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56.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54.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word/header49.xml" ContentType="application/vnd.openxmlformats-officedocument.wordprocessingml.header+xml"/>
  <Override PartName="/word/header58.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footer6.xml" ContentType="application/vnd.openxmlformats-officedocument.wordprocessingml.foot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footer4.xml" ContentType="application/vnd.openxmlformats-officedocument.wordprocessingml.foot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7.xml" ContentType="application/vnd.openxmlformats-officedocument.wordprocessingml.header+xml"/>
  <Override PartName="/word/footer2.xml" ContentType="application/vnd.openxmlformats-officedocument.wordprocessingml.footer+xml"/>
  <Override PartName="/word/header11.xml" ContentType="application/vnd.openxmlformats-officedocument.wordprocessingml.header+xml"/>
  <Override PartName="/word/header20.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05C" w:rsidRPr="00DA3BC7" w:rsidRDefault="0081605C" w:rsidP="009E0A5A">
      <w:pPr>
        <w:pStyle w:val="1"/>
        <w:jc w:val="both"/>
      </w:pPr>
      <w:bookmarkStart w:id="0" w:name="_Toc405499735"/>
      <w:r w:rsidRPr="00DA3BC7">
        <w:rPr>
          <w:rFonts w:hint="eastAsia"/>
        </w:rPr>
        <w:t>目</w:t>
      </w:r>
      <w:r w:rsidR="004F4714" w:rsidRPr="00DA3BC7">
        <w:rPr>
          <w:rFonts w:hint="eastAsia"/>
        </w:rPr>
        <w:t xml:space="preserve">　</w:t>
      </w:r>
      <w:r w:rsidRPr="00DA3BC7">
        <w:rPr>
          <w:rFonts w:hint="eastAsia"/>
        </w:rPr>
        <w:t>錄</w:t>
      </w:r>
      <w:bookmarkEnd w:id="0"/>
    </w:p>
    <w:p w:rsidR="004F4714" w:rsidRPr="00DA3BC7" w:rsidRDefault="00AE3920" w:rsidP="008E2BBC">
      <w:pPr>
        <w:pStyle w:val="16"/>
        <w:spacing w:before="144"/>
        <w:jc w:val="both"/>
        <w:rPr>
          <w:szCs w:val="22"/>
        </w:rPr>
      </w:pPr>
      <w:r w:rsidRPr="00AE3920">
        <w:fldChar w:fldCharType="begin"/>
      </w:r>
      <w:r w:rsidR="0081605C" w:rsidRPr="00DA3BC7">
        <w:instrText xml:space="preserve"> TOC \o "1-2" \h \z \u </w:instrText>
      </w:r>
      <w:r w:rsidRPr="00AE3920">
        <w:fldChar w:fldCharType="separate"/>
      </w:r>
      <w:hyperlink w:anchor="_Toc405499735" w:history="1">
        <w:r w:rsidR="004F4714" w:rsidRPr="00DA3BC7">
          <w:rPr>
            <w:rStyle w:val="af1"/>
          </w:rPr>
          <w:t>目錄</w:t>
        </w:r>
        <w:r w:rsidR="004F4714" w:rsidRPr="00DA3BC7">
          <w:rPr>
            <w:webHidden/>
          </w:rPr>
          <w:tab/>
        </w:r>
        <w:r w:rsidRPr="00DA3BC7">
          <w:rPr>
            <w:webHidden/>
          </w:rPr>
          <w:fldChar w:fldCharType="begin"/>
        </w:r>
        <w:r w:rsidR="004F4714" w:rsidRPr="00DA3BC7">
          <w:rPr>
            <w:webHidden/>
          </w:rPr>
          <w:instrText xml:space="preserve"> PAGEREF _Toc405499735 \h </w:instrText>
        </w:r>
        <w:r w:rsidRPr="00DA3BC7">
          <w:rPr>
            <w:webHidden/>
          </w:rPr>
        </w:r>
        <w:r w:rsidRPr="00DA3BC7">
          <w:rPr>
            <w:webHidden/>
          </w:rPr>
          <w:fldChar w:fldCharType="separate"/>
        </w:r>
        <w:r w:rsidR="002B26CA">
          <w:rPr>
            <w:webHidden/>
          </w:rPr>
          <w:t>I</w:t>
        </w:r>
        <w:r w:rsidRPr="00DA3BC7">
          <w:rPr>
            <w:webHidden/>
          </w:rPr>
          <w:fldChar w:fldCharType="end"/>
        </w:r>
      </w:hyperlink>
    </w:p>
    <w:p w:rsidR="004F4714" w:rsidRPr="00DA3BC7" w:rsidRDefault="00AE3920" w:rsidP="008E2BBC">
      <w:pPr>
        <w:pStyle w:val="16"/>
        <w:spacing w:before="144"/>
        <w:jc w:val="both"/>
        <w:rPr>
          <w:szCs w:val="22"/>
        </w:rPr>
      </w:pPr>
      <w:hyperlink w:anchor="_Toc405499736" w:history="1">
        <w:r w:rsidR="00CF5FC9" w:rsidRPr="00DA3BC7">
          <w:rPr>
            <w:rStyle w:val="af1"/>
          </w:rPr>
          <w:t>《中觀今論講義》</w:t>
        </w:r>
        <w:r w:rsidR="00584F74" w:rsidRPr="00DA3BC7">
          <w:rPr>
            <w:rStyle w:val="af1"/>
          </w:rPr>
          <w:t>編</w:t>
        </w:r>
        <w:r w:rsidR="004F4714" w:rsidRPr="00DA3BC7">
          <w:rPr>
            <w:rStyle w:val="af1"/>
          </w:rPr>
          <w:t>輯緣起</w:t>
        </w:r>
        <w:r w:rsidR="004F4714" w:rsidRPr="00DA3BC7">
          <w:rPr>
            <w:webHidden/>
          </w:rPr>
          <w:tab/>
        </w:r>
        <w:r w:rsidRPr="00DA3BC7">
          <w:rPr>
            <w:webHidden/>
          </w:rPr>
          <w:fldChar w:fldCharType="begin"/>
        </w:r>
        <w:r w:rsidR="004F4714" w:rsidRPr="00DA3BC7">
          <w:rPr>
            <w:webHidden/>
          </w:rPr>
          <w:instrText xml:space="preserve"> PAGEREF _Toc405499736 \h </w:instrText>
        </w:r>
        <w:r w:rsidRPr="00DA3BC7">
          <w:rPr>
            <w:webHidden/>
          </w:rPr>
        </w:r>
        <w:r w:rsidRPr="00DA3BC7">
          <w:rPr>
            <w:webHidden/>
          </w:rPr>
          <w:fldChar w:fldCharType="separate"/>
        </w:r>
        <w:r w:rsidR="002B26CA">
          <w:rPr>
            <w:webHidden/>
          </w:rPr>
          <w:t>III</w:t>
        </w:r>
        <w:r w:rsidRPr="00DA3BC7">
          <w:rPr>
            <w:webHidden/>
          </w:rPr>
          <w:fldChar w:fldCharType="end"/>
        </w:r>
      </w:hyperlink>
    </w:p>
    <w:p w:rsidR="004F4714" w:rsidRPr="00DA3BC7" w:rsidRDefault="00AE3920" w:rsidP="008E2BBC">
      <w:pPr>
        <w:pStyle w:val="16"/>
        <w:spacing w:before="144"/>
        <w:jc w:val="both"/>
        <w:rPr>
          <w:szCs w:val="22"/>
        </w:rPr>
      </w:pPr>
      <w:hyperlink w:anchor="_Toc405499737" w:history="1">
        <w:r w:rsidR="004F4714" w:rsidRPr="00DA3BC7">
          <w:rPr>
            <w:rStyle w:val="af1"/>
          </w:rPr>
          <w:t>《中觀今論》〈自序〉</w:t>
        </w:r>
        <w:r w:rsidR="004F4714" w:rsidRPr="00DA3BC7">
          <w:rPr>
            <w:webHidden/>
          </w:rPr>
          <w:tab/>
        </w:r>
        <w:r w:rsidRPr="00DA3BC7">
          <w:rPr>
            <w:webHidden/>
          </w:rPr>
          <w:fldChar w:fldCharType="begin"/>
        </w:r>
        <w:r w:rsidR="004F4714" w:rsidRPr="00DA3BC7">
          <w:rPr>
            <w:webHidden/>
          </w:rPr>
          <w:instrText xml:space="preserve"> PAGEREF _Toc405499737 \h </w:instrText>
        </w:r>
        <w:r w:rsidRPr="00DA3BC7">
          <w:rPr>
            <w:webHidden/>
          </w:rPr>
        </w:r>
        <w:r w:rsidRPr="00DA3BC7">
          <w:rPr>
            <w:webHidden/>
          </w:rPr>
          <w:fldChar w:fldCharType="separate"/>
        </w:r>
        <w:r w:rsidR="002B26CA">
          <w:rPr>
            <w:webHidden/>
          </w:rPr>
          <w:t>1</w:t>
        </w:r>
        <w:r w:rsidRPr="00DA3BC7">
          <w:rPr>
            <w:webHidden/>
          </w:rPr>
          <w:fldChar w:fldCharType="end"/>
        </w:r>
      </w:hyperlink>
    </w:p>
    <w:p w:rsidR="004F4714" w:rsidRPr="00DA3BC7" w:rsidRDefault="00AE3920" w:rsidP="008E2BBC">
      <w:pPr>
        <w:pStyle w:val="16"/>
        <w:spacing w:before="144"/>
        <w:jc w:val="both"/>
        <w:rPr>
          <w:szCs w:val="22"/>
        </w:rPr>
      </w:pPr>
      <w:hyperlink w:anchor="_Toc405499739" w:history="1">
        <w:r w:rsidR="004F4714" w:rsidRPr="00DA3BC7">
          <w:rPr>
            <w:rStyle w:val="af1"/>
          </w:rPr>
          <w:t>《中觀今論》〈引言〉</w:t>
        </w:r>
        <w:r w:rsidR="004F4714" w:rsidRPr="00DA3BC7">
          <w:rPr>
            <w:webHidden/>
          </w:rPr>
          <w:tab/>
        </w:r>
        <w:r w:rsidRPr="00DA3BC7">
          <w:rPr>
            <w:webHidden/>
          </w:rPr>
          <w:fldChar w:fldCharType="begin"/>
        </w:r>
        <w:r w:rsidR="004F4714" w:rsidRPr="00DA3BC7">
          <w:rPr>
            <w:webHidden/>
          </w:rPr>
          <w:instrText xml:space="preserve"> PAGEREF _Toc405499739 \h </w:instrText>
        </w:r>
        <w:r w:rsidRPr="00DA3BC7">
          <w:rPr>
            <w:webHidden/>
          </w:rPr>
        </w:r>
        <w:r w:rsidRPr="00DA3BC7">
          <w:rPr>
            <w:webHidden/>
          </w:rPr>
          <w:fldChar w:fldCharType="separate"/>
        </w:r>
        <w:r w:rsidR="002B26CA">
          <w:rPr>
            <w:webHidden/>
          </w:rPr>
          <w:t>16</w:t>
        </w:r>
        <w:r w:rsidRPr="00DA3BC7">
          <w:rPr>
            <w:webHidden/>
          </w:rPr>
          <w:fldChar w:fldCharType="end"/>
        </w:r>
      </w:hyperlink>
    </w:p>
    <w:p w:rsidR="004F4714" w:rsidRPr="00DA3BC7" w:rsidRDefault="00AE3920" w:rsidP="008E2BBC">
      <w:pPr>
        <w:pStyle w:val="16"/>
        <w:spacing w:before="144"/>
        <w:jc w:val="both"/>
        <w:rPr>
          <w:szCs w:val="22"/>
        </w:rPr>
      </w:pPr>
      <w:hyperlink w:anchor="_Toc405499741" w:history="1">
        <w:r w:rsidR="004F4714" w:rsidRPr="00DA3BC7">
          <w:rPr>
            <w:rStyle w:val="af1"/>
          </w:rPr>
          <w:t>第一章、中道之內容及其意義</w:t>
        </w:r>
        <w:r w:rsidR="004F4714" w:rsidRPr="00DA3BC7">
          <w:rPr>
            <w:webHidden/>
          </w:rPr>
          <w:tab/>
        </w:r>
        <w:r w:rsidRPr="00DA3BC7">
          <w:rPr>
            <w:webHidden/>
          </w:rPr>
          <w:fldChar w:fldCharType="begin"/>
        </w:r>
        <w:r w:rsidR="004F4714" w:rsidRPr="00DA3BC7">
          <w:rPr>
            <w:webHidden/>
          </w:rPr>
          <w:instrText xml:space="preserve"> PAGEREF _Toc405499741 \h </w:instrText>
        </w:r>
        <w:r w:rsidRPr="00DA3BC7">
          <w:rPr>
            <w:webHidden/>
          </w:rPr>
        </w:r>
        <w:r w:rsidRPr="00DA3BC7">
          <w:rPr>
            <w:webHidden/>
          </w:rPr>
          <w:fldChar w:fldCharType="separate"/>
        </w:r>
        <w:r w:rsidR="002B26CA">
          <w:rPr>
            <w:webHidden/>
          </w:rPr>
          <w:t>22</w:t>
        </w:r>
        <w:r w:rsidRPr="00DA3BC7">
          <w:rPr>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42" w:history="1">
        <w:r w:rsidR="004F4714" w:rsidRPr="00DA3BC7">
          <w:rPr>
            <w:rStyle w:val="af1"/>
            <w:rFonts w:ascii="Times New Roman" w:hAnsi="Times New Roman"/>
            <w:noProof/>
          </w:rPr>
          <w:t>第一節、中道之內容</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_Toc405499742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22</w:t>
        </w:r>
        <w:r w:rsidRPr="00DA3BC7">
          <w:rPr>
            <w:rFonts w:ascii="Times New Roman" w:hAnsi="Times New Roman"/>
            <w:noProof/>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44" w:history="1">
        <w:r w:rsidR="004F4714" w:rsidRPr="00DA3BC7">
          <w:rPr>
            <w:rStyle w:val="af1"/>
            <w:rFonts w:ascii="Times New Roman" w:hAnsi="Times New Roman"/>
            <w:noProof/>
          </w:rPr>
          <w:t>第二節、中道之意義</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_Toc405499744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29</w:t>
        </w:r>
        <w:r w:rsidRPr="00DA3BC7">
          <w:rPr>
            <w:rFonts w:ascii="Times New Roman" w:hAnsi="Times New Roman"/>
            <w:noProof/>
            <w:webHidden/>
          </w:rPr>
          <w:fldChar w:fldCharType="end"/>
        </w:r>
      </w:hyperlink>
    </w:p>
    <w:p w:rsidR="004F4714" w:rsidRPr="00DA3BC7" w:rsidRDefault="00AE3920" w:rsidP="008E2BBC">
      <w:pPr>
        <w:pStyle w:val="16"/>
        <w:spacing w:before="144"/>
        <w:jc w:val="both"/>
        <w:rPr>
          <w:szCs w:val="22"/>
        </w:rPr>
      </w:pPr>
      <w:hyperlink w:anchor="_Toc405499745" w:history="1">
        <w:r w:rsidR="004F4714" w:rsidRPr="00DA3BC7">
          <w:rPr>
            <w:rStyle w:val="af1"/>
          </w:rPr>
          <w:t>第二章、龍樹及其論典</w:t>
        </w:r>
        <w:r w:rsidR="004F4714" w:rsidRPr="00DA3BC7">
          <w:rPr>
            <w:webHidden/>
          </w:rPr>
          <w:tab/>
        </w:r>
        <w:r w:rsidRPr="00DA3BC7">
          <w:rPr>
            <w:webHidden/>
          </w:rPr>
          <w:fldChar w:fldCharType="begin"/>
        </w:r>
        <w:r w:rsidR="004F4714" w:rsidRPr="00DA3BC7">
          <w:rPr>
            <w:webHidden/>
          </w:rPr>
          <w:instrText xml:space="preserve"> PAGEREF _Toc405499745 \h </w:instrText>
        </w:r>
        <w:r w:rsidRPr="00DA3BC7">
          <w:rPr>
            <w:webHidden/>
          </w:rPr>
        </w:r>
        <w:r w:rsidRPr="00DA3BC7">
          <w:rPr>
            <w:webHidden/>
          </w:rPr>
          <w:fldChar w:fldCharType="separate"/>
        </w:r>
        <w:r w:rsidR="002B26CA">
          <w:rPr>
            <w:webHidden/>
          </w:rPr>
          <w:t>34</w:t>
        </w:r>
        <w:r w:rsidRPr="00DA3BC7">
          <w:rPr>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46" w:history="1">
        <w:r w:rsidR="004F4714" w:rsidRPr="00DA3BC7">
          <w:rPr>
            <w:rStyle w:val="af1"/>
            <w:rFonts w:ascii="Times New Roman" w:hAnsi="Times New Roman"/>
            <w:noProof/>
          </w:rPr>
          <w:t>第一節、龍樹論略說</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_Toc405499746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34</w:t>
        </w:r>
        <w:r w:rsidRPr="00DA3BC7">
          <w:rPr>
            <w:rFonts w:ascii="Times New Roman" w:hAnsi="Times New Roman"/>
            <w:noProof/>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48" w:history="1">
        <w:r w:rsidR="004F4714" w:rsidRPr="00DA3BC7">
          <w:rPr>
            <w:rStyle w:val="af1"/>
            <w:rFonts w:ascii="Times New Roman" w:hAnsi="Times New Roman"/>
            <w:noProof/>
          </w:rPr>
          <w:t>第二節、《中論》為《阿含》通論考</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_Toc405499748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43</w:t>
        </w:r>
        <w:r w:rsidRPr="00DA3BC7">
          <w:rPr>
            <w:rFonts w:ascii="Times New Roman" w:hAnsi="Times New Roman"/>
            <w:noProof/>
            <w:webHidden/>
          </w:rPr>
          <w:fldChar w:fldCharType="end"/>
        </w:r>
      </w:hyperlink>
    </w:p>
    <w:p w:rsidR="004F4714" w:rsidRPr="00DA3BC7" w:rsidRDefault="00AE3920" w:rsidP="008E2BBC">
      <w:pPr>
        <w:pStyle w:val="16"/>
        <w:spacing w:before="144"/>
        <w:jc w:val="both"/>
        <w:rPr>
          <w:szCs w:val="22"/>
        </w:rPr>
      </w:pPr>
      <w:hyperlink w:anchor="_Toc405499749" w:history="1">
        <w:r w:rsidR="004F4714" w:rsidRPr="00DA3BC7">
          <w:rPr>
            <w:rStyle w:val="af1"/>
          </w:rPr>
          <w:t>第三章、緣起之生滅與不生不滅</w:t>
        </w:r>
        <w:r w:rsidR="004F4714" w:rsidRPr="00DA3BC7">
          <w:rPr>
            <w:webHidden/>
          </w:rPr>
          <w:tab/>
        </w:r>
        <w:r w:rsidRPr="00DA3BC7">
          <w:rPr>
            <w:webHidden/>
          </w:rPr>
          <w:fldChar w:fldCharType="begin"/>
        </w:r>
        <w:r w:rsidR="004F4714" w:rsidRPr="00DA3BC7">
          <w:rPr>
            <w:webHidden/>
          </w:rPr>
          <w:instrText xml:space="preserve"> PAGEREF _Toc405499749 \h </w:instrText>
        </w:r>
        <w:r w:rsidRPr="00DA3BC7">
          <w:rPr>
            <w:webHidden/>
          </w:rPr>
        </w:r>
        <w:r w:rsidRPr="00DA3BC7">
          <w:rPr>
            <w:webHidden/>
          </w:rPr>
          <w:fldChar w:fldCharType="separate"/>
        </w:r>
        <w:r w:rsidR="002B26CA">
          <w:rPr>
            <w:webHidden/>
          </w:rPr>
          <w:t>58</w:t>
        </w:r>
        <w:r w:rsidRPr="00DA3BC7">
          <w:rPr>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50" w:history="1">
        <w:r w:rsidR="004F4714" w:rsidRPr="00DA3BC7">
          <w:rPr>
            <w:rStyle w:val="af1"/>
            <w:rFonts w:ascii="Times New Roman" w:hAnsi="Times New Roman"/>
            <w:noProof/>
          </w:rPr>
          <w:t>第一節、無生之共證與大乘不共</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_Toc405499750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58</w:t>
        </w:r>
        <w:r w:rsidRPr="00DA3BC7">
          <w:rPr>
            <w:rFonts w:ascii="Times New Roman" w:hAnsi="Times New Roman"/>
            <w:noProof/>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52" w:history="1">
        <w:r w:rsidR="004F4714" w:rsidRPr="00DA3BC7">
          <w:rPr>
            <w:rStyle w:val="af1"/>
            <w:rFonts w:ascii="Times New Roman" w:hAnsi="Times New Roman"/>
            <w:noProof/>
          </w:rPr>
          <w:t>第二節、聲聞常道與大乘深論</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_Toc405499752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64</w:t>
        </w:r>
        <w:r w:rsidRPr="00DA3BC7">
          <w:rPr>
            <w:rFonts w:ascii="Times New Roman" w:hAnsi="Times New Roman"/>
            <w:noProof/>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54" w:history="1">
        <w:r w:rsidR="004F4714" w:rsidRPr="00DA3BC7">
          <w:rPr>
            <w:rStyle w:val="af1"/>
            <w:rFonts w:ascii="Times New Roman" w:hAnsi="Times New Roman"/>
            <w:noProof/>
          </w:rPr>
          <w:t>第三節、三法印之橫豎無礙</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_Toc405499754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72</w:t>
        </w:r>
        <w:r w:rsidRPr="00DA3BC7">
          <w:rPr>
            <w:rFonts w:ascii="Times New Roman" w:hAnsi="Times New Roman"/>
            <w:noProof/>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56" w:history="1">
        <w:r w:rsidR="004F4714" w:rsidRPr="00DA3BC7">
          <w:rPr>
            <w:rStyle w:val="af1"/>
            <w:rFonts w:ascii="Times New Roman" w:hAnsi="Times New Roman"/>
            <w:noProof/>
          </w:rPr>
          <w:t>第四節、緣起之綜貫性</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_Toc405499756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78</w:t>
        </w:r>
        <w:r w:rsidRPr="00DA3BC7">
          <w:rPr>
            <w:rFonts w:ascii="Times New Roman" w:hAnsi="Times New Roman"/>
            <w:noProof/>
            <w:webHidden/>
          </w:rPr>
          <w:fldChar w:fldCharType="end"/>
        </w:r>
      </w:hyperlink>
    </w:p>
    <w:p w:rsidR="004F4714" w:rsidRPr="00DA3BC7" w:rsidRDefault="00AE3920" w:rsidP="008E2BBC">
      <w:pPr>
        <w:pStyle w:val="16"/>
        <w:spacing w:before="144"/>
        <w:jc w:val="both"/>
        <w:rPr>
          <w:szCs w:val="22"/>
        </w:rPr>
      </w:pPr>
      <w:hyperlink w:anchor="_Toc405499757" w:history="1">
        <w:r w:rsidR="004F4714" w:rsidRPr="00DA3BC7">
          <w:rPr>
            <w:rStyle w:val="af1"/>
          </w:rPr>
          <w:t>第四章、中道之方法論</w:t>
        </w:r>
        <w:r w:rsidR="004F4714" w:rsidRPr="00DA3BC7">
          <w:rPr>
            <w:webHidden/>
          </w:rPr>
          <w:tab/>
        </w:r>
        <w:r w:rsidRPr="00DA3BC7">
          <w:rPr>
            <w:webHidden/>
          </w:rPr>
          <w:fldChar w:fldCharType="begin"/>
        </w:r>
        <w:r w:rsidR="004F4714" w:rsidRPr="00DA3BC7">
          <w:rPr>
            <w:webHidden/>
          </w:rPr>
          <w:instrText xml:space="preserve"> PAGEREF _Toc405499757 \h </w:instrText>
        </w:r>
        <w:r w:rsidRPr="00DA3BC7">
          <w:rPr>
            <w:webHidden/>
          </w:rPr>
        </w:r>
        <w:r w:rsidRPr="00DA3BC7">
          <w:rPr>
            <w:webHidden/>
          </w:rPr>
          <w:fldChar w:fldCharType="separate"/>
        </w:r>
        <w:r w:rsidR="002B26CA">
          <w:rPr>
            <w:webHidden/>
          </w:rPr>
          <w:t>82</w:t>
        </w:r>
        <w:r w:rsidRPr="00DA3BC7">
          <w:rPr>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58" w:history="1">
        <w:r w:rsidR="004F4714" w:rsidRPr="00DA3BC7">
          <w:rPr>
            <w:rStyle w:val="af1"/>
            <w:rFonts w:ascii="Times New Roman" w:hAnsi="Times New Roman"/>
            <w:noProof/>
          </w:rPr>
          <w:t>第一節、中觀與中論</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_Toc405499758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82</w:t>
        </w:r>
        <w:r w:rsidRPr="00DA3BC7">
          <w:rPr>
            <w:rFonts w:ascii="Times New Roman" w:hAnsi="Times New Roman"/>
            <w:noProof/>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60" w:history="1">
        <w:r w:rsidR="004F4714" w:rsidRPr="00DA3BC7">
          <w:rPr>
            <w:rStyle w:val="af1"/>
            <w:rFonts w:ascii="Times New Roman" w:hAnsi="Times New Roman"/>
            <w:noProof/>
          </w:rPr>
          <w:t>第二節、因明與中觀</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_Toc405499760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86</w:t>
        </w:r>
        <w:r w:rsidRPr="00DA3BC7">
          <w:rPr>
            <w:rFonts w:ascii="Times New Roman" w:hAnsi="Times New Roman"/>
            <w:noProof/>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62" w:history="1">
        <w:r w:rsidR="004F4714" w:rsidRPr="00DA3BC7">
          <w:rPr>
            <w:rStyle w:val="af1"/>
            <w:rFonts w:ascii="Times New Roman" w:hAnsi="Times New Roman"/>
            <w:noProof/>
          </w:rPr>
          <w:t>第三節、聞量、比量、現量</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_Toc405499762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99</w:t>
        </w:r>
        <w:r w:rsidRPr="00DA3BC7">
          <w:rPr>
            <w:rFonts w:ascii="Times New Roman" w:hAnsi="Times New Roman"/>
            <w:noProof/>
            <w:webHidden/>
          </w:rPr>
          <w:fldChar w:fldCharType="end"/>
        </w:r>
      </w:hyperlink>
    </w:p>
    <w:p w:rsidR="004F4714" w:rsidRPr="00DA3BC7" w:rsidRDefault="00AE3920" w:rsidP="008E2BBC">
      <w:pPr>
        <w:pStyle w:val="16"/>
        <w:spacing w:before="144"/>
        <w:jc w:val="both"/>
        <w:rPr>
          <w:szCs w:val="22"/>
        </w:rPr>
      </w:pPr>
      <w:hyperlink w:anchor="_Toc405499763" w:history="1">
        <w:r w:rsidR="004F4714" w:rsidRPr="00DA3BC7">
          <w:rPr>
            <w:rStyle w:val="af1"/>
          </w:rPr>
          <w:t>第五章、中觀之根本論題</w:t>
        </w:r>
        <w:r w:rsidR="004F4714" w:rsidRPr="00DA3BC7">
          <w:rPr>
            <w:webHidden/>
          </w:rPr>
          <w:tab/>
        </w:r>
        <w:r w:rsidRPr="00DA3BC7">
          <w:rPr>
            <w:webHidden/>
          </w:rPr>
          <w:fldChar w:fldCharType="begin"/>
        </w:r>
        <w:r w:rsidR="004F4714" w:rsidRPr="00DA3BC7">
          <w:rPr>
            <w:webHidden/>
          </w:rPr>
          <w:instrText xml:space="preserve"> PAGEREF _Toc405499763 \h </w:instrText>
        </w:r>
        <w:r w:rsidRPr="00DA3BC7">
          <w:rPr>
            <w:webHidden/>
          </w:rPr>
        </w:r>
        <w:r w:rsidRPr="00DA3BC7">
          <w:rPr>
            <w:webHidden/>
          </w:rPr>
          <w:fldChar w:fldCharType="separate"/>
        </w:r>
        <w:r w:rsidR="002B26CA">
          <w:rPr>
            <w:webHidden/>
          </w:rPr>
          <w:t>108</w:t>
        </w:r>
        <w:r w:rsidRPr="00DA3BC7">
          <w:rPr>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64" w:history="1">
        <w:r w:rsidR="004F4714" w:rsidRPr="00DA3BC7">
          <w:rPr>
            <w:rStyle w:val="af1"/>
            <w:rFonts w:ascii="Times New Roman" w:hAnsi="Times New Roman"/>
            <w:noProof/>
          </w:rPr>
          <w:t>第一節、緣起</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_Toc405499764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108</w:t>
        </w:r>
        <w:r w:rsidRPr="00DA3BC7">
          <w:rPr>
            <w:rFonts w:ascii="Times New Roman" w:hAnsi="Times New Roman"/>
            <w:noProof/>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66" w:history="1">
        <w:r w:rsidR="004F4714" w:rsidRPr="00DA3BC7">
          <w:rPr>
            <w:rStyle w:val="af1"/>
            <w:rFonts w:ascii="Times New Roman" w:hAnsi="Times New Roman"/>
            <w:noProof/>
          </w:rPr>
          <w:t>第二節、自性</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_Toc405499766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117</w:t>
        </w:r>
        <w:r w:rsidRPr="00DA3BC7">
          <w:rPr>
            <w:rFonts w:ascii="Times New Roman" w:hAnsi="Times New Roman"/>
            <w:noProof/>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68" w:history="1">
        <w:r w:rsidR="004F4714" w:rsidRPr="00DA3BC7">
          <w:rPr>
            <w:rStyle w:val="af1"/>
            <w:rFonts w:ascii="Times New Roman" w:hAnsi="Times New Roman"/>
            <w:noProof/>
          </w:rPr>
          <w:t>第三節、空</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_Toc405499768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132</w:t>
        </w:r>
        <w:r w:rsidRPr="00DA3BC7">
          <w:rPr>
            <w:rFonts w:ascii="Times New Roman" w:hAnsi="Times New Roman"/>
            <w:noProof/>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70" w:history="1">
        <w:r w:rsidR="004F4714" w:rsidRPr="00DA3BC7">
          <w:rPr>
            <w:rStyle w:val="af1"/>
            <w:rFonts w:ascii="Times New Roman" w:hAnsi="Times New Roman"/>
            <w:noProof/>
          </w:rPr>
          <w:t>第四節、緣起自性空</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_Toc405499770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146</w:t>
        </w:r>
        <w:r w:rsidRPr="00DA3BC7">
          <w:rPr>
            <w:rFonts w:ascii="Times New Roman" w:hAnsi="Times New Roman"/>
            <w:noProof/>
            <w:webHidden/>
          </w:rPr>
          <w:fldChar w:fldCharType="end"/>
        </w:r>
      </w:hyperlink>
    </w:p>
    <w:p w:rsidR="004F4714" w:rsidRPr="00DA3BC7" w:rsidRDefault="00AE3920" w:rsidP="008E2BBC">
      <w:pPr>
        <w:pStyle w:val="16"/>
        <w:spacing w:before="144"/>
        <w:jc w:val="both"/>
        <w:rPr>
          <w:szCs w:val="22"/>
        </w:rPr>
      </w:pPr>
      <w:hyperlink w:anchor="_Toc405499771" w:history="1">
        <w:r w:rsidR="004F4714" w:rsidRPr="00DA3BC7">
          <w:rPr>
            <w:rStyle w:val="af1"/>
          </w:rPr>
          <w:t>第六章、八不</w:t>
        </w:r>
        <w:r w:rsidR="004F4714" w:rsidRPr="00DA3BC7">
          <w:rPr>
            <w:webHidden/>
          </w:rPr>
          <w:tab/>
        </w:r>
        <w:r w:rsidRPr="00DA3BC7">
          <w:rPr>
            <w:webHidden/>
          </w:rPr>
          <w:fldChar w:fldCharType="begin"/>
        </w:r>
        <w:r w:rsidR="004F4714" w:rsidRPr="00DA3BC7">
          <w:rPr>
            <w:webHidden/>
          </w:rPr>
          <w:instrText xml:space="preserve"> PAGEREF _Toc405499771 \h </w:instrText>
        </w:r>
        <w:r w:rsidRPr="00DA3BC7">
          <w:rPr>
            <w:webHidden/>
          </w:rPr>
        </w:r>
        <w:r w:rsidRPr="00DA3BC7">
          <w:rPr>
            <w:webHidden/>
          </w:rPr>
          <w:fldChar w:fldCharType="separate"/>
        </w:r>
        <w:r w:rsidR="002B26CA">
          <w:rPr>
            <w:webHidden/>
          </w:rPr>
          <w:t>149</w:t>
        </w:r>
        <w:r w:rsidRPr="00DA3BC7">
          <w:rPr>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72" w:history="1">
        <w:r w:rsidR="004F4714" w:rsidRPr="00DA3BC7">
          <w:rPr>
            <w:rStyle w:val="af1"/>
            <w:rFonts w:ascii="Times New Roman" w:hAnsi="Times New Roman"/>
            <w:noProof/>
          </w:rPr>
          <w:t>第一節、八事四對之解說</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_Toc405499772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149</w:t>
        </w:r>
        <w:r w:rsidRPr="00DA3BC7">
          <w:rPr>
            <w:rFonts w:ascii="Times New Roman" w:hAnsi="Times New Roman"/>
            <w:noProof/>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74" w:history="1">
        <w:r w:rsidR="004F4714" w:rsidRPr="00DA3BC7">
          <w:rPr>
            <w:rStyle w:val="af1"/>
            <w:rFonts w:ascii="Times New Roman" w:hAnsi="Times New Roman"/>
            <w:noProof/>
          </w:rPr>
          <w:t>第二節、不</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_Toc405499774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165</w:t>
        </w:r>
        <w:r w:rsidRPr="00DA3BC7">
          <w:rPr>
            <w:rFonts w:ascii="Times New Roman" w:hAnsi="Times New Roman"/>
            <w:noProof/>
            <w:webHidden/>
          </w:rPr>
          <w:fldChar w:fldCharType="end"/>
        </w:r>
      </w:hyperlink>
    </w:p>
    <w:p w:rsidR="004F4714" w:rsidRPr="00DA3BC7" w:rsidRDefault="00AE3920" w:rsidP="008E2BBC">
      <w:pPr>
        <w:pStyle w:val="16"/>
        <w:spacing w:before="144"/>
        <w:jc w:val="both"/>
        <w:rPr>
          <w:szCs w:val="22"/>
        </w:rPr>
      </w:pPr>
      <w:hyperlink w:anchor="_Toc405499775" w:history="1">
        <w:r w:rsidR="004F4714" w:rsidRPr="00DA3BC7">
          <w:rPr>
            <w:rStyle w:val="af1"/>
          </w:rPr>
          <w:t>第七章、有、時、空、動</w:t>
        </w:r>
        <w:r w:rsidR="004F4714" w:rsidRPr="00DA3BC7">
          <w:rPr>
            <w:webHidden/>
          </w:rPr>
          <w:tab/>
        </w:r>
        <w:r w:rsidRPr="00DA3BC7">
          <w:rPr>
            <w:webHidden/>
          </w:rPr>
          <w:fldChar w:fldCharType="begin"/>
        </w:r>
        <w:r w:rsidR="004F4714" w:rsidRPr="00DA3BC7">
          <w:rPr>
            <w:webHidden/>
          </w:rPr>
          <w:instrText xml:space="preserve"> PAGEREF _Toc405499775 \h </w:instrText>
        </w:r>
        <w:r w:rsidRPr="00DA3BC7">
          <w:rPr>
            <w:webHidden/>
          </w:rPr>
        </w:r>
        <w:r w:rsidRPr="00DA3BC7">
          <w:rPr>
            <w:webHidden/>
          </w:rPr>
          <w:fldChar w:fldCharType="separate"/>
        </w:r>
        <w:r w:rsidR="002B26CA">
          <w:rPr>
            <w:webHidden/>
          </w:rPr>
          <w:t>191</w:t>
        </w:r>
        <w:r w:rsidRPr="00DA3BC7">
          <w:rPr>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76" w:history="1">
        <w:r w:rsidR="004F4714" w:rsidRPr="00DA3BC7">
          <w:rPr>
            <w:rStyle w:val="af1"/>
            <w:rFonts w:ascii="Times New Roman" w:hAnsi="Times New Roman"/>
            <w:noProof/>
          </w:rPr>
          <w:t>第一節、有</w:t>
        </w:r>
        <w:r w:rsidR="004F4714" w:rsidRPr="00DA3BC7">
          <w:rPr>
            <w:rStyle w:val="af1"/>
            <w:rFonts w:ascii="新細明體" w:hAnsi="新細明體"/>
            <w:noProof/>
          </w:rPr>
          <w:t>──</w:t>
        </w:r>
        <w:r w:rsidR="004F4714" w:rsidRPr="00DA3BC7">
          <w:rPr>
            <w:rStyle w:val="af1"/>
            <w:rFonts w:ascii="Times New Roman" w:hAnsi="Times New Roman"/>
            <w:noProof/>
          </w:rPr>
          <w:t>物、體、法</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_Toc405499776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191</w:t>
        </w:r>
        <w:r w:rsidRPr="00DA3BC7">
          <w:rPr>
            <w:rFonts w:ascii="Times New Roman" w:hAnsi="Times New Roman"/>
            <w:noProof/>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78" w:history="1">
        <w:r w:rsidR="004F4714" w:rsidRPr="00DA3BC7">
          <w:rPr>
            <w:rStyle w:val="af1"/>
            <w:rFonts w:ascii="Times New Roman" w:hAnsi="Times New Roman"/>
            <w:noProof/>
          </w:rPr>
          <w:t>第二節、時間</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_Toc405499778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197</w:t>
        </w:r>
        <w:r w:rsidRPr="00DA3BC7">
          <w:rPr>
            <w:rFonts w:ascii="Times New Roman" w:hAnsi="Times New Roman"/>
            <w:noProof/>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80" w:history="1">
        <w:r w:rsidR="004F4714" w:rsidRPr="00DA3BC7">
          <w:rPr>
            <w:rStyle w:val="af1"/>
            <w:rFonts w:ascii="Times New Roman" w:hAnsi="Times New Roman"/>
            <w:noProof/>
          </w:rPr>
          <w:t>第三節、空間</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_Toc405499780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210</w:t>
        </w:r>
        <w:r w:rsidRPr="00DA3BC7">
          <w:rPr>
            <w:rFonts w:ascii="Times New Roman" w:hAnsi="Times New Roman"/>
            <w:noProof/>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82" w:history="1">
        <w:r w:rsidR="004F4714" w:rsidRPr="00DA3BC7">
          <w:rPr>
            <w:rStyle w:val="af1"/>
            <w:rFonts w:ascii="Times New Roman" w:hAnsi="Times New Roman"/>
            <w:noProof/>
          </w:rPr>
          <w:t>第四節、行</w:t>
        </w:r>
        <w:r w:rsidR="004F4714" w:rsidRPr="00DA3BC7">
          <w:rPr>
            <w:rStyle w:val="af1"/>
            <w:rFonts w:ascii="新細明體" w:hAnsi="新細明體"/>
            <w:noProof/>
          </w:rPr>
          <w:t>──</w:t>
        </w:r>
        <w:r w:rsidR="004F4714" w:rsidRPr="00DA3BC7">
          <w:rPr>
            <w:rStyle w:val="af1"/>
            <w:rFonts w:ascii="Times New Roman" w:hAnsi="Times New Roman"/>
            <w:noProof/>
          </w:rPr>
          <w:t>變動、運動</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_Toc405499782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219</w:t>
        </w:r>
        <w:r w:rsidRPr="00DA3BC7">
          <w:rPr>
            <w:rFonts w:ascii="Times New Roman" w:hAnsi="Times New Roman"/>
            <w:noProof/>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84" w:history="1">
        <w:r w:rsidR="004F4714" w:rsidRPr="00DA3BC7">
          <w:rPr>
            <w:rStyle w:val="af1"/>
            <w:rFonts w:ascii="Times New Roman" w:hAnsi="Times New Roman"/>
            <w:noProof/>
          </w:rPr>
          <w:t>第五節、無言之秘</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_Toc405499784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235</w:t>
        </w:r>
        <w:r w:rsidRPr="00DA3BC7">
          <w:rPr>
            <w:rFonts w:ascii="Times New Roman" w:hAnsi="Times New Roman"/>
            <w:noProof/>
            <w:webHidden/>
          </w:rPr>
          <w:fldChar w:fldCharType="end"/>
        </w:r>
      </w:hyperlink>
    </w:p>
    <w:p w:rsidR="004F4714" w:rsidRPr="00DA3BC7" w:rsidRDefault="00AE3920" w:rsidP="008E2BBC">
      <w:pPr>
        <w:pStyle w:val="16"/>
        <w:spacing w:before="144"/>
        <w:jc w:val="both"/>
        <w:rPr>
          <w:szCs w:val="22"/>
        </w:rPr>
      </w:pPr>
      <w:hyperlink w:anchor="_Toc405499785" w:history="1">
        <w:r w:rsidR="004F4714" w:rsidRPr="00DA3BC7">
          <w:rPr>
            <w:rStyle w:val="af1"/>
          </w:rPr>
          <w:t>第八章、中觀之諸法實相</w:t>
        </w:r>
        <w:r w:rsidR="004F4714" w:rsidRPr="00DA3BC7">
          <w:rPr>
            <w:webHidden/>
          </w:rPr>
          <w:tab/>
        </w:r>
        <w:r w:rsidRPr="00DA3BC7">
          <w:rPr>
            <w:webHidden/>
          </w:rPr>
          <w:fldChar w:fldCharType="begin"/>
        </w:r>
        <w:r w:rsidR="004F4714" w:rsidRPr="00DA3BC7">
          <w:rPr>
            <w:webHidden/>
          </w:rPr>
          <w:instrText xml:space="preserve"> PAGEREF _Toc405499785 \h </w:instrText>
        </w:r>
        <w:r w:rsidRPr="00DA3BC7">
          <w:rPr>
            <w:webHidden/>
          </w:rPr>
        </w:r>
        <w:r w:rsidRPr="00DA3BC7">
          <w:rPr>
            <w:webHidden/>
          </w:rPr>
          <w:fldChar w:fldCharType="separate"/>
        </w:r>
        <w:r w:rsidR="002B26CA">
          <w:rPr>
            <w:webHidden/>
          </w:rPr>
          <w:t>239</w:t>
        </w:r>
        <w:r w:rsidRPr="00DA3BC7">
          <w:rPr>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86" w:history="1">
        <w:r w:rsidR="004F4714" w:rsidRPr="00DA3BC7">
          <w:rPr>
            <w:rStyle w:val="af1"/>
            <w:rFonts w:ascii="Times New Roman" w:hAnsi="Times New Roman"/>
            <w:noProof/>
          </w:rPr>
          <w:t>第一節、總說</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_Toc405499786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239</w:t>
        </w:r>
        <w:r w:rsidRPr="00DA3BC7">
          <w:rPr>
            <w:rFonts w:ascii="Times New Roman" w:hAnsi="Times New Roman"/>
            <w:noProof/>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88" w:history="1">
        <w:r w:rsidR="004F4714" w:rsidRPr="00DA3BC7">
          <w:rPr>
            <w:rStyle w:val="af1"/>
            <w:rFonts w:ascii="Times New Roman" w:hAnsi="Times New Roman"/>
            <w:noProof/>
          </w:rPr>
          <w:t>第二節、性、相</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_Toc405499788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244</w:t>
        </w:r>
        <w:r w:rsidRPr="00DA3BC7">
          <w:rPr>
            <w:rFonts w:ascii="Times New Roman" w:hAnsi="Times New Roman"/>
            <w:noProof/>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90" w:history="1">
        <w:r w:rsidR="004F4714" w:rsidRPr="00DA3BC7">
          <w:rPr>
            <w:rStyle w:val="af1"/>
            <w:rFonts w:ascii="Times New Roman" w:hAnsi="Times New Roman"/>
            <w:noProof/>
          </w:rPr>
          <w:t>第三節、體、作、力</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_Toc405499790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265</w:t>
        </w:r>
        <w:r w:rsidRPr="00DA3BC7">
          <w:rPr>
            <w:rFonts w:ascii="Times New Roman" w:hAnsi="Times New Roman"/>
            <w:noProof/>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92" w:history="1">
        <w:r w:rsidR="004F4714" w:rsidRPr="00DA3BC7">
          <w:rPr>
            <w:rStyle w:val="af1"/>
            <w:rFonts w:ascii="Times New Roman" w:hAnsi="Times New Roman"/>
            <w:noProof/>
          </w:rPr>
          <w:t>第四節、因、緣、果、報</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_Toc405499792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272</w:t>
        </w:r>
        <w:r w:rsidRPr="00DA3BC7">
          <w:rPr>
            <w:rFonts w:ascii="Times New Roman" w:hAnsi="Times New Roman"/>
            <w:noProof/>
            <w:webHidden/>
          </w:rPr>
          <w:fldChar w:fldCharType="end"/>
        </w:r>
      </w:hyperlink>
    </w:p>
    <w:p w:rsidR="004F4714" w:rsidRPr="00DA3BC7" w:rsidRDefault="00AE3920" w:rsidP="008E2BBC">
      <w:pPr>
        <w:pStyle w:val="16"/>
        <w:spacing w:before="144"/>
        <w:jc w:val="both"/>
        <w:rPr>
          <w:szCs w:val="22"/>
        </w:rPr>
      </w:pPr>
      <w:hyperlink w:anchor="_Toc405499793" w:history="1">
        <w:r w:rsidR="004F4714" w:rsidRPr="00DA3BC7">
          <w:rPr>
            <w:rStyle w:val="af1"/>
          </w:rPr>
          <w:t>第九章、現象與實性之中道</w:t>
        </w:r>
        <w:r w:rsidR="004F4714" w:rsidRPr="00DA3BC7">
          <w:rPr>
            <w:webHidden/>
          </w:rPr>
          <w:tab/>
        </w:r>
        <w:r w:rsidRPr="00DA3BC7">
          <w:rPr>
            <w:webHidden/>
          </w:rPr>
          <w:fldChar w:fldCharType="begin"/>
        </w:r>
        <w:r w:rsidR="004F4714" w:rsidRPr="00DA3BC7">
          <w:rPr>
            <w:webHidden/>
          </w:rPr>
          <w:instrText xml:space="preserve"> PAGEREF _Toc405499793 \h </w:instrText>
        </w:r>
        <w:r w:rsidRPr="00DA3BC7">
          <w:rPr>
            <w:webHidden/>
          </w:rPr>
        </w:r>
        <w:r w:rsidRPr="00DA3BC7">
          <w:rPr>
            <w:webHidden/>
          </w:rPr>
          <w:fldChar w:fldCharType="separate"/>
        </w:r>
        <w:r w:rsidR="002B26CA">
          <w:rPr>
            <w:webHidden/>
          </w:rPr>
          <w:t>293</w:t>
        </w:r>
        <w:r w:rsidRPr="00DA3BC7">
          <w:rPr>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94" w:history="1">
        <w:r w:rsidR="004F4714" w:rsidRPr="00DA3BC7">
          <w:rPr>
            <w:rStyle w:val="af1"/>
            <w:rFonts w:ascii="Times New Roman" w:hAnsi="Times New Roman"/>
            <w:noProof/>
          </w:rPr>
          <w:t>第一節、太過、不及、中道</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_Toc405499794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293</w:t>
        </w:r>
        <w:r w:rsidRPr="00DA3BC7">
          <w:rPr>
            <w:rFonts w:ascii="Times New Roman" w:hAnsi="Times New Roman"/>
            <w:noProof/>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96" w:history="1">
        <w:r w:rsidR="004F4714" w:rsidRPr="00DA3BC7">
          <w:rPr>
            <w:rStyle w:val="af1"/>
            <w:rFonts w:ascii="Times New Roman" w:hAnsi="Times New Roman"/>
            <w:noProof/>
          </w:rPr>
          <w:t>第二節、即、離、中道</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_Toc405499796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309</w:t>
        </w:r>
        <w:r w:rsidRPr="00DA3BC7">
          <w:rPr>
            <w:rFonts w:ascii="Times New Roman" w:hAnsi="Times New Roman"/>
            <w:noProof/>
            <w:webHidden/>
          </w:rPr>
          <w:fldChar w:fldCharType="end"/>
        </w:r>
      </w:hyperlink>
    </w:p>
    <w:p w:rsidR="004F4714" w:rsidRPr="00DA3BC7" w:rsidRDefault="00AE3920" w:rsidP="008E2BBC">
      <w:pPr>
        <w:pStyle w:val="16"/>
        <w:spacing w:before="144"/>
        <w:jc w:val="both"/>
        <w:rPr>
          <w:szCs w:val="22"/>
        </w:rPr>
      </w:pPr>
      <w:hyperlink w:anchor="_Toc405499797" w:history="1">
        <w:r w:rsidR="004F4714" w:rsidRPr="00DA3BC7">
          <w:rPr>
            <w:rStyle w:val="af1"/>
          </w:rPr>
          <w:t>第十章、談二諦</w:t>
        </w:r>
        <w:r w:rsidR="004F4714" w:rsidRPr="00DA3BC7">
          <w:rPr>
            <w:webHidden/>
          </w:rPr>
          <w:tab/>
        </w:r>
        <w:r w:rsidRPr="00DA3BC7">
          <w:rPr>
            <w:webHidden/>
          </w:rPr>
          <w:fldChar w:fldCharType="begin"/>
        </w:r>
        <w:r w:rsidR="004F4714" w:rsidRPr="00DA3BC7">
          <w:rPr>
            <w:webHidden/>
          </w:rPr>
          <w:instrText xml:space="preserve"> PAGEREF _Toc405499797 \h </w:instrText>
        </w:r>
        <w:r w:rsidRPr="00DA3BC7">
          <w:rPr>
            <w:webHidden/>
          </w:rPr>
        </w:r>
        <w:r w:rsidRPr="00DA3BC7">
          <w:rPr>
            <w:webHidden/>
          </w:rPr>
          <w:fldChar w:fldCharType="separate"/>
        </w:r>
        <w:r w:rsidR="002B26CA">
          <w:rPr>
            <w:webHidden/>
          </w:rPr>
          <w:t>323</w:t>
        </w:r>
        <w:r w:rsidRPr="00DA3BC7">
          <w:rPr>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798" w:history="1">
        <w:r w:rsidR="004F4714" w:rsidRPr="00DA3BC7">
          <w:rPr>
            <w:rStyle w:val="af1"/>
            <w:rFonts w:ascii="Times New Roman" w:hAnsi="Times New Roman"/>
            <w:noProof/>
          </w:rPr>
          <w:t>第一節、總說</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_Toc405499798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323</w:t>
        </w:r>
        <w:r w:rsidRPr="00DA3BC7">
          <w:rPr>
            <w:rFonts w:ascii="Times New Roman" w:hAnsi="Times New Roman"/>
            <w:noProof/>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800" w:history="1">
        <w:r w:rsidR="004F4714" w:rsidRPr="00DA3BC7">
          <w:rPr>
            <w:rStyle w:val="af1"/>
            <w:rFonts w:ascii="Times New Roman" w:hAnsi="Times New Roman"/>
            <w:noProof/>
          </w:rPr>
          <w:t>第二節、二諦之安立</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_Toc405499800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332</w:t>
        </w:r>
        <w:r w:rsidRPr="00DA3BC7">
          <w:rPr>
            <w:rFonts w:ascii="Times New Roman" w:hAnsi="Times New Roman"/>
            <w:noProof/>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802" w:history="1">
        <w:r w:rsidR="004F4714" w:rsidRPr="00DA3BC7">
          <w:rPr>
            <w:rStyle w:val="af1"/>
            <w:rFonts w:ascii="Times New Roman" w:hAnsi="Times New Roman"/>
            <w:noProof/>
          </w:rPr>
          <w:t>第三節、二諦之抉擇</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_Toc405499802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346</w:t>
        </w:r>
        <w:r w:rsidRPr="00DA3BC7">
          <w:rPr>
            <w:rFonts w:ascii="Times New Roman" w:hAnsi="Times New Roman"/>
            <w:noProof/>
            <w:webHidden/>
          </w:rPr>
          <w:fldChar w:fldCharType="end"/>
        </w:r>
      </w:hyperlink>
    </w:p>
    <w:p w:rsidR="004F4714" w:rsidRPr="00DA3BC7" w:rsidRDefault="00AE3920" w:rsidP="008E2BBC">
      <w:pPr>
        <w:pStyle w:val="16"/>
        <w:spacing w:before="144"/>
        <w:jc w:val="both"/>
        <w:rPr>
          <w:szCs w:val="22"/>
        </w:rPr>
      </w:pPr>
      <w:hyperlink w:anchor="_Toc405499803" w:history="1">
        <w:r w:rsidR="004F4714" w:rsidRPr="00DA3BC7">
          <w:rPr>
            <w:rStyle w:val="af1"/>
          </w:rPr>
          <w:t>第十一章、中道之實踐</w:t>
        </w:r>
        <w:r w:rsidR="004F4714" w:rsidRPr="00DA3BC7">
          <w:rPr>
            <w:webHidden/>
          </w:rPr>
          <w:tab/>
        </w:r>
        <w:r w:rsidRPr="00DA3BC7">
          <w:rPr>
            <w:webHidden/>
          </w:rPr>
          <w:fldChar w:fldCharType="begin"/>
        </w:r>
        <w:r w:rsidR="004F4714" w:rsidRPr="00DA3BC7">
          <w:rPr>
            <w:webHidden/>
          </w:rPr>
          <w:instrText xml:space="preserve"> PAGEREF _Toc405499803 \h </w:instrText>
        </w:r>
        <w:r w:rsidRPr="00DA3BC7">
          <w:rPr>
            <w:webHidden/>
          </w:rPr>
        </w:r>
        <w:r w:rsidRPr="00DA3BC7">
          <w:rPr>
            <w:webHidden/>
          </w:rPr>
          <w:fldChar w:fldCharType="separate"/>
        </w:r>
        <w:r w:rsidR="002B26CA">
          <w:rPr>
            <w:webHidden/>
          </w:rPr>
          <w:t>360</w:t>
        </w:r>
        <w:r w:rsidRPr="00DA3BC7">
          <w:rPr>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804" w:history="1">
        <w:r w:rsidR="004F4714" w:rsidRPr="00DA3BC7">
          <w:rPr>
            <w:rStyle w:val="af1"/>
            <w:rFonts w:ascii="Times New Roman" w:hAnsi="Times New Roman"/>
            <w:noProof/>
          </w:rPr>
          <w:t>第一節、頓漸與偏圓</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_Toc405499804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360</w:t>
        </w:r>
        <w:r w:rsidRPr="00DA3BC7">
          <w:rPr>
            <w:rFonts w:ascii="Times New Roman" w:hAnsi="Times New Roman"/>
            <w:noProof/>
            <w:webHidden/>
          </w:rPr>
          <w:fldChar w:fldCharType="end"/>
        </w:r>
      </w:hyperlink>
    </w:p>
    <w:p w:rsidR="004F4714" w:rsidRPr="00DA3BC7" w:rsidRDefault="00AE3920" w:rsidP="008E2BBC">
      <w:pPr>
        <w:pStyle w:val="26"/>
        <w:tabs>
          <w:tab w:val="right" w:leader="dot" w:pos="7927"/>
        </w:tabs>
        <w:jc w:val="both"/>
        <w:rPr>
          <w:rFonts w:ascii="Times New Roman" w:hAnsi="Times New Roman"/>
          <w:noProof/>
          <w:szCs w:val="22"/>
        </w:rPr>
      </w:pPr>
      <w:hyperlink w:anchor="_Toc405499806" w:history="1">
        <w:r w:rsidR="004F4714" w:rsidRPr="00DA3BC7">
          <w:rPr>
            <w:rStyle w:val="af1"/>
            <w:rFonts w:ascii="Times New Roman" w:hAnsi="Times New Roman"/>
            <w:noProof/>
          </w:rPr>
          <w:t>第二節、緣起空有</w:t>
        </w:r>
        <w:r w:rsidR="004F4714" w:rsidRPr="00DA3BC7">
          <w:rPr>
            <w:rFonts w:ascii="Times New Roman" w:hAnsi="Times New Roman"/>
            <w:noProof/>
            <w:webHidden/>
          </w:rPr>
          <w:tab/>
        </w:r>
        <w:r w:rsidRPr="00DA3BC7">
          <w:rPr>
            <w:rFonts w:ascii="Times New Roman" w:hAnsi="Times New Roman"/>
            <w:noProof/>
            <w:webHidden/>
          </w:rPr>
          <w:fldChar w:fldCharType="begin"/>
        </w:r>
        <w:r w:rsidR="004F4714" w:rsidRPr="00DA3BC7">
          <w:rPr>
            <w:rFonts w:ascii="Times New Roman" w:hAnsi="Times New Roman"/>
            <w:noProof/>
            <w:webHidden/>
          </w:rPr>
          <w:instrText xml:space="preserve"> PAGEREF _Toc405499806 \h </w:instrText>
        </w:r>
        <w:r w:rsidRPr="00DA3BC7">
          <w:rPr>
            <w:rFonts w:ascii="Times New Roman" w:hAnsi="Times New Roman"/>
            <w:noProof/>
            <w:webHidden/>
          </w:rPr>
        </w:r>
        <w:r w:rsidRPr="00DA3BC7">
          <w:rPr>
            <w:rFonts w:ascii="Times New Roman" w:hAnsi="Times New Roman"/>
            <w:noProof/>
            <w:webHidden/>
          </w:rPr>
          <w:fldChar w:fldCharType="separate"/>
        </w:r>
        <w:r w:rsidR="002B26CA">
          <w:rPr>
            <w:rFonts w:ascii="Times New Roman" w:hAnsi="Times New Roman"/>
            <w:noProof/>
            <w:webHidden/>
          </w:rPr>
          <w:t>373</w:t>
        </w:r>
        <w:r w:rsidRPr="00DA3BC7">
          <w:rPr>
            <w:rFonts w:ascii="Times New Roman" w:hAnsi="Times New Roman"/>
            <w:noProof/>
            <w:webHidden/>
          </w:rPr>
          <w:fldChar w:fldCharType="end"/>
        </w:r>
      </w:hyperlink>
    </w:p>
    <w:p w:rsidR="004F4714" w:rsidRPr="00DA3BC7" w:rsidRDefault="00AE3920" w:rsidP="008E2BBC">
      <w:pPr>
        <w:pStyle w:val="16"/>
        <w:spacing w:before="144"/>
        <w:jc w:val="both"/>
        <w:rPr>
          <w:szCs w:val="22"/>
        </w:rPr>
      </w:pPr>
      <w:hyperlink w:anchor="_Toc405499807" w:history="1">
        <w:r w:rsidR="004F4714" w:rsidRPr="00DA3BC7">
          <w:rPr>
            <w:rStyle w:val="af1"/>
          </w:rPr>
          <w:t>第十二章、空宗與有宗</w:t>
        </w:r>
        <w:r w:rsidR="004F4714" w:rsidRPr="00DA3BC7">
          <w:rPr>
            <w:webHidden/>
          </w:rPr>
          <w:tab/>
        </w:r>
        <w:r w:rsidRPr="00DA3BC7">
          <w:rPr>
            <w:webHidden/>
          </w:rPr>
          <w:fldChar w:fldCharType="begin"/>
        </w:r>
        <w:r w:rsidR="004F4714" w:rsidRPr="00DA3BC7">
          <w:rPr>
            <w:webHidden/>
          </w:rPr>
          <w:instrText xml:space="preserve"> PAGEREF _Toc405499807 \h </w:instrText>
        </w:r>
        <w:r w:rsidRPr="00DA3BC7">
          <w:rPr>
            <w:webHidden/>
          </w:rPr>
        </w:r>
        <w:r w:rsidRPr="00DA3BC7">
          <w:rPr>
            <w:webHidden/>
          </w:rPr>
          <w:fldChar w:fldCharType="separate"/>
        </w:r>
        <w:r w:rsidR="002B26CA">
          <w:rPr>
            <w:webHidden/>
          </w:rPr>
          <w:t>397</w:t>
        </w:r>
        <w:r w:rsidRPr="00DA3BC7">
          <w:rPr>
            <w:webHidden/>
          </w:rPr>
          <w:fldChar w:fldCharType="end"/>
        </w:r>
      </w:hyperlink>
    </w:p>
    <w:p w:rsidR="0081605C" w:rsidRPr="00DA3BC7" w:rsidRDefault="00AE3920" w:rsidP="008E2BBC">
      <w:pPr>
        <w:jc w:val="both"/>
      </w:pPr>
      <w:r w:rsidRPr="00DA3BC7">
        <w:rPr>
          <w:rFonts w:ascii="Times New Roman" w:hAnsi="Times New Roman"/>
        </w:rPr>
        <w:fldChar w:fldCharType="end"/>
      </w:r>
    </w:p>
    <w:p w:rsidR="00C36CFD" w:rsidRPr="00DA3BC7" w:rsidRDefault="00C36CFD" w:rsidP="008E2BBC">
      <w:pPr>
        <w:jc w:val="center"/>
        <w:rPr>
          <w:rFonts w:ascii="標楷體" w:eastAsia="標楷體" w:hAnsi="標楷體"/>
          <w:b/>
          <w:sz w:val="44"/>
          <w:szCs w:val="44"/>
        </w:rPr>
        <w:sectPr w:rsidR="00C36CFD" w:rsidRPr="00DA3BC7" w:rsidSect="0081605C">
          <w:headerReference w:type="even" r:id="rId8"/>
          <w:headerReference w:type="default" r:id="rId9"/>
          <w:footerReference w:type="even" r:id="rId10"/>
          <w:footnotePr>
            <w:numRestart w:val="eachSect"/>
          </w:footnotePr>
          <w:pgSz w:w="10773" w:h="14742" w:code="9"/>
          <w:pgMar w:top="1418" w:right="1418" w:bottom="1418" w:left="1418" w:header="851" w:footer="992" w:gutter="0"/>
          <w:pgNumType w:fmt="upperRoman"/>
          <w:cols w:space="425"/>
          <w:docGrid w:type="lines" w:linePitch="360"/>
        </w:sectPr>
      </w:pPr>
    </w:p>
    <w:p w:rsidR="0081605C" w:rsidRPr="00DA3BC7" w:rsidRDefault="00520E44" w:rsidP="008E2BBC">
      <w:pPr>
        <w:jc w:val="center"/>
        <w:rPr>
          <w:rFonts w:ascii="標楷體" w:eastAsia="標楷體" w:hAnsi="標楷體"/>
          <w:b/>
          <w:sz w:val="44"/>
          <w:szCs w:val="44"/>
        </w:rPr>
      </w:pPr>
      <w:r w:rsidRPr="00DA3BC7">
        <w:rPr>
          <w:rFonts w:ascii="標楷體" w:eastAsia="標楷體" w:hAnsi="標楷體" w:hint="eastAsia"/>
          <w:b/>
          <w:sz w:val="44"/>
          <w:szCs w:val="44"/>
        </w:rPr>
        <w:lastRenderedPageBreak/>
        <w:t>《中觀今論講義》</w:t>
      </w:r>
    </w:p>
    <w:p w:rsidR="00520E44" w:rsidRPr="00DA3BC7" w:rsidRDefault="00520E44" w:rsidP="008E2BBC">
      <w:pPr>
        <w:pStyle w:val="1"/>
      </w:pPr>
      <w:bookmarkStart w:id="1" w:name="_Toc405499736"/>
      <w:r w:rsidRPr="00DA3BC7">
        <w:t>編輯緣起</w:t>
      </w:r>
      <w:bookmarkEnd w:id="1"/>
    </w:p>
    <w:p w:rsidR="00761EF3" w:rsidRPr="00DA3BC7" w:rsidRDefault="00761EF3" w:rsidP="008E2BBC">
      <w:pPr>
        <w:pStyle w:val="Author"/>
        <w:rPr>
          <w:szCs w:val="26"/>
        </w:rPr>
      </w:pPr>
      <w:r w:rsidRPr="00DA3BC7">
        <w:rPr>
          <w:szCs w:val="26"/>
        </w:rPr>
        <w:t>（</w:t>
      </w:r>
      <w:r w:rsidRPr="00DA3BC7">
        <w:t>釋厚觀</w:t>
      </w:r>
      <w:r w:rsidRPr="00DA3BC7">
        <w:rPr>
          <w:szCs w:val="26"/>
        </w:rPr>
        <w:t>）</w:t>
      </w:r>
    </w:p>
    <w:p w:rsidR="00310DBE" w:rsidRPr="00DA3BC7" w:rsidRDefault="00310DBE" w:rsidP="00AE3920">
      <w:pPr>
        <w:spacing w:beforeLines="50"/>
        <w:ind w:firstLineChars="200" w:firstLine="480"/>
        <w:jc w:val="both"/>
        <w:rPr>
          <w:rFonts w:ascii="Times New Roman" w:hAnsi="Times New Roman"/>
        </w:rPr>
      </w:pPr>
      <w:r w:rsidRPr="00DA3BC7">
        <w:rPr>
          <w:rFonts w:ascii="Times New Roman" w:hAnsi="Times New Roman" w:hint="eastAsia"/>
        </w:rPr>
        <w:t>《中觀今論》是印順導師（以下簡稱「導師」）於民國</w:t>
      </w:r>
      <w:r w:rsidRPr="00DA3BC7">
        <w:rPr>
          <w:rFonts w:ascii="Times New Roman" w:hAnsi="Times New Roman"/>
        </w:rPr>
        <w:t>36</w:t>
      </w:r>
      <w:r w:rsidRPr="00DA3BC7">
        <w:rPr>
          <w:rFonts w:ascii="Times New Roman" w:hAnsi="Times New Roman" w:hint="eastAsia"/>
        </w:rPr>
        <w:t>年（</w:t>
      </w:r>
      <w:r w:rsidRPr="00DA3BC7">
        <w:rPr>
          <w:rFonts w:ascii="Times New Roman" w:hAnsi="Times New Roman"/>
        </w:rPr>
        <w:t>1947</w:t>
      </w:r>
      <w:r w:rsidRPr="00DA3BC7">
        <w:rPr>
          <w:rFonts w:ascii="Times New Roman" w:hAnsi="Times New Roman" w:hint="eastAsia"/>
        </w:rPr>
        <w:t>年）在雪竇寺編纂《太虛大師全書》時，對續明法師、楊星森居士等人講說，並於民國</w:t>
      </w:r>
      <w:r w:rsidRPr="00DA3BC7">
        <w:rPr>
          <w:rFonts w:ascii="Times New Roman" w:hAnsi="Times New Roman"/>
        </w:rPr>
        <w:t>39</w:t>
      </w:r>
      <w:r w:rsidRPr="00DA3BC7">
        <w:rPr>
          <w:rFonts w:ascii="Times New Roman" w:hAnsi="Times New Roman" w:hint="eastAsia"/>
        </w:rPr>
        <w:t>年（</w:t>
      </w:r>
      <w:r w:rsidRPr="00DA3BC7">
        <w:rPr>
          <w:rFonts w:ascii="Times New Roman" w:hAnsi="Times New Roman"/>
        </w:rPr>
        <w:t>1950</w:t>
      </w:r>
      <w:r w:rsidRPr="00DA3BC7">
        <w:rPr>
          <w:rFonts w:ascii="Times New Roman" w:hAnsi="Times New Roman" w:hint="eastAsia"/>
        </w:rPr>
        <w:t>年）彙整出版。</w:t>
      </w:r>
    </w:p>
    <w:p w:rsidR="00310DBE" w:rsidRPr="00DA3BC7" w:rsidRDefault="00310DBE" w:rsidP="00AE3920">
      <w:pPr>
        <w:tabs>
          <w:tab w:val="left" w:pos="6300"/>
        </w:tabs>
        <w:spacing w:beforeLines="20"/>
        <w:ind w:firstLineChars="200" w:firstLine="480"/>
        <w:jc w:val="both"/>
        <w:rPr>
          <w:rFonts w:ascii="Times New Roman" w:hAnsi="Times New Roman"/>
        </w:rPr>
      </w:pPr>
      <w:r w:rsidRPr="00DA3BC7">
        <w:rPr>
          <w:rFonts w:ascii="Times New Roman" w:hAnsi="Times New Roman" w:hint="eastAsia"/>
        </w:rPr>
        <w:t>導師說，《中觀今論》是以《中論》為本，以《大智度論》為助，闡揚中觀思想與實踐的著作。龍樹菩薩的作品很多，主要分成兩類：一、深觀，最重要的代表作是《中論》；二、菩薩廣大行，主要有《大智度論》、《十住毘婆沙論》。要把這深觀與廣行兩類論典綜合起來，才成為完整的龍樹學。我在慧日講堂及福嚴推廣教育班講了</w:t>
      </w:r>
      <w:r w:rsidRPr="00DA3BC7">
        <w:rPr>
          <w:rFonts w:ascii="Times New Roman" w:hAnsi="Times New Roman"/>
        </w:rPr>
        <w:t>7</w:t>
      </w:r>
      <w:r w:rsidRPr="00DA3BC7">
        <w:rPr>
          <w:rFonts w:ascii="Times New Roman" w:hAnsi="Times New Roman" w:hint="eastAsia"/>
        </w:rPr>
        <w:t>年的《大智度論》後，接著講深觀的《中觀今論》，體悟更加深刻。</w:t>
      </w:r>
    </w:p>
    <w:p w:rsidR="00310DBE" w:rsidRPr="00DA3BC7" w:rsidRDefault="00310DBE" w:rsidP="00AE3920">
      <w:pPr>
        <w:spacing w:beforeLines="20"/>
        <w:ind w:firstLine="482"/>
        <w:rPr>
          <w:rFonts w:ascii="Times New Roman" w:hAnsi="Times New Roman"/>
        </w:rPr>
      </w:pPr>
      <w:r w:rsidRPr="00DA3BC7">
        <w:rPr>
          <w:rFonts w:ascii="Times New Roman" w:hAnsi="Times New Roman" w:hint="eastAsia"/>
        </w:rPr>
        <w:t>中國佛教長久以來受真常唯心思想的影響很深，加上《中論》義理艱深，不容易看得懂，即使想要研究，也不容易。雖然有三論宗吉藏大師的《中觀論疏》註解《中論》，但他受北方地論宗、南方攝論宗的影響不小，還融合了真常唯心的思想，已經不是單純的中觀了。而導師依《大智度論》等般若、中觀的經論來解說《中論》，更契合《中論》原意；且用現代的語體寫出來，為現代研究中觀的讀者帶來莫大的便利。如果想要深入中觀，《中觀今論》是一部很重要的參考書；另外還有《中觀論頌講記》、《性空學探源》、《般若經講記》、《空之探究》、《初期大乘佛教之起源與開展》（第十章〈般若波羅蜜法門〉）等相關著作，也非常值得參考。</w:t>
      </w:r>
    </w:p>
    <w:p w:rsidR="00310DBE" w:rsidRPr="00DA3BC7" w:rsidRDefault="00310DBE" w:rsidP="00AE3920">
      <w:pPr>
        <w:spacing w:beforeLines="20"/>
        <w:ind w:firstLine="482"/>
        <w:jc w:val="both"/>
        <w:rPr>
          <w:rFonts w:ascii="Times New Roman" w:hAnsi="Times New Roman"/>
        </w:rPr>
      </w:pPr>
      <w:r w:rsidRPr="00DA3BC7">
        <w:rPr>
          <w:rFonts w:ascii="Times New Roman" w:hAnsi="Times New Roman" w:hint="eastAsia"/>
        </w:rPr>
        <w:t>導師在《中觀今論》中提出了許多重要的觀念，值得我們深入思惟、體會，而導師寫作用詞一向精鍊，幾乎每個地方都是重點，在此僅略舉幾項，提供大家參考。</w:t>
      </w:r>
    </w:p>
    <w:p w:rsidR="00310DBE" w:rsidRPr="00DA3BC7" w:rsidRDefault="00310DBE" w:rsidP="00AE3920">
      <w:pPr>
        <w:spacing w:beforeLines="30"/>
        <w:ind w:left="480" w:hangingChars="200" w:hanging="480"/>
        <w:jc w:val="both"/>
        <w:rPr>
          <w:rFonts w:ascii="Times New Roman" w:hAnsi="Times New Roman"/>
          <w:b/>
        </w:rPr>
      </w:pPr>
      <w:r w:rsidRPr="00DA3BC7">
        <w:rPr>
          <w:rFonts w:ascii="Times New Roman" w:hAnsi="Times New Roman" w:hint="eastAsia"/>
          <w:b/>
        </w:rPr>
        <w:t>一、中觀學值得稱頌的精義：</w:t>
      </w:r>
    </w:p>
    <w:p w:rsidR="00310DBE" w:rsidRPr="00DA3BC7" w:rsidRDefault="00310DBE" w:rsidP="008E2BBC">
      <w:pPr>
        <w:ind w:firstLineChars="200" w:firstLine="480"/>
        <w:jc w:val="both"/>
        <w:rPr>
          <w:rFonts w:ascii="Times New Roman" w:hAnsi="Times New Roman"/>
        </w:rPr>
      </w:pPr>
      <w:r w:rsidRPr="00DA3BC7">
        <w:rPr>
          <w:rFonts w:ascii="Times New Roman" w:hAnsi="Times New Roman" w:hint="eastAsia"/>
        </w:rPr>
        <w:t>導師歸納中觀學值得稱頌的精義有幾點：（一）大小共貫，（二）真俗無礙，（三）悲智圓融，（四）空有融會。</w:t>
      </w:r>
    </w:p>
    <w:p w:rsidR="00310DBE" w:rsidRPr="00DA3BC7" w:rsidRDefault="00310DBE" w:rsidP="00AE3920">
      <w:pPr>
        <w:spacing w:beforeLines="20"/>
        <w:ind w:firstLineChars="200" w:firstLine="480"/>
        <w:jc w:val="both"/>
        <w:rPr>
          <w:rFonts w:ascii="Times New Roman" w:hAnsi="Times New Roman"/>
        </w:rPr>
      </w:pPr>
      <w:r w:rsidRPr="00DA3BC7">
        <w:rPr>
          <w:rFonts w:ascii="Times New Roman" w:hAnsi="Times New Roman" w:hint="eastAsia"/>
        </w:rPr>
        <w:t>導師特別留意大乘與聲聞之間的貫通，聲聞的正常道多說無常、無我，大乘則從空門入，多說不生不滅；但無我與空並非性質有什麼不同，生滅與不生滅其實是一，說有廣略，詳見第三章〈緣起之生滅與不生不滅〉。</w:t>
      </w:r>
    </w:p>
    <w:p w:rsidR="00310DBE" w:rsidRPr="00DA3BC7" w:rsidRDefault="00310DBE" w:rsidP="00AE3920">
      <w:pPr>
        <w:spacing w:beforeLines="30"/>
        <w:ind w:left="480" w:hangingChars="200" w:hanging="480"/>
        <w:jc w:val="both"/>
        <w:rPr>
          <w:rFonts w:ascii="Times New Roman" w:hAnsi="Times New Roman"/>
          <w:b/>
        </w:rPr>
      </w:pPr>
      <w:r w:rsidRPr="00DA3BC7">
        <w:rPr>
          <w:rFonts w:ascii="Times New Roman" w:hAnsi="Times New Roman" w:hint="eastAsia"/>
          <w:b/>
        </w:rPr>
        <w:lastRenderedPageBreak/>
        <w:t>二、立名《中論》的理由：</w:t>
      </w:r>
    </w:p>
    <w:p w:rsidR="00310DBE" w:rsidRPr="00DA3BC7" w:rsidRDefault="00310DBE" w:rsidP="008E2BBC">
      <w:pPr>
        <w:ind w:firstLineChars="200" w:firstLine="480"/>
        <w:jc w:val="both"/>
        <w:rPr>
          <w:rFonts w:ascii="Times New Roman" w:hAnsi="Times New Roman"/>
        </w:rPr>
      </w:pPr>
      <w:r w:rsidRPr="00DA3BC7">
        <w:rPr>
          <w:rFonts w:ascii="Times New Roman" w:hAnsi="Times New Roman" w:hint="eastAsia"/>
        </w:rPr>
        <w:t>龍樹闡揚一切法空，但其論著為什麼不稱為《空論》，卻稱作《中論》呢？原來，龍樹菩薩主張：緣起、空、中道是同一的，而更以不落兩邊的中道為宗極。這代表中道有很重要的意義，所以導師在第一章就先談「中道的內容」與「中道的意義」。</w:t>
      </w:r>
    </w:p>
    <w:p w:rsidR="00310DBE" w:rsidRPr="00DA3BC7" w:rsidRDefault="00310DBE" w:rsidP="00AE3920">
      <w:pPr>
        <w:spacing w:beforeLines="20"/>
        <w:ind w:leftChars="100" w:left="961" w:hangingChars="300" w:hanging="721"/>
        <w:jc w:val="both"/>
        <w:rPr>
          <w:rFonts w:ascii="Times New Roman" w:hAnsi="Times New Roman"/>
        </w:rPr>
      </w:pPr>
      <w:r w:rsidRPr="00DA3BC7">
        <w:rPr>
          <w:rFonts w:ascii="Times New Roman" w:hAnsi="Times New Roman" w:hint="eastAsia"/>
          <w:b/>
        </w:rPr>
        <w:t>（一）「中道的內容」：</w:t>
      </w:r>
      <w:r w:rsidRPr="00DA3BC7">
        <w:rPr>
          <w:rFonts w:ascii="Times New Roman" w:hAnsi="Times New Roman" w:hint="eastAsia"/>
        </w:rPr>
        <w:t>包含「行的中道」與「理的中道」。</w:t>
      </w:r>
    </w:p>
    <w:p w:rsidR="00310DBE" w:rsidRPr="00DA3BC7" w:rsidRDefault="00310DBE" w:rsidP="008E2BBC">
      <w:pPr>
        <w:ind w:leftChars="200" w:left="840" w:hangingChars="150" w:hanging="360"/>
        <w:jc w:val="both"/>
        <w:rPr>
          <w:rFonts w:ascii="Times New Roman" w:hAnsi="Times New Roman"/>
        </w:rPr>
      </w:pPr>
      <w:r w:rsidRPr="00DA3BC7">
        <w:rPr>
          <w:rFonts w:ascii="Times New Roman" w:hAnsi="Times New Roman"/>
        </w:rPr>
        <w:t>1</w:t>
      </w:r>
      <w:r w:rsidRPr="00DA3BC7">
        <w:rPr>
          <w:rFonts w:ascii="Times New Roman" w:hAnsi="Times New Roman" w:hint="eastAsia"/>
        </w:rPr>
        <w:t>、行的中道：不苦不樂的中道，即是以「智」為本的八正道。不偏於樂行、不偏於苦行，也不是折中，而是從正見為本的實踐中，不落於情本的苦樂二邊。</w:t>
      </w:r>
    </w:p>
    <w:p w:rsidR="00310DBE" w:rsidRPr="00DA3BC7" w:rsidRDefault="00310DBE" w:rsidP="00AE3920">
      <w:pPr>
        <w:spacing w:beforeLines="20"/>
        <w:ind w:leftChars="200" w:left="840" w:hangingChars="150" w:hanging="360"/>
        <w:jc w:val="both"/>
        <w:rPr>
          <w:rFonts w:ascii="Times New Roman" w:hAnsi="Times New Roman"/>
        </w:rPr>
      </w:pPr>
      <w:r w:rsidRPr="00DA3BC7">
        <w:rPr>
          <w:rFonts w:ascii="Times New Roman" w:hAnsi="Times New Roman"/>
        </w:rPr>
        <w:t>2</w:t>
      </w:r>
      <w:r w:rsidRPr="00DA3BC7">
        <w:rPr>
          <w:rFonts w:ascii="Times New Roman" w:hAnsi="Times New Roman" w:hint="eastAsia"/>
        </w:rPr>
        <w:t>、</w:t>
      </w:r>
      <w:r w:rsidRPr="00DA3BC7">
        <w:rPr>
          <w:rFonts w:ascii="Times New Roman" w:hAnsi="Times New Roman" w:hint="eastAsia"/>
          <w:spacing w:val="-4"/>
        </w:rPr>
        <w:t>理的中道：正觀緣起，離於二邊的八不中道</w:t>
      </w:r>
      <w:r w:rsidRPr="00DA3BC7">
        <w:rPr>
          <w:rFonts w:ascii="新細明體" w:hAnsi="新細明體" w:hint="eastAsia"/>
          <w:spacing w:val="-4"/>
        </w:rPr>
        <w:t>──</w:t>
      </w:r>
      <w:r w:rsidRPr="00DA3BC7">
        <w:rPr>
          <w:rFonts w:ascii="Times New Roman" w:hAnsi="Times New Roman" w:hint="eastAsia"/>
          <w:spacing w:val="-4"/>
        </w:rPr>
        <w:t>不生不滅、不常不斷、</w:t>
      </w:r>
      <w:r w:rsidRPr="00DA3BC7">
        <w:rPr>
          <w:rFonts w:ascii="Times New Roman" w:hAnsi="Times New Roman" w:hint="eastAsia"/>
        </w:rPr>
        <w:t>不一不異、不來不去。</w:t>
      </w:r>
    </w:p>
    <w:p w:rsidR="00310DBE" w:rsidRPr="00DA3BC7" w:rsidRDefault="00310DBE" w:rsidP="00AE3920">
      <w:pPr>
        <w:spacing w:beforeLines="20"/>
        <w:ind w:leftChars="100" w:left="240" w:firstLineChars="200" w:firstLine="480"/>
        <w:jc w:val="both"/>
        <w:rPr>
          <w:rFonts w:ascii="Times New Roman" w:hAnsi="Times New Roman"/>
        </w:rPr>
      </w:pPr>
      <w:r w:rsidRPr="00DA3BC7">
        <w:rPr>
          <w:rFonts w:ascii="Times New Roman" w:hAnsi="Times New Roman" w:hint="eastAsia"/>
        </w:rPr>
        <w:t>雖然有行的中道與理的中道，但是這只是相對的區分而已，事實上，「行的中道」要以正見為先導，所以在理上體悟正確是非常必要的。另外，體悟「理的中道」，是要斷除煩惱，除了利益自己，也要利益他人，所以悟理之外，也要實踐自利利他的正行，行與理相依相待，不可或缺。</w:t>
      </w:r>
    </w:p>
    <w:p w:rsidR="00310DBE" w:rsidRPr="00DA3BC7" w:rsidRDefault="00310DBE" w:rsidP="00AE3920">
      <w:pPr>
        <w:spacing w:beforeLines="20"/>
        <w:ind w:leftChars="100" w:left="961" w:hangingChars="300" w:hanging="721"/>
        <w:jc w:val="both"/>
        <w:rPr>
          <w:rFonts w:ascii="Times New Roman" w:hAnsi="Times New Roman"/>
        </w:rPr>
      </w:pPr>
      <w:r w:rsidRPr="00DA3BC7">
        <w:rPr>
          <w:rFonts w:ascii="Times New Roman" w:hAnsi="Times New Roman" w:hint="eastAsia"/>
          <w:b/>
        </w:rPr>
        <w:t>（二）「中道的意義」：</w:t>
      </w:r>
      <w:r w:rsidRPr="00DA3BC7">
        <w:rPr>
          <w:rFonts w:ascii="Times New Roman" w:hAnsi="Times New Roman" w:hint="eastAsia"/>
        </w:rPr>
        <w:t>一、中實，即是如實、實相；二、中正，即圓滿正確。</w:t>
      </w:r>
    </w:p>
    <w:p w:rsidR="00310DBE" w:rsidRPr="00DA3BC7" w:rsidRDefault="00310DBE" w:rsidP="008E2BBC">
      <w:pPr>
        <w:ind w:leftChars="100" w:left="240" w:firstLineChars="200" w:firstLine="480"/>
        <w:jc w:val="both"/>
        <w:rPr>
          <w:rFonts w:ascii="Times New Roman" w:hAnsi="Times New Roman"/>
        </w:rPr>
      </w:pPr>
      <w:r w:rsidRPr="00DA3BC7">
        <w:rPr>
          <w:rFonts w:ascii="Times New Roman" w:hAnsi="Times New Roman" w:hint="eastAsia"/>
        </w:rPr>
        <w:t>龍樹的中道論可用二句話來說明：「宗歸一實，教申二諦」。「宗」就是體證，「教」就是用語言文字表達出來以教化眾生。</w:t>
      </w:r>
    </w:p>
    <w:p w:rsidR="00310DBE" w:rsidRPr="00DA3BC7" w:rsidRDefault="00310DBE" w:rsidP="00AE3920">
      <w:pPr>
        <w:spacing w:beforeLines="20"/>
        <w:ind w:leftChars="200" w:left="840" w:hangingChars="150" w:hanging="360"/>
        <w:jc w:val="both"/>
        <w:rPr>
          <w:rFonts w:ascii="Times New Roman" w:hAnsi="Times New Roman"/>
        </w:rPr>
      </w:pPr>
      <w:r w:rsidRPr="00DA3BC7">
        <w:rPr>
          <w:rFonts w:ascii="Times New Roman" w:hAnsi="Times New Roman"/>
        </w:rPr>
        <w:t>1</w:t>
      </w:r>
      <w:r w:rsidRPr="00DA3BC7">
        <w:rPr>
          <w:rFonts w:ascii="Times New Roman" w:hAnsi="Times New Roman" w:hint="eastAsia"/>
        </w:rPr>
        <w:t>、「宗歸一實」：中實。要體證實相，必須把握兩個重點：（</w:t>
      </w:r>
      <w:r w:rsidRPr="00DA3BC7">
        <w:rPr>
          <w:rFonts w:ascii="Times New Roman" w:hAnsi="Times New Roman"/>
        </w:rPr>
        <w:t>1</w:t>
      </w:r>
      <w:r w:rsidRPr="00DA3BC7">
        <w:rPr>
          <w:rFonts w:ascii="Times New Roman" w:hAnsi="Times New Roman" w:hint="eastAsia"/>
        </w:rPr>
        <w:t>）不取著名相，不要落入語言種種的戲論；（</w:t>
      </w:r>
      <w:r w:rsidRPr="00DA3BC7">
        <w:rPr>
          <w:rFonts w:ascii="Times New Roman" w:hAnsi="Times New Roman"/>
        </w:rPr>
        <w:t>2</w:t>
      </w:r>
      <w:r w:rsidRPr="00DA3BC7">
        <w:rPr>
          <w:rFonts w:ascii="Times New Roman" w:hAnsi="Times New Roman" w:hint="eastAsia"/>
        </w:rPr>
        <w:t>）不落於對待</w:t>
      </w:r>
      <w:r w:rsidRPr="00DA3BC7">
        <w:rPr>
          <w:rFonts w:ascii="新細明體" w:hAnsi="新細明體" w:hint="eastAsia"/>
        </w:rPr>
        <w:t>──</w:t>
      </w:r>
      <w:r w:rsidRPr="00DA3BC7">
        <w:rPr>
          <w:rFonts w:ascii="Times New Roman" w:hAnsi="Times New Roman" w:hint="eastAsia"/>
        </w:rPr>
        <w:t>常斷、一異、能所的對待。</w:t>
      </w:r>
    </w:p>
    <w:p w:rsidR="00310DBE" w:rsidRPr="00DA3BC7" w:rsidRDefault="00310DBE" w:rsidP="00AE3920">
      <w:pPr>
        <w:spacing w:beforeLines="20"/>
        <w:ind w:leftChars="200" w:left="840" w:hangingChars="150" w:hanging="360"/>
        <w:jc w:val="both"/>
        <w:rPr>
          <w:rFonts w:ascii="Times New Roman" w:hAnsi="Times New Roman"/>
        </w:rPr>
      </w:pPr>
      <w:r w:rsidRPr="00DA3BC7">
        <w:rPr>
          <w:rFonts w:ascii="Times New Roman" w:hAnsi="Times New Roman"/>
        </w:rPr>
        <w:t>2</w:t>
      </w:r>
      <w:r w:rsidRPr="00DA3BC7">
        <w:rPr>
          <w:rFonts w:ascii="Times New Roman" w:hAnsi="Times New Roman" w:hint="eastAsia"/>
        </w:rPr>
        <w:t>、「教申二諦」：中正。因為實相是心行處滅、言語道斷，一般凡夫不瞭解實相，所以佛陀從證出教，依世俗諦與勝義諦為眾生說法，希望眾生能綜貫性相、空有，進而體悟中道。</w:t>
      </w:r>
    </w:p>
    <w:p w:rsidR="00310DBE" w:rsidRPr="00DA3BC7" w:rsidRDefault="00310DBE" w:rsidP="00AE3920">
      <w:pPr>
        <w:spacing w:beforeLines="30"/>
        <w:ind w:left="480" w:hangingChars="200" w:hanging="480"/>
        <w:jc w:val="both"/>
        <w:rPr>
          <w:rFonts w:ascii="Times New Roman" w:hAnsi="Times New Roman"/>
          <w:b/>
        </w:rPr>
      </w:pPr>
      <w:r w:rsidRPr="00DA3BC7">
        <w:rPr>
          <w:rFonts w:ascii="Times New Roman" w:hAnsi="Times New Roman" w:hint="eastAsia"/>
          <w:b/>
        </w:rPr>
        <w:t>三、龍樹只談「八不」的理由及其次第：</w:t>
      </w:r>
    </w:p>
    <w:p w:rsidR="00310DBE" w:rsidRPr="00DA3BC7" w:rsidRDefault="00310DBE" w:rsidP="008E2BBC">
      <w:pPr>
        <w:ind w:firstLineChars="200" w:firstLine="480"/>
        <w:jc w:val="both"/>
        <w:rPr>
          <w:rFonts w:ascii="Times New Roman" w:hAnsi="Times New Roman"/>
        </w:rPr>
      </w:pPr>
      <w:r w:rsidRPr="00DA3BC7">
        <w:rPr>
          <w:rFonts w:ascii="Times New Roman" w:hAnsi="Times New Roman" w:hint="eastAsia"/>
        </w:rPr>
        <w:t>龍樹以八不（不生不滅、不常不斷、不一不異、不來不去）來否定眾生一切的執著。眾生的執著很多，為什麼只有取這「四對八不」？為什麼依這樣的次第來說八不？</w:t>
      </w:r>
    </w:p>
    <w:p w:rsidR="00310DBE" w:rsidRPr="00DA3BC7" w:rsidRDefault="00310DBE" w:rsidP="00AE3920">
      <w:pPr>
        <w:spacing w:beforeLines="20"/>
        <w:ind w:firstLineChars="200" w:firstLine="480"/>
        <w:jc w:val="both"/>
        <w:rPr>
          <w:rFonts w:ascii="Times New Roman" w:hAnsi="Times New Roman"/>
        </w:rPr>
      </w:pPr>
      <w:r w:rsidRPr="00DA3BC7">
        <w:rPr>
          <w:rFonts w:ascii="Times New Roman" w:hAnsi="Times New Roman" w:hint="eastAsia"/>
        </w:rPr>
        <w:t>導師的解說非常善巧，「生滅」、「常斷」、「一異」、「來去」分別與「法體」、「時間」、「空間」、「運動」有關。所以，即使只有「四對八不」，其實幾乎已</w:t>
      </w:r>
      <w:r w:rsidRPr="00DA3BC7">
        <w:rPr>
          <w:rFonts w:ascii="Times New Roman" w:hAnsi="Times New Roman" w:hint="eastAsia"/>
        </w:rPr>
        <w:lastRenderedPageBreak/>
        <w:t>經包含了一切法，龍樹以這「八不」就可以破除一切的執著。</w:t>
      </w:r>
    </w:p>
    <w:p w:rsidR="00310DBE" w:rsidRPr="00DA3BC7" w:rsidRDefault="00310DBE" w:rsidP="00AE3920">
      <w:pPr>
        <w:spacing w:beforeLines="20"/>
        <w:ind w:firstLineChars="200" w:firstLine="480"/>
        <w:jc w:val="both"/>
        <w:rPr>
          <w:rFonts w:ascii="Times New Roman" w:hAnsi="Times New Roman"/>
        </w:rPr>
      </w:pPr>
      <w:r w:rsidRPr="00DA3BC7">
        <w:rPr>
          <w:rFonts w:ascii="Times New Roman" w:hAnsi="Times New Roman" w:hint="eastAsia"/>
        </w:rPr>
        <w:t>雖然在解說上有「法體」、「時間」、「空間」、「運動」之次第，但是在理上是不可分割的，不是說先有時間，再有空間。因此是「說有次第，理非前後」，如順世間的意見說，不妨說有「生滅、常斷、一異、來去」這樣的次第。</w:t>
      </w:r>
    </w:p>
    <w:p w:rsidR="00310DBE" w:rsidRPr="00DA3BC7" w:rsidRDefault="00310DBE" w:rsidP="00AE3920">
      <w:pPr>
        <w:spacing w:beforeLines="20"/>
        <w:ind w:firstLineChars="200" w:firstLine="480"/>
        <w:jc w:val="both"/>
        <w:rPr>
          <w:rFonts w:ascii="Times New Roman" w:hAnsi="Times New Roman"/>
        </w:rPr>
      </w:pPr>
      <w:r w:rsidRPr="00DA3BC7">
        <w:rPr>
          <w:rFonts w:ascii="Times New Roman" w:hAnsi="Times New Roman" w:hint="eastAsia"/>
        </w:rPr>
        <w:t>關於此論題，詳見第六章〈八不〉及第七章〈有、時、空、動〉。</w:t>
      </w:r>
    </w:p>
    <w:p w:rsidR="00310DBE" w:rsidRPr="00DA3BC7" w:rsidRDefault="00310DBE" w:rsidP="00AE3920">
      <w:pPr>
        <w:spacing w:beforeLines="30"/>
        <w:ind w:left="480" w:hangingChars="200" w:hanging="480"/>
        <w:jc w:val="both"/>
        <w:rPr>
          <w:rFonts w:ascii="Times New Roman" w:hAnsi="Times New Roman"/>
          <w:b/>
        </w:rPr>
      </w:pPr>
      <w:r w:rsidRPr="00DA3BC7">
        <w:rPr>
          <w:rFonts w:ascii="Times New Roman" w:hAnsi="Times New Roman" w:hint="eastAsia"/>
          <w:b/>
        </w:rPr>
        <w:t>四、二諦空有：</w:t>
      </w:r>
    </w:p>
    <w:p w:rsidR="00310DBE" w:rsidRPr="00DA3BC7" w:rsidRDefault="00310DBE" w:rsidP="008E2BBC">
      <w:pPr>
        <w:ind w:firstLineChars="200" w:firstLine="480"/>
        <w:jc w:val="both"/>
        <w:rPr>
          <w:rFonts w:ascii="Times New Roman" w:hAnsi="Times New Roman"/>
          <w:kern w:val="0"/>
        </w:rPr>
      </w:pPr>
      <w:r w:rsidRPr="00DA3BC7">
        <w:rPr>
          <w:rFonts w:ascii="Times New Roman" w:hAnsi="Times New Roman" w:hint="eastAsia"/>
          <w:kern w:val="0"/>
        </w:rPr>
        <w:t>《中論》說：「</w:t>
      </w:r>
      <w:r w:rsidRPr="00DA3BC7">
        <w:rPr>
          <w:rFonts w:ascii="Times New Roman" w:eastAsia="標楷體" w:hAnsi="Times New Roman" w:hint="eastAsia"/>
          <w:kern w:val="0"/>
        </w:rPr>
        <w:t>諸佛依二諦，為眾生說法，一以世俗諦，二第一義諦。」</w:t>
      </w:r>
      <w:r w:rsidRPr="00DA3BC7">
        <w:rPr>
          <w:rFonts w:ascii="Times New Roman" w:hAnsi="Times New Roman" w:hint="eastAsia"/>
          <w:kern w:val="0"/>
        </w:rPr>
        <w:t>第一義諦即是勝義諦，就是聖者特勝的無漏無分別智所覺證的境界。凡夫的情執只知有世俗，而不知有勝義；聖者則通達勝義，而又善巧世俗。</w:t>
      </w:r>
    </w:p>
    <w:p w:rsidR="00310DBE" w:rsidRPr="00DA3BC7" w:rsidRDefault="00310DBE" w:rsidP="00AE3920">
      <w:pPr>
        <w:spacing w:beforeLines="20"/>
        <w:ind w:firstLineChars="200" w:firstLine="480"/>
        <w:jc w:val="both"/>
        <w:rPr>
          <w:rFonts w:ascii="Times New Roman" w:hAnsi="Times New Roman"/>
        </w:rPr>
      </w:pPr>
      <w:r w:rsidRPr="00DA3BC7">
        <w:rPr>
          <w:rFonts w:ascii="Times New Roman" w:hAnsi="Times New Roman" w:hint="eastAsia"/>
        </w:rPr>
        <w:t>勝義諦又分成「狹義的勝義諦」和「廣義的勝義諦」。</w:t>
      </w:r>
    </w:p>
    <w:p w:rsidR="00310DBE" w:rsidRPr="00DA3BC7" w:rsidRDefault="00310DBE" w:rsidP="00AE3920">
      <w:pPr>
        <w:spacing w:beforeLines="20"/>
        <w:ind w:firstLineChars="200" w:firstLine="480"/>
        <w:jc w:val="both"/>
        <w:rPr>
          <w:rFonts w:ascii="Times New Roman" w:hAnsi="Times New Roman"/>
        </w:rPr>
      </w:pPr>
      <w:r w:rsidRPr="00DA3BC7">
        <w:rPr>
          <w:rFonts w:ascii="Times New Roman" w:hAnsi="Times New Roman" w:hint="eastAsia"/>
        </w:rPr>
        <w:t>「狹諦的勝義諦」就是「空性」；「廣義的勝義諦」包含「空性」及「如幻緣生」。</w:t>
      </w:r>
    </w:p>
    <w:p w:rsidR="00310DBE" w:rsidRPr="00DA3BC7" w:rsidRDefault="00310DBE" w:rsidP="00AE3920">
      <w:pPr>
        <w:spacing w:beforeLines="20"/>
        <w:ind w:firstLineChars="200" w:firstLine="480"/>
        <w:jc w:val="both"/>
        <w:rPr>
          <w:rFonts w:ascii="Times New Roman" w:hAnsi="Times New Roman"/>
        </w:rPr>
      </w:pPr>
      <w:r w:rsidRPr="00DA3BC7">
        <w:rPr>
          <w:rFonts w:ascii="Times New Roman" w:hAnsi="Times New Roman" w:hint="eastAsia"/>
        </w:rPr>
        <w:t>一提到「勝義諦」，我們或許會聯想到聖者體悟的空性，但其實聖者體悟的境界不只是「空性」而已，也能通達「一切緣起如幻假名有」。因此，導師在第八章特別討論到〈中觀之諸法實相〉，舉《法華經》所說「</w:t>
      </w:r>
      <w:r w:rsidRPr="00DA3BC7">
        <w:rPr>
          <w:rFonts w:ascii="Times New Roman" w:eastAsia="標楷體" w:hAnsi="Times New Roman" w:hint="eastAsia"/>
        </w:rPr>
        <w:t>唯佛與佛乃能究盡諸法實相，所謂諸法如是相、如是性、如是體、如是力、如是作、如是因、如是緣、如是果、如是報、如是本末究竟等</w:t>
      </w:r>
      <w:r w:rsidRPr="00DA3BC7">
        <w:rPr>
          <w:rFonts w:ascii="Times New Roman" w:hAnsi="Times New Roman" w:hint="eastAsia"/>
        </w:rPr>
        <w:t>」，說明聖者體悟的實相不只是空而已，還包括性、相、體、力、作、因、緣、果、報、本末究竟等。</w:t>
      </w:r>
    </w:p>
    <w:p w:rsidR="00310DBE" w:rsidRPr="00DA3BC7" w:rsidRDefault="00310DBE" w:rsidP="00AE3920">
      <w:pPr>
        <w:spacing w:beforeLines="20"/>
        <w:ind w:firstLineChars="200" w:firstLine="480"/>
        <w:jc w:val="both"/>
        <w:rPr>
          <w:rFonts w:ascii="Times New Roman" w:hAnsi="Times New Roman"/>
        </w:rPr>
      </w:pPr>
      <w:r w:rsidRPr="00DA3BC7">
        <w:rPr>
          <w:rFonts w:ascii="Times New Roman" w:hAnsi="Times New Roman" w:hint="eastAsia"/>
        </w:rPr>
        <w:t>所以我們修學中觀時，不能只偏重於「性空」，也應通達「因、緣、果、報」等「緣起如幻有」才行。</w:t>
      </w:r>
    </w:p>
    <w:p w:rsidR="00310DBE" w:rsidRPr="00DA3BC7" w:rsidRDefault="00310DBE" w:rsidP="00AE3920">
      <w:pPr>
        <w:spacing w:beforeLines="20"/>
        <w:ind w:firstLineChars="200" w:firstLine="480"/>
        <w:jc w:val="both"/>
        <w:rPr>
          <w:rFonts w:ascii="Times New Roman" w:hAnsi="Times New Roman"/>
        </w:rPr>
      </w:pPr>
      <w:r w:rsidRPr="00DA3BC7">
        <w:rPr>
          <w:rFonts w:ascii="Times New Roman" w:hAnsi="Times New Roman" w:hint="eastAsia"/>
        </w:rPr>
        <w:t>另外，導師引《般若經》「菩薩不共中道妙觀」，說明菩薩「體悟畢竟空寂，而不礙緣起有」，能「</w:t>
      </w:r>
      <w:r w:rsidRPr="00DA3BC7">
        <w:rPr>
          <w:rFonts w:ascii="Times New Roman" w:eastAsia="標楷體" w:hAnsi="Times New Roman" w:hint="eastAsia"/>
        </w:rPr>
        <w:t>不盡有為，不住無為</w:t>
      </w:r>
      <w:r w:rsidRPr="00DA3BC7">
        <w:rPr>
          <w:rFonts w:ascii="Times New Roman" w:hAnsi="Times New Roman" w:hint="eastAsia"/>
        </w:rPr>
        <w:t>」，這才是不共二乘的緣起。「</w:t>
      </w:r>
      <w:r w:rsidRPr="00DA3BC7">
        <w:rPr>
          <w:rFonts w:ascii="Times New Roman" w:eastAsia="標楷體" w:hAnsi="Times New Roman" w:hint="eastAsia"/>
        </w:rPr>
        <w:t>不盡有為，不住無為</w:t>
      </w:r>
      <w:r w:rsidRPr="00DA3BC7">
        <w:rPr>
          <w:rFonts w:ascii="Times New Roman" w:hAnsi="Times New Roman" w:hint="eastAsia"/>
        </w:rPr>
        <w:t>」出自《維摩經》，僧肇《注維摩詰經》說得好：「</w:t>
      </w:r>
      <w:r w:rsidRPr="00DA3BC7">
        <w:rPr>
          <w:rFonts w:ascii="Times New Roman" w:eastAsia="標楷體" w:hAnsi="Times New Roman" w:hint="eastAsia"/>
        </w:rPr>
        <w:t>有為雖偽，捨之則大業不成；無為雖實，住之則慧心不明。</w:t>
      </w:r>
      <w:r w:rsidRPr="00DA3BC7">
        <w:rPr>
          <w:rFonts w:ascii="Times New Roman" w:hAnsi="Times New Roman" w:hint="eastAsia"/>
        </w:rPr>
        <w:t>」</w:t>
      </w:r>
    </w:p>
    <w:p w:rsidR="00310DBE" w:rsidRPr="00DA3BC7" w:rsidRDefault="00310DBE" w:rsidP="00AE3920">
      <w:pPr>
        <w:spacing w:beforeLines="20"/>
        <w:ind w:firstLineChars="200" w:firstLine="480"/>
        <w:jc w:val="both"/>
        <w:rPr>
          <w:rFonts w:ascii="Times New Roman" w:hAnsi="Times New Roman"/>
        </w:rPr>
      </w:pPr>
      <w:r w:rsidRPr="00DA3BC7">
        <w:rPr>
          <w:rFonts w:ascii="Times New Roman" w:hAnsi="Times New Roman" w:hint="eastAsia"/>
        </w:rPr>
        <w:t>「</w:t>
      </w:r>
      <w:r w:rsidRPr="00DA3BC7">
        <w:rPr>
          <w:rFonts w:ascii="Times New Roman" w:eastAsia="標楷體" w:hAnsi="Times New Roman" w:hint="eastAsia"/>
        </w:rPr>
        <w:t>不盡有為</w:t>
      </w:r>
      <w:r w:rsidRPr="00DA3BC7">
        <w:rPr>
          <w:rFonts w:ascii="Times New Roman" w:hAnsi="Times New Roman" w:hint="eastAsia"/>
        </w:rPr>
        <w:t>」：這裡所說的「有為」是指一切有為的善法，菩薩不離大慈，不捨大悲，深發一切智心，教化眾生，終不厭倦，心無放逸，不失眾善。若菩薩捨棄這些有為善法，成佛的大業就不能成就。</w:t>
      </w:r>
    </w:p>
    <w:p w:rsidR="00310DBE" w:rsidRPr="00DA3BC7" w:rsidRDefault="00310DBE" w:rsidP="00AE3920">
      <w:pPr>
        <w:spacing w:beforeLines="20"/>
        <w:ind w:firstLineChars="200" w:firstLine="480"/>
        <w:jc w:val="both"/>
        <w:rPr>
          <w:rFonts w:ascii="Times New Roman" w:hAnsi="Times New Roman"/>
        </w:rPr>
      </w:pPr>
      <w:r w:rsidRPr="00DA3BC7">
        <w:rPr>
          <w:rFonts w:ascii="Times New Roman" w:eastAsia="標楷體" w:hAnsi="Times New Roman" w:hint="eastAsia"/>
        </w:rPr>
        <w:t>「不住無為」：</w:t>
      </w:r>
      <w:r w:rsidRPr="00DA3BC7">
        <w:rPr>
          <w:rFonts w:ascii="Times New Roman" w:hAnsi="Times New Roman" w:hint="eastAsia"/>
        </w:rPr>
        <w:t>菩薩雖修學空、無相、無願三解脫門，但不像二乘那樣急著入涅槃。無為雖然是真實，但是不能住著，若住著便慧心不明了。</w:t>
      </w:r>
    </w:p>
    <w:p w:rsidR="00110E14" w:rsidRDefault="00110E14" w:rsidP="00AE3920">
      <w:pPr>
        <w:spacing w:beforeLines="30"/>
        <w:ind w:left="480" w:hangingChars="200" w:hanging="480"/>
        <w:jc w:val="both"/>
        <w:rPr>
          <w:rFonts w:ascii="Times New Roman" w:hAnsi="Times New Roman"/>
          <w:b/>
        </w:rPr>
      </w:pPr>
    </w:p>
    <w:p w:rsidR="00310DBE" w:rsidRPr="00DA3BC7" w:rsidRDefault="00310DBE" w:rsidP="00AE3920">
      <w:pPr>
        <w:spacing w:beforeLines="30"/>
        <w:ind w:left="480" w:hangingChars="200" w:hanging="480"/>
        <w:jc w:val="both"/>
        <w:rPr>
          <w:rFonts w:ascii="Times New Roman" w:hAnsi="Times New Roman"/>
          <w:b/>
        </w:rPr>
      </w:pPr>
      <w:r w:rsidRPr="00DA3BC7">
        <w:rPr>
          <w:rFonts w:ascii="Times New Roman" w:hAnsi="Times New Roman" w:hint="eastAsia"/>
          <w:b/>
        </w:rPr>
        <w:lastRenderedPageBreak/>
        <w:t>五、悟入空性的前方便：</w:t>
      </w:r>
    </w:p>
    <w:p w:rsidR="00310DBE" w:rsidRPr="00DA3BC7" w:rsidRDefault="00310DBE" w:rsidP="008E2BBC">
      <w:pPr>
        <w:ind w:firstLineChars="200" w:firstLine="480"/>
        <w:jc w:val="both"/>
        <w:rPr>
          <w:rFonts w:ascii="Times New Roman" w:hAnsi="Times New Roman"/>
        </w:rPr>
      </w:pPr>
      <w:r w:rsidRPr="00DA3BC7">
        <w:rPr>
          <w:rFonts w:ascii="Times New Roman" w:hAnsi="Times New Roman" w:hint="eastAsia"/>
        </w:rPr>
        <w:t>龍樹所說的「空」不是指「什麼都沒有」，而是依「緣起無自性」來談「空」。「我」，或者「自性」有三個定義：（一）實在性、主宰性，（二）不變性，（三）獨一性。諸法由眾因緣和合而起，否定了實在性、不變性、獨一性，這樣的緣起無自性，我們稱它為「空」，並非是斷滅的空無。</w:t>
      </w:r>
    </w:p>
    <w:p w:rsidR="00310DBE" w:rsidRPr="00DA3BC7" w:rsidRDefault="00310DBE" w:rsidP="00AE3920">
      <w:pPr>
        <w:spacing w:beforeLines="20"/>
        <w:ind w:firstLineChars="200" w:firstLine="480"/>
        <w:jc w:val="both"/>
        <w:rPr>
          <w:rFonts w:ascii="Times New Roman" w:hAnsi="Times New Roman"/>
        </w:rPr>
      </w:pPr>
      <w:r w:rsidRPr="00DA3BC7">
        <w:rPr>
          <w:rFonts w:ascii="Times New Roman" w:hAnsi="Times New Roman" w:hint="eastAsia"/>
        </w:rPr>
        <w:t>因此，要悟入空性，必先信解因果，具備「空有無礙的正見」，並以戒行為基礎，才能契入空性，而又不廢福德與智慧的種種事行。如《大智度論》卷</w:t>
      </w:r>
      <w:r w:rsidRPr="00DA3BC7">
        <w:rPr>
          <w:rFonts w:ascii="Times New Roman" w:hAnsi="Times New Roman"/>
        </w:rPr>
        <w:t>18</w:t>
      </w:r>
      <w:r w:rsidR="00B16A72" w:rsidRPr="00DA3BC7">
        <w:rPr>
          <w:rFonts w:ascii="Times New Roman" w:hAnsi="Times New Roman" w:hint="eastAsia"/>
        </w:rPr>
        <w:t>（大正</w:t>
      </w:r>
      <w:r w:rsidR="00B16A72" w:rsidRPr="00DA3BC7">
        <w:rPr>
          <w:rFonts w:ascii="Times New Roman" w:hAnsi="Times New Roman"/>
        </w:rPr>
        <w:t>25</w:t>
      </w:r>
      <w:r w:rsidR="00B16A72" w:rsidRPr="00DA3BC7">
        <w:rPr>
          <w:rFonts w:ascii="Times New Roman" w:hAnsi="Times New Roman" w:hint="eastAsia"/>
        </w:rPr>
        <w:t>，</w:t>
      </w:r>
      <w:r w:rsidR="00B16A72" w:rsidRPr="00DA3BC7">
        <w:rPr>
          <w:rFonts w:ascii="Times New Roman" w:hAnsi="Times New Roman"/>
        </w:rPr>
        <w:t>194a15-25</w:t>
      </w:r>
      <w:r w:rsidR="00B16A72" w:rsidRPr="00DA3BC7">
        <w:rPr>
          <w:rFonts w:ascii="Times New Roman" w:hAnsi="Times New Roman" w:hint="eastAsia"/>
        </w:rPr>
        <w:t>）</w:t>
      </w:r>
      <w:r w:rsidRPr="00DA3BC7">
        <w:rPr>
          <w:rFonts w:ascii="Times New Roman" w:hAnsi="Times New Roman" w:hint="eastAsia"/>
        </w:rPr>
        <w:t>說：</w:t>
      </w:r>
    </w:p>
    <w:p w:rsidR="00310DBE" w:rsidRPr="00DA3BC7" w:rsidRDefault="00310DBE" w:rsidP="00AE3920">
      <w:pPr>
        <w:pStyle w:val="a5"/>
        <w:snapToGrid/>
        <w:spacing w:beforeLines="20"/>
        <w:ind w:leftChars="300" w:left="720"/>
        <w:jc w:val="both"/>
        <w:rPr>
          <w:sz w:val="24"/>
          <w:szCs w:val="24"/>
        </w:rPr>
      </w:pPr>
      <w:r w:rsidRPr="00DA3BC7">
        <w:rPr>
          <w:rFonts w:eastAsia="標楷體" w:hint="eastAsia"/>
          <w:sz w:val="24"/>
          <w:szCs w:val="24"/>
        </w:rPr>
        <w:t>觀真空人，先有無量布施、持戒、禪定，其心柔軟，諸結使薄，然後得真空；邪見中無此事，但欲以憶想分別邪心取空。</w:t>
      </w:r>
      <w:r w:rsidRPr="00DA3BC7">
        <w:rPr>
          <w:rFonts w:ascii="標楷體" w:eastAsia="標楷體" w:hAnsi="標楷體" w:hint="eastAsia"/>
          <w:sz w:val="24"/>
          <w:szCs w:val="24"/>
        </w:rPr>
        <w:t>……</w:t>
      </w:r>
      <w:r w:rsidRPr="00DA3BC7">
        <w:rPr>
          <w:rFonts w:eastAsia="標楷體" w:hint="eastAsia"/>
          <w:sz w:val="24"/>
          <w:szCs w:val="24"/>
        </w:rPr>
        <w:t>無智人聞空解脫門，不行諸功德，但欲得空，是為邪見，斷諸善根。</w:t>
      </w:r>
    </w:p>
    <w:p w:rsidR="00310DBE" w:rsidRPr="00DA3BC7" w:rsidRDefault="00310DBE" w:rsidP="00AE3920">
      <w:pPr>
        <w:spacing w:beforeLines="20"/>
        <w:ind w:firstLineChars="200" w:firstLine="480"/>
        <w:jc w:val="both"/>
        <w:rPr>
          <w:rFonts w:ascii="Times New Roman" w:hAnsi="Times New Roman"/>
        </w:rPr>
      </w:pPr>
      <w:r w:rsidRPr="00DA3BC7">
        <w:rPr>
          <w:rFonts w:ascii="Times New Roman" w:hAnsi="Times New Roman" w:hint="eastAsia"/>
        </w:rPr>
        <w:t>悟入空性的前方便，三乘共通的解脫道要以三增上學（增上戒學、增上定學、增上慧學）為資糧；大乘不共的菩提道則需要以三心（一切智智相應作意，大悲為上首，無所得空慧為方便）來修六度。</w:t>
      </w:r>
    </w:p>
    <w:p w:rsidR="00310DBE" w:rsidRPr="00DA3BC7" w:rsidRDefault="00310DBE" w:rsidP="00AE3920">
      <w:pPr>
        <w:spacing w:beforeLines="30"/>
        <w:ind w:left="480" w:hangingChars="200" w:hanging="480"/>
        <w:jc w:val="both"/>
        <w:rPr>
          <w:rFonts w:ascii="Times New Roman" w:hAnsi="Times New Roman"/>
          <w:b/>
        </w:rPr>
      </w:pPr>
      <w:r w:rsidRPr="00DA3BC7">
        <w:rPr>
          <w:rFonts w:ascii="Times New Roman" w:hAnsi="Times New Roman" w:hint="eastAsia"/>
          <w:b/>
        </w:rPr>
        <w:t>六、關於「聲聞道與菩薩道」、「漸修與頓悟」：</w:t>
      </w:r>
    </w:p>
    <w:p w:rsidR="00310DBE" w:rsidRPr="00DA3BC7" w:rsidRDefault="00310DBE" w:rsidP="008E2BBC">
      <w:pPr>
        <w:ind w:firstLineChars="200" w:firstLine="480"/>
        <w:jc w:val="both"/>
        <w:rPr>
          <w:rFonts w:ascii="Times New Roman" w:hAnsi="Times New Roman"/>
        </w:rPr>
      </w:pPr>
      <w:r w:rsidRPr="00DA3BC7">
        <w:rPr>
          <w:rFonts w:ascii="Times New Roman" w:hAnsi="Times New Roman" w:hint="eastAsia"/>
        </w:rPr>
        <w:t>本書不只是談深觀，也談到廣大的菩薩行；談如何修行時，也探討到頓悟與漸修的問題，詳見第十一章〈中道之實踐〉。</w:t>
      </w:r>
    </w:p>
    <w:p w:rsidR="00310DBE" w:rsidRPr="00DA3BC7" w:rsidRDefault="00310DBE" w:rsidP="00AE3920">
      <w:pPr>
        <w:spacing w:beforeLines="20"/>
        <w:ind w:firstLineChars="200" w:firstLine="480"/>
        <w:jc w:val="both"/>
        <w:rPr>
          <w:rFonts w:ascii="Times New Roman" w:hAnsi="Times New Roman"/>
        </w:rPr>
      </w:pPr>
      <w:r w:rsidRPr="00DA3BC7">
        <w:rPr>
          <w:rFonts w:ascii="Times New Roman" w:hAnsi="Times New Roman" w:hint="eastAsia"/>
        </w:rPr>
        <w:t>聲聞的正常道：直接觀無我、無我所，重要的是把握諸法共相，特別是三法印</w:t>
      </w:r>
      <w:r w:rsidRPr="00DA3BC7">
        <w:rPr>
          <w:rFonts w:ascii="新細明體" w:hAnsi="新細明體" w:hint="eastAsia"/>
        </w:rPr>
        <w:t>──</w:t>
      </w:r>
      <w:r w:rsidRPr="00DA3BC7">
        <w:rPr>
          <w:rFonts w:ascii="Times New Roman" w:hAnsi="Times New Roman" w:hint="eastAsia"/>
        </w:rPr>
        <w:t>諸行無常、諸法無我、悟入涅槃寂靜。</w:t>
      </w:r>
    </w:p>
    <w:p w:rsidR="00310DBE" w:rsidRPr="00DA3BC7" w:rsidRDefault="00310DBE" w:rsidP="00AE3920">
      <w:pPr>
        <w:spacing w:beforeLines="20"/>
        <w:ind w:firstLineChars="200" w:firstLine="480"/>
        <w:jc w:val="both"/>
        <w:rPr>
          <w:rFonts w:ascii="Times New Roman" w:hAnsi="Times New Roman"/>
        </w:rPr>
      </w:pPr>
      <w:r w:rsidRPr="00DA3BC7">
        <w:rPr>
          <w:rFonts w:ascii="Times New Roman" w:hAnsi="Times New Roman" w:hint="eastAsia"/>
        </w:rPr>
        <w:t>大乘的菩薩道：從漸修到頓悟，再從頓悟到圓修。如無著菩薩金剛杵的譬喻</w:t>
      </w:r>
      <w:r w:rsidRPr="00DA3BC7">
        <w:rPr>
          <w:rFonts w:ascii="新細明體" w:hAnsi="新細明體" w:hint="eastAsia"/>
        </w:rPr>
        <w:t>──</w:t>
      </w:r>
      <w:r w:rsidRPr="00DA3BC7">
        <w:rPr>
          <w:rFonts w:ascii="Times New Roman" w:hAnsi="Times New Roman" w:hint="eastAsia"/>
        </w:rPr>
        <w:t>首尾粗，中間狹。菩薩發心開始修學的時候，親近善知識、聽聞正法、信解因果、廣觀世間一切法空，並以慈悲心作利他事。大乘的不共慧，約事相方面，除生死世間的因緣果報、身心現象，還有菩薩行為、佛果功德等等，都是它的觀境。勝解世間一切法空之後，還要收攝到無我、無我所，真實獲證徹悟空性，才又起方便</w:t>
      </w:r>
      <w:r w:rsidRPr="00DA3BC7">
        <w:rPr>
          <w:rFonts w:ascii="新細明體" w:hAnsi="新細明體" w:hint="eastAsia"/>
        </w:rPr>
        <w:t>──</w:t>
      </w:r>
      <w:r w:rsidRPr="00DA3BC7">
        <w:rPr>
          <w:rFonts w:ascii="Times New Roman" w:hAnsi="Times New Roman" w:hint="eastAsia"/>
        </w:rPr>
        <w:t>後得智，廣觀無邊境相，又廣度眾生，嚴淨佛土。</w:t>
      </w:r>
    </w:p>
    <w:p w:rsidR="00310DBE" w:rsidRPr="00DA3BC7" w:rsidRDefault="00310DBE" w:rsidP="00AE3920">
      <w:pPr>
        <w:spacing w:beforeLines="30"/>
        <w:ind w:left="480" w:hangingChars="200" w:hanging="480"/>
        <w:jc w:val="both"/>
        <w:rPr>
          <w:rFonts w:ascii="Times New Roman" w:hAnsi="Times New Roman"/>
          <w:b/>
        </w:rPr>
      </w:pPr>
      <w:r w:rsidRPr="00DA3BC7">
        <w:rPr>
          <w:rFonts w:ascii="Times New Roman" w:hAnsi="Times New Roman" w:hint="eastAsia"/>
          <w:b/>
        </w:rPr>
        <w:t>七、空宗與有宗：</w:t>
      </w:r>
    </w:p>
    <w:p w:rsidR="00310DBE" w:rsidRPr="00DA3BC7" w:rsidRDefault="00310DBE" w:rsidP="008E2BBC">
      <w:pPr>
        <w:ind w:firstLineChars="200" w:firstLine="480"/>
        <w:jc w:val="both"/>
        <w:rPr>
          <w:rFonts w:ascii="Times New Roman" w:hAnsi="Times New Roman"/>
        </w:rPr>
      </w:pPr>
      <w:r w:rsidRPr="00DA3BC7">
        <w:rPr>
          <w:rFonts w:ascii="Times New Roman" w:hAnsi="Times New Roman" w:hint="eastAsia"/>
        </w:rPr>
        <w:t>空宗除了講空也講有，有宗除了講有也講空，既然空宗、有空都講有，都講空，為什麼會有空宗、有宗的不同呢？</w:t>
      </w:r>
    </w:p>
    <w:p w:rsidR="00310DBE" w:rsidRPr="00DA3BC7" w:rsidRDefault="00310DBE" w:rsidP="00AE3920">
      <w:pPr>
        <w:keepNext/>
        <w:spacing w:beforeLines="20"/>
        <w:ind w:leftChars="200" w:left="480"/>
        <w:jc w:val="both"/>
        <w:rPr>
          <w:rFonts w:ascii="Times New Roman" w:hAnsi="Times New Roman"/>
        </w:rPr>
      </w:pPr>
      <w:r w:rsidRPr="00DA3BC7">
        <w:rPr>
          <w:rFonts w:ascii="Times New Roman" w:hAnsi="Times New Roman" w:hint="eastAsia"/>
        </w:rPr>
        <w:t>導師很明確地指出空宗、有空的不同，應注意兩點：</w:t>
      </w:r>
    </w:p>
    <w:p w:rsidR="00310DBE" w:rsidRPr="00DA3BC7" w:rsidRDefault="00310DBE" w:rsidP="00AE3920">
      <w:pPr>
        <w:spacing w:beforeLines="20"/>
        <w:ind w:leftChars="100" w:left="961" w:hangingChars="300" w:hanging="721"/>
        <w:jc w:val="both"/>
        <w:rPr>
          <w:rFonts w:ascii="Times New Roman" w:hAnsi="Times New Roman"/>
          <w:b/>
        </w:rPr>
      </w:pPr>
      <w:r w:rsidRPr="00DA3BC7">
        <w:rPr>
          <w:rFonts w:ascii="Times New Roman" w:hAnsi="Times New Roman" w:hint="eastAsia"/>
          <w:b/>
        </w:rPr>
        <w:t>（一）歸宿點不同：</w:t>
      </w:r>
    </w:p>
    <w:p w:rsidR="00310DBE" w:rsidRPr="00DA3BC7" w:rsidRDefault="00310DBE" w:rsidP="008E2BBC">
      <w:pPr>
        <w:snapToGrid w:val="0"/>
        <w:ind w:leftChars="100" w:left="240" w:firstLineChars="200" w:firstLine="480"/>
        <w:jc w:val="both"/>
        <w:rPr>
          <w:rFonts w:ascii="Times New Roman" w:hAnsi="Times New Roman"/>
        </w:rPr>
      </w:pPr>
      <w:r w:rsidRPr="00DA3BC7">
        <w:rPr>
          <w:rFonts w:ascii="Times New Roman" w:hAnsi="Times New Roman" w:hint="eastAsia"/>
        </w:rPr>
        <w:lastRenderedPageBreak/>
        <w:t>以一切法畢竟空為究竟了義的，才是空宗；如果認為一切法空是不了義，主張一部分空，還有一部分不空，那就是有宗了。在因果依存的現象論上，「假必依實」是有宗；「</w:t>
      </w:r>
      <w:r w:rsidRPr="00200AF9">
        <w:rPr>
          <w:rFonts w:ascii="標楷體" w:eastAsia="標楷體" w:hAnsi="標楷體" w:hint="eastAsia"/>
        </w:rPr>
        <w:t>以有空義故，一切法得成</w:t>
      </w:r>
      <w:r w:rsidRPr="00DA3BC7">
        <w:rPr>
          <w:rFonts w:ascii="Times New Roman" w:hAnsi="Times New Roman" w:hint="eastAsia"/>
        </w:rPr>
        <w:t>」是空宗。關於這個問題，詳見第十二章〈空宗與有宗〉。</w:t>
      </w:r>
    </w:p>
    <w:p w:rsidR="00310DBE" w:rsidRPr="00DA3BC7" w:rsidRDefault="00310DBE" w:rsidP="00AE3920">
      <w:pPr>
        <w:spacing w:beforeLines="20"/>
        <w:ind w:leftChars="100" w:left="961" w:hangingChars="300" w:hanging="721"/>
        <w:jc w:val="both"/>
        <w:rPr>
          <w:rFonts w:ascii="Times New Roman" w:hAnsi="Times New Roman"/>
          <w:b/>
        </w:rPr>
      </w:pPr>
      <w:r w:rsidRPr="00DA3BC7">
        <w:rPr>
          <w:rFonts w:ascii="Times New Roman" w:hAnsi="Times New Roman" w:hint="eastAsia"/>
          <w:b/>
        </w:rPr>
        <w:t>（二）觀空的方法不同：</w:t>
      </w:r>
    </w:p>
    <w:p w:rsidR="00310DBE" w:rsidRPr="00DA3BC7" w:rsidRDefault="00310DBE" w:rsidP="008E2BBC">
      <w:pPr>
        <w:snapToGrid w:val="0"/>
        <w:ind w:leftChars="100" w:left="240" w:firstLineChars="200" w:firstLine="480"/>
        <w:jc w:val="both"/>
        <w:rPr>
          <w:rFonts w:ascii="Times New Roman" w:hAnsi="Times New Roman"/>
        </w:rPr>
      </w:pPr>
      <w:r w:rsidRPr="00DA3BC7">
        <w:rPr>
          <w:rFonts w:ascii="Times New Roman" w:hAnsi="Times New Roman" w:hint="eastAsia"/>
        </w:rPr>
        <w:t>凡主張「他空」</w:t>
      </w:r>
      <w:r w:rsidRPr="00DA3BC7">
        <w:rPr>
          <w:rFonts w:ascii="新細明體" w:hAnsi="新細明體" w:hint="eastAsia"/>
        </w:rPr>
        <w:t>──</w:t>
      </w:r>
      <w:r w:rsidRPr="00DA3BC7">
        <w:rPr>
          <w:rFonts w:ascii="Times New Roman" w:hAnsi="Times New Roman" w:hint="eastAsia"/>
        </w:rPr>
        <w:t>以「此法是空，餘法不空」為立論原則，就是主張空者不有、有者不空的，雖說空而歸結到有，是有宗。如《中阿含</w:t>
      </w:r>
      <w:r w:rsidRPr="00DA3BC7">
        <w:rPr>
          <w:rFonts w:ascii="新細明體" w:hAnsi="新細明體" w:cs="新細明體" w:hint="eastAsia"/>
        </w:rPr>
        <w:t>‧</w:t>
      </w:r>
      <w:r w:rsidRPr="00DA3BC7">
        <w:rPr>
          <w:rFonts w:ascii="Times New Roman" w:hAnsi="Times New Roman" w:hint="eastAsia"/>
        </w:rPr>
        <w:t>小空經》所說，鹿子母講堂裡面沒有牛、羊，依沒有牛、羊說空，但鹿子母講堂本身並沒有空，這是「他空」。</w:t>
      </w:r>
    </w:p>
    <w:p w:rsidR="00310DBE" w:rsidRPr="00DA3BC7" w:rsidRDefault="00310DBE" w:rsidP="00AE3920">
      <w:pPr>
        <w:snapToGrid w:val="0"/>
        <w:spacing w:beforeLines="20"/>
        <w:ind w:leftChars="100" w:left="240" w:firstLineChars="200" w:firstLine="480"/>
        <w:jc w:val="both"/>
        <w:rPr>
          <w:rFonts w:ascii="Times New Roman" w:hAnsi="Times New Roman"/>
        </w:rPr>
      </w:pPr>
      <w:r w:rsidRPr="00DA3BC7">
        <w:rPr>
          <w:rFonts w:ascii="Times New Roman" w:hAnsi="Times New Roman" w:hint="eastAsia"/>
        </w:rPr>
        <w:t>凡主張「自空」</w:t>
      </w:r>
      <w:r w:rsidRPr="00DA3BC7">
        <w:rPr>
          <w:rFonts w:ascii="新細明體" w:hAnsi="新細明體" w:hint="eastAsia"/>
        </w:rPr>
        <w:t>──</w:t>
      </w:r>
      <w:r w:rsidRPr="00DA3BC7">
        <w:rPr>
          <w:rFonts w:ascii="Times New Roman" w:hAnsi="Times New Roman" w:hint="eastAsia"/>
        </w:rPr>
        <w:t>以「此法有故，此法即空」為立論原則，就是有而即空，空而即有的，雖說有而歸結到空，是空宗。在法的當體說它無自性，是空，這是「自空」。</w:t>
      </w:r>
    </w:p>
    <w:p w:rsidR="00310DBE" w:rsidRPr="00DA3BC7" w:rsidRDefault="00310DBE" w:rsidP="00AE3920">
      <w:pPr>
        <w:snapToGrid w:val="0"/>
        <w:spacing w:beforeLines="20"/>
        <w:ind w:leftChars="100" w:left="240" w:firstLineChars="200" w:firstLine="480"/>
        <w:jc w:val="both"/>
        <w:rPr>
          <w:rFonts w:ascii="Times New Roman" w:hAnsi="Times New Roman"/>
        </w:rPr>
      </w:pPr>
      <w:r w:rsidRPr="00DA3BC7">
        <w:rPr>
          <w:rFonts w:ascii="Times New Roman" w:hAnsi="Times New Roman" w:hint="eastAsia"/>
        </w:rPr>
        <w:t>由於方法的不同，導致結果也不一樣，因此正確的方法非常重要。或許有人認為，用西洋的邏輯或因明就可以體悟中道的實相，導師明確地說「不行」，詳見第四章〈中道之方法論〉。</w:t>
      </w:r>
    </w:p>
    <w:p w:rsidR="00310DBE" w:rsidRPr="00DA3BC7" w:rsidRDefault="00310DBE" w:rsidP="00AE3920">
      <w:pPr>
        <w:spacing w:beforeLines="20"/>
        <w:ind w:firstLineChars="200" w:firstLine="480"/>
        <w:jc w:val="both"/>
        <w:rPr>
          <w:rFonts w:ascii="Times New Roman" w:hAnsi="Times New Roman"/>
        </w:rPr>
      </w:pPr>
      <w:r w:rsidRPr="00DA3BC7">
        <w:rPr>
          <w:rFonts w:ascii="Times New Roman" w:hAnsi="Times New Roman" w:hint="eastAsia"/>
        </w:rPr>
        <w:t>導師這本《中觀今論》雖然是在闡揚中觀、解說《中論》要義，但也常常比對印度、中國、西藏等宗義；在大乘三系方面，也經常比對性空唯名與虛妄唯識、真常唯心的不同，彰顯中觀的殊勝；此外，還常舉《阿含》與部派論書，比對大小乘之間的差異；談到時間觀、空間觀時，更提到外道乃至現代科學的看法。如此種種，可見導師學問的淵博。而導師則提醒我們：「</w:t>
      </w:r>
      <w:r w:rsidRPr="00DA3BC7">
        <w:rPr>
          <w:rFonts w:ascii="Times New Roman" w:eastAsia="標楷體" w:hAnsi="Times New Roman" w:hint="eastAsia"/>
        </w:rPr>
        <w:t>學問不厭廣博，而觀行要扼其關要。</w:t>
      </w:r>
      <w:r w:rsidRPr="00DA3BC7">
        <w:rPr>
          <w:rFonts w:ascii="Times New Roman" w:hAnsi="Times New Roman" w:hint="eastAsia"/>
        </w:rPr>
        <w:t>」（《中觀論頌講記》，</w:t>
      </w:r>
      <w:r w:rsidRPr="00DA3BC7">
        <w:rPr>
          <w:rFonts w:ascii="Times New Roman" w:hAnsi="Times New Roman"/>
        </w:rPr>
        <w:t>p.312</w:t>
      </w:r>
      <w:r w:rsidRPr="00DA3BC7">
        <w:rPr>
          <w:rFonts w:ascii="Times New Roman" w:hAnsi="Times New Roman" w:hint="eastAsia"/>
        </w:rPr>
        <w:t>）</w:t>
      </w:r>
    </w:p>
    <w:p w:rsidR="00310DBE" w:rsidRPr="00DA3BC7" w:rsidRDefault="00310DBE" w:rsidP="00AE3920">
      <w:pPr>
        <w:spacing w:beforeLines="20"/>
        <w:ind w:firstLineChars="200" w:firstLine="480"/>
        <w:jc w:val="both"/>
        <w:rPr>
          <w:rFonts w:ascii="Times New Roman" w:hAnsi="Times New Roman"/>
        </w:rPr>
      </w:pPr>
      <w:r w:rsidRPr="00DA3BC7">
        <w:rPr>
          <w:rFonts w:ascii="Times New Roman" w:hAnsi="Times New Roman" w:hint="eastAsia"/>
        </w:rPr>
        <w:t>筆者從</w:t>
      </w:r>
      <w:r w:rsidRPr="00DA3BC7">
        <w:rPr>
          <w:rFonts w:ascii="Times New Roman" w:hAnsi="Times New Roman"/>
        </w:rPr>
        <w:t>2013</w:t>
      </w:r>
      <w:r w:rsidRPr="00DA3BC7">
        <w:rPr>
          <w:rFonts w:ascii="Times New Roman" w:hAnsi="Times New Roman" w:hint="eastAsia"/>
        </w:rPr>
        <w:t>年</w:t>
      </w:r>
      <w:r w:rsidRPr="00DA3BC7">
        <w:rPr>
          <w:rFonts w:ascii="Times New Roman" w:hAnsi="Times New Roman"/>
        </w:rPr>
        <w:t>9</w:t>
      </w:r>
      <w:r w:rsidRPr="00DA3BC7">
        <w:rPr>
          <w:rFonts w:ascii="Times New Roman" w:hAnsi="Times New Roman" w:hint="eastAsia"/>
        </w:rPr>
        <w:t>月起至</w:t>
      </w:r>
      <w:r w:rsidRPr="00DA3BC7">
        <w:rPr>
          <w:rFonts w:ascii="Times New Roman" w:hAnsi="Times New Roman"/>
        </w:rPr>
        <w:t>2014</w:t>
      </w:r>
      <w:r w:rsidRPr="00DA3BC7">
        <w:rPr>
          <w:rFonts w:ascii="Times New Roman" w:hAnsi="Times New Roman" w:hint="eastAsia"/>
        </w:rPr>
        <w:t>年</w:t>
      </w:r>
      <w:r w:rsidRPr="00DA3BC7">
        <w:rPr>
          <w:rFonts w:ascii="Times New Roman" w:hAnsi="Times New Roman"/>
        </w:rPr>
        <w:t>12</w:t>
      </w:r>
      <w:r w:rsidRPr="00DA3BC7">
        <w:rPr>
          <w:rFonts w:ascii="Times New Roman" w:hAnsi="Times New Roman" w:hint="eastAsia"/>
        </w:rPr>
        <w:t>月止，於福嚴推廣教育班講授《中觀今論》課程，為了講授的方便，除了增補《中觀今論》科判之外，並考察加註許多經論的出處，因而編輯了這本《中觀今論講義》。疏漏、錯誤之處在所難免，還望各位大德不吝指正！</w:t>
      </w:r>
    </w:p>
    <w:p w:rsidR="00310DBE" w:rsidRPr="00DA3BC7" w:rsidRDefault="00310DBE" w:rsidP="00AE3920">
      <w:pPr>
        <w:spacing w:beforeLines="20"/>
        <w:ind w:firstLineChars="200" w:firstLine="480"/>
        <w:jc w:val="both"/>
        <w:rPr>
          <w:rFonts w:ascii="Times New Roman" w:hAnsi="Times New Roman"/>
        </w:rPr>
      </w:pPr>
      <w:r w:rsidRPr="00DA3BC7">
        <w:rPr>
          <w:rFonts w:ascii="Times New Roman" w:hAnsi="Times New Roman" w:hint="eastAsia"/>
        </w:rPr>
        <w:t>有心研究的讀者們，也可搭配我講授的《中觀今論》</w:t>
      </w:r>
      <w:r w:rsidRPr="00DA3BC7">
        <w:rPr>
          <w:rFonts w:ascii="Times New Roman" w:hAnsi="Times New Roman"/>
        </w:rPr>
        <w:t>MP3</w:t>
      </w:r>
      <w:r w:rsidRPr="00DA3BC7">
        <w:rPr>
          <w:rFonts w:ascii="Times New Roman" w:hAnsi="Times New Roman" w:hint="eastAsia"/>
        </w:rPr>
        <w:t>研讀，相關檔案可到慧日講堂影音網站（</w:t>
      </w:r>
      <w:r w:rsidRPr="00DA3BC7">
        <w:rPr>
          <w:rFonts w:ascii="Times New Roman" w:hAnsi="Times New Roman"/>
        </w:rPr>
        <w:t>http://video.lwdh.org.tw/html/zgjl/zgjl02zgjl00.html</w:t>
      </w:r>
      <w:r w:rsidRPr="00DA3BC7">
        <w:rPr>
          <w:rFonts w:ascii="Times New Roman" w:hAnsi="Times New Roman" w:hint="eastAsia"/>
        </w:rPr>
        <w:t>）下載。</w:t>
      </w:r>
    </w:p>
    <w:p w:rsidR="00CE599D" w:rsidRDefault="00310DBE" w:rsidP="00AE3920">
      <w:pPr>
        <w:spacing w:beforeLines="50"/>
        <w:ind w:firstLineChars="200" w:firstLine="480"/>
        <w:jc w:val="right"/>
        <w:rPr>
          <w:rFonts w:ascii="Times New Roman" w:hAnsi="Times New Roman"/>
        </w:rPr>
      </w:pPr>
      <w:r w:rsidRPr="00DA3BC7">
        <w:rPr>
          <w:rFonts w:ascii="Times New Roman" w:hAnsi="Times New Roman"/>
        </w:rPr>
        <w:t>2014</w:t>
      </w:r>
      <w:r w:rsidRPr="00DA3BC7">
        <w:rPr>
          <w:rFonts w:ascii="Times New Roman" w:hAnsi="Times New Roman" w:hint="eastAsia"/>
        </w:rPr>
        <w:t>年</w:t>
      </w:r>
      <w:r w:rsidRPr="00DA3BC7">
        <w:rPr>
          <w:rFonts w:ascii="Times New Roman" w:hAnsi="Times New Roman"/>
        </w:rPr>
        <w:t>12</w:t>
      </w:r>
      <w:r w:rsidRPr="00DA3BC7">
        <w:rPr>
          <w:rFonts w:ascii="Times New Roman" w:hAnsi="Times New Roman" w:hint="eastAsia"/>
        </w:rPr>
        <w:t>月</w:t>
      </w:r>
      <w:r w:rsidRPr="00DA3BC7">
        <w:rPr>
          <w:rFonts w:ascii="Times New Roman" w:hAnsi="Times New Roman"/>
        </w:rPr>
        <w:t>8</w:t>
      </w:r>
      <w:r w:rsidRPr="00DA3BC7">
        <w:rPr>
          <w:rFonts w:ascii="Times New Roman" w:hAnsi="Times New Roman" w:hint="eastAsia"/>
        </w:rPr>
        <w:t>日，於福嚴佛學院</w:t>
      </w:r>
    </w:p>
    <w:p w:rsidR="00CE599D" w:rsidRDefault="00CE599D" w:rsidP="008E2BBC">
      <w:pPr>
        <w:widowControl/>
        <w:rPr>
          <w:rFonts w:ascii="Times New Roman" w:hAnsi="Times New Roman"/>
        </w:rPr>
      </w:pPr>
      <w:r>
        <w:rPr>
          <w:rFonts w:ascii="Times New Roman" w:hAnsi="Times New Roman"/>
        </w:rPr>
        <w:br w:type="page"/>
      </w:r>
    </w:p>
    <w:p w:rsidR="00761EF3" w:rsidRPr="00CE599D" w:rsidRDefault="00761EF3" w:rsidP="00AE3920">
      <w:pPr>
        <w:spacing w:beforeLines="50"/>
        <w:ind w:firstLineChars="200" w:firstLine="480"/>
        <w:jc w:val="right"/>
      </w:pPr>
    </w:p>
    <w:p w:rsidR="0081605C" w:rsidRPr="00DA3BC7" w:rsidRDefault="0081605C" w:rsidP="008E2BBC">
      <w:pPr>
        <w:jc w:val="both"/>
        <w:sectPr w:rsidR="0081605C" w:rsidRPr="00DA3BC7" w:rsidSect="0081605C">
          <w:headerReference w:type="even" r:id="rId11"/>
          <w:headerReference w:type="default" r:id="rId12"/>
          <w:footnotePr>
            <w:numRestart w:val="eachSect"/>
          </w:footnotePr>
          <w:pgSz w:w="10773" w:h="14742" w:code="9"/>
          <w:pgMar w:top="1418" w:right="1418" w:bottom="1418" w:left="1418" w:header="851" w:footer="992" w:gutter="0"/>
          <w:pgNumType w:fmt="upperRoman"/>
          <w:cols w:space="425"/>
          <w:docGrid w:type="lines" w:linePitch="360"/>
        </w:sectPr>
      </w:pPr>
    </w:p>
    <w:p w:rsidR="00AF0EEA" w:rsidRPr="00DA3BC7" w:rsidRDefault="00AF0EEA" w:rsidP="008E2BBC">
      <w:pPr>
        <w:pStyle w:val="1"/>
      </w:pPr>
      <w:bookmarkStart w:id="2" w:name="_Toc405499737"/>
      <w:r w:rsidRPr="00DA3BC7">
        <w:lastRenderedPageBreak/>
        <w:t>《中觀今論》</w:t>
      </w:r>
      <w:bookmarkEnd w:id="2"/>
    </w:p>
    <w:p w:rsidR="00AF0EEA" w:rsidRPr="00DA3BC7" w:rsidRDefault="00AF0EEA" w:rsidP="008E2BBC">
      <w:pPr>
        <w:pStyle w:val="2"/>
      </w:pPr>
      <w:bookmarkStart w:id="3" w:name="_Toc405287323"/>
      <w:bookmarkStart w:id="4" w:name="_Toc405287795"/>
      <w:bookmarkStart w:id="5" w:name="_Toc405499738"/>
      <w:r w:rsidRPr="00DA3BC7">
        <w:t>〈自序〉</w:t>
      </w:r>
      <w:bookmarkEnd w:id="3"/>
      <w:bookmarkEnd w:id="4"/>
      <w:bookmarkEnd w:id="5"/>
    </w:p>
    <w:p w:rsidR="00AF0EEA" w:rsidRPr="00DA3BC7" w:rsidRDefault="00AF0EEA" w:rsidP="008E2BBC">
      <w:pPr>
        <w:jc w:val="center"/>
        <w:rPr>
          <w:rFonts w:ascii="Times New Roman" w:eastAsia="標楷體" w:hAnsi="Times New Roman" w:cs="Times Ext Roman"/>
        </w:rPr>
      </w:pPr>
      <w:r w:rsidRPr="00DA3BC7">
        <w:rPr>
          <w:rFonts w:ascii="Times New Roman" w:eastAsia="標楷體" w:hAnsi="Times New Roman" w:cs="Times Ext Roman" w:hint="eastAsia"/>
        </w:rPr>
        <w:t>（</w:t>
      </w:r>
      <w:r w:rsidRPr="00DA3BC7">
        <w:rPr>
          <w:rFonts w:ascii="Times New Roman" w:eastAsia="標楷體" w:hAnsi="Times New Roman"/>
        </w:rPr>
        <w:t>pp.</w:t>
      </w:r>
      <w:r w:rsidR="00C831BF">
        <w:rPr>
          <w:rFonts w:ascii="Times New Roman" w:hAnsi="Times New Roman" w:cs="Times Ext Roman"/>
          <w:color w:val="FF0000"/>
          <w:sz w:val="20"/>
          <w:highlight w:val="yellow"/>
        </w:rPr>
        <w:t>a</w:t>
      </w:r>
      <w:r w:rsidRPr="00DA3BC7">
        <w:rPr>
          <w:rFonts w:ascii="Times New Roman" w:eastAsia="標楷體" w:hAnsi="Times New Roman"/>
        </w:rPr>
        <w:t>1-</w:t>
      </w:r>
      <w:r w:rsidR="00C831BF">
        <w:rPr>
          <w:rFonts w:ascii="Times New Roman" w:hAnsi="Times New Roman" w:cs="Times Ext Roman"/>
          <w:color w:val="FF0000"/>
          <w:sz w:val="20"/>
          <w:highlight w:val="yellow"/>
        </w:rPr>
        <w:t>a</w:t>
      </w:r>
      <w:r w:rsidRPr="00DA3BC7">
        <w:rPr>
          <w:rFonts w:ascii="Times New Roman" w:eastAsia="標楷體" w:hAnsi="Times New Roman"/>
        </w:rPr>
        <w:t>10</w:t>
      </w:r>
      <w:r w:rsidRPr="00DA3BC7">
        <w:rPr>
          <w:rFonts w:ascii="Times New Roman" w:eastAsia="標楷體" w:hAnsi="Times New Roman" w:cs="Times Ext Roman" w:hint="eastAsia"/>
        </w:rPr>
        <w:t>）</w:t>
      </w:r>
    </w:p>
    <w:p w:rsidR="00AF0EEA" w:rsidRPr="00DA3BC7" w:rsidRDefault="00AF0EEA" w:rsidP="008E2BBC">
      <w:pPr>
        <w:pStyle w:val="Author"/>
      </w:pPr>
    </w:p>
    <w:p w:rsidR="00AF0EEA" w:rsidRPr="00DA3BC7" w:rsidRDefault="00AF0EEA" w:rsidP="00AE3920">
      <w:pPr>
        <w:spacing w:beforeLines="50"/>
        <w:jc w:val="both"/>
        <w:rPr>
          <w:rFonts w:ascii="Times New Roman" w:hAnsi="Times New Roman" w:cs="Times Ext Roman"/>
          <w:sz w:val="20"/>
          <w:bdr w:val="single" w:sz="4" w:space="0" w:color="auto"/>
        </w:rPr>
      </w:pPr>
      <w:r w:rsidRPr="00DA3BC7">
        <w:rPr>
          <w:rFonts w:ascii="Times New Roman" w:hAnsi="Times New Roman" w:cs="Times Ext Roman" w:hint="eastAsia"/>
          <w:b/>
          <w:sz w:val="20"/>
          <w:bdr w:val="single" w:sz="4" w:space="0" w:color="auto"/>
        </w:rPr>
        <w:t>壹</w:t>
      </w:r>
      <w:r w:rsidRPr="00DA3BC7">
        <w:rPr>
          <w:rFonts w:ascii="Times New Roman" w:hAnsi="Times New Roman" w:cs="Times Ext Roman"/>
          <w:b/>
          <w:sz w:val="20"/>
          <w:bdr w:val="single" w:sz="4" w:space="0" w:color="auto"/>
        </w:rPr>
        <w:t>、《中觀</w:t>
      </w:r>
      <w:r w:rsidRPr="00DA3BC7">
        <w:rPr>
          <w:rStyle w:val="a6"/>
          <w:rFonts w:ascii="Times New Roman" w:hAnsi="Times New Roman" w:cs="Times Ext Roman"/>
          <w:bdr w:val="single" w:sz="4" w:space="0" w:color="auto"/>
        </w:rPr>
        <w:footnoteReference w:id="1"/>
      </w:r>
      <w:r w:rsidRPr="00DA3BC7">
        <w:rPr>
          <w:rFonts w:ascii="Times New Roman" w:hAnsi="Times New Roman" w:cs="Times Ext Roman"/>
          <w:b/>
          <w:sz w:val="20"/>
          <w:bdr w:val="single" w:sz="4" w:space="0" w:color="auto"/>
        </w:rPr>
        <w:t>今論》</w:t>
      </w:r>
      <w:r w:rsidR="00EF5E89" w:rsidRPr="00EF5E89">
        <w:rPr>
          <w:rFonts w:ascii="Times New Roman" w:hAnsi="Times New Roman" w:cs="Times Ext Roman" w:hint="eastAsia"/>
          <w:b/>
          <w:color w:val="FF0000"/>
          <w:sz w:val="20"/>
          <w:highlight w:val="yellow"/>
          <w:bdr w:val="single" w:sz="4" w:space="0" w:color="auto"/>
        </w:rPr>
        <w:t>撰</w:t>
      </w:r>
      <w:r w:rsidR="00EF5E89" w:rsidRPr="00EF5E89">
        <w:rPr>
          <w:rFonts w:ascii="Times New Roman" w:hAnsi="Times New Roman" w:cs="Times Ext Roman"/>
          <w:b/>
          <w:color w:val="FF0000"/>
          <w:sz w:val="20"/>
          <w:highlight w:val="yellow"/>
          <w:bdr w:val="single" w:sz="4" w:space="0" w:color="auto"/>
        </w:rPr>
        <w:t>寫</w:t>
      </w:r>
      <w:r w:rsidRPr="00EF5E89">
        <w:rPr>
          <w:rFonts w:ascii="Times New Roman" w:hAnsi="Times New Roman" w:cs="Times Ext Roman"/>
          <w:b/>
          <w:color w:val="FF0000"/>
          <w:sz w:val="20"/>
          <w:highlight w:val="yellow"/>
          <w:bdr w:val="single" w:sz="4" w:space="0" w:color="auto"/>
        </w:rPr>
        <w:t>的</w:t>
      </w:r>
      <w:r w:rsidR="00EF5E89" w:rsidRPr="00EF5E89">
        <w:rPr>
          <w:rFonts w:ascii="Times New Roman" w:hAnsi="Times New Roman" w:cs="Times Ext Roman" w:hint="eastAsia"/>
          <w:b/>
          <w:color w:val="FF0000"/>
          <w:sz w:val="20"/>
          <w:highlight w:val="yellow"/>
          <w:bdr w:val="single" w:sz="4" w:space="0" w:color="auto"/>
        </w:rPr>
        <w:t>因緣</w:t>
      </w:r>
      <w:r w:rsidRPr="00DA3BC7">
        <w:rPr>
          <w:rFonts w:ascii="Times New Roman" w:hAnsi="Times New Roman" w:cs="Times Ext Roman" w:hint="eastAsia"/>
          <w:sz w:val="20"/>
          <w:szCs w:val="20"/>
        </w:rPr>
        <w:t>（</w:t>
      </w:r>
      <w:r w:rsidRPr="00DA3BC7">
        <w:rPr>
          <w:rFonts w:ascii="Times New Roman" w:hAnsi="Times New Roman"/>
          <w:sz w:val="20"/>
          <w:szCs w:val="20"/>
        </w:rPr>
        <w:t>pp.</w:t>
      </w:r>
      <w:r w:rsidR="00C831BF">
        <w:rPr>
          <w:rFonts w:ascii="Times New Roman" w:hAnsi="Times New Roman" w:cs="Times Ext Roman"/>
          <w:color w:val="FF0000"/>
          <w:sz w:val="20"/>
          <w:highlight w:val="yellow"/>
        </w:rPr>
        <w:t>a</w:t>
      </w:r>
      <w:r w:rsidRPr="00DA3BC7">
        <w:rPr>
          <w:rFonts w:ascii="Times New Roman" w:hAnsi="Times New Roman"/>
          <w:sz w:val="20"/>
          <w:szCs w:val="20"/>
        </w:rPr>
        <w:t>1-</w:t>
      </w:r>
      <w:r w:rsidR="00C831BF">
        <w:rPr>
          <w:rFonts w:ascii="Times New Roman" w:hAnsi="Times New Roman" w:cs="Times Ext Roman"/>
          <w:color w:val="FF0000"/>
          <w:sz w:val="20"/>
          <w:highlight w:val="yellow"/>
        </w:rPr>
        <w:t>a</w:t>
      </w:r>
      <w:r w:rsidRPr="00DA3BC7">
        <w:rPr>
          <w:rFonts w:ascii="Times New Roman" w:hAnsi="Times New Roman"/>
          <w:sz w:val="20"/>
          <w:szCs w:val="20"/>
        </w:rPr>
        <w:t>3</w:t>
      </w:r>
      <w:r w:rsidRPr="00DA3BC7">
        <w:rPr>
          <w:rFonts w:ascii="Times New Roman" w:hAnsi="Times New Roman" w:cs="Times Ext Roman" w:hint="eastAsia"/>
          <w:sz w:val="20"/>
          <w:szCs w:val="20"/>
        </w:rPr>
        <w:t>）</w:t>
      </w:r>
    </w:p>
    <w:p w:rsidR="00AF0EEA" w:rsidRDefault="00AF0EEA" w:rsidP="008E2BBC">
      <w:pPr>
        <w:ind w:leftChars="50" w:left="120"/>
        <w:jc w:val="both"/>
        <w:rPr>
          <w:rFonts w:ascii="Times New Roman" w:hAnsi="Times New Roman" w:cs="Times Ext Roman"/>
          <w:sz w:val="20"/>
        </w:rPr>
      </w:pPr>
      <w:r w:rsidRPr="00DA3BC7">
        <w:rPr>
          <w:rFonts w:ascii="Times New Roman" w:hAnsi="Times New Roman" w:cs="Times Ext Roman"/>
          <w:b/>
          <w:sz w:val="20"/>
          <w:bdr w:val="single" w:sz="4" w:space="0" w:color="auto"/>
        </w:rPr>
        <w:t>（壹）</w:t>
      </w:r>
      <w:r w:rsidRPr="00DA3BC7">
        <w:rPr>
          <w:rFonts w:ascii="Times New Roman" w:hAnsi="Times New Roman" w:cs="Times Ext Roman" w:hint="eastAsia"/>
          <w:b/>
          <w:sz w:val="20"/>
          <w:bdr w:val="single" w:sz="4" w:space="0" w:color="auto"/>
        </w:rPr>
        <w:t>印順法師</w:t>
      </w:r>
      <w:r w:rsidR="00EF5E89" w:rsidRPr="00EF5E89">
        <w:rPr>
          <w:rFonts w:ascii="Times New Roman" w:hAnsi="Times New Roman" w:cs="Times Ext Roman" w:hint="eastAsia"/>
          <w:b/>
          <w:color w:val="FF0000"/>
          <w:sz w:val="20"/>
          <w:highlight w:val="yellow"/>
          <w:bdr w:val="single" w:sz="4" w:space="0" w:color="auto"/>
        </w:rPr>
        <w:t>習「</w:t>
      </w:r>
      <w:r w:rsidRPr="00EF5E89">
        <w:rPr>
          <w:rFonts w:ascii="Times New Roman" w:hAnsi="Times New Roman" w:cs="Times Ext Roman"/>
          <w:b/>
          <w:color w:val="FF0000"/>
          <w:sz w:val="20"/>
          <w:highlight w:val="yellow"/>
          <w:bdr w:val="single" w:sz="4" w:space="0" w:color="auto"/>
        </w:rPr>
        <w:t>空</w:t>
      </w:r>
      <w:r w:rsidR="00EF5E89" w:rsidRPr="00EF5E89">
        <w:rPr>
          <w:rFonts w:ascii="Times New Roman" w:hAnsi="Times New Roman" w:cs="Times Ext Roman" w:hint="eastAsia"/>
          <w:b/>
          <w:color w:val="FF0000"/>
          <w:sz w:val="20"/>
          <w:highlight w:val="yellow"/>
          <w:bdr w:val="single" w:sz="4" w:space="0" w:color="auto"/>
        </w:rPr>
        <w:t>」</w:t>
      </w:r>
      <w:r w:rsidRPr="00EF5E89">
        <w:rPr>
          <w:rFonts w:ascii="Times New Roman" w:hAnsi="Times New Roman" w:cs="Times Ext Roman"/>
          <w:b/>
          <w:color w:val="FF0000"/>
          <w:sz w:val="20"/>
          <w:highlight w:val="yellow"/>
          <w:bdr w:val="single" w:sz="4" w:space="0" w:color="auto"/>
        </w:rPr>
        <w:t>的</w:t>
      </w:r>
      <w:r w:rsidR="00EF5E89" w:rsidRPr="00EF5E89">
        <w:rPr>
          <w:rFonts w:ascii="Times New Roman" w:hAnsi="Times New Roman" w:cs="Times Ext Roman" w:hint="eastAsia"/>
          <w:b/>
          <w:color w:val="FF0000"/>
          <w:sz w:val="20"/>
          <w:highlight w:val="yellow"/>
          <w:bdr w:val="single" w:sz="4" w:space="0" w:color="auto"/>
        </w:rPr>
        <w:t>因緣</w:t>
      </w:r>
      <w:r w:rsidR="00C831BF" w:rsidRPr="00DA3BC7">
        <w:rPr>
          <w:rFonts w:ascii="Times New Roman" w:hAnsi="Times New Roman" w:cs="Times Ext Roman" w:hint="eastAsia"/>
          <w:sz w:val="20"/>
        </w:rPr>
        <w:t>（</w:t>
      </w:r>
      <w:r w:rsidR="00C831BF">
        <w:rPr>
          <w:rFonts w:ascii="Times New Roman" w:hAnsi="Times New Roman" w:cs="Times Ext Roman"/>
          <w:sz w:val="20"/>
        </w:rPr>
        <w:t>p.</w:t>
      </w:r>
      <w:r w:rsidR="00C831BF">
        <w:rPr>
          <w:rFonts w:ascii="Times New Roman" w:hAnsi="Times New Roman" w:cs="Times Ext Roman"/>
          <w:color w:val="FF0000"/>
          <w:sz w:val="20"/>
          <w:highlight w:val="yellow"/>
        </w:rPr>
        <w:t>a</w:t>
      </w:r>
      <w:r w:rsidR="00C831BF" w:rsidRPr="00DA3BC7">
        <w:rPr>
          <w:rFonts w:ascii="Times New Roman" w:hAnsi="Times New Roman"/>
          <w:sz w:val="20"/>
        </w:rPr>
        <w:t>1</w:t>
      </w:r>
      <w:r w:rsidR="00C831BF" w:rsidRPr="00DA3BC7">
        <w:rPr>
          <w:rFonts w:ascii="Times New Roman" w:hAnsi="Times New Roman" w:cs="Times Ext Roman" w:hint="eastAsia"/>
          <w:sz w:val="20"/>
        </w:rPr>
        <w:t>）</w:t>
      </w:r>
    </w:p>
    <w:p w:rsidR="00EF5E89" w:rsidRPr="00EF5E89" w:rsidRDefault="00EF5E89" w:rsidP="008E2BBC">
      <w:pPr>
        <w:ind w:leftChars="100" w:left="240"/>
        <w:jc w:val="both"/>
        <w:rPr>
          <w:rFonts w:ascii="Times New Roman" w:hAnsi="Times New Roman" w:cs="Times Ext Roman"/>
          <w:b/>
          <w:color w:val="FF0000"/>
          <w:sz w:val="20"/>
          <w:highlight w:val="yellow"/>
          <w:bdr w:val="single" w:sz="4" w:space="0" w:color="auto"/>
        </w:rPr>
      </w:pPr>
      <w:r w:rsidRPr="00EF5E89">
        <w:rPr>
          <w:rFonts w:ascii="Times New Roman" w:hAnsi="Times New Roman" w:cs="Times Ext Roman" w:hint="eastAsia"/>
          <w:b/>
          <w:color w:val="FF0000"/>
          <w:sz w:val="20"/>
          <w:highlight w:val="yellow"/>
          <w:bdr w:val="single" w:sz="4" w:space="0" w:color="auto"/>
        </w:rPr>
        <w:t>一、</w:t>
      </w:r>
      <w:r w:rsidR="009B709F">
        <w:rPr>
          <w:rFonts w:ascii="Times New Roman" w:hAnsi="Times New Roman" w:cs="Times Ext Roman" w:hint="eastAsia"/>
          <w:b/>
          <w:color w:val="FF0000"/>
          <w:sz w:val="20"/>
          <w:highlight w:val="yellow"/>
          <w:bdr w:val="single" w:sz="4" w:space="0" w:color="auto"/>
        </w:rPr>
        <w:t>導</w:t>
      </w:r>
      <w:r w:rsidRPr="00EF5E89">
        <w:rPr>
          <w:rFonts w:ascii="Times New Roman" w:hAnsi="Times New Roman" w:cs="Times Ext Roman" w:hint="eastAsia"/>
          <w:b/>
          <w:color w:val="FF0000"/>
          <w:sz w:val="20"/>
          <w:highlight w:val="yellow"/>
          <w:bdr w:val="single" w:sz="4" w:space="0" w:color="auto"/>
        </w:rPr>
        <w:t>言</w:t>
      </w:r>
    </w:p>
    <w:p w:rsidR="00EF5E89" w:rsidRDefault="00AF0EEA" w:rsidP="008E2BBC">
      <w:pPr>
        <w:ind w:leftChars="100" w:left="240"/>
        <w:jc w:val="both"/>
        <w:rPr>
          <w:rFonts w:ascii="Times New Roman" w:hAnsi="Times New Roman"/>
        </w:rPr>
      </w:pPr>
      <w:r w:rsidRPr="00DA3BC7">
        <w:rPr>
          <w:rFonts w:ascii="Times New Roman" w:hAnsi="Times New Roman"/>
        </w:rPr>
        <w:t>在師友中，我是被看作研究三論或空宗的。</w:t>
      </w:r>
    </w:p>
    <w:p w:rsidR="00AF0EEA" w:rsidRPr="00DA3BC7" w:rsidRDefault="00AF0EEA" w:rsidP="008E2BBC">
      <w:pPr>
        <w:ind w:leftChars="100" w:left="240"/>
        <w:jc w:val="both"/>
        <w:rPr>
          <w:rFonts w:ascii="Times New Roman" w:hAnsi="Times New Roman" w:cs="Times Ext Roman"/>
        </w:rPr>
      </w:pPr>
      <w:r w:rsidRPr="00EF5E89">
        <w:rPr>
          <w:rFonts w:ascii="Times New Roman" w:hAnsi="Times New Roman"/>
          <w:highlight w:val="yellow"/>
        </w:rPr>
        <w:t>我</w:t>
      </w:r>
      <w:r w:rsidRPr="00DA3BC7">
        <w:rPr>
          <w:rFonts w:ascii="Times New Roman" w:hAnsi="Times New Roman"/>
        </w:rPr>
        <w:t>曾在〈為性空者辨〉中說到：</w:t>
      </w:r>
      <w:r w:rsidRPr="00DA3BC7">
        <w:rPr>
          <w:rFonts w:ascii="Times New Roman" w:hAnsi="Times New Roman" w:cs="Times Ext Roman" w:hint="eastAsia"/>
        </w:rPr>
        <w:t>「</w:t>
      </w:r>
      <w:r w:rsidRPr="00DA3BC7">
        <w:rPr>
          <w:rFonts w:ascii="標楷體" w:eastAsia="標楷體" w:hAnsi="標楷體" w:cs="Times Ext Roman"/>
        </w:rPr>
        <w:t>我不能屬於空宗的任何學派，但對於空宗的根本大義，確有廣泛的同情！</w:t>
      </w:r>
      <w:r w:rsidRPr="00DA3BC7">
        <w:rPr>
          <w:rFonts w:ascii="Times New Roman" w:hAnsi="Times New Roman" w:cs="Times Ext Roman" w:hint="eastAsia"/>
        </w:rPr>
        <w:t>」</w:t>
      </w:r>
      <w:r w:rsidR="00EF5E89" w:rsidRPr="00EF5E89">
        <w:rPr>
          <w:rStyle w:val="a6"/>
          <w:rFonts w:ascii="Times New Roman" w:hAnsi="Times New Roman"/>
          <w:highlight w:val="yellow"/>
        </w:rPr>
        <w:footnoteReference w:id="2"/>
      </w:r>
    </w:p>
    <w:p w:rsidR="00AF0EEA" w:rsidRDefault="00EF5E89" w:rsidP="008E2BBC">
      <w:pPr>
        <w:ind w:leftChars="100" w:left="240"/>
        <w:jc w:val="both"/>
        <w:rPr>
          <w:rFonts w:ascii="Times New Roman" w:hAnsi="Times New Roman" w:cs="Times Ext Roman"/>
          <w:sz w:val="20"/>
        </w:rPr>
      </w:pPr>
      <w:r w:rsidRPr="00EF5E89">
        <w:rPr>
          <w:rFonts w:ascii="Times New Roman" w:hAnsi="Times New Roman" w:cs="Times Ext Roman" w:hint="eastAsia"/>
          <w:b/>
          <w:color w:val="FF0000"/>
          <w:sz w:val="20"/>
          <w:szCs w:val="20"/>
          <w:highlight w:val="yellow"/>
          <w:bdr w:val="single" w:sz="4" w:space="0" w:color="auto"/>
        </w:rPr>
        <w:t>二</w:t>
      </w:r>
      <w:r w:rsidR="00AF0EEA" w:rsidRPr="00EF5E89">
        <w:rPr>
          <w:rFonts w:ascii="Times New Roman" w:hAnsi="Times New Roman" w:cs="Times Ext Roman" w:hint="eastAsia"/>
          <w:b/>
          <w:color w:val="FF0000"/>
          <w:sz w:val="20"/>
          <w:szCs w:val="20"/>
          <w:highlight w:val="yellow"/>
          <w:bdr w:val="single" w:sz="4" w:space="0" w:color="auto"/>
        </w:rPr>
        <w:t>、</w:t>
      </w:r>
      <w:r w:rsidRPr="00EF5E89">
        <w:rPr>
          <w:rFonts w:ascii="Times New Roman" w:hAnsi="Times New Roman" w:cs="Times Ext Roman" w:hint="eastAsia"/>
          <w:b/>
          <w:color w:val="FF0000"/>
          <w:sz w:val="20"/>
          <w:szCs w:val="20"/>
          <w:highlight w:val="yellow"/>
          <w:bdr w:val="single" w:sz="4" w:space="0" w:color="auto"/>
        </w:rPr>
        <w:t>正述</w:t>
      </w:r>
      <w:r w:rsidR="00C831BF" w:rsidRPr="00DA3BC7">
        <w:rPr>
          <w:rFonts w:ascii="Times New Roman" w:hAnsi="Times New Roman" w:cs="Times Ext Roman" w:hint="eastAsia"/>
          <w:sz w:val="20"/>
        </w:rPr>
        <w:t>（</w:t>
      </w:r>
      <w:r w:rsidR="00C831BF">
        <w:rPr>
          <w:rFonts w:ascii="Times New Roman" w:hAnsi="Times New Roman" w:cs="Times Ext Roman"/>
          <w:sz w:val="20"/>
        </w:rPr>
        <w:t>p.</w:t>
      </w:r>
      <w:r w:rsidR="00C831BF">
        <w:rPr>
          <w:rFonts w:ascii="Times New Roman" w:hAnsi="Times New Roman" w:cs="Times Ext Roman"/>
          <w:color w:val="FF0000"/>
          <w:sz w:val="20"/>
          <w:highlight w:val="yellow"/>
        </w:rPr>
        <w:t>a</w:t>
      </w:r>
      <w:r w:rsidR="00C831BF" w:rsidRPr="00DA3BC7">
        <w:rPr>
          <w:rFonts w:ascii="Times New Roman" w:hAnsi="Times New Roman"/>
          <w:sz w:val="20"/>
        </w:rPr>
        <w:t>1</w:t>
      </w:r>
      <w:r w:rsidR="00C831BF" w:rsidRPr="00DA3BC7">
        <w:rPr>
          <w:rFonts w:ascii="Times New Roman" w:hAnsi="Times New Roman" w:cs="Times Ext Roman" w:hint="eastAsia"/>
          <w:sz w:val="20"/>
        </w:rPr>
        <w:t>）</w:t>
      </w:r>
    </w:p>
    <w:p w:rsidR="00EF5E89" w:rsidRDefault="00EF5E89" w:rsidP="008E2BBC">
      <w:pPr>
        <w:ind w:leftChars="150" w:left="360"/>
        <w:jc w:val="both"/>
        <w:rPr>
          <w:rFonts w:ascii="Times New Roman" w:hAnsi="Times New Roman" w:cs="Times Ext Roman"/>
          <w:b/>
          <w:color w:val="FF0000"/>
          <w:sz w:val="20"/>
          <w:szCs w:val="20"/>
          <w:bdr w:val="single" w:sz="4" w:space="0" w:color="auto"/>
        </w:rPr>
      </w:pPr>
      <w:r>
        <w:rPr>
          <w:rFonts w:ascii="Times New Roman" w:hAnsi="Times New Roman" w:cs="Times Ext Roman" w:hint="eastAsia"/>
          <w:b/>
          <w:color w:val="FF0000"/>
          <w:sz w:val="20"/>
          <w:szCs w:val="20"/>
          <w:highlight w:val="yellow"/>
          <w:bdr w:val="single" w:sz="4" w:space="0" w:color="auto"/>
        </w:rPr>
        <w:t>（一）思想上的變革</w:t>
      </w:r>
      <w:r w:rsidR="00C831BF" w:rsidRPr="00DA3BC7">
        <w:rPr>
          <w:rFonts w:ascii="Times New Roman" w:hAnsi="Times New Roman" w:cs="Times Ext Roman" w:hint="eastAsia"/>
          <w:sz w:val="20"/>
        </w:rPr>
        <w:t>（</w:t>
      </w:r>
      <w:r w:rsidR="00C831BF">
        <w:rPr>
          <w:rFonts w:ascii="Times New Roman" w:hAnsi="Times New Roman" w:cs="Times Ext Roman"/>
          <w:sz w:val="20"/>
        </w:rPr>
        <w:t>p.</w:t>
      </w:r>
      <w:r w:rsidR="00C831BF">
        <w:rPr>
          <w:rFonts w:ascii="Times New Roman" w:hAnsi="Times New Roman" w:cs="Times Ext Roman"/>
          <w:color w:val="FF0000"/>
          <w:sz w:val="20"/>
          <w:highlight w:val="yellow"/>
        </w:rPr>
        <w:t>a</w:t>
      </w:r>
      <w:r w:rsidR="00C831BF" w:rsidRPr="00DA3BC7">
        <w:rPr>
          <w:rFonts w:ascii="Times New Roman" w:hAnsi="Times New Roman"/>
          <w:sz w:val="20"/>
        </w:rPr>
        <w:t>1</w:t>
      </w:r>
      <w:r w:rsidR="00C831BF" w:rsidRPr="00DA3BC7">
        <w:rPr>
          <w:rFonts w:ascii="Times New Roman" w:hAnsi="Times New Roman" w:cs="Times Ext Roman" w:hint="eastAsia"/>
          <w:sz w:val="20"/>
        </w:rPr>
        <w:t>）</w:t>
      </w:r>
    </w:p>
    <w:p w:rsidR="00EF5E89" w:rsidRPr="00DA3BC7" w:rsidRDefault="00EF5E89" w:rsidP="008E2BBC">
      <w:pPr>
        <w:ind w:leftChars="200" w:left="480"/>
        <w:jc w:val="both"/>
        <w:rPr>
          <w:rFonts w:ascii="Times New Roman" w:hAnsi="Times New Roman" w:cs="Times Ext Roman"/>
          <w:b/>
          <w:sz w:val="20"/>
          <w:szCs w:val="20"/>
          <w:bdr w:val="single" w:sz="4" w:space="0" w:color="auto"/>
        </w:rPr>
      </w:pPr>
      <w:r>
        <w:rPr>
          <w:rFonts w:ascii="Times New Roman" w:hAnsi="Times New Roman" w:cs="Times Ext Roman" w:hint="eastAsia"/>
          <w:b/>
          <w:color w:val="FF0000"/>
          <w:sz w:val="20"/>
          <w:szCs w:val="20"/>
          <w:highlight w:val="yellow"/>
          <w:bdr w:val="single" w:sz="4" w:space="0" w:color="auto"/>
        </w:rPr>
        <w:t>1</w:t>
      </w:r>
      <w:r>
        <w:rPr>
          <w:rFonts w:ascii="Times New Roman" w:hAnsi="Times New Roman" w:cs="Times Ext Roman" w:hint="eastAsia"/>
          <w:b/>
          <w:color w:val="FF0000"/>
          <w:sz w:val="20"/>
          <w:szCs w:val="20"/>
          <w:highlight w:val="yellow"/>
          <w:bdr w:val="single" w:sz="4" w:space="0" w:color="auto"/>
        </w:rPr>
        <w:t>、研讀的首部佛典──《中論》</w:t>
      </w:r>
      <w:r w:rsidR="00B05767" w:rsidRPr="00DA3BC7">
        <w:rPr>
          <w:rFonts w:ascii="Times New Roman" w:hAnsi="Times New Roman" w:cs="Times Ext Roman" w:hint="eastAsia"/>
          <w:sz w:val="20"/>
        </w:rPr>
        <w:t>（</w:t>
      </w:r>
      <w:r w:rsidR="00C831BF">
        <w:rPr>
          <w:rFonts w:ascii="Times New Roman" w:hAnsi="Times New Roman" w:cs="Times Ext Roman"/>
          <w:sz w:val="20"/>
        </w:rPr>
        <w:t>p.</w:t>
      </w:r>
      <w:r w:rsidR="00C831BF">
        <w:rPr>
          <w:rFonts w:ascii="Times New Roman" w:hAnsi="Times New Roman" w:cs="Times Ext Roman"/>
          <w:color w:val="FF0000"/>
          <w:sz w:val="20"/>
          <w:highlight w:val="yellow"/>
        </w:rPr>
        <w:t>a</w:t>
      </w:r>
      <w:r w:rsidR="00B05767" w:rsidRPr="00DA3BC7">
        <w:rPr>
          <w:rFonts w:ascii="Times New Roman" w:hAnsi="Times New Roman"/>
          <w:sz w:val="20"/>
        </w:rPr>
        <w:t>1</w:t>
      </w:r>
      <w:r w:rsidR="00B05767" w:rsidRPr="00DA3BC7">
        <w:rPr>
          <w:rFonts w:ascii="Times New Roman" w:hAnsi="Times New Roman" w:cs="Times Ext Roman" w:hint="eastAsia"/>
          <w:sz w:val="20"/>
        </w:rPr>
        <w:t>）</w:t>
      </w:r>
    </w:p>
    <w:p w:rsidR="00AF0EEA" w:rsidRPr="00DA3BC7" w:rsidRDefault="00AF0EEA" w:rsidP="008E2BBC">
      <w:pPr>
        <w:ind w:leftChars="200" w:left="480"/>
        <w:jc w:val="both"/>
        <w:rPr>
          <w:rFonts w:ascii="Times New Roman" w:hAnsi="Times New Roman"/>
        </w:rPr>
      </w:pPr>
      <w:r w:rsidRPr="00DA3BC7">
        <w:rPr>
          <w:rFonts w:ascii="Times New Roman" w:hAnsi="Times New Roman" w:cs="Times Ext Roman"/>
        </w:rPr>
        <w:t>空宗</w:t>
      </w:r>
      <w:r w:rsidRPr="00DA3BC7">
        <w:rPr>
          <w:rFonts w:ascii="新細明體" w:hAnsi="新細明體" w:cs="Times Ext Roman"/>
        </w:rPr>
        <w:t>──</w:t>
      </w:r>
      <w:r w:rsidRPr="00DA3BC7">
        <w:rPr>
          <w:rFonts w:ascii="Times New Roman" w:hAnsi="Times New Roman" w:cs="Times Ext Roman"/>
        </w:rPr>
        <w:t>聖龍樹的論典，對我可說是有緣的。早在民國十六年</w:t>
      </w:r>
      <w:r w:rsidRPr="00EF5E89">
        <w:rPr>
          <w:rFonts w:ascii="Times New Roman" w:hAnsi="Times New Roman" w:cs="Times Ext Roman" w:hint="eastAsia"/>
          <w:sz w:val="22"/>
          <w:szCs w:val="20"/>
          <w:shd w:val="pct15" w:color="auto" w:fill="FFFFFF"/>
        </w:rPr>
        <w:t>（</w:t>
      </w:r>
      <w:r w:rsidRPr="00EF5E89">
        <w:rPr>
          <w:rFonts w:ascii="Times New Roman" w:hAnsi="Times New Roman" w:cs="Times Ext Roman" w:hint="eastAsia"/>
          <w:sz w:val="22"/>
          <w:szCs w:val="20"/>
          <w:shd w:val="pct15" w:color="auto" w:fill="FFFFFF"/>
        </w:rPr>
        <w:t>22</w:t>
      </w:r>
      <w:r w:rsidRPr="00EF5E89">
        <w:rPr>
          <w:rFonts w:ascii="Times New Roman" w:hAnsi="Times New Roman" w:cs="Times Ext Roman" w:hint="eastAsia"/>
          <w:sz w:val="22"/>
          <w:szCs w:val="20"/>
          <w:shd w:val="pct15" w:color="auto" w:fill="FFFFFF"/>
        </w:rPr>
        <w:t>歲）</w:t>
      </w:r>
      <w:r w:rsidRPr="00DA3BC7">
        <w:rPr>
          <w:rFonts w:ascii="Times New Roman" w:hAnsi="Times New Roman" w:cs="Times Ext Roman"/>
        </w:rPr>
        <w:t>，我開始閱讀佛典的時候，第一部即是《中論》。《中論》的內容，我什麼都不明白，但一種莫名其妙的愛好，使我趨向佛法，終於出了家。</w:t>
      </w:r>
      <w:r w:rsidRPr="00DA3BC7">
        <w:rPr>
          <w:rStyle w:val="a6"/>
          <w:rFonts w:ascii="Times New Roman" w:hAnsi="Times New Roman"/>
        </w:rPr>
        <w:footnoteReference w:id="3"/>
      </w:r>
    </w:p>
    <w:p w:rsidR="00AF0EEA" w:rsidRPr="00DA3BC7" w:rsidRDefault="00EF5E89" w:rsidP="00AE3920">
      <w:pPr>
        <w:spacing w:beforeLines="30"/>
        <w:ind w:leftChars="200" w:left="480"/>
        <w:jc w:val="both"/>
        <w:rPr>
          <w:rFonts w:ascii="Times New Roman" w:hAnsi="Times New Roman" w:cs="Times Ext Roman"/>
          <w:sz w:val="20"/>
          <w:bdr w:val="single" w:sz="4" w:space="0" w:color="auto"/>
        </w:rPr>
      </w:pPr>
      <w:r w:rsidRPr="00EF5E89">
        <w:rPr>
          <w:rFonts w:ascii="Times New Roman" w:hAnsi="Times New Roman" w:cs="Times Ext Roman" w:hint="eastAsia"/>
          <w:b/>
          <w:color w:val="FF0000"/>
          <w:sz w:val="20"/>
          <w:highlight w:val="yellow"/>
          <w:bdr w:val="single" w:sz="4" w:space="0" w:color="auto"/>
        </w:rPr>
        <w:lastRenderedPageBreak/>
        <w:t>2</w:t>
      </w:r>
      <w:r w:rsidR="00AF0EEA" w:rsidRPr="00B16A72">
        <w:rPr>
          <w:rFonts w:ascii="Times New Roman" w:hAnsi="Times New Roman" w:cs="Times Ext Roman" w:hint="eastAsia"/>
          <w:b/>
          <w:color w:val="FF0000"/>
          <w:sz w:val="20"/>
          <w:highlight w:val="yellow"/>
          <w:bdr w:val="single" w:sz="4" w:space="0" w:color="auto"/>
        </w:rPr>
        <w:t>、</w:t>
      </w:r>
      <w:r>
        <w:rPr>
          <w:rFonts w:ascii="Times New Roman" w:hAnsi="Times New Roman" w:cs="Times Ext Roman" w:hint="eastAsia"/>
          <w:b/>
          <w:color w:val="FF0000"/>
          <w:sz w:val="20"/>
          <w:highlight w:val="yellow"/>
          <w:bdr w:val="single" w:sz="4" w:space="0" w:color="auto"/>
        </w:rPr>
        <w:t>從初期聖典領略佛</w:t>
      </w:r>
      <w:r w:rsidRPr="00EF5E89">
        <w:rPr>
          <w:rFonts w:ascii="Times New Roman" w:hAnsi="Times New Roman" w:cs="Times Ext Roman" w:hint="eastAsia"/>
          <w:b/>
          <w:color w:val="FF0000"/>
          <w:sz w:val="20"/>
          <w:highlight w:val="yellow"/>
          <w:bdr w:val="single" w:sz="4" w:space="0" w:color="auto"/>
        </w:rPr>
        <w:t>法</w:t>
      </w:r>
      <w:r w:rsidR="00AF0EEA" w:rsidRPr="00EF5E89">
        <w:rPr>
          <w:rFonts w:ascii="Times New Roman" w:hAnsi="Times New Roman" w:cs="Times Ext Roman"/>
          <w:b/>
          <w:color w:val="FF0000"/>
          <w:sz w:val="20"/>
          <w:highlight w:val="yellow"/>
          <w:bdr w:val="single" w:sz="4" w:space="0" w:color="auto"/>
        </w:rPr>
        <w:t>的</w:t>
      </w:r>
      <w:r w:rsidRPr="00EF5E89">
        <w:rPr>
          <w:rFonts w:ascii="Times New Roman" w:hAnsi="Times New Roman" w:cs="Times Ext Roman" w:hint="eastAsia"/>
          <w:b/>
          <w:color w:val="FF0000"/>
          <w:sz w:val="20"/>
          <w:highlight w:val="yellow"/>
          <w:bdr w:val="single" w:sz="4" w:space="0" w:color="auto"/>
        </w:rPr>
        <w:t>精神</w:t>
      </w:r>
      <w:r w:rsidR="00AF0EEA" w:rsidRPr="00DA3BC7">
        <w:rPr>
          <w:rFonts w:ascii="Times New Roman" w:hAnsi="Times New Roman" w:cs="Times Ext Roman" w:hint="eastAsia"/>
          <w:sz w:val="20"/>
        </w:rPr>
        <w:t>（</w:t>
      </w:r>
      <w:r w:rsidR="00C831BF">
        <w:rPr>
          <w:rFonts w:ascii="Times New Roman" w:hAnsi="Times New Roman" w:cs="Times Ext Roman"/>
          <w:sz w:val="20"/>
        </w:rPr>
        <w:t>p.</w:t>
      </w:r>
      <w:r w:rsidR="00C831BF">
        <w:rPr>
          <w:rFonts w:ascii="Times New Roman" w:hAnsi="Times New Roman" w:cs="Times Ext Roman"/>
          <w:color w:val="FF0000"/>
          <w:sz w:val="20"/>
          <w:highlight w:val="yellow"/>
        </w:rPr>
        <w:t>a</w:t>
      </w:r>
      <w:r w:rsidR="00AF0EEA" w:rsidRPr="00DA3BC7">
        <w:rPr>
          <w:rFonts w:ascii="Times New Roman" w:hAnsi="Times New Roman"/>
          <w:sz w:val="20"/>
        </w:rPr>
        <w:t>1</w:t>
      </w:r>
      <w:r w:rsidR="00AF0EEA" w:rsidRPr="00DA3BC7">
        <w:rPr>
          <w:rFonts w:ascii="Times New Roman" w:hAnsi="Times New Roman" w:cs="Times Ext Roman" w:hint="eastAsia"/>
          <w:sz w:val="20"/>
        </w:rPr>
        <w:t>）</w:t>
      </w:r>
    </w:p>
    <w:p w:rsidR="00AF0EEA" w:rsidRPr="00DA3BC7" w:rsidRDefault="00AF0EEA" w:rsidP="008E2BBC">
      <w:pPr>
        <w:ind w:leftChars="200" w:left="480"/>
        <w:jc w:val="both"/>
        <w:rPr>
          <w:rFonts w:ascii="Times New Roman" w:hAnsi="Times New Roman" w:cs="Times Ext Roman"/>
        </w:rPr>
      </w:pPr>
      <w:r w:rsidRPr="00DA3BC7">
        <w:rPr>
          <w:rFonts w:ascii="Times New Roman" w:hAnsi="Times New Roman" w:cs="Times Ext Roman"/>
        </w:rPr>
        <w:t>出家後，曾一度留意唯識，但不久即回歸空宗</w:t>
      </w:r>
      <w:r w:rsidRPr="00DA3BC7">
        <w:rPr>
          <w:rFonts w:ascii="新細明體" w:hAnsi="新細明體" w:cs="Times Ext Roman"/>
        </w:rPr>
        <w:t>──</w:t>
      </w:r>
      <w:r w:rsidRPr="00DA3BC7">
        <w:rPr>
          <w:rFonts w:ascii="Times New Roman" w:hAnsi="Times New Roman" w:cs="Times Ext Roman"/>
          <w:b/>
        </w:rPr>
        <w:t>嘉祥的三論宗</w:t>
      </w:r>
      <w:r w:rsidRPr="00DA3BC7">
        <w:rPr>
          <w:rFonts w:ascii="Times New Roman" w:hAnsi="Times New Roman" w:cs="Times Ext Roman"/>
        </w:rPr>
        <w:t>。</w:t>
      </w:r>
    </w:p>
    <w:p w:rsidR="00AF0EEA" w:rsidRPr="00DA3BC7" w:rsidRDefault="00AF0EEA" w:rsidP="008E2BBC">
      <w:pPr>
        <w:ind w:leftChars="200" w:left="480"/>
        <w:jc w:val="both"/>
        <w:rPr>
          <w:rFonts w:ascii="Times New Roman" w:hAnsi="Times New Roman" w:cs="Times Ext Roman"/>
        </w:rPr>
      </w:pPr>
      <w:r w:rsidRPr="00DA3BC7">
        <w:rPr>
          <w:rFonts w:ascii="Times New Roman" w:hAnsi="Times New Roman" w:cs="Times Ext Roman"/>
        </w:rPr>
        <w:t>抗戰開始，我西遊四川，接觸到</w:t>
      </w:r>
      <w:r w:rsidRPr="00DA3BC7">
        <w:rPr>
          <w:rFonts w:ascii="Times New Roman" w:hAnsi="Times New Roman" w:cs="Times Ext Roman"/>
          <w:b/>
        </w:rPr>
        <w:t>西藏傳的空宗</w:t>
      </w:r>
      <w:r w:rsidRPr="00DA3BC7">
        <w:rPr>
          <w:rFonts w:ascii="Times New Roman" w:hAnsi="Times New Roman" w:cs="Times Ext Roman"/>
        </w:rPr>
        <w:t>。</w:t>
      </w:r>
      <w:r w:rsidR="005B73C4">
        <w:rPr>
          <w:rStyle w:val="a6"/>
          <w:rFonts w:ascii="Times New Roman" w:hAnsi="Times New Roman" w:cs="Times Ext Roman"/>
        </w:rPr>
        <w:footnoteReference w:id="4"/>
      </w:r>
    </w:p>
    <w:p w:rsidR="00AF0EEA" w:rsidRPr="00DA3BC7" w:rsidRDefault="00AF0EEA" w:rsidP="008E2BBC">
      <w:pPr>
        <w:ind w:leftChars="200" w:left="480"/>
        <w:jc w:val="both"/>
        <w:rPr>
          <w:rFonts w:ascii="Times New Roman" w:hAnsi="Times New Roman" w:cs="Times Ext Roman"/>
        </w:rPr>
      </w:pPr>
      <w:r w:rsidRPr="00DA3BC7">
        <w:rPr>
          <w:rFonts w:ascii="Times New Roman" w:hAnsi="Times New Roman" w:cs="Times Ext Roman"/>
        </w:rPr>
        <w:t>那時，我對於佛法的理解，發生重大的變革</w:t>
      </w:r>
      <w:r w:rsidRPr="00DA3BC7">
        <w:rPr>
          <w:rStyle w:val="a6"/>
          <w:rFonts w:ascii="Times New Roman" w:hAnsi="Times New Roman" w:cs="Times Ext Roman"/>
        </w:rPr>
        <w:footnoteReference w:id="5"/>
      </w:r>
      <w:r w:rsidRPr="00DA3BC7">
        <w:rPr>
          <w:rFonts w:ascii="Times New Roman" w:hAnsi="Times New Roman" w:cs="Times Ext Roman"/>
        </w:rPr>
        <w:t>，不再以玄談</w:t>
      </w:r>
      <w:r w:rsidRPr="00DA3BC7">
        <w:rPr>
          <w:rStyle w:val="a6"/>
          <w:rFonts w:ascii="Times New Roman" w:hAnsi="Times New Roman" w:cs="Times Ext Roman"/>
        </w:rPr>
        <w:footnoteReference w:id="6"/>
      </w:r>
      <w:r w:rsidRPr="00DA3BC7">
        <w:rPr>
          <w:rFonts w:ascii="Times New Roman" w:hAnsi="Times New Roman" w:cs="Times Ext Roman"/>
        </w:rPr>
        <w:t>為滿足，而從</w:t>
      </w:r>
      <w:r w:rsidRPr="00DA3BC7">
        <w:rPr>
          <w:rFonts w:ascii="Times New Roman" w:hAnsi="Times New Roman" w:cs="Times Ext Roman"/>
          <w:b/>
        </w:rPr>
        <w:t>初期聖典</w:t>
      </w:r>
      <w:r w:rsidRPr="00DA3BC7">
        <w:rPr>
          <w:rFonts w:ascii="Times New Roman" w:hAnsi="Times New Roman" w:cs="Times Ext Roman"/>
        </w:rPr>
        <w:t>中，領略</w:t>
      </w:r>
      <w:r w:rsidRPr="00DA3BC7">
        <w:rPr>
          <w:rStyle w:val="a6"/>
          <w:rFonts w:ascii="Times New Roman" w:hAnsi="Times New Roman" w:cs="Times Ext Roman"/>
        </w:rPr>
        <w:footnoteReference w:id="7"/>
      </w:r>
      <w:r w:rsidRPr="00DA3BC7">
        <w:rPr>
          <w:rFonts w:ascii="Times New Roman" w:hAnsi="Times New Roman" w:cs="Times Ext Roman"/>
        </w:rPr>
        <w:t>到佛法的精神。</w:t>
      </w:r>
      <w:r w:rsidR="00BA4FA6">
        <w:rPr>
          <w:rStyle w:val="a6"/>
          <w:rFonts w:ascii="Times New Roman" w:hAnsi="Times New Roman" w:cs="Times Ext Roman"/>
        </w:rPr>
        <w:footnoteReference w:id="8"/>
      </w:r>
    </w:p>
    <w:p w:rsidR="00EF5E89" w:rsidRDefault="00EF5E89" w:rsidP="00AE3920">
      <w:pPr>
        <w:spacing w:beforeLines="30"/>
        <w:ind w:leftChars="150" w:left="360"/>
        <w:jc w:val="both"/>
        <w:rPr>
          <w:rFonts w:ascii="Times New Roman" w:hAnsi="Times New Roman" w:cs="Times Ext Roman"/>
        </w:rPr>
      </w:pPr>
      <w:r>
        <w:rPr>
          <w:rFonts w:ascii="Times New Roman" w:hAnsi="Times New Roman" w:cs="Times Ext Roman" w:hint="eastAsia"/>
          <w:b/>
          <w:color w:val="FF0000"/>
          <w:sz w:val="20"/>
          <w:szCs w:val="20"/>
          <w:highlight w:val="yellow"/>
          <w:bdr w:val="single" w:sz="4" w:space="0" w:color="auto"/>
        </w:rPr>
        <w:t>（二）對於空宗的新體認與極讚仰</w:t>
      </w:r>
      <w:r w:rsidR="00B05767" w:rsidRPr="00DA3BC7">
        <w:rPr>
          <w:rFonts w:ascii="Times New Roman" w:hAnsi="Times New Roman" w:cs="Times Ext Roman" w:hint="eastAsia"/>
          <w:sz w:val="20"/>
        </w:rPr>
        <w:t>（</w:t>
      </w:r>
      <w:r w:rsidR="00C831BF">
        <w:rPr>
          <w:rFonts w:ascii="Times New Roman" w:hAnsi="Times New Roman" w:cs="Times Ext Roman"/>
          <w:sz w:val="20"/>
        </w:rPr>
        <w:t>p.</w:t>
      </w:r>
      <w:r w:rsidR="00C831BF">
        <w:rPr>
          <w:rFonts w:ascii="Times New Roman" w:hAnsi="Times New Roman" w:cs="Times Ext Roman"/>
          <w:color w:val="FF0000"/>
          <w:sz w:val="20"/>
          <w:highlight w:val="yellow"/>
        </w:rPr>
        <w:t>a</w:t>
      </w:r>
      <w:r w:rsidR="00B05767" w:rsidRPr="00DA3BC7">
        <w:rPr>
          <w:rFonts w:ascii="Times New Roman" w:hAnsi="Times New Roman"/>
          <w:sz w:val="20"/>
        </w:rPr>
        <w:t>1</w:t>
      </w:r>
      <w:r w:rsidR="00B05767" w:rsidRPr="00DA3BC7">
        <w:rPr>
          <w:rFonts w:ascii="Times New Roman" w:hAnsi="Times New Roman" w:cs="Times Ext Roman" w:hint="eastAsia"/>
          <w:sz w:val="20"/>
        </w:rPr>
        <w:t>）</w:t>
      </w:r>
    </w:p>
    <w:p w:rsidR="00AF0EEA" w:rsidRPr="00DA3BC7" w:rsidRDefault="00AF0EEA" w:rsidP="008E2BBC">
      <w:pPr>
        <w:ind w:leftChars="150" w:left="360"/>
        <w:jc w:val="both"/>
        <w:rPr>
          <w:rFonts w:ascii="Times New Roman" w:hAnsi="Times New Roman" w:cs="Times Ext Roman"/>
        </w:rPr>
      </w:pPr>
      <w:r w:rsidRPr="00DA3BC7">
        <w:rPr>
          <w:rFonts w:ascii="Times New Roman" w:hAnsi="Times New Roman" w:cs="Times Ext Roman"/>
        </w:rPr>
        <w:lastRenderedPageBreak/>
        <w:t>由於這一番思想的改變，對於空宗，也得到一番新的體認，加深了我對於空宗的讚仰。</w:t>
      </w:r>
    </w:p>
    <w:p w:rsidR="00AF0EEA" w:rsidRPr="00DA3BC7" w:rsidRDefault="00AF0EEA" w:rsidP="00AE3920">
      <w:pPr>
        <w:spacing w:beforeLines="30"/>
        <w:ind w:leftChars="50" w:left="120"/>
        <w:jc w:val="both"/>
        <w:rPr>
          <w:rFonts w:ascii="Times New Roman" w:hAnsi="Times New Roman" w:cs="Times Ext Roman"/>
          <w:sz w:val="20"/>
          <w:bdr w:val="single" w:sz="4" w:space="0" w:color="auto"/>
        </w:rPr>
      </w:pPr>
      <w:r w:rsidRPr="00B16A72">
        <w:rPr>
          <w:rFonts w:ascii="Times New Roman" w:hAnsi="Times New Roman" w:cs="Times Ext Roman"/>
          <w:b/>
          <w:color w:val="FF0000"/>
          <w:sz w:val="20"/>
          <w:highlight w:val="yellow"/>
          <w:bdr w:val="single" w:sz="4" w:space="0" w:color="auto"/>
        </w:rPr>
        <w:t>（</w:t>
      </w:r>
      <w:r w:rsidR="00EF5E89" w:rsidRPr="00B16A72">
        <w:rPr>
          <w:rFonts w:ascii="Times New Roman" w:hAnsi="Times New Roman" w:cs="Times Ext Roman" w:hint="eastAsia"/>
          <w:b/>
          <w:color w:val="FF0000"/>
          <w:sz w:val="20"/>
          <w:highlight w:val="yellow"/>
          <w:bdr w:val="single" w:sz="4" w:space="0" w:color="auto"/>
        </w:rPr>
        <w:t>貳</w:t>
      </w:r>
      <w:r w:rsidRPr="00B16A72">
        <w:rPr>
          <w:rFonts w:ascii="Times New Roman" w:hAnsi="Times New Roman" w:cs="Times Ext Roman"/>
          <w:b/>
          <w:color w:val="FF0000"/>
          <w:sz w:val="20"/>
          <w:highlight w:val="yellow"/>
          <w:bdr w:val="single" w:sz="4" w:space="0" w:color="auto"/>
        </w:rPr>
        <w:t>）</w:t>
      </w:r>
      <w:r w:rsidR="00EF5E89" w:rsidRPr="00EF5E89">
        <w:rPr>
          <w:rFonts w:ascii="Times New Roman" w:hAnsi="Times New Roman" w:cs="Times Ext Roman" w:hint="eastAsia"/>
          <w:b/>
          <w:color w:val="FF0000"/>
          <w:sz w:val="20"/>
          <w:highlight w:val="yellow"/>
          <w:bdr w:val="single" w:sz="4" w:space="0" w:color="auto"/>
        </w:rPr>
        <w:t>略述《中觀今論》撰寫</w:t>
      </w:r>
      <w:r w:rsidRPr="00EF5E89">
        <w:rPr>
          <w:rFonts w:ascii="Times New Roman" w:hAnsi="Times New Roman" w:cs="Times Ext Roman" w:hint="eastAsia"/>
          <w:b/>
          <w:color w:val="FF0000"/>
          <w:sz w:val="20"/>
          <w:highlight w:val="yellow"/>
          <w:bdr w:val="single" w:sz="4" w:space="0" w:color="auto"/>
        </w:rPr>
        <w:t>與</w:t>
      </w:r>
      <w:r w:rsidR="00EF5E89" w:rsidRPr="00EF5E89">
        <w:rPr>
          <w:rFonts w:ascii="Times New Roman" w:hAnsi="Times New Roman" w:cs="Times Ext Roman" w:hint="eastAsia"/>
          <w:b/>
          <w:color w:val="FF0000"/>
          <w:sz w:val="20"/>
          <w:highlight w:val="yellow"/>
          <w:bdr w:val="single" w:sz="4" w:space="0" w:color="auto"/>
        </w:rPr>
        <w:t>宗義</w:t>
      </w:r>
      <w:r w:rsidRPr="00DA3BC7">
        <w:rPr>
          <w:rFonts w:ascii="Times New Roman" w:hAnsi="Times New Roman" w:cs="Times Ext Roman" w:hint="eastAsia"/>
          <w:sz w:val="20"/>
        </w:rPr>
        <w:t>（</w:t>
      </w:r>
      <w:r w:rsidR="00C831BF" w:rsidRPr="00DA3BC7">
        <w:rPr>
          <w:rFonts w:ascii="Times New Roman" w:hAnsi="Times New Roman" w:cs="Times Ext Roman" w:hint="eastAsia"/>
          <w:sz w:val="20"/>
        </w:rPr>
        <w:t>pp.</w:t>
      </w:r>
      <w:r w:rsidR="00C831BF">
        <w:rPr>
          <w:rFonts w:ascii="Times New Roman" w:hAnsi="Times New Roman" w:cs="Times Ext Roman"/>
          <w:color w:val="FF0000"/>
          <w:sz w:val="20"/>
          <w:highlight w:val="yellow"/>
        </w:rPr>
        <w:t>a</w:t>
      </w:r>
      <w:r w:rsidR="00C831BF" w:rsidRPr="00DA3BC7">
        <w:rPr>
          <w:rFonts w:ascii="Times New Roman" w:hAnsi="Times New Roman" w:cs="Times Ext Roman" w:hint="eastAsia"/>
          <w:sz w:val="20"/>
        </w:rPr>
        <w:t>1-</w:t>
      </w:r>
      <w:r w:rsidR="00C831BF">
        <w:rPr>
          <w:rFonts w:ascii="Times New Roman" w:hAnsi="Times New Roman" w:cs="Times Ext Roman"/>
          <w:color w:val="FF0000"/>
          <w:sz w:val="20"/>
          <w:highlight w:val="yellow"/>
        </w:rPr>
        <w:t>a</w:t>
      </w:r>
      <w:r w:rsidR="00C831BF" w:rsidRPr="00DA3BC7">
        <w:rPr>
          <w:rFonts w:ascii="Times New Roman" w:hAnsi="Times New Roman" w:cs="Times Ext Roman" w:hint="eastAsia"/>
          <w:sz w:val="20"/>
        </w:rPr>
        <w:t>3</w:t>
      </w:r>
      <w:r w:rsidRPr="00DA3BC7">
        <w:rPr>
          <w:rFonts w:ascii="Times New Roman" w:hAnsi="Times New Roman" w:cs="Times Ext Roman" w:hint="eastAsia"/>
          <w:sz w:val="20"/>
        </w:rPr>
        <w:t>）</w:t>
      </w:r>
    </w:p>
    <w:p w:rsidR="00EF5E89" w:rsidRPr="00EF5E89" w:rsidRDefault="00EF5E89" w:rsidP="008E2BBC">
      <w:pPr>
        <w:ind w:leftChars="100" w:left="240"/>
        <w:jc w:val="both"/>
        <w:rPr>
          <w:rFonts w:ascii="Times New Roman" w:hAnsi="Times New Roman" w:cs="Times Ext Roman"/>
          <w:b/>
          <w:color w:val="FF0000"/>
          <w:sz w:val="20"/>
          <w:highlight w:val="yellow"/>
          <w:bdr w:val="single" w:sz="4" w:space="0" w:color="auto"/>
        </w:rPr>
      </w:pPr>
      <w:r w:rsidRPr="00EF5E89">
        <w:rPr>
          <w:rFonts w:ascii="Times New Roman" w:hAnsi="Times New Roman" w:cs="Times Ext Roman" w:hint="eastAsia"/>
          <w:b/>
          <w:color w:val="FF0000"/>
          <w:sz w:val="20"/>
          <w:highlight w:val="yellow"/>
          <w:bdr w:val="single" w:sz="4" w:space="0" w:color="auto"/>
        </w:rPr>
        <w:t>一、</w:t>
      </w:r>
      <w:r>
        <w:rPr>
          <w:rFonts w:ascii="Times New Roman" w:hAnsi="Times New Roman" w:cs="Times Ext Roman" w:hint="eastAsia"/>
          <w:b/>
          <w:color w:val="FF0000"/>
          <w:sz w:val="20"/>
          <w:highlight w:val="yellow"/>
          <w:bdr w:val="single" w:sz="4" w:space="0" w:color="auto"/>
        </w:rPr>
        <w:t>寫作過程</w:t>
      </w:r>
      <w:r w:rsidR="00425E2B" w:rsidRPr="00DA3BC7">
        <w:rPr>
          <w:rFonts w:ascii="Times New Roman" w:hAnsi="Times New Roman" w:cs="Times Ext Roman" w:hint="eastAsia"/>
          <w:sz w:val="20"/>
        </w:rPr>
        <w:t>（</w:t>
      </w:r>
      <w:r w:rsidR="00C970A6" w:rsidRPr="00DA3BC7">
        <w:rPr>
          <w:rFonts w:ascii="Times New Roman" w:hAnsi="Times New Roman" w:cs="Times Ext Roman" w:hint="eastAsia"/>
          <w:sz w:val="20"/>
        </w:rPr>
        <w:t>pp.</w:t>
      </w:r>
      <w:r w:rsidR="00C970A6">
        <w:rPr>
          <w:rFonts w:ascii="Times New Roman" w:hAnsi="Times New Roman" w:cs="Times Ext Roman"/>
          <w:color w:val="FF0000"/>
          <w:sz w:val="20"/>
          <w:highlight w:val="yellow"/>
        </w:rPr>
        <w:t>a</w:t>
      </w:r>
      <w:r w:rsidR="00C970A6" w:rsidRPr="00DA3BC7">
        <w:rPr>
          <w:rFonts w:ascii="Times New Roman" w:hAnsi="Times New Roman" w:cs="Times Ext Roman" w:hint="eastAsia"/>
          <w:sz w:val="20"/>
        </w:rPr>
        <w:t>1-</w:t>
      </w:r>
      <w:r w:rsidR="00C970A6">
        <w:rPr>
          <w:rFonts w:ascii="Times New Roman" w:hAnsi="Times New Roman" w:cs="Times Ext Roman"/>
          <w:color w:val="FF0000"/>
          <w:sz w:val="20"/>
          <w:highlight w:val="yellow"/>
        </w:rPr>
        <w:t>a</w:t>
      </w:r>
      <w:r w:rsidR="00C970A6" w:rsidRPr="00DA3BC7">
        <w:rPr>
          <w:rFonts w:ascii="Times New Roman" w:hAnsi="Times New Roman" w:cs="Times Ext Roman" w:hint="eastAsia"/>
          <w:sz w:val="20"/>
        </w:rPr>
        <w:t>3</w:t>
      </w:r>
      <w:r w:rsidR="00425E2B" w:rsidRPr="00DA3BC7">
        <w:rPr>
          <w:rFonts w:ascii="Times New Roman" w:hAnsi="Times New Roman" w:cs="Times Ext Roman" w:hint="eastAsia"/>
          <w:sz w:val="20"/>
        </w:rPr>
        <w:t>）</w:t>
      </w:r>
    </w:p>
    <w:p w:rsidR="00AF0EEA" w:rsidRPr="00DA3BC7" w:rsidRDefault="00AF0EEA" w:rsidP="008E2BBC">
      <w:pPr>
        <w:ind w:leftChars="100" w:left="240"/>
        <w:jc w:val="both"/>
        <w:rPr>
          <w:rFonts w:ascii="Times New Roman" w:hAnsi="Times New Roman" w:cs="Times Ext Roman"/>
        </w:rPr>
      </w:pPr>
      <w:r w:rsidRPr="00DA3BC7">
        <w:rPr>
          <w:rFonts w:ascii="Times New Roman" w:hAnsi="Times New Roman" w:cs="Times Ext Roman"/>
        </w:rPr>
        <w:t>三十一、</w:t>
      </w:r>
      <w:r w:rsidRPr="00C970A6">
        <w:rPr>
          <w:rFonts w:ascii="Times New Roman" w:hAnsi="Times New Roman" w:cs="Times Ext Roman" w:hint="eastAsia"/>
          <w:shd w:val="pct15" w:color="auto" w:fill="FFFFFF"/>
        </w:rPr>
        <w:t>三十</w:t>
      </w:r>
      <w:r w:rsidRPr="00DA3BC7">
        <w:rPr>
          <w:rFonts w:ascii="Times New Roman" w:hAnsi="Times New Roman" w:cs="Times Ext Roman"/>
        </w:rPr>
        <w:t>二年</w:t>
      </w:r>
      <w:r w:rsidRPr="00EF5E89">
        <w:rPr>
          <w:rFonts w:ascii="Times New Roman" w:hAnsi="Times New Roman" w:cs="Times Ext Roman" w:hint="eastAsia"/>
          <w:sz w:val="22"/>
          <w:szCs w:val="20"/>
          <w:shd w:val="pct15" w:color="auto" w:fill="FFFFFF"/>
        </w:rPr>
        <w:t>（</w:t>
      </w:r>
      <w:r w:rsidRPr="00EF5E89">
        <w:rPr>
          <w:rFonts w:ascii="Times New Roman" w:hAnsi="Times New Roman" w:cs="Times Ext Roman" w:hint="eastAsia"/>
          <w:sz w:val="22"/>
          <w:szCs w:val="20"/>
          <w:shd w:val="pct15" w:color="auto" w:fill="FFFFFF"/>
        </w:rPr>
        <w:t>37</w:t>
      </w:r>
      <w:r w:rsidRPr="00EF5E89">
        <w:rPr>
          <w:rFonts w:ascii="Times New Roman" w:hAnsi="Times New Roman" w:cs="Times Ext Roman" w:hint="eastAsia"/>
          <w:sz w:val="22"/>
          <w:szCs w:val="20"/>
          <w:shd w:val="pct15" w:color="auto" w:fill="FFFFFF"/>
        </w:rPr>
        <w:t>歲、</w:t>
      </w:r>
      <w:r w:rsidRPr="00EF5E89">
        <w:rPr>
          <w:rFonts w:ascii="Times New Roman" w:hAnsi="Times New Roman" w:cs="Times Ext Roman" w:hint="eastAsia"/>
          <w:sz w:val="22"/>
          <w:szCs w:val="20"/>
          <w:shd w:val="pct15" w:color="auto" w:fill="FFFFFF"/>
        </w:rPr>
        <w:t>38</w:t>
      </w:r>
      <w:r w:rsidRPr="00EF5E89">
        <w:rPr>
          <w:rFonts w:ascii="Times New Roman" w:hAnsi="Times New Roman" w:cs="Times Ext Roman" w:hint="eastAsia"/>
          <w:sz w:val="22"/>
          <w:szCs w:val="20"/>
          <w:shd w:val="pct15" w:color="auto" w:fill="FFFFFF"/>
        </w:rPr>
        <w:t>歲）</w:t>
      </w:r>
      <w:r w:rsidRPr="00DA3BC7">
        <w:rPr>
          <w:rFonts w:ascii="Times New Roman" w:hAnsi="Times New Roman" w:cs="Times Ext Roman"/>
        </w:rPr>
        <w:t>，時斷時續的講說《中論》，由演培筆記，整理成</w:t>
      </w:r>
      <w:r w:rsidRPr="00DA3BC7">
        <w:rPr>
          <w:rFonts w:ascii="Times New Roman" w:hAnsi="Times New Roman" w:cs="Times Ext Roman"/>
          <w:b/>
        </w:rPr>
        <w:t>《中論講記》</w:t>
      </w:r>
      <w:r w:rsidRPr="00DA3BC7">
        <w:rPr>
          <w:rFonts w:ascii="Times New Roman" w:hAnsi="Times New Roman" w:cs="Times Ext Roman"/>
        </w:rPr>
        <w:t>的初稿。關於初期</w:t>
      </w:r>
      <w:r w:rsidRPr="00DA3BC7">
        <w:rPr>
          <w:rFonts w:ascii="新細明體" w:hAnsi="新細明體" w:cs="Times Ext Roman"/>
        </w:rPr>
        <w:t>──</w:t>
      </w:r>
      <w:r w:rsidRPr="00DA3BC7">
        <w:rPr>
          <w:rFonts w:ascii="Times New Roman" w:hAnsi="Times New Roman" w:cs="Times Ext Roman"/>
        </w:rPr>
        <w:t>阿含、毘曇</w:t>
      </w:r>
      <w:r w:rsidRPr="00DA3BC7">
        <w:rPr>
          <w:rFonts w:ascii="新細明體" w:hAnsi="新細明體" w:cs="Times Ext Roman"/>
        </w:rPr>
        <w:t>──</w:t>
      </w:r>
      <w:r w:rsidRPr="00DA3BC7">
        <w:rPr>
          <w:rFonts w:ascii="Times New Roman" w:hAnsi="Times New Roman" w:cs="Times Ext Roman"/>
        </w:rPr>
        <w:t>聖典的空觀，曾作廣泛的考察。</w:t>
      </w:r>
    </w:p>
    <w:p w:rsidR="00AF0EEA" w:rsidRPr="00DA3BC7" w:rsidRDefault="00AF0EEA" w:rsidP="00AE3920">
      <w:pPr>
        <w:spacing w:beforeLines="20"/>
        <w:ind w:leftChars="100" w:left="240"/>
        <w:jc w:val="both"/>
        <w:rPr>
          <w:rFonts w:ascii="Times New Roman" w:hAnsi="Times New Roman" w:cs="Times Ext Roman"/>
        </w:rPr>
      </w:pPr>
      <w:r w:rsidRPr="00DA3BC7">
        <w:rPr>
          <w:rFonts w:ascii="Times New Roman" w:hAnsi="Times New Roman" w:cs="Times Ext Roman"/>
        </w:rPr>
        <w:t>三十三年秋</w:t>
      </w:r>
      <w:r w:rsidRPr="00EF5E89">
        <w:rPr>
          <w:rFonts w:ascii="Times New Roman" w:hAnsi="Times New Roman" w:cs="Times Ext Roman" w:hint="eastAsia"/>
          <w:sz w:val="22"/>
          <w:szCs w:val="20"/>
          <w:shd w:val="pct15" w:color="auto" w:fill="FFFFFF"/>
        </w:rPr>
        <w:t>（</w:t>
      </w:r>
      <w:r w:rsidRPr="00EF5E89">
        <w:rPr>
          <w:rFonts w:ascii="Times New Roman" w:hAnsi="Times New Roman" w:cs="Times Ext Roman" w:hint="eastAsia"/>
          <w:sz w:val="22"/>
          <w:szCs w:val="20"/>
          <w:shd w:val="pct15" w:color="auto" w:fill="FFFFFF"/>
        </w:rPr>
        <w:t>39</w:t>
      </w:r>
      <w:r w:rsidRPr="00EF5E89">
        <w:rPr>
          <w:rFonts w:ascii="Times New Roman" w:hAnsi="Times New Roman" w:cs="Times Ext Roman" w:hint="eastAsia"/>
          <w:sz w:val="22"/>
          <w:szCs w:val="20"/>
          <w:shd w:val="pct15" w:color="auto" w:fill="FFFFFF"/>
        </w:rPr>
        <w:t>歲）</w:t>
      </w:r>
      <w:r w:rsidRPr="00DA3BC7">
        <w:rPr>
          <w:rFonts w:ascii="Times New Roman" w:hAnsi="Times New Roman" w:cs="Times Ext Roman"/>
        </w:rPr>
        <w:t>，為妙欽、續明等說，由妙欽記出。這可以名為</w:t>
      </w:r>
      <w:r w:rsidRPr="00DA3BC7">
        <w:rPr>
          <w:rFonts w:ascii="Times New Roman" w:hAnsi="Times New Roman" w:cs="Times Ext Roman"/>
          <w:b/>
        </w:rPr>
        <w:t>《性空學探源》</w:t>
      </w:r>
      <w:r w:rsidRPr="00DA3BC7">
        <w:rPr>
          <w:rFonts w:ascii="Times New Roman" w:hAnsi="Times New Roman" w:cs="Times Ext Roman"/>
        </w:rPr>
        <w:t>，與我另一作品</w:t>
      </w:r>
      <w:r w:rsidRPr="00DA3BC7">
        <w:rPr>
          <w:rFonts w:ascii="新細明體" w:hAnsi="新細明體" w:cs="Times Ext Roman"/>
        </w:rPr>
        <w:t>──</w:t>
      </w:r>
      <w:r w:rsidRPr="00DA3BC7">
        <w:rPr>
          <w:rFonts w:ascii="Times New Roman" w:hAnsi="Times New Roman" w:cs="Times Ext Roman"/>
        </w:rPr>
        <w:t>《唯識學探源》同一性質。經這一番考察，對於性空的理解，增明不少，確信性空為佛法的根本教義。</w:t>
      </w:r>
    </w:p>
    <w:p w:rsidR="00AF0EEA" w:rsidRPr="00DA3BC7" w:rsidRDefault="00AF0EEA" w:rsidP="00AE3920">
      <w:pPr>
        <w:spacing w:beforeLines="20"/>
        <w:ind w:leftChars="100" w:left="240"/>
        <w:jc w:val="both"/>
        <w:rPr>
          <w:rFonts w:ascii="Times New Roman" w:hAnsi="Times New Roman" w:cs="Times Ext Roman"/>
        </w:rPr>
      </w:pPr>
      <w:r w:rsidRPr="00DA3BC7">
        <w:rPr>
          <w:rFonts w:ascii="Times New Roman" w:hAnsi="Times New Roman" w:cs="Times Ext Roman"/>
        </w:rPr>
        <w:t>三十五年春</w:t>
      </w:r>
      <w:r w:rsidRPr="00EF5E89">
        <w:rPr>
          <w:rFonts w:ascii="Times New Roman" w:hAnsi="Times New Roman" w:cs="Times Ext Roman" w:hint="eastAsia"/>
          <w:sz w:val="22"/>
          <w:szCs w:val="20"/>
          <w:shd w:val="pct15" w:color="auto" w:fill="FFFFFF"/>
        </w:rPr>
        <w:t>（</w:t>
      </w:r>
      <w:r w:rsidRPr="00EF5E89">
        <w:rPr>
          <w:rFonts w:ascii="Times New Roman" w:hAnsi="Times New Roman" w:cs="Times Ext Roman" w:hint="eastAsia"/>
          <w:sz w:val="22"/>
          <w:szCs w:val="20"/>
          <w:shd w:val="pct15" w:color="auto" w:fill="FFFFFF"/>
        </w:rPr>
        <w:t>41</w:t>
      </w:r>
      <w:r w:rsidRPr="00EF5E89">
        <w:rPr>
          <w:rFonts w:ascii="Times New Roman" w:hAnsi="Times New Roman" w:cs="Times Ext Roman" w:hint="eastAsia"/>
          <w:sz w:val="22"/>
          <w:szCs w:val="20"/>
          <w:shd w:val="pct15" w:color="auto" w:fill="FFFFFF"/>
        </w:rPr>
        <w:t>歲）</w:t>
      </w:r>
      <w:r w:rsidRPr="00DA3BC7">
        <w:rPr>
          <w:rFonts w:ascii="Times New Roman" w:hAnsi="Times New Roman" w:cs="Times Ext Roman"/>
        </w:rPr>
        <w:t>，曾以</w:t>
      </w:r>
      <w:r w:rsidRPr="00DA3BC7">
        <w:rPr>
          <w:rFonts w:ascii="Times New Roman" w:hAnsi="Times New Roman" w:cs="Times Ext Roman"/>
          <w:b/>
        </w:rPr>
        <w:t>「性空導論」</w:t>
      </w:r>
      <w:r w:rsidRPr="00DA3BC7">
        <w:rPr>
          <w:rFonts w:ascii="Times New Roman" w:hAnsi="Times New Roman" w:cs="Times Ext Roman"/>
        </w:rPr>
        <w:t>為題，開講於漢藏教理院。原擬定分〈性空的發展史略〉</w:t>
      </w:r>
      <w:r w:rsidRPr="00DA3BC7">
        <w:rPr>
          <w:rFonts w:ascii="Times New Roman" w:hAnsi="Times New Roman" w:cs="Times Ext Roman" w:hint="eastAsia"/>
        </w:rPr>
        <w:t>、</w:t>
      </w:r>
      <w:r w:rsidRPr="00DA3BC7">
        <w:rPr>
          <w:rFonts w:ascii="Times New Roman" w:hAnsi="Times New Roman" w:cs="Times Ext Roman"/>
        </w:rPr>
        <w:t>〈性空的方法論〉</w:t>
      </w:r>
      <w:r w:rsidRPr="00DA3BC7">
        <w:rPr>
          <w:rFonts w:ascii="Times New Roman" w:hAnsi="Times New Roman" w:cs="Times Ext Roman" w:hint="eastAsia"/>
        </w:rPr>
        <w:t>、</w:t>
      </w:r>
      <w:r w:rsidRPr="00DA3BC7">
        <w:rPr>
          <w:rFonts w:ascii="Times New Roman" w:hAnsi="Times New Roman" w:cs="Times Ext Roman"/>
        </w:rPr>
        <w:t>〈性空的實踐〉三編。但為了怱促</w:t>
      </w:r>
      <w:r w:rsidRPr="00DA3BC7">
        <w:rPr>
          <w:rStyle w:val="a6"/>
          <w:rFonts w:ascii="Times New Roman" w:hAnsi="Times New Roman" w:cs="Times Ext Roman"/>
        </w:rPr>
        <w:footnoteReference w:id="9"/>
      </w:r>
      <w:r w:rsidRPr="00DA3BC7">
        <w:rPr>
          <w:rFonts w:ascii="Times New Roman" w:hAnsi="Times New Roman" w:cs="Times Ext Roman"/>
        </w:rPr>
        <w:t>的東歸，連〈性空的發展史略〉部分，都沒有完成，這是非常可惜的。</w:t>
      </w:r>
    </w:p>
    <w:p w:rsidR="00AF0EEA" w:rsidRPr="00DA3BC7" w:rsidRDefault="00AF0EEA" w:rsidP="00AE3920">
      <w:pPr>
        <w:spacing w:beforeLines="20"/>
        <w:ind w:leftChars="100" w:left="240"/>
        <w:jc w:val="both"/>
        <w:rPr>
          <w:rFonts w:ascii="Times New Roman" w:hAnsi="Times New Roman" w:cs="Times Ext Roman"/>
        </w:rPr>
      </w:pPr>
      <w:r w:rsidRPr="00DA3BC7">
        <w:rPr>
          <w:rFonts w:ascii="Times New Roman" w:hAnsi="Times New Roman" w:cs="Times Ext Roman"/>
        </w:rPr>
        <w:t>三十六年冬</w:t>
      </w:r>
      <w:r w:rsidRPr="00EF5E89">
        <w:rPr>
          <w:rFonts w:ascii="Times New Roman" w:hAnsi="Times New Roman" w:cs="Times Ext Roman" w:hint="eastAsia"/>
          <w:sz w:val="22"/>
          <w:szCs w:val="20"/>
          <w:shd w:val="pct15" w:color="auto" w:fill="FFFFFF"/>
        </w:rPr>
        <w:t>（</w:t>
      </w:r>
      <w:r w:rsidRPr="00EF5E89">
        <w:rPr>
          <w:rFonts w:ascii="Times New Roman" w:hAnsi="Times New Roman" w:cs="Times Ext Roman" w:hint="eastAsia"/>
          <w:sz w:val="22"/>
          <w:szCs w:val="20"/>
          <w:shd w:val="pct15" w:color="auto" w:fill="FFFFFF"/>
        </w:rPr>
        <w:t>42</w:t>
      </w:r>
      <w:r w:rsidRPr="00EF5E89">
        <w:rPr>
          <w:rFonts w:ascii="Times New Roman" w:hAnsi="Times New Roman" w:cs="Times Ext Roman" w:hint="eastAsia"/>
          <w:sz w:val="22"/>
          <w:szCs w:val="20"/>
          <w:shd w:val="pct15" w:color="auto" w:fill="FFFFFF"/>
        </w:rPr>
        <w:t>歲）</w:t>
      </w:r>
      <w:r w:rsidRPr="00DA3BC7">
        <w:rPr>
          <w:rFonts w:ascii="Times New Roman" w:hAnsi="Times New Roman" w:cs="Times Ext Roman"/>
        </w:rPr>
        <w:t>，在雪竇寺編纂《太虛大師全書》，應海潮音社的稿約，決以</w:t>
      </w:r>
      <w:r w:rsidRPr="00DA3BC7">
        <w:rPr>
          <w:rFonts w:ascii="Times New Roman" w:hAnsi="Times New Roman" w:cs="Times Ext Roman"/>
          <w:b/>
        </w:rPr>
        <w:t>「中觀今論」</w:t>
      </w:r>
      <w:r w:rsidRPr="00DA3BC7">
        <w:rPr>
          <w:rFonts w:ascii="Times New Roman" w:hAnsi="Times New Roman" w:cs="Times Ext Roman"/>
        </w:rPr>
        <w:t>為題，隨講隨刊；聽眾能聽懂的，僅有續明與星森</w:t>
      </w:r>
      <w:r w:rsidRPr="00DA3BC7">
        <w:rPr>
          <w:rStyle w:val="a6"/>
          <w:rFonts w:ascii="Times New Roman" w:hAnsi="Times New Roman" w:cs="Times Ext Roman"/>
        </w:rPr>
        <w:footnoteReference w:id="10"/>
      </w:r>
      <w:r w:rsidRPr="00DA3BC7">
        <w:rPr>
          <w:rFonts w:ascii="Times New Roman" w:hAnsi="Times New Roman" w:cs="Times Ext Roman"/>
        </w:rPr>
        <w:t>二人。</w:t>
      </w:r>
    </w:p>
    <w:p w:rsidR="00AF0EEA" w:rsidRPr="00DA3BC7" w:rsidRDefault="00AF0EEA" w:rsidP="00AE3920">
      <w:pPr>
        <w:spacing w:beforeLines="20"/>
        <w:ind w:leftChars="100" w:left="240"/>
        <w:jc w:val="both"/>
        <w:rPr>
          <w:rFonts w:ascii="Times New Roman" w:hAnsi="Times New Roman" w:cs="Times Ext Roman"/>
        </w:rPr>
      </w:pPr>
      <w:r w:rsidRPr="00DA3BC7">
        <w:rPr>
          <w:rFonts w:ascii="Times New Roman" w:hAnsi="Times New Roman" w:cs="Times Ext Roman"/>
        </w:rPr>
        <w:t>我本想寫（或講）一「性空思想史」，上編為阿含之空、阿毘曇之空；中編為性空大乘經之空、</w:t>
      </w:r>
      <w:r w:rsidRPr="00DA3BC7">
        <w:rPr>
          <w:rFonts w:ascii="Times New Roman" w:hAnsi="Times New Roman" w:cs="Times Ext Roman"/>
          <w:b/>
        </w:rPr>
        <w:t>中觀論之空</w:t>
      </w:r>
      <w:r w:rsidRPr="00DA3BC7">
        <w:rPr>
          <w:rFonts w:ascii="Times New Roman" w:hAnsi="Times New Roman" w:cs="Times Ext Roman"/>
        </w:rPr>
        <w:t>；下編為真常者之空、唯識者之空、中觀者之空</w:t>
      </w:r>
      <w:r w:rsidRPr="00DA3BC7">
        <w:rPr>
          <w:rFonts w:ascii="新細明體" w:hAnsi="新細明體" w:cs="Times Ext Roman"/>
        </w:rPr>
        <w:t>──</w:t>
      </w:r>
      <w:r w:rsidRPr="00DA3BC7">
        <w:rPr>
          <w:rFonts w:ascii="Times New Roman" w:hAnsi="Times New Roman" w:cs="Times Ext Roman"/>
        </w:rPr>
        <w:t>共為七章。《性空學探源》，即初編約十萬字。後五章，非五</w:t>
      </w:r>
      <w:r w:rsidRPr="00DA3BC7">
        <w:rPr>
          <w:rFonts w:ascii="Times New Roman" w:hAnsi="Times New Roman" w:cs="Times Ext Roman" w:hint="eastAsia"/>
        </w:rPr>
        <w:t>、</w:t>
      </w:r>
      <w:r w:rsidRPr="00DA3BC7">
        <w:rPr>
          <w:rFonts w:ascii="Times New Roman" w:hAnsi="Times New Roman" w:cs="Times Ext Roman"/>
        </w:rPr>
        <w:t>六十萬字不可。</w:t>
      </w:r>
    </w:p>
    <w:p w:rsidR="00AF0EEA" w:rsidRPr="00DA3BC7" w:rsidRDefault="00AF0EEA" w:rsidP="00AE3920">
      <w:pPr>
        <w:spacing w:beforeLines="20"/>
        <w:ind w:leftChars="100" w:left="240"/>
        <w:jc w:val="both"/>
        <w:rPr>
          <w:rFonts w:ascii="Times New Roman" w:hAnsi="Times New Roman" w:cs="Times Ext Roman"/>
        </w:rPr>
      </w:pPr>
      <w:r w:rsidRPr="00DA3BC7">
        <w:rPr>
          <w:rFonts w:ascii="Times New Roman" w:hAnsi="Times New Roman" w:cs="Times Ext Roman"/>
        </w:rPr>
        <w:t>處在這社會極度動亂的時代，學友時常勸我，要我略談中觀正義，所以</w:t>
      </w:r>
      <w:r w:rsidRPr="00DA3BC7">
        <w:rPr>
          <w:rFonts w:ascii="Times New Roman" w:hAnsi="Times New Roman" w:cs="Times Ext Roman"/>
          <w:b/>
        </w:rPr>
        <w:t>先摘取「中觀論之空」而講為《中觀今論》</w:t>
      </w:r>
      <w:r w:rsidRPr="00DA3BC7">
        <w:rPr>
          <w:rFonts w:ascii="Times New Roman" w:hAnsi="Times New Roman" w:cs="Times Ext Roman"/>
        </w:rPr>
        <w:t>。但體裁不同，不免簡略得多了！</w:t>
      </w:r>
    </w:p>
    <w:p w:rsidR="00AF0EEA" w:rsidRPr="00DA3BC7" w:rsidRDefault="00EF5E89" w:rsidP="00AE3920">
      <w:pPr>
        <w:spacing w:beforeLines="30"/>
        <w:ind w:leftChars="100" w:left="240"/>
        <w:jc w:val="both"/>
        <w:rPr>
          <w:rFonts w:ascii="Times New Roman" w:hAnsi="Times New Roman" w:cs="Times Ext Roman"/>
          <w:b/>
          <w:sz w:val="20"/>
          <w:bdr w:val="single" w:sz="4" w:space="0" w:color="auto"/>
        </w:rPr>
      </w:pPr>
      <w:r w:rsidRPr="00EF5E89">
        <w:rPr>
          <w:rFonts w:ascii="Times New Roman" w:hAnsi="Times New Roman" w:cs="Times Ext Roman" w:hint="eastAsia"/>
          <w:b/>
          <w:color w:val="FF0000"/>
          <w:sz w:val="20"/>
          <w:szCs w:val="20"/>
          <w:highlight w:val="yellow"/>
          <w:bdr w:val="single" w:sz="4" w:space="0" w:color="auto"/>
        </w:rPr>
        <w:t>二、</w:t>
      </w:r>
      <w:r>
        <w:rPr>
          <w:rFonts w:ascii="Times New Roman" w:hAnsi="Times New Roman" w:cs="Times Ext Roman" w:hint="eastAsia"/>
          <w:b/>
          <w:color w:val="FF0000"/>
          <w:sz w:val="20"/>
          <w:szCs w:val="20"/>
          <w:highlight w:val="yellow"/>
          <w:bdr w:val="single" w:sz="4" w:space="0" w:color="auto"/>
        </w:rPr>
        <w:t>宗旨意趣</w:t>
      </w:r>
      <w:r w:rsidR="00AF0EEA" w:rsidRPr="00DA3BC7">
        <w:rPr>
          <w:rFonts w:ascii="Times New Roman" w:hAnsi="Times New Roman" w:cs="Times Ext Roman" w:hint="eastAsia"/>
          <w:sz w:val="20"/>
        </w:rPr>
        <w:t>（</w:t>
      </w:r>
      <w:r w:rsidR="00C831BF">
        <w:rPr>
          <w:rFonts w:ascii="Times New Roman" w:hAnsi="Times New Roman" w:cs="Times Ext Roman"/>
          <w:sz w:val="20"/>
        </w:rPr>
        <w:t>p.</w:t>
      </w:r>
      <w:r w:rsidR="00C831BF">
        <w:rPr>
          <w:rFonts w:ascii="Times New Roman" w:hAnsi="Times New Roman" w:cs="Times Ext Roman"/>
          <w:color w:val="FF0000"/>
          <w:sz w:val="20"/>
          <w:highlight w:val="yellow"/>
        </w:rPr>
        <w:t>a</w:t>
      </w:r>
      <w:r w:rsidR="00AF0EEA" w:rsidRPr="00DA3BC7">
        <w:rPr>
          <w:rFonts w:ascii="Times New Roman" w:hAnsi="Times New Roman" w:cs="Times Ext Roman" w:hint="eastAsia"/>
          <w:sz w:val="20"/>
        </w:rPr>
        <w:t>3</w:t>
      </w:r>
      <w:r w:rsidR="00AF0EEA" w:rsidRPr="00DA3BC7">
        <w:rPr>
          <w:rFonts w:ascii="Times New Roman" w:hAnsi="Times New Roman" w:cs="Times Ext Roman" w:hint="eastAsia"/>
          <w:sz w:val="20"/>
        </w:rPr>
        <w:t>）</w:t>
      </w:r>
    </w:p>
    <w:p w:rsidR="00AF0EEA" w:rsidRPr="00DA3BC7" w:rsidRDefault="00AF0EEA" w:rsidP="00110E14">
      <w:pPr>
        <w:ind w:leftChars="100" w:left="240"/>
        <w:jc w:val="both"/>
        <w:rPr>
          <w:rFonts w:ascii="Times New Roman" w:hAnsi="Times New Roman" w:cs="Times Ext Roman"/>
          <w:b/>
        </w:rPr>
      </w:pPr>
      <w:r w:rsidRPr="00DA3BC7">
        <w:rPr>
          <w:rFonts w:ascii="Times New Roman" w:hAnsi="Times New Roman" w:cs="Times Ext Roman"/>
          <w:b/>
        </w:rPr>
        <w:t>《</w:t>
      </w:r>
      <w:r w:rsidRPr="00DA3BC7">
        <w:rPr>
          <w:rFonts w:ascii="Times New Roman" w:hAnsi="Times New Roman" w:cs="Times Ext Roman" w:hint="eastAsia"/>
          <w:b/>
        </w:rPr>
        <w:t>中觀</w:t>
      </w:r>
      <w:r w:rsidRPr="00DA3BC7">
        <w:rPr>
          <w:rFonts w:ascii="Times New Roman" w:hAnsi="Times New Roman" w:cs="Times Ext Roman"/>
          <w:b/>
        </w:rPr>
        <w:t>今論》並不代表空宗的某一派，是以龍樹《中論》為本，《</w:t>
      </w:r>
      <w:r w:rsidRPr="00DA3BC7">
        <w:rPr>
          <w:rFonts w:ascii="Times New Roman" w:hAnsi="Times New Roman" w:cs="Times Ext Roman" w:hint="eastAsia"/>
          <w:b/>
        </w:rPr>
        <w:t>大</w:t>
      </w:r>
      <w:r w:rsidRPr="00DA3BC7">
        <w:rPr>
          <w:rFonts w:ascii="Times New Roman" w:hAnsi="Times New Roman" w:cs="Times Ext Roman"/>
          <w:b/>
        </w:rPr>
        <w:t>智</w:t>
      </w:r>
      <w:r w:rsidRPr="00DA3BC7">
        <w:rPr>
          <w:rFonts w:ascii="Times New Roman" w:hAnsi="Times New Roman" w:cs="Times Ext Roman" w:hint="eastAsia"/>
          <w:b/>
        </w:rPr>
        <w:t>度</w:t>
      </w:r>
      <w:r w:rsidRPr="00DA3BC7">
        <w:rPr>
          <w:rFonts w:ascii="Times New Roman" w:hAnsi="Times New Roman" w:cs="Times Ext Roman"/>
          <w:b/>
        </w:rPr>
        <w:t>論》為助，出入諸家</w:t>
      </w:r>
      <w:r w:rsidRPr="00DA3BC7">
        <w:rPr>
          <w:rStyle w:val="a6"/>
          <w:rFonts w:ascii="Times New Roman" w:hAnsi="Times New Roman" w:cs="Times Ext Roman"/>
        </w:rPr>
        <w:footnoteReference w:id="11"/>
      </w:r>
      <w:r w:rsidRPr="00DA3BC7">
        <w:rPr>
          <w:rFonts w:ascii="Times New Roman" w:hAnsi="Times New Roman" w:cs="Times Ext Roman"/>
          <w:b/>
        </w:rPr>
        <w:t>而自成一完整的體系。</w:t>
      </w:r>
    </w:p>
    <w:p w:rsidR="00EF5E89" w:rsidRDefault="00EF5E89" w:rsidP="00AE3920">
      <w:pPr>
        <w:spacing w:beforeLines="30"/>
        <w:ind w:leftChars="50" w:left="120"/>
        <w:jc w:val="both"/>
        <w:rPr>
          <w:rFonts w:ascii="Times New Roman" w:hAnsi="Times New Roman" w:cs="Times Ext Roman"/>
          <w:sz w:val="20"/>
        </w:rPr>
      </w:pPr>
      <w:r w:rsidRPr="00EF5E89">
        <w:rPr>
          <w:rFonts w:ascii="Times New Roman" w:hAnsi="Times New Roman" w:cs="Times Ext Roman"/>
          <w:b/>
          <w:color w:val="FF0000"/>
          <w:sz w:val="20"/>
          <w:highlight w:val="yellow"/>
          <w:bdr w:val="single" w:sz="4" w:space="0" w:color="auto"/>
        </w:rPr>
        <w:lastRenderedPageBreak/>
        <w:t>（</w:t>
      </w:r>
      <w:r w:rsidRPr="00EF5E89">
        <w:rPr>
          <w:rFonts w:ascii="Times New Roman" w:hAnsi="Times New Roman" w:cs="Times Ext Roman" w:hint="eastAsia"/>
          <w:b/>
          <w:color w:val="FF0000"/>
          <w:sz w:val="20"/>
          <w:highlight w:val="yellow"/>
          <w:bdr w:val="single" w:sz="4" w:space="0" w:color="auto"/>
        </w:rPr>
        <w:t>參</w:t>
      </w:r>
      <w:r w:rsidRPr="00EF5E89">
        <w:rPr>
          <w:rFonts w:ascii="Times New Roman" w:hAnsi="Times New Roman" w:cs="Times Ext Roman"/>
          <w:b/>
          <w:color w:val="FF0000"/>
          <w:sz w:val="20"/>
          <w:highlight w:val="yellow"/>
          <w:bdr w:val="single" w:sz="4" w:space="0" w:color="auto"/>
        </w:rPr>
        <w:t>）</w:t>
      </w:r>
      <w:r w:rsidRPr="00EF5E89">
        <w:rPr>
          <w:rFonts w:ascii="Times New Roman" w:hAnsi="Times New Roman" w:cs="Times Ext Roman" w:hint="eastAsia"/>
          <w:b/>
          <w:color w:val="FF0000"/>
          <w:sz w:val="20"/>
          <w:highlight w:val="yellow"/>
          <w:bdr w:val="single" w:sz="4" w:space="0" w:color="auto"/>
        </w:rPr>
        <w:t>結歎因緣</w:t>
      </w:r>
      <w:r>
        <w:rPr>
          <w:rFonts w:ascii="Times New Roman" w:hAnsi="Times New Roman" w:cs="Times Ext Roman" w:hint="eastAsia"/>
          <w:b/>
          <w:color w:val="FF0000"/>
          <w:sz w:val="20"/>
          <w:highlight w:val="yellow"/>
          <w:bdr w:val="single" w:sz="4" w:space="0" w:color="auto"/>
        </w:rPr>
        <w:t>甚深</w:t>
      </w:r>
      <w:r w:rsidRPr="00DA3BC7">
        <w:rPr>
          <w:rFonts w:ascii="Times New Roman" w:hAnsi="Times New Roman" w:cs="Times Ext Roman" w:hint="eastAsia"/>
          <w:sz w:val="20"/>
        </w:rPr>
        <w:t>（</w:t>
      </w:r>
      <w:r w:rsidRPr="00DA3BC7">
        <w:rPr>
          <w:rFonts w:ascii="Times New Roman" w:hAnsi="Times New Roman"/>
          <w:sz w:val="20"/>
        </w:rPr>
        <w:t>p.</w:t>
      </w:r>
      <w:r w:rsidR="00C831BF">
        <w:rPr>
          <w:rFonts w:ascii="Times New Roman" w:hAnsi="Times New Roman" w:cs="Times Ext Roman"/>
          <w:color w:val="FF0000"/>
          <w:sz w:val="20"/>
          <w:highlight w:val="yellow"/>
        </w:rPr>
        <w:t>a</w:t>
      </w:r>
      <w:r>
        <w:rPr>
          <w:rFonts w:ascii="Times New Roman" w:hAnsi="Times New Roman" w:hint="eastAsia"/>
          <w:sz w:val="20"/>
        </w:rPr>
        <w:t>3</w:t>
      </w:r>
      <w:r w:rsidRPr="00DA3BC7">
        <w:rPr>
          <w:rFonts w:ascii="Times New Roman" w:hAnsi="Times New Roman" w:cs="Times Ext Roman" w:hint="eastAsia"/>
          <w:sz w:val="20"/>
        </w:rPr>
        <w:t>）</w:t>
      </w:r>
    </w:p>
    <w:p w:rsidR="00AF0EEA" w:rsidRPr="00DA3BC7" w:rsidRDefault="00AF0EEA" w:rsidP="008E2BBC">
      <w:pPr>
        <w:ind w:leftChars="50" w:left="120"/>
        <w:jc w:val="both"/>
        <w:rPr>
          <w:rFonts w:ascii="Times New Roman" w:hAnsi="Times New Roman" w:cs="Times Ext Roman"/>
        </w:rPr>
      </w:pPr>
      <w:r w:rsidRPr="00DA3BC7">
        <w:rPr>
          <w:rFonts w:ascii="Times New Roman" w:hAnsi="Times New Roman" w:cs="Times Ext Roman"/>
        </w:rPr>
        <w:t>本論完成於社會變動日急的今日，回想《中論》與我的因緣，二十多年來給我的法喜，不覺分外</w:t>
      </w:r>
      <w:r w:rsidRPr="00DA3BC7">
        <w:rPr>
          <w:rStyle w:val="a6"/>
          <w:rFonts w:ascii="Times New Roman" w:hAnsi="Times New Roman" w:cs="Times Ext Roman"/>
        </w:rPr>
        <w:footnoteReference w:id="12"/>
      </w:r>
      <w:r w:rsidRPr="00DA3BC7">
        <w:rPr>
          <w:rFonts w:ascii="Times New Roman" w:hAnsi="Times New Roman" w:cs="Times Ext Roman"/>
        </w:rPr>
        <w:t>的歡喜！</w:t>
      </w:r>
    </w:p>
    <w:p w:rsidR="00AF0EEA" w:rsidRPr="00DA3BC7" w:rsidRDefault="00AF0EEA" w:rsidP="00AE3920">
      <w:pPr>
        <w:spacing w:beforeLines="30"/>
        <w:jc w:val="both"/>
        <w:rPr>
          <w:rFonts w:ascii="Times New Roman" w:hAnsi="Times New Roman" w:cs="Times Ext Roman"/>
          <w:sz w:val="20"/>
          <w:bdr w:val="single" w:sz="4" w:space="0" w:color="auto"/>
        </w:rPr>
      </w:pPr>
      <w:r w:rsidRPr="00DA3BC7">
        <w:rPr>
          <w:rFonts w:ascii="Times New Roman" w:hAnsi="Times New Roman" w:cs="Times Ext Roman" w:hint="eastAsia"/>
          <w:b/>
          <w:sz w:val="20"/>
          <w:bdr w:val="single" w:sz="4" w:space="0" w:color="auto"/>
        </w:rPr>
        <w:t>貳</w:t>
      </w:r>
      <w:r w:rsidRPr="00DA3BC7">
        <w:rPr>
          <w:rFonts w:ascii="Times New Roman" w:hAnsi="Times New Roman" w:cs="Times Ext Roman"/>
          <w:b/>
          <w:sz w:val="20"/>
          <w:bdr w:val="single" w:sz="4" w:space="0" w:color="auto"/>
        </w:rPr>
        <w:t>、</w:t>
      </w:r>
      <w:r w:rsidR="00E8506A" w:rsidRPr="00E8506A">
        <w:rPr>
          <w:rFonts w:ascii="Times New Roman" w:hAnsi="Times New Roman" w:cs="Times Ext Roman"/>
          <w:b/>
          <w:color w:val="FF0000"/>
          <w:sz w:val="20"/>
          <w:highlight w:val="yellow"/>
          <w:bdr w:val="single" w:sz="4" w:space="0" w:color="auto"/>
        </w:rPr>
        <w:t>《中觀今論》</w:t>
      </w:r>
      <w:r w:rsidRPr="00E8506A">
        <w:rPr>
          <w:rFonts w:ascii="Times New Roman" w:hAnsi="Times New Roman" w:cs="Times Ext Roman"/>
          <w:b/>
          <w:color w:val="FF0000"/>
          <w:sz w:val="20"/>
          <w:highlight w:val="yellow"/>
          <w:bdr w:val="single" w:sz="4" w:space="0" w:color="auto"/>
        </w:rPr>
        <w:t>的</w:t>
      </w:r>
      <w:r w:rsidR="00E8506A" w:rsidRPr="00E8506A">
        <w:rPr>
          <w:rFonts w:ascii="Times New Roman" w:hAnsi="Times New Roman" w:cs="Times Ext Roman" w:hint="eastAsia"/>
          <w:b/>
          <w:color w:val="FF0000"/>
          <w:sz w:val="20"/>
          <w:highlight w:val="yellow"/>
          <w:bdr w:val="single" w:sz="4" w:space="0" w:color="auto"/>
        </w:rPr>
        <w:t>核心議題</w:t>
      </w:r>
      <w:r w:rsidRPr="00DA3BC7">
        <w:rPr>
          <w:rStyle w:val="a6"/>
          <w:rFonts w:ascii="Times New Roman" w:hAnsi="Times New Roman"/>
        </w:rPr>
        <w:footnoteReference w:id="13"/>
      </w:r>
      <w:r w:rsidRPr="00DA3BC7">
        <w:rPr>
          <w:rFonts w:ascii="Times New Roman" w:hAnsi="Times New Roman" w:cs="Times Ext Roman" w:hint="eastAsia"/>
          <w:sz w:val="20"/>
        </w:rPr>
        <w:t>（</w:t>
      </w:r>
      <w:r w:rsidR="00C831BF" w:rsidRPr="00DA3BC7">
        <w:rPr>
          <w:rFonts w:ascii="Times New Roman" w:hAnsi="Times New Roman" w:cs="Times Ext Roman" w:hint="eastAsia"/>
          <w:sz w:val="20"/>
        </w:rPr>
        <w:t>pp.</w:t>
      </w:r>
      <w:r w:rsidR="00C831BF">
        <w:rPr>
          <w:rFonts w:ascii="Times New Roman" w:hAnsi="Times New Roman" w:cs="Times Ext Roman"/>
          <w:color w:val="FF0000"/>
          <w:sz w:val="20"/>
          <w:highlight w:val="yellow"/>
        </w:rPr>
        <w:t>a</w:t>
      </w:r>
      <w:r w:rsidR="00C831BF" w:rsidRPr="00DA3BC7">
        <w:rPr>
          <w:rFonts w:ascii="Times New Roman" w:hAnsi="Times New Roman" w:cs="Times Ext Roman" w:hint="eastAsia"/>
          <w:sz w:val="20"/>
        </w:rPr>
        <w:t>3</w:t>
      </w:r>
      <w:r w:rsidR="00C831BF">
        <w:rPr>
          <w:rFonts w:ascii="Times New Roman" w:hAnsi="Times New Roman" w:cs="Times Ext Roman" w:hint="eastAsia"/>
          <w:sz w:val="20"/>
        </w:rPr>
        <w:t>-</w:t>
      </w:r>
      <w:r w:rsidR="00C831BF">
        <w:rPr>
          <w:rFonts w:ascii="Times New Roman" w:hAnsi="Times New Roman" w:cs="Times Ext Roman"/>
          <w:color w:val="FF0000"/>
          <w:sz w:val="20"/>
          <w:highlight w:val="yellow"/>
        </w:rPr>
        <w:t>a</w:t>
      </w:r>
      <w:r w:rsidRPr="00DA3BC7">
        <w:rPr>
          <w:rFonts w:ascii="Times New Roman" w:hAnsi="Times New Roman" w:cs="Times Ext Roman" w:hint="eastAsia"/>
          <w:sz w:val="20"/>
        </w:rPr>
        <w:t>10</w:t>
      </w:r>
      <w:r w:rsidRPr="00DA3BC7">
        <w:rPr>
          <w:rFonts w:ascii="Times New Roman" w:hAnsi="Times New Roman" w:cs="Times Ext Roman" w:hint="eastAsia"/>
          <w:sz w:val="20"/>
        </w:rPr>
        <w:t>）</w:t>
      </w:r>
    </w:p>
    <w:p w:rsidR="0076184F" w:rsidRDefault="0076184F" w:rsidP="008E2BBC">
      <w:pPr>
        <w:ind w:leftChars="50" w:left="120"/>
        <w:jc w:val="both"/>
        <w:rPr>
          <w:rFonts w:ascii="Times New Roman" w:hAnsi="Times New Roman" w:cs="Times Ext Roman"/>
          <w:sz w:val="20"/>
        </w:rPr>
      </w:pPr>
      <w:r w:rsidRPr="0076184F">
        <w:rPr>
          <w:rFonts w:ascii="Times New Roman" w:hAnsi="Times New Roman" w:cs="Times Ext Roman"/>
          <w:b/>
          <w:color w:val="FF0000"/>
          <w:sz w:val="20"/>
          <w:highlight w:val="yellow"/>
          <w:bdr w:val="single" w:sz="4" w:space="0" w:color="auto"/>
        </w:rPr>
        <w:t>（壹）</w:t>
      </w:r>
      <w:r w:rsidRPr="0076184F">
        <w:rPr>
          <w:rFonts w:ascii="Times New Roman" w:hAnsi="Times New Roman" w:cs="Times Ext Roman" w:hint="eastAsia"/>
          <w:b/>
          <w:color w:val="FF0000"/>
          <w:sz w:val="20"/>
          <w:highlight w:val="yellow"/>
          <w:bdr w:val="single" w:sz="4" w:space="0" w:color="auto"/>
        </w:rPr>
        <w:t>總明</w:t>
      </w:r>
      <w:r w:rsidRPr="00DA3BC7">
        <w:rPr>
          <w:rFonts w:ascii="Times New Roman" w:hAnsi="Times New Roman" w:cs="Times Ext Roman" w:hint="eastAsia"/>
          <w:sz w:val="20"/>
        </w:rPr>
        <w:t>（</w:t>
      </w:r>
      <w:r w:rsidR="00C831BF">
        <w:rPr>
          <w:rFonts w:ascii="Times New Roman" w:hAnsi="Times New Roman" w:cs="Times Ext Roman"/>
          <w:sz w:val="20"/>
        </w:rPr>
        <w:t>p.</w:t>
      </w:r>
      <w:r w:rsidR="00C831BF">
        <w:rPr>
          <w:rFonts w:ascii="Times New Roman" w:hAnsi="Times New Roman" w:cs="Times Ext Roman"/>
          <w:color w:val="FF0000"/>
          <w:sz w:val="20"/>
          <w:highlight w:val="yellow"/>
        </w:rPr>
        <w:t>a</w:t>
      </w:r>
      <w:r>
        <w:rPr>
          <w:rFonts w:ascii="Times New Roman" w:hAnsi="Times New Roman" w:hint="eastAsia"/>
          <w:sz w:val="20"/>
        </w:rPr>
        <w:t>3</w:t>
      </w:r>
      <w:r w:rsidRPr="00DA3BC7">
        <w:rPr>
          <w:rFonts w:ascii="Times New Roman" w:hAnsi="Times New Roman" w:cs="Times Ext Roman" w:hint="eastAsia"/>
          <w:sz w:val="20"/>
        </w:rPr>
        <w:t>）</w:t>
      </w:r>
    </w:p>
    <w:p w:rsidR="00AF0EEA" w:rsidRPr="00DA3BC7" w:rsidRDefault="00AF0EEA" w:rsidP="00110E14">
      <w:pPr>
        <w:ind w:leftChars="50" w:left="120"/>
        <w:jc w:val="both"/>
        <w:rPr>
          <w:rFonts w:ascii="Times New Roman" w:hAnsi="Times New Roman" w:cs="Times Ext Roman"/>
        </w:rPr>
      </w:pPr>
      <w:r w:rsidRPr="00DA3BC7">
        <w:rPr>
          <w:rFonts w:ascii="Times New Roman" w:hAnsi="Times New Roman" w:cs="Times Ext Roman"/>
        </w:rPr>
        <w:t>中觀學值得稱述的精義，莫過於「大小共貫」、「真俗無礙」。</w:t>
      </w:r>
    </w:p>
    <w:p w:rsidR="0076184F" w:rsidRDefault="0076184F" w:rsidP="00AE3920">
      <w:pPr>
        <w:spacing w:beforeLines="30"/>
        <w:ind w:leftChars="50" w:left="120"/>
        <w:jc w:val="both"/>
        <w:rPr>
          <w:rFonts w:ascii="Times New Roman" w:hAnsi="Times New Roman" w:cs="Times Ext Roman"/>
          <w:sz w:val="20"/>
        </w:rPr>
      </w:pPr>
      <w:r w:rsidRPr="0076184F">
        <w:rPr>
          <w:rFonts w:ascii="Times New Roman" w:hAnsi="Times New Roman" w:cs="Times Ext Roman"/>
          <w:b/>
          <w:color w:val="FF0000"/>
          <w:sz w:val="20"/>
          <w:highlight w:val="yellow"/>
          <w:bdr w:val="single" w:sz="4" w:space="0" w:color="auto"/>
        </w:rPr>
        <w:t>（</w:t>
      </w:r>
      <w:r w:rsidRPr="0076184F">
        <w:rPr>
          <w:rFonts w:ascii="Times New Roman" w:hAnsi="Times New Roman" w:cs="Times Ext Roman" w:hint="eastAsia"/>
          <w:b/>
          <w:color w:val="FF0000"/>
          <w:sz w:val="20"/>
          <w:highlight w:val="yellow"/>
          <w:bdr w:val="single" w:sz="4" w:space="0" w:color="auto"/>
        </w:rPr>
        <w:t>貳</w:t>
      </w:r>
      <w:r w:rsidRPr="0076184F">
        <w:rPr>
          <w:rFonts w:ascii="Times New Roman" w:hAnsi="Times New Roman" w:cs="Times Ext Roman"/>
          <w:b/>
          <w:color w:val="FF0000"/>
          <w:sz w:val="20"/>
          <w:highlight w:val="yellow"/>
          <w:bdr w:val="single" w:sz="4" w:space="0" w:color="auto"/>
        </w:rPr>
        <w:t>）</w:t>
      </w:r>
      <w:r>
        <w:rPr>
          <w:rFonts w:ascii="Times New Roman" w:hAnsi="Times New Roman" w:cs="Times Ext Roman" w:hint="eastAsia"/>
          <w:b/>
          <w:color w:val="FF0000"/>
          <w:sz w:val="20"/>
          <w:highlight w:val="yellow"/>
          <w:bdr w:val="single" w:sz="4" w:space="0" w:color="auto"/>
        </w:rPr>
        <w:t>別</w:t>
      </w:r>
      <w:r w:rsidRPr="00EF5E89">
        <w:rPr>
          <w:rFonts w:ascii="Times New Roman" w:hAnsi="Times New Roman" w:cs="Times Ext Roman" w:hint="eastAsia"/>
          <w:b/>
          <w:color w:val="FF0000"/>
          <w:sz w:val="20"/>
          <w:highlight w:val="yellow"/>
          <w:bdr w:val="single" w:sz="4" w:space="0" w:color="auto"/>
        </w:rPr>
        <w:t>述</w:t>
      </w:r>
      <w:r w:rsidRPr="00DA3BC7">
        <w:rPr>
          <w:rFonts w:ascii="Times New Roman" w:hAnsi="Times New Roman" w:cs="Times Ext Roman" w:hint="eastAsia"/>
          <w:sz w:val="20"/>
        </w:rPr>
        <w:t>（</w:t>
      </w:r>
      <w:r w:rsidR="00C831BF" w:rsidRPr="00DA3BC7">
        <w:rPr>
          <w:rFonts w:ascii="Times New Roman" w:hAnsi="Times New Roman" w:cs="Times Ext Roman" w:hint="eastAsia"/>
          <w:sz w:val="20"/>
        </w:rPr>
        <w:t>pp.</w:t>
      </w:r>
      <w:r w:rsidR="00C831BF">
        <w:rPr>
          <w:rFonts w:ascii="Times New Roman" w:hAnsi="Times New Roman" w:cs="Times Ext Roman"/>
          <w:color w:val="FF0000"/>
          <w:sz w:val="20"/>
          <w:highlight w:val="yellow"/>
        </w:rPr>
        <w:t>a</w:t>
      </w:r>
      <w:r w:rsidR="00C831BF" w:rsidRPr="00DA3BC7">
        <w:rPr>
          <w:rFonts w:ascii="Times New Roman" w:hAnsi="Times New Roman" w:cs="Times Ext Roman" w:hint="eastAsia"/>
          <w:sz w:val="20"/>
        </w:rPr>
        <w:t>3</w:t>
      </w:r>
      <w:r w:rsidR="004A154C">
        <w:rPr>
          <w:rFonts w:ascii="Times New Roman" w:hAnsi="Times New Roman" w:cs="Times Ext Roman" w:hint="eastAsia"/>
          <w:sz w:val="20"/>
        </w:rPr>
        <w:t>-</w:t>
      </w:r>
      <w:r w:rsidR="00C831BF">
        <w:rPr>
          <w:rFonts w:ascii="Times New Roman" w:hAnsi="Times New Roman" w:cs="Times Ext Roman"/>
          <w:color w:val="FF0000"/>
          <w:sz w:val="20"/>
          <w:highlight w:val="yellow"/>
        </w:rPr>
        <w:t>a</w:t>
      </w:r>
      <w:r w:rsidR="00C831BF" w:rsidRPr="00DA3BC7">
        <w:rPr>
          <w:rFonts w:ascii="Times New Roman" w:hAnsi="Times New Roman" w:cs="Times Ext Roman" w:hint="eastAsia"/>
          <w:sz w:val="20"/>
        </w:rPr>
        <w:t>5</w:t>
      </w:r>
      <w:r w:rsidRPr="00DA3BC7">
        <w:rPr>
          <w:rFonts w:ascii="Times New Roman" w:hAnsi="Times New Roman" w:cs="Times Ext Roman" w:hint="eastAsia"/>
          <w:sz w:val="20"/>
        </w:rPr>
        <w:t>）</w:t>
      </w:r>
    </w:p>
    <w:p w:rsidR="00AF0EEA" w:rsidRPr="00DA3BC7" w:rsidRDefault="0076184F" w:rsidP="008E2BBC">
      <w:pPr>
        <w:ind w:leftChars="100" w:left="240"/>
        <w:jc w:val="both"/>
        <w:rPr>
          <w:rFonts w:ascii="Times New Roman" w:hAnsi="Times New Roman" w:cs="Times Ext Roman"/>
          <w:sz w:val="20"/>
          <w:bdr w:val="single" w:sz="4" w:space="0" w:color="auto"/>
        </w:rPr>
      </w:pPr>
      <w:r w:rsidRPr="0076184F">
        <w:rPr>
          <w:rFonts w:ascii="Times New Roman" w:hAnsi="Times New Roman" w:cs="Times Ext Roman" w:hint="eastAsia"/>
          <w:b/>
          <w:color w:val="FF0000"/>
          <w:sz w:val="20"/>
          <w:highlight w:val="yellow"/>
          <w:bdr w:val="single" w:sz="4" w:space="0" w:color="auto"/>
        </w:rPr>
        <w:t>一、</w:t>
      </w:r>
      <w:r w:rsidR="00AF0EEA" w:rsidRPr="00DA3BC7">
        <w:rPr>
          <w:rFonts w:ascii="Times New Roman" w:hAnsi="Times New Roman" w:cs="Times Ext Roman"/>
          <w:b/>
          <w:sz w:val="20"/>
          <w:bdr w:val="single" w:sz="4" w:space="0" w:color="auto"/>
        </w:rPr>
        <w:t>大小共貫</w:t>
      </w:r>
      <w:r w:rsidR="00AF0EEA" w:rsidRPr="00DA3BC7">
        <w:rPr>
          <w:rFonts w:ascii="Times New Roman" w:hAnsi="Times New Roman" w:cs="Times Ext Roman" w:hint="eastAsia"/>
          <w:sz w:val="20"/>
        </w:rPr>
        <w:t>（</w:t>
      </w:r>
      <w:r w:rsidR="00AF0EEA" w:rsidRPr="00DA3BC7">
        <w:rPr>
          <w:rFonts w:ascii="Times New Roman" w:hAnsi="Times New Roman" w:cs="Times Ext Roman" w:hint="eastAsia"/>
          <w:sz w:val="20"/>
        </w:rPr>
        <w:t>pp.</w:t>
      </w:r>
      <w:r w:rsidR="00C831BF">
        <w:rPr>
          <w:rFonts w:ascii="Times New Roman" w:hAnsi="Times New Roman" w:cs="Times Ext Roman"/>
          <w:color w:val="FF0000"/>
          <w:sz w:val="20"/>
          <w:highlight w:val="yellow"/>
        </w:rPr>
        <w:t>a</w:t>
      </w:r>
      <w:r w:rsidR="00AF0EEA" w:rsidRPr="00DA3BC7">
        <w:rPr>
          <w:rFonts w:ascii="Times New Roman" w:hAnsi="Times New Roman" w:cs="Times Ext Roman" w:hint="eastAsia"/>
          <w:sz w:val="20"/>
        </w:rPr>
        <w:t>3</w:t>
      </w:r>
      <w:r w:rsidR="004A154C">
        <w:rPr>
          <w:rFonts w:ascii="Times New Roman" w:hAnsi="Times New Roman" w:cs="Times Ext Roman" w:hint="eastAsia"/>
          <w:sz w:val="20"/>
        </w:rPr>
        <w:t>-</w:t>
      </w:r>
      <w:r w:rsidR="00C831BF">
        <w:rPr>
          <w:rFonts w:ascii="Times New Roman" w:hAnsi="Times New Roman" w:cs="Times Ext Roman"/>
          <w:color w:val="FF0000"/>
          <w:sz w:val="20"/>
          <w:highlight w:val="yellow"/>
        </w:rPr>
        <w:t>a</w:t>
      </w:r>
      <w:r w:rsidR="00AF0EEA" w:rsidRPr="00DA3BC7">
        <w:rPr>
          <w:rFonts w:ascii="Times New Roman" w:hAnsi="Times New Roman" w:cs="Times Ext Roman" w:hint="eastAsia"/>
          <w:sz w:val="20"/>
        </w:rPr>
        <w:t>5</w:t>
      </w:r>
      <w:r w:rsidR="00AF0EEA" w:rsidRPr="00DA3BC7">
        <w:rPr>
          <w:rFonts w:ascii="Times New Roman" w:hAnsi="Times New Roman" w:cs="Times Ext Roman" w:hint="eastAsia"/>
          <w:sz w:val="20"/>
        </w:rPr>
        <w:t>）</w:t>
      </w:r>
    </w:p>
    <w:p w:rsidR="00AF0EEA" w:rsidRPr="00DA3BC7" w:rsidRDefault="0076184F" w:rsidP="008E2BBC">
      <w:pPr>
        <w:ind w:leftChars="150" w:left="360"/>
        <w:jc w:val="both"/>
        <w:rPr>
          <w:rFonts w:ascii="Times New Roman" w:hAnsi="Times New Roman" w:cs="Times Ext Roman"/>
          <w:b/>
          <w:sz w:val="20"/>
          <w:bdr w:val="single" w:sz="4" w:space="0" w:color="auto"/>
        </w:rPr>
      </w:pPr>
      <w:r w:rsidRPr="0076184F">
        <w:rPr>
          <w:rFonts w:ascii="Times New Roman" w:hAnsi="Times New Roman" w:cs="Times Ext Roman" w:hint="eastAsia"/>
          <w:b/>
          <w:color w:val="FF0000"/>
          <w:sz w:val="20"/>
          <w:highlight w:val="yellow"/>
          <w:bdr w:val="single" w:sz="4" w:space="0" w:color="auto"/>
        </w:rPr>
        <w:t>（</w:t>
      </w:r>
      <w:r w:rsidR="00AF0EEA" w:rsidRPr="0076184F">
        <w:rPr>
          <w:rFonts w:ascii="Times New Roman" w:hAnsi="Times New Roman" w:cs="Times Ext Roman"/>
          <w:b/>
          <w:color w:val="FF0000"/>
          <w:sz w:val="20"/>
          <w:highlight w:val="yellow"/>
          <w:bdr w:val="single" w:sz="4" w:space="0" w:color="auto"/>
        </w:rPr>
        <w:t>一</w:t>
      </w:r>
      <w:r w:rsidRPr="0076184F">
        <w:rPr>
          <w:rFonts w:ascii="Times New Roman" w:hAnsi="Times New Roman" w:cs="Times Ext Roman" w:hint="eastAsia"/>
          <w:b/>
          <w:color w:val="FF0000"/>
          <w:sz w:val="20"/>
          <w:highlight w:val="yellow"/>
          <w:bdr w:val="single" w:sz="4" w:space="0" w:color="auto"/>
        </w:rPr>
        <w:t>）提要</w:t>
      </w:r>
      <w:r w:rsidR="00BE4844" w:rsidRPr="00DA3BC7">
        <w:rPr>
          <w:rFonts w:ascii="Times New Roman" w:hAnsi="Times New Roman"/>
          <w:sz w:val="20"/>
        </w:rPr>
        <w:t>（</w:t>
      </w:r>
      <w:r w:rsidR="00C831BF">
        <w:rPr>
          <w:rFonts w:ascii="Times New Roman" w:hAnsi="Times New Roman" w:cs="Times Ext Roman"/>
          <w:sz w:val="20"/>
        </w:rPr>
        <w:t>p.</w:t>
      </w:r>
      <w:r w:rsidR="00C831BF">
        <w:rPr>
          <w:rFonts w:ascii="Times New Roman" w:hAnsi="Times New Roman" w:cs="Times Ext Roman"/>
          <w:color w:val="FF0000"/>
          <w:sz w:val="20"/>
          <w:highlight w:val="yellow"/>
        </w:rPr>
        <w:t>a</w:t>
      </w:r>
      <w:r w:rsidR="00BE4844" w:rsidRPr="00DA3BC7">
        <w:rPr>
          <w:rFonts w:ascii="Times New Roman" w:hAnsi="Times New Roman"/>
          <w:sz w:val="20"/>
        </w:rPr>
        <w:t>3</w:t>
      </w:r>
      <w:r w:rsidR="00BE4844" w:rsidRPr="00DA3BC7">
        <w:rPr>
          <w:rFonts w:ascii="Times New Roman" w:hAnsi="Times New Roman"/>
          <w:sz w:val="20"/>
        </w:rPr>
        <w:t>）</w:t>
      </w:r>
    </w:p>
    <w:p w:rsidR="00AF0EEA" w:rsidRPr="00DA3BC7" w:rsidRDefault="00AF0EEA" w:rsidP="008E2BBC">
      <w:pPr>
        <w:ind w:leftChars="150" w:left="360"/>
        <w:jc w:val="both"/>
        <w:rPr>
          <w:rFonts w:ascii="Times New Roman" w:hAnsi="Times New Roman" w:cs="Times Ext Roman"/>
        </w:rPr>
      </w:pPr>
      <w:r w:rsidRPr="00DA3BC7">
        <w:rPr>
          <w:rFonts w:ascii="Times New Roman" w:hAnsi="Times New Roman" w:cs="Times Ext Roman"/>
        </w:rPr>
        <w:t>龍樹論以為：有情的生死，以無明為根源，自性見為戲論的根本。</w:t>
      </w:r>
      <w:r w:rsidRPr="00DA3BC7">
        <w:rPr>
          <w:rStyle w:val="a6"/>
          <w:rFonts w:ascii="Times New Roman" w:hAnsi="Times New Roman" w:cs="Times Ext Roman"/>
        </w:rPr>
        <w:footnoteReference w:id="14"/>
      </w:r>
    </w:p>
    <w:p w:rsidR="00110E14" w:rsidRDefault="00AF0EEA" w:rsidP="00110E14">
      <w:pPr>
        <w:ind w:leftChars="750" w:left="1800"/>
        <w:jc w:val="both"/>
        <w:rPr>
          <w:rFonts w:ascii="Times New Roman" w:hAnsi="Times New Roman" w:cs="Times Ext Roman"/>
        </w:rPr>
      </w:pPr>
      <w:r w:rsidRPr="00DA3BC7">
        <w:rPr>
          <w:rFonts w:ascii="Times New Roman" w:hAnsi="Times New Roman" w:cs="Times Ext Roman"/>
        </w:rPr>
        <w:lastRenderedPageBreak/>
        <w:t>解脫生死的三乘聖者，體悟同一的法性空寂，同觀無我無我所而得悟。</w:t>
      </w:r>
      <w:r w:rsidRPr="00DA3BC7">
        <w:rPr>
          <w:rStyle w:val="a6"/>
          <w:rFonts w:ascii="Times New Roman" w:hAnsi="Times New Roman" w:cs="Times Ext Roman"/>
        </w:rPr>
        <w:footnoteReference w:id="15"/>
      </w:r>
    </w:p>
    <w:p w:rsidR="00AF0EEA" w:rsidRPr="00DA3BC7" w:rsidRDefault="00AF0EEA" w:rsidP="00110E14">
      <w:pPr>
        <w:ind w:leftChars="750" w:left="1800"/>
        <w:jc w:val="both"/>
        <w:rPr>
          <w:rFonts w:ascii="Times New Roman" w:hAnsi="Times New Roman" w:cs="Times Ext Roman"/>
        </w:rPr>
      </w:pPr>
      <w:r w:rsidRPr="00DA3BC7">
        <w:rPr>
          <w:rFonts w:ascii="Times New Roman" w:hAnsi="Times New Roman" w:cs="Times Ext Roman"/>
        </w:rPr>
        <w:t>三法印即是一實相印，</w:t>
      </w:r>
      <w:r w:rsidRPr="00DA3BC7">
        <w:rPr>
          <w:rStyle w:val="a6"/>
          <w:rFonts w:ascii="Times New Roman" w:hAnsi="Times New Roman" w:cs="Times Ext Roman"/>
        </w:rPr>
        <w:footnoteReference w:id="16"/>
      </w:r>
      <w:r w:rsidRPr="00DA3BC7">
        <w:rPr>
          <w:rFonts w:ascii="Times New Roman" w:hAnsi="Times New Roman" w:cs="Times Ext Roman"/>
        </w:rPr>
        <w:t>三解脫門同緣實相。</w:t>
      </w:r>
      <w:r w:rsidRPr="00DA3BC7">
        <w:rPr>
          <w:rStyle w:val="a6"/>
          <w:rFonts w:ascii="Times New Roman" w:hAnsi="Times New Roman" w:cs="Times Ext Roman"/>
        </w:rPr>
        <w:footnoteReference w:id="17"/>
      </w:r>
    </w:p>
    <w:p w:rsidR="00AF0EEA" w:rsidRPr="00DA3BC7" w:rsidRDefault="00AF0EEA" w:rsidP="00110E14">
      <w:pPr>
        <w:ind w:leftChars="150" w:left="360"/>
        <w:jc w:val="both"/>
        <w:rPr>
          <w:rFonts w:ascii="Times New Roman" w:hAnsi="Times New Roman" w:cs="Times Ext Roman"/>
        </w:rPr>
      </w:pPr>
      <w:r w:rsidRPr="00DA3BC7">
        <w:rPr>
          <w:rFonts w:ascii="Times New Roman" w:hAnsi="Times New Roman" w:cs="Times Ext Roman"/>
        </w:rPr>
        <w:lastRenderedPageBreak/>
        <w:t>這樣的三乘共空，對於從來的大小相諍，可得一合理的論斷。</w:t>
      </w:r>
    </w:p>
    <w:p w:rsidR="0076184F" w:rsidRPr="0076184F" w:rsidRDefault="0076184F" w:rsidP="00AE3920">
      <w:pPr>
        <w:spacing w:beforeLines="30"/>
        <w:ind w:leftChars="150" w:left="360"/>
        <w:jc w:val="both"/>
        <w:rPr>
          <w:rFonts w:ascii="Times New Roman" w:hAnsi="Times New Roman" w:cs="Times Ext Roman"/>
          <w:b/>
          <w:color w:val="FF0000"/>
          <w:sz w:val="20"/>
          <w:highlight w:val="yellow"/>
          <w:bdr w:val="single" w:sz="4" w:space="0" w:color="auto"/>
        </w:rPr>
      </w:pPr>
      <w:r w:rsidRPr="0076184F">
        <w:rPr>
          <w:rFonts w:ascii="Times New Roman" w:hAnsi="Times New Roman" w:cs="Times Ext Roman" w:hint="eastAsia"/>
          <w:b/>
          <w:color w:val="FF0000"/>
          <w:sz w:val="20"/>
          <w:highlight w:val="yellow"/>
          <w:bdr w:val="single" w:sz="4" w:space="0" w:color="auto"/>
        </w:rPr>
        <w:t>（二）詳辨</w:t>
      </w:r>
      <w:r w:rsidR="00425E2B" w:rsidRPr="00DA3BC7">
        <w:rPr>
          <w:rFonts w:ascii="Times New Roman" w:hAnsi="Times New Roman" w:cs="Times Ext Roman" w:hint="eastAsia"/>
          <w:sz w:val="20"/>
        </w:rPr>
        <w:t>（</w:t>
      </w:r>
      <w:r w:rsidR="00425E2B" w:rsidRPr="00DA3BC7">
        <w:rPr>
          <w:rFonts w:ascii="Times New Roman" w:hAnsi="Times New Roman" w:cs="Times Ext Roman" w:hint="eastAsia"/>
          <w:sz w:val="20"/>
        </w:rPr>
        <w:t>pp.</w:t>
      </w:r>
      <w:r w:rsidR="00C831BF">
        <w:rPr>
          <w:rFonts w:ascii="Times New Roman" w:hAnsi="Times New Roman" w:cs="Times Ext Roman"/>
          <w:color w:val="FF0000"/>
          <w:sz w:val="20"/>
          <w:highlight w:val="yellow"/>
        </w:rPr>
        <w:t>a</w:t>
      </w:r>
      <w:r w:rsidR="00425E2B" w:rsidRPr="00DA3BC7">
        <w:rPr>
          <w:rFonts w:ascii="Times New Roman" w:hAnsi="Times New Roman" w:cs="Times Ext Roman" w:hint="eastAsia"/>
          <w:sz w:val="20"/>
        </w:rPr>
        <w:t>3-</w:t>
      </w:r>
      <w:r w:rsidR="00C831BF">
        <w:rPr>
          <w:rFonts w:ascii="Times New Roman" w:hAnsi="Times New Roman" w:cs="Times Ext Roman"/>
          <w:color w:val="FF0000"/>
          <w:sz w:val="20"/>
          <w:highlight w:val="yellow"/>
        </w:rPr>
        <w:t>a</w:t>
      </w:r>
      <w:r w:rsidR="00425E2B">
        <w:rPr>
          <w:rFonts w:ascii="Times New Roman" w:hAnsi="Times New Roman" w:cs="Times Ext Roman" w:hint="eastAsia"/>
          <w:sz w:val="20"/>
        </w:rPr>
        <w:t>5</w:t>
      </w:r>
      <w:r w:rsidR="00425E2B" w:rsidRPr="00DA3BC7">
        <w:rPr>
          <w:rFonts w:ascii="Times New Roman" w:hAnsi="Times New Roman" w:cs="Times Ext Roman" w:hint="eastAsia"/>
          <w:sz w:val="20"/>
        </w:rPr>
        <w:t>）</w:t>
      </w:r>
    </w:p>
    <w:p w:rsidR="00AF0EEA" w:rsidRPr="00DA3BC7" w:rsidRDefault="0076184F" w:rsidP="00B16A72">
      <w:pPr>
        <w:ind w:leftChars="200" w:left="480"/>
        <w:jc w:val="both"/>
        <w:rPr>
          <w:rFonts w:ascii="Times New Roman" w:hAnsi="Times New Roman" w:cs="Times Ext Roman"/>
          <w:sz w:val="20"/>
          <w:bdr w:val="single" w:sz="4" w:space="0" w:color="auto"/>
        </w:rPr>
      </w:pPr>
      <w:r w:rsidRPr="0076184F">
        <w:rPr>
          <w:rFonts w:ascii="Times New Roman" w:hAnsi="Times New Roman" w:cs="Times Ext Roman" w:hint="eastAsia"/>
          <w:b/>
          <w:color w:val="FF0000"/>
          <w:sz w:val="20"/>
          <w:highlight w:val="yellow"/>
          <w:bdr w:val="single" w:sz="4" w:space="0" w:color="auto"/>
        </w:rPr>
        <w:t>1</w:t>
      </w:r>
      <w:r w:rsidR="00AF0EEA" w:rsidRPr="0076184F">
        <w:rPr>
          <w:rFonts w:ascii="Times New Roman" w:hAnsi="Times New Roman" w:cs="Times Ext Roman"/>
          <w:b/>
          <w:color w:val="FF0000"/>
          <w:sz w:val="20"/>
          <w:highlight w:val="yellow"/>
          <w:bdr w:val="single" w:sz="4" w:space="0" w:color="auto"/>
        </w:rPr>
        <w:t>、</w:t>
      </w:r>
      <w:r w:rsidRPr="0076184F">
        <w:rPr>
          <w:rFonts w:ascii="Times New Roman" w:hAnsi="Times New Roman" w:cs="Times Ext Roman" w:hint="eastAsia"/>
          <w:b/>
          <w:color w:val="FF0000"/>
          <w:sz w:val="20"/>
          <w:highlight w:val="yellow"/>
          <w:bdr w:val="single" w:sz="4" w:space="0" w:color="auto"/>
        </w:rPr>
        <w:t>斥大小之偏見</w:t>
      </w:r>
      <w:r w:rsidR="00AF0EEA" w:rsidRPr="00DA3BC7">
        <w:rPr>
          <w:rFonts w:ascii="Times New Roman" w:hAnsi="Times New Roman" w:cs="Times Ext Roman" w:hint="eastAsia"/>
          <w:sz w:val="20"/>
        </w:rPr>
        <w:t>（</w:t>
      </w:r>
      <w:r w:rsidR="00AF0EEA" w:rsidRPr="00DA3BC7">
        <w:rPr>
          <w:rFonts w:ascii="Times New Roman" w:hAnsi="Times New Roman" w:cs="Times Ext Roman" w:hint="eastAsia"/>
          <w:sz w:val="20"/>
        </w:rPr>
        <w:t>pp.</w:t>
      </w:r>
      <w:r w:rsidR="00C831BF">
        <w:rPr>
          <w:rFonts w:ascii="Times New Roman" w:hAnsi="Times New Roman" w:cs="Times Ext Roman"/>
          <w:color w:val="FF0000"/>
          <w:sz w:val="20"/>
          <w:highlight w:val="yellow"/>
        </w:rPr>
        <w:t>a</w:t>
      </w:r>
      <w:r w:rsidR="00AF0EEA" w:rsidRPr="00DA3BC7">
        <w:rPr>
          <w:rFonts w:ascii="Times New Roman" w:hAnsi="Times New Roman" w:cs="Times Ext Roman" w:hint="eastAsia"/>
          <w:sz w:val="20"/>
        </w:rPr>
        <w:t>3-</w:t>
      </w:r>
      <w:r w:rsidR="00C831BF">
        <w:rPr>
          <w:rFonts w:ascii="Times New Roman" w:hAnsi="Times New Roman" w:cs="Times Ext Roman"/>
          <w:color w:val="FF0000"/>
          <w:sz w:val="20"/>
          <w:highlight w:val="yellow"/>
        </w:rPr>
        <w:t>a</w:t>
      </w:r>
      <w:r w:rsidR="00AF0EEA" w:rsidRPr="00DA3BC7">
        <w:rPr>
          <w:rFonts w:ascii="Times New Roman" w:hAnsi="Times New Roman" w:cs="Times Ext Roman" w:hint="eastAsia"/>
          <w:sz w:val="20"/>
        </w:rPr>
        <w:t>4</w:t>
      </w:r>
      <w:r w:rsidR="00AF0EEA" w:rsidRPr="00DA3BC7">
        <w:rPr>
          <w:rFonts w:ascii="Times New Roman" w:hAnsi="Times New Roman" w:cs="Times Ext Roman" w:hint="eastAsia"/>
          <w:sz w:val="20"/>
        </w:rPr>
        <w:t>）</w:t>
      </w:r>
    </w:p>
    <w:p w:rsidR="00AF0EEA" w:rsidRPr="00DA3BC7" w:rsidRDefault="00AF0EEA" w:rsidP="00110E14">
      <w:pPr>
        <w:ind w:leftChars="200" w:left="480"/>
        <w:jc w:val="both"/>
        <w:rPr>
          <w:rFonts w:ascii="Times New Roman" w:hAnsi="Times New Roman" w:cs="Times Ext Roman"/>
        </w:rPr>
      </w:pPr>
      <w:r w:rsidRPr="00DA3BC7">
        <w:rPr>
          <w:rFonts w:ascii="Times New Roman" w:hAnsi="Times New Roman" w:cs="Times Ext Roman"/>
        </w:rPr>
        <w:t>聲聞三藏與摩訶衍</w:t>
      </w:r>
      <w:r w:rsidRPr="00DA3BC7">
        <w:rPr>
          <w:rFonts w:ascii="新細明體" w:hAnsi="新細明體" w:cs="Times Ext Roman"/>
        </w:rPr>
        <w:t>──</w:t>
      </w:r>
      <w:r w:rsidRPr="00DA3BC7">
        <w:rPr>
          <w:rFonts w:ascii="Times New Roman" w:hAnsi="Times New Roman" w:cs="Times Ext Roman"/>
        </w:rPr>
        <w:t>大乘，一向被諍論著。</w:t>
      </w:r>
    </w:p>
    <w:p w:rsidR="00AF0EEA" w:rsidRPr="00DA3BC7" w:rsidRDefault="00AF0EEA" w:rsidP="00AE3920">
      <w:pPr>
        <w:spacing w:beforeLines="20"/>
        <w:ind w:leftChars="200" w:left="480"/>
        <w:jc w:val="both"/>
        <w:rPr>
          <w:rFonts w:ascii="Times New Roman" w:hAnsi="Times New Roman" w:cs="Times Ext Roman"/>
        </w:rPr>
      </w:pPr>
      <w:r w:rsidRPr="00DA3BC7">
        <w:rPr>
          <w:rFonts w:ascii="Times New Roman" w:hAnsi="Times New Roman" w:cs="Times Ext Roman"/>
          <w:b/>
        </w:rPr>
        <w:t>一分聲聞學者</w:t>
      </w:r>
      <w:r w:rsidRPr="00DA3BC7">
        <w:rPr>
          <w:rFonts w:ascii="Times New Roman" w:hAnsi="Times New Roman" w:cs="Times Ext Roman"/>
        </w:rPr>
        <w:t>，以</w:t>
      </w:r>
      <w:r w:rsidRPr="00DA3BC7">
        <w:rPr>
          <w:rFonts w:ascii="新細明體" w:hAnsi="新細明體" w:hint="eastAsia"/>
        </w:rPr>
        <w:t>《</w:t>
      </w:r>
      <w:r w:rsidRPr="00DA3BC7">
        <w:rPr>
          <w:rFonts w:hint="eastAsia"/>
        </w:rPr>
        <w:t>阿含經</w:t>
      </w:r>
      <w:r w:rsidRPr="00DA3BC7">
        <w:rPr>
          <w:rFonts w:ascii="新細明體" w:hAnsi="新細明體" w:hint="eastAsia"/>
        </w:rPr>
        <w:t>》</w:t>
      </w:r>
      <w:r w:rsidRPr="00DA3BC7">
        <w:rPr>
          <w:rFonts w:ascii="Times New Roman" w:hAnsi="Times New Roman" w:cs="Times Ext Roman"/>
        </w:rPr>
        <w:t>等三藏為佛說，</w:t>
      </w:r>
      <w:r w:rsidRPr="00DA3BC7">
        <w:rPr>
          <w:rFonts w:ascii="Times New Roman" w:hAnsi="Times New Roman" w:cs="Times Ext Roman"/>
          <w:b/>
        </w:rPr>
        <w:t>斥大乘為非佛說</w:t>
      </w:r>
      <w:r w:rsidRPr="00DA3BC7">
        <w:rPr>
          <w:rFonts w:ascii="Times New Roman" w:hAnsi="Times New Roman" w:cs="Times Ext Roman"/>
        </w:rPr>
        <w:t>；現在流行於錫蘭、暹羅</w:t>
      </w:r>
      <w:r w:rsidRPr="00DA3BC7">
        <w:rPr>
          <w:rStyle w:val="a6"/>
          <w:rFonts w:ascii="Times New Roman" w:hAnsi="Times New Roman" w:cs="Times Ext Roman"/>
        </w:rPr>
        <w:footnoteReference w:id="18"/>
      </w:r>
      <w:r w:rsidRPr="00DA3BC7">
        <w:rPr>
          <w:rFonts w:ascii="Times New Roman" w:hAnsi="Times New Roman" w:cs="Times Ext Roman"/>
        </w:rPr>
        <w:t>、緬甸的佛教，還是如此。</w:t>
      </w:r>
    </w:p>
    <w:p w:rsidR="0076184F" w:rsidRPr="00DA3BC7" w:rsidRDefault="00AF0EEA" w:rsidP="00AE3920">
      <w:pPr>
        <w:spacing w:beforeLines="20"/>
        <w:ind w:leftChars="200" w:left="480"/>
        <w:jc w:val="both"/>
        <w:rPr>
          <w:rFonts w:ascii="Times New Roman" w:hAnsi="Times New Roman" w:cs="Times Ext Roman"/>
        </w:rPr>
      </w:pPr>
      <w:r w:rsidRPr="00DA3BC7">
        <w:rPr>
          <w:rFonts w:ascii="Times New Roman" w:hAnsi="Times New Roman" w:cs="Times Ext Roman"/>
          <w:b/>
        </w:rPr>
        <w:lastRenderedPageBreak/>
        <w:t>一分大乘學者</w:t>
      </w:r>
      <w:r w:rsidRPr="00DA3BC7">
        <w:rPr>
          <w:rFonts w:ascii="Times New Roman" w:hAnsi="Times New Roman" w:cs="Times Ext Roman"/>
        </w:rPr>
        <w:t>，自以為不共二乘，</w:t>
      </w:r>
      <w:r w:rsidRPr="00DA3BC7">
        <w:rPr>
          <w:rFonts w:ascii="Times New Roman" w:hAnsi="Times New Roman" w:cs="Times Ext Roman"/>
          <w:b/>
        </w:rPr>
        <w:t>斥聲聞為小乘</w:t>
      </w:r>
      <w:r w:rsidRPr="00DA3BC7">
        <w:rPr>
          <w:rFonts w:ascii="Times New Roman" w:hAnsi="Times New Roman" w:cs="Times Ext Roman"/>
        </w:rPr>
        <w:t>，指</w:t>
      </w:r>
      <w:r w:rsidRPr="00DA3BC7">
        <w:rPr>
          <w:rFonts w:ascii="新細明體" w:hAnsi="新細明體" w:hint="eastAsia"/>
        </w:rPr>
        <w:t>《</w:t>
      </w:r>
      <w:r w:rsidRPr="00DA3BC7">
        <w:rPr>
          <w:rFonts w:hint="eastAsia"/>
        </w:rPr>
        <w:t>阿含經</w:t>
      </w:r>
      <w:r w:rsidRPr="00DA3BC7">
        <w:rPr>
          <w:rFonts w:ascii="新細明體" w:hAnsi="新細明體" w:hint="eastAsia"/>
        </w:rPr>
        <w:t>》</w:t>
      </w:r>
      <w:r w:rsidRPr="00DA3BC7">
        <w:rPr>
          <w:rFonts w:ascii="Times New Roman" w:hAnsi="Times New Roman" w:cs="Times Ext Roman"/>
        </w:rPr>
        <w:t>為小乘經，以為大乘別有法源。</w:t>
      </w:r>
      <w:r w:rsidR="0076184F" w:rsidRPr="00DA3BC7">
        <w:rPr>
          <w:rFonts w:ascii="Times New Roman" w:hAnsi="Times New Roman" w:cs="Times Ext Roman"/>
        </w:rPr>
        <w:t>如唯識學者，在「愛非愛緣起」外，別立大乘不共的「自性緣起」；</w:t>
      </w:r>
      <w:r w:rsidR="008144B4" w:rsidRPr="00DA3BC7">
        <w:rPr>
          <w:rStyle w:val="a6"/>
          <w:rFonts w:ascii="Times New Roman" w:hAnsi="Times New Roman" w:cs="Times Ext Roman"/>
        </w:rPr>
        <w:footnoteReference w:id="19"/>
      </w:r>
      <w:r w:rsidR="0076184F" w:rsidRPr="00DA3BC7">
        <w:rPr>
          <w:rFonts w:ascii="Times New Roman" w:hAnsi="Times New Roman" w:cs="Times Ext Roman"/>
        </w:rPr>
        <w:t>以為菩薩所證法性空，是聲聞所不能證的。中國</w:t>
      </w:r>
      <w:r w:rsidR="0076184F" w:rsidRPr="00DA3BC7">
        <w:rPr>
          <w:rFonts w:ascii="Times New Roman" w:hAnsi="Times New Roman" w:cs="Times Ext Roman"/>
        </w:rPr>
        <w:lastRenderedPageBreak/>
        <w:t>的臺、賢</w:t>
      </w:r>
      <w:r w:rsidR="0076184F" w:rsidRPr="00DA3BC7">
        <w:rPr>
          <w:rStyle w:val="a6"/>
          <w:rFonts w:ascii="Times New Roman" w:hAnsi="Times New Roman" w:cs="Times Ext Roman"/>
        </w:rPr>
        <w:footnoteReference w:id="20"/>
      </w:r>
      <w:r w:rsidR="0076184F" w:rsidRPr="00DA3BC7">
        <w:rPr>
          <w:rFonts w:ascii="Times New Roman" w:hAnsi="Times New Roman" w:cs="Times Ext Roman"/>
        </w:rPr>
        <w:t>、禪、淨，在大乘法中，還自以為勝他一層，何況乎小乘！</w:t>
      </w:r>
    </w:p>
    <w:p w:rsidR="00AF0EEA" w:rsidRPr="00DA3BC7" w:rsidRDefault="00AF0EEA" w:rsidP="00AE3920">
      <w:pPr>
        <w:spacing w:beforeLines="20"/>
        <w:ind w:leftChars="200" w:left="480"/>
        <w:jc w:val="both"/>
        <w:rPr>
          <w:rFonts w:ascii="Times New Roman" w:hAnsi="Times New Roman" w:cs="Times Ext Roman"/>
        </w:rPr>
      </w:pPr>
      <w:r w:rsidRPr="00DA3BC7">
        <w:rPr>
          <w:rFonts w:ascii="Times New Roman" w:hAnsi="Times New Roman" w:cs="Times Ext Roman"/>
        </w:rPr>
        <w:t>這樣，對大小的同源異流，由於宗派的偏見，再也不能正確的把握！</w:t>
      </w:r>
    </w:p>
    <w:p w:rsidR="00AF0EEA" w:rsidRPr="00DA3BC7" w:rsidRDefault="0076184F" w:rsidP="00AE3920">
      <w:pPr>
        <w:spacing w:beforeLines="30"/>
        <w:ind w:leftChars="200" w:left="480"/>
        <w:jc w:val="both"/>
        <w:rPr>
          <w:rFonts w:ascii="Times New Roman" w:hAnsi="Times New Roman" w:cs="Times Ext Roman"/>
          <w:sz w:val="20"/>
          <w:bdr w:val="single" w:sz="4" w:space="0" w:color="auto"/>
        </w:rPr>
      </w:pPr>
      <w:r w:rsidRPr="0076184F">
        <w:rPr>
          <w:rFonts w:ascii="Times New Roman" w:hAnsi="Times New Roman" w:cs="Times Ext Roman" w:hint="eastAsia"/>
          <w:b/>
          <w:color w:val="FF0000"/>
          <w:sz w:val="20"/>
          <w:highlight w:val="yellow"/>
          <w:bdr w:val="single" w:sz="4" w:space="0" w:color="auto"/>
        </w:rPr>
        <w:t>2</w:t>
      </w:r>
      <w:r w:rsidR="00AF0EEA" w:rsidRPr="0076184F">
        <w:rPr>
          <w:rFonts w:ascii="Times New Roman" w:hAnsi="Times New Roman" w:cs="Times Ext Roman"/>
          <w:b/>
          <w:color w:val="FF0000"/>
          <w:sz w:val="20"/>
          <w:highlight w:val="yellow"/>
          <w:bdr w:val="single" w:sz="4" w:space="0" w:color="auto"/>
        </w:rPr>
        <w:t>、通</w:t>
      </w:r>
      <w:r w:rsidRPr="0076184F">
        <w:rPr>
          <w:rFonts w:ascii="Times New Roman" w:hAnsi="Times New Roman" w:cs="Times Ext Roman" w:hint="eastAsia"/>
          <w:b/>
          <w:color w:val="FF0000"/>
          <w:sz w:val="20"/>
          <w:highlight w:val="yellow"/>
          <w:bdr w:val="single" w:sz="4" w:space="0" w:color="auto"/>
        </w:rPr>
        <w:t>大小之論說</w:t>
      </w:r>
      <w:r w:rsidR="00AF0EEA" w:rsidRPr="00DA3BC7">
        <w:rPr>
          <w:rFonts w:ascii="Times New Roman" w:hAnsi="Times New Roman" w:cs="Times Ext Roman" w:hint="eastAsia"/>
          <w:sz w:val="20"/>
        </w:rPr>
        <w:t>（</w:t>
      </w:r>
      <w:r w:rsidR="00C831BF">
        <w:rPr>
          <w:rFonts w:ascii="Times New Roman" w:hAnsi="Times New Roman" w:cs="Times Ext Roman"/>
          <w:sz w:val="20"/>
        </w:rPr>
        <w:t>p.</w:t>
      </w:r>
      <w:r w:rsidR="00C831BF">
        <w:rPr>
          <w:rFonts w:ascii="Times New Roman" w:hAnsi="Times New Roman" w:cs="Times Ext Roman"/>
          <w:color w:val="FF0000"/>
          <w:sz w:val="20"/>
          <w:highlight w:val="yellow"/>
        </w:rPr>
        <w:t>a</w:t>
      </w:r>
      <w:r w:rsidR="00AF0EEA" w:rsidRPr="00DA3BC7">
        <w:rPr>
          <w:rFonts w:ascii="Times New Roman" w:hAnsi="Times New Roman" w:cs="Times Ext Roman" w:hint="eastAsia"/>
          <w:sz w:val="20"/>
        </w:rPr>
        <w:t>4</w:t>
      </w:r>
      <w:r w:rsidR="00AF0EEA" w:rsidRPr="00DA3BC7">
        <w:rPr>
          <w:rFonts w:ascii="Times New Roman" w:hAnsi="Times New Roman" w:cs="Times Ext Roman" w:hint="eastAsia"/>
          <w:sz w:val="20"/>
        </w:rPr>
        <w:t>）</w:t>
      </w:r>
    </w:p>
    <w:p w:rsidR="00AF0EEA" w:rsidRPr="00DA3BC7" w:rsidRDefault="00AF0EEA" w:rsidP="00B16A72">
      <w:pPr>
        <w:ind w:leftChars="250" w:left="600"/>
        <w:jc w:val="both"/>
        <w:rPr>
          <w:rFonts w:ascii="Times New Roman" w:hAnsi="Times New Roman" w:cs="Times Ext Roman"/>
          <w:sz w:val="20"/>
          <w:bdr w:val="single" w:sz="4" w:space="0" w:color="auto"/>
        </w:rPr>
      </w:pPr>
      <w:r w:rsidRPr="0076184F">
        <w:rPr>
          <w:rFonts w:ascii="Times New Roman" w:hAnsi="Times New Roman" w:cs="Times Ext Roman" w:hint="eastAsia"/>
          <w:b/>
          <w:color w:val="FF0000"/>
          <w:sz w:val="20"/>
          <w:highlight w:val="yellow"/>
          <w:bdr w:val="single" w:sz="4" w:space="0" w:color="auto"/>
        </w:rPr>
        <w:t>（</w:t>
      </w:r>
      <w:r w:rsidR="0076184F" w:rsidRPr="0076184F">
        <w:rPr>
          <w:rFonts w:ascii="Times New Roman" w:hAnsi="Times New Roman" w:cs="Times Ext Roman" w:hint="eastAsia"/>
          <w:b/>
          <w:color w:val="FF0000"/>
          <w:sz w:val="20"/>
          <w:highlight w:val="yellow"/>
          <w:bdr w:val="single" w:sz="4" w:space="0" w:color="auto"/>
        </w:rPr>
        <w:t>1</w:t>
      </w:r>
      <w:r w:rsidRPr="0076184F">
        <w:rPr>
          <w:rFonts w:ascii="Times New Roman" w:hAnsi="Times New Roman" w:cs="Times Ext Roman" w:hint="eastAsia"/>
          <w:b/>
          <w:color w:val="FF0000"/>
          <w:sz w:val="20"/>
          <w:highlight w:val="yellow"/>
          <w:bdr w:val="single" w:sz="4" w:space="0" w:color="auto"/>
        </w:rPr>
        <w:t>）</w:t>
      </w:r>
      <w:r w:rsidR="0076184F" w:rsidRPr="0076184F">
        <w:rPr>
          <w:rFonts w:ascii="Times New Roman" w:hAnsi="Times New Roman" w:cs="Times Ext Roman" w:hint="eastAsia"/>
          <w:b/>
          <w:color w:val="FF0000"/>
          <w:sz w:val="20"/>
          <w:highlight w:val="yellow"/>
          <w:bdr w:val="single" w:sz="4" w:space="0" w:color="auto"/>
        </w:rPr>
        <w:t>龍樹論的闡明</w:t>
      </w:r>
      <w:r w:rsidRPr="00DA3BC7">
        <w:rPr>
          <w:rFonts w:ascii="Times New Roman" w:hAnsi="Times New Roman" w:cs="Times Ext Roman" w:hint="eastAsia"/>
          <w:sz w:val="20"/>
        </w:rPr>
        <w:t>（</w:t>
      </w:r>
      <w:r w:rsidR="00C831BF">
        <w:rPr>
          <w:rFonts w:ascii="Times New Roman" w:hAnsi="Times New Roman" w:cs="Times Ext Roman"/>
          <w:sz w:val="20"/>
        </w:rPr>
        <w:t>p.</w:t>
      </w:r>
      <w:r w:rsidR="00C831BF">
        <w:rPr>
          <w:rFonts w:ascii="Times New Roman" w:hAnsi="Times New Roman" w:cs="Times Ext Roman"/>
          <w:color w:val="FF0000"/>
          <w:sz w:val="20"/>
          <w:highlight w:val="yellow"/>
        </w:rPr>
        <w:t>a</w:t>
      </w:r>
      <w:r w:rsidRPr="00DA3BC7">
        <w:rPr>
          <w:rFonts w:ascii="Times New Roman" w:hAnsi="Times New Roman" w:cs="Times Ext Roman" w:hint="eastAsia"/>
          <w:sz w:val="20"/>
        </w:rPr>
        <w:t>4</w:t>
      </w:r>
      <w:r w:rsidRPr="00DA3BC7">
        <w:rPr>
          <w:rFonts w:ascii="Times New Roman" w:hAnsi="Times New Roman" w:cs="Times Ext Roman" w:hint="eastAsia"/>
          <w:sz w:val="20"/>
        </w:rPr>
        <w:t>）</w:t>
      </w:r>
    </w:p>
    <w:p w:rsidR="00AF0EEA" w:rsidRPr="00DA3BC7" w:rsidRDefault="00AF0EEA" w:rsidP="00110E14">
      <w:pPr>
        <w:ind w:leftChars="250" w:left="600"/>
        <w:jc w:val="both"/>
        <w:rPr>
          <w:rFonts w:ascii="Times New Roman" w:hAnsi="Times New Roman" w:cs="Times Ext Roman"/>
        </w:rPr>
      </w:pPr>
      <w:r w:rsidRPr="00DA3BC7">
        <w:rPr>
          <w:rFonts w:ascii="Times New Roman" w:hAnsi="Times New Roman" w:cs="Times Ext Roman"/>
        </w:rPr>
        <w:t>今依龍樹論說：</w:t>
      </w:r>
    </w:p>
    <w:p w:rsidR="00AF0EEA" w:rsidRPr="00DA3BC7" w:rsidRDefault="00AF0EEA" w:rsidP="00110E14">
      <w:pPr>
        <w:ind w:leftChars="250" w:left="600"/>
        <w:jc w:val="both"/>
        <w:rPr>
          <w:rFonts w:ascii="Times New Roman" w:hAnsi="Times New Roman" w:cs="Times Ext Roman"/>
        </w:rPr>
      </w:pPr>
      <w:r w:rsidRPr="00DA3BC7">
        <w:rPr>
          <w:rFonts w:ascii="Times New Roman" w:hAnsi="Times New Roman" w:cs="Times Ext Roman"/>
          <w:b/>
        </w:rPr>
        <w:t>三藏</w:t>
      </w:r>
      <w:r w:rsidRPr="00DA3BC7">
        <w:rPr>
          <w:rFonts w:ascii="Times New Roman" w:hAnsi="Times New Roman" w:cs="Times Ext Roman"/>
        </w:rPr>
        <w:t>確是</w:t>
      </w:r>
      <w:r w:rsidRPr="00DA3BC7">
        <w:rPr>
          <w:rFonts w:ascii="Times New Roman" w:hAnsi="Times New Roman" w:cs="Times Ext Roman"/>
          <w:b/>
        </w:rPr>
        <w:t>多說無我</w:t>
      </w:r>
      <w:r w:rsidRPr="00DA3BC7">
        <w:rPr>
          <w:rFonts w:ascii="Times New Roman" w:hAnsi="Times New Roman" w:cs="Times Ext Roman"/>
        </w:rPr>
        <w:t>的，但無我與空，並非性質有什麼不同。</w:t>
      </w:r>
      <w:r w:rsidRPr="00DA3BC7">
        <w:rPr>
          <w:rStyle w:val="a6"/>
          <w:rFonts w:ascii="Times New Roman" w:hAnsi="Times New Roman" w:cs="Times Ext Roman"/>
        </w:rPr>
        <w:footnoteReference w:id="21"/>
      </w:r>
    </w:p>
    <w:p w:rsidR="00AF0EEA" w:rsidRPr="00DA3BC7" w:rsidRDefault="00AF0EEA" w:rsidP="00110E14">
      <w:pPr>
        <w:ind w:leftChars="250" w:left="600"/>
        <w:jc w:val="both"/>
        <w:rPr>
          <w:rFonts w:ascii="Times New Roman" w:hAnsi="Times New Roman" w:cs="Times Ext Roman"/>
        </w:rPr>
      </w:pPr>
      <w:r w:rsidRPr="00DA3BC7">
        <w:rPr>
          <w:rFonts w:ascii="Times New Roman" w:hAnsi="Times New Roman" w:cs="Times Ext Roman"/>
          <w:b/>
        </w:rPr>
        <w:t>大乘從空門入</w:t>
      </w:r>
      <w:r w:rsidRPr="00DA3BC7">
        <w:rPr>
          <w:rFonts w:ascii="Times New Roman" w:hAnsi="Times New Roman" w:cs="Times Ext Roman"/>
        </w:rPr>
        <w:t>，</w:t>
      </w:r>
      <w:r w:rsidRPr="00DA3BC7">
        <w:rPr>
          <w:rFonts w:ascii="Times New Roman" w:hAnsi="Times New Roman" w:cs="Times Ext Roman"/>
          <w:b/>
        </w:rPr>
        <w:t>多說不生不滅</w:t>
      </w:r>
      <w:r w:rsidRPr="00DA3BC7">
        <w:rPr>
          <w:rFonts w:ascii="Times New Roman" w:hAnsi="Times New Roman" w:cs="Times Ext Roman"/>
        </w:rPr>
        <w:t>，但生滅與不生滅，其實是一。</w:t>
      </w:r>
      <w:r w:rsidRPr="00DA3BC7">
        <w:rPr>
          <w:rStyle w:val="a6"/>
          <w:rFonts w:ascii="Times New Roman" w:hAnsi="Times New Roman" w:cs="Times Ext Roman"/>
        </w:rPr>
        <w:footnoteReference w:id="22"/>
      </w:r>
    </w:p>
    <w:p w:rsidR="00AF0EEA" w:rsidRDefault="00AF0EEA" w:rsidP="00AE3920">
      <w:pPr>
        <w:spacing w:beforeLines="30"/>
        <w:ind w:leftChars="250" w:left="600"/>
        <w:jc w:val="both"/>
        <w:rPr>
          <w:rFonts w:ascii="Times New Roman" w:hAnsi="Times New Roman" w:cs="Times Ext Roman"/>
          <w:sz w:val="20"/>
        </w:rPr>
      </w:pPr>
      <w:r w:rsidRPr="00B16A72">
        <w:rPr>
          <w:rFonts w:ascii="Times New Roman" w:hAnsi="Times New Roman" w:cs="Times Ext Roman"/>
          <w:b/>
          <w:color w:val="FF0000"/>
          <w:sz w:val="20"/>
          <w:highlight w:val="yellow"/>
          <w:bdr w:val="single" w:sz="4" w:space="0" w:color="auto"/>
        </w:rPr>
        <w:t>（</w:t>
      </w:r>
      <w:r w:rsidR="0076184F" w:rsidRPr="00B16A72">
        <w:rPr>
          <w:rFonts w:ascii="Times New Roman" w:hAnsi="Times New Roman" w:cs="Times Ext Roman" w:hint="eastAsia"/>
          <w:b/>
          <w:color w:val="FF0000"/>
          <w:sz w:val="20"/>
          <w:highlight w:val="yellow"/>
          <w:bdr w:val="single" w:sz="4" w:space="0" w:color="auto"/>
        </w:rPr>
        <w:t>2</w:t>
      </w:r>
      <w:r w:rsidRPr="00B16A72">
        <w:rPr>
          <w:rFonts w:ascii="Times New Roman" w:hAnsi="Times New Roman" w:cs="Times Ext Roman"/>
          <w:b/>
          <w:color w:val="FF0000"/>
          <w:sz w:val="20"/>
          <w:highlight w:val="yellow"/>
          <w:bdr w:val="single" w:sz="4" w:space="0" w:color="auto"/>
        </w:rPr>
        <w:t>）</w:t>
      </w:r>
      <w:r w:rsidRPr="00DA3BC7">
        <w:rPr>
          <w:rFonts w:ascii="Times New Roman" w:hAnsi="Times New Roman" w:cs="Times Ext Roman" w:hint="eastAsia"/>
          <w:b/>
          <w:sz w:val="20"/>
          <w:bdr w:val="single" w:sz="4" w:space="0" w:color="auto"/>
        </w:rPr>
        <w:t>同源異流：「重事相」與「重理性」學者間之對立</w:t>
      </w:r>
      <w:r w:rsidRPr="00DA3BC7">
        <w:rPr>
          <w:rFonts w:ascii="Times New Roman" w:hAnsi="Times New Roman" w:cs="Times Ext Roman" w:hint="eastAsia"/>
          <w:sz w:val="20"/>
        </w:rPr>
        <w:t>（</w:t>
      </w:r>
      <w:r w:rsidR="00C831BF">
        <w:rPr>
          <w:rFonts w:ascii="Times New Roman" w:hAnsi="Times New Roman" w:cs="Times Ext Roman"/>
          <w:sz w:val="20"/>
        </w:rPr>
        <w:t>p.</w:t>
      </w:r>
      <w:r w:rsidR="00C831BF">
        <w:rPr>
          <w:rFonts w:ascii="Times New Roman" w:hAnsi="Times New Roman" w:cs="Times Ext Roman"/>
          <w:color w:val="FF0000"/>
          <w:sz w:val="20"/>
          <w:highlight w:val="yellow"/>
        </w:rPr>
        <w:t>a</w:t>
      </w:r>
      <w:r w:rsidRPr="00DA3BC7">
        <w:rPr>
          <w:rFonts w:ascii="Times New Roman" w:hAnsi="Times New Roman" w:cs="Times Ext Roman" w:hint="eastAsia"/>
          <w:sz w:val="20"/>
        </w:rPr>
        <w:t>4</w:t>
      </w:r>
      <w:r w:rsidRPr="00DA3BC7">
        <w:rPr>
          <w:rFonts w:ascii="Times New Roman" w:hAnsi="Times New Roman" w:cs="Times Ext Roman" w:hint="eastAsia"/>
          <w:sz w:val="20"/>
        </w:rPr>
        <w:t>）</w:t>
      </w:r>
    </w:p>
    <w:p w:rsidR="0076184F" w:rsidRPr="0076184F" w:rsidRDefault="0076184F" w:rsidP="00B16A72">
      <w:pPr>
        <w:ind w:leftChars="300" w:left="720"/>
        <w:jc w:val="both"/>
        <w:rPr>
          <w:rFonts w:ascii="Times New Roman" w:hAnsi="Times New Roman" w:cs="Times Ext Roman"/>
          <w:b/>
          <w:color w:val="FF0000"/>
          <w:sz w:val="20"/>
          <w:highlight w:val="yellow"/>
          <w:bdr w:val="single" w:sz="4" w:space="0" w:color="auto"/>
        </w:rPr>
      </w:pPr>
      <w:r w:rsidRPr="0076184F">
        <w:rPr>
          <w:rFonts w:ascii="Times New Roman" w:hAnsi="Times New Roman" w:cs="Times Ext Roman" w:hint="eastAsia"/>
          <w:b/>
          <w:color w:val="FF0000"/>
          <w:sz w:val="20"/>
          <w:highlight w:val="yellow"/>
          <w:bdr w:val="single" w:sz="4" w:space="0" w:color="auto"/>
        </w:rPr>
        <w:t>A</w:t>
      </w:r>
      <w:r w:rsidRPr="0076184F">
        <w:rPr>
          <w:rFonts w:ascii="Times New Roman" w:hAnsi="Times New Roman" w:cs="Times Ext Roman" w:hint="eastAsia"/>
          <w:b/>
          <w:color w:val="FF0000"/>
          <w:sz w:val="20"/>
          <w:highlight w:val="yellow"/>
          <w:bdr w:val="single" w:sz="4" w:space="0" w:color="auto"/>
        </w:rPr>
        <w:t>、釋尊教說的真義</w:t>
      </w:r>
      <w:r w:rsidR="00425E2B" w:rsidRPr="00DA3BC7">
        <w:rPr>
          <w:rFonts w:ascii="Times New Roman" w:hAnsi="Times New Roman" w:cs="Times Ext Roman" w:hint="eastAsia"/>
          <w:sz w:val="20"/>
        </w:rPr>
        <w:t>（</w:t>
      </w:r>
      <w:r w:rsidR="00C831BF">
        <w:rPr>
          <w:rFonts w:ascii="Times New Roman" w:hAnsi="Times New Roman" w:cs="Times Ext Roman"/>
          <w:sz w:val="20"/>
        </w:rPr>
        <w:t>p.</w:t>
      </w:r>
      <w:r w:rsidR="00C831BF">
        <w:rPr>
          <w:rFonts w:ascii="Times New Roman" w:hAnsi="Times New Roman" w:cs="Times Ext Roman"/>
          <w:color w:val="FF0000"/>
          <w:sz w:val="20"/>
          <w:highlight w:val="yellow"/>
        </w:rPr>
        <w:t>a</w:t>
      </w:r>
      <w:r w:rsidR="00425E2B" w:rsidRPr="00DA3BC7">
        <w:rPr>
          <w:rFonts w:ascii="Times New Roman" w:hAnsi="Times New Roman" w:cs="Times Ext Roman" w:hint="eastAsia"/>
          <w:sz w:val="20"/>
        </w:rPr>
        <w:t>4</w:t>
      </w:r>
      <w:r w:rsidR="00425E2B" w:rsidRPr="00DA3BC7">
        <w:rPr>
          <w:rFonts w:ascii="Times New Roman" w:hAnsi="Times New Roman" w:cs="Times Ext Roman" w:hint="eastAsia"/>
          <w:sz w:val="20"/>
        </w:rPr>
        <w:t>）</w:t>
      </w:r>
    </w:p>
    <w:p w:rsidR="00AF0EEA" w:rsidRPr="00DA3BC7" w:rsidRDefault="00AF0EEA" w:rsidP="00110E14">
      <w:pPr>
        <w:ind w:leftChars="300" w:left="720"/>
        <w:jc w:val="both"/>
        <w:rPr>
          <w:rFonts w:ascii="Times New Roman" w:hAnsi="Times New Roman" w:cs="Times Ext Roman"/>
        </w:rPr>
      </w:pPr>
      <w:r w:rsidRPr="00DA3BC7">
        <w:rPr>
          <w:rFonts w:ascii="Times New Roman" w:hAnsi="Times New Roman" w:cs="Times Ext Roman"/>
        </w:rPr>
        <w:t>「緣起性空」的佛法真義，啟示了佛教思想發展的實相。</w:t>
      </w:r>
    </w:p>
    <w:p w:rsidR="00AF0EEA" w:rsidRPr="00DA3BC7" w:rsidRDefault="00AF0EEA" w:rsidP="00110E14">
      <w:pPr>
        <w:ind w:leftChars="300" w:left="720"/>
        <w:jc w:val="both"/>
        <w:rPr>
          <w:rFonts w:ascii="Times New Roman" w:hAnsi="Times New Roman" w:cs="Times Ext Roman"/>
        </w:rPr>
      </w:pPr>
      <w:r w:rsidRPr="00DA3BC7">
        <w:rPr>
          <w:rFonts w:ascii="Times New Roman" w:hAnsi="Times New Roman" w:cs="Times Ext Roman"/>
        </w:rPr>
        <w:t>釋尊本是多說無常無我的，但依於緣起的無常無我，即體見緣起空寂的。這所以</w:t>
      </w:r>
      <w:r w:rsidRPr="00DA3BC7">
        <w:rPr>
          <w:rFonts w:ascii="Times New Roman" w:hAnsi="Times New Roman" w:cs="Times Ext Roman"/>
          <w:b/>
        </w:rPr>
        <w:t>緣起甚深，而緣起的寂滅性更甚深</w:t>
      </w:r>
      <w:r w:rsidRPr="00DA3BC7">
        <w:rPr>
          <w:rFonts w:ascii="Times New Roman" w:hAnsi="Times New Roman" w:cs="Times Ext Roman" w:hint="eastAsia"/>
        </w:rPr>
        <w:t>；</w:t>
      </w:r>
      <w:r w:rsidRPr="00DA3BC7">
        <w:rPr>
          <w:rFonts w:ascii="Times New Roman" w:hAnsi="Times New Roman" w:cs="Times Ext Roman"/>
        </w:rPr>
        <w:t>這所以緣起被稱為「空相應緣起」，</w:t>
      </w:r>
      <w:r w:rsidR="008144B4" w:rsidRPr="00DA3BC7">
        <w:rPr>
          <w:rStyle w:val="a6"/>
          <w:rFonts w:ascii="Times New Roman" w:hAnsi="Times New Roman" w:cs="Times Ext Roman"/>
        </w:rPr>
        <w:footnoteReference w:id="23"/>
      </w:r>
      <w:r w:rsidRPr="00DA3BC7">
        <w:rPr>
          <w:rFonts w:ascii="Times New Roman" w:hAnsi="Times New Roman" w:cs="Times Ext Roman"/>
        </w:rPr>
        <w:t>被讚為「法性、法住、法界」。</w:t>
      </w:r>
      <w:r w:rsidR="008144B4" w:rsidRPr="00DA3BC7">
        <w:rPr>
          <w:rStyle w:val="a6"/>
          <w:rFonts w:ascii="Times New Roman" w:hAnsi="Times New Roman" w:cs="Times Ext Roman"/>
        </w:rPr>
        <w:footnoteReference w:id="24"/>
      </w:r>
    </w:p>
    <w:p w:rsidR="0076184F" w:rsidRPr="0076184F" w:rsidRDefault="0076184F" w:rsidP="00AE3920">
      <w:pPr>
        <w:spacing w:beforeLines="30"/>
        <w:ind w:leftChars="300" w:left="720"/>
        <w:jc w:val="both"/>
        <w:rPr>
          <w:rFonts w:ascii="Times New Roman" w:hAnsi="Times New Roman" w:cs="Times Ext Roman"/>
          <w:b/>
          <w:color w:val="FF0000"/>
          <w:sz w:val="20"/>
          <w:highlight w:val="yellow"/>
          <w:bdr w:val="single" w:sz="4" w:space="0" w:color="auto"/>
        </w:rPr>
      </w:pPr>
      <w:r w:rsidRPr="0076184F">
        <w:rPr>
          <w:rFonts w:ascii="Times New Roman" w:hAnsi="Times New Roman" w:cs="Times Ext Roman" w:hint="eastAsia"/>
          <w:b/>
          <w:color w:val="FF0000"/>
          <w:sz w:val="20"/>
          <w:highlight w:val="yellow"/>
          <w:bdr w:val="single" w:sz="4" w:space="0" w:color="auto"/>
        </w:rPr>
        <w:lastRenderedPageBreak/>
        <w:t>B</w:t>
      </w:r>
      <w:r w:rsidRPr="0076184F">
        <w:rPr>
          <w:rFonts w:ascii="Times New Roman" w:hAnsi="Times New Roman" w:cs="Times Ext Roman" w:hint="eastAsia"/>
          <w:b/>
          <w:color w:val="FF0000"/>
          <w:sz w:val="20"/>
          <w:highlight w:val="yellow"/>
          <w:bdr w:val="single" w:sz="4" w:space="0" w:color="auto"/>
        </w:rPr>
        <w:t>、</w:t>
      </w:r>
      <w:r>
        <w:rPr>
          <w:rFonts w:ascii="Times New Roman" w:hAnsi="Times New Roman" w:cs="Times Ext Roman" w:hint="eastAsia"/>
          <w:b/>
          <w:color w:val="FF0000"/>
          <w:sz w:val="20"/>
          <w:highlight w:val="yellow"/>
          <w:bdr w:val="single" w:sz="4" w:space="0" w:color="auto"/>
        </w:rPr>
        <w:t>後代學者</w:t>
      </w:r>
      <w:r w:rsidRPr="0076184F">
        <w:rPr>
          <w:rFonts w:ascii="Times New Roman" w:hAnsi="Times New Roman" w:cs="Times Ext Roman" w:hint="eastAsia"/>
          <w:b/>
          <w:color w:val="FF0000"/>
          <w:sz w:val="20"/>
          <w:highlight w:val="yellow"/>
          <w:bdr w:val="single" w:sz="4" w:space="0" w:color="auto"/>
        </w:rPr>
        <w:t>的</w:t>
      </w:r>
      <w:r>
        <w:rPr>
          <w:rFonts w:ascii="Times New Roman" w:hAnsi="Times New Roman" w:cs="Times Ext Roman" w:hint="eastAsia"/>
          <w:b/>
          <w:color w:val="FF0000"/>
          <w:sz w:val="20"/>
          <w:highlight w:val="yellow"/>
          <w:bdr w:val="single" w:sz="4" w:space="0" w:color="auto"/>
        </w:rPr>
        <w:t>偏執</w:t>
      </w:r>
      <w:r w:rsidR="00425E2B" w:rsidRPr="00DA3BC7">
        <w:rPr>
          <w:rFonts w:ascii="Times New Roman" w:hAnsi="Times New Roman" w:cs="Times Ext Roman" w:hint="eastAsia"/>
          <w:sz w:val="20"/>
        </w:rPr>
        <w:t>（</w:t>
      </w:r>
      <w:r w:rsidR="00C831BF">
        <w:rPr>
          <w:rFonts w:ascii="Times New Roman" w:hAnsi="Times New Roman" w:cs="Times Ext Roman"/>
          <w:sz w:val="20"/>
        </w:rPr>
        <w:t>p.</w:t>
      </w:r>
      <w:r w:rsidR="00C831BF">
        <w:rPr>
          <w:rFonts w:ascii="Times New Roman" w:hAnsi="Times New Roman" w:cs="Times Ext Roman"/>
          <w:color w:val="FF0000"/>
          <w:sz w:val="20"/>
          <w:highlight w:val="yellow"/>
        </w:rPr>
        <w:t>a</w:t>
      </w:r>
      <w:r w:rsidR="00425E2B" w:rsidRPr="00DA3BC7">
        <w:rPr>
          <w:rFonts w:ascii="Times New Roman" w:hAnsi="Times New Roman" w:cs="Times Ext Roman" w:hint="eastAsia"/>
          <w:sz w:val="20"/>
        </w:rPr>
        <w:t>4</w:t>
      </w:r>
      <w:r w:rsidR="00425E2B" w:rsidRPr="00DA3BC7">
        <w:rPr>
          <w:rFonts w:ascii="Times New Roman" w:hAnsi="Times New Roman" w:cs="Times Ext Roman" w:hint="eastAsia"/>
          <w:sz w:val="20"/>
        </w:rPr>
        <w:t>）</w:t>
      </w:r>
    </w:p>
    <w:p w:rsidR="00AF0EEA" w:rsidRPr="00DA3BC7" w:rsidRDefault="00AF0EEA" w:rsidP="00110E14">
      <w:pPr>
        <w:ind w:leftChars="300" w:left="720"/>
        <w:jc w:val="both"/>
        <w:rPr>
          <w:rFonts w:ascii="Times New Roman" w:hAnsi="Times New Roman" w:cs="Times Ext Roman"/>
        </w:rPr>
      </w:pPr>
      <w:r w:rsidRPr="00DA3BC7">
        <w:rPr>
          <w:rFonts w:ascii="Times New Roman" w:hAnsi="Times New Roman" w:cs="Times Ext Roman"/>
        </w:rPr>
        <w:t>一分學者重視</w:t>
      </w:r>
      <w:r w:rsidRPr="00DA3BC7">
        <w:rPr>
          <w:rFonts w:ascii="Times New Roman" w:hAnsi="Times New Roman" w:cs="Times Ext Roman"/>
          <w:b/>
        </w:rPr>
        <w:t>事相</w:t>
      </w:r>
      <w:r w:rsidRPr="00DA3BC7">
        <w:rPr>
          <w:rFonts w:ascii="Times New Roman" w:hAnsi="Times New Roman" w:cs="Times Ext Roman"/>
        </w:rPr>
        <w:t>，偏執</w:t>
      </w:r>
      <w:r w:rsidRPr="00DA3BC7">
        <w:rPr>
          <w:rFonts w:ascii="Times New Roman" w:hAnsi="Times New Roman" w:cs="Times Ext Roman"/>
          <w:b/>
        </w:rPr>
        <w:t>生滅無常</w:t>
      </w:r>
      <w:r w:rsidRPr="00DA3BC7">
        <w:rPr>
          <w:rFonts w:ascii="Times New Roman" w:hAnsi="Times New Roman" w:cs="Times Ext Roman"/>
        </w:rPr>
        <w:t>與</w:t>
      </w:r>
      <w:r w:rsidRPr="00DA3BC7">
        <w:rPr>
          <w:rFonts w:ascii="Times New Roman" w:hAnsi="Times New Roman" w:cs="Times Ext Roman"/>
          <w:b/>
        </w:rPr>
        <w:t>無我</w:t>
      </w:r>
      <w:r w:rsidRPr="00DA3BC7">
        <w:rPr>
          <w:rFonts w:ascii="Times New Roman" w:hAnsi="Times New Roman" w:cs="Times Ext Roman"/>
        </w:rPr>
        <w:t>；</w:t>
      </w:r>
    </w:p>
    <w:p w:rsidR="00AF0EEA" w:rsidRPr="00DA3BC7" w:rsidRDefault="00AF0EEA" w:rsidP="00110E14">
      <w:pPr>
        <w:ind w:leftChars="300" w:left="720"/>
        <w:jc w:val="both"/>
        <w:rPr>
          <w:rFonts w:ascii="Times New Roman" w:hAnsi="Times New Roman" w:cs="Times Ext Roman"/>
        </w:rPr>
      </w:pPr>
      <w:r w:rsidRPr="00DA3BC7">
        <w:rPr>
          <w:rFonts w:ascii="Times New Roman" w:hAnsi="Times New Roman" w:cs="Times Ext Roman"/>
        </w:rPr>
        <w:t>一分學者特別重視</w:t>
      </w:r>
      <w:r w:rsidRPr="00DA3BC7">
        <w:rPr>
          <w:rFonts w:ascii="Times New Roman" w:hAnsi="Times New Roman" w:cs="Times Ext Roman"/>
          <w:b/>
        </w:rPr>
        <w:t>理性</w:t>
      </w:r>
      <w:r w:rsidRPr="00DA3BC7">
        <w:rPr>
          <w:rFonts w:ascii="Times New Roman" w:hAnsi="Times New Roman" w:cs="Times Ext Roman"/>
        </w:rPr>
        <w:t>，發揮</w:t>
      </w:r>
      <w:r w:rsidRPr="00DA3BC7">
        <w:rPr>
          <w:rFonts w:ascii="Times New Roman" w:hAnsi="Times New Roman" w:cs="Times Ext Roman"/>
          <w:b/>
        </w:rPr>
        <w:t>不生不滅的性空</w:t>
      </w:r>
      <w:r w:rsidRPr="00DA3BC7">
        <w:rPr>
          <w:rFonts w:ascii="Times New Roman" w:hAnsi="Times New Roman" w:cs="Times Ext Roman"/>
        </w:rPr>
        <w:t>，</w:t>
      </w:r>
    </w:p>
    <w:p w:rsidR="00AF0EEA" w:rsidRPr="00DA3BC7" w:rsidRDefault="00AF0EEA" w:rsidP="00110E14">
      <w:pPr>
        <w:ind w:leftChars="300" w:left="720"/>
        <w:jc w:val="both"/>
        <w:rPr>
          <w:rFonts w:ascii="Times New Roman" w:hAnsi="Times New Roman" w:cs="Times Ext Roman"/>
        </w:rPr>
      </w:pPr>
      <w:r w:rsidRPr="00DA3BC7">
        <w:rPr>
          <w:rFonts w:ascii="Times New Roman" w:hAnsi="Times New Roman" w:cs="Times Ext Roman"/>
        </w:rPr>
        <w:t>這才互不相諒而尖銳的對立起來。</w:t>
      </w:r>
    </w:p>
    <w:p w:rsidR="00AF0EEA" w:rsidRPr="00DA3BC7" w:rsidRDefault="00AF0EEA" w:rsidP="00AE3920">
      <w:pPr>
        <w:spacing w:beforeLines="30"/>
        <w:ind w:leftChars="300" w:left="720"/>
        <w:jc w:val="both"/>
        <w:rPr>
          <w:rFonts w:ascii="Times New Roman" w:hAnsi="Times New Roman" w:cs="Times Ext Roman"/>
        </w:rPr>
      </w:pPr>
      <w:r w:rsidRPr="00DA3BC7">
        <w:rPr>
          <w:rFonts w:ascii="Times New Roman" w:hAnsi="Times New Roman" w:cs="Times Ext Roman"/>
        </w:rPr>
        <w:t>他們同源而異流，應該是共同的教源，有此不即不離的相對性，由於偏重發展而弄到對立。</w:t>
      </w:r>
    </w:p>
    <w:p w:rsidR="00AF0EEA" w:rsidRPr="00DA3BC7" w:rsidRDefault="00AF0EEA" w:rsidP="00AE3920">
      <w:pPr>
        <w:spacing w:beforeLines="30"/>
        <w:ind w:leftChars="250" w:left="600"/>
        <w:jc w:val="both"/>
        <w:rPr>
          <w:rFonts w:ascii="Times New Roman" w:hAnsi="Times New Roman" w:cs="Times Ext Roman"/>
          <w:sz w:val="20"/>
          <w:bdr w:val="single" w:sz="4" w:space="0" w:color="auto"/>
        </w:rPr>
      </w:pPr>
      <w:r w:rsidRPr="00B05767">
        <w:rPr>
          <w:rFonts w:ascii="Times New Roman" w:hAnsi="Times New Roman" w:cs="Times Ext Roman"/>
          <w:b/>
          <w:color w:val="FF0000"/>
          <w:sz w:val="20"/>
          <w:highlight w:val="yellow"/>
          <w:bdr w:val="single" w:sz="4" w:space="0" w:color="auto"/>
        </w:rPr>
        <w:t>（</w:t>
      </w:r>
      <w:r w:rsidR="0076184F" w:rsidRPr="00B05767">
        <w:rPr>
          <w:rFonts w:ascii="Times New Roman" w:hAnsi="Times New Roman" w:cs="Times Ext Roman" w:hint="eastAsia"/>
          <w:b/>
          <w:color w:val="FF0000"/>
          <w:sz w:val="20"/>
          <w:highlight w:val="yellow"/>
          <w:bdr w:val="single" w:sz="4" w:space="0" w:color="auto"/>
        </w:rPr>
        <w:t>3</w:t>
      </w:r>
      <w:r w:rsidRPr="00B05767">
        <w:rPr>
          <w:rFonts w:ascii="Times New Roman" w:hAnsi="Times New Roman" w:cs="Times Ext Roman"/>
          <w:b/>
          <w:color w:val="FF0000"/>
          <w:sz w:val="20"/>
          <w:highlight w:val="yellow"/>
          <w:bdr w:val="single" w:sz="4" w:space="0" w:color="auto"/>
        </w:rPr>
        <w:t>）</w:t>
      </w:r>
      <w:r w:rsidR="0076184F" w:rsidRPr="00B05767">
        <w:rPr>
          <w:rFonts w:ascii="Times New Roman" w:hAnsi="Times New Roman" w:cs="Times Ext Roman" w:hint="eastAsia"/>
          <w:b/>
          <w:color w:val="FF0000"/>
          <w:sz w:val="20"/>
          <w:highlight w:val="yellow"/>
          <w:bdr w:val="single" w:sz="4" w:space="0" w:color="auto"/>
        </w:rPr>
        <w:t>龍樹共貫大小的價值</w:t>
      </w:r>
      <w:r w:rsidRPr="00DA3BC7">
        <w:rPr>
          <w:rFonts w:ascii="Times New Roman" w:hAnsi="Times New Roman" w:cs="Times Ext Roman" w:hint="eastAsia"/>
          <w:sz w:val="20"/>
        </w:rPr>
        <w:t>（</w:t>
      </w:r>
      <w:r w:rsidR="00425E2B" w:rsidRPr="00DA3BC7">
        <w:rPr>
          <w:rFonts w:ascii="Times New Roman" w:hAnsi="Times New Roman" w:cs="Times Ext Roman" w:hint="eastAsia"/>
          <w:sz w:val="20"/>
        </w:rPr>
        <w:t>p</w:t>
      </w:r>
      <w:r w:rsidR="00C831BF">
        <w:rPr>
          <w:rFonts w:ascii="Times New Roman" w:hAnsi="Times New Roman" w:cs="Times Ext Roman"/>
          <w:sz w:val="20"/>
        </w:rPr>
        <w:t>p.</w:t>
      </w:r>
      <w:r w:rsidR="00C831BF">
        <w:rPr>
          <w:rFonts w:ascii="Times New Roman" w:hAnsi="Times New Roman" w:cs="Times Ext Roman"/>
          <w:color w:val="FF0000"/>
          <w:sz w:val="20"/>
          <w:highlight w:val="yellow"/>
        </w:rPr>
        <w:t>a</w:t>
      </w:r>
      <w:r w:rsidR="00425E2B">
        <w:rPr>
          <w:rFonts w:ascii="Times New Roman" w:hAnsi="Times New Roman" w:cs="Times Ext Roman" w:hint="eastAsia"/>
          <w:sz w:val="20"/>
        </w:rPr>
        <w:t>4</w:t>
      </w:r>
      <w:r w:rsidR="00425E2B" w:rsidRPr="00DA3BC7">
        <w:rPr>
          <w:rFonts w:ascii="Times New Roman" w:hAnsi="Times New Roman" w:cs="Times Ext Roman" w:hint="eastAsia"/>
          <w:sz w:val="20"/>
        </w:rPr>
        <w:t>-</w:t>
      </w:r>
      <w:r w:rsidR="00C831BF">
        <w:rPr>
          <w:rFonts w:ascii="Times New Roman" w:hAnsi="Times New Roman" w:cs="Times Ext Roman"/>
          <w:color w:val="FF0000"/>
          <w:sz w:val="20"/>
          <w:highlight w:val="yellow"/>
        </w:rPr>
        <w:t>a</w:t>
      </w:r>
      <w:r w:rsidR="00425E2B">
        <w:rPr>
          <w:rFonts w:ascii="Times New Roman" w:hAnsi="Times New Roman" w:cs="Times Ext Roman" w:hint="eastAsia"/>
          <w:sz w:val="20"/>
        </w:rPr>
        <w:t>5</w:t>
      </w:r>
      <w:r w:rsidRPr="00DA3BC7">
        <w:rPr>
          <w:rFonts w:ascii="Times New Roman" w:hAnsi="Times New Roman" w:cs="Times Ext Roman" w:hint="eastAsia"/>
          <w:sz w:val="20"/>
        </w:rPr>
        <w:t>）</w:t>
      </w:r>
    </w:p>
    <w:p w:rsidR="0076184F" w:rsidRPr="0076184F" w:rsidRDefault="0076184F" w:rsidP="00B16A72">
      <w:pPr>
        <w:ind w:leftChars="300" w:left="720"/>
        <w:jc w:val="both"/>
        <w:rPr>
          <w:rFonts w:ascii="Times New Roman" w:hAnsi="Times New Roman" w:cs="Times Ext Roman"/>
          <w:b/>
          <w:color w:val="FF0000"/>
          <w:sz w:val="20"/>
          <w:highlight w:val="yellow"/>
          <w:bdr w:val="single" w:sz="4" w:space="0" w:color="auto"/>
        </w:rPr>
      </w:pPr>
      <w:r w:rsidRPr="0076184F">
        <w:rPr>
          <w:rFonts w:ascii="Times New Roman" w:hAnsi="Times New Roman" w:cs="Times Ext Roman" w:hint="eastAsia"/>
          <w:b/>
          <w:color w:val="FF0000"/>
          <w:sz w:val="20"/>
          <w:highlight w:val="yellow"/>
          <w:bdr w:val="single" w:sz="4" w:space="0" w:color="auto"/>
        </w:rPr>
        <w:t>A</w:t>
      </w:r>
      <w:r w:rsidRPr="0076184F">
        <w:rPr>
          <w:rFonts w:ascii="Times New Roman" w:hAnsi="Times New Roman" w:cs="Times Ext Roman" w:hint="eastAsia"/>
          <w:b/>
          <w:color w:val="FF0000"/>
          <w:sz w:val="20"/>
          <w:highlight w:val="yellow"/>
          <w:bdr w:val="single" w:sz="4" w:space="0" w:color="auto"/>
        </w:rPr>
        <w:t>、</w:t>
      </w:r>
      <w:r>
        <w:rPr>
          <w:rFonts w:ascii="Times New Roman" w:hAnsi="Times New Roman" w:cs="Times Ext Roman" w:hint="eastAsia"/>
          <w:b/>
          <w:color w:val="FF0000"/>
          <w:sz w:val="20"/>
          <w:highlight w:val="yellow"/>
          <w:bdr w:val="single" w:sz="4" w:space="0" w:color="auto"/>
        </w:rPr>
        <w:t>約「初期大乘經」說</w:t>
      </w:r>
      <w:r w:rsidR="00425E2B" w:rsidRPr="00DA3BC7">
        <w:rPr>
          <w:rFonts w:ascii="Times New Roman" w:hAnsi="Times New Roman" w:cs="Times Ext Roman" w:hint="eastAsia"/>
          <w:sz w:val="20"/>
        </w:rPr>
        <w:t>（</w:t>
      </w:r>
      <w:r w:rsidR="00425E2B" w:rsidRPr="00DA3BC7">
        <w:rPr>
          <w:rFonts w:ascii="Times New Roman" w:hAnsi="Times New Roman" w:cs="Times Ext Roman" w:hint="eastAsia"/>
          <w:sz w:val="20"/>
        </w:rPr>
        <w:t>p</w:t>
      </w:r>
      <w:r w:rsidR="00C831BF">
        <w:rPr>
          <w:rFonts w:ascii="Times New Roman" w:hAnsi="Times New Roman" w:cs="Times Ext Roman"/>
          <w:sz w:val="20"/>
        </w:rPr>
        <w:t>p.</w:t>
      </w:r>
      <w:r w:rsidR="00C831BF">
        <w:rPr>
          <w:rFonts w:ascii="Times New Roman" w:hAnsi="Times New Roman" w:cs="Times Ext Roman"/>
          <w:color w:val="FF0000"/>
          <w:sz w:val="20"/>
          <w:highlight w:val="yellow"/>
        </w:rPr>
        <w:t>a</w:t>
      </w:r>
      <w:r w:rsidR="00425E2B">
        <w:rPr>
          <w:rFonts w:ascii="Times New Roman" w:hAnsi="Times New Roman" w:cs="Times Ext Roman" w:hint="eastAsia"/>
          <w:sz w:val="20"/>
        </w:rPr>
        <w:t>4</w:t>
      </w:r>
      <w:r w:rsidR="00425E2B" w:rsidRPr="00DA3BC7">
        <w:rPr>
          <w:rFonts w:ascii="Times New Roman" w:hAnsi="Times New Roman" w:cs="Times Ext Roman" w:hint="eastAsia"/>
          <w:sz w:val="20"/>
        </w:rPr>
        <w:t>-</w:t>
      </w:r>
      <w:r w:rsidR="00C831BF">
        <w:rPr>
          <w:rFonts w:ascii="Times New Roman" w:hAnsi="Times New Roman" w:cs="Times Ext Roman"/>
          <w:color w:val="FF0000"/>
          <w:sz w:val="20"/>
          <w:highlight w:val="yellow"/>
        </w:rPr>
        <w:t>a</w:t>
      </w:r>
      <w:r w:rsidR="00425E2B">
        <w:rPr>
          <w:rFonts w:ascii="Times New Roman" w:hAnsi="Times New Roman" w:cs="Times Ext Roman" w:hint="eastAsia"/>
          <w:sz w:val="20"/>
        </w:rPr>
        <w:t>5</w:t>
      </w:r>
      <w:r w:rsidR="00425E2B" w:rsidRPr="00DA3BC7">
        <w:rPr>
          <w:rFonts w:ascii="Times New Roman" w:hAnsi="Times New Roman" w:cs="Times Ext Roman" w:hint="eastAsia"/>
          <w:sz w:val="20"/>
        </w:rPr>
        <w:t>）</w:t>
      </w:r>
    </w:p>
    <w:p w:rsidR="00AF0EEA" w:rsidRPr="00DA3BC7" w:rsidRDefault="00AF0EEA" w:rsidP="00110E14">
      <w:pPr>
        <w:ind w:leftChars="300" w:left="720"/>
        <w:jc w:val="both"/>
        <w:rPr>
          <w:rFonts w:ascii="Times New Roman" w:hAnsi="Times New Roman" w:cs="Times Ext Roman"/>
        </w:rPr>
      </w:pPr>
      <w:r w:rsidRPr="00DA3BC7">
        <w:rPr>
          <w:rFonts w:ascii="Times New Roman" w:hAnsi="Times New Roman" w:cs="Times Ext Roman"/>
        </w:rPr>
        <w:t>本來，初期的大乘經，如：《十地經》以悟無生法忍為同於二乘的；</w:t>
      </w:r>
      <w:r w:rsidRPr="00DA3BC7">
        <w:rPr>
          <w:rStyle w:val="a6"/>
          <w:rFonts w:ascii="Times New Roman" w:hAnsi="Times New Roman" w:cs="Times Ext Roman"/>
        </w:rPr>
        <w:footnoteReference w:id="25"/>
      </w:r>
    </w:p>
    <w:p w:rsidR="00AF0EEA" w:rsidRPr="00DA3BC7" w:rsidRDefault="00AF0EEA" w:rsidP="00110E14">
      <w:pPr>
        <w:ind w:leftChars="300" w:left="720"/>
        <w:jc w:val="both"/>
        <w:rPr>
          <w:rFonts w:ascii="Times New Roman" w:hAnsi="Times New Roman" w:cs="Times Ext Roman"/>
        </w:rPr>
      </w:pPr>
      <w:r w:rsidRPr="00DA3BC7">
        <w:rPr>
          <w:rFonts w:ascii="Times New Roman" w:hAnsi="Times New Roman" w:cs="Times Ext Roman"/>
        </w:rPr>
        <w:lastRenderedPageBreak/>
        <w:t>《般若經》以無生法忍能攝二乘智斷的，</w:t>
      </w:r>
      <w:r w:rsidRPr="00DA3BC7">
        <w:rPr>
          <w:rStyle w:val="a6"/>
          <w:rFonts w:ascii="Times New Roman" w:hAnsi="Times New Roman" w:cs="Times Ext Roman"/>
        </w:rPr>
        <w:footnoteReference w:id="26"/>
      </w:r>
      <w:r w:rsidRPr="00DA3BC7">
        <w:rPr>
          <w:rFonts w:ascii="Times New Roman" w:hAnsi="Times New Roman" w:cs="Times Ext Roman"/>
        </w:rPr>
        <w:t>以先尼的因信得解來證明大乘的現觀；</w:t>
      </w:r>
      <w:r w:rsidRPr="00DA3BC7">
        <w:rPr>
          <w:rStyle w:val="a6"/>
          <w:rFonts w:ascii="Times New Roman" w:hAnsi="Times New Roman" w:cs="Times Ext Roman"/>
        </w:rPr>
        <w:footnoteReference w:id="27"/>
      </w:r>
    </w:p>
    <w:p w:rsidR="00AF0EEA" w:rsidRPr="00DA3BC7" w:rsidRDefault="00AF0EEA" w:rsidP="00AE3920">
      <w:pPr>
        <w:spacing w:beforeLines="20"/>
        <w:ind w:leftChars="300" w:left="720"/>
        <w:jc w:val="both"/>
        <w:rPr>
          <w:rFonts w:ascii="Times New Roman" w:hAnsi="Times New Roman" w:cs="Times Ext Roman"/>
        </w:rPr>
      </w:pPr>
      <w:r w:rsidRPr="00DA3BC7">
        <w:rPr>
          <w:rFonts w:ascii="Times New Roman" w:hAnsi="Times New Roman" w:cs="Times Ext Roman"/>
        </w:rPr>
        <w:t>《金剛經》以「</w:t>
      </w:r>
      <w:r w:rsidRPr="00DA3BC7">
        <w:rPr>
          <w:rFonts w:ascii="標楷體" w:eastAsia="標楷體" w:hAnsi="標楷體" w:cs="Times Ext Roman"/>
        </w:rPr>
        <w:t>若以色見我</w:t>
      </w:r>
      <w:r w:rsidRPr="00DA3BC7">
        <w:rPr>
          <w:rFonts w:ascii="Times New Roman" w:hAnsi="Times New Roman" w:cs="Times Ext Roman"/>
        </w:rPr>
        <w:t>」頌明佛身等，</w:t>
      </w:r>
      <w:r w:rsidRPr="00DA3BC7">
        <w:rPr>
          <w:rStyle w:val="a6"/>
          <w:rFonts w:ascii="Times New Roman" w:hAnsi="Times New Roman" w:cs="Times Ext Roman"/>
        </w:rPr>
        <w:footnoteReference w:id="28"/>
      </w:r>
    </w:p>
    <w:p w:rsidR="00AF0EEA" w:rsidRPr="00DA3BC7" w:rsidRDefault="00AF0EEA" w:rsidP="00110E14">
      <w:pPr>
        <w:ind w:leftChars="300" w:left="720"/>
        <w:jc w:val="both"/>
        <w:rPr>
          <w:rFonts w:ascii="Times New Roman" w:hAnsi="Times New Roman" w:cs="Times Ext Roman"/>
        </w:rPr>
      </w:pPr>
      <w:r w:rsidRPr="00DA3BC7">
        <w:rPr>
          <w:rFonts w:ascii="Times New Roman" w:hAnsi="Times New Roman" w:cs="Times Ext Roman"/>
        </w:rPr>
        <w:t>都確認三乘聖者成立於同一的理證</w:t>
      </w:r>
      <w:r w:rsidRPr="00DA3BC7">
        <w:rPr>
          <w:rFonts w:ascii="新細明體" w:hAnsi="新細明體" w:cs="Times Ext Roman"/>
        </w:rPr>
        <w:t>──</w:t>
      </w:r>
      <w:r w:rsidRPr="00DA3BC7">
        <w:rPr>
          <w:rFonts w:ascii="Times New Roman" w:hAnsi="Times New Roman" w:cs="Times Ext Roman"/>
        </w:rPr>
        <w:t>法性空寂，</w:t>
      </w:r>
      <w:r w:rsidRPr="00DA3BC7">
        <w:rPr>
          <w:rFonts w:ascii="Times New Roman" w:hAnsi="Times New Roman" w:cs="Times Ext Roman" w:hint="eastAsia"/>
        </w:rPr>
        <w:t>哪</w:t>
      </w:r>
      <w:r w:rsidRPr="00DA3BC7">
        <w:rPr>
          <w:rFonts w:ascii="Times New Roman" w:hAnsi="Times New Roman" w:cs="Times Ext Roman"/>
        </w:rPr>
        <w:t>裏如執小執大者所說？</w:t>
      </w:r>
    </w:p>
    <w:p w:rsidR="00AF0EEA" w:rsidRPr="00DA3BC7" w:rsidRDefault="0076184F" w:rsidP="00AE3920">
      <w:pPr>
        <w:spacing w:beforeLines="30"/>
        <w:ind w:leftChars="300" w:left="720"/>
        <w:jc w:val="both"/>
        <w:rPr>
          <w:rFonts w:ascii="Times New Roman" w:hAnsi="Times New Roman" w:cs="Times Ext Roman"/>
          <w:sz w:val="20"/>
          <w:bdr w:val="single" w:sz="4" w:space="0" w:color="auto"/>
        </w:rPr>
      </w:pPr>
      <w:r w:rsidRPr="0076184F">
        <w:rPr>
          <w:rFonts w:ascii="Times New Roman" w:hAnsi="Times New Roman" w:cs="Times Ext Roman" w:hint="eastAsia"/>
          <w:b/>
          <w:color w:val="FF0000"/>
          <w:sz w:val="20"/>
          <w:highlight w:val="yellow"/>
          <w:bdr w:val="single" w:sz="4" w:space="0" w:color="auto"/>
        </w:rPr>
        <w:t>B</w:t>
      </w:r>
      <w:r w:rsidR="00AF0EEA" w:rsidRPr="0076184F">
        <w:rPr>
          <w:rFonts w:ascii="Times New Roman" w:hAnsi="Times New Roman" w:cs="Times Ext Roman"/>
          <w:b/>
          <w:color w:val="FF0000"/>
          <w:sz w:val="20"/>
          <w:highlight w:val="yellow"/>
          <w:bdr w:val="single" w:sz="4" w:space="0" w:color="auto"/>
        </w:rPr>
        <w:t>、</w:t>
      </w:r>
      <w:r w:rsidR="00AF0EEA" w:rsidRPr="0076184F">
        <w:rPr>
          <w:rFonts w:ascii="Times New Roman" w:hAnsi="Times New Roman" w:cs="Times Ext Roman" w:hint="eastAsia"/>
          <w:b/>
          <w:color w:val="FF0000"/>
          <w:sz w:val="20"/>
          <w:highlight w:val="yellow"/>
          <w:bdr w:val="single" w:sz="4" w:space="0" w:color="auto"/>
        </w:rPr>
        <w:t>龍樹</w:t>
      </w:r>
      <w:r w:rsidRPr="0076184F">
        <w:rPr>
          <w:rFonts w:ascii="Times New Roman" w:hAnsi="Times New Roman" w:cs="Times Ext Roman" w:hint="eastAsia"/>
          <w:b/>
          <w:color w:val="FF0000"/>
          <w:sz w:val="20"/>
          <w:highlight w:val="yellow"/>
          <w:bdr w:val="single" w:sz="4" w:space="0" w:color="auto"/>
        </w:rPr>
        <w:t>暢佛本懷之導</w:t>
      </w:r>
      <w:r w:rsidR="00AF0EEA" w:rsidRPr="0076184F">
        <w:rPr>
          <w:rFonts w:ascii="Times New Roman" w:hAnsi="Times New Roman" w:cs="Times Ext Roman" w:hint="eastAsia"/>
          <w:b/>
          <w:color w:val="FF0000"/>
          <w:sz w:val="20"/>
          <w:highlight w:val="yellow"/>
          <w:bdr w:val="single" w:sz="4" w:space="0" w:color="auto"/>
        </w:rPr>
        <w:t>歸</w:t>
      </w:r>
      <w:r w:rsidR="00AF0EEA" w:rsidRPr="00DA3BC7">
        <w:rPr>
          <w:rFonts w:ascii="Times New Roman" w:hAnsi="Times New Roman" w:cs="Times Ext Roman" w:hint="eastAsia"/>
          <w:sz w:val="20"/>
        </w:rPr>
        <w:t>（</w:t>
      </w:r>
      <w:r w:rsidR="00AF0EEA" w:rsidRPr="00DA3BC7">
        <w:rPr>
          <w:rFonts w:ascii="Times New Roman" w:hAnsi="Times New Roman" w:cs="Times Ext Roman" w:hint="eastAsia"/>
          <w:sz w:val="20"/>
        </w:rPr>
        <w:t>p.</w:t>
      </w:r>
      <w:r w:rsidR="004A46AA">
        <w:rPr>
          <w:rFonts w:ascii="Times New Roman" w:hAnsi="Times New Roman" w:cs="Times Ext Roman"/>
          <w:color w:val="FF0000"/>
          <w:sz w:val="20"/>
          <w:highlight w:val="yellow"/>
        </w:rPr>
        <w:t>a</w:t>
      </w:r>
      <w:r w:rsidR="00AF0EEA" w:rsidRPr="00DA3BC7">
        <w:rPr>
          <w:rFonts w:ascii="Times New Roman" w:hAnsi="Times New Roman" w:cs="Times Ext Roman" w:hint="eastAsia"/>
          <w:sz w:val="20"/>
        </w:rPr>
        <w:t>5</w:t>
      </w:r>
      <w:r w:rsidR="00AF0EEA" w:rsidRPr="00DA3BC7">
        <w:rPr>
          <w:rFonts w:ascii="Times New Roman" w:hAnsi="Times New Roman" w:cs="Times Ext Roman" w:hint="eastAsia"/>
          <w:sz w:val="20"/>
        </w:rPr>
        <w:t>）</w:t>
      </w:r>
    </w:p>
    <w:p w:rsidR="00AF0EEA" w:rsidRPr="00DA3BC7" w:rsidRDefault="00AF0EEA" w:rsidP="00110E14">
      <w:pPr>
        <w:ind w:leftChars="300" w:left="720"/>
        <w:jc w:val="both"/>
        <w:rPr>
          <w:rFonts w:ascii="Times New Roman" w:hAnsi="Times New Roman" w:cs="Times Ext Roman"/>
        </w:rPr>
      </w:pPr>
      <w:r w:rsidRPr="00DA3BC7">
        <w:rPr>
          <w:rFonts w:ascii="Times New Roman" w:hAnsi="Times New Roman" w:cs="Times Ext Roman"/>
        </w:rPr>
        <w:t>所以《中論》的抉擇《阿含經》義</w:t>
      </w:r>
      <w:r w:rsidRPr="00DA3BC7">
        <w:rPr>
          <w:rFonts w:ascii="Times New Roman" w:hAnsi="Times New Roman" w:cs="Times Ext Roman" w:hint="eastAsia"/>
        </w:rPr>
        <w:t>，</w:t>
      </w:r>
      <w:r w:rsidRPr="00DA3BC7">
        <w:rPr>
          <w:rStyle w:val="a6"/>
          <w:rFonts w:ascii="Times New Roman" w:hAnsi="Times New Roman" w:cs="Times Ext Roman"/>
        </w:rPr>
        <w:footnoteReference w:id="29"/>
      </w:r>
      <w:r w:rsidRPr="00DA3BC7">
        <w:rPr>
          <w:rFonts w:ascii="Times New Roman" w:hAnsi="Times New Roman" w:cs="Times Ext Roman"/>
        </w:rPr>
        <w:t>《</w:t>
      </w:r>
      <w:r w:rsidRPr="00DA3BC7">
        <w:rPr>
          <w:rFonts w:ascii="Times New Roman" w:hAnsi="Times New Roman" w:cs="Times Ext Roman" w:hint="eastAsia"/>
        </w:rPr>
        <w:t>大</w:t>
      </w:r>
      <w:r w:rsidRPr="00DA3BC7">
        <w:rPr>
          <w:rFonts w:ascii="Times New Roman" w:hAnsi="Times New Roman" w:cs="Times Ext Roman"/>
        </w:rPr>
        <w:t>智</w:t>
      </w:r>
      <w:r w:rsidRPr="00DA3BC7">
        <w:rPr>
          <w:rFonts w:ascii="Times New Roman" w:hAnsi="Times New Roman" w:cs="Times Ext Roman" w:hint="eastAsia"/>
        </w:rPr>
        <w:t>度</w:t>
      </w:r>
      <w:r w:rsidRPr="00DA3BC7">
        <w:rPr>
          <w:rFonts w:ascii="Times New Roman" w:hAnsi="Times New Roman" w:cs="Times Ext Roman"/>
        </w:rPr>
        <w:t>論》的引佛為長爪梵</w:t>
      </w:r>
      <w:r w:rsidRPr="00DA3BC7">
        <w:rPr>
          <w:rFonts w:ascii="Times New Roman" w:hAnsi="Times New Roman" w:cs="Times Ext Roman"/>
        </w:rPr>
        <w:lastRenderedPageBreak/>
        <w:t>志說法</w:t>
      </w:r>
      <w:r w:rsidRPr="00DA3BC7">
        <w:rPr>
          <w:rStyle w:val="a6"/>
          <w:rFonts w:ascii="Times New Roman" w:hAnsi="Times New Roman" w:cs="Times Ext Roman"/>
        </w:rPr>
        <w:footnoteReference w:id="30"/>
      </w:r>
      <w:r w:rsidRPr="00DA3BC7">
        <w:rPr>
          <w:rFonts w:ascii="Times New Roman" w:hAnsi="Times New Roman" w:cs="Times Ext Roman" w:hint="eastAsia"/>
        </w:rPr>
        <w:t>、</w:t>
      </w:r>
      <w:r w:rsidRPr="00DA3BC7">
        <w:rPr>
          <w:rFonts w:ascii="Times New Roman" w:hAnsi="Times New Roman" w:cs="Times Ext Roman"/>
        </w:rPr>
        <w:t>《眾義經》偈</w:t>
      </w:r>
      <w:r w:rsidR="008144B4" w:rsidRPr="00DA3BC7">
        <w:rPr>
          <w:rStyle w:val="a6"/>
          <w:rFonts w:ascii="Times New Roman" w:hAnsi="Times New Roman" w:cs="Times Ext Roman"/>
        </w:rPr>
        <w:footnoteReference w:id="31"/>
      </w:r>
      <w:r w:rsidRPr="00DA3BC7">
        <w:rPr>
          <w:rFonts w:ascii="Times New Roman" w:hAnsi="Times New Roman" w:cs="Times Ext Roman"/>
        </w:rPr>
        <w:t>等來明第一義諦，</w:t>
      </w:r>
      <w:r w:rsidRPr="00DA3BC7">
        <w:rPr>
          <w:rStyle w:val="a6"/>
          <w:rFonts w:ascii="Times New Roman" w:hAnsi="Times New Roman" w:cs="Times Ext Roman"/>
        </w:rPr>
        <w:footnoteReference w:id="32"/>
      </w:r>
      <w:r w:rsidRPr="00DA3BC7">
        <w:rPr>
          <w:rFonts w:ascii="Times New Roman" w:hAnsi="Times New Roman" w:cs="Times Ext Roman"/>
        </w:rPr>
        <w:t>不是呵斥聲聞，不是偏讚</w:t>
      </w:r>
      <w:r w:rsidRPr="00DA3BC7">
        <w:rPr>
          <w:rFonts w:ascii="Times New Roman" w:hAnsi="Times New Roman" w:cs="Times Ext Roman"/>
        </w:rPr>
        <w:lastRenderedPageBreak/>
        <w:t>大乘，是</w:t>
      </w:r>
      <w:r w:rsidRPr="00DA3BC7">
        <w:rPr>
          <w:rFonts w:ascii="Times New Roman" w:hAnsi="Times New Roman" w:cs="Times Ext Roman"/>
          <w:b/>
        </w:rPr>
        <w:t>引導學者復歸於釋尊本義</w:t>
      </w:r>
      <w:r w:rsidRPr="00DA3BC7">
        <w:rPr>
          <w:rFonts w:ascii="Times New Roman" w:hAnsi="Times New Roman" w:cs="Times Ext Roman"/>
        </w:rPr>
        <w:t>的運動。</w:t>
      </w:r>
    </w:p>
    <w:p w:rsidR="0076184F" w:rsidRDefault="00AF0EEA" w:rsidP="00AE3920">
      <w:pPr>
        <w:spacing w:beforeLines="20"/>
        <w:ind w:leftChars="300" w:left="720"/>
        <w:jc w:val="both"/>
        <w:rPr>
          <w:rFonts w:ascii="Times New Roman" w:hAnsi="Times New Roman" w:cs="Times Ext Roman"/>
        </w:rPr>
      </w:pPr>
      <w:r w:rsidRPr="00DA3BC7">
        <w:rPr>
          <w:rFonts w:ascii="Times New Roman" w:hAnsi="Times New Roman" w:cs="Times Ext Roman"/>
        </w:rPr>
        <w:t>唯有從這樣的思想中，能看出大小乘的分化由來，能指斥</w:t>
      </w:r>
      <w:r w:rsidRPr="00DA3BC7">
        <w:rPr>
          <w:rStyle w:val="a6"/>
          <w:rFonts w:ascii="Times New Roman" w:hAnsi="Times New Roman" w:cs="Times Ext Roman"/>
        </w:rPr>
        <w:footnoteReference w:id="33"/>
      </w:r>
      <w:r w:rsidRPr="00DA3BC7">
        <w:rPr>
          <w:rFonts w:ascii="Times New Roman" w:hAnsi="Times New Roman" w:cs="Times Ext Roman"/>
        </w:rPr>
        <w:t>那些畸形</w:t>
      </w:r>
      <w:r w:rsidRPr="00DA3BC7">
        <w:rPr>
          <w:rStyle w:val="a6"/>
          <w:rFonts w:ascii="Times New Roman" w:hAnsi="Times New Roman" w:cs="Times Ext Roman"/>
        </w:rPr>
        <w:footnoteReference w:id="34"/>
      </w:r>
      <w:r w:rsidRPr="00DA3BC7">
        <w:rPr>
          <w:rFonts w:ascii="Times New Roman" w:hAnsi="Times New Roman" w:cs="Times Ext Roman"/>
        </w:rPr>
        <w:t>發展而遺失釋尊本義的亂說！</w:t>
      </w:r>
    </w:p>
    <w:p w:rsidR="0076184F" w:rsidRPr="00DA3BC7" w:rsidRDefault="0076184F" w:rsidP="00AE3920">
      <w:pPr>
        <w:spacing w:beforeLines="30"/>
        <w:ind w:leftChars="250" w:left="600"/>
        <w:jc w:val="both"/>
        <w:rPr>
          <w:rFonts w:ascii="Times New Roman" w:hAnsi="Times New Roman" w:cs="Times Ext Roman"/>
          <w:sz w:val="20"/>
          <w:bdr w:val="single" w:sz="4" w:space="0" w:color="auto"/>
        </w:rPr>
      </w:pPr>
      <w:r w:rsidRPr="0076184F">
        <w:rPr>
          <w:rFonts w:ascii="Times New Roman" w:hAnsi="Times New Roman" w:cs="Times Ext Roman" w:hint="eastAsia"/>
          <w:b/>
          <w:color w:val="FF0000"/>
          <w:sz w:val="20"/>
          <w:highlight w:val="yellow"/>
          <w:bdr w:val="single" w:sz="4" w:space="0" w:color="auto"/>
        </w:rPr>
        <w:t>（</w:t>
      </w:r>
      <w:r>
        <w:rPr>
          <w:rFonts w:ascii="Times New Roman" w:hAnsi="Times New Roman" w:cs="Times Ext Roman" w:hint="eastAsia"/>
          <w:b/>
          <w:color w:val="FF0000"/>
          <w:sz w:val="20"/>
          <w:highlight w:val="yellow"/>
          <w:bdr w:val="single" w:sz="4" w:space="0" w:color="auto"/>
        </w:rPr>
        <w:t>4</w:t>
      </w:r>
      <w:r w:rsidRPr="0076184F">
        <w:rPr>
          <w:rFonts w:ascii="Times New Roman" w:hAnsi="Times New Roman" w:cs="Times Ext Roman" w:hint="eastAsia"/>
          <w:b/>
          <w:color w:val="FF0000"/>
          <w:sz w:val="20"/>
          <w:highlight w:val="yellow"/>
          <w:bdr w:val="single" w:sz="4" w:space="0" w:color="auto"/>
        </w:rPr>
        <w:t>）</w:t>
      </w:r>
      <w:r>
        <w:rPr>
          <w:rFonts w:ascii="Times New Roman" w:hAnsi="Times New Roman" w:cs="Times Ext Roman" w:hint="eastAsia"/>
          <w:b/>
          <w:color w:val="FF0000"/>
          <w:sz w:val="20"/>
          <w:highlight w:val="yellow"/>
          <w:bdr w:val="single" w:sz="4" w:space="0" w:color="auto"/>
        </w:rPr>
        <w:t>結歎</w:t>
      </w:r>
      <w:r w:rsidRPr="00DA3BC7">
        <w:rPr>
          <w:rFonts w:ascii="Times New Roman" w:hAnsi="Times New Roman" w:cs="Times Ext Roman" w:hint="eastAsia"/>
          <w:sz w:val="20"/>
        </w:rPr>
        <w:t>（</w:t>
      </w:r>
      <w:r w:rsidR="00C831BF">
        <w:rPr>
          <w:rFonts w:ascii="Times New Roman" w:hAnsi="Times New Roman" w:cs="Times Ext Roman"/>
          <w:sz w:val="20"/>
        </w:rPr>
        <w:t>p.</w:t>
      </w:r>
      <w:r w:rsidR="00C831BF">
        <w:rPr>
          <w:rFonts w:ascii="Times New Roman" w:hAnsi="Times New Roman" w:cs="Times Ext Roman"/>
          <w:color w:val="FF0000"/>
          <w:sz w:val="20"/>
          <w:highlight w:val="yellow"/>
        </w:rPr>
        <w:t>a</w:t>
      </w:r>
      <w:r>
        <w:rPr>
          <w:rFonts w:ascii="Times New Roman" w:hAnsi="Times New Roman" w:cs="Times Ext Roman" w:hint="eastAsia"/>
          <w:sz w:val="20"/>
        </w:rPr>
        <w:t>5</w:t>
      </w:r>
      <w:r w:rsidRPr="00DA3BC7">
        <w:rPr>
          <w:rFonts w:ascii="Times New Roman" w:hAnsi="Times New Roman" w:cs="Times Ext Roman" w:hint="eastAsia"/>
          <w:sz w:val="20"/>
        </w:rPr>
        <w:t>）</w:t>
      </w:r>
    </w:p>
    <w:p w:rsidR="00AF0EEA" w:rsidRPr="00DA3BC7" w:rsidRDefault="00AF0EEA" w:rsidP="00110E14">
      <w:pPr>
        <w:ind w:leftChars="250" w:left="600"/>
        <w:jc w:val="both"/>
        <w:rPr>
          <w:rFonts w:ascii="Times New Roman" w:hAnsi="Times New Roman" w:cs="Times Ext Roman"/>
        </w:rPr>
      </w:pPr>
      <w:r w:rsidRPr="00DA3BC7">
        <w:rPr>
          <w:rFonts w:ascii="Times New Roman" w:hAnsi="Times New Roman" w:cs="Times Ext Roman"/>
          <w:b/>
        </w:rPr>
        <w:t>中觀學能抉擇釋尊教義的真相，能有助於佛教思想發展史的理解，這是怎樣的值得我們尊重！</w:t>
      </w:r>
    </w:p>
    <w:p w:rsidR="00AF0EEA" w:rsidRPr="00DA3BC7" w:rsidRDefault="0076184F" w:rsidP="00AE3920">
      <w:pPr>
        <w:spacing w:beforeLines="30"/>
        <w:ind w:leftChars="100" w:left="240"/>
        <w:jc w:val="both"/>
        <w:rPr>
          <w:rFonts w:ascii="Times New Roman" w:hAnsi="Times New Roman" w:cs="Times Ext Roman"/>
          <w:sz w:val="20"/>
          <w:bdr w:val="single" w:sz="4" w:space="0" w:color="auto"/>
        </w:rPr>
      </w:pPr>
      <w:r>
        <w:rPr>
          <w:rFonts w:ascii="Times New Roman" w:hAnsi="Times New Roman" w:cs="Times Ext Roman" w:hint="eastAsia"/>
          <w:b/>
          <w:color w:val="FF0000"/>
          <w:sz w:val="20"/>
          <w:highlight w:val="yellow"/>
          <w:bdr w:val="single" w:sz="4" w:space="0" w:color="auto"/>
        </w:rPr>
        <w:t>二、</w:t>
      </w:r>
      <w:r w:rsidR="00AF0EEA" w:rsidRPr="00DA3BC7">
        <w:rPr>
          <w:rFonts w:ascii="Times New Roman" w:hAnsi="Times New Roman" w:cs="Times Ext Roman"/>
          <w:b/>
          <w:sz w:val="20"/>
          <w:bdr w:val="single" w:sz="4" w:space="0" w:color="auto"/>
        </w:rPr>
        <w:t>真俗無礙</w:t>
      </w:r>
      <w:r w:rsidR="00AF0EEA" w:rsidRPr="00DA3BC7">
        <w:rPr>
          <w:rFonts w:ascii="Times New Roman" w:hAnsi="Times New Roman" w:cs="Times Ext Roman" w:hint="eastAsia"/>
          <w:b/>
          <w:sz w:val="20"/>
          <w:bdr w:val="single" w:sz="4" w:space="0" w:color="auto"/>
        </w:rPr>
        <w:t>（理事無礙）</w:t>
      </w:r>
      <w:r w:rsidR="00AF0EEA" w:rsidRPr="00DA3BC7">
        <w:rPr>
          <w:rFonts w:ascii="Times New Roman" w:hAnsi="Times New Roman" w:cs="Times Ext Roman" w:hint="eastAsia"/>
          <w:sz w:val="20"/>
        </w:rPr>
        <w:t>（</w:t>
      </w:r>
      <w:r w:rsidR="00AF0EEA" w:rsidRPr="00DA3BC7">
        <w:rPr>
          <w:rFonts w:ascii="Times New Roman" w:hAnsi="Times New Roman" w:cs="Times Ext Roman" w:hint="eastAsia"/>
          <w:sz w:val="20"/>
        </w:rPr>
        <w:t>p</w:t>
      </w:r>
      <w:r w:rsidR="00C831BF">
        <w:rPr>
          <w:rFonts w:ascii="Times New Roman" w:hAnsi="Times New Roman" w:cs="Times Ext Roman"/>
          <w:sz w:val="20"/>
        </w:rPr>
        <w:t>p.</w:t>
      </w:r>
      <w:r w:rsidR="00C831BF">
        <w:rPr>
          <w:rFonts w:ascii="Times New Roman" w:hAnsi="Times New Roman" w:cs="Times Ext Roman"/>
          <w:color w:val="FF0000"/>
          <w:sz w:val="20"/>
          <w:highlight w:val="yellow"/>
        </w:rPr>
        <w:t>a</w:t>
      </w:r>
      <w:r w:rsidR="00AF0EEA" w:rsidRPr="00DA3BC7">
        <w:rPr>
          <w:rFonts w:ascii="Times New Roman" w:hAnsi="Times New Roman" w:cs="Times Ext Roman" w:hint="eastAsia"/>
          <w:sz w:val="20"/>
        </w:rPr>
        <w:t>5-</w:t>
      </w:r>
      <w:r w:rsidR="00C831BF">
        <w:rPr>
          <w:rFonts w:ascii="Times New Roman" w:hAnsi="Times New Roman" w:cs="Times Ext Roman"/>
          <w:color w:val="FF0000"/>
          <w:sz w:val="20"/>
          <w:highlight w:val="yellow"/>
        </w:rPr>
        <w:t>a</w:t>
      </w:r>
      <w:r w:rsidR="00AF0EEA" w:rsidRPr="00DA3BC7">
        <w:rPr>
          <w:rFonts w:ascii="Times New Roman" w:hAnsi="Times New Roman" w:cs="Times Ext Roman" w:hint="eastAsia"/>
          <w:sz w:val="20"/>
        </w:rPr>
        <w:t>7</w:t>
      </w:r>
      <w:r w:rsidR="00AF0EEA" w:rsidRPr="00DA3BC7">
        <w:rPr>
          <w:rFonts w:ascii="Times New Roman" w:hAnsi="Times New Roman" w:cs="Times Ext Roman" w:hint="eastAsia"/>
          <w:sz w:val="20"/>
        </w:rPr>
        <w:t>）</w:t>
      </w:r>
    </w:p>
    <w:p w:rsidR="00AF0EEA" w:rsidRPr="00DA3BC7" w:rsidRDefault="0076184F" w:rsidP="00B16A72">
      <w:pPr>
        <w:ind w:leftChars="150" w:left="360"/>
        <w:jc w:val="both"/>
        <w:rPr>
          <w:rFonts w:ascii="Times New Roman" w:hAnsi="Times New Roman" w:cs="Times Ext Roman"/>
          <w:b/>
          <w:sz w:val="20"/>
          <w:bdr w:val="single" w:sz="4" w:space="0" w:color="auto"/>
        </w:rPr>
      </w:pPr>
      <w:r>
        <w:rPr>
          <w:rFonts w:ascii="Times New Roman" w:hAnsi="Times New Roman" w:cs="Times Ext Roman" w:hint="eastAsia"/>
          <w:b/>
          <w:color w:val="FF0000"/>
          <w:sz w:val="20"/>
          <w:highlight w:val="yellow"/>
          <w:bdr w:val="single" w:sz="4" w:space="0" w:color="auto"/>
        </w:rPr>
        <w:t>（</w:t>
      </w:r>
      <w:r w:rsidRPr="00EF5E89">
        <w:rPr>
          <w:rFonts w:ascii="Times New Roman" w:hAnsi="Times New Roman" w:cs="Times Ext Roman" w:hint="eastAsia"/>
          <w:b/>
          <w:color w:val="FF0000"/>
          <w:sz w:val="20"/>
          <w:highlight w:val="yellow"/>
          <w:bdr w:val="single" w:sz="4" w:space="0" w:color="auto"/>
        </w:rPr>
        <w:t>一</w:t>
      </w:r>
      <w:r>
        <w:rPr>
          <w:rFonts w:ascii="Times New Roman" w:hAnsi="Times New Roman" w:cs="Times Ext Roman" w:hint="eastAsia"/>
          <w:b/>
          <w:color w:val="FF0000"/>
          <w:sz w:val="20"/>
          <w:highlight w:val="yellow"/>
          <w:bdr w:val="single" w:sz="4" w:space="0" w:color="auto"/>
        </w:rPr>
        <w:t>）</w:t>
      </w:r>
      <w:r w:rsidR="009B709F">
        <w:rPr>
          <w:rFonts w:ascii="Times New Roman" w:hAnsi="Times New Roman" w:cs="Times Ext Roman" w:hint="eastAsia"/>
          <w:b/>
          <w:color w:val="FF0000"/>
          <w:sz w:val="20"/>
          <w:highlight w:val="yellow"/>
          <w:bdr w:val="single" w:sz="4" w:space="0" w:color="auto"/>
        </w:rPr>
        <w:t>要述</w:t>
      </w:r>
      <w:r w:rsidR="00AF0EEA" w:rsidRPr="00DA3BC7">
        <w:rPr>
          <w:rFonts w:ascii="Times New Roman" w:hAnsi="Times New Roman" w:cs="Times Ext Roman" w:hint="eastAsia"/>
          <w:sz w:val="20"/>
        </w:rPr>
        <w:t>（</w:t>
      </w:r>
      <w:r w:rsidR="00C831BF">
        <w:rPr>
          <w:rFonts w:ascii="Times New Roman" w:hAnsi="Times New Roman" w:cs="Times Ext Roman"/>
          <w:sz w:val="20"/>
        </w:rPr>
        <w:t>p.</w:t>
      </w:r>
      <w:r w:rsidR="00C831BF">
        <w:rPr>
          <w:rFonts w:ascii="Times New Roman" w:hAnsi="Times New Roman" w:cs="Times Ext Roman"/>
          <w:color w:val="FF0000"/>
          <w:sz w:val="20"/>
          <w:highlight w:val="yellow"/>
        </w:rPr>
        <w:t>a</w:t>
      </w:r>
      <w:r w:rsidR="00AF0EEA" w:rsidRPr="00DA3BC7">
        <w:rPr>
          <w:rFonts w:ascii="Times New Roman" w:hAnsi="Times New Roman" w:cs="Times Ext Roman" w:hint="eastAsia"/>
          <w:sz w:val="20"/>
        </w:rPr>
        <w:t>5</w:t>
      </w:r>
      <w:r w:rsidR="00AF0EEA" w:rsidRPr="00DA3BC7">
        <w:rPr>
          <w:rFonts w:ascii="Times New Roman" w:hAnsi="Times New Roman" w:cs="Times Ext Roman" w:hint="eastAsia"/>
          <w:sz w:val="20"/>
        </w:rPr>
        <w:t>）</w:t>
      </w:r>
    </w:p>
    <w:p w:rsidR="00AF0EEA" w:rsidRPr="00DA3BC7" w:rsidRDefault="00AF0EEA" w:rsidP="00110E14">
      <w:pPr>
        <w:ind w:leftChars="150" w:left="360"/>
        <w:jc w:val="both"/>
        <w:rPr>
          <w:rFonts w:ascii="Times New Roman" w:hAnsi="Times New Roman" w:cs="Times Ext Roman"/>
        </w:rPr>
      </w:pPr>
      <w:r w:rsidRPr="00DA3BC7">
        <w:rPr>
          <w:rFonts w:ascii="Times New Roman" w:hAnsi="Times New Roman" w:cs="Times Ext Roman"/>
        </w:rPr>
        <w:t>如果有人說</w:t>
      </w:r>
      <w:r w:rsidRPr="00DA3BC7">
        <w:rPr>
          <w:rFonts w:ascii="Times New Roman" w:hAnsi="Times New Roman" w:cs="Times Ext Roman" w:hint="eastAsia"/>
        </w:rPr>
        <w:t>「</w:t>
      </w:r>
      <w:r w:rsidRPr="00DA3BC7">
        <w:rPr>
          <w:rFonts w:ascii="Times New Roman" w:hAnsi="Times New Roman" w:cs="Times Ext Roman"/>
        </w:rPr>
        <w:t>佛法偏於理性，偏於出世</w:t>
      </w:r>
      <w:r w:rsidRPr="00DA3BC7">
        <w:rPr>
          <w:rFonts w:ascii="Times New Roman" w:hAnsi="Times New Roman" w:cs="Times Ext Roman" w:hint="eastAsia"/>
        </w:rPr>
        <w:t>」。</w:t>
      </w:r>
      <w:r w:rsidRPr="00DA3BC7">
        <w:rPr>
          <w:rFonts w:ascii="Times New Roman" w:hAnsi="Times New Roman" w:cs="Times Ext Roman"/>
        </w:rPr>
        <w:t>那佛弟子會一致的出來否認，因為佛法是真俗無礙的。真俗無礙，是生死即涅槃</w:t>
      </w:r>
      <w:r w:rsidRPr="00DA3BC7">
        <w:rPr>
          <w:rFonts w:ascii="Times New Roman" w:hAnsi="Times New Roman" w:cs="Times Ext Roman" w:hint="eastAsia"/>
        </w:rPr>
        <w:t>、</w:t>
      </w:r>
      <w:r w:rsidRPr="00DA3BC7">
        <w:rPr>
          <w:rFonts w:ascii="Times New Roman" w:hAnsi="Times New Roman" w:cs="Times Ext Roman"/>
        </w:rPr>
        <w:t>世間即出世的。</w:t>
      </w:r>
    </w:p>
    <w:p w:rsidR="00AF0EEA" w:rsidRPr="00DA3BC7" w:rsidRDefault="00AF0EEA" w:rsidP="00AE3920">
      <w:pPr>
        <w:spacing w:beforeLines="20"/>
        <w:ind w:leftChars="150" w:left="360"/>
        <w:jc w:val="both"/>
        <w:rPr>
          <w:rFonts w:ascii="Times New Roman" w:hAnsi="Times New Roman" w:cs="Times Ext Roman"/>
        </w:rPr>
      </w:pPr>
      <w:r w:rsidRPr="00DA3BC7">
        <w:rPr>
          <w:rFonts w:ascii="Times New Roman" w:hAnsi="Times New Roman" w:cs="Times Ext Roman"/>
        </w:rPr>
        <w:t>獨善的、隱遁</w:t>
      </w:r>
      <w:r w:rsidRPr="00DA3BC7">
        <w:rPr>
          <w:rStyle w:val="a6"/>
          <w:rFonts w:ascii="Times New Roman" w:hAnsi="Times New Roman" w:cs="Times Ext Roman"/>
        </w:rPr>
        <w:footnoteReference w:id="35"/>
      </w:r>
      <w:r w:rsidRPr="00DA3BC7">
        <w:rPr>
          <w:rFonts w:ascii="Times New Roman" w:hAnsi="Times New Roman" w:cs="Times Ext Roman"/>
        </w:rPr>
        <w:t>的，甚至不樂功德</w:t>
      </w:r>
      <w:r w:rsidRPr="00DA3BC7">
        <w:rPr>
          <w:rFonts w:ascii="Times New Roman" w:hAnsi="Times New Roman" w:cs="Times Ext Roman" w:hint="eastAsia"/>
        </w:rPr>
        <w:t>、</w:t>
      </w:r>
      <w:r w:rsidRPr="00DA3BC7">
        <w:rPr>
          <w:rFonts w:ascii="Times New Roman" w:hAnsi="Times New Roman" w:cs="Times Ext Roman"/>
        </w:rPr>
        <w:t>不想說法的學者，沈醉於自淨其心的涅槃，忽略</w:t>
      </w:r>
      <w:r w:rsidRPr="00DA3BC7">
        <w:rPr>
          <w:rFonts w:ascii="Times New Roman" w:hAnsi="Times New Roman" w:cs="Times Ext Roman"/>
          <w:b/>
        </w:rPr>
        <w:t>自他和樂、依正莊嚴</w:t>
      </w:r>
      <w:r w:rsidRPr="00DA3BC7">
        <w:rPr>
          <w:rFonts w:ascii="Times New Roman" w:hAnsi="Times New Roman" w:cs="Times Ext Roman"/>
        </w:rPr>
        <w:t>的一切。在他們，世間與出世間，是那樣的隔別</w:t>
      </w:r>
      <w:r w:rsidRPr="00DA3BC7">
        <w:rPr>
          <w:rStyle w:val="a6"/>
          <w:rFonts w:ascii="Times New Roman" w:hAnsi="Times New Roman" w:cs="Times Ext Roman"/>
        </w:rPr>
        <w:footnoteReference w:id="36"/>
      </w:r>
      <w:r w:rsidRPr="00DA3BC7">
        <w:rPr>
          <w:rFonts w:ascii="Times New Roman" w:hAnsi="Times New Roman" w:cs="Times Ext Roman"/>
        </w:rPr>
        <w:t>！</w:t>
      </w:r>
    </w:p>
    <w:p w:rsidR="00AF0EEA" w:rsidRPr="0076184F" w:rsidRDefault="00AF0EEA" w:rsidP="00AE3920">
      <w:pPr>
        <w:spacing w:beforeLines="20"/>
        <w:ind w:leftChars="150" w:left="360"/>
        <w:jc w:val="both"/>
        <w:rPr>
          <w:rFonts w:ascii="Times New Roman" w:hAnsi="Times New Roman" w:cs="Times Ext Roman"/>
          <w:b/>
          <w:color w:val="FF0000"/>
          <w:highlight w:val="yellow"/>
        </w:rPr>
      </w:pPr>
      <w:r w:rsidRPr="00DA3BC7">
        <w:rPr>
          <w:rFonts w:ascii="Times New Roman" w:hAnsi="Times New Roman" w:cs="Times Ext Roman"/>
        </w:rPr>
        <w:t>釋尊的正覺內容，受到苦行厭離時機</w:t>
      </w:r>
      <w:r w:rsidRPr="00DA3BC7">
        <w:rPr>
          <w:rStyle w:val="a6"/>
          <w:rFonts w:ascii="Times New Roman" w:hAnsi="Times New Roman" w:cs="Times Ext Roman"/>
        </w:rPr>
        <w:footnoteReference w:id="37"/>
      </w:r>
      <w:r w:rsidRPr="00DA3BC7">
        <w:rPr>
          <w:rFonts w:ascii="Times New Roman" w:hAnsi="Times New Roman" w:cs="Times Ext Roman"/>
        </w:rPr>
        <w:t>的歪曲</w:t>
      </w:r>
      <w:r w:rsidRPr="00DA3BC7">
        <w:rPr>
          <w:rFonts w:ascii="Times New Roman" w:hAnsi="Times New Roman" w:cs="Times Ext Roman" w:hint="eastAsia"/>
        </w:rPr>
        <w:t>；</w:t>
      </w:r>
      <w:r w:rsidRPr="00DA3BC7">
        <w:rPr>
          <w:rFonts w:ascii="Times New Roman" w:hAnsi="Times New Roman" w:cs="Times Ext Roman"/>
        </w:rPr>
        <w:t>一分學者起來貶斥</w:t>
      </w:r>
      <w:r w:rsidRPr="00DA3BC7">
        <w:rPr>
          <w:rFonts w:ascii="Times New Roman" w:hAnsi="Times New Roman" w:cs="Times Ext Roman" w:hint="eastAsia"/>
        </w:rPr>
        <w:t>它</w:t>
      </w:r>
      <w:r w:rsidRPr="00DA3BC7">
        <w:rPr>
          <w:rFonts w:ascii="Times New Roman" w:hAnsi="Times New Roman" w:cs="Times Ext Roman"/>
        </w:rPr>
        <w:t>，揭示佛法真俗無礙的正義。</w:t>
      </w:r>
    </w:p>
    <w:p w:rsidR="00AF0EEA" w:rsidRPr="00DA3BC7" w:rsidRDefault="0076184F" w:rsidP="00AE3920">
      <w:pPr>
        <w:spacing w:beforeLines="30"/>
        <w:ind w:leftChars="150" w:left="360"/>
        <w:jc w:val="both"/>
        <w:rPr>
          <w:rFonts w:ascii="Times New Roman" w:hAnsi="Times New Roman" w:cs="Times Ext Roman"/>
          <w:sz w:val="20"/>
          <w:bdr w:val="single" w:sz="4" w:space="0" w:color="auto"/>
        </w:rPr>
      </w:pPr>
      <w:r w:rsidRPr="0076184F">
        <w:rPr>
          <w:rFonts w:ascii="Times New Roman" w:hAnsi="Times New Roman" w:cs="Times Ext Roman"/>
          <w:b/>
          <w:color w:val="FF0000"/>
          <w:sz w:val="20"/>
          <w:highlight w:val="yellow"/>
          <w:bdr w:val="single" w:sz="4" w:space="0" w:color="auto"/>
        </w:rPr>
        <w:t>（</w:t>
      </w:r>
      <w:r w:rsidR="00AF0EEA" w:rsidRPr="0076184F">
        <w:rPr>
          <w:rFonts w:ascii="Times New Roman" w:hAnsi="Times New Roman" w:cs="Times Ext Roman" w:hint="eastAsia"/>
          <w:b/>
          <w:color w:val="FF0000"/>
          <w:sz w:val="20"/>
          <w:highlight w:val="yellow"/>
          <w:bdr w:val="single" w:sz="4" w:space="0" w:color="auto"/>
        </w:rPr>
        <w:t>二</w:t>
      </w:r>
      <w:r w:rsidRPr="0076184F">
        <w:rPr>
          <w:rFonts w:ascii="Times New Roman" w:hAnsi="Times New Roman" w:cs="Times Ext Roman"/>
          <w:b/>
          <w:color w:val="FF0000"/>
          <w:sz w:val="20"/>
          <w:highlight w:val="yellow"/>
          <w:bdr w:val="single" w:sz="4" w:space="0" w:color="auto"/>
        </w:rPr>
        <w:t>）</w:t>
      </w:r>
      <w:r w:rsidR="00AF0EEA" w:rsidRPr="0076184F">
        <w:rPr>
          <w:rFonts w:ascii="Times New Roman" w:hAnsi="Times New Roman" w:cs="Times Ext Roman"/>
          <w:b/>
          <w:color w:val="FF0000"/>
          <w:sz w:val="20"/>
          <w:highlight w:val="yellow"/>
          <w:bdr w:val="single" w:sz="4" w:space="0" w:color="auto"/>
        </w:rPr>
        <w:t>正</w:t>
      </w:r>
      <w:r w:rsidRPr="0076184F">
        <w:rPr>
          <w:rFonts w:ascii="Times New Roman" w:hAnsi="Times New Roman" w:cs="Times Ext Roman" w:hint="eastAsia"/>
          <w:b/>
          <w:color w:val="FF0000"/>
          <w:sz w:val="20"/>
          <w:highlight w:val="yellow"/>
          <w:bdr w:val="single" w:sz="4" w:space="0" w:color="auto"/>
        </w:rPr>
        <w:t>明</w:t>
      </w:r>
      <w:r w:rsidR="00AF0EEA" w:rsidRPr="00DA3BC7">
        <w:rPr>
          <w:rFonts w:ascii="Times New Roman" w:hAnsi="Times New Roman" w:cs="Times Ext Roman" w:hint="eastAsia"/>
          <w:sz w:val="20"/>
        </w:rPr>
        <w:t>（</w:t>
      </w:r>
      <w:r w:rsidR="00AF0EEA" w:rsidRPr="00DA3BC7">
        <w:rPr>
          <w:rFonts w:ascii="Times New Roman" w:hAnsi="Times New Roman" w:cs="Times Ext Roman" w:hint="eastAsia"/>
          <w:sz w:val="20"/>
        </w:rPr>
        <w:t>pp.</w:t>
      </w:r>
      <w:r w:rsidR="00C831BF">
        <w:rPr>
          <w:rFonts w:ascii="Times New Roman" w:hAnsi="Times New Roman" w:cs="Times Ext Roman"/>
          <w:color w:val="FF0000"/>
          <w:sz w:val="20"/>
          <w:highlight w:val="yellow"/>
        </w:rPr>
        <w:t>a</w:t>
      </w:r>
      <w:r w:rsidR="00AF0EEA" w:rsidRPr="00DA3BC7">
        <w:rPr>
          <w:rFonts w:ascii="Times New Roman" w:hAnsi="Times New Roman" w:cs="Times Ext Roman" w:hint="eastAsia"/>
          <w:sz w:val="20"/>
        </w:rPr>
        <w:t>5-</w:t>
      </w:r>
      <w:r w:rsidR="00C831BF">
        <w:rPr>
          <w:rFonts w:ascii="Times New Roman" w:hAnsi="Times New Roman" w:cs="Times Ext Roman"/>
          <w:color w:val="FF0000"/>
          <w:sz w:val="20"/>
          <w:highlight w:val="yellow"/>
        </w:rPr>
        <w:t>a</w:t>
      </w:r>
      <w:r w:rsidR="00AF0EEA" w:rsidRPr="00DA3BC7">
        <w:rPr>
          <w:rFonts w:ascii="Times New Roman" w:hAnsi="Times New Roman" w:cs="Times Ext Roman" w:hint="eastAsia"/>
          <w:sz w:val="20"/>
        </w:rPr>
        <w:t>6</w:t>
      </w:r>
      <w:r w:rsidR="00AF0EEA" w:rsidRPr="00DA3BC7">
        <w:rPr>
          <w:rFonts w:ascii="Times New Roman" w:hAnsi="Times New Roman" w:cs="Times Ext Roman" w:hint="eastAsia"/>
          <w:sz w:val="20"/>
        </w:rPr>
        <w:t>）</w:t>
      </w:r>
    </w:p>
    <w:p w:rsidR="00AF0EEA" w:rsidRDefault="0076184F" w:rsidP="00B16A72">
      <w:pPr>
        <w:ind w:leftChars="200" w:left="480"/>
        <w:jc w:val="both"/>
        <w:rPr>
          <w:rFonts w:ascii="Times New Roman" w:hAnsi="Times New Roman" w:cs="Times Ext Roman"/>
          <w:sz w:val="20"/>
        </w:rPr>
      </w:pPr>
      <w:r w:rsidRPr="0076184F">
        <w:rPr>
          <w:rFonts w:ascii="Times New Roman" w:hAnsi="Times New Roman" w:cs="Times Ext Roman" w:hint="eastAsia"/>
          <w:b/>
          <w:color w:val="FF0000"/>
          <w:sz w:val="20"/>
          <w:highlight w:val="yellow"/>
          <w:bdr w:val="single" w:sz="4" w:space="0" w:color="auto"/>
        </w:rPr>
        <w:t>1</w:t>
      </w:r>
      <w:r w:rsidRPr="0076184F">
        <w:rPr>
          <w:rFonts w:ascii="Times New Roman" w:hAnsi="Times New Roman" w:cs="Times Ext Roman" w:hint="eastAsia"/>
          <w:b/>
          <w:color w:val="FF0000"/>
          <w:sz w:val="20"/>
          <w:highlight w:val="yellow"/>
          <w:bdr w:val="single" w:sz="4" w:space="0" w:color="auto"/>
        </w:rPr>
        <w:t>、約「</w:t>
      </w:r>
      <w:r w:rsidR="00AF0EEA" w:rsidRPr="0076184F">
        <w:rPr>
          <w:rFonts w:ascii="Times New Roman" w:hAnsi="Times New Roman" w:cs="Times Ext Roman"/>
          <w:b/>
          <w:color w:val="FF0000"/>
          <w:sz w:val="20"/>
          <w:highlight w:val="yellow"/>
          <w:bdr w:val="single" w:sz="4" w:space="0" w:color="auto"/>
        </w:rPr>
        <w:t>解</w:t>
      </w:r>
      <w:r w:rsidRPr="0076184F">
        <w:rPr>
          <w:rFonts w:ascii="Times New Roman" w:hAnsi="Times New Roman" w:cs="Times Ext Roman" w:hint="eastAsia"/>
          <w:b/>
          <w:color w:val="FF0000"/>
          <w:sz w:val="20"/>
          <w:highlight w:val="yellow"/>
          <w:bdr w:val="single" w:sz="4" w:space="0" w:color="auto"/>
        </w:rPr>
        <w:t>、</w:t>
      </w:r>
      <w:r w:rsidR="00AF0EEA" w:rsidRPr="0076184F">
        <w:rPr>
          <w:rFonts w:ascii="Times New Roman" w:hAnsi="Times New Roman" w:cs="Times Ext Roman"/>
          <w:b/>
          <w:color w:val="FF0000"/>
          <w:sz w:val="20"/>
          <w:highlight w:val="yellow"/>
          <w:bdr w:val="single" w:sz="4" w:space="0" w:color="auto"/>
        </w:rPr>
        <w:t>行</w:t>
      </w:r>
      <w:r w:rsidRPr="0076184F">
        <w:rPr>
          <w:rFonts w:ascii="Times New Roman" w:hAnsi="Times New Roman" w:cs="Times Ext Roman" w:hint="eastAsia"/>
          <w:b/>
          <w:color w:val="FF0000"/>
          <w:sz w:val="20"/>
          <w:highlight w:val="yellow"/>
          <w:bdr w:val="single" w:sz="4" w:space="0" w:color="auto"/>
        </w:rPr>
        <w:t>」</w:t>
      </w:r>
      <w:r w:rsidR="00AF0EEA" w:rsidRPr="0076184F">
        <w:rPr>
          <w:rFonts w:ascii="Times New Roman" w:hAnsi="Times New Roman" w:cs="Times Ext Roman"/>
          <w:b/>
          <w:color w:val="FF0000"/>
          <w:sz w:val="20"/>
          <w:highlight w:val="yellow"/>
          <w:bdr w:val="single" w:sz="4" w:space="0" w:color="auto"/>
        </w:rPr>
        <w:t>說</w:t>
      </w:r>
      <w:r w:rsidR="000D58AB" w:rsidRPr="00DA3BC7">
        <w:rPr>
          <w:rFonts w:ascii="Times New Roman" w:hAnsi="Times New Roman" w:cs="Times Ext Roman" w:hint="eastAsia"/>
          <w:sz w:val="20"/>
        </w:rPr>
        <w:t>（</w:t>
      </w:r>
      <w:r w:rsidR="00C831BF">
        <w:rPr>
          <w:rFonts w:ascii="Times New Roman" w:hAnsi="Times New Roman" w:cs="Times Ext Roman"/>
          <w:sz w:val="20"/>
        </w:rPr>
        <w:t>p.</w:t>
      </w:r>
      <w:r w:rsidR="00C831BF">
        <w:rPr>
          <w:rFonts w:ascii="Times New Roman" w:hAnsi="Times New Roman" w:cs="Times Ext Roman"/>
          <w:color w:val="FF0000"/>
          <w:sz w:val="20"/>
          <w:highlight w:val="yellow"/>
        </w:rPr>
        <w:t>a</w:t>
      </w:r>
      <w:r w:rsidR="000D58AB" w:rsidRPr="00DA3BC7">
        <w:rPr>
          <w:rFonts w:ascii="Times New Roman" w:hAnsi="Times New Roman" w:cs="Times Ext Roman" w:hint="eastAsia"/>
          <w:sz w:val="20"/>
        </w:rPr>
        <w:t>5</w:t>
      </w:r>
      <w:r w:rsidR="000D58AB" w:rsidRPr="00DA3BC7">
        <w:rPr>
          <w:rFonts w:ascii="Times New Roman" w:hAnsi="Times New Roman" w:cs="Times Ext Roman" w:hint="eastAsia"/>
          <w:sz w:val="20"/>
        </w:rPr>
        <w:t>）</w:t>
      </w:r>
    </w:p>
    <w:p w:rsidR="0076184F" w:rsidRPr="0076184F" w:rsidRDefault="0076184F" w:rsidP="00B16A72">
      <w:pPr>
        <w:ind w:leftChars="250" w:left="600"/>
        <w:jc w:val="both"/>
        <w:rPr>
          <w:rFonts w:ascii="Times New Roman" w:hAnsi="Times New Roman" w:cs="Times Ext Roman"/>
          <w:b/>
          <w:color w:val="FF0000"/>
          <w:sz w:val="20"/>
          <w:highlight w:val="yellow"/>
          <w:bdr w:val="single" w:sz="4" w:space="0" w:color="auto"/>
        </w:rPr>
      </w:pPr>
      <w:r w:rsidRPr="0076184F">
        <w:rPr>
          <w:rFonts w:ascii="Times New Roman" w:hAnsi="Times New Roman" w:cs="Times Ext Roman"/>
          <w:b/>
          <w:color w:val="FF0000"/>
          <w:sz w:val="20"/>
          <w:highlight w:val="yellow"/>
          <w:bdr w:val="single" w:sz="4" w:space="0" w:color="auto"/>
        </w:rPr>
        <w:t>（</w:t>
      </w:r>
      <w:r w:rsidRPr="0076184F">
        <w:rPr>
          <w:rFonts w:ascii="Times New Roman" w:hAnsi="Times New Roman" w:cs="Times Ext Roman" w:hint="eastAsia"/>
          <w:b/>
          <w:color w:val="FF0000"/>
          <w:sz w:val="20"/>
          <w:highlight w:val="yellow"/>
          <w:bdr w:val="single" w:sz="4" w:space="0" w:color="auto"/>
        </w:rPr>
        <w:t>1</w:t>
      </w:r>
      <w:r w:rsidRPr="0076184F">
        <w:rPr>
          <w:rFonts w:ascii="Times New Roman" w:hAnsi="Times New Roman" w:cs="Times Ext Roman"/>
          <w:b/>
          <w:color w:val="FF0000"/>
          <w:sz w:val="20"/>
          <w:highlight w:val="yellow"/>
          <w:bdr w:val="single" w:sz="4" w:space="0" w:color="auto"/>
        </w:rPr>
        <w:t>）</w:t>
      </w:r>
      <w:r w:rsidRPr="0076184F">
        <w:rPr>
          <w:rFonts w:ascii="Times New Roman" w:hAnsi="Times New Roman" w:cs="Times Ext Roman" w:hint="eastAsia"/>
          <w:b/>
          <w:color w:val="FF0000"/>
          <w:sz w:val="20"/>
          <w:highlight w:val="yellow"/>
          <w:bdr w:val="single" w:sz="4" w:space="0" w:color="auto"/>
        </w:rPr>
        <w:t>印順法師之見</w:t>
      </w:r>
      <w:r w:rsidR="00B05767" w:rsidRPr="00DA3BC7">
        <w:rPr>
          <w:rFonts w:ascii="Times New Roman" w:hAnsi="Times New Roman" w:cs="Times Ext Roman" w:hint="eastAsia"/>
          <w:sz w:val="20"/>
        </w:rPr>
        <w:t>（</w:t>
      </w:r>
      <w:r w:rsidR="00B05767" w:rsidRPr="00DA3BC7">
        <w:rPr>
          <w:rFonts w:ascii="Times New Roman" w:hAnsi="Times New Roman" w:cs="Times Ext Roman" w:hint="eastAsia"/>
          <w:sz w:val="20"/>
        </w:rPr>
        <w:t>p</w:t>
      </w:r>
      <w:r w:rsidR="00B05767">
        <w:rPr>
          <w:rFonts w:ascii="Times New Roman" w:hAnsi="Times New Roman" w:cs="Times Ext Roman" w:hint="eastAsia"/>
          <w:sz w:val="20"/>
        </w:rPr>
        <w:t>p</w:t>
      </w:r>
      <w:r w:rsidR="00C831BF" w:rsidRPr="00DA3BC7">
        <w:rPr>
          <w:rFonts w:ascii="Times New Roman" w:hAnsi="Times New Roman" w:cs="Times Ext Roman" w:hint="eastAsia"/>
          <w:sz w:val="20"/>
        </w:rPr>
        <w:t>.</w:t>
      </w:r>
      <w:r w:rsidR="00C831BF">
        <w:rPr>
          <w:rFonts w:ascii="Times New Roman" w:hAnsi="Times New Roman" w:cs="Times Ext Roman"/>
          <w:color w:val="FF0000"/>
          <w:sz w:val="20"/>
          <w:highlight w:val="yellow"/>
        </w:rPr>
        <w:t>a</w:t>
      </w:r>
      <w:r w:rsidR="00C831BF" w:rsidRPr="00DA3BC7">
        <w:rPr>
          <w:rFonts w:ascii="Times New Roman" w:hAnsi="Times New Roman" w:cs="Times Ext Roman" w:hint="eastAsia"/>
          <w:sz w:val="20"/>
        </w:rPr>
        <w:t>5-</w:t>
      </w:r>
      <w:r w:rsidR="00C831BF">
        <w:rPr>
          <w:rFonts w:ascii="Times New Roman" w:hAnsi="Times New Roman" w:cs="Times Ext Roman"/>
          <w:color w:val="FF0000"/>
          <w:sz w:val="20"/>
          <w:highlight w:val="yellow"/>
        </w:rPr>
        <w:t>a</w:t>
      </w:r>
      <w:r w:rsidR="00C831BF" w:rsidRPr="00DA3BC7">
        <w:rPr>
          <w:rFonts w:ascii="Times New Roman" w:hAnsi="Times New Roman" w:cs="Times Ext Roman" w:hint="eastAsia"/>
          <w:sz w:val="20"/>
        </w:rPr>
        <w:t>6</w:t>
      </w:r>
      <w:r w:rsidR="00B05767" w:rsidRPr="00DA3BC7">
        <w:rPr>
          <w:rFonts w:ascii="Times New Roman" w:hAnsi="Times New Roman" w:cs="Times Ext Roman" w:hint="eastAsia"/>
          <w:sz w:val="20"/>
        </w:rPr>
        <w:t>）</w:t>
      </w:r>
    </w:p>
    <w:p w:rsidR="00AF0EEA" w:rsidRPr="00DA3BC7" w:rsidRDefault="00AF0EEA" w:rsidP="00110E14">
      <w:pPr>
        <w:ind w:leftChars="250" w:left="600"/>
        <w:jc w:val="both"/>
        <w:rPr>
          <w:rFonts w:ascii="Times New Roman" w:hAnsi="Times New Roman" w:cs="Times Ext Roman"/>
        </w:rPr>
      </w:pPr>
      <w:r w:rsidRPr="00DA3BC7">
        <w:rPr>
          <w:rFonts w:ascii="Times New Roman" w:hAnsi="Times New Roman" w:cs="Times Ext Roman"/>
        </w:rPr>
        <w:t>真俗無礙，可從解</w:t>
      </w:r>
      <w:r w:rsidRPr="00DA3BC7">
        <w:rPr>
          <w:rFonts w:ascii="Times New Roman" w:hAnsi="Times New Roman" w:cs="Times Ext Roman" w:hint="eastAsia"/>
        </w:rPr>
        <w:t>、</w:t>
      </w:r>
      <w:r w:rsidRPr="00DA3BC7">
        <w:rPr>
          <w:rFonts w:ascii="Times New Roman" w:hAnsi="Times New Roman" w:cs="Times Ext Roman"/>
        </w:rPr>
        <w:t>行兩方面說：</w:t>
      </w:r>
    </w:p>
    <w:p w:rsidR="00110E14" w:rsidRDefault="00AF0EEA" w:rsidP="00110E14">
      <w:pPr>
        <w:ind w:leftChars="350" w:left="840"/>
        <w:jc w:val="both"/>
        <w:rPr>
          <w:rFonts w:ascii="Times New Roman" w:hAnsi="Times New Roman" w:cs="Times Ext Roman"/>
        </w:rPr>
      </w:pPr>
      <w:r w:rsidRPr="00DA3BC7">
        <w:rPr>
          <w:rFonts w:ascii="Times New Roman" w:hAnsi="Times New Roman" w:cs="Times Ext Roman"/>
          <w:b/>
        </w:rPr>
        <w:t>解</w:t>
      </w:r>
      <w:r w:rsidRPr="00DA3BC7">
        <w:rPr>
          <w:rFonts w:ascii="Times New Roman" w:hAnsi="Times New Roman" w:cs="Times Ext Roman" w:hint="eastAsia"/>
          <w:b/>
        </w:rPr>
        <w:t>，</w:t>
      </w:r>
      <w:r w:rsidRPr="00DA3BC7">
        <w:rPr>
          <w:rFonts w:ascii="Times New Roman" w:hAnsi="Times New Roman" w:cs="Times Ext Roman"/>
        </w:rPr>
        <w:t>即</w:t>
      </w:r>
      <w:r w:rsidRPr="00DA3BC7">
        <w:rPr>
          <w:rFonts w:ascii="Times New Roman" w:hAnsi="Times New Roman" w:cs="Times Ext Roman"/>
          <w:b/>
        </w:rPr>
        <w:t>俗事</w:t>
      </w:r>
      <w:r w:rsidRPr="00DA3BC7">
        <w:rPr>
          <w:rFonts w:ascii="Times New Roman" w:hAnsi="Times New Roman" w:cs="Times Ext Roman"/>
        </w:rPr>
        <w:t>與</w:t>
      </w:r>
      <w:r w:rsidRPr="00DA3BC7">
        <w:rPr>
          <w:rFonts w:ascii="Times New Roman" w:hAnsi="Times New Roman" w:cs="Times Ext Roman"/>
          <w:b/>
        </w:rPr>
        <w:t>真理</w:t>
      </w:r>
      <w:r w:rsidRPr="00DA3BC7">
        <w:rPr>
          <w:rFonts w:ascii="Times New Roman" w:hAnsi="Times New Roman" w:cs="Times Ext Roman"/>
        </w:rPr>
        <w:t>，是怎樣的</w:t>
      </w:r>
      <w:r w:rsidRPr="00DA3BC7">
        <w:rPr>
          <w:rFonts w:ascii="Times New Roman" w:hAnsi="Times New Roman" w:cs="Times Ext Roman"/>
          <w:b/>
        </w:rPr>
        <w:t>即俗而恒真，又真而不礙俗</w:t>
      </w:r>
      <w:r w:rsidRPr="00DA3BC7">
        <w:rPr>
          <w:rFonts w:ascii="Times New Roman" w:hAnsi="Times New Roman" w:cs="Times Ext Roman"/>
        </w:rPr>
        <w:t>。</w:t>
      </w:r>
    </w:p>
    <w:p w:rsidR="00AF0EEA" w:rsidRPr="00DA3BC7" w:rsidRDefault="00AF0EEA" w:rsidP="00110E14">
      <w:pPr>
        <w:ind w:leftChars="350" w:left="1320" w:hangingChars="200" w:hanging="480"/>
        <w:jc w:val="both"/>
        <w:rPr>
          <w:rFonts w:ascii="Times New Roman" w:hAnsi="Times New Roman" w:cs="Times Ext Roman"/>
        </w:rPr>
      </w:pPr>
      <w:r w:rsidRPr="00DA3BC7">
        <w:rPr>
          <w:rFonts w:ascii="Times New Roman" w:hAnsi="Times New Roman" w:cs="Times Ext Roman"/>
          <w:b/>
        </w:rPr>
        <w:t>行</w:t>
      </w:r>
      <w:r w:rsidRPr="00DA3BC7">
        <w:rPr>
          <w:rFonts w:ascii="Times New Roman" w:hAnsi="Times New Roman" w:cs="Times Ext Roman" w:hint="eastAsia"/>
          <w:b/>
        </w:rPr>
        <w:t>，</w:t>
      </w:r>
      <w:r w:rsidRPr="00DA3BC7">
        <w:rPr>
          <w:rFonts w:ascii="Times New Roman" w:hAnsi="Times New Roman" w:cs="Times Ext Roman"/>
        </w:rPr>
        <w:t>即</w:t>
      </w:r>
      <w:r w:rsidRPr="00DA3BC7">
        <w:rPr>
          <w:rFonts w:ascii="Times New Roman" w:hAnsi="Times New Roman" w:cs="Times Ext Roman"/>
          <w:b/>
        </w:rPr>
        <w:t>事行</w:t>
      </w:r>
      <w:r w:rsidRPr="00DA3BC7">
        <w:rPr>
          <w:rFonts w:ascii="Times New Roman" w:hAnsi="Times New Roman" w:cs="Times Ext Roman"/>
        </w:rPr>
        <w:t>與</w:t>
      </w:r>
      <w:r w:rsidRPr="00DA3BC7">
        <w:rPr>
          <w:rFonts w:ascii="Times New Roman" w:hAnsi="Times New Roman" w:cs="Times Ext Roman"/>
          <w:b/>
        </w:rPr>
        <w:t>理證</w:t>
      </w:r>
      <w:r w:rsidRPr="00DA3BC7">
        <w:rPr>
          <w:rFonts w:ascii="Times New Roman" w:hAnsi="Times New Roman" w:cs="Times Ext Roman"/>
        </w:rPr>
        <w:t>，怎樣的</w:t>
      </w:r>
      <w:r w:rsidRPr="00DA3BC7">
        <w:rPr>
          <w:rFonts w:ascii="Times New Roman" w:hAnsi="Times New Roman" w:cs="Times Ext Roman"/>
          <w:b/>
        </w:rPr>
        <w:t>依世間福智事行的進修而能悟入真性，契入真性而能不廢世間的福智事行</w:t>
      </w:r>
      <w:r w:rsidRPr="00DA3BC7">
        <w:rPr>
          <w:rFonts w:ascii="Times New Roman" w:hAnsi="Times New Roman" w:cs="Times Ext Roman"/>
        </w:rPr>
        <w:t>。</w:t>
      </w:r>
    </w:p>
    <w:p w:rsidR="00AF0EEA" w:rsidRPr="00DA3BC7" w:rsidRDefault="00AF0EEA" w:rsidP="00AE3920">
      <w:pPr>
        <w:spacing w:beforeLines="20"/>
        <w:ind w:leftChars="250" w:left="600"/>
        <w:jc w:val="both"/>
        <w:rPr>
          <w:rFonts w:ascii="Times New Roman" w:hAnsi="Times New Roman" w:cs="Times Ext Roman"/>
        </w:rPr>
      </w:pPr>
      <w:r w:rsidRPr="00DA3BC7">
        <w:rPr>
          <w:rFonts w:ascii="Times New Roman" w:hAnsi="Times New Roman" w:cs="Times Ext Roman"/>
        </w:rPr>
        <w:t>無論是</w:t>
      </w:r>
      <w:r w:rsidRPr="00DA3BC7">
        <w:rPr>
          <w:rFonts w:ascii="Times New Roman" w:hAnsi="Times New Roman" w:cs="Times Ext Roman"/>
          <w:b/>
        </w:rPr>
        <w:t>理論、實踐</w:t>
      </w:r>
      <w:r w:rsidRPr="00DA3BC7">
        <w:rPr>
          <w:rFonts w:ascii="Times New Roman" w:hAnsi="Times New Roman" w:cs="Times Ext Roman"/>
        </w:rPr>
        <w:t>，都要貫徹真俗而不相礙。</w:t>
      </w:r>
    </w:p>
    <w:p w:rsidR="00AF0EEA" w:rsidRPr="00DA3BC7" w:rsidRDefault="00AF0EEA" w:rsidP="00AE3920">
      <w:pPr>
        <w:spacing w:beforeLines="30"/>
        <w:ind w:leftChars="250" w:left="600"/>
        <w:jc w:val="both"/>
        <w:rPr>
          <w:rFonts w:ascii="Times New Roman" w:hAnsi="Times New Roman" w:cs="Times Ext Roman"/>
          <w:sz w:val="20"/>
          <w:bdr w:val="single" w:sz="4" w:space="0" w:color="auto"/>
        </w:rPr>
      </w:pPr>
      <w:r w:rsidRPr="00B16A72">
        <w:rPr>
          <w:rFonts w:ascii="Times New Roman" w:hAnsi="Times New Roman" w:cs="Times Ext Roman"/>
          <w:b/>
          <w:color w:val="FF0000"/>
          <w:sz w:val="20"/>
          <w:highlight w:val="yellow"/>
          <w:bdr w:val="single" w:sz="4" w:space="0" w:color="auto"/>
        </w:rPr>
        <w:lastRenderedPageBreak/>
        <w:t>（</w:t>
      </w:r>
      <w:r w:rsidR="00BD627A" w:rsidRPr="00B16A72">
        <w:rPr>
          <w:rFonts w:ascii="Times New Roman" w:hAnsi="Times New Roman" w:cs="Times Ext Roman" w:hint="eastAsia"/>
          <w:b/>
          <w:color w:val="FF0000"/>
          <w:sz w:val="20"/>
          <w:highlight w:val="yellow"/>
          <w:bdr w:val="single" w:sz="4" w:space="0" w:color="auto"/>
        </w:rPr>
        <w:t>2</w:t>
      </w:r>
      <w:r w:rsidRPr="00B16A72">
        <w:rPr>
          <w:rFonts w:ascii="Times New Roman" w:hAnsi="Times New Roman" w:cs="Times Ext Roman"/>
          <w:b/>
          <w:color w:val="FF0000"/>
          <w:sz w:val="20"/>
          <w:highlight w:val="yellow"/>
          <w:bdr w:val="single" w:sz="4" w:space="0" w:color="auto"/>
        </w:rPr>
        <w:t>）</w:t>
      </w:r>
      <w:r w:rsidRPr="00DA3BC7">
        <w:rPr>
          <w:rFonts w:ascii="Times New Roman" w:hAnsi="Times New Roman" w:cs="Times Ext Roman"/>
          <w:b/>
          <w:sz w:val="20"/>
          <w:bdr w:val="single" w:sz="4" w:space="0" w:color="auto"/>
        </w:rPr>
        <w:t>中觀者</w:t>
      </w:r>
      <w:r w:rsidR="00BD627A" w:rsidRPr="00BD627A">
        <w:rPr>
          <w:rFonts w:ascii="Times New Roman" w:hAnsi="Times New Roman" w:cs="Times Ext Roman" w:hint="eastAsia"/>
          <w:b/>
          <w:color w:val="FF0000"/>
          <w:sz w:val="20"/>
          <w:highlight w:val="yellow"/>
          <w:bdr w:val="single" w:sz="4" w:space="0" w:color="auto"/>
        </w:rPr>
        <w:t>之辨</w:t>
      </w:r>
      <w:r w:rsidRPr="00DA3BC7">
        <w:rPr>
          <w:rFonts w:ascii="Times New Roman" w:hAnsi="Times New Roman" w:cs="Times Ext Roman" w:hint="eastAsia"/>
          <w:sz w:val="20"/>
        </w:rPr>
        <w:t>（</w:t>
      </w:r>
      <w:r w:rsidR="00DD55DB">
        <w:rPr>
          <w:rFonts w:ascii="Times New Roman" w:hAnsi="Times New Roman" w:cs="Times Ext Roman"/>
          <w:sz w:val="20"/>
        </w:rPr>
        <w:t>p.</w:t>
      </w:r>
      <w:r w:rsidR="00DD55DB">
        <w:rPr>
          <w:rFonts w:ascii="Times New Roman" w:hAnsi="Times New Roman" w:cs="Times Ext Roman"/>
          <w:color w:val="FF0000"/>
          <w:sz w:val="20"/>
          <w:highlight w:val="yellow"/>
        </w:rPr>
        <w:t>a</w:t>
      </w:r>
      <w:r w:rsidRPr="00DA3BC7">
        <w:rPr>
          <w:rFonts w:ascii="Times New Roman" w:hAnsi="Times New Roman" w:cs="Times Ext Roman" w:hint="eastAsia"/>
          <w:sz w:val="20"/>
        </w:rPr>
        <w:t>6</w:t>
      </w:r>
      <w:r w:rsidRPr="00DA3BC7">
        <w:rPr>
          <w:rFonts w:ascii="Times New Roman" w:hAnsi="Times New Roman" w:cs="Times Ext Roman" w:hint="eastAsia"/>
          <w:sz w:val="20"/>
        </w:rPr>
        <w:t>）</w:t>
      </w:r>
    </w:p>
    <w:p w:rsidR="00AF0EEA" w:rsidRPr="00DA3BC7" w:rsidRDefault="00AF0EEA" w:rsidP="00110E14">
      <w:pPr>
        <w:ind w:leftChars="250" w:left="600"/>
        <w:jc w:val="both"/>
        <w:rPr>
          <w:rFonts w:ascii="Times New Roman" w:hAnsi="Times New Roman" w:cs="Times Ext Roman"/>
        </w:rPr>
      </w:pPr>
      <w:r w:rsidRPr="00DA3BC7">
        <w:rPr>
          <w:rFonts w:ascii="Times New Roman" w:hAnsi="Times New Roman" w:cs="Times Ext Roman"/>
        </w:rPr>
        <w:t>依中觀者說：緣起法是</w:t>
      </w:r>
      <w:r w:rsidRPr="00DA3BC7">
        <w:rPr>
          <w:rFonts w:ascii="Times New Roman" w:hAnsi="Times New Roman" w:cs="Times Ext Roman"/>
          <w:b/>
        </w:rPr>
        <w:t>相依相成而無自性</w:t>
      </w:r>
      <w:r w:rsidRPr="00DA3BC7">
        <w:rPr>
          <w:rFonts w:ascii="Times New Roman" w:hAnsi="Times New Roman" w:cs="Times Ext Roman"/>
        </w:rPr>
        <w:t>的，</w:t>
      </w:r>
      <w:r w:rsidRPr="00DA3BC7">
        <w:rPr>
          <w:rFonts w:ascii="Times New Roman" w:hAnsi="Times New Roman" w:cs="Times Ext Roman"/>
          <w:b/>
        </w:rPr>
        <w:t>極無自性而又因果宛然</w:t>
      </w:r>
      <w:r w:rsidRPr="00DA3BC7">
        <w:rPr>
          <w:rFonts w:ascii="Times New Roman" w:hAnsi="Times New Roman" w:cs="Times Ext Roman"/>
        </w:rPr>
        <w:t>的。所以，依</w:t>
      </w:r>
      <w:r w:rsidRPr="00DA3BC7">
        <w:rPr>
          <w:rFonts w:ascii="Times New Roman" w:hAnsi="Times New Roman" w:cs="Times Ext Roman"/>
          <w:b/>
        </w:rPr>
        <w:t>即空</w:t>
      </w:r>
      <w:r w:rsidRPr="00DA3BC7">
        <w:rPr>
          <w:rFonts w:ascii="Times New Roman" w:hAnsi="Times New Roman" w:cs="Times Ext Roman"/>
        </w:rPr>
        <w:t>的</w:t>
      </w:r>
      <w:r w:rsidRPr="00DA3BC7">
        <w:rPr>
          <w:rFonts w:ascii="Times New Roman" w:hAnsi="Times New Roman" w:cs="Times Ext Roman"/>
          <w:b/>
        </w:rPr>
        <w:t>緣起有</w:t>
      </w:r>
      <w:r w:rsidRPr="00DA3BC7">
        <w:rPr>
          <w:rFonts w:ascii="Times New Roman" w:hAnsi="Times New Roman" w:cs="Times Ext Roman"/>
        </w:rPr>
        <w:t>，安立</w:t>
      </w:r>
      <w:r w:rsidRPr="00DA3BC7">
        <w:rPr>
          <w:rFonts w:ascii="Times New Roman" w:hAnsi="Times New Roman" w:cs="Times Ext Roman"/>
          <w:b/>
        </w:rPr>
        <w:t>世間事相</w:t>
      </w:r>
      <w:r w:rsidRPr="00DA3BC7">
        <w:rPr>
          <w:rFonts w:ascii="Times New Roman" w:hAnsi="Times New Roman" w:cs="Times Ext Roman" w:hint="eastAsia"/>
        </w:rPr>
        <w:t>；</w:t>
      </w:r>
    </w:p>
    <w:p w:rsidR="00AF0EEA" w:rsidRPr="00DA3BC7" w:rsidRDefault="00AF0EEA" w:rsidP="00110E14">
      <w:pPr>
        <w:ind w:leftChars="550" w:left="1320"/>
        <w:jc w:val="both"/>
        <w:rPr>
          <w:rFonts w:ascii="Times New Roman" w:hAnsi="Times New Roman" w:cs="Times Ext Roman"/>
        </w:rPr>
      </w:pPr>
      <w:r w:rsidRPr="00DA3BC7">
        <w:rPr>
          <w:rFonts w:ascii="Times New Roman" w:hAnsi="Times New Roman" w:cs="Times Ext Roman"/>
        </w:rPr>
        <w:t>也依</w:t>
      </w:r>
      <w:r w:rsidRPr="00DA3BC7">
        <w:rPr>
          <w:rFonts w:ascii="Times New Roman" w:hAnsi="Times New Roman" w:cs="Times Ext Roman"/>
          <w:b/>
        </w:rPr>
        <w:t>即有</w:t>
      </w:r>
      <w:r w:rsidRPr="00DA3BC7">
        <w:rPr>
          <w:rFonts w:ascii="Times New Roman" w:hAnsi="Times New Roman" w:cs="Times Ext Roman"/>
        </w:rPr>
        <w:t>的</w:t>
      </w:r>
      <w:r w:rsidRPr="00DA3BC7">
        <w:rPr>
          <w:rFonts w:ascii="Times New Roman" w:hAnsi="Times New Roman" w:cs="Times Ext Roman"/>
          <w:b/>
        </w:rPr>
        <w:t>緣起空</w:t>
      </w:r>
      <w:r w:rsidRPr="00DA3BC7">
        <w:rPr>
          <w:rFonts w:ascii="Times New Roman" w:hAnsi="Times New Roman" w:cs="Times Ext Roman" w:hint="eastAsia"/>
        </w:rPr>
        <w:t>，</w:t>
      </w:r>
      <w:r w:rsidRPr="00DA3BC7">
        <w:rPr>
          <w:rFonts w:ascii="Times New Roman" w:hAnsi="Times New Roman" w:cs="Times Ext Roman"/>
        </w:rPr>
        <w:t>顯示</w:t>
      </w:r>
      <w:r w:rsidRPr="00DA3BC7">
        <w:rPr>
          <w:rFonts w:ascii="Times New Roman" w:hAnsi="Times New Roman" w:cs="Times Ext Roman"/>
          <w:b/>
        </w:rPr>
        <w:t>出世</w:t>
      </w:r>
      <w:r w:rsidRPr="00DA3BC7">
        <w:rPr>
          <w:rFonts w:ascii="Times New Roman" w:hAnsi="Times New Roman" w:cs="Times Ext Roman"/>
        </w:rPr>
        <w:t>。</w:t>
      </w:r>
    </w:p>
    <w:p w:rsidR="00AF0EEA" w:rsidRPr="00DA3BC7" w:rsidRDefault="00AF0EEA" w:rsidP="00110E14">
      <w:pPr>
        <w:ind w:leftChars="250" w:left="600"/>
        <w:jc w:val="both"/>
        <w:rPr>
          <w:rFonts w:ascii="Times New Roman" w:hAnsi="Times New Roman" w:cs="Times Ext Roman"/>
        </w:rPr>
      </w:pPr>
      <w:r w:rsidRPr="00DA3BC7">
        <w:rPr>
          <w:rFonts w:ascii="Times New Roman" w:hAnsi="Times New Roman" w:cs="Times Ext Roman"/>
        </w:rPr>
        <w:t>得這</w:t>
      </w:r>
      <w:r w:rsidRPr="00DA3BC7">
        <w:rPr>
          <w:rFonts w:ascii="Times New Roman" w:hAnsi="Times New Roman" w:cs="Times Ext Roman"/>
          <w:b/>
        </w:rPr>
        <w:t>真俗相依</w:t>
      </w:r>
      <w:r w:rsidRPr="00DA3BC7">
        <w:rPr>
          <w:rFonts w:ascii="Times New Roman" w:hAnsi="Times New Roman" w:cs="Times Ext Roman"/>
        </w:rPr>
        <w:t>的</w:t>
      </w:r>
      <w:r w:rsidRPr="00DA3BC7">
        <w:rPr>
          <w:rFonts w:ascii="Times New Roman" w:hAnsi="Times New Roman" w:cs="Times Ext Roman"/>
          <w:b/>
        </w:rPr>
        <w:t>無礙解</w:t>
      </w:r>
      <w:r w:rsidRPr="00DA3BC7">
        <w:rPr>
          <w:rFonts w:ascii="Times New Roman" w:hAnsi="Times New Roman" w:cs="Times Ext Roman"/>
        </w:rPr>
        <w:t>，才能起</w:t>
      </w:r>
      <w:r w:rsidRPr="00DA3BC7">
        <w:rPr>
          <w:rFonts w:ascii="Times New Roman" w:hAnsi="Times New Roman" w:cs="Times Ext Roman"/>
          <w:b/>
        </w:rPr>
        <w:t>真俗相成</w:t>
      </w:r>
      <w:r w:rsidRPr="00DA3BC7">
        <w:rPr>
          <w:rFonts w:ascii="Times New Roman" w:hAnsi="Times New Roman" w:cs="Times Ext Roman"/>
        </w:rPr>
        <w:t>的</w:t>
      </w:r>
      <w:r w:rsidRPr="00DA3BC7">
        <w:rPr>
          <w:rFonts w:ascii="Times New Roman" w:hAnsi="Times New Roman" w:cs="Times Ext Roman"/>
          <w:b/>
        </w:rPr>
        <w:t>無礙行</w:t>
      </w:r>
      <w:r w:rsidRPr="00DA3BC7">
        <w:rPr>
          <w:rFonts w:ascii="Times New Roman" w:hAnsi="Times New Roman" w:cs="Times Ext Roman"/>
        </w:rPr>
        <w:t>。</w:t>
      </w:r>
    </w:p>
    <w:p w:rsidR="00AF0EEA" w:rsidRPr="00DA3BC7" w:rsidRDefault="00AF0EEA" w:rsidP="00110E14">
      <w:pPr>
        <w:ind w:leftChars="250" w:left="600"/>
        <w:jc w:val="both"/>
        <w:rPr>
          <w:rFonts w:ascii="Times New Roman" w:hAnsi="Times New Roman" w:cs="Times Ext Roman"/>
        </w:rPr>
      </w:pPr>
      <w:r w:rsidRPr="00DA3BC7">
        <w:rPr>
          <w:rFonts w:ascii="Times New Roman" w:hAnsi="Times New Roman" w:cs="Times Ext Roman"/>
        </w:rPr>
        <w:t>所以菩薩入世利生，門門都是解脫門。</w:t>
      </w:r>
    </w:p>
    <w:p w:rsidR="00BD627A" w:rsidRPr="00BD627A" w:rsidRDefault="00BD627A" w:rsidP="00AE3920">
      <w:pPr>
        <w:spacing w:beforeLines="30"/>
        <w:ind w:leftChars="200" w:left="480"/>
        <w:jc w:val="both"/>
        <w:rPr>
          <w:rFonts w:ascii="Times New Roman" w:hAnsi="Times New Roman" w:cs="Times Ext Roman"/>
          <w:b/>
          <w:color w:val="FF0000"/>
          <w:sz w:val="20"/>
          <w:highlight w:val="yellow"/>
          <w:bdr w:val="single" w:sz="4" w:space="0" w:color="auto"/>
        </w:rPr>
      </w:pPr>
      <w:r w:rsidRPr="00BD627A">
        <w:rPr>
          <w:rFonts w:ascii="Times New Roman" w:hAnsi="Times New Roman" w:cs="Times Ext Roman" w:hint="eastAsia"/>
          <w:b/>
          <w:color w:val="FF0000"/>
          <w:sz w:val="20"/>
          <w:highlight w:val="yellow"/>
          <w:bdr w:val="single" w:sz="4" w:space="0" w:color="auto"/>
        </w:rPr>
        <w:t>2</w:t>
      </w:r>
      <w:r w:rsidRPr="00BD627A">
        <w:rPr>
          <w:rFonts w:ascii="Times New Roman" w:hAnsi="Times New Roman" w:cs="Times Ext Roman" w:hint="eastAsia"/>
          <w:b/>
          <w:color w:val="FF0000"/>
          <w:sz w:val="20"/>
          <w:highlight w:val="yellow"/>
          <w:bdr w:val="single" w:sz="4" w:space="0" w:color="auto"/>
        </w:rPr>
        <w:t>、</w:t>
      </w:r>
      <w:r w:rsidRPr="00BD627A">
        <w:rPr>
          <w:rFonts w:ascii="Times New Roman" w:hAnsi="Times New Roman" w:cs="Times Ext Roman"/>
          <w:b/>
          <w:color w:val="FF0000"/>
          <w:sz w:val="20"/>
          <w:highlight w:val="yellow"/>
          <w:bdr w:val="single" w:sz="4" w:space="0" w:color="auto"/>
        </w:rPr>
        <w:t>緣起</w:t>
      </w:r>
      <w:r w:rsidRPr="00BD627A">
        <w:rPr>
          <w:rFonts w:ascii="Times New Roman" w:hAnsi="Times New Roman" w:cs="Times Ext Roman" w:hint="eastAsia"/>
          <w:b/>
          <w:color w:val="FF0000"/>
          <w:sz w:val="20"/>
          <w:highlight w:val="yellow"/>
          <w:bdr w:val="single" w:sz="4" w:space="0" w:color="auto"/>
        </w:rPr>
        <w:t>「處中」之說</w:t>
      </w:r>
      <w:r w:rsidRPr="00DA3BC7">
        <w:rPr>
          <w:rFonts w:ascii="Times New Roman" w:hAnsi="Times New Roman" w:cs="Times Ext Roman" w:hint="eastAsia"/>
          <w:sz w:val="20"/>
        </w:rPr>
        <w:t>（</w:t>
      </w:r>
      <w:r w:rsidR="00B05767" w:rsidRPr="00DA3BC7">
        <w:rPr>
          <w:rFonts w:ascii="Times New Roman" w:hAnsi="Times New Roman" w:cs="Times Ext Roman" w:hint="eastAsia"/>
          <w:sz w:val="20"/>
        </w:rPr>
        <w:t>p</w:t>
      </w:r>
      <w:r w:rsidRPr="00DA3BC7">
        <w:rPr>
          <w:rFonts w:ascii="Times New Roman" w:hAnsi="Times New Roman" w:cs="Times Ext Roman" w:hint="eastAsia"/>
          <w:sz w:val="20"/>
        </w:rPr>
        <w:t>p.</w:t>
      </w:r>
      <w:r w:rsidR="00DD55DB">
        <w:rPr>
          <w:rFonts w:ascii="Times New Roman" w:hAnsi="Times New Roman" w:cs="Times Ext Roman"/>
          <w:color w:val="FF0000"/>
          <w:sz w:val="20"/>
          <w:highlight w:val="yellow"/>
        </w:rPr>
        <w:t>a</w:t>
      </w:r>
      <w:r w:rsidR="00DD55DB" w:rsidRPr="00DA3BC7">
        <w:rPr>
          <w:rFonts w:ascii="Times New Roman" w:hAnsi="Times New Roman" w:cs="Times Ext Roman" w:hint="eastAsia"/>
          <w:sz w:val="20"/>
        </w:rPr>
        <w:t>6</w:t>
      </w:r>
      <w:r w:rsidR="00DD55DB">
        <w:rPr>
          <w:rFonts w:ascii="Times New Roman" w:hAnsi="Times New Roman" w:cs="Times Ext Roman" w:hint="eastAsia"/>
          <w:sz w:val="20"/>
        </w:rPr>
        <w:t>-</w:t>
      </w:r>
      <w:r w:rsidR="00DD55DB">
        <w:rPr>
          <w:rFonts w:ascii="Times New Roman" w:hAnsi="Times New Roman" w:cs="Times Ext Roman"/>
          <w:color w:val="FF0000"/>
          <w:sz w:val="20"/>
          <w:highlight w:val="yellow"/>
        </w:rPr>
        <w:t>a</w:t>
      </w:r>
      <w:r w:rsidR="00DD55DB">
        <w:rPr>
          <w:rFonts w:ascii="Times New Roman" w:hAnsi="Times New Roman" w:cs="Times Ext Roman" w:hint="eastAsia"/>
          <w:sz w:val="20"/>
        </w:rPr>
        <w:t>7</w:t>
      </w:r>
      <w:r w:rsidRPr="00DA3BC7">
        <w:rPr>
          <w:rFonts w:ascii="Times New Roman" w:hAnsi="Times New Roman" w:cs="Times Ext Roman" w:hint="eastAsia"/>
          <w:sz w:val="20"/>
        </w:rPr>
        <w:t>）</w:t>
      </w:r>
    </w:p>
    <w:p w:rsidR="00AF0EEA" w:rsidRPr="00DA3BC7" w:rsidRDefault="00AF0EEA" w:rsidP="00B16A72">
      <w:pPr>
        <w:ind w:leftChars="250" w:left="600"/>
        <w:jc w:val="both"/>
        <w:rPr>
          <w:rFonts w:ascii="Times New Roman" w:hAnsi="Times New Roman" w:cs="Times Ext Roman"/>
          <w:b/>
          <w:sz w:val="20"/>
          <w:bdr w:val="single" w:sz="4" w:space="0" w:color="auto"/>
        </w:rPr>
      </w:pPr>
      <w:r w:rsidRPr="00BD627A">
        <w:rPr>
          <w:rFonts w:ascii="Times New Roman" w:hAnsi="Times New Roman" w:cs="Times Ext Roman"/>
          <w:b/>
          <w:color w:val="FF0000"/>
          <w:sz w:val="20"/>
          <w:highlight w:val="yellow"/>
          <w:bdr w:val="single" w:sz="4" w:space="0" w:color="auto"/>
        </w:rPr>
        <w:t>（</w:t>
      </w:r>
      <w:r w:rsidR="00BD627A" w:rsidRPr="00BD627A">
        <w:rPr>
          <w:rFonts w:ascii="Times New Roman" w:hAnsi="Times New Roman" w:cs="Times Ext Roman" w:hint="eastAsia"/>
          <w:b/>
          <w:color w:val="FF0000"/>
          <w:sz w:val="20"/>
          <w:highlight w:val="yellow"/>
          <w:bdr w:val="single" w:sz="4" w:space="0" w:color="auto"/>
        </w:rPr>
        <w:t>1</w:t>
      </w:r>
      <w:r w:rsidRPr="00BD627A">
        <w:rPr>
          <w:rFonts w:ascii="Times New Roman" w:hAnsi="Times New Roman" w:cs="Times Ext Roman"/>
          <w:b/>
          <w:color w:val="FF0000"/>
          <w:sz w:val="20"/>
          <w:highlight w:val="yellow"/>
          <w:bdr w:val="single" w:sz="4" w:space="0" w:color="auto"/>
        </w:rPr>
        <w:t>）</w:t>
      </w:r>
      <w:r w:rsidR="00BD627A" w:rsidRPr="00BD627A">
        <w:rPr>
          <w:rFonts w:ascii="Times New Roman" w:hAnsi="Times New Roman" w:cs="Times Ext Roman" w:hint="eastAsia"/>
          <w:b/>
          <w:color w:val="FF0000"/>
          <w:sz w:val="20"/>
          <w:highlight w:val="yellow"/>
          <w:bdr w:val="single" w:sz="4" w:space="0" w:color="auto"/>
        </w:rPr>
        <w:t>辨義</w:t>
      </w:r>
      <w:r w:rsidRPr="00DA3BC7">
        <w:rPr>
          <w:rFonts w:ascii="Times New Roman" w:hAnsi="Times New Roman" w:cs="Times Ext Roman" w:hint="eastAsia"/>
          <w:sz w:val="20"/>
        </w:rPr>
        <w:t>（</w:t>
      </w:r>
      <w:r w:rsidR="00B05767" w:rsidRPr="00DA3BC7">
        <w:rPr>
          <w:rFonts w:ascii="Times New Roman" w:hAnsi="Times New Roman" w:cs="Times Ext Roman" w:hint="eastAsia"/>
          <w:sz w:val="20"/>
        </w:rPr>
        <w:t>pp.</w:t>
      </w:r>
      <w:r w:rsidR="00DD55DB">
        <w:rPr>
          <w:rFonts w:ascii="Times New Roman" w:hAnsi="Times New Roman" w:cs="Times Ext Roman"/>
          <w:color w:val="FF0000"/>
          <w:sz w:val="20"/>
          <w:highlight w:val="yellow"/>
        </w:rPr>
        <w:t>a</w:t>
      </w:r>
      <w:r w:rsidR="00DD55DB" w:rsidRPr="00DA3BC7">
        <w:rPr>
          <w:rFonts w:ascii="Times New Roman" w:hAnsi="Times New Roman" w:cs="Times Ext Roman" w:hint="eastAsia"/>
          <w:sz w:val="20"/>
        </w:rPr>
        <w:t xml:space="preserve"> </w:t>
      </w:r>
      <w:r w:rsidR="00B05767" w:rsidRPr="00DA3BC7">
        <w:rPr>
          <w:rFonts w:ascii="Times New Roman" w:hAnsi="Times New Roman" w:cs="Times Ext Roman" w:hint="eastAsia"/>
          <w:sz w:val="20"/>
        </w:rPr>
        <w:t>6</w:t>
      </w:r>
      <w:r w:rsidR="00B05767">
        <w:rPr>
          <w:rFonts w:ascii="Times New Roman" w:hAnsi="Times New Roman" w:cs="Times Ext Roman" w:hint="eastAsia"/>
          <w:sz w:val="20"/>
        </w:rPr>
        <w:t>-</w:t>
      </w:r>
      <w:r w:rsidR="00DD55DB">
        <w:rPr>
          <w:rFonts w:ascii="Times New Roman" w:hAnsi="Times New Roman" w:cs="Times Ext Roman"/>
          <w:color w:val="FF0000"/>
          <w:sz w:val="20"/>
          <w:highlight w:val="yellow"/>
        </w:rPr>
        <w:t>a</w:t>
      </w:r>
      <w:r w:rsidR="00B05767">
        <w:rPr>
          <w:rFonts w:ascii="Times New Roman" w:hAnsi="Times New Roman" w:cs="Times Ext Roman" w:hint="eastAsia"/>
          <w:sz w:val="20"/>
        </w:rPr>
        <w:t>7</w:t>
      </w:r>
      <w:r w:rsidRPr="00DA3BC7">
        <w:rPr>
          <w:rFonts w:ascii="Times New Roman" w:hAnsi="Times New Roman" w:cs="Times Ext Roman" w:hint="eastAsia"/>
          <w:sz w:val="20"/>
        </w:rPr>
        <w:t>）</w:t>
      </w:r>
    </w:p>
    <w:p w:rsidR="00AF0EEA" w:rsidRPr="00DA3BC7" w:rsidRDefault="00AF0EEA" w:rsidP="00110E14">
      <w:pPr>
        <w:ind w:leftChars="250" w:left="600"/>
        <w:jc w:val="both"/>
        <w:rPr>
          <w:rFonts w:ascii="Times New Roman" w:hAnsi="Times New Roman" w:cs="Times Ext Roman"/>
        </w:rPr>
      </w:pPr>
      <w:r w:rsidRPr="00DA3BC7">
        <w:rPr>
          <w:rFonts w:ascii="Times New Roman" w:hAnsi="Times New Roman" w:cs="Times Ext Roman"/>
        </w:rPr>
        <w:t>緣起法是「處中之說」，不偏於事，不偏於理；</w:t>
      </w:r>
    </w:p>
    <w:p w:rsidR="00AF0EEA" w:rsidRPr="00DA3BC7" w:rsidRDefault="00AF0EEA" w:rsidP="00110E14">
      <w:pPr>
        <w:ind w:leftChars="250" w:left="600"/>
        <w:jc w:val="both"/>
        <w:rPr>
          <w:rFonts w:ascii="Times New Roman" w:hAnsi="Times New Roman" w:cs="Times Ext Roman"/>
        </w:rPr>
      </w:pPr>
      <w:r w:rsidRPr="00DA3BC7">
        <w:rPr>
          <w:rFonts w:ascii="Times New Roman" w:hAnsi="Times New Roman" w:cs="Times Ext Roman"/>
          <w:b/>
        </w:rPr>
        <w:t>事相差別</w:t>
      </w:r>
      <w:r w:rsidRPr="00DA3BC7">
        <w:rPr>
          <w:rFonts w:ascii="Times New Roman" w:hAnsi="Times New Roman" w:cs="Times Ext Roman"/>
        </w:rPr>
        <w:t>而不礙</w:t>
      </w:r>
      <w:r w:rsidRPr="00DA3BC7">
        <w:rPr>
          <w:rFonts w:ascii="Times New Roman" w:hAnsi="Times New Roman" w:cs="Times Ext Roman"/>
          <w:b/>
        </w:rPr>
        <w:t>理性平等</w:t>
      </w:r>
      <w:r w:rsidRPr="00DA3BC7">
        <w:rPr>
          <w:rFonts w:ascii="Times New Roman" w:hAnsi="Times New Roman" w:cs="Times Ext Roman"/>
        </w:rPr>
        <w:t>，</w:t>
      </w:r>
    </w:p>
    <w:p w:rsidR="00AF0EEA" w:rsidRPr="00DA3BC7" w:rsidRDefault="00AF0EEA" w:rsidP="00110E14">
      <w:pPr>
        <w:ind w:leftChars="250" w:left="600"/>
        <w:jc w:val="both"/>
        <w:rPr>
          <w:rFonts w:ascii="Times New Roman" w:hAnsi="Times New Roman" w:cs="Times Ext Roman"/>
        </w:rPr>
      </w:pPr>
      <w:r w:rsidRPr="00DA3BC7">
        <w:rPr>
          <w:rFonts w:ascii="Times New Roman" w:hAnsi="Times New Roman" w:cs="Times Ext Roman"/>
          <w:b/>
        </w:rPr>
        <w:t>理性一如</w:t>
      </w:r>
      <w:r w:rsidRPr="00DA3BC7">
        <w:rPr>
          <w:rStyle w:val="a6"/>
          <w:rFonts w:ascii="Times New Roman" w:hAnsi="Times New Roman" w:cs="Times Ext Roman"/>
        </w:rPr>
        <w:footnoteReference w:id="38"/>
      </w:r>
      <w:r w:rsidRPr="00DA3BC7">
        <w:rPr>
          <w:rFonts w:ascii="Times New Roman" w:hAnsi="Times New Roman" w:cs="Times Ext Roman"/>
        </w:rPr>
        <w:t>而不礙</w:t>
      </w:r>
      <w:r w:rsidRPr="00DA3BC7">
        <w:rPr>
          <w:rFonts w:ascii="Times New Roman" w:hAnsi="Times New Roman" w:cs="Times Ext Roman"/>
          <w:b/>
        </w:rPr>
        <w:t>事相差別</w:t>
      </w:r>
      <w:r w:rsidRPr="00DA3BC7">
        <w:rPr>
          <w:rFonts w:ascii="Times New Roman" w:hAnsi="Times New Roman" w:cs="Times Ext Roman"/>
        </w:rPr>
        <w:t>。</w:t>
      </w:r>
    </w:p>
    <w:p w:rsidR="00AF0EEA" w:rsidRPr="00DA3BC7" w:rsidRDefault="00AF0EEA" w:rsidP="00AE3920">
      <w:pPr>
        <w:spacing w:beforeLines="20"/>
        <w:ind w:leftChars="250" w:left="600"/>
        <w:jc w:val="both"/>
        <w:rPr>
          <w:rFonts w:ascii="Times New Roman" w:hAnsi="Times New Roman" w:cs="Times Ext Roman"/>
        </w:rPr>
      </w:pPr>
      <w:r w:rsidRPr="00DA3BC7">
        <w:rPr>
          <w:rFonts w:ascii="Times New Roman" w:hAnsi="Times New Roman" w:cs="Times Ext Roman"/>
        </w:rPr>
        <w:t>在同一的</w:t>
      </w:r>
      <w:r w:rsidRPr="00DA3BC7">
        <w:rPr>
          <w:rFonts w:ascii="Times New Roman" w:hAnsi="Times New Roman" w:cs="Times Ext Roman"/>
          <w:b/>
        </w:rPr>
        <w:t>緣起法</w:t>
      </w:r>
      <w:r w:rsidRPr="00DA3BC7">
        <w:rPr>
          <w:rFonts w:ascii="Times New Roman" w:hAnsi="Times New Roman" w:cs="Times Ext Roman"/>
        </w:rPr>
        <w:t>中，成立</w:t>
      </w:r>
      <w:r w:rsidRPr="00DA3BC7">
        <w:rPr>
          <w:rFonts w:ascii="Times New Roman" w:hAnsi="Times New Roman" w:cs="Times Ext Roman"/>
          <w:b/>
        </w:rPr>
        <w:t>事相</w:t>
      </w:r>
      <w:r w:rsidRPr="00DA3BC7">
        <w:rPr>
          <w:rFonts w:ascii="Times New Roman" w:hAnsi="Times New Roman" w:cs="Times Ext Roman"/>
        </w:rPr>
        <w:t>與</w:t>
      </w:r>
      <w:r w:rsidRPr="00DA3BC7">
        <w:rPr>
          <w:rFonts w:ascii="Times New Roman" w:hAnsi="Times New Roman" w:cs="Times Ext Roman"/>
          <w:b/>
        </w:rPr>
        <w:t>理性</w:t>
      </w:r>
      <w:r w:rsidRPr="00DA3BC7">
        <w:rPr>
          <w:rFonts w:ascii="Times New Roman" w:hAnsi="Times New Roman" w:cs="Times Ext Roman"/>
        </w:rPr>
        <w:t>，而能</w:t>
      </w:r>
      <w:r w:rsidRPr="00DA3BC7">
        <w:rPr>
          <w:rFonts w:ascii="Times New Roman" w:hAnsi="Times New Roman" w:cs="Times Ext Roman"/>
          <w:b/>
        </w:rPr>
        <w:t>不將差別去說理，不將平等去說事</w:t>
      </w:r>
      <w:r w:rsidRPr="00DA3BC7">
        <w:rPr>
          <w:rFonts w:ascii="Times New Roman" w:hAnsi="Times New Roman" w:cs="Times Ext Roman"/>
        </w:rPr>
        <w:t>，這才能恰合事理的樣子而如實知。</w:t>
      </w:r>
    </w:p>
    <w:p w:rsidR="00B05767" w:rsidRPr="00DA3BC7" w:rsidRDefault="00B05767" w:rsidP="00AE3920">
      <w:pPr>
        <w:spacing w:beforeLines="30"/>
        <w:ind w:leftChars="250" w:left="600"/>
        <w:jc w:val="both"/>
        <w:rPr>
          <w:rFonts w:ascii="Times New Roman" w:hAnsi="Times New Roman" w:cs="Times Ext Roman"/>
          <w:b/>
          <w:sz w:val="20"/>
          <w:bdr w:val="single" w:sz="4" w:space="0" w:color="auto"/>
        </w:rPr>
      </w:pPr>
      <w:r w:rsidRPr="00BD627A">
        <w:rPr>
          <w:rFonts w:ascii="Times New Roman" w:hAnsi="Times New Roman" w:cs="Times Ext Roman"/>
          <w:b/>
          <w:color w:val="FF0000"/>
          <w:sz w:val="20"/>
          <w:highlight w:val="yellow"/>
          <w:bdr w:val="single" w:sz="4" w:space="0" w:color="auto"/>
        </w:rPr>
        <w:t>（</w:t>
      </w:r>
      <w:r>
        <w:rPr>
          <w:rFonts w:ascii="Times New Roman" w:hAnsi="Times New Roman" w:cs="Times Ext Roman" w:hint="eastAsia"/>
          <w:b/>
          <w:color w:val="FF0000"/>
          <w:sz w:val="20"/>
          <w:highlight w:val="yellow"/>
          <w:bdr w:val="single" w:sz="4" w:space="0" w:color="auto"/>
        </w:rPr>
        <w:t>2</w:t>
      </w:r>
      <w:r w:rsidRPr="00BD627A">
        <w:rPr>
          <w:rFonts w:ascii="Times New Roman" w:hAnsi="Times New Roman" w:cs="Times Ext Roman"/>
          <w:b/>
          <w:color w:val="FF0000"/>
          <w:sz w:val="20"/>
          <w:highlight w:val="yellow"/>
          <w:bdr w:val="single" w:sz="4" w:space="0" w:color="auto"/>
        </w:rPr>
        <w:t>）</w:t>
      </w:r>
      <w:r w:rsidRPr="00B05767">
        <w:rPr>
          <w:rFonts w:ascii="Times New Roman" w:hAnsi="Times New Roman" w:cs="Times Ext Roman" w:hint="eastAsia"/>
          <w:b/>
          <w:color w:val="FF0000"/>
          <w:sz w:val="20"/>
          <w:highlight w:val="yellow"/>
          <w:bdr w:val="single" w:sz="4" w:space="0" w:color="auto"/>
        </w:rPr>
        <w:t>示過</w:t>
      </w:r>
      <w:r w:rsidRPr="00DA3BC7">
        <w:rPr>
          <w:rFonts w:ascii="Times New Roman" w:hAnsi="Times New Roman" w:cs="Times Ext Roman" w:hint="eastAsia"/>
          <w:sz w:val="20"/>
        </w:rPr>
        <w:t>（</w:t>
      </w:r>
      <w:r w:rsidRPr="00DA3BC7">
        <w:rPr>
          <w:rFonts w:ascii="Times New Roman" w:hAnsi="Times New Roman" w:cs="Times Ext Roman" w:hint="eastAsia"/>
          <w:sz w:val="20"/>
        </w:rPr>
        <w:t>pp.</w:t>
      </w:r>
      <w:r w:rsidR="00DD55DB">
        <w:rPr>
          <w:rFonts w:ascii="Times New Roman" w:hAnsi="Times New Roman" w:cs="Times Ext Roman"/>
          <w:color w:val="FF0000"/>
          <w:sz w:val="20"/>
          <w:highlight w:val="yellow"/>
        </w:rPr>
        <w:t>a</w:t>
      </w:r>
      <w:r w:rsidRPr="00DA3BC7">
        <w:rPr>
          <w:rFonts w:ascii="Times New Roman" w:hAnsi="Times New Roman" w:cs="Times Ext Roman" w:hint="eastAsia"/>
          <w:sz w:val="20"/>
        </w:rPr>
        <w:t>6</w:t>
      </w:r>
      <w:r>
        <w:rPr>
          <w:rFonts w:ascii="Times New Roman" w:hAnsi="Times New Roman" w:cs="Times Ext Roman" w:hint="eastAsia"/>
          <w:sz w:val="20"/>
        </w:rPr>
        <w:t>-</w:t>
      </w:r>
      <w:r w:rsidR="00DD55DB">
        <w:rPr>
          <w:rFonts w:ascii="Times New Roman" w:hAnsi="Times New Roman" w:cs="Times Ext Roman"/>
          <w:color w:val="FF0000"/>
          <w:sz w:val="20"/>
          <w:highlight w:val="yellow"/>
        </w:rPr>
        <w:t>a</w:t>
      </w:r>
      <w:r>
        <w:rPr>
          <w:rFonts w:ascii="Times New Roman" w:hAnsi="Times New Roman" w:cs="Times Ext Roman" w:hint="eastAsia"/>
          <w:sz w:val="20"/>
        </w:rPr>
        <w:t>7</w:t>
      </w:r>
      <w:r w:rsidRPr="00DA3BC7">
        <w:rPr>
          <w:rFonts w:ascii="Times New Roman" w:hAnsi="Times New Roman" w:cs="Times Ext Roman" w:hint="eastAsia"/>
          <w:sz w:val="20"/>
        </w:rPr>
        <w:t>）</w:t>
      </w:r>
    </w:p>
    <w:p w:rsidR="00AF0EEA" w:rsidRPr="00DA3BC7" w:rsidRDefault="00AF0EEA" w:rsidP="00110E14">
      <w:pPr>
        <w:ind w:leftChars="250" w:left="600"/>
        <w:jc w:val="both"/>
        <w:rPr>
          <w:rFonts w:ascii="Times New Roman" w:hAnsi="Times New Roman" w:cs="Times Ext Roman"/>
        </w:rPr>
      </w:pPr>
      <w:r w:rsidRPr="00DA3BC7">
        <w:rPr>
          <w:rFonts w:ascii="Times New Roman" w:hAnsi="Times New Roman" w:cs="Times Ext Roman"/>
        </w:rPr>
        <w:t>一般自以為真俗無礙的學者，不知「處中之說」，談心說性，每不免偏於「相即」</w:t>
      </w:r>
      <w:r w:rsidRPr="00DA3BC7">
        <w:rPr>
          <w:rFonts w:ascii="Times New Roman" w:hAnsi="Times New Roman" w:cs="Times Ext Roman" w:hint="eastAsia"/>
        </w:rPr>
        <w:t>、</w:t>
      </w:r>
      <w:r w:rsidRPr="00DA3BC7">
        <w:rPr>
          <w:rFonts w:ascii="Times New Roman" w:hAnsi="Times New Roman" w:cs="Times Ext Roman"/>
        </w:rPr>
        <w:t>偏於「理同」。這或者忽略事行</w:t>
      </w:r>
      <w:r w:rsidRPr="00DA3BC7">
        <w:rPr>
          <w:rFonts w:ascii="Times New Roman" w:hAnsi="Times New Roman" w:cs="Times Ext Roman" w:hint="eastAsia"/>
        </w:rPr>
        <w:t>，</w:t>
      </w:r>
      <w:r w:rsidRPr="00DA3BC7">
        <w:rPr>
          <w:rFonts w:ascii="Times New Roman" w:hAnsi="Times New Roman" w:cs="Times Ext Roman"/>
        </w:rPr>
        <w:t>或者執理廢事</w:t>
      </w:r>
      <w:r w:rsidRPr="00DA3BC7">
        <w:rPr>
          <w:rFonts w:ascii="Times New Roman" w:hAnsi="Times New Roman" w:cs="Times Ext Roman" w:hint="eastAsia"/>
        </w:rPr>
        <w:t>，</w:t>
      </w:r>
      <w:r w:rsidRPr="00DA3BC7">
        <w:rPr>
          <w:rFonts w:ascii="Times New Roman" w:hAnsi="Times New Roman" w:cs="Times Ext Roman"/>
        </w:rPr>
        <w:t>或者破壞事相的差別性</w:t>
      </w:r>
      <w:r w:rsidRPr="00DA3BC7">
        <w:rPr>
          <w:rFonts w:ascii="Times New Roman" w:hAnsi="Times New Roman" w:cs="Times Ext Roman" w:hint="eastAsia"/>
        </w:rPr>
        <w:t>、</w:t>
      </w:r>
      <w:r w:rsidRPr="00DA3BC7">
        <w:rPr>
          <w:rFonts w:ascii="Times New Roman" w:hAnsi="Times New Roman" w:cs="Times Ext Roman"/>
        </w:rPr>
        <w:t>時空的局限性，落入破壞緣起事</w:t>
      </w:r>
      <w:r w:rsidRPr="00DA3BC7">
        <w:rPr>
          <w:rFonts w:ascii="新細明體" w:hAnsi="新細明體" w:cs="Times Ext Roman"/>
        </w:rPr>
        <w:t>──</w:t>
      </w:r>
      <w:r w:rsidRPr="00DA3BC7">
        <w:rPr>
          <w:rFonts w:ascii="Times New Roman" w:hAnsi="Times New Roman" w:cs="Times Ext Roman"/>
        </w:rPr>
        <w:t>是非、善惡、因果等的大混沌</w:t>
      </w:r>
      <w:r w:rsidRPr="00DA3BC7">
        <w:rPr>
          <w:rStyle w:val="a6"/>
          <w:rFonts w:ascii="Times New Roman" w:hAnsi="Times New Roman" w:cs="Times Ext Roman"/>
        </w:rPr>
        <w:footnoteReference w:id="39"/>
      </w:r>
      <w:r w:rsidRPr="00DA3BC7">
        <w:rPr>
          <w:rFonts w:ascii="Times New Roman" w:hAnsi="Times New Roman" w:cs="Times Ext Roman"/>
        </w:rPr>
        <w:t>！自以為無礙，而不知早是一邊。</w:t>
      </w:r>
    </w:p>
    <w:p w:rsidR="00AF0EEA" w:rsidRPr="00DA3BC7" w:rsidRDefault="00AF0EEA" w:rsidP="00AE3920">
      <w:pPr>
        <w:spacing w:beforeLines="20"/>
        <w:ind w:leftChars="250" w:left="600"/>
        <w:jc w:val="both"/>
        <w:rPr>
          <w:rFonts w:ascii="Times New Roman" w:hAnsi="Times New Roman" w:cs="Times Ext Roman"/>
        </w:rPr>
      </w:pPr>
      <w:r w:rsidRPr="00DA3BC7">
        <w:rPr>
          <w:rFonts w:ascii="Times New Roman" w:hAnsi="Times New Roman" w:cs="Times Ext Roman"/>
        </w:rPr>
        <w:t>不知緣起法，不能從緣起中去統貫真俗，這也難怪要不偏於事即偏於理了！</w:t>
      </w:r>
    </w:p>
    <w:p w:rsidR="00BD627A" w:rsidRDefault="00AF0EEA" w:rsidP="00110E14">
      <w:pPr>
        <w:ind w:leftChars="250" w:left="600"/>
        <w:jc w:val="both"/>
        <w:rPr>
          <w:rFonts w:ascii="Times New Roman" w:hAnsi="Times New Roman" w:cs="Times Ext Roman"/>
        </w:rPr>
      </w:pPr>
      <w:r w:rsidRPr="00DA3BC7">
        <w:rPr>
          <w:rFonts w:ascii="Times New Roman" w:hAnsi="Times New Roman" w:cs="Times Ext Roman"/>
        </w:rPr>
        <w:t>近來有人</w:t>
      </w:r>
      <w:r w:rsidRPr="00DA3BC7">
        <w:rPr>
          <w:rFonts w:ascii="新細明體" w:hAnsi="新細明體" w:cs="Times Ext Roman"/>
        </w:rPr>
        <w:t>──</w:t>
      </w:r>
      <w:r w:rsidRPr="00DA3BC7">
        <w:rPr>
          <w:rFonts w:ascii="Times New Roman" w:hAnsi="Times New Roman" w:cs="Times Ext Roman"/>
        </w:rPr>
        <w:t>好像是牟宗三</w:t>
      </w:r>
      <w:r w:rsidRPr="00DA3BC7">
        <w:rPr>
          <w:rStyle w:val="a6"/>
          <w:rFonts w:ascii="Times New Roman" w:hAnsi="Times New Roman" w:cs="Times Ext Roman"/>
        </w:rPr>
        <w:footnoteReference w:id="40"/>
      </w:r>
      <w:r w:rsidRPr="00DA3BC7">
        <w:rPr>
          <w:rFonts w:ascii="Times New Roman" w:hAnsi="Times New Roman" w:cs="Times Ext Roman"/>
        </w:rPr>
        <w:t>說：</w:t>
      </w:r>
      <w:r w:rsidRPr="00DA3BC7">
        <w:rPr>
          <w:rFonts w:ascii="Times New Roman" w:hAnsi="Times New Roman" w:cs="Times Ext Roman" w:hint="eastAsia"/>
        </w:rPr>
        <w:t>辯</w:t>
      </w:r>
      <w:r w:rsidRPr="00DA3BC7">
        <w:rPr>
          <w:rFonts w:ascii="Times New Roman" w:hAnsi="Times New Roman" w:cs="Times Ext Roman"/>
        </w:rPr>
        <w:t>證法</w:t>
      </w:r>
      <w:r w:rsidRPr="00DA3BC7">
        <w:rPr>
          <w:rStyle w:val="a6"/>
          <w:rFonts w:ascii="Times New Roman" w:hAnsi="Times New Roman" w:cs="Times Ext Roman"/>
        </w:rPr>
        <w:footnoteReference w:id="41"/>
      </w:r>
      <w:r w:rsidRPr="00DA3BC7">
        <w:rPr>
          <w:rFonts w:ascii="Times New Roman" w:hAnsi="Times New Roman" w:cs="Times Ext Roman"/>
        </w:rPr>
        <w:t>但於本體論有用。</w:t>
      </w:r>
    </w:p>
    <w:p w:rsidR="00AF0EEA" w:rsidRPr="00DA3BC7" w:rsidRDefault="00AF0EEA" w:rsidP="00110E14">
      <w:pPr>
        <w:ind w:leftChars="250" w:left="600"/>
        <w:jc w:val="both"/>
        <w:rPr>
          <w:rFonts w:ascii="Times New Roman" w:hAnsi="Times New Roman" w:cs="Times Ext Roman"/>
        </w:rPr>
      </w:pPr>
      <w:r w:rsidRPr="00DA3BC7">
        <w:rPr>
          <w:rFonts w:ascii="Times New Roman" w:hAnsi="Times New Roman" w:cs="Times Ext Roman"/>
        </w:rPr>
        <w:lastRenderedPageBreak/>
        <w:t>這只是說得一邊，與唯物論者</w:t>
      </w:r>
      <w:r w:rsidRPr="00DA3BC7">
        <w:rPr>
          <w:rStyle w:val="a6"/>
          <w:rFonts w:ascii="Times New Roman" w:hAnsi="Times New Roman" w:cs="Times Ext Roman"/>
        </w:rPr>
        <w:footnoteReference w:id="42"/>
      </w:r>
      <w:r w:rsidRPr="00DA3BC7">
        <w:rPr>
          <w:rFonts w:ascii="Times New Roman" w:hAnsi="Times New Roman" w:cs="Times Ext Roman"/>
        </w:rPr>
        <w:t>的</w:t>
      </w:r>
      <w:r w:rsidRPr="00DA3BC7">
        <w:rPr>
          <w:rFonts w:ascii="Times New Roman" w:hAnsi="Times New Roman" w:cs="Times Ext Roman" w:hint="eastAsia"/>
        </w:rPr>
        <w:t>辯</w:t>
      </w:r>
      <w:r w:rsidRPr="00DA3BC7">
        <w:rPr>
          <w:rFonts w:ascii="Times New Roman" w:hAnsi="Times New Roman" w:cs="Times Ext Roman"/>
        </w:rPr>
        <w:t>證法偏於事相一樣。</w:t>
      </w:r>
    </w:p>
    <w:p w:rsidR="00BD627A" w:rsidRDefault="00BD627A" w:rsidP="00AE3920">
      <w:pPr>
        <w:spacing w:beforeLines="30"/>
        <w:ind w:leftChars="250" w:left="600"/>
        <w:jc w:val="both"/>
        <w:rPr>
          <w:rFonts w:ascii="Times New Roman" w:hAnsi="Times New Roman" w:cs="Times Ext Roman"/>
          <w:b/>
          <w:color w:val="FF0000"/>
          <w:sz w:val="20"/>
          <w:bdr w:val="single" w:sz="4" w:space="0" w:color="auto"/>
        </w:rPr>
      </w:pPr>
      <w:r w:rsidRPr="00BD627A">
        <w:rPr>
          <w:rFonts w:ascii="Times New Roman" w:hAnsi="Times New Roman" w:cs="Times Ext Roman"/>
          <w:b/>
          <w:color w:val="FF0000"/>
          <w:sz w:val="20"/>
          <w:highlight w:val="yellow"/>
          <w:bdr w:val="single" w:sz="4" w:space="0" w:color="auto"/>
        </w:rPr>
        <w:t>（</w:t>
      </w:r>
      <w:r>
        <w:rPr>
          <w:rFonts w:ascii="Times New Roman" w:hAnsi="Times New Roman" w:cs="Times Ext Roman" w:hint="eastAsia"/>
          <w:b/>
          <w:color w:val="FF0000"/>
          <w:sz w:val="20"/>
          <w:highlight w:val="yellow"/>
          <w:bdr w:val="single" w:sz="4" w:space="0" w:color="auto"/>
        </w:rPr>
        <w:t>3</w:t>
      </w:r>
      <w:r w:rsidRPr="00BD627A">
        <w:rPr>
          <w:rFonts w:ascii="Times New Roman" w:hAnsi="Times New Roman" w:cs="Times Ext Roman"/>
          <w:b/>
          <w:color w:val="FF0000"/>
          <w:sz w:val="20"/>
          <w:highlight w:val="yellow"/>
          <w:bdr w:val="single" w:sz="4" w:space="0" w:color="auto"/>
        </w:rPr>
        <w:t>）</w:t>
      </w:r>
      <w:r>
        <w:rPr>
          <w:rFonts w:ascii="Times New Roman" w:hAnsi="Times New Roman" w:cs="Times Ext Roman" w:hint="eastAsia"/>
          <w:b/>
          <w:color w:val="FF0000"/>
          <w:sz w:val="20"/>
          <w:highlight w:val="yellow"/>
          <w:bdr w:val="single" w:sz="4" w:space="0" w:color="auto"/>
        </w:rPr>
        <w:t>顯正</w:t>
      </w:r>
      <w:r w:rsidRPr="00DA3BC7">
        <w:rPr>
          <w:rFonts w:ascii="Times New Roman" w:hAnsi="Times New Roman" w:cs="Times Ext Roman" w:hint="eastAsia"/>
          <w:sz w:val="20"/>
        </w:rPr>
        <w:t>（</w:t>
      </w:r>
      <w:r w:rsidR="00DD55DB">
        <w:rPr>
          <w:rFonts w:ascii="Times New Roman" w:hAnsi="Times New Roman" w:cs="Times Ext Roman"/>
          <w:sz w:val="20"/>
        </w:rPr>
        <w:t>p.</w:t>
      </w:r>
      <w:r w:rsidR="00DD55DB">
        <w:rPr>
          <w:rFonts w:ascii="Times New Roman" w:hAnsi="Times New Roman" w:cs="Times Ext Roman"/>
          <w:color w:val="FF0000"/>
          <w:sz w:val="20"/>
          <w:highlight w:val="yellow"/>
        </w:rPr>
        <w:t>a</w:t>
      </w:r>
      <w:r w:rsidRPr="00DA3BC7">
        <w:rPr>
          <w:rFonts w:ascii="Times New Roman" w:hAnsi="Times New Roman" w:cs="Times Ext Roman" w:hint="eastAsia"/>
          <w:sz w:val="20"/>
        </w:rPr>
        <w:t>7</w:t>
      </w:r>
      <w:r w:rsidRPr="00DA3BC7">
        <w:rPr>
          <w:rFonts w:ascii="Times New Roman" w:hAnsi="Times New Roman" w:cs="Times Ext Roman" w:hint="eastAsia"/>
          <w:sz w:val="20"/>
        </w:rPr>
        <w:t>）</w:t>
      </w:r>
    </w:p>
    <w:p w:rsidR="00AF0EEA" w:rsidRPr="00DA3BC7" w:rsidRDefault="00AF0EEA" w:rsidP="00110E14">
      <w:pPr>
        <w:ind w:leftChars="250" w:left="600"/>
        <w:jc w:val="both"/>
        <w:rPr>
          <w:rFonts w:ascii="Times New Roman" w:hAnsi="Times New Roman" w:cs="Times Ext Roman"/>
        </w:rPr>
      </w:pPr>
      <w:r w:rsidRPr="00DA3BC7">
        <w:rPr>
          <w:rFonts w:ascii="Times New Roman" w:hAnsi="Times New Roman" w:cs="Times Ext Roman"/>
        </w:rPr>
        <w:t>須知緣起法近於</w:t>
      </w:r>
      <w:r w:rsidRPr="00DA3BC7">
        <w:rPr>
          <w:rFonts w:ascii="Times New Roman" w:hAnsi="Times New Roman" w:cs="Times Ext Roman" w:hint="eastAsia"/>
        </w:rPr>
        <w:t>辯</w:t>
      </w:r>
      <w:r w:rsidRPr="00DA3BC7">
        <w:rPr>
          <w:rFonts w:ascii="Times New Roman" w:hAnsi="Times New Roman" w:cs="Times Ext Roman"/>
        </w:rPr>
        <w:t>證法，但這是處中而貫徹事理的。</w:t>
      </w:r>
    </w:p>
    <w:p w:rsidR="00AF0EEA" w:rsidRPr="00DA3BC7" w:rsidRDefault="00AF0EEA" w:rsidP="00AE3920">
      <w:pPr>
        <w:spacing w:beforeLines="20"/>
        <w:ind w:leftChars="250" w:left="600"/>
        <w:jc w:val="both"/>
        <w:rPr>
          <w:rFonts w:ascii="Times New Roman" w:hAnsi="Times New Roman" w:cs="Times Ext Roman"/>
        </w:rPr>
      </w:pPr>
      <w:r w:rsidRPr="00DA3BC7">
        <w:rPr>
          <w:rFonts w:ascii="Times New Roman" w:hAnsi="Times New Roman" w:cs="Times Ext Roman"/>
        </w:rPr>
        <w:t>從</w:t>
      </w:r>
      <w:r w:rsidRPr="00DA3BC7">
        <w:rPr>
          <w:rFonts w:ascii="Times New Roman" w:hAnsi="Times New Roman" w:cs="Times Ext Roman"/>
          <w:b/>
        </w:rPr>
        <w:t>正</w:t>
      </w:r>
      <w:r w:rsidRPr="00DA3BC7">
        <w:rPr>
          <w:rFonts w:ascii="Times New Roman" w:hAnsi="Times New Roman" w:cs="Times Ext Roman"/>
        </w:rPr>
        <w:t>而</w:t>
      </w:r>
      <w:r w:rsidRPr="00DA3BC7">
        <w:rPr>
          <w:rFonts w:ascii="Times New Roman" w:hAnsi="Times New Roman" w:cs="Times Ext Roman"/>
          <w:b/>
        </w:rPr>
        <w:t>反</w:t>
      </w:r>
      <w:r w:rsidRPr="00DA3BC7">
        <w:rPr>
          <w:rFonts w:ascii="Times New Roman" w:hAnsi="Times New Roman" w:cs="Times Ext Roman"/>
        </w:rPr>
        <w:t>而</w:t>
      </w:r>
      <w:r w:rsidRPr="00DA3BC7">
        <w:rPr>
          <w:rFonts w:ascii="Times New Roman" w:hAnsi="Times New Roman" w:cs="Times Ext Roman"/>
          <w:b/>
        </w:rPr>
        <w:t>綜合</w:t>
      </w:r>
      <w:r w:rsidRPr="00DA3BC7">
        <w:rPr>
          <w:rFonts w:ascii="Times New Roman" w:hAnsi="Times New Roman" w:cs="Times Ext Roman"/>
        </w:rPr>
        <w:t>的過程，即</w:t>
      </w:r>
      <w:r w:rsidRPr="00DA3BC7">
        <w:rPr>
          <w:rFonts w:ascii="Times New Roman" w:hAnsi="Times New Roman" w:cs="Times Ext Roman"/>
          <w:b/>
        </w:rPr>
        <w:t>順於世俗假名的緣起法</w:t>
      </w:r>
      <w:r w:rsidRPr="00DA3BC7">
        <w:rPr>
          <w:rFonts w:ascii="Times New Roman" w:hAnsi="Times New Roman" w:cs="Times Ext Roman"/>
        </w:rPr>
        <w:t>，開展</w:t>
      </w:r>
      <w:r w:rsidRPr="00DA3BC7">
        <w:rPr>
          <w:rFonts w:ascii="Times New Roman" w:hAnsi="Times New Roman" w:cs="Times Ext Roman"/>
          <w:b/>
        </w:rPr>
        <w:t>生滅</w:t>
      </w:r>
      <w:r w:rsidRPr="00DA3BC7">
        <w:rPr>
          <w:rFonts w:ascii="Times New Roman" w:hAnsi="Times New Roman" w:cs="Times Ext Roman"/>
        </w:rPr>
        <w:t>（變）的</w:t>
      </w:r>
      <w:r w:rsidRPr="00DA3BC7">
        <w:rPr>
          <w:rFonts w:ascii="Times New Roman" w:hAnsi="Times New Roman" w:cs="Times Ext Roman"/>
          <w:b/>
        </w:rPr>
        <w:t>和合、相續</w:t>
      </w:r>
      <w:r w:rsidRPr="00DA3BC7">
        <w:rPr>
          <w:rFonts w:ascii="Times New Roman" w:hAnsi="Times New Roman" w:cs="Times Ext Roman"/>
        </w:rPr>
        <w:t>的</w:t>
      </w:r>
      <w:r w:rsidRPr="00DA3BC7">
        <w:rPr>
          <w:rFonts w:ascii="Times New Roman" w:hAnsi="Times New Roman" w:cs="Times Ext Roman"/>
          <w:b/>
        </w:rPr>
        <w:t>相對界</w:t>
      </w:r>
      <w:r w:rsidRPr="00DA3BC7">
        <w:rPr>
          <w:rFonts w:ascii="Times New Roman" w:hAnsi="Times New Roman" w:cs="Times Ext Roman"/>
        </w:rPr>
        <w:t>。</w:t>
      </w:r>
      <w:r w:rsidR="00F616B6" w:rsidRPr="00C970A6">
        <w:rPr>
          <w:rStyle w:val="a6"/>
          <w:rFonts w:ascii="Times New Roman" w:hAnsi="Times New Roman" w:cs="Times Ext Roman"/>
          <w:color w:val="FF0000"/>
          <w:highlight w:val="yellow"/>
        </w:rPr>
        <w:footnoteReference w:id="43"/>
      </w:r>
    </w:p>
    <w:p w:rsidR="00AF0EEA" w:rsidRPr="00DA3BC7" w:rsidRDefault="00AF0EEA" w:rsidP="00AE3920">
      <w:pPr>
        <w:spacing w:beforeLines="20"/>
        <w:ind w:leftChars="250" w:left="600"/>
        <w:jc w:val="both"/>
        <w:rPr>
          <w:rFonts w:ascii="Times New Roman" w:hAnsi="Times New Roman" w:cs="Times Ext Roman"/>
        </w:rPr>
      </w:pPr>
      <w:r w:rsidRPr="00DA3BC7">
        <w:rPr>
          <w:rFonts w:ascii="Times New Roman" w:hAnsi="Times New Roman" w:cs="Times Ext Roman"/>
        </w:rPr>
        <w:t>即</w:t>
      </w:r>
      <w:r w:rsidRPr="00DA3BC7">
        <w:rPr>
          <w:rFonts w:ascii="Times New Roman" w:hAnsi="Times New Roman" w:cs="Times Ext Roman"/>
          <w:b/>
        </w:rPr>
        <w:t>反</w:t>
      </w:r>
      <w:r w:rsidRPr="00DA3BC7">
        <w:rPr>
          <w:rFonts w:ascii="Times New Roman" w:hAnsi="Times New Roman" w:cs="Times Ext Roman"/>
        </w:rPr>
        <w:t>而</w:t>
      </w:r>
      <w:r w:rsidRPr="00DA3BC7">
        <w:rPr>
          <w:rFonts w:ascii="Times New Roman" w:hAnsi="Times New Roman" w:cs="Times Ext Roman"/>
          <w:b/>
        </w:rPr>
        <w:t>正</w:t>
      </w:r>
      <w:r w:rsidRPr="00DA3BC7">
        <w:rPr>
          <w:rFonts w:ascii="Times New Roman" w:hAnsi="Times New Roman" w:cs="Times Ext Roman"/>
        </w:rPr>
        <w:t>而</w:t>
      </w:r>
      <w:r w:rsidRPr="00DA3BC7">
        <w:rPr>
          <w:rFonts w:ascii="Times New Roman" w:hAnsi="Times New Roman" w:cs="Times Ext Roman"/>
          <w:b/>
        </w:rPr>
        <w:t>超越</w:t>
      </w:r>
      <w:r w:rsidRPr="00DA3BC7">
        <w:rPr>
          <w:rFonts w:ascii="Times New Roman" w:hAnsi="Times New Roman" w:cs="Times Ext Roman"/>
        </w:rPr>
        <w:t>（反的雙遮）的開顯，即</w:t>
      </w:r>
      <w:r w:rsidRPr="00DA3BC7">
        <w:rPr>
          <w:rFonts w:ascii="Times New Roman" w:hAnsi="Times New Roman" w:cs="Times Ext Roman"/>
          <w:b/>
        </w:rPr>
        <w:t>順於勝義性空的緣起法</w:t>
      </w:r>
      <w:r w:rsidRPr="00DA3BC7">
        <w:rPr>
          <w:rFonts w:ascii="Times New Roman" w:hAnsi="Times New Roman" w:cs="Times Ext Roman"/>
        </w:rPr>
        <w:t>，契合</w:t>
      </w:r>
      <w:r w:rsidRPr="00DA3BC7">
        <w:rPr>
          <w:rFonts w:ascii="Times New Roman" w:hAnsi="Times New Roman" w:cs="Times Ext Roman"/>
          <w:b/>
        </w:rPr>
        <w:t>無生</w:t>
      </w:r>
      <w:r w:rsidRPr="00DA3BC7">
        <w:rPr>
          <w:rFonts w:ascii="Times New Roman" w:hAnsi="Times New Roman" w:cs="Times Ext Roman"/>
        </w:rPr>
        <w:t>的</w:t>
      </w:r>
      <w:r w:rsidRPr="00DA3BC7">
        <w:rPr>
          <w:rFonts w:ascii="Times New Roman" w:hAnsi="Times New Roman" w:cs="Times Ext Roman"/>
          <w:b/>
        </w:rPr>
        <w:t>無常</w:t>
      </w:r>
      <w:r w:rsidRPr="00DA3BC7">
        <w:rPr>
          <w:rFonts w:ascii="Times New Roman" w:hAnsi="Times New Roman" w:cs="Times Ext Roman" w:hint="eastAsia"/>
          <w:b/>
        </w:rPr>
        <w:t>、</w:t>
      </w:r>
      <w:r w:rsidRPr="00DA3BC7">
        <w:rPr>
          <w:rFonts w:ascii="Times New Roman" w:hAnsi="Times New Roman" w:cs="Times Ext Roman"/>
          <w:b/>
        </w:rPr>
        <w:t>無我</w:t>
      </w:r>
      <w:r w:rsidRPr="00DA3BC7">
        <w:rPr>
          <w:rFonts w:ascii="Times New Roman" w:hAnsi="Times New Roman" w:cs="Times Ext Roman"/>
        </w:rPr>
        <w:t>的</w:t>
      </w:r>
      <w:r w:rsidRPr="00DA3BC7">
        <w:rPr>
          <w:rFonts w:ascii="Times New Roman" w:hAnsi="Times New Roman" w:cs="Times Ext Roman"/>
          <w:b/>
        </w:rPr>
        <w:t>絕對界</w:t>
      </w:r>
      <w:r w:rsidRPr="00DA3BC7">
        <w:rPr>
          <w:rFonts w:ascii="Times New Roman" w:hAnsi="Times New Roman" w:cs="Times Ext Roman"/>
        </w:rPr>
        <w:t>。</w:t>
      </w:r>
    </w:p>
    <w:p w:rsidR="00AF0EEA" w:rsidRPr="00DA3BC7" w:rsidRDefault="00AF0EEA" w:rsidP="00AE3920">
      <w:pPr>
        <w:spacing w:beforeLines="20"/>
        <w:ind w:leftChars="250" w:left="600"/>
        <w:jc w:val="both"/>
        <w:rPr>
          <w:rFonts w:ascii="Times New Roman" w:hAnsi="Times New Roman" w:cs="Times Ext Roman"/>
        </w:rPr>
      </w:pPr>
      <w:r w:rsidRPr="00DA3BC7">
        <w:rPr>
          <w:rFonts w:ascii="Times New Roman" w:hAnsi="Times New Roman" w:cs="Times Ext Roman"/>
          <w:b/>
        </w:rPr>
        <w:t>相對</w:t>
      </w:r>
      <w:r w:rsidRPr="00DA3BC7">
        <w:rPr>
          <w:rFonts w:ascii="Times New Roman" w:hAnsi="Times New Roman" w:cs="Times Ext Roman"/>
        </w:rPr>
        <w:t>的</w:t>
      </w:r>
      <w:r w:rsidRPr="00DA3BC7">
        <w:rPr>
          <w:rFonts w:ascii="Times New Roman" w:hAnsi="Times New Roman" w:cs="Times Ext Roman"/>
          <w:b/>
        </w:rPr>
        <w:t>緣起相</w:t>
      </w:r>
      <w:r w:rsidRPr="00DA3BC7">
        <w:rPr>
          <w:rFonts w:ascii="Times New Roman" w:hAnsi="Times New Roman" w:cs="Times Ext Roman" w:hint="eastAsia"/>
        </w:rPr>
        <w:t>、</w:t>
      </w:r>
      <w:r w:rsidRPr="00DA3BC7">
        <w:rPr>
          <w:rFonts w:ascii="Times New Roman" w:hAnsi="Times New Roman" w:cs="Times Ext Roman"/>
          <w:b/>
        </w:rPr>
        <w:t>絕對</w:t>
      </w:r>
      <w:r w:rsidRPr="00DA3BC7">
        <w:rPr>
          <w:rFonts w:ascii="Times New Roman" w:hAnsi="Times New Roman" w:cs="Times Ext Roman"/>
        </w:rPr>
        <w:t>的</w:t>
      </w:r>
      <w:r w:rsidRPr="00DA3BC7">
        <w:rPr>
          <w:rFonts w:ascii="Times New Roman" w:hAnsi="Times New Roman" w:cs="Times Ext Roman"/>
          <w:b/>
        </w:rPr>
        <w:t>緣起性</w:t>
      </w:r>
      <w:r w:rsidRPr="00DA3BC7">
        <w:rPr>
          <w:rFonts w:ascii="Times New Roman" w:hAnsi="Times New Roman" w:cs="Times Ext Roman"/>
        </w:rPr>
        <w:t>，不即不離，相依相成而不相奪</w:t>
      </w:r>
      <w:r w:rsidRPr="00DA3BC7">
        <w:rPr>
          <w:rStyle w:val="a6"/>
          <w:rFonts w:ascii="Times New Roman" w:hAnsi="Times New Roman" w:cs="Times Ext Roman"/>
        </w:rPr>
        <w:footnoteReference w:id="44"/>
      </w:r>
      <w:r w:rsidRPr="00DA3BC7">
        <w:rPr>
          <w:rFonts w:ascii="Times New Roman" w:hAnsi="Times New Roman" w:cs="Times Ext Roman"/>
        </w:rPr>
        <w:t>，這真是能開顯</w:t>
      </w:r>
      <w:r w:rsidRPr="00DA3BC7">
        <w:rPr>
          <w:rFonts w:ascii="Times New Roman" w:hAnsi="Times New Roman" w:cs="Times Ext Roman"/>
          <w:b/>
        </w:rPr>
        <w:t>事理的無礙</w:t>
      </w:r>
      <w:r w:rsidRPr="00DA3BC7">
        <w:rPr>
          <w:rFonts w:ascii="Times New Roman" w:hAnsi="Times New Roman" w:cs="Times Ext Roman"/>
        </w:rPr>
        <w:t>。</w:t>
      </w:r>
    </w:p>
    <w:p w:rsidR="00BD627A" w:rsidRDefault="00AF0EEA" w:rsidP="00AE3920">
      <w:pPr>
        <w:spacing w:beforeLines="20"/>
        <w:ind w:leftChars="250" w:left="600"/>
        <w:jc w:val="both"/>
        <w:rPr>
          <w:rFonts w:ascii="Times New Roman" w:hAnsi="Times New Roman" w:cs="Times Ext Roman"/>
        </w:rPr>
      </w:pPr>
      <w:r w:rsidRPr="00DA3BC7">
        <w:rPr>
          <w:rFonts w:ascii="Times New Roman" w:hAnsi="Times New Roman" w:cs="Times Ext Roman"/>
        </w:rPr>
        <w:t>如法則而偏於事相或偏於理性，或事理各有一套，這那裏能理會得事理的真相！</w:t>
      </w:r>
    </w:p>
    <w:p w:rsidR="00BD627A" w:rsidRDefault="00BD627A" w:rsidP="00AE3920">
      <w:pPr>
        <w:spacing w:beforeLines="30"/>
        <w:ind w:leftChars="250" w:left="600"/>
        <w:jc w:val="both"/>
        <w:rPr>
          <w:rFonts w:ascii="Times New Roman" w:hAnsi="Times New Roman" w:cs="Times Ext Roman"/>
          <w:b/>
          <w:color w:val="FF0000"/>
          <w:sz w:val="20"/>
          <w:bdr w:val="single" w:sz="4" w:space="0" w:color="auto"/>
        </w:rPr>
      </w:pPr>
      <w:r w:rsidRPr="00BD627A">
        <w:rPr>
          <w:rFonts w:ascii="Times New Roman" w:hAnsi="Times New Roman" w:cs="Times Ext Roman"/>
          <w:b/>
          <w:color w:val="FF0000"/>
          <w:sz w:val="20"/>
          <w:highlight w:val="yellow"/>
          <w:bdr w:val="single" w:sz="4" w:space="0" w:color="auto"/>
        </w:rPr>
        <w:t>（</w:t>
      </w:r>
      <w:r>
        <w:rPr>
          <w:rFonts w:ascii="Times New Roman" w:hAnsi="Times New Roman" w:cs="Times Ext Roman" w:hint="eastAsia"/>
          <w:b/>
          <w:color w:val="FF0000"/>
          <w:sz w:val="20"/>
          <w:highlight w:val="yellow"/>
          <w:bdr w:val="single" w:sz="4" w:space="0" w:color="auto"/>
        </w:rPr>
        <w:t>4</w:t>
      </w:r>
      <w:r w:rsidRPr="00BD627A">
        <w:rPr>
          <w:rFonts w:ascii="Times New Roman" w:hAnsi="Times New Roman" w:cs="Times Ext Roman"/>
          <w:b/>
          <w:color w:val="FF0000"/>
          <w:sz w:val="20"/>
          <w:highlight w:val="yellow"/>
          <w:bdr w:val="single" w:sz="4" w:space="0" w:color="auto"/>
        </w:rPr>
        <w:t>）</w:t>
      </w:r>
      <w:r>
        <w:rPr>
          <w:rFonts w:ascii="Times New Roman" w:hAnsi="Times New Roman" w:cs="Times Ext Roman" w:hint="eastAsia"/>
          <w:b/>
          <w:color w:val="FF0000"/>
          <w:sz w:val="20"/>
          <w:highlight w:val="yellow"/>
          <w:bdr w:val="single" w:sz="4" w:space="0" w:color="auto"/>
        </w:rPr>
        <w:t>結成</w:t>
      </w:r>
      <w:r w:rsidRPr="00DA3BC7">
        <w:rPr>
          <w:rFonts w:ascii="Times New Roman" w:hAnsi="Times New Roman" w:cs="Times Ext Roman" w:hint="eastAsia"/>
          <w:sz w:val="20"/>
        </w:rPr>
        <w:t>（</w:t>
      </w:r>
      <w:r>
        <w:rPr>
          <w:rFonts w:ascii="Times New Roman" w:hAnsi="Times New Roman" w:cs="Times Ext Roman" w:hint="eastAsia"/>
          <w:sz w:val="20"/>
        </w:rPr>
        <w:t>p</w:t>
      </w:r>
      <w:r w:rsidRPr="00DA3BC7">
        <w:rPr>
          <w:rFonts w:ascii="Times New Roman" w:hAnsi="Times New Roman" w:cs="Times Ext Roman" w:hint="eastAsia"/>
          <w:sz w:val="20"/>
        </w:rPr>
        <w:t>.7</w:t>
      </w:r>
      <w:r w:rsidRPr="00DA3BC7">
        <w:rPr>
          <w:rFonts w:ascii="Times New Roman" w:hAnsi="Times New Roman" w:cs="Times Ext Roman" w:hint="eastAsia"/>
          <w:sz w:val="20"/>
        </w:rPr>
        <w:t>）</w:t>
      </w:r>
    </w:p>
    <w:p w:rsidR="00AF0EEA" w:rsidRPr="00DA3BC7" w:rsidRDefault="00AF0EEA" w:rsidP="00110E14">
      <w:pPr>
        <w:ind w:leftChars="250" w:left="600"/>
        <w:jc w:val="both"/>
        <w:rPr>
          <w:rFonts w:ascii="Times New Roman" w:hAnsi="Times New Roman" w:cs="Times Ext Roman"/>
        </w:rPr>
      </w:pPr>
      <w:r w:rsidRPr="00DA3BC7">
        <w:rPr>
          <w:rFonts w:ascii="Times New Roman" w:hAnsi="Times New Roman" w:cs="Times Ext Roman"/>
        </w:rPr>
        <w:t>對於這，中觀能抉擇釋尊的中道，達到完成，使我們相信得這真是一切智者的正覺！</w:t>
      </w:r>
    </w:p>
    <w:p w:rsidR="00AF0EEA" w:rsidRPr="00DA3BC7" w:rsidRDefault="00BD627A" w:rsidP="00AE3920">
      <w:pPr>
        <w:spacing w:beforeLines="30"/>
        <w:ind w:leftChars="100" w:left="240"/>
        <w:jc w:val="both"/>
        <w:rPr>
          <w:rFonts w:ascii="Times New Roman" w:hAnsi="Times New Roman" w:cs="Times Ext Roman"/>
          <w:sz w:val="20"/>
          <w:bdr w:val="single" w:sz="4" w:space="0" w:color="auto"/>
        </w:rPr>
      </w:pPr>
      <w:r w:rsidRPr="00BD627A">
        <w:rPr>
          <w:rFonts w:ascii="Times New Roman" w:hAnsi="Times New Roman" w:cs="Times Ext Roman" w:hint="eastAsia"/>
          <w:b/>
          <w:color w:val="FF0000"/>
          <w:sz w:val="20"/>
          <w:highlight w:val="yellow"/>
          <w:bdr w:val="single" w:sz="4" w:space="0" w:color="auto"/>
        </w:rPr>
        <w:t>三、</w:t>
      </w:r>
      <w:r w:rsidR="00AF0EEA" w:rsidRPr="00DA3BC7">
        <w:rPr>
          <w:rFonts w:ascii="Times New Roman" w:hAnsi="Times New Roman" w:cs="Times Ext Roman"/>
          <w:b/>
          <w:sz w:val="20"/>
          <w:bdr w:val="single" w:sz="4" w:space="0" w:color="auto"/>
        </w:rPr>
        <w:t>悲智</w:t>
      </w:r>
      <w:r w:rsidR="00AF0EEA" w:rsidRPr="00DA3BC7">
        <w:rPr>
          <w:rFonts w:ascii="Times New Roman" w:hAnsi="Times New Roman"/>
          <w:b/>
          <w:sz w:val="20"/>
          <w:bdr w:val="single" w:sz="4" w:space="0" w:color="auto"/>
        </w:rPr>
        <w:t>圓融</w:t>
      </w:r>
      <w:r w:rsidR="00AF0EEA" w:rsidRPr="00DA3BC7">
        <w:rPr>
          <w:rStyle w:val="a6"/>
          <w:rFonts w:ascii="Times New Roman" w:hAnsi="Times New Roman"/>
        </w:rPr>
        <w:footnoteReference w:id="45"/>
      </w:r>
      <w:r w:rsidR="00AF0EEA" w:rsidRPr="00DA3BC7">
        <w:rPr>
          <w:rFonts w:ascii="Times New Roman" w:hAnsi="Times New Roman" w:cs="Times Ext Roman" w:hint="eastAsia"/>
          <w:sz w:val="20"/>
        </w:rPr>
        <w:t>（</w:t>
      </w:r>
      <w:r w:rsidR="00AF0EEA" w:rsidRPr="00DA3BC7">
        <w:rPr>
          <w:rFonts w:ascii="Times New Roman" w:hAnsi="Times New Roman" w:cs="Times Ext Roman" w:hint="eastAsia"/>
          <w:sz w:val="20"/>
        </w:rPr>
        <w:t>p</w:t>
      </w:r>
      <w:r w:rsidR="00DD55DB" w:rsidRPr="00DA3BC7">
        <w:rPr>
          <w:rFonts w:ascii="Times New Roman" w:hAnsi="Times New Roman" w:cs="Times Ext Roman" w:hint="eastAsia"/>
          <w:sz w:val="20"/>
        </w:rPr>
        <w:t>p.</w:t>
      </w:r>
      <w:r w:rsidR="00DD55DB" w:rsidRPr="00DD55DB">
        <w:rPr>
          <w:rFonts w:ascii="Times New Roman" w:hAnsi="Times New Roman" w:cs="Times Ext Roman" w:hint="eastAsia"/>
          <w:color w:val="FF0000"/>
          <w:sz w:val="20"/>
          <w:highlight w:val="yellow"/>
        </w:rPr>
        <w:t>a</w:t>
      </w:r>
      <w:r w:rsidR="00DD55DB" w:rsidRPr="00DA3BC7">
        <w:rPr>
          <w:rFonts w:ascii="Times New Roman" w:hAnsi="Times New Roman" w:cs="Times Ext Roman" w:hint="eastAsia"/>
          <w:sz w:val="20"/>
        </w:rPr>
        <w:t>7-</w:t>
      </w:r>
      <w:r w:rsidR="00DD55DB" w:rsidRPr="00DD55DB">
        <w:rPr>
          <w:rFonts w:ascii="Times New Roman" w:hAnsi="Times New Roman" w:cs="Times Ext Roman" w:hint="eastAsia"/>
          <w:color w:val="FF0000"/>
          <w:sz w:val="20"/>
          <w:highlight w:val="yellow"/>
        </w:rPr>
        <w:t>a</w:t>
      </w:r>
      <w:r w:rsidR="00DD55DB" w:rsidRPr="00DA3BC7">
        <w:rPr>
          <w:rFonts w:ascii="Times New Roman" w:hAnsi="Times New Roman" w:cs="Times Ext Roman" w:hint="eastAsia"/>
          <w:sz w:val="20"/>
        </w:rPr>
        <w:t>8</w:t>
      </w:r>
      <w:r w:rsidR="00AF0EEA" w:rsidRPr="00DA3BC7">
        <w:rPr>
          <w:rFonts w:ascii="Times New Roman" w:hAnsi="Times New Roman" w:cs="Times Ext Roman" w:hint="eastAsia"/>
          <w:sz w:val="20"/>
        </w:rPr>
        <w:t>）</w:t>
      </w:r>
    </w:p>
    <w:p w:rsidR="00110E14" w:rsidRDefault="00BD627A" w:rsidP="00110E14">
      <w:pPr>
        <w:ind w:leftChars="150" w:left="360"/>
        <w:jc w:val="both"/>
        <w:rPr>
          <w:rFonts w:ascii="Times New Roman" w:hAnsi="Times New Roman" w:cs="Times Ext Roman"/>
          <w:sz w:val="20"/>
        </w:rPr>
      </w:pPr>
      <w:r w:rsidRPr="00BD627A">
        <w:rPr>
          <w:rFonts w:ascii="Times New Roman" w:hAnsi="Times New Roman" w:cs="Times Ext Roman" w:hint="eastAsia"/>
          <w:b/>
          <w:color w:val="FF0000"/>
          <w:sz w:val="20"/>
          <w:highlight w:val="yellow"/>
          <w:bdr w:val="single" w:sz="4" w:space="0" w:color="auto"/>
        </w:rPr>
        <w:t>（一）</w:t>
      </w:r>
      <w:r w:rsidRPr="00DA3BC7">
        <w:rPr>
          <w:rFonts w:ascii="Times New Roman" w:hAnsi="Times New Roman" w:cs="Times Ext Roman" w:hint="eastAsia"/>
          <w:b/>
          <w:sz w:val="20"/>
          <w:bdr w:val="single" w:sz="4" w:space="0" w:color="auto"/>
        </w:rPr>
        <w:t>總標</w:t>
      </w:r>
      <w:r w:rsidRPr="00DA3BC7">
        <w:rPr>
          <w:rFonts w:ascii="Times New Roman" w:hAnsi="Times New Roman" w:cs="Times Ext Roman" w:hint="eastAsia"/>
          <w:sz w:val="20"/>
        </w:rPr>
        <w:t>（</w:t>
      </w:r>
      <w:r w:rsidR="00DD55DB">
        <w:rPr>
          <w:rFonts w:ascii="Times New Roman" w:hAnsi="Times New Roman" w:cs="Times Ext Roman"/>
          <w:sz w:val="20"/>
        </w:rPr>
        <w:t>p.</w:t>
      </w:r>
      <w:r w:rsidR="00DD55DB">
        <w:rPr>
          <w:rFonts w:ascii="Times New Roman" w:hAnsi="Times New Roman" w:cs="Times Ext Roman"/>
          <w:color w:val="FF0000"/>
          <w:sz w:val="20"/>
          <w:highlight w:val="yellow"/>
        </w:rPr>
        <w:t>a</w:t>
      </w:r>
      <w:r w:rsidRPr="00DA3BC7">
        <w:rPr>
          <w:rFonts w:ascii="Times New Roman" w:hAnsi="Times New Roman" w:cs="Times Ext Roman" w:hint="eastAsia"/>
          <w:sz w:val="20"/>
        </w:rPr>
        <w:t>7</w:t>
      </w:r>
      <w:r w:rsidRPr="00DA3BC7">
        <w:rPr>
          <w:rFonts w:ascii="Times New Roman" w:hAnsi="Times New Roman" w:cs="Times Ext Roman" w:hint="eastAsia"/>
          <w:sz w:val="20"/>
        </w:rPr>
        <w:t>）</w:t>
      </w:r>
    </w:p>
    <w:p w:rsidR="00AF0EEA" w:rsidRPr="00DA3BC7" w:rsidRDefault="00AF0EEA" w:rsidP="00110E14">
      <w:pPr>
        <w:ind w:leftChars="150" w:left="360"/>
        <w:jc w:val="both"/>
        <w:rPr>
          <w:rFonts w:ascii="Times New Roman" w:hAnsi="Times New Roman" w:cs="Times Ext Roman"/>
        </w:rPr>
      </w:pPr>
      <w:r w:rsidRPr="00DA3BC7">
        <w:rPr>
          <w:rFonts w:ascii="Times New Roman" w:hAnsi="Times New Roman" w:cs="Times Ext Roman"/>
        </w:rPr>
        <w:t>智慧與慈悲，為佛法的宗本，而同基於緣起的正覺。</w:t>
      </w:r>
    </w:p>
    <w:p w:rsidR="00AF0EEA" w:rsidRPr="00DA3BC7" w:rsidRDefault="00BD627A" w:rsidP="00AE3920">
      <w:pPr>
        <w:spacing w:beforeLines="30"/>
        <w:ind w:leftChars="150" w:left="360"/>
        <w:jc w:val="both"/>
        <w:rPr>
          <w:rFonts w:ascii="Times New Roman" w:hAnsi="Times New Roman" w:cs="Times Ext Roman"/>
          <w:b/>
          <w:sz w:val="20"/>
          <w:bdr w:val="single" w:sz="4" w:space="0" w:color="auto"/>
        </w:rPr>
      </w:pPr>
      <w:r w:rsidRPr="00BD627A">
        <w:rPr>
          <w:rFonts w:ascii="Times New Roman" w:hAnsi="Times New Roman" w:cs="Times Ext Roman" w:hint="eastAsia"/>
          <w:b/>
          <w:color w:val="FF0000"/>
          <w:sz w:val="20"/>
          <w:highlight w:val="yellow"/>
          <w:bdr w:val="single" w:sz="4" w:space="0" w:color="auto"/>
        </w:rPr>
        <w:t>（</w:t>
      </w:r>
      <w:r>
        <w:rPr>
          <w:rFonts w:ascii="Times New Roman" w:hAnsi="Times New Roman" w:cs="Times Ext Roman" w:hint="eastAsia"/>
          <w:b/>
          <w:color w:val="FF0000"/>
          <w:sz w:val="20"/>
          <w:highlight w:val="yellow"/>
          <w:bdr w:val="single" w:sz="4" w:space="0" w:color="auto"/>
        </w:rPr>
        <w:t>二</w:t>
      </w:r>
      <w:r w:rsidRPr="00BD627A">
        <w:rPr>
          <w:rFonts w:ascii="Times New Roman" w:hAnsi="Times New Roman" w:cs="Times Ext Roman" w:hint="eastAsia"/>
          <w:b/>
          <w:color w:val="FF0000"/>
          <w:sz w:val="20"/>
          <w:highlight w:val="yellow"/>
          <w:bdr w:val="single" w:sz="4" w:space="0" w:color="auto"/>
        </w:rPr>
        <w:t>）</w:t>
      </w:r>
      <w:r w:rsidR="00AF0EEA" w:rsidRPr="00DA3BC7">
        <w:rPr>
          <w:rFonts w:ascii="Times New Roman" w:hAnsi="Times New Roman" w:cs="Times Ext Roman" w:hint="eastAsia"/>
          <w:b/>
          <w:sz w:val="20"/>
          <w:bdr w:val="single" w:sz="4" w:space="0" w:color="auto"/>
        </w:rPr>
        <w:t>別釋</w:t>
      </w:r>
      <w:r w:rsidR="00AF0EEA" w:rsidRPr="00DA3BC7">
        <w:rPr>
          <w:rFonts w:ascii="Times New Roman" w:hAnsi="Times New Roman" w:cs="Times Ext Roman" w:hint="eastAsia"/>
          <w:sz w:val="20"/>
        </w:rPr>
        <w:t>（</w:t>
      </w:r>
      <w:r w:rsidR="00AF0EEA" w:rsidRPr="00DA3BC7">
        <w:rPr>
          <w:rFonts w:ascii="Times New Roman" w:hAnsi="Times New Roman" w:cs="Times Ext Roman" w:hint="eastAsia"/>
          <w:sz w:val="20"/>
        </w:rPr>
        <w:t>pp.</w:t>
      </w:r>
      <w:r w:rsidR="00DD55DB" w:rsidRPr="00DD55DB">
        <w:rPr>
          <w:rFonts w:ascii="Times New Roman" w:hAnsi="Times New Roman" w:cs="Times Ext Roman" w:hint="eastAsia"/>
          <w:color w:val="FF0000"/>
          <w:sz w:val="20"/>
          <w:highlight w:val="yellow"/>
        </w:rPr>
        <w:t xml:space="preserve"> a</w:t>
      </w:r>
      <w:r w:rsidR="00DD55DB" w:rsidRPr="00DA3BC7">
        <w:rPr>
          <w:rFonts w:ascii="Times New Roman" w:hAnsi="Times New Roman" w:cs="Times Ext Roman" w:hint="eastAsia"/>
          <w:sz w:val="20"/>
        </w:rPr>
        <w:t>7-</w:t>
      </w:r>
      <w:r w:rsidR="00DD55DB" w:rsidRPr="00DD55DB">
        <w:rPr>
          <w:rFonts w:ascii="Times New Roman" w:hAnsi="Times New Roman" w:cs="Times Ext Roman" w:hint="eastAsia"/>
          <w:color w:val="FF0000"/>
          <w:sz w:val="20"/>
          <w:highlight w:val="yellow"/>
        </w:rPr>
        <w:t>a</w:t>
      </w:r>
      <w:r w:rsidR="00DD55DB" w:rsidRPr="00DA3BC7">
        <w:rPr>
          <w:rFonts w:ascii="Times New Roman" w:hAnsi="Times New Roman" w:cs="Times Ext Roman" w:hint="eastAsia"/>
          <w:sz w:val="20"/>
        </w:rPr>
        <w:t>8</w:t>
      </w:r>
      <w:r w:rsidR="00AF0EEA" w:rsidRPr="00DA3BC7">
        <w:rPr>
          <w:rFonts w:ascii="Times New Roman" w:hAnsi="Times New Roman" w:cs="Times Ext Roman" w:hint="eastAsia"/>
          <w:sz w:val="20"/>
        </w:rPr>
        <w:t>）</w:t>
      </w:r>
    </w:p>
    <w:p w:rsidR="00AF0EEA" w:rsidRPr="00DA3BC7" w:rsidRDefault="00BD627A" w:rsidP="00B16A72">
      <w:pPr>
        <w:ind w:leftChars="200" w:left="480"/>
        <w:jc w:val="both"/>
        <w:rPr>
          <w:rFonts w:ascii="Times New Roman" w:hAnsi="Times New Roman" w:cs="Times Ext Roman"/>
          <w:sz w:val="20"/>
          <w:bdr w:val="single" w:sz="4" w:space="0" w:color="auto"/>
        </w:rPr>
      </w:pPr>
      <w:r w:rsidRPr="00BD627A">
        <w:rPr>
          <w:rFonts w:ascii="Times New Roman" w:hAnsi="Times New Roman" w:cs="Times Ext Roman" w:hint="eastAsia"/>
          <w:b/>
          <w:color w:val="FF0000"/>
          <w:sz w:val="20"/>
          <w:highlight w:val="yellow"/>
          <w:bdr w:val="single" w:sz="4" w:space="0" w:color="auto"/>
        </w:rPr>
        <w:t>1</w:t>
      </w:r>
      <w:r w:rsidRPr="00BD627A">
        <w:rPr>
          <w:rFonts w:ascii="Times New Roman" w:hAnsi="Times New Roman" w:cs="Times Ext Roman" w:hint="eastAsia"/>
          <w:b/>
          <w:color w:val="FF0000"/>
          <w:sz w:val="20"/>
          <w:highlight w:val="yellow"/>
          <w:bdr w:val="single" w:sz="4" w:space="0" w:color="auto"/>
        </w:rPr>
        <w:t>、</w:t>
      </w:r>
      <w:r w:rsidR="00AF0EEA" w:rsidRPr="00DA3BC7">
        <w:rPr>
          <w:rFonts w:ascii="Times New Roman" w:hAnsi="Times New Roman" w:cs="Times Ext Roman"/>
          <w:b/>
          <w:sz w:val="20"/>
          <w:bdr w:val="single" w:sz="4" w:space="0" w:color="auto"/>
        </w:rPr>
        <w:t>從智慧（真）說</w:t>
      </w:r>
      <w:r w:rsidR="00AF0EEA" w:rsidRPr="00DA3BC7">
        <w:rPr>
          <w:rFonts w:ascii="Times New Roman" w:hAnsi="Times New Roman" w:cs="Times Ext Roman" w:hint="eastAsia"/>
          <w:sz w:val="20"/>
        </w:rPr>
        <w:t>（</w:t>
      </w:r>
      <w:r w:rsidR="00AF0EEA" w:rsidRPr="00DA3BC7">
        <w:rPr>
          <w:rFonts w:ascii="Times New Roman" w:hAnsi="Times New Roman" w:cs="Times Ext Roman" w:hint="eastAsia"/>
          <w:sz w:val="20"/>
        </w:rPr>
        <w:t>p</w:t>
      </w:r>
      <w:r w:rsidR="00DD55DB" w:rsidRPr="00DA3BC7">
        <w:rPr>
          <w:rFonts w:ascii="Times New Roman" w:hAnsi="Times New Roman" w:cs="Times Ext Roman" w:hint="eastAsia"/>
          <w:sz w:val="20"/>
        </w:rPr>
        <w:t>p.</w:t>
      </w:r>
      <w:r w:rsidR="00DD55DB" w:rsidRPr="00DD55DB">
        <w:rPr>
          <w:rFonts w:ascii="Times New Roman" w:hAnsi="Times New Roman" w:cs="Times Ext Roman" w:hint="eastAsia"/>
          <w:color w:val="FF0000"/>
          <w:sz w:val="20"/>
          <w:highlight w:val="yellow"/>
        </w:rPr>
        <w:t>a</w:t>
      </w:r>
      <w:r w:rsidR="00AF0EEA" w:rsidRPr="00DA3BC7">
        <w:rPr>
          <w:rFonts w:ascii="Times New Roman" w:hAnsi="Times New Roman" w:cs="Times Ext Roman" w:hint="eastAsia"/>
          <w:sz w:val="20"/>
        </w:rPr>
        <w:t>7-</w:t>
      </w:r>
      <w:r w:rsidR="00DD55DB" w:rsidRPr="00DD55DB">
        <w:rPr>
          <w:rFonts w:ascii="Times New Roman" w:hAnsi="Times New Roman" w:cs="Times Ext Roman" w:hint="eastAsia"/>
          <w:color w:val="FF0000"/>
          <w:sz w:val="20"/>
          <w:highlight w:val="yellow"/>
        </w:rPr>
        <w:t>a</w:t>
      </w:r>
      <w:r w:rsidR="00AF0EEA" w:rsidRPr="00DA3BC7">
        <w:rPr>
          <w:rFonts w:ascii="Times New Roman" w:hAnsi="Times New Roman" w:cs="Times Ext Roman" w:hint="eastAsia"/>
          <w:sz w:val="20"/>
        </w:rPr>
        <w:t>8</w:t>
      </w:r>
      <w:r w:rsidR="00AF0EEA" w:rsidRPr="00DA3BC7">
        <w:rPr>
          <w:rFonts w:ascii="Times New Roman" w:hAnsi="Times New Roman" w:cs="Times Ext Roman" w:hint="eastAsia"/>
          <w:sz w:val="20"/>
        </w:rPr>
        <w:t>）</w:t>
      </w:r>
    </w:p>
    <w:p w:rsidR="00AF0EEA" w:rsidRPr="00DA3BC7" w:rsidRDefault="00AF0EEA" w:rsidP="00110E14">
      <w:pPr>
        <w:ind w:leftChars="200" w:left="480"/>
        <w:jc w:val="both"/>
        <w:rPr>
          <w:rFonts w:ascii="Times New Roman" w:hAnsi="Times New Roman" w:cs="Times Ext Roman"/>
        </w:rPr>
      </w:pPr>
      <w:r w:rsidRPr="00DA3BC7">
        <w:rPr>
          <w:rFonts w:ascii="Times New Roman" w:hAnsi="Times New Roman" w:cs="Times Ext Roman"/>
        </w:rPr>
        <w:t>一切是緣起的存在，展轉相依，剎那流變，即是無我的緣起。</w:t>
      </w:r>
    </w:p>
    <w:p w:rsidR="00AF0EEA" w:rsidRPr="00DA3BC7" w:rsidRDefault="00AF0EEA" w:rsidP="00110E14">
      <w:pPr>
        <w:ind w:leftChars="200" w:left="480"/>
        <w:jc w:val="both"/>
        <w:rPr>
          <w:rFonts w:ascii="Times New Roman" w:hAnsi="Times New Roman" w:cs="Times Ext Roman"/>
        </w:rPr>
      </w:pPr>
      <w:r w:rsidRPr="00DA3BC7">
        <w:rPr>
          <w:rFonts w:ascii="Times New Roman" w:hAnsi="Times New Roman" w:cs="Times Ext Roman"/>
        </w:rPr>
        <w:t>無我，即否定</w:t>
      </w:r>
      <w:r w:rsidRPr="00DA3BC7">
        <w:rPr>
          <w:rFonts w:ascii="Times New Roman" w:hAnsi="Times New Roman" w:cs="Times Ext Roman"/>
          <w:b/>
        </w:rPr>
        <w:t>實在性</w:t>
      </w:r>
      <w:r w:rsidRPr="00DA3BC7">
        <w:rPr>
          <w:rFonts w:ascii="Times New Roman" w:hAnsi="Times New Roman" w:cs="Times Ext Roman"/>
        </w:rPr>
        <w:t>及所含攝得的</w:t>
      </w:r>
      <w:r w:rsidRPr="00DA3BC7">
        <w:rPr>
          <w:rFonts w:ascii="Times New Roman" w:hAnsi="Times New Roman" w:cs="Times Ext Roman"/>
          <w:b/>
        </w:rPr>
        <w:t>不變性</w:t>
      </w:r>
      <w:r w:rsidRPr="00DA3BC7">
        <w:rPr>
          <w:rFonts w:ascii="Times New Roman" w:hAnsi="Times New Roman" w:cs="Times Ext Roman"/>
        </w:rPr>
        <w:t>與</w:t>
      </w:r>
      <w:r w:rsidRPr="00DA3BC7">
        <w:rPr>
          <w:rFonts w:ascii="Times New Roman" w:hAnsi="Times New Roman" w:cs="Times Ext Roman"/>
          <w:b/>
        </w:rPr>
        <w:t>獨存性</w:t>
      </w:r>
      <w:r w:rsidRPr="00DA3BC7">
        <w:rPr>
          <w:rFonts w:ascii="Times New Roman" w:hAnsi="Times New Roman" w:cs="Times Ext Roman"/>
        </w:rPr>
        <w:t>。</w:t>
      </w:r>
    </w:p>
    <w:p w:rsidR="00AF0EEA" w:rsidRPr="00DA3BC7" w:rsidRDefault="00AF0EEA" w:rsidP="00110E14">
      <w:pPr>
        <w:ind w:leftChars="200" w:left="480"/>
        <w:jc w:val="both"/>
        <w:rPr>
          <w:rFonts w:ascii="Times New Roman" w:hAnsi="Times New Roman" w:cs="Times Ext Roman"/>
        </w:rPr>
      </w:pPr>
      <w:r w:rsidRPr="00DA3BC7">
        <w:rPr>
          <w:rFonts w:ascii="Times New Roman" w:hAnsi="Times New Roman" w:cs="Times Ext Roman"/>
        </w:rPr>
        <w:t>宇宙的一切，沒有這樣的存在，所以否認創造神，也應該否定絕對理性或絕對精神等形而上的任何實在自體。</w:t>
      </w:r>
    </w:p>
    <w:p w:rsidR="00AF0EEA" w:rsidRPr="00DA3BC7" w:rsidRDefault="00AF0EEA" w:rsidP="00AE3920">
      <w:pPr>
        <w:spacing w:beforeLines="20"/>
        <w:ind w:leftChars="200" w:left="480"/>
        <w:jc w:val="both"/>
        <w:rPr>
          <w:rFonts w:ascii="Times New Roman" w:hAnsi="Times New Roman" w:cs="Times Ext Roman"/>
        </w:rPr>
      </w:pPr>
      <w:r w:rsidRPr="00DA3BC7">
        <w:rPr>
          <w:rFonts w:ascii="Times New Roman" w:hAnsi="Times New Roman" w:cs="Times Ext Roman"/>
        </w:rPr>
        <w:lastRenderedPageBreak/>
        <w:t>唯神、唯我、唯理、唯心，這些，都根源於錯覺</w:t>
      </w:r>
      <w:r w:rsidRPr="00DA3BC7">
        <w:rPr>
          <w:rFonts w:ascii="新細明體" w:hAnsi="新細明體" w:cs="Times Ext Roman"/>
        </w:rPr>
        <w:t>──</w:t>
      </w:r>
      <w:r w:rsidRPr="00DA3BC7">
        <w:rPr>
          <w:rFonts w:ascii="Times New Roman" w:hAnsi="Times New Roman" w:cs="Times Ext Roman"/>
        </w:rPr>
        <w:t>自性見的不同構想，本質並沒有差別。</w:t>
      </w:r>
    </w:p>
    <w:p w:rsidR="00AF0EEA" w:rsidRPr="00DA3BC7" w:rsidRDefault="00AF0EEA" w:rsidP="00AE3920">
      <w:pPr>
        <w:spacing w:beforeLines="20"/>
        <w:ind w:leftChars="200" w:left="480"/>
        <w:jc w:val="both"/>
        <w:rPr>
          <w:rFonts w:ascii="Times New Roman" w:hAnsi="Times New Roman" w:cs="Times Ext Roman"/>
        </w:rPr>
      </w:pPr>
      <w:r w:rsidRPr="00DA3BC7">
        <w:rPr>
          <w:rFonts w:ascii="Times New Roman" w:hAnsi="Times New Roman" w:cs="Times Ext Roman"/>
        </w:rPr>
        <w:t>緣起無我（空）的中觀，徹底否定這些，這才悟了一切是</w:t>
      </w:r>
      <w:r w:rsidRPr="00DA3BC7">
        <w:rPr>
          <w:rFonts w:ascii="Times New Roman" w:hAnsi="Times New Roman" w:cs="Times Ext Roman"/>
          <w:b/>
        </w:rPr>
        <w:t>相對的</w:t>
      </w:r>
      <w:r w:rsidRPr="00DA3BC7">
        <w:rPr>
          <w:rFonts w:ascii="Times New Roman" w:hAnsi="Times New Roman" w:cs="Times Ext Roman" w:hint="eastAsia"/>
          <w:b/>
        </w:rPr>
        <w:t>、</w:t>
      </w:r>
      <w:r w:rsidRPr="00DA3BC7">
        <w:rPr>
          <w:rFonts w:ascii="Times New Roman" w:hAnsi="Times New Roman" w:cs="Times Ext Roman"/>
          <w:b/>
        </w:rPr>
        <w:t>依存的</w:t>
      </w:r>
      <w:r w:rsidRPr="00DA3BC7">
        <w:rPr>
          <w:rFonts w:ascii="Times New Roman" w:hAnsi="Times New Roman" w:cs="Times Ext Roman" w:hint="eastAsia"/>
          <w:b/>
        </w:rPr>
        <w:t>、</w:t>
      </w:r>
      <w:r w:rsidRPr="00DA3BC7">
        <w:rPr>
          <w:rFonts w:ascii="Times New Roman" w:hAnsi="Times New Roman" w:cs="Times Ext Roman"/>
          <w:b/>
        </w:rPr>
        <w:t>流變的</w:t>
      </w:r>
      <w:r w:rsidRPr="00DA3BC7">
        <w:rPr>
          <w:rFonts w:ascii="Times New Roman" w:hAnsi="Times New Roman" w:cs="Times Ext Roman"/>
        </w:rPr>
        <w:t>存在。</w:t>
      </w:r>
      <w:r w:rsidRPr="00DA3BC7">
        <w:rPr>
          <w:rStyle w:val="a6"/>
          <w:rFonts w:ascii="Times New Roman" w:hAnsi="Times New Roman" w:cs="Times Ext Roman"/>
        </w:rPr>
        <w:footnoteReference w:id="46"/>
      </w:r>
    </w:p>
    <w:p w:rsidR="00AF0EEA" w:rsidRPr="00DA3BC7" w:rsidRDefault="00AF0EEA" w:rsidP="00AE3920">
      <w:pPr>
        <w:spacing w:beforeLines="20"/>
        <w:ind w:leftChars="200" w:left="480"/>
        <w:jc w:val="both"/>
        <w:rPr>
          <w:rFonts w:ascii="Times New Roman" w:hAnsi="Times New Roman" w:cs="Times Ext Roman"/>
        </w:rPr>
      </w:pPr>
      <w:r w:rsidRPr="00DA3BC7">
        <w:rPr>
          <w:rFonts w:ascii="Times New Roman" w:hAnsi="Times New Roman" w:cs="Times Ext Roman"/>
        </w:rPr>
        <w:t>相對的存在</w:t>
      </w:r>
      <w:r w:rsidRPr="00DA3BC7">
        <w:rPr>
          <w:rFonts w:ascii="新細明體" w:hAnsi="新細明體" w:cs="Times Ext Roman"/>
        </w:rPr>
        <w:t>──</w:t>
      </w:r>
      <w:r w:rsidRPr="00DA3BC7">
        <w:rPr>
          <w:rFonts w:ascii="Times New Roman" w:hAnsi="Times New Roman" w:cs="Times Ext Roman"/>
        </w:rPr>
        <w:t>假有，為人類所能經驗到的，極無自性而宛然</w:t>
      </w:r>
      <w:r w:rsidRPr="00DA3BC7">
        <w:rPr>
          <w:rStyle w:val="a6"/>
          <w:rFonts w:ascii="Times New Roman" w:hAnsi="Times New Roman" w:cs="Times Ext Roman"/>
        </w:rPr>
        <w:footnoteReference w:id="47"/>
      </w:r>
      <w:r w:rsidRPr="00DA3BC7">
        <w:rPr>
          <w:rFonts w:ascii="Times New Roman" w:hAnsi="Times New Roman" w:cs="Times Ext Roman"/>
        </w:rPr>
        <w:t>現前的不能想像有什麼實體，但也不能抹煞這現實的一切。</w:t>
      </w:r>
    </w:p>
    <w:p w:rsidR="00AF0EEA" w:rsidRPr="00DA3BC7" w:rsidRDefault="00BD627A" w:rsidP="00AE3920">
      <w:pPr>
        <w:spacing w:beforeLines="30"/>
        <w:ind w:leftChars="200" w:left="480"/>
        <w:jc w:val="both"/>
        <w:rPr>
          <w:rFonts w:ascii="Times New Roman" w:hAnsi="Times New Roman" w:cs="Times Ext Roman"/>
          <w:sz w:val="20"/>
          <w:bdr w:val="single" w:sz="4" w:space="0" w:color="auto"/>
        </w:rPr>
      </w:pPr>
      <w:r w:rsidRPr="00BD627A">
        <w:rPr>
          <w:rFonts w:ascii="Times New Roman" w:hAnsi="Times New Roman" w:cs="Times Ext Roman" w:hint="eastAsia"/>
          <w:b/>
          <w:color w:val="FF0000"/>
          <w:sz w:val="20"/>
          <w:highlight w:val="yellow"/>
          <w:bdr w:val="single" w:sz="4" w:space="0" w:color="auto"/>
        </w:rPr>
        <w:t>2</w:t>
      </w:r>
      <w:r w:rsidRPr="00BD627A">
        <w:rPr>
          <w:rFonts w:ascii="Times New Roman" w:hAnsi="Times New Roman" w:cs="Times Ext Roman" w:hint="eastAsia"/>
          <w:b/>
          <w:color w:val="FF0000"/>
          <w:sz w:val="20"/>
          <w:highlight w:val="yellow"/>
          <w:bdr w:val="single" w:sz="4" w:space="0" w:color="auto"/>
        </w:rPr>
        <w:t>、</w:t>
      </w:r>
      <w:r w:rsidR="00AF0EEA" w:rsidRPr="00DA3BC7">
        <w:rPr>
          <w:rFonts w:ascii="Times New Roman" w:hAnsi="Times New Roman" w:cs="Times Ext Roman"/>
          <w:b/>
          <w:sz w:val="20"/>
          <w:bdr w:val="single" w:sz="4" w:space="0" w:color="auto"/>
        </w:rPr>
        <w:t>從德行（善）說</w:t>
      </w:r>
      <w:r w:rsidR="00AF0EEA" w:rsidRPr="00DA3BC7">
        <w:rPr>
          <w:rFonts w:ascii="Times New Roman" w:hAnsi="Times New Roman" w:cs="Times Ext Roman" w:hint="eastAsia"/>
          <w:sz w:val="20"/>
        </w:rPr>
        <w:t>（</w:t>
      </w:r>
      <w:r w:rsidR="00DD55DB" w:rsidRPr="00DA3BC7">
        <w:rPr>
          <w:rFonts w:ascii="Times New Roman" w:hAnsi="Times New Roman" w:cs="Times Ext Roman" w:hint="eastAsia"/>
          <w:sz w:val="20"/>
        </w:rPr>
        <w:t>p.</w:t>
      </w:r>
      <w:r w:rsidR="00DD55DB" w:rsidRPr="00DD55DB">
        <w:rPr>
          <w:rFonts w:ascii="Times New Roman" w:hAnsi="Times New Roman" w:cs="Times Ext Roman" w:hint="eastAsia"/>
          <w:color w:val="FF0000"/>
          <w:sz w:val="20"/>
          <w:highlight w:val="yellow"/>
        </w:rPr>
        <w:t>a</w:t>
      </w:r>
      <w:r w:rsidR="00AF0EEA" w:rsidRPr="00DA3BC7">
        <w:rPr>
          <w:rFonts w:ascii="Times New Roman" w:hAnsi="Times New Roman" w:cs="Times Ext Roman" w:hint="eastAsia"/>
          <w:sz w:val="20"/>
        </w:rPr>
        <w:t>8</w:t>
      </w:r>
      <w:r w:rsidR="00AF0EEA" w:rsidRPr="00DA3BC7">
        <w:rPr>
          <w:rFonts w:ascii="Times New Roman" w:hAnsi="Times New Roman" w:cs="Times Ext Roman" w:hint="eastAsia"/>
          <w:sz w:val="20"/>
        </w:rPr>
        <w:t>）</w:t>
      </w:r>
    </w:p>
    <w:p w:rsidR="00AF0EEA" w:rsidRPr="00DA3BC7" w:rsidRDefault="00AF0EEA" w:rsidP="00110E14">
      <w:pPr>
        <w:ind w:leftChars="200" w:left="480"/>
        <w:jc w:val="both"/>
        <w:rPr>
          <w:rFonts w:ascii="Times New Roman" w:hAnsi="Times New Roman" w:cs="Times Ext Roman"/>
        </w:rPr>
      </w:pPr>
      <w:r w:rsidRPr="00DA3BC7">
        <w:rPr>
          <w:rFonts w:ascii="Times New Roman" w:hAnsi="Times New Roman" w:cs="Times Ext Roman"/>
        </w:rPr>
        <w:t>緣起是無我的，人生為</w:t>
      </w:r>
      <w:r w:rsidRPr="00DA3BC7">
        <w:rPr>
          <w:rFonts w:ascii="Times New Roman" w:hAnsi="Times New Roman" w:cs="Times Ext Roman"/>
          <w:b/>
        </w:rPr>
        <w:t>身心依存</w:t>
      </w:r>
      <w:r w:rsidRPr="00DA3BC7">
        <w:rPr>
          <w:rFonts w:ascii="Times New Roman" w:hAnsi="Times New Roman" w:cs="Times Ext Roman"/>
        </w:rPr>
        <w:t>的</w:t>
      </w:r>
      <w:r w:rsidRPr="00DA3BC7">
        <w:rPr>
          <w:rFonts w:ascii="Times New Roman" w:hAnsi="Times New Roman" w:cs="Times Ext Roman"/>
          <w:b/>
        </w:rPr>
        <w:t>相續流</w:t>
      </w:r>
      <w:r w:rsidRPr="00DA3BC7">
        <w:rPr>
          <w:rFonts w:ascii="Times New Roman" w:hAnsi="Times New Roman" w:cs="Times Ext Roman"/>
        </w:rPr>
        <w:t>，也是</w:t>
      </w:r>
      <w:r w:rsidRPr="00DA3BC7">
        <w:rPr>
          <w:rFonts w:ascii="Times New Roman" w:hAnsi="Times New Roman" w:cs="Times Ext Roman"/>
          <w:b/>
        </w:rPr>
        <w:t>自他依存</w:t>
      </w:r>
      <w:r w:rsidRPr="00DA3BC7">
        <w:rPr>
          <w:rFonts w:ascii="Times New Roman" w:hAnsi="Times New Roman" w:cs="Times Ext Roman"/>
        </w:rPr>
        <w:t>的</w:t>
      </w:r>
      <w:r w:rsidRPr="00DA3BC7">
        <w:rPr>
          <w:rFonts w:ascii="Times New Roman" w:hAnsi="Times New Roman" w:cs="Times Ext Roman"/>
          <w:b/>
        </w:rPr>
        <w:t>和合眾</w:t>
      </w:r>
      <w:r w:rsidRPr="00DA3BC7">
        <w:rPr>
          <w:rFonts w:ascii="Times New Roman" w:hAnsi="Times New Roman" w:cs="Times Ext Roman"/>
        </w:rPr>
        <w:t>。</w:t>
      </w:r>
    </w:p>
    <w:p w:rsidR="00AF0EEA" w:rsidRPr="00DA3BC7" w:rsidRDefault="00AF0EEA" w:rsidP="00110E14">
      <w:pPr>
        <w:ind w:leftChars="200" w:left="480"/>
        <w:jc w:val="both"/>
        <w:rPr>
          <w:rFonts w:ascii="Times New Roman" w:hAnsi="Times New Roman" w:cs="Times Ext Roman"/>
        </w:rPr>
      </w:pPr>
      <w:r w:rsidRPr="00DA3BC7">
        <w:rPr>
          <w:rFonts w:ascii="Times New Roman" w:hAnsi="Times New Roman" w:cs="Times Ext Roman"/>
        </w:rPr>
        <w:t>佛法不否認相對的個性，而一般強烈的自我實在感</w:t>
      </w:r>
      <w:r w:rsidRPr="00DA3BC7">
        <w:rPr>
          <w:rFonts w:ascii="新細明體" w:hAnsi="新細明體" w:cs="Times Ext Roman"/>
        </w:rPr>
        <w:t>──</w:t>
      </w:r>
      <w:r w:rsidRPr="00DA3BC7">
        <w:rPr>
          <w:rFonts w:ascii="Times New Roman" w:hAnsi="Times New Roman" w:cs="Times Ext Roman"/>
        </w:rPr>
        <w:t>含攝得</w:t>
      </w:r>
      <w:r w:rsidRPr="00DA3BC7">
        <w:rPr>
          <w:rFonts w:ascii="Times New Roman" w:hAnsi="Times New Roman" w:cs="Times Ext Roman"/>
          <w:b/>
        </w:rPr>
        <w:t>不變</w:t>
      </w:r>
      <w:r w:rsidRPr="00DA3BC7">
        <w:rPr>
          <w:rFonts w:ascii="Times New Roman" w:hAnsi="Times New Roman" w:cs="Times Ext Roman"/>
        </w:rPr>
        <w:t>、</w:t>
      </w:r>
      <w:r w:rsidRPr="00DA3BC7">
        <w:rPr>
          <w:rFonts w:ascii="Times New Roman" w:hAnsi="Times New Roman" w:cs="Times Ext Roman"/>
          <w:b/>
        </w:rPr>
        <w:t>獨存</w:t>
      </w:r>
      <w:r w:rsidRPr="00DA3BC7">
        <w:rPr>
          <w:rFonts w:ascii="Times New Roman" w:hAnsi="Times New Roman" w:cs="Times Ext Roman"/>
        </w:rPr>
        <w:t>、</w:t>
      </w:r>
      <w:r w:rsidRPr="00DA3BC7">
        <w:rPr>
          <w:rFonts w:ascii="Times New Roman" w:hAnsi="Times New Roman" w:cs="Times Ext Roman"/>
          <w:b/>
        </w:rPr>
        <w:t>主宰</w:t>
      </w:r>
      <w:r w:rsidRPr="00DA3BC7">
        <w:rPr>
          <w:rFonts w:ascii="新細明體" w:hAnsi="新細明體" w:cs="Times Ext Roman"/>
        </w:rPr>
        <w:t>──</w:t>
      </w:r>
      <w:r w:rsidRPr="00DA3BC7">
        <w:rPr>
          <w:rFonts w:ascii="Times New Roman" w:hAnsi="Times New Roman" w:cs="Times Ext Roman"/>
        </w:rPr>
        <w:t>即神我論者的自由意志，是根本錯誤，是思想與行為的罪惡根源。</w:t>
      </w:r>
    </w:p>
    <w:p w:rsidR="00AF0EEA" w:rsidRPr="00DA3BC7" w:rsidRDefault="00AF0EEA" w:rsidP="00AE3920">
      <w:pPr>
        <w:spacing w:beforeLines="20"/>
        <w:ind w:leftChars="200" w:left="480"/>
        <w:jc w:val="both"/>
        <w:rPr>
          <w:rFonts w:ascii="Times New Roman" w:hAnsi="Times New Roman" w:cs="Times Ext Roman"/>
        </w:rPr>
      </w:pPr>
      <w:r w:rsidRPr="00DA3BC7">
        <w:rPr>
          <w:rFonts w:ascii="Times New Roman" w:hAnsi="Times New Roman" w:cs="Times Ext Roman"/>
        </w:rPr>
        <w:t>否定這樣的自我中心的主宰欲，才能體貼得有情的同體平等，於一切行為中，</w:t>
      </w:r>
      <w:r w:rsidRPr="00DA3BC7">
        <w:rPr>
          <w:rFonts w:ascii="Times New Roman" w:hAnsi="Times New Roman" w:cs="Times Ext Roman"/>
          <w:b/>
        </w:rPr>
        <w:t>消極的不害他，積極的救護他</w:t>
      </w:r>
      <w:r w:rsidRPr="00DA3BC7">
        <w:rPr>
          <w:rFonts w:ascii="Times New Roman" w:hAnsi="Times New Roman" w:cs="Times Ext Roman"/>
        </w:rPr>
        <w:t>。</w:t>
      </w:r>
    </w:p>
    <w:p w:rsidR="00AF0EEA" w:rsidRPr="00DA3BC7" w:rsidRDefault="00AF0EEA" w:rsidP="00AE3920">
      <w:pPr>
        <w:spacing w:beforeLines="20"/>
        <w:ind w:leftChars="200" w:left="480"/>
        <w:jc w:val="both"/>
        <w:rPr>
          <w:rFonts w:ascii="Times New Roman" w:hAnsi="Times New Roman" w:cs="Times Ext Roman"/>
          <w:b/>
        </w:rPr>
      </w:pPr>
      <w:r w:rsidRPr="00DA3BC7">
        <w:rPr>
          <w:rFonts w:ascii="Times New Roman" w:hAnsi="Times New Roman" w:cs="Times Ext Roman"/>
        </w:rPr>
        <w:t>自私本質的神我論者，沒有為他的德行，什麼都不過為了自己。</w:t>
      </w:r>
      <w:r w:rsidRPr="00DA3BC7">
        <w:rPr>
          <w:rFonts w:ascii="Times New Roman" w:hAnsi="Times New Roman" w:cs="Times Ext Roman"/>
          <w:b/>
        </w:rPr>
        <w:t>唯有無我，才有慈悲</w:t>
      </w:r>
      <w:r w:rsidRPr="00DA3BC7">
        <w:rPr>
          <w:rFonts w:ascii="Times New Roman" w:hAnsi="Times New Roman" w:cs="Times Ext Roman" w:hint="eastAsia"/>
          <w:b/>
        </w:rPr>
        <w:t>；</w:t>
      </w:r>
      <w:r w:rsidRPr="00DA3BC7">
        <w:rPr>
          <w:rFonts w:ascii="Times New Roman" w:hAnsi="Times New Roman" w:cs="Times Ext Roman"/>
          <w:b/>
        </w:rPr>
        <w:t>從身心相依、自他共存、物我互資的緣起正覺中，涌出無我的真情。</w:t>
      </w:r>
    </w:p>
    <w:p w:rsidR="00AF0EEA" w:rsidRPr="00DA3BC7" w:rsidRDefault="00BD627A" w:rsidP="00AE3920">
      <w:pPr>
        <w:spacing w:beforeLines="30"/>
        <w:ind w:leftChars="200" w:left="480"/>
        <w:jc w:val="both"/>
        <w:rPr>
          <w:rFonts w:ascii="Times New Roman" w:hAnsi="Times New Roman" w:cs="Times Ext Roman"/>
          <w:b/>
          <w:sz w:val="20"/>
          <w:bdr w:val="single" w:sz="4" w:space="0" w:color="auto"/>
        </w:rPr>
      </w:pPr>
      <w:r w:rsidRPr="00B16A72">
        <w:rPr>
          <w:rFonts w:ascii="Times New Roman" w:hAnsi="Times New Roman" w:cs="Times Ext Roman" w:hint="eastAsia"/>
          <w:b/>
          <w:color w:val="FF0000"/>
          <w:sz w:val="20"/>
          <w:highlight w:val="yellow"/>
          <w:bdr w:val="single" w:sz="4" w:space="0" w:color="auto"/>
        </w:rPr>
        <w:t>3</w:t>
      </w:r>
      <w:r w:rsidR="00AF0EEA" w:rsidRPr="00B16A72">
        <w:rPr>
          <w:rFonts w:ascii="Times New Roman" w:hAnsi="Times New Roman" w:cs="Times Ext Roman" w:hint="eastAsia"/>
          <w:b/>
          <w:color w:val="FF0000"/>
          <w:sz w:val="20"/>
          <w:highlight w:val="yellow"/>
          <w:bdr w:val="single" w:sz="4" w:space="0" w:color="auto"/>
        </w:rPr>
        <w:t>、</w:t>
      </w:r>
      <w:r>
        <w:rPr>
          <w:rFonts w:ascii="Times New Roman" w:hAnsi="Times New Roman" w:cs="Times Ext Roman" w:hint="eastAsia"/>
          <w:b/>
          <w:color w:val="FF0000"/>
          <w:sz w:val="20"/>
          <w:highlight w:val="yellow"/>
          <w:bdr w:val="single" w:sz="4" w:space="0" w:color="auto"/>
        </w:rPr>
        <w:t>歸</w:t>
      </w:r>
      <w:r w:rsidR="00AF0EEA" w:rsidRPr="00DA3BC7">
        <w:rPr>
          <w:rFonts w:ascii="Times New Roman" w:hAnsi="Times New Roman" w:cs="Times Ext Roman" w:hint="eastAsia"/>
          <w:b/>
          <w:sz w:val="20"/>
          <w:bdr w:val="single" w:sz="4" w:space="0" w:color="auto"/>
        </w:rPr>
        <w:t>結</w:t>
      </w:r>
      <w:r w:rsidR="00AF0EEA" w:rsidRPr="00DA3BC7">
        <w:rPr>
          <w:rFonts w:ascii="Times New Roman" w:hAnsi="Times New Roman" w:cs="Times Ext Roman" w:hint="eastAsia"/>
          <w:sz w:val="20"/>
        </w:rPr>
        <w:t>（</w:t>
      </w:r>
      <w:r w:rsidR="00DD55DB" w:rsidRPr="00DA3BC7">
        <w:rPr>
          <w:rFonts w:ascii="Times New Roman" w:hAnsi="Times New Roman" w:cs="Times Ext Roman" w:hint="eastAsia"/>
          <w:sz w:val="20"/>
        </w:rPr>
        <w:t>p.</w:t>
      </w:r>
      <w:r w:rsidR="00DD55DB" w:rsidRPr="00DD55DB">
        <w:rPr>
          <w:rFonts w:ascii="Times New Roman" w:hAnsi="Times New Roman" w:cs="Times Ext Roman" w:hint="eastAsia"/>
          <w:color w:val="FF0000"/>
          <w:sz w:val="20"/>
          <w:highlight w:val="yellow"/>
        </w:rPr>
        <w:t>a</w:t>
      </w:r>
      <w:r w:rsidR="00AF0EEA" w:rsidRPr="00DA3BC7">
        <w:rPr>
          <w:rFonts w:ascii="Times New Roman" w:hAnsi="Times New Roman" w:cs="Times Ext Roman" w:hint="eastAsia"/>
          <w:sz w:val="20"/>
        </w:rPr>
        <w:t>8</w:t>
      </w:r>
      <w:r w:rsidR="00AF0EEA" w:rsidRPr="00DA3BC7">
        <w:rPr>
          <w:rFonts w:ascii="Times New Roman" w:hAnsi="Times New Roman" w:cs="Times Ext Roman" w:hint="eastAsia"/>
          <w:sz w:val="20"/>
        </w:rPr>
        <w:t>）</w:t>
      </w:r>
    </w:p>
    <w:p w:rsidR="00AF0EEA" w:rsidRPr="00DA3BC7" w:rsidRDefault="00AF0EEA" w:rsidP="00110E14">
      <w:pPr>
        <w:ind w:leftChars="200" w:left="480"/>
        <w:jc w:val="both"/>
        <w:rPr>
          <w:rFonts w:ascii="Times New Roman" w:hAnsi="Times New Roman" w:cs="Times Ext Roman"/>
        </w:rPr>
      </w:pPr>
      <w:r w:rsidRPr="00DA3BC7">
        <w:rPr>
          <w:rFonts w:ascii="Times New Roman" w:hAnsi="Times New Roman" w:cs="Times Ext Roman"/>
          <w:b/>
        </w:rPr>
        <w:t>真智慧與真慈悲，即緣起正覺的內容。</w:t>
      </w:r>
    </w:p>
    <w:p w:rsidR="00AF0EEA" w:rsidRPr="00DA3BC7" w:rsidRDefault="00BD627A" w:rsidP="00AE3920">
      <w:pPr>
        <w:spacing w:beforeLines="30"/>
        <w:ind w:leftChars="100" w:left="240"/>
        <w:jc w:val="both"/>
        <w:rPr>
          <w:rFonts w:ascii="Times New Roman" w:hAnsi="Times New Roman" w:cs="Times Ext Roman"/>
          <w:sz w:val="20"/>
          <w:bdr w:val="single" w:sz="4" w:space="0" w:color="auto"/>
        </w:rPr>
      </w:pPr>
      <w:r>
        <w:rPr>
          <w:rFonts w:ascii="Times New Roman" w:hAnsi="Times New Roman" w:cs="Times Ext Roman" w:hint="eastAsia"/>
          <w:b/>
          <w:color w:val="FF0000"/>
          <w:sz w:val="20"/>
          <w:highlight w:val="yellow"/>
          <w:bdr w:val="single" w:sz="4" w:space="0" w:color="auto"/>
        </w:rPr>
        <w:t>四</w:t>
      </w:r>
      <w:r w:rsidRPr="00BD627A">
        <w:rPr>
          <w:rFonts w:ascii="Times New Roman" w:hAnsi="Times New Roman" w:cs="Times Ext Roman"/>
          <w:b/>
          <w:color w:val="FF0000"/>
          <w:sz w:val="20"/>
          <w:highlight w:val="yellow"/>
          <w:bdr w:val="single" w:sz="4" w:space="0" w:color="auto"/>
        </w:rPr>
        <w:t>、</w:t>
      </w:r>
      <w:r w:rsidR="00AF0EEA" w:rsidRPr="00DA3BC7">
        <w:rPr>
          <w:rFonts w:ascii="Times New Roman" w:hAnsi="Times New Roman" w:cs="Times Ext Roman"/>
          <w:b/>
          <w:sz w:val="20"/>
          <w:bdr w:val="single" w:sz="4" w:space="0" w:color="auto"/>
        </w:rPr>
        <w:t>空有融會</w:t>
      </w:r>
      <w:r w:rsidR="00AF0EEA" w:rsidRPr="00DA3BC7">
        <w:rPr>
          <w:rStyle w:val="a6"/>
          <w:rFonts w:ascii="Times New Roman" w:hAnsi="Times New Roman" w:cs="Times Ext Roman"/>
        </w:rPr>
        <w:footnoteReference w:id="48"/>
      </w:r>
      <w:r w:rsidR="00AF0EEA" w:rsidRPr="00DA3BC7">
        <w:rPr>
          <w:rFonts w:ascii="Times New Roman" w:hAnsi="Times New Roman" w:cs="Times Ext Roman" w:hint="eastAsia"/>
          <w:sz w:val="20"/>
        </w:rPr>
        <w:t>（</w:t>
      </w:r>
      <w:r w:rsidR="00DD55DB" w:rsidRPr="00DA3BC7">
        <w:rPr>
          <w:rFonts w:ascii="Times New Roman" w:hAnsi="Times New Roman" w:cs="Times Ext Roman" w:hint="eastAsia"/>
          <w:sz w:val="20"/>
        </w:rPr>
        <w:t>p.</w:t>
      </w:r>
      <w:r w:rsidR="00DD55DB" w:rsidRPr="00DD55DB">
        <w:rPr>
          <w:rFonts w:ascii="Times New Roman" w:hAnsi="Times New Roman" w:cs="Times Ext Roman" w:hint="eastAsia"/>
          <w:color w:val="FF0000"/>
          <w:sz w:val="20"/>
          <w:highlight w:val="yellow"/>
        </w:rPr>
        <w:t>a</w:t>
      </w:r>
      <w:r w:rsidR="00AF0EEA" w:rsidRPr="00B16A72">
        <w:rPr>
          <w:rFonts w:ascii="Times New Roman" w:hAnsi="Times New Roman" w:cs="Times Ext Roman" w:hint="eastAsia"/>
          <w:sz w:val="20"/>
        </w:rPr>
        <w:t>9</w:t>
      </w:r>
      <w:r w:rsidR="00AF0EEA" w:rsidRPr="00DA3BC7">
        <w:rPr>
          <w:rFonts w:ascii="Times New Roman" w:hAnsi="Times New Roman" w:cs="Times Ext Roman" w:hint="eastAsia"/>
          <w:sz w:val="20"/>
        </w:rPr>
        <w:t>）</w:t>
      </w:r>
    </w:p>
    <w:p w:rsidR="00BD627A" w:rsidRDefault="00BD627A" w:rsidP="00B16A72">
      <w:pPr>
        <w:ind w:leftChars="150" w:left="360"/>
        <w:jc w:val="both"/>
        <w:rPr>
          <w:rFonts w:ascii="Times New Roman" w:hAnsi="Times New Roman" w:cs="Times Ext Roman"/>
          <w:b/>
          <w:color w:val="FF0000"/>
          <w:sz w:val="20"/>
          <w:bdr w:val="single" w:sz="4" w:space="0" w:color="auto"/>
        </w:rPr>
      </w:pPr>
      <w:r w:rsidRPr="00BD627A">
        <w:rPr>
          <w:rFonts w:ascii="Times New Roman" w:hAnsi="Times New Roman" w:cs="Times Ext Roman"/>
          <w:b/>
          <w:color w:val="FF0000"/>
          <w:sz w:val="20"/>
          <w:highlight w:val="yellow"/>
          <w:bdr w:val="single" w:sz="4" w:space="0" w:color="auto"/>
        </w:rPr>
        <w:t>（</w:t>
      </w:r>
      <w:r w:rsidRPr="00BD627A">
        <w:rPr>
          <w:rFonts w:ascii="Times New Roman" w:hAnsi="Times New Roman" w:cs="Times Ext Roman" w:hint="eastAsia"/>
          <w:b/>
          <w:color w:val="FF0000"/>
          <w:sz w:val="20"/>
          <w:highlight w:val="yellow"/>
          <w:bdr w:val="single" w:sz="4" w:space="0" w:color="auto"/>
        </w:rPr>
        <w:t>一</w:t>
      </w:r>
      <w:r w:rsidRPr="00BD627A">
        <w:rPr>
          <w:rFonts w:ascii="Times New Roman" w:hAnsi="Times New Roman" w:cs="Times Ext Roman"/>
          <w:b/>
          <w:color w:val="FF0000"/>
          <w:sz w:val="20"/>
          <w:highlight w:val="yellow"/>
          <w:bdr w:val="single" w:sz="4" w:space="0" w:color="auto"/>
        </w:rPr>
        <w:t>）</w:t>
      </w:r>
      <w:r w:rsidRPr="00BD627A">
        <w:rPr>
          <w:rFonts w:ascii="Times New Roman" w:hAnsi="Times New Roman" w:cs="Times Ext Roman" w:hint="eastAsia"/>
          <w:b/>
          <w:color w:val="FF0000"/>
          <w:sz w:val="20"/>
          <w:highlight w:val="yellow"/>
          <w:bdr w:val="single" w:sz="4" w:space="0" w:color="auto"/>
        </w:rPr>
        <w:t>掌握空有教義的根本</w:t>
      </w:r>
      <w:r w:rsidRPr="00DA3BC7">
        <w:rPr>
          <w:rFonts w:ascii="Times New Roman" w:hAnsi="Times New Roman" w:cs="Times Ext Roman" w:hint="eastAsia"/>
          <w:sz w:val="20"/>
        </w:rPr>
        <w:t>（</w:t>
      </w:r>
      <w:r w:rsidR="00DD55DB" w:rsidRPr="00DA3BC7">
        <w:rPr>
          <w:rFonts w:ascii="Times New Roman" w:hAnsi="Times New Roman" w:cs="Times Ext Roman" w:hint="eastAsia"/>
          <w:sz w:val="20"/>
        </w:rPr>
        <w:t>p.</w:t>
      </w:r>
      <w:r w:rsidR="00DD55DB" w:rsidRPr="00DD55DB">
        <w:rPr>
          <w:rFonts w:ascii="Times New Roman" w:hAnsi="Times New Roman" w:cs="Times Ext Roman" w:hint="eastAsia"/>
          <w:color w:val="FF0000"/>
          <w:sz w:val="20"/>
          <w:highlight w:val="yellow"/>
        </w:rPr>
        <w:t>a</w:t>
      </w:r>
      <w:r w:rsidRPr="00DA3BC7">
        <w:rPr>
          <w:rFonts w:ascii="Times New Roman" w:hAnsi="Times New Roman" w:cs="Times Ext Roman" w:hint="eastAsia"/>
          <w:sz w:val="20"/>
        </w:rPr>
        <w:t>9</w:t>
      </w:r>
      <w:r w:rsidRPr="00DA3BC7">
        <w:rPr>
          <w:rFonts w:ascii="Times New Roman" w:hAnsi="Times New Roman" w:cs="Times Ext Roman" w:hint="eastAsia"/>
          <w:sz w:val="20"/>
        </w:rPr>
        <w:t>）</w:t>
      </w:r>
    </w:p>
    <w:p w:rsidR="00AF0EEA" w:rsidRPr="00DA3BC7" w:rsidRDefault="00BD627A" w:rsidP="00B16A72">
      <w:pPr>
        <w:ind w:leftChars="200" w:left="480"/>
        <w:jc w:val="both"/>
        <w:rPr>
          <w:rFonts w:ascii="Times New Roman" w:hAnsi="Times New Roman" w:cs="Times Ext Roman"/>
          <w:b/>
          <w:sz w:val="20"/>
          <w:bdr w:val="single" w:sz="4" w:space="0" w:color="auto"/>
        </w:rPr>
      </w:pPr>
      <w:r w:rsidRPr="00BD627A">
        <w:rPr>
          <w:rFonts w:ascii="Times New Roman" w:hAnsi="Times New Roman" w:cs="Times Ext Roman" w:hint="eastAsia"/>
          <w:b/>
          <w:color w:val="FF0000"/>
          <w:sz w:val="20"/>
          <w:highlight w:val="yellow"/>
          <w:bdr w:val="single" w:sz="4" w:space="0" w:color="auto"/>
        </w:rPr>
        <w:t>1</w:t>
      </w:r>
      <w:r w:rsidR="00AF0EEA" w:rsidRPr="00BD627A">
        <w:rPr>
          <w:rFonts w:ascii="Times New Roman" w:hAnsi="Times New Roman" w:cs="Times Ext Roman"/>
          <w:b/>
          <w:color w:val="FF0000"/>
          <w:sz w:val="20"/>
          <w:highlight w:val="yellow"/>
          <w:bdr w:val="single" w:sz="4" w:space="0" w:color="auto"/>
        </w:rPr>
        <w:t>、</w:t>
      </w:r>
      <w:r w:rsidR="00AF0EEA" w:rsidRPr="00BD627A">
        <w:rPr>
          <w:rFonts w:ascii="Times New Roman" w:hAnsi="Times New Roman" w:cs="Times Ext Roman" w:hint="eastAsia"/>
          <w:b/>
          <w:color w:val="FF0000"/>
          <w:sz w:val="20"/>
          <w:highlight w:val="yellow"/>
          <w:bdr w:val="single" w:sz="4" w:space="0" w:color="auto"/>
        </w:rPr>
        <w:t>空</w:t>
      </w:r>
      <w:r w:rsidRPr="00BD627A">
        <w:rPr>
          <w:rFonts w:ascii="Times New Roman" w:hAnsi="Times New Roman" w:cs="Times Ext Roman" w:hint="eastAsia"/>
          <w:b/>
          <w:color w:val="FF0000"/>
          <w:sz w:val="20"/>
          <w:highlight w:val="yellow"/>
          <w:bdr w:val="single" w:sz="4" w:space="0" w:color="auto"/>
        </w:rPr>
        <w:t>有融會之辨</w:t>
      </w:r>
      <w:r w:rsidR="00AF0EEA" w:rsidRPr="00DA3BC7">
        <w:rPr>
          <w:rFonts w:ascii="Times New Roman" w:hAnsi="Times New Roman" w:cs="Times Ext Roman" w:hint="eastAsia"/>
          <w:sz w:val="20"/>
        </w:rPr>
        <w:t>（</w:t>
      </w:r>
      <w:r w:rsidR="00DD55DB" w:rsidRPr="00DA3BC7">
        <w:rPr>
          <w:rFonts w:ascii="Times New Roman" w:hAnsi="Times New Roman" w:cs="Times Ext Roman" w:hint="eastAsia"/>
          <w:sz w:val="20"/>
        </w:rPr>
        <w:t>p.</w:t>
      </w:r>
      <w:r w:rsidR="00DD55DB" w:rsidRPr="00DD55DB">
        <w:rPr>
          <w:rFonts w:ascii="Times New Roman" w:hAnsi="Times New Roman" w:cs="Times Ext Roman" w:hint="eastAsia"/>
          <w:color w:val="FF0000"/>
          <w:sz w:val="20"/>
          <w:highlight w:val="yellow"/>
        </w:rPr>
        <w:t>a</w:t>
      </w:r>
      <w:r w:rsidR="00AF0EEA" w:rsidRPr="00DA3BC7">
        <w:rPr>
          <w:rFonts w:ascii="Times New Roman" w:hAnsi="Times New Roman" w:cs="Times Ext Roman" w:hint="eastAsia"/>
          <w:sz w:val="20"/>
        </w:rPr>
        <w:t>9</w:t>
      </w:r>
      <w:r w:rsidR="00AF0EEA" w:rsidRPr="00DA3BC7">
        <w:rPr>
          <w:rFonts w:ascii="Times New Roman" w:hAnsi="Times New Roman" w:cs="Times Ext Roman" w:hint="eastAsia"/>
          <w:sz w:val="20"/>
        </w:rPr>
        <w:t>）</w:t>
      </w:r>
    </w:p>
    <w:p w:rsidR="00AF0EEA" w:rsidRPr="00DA3BC7" w:rsidRDefault="00AF0EEA" w:rsidP="00110E14">
      <w:pPr>
        <w:ind w:leftChars="200" w:left="480"/>
        <w:jc w:val="both"/>
        <w:rPr>
          <w:rFonts w:ascii="Times New Roman" w:hAnsi="Times New Roman" w:cs="Times Ext Roman"/>
        </w:rPr>
      </w:pPr>
      <w:r w:rsidRPr="00DA3BC7">
        <w:rPr>
          <w:rFonts w:ascii="Times New Roman" w:hAnsi="Times New Roman" w:cs="Times Ext Roman"/>
        </w:rPr>
        <w:t>緣起性空，本於生滅的不有不無、不常不斷、不一不異、不來不出。生滅的因果諸行，是性空的緣起，緣起的性空。</w:t>
      </w:r>
      <w:r w:rsidRPr="00DA3BC7">
        <w:rPr>
          <w:rStyle w:val="a6"/>
          <w:rFonts w:ascii="Times New Roman" w:hAnsi="Times New Roman" w:cs="Times Ext Roman"/>
        </w:rPr>
        <w:footnoteReference w:id="49"/>
      </w:r>
    </w:p>
    <w:p w:rsidR="00AF0EEA" w:rsidRPr="00DA3BC7" w:rsidRDefault="00BD627A" w:rsidP="00AE3920">
      <w:pPr>
        <w:spacing w:beforeLines="30"/>
        <w:ind w:leftChars="200" w:left="480"/>
        <w:jc w:val="both"/>
        <w:rPr>
          <w:rFonts w:ascii="Times New Roman" w:hAnsi="Times New Roman" w:cs="Times Ext Roman"/>
          <w:sz w:val="20"/>
          <w:bdr w:val="single" w:sz="4" w:space="0" w:color="auto"/>
        </w:rPr>
      </w:pPr>
      <w:r w:rsidRPr="00BD627A">
        <w:rPr>
          <w:rFonts w:ascii="Times New Roman" w:hAnsi="Times New Roman" w:cs="Times Ext Roman" w:hint="eastAsia"/>
          <w:b/>
          <w:color w:val="FF0000"/>
          <w:sz w:val="20"/>
          <w:highlight w:val="yellow"/>
          <w:bdr w:val="single" w:sz="4" w:space="0" w:color="auto"/>
        </w:rPr>
        <w:lastRenderedPageBreak/>
        <w:t>2</w:t>
      </w:r>
      <w:r w:rsidR="00AF0EEA" w:rsidRPr="00BD627A">
        <w:rPr>
          <w:rFonts w:ascii="Times New Roman" w:hAnsi="Times New Roman" w:cs="Times Ext Roman"/>
          <w:b/>
          <w:color w:val="FF0000"/>
          <w:sz w:val="20"/>
          <w:highlight w:val="yellow"/>
          <w:bdr w:val="single" w:sz="4" w:space="0" w:color="auto"/>
        </w:rPr>
        <w:t>、</w:t>
      </w:r>
      <w:r w:rsidRPr="00BD627A">
        <w:rPr>
          <w:rFonts w:ascii="Times New Roman" w:hAnsi="Times New Roman" w:cs="Times Ext Roman" w:hint="eastAsia"/>
          <w:b/>
          <w:color w:val="FF0000"/>
          <w:sz w:val="20"/>
          <w:highlight w:val="yellow"/>
          <w:bdr w:val="single" w:sz="4" w:space="0" w:color="auto"/>
        </w:rPr>
        <w:t>常情誤解之失</w:t>
      </w:r>
      <w:r w:rsidR="00AF0EEA" w:rsidRPr="00DA3BC7">
        <w:rPr>
          <w:rFonts w:ascii="Times New Roman" w:hAnsi="Times New Roman" w:cs="Times Ext Roman" w:hint="eastAsia"/>
          <w:sz w:val="20"/>
        </w:rPr>
        <w:t>（</w:t>
      </w:r>
      <w:r w:rsidR="00DD55DB" w:rsidRPr="00DA3BC7">
        <w:rPr>
          <w:rFonts w:ascii="Times New Roman" w:hAnsi="Times New Roman" w:cs="Times Ext Roman" w:hint="eastAsia"/>
          <w:sz w:val="20"/>
        </w:rPr>
        <w:t>p.</w:t>
      </w:r>
      <w:r w:rsidR="00DD55DB" w:rsidRPr="00DD55DB">
        <w:rPr>
          <w:rFonts w:ascii="Times New Roman" w:hAnsi="Times New Roman" w:cs="Times Ext Roman" w:hint="eastAsia"/>
          <w:color w:val="FF0000"/>
          <w:sz w:val="20"/>
          <w:highlight w:val="yellow"/>
        </w:rPr>
        <w:t>a</w:t>
      </w:r>
      <w:r w:rsidR="00AF0EEA" w:rsidRPr="00DA3BC7">
        <w:rPr>
          <w:rFonts w:ascii="Times New Roman" w:hAnsi="Times New Roman" w:cs="Times Ext Roman" w:hint="eastAsia"/>
          <w:sz w:val="20"/>
        </w:rPr>
        <w:t>9</w:t>
      </w:r>
      <w:r w:rsidR="00AF0EEA" w:rsidRPr="00DA3BC7">
        <w:rPr>
          <w:rFonts w:ascii="Times New Roman" w:hAnsi="Times New Roman" w:cs="Times Ext Roman" w:hint="eastAsia"/>
          <w:sz w:val="20"/>
        </w:rPr>
        <w:t>）</w:t>
      </w:r>
    </w:p>
    <w:p w:rsidR="00AF0EEA" w:rsidRPr="00DA3BC7" w:rsidRDefault="00AF0EEA" w:rsidP="00110E14">
      <w:pPr>
        <w:ind w:leftChars="200" w:left="480"/>
        <w:jc w:val="both"/>
        <w:rPr>
          <w:rFonts w:ascii="Times New Roman" w:hAnsi="Times New Roman" w:cs="Times Ext Roman"/>
        </w:rPr>
      </w:pPr>
      <w:r w:rsidRPr="00DA3BC7">
        <w:rPr>
          <w:rFonts w:ascii="Times New Roman" w:hAnsi="Times New Roman" w:cs="Times Ext Roman"/>
        </w:rPr>
        <w:t>這在一般有情，是不能正確理解的，一般總是倒覺為自性實有，或由實有而假有的。</w:t>
      </w:r>
    </w:p>
    <w:p w:rsidR="00AF0EEA" w:rsidRPr="00DA3BC7" w:rsidRDefault="00AF0EEA" w:rsidP="00110E14">
      <w:pPr>
        <w:ind w:leftChars="200" w:left="480"/>
        <w:jc w:val="both"/>
        <w:rPr>
          <w:rFonts w:ascii="Times New Roman" w:hAnsi="Times New Roman" w:cs="Times Ext Roman"/>
        </w:rPr>
      </w:pPr>
      <w:r w:rsidRPr="00DA3BC7">
        <w:rPr>
          <w:rFonts w:ascii="Times New Roman" w:hAnsi="Times New Roman" w:cs="Times Ext Roman"/>
        </w:rPr>
        <w:t>所以佛說</w:t>
      </w:r>
      <w:r w:rsidRPr="00DA3BC7">
        <w:rPr>
          <w:rFonts w:ascii="Times New Roman" w:hAnsi="Times New Roman" w:cs="Times Ext Roman"/>
          <w:b/>
        </w:rPr>
        <w:t>一切從緣有</w:t>
      </w:r>
      <w:r w:rsidRPr="00DA3BC7">
        <w:rPr>
          <w:rFonts w:ascii="Times New Roman" w:hAnsi="Times New Roman" w:cs="Times Ext Roman"/>
        </w:rPr>
        <w:t>，</w:t>
      </w:r>
      <w:r w:rsidRPr="00DA3BC7">
        <w:rPr>
          <w:rFonts w:ascii="Times New Roman" w:hAnsi="Times New Roman" w:cs="Times Ext Roman"/>
          <w:b/>
        </w:rPr>
        <w:t>一切畢竟空</w:t>
      </w:r>
      <w:r w:rsidRPr="00DA3BC7">
        <w:rPr>
          <w:rFonts w:ascii="Times New Roman" w:hAnsi="Times New Roman" w:cs="Times Ext Roman"/>
        </w:rPr>
        <w:t>，就有人大驚小怪起來。甚至佛法中，也有有宗起來，與空宗對立，反指責空宗為不了義</w:t>
      </w:r>
      <w:r w:rsidRPr="00DA3BC7">
        <w:rPr>
          <w:rFonts w:ascii="Times New Roman" w:hAnsi="Times New Roman" w:cs="Times Ext Roman" w:hint="eastAsia"/>
        </w:rPr>
        <w:t>、</w:t>
      </w:r>
      <w:r w:rsidRPr="00DA3BC7">
        <w:rPr>
          <w:rFonts w:ascii="Times New Roman" w:hAnsi="Times New Roman" w:cs="Times Ext Roman"/>
        </w:rPr>
        <w:t>為惡取空。</w:t>
      </w:r>
    </w:p>
    <w:p w:rsidR="00AF0EEA" w:rsidRPr="00DA3BC7" w:rsidRDefault="00BD627A" w:rsidP="00AE3920">
      <w:pPr>
        <w:spacing w:beforeLines="30"/>
        <w:ind w:leftChars="200" w:left="480"/>
        <w:jc w:val="both"/>
        <w:rPr>
          <w:rFonts w:ascii="Times New Roman" w:hAnsi="Times New Roman" w:cs="Times Ext Roman"/>
          <w:sz w:val="20"/>
          <w:bdr w:val="single" w:sz="4" w:space="0" w:color="auto"/>
        </w:rPr>
      </w:pPr>
      <w:r w:rsidRPr="00BD627A">
        <w:rPr>
          <w:rFonts w:ascii="Times New Roman" w:hAnsi="Times New Roman" w:cs="Times Ext Roman" w:hint="eastAsia"/>
          <w:b/>
          <w:color w:val="FF0000"/>
          <w:sz w:val="20"/>
          <w:highlight w:val="yellow"/>
          <w:bdr w:val="single" w:sz="4" w:space="0" w:color="auto"/>
        </w:rPr>
        <w:t>3</w:t>
      </w:r>
      <w:r w:rsidR="00AF0EEA" w:rsidRPr="00BD627A">
        <w:rPr>
          <w:rFonts w:ascii="Times New Roman" w:hAnsi="Times New Roman" w:cs="Times Ext Roman"/>
          <w:b/>
          <w:color w:val="FF0000"/>
          <w:sz w:val="20"/>
          <w:highlight w:val="yellow"/>
          <w:bdr w:val="single" w:sz="4" w:space="0" w:color="auto"/>
        </w:rPr>
        <w:t>、</w:t>
      </w:r>
      <w:r w:rsidRPr="00BD627A">
        <w:rPr>
          <w:rFonts w:ascii="Times New Roman" w:hAnsi="Times New Roman" w:cs="Times Ext Roman" w:hint="eastAsia"/>
          <w:b/>
          <w:color w:val="FF0000"/>
          <w:sz w:val="20"/>
          <w:highlight w:val="yellow"/>
          <w:bdr w:val="single" w:sz="4" w:space="0" w:color="auto"/>
        </w:rPr>
        <w:t>問題解決之道</w:t>
      </w:r>
      <w:r w:rsidR="00AF0EEA" w:rsidRPr="00DA3BC7">
        <w:rPr>
          <w:rFonts w:ascii="Times New Roman" w:hAnsi="Times New Roman" w:cs="Times Ext Roman" w:hint="eastAsia"/>
          <w:sz w:val="20"/>
        </w:rPr>
        <w:t>（</w:t>
      </w:r>
      <w:r w:rsidR="00DD55DB" w:rsidRPr="00DA3BC7">
        <w:rPr>
          <w:rFonts w:ascii="Times New Roman" w:hAnsi="Times New Roman" w:cs="Times Ext Roman" w:hint="eastAsia"/>
          <w:sz w:val="20"/>
        </w:rPr>
        <w:t>p.</w:t>
      </w:r>
      <w:r w:rsidR="00DD55DB" w:rsidRPr="00DD55DB">
        <w:rPr>
          <w:rFonts w:ascii="Times New Roman" w:hAnsi="Times New Roman" w:cs="Times Ext Roman" w:hint="eastAsia"/>
          <w:color w:val="FF0000"/>
          <w:sz w:val="20"/>
          <w:highlight w:val="yellow"/>
        </w:rPr>
        <w:t>a</w:t>
      </w:r>
      <w:r w:rsidR="00AF0EEA" w:rsidRPr="00DA3BC7">
        <w:rPr>
          <w:rFonts w:ascii="Times New Roman" w:hAnsi="Times New Roman" w:cs="Times Ext Roman" w:hint="eastAsia"/>
          <w:sz w:val="20"/>
        </w:rPr>
        <w:t>9</w:t>
      </w:r>
      <w:r w:rsidR="00AF0EEA" w:rsidRPr="00DA3BC7">
        <w:rPr>
          <w:rFonts w:ascii="Times New Roman" w:hAnsi="Times New Roman" w:cs="Times Ext Roman" w:hint="eastAsia"/>
          <w:sz w:val="20"/>
        </w:rPr>
        <w:t>）</w:t>
      </w:r>
    </w:p>
    <w:p w:rsidR="00AF0EEA" w:rsidRPr="00DA3BC7" w:rsidRDefault="00AF0EEA" w:rsidP="00110E14">
      <w:pPr>
        <w:ind w:leftChars="200" w:left="480"/>
        <w:jc w:val="both"/>
        <w:rPr>
          <w:rFonts w:ascii="Times New Roman" w:hAnsi="Times New Roman" w:cs="Times Ext Roman"/>
        </w:rPr>
      </w:pPr>
      <w:r w:rsidRPr="00DA3BC7">
        <w:rPr>
          <w:rFonts w:ascii="Times New Roman" w:hAnsi="Times New Roman" w:cs="Times Ext Roman"/>
        </w:rPr>
        <w:t>有宗與空宗，有他認識論的根本不同處，</w:t>
      </w:r>
      <w:r w:rsidRPr="00DA3BC7">
        <w:rPr>
          <w:rStyle w:val="a6"/>
          <w:rFonts w:ascii="Times New Roman" w:hAnsi="Times New Roman" w:cs="Times Ext Roman"/>
        </w:rPr>
        <w:footnoteReference w:id="50"/>
      </w:r>
      <w:r w:rsidRPr="00DA3BC7">
        <w:rPr>
          <w:rFonts w:ascii="Times New Roman" w:hAnsi="Times New Roman" w:cs="Times Ext Roman"/>
        </w:rPr>
        <w:t>所以對於兩宗認識的方法論，《</w:t>
      </w:r>
      <w:r w:rsidRPr="00DA3BC7">
        <w:rPr>
          <w:rFonts w:ascii="Times New Roman" w:hAnsi="Times New Roman" w:cs="Times Ext Roman" w:hint="eastAsia"/>
        </w:rPr>
        <w:t>中觀</w:t>
      </w:r>
      <w:r w:rsidRPr="00DA3BC7">
        <w:rPr>
          <w:rFonts w:ascii="Times New Roman" w:hAnsi="Times New Roman" w:cs="Times Ext Roman"/>
        </w:rPr>
        <w:t>今論》特別的給以指出來。</w:t>
      </w:r>
      <w:r w:rsidRPr="00DA3BC7">
        <w:rPr>
          <w:rStyle w:val="a6"/>
          <w:rFonts w:ascii="Times New Roman" w:hAnsi="Times New Roman" w:cs="Times Ext Roman"/>
        </w:rPr>
        <w:footnoteReference w:id="51"/>
      </w:r>
    </w:p>
    <w:p w:rsidR="00AF0EEA" w:rsidRPr="00DA3BC7" w:rsidRDefault="00AF0EEA" w:rsidP="00AE3920">
      <w:pPr>
        <w:spacing w:beforeLines="30"/>
        <w:ind w:leftChars="200" w:left="480"/>
        <w:jc w:val="both"/>
        <w:rPr>
          <w:rFonts w:ascii="Times New Roman" w:hAnsi="Times New Roman" w:cs="Times Ext Roman"/>
        </w:rPr>
      </w:pPr>
      <w:r w:rsidRPr="00DA3BC7">
        <w:rPr>
          <w:rFonts w:ascii="Times New Roman" w:hAnsi="Times New Roman" w:cs="Times Ext Roman"/>
        </w:rPr>
        <w:t>中國學者一向是調和空有的，但必須對這一根本不同，經一番深刻的考察，不能再泛泛</w:t>
      </w:r>
      <w:r w:rsidRPr="00DA3BC7">
        <w:rPr>
          <w:rStyle w:val="a6"/>
          <w:rFonts w:ascii="Times New Roman" w:hAnsi="Times New Roman" w:cs="Times Ext Roman"/>
        </w:rPr>
        <w:footnoteReference w:id="52"/>
      </w:r>
      <w:r w:rsidRPr="00DA3BC7">
        <w:rPr>
          <w:rFonts w:ascii="Times New Roman" w:hAnsi="Times New Roman" w:cs="Times Ext Roman"/>
        </w:rPr>
        <w:t>的和會</w:t>
      </w:r>
      <w:r w:rsidRPr="00DA3BC7">
        <w:rPr>
          <w:rStyle w:val="a6"/>
          <w:rFonts w:ascii="Times New Roman" w:hAnsi="Times New Roman" w:cs="Times Ext Roman"/>
        </w:rPr>
        <w:footnoteReference w:id="53"/>
      </w:r>
      <w:r w:rsidRPr="00DA3BC7">
        <w:rPr>
          <w:rFonts w:ascii="Times New Roman" w:hAnsi="Times New Roman" w:cs="Times Ext Roman"/>
        </w:rPr>
        <w:t>下去。如根本問題不解決，一切似是而非的和</w:t>
      </w:r>
      <w:r w:rsidRPr="00DA3BC7">
        <w:rPr>
          <w:rFonts w:ascii="Times New Roman" w:hAnsi="Times New Roman" w:cs="Times Ext Roman"/>
        </w:rPr>
        <w:lastRenderedPageBreak/>
        <w:t>會，終歸於徒然。</w:t>
      </w:r>
    </w:p>
    <w:p w:rsidR="00AF0EEA" w:rsidRDefault="00BD627A" w:rsidP="00AE3920">
      <w:pPr>
        <w:spacing w:beforeLines="30"/>
        <w:ind w:leftChars="150" w:left="360"/>
        <w:jc w:val="both"/>
        <w:rPr>
          <w:rFonts w:ascii="Times New Roman" w:hAnsi="Times New Roman" w:cs="Times Ext Roman"/>
          <w:sz w:val="20"/>
        </w:rPr>
      </w:pPr>
      <w:r w:rsidRPr="00BD627A">
        <w:rPr>
          <w:rFonts w:ascii="Times New Roman" w:hAnsi="Times New Roman" w:cs="Times Ext Roman" w:hint="eastAsia"/>
          <w:b/>
          <w:color w:val="FF0000"/>
          <w:sz w:val="20"/>
          <w:highlight w:val="yellow"/>
          <w:bdr w:val="single" w:sz="4" w:space="0" w:color="auto"/>
        </w:rPr>
        <w:t>（二）</w:t>
      </w:r>
      <w:r w:rsidR="00AF0EEA" w:rsidRPr="00BD627A">
        <w:rPr>
          <w:rFonts w:ascii="Times New Roman" w:hAnsi="Times New Roman" w:cs="Times Ext Roman" w:hint="eastAsia"/>
          <w:b/>
          <w:color w:val="FF0000"/>
          <w:sz w:val="20"/>
          <w:highlight w:val="yellow"/>
          <w:bdr w:val="single" w:sz="4" w:space="0" w:color="auto"/>
        </w:rPr>
        <w:t>融</w:t>
      </w:r>
      <w:r w:rsidRPr="00BD627A">
        <w:rPr>
          <w:rFonts w:ascii="Times New Roman" w:hAnsi="Times New Roman" w:cs="Times Ext Roman" w:hint="eastAsia"/>
          <w:b/>
          <w:color w:val="FF0000"/>
          <w:sz w:val="20"/>
          <w:highlight w:val="yellow"/>
          <w:bdr w:val="single" w:sz="4" w:space="0" w:color="auto"/>
        </w:rPr>
        <w:t>貫的重點與擔當者</w:t>
      </w:r>
      <w:r w:rsidR="00AF0EEA" w:rsidRPr="00DA3BC7">
        <w:rPr>
          <w:rFonts w:ascii="Times New Roman" w:hAnsi="Times New Roman" w:cs="Times Ext Roman" w:hint="eastAsia"/>
          <w:sz w:val="20"/>
        </w:rPr>
        <w:t>（</w:t>
      </w:r>
      <w:r w:rsidR="00AF0EEA" w:rsidRPr="00DA3BC7">
        <w:rPr>
          <w:rFonts w:ascii="Times New Roman" w:hAnsi="Times New Roman" w:cs="Times Ext Roman" w:hint="eastAsia"/>
          <w:sz w:val="20"/>
        </w:rPr>
        <w:t>p.</w:t>
      </w:r>
      <w:r w:rsidR="004A46AA" w:rsidRPr="00DD55DB">
        <w:rPr>
          <w:rFonts w:ascii="Times New Roman" w:hAnsi="Times New Roman" w:cs="Times Ext Roman" w:hint="eastAsia"/>
          <w:color w:val="FF0000"/>
          <w:sz w:val="20"/>
          <w:highlight w:val="yellow"/>
        </w:rPr>
        <w:t>a</w:t>
      </w:r>
      <w:r w:rsidR="004A46AA" w:rsidRPr="00DA3BC7">
        <w:rPr>
          <w:rFonts w:ascii="Times New Roman" w:hAnsi="Times New Roman" w:cs="Times Ext Roman" w:hint="eastAsia"/>
          <w:sz w:val="20"/>
        </w:rPr>
        <w:t>9</w:t>
      </w:r>
      <w:r w:rsidR="00AF0EEA" w:rsidRPr="00DA3BC7">
        <w:rPr>
          <w:rFonts w:ascii="Times New Roman" w:hAnsi="Times New Roman" w:cs="Times Ext Roman" w:hint="eastAsia"/>
          <w:sz w:val="20"/>
        </w:rPr>
        <w:t>）</w:t>
      </w:r>
    </w:p>
    <w:p w:rsidR="00BD627A" w:rsidRPr="00BD627A" w:rsidRDefault="00BD627A" w:rsidP="00B16A72">
      <w:pPr>
        <w:ind w:leftChars="200" w:left="480"/>
        <w:jc w:val="both"/>
        <w:rPr>
          <w:rFonts w:ascii="Times New Roman" w:hAnsi="Times New Roman" w:cs="Times Ext Roman"/>
          <w:b/>
          <w:color w:val="FF0000"/>
          <w:sz w:val="20"/>
          <w:highlight w:val="yellow"/>
          <w:bdr w:val="single" w:sz="4" w:space="0" w:color="auto"/>
        </w:rPr>
      </w:pPr>
      <w:r w:rsidRPr="00BD627A">
        <w:rPr>
          <w:rFonts w:ascii="Times New Roman" w:hAnsi="Times New Roman" w:cs="Times Ext Roman" w:hint="eastAsia"/>
          <w:b/>
          <w:color w:val="FF0000"/>
          <w:sz w:val="20"/>
          <w:highlight w:val="yellow"/>
          <w:bdr w:val="single" w:sz="4" w:space="0" w:color="auto"/>
        </w:rPr>
        <w:t>1</w:t>
      </w:r>
      <w:r w:rsidRPr="00BD627A">
        <w:rPr>
          <w:rFonts w:ascii="Times New Roman" w:hAnsi="Times New Roman" w:cs="Times Ext Roman" w:hint="eastAsia"/>
          <w:b/>
          <w:color w:val="FF0000"/>
          <w:sz w:val="20"/>
          <w:highlight w:val="yellow"/>
          <w:bdr w:val="single" w:sz="4" w:space="0" w:color="auto"/>
        </w:rPr>
        <w:t>、總貫的著重處</w:t>
      </w:r>
      <w:r w:rsidR="00F87838" w:rsidRPr="00DA3BC7">
        <w:rPr>
          <w:rFonts w:ascii="Times New Roman" w:hAnsi="Times New Roman" w:cs="Times Ext Roman" w:hint="eastAsia"/>
          <w:sz w:val="20"/>
        </w:rPr>
        <w:t>（</w:t>
      </w:r>
      <w:r w:rsidR="00F87838" w:rsidRPr="00DA3BC7">
        <w:rPr>
          <w:rFonts w:ascii="Times New Roman" w:hAnsi="Times New Roman" w:cs="Times Ext Roman" w:hint="eastAsia"/>
          <w:sz w:val="20"/>
        </w:rPr>
        <w:t>p.</w:t>
      </w:r>
      <w:r w:rsidR="00DD55DB" w:rsidRPr="00DD55DB">
        <w:rPr>
          <w:rFonts w:ascii="Times New Roman" w:hAnsi="Times New Roman" w:cs="Times Ext Roman" w:hint="eastAsia"/>
          <w:color w:val="FF0000"/>
          <w:sz w:val="20"/>
          <w:highlight w:val="yellow"/>
        </w:rPr>
        <w:t>a</w:t>
      </w:r>
      <w:r w:rsidR="00F87838" w:rsidRPr="00DA3BC7">
        <w:rPr>
          <w:rFonts w:ascii="Times New Roman" w:hAnsi="Times New Roman" w:cs="Times Ext Roman" w:hint="eastAsia"/>
          <w:sz w:val="20"/>
        </w:rPr>
        <w:t>9</w:t>
      </w:r>
      <w:r w:rsidR="00F87838" w:rsidRPr="00DA3BC7">
        <w:rPr>
          <w:rFonts w:ascii="Times New Roman" w:hAnsi="Times New Roman" w:cs="Times Ext Roman" w:hint="eastAsia"/>
          <w:sz w:val="20"/>
        </w:rPr>
        <w:t>）</w:t>
      </w:r>
    </w:p>
    <w:p w:rsidR="00AF0EEA" w:rsidRPr="00DA3BC7" w:rsidRDefault="00AF0EEA" w:rsidP="00110E14">
      <w:pPr>
        <w:ind w:leftChars="200" w:left="480"/>
        <w:jc w:val="both"/>
        <w:rPr>
          <w:rFonts w:ascii="Times New Roman" w:hAnsi="Times New Roman" w:cs="Times Ext Roman"/>
        </w:rPr>
      </w:pPr>
      <w:r w:rsidRPr="00DA3BC7">
        <w:rPr>
          <w:rFonts w:ascii="Times New Roman" w:hAnsi="Times New Roman" w:cs="Times Ext Roman"/>
        </w:rPr>
        <w:t>我是同情空宗的，但也主張融會空有。不過所融會的空有，不是空宗與有宗，是</w:t>
      </w:r>
      <w:r w:rsidRPr="00DA3BC7">
        <w:rPr>
          <w:rFonts w:ascii="Times New Roman" w:hAnsi="Times New Roman" w:cs="Times Ext Roman"/>
          <w:b/>
        </w:rPr>
        <w:t>從即空而有</w:t>
      </w:r>
      <w:r w:rsidRPr="00DA3BC7">
        <w:rPr>
          <w:rFonts w:ascii="Times New Roman" w:hAnsi="Times New Roman" w:cs="Times Ext Roman" w:hint="eastAsia"/>
          <w:b/>
        </w:rPr>
        <w:t>、</w:t>
      </w:r>
      <w:r w:rsidRPr="00DA3BC7">
        <w:rPr>
          <w:rFonts w:ascii="Times New Roman" w:hAnsi="Times New Roman" w:cs="Times Ext Roman"/>
          <w:b/>
        </w:rPr>
        <w:t>即有而空的中觀中，使真妄、事理、性相、空有、平等與差別等，能得到相依而不相礙的總貫</w:t>
      </w:r>
      <w:r w:rsidRPr="00DA3BC7">
        <w:rPr>
          <w:rFonts w:ascii="Times New Roman" w:hAnsi="Times New Roman" w:cs="Times Ext Roman"/>
        </w:rPr>
        <w:t>。本論末後幾章</w:t>
      </w:r>
      <w:r w:rsidRPr="00DA3BC7">
        <w:rPr>
          <w:rStyle w:val="a6"/>
          <w:rFonts w:ascii="Times New Roman" w:hAnsi="Times New Roman" w:cs="Times Ext Roman"/>
        </w:rPr>
        <w:footnoteReference w:id="54"/>
      </w:r>
      <w:r w:rsidRPr="00DA3BC7">
        <w:rPr>
          <w:rFonts w:ascii="Times New Roman" w:hAnsi="Times New Roman" w:cs="Times Ext Roman"/>
        </w:rPr>
        <w:t>，即著重於此。</w:t>
      </w:r>
    </w:p>
    <w:p w:rsidR="00BD627A" w:rsidRDefault="00BD627A" w:rsidP="00AE3920">
      <w:pPr>
        <w:spacing w:beforeLines="30"/>
        <w:ind w:leftChars="200" w:left="480"/>
        <w:jc w:val="both"/>
        <w:rPr>
          <w:rFonts w:ascii="Times New Roman" w:hAnsi="Times New Roman" w:cs="Times Ext Roman"/>
          <w:b/>
          <w:color w:val="FF0000"/>
          <w:sz w:val="20"/>
          <w:bdr w:val="single" w:sz="4" w:space="0" w:color="auto"/>
        </w:rPr>
      </w:pPr>
      <w:r>
        <w:rPr>
          <w:rFonts w:ascii="Times New Roman" w:hAnsi="Times New Roman" w:cs="Times Ext Roman" w:hint="eastAsia"/>
          <w:b/>
          <w:color w:val="FF0000"/>
          <w:sz w:val="20"/>
          <w:highlight w:val="yellow"/>
          <w:bdr w:val="single" w:sz="4" w:space="0" w:color="auto"/>
        </w:rPr>
        <w:t>2</w:t>
      </w:r>
      <w:r w:rsidRPr="00BD627A">
        <w:rPr>
          <w:rFonts w:ascii="Times New Roman" w:hAnsi="Times New Roman" w:cs="Times Ext Roman" w:hint="eastAsia"/>
          <w:b/>
          <w:color w:val="FF0000"/>
          <w:sz w:val="20"/>
          <w:highlight w:val="yellow"/>
          <w:bdr w:val="single" w:sz="4" w:space="0" w:color="auto"/>
        </w:rPr>
        <w:t>、</w:t>
      </w:r>
      <w:r>
        <w:rPr>
          <w:rFonts w:ascii="Times New Roman" w:hAnsi="Times New Roman" w:cs="Times Ext Roman" w:hint="eastAsia"/>
          <w:b/>
          <w:color w:val="FF0000"/>
          <w:sz w:val="20"/>
          <w:highlight w:val="yellow"/>
          <w:bdr w:val="single" w:sz="4" w:space="0" w:color="auto"/>
        </w:rPr>
        <w:t>責任的承擔者</w:t>
      </w:r>
      <w:r w:rsidR="00F87838" w:rsidRPr="00DA3BC7">
        <w:rPr>
          <w:rFonts w:ascii="Times New Roman" w:hAnsi="Times New Roman" w:cs="Times Ext Roman" w:hint="eastAsia"/>
          <w:sz w:val="20"/>
        </w:rPr>
        <w:t>（</w:t>
      </w:r>
      <w:r w:rsidR="00F87838" w:rsidRPr="00DA3BC7">
        <w:rPr>
          <w:rFonts w:ascii="Times New Roman" w:hAnsi="Times New Roman" w:cs="Times Ext Roman" w:hint="eastAsia"/>
          <w:sz w:val="20"/>
        </w:rPr>
        <w:t>p.</w:t>
      </w:r>
      <w:r w:rsidR="00DD55DB" w:rsidRPr="00DD55DB">
        <w:rPr>
          <w:rFonts w:ascii="Times New Roman" w:hAnsi="Times New Roman" w:cs="Times Ext Roman" w:hint="eastAsia"/>
          <w:color w:val="FF0000"/>
          <w:sz w:val="20"/>
          <w:highlight w:val="yellow"/>
        </w:rPr>
        <w:t>a</w:t>
      </w:r>
      <w:r w:rsidR="00F87838" w:rsidRPr="00DA3BC7">
        <w:rPr>
          <w:rFonts w:ascii="Times New Roman" w:hAnsi="Times New Roman" w:cs="Times Ext Roman" w:hint="eastAsia"/>
          <w:sz w:val="20"/>
        </w:rPr>
        <w:t>9</w:t>
      </w:r>
      <w:r w:rsidR="00F87838" w:rsidRPr="00DA3BC7">
        <w:rPr>
          <w:rFonts w:ascii="Times New Roman" w:hAnsi="Times New Roman" w:cs="Times Ext Roman" w:hint="eastAsia"/>
          <w:sz w:val="20"/>
        </w:rPr>
        <w:t>）</w:t>
      </w:r>
    </w:p>
    <w:p w:rsidR="00AF0EEA" w:rsidRPr="00DA3BC7" w:rsidRDefault="00AF0EEA" w:rsidP="00110E14">
      <w:pPr>
        <w:ind w:leftChars="200" w:left="480"/>
        <w:jc w:val="both"/>
        <w:rPr>
          <w:rFonts w:ascii="Times New Roman" w:hAnsi="Times New Roman" w:cs="Times Ext Roman"/>
        </w:rPr>
      </w:pPr>
      <w:r w:rsidRPr="00DA3BC7">
        <w:rPr>
          <w:rFonts w:ascii="Times New Roman" w:hAnsi="Times New Roman" w:cs="Times Ext Roman"/>
        </w:rPr>
        <w:t>我覺得和會空有，空宗是最能負起這個責任的。即有而空，即空而有，這是怎樣的融通無礙！在這根本的特見中，一切學派的契機契理的教說，無不可以一以貫之</w:t>
      </w:r>
      <w:r w:rsidRPr="00DA3BC7">
        <w:rPr>
          <w:rStyle w:val="a6"/>
          <w:rFonts w:ascii="Times New Roman" w:hAnsi="Times New Roman" w:cs="Times Ext Roman"/>
        </w:rPr>
        <w:footnoteReference w:id="55"/>
      </w:r>
      <w:r w:rsidRPr="00DA3BC7">
        <w:rPr>
          <w:rFonts w:ascii="Times New Roman" w:hAnsi="Times New Roman" w:cs="Times Ext Roman"/>
        </w:rPr>
        <w:t>，這有待於中觀者的不斷努力！</w:t>
      </w:r>
    </w:p>
    <w:p w:rsidR="00AF0EEA" w:rsidRPr="00DA3BC7" w:rsidRDefault="00AF0EEA" w:rsidP="00AE3920">
      <w:pPr>
        <w:spacing w:beforeLines="100"/>
        <w:jc w:val="right"/>
        <w:rPr>
          <w:rFonts w:ascii="Times New Roman" w:hAnsi="Times New Roman" w:cs="Times Ext Roman"/>
        </w:rPr>
      </w:pPr>
      <w:r w:rsidRPr="00DA3BC7">
        <w:rPr>
          <w:rFonts w:ascii="Times New Roman" w:hAnsi="Times New Roman" w:cs="Times Ext Roman"/>
        </w:rPr>
        <w:t>三十八年五月二日，在廈門南普陀寺大覺講社校讀畢，附序。</w:t>
      </w:r>
    </w:p>
    <w:p w:rsidR="00AF0EEA" w:rsidRPr="00DA3BC7" w:rsidRDefault="00AF0EEA" w:rsidP="00AE3920">
      <w:pPr>
        <w:spacing w:beforeLines="100"/>
        <w:ind w:right="120"/>
        <w:jc w:val="right"/>
        <w:rPr>
          <w:rFonts w:ascii="Times New Roman" w:hAnsi="Times New Roman" w:cs="Times Ext Roman"/>
        </w:rPr>
        <w:sectPr w:rsidR="00AF0EEA" w:rsidRPr="00DA3BC7" w:rsidSect="0081605C">
          <w:headerReference w:type="even" r:id="rId13"/>
          <w:headerReference w:type="default" r:id="rId14"/>
          <w:footnotePr>
            <w:numRestart w:val="eachSect"/>
          </w:footnotePr>
          <w:pgSz w:w="10773" w:h="14742" w:code="9"/>
          <w:pgMar w:top="1418" w:right="1418" w:bottom="1418" w:left="1418" w:header="851" w:footer="992" w:gutter="0"/>
          <w:pgNumType w:start="1"/>
          <w:cols w:space="425"/>
          <w:docGrid w:type="lines" w:linePitch="360"/>
        </w:sectPr>
      </w:pPr>
    </w:p>
    <w:p w:rsidR="00B17647" w:rsidRPr="00DA3BC7" w:rsidRDefault="00B17647" w:rsidP="008E2BBC">
      <w:pPr>
        <w:pStyle w:val="1"/>
      </w:pPr>
      <w:bookmarkStart w:id="9" w:name="_Toc405499739"/>
      <w:r w:rsidRPr="00DA3BC7">
        <w:rPr>
          <w:rFonts w:hint="eastAsia"/>
        </w:rPr>
        <w:lastRenderedPageBreak/>
        <w:t>《中觀今論》</w:t>
      </w:r>
      <w:bookmarkEnd w:id="9"/>
    </w:p>
    <w:p w:rsidR="00B17647" w:rsidRPr="00DA3BC7" w:rsidRDefault="00B17647" w:rsidP="008E2BBC">
      <w:pPr>
        <w:pStyle w:val="2"/>
      </w:pPr>
      <w:bookmarkStart w:id="10" w:name="_Toc405287325"/>
      <w:bookmarkStart w:id="11" w:name="_Toc405287797"/>
      <w:bookmarkStart w:id="12" w:name="_Toc405499740"/>
      <w:r w:rsidRPr="00DA3BC7">
        <w:rPr>
          <w:rFonts w:hint="eastAsia"/>
        </w:rPr>
        <w:t>〈引言〉</w:t>
      </w:r>
      <w:bookmarkEnd w:id="10"/>
      <w:bookmarkEnd w:id="11"/>
      <w:bookmarkEnd w:id="12"/>
    </w:p>
    <w:p w:rsidR="00B17647" w:rsidRPr="00DA3BC7" w:rsidRDefault="00B17647" w:rsidP="008E2BBC">
      <w:pPr>
        <w:jc w:val="center"/>
        <w:rPr>
          <w:rFonts w:ascii="Times New Roman" w:eastAsia="標楷體" w:hAnsi="Times New Roman"/>
          <w:b/>
        </w:rPr>
      </w:pPr>
      <w:r w:rsidRPr="00DA3BC7">
        <w:rPr>
          <w:rFonts w:ascii="Times New Roman" w:eastAsia="標楷體" w:hAnsi="Times New Roman" w:hint="eastAsia"/>
        </w:rPr>
        <w:t>（</w:t>
      </w:r>
      <w:r w:rsidRPr="00DA3BC7">
        <w:rPr>
          <w:rFonts w:ascii="Times New Roman" w:eastAsia="標楷體" w:hAnsi="Times New Roman"/>
        </w:rPr>
        <w:t>pp.1-4</w:t>
      </w:r>
      <w:r w:rsidRPr="00DA3BC7">
        <w:rPr>
          <w:rFonts w:ascii="Times New Roman" w:eastAsia="標楷體" w:hAnsi="Times New Roman" w:hint="eastAsia"/>
        </w:rPr>
        <w:t>）</w:t>
      </w:r>
    </w:p>
    <w:p w:rsidR="00B17647" w:rsidRPr="00DA3BC7" w:rsidRDefault="00B17647" w:rsidP="008E2BBC">
      <w:pPr>
        <w:pStyle w:val="Author"/>
      </w:pPr>
    </w:p>
    <w:p w:rsidR="00B17647" w:rsidRPr="00DA3BC7" w:rsidRDefault="00B17647" w:rsidP="00AE3920">
      <w:pPr>
        <w:spacing w:beforeLines="50"/>
        <w:jc w:val="both"/>
        <w:rPr>
          <w:rFonts w:ascii="Times New Roman" w:hAnsi="Times New Roman"/>
          <w:sz w:val="20"/>
          <w:szCs w:val="20"/>
          <w:bdr w:val="single" w:sz="4" w:space="0" w:color="auto"/>
        </w:rPr>
      </w:pPr>
      <w:r w:rsidRPr="00DA3BC7">
        <w:rPr>
          <w:rFonts w:ascii="Times New Roman" w:hAnsi="Times New Roman" w:hint="eastAsia"/>
          <w:b/>
          <w:sz w:val="20"/>
          <w:szCs w:val="20"/>
          <w:bdr w:val="single" w:sz="4" w:space="0" w:color="auto"/>
        </w:rPr>
        <w:t>壹、「空、緣起、中道」</w:t>
      </w:r>
      <w:r w:rsidR="0066093B" w:rsidRPr="0066093B">
        <w:rPr>
          <w:rFonts w:ascii="Times New Roman" w:hAnsi="Times New Roman" w:hint="eastAsia"/>
          <w:b/>
          <w:color w:val="FF0000"/>
          <w:sz w:val="20"/>
          <w:szCs w:val="20"/>
          <w:highlight w:val="yellow"/>
          <w:bdr w:val="single" w:sz="4" w:space="0" w:color="auto"/>
        </w:rPr>
        <w:t>，</w:t>
      </w:r>
      <w:r w:rsidRPr="00DA3BC7">
        <w:rPr>
          <w:rFonts w:ascii="Times New Roman" w:hAnsi="Times New Roman" w:hint="eastAsia"/>
          <w:b/>
          <w:sz w:val="20"/>
          <w:szCs w:val="20"/>
          <w:bdr w:val="single" w:sz="4" w:space="0" w:color="auto"/>
        </w:rPr>
        <w:t>名</w:t>
      </w:r>
      <w:r w:rsidRPr="0066093B">
        <w:rPr>
          <w:rFonts w:ascii="Times New Roman" w:hAnsi="Times New Roman" w:hint="eastAsia"/>
          <w:b/>
          <w:color w:val="FF0000"/>
          <w:sz w:val="20"/>
          <w:szCs w:val="20"/>
          <w:highlight w:val="yellow"/>
          <w:bdr w:val="single" w:sz="4" w:space="0" w:color="auto"/>
        </w:rPr>
        <w:t>異</w:t>
      </w:r>
      <w:r w:rsidR="0066093B" w:rsidRPr="0066093B">
        <w:rPr>
          <w:rFonts w:ascii="Times New Roman" w:hAnsi="Times New Roman" w:hint="eastAsia"/>
          <w:b/>
          <w:color w:val="FF0000"/>
          <w:sz w:val="20"/>
          <w:szCs w:val="20"/>
          <w:highlight w:val="yellow"/>
          <w:bdr w:val="single" w:sz="4" w:space="0" w:color="auto"/>
        </w:rPr>
        <w:t>而義一</w:t>
      </w:r>
      <w:r w:rsidRPr="00DA3BC7">
        <w:rPr>
          <w:rFonts w:ascii="Times New Roman" w:hAnsi="Times New Roman" w:hint="eastAsia"/>
          <w:sz w:val="20"/>
          <w:szCs w:val="20"/>
        </w:rPr>
        <w:t>（</w:t>
      </w:r>
      <w:r w:rsidRPr="00DA3BC7">
        <w:rPr>
          <w:rFonts w:ascii="Times New Roman" w:hAnsi="Times New Roman"/>
          <w:sz w:val="20"/>
          <w:szCs w:val="20"/>
        </w:rPr>
        <w:t>pp.1-3</w:t>
      </w:r>
      <w:r w:rsidRPr="00DA3BC7">
        <w:rPr>
          <w:rFonts w:ascii="Times New Roman" w:hAnsi="Times New Roman" w:hint="eastAsia"/>
          <w:sz w:val="20"/>
          <w:szCs w:val="20"/>
        </w:rPr>
        <w:t>）</w:t>
      </w:r>
    </w:p>
    <w:p w:rsidR="00B17647" w:rsidRPr="00DA3BC7" w:rsidRDefault="00B17647" w:rsidP="008E2BBC">
      <w:pPr>
        <w:ind w:leftChars="50" w:left="120"/>
        <w:jc w:val="both"/>
        <w:rPr>
          <w:rFonts w:ascii="Times New Roman" w:hAnsi="Times New Roman"/>
          <w:b/>
          <w:sz w:val="20"/>
          <w:szCs w:val="20"/>
          <w:bdr w:val="single" w:sz="4" w:space="0" w:color="auto"/>
        </w:rPr>
      </w:pPr>
      <w:r w:rsidRPr="00DA3BC7">
        <w:rPr>
          <w:rFonts w:ascii="Times New Roman" w:hAnsi="Times New Roman" w:hint="eastAsia"/>
          <w:b/>
          <w:sz w:val="20"/>
          <w:szCs w:val="20"/>
          <w:bdr w:val="single" w:sz="4" w:space="0" w:color="auto"/>
        </w:rPr>
        <w:t>（壹）</w:t>
      </w:r>
      <w:r w:rsidRPr="0066093B">
        <w:rPr>
          <w:rFonts w:ascii="Times New Roman" w:hAnsi="Times New Roman" w:hint="eastAsia"/>
          <w:b/>
          <w:sz w:val="20"/>
          <w:szCs w:val="20"/>
          <w:highlight w:val="yellow"/>
          <w:bdr w:val="single" w:sz="4" w:space="0" w:color="auto"/>
        </w:rPr>
        <w:t>總</w:t>
      </w:r>
      <w:r w:rsidRPr="00DA3BC7">
        <w:rPr>
          <w:rFonts w:ascii="Times New Roman" w:hAnsi="Times New Roman" w:hint="eastAsia"/>
          <w:b/>
          <w:sz w:val="20"/>
          <w:szCs w:val="20"/>
          <w:bdr w:val="single" w:sz="4" w:space="0" w:color="auto"/>
        </w:rPr>
        <w:t>標</w:t>
      </w:r>
      <w:r w:rsidR="0066093B" w:rsidRPr="0066093B">
        <w:rPr>
          <w:rFonts w:ascii="Times New Roman" w:hAnsi="Times New Roman" w:hint="eastAsia"/>
          <w:b/>
          <w:color w:val="FF0000"/>
          <w:sz w:val="20"/>
          <w:szCs w:val="20"/>
          <w:highlight w:val="yellow"/>
          <w:bdr w:val="single" w:sz="4" w:space="0" w:color="auto"/>
        </w:rPr>
        <w:t>──引論明</w:t>
      </w:r>
      <w:r w:rsidRPr="00DA3BC7">
        <w:rPr>
          <w:rFonts w:ascii="Times New Roman" w:hAnsi="Times New Roman" w:hint="eastAsia"/>
          <w:sz w:val="20"/>
          <w:szCs w:val="20"/>
        </w:rPr>
        <w:t>（</w:t>
      </w:r>
      <w:r w:rsidRPr="00DA3BC7">
        <w:rPr>
          <w:rFonts w:ascii="Times New Roman" w:hAnsi="Times New Roman"/>
          <w:sz w:val="20"/>
          <w:szCs w:val="20"/>
        </w:rPr>
        <w:t>p.1</w:t>
      </w:r>
      <w:r w:rsidRPr="00DA3BC7">
        <w:rPr>
          <w:rFonts w:ascii="Times New Roman" w:hAnsi="Times New Roman" w:hint="eastAsia"/>
          <w:sz w:val="20"/>
          <w:szCs w:val="20"/>
        </w:rPr>
        <w:t>）</w:t>
      </w:r>
    </w:p>
    <w:p w:rsidR="00B17647" w:rsidRPr="00DA3BC7" w:rsidRDefault="00B17647" w:rsidP="00A3357A">
      <w:pPr>
        <w:ind w:leftChars="50" w:left="120"/>
        <w:jc w:val="both"/>
        <w:rPr>
          <w:rFonts w:ascii="Times New Roman" w:hAnsi="Times New Roman"/>
        </w:rPr>
      </w:pPr>
      <w:r w:rsidRPr="00DA3BC7">
        <w:rPr>
          <w:rFonts w:ascii="Times New Roman" w:hAnsi="Times New Roman" w:hint="eastAsia"/>
        </w:rPr>
        <w:t>「</w:t>
      </w:r>
      <w:r w:rsidRPr="00DA3BC7">
        <w:rPr>
          <w:rFonts w:ascii="Times New Roman" w:eastAsia="標楷體" w:hAnsi="Times New Roman" w:hint="eastAsia"/>
        </w:rPr>
        <w:t>佛說空緣起，中道為一義；敬禮佛世尊，無比最勝說！</w:t>
      </w:r>
      <w:r w:rsidRPr="00DA3BC7">
        <w:rPr>
          <w:rFonts w:ascii="Times New Roman" w:hAnsi="Times New Roman" w:hint="eastAsia"/>
        </w:rPr>
        <w:t>」（《迴諍論》）</w:t>
      </w:r>
      <w:r w:rsidRPr="00DA3BC7">
        <w:rPr>
          <w:rStyle w:val="a6"/>
          <w:rFonts w:ascii="Times New Roman" w:hAnsi="Times New Roman"/>
        </w:rPr>
        <w:footnoteReference w:id="56"/>
      </w:r>
    </w:p>
    <w:p w:rsidR="00B17647" w:rsidRPr="00DA3BC7" w:rsidRDefault="00B17647" w:rsidP="00AE3920">
      <w:pPr>
        <w:spacing w:beforeLines="30"/>
        <w:ind w:leftChars="50" w:left="120"/>
        <w:jc w:val="both"/>
        <w:rPr>
          <w:rFonts w:ascii="Times New Roman" w:hAnsi="Times New Roman"/>
          <w:b/>
          <w:sz w:val="20"/>
          <w:szCs w:val="20"/>
          <w:bdr w:val="single" w:sz="4" w:space="0" w:color="auto"/>
        </w:rPr>
      </w:pPr>
      <w:r w:rsidRPr="00DA3BC7">
        <w:rPr>
          <w:rFonts w:ascii="Times New Roman" w:hAnsi="Times New Roman" w:hint="eastAsia"/>
          <w:b/>
          <w:sz w:val="20"/>
          <w:szCs w:val="20"/>
          <w:bdr w:val="single" w:sz="4" w:space="0" w:color="auto"/>
        </w:rPr>
        <w:t>（貳）別釋「緣起、空、中道</w:t>
      </w:r>
      <w:r w:rsidR="00183F26" w:rsidRPr="00183F26">
        <w:rPr>
          <w:rFonts w:ascii="Times New Roman" w:hAnsi="Times New Roman" w:hint="eastAsia"/>
          <w:b/>
          <w:color w:val="FF0000"/>
          <w:sz w:val="20"/>
          <w:szCs w:val="20"/>
          <w:highlight w:val="yellow"/>
          <w:bdr w:val="single" w:sz="4" w:space="0" w:color="auto"/>
        </w:rPr>
        <w:t>」</w:t>
      </w:r>
      <w:r w:rsidRPr="00DA3BC7">
        <w:rPr>
          <w:rStyle w:val="a6"/>
          <w:rFonts w:ascii="Times New Roman" w:hAnsi="Times New Roman"/>
        </w:rPr>
        <w:footnoteReference w:id="57"/>
      </w:r>
      <w:r w:rsidRPr="00DA3BC7">
        <w:rPr>
          <w:rFonts w:ascii="Times New Roman" w:hAnsi="Times New Roman" w:hint="eastAsia"/>
          <w:sz w:val="20"/>
          <w:szCs w:val="20"/>
        </w:rPr>
        <w:t>（</w:t>
      </w:r>
      <w:r w:rsidRPr="00DA3BC7">
        <w:rPr>
          <w:rFonts w:ascii="Times New Roman" w:hAnsi="Times New Roman"/>
          <w:sz w:val="20"/>
          <w:szCs w:val="20"/>
        </w:rPr>
        <w:t>pp.1-3</w:t>
      </w:r>
      <w:r w:rsidRPr="00DA3BC7">
        <w:rPr>
          <w:rFonts w:ascii="Times New Roman" w:hAnsi="Times New Roman" w:hint="eastAsia"/>
          <w:sz w:val="20"/>
          <w:szCs w:val="20"/>
        </w:rPr>
        <w:t>）</w:t>
      </w:r>
    </w:p>
    <w:p w:rsidR="00B17647" w:rsidRDefault="00B17647" w:rsidP="008E2BBC">
      <w:pPr>
        <w:ind w:leftChars="100" w:left="240"/>
        <w:jc w:val="both"/>
        <w:rPr>
          <w:rFonts w:ascii="Times New Roman" w:hAnsi="Times New Roman"/>
          <w:sz w:val="20"/>
          <w:szCs w:val="20"/>
        </w:rPr>
      </w:pPr>
      <w:r w:rsidRPr="00DA3BC7">
        <w:rPr>
          <w:rFonts w:ascii="Times New Roman" w:hAnsi="Times New Roman" w:hint="eastAsia"/>
          <w:b/>
          <w:sz w:val="20"/>
          <w:szCs w:val="20"/>
          <w:bdr w:val="single" w:sz="4" w:space="0" w:color="auto"/>
        </w:rPr>
        <w:t>一、</w:t>
      </w:r>
      <w:r w:rsidR="00FD0614" w:rsidRPr="00FD0614">
        <w:rPr>
          <w:rFonts w:ascii="Times New Roman" w:hAnsi="Times New Roman" w:hint="eastAsia"/>
          <w:b/>
          <w:color w:val="FF0000"/>
          <w:sz w:val="20"/>
          <w:szCs w:val="20"/>
          <w:highlight w:val="yellow"/>
          <w:bdr w:val="single" w:sz="4" w:space="0" w:color="auto"/>
        </w:rPr>
        <w:t>「</w:t>
      </w:r>
      <w:r w:rsidRPr="00DA3BC7">
        <w:rPr>
          <w:rFonts w:ascii="Times New Roman" w:hAnsi="Times New Roman" w:hint="eastAsia"/>
          <w:b/>
          <w:sz w:val="20"/>
          <w:szCs w:val="20"/>
          <w:bdr w:val="single" w:sz="4" w:space="0" w:color="auto"/>
        </w:rPr>
        <w:t>緣起</w:t>
      </w:r>
      <w:r w:rsidR="00FD0614" w:rsidRPr="00183F26">
        <w:rPr>
          <w:rFonts w:ascii="Times New Roman" w:hAnsi="Times New Roman" w:hint="eastAsia"/>
          <w:b/>
          <w:color w:val="FF0000"/>
          <w:sz w:val="20"/>
          <w:szCs w:val="20"/>
          <w:highlight w:val="yellow"/>
          <w:bdr w:val="single" w:sz="4" w:space="0" w:color="auto"/>
        </w:rPr>
        <w:t>」</w:t>
      </w:r>
      <w:r w:rsidR="0066093B" w:rsidRPr="0066093B">
        <w:rPr>
          <w:rFonts w:ascii="Times New Roman" w:hAnsi="Times New Roman" w:hint="eastAsia"/>
          <w:b/>
          <w:color w:val="FF0000"/>
          <w:sz w:val="20"/>
          <w:szCs w:val="20"/>
          <w:highlight w:val="yellow"/>
          <w:bdr w:val="single" w:sz="4" w:space="0" w:color="auto"/>
        </w:rPr>
        <w:t>即</w:t>
      </w:r>
      <w:r w:rsidR="00FD0614" w:rsidRPr="00FD0614">
        <w:rPr>
          <w:rFonts w:ascii="Times New Roman" w:hAnsi="Times New Roman" w:hint="eastAsia"/>
          <w:b/>
          <w:color w:val="FF0000"/>
          <w:sz w:val="20"/>
          <w:szCs w:val="20"/>
          <w:highlight w:val="yellow"/>
          <w:bdr w:val="single" w:sz="4" w:space="0" w:color="auto"/>
        </w:rPr>
        <w:t>「</w:t>
      </w:r>
      <w:r w:rsidR="0066093B" w:rsidRPr="0066093B">
        <w:rPr>
          <w:rFonts w:ascii="Times New Roman" w:hAnsi="Times New Roman" w:hint="eastAsia"/>
          <w:b/>
          <w:color w:val="FF0000"/>
          <w:sz w:val="20"/>
          <w:szCs w:val="20"/>
          <w:highlight w:val="yellow"/>
          <w:bdr w:val="single" w:sz="4" w:space="0" w:color="auto"/>
        </w:rPr>
        <w:t>空</w:t>
      </w:r>
      <w:r w:rsidR="00FD0614" w:rsidRPr="00183F26">
        <w:rPr>
          <w:rFonts w:ascii="Times New Roman" w:hAnsi="Times New Roman" w:hint="eastAsia"/>
          <w:b/>
          <w:color w:val="FF0000"/>
          <w:sz w:val="20"/>
          <w:szCs w:val="20"/>
          <w:highlight w:val="yellow"/>
          <w:bdr w:val="single" w:sz="4" w:space="0" w:color="auto"/>
        </w:rPr>
        <w:t>」</w:t>
      </w:r>
      <w:r w:rsidRPr="00DA3BC7">
        <w:rPr>
          <w:rFonts w:ascii="Times New Roman" w:hAnsi="Times New Roman" w:hint="eastAsia"/>
          <w:sz w:val="20"/>
          <w:szCs w:val="20"/>
        </w:rPr>
        <w:t>（</w:t>
      </w:r>
      <w:r w:rsidR="0066093B" w:rsidRPr="007A7970">
        <w:rPr>
          <w:rFonts w:ascii="Times New Roman" w:hAnsi="Times New Roman"/>
          <w:sz w:val="20"/>
          <w:szCs w:val="20"/>
        </w:rPr>
        <w:t>p</w:t>
      </w:r>
      <w:r w:rsidR="0066093B" w:rsidRPr="007A7970">
        <w:rPr>
          <w:rFonts w:ascii="Times New Roman" w:hAnsi="Times New Roman" w:hint="eastAsia"/>
          <w:sz w:val="20"/>
          <w:szCs w:val="20"/>
        </w:rPr>
        <w:t>p</w:t>
      </w:r>
      <w:r w:rsidR="0066093B" w:rsidRPr="007A7970">
        <w:rPr>
          <w:rFonts w:ascii="Times New Roman" w:hAnsi="Times New Roman"/>
          <w:sz w:val="20"/>
          <w:szCs w:val="20"/>
        </w:rPr>
        <w:t>.1</w:t>
      </w:r>
      <w:r w:rsidR="0066093B" w:rsidRPr="007A7970">
        <w:rPr>
          <w:rFonts w:ascii="Times New Roman" w:hAnsi="Times New Roman" w:hint="eastAsia"/>
          <w:sz w:val="20"/>
          <w:szCs w:val="20"/>
        </w:rPr>
        <w:t>-2</w:t>
      </w:r>
      <w:r w:rsidRPr="00DA3BC7">
        <w:rPr>
          <w:rFonts w:ascii="Times New Roman" w:hAnsi="Times New Roman" w:hint="eastAsia"/>
          <w:sz w:val="20"/>
          <w:szCs w:val="20"/>
        </w:rPr>
        <w:t>）</w:t>
      </w:r>
    </w:p>
    <w:p w:rsidR="0066093B" w:rsidRPr="0066093B" w:rsidRDefault="0066093B" w:rsidP="008E2BBC">
      <w:pPr>
        <w:ind w:leftChars="150" w:left="360"/>
        <w:jc w:val="both"/>
        <w:rPr>
          <w:rFonts w:ascii="Times New Roman" w:hAnsi="Times New Roman"/>
          <w:b/>
          <w:color w:val="FF0000"/>
          <w:sz w:val="20"/>
          <w:szCs w:val="20"/>
          <w:highlight w:val="yellow"/>
          <w:bdr w:val="single" w:sz="4" w:space="0" w:color="auto"/>
        </w:rPr>
      </w:pPr>
      <w:r w:rsidRPr="0066093B">
        <w:rPr>
          <w:rFonts w:ascii="Times New Roman" w:hAnsi="Times New Roman" w:hint="eastAsia"/>
          <w:b/>
          <w:color w:val="FF0000"/>
          <w:sz w:val="20"/>
          <w:szCs w:val="20"/>
          <w:highlight w:val="yellow"/>
          <w:bdr w:val="single" w:sz="4" w:space="0" w:color="auto"/>
        </w:rPr>
        <w:t>（一）正明</w:t>
      </w:r>
      <w:r w:rsidRPr="007A7970">
        <w:rPr>
          <w:rFonts w:ascii="Times New Roman" w:hAnsi="Times New Roman" w:hint="eastAsia"/>
          <w:sz w:val="20"/>
          <w:szCs w:val="20"/>
        </w:rPr>
        <w:t>（</w:t>
      </w:r>
      <w:r w:rsidRPr="007A7970">
        <w:rPr>
          <w:rFonts w:ascii="Times New Roman" w:hAnsi="Times New Roman"/>
          <w:sz w:val="20"/>
          <w:szCs w:val="20"/>
        </w:rPr>
        <w:t>p</w:t>
      </w:r>
      <w:r w:rsidRPr="007A7970">
        <w:rPr>
          <w:rFonts w:ascii="Times New Roman" w:hAnsi="Times New Roman" w:hint="eastAsia"/>
          <w:sz w:val="20"/>
          <w:szCs w:val="20"/>
        </w:rPr>
        <w:t>p</w:t>
      </w:r>
      <w:r w:rsidRPr="007A7970">
        <w:rPr>
          <w:rFonts w:ascii="Times New Roman" w:hAnsi="Times New Roman"/>
          <w:sz w:val="20"/>
          <w:szCs w:val="20"/>
        </w:rPr>
        <w:t>.1</w:t>
      </w:r>
      <w:r w:rsidRPr="007A7970">
        <w:rPr>
          <w:rFonts w:ascii="Times New Roman" w:hAnsi="Times New Roman" w:hint="eastAsia"/>
          <w:sz w:val="20"/>
          <w:szCs w:val="20"/>
        </w:rPr>
        <w:t>-2</w:t>
      </w:r>
      <w:r w:rsidRPr="007A7970">
        <w:rPr>
          <w:rFonts w:ascii="Times New Roman" w:hAnsi="Times New Roman" w:hint="eastAsia"/>
          <w:sz w:val="20"/>
          <w:szCs w:val="20"/>
        </w:rPr>
        <w:t>）</w:t>
      </w:r>
    </w:p>
    <w:p w:rsidR="00B17647" w:rsidRPr="00DA3BC7" w:rsidRDefault="00B17647" w:rsidP="00A3357A">
      <w:pPr>
        <w:ind w:leftChars="150" w:left="360"/>
        <w:jc w:val="both"/>
        <w:rPr>
          <w:rFonts w:ascii="Times New Roman" w:hAnsi="Times New Roman"/>
        </w:rPr>
      </w:pPr>
      <w:r w:rsidRPr="00DA3BC7">
        <w:rPr>
          <w:rFonts w:ascii="Times New Roman" w:hAnsi="Times New Roman" w:hint="eastAsia"/>
        </w:rPr>
        <w:t>世間的一切事物，都是在相依相緣的關係下存在的；相依相緣的存在與生起，稱為「緣起」。</w:t>
      </w:r>
    </w:p>
    <w:p w:rsidR="00B17647" w:rsidRPr="00DA3BC7" w:rsidRDefault="00B17647" w:rsidP="00A3357A">
      <w:pPr>
        <w:ind w:leftChars="150" w:left="360"/>
        <w:jc w:val="both"/>
        <w:rPr>
          <w:rFonts w:ascii="Times New Roman" w:hAnsi="Times New Roman"/>
        </w:rPr>
      </w:pPr>
      <w:r w:rsidRPr="00DA3BC7">
        <w:rPr>
          <w:rFonts w:ascii="Times New Roman" w:hAnsi="Times New Roman" w:hint="eastAsia"/>
        </w:rPr>
        <w:t>凡是緣起的，沒有不是受著種種關係的局限與決定；受種種關係條件而決定其形態與作用的緣起法，即不能不是無自性的。</w:t>
      </w:r>
    </w:p>
    <w:p w:rsidR="00A87EFE" w:rsidRDefault="00B17647" w:rsidP="00A3357A">
      <w:pPr>
        <w:ind w:leftChars="150" w:left="360"/>
        <w:jc w:val="both"/>
        <w:rPr>
          <w:rFonts w:ascii="Times New Roman" w:hAnsi="Times New Roman"/>
        </w:rPr>
      </w:pPr>
      <w:r w:rsidRPr="00DA3BC7">
        <w:rPr>
          <w:rFonts w:ascii="Times New Roman" w:hAnsi="Times New Roman" w:hint="eastAsia"/>
        </w:rPr>
        <w:t>「自性」，即</w:t>
      </w:r>
      <w:r w:rsidRPr="00DA3BC7">
        <w:rPr>
          <w:rFonts w:ascii="Times New Roman" w:hAnsi="Times New Roman" w:hint="eastAsia"/>
          <w:b/>
        </w:rPr>
        <w:t>自有</w:t>
      </w:r>
      <w:r w:rsidRPr="00DA3BC7">
        <w:rPr>
          <w:rFonts w:ascii="Times New Roman" w:hAnsi="Times New Roman" w:hint="eastAsia"/>
        </w:rPr>
        <w:t>或</w:t>
      </w:r>
      <w:r w:rsidRPr="00DA3BC7">
        <w:rPr>
          <w:rFonts w:ascii="Times New Roman" w:hAnsi="Times New Roman" w:hint="eastAsia"/>
          <w:b/>
        </w:rPr>
        <w:t>自成</w:t>
      </w:r>
      <w:r w:rsidRPr="00DA3BC7">
        <w:rPr>
          <w:rFonts w:ascii="Times New Roman" w:hAnsi="Times New Roman" w:hint="eastAsia"/>
        </w:rPr>
        <w:t>，有</w:t>
      </w:r>
      <w:r w:rsidRPr="00DA3BC7">
        <w:rPr>
          <w:rFonts w:ascii="Times New Roman" w:hAnsi="Times New Roman" w:hint="eastAsia"/>
          <w:b/>
        </w:rPr>
        <w:t>自體存在</w:t>
      </w:r>
      <w:r w:rsidRPr="00DA3BC7">
        <w:rPr>
          <w:rFonts w:ascii="Times New Roman" w:hAnsi="Times New Roman" w:hint="eastAsia"/>
        </w:rPr>
        <w:t>或</w:t>
      </w:r>
      <w:r w:rsidRPr="00DA3BC7">
        <w:rPr>
          <w:rFonts w:ascii="Times New Roman" w:hAnsi="Times New Roman" w:hint="eastAsia"/>
          <w:b/>
        </w:rPr>
        <w:t>自己規定自己</w:t>
      </w:r>
      <w:r w:rsidRPr="00DA3BC7">
        <w:rPr>
          <w:rFonts w:ascii="Times New Roman" w:hAnsi="Times New Roman" w:hint="eastAsia"/>
        </w:rPr>
        <w:t>的意思。</w:t>
      </w:r>
    </w:p>
    <w:p w:rsidR="00B17647" w:rsidRPr="00DA3BC7" w:rsidRDefault="00B17647" w:rsidP="00A3357A">
      <w:pPr>
        <w:ind w:leftChars="150" w:left="360"/>
        <w:jc w:val="both"/>
        <w:rPr>
          <w:rFonts w:ascii="Times New Roman" w:hAnsi="Times New Roman"/>
        </w:rPr>
      </w:pPr>
      <w:r w:rsidRPr="00A87EFE">
        <w:rPr>
          <w:rFonts w:ascii="Times New Roman" w:hAnsi="Times New Roman" w:hint="eastAsia"/>
          <w:highlight w:val="yellow"/>
        </w:rPr>
        <w:t>現</w:t>
      </w:r>
      <w:r w:rsidRPr="00DA3BC7">
        <w:rPr>
          <w:rFonts w:ascii="Times New Roman" w:hAnsi="Times New Roman" w:hint="eastAsia"/>
        </w:rPr>
        <w:t>在說一切都是關係的存在，是依緣所起法，這與</w:t>
      </w:r>
      <w:r w:rsidRPr="00DA3BC7">
        <w:rPr>
          <w:rFonts w:ascii="Times New Roman" w:hAnsi="Times New Roman" w:hint="eastAsia"/>
          <w:b/>
        </w:rPr>
        <w:t>自性</w:t>
      </w:r>
      <w:r w:rsidRPr="00DA3BC7">
        <w:rPr>
          <w:rFonts w:ascii="新細明體" w:hint="eastAsia"/>
        </w:rPr>
        <w:t>──</w:t>
      </w:r>
      <w:r w:rsidRPr="00DA3BC7">
        <w:rPr>
          <w:rFonts w:ascii="Times New Roman" w:hAnsi="Times New Roman" w:hint="eastAsia"/>
          <w:b/>
        </w:rPr>
        <w:t>自有</w:t>
      </w:r>
      <w:r w:rsidRPr="00DA3BC7">
        <w:rPr>
          <w:rFonts w:ascii="Times New Roman" w:hAnsi="Times New Roman" w:hint="eastAsia"/>
        </w:rPr>
        <w:t>、</w:t>
      </w:r>
      <w:r w:rsidRPr="00DA3BC7">
        <w:rPr>
          <w:rFonts w:ascii="Times New Roman" w:hAnsi="Times New Roman" w:hint="eastAsia"/>
          <w:b/>
        </w:rPr>
        <w:t>自成</w:t>
      </w:r>
      <w:r w:rsidRPr="00DA3BC7">
        <w:rPr>
          <w:rFonts w:ascii="Times New Roman" w:hAnsi="Times New Roman" w:hint="eastAsia"/>
        </w:rPr>
        <w:t>、</w:t>
      </w:r>
      <w:r w:rsidRPr="00DA3BC7">
        <w:rPr>
          <w:rFonts w:ascii="Times New Roman" w:hAnsi="Times New Roman" w:hint="eastAsia"/>
          <w:b/>
        </w:rPr>
        <w:t>自體存在</w:t>
      </w:r>
      <w:r w:rsidRPr="00DA3BC7">
        <w:rPr>
          <w:rFonts w:ascii="Times New Roman" w:hAnsi="Times New Roman" w:hint="eastAsia"/>
        </w:rPr>
        <w:t>的含義，恰好相反。</w:t>
      </w:r>
      <w:r w:rsidRPr="00DA3BC7">
        <w:rPr>
          <w:rStyle w:val="a6"/>
          <w:rFonts w:ascii="Times New Roman" w:hAnsi="Times New Roman"/>
        </w:rPr>
        <w:footnoteReference w:id="58"/>
      </w:r>
    </w:p>
    <w:p w:rsidR="00B17647" w:rsidRPr="00DA3BC7" w:rsidRDefault="00B17647" w:rsidP="00A3357A">
      <w:pPr>
        <w:ind w:leftChars="150" w:left="360"/>
        <w:jc w:val="both"/>
        <w:rPr>
          <w:rFonts w:ascii="Times New Roman" w:hAnsi="Times New Roman"/>
        </w:rPr>
      </w:pPr>
      <w:r w:rsidRPr="00DA3BC7">
        <w:rPr>
          <w:rFonts w:ascii="Times New Roman" w:hAnsi="Times New Roman" w:hint="eastAsia"/>
        </w:rPr>
        <w:lastRenderedPageBreak/>
        <w:t>所以凡是緣起的，即是無自性的；無自性的，即名之為「空」。</w:t>
      </w:r>
    </w:p>
    <w:p w:rsidR="00B17647" w:rsidRPr="00DA3BC7" w:rsidRDefault="00B17647" w:rsidP="00A3357A">
      <w:pPr>
        <w:ind w:leftChars="150" w:left="360"/>
        <w:jc w:val="both"/>
        <w:rPr>
          <w:rFonts w:ascii="Times New Roman" w:hAnsi="Times New Roman"/>
        </w:rPr>
      </w:pPr>
      <w:r w:rsidRPr="00DA3BC7">
        <w:rPr>
          <w:rFonts w:ascii="Times New Roman" w:hAnsi="Times New Roman" w:hint="eastAsia"/>
          <w:b/>
        </w:rPr>
        <w:t>緣起即空</w:t>
      </w:r>
      <w:r w:rsidRPr="00DA3BC7">
        <w:rPr>
          <w:rFonts w:ascii="Times New Roman" w:hAnsi="Times New Roman" w:hint="eastAsia"/>
        </w:rPr>
        <w:t>，是中觀大乘最基本而最扼要的論題。</w:t>
      </w:r>
    </w:p>
    <w:p w:rsidR="0066093B" w:rsidRDefault="0066093B" w:rsidP="00AE3920">
      <w:pPr>
        <w:spacing w:beforeLines="20"/>
        <w:ind w:leftChars="150" w:left="360"/>
        <w:jc w:val="both"/>
        <w:rPr>
          <w:rFonts w:ascii="Times New Roman" w:hAnsi="Times New Roman"/>
          <w:sz w:val="20"/>
          <w:szCs w:val="20"/>
        </w:rPr>
      </w:pPr>
      <w:r w:rsidRPr="0066093B">
        <w:rPr>
          <w:rFonts w:ascii="Times New Roman" w:hAnsi="Times New Roman" w:hint="eastAsia"/>
          <w:b/>
          <w:color w:val="FF0000"/>
          <w:sz w:val="20"/>
          <w:szCs w:val="20"/>
          <w:highlight w:val="yellow"/>
          <w:bdr w:val="single" w:sz="4" w:space="0" w:color="auto"/>
        </w:rPr>
        <w:t>（二）兼顯「空」義</w:t>
      </w:r>
      <w:r w:rsidRPr="00DA3BC7">
        <w:rPr>
          <w:rFonts w:ascii="Times New Roman" w:hAnsi="Times New Roman" w:hint="eastAsia"/>
          <w:sz w:val="20"/>
          <w:szCs w:val="20"/>
        </w:rPr>
        <w:t>（</w:t>
      </w:r>
      <w:r w:rsidRPr="00DA3BC7">
        <w:rPr>
          <w:rFonts w:ascii="Times New Roman" w:hAnsi="Times New Roman"/>
          <w:sz w:val="20"/>
          <w:szCs w:val="20"/>
        </w:rPr>
        <w:t>p.2</w:t>
      </w:r>
      <w:r w:rsidRPr="00DA3BC7">
        <w:rPr>
          <w:rFonts w:ascii="Times New Roman" w:hAnsi="Times New Roman" w:hint="eastAsia"/>
          <w:sz w:val="20"/>
          <w:szCs w:val="20"/>
        </w:rPr>
        <w:t>）</w:t>
      </w:r>
    </w:p>
    <w:p w:rsidR="0066093B" w:rsidRDefault="0066093B" w:rsidP="007A7970">
      <w:pPr>
        <w:ind w:leftChars="200" w:left="480"/>
        <w:jc w:val="both"/>
        <w:rPr>
          <w:rFonts w:ascii="Times New Roman" w:hAnsi="Times New Roman"/>
          <w:sz w:val="20"/>
          <w:szCs w:val="20"/>
        </w:rPr>
      </w:pPr>
      <w:r>
        <w:rPr>
          <w:rFonts w:ascii="Times New Roman" w:hAnsi="Times New Roman" w:hint="eastAsia"/>
          <w:b/>
          <w:color w:val="FF0000"/>
          <w:sz w:val="20"/>
          <w:szCs w:val="20"/>
          <w:highlight w:val="yellow"/>
          <w:bdr w:val="single" w:sz="4" w:space="0" w:color="auto"/>
        </w:rPr>
        <w:t>1</w:t>
      </w:r>
      <w:r>
        <w:rPr>
          <w:rFonts w:ascii="Times New Roman" w:hAnsi="Times New Roman" w:hint="eastAsia"/>
          <w:b/>
          <w:color w:val="FF0000"/>
          <w:sz w:val="20"/>
          <w:szCs w:val="20"/>
          <w:highlight w:val="yellow"/>
          <w:bdr w:val="single" w:sz="4" w:space="0" w:color="auto"/>
        </w:rPr>
        <w:t>、超脫而現覺</w:t>
      </w:r>
      <w:r w:rsidR="00B45A48" w:rsidRPr="00DA3BC7">
        <w:rPr>
          <w:rFonts w:ascii="Times New Roman" w:hAnsi="Times New Roman" w:hint="eastAsia"/>
          <w:sz w:val="20"/>
          <w:szCs w:val="20"/>
        </w:rPr>
        <w:t>（</w:t>
      </w:r>
      <w:r w:rsidR="00B45A48" w:rsidRPr="00DA3BC7">
        <w:rPr>
          <w:rFonts w:ascii="Times New Roman" w:hAnsi="Times New Roman"/>
          <w:sz w:val="20"/>
          <w:szCs w:val="20"/>
        </w:rPr>
        <w:t>p.2</w:t>
      </w:r>
      <w:r w:rsidR="00B45A48" w:rsidRPr="00DA3BC7">
        <w:rPr>
          <w:rFonts w:ascii="Times New Roman" w:hAnsi="Times New Roman" w:hint="eastAsia"/>
          <w:sz w:val="20"/>
          <w:szCs w:val="20"/>
        </w:rPr>
        <w:t>）</w:t>
      </w:r>
    </w:p>
    <w:p w:rsidR="00B17647" w:rsidRPr="00DA3BC7" w:rsidRDefault="00B17647" w:rsidP="00A3357A">
      <w:pPr>
        <w:ind w:leftChars="200" w:left="480"/>
        <w:jc w:val="both"/>
        <w:rPr>
          <w:rFonts w:ascii="Times New Roman" w:hAnsi="Times New Roman"/>
        </w:rPr>
      </w:pPr>
      <w:r w:rsidRPr="00DA3BC7">
        <w:rPr>
          <w:rFonts w:ascii="Times New Roman" w:hAnsi="Times New Roman" w:hint="eastAsia"/>
        </w:rPr>
        <w:t>自性，為人類普遍成見的根本錯亂；空，即是超脫了這自性的倒亂錯覺，現覺到一切真相。</w:t>
      </w:r>
    </w:p>
    <w:p w:rsidR="00B17647" w:rsidRPr="00DA3BC7" w:rsidRDefault="00B17647" w:rsidP="00A3357A">
      <w:pPr>
        <w:ind w:leftChars="200" w:left="480"/>
        <w:jc w:val="both"/>
        <w:rPr>
          <w:rFonts w:ascii="Times New Roman" w:hAnsi="Times New Roman"/>
        </w:rPr>
      </w:pPr>
      <w:r w:rsidRPr="00DA3BC7">
        <w:rPr>
          <w:rFonts w:ascii="Times New Roman" w:hAnsi="Times New Roman" w:hint="eastAsia"/>
        </w:rPr>
        <w:t>所以空是畢竟空，是超越有無而離一切戲論的空寂，即空相也不復存在，這不是常人所認為與不空相待的空。</w:t>
      </w:r>
    </w:p>
    <w:p w:rsidR="00B17647" w:rsidRPr="00DA3BC7" w:rsidRDefault="0066093B" w:rsidP="00AE3920">
      <w:pPr>
        <w:spacing w:beforeLines="30"/>
        <w:ind w:leftChars="200" w:left="480"/>
        <w:jc w:val="both"/>
        <w:rPr>
          <w:rFonts w:ascii="Times New Roman" w:hAnsi="Times New Roman"/>
          <w:sz w:val="20"/>
          <w:bdr w:val="single" w:sz="4" w:space="0" w:color="auto"/>
        </w:rPr>
      </w:pPr>
      <w:r>
        <w:rPr>
          <w:rFonts w:ascii="Times New Roman" w:hAnsi="Times New Roman" w:hint="eastAsia"/>
          <w:b/>
          <w:color w:val="FF0000"/>
          <w:sz w:val="20"/>
          <w:szCs w:val="20"/>
          <w:highlight w:val="yellow"/>
          <w:bdr w:val="single" w:sz="4" w:space="0" w:color="auto"/>
        </w:rPr>
        <w:t>2</w:t>
      </w:r>
      <w:r>
        <w:rPr>
          <w:rFonts w:ascii="Times New Roman" w:hAnsi="Times New Roman" w:hint="eastAsia"/>
          <w:b/>
          <w:color w:val="FF0000"/>
          <w:sz w:val="20"/>
          <w:szCs w:val="20"/>
          <w:highlight w:val="yellow"/>
          <w:bdr w:val="single" w:sz="4" w:space="0" w:color="auto"/>
        </w:rPr>
        <w:t>、度生而施設</w:t>
      </w:r>
      <w:r w:rsidRPr="00DA3BC7">
        <w:rPr>
          <w:rFonts w:ascii="Times New Roman" w:hAnsi="Times New Roman" w:hint="eastAsia"/>
          <w:sz w:val="20"/>
          <w:szCs w:val="20"/>
        </w:rPr>
        <w:t>（</w:t>
      </w:r>
      <w:r w:rsidRPr="00DA3BC7">
        <w:rPr>
          <w:rFonts w:ascii="Times New Roman" w:hAnsi="Times New Roman"/>
          <w:sz w:val="20"/>
          <w:szCs w:val="20"/>
        </w:rPr>
        <w:t>p.2</w:t>
      </w:r>
      <w:r w:rsidRPr="00DA3BC7">
        <w:rPr>
          <w:rFonts w:ascii="Times New Roman" w:hAnsi="Times New Roman" w:hint="eastAsia"/>
          <w:sz w:val="20"/>
          <w:szCs w:val="20"/>
        </w:rPr>
        <w:t>）</w:t>
      </w:r>
    </w:p>
    <w:p w:rsidR="00B17647" w:rsidRPr="00DA3BC7" w:rsidRDefault="00B17647" w:rsidP="00A3357A">
      <w:pPr>
        <w:ind w:leftChars="200" w:left="480"/>
        <w:jc w:val="both"/>
        <w:rPr>
          <w:rFonts w:ascii="Times New Roman" w:hAnsi="Times New Roman"/>
        </w:rPr>
      </w:pPr>
      <w:r w:rsidRPr="00DA3BC7">
        <w:rPr>
          <w:rFonts w:ascii="Times New Roman" w:hAnsi="Times New Roman" w:hint="eastAsia"/>
        </w:rPr>
        <w:t>然而，既稱之為空，在言說上即落於相待，也還是假名安立的。空的言外之意，在超越一切分別戲論而內證於寂滅。</w:t>
      </w:r>
    </w:p>
    <w:p w:rsidR="00B17647" w:rsidRPr="00DA3BC7" w:rsidRDefault="00B17647" w:rsidP="00AE3920">
      <w:pPr>
        <w:spacing w:beforeLines="20"/>
        <w:ind w:leftChars="200" w:left="480"/>
        <w:jc w:val="both"/>
        <w:rPr>
          <w:rFonts w:ascii="Times New Roman" w:hAnsi="Times New Roman"/>
        </w:rPr>
      </w:pPr>
      <w:r w:rsidRPr="00DA3BC7">
        <w:rPr>
          <w:rFonts w:ascii="Times New Roman" w:hAnsi="Times New Roman" w:hint="eastAsia"/>
        </w:rPr>
        <w:t>這唯證相應的境地，如何可以言說？所以說之為空，乃為了度脫眾生，不得已即眾生固有的名言而巧用之，用以洗盪</w:t>
      </w:r>
      <w:r w:rsidRPr="00DA3BC7">
        <w:rPr>
          <w:rStyle w:val="a6"/>
          <w:rFonts w:ascii="Times New Roman" w:hAnsi="Times New Roman"/>
        </w:rPr>
        <w:footnoteReference w:id="59"/>
      </w:r>
      <w:r w:rsidRPr="00DA3BC7">
        <w:rPr>
          <w:rFonts w:ascii="Times New Roman" w:hAnsi="Times New Roman" w:hint="eastAsia"/>
        </w:rPr>
        <w:t>一切，使達於「蕭然無寄</w:t>
      </w:r>
      <w:r w:rsidRPr="00DA3BC7">
        <w:rPr>
          <w:rStyle w:val="a6"/>
          <w:rFonts w:ascii="Times New Roman" w:hAnsi="Times New Roman"/>
        </w:rPr>
        <w:footnoteReference w:id="60"/>
      </w:r>
      <w:r w:rsidRPr="00DA3BC7">
        <w:rPr>
          <w:rFonts w:ascii="Times New Roman" w:hAnsi="Times New Roman" w:hint="eastAsia"/>
        </w:rPr>
        <w:t>」的正覺。</w:t>
      </w:r>
    </w:p>
    <w:p w:rsidR="00D37EBA" w:rsidRDefault="00B17647" w:rsidP="00AE3920">
      <w:pPr>
        <w:spacing w:beforeLines="20"/>
        <w:ind w:leftChars="200" w:left="480"/>
        <w:jc w:val="both"/>
        <w:rPr>
          <w:rFonts w:ascii="Times New Roman" w:hAnsi="Times New Roman"/>
        </w:rPr>
      </w:pPr>
      <w:r w:rsidRPr="00DA3BC7">
        <w:rPr>
          <w:rFonts w:ascii="Times New Roman" w:hAnsi="Times New Roman" w:hint="eastAsia"/>
        </w:rPr>
        <w:t>《大智度論》曾這樣說：「</w:t>
      </w:r>
      <w:r w:rsidRPr="00DA3BC7">
        <w:rPr>
          <w:rFonts w:ascii="Times New Roman" w:eastAsia="標楷體" w:hAnsi="Times New Roman" w:hint="eastAsia"/>
        </w:rPr>
        <w:t>為可度眾生故，說是畢竟空相。</w:t>
      </w:r>
      <w:r w:rsidRPr="00DA3BC7">
        <w:rPr>
          <w:rFonts w:ascii="Times New Roman" w:hAnsi="Times New Roman" w:hint="eastAsia"/>
        </w:rPr>
        <w:t>」</w:t>
      </w:r>
      <w:r w:rsidRPr="00DA3BC7">
        <w:rPr>
          <w:rStyle w:val="a6"/>
          <w:rFonts w:ascii="Times New Roman" w:hAnsi="Times New Roman"/>
        </w:rPr>
        <w:footnoteReference w:id="61"/>
      </w:r>
    </w:p>
    <w:p w:rsidR="00B17647" w:rsidRPr="00DA3BC7" w:rsidRDefault="00B17647" w:rsidP="00A3357A">
      <w:pPr>
        <w:ind w:leftChars="200" w:left="480"/>
        <w:jc w:val="both"/>
        <w:rPr>
          <w:rFonts w:ascii="Times New Roman" w:hAnsi="Times New Roman"/>
        </w:rPr>
      </w:pPr>
      <w:r w:rsidRPr="00DA3BC7">
        <w:rPr>
          <w:rFonts w:ascii="Times New Roman" w:hAnsi="Times New Roman" w:hint="eastAsia"/>
        </w:rPr>
        <w:t>《中論》青目釋也說：「</w:t>
      </w:r>
      <w:r w:rsidRPr="00DA3BC7">
        <w:rPr>
          <w:rFonts w:ascii="Times New Roman" w:eastAsia="標楷體" w:hAnsi="Times New Roman" w:hint="eastAsia"/>
        </w:rPr>
        <w:t>空亦復空，但為引導眾生故以假名說。</w:t>
      </w:r>
      <w:r w:rsidRPr="00DA3BC7">
        <w:rPr>
          <w:rFonts w:ascii="Times New Roman" w:hAnsi="Times New Roman" w:hint="eastAsia"/>
        </w:rPr>
        <w:t>」</w:t>
      </w:r>
      <w:r w:rsidRPr="00DA3BC7">
        <w:rPr>
          <w:rStyle w:val="a6"/>
          <w:rFonts w:ascii="Times New Roman" w:hAnsi="Times New Roman"/>
        </w:rPr>
        <w:footnoteReference w:id="62"/>
      </w:r>
    </w:p>
    <w:p w:rsidR="00B17647" w:rsidRPr="00DA3BC7" w:rsidRDefault="0066093B" w:rsidP="00AE3920">
      <w:pPr>
        <w:spacing w:beforeLines="30"/>
        <w:ind w:leftChars="100" w:left="240"/>
        <w:jc w:val="both"/>
        <w:rPr>
          <w:rFonts w:ascii="Times New Roman" w:hAnsi="Times New Roman"/>
          <w:sz w:val="20"/>
          <w:bdr w:val="single" w:sz="4" w:space="0" w:color="auto"/>
        </w:rPr>
      </w:pPr>
      <w:r>
        <w:rPr>
          <w:rFonts w:ascii="Times New Roman" w:hAnsi="Times New Roman" w:hint="eastAsia"/>
          <w:b/>
          <w:color w:val="FF0000"/>
          <w:sz w:val="20"/>
          <w:highlight w:val="yellow"/>
          <w:bdr w:val="single" w:sz="4" w:space="0" w:color="auto"/>
        </w:rPr>
        <w:lastRenderedPageBreak/>
        <w:t>二</w:t>
      </w:r>
      <w:r w:rsidR="00B17647" w:rsidRPr="00D37EBA">
        <w:rPr>
          <w:rFonts w:ascii="Times New Roman" w:hAnsi="Times New Roman" w:hint="eastAsia"/>
          <w:b/>
          <w:color w:val="FF0000"/>
          <w:sz w:val="20"/>
          <w:highlight w:val="yellow"/>
          <w:bdr w:val="single" w:sz="4" w:space="0" w:color="auto"/>
        </w:rPr>
        <w:t>、</w:t>
      </w:r>
      <w:r w:rsidRPr="0066093B">
        <w:rPr>
          <w:rFonts w:ascii="Times New Roman" w:hAnsi="Times New Roman" w:hint="eastAsia"/>
          <w:b/>
          <w:color w:val="FF0000"/>
          <w:sz w:val="20"/>
          <w:highlight w:val="yellow"/>
          <w:bdr w:val="single" w:sz="4" w:space="0" w:color="auto"/>
        </w:rPr>
        <w:t>「</w:t>
      </w:r>
      <w:r w:rsidRPr="00F65674">
        <w:rPr>
          <w:rFonts w:ascii="Times New Roman" w:hAnsi="Times New Roman" w:hint="eastAsia"/>
          <w:b/>
          <w:sz w:val="20"/>
          <w:szCs w:val="20"/>
          <w:bdr w:val="single" w:sz="4" w:space="0" w:color="auto"/>
        </w:rPr>
        <w:t>空</w:t>
      </w:r>
      <w:r w:rsidRPr="0066093B">
        <w:rPr>
          <w:rFonts w:ascii="Times New Roman" w:hAnsi="Times New Roman" w:hint="eastAsia"/>
          <w:b/>
          <w:color w:val="FF0000"/>
          <w:sz w:val="20"/>
          <w:szCs w:val="20"/>
          <w:highlight w:val="yellow"/>
          <w:bdr w:val="single" w:sz="4" w:space="0" w:color="auto"/>
        </w:rPr>
        <w:t>」</w:t>
      </w:r>
      <w:r w:rsidRPr="00F65674">
        <w:rPr>
          <w:rFonts w:ascii="Times New Roman" w:hAnsi="Times New Roman" w:hint="eastAsia"/>
          <w:b/>
          <w:sz w:val="20"/>
          <w:szCs w:val="20"/>
          <w:bdr w:val="single" w:sz="4" w:space="0" w:color="auto"/>
        </w:rPr>
        <w:t>即</w:t>
      </w:r>
      <w:r w:rsidRPr="0066093B">
        <w:rPr>
          <w:rFonts w:ascii="Times New Roman" w:hAnsi="Times New Roman" w:hint="eastAsia"/>
          <w:b/>
          <w:color w:val="FF0000"/>
          <w:sz w:val="20"/>
          <w:szCs w:val="20"/>
          <w:highlight w:val="yellow"/>
          <w:bdr w:val="single" w:sz="4" w:space="0" w:color="auto"/>
        </w:rPr>
        <w:t>「</w:t>
      </w:r>
      <w:r w:rsidRPr="00DA3BC7">
        <w:rPr>
          <w:rFonts w:ascii="Times New Roman" w:hAnsi="Times New Roman" w:hint="eastAsia"/>
          <w:b/>
          <w:sz w:val="20"/>
          <w:szCs w:val="20"/>
          <w:bdr w:val="single" w:sz="4" w:space="0" w:color="auto"/>
        </w:rPr>
        <w:t>中道</w:t>
      </w:r>
      <w:r w:rsidRPr="0066093B">
        <w:rPr>
          <w:rFonts w:ascii="Times New Roman" w:hAnsi="Times New Roman" w:hint="eastAsia"/>
          <w:b/>
          <w:color w:val="FF0000"/>
          <w:sz w:val="20"/>
          <w:highlight w:val="yellow"/>
          <w:bdr w:val="single" w:sz="4" w:space="0" w:color="auto"/>
        </w:rPr>
        <w:t>」</w:t>
      </w:r>
      <w:r w:rsidR="00B17647" w:rsidRPr="00DA3BC7">
        <w:rPr>
          <w:rFonts w:ascii="Times New Roman" w:hAnsi="Times New Roman" w:hint="eastAsia"/>
          <w:sz w:val="20"/>
          <w:szCs w:val="20"/>
        </w:rPr>
        <w:t>（</w:t>
      </w:r>
      <w:r w:rsidR="00B17647" w:rsidRPr="00DA3BC7">
        <w:rPr>
          <w:rFonts w:ascii="Times New Roman" w:hAnsi="Times New Roman"/>
          <w:sz w:val="20"/>
          <w:szCs w:val="20"/>
        </w:rPr>
        <w:t>p.2</w:t>
      </w:r>
      <w:r w:rsidR="00B17647" w:rsidRPr="00DA3BC7">
        <w:rPr>
          <w:rFonts w:ascii="Times New Roman" w:hAnsi="Times New Roman" w:hint="eastAsia"/>
          <w:sz w:val="20"/>
          <w:szCs w:val="20"/>
        </w:rPr>
        <w:t>）</w:t>
      </w:r>
    </w:p>
    <w:p w:rsidR="00B17647" w:rsidRPr="00DA3BC7" w:rsidRDefault="00B17647" w:rsidP="00A3357A">
      <w:pPr>
        <w:ind w:leftChars="100" w:left="240"/>
        <w:jc w:val="both"/>
        <w:rPr>
          <w:rFonts w:ascii="Times New Roman" w:hAnsi="Times New Roman"/>
        </w:rPr>
      </w:pPr>
      <w:r w:rsidRPr="00DA3BC7">
        <w:rPr>
          <w:rFonts w:ascii="Times New Roman" w:hAnsi="Times New Roman" w:hint="eastAsia"/>
        </w:rPr>
        <w:t>緣起無自性而即空，如標月指，豁</w:t>
      </w:r>
      <w:r w:rsidRPr="00DA3BC7">
        <w:rPr>
          <w:rStyle w:val="a6"/>
          <w:rFonts w:ascii="Times New Roman" w:hAnsi="Times New Roman"/>
        </w:rPr>
        <w:footnoteReference w:id="63"/>
      </w:r>
      <w:r w:rsidRPr="00DA3BC7">
        <w:rPr>
          <w:rFonts w:ascii="Times New Roman" w:hAnsi="Times New Roman" w:hint="eastAsia"/>
        </w:rPr>
        <w:t>破有無二邊的戲論分別而寂滅，所以空即是「中道」。</w:t>
      </w:r>
    </w:p>
    <w:p w:rsidR="00B17647" w:rsidRPr="00DA3BC7" w:rsidRDefault="00B17647" w:rsidP="00AE3920">
      <w:pPr>
        <w:spacing w:beforeLines="30"/>
        <w:ind w:leftChars="50" w:left="120"/>
        <w:jc w:val="both"/>
        <w:rPr>
          <w:rFonts w:ascii="Times New Roman" w:hAnsi="Times New Roman"/>
          <w:sz w:val="20"/>
          <w:bdr w:val="single" w:sz="4" w:space="0" w:color="auto"/>
        </w:rPr>
      </w:pPr>
      <w:r w:rsidRPr="00DA3BC7">
        <w:rPr>
          <w:rFonts w:ascii="Times New Roman" w:hAnsi="Times New Roman" w:hint="eastAsia"/>
          <w:b/>
          <w:sz w:val="20"/>
          <w:bdr w:val="single" w:sz="4" w:space="0" w:color="auto"/>
        </w:rPr>
        <w:t>（</w:t>
      </w:r>
      <w:r w:rsidR="00FC5046" w:rsidRPr="00DA3BC7">
        <w:rPr>
          <w:rFonts w:ascii="Times New Roman" w:hAnsi="Times New Roman" w:hint="eastAsia"/>
          <w:b/>
          <w:sz w:val="20"/>
          <w:bdr w:val="single" w:sz="4" w:space="0" w:color="auto"/>
        </w:rPr>
        <w:t>參</w:t>
      </w:r>
      <w:r w:rsidRPr="00DA3BC7">
        <w:rPr>
          <w:rFonts w:ascii="Times New Roman" w:hAnsi="Times New Roman" w:hint="eastAsia"/>
          <w:b/>
          <w:sz w:val="20"/>
          <w:bdr w:val="single" w:sz="4" w:space="0" w:color="auto"/>
        </w:rPr>
        <w:t>）</w:t>
      </w:r>
      <w:r w:rsidRPr="00DA3BC7">
        <w:rPr>
          <w:rFonts w:ascii="Times New Roman" w:hAnsi="Times New Roman" w:hint="eastAsia"/>
          <w:b/>
          <w:sz w:val="20"/>
          <w:szCs w:val="26"/>
          <w:bdr w:val="single" w:sz="4" w:space="0" w:color="auto"/>
        </w:rPr>
        <w:t>結</w:t>
      </w:r>
      <w:r w:rsidR="0066093B" w:rsidRPr="0066093B">
        <w:rPr>
          <w:rFonts w:ascii="Times New Roman" w:hAnsi="Times New Roman" w:hint="eastAsia"/>
          <w:b/>
          <w:color w:val="FF0000"/>
          <w:sz w:val="20"/>
          <w:szCs w:val="26"/>
          <w:highlight w:val="yellow"/>
          <w:bdr w:val="single" w:sz="4" w:space="0" w:color="auto"/>
        </w:rPr>
        <w:t>成</w:t>
      </w:r>
      <w:r w:rsidR="0066093B" w:rsidRPr="0066093B">
        <w:rPr>
          <w:rFonts w:ascii="Times New Roman" w:hAnsi="Times New Roman" w:hint="eastAsia"/>
          <w:b/>
          <w:color w:val="FF0000"/>
          <w:sz w:val="20"/>
          <w:highlight w:val="yellow"/>
          <w:bdr w:val="single" w:sz="4" w:space="0" w:color="auto"/>
        </w:rPr>
        <w:t>──</w:t>
      </w:r>
      <w:r w:rsidR="0066093B" w:rsidRPr="00AA7AE1">
        <w:rPr>
          <w:rFonts w:ascii="Times New Roman" w:hAnsi="Times New Roman" w:hint="eastAsia"/>
          <w:b/>
          <w:color w:val="FF0000"/>
          <w:sz w:val="20"/>
          <w:highlight w:val="yellow"/>
          <w:bdr w:val="single" w:sz="4" w:space="0" w:color="auto"/>
        </w:rPr>
        <w:t>歎</w:t>
      </w:r>
      <w:r w:rsidR="00A43FBD" w:rsidRPr="00AA7AE1">
        <w:rPr>
          <w:rFonts w:ascii="Times New Roman" w:hAnsi="Times New Roman" w:hint="eastAsia"/>
          <w:b/>
          <w:color w:val="FF0000"/>
          <w:sz w:val="20"/>
          <w:szCs w:val="20"/>
          <w:highlight w:val="yellow"/>
          <w:bdr w:val="single" w:sz="4" w:space="0" w:color="auto"/>
        </w:rPr>
        <w:t>「</w:t>
      </w:r>
      <w:r w:rsidR="0066093B" w:rsidRPr="00AA7AE1">
        <w:rPr>
          <w:rFonts w:ascii="Times New Roman" w:hAnsi="Times New Roman" w:hint="eastAsia"/>
          <w:b/>
          <w:color w:val="FF0000"/>
          <w:sz w:val="20"/>
          <w:highlight w:val="yellow"/>
          <w:bdr w:val="single" w:sz="4" w:space="0" w:color="auto"/>
        </w:rPr>
        <w:t>法</w:t>
      </w:r>
      <w:r w:rsidR="00A43FBD" w:rsidRPr="00AA7AE1">
        <w:rPr>
          <w:rFonts w:ascii="Times New Roman" w:hAnsi="Times New Roman" w:hint="eastAsia"/>
          <w:b/>
          <w:color w:val="FF0000"/>
          <w:sz w:val="20"/>
          <w:highlight w:val="yellow"/>
          <w:bdr w:val="single" w:sz="4" w:space="0" w:color="auto"/>
        </w:rPr>
        <w:t>」</w:t>
      </w:r>
      <w:r w:rsidR="0066093B" w:rsidRPr="00AA7AE1">
        <w:rPr>
          <w:rFonts w:ascii="Times New Roman" w:hAnsi="Times New Roman" w:hint="eastAsia"/>
          <w:b/>
          <w:color w:val="FF0000"/>
          <w:sz w:val="20"/>
          <w:highlight w:val="yellow"/>
          <w:bdr w:val="single" w:sz="4" w:space="0" w:color="auto"/>
        </w:rPr>
        <w:t>美</w:t>
      </w:r>
      <w:r w:rsidR="00A43FBD" w:rsidRPr="00AA7AE1">
        <w:rPr>
          <w:rFonts w:ascii="Times New Roman" w:hAnsi="Times New Roman" w:hint="eastAsia"/>
          <w:b/>
          <w:color w:val="FF0000"/>
          <w:sz w:val="20"/>
          <w:szCs w:val="20"/>
          <w:highlight w:val="yellow"/>
          <w:bdr w:val="single" w:sz="4" w:space="0" w:color="auto"/>
        </w:rPr>
        <w:t>「</w:t>
      </w:r>
      <w:r w:rsidR="0066093B" w:rsidRPr="00AA7AE1">
        <w:rPr>
          <w:rFonts w:ascii="Times New Roman" w:hAnsi="Times New Roman" w:hint="eastAsia"/>
          <w:b/>
          <w:color w:val="FF0000"/>
          <w:sz w:val="20"/>
          <w:highlight w:val="yellow"/>
          <w:bdr w:val="single" w:sz="4" w:space="0" w:color="auto"/>
        </w:rPr>
        <w:t>人</w:t>
      </w:r>
      <w:r w:rsidR="00A43FBD" w:rsidRPr="00AA7AE1">
        <w:rPr>
          <w:rFonts w:ascii="Times New Roman" w:hAnsi="Times New Roman" w:hint="eastAsia"/>
          <w:b/>
          <w:color w:val="FF0000"/>
          <w:sz w:val="20"/>
          <w:highlight w:val="yellow"/>
          <w:bdr w:val="single" w:sz="4" w:space="0" w:color="auto"/>
        </w:rPr>
        <w:t>」</w:t>
      </w:r>
      <w:r w:rsidRPr="00DA3BC7">
        <w:rPr>
          <w:rFonts w:ascii="Times New Roman" w:hAnsi="Times New Roman" w:hint="eastAsia"/>
          <w:sz w:val="20"/>
        </w:rPr>
        <w:t>（</w:t>
      </w:r>
      <w:r w:rsidRPr="00DA3BC7">
        <w:rPr>
          <w:rFonts w:ascii="Times New Roman" w:hAnsi="Times New Roman"/>
          <w:sz w:val="20"/>
        </w:rPr>
        <w:t>pp.2-3</w:t>
      </w:r>
      <w:r w:rsidRPr="00DA3BC7">
        <w:rPr>
          <w:rFonts w:ascii="Times New Roman" w:hAnsi="Times New Roman" w:hint="eastAsia"/>
          <w:sz w:val="20"/>
        </w:rPr>
        <w:t>）</w:t>
      </w:r>
    </w:p>
    <w:p w:rsidR="0066093B" w:rsidRDefault="0066093B" w:rsidP="00A3357A">
      <w:pPr>
        <w:ind w:leftChars="100" w:left="240"/>
        <w:jc w:val="both"/>
        <w:rPr>
          <w:rFonts w:ascii="Times New Roman" w:hAnsi="Times New Roman"/>
          <w:sz w:val="20"/>
          <w:szCs w:val="20"/>
        </w:rPr>
      </w:pPr>
      <w:r>
        <w:rPr>
          <w:rFonts w:ascii="Times New Roman" w:hAnsi="Times New Roman" w:hint="eastAsia"/>
          <w:b/>
          <w:color w:val="FF0000"/>
          <w:sz w:val="20"/>
          <w:highlight w:val="yellow"/>
          <w:bdr w:val="single" w:sz="4" w:space="0" w:color="auto"/>
        </w:rPr>
        <w:t>一</w:t>
      </w:r>
      <w:r w:rsidRPr="0066093B">
        <w:rPr>
          <w:rFonts w:ascii="Times New Roman" w:hAnsi="Times New Roman" w:hint="eastAsia"/>
          <w:b/>
          <w:color w:val="FF0000"/>
          <w:sz w:val="20"/>
          <w:highlight w:val="yellow"/>
          <w:bdr w:val="single" w:sz="4" w:space="0" w:color="auto"/>
        </w:rPr>
        <w:t>、</w:t>
      </w:r>
      <w:r>
        <w:rPr>
          <w:rFonts w:ascii="Times New Roman" w:hAnsi="Times New Roman" w:hint="eastAsia"/>
          <w:b/>
          <w:color w:val="FF0000"/>
          <w:sz w:val="20"/>
          <w:highlight w:val="yellow"/>
          <w:bdr w:val="single" w:sz="4" w:space="0" w:color="auto"/>
        </w:rPr>
        <w:t>歎</w:t>
      </w:r>
      <w:r w:rsidR="00A43FBD" w:rsidRPr="0066093B">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highlight w:val="yellow"/>
          <w:bdr w:val="single" w:sz="4" w:space="0" w:color="auto"/>
        </w:rPr>
        <w:t>法之深邃</w:t>
      </w:r>
      <w:r w:rsidR="00A43FBD" w:rsidRPr="0066093B">
        <w:rPr>
          <w:rFonts w:ascii="Times New Roman" w:hAnsi="Times New Roman" w:hint="eastAsia"/>
          <w:b/>
          <w:color w:val="FF0000"/>
          <w:sz w:val="20"/>
          <w:highlight w:val="yellow"/>
          <w:bdr w:val="single" w:sz="4" w:space="0" w:color="auto"/>
        </w:rPr>
        <w:t>」</w:t>
      </w:r>
      <w:r w:rsidRPr="00DA3BC7">
        <w:rPr>
          <w:rFonts w:ascii="Times New Roman" w:hAnsi="Times New Roman" w:hint="eastAsia"/>
          <w:sz w:val="20"/>
          <w:szCs w:val="20"/>
        </w:rPr>
        <w:t>（</w:t>
      </w:r>
      <w:r w:rsidRPr="00DA3BC7">
        <w:rPr>
          <w:rFonts w:ascii="Times New Roman" w:hAnsi="Times New Roman"/>
          <w:sz w:val="20"/>
        </w:rPr>
        <w:t>pp.2-3</w:t>
      </w:r>
      <w:r w:rsidRPr="00DA3BC7">
        <w:rPr>
          <w:rFonts w:ascii="Times New Roman" w:hAnsi="Times New Roman" w:hint="eastAsia"/>
          <w:sz w:val="20"/>
          <w:szCs w:val="20"/>
        </w:rPr>
        <w:t>）</w:t>
      </w:r>
    </w:p>
    <w:p w:rsidR="0066093B" w:rsidRPr="00DA3BC7" w:rsidRDefault="0066093B" w:rsidP="00A3357A">
      <w:pPr>
        <w:ind w:leftChars="100" w:left="240"/>
        <w:jc w:val="both"/>
        <w:rPr>
          <w:rFonts w:ascii="Times New Roman" w:hAnsi="Times New Roman"/>
        </w:rPr>
      </w:pPr>
      <w:r w:rsidRPr="00DA3BC7">
        <w:rPr>
          <w:rFonts w:ascii="Times New Roman" w:hAnsi="Times New Roman" w:hint="eastAsia"/>
        </w:rPr>
        <w:t>中道依空而開顯，空依緣起而成立。依緣起無自性明空，無自性即是緣起；從空無自性中洞達緣起，就是正見了緣起的中道。</w:t>
      </w:r>
    </w:p>
    <w:p w:rsidR="00B17647" w:rsidRPr="00DA3BC7" w:rsidRDefault="00B17647" w:rsidP="00A3357A">
      <w:pPr>
        <w:ind w:leftChars="100" w:left="240"/>
        <w:jc w:val="both"/>
        <w:rPr>
          <w:rFonts w:ascii="Times New Roman" w:hAnsi="Times New Roman"/>
        </w:rPr>
      </w:pPr>
      <w:r w:rsidRPr="00DA3BC7">
        <w:rPr>
          <w:rFonts w:ascii="Times New Roman" w:hAnsi="Times New Roman" w:hint="eastAsia"/>
        </w:rPr>
        <w:t>所以，緣起、空、中道，在佛的巧便說明上，雖有三語的不同，而三者的內容，都不外用以顯明事物的本性。</w:t>
      </w:r>
    </w:p>
    <w:p w:rsidR="00B17647" w:rsidRPr="00DA3BC7" w:rsidRDefault="00B17647" w:rsidP="00AE3920">
      <w:pPr>
        <w:spacing w:beforeLines="20"/>
        <w:ind w:leftChars="100" w:left="240"/>
        <w:jc w:val="both"/>
        <w:rPr>
          <w:rFonts w:ascii="Times New Roman" w:hAnsi="Times New Roman"/>
        </w:rPr>
      </w:pPr>
      <w:r w:rsidRPr="00DA3BC7">
        <w:rPr>
          <w:rFonts w:ascii="Times New Roman" w:hAnsi="Times New Roman" w:hint="eastAsia"/>
        </w:rPr>
        <w:t>聖龍樹在《迴諍論》中，既明白地說到三者的同一；</w:t>
      </w:r>
    </w:p>
    <w:p w:rsidR="00B17647" w:rsidRPr="00DA3BC7" w:rsidRDefault="00B17647" w:rsidP="00A3357A">
      <w:pPr>
        <w:ind w:leftChars="100" w:left="240"/>
        <w:jc w:val="both"/>
        <w:rPr>
          <w:rFonts w:ascii="Times New Roman" w:hAnsi="Times New Roman"/>
        </w:rPr>
      </w:pPr>
      <w:r w:rsidRPr="00DA3BC7">
        <w:rPr>
          <w:rFonts w:ascii="Times New Roman" w:hAnsi="Times New Roman" w:hint="eastAsia"/>
        </w:rPr>
        <w:t>在《中論》也說：「</w:t>
      </w:r>
      <w:r w:rsidRPr="00DA3BC7">
        <w:rPr>
          <w:rFonts w:ascii="Times New Roman" w:eastAsia="標楷體" w:hAnsi="Times New Roman" w:hint="eastAsia"/>
        </w:rPr>
        <w:t>眾緣所生法，我說即是空，亦為是假名，亦是中道義。</w:t>
      </w:r>
      <w:r w:rsidRPr="00DA3BC7">
        <w:rPr>
          <w:rFonts w:ascii="Times New Roman" w:hAnsi="Times New Roman" w:hint="eastAsia"/>
        </w:rPr>
        <w:t>」</w:t>
      </w:r>
      <w:r w:rsidRPr="00DA3BC7">
        <w:rPr>
          <w:rStyle w:val="a6"/>
          <w:rFonts w:ascii="Times New Roman" w:hAnsi="Times New Roman"/>
        </w:rPr>
        <w:footnoteReference w:id="64"/>
      </w:r>
      <w:r w:rsidRPr="00DA3BC7">
        <w:rPr>
          <w:rFonts w:ascii="Times New Roman" w:hAnsi="Times New Roman" w:hint="eastAsia"/>
        </w:rPr>
        <w:t>（〈觀四諦品〉）</w:t>
      </w:r>
    </w:p>
    <w:p w:rsidR="00B17647" w:rsidRPr="00DA3BC7" w:rsidRDefault="00B17647" w:rsidP="00A3357A">
      <w:pPr>
        <w:ind w:leftChars="100" w:left="240"/>
        <w:jc w:val="both"/>
        <w:rPr>
          <w:rFonts w:ascii="Times New Roman" w:hAnsi="Times New Roman"/>
        </w:rPr>
      </w:pPr>
      <w:r w:rsidRPr="00DA3BC7">
        <w:rPr>
          <w:rFonts w:ascii="Times New Roman" w:hAnsi="Times New Roman" w:hint="eastAsia"/>
        </w:rPr>
        <w:t>緣起、空、中道的同一，為信解佛法所應當先有的正確認識。</w:t>
      </w:r>
    </w:p>
    <w:p w:rsidR="00B17647" w:rsidRPr="00DA3BC7" w:rsidRDefault="00B17647" w:rsidP="00AE3920">
      <w:pPr>
        <w:spacing w:beforeLines="20"/>
        <w:ind w:leftChars="100" w:left="240"/>
        <w:jc w:val="both"/>
        <w:rPr>
          <w:rFonts w:ascii="Times New Roman" w:hAnsi="Times New Roman"/>
        </w:rPr>
      </w:pPr>
      <w:r w:rsidRPr="00DA3BC7">
        <w:rPr>
          <w:rFonts w:ascii="Times New Roman" w:hAnsi="Times New Roman" w:hint="eastAsia"/>
        </w:rPr>
        <w:t>中觀學，就是對此佛陀根本教法，予以深入而嚴密的闡發者。龍樹深刻的把握了這個，窺見了佛陀自覺以及為眾生說法的根本心髓；唯有這，才是佛法中究竟的教說。</w:t>
      </w:r>
    </w:p>
    <w:p w:rsidR="00B17647" w:rsidRPr="00DA3BC7" w:rsidRDefault="0066093B" w:rsidP="00AE3920">
      <w:pPr>
        <w:spacing w:beforeLines="30"/>
        <w:ind w:leftChars="100" w:left="240"/>
        <w:jc w:val="both"/>
        <w:rPr>
          <w:rFonts w:ascii="Times New Roman" w:hAnsi="Times New Roman"/>
          <w:sz w:val="20"/>
          <w:szCs w:val="26"/>
          <w:bdr w:val="single" w:sz="4" w:space="0" w:color="auto"/>
        </w:rPr>
      </w:pPr>
      <w:r>
        <w:rPr>
          <w:rFonts w:ascii="Times New Roman" w:hAnsi="Times New Roman" w:hint="eastAsia"/>
          <w:b/>
          <w:color w:val="FF0000"/>
          <w:sz w:val="20"/>
          <w:szCs w:val="26"/>
          <w:highlight w:val="yellow"/>
          <w:bdr w:val="single" w:sz="4" w:space="0" w:color="auto"/>
        </w:rPr>
        <w:t>二、敬</w:t>
      </w:r>
      <w:r w:rsidR="00A43FBD" w:rsidRPr="0066093B">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6"/>
          <w:highlight w:val="yellow"/>
          <w:bdr w:val="single" w:sz="4" w:space="0" w:color="auto"/>
        </w:rPr>
        <w:t>佛之崇德</w:t>
      </w:r>
      <w:r w:rsidR="00A43FBD" w:rsidRPr="0066093B">
        <w:rPr>
          <w:rFonts w:ascii="Times New Roman" w:hAnsi="Times New Roman" w:hint="eastAsia"/>
          <w:b/>
          <w:color w:val="FF0000"/>
          <w:sz w:val="20"/>
          <w:highlight w:val="yellow"/>
          <w:bdr w:val="single" w:sz="4" w:space="0" w:color="auto"/>
        </w:rPr>
        <w:t>」</w:t>
      </w:r>
      <w:r w:rsidR="00B17647" w:rsidRPr="00DA3BC7">
        <w:rPr>
          <w:rFonts w:ascii="Times New Roman" w:hAnsi="Times New Roman" w:hint="eastAsia"/>
          <w:sz w:val="20"/>
          <w:szCs w:val="20"/>
        </w:rPr>
        <w:t>（</w:t>
      </w:r>
      <w:r w:rsidR="00B17647" w:rsidRPr="00DA3BC7">
        <w:rPr>
          <w:rFonts w:ascii="Times New Roman" w:hAnsi="Times New Roman"/>
          <w:sz w:val="20"/>
          <w:szCs w:val="20"/>
        </w:rPr>
        <w:t>p.3</w:t>
      </w:r>
      <w:r w:rsidR="00B17647" w:rsidRPr="00DA3BC7">
        <w:rPr>
          <w:rFonts w:ascii="Times New Roman" w:hAnsi="Times New Roman" w:hint="eastAsia"/>
          <w:sz w:val="20"/>
          <w:szCs w:val="20"/>
        </w:rPr>
        <w:t>）</w:t>
      </w:r>
    </w:p>
    <w:p w:rsidR="00B17647" w:rsidRPr="00DA3BC7" w:rsidRDefault="00B17647" w:rsidP="00A3357A">
      <w:pPr>
        <w:ind w:leftChars="100" w:left="240"/>
        <w:jc w:val="both"/>
        <w:rPr>
          <w:rFonts w:ascii="Times New Roman" w:hAnsi="Times New Roman"/>
        </w:rPr>
      </w:pPr>
      <w:r w:rsidRPr="00DA3BC7">
        <w:rPr>
          <w:rFonts w:ascii="Times New Roman" w:hAnsi="Times New Roman" w:hint="eastAsia"/>
        </w:rPr>
        <w:lastRenderedPageBreak/>
        <w:t>龍樹在《中論》（〈觀因緣品〉）中，標揭八</w:t>
      </w:r>
      <w:r w:rsidRPr="00DA3BC7">
        <w:rPr>
          <w:rFonts w:ascii="新細明體" w:hAnsi="新細明體" w:hint="eastAsia"/>
        </w:rPr>
        <w:t>不</w:t>
      </w:r>
      <w:r w:rsidRPr="00DA3BC7">
        <w:rPr>
          <w:rFonts w:ascii="新細明體" w:hint="eastAsia"/>
        </w:rPr>
        <w:t>──</w:t>
      </w:r>
      <w:r w:rsidRPr="00DA3BC7">
        <w:rPr>
          <w:rFonts w:ascii="Times New Roman" w:hAnsi="Times New Roman" w:hint="eastAsia"/>
        </w:rPr>
        <w:t>即中即空的緣起說：「</w:t>
      </w:r>
      <w:r w:rsidRPr="00DA3BC7">
        <w:rPr>
          <w:rFonts w:ascii="Times New Roman" w:eastAsia="標楷體" w:hAnsi="Times New Roman" w:hint="eastAsia"/>
        </w:rPr>
        <w:t>不生亦不滅，不常亦不斷，不一亦不異，不來亦不出。能說是因緣，善滅諸戲論。我稽首禮佛，諸說中第一！</w:t>
      </w:r>
      <w:r w:rsidRPr="00DA3BC7">
        <w:rPr>
          <w:rFonts w:ascii="Times New Roman" w:hAnsi="Times New Roman" w:hint="eastAsia"/>
        </w:rPr>
        <w:t>」</w:t>
      </w:r>
      <w:r w:rsidRPr="00DA3BC7">
        <w:rPr>
          <w:rStyle w:val="a6"/>
          <w:rFonts w:ascii="Times New Roman" w:hAnsi="Times New Roman"/>
        </w:rPr>
        <w:footnoteReference w:id="65"/>
      </w:r>
    </w:p>
    <w:p w:rsidR="00B17647" w:rsidRPr="00DA3BC7" w:rsidRDefault="00B17647" w:rsidP="00AE3920">
      <w:pPr>
        <w:spacing w:beforeLines="20"/>
        <w:ind w:leftChars="100" w:left="240"/>
        <w:jc w:val="both"/>
        <w:rPr>
          <w:rFonts w:ascii="Times New Roman" w:hAnsi="Times New Roman"/>
        </w:rPr>
      </w:pPr>
      <w:r w:rsidRPr="00DA3BC7">
        <w:rPr>
          <w:rFonts w:ascii="Times New Roman" w:hAnsi="Times New Roman" w:hint="eastAsia"/>
        </w:rPr>
        <w:t>依於八不的緣起，即能滅除世間的一切戲論而歸於寂滅，這是佛法的究極心要。所以說「</w:t>
      </w:r>
      <w:r w:rsidRPr="00DA3BC7">
        <w:rPr>
          <w:rFonts w:ascii="Times New Roman" w:eastAsia="標楷體" w:hAnsi="Times New Roman" w:hint="eastAsia"/>
        </w:rPr>
        <w:t>我稽首禮佛，諸說中第一</w:t>
      </w:r>
      <w:r w:rsidRPr="00DA3BC7">
        <w:rPr>
          <w:rFonts w:ascii="Times New Roman" w:hAnsi="Times New Roman" w:hint="eastAsia"/>
        </w:rPr>
        <w:t>」；吐露他對於佛陀敬仰讚歎的深意。</w:t>
      </w:r>
    </w:p>
    <w:p w:rsidR="00B17647" w:rsidRPr="00DA3BC7" w:rsidRDefault="00AF1E0E" w:rsidP="00AE3920">
      <w:pPr>
        <w:spacing w:beforeLines="30"/>
        <w:jc w:val="both"/>
        <w:rPr>
          <w:rFonts w:ascii="Times New Roman" w:hAnsi="Times New Roman"/>
          <w:sz w:val="20"/>
          <w:szCs w:val="26"/>
          <w:bdr w:val="single" w:sz="4" w:space="0" w:color="auto"/>
        </w:rPr>
      </w:pPr>
      <w:r w:rsidRPr="00AF1E0E">
        <w:rPr>
          <w:rFonts w:ascii="Times New Roman" w:hAnsi="Times New Roman" w:hint="eastAsia"/>
          <w:b/>
          <w:color w:val="FF0000"/>
          <w:sz w:val="20"/>
          <w:szCs w:val="26"/>
          <w:highlight w:val="yellow"/>
          <w:bdr w:val="single" w:sz="4" w:space="0" w:color="auto"/>
        </w:rPr>
        <w:t>貳</w:t>
      </w:r>
      <w:r w:rsidR="00B17647" w:rsidRPr="00AF1E0E">
        <w:rPr>
          <w:rFonts w:ascii="Times New Roman" w:hAnsi="Times New Roman" w:hint="eastAsia"/>
          <w:b/>
          <w:color w:val="FF0000"/>
          <w:sz w:val="20"/>
          <w:szCs w:val="26"/>
          <w:highlight w:val="yellow"/>
          <w:bdr w:val="single" w:sz="4" w:space="0" w:color="auto"/>
        </w:rPr>
        <w:t>、</w:t>
      </w:r>
      <w:r w:rsidRPr="00AF1E0E">
        <w:rPr>
          <w:rFonts w:ascii="Times New Roman" w:hAnsi="Times New Roman" w:hint="eastAsia"/>
          <w:b/>
          <w:color w:val="FF0000"/>
          <w:sz w:val="20"/>
          <w:szCs w:val="26"/>
          <w:highlight w:val="yellow"/>
          <w:bdr w:val="single" w:sz="4" w:space="0" w:color="auto"/>
        </w:rPr>
        <w:t>以</w:t>
      </w:r>
      <w:r w:rsidR="00B17647" w:rsidRPr="00AF1E0E">
        <w:rPr>
          <w:rFonts w:ascii="Times New Roman" w:hAnsi="Times New Roman" w:hint="eastAsia"/>
          <w:b/>
          <w:color w:val="FF0000"/>
          <w:sz w:val="20"/>
          <w:szCs w:val="26"/>
          <w:highlight w:val="yellow"/>
          <w:bdr w:val="single" w:sz="4" w:space="0" w:color="auto"/>
        </w:rPr>
        <w:t>「中」</w:t>
      </w:r>
      <w:r w:rsidRPr="00AF1E0E">
        <w:rPr>
          <w:rFonts w:ascii="Times New Roman" w:hAnsi="Times New Roman" w:hint="eastAsia"/>
          <w:b/>
          <w:color w:val="FF0000"/>
          <w:sz w:val="20"/>
          <w:szCs w:val="26"/>
          <w:highlight w:val="yellow"/>
          <w:bdr w:val="single" w:sz="4" w:space="0" w:color="auto"/>
        </w:rPr>
        <w:t>、「觀」為名之要義</w:t>
      </w:r>
      <w:r w:rsidR="00B17647" w:rsidRPr="00DA3BC7">
        <w:rPr>
          <w:rFonts w:ascii="Times New Roman" w:hAnsi="Times New Roman" w:hint="eastAsia"/>
          <w:sz w:val="20"/>
          <w:szCs w:val="20"/>
        </w:rPr>
        <w:t>（</w:t>
      </w:r>
      <w:r w:rsidR="00B17647" w:rsidRPr="00DA3BC7">
        <w:rPr>
          <w:rFonts w:ascii="Times New Roman" w:hAnsi="Times New Roman"/>
          <w:sz w:val="20"/>
          <w:szCs w:val="20"/>
        </w:rPr>
        <w:t>p.3</w:t>
      </w:r>
      <w:r w:rsidR="00B17647" w:rsidRPr="00DA3BC7">
        <w:rPr>
          <w:rFonts w:ascii="Times New Roman" w:hAnsi="Times New Roman" w:hint="eastAsia"/>
          <w:sz w:val="20"/>
          <w:szCs w:val="20"/>
        </w:rPr>
        <w:t>）</w:t>
      </w:r>
    </w:p>
    <w:p w:rsidR="00B17647" w:rsidRPr="00DA3BC7" w:rsidRDefault="00B17647" w:rsidP="008E2BBC">
      <w:pPr>
        <w:jc w:val="both"/>
        <w:rPr>
          <w:rFonts w:ascii="Times New Roman" w:hAnsi="Times New Roman"/>
        </w:rPr>
      </w:pPr>
      <w:r w:rsidRPr="00DA3BC7">
        <w:rPr>
          <w:rFonts w:ascii="Times New Roman" w:hAnsi="Times New Roman" w:hint="eastAsia"/>
        </w:rPr>
        <w:t>龍樹學，當然是發揚一切皆空的，但他的論典，即以他的代表作《中論》來說，不名此為空而名之為中，可知龍樹揭示緣起、空、中道的同一，而更以不落兩邊的中道為宗極</w:t>
      </w:r>
      <w:r w:rsidRPr="00DA3BC7">
        <w:rPr>
          <w:rStyle w:val="a6"/>
          <w:rFonts w:ascii="Times New Roman" w:hAnsi="Times New Roman"/>
        </w:rPr>
        <w:footnoteReference w:id="66"/>
      </w:r>
      <w:r w:rsidRPr="00DA3BC7">
        <w:rPr>
          <w:rFonts w:ascii="Times New Roman" w:hAnsi="Times New Roman" w:hint="eastAsia"/>
        </w:rPr>
        <w:t>。</w:t>
      </w:r>
    </w:p>
    <w:p w:rsidR="00B17647" w:rsidRPr="00DA3BC7" w:rsidRDefault="00B17647" w:rsidP="00AE3920">
      <w:pPr>
        <w:spacing w:beforeLines="20"/>
        <w:jc w:val="both"/>
        <w:rPr>
          <w:rFonts w:ascii="Times New Roman" w:hAnsi="Times New Roman"/>
        </w:rPr>
      </w:pPr>
      <w:r w:rsidRPr="00DA3BC7">
        <w:rPr>
          <w:rFonts w:ascii="Times New Roman" w:hAnsi="Times New Roman" w:hint="eastAsia"/>
        </w:rPr>
        <w:t>在《中論》裏，每品都稱之為觀，如〈觀因緣品〉</w:t>
      </w:r>
      <w:r w:rsidRPr="00DA3BC7">
        <w:rPr>
          <w:rStyle w:val="a6"/>
          <w:rFonts w:ascii="Times New Roman" w:hAnsi="Times New Roman"/>
        </w:rPr>
        <w:footnoteReference w:id="67"/>
      </w:r>
      <w:r w:rsidRPr="00DA3BC7">
        <w:rPr>
          <w:rFonts w:ascii="Times New Roman" w:hAnsi="Times New Roman" w:hint="eastAsia"/>
        </w:rPr>
        <w:t>乃至〈觀邪見品〉等。觀就是觀察，正確的觀察緣起、空、中道，從論證的觀察到體證的現觀</w:t>
      </w:r>
      <w:r w:rsidRPr="00DA3BC7">
        <w:rPr>
          <w:rStyle w:val="a6"/>
          <w:rFonts w:ascii="Times New Roman" w:hAnsi="Times New Roman"/>
        </w:rPr>
        <w:footnoteReference w:id="68"/>
      </w:r>
      <w:r w:rsidRPr="00DA3BC7">
        <w:rPr>
          <w:rFonts w:ascii="Times New Roman" w:hAnsi="Times New Roman" w:hint="eastAsia"/>
        </w:rPr>
        <w:t>。所以後來都稱龍樹學系為中觀派或中觀宗，稱中觀的學者為中觀師。</w:t>
      </w:r>
    </w:p>
    <w:p w:rsidR="00B17647" w:rsidRPr="00DA3BC7" w:rsidRDefault="00F75349" w:rsidP="00AE3920">
      <w:pPr>
        <w:spacing w:beforeLines="50"/>
        <w:jc w:val="both"/>
        <w:rPr>
          <w:rFonts w:ascii="Times New Roman" w:hAnsi="Times New Roman"/>
          <w:sz w:val="20"/>
          <w:szCs w:val="26"/>
          <w:bdr w:val="single" w:sz="4" w:space="0" w:color="auto"/>
        </w:rPr>
      </w:pPr>
      <w:r w:rsidRPr="00F75349">
        <w:rPr>
          <w:rFonts w:ascii="Times New Roman" w:hAnsi="Times New Roman" w:hint="eastAsia"/>
          <w:b/>
          <w:color w:val="FF0000"/>
          <w:sz w:val="20"/>
          <w:szCs w:val="26"/>
          <w:highlight w:val="yellow"/>
          <w:bdr w:val="single" w:sz="4" w:space="0" w:color="auto"/>
        </w:rPr>
        <w:t>參</w:t>
      </w:r>
      <w:r w:rsidR="00B17647" w:rsidRPr="00F75349">
        <w:rPr>
          <w:rFonts w:ascii="Times New Roman" w:hAnsi="Times New Roman" w:hint="eastAsia"/>
          <w:b/>
          <w:color w:val="FF0000"/>
          <w:sz w:val="20"/>
          <w:szCs w:val="26"/>
          <w:highlight w:val="yellow"/>
          <w:bdr w:val="single" w:sz="4" w:space="0" w:color="auto"/>
        </w:rPr>
        <w:t>、</w:t>
      </w:r>
      <w:r w:rsidRPr="00F75349">
        <w:rPr>
          <w:rFonts w:ascii="Times New Roman" w:hAnsi="Times New Roman" w:hint="eastAsia"/>
          <w:b/>
          <w:color w:val="FF0000"/>
          <w:sz w:val="20"/>
          <w:szCs w:val="26"/>
          <w:highlight w:val="yellow"/>
          <w:bdr w:val="single" w:sz="4" w:space="0" w:color="auto"/>
        </w:rPr>
        <w:t>略述</w:t>
      </w:r>
      <w:r w:rsidR="00B17647" w:rsidRPr="00F75349">
        <w:rPr>
          <w:rFonts w:ascii="Times New Roman" w:hAnsi="Times New Roman" w:hint="eastAsia"/>
          <w:b/>
          <w:color w:val="FF0000"/>
          <w:sz w:val="20"/>
          <w:szCs w:val="26"/>
          <w:highlight w:val="yellow"/>
          <w:bdr w:val="single" w:sz="4" w:space="0" w:color="auto"/>
        </w:rPr>
        <w:t>中觀學的</w:t>
      </w:r>
      <w:r w:rsidRPr="00F75349">
        <w:rPr>
          <w:rFonts w:ascii="Times New Roman" w:hAnsi="Times New Roman" w:hint="eastAsia"/>
          <w:b/>
          <w:color w:val="FF0000"/>
          <w:sz w:val="20"/>
          <w:szCs w:val="26"/>
          <w:highlight w:val="yellow"/>
          <w:bdr w:val="single" w:sz="4" w:space="0" w:color="auto"/>
        </w:rPr>
        <w:t>弘化與發揚</w:t>
      </w:r>
      <w:r w:rsidR="00B17647" w:rsidRPr="00DA3BC7">
        <w:rPr>
          <w:rFonts w:ascii="Times New Roman" w:hAnsi="Times New Roman" w:hint="eastAsia"/>
          <w:sz w:val="20"/>
          <w:szCs w:val="20"/>
        </w:rPr>
        <w:t>（</w:t>
      </w:r>
      <w:r w:rsidR="00B17647" w:rsidRPr="00DA3BC7">
        <w:rPr>
          <w:rFonts w:ascii="Times New Roman" w:hAnsi="Times New Roman"/>
          <w:sz w:val="20"/>
          <w:szCs w:val="20"/>
        </w:rPr>
        <w:t>p.4</w:t>
      </w:r>
      <w:r w:rsidR="00B17647" w:rsidRPr="00DA3BC7">
        <w:rPr>
          <w:rFonts w:ascii="Times New Roman" w:hAnsi="Times New Roman" w:hint="eastAsia"/>
          <w:sz w:val="20"/>
          <w:szCs w:val="20"/>
        </w:rPr>
        <w:t>）</w:t>
      </w:r>
    </w:p>
    <w:p w:rsidR="00B17647" w:rsidRPr="00DA3BC7" w:rsidRDefault="00B17647" w:rsidP="008E2BBC">
      <w:pPr>
        <w:ind w:leftChars="50" w:left="120"/>
        <w:jc w:val="both"/>
        <w:rPr>
          <w:rFonts w:ascii="Times New Roman" w:hAnsi="Times New Roman"/>
          <w:b/>
          <w:sz w:val="20"/>
          <w:bdr w:val="single" w:sz="4" w:space="0" w:color="auto"/>
        </w:rPr>
      </w:pPr>
      <w:r w:rsidRPr="00DA3BC7">
        <w:rPr>
          <w:rFonts w:ascii="Times New Roman" w:hAnsi="Times New Roman" w:hint="eastAsia"/>
          <w:b/>
          <w:sz w:val="20"/>
          <w:bdr w:val="single" w:sz="4" w:space="0" w:color="auto"/>
        </w:rPr>
        <w:t>（壹）</w:t>
      </w:r>
      <w:r w:rsidR="00F75349" w:rsidRPr="00F75349">
        <w:rPr>
          <w:rFonts w:ascii="Times New Roman" w:hAnsi="Times New Roman" w:hint="eastAsia"/>
          <w:b/>
          <w:color w:val="FF0000"/>
          <w:sz w:val="20"/>
          <w:szCs w:val="26"/>
          <w:highlight w:val="yellow"/>
          <w:bdr w:val="single" w:sz="4" w:space="0" w:color="auto"/>
        </w:rPr>
        <w:t>弘化</w:t>
      </w:r>
      <w:r w:rsidR="00F75349">
        <w:rPr>
          <w:rFonts w:ascii="Times New Roman" w:hAnsi="Times New Roman" w:hint="eastAsia"/>
          <w:b/>
          <w:color w:val="FF0000"/>
          <w:sz w:val="20"/>
          <w:szCs w:val="26"/>
          <w:highlight w:val="yellow"/>
          <w:bdr w:val="single" w:sz="4" w:space="0" w:color="auto"/>
        </w:rPr>
        <w:t>之跡</w:t>
      </w:r>
      <w:r w:rsidRPr="00DA3BC7">
        <w:rPr>
          <w:rFonts w:ascii="Times New Roman" w:hAnsi="Times New Roman" w:hint="eastAsia"/>
          <w:sz w:val="20"/>
          <w:szCs w:val="20"/>
        </w:rPr>
        <w:t>（</w:t>
      </w:r>
      <w:r w:rsidRPr="00DA3BC7">
        <w:rPr>
          <w:rFonts w:ascii="Times New Roman" w:hAnsi="Times New Roman"/>
          <w:sz w:val="20"/>
          <w:szCs w:val="20"/>
        </w:rPr>
        <w:t>p.4</w:t>
      </w:r>
      <w:r w:rsidRPr="00DA3BC7">
        <w:rPr>
          <w:rFonts w:ascii="Times New Roman" w:hAnsi="Times New Roman" w:hint="eastAsia"/>
          <w:sz w:val="20"/>
          <w:szCs w:val="20"/>
        </w:rPr>
        <w:t>）</w:t>
      </w:r>
    </w:p>
    <w:p w:rsidR="00B17647" w:rsidRPr="00DA3BC7" w:rsidRDefault="00B17647" w:rsidP="008E2BBC">
      <w:pPr>
        <w:ind w:leftChars="50" w:left="120"/>
        <w:jc w:val="both"/>
        <w:rPr>
          <w:rFonts w:ascii="Times New Roman" w:hAnsi="Times New Roman"/>
        </w:rPr>
      </w:pPr>
      <w:r w:rsidRPr="00DA3BC7">
        <w:rPr>
          <w:rFonts w:ascii="Times New Roman" w:hAnsi="Times New Roman" w:hint="eastAsia"/>
        </w:rPr>
        <w:t>龍樹的中觀學，在西元五百年初，由鳩摩羅什三藏傳來中國。在中國舊有佛</w:t>
      </w:r>
      <w:r w:rsidRPr="00DA3BC7">
        <w:rPr>
          <w:rFonts w:ascii="Times New Roman" w:hAnsi="Times New Roman" w:hint="eastAsia"/>
        </w:rPr>
        <w:lastRenderedPageBreak/>
        <w:t>教和適應時地思潮的發展中，在長江以南曾有過相當的弘揚。其中可看作中觀的正統者，就是三論宗。</w:t>
      </w:r>
    </w:p>
    <w:p w:rsidR="00B17647" w:rsidRPr="00DA3BC7" w:rsidRDefault="00B17647" w:rsidP="00AE3920">
      <w:pPr>
        <w:spacing w:beforeLines="20"/>
        <w:ind w:leftChars="50" w:left="120"/>
        <w:jc w:val="both"/>
        <w:rPr>
          <w:rFonts w:ascii="Times New Roman" w:hAnsi="Times New Roman"/>
        </w:rPr>
      </w:pPr>
      <w:r w:rsidRPr="00DA3BC7">
        <w:rPr>
          <w:rFonts w:ascii="Times New Roman" w:hAnsi="Times New Roman" w:hint="eastAsia"/>
        </w:rPr>
        <w:t>此外，天臺宗也是根據緣起即空、即假、即中的要義，發揮它獨到的圓宗。龍樹系的中觀學，給予中國佛法的影響，非常普遍深刻；即使不屬於中觀的學者，也多表示崇敬，或依附於龍樹的教門。</w:t>
      </w:r>
    </w:p>
    <w:p w:rsidR="00B17647" w:rsidRPr="00DA3BC7" w:rsidRDefault="00B17647" w:rsidP="008E2BBC">
      <w:pPr>
        <w:ind w:leftChars="50" w:left="120"/>
        <w:jc w:val="both"/>
        <w:rPr>
          <w:rFonts w:ascii="Times New Roman" w:hAnsi="Times New Roman"/>
        </w:rPr>
      </w:pPr>
      <w:r w:rsidRPr="00DA3BC7">
        <w:rPr>
          <w:rFonts w:ascii="Times New Roman" w:hAnsi="Times New Roman" w:hint="eastAsia"/>
        </w:rPr>
        <w:t>因此，傳入日本，即有龍樹為「八宗</w:t>
      </w:r>
      <w:r w:rsidRPr="00DA3BC7">
        <w:rPr>
          <w:rStyle w:val="a6"/>
          <w:rFonts w:ascii="Times New Roman" w:hAnsi="Times New Roman"/>
        </w:rPr>
        <w:footnoteReference w:id="69"/>
      </w:r>
      <w:r w:rsidRPr="00DA3BC7">
        <w:rPr>
          <w:rFonts w:ascii="Times New Roman" w:hAnsi="Times New Roman" w:hint="eastAsia"/>
        </w:rPr>
        <w:t>共祖」的傳說。</w:t>
      </w:r>
    </w:p>
    <w:p w:rsidR="00B17647" w:rsidRPr="00DA3BC7" w:rsidRDefault="00B17647" w:rsidP="008E2BBC">
      <w:pPr>
        <w:ind w:leftChars="50" w:left="120"/>
        <w:jc w:val="both"/>
        <w:rPr>
          <w:rFonts w:ascii="Times New Roman" w:hAnsi="Times New Roman"/>
        </w:rPr>
      </w:pPr>
      <w:r w:rsidRPr="00DA3BC7">
        <w:rPr>
          <w:rFonts w:ascii="Times New Roman" w:hAnsi="Times New Roman" w:hint="eastAsia"/>
        </w:rPr>
        <w:t>在西藏，也傳有中觀學，是西元八百年代由印度傳入的。據說：藏傳的中觀學，有佛護、月稱的「應成派」，和靜命</w:t>
      </w:r>
      <w:r w:rsidRPr="00DA3BC7">
        <w:rPr>
          <w:rStyle w:val="a6"/>
          <w:rFonts w:ascii="Times New Roman" w:hAnsi="Times New Roman"/>
        </w:rPr>
        <w:footnoteReference w:id="70"/>
      </w:r>
      <w:r w:rsidRPr="00DA3BC7">
        <w:rPr>
          <w:rFonts w:ascii="Times New Roman" w:hAnsi="Times New Roman" w:hint="eastAsia"/>
        </w:rPr>
        <w:t>、清辨的「自續派」。</w:t>
      </w:r>
      <w:r w:rsidRPr="00DA3BC7">
        <w:rPr>
          <w:rStyle w:val="a6"/>
          <w:rFonts w:ascii="Times New Roman" w:hAnsi="Times New Roman"/>
        </w:rPr>
        <w:footnoteReference w:id="71"/>
      </w:r>
      <w:r w:rsidRPr="00DA3BC7">
        <w:rPr>
          <w:rFonts w:ascii="Times New Roman" w:hAnsi="Times New Roman" w:hint="eastAsia"/>
        </w:rPr>
        <w:t>傳入西藏的時候，雖各有因緣，然經過長期的流傳，佛護、月稱的應成系已取得了中觀正統的權威。</w:t>
      </w:r>
    </w:p>
    <w:p w:rsidR="00B17647" w:rsidRPr="00DA3BC7" w:rsidRDefault="00F75349" w:rsidP="00AE3920">
      <w:pPr>
        <w:spacing w:beforeLines="30"/>
        <w:ind w:leftChars="50" w:left="120"/>
        <w:jc w:val="both"/>
        <w:rPr>
          <w:rFonts w:ascii="Times New Roman" w:hAnsi="Times New Roman"/>
          <w:sz w:val="20"/>
          <w:bdr w:val="single" w:sz="4" w:space="0" w:color="auto"/>
        </w:rPr>
      </w:pPr>
      <w:r w:rsidRPr="00F75349">
        <w:rPr>
          <w:rFonts w:ascii="Times New Roman" w:hAnsi="Times New Roman" w:hint="eastAsia"/>
          <w:b/>
          <w:color w:val="FF0000"/>
          <w:sz w:val="20"/>
          <w:highlight w:val="yellow"/>
          <w:bdr w:val="single" w:sz="4" w:space="0" w:color="auto"/>
        </w:rPr>
        <w:t>（貳）</w:t>
      </w:r>
      <w:r w:rsidR="00B17647" w:rsidRPr="00F75349">
        <w:rPr>
          <w:rFonts w:ascii="Times New Roman" w:hAnsi="Times New Roman" w:hint="eastAsia"/>
          <w:b/>
          <w:color w:val="FF0000"/>
          <w:sz w:val="20"/>
          <w:highlight w:val="yellow"/>
          <w:bdr w:val="single" w:sz="4" w:space="0" w:color="auto"/>
        </w:rPr>
        <w:t>發揚</w:t>
      </w:r>
      <w:r w:rsidRPr="00F75349">
        <w:rPr>
          <w:rFonts w:ascii="Times New Roman" w:hAnsi="Times New Roman" w:hint="eastAsia"/>
          <w:b/>
          <w:color w:val="FF0000"/>
          <w:sz w:val="20"/>
          <w:highlight w:val="yellow"/>
          <w:bdr w:val="single" w:sz="4" w:space="0" w:color="auto"/>
        </w:rPr>
        <w:t>之機</w:t>
      </w:r>
      <w:r w:rsidR="00B17647" w:rsidRPr="00DA3BC7">
        <w:rPr>
          <w:rFonts w:ascii="Times New Roman" w:hAnsi="Times New Roman" w:hint="eastAsia"/>
          <w:sz w:val="20"/>
          <w:szCs w:val="20"/>
        </w:rPr>
        <w:t>（</w:t>
      </w:r>
      <w:r w:rsidR="00B17647" w:rsidRPr="00DA3BC7">
        <w:rPr>
          <w:rFonts w:ascii="Times New Roman" w:hAnsi="Times New Roman"/>
          <w:sz w:val="20"/>
          <w:szCs w:val="20"/>
        </w:rPr>
        <w:t>p.4</w:t>
      </w:r>
      <w:r w:rsidR="00B17647" w:rsidRPr="00DA3BC7">
        <w:rPr>
          <w:rFonts w:ascii="Times New Roman" w:hAnsi="Times New Roman" w:hint="eastAsia"/>
          <w:sz w:val="20"/>
          <w:szCs w:val="20"/>
        </w:rPr>
        <w:t>）</w:t>
      </w:r>
    </w:p>
    <w:p w:rsidR="00B17647" w:rsidRPr="00DA3BC7" w:rsidRDefault="00B17647" w:rsidP="00A3357A">
      <w:pPr>
        <w:ind w:leftChars="50" w:left="120"/>
        <w:jc w:val="both"/>
        <w:rPr>
          <w:rFonts w:ascii="Times New Roman" w:hAnsi="Times New Roman"/>
        </w:rPr>
      </w:pPr>
      <w:r w:rsidRPr="00DA3BC7">
        <w:rPr>
          <w:rFonts w:ascii="Times New Roman" w:hAnsi="Times New Roman" w:hint="eastAsia"/>
        </w:rPr>
        <w:t>藏傳的中觀教典，近來始有部分的翻譯為漢文。</w:t>
      </w:r>
    </w:p>
    <w:p w:rsidR="00F75349" w:rsidRDefault="00B17647" w:rsidP="00A3357A">
      <w:pPr>
        <w:ind w:leftChars="50" w:left="120"/>
        <w:jc w:val="both"/>
        <w:rPr>
          <w:rFonts w:ascii="Times New Roman" w:hAnsi="Times New Roman"/>
        </w:rPr>
      </w:pPr>
      <w:r w:rsidRPr="00DA3BC7">
        <w:rPr>
          <w:rFonts w:ascii="Times New Roman" w:hAnsi="Times New Roman" w:hint="eastAsia"/>
        </w:rPr>
        <w:t>同時，由於《中論》梵本的發現，日人曾從文義的考訂中，獲得許多新的理解。</w:t>
      </w:r>
    </w:p>
    <w:p w:rsidR="00F75349" w:rsidRDefault="00B17647" w:rsidP="00A3357A">
      <w:pPr>
        <w:ind w:leftChars="50" w:left="120"/>
        <w:jc w:val="both"/>
        <w:rPr>
          <w:rFonts w:ascii="Times New Roman" w:hAnsi="Times New Roman"/>
        </w:rPr>
      </w:pPr>
      <w:r w:rsidRPr="00DA3BC7">
        <w:rPr>
          <w:rFonts w:ascii="Times New Roman" w:hAnsi="Times New Roman" w:hint="eastAsia"/>
        </w:rPr>
        <w:t>中觀的特質，將來在藏傳、漢傳和梵本的相互參證</w:t>
      </w:r>
      <w:r w:rsidRPr="00DA3BC7">
        <w:rPr>
          <w:rStyle w:val="a6"/>
          <w:rFonts w:ascii="Times New Roman" w:hAnsi="Times New Roman"/>
        </w:rPr>
        <w:footnoteReference w:id="72"/>
      </w:r>
      <w:r w:rsidRPr="00DA3BC7">
        <w:rPr>
          <w:rFonts w:ascii="Times New Roman" w:hAnsi="Times New Roman" w:hint="eastAsia"/>
        </w:rPr>
        <w:t>中，必將更為正確圓滿的發揚起來。</w:t>
      </w:r>
    </w:p>
    <w:p w:rsidR="00F75349" w:rsidRDefault="00F75349" w:rsidP="008E2BBC">
      <w:pPr>
        <w:jc w:val="both"/>
        <w:rPr>
          <w:rFonts w:ascii="Times New Roman" w:hAnsi="Times New Roman"/>
        </w:rPr>
      </w:pPr>
    </w:p>
    <w:p w:rsidR="00F75349" w:rsidRDefault="00F75349" w:rsidP="008E2BBC">
      <w:pPr>
        <w:jc w:val="both"/>
        <w:rPr>
          <w:rFonts w:ascii="Times New Roman" w:hAnsi="Times New Roman"/>
        </w:rPr>
      </w:pPr>
    </w:p>
    <w:p w:rsidR="00F75349" w:rsidRDefault="00F75349" w:rsidP="008E2BBC">
      <w:pPr>
        <w:jc w:val="both"/>
        <w:rPr>
          <w:rFonts w:ascii="Times New Roman" w:hAnsi="Times New Roman"/>
        </w:rPr>
      </w:pPr>
    </w:p>
    <w:p w:rsidR="00F75349" w:rsidRPr="00DA3BC7" w:rsidRDefault="00F75349" w:rsidP="008E2BBC">
      <w:pPr>
        <w:jc w:val="both"/>
        <w:rPr>
          <w:rFonts w:ascii="Times New Roman" w:hAnsi="Times New Roman"/>
        </w:rPr>
      </w:pPr>
    </w:p>
    <w:p w:rsidR="00B17647" w:rsidRPr="00DA3BC7" w:rsidRDefault="00B17647" w:rsidP="00AE3920">
      <w:pPr>
        <w:spacing w:beforeLines="100"/>
        <w:jc w:val="both"/>
        <w:rPr>
          <w:rFonts w:ascii="Times New Roman" w:hAnsi="Times New Roman"/>
          <w:lang w:eastAsia="ja-JP"/>
        </w:rPr>
      </w:pPr>
      <w:r w:rsidRPr="00DA3BC7">
        <w:rPr>
          <w:rFonts w:ascii="Times New Roman" w:hAnsi="Times New Roman" w:hint="eastAsia"/>
          <w:b/>
          <w:lang w:eastAsia="ja-JP"/>
        </w:rPr>
        <w:lastRenderedPageBreak/>
        <w:t>附錄：</w:t>
      </w:r>
      <w:r w:rsidRPr="00DA3BC7">
        <w:rPr>
          <w:rFonts w:ascii="Times New Roman" w:hAnsi="Times New Roman" w:hint="eastAsia"/>
          <w:lang w:eastAsia="ja-JP"/>
        </w:rPr>
        <w:t>中觀派之系譜，參見平川彰，《インド佛教史》（下卷），春秋社，</w:t>
      </w:r>
      <w:r w:rsidRPr="00DA3BC7">
        <w:rPr>
          <w:rFonts w:ascii="Times New Roman" w:hAnsi="Times New Roman"/>
          <w:lang w:eastAsia="ja-JP"/>
        </w:rPr>
        <w:t>p.220</w:t>
      </w:r>
      <w:r w:rsidRPr="00DA3BC7">
        <w:rPr>
          <w:rFonts w:ascii="Times New Roman" w:hAnsi="Times New Roman" w:hint="eastAsia"/>
          <w:lang w:eastAsia="ja-JP"/>
        </w:rPr>
        <w:t>。</w:t>
      </w:r>
    </w:p>
    <w:p w:rsidR="00B17647" w:rsidRPr="00DA3BC7" w:rsidRDefault="00B17647" w:rsidP="008E2BBC">
      <w:pPr>
        <w:ind w:leftChars="300" w:left="720"/>
        <w:jc w:val="both"/>
        <w:rPr>
          <w:rFonts w:ascii="Times New Roman" w:hAnsi="Times New Roman"/>
        </w:rPr>
      </w:pPr>
      <w:r w:rsidRPr="00DA3BC7">
        <w:rPr>
          <w:rFonts w:ascii="Times New Roman" w:hAnsi="Times New Roman" w:hint="eastAsia"/>
        </w:rPr>
        <w:t>（莊崑木譯，《印度佛教史》，商周出版，</w:t>
      </w:r>
      <w:r w:rsidRPr="00DA3BC7">
        <w:rPr>
          <w:rFonts w:ascii="Times New Roman" w:hAnsi="Times New Roman"/>
        </w:rPr>
        <w:t>20</w:t>
      </w:r>
      <w:r w:rsidRPr="00DA3BC7">
        <w:rPr>
          <w:rFonts w:ascii="Times New Roman" w:hAnsi="Times New Roman" w:hint="eastAsia"/>
        </w:rPr>
        <w:t>0</w:t>
      </w:r>
      <w:r w:rsidRPr="00DA3BC7">
        <w:rPr>
          <w:rFonts w:ascii="Times New Roman" w:hAnsi="Times New Roman"/>
        </w:rPr>
        <w:t>4</w:t>
      </w:r>
      <w:r w:rsidRPr="00DA3BC7">
        <w:rPr>
          <w:rFonts w:ascii="Times New Roman" w:hAnsi="Times New Roman" w:hint="eastAsia"/>
        </w:rPr>
        <w:t>年</w:t>
      </w:r>
      <w:r w:rsidRPr="00DA3BC7">
        <w:rPr>
          <w:rFonts w:ascii="Times New Roman" w:hAnsi="Times New Roman"/>
        </w:rPr>
        <w:t>12</w:t>
      </w:r>
      <w:r w:rsidRPr="00DA3BC7">
        <w:rPr>
          <w:rFonts w:ascii="Times New Roman" w:hAnsi="Times New Roman" w:hint="eastAsia"/>
        </w:rPr>
        <w:t>月二版一刷，</w:t>
      </w:r>
      <w:r w:rsidRPr="00DA3BC7">
        <w:rPr>
          <w:rFonts w:ascii="Times New Roman" w:hAnsi="Times New Roman"/>
        </w:rPr>
        <w:t>p.397</w:t>
      </w:r>
      <w:r w:rsidRPr="00DA3BC7">
        <w:rPr>
          <w:rFonts w:ascii="Times New Roman" w:hAnsi="Times New Roman" w:hint="eastAsia"/>
        </w:rPr>
        <w:t>）</w:t>
      </w:r>
    </w:p>
    <w:p w:rsidR="00B17647" w:rsidRPr="00DA3BC7" w:rsidRDefault="00B17647" w:rsidP="008E2BBC">
      <w:pPr>
        <w:jc w:val="both"/>
        <w:rPr>
          <w:rFonts w:ascii="Times New Roman" w:hAnsi="Times New Roman" w:cs="Times Ext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24"/>
        <w:gridCol w:w="4056"/>
      </w:tblGrid>
      <w:tr w:rsidR="00B17647" w:rsidRPr="00DA3BC7" w:rsidTr="008C130F">
        <w:trPr>
          <w:trHeight w:val="680"/>
          <w:jc w:val="center"/>
        </w:trPr>
        <w:tc>
          <w:tcPr>
            <w:tcW w:w="8080" w:type="dxa"/>
            <w:gridSpan w:val="2"/>
            <w:vAlign w:val="center"/>
          </w:tcPr>
          <w:p w:rsidR="00B17647" w:rsidRPr="00DA3BC7" w:rsidRDefault="00B17647" w:rsidP="008E2BBC">
            <w:pPr>
              <w:pStyle w:val="a5"/>
              <w:snapToGrid/>
              <w:jc w:val="center"/>
              <w:rPr>
                <w:sz w:val="24"/>
                <w:szCs w:val="24"/>
              </w:rPr>
            </w:pPr>
            <w:r w:rsidRPr="00DA3BC7">
              <w:rPr>
                <w:rFonts w:hint="eastAsia"/>
                <w:sz w:val="24"/>
                <w:szCs w:val="24"/>
              </w:rPr>
              <w:t>竜樹（</w:t>
            </w:r>
            <w:r w:rsidRPr="00DA3BC7">
              <w:rPr>
                <w:sz w:val="24"/>
                <w:szCs w:val="24"/>
              </w:rPr>
              <w:t>Nāgārjuna</w:t>
            </w:r>
            <w:r w:rsidRPr="00DA3BC7">
              <w:rPr>
                <w:rFonts w:hint="eastAsia"/>
                <w:sz w:val="24"/>
                <w:szCs w:val="24"/>
              </w:rPr>
              <w:t>）</w:t>
            </w:r>
          </w:p>
          <w:p w:rsidR="00B17647" w:rsidRPr="00DA3BC7" w:rsidRDefault="00B17647" w:rsidP="008E2BBC">
            <w:pPr>
              <w:pStyle w:val="a5"/>
              <w:snapToGrid/>
              <w:jc w:val="center"/>
              <w:rPr>
                <w:sz w:val="24"/>
                <w:szCs w:val="24"/>
              </w:rPr>
            </w:pPr>
            <w:r w:rsidRPr="00DA3BC7">
              <w:rPr>
                <w:sz w:val="24"/>
                <w:szCs w:val="24"/>
              </w:rPr>
              <w:t>150–250</w:t>
            </w:r>
          </w:p>
        </w:tc>
      </w:tr>
      <w:tr w:rsidR="00B17647" w:rsidRPr="00DA3BC7" w:rsidTr="008C130F">
        <w:trPr>
          <w:trHeight w:val="680"/>
          <w:jc w:val="center"/>
        </w:trPr>
        <w:tc>
          <w:tcPr>
            <w:tcW w:w="8080" w:type="dxa"/>
            <w:gridSpan w:val="2"/>
            <w:vAlign w:val="center"/>
          </w:tcPr>
          <w:p w:rsidR="00B17647" w:rsidRPr="00DA3BC7" w:rsidRDefault="00B17647" w:rsidP="008E2BBC">
            <w:pPr>
              <w:pStyle w:val="a5"/>
              <w:snapToGrid/>
              <w:jc w:val="center"/>
              <w:rPr>
                <w:sz w:val="24"/>
                <w:szCs w:val="24"/>
              </w:rPr>
            </w:pPr>
            <w:r w:rsidRPr="00DA3BC7">
              <w:rPr>
                <w:rFonts w:hint="eastAsia"/>
                <w:sz w:val="24"/>
                <w:szCs w:val="24"/>
              </w:rPr>
              <w:t>提婆（</w:t>
            </w:r>
            <w:r w:rsidRPr="00DA3BC7">
              <w:rPr>
                <w:sz w:val="24"/>
                <w:szCs w:val="24"/>
              </w:rPr>
              <w:t>Āryadeva</w:t>
            </w:r>
            <w:r w:rsidRPr="00DA3BC7">
              <w:rPr>
                <w:rFonts w:hint="eastAsia"/>
                <w:sz w:val="24"/>
                <w:szCs w:val="24"/>
              </w:rPr>
              <w:t>）</w:t>
            </w:r>
          </w:p>
          <w:p w:rsidR="00B17647" w:rsidRPr="00DA3BC7" w:rsidRDefault="00B17647" w:rsidP="008E2BBC">
            <w:pPr>
              <w:pStyle w:val="a5"/>
              <w:snapToGrid/>
              <w:jc w:val="center"/>
              <w:rPr>
                <w:sz w:val="24"/>
                <w:szCs w:val="24"/>
              </w:rPr>
            </w:pPr>
            <w:r w:rsidRPr="00DA3BC7">
              <w:rPr>
                <w:sz w:val="24"/>
                <w:szCs w:val="24"/>
              </w:rPr>
              <w:t>170–270</w:t>
            </w:r>
          </w:p>
        </w:tc>
      </w:tr>
      <w:tr w:rsidR="00B17647" w:rsidRPr="00DA3BC7" w:rsidTr="008C130F">
        <w:trPr>
          <w:trHeight w:val="680"/>
          <w:jc w:val="center"/>
        </w:trPr>
        <w:tc>
          <w:tcPr>
            <w:tcW w:w="8080" w:type="dxa"/>
            <w:gridSpan w:val="2"/>
            <w:vAlign w:val="center"/>
          </w:tcPr>
          <w:p w:rsidR="00B17647" w:rsidRPr="00DA3BC7" w:rsidRDefault="00B17647" w:rsidP="008E2BBC">
            <w:pPr>
              <w:pStyle w:val="a5"/>
              <w:snapToGrid/>
              <w:jc w:val="center"/>
              <w:rPr>
                <w:sz w:val="24"/>
                <w:szCs w:val="24"/>
              </w:rPr>
            </w:pPr>
            <w:r w:rsidRPr="00DA3BC7">
              <w:rPr>
                <w:rFonts w:hint="eastAsia"/>
                <w:sz w:val="24"/>
                <w:szCs w:val="24"/>
              </w:rPr>
              <w:t>羅睺羅（</w:t>
            </w:r>
            <w:r w:rsidRPr="00DA3BC7">
              <w:rPr>
                <w:sz w:val="24"/>
                <w:szCs w:val="24"/>
              </w:rPr>
              <w:t>Rāhulabhadra</w:t>
            </w:r>
            <w:r w:rsidRPr="00DA3BC7">
              <w:rPr>
                <w:rFonts w:hint="eastAsia"/>
                <w:sz w:val="24"/>
                <w:szCs w:val="24"/>
              </w:rPr>
              <w:t>）</w:t>
            </w:r>
          </w:p>
          <w:p w:rsidR="00B17647" w:rsidRPr="00DA3BC7" w:rsidRDefault="00B17647" w:rsidP="008E2BBC">
            <w:pPr>
              <w:pStyle w:val="a5"/>
              <w:snapToGrid/>
              <w:jc w:val="center"/>
              <w:rPr>
                <w:sz w:val="24"/>
                <w:szCs w:val="24"/>
              </w:rPr>
            </w:pPr>
            <w:r w:rsidRPr="00DA3BC7">
              <w:rPr>
                <w:sz w:val="24"/>
                <w:szCs w:val="24"/>
              </w:rPr>
              <w:t>200–300</w:t>
            </w:r>
          </w:p>
        </w:tc>
      </w:tr>
      <w:tr w:rsidR="00B17647" w:rsidRPr="00DA3BC7" w:rsidTr="008C130F">
        <w:trPr>
          <w:trHeight w:val="680"/>
          <w:jc w:val="center"/>
        </w:trPr>
        <w:tc>
          <w:tcPr>
            <w:tcW w:w="4024" w:type="dxa"/>
            <w:shd w:val="clear" w:color="auto" w:fill="D9D9D9"/>
            <w:vAlign w:val="center"/>
          </w:tcPr>
          <w:p w:rsidR="00B17647" w:rsidRPr="00DA3BC7" w:rsidRDefault="00B17647" w:rsidP="008E2BBC">
            <w:pPr>
              <w:pStyle w:val="a5"/>
              <w:snapToGrid/>
              <w:jc w:val="center"/>
              <w:rPr>
                <w:rFonts w:ascii="Times Ext Roman" w:hAnsi="Times Ext Roman" w:cs="Times Ext Roman"/>
                <w:sz w:val="24"/>
                <w:szCs w:val="24"/>
              </w:rPr>
            </w:pPr>
            <w:r w:rsidRPr="00DA3BC7">
              <w:rPr>
                <w:rFonts w:cs="Times Ext Roman" w:hint="eastAsia"/>
                <w:sz w:val="24"/>
                <w:szCs w:val="24"/>
              </w:rPr>
              <w:t>【自續派（自立量派）】</w:t>
            </w:r>
          </w:p>
        </w:tc>
        <w:tc>
          <w:tcPr>
            <w:tcW w:w="4056" w:type="dxa"/>
            <w:shd w:val="clear" w:color="auto" w:fill="D9D9D9"/>
            <w:vAlign w:val="center"/>
          </w:tcPr>
          <w:p w:rsidR="00B17647" w:rsidRPr="00DA3BC7" w:rsidRDefault="00B17647" w:rsidP="008E2BBC">
            <w:pPr>
              <w:pStyle w:val="a5"/>
              <w:snapToGrid/>
              <w:jc w:val="center"/>
              <w:rPr>
                <w:rFonts w:cs="Times Ext Roman"/>
                <w:sz w:val="24"/>
                <w:szCs w:val="24"/>
              </w:rPr>
            </w:pPr>
            <w:r w:rsidRPr="00DA3BC7">
              <w:rPr>
                <w:rFonts w:cs="Times Ext Roman" w:hint="eastAsia"/>
                <w:sz w:val="24"/>
                <w:szCs w:val="24"/>
              </w:rPr>
              <w:t>【應成派（隨應破派）】</w:t>
            </w:r>
          </w:p>
        </w:tc>
      </w:tr>
      <w:tr w:rsidR="00B17647" w:rsidRPr="00DA3BC7" w:rsidTr="008C130F">
        <w:trPr>
          <w:trHeight w:val="680"/>
          <w:jc w:val="center"/>
        </w:trPr>
        <w:tc>
          <w:tcPr>
            <w:tcW w:w="4024" w:type="dxa"/>
            <w:vAlign w:val="center"/>
          </w:tcPr>
          <w:p w:rsidR="00B17647" w:rsidRPr="00DA3BC7" w:rsidRDefault="00B17647" w:rsidP="008E2BBC">
            <w:pPr>
              <w:pStyle w:val="a5"/>
              <w:snapToGrid/>
              <w:jc w:val="center"/>
              <w:rPr>
                <w:sz w:val="24"/>
                <w:szCs w:val="24"/>
              </w:rPr>
            </w:pPr>
            <w:r w:rsidRPr="00DA3BC7">
              <w:rPr>
                <w:rFonts w:hint="eastAsia"/>
                <w:sz w:val="24"/>
                <w:szCs w:val="24"/>
              </w:rPr>
              <w:t>清辨（</w:t>
            </w:r>
            <w:r w:rsidRPr="00DA3BC7">
              <w:rPr>
                <w:sz w:val="24"/>
                <w:szCs w:val="24"/>
              </w:rPr>
              <w:t>Bhāvaviveka</w:t>
            </w:r>
            <w:r w:rsidRPr="00DA3BC7">
              <w:rPr>
                <w:rFonts w:hint="eastAsia"/>
                <w:sz w:val="24"/>
                <w:szCs w:val="24"/>
              </w:rPr>
              <w:t>）</w:t>
            </w:r>
          </w:p>
          <w:p w:rsidR="00B17647" w:rsidRPr="00DA3BC7" w:rsidRDefault="00B17647" w:rsidP="008E2BBC">
            <w:pPr>
              <w:pStyle w:val="a5"/>
              <w:snapToGrid/>
              <w:jc w:val="center"/>
              <w:rPr>
                <w:rFonts w:cs="Times Ext Roman"/>
                <w:sz w:val="24"/>
                <w:szCs w:val="24"/>
              </w:rPr>
            </w:pPr>
            <w:r w:rsidRPr="00DA3BC7">
              <w:rPr>
                <w:rFonts w:cs="Times Ext Roman" w:hint="eastAsia"/>
                <w:sz w:val="24"/>
                <w:szCs w:val="24"/>
              </w:rPr>
              <w:t>約西元</w:t>
            </w:r>
            <w:r w:rsidRPr="00DA3BC7">
              <w:rPr>
                <w:sz w:val="24"/>
                <w:szCs w:val="24"/>
              </w:rPr>
              <w:t>490</w:t>
            </w:r>
            <w:r w:rsidRPr="00DA3BC7">
              <w:rPr>
                <w:rFonts w:cs="Times Ext Roman"/>
                <w:sz w:val="24"/>
                <w:szCs w:val="24"/>
              </w:rPr>
              <w:t>–</w:t>
            </w:r>
            <w:r w:rsidRPr="00DA3BC7">
              <w:rPr>
                <w:sz w:val="24"/>
                <w:szCs w:val="24"/>
              </w:rPr>
              <w:t>570</w:t>
            </w:r>
          </w:p>
        </w:tc>
        <w:tc>
          <w:tcPr>
            <w:tcW w:w="4056" w:type="dxa"/>
            <w:vAlign w:val="center"/>
          </w:tcPr>
          <w:p w:rsidR="00B17647" w:rsidRPr="00DA3BC7" w:rsidRDefault="00B17647" w:rsidP="008E2BBC">
            <w:pPr>
              <w:pStyle w:val="a5"/>
              <w:snapToGrid/>
              <w:jc w:val="center"/>
              <w:rPr>
                <w:sz w:val="24"/>
                <w:szCs w:val="24"/>
              </w:rPr>
            </w:pPr>
            <w:r w:rsidRPr="00DA3BC7">
              <w:rPr>
                <w:rFonts w:hint="eastAsia"/>
                <w:sz w:val="24"/>
                <w:szCs w:val="24"/>
              </w:rPr>
              <w:t>佛護（</w:t>
            </w:r>
            <w:r w:rsidRPr="00DA3BC7">
              <w:rPr>
                <w:sz w:val="24"/>
                <w:szCs w:val="24"/>
              </w:rPr>
              <w:t>Buddhapālita</w:t>
            </w:r>
            <w:r w:rsidRPr="00DA3BC7">
              <w:rPr>
                <w:rFonts w:hint="eastAsia"/>
                <w:sz w:val="24"/>
                <w:szCs w:val="24"/>
              </w:rPr>
              <w:t>）</w:t>
            </w:r>
          </w:p>
          <w:p w:rsidR="00B17647" w:rsidRPr="00DA3BC7" w:rsidRDefault="00B17647" w:rsidP="008E2BBC">
            <w:pPr>
              <w:pStyle w:val="a5"/>
              <w:snapToGrid/>
              <w:jc w:val="center"/>
              <w:rPr>
                <w:rFonts w:cs="Times Ext Roman"/>
                <w:sz w:val="24"/>
                <w:szCs w:val="24"/>
              </w:rPr>
            </w:pPr>
            <w:r w:rsidRPr="00DA3BC7">
              <w:rPr>
                <w:sz w:val="24"/>
                <w:szCs w:val="24"/>
              </w:rPr>
              <w:t>470</w:t>
            </w:r>
            <w:r w:rsidRPr="00DA3BC7">
              <w:rPr>
                <w:rFonts w:cs="Times Ext Roman"/>
                <w:sz w:val="24"/>
                <w:szCs w:val="24"/>
              </w:rPr>
              <w:t>–</w:t>
            </w:r>
            <w:r w:rsidRPr="00DA3BC7">
              <w:rPr>
                <w:sz w:val="24"/>
                <w:szCs w:val="24"/>
              </w:rPr>
              <w:t>540</w:t>
            </w:r>
          </w:p>
        </w:tc>
      </w:tr>
      <w:tr w:rsidR="00B17647" w:rsidRPr="00DA3BC7" w:rsidTr="008C130F">
        <w:trPr>
          <w:trHeight w:val="680"/>
          <w:jc w:val="center"/>
        </w:trPr>
        <w:tc>
          <w:tcPr>
            <w:tcW w:w="4024" w:type="dxa"/>
            <w:vAlign w:val="center"/>
          </w:tcPr>
          <w:p w:rsidR="00B17647" w:rsidRPr="00DA3BC7" w:rsidRDefault="00B17647" w:rsidP="008E2BBC">
            <w:pPr>
              <w:pStyle w:val="a5"/>
              <w:snapToGrid/>
              <w:jc w:val="center"/>
              <w:rPr>
                <w:sz w:val="24"/>
                <w:szCs w:val="24"/>
              </w:rPr>
            </w:pPr>
            <w:r w:rsidRPr="00DA3BC7">
              <w:rPr>
                <w:rFonts w:hint="eastAsia"/>
                <w:sz w:val="24"/>
                <w:szCs w:val="24"/>
              </w:rPr>
              <w:t>觀誓（</w:t>
            </w:r>
            <w:r w:rsidRPr="00DA3BC7">
              <w:rPr>
                <w:sz w:val="24"/>
                <w:szCs w:val="24"/>
              </w:rPr>
              <w:t>Avalokitavrata</w:t>
            </w:r>
            <w:r w:rsidRPr="00DA3BC7">
              <w:rPr>
                <w:rFonts w:hint="eastAsia"/>
                <w:sz w:val="24"/>
                <w:szCs w:val="24"/>
              </w:rPr>
              <w:t>）</w:t>
            </w:r>
          </w:p>
          <w:p w:rsidR="00B17647" w:rsidRPr="00DA3BC7" w:rsidRDefault="00B17647" w:rsidP="008E2BBC">
            <w:pPr>
              <w:pStyle w:val="a5"/>
              <w:snapToGrid/>
              <w:jc w:val="center"/>
              <w:rPr>
                <w:rFonts w:cs="Times Ext Roman"/>
                <w:sz w:val="24"/>
                <w:szCs w:val="24"/>
              </w:rPr>
            </w:pPr>
            <w:r w:rsidRPr="00DA3BC7">
              <w:rPr>
                <w:rFonts w:cs="Times Ext Roman" w:hint="eastAsia"/>
                <w:sz w:val="24"/>
                <w:szCs w:val="24"/>
              </w:rPr>
              <w:t>─</w:t>
            </w:r>
            <w:r w:rsidRPr="00DA3BC7">
              <w:rPr>
                <w:sz w:val="24"/>
                <w:szCs w:val="24"/>
              </w:rPr>
              <w:t>700</w:t>
            </w:r>
            <w:r w:rsidRPr="00DA3BC7">
              <w:rPr>
                <w:rFonts w:cs="Times Ext Roman" w:hint="eastAsia"/>
                <w:sz w:val="24"/>
                <w:szCs w:val="24"/>
              </w:rPr>
              <w:t>─</w:t>
            </w:r>
          </w:p>
        </w:tc>
        <w:tc>
          <w:tcPr>
            <w:tcW w:w="4056" w:type="dxa"/>
            <w:vAlign w:val="center"/>
          </w:tcPr>
          <w:p w:rsidR="00B17647" w:rsidRPr="00DA3BC7" w:rsidRDefault="00B17647" w:rsidP="008E2BBC">
            <w:pPr>
              <w:pStyle w:val="a5"/>
              <w:snapToGrid/>
              <w:jc w:val="center"/>
              <w:rPr>
                <w:sz w:val="24"/>
                <w:szCs w:val="24"/>
              </w:rPr>
            </w:pPr>
            <w:r w:rsidRPr="00DA3BC7">
              <w:rPr>
                <w:rFonts w:hint="eastAsia"/>
                <w:sz w:val="24"/>
                <w:szCs w:val="24"/>
              </w:rPr>
              <w:t>月稱（</w:t>
            </w:r>
            <w:r w:rsidRPr="00DA3BC7">
              <w:rPr>
                <w:sz w:val="24"/>
                <w:szCs w:val="24"/>
              </w:rPr>
              <w:t>Candrakīrti</w:t>
            </w:r>
            <w:r w:rsidRPr="00DA3BC7">
              <w:rPr>
                <w:rFonts w:hint="eastAsia"/>
                <w:sz w:val="24"/>
                <w:szCs w:val="24"/>
              </w:rPr>
              <w:t>）</w:t>
            </w:r>
          </w:p>
          <w:p w:rsidR="00B17647" w:rsidRPr="00DA3BC7" w:rsidRDefault="00B17647" w:rsidP="008E2BBC">
            <w:pPr>
              <w:pStyle w:val="a5"/>
              <w:snapToGrid/>
              <w:jc w:val="center"/>
              <w:rPr>
                <w:rFonts w:cs="Times Ext Roman"/>
                <w:sz w:val="24"/>
                <w:szCs w:val="24"/>
              </w:rPr>
            </w:pPr>
            <w:r w:rsidRPr="00DA3BC7">
              <w:rPr>
                <w:rFonts w:cs="Times Ext Roman" w:hint="eastAsia"/>
                <w:sz w:val="24"/>
                <w:szCs w:val="24"/>
              </w:rPr>
              <w:t>─</w:t>
            </w:r>
            <w:r w:rsidRPr="00DA3BC7">
              <w:rPr>
                <w:sz w:val="24"/>
                <w:szCs w:val="24"/>
              </w:rPr>
              <w:t>650</w:t>
            </w:r>
            <w:r w:rsidRPr="00DA3BC7">
              <w:rPr>
                <w:rFonts w:cs="Times Ext Roman" w:hint="eastAsia"/>
                <w:sz w:val="24"/>
                <w:szCs w:val="24"/>
              </w:rPr>
              <w:t>─</w:t>
            </w:r>
          </w:p>
        </w:tc>
      </w:tr>
      <w:tr w:rsidR="00B17647" w:rsidRPr="00DA3BC7" w:rsidTr="008C130F">
        <w:trPr>
          <w:trHeight w:val="851"/>
          <w:jc w:val="center"/>
        </w:trPr>
        <w:tc>
          <w:tcPr>
            <w:tcW w:w="4024" w:type="dxa"/>
            <w:vAlign w:val="center"/>
          </w:tcPr>
          <w:p w:rsidR="00B17647" w:rsidRPr="00DA3BC7" w:rsidRDefault="00B17647" w:rsidP="008E2BBC">
            <w:pPr>
              <w:pStyle w:val="a5"/>
              <w:snapToGrid/>
              <w:jc w:val="center"/>
              <w:rPr>
                <w:sz w:val="24"/>
                <w:szCs w:val="24"/>
                <w:lang w:eastAsia="ja-JP"/>
              </w:rPr>
            </w:pPr>
            <w:r w:rsidRPr="00DA3BC7">
              <w:rPr>
                <w:rFonts w:hint="eastAsia"/>
                <w:sz w:val="24"/>
                <w:szCs w:val="24"/>
              </w:rPr>
              <w:t>吉祥護</w:t>
            </w:r>
            <w:r w:rsidRPr="00DA3BC7">
              <w:rPr>
                <w:rFonts w:hint="eastAsia"/>
                <w:sz w:val="24"/>
                <w:szCs w:val="24"/>
                <w:lang w:eastAsia="ja-JP"/>
              </w:rPr>
              <w:t>（</w:t>
            </w:r>
            <w:r w:rsidRPr="00DA3BC7">
              <w:rPr>
                <w:sz w:val="24"/>
                <w:szCs w:val="24"/>
                <w:lang w:eastAsia="ja-JP"/>
              </w:rPr>
              <w:t>Śrīgupta</w:t>
            </w:r>
            <w:r w:rsidRPr="00DA3BC7">
              <w:rPr>
                <w:rFonts w:hint="eastAsia"/>
                <w:sz w:val="24"/>
                <w:szCs w:val="24"/>
                <w:lang w:eastAsia="ja-JP"/>
              </w:rPr>
              <w:t>）</w:t>
            </w:r>
          </w:p>
          <w:p w:rsidR="00B17647" w:rsidRPr="00DA3BC7" w:rsidRDefault="00B17647" w:rsidP="008E2BBC">
            <w:pPr>
              <w:pStyle w:val="a5"/>
              <w:snapToGrid/>
              <w:jc w:val="center"/>
              <w:rPr>
                <w:sz w:val="24"/>
                <w:szCs w:val="24"/>
                <w:lang w:eastAsia="ja-JP"/>
              </w:rPr>
            </w:pPr>
            <w:r w:rsidRPr="00DA3BC7">
              <w:rPr>
                <w:rFonts w:hint="eastAsia"/>
                <w:sz w:val="24"/>
                <w:szCs w:val="24"/>
              </w:rPr>
              <w:t>智藏</w:t>
            </w:r>
            <w:r w:rsidRPr="00DA3BC7">
              <w:rPr>
                <w:rFonts w:hint="eastAsia"/>
                <w:sz w:val="24"/>
                <w:szCs w:val="24"/>
                <w:lang w:eastAsia="ja-JP"/>
              </w:rPr>
              <w:t>（</w:t>
            </w:r>
            <w:r w:rsidRPr="00DA3BC7">
              <w:rPr>
                <w:sz w:val="24"/>
                <w:szCs w:val="24"/>
                <w:lang w:eastAsia="ja-JP"/>
              </w:rPr>
              <w:t>Jñānagarbha</w:t>
            </w:r>
            <w:r w:rsidRPr="00DA3BC7">
              <w:rPr>
                <w:rFonts w:hint="eastAsia"/>
                <w:sz w:val="24"/>
                <w:szCs w:val="24"/>
                <w:lang w:eastAsia="ja-JP"/>
              </w:rPr>
              <w:t>）</w:t>
            </w:r>
          </w:p>
          <w:p w:rsidR="00B17647" w:rsidRPr="00DA3BC7" w:rsidRDefault="00B17647" w:rsidP="008E2BBC">
            <w:pPr>
              <w:pStyle w:val="a5"/>
              <w:snapToGrid/>
              <w:jc w:val="center"/>
              <w:rPr>
                <w:rFonts w:cs="Times Ext Roman"/>
                <w:sz w:val="24"/>
                <w:szCs w:val="24"/>
              </w:rPr>
            </w:pPr>
            <w:r w:rsidRPr="00DA3BC7">
              <w:rPr>
                <w:sz w:val="24"/>
                <w:szCs w:val="24"/>
              </w:rPr>
              <w:t>700</w:t>
            </w:r>
            <w:r w:rsidRPr="00DA3BC7">
              <w:rPr>
                <w:rFonts w:cs="Times Ext Roman"/>
                <w:sz w:val="24"/>
                <w:szCs w:val="24"/>
              </w:rPr>
              <w:t>–</w:t>
            </w:r>
            <w:r w:rsidRPr="00DA3BC7">
              <w:rPr>
                <w:sz w:val="24"/>
                <w:szCs w:val="24"/>
              </w:rPr>
              <w:t>760</w:t>
            </w:r>
          </w:p>
        </w:tc>
        <w:tc>
          <w:tcPr>
            <w:tcW w:w="4056" w:type="dxa"/>
            <w:vMerge w:val="restart"/>
            <w:vAlign w:val="center"/>
          </w:tcPr>
          <w:p w:rsidR="00B17647" w:rsidRPr="00DA3BC7" w:rsidRDefault="00B17647" w:rsidP="008E2BBC">
            <w:pPr>
              <w:pStyle w:val="a5"/>
              <w:snapToGrid/>
              <w:jc w:val="center"/>
              <w:rPr>
                <w:sz w:val="24"/>
                <w:szCs w:val="24"/>
              </w:rPr>
            </w:pPr>
            <w:r w:rsidRPr="00DA3BC7">
              <w:rPr>
                <w:rFonts w:hint="eastAsia"/>
                <w:sz w:val="24"/>
                <w:szCs w:val="24"/>
              </w:rPr>
              <w:t>寂天（</w:t>
            </w:r>
            <w:r w:rsidRPr="00DA3BC7">
              <w:rPr>
                <w:sz w:val="24"/>
                <w:szCs w:val="24"/>
              </w:rPr>
              <w:t>Śāntideva</w:t>
            </w:r>
            <w:r w:rsidRPr="00DA3BC7">
              <w:rPr>
                <w:rFonts w:hint="eastAsia"/>
                <w:sz w:val="24"/>
                <w:szCs w:val="24"/>
              </w:rPr>
              <w:t>）</w:t>
            </w:r>
          </w:p>
          <w:p w:rsidR="00B17647" w:rsidRPr="00DA3BC7" w:rsidRDefault="00B17647" w:rsidP="008E2BBC">
            <w:pPr>
              <w:pStyle w:val="a5"/>
              <w:snapToGrid/>
              <w:jc w:val="center"/>
              <w:rPr>
                <w:rFonts w:cs="Times Ext Roman"/>
                <w:sz w:val="24"/>
                <w:szCs w:val="24"/>
              </w:rPr>
            </w:pPr>
            <w:r w:rsidRPr="00DA3BC7">
              <w:rPr>
                <w:sz w:val="24"/>
                <w:szCs w:val="24"/>
              </w:rPr>
              <w:t>650</w:t>
            </w:r>
            <w:r w:rsidRPr="00DA3BC7">
              <w:rPr>
                <w:rFonts w:cs="Times Ext Roman"/>
                <w:sz w:val="24"/>
                <w:szCs w:val="24"/>
              </w:rPr>
              <w:t>–</w:t>
            </w:r>
            <w:r w:rsidRPr="00DA3BC7">
              <w:rPr>
                <w:sz w:val="24"/>
                <w:szCs w:val="24"/>
              </w:rPr>
              <w:t>700</w:t>
            </w:r>
          </w:p>
        </w:tc>
      </w:tr>
      <w:tr w:rsidR="00B17647" w:rsidRPr="00DA3BC7" w:rsidTr="008C130F">
        <w:trPr>
          <w:trHeight w:val="680"/>
          <w:jc w:val="center"/>
        </w:trPr>
        <w:tc>
          <w:tcPr>
            <w:tcW w:w="4024" w:type="dxa"/>
            <w:shd w:val="clear" w:color="auto" w:fill="D9D9D9"/>
            <w:vAlign w:val="center"/>
          </w:tcPr>
          <w:p w:rsidR="00B17647" w:rsidRPr="00DA3BC7" w:rsidRDefault="00B17647" w:rsidP="008E2BBC">
            <w:pPr>
              <w:pStyle w:val="a5"/>
              <w:snapToGrid/>
              <w:jc w:val="center"/>
              <w:rPr>
                <w:rFonts w:ascii="Times Ext Roman" w:hAnsi="Times Ext Roman" w:cs="Times Ext Roman"/>
                <w:sz w:val="24"/>
                <w:szCs w:val="24"/>
              </w:rPr>
            </w:pPr>
            <w:r w:rsidRPr="00DA3BC7">
              <w:rPr>
                <w:rFonts w:cs="Times Ext Roman" w:hint="eastAsia"/>
                <w:sz w:val="24"/>
                <w:szCs w:val="24"/>
              </w:rPr>
              <w:t>【中觀瑜伽行派】</w:t>
            </w:r>
          </w:p>
        </w:tc>
        <w:tc>
          <w:tcPr>
            <w:tcW w:w="4056" w:type="dxa"/>
            <w:vMerge/>
            <w:vAlign w:val="center"/>
          </w:tcPr>
          <w:p w:rsidR="00B17647" w:rsidRPr="00DA3BC7" w:rsidRDefault="00B17647" w:rsidP="008E2BBC">
            <w:pPr>
              <w:pStyle w:val="a5"/>
              <w:snapToGrid/>
              <w:jc w:val="center"/>
              <w:rPr>
                <w:rFonts w:cs="Times Ext Roman"/>
                <w:sz w:val="24"/>
                <w:szCs w:val="24"/>
              </w:rPr>
            </w:pPr>
          </w:p>
        </w:tc>
      </w:tr>
      <w:tr w:rsidR="00B17647" w:rsidRPr="00DA3BC7" w:rsidTr="008C130F">
        <w:trPr>
          <w:trHeight w:val="680"/>
          <w:jc w:val="center"/>
        </w:trPr>
        <w:tc>
          <w:tcPr>
            <w:tcW w:w="4024" w:type="dxa"/>
            <w:vAlign w:val="center"/>
          </w:tcPr>
          <w:p w:rsidR="00B17647" w:rsidRPr="00DA3BC7" w:rsidRDefault="00B17647" w:rsidP="008E2BBC">
            <w:pPr>
              <w:pStyle w:val="a5"/>
              <w:snapToGrid/>
              <w:jc w:val="center"/>
              <w:rPr>
                <w:sz w:val="24"/>
                <w:szCs w:val="24"/>
              </w:rPr>
            </w:pPr>
            <w:r w:rsidRPr="00DA3BC7">
              <w:rPr>
                <w:rFonts w:hint="eastAsia"/>
                <w:sz w:val="24"/>
                <w:szCs w:val="24"/>
              </w:rPr>
              <w:t>寂護（</w:t>
            </w:r>
            <w:r w:rsidRPr="00DA3BC7">
              <w:rPr>
                <w:sz w:val="24"/>
                <w:szCs w:val="24"/>
              </w:rPr>
              <w:t>Śāntirakṣita</w:t>
            </w:r>
            <w:r w:rsidRPr="00DA3BC7">
              <w:rPr>
                <w:rFonts w:hint="eastAsia"/>
                <w:sz w:val="24"/>
                <w:szCs w:val="24"/>
              </w:rPr>
              <w:t>）</w:t>
            </w:r>
          </w:p>
          <w:p w:rsidR="00B17647" w:rsidRPr="00DA3BC7" w:rsidRDefault="00B17647" w:rsidP="008E2BBC">
            <w:pPr>
              <w:pStyle w:val="a5"/>
              <w:snapToGrid/>
              <w:jc w:val="center"/>
              <w:rPr>
                <w:rFonts w:ascii="Times Ext Roman" w:hAnsi="Times Ext Roman" w:cs="Times Ext Roman"/>
                <w:sz w:val="24"/>
                <w:szCs w:val="24"/>
              </w:rPr>
            </w:pPr>
            <w:r w:rsidRPr="00DA3BC7">
              <w:rPr>
                <w:sz w:val="24"/>
                <w:szCs w:val="24"/>
              </w:rPr>
              <w:t>725</w:t>
            </w:r>
            <w:r w:rsidRPr="00DA3BC7">
              <w:rPr>
                <w:rFonts w:cs="Times Ext Roman"/>
                <w:sz w:val="24"/>
                <w:szCs w:val="24"/>
              </w:rPr>
              <w:t>–</w:t>
            </w:r>
            <w:r w:rsidRPr="00DA3BC7">
              <w:rPr>
                <w:sz w:val="24"/>
                <w:szCs w:val="24"/>
              </w:rPr>
              <w:t>790</w:t>
            </w:r>
          </w:p>
        </w:tc>
        <w:tc>
          <w:tcPr>
            <w:tcW w:w="4056" w:type="dxa"/>
            <w:vAlign w:val="center"/>
          </w:tcPr>
          <w:p w:rsidR="00B17647" w:rsidRPr="00DA3BC7" w:rsidRDefault="00B17647" w:rsidP="008E2BBC">
            <w:pPr>
              <w:pStyle w:val="a5"/>
              <w:snapToGrid/>
              <w:jc w:val="center"/>
              <w:rPr>
                <w:rFonts w:cs="Times Ext Roman"/>
                <w:sz w:val="24"/>
                <w:szCs w:val="24"/>
                <w:lang w:eastAsia="ja-JP"/>
              </w:rPr>
            </w:pPr>
            <w:r w:rsidRPr="00DA3BC7">
              <w:rPr>
                <w:rFonts w:cs="Times Ext Roman" w:hint="eastAsia"/>
                <w:sz w:val="24"/>
                <w:szCs w:val="24"/>
              </w:rPr>
              <w:t>智生慧</w:t>
            </w:r>
            <w:r w:rsidRPr="00DA3BC7">
              <w:rPr>
                <w:rFonts w:hint="eastAsia"/>
                <w:sz w:val="24"/>
                <w:szCs w:val="24"/>
                <w:lang w:eastAsia="ja-JP"/>
              </w:rPr>
              <w:t>（</w:t>
            </w:r>
            <w:r w:rsidRPr="00DA3BC7">
              <w:rPr>
                <w:sz w:val="24"/>
                <w:szCs w:val="24"/>
                <w:lang w:eastAsia="ja-JP"/>
              </w:rPr>
              <w:t>Prajñākaramati</w:t>
            </w:r>
            <w:r w:rsidRPr="00DA3BC7">
              <w:rPr>
                <w:rFonts w:hint="eastAsia"/>
                <w:sz w:val="24"/>
                <w:szCs w:val="24"/>
                <w:lang w:eastAsia="ja-JP"/>
              </w:rPr>
              <w:t>）</w:t>
            </w:r>
          </w:p>
          <w:p w:rsidR="00B17647" w:rsidRPr="00DA3BC7" w:rsidRDefault="00B17647" w:rsidP="008E2BBC">
            <w:pPr>
              <w:pStyle w:val="a5"/>
              <w:snapToGrid/>
              <w:jc w:val="center"/>
              <w:rPr>
                <w:rFonts w:cs="Times Ext Roman"/>
                <w:sz w:val="24"/>
                <w:szCs w:val="24"/>
              </w:rPr>
            </w:pPr>
            <w:r w:rsidRPr="00DA3BC7">
              <w:rPr>
                <w:sz w:val="24"/>
                <w:szCs w:val="24"/>
              </w:rPr>
              <w:t>950</w:t>
            </w:r>
            <w:r w:rsidRPr="00DA3BC7">
              <w:rPr>
                <w:rFonts w:cs="Times Ext Roman"/>
                <w:sz w:val="24"/>
                <w:szCs w:val="24"/>
              </w:rPr>
              <w:t>–</w:t>
            </w:r>
            <w:r w:rsidRPr="00DA3BC7">
              <w:rPr>
                <w:sz w:val="24"/>
                <w:szCs w:val="24"/>
              </w:rPr>
              <w:t>1030</w:t>
            </w:r>
          </w:p>
        </w:tc>
      </w:tr>
      <w:tr w:rsidR="00B17647" w:rsidRPr="00DA3BC7" w:rsidTr="008C130F">
        <w:trPr>
          <w:trHeight w:val="680"/>
          <w:jc w:val="center"/>
        </w:trPr>
        <w:tc>
          <w:tcPr>
            <w:tcW w:w="4024" w:type="dxa"/>
            <w:vAlign w:val="center"/>
          </w:tcPr>
          <w:p w:rsidR="00B17647" w:rsidRPr="00DA3BC7" w:rsidRDefault="00B17647" w:rsidP="008E2BBC">
            <w:pPr>
              <w:pStyle w:val="a5"/>
              <w:snapToGrid/>
              <w:jc w:val="center"/>
              <w:rPr>
                <w:sz w:val="24"/>
                <w:szCs w:val="24"/>
              </w:rPr>
            </w:pPr>
            <w:r w:rsidRPr="00DA3BC7">
              <w:rPr>
                <w:rFonts w:hint="eastAsia"/>
                <w:sz w:val="24"/>
                <w:szCs w:val="24"/>
              </w:rPr>
              <w:t>蓮華戒（</w:t>
            </w:r>
            <w:r w:rsidRPr="00DA3BC7">
              <w:rPr>
                <w:sz w:val="24"/>
                <w:szCs w:val="24"/>
              </w:rPr>
              <w:t>Kamalaśīla</w:t>
            </w:r>
            <w:r w:rsidRPr="00DA3BC7">
              <w:rPr>
                <w:rFonts w:hint="eastAsia"/>
                <w:sz w:val="24"/>
                <w:szCs w:val="24"/>
              </w:rPr>
              <w:t>）</w:t>
            </w:r>
          </w:p>
          <w:p w:rsidR="00B17647" w:rsidRPr="00DA3BC7" w:rsidRDefault="00B17647" w:rsidP="008E2BBC">
            <w:pPr>
              <w:pStyle w:val="a5"/>
              <w:snapToGrid/>
              <w:jc w:val="center"/>
              <w:rPr>
                <w:rFonts w:ascii="Times Ext Roman" w:hAnsi="Times Ext Roman" w:cs="Times Ext Roman"/>
                <w:sz w:val="24"/>
                <w:szCs w:val="24"/>
              </w:rPr>
            </w:pPr>
            <w:r w:rsidRPr="00DA3BC7">
              <w:rPr>
                <w:sz w:val="24"/>
                <w:szCs w:val="24"/>
              </w:rPr>
              <w:t>740</w:t>
            </w:r>
            <w:r w:rsidRPr="00DA3BC7">
              <w:rPr>
                <w:rFonts w:cs="Times Ext Roman"/>
                <w:sz w:val="24"/>
                <w:szCs w:val="24"/>
              </w:rPr>
              <w:t>–</w:t>
            </w:r>
            <w:r w:rsidRPr="00DA3BC7">
              <w:rPr>
                <w:sz w:val="24"/>
                <w:szCs w:val="24"/>
              </w:rPr>
              <w:t>796</w:t>
            </w:r>
          </w:p>
        </w:tc>
        <w:tc>
          <w:tcPr>
            <w:tcW w:w="4056" w:type="dxa"/>
            <w:vAlign w:val="center"/>
          </w:tcPr>
          <w:p w:rsidR="00B17647" w:rsidRPr="00DA3BC7" w:rsidRDefault="00B17647" w:rsidP="008E2BBC">
            <w:pPr>
              <w:pStyle w:val="a5"/>
              <w:snapToGrid/>
              <w:jc w:val="center"/>
              <w:rPr>
                <w:sz w:val="24"/>
                <w:szCs w:val="24"/>
              </w:rPr>
            </w:pPr>
            <w:r w:rsidRPr="00DA3BC7">
              <w:rPr>
                <w:rFonts w:cs="Times Ext Roman" w:hint="eastAsia"/>
                <w:sz w:val="24"/>
                <w:szCs w:val="24"/>
              </w:rPr>
              <w:t>阿底峽</w:t>
            </w:r>
            <w:r w:rsidRPr="00DA3BC7">
              <w:rPr>
                <w:rFonts w:hint="eastAsia"/>
                <w:sz w:val="24"/>
                <w:szCs w:val="24"/>
              </w:rPr>
              <w:t>（</w:t>
            </w:r>
            <w:r w:rsidRPr="00DA3BC7">
              <w:rPr>
                <w:sz w:val="24"/>
                <w:szCs w:val="24"/>
              </w:rPr>
              <w:t>Atīśa</w:t>
            </w:r>
            <w:r w:rsidRPr="00DA3BC7">
              <w:rPr>
                <w:rFonts w:hint="eastAsia"/>
                <w:sz w:val="24"/>
                <w:szCs w:val="24"/>
              </w:rPr>
              <w:t>）</w:t>
            </w:r>
          </w:p>
          <w:p w:rsidR="00B17647" w:rsidRPr="00DA3BC7" w:rsidRDefault="00B17647" w:rsidP="008E2BBC">
            <w:pPr>
              <w:pStyle w:val="a5"/>
              <w:snapToGrid/>
              <w:jc w:val="center"/>
              <w:rPr>
                <w:rFonts w:cs="Times Ext Roman"/>
                <w:sz w:val="24"/>
                <w:szCs w:val="24"/>
              </w:rPr>
            </w:pPr>
            <w:r w:rsidRPr="00DA3BC7">
              <w:rPr>
                <w:sz w:val="24"/>
                <w:szCs w:val="24"/>
              </w:rPr>
              <w:t>982</w:t>
            </w:r>
            <w:r w:rsidRPr="00DA3BC7">
              <w:rPr>
                <w:rFonts w:cs="Times Ext Roman"/>
                <w:sz w:val="24"/>
                <w:szCs w:val="24"/>
              </w:rPr>
              <w:t>–</w:t>
            </w:r>
            <w:r w:rsidRPr="00DA3BC7">
              <w:rPr>
                <w:sz w:val="24"/>
                <w:szCs w:val="24"/>
              </w:rPr>
              <w:t>1054</w:t>
            </w:r>
          </w:p>
        </w:tc>
      </w:tr>
      <w:tr w:rsidR="00B17647" w:rsidRPr="00DA3BC7" w:rsidTr="008C130F">
        <w:trPr>
          <w:trHeight w:val="680"/>
          <w:jc w:val="center"/>
        </w:trPr>
        <w:tc>
          <w:tcPr>
            <w:tcW w:w="4024" w:type="dxa"/>
            <w:vAlign w:val="center"/>
          </w:tcPr>
          <w:p w:rsidR="00B17647" w:rsidRPr="00DA3BC7" w:rsidRDefault="00B17647" w:rsidP="008E2BBC">
            <w:pPr>
              <w:pStyle w:val="a5"/>
              <w:snapToGrid/>
              <w:jc w:val="center"/>
              <w:rPr>
                <w:sz w:val="24"/>
                <w:szCs w:val="24"/>
              </w:rPr>
            </w:pPr>
            <w:r w:rsidRPr="00DA3BC7">
              <w:rPr>
                <w:rFonts w:hint="eastAsia"/>
                <w:sz w:val="24"/>
                <w:szCs w:val="24"/>
              </w:rPr>
              <w:t>解脫軍（</w:t>
            </w:r>
            <w:r w:rsidRPr="00DA3BC7">
              <w:rPr>
                <w:sz w:val="24"/>
                <w:szCs w:val="24"/>
              </w:rPr>
              <w:t>Vimuktisena</w:t>
            </w:r>
            <w:r w:rsidRPr="00DA3BC7">
              <w:rPr>
                <w:rFonts w:hint="eastAsia"/>
                <w:sz w:val="24"/>
                <w:szCs w:val="24"/>
              </w:rPr>
              <w:t>）</w:t>
            </w:r>
          </w:p>
        </w:tc>
        <w:tc>
          <w:tcPr>
            <w:tcW w:w="4056" w:type="dxa"/>
            <w:vMerge w:val="restart"/>
            <w:vAlign w:val="center"/>
          </w:tcPr>
          <w:p w:rsidR="00B17647" w:rsidRPr="00DA3BC7" w:rsidRDefault="00B17647" w:rsidP="008E2BBC">
            <w:pPr>
              <w:pStyle w:val="a5"/>
              <w:snapToGrid/>
              <w:jc w:val="center"/>
              <w:rPr>
                <w:rFonts w:cs="Times Ext Roman"/>
                <w:sz w:val="24"/>
                <w:szCs w:val="24"/>
              </w:rPr>
            </w:pPr>
          </w:p>
        </w:tc>
      </w:tr>
      <w:tr w:rsidR="00B17647" w:rsidRPr="00DA3BC7" w:rsidTr="008C130F">
        <w:trPr>
          <w:trHeight w:val="680"/>
          <w:jc w:val="center"/>
        </w:trPr>
        <w:tc>
          <w:tcPr>
            <w:tcW w:w="4024" w:type="dxa"/>
            <w:vAlign w:val="center"/>
          </w:tcPr>
          <w:p w:rsidR="00B17647" w:rsidRPr="00DA3BC7" w:rsidRDefault="00B17647" w:rsidP="008E2BBC">
            <w:pPr>
              <w:pStyle w:val="a5"/>
              <w:snapToGrid/>
              <w:jc w:val="center"/>
              <w:rPr>
                <w:sz w:val="24"/>
                <w:szCs w:val="24"/>
              </w:rPr>
            </w:pPr>
            <w:r w:rsidRPr="00DA3BC7">
              <w:rPr>
                <w:rFonts w:hint="eastAsia"/>
                <w:sz w:val="24"/>
                <w:szCs w:val="24"/>
              </w:rPr>
              <w:t>師子賢（</w:t>
            </w:r>
            <w:r w:rsidRPr="00DA3BC7">
              <w:rPr>
                <w:sz w:val="24"/>
                <w:szCs w:val="24"/>
              </w:rPr>
              <w:t>Haribhadra</w:t>
            </w:r>
            <w:r w:rsidRPr="00DA3BC7">
              <w:rPr>
                <w:rFonts w:hint="eastAsia"/>
                <w:sz w:val="24"/>
                <w:szCs w:val="24"/>
              </w:rPr>
              <w:t>）</w:t>
            </w:r>
          </w:p>
          <w:p w:rsidR="00B17647" w:rsidRPr="00DA3BC7" w:rsidRDefault="00B17647" w:rsidP="008E2BBC">
            <w:pPr>
              <w:pStyle w:val="a5"/>
              <w:snapToGrid/>
              <w:jc w:val="center"/>
              <w:rPr>
                <w:rFonts w:ascii="Times Ext Roman" w:hAnsi="Times Ext Roman" w:cs="Times Ext Roman"/>
                <w:sz w:val="24"/>
                <w:szCs w:val="24"/>
              </w:rPr>
            </w:pPr>
            <w:r w:rsidRPr="00DA3BC7">
              <w:rPr>
                <w:rFonts w:cs="Times Ext Roman" w:hint="eastAsia"/>
                <w:sz w:val="24"/>
                <w:szCs w:val="24"/>
              </w:rPr>
              <w:t>─</w:t>
            </w:r>
            <w:r w:rsidRPr="00DA3BC7">
              <w:rPr>
                <w:sz w:val="24"/>
                <w:szCs w:val="24"/>
              </w:rPr>
              <w:t>800</w:t>
            </w:r>
            <w:r w:rsidRPr="00DA3BC7">
              <w:rPr>
                <w:rFonts w:cs="Times Ext Roman" w:hint="eastAsia"/>
                <w:sz w:val="24"/>
                <w:szCs w:val="24"/>
              </w:rPr>
              <w:t>─</w:t>
            </w:r>
          </w:p>
        </w:tc>
        <w:tc>
          <w:tcPr>
            <w:tcW w:w="4056" w:type="dxa"/>
            <w:vMerge/>
            <w:vAlign w:val="center"/>
          </w:tcPr>
          <w:p w:rsidR="00B17647" w:rsidRPr="00DA3BC7" w:rsidRDefault="00B17647" w:rsidP="008E2BBC">
            <w:pPr>
              <w:pStyle w:val="a5"/>
              <w:snapToGrid/>
              <w:jc w:val="center"/>
              <w:rPr>
                <w:rFonts w:cs="Times Ext Roman"/>
                <w:sz w:val="24"/>
                <w:szCs w:val="24"/>
              </w:rPr>
            </w:pPr>
          </w:p>
        </w:tc>
      </w:tr>
      <w:tr w:rsidR="00B17647" w:rsidRPr="00DA3BC7" w:rsidTr="008C130F">
        <w:trPr>
          <w:trHeight w:val="680"/>
          <w:jc w:val="center"/>
        </w:trPr>
        <w:tc>
          <w:tcPr>
            <w:tcW w:w="4024" w:type="dxa"/>
            <w:vAlign w:val="center"/>
          </w:tcPr>
          <w:p w:rsidR="00B17647" w:rsidRPr="00DA3BC7" w:rsidRDefault="00B17647" w:rsidP="008E2BBC">
            <w:pPr>
              <w:pStyle w:val="a5"/>
              <w:snapToGrid/>
              <w:jc w:val="center"/>
              <w:rPr>
                <w:sz w:val="24"/>
                <w:szCs w:val="24"/>
                <w:lang w:eastAsia="ja-JP"/>
              </w:rPr>
            </w:pPr>
            <w:r w:rsidRPr="00DA3BC7">
              <w:rPr>
                <w:rFonts w:cs="Times Ext Roman" w:hint="eastAsia"/>
                <w:sz w:val="24"/>
                <w:szCs w:val="24"/>
              </w:rPr>
              <w:t>寶寂</w:t>
            </w:r>
            <w:r w:rsidRPr="00DA3BC7">
              <w:rPr>
                <w:rFonts w:hint="eastAsia"/>
                <w:sz w:val="24"/>
                <w:szCs w:val="24"/>
                <w:lang w:eastAsia="ja-JP"/>
              </w:rPr>
              <w:t>（</w:t>
            </w:r>
            <w:r w:rsidRPr="00DA3BC7">
              <w:rPr>
                <w:sz w:val="24"/>
                <w:szCs w:val="24"/>
                <w:lang w:eastAsia="ja-JP"/>
              </w:rPr>
              <w:t>Ratnākaraśānti</w:t>
            </w:r>
            <w:r w:rsidRPr="00DA3BC7">
              <w:rPr>
                <w:rFonts w:hint="eastAsia"/>
                <w:sz w:val="24"/>
                <w:szCs w:val="24"/>
                <w:lang w:eastAsia="ja-JP"/>
              </w:rPr>
              <w:t>）</w:t>
            </w:r>
          </w:p>
          <w:p w:rsidR="00B17647" w:rsidRPr="00DA3BC7" w:rsidRDefault="00B17647" w:rsidP="008E2BBC">
            <w:pPr>
              <w:pStyle w:val="a5"/>
              <w:snapToGrid/>
              <w:jc w:val="center"/>
              <w:rPr>
                <w:rFonts w:ascii="Times Ext Roman" w:hAnsi="Times Ext Roman" w:cs="Times Ext Roman"/>
                <w:sz w:val="24"/>
                <w:szCs w:val="24"/>
              </w:rPr>
            </w:pPr>
            <w:r w:rsidRPr="00DA3BC7">
              <w:rPr>
                <w:rFonts w:cs="Times Ext Roman" w:hint="eastAsia"/>
                <w:sz w:val="24"/>
                <w:szCs w:val="24"/>
              </w:rPr>
              <w:t>─</w:t>
            </w:r>
            <w:r w:rsidRPr="00DA3BC7">
              <w:rPr>
                <w:sz w:val="24"/>
                <w:szCs w:val="24"/>
              </w:rPr>
              <w:t>1000</w:t>
            </w:r>
            <w:r w:rsidRPr="00DA3BC7">
              <w:rPr>
                <w:rFonts w:cs="Times Ext Roman" w:hint="eastAsia"/>
                <w:sz w:val="24"/>
                <w:szCs w:val="24"/>
              </w:rPr>
              <w:t>─</w:t>
            </w:r>
          </w:p>
        </w:tc>
        <w:tc>
          <w:tcPr>
            <w:tcW w:w="4056" w:type="dxa"/>
            <w:vMerge/>
            <w:vAlign w:val="center"/>
          </w:tcPr>
          <w:p w:rsidR="00B17647" w:rsidRPr="00DA3BC7" w:rsidRDefault="00B17647" w:rsidP="008E2BBC">
            <w:pPr>
              <w:pStyle w:val="a5"/>
              <w:snapToGrid/>
              <w:jc w:val="center"/>
              <w:rPr>
                <w:rFonts w:cs="Times Ext Roman"/>
                <w:sz w:val="24"/>
                <w:szCs w:val="24"/>
              </w:rPr>
            </w:pPr>
          </w:p>
        </w:tc>
      </w:tr>
      <w:tr w:rsidR="00B17647" w:rsidRPr="00DA3BC7" w:rsidTr="008C130F">
        <w:trPr>
          <w:trHeight w:val="680"/>
          <w:jc w:val="center"/>
        </w:trPr>
        <w:tc>
          <w:tcPr>
            <w:tcW w:w="4024" w:type="dxa"/>
            <w:vAlign w:val="center"/>
          </w:tcPr>
          <w:p w:rsidR="00B17647" w:rsidRPr="00DA3BC7" w:rsidRDefault="00B17647" w:rsidP="008E2BBC">
            <w:pPr>
              <w:pStyle w:val="a5"/>
              <w:snapToGrid/>
              <w:jc w:val="center"/>
              <w:rPr>
                <w:sz w:val="24"/>
                <w:szCs w:val="24"/>
              </w:rPr>
            </w:pPr>
            <w:r w:rsidRPr="00DA3BC7">
              <w:rPr>
                <w:rFonts w:hint="eastAsia"/>
                <w:sz w:val="24"/>
                <w:szCs w:val="24"/>
              </w:rPr>
              <w:t>勝敵（</w:t>
            </w:r>
            <w:r w:rsidRPr="00DA3BC7">
              <w:rPr>
                <w:sz w:val="24"/>
                <w:szCs w:val="24"/>
              </w:rPr>
              <w:t>Jitāri</w:t>
            </w:r>
            <w:r w:rsidRPr="00DA3BC7">
              <w:rPr>
                <w:rFonts w:hint="eastAsia"/>
                <w:sz w:val="24"/>
                <w:szCs w:val="24"/>
              </w:rPr>
              <w:t>）</w:t>
            </w:r>
          </w:p>
          <w:p w:rsidR="00B17647" w:rsidRPr="00DA3BC7" w:rsidRDefault="00B17647" w:rsidP="008E2BBC">
            <w:pPr>
              <w:pStyle w:val="a5"/>
              <w:snapToGrid/>
              <w:jc w:val="center"/>
              <w:rPr>
                <w:rFonts w:ascii="Times Ext Roman" w:hAnsi="Times Ext Roman" w:cs="Times Ext Roman"/>
                <w:sz w:val="24"/>
                <w:szCs w:val="24"/>
              </w:rPr>
            </w:pPr>
            <w:r w:rsidRPr="00DA3BC7">
              <w:rPr>
                <w:rFonts w:cs="Times Ext Roman" w:hint="eastAsia"/>
                <w:sz w:val="24"/>
                <w:szCs w:val="24"/>
              </w:rPr>
              <w:t>─</w:t>
            </w:r>
            <w:r w:rsidRPr="00DA3BC7">
              <w:rPr>
                <w:sz w:val="24"/>
                <w:szCs w:val="24"/>
              </w:rPr>
              <w:t>1000</w:t>
            </w:r>
            <w:r w:rsidRPr="00DA3BC7">
              <w:rPr>
                <w:rFonts w:cs="Times Ext Roman" w:hint="eastAsia"/>
                <w:sz w:val="24"/>
                <w:szCs w:val="24"/>
              </w:rPr>
              <w:t>─</w:t>
            </w:r>
          </w:p>
        </w:tc>
        <w:tc>
          <w:tcPr>
            <w:tcW w:w="4056" w:type="dxa"/>
            <w:vAlign w:val="center"/>
          </w:tcPr>
          <w:p w:rsidR="00B17647" w:rsidRPr="00DA3BC7" w:rsidRDefault="00B17647" w:rsidP="008E2BBC">
            <w:pPr>
              <w:pStyle w:val="a5"/>
              <w:snapToGrid/>
              <w:jc w:val="center"/>
              <w:rPr>
                <w:rFonts w:cs="Times Ext Roman"/>
                <w:sz w:val="24"/>
                <w:szCs w:val="24"/>
              </w:rPr>
            </w:pPr>
            <w:r w:rsidRPr="00DA3BC7">
              <w:rPr>
                <w:rFonts w:cs="Times Ext Roman" w:hint="eastAsia"/>
                <w:sz w:val="24"/>
                <w:szCs w:val="24"/>
              </w:rPr>
              <w:t>方便</w:t>
            </w:r>
            <w:r w:rsidR="00884BA1" w:rsidRPr="00DA3BC7">
              <w:rPr>
                <w:rFonts w:cs="Times Ext Roman" w:hint="eastAsia"/>
                <w:sz w:val="24"/>
                <w:szCs w:val="24"/>
              </w:rPr>
              <w:t>•</w:t>
            </w:r>
            <w:r w:rsidRPr="00DA3BC7">
              <w:rPr>
                <w:rFonts w:cs="Times Ext Roman" w:hint="eastAsia"/>
                <w:sz w:val="24"/>
                <w:szCs w:val="24"/>
              </w:rPr>
              <w:t>父續，聖者父子流</w:t>
            </w:r>
          </w:p>
        </w:tc>
      </w:tr>
    </w:tbl>
    <w:p w:rsidR="002E469B" w:rsidRPr="00DA3BC7" w:rsidRDefault="002E469B" w:rsidP="008E2BBC">
      <w:pPr>
        <w:jc w:val="both"/>
        <w:sectPr w:rsidR="002E469B" w:rsidRPr="00DA3BC7" w:rsidSect="009914C0">
          <w:headerReference w:type="even" r:id="rId15"/>
          <w:headerReference w:type="default" r:id="rId16"/>
          <w:footerReference w:type="default" r:id="rId17"/>
          <w:footerReference w:type="first" r:id="rId18"/>
          <w:footnotePr>
            <w:numRestart w:val="eachSect"/>
          </w:footnotePr>
          <w:pgSz w:w="10773" w:h="14742" w:code="9"/>
          <w:pgMar w:top="1418" w:right="1418" w:bottom="1418" w:left="1418" w:header="851" w:footer="992" w:gutter="0"/>
          <w:cols w:space="425"/>
          <w:docGrid w:type="lines" w:linePitch="360"/>
        </w:sectPr>
      </w:pPr>
    </w:p>
    <w:p w:rsidR="002E469B" w:rsidRPr="00DA3BC7" w:rsidRDefault="002E469B" w:rsidP="008E2BBC">
      <w:pPr>
        <w:pStyle w:val="1"/>
      </w:pPr>
      <w:bookmarkStart w:id="13" w:name="_Toc405499741"/>
      <w:r w:rsidRPr="00DA3BC7">
        <w:rPr>
          <w:rFonts w:hint="eastAsia"/>
        </w:rPr>
        <w:lastRenderedPageBreak/>
        <w:t>第一章、中道之內容及其意義</w:t>
      </w:r>
      <w:bookmarkEnd w:id="13"/>
    </w:p>
    <w:p w:rsidR="002E469B" w:rsidRPr="00DA3BC7" w:rsidRDefault="002E469B" w:rsidP="008E2BBC">
      <w:pPr>
        <w:pStyle w:val="2"/>
      </w:pPr>
      <w:bookmarkStart w:id="14" w:name="_Toc405499742"/>
      <w:r w:rsidRPr="00DA3BC7">
        <w:rPr>
          <w:rFonts w:hint="eastAsia"/>
        </w:rPr>
        <w:t>第一節、中道之內容</w:t>
      </w:r>
      <w:bookmarkEnd w:id="14"/>
    </w:p>
    <w:p w:rsidR="002E469B" w:rsidRPr="00DA3BC7" w:rsidRDefault="002E469B" w:rsidP="008E2BBC">
      <w:pPr>
        <w:jc w:val="center"/>
        <w:rPr>
          <w:rFonts w:ascii="Times New Roman" w:eastAsia="標楷體" w:hAnsi="Times New Roman"/>
        </w:rPr>
      </w:pPr>
      <w:r w:rsidRPr="00DA3BC7">
        <w:rPr>
          <w:rFonts w:ascii="Times New Roman" w:eastAsia="標楷體" w:hAnsi="Times New Roman"/>
        </w:rPr>
        <w:t>（</w:t>
      </w:r>
      <w:r w:rsidRPr="00DA3BC7">
        <w:rPr>
          <w:rFonts w:ascii="Times New Roman" w:eastAsia="標楷體" w:hAnsi="Times New Roman"/>
        </w:rPr>
        <w:t>pp.5-9</w:t>
      </w:r>
      <w:r w:rsidRPr="00DA3BC7">
        <w:rPr>
          <w:rFonts w:ascii="Times New Roman" w:eastAsia="標楷體" w:hAnsi="Times New Roman"/>
        </w:rPr>
        <w:t>）</w:t>
      </w:r>
    </w:p>
    <w:p w:rsidR="002E469B" w:rsidRPr="00DA3BC7" w:rsidRDefault="002E469B" w:rsidP="008E2BBC">
      <w:pPr>
        <w:pStyle w:val="Author"/>
      </w:pPr>
    </w:p>
    <w:p w:rsidR="002E469B" w:rsidRPr="00DA3BC7" w:rsidRDefault="002E469B" w:rsidP="00AE3920">
      <w:pPr>
        <w:spacing w:beforeLines="50"/>
        <w:jc w:val="both"/>
        <w:rPr>
          <w:rFonts w:ascii="Times New Roman" w:hAnsi="Times New Roman"/>
          <w:sz w:val="20"/>
          <w:bdr w:val="single" w:sz="4" w:space="0" w:color="auto"/>
        </w:rPr>
      </w:pPr>
      <w:r w:rsidRPr="00DA3BC7">
        <w:rPr>
          <w:rFonts w:ascii="Times New Roman" w:hAnsi="Times New Roman"/>
          <w:b/>
          <w:sz w:val="20"/>
          <w:bdr w:val="single" w:sz="4" w:space="0" w:color="auto"/>
        </w:rPr>
        <w:t>壹、</w:t>
      </w:r>
      <w:r w:rsidR="00A87EFE" w:rsidRPr="00D936C5">
        <w:rPr>
          <w:rFonts w:ascii="Times New Roman" w:hAnsi="Times New Roman"/>
          <w:b/>
          <w:color w:val="FF0000"/>
          <w:sz w:val="20"/>
          <w:highlight w:val="yellow"/>
          <w:bdr w:val="single" w:sz="4" w:space="0" w:color="auto"/>
        </w:rPr>
        <w:t>「</w:t>
      </w:r>
      <w:r w:rsidR="00D936C5" w:rsidRPr="00D936C5">
        <w:rPr>
          <w:rFonts w:ascii="Times New Roman" w:hAnsi="Times New Roman" w:hint="eastAsia"/>
          <w:b/>
          <w:color w:val="FF0000"/>
          <w:sz w:val="20"/>
          <w:szCs w:val="20"/>
          <w:highlight w:val="yellow"/>
          <w:bdr w:val="single" w:sz="4" w:space="0" w:color="auto"/>
        </w:rPr>
        <w:t>理</w:t>
      </w:r>
      <w:r w:rsidR="00A87EFE">
        <w:rPr>
          <w:rFonts w:ascii="新細明體" w:hAnsi="新細明體" w:hint="eastAsia"/>
          <w:b/>
          <w:color w:val="FF0000"/>
          <w:sz w:val="20"/>
          <w:szCs w:val="20"/>
          <w:highlight w:val="yellow"/>
          <w:bdr w:val="single" w:sz="4" w:space="0" w:color="auto"/>
        </w:rPr>
        <w:t>、</w:t>
      </w:r>
      <w:r w:rsidR="00D936C5" w:rsidRPr="00D936C5">
        <w:rPr>
          <w:rFonts w:ascii="Times New Roman" w:hAnsi="Times New Roman" w:hint="eastAsia"/>
          <w:b/>
          <w:color w:val="FF0000"/>
          <w:sz w:val="20"/>
          <w:szCs w:val="20"/>
          <w:highlight w:val="yellow"/>
          <w:bdr w:val="single" w:sz="4" w:space="0" w:color="auto"/>
        </w:rPr>
        <w:t>行</w:t>
      </w:r>
      <w:r w:rsidR="00A87EFE" w:rsidRPr="00D936C5">
        <w:rPr>
          <w:rFonts w:ascii="Times New Roman" w:hAnsi="Times New Roman"/>
          <w:b/>
          <w:color w:val="FF0000"/>
          <w:sz w:val="20"/>
          <w:highlight w:val="yellow"/>
          <w:bdr w:val="single" w:sz="4" w:space="0" w:color="auto"/>
        </w:rPr>
        <w:t>」</w:t>
      </w:r>
      <w:r w:rsidR="00D936C5" w:rsidRPr="00D936C5">
        <w:rPr>
          <w:rFonts w:ascii="Times New Roman" w:hAnsi="Times New Roman" w:hint="eastAsia"/>
          <w:b/>
          <w:color w:val="FF0000"/>
          <w:sz w:val="20"/>
          <w:szCs w:val="20"/>
          <w:highlight w:val="yellow"/>
          <w:bdr w:val="single" w:sz="4" w:space="0" w:color="auto"/>
        </w:rPr>
        <w:t>兼蓄</w:t>
      </w:r>
      <w:r w:rsidRPr="00D936C5">
        <w:rPr>
          <w:rFonts w:ascii="Times New Roman" w:hAnsi="Times New Roman"/>
          <w:b/>
          <w:color w:val="FF0000"/>
          <w:sz w:val="20"/>
          <w:szCs w:val="20"/>
          <w:highlight w:val="yellow"/>
          <w:bdr w:val="single" w:sz="4" w:space="0" w:color="auto"/>
        </w:rPr>
        <w:t>的中道</w:t>
      </w:r>
      <w:r w:rsidRPr="00DA3BC7">
        <w:rPr>
          <w:rStyle w:val="a6"/>
          <w:rFonts w:ascii="Times New Roman" w:hAnsi="Times New Roman"/>
        </w:rPr>
        <w:footnoteReference w:id="73"/>
      </w:r>
      <w:r w:rsidRPr="00DA3BC7">
        <w:rPr>
          <w:rFonts w:ascii="Times New Roman" w:hAnsi="Times New Roman" w:hint="eastAsia"/>
          <w:sz w:val="20"/>
          <w:szCs w:val="20"/>
        </w:rPr>
        <w:t>（</w:t>
      </w:r>
      <w:r w:rsidRPr="00DA3BC7">
        <w:rPr>
          <w:rFonts w:ascii="Times New Roman" w:hAnsi="Times New Roman"/>
          <w:sz w:val="20"/>
          <w:szCs w:val="20"/>
        </w:rPr>
        <w:t>pp.5-7</w:t>
      </w:r>
      <w:r w:rsidRPr="00DA3BC7">
        <w:rPr>
          <w:rFonts w:ascii="Times New Roman" w:hAnsi="Times New Roman" w:hint="eastAsia"/>
          <w:sz w:val="20"/>
          <w:szCs w:val="20"/>
        </w:rPr>
        <w:t>）</w:t>
      </w:r>
    </w:p>
    <w:p w:rsidR="002E469B" w:rsidRPr="00DA3BC7" w:rsidRDefault="002E469B" w:rsidP="008E2BBC">
      <w:pPr>
        <w:tabs>
          <w:tab w:val="left" w:pos="1820"/>
        </w:tabs>
        <w:ind w:leftChars="50" w:left="120"/>
        <w:jc w:val="both"/>
        <w:rPr>
          <w:rFonts w:ascii="Times New Roman" w:hAnsi="Times New Roman"/>
          <w:sz w:val="20"/>
          <w:bdr w:val="single" w:sz="4" w:space="0" w:color="auto"/>
        </w:rPr>
      </w:pPr>
      <w:r w:rsidRPr="00DA3BC7">
        <w:rPr>
          <w:rFonts w:ascii="Times New Roman" w:hAnsi="Times New Roman"/>
          <w:b/>
          <w:sz w:val="20"/>
          <w:bdr w:val="single" w:sz="4" w:space="0" w:color="auto"/>
        </w:rPr>
        <w:t>（壹）</w:t>
      </w:r>
      <w:r w:rsidR="00D936C5">
        <w:rPr>
          <w:rFonts w:ascii="Times New Roman" w:hAnsi="Times New Roman" w:hint="eastAsia"/>
          <w:b/>
          <w:color w:val="FF0000"/>
          <w:sz w:val="20"/>
          <w:szCs w:val="20"/>
          <w:highlight w:val="yellow"/>
          <w:bdr w:val="single" w:sz="4" w:space="0" w:color="auto"/>
        </w:rPr>
        <w:t>別辨</w:t>
      </w:r>
      <w:r w:rsidRPr="00DA3BC7">
        <w:rPr>
          <w:rFonts w:ascii="Times New Roman" w:hAnsi="Times New Roman" w:hint="eastAsia"/>
          <w:sz w:val="20"/>
          <w:szCs w:val="20"/>
        </w:rPr>
        <w:t>（</w:t>
      </w:r>
      <w:r w:rsidRPr="00DA3BC7">
        <w:rPr>
          <w:rFonts w:ascii="Times New Roman" w:hAnsi="Times New Roman"/>
          <w:sz w:val="20"/>
          <w:szCs w:val="20"/>
        </w:rPr>
        <w:t>pp.5-6</w:t>
      </w:r>
      <w:r w:rsidRPr="00DA3BC7">
        <w:rPr>
          <w:rFonts w:ascii="Times New Roman" w:hAnsi="Times New Roman" w:hint="eastAsia"/>
          <w:sz w:val="20"/>
          <w:szCs w:val="20"/>
        </w:rPr>
        <w:t>）</w:t>
      </w:r>
    </w:p>
    <w:p w:rsidR="002E469B" w:rsidRDefault="002E469B" w:rsidP="008E2BBC">
      <w:pPr>
        <w:tabs>
          <w:tab w:val="left" w:pos="1820"/>
        </w:tabs>
        <w:ind w:leftChars="100" w:left="240"/>
        <w:jc w:val="both"/>
        <w:rPr>
          <w:rFonts w:ascii="Times New Roman" w:hAnsi="Times New Roman"/>
          <w:sz w:val="20"/>
          <w:szCs w:val="20"/>
        </w:rPr>
      </w:pPr>
      <w:r w:rsidRPr="00DA3BC7">
        <w:rPr>
          <w:rFonts w:ascii="Times New Roman" w:hAnsi="Times New Roman"/>
          <w:b/>
          <w:sz w:val="20"/>
          <w:bdr w:val="single" w:sz="4" w:space="0" w:color="auto"/>
        </w:rPr>
        <w:t>一、</w:t>
      </w:r>
      <w:r w:rsidRPr="00D936C5">
        <w:rPr>
          <w:rFonts w:ascii="Times New Roman" w:hAnsi="Times New Roman"/>
          <w:b/>
          <w:color w:val="FF0000"/>
          <w:sz w:val="20"/>
          <w:highlight w:val="yellow"/>
          <w:bdr w:val="single" w:sz="4" w:space="0" w:color="auto"/>
        </w:rPr>
        <w:t>「</w:t>
      </w:r>
      <w:r w:rsidR="00D936C5" w:rsidRPr="00D936C5">
        <w:rPr>
          <w:rFonts w:ascii="Times New Roman" w:hAnsi="Times New Roman" w:hint="eastAsia"/>
          <w:b/>
          <w:color w:val="FF0000"/>
          <w:sz w:val="20"/>
          <w:highlight w:val="yellow"/>
          <w:bdr w:val="single" w:sz="4" w:space="0" w:color="auto"/>
        </w:rPr>
        <w:t>行</w:t>
      </w:r>
      <w:r w:rsidRPr="00D936C5">
        <w:rPr>
          <w:rFonts w:ascii="Times New Roman" w:hAnsi="Times New Roman"/>
          <w:b/>
          <w:color w:val="FF0000"/>
          <w:sz w:val="20"/>
          <w:highlight w:val="yellow"/>
          <w:bdr w:val="single" w:sz="4" w:space="0" w:color="auto"/>
        </w:rPr>
        <w:t>」的</w:t>
      </w:r>
      <w:r w:rsidR="00D936C5" w:rsidRPr="00D936C5">
        <w:rPr>
          <w:rFonts w:ascii="Times New Roman" w:hAnsi="Times New Roman" w:hint="eastAsia"/>
          <w:b/>
          <w:color w:val="FF0000"/>
          <w:sz w:val="20"/>
          <w:highlight w:val="yellow"/>
          <w:bdr w:val="single" w:sz="4" w:space="0" w:color="auto"/>
        </w:rPr>
        <w:t>中道──以智為本</w:t>
      </w:r>
      <w:r w:rsidRPr="00DA3BC7">
        <w:rPr>
          <w:rFonts w:ascii="Times New Roman" w:hAnsi="Times New Roman"/>
          <w:sz w:val="20"/>
          <w:szCs w:val="20"/>
        </w:rPr>
        <w:t>（</w:t>
      </w:r>
      <w:r w:rsidRPr="00DA3BC7">
        <w:rPr>
          <w:rFonts w:ascii="Times New Roman" w:hAnsi="Times New Roman"/>
          <w:sz w:val="20"/>
          <w:szCs w:val="20"/>
        </w:rPr>
        <w:t>p.5</w:t>
      </w:r>
      <w:r w:rsidRPr="00DA3BC7">
        <w:rPr>
          <w:rFonts w:ascii="Times New Roman" w:hAnsi="Times New Roman"/>
          <w:sz w:val="20"/>
          <w:szCs w:val="20"/>
        </w:rPr>
        <w:t>）</w:t>
      </w:r>
    </w:p>
    <w:p w:rsidR="00D936C5" w:rsidRDefault="00D936C5" w:rsidP="00D37EBA">
      <w:pPr>
        <w:tabs>
          <w:tab w:val="left" w:pos="1820"/>
        </w:tabs>
        <w:ind w:leftChars="150" w:left="360"/>
        <w:jc w:val="both"/>
        <w:rPr>
          <w:rFonts w:ascii="Times New Roman" w:hAnsi="Times New Roman"/>
          <w:b/>
          <w:color w:val="FF0000"/>
          <w:sz w:val="20"/>
          <w:highlight w:val="yellow"/>
          <w:bdr w:val="single" w:sz="4" w:space="0" w:color="auto"/>
        </w:rPr>
      </w:pPr>
      <w:r w:rsidRPr="00D936C5">
        <w:rPr>
          <w:rFonts w:ascii="Times New Roman" w:hAnsi="Times New Roman"/>
          <w:b/>
          <w:color w:val="FF0000"/>
          <w:sz w:val="20"/>
          <w:highlight w:val="yellow"/>
          <w:bdr w:val="single" w:sz="4" w:space="0" w:color="auto"/>
        </w:rPr>
        <w:t>（</w:t>
      </w:r>
      <w:r w:rsidRPr="00D936C5">
        <w:rPr>
          <w:rFonts w:ascii="Times New Roman" w:hAnsi="Times New Roman" w:hint="eastAsia"/>
          <w:b/>
          <w:color w:val="FF0000"/>
          <w:sz w:val="20"/>
          <w:highlight w:val="yellow"/>
          <w:bdr w:val="single" w:sz="4" w:space="0" w:color="auto"/>
        </w:rPr>
        <w:t>一</w:t>
      </w:r>
      <w:r w:rsidRPr="00D936C5">
        <w:rPr>
          <w:rFonts w:ascii="Times New Roman" w:hAnsi="Times New Roman"/>
          <w:b/>
          <w:color w:val="FF0000"/>
          <w:sz w:val="20"/>
          <w:highlight w:val="yellow"/>
          <w:bdr w:val="single" w:sz="4" w:space="0" w:color="auto"/>
        </w:rPr>
        <w:t>）</w:t>
      </w:r>
      <w:r w:rsidRPr="00D936C5">
        <w:rPr>
          <w:rFonts w:ascii="Times New Roman" w:hAnsi="Times New Roman" w:hint="eastAsia"/>
          <w:b/>
          <w:color w:val="FF0000"/>
          <w:sz w:val="20"/>
          <w:highlight w:val="yellow"/>
          <w:bdr w:val="single" w:sz="4" w:space="0" w:color="auto"/>
        </w:rPr>
        <w:t>顯義</w:t>
      </w:r>
    </w:p>
    <w:p w:rsidR="00D936C5" w:rsidRPr="00D936C5" w:rsidRDefault="00D936C5" w:rsidP="00D37EBA">
      <w:pPr>
        <w:tabs>
          <w:tab w:val="left" w:pos="1820"/>
        </w:tabs>
        <w:ind w:leftChars="200" w:left="480"/>
        <w:jc w:val="both"/>
        <w:rPr>
          <w:rFonts w:ascii="Times New Roman" w:hAnsi="Times New Roman"/>
          <w:b/>
          <w:color w:val="FF0000"/>
          <w:sz w:val="20"/>
          <w:highlight w:val="yellow"/>
          <w:bdr w:val="single" w:sz="4" w:space="0" w:color="auto"/>
        </w:rPr>
      </w:pPr>
      <w:r>
        <w:rPr>
          <w:rFonts w:ascii="Times New Roman" w:hAnsi="Times New Roman" w:hint="eastAsia"/>
          <w:b/>
          <w:sz w:val="20"/>
          <w:bdr w:val="single" w:sz="4" w:space="0" w:color="auto"/>
        </w:rPr>
        <w:t>1</w:t>
      </w:r>
      <w:r w:rsidRPr="00DA3BC7">
        <w:rPr>
          <w:rFonts w:ascii="Times New Roman" w:hAnsi="Times New Roman"/>
          <w:b/>
          <w:sz w:val="20"/>
          <w:bdr w:val="single" w:sz="4" w:space="0" w:color="auto"/>
        </w:rPr>
        <w:t>、</w:t>
      </w:r>
      <w:r w:rsidRPr="00D936C5">
        <w:rPr>
          <w:rFonts w:ascii="Times New Roman" w:hAnsi="Times New Roman"/>
          <w:b/>
          <w:color w:val="FF0000"/>
          <w:sz w:val="20"/>
          <w:highlight w:val="yellow"/>
          <w:bdr w:val="single" w:sz="4" w:space="0" w:color="auto"/>
        </w:rPr>
        <w:t>「</w:t>
      </w:r>
      <w:r w:rsidRPr="00D936C5">
        <w:rPr>
          <w:rFonts w:ascii="Times New Roman" w:hAnsi="Times New Roman" w:hint="eastAsia"/>
          <w:b/>
          <w:color w:val="FF0000"/>
          <w:sz w:val="20"/>
          <w:highlight w:val="yellow"/>
          <w:bdr w:val="single" w:sz="4" w:space="0" w:color="auto"/>
        </w:rPr>
        <w:t>道</w:t>
      </w:r>
      <w:r w:rsidRPr="00D936C5">
        <w:rPr>
          <w:rFonts w:ascii="Times New Roman" w:hAnsi="Times New Roman"/>
          <w:b/>
          <w:color w:val="FF0000"/>
          <w:sz w:val="20"/>
          <w:highlight w:val="yellow"/>
          <w:bdr w:val="single" w:sz="4" w:space="0" w:color="auto"/>
        </w:rPr>
        <w:t>」的</w:t>
      </w:r>
      <w:r>
        <w:rPr>
          <w:rFonts w:ascii="Times New Roman" w:hAnsi="Times New Roman" w:hint="eastAsia"/>
          <w:b/>
          <w:color w:val="FF0000"/>
          <w:sz w:val="20"/>
          <w:highlight w:val="yellow"/>
          <w:bdr w:val="single" w:sz="4" w:space="0" w:color="auto"/>
        </w:rPr>
        <w:t>含意</w:t>
      </w:r>
    </w:p>
    <w:p w:rsidR="002E469B" w:rsidRPr="00DA3BC7" w:rsidRDefault="002E469B" w:rsidP="00891011">
      <w:pPr>
        <w:ind w:leftChars="200" w:left="480"/>
        <w:jc w:val="both"/>
        <w:rPr>
          <w:rFonts w:ascii="Times New Roman" w:hAnsi="Times New Roman" w:cs="Times Ext Roman"/>
        </w:rPr>
      </w:pPr>
      <w:r w:rsidRPr="00DA3BC7">
        <w:rPr>
          <w:rFonts w:ascii="Times New Roman" w:hAnsi="Times New Roman" w:cs="Times Ext Roman" w:hint="eastAsia"/>
        </w:rPr>
        <w:t>佛法，是對於人生向上發展以至完成的一種實踐。眾生（以人為本，可稱為人生）無始以來，生死死生，生生不已的存在，是人生現實不過、迫切不過的根本問題，也唯是佛法才能徹底處理的問題。</w:t>
      </w:r>
    </w:p>
    <w:p w:rsidR="002E469B" w:rsidRPr="00DA3BC7" w:rsidRDefault="002E469B" w:rsidP="00AE3920">
      <w:pPr>
        <w:spacing w:beforeLines="30"/>
        <w:ind w:leftChars="200" w:left="480"/>
        <w:jc w:val="both"/>
        <w:rPr>
          <w:rFonts w:ascii="Times New Roman" w:hAnsi="Times New Roman" w:cs="Times Ext Roman"/>
        </w:rPr>
      </w:pPr>
      <w:r w:rsidRPr="00DA3BC7">
        <w:rPr>
          <w:rFonts w:ascii="Times New Roman" w:hAnsi="Times New Roman" w:cs="Times Ext Roman" w:hint="eastAsia"/>
        </w:rPr>
        <w:t>佛法對於人生──生生不已的存在，開示它的真相，使我們從人生實相的正見中，知道我們應如何增進此人生、淨化此人生，超越一般的人生，達到更圓滿、更完成的地步。這一佛法的核心──</w:t>
      </w:r>
      <w:r w:rsidRPr="00DA3BC7">
        <w:rPr>
          <w:rFonts w:ascii="Times New Roman" w:hAnsi="Times New Roman" w:cs="Times Ext Roman" w:hint="eastAsia"/>
          <w:b/>
        </w:rPr>
        <w:t>人生進步、淨化以及完成的實踐，佛典裏稱之為道</w:t>
      </w:r>
      <w:r w:rsidRPr="00DA3BC7">
        <w:rPr>
          <w:rFonts w:ascii="Times New Roman" w:hAnsi="Times New Roman" w:cs="Times Ext Roman" w:hint="eastAsia"/>
        </w:rPr>
        <w:t>。</w:t>
      </w:r>
    </w:p>
    <w:p w:rsidR="002E469B" w:rsidRPr="00DA3BC7" w:rsidRDefault="00D936C5" w:rsidP="00AE3920">
      <w:pPr>
        <w:spacing w:beforeLines="30"/>
        <w:ind w:leftChars="200" w:left="480"/>
        <w:jc w:val="both"/>
        <w:rPr>
          <w:rFonts w:ascii="Times New Roman" w:hAnsi="Times New Roman" w:cs="Times Ext Roman"/>
          <w:sz w:val="20"/>
          <w:bdr w:val="single" w:sz="4" w:space="0" w:color="auto"/>
        </w:rPr>
      </w:pPr>
      <w:r>
        <w:rPr>
          <w:rFonts w:ascii="Times New Roman" w:hAnsi="Times New Roman" w:cs="Times Ext Roman" w:hint="eastAsia"/>
          <w:b/>
          <w:color w:val="FF0000"/>
          <w:sz w:val="20"/>
          <w:highlight w:val="yellow"/>
          <w:bdr w:val="single" w:sz="4" w:space="0" w:color="auto"/>
        </w:rPr>
        <w:t>2</w:t>
      </w:r>
      <w:r w:rsidR="002E469B" w:rsidRPr="00DA3BC7">
        <w:rPr>
          <w:rFonts w:ascii="Times New Roman" w:hAnsi="Times New Roman" w:cs="Times Ext Roman" w:hint="eastAsia"/>
          <w:b/>
          <w:sz w:val="20"/>
          <w:bdr w:val="single" w:sz="4" w:space="0" w:color="auto"/>
        </w:rPr>
        <w:t>、「中道」之根本義：八正道</w:t>
      </w:r>
      <w:r w:rsidR="002E469B" w:rsidRPr="00DA3BC7">
        <w:rPr>
          <w:rFonts w:ascii="Times New Roman" w:hAnsi="Times New Roman"/>
          <w:sz w:val="20"/>
          <w:szCs w:val="20"/>
        </w:rPr>
        <w:t>（</w:t>
      </w:r>
      <w:r w:rsidR="002E469B" w:rsidRPr="00DA3BC7">
        <w:rPr>
          <w:rFonts w:ascii="Times New Roman" w:hAnsi="Times New Roman"/>
          <w:sz w:val="20"/>
          <w:szCs w:val="20"/>
        </w:rPr>
        <w:t>pp.5-6</w:t>
      </w:r>
      <w:r w:rsidR="002E469B" w:rsidRPr="00DA3BC7">
        <w:rPr>
          <w:rFonts w:ascii="Times New Roman" w:hAnsi="Times New Roman"/>
          <w:sz w:val="20"/>
          <w:szCs w:val="20"/>
        </w:rPr>
        <w:t>）</w:t>
      </w:r>
    </w:p>
    <w:p w:rsidR="002E469B" w:rsidRPr="00DA3BC7" w:rsidRDefault="002E469B" w:rsidP="00891011">
      <w:pPr>
        <w:ind w:leftChars="200" w:left="480"/>
        <w:jc w:val="both"/>
        <w:rPr>
          <w:rFonts w:ascii="Times New Roman" w:hAnsi="Times New Roman" w:cs="Times Ext Roman"/>
        </w:rPr>
      </w:pPr>
      <w:r w:rsidRPr="00DA3BC7">
        <w:rPr>
          <w:rFonts w:ascii="Times New Roman" w:hAnsi="Times New Roman" w:cs="Times Ext Roman" w:hint="eastAsia"/>
        </w:rPr>
        <w:t>釋尊在波羅奈的鹿野苑中，初為五比丘轉法輪，即提示以「中」為道的特質。如《轉法輪經》（巴利文本）說：</w:t>
      </w:r>
    </w:p>
    <w:p w:rsidR="002E469B" w:rsidRPr="00DA3BC7" w:rsidRDefault="002E469B" w:rsidP="00AE3920">
      <w:pPr>
        <w:spacing w:beforeLines="20"/>
        <w:ind w:leftChars="200" w:left="480"/>
        <w:jc w:val="both"/>
        <w:rPr>
          <w:rFonts w:ascii="標楷體" w:eastAsia="標楷體" w:hAnsi="標楷體" w:cs="Times Ext Roman"/>
        </w:rPr>
      </w:pPr>
      <w:r w:rsidRPr="00DA3BC7">
        <w:rPr>
          <w:rFonts w:ascii="標楷體" w:eastAsia="標楷體" w:hAnsi="標楷體" w:cs="Times Ext Roman" w:hint="eastAsia"/>
        </w:rPr>
        <w:t>「在此諸欲中耽於欲樂者，乃下劣凡夫，為非聖無意義之事。雖然，以自身所求之苦為苦，亦為非聖無意義之事也。離此二邊之中道，方依於如來而能證悟，此即開眼、開知，至於寂靜、悟證、正覺、涅槃之道。比丘！於何名為依於如來所悟之中道？即此八支之聖道也</w:t>
      </w:r>
      <w:r w:rsidRPr="00DA3BC7">
        <w:rPr>
          <w:rFonts w:ascii="Times New Roman" w:hAnsi="Times New Roman" w:cs="Times Ext Roman" w:hint="eastAsia"/>
        </w:rPr>
        <w:t>。」</w:t>
      </w:r>
      <w:r w:rsidRPr="00DA3BC7">
        <w:rPr>
          <w:rStyle w:val="a6"/>
          <w:rFonts w:ascii="Times New Roman" w:hAnsi="Times New Roman" w:cs="Times Ext Roman"/>
        </w:rPr>
        <w:footnoteReference w:id="74"/>
      </w:r>
    </w:p>
    <w:p w:rsidR="002E469B" w:rsidRPr="00DA3BC7" w:rsidRDefault="002E469B" w:rsidP="00891011">
      <w:pPr>
        <w:ind w:leftChars="200" w:left="480"/>
        <w:jc w:val="both"/>
        <w:rPr>
          <w:rFonts w:ascii="Times New Roman" w:hAnsi="Times New Roman" w:cs="Times Ext Roman"/>
        </w:rPr>
      </w:pPr>
      <w:r w:rsidRPr="00DA3BC7">
        <w:rPr>
          <w:rFonts w:ascii="Times New Roman" w:hAnsi="Times New Roman" w:cs="Times Ext Roman" w:hint="eastAsia"/>
        </w:rPr>
        <w:lastRenderedPageBreak/>
        <w:t>佛在開宗明義的最初說法，標揭</w:t>
      </w:r>
      <w:r w:rsidRPr="00DA3BC7">
        <w:rPr>
          <w:rStyle w:val="a6"/>
          <w:rFonts w:ascii="Times New Roman" w:hAnsi="Times New Roman" w:cs="Times Ext Roman"/>
        </w:rPr>
        <w:footnoteReference w:id="75"/>
      </w:r>
      <w:r w:rsidRPr="00DA3BC7">
        <w:rPr>
          <w:rFonts w:ascii="Times New Roman" w:hAnsi="Times New Roman" w:cs="Times Ext Roman" w:hint="eastAsia"/>
        </w:rPr>
        <w:t>此</w:t>
      </w:r>
      <w:r w:rsidRPr="00DA3BC7">
        <w:rPr>
          <w:rFonts w:ascii="Times New Roman" w:hAnsi="Times New Roman" w:cs="Times Ext Roman" w:hint="eastAsia"/>
          <w:b/>
        </w:rPr>
        <w:t>不苦不樂的中道</w:t>
      </w:r>
      <w:r w:rsidRPr="00DA3BC7">
        <w:rPr>
          <w:rFonts w:ascii="Times New Roman" w:hAnsi="Times New Roman" w:cs="Times Ext Roman" w:hint="eastAsia"/>
        </w:rPr>
        <w:t>；</w:t>
      </w:r>
      <w:r w:rsidRPr="00DA3BC7">
        <w:rPr>
          <w:rFonts w:ascii="Times New Roman" w:hAnsi="Times New Roman" w:cs="Times Ext Roman" w:hint="eastAsia"/>
          <w:b/>
        </w:rPr>
        <w:t>中道即八支聖道，這是中道的根本義</w:t>
      </w:r>
      <w:r w:rsidRPr="00DA3BC7">
        <w:rPr>
          <w:rFonts w:ascii="Times New Roman" w:hAnsi="Times New Roman" w:cs="Times Ext Roman" w:hint="eastAsia"/>
        </w:rPr>
        <w:t>。</w:t>
      </w:r>
    </w:p>
    <w:p w:rsidR="002E469B" w:rsidRPr="00DA3BC7" w:rsidRDefault="002E469B" w:rsidP="00AE3920">
      <w:pPr>
        <w:spacing w:beforeLines="30"/>
        <w:ind w:leftChars="150" w:left="360"/>
        <w:jc w:val="both"/>
        <w:rPr>
          <w:rFonts w:ascii="Times New Roman" w:hAnsi="Times New Roman" w:cs="Times Ext Roman"/>
          <w:sz w:val="20"/>
          <w:szCs w:val="20"/>
        </w:rPr>
      </w:pPr>
      <w:r w:rsidRPr="00D37EBA">
        <w:rPr>
          <w:rFonts w:ascii="Times New Roman" w:hAnsi="Times New Roman" w:cs="Times Ext Roman" w:hint="eastAsia"/>
          <w:b/>
          <w:color w:val="FF0000"/>
          <w:sz w:val="20"/>
          <w:highlight w:val="yellow"/>
          <w:bdr w:val="single" w:sz="4" w:space="0" w:color="auto"/>
        </w:rPr>
        <w:t>（</w:t>
      </w:r>
      <w:r w:rsidR="00D936C5" w:rsidRPr="00D37EBA">
        <w:rPr>
          <w:rFonts w:ascii="Times New Roman" w:hAnsi="Times New Roman" w:cs="Times Ext Roman" w:hint="eastAsia"/>
          <w:b/>
          <w:color w:val="FF0000"/>
          <w:sz w:val="20"/>
          <w:highlight w:val="yellow"/>
          <w:bdr w:val="single" w:sz="4" w:space="0" w:color="auto"/>
        </w:rPr>
        <w:t>二</w:t>
      </w:r>
      <w:r w:rsidRPr="00D37EBA">
        <w:rPr>
          <w:rFonts w:ascii="Times New Roman" w:hAnsi="Times New Roman" w:cs="Times Ext Roman" w:hint="eastAsia"/>
          <w:b/>
          <w:color w:val="FF0000"/>
          <w:sz w:val="20"/>
          <w:highlight w:val="yellow"/>
          <w:bdr w:val="single" w:sz="4" w:space="0" w:color="auto"/>
        </w:rPr>
        <w:t>）</w:t>
      </w:r>
      <w:r w:rsidRPr="00DA3BC7">
        <w:rPr>
          <w:rFonts w:ascii="Times New Roman" w:hAnsi="Times New Roman" w:cs="Times Ext Roman" w:hint="eastAsia"/>
          <w:b/>
          <w:sz w:val="20"/>
          <w:bdr w:val="single" w:sz="4" w:space="0" w:color="auto"/>
        </w:rPr>
        <w:t>抉</w:t>
      </w:r>
      <w:r w:rsidRPr="00D936C5">
        <w:rPr>
          <w:rFonts w:ascii="Times New Roman" w:hAnsi="Times New Roman" w:cs="Times Ext Roman" w:hint="eastAsia"/>
          <w:b/>
          <w:sz w:val="20"/>
          <w:highlight w:val="yellow"/>
          <w:bdr w:val="single" w:sz="4" w:space="0" w:color="auto"/>
        </w:rPr>
        <w:t>擇</w:t>
      </w:r>
      <w:r w:rsidRPr="00DA3BC7">
        <w:rPr>
          <w:rFonts w:ascii="Times New Roman" w:hAnsi="Times New Roman" w:cs="Times Ext Roman" w:hint="eastAsia"/>
          <w:sz w:val="20"/>
          <w:szCs w:val="20"/>
        </w:rPr>
        <w:t>（</w:t>
      </w:r>
      <w:r w:rsidRPr="00DA3BC7">
        <w:rPr>
          <w:rFonts w:ascii="Times New Roman" w:hAnsi="Times New Roman"/>
          <w:sz w:val="20"/>
          <w:szCs w:val="20"/>
        </w:rPr>
        <w:t>pp.6-7</w:t>
      </w:r>
      <w:r w:rsidRPr="00DA3BC7">
        <w:rPr>
          <w:rFonts w:ascii="Times New Roman" w:hAnsi="Times New Roman" w:cs="Times Ext Roman" w:hint="eastAsia"/>
          <w:sz w:val="20"/>
          <w:szCs w:val="20"/>
        </w:rPr>
        <w:t>）</w:t>
      </w:r>
    </w:p>
    <w:p w:rsidR="002E469B" w:rsidRPr="00DA3BC7" w:rsidRDefault="00D936C5" w:rsidP="00D37EBA">
      <w:pPr>
        <w:ind w:leftChars="200" w:left="480"/>
        <w:jc w:val="both"/>
        <w:rPr>
          <w:rFonts w:ascii="Times New Roman" w:hAnsi="Times New Roman" w:cs="Times Ext Roman"/>
          <w:b/>
          <w:sz w:val="20"/>
          <w:szCs w:val="20"/>
          <w:bdr w:val="single" w:sz="4" w:space="0" w:color="auto"/>
        </w:rPr>
      </w:pPr>
      <w:r w:rsidRPr="00D936C5">
        <w:rPr>
          <w:rFonts w:ascii="Times New Roman" w:hAnsi="Times New Roman" w:cs="Times Ext Roman" w:hint="eastAsia"/>
          <w:b/>
          <w:color w:val="FF0000"/>
          <w:sz w:val="20"/>
          <w:szCs w:val="20"/>
          <w:highlight w:val="yellow"/>
          <w:bdr w:val="single" w:sz="4" w:space="0" w:color="auto"/>
        </w:rPr>
        <w:t>1</w:t>
      </w:r>
      <w:r w:rsidR="002E469B" w:rsidRPr="00DA3BC7">
        <w:rPr>
          <w:rFonts w:ascii="Times New Roman" w:hAnsi="Times New Roman" w:cs="Times Ext Roman" w:hint="eastAsia"/>
          <w:b/>
          <w:sz w:val="20"/>
          <w:szCs w:val="20"/>
          <w:bdr w:val="single" w:sz="4" w:space="0" w:color="auto"/>
        </w:rPr>
        <w:t>、</w:t>
      </w:r>
      <w:r w:rsidR="002E469B" w:rsidRPr="00DA3BC7">
        <w:rPr>
          <w:rFonts w:ascii="Times New Roman" w:hAnsi="Times New Roman" w:cs="Times Ext Roman" w:hint="eastAsia"/>
          <w:b/>
          <w:sz w:val="20"/>
          <w:bdr w:val="single" w:sz="4" w:space="0" w:color="auto"/>
        </w:rPr>
        <w:t>錯誤</w:t>
      </w:r>
      <w:r w:rsidRPr="00D936C5">
        <w:rPr>
          <w:rFonts w:ascii="Times New Roman" w:hAnsi="Times New Roman" w:cs="Times Ext Roman" w:hint="eastAsia"/>
          <w:b/>
          <w:color w:val="FF0000"/>
          <w:sz w:val="20"/>
          <w:highlight w:val="yellow"/>
          <w:bdr w:val="single" w:sz="4" w:space="0" w:color="auto"/>
        </w:rPr>
        <w:t>折中</w:t>
      </w:r>
      <w:r w:rsidR="002E469B" w:rsidRPr="00DA3BC7">
        <w:rPr>
          <w:rFonts w:ascii="Times New Roman" w:hAnsi="Times New Roman" w:hint="eastAsia"/>
          <w:b/>
          <w:sz w:val="20"/>
          <w:bdr w:val="single" w:sz="4" w:space="0" w:color="auto"/>
        </w:rPr>
        <w:t>的中道：重情意</w:t>
      </w:r>
      <w:r w:rsidR="002E469B" w:rsidRPr="00DA3BC7">
        <w:rPr>
          <w:rFonts w:ascii="Times New Roman" w:hAnsi="Times New Roman"/>
          <w:sz w:val="20"/>
          <w:szCs w:val="20"/>
        </w:rPr>
        <w:t>（</w:t>
      </w:r>
      <w:r w:rsidR="002E469B" w:rsidRPr="00DA3BC7">
        <w:rPr>
          <w:rFonts w:ascii="Times New Roman" w:hAnsi="Times New Roman"/>
          <w:sz w:val="20"/>
          <w:szCs w:val="20"/>
        </w:rPr>
        <w:t>p.6</w:t>
      </w:r>
      <w:r w:rsidR="002E469B" w:rsidRPr="00DA3BC7">
        <w:rPr>
          <w:rFonts w:ascii="Times New Roman" w:hAnsi="Times New Roman"/>
          <w:sz w:val="20"/>
          <w:szCs w:val="20"/>
        </w:rPr>
        <w:t>）</w:t>
      </w:r>
    </w:p>
    <w:p w:rsidR="002E469B" w:rsidRPr="00DA3BC7" w:rsidRDefault="002E469B" w:rsidP="00D37EBA">
      <w:pPr>
        <w:ind w:leftChars="250" w:left="600"/>
        <w:jc w:val="both"/>
        <w:rPr>
          <w:rFonts w:ascii="Times New Roman" w:hAnsi="Times New Roman" w:cs="Times Ext Roman"/>
          <w:b/>
          <w:sz w:val="20"/>
          <w:szCs w:val="20"/>
          <w:bdr w:val="single" w:sz="4" w:space="0" w:color="auto"/>
        </w:rPr>
      </w:pPr>
      <w:r w:rsidRPr="00D37EBA">
        <w:rPr>
          <w:rFonts w:ascii="Times New Roman" w:hAnsi="Times New Roman" w:cs="Times Ext Roman" w:hint="eastAsia"/>
          <w:b/>
          <w:color w:val="FF0000"/>
          <w:sz w:val="20"/>
          <w:szCs w:val="20"/>
          <w:highlight w:val="yellow"/>
          <w:bdr w:val="single" w:sz="4" w:space="0" w:color="auto"/>
        </w:rPr>
        <w:t>（</w:t>
      </w:r>
      <w:r w:rsidR="00D936C5" w:rsidRPr="00D37EBA">
        <w:rPr>
          <w:rFonts w:ascii="Times New Roman" w:hAnsi="Times New Roman" w:cs="Times Ext Roman" w:hint="eastAsia"/>
          <w:b/>
          <w:color w:val="FF0000"/>
          <w:sz w:val="20"/>
          <w:szCs w:val="20"/>
          <w:highlight w:val="yellow"/>
          <w:bdr w:val="single" w:sz="4" w:space="0" w:color="auto"/>
        </w:rPr>
        <w:t>1</w:t>
      </w:r>
      <w:r w:rsidRPr="00D37EBA">
        <w:rPr>
          <w:rFonts w:ascii="Times New Roman" w:hAnsi="Times New Roman" w:cs="Times Ext Roman" w:hint="eastAsia"/>
          <w:b/>
          <w:color w:val="FF0000"/>
          <w:sz w:val="20"/>
          <w:szCs w:val="20"/>
          <w:highlight w:val="yellow"/>
          <w:bdr w:val="single" w:sz="4" w:space="0" w:color="auto"/>
        </w:rPr>
        <w:t>）</w:t>
      </w:r>
      <w:r w:rsidR="00D936C5">
        <w:rPr>
          <w:rFonts w:ascii="Times New Roman" w:hAnsi="Times New Roman" w:cs="Times Ext Roman" w:hint="eastAsia"/>
          <w:b/>
          <w:color w:val="FF0000"/>
          <w:sz w:val="20"/>
          <w:szCs w:val="20"/>
          <w:highlight w:val="yellow"/>
          <w:bdr w:val="single" w:sz="4" w:space="0" w:color="auto"/>
        </w:rPr>
        <w:t>凡情的謬解</w:t>
      </w:r>
      <w:r w:rsidRPr="00DA3BC7">
        <w:rPr>
          <w:rFonts w:ascii="Times New Roman" w:hAnsi="Times New Roman"/>
          <w:sz w:val="20"/>
          <w:szCs w:val="20"/>
        </w:rPr>
        <w:t>（</w:t>
      </w:r>
      <w:r w:rsidRPr="00DA3BC7">
        <w:rPr>
          <w:rFonts w:ascii="Times New Roman" w:hAnsi="Times New Roman"/>
          <w:sz w:val="20"/>
          <w:szCs w:val="20"/>
        </w:rPr>
        <w:t>p.6</w:t>
      </w:r>
      <w:r w:rsidRPr="00DA3BC7">
        <w:rPr>
          <w:rFonts w:ascii="Times New Roman" w:hAnsi="Times New Roman"/>
          <w:sz w:val="20"/>
          <w:szCs w:val="20"/>
        </w:rPr>
        <w:t>）</w:t>
      </w:r>
    </w:p>
    <w:p w:rsidR="002E469B" w:rsidRPr="00DA3BC7" w:rsidRDefault="002E469B" w:rsidP="00891011">
      <w:pPr>
        <w:ind w:leftChars="250" w:left="600"/>
        <w:jc w:val="both"/>
        <w:rPr>
          <w:rFonts w:ascii="Times New Roman" w:hAnsi="Times New Roman" w:cs="Times Ext Roman"/>
        </w:rPr>
      </w:pPr>
      <w:r w:rsidRPr="00DA3BC7">
        <w:rPr>
          <w:rFonts w:ascii="Times New Roman" w:hAnsi="Times New Roman" w:cs="Times Ext Roman" w:hint="eastAsia"/>
        </w:rPr>
        <w:t>這何以稱之為中？</w:t>
      </w:r>
    </w:p>
    <w:p w:rsidR="002E469B" w:rsidRPr="00DA3BC7" w:rsidRDefault="002E469B" w:rsidP="00891011">
      <w:pPr>
        <w:ind w:leftChars="250" w:left="600"/>
        <w:jc w:val="both"/>
        <w:rPr>
          <w:rFonts w:ascii="Times New Roman" w:hAnsi="Times New Roman" w:cs="Times Ext Roman"/>
        </w:rPr>
      </w:pPr>
      <w:r w:rsidRPr="00DA3BC7">
        <w:rPr>
          <w:rFonts w:ascii="Times New Roman" w:hAnsi="Times New Roman" w:cs="Times Ext Roman" w:hint="eastAsia"/>
        </w:rPr>
        <w:t>有以為佛法之所謂中，是不流於極端的縱欲，也不流於過甚的苦行，在此苦樂之間求取折中的態度。</w:t>
      </w:r>
    </w:p>
    <w:p w:rsidR="002E469B" w:rsidRPr="00DA3BC7" w:rsidRDefault="002E469B" w:rsidP="00AE3920">
      <w:pPr>
        <w:spacing w:beforeLines="30"/>
        <w:ind w:leftChars="200" w:left="480"/>
        <w:jc w:val="both"/>
        <w:rPr>
          <w:rFonts w:ascii="Times New Roman" w:hAnsi="Times New Roman"/>
          <w:b/>
          <w:sz w:val="20"/>
          <w:szCs w:val="20"/>
        </w:rPr>
      </w:pPr>
      <w:r w:rsidRPr="00D37EBA">
        <w:rPr>
          <w:rFonts w:ascii="Times New Roman" w:hAnsi="Times New Roman" w:cs="Times Ext Roman" w:hint="eastAsia"/>
          <w:b/>
          <w:color w:val="FF0000"/>
          <w:sz w:val="20"/>
          <w:szCs w:val="20"/>
          <w:highlight w:val="yellow"/>
          <w:bdr w:val="single" w:sz="4" w:space="0" w:color="auto"/>
        </w:rPr>
        <w:t>（</w:t>
      </w:r>
      <w:r w:rsidR="00D936C5">
        <w:rPr>
          <w:rFonts w:ascii="Times New Roman" w:hAnsi="Times New Roman" w:cs="Times Ext Roman" w:hint="eastAsia"/>
          <w:b/>
          <w:color w:val="FF0000"/>
          <w:sz w:val="20"/>
          <w:szCs w:val="20"/>
          <w:highlight w:val="yellow"/>
          <w:bdr w:val="single" w:sz="4" w:space="0" w:color="auto"/>
        </w:rPr>
        <w:t>2</w:t>
      </w:r>
      <w:r w:rsidRPr="00D37EBA">
        <w:rPr>
          <w:rFonts w:ascii="Times New Roman" w:hAnsi="Times New Roman" w:cs="Times Ext Roman" w:hint="eastAsia"/>
          <w:b/>
          <w:color w:val="FF0000"/>
          <w:sz w:val="20"/>
          <w:szCs w:val="20"/>
          <w:highlight w:val="yellow"/>
          <w:bdr w:val="single" w:sz="4" w:space="0" w:color="auto"/>
        </w:rPr>
        <w:t>）</w:t>
      </w:r>
      <w:r w:rsidRPr="00DA3BC7">
        <w:rPr>
          <w:rFonts w:ascii="Times New Roman" w:hAnsi="Times New Roman" w:cs="Times Ext Roman" w:hint="eastAsia"/>
          <w:b/>
          <w:sz w:val="20"/>
          <w:szCs w:val="20"/>
          <w:bdr w:val="single" w:sz="4" w:space="0" w:color="auto"/>
        </w:rPr>
        <w:t>印順法師的評論</w:t>
      </w:r>
      <w:r w:rsidRPr="00DA3BC7">
        <w:rPr>
          <w:rFonts w:ascii="Times New Roman" w:hAnsi="Times New Roman"/>
          <w:sz w:val="20"/>
          <w:szCs w:val="20"/>
        </w:rPr>
        <w:t>（</w:t>
      </w:r>
      <w:r w:rsidRPr="00DA3BC7">
        <w:rPr>
          <w:rFonts w:ascii="Times New Roman" w:hAnsi="Times New Roman"/>
          <w:sz w:val="20"/>
          <w:szCs w:val="20"/>
        </w:rPr>
        <w:t>p.6</w:t>
      </w:r>
      <w:r w:rsidRPr="00DA3BC7">
        <w:rPr>
          <w:rFonts w:ascii="Times New Roman" w:hAnsi="Times New Roman"/>
          <w:sz w:val="20"/>
          <w:szCs w:val="20"/>
        </w:rPr>
        <w:t>）</w:t>
      </w:r>
    </w:p>
    <w:p w:rsidR="002E469B" w:rsidRPr="00DA3BC7" w:rsidRDefault="004502B7" w:rsidP="00D37EBA">
      <w:pPr>
        <w:ind w:leftChars="300" w:left="720"/>
        <w:jc w:val="both"/>
        <w:rPr>
          <w:rFonts w:ascii="Times New Roman" w:hAnsi="Times New Roman" w:cs="Times Ext Roman"/>
          <w:b/>
          <w:sz w:val="20"/>
          <w:szCs w:val="20"/>
          <w:bdr w:val="single" w:sz="4" w:space="0" w:color="auto"/>
        </w:rPr>
      </w:pPr>
      <w:r>
        <w:rPr>
          <w:rFonts w:ascii="Times New Roman" w:hAnsi="Times New Roman" w:cs="Times Ext Roman" w:hint="eastAsia"/>
          <w:b/>
          <w:color w:val="FF0000"/>
          <w:sz w:val="20"/>
          <w:szCs w:val="20"/>
          <w:highlight w:val="yellow"/>
          <w:bdr w:val="single" w:sz="4" w:space="0" w:color="auto"/>
        </w:rPr>
        <w:t>A</w:t>
      </w:r>
      <w:r w:rsidR="002E469B" w:rsidRPr="00891011">
        <w:rPr>
          <w:rFonts w:ascii="Times New Roman" w:hAnsi="Times New Roman" w:cs="Times Ext Roman" w:hint="eastAsia"/>
          <w:b/>
          <w:color w:val="FF0000"/>
          <w:sz w:val="20"/>
          <w:szCs w:val="20"/>
          <w:highlight w:val="yellow"/>
          <w:bdr w:val="single" w:sz="4" w:space="0" w:color="auto"/>
        </w:rPr>
        <w:t>、</w:t>
      </w:r>
      <w:r w:rsidR="002E469B" w:rsidRPr="00DA3BC7">
        <w:rPr>
          <w:rFonts w:ascii="Times New Roman" w:hAnsi="Times New Roman" w:cs="Times Ext Roman" w:hint="eastAsia"/>
          <w:b/>
          <w:sz w:val="20"/>
          <w:szCs w:val="20"/>
          <w:bdr w:val="single" w:sz="4" w:space="0" w:color="auto"/>
        </w:rPr>
        <w:t>總標：</w:t>
      </w:r>
      <w:r w:rsidR="002E469B" w:rsidRPr="004502B7">
        <w:rPr>
          <w:rFonts w:ascii="Times New Roman" w:hAnsi="Times New Roman" w:cs="Times Ext Roman" w:hint="eastAsia"/>
          <w:b/>
          <w:sz w:val="20"/>
          <w:szCs w:val="20"/>
          <w:highlight w:val="yellow"/>
          <w:bdr w:val="single" w:sz="4" w:space="0" w:color="auto"/>
        </w:rPr>
        <w:t>「縱樂</w:t>
      </w:r>
      <w:r w:rsidRPr="004502B7">
        <w:rPr>
          <w:rFonts w:ascii="Times New Roman" w:hAnsi="Times New Roman" w:cs="Times Ext Roman" w:hint="eastAsia"/>
          <w:b/>
          <w:sz w:val="20"/>
          <w:szCs w:val="20"/>
          <w:highlight w:val="yellow"/>
          <w:bdr w:val="single" w:sz="4" w:space="0" w:color="auto"/>
        </w:rPr>
        <w:t>、</w:t>
      </w:r>
      <w:r w:rsidR="002E469B" w:rsidRPr="004502B7">
        <w:rPr>
          <w:rFonts w:ascii="Times New Roman" w:hAnsi="Times New Roman" w:cs="Times Ext Roman" w:hint="eastAsia"/>
          <w:b/>
          <w:sz w:val="20"/>
          <w:szCs w:val="20"/>
          <w:highlight w:val="yellow"/>
          <w:bdr w:val="single" w:sz="4" w:space="0" w:color="auto"/>
        </w:rPr>
        <w:t>克苦」</w:t>
      </w:r>
      <w:r w:rsidRPr="004502B7">
        <w:rPr>
          <w:rFonts w:ascii="Times New Roman" w:hAnsi="Times New Roman" w:cs="Times Ext Roman" w:hint="eastAsia"/>
          <w:b/>
          <w:sz w:val="20"/>
          <w:szCs w:val="20"/>
          <w:highlight w:val="yellow"/>
          <w:bdr w:val="single" w:sz="4" w:space="0" w:color="auto"/>
        </w:rPr>
        <w:t>的</w:t>
      </w:r>
      <w:r w:rsidR="002E469B" w:rsidRPr="004502B7">
        <w:rPr>
          <w:rFonts w:ascii="Times New Roman" w:hAnsi="Times New Roman" w:cs="Times Ext Roman" w:hint="eastAsia"/>
          <w:b/>
          <w:sz w:val="20"/>
          <w:szCs w:val="20"/>
          <w:highlight w:val="yellow"/>
          <w:bdr w:val="single" w:sz="4" w:space="0" w:color="auto"/>
        </w:rPr>
        <w:t>情本人生</w:t>
      </w:r>
      <w:r w:rsidR="002E469B" w:rsidRPr="00DA3BC7">
        <w:rPr>
          <w:rFonts w:ascii="Times New Roman" w:hAnsi="Times New Roman"/>
          <w:sz w:val="20"/>
          <w:szCs w:val="20"/>
        </w:rPr>
        <w:t>（</w:t>
      </w:r>
      <w:r w:rsidR="002E469B" w:rsidRPr="00DA3BC7">
        <w:rPr>
          <w:rFonts w:ascii="Times New Roman" w:hAnsi="Times New Roman"/>
          <w:sz w:val="20"/>
          <w:szCs w:val="20"/>
        </w:rPr>
        <w:t>p.6</w:t>
      </w:r>
      <w:r w:rsidR="002E469B" w:rsidRPr="00DA3BC7">
        <w:rPr>
          <w:rFonts w:ascii="Times New Roman" w:hAnsi="Times New Roman"/>
          <w:sz w:val="20"/>
          <w:szCs w:val="20"/>
        </w:rPr>
        <w:t>）</w:t>
      </w:r>
    </w:p>
    <w:p w:rsidR="002E469B" w:rsidRPr="00DA3BC7" w:rsidRDefault="002E469B" w:rsidP="00891011">
      <w:pPr>
        <w:ind w:leftChars="300" w:left="720"/>
        <w:jc w:val="both"/>
        <w:rPr>
          <w:rFonts w:ascii="Times New Roman" w:hAnsi="Times New Roman" w:cs="Times Ext Roman"/>
        </w:rPr>
      </w:pPr>
      <w:r w:rsidRPr="00DA3BC7">
        <w:rPr>
          <w:rFonts w:ascii="Times New Roman" w:hAnsi="Times New Roman" w:cs="Times Ext Roman" w:hint="eastAsia"/>
        </w:rPr>
        <w:t>但這是斷章取義，不能正解八正道的所以為中道。</w:t>
      </w:r>
    </w:p>
    <w:p w:rsidR="002E469B" w:rsidRPr="00DA3BC7" w:rsidRDefault="002E469B" w:rsidP="00AE3920">
      <w:pPr>
        <w:spacing w:beforeLines="20"/>
        <w:ind w:leftChars="300" w:left="720"/>
        <w:jc w:val="both"/>
        <w:rPr>
          <w:rFonts w:ascii="Times New Roman" w:hAnsi="Times New Roman" w:cs="Times Ext Roman"/>
        </w:rPr>
      </w:pPr>
      <w:r w:rsidRPr="00DA3BC7">
        <w:rPr>
          <w:rFonts w:ascii="Times New Roman" w:hAnsi="Times New Roman" w:cs="Times Ext Roman" w:hint="eastAsia"/>
        </w:rPr>
        <w:t>要知道：一般人的人生觀，即人生歷程的路向，不是</w:t>
      </w:r>
      <w:r w:rsidRPr="00DA3BC7">
        <w:rPr>
          <w:rFonts w:ascii="Times New Roman" w:hAnsi="Times New Roman" w:cs="Times Ext Roman" w:hint="eastAsia"/>
          <w:b/>
        </w:rPr>
        <w:t>縱我的樂行</w:t>
      </w:r>
      <w:r w:rsidRPr="00DA3BC7">
        <w:rPr>
          <w:rFonts w:ascii="Times New Roman" w:hAnsi="Times New Roman" w:cs="Times Ext Roman" w:hint="eastAsia"/>
        </w:rPr>
        <w:t>，就是</w:t>
      </w:r>
      <w:r w:rsidRPr="00DA3BC7">
        <w:rPr>
          <w:rFonts w:ascii="Times New Roman" w:hAnsi="Times New Roman" w:cs="Times Ext Roman" w:hint="eastAsia"/>
          <w:b/>
        </w:rPr>
        <w:t>克己的苦行</w:t>
      </w:r>
      <w:r w:rsidRPr="00DA3BC7">
        <w:rPr>
          <w:rFonts w:ascii="Times New Roman" w:hAnsi="Times New Roman" w:cs="Times Ext Roman" w:hint="eastAsia"/>
        </w:rPr>
        <w:t>。研考這二端的動機，都是建立於情意的，即是情本的人生觀、情本的法門。</w:t>
      </w:r>
    </w:p>
    <w:p w:rsidR="002E469B" w:rsidRPr="00DA3BC7" w:rsidRDefault="002E469B" w:rsidP="00AE3920">
      <w:pPr>
        <w:spacing w:beforeLines="20"/>
        <w:ind w:leftChars="300" w:left="720"/>
        <w:jc w:val="both"/>
        <w:rPr>
          <w:rFonts w:ascii="Times New Roman" w:hAnsi="Times New Roman" w:cs="Times Ext Roman"/>
        </w:rPr>
      </w:pPr>
      <w:r w:rsidRPr="00DA3BC7">
        <w:rPr>
          <w:rFonts w:ascii="Times New Roman" w:hAnsi="Times New Roman" w:cs="Times Ext Roman" w:hint="eastAsia"/>
        </w:rPr>
        <w:t>世人感覺偏於縱我的樂行不可通時，於是就轉向到專尚克己的苦行。</w:t>
      </w:r>
      <w:r w:rsidRPr="00DA3BC7">
        <w:rPr>
          <w:rFonts w:ascii="Times New Roman" w:hAnsi="Times New Roman" w:cs="Times Ext Roman" w:hint="eastAsia"/>
          <w:b/>
        </w:rPr>
        <w:t>人生的行為，都不過在這兩極端以及彼此移轉的過程中</w:t>
      </w:r>
      <w:r w:rsidRPr="00DA3BC7">
        <w:rPr>
          <w:rFonts w:ascii="Times New Roman" w:hAnsi="Times New Roman" w:cs="Times Ext Roman" w:hint="eastAsia"/>
        </w:rPr>
        <w:t>。</w:t>
      </w:r>
    </w:p>
    <w:p w:rsidR="002E469B" w:rsidRPr="00DA3BC7" w:rsidRDefault="004502B7" w:rsidP="00AE3920">
      <w:pPr>
        <w:spacing w:beforeLines="30"/>
        <w:ind w:leftChars="300" w:left="720"/>
        <w:jc w:val="both"/>
        <w:rPr>
          <w:rFonts w:ascii="Times New Roman" w:hAnsi="Times New Roman" w:cs="Times Ext Roman"/>
          <w:b/>
          <w:sz w:val="20"/>
          <w:szCs w:val="20"/>
          <w:bdr w:val="single" w:sz="4" w:space="0" w:color="auto"/>
        </w:rPr>
      </w:pPr>
      <w:r>
        <w:rPr>
          <w:rFonts w:ascii="Times New Roman" w:hAnsi="Times New Roman" w:cs="Times Ext Roman" w:hint="eastAsia"/>
          <w:b/>
          <w:color w:val="FF0000"/>
          <w:sz w:val="20"/>
          <w:szCs w:val="20"/>
          <w:highlight w:val="yellow"/>
          <w:bdr w:val="single" w:sz="4" w:space="0" w:color="auto"/>
        </w:rPr>
        <w:t>B</w:t>
      </w:r>
      <w:r w:rsidR="002E469B" w:rsidRPr="00891011">
        <w:rPr>
          <w:rFonts w:ascii="Times New Roman" w:hAnsi="Times New Roman" w:cs="Times Ext Roman" w:hint="eastAsia"/>
          <w:b/>
          <w:color w:val="FF0000"/>
          <w:sz w:val="20"/>
          <w:szCs w:val="20"/>
          <w:highlight w:val="yellow"/>
          <w:bdr w:val="single" w:sz="4" w:space="0" w:color="auto"/>
        </w:rPr>
        <w:t>、</w:t>
      </w:r>
      <w:r w:rsidRPr="004502B7">
        <w:rPr>
          <w:rFonts w:ascii="Times New Roman" w:hAnsi="Times New Roman" w:cs="Times Ext Roman" w:hint="eastAsia"/>
          <w:b/>
          <w:color w:val="FF0000"/>
          <w:sz w:val="20"/>
          <w:szCs w:val="20"/>
          <w:highlight w:val="yellow"/>
          <w:bdr w:val="single" w:sz="4" w:space="0" w:color="auto"/>
        </w:rPr>
        <w:t>明失</w:t>
      </w:r>
      <w:r w:rsidR="002E469B" w:rsidRPr="00DA3BC7">
        <w:rPr>
          <w:rFonts w:ascii="Times New Roman" w:hAnsi="Times New Roman"/>
          <w:sz w:val="20"/>
          <w:szCs w:val="20"/>
        </w:rPr>
        <w:t>（</w:t>
      </w:r>
      <w:r w:rsidR="002E469B" w:rsidRPr="00DA3BC7">
        <w:rPr>
          <w:rFonts w:ascii="Times New Roman" w:hAnsi="Times New Roman"/>
          <w:sz w:val="20"/>
          <w:szCs w:val="20"/>
        </w:rPr>
        <w:t>p.6</w:t>
      </w:r>
      <w:r w:rsidR="002E469B" w:rsidRPr="00DA3BC7">
        <w:rPr>
          <w:rFonts w:ascii="Times New Roman" w:hAnsi="Times New Roman"/>
          <w:sz w:val="20"/>
          <w:szCs w:val="20"/>
        </w:rPr>
        <w:t>）</w:t>
      </w:r>
    </w:p>
    <w:p w:rsidR="002E469B" w:rsidRPr="00DA3BC7" w:rsidRDefault="002E469B" w:rsidP="00D37EBA">
      <w:pPr>
        <w:ind w:leftChars="350" w:left="840"/>
        <w:jc w:val="both"/>
        <w:rPr>
          <w:rFonts w:ascii="Times New Roman" w:hAnsi="Times New Roman" w:cs="Times Ext Roman"/>
          <w:b/>
          <w:sz w:val="20"/>
          <w:szCs w:val="20"/>
        </w:rPr>
      </w:pPr>
      <w:r w:rsidRPr="00D37EBA">
        <w:rPr>
          <w:rFonts w:ascii="Times New Roman" w:hAnsi="Times New Roman" w:cs="Times Ext Roman" w:hint="eastAsia"/>
          <w:b/>
          <w:color w:val="FF0000"/>
          <w:sz w:val="20"/>
          <w:szCs w:val="20"/>
          <w:highlight w:val="yellow"/>
          <w:bdr w:val="single" w:sz="4" w:space="0" w:color="auto"/>
        </w:rPr>
        <w:t>（</w:t>
      </w:r>
      <w:r w:rsidR="004502B7" w:rsidRPr="00D37EBA">
        <w:rPr>
          <w:rFonts w:ascii="Times New Roman" w:hAnsi="Times New Roman" w:cs="Times Ext Roman" w:hint="eastAsia"/>
          <w:b/>
          <w:color w:val="FF0000"/>
          <w:sz w:val="20"/>
          <w:szCs w:val="20"/>
          <w:highlight w:val="yellow"/>
          <w:bdr w:val="single" w:sz="4" w:space="0" w:color="auto"/>
        </w:rPr>
        <w:t>A</w:t>
      </w:r>
      <w:r w:rsidRPr="00D37EBA">
        <w:rPr>
          <w:rFonts w:ascii="Times New Roman" w:hAnsi="Times New Roman" w:cs="Times Ext Roman" w:hint="eastAsia"/>
          <w:b/>
          <w:color w:val="FF0000"/>
          <w:sz w:val="20"/>
          <w:szCs w:val="20"/>
          <w:highlight w:val="yellow"/>
          <w:bdr w:val="single" w:sz="4" w:space="0" w:color="auto"/>
        </w:rPr>
        <w:t>）</w:t>
      </w:r>
      <w:r w:rsidRPr="00DA3BC7">
        <w:rPr>
          <w:rFonts w:ascii="Times New Roman" w:hAnsi="Times New Roman" w:cs="Times Ext Roman" w:hint="eastAsia"/>
          <w:b/>
          <w:sz w:val="20"/>
          <w:szCs w:val="20"/>
          <w:bdr w:val="single" w:sz="4" w:space="0" w:color="auto"/>
        </w:rPr>
        <w:t>縱</w:t>
      </w:r>
      <w:r w:rsidRPr="004502B7">
        <w:rPr>
          <w:rFonts w:ascii="Times New Roman" w:hAnsi="Times New Roman" w:cs="Times Ext Roman" w:hint="eastAsia"/>
          <w:b/>
          <w:sz w:val="20"/>
          <w:szCs w:val="20"/>
          <w:highlight w:val="yellow"/>
          <w:bdr w:val="single" w:sz="4" w:space="0" w:color="auto"/>
        </w:rPr>
        <w:t>我樂</w:t>
      </w:r>
      <w:r w:rsidRPr="00DA3BC7">
        <w:rPr>
          <w:rFonts w:ascii="Times New Roman" w:hAnsi="Times New Roman" w:cs="Times Ext Roman" w:hint="eastAsia"/>
          <w:b/>
          <w:sz w:val="20"/>
          <w:szCs w:val="20"/>
          <w:bdr w:val="single" w:sz="4" w:space="0" w:color="auto"/>
        </w:rPr>
        <w:t>行</w:t>
      </w:r>
      <w:r w:rsidR="004502B7" w:rsidRPr="004502B7">
        <w:rPr>
          <w:rFonts w:ascii="Times New Roman" w:hAnsi="Times New Roman" w:cs="Times Ext Roman" w:hint="eastAsia"/>
          <w:b/>
          <w:color w:val="FF0000"/>
          <w:sz w:val="20"/>
          <w:szCs w:val="20"/>
          <w:highlight w:val="yellow"/>
          <w:bdr w:val="single" w:sz="4" w:space="0" w:color="auto"/>
        </w:rPr>
        <w:t>之過</w:t>
      </w:r>
      <w:r w:rsidRPr="00DA3BC7">
        <w:rPr>
          <w:rFonts w:ascii="Times New Roman" w:hAnsi="Times New Roman"/>
          <w:sz w:val="20"/>
          <w:szCs w:val="20"/>
        </w:rPr>
        <w:t>（</w:t>
      </w:r>
      <w:r w:rsidRPr="00DA3BC7">
        <w:rPr>
          <w:rFonts w:ascii="Times New Roman" w:hAnsi="Times New Roman"/>
          <w:sz w:val="20"/>
          <w:szCs w:val="20"/>
        </w:rPr>
        <w:t>p.6</w:t>
      </w:r>
      <w:r w:rsidRPr="00DA3BC7">
        <w:rPr>
          <w:rFonts w:ascii="Times New Roman" w:hAnsi="Times New Roman"/>
          <w:sz w:val="20"/>
          <w:szCs w:val="20"/>
        </w:rPr>
        <w:t>）</w:t>
      </w:r>
    </w:p>
    <w:p w:rsidR="002E469B" w:rsidRPr="00DA3BC7" w:rsidRDefault="002E469B" w:rsidP="00891011">
      <w:pPr>
        <w:ind w:leftChars="350" w:left="840"/>
        <w:jc w:val="both"/>
        <w:rPr>
          <w:rFonts w:ascii="Times New Roman" w:hAnsi="Times New Roman" w:cs="Times Ext Roman"/>
        </w:rPr>
      </w:pPr>
      <w:r w:rsidRPr="00DA3BC7">
        <w:rPr>
          <w:rFonts w:ascii="Times New Roman" w:hAnsi="Times New Roman" w:cs="Times Ext Roman" w:hint="eastAsia"/>
        </w:rPr>
        <w:t>不曉得縱我的樂行，如火上加油；私我的無限擴張，必然是社會沒法改善，自己沒法得到解脫。</w:t>
      </w:r>
    </w:p>
    <w:p w:rsidR="002E469B" w:rsidRPr="00DA3BC7" w:rsidRDefault="002E469B" w:rsidP="00AE3920">
      <w:pPr>
        <w:spacing w:beforeLines="30"/>
        <w:ind w:leftChars="350" w:left="840"/>
        <w:jc w:val="both"/>
        <w:rPr>
          <w:rFonts w:ascii="Times New Roman" w:hAnsi="Times New Roman" w:cs="Times Ext Roman"/>
          <w:b/>
          <w:sz w:val="20"/>
          <w:szCs w:val="20"/>
        </w:rPr>
      </w:pPr>
      <w:r w:rsidRPr="00D37EBA">
        <w:rPr>
          <w:rFonts w:ascii="Times New Roman" w:hAnsi="Times New Roman" w:cs="Times Ext Roman" w:hint="eastAsia"/>
          <w:b/>
          <w:color w:val="FF0000"/>
          <w:sz w:val="20"/>
          <w:szCs w:val="20"/>
          <w:highlight w:val="yellow"/>
          <w:bdr w:val="single" w:sz="4" w:space="0" w:color="auto"/>
        </w:rPr>
        <w:t>（</w:t>
      </w:r>
      <w:r w:rsidR="004502B7">
        <w:rPr>
          <w:rFonts w:ascii="Times New Roman" w:hAnsi="Times New Roman" w:cs="Times Ext Roman" w:hint="eastAsia"/>
          <w:b/>
          <w:color w:val="FF0000"/>
          <w:sz w:val="20"/>
          <w:szCs w:val="20"/>
          <w:highlight w:val="yellow"/>
          <w:bdr w:val="single" w:sz="4" w:space="0" w:color="auto"/>
        </w:rPr>
        <w:t>B</w:t>
      </w:r>
      <w:r w:rsidRPr="00D37EBA">
        <w:rPr>
          <w:rFonts w:ascii="Times New Roman" w:hAnsi="Times New Roman" w:cs="Times Ext Roman" w:hint="eastAsia"/>
          <w:b/>
          <w:color w:val="FF0000"/>
          <w:sz w:val="20"/>
          <w:szCs w:val="20"/>
          <w:highlight w:val="yellow"/>
          <w:bdr w:val="single" w:sz="4" w:space="0" w:color="auto"/>
        </w:rPr>
        <w:t>）</w:t>
      </w:r>
      <w:r w:rsidRPr="00DA3BC7">
        <w:rPr>
          <w:rFonts w:ascii="Times New Roman" w:hAnsi="Times New Roman" w:cs="Times Ext Roman" w:hint="eastAsia"/>
          <w:b/>
          <w:sz w:val="20"/>
          <w:szCs w:val="20"/>
          <w:bdr w:val="single" w:sz="4" w:space="0" w:color="auto"/>
        </w:rPr>
        <w:t>克</w:t>
      </w:r>
      <w:r w:rsidRPr="004502B7">
        <w:rPr>
          <w:rFonts w:ascii="Times New Roman" w:hAnsi="Times New Roman" w:cs="Times Ext Roman" w:hint="eastAsia"/>
          <w:b/>
          <w:sz w:val="20"/>
          <w:szCs w:val="20"/>
          <w:highlight w:val="yellow"/>
          <w:bdr w:val="single" w:sz="4" w:space="0" w:color="auto"/>
        </w:rPr>
        <w:t>己苦</w:t>
      </w:r>
      <w:r w:rsidRPr="00DA3BC7">
        <w:rPr>
          <w:rFonts w:ascii="Times New Roman" w:hAnsi="Times New Roman" w:cs="Times Ext Roman" w:hint="eastAsia"/>
          <w:b/>
          <w:sz w:val="20"/>
          <w:szCs w:val="20"/>
          <w:bdr w:val="single" w:sz="4" w:space="0" w:color="auto"/>
        </w:rPr>
        <w:t>行</w:t>
      </w:r>
      <w:r w:rsidR="004502B7" w:rsidRPr="004502B7">
        <w:rPr>
          <w:rFonts w:ascii="Times New Roman" w:hAnsi="Times New Roman" w:cs="Times Ext Roman" w:hint="eastAsia"/>
          <w:b/>
          <w:color w:val="FF0000"/>
          <w:sz w:val="20"/>
          <w:szCs w:val="20"/>
          <w:highlight w:val="yellow"/>
          <w:bdr w:val="single" w:sz="4" w:space="0" w:color="auto"/>
        </w:rPr>
        <w:t>之</w:t>
      </w:r>
      <w:r w:rsidR="004502B7">
        <w:rPr>
          <w:rFonts w:ascii="Times New Roman" w:hAnsi="Times New Roman" w:cs="Times Ext Roman" w:hint="eastAsia"/>
          <w:b/>
          <w:color w:val="FF0000"/>
          <w:sz w:val="20"/>
          <w:szCs w:val="20"/>
          <w:highlight w:val="yellow"/>
          <w:bdr w:val="single" w:sz="4" w:space="0" w:color="auto"/>
        </w:rPr>
        <w:t>非</w:t>
      </w:r>
      <w:r w:rsidRPr="00DA3BC7">
        <w:rPr>
          <w:rFonts w:ascii="Times New Roman" w:hAnsi="Times New Roman"/>
          <w:sz w:val="20"/>
          <w:szCs w:val="20"/>
        </w:rPr>
        <w:t>（</w:t>
      </w:r>
      <w:r w:rsidRPr="00DA3BC7">
        <w:rPr>
          <w:rFonts w:ascii="Times New Roman" w:hAnsi="Times New Roman"/>
          <w:sz w:val="20"/>
          <w:szCs w:val="20"/>
        </w:rPr>
        <w:t>p.6</w:t>
      </w:r>
      <w:r w:rsidRPr="00DA3BC7">
        <w:rPr>
          <w:rFonts w:ascii="Times New Roman" w:hAnsi="Times New Roman"/>
          <w:sz w:val="20"/>
          <w:szCs w:val="20"/>
        </w:rPr>
        <w:t>）</w:t>
      </w:r>
    </w:p>
    <w:p w:rsidR="002E469B" w:rsidRPr="00DA3BC7" w:rsidRDefault="002E469B" w:rsidP="00891011">
      <w:pPr>
        <w:ind w:leftChars="350" w:left="840"/>
        <w:jc w:val="both"/>
        <w:rPr>
          <w:rFonts w:ascii="Times New Roman" w:hAnsi="Times New Roman" w:cs="Times Ext Roman"/>
        </w:rPr>
      </w:pPr>
      <w:r w:rsidRPr="00DA3BC7">
        <w:rPr>
          <w:rFonts w:ascii="Times New Roman" w:hAnsi="Times New Roman" w:cs="Times Ext Roman" w:hint="eastAsia"/>
        </w:rPr>
        <w:t>或者見到此路不通，於是轉向苦行。不知苦行是以石壓草的辦法；苦行的折服情欲，是不能成功的。</w:t>
      </w:r>
    </w:p>
    <w:p w:rsidR="002E469B" w:rsidRPr="00DA3BC7" w:rsidRDefault="002E469B" w:rsidP="00AE3920">
      <w:pPr>
        <w:spacing w:beforeLines="20"/>
        <w:ind w:leftChars="350" w:left="840"/>
        <w:jc w:val="both"/>
        <w:rPr>
          <w:rFonts w:ascii="Times New Roman" w:hAnsi="Times New Roman" w:cs="Times Ext Roman"/>
        </w:rPr>
      </w:pPr>
      <w:r w:rsidRPr="00DA3BC7">
        <w:rPr>
          <w:rFonts w:ascii="Times New Roman" w:hAnsi="Times New Roman" w:cs="Times Ext Roman" w:hint="eastAsia"/>
        </w:rPr>
        <w:t>叔本華</w:t>
      </w:r>
      <w:r w:rsidRPr="00DA3BC7">
        <w:rPr>
          <w:rStyle w:val="a6"/>
          <w:rFonts w:ascii="Times New Roman" w:hAnsi="Times New Roman" w:cs="Times Ext Roman"/>
        </w:rPr>
        <w:footnoteReference w:id="76"/>
      </w:r>
      <w:r w:rsidRPr="00DA3BC7">
        <w:rPr>
          <w:rFonts w:ascii="Times New Roman" w:hAnsi="Times New Roman" w:cs="Times Ext Roman" w:hint="eastAsia"/>
        </w:rPr>
        <w:t>的悲觀，甚至以自殺為自我解脫的一法，即是以情意為本的</w:t>
      </w:r>
      <w:r w:rsidRPr="00DA3BC7">
        <w:rPr>
          <w:rFonts w:ascii="Times New Roman" w:hAnsi="Times New Roman" w:cs="Times Ext Roman" w:hint="eastAsia"/>
        </w:rPr>
        <w:lastRenderedPageBreak/>
        <w:t>結論。</w:t>
      </w:r>
    </w:p>
    <w:p w:rsidR="002E469B" w:rsidRPr="00DA3BC7" w:rsidRDefault="003F39AC" w:rsidP="00AE3920">
      <w:pPr>
        <w:spacing w:beforeLines="30"/>
        <w:ind w:leftChars="200" w:left="480"/>
        <w:jc w:val="both"/>
        <w:rPr>
          <w:rFonts w:ascii="Times New Roman" w:hAnsi="Times New Roman" w:cs="Times Ext Roman"/>
          <w:b/>
          <w:sz w:val="20"/>
          <w:bdr w:val="single" w:sz="4" w:space="0" w:color="auto"/>
        </w:rPr>
      </w:pPr>
      <w:r>
        <w:rPr>
          <w:rFonts w:ascii="Times New Roman" w:hAnsi="Times New Roman" w:cs="Times Ext Roman" w:hint="eastAsia"/>
          <w:b/>
          <w:color w:val="FF0000"/>
          <w:sz w:val="20"/>
          <w:highlight w:val="yellow"/>
          <w:bdr w:val="single" w:sz="4" w:space="0" w:color="auto"/>
        </w:rPr>
        <w:t>2</w:t>
      </w:r>
      <w:r w:rsidR="002E469B" w:rsidRPr="00DA3BC7">
        <w:rPr>
          <w:rFonts w:ascii="Times New Roman" w:hAnsi="Times New Roman" w:cs="Times Ext Roman" w:hint="eastAsia"/>
          <w:b/>
          <w:sz w:val="20"/>
          <w:bdr w:val="single" w:sz="4" w:space="0" w:color="auto"/>
        </w:rPr>
        <w:t>、正確究竟的中道：以智為本</w:t>
      </w:r>
      <w:r w:rsidR="002E469B" w:rsidRPr="00DA3BC7">
        <w:rPr>
          <w:rFonts w:ascii="Times New Roman" w:hAnsi="Times New Roman"/>
          <w:sz w:val="20"/>
          <w:szCs w:val="20"/>
        </w:rPr>
        <w:t>（</w:t>
      </w:r>
      <w:r w:rsidR="002E469B" w:rsidRPr="00DA3BC7">
        <w:rPr>
          <w:rFonts w:ascii="Times New Roman" w:hAnsi="Times New Roman"/>
          <w:sz w:val="20"/>
          <w:szCs w:val="20"/>
        </w:rPr>
        <w:t>pp.6-7</w:t>
      </w:r>
      <w:r w:rsidR="002E469B" w:rsidRPr="00DA3BC7">
        <w:rPr>
          <w:rFonts w:ascii="Times New Roman" w:hAnsi="Times New Roman"/>
          <w:sz w:val="20"/>
          <w:szCs w:val="20"/>
        </w:rPr>
        <w:t>）</w:t>
      </w:r>
    </w:p>
    <w:p w:rsidR="002E469B" w:rsidRPr="00DA3BC7" w:rsidRDefault="002E469B" w:rsidP="00D37EBA">
      <w:pPr>
        <w:ind w:leftChars="250" w:left="600"/>
        <w:jc w:val="both"/>
        <w:rPr>
          <w:rFonts w:ascii="新細明體" w:hAnsi="新細明體" w:cs="Times Ext Roman"/>
          <w:b/>
          <w:sz w:val="20"/>
          <w:bdr w:val="single" w:sz="4" w:space="0" w:color="auto"/>
        </w:rPr>
      </w:pPr>
      <w:r w:rsidRPr="00D37EBA">
        <w:rPr>
          <w:rFonts w:ascii="Times New Roman" w:hAnsi="Times New Roman" w:hint="eastAsia"/>
          <w:b/>
          <w:color w:val="FF0000"/>
          <w:sz w:val="20"/>
          <w:highlight w:val="yellow"/>
          <w:bdr w:val="single" w:sz="4" w:space="0" w:color="auto"/>
        </w:rPr>
        <w:t>（</w:t>
      </w:r>
      <w:r w:rsidR="003F39AC" w:rsidRPr="00D37EBA">
        <w:rPr>
          <w:rFonts w:ascii="Times New Roman" w:hAnsi="Times New Roman" w:hint="eastAsia"/>
          <w:b/>
          <w:color w:val="FF0000"/>
          <w:sz w:val="20"/>
          <w:highlight w:val="yellow"/>
          <w:bdr w:val="single" w:sz="4" w:space="0" w:color="auto"/>
        </w:rPr>
        <w:t>1</w:t>
      </w:r>
      <w:r w:rsidRPr="00D37EBA">
        <w:rPr>
          <w:rFonts w:ascii="Times New Roman" w:hAnsi="Times New Roman" w:hint="eastAsia"/>
          <w:b/>
          <w:color w:val="FF0000"/>
          <w:sz w:val="20"/>
          <w:highlight w:val="yellow"/>
          <w:bdr w:val="single" w:sz="4" w:space="0" w:color="auto"/>
        </w:rPr>
        <w:t>）</w:t>
      </w:r>
      <w:r w:rsidR="003F39AC">
        <w:rPr>
          <w:rFonts w:ascii="新細明體" w:hAnsi="新細明體" w:cs="Times Ext Roman" w:hint="eastAsia"/>
          <w:b/>
          <w:color w:val="FF0000"/>
          <w:sz w:val="20"/>
          <w:highlight w:val="yellow"/>
          <w:bdr w:val="single" w:sz="4" w:space="0" w:color="auto"/>
        </w:rPr>
        <w:t>標舉</w:t>
      </w:r>
      <w:r w:rsidRPr="00D37EBA">
        <w:rPr>
          <w:rFonts w:ascii="新細明體" w:hAnsi="新細明體" w:cs="Times Ext Roman" w:hint="eastAsia"/>
          <w:b/>
          <w:color w:val="FF0000"/>
          <w:sz w:val="20"/>
          <w:highlight w:val="yellow"/>
          <w:bdr w:val="single" w:sz="4" w:space="0" w:color="auto"/>
        </w:rPr>
        <w:t>：</w:t>
      </w:r>
      <w:r w:rsidRPr="003F39AC">
        <w:rPr>
          <w:rFonts w:ascii="新細明體" w:hAnsi="新細明體" w:cs="Times Ext Roman" w:hint="eastAsia"/>
          <w:b/>
          <w:color w:val="FF0000"/>
          <w:sz w:val="20"/>
          <w:highlight w:val="yellow"/>
          <w:bdr w:val="single" w:sz="4" w:space="0" w:color="auto"/>
        </w:rPr>
        <w:t>智本人生</w:t>
      </w:r>
      <w:r w:rsidR="003F39AC">
        <w:rPr>
          <w:rFonts w:ascii="新細明體" w:hAnsi="新細明體" w:cs="Times Ext Roman" w:hint="eastAsia"/>
          <w:b/>
          <w:color w:val="FF0000"/>
          <w:sz w:val="20"/>
          <w:highlight w:val="yellow"/>
          <w:bdr w:val="single" w:sz="4" w:space="0" w:color="auto"/>
        </w:rPr>
        <w:t>離苦樂</w:t>
      </w:r>
      <w:r w:rsidRPr="00DA3BC7">
        <w:rPr>
          <w:rFonts w:ascii="Times New Roman" w:hAnsi="Times New Roman"/>
          <w:sz w:val="20"/>
          <w:szCs w:val="20"/>
        </w:rPr>
        <w:t>（</w:t>
      </w:r>
      <w:r w:rsidRPr="00DA3BC7">
        <w:rPr>
          <w:rFonts w:ascii="Times New Roman" w:hAnsi="Times New Roman"/>
          <w:sz w:val="20"/>
          <w:szCs w:val="20"/>
        </w:rPr>
        <w:t>pp.6-7</w:t>
      </w:r>
      <w:r w:rsidRPr="00DA3BC7">
        <w:rPr>
          <w:rFonts w:ascii="Times New Roman" w:hAnsi="Times New Roman"/>
          <w:sz w:val="20"/>
          <w:szCs w:val="20"/>
        </w:rPr>
        <w:t>）</w:t>
      </w:r>
    </w:p>
    <w:p w:rsidR="002E469B" w:rsidRPr="00DA3BC7" w:rsidRDefault="002E469B" w:rsidP="00891011">
      <w:pPr>
        <w:ind w:leftChars="250" w:left="600"/>
        <w:jc w:val="both"/>
        <w:rPr>
          <w:rFonts w:ascii="Times New Roman" w:hAnsi="Times New Roman" w:cs="Times Ext Roman"/>
        </w:rPr>
      </w:pPr>
      <w:r w:rsidRPr="00DA3BC7">
        <w:rPr>
          <w:rFonts w:ascii="Times New Roman" w:hAnsi="Times New Roman" w:cs="Times Ext Roman" w:hint="eastAsia"/>
        </w:rPr>
        <w:t>依釋尊，縱我的樂行和克己的苦行，二者都根源於情識的妄執。釋尊否定了二者，提供一種究竟徹底的中道行，這就是</w:t>
      </w:r>
      <w:r w:rsidRPr="00DA3BC7">
        <w:rPr>
          <w:rFonts w:ascii="Times New Roman" w:hAnsi="Times New Roman" w:cs="Times Ext Roman" w:hint="eastAsia"/>
          <w:b/>
        </w:rPr>
        <w:t>以智為本</w:t>
      </w:r>
      <w:r w:rsidRPr="00DA3BC7">
        <w:rPr>
          <w:rFonts w:ascii="Times New Roman" w:hAnsi="Times New Roman" w:cs="Times Ext Roman" w:hint="eastAsia"/>
        </w:rPr>
        <w:t>的新人生觀。自我以及世間，唯有</w:t>
      </w:r>
      <w:r w:rsidRPr="00DA3BC7">
        <w:rPr>
          <w:rFonts w:ascii="Times New Roman" w:hAnsi="Times New Roman" w:cs="Times Ext Roman" w:hint="eastAsia"/>
          <w:b/>
        </w:rPr>
        <w:t>以智為前導</w:t>
      </w:r>
      <w:r w:rsidRPr="00DA3BC7">
        <w:rPr>
          <w:rFonts w:ascii="Times New Roman" w:hAnsi="Times New Roman" w:cs="Times Ext Roman" w:hint="eastAsia"/>
        </w:rPr>
        <w:t>，才可以改造人生，完成人生的理想。因此，</w:t>
      </w:r>
      <w:r w:rsidRPr="00DA3BC7">
        <w:rPr>
          <w:rFonts w:ascii="Times New Roman" w:hAnsi="Times New Roman" w:cs="Times Ext Roman" w:hint="eastAsia"/>
          <w:b/>
        </w:rPr>
        <w:t>不苦不樂的、智本的新人生觀，是佛法唯一的特質</w:t>
      </w:r>
      <w:r w:rsidRPr="00DA3BC7">
        <w:rPr>
          <w:rFonts w:ascii="Times New Roman" w:hAnsi="Times New Roman" w:cs="Times Ext Roman" w:hint="eastAsia"/>
        </w:rPr>
        <w:t>。</w:t>
      </w:r>
    </w:p>
    <w:p w:rsidR="002E469B" w:rsidRPr="00DA3BC7" w:rsidRDefault="002E469B" w:rsidP="00AE3920">
      <w:pPr>
        <w:spacing w:beforeLines="30"/>
        <w:ind w:leftChars="250" w:left="600"/>
        <w:jc w:val="both"/>
        <w:rPr>
          <w:rFonts w:ascii="Times New Roman" w:hAnsi="Times New Roman" w:cs="Times Ext Roman"/>
          <w:b/>
          <w:sz w:val="20"/>
          <w:szCs w:val="20"/>
          <w:bdr w:val="single" w:sz="4" w:space="0" w:color="auto"/>
        </w:rPr>
      </w:pPr>
      <w:r w:rsidRPr="00D37EBA">
        <w:rPr>
          <w:rFonts w:ascii="Times New Roman" w:hAnsi="Times New Roman" w:hint="eastAsia"/>
          <w:b/>
          <w:color w:val="FF0000"/>
          <w:sz w:val="20"/>
          <w:highlight w:val="yellow"/>
          <w:bdr w:val="single" w:sz="4" w:space="0" w:color="auto"/>
        </w:rPr>
        <w:t>（</w:t>
      </w:r>
      <w:r w:rsidR="003F39AC" w:rsidRPr="00D37EBA">
        <w:rPr>
          <w:rFonts w:ascii="Times New Roman" w:hAnsi="Times New Roman" w:hint="eastAsia"/>
          <w:b/>
          <w:color w:val="FF0000"/>
          <w:sz w:val="20"/>
          <w:highlight w:val="yellow"/>
          <w:bdr w:val="single" w:sz="4" w:space="0" w:color="auto"/>
        </w:rPr>
        <w:t>2</w:t>
      </w:r>
      <w:r w:rsidRPr="00D37EBA">
        <w:rPr>
          <w:rFonts w:ascii="Times New Roman" w:hAnsi="Times New Roman" w:hint="eastAsia"/>
          <w:b/>
          <w:color w:val="FF0000"/>
          <w:sz w:val="20"/>
          <w:highlight w:val="yellow"/>
          <w:bdr w:val="single" w:sz="4" w:space="0" w:color="auto"/>
        </w:rPr>
        <w:t>）</w:t>
      </w:r>
      <w:r w:rsidR="003F39AC">
        <w:rPr>
          <w:rFonts w:ascii="新細明體" w:hAnsi="新細明體" w:cs="Times Ext Roman" w:hint="eastAsia"/>
          <w:b/>
          <w:color w:val="FF0000"/>
          <w:sz w:val="20"/>
          <w:highlight w:val="yellow"/>
          <w:bdr w:val="single" w:sz="4" w:space="0" w:color="auto"/>
        </w:rPr>
        <w:t>述事</w:t>
      </w:r>
      <w:r w:rsidR="003F39AC" w:rsidRPr="003F39AC">
        <w:rPr>
          <w:rFonts w:ascii="新細明體" w:hAnsi="新細明體" w:cs="Times Ext Roman" w:hint="eastAsia"/>
          <w:b/>
          <w:color w:val="FF0000"/>
          <w:sz w:val="20"/>
          <w:highlight w:val="yellow"/>
          <w:bdr w:val="single" w:sz="4" w:space="0" w:color="auto"/>
        </w:rPr>
        <w:t>：</w:t>
      </w:r>
      <w:r w:rsidRPr="003F39AC">
        <w:rPr>
          <w:rFonts w:ascii="Times New Roman" w:hAnsi="Times New Roman" w:cs="Times Ext Roman" w:hint="eastAsia"/>
          <w:b/>
          <w:color w:val="FF0000"/>
          <w:sz w:val="20"/>
          <w:szCs w:val="20"/>
          <w:highlight w:val="yellow"/>
          <w:bdr w:val="single" w:sz="4" w:space="0" w:color="auto"/>
        </w:rPr>
        <w:t>智</w:t>
      </w:r>
      <w:r w:rsidR="003F39AC" w:rsidRPr="003F39AC">
        <w:rPr>
          <w:rFonts w:ascii="Times New Roman" w:hAnsi="Times New Roman" w:cs="Times Ext Roman" w:hint="eastAsia"/>
          <w:b/>
          <w:color w:val="FF0000"/>
          <w:sz w:val="20"/>
          <w:szCs w:val="20"/>
          <w:highlight w:val="yellow"/>
          <w:bdr w:val="single" w:sz="4" w:space="0" w:color="auto"/>
        </w:rPr>
        <w:t>導萬</w:t>
      </w:r>
      <w:r w:rsidRPr="003F39AC">
        <w:rPr>
          <w:rFonts w:ascii="Times New Roman" w:hAnsi="Times New Roman" w:cs="Times Ext Roman" w:hint="eastAsia"/>
          <w:b/>
          <w:color w:val="FF0000"/>
          <w:sz w:val="20"/>
          <w:szCs w:val="20"/>
          <w:highlight w:val="yellow"/>
          <w:bdr w:val="single" w:sz="4" w:space="0" w:color="auto"/>
        </w:rPr>
        <w:t>行</w:t>
      </w:r>
      <w:r w:rsidR="003F39AC" w:rsidRPr="003F39AC">
        <w:rPr>
          <w:rFonts w:ascii="Times New Roman" w:hAnsi="Times New Roman" w:cs="Times Ext Roman" w:hint="eastAsia"/>
          <w:b/>
          <w:color w:val="FF0000"/>
          <w:sz w:val="20"/>
          <w:szCs w:val="20"/>
          <w:highlight w:val="yellow"/>
          <w:bdr w:val="single" w:sz="4" w:space="0" w:color="auto"/>
        </w:rPr>
        <w:t>達</w:t>
      </w:r>
      <w:r w:rsidRPr="003F39AC">
        <w:rPr>
          <w:rFonts w:ascii="Times New Roman" w:hAnsi="Times New Roman" w:cs="Times Ext Roman" w:hint="eastAsia"/>
          <w:b/>
          <w:color w:val="FF0000"/>
          <w:sz w:val="20"/>
          <w:szCs w:val="20"/>
          <w:highlight w:val="yellow"/>
          <w:bdr w:val="single" w:sz="4" w:space="0" w:color="auto"/>
        </w:rPr>
        <w:t>圓滿</w:t>
      </w:r>
      <w:r w:rsidRPr="00DA3BC7">
        <w:rPr>
          <w:rFonts w:ascii="Times New Roman" w:hAnsi="Times New Roman"/>
          <w:sz w:val="20"/>
          <w:szCs w:val="20"/>
        </w:rPr>
        <w:t>（</w:t>
      </w:r>
      <w:r w:rsidRPr="00DA3BC7">
        <w:rPr>
          <w:rFonts w:ascii="Times New Roman" w:hAnsi="Times New Roman"/>
          <w:sz w:val="20"/>
          <w:szCs w:val="20"/>
        </w:rPr>
        <w:t>p.7</w:t>
      </w:r>
      <w:r w:rsidRPr="00DA3BC7">
        <w:rPr>
          <w:rFonts w:ascii="Times New Roman" w:hAnsi="Times New Roman"/>
          <w:sz w:val="20"/>
          <w:szCs w:val="20"/>
        </w:rPr>
        <w:t>）</w:t>
      </w:r>
    </w:p>
    <w:p w:rsidR="002E469B" w:rsidRPr="00DA3BC7" w:rsidRDefault="002E469B" w:rsidP="00891011">
      <w:pPr>
        <w:ind w:leftChars="250" w:left="600"/>
        <w:jc w:val="both"/>
        <w:rPr>
          <w:rFonts w:ascii="Times New Roman" w:hAnsi="Times New Roman" w:cs="Times Ext Roman"/>
        </w:rPr>
      </w:pPr>
      <w:r w:rsidRPr="00DA3BC7">
        <w:rPr>
          <w:rFonts w:ascii="Times New Roman" w:hAnsi="Times New Roman" w:cs="Times Ext Roman" w:hint="eastAsia"/>
        </w:rPr>
        <w:t>佛說離此二邊向中道，中道即八正道。八正道的主導者，即是正見。一切身心的行為，都是以正見為眼目的──《阿含經》以正見為諸行的先導，</w:t>
      </w:r>
      <w:r w:rsidRPr="00DA3BC7">
        <w:rPr>
          <w:rStyle w:val="a6"/>
          <w:rFonts w:ascii="Times New Roman" w:hAnsi="Times New Roman" w:cs="Times Ext Roman"/>
        </w:rPr>
        <w:footnoteReference w:id="77"/>
      </w:r>
      <w:r w:rsidRPr="00DA3BC7">
        <w:rPr>
          <w:rFonts w:ascii="Times New Roman" w:hAnsi="Times New Roman" w:cs="Times Ext Roman" w:hint="eastAsia"/>
        </w:rPr>
        <w:t>《般若經》以般若為萬行的先導。</w:t>
      </w:r>
      <w:r w:rsidRPr="00DA3BC7">
        <w:rPr>
          <w:rStyle w:val="a6"/>
          <w:rFonts w:ascii="Times New Roman" w:hAnsi="Times New Roman" w:cs="Times Ext Roman"/>
        </w:rPr>
        <w:footnoteReference w:id="78"/>
      </w:r>
    </w:p>
    <w:p w:rsidR="002E469B" w:rsidRPr="00DA3BC7" w:rsidRDefault="002E469B" w:rsidP="00AE3920">
      <w:pPr>
        <w:spacing w:beforeLines="20"/>
        <w:ind w:leftChars="250" w:left="600"/>
        <w:jc w:val="both"/>
        <w:rPr>
          <w:rFonts w:ascii="Times New Roman" w:hAnsi="Times New Roman" w:cs="Times Ext Roman"/>
        </w:rPr>
      </w:pPr>
      <w:r w:rsidRPr="00DA3BC7">
        <w:rPr>
          <w:rFonts w:ascii="Times New Roman" w:hAnsi="Times New Roman" w:cs="Times Ext Roman" w:hint="eastAsia"/>
        </w:rPr>
        <w:t>所以不苦不樂的中道行，不是折中，而是從正見為本的實踐中，不落於情本的苦樂二邊。由此，佛法是以「以智化情」、「以智導行」為原則的。</w:t>
      </w:r>
    </w:p>
    <w:p w:rsidR="002E469B" w:rsidRPr="00DA3BC7" w:rsidRDefault="002E469B" w:rsidP="00AE3920">
      <w:pPr>
        <w:spacing w:beforeLines="20"/>
        <w:ind w:leftChars="250" w:left="600"/>
        <w:jc w:val="both"/>
        <w:rPr>
          <w:rFonts w:ascii="Times New Roman" w:hAnsi="Times New Roman" w:cs="Times Ext Roman"/>
        </w:rPr>
      </w:pPr>
      <w:r w:rsidRPr="00DA3BC7">
        <w:rPr>
          <w:rFonts w:ascii="Times New Roman" w:hAnsi="Times New Roman" w:cs="Times Ext Roman" w:hint="eastAsia"/>
          <w:b/>
        </w:rPr>
        <w:t>以智為本的中道行，包括了最初發心乃至向上達到究竟圓滿的一切過程</w:t>
      </w:r>
      <w:r w:rsidRPr="00DA3BC7">
        <w:rPr>
          <w:rFonts w:ascii="Times New Roman" w:hAnsi="Times New Roman" w:cs="Times Ext Roman" w:hint="eastAsia"/>
        </w:rPr>
        <w:t>。</w:t>
      </w:r>
    </w:p>
    <w:p w:rsidR="002E469B" w:rsidRPr="00DA3BC7" w:rsidRDefault="003F39AC" w:rsidP="00AE3920">
      <w:pPr>
        <w:spacing w:beforeLines="50"/>
        <w:ind w:leftChars="100" w:left="240"/>
        <w:jc w:val="both"/>
        <w:rPr>
          <w:rFonts w:ascii="Times New Roman" w:hAnsi="Times New Roman"/>
          <w:b/>
          <w:sz w:val="20"/>
          <w:szCs w:val="26"/>
          <w:bdr w:val="single" w:sz="4" w:space="0" w:color="auto"/>
        </w:rPr>
      </w:pPr>
      <w:r>
        <w:rPr>
          <w:rFonts w:ascii="Times New Roman" w:hAnsi="Times New Roman" w:hint="eastAsia"/>
          <w:b/>
          <w:color w:val="FF0000"/>
          <w:sz w:val="20"/>
          <w:szCs w:val="26"/>
          <w:highlight w:val="yellow"/>
          <w:bdr w:val="single" w:sz="4" w:space="0" w:color="auto"/>
        </w:rPr>
        <w:t>二</w:t>
      </w:r>
      <w:r w:rsidR="002E469B" w:rsidRPr="003F39AC">
        <w:rPr>
          <w:rFonts w:ascii="Times New Roman" w:hAnsi="Times New Roman" w:hint="eastAsia"/>
          <w:b/>
          <w:color w:val="FF0000"/>
          <w:sz w:val="20"/>
          <w:szCs w:val="26"/>
          <w:highlight w:val="yellow"/>
          <w:bdr w:val="single" w:sz="4" w:space="0" w:color="auto"/>
        </w:rPr>
        <w:t>、</w:t>
      </w:r>
      <w:r w:rsidRPr="003F39AC">
        <w:rPr>
          <w:rFonts w:ascii="Times New Roman" w:hAnsi="Times New Roman" w:hint="eastAsia"/>
          <w:b/>
          <w:color w:val="FF0000"/>
          <w:sz w:val="20"/>
          <w:szCs w:val="26"/>
          <w:highlight w:val="yellow"/>
          <w:bdr w:val="single" w:sz="4" w:space="0" w:color="auto"/>
        </w:rPr>
        <w:t>「理」的</w:t>
      </w:r>
      <w:r w:rsidR="002E469B" w:rsidRPr="003F39AC">
        <w:rPr>
          <w:rFonts w:ascii="Times New Roman" w:hAnsi="Times New Roman" w:hint="eastAsia"/>
          <w:b/>
          <w:color w:val="FF0000"/>
          <w:sz w:val="20"/>
          <w:szCs w:val="26"/>
          <w:highlight w:val="yellow"/>
          <w:bdr w:val="single" w:sz="4" w:space="0" w:color="auto"/>
        </w:rPr>
        <w:t>中道</w:t>
      </w:r>
      <w:r w:rsidR="002E469B" w:rsidRPr="00DA3BC7">
        <w:rPr>
          <w:rFonts w:ascii="Times New Roman" w:hAnsi="Times Ext Roman"/>
          <w:sz w:val="20"/>
          <w:szCs w:val="20"/>
        </w:rPr>
        <w:t>（</w:t>
      </w:r>
      <w:r w:rsidR="002E469B" w:rsidRPr="00DA3BC7">
        <w:rPr>
          <w:rFonts w:ascii="Times New Roman" w:hAnsi="Times New Roman"/>
          <w:sz w:val="20"/>
          <w:szCs w:val="20"/>
        </w:rPr>
        <w:t>pp.7-9</w:t>
      </w:r>
      <w:r w:rsidR="002E469B" w:rsidRPr="00DA3BC7">
        <w:rPr>
          <w:rFonts w:ascii="Times New Roman" w:hAnsi="Times Ext Roman"/>
          <w:sz w:val="20"/>
          <w:szCs w:val="20"/>
        </w:rPr>
        <w:t>）</w:t>
      </w:r>
    </w:p>
    <w:p w:rsidR="00D37EBA" w:rsidRDefault="002E469B" w:rsidP="00D37EBA">
      <w:pPr>
        <w:ind w:leftChars="150" w:left="360"/>
        <w:jc w:val="both"/>
        <w:rPr>
          <w:rFonts w:ascii="Times New Roman" w:hAnsi="Times New Roman"/>
          <w:sz w:val="20"/>
          <w:szCs w:val="20"/>
        </w:rPr>
      </w:pPr>
      <w:r w:rsidRPr="003F39AC">
        <w:rPr>
          <w:rFonts w:ascii="Times New Roman" w:hAnsi="Times New Roman" w:hint="eastAsia"/>
          <w:b/>
          <w:color w:val="FF0000"/>
          <w:sz w:val="20"/>
          <w:szCs w:val="26"/>
          <w:highlight w:val="yellow"/>
          <w:bdr w:val="single" w:sz="4" w:space="0" w:color="auto"/>
        </w:rPr>
        <w:t>（</w:t>
      </w:r>
      <w:r w:rsidR="003F39AC" w:rsidRPr="003F39AC">
        <w:rPr>
          <w:rFonts w:ascii="Times New Roman" w:hAnsi="Times New Roman" w:hint="eastAsia"/>
          <w:b/>
          <w:color w:val="FF0000"/>
          <w:sz w:val="20"/>
          <w:szCs w:val="26"/>
          <w:highlight w:val="yellow"/>
          <w:bdr w:val="single" w:sz="4" w:space="0" w:color="auto"/>
        </w:rPr>
        <w:t>一</w:t>
      </w:r>
      <w:r w:rsidRPr="003F39AC">
        <w:rPr>
          <w:rFonts w:ascii="Times New Roman" w:hAnsi="Times New Roman" w:hint="eastAsia"/>
          <w:b/>
          <w:color w:val="FF0000"/>
          <w:sz w:val="20"/>
          <w:szCs w:val="26"/>
          <w:highlight w:val="yellow"/>
          <w:bdr w:val="single" w:sz="4" w:space="0" w:color="auto"/>
        </w:rPr>
        <w:t>）</w:t>
      </w:r>
      <w:r w:rsidR="003F39AC" w:rsidRPr="003F39AC">
        <w:rPr>
          <w:rFonts w:ascii="Times New Roman" w:hAnsi="Times New Roman" w:hint="eastAsia"/>
          <w:b/>
          <w:color w:val="FF0000"/>
          <w:sz w:val="20"/>
          <w:szCs w:val="26"/>
          <w:highlight w:val="yellow"/>
          <w:bdr w:val="single" w:sz="4" w:space="0" w:color="auto"/>
        </w:rPr>
        <w:t>闡述</w:t>
      </w:r>
      <w:r w:rsidR="003F39AC" w:rsidRPr="00DA3BC7">
        <w:rPr>
          <w:rFonts w:ascii="Times New Roman" w:hAnsi="Times New Roman"/>
          <w:sz w:val="20"/>
          <w:szCs w:val="20"/>
        </w:rPr>
        <w:t>（</w:t>
      </w:r>
      <w:r w:rsidR="003F39AC" w:rsidRPr="00DA3BC7">
        <w:rPr>
          <w:rFonts w:ascii="Times New Roman" w:hAnsi="Times New Roman" w:hint="eastAsia"/>
          <w:sz w:val="20"/>
          <w:szCs w:val="20"/>
        </w:rPr>
        <w:t>p</w:t>
      </w:r>
      <w:r w:rsidR="003F39AC" w:rsidRPr="00DA3BC7">
        <w:rPr>
          <w:rFonts w:ascii="Times New Roman" w:hAnsi="Times New Roman"/>
          <w:sz w:val="20"/>
          <w:szCs w:val="20"/>
        </w:rPr>
        <w:t>p.7</w:t>
      </w:r>
      <w:r w:rsidR="003F39AC" w:rsidRPr="00DA3BC7">
        <w:rPr>
          <w:rFonts w:ascii="Times New Roman" w:hAnsi="Times New Roman" w:hint="eastAsia"/>
          <w:sz w:val="20"/>
          <w:szCs w:val="20"/>
        </w:rPr>
        <w:t>-8</w:t>
      </w:r>
      <w:r w:rsidR="003F39AC" w:rsidRPr="00DA3BC7">
        <w:rPr>
          <w:rFonts w:ascii="Times New Roman" w:hAnsi="Times New Roman"/>
          <w:sz w:val="20"/>
          <w:szCs w:val="20"/>
        </w:rPr>
        <w:t>）</w:t>
      </w:r>
    </w:p>
    <w:p w:rsidR="002E469B" w:rsidRPr="00DA3BC7" w:rsidRDefault="003F39AC" w:rsidP="00D37EBA">
      <w:pPr>
        <w:ind w:leftChars="200" w:left="480"/>
        <w:jc w:val="both"/>
        <w:rPr>
          <w:rFonts w:ascii="Times New Roman" w:hAnsi="Times New Roman" w:cs="Times Ext Roman"/>
          <w:sz w:val="20"/>
        </w:rPr>
      </w:pPr>
      <w:r w:rsidRPr="003F39AC">
        <w:rPr>
          <w:rFonts w:ascii="Times New Roman" w:hAnsi="Times New Roman" w:hint="eastAsia"/>
          <w:b/>
          <w:color w:val="FF0000"/>
          <w:sz w:val="20"/>
          <w:szCs w:val="26"/>
          <w:highlight w:val="yellow"/>
          <w:bdr w:val="single" w:sz="4" w:space="0" w:color="auto"/>
        </w:rPr>
        <w:lastRenderedPageBreak/>
        <w:t>1</w:t>
      </w:r>
      <w:r w:rsidRPr="003F39AC">
        <w:rPr>
          <w:rFonts w:ascii="Times New Roman" w:hAnsi="Times New Roman" w:hint="eastAsia"/>
          <w:b/>
          <w:color w:val="FF0000"/>
          <w:sz w:val="20"/>
          <w:szCs w:val="26"/>
          <w:highlight w:val="yellow"/>
          <w:bdr w:val="single" w:sz="4" w:space="0" w:color="auto"/>
        </w:rPr>
        <w:t>、</w:t>
      </w:r>
      <w:r w:rsidR="002E469B" w:rsidRPr="00DA3BC7">
        <w:rPr>
          <w:rFonts w:ascii="Times New Roman" w:hAnsi="Times New Roman" w:hint="eastAsia"/>
          <w:b/>
          <w:sz w:val="20"/>
          <w:szCs w:val="26"/>
          <w:bdr w:val="single" w:sz="4" w:space="0" w:color="auto"/>
        </w:rPr>
        <w:t>不有不無之中道</w:t>
      </w:r>
      <w:r w:rsidR="002E469B" w:rsidRPr="00DA3BC7">
        <w:rPr>
          <w:rFonts w:ascii="Times New Roman" w:hAnsi="Times New Roman"/>
          <w:sz w:val="20"/>
          <w:szCs w:val="20"/>
        </w:rPr>
        <w:t>（</w:t>
      </w:r>
      <w:r w:rsidR="002E469B" w:rsidRPr="00DA3BC7">
        <w:rPr>
          <w:rFonts w:ascii="Times New Roman" w:hAnsi="Times New Roman" w:hint="eastAsia"/>
          <w:sz w:val="20"/>
          <w:szCs w:val="20"/>
        </w:rPr>
        <w:t>p</w:t>
      </w:r>
      <w:r w:rsidR="002E469B" w:rsidRPr="00DA3BC7">
        <w:rPr>
          <w:rFonts w:ascii="Times New Roman" w:hAnsi="Times New Roman"/>
          <w:sz w:val="20"/>
          <w:szCs w:val="20"/>
        </w:rPr>
        <w:t>p.7</w:t>
      </w:r>
      <w:r w:rsidR="002E469B" w:rsidRPr="00DA3BC7">
        <w:rPr>
          <w:rFonts w:ascii="Times New Roman" w:hAnsi="Times New Roman" w:hint="eastAsia"/>
          <w:sz w:val="20"/>
          <w:szCs w:val="20"/>
        </w:rPr>
        <w:t>-8</w:t>
      </w:r>
      <w:r w:rsidR="002E469B" w:rsidRPr="00DA3BC7">
        <w:rPr>
          <w:rFonts w:ascii="Times New Roman" w:hAnsi="Times New Roman"/>
          <w:sz w:val="20"/>
          <w:szCs w:val="20"/>
        </w:rPr>
        <w:t>）</w:t>
      </w:r>
    </w:p>
    <w:p w:rsidR="002E469B" w:rsidRPr="00DA3BC7" w:rsidRDefault="002E469B" w:rsidP="00891011">
      <w:pPr>
        <w:ind w:leftChars="200" w:left="480"/>
        <w:jc w:val="both"/>
        <w:rPr>
          <w:rFonts w:ascii="Times New Roman" w:hAnsi="Times New Roman" w:cs="Times Ext Roman"/>
        </w:rPr>
      </w:pPr>
      <w:r w:rsidRPr="00DA3BC7">
        <w:rPr>
          <w:rFonts w:ascii="Times New Roman" w:hAnsi="Times New Roman" w:cs="Times Ext Roman" w:hint="eastAsia"/>
        </w:rPr>
        <w:t>正見為導的中道，即是從正見人生的實相中，增進、淨化此人生，以及解脫、完成。正見人生的實相，佛在處處經中，也即說之為中道或中法。</w:t>
      </w:r>
    </w:p>
    <w:p w:rsidR="002E469B" w:rsidRPr="00DA3BC7" w:rsidRDefault="002E469B" w:rsidP="00891011">
      <w:pPr>
        <w:ind w:leftChars="200" w:left="480"/>
        <w:jc w:val="both"/>
        <w:rPr>
          <w:rFonts w:ascii="Times New Roman" w:hAnsi="Times New Roman" w:cs="Times Ext Roman"/>
        </w:rPr>
      </w:pPr>
      <w:r w:rsidRPr="00DA3BC7">
        <w:rPr>
          <w:rFonts w:ascii="Times New Roman" w:hAnsi="Times New Roman" w:cs="Times Ext Roman" w:hint="eastAsia"/>
        </w:rPr>
        <w:t>如《雜阿含經》（大正藏編號</w:t>
      </w:r>
      <w:r w:rsidRPr="00DA3BC7">
        <w:rPr>
          <w:rFonts w:ascii="Times New Roman" w:hAnsi="Times New Roman" w:cs="Times Ext Roman" w:hint="eastAsia"/>
        </w:rPr>
        <w:t>262</w:t>
      </w:r>
      <w:r w:rsidRPr="00DA3BC7">
        <w:rPr>
          <w:rFonts w:ascii="Times New Roman" w:hAnsi="Times New Roman" w:cs="Times Ext Roman" w:hint="eastAsia"/>
        </w:rPr>
        <w:t>經）說：</w:t>
      </w:r>
    </w:p>
    <w:p w:rsidR="002E469B" w:rsidRPr="00DA3BC7" w:rsidRDefault="002E469B" w:rsidP="00AE3920">
      <w:pPr>
        <w:spacing w:beforeLines="20"/>
        <w:ind w:leftChars="200" w:left="480"/>
        <w:jc w:val="both"/>
        <w:rPr>
          <w:rFonts w:ascii="Times New Roman" w:hAnsi="Times New Roman" w:cs="Times Ext Roman"/>
        </w:rPr>
      </w:pPr>
      <w:r w:rsidRPr="00DA3BC7">
        <w:rPr>
          <w:rFonts w:ascii="標楷體" w:eastAsia="標楷體" w:hAnsi="標楷體" w:cs="Times Ext Roman" w:hint="eastAsia"/>
        </w:rPr>
        <w:t>「世人顛倒，依於二邊，若有、若無。……</w:t>
      </w:r>
      <w:r w:rsidRPr="00DA3BC7">
        <w:rPr>
          <w:rFonts w:ascii="標楷體" w:eastAsia="標楷體" w:hAnsi="標楷體" w:hint="eastAsia"/>
        </w:rPr>
        <w:t>迦旃延！如實正觀世間集者，則不生世間無見；如實正觀世間滅，則不生世間有</w:t>
      </w:r>
      <w:r w:rsidRPr="00DA3BC7">
        <w:rPr>
          <w:rFonts w:ascii="標楷體" w:eastAsia="標楷體" w:hAnsi="標楷體" w:cs="Times Ext Roman" w:hint="eastAsia"/>
        </w:rPr>
        <w:t>見。迦旃延！如來離於二邊，說於中道，所謂此有故彼有，此生故彼生</w:t>
      </w:r>
      <w:r w:rsidRPr="00DA3BC7">
        <w:rPr>
          <w:rFonts w:ascii="Times New Roman" w:hAnsi="Times New Roman" w:cs="Times Ext Roman" w:hint="eastAsia"/>
        </w:rPr>
        <w:t>。」</w:t>
      </w:r>
      <w:r w:rsidRPr="00DA3BC7">
        <w:rPr>
          <w:rStyle w:val="a6"/>
          <w:rFonts w:ascii="Times New Roman" w:hAnsi="Times New Roman" w:cs="Times Ext Roman"/>
        </w:rPr>
        <w:footnoteReference w:id="79"/>
      </w:r>
    </w:p>
    <w:p w:rsidR="002E469B" w:rsidRPr="00DA3BC7" w:rsidRDefault="002E469B" w:rsidP="00AE3920">
      <w:pPr>
        <w:spacing w:beforeLines="20"/>
        <w:ind w:leftChars="200" w:left="480"/>
        <w:jc w:val="both"/>
        <w:rPr>
          <w:rFonts w:ascii="Times New Roman" w:hAnsi="Times New Roman" w:cs="Times Ext Roman"/>
        </w:rPr>
      </w:pPr>
      <w:r w:rsidRPr="00DA3BC7">
        <w:rPr>
          <w:rFonts w:ascii="Times New Roman" w:hAnsi="Times New Roman" w:cs="Times Ext Roman" w:hint="eastAsia"/>
        </w:rPr>
        <w:t>此是釋尊開示「正見」的教授，說明世人不依於有則依於無，佛離有無二邊而說中道法。然所謂離有離無的中道，不是折中於有無而說亦有亦無或半有半無的。釋迦所說者，為緣起法；依於緣起的正見，能得不落有無二邊的中道。</w:t>
      </w:r>
    </w:p>
    <w:p w:rsidR="002E469B" w:rsidRPr="00DA3BC7" w:rsidRDefault="003F39AC" w:rsidP="00AE3920">
      <w:pPr>
        <w:spacing w:beforeLines="30"/>
        <w:ind w:leftChars="200" w:left="480"/>
        <w:jc w:val="both"/>
        <w:rPr>
          <w:rFonts w:ascii="Times New Roman" w:hAnsi="Times New Roman"/>
          <w:sz w:val="20"/>
          <w:szCs w:val="20"/>
          <w:bdr w:val="single" w:sz="4" w:space="0" w:color="auto"/>
        </w:rPr>
      </w:pPr>
      <w:r>
        <w:rPr>
          <w:rFonts w:ascii="Times New Roman" w:hAnsi="Times New Roman" w:hint="eastAsia"/>
          <w:b/>
          <w:color w:val="FF0000"/>
          <w:sz w:val="20"/>
          <w:highlight w:val="yellow"/>
          <w:bdr w:val="single" w:sz="4" w:space="0" w:color="auto"/>
        </w:rPr>
        <w:t>2</w:t>
      </w:r>
      <w:r>
        <w:rPr>
          <w:rFonts w:ascii="Times New Roman" w:hAnsi="Times New Roman" w:hint="eastAsia"/>
          <w:b/>
          <w:color w:val="FF0000"/>
          <w:sz w:val="20"/>
          <w:highlight w:val="yellow"/>
          <w:bdr w:val="single" w:sz="4" w:space="0" w:color="auto"/>
        </w:rPr>
        <w:t>、</w:t>
      </w:r>
      <w:r w:rsidR="002E469B" w:rsidRPr="00DA3BC7">
        <w:rPr>
          <w:rFonts w:ascii="Times New Roman" w:hAnsi="Times New Roman" w:cs="Times Ext Roman" w:hint="eastAsia"/>
          <w:b/>
          <w:sz w:val="20"/>
          <w:bdr w:val="single" w:sz="4" w:space="0" w:color="auto"/>
        </w:rPr>
        <w:t>不一不異</w:t>
      </w:r>
      <w:r w:rsidR="002E469B" w:rsidRPr="00DA3BC7">
        <w:rPr>
          <w:rFonts w:ascii="Times New Roman" w:hAnsi="Times New Roman" w:hint="eastAsia"/>
          <w:b/>
          <w:sz w:val="20"/>
          <w:bdr w:val="single" w:sz="4" w:space="0" w:color="auto"/>
        </w:rPr>
        <w:t>之中道</w:t>
      </w:r>
      <w:r w:rsidR="002E469B" w:rsidRPr="00DA3BC7">
        <w:rPr>
          <w:rFonts w:ascii="Times New Roman" w:hAnsi="Times New Roman" w:cs="Times Ext Roman" w:hint="eastAsia"/>
          <w:sz w:val="20"/>
          <w:szCs w:val="20"/>
        </w:rPr>
        <w:t>（</w:t>
      </w:r>
      <w:r w:rsidR="002E469B" w:rsidRPr="00DA3BC7">
        <w:rPr>
          <w:rFonts w:ascii="Times New Roman" w:hAnsi="Times New Roman" w:cs="Times Ext Roman" w:hint="eastAsia"/>
          <w:sz w:val="20"/>
          <w:szCs w:val="20"/>
        </w:rPr>
        <w:t>p.8</w:t>
      </w:r>
      <w:r w:rsidR="002E469B" w:rsidRPr="00DA3BC7">
        <w:rPr>
          <w:rFonts w:ascii="Times New Roman" w:hAnsi="Times New Roman" w:cs="Times Ext Roman" w:hint="eastAsia"/>
          <w:sz w:val="20"/>
          <w:szCs w:val="20"/>
        </w:rPr>
        <w:t>）</w:t>
      </w:r>
    </w:p>
    <w:p w:rsidR="002E469B" w:rsidRPr="00DA3BC7" w:rsidRDefault="002E469B" w:rsidP="00891011">
      <w:pPr>
        <w:ind w:leftChars="200" w:left="480"/>
        <w:jc w:val="both"/>
        <w:rPr>
          <w:rFonts w:ascii="Times New Roman" w:hAnsi="Times New Roman"/>
          <w:bdr w:val="single" w:sz="4" w:space="0" w:color="auto"/>
        </w:rPr>
      </w:pPr>
      <w:r w:rsidRPr="00DA3BC7">
        <w:rPr>
          <w:rFonts w:ascii="Times New Roman" w:hAnsi="Times New Roman" w:cs="Times Ext Roman" w:hint="eastAsia"/>
        </w:rPr>
        <w:t>釋迦所說中道，還有不一不異的中道，如《雜阿含》（</w:t>
      </w:r>
      <w:r w:rsidRPr="00DA3BC7">
        <w:rPr>
          <w:rFonts w:ascii="Times New Roman" w:hAnsi="Times New Roman" w:cs="Times Ext Roman" w:hint="eastAsia"/>
        </w:rPr>
        <w:t>297</w:t>
      </w:r>
      <w:r w:rsidRPr="00DA3BC7">
        <w:rPr>
          <w:rFonts w:ascii="Times New Roman" w:hAnsi="Times New Roman" w:cs="Times Ext Roman" w:hint="eastAsia"/>
        </w:rPr>
        <w:t>經）說：「</w:t>
      </w:r>
      <w:r w:rsidRPr="00DA3BC7">
        <w:rPr>
          <w:rFonts w:ascii="標楷體" w:eastAsia="標楷體" w:hAnsi="標楷體" w:cs="Times Ext Roman" w:hint="eastAsia"/>
        </w:rPr>
        <w:t>若見言</w:t>
      </w:r>
      <w:r w:rsidRPr="00DA3BC7">
        <w:rPr>
          <w:rFonts w:ascii="標楷體" w:eastAsia="標楷體" w:hAnsi="標楷體" w:cs="Times Ext Roman" w:hint="eastAsia"/>
          <w:b/>
        </w:rPr>
        <w:t>命即是身</w:t>
      </w:r>
      <w:r w:rsidRPr="00DA3BC7">
        <w:rPr>
          <w:rFonts w:ascii="標楷體" w:eastAsia="標楷體" w:hAnsi="標楷體" w:cs="Times Ext Roman" w:hint="eastAsia"/>
        </w:rPr>
        <w:t>，彼梵行者所無有；若復見言</w:t>
      </w:r>
      <w:r w:rsidRPr="00DA3BC7">
        <w:rPr>
          <w:rFonts w:ascii="標楷體" w:eastAsia="標楷體" w:hAnsi="標楷體" w:cs="Times Ext Roman" w:hint="eastAsia"/>
          <w:b/>
        </w:rPr>
        <w:t>命異身異</w:t>
      </w:r>
      <w:r w:rsidRPr="00DA3BC7">
        <w:rPr>
          <w:rFonts w:ascii="標楷體" w:eastAsia="標楷體" w:hAnsi="標楷體" w:cs="Times Ext Roman" w:hint="eastAsia"/>
        </w:rPr>
        <w:t>，</w:t>
      </w:r>
      <w:r w:rsidRPr="00DA3BC7">
        <w:rPr>
          <w:rStyle w:val="a6"/>
          <w:rFonts w:ascii="Times New Roman" w:hAnsi="Times New Roman" w:cs="Times Ext Roman"/>
        </w:rPr>
        <w:footnoteReference w:id="80"/>
      </w:r>
      <w:r w:rsidRPr="00DA3BC7">
        <w:rPr>
          <w:rFonts w:ascii="標楷體" w:eastAsia="標楷體" w:hAnsi="標楷體" w:cs="Times Ext Roman" w:hint="eastAsia"/>
        </w:rPr>
        <w:t>梵行者所無有。</w:t>
      </w:r>
      <w:r w:rsidRPr="00DA3BC7">
        <w:rPr>
          <w:rFonts w:ascii="標楷體" w:eastAsia="標楷體" w:hAnsi="標楷體" w:cs="Times Ext Roman" w:hint="eastAsia"/>
        </w:rPr>
        <w:lastRenderedPageBreak/>
        <w:t>於此二邊，心所不隨，正向中道。賢聖出世如實不顛倒正見，謂緣生老死，……緣無明故有行</w:t>
      </w:r>
      <w:r w:rsidRPr="00DA3BC7">
        <w:rPr>
          <w:rFonts w:ascii="Times New Roman" w:hAnsi="Times New Roman" w:cs="Times Ext Roman" w:hint="eastAsia"/>
        </w:rPr>
        <w:t>。」</w:t>
      </w:r>
      <w:r w:rsidRPr="00DA3BC7">
        <w:rPr>
          <w:rStyle w:val="a6"/>
          <w:rFonts w:ascii="Times New Roman" w:hAnsi="Times New Roman" w:cs="Times Ext Roman"/>
        </w:rPr>
        <w:footnoteReference w:id="81"/>
      </w:r>
    </w:p>
    <w:p w:rsidR="002E469B" w:rsidRPr="00DA3BC7" w:rsidRDefault="003F39AC" w:rsidP="00AE3920">
      <w:pPr>
        <w:spacing w:beforeLines="30"/>
        <w:ind w:leftChars="200" w:left="480"/>
        <w:jc w:val="both"/>
        <w:rPr>
          <w:rFonts w:ascii="Times New Roman" w:hAnsi="Times New Roman" w:cs="Times Ext Roman"/>
          <w:b/>
          <w:sz w:val="20"/>
          <w:bdr w:val="single" w:sz="4" w:space="0" w:color="auto"/>
        </w:rPr>
      </w:pPr>
      <w:r>
        <w:rPr>
          <w:rFonts w:ascii="Times New Roman" w:hAnsi="Times New Roman" w:cs="Times Ext Roman" w:hint="eastAsia"/>
          <w:b/>
          <w:color w:val="FF0000"/>
          <w:sz w:val="20"/>
          <w:highlight w:val="yellow"/>
          <w:bdr w:val="single" w:sz="4" w:space="0" w:color="auto"/>
        </w:rPr>
        <w:t>3</w:t>
      </w:r>
      <w:r>
        <w:rPr>
          <w:rFonts w:ascii="Times New Roman" w:hAnsi="Times New Roman" w:cs="Times Ext Roman" w:hint="eastAsia"/>
          <w:b/>
          <w:color w:val="FF0000"/>
          <w:sz w:val="20"/>
          <w:highlight w:val="yellow"/>
          <w:bdr w:val="single" w:sz="4" w:space="0" w:color="auto"/>
        </w:rPr>
        <w:t>、</w:t>
      </w:r>
      <w:r w:rsidR="002E469B" w:rsidRPr="00DA3BC7">
        <w:rPr>
          <w:rFonts w:ascii="Times New Roman" w:hAnsi="Times New Roman" w:hint="eastAsia"/>
          <w:b/>
          <w:sz w:val="20"/>
          <w:bdr w:val="single" w:sz="4" w:space="0" w:color="auto"/>
        </w:rPr>
        <w:t>不常不斷</w:t>
      </w:r>
      <w:r w:rsidR="002E469B" w:rsidRPr="00DA3BC7">
        <w:rPr>
          <w:rFonts w:ascii="Times New Roman" w:hAnsi="Times New Roman" w:cs="Times Ext Roman" w:hint="eastAsia"/>
          <w:b/>
          <w:sz w:val="20"/>
          <w:bdr w:val="single" w:sz="4" w:space="0" w:color="auto"/>
        </w:rPr>
        <w:t>之中道</w:t>
      </w:r>
      <w:r w:rsidR="002E469B" w:rsidRPr="00DA3BC7">
        <w:rPr>
          <w:rFonts w:ascii="Times New Roman" w:hAnsi="Times New Roman" w:cs="Times Ext Roman" w:hint="eastAsia"/>
          <w:sz w:val="20"/>
          <w:szCs w:val="20"/>
        </w:rPr>
        <w:t>（</w:t>
      </w:r>
      <w:r w:rsidR="002E469B" w:rsidRPr="00DA3BC7">
        <w:rPr>
          <w:rFonts w:ascii="Times New Roman" w:hAnsi="Times New Roman" w:cs="Times Ext Roman" w:hint="eastAsia"/>
          <w:sz w:val="20"/>
          <w:szCs w:val="20"/>
        </w:rPr>
        <w:t>p.8</w:t>
      </w:r>
      <w:r w:rsidR="002E469B" w:rsidRPr="00DA3BC7">
        <w:rPr>
          <w:rFonts w:ascii="Times New Roman" w:hAnsi="Times New Roman" w:cs="Times Ext Roman" w:hint="eastAsia"/>
          <w:sz w:val="20"/>
          <w:szCs w:val="20"/>
        </w:rPr>
        <w:t>）</w:t>
      </w:r>
    </w:p>
    <w:p w:rsidR="002E469B" w:rsidRPr="00DA3BC7" w:rsidRDefault="002E469B" w:rsidP="00891011">
      <w:pPr>
        <w:ind w:leftChars="200" w:left="480"/>
        <w:jc w:val="both"/>
        <w:rPr>
          <w:rFonts w:ascii="Times New Roman" w:hAnsi="Times New Roman" w:cs="Times Ext Roman"/>
        </w:rPr>
      </w:pPr>
      <w:r w:rsidRPr="00DA3BC7">
        <w:rPr>
          <w:rFonts w:ascii="Times New Roman" w:hAnsi="Times New Roman" w:cs="Times Ext Roman" w:hint="eastAsia"/>
        </w:rPr>
        <w:t>還有不常不斷的中道</w:t>
      </w:r>
      <w:r w:rsidRPr="00DA3BC7">
        <w:rPr>
          <w:rStyle w:val="a6"/>
          <w:rFonts w:ascii="Times New Roman" w:hAnsi="Times New Roman" w:cs="Times Ext Roman"/>
        </w:rPr>
        <w:footnoteReference w:id="82"/>
      </w:r>
      <w:r w:rsidRPr="00DA3BC7">
        <w:rPr>
          <w:rFonts w:ascii="Times New Roman" w:hAnsi="Times New Roman" w:cs="Times Ext Roman" w:hint="eastAsia"/>
        </w:rPr>
        <w:t>，如《雜阿含》（</w:t>
      </w:r>
      <w:r w:rsidRPr="00DA3BC7">
        <w:rPr>
          <w:rFonts w:ascii="Times New Roman" w:hAnsi="Times New Roman" w:cs="Times Ext Roman" w:hint="eastAsia"/>
        </w:rPr>
        <w:t>300</w:t>
      </w:r>
      <w:r w:rsidRPr="00DA3BC7">
        <w:rPr>
          <w:rFonts w:ascii="Times New Roman" w:hAnsi="Times New Roman" w:cs="Times Ext Roman" w:hint="eastAsia"/>
        </w:rPr>
        <w:t>經）說：「</w:t>
      </w:r>
      <w:r w:rsidRPr="00DA3BC7">
        <w:rPr>
          <w:rFonts w:ascii="標楷體" w:eastAsia="標楷體" w:hAnsi="標楷體" w:cs="Times Ext Roman" w:hint="eastAsia"/>
        </w:rPr>
        <w:t>自作自覺</w:t>
      </w:r>
      <w:r w:rsidRPr="00D37EBA">
        <w:rPr>
          <w:rFonts w:ascii="新細明體" w:hAnsi="新細明體" w:cs="Times Ext Roman" w:hint="eastAsia"/>
        </w:rPr>
        <w:t>（受）</w:t>
      </w:r>
      <w:r w:rsidRPr="00DA3BC7">
        <w:rPr>
          <w:rFonts w:ascii="標楷體" w:eastAsia="標楷體" w:hAnsi="標楷體" w:cs="Times Ext Roman" w:hint="eastAsia"/>
        </w:rPr>
        <w:t>，則墮常見；他作他覺，則墮斷見。義說、法說</w:t>
      </w:r>
      <w:r w:rsidRPr="00DA3BC7">
        <w:rPr>
          <w:rStyle w:val="a6"/>
          <w:rFonts w:ascii="Times New Roman" w:hAnsi="Times New Roman"/>
        </w:rPr>
        <w:footnoteReference w:id="83"/>
      </w:r>
      <w:r w:rsidRPr="00DA3BC7">
        <w:rPr>
          <w:rFonts w:ascii="標楷體" w:eastAsia="標楷體" w:hAnsi="標楷體" w:cs="Times Ext Roman" w:hint="eastAsia"/>
        </w:rPr>
        <w:t>，離此二邊，處於中道</w:t>
      </w:r>
      <w:r w:rsidRPr="00DA3BC7">
        <w:rPr>
          <w:rFonts w:ascii="標楷體" w:eastAsia="標楷體" w:hAnsi="標楷體" w:cs="Times Ext Roman" w:hint="eastAsia"/>
        </w:rPr>
        <w:lastRenderedPageBreak/>
        <w:t>而說法，所謂此有故彼有，此起故彼起</w:t>
      </w:r>
      <w:r w:rsidRPr="00DA3BC7">
        <w:rPr>
          <w:rFonts w:ascii="Times New Roman" w:hAnsi="Times New Roman" w:cs="Times Ext Roman" w:hint="eastAsia"/>
        </w:rPr>
        <w:t>。」</w:t>
      </w:r>
      <w:r w:rsidRPr="00DA3BC7">
        <w:rPr>
          <w:rStyle w:val="a6"/>
          <w:rFonts w:ascii="Times New Roman" w:hAnsi="Times New Roman" w:cs="Times Ext Roman"/>
        </w:rPr>
        <w:footnoteReference w:id="84"/>
      </w:r>
    </w:p>
    <w:p w:rsidR="002E469B" w:rsidRPr="00DA3BC7" w:rsidRDefault="003F39AC" w:rsidP="00AE3920">
      <w:pPr>
        <w:widowControl/>
        <w:spacing w:beforeLines="30"/>
        <w:ind w:leftChars="150" w:left="360"/>
        <w:jc w:val="both"/>
        <w:rPr>
          <w:rFonts w:ascii="Times New Roman" w:hAnsi="Times New Roman" w:cs="Times Ext Roman"/>
        </w:rPr>
      </w:pPr>
      <w:r>
        <w:rPr>
          <w:rFonts w:ascii="Times New Roman" w:hAnsi="Times New Roman" w:cs="Times Ext Roman" w:hint="eastAsia"/>
          <w:b/>
          <w:color w:val="FF0000"/>
          <w:sz w:val="20"/>
          <w:highlight w:val="yellow"/>
          <w:bdr w:val="single" w:sz="4" w:space="0" w:color="auto"/>
        </w:rPr>
        <w:t>（二）結成</w:t>
      </w:r>
      <w:r w:rsidR="002E469B" w:rsidRPr="00DA3BC7">
        <w:rPr>
          <w:rFonts w:ascii="Times New Roman" w:hAnsi="Times New Roman"/>
          <w:sz w:val="20"/>
          <w:szCs w:val="20"/>
        </w:rPr>
        <w:t>（</w:t>
      </w:r>
      <w:r w:rsidR="002E469B" w:rsidRPr="00DA3BC7">
        <w:rPr>
          <w:rFonts w:ascii="Times New Roman" w:hAnsi="Times New Roman"/>
          <w:sz w:val="20"/>
          <w:szCs w:val="20"/>
        </w:rPr>
        <w:t>p.8</w:t>
      </w:r>
      <w:r w:rsidR="002E469B" w:rsidRPr="00DA3BC7">
        <w:rPr>
          <w:rFonts w:ascii="Times New Roman" w:hAnsi="Times New Roman"/>
          <w:sz w:val="20"/>
          <w:szCs w:val="20"/>
        </w:rPr>
        <w:t>）</w:t>
      </w:r>
    </w:p>
    <w:p w:rsidR="002E469B" w:rsidRPr="00DA3BC7" w:rsidRDefault="002E469B" w:rsidP="00891011">
      <w:pPr>
        <w:spacing w:before="30"/>
        <w:ind w:leftChars="150" w:left="360"/>
        <w:jc w:val="both"/>
        <w:rPr>
          <w:rFonts w:ascii="Times New Roman" w:hAnsi="Times New Roman" w:cs="Times Ext Roman"/>
        </w:rPr>
      </w:pPr>
      <w:r w:rsidRPr="00DA3BC7">
        <w:rPr>
          <w:rFonts w:ascii="Times New Roman" w:hAnsi="Times New Roman" w:cs="Times Ext Roman" w:hint="eastAsia"/>
        </w:rPr>
        <w:t>不一不異、不常不斷，與不有不無一樣，都是依於緣起而開顯的不落二邊的中道。正見緣起的中道，為釋迦本教的宗要。</w:t>
      </w:r>
    </w:p>
    <w:p w:rsidR="003F39AC" w:rsidRPr="00DA3BC7" w:rsidRDefault="003F39AC" w:rsidP="00AE3920">
      <w:pPr>
        <w:widowControl/>
        <w:spacing w:beforeLines="30"/>
        <w:ind w:leftChars="50" w:left="120"/>
        <w:jc w:val="both"/>
        <w:rPr>
          <w:rFonts w:ascii="Times New Roman" w:hAnsi="Times New Roman" w:cs="Times Ext Roman"/>
        </w:rPr>
      </w:pPr>
      <w:r>
        <w:rPr>
          <w:rFonts w:ascii="Times New Roman" w:hAnsi="Times New Roman" w:cs="Times Ext Roman" w:hint="eastAsia"/>
          <w:b/>
          <w:color w:val="FF0000"/>
          <w:sz w:val="20"/>
          <w:highlight w:val="yellow"/>
          <w:bdr w:val="single" w:sz="4" w:space="0" w:color="auto"/>
        </w:rPr>
        <w:t>（貳）通義</w:t>
      </w:r>
      <w:r w:rsidRPr="00DA3BC7">
        <w:rPr>
          <w:rFonts w:ascii="Times New Roman" w:hAnsi="Times New Roman"/>
          <w:sz w:val="20"/>
          <w:szCs w:val="20"/>
        </w:rPr>
        <w:t>（</w:t>
      </w:r>
      <w:r w:rsidRPr="00DA3BC7">
        <w:rPr>
          <w:rFonts w:ascii="Times New Roman" w:hAnsi="Times New Roman"/>
          <w:sz w:val="20"/>
          <w:szCs w:val="20"/>
        </w:rPr>
        <w:t>pp.8-9</w:t>
      </w:r>
      <w:r w:rsidRPr="00DA3BC7">
        <w:rPr>
          <w:rFonts w:ascii="Times New Roman" w:hAnsi="Times New Roman"/>
          <w:sz w:val="20"/>
          <w:szCs w:val="20"/>
        </w:rPr>
        <w:t>）</w:t>
      </w:r>
    </w:p>
    <w:p w:rsidR="002E469B" w:rsidRPr="00DA3BC7" w:rsidRDefault="002E469B" w:rsidP="00891011">
      <w:pPr>
        <w:spacing w:before="30"/>
        <w:ind w:leftChars="50" w:left="120"/>
        <w:jc w:val="both"/>
        <w:rPr>
          <w:rFonts w:ascii="Times New Roman" w:hAnsi="Times New Roman" w:cs="Times Ext Roman"/>
        </w:rPr>
      </w:pPr>
      <w:r w:rsidRPr="00C77DD6">
        <w:rPr>
          <w:rFonts w:ascii="Times New Roman" w:hAnsi="Times New Roman" w:cs="Times Ext Roman" w:hint="eastAsia"/>
          <w:b/>
          <w:u w:val="wave" w:color="C00000"/>
        </w:rPr>
        <w:t>不苦不樂</w:t>
      </w:r>
      <w:r w:rsidRPr="00DA3BC7">
        <w:rPr>
          <w:rFonts w:ascii="Times New Roman" w:hAnsi="Times New Roman" w:cs="Times Ext Roman" w:hint="eastAsia"/>
        </w:rPr>
        <w:t>是</w:t>
      </w:r>
      <w:r w:rsidRPr="00C77DD6">
        <w:rPr>
          <w:rFonts w:ascii="Times New Roman" w:hAnsi="Times New Roman" w:cs="Times Ext Roman" w:hint="eastAsia"/>
          <w:b/>
          <w:u w:val="wave" w:color="C00000"/>
        </w:rPr>
        <w:t>行的中道</w:t>
      </w:r>
      <w:r w:rsidRPr="00DA3BC7">
        <w:rPr>
          <w:rFonts w:ascii="Times New Roman" w:hAnsi="Times New Roman" w:cs="Times Ext Roman" w:hint="eastAsia"/>
        </w:rPr>
        <w:t>，</w:t>
      </w:r>
      <w:r w:rsidRPr="00C77DD6">
        <w:rPr>
          <w:rFonts w:ascii="Times New Roman" w:hAnsi="Times New Roman" w:cs="Times Ext Roman" w:hint="eastAsia"/>
          <w:b/>
          <w:u w:val="wave" w:color="C00000"/>
        </w:rPr>
        <w:t>不有不無</w:t>
      </w:r>
      <w:r w:rsidRPr="00C77DD6">
        <w:rPr>
          <w:rFonts w:ascii="Times New Roman" w:hAnsi="Times New Roman" w:cs="Times Ext Roman" w:hint="eastAsia"/>
          <w:u w:val="wave" w:color="C00000"/>
        </w:rPr>
        <w:t>等</w:t>
      </w:r>
      <w:r w:rsidRPr="00DA3BC7">
        <w:rPr>
          <w:rFonts w:ascii="Times New Roman" w:hAnsi="Times New Roman" w:cs="Times Ext Roman" w:hint="eastAsia"/>
        </w:rPr>
        <w:t>是</w:t>
      </w:r>
      <w:r w:rsidRPr="00C77DD6">
        <w:rPr>
          <w:rFonts w:ascii="Times New Roman" w:hAnsi="Times New Roman" w:cs="Times Ext Roman" w:hint="eastAsia"/>
          <w:b/>
          <w:u w:val="wave" w:color="C00000"/>
        </w:rPr>
        <w:t>理的中道</w:t>
      </w:r>
      <w:r w:rsidRPr="00DA3BC7">
        <w:rPr>
          <w:rFonts w:ascii="Times New Roman" w:hAnsi="Times New Roman" w:cs="Times Ext Roman" w:hint="eastAsia"/>
        </w:rPr>
        <w:t>，</w:t>
      </w:r>
      <w:r w:rsidR="00C77DD6" w:rsidRPr="00DA3BC7">
        <w:rPr>
          <w:rStyle w:val="a6"/>
          <w:rFonts w:ascii="Times New Roman" w:hAnsi="Times New Roman" w:cs="Times Ext Roman"/>
        </w:rPr>
        <w:footnoteReference w:id="85"/>
      </w:r>
      <w:r w:rsidRPr="00DA3BC7">
        <w:rPr>
          <w:rFonts w:ascii="Times New Roman" w:hAnsi="Times New Roman" w:cs="Times Ext Roman" w:hint="eastAsia"/>
        </w:rPr>
        <w:t>這僅是相對的區分而已。</w:t>
      </w:r>
    </w:p>
    <w:p w:rsidR="002E469B" w:rsidRPr="00DA3BC7" w:rsidRDefault="002E469B" w:rsidP="00891011">
      <w:pPr>
        <w:spacing w:before="30"/>
        <w:ind w:leftChars="50" w:left="120"/>
        <w:jc w:val="both"/>
        <w:rPr>
          <w:rFonts w:ascii="Times New Roman" w:hAnsi="Times New Roman" w:cs="Times Ext Roman"/>
        </w:rPr>
      </w:pPr>
      <w:r w:rsidRPr="00DA3BC7">
        <w:rPr>
          <w:rFonts w:ascii="Times New Roman" w:hAnsi="Times New Roman" w:cs="Times Ext Roman" w:hint="eastAsia"/>
        </w:rPr>
        <w:t>實則</w:t>
      </w:r>
      <w:r w:rsidRPr="00DA3BC7">
        <w:rPr>
          <w:rFonts w:ascii="Times New Roman" w:hAnsi="Times New Roman" w:cs="Times Ext Roman" w:hint="eastAsia"/>
          <w:b/>
        </w:rPr>
        <w:t>行的中道</w:t>
      </w:r>
      <w:r w:rsidRPr="00DA3BC7">
        <w:rPr>
          <w:rFonts w:ascii="Times New Roman" w:hAnsi="Times New Roman" w:cs="Times Ext Roman" w:hint="eastAsia"/>
        </w:rPr>
        <w:t>裡，以正見為先導，即包含有</w:t>
      </w:r>
      <w:r w:rsidRPr="00DA3BC7">
        <w:rPr>
          <w:rFonts w:ascii="Times New Roman" w:hAnsi="Times New Roman" w:cs="Times Ext Roman" w:hint="eastAsia"/>
          <w:b/>
        </w:rPr>
        <w:t>悟理的正見中道</w:t>
      </w:r>
      <w:r w:rsidRPr="00DA3BC7">
        <w:rPr>
          <w:rFonts w:ascii="Times New Roman" w:hAnsi="Times New Roman" w:cs="Times Ext Roman" w:hint="eastAsia"/>
        </w:rPr>
        <w:t>；唯有如此，才能不落苦樂兩邊的情本論。</w:t>
      </w:r>
    </w:p>
    <w:p w:rsidR="002E469B" w:rsidRPr="00DA3BC7" w:rsidRDefault="002E469B" w:rsidP="00AE3920">
      <w:pPr>
        <w:spacing w:beforeLines="20"/>
        <w:ind w:leftChars="50" w:left="120"/>
        <w:jc w:val="both"/>
        <w:rPr>
          <w:rFonts w:ascii="Times New Roman" w:hAnsi="Times New Roman" w:cs="Times Ext Roman"/>
        </w:rPr>
      </w:pPr>
      <w:r w:rsidRPr="00DA3BC7">
        <w:rPr>
          <w:rFonts w:ascii="Times New Roman" w:hAnsi="Times New Roman" w:cs="Times Ext Roman" w:hint="eastAsia"/>
        </w:rPr>
        <w:t>同時，</w:t>
      </w:r>
      <w:r w:rsidRPr="00DA3BC7">
        <w:rPr>
          <w:rFonts w:ascii="Times New Roman" w:hAnsi="Times New Roman" w:cs="Times Ext Roman" w:hint="eastAsia"/>
          <w:b/>
        </w:rPr>
        <w:t>悟理</w:t>
      </w:r>
      <w:r w:rsidRPr="00DA3BC7">
        <w:rPr>
          <w:rFonts w:ascii="Times New Roman" w:hAnsi="Times New Roman" w:cs="Times Ext Roman" w:hint="eastAsia"/>
        </w:rPr>
        <w:t>即是</w:t>
      </w:r>
      <w:r w:rsidRPr="00DA3BC7">
        <w:rPr>
          <w:rFonts w:ascii="Times New Roman" w:hAnsi="Times New Roman" w:cs="Times Ext Roman" w:hint="eastAsia"/>
          <w:b/>
        </w:rPr>
        <w:t>正行</w:t>
      </w:r>
      <w:r w:rsidRPr="00DA3BC7">
        <w:rPr>
          <w:rFonts w:ascii="Times New Roman" w:hAnsi="Times New Roman" w:cs="Times Ext Roman" w:hint="eastAsia"/>
        </w:rPr>
        <w:t>的項目；正見緣起，貫徹自利利他的一切正行，兩者是相依相待而不可缺的。</w:t>
      </w:r>
      <w:r w:rsidRPr="003F39AC">
        <w:rPr>
          <w:rFonts w:ascii="Times New Roman" w:hAnsi="Times New Roman" w:cs="Times Ext Roman" w:hint="eastAsia"/>
          <w:highlight w:val="yellow"/>
        </w:rPr>
        <w:t>依</w:t>
      </w:r>
      <w:r w:rsidRPr="00DA3BC7">
        <w:rPr>
          <w:rFonts w:ascii="Times New Roman" w:hAnsi="Times New Roman" w:cs="Times Ext Roman" w:hint="eastAsia"/>
        </w:rPr>
        <w:t>於正見緣起，能離斷常、有無等二邊的戲論，發為人生的實踐，自然是不落苦樂二邊的中道。</w:t>
      </w:r>
    </w:p>
    <w:p w:rsidR="002E469B" w:rsidRPr="00DA3BC7" w:rsidRDefault="003F39AC" w:rsidP="00AE3920">
      <w:pPr>
        <w:widowControl/>
        <w:spacing w:beforeLines="30"/>
        <w:jc w:val="both"/>
        <w:rPr>
          <w:rFonts w:ascii="Times New Roman" w:hAnsi="Times New Roman" w:cs="Times Ext Roman"/>
          <w:b/>
          <w:sz w:val="20"/>
          <w:bdr w:val="single" w:sz="4" w:space="0" w:color="auto"/>
        </w:rPr>
      </w:pPr>
      <w:r>
        <w:rPr>
          <w:rFonts w:ascii="Times New Roman" w:hAnsi="Times New Roman" w:cs="Times Ext Roman" w:hint="eastAsia"/>
          <w:b/>
          <w:color w:val="FF0000"/>
          <w:sz w:val="20"/>
          <w:highlight w:val="yellow"/>
          <w:bdr w:val="single" w:sz="4" w:space="0" w:color="auto"/>
        </w:rPr>
        <w:t>貳</w:t>
      </w:r>
      <w:r w:rsidR="002E469B" w:rsidRPr="00DA3BC7">
        <w:rPr>
          <w:rFonts w:ascii="Times New Roman" w:hAnsi="Times New Roman" w:cs="Times Ext Roman" w:hint="eastAsia"/>
          <w:b/>
          <w:sz w:val="20"/>
          <w:bdr w:val="single" w:sz="4" w:space="0" w:color="auto"/>
        </w:rPr>
        <w:t>、空相應緣起的中道</w:t>
      </w:r>
      <w:r w:rsidR="002E469B" w:rsidRPr="00DA3BC7">
        <w:rPr>
          <w:rFonts w:ascii="Times New Roman" w:hAnsi="Times Ext Roman" w:hint="eastAsia"/>
          <w:sz w:val="20"/>
          <w:szCs w:val="20"/>
        </w:rPr>
        <w:t>（</w:t>
      </w:r>
      <w:r w:rsidR="002E469B" w:rsidRPr="00DA3BC7">
        <w:rPr>
          <w:rFonts w:ascii="Times New Roman" w:hAnsi="Times New Roman"/>
          <w:sz w:val="20"/>
          <w:szCs w:val="20"/>
        </w:rPr>
        <w:t>p.9</w:t>
      </w:r>
      <w:r w:rsidR="002E469B" w:rsidRPr="00DA3BC7">
        <w:rPr>
          <w:rFonts w:ascii="Times New Roman" w:hAnsi="Times Ext Roman" w:hint="eastAsia"/>
          <w:sz w:val="20"/>
          <w:szCs w:val="20"/>
        </w:rPr>
        <w:t>）</w:t>
      </w:r>
    </w:p>
    <w:p w:rsidR="002E469B" w:rsidRPr="00DA3BC7" w:rsidRDefault="002E469B" w:rsidP="008E2BBC">
      <w:pPr>
        <w:jc w:val="both"/>
        <w:rPr>
          <w:rFonts w:ascii="Times New Roman" w:hAnsi="Times New Roman" w:cs="Times Ext Roman"/>
        </w:rPr>
      </w:pPr>
      <w:r w:rsidRPr="00DA3BC7">
        <w:rPr>
          <w:rFonts w:ascii="Times New Roman" w:hAnsi="Times New Roman" w:cs="Times Ext Roman" w:hint="eastAsia"/>
        </w:rPr>
        <w:t>還有，釋尊的開示緣起，緣起的所以是中道，即不能忽略緣起的空相應性，</w:t>
      </w:r>
      <w:r w:rsidRPr="00DA3BC7">
        <w:rPr>
          <w:rFonts w:ascii="Times New Roman" w:hAnsi="Times New Roman" w:cs="Times Ext Roman" w:hint="eastAsia"/>
        </w:rPr>
        <w:lastRenderedPageBreak/>
        <w:t>這在經中多有說到。如《雜阿含》（</w:t>
      </w:r>
      <w:r w:rsidRPr="00DA3BC7">
        <w:rPr>
          <w:rFonts w:ascii="Times New Roman" w:hAnsi="Times New Roman" w:cs="Times Ext Roman" w:hint="eastAsia"/>
        </w:rPr>
        <w:t>293</w:t>
      </w:r>
      <w:r w:rsidRPr="00DA3BC7">
        <w:rPr>
          <w:rFonts w:ascii="Times New Roman" w:hAnsi="Times New Roman" w:cs="Times Ext Roman" w:hint="eastAsia"/>
        </w:rPr>
        <w:t>經）說：「</w:t>
      </w:r>
      <w:r w:rsidRPr="00DA3BC7">
        <w:rPr>
          <w:rFonts w:ascii="標楷體" w:eastAsia="標楷體" w:hAnsi="標楷體" w:cs="Times Ext Roman" w:hint="eastAsia"/>
        </w:rPr>
        <w:t>為彼比丘說賢聖出世空相應緣起隨順法</w:t>
      </w:r>
      <w:r w:rsidRPr="00DA3BC7">
        <w:rPr>
          <w:rFonts w:ascii="Times New Roman" w:hAnsi="Times New Roman" w:cs="Times Ext Roman" w:hint="eastAsia"/>
        </w:rPr>
        <w:t>。」</w:t>
      </w:r>
      <w:r w:rsidRPr="00DA3BC7">
        <w:rPr>
          <w:rStyle w:val="a6"/>
          <w:rFonts w:ascii="Times New Roman" w:hAnsi="Times New Roman" w:cs="Times Ext Roman"/>
        </w:rPr>
        <w:footnoteReference w:id="86"/>
      </w:r>
    </w:p>
    <w:p w:rsidR="006A1BF7" w:rsidRPr="00DA3BC7" w:rsidRDefault="002E469B" w:rsidP="008E2BBC">
      <w:pPr>
        <w:jc w:val="both"/>
        <w:rPr>
          <w:rFonts w:ascii="Times New Roman" w:hAnsi="Times New Roman" w:cs="Times Ext Roman"/>
        </w:rPr>
        <w:sectPr w:rsidR="006A1BF7" w:rsidRPr="00DA3BC7" w:rsidSect="009914C0">
          <w:headerReference w:type="even" r:id="rId19"/>
          <w:headerReference w:type="default" r:id="rId20"/>
          <w:footnotePr>
            <w:numRestart w:val="eachSect"/>
          </w:footnotePr>
          <w:pgSz w:w="10773" w:h="14742" w:code="9"/>
          <w:pgMar w:top="1418" w:right="1418" w:bottom="1418" w:left="1418" w:header="851" w:footer="992" w:gutter="0"/>
          <w:cols w:space="425"/>
          <w:docGrid w:type="lines" w:linePitch="360"/>
        </w:sectPr>
      </w:pPr>
      <w:r w:rsidRPr="00DA3BC7">
        <w:rPr>
          <w:rFonts w:ascii="Times New Roman" w:hAnsi="Times New Roman" w:cs="Times Ext Roman" w:hint="eastAsia"/>
        </w:rPr>
        <w:lastRenderedPageBreak/>
        <w:t>緣起是與空相應的，空的獨到大用，即洗盡一切戲論執見。緣起與空相應，所以能即緣起而正見不落兩邊的中道。</w:t>
      </w:r>
    </w:p>
    <w:p w:rsidR="006A1BF7" w:rsidRPr="00DA3BC7" w:rsidRDefault="006A1BF7" w:rsidP="008E2BBC">
      <w:pPr>
        <w:pStyle w:val="1"/>
      </w:pPr>
      <w:bookmarkStart w:id="17" w:name="_Toc405287328"/>
      <w:bookmarkStart w:id="18" w:name="_Toc405287800"/>
      <w:bookmarkStart w:id="19" w:name="_Toc405499743"/>
      <w:r w:rsidRPr="00DA3BC7">
        <w:rPr>
          <w:rFonts w:hint="eastAsia"/>
        </w:rPr>
        <w:lastRenderedPageBreak/>
        <w:t>第一章、中道之內容及其意義</w:t>
      </w:r>
      <w:bookmarkEnd w:id="17"/>
      <w:bookmarkEnd w:id="18"/>
      <w:bookmarkEnd w:id="19"/>
    </w:p>
    <w:p w:rsidR="006A1BF7" w:rsidRPr="00DA3BC7" w:rsidRDefault="006A1BF7" w:rsidP="008E2BBC">
      <w:pPr>
        <w:pStyle w:val="2"/>
      </w:pPr>
      <w:bookmarkStart w:id="20" w:name="_Toc405499744"/>
      <w:r w:rsidRPr="00DA3BC7">
        <w:rPr>
          <w:rFonts w:hint="eastAsia"/>
        </w:rPr>
        <w:t>第二節、中道之意義</w:t>
      </w:r>
      <w:bookmarkEnd w:id="20"/>
    </w:p>
    <w:p w:rsidR="006A1BF7" w:rsidRPr="00DA3BC7" w:rsidRDefault="006A1BF7" w:rsidP="008E2BBC">
      <w:pPr>
        <w:jc w:val="center"/>
        <w:rPr>
          <w:rFonts w:ascii="Times New Roman" w:eastAsia="標楷體" w:hAnsi="Times New Roman"/>
        </w:rPr>
      </w:pPr>
      <w:r w:rsidRPr="00DA3BC7">
        <w:rPr>
          <w:rFonts w:ascii="Times New Roman" w:eastAsia="標楷體" w:hAnsi="Times New Roman"/>
        </w:rPr>
        <w:t>（</w:t>
      </w:r>
      <w:r w:rsidRPr="00DA3BC7">
        <w:rPr>
          <w:rFonts w:ascii="Times New Roman" w:eastAsia="標楷體" w:hAnsi="Times New Roman"/>
        </w:rPr>
        <w:t>pp.9-12</w:t>
      </w:r>
      <w:r w:rsidRPr="00DA3BC7">
        <w:rPr>
          <w:rFonts w:ascii="Times New Roman" w:eastAsia="標楷體" w:hAnsi="Times New Roman"/>
        </w:rPr>
        <w:t>）</w:t>
      </w:r>
    </w:p>
    <w:p w:rsidR="006A1BF7" w:rsidRPr="00DA3BC7" w:rsidRDefault="006A1BF7" w:rsidP="008E2BBC">
      <w:pPr>
        <w:pStyle w:val="Author"/>
      </w:pPr>
    </w:p>
    <w:p w:rsidR="006A1BF7" w:rsidRPr="00DA3BC7" w:rsidRDefault="006A1BF7" w:rsidP="00AE3920">
      <w:pPr>
        <w:spacing w:beforeLines="50"/>
        <w:jc w:val="both"/>
        <w:rPr>
          <w:rFonts w:ascii="Times New Roman" w:hAnsi="Times New Roman" w:cs="Times Ext Roman"/>
          <w:sz w:val="20"/>
          <w:bdr w:val="single" w:sz="4" w:space="0" w:color="auto"/>
        </w:rPr>
      </w:pPr>
      <w:r w:rsidRPr="00DA3BC7">
        <w:rPr>
          <w:rFonts w:ascii="Times New Roman" w:hAnsi="Times New Roman" w:cs="Times Ext Roman" w:hint="eastAsia"/>
          <w:b/>
          <w:sz w:val="20"/>
          <w:bdr w:val="single" w:sz="4" w:space="0" w:color="auto"/>
        </w:rPr>
        <w:t>壹</w:t>
      </w:r>
      <w:r w:rsidRPr="00DA3BC7">
        <w:rPr>
          <w:rFonts w:ascii="Times New Roman" w:hAnsi="Times New Roman" w:cs="Times Ext Roman"/>
          <w:b/>
          <w:sz w:val="20"/>
          <w:bdr w:val="single" w:sz="4" w:space="0" w:color="auto"/>
        </w:rPr>
        <w:t>、</w:t>
      </w:r>
      <w:r w:rsidRPr="00DA3BC7">
        <w:rPr>
          <w:rFonts w:ascii="Times New Roman" w:hAnsi="Times New Roman" w:cs="Times Ext Roman" w:hint="eastAsia"/>
          <w:b/>
          <w:sz w:val="20"/>
          <w:bdr w:val="single" w:sz="4" w:space="0" w:color="auto"/>
        </w:rPr>
        <w:t>「中道」之意義：中實與中正</w:t>
      </w:r>
      <w:r w:rsidRPr="00DA3BC7">
        <w:rPr>
          <w:rFonts w:ascii="Times New Roman" w:hAnsi="Times New Roman"/>
          <w:sz w:val="20"/>
          <w:szCs w:val="20"/>
        </w:rPr>
        <w:t>（</w:t>
      </w:r>
      <w:r w:rsidRPr="00DA3BC7">
        <w:rPr>
          <w:rFonts w:ascii="Times New Roman" w:hAnsi="Times New Roman"/>
          <w:sz w:val="20"/>
          <w:szCs w:val="20"/>
        </w:rPr>
        <w:t>pp.9-10</w:t>
      </w:r>
      <w:r w:rsidRPr="00DA3BC7">
        <w:rPr>
          <w:rFonts w:ascii="Times New Roman" w:hAnsi="Times New Roman"/>
          <w:sz w:val="20"/>
          <w:szCs w:val="20"/>
        </w:rPr>
        <w:t>）</w:t>
      </w:r>
    </w:p>
    <w:p w:rsidR="006A1BF7" w:rsidRPr="00DA3BC7" w:rsidRDefault="006A1BF7" w:rsidP="001E00A5">
      <w:pPr>
        <w:ind w:leftChars="50" w:left="120"/>
        <w:jc w:val="both"/>
        <w:rPr>
          <w:rFonts w:ascii="Times New Roman" w:hAnsi="Times New Roman" w:cs="Times Ext Roman"/>
          <w:b/>
          <w:sz w:val="20"/>
          <w:szCs w:val="20"/>
          <w:bdr w:val="single" w:sz="4" w:space="0" w:color="auto"/>
        </w:rPr>
      </w:pPr>
      <w:r w:rsidRPr="00DA3BC7">
        <w:rPr>
          <w:rFonts w:ascii="Times New Roman" w:hAnsi="Times New Roman" w:cs="Times Ext Roman" w:hint="eastAsia"/>
          <w:b/>
          <w:sz w:val="20"/>
          <w:szCs w:val="20"/>
          <w:bdr w:val="single" w:sz="4" w:space="0" w:color="auto"/>
        </w:rPr>
        <w:t>（壹）略</w:t>
      </w:r>
      <w:r w:rsidRPr="00B33BB9">
        <w:rPr>
          <w:rFonts w:ascii="Times New Roman" w:hAnsi="Times New Roman" w:cs="Times Ext Roman" w:hint="eastAsia"/>
          <w:b/>
          <w:sz w:val="20"/>
          <w:szCs w:val="20"/>
          <w:highlight w:val="yellow"/>
          <w:bdr w:val="single" w:sz="4" w:space="0" w:color="auto"/>
        </w:rPr>
        <w:t>標</w:t>
      </w:r>
      <w:r w:rsidRPr="00DA3BC7">
        <w:rPr>
          <w:rFonts w:ascii="Times New Roman" w:hAnsi="Times Ext Roman" w:hint="eastAsia"/>
          <w:sz w:val="20"/>
          <w:szCs w:val="20"/>
        </w:rPr>
        <w:t>（</w:t>
      </w:r>
      <w:r w:rsidRPr="00DA3BC7">
        <w:rPr>
          <w:rFonts w:ascii="Times New Roman" w:hAnsi="Times New Roman"/>
          <w:sz w:val="20"/>
          <w:szCs w:val="20"/>
        </w:rPr>
        <w:t>p.</w:t>
      </w:r>
      <w:r w:rsidRPr="00DA3BC7">
        <w:rPr>
          <w:rFonts w:ascii="Times New Roman" w:hAnsi="Times New Roman" w:hint="eastAsia"/>
          <w:sz w:val="20"/>
          <w:szCs w:val="20"/>
        </w:rPr>
        <w:t>9</w:t>
      </w:r>
      <w:r w:rsidRPr="00DA3BC7">
        <w:rPr>
          <w:rFonts w:ascii="Times New Roman" w:hAnsi="Times Ext Roman" w:hint="eastAsia"/>
          <w:sz w:val="20"/>
          <w:szCs w:val="20"/>
        </w:rPr>
        <w:t>）</w:t>
      </w:r>
    </w:p>
    <w:p w:rsidR="006A1BF7" w:rsidRPr="00DA3BC7" w:rsidRDefault="006A1BF7" w:rsidP="008E2BBC">
      <w:pPr>
        <w:ind w:leftChars="50" w:left="120"/>
        <w:jc w:val="both"/>
        <w:rPr>
          <w:rFonts w:ascii="Times New Roman" w:hAnsi="Times New Roman" w:cs="Times Ext Roman"/>
        </w:rPr>
      </w:pPr>
      <w:r w:rsidRPr="00DA3BC7">
        <w:rPr>
          <w:rFonts w:ascii="Times New Roman" w:hAnsi="Times New Roman" w:cs="Times Ext Roman" w:hint="eastAsia"/>
        </w:rPr>
        <w:t>中道，當然是不落二邊。但不落二邊──中道所含的意義，還應該解說。</w:t>
      </w:r>
    </w:p>
    <w:p w:rsidR="006A1BF7" w:rsidRPr="00DA3BC7" w:rsidRDefault="006A1BF7" w:rsidP="00AE3920">
      <w:pPr>
        <w:spacing w:beforeLines="30"/>
        <w:ind w:leftChars="50" w:left="120"/>
        <w:jc w:val="both"/>
        <w:rPr>
          <w:rFonts w:ascii="Times New Roman" w:hAnsi="Times New Roman" w:cs="Times Ext Roman"/>
          <w:b/>
          <w:sz w:val="20"/>
          <w:szCs w:val="20"/>
          <w:bdr w:val="single" w:sz="4" w:space="0" w:color="auto"/>
        </w:rPr>
      </w:pPr>
      <w:r w:rsidRPr="00DA3BC7">
        <w:rPr>
          <w:rFonts w:ascii="Times New Roman" w:hAnsi="Times New Roman" w:cs="Times Ext Roman" w:hint="eastAsia"/>
          <w:b/>
          <w:sz w:val="20"/>
          <w:szCs w:val="20"/>
          <w:bdr w:val="single" w:sz="4" w:space="0" w:color="auto"/>
        </w:rPr>
        <w:t>（貳）別釋</w:t>
      </w:r>
      <w:r w:rsidRPr="00DA3BC7">
        <w:rPr>
          <w:rFonts w:ascii="Times New Roman" w:hAnsi="Times Ext Roman" w:hint="eastAsia"/>
          <w:sz w:val="20"/>
          <w:szCs w:val="20"/>
        </w:rPr>
        <w:t>（</w:t>
      </w:r>
      <w:r w:rsidRPr="00DA3BC7">
        <w:rPr>
          <w:rFonts w:ascii="Times New Roman" w:hAnsi="Times New Roman"/>
          <w:sz w:val="20"/>
          <w:szCs w:val="20"/>
        </w:rPr>
        <w:t>p</w:t>
      </w:r>
      <w:r w:rsidRPr="00DA3BC7">
        <w:rPr>
          <w:rFonts w:ascii="Times New Roman" w:hAnsi="Times New Roman" w:hint="eastAsia"/>
          <w:sz w:val="20"/>
          <w:szCs w:val="20"/>
        </w:rPr>
        <w:t>p</w:t>
      </w:r>
      <w:r w:rsidRPr="00DA3BC7">
        <w:rPr>
          <w:rFonts w:ascii="Times New Roman" w:hAnsi="Times New Roman"/>
          <w:sz w:val="20"/>
          <w:szCs w:val="20"/>
        </w:rPr>
        <w:t>.</w:t>
      </w:r>
      <w:r w:rsidRPr="00DA3BC7">
        <w:rPr>
          <w:rFonts w:ascii="Times New Roman" w:hAnsi="Times New Roman" w:hint="eastAsia"/>
          <w:sz w:val="20"/>
          <w:szCs w:val="20"/>
        </w:rPr>
        <w:t>9-10</w:t>
      </w:r>
      <w:r w:rsidRPr="00DA3BC7">
        <w:rPr>
          <w:rFonts w:ascii="Times New Roman" w:hAnsi="Times Ext Roman" w:hint="eastAsia"/>
          <w:sz w:val="20"/>
          <w:szCs w:val="20"/>
        </w:rPr>
        <w:t>）</w:t>
      </w:r>
    </w:p>
    <w:p w:rsidR="00B33BB9" w:rsidRPr="00B33BB9" w:rsidRDefault="00B33BB9" w:rsidP="008E2BBC">
      <w:pPr>
        <w:ind w:leftChars="100" w:left="240"/>
        <w:jc w:val="both"/>
        <w:rPr>
          <w:rFonts w:ascii="Times New Roman" w:hAnsi="Times New Roman" w:cs="Times Ext Roman"/>
          <w:highlight w:val="yellow"/>
        </w:rPr>
      </w:pPr>
      <w:r w:rsidRPr="00B33BB9">
        <w:rPr>
          <w:rFonts w:ascii="Times New Roman" w:hAnsi="Times New Roman" w:cs="Times Ext Roman" w:hint="eastAsia"/>
          <w:highlight w:val="yellow"/>
        </w:rPr>
        <w:t>中的本義，可約為二種：</w:t>
      </w:r>
    </w:p>
    <w:p w:rsidR="006A1BF7" w:rsidRPr="00DA3BC7" w:rsidRDefault="006A1BF7" w:rsidP="008E2BBC">
      <w:pPr>
        <w:ind w:leftChars="100" w:left="240"/>
        <w:jc w:val="both"/>
        <w:rPr>
          <w:rFonts w:ascii="Times New Roman" w:hAnsi="Times New Roman" w:cs="Times Ext Roman"/>
          <w:sz w:val="20"/>
          <w:bdr w:val="single" w:sz="4" w:space="0" w:color="auto"/>
        </w:rPr>
      </w:pPr>
      <w:r w:rsidRPr="00DA3BC7">
        <w:rPr>
          <w:rFonts w:ascii="新細明體" w:hAnsi="新細明體" w:cs="Times Ext Roman" w:hint="eastAsia"/>
          <w:b/>
          <w:sz w:val="20"/>
          <w:bdr w:val="single" w:sz="4" w:space="0" w:color="auto"/>
        </w:rPr>
        <w:t>一、中實：</w:t>
      </w:r>
      <w:r w:rsidRPr="001E00A5">
        <w:rPr>
          <w:rFonts w:ascii="新細明體" w:hAnsi="新細明體" w:cs="Times Ext Roman" w:hint="eastAsia"/>
          <w:b/>
          <w:sz w:val="20"/>
          <w:highlight w:val="yellow"/>
          <w:bdr w:val="single" w:sz="4" w:space="0" w:color="auto"/>
        </w:rPr>
        <w:t>正</w:t>
      </w:r>
      <w:r w:rsidRPr="00DA3BC7">
        <w:rPr>
          <w:rFonts w:ascii="新細明體" w:hAnsi="新細明體" w:cs="Times Ext Roman" w:hint="eastAsia"/>
          <w:b/>
          <w:sz w:val="20"/>
          <w:bdr w:val="single" w:sz="4" w:space="0" w:color="auto"/>
        </w:rPr>
        <w:t>觀</w:t>
      </w:r>
      <w:r w:rsidR="001E00A5" w:rsidRPr="001E00A5">
        <w:rPr>
          <w:rFonts w:ascii="新細明體" w:hAnsi="新細明體" w:cs="Times Ext Roman" w:hint="eastAsia"/>
          <w:b/>
          <w:color w:val="FF0000"/>
          <w:sz w:val="20"/>
          <w:highlight w:val="yellow"/>
          <w:bdr w:val="single" w:sz="4" w:space="0" w:color="auto"/>
        </w:rPr>
        <w:t>法本相</w:t>
      </w:r>
      <w:r w:rsidRPr="00DA3BC7">
        <w:rPr>
          <w:rFonts w:ascii="Times New Roman" w:hAnsi="Times Ext Roman" w:hint="eastAsia"/>
          <w:sz w:val="20"/>
          <w:szCs w:val="20"/>
        </w:rPr>
        <w:t>（</w:t>
      </w:r>
      <w:r w:rsidRPr="00DA3BC7">
        <w:rPr>
          <w:rFonts w:ascii="Times New Roman" w:hAnsi="Times New Roman"/>
          <w:sz w:val="20"/>
          <w:szCs w:val="20"/>
        </w:rPr>
        <w:t>p</w:t>
      </w:r>
      <w:r w:rsidRPr="00DA3BC7">
        <w:rPr>
          <w:rFonts w:ascii="Times New Roman" w:hAnsi="Times New Roman" w:hint="eastAsia"/>
          <w:sz w:val="20"/>
          <w:szCs w:val="20"/>
        </w:rPr>
        <w:t>p</w:t>
      </w:r>
      <w:r w:rsidRPr="00DA3BC7">
        <w:rPr>
          <w:rFonts w:ascii="Times New Roman" w:hAnsi="Times New Roman"/>
          <w:sz w:val="20"/>
          <w:szCs w:val="20"/>
        </w:rPr>
        <w:t>.</w:t>
      </w:r>
      <w:r w:rsidRPr="00DA3BC7">
        <w:rPr>
          <w:rFonts w:ascii="Times New Roman" w:hAnsi="Times New Roman" w:hint="eastAsia"/>
          <w:sz w:val="20"/>
          <w:szCs w:val="20"/>
        </w:rPr>
        <w:t>9-10</w:t>
      </w:r>
      <w:r w:rsidRPr="00DA3BC7">
        <w:rPr>
          <w:rFonts w:ascii="Times New Roman" w:hAnsi="Times Ext Roman" w:hint="eastAsia"/>
          <w:sz w:val="20"/>
          <w:szCs w:val="20"/>
        </w:rPr>
        <w:t>）</w:t>
      </w:r>
    </w:p>
    <w:p w:rsidR="006A1BF7" w:rsidRPr="00DA3BC7" w:rsidRDefault="006A1BF7" w:rsidP="00003707">
      <w:pPr>
        <w:ind w:leftChars="100" w:left="1440" w:hangingChars="500" w:hanging="1200"/>
        <w:jc w:val="both"/>
        <w:rPr>
          <w:rFonts w:ascii="Times New Roman" w:hAnsi="Times New Roman" w:cs="Times Ext Roman"/>
        </w:rPr>
      </w:pPr>
      <w:r w:rsidRPr="00DA3BC7">
        <w:rPr>
          <w:rFonts w:ascii="Times New Roman" w:hAnsi="Times New Roman" w:cs="Times Ext Roman" w:hint="eastAsia"/>
        </w:rPr>
        <w:t>一、中實：中即如實，在正見的體悟實踐中，一切法的本相如何、應該如何，即還他如何。這是徹底的、究竟的，所以僧叡說「</w:t>
      </w:r>
      <w:r w:rsidRPr="00DA3BC7">
        <w:rPr>
          <w:rFonts w:ascii="標楷體" w:eastAsia="標楷體" w:hAnsi="標楷體" w:cs="Times Ext Roman" w:hint="eastAsia"/>
        </w:rPr>
        <w:t>以中為名者，照其實也</w:t>
      </w:r>
      <w:r w:rsidRPr="00DA3BC7">
        <w:rPr>
          <w:rFonts w:ascii="Times New Roman" w:hAnsi="Times New Roman" w:cs="Times Ext Roman" w:hint="eastAsia"/>
        </w:rPr>
        <w:t>」</w:t>
      </w:r>
      <w:r w:rsidRPr="00DA3BC7">
        <w:rPr>
          <w:rStyle w:val="a6"/>
          <w:rFonts w:ascii="Times New Roman" w:hAnsi="Times New Roman" w:cs="Times Ext Roman"/>
        </w:rPr>
        <w:footnoteReference w:id="87"/>
      </w:r>
      <w:r w:rsidRPr="00DA3BC7">
        <w:rPr>
          <w:rFonts w:ascii="Times New Roman" w:hAnsi="Times New Roman" w:cs="Times Ext Roman" w:hint="eastAsia"/>
        </w:rPr>
        <w:t>（</w:t>
      </w:r>
      <w:r w:rsidRPr="00DA3BC7">
        <w:rPr>
          <w:rFonts w:ascii="新細明體" w:hAnsi="新細明體" w:cs="Times Ext Roman" w:hint="eastAsia"/>
        </w:rPr>
        <w:t>《</w:t>
      </w:r>
      <w:r w:rsidRPr="00DA3BC7">
        <w:rPr>
          <w:rFonts w:ascii="Times New Roman" w:hAnsi="Times New Roman" w:cs="Times Ext Roman" w:hint="eastAsia"/>
        </w:rPr>
        <w:t>中論</w:t>
      </w:r>
      <w:r w:rsidRPr="00DA3BC7">
        <w:rPr>
          <w:rFonts w:ascii="新細明體" w:hAnsi="新細明體" w:cs="Times Ext Roman" w:hint="eastAsia"/>
        </w:rPr>
        <w:t>》</w:t>
      </w:r>
      <w:r w:rsidR="0082225E">
        <w:rPr>
          <w:rFonts w:ascii="新細明體" w:hAnsi="新細明體" w:cs="Times Ext Roman" w:hint="eastAsia"/>
        </w:rPr>
        <w:t>〈</w:t>
      </w:r>
      <w:r w:rsidR="0082225E" w:rsidRPr="00DA3BC7">
        <w:rPr>
          <w:rFonts w:ascii="Times New Roman" w:hAnsi="Times New Roman" w:cs="Times Ext Roman" w:hint="eastAsia"/>
        </w:rPr>
        <w:t>序</w:t>
      </w:r>
      <w:r w:rsidR="0082225E">
        <w:rPr>
          <w:rFonts w:ascii="Times New Roman" w:hAnsi="Times New Roman" w:cs="Times Ext Roman" w:hint="eastAsia"/>
        </w:rPr>
        <w:t>〉</w:t>
      </w:r>
      <w:r w:rsidRPr="00DA3BC7">
        <w:rPr>
          <w:rFonts w:ascii="新細明體" w:hAnsi="新細明體" w:cs="Times Ext Roman" w:hint="eastAsia"/>
        </w:rPr>
        <w:t>）。</w:t>
      </w:r>
    </w:p>
    <w:p w:rsidR="006A1BF7" w:rsidRPr="00DA3BC7" w:rsidRDefault="006A1BF7" w:rsidP="00AE3920">
      <w:pPr>
        <w:spacing w:beforeLines="30"/>
        <w:ind w:leftChars="100" w:left="240"/>
        <w:jc w:val="both"/>
        <w:rPr>
          <w:rFonts w:ascii="Times New Roman" w:hAnsi="Times New Roman" w:cs="Times Ext Roman"/>
          <w:sz w:val="20"/>
          <w:bdr w:val="single" w:sz="4" w:space="0" w:color="auto"/>
        </w:rPr>
      </w:pPr>
      <w:r w:rsidRPr="00DA3BC7">
        <w:rPr>
          <w:rFonts w:ascii="新細明體" w:hAnsi="新細明體" w:cs="Times Ext Roman" w:hint="eastAsia"/>
          <w:b/>
          <w:sz w:val="20"/>
          <w:bdr w:val="single" w:sz="4" w:space="0" w:color="auto"/>
        </w:rPr>
        <w:lastRenderedPageBreak/>
        <w:t>二、中正：不偏</w:t>
      </w:r>
      <w:r w:rsidR="001E00A5">
        <w:rPr>
          <w:rFonts w:ascii="新細明體" w:hAnsi="新細明體" w:cs="Times Ext Roman" w:hint="eastAsia"/>
          <w:b/>
          <w:color w:val="FF0000"/>
          <w:sz w:val="20"/>
          <w:highlight w:val="yellow"/>
          <w:bdr w:val="single" w:sz="4" w:space="0" w:color="auto"/>
        </w:rPr>
        <w:t>二邊義</w:t>
      </w:r>
      <w:r w:rsidRPr="00DA3BC7">
        <w:rPr>
          <w:rFonts w:ascii="Times New Roman" w:hAnsi="Times Ext Roman" w:hint="eastAsia"/>
          <w:sz w:val="20"/>
          <w:szCs w:val="20"/>
        </w:rPr>
        <w:t>（</w:t>
      </w:r>
      <w:r w:rsidRPr="00DA3BC7">
        <w:rPr>
          <w:rFonts w:ascii="Times New Roman" w:hAnsi="Times New Roman"/>
          <w:sz w:val="20"/>
          <w:szCs w:val="20"/>
        </w:rPr>
        <w:t>p.</w:t>
      </w:r>
      <w:r w:rsidRPr="00DA3BC7">
        <w:rPr>
          <w:rFonts w:ascii="Times New Roman" w:hAnsi="Times New Roman" w:hint="eastAsia"/>
          <w:sz w:val="20"/>
          <w:szCs w:val="20"/>
        </w:rPr>
        <w:t>10</w:t>
      </w:r>
      <w:r w:rsidRPr="00DA3BC7">
        <w:rPr>
          <w:rFonts w:ascii="Times New Roman" w:hAnsi="Times Ext Roman" w:hint="eastAsia"/>
          <w:sz w:val="20"/>
          <w:szCs w:val="20"/>
        </w:rPr>
        <w:t>）</w:t>
      </w:r>
    </w:p>
    <w:p w:rsidR="006A1BF7" w:rsidRPr="00DA3BC7" w:rsidRDefault="006A1BF7" w:rsidP="00003707">
      <w:pPr>
        <w:ind w:leftChars="100" w:left="1368" w:hangingChars="470" w:hanging="1128"/>
        <w:jc w:val="both"/>
        <w:rPr>
          <w:rFonts w:ascii="Times New Roman" w:hAnsi="Times New Roman" w:cs="Times Ext Roman"/>
        </w:rPr>
      </w:pPr>
      <w:r w:rsidRPr="00DA3BC7">
        <w:rPr>
          <w:rFonts w:ascii="Times New Roman" w:hAnsi="Times New Roman" w:cs="Times Ext Roman" w:hint="eastAsia"/>
        </w:rPr>
        <w:t>二、中正：中即圓正；不偏這邊，也不偏於那邊，恰得其中。如佛說中道，依緣起法而顯示。</w:t>
      </w:r>
    </w:p>
    <w:p w:rsidR="006A1BF7" w:rsidRPr="00DA3BC7" w:rsidRDefault="006A1BF7" w:rsidP="00AE3920">
      <w:pPr>
        <w:widowControl/>
        <w:spacing w:beforeLines="20"/>
        <w:ind w:leftChars="100" w:left="240"/>
        <w:jc w:val="both"/>
        <w:rPr>
          <w:rFonts w:ascii="Times New Roman" w:hAnsi="Times New Roman" w:cs="Times Ext Roman"/>
        </w:rPr>
      </w:pPr>
      <w:r w:rsidRPr="00DA3BC7">
        <w:rPr>
          <w:rFonts w:ascii="Times New Roman" w:hAnsi="Times New Roman" w:cs="Times Ext Roman" w:hint="eastAsia"/>
        </w:rPr>
        <w:t>這緣起法，是事事物物內在的根本法則。在無量無邊極其複雜的現象中，把握這普遍而必然的法則，</w:t>
      </w:r>
      <w:r w:rsidRPr="00DA3BC7">
        <w:rPr>
          <w:rStyle w:val="a6"/>
          <w:rFonts w:ascii="Times New Roman" w:hAnsi="Times New Roman" w:cs="Times Ext Roman"/>
        </w:rPr>
        <w:footnoteReference w:id="88"/>
      </w:r>
      <w:r w:rsidRPr="00DA3BC7">
        <w:rPr>
          <w:rFonts w:ascii="Times New Roman" w:hAnsi="Times New Roman" w:cs="Times Ext Roman" w:hint="eastAsia"/>
        </w:rPr>
        <w:t>才能正確、恰當的開示人生的真理及人生的正行。中即是正，所以肇公稱《中觀論》為《正觀論》，</w:t>
      </w:r>
      <w:r w:rsidRPr="00DA3BC7">
        <w:rPr>
          <w:rStyle w:val="a6"/>
          <w:rFonts w:ascii="Times New Roman" w:hAnsi="Times New Roman" w:cs="Times Ext Roman"/>
        </w:rPr>
        <w:footnoteReference w:id="89"/>
      </w:r>
      <w:r w:rsidRPr="00DA3BC7">
        <w:rPr>
          <w:rFonts w:ascii="Times New Roman" w:hAnsi="Times New Roman" w:cs="Times Ext Roman" w:hint="eastAsia"/>
        </w:rPr>
        <w:t>中道即是八正道。</w:t>
      </w:r>
    </w:p>
    <w:p w:rsidR="006A1BF7" w:rsidRPr="00DA3BC7" w:rsidRDefault="006A1BF7" w:rsidP="00AE3920">
      <w:pPr>
        <w:spacing w:beforeLines="30"/>
        <w:ind w:leftChars="50" w:left="120"/>
        <w:jc w:val="both"/>
        <w:rPr>
          <w:rFonts w:ascii="Times New Roman" w:hAnsi="Times New Roman" w:cs="Times Ext Roman"/>
          <w:sz w:val="20"/>
          <w:szCs w:val="20"/>
        </w:rPr>
      </w:pPr>
      <w:r w:rsidRPr="00DA3BC7">
        <w:rPr>
          <w:rFonts w:ascii="Times New Roman" w:hAnsi="Times New Roman" w:cs="Times Ext Roman" w:hint="eastAsia"/>
          <w:b/>
          <w:sz w:val="20"/>
          <w:szCs w:val="20"/>
          <w:bdr w:val="single" w:sz="4" w:space="0" w:color="auto"/>
        </w:rPr>
        <w:t>（</w:t>
      </w:r>
      <w:r w:rsidR="00FC5046" w:rsidRPr="00DA3BC7">
        <w:rPr>
          <w:rFonts w:ascii="Times New Roman" w:hAnsi="Times New Roman" w:cs="Times Ext Roman" w:hint="eastAsia"/>
          <w:b/>
          <w:sz w:val="20"/>
          <w:szCs w:val="20"/>
          <w:bdr w:val="single" w:sz="4" w:space="0" w:color="auto"/>
        </w:rPr>
        <w:t>參</w:t>
      </w:r>
      <w:r w:rsidRPr="00DA3BC7">
        <w:rPr>
          <w:rFonts w:ascii="Times New Roman" w:hAnsi="Times New Roman" w:cs="Times Ext Roman" w:hint="eastAsia"/>
          <w:b/>
          <w:sz w:val="20"/>
          <w:szCs w:val="20"/>
          <w:bdr w:val="single" w:sz="4" w:space="0" w:color="auto"/>
        </w:rPr>
        <w:t>）</w:t>
      </w:r>
      <w:r w:rsidR="00B33BB9" w:rsidRPr="00EF1F1C">
        <w:rPr>
          <w:rFonts w:ascii="Times New Roman" w:hAnsi="Times New Roman" w:cs="Times Ext Roman" w:hint="eastAsia"/>
          <w:b/>
          <w:color w:val="FF0000"/>
          <w:sz w:val="20"/>
          <w:szCs w:val="20"/>
          <w:highlight w:val="yellow"/>
          <w:bdr w:val="single" w:sz="4" w:space="0" w:color="auto"/>
        </w:rPr>
        <w:t>結</w:t>
      </w:r>
      <w:r w:rsidRPr="00EF1F1C">
        <w:rPr>
          <w:rFonts w:ascii="Times New Roman" w:hAnsi="Times New Roman" w:cs="Times Ext Roman" w:hint="eastAsia"/>
          <w:b/>
          <w:color w:val="FF0000"/>
          <w:sz w:val="20"/>
          <w:szCs w:val="20"/>
          <w:highlight w:val="yellow"/>
          <w:bdr w:val="single" w:sz="4" w:space="0" w:color="auto"/>
        </w:rPr>
        <w:t>成</w:t>
      </w:r>
      <w:r w:rsidRPr="00DA3BC7">
        <w:rPr>
          <w:rFonts w:ascii="Times New Roman" w:hAnsi="Times Ext Roman" w:hint="eastAsia"/>
          <w:sz w:val="20"/>
          <w:szCs w:val="20"/>
        </w:rPr>
        <w:t>（</w:t>
      </w:r>
      <w:r w:rsidRPr="00DA3BC7">
        <w:rPr>
          <w:rFonts w:ascii="Times New Roman" w:hAnsi="Times New Roman"/>
          <w:sz w:val="20"/>
          <w:szCs w:val="20"/>
        </w:rPr>
        <w:t>p.</w:t>
      </w:r>
      <w:r w:rsidRPr="00DA3BC7">
        <w:rPr>
          <w:rFonts w:ascii="Times New Roman" w:hAnsi="Times New Roman" w:hint="eastAsia"/>
          <w:sz w:val="20"/>
          <w:szCs w:val="20"/>
        </w:rPr>
        <w:t>10</w:t>
      </w:r>
      <w:r w:rsidRPr="00DA3BC7">
        <w:rPr>
          <w:rFonts w:ascii="Times New Roman" w:hAnsi="Times Ext Roman" w:hint="eastAsia"/>
          <w:sz w:val="20"/>
          <w:szCs w:val="20"/>
        </w:rPr>
        <w:t>）</w:t>
      </w:r>
    </w:p>
    <w:p w:rsidR="006A1BF7" w:rsidRPr="00DA3BC7" w:rsidRDefault="006A1BF7" w:rsidP="008E2BBC">
      <w:pPr>
        <w:ind w:leftChars="50" w:left="120"/>
        <w:jc w:val="both"/>
        <w:rPr>
          <w:rFonts w:ascii="Times New Roman" w:hAnsi="Times New Roman" w:cs="Times Ext Roman"/>
        </w:rPr>
      </w:pPr>
      <w:r w:rsidRPr="00DA3BC7">
        <w:rPr>
          <w:rFonts w:ascii="Times New Roman" w:hAnsi="Times New Roman" w:cs="Times Ext Roman" w:hint="eastAsia"/>
        </w:rPr>
        <w:t>此中實與中正，是相依相成的：中實，所以是中正的；中正，所以是中實的，這可總以「恰到好處」去形容它。</w:t>
      </w:r>
    </w:p>
    <w:p w:rsidR="006A1BF7" w:rsidRPr="00DA3BC7" w:rsidRDefault="006A1BF7" w:rsidP="00AE3920">
      <w:pPr>
        <w:spacing w:beforeLines="30"/>
        <w:jc w:val="both"/>
        <w:rPr>
          <w:rFonts w:ascii="Times New Roman" w:hAnsi="Times New Roman" w:cs="Times Ext Roman"/>
          <w:sz w:val="20"/>
          <w:szCs w:val="20"/>
          <w:bdr w:val="single" w:sz="4" w:space="0" w:color="auto"/>
        </w:rPr>
      </w:pPr>
      <w:r w:rsidRPr="00DA3BC7">
        <w:rPr>
          <w:rFonts w:ascii="Times New Roman" w:hAnsi="Times New Roman" w:cs="Times Ext Roman" w:hint="eastAsia"/>
          <w:b/>
          <w:sz w:val="20"/>
          <w:szCs w:val="20"/>
          <w:bdr w:val="single" w:sz="4" w:space="0" w:color="auto"/>
        </w:rPr>
        <w:t>貳、龍樹菩薩所闡揚的中道</w:t>
      </w:r>
      <w:r w:rsidRPr="00DA3BC7">
        <w:rPr>
          <w:rStyle w:val="a6"/>
          <w:rFonts w:ascii="Times New Roman" w:hAnsi="Times New Roman" w:cs="Times Ext Roman"/>
        </w:rPr>
        <w:footnoteReference w:id="90"/>
      </w:r>
      <w:r w:rsidRPr="00DA3BC7">
        <w:rPr>
          <w:rFonts w:ascii="Times New Roman" w:hAnsi="Times Ext Roman" w:hint="eastAsia"/>
          <w:sz w:val="20"/>
          <w:szCs w:val="20"/>
        </w:rPr>
        <w:t>（</w:t>
      </w:r>
      <w:r w:rsidRPr="00DA3BC7">
        <w:rPr>
          <w:rFonts w:ascii="Times New Roman" w:hAnsi="Times New Roman"/>
          <w:sz w:val="20"/>
          <w:szCs w:val="20"/>
        </w:rPr>
        <w:t>pp.</w:t>
      </w:r>
      <w:r w:rsidRPr="00DA3BC7">
        <w:rPr>
          <w:rFonts w:ascii="Times New Roman" w:hAnsi="Times New Roman" w:hint="eastAsia"/>
          <w:sz w:val="20"/>
          <w:szCs w:val="20"/>
        </w:rPr>
        <w:t>10</w:t>
      </w:r>
      <w:r w:rsidRPr="00DA3BC7">
        <w:rPr>
          <w:rFonts w:ascii="Times New Roman" w:hAnsi="Times New Roman"/>
          <w:sz w:val="20"/>
          <w:szCs w:val="20"/>
        </w:rPr>
        <w:t>-</w:t>
      </w:r>
      <w:r w:rsidRPr="00DA3BC7">
        <w:rPr>
          <w:rFonts w:ascii="Times New Roman" w:hAnsi="Times New Roman" w:hint="eastAsia"/>
          <w:sz w:val="20"/>
          <w:szCs w:val="20"/>
        </w:rPr>
        <w:t>12</w:t>
      </w:r>
      <w:r w:rsidRPr="00DA3BC7">
        <w:rPr>
          <w:rFonts w:ascii="Times New Roman" w:hAnsi="Times Ext Roman" w:hint="eastAsia"/>
          <w:sz w:val="20"/>
          <w:szCs w:val="20"/>
        </w:rPr>
        <w:t>）</w:t>
      </w:r>
    </w:p>
    <w:p w:rsidR="006A1BF7" w:rsidRPr="00DA3BC7" w:rsidRDefault="006A1BF7" w:rsidP="008E2BBC">
      <w:pPr>
        <w:tabs>
          <w:tab w:val="left" w:pos="1820"/>
        </w:tabs>
        <w:ind w:leftChars="50" w:left="120"/>
        <w:jc w:val="both"/>
        <w:rPr>
          <w:rFonts w:ascii="Times New Roman" w:hAnsi="Times New Roman" w:cs="Times Ext Roman"/>
          <w:b/>
          <w:sz w:val="20"/>
          <w:szCs w:val="20"/>
          <w:bdr w:val="single" w:sz="4" w:space="0" w:color="auto"/>
        </w:rPr>
      </w:pPr>
      <w:r w:rsidRPr="00DA3BC7">
        <w:rPr>
          <w:rFonts w:ascii="Times New Roman" w:hAnsi="Times New Roman" w:cs="Times Ext Roman" w:hint="eastAsia"/>
          <w:b/>
          <w:sz w:val="20"/>
          <w:szCs w:val="20"/>
          <w:bdr w:val="single" w:sz="4" w:space="0" w:color="auto"/>
        </w:rPr>
        <w:t>（壹）略</w:t>
      </w:r>
      <w:r w:rsidRPr="001E00A5">
        <w:rPr>
          <w:rFonts w:ascii="Times New Roman" w:hAnsi="Times New Roman" w:cs="Times Ext Roman" w:hint="eastAsia"/>
          <w:b/>
          <w:sz w:val="20"/>
          <w:szCs w:val="20"/>
          <w:highlight w:val="yellow"/>
          <w:bdr w:val="single" w:sz="4" w:space="0" w:color="auto"/>
        </w:rPr>
        <w:t>標</w:t>
      </w:r>
      <w:r w:rsidRPr="00DA3BC7">
        <w:rPr>
          <w:rFonts w:ascii="Times New Roman" w:hAnsi="Times Ext Roman" w:hint="eastAsia"/>
          <w:sz w:val="20"/>
          <w:szCs w:val="20"/>
        </w:rPr>
        <w:t>（</w:t>
      </w:r>
      <w:r w:rsidRPr="00DA3BC7">
        <w:rPr>
          <w:rFonts w:ascii="Times New Roman" w:hAnsi="Times New Roman"/>
          <w:sz w:val="20"/>
          <w:szCs w:val="20"/>
        </w:rPr>
        <w:t>p.</w:t>
      </w:r>
      <w:r w:rsidRPr="00DA3BC7">
        <w:rPr>
          <w:rFonts w:ascii="Times New Roman" w:hAnsi="Times New Roman" w:hint="eastAsia"/>
          <w:sz w:val="20"/>
          <w:szCs w:val="20"/>
        </w:rPr>
        <w:t>10</w:t>
      </w:r>
      <w:r w:rsidRPr="00DA3BC7">
        <w:rPr>
          <w:rFonts w:ascii="Times New Roman" w:hAnsi="Times Ext Roman" w:hint="eastAsia"/>
          <w:sz w:val="20"/>
          <w:szCs w:val="20"/>
        </w:rPr>
        <w:t>）</w:t>
      </w:r>
    </w:p>
    <w:p w:rsidR="006A1BF7" w:rsidRPr="00DA3BC7" w:rsidRDefault="006A1BF7" w:rsidP="008E2BBC">
      <w:pPr>
        <w:ind w:leftChars="50" w:left="120"/>
        <w:jc w:val="both"/>
        <w:rPr>
          <w:rFonts w:ascii="Times New Roman" w:hAnsi="Times New Roman" w:cs="Times Ext Roman"/>
        </w:rPr>
      </w:pPr>
      <w:r w:rsidRPr="00DA3BC7">
        <w:rPr>
          <w:rFonts w:ascii="Times New Roman" w:hAnsi="Times New Roman" w:cs="Times Ext Roman" w:hint="eastAsia"/>
        </w:rPr>
        <w:t>龍樹發揚緣起、空、中道的深義，以「中」為宗而造論。他嚴格地把握那修道中心的立場，對於中道的解說，也不出於中實與中正。</w:t>
      </w:r>
    </w:p>
    <w:p w:rsidR="006A1BF7" w:rsidRPr="00DA3BC7" w:rsidRDefault="006A1BF7" w:rsidP="00AE3920">
      <w:pPr>
        <w:spacing w:beforeLines="30"/>
        <w:ind w:leftChars="50" w:left="120"/>
        <w:jc w:val="both"/>
        <w:rPr>
          <w:rFonts w:ascii="Times New Roman" w:hAnsi="Times New Roman" w:cs="Times Ext Roman"/>
          <w:sz w:val="20"/>
          <w:szCs w:val="20"/>
          <w:bdr w:val="single" w:sz="4" w:space="0" w:color="auto"/>
        </w:rPr>
      </w:pPr>
      <w:r w:rsidRPr="00DA3BC7">
        <w:rPr>
          <w:rFonts w:ascii="Times New Roman" w:hAnsi="Times New Roman" w:cs="Times Ext Roman" w:hint="eastAsia"/>
          <w:b/>
          <w:sz w:val="20"/>
          <w:szCs w:val="20"/>
          <w:bdr w:val="single" w:sz="4" w:space="0" w:color="auto"/>
        </w:rPr>
        <w:t>（貳）</w:t>
      </w:r>
      <w:r w:rsidR="001E00A5">
        <w:rPr>
          <w:rFonts w:ascii="Times New Roman" w:hAnsi="Times New Roman" w:cs="Times Ext Roman" w:hint="eastAsia"/>
          <w:b/>
          <w:color w:val="FF0000"/>
          <w:sz w:val="20"/>
          <w:szCs w:val="20"/>
          <w:highlight w:val="yellow"/>
          <w:bdr w:val="single" w:sz="4" w:space="0" w:color="auto"/>
        </w:rPr>
        <w:t>詳辨</w:t>
      </w:r>
      <w:r w:rsidRPr="00DA3BC7">
        <w:rPr>
          <w:rFonts w:ascii="Times New Roman" w:hAnsi="Times Ext Roman" w:hint="eastAsia"/>
          <w:sz w:val="20"/>
          <w:szCs w:val="20"/>
        </w:rPr>
        <w:t>（</w:t>
      </w:r>
      <w:r w:rsidRPr="00DA3BC7">
        <w:rPr>
          <w:rFonts w:ascii="Times New Roman" w:hAnsi="Times New Roman"/>
          <w:sz w:val="20"/>
          <w:szCs w:val="20"/>
        </w:rPr>
        <w:t>pp.</w:t>
      </w:r>
      <w:r w:rsidRPr="00DA3BC7">
        <w:rPr>
          <w:rFonts w:ascii="Times New Roman" w:hAnsi="Times New Roman" w:hint="eastAsia"/>
          <w:sz w:val="20"/>
          <w:szCs w:val="20"/>
        </w:rPr>
        <w:t>10</w:t>
      </w:r>
      <w:r w:rsidRPr="00DA3BC7">
        <w:rPr>
          <w:rFonts w:ascii="Times New Roman" w:hAnsi="Times New Roman"/>
          <w:sz w:val="20"/>
          <w:szCs w:val="20"/>
        </w:rPr>
        <w:t>-</w:t>
      </w:r>
      <w:r w:rsidRPr="00DA3BC7">
        <w:rPr>
          <w:rFonts w:ascii="Times New Roman" w:hAnsi="Times New Roman" w:hint="eastAsia"/>
          <w:sz w:val="20"/>
          <w:szCs w:val="20"/>
        </w:rPr>
        <w:t>12</w:t>
      </w:r>
      <w:r w:rsidRPr="00DA3BC7">
        <w:rPr>
          <w:rFonts w:ascii="Times New Roman" w:hAnsi="Times Ext Roman" w:hint="eastAsia"/>
          <w:sz w:val="20"/>
          <w:szCs w:val="20"/>
        </w:rPr>
        <w:t>）</w:t>
      </w:r>
    </w:p>
    <w:p w:rsidR="006A1BF7" w:rsidRPr="00DA3BC7" w:rsidRDefault="006A1BF7" w:rsidP="008E2BBC">
      <w:pPr>
        <w:ind w:leftChars="100" w:left="240"/>
        <w:jc w:val="both"/>
        <w:rPr>
          <w:rFonts w:ascii="Times New Roman" w:hAnsi="Times New Roman" w:cs="Times Ext Roman"/>
          <w:sz w:val="20"/>
          <w:szCs w:val="20"/>
        </w:rPr>
      </w:pPr>
      <w:r w:rsidRPr="00DA3BC7">
        <w:rPr>
          <w:rFonts w:ascii="Times New Roman" w:hAnsi="Times New Roman" w:hint="eastAsia"/>
          <w:b/>
          <w:sz w:val="20"/>
          <w:szCs w:val="20"/>
          <w:bdr w:val="single" w:sz="4" w:space="0" w:color="auto"/>
        </w:rPr>
        <w:t>一、</w:t>
      </w:r>
      <w:r w:rsidRPr="00DA3BC7">
        <w:rPr>
          <w:rFonts w:ascii="Times New Roman" w:hAnsi="Times New Roman" w:cs="Times Ext Roman" w:hint="eastAsia"/>
          <w:b/>
          <w:sz w:val="20"/>
          <w:szCs w:val="20"/>
          <w:bdr w:val="single" w:sz="4" w:space="0" w:color="auto"/>
        </w:rPr>
        <w:t>中實：</w:t>
      </w:r>
      <w:r w:rsidR="00EF1F1C" w:rsidRPr="00EF1F1C">
        <w:rPr>
          <w:rFonts w:ascii="Times New Roman" w:hAnsi="Times New Roman" w:cs="Times Ext Roman" w:hint="eastAsia"/>
          <w:b/>
          <w:color w:val="FF0000"/>
          <w:sz w:val="20"/>
          <w:szCs w:val="20"/>
          <w:highlight w:val="yellow"/>
          <w:bdr w:val="single" w:sz="4" w:space="0" w:color="auto"/>
        </w:rPr>
        <w:t>正觀</w:t>
      </w:r>
      <w:r w:rsidR="00EF1F1C">
        <w:rPr>
          <w:rFonts w:ascii="Times New Roman" w:hAnsi="Times New Roman" w:cs="Times Ext Roman" w:hint="eastAsia"/>
          <w:b/>
          <w:color w:val="FF0000"/>
          <w:sz w:val="20"/>
          <w:szCs w:val="20"/>
          <w:highlight w:val="yellow"/>
          <w:bdr w:val="single" w:sz="4" w:space="0" w:color="auto"/>
        </w:rPr>
        <w:t>而</w:t>
      </w:r>
      <w:r w:rsidR="00EF1F1C" w:rsidRPr="00EF1F1C">
        <w:rPr>
          <w:rFonts w:ascii="Times New Roman" w:hAnsi="Times New Roman" w:cs="Times Ext Roman" w:hint="eastAsia"/>
          <w:b/>
          <w:color w:val="FF0000"/>
          <w:sz w:val="20"/>
          <w:szCs w:val="20"/>
          <w:highlight w:val="yellow"/>
          <w:bdr w:val="single" w:sz="4" w:space="0" w:color="auto"/>
        </w:rPr>
        <w:t>寂滅</w:t>
      </w:r>
      <w:r w:rsidRPr="00DA3BC7">
        <w:rPr>
          <w:rFonts w:ascii="Times New Roman" w:hAnsi="Times Ext Roman" w:hint="eastAsia"/>
          <w:sz w:val="20"/>
          <w:szCs w:val="20"/>
        </w:rPr>
        <w:t>（</w:t>
      </w:r>
      <w:r w:rsidRPr="00DA3BC7">
        <w:rPr>
          <w:rFonts w:ascii="Times New Roman" w:hAnsi="Times New Roman"/>
          <w:sz w:val="20"/>
          <w:szCs w:val="20"/>
        </w:rPr>
        <w:t>p.</w:t>
      </w:r>
      <w:r w:rsidRPr="00DA3BC7">
        <w:rPr>
          <w:rFonts w:ascii="Times New Roman" w:hAnsi="Times New Roman" w:hint="eastAsia"/>
          <w:sz w:val="20"/>
          <w:szCs w:val="20"/>
        </w:rPr>
        <w:t>10</w:t>
      </w:r>
      <w:r w:rsidRPr="00DA3BC7">
        <w:rPr>
          <w:rFonts w:ascii="Times New Roman" w:hAnsi="Times Ext Roman" w:hint="eastAsia"/>
          <w:sz w:val="20"/>
          <w:szCs w:val="20"/>
        </w:rPr>
        <w:t>）</w:t>
      </w:r>
    </w:p>
    <w:p w:rsidR="006A1BF7" w:rsidRPr="00DA3BC7" w:rsidRDefault="006A1BF7" w:rsidP="008E2BBC">
      <w:pPr>
        <w:ind w:leftChars="150" w:left="360"/>
        <w:jc w:val="both"/>
        <w:rPr>
          <w:rFonts w:ascii="新細明體" w:hAnsi="新細明體" w:cs="Times Ext Roman"/>
          <w:b/>
          <w:sz w:val="20"/>
          <w:szCs w:val="20"/>
          <w:bdr w:val="single" w:sz="4" w:space="0" w:color="auto"/>
        </w:rPr>
      </w:pPr>
      <w:r w:rsidRPr="00DA3BC7">
        <w:rPr>
          <w:rFonts w:ascii="Times New Roman" w:hAnsi="Times New Roman"/>
          <w:b/>
          <w:sz w:val="20"/>
          <w:szCs w:val="20"/>
          <w:bdr w:val="single" w:sz="4" w:space="0" w:color="auto"/>
        </w:rPr>
        <w:t>（一）</w:t>
      </w:r>
      <w:r w:rsidRPr="00DA3BC7">
        <w:rPr>
          <w:rFonts w:ascii="新細明體" w:hAnsi="新細明體" w:cs="Times Ext Roman" w:hint="eastAsia"/>
          <w:b/>
          <w:sz w:val="20"/>
          <w:szCs w:val="20"/>
          <w:bdr w:val="single" w:sz="4" w:space="0" w:color="auto"/>
        </w:rPr>
        <w:t>總</w:t>
      </w:r>
      <w:r w:rsidRPr="00EF1F1C">
        <w:rPr>
          <w:rFonts w:ascii="新細明體" w:hAnsi="新細明體" w:cs="Times Ext Roman" w:hint="eastAsia"/>
          <w:b/>
          <w:sz w:val="20"/>
          <w:szCs w:val="20"/>
          <w:highlight w:val="yellow"/>
          <w:bdr w:val="single" w:sz="4" w:space="0" w:color="auto"/>
        </w:rPr>
        <w:t>標</w:t>
      </w:r>
      <w:r w:rsidR="00FA6C4B" w:rsidRPr="00DA3BC7">
        <w:rPr>
          <w:rFonts w:ascii="Times New Roman" w:hAnsi="Times Ext Roman" w:hint="eastAsia"/>
          <w:sz w:val="20"/>
          <w:szCs w:val="20"/>
        </w:rPr>
        <w:t>（</w:t>
      </w:r>
      <w:r w:rsidR="00FA6C4B" w:rsidRPr="00DA3BC7">
        <w:rPr>
          <w:rFonts w:ascii="Times New Roman" w:hAnsi="Times New Roman"/>
          <w:sz w:val="20"/>
          <w:szCs w:val="20"/>
        </w:rPr>
        <w:t>p.</w:t>
      </w:r>
      <w:r w:rsidR="00FA6C4B" w:rsidRPr="00DA3BC7">
        <w:rPr>
          <w:rFonts w:ascii="Times New Roman" w:hAnsi="Times New Roman" w:hint="eastAsia"/>
          <w:sz w:val="20"/>
          <w:szCs w:val="20"/>
        </w:rPr>
        <w:t>10</w:t>
      </w:r>
      <w:r w:rsidR="00FA6C4B" w:rsidRPr="00DA3BC7">
        <w:rPr>
          <w:rFonts w:ascii="Times New Roman" w:hAnsi="Times Ext Roman" w:hint="eastAsia"/>
          <w:sz w:val="20"/>
          <w:szCs w:val="20"/>
        </w:rPr>
        <w:t>）</w:t>
      </w:r>
    </w:p>
    <w:p w:rsidR="006A1BF7" w:rsidRPr="00DA3BC7" w:rsidRDefault="006A1BF7" w:rsidP="008E2BBC">
      <w:pPr>
        <w:ind w:leftChars="150" w:left="360"/>
        <w:jc w:val="both"/>
        <w:rPr>
          <w:rFonts w:ascii="Times New Roman" w:hAnsi="Times New Roman" w:cs="Times Ext Roman"/>
        </w:rPr>
      </w:pPr>
      <w:r w:rsidRPr="00DA3BC7">
        <w:rPr>
          <w:rFonts w:ascii="Times New Roman" w:hAnsi="Times New Roman" w:cs="Times Ext Roman" w:hint="eastAsia"/>
        </w:rPr>
        <w:t>中實，本以正觀緣起性而遠離戲論的寂滅為主。這中實的寂滅，從實踐的意義去說，即是</w:t>
      </w:r>
      <w:r w:rsidRPr="00DA3BC7">
        <w:rPr>
          <w:rFonts w:ascii="Times New Roman" w:hAnsi="Times New Roman" w:cs="Times Ext Roman" w:hint="eastAsia"/>
          <w:b/>
        </w:rPr>
        <w:t>不著於名相，不落於對待</w:t>
      </w:r>
      <w:r w:rsidRPr="00DA3BC7">
        <w:rPr>
          <w:rFonts w:ascii="Times New Roman" w:hAnsi="Times New Roman" w:cs="Times Ext Roman" w:hint="eastAsia"/>
        </w:rPr>
        <w:t>。</w:t>
      </w:r>
    </w:p>
    <w:p w:rsidR="006A1BF7" w:rsidRPr="00DA3BC7" w:rsidRDefault="006A1BF7" w:rsidP="00AE3920">
      <w:pPr>
        <w:spacing w:beforeLines="30"/>
        <w:ind w:leftChars="150" w:left="360"/>
        <w:jc w:val="both"/>
        <w:rPr>
          <w:rFonts w:ascii="Times New Roman" w:hAnsi="Times New Roman"/>
          <w:b/>
          <w:sz w:val="20"/>
          <w:szCs w:val="20"/>
        </w:rPr>
      </w:pPr>
      <w:r w:rsidRPr="00DA3BC7">
        <w:rPr>
          <w:rFonts w:ascii="Times New Roman" w:hAnsi="Times New Roman"/>
          <w:b/>
          <w:sz w:val="20"/>
          <w:szCs w:val="20"/>
          <w:bdr w:val="single" w:sz="4" w:space="0" w:color="auto"/>
        </w:rPr>
        <w:t>（二）</w:t>
      </w:r>
      <w:r w:rsidRPr="00DA3BC7">
        <w:rPr>
          <w:rFonts w:ascii="Times New Roman" w:hAnsi="Times New Roman" w:hint="eastAsia"/>
          <w:b/>
          <w:sz w:val="20"/>
          <w:szCs w:val="20"/>
          <w:bdr w:val="single" w:sz="4" w:space="0" w:color="auto"/>
        </w:rPr>
        <w:t>別釋</w:t>
      </w:r>
      <w:r w:rsidRPr="00DA3BC7">
        <w:rPr>
          <w:rFonts w:ascii="Times New Roman" w:hAnsi="Times Ext Roman" w:hint="eastAsia"/>
          <w:sz w:val="20"/>
          <w:szCs w:val="20"/>
        </w:rPr>
        <w:t>（</w:t>
      </w:r>
      <w:r w:rsidRPr="00DA3BC7">
        <w:rPr>
          <w:rFonts w:ascii="Times New Roman" w:hAnsi="Times New Roman"/>
          <w:sz w:val="20"/>
          <w:szCs w:val="20"/>
        </w:rPr>
        <w:t>pp.</w:t>
      </w:r>
      <w:r w:rsidRPr="00DA3BC7">
        <w:rPr>
          <w:rFonts w:ascii="Times New Roman" w:hAnsi="Times New Roman" w:hint="eastAsia"/>
          <w:sz w:val="20"/>
          <w:szCs w:val="20"/>
        </w:rPr>
        <w:t>10</w:t>
      </w:r>
      <w:r w:rsidRPr="00DA3BC7">
        <w:rPr>
          <w:rFonts w:ascii="Times New Roman" w:hAnsi="Times New Roman"/>
          <w:sz w:val="20"/>
          <w:szCs w:val="20"/>
        </w:rPr>
        <w:t>-</w:t>
      </w:r>
      <w:r w:rsidRPr="00DA3BC7">
        <w:rPr>
          <w:rFonts w:ascii="Times New Roman" w:hAnsi="Times New Roman" w:hint="eastAsia"/>
          <w:sz w:val="20"/>
          <w:szCs w:val="20"/>
        </w:rPr>
        <w:t>12</w:t>
      </w:r>
      <w:r w:rsidRPr="00DA3BC7">
        <w:rPr>
          <w:rFonts w:ascii="Times New Roman" w:hAnsi="Times Ext Roman" w:hint="eastAsia"/>
          <w:sz w:val="20"/>
          <w:szCs w:val="20"/>
        </w:rPr>
        <w:t>）</w:t>
      </w:r>
    </w:p>
    <w:p w:rsidR="006A1BF7" w:rsidRPr="00DA3BC7" w:rsidRDefault="006A1BF7" w:rsidP="008E2BBC">
      <w:pPr>
        <w:ind w:leftChars="200" w:left="480"/>
        <w:jc w:val="both"/>
        <w:rPr>
          <w:rFonts w:ascii="Times New Roman" w:hAnsi="Times New Roman"/>
          <w:sz w:val="20"/>
          <w:szCs w:val="20"/>
        </w:rPr>
      </w:pPr>
      <w:r w:rsidRPr="00DA3BC7">
        <w:rPr>
          <w:rFonts w:ascii="Times New Roman" w:hAnsi="Times New Roman"/>
          <w:b/>
          <w:sz w:val="20"/>
          <w:szCs w:val="20"/>
          <w:bdr w:val="single" w:sz="4" w:space="0" w:color="auto"/>
        </w:rPr>
        <w:lastRenderedPageBreak/>
        <w:t>1</w:t>
      </w:r>
      <w:r w:rsidRPr="00DA3BC7">
        <w:rPr>
          <w:rFonts w:ascii="Times New Roman" w:hAnsi="Times New Roman"/>
          <w:b/>
          <w:sz w:val="20"/>
          <w:szCs w:val="20"/>
          <w:bdr w:val="single" w:sz="4" w:space="0" w:color="auto"/>
        </w:rPr>
        <w:t>、不取著名相</w:t>
      </w:r>
      <w:r w:rsidRPr="00DA3BC7">
        <w:rPr>
          <w:rFonts w:ascii="Times New Roman" w:hAnsi="Times New Roman"/>
          <w:sz w:val="20"/>
          <w:szCs w:val="20"/>
        </w:rPr>
        <w:t>（</w:t>
      </w:r>
      <w:r w:rsidR="00FA6C4B" w:rsidRPr="00DA3BC7">
        <w:rPr>
          <w:rFonts w:ascii="Times New Roman" w:hAnsi="Times New Roman"/>
          <w:sz w:val="20"/>
          <w:szCs w:val="20"/>
        </w:rPr>
        <w:t>p</w:t>
      </w:r>
      <w:r w:rsidRPr="00DA3BC7">
        <w:rPr>
          <w:rFonts w:ascii="Times New Roman" w:hAnsi="Times New Roman"/>
          <w:sz w:val="20"/>
          <w:szCs w:val="20"/>
        </w:rPr>
        <w:t>p.10</w:t>
      </w:r>
      <w:r w:rsidR="00FA6C4B" w:rsidRPr="00DA3BC7">
        <w:rPr>
          <w:rFonts w:ascii="Times New Roman" w:hAnsi="Times New Roman"/>
          <w:sz w:val="20"/>
          <w:szCs w:val="20"/>
        </w:rPr>
        <w:t>-11</w:t>
      </w:r>
      <w:r w:rsidRPr="00DA3BC7">
        <w:rPr>
          <w:rFonts w:ascii="Times New Roman" w:hAnsi="Times New Roman"/>
          <w:sz w:val="20"/>
          <w:szCs w:val="20"/>
        </w:rPr>
        <w:t>）</w:t>
      </w:r>
    </w:p>
    <w:p w:rsidR="00003707" w:rsidRDefault="006A1BF7" w:rsidP="008E2BBC">
      <w:pPr>
        <w:ind w:leftChars="200" w:left="480"/>
        <w:jc w:val="both"/>
        <w:rPr>
          <w:rFonts w:ascii="Times New Roman" w:hAnsi="Times New Roman" w:cs="Times Ext Roman"/>
        </w:rPr>
      </w:pPr>
      <w:r w:rsidRPr="00DA3BC7">
        <w:rPr>
          <w:rFonts w:ascii="Times New Roman" w:hAnsi="Times New Roman" w:cs="Times Ext Roman" w:hint="eastAsia"/>
        </w:rPr>
        <w:t>一、不取著名相：</w:t>
      </w:r>
    </w:p>
    <w:p w:rsidR="006A1BF7" w:rsidRPr="00DA3BC7" w:rsidRDefault="006A1BF7" w:rsidP="00003707">
      <w:pPr>
        <w:ind w:leftChars="400" w:left="960"/>
        <w:jc w:val="both"/>
        <w:rPr>
          <w:rFonts w:ascii="Times New Roman" w:hAnsi="Times New Roman" w:cs="Times Ext Roman"/>
        </w:rPr>
      </w:pPr>
      <w:r w:rsidRPr="00DA3BC7">
        <w:rPr>
          <w:rFonts w:ascii="Times New Roman" w:hAnsi="Times New Roman" w:cs="Times Ext Roman" w:hint="eastAsia"/>
        </w:rPr>
        <w:t>這如《大智度論》卷</w:t>
      </w:r>
      <w:r w:rsidRPr="00DA3BC7">
        <w:rPr>
          <w:rFonts w:ascii="Times New Roman" w:hAnsi="Times New Roman" w:cs="Times Ext Roman" w:hint="eastAsia"/>
        </w:rPr>
        <w:t>6</w:t>
      </w:r>
      <w:r w:rsidRPr="00DA3BC7">
        <w:rPr>
          <w:rFonts w:ascii="Times New Roman" w:hAnsi="Times New Roman" w:cs="Times Ext Roman" w:hint="eastAsia"/>
        </w:rPr>
        <w:t>說：「</w:t>
      </w:r>
      <w:r w:rsidRPr="00DA3BC7">
        <w:rPr>
          <w:rFonts w:ascii="標楷體" w:eastAsia="標楷體" w:hAnsi="標楷體" w:cs="Times Ext Roman" w:hint="eastAsia"/>
        </w:rPr>
        <w:t>非有亦非無，亦復非有無，此語亦不受，如是名中道</w:t>
      </w:r>
      <w:r w:rsidRPr="00DA3BC7">
        <w:rPr>
          <w:rFonts w:ascii="Times New Roman" w:hAnsi="Times New Roman" w:cs="Times Ext Roman" w:hint="eastAsia"/>
        </w:rPr>
        <w:t>。」</w:t>
      </w:r>
      <w:r w:rsidRPr="00DA3BC7">
        <w:rPr>
          <w:rStyle w:val="a6"/>
          <w:rFonts w:ascii="Times New Roman" w:hAnsi="Times New Roman" w:cs="Times Ext Roman"/>
        </w:rPr>
        <w:footnoteReference w:id="91"/>
      </w:r>
    </w:p>
    <w:p w:rsidR="006A1BF7" w:rsidRPr="00DA3BC7" w:rsidRDefault="006A1BF7" w:rsidP="00AE3920">
      <w:pPr>
        <w:spacing w:beforeLines="20"/>
        <w:ind w:leftChars="400" w:left="960"/>
        <w:jc w:val="both"/>
        <w:rPr>
          <w:rFonts w:ascii="Times New Roman" w:hAnsi="Times New Roman" w:cs="Times Ext Roman"/>
        </w:rPr>
      </w:pPr>
      <w:r w:rsidRPr="00DA3BC7">
        <w:rPr>
          <w:rFonts w:ascii="Times New Roman" w:hAnsi="Times New Roman" w:cs="Times Ext Roman" w:hint="eastAsia"/>
        </w:rPr>
        <w:t>中道，不但是非有非無，更進一步的說「</w:t>
      </w:r>
      <w:r w:rsidRPr="00DA3BC7">
        <w:rPr>
          <w:rFonts w:ascii="標楷體" w:eastAsia="標楷體" w:hAnsi="標楷體" w:cs="Times Ext Roman" w:hint="eastAsia"/>
        </w:rPr>
        <w:t>此語亦不受</w:t>
      </w:r>
      <w:r w:rsidRPr="00DA3BC7">
        <w:rPr>
          <w:rFonts w:ascii="Times New Roman" w:hAnsi="Times New Roman" w:cs="Times Ext Roman" w:hint="eastAsia"/>
        </w:rPr>
        <w:t>」。</w:t>
      </w:r>
      <w:r w:rsidR="00C77DD6" w:rsidRPr="00C77DD6">
        <w:rPr>
          <w:rFonts w:ascii="Times New Roman" w:hAnsi="Times New Roman" w:cs="Times Ext Roman" w:hint="eastAsia"/>
          <w:u w:val="wave" w:color="C00000"/>
        </w:rPr>
        <w:t>受</w:t>
      </w:r>
      <w:r w:rsidRPr="00DA3BC7">
        <w:rPr>
          <w:rFonts w:ascii="Times New Roman" w:hAnsi="Times New Roman" w:cs="Times Ext Roman" w:hint="eastAsia"/>
        </w:rPr>
        <w:t>，即新譯的</w:t>
      </w:r>
      <w:r w:rsidRPr="00C77DD6">
        <w:rPr>
          <w:rFonts w:ascii="Times New Roman" w:hAnsi="Times New Roman" w:cs="Times Ext Roman" w:hint="eastAsia"/>
          <w:u w:val="wave" w:color="C00000"/>
        </w:rPr>
        <w:t>取</w:t>
      </w:r>
      <w:r w:rsidRPr="00DA3BC7">
        <w:rPr>
          <w:rFonts w:ascii="Times New Roman" w:hAnsi="Times New Roman" w:cs="Times Ext Roman" w:hint="eastAsia"/>
        </w:rPr>
        <w:t>。凡稱之為有、為無、為非有非無，都不過名言的概念。</w:t>
      </w:r>
    </w:p>
    <w:p w:rsidR="006A1BF7" w:rsidRPr="00DA3BC7" w:rsidRDefault="006A1BF7" w:rsidP="00AE3920">
      <w:pPr>
        <w:spacing w:beforeLines="20"/>
        <w:ind w:leftChars="400" w:left="960"/>
        <w:jc w:val="both"/>
        <w:rPr>
          <w:rFonts w:ascii="Times New Roman" w:hAnsi="Times New Roman" w:cs="Times Ext Roman"/>
        </w:rPr>
      </w:pPr>
      <w:r w:rsidRPr="00DA3BC7">
        <w:rPr>
          <w:rFonts w:ascii="Times New Roman" w:hAnsi="Times New Roman" w:cs="Times Ext Roman" w:hint="eastAsia"/>
        </w:rPr>
        <w:t>非有非無，本表示觀心的不落有無戲論，如以為是非有非無，這不能恰合中實的本意。所以必須即此「非非」的名相，也不再取著。</w:t>
      </w:r>
    </w:p>
    <w:p w:rsidR="006A1BF7" w:rsidRPr="00DA3BC7" w:rsidRDefault="006A1BF7" w:rsidP="00AE3920">
      <w:pPr>
        <w:spacing w:beforeLines="30"/>
        <w:ind w:leftChars="200" w:left="480"/>
        <w:jc w:val="both"/>
        <w:rPr>
          <w:rFonts w:ascii="Times New Roman" w:hAnsi="Times New Roman" w:cs="Times Ext Roman"/>
          <w:sz w:val="20"/>
          <w:szCs w:val="20"/>
          <w:bdr w:val="single" w:sz="4" w:space="0" w:color="auto"/>
        </w:rPr>
      </w:pPr>
      <w:r w:rsidRPr="00DA3BC7">
        <w:rPr>
          <w:rFonts w:ascii="Times New Roman" w:hAnsi="Times New Roman" w:cs="Times Ext Roman" w:hint="eastAsia"/>
          <w:b/>
          <w:sz w:val="20"/>
          <w:szCs w:val="20"/>
          <w:bdr w:val="single" w:sz="4" w:space="0" w:color="auto"/>
        </w:rPr>
        <w:t>2</w:t>
      </w:r>
      <w:r w:rsidRPr="00DA3BC7">
        <w:rPr>
          <w:rFonts w:ascii="Times New Roman" w:hAnsi="Times New Roman" w:cs="Times Ext Roman" w:hint="eastAsia"/>
          <w:b/>
          <w:sz w:val="20"/>
          <w:szCs w:val="20"/>
          <w:bdr w:val="single" w:sz="4" w:space="0" w:color="auto"/>
        </w:rPr>
        <w:t>、不落於對待</w:t>
      </w:r>
      <w:r w:rsidRPr="00DA3BC7">
        <w:rPr>
          <w:rFonts w:ascii="Times New Roman" w:hAnsi="Times Ext Roman" w:hint="eastAsia"/>
          <w:sz w:val="20"/>
          <w:szCs w:val="20"/>
        </w:rPr>
        <w:t>（</w:t>
      </w:r>
      <w:r w:rsidRPr="00DA3BC7">
        <w:rPr>
          <w:rFonts w:ascii="Times New Roman" w:hAnsi="Times New Roman"/>
          <w:sz w:val="20"/>
          <w:szCs w:val="20"/>
        </w:rPr>
        <w:t>p.</w:t>
      </w:r>
      <w:r w:rsidRPr="00DA3BC7">
        <w:rPr>
          <w:rFonts w:ascii="Times New Roman" w:hAnsi="Times New Roman" w:hint="eastAsia"/>
          <w:sz w:val="20"/>
          <w:szCs w:val="20"/>
        </w:rPr>
        <w:t>11</w:t>
      </w:r>
      <w:r w:rsidRPr="00DA3BC7">
        <w:rPr>
          <w:rFonts w:ascii="Times New Roman" w:hAnsi="Times Ext Roman" w:hint="eastAsia"/>
          <w:sz w:val="20"/>
          <w:szCs w:val="20"/>
        </w:rPr>
        <w:t>）</w:t>
      </w:r>
    </w:p>
    <w:p w:rsidR="00003707" w:rsidRDefault="006A1BF7" w:rsidP="008E2BBC">
      <w:pPr>
        <w:ind w:leftChars="200" w:left="480"/>
        <w:jc w:val="both"/>
        <w:rPr>
          <w:rFonts w:ascii="Times New Roman" w:hAnsi="Times New Roman" w:cs="Times Ext Roman"/>
        </w:rPr>
      </w:pPr>
      <w:r w:rsidRPr="00DA3BC7">
        <w:rPr>
          <w:rFonts w:ascii="Times New Roman" w:hAnsi="Times New Roman" w:cs="Times Ext Roman" w:hint="eastAsia"/>
        </w:rPr>
        <w:t>二、不落於對待：</w:t>
      </w:r>
    </w:p>
    <w:p w:rsidR="006A1BF7" w:rsidRPr="00DA3BC7" w:rsidRDefault="006A1BF7" w:rsidP="00003707">
      <w:pPr>
        <w:ind w:leftChars="400" w:left="960"/>
        <w:jc w:val="both"/>
        <w:rPr>
          <w:rFonts w:ascii="Times New Roman" w:hAnsi="Times New Roman" w:cs="Times Ext Roman"/>
        </w:rPr>
      </w:pPr>
      <w:r w:rsidRPr="00DA3BC7">
        <w:rPr>
          <w:rFonts w:ascii="Times New Roman" w:hAnsi="Times New Roman" w:cs="Times Ext Roman" w:hint="eastAsia"/>
        </w:rPr>
        <w:t>我們所認識的、所言說的，都是相對的。凡是相對的，即不契於如實絕待的中道。如《大智度論》卷</w:t>
      </w:r>
      <w:r w:rsidRPr="00DA3BC7">
        <w:rPr>
          <w:rFonts w:ascii="Times New Roman" w:hAnsi="Times New Roman" w:cs="Times Ext Roman" w:hint="eastAsia"/>
        </w:rPr>
        <w:t>43</w:t>
      </w:r>
      <w:r w:rsidRPr="00DA3BC7">
        <w:rPr>
          <w:rFonts w:ascii="Times New Roman" w:hAnsi="Times New Roman" w:cs="Times Ext Roman" w:hint="eastAsia"/>
        </w:rPr>
        <w:t>說到種種的二邊，都結論說：「</w:t>
      </w:r>
      <w:r w:rsidRPr="00DA3BC7">
        <w:rPr>
          <w:rFonts w:ascii="標楷體" w:eastAsia="標楷體" w:hAnsi="標楷體" w:cs="Times Ext Roman" w:hint="eastAsia"/>
        </w:rPr>
        <w:t>離是二邊行中道，是名般若</w:t>
      </w:r>
      <w:r w:rsidRPr="00DA3BC7">
        <w:rPr>
          <w:rFonts w:ascii="Times New Roman" w:hAnsi="Times New Roman" w:cs="Times Ext Roman" w:hint="eastAsia"/>
        </w:rPr>
        <w:t>。」</w:t>
      </w:r>
    </w:p>
    <w:p w:rsidR="006A1BF7" w:rsidRPr="00DA3BC7" w:rsidRDefault="006A1BF7" w:rsidP="00AE3920">
      <w:pPr>
        <w:spacing w:beforeLines="20"/>
        <w:ind w:leftChars="400" w:left="960"/>
        <w:jc w:val="both"/>
        <w:rPr>
          <w:rFonts w:ascii="Times New Roman" w:hAnsi="Times New Roman" w:cs="Times Ext Roman"/>
        </w:rPr>
      </w:pPr>
      <w:r w:rsidRPr="00DA3BC7">
        <w:rPr>
          <w:rFonts w:ascii="Times New Roman" w:hAnsi="Times New Roman" w:cs="Times Ext Roman" w:hint="eastAsia"/>
        </w:rPr>
        <w:t>這裏所說的種種二邊，如常無常、見無見等，都是二邊；進而至於</w:t>
      </w:r>
      <w:r w:rsidRPr="00DA3BC7">
        <w:rPr>
          <w:rFonts w:ascii="Times New Roman" w:hAnsi="Times New Roman" w:cs="Times Ext Roman" w:hint="eastAsia"/>
          <w:b/>
        </w:rPr>
        <w:t>能行能證的人</w:t>
      </w:r>
      <w:r w:rsidRPr="00DA3BC7">
        <w:rPr>
          <w:rFonts w:ascii="Times New Roman" w:hAnsi="Times New Roman" w:cs="Times Ext Roman" w:hint="eastAsia"/>
        </w:rPr>
        <w:t>──菩薩、佛是一邊，</w:t>
      </w:r>
      <w:r w:rsidRPr="00DA3BC7">
        <w:rPr>
          <w:rFonts w:ascii="Times New Roman" w:hAnsi="Times New Roman" w:cs="Times Ext Roman" w:hint="eastAsia"/>
          <w:b/>
        </w:rPr>
        <w:t>所行、所證的法</w:t>
      </w:r>
      <w:r w:rsidRPr="00DA3BC7">
        <w:rPr>
          <w:rFonts w:ascii="Times New Roman" w:hAnsi="Times New Roman" w:cs="Times Ext Roman" w:hint="eastAsia"/>
        </w:rPr>
        <w:t>──六度、大菩提是一邊；甚至般若是一邊，非般若是一邊，要離此二邊行中道。</w:t>
      </w:r>
      <w:r w:rsidR="00B33BB9" w:rsidRPr="00B33BB9">
        <w:rPr>
          <w:rStyle w:val="a6"/>
          <w:rFonts w:ascii="Times New Roman" w:hAnsi="Times New Roman" w:cs="Times Ext Roman"/>
          <w:highlight w:val="yellow"/>
        </w:rPr>
        <w:footnoteReference w:id="92"/>
      </w:r>
    </w:p>
    <w:p w:rsidR="006A1BF7" w:rsidRPr="00DA3BC7" w:rsidRDefault="006A1BF7" w:rsidP="00AE3920">
      <w:pPr>
        <w:spacing w:beforeLines="20"/>
        <w:ind w:leftChars="400" w:left="960"/>
        <w:jc w:val="both"/>
        <w:rPr>
          <w:rFonts w:ascii="Times New Roman" w:hAnsi="Times New Roman" w:cs="Times Ext Roman"/>
        </w:rPr>
      </w:pPr>
      <w:r w:rsidRPr="00DA3BC7">
        <w:rPr>
          <w:rFonts w:ascii="Times New Roman" w:hAnsi="Times New Roman" w:cs="Times Ext Roman" w:hint="eastAsia"/>
        </w:rPr>
        <w:t>這不落對待的中道，即入不二法門，是順於勝義，依觀心的體悟說。</w:t>
      </w:r>
    </w:p>
    <w:p w:rsidR="006A1BF7" w:rsidRPr="00DA3BC7" w:rsidRDefault="006A1BF7" w:rsidP="00AE3920">
      <w:pPr>
        <w:spacing w:beforeLines="30"/>
        <w:ind w:leftChars="100" w:left="240"/>
        <w:jc w:val="both"/>
        <w:rPr>
          <w:rFonts w:ascii="Times New Roman" w:hAnsi="Times New Roman" w:cs="Times Ext Roman"/>
          <w:sz w:val="20"/>
          <w:szCs w:val="20"/>
          <w:bdr w:val="single" w:sz="4" w:space="0" w:color="auto"/>
        </w:rPr>
      </w:pPr>
      <w:r w:rsidRPr="00DA3BC7">
        <w:rPr>
          <w:rFonts w:ascii="Times New Roman" w:hAnsi="Times New Roman" w:cs="Times Ext Roman" w:hint="eastAsia"/>
          <w:b/>
          <w:sz w:val="20"/>
          <w:szCs w:val="20"/>
          <w:bdr w:val="single" w:sz="4" w:space="0" w:color="auto"/>
        </w:rPr>
        <w:lastRenderedPageBreak/>
        <w:t>二、中正：綜貫「性相」及「空有」</w:t>
      </w:r>
      <w:r w:rsidRPr="00DA3BC7">
        <w:rPr>
          <w:rFonts w:ascii="Times New Roman" w:hAnsi="Times Ext Roman" w:hint="eastAsia"/>
          <w:sz w:val="20"/>
          <w:szCs w:val="20"/>
        </w:rPr>
        <w:t>（</w:t>
      </w:r>
      <w:r w:rsidRPr="00DA3BC7">
        <w:rPr>
          <w:rFonts w:ascii="Times New Roman" w:hAnsi="Times New Roman"/>
          <w:sz w:val="20"/>
          <w:szCs w:val="20"/>
        </w:rPr>
        <w:t>pp.</w:t>
      </w:r>
      <w:r w:rsidRPr="00DA3BC7">
        <w:rPr>
          <w:rFonts w:ascii="Times New Roman" w:hAnsi="Times New Roman" w:hint="eastAsia"/>
          <w:sz w:val="20"/>
          <w:szCs w:val="20"/>
        </w:rPr>
        <w:t>11</w:t>
      </w:r>
      <w:r w:rsidRPr="00DA3BC7">
        <w:rPr>
          <w:rFonts w:ascii="Times New Roman" w:hAnsi="Times New Roman"/>
          <w:sz w:val="20"/>
          <w:szCs w:val="20"/>
        </w:rPr>
        <w:t>-</w:t>
      </w:r>
      <w:r w:rsidRPr="00DA3BC7">
        <w:rPr>
          <w:rFonts w:ascii="Times New Roman" w:hAnsi="Times New Roman" w:hint="eastAsia"/>
          <w:sz w:val="20"/>
          <w:szCs w:val="20"/>
        </w:rPr>
        <w:t>12</w:t>
      </w:r>
      <w:r w:rsidRPr="00DA3BC7">
        <w:rPr>
          <w:rFonts w:ascii="Times New Roman" w:hAnsi="Times Ext Roman" w:hint="eastAsia"/>
          <w:sz w:val="20"/>
          <w:szCs w:val="20"/>
        </w:rPr>
        <w:t>）</w:t>
      </w:r>
    </w:p>
    <w:p w:rsidR="006A1BF7" w:rsidRPr="00DA3BC7" w:rsidRDefault="006A1BF7" w:rsidP="008E2BBC">
      <w:pPr>
        <w:ind w:leftChars="150" w:left="360"/>
        <w:jc w:val="both"/>
        <w:rPr>
          <w:rFonts w:ascii="Times New Roman" w:hAnsi="Times New Roman" w:cs="Times Ext Roman"/>
          <w:b/>
          <w:sz w:val="20"/>
          <w:szCs w:val="20"/>
          <w:bdr w:val="single" w:sz="4" w:space="0" w:color="auto"/>
        </w:rPr>
      </w:pPr>
      <w:r w:rsidRPr="00DA3BC7">
        <w:rPr>
          <w:rFonts w:ascii="Times New Roman" w:hAnsi="Times New Roman" w:cs="Times Ext Roman" w:hint="eastAsia"/>
          <w:b/>
          <w:sz w:val="20"/>
          <w:szCs w:val="20"/>
          <w:bdr w:val="single" w:sz="4" w:space="0" w:color="auto"/>
        </w:rPr>
        <w:t>（一）</w:t>
      </w:r>
      <w:r w:rsidR="009B709F">
        <w:rPr>
          <w:rFonts w:ascii="新細明體" w:hAnsi="新細明體" w:cs="Times Ext Roman" w:hint="eastAsia"/>
          <w:b/>
          <w:color w:val="FF0000"/>
          <w:sz w:val="20"/>
          <w:szCs w:val="20"/>
          <w:highlight w:val="yellow"/>
          <w:bdr w:val="single" w:sz="4" w:space="0" w:color="auto"/>
        </w:rPr>
        <w:t>略敘</w:t>
      </w:r>
      <w:r w:rsidRPr="00DA3BC7">
        <w:rPr>
          <w:rFonts w:ascii="Times New Roman" w:hAnsi="Times Ext Roman" w:hint="eastAsia"/>
          <w:sz w:val="20"/>
          <w:szCs w:val="20"/>
        </w:rPr>
        <w:t>（</w:t>
      </w:r>
      <w:r w:rsidRPr="00DA3BC7">
        <w:rPr>
          <w:rFonts w:ascii="Times New Roman" w:hAnsi="Times New Roman"/>
          <w:sz w:val="20"/>
          <w:szCs w:val="20"/>
        </w:rPr>
        <w:t>p.</w:t>
      </w:r>
      <w:r w:rsidRPr="00DA3BC7">
        <w:rPr>
          <w:rFonts w:ascii="Times New Roman" w:hAnsi="Times New Roman" w:hint="eastAsia"/>
          <w:sz w:val="20"/>
          <w:szCs w:val="20"/>
        </w:rPr>
        <w:t>11</w:t>
      </w:r>
      <w:r w:rsidRPr="00DA3BC7">
        <w:rPr>
          <w:rFonts w:ascii="Times New Roman" w:hAnsi="Times Ext Roman" w:hint="eastAsia"/>
          <w:sz w:val="20"/>
          <w:szCs w:val="20"/>
        </w:rPr>
        <w:t>）</w:t>
      </w:r>
    </w:p>
    <w:p w:rsidR="006A1BF7" w:rsidRPr="00DA3BC7" w:rsidRDefault="006A1BF7" w:rsidP="008E2BBC">
      <w:pPr>
        <w:ind w:leftChars="150" w:left="360"/>
        <w:jc w:val="both"/>
        <w:rPr>
          <w:rFonts w:ascii="Times New Roman" w:hAnsi="Times New Roman" w:cs="Times Ext Roman"/>
        </w:rPr>
      </w:pPr>
      <w:r w:rsidRPr="00DA3BC7">
        <w:rPr>
          <w:rFonts w:ascii="Times New Roman" w:hAnsi="Times New Roman" w:cs="Times Ext Roman" w:hint="eastAsia"/>
        </w:rPr>
        <w:t>關於中正的意義，龍樹也有很好的發揮。</w:t>
      </w:r>
    </w:p>
    <w:p w:rsidR="006A1BF7" w:rsidRPr="00DA3BC7" w:rsidRDefault="006A1BF7" w:rsidP="00AE3920">
      <w:pPr>
        <w:spacing w:beforeLines="30"/>
        <w:ind w:leftChars="150" w:left="360"/>
        <w:jc w:val="both"/>
        <w:rPr>
          <w:rFonts w:ascii="Times New Roman" w:hAnsi="Times New Roman" w:cs="Times Ext Roman"/>
          <w:b/>
          <w:sz w:val="20"/>
          <w:szCs w:val="20"/>
          <w:bdr w:val="single" w:sz="4" w:space="0" w:color="auto"/>
        </w:rPr>
      </w:pPr>
      <w:r w:rsidRPr="00DA3BC7">
        <w:rPr>
          <w:rFonts w:ascii="Times New Roman" w:hAnsi="Times New Roman" w:cs="Times Ext Roman" w:hint="eastAsia"/>
          <w:b/>
          <w:sz w:val="20"/>
          <w:szCs w:val="20"/>
          <w:bdr w:val="single" w:sz="4" w:space="0" w:color="auto"/>
        </w:rPr>
        <w:t>（二）</w:t>
      </w:r>
      <w:r w:rsidR="00B33BB9">
        <w:rPr>
          <w:rFonts w:ascii="Times New Roman" w:hAnsi="Times New Roman" w:cs="Times Ext Roman" w:hint="eastAsia"/>
          <w:b/>
          <w:color w:val="FF0000"/>
          <w:sz w:val="20"/>
          <w:szCs w:val="20"/>
          <w:highlight w:val="yellow"/>
          <w:bdr w:val="single" w:sz="4" w:space="0" w:color="auto"/>
        </w:rPr>
        <w:t>論述</w:t>
      </w:r>
      <w:r w:rsidRPr="00DA3BC7">
        <w:rPr>
          <w:rFonts w:ascii="Times New Roman" w:hAnsi="Times Ext Roman" w:hint="eastAsia"/>
          <w:sz w:val="20"/>
          <w:szCs w:val="20"/>
        </w:rPr>
        <w:t>（</w:t>
      </w:r>
      <w:r w:rsidRPr="00DA3BC7">
        <w:rPr>
          <w:rFonts w:ascii="Times New Roman" w:hAnsi="Times New Roman"/>
          <w:sz w:val="20"/>
          <w:szCs w:val="20"/>
        </w:rPr>
        <w:t>pp.</w:t>
      </w:r>
      <w:r w:rsidRPr="00DA3BC7">
        <w:rPr>
          <w:rFonts w:ascii="Times New Roman" w:hAnsi="Times New Roman" w:hint="eastAsia"/>
          <w:sz w:val="20"/>
          <w:szCs w:val="20"/>
        </w:rPr>
        <w:t>11</w:t>
      </w:r>
      <w:r w:rsidRPr="00DA3BC7">
        <w:rPr>
          <w:rFonts w:ascii="Times New Roman" w:hAnsi="Times New Roman"/>
          <w:sz w:val="20"/>
          <w:szCs w:val="20"/>
        </w:rPr>
        <w:t>-</w:t>
      </w:r>
      <w:r w:rsidRPr="00DA3BC7">
        <w:rPr>
          <w:rFonts w:ascii="Times New Roman" w:hAnsi="Times New Roman" w:hint="eastAsia"/>
          <w:sz w:val="20"/>
          <w:szCs w:val="20"/>
        </w:rPr>
        <w:t>12</w:t>
      </w:r>
      <w:r w:rsidRPr="00DA3BC7">
        <w:rPr>
          <w:rFonts w:ascii="Times New Roman" w:hAnsi="Times Ext Roman" w:hint="eastAsia"/>
          <w:sz w:val="20"/>
          <w:szCs w:val="20"/>
        </w:rPr>
        <w:t>）</w:t>
      </w:r>
    </w:p>
    <w:p w:rsidR="006A1BF7" w:rsidRPr="00DA3BC7" w:rsidRDefault="006A1BF7" w:rsidP="008E2BBC">
      <w:pPr>
        <w:ind w:leftChars="200" w:left="480"/>
        <w:jc w:val="both"/>
        <w:rPr>
          <w:rFonts w:ascii="Times New Roman" w:hAnsi="Times New Roman" w:cs="Times Ext Roman"/>
          <w:b/>
          <w:sz w:val="20"/>
          <w:szCs w:val="20"/>
          <w:bdr w:val="single" w:sz="4" w:space="0" w:color="auto"/>
        </w:rPr>
      </w:pPr>
      <w:r w:rsidRPr="00DA3BC7">
        <w:rPr>
          <w:rFonts w:ascii="Times New Roman" w:hAnsi="Times New Roman" w:cs="Times Ext Roman" w:hint="eastAsia"/>
          <w:b/>
          <w:sz w:val="20"/>
          <w:szCs w:val="20"/>
          <w:bdr w:val="single" w:sz="4" w:space="0" w:color="auto"/>
        </w:rPr>
        <w:t>1</w:t>
      </w:r>
      <w:r w:rsidRPr="00DA3BC7">
        <w:rPr>
          <w:rFonts w:ascii="Times New Roman" w:hAnsi="Times New Roman" w:cs="Times Ext Roman" w:hint="eastAsia"/>
          <w:b/>
          <w:sz w:val="20"/>
          <w:szCs w:val="20"/>
          <w:bdr w:val="single" w:sz="4" w:space="0" w:color="auto"/>
        </w:rPr>
        <w:t>、</w:t>
      </w:r>
      <w:r w:rsidR="00B33BB9" w:rsidRPr="00B33BB9">
        <w:rPr>
          <w:rFonts w:ascii="Times New Roman" w:hAnsi="Times New Roman" w:cs="Times Ext Roman" w:hint="eastAsia"/>
          <w:b/>
          <w:color w:val="FF0000"/>
          <w:sz w:val="20"/>
          <w:szCs w:val="20"/>
          <w:highlight w:val="yellow"/>
          <w:bdr w:val="single" w:sz="4" w:space="0" w:color="auto"/>
        </w:rPr>
        <w:t>特明</w:t>
      </w:r>
      <w:r w:rsidRPr="00B33BB9">
        <w:rPr>
          <w:rFonts w:ascii="Times New Roman" w:hAnsi="Times New Roman" w:cs="Times Ext Roman" w:hint="eastAsia"/>
          <w:b/>
          <w:color w:val="FF0000"/>
          <w:sz w:val="20"/>
          <w:szCs w:val="20"/>
          <w:highlight w:val="yellow"/>
          <w:bdr w:val="single" w:sz="4" w:space="0" w:color="auto"/>
        </w:rPr>
        <w:t>「</w:t>
      </w:r>
      <w:r w:rsidR="00B33BB9" w:rsidRPr="00B33BB9">
        <w:rPr>
          <w:rFonts w:ascii="Times New Roman" w:hAnsi="Times New Roman" w:cs="Times Ext Roman" w:hint="eastAsia"/>
          <w:b/>
          <w:color w:val="FF0000"/>
          <w:sz w:val="20"/>
          <w:szCs w:val="20"/>
          <w:highlight w:val="yellow"/>
          <w:bdr w:val="single" w:sz="4" w:space="0" w:color="auto"/>
        </w:rPr>
        <w:t>不落二邊的中道</w:t>
      </w:r>
      <w:r w:rsidRPr="00B33BB9">
        <w:rPr>
          <w:rFonts w:ascii="Times New Roman" w:hAnsi="Times New Roman" w:cs="Times Ext Roman" w:hint="eastAsia"/>
          <w:b/>
          <w:color w:val="FF0000"/>
          <w:sz w:val="20"/>
          <w:szCs w:val="20"/>
          <w:highlight w:val="yellow"/>
          <w:bdr w:val="single" w:sz="4" w:space="0" w:color="auto"/>
        </w:rPr>
        <w:t>」</w:t>
      </w:r>
      <w:r w:rsidRPr="00DA3BC7">
        <w:rPr>
          <w:rFonts w:ascii="Times New Roman" w:hAnsi="Times Ext Roman" w:hint="eastAsia"/>
          <w:sz w:val="20"/>
          <w:szCs w:val="20"/>
        </w:rPr>
        <w:t>（</w:t>
      </w:r>
      <w:r w:rsidRPr="00DA3BC7">
        <w:rPr>
          <w:rFonts w:ascii="Times New Roman" w:hAnsi="Times New Roman"/>
          <w:sz w:val="20"/>
          <w:szCs w:val="20"/>
        </w:rPr>
        <w:t>pp.</w:t>
      </w:r>
      <w:r w:rsidRPr="00DA3BC7">
        <w:rPr>
          <w:rFonts w:ascii="Times New Roman" w:hAnsi="Times New Roman" w:hint="eastAsia"/>
          <w:sz w:val="20"/>
          <w:szCs w:val="20"/>
        </w:rPr>
        <w:t>11</w:t>
      </w:r>
      <w:r w:rsidRPr="00DA3BC7">
        <w:rPr>
          <w:rFonts w:ascii="Times New Roman" w:hAnsi="Times New Roman"/>
          <w:sz w:val="20"/>
          <w:szCs w:val="20"/>
        </w:rPr>
        <w:t>-</w:t>
      </w:r>
      <w:r w:rsidRPr="00DA3BC7">
        <w:rPr>
          <w:rFonts w:ascii="Times New Roman" w:hAnsi="Times New Roman" w:hint="eastAsia"/>
          <w:sz w:val="20"/>
          <w:szCs w:val="20"/>
        </w:rPr>
        <w:t>12</w:t>
      </w:r>
      <w:r w:rsidRPr="00DA3BC7">
        <w:rPr>
          <w:rFonts w:ascii="Times New Roman" w:hAnsi="Times Ext Roman" w:hint="eastAsia"/>
          <w:sz w:val="20"/>
          <w:szCs w:val="20"/>
        </w:rPr>
        <w:t>）</w:t>
      </w:r>
    </w:p>
    <w:p w:rsidR="00B33BB9" w:rsidRDefault="00B33BB9" w:rsidP="008E2BBC">
      <w:pPr>
        <w:ind w:leftChars="200" w:left="480"/>
        <w:jc w:val="both"/>
        <w:rPr>
          <w:rFonts w:ascii="Times New Roman" w:hAnsi="Times New Roman" w:cs="Times Ext Roman"/>
        </w:rPr>
      </w:pPr>
      <w:r w:rsidRPr="00B33BB9">
        <w:rPr>
          <w:rFonts w:ascii="Times New Roman" w:hAnsi="Times New Roman" w:cs="Times Ext Roman" w:hint="eastAsia"/>
          <w:highlight w:val="yellow"/>
        </w:rPr>
        <w:t>依</w:t>
      </w:r>
      <w:r w:rsidRPr="00EF1F1C">
        <w:rPr>
          <w:rFonts w:ascii="Times New Roman" w:hAnsi="Times New Roman" w:cs="Times Ext Roman" w:hint="eastAsia"/>
        </w:rPr>
        <w:t>佛陀所正覺的，為眾生所巧便言說的，在佛陀，都是圓滿而中正的。如緣起是中正的，空也是中正的，至於中道，那更是中正了。</w:t>
      </w:r>
    </w:p>
    <w:p w:rsidR="006A1BF7" w:rsidRPr="00DA3BC7" w:rsidRDefault="006A1BF7" w:rsidP="008E2BBC">
      <w:pPr>
        <w:ind w:leftChars="200" w:left="480"/>
        <w:jc w:val="both"/>
        <w:rPr>
          <w:rFonts w:ascii="Times New Roman" w:hAnsi="Times New Roman" w:cs="Times Ext Roman"/>
        </w:rPr>
      </w:pPr>
      <w:r w:rsidRPr="00DA3BC7">
        <w:rPr>
          <w:rFonts w:ascii="Times New Roman" w:hAnsi="Times New Roman" w:cs="Times Ext Roman" w:hint="eastAsia"/>
        </w:rPr>
        <w:t>但世俗言說的施設，不免片面性的缺陷</w:t>
      </w:r>
      <w:r w:rsidRPr="00DA3BC7">
        <w:rPr>
          <w:rStyle w:val="a6"/>
          <w:rFonts w:ascii="Times New Roman" w:hAnsi="Times New Roman" w:cs="Times Ext Roman"/>
        </w:rPr>
        <w:footnoteReference w:id="93"/>
      </w:r>
      <w:r w:rsidRPr="00DA3BC7">
        <w:rPr>
          <w:rFonts w:ascii="Times New Roman" w:hAnsi="Times New Roman" w:cs="Times Ext Roman" w:hint="eastAsia"/>
        </w:rPr>
        <w:t>，所以古德說「</w:t>
      </w:r>
      <w:r w:rsidRPr="00DA3BC7">
        <w:rPr>
          <w:rFonts w:ascii="標楷體" w:eastAsia="標楷體" w:hAnsi="標楷體" w:cs="Times Ext Roman" w:hint="eastAsia"/>
        </w:rPr>
        <w:t>理圓言偏</w:t>
      </w:r>
      <w:r w:rsidRPr="00DA3BC7">
        <w:rPr>
          <w:rFonts w:ascii="Times New Roman" w:hAnsi="Times New Roman" w:cs="Times Ext Roman" w:hint="eastAsia"/>
        </w:rPr>
        <w:t>」</w:t>
      </w:r>
      <w:r w:rsidRPr="00DA3BC7">
        <w:rPr>
          <w:rStyle w:val="a6"/>
          <w:rFonts w:ascii="Times New Roman" w:hAnsi="Times New Roman" w:cs="Times Ext Roman"/>
        </w:rPr>
        <w:footnoteReference w:id="94"/>
      </w:r>
      <w:r w:rsidRPr="00DA3BC7">
        <w:rPr>
          <w:rFonts w:ascii="Times New Roman" w:hAnsi="Times New Roman" w:cs="Times Ext Roman" w:hint="eastAsia"/>
        </w:rPr>
        <w:t>。眾生對於佛的教法，不能圓見佛法的中道，聞思或修行，在任何方面有所偏重，就會失卻中道。如《大智度論》卷</w:t>
      </w:r>
      <w:r w:rsidRPr="00DA3BC7">
        <w:rPr>
          <w:rFonts w:ascii="Times New Roman" w:hAnsi="Times New Roman" w:cs="Times Ext Roman" w:hint="eastAsia"/>
        </w:rPr>
        <w:t>80</w:t>
      </w:r>
      <w:r w:rsidRPr="00DA3BC7">
        <w:rPr>
          <w:rFonts w:ascii="Times New Roman" w:hAnsi="Times New Roman" w:cs="Times Ext Roman" w:hint="eastAsia"/>
        </w:rPr>
        <w:t>說：「</w:t>
      </w:r>
      <w:r w:rsidRPr="00DA3BC7">
        <w:rPr>
          <w:rFonts w:ascii="標楷體" w:eastAsia="標楷體" w:hAnsi="標楷體" w:cs="Times Ext Roman" w:hint="eastAsia"/>
        </w:rPr>
        <w:t>若人但觀畢竟空，多墮斷滅邊；若觀有，多墮常邊。離是二邊故說十二因緣空。……離二邊故，假名為中道</w:t>
      </w:r>
      <w:r w:rsidRPr="00DA3BC7">
        <w:rPr>
          <w:rFonts w:ascii="Times New Roman" w:hAnsi="Times New Roman" w:cs="Times Ext Roman" w:hint="eastAsia"/>
        </w:rPr>
        <w:t>。」</w:t>
      </w:r>
      <w:r w:rsidRPr="00DA3BC7">
        <w:rPr>
          <w:rStyle w:val="a6"/>
          <w:rFonts w:ascii="Times New Roman" w:hAnsi="Times New Roman" w:cs="Times Ext Roman"/>
        </w:rPr>
        <w:footnoteReference w:id="95"/>
      </w:r>
    </w:p>
    <w:p w:rsidR="006A1BF7" w:rsidRPr="00DA3BC7" w:rsidRDefault="006A1BF7" w:rsidP="00AE3920">
      <w:pPr>
        <w:spacing w:beforeLines="20"/>
        <w:ind w:leftChars="200" w:left="480"/>
        <w:jc w:val="both"/>
        <w:rPr>
          <w:rFonts w:ascii="Times New Roman" w:hAnsi="Times New Roman" w:cs="Times Ext Roman"/>
        </w:rPr>
      </w:pPr>
      <w:r w:rsidRPr="00DA3BC7">
        <w:rPr>
          <w:rFonts w:ascii="Times New Roman" w:hAnsi="Times New Roman" w:cs="Times Ext Roman" w:hint="eastAsia"/>
        </w:rPr>
        <w:t>畢竟空與緣起有</w:t>
      </w:r>
      <w:r w:rsidRPr="00DA3BC7">
        <w:rPr>
          <w:rStyle w:val="a6"/>
          <w:rFonts w:ascii="Times New Roman" w:hAnsi="Times New Roman" w:cs="Times Ext Roman"/>
        </w:rPr>
        <w:footnoteReference w:id="96"/>
      </w:r>
      <w:r w:rsidRPr="00DA3BC7">
        <w:rPr>
          <w:rFonts w:ascii="Times New Roman" w:hAnsi="Times New Roman" w:cs="Times Ext Roman" w:hint="eastAsia"/>
        </w:rPr>
        <w:t>，那裏會墮於一邊？這因為學者有所偏重的流弊</w:t>
      </w:r>
      <w:r w:rsidR="007A250A" w:rsidRPr="007A250A">
        <w:rPr>
          <w:rStyle w:val="a6"/>
          <w:rFonts w:ascii="Times New Roman" w:hAnsi="Times New Roman" w:cs="Times Ext Roman"/>
          <w:color w:val="FF0000"/>
          <w:highlight w:val="yellow"/>
        </w:rPr>
        <w:footnoteReference w:id="97"/>
      </w:r>
      <w:r w:rsidRPr="00DA3BC7">
        <w:rPr>
          <w:rFonts w:ascii="Times New Roman" w:hAnsi="Times New Roman" w:cs="Times Ext Roman" w:hint="eastAsia"/>
        </w:rPr>
        <w:t>──世諦流布</w:t>
      </w:r>
      <w:r w:rsidRPr="00DA3BC7">
        <w:rPr>
          <w:rStyle w:val="a6"/>
          <w:rFonts w:ascii="Times New Roman" w:hAnsi="Times New Roman" w:cs="Times Ext Roman"/>
        </w:rPr>
        <w:footnoteReference w:id="98"/>
      </w:r>
      <w:r w:rsidRPr="00DA3BC7">
        <w:rPr>
          <w:rFonts w:ascii="Times New Roman" w:hAnsi="Times New Roman" w:cs="Times Ext Roman" w:hint="eastAsia"/>
        </w:rPr>
        <w:t>，什麼都有弊的，所以特說明緣起與空寂不偏的中道。即空</w:t>
      </w:r>
      <w:r w:rsidRPr="00DA3BC7">
        <w:rPr>
          <w:rFonts w:ascii="Times New Roman" w:hAnsi="Times New Roman" w:cs="Times Ext Roman" w:hint="eastAsia"/>
        </w:rPr>
        <w:lastRenderedPageBreak/>
        <w:t>的緣起，不落於斷邊；即緣起的性空，不落於常邊。</w:t>
      </w:r>
    </w:p>
    <w:p w:rsidR="006A1BF7" w:rsidRPr="00DA3BC7" w:rsidRDefault="006A1BF7" w:rsidP="00AE3920">
      <w:pPr>
        <w:spacing w:beforeLines="30"/>
        <w:ind w:leftChars="200" w:left="480"/>
        <w:jc w:val="both"/>
        <w:rPr>
          <w:rFonts w:ascii="Times New Roman" w:hAnsi="Times New Roman" w:cs="Times Ext Roman"/>
        </w:rPr>
      </w:pPr>
      <w:r w:rsidRPr="00DA3BC7">
        <w:rPr>
          <w:rFonts w:ascii="Times New Roman" w:hAnsi="Times New Roman" w:cs="Times Ext Roman" w:hint="eastAsia"/>
          <w:b/>
          <w:sz w:val="20"/>
          <w:szCs w:val="20"/>
          <w:bdr w:val="single" w:sz="4" w:space="0" w:color="auto"/>
        </w:rPr>
        <w:t>2</w:t>
      </w:r>
      <w:r w:rsidRPr="00DA3BC7">
        <w:rPr>
          <w:rFonts w:ascii="Times New Roman" w:hAnsi="Times New Roman" w:cs="Times Ext Roman" w:hint="eastAsia"/>
          <w:b/>
          <w:sz w:val="20"/>
          <w:szCs w:val="20"/>
          <w:bdr w:val="single" w:sz="4" w:space="0" w:color="auto"/>
        </w:rPr>
        <w:t>、</w:t>
      </w:r>
      <w:r w:rsidR="00EF1F1C">
        <w:rPr>
          <w:rFonts w:ascii="Times New Roman" w:hAnsi="Times New Roman" w:cs="Times Ext Roman" w:hint="eastAsia"/>
          <w:b/>
          <w:color w:val="FF0000"/>
          <w:sz w:val="20"/>
          <w:szCs w:val="20"/>
          <w:highlight w:val="yellow"/>
          <w:bdr w:val="single" w:sz="4" w:space="0" w:color="auto"/>
        </w:rPr>
        <w:t>縱貫性相空有</w:t>
      </w:r>
      <w:r w:rsidRPr="00DA3BC7">
        <w:rPr>
          <w:rFonts w:ascii="Times New Roman" w:hAnsi="Times New Roman" w:cs="Times Ext Roman" w:hint="eastAsia"/>
          <w:b/>
          <w:sz w:val="20"/>
          <w:szCs w:val="20"/>
          <w:bdr w:val="single" w:sz="4" w:space="0" w:color="auto"/>
        </w:rPr>
        <w:t>的中道</w:t>
      </w:r>
      <w:r w:rsidRPr="00DA3BC7">
        <w:rPr>
          <w:rFonts w:ascii="Times New Roman" w:hAnsi="Times Ext Roman" w:hint="eastAsia"/>
          <w:sz w:val="20"/>
          <w:szCs w:val="20"/>
        </w:rPr>
        <w:t>（</w:t>
      </w:r>
      <w:r w:rsidRPr="00DA3BC7">
        <w:rPr>
          <w:rFonts w:ascii="Times New Roman" w:hAnsi="Times New Roman"/>
          <w:sz w:val="20"/>
          <w:szCs w:val="20"/>
        </w:rPr>
        <w:t>p.</w:t>
      </w:r>
      <w:r w:rsidRPr="00DA3BC7">
        <w:rPr>
          <w:rFonts w:ascii="Times New Roman" w:hAnsi="Times New Roman" w:hint="eastAsia"/>
          <w:sz w:val="20"/>
          <w:szCs w:val="20"/>
        </w:rPr>
        <w:t>12</w:t>
      </w:r>
      <w:r w:rsidRPr="00DA3BC7">
        <w:rPr>
          <w:rFonts w:ascii="Times New Roman" w:hAnsi="Times Ext Roman" w:hint="eastAsia"/>
          <w:sz w:val="20"/>
          <w:szCs w:val="20"/>
        </w:rPr>
        <w:t>）</w:t>
      </w:r>
    </w:p>
    <w:p w:rsidR="006A1BF7" w:rsidRPr="00DA3BC7" w:rsidRDefault="006A1BF7" w:rsidP="008E2BBC">
      <w:pPr>
        <w:ind w:leftChars="200" w:left="480"/>
        <w:jc w:val="both"/>
        <w:rPr>
          <w:rFonts w:ascii="Times New Roman" w:hAnsi="Times New Roman" w:cs="Times Ext Roman"/>
        </w:rPr>
      </w:pPr>
      <w:r w:rsidRPr="00DA3BC7">
        <w:rPr>
          <w:rFonts w:ascii="Times New Roman" w:hAnsi="Times New Roman" w:cs="Times Ext Roman" w:hint="eastAsia"/>
        </w:rPr>
        <w:t>緣起與空，印度佛教確曾有過偏重的發展。</w:t>
      </w:r>
    </w:p>
    <w:p w:rsidR="006A1BF7" w:rsidRPr="00DA3BC7" w:rsidRDefault="006A1BF7" w:rsidP="008E2BBC">
      <w:pPr>
        <w:ind w:leftChars="200" w:left="480"/>
        <w:jc w:val="both"/>
        <w:rPr>
          <w:rFonts w:ascii="Times New Roman" w:hAnsi="Times New Roman" w:cs="Times Ext Roman"/>
        </w:rPr>
      </w:pPr>
      <w:r w:rsidRPr="00DA3BC7">
        <w:rPr>
          <w:rFonts w:ascii="Times New Roman" w:hAnsi="Times New Roman" w:cs="Times Ext Roman" w:hint="eastAsia"/>
        </w:rPr>
        <w:t>到極端，如方廣道人</w:t>
      </w:r>
      <w:r w:rsidRPr="00DA3BC7">
        <w:rPr>
          <w:rStyle w:val="a6"/>
          <w:rFonts w:ascii="Times New Roman" w:hAnsi="Times New Roman" w:cs="Times Ext Roman"/>
        </w:rPr>
        <w:footnoteReference w:id="99"/>
      </w:r>
      <w:r w:rsidRPr="00DA3BC7">
        <w:rPr>
          <w:rFonts w:ascii="Times New Roman" w:hAnsi="Times New Roman" w:cs="Times Ext Roman" w:hint="eastAsia"/>
        </w:rPr>
        <w:t>偏空，是墮於斷滅邊；</w:t>
      </w:r>
    </w:p>
    <w:p w:rsidR="006A1BF7" w:rsidRPr="00DA3BC7" w:rsidRDefault="006A1BF7" w:rsidP="006E1482">
      <w:pPr>
        <w:ind w:leftChars="700" w:left="1680"/>
        <w:jc w:val="both"/>
        <w:rPr>
          <w:rFonts w:ascii="Times New Roman" w:hAnsi="Times New Roman" w:cs="Times Ext Roman"/>
        </w:rPr>
      </w:pPr>
      <w:r w:rsidRPr="006E1482">
        <w:rPr>
          <w:rFonts w:ascii="Times New Roman" w:hAnsi="Times New Roman" w:cs="Times Ext Roman" w:hint="eastAsia"/>
          <w:highlight w:val="yellow"/>
        </w:rPr>
        <w:t>薩</w:t>
      </w:r>
      <w:r w:rsidRPr="00DA3BC7">
        <w:rPr>
          <w:rFonts w:ascii="Times New Roman" w:hAnsi="Times New Roman" w:cs="Times Ext Roman" w:hint="eastAsia"/>
        </w:rPr>
        <w:t>婆多部偏於一切法有，即墮於常邊。</w:t>
      </w:r>
    </w:p>
    <w:p w:rsidR="006A1BF7" w:rsidRPr="00DA3BC7" w:rsidRDefault="006A1BF7" w:rsidP="00AE3920">
      <w:pPr>
        <w:spacing w:beforeLines="20"/>
        <w:ind w:leftChars="200" w:left="480"/>
        <w:jc w:val="both"/>
        <w:rPr>
          <w:rFonts w:ascii="Times New Roman" w:hAnsi="Times New Roman" w:cs="Times Ext Roman"/>
        </w:rPr>
      </w:pPr>
      <w:r w:rsidRPr="00DA3BC7">
        <w:rPr>
          <w:rFonts w:ascii="Times New Roman" w:hAnsi="Times New Roman" w:cs="Times Ext Roman" w:hint="eastAsia"/>
        </w:rPr>
        <w:t>為了挽救這種偏病，所以龍樹探《阿含》及《般若》的本意，特明此緣起即空的中道，以拯拔</w:t>
      </w:r>
      <w:r w:rsidRPr="00DA3BC7">
        <w:rPr>
          <w:rStyle w:val="a6"/>
          <w:rFonts w:ascii="Times New Roman" w:hAnsi="Times New Roman" w:cs="Times Ext Roman"/>
        </w:rPr>
        <w:footnoteReference w:id="100"/>
      </w:r>
      <w:r w:rsidRPr="00DA3BC7">
        <w:rPr>
          <w:rFonts w:ascii="Times New Roman" w:hAnsi="Times New Roman" w:cs="Times Ext Roman" w:hint="eastAsia"/>
        </w:rPr>
        <w:t>那「心有所著」的偏失者，使之返歸</w:t>
      </w:r>
      <w:r w:rsidRPr="00DA3BC7">
        <w:rPr>
          <w:rStyle w:val="a6"/>
          <w:rFonts w:ascii="Times New Roman" w:hAnsi="Times New Roman" w:cs="Times Ext Roman"/>
        </w:rPr>
        <w:footnoteReference w:id="101"/>
      </w:r>
      <w:r w:rsidRPr="00DA3BC7">
        <w:rPr>
          <w:rFonts w:ascii="Times New Roman" w:hAnsi="Times New Roman" w:cs="Times Ext Roman" w:hint="eastAsia"/>
        </w:rPr>
        <w:t>於釋迦的中道。</w:t>
      </w:r>
      <w:r w:rsidRPr="00B33BB9">
        <w:rPr>
          <w:rFonts w:ascii="Times New Roman" w:hAnsi="Times New Roman" w:cs="Times Ext Roman" w:hint="eastAsia"/>
          <w:highlight w:val="yellow"/>
        </w:rPr>
        <w:t>學者</w:t>
      </w:r>
      <w:r w:rsidRPr="00DA3BC7">
        <w:rPr>
          <w:rFonts w:ascii="Times New Roman" w:hAnsi="Times New Roman" w:cs="Times Ext Roman" w:hint="eastAsia"/>
        </w:rPr>
        <w:t>不能巧得佛法的實義，多落於二邊，所以特稱此綜貫</w:t>
      </w:r>
      <w:r w:rsidRPr="00DA3BC7">
        <w:rPr>
          <w:rFonts w:ascii="Times New Roman" w:hAnsi="Times New Roman" w:cs="Times Ext Roman" w:hint="eastAsia"/>
          <w:b/>
        </w:rPr>
        <w:t>性相、空有</w:t>
      </w:r>
      <w:r w:rsidRPr="00DA3BC7">
        <w:rPr>
          <w:rFonts w:ascii="Times New Roman" w:hAnsi="Times New Roman" w:cs="Times Ext Roman" w:hint="eastAsia"/>
        </w:rPr>
        <w:t>的為</w:t>
      </w:r>
      <w:r w:rsidRPr="00DA3BC7">
        <w:rPr>
          <w:rFonts w:ascii="Times New Roman" w:hAnsi="Times New Roman" w:cs="Times Ext Roman" w:hint="eastAsia"/>
          <w:b/>
        </w:rPr>
        <w:t>中道</w:t>
      </w:r>
      <w:r w:rsidRPr="00DA3BC7">
        <w:rPr>
          <w:rFonts w:ascii="Times New Roman" w:hAnsi="Times New Roman" w:cs="Times Ext Roman" w:hint="eastAsia"/>
        </w:rPr>
        <w:t>。</w:t>
      </w:r>
    </w:p>
    <w:p w:rsidR="006A1BF7" w:rsidRPr="00DA3BC7" w:rsidRDefault="00B024A0" w:rsidP="00AE3920">
      <w:pPr>
        <w:spacing w:beforeLines="30"/>
        <w:ind w:leftChars="50" w:left="120"/>
        <w:jc w:val="both"/>
        <w:rPr>
          <w:rFonts w:ascii="Times New Roman" w:hAnsi="Times New Roman" w:cs="Times Ext Roman"/>
          <w:sz w:val="20"/>
          <w:szCs w:val="20"/>
          <w:bdr w:val="single" w:sz="4" w:space="0" w:color="auto"/>
        </w:rPr>
      </w:pPr>
      <w:r>
        <w:rPr>
          <w:rFonts w:ascii="Times New Roman" w:hAnsi="Times New Roman" w:cs="Times Ext Roman"/>
          <w:b/>
          <w:sz w:val="20"/>
          <w:szCs w:val="20"/>
          <w:bdr w:val="single" w:sz="4" w:space="0" w:color="auto"/>
        </w:rPr>
        <w:br w:type="column"/>
      </w:r>
      <w:r w:rsidR="006A1BF7" w:rsidRPr="00DA3BC7">
        <w:rPr>
          <w:rFonts w:ascii="Times New Roman" w:hAnsi="Times New Roman" w:cs="Times Ext Roman" w:hint="eastAsia"/>
          <w:b/>
          <w:sz w:val="20"/>
          <w:szCs w:val="20"/>
          <w:bdr w:val="single" w:sz="4" w:space="0" w:color="auto"/>
        </w:rPr>
        <w:lastRenderedPageBreak/>
        <w:t>（</w:t>
      </w:r>
      <w:r w:rsidR="00FC5046" w:rsidRPr="00DA3BC7">
        <w:rPr>
          <w:rFonts w:ascii="Times New Roman" w:hAnsi="Times New Roman" w:cs="Times Ext Roman" w:hint="eastAsia"/>
          <w:b/>
          <w:sz w:val="20"/>
          <w:szCs w:val="20"/>
          <w:bdr w:val="single" w:sz="4" w:space="0" w:color="auto"/>
        </w:rPr>
        <w:t>參</w:t>
      </w:r>
      <w:r w:rsidR="006A1BF7" w:rsidRPr="00DA3BC7">
        <w:rPr>
          <w:rFonts w:ascii="Times New Roman" w:hAnsi="Times New Roman" w:cs="Times Ext Roman" w:hint="eastAsia"/>
          <w:b/>
          <w:sz w:val="20"/>
          <w:szCs w:val="20"/>
          <w:bdr w:val="single" w:sz="4" w:space="0" w:color="auto"/>
        </w:rPr>
        <w:t>）龍樹的中道論：宗歸一實，教申二諦</w:t>
      </w:r>
      <w:r w:rsidR="006A1BF7" w:rsidRPr="00DA3BC7">
        <w:rPr>
          <w:rFonts w:ascii="Times New Roman" w:hAnsi="Times Ext Roman" w:hint="eastAsia"/>
          <w:sz w:val="20"/>
          <w:szCs w:val="20"/>
        </w:rPr>
        <w:t>（</w:t>
      </w:r>
      <w:r w:rsidR="006A1BF7" w:rsidRPr="00DA3BC7">
        <w:rPr>
          <w:rFonts w:ascii="Times New Roman" w:hAnsi="Times New Roman"/>
          <w:sz w:val="20"/>
          <w:szCs w:val="20"/>
        </w:rPr>
        <w:t>p.</w:t>
      </w:r>
      <w:r w:rsidR="006A1BF7" w:rsidRPr="00DA3BC7">
        <w:rPr>
          <w:rFonts w:ascii="Times New Roman" w:hAnsi="Times New Roman" w:hint="eastAsia"/>
          <w:sz w:val="20"/>
          <w:szCs w:val="20"/>
        </w:rPr>
        <w:t>12</w:t>
      </w:r>
      <w:r w:rsidR="006A1BF7" w:rsidRPr="00DA3BC7">
        <w:rPr>
          <w:rFonts w:ascii="Times New Roman" w:hAnsi="Times Ext Roman" w:hint="eastAsia"/>
          <w:sz w:val="20"/>
          <w:szCs w:val="20"/>
        </w:rPr>
        <w:t>）</w:t>
      </w:r>
    </w:p>
    <w:p w:rsidR="006A1BF7" w:rsidRPr="00DA3BC7" w:rsidRDefault="006A1BF7" w:rsidP="00003707">
      <w:pPr>
        <w:ind w:leftChars="50" w:left="120"/>
        <w:jc w:val="both"/>
        <w:rPr>
          <w:rFonts w:ascii="Times New Roman" w:hAnsi="Times New Roman" w:cs="Times Ext Roman"/>
        </w:rPr>
      </w:pPr>
      <w:r w:rsidRPr="00DA3BC7">
        <w:rPr>
          <w:rFonts w:ascii="Times New Roman" w:hAnsi="Times New Roman" w:cs="Times Ext Roman" w:hint="eastAsia"/>
        </w:rPr>
        <w:t>龍樹的中道論，不外乎</w:t>
      </w:r>
      <w:r w:rsidRPr="00DA3BC7">
        <w:rPr>
          <w:rFonts w:ascii="Times New Roman" w:hAnsi="Times New Roman" w:cs="Times Ext Roman" w:hint="eastAsia"/>
          <w:b/>
        </w:rPr>
        <w:t>不著名相與對待</w:t>
      </w:r>
      <w:r w:rsidRPr="00DA3BC7">
        <w:rPr>
          <w:rFonts w:ascii="Times New Roman" w:hAnsi="Times New Roman" w:cs="Times Ext Roman" w:hint="eastAsia"/>
        </w:rPr>
        <w:t>（</w:t>
      </w:r>
      <w:r w:rsidRPr="00DA3BC7">
        <w:rPr>
          <w:rFonts w:ascii="Times New Roman" w:hAnsi="Times New Roman" w:cs="Times Ext Roman" w:hint="eastAsia"/>
          <w:b/>
        </w:rPr>
        <w:t>宗歸一實</w:t>
      </w:r>
      <w:r w:rsidRPr="00DA3BC7">
        <w:rPr>
          <w:rFonts w:ascii="Times New Roman" w:hAnsi="Times New Roman" w:cs="Times Ext Roman" w:hint="eastAsia"/>
        </w:rPr>
        <w:t>），</w:t>
      </w:r>
      <w:r w:rsidRPr="00DA3BC7">
        <w:rPr>
          <w:rFonts w:ascii="Times New Roman" w:hAnsi="Times New Roman" w:cs="Times Ext Roman" w:hint="eastAsia"/>
          <w:b/>
        </w:rPr>
        <w:t>綜貫性相</w:t>
      </w:r>
      <w:r w:rsidRPr="00DA3BC7">
        <w:rPr>
          <w:rStyle w:val="a6"/>
          <w:rFonts w:ascii="Times New Roman" w:hAnsi="Times New Roman" w:cs="Times Ext Roman"/>
        </w:rPr>
        <w:footnoteReference w:id="102"/>
      </w:r>
      <w:r w:rsidRPr="00DA3BC7">
        <w:rPr>
          <w:rFonts w:ascii="Times New Roman" w:hAnsi="Times New Roman" w:cs="Times Ext Roman" w:hint="eastAsia"/>
          <w:b/>
        </w:rPr>
        <w:t>及空有</w:t>
      </w:r>
      <w:r w:rsidRPr="00DA3BC7">
        <w:rPr>
          <w:rStyle w:val="a6"/>
          <w:rFonts w:ascii="Times New Roman" w:hAnsi="Times New Roman" w:cs="Times Ext Roman"/>
        </w:rPr>
        <w:footnoteReference w:id="103"/>
      </w:r>
      <w:r w:rsidRPr="00DA3BC7">
        <w:rPr>
          <w:rFonts w:ascii="Times New Roman" w:hAnsi="Times New Roman" w:cs="Times Ext Roman" w:hint="eastAsia"/>
        </w:rPr>
        <w:t>（</w:t>
      </w:r>
      <w:r w:rsidRPr="00DA3BC7">
        <w:rPr>
          <w:rFonts w:ascii="Times New Roman" w:hAnsi="Times New Roman" w:cs="Times Ext Roman" w:hint="eastAsia"/>
          <w:b/>
        </w:rPr>
        <w:t>教申二諦</w:t>
      </w:r>
      <w:r w:rsidRPr="00DA3BC7">
        <w:rPr>
          <w:rFonts w:ascii="Times New Roman" w:hAnsi="Times New Roman" w:cs="Times Ext Roman" w:hint="eastAsia"/>
        </w:rPr>
        <w:t>）</w:t>
      </w:r>
      <w:r w:rsidRPr="00DA3BC7">
        <w:rPr>
          <w:rStyle w:val="a6"/>
          <w:rFonts w:ascii="Times New Roman" w:hAnsi="Times New Roman" w:cs="Times Ext Roman"/>
        </w:rPr>
        <w:footnoteReference w:id="104"/>
      </w:r>
      <w:r w:rsidRPr="00DA3BC7">
        <w:rPr>
          <w:rFonts w:ascii="Times New Roman" w:hAnsi="Times New Roman" w:cs="Times Ext Roman" w:hint="eastAsia"/>
        </w:rPr>
        <w:t>。</w:t>
      </w:r>
      <w:r w:rsidRPr="00DA3BC7">
        <w:rPr>
          <w:rStyle w:val="a6"/>
          <w:rFonts w:ascii="Times New Roman" w:hAnsi="Times New Roman" w:cs="Times Ext Roman"/>
        </w:rPr>
        <w:footnoteReference w:id="105"/>
      </w:r>
    </w:p>
    <w:p w:rsidR="00152ED0" w:rsidRPr="00DA3BC7" w:rsidRDefault="006A1BF7" w:rsidP="008E2BBC">
      <w:pPr>
        <w:tabs>
          <w:tab w:val="left" w:pos="1820"/>
        </w:tabs>
        <w:ind w:leftChars="50" w:left="120"/>
        <w:jc w:val="both"/>
        <w:rPr>
          <w:rFonts w:ascii="Times New Roman" w:hAnsi="Times New Roman" w:cs="Times Ext Roman"/>
        </w:rPr>
        <w:sectPr w:rsidR="00152ED0" w:rsidRPr="00DA3BC7" w:rsidSect="009914C0">
          <w:headerReference w:type="default" r:id="rId21"/>
          <w:footnotePr>
            <w:numRestart w:val="eachSect"/>
          </w:footnotePr>
          <w:pgSz w:w="10773" w:h="14742" w:code="9"/>
          <w:pgMar w:top="1418" w:right="1418" w:bottom="1418" w:left="1418" w:header="851" w:footer="992" w:gutter="0"/>
          <w:cols w:space="425"/>
          <w:docGrid w:type="lines" w:linePitch="360"/>
        </w:sectPr>
      </w:pPr>
      <w:r w:rsidRPr="00DA3BC7">
        <w:rPr>
          <w:rFonts w:ascii="Times New Roman" w:hAnsi="Times New Roman" w:cs="Times Ext Roman" w:hint="eastAsia"/>
        </w:rPr>
        <w:t>中觀大乘的特色，實即是根本教義完滿的開展。</w:t>
      </w:r>
    </w:p>
    <w:p w:rsidR="00152ED0" w:rsidRPr="00DA3BC7" w:rsidRDefault="00152ED0" w:rsidP="008E2BBC">
      <w:pPr>
        <w:pStyle w:val="1"/>
      </w:pPr>
      <w:bookmarkStart w:id="21" w:name="_Toc405499745"/>
      <w:r w:rsidRPr="00DA3BC7">
        <w:lastRenderedPageBreak/>
        <w:t>第二章</w:t>
      </w:r>
      <w:r w:rsidR="007073D2" w:rsidRPr="00DA3BC7">
        <w:t>、</w:t>
      </w:r>
      <w:r w:rsidRPr="00DA3BC7">
        <w:t>龍樹及其論典</w:t>
      </w:r>
      <w:bookmarkEnd w:id="21"/>
    </w:p>
    <w:p w:rsidR="00152ED0" w:rsidRPr="00DA3BC7" w:rsidRDefault="00152ED0" w:rsidP="008E2BBC">
      <w:pPr>
        <w:pStyle w:val="2"/>
      </w:pPr>
      <w:bookmarkStart w:id="22" w:name="_Toc405499746"/>
      <w:r w:rsidRPr="00DA3BC7">
        <w:t>第一節</w:t>
      </w:r>
      <w:r w:rsidR="007073D2" w:rsidRPr="00DA3BC7">
        <w:t>、</w:t>
      </w:r>
      <w:r w:rsidRPr="00DA3BC7">
        <w:t>龍樹論略說</w:t>
      </w:r>
      <w:bookmarkEnd w:id="22"/>
    </w:p>
    <w:p w:rsidR="00152ED0" w:rsidRPr="00DA3BC7" w:rsidRDefault="00152ED0" w:rsidP="008E2BBC">
      <w:pPr>
        <w:jc w:val="center"/>
        <w:rPr>
          <w:rFonts w:ascii="Times New Roman" w:eastAsia="標楷體" w:hAnsi="Times New Roman"/>
        </w:rPr>
      </w:pPr>
      <w:r w:rsidRPr="00DA3BC7">
        <w:rPr>
          <w:rFonts w:ascii="Times New Roman" w:eastAsia="標楷體" w:hAnsi="Times New Roman"/>
        </w:rPr>
        <w:t>（</w:t>
      </w:r>
      <w:r w:rsidRPr="00DA3BC7">
        <w:rPr>
          <w:rFonts w:ascii="Times New Roman" w:eastAsia="標楷體" w:hAnsi="Times New Roman"/>
        </w:rPr>
        <w:t>pp.13-17</w:t>
      </w:r>
      <w:r w:rsidRPr="00DA3BC7">
        <w:rPr>
          <w:rFonts w:ascii="Times New Roman" w:eastAsia="標楷體" w:hAnsi="Times New Roman"/>
        </w:rPr>
        <w:t>）</w:t>
      </w:r>
    </w:p>
    <w:p w:rsidR="00152ED0" w:rsidRPr="00DA3BC7" w:rsidRDefault="00152ED0" w:rsidP="008E2BBC">
      <w:pPr>
        <w:pStyle w:val="Author"/>
      </w:pPr>
    </w:p>
    <w:p w:rsidR="00152ED0" w:rsidRPr="00DA3BC7" w:rsidRDefault="00152ED0" w:rsidP="00AE3920">
      <w:pPr>
        <w:spacing w:beforeLines="50"/>
        <w:jc w:val="both"/>
        <w:rPr>
          <w:rFonts w:ascii="Times New Roman" w:hAnsi="Times New Roman"/>
          <w:b/>
          <w:sz w:val="20"/>
          <w:szCs w:val="20"/>
        </w:rPr>
      </w:pPr>
      <w:r w:rsidRPr="00DA3BC7">
        <w:rPr>
          <w:rFonts w:ascii="Times New Roman" w:hAnsi="Times New Roman" w:hint="eastAsia"/>
          <w:b/>
          <w:sz w:val="20"/>
          <w:szCs w:val="20"/>
          <w:bdr w:val="single" w:sz="4" w:space="0" w:color="auto"/>
        </w:rPr>
        <w:t>壹、</w:t>
      </w:r>
      <w:r w:rsidRPr="00DA3BC7">
        <w:rPr>
          <w:rFonts w:ascii="Times New Roman" w:hAnsi="Times New Roman"/>
          <w:b/>
          <w:sz w:val="20"/>
          <w:szCs w:val="20"/>
          <w:bdr w:val="single" w:sz="4" w:space="0" w:color="auto"/>
        </w:rPr>
        <w:t>龍樹</w:t>
      </w:r>
      <w:r w:rsidR="00FE2486">
        <w:rPr>
          <w:rFonts w:ascii="Times New Roman" w:hAnsi="Times New Roman" w:hint="eastAsia"/>
          <w:b/>
          <w:color w:val="FF0000"/>
          <w:sz w:val="20"/>
          <w:szCs w:val="20"/>
          <w:highlight w:val="yellow"/>
          <w:bdr w:val="single" w:sz="4" w:space="0" w:color="auto"/>
        </w:rPr>
        <w:t>出世</w:t>
      </w:r>
      <w:r w:rsidRPr="00DA3BC7">
        <w:rPr>
          <w:rFonts w:ascii="Times New Roman" w:hAnsi="Times New Roman"/>
          <w:b/>
          <w:sz w:val="20"/>
          <w:szCs w:val="20"/>
          <w:bdr w:val="single" w:sz="4" w:space="0" w:color="auto"/>
        </w:rPr>
        <w:t>的</w:t>
      </w:r>
      <w:r w:rsidR="00FE2486">
        <w:rPr>
          <w:rFonts w:ascii="Times New Roman" w:hAnsi="Times New Roman" w:hint="eastAsia"/>
          <w:b/>
          <w:color w:val="FF0000"/>
          <w:sz w:val="20"/>
          <w:szCs w:val="20"/>
          <w:highlight w:val="yellow"/>
          <w:bdr w:val="single" w:sz="4" w:space="0" w:color="auto"/>
        </w:rPr>
        <w:t>機運與行道</w:t>
      </w:r>
      <w:r w:rsidRPr="00DA3BC7">
        <w:rPr>
          <w:rFonts w:ascii="Times New Roman" w:hAnsi="Times New Roman" w:hint="eastAsia"/>
          <w:sz w:val="20"/>
          <w:szCs w:val="20"/>
        </w:rPr>
        <w:t>（</w:t>
      </w:r>
      <w:r w:rsidRPr="00DA3BC7">
        <w:rPr>
          <w:rFonts w:ascii="Times New Roman" w:hAnsi="Times New Roman"/>
          <w:sz w:val="20"/>
          <w:szCs w:val="20"/>
        </w:rPr>
        <w:t>pp.13-</w:t>
      </w:r>
      <w:r w:rsidRPr="00DA3BC7">
        <w:rPr>
          <w:rFonts w:ascii="Times New Roman" w:hAnsi="Times New Roman"/>
          <w:bCs/>
          <w:sz w:val="20"/>
          <w:szCs w:val="20"/>
        </w:rPr>
        <w:t>14</w:t>
      </w:r>
      <w:r w:rsidRPr="00DA3BC7">
        <w:rPr>
          <w:rFonts w:ascii="Times New Roman" w:hAnsi="Times New Roman" w:hint="eastAsia"/>
          <w:sz w:val="20"/>
          <w:szCs w:val="20"/>
        </w:rPr>
        <w:t>）</w:t>
      </w:r>
    </w:p>
    <w:p w:rsidR="00152ED0" w:rsidRPr="00DA3BC7" w:rsidRDefault="00152ED0" w:rsidP="008E2BBC">
      <w:pPr>
        <w:ind w:leftChars="50" w:left="120"/>
        <w:jc w:val="both"/>
        <w:rPr>
          <w:rFonts w:ascii="Times New Roman" w:hAnsi="Times New Roman"/>
          <w:b/>
          <w:sz w:val="20"/>
          <w:szCs w:val="20"/>
          <w:bdr w:val="single" w:sz="4" w:space="0" w:color="auto"/>
        </w:rPr>
      </w:pPr>
      <w:r w:rsidRPr="00DA3BC7">
        <w:rPr>
          <w:rFonts w:ascii="Times New Roman" w:hAnsi="Times New Roman"/>
          <w:b/>
          <w:sz w:val="20"/>
          <w:szCs w:val="20"/>
          <w:bdr w:val="single" w:sz="4" w:space="0" w:color="auto"/>
        </w:rPr>
        <w:t>（壹）</w:t>
      </w:r>
      <w:r w:rsidR="00FE2486">
        <w:rPr>
          <w:rFonts w:ascii="Times New Roman" w:hAnsi="Times New Roman" w:hint="eastAsia"/>
          <w:b/>
          <w:color w:val="FF0000"/>
          <w:sz w:val="20"/>
          <w:szCs w:val="20"/>
          <w:highlight w:val="yellow"/>
          <w:bdr w:val="single" w:sz="4" w:space="0" w:color="auto"/>
        </w:rPr>
        <w:t>要述</w:t>
      </w:r>
      <w:r w:rsidRPr="00DA3BC7">
        <w:rPr>
          <w:rFonts w:ascii="Times New Roman" w:hAnsi="Times New Roman" w:hint="eastAsia"/>
          <w:bCs/>
          <w:sz w:val="20"/>
          <w:szCs w:val="20"/>
        </w:rPr>
        <w:t>（</w:t>
      </w:r>
      <w:r w:rsidRPr="00DA3BC7">
        <w:rPr>
          <w:rFonts w:ascii="Times New Roman" w:hAnsi="Times New Roman"/>
          <w:bCs/>
          <w:sz w:val="20"/>
          <w:szCs w:val="20"/>
        </w:rPr>
        <w:t>p.13</w:t>
      </w:r>
      <w:r w:rsidRPr="00DA3BC7">
        <w:rPr>
          <w:rFonts w:ascii="Times New Roman" w:hAnsi="Times New Roman" w:hint="eastAsia"/>
          <w:bCs/>
          <w:sz w:val="20"/>
          <w:szCs w:val="20"/>
        </w:rPr>
        <w:t>）</w:t>
      </w:r>
    </w:p>
    <w:p w:rsidR="00152ED0" w:rsidRPr="00DA3BC7" w:rsidRDefault="00152ED0" w:rsidP="008E2BBC">
      <w:pPr>
        <w:ind w:left="119"/>
        <w:jc w:val="both"/>
        <w:rPr>
          <w:rFonts w:ascii="Times New Roman" w:hAnsi="Times New Roman"/>
        </w:rPr>
      </w:pPr>
      <w:r w:rsidRPr="00DA3BC7">
        <w:rPr>
          <w:rFonts w:ascii="Times New Roman" w:hAnsi="Times New Roman"/>
        </w:rPr>
        <w:t>約在西元一百五十至二百五十年間，龍樹出現於印度的佛教界。</w:t>
      </w:r>
      <w:r w:rsidR="00E45D18" w:rsidRPr="00DA3BC7">
        <w:rPr>
          <w:rFonts w:ascii="Times New Roman" w:hAnsi="Times New Roman"/>
          <w:vertAlign w:val="superscript"/>
        </w:rPr>
        <w:footnoteReference w:id="106"/>
      </w:r>
      <w:r w:rsidRPr="00DA3BC7">
        <w:rPr>
          <w:rFonts w:ascii="Times New Roman" w:hAnsi="Times New Roman"/>
        </w:rPr>
        <w:t>他本是印度南方的學者，長養於大乘佛教的環境中。據傳記上說：他出家後，曾到北方的雪山等處修學。</w:t>
      </w:r>
      <w:r w:rsidRPr="00DA3BC7">
        <w:rPr>
          <w:rStyle w:val="a6"/>
          <w:rFonts w:ascii="Times New Roman" w:hAnsi="Times New Roman"/>
        </w:rPr>
        <w:footnoteReference w:id="107"/>
      </w:r>
      <w:r w:rsidRPr="00DA3BC7">
        <w:rPr>
          <w:rFonts w:ascii="Times New Roman" w:hAnsi="Times New Roman"/>
        </w:rPr>
        <w:t>這個環境，造成他綜貫南北、空有思想的特質，成就了他的偉大！</w:t>
      </w:r>
    </w:p>
    <w:p w:rsidR="00152ED0" w:rsidRDefault="00152ED0" w:rsidP="00AE3920">
      <w:pPr>
        <w:spacing w:beforeLines="30"/>
        <w:ind w:leftChars="50" w:left="120"/>
        <w:jc w:val="both"/>
        <w:rPr>
          <w:rFonts w:ascii="Times New Roman" w:hAnsi="Times New Roman"/>
          <w:bCs/>
          <w:sz w:val="20"/>
          <w:szCs w:val="20"/>
        </w:rPr>
      </w:pPr>
      <w:r w:rsidRPr="00DA3BC7">
        <w:rPr>
          <w:rFonts w:ascii="Times New Roman" w:hAnsi="Times New Roman"/>
          <w:b/>
          <w:bCs/>
          <w:sz w:val="20"/>
          <w:szCs w:val="20"/>
          <w:bdr w:val="single" w:sz="4" w:space="0" w:color="auto"/>
        </w:rPr>
        <w:t>（貳）</w:t>
      </w:r>
      <w:r w:rsidR="00FE2486">
        <w:rPr>
          <w:rFonts w:ascii="Times New Roman" w:hAnsi="Times New Roman" w:hint="eastAsia"/>
          <w:b/>
          <w:bCs/>
          <w:color w:val="FF0000"/>
          <w:sz w:val="20"/>
          <w:szCs w:val="20"/>
          <w:highlight w:val="yellow"/>
          <w:bdr w:val="single" w:sz="4" w:space="0" w:color="auto"/>
        </w:rPr>
        <w:t>敘事</w:t>
      </w:r>
      <w:r w:rsidRPr="00DA3BC7">
        <w:rPr>
          <w:rFonts w:ascii="Times New Roman" w:hAnsi="Times New Roman" w:hint="eastAsia"/>
          <w:bCs/>
          <w:sz w:val="20"/>
          <w:szCs w:val="20"/>
        </w:rPr>
        <w:t>（</w:t>
      </w:r>
      <w:r w:rsidRPr="00DA3BC7">
        <w:rPr>
          <w:rFonts w:ascii="Times New Roman" w:hAnsi="Times New Roman"/>
          <w:bCs/>
          <w:sz w:val="20"/>
          <w:szCs w:val="20"/>
        </w:rPr>
        <w:t>p.13</w:t>
      </w:r>
      <w:r w:rsidRPr="00DA3BC7">
        <w:rPr>
          <w:rFonts w:ascii="Times New Roman" w:hAnsi="Times New Roman" w:hint="eastAsia"/>
          <w:bCs/>
          <w:sz w:val="20"/>
          <w:szCs w:val="20"/>
        </w:rPr>
        <w:t>）</w:t>
      </w:r>
    </w:p>
    <w:p w:rsidR="00003707" w:rsidRDefault="00FE2486" w:rsidP="00003707">
      <w:pPr>
        <w:ind w:leftChars="100" w:left="240"/>
        <w:jc w:val="both"/>
        <w:rPr>
          <w:rFonts w:ascii="Times New Roman" w:hAnsi="Times New Roman"/>
          <w:bCs/>
          <w:sz w:val="20"/>
          <w:szCs w:val="20"/>
        </w:rPr>
      </w:pPr>
      <w:r>
        <w:rPr>
          <w:rFonts w:ascii="Times New Roman" w:hAnsi="Times New Roman" w:hint="eastAsia"/>
          <w:b/>
          <w:bCs/>
          <w:color w:val="FF0000"/>
          <w:sz w:val="20"/>
          <w:szCs w:val="20"/>
          <w:highlight w:val="yellow"/>
          <w:bdr w:val="single" w:sz="4" w:space="0" w:color="auto"/>
        </w:rPr>
        <w:t>一、時代背景</w:t>
      </w:r>
      <w:r w:rsidRPr="00DA3BC7">
        <w:rPr>
          <w:rFonts w:ascii="Times New Roman" w:hAnsi="Times New Roman" w:hint="eastAsia"/>
          <w:bCs/>
          <w:sz w:val="20"/>
          <w:szCs w:val="20"/>
        </w:rPr>
        <w:t>（</w:t>
      </w:r>
      <w:r w:rsidRPr="00DA3BC7">
        <w:rPr>
          <w:rFonts w:ascii="Times New Roman" w:hAnsi="Times New Roman"/>
          <w:bCs/>
          <w:sz w:val="20"/>
          <w:szCs w:val="20"/>
        </w:rPr>
        <w:t>p.13</w:t>
      </w:r>
      <w:r w:rsidRPr="00DA3BC7">
        <w:rPr>
          <w:rFonts w:ascii="Times New Roman" w:hAnsi="Times New Roman" w:hint="eastAsia"/>
          <w:bCs/>
          <w:sz w:val="20"/>
          <w:szCs w:val="20"/>
        </w:rPr>
        <w:t>）</w:t>
      </w:r>
    </w:p>
    <w:p w:rsidR="00152ED0" w:rsidRPr="00DA3BC7" w:rsidRDefault="00152ED0" w:rsidP="00003707">
      <w:pPr>
        <w:ind w:leftChars="100" w:left="240"/>
        <w:jc w:val="both"/>
        <w:rPr>
          <w:rFonts w:ascii="Times New Roman" w:hAnsi="Times New Roman"/>
        </w:rPr>
      </w:pPr>
      <w:r w:rsidRPr="00DA3BC7">
        <w:rPr>
          <w:rFonts w:ascii="Times New Roman" w:hAnsi="Times New Roman"/>
        </w:rPr>
        <w:lastRenderedPageBreak/>
        <w:t>龍樹以前，一味的佛教，向東南方發展的是大眾（又分別說）系，向西北方開展的是上座系。拘泥</w:t>
      </w:r>
      <w:r w:rsidRPr="00DA3BC7">
        <w:rPr>
          <w:rStyle w:val="a6"/>
          <w:rFonts w:ascii="Times New Roman" w:hAnsi="Times New Roman"/>
        </w:rPr>
        <w:footnoteReference w:id="108"/>
      </w:r>
      <w:r w:rsidRPr="00DA3BC7">
        <w:rPr>
          <w:rFonts w:ascii="Times New Roman" w:hAnsi="Times New Roman"/>
        </w:rPr>
        <w:t>而保守的上座系，被呵斥為小乘；活潑而進取的大眾系，漸漸的開拓出大乘佛教。南北、大小，尖銳的對立著。南空北有，各趨一極。北方已完成極端實有的《大毘婆沙論》；南方的偏重理性者，於因果緣起的事相，也不免忽略。這種偏頗</w:t>
      </w:r>
      <w:r w:rsidRPr="00DA3BC7">
        <w:rPr>
          <w:rStyle w:val="a6"/>
          <w:rFonts w:ascii="Times New Roman" w:hAnsi="Times New Roman"/>
        </w:rPr>
        <w:footnoteReference w:id="109"/>
      </w:r>
      <w:r w:rsidRPr="00DA3BC7">
        <w:rPr>
          <w:rFonts w:ascii="Times New Roman" w:hAnsi="Times New Roman"/>
        </w:rPr>
        <w:t>的發展，決非佛教之福。</w:t>
      </w:r>
    </w:p>
    <w:p w:rsidR="00152ED0" w:rsidRPr="00DA3BC7" w:rsidRDefault="00FE2486" w:rsidP="00AE3920">
      <w:pPr>
        <w:spacing w:beforeLines="30"/>
        <w:ind w:leftChars="100" w:left="240"/>
        <w:jc w:val="both"/>
        <w:rPr>
          <w:rFonts w:ascii="Times New Roman" w:hAnsi="Times New Roman"/>
          <w:b/>
          <w:bCs/>
          <w:sz w:val="20"/>
          <w:szCs w:val="20"/>
        </w:rPr>
      </w:pPr>
      <w:r>
        <w:rPr>
          <w:rFonts w:ascii="Times New Roman" w:hAnsi="Times New Roman" w:hint="eastAsia"/>
          <w:b/>
          <w:bCs/>
          <w:color w:val="FF0000"/>
          <w:sz w:val="20"/>
          <w:szCs w:val="20"/>
          <w:highlight w:val="yellow"/>
          <w:bdr w:val="single" w:sz="4" w:space="0" w:color="auto"/>
        </w:rPr>
        <w:t>二、應機施教</w:t>
      </w:r>
      <w:r w:rsidR="00152ED0" w:rsidRPr="00DA3BC7">
        <w:rPr>
          <w:rFonts w:ascii="Times New Roman" w:hAnsi="Times New Roman" w:hint="eastAsia"/>
          <w:bCs/>
          <w:sz w:val="20"/>
          <w:szCs w:val="20"/>
        </w:rPr>
        <w:t>（</w:t>
      </w:r>
      <w:r w:rsidR="00152ED0" w:rsidRPr="00DA3BC7">
        <w:rPr>
          <w:rFonts w:ascii="Times New Roman" w:hAnsi="Times New Roman"/>
          <w:bCs/>
          <w:sz w:val="20"/>
          <w:szCs w:val="20"/>
        </w:rPr>
        <w:t>pp.13-14</w:t>
      </w:r>
      <w:r w:rsidR="00152ED0" w:rsidRPr="00DA3BC7">
        <w:rPr>
          <w:rFonts w:ascii="Times New Roman" w:hAnsi="Times New Roman" w:hint="eastAsia"/>
          <w:bCs/>
          <w:sz w:val="20"/>
          <w:szCs w:val="20"/>
        </w:rPr>
        <w:t>）</w:t>
      </w:r>
    </w:p>
    <w:p w:rsidR="00152ED0" w:rsidRPr="00DA3BC7" w:rsidRDefault="00152ED0" w:rsidP="00003707">
      <w:pPr>
        <w:ind w:leftChars="100" w:left="240"/>
        <w:jc w:val="both"/>
        <w:rPr>
          <w:rFonts w:ascii="Times New Roman" w:hAnsi="Times New Roman"/>
        </w:rPr>
      </w:pPr>
      <w:r w:rsidRPr="00DA3BC7">
        <w:rPr>
          <w:rFonts w:ascii="Times New Roman" w:hAnsi="Times New Roman"/>
        </w:rPr>
        <w:t>龍樹出世時，佛教正傾向於從分化而進入交流與綜合的新機運，於是綜合南北、空有、性相、大小的佛教，再建佛教的中道；但他是以大乘性空為根本的。</w:t>
      </w:r>
    </w:p>
    <w:p w:rsidR="00152ED0" w:rsidRPr="00DA3BC7" w:rsidRDefault="00152ED0" w:rsidP="00AE3920">
      <w:pPr>
        <w:spacing w:beforeLines="30"/>
        <w:jc w:val="both"/>
        <w:rPr>
          <w:rFonts w:ascii="Times New Roman" w:hAnsi="Times New Roman"/>
          <w:b/>
          <w:sz w:val="20"/>
          <w:szCs w:val="20"/>
        </w:rPr>
      </w:pPr>
      <w:r w:rsidRPr="00DA3BC7">
        <w:rPr>
          <w:rFonts w:ascii="Times New Roman" w:hAnsi="Times New Roman" w:hint="eastAsia"/>
          <w:b/>
          <w:sz w:val="20"/>
          <w:szCs w:val="20"/>
          <w:bdr w:val="single" w:sz="4" w:space="0" w:color="auto"/>
        </w:rPr>
        <w:t>貳</w:t>
      </w:r>
      <w:r w:rsidRPr="00DA3BC7">
        <w:rPr>
          <w:rFonts w:ascii="Times New Roman" w:hAnsi="Times New Roman"/>
          <w:b/>
          <w:sz w:val="20"/>
          <w:szCs w:val="20"/>
          <w:bdr w:val="single" w:sz="4" w:space="0" w:color="auto"/>
        </w:rPr>
        <w:t>、龍</w:t>
      </w:r>
      <w:r w:rsidRPr="00FE2486">
        <w:rPr>
          <w:rFonts w:ascii="Times New Roman" w:hAnsi="Times New Roman"/>
          <w:b/>
          <w:sz w:val="20"/>
          <w:szCs w:val="20"/>
          <w:highlight w:val="yellow"/>
          <w:bdr w:val="single" w:sz="4" w:space="0" w:color="auto"/>
        </w:rPr>
        <w:t>樹著</w:t>
      </w:r>
      <w:r w:rsidRPr="00DA3BC7">
        <w:rPr>
          <w:rFonts w:ascii="Times New Roman" w:hAnsi="Times New Roman"/>
          <w:b/>
          <w:sz w:val="20"/>
          <w:szCs w:val="20"/>
          <w:bdr w:val="single" w:sz="4" w:space="0" w:color="auto"/>
        </w:rPr>
        <w:t>作</w:t>
      </w:r>
      <w:r w:rsidR="00FE2486" w:rsidRPr="00FE2486">
        <w:rPr>
          <w:rFonts w:ascii="Times New Roman" w:hAnsi="Times New Roman"/>
          <w:b/>
          <w:color w:val="FF0000"/>
          <w:sz w:val="20"/>
          <w:szCs w:val="20"/>
          <w:highlight w:val="yellow"/>
          <w:bdr w:val="single" w:sz="4" w:space="0" w:color="auto"/>
        </w:rPr>
        <w:t>之</w:t>
      </w:r>
      <w:r w:rsidR="00FE2486" w:rsidRPr="00FE2486">
        <w:rPr>
          <w:rFonts w:ascii="Times New Roman" w:hAnsi="Times New Roman" w:hint="eastAsia"/>
          <w:b/>
          <w:color w:val="FF0000"/>
          <w:sz w:val="20"/>
          <w:szCs w:val="20"/>
          <w:highlight w:val="yellow"/>
          <w:bdr w:val="single" w:sz="4" w:space="0" w:color="auto"/>
        </w:rPr>
        <w:t>考證</w:t>
      </w:r>
      <w:r w:rsidRPr="00DA3BC7">
        <w:rPr>
          <w:rFonts w:ascii="Times New Roman" w:hAnsi="Times New Roman" w:hint="eastAsia"/>
          <w:sz w:val="20"/>
          <w:szCs w:val="20"/>
        </w:rPr>
        <w:t>（</w:t>
      </w:r>
      <w:r w:rsidRPr="00DA3BC7">
        <w:rPr>
          <w:rFonts w:ascii="Times New Roman" w:hAnsi="Times New Roman"/>
          <w:sz w:val="20"/>
          <w:szCs w:val="20"/>
        </w:rPr>
        <w:t>pp.14-</w:t>
      </w:r>
      <w:r w:rsidRPr="00DA3BC7">
        <w:rPr>
          <w:rFonts w:ascii="Times New Roman" w:hAnsi="Times New Roman"/>
          <w:bCs/>
          <w:sz w:val="20"/>
          <w:szCs w:val="20"/>
        </w:rPr>
        <w:t>15</w:t>
      </w:r>
      <w:r w:rsidRPr="00DA3BC7">
        <w:rPr>
          <w:rFonts w:ascii="Times New Roman" w:hAnsi="Times New Roman" w:hint="eastAsia"/>
          <w:sz w:val="20"/>
          <w:szCs w:val="20"/>
        </w:rPr>
        <w:t>）</w:t>
      </w:r>
    </w:p>
    <w:p w:rsidR="00003707" w:rsidRDefault="00152ED0" w:rsidP="00003707">
      <w:pPr>
        <w:ind w:leftChars="50" w:left="120"/>
        <w:jc w:val="both"/>
        <w:rPr>
          <w:rFonts w:ascii="Times New Roman" w:hAnsi="Times New Roman"/>
          <w:sz w:val="20"/>
          <w:szCs w:val="20"/>
        </w:rPr>
      </w:pPr>
      <w:r w:rsidRPr="00DA3BC7">
        <w:rPr>
          <w:rFonts w:ascii="Times New Roman" w:hAnsi="Times New Roman"/>
          <w:b/>
          <w:sz w:val="20"/>
          <w:szCs w:val="20"/>
          <w:bdr w:val="single" w:sz="4" w:space="0" w:color="auto"/>
        </w:rPr>
        <w:t>（壹）</w:t>
      </w:r>
      <w:r w:rsidR="00FE2486">
        <w:rPr>
          <w:rFonts w:ascii="Times New Roman" w:hAnsi="Times New Roman" w:hint="eastAsia"/>
          <w:b/>
          <w:color w:val="FF0000"/>
          <w:sz w:val="20"/>
          <w:szCs w:val="20"/>
          <w:highlight w:val="yellow"/>
          <w:bdr w:val="single" w:sz="4" w:space="0" w:color="auto"/>
        </w:rPr>
        <w:t>總說</w:t>
      </w:r>
      <w:r w:rsidRPr="00DA3BC7">
        <w:rPr>
          <w:rFonts w:ascii="Times New Roman" w:hAnsi="Times New Roman" w:hint="eastAsia"/>
          <w:sz w:val="20"/>
          <w:szCs w:val="20"/>
        </w:rPr>
        <w:t>（</w:t>
      </w:r>
      <w:r w:rsidRPr="00DA3BC7">
        <w:rPr>
          <w:rFonts w:ascii="Times New Roman" w:hAnsi="Times New Roman"/>
          <w:sz w:val="20"/>
          <w:szCs w:val="20"/>
        </w:rPr>
        <w:t>p.14</w:t>
      </w:r>
      <w:r w:rsidRPr="00DA3BC7">
        <w:rPr>
          <w:rFonts w:ascii="Times New Roman" w:hAnsi="Times New Roman" w:hint="eastAsia"/>
          <w:sz w:val="20"/>
          <w:szCs w:val="20"/>
        </w:rPr>
        <w:t>）</w:t>
      </w:r>
    </w:p>
    <w:p w:rsidR="00152ED0" w:rsidRPr="00DA3BC7" w:rsidRDefault="00152ED0" w:rsidP="00003707">
      <w:pPr>
        <w:ind w:leftChars="50" w:left="120"/>
        <w:jc w:val="both"/>
        <w:rPr>
          <w:rFonts w:ascii="Times New Roman" w:hAnsi="Times New Roman"/>
        </w:rPr>
      </w:pPr>
      <w:r w:rsidRPr="00DA3BC7">
        <w:rPr>
          <w:rFonts w:ascii="Times New Roman" w:hAnsi="Times New Roman"/>
          <w:bCs/>
        </w:rPr>
        <w:t>龍樹造的論典，中國內地以及</w:t>
      </w:r>
      <w:r w:rsidRPr="00DA3BC7">
        <w:rPr>
          <w:rFonts w:ascii="Times New Roman" w:hAnsi="Times New Roman"/>
        </w:rPr>
        <w:t>西藏，譯傳的很多。主要的部分，可分為兩類：一、深觀論，二、廣行論。</w:t>
      </w:r>
      <w:r w:rsidR="00286DF2" w:rsidRPr="000C6D3F">
        <w:rPr>
          <w:rStyle w:val="a6"/>
          <w:rFonts w:ascii="Times New Roman" w:hAnsi="Times New Roman"/>
          <w:color w:val="FF0000"/>
          <w:highlight w:val="yellow"/>
        </w:rPr>
        <w:footnoteReference w:id="110"/>
      </w:r>
    </w:p>
    <w:p w:rsidR="00152ED0" w:rsidRPr="00DA3BC7" w:rsidRDefault="00FE2486" w:rsidP="00AE3920">
      <w:pPr>
        <w:spacing w:beforeLines="30"/>
        <w:ind w:leftChars="50" w:left="120"/>
        <w:jc w:val="both"/>
        <w:rPr>
          <w:rFonts w:ascii="Times New Roman" w:hAnsi="Times New Roman"/>
          <w:b/>
          <w:sz w:val="20"/>
          <w:szCs w:val="20"/>
        </w:rPr>
      </w:pPr>
      <w:r w:rsidRPr="00FE2486">
        <w:rPr>
          <w:rFonts w:ascii="Times New Roman" w:hAnsi="Times New Roman"/>
          <w:b/>
          <w:color w:val="FF0000"/>
          <w:sz w:val="20"/>
          <w:szCs w:val="20"/>
          <w:highlight w:val="yellow"/>
          <w:bdr w:val="single" w:sz="4" w:space="0" w:color="auto"/>
        </w:rPr>
        <w:lastRenderedPageBreak/>
        <w:t>（</w:t>
      </w:r>
      <w:r>
        <w:rPr>
          <w:rFonts w:ascii="Times New Roman" w:hAnsi="Times New Roman" w:hint="eastAsia"/>
          <w:b/>
          <w:color w:val="FF0000"/>
          <w:sz w:val="20"/>
          <w:szCs w:val="20"/>
          <w:highlight w:val="yellow"/>
          <w:bdr w:val="single" w:sz="4" w:space="0" w:color="auto"/>
        </w:rPr>
        <w:t>貳</w:t>
      </w:r>
      <w:r w:rsidRPr="00FE2486">
        <w:rPr>
          <w:rFonts w:ascii="Times New Roman" w:hAnsi="Times New Roman"/>
          <w:b/>
          <w:color w:val="FF0000"/>
          <w:sz w:val="20"/>
          <w:szCs w:val="20"/>
          <w:highlight w:val="yellow"/>
          <w:bdr w:val="single" w:sz="4" w:space="0" w:color="auto"/>
        </w:rPr>
        <w:t>）</w:t>
      </w:r>
      <w:r w:rsidR="00152ED0" w:rsidRPr="00DA3BC7">
        <w:rPr>
          <w:rFonts w:ascii="Times New Roman" w:hAnsi="Times New Roman"/>
          <w:b/>
          <w:sz w:val="20"/>
          <w:szCs w:val="20"/>
          <w:bdr w:val="single" w:sz="4" w:space="0" w:color="auto"/>
        </w:rPr>
        <w:t>別述</w:t>
      </w:r>
      <w:r w:rsidR="00152ED0" w:rsidRPr="00DA3BC7">
        <w:rPr>
          <w:rFonts w:ascii="Times New Roman" w:hAnsi="Times New Roman" w:hint="eastAsia"/>
          <w:bCs/>
          <w:sz w:val="20"/>
          <w:szCs w:val="20"/>
        </w:rPr>
        <w:t>（</w:t>
      </w:r>
      <w:r w:rsidR="00152ED0" w:rsidRPr="00DA3BC7">
        <w:rPr>
          <w:rFonts w:ascii="Times New Roman" w:hAnsi="Times New Roman"/>
          <w:bCs/>
          <w:sz w:val="20"/>
          <w:szCs w:val="20"/>
        </w:rPr>
        <w:t>p.14</w:t>
      </w:r>
      <w:r w:rsidR="00152ED0" w:rsidRPr="00DA3BC7">
        <w:rPr>
          <w:rFonts w:ascii="Times New Roman" w:hAnsi="Times New Roman" w:hint="eastAsia"/>
          <w:bCs/>
          <w:sz w:val="20"/>
          <w:szCs w:val="20"/>
        </w:rPr>
        <w:t>）</w:t>
      </w:r>
    </w:p>
    <w:p w:rsidR="00FE2486" w:rsidRPr="00DA3BC7" w:rsidRDefault="00FE2486" w:rsidP="008E2BBC">
      <w:pPr>
        <w:ind w:leftChars="100" w:left="240"/>
        <w:jc w:val="both"/>
        <w:rPr>
          <w:rFonts w:ascii="Times New Roman" w:hAnsi="Times New Roman"/>
          <w:b/>
          <w:sz w:val="20"/>
          <w:szCs w:val="20"/>
          <w:bdr w:val="single" w:sz="4" w:space="0" w:color="auto"/>
        </w:rPr>
      </w:pPr>
      <w:r w:rsidRPr="00DA3BC7">
        <w:rPr>
          <w:rFonts w:ascii="Times New Roman" w:hAnsi="Times New Roman"/>
          <w:b/>
          <w:sz w:val="20"/>
          <w:szCs w:val="20"/>
          <w:bdr w:val="single" w:sz="4" w:space="0" w:color="auto"/>
        </w:rPr>
        <w:t>一、</w:t>
      </w:r>
      <w:r>
        <w:rPr>
          <w:rFonts w:ascii="Times New Roman" w:hAnsi="Times New Roman" w:hint="eastAsia"/>
          <w:b/>
          <w:color w:val="FF0000"/>
          <w:sz w:val="20"/>
          <w:szCs w:val="20"/>
          <w:highlight w:val="yellow"/>
          <w:bdr w:val="single" w:sz="4" w:space="0" w:color="auto"/>
        </w:rPr>
        <w:t>約類分說</w:t>
      </w:r>
      <w:r w:rsidRPr="00DA3BC7">
        <w:rPr>
          <w:rFonts w:ascii="Times New Roman" w:hAnsi="Times New Roman" w:hint="eastAsia"/>
          <w:sz w:val="20"/>
          <w:szCs w:val="20"/>
        </w:rPr>
        <w:t>（</w:t>
      </w:r>
      <w:r w:rsidRPr="00DA3BC7">
        <w:rPr>
          <w:rFonts w:ascii="Times New Roman" w:hAnsi="Times New Roman"/>
          <w:sz w:val="20"/>
          <w:szCs w:val="20"/>
        </w:rPr>
        <w:t>p.14</w:t>
      </w:r>
      <w:r w:rsidRPr="00DA3BC7">
        <w:rPr>
          <w:rFonts w:ascii="Times New Roman" w:hAnsi="Times New Roman" w:hint="eastAsia"/>
          <w:sz w:val="20"/>
          <w:szCs w:val="20"/>
        </w:rPr>
        <w:t>）</w:t>
      </w:r>
    </w:p>
    <w:p w:rsidR="00152ED0" w:rsidRPr="00DA3BC7" w:rsidRDefault="00152ED0" w:rsidP="008E2BBC">
      <w:pPr>
        <w:ind w:leftChars="150" w:left="360"/>
        <w:jc w:val="both"/>
        <w:rPr>
          <w:rFonts w:ascii="Times New Roman" w:hAnsi="Times New Roman"/>
          <w:b/>
          <w:sz w:val="20"/>
          <w:szCs w:val="20"/>
          <w:bdr w:val="single" w:sz="4" w:space="0" w:color="auto"/>
        </w:rPr>
      </w:pPr>
      <w:r w:rsidRPr="00DA3BC7">
        <w:rPr>
          <w:rFonts w:ascii="Times New Roman" w:hAnsi="Times New Roman"/>
          <w:b/>
          <w:sz w:val="20"/>
          <w:szCs w:val="20"/>
          <w:bdr w:val="single" w:sz="4" w:space="0" w:color="auto"/>
        </w:rPr>
        <w:t>（一）</w:t>
      </w:r>
      <w:r w:rsidR="00FE2486">
        <w:rPr>
          <w:rFonts w:ascii="Times New Roman" w:hAnsi="Times New Roman" w:hint="eastAsia"/>
          <w:b/>
          <w:color w:val="FF0000"/>
          <w:sz w:val="20"/>
          <w:szCs w:val="20"/>
          <w:highlight w:val="yellow"/>
          <w:bdr w:val="single" w:sz="4" w:space="0" w:color="auto"/>
        </w:rPr>
        <w:t>概說名義</w:t>
      </w:r>
      <w:r w:rsidRPr="00DA3BC7">
        <w:rPr>
          <w:rFonts w:ascii="Times New Roman" w:hAnsi="Times New Roman" w:hint="eastAsia"/>
          <w:sz w:val="20"/>
          <w:szCs w:val="20"/>
        </w:rPr>
        <w:t>（</w:t>
      </w:r>
      <w:r w:rsidRPr="00DA3BC7">
        <w:rPr>
          <w:rFonts w:ascii="Times New Roman" w:hAnsi="Times New Roman"/>
          <w:sz w:val="20"/>
          <w:szCs w:val="20"/>
        </w:rPr>
        <w:t>p.14</w:t>
      </w:r>
      <w:r w:rsidRPr="00DA3BC7">
        <w:rPr>
          <w:rFonts w:ascii="Times New Roman" w:hAnsi="Times New Roman" w:hint="eastAsia"/>
          <w:sz w:val="20"/>
          <w:szCs w:val="20"/>
        </w:rPr>
        <w:t>）</w:t>
      </w:r>
    </w:p>
    <w:p w:rsidR="00003707" w:rsidRDefault="00152ED0" w:rsidP="00003707">
      <w:pPr>
        <w:ind w:leftChars="150" w:left="1081" w:hangingChars="300" w:hanging="721"/>
        <w:jc w:val="both"/>
        <w:rPr>
          <w:rFonts w:ascii="Times New Roman" w:hAnsi="Times New Roman"/>
        </w:rPr>
      </w:pPr>
      <w:r w:rsidRPr="00DA3BC7">
        <w:rPr>
          <w:rFonts w:ascii="Times New Roman" w:hAnsi="Times New Roman"/>
          <w:b/>
        </w:rPr>
        <w:t>深觀</w:t>
      </w:r>
      <w:r w:rsidRPr="00DA3BC7">
        <w:rPr>
          <w:rFonts w:ascii="Times New Roman" w:hAnsi="Times New Roman"/>
        </w:rPr>
        <w:t>，如《中論》、《十二門論》等，以探究諸法的實相為中心，為迷悟的關鍵所在，所以名之為深觀。</w:t>
      </w:r>
    </w:p>
    <w:p w:rsidR="00152ED0" w:rsidRPr="00DA3BC7" w:rsidRDefault="00152ED0" w:rsidP="00003707">
      <w:pPr>
        <w:ind w:leftChars="150" w:left="1081" w:hangingChars="300" w:hanging="721"/>
        <w:jc w:val="both"/>
        <w:rPr>
          <w:rFonts w:ascii="Times New Roman" w:hAnsi="Times New Roman"/>
        </w:rPr>
      </w:pPr>
      <w:r w:rsidRPr="00DA3BC7">
        <w:rPr>
          <w:rFonts w:ascii="Times New Roman" w:hAnsi="Times New Roman"/>
          <w:b/>
        </w:rPr>
        <w:t>廣行</w:t>
      </w:r>
      <w:r w:rsidRPr="00DA3BC7">
        <w:rPr>
          <w:rFonts w:ascii="Times New Roman" w:hAnsi="Times New Roman"/>
        </w:rPr>
        <w:t>，如《大智度論》、《十住毘婆沙論》、《菩提資糧論》等，這是以菩薩的廣大行果為主的。</w:t>
      </w:r>
    </w:p>
    <w:p w:rsidR="00152ED0" w:rsidRPr="00DA3BC7" w:rsidRDefault="00152ED0" w:rsidP="00AE3920">
      <w:pPr>
        <w:spacing w:beforeLines="30"/>
        <w:ind w:leftChars="150" w:left="360"/>
        <w:jc w:val="both"/>
        <w:rPr>
          <w:rFonts w:ascii="Times New Roman" w:hAnsi="Times New Roman"/>
          <w:b/>
          <w:sz w:val="20"/>
          <w:szCs w:val="20"/>
        </w:rPr>
      </w:pPr>
      <w:r w:rsidRPr="00FE2486">
        <w:rPr>
          <w:rFonts w:ascii="Times New Roman" w:hAnsi="Times New Roman"/>
          <w:b/>
          <w:color w:val="FF0000"/>
          <w:sz w:val="20"/>
          <w:szCs w:val="20"/>
          <w:highlight w:val="yellow"/>
          <w:bdr w:val="single" w:sz="4" w:space="0" w:color="auto"/>
        </w:rPr>
        <w:t>（</w:t>
      </w:r>
      <w:r w:rsidR="00FE2486" w:rsidRPr="00FE2486">
        <w:rPr>
          <w:rFonts w:ascii="Times New Roman" w:hAnsi="Times New Roman" w:hint="eastAsia"/>
          <w:b/>
          <w:color w:val="FF0000"/>
          <w:sz w:val="20"/>
          <w:szCs w:val="20"/>
          <w:highlight w:val="yellow"/>
          <w:bdr w:val="single" w:sz="4" w:space="0" w:color="auto"/>
        </w:rPr>
        <w:t>二</w:t>
      </w:r>
      <w:r w:rsidRPr="00FE2486">
        <w:rPr>
          <w:rFonts w:ascii="Times New Roman" w:hAnsi="Times New Roman"/>
          <w:b/>
          <w:color w:val="FF0000"/>
          <w:sz w:val="20"/>
          <w:szCs w:val="20"/>
          <w:highlight w:val="yellow"/>
          <w:bdr w:val="single" w:sz="4" w:space="0" w:color="auto"/>
        </w:rPr>
        <w:t>）</w:t>
      </w:r>
      <w:r w:rsidR="00FE2486" w:rsidRPr="00FE2486">
        <w:rPr>
          <w:rFonts w:ascii="Times New Roman" w:hAnsi="Times New Roman" w:hint="eastAsia"/>
          <w:b/>
          <w:color w:val="FF0000"/>
          <w:sz w:val="20"/>
          <w:szCs w:val="20"/>
          <w:highlight w:val="yellow"/>
          <w:bdr w:val="single" w:sz="4" w:space="0" w:color="auto"/>
        </w:rPr>
        <w:t>闡述</w:t>
      </w:r>
      <w:r w:rsidRPr="00FE2486">
        <w:rPr>
          <w:rFonts w:ascii="Times New Roman" w:hAnsi="Times New Roman"/>
          <w:b/>
          <w:color w:val="FF0000"/>
          <w:sz w:val="20"/>
          <w:szCs w:val="20"/>
          <w:highlight w:val="yellow"/>
          <w:bdr w:val="single" w:sz="4" w:space="0" w:color="auto"/>
        </w:rPr>
        <w:t>觀行</w:t>
      </w:r>
      <w:r w:rsidRPr="00DA3BC7">
        <w:rPr>
          <w:rFonts w:ascii="Times New Roman" w:hAnsi="Times New Roman" w:hint="eastAsia"/>
          <w:sz w:val="20"/>
          <w:szCs w:val="20"/>
        </w:rPr>
        <w:t>（</w:t>
      </w:r>
      <w:r w:rsidRPr="00DA3BC7">
        <w:rPr>
          <w:rFonts w:ascii="Times New Roman" w:hAnsi="Times New Roman"/>
          <w:sz w:val="20"/>
          <w:szCs w:val="20"/>
        </w:rPr>
        <w:t>pp.14-</w:t>
      </w:r>
      <w:r w:rsidRPr="00DA3BC7">
        <w:rPr>
          <w:rFonts w:ascii="Times New Roman" w:hAnsi="Times New Roman"/>
          <w:bCs/>
          <w:sz w:val="20"/>
          <w:szCs w:val="20"/>
        </w:rPr>
        <w:t>15</w:t>
      </w:r>
      <w:r w:rsidRPr="00DA3BC7">
        <w:rPr>
          <w:rFonts w:ascii="Times New Roman" w:hAnsi="Times New Roman" w:hint="eastAsia"/>
          <w:sz w:val="20"/>
          <w:szCs w:val="20"/>
        </w:rPr>
        <w:t>）</w:t>
      </w:r>
    </w:p>
    <w:p w:rsidR="007B290F" w:rsidRDefault="00FE2486" w:rsidP="007B290F">
      <w:pPr>
        <w:ind w:leftChars="200" w:left="480"/>
        <w:jc w:val="both"/>
        <w:rPr>
          <w:rFonts w:ascii="Times New Roman" w:hAnsi="Times New Roman"/>
          <w:sz w:val="20"/>
          <w:szCs w:val="20"/>
        </w:rPr>
      </w:pPr>
      <w:r w:rsidRPr="00FE2486">
        <w:rPr>
          <w:rFonts w:ascii="Times New Roman" w:hAnsi="Times New Roman" w:hint="eastAsia"/>
          <w:b/>
          <w:color w:val="FF0000"/>
          <w:sz w:val="20"/>
          <w:szCs w:val="20"/>
          <w:highlight w:val="yellow"/>
          <w:bdr w:val="single" w:sz="4" w:space="0" w:color="auto"/>
        </w:rPr>
        <w:t>1</w:t>
      </w:r>
      <w:r w:rsidR="00152ED0" w:rsidRPr="00FE2486">
        <w:rPr>
          <w:rFonts w:ascii="Times New Roman" w:hAnsi="Times New Roman"/>
          <w:b/>
          <w:color w:val="FF0000"/>
          <w:sz w:val="20"/>
          <w:szCs w:val="20"/>
          <w:highlight w:val="yellow"/>
          <w:bdr w:val="single" w:sz="4" w:space="0" w:color="auto"/>
        </w:rPr>
        <w:t>、</w:t>
      </w:r>
      <w:r w:rsidRPr="00FE2486">
        <w:rPr>
          <w:rFonts w:ascii="Times New Roman" w:hAnsi="Times New Roman" w:hint="eastAsia"/>
          <w:b/>
          <w:color w:val="FF0000"/>
          <w:sz w:val="20"/>
          <w:szCs w:val="20"/>
          <w:highlight w:val="yellow"/>
          <w:bdr w:val="single" w:sz="4" w:space="0" w:color="auto"/>
        </w:rPr>
        <w:t>敘諸家之</w:t>
      </w:r>
      <w:r>
        <w:rPr>
          <w:rFonts w:ascii="Times New Roman" w:hAnsi="Times New Roman" w:hint="eastAsia"/>
          <w:b/>
          <w:color w:val="FF0000"/>
          <w:sz w:val="20"/>
          <w:szCs w:val="20"/>
          <w:highlight w:val="yellow"/>
          <w:bdr w:val="single" w:sz="4" w:space="0" w:color="auto"/>
        </w:rPr>
        <w:t>見</w:t>
      </w:r>
      <w:r w:rsidR="00152ED0" w:rsidRPr="00DA3BC7">
        <w:rPr>
          <w:rFonts w:ascii="Times New Roman" w:hAnsi="Times New Roman" w:hint="eastAsia"/>
          <w:sz w:val="20"/>
          <w:szCs w:val="20"/>
        </w:rPr>
        <w:t>（</w:t>
      </w:r>
      <w:r w:rsidR="00152ED0" w:rsidRPr="00DA3BC7">
        <w:rPr>
          <w:rFonts w:ascii="Times New Roman" w:hAnsi="Times New Roman"/>
          <w:sz w:val="20"/>
          <w:szCs w:val="20"/>
        </w:rPr>
        <w:t>p.14</w:t>
      </w:r>
      <w:r w:rsidR="00152ED0" w:rsidRPr="00DA3BC7">
        <w:rPr>
          <w:rFonts w:ascii="Times New Roman" w:hAnsi="Times New Roman" w:hint="eastAsia"/>
          <w:sz w:val="20"/>
          <w:szCs w:val="20"/>
        </w:rPr>
        <w:t>）</w:t>
      </w:r>
    </w:p>
    <w:p w:rsidR="007B290F" w:rsidRDefault="00152ED0" w:rsidP="007B290F">
      <w:pPr>
        <w:ind w:leftChars="200" w:left="480"/>
        <w:jc w:val="both"/>
        <w:rPr>
          <w:rFonts w:ascii="Times New Roman" w:hAnsi="Times New Roman"/>
        </w:rPr>
      </w:pPr>
      <w:r w:rsidRPr="00DA3BC7">
        <w:rPr>
          <w:rFonts w:ascii="Times New Roman" w:hAnsi="Times New Roman"/>
        </w:rPr>
        <w:t>這兩類，</w:t>
      </w:r>
    </w:p>
    <w:p w:rsidR="00286DF2" w:rsidRDefault="00152ED0" w:rsidP="007B290F">
      <w:pPr>
        <w:ind w:leftChars="200" w:left="1680" w:hangingChars="500" w:hanging="1200"/>
        <w:jc w:val="both"/>
        <w:rPr>
          <w:rFonts w:ascii="Times New Roman" w:hAnsi="Times New Roman"/>
        </w:rPr>
      </w:pPr>
      <w:r w:rsidRPr="00DA3BC7">
        <w:rPr>
          <w:rFonts w:ascii="Times New Roman" w:hAnsi="Times New Roman"/>
        </w:rPr>
        <w:t>有的以為：菩薩行包含歸依、布施、持戒等行法，佛陀自證化他的果德主要為引發信願以及積集福智的資糧。資糧具足了，成為可能解脫的根機，這再側重於慧行的深觀。</w:t>
      </w:r>
    </w:p>
    <w:p w:rsidR="007B290F" w:rsidRDefault="00152ED0" w:rsidP="006A46EC">
      <w:pPr>
        <w:adjustRightInd w:val="0"/>
        <w:snapToGrid w:val="0"/>
        <w:ind w:leftChars="200" w:left="1680" w:hangingChars="500" w:hanging="1200"/>
        <w:jc w:val="both"/>
        <w:rPr>
          <w:rFonts w:ascii="Times New Roman" w:hAnsi="Times New Roman"/>
        </w:rPr>
      </w:pPr>
      <w:r w:rsidRPr="00B505BD">
        <w:rPr>
          <w:rFonts w:ascii="Times New Roman" w:hAnsi="Times New Roman"/>
          <w:highlight w:val="yellow"/>
        </w:rPr>
        <w:t>這</w:t>
      </w:r>
      <w:r w:rsidRPr="00DA3BC7">
        <w:rPr>
          <w:rFonts w:ascii="Times New Roman" w:hAnsi="Times New Roman"/>
        </w:rPr>
        <w:t>即是說先以廣大行的資糧為基礎，再進而深入究極徹證的深觀。</w:t>
      </w:r>
    </w:p>
    <w:p w:rsidR="00152ED0" w:rsidRPr="00DA3BC7" w:rsidRDefault="00152ED0" w:rsidP="006A46EC">
      <w:pPr>
        <w:ind w:leftChars="200" w:left="1920" w:hangingChars="600" w:hanging="1440"/>
        <w:jc w:val="both"/>
        <w:rPr>
          <w:rFonts w:ascii="Times New Roman" w:hAnsi="Times New Roman"/>
        </w:rPr>
      </w:pPr>
      <w:r w:rsidRPr="00DA3BC7">
        <w:rPr>
          <w:rFonts w:ascii="Times New Roman" w:hAnsi="Times New Roman"/>
        </w:rPr>
        <w:t>但另有人說：般若為三乘之母，三乘學者都依此深觀而證悟與解脫的；廣大行才是大乘不共於小乘的特色。</w:t>
      </w:r>
    </w:p>
    <w:p w:rsidR="00152ED0" w:rsidRPr="00DA3BC7" w:rsidRDefault="00FE2486" w:rsidP="00AE3920">
      <w:pPr>
        <w:spacing w:beforeLines="30"/>
        <w:ind w:leftChars="200" w:left="480"/>
        <w:jc w:val="both"/>
        <w:rPr>
          <w:rFonts w:ascii="Times New Roman" w:hAnsi="Times New Roman"/>
          <w:b/>
          <w:bCs/>
          <w:sz w:val="20"/>
          <w:szCs w:val="20"/>
        </w:rPr>
      </w:pPr>
      <w:r w:rsidRPr="00FE2486">
        <w:rPr>
          <w:rFonts w:ascii="Times New Roman" w:hAnsi="Times New Roman" w:hint="eastAsia"/>
          <w:b/>
          <w:bCs/>
          <w:color w:val="FF0000"/>
          <w:sz w:val="20"/>
          <w:szCs w:val="20"/>
          <w:highlight w:val="yellow"/>
          <w:bdr w:val="single" w:sz="4" w:space="0" w:color="auto"/>
        </w:rPr>
        <w:t>2</w:t>
      </w:r>
      <w:r w:rsidR="00152ED0" w:rsidRPr="00FE2486">
        <w:rPr>
          <w:rFonts w:ascii="Times New Roman" w:hAnsi="Times New Roman"/>
          <w:b/>
          <w:bCs/>
          <w:color w:val="FF0000"/>
          <w:sz w:val="20"/>
          <w:szCs w:val="20"/>
          <w:highlight w:val="yellow"/>
          <w:bdr w:val="single" w:sz="4" w:space="0" w:color="auto"/>
        </w:rPr>
        <w:t>、</w:t>
      </w:r>
      <w:r w:rsidRPr="00FE2486">
        <w:rPr>
          <w:rFonts w:ascii="Times New Roman" w:hAnsi="Times New Roman" w:hint="eastAsia"/>
          <w:b/>
          <w:bCs/>
          <w:color w:val="FF0000"/>
          <w:sz w:val="20"/>
          <w:szCs w:val="20"/>
          <w:highlight w:val="yellow"/>
          <w:bdr w:val="single" w:sz="4" w:space="0" w:color="auto"/>
        </w:rPr>
        <w:t>顯</w:t>
      </w:r>
      <w:r w:rsidR="00152ED0" w:rsidRPr="00FE2486">
        <w:rPr>
          <w:rFonts w:ascii="Times New Roman" w:hAnsi="Times New Roman"/>
          <w:b/>
          <w:bCs/>
          <w:color w:val="FF0000"/>
          <w:sz w:val="20"/>
          <w:szCs w:val="20"/>
          <w:highlight w:val="yellow"/>
          <w:bdr w:val="single" w:sz="4" w:space="0" w:color="auto"/>
        </w:rPr>
        <w:t>如實</w:t>
      </w:r>
      <w:r w:rsidRPr="00FE2486">
        <w:rPr>
          <w:rFonts w:ascii="Times New Roman" w:hAnsi="Times New Roman" w:hint="eastAsia"/>
          <w:b/>
          <w:bCs/>
          <w:color w:val="FF0000"/>
          <w:sz w:val="20"/>
          <w:szCs w:val="20"/>
          <w:highlight w:val="yellow"/>
          <w:bdr w:val="single" w:sz="4" w:space="0" w:color="auto"/>
        </w:rPr>
        <w:t>之</w:t>
      </w:r>
      <w:r w:rsidR="00152ED0" w:rsidRPr="00FE2486">
        <w:rPr>
          <w:rFonts w:ascii="Times New Roman" w:hAnsi="Times New Roman"/>
          <w:b/>
          <w:bCs/>
          <w:color w:val="FF0000"/>
          <w:sz w:val="20"/>
          <w:szCs w:val="20"/>
          <w:highlight w:val="yellow"/>
          <w:bdr w:val="single" w:sz="4" w:space="0" w:color="auto"/>
        </w:rPr>
        <w:t>說</w:t>
      </w:r>
      <w:r w:rsidR="00152ED0" w:rsidRPr="00DA3BC7">
        <w:rPr>
          <w:rFonts w:ascii="Times New Roman" w:hAnsi="Times New Roman" w:hint="eastAsia"/>
          <w:bCs/>
          <w:sz w:val="20"/>
          <w:szCs w:val="20"/>
        </w:rPr>
        <w:t>（</w:t>
      </w:r>
      <w:r w:rsidR="00152ED0" w:rsidRPr="00DA3BC7">
        <w:rPr>
          <w:rFonts w:ascii="Times New Roman" w:hAnsi="Times New Roman"/>
          <w:bCs/>
          <w:sz w:val="20"/>
          <w:szCs w:val="20"/>
        </w:rPr>
        <w:t>pp.14-15</w:t>
      </w:r>
      <w:r w:rsidR="00152ED0" w:rsidRPr="00DA3BC7">
        <w:rPr>
          <w:rFonts w:ascii="Times New Roman" w:hAnsi="Times New Roman" w:hint="eastAsia"/>
          <w:bCs/>
          <w:sz w:val="20"/>
          <w:szCs w:val="20"/>
        </w:rPr>
        <w:t>）</w:t>
      </w:r>
    </w:p>
    <w:p w:rsidR="00152ED0" w:rsidRPr="00DA3BC7" w:rsidRDefault="00152ED0" w:rsidP="007B290F">
      <w:pPr>
        <w:ind w:leftChars="200" w:left="1680" w:hangingChars="500" w:hanging="1200"/>
        <w:jc w:val="both"/>
        <w:rPr>
          <w:rFonts w:ascii="Times New Roman" w:hAnsi="Times New Roman"/>
        </w:rPr>
      </w:pPr>
      <w:r w:rsidRPr="00DA3BC7">
        <w:rPr>
          <w:rFonts w:ascii="Times New Roman" w:hAnsi="Times New Roman"/>
        </w:rPr>
        <w:t>如實的說：聲聞、緣覺、菩薩的中道行，都以出世的正見為主導的。依正見而後有信解，依正見而後能修行趣證，就是悟證了以後，也還是不能離此正見的攝導。</w:t>
      </w:r>
    </w:p>
    <w:p w:rsidR="00152ED0" w:rsidRPr="00DA3BC7" w:rsidRDefault="00152ED0" w:rsidP="00AE3920">
      <w:pPr>
        <w:spacing w:beforeLines="20"/>
        <w:ind w:leftChars="200" w:left="480"/>
        <w:jc w:val="both"/>
        <w:rPr>
          <w:rFonts w:ascii="Times New Roman" w:hAnsi="Times New Roman"/>
        </w:rPr>
      </w:pPr>
      <w:r w:rsidRPr="00DA3BC7">
        <w:rPr>
          <w:rFonts w:ascii="Times New Roman" w:hAnsi="Times New Roman"/>
        </w:rPr>
        <w:t>故深觀雖共於三乘，在大乘中，仍是徹始徹終的，唯佛所究竟的。</w:t>
      </w:r>
      <w:r w:rsidRPr="00DA3BC7">
        <w:rPr>
          <w:rStyle w:val="a6"/>
          <w:rFonts w:ascii="Times New Roman" w:hAnsi="Times New Roman"/>
        </w:rPr>
        <w:footnoteReference w:id="111"/>
      </w:r>
    </w:p>
    <w:p w:rsidR="00FE2486" w:rsidRPr="00DA3BC7" w:rsidRDefault="00FE2486" w:rsidP="00AE3920">
      <w:pPr>
        <w:spacing w:beforeLines="30"/>
        <w:ind w:leftChars="200" w:left="480"/>
        <w:jc w:val="both"/>
        <w:rPr>
          <w:rFonts w:ascii="Times New Roman" w:hAnsi="Times New Roman"/>
          <w:b/>
          <w:bCs/>
          <w:sz w:val="20"/>
          <w:szCs w:val="20"/>
        </w:rPr>
      </w:pPr>
      <w:r>
        <w:rPr>
          <w:rFonts w:ascii="Times New Roman" w:hAnsi="Times New Roman" w:hint="eastAsia"/>
          <w:b/>
          <w:bCs/>
          <w:color w:val="FF0000"/>
          <w:sz w:val="20"/>
          <w:szCs w:val="20"/>
          <w:highlight w:val="yellow"/>
          <w:bdr w:val="single" w:sz="4" w:space="0" w:color="auto"/>
        </w:rPr>
        <w:lastRenderedPageBreak/>
        <w:t>3</w:t>
      </w:r>
      <w:r w:rsidRPr="00FE2486">
        <w:rPr>
          <w:rFonts w:ascii="Times New Roman" w:hAnsi="Times New Roman"/>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兼明本書</w:t>
      </w:r>
      <w:r w:rsidRPr="00FE2486">
        <w:rPr>
          <w:rFonts w:ascii="Times New Roman" w:hAnsi="Times New Roman" w:hint="eastAsia"/>
          <w:b/>
          <w:bCs/>
          <w:color w:val="FF0000"/>
          <w:sz w:val="20"/>
          <w:szCs w:val="20"/>
          <w:highlight w:val="yellow"/>
          <w:bdr w:val="single" w:sz="4" w:space="0" w:color="auto"/>
        </w:rPr>
        <w:t>之</w:t>
      </w:r>
      <w:r>
        <w:rPr>
          <w:rFonts w:ascii="Times New Roman" w:hAnsi="Times New Roman" w:hint="eastAsia"/>
          <w:b/>
          <w:bCs/>
          <w:color w:val="FF0000"/>
          <w:sz w:val="20"/>
          <w:szCs w:val="20"/>
          <w:highlight w:val="yellow"/>
          <w:bdr w:val="single" w:sz="4" w:space="0" w:color="auto"/>
        </w:rPr>
        <w:t>論</w:t>
      </w:r>
      <w:r w:rsidRPr="00DA3BC7">
        <w:rPr>
          <w:rFonts w:ascii="Times New Roman" w:hAnsi="Times New Roman" w:hint="eastAsia"/>
          <w:bCs/>
          <w:sz w:val="20"/>
          <w:szCs w:val="20"/>
        </w:rPr>
        <w:t>（</w:t>
      </w:r>
      <w:r w:rsidRPr="00DA3BC7">
        <w:rPr>
          <w:rFonts w:ascii="Times New Roman" w:hAnsi="Times New Roman"/>
          <w:bCs/>
          <w:sz w:val="20"/>
          <w:szCs w:val="20"/>
        </w:rPr>
        <w:t>p.15</w:t>
      </w:r>
      <w:r w:rsidRPr="00DA3BC7">
        <w:rPr>
          <w:rFonts w:ascii="Times New Roman" w:hAnsi="Times New Roman" w:hint="eastAsia"/>
          <w:bCs/>
          <w:sz w:val="20"/>
          <w:szCs w:val="20"/>
        </w:rPr>
        <w:t>）</w:t>
      </w:r>
    </w:p>
    <w:p w:rsidR="00152ED0" w:rsidRPr="00DA3BC7" w:rsidRDefault="00152ED0" w:rsidP="007B290F">
      <w:pPr>
        <w:ind w:leftChars="200" w:left="480"/>
        <w:jc w:val="both"/>
        <w:rPr>
          <w:rFonts w:ascii="Times New Roman" w:hAnsi="Times New Roman"/>
        </w:rPr>
      </w:pPr>
      <w:r w:rsidRPr="00DA3BC7">
        <w:rPr>
          <w:rFonts w:ascii="Times New Roman" w:hAnsi="Times New Roman"/>
        </w:rPr>
        <w:t>本文，即是關於深觀的論述。</w:t>
      </w:r>
    </w:p>
    <w:p w:rsidR="00152ED0" w:rsidRPr="00DA3BC7" w:rsidRDefault="00FE2486" w:rsidP="00AE3920">
      <w:pPr>
        <w:spacing w:beforeLines="30"/>
        <w:ind w:leftChars="100" w:left="240"/>
        <w:jc w:val="both"/>
        <w:rPr>
          <w:rFonts w:ascii="Times New Roman" w:hAnsi="Times New Roman"/>
          <w:b/>
          <w:sz w:val="20"/>
          <w:szCs w:val="20"/>
          <w:bdr w:val="single" w:sz="4" w:space="0" w:color="auto"/>
        </w:rPr>
      </w:pPr>
      <w:r w:rsidRPr="00FE2486">
        <w:rPr>
          <w:rFonts w:ascii="Times New Roman" w:hAnsi="Times New Roman" w:hint="eastAsia"/>
          <w:b/>
          <w:color w:val="FF0000"/>
          <w:sz w:val="20"/>
          <w:szCs w:val="20"/>
          <w:highlight w:val="yellow"/>
          <w:bdr w:val="single" w:sz="4" w:space="0" w:color="auto"/>
        </w:rPr>
        <w:t>二、辨究實情</w:t>
      </w:r>
      <w:r w:rsidR="00152ED0" w:rsidRPr="00DA3BC7">
        <w:rPr>
          <w:rStyle w:val="a6"/>
          <w:rFonts w:ascii="Times New Roman" w:hAnsi="Times New Roman"/>
          <w:bCs/>
        </w:rPr>
        <w:footnoteReference w:id="112"/>
      </w:r>
      <w:r w:rsidR="00152ED0" w:rsidRPr="00DA3BC7">
        <w:rPr>
          <w:rFonts w:ascii="Times New Roman" w:hAnsi="Times New Roman" w:hint="eastAsia"/>
          <w:sz w:val="20"/>
          <w:szCs w:val="20"/>
        </w:rPr>
        <w:t>（</w:t>
      </w:r>
      <w:r w:rsidR="00152ED0" w:rsidRPr="00DA3BC7">
        <w:rPr>
          <w:rFonts w:ascii="Times New Roman" w:hAnsi="Times New Roman"/>
          <w:sz w:val="20"/>
          <w:szCs w:val="20"/>
        </w:rPr>
        <w:t>pp.15-</w:t>
      </w:r>
      <w:r w:rsidR="00152ED0" w:rsidRPr="00DA3BC7">
        <w:rPr>
          <w:rFonts w:ascii="Times New Roman" w:hAnsi="Times New Roman"/>
          <w:bCs/>
          <w:sz w:val="20"/>
          <w:szCs w:val="20"/>
        </w:rPr>
        <w:t>16</w:t>
      </w:r>
      <w:r w:rsidR="00152ED0" w:rsidRPr="00DA3BC7">
        <w:rPr>
          <w:rFonts w:ascii="Times New Roman" w:hAnsi="Times New Roman" w:hint="eastAsia"/>
          <w:sz w:val="20"/>
          <w:szCs w:val="20"/>
        </w:rPr>
        <w:t>）</w:t>
      </w:r>
    </w:p>
    <w:p w:rsidR="00FE2486" w:rsidRDefault="00FE2486" w:rsidP="00C31BFC">
      <w:pPr>
        <w:ind w:leftChars="150" w:left="360"/>
        <w:jc w:val="both"/>
        <w:rPr>
          <w:rFonts w:ascii="Times New Roman" w:hAnsi="Times New Roman"/>
          <w:bCs/>
          <w:sz w:val="20"/>
          <w:szCs w:val="20"/>
        </w:rPr>
      </w:pPr>
      <w:r w:rsidRPr="00FE2486">
        <w:rPr>
          <w:rFonts w:ascii="Times New Roman" w:hAnsi="Times New Roman"/>
          <w:b/>
          <w:bCs/>
          <w:color w:val="FF0000"/>
          <w:sz w:val="20"/>
          <w:szCs w:val="20"/>
          <w:highlight w:val="yellow"/>
          <w:bdr w:val="single" w:sz="4" w:space="0" w:color="auto"/>
        </w:rPr>
        <w:t>（一）</w:t>
      </w:r>
      <w:r w:rsidRPr="00FE2486">
        <w:rPr>
          <w:rFonts w:ascii="Times New Roman" w:hAnsi="Times New Roman" w:hint="eastAsia"/>
          <w:b/>
          <w:bCs/>
          <w:color w:val="FF0000"/>
          <w:sz w:val="20"/>
          <w:szCs w:val="20"/>
          <w:highlight w:val="yellow"/>
          <w:bdr w:val="single" w:sz="4" w:space="0" w:color="auto"/>
        </w:rPr>
        <w:t>考漢藏所傳的書目</w:t>
      </w:r>
      <w:r w:rsidRPr="00DA3BC7">
        <w:rPr>
          <w:rFonts w:ascii="Times New Roman" w:hAnsi="Times New Roman" w:hint="eastAsia"/>
          <w:bCs/>
          <w:sz w:val="20"/>
          <w:szCs w:val="20"/>
        </w:rPr>
        <w:t>（</w:t>
      </w:r>
      <w:r w:rsidRPr="00DA3BC7">
        <w:rPr>
          <w:rFonts w:ascii="Times New Roman" w:hAnsi="Times New Roman"/>
          <w:bCs/>
          <w:sz w:val="20"/>
          <w:szCs w:val="20"/>
        </w:rPr>
        <w:t>p.15</w:t>
      </w:r>
      <w:r w:rsidRPr="00DA3BC7">
        <w:rPr>
          <w:rFonts w:ascii="Times New Roman" w:hAnsi="Times New Roman" w:hint="eastAsia"/>
          <w:bCs/>
          <w:sz w:val="20"/>
          <w:szCs w:val="20"/>
        </w:rPr>
        <w:t>）</w:t>
      </w:r>
    </w:p>
    <w:p w:rsidR="00152ED0" w:rsidRPr="00DA3BC7" w:rsidRDefault="00FE2486" w:rsidP="00C31BFC">
      <w:pPr>
        <w:ind w:leftChars="200" w:left="480"/>
        <w:jc w:val="both"/>
        <w:rPr>
          <w:rFonts w:ascii="Times New Roman" w:hAnsi="Times New Roman"/>
          <w:b/>
          <w:bCs/>
          <w:sz w:val="20"/>
          <w:szCs w:val="20"/>
        </w:rPr>
      </w:pPr>
      <w:r w:rsidRPr="00FE2486">
        <w:rPr>
          <w:rFonts w:ascii="Times New Roman" w:hAnsi="Times New Roman" w:hint="eastAsia"/>
          <w:b/>
          <w:bCs/>
          <w:color w:val="FF0000"/>
          <w:sz w:val="20"/>
          <w:szCs w:val="20"/>
          <w:highlight w:val="yellow"/>
          <w:bdr w:val="single" w:sz="4" w:space="0" w:color="auto"/>
        </w:rPr>
        <w:t>1</w:t>
      </w:r>
      <w:r w:rsidR="00152ED0" w:rsidRPr="00FE2486">
        <w:rPr>
          <w:rFonts w:ascii="Times New Roman" w:hAnsi="Times New Roman"/>
          <w:b/>
          <w:bCs/>
          <w:color w:val="FF0000"/>
          <w:sz w:val="20"/>
          <w:szCs w:val="20"/>
          <w:highlight w:val="yellow"/>
          <w:bdr w:val="single" w:sz="4" w:space="0" w:color="auto"/>
        </w:rPr>
        <w:t>、</w:t>
      </w:r>
      <w:r w:rsidRPr="00FE2486">
        <w:rPr>
          <w:rFonts w:ascii="Times New Roman" w:hAnsi="Times New Roman" w:hint="eastAsia"/>
          <w:b/>
          <w:bCs/>
          <w:color w:val="FF0000"/>
          <w:sz w:val="20"/>
          <w:szCs w:val="20"/>
          <w:highlight w:val="yellow"/>
          <w:bdr w:val="single" w:sz="4" w:space="0" w:color="auto"/>
        </w:rPr>
        <w:t>中土所傳</w:t>
      </w:r>
      <w:r w:rsidR="00152ED0" w:rsidRPr="00DA3BC7">
        <w:rPr>
          <w:rFonts w:ascii="Times New Roman" w:hAnsi="Times New Roman" w:hint="eastAsia"/>
          <w:bCs/>
          <w:sz w:val="20"/>
          <w:szCs w:val="20"/>
        </w:rPr>
        <w:t>（</w:t>
      </w:r>
      <w:r w:rsidR="00152ED0" w:rsidRPr="00DA3BC7">
        <w:rPr>
          <w:rFonts w:ascii="Times New Roman" w:hAnsi="Times New Roman"/>
          <w:bCs/>
          <w:sz w:val="20"/>
          <w:szCs w:val="20"/>
        </w:rPr>
        <w:t>p.15</w:t>
      </w:r>
      <w:r w:rsidR="00152ED0" w:rsidRPr="00DA3BC7">
        <w:rPr>
          <w:rFonts w:ascii="Times New Roman" w:hAnsi="Times New Roman" w:hint="eastAsia"/>
          <w:bCs/>
          <w:sz w:val="20"/>
          <w:szCs w:val="20"/>
        </w:rPr>
        <w:t>）</w:t>
      </w:r>
    </w:p>
    <w:p w:rsidR="00152ED0" w:rsidRPr="00DA3BC7" w:rsidRDefault="00152ED0" w:rsidP="00C31BFC">
      <w:pPr>
        <w:ind w:leftChars="250" w:left="600"/>
        <w:jc w:val="both"/>
        <w:rPr>
          <w:rFonts w:ascii="Times New Roman" w:hAnsi="Times New Roman"/>
          <w:b/>
          <w:bCs/>
          <w:sz w:val="20"/>
          <w:szCs w:val="20"/>
          <w:bdr w:val="single" w:sz="4" w:space="0" w:color="auto"/>
        </w:rPr>
      </w:pPr>
      <w:r w:rsidRPr="00FE2486">
        <w:rPr>
          <w:rFonts w:ascii="Times New Roman" w:hAnsi="Times New Roman"/>
          <w:b/>
          <w:bCs/>
          <w:color w:val="FF0000"/>
          <w:sz w:val="20"/>
          <w:szCs w:val="20"/>
          <w:highlight w:val="yellow"/>
          <w:bdr w:val="single" w:sz="4" w:space="0" w:color="auto"/>
        </w:rPr>
        <w:t>（</w:t>
      </w:r>
      <w:r w:rsidR="00FE2486" w:rsidRPr="00FE2486">
        <w:rPr>
          <w:rFonts w:ascii="Times New Roman" w:hAnsi="Times New Roman" w:hint="eastAsia"/>
          <w:b/>
          <w:bCs/>
          <w:color w:val="FF0000"/>
          <w:sz w:val="20"/>
          <w:szCs w:val="20"/>
          <w:highlight w:val="yellow"/>
          <w:bdr w:val="single" w:sz="4" w:space="0" w:color="auto"/>
        </w:rPr>
        <w:t>1</w:t>
      </w:r>
      <w:r w:rsidRPr="00FE2486">
        <w:rPr>
          <w:rFonts w:ascii="Times New Roman" w:hAnsi="Times New Roman"/>
          <w:b/>
          <w:bCs/>
          <w:color w:val="FF0000"/>
          <w:sz w:val="20"/>
          <w:szCs w:val="20"/>
          <w:highlight w:val="yellow"/>
          <w:bdr w:val="single" w:sz="4" w:space="0" w:color="auto"/>
        </w:rPr>
        <w:t>）</w:t>
      </w:r>
      <w:r w:rsidR="00FE2486" w:rsidRPr="00FE2486">
        <w:rPr>
          <w:rFonts w:ascii="Times New Roman" w:hAnsi="Times New Roman" w:hint="eastAsia"/>
          <w:b/>
          <w:bCs/>
          <w:color w:val="FF0000"/>
          <w:sz w:val="20"/>
          <w:szCs w:val="20"/>
          <w:highlight w:val="yellow"/>
          <w:bdr w:val="single" w:sz="4" w:space="0" w:color="auto"/>
        </w:rPr>
        <w:t>列</w:t>
      </w:r>
      <w:r w:rsidR="00FE2486">
        <w:rPr>
          <w:rFonts w:ascii="Times New Roman" w:hAnsi="Times New Roman" w:hint="eastAsia"/>
          <w:b/>
          <w:bCs/>
          <w:color w:val="FF0000"/>
          <w:sz w:val="20"/>
          <w:szCs w:val="20"/>
          <w:highlight w:val="yellow"/>
          <w:bdr w:val="single" w:sz="4" w:space="0" w:color="auto"/>
        </w:rPr>
        <w:t>出論書之名目</w:t>
      </w:r>
      <w:r w:rsidRPr="00DA3BC7">
        <w:rPr>
          <w:rFonts w:ascii="Times New Roman" w:hAnsi="Times New Roman" w:hint="eastAsia"/>
          <w:bCs/>
          <w:sz w:val="20"/>
          <w:szCs w:val="20"/>
        </w:rPr>
        <w:t>（</w:t>
      </w:r>
      <w:r w:rsidRPr="00DA3BC7">
        <w:rPr>
          <w:rFonts w:ascii="Times New Roman" w:hAnsi="Times New Roman"/>
          <w:bCs/>
          <w:sz w:val="20"/>
          <w:szCs w:val="20"/>
        </w:rPr>
        <w:t>p.15</w:t>
      </w:r>
      <w:r w:rsidRPr="00DA3BC7">
        <w:rPr>
          <w:rFonts w:ascii="Times New Roman" w:hAnsi="Times New Roman" w:hint="eastAsia"/>
          <w:bCs/>
          <w:sz w:val="20"/>
          <w:szCs w:val="20"/>
        </w:rPr>
        <w:t>）</w:t>
      </w:r>
    </w:p>
    <w:p w:rsidR="00152ED0" w:rsidRPr="00DA3BC7" w:rsidRDefault="00FE2486" w:rsidP="00C31BFC">
      <w:pPr>
        <w:ind w:leftChars="300" w:left="720"/>
        <w:jc w:val="both"/>
        <w:rPr>
          <w:rFonts w:ascii="Times New Roman" w:hAnsi="Times New Roman"/>
          <w:b/>
          <w:bCs/>
          <w:sz w:val="20"/>
          <w:szCs w:val="20"/>
          <w:bdr w:val="single" w:sz="4" w:space="0" w:color="auto"/>
        </w:rPr>
      </w:pPr>
      <w:r w:rsidRPr="00C31BFC">
        <w:rPr>
          <w:rFonts w:ascii="Times New Roman" w:hAnsi="Times New Roman" w:hint="eastAsia"/>
          <w:b/>
          <w:bCs/>
          <w:color w:val="FF0000"/>
          <w:sz w:val="20"/>
          <w:szCs w:val="20"/>
          <w:highlight w:val="yellow"/>
          <w:bdr w:val="single" w:sz="4" w:space="0" w:color="auto"/>
        </w:rPr>
        <w:t>A</w:t>
      </w:r>
      <w:r w:rsidR="00152ED0" w:rsidRPr="00C31BFC">
        <w:rPr>
          <w:rFonts w:ascii="Times New Roman" w:hAnsi="Times New Roman"/>
          <w:b/>
          <w:bCs/>
          <w:color w:val="FF0000"/>
          <w:sz w:val="20"/>
          <w:szCs w:val="20"/>
          <w:highlight w:val="yellow"/>
          <w:bdr w:val="single" w:sz="4" w:space="0" w:color="auto"/>
        </w:rPr>
        <w:t>、</w:t>
      </w:r>
      <w:r w:rsidR="00152ED0" w:rsidRPr="00DA3BC7">
        <w:rPr>
          <w:rFonts w:ascii="Times New Roman" w:hAnsi="Times New Roman"/>
          <w:b/>
          <w:bCs/>
          <w:sz w:val="20"/>
          <w:szCs w:val="20"/>
          <w:bdr w:val="single" w:sz="4" w:space="0" w:color="auto"/>
        </w:rPr>
        <w:t>《無畏論》</w:t>
      </w:r>
    </w:p>
    <w:p w:rsidR="00152ED0" w:rsidRPr="00DA3BC7" w:rsidRDefault="00152ED0" w:rsidP="00FE0DA8">
      <w:pPr>
        <w:ind w:leftChars="300" w:left="720"/>
        <w:jc w:val="both"/>
        <w:rPr>
          <w:rFonts w:ascii="Times New Roman" w:hAnsi="Times New Roman"/>
        </w:rPr>
      </w:pPr>
      <w:r w:rsidRPr="00DA3BC7">
        <w:rPr>
          <w:rFonts w:ascii="Times New Roman" w:hAnsi="Times New Roman"/>
        </w:rPr>
        <w:t>關於龍樹深觀的論典，羅什三藏所傳，有長達十萬頌的《無畏論》。</w:t>
      </w:r>
    </w:p>
    <w:p w:rsidR="00152ED0" w:rsidRPr="00DA3BC7" w:rsidRDefault="00FE2486" w:rsidP="00AE3920">
      <w:pPr>
        <w:spacing w:beforeLines="30"/>
        <w:ind w:leftChars="300" w:left="720"/>
        <w:jc w:val="both"/>
        <w:rPr>
          <w:rFonts w:ascii="Times New Roman" w:hAnsi="Times New Roman"/>
          <w:b/>
          <w:bCs/>
          <w:sz w:val="20"/>
          <w:szCs w:val="20"/>
          <w:bdr w:val="single" w:sz="4" w:space="0" w:color="auto"/>
        </w:rPr>
      </w:pPr>
      <w:r>
        <w:rPr>
          <w:rFonts w:ascii="Times New Roman" w:hAnsi="Times New Roman" w:hint="eastAsia"/>
          <w:b/>
          <w:bCs/>
          <w:color w:val="FF0000"/>
          <w:sz w:val="20"/>
          <w:szCs w:val="20"/>
          <w:highlight w:val="yellow"/>
          <w:bdr w:val="single" w:sz="4" w:space="0" w:color="auto"/>
        </w:rPr>
        <w:t>B</w:t>
      </w:r>
      <w:r w:rsidR="00152ED0" w:rsidRPr="00C31BFC">
        <w:rPr>
          <w:rFonts w:ascii="Times New Roman" w:hAnsi="Times New Roman"/>
          <w:b/>
          <w:bCs/>
          <w:color w:val="FF0000"/>
          <w:sz w:val="20"/>
          <w:szCs w:val="20"/>
          <w:highlight w:val="yellow"/>
          <w:bdr w:val="single" w:sz="4" w:space="0" w:color="auto"/>
        </w:rPr>
        <w:t>、</w:t>
      </w:r>
      <w:r w:rsidR="00152ED0" w:rsidRPr="00DA3BC7">
        <w:rPr>
          <w:rFonts w:ascii="Times New Roman" w:hAnsi="Times New Roman"/>
          <w:b/>
          <w:bCs/>
          <w:sz w:val="20"/>
          <w:szCs w:val="20"/>
          <w:bdr w:val="single" w:sz="4" w:space="0" w:color="auto"/>
        </w:rPr>
        <w:t>《中論》</w:t>
      </w:r>
    </w:p>
    <w:p w:rsidR="00152ED0" w:rsidRPr="00DA3BC7" w:rsidRDefault="00152ED0" w:rsidP="00FE0DA8">
      <w:pPr>
        <w:ind w:leftChars="300" w:left="720"/>
        <w:jc w:val="both"/>
        <w:rPr>
          <w:rFonts w:ascii="Times New Roman" w:hAnsi="Times New Roman"/>
        </w:rPr>
      </w:pPr>
      <w:r w:rsidRPr="00DA3BC7">
        <w:rPr>
          <w:rFonts w:ascii="Times New Roman" w:hAnsi="Times New Roman"/>
        </w:rPr>
        <w:t>五百頌的《中論》，即出於《無畏論》中。</w:t>
      </w:r>
      <w:r w:rsidRPr="00DA3BC7">
        <w:rPr>
          <w:rStyle w:val="a6"/>
          <w:rFonts w:ascii="Times New Roman" w:hAnsi="Times New Roman"/>
        </w:rPr>
        <w:footnoteReference w:id="113"/>
      </w:r>
    </w:p>
    <w:p w:rsidR="00152ED0" w:rsidRPr="00DA3BC7" w:rsidRDefault="00FE2486" w:rsidP="00AE3920">
      <w:pPr>
        <w:spacing w:beforeLines="30"/>
        <w:ind w:leftChars="300" w:left="720"/>
        <w:jc w:val="both"/>
        <w:rPr>
          <w:rFonts w:ascii="Times New Roman" w:hAnsi="Times New Roman"/>
          <w:b/>
          <w:bCs/>
          <w:sz w:val="20"/>
          <w:szCs w:val="20"/>
          <w:bdr w:val="single" w:sz="4" w:space="0" w:color="auto"/>
        </w:rPr>
      </w:pPr>
      <w:r>
        <w:rPr>
          <w:rFonts w:ascii="Times New Roman" w:hAnsi="Times New Roman" w:hint="eastAsia"/>
          <w:b/>
          <w:bCs/>
          <w:color w:val="FF0000"/>
          <w:sz w:val="20"/>
          <w:szCs w:val="20"/>
          <w:highlight w:val="yellow"/>
          <w:bdr w:val="single" w:sz="4" w:space="0" w:color="auto"/>
        </w:rPr>
        <w:lastRenderedPageBreak/>
        <w:t>C</w:t>
      </w:r>
      <w:r w:rsidR="00152ED0" w:rsidRPr="00C31BFC">
        <w:rPr>
          <w:rFonts w:ascii="Times New Roman" w:hAnsi="Times New Roman"/>
          <w:b/>
          <w:bCs/>
          <w:color w:val="FF0000"/>
          <w:sz w:val="20"/>
          <w:szCs w:val="20"/>
          <w:highlight w:val="yellow"/>
          <w:bdr w:val="single" w:sz="4" w:space="0" w:color="auto"/>
        </w:rPr>
        <w:t>、</w:t>
      </w:r>
      <w:r w:rsidR="00152ED0" w:rsidRPr="00DA3BC7">
        <w:rPr>
          <w:rFonts w:ascii="Times New Roman" w:hAnsi="Times New Roman"/>
          <w:b/>
          <w:bCs/>
          <w:sz w:val="20"/>
          <w:szCs w:val="20"/>
          <w:bdr w:val="single" w:sz="4" w:space="0" w:color="auto"/>
        </w:rPr>
        <w:t>《十二門論》</w:t>
      </w:r>
    </w:p>
    <w:p w:rsidR="00152ED0" w:rsidRPr="00DA3BC7" w:rsidRDefault="00152ED0" w:rsidP="00FE0DA8">
      <w:pPr>
        <w:ind w:leftChars="300" w:left="720"/>
        <w:jc w:val="both"/>
        <w:rPr>
          <w:rFonts w:ascii="Times New Roman" w:hAnsi="Times New Roman"/>
        </w:rPr>
      </w:pPr>
      <w:r w:rsidRPr="00DA3BC7">
        <w:rPr>
          <w:rFonts w:ascii="Times New Roman" w:hAnsi="Times New Roman"/>
        </w:rPr>
        <w:t>羅什除譯有青目釋的《中論》外，還有《十二門論》，也是龍樹造的；這部論，可以說是《中論》的入門書。</w:t>
      </w:r>
    </w:p>
    <w:p w:rsidR="00152ED0" w:rsidRPr="00DA3BC7" w:rsidRDefault="00FE2486" w:rsidP="00AE3920">
      <w:pPr>
        <w:spacing w:beforeLines="30"/>
        <w:ind w:leftChars="300" w:left="720"/>
        <w:jc w:val="both"/>
        <w:rPr>
          <w:rFonts w:ascii="Times New Roman" w:hAnsi="Times New Roman"/>
          <w:b/>
          <w:bCs/>
          <w:sz w:val="20"/>
          <w:szCs w:val="20"/>
          <w:bdr w:val="single" w:sz="4" w:space="0" w:color="auto"/>
        </w:rPr>
      </w:pPr>
      <w:r>
        <w:rPr>
          <w:rFonts w:ascii="Times New Roman" w:hAnsi="Times New Roman" w:hint="eastAsia"/>
          <w:b/>
          <w:bCs/>
          <w:color w:val="FF0000"/>
          <w:sz w:val="20"/>
          <w:szCs w:val="20"/>
          <w:highlight w:val="yellow"/>
          <w:bdr w:val="single" w:sz="4" w:space="0" w:color="auto"/>
        </w:rPr>
        <w:t>D</w:t>
      </w:r>
      <w:r w:rsidR="00152ED0" w:rsidRPr="00C31BFC">
        <w:rPr>
          <w:rFonts w:ascii="新細明體" w:hAnsi="新細明體" w:cs="新細明體" w:hint="eastAsia"/>
          <w:b/>
          <w:bCs/>
          <w:color w:val="FF0000"/>
          <w:sz w:val="20"/>
          <w:szCs w:val="20"/>
          <w:highlight w:val="yellow"/>
          <w:bdr w:val="single" w:sz="4" w:space="0" w:color="auto"/>
        </w:rPr>
        <w:t>、</w:t>
      </w:r>
      <w:r w:rsidR="00152ED0" w:rsidRPr="00DA3BC7">
        <w:rPr>
          <w:rFonts w:ascii="Times New Roman" w:hAnsi="Times New Roman"/>
          <w:b/>
          <w:bCs/>
          <w:sz w:val="20"/>
          <w:szCs w:val="20"/>
          <w:bdr w:val="single" w:sz="4" w:space="0" w:color="auto"/>
        </w:rPr>
        <w:t>《七十空</w:t>
      </w:r>
      <w:r w:rsidR="00152ED0" w:rsidRPr="00DA3BC7">
        <w:rPr>
          <w:rFonts w:ascii="Times New Roman" w:hAnsi="Times New Roman" w:hint="eastAsia"/>
          <w:b/>
          <w:bCs/>
          <w:sz w:val="20"/>
          <w:szCs w:val="20"/>
          <w:bdr w:val="single" w:sz="4" w:space="0" w:color="auto"/>
        </w:rPr>
        <w:t>性</w:t>
      </w:r>
      <w:r w:rsidR="00152ED0" w:rsidRPr="00DA3BC7">
        <w:rPr>
          <w:rFonts w:ascii="Times New Roman" w:hAnsi="Times New Roman"/>
          <w:b/>
          <w:bCs/>
          <w:sz w:val="20"/>
          <w:szCs w:val="20"/>
          <w:bdr w:val="single" w:sz="4" w:space="0" w:color="auto"/>
        </w:rPr>
        <w:t>論》</w:t>
      </w:r>
    </w:p>
    <w:p w:rsidR="00152ED0" w:rsidRPr="00DA3BC7" w:rsidRDefault="00152ED0" w:rsidP="00FE0DA8">
      <w:pPr>
        <w:ind w:leftChars="300" w:left="720"/>
        <w:jc w:val="both"/>
        <w:rPr>
          <w:rFonts w:ascii="Times New Roman" w:hAnsi="Times New Roman"/>
        </w:rPr>
      </w:pPr>
      <w:r w:rsidRPr="00DA3BC7">
        <w:rPr>
          <w:rFonts w:ascii="Times New Roman" w:hAnsi="Times New Roman"/>
        </w:rPr>
        <w:t>《十二門論》引證過《七十空</w:t>
      </w:r>
      <w:r w:rsidRPr="00DA3BC7">
        <w:rPr>
          <w:rFonts w:ascii="Times New Roman" w:hAnsi="Times New Roman" w:hint="eastAsia"/>
        </w:rPr>
        <w:t>性</w:t>
      </w:r>
      <w:r w:rsidRPr="00DA3BC7">
        <w:rPr>
          <w:rFonts w:ascii="Times New Roman" w:hAnsi="Times New Roman"/>
        </w:rPr>
        <w:t>論》；《七十空</w:t>
      </w:r>
      <w:r w:rsidRPr="00DA3BC7">
        <w:rPr>
          <w:rFonts w:ascii="Times New Roman" w:hAnsi="Times New Roman" w:hint="eastAsia"/>
        </w:rPr>
        <w:t>性</w:t>
      </w:r>
      <w:r w:rsidRPr="00DA3BC7">
        <w:rPr>
          <w:rFonts w:ascii="Times New Roman" w:hAnsi="Times New Roman"/>
        </w:rPr>
        <w:t>論》近由法尊依藏本譯出，確乎是龍樹的作品。</w:t>
      </w:r>
    </w:p>
    <w:p w:rsidR="00152ED0" w:rsidRPr="00DA3BC7" w:rsidRDefault="00152ED0" w:rsidP="00AE3920">
      <w:pPr>
        <w:spacing w:beforeLines="30"/>
        <w:ind w:leftChars="250" w:left="600"/>
        <w:jc w:val="both"/>
        <w:rPr>
          <w:rFonts w:ascii="Times New Roman" w:hAnsi="Times New Roman"/>
          <w:b/>
          <w:bCs/>
          <w:sz w:val="20"/>
          <w:szCs w:val="20"/>
          <w:bdr w:val="single" w:sz="4" w:space="0" w:color="auto"/>
        </w:rPr>
      </w:pPr>
      <w:r w:rsidRPr="00FE2486">
        <w:rPr>
          <w:rFonts w:ascii="Times New Roman" w:hAnsi="Times New Roman"/>
          <w:b/>
          <w:bCs/>
          <w:color w:val="FF0000"/>
          <w:sz w:val="20"/>
          <w:szCs w:val="20"/>
          <w:highlight w:val="yellow"/>
          <w:bdr w:val="single" w:sz="4" w:space="0" w:color="auto"/>
        </w:rPr>
        <w:t>（</w:t>
      </w:r>
      <w:r w:rsidR="00FE2486" w:rsidRPr="00FE2486">
        <w:rPr>
          <w:rFonts w:ascii="Times New Roman" w:hAnsi="Times New Roman" w:hint="eastAsia"/>
          <w:b/>
          <w:bCs/>
          <w:color w:val="FF0000"/>
          <w:sz w:val="20"/>
          <w:szCs w:val="20"/>
          <w:highlight w:val="yellow"/>
          <w:bdr w:val="single" w:sz="4" w:space="0" w:color="auto"/>
        </w:rPr>
        <w:t>2</w:t>
      </w:r>
      <w:r w:rsidRPr="00FE2486">
        <w:rPr>
          <w:rFonts w:ascii="Times New Roman" w:hAnsi="Times New Roman"/>
          <w:b/>
          <w:bCs/>
          <w:color w:val="FF0000"/>
          <w:sz w:val="20"/>
          <w:szCs w:val="20"/>
          <w:highlight w:val="yellow"/>
          <w:bdr w:val="single" w:sz="4" w:space="0" w:color="auto"/>
        </w:rPr>
        <w:t>）</w:t>
      </w:r>
      <w:r w:rsidR="00FE2486" w:rsidRPr="00FE2486">
        <w:rPr>
          <w:rFonts w:ascii="Times New Roman" w:hAnsi="Times New Roman" w:hint="eastAsia"/>
          <w:b/>
          <w:bCs/>
          <w:color w:val="FF0000"/>
          <w:sz w:val="20"/>
          <w:szCs w:val="20"/>
          <w:highlight w:val="yellow"/>
          <w:bdr w:val="single" w:sz="4" w:space="0" w:color="auto"/>
        </w:rPr>
        <w:t>判別</w:t>
      </w:r>
      <w:r w:rsidRPr="00DA3BC7">
        <w:rPr>
          <w:rFonts w:ascii="Times New Roman" w:hAnsi="Times New Roman"/>
          <w:b/>
          <w:bCs/>
          <w:sz w:val="20"/>
          <w:szCs w:val="20"/>
          <w:bdr w:val="single" w:sz="4" w:space="0" w:color="auto"/>
        </w:rPr>
        <w:t>《無畏論》</w:t>
      </w:r>
      <w:r w:rsidR="00FE2486">
        <w:rPr>
          <w:rFonts w:ascii="Times New Roman" w:hAnsi="Times New Roman" w:hint="eastAsia"/>
          <w:b/>
          <w:bCs/>
          <w:color w:val="FF0000"/>
          <w:sz w:val="20"/>
          <w:szCs w:val="20"/>
          <w:highlight w:val="yellow"/>
          <w:bdr w:val="single" w:sz="4" w:space="0" w:color="auto"/>
        </w:rPr>
        <w:t>之傳說</w:t>
      </w:r>
      <w:r w:rsidRPr="00DA3BC7">
        <w:rPr>
          <w:rFonts w:ascii="Times New Roman" w:hAnsi="Times New Roman" w:hint="eastAsia"/>
          <w:bCs/>
          <w:sz w:val="20"/>
          <w:szCs w:val="20"/>
        </w:rPr>
        <w:t>（</w:t>
      </w:r>
      <w:r w:rsidRPr="00DA3BC7">
        <w:rPr>
          <w:rFonts w:ascii="Times New Roman" w:hAnsi="Times New Roman"/>
          <w:bCs/>
          <w:sz w:val="20"/>
          <w:szCs w:val="20"/>
        </w:rPr>
        <w:t>pp.15-16</w:t>
      </w:r>
      <w:r w:rsidRPr="00DA3BC7">
        <w:rPr>
          <w:rFonts w:ascii="Times New Roman" w:hAnsi="Times New Roman" w:hint="eastAsia"/>
          <w:bCs/>
          <w:sz w:val="20"/>
          <w:szCs w:val="20"/>
        </w:rPr>
        <w:t>）</w:t>
      </w:r>
    </w:p>
    <w:p w:rsidR="00152ED0" w:rsidRPr="00DA3BC7" w:rsidRDefault="00152ED0" w:rsidP="00FE0DA8">
      <w:pPr>
        <w:ind w:leftChars="250" w:left="600"/>
        <w:jc w:val="both"/>
        <w:rPr>
          <w:rFonts w:ascii="Times New Roman" w:hAnsi="Times New Roman"/>
        </w:rPr>
      </w:pPr>
      <w:r w:rsidRPr="00DA3BC7">
        <w:rPr>
          <w:rFonts w:ascii="Times New Roman" w:hAnsi="Times New Roman"/>
        </w:rPr>
        <w:t>考西藏所傳，也有《無畏論》，但這是</w:t>
      </w:r>
      <w:r w:rsidRPr="00DA3BC7">
        <w:rPr>
          <w:rFonts w:ascii="Times New Roman" w:hAnsi="Times New Roman" w:hint="eastAsia"/>
        </w:rPr>
        <w:t>《</w:t>
      </w:r>
      <w:r w:rsidRPr="00DA3BC7">
        <w:rPr>
          <w:rFonts w:ascii="Times New Roman" w:hAnsi="Times New Roman"/>
        </w:rPr>
        <w:t>中論</w:t>
      </w:r>
      <w:r w:rsidRPr="00DA3BC7">
        <w:rPr>
          <w:rFonts w:ascii="Times New Roman" w:hAnsi="Times New Roman" w:hint="eastAsia"/>
        </w:rPr>
        <w:t>》</w:t>
      </w:r>
      <w:r w:rsidRPr="00DA3BC7">
        <w:rPr>
          <w:rFonts w:ascii="Times New Roman" w:hAnsi="Times New Roman"/>
        </w:rPr>
        <w:t>的注解，與什公譯的青目釋論相近。</w:t>
      </w:r>
    </w:p>
    <w:p w:rsidR="00152ED0" w:rsidRPr="00DA3BC7" w:rsidRDefault="00152ED0" w:rsidP="00AE3920">
      <w:pPr>
        <w:spacing w:beforeLines="20"/>
        <w:ind w:leftChars="250" w:left="600"/>
        <w:jc w:val="both"/>
        <w:rPr>
          <w:rFonts w:ascii="Times New Roman" w:hAnsi="Times New Roman"/>
        </w:rPr>
      </w:pPr>
      <w:r w:rsidRPr="00DA3BC7">
        <w:rPr>
          <w:rFonts w:ascii="Times New Roman" w:hAnsi="Times New Roman"/>
        </w:rPr>
        <w:t>有人說是龍樹作的；</w:t>
      </w:r>
    </w:p>
    <w:p w:rsidR="00FE2486" w:rsidRDefault="00152ED0" w:rsidP="00AE3920">
      <w:pPr>
        <w:spacing w:beforeLines="20"/>
        <w:ind w:leftChars="250" w:left="600"/>
        <w:jc w:val="both"/>
        <w:rPr>
          <w:rFonts w:ascii="Times New Roman" w:hAnsi="Times New Roman"/>
        </w:rPr>
      </w:pPr>
      <w:r w:rsidRPr="00DA3BC7">
        <w:rPr>
          <w:rFonts w:ascii="Times New Roman" w:hAnsi="Times New Roman"/>
        </w:rPr>
        <w:t>也有人說不是龍樹作的，因為論中引證到龍樹弟子提婆的《四百論》。</w:t>
      </w:r>
    </w:p>
    <w:p w:rsidR="00152ED0" w:rsidRPr="00DA3BC7" w:rsidRDefault="00152ED0" w:rsidP="00AE3920">
      <w:pPr>
        <w:spacing w:beforeLines="20"/>
        <w:ind w:leftChars="250" w:left="600"/>
        <w:jc w:val="both"/>
        <w:rPr>
          <w:rFonts w:ascii="Times New Roman" w:hAnsi="Times New Roman"/>
        </w:rPr>
      </w:pPr>
      <w:r w:rsidRPr="00DA3BC7">
        <w:rPr>
          <w:rFonts w:ascii="Times New Roman" w:hAnsi="Times New Roman"/>
        </w:rPr>
        <w:t>但傳說龍樹的年壽極高，也可能有轉引提婆論的事情。</w:t>
      </w:r>
    </w:p>
    <w:p w:rsidR="00152ED0" w:rsidRPr="00DA3BC7" w:rsidRDefault="00152ED0" w:rsidP="00AE3920">
      <w:pPr>
        <w:spacing w:beforeLines="20"/>
        <w:ind w:leftChars="250" w:left="600"/>
        <w:jc w:val="both"/>
        <w:rPr>
          <w:rFonts w:ascii="Times New Roman" w:hAnsi="Times New Roman"/>
        </w:rPr>
      </w:pPr>
      <w:r w:rsidRPr="00DA3BC7">
        <w:rPr>
          <w:rFonts w:ascii="Times New Roman" w:hAnsi="Times New Roman"/>
        </w:rPr>
        <w:t>然這與西元五世紀初傳來中國的古說，說《無畏論》有十萬頌，《中論》出在其中，</w:t>
      </w:r>
      <w:r w:rsidRPr="00DA3BC7">
        <w:rPr>
          <w:rFonts w:ascii="Times New Roman" w:hAnsi="Times New Roman"/>
          <w:vertAlign w:val="superscript"/>
        </w:rPr>
        <w:footnoteReference w:id="114"/>
      </w:r>
      <w:r w:rsidRPr="00DA3BC7">
        <w:rPr>
          <w:rFonts w:ascii="Times New Roman" w:hAnsi="Times New Roman"/>
        </w:rPr>
        <w:t>仍未能完全相合。</w:t>
      </w:r>
    </w:p>
    <w:p w:rsidR="00152ED0" w:rsidRPr="00DA3BC7" w:rsidRDefault="00152ED0" w:rsidP="00AE3920">
      <w:pPr>
        <w:spacing w:beforeLines="30"/>
        <w:ind w:leftChars="250" w:left="600"/>
        <w:jc w:val="both"/>
        <w:rPr>
          <w:rFonts w:ascii="Times New Roman" w:hAnsi="Times New Roman"/>
        </w:rPr>
      </w:pPr>
      <w:r w:rsidRPr="00DA3BC7">
        <w:rPr>
          <w:rFonts w:ascii="Times New Roman" w:hAnsi="Times New Roman"/>
        </w:rPr>
        <w:t>這也許藏傳的《中論無畏注》，即為青目或某論師摘集龍樹《無畏論》意而注釋《中論》的，多分根據《無畏論》，因此也名為《無畏》，如《淨名經集解關中疏》</w:t>
      </w:r>
      <w:r w:rsidRPr="00DA3BC7">
        <w:rPr>
          <w:rStyle w:val="a6"/>
          <w:rFonts w:ascii="Times New Roman" w:hAnsi="Times New Roman"/>
        </w:rPr>
        <w:footnoteReference w:id="115"/>
      </w:r>
      <w:r w:rsidRPr="00DA3BC7">
        <w:rPr>
          <w:rFonts w:ascii="Times New Roman" w:hAnsi="Times New Roman"/>
        </w:rPr>
        <w:t>。但這究不過一種推測而已，不能作為定論。</w:t>
      </w:r>
    </w:p>
    <w:p w:rsidR="00152ED0" w:rsidRPr="00DA3BC7" w:rsidRDefault="00152ED0" w:rsidP="00AE3920">
      <w:pPr>
        <w:spacing w:beforeLines="20"/>
        <w:ind w:leftChars="250" w:left="600"/>
        <w:jc w:val="both"/>
        <w:rPr>
          <w:rFonts w:ascii="Times New Roman" w:hAnsi="Times New Roman"/>
        </w:rPr>
      </w:pPr>
      <w:r w:rsidRPr="00DA3BC7">
        <w:rPr>
          <w:rFonts w:ascii="Times New Roman" w:hAnsi="Times New Roman"/>
        </w:rPr>
        <w:t>有人依「中論出在其中」，推想《無畏論》為編集的叢書，如真諦所傳《無相論》</w:t>
      </w:r>
      <w:r w:rsidRPr="00DA3BC7">
        <w:rPr>
          <w:rStyle w:val="a6"/>
          <w:rFonts w:ascii="Times New Roman" w:hAnsi="Times New Roman"/>
        </w:rPr>
        <w:footnoteReference w:id="116"/>
      </w:r>
      <w:r w:rsidRPr="00DA3BC7">
        <w:rPr>
          <w:rFonts w:ascii="Times New Roman" w:hAnsi="Times New Roman"/>
        </w:rPr>
        <w:t>的性質，也無法確定。</w:t>
      </w:r>
    </w:p>
    <w:p w:rsidR="00152ED0" w:rsidRPr="00DA3BC7" w:rsidRDefault="00E21D23" w:rsidP="00AE3920">
      <w:pPr>
        <w:spacing w:beforeLines="30"/>
        <w:ind w:leftChars="200" w:left="480"/>
        <w:jc w:val="both"/>
        <w:rPr>
          <w:rFonts w:ascii="Times New Roman" w:hAnsi="Times New Roman"/>
          <w:b/>
          <w:sz w:val="20"/>
          <w:szCs w:val="20"/>
        </w:rPr>
      </w:pPr>
      <w:r w:rsidRPr="00C31BFC">
        <w:rPr>
          <w:rFonts w:ascii="Times New Roman" w:hAnsi="Times New Roman" w:hint="eastAsia"/>
          <w:b/>
          <w:color w:val="FF0000"/>
          <w:sz w:val="20"/>
          <w:szCs w:val="20"/>
          <w:highlight w:val="yellow"/>
          <w:bdr w:val="single" w:sz="4" w:space="0" w:color="auto"/>
        </w:rPr>
        <w:t>2</w:t>
      </w:r>
      <w:r w:rsidR="00152ED0" w:rsidRPr="00C31BFC">
        <w:rPr>
          <w:rFonts w:ascii="Times New Roman" w:hAnsi="Times New Roman"/>
          <w:b/>
          <w:color w:val="FF0000"/>
          <w:sz w:val="20"/>
          <w:szCs w:val="20"/>
          <w:highlight w:val="yellow"/>
          <w:bdr w:val="single" w:sz="4" w:space="0" w:color="auto"/>
        </w:rPr>
        <w:t>、</w:t>
      </w:r>
      <w:r w:rsidR="00152ED0" w:rsidRPr="00DA3BC7">
        <w:rPr>
          <w:rFonts w:ascii="Times New Roman" w:hAnsi="Times New Roman"/>
          <w:b/>
          <w:sz w:val="20"/>
          <w:szCs w:val="20"/>
          <w:bdr w:val="single" w:sz="4" w:space="0" w:color="auto"/>
        </w:rPr>
        <w:t>西藏</w:t>
      </w:r>
      <w:r w:rsidRPr="00E21D23">
        <w:rPr>
          <w:rFonts w:ascii="Times New Roman" w:hAnsi="Times New Roman" w:hint="eastAsia"/>
          <w:b/>
          <w:color w:val="FF0000"/>
          <w:sz w:val="20"/>
          <w:szCs w:val="20"/>
          <w:highlight w:val="yellow"/>
          <w:bdr w:val="single" w:sz="4" w:space="0" w:color="auto"/>
        </w:rPr>
        <w:t>所</w:t>
      </w:r>
      <w:r w:rsidR="00152ED0" w:rsidRPr="00DA3BC7">
        <w:rPr>
          <w:rFonts w:ascii="Times New Roman" w:hAnsi="Times New Roman"/>
          <w:b/>
          <w:sz w:val="20"/>
          <w:szCs w:val="20"/>
          <w:bdr w:val="single" w:sz="4" w:space="0" w:color="auto"/>
        </w:rPr>
        <w:t>傳</w:t>
      </w:r>
      <w:r w:rsidR="00152ED0" w:rsidRPr="00DA3BC7">
        <w:rPr>
          <w:rFonts w:ascii="Times New Roman" w:hAnsi="Times New Roman" w:hint="eastAsia"/>
          <w:sz w:val="20"/>
          <w:szCs w:val="20"/>
        </w:rPr>
        <w:t>（</w:t>
      </w:r>
      <w:r w:rsidR="00152ED0" w:rsidRPr="00DA3BC7">
        <w:rPr>
          <w:rFonts w:ascii="Times New Roman" w:hAnsi="Times New Roman"/>
          <w:sz w:val="20"/>
          <w:szCs w:val="20"/>
        </w:rPr>
        <w:t>pp.16-</w:t>
      </w:r>
      <w:r w:rsidR="00152ED0" w:rsidRPr="00DA3BC7">
        <w:rPr>
          <w:rFonts w:ascii="Times New Roman" w:hAnsi="Times New Roman"/>
          <w:bCs/>
          <w:sz w:val="20"/>
          <w:szCs w:val="20"/>
        </w:rPr>
        <w:t>17</w:t>
      </w:r>
      <w:r w:rsidR="00152ED0" w:rsidRPr="00DA3BC7">
        <w:rPr>
          <w:rFonts w:ascii="Times New Roman" w:hAnsi="Times New Roman" w:hint="eastAsia"/>
          <w:sz w:val="20"/>
          <w:szCs w:val="20"/>
        </w:rPr>
        <w:t>）</w:t>
      </w:r>
    </w:p>
    <w:p w:rsidR="00152ED0" w:rsidRPr="00DA3BC7" w:rsidRDefault="00152ED0" w:rsidP="00C31BFC">
      <w:pPr>
        <w:ind w:leftChars="250" w:left="600"/>
        <w:jc w:val="both"/>
        <w:rPr>
          <w:rFonts w:ascii="Times New Roman" w:hAnsi="Times New Roman"/>
          <w:sz w:val="20"/>
          <w:szCs w:val="20"/>
        </w:rPr>
      </w:pPr>
      <w:r w:rsidRPr="00C31BFC">
        <w:rPr>
          <w:rFonts w:ascii="Times New Roman" w:hAnsi="Times New Roman"/>
          <w:b/>
          <w:color w:val="FF0000"/>
          <w:sz w:val="20"/>
          <w:szCs w:val="20"/>
          <w:highlight w:val="yellow"/>
          <w:bdr w:val="single" w:sz="4" w:space="0" w:color="auto"/>
        </w:rPr>
        <w:t>（</w:t>
      </w:r>
      <w:r w:rsidR="00E21D23" w:rsidRPr="00C31BFC">
        <w:rPr>
          <w:rFonts w:ascii="Times New Roman" w:hAnsi="Times New Roman" w:hint="eastAsia"/>
          <w:b/>
          <w:color w:val="FF0000"/>
          <w:sz w:val="20"/>
          <w:szCs w:val="20"/>
          <w:highlight w:val="yellow"/>
          <w:bdr w:val="single" w:sz="4" w:space="0" w:color="auto"/>
        </w:rPr>
        <w:t>1</w:t>
      </w:r>
      <w:r w:rsidRPr="00C31BFC">
        <w:rPr>
          <w:rFonts w:ascii="Times New Roman" w:hAnsi="Times New Roman"/>
          <w:b/>
          <w:color w:val="FF0000"/>
          <w:sz w:val="20"/>
          <w:szCs w:val="20"/>
          <w:highlight w:val="yellow"/>
          <w:bdr w:val="single" w:sz="4" w:space="0" w:color="auto"/>
        </w:rPr>
        <w:t>）</w:t>
      </w:r>
      <w:r w:rsidRPr="00DA3BC7">
        <w:rPr>
          <w:rFonts w:ascii="Times New Roman" w:hAnsi="Times New Roman" w:hint="eastAsia"/>
          <w:b/>
          <w:sz w:val="20"/>
          <w:szCs w:val="20"/>
          <w:bdr w:val="single" w:sz="4" w:space="0" w:color="auto"/>
        </w:rPr>
        <w:t>略標</w:t>
      </w:r>
      <w:r w:rsidRPr="00DA3BC7">
        <w:rPr>
          <w:rFonts w:ascii="Times New Roman" w:hAnsi="Times New Roman" w:hint="eastAsia"/>
          <w:sz w:val="20"/>
          <w:szCs w:val="20"/>
        </w:rPr>
        <w:t>（</w:t>
      </w:r>
      <w:r w:rsidRPr="00DA3BC7">
        <w:rPr>
          <w:rFonts w:ascii="Times New Roman" w:hAnsi="Times New Roman"/>
          <w:sz w:val="20"/>
          <w:szCs w:val="20"/>
        </w:rPr>
        <w:t>p.16</w:t>
      </w:r>
      <w:r w:rsidRPr="00DA3BC7">
        <w:rPr>
          <w:rFonts w:ascii="Times New Roman" w:hAnsi="Times New Roman" w:hint="eastAsia"/>
          <w:sz w:val="20"/>
          <w:szCs w:val="20"/>
        </w:rPr>
        <w:t>）</w:t>
      </w:r>
    </w:p>
    <w:p w:rsidR="00152ED0" w:rsidRPr="00DA3BC7" w:rsidRDefault="00152ED0" w:rsidP="00FE0DA8">
      <w:pPr>
        <w:ind w:leftChars="250" w:left="600"/>
        <w:jc w:val="both"/>
        <w:rPr>
          <w:rFonts w:ascii="Times New Roman" w:hAnsi="Times New Roman"/>
        </w:rPr>
      </w:pPr>
      <w:r w:rsidRPr="00DA3BC7">
        <w:rPr>
          <w:rFonts w:ascii="Times New Roman" w:hAnsi="Times New Roman"/>
        </w:rPr>
        <w:lastRenderedPageBreak/>
        <w:t>關於龍樹的深觀論，西藏有「諸中論」之稱。凡抉擇勝義空性的，都可以名為「中論」，中論不是一部的別名。平常流行的</w:t>
      </w:r>
      <w:r w:rsidR="00157EF6" w:rsidRPr="00DA3BC7">
        <w:rPr>
          <w:rFonts w:ascii="Times New Roman" w:hAnsi="Times New Roman"/>
        </w:rPr>
        <w:t>《中論》</w:t>
      </w:r>
      <w:r w:rsidRPr="00DA3BC7">
        <w:rPr>
          <w:rFonts w:ascii="Times New Roman" w:hAnsi="Times New Roman"/>
        </w:rPr>
        <w:t>，名為「根本中」。根本論與支論，總有五正理聚</w:t>
      </w:r>
      <w:r w:rsidRPr="00DA3BC7">
        <w:rPr>
          <w:rStyle w:val="a6"/>
          <w:rFonts w:ascii="Times New Roman" w:hAnsi="Times New Roman"/>
        </w:rPr>
        <w:footnoteReference w:id="117"/>
      </w:r>
      <w:r w:rsidRPr="00DA3BC7">
        <w:rPr>
          <w:rFonts w:ascii="Times New Roman" w:hAnsi="Times New Roman"/>
        </w:rPr>
        <w:t>：即一、《根本中論》，二、《迴諍論》，三、《七十空</w:t>
      </w:r>
      <w:r w:rsidRPr="00DA3BC7">
        <w:rPr>
          <w:rFonts w:ascii="Times New Roman" w:hAnsi="Times New Roman" w:hint="eastAsia"/>
        </w:rPr>
        <w:t>性</w:t>
      </w:r>
      <w:r w:rsidRPr="00DA3BC7">
        <w:rPr>
          <w:rFonts w:ascii="Times New Roman" w:hAnsi="Times New Roman"/>
        </w:rPr>
        <w:t>論》，四、《六十如理論》，五、《大乘二十論》</w:t>
      </w:r>
      <w:r w:rsidR="00E21D23" w:rsidRPr="00E21D23">
        <w:rPr>
          <w:rStyle w:val="a6"/>
          <w:rFonts w:ascii="Times New Roman" w:hAnsi="Times New Roman"/>
          <w:color w:val="FF0000"/>
          <w:highlight w:val="yellow"/>
        </w:rPr>
        <w:footnoteReference w:id="118"/>
      </w:r>
      <w:r w:rsidRPr="00DA3BC7">
        <w:rPr>
          <w:rFonts w:ascii="Times New Roman" w:hAnsi="Times New Roman"/>
        </w:rPr>
        <w:t>。這五部論，為印度後期中觀師所依據的，認為都是龍樹造的。</w:t>
      </w:r>
    </w:p>
    <w:p w:rsidR="00152ED0" w:rsidRPr="00DA3BC7" w:rsidRDefault="00152ED0" w:rsidP="00AE3920">
      <w:pPr>
        <w:spacing w:beforeLines="30"/>
        <w:ind w:leftChars="250" w:left="600"/>
        <w:jc w:val="both"/>
        <w:rPr>
          <w:rFonts w:ascii="Times New Roman" w:hAnsi="Times New Roman"/>
          <w:b/>
          <w:sz w:val="20"/>
          <w:szCs w:val="20"/>
        </w:rPr>
      </w:pPr>
      <w:r w:rsidRPr="00C31BFC">
        <w:rPr>
          <w:rFonts w:ascii="Times New Roman" w:hAnsi="Times New Roman"/>
          <w:b/>
          <w:color w:val="FF0000"/>
          <w:sz w:val="20"/>
          <w:szCs w:val="20"/>
          <w:highlight w:val="yellow"/>
          <w:bdr w:val="single" w:sz="4" w:space="0" w:color="auto"/>
        </w:rPr>
        <w:t>（</w:t>
      </w:r>
      <w:r w:rsidR="00E21D23" w:rsidRPr="00C31BFC">
        <w:rPr>
          <w:rFonts w:ascii="Times New Roman" w:hAnsi="Times New Roman" w:hint="eastAsia"/>
          <w:b/>
          <w:color w:val="FF0000"/>
          <w:sz w:val="20"/>
          <w:szCs w:val="20"/>
          <w:highlight w:val="yellow"/>
          <w:bdr w:val="single" w:sz="4" w:space="0" w:color="auto"/>
        </w:rPr>
        <w:t>2</w:t>
      </w:r>
      <w:r w:rsidRPr="00C31BFC">
        <w:rPr>
          <w:rFonts w:ascii="Times New Roman" w:hAnsi="Times New Roman"/>
          <w:b/>
          <w:color w:val="FF0000"/>
          <w:sz w:val="20"/>
          <w:szCs w:val="20"/>
          <w:highlight w:val="yellow"/>
          <w:bdr w:val="single" w:sz="4" w:space="0" w:color="auto"/>
        </w:rPr>
        <w:t>）</w:t>
      </w:r>
      <w:r w:rsidRPr="00DA3BC7">
        <w:rPr>
          <w:rFonts w:ascii="Times New Roman" w:hAnsi="Times New Roman"/>
          <w:b/>
          <w:sz w:val="20"/>
          <w:szCs w:val="20"/>
          <w:bdr w:val="single" w:sz="4" w:space="0" w:color="auto"/>
        </w:rPr>
        <w:t>別述</w:t>
      </w:r>
      <w:r w:rsidRPr="00DA3BC7">
        <w:rPr>
          <w:rFonts w:ascii="Times New Roman" w:hAnsi="Times New Roman" w:hint="eastAsia"/>
          <w:sz w:val="20"/>
          <w:szCs w:val="20"/>
        </w:rPr>
        <w:t>（</w:t>
      </w:r>
      <w:r w:rsidRPr="00DA3BC7">
        <w:rPr>
          <w:rFonts w:ascii="Times New Roman" w:hAnsi="Times New Roman"/>
          <w:sz w:val="20"/>
          <w:szCs w:val="20"/>
        </w:rPr>
        <w:t>pp.16-</w:t>
      </w:r>
      <w:r w:rsidRPr="00DA3BC7">
        <w:rPr>
          <w:rFonts w:ascii="Times New Roman" w:hAnsi="Times New Roman"/>
          <w:bCs/>
          <w:sz w:val="20"/>
          <w:szCs w:val="20"/>
        </w:rPr>
        <w:t>17</w:t>
      </w:r>
      <w:r w:rsidRPr="00DA3BC7">
        <w:rPr>
          <w:rFonts w:ascii="Times New Roman" w:hAnsi="Times New Roman" w:hint="eastAsia"/>
          <w:sz w:val="20"/>
          <w:szCs w:val="20"/>
        </w:rPr>
        <w:t>）</w:t>
      </w:r>
    </w:p>
    <w:p w:rsidR="00152ED0" w:rsidRPr="00DA3BC7" w:rsidRDefault="00E21D23" w:rsidP="00C31BFC">
      <w:pPr>
        <w:ind w:leftChars="300" w:left="720"/>
        <w:jc w:val="both"/>
        <w:rPr>
          <w:rFonts w:ascii="Times New Roman" w:hAnsi="Times New Roman"/>
          <w:sz w:val="20"/>
          <w:szCs w:val="20"/>
          <w:bdr w:val="single" w:sz="4" w:space="0" w:color="auto"/>
        </w:rPr>
      </w:pPr>
      <w:r>
        <w:rPr>
          <w:rFonts w:ascii="Times New Roman" w:hAnsi="Times New Roman" w:hint="eastAsia"/>
          <w:b/>
          <w:color w:val="FF0000"/>
          <w:sz w:val="20"/>
          <w:szCs w:val="20"/>
          <w:highlight w:val="yellow"/>
          <w:bdr w:val="single" w:sz="4" w:space="0" w:color="auto"/>
        </w:rPr>
        <w:t>A</w:t>
      </w:r>
      <w:r w:rsidR="00152ED0" w:rsidRPr="00C31BFC">
        <w:rPr>
          <w:rFonts w:ascii="Times New Roman" w:hAnsi="Times New Roman"/>
          <w:b/>
          <w:color w:val="FF0000"/>
          <w:sz w:val="20"/>
          <w:szCs w:val="20"/>
          <w:highlight w:val="yellow"/>
          <w:bdr w:val="single" w:sz="4" w:space="0" w:color="auto"/>
        </w:rPr>
        <w:t>、</w:t>
      </w:r>
      <w:r w:rsidR="00152ED0" w:rsidRPr="00DA3BC7">
        <w:rPr>
          <w:rFonts w:ascii="Times New Roman" w:hAnsi="Times New Roman"/>
          <w:b/>
          <w:sz w:val="20"/>
          <w:szCs w:val="20"/>
          <w:bdr w:val="single" w:sz="4" w:space="0" w:color="auto"/>
        </w:rPr>
        <w:t>《</w:t>
      </w:r>
      <w:r w:rsidRPr="00E21D23">
        <w:rPr>
          <w:rFonts w:ascii="Times New Roman" w:hAnsi="Times New Roman" w:hint="eastAsia"/>
          <w:b/>
          <w:color w:val="FF0000"/>
          <w:sz w:val="20"/>
          <w:szCs w:val="20"/>
          <w:highlight w:val="yellow"/>
          <w:bdr w:val="single" w:sz="4" w:space="0" w:color="auto"/>
        </w:rPr>
        <w:t>根本</w:t>
      </w:r>
      <w:r w:rsidR="00152ED0" w:rsidRPr="00DA3BC7">
        <w:rPr>
          <w:rFonts w:ascii="Times New Roman" w:hAnsi="Times New Roman"/>
          <w:b/>
          <w:sz w:val="20"/>
          <w:szCs w:val="20"/>
          <w:bdr w:val="single" w:sz="4" w:space="0" w:color="auto"/>
        </w:rPr>
        <w:t>中論</w:t>
      </w:r>
      <w:r w:rsidR="00152ED0" w:rsidRPr="00E21D23">
        <w:rPr>
          <w:rFonts w:ascii="Times New Roman" w:hAnsi="Times New Roman"/>
          <w:b/>
          <w:sz w:val="20"/>
          <w:szCs w:val="20"/>
          <w:highlight w:val="yellow"/>
          <w:bdr w:val="single" w:sz="4" w:space="0" w:color="auto"/>
        </w:rPr>
        <w:t>》</w:t>
      </w:r>
      <w:r w:rsidR="00152ED0" w:rsidRPr="00DA3BC7">
        <w:rPr>
          <w:rStyle w:val="a6"/>
          <w:rFonts w:ascii="Times New Roman" w:hAnsi="Times New Roman"/>
        </w:rPr>
        <w:footnoteReference w:id="119"/>
      </w:r>
      <w:r w:rsidR="00152ED0" w:rsidRPr="00DA3BC7">
        <w:rPr>
          <w:rFonts w:ascii="Times New Roman" w:hAnsi="Times New Roman" w:hint="eastAsia"/>
          <w:sz w:val="20"/>
          <w:szCs w:val="20"/>
        </w:rPr>
        <w:t>（</w:t>
      </w:r>
      <w:r w:rsidR="00152ED0" w:rsidRPr="00DA3BC7">
        <w:rPr>
          <w:rFonts w:ascii="Times New Roman" w:hAnsi="Times New Roman"/>
          <w:sz w:val="20"/>
          <w:szCs w:val="20"/>
        </w:rPr>
        <w:t>p.16</w:t>
      </w:r>
      <w:r w:rsidR="00152ED0" w:rsidRPr="00DA3BC7">
        <w:rPr>
          <w:rFonts w:ascii="Times New Roman" w:hAnsi="Times New Roman" w:hint="eastAsia"/>
          <w:sz w:val="20"/>
          <w:szCs w:val="20"/>
        </w:rPr>
        <w:t>）</w:t>
      </w:r>
    </w:p>
    <w:p w:rsidR="00152ED0" w:rsidRPr="00DA3BC7" w:rsidRDefault="00152ED0" w:rsidP="00FE0DA8">
      <w:pPr>
        <w:ind w:leftChars="300" w:left="720"/>
        <w:jc w:val="both"/>
        <w:rPr>
          <w:rFonts w:ascii="Times New Roman" w:hAnsi="Times New Roman"/>
        </w:rPr>
      </w:pPr>
      <w:r w:rsidRPr="00DA3BC7">
        <w:rPr>
          <w:rFonts w:ascii="Times New Roman" w:hAnsi="Times New Roman"/>
        </w:rPr>
        <w:lastRenderedPageBreak/>
        <w:t>在中國，</w:t>
      </w:r>
      <w:r w:rsidRPr="00DA3BC7">
        <w:rPr>
          <w:rFonts w:ascii="Times New Roman" w:hAnsi="Times New Roman" w:hint="eastAsia"/>
        </w:rPr>
        <w:t>《</w:t>
      </w:r>
      <w:r w:rsidRPr="00DA3BC7">
        <w:rPr>
          <w:rFonts w:ascii="Times New Roman" w:hAnsi="Times New Roman"/>
        </w:rPr>
        <w:t>根本中論</w:t>
      </w:r>
      <w:r w:rsidRPr="00DA3BC7">
        <w:rPr>
          <w:rFonts w:ascii="Times New Roman" w:hAnsi="Times New Roman" w:hint="eastAsia"/>
        </w:rPr>
        <w:t>》</w:t>
      </w:r>
      <w:r w:rsidRPr="00DA3BC7">
        <w:rPr>
          <w:rFonts w:ascii="Times New Roman" w:hAnsi="Times New Roman"/>
        </w:rPr>
        <w:t>都隨釋論譯出，</w:t>
      </w:r>
      <w:r w:rsidR="00441BD8" w:rsidRPr="00DA3BC7">
        <w:rPr>
          <w:rFonts w:ascii="Times New Roman" w:hAnsi="Times New Roman"/>
        </w:rPr>
        <w:t>有</w:t>
      </w:r>
    </w:p>
    <w:p w:rsidR="00152ED0" w:rsidRPr="00DA3BC7" w:rsidRDefault="00152ED0" w:rsidP="00FE0DA8">
      <w:pPr>
        <w:ind w:leftChars="300" w:left="720"/>
        <w:jc w:val="both"/>
        <w:rPr>
          <w:rFonts w:ascii="Times New Roman" w:hAnsi="Times New Roman"/>
        </w:rPr>
      </w:pPr>
      <w:r w:rsidRPr="00DA3BC7">
        <w:rPr>
          <w:rFonts w:ascii="Times New Roman" w:hAnsi="Times New Roman"/>
        </w:rPr>
        <w:t>什公譯的「青目釋」《中論》四卷，</w:t>
      </w:r>
    </w:p>
    <w:p w:rsidR="00152ED0" w:rsidRPr="00DA3BC7" w:rsidRDefault="00152ED0" w:rsidP="00FE0DA8">
      <w:pPr>
        <w:ind w:leftChars="300" w:left="720"/>
        <w:jc w:val="both"/>
        <w:rPr>
          <w:rFonts w:ascii="Times New Roman" w:hAnsi="Times New Roman"/>
        </w:rPr>
      </w:pPr>
      <w:r w:rsidRPr="00DA3BC7">
        <w:rPr>
          <w:rFonts w:ascii="Times New Roman" w:hAnsi="Times New Roman"/>
        </w:rPr>
        <w:t>唐波羅頗密多羅譯的清辨釋《般若燈論》一五卷</w:t>
      </w:r>
      <w:r w:rsidRPr="00441BD8">
        <w:rPr>
          <w:rFonts w:ascii="Times New Roman" w:hAnsi="Times New Roman"/>
          <w:sz w:val="22"/>
          <w:szCs w:val="20"/>
          <w:shd w:val="pct15" w:color="auto" w:fill="FFFFFF"/>
        </w:rPr>
        <w:t>（另有藏譯）</w:t>
      </w:r>
      <w:r w:rsidR="00441BD8" w:rsidRPr="00DA3BC7">
        <w:rPr>
          <w:rFonts w:ascii="Times New Roman" w:hAnsi="Times New Roman"/>
        </w:rPr>
        <w:t>，</w:t>
      </w:r>
    </w:p>
    <w:p w:rsidR="00152ED0" w:rsidRPr="00DA3BC7" w:rsidRDefault="00152ED0" w:rsidP="00FE0DA8">
      <w:pPr>
        <w:ind w:leftChars="300" w:left="720"/>
        <w:jc w:val="both"/>
        <w:rPr>
          <w:rFonts w:ascii="Times New Roman" w:hAnsi="Times New Roman"/>
        </w:rPr>
      </w:pPr>
      <w:r w:rsidRPr="00DA3BC7">
        <w:rPr>
          <w:rFonts w:ascii="Times New Roman" w:hAnsi="Times New Roman"/>
        </w:rPr>
        <w:t>宋惟淨譯的安慧釋《中觀釋論》一八卷。</w:t>
      </w:r>
    </w:p>
    <w:p w:rsidR="00152ED0" w:rsidRPr="00DA3BC7" w:rsidRDefault="00152ED0" w:rsidP="00FE0DA8">
      <w:pPr>
        <w:ind w:leftChars="300" w:left="720"/>
        <w:jc w:val="both"/>
        <w:rPr>
          <w:rFonts w:ascii="Times New Roman" w:hAnsi="Times New Roman"/>
        </w:rPr>
      </w:pPr>
      <w:r w:rsidRPr="00DA3BC7">
        <w:rPr>
          <w:rFonts w:ascii="Times New Roman" w:hAnsi="Times New Roman"/>
        </w:rPr>
        <w:t>漢文所沒有的，藏方有傳為龍樹釋的《無畏注》</w:t>
      </w:r>
      <w:r w:rsidRPr="00441BD8">
        <w:rPr>
          <w:rFonts w:ascii="Times New Roman" w:hAnsi="Times New Roman"/>
          <w:sz w:val="22"/>
          <w:szCs w:val="20"/>
          <w:shd w:val="pct15" w:color="auto" w:fill="FFFFFF"/>
        </w:rPr>
        <w:t>（藏譯）</w:t>
      </w:r>
      <w:r w:rsidR="00441BD8" w:rsidRPr="00DA3BC7">
        <w:rPr>
          <w:rFonts w:ascii="Times New Roman" w:hAnsi="Times New Roman"/>
        </w:rPr>
        <w:t>，</w:t>
      </w:r>
    </w:p>
    <w:p w:rsidR="00152ED0" w:rsidRPr="00DA3BC7" w:rsidRDefault="00152ED0" w:rsidP="00FE0DA8">
      <w:pPr>
        <w:ind w:leftChars="300" w:left="720"/>
        <w:jc w:val="both"/>
        <w:rPr>
          <w:rFonts w:ascii="Times New Roman" w:hAnsi="Times New Roman"/>
        </w:rPr>
      </w:pPr>
      <w:r w:rsidRPr="00DA3BC7">
        <w:rPr>
          <w:rFonts w:ascii="Times New Roman" w:hAnsi="Times New Roman"/>
        </w:rPr>
        <w:t>佛護的《中論注》</w:t>
      </w:r>
      <w:r w:rsidR="00441BD8" w:rsidRPr="00441BD8">
        <w:rPr>
          <w:rFonts w:ascii="Times New Roman" w:hAnsi="Times New Roman"/>
          <w:sz w:val="22"/>
          <w:szCs w:val="20"/>
          <w:shd w:val="pct15" w:color="auto" w:fill="FFFFFF"/>
        </w:rPr>
        <w:t>（藏譯）</w:t>
      </w:r>
      <w:r w:rsidRPr="00DA3BC7">
        <w:rPr>
          <w:rFonts w:ascii="Times New Roman" w:hAnsi="Times New Roman"/>
        </w:rPr>
        <w:t>，</w:t>
      </w:r>
      <w:r w:rsidR="00441BD8" w:rsidRPr="00DA3BC7">
        <w:rPr>
          <w:rFonts w:ascii="Times New Roman" w:hAnsi="Times New Roman"/>
        </w:rPr>
        <w:t xml:space="preserve"> </w:t>
      </w:r>
    </w:p>
    <w:p w:rsidR="00152ED0" w:rsidRPr="00DA3BC7" w:rsidRDefault="00152ED0" w:rsidP="00FE0DA8">
      <w:pPr>
        <w:ind w:leftChars="300" w:left="720"/>
        <w:jc w:val="both"/>
        <w:rPr>
          <w:rFonts w:ascii="Times New Roman" w:hAnsi="Times New Roman"/>
          <w:sz w:val="22"/>
          <w:szCs w:val="20"/>
        </w:rPr>
      </w:pPr>
      <w:r w:rsidRPr="00DA3BC7">
        <w:rPr>
          <w:rFonts w:ascii="Times New Roman" w:hAnsi="Times New Roman"/>
        </w:rPr>
        <w:t>月稱的《明句論》</w:t>
      </w:r>
      <w:r w:rsidRPr="00441BD8">
        <w:rPr>
          <w:rFonts w:ascii="Times New Roman" w:hAnsi="Times New Roman" w:hint="eastAsia"/>
          <w:sz w:val="22"/>
          <w:szCs w:val="20"/>
          <w:shd w:val="pct15" w:color="auto" w:fill="FFFFFF"/>
        </w:rPr>
        <w:t>（梵本、藏譯）</w:t>
      </w:r>
      <w:r w:rsidR="00441BD8" w:rsidRPr="00DA3BC7">
        <w:rPr>
          <w:rFonts w:ascii="Times New Roman" w:hAnsi="Times New Roman"/>
        </w:rPr>
        <w:t>。</w:t>
      </w:r>
    </w:p>
    <w:p w:rsidR="00152ED0" w:rsidRPr="00DA3BC7" w:rsidRDefault="00441BD8" w:rsidP="00AE3920">
      <w:pPr>
        <w:spacing w:beforeLines="30"/>
        <w:ind w:leftChars="300" w:left="72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B</w:t>
      </w:r>
      <w:r w:rsidR="00152ED0" w:rsidRPr="00C31BFC">
        <w:rPr>
          <w:rFonts w:ascii="Times New Roman" w:hAnsi="Times New Roman"/>
          <w:b/>
          <w:color w:val="FF0000"/>
          <w:sz w:val="20"/>
          <w:szCs w:val="20"/>
          <w:highlight w:val="yellow"/>
          <w:bdr w:val="single" w:sz="4" w:space="0" w:color="auto"/>
        </w:rPr>
        <w:t>、</w:t>
      </w:r>
      <w:r w:rsidR="00152ED0" w:rsidRPr="00DA3BC7">
        <w:rPr>
          <w:rFonts w:ascii="Times New Roman" w:hAnsi="Times New Roman"/>
          <w:b/>
          <w:sz w:val="20"/>
          <w:szCs w:val="20"/>
          <w:bdr w:val="single" w:sz="4" w:space="0" w:color="auto"/>
        </w:rPr>
        <w:t>《七十空</w:t>
      </w:r>
      <w:r w:rsidR="00152ED0" w:rsidRPr="00DA3BC7">
        <w:rPr>
          <w:rFonts w:ascii="Times New Roman" w:hAnsi="Times New Roman" w:hint="eastAsia"/>
          <w:b/>
          <w:sz w:val="20"/>
          <w:szCs w:val="20"/>
          <w:bdr w:val="single" w:sz="4" w:space="0" w:color="auto"/>
        </w:rPr>
        <w:t>性</w:t>
      </w:r>
      <w:r w:rsidR="00152ED0" w:rsidRPr="00DA3BC7">
        <w:rPr>
          <w:rFonts w:ascii="Times New Roman" w:hAnsi="Times New Roman"/>
          <w:b/>
          <w:sz w:val="20"/>
          <w:szCs w:val="20"/>
          <w:bdr w:val="single" w:sz="4" w:space="0" w:color="auto"/>
        </w:rPr>
        <w:t>論》</w:t>
      </w:r>
      <w:r w:rsidR="00FA6C4B" w:rsidRPr="00DA3BC7">
        <w:rPr>
          <w:rFonts w:ascii="Times New Roman" w:hAnsi="Times New Roman" w:hint="eastAsia"/>
          <w:sz w:val="20"/>
          <w:szCs w:val="20"/>
        </w:rPr>
        <w:t>（</w:t>
      </w:r>
      <w:r w:rsidR="00FA6C4B" w:rsidRPr="00DA3BC7">
        <w:rPr>
          <w:rFonts w:ascii="Times New Roman" w:hAnsi="Times New Roman"/>
          <w:sz w:val="20"/>
          <w:szCs w:val="20"/>
        </w:rPr>
        <w:t>p.16</w:t>
      </w:r>
      <w:r w:rsidR="00FA6C4B" w:rsidRPr="00DA3BC7">
        <w:rPr>
          <w:rFonts w:ascii="Times New Roman" w:hAnsi="Times New Roman" w:hint="eastAsia"/>
          <w:sz w:val="20"/>
          <w:szCs w:val="20"/>
        </w:rPr>
        <w:t>）</w:t>
      </w:r>
    </w:p>
    <w:p w:rsidR="00152ED0" w:rsidRPr="00DA3BC7" w:rsidRDefault="00152ED0" w:rsidP="00FE0DA8">
      <w:pPr>
        <w:ind w:leftChars="300" w:left="720"/>
        <w:jc w:val="both"/>
        <w:rPr>
          <w:rFonts w:ascii="Times New Roman" w:hAnsi="Times New Roman"/>
        </w:rPr>
      </w:pPr>
      <w:r w:rsidRPr="00DA3BC7">
        <w:rPr>
          <w:rFonts w:ascii="Times New Roman" w:hAnsi="Times New Roman"/>
        </w:rPr>
        <w:t>《七十空</w:t>
      </w:r>
      <w:r w:rsidRPr="00DA3BC7">
        <w:rPr>
          <w:rFonts w:ascii="Times New Roman" w:hAnsi="Times New Roman" w:hint="eastAsia"/>
        </w:rPr>
        <w:t>性</w:t>
      </w:r>
      <w:r w:rsidRPr="00DA3BC7">
        <w:rPr>
          <w:rFonts w:ascii="Times New Roman" w:hAnsi="Times New Roman"/>
        </w:rPr>
        <w:t>論》，最近依藏文譯出。</w:t>
      </w:r>
    </w:p>
    <w:p w:rsidR="00152ED0" w:rsidRPr="00DA3BC7" w:rsidRDefault="00441BD8" w:rsidP="00AE3920">
      <w:pPr>
        <w:spacing w:beforeLines="30"/>
        <w:ind w:leftChars="300" w:left="72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C</w:t>
      </w:r>
      <w:r w:rsidR="00152ED0" w:rsidRPr="00C31BFC">
        <w:rPr>
          <w:rFonts w:ascii="Times New Roman" w:hAnsi="Times New Roman"/>
          <w:b/>
          <w:color w:val="FF0000"/>
          <w:sz w:val="20"/>
          <w:szCs w:val="20"/>
          <w:highlight w:val="yellow"/>
          <w:bdr w:val="single" w:sz="4" w:space="0" w:color="auto"/>
        </w:rPr>
        <w:t>、</w:t>
      </w:r>
      <w:r w:rsidR="00152ED0" w:rsidRPr="00DA3BC7">
        <w:rPr>
          <w:rFonts w:ascii="Times New Roman" w:hAnsi="Times New Roman"/>
          <w:b/>
          <w:sz w:val="20"/>
          <w:szCs w:val="20"/>
          <w:bdr w:val="single" w:sz="4" w:space="0" w:color="auto"/>
        </w:rPr>
        <w:t>《迴諍論》</w:t>
      </w:r>
      <w:r w:rsidR="00FA6C4B" w:rsidRPr="00DA3BC7">
        <w:rPr>
          <w:rFonts w:ascii="Times New Roman" w:hAnsi="Times New Roman" w:hint="eastAsia"/>
          <w:sz w:val="20"/>
          <w:szCs w:val="20"/>
        </w:rPr>
        <w:t>（</w:t>
      </w:r>
      <w:r w:rsidR="00FA6C4B" w:rsidRPr="00DA3BC7">
        <w:rPr>
          <w:rFonts w:ascii="Times New Roman" w:hAnsi="Times New Roman"/>
          <w:sz w:val="20"/>
          <w:szCs w:val="20"/>
        </w:rPr>
        <w:t>p.16</w:t>
      </w:r>
      <w:r w:rsidR="00FA6C4B" w:rsidRPr="00DA3BC7">
        <w:rPr>
          <w:rFonts w:ascii="Times New Roman" w:hAnsi="Times New Roman" w:hint="eastAsia"/>
          <w:sz w:val="20"/>
          <w:szCs w:val="20"/>
        </w:rPr>
        <w:t>）</w:t>
      </w:r>
    </w:p>
    <w:p w:rsidR="00152ED0" w:rsidRPr="00DA3BC7" w:rsidRDefault="00152ED0" w:rsidP="00FE0DA8">
      <w:pPr>
        <w:ind w:leftChars="300" w:left="720"/>
        <w:jc w:val="both"/>
        <w:rPr>
          <w:rFonts w:ascii="Times New Roman" w:hAnsi="Times New Roman"/>
        </w:rPr>
      </w:pPr>
      <w:r w:rsidRPr="00DA3BC7">
        <w:rPr>
          <w:rFonts w:ascii="Times New Roman" w:hAnsi="Times New Roman"/>
        </w:rPr>
        <w:t>《迴諍論》，中國的譯本，是元魏</w:t>
      </w:r>
      <w:r w:rsidRPr="00DA3BC7">
        <w:rPr>
          <w:rFonts w:ascii="Times New Roman" w:hAnsi="Times New Roman" w:hint="eastAsia"/>
        </w:rPr>
        <w:t>毘</w:t>
      </w:r>
      <w:r w:rsidRPr="00DA3BC7">
        <w:rPr>
          <w:rFonts w:ascii="Times New Roman" w:hAnsi="Times New Roman"/>
        </w:rPr>
        <w:t>目智仙譯的。</w:t>
      </w:r>
      <w:r w:rsidRPr="00DA3BC7">
        <w:rPr>
          <w:rStyle w:val="a6"/>
          <w:rFonts w:ascii="Times New Roman" w:hAnsi="Times New Roman"/>
        </w:rPr>
        <w:footnoteReference w:id="120"/>
      </w:r>
    </w:p>
    <w:p w:rsidR="00152ED0" w:rsidRPr="00DA3BC7" w:rsidRDefault="00441BD8" w:rsidP="00AE3920">
      <w:pPr>
        <w:spacing w:beforeLines="30"/>
        <w:ind w:leftChars="300" w:left="720"/>
        <w:jc w:val="both"/>
        <w:rPr>
          <w:rFonts w:ascii="Times New Roman" w:hAnsi="Times New Roman"/>
          <w:sz w:val="20"/>
          <w:szCs w:val="20"/>
        </w:rPr>
      </w:pPr>
      <w:r>
        <w:rPr>
          <w:rFonts w:ascii="Times New Roman" w:hAnsi="Times New Roman" w:hint="eastAsia"/>
          <w:b/>
          <w:color w:val="FF0000"/>
          <w:sz w:val="20"/>
          <w:szCs w:val="20"/>
          <w:highlight w:val="yellow"/>
          <w:bdr w:val="single" w:sz="4" w:space="0" w:color="auto"/>
        </w:rPr>
        <w:t>D&amp;E</w:t>
      </w:r>
      <w:r w:rsidR="00152ED0" w:rsidRPr="00C31BFC">
        <w:rPr>
          <w:rFonts w:ascii="Times New Roman" w:hAnsi="Times New Roman"/>
          <w:b/>
          <w:color w:val="FF0000"/>
          <w:sz w:val="20"/>
          <w:szCs w:val="20"/>
          <w:highlight w:val="yellow"/>
          <w:bdr w:val="single" w:sz="4" w:space="0" w:color="auto"/>
        </w:rPr>
        <w:t>、</w:t>
      </w:r>
      <w:r w:rsidR="00152ED0" w:rsidRPr="00DA3BC7">
        <w:rPr>
          <w:rFonts w:ascii="Times New Roman" w:hAnsi="Times New Roman"/>
          <w:b/>
          <w:sz w:val="20"/>
          <w:szCs w:val="20"/>
          <w:bdr w:val="single" w:sz="4" w:space="0" w:color="auto"/>
        </w:rPr>
        <w:t>《六十如理論》</w:t>
      </w:r>
      <w:r w:rsidR="00152ED0" w:rsidRPr="00212BD2">
        <w:rPr>
          <w:rFonts w:ascii="Times New Roman" w:hAnsi="Times New Roman"/>
          <w:b/>
          <w:sz w:val="20"/>
          <w:szCs w:val="20"/>
          <w:highlight w:val="yellow"/>
          <w:bdr w:val="single" w:sz="4" w:space="0" w:color="auto"/>
        </w:rPr>
        <w:t>、</w:t>
      </w:r>
      <w:r w:rsidR="00152ED0" w:rsidRPr="00DA3BC7">
        <w:rPr>
          <w:rFonts w:ascii="Times New Roman" w:hAnsi="Times New Roman"/>
          <w:b/>
          <w:sz w:val="20"/>
          <w:szCs w:val="20"/>
          <w:bdr w:val="single" w:sz="4" w:space="0" w:color="auto"/>
        </w:rPr>
        <w:t>《大乘破有論</w:t>
      </w:r>
      <w:r w:rsidR="00152ED0" w:rsidRPr="00212BD2">
        <w:rPr>
          <w:rFonts w:ascii="Times New Roman" w:hAnsi="Times New Roman"/>
          <w:b/>
          <w:sz w:val="20"/>
          <w:szCs w:val="20"/>
          <w:highlight w:val="yellow"/>
          <w:bdr w:val="single" w:sz="4" w:space="0" w:color="auto"/>
        </w:rPr>
        <w:t>》</w:t>
      </w:r>
      <w:r w:rsidR="00152ED0" w:rsidRPr="00DA3BC7">
        <w:rPr>
          <w:rFonts w:ascii="Times New Roman" w:hAnsi="Times New Roman" w:hint="eastAsia"/>
          <w:sz w:val="20"/>
          <w:szCs w:val="20"/>
        </w:rPr>
        <w:t>（</w:t>
      </w:r>
      <w:r w:rsidR="00152ED0" w:rsidRPr="00DA3BC7">
        <w:rPr>
          <w:rFonts w:ascii="Times New Roman" w:hAnsi="Times New Roman"/>
          <w:sz w:val="20"/>
          <w:szCs w:val="20"/>
        </w:rPr>
        <w:t>pp.16-17</w:t>
      </w:r>
      <w:r w:rsidR="00152ED0" w:rsidRPr="00DA3BC7">
        <w:rPr>
          <w:rFonts w:ascii="Times New Roman" w:hAnsi="Times New Roman" w:hint="eastAsia"/>
          <w:sz w:val="20"/>
          <w:szCs w:val="20"/>
        </w:rPr>
        <w:t>）</w:t>
      </w:r>
    </w:p>
    <w:p w:rsidR="00152ED0" w:rsidRPr="00DA3BC7" w:rsidRDefault="00152ED0" w:rsidP="00FE0DA8">
      <w:pPr>
        <w:ind w:leftChars="300" w:left="720"/>
        <w:jc w:val="both"/>
        <w:rPr>
          <w:rFonts w:ascii="Times New Roman" w:hAnsi="Times New Roman"/>
        </w:rPr>
      </w:pPr>
      <w:r w:rsidRPr="00DA3BC7">
        <w:rPr>
          <w:rFonts w:ascii="Times New Roman" w:hAnsi="Times New Roman"/>
        </w:rPr>
        <w:t>《六十如理論》與《大乘二十論》，趙宋時施護所譯。</w:t>
      </w:r>
    </w:p>
    <w:p w:rsidR="00152ED0" w:rsidRPr="00DA3BC7" w:rsidRDefault="00152ED0" w:rsidP="00FE0DA8">
      <w:pPr>
        <w:ind w:leftChars="300" w:left="720"/>
        <w:jc w:val="both"/>
        <w:rPr>
          <w:rFonts w:ascii="Times New Roman" w:hAnsi="Times New Roman"/>
        </w:rPr>
      </w:pPr>
      <w:r w:rsidRPr="00DA3BC7">
        <w:rPr>
          <w:rFonts w:ascii="Times New Roman" w:hAnsi="Times New Roman"/>
        </w:rPr>
        <w:t>施護所譯的龍樹論，非早期的中觀學者所知，而且有「唯識」的傾向。如《大乘二十論》的末二頌說：「</w:t>
      </w:r>
      <w:r w:rsidRPr="00DA3BC7">
        <w:rPr>
          <w:rFonts w:ascii="Times New Roman" w:eastAsia="標楷體" w:hAnsi="Times New Roman"/>
        </w:rPr>
        <w:t>此一切唯心，安立幻化相。</w:t>
      </w:r>
      <w:r w:rsidRPr="00DA3BC7">
        <w:rPr>
          <w:rFonts w:ascii="Times New Roman" w:eastAsia="標楷體" w:hAnsi="Times New Roman" w:hint="eastAsia"/>
        </w:rPr>
        <w:t>……</w:t>
      </w:r>
      <w:r w:rsidRPr="00DA3BC7">
        <w:rPr>
          <w:rFonts w:ascii="Times New Roman" w:eastAsia="標楷體" w:hAnsi="Times New Roman"/>
        </w:rPr>
        <w:t>若滅於心輪，即滅一切法</w:t>
      </w:r>
      <w:r w:rsidRPr="00DA3BC7">
        <w:rPr>
          <w:rFonts w:ascii="Times New Roman" w:hAnsi="Times New Roman"/>
        </w:rPr>
        <w:t>。</w:t>
      </w:r>
      <w:r w:rsidRPr="00DA3BC7">
        <w:rPr>
          <w:rFonts w:ascii="Times New Roman" w:eastAsia="標楷體" w:hAnsi="Times New Roman"/>
        </w:rPr>
        <w:t>」</w:t>
      </w:r>
      <w:r w:rsidRPr="00DA3BC7">
        <w:rPr>
          <w:rStyle w:val="a6"/>
          <w:rFonts w:ascii="Times New Roman" w:hAnsi="Times New Roman"/>
        </w:rPr>
        <w:footnoteReference w:id="121"/>
      </w:r>
      <w:r w:rsidRPr="00DA3BC7">
        <w:rPr>
          <w:rFonts w:ascii="Times New Roman" w:hAnsi="Times New Roman"/>
        </w:rPr>
        <w:t>《六十如理論》三十四頌說：「</w:t>
      </w:r>
      <w:r w:rsidRPr="00DA3BC7">
        <w:rPr>
          <w:rFonts w:ascii="Times New Roman" w:eastAsia="標楷體" w:hAnsi="Times New Roman"/>
        </w:rPr>
        <w:t>宣說大種等，皆是識所攝</w:t>
      </w:r>
      <w:r w:rsidRPr="00DA3BC7">
        <w:rPr>
          <w:rFonts w:ascii="Times New Roman" w:hAnsi="Times New Roman"/>
        </w:rPr>
        <w:t>。」</w:t>
      </w:r>
      <w:r w:rsidRPr="00DA3BC7">
        <w:rPr>
          <w:rStyle w:val="a6"/>
          <w:rFonts w:ascii="Times New Roman" w:hAnsi="Times New Roman"/>
        </w:rPr>
        <w:footnoteReference w:id="122"/>
      </w:r>
      <w:r w:rsidRPr="00DA3BC7">
        <w:rPr>
          <w:rFonts w:ascii="Times New Roman" w:hAnsi="Times New Roman"/>
        </w:rPr>
        <w:t>又施護譯的《大乘破有論》說：「</w:t>
      </w:r>
      <w:r w:rsidRPr="00DA3BC7">
        <w:rPr>
          <w:rFonts w:ascii="Times New Roman" w:eastAsia="標楷體" w:hAnsi="Times New Roman"/>
        </w:rPr>
        <w:t>由此心為因，即有</w:t>
      </w:r>
      <w:r w:rsidRPr="00DA3BC7">
        <w:rPr>
          <w:rFonts w:ascii="Times New Roman" w:eastAsia="標楷體" w:hAnsi="Times New Roman"/>
        </w:rPr>
        <w:lastRenderedPageBreak/>
        <w:t>身生</w:t>
      </w:r>
      <w:r w:rsidRPr="00DA3BC7">
        <w:rPr>
          <w:rFonts w:ascii="Times New Roman" w:hAnsi="Times New Roman"/>
        </w:rPr>
        <w:t>。」</w:t>
      </w:r>
      <w:r w:rsidRPr="00DA3BC7">
        <w:rPr>
          <w:rStyle w:val="a6"/>
          <w:rFonts w:ascii="Times New Roman" w:hAnsi="Times New Roman"/>
        </w:rPr>
        <w:footnoteReference w:id="123"/>
      </w:r>
    </w:p>
    <w:p w:rsidR="00152ED0" w:rsidRPr="00DA3BC7" w:rsidRDefault="00152ED0" w:rsidP="00AE3920">
      <w:pPr>
        <w:spacing w:beforeLines="20"/>
        <w:ind w:leftChars="300" w:left="720"/>
        <w:jc w:val="both"/>
        <w:rPr>
          <w:rFonts w:ascii="Times New Roman" w:hAnsi="Times New Roman"/>
          <w:spacing w:val="-6"/>
        </w:rPr>
      </w:pPr>
      <w:r w:rsidRPr="00DA3BC7">
        <w:rPr>
          <w:rFonts w:ascii="Times New Roman" w:hAnsi="Times New Roman" w:hint="eastAsia"/>
          <w:spacing w:val="-6"/>
        </w:rPr>
        <w:t>印</w:t>
      </w:r>
      <w:r w:rsidRPr="00DA3BC7">
        <w:rPr>
          <w:rFonts w:ascii="Times New Roman" w:hAnsi="Times New Roman"/>
          <w:spacing w:val="-6"/>
        </w:rPr>
        <w:t>度後期有隨瑜伽行的中觀師，即引《六十如理論》頌，此下更為解說。</w:t>
      </w:r>
      <w:r w:rsidRPr="00DA3BC7">
        <w:rPr>
          <w:rStyle w:val="a6"/>
          <w:rFonts w:ascii="Times New Roman" w:hAnsi="Times New Roman"/>
          <w:spacing w:val="-6"/>
        </w:rPr>
        <w:footnoteReference w:id="124"/>
      </w:r>
    </w:p>
    <w:p w:rsidR="00152ED0" w:rsidRPr="00DA3BC7" w:rsidRDefault="00264061" w:rsidP="00AE3920">
      <w:pPr>
        <w:spacing w:beforeLines="30"/>
        <w:ind w:leftChars="150" w:left="360"/>
        <w:jc w:val="both"/>
        <w:rPr>
          <w:rFonts w:ascii="Times New Roman" w:hAnsi="Times New Roman"/>
          <w:b/>
          <w:sz w:val="20"/>
          <w:szCs w:val="20"/>
          <w:bdr w:val="single" w:sz="4" w:space="0" w:color="auto"/>
        </w:rPr>
      </w:pPr>
      <w:r w:rsidRPr="00264061">
        <w:rPr>
          <w:rFonts w:ascii="Times New Roman" w:hAnsi="Times New Roman" w:hint="eastAsia"/>
          <w:b/>
          <w:color w:val="FF0000"/>
          <w:sz w:val="20"/>
          <w:szCs w:val="20"/>
          <w:highlight w:val="yellow"/>
          <w:bdr w:val="single" w:sz="4" w:space="0" w:color="auto"/>
        </w:rPr>
        <w:t>（二）特辨《中論》的正意</w:t>
      </w:r>
      <w:r w:rsidR="00152ED0" w:rsidRPr="00DA3BC7">
        <w:rPr>
          <w:rStyle w:val="a6"/>
          <w:rFonts w:ascii="Times New Roman" w:hAnsi="Times New Roman"/>
        </w:rPr>
        <w:footnoteReference w:id="125"/>
      </w:r>
      <w:r w:rsidR="00152ED0" w:rsidRPr="00DA3BC7">
        <w:rPr>
          <w:rFonts w:ascii="Times New Roman" w:hAnsi="Times New Roman" w:hint="eastAsia"/>
          <w:sz w:val="20"/>
          <w:szCs w:val="20"/>
        </w:rPr>
        <w:t>（</w:t>
      </w:r>
      <w:r w:rsidR="00152ED0" w:rsidRPr="00DA3BC7">
        <w:rPr>
          <w:rFonts w:ascii="Times New Roman" w:hAnsi="Times New Roman"/>
          <w:sz w:val="20"/>
          <w:szCs w:val="20"/>
        </w:rPr>
        <w:t>p.17</w:t>
      </w:r>
      <w:r w:rsidR="00152ED0" w:rsidRPr="00DA3BC7">
        <w:rPr>
          <w:rFonts w:ascii="Times New Roman" w:hAnsi="Times New Roman" w:hint="eastAsia"/>
          <w:sz w:val="20"/>
          <w:szCs w:val="20"/>
        </w:rPr>
        <w:t>）</w:t>
      </w:r>
    </w:p>
    <w:p w:rsidR="00152ED0" w:rsidRPr="00DA3BC7" w:rsidRDefault="00264061" w:rsidP="00C31BFC">
      <w:pPr>
        <w:ind w:leftChars="200" w:left="480"/>
        <w:jc w:val="both"/>
        <w:rPr>
          <w:rFonts w:ascii="Times New Roman" w:hAnsi="Times New Roman"/>
          <w:b/>
          <w:sz w:val="20"/>
          <w:szCs w:val="20"/>
        </w:rPr>
      </w:pPr>
      <w:r>
        <w:rPr>
          <w:rFonts w:ascii="Times New Roman" w:hAnsi="Times New Roman" w:hint="eastAsia"/>
          <w:b/>
          <w:color w:val="FF0000"/>
          <w:sz w:val="20"/>
          <w:szCs w:val="20"/>
          <w:highlight w:val="yellow"/>
          <w:bdr w:val="single" w:sz="4" w:space="0" w:color="auto"/>
        </w:rPr>
        <w:t>1</w:t>
      </w:r>
      <w:r>
        <w:rPr>
          <w:rFonts w:ascii="Times New Roman" w:hAnsi="Times New Roman" w:hint="eastAsia"/>
          <w:b/>
          <w:color w:val="FF0000"/>
          <w:sz w:val="20"/>
          <w:szCs w:val="20"/>
          <w:highlight w:val="yellow"/>
          <w:bdr w:val="single" w:sz="4" w:space="0" w:color="auto"/>
        </w:rPr>
        <w:t>、依提婆論的影響而論</w:t>
      </w:r>
      <w:r w:rsidR="00152ED0" w:rsidRPr="00DA3BC7">
        <w:rPr>
          <w:rFonts w:ascii="Times New Roman" w:hAnsi="Times New Roman" w:hint="eastAsia"/>
          <w:sz w:val="20"/>
          <w:szCs w:val="20"/>
        </w:rPr>
        <w:t>（</w:t>
      </w:r>
      <w:r w:rsidR="00152ED0" w:rsidRPr="00DA3BC7">
        <w:rPr>
          <w:rFonts w:ascii="Times New Roman" w:hAnsi="Times New Roman"/>
          <w:sz w:val="20"/>
          <w:szCs w:val="20"/>
        </w:rPr>
        <w:t>p.17</w:t>
      </w:r>
      <w:r w:rsidR="00152ED0" w:rsidRPr="00DA3BC7">
        <w:rPr>
          <w:rFonts w:ascii="Times New Roman" w:hAnsi="Times New Roman" w:hint="eastAsia"/>
          <w:sz w:val="20"/>
          <w:szCs w:val="20"/>
        </w:rPr>
        <w:t>）</w:t>
      </w:r>
    </w:p>
    <w:p w:rsidR="00152ED0" w:rsidRPr="00DA3BC7" w:rsidRDefault="00152ED0" w:rsidP="00A65C2A">
      <w:pPr>
        <w:ind w:leftChars="200" w:left="480"/>
        <w:jc w:val="both"/>
        <w:rPr>
          <w:rFonts w:ascii="Times New Roman" w:hAnsi="Times New Roman"/>
        </w:rPr>
      </w:pPr>
      <w:r w:rsidRPr="00DA3BC7">
        <w:rPr>
          <w:rFonts w:ascii="Times New Roman" w:hAnsi="Times New Roman"/>
        </w:rPr>
        <w:t>漢藏一致的傳說：傳龍樹中觀的正統者，是錫蘭的提婆論師。</w:t>
      </w:r>
    </w:p>
    <w:p w:rsidR="00152ED0" w:rsidRPr="00DA3BC7" w:rsidRDefault="00152ED0" w:rsidP="00A65C2A">
      <w:pPr>
        <w:ind w:leftChars="200" w:left="480"/>
        <w:jc w:val="both"/>
        <w:rPr>
          <w:rFonts w:ascii="Times New Roman" w:hAnsi="Times New Roman"/>
        </w:rPr>
      </w:pPr>
      <w:r w:rsidRPr="00DA3BC7">
        <w:rPr>
          <w:rFonts w:ascii="Times New Roman" w:hAnsi="Times New Roman"/>
        </w:rPr>
        <w:t>提婆的主要作品，名《四百論》；奘譯的《廣百論》</w:t>
      </w:r>
      <w:r w:rsidRPr="00DA3BC7">
        <w:rPr>
          <w:rFonts w:ascii="Times New Roman" w:hAnsi="Times New Roman"/>
          <w:vertAlign w:val="superscript"/>
        </w:rPr>
        <w:footnoteReference w:id="126"/>
      </w:r>
      <w:r w:rsidRPr="00DA3BC7">
        <w:rPr>
          <w:rFonts w:ascii="Times New Roman" w:hAnsi="Times New Roman"/>
        </w:rPr>
        <w:t>，即此論後八品的護法「釋論」。什公所譯的《百論》，婆藪開士</w:t>
      </w:r>
      <w:r w:rsidRPr="00DA3BC7">
        <w:rPr>
          <w:rStyle w:val="a6"/>
          <w:rFonts w:ascii="Times New Roman" w:hAnsi="Times New Roman"/>
        </w:rPr>
        <w:footnoteReference w:id="127"/>
      </w:r>
      <w:r w:rsidRPr="00DA3BC7">
        <w:rPr>
          <w:rFonts w:ascii="Times New Roman" w:hAnsi="Times New Roman"/>
        </w:rPr>
        <w:t>釋，也即是此論的略本。</w:t>
      </w:r>
    </w:p>
    <w:p w:rsidR="00152ED0" w:rsidRPr="00DA3BC7" w:rsidRDefault="00152ED0" w:rsidP="00A65C2A">
      <w:pPr>
        <w:ind w:leftChars="200" w:left="480"/>
        <w:jc w:val="both"/>
        <w:rPr>
          <w:rFonts w:ascii="Times New Roman" w:hAnsi="Times New Roman"/>
        </w:rPr>
      </w:pPr>
      <w:r w:rsidRPr="00DA3BC7">
        <w:rPr>
          <w:rFonts w:ascii="Times New Roman" w:hAnsi="Times New Roman"/>
        </w:rPr>
        <w:t>此外，還有《百字論》</w:t>
      </w:r>
      <w:r w:rsidRPr="00DA3BC7">
        <w:rPr>
          <w:rFonts w:ascii="Times New Roman" w:hAnsi="Times New Roman"/>
          <w:vertAlign w:val="superscript"/>
        </w:rPr>
        <w:footnoteReference w:id="128"/>
      </w:r>
      <w:r w:rsidRPr="00DA3BC7">
        <w:rPr>
          <w:rFonts w:ascii="Times New Roman" w:hAnsi="Times New Roman"/>
        </w:rPr>
        <w:t>。</w:t>
      </w:r>
    </w:p>
    <w:p w:rsidR="00152ED0" w:rsidRPr="00DA3BC7" w:rsidRDefault="00152ED0" w:rsidP="00A65C2A">
      <w:pPr>
        <w:ind w:leftChars="200" w:left="480"/>
        <w:jc w:val="both"/>
        <w:rPr>
          <w:rFonts w:ascii="Times New Roman" w:hAnsi="Times New Roman"/>
        </w:rPr>
      </w:pPr>
      <w:r w:rsidRPr="00DA3BC7">
        <w:rPr>
          <w:rFonts w:ascii="Times New Roman" w:hAnsi="Times New Roman"/>
        </w:rPr>
        <w:t>提婆論以「百」為名，不僅是</w:t>
      </w:r>
      <w:r w:rsidRPr="00DA3BC7">
        <w:rPr>
          <w:rFonts w:ascii="Times New Roman" w:hAnsi="Times New Roman"/>
          <w:b/>
          <w:bCs/>
        </w:rPr>
        <w:t>數目</w:t>
      </w:r>
      <w:r w:rsidRPr="00DA3BC7">
        <w:rPr>
          <w:rFonts w:ascii="Times New Roman" w:hAnsi="Times New Roman"/>
        </w:rPr>
        <w:t>的</w:t>
      </w:r>
      <w:r w:rsidRPr="00DA3BC7">
        <w:rPr>
          <w:rFonts w:ascii="Times New Roman" w:hAnsi="Times New Roman" w:hint="eastAsia"/>
        </w:rPr>
        <w:t>。</w:t>
      </w:r>
      <w:r w:rsidRPr="00DA3BC7">
        <w:rPr>
          <w:rFonts w:ascii="Times New Roman" w:hAnsi="Times New Roman"/>
        </w:rPr>
        <w:t>古人解說為「</w:t>
      </w:r>
      <w:r w:rsidRPr="00DA3BC7">
        <w:rPr>
          <w:rFonts w:ascii="Times New Roman" w:eastAsia="標楷體" w:hAnsi="Times New Roman"/>
        </w:rPr>
        <w:t>無邪不摧，無正不顯</w:t>
      </w:r>
      <w:r w:rsidRPr="00DA3BC7">
        <w:rPr>
          <w:rFonts w:ascii="Times New Roman" w:hAnsi="Times New Roman"/>
        </w:rPr>
        <w:t>」，即完備的意義</w:t>
      </w:r>
      <w:r w:rsidRPr="00DA3BC7">
        <w:rPr>
          <w:rFonts w:ascii="Times New Roman" w:hAnsi="Times New Roman" w:hint="eastAsia"/>
        </w:rPr>
        <w:t>；</w:t>
      </w:r>
      <w:r w:rsidRPr="00DA3BC7">
        <w:rPr>
          <w:rFonts w:ascii="Times New Roman" w:hAnsi="Times New Roman"/>
        </w:rPr>
        <w:t>月稱從語言學的見地，解說為「</w:t>
      </w:r>
      <w:r w:rsidRPr="00DA3BC7">
        <w:rPr>
          <w:rFonts w:ascii="Times New Roman" w:eastAsia="標楷體" w:hAnsi="Times New Roman"/>
        </w:rPr>
        <w:t>遮遣分別邪執</w:t>
      </w:r>
      <w:r w:rsidRPr="00DA3BC7">
        <w:rPr>
          <w:rFonts w:ascii="Times New Roman" w:hAnsi="Times New Roman"/>
        </w:rPr>
        <w:t>」；</w:t>
      </w:r>
      <w:r w:rsidRPr="00DA3BC7">
        <w:rPr>
          <w:rFonts w:ascii="Times New Roman" w:hAnsi="Times New Roman"/>
          <w:bCs/>
          <w:vertAlign w:val="superscript"/>
        </w:rPr>
        <w:footnoteReference w:id="129"/>
      </w:r>
      <w:r w:rsidRPr="00DA3BC7">
        <w:rPr>
          <w:rFonts w:ascii="Times New Roman" w:hAnsi="Times New Roman"/>
        </w:rPr>
        <w:lastRenderedPageBreak/>
        <w:t>提婆論確是側重</w:t>
      </w:r>
      <w:r w:rsidRPr="00DA3BC7">
        <w:rPr>
          <w:rFonts w:ascii="Times New Roman" w:hAnsi="Times New Roman"/>
          <w:b/>
          <w:bCs/>
        </w:rPr>
        <w:t>破邪</w:t>
      </w:r>
      <w:r w:rsidRPr="00DA3BC7">
        <w:rPr>
          <w:rFonts w:ascii="Times New Roman" w:hAnsi="Times New Roman"/>
        </w:rPr>
        <w:t>的。</w:t>
      </w:r>
    </w:p>
    <w:p w:rsidR="00152ED0" w:rsidRPr="00DA3BC7" w:rsidRDefault="00152ED0" w:rsidP="00A65C2A">
      <w:pPr>
        <w:ind w:leftChars="200" w:left="480"/>
        <w:jc w:val="both"/>
        <w:rPr>
          <w:rFonts w:ascii="Times New Roman" w:hAnsi="Times New Roman"/>
        </w:rPr>
      </w:pPr>
      <w:r w:rsidRPr="00DA3BC7">
        <w:rPr>
          <w:rFonts w:ascii="Times New Roman" w:hAnsi="Times New Roman"/>
        </w:rPr>
        <w:t>其後，青目釋《中論》的八不說：「</w:t>
      </w:r>
      <w:r w:rsidRPr="00DA3BC7">
        <w:rPr>
          <w:rFonts w:ascii="Times New Roman" w:eastAsia="標楷體" w:hAnsi="Times New Roman"/>
        </w:rPr>
        <w:t>法雖無量，略說八事，</w:t>
      </w:r>
      <w:r w:rsidRPr="00DA3BC7">
        <w:rPr>
          <w:rFonts w:ascii="Times New Roman" w:eastAsia="標楷體" w:hAnsi="Times New Roman" w:hint="eastAsia"/>
        </w:rPr>
        <w:t>則</w:t>
      </w:r>
      <w:r w:rsidRPr="00DA3BC7">
        <w:rPr>
          <w:rFonts w:ascii="Times New Roman" w:eastAsia="標楷體" w:hAnsi="Times New Roman"/>
        </w:rPr>
        <w:t>為總破一切法</w:t>
      </w:r>
      <w:r w:rsidRPr="00DA3BC7">
        <w:rPr>
          <w:rFonts w:ascii="Times New Roman" w:eastAsia="標楷體" w:hAnsi="Times New Roman" w:hint="eastAsia"/>
        </w:rPr>
        <w:t>。</w:t>
      </w:r>
      <w:r w:rsidRPr="00DA3BC7">
        <w:rPr>
          <w:rFonts w:ascii="Times New Roman" w:hAnsi="Times New Roman"/>
        </w:rPr>
        <w:t>」</w:t>
      </w:r>
      <w:r w:rsidRPr="00DA3BC7">
        <w:rPr>
          <w:rStyle w:val="a6"/>
          <w:rFonts w:ascii="Times New Roman" w:hAnsi="Times New Roman"/>
        </w:rPr>
        <w:footnoteReference w:id="130"/>
      </w:r>
      <w:r w:rsidRPr="00DA3BC7">
        <w:rPr>
          <w:rFonts w:ascii="Times New Roman" w:hAnsi="Times New Roman"/>
        </w:rPr>
        <w:t>以《中論》的八不，偏重於廣破一切，也許是受有提婆論的影響。</w:t>
      </w:r>
    </w:p>
    <w:p w:rsidR="00264061" w:rsidRPr="00DA3BC7" w:rsidRDefault="00264061" w:rsidP="00AE3920">
      <w:pPr>
        <w:spacing w:beforeLines="30"/>
        <w:ind w:leftChars="200" w:left="480"/>
        <w:jc w:val="both"/>
        <w:rPr>
          <w:rFonts w:ascii="Times New Roman" w:hAnsi="Times New Roman"/>
          <w:b/>
          <w:bCs/>
          <w:sz w:val="20"/>
          <w:szCs w:val="20"/>
        </w:rPr>
      </w:pPr>
      <w:r w:rsidRPr="00264061">
        <w:rPr>
          <w:rFonts w:ascii="Times New Roman" w:hAnsi="Times New Roman" w:hint="eastAsia"/>
          <w:b/>
          <w:bCs/>
          <w:color w:val="FF0000"/>
          <w:sz w:val="20"/>
          <w:szCs w:val="20"/>
          <w:highlight w:val="yellow"/>
          <w:bdr w:val="single" w:sz="4" w:space="0" w:color="auto"/>
        </w:rPr>
        <w:t>2</w:t>
      </w:r>
      <w:r w:rsidRPr="00264061">
        <w:rPr>
          <w:rFonts w:ascii="Times New Roman" w:hAnsi="Times New Roman"/>
          <w:b/>
          <w:bCs/>
          <w:color w:val="FF0000"/>
          <w:sz w:val="20"/>
          <w:szCs w:val="20"/>
          <w:highlight w:val="yellow"/>
          <w:bdr w:val="single" w:sz="4" w:space="0" w:color="auto"/>
        </w:rPr>
        <w:t>、</w:t>
      </w:r>
      <w:r w:rsidRPr="00264061">
        <w:rPr>
          <w:rFonts w:ascii="Times New Roman" w:hAnsi="Times New Roman" w:hint="eastAsia"/>
          <w:b/>
          <w:bCs/>
          <w:color w:val="FF0000"/>
          <w:sz w:val="20"/>
          <w:szCs w:val="20"/>
          <w:highlight w:val="yellow"/>
          <w:bdr w:val="single" w:sz="4" w:space="0" w:color="auto"/>
        </w:rPr>
        <w:t>印順法師的評判</w:t>
      </w:r>
      <w:r w:rsidRPr="00DA3BC7">
        <w:rPr>
          <w:rFonts w:ascii="Times New Roman" w:hAnsi="Times New Roman" w:hint="eastAsia"/>
          <w:bCs/>
          <w:sz w:val="20"/>
          <w:szCs w:val="20"/>
        </w:rPr>
        <w:t>（</w:t>
      </w:r>
      <w:r w:rsidRPr="00DA3BC7">
        <w:rPr>
          <w:rFonts w:ascii="Times New Roman" w:hAnsi="Times New Roman"/>
          <w:bCs/>
          <w:sz w:val="20"/>
          <w:szCs w:val="20"/>
        </w:rPr>
        <w:t>p.17</w:t>
      </w:r>
      <w:r w:rsidRPr="00DA3BC7">
        <w:rPr>
          <w:rFonts w:ascii="Times New Roman" w:hAnsi="Times New Roman" w:hint="eastAsia"/>
          <w:bCs/>
          <w:sz w:val="20"/>
          <w:szCs w:val="20"/>
        </w:rPr>
        <w:t>）</w:t>
      </w:r>
    </w:p>
    <w:p w:rsidR="00E43C20" w:rsidRDefault="00152ED0" w:rsidP="00A65C2A">
      <w:pPr>
        <w:ind w:leftChars="200" w:left="480"/>
        <w:jc w:val="both"/>
        <w:rPr>
          <w:rFonts w:ascii="Times New Roman" w:hAnsi="Times New Roman"/>
        </w:rPr>
      </w:pPr>
      <w:r w:rsidRPr="00DA3BC7">
        <w:rPr>
          <w:rFonts w:ascii="Times New Roman" w:hAnsi="Times New Roman"/>
        </w:rPr>
        <w:t>龍樹的《中論》，固然能遮破一切戲論，但《中論》的正意，決非以摧破一切為能，反而是為了成立一切法，顯示釋迦的緣起中道。</w:t>
      </w:r>
    </w:p>
    <w:p w:rsidR="00A3779F" w:rsidRDefault="00A3779F" w:rsidP="00A65C2A">
      <w:pPr>
        <w:ind w:leftChars="200" w:left="480"/>
        <w:jc w:val="both"/>
        <w:rPr>
          <w:rFonts w:ascii="Times New Roman" w:hAnsi="Times New Roman"/>
        </w:rPr>
      </w:pPr>
    </w:p>
    <w:p w:rsidR="00A3779F" w:rsidRPr="00DA3BC7" w:rsidRDefault="00A3779F" w:rsidP="00A65C2A">
      <w:pPr>
        <w:ind w:leftChars="200" w:left="480"/>
        <w:jc w:val="both"/>
        <w:rPr>
          <w:rFonts w:ascii="Times New Roman" w:hAnsi="Times New Roman"/>
        </w:rPr>
        <w:sectPr w:rsidR="00A3779F" w:rsidRPr="00DA3BC7" w:rsidSect="009914C0">
          <w:headerReference w:type="even" r:id="rId22"/>
          <w:headerReference w:type="default" r:id="rId23"/>
          <w:footnotePr>
            <w:numRestart w:val="eachSect"/>
          </w:footnotePr>
          <w:pgSz w:w="10773" w:h="14742" w:code="9"/>
          <w:pgMar w:top="1418" w:right="1418" w:bottom="1418" w:left="1418" w:header="851" w:footer="992" w:gutter="0"/>
          <w:cols w:space="425"/>
          <w:docGrid w:type="lines" w:linePitch="360"/>
        </w:sectPr>
      </w:pPr>
    </w:p>
    <w:p w:rsidR="00E43C20" w:rsidRPr="00DA3BC7" w:rsidRDefault="00E43C20" w:rsidP="008E2BBC">
      <w:pPr>
        <w:pStyle w:val="1"/>
      </w:pPr>
      <w:bookmarkStart w:id="26" w:name="_Toc405287332"/>
      <w:bookmarkStart w:id="27" w:name="_Toc405287804"/>
      <w:bookmarkStart w:id="28" w:name="_Toc405499747"/>
      <w:r w:rsidRPr="00DA3BC7">
        <w:lastRenderedPageBreak/>
        <w:t>第二章、龍樹及其論典</w:t>
      </w:r>
      <w:bookmarkEnd w:id="26"/>
      <w:bookmarkEnd w:id="27"/>
      <w:bookmarkEnd w:id="28"/>
    </w:p>
    <w:p w:rsidR="00E43C20" w:rsidRPr="00DA3BC7" w:rsidRDefault="00E43C20" w:rsidP="008E2BBC">
      <w:pPr>
        <w:pStyle w:val="2"/>
      </w:pPr>
      <w:bookmarkStart w:id="29" w:name="_Toc405499748"/>
      <w:r w:rsidRPr="00DA3BC7">
        <w:t>第二節</w:t>
      </w:r>
      <w:r w:rsidRPr="00DA3BC7">
        <w:rPr>
          <w:rFonts w:hint="eastAsia"/>
        </w:rPr>
        <w:t>、</w:t>
      </w:r>
      <w:r w:rsidRPr="00DA3BC7">
        <w:t>《中論》為《阿含》通論考</w:t>
      </w:r>
      <w:bookmarkEnd w:id="29"/>
    </w:p>
    <w:p w:rsidR="00E43C20" w:rsidRPr="00DA3BC7" w:rsidRDefault="00E43C20" w:rsidP="008E2BBC">
      <w:pPr>
        <w:jc w:val="center"/>
        <w:rPr>
          <w:rFonts w:ascii="Times New Roman" w:hAnsi="Times New Roman"/>
        </w:rPr>
      </w:pPr>
      <w:r w:rsidRPr="00DA3BC7">
        <w:rPr>
          <w:rFonts w:ascii="Times New Roman" w:hAnsi="Times New Roman"/>
        </w:rPr>
        <w:t>（</w:t>
      </w:r>
      <w:r w:rsidRPr="00DA3BC7">
        <w:rPr>
          <w:rFonts w:ascii="Times New Roman" w:hAnsi="Times New Roman"/>
        </w:rPr>
        <w:t>pp.17-</w:t>
      </w:r>
      <w:r w:rsidRPr="00DA3BC7">
        <w:rPr>
          <w:rFonts w:ascii="Times New Roman" w:hAnsi="Times New Roman"/>
          <w:bCs/>
        </w:rPr>
        <w:t>24</w:t>
      </w:r>
      <w:r w:rsidRPr="00DA3BC7">
        <w:rPr>
          <w:rFonts w:ascii="Times New Roman" w:hAnsi="Times New Roman"/>
        </w:rPr>
        <w:t>）</w:t>
      </w:r>
    </w:p>
    <w:p w:rsidR="00E43C20" w:rsidRPr="00DA3BC7" w:rsidRDefault="00E43C20" w:rsidP="008E2BBC">
      <w:pPr>
        <w:pStyle w:val="Author"/>
      </w:pPr>
    </w:p>
    <w:p w:rsidR="00E43C20" w:rsidRPr="00DA3BC7" w:rsidRDefault="00E43C20" w:rsidP="00AE3920">
      <w:pPr>
        <w:spacing w:beforeLines="50"/>
        <w:jc w:val="both"/>
        <w:rPr>
          <w:rFonts w:ascii="Times New Roman" w:hAnsi="Times New Roman"/>
          <w:b/>
          <w:bCs/>
          <w:sz w:val="20"/>
          <w:szCs w:val="20"/>
        </w:rPr>
      </w:pPr>
      <w:r w:rsidRPr="00DA3BC7">
        <w:rPr>
          <w:rFonts w:ascii="Times New Roman" w:hAnsi="Times New Roman" w:hint="eastAsia"/>
          <w:b/>
          <w:bCs/>
          <w:sz w:val="20"/>
          <w:szCs w:val="20"/>
          <w:bdr w:val="single" w:sz="4" w:space="0" w:color="auto"/>
        </w:rPr>
        <w:t>壹</w:t>
      </w:r>
      <w:r w:rsidRPr="00DA3BC7">
        <w:rPr>
          <w:rFonts w:ascii="Times New Roman" w:hAnsi="Times New Roman"/>
          <w:b/>
          <w:bCs/>
          <w:sz w:val="20"/>
          <w:szCs w:val="20"/>
          <w:bdr w:val="single" w:sz="4" w:space="0" w:color="auto"/>
        </w:rPr>
        <w:t>、《中論》是《阿含經》的通論</w:t>
      </w:r>
      <w:r w:rsidRPr="00DA3BC7">
        <w:rPr>
          <w:rFonts w:ascii="Times New Roman" w:hAnsi="Times New Roman" w:hint="eastAsia"/>
          <w:bCs/>
          <w:sz w:val="20"/>
          <w:szCs w:val="20"/>
        </w:rPr>
        <w:t>（</w:t>
      </w:r>
      <w:r w:rsidRPr="00DA3BC7">
        <w:rPr>
          <w:rFonts w:ascii="Times New Roman" w:hAnsi="Times New Roman"/>
          <w:bCs/>
          <w:sz w:val="20"/>
          <w:szCs w:val="20"/>
        </w:rPr>
        <w:t>pp.17-23</w:t>
      </w:r>
      <w:r w:rsidRPr="00DA3BC7">
        <w:rPr>
          <w:rFonts w:ascii="Times New Roman" w:hAnsi="Times New Roman" w:hint="eastAsia"/>
          <w:bCs/>
          <w:sz w:val="20"/>
          <w:szCs w:val="20"/>
        </w:rPr>
        <w:t>）</w:t>
      </w:r>
    </w:p>
    <w:p w:rsidR="00E43C20" w:rsidRPr="00DA3BC7" w:rsidRDefault="00E43C20" w:rsidP="008E2BBC">
      <w:pPr>
        <w:ind w:leftChars="50" w:left="120"/>
        <w:jc w:val="both"/>
        <w:rPr>
          <w:rFonts w:ascii="Times New Roman" w:hAnsi="Times New Roman"/>
          <w:b/>
          <w:bCs/>
          <w:sz w:val="20"/>
          <w:szCs w:val="20"/>
        </w:rPr>
      </w:pPr>
      <w:r w:rsidRPr="00DA3BC7">
        <w:rPr>
          <w:rFonts w:ascii="Times New Roman" w:hAnsi="Times New Roman"/>
          <w:b/>
          <w:bCs/>
          <w:sz w:val="20"/>
          <w:szCs w:val="20"/>
          <w:bdr w:val="single" w:sz="4" w:space="0" w:color="auto"/>
        </w:rPr>
        <w:t>（壹）</w:t>
      </w:r>
      <w:r w:rsidR="003A625B">
        <w:rPr>
          <w:rFonts w:ascii="Times New Roman" w:hAnsi="Times New Roman" w:hint="eastAsia"/>
          <w:b/>
          <w:bCs/>
          <w:color w:val="FF0000"/>
          <w:sz w:val="20"/>
          <w:szCs w:val="20"/>
          <w:highlight w:val="yellow"/>
          <w:bdr w:val="single" w:sz="4" w:space="0" w:color="auto"/>
        </w:rPr>
        <w:t>明要</w:t>
      </w:r>
      <w:r w:rsidRPr="003A625B">
        <w:rPr>
          <w:rFonts w:ascii="Times New Roman" w:hAnsi="Times New Roman"/>
          <w:b/>
          <w:bCs/>
          <w:color w:val="FF0000"/>
          <w:sz w:val="20"/>
          <w:szCs w:val="20"/>
          <w:highlight w:val="yellow"/>
          <w:bdr w:val="single" w:sz="4" w:space="0" w:color="auto"/>
        </w:rPr>
        <w:t>義</w:t>
      </w:r>
      <w:r w:rsidRPr="00DA3BC7">
        <w:rPr>
          <w:rFonts w:ascii="Times New Roman" w:hAnsi="Times New Roman" w:hint="eastAsia"/>
          <w:bCs/>
          <w:sz w:val="20"/>
          <w:szCs w:val="20"/>
        </w:rPr>
        <w:t>（</w:t>
      </w:r>
      <w:r w:rsidRPr="00DA3BC7">
        <w:rPr>
          <w:rFonts w:ascii="Times New Roman" w:hAnsi="Times New Roman"/>
          <w:bCs/>
          <w:sz w:val="20"/>
          <w:szCs w:val="20"/>
        </w:rPr>
        <w:t>p.18</w:t>
      </w:r>
      <w:r w:rsidRPr="00DA3BC7">
        <w:rPr>
          <w:rFonts w:ascii="Times New Roman" w:hAnsi="Times New Roman" w:hint="eastAsia"/>
          <w:bCs/>
          <w:sz w:val="20"/>
          <w:szCs w:val="20"/>
        </w:rPr>
        <w:t>）</w:t>
      </w:r>
    </w:p>
    <w:p w:rsidR="00E43C20" w:rsidRPr="00DA3BC7" w:rsidRDefault="00E43C20" w:rsidP="00AE3920">
      <w:pPr>
        <w:spacing w:afterLines="30"/>
        <w:ind w:leftChars="50" w:left="120"/>
        <w:jc w:val="both"/>
        <w:rPr>
          <w:rFonts w:ascii="Times New Roman" w:hAnsi="Times New Roman"/>
        </w:rPr>
      </w:pPr>
      <w:r w:rsidRPr="00DA3BC7">
        <w:rPr>
          <w:rFonts w:ascii="Times New Roman" w:hAnsi="Times New Roman"/>
        </w:rPr>
        <w:t>探求龍樹緣起、空、中道的深義，主要的當然在《中論》。《中論》的中道說，我有一根本的理解</w:t>
      </w:r>
      <w:r w:rsidRPr="00DA3BC7">
        <w:rPr>
          <w:rFonts w:ascii="新細明體" w:hAnsi="新細明體"/>
        </w:rPr>
        <w:t>──</w:t>
      </w:r>
      <w:r w:rsidRPr="00DA3BC7">
        <w:rPr>
          <w:rFonts w:ascii="Times New Roman" w:hAnsi="Times New Roman"/>
        </w:rPr>
        <w:t>龍樹菩薩本著大乘深邃</w:t>
      </w:r>
      <w:r w:rsidRPr="00DA3BC7">
        <w:rPr>
          <w:rStyle w:val="a6"/>
          <w:rFonts w:ascii="Times New Roman" w:hAnsi="Times New Roman"/>
        </w:rPr>
        <w:footnoteReference w:id="131"/>
      </w:r>
      <w:r w:rsidRPr="00DA3BC7">
        <w:rPr>
          <w:rFonts w:ascii="Times New Roman" w:hAnsi="Times New Roman"/>
        </w:rPr>
        <w:t>廣博的理論，從緣起性空的正見中，掘發《阿含經》的真義。</w:t>
      </w:r>
    </w:p>
    <w:p w:rsidR="00E43C20" w:rsidRPr="00DA3BC7" w:rsidRDefault="00E43C20" w:rsidP="00AE3920">
      <w:pPr>
        <w:spacing w:beforeLines="20"/>
        <w:ind w:leftChars="50" w:left="120"/>
        <w:jc w:val="both"/>
        <w:rPr>
          <w:rFonts w:ascii="Times New Roman" w:hAnsi="Times New Roman"/>
        </w:rPr>
      </w:pPr>
      <w:r w:rsidRPr="00DA3BC7">
        <w:rPr>
          <w:rFonts w:ascii="Times New Roman" w:hAnsi="Times New Roman"/>
        </w:rPr>
        <w:t>這是說：緣起、空、中道，固然為一般大乘學者所弘揚，但這不是離了《阿含經》而獨有的，這實是《阿含經》的本意，不過一般取相的小乘學者沒有悟解罷了。</w:t>
      </w:r>
    </w:p>
    <w:p w:rsidR="00E43C20" w:rsidRPr="00DA3BC7" w:rsidRDefault="00E43C20" w:rsidP="00AE3920">
      <w:pPr>
        <w:spacing w:beforeLines="20"/>
        <w:ind w:leftChars="50" w:left="120"/>
        <w:jc w:val="both"/>
        <w:rPr>
          <w:rFonts w:ascii="Times New Roman" w:hAnsi="Times New Roman"/>
        </w:rPr>
      </w:pPr>
      <w:r w:rsidRPr="00DA3BC7">
        <w:rPr>
          <w:rFonts w:ascii="Times New Roman" w:hAnsi="Times New Roman"/>
        </w:rPr>
        <w:t>所以，《中論》是《阿含經》的通論，是通論《阿含經》的根本思想，抉擇《阿含經》的本意所在。</w:t>
      </w:r>
    </w:p>
    <w:p w:rsidR="003A625B" w:rsidRDefault="00E43C20" w:rsidP="00AE3920">
      <w:pPr>
        <w:spacing w:beforeLines="30"/>
        <w:ind w:leftChars="50" w:left="120"/>
        <w:jc w:val="both"/>
        <w:rPr>
          <w:rFonts w:ascii="Times New Roman" w:hAnsi="Times New Roman"/>
          <w:bCs/>
          <w:sz w:val="20"/>
          <w:szCs w:val="20"/>
        </w:rPr>
      </w:pPr>
      <w:r w:rsidRPr="00DA3BC7">
        <w:rPr>
          <w:rFonts w:ascii="Times New Roman" w:hAnsi="Times New Roman"/>
          <w:b/>
          <w:bCs/>
          <w:sz w:val="20"/>
          <w:szCs w:val="20"/>
          <w:bdr w:val="single" w:sz="4" w:space="0" w:color="auto"/>
        </w:rPr>
        <w:t>（貳）</w:t>
      </w:r>
      <w:r w:rsidR="003A625B">
        <w:rPr>
          <w:rFonts w:ascii="Times New Roman" w:hAnsi="Times New Roman" w:hint="eastAsia"/>
          <w:b/>
          <w:bCs/>
          <w:color w:val="FF0000"/>
          <w:sz w:val="20"/>
          <w:szCs w:val="20"/>
          <w:highlight w:val="yellow"/>
          <w:bdr w:val="single" w:sz="4" w:space="0" w:color="auto"/>
        </w:rPr>
        <w:t>敘因由</w:t>
      </w:r>
      <w:r w:rsidRPr="00DA3BC7">
        <w:rPr>
          <w:rFonts w:ascii="Times New Roman" w:hAnsi="Times New Roman" w:hint="eastAsia"/>
          <w:bCs/>
          <w:sz w:val="20"/>
          <w:szCs w:val="20"/>
        </w:rPr>
        <w:t>（</w:t>
      </w:r>
      <w:r w:rsidRPr="00DA3BC7">
        <w:rPr>
          <w:rFonts w:ascii="Times New Roman" w:hAnsi="Times New Roman"/>
          <w:bCs/>
          <w:sz w:val="20"/>
          <w:szCs w:val="20"/>
        </w:rPr>
        <w:t>pp.18-19</w:t>
      </w:r>
      <w:r w:rsidRPr="00DA3BC7">
        <w:rPr>
          <w:rFonts w:ascii="Times New Roman" w:hAnsi="Times New Roman" w:hint="eastAsia"/>
          <w:bCs/>
          <w:sz w:val="20"/>
          <w:szCs w:val="20"/>
        </w:rPr>
        <w:t>）</w:t>
      </w:r>
    </w:p>
    <w:p w:rsidR="00E43C20" w:rsidRPr="00DA3BC7" w:rsidRDefault="003A625B" w:rsidP="008E2BBC">
      <w:pPr>
        <w:ind w:leftChars="100" w:left="240"/>
        <w:jc w:val="both"/>
        <w:rPr>
          <w:rFonts w:ascii="Times New Roman" w:hAnsi="Times New Roman"/>
          <w:b/>
          <w:bCs/>
          <w:sz w:val="20"/>
          <w:szCs w:val="20"/>
          <w:bdr w:val="single" w:sz="4" w:space="0" w:color="auto"/>
        </w:rPr>
      </w:pPr>
      <w:r w:rsidRPr="003A625B">
        <w:rPr>
          <w:rFonts w:ascii="Times New Roman" w:hAnsi="Times New Roman" w:hint="eastAsia"/>
          <w:b/>
          <w:bCs/>
          <w:color w:val="FF0000"/>
          <w:sz w:val="20"/>
          <w:szCs w:val="20"/>
          <w:highlight w:val="yellow"/>
          <w:bdr w:val="single" w:sz="4" w:space="0" w:color="auto"/>
        </w:rPr>
        <w:t>一、概述</w:t>
      </w:r>
      <w:r w:rsidRPr="00DA3BC7">
        <w:rPr>
          <w:rFonts w:ascii="Times New Roman" w:hAnsi="Times New Roman" w:hint="eastAsia"/>
          <w:bCs/>
          <w:sz w:val="20"/>
          <w:szCs w:val="20"/>
        </w:rPr>
        <w:t>（</w:t>
      </w:r>
      <w:r>
        <w:rPr>
          <w:rFonts w:ascii="Times New Roman" w:hAnsi="Times New Roman"/>
          <w:bCs/>
          <w:sz w:val="20"/>
          <w:szCs w:val="20"/>
        </w:rPr>
        <w:t>p</w:t>
      </w:r>
      <w:r w:rsidRPr="00DA3BC7">
        <w:rPr>
          <w:rFonts w:ascii="Times New Roman" w:hAnsi="Times New Roman"/>
          <w:bCs/>
          <w:sz w:val="20"/>
          <w:szCs w:val="20"/>
        </w:rPr>
        <w:t>.18</w:t>
      </w:r>
      <w:r w:rsidRPr="00DA3BC7">
        <w:rPr>
          <w:rFonts w:ascii="Times New Roman" w:hAnsi="Times New Roman" w:hint="eastAsia"/>
          <w:bCs/>
          <w:sz w:val="20"/>
          <w:szCs w:val="20"/>
        </w:rPr>
        <w:t>）</w:t>
      </w:r>
    </w:p>
    <w:p w:rsidR="00E43C20" w:rsidRPr="00DA3BC7" w:rsidRDefault="00E43C20" w:rsidP="008E2BBC">
      <w:pPr>
        <w:ind w:leftChars="100" w:left="240"/>
        <w:jc w:val="both"/>
        <w:rPr>
          <w:rFonts w:ascii="Times New Roman" w:hAnsi="Times New Roman"/>
        </w:rPr>
      </w:pPr>
      <w:r w:rsidRPr="00DA3BC7">
        <w:rPr>
          <w:rFonts w:ascii="Times New Roman" w:hAnsi="Times New Roman"/>
        </w:rPr>
        <w:t>這種說法，不要以為希奇，可從三方面去加以說明：</w:t>
      </w:r>
    </w:p>
    <w:p w:rsidR="00E43C20" w:rsidRPr="00DA3BC7" w:rsidRDefault="003A625B" w:rsidP="00AE3920">
      <w:pPr>
        <w:spacing w:beforeLines="30"/>
        <w:ind w:leftChars="100" w:left="240"/>
        <w:jc w:val="both"/>
        <w:rPr>
          <w:rFonts w:ascii="Times New Roman" w:hAnsi="Times New Roman"/>
          <w:b/>
          <w:bCs/>
          <w:sz w:val="20"/>
          <w:szCs w:val="20"/>
          <w:bdr w:val="single" w:sz="4" w:space="0" w:color="auto"/>
        </w:rPr>
      </w:pPr>
      <w:r>
        <w:rPr>
          <w:rFonts w:ascii="Times New Roman" w:hAnsi="Times New Roman" w:hint="eastAsia"/>
          <w:b/>
          <w:bCs/>
          <w:color w:val="FF0000"/>
          <w:sz w:val="20"/>
          <w:szCs w:val="20"/>
          <w:highlight w:val="yellow"/>
          <w:bdr w:val="single" w:sz="4" w:space="0" w:color="auto"/>
        </w:rPr>
        <w:t>二</w:t>
      </w:r>
      <w:r w:rsidR="00E43C20" w:rsidRPr="00DA3BC7">
        <w:rPr>
          <w:rFonts w:ascii="Times New Roman" w:hAnsi="Times New Roman" w:hint="eastAsia"/>
          <w:b/>
          <w:bCs/>
          <w:sz w:val="20"/>
          <w:szCs w:val="20"/>
          <w:bdr w:val="single" w:sz="4" w:space="0" w:color="auto"/>
        </w:rPr>
        <w:t>、</w:t>
      </w:r>
      <w:r>
        <w:rPr>
          <w:rFonts w:ascii="Times New Roman" w:hAnsi="Times New Roman" w:hint="eastAsia"/>
          <w:b/>
          <w:bCs/>
          <w:color w:val="FF0000"/>
          <w:sz w:val="20"/>
          <w:szCs w:val="20"/>
          <w:highlight w:val="yellow"/>
          <w:bdr w:val="single" w:sz="4" w:space="0" w:color="auto"/>
        </w:rPr>
        <w:t>詳論</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pp.18-</w:t>
      </w:r>
      <w:r w:rsidR="00A3779F">
        <w:rPr>
          <w:rFonts w:ascii="Times New Roman" w:hAnsi="Times New Roman" w:hint="eastAsia"/>
          <w:bCs/>
          <w:sz w:val="20"/>
          <w:szCs w:val="20"/>
        </w:rPr>
        <w:t>23</w:t>
      </w:r>
      <w:r w:rsidR="00E43C20" w:rsidRPr="00DA3BC7">
        <w:rPr>
          <w:rFonts w:ascii="Times New Roman" w:hAnsi="Times New Roman" w:hint="eastAsia"/>
          <w:bCs/>
          <w:sz w:val="20"/>
          <w:szCs w:val="20"/>
        </w:rPr>
        <w:t>）</w:t>
      </w:r>
    </w:p>
    <w:p w:rsidR="0022377A" w:rsidRPr="0022377A" w:rsidRDefault="0022377A" w:rsidP="008E2BBC">
      <w:pPr>
        <w:ind w:leftChars="150" w:left="360"/>
        <w:jc w:val="both"/>
        <w:rPr>
          <w:rFonts w:ascii="Times New Roman" w:hAnsi="Times New Roman"/>
          <w:b/>
          <w:bCs/>
          <w:color w:val="FF0000"/>
          <w:sz w:val="20"/>
          <w:szCs w:val="20"/>
          <w:highlight w:val="yellow"/>
          <w:bdr w:val="single" w:sz="4" w:space="0" w:color="auto"/>
        </w:rPr>
      </w:pPr>
      <w:r w:rsidRPr="0022377A">
        <w:rPr>
          <w:rFonts w:ascii="Times New Roman" w:hAnsi="Times New Roman"/>
          <w:b/>
          <w:bCs/>
          <w:color w:val="FF0000"/>
          <w:sz w:val="20"/>
          <w:szCs w:val="20"/>
          <w:highlight w:val="yellow"/>
          <w:bdr w:val="single" w:sz="4" w:space="0" w:color="auto"/>
        </w:rPr>
        <w:t>（</w:t>
      </w:r>
      <w:r w:rsidRPr="0022377A">
        <w:rPr>
          <w:rFonts w:ascii="Times New Roman" w:hAnsi="Times New Roman" w:hint="eastAsia"/>
          <w:b/>
          <w:bCs/>
          <w:color w:val="FF0000"/>
          <w:sz w:val="20"/>
          <w:szCs w:val="20"/>
          <w:highlight w:val="yellow"/>
          <w:bdr w:val="single" w:sz="4" w:space="0" w:color="auto"/>
        </w:rPr>
        <w:t>一</w:t>
      </w:r>
      <w:r w:rsidRPr="0022377A">
        <w:rPr>
          <w:rFonts w:ascii="Times New Roman" w:hAnsi="Times New Roman"/>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從</w:t>
      </w:r>
      <w:r w:rsidR="004B1D27">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引證的聖典</w:t>
      </w:r>
      <w:r w:rsidR="004B1D27">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以明</w:t>
      </w:r>
      <w:r w:rsidR="00A3779F" w:rsidRPr="00DA3BC7">
        <w:rPr>
          <w:rFonts w:ascii="Times New Roman" w:hAnsi="Times New Roman" w:hint="eastAsia"/>
          <w:bCs/>
          <w:sz w:val="20"/>
          <w:szCs w:val="20"/>
        </w:rPr>
        <w:t>（</w:t>
      </w:r>
      <w:r w:rsidR="00A3779F" w:rsidRPr="00DA3BC7">
        <w:rPr>
          <w:rFonts w:ascii="Times New Roman" w:hAnsi="Times New Roman"/>
          <w:bCs/>
          <w:sz w:val="20"/>
          <w:szCs w:val="20"/>
        </w:rPr>
        <w:t>pp.18-19</w:t>
      </w:r>
      <w:r w:rsidR="00A3779F" w:rsidRPr="00DA3BC7">
        <w:rPr>
          <w:rFonts w:ascii="Times New Roman" w:hAnsi="Times New Roman" w:hint="eastAsia"/>
          <w:bCs/>
          <w:sz w:val="20"/>
          <w:szCs w:val="20"/>
        </w:rPr>
        <w:t>）</w:t>
      </w:r>
    </w:p>
    <w:p w:rsidR="00E43C20" w:rsidRPr="00DA3BC7" w:rsidRDefault="003A625B" w:rsidP="0022377A">
      <w:pPr>
        <w:ind w:leftChars="200" w:left="480"/>
        <w:jc w:val="both"/>
        <w:rPr>
          <w:rFonts w:ascii="Times New Roman" w:hAnsi="Times New Roman"/>
          <w:b/>
          <w:bCs/>
          <w:sz w:val="20"/>
          <w:szCs w:val="20"/>
          <w:bdr w:val="single" w:sz="4" w:space="0" w:color="auto"/>
        </w:rPr>
      </w:pPr>
      <w:r w:rsidRPr="003A625B">
        <w:rPr>
          <w:rFonts w:ascii="Times New Roman" w:hAnsi="Times New Roman" w:hint="eastAsia"/>
          <w:b/>
          <w:bCs/>
          <w:color w:val="FF0000"/>
          <w:sz w:val="20"/>
          <w:szCs w:val="20"/>
          <w:highlight w:val="yellow"/>
          <w:bdr w:val="single" w:sz="4" w:space="0" w:color="auto"/>
        </w:rPr>
        <w:t>1</w:t>
      </w:r>
      <w:r w:rsidRPr="003A625B">
        <w:rPr>
          <w:rFonts w:ascii="Times New Roman" w:hAnsi="Times New Roman"/>
          <w:b/>
          <w:bCs/>
          <w:color w:val="FF0000"/>
          <w:sz w:val="20"/>
          <w:szCs w:val="20"/>
          <w:highlight w:val="yellow"/>
          <w:bdr w:val="single" w:sz="4" w:space="0" w:color="auto"/>
        </w:rPr>
        <w:t>、</w:t>
      </w:r>
      <w:r w:rsidRPr="003A625B">
        <w:rPr>
          <w:rFonts w:ascii="Times New Roman" w:hAnsi="Times New Roman" w:hint="eastAsia"/>
          <w:b/>
          <w:bCs/>
          <w:color w:val="FF0000"/>
          <w:sz w:val="20"/>
          <w:szCs w:val="20"/>
          <w:highlight w:val="yellow"/>
          <w:bdr w:val="single" w:sz="4" w:space="0" w:color="auto"/>
        </w:rPr>
        <w:t>總</w:t>
      </w:r>
      <w:r w:rsidR="00E43C20" w:rsidRPr="003A625B">
        <w:rPr>
          <w:rFonts w:ascii="Times New Roman" w:hAnsi="Times New Roman" w:hint="eastAsia"/>
          <w:b/>
          <w:bCs/>
          <w:color w:val="FF0000"/>
          <w:sz w:val="20"/>
          <w:szCs w:val="20"/>
          <w:highlight w:val="yellow"/>
          <w:bdr w:val="single" w:sz="4" w:space="0" w:color="auto"/>
        </w:rPr>
        <w:t>說</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p.18</w:t>
      </w:r>
      <w:r w:rsidR="00E43C20" w:rsidRPr="00DA3BC7">
        <w:rPr>
          <w:rFonts w:ascii="Times New Roman" w:hAnsi="Times New Roman" w:hint="eastAsia"/>
          <w:bCs/>
          <w:sz w:val="20"/>
          <w:szCs w:val="20"/>
        </w:rPr>
        <w:t>）</w:t>
      </w:r>
    </w:p>
    <w:p w:rsidR="00E43C20" w:rsidRPr="00DA3BC7" w:rsidRDefault="00E43C20" w:rsidP="00033F40">
      <w:pPr>
        <w:ind w:leftChars="200" w:left="480"/>
        <w:jc w:val="both"/>
        <w:rPr>
          <w:rFonts w:ascii="Times New Roman" w:hAnsi="Times New Roman"/>
        </w:rPr>
      </w:pPr>
      <w:r w:rsidRPr="00DA3BC7">
        <w:rPr>
          <w:rFonts w:ascii="Times New Roman" w:hAnsi="Times New Roman"/>
        </w:rPr>
        <w:t>一、《中論》所引證的佛說，都出於《阿含經》。</w:t>
      </w:r>
      <w:r w:rsidRPr="00DA3BC7">
        <w:rPr>
          <w:rFonts w:ascii="Times New Roman" w:hAnsi="Times New Roman"/>
          <w:vertAlign w:val="superscript"/>
        </w:rPr>
        <w:footnoteReference w:id="132"/>
      </w:r>
    </w:p>
    <w:p w:rsidR="003A625B" w:rsidRDefault="003A625B" w:rsidP="00AE3920">
      <w:pPr>
        <w:spacing w:beforeLines="30"/>
        <w:ind w:leftChars="200" w:left="480"/>
        <w:jc w:val="both"/>
        <w:rPr>
          <w:rFonts w:ascii="Times New Roman" w:hAnsi="Times New Roman"/>
          <w:b/>
          <w:bCs/>
          <w:color w:val="FF0000"/>
          <w:sz w:val="20"/>
          <w:szCs w:val="20"/>
          <w:bdr w:val="single" w:sz="4" w:space="0" w:color="auto"/>
        </w:rPr>
      </w:pPr>
      <w:r>
        <w:rPr>
          <w:rFonts w:ascii="Times New Roman" w:hAnsi="Times New Roman" w:hint="eastAsia"/>
          <w:b/>
          <w:bCs/>
          <w:color w:val="FF0000"/>
          <w:sz w:val="20"/>
          <w:szCs w:val="20"/>
          <w:highlight w:val="yellow"/>
          <w:bdr w:val="single" w:sz="4" w:space="0" w:color="auto"/>
        </w:rPr>
        <w:t>2</w:t>
      </w:r>
      <w:r w:rsidRPr="003A625B">
        <w:rPr>
          <w:rFonts w:ascii="Times New Roman" w:hAnsi="Times New Roman"/>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別辨</w:t>
      </w:r>
      <w:r w:rsidRPr="00DA3BC7">
        <w:rPr>
          <w:rFonts w:ascii="Times New Roman" w:hAnsi="Times New Roman" w:hint="eastAsia"/>
          <w:bCs/>
          <w:sz w:val="20"/>
          <w:szCs w:val="20"/>
        </w:rPr>
        <w:t>（</w:t>
      </w:r>
      <w:r w:rsidRPr="00DA3BC7">
        <w:rPr>
          <w:rFonts w:ascii="Times New Roman" w:hAnsi="Times New Roman"/>
          <w:bCs/>
          <w:sz w:val="20"/>
          <w:szCs w:val="20"/>
        </w:rPr>
        <w:t>pp.18-19</w:t>
      </w:r>
      <w:r w:rsidRPr="00DA3BC7">
        <w:rPr>
          <w:rFonts w:ascii="Times New Roman" w:hAnsi="Times New Roman" w:hint="eastAsia"/>
          <w:bCs/>
          <w:sz w:val="20"/>
          <w:szCs w:val="20"/>
        </w:rPr>
        <w:t>）</w:t>
      </w:r>
    </w:p>
    <w:p w:rsidR="00E43C20" w:rsidRPr="00DA3BC7" w:rsidRDefault="003A625B" w:rsidP="0022377A">
      <w:pPr>
        <w:ind w:leftChars="250" w:left="600"/>
        <w:jc w:val="both"/>
        <w:rPr>
          <w:rFonts w:ascii="Times New Roman" w:hAnsi="Times New Roman"/>
          <w:b/>
          <w:bCs/>
          <w:sz w:val="20"/>
          <w:szCs w:val="20"/>
          <w:bdr w:val="single" w:sz="4" w:space="0" w:color="auto"/>
        </w:rPr>
      </w:pPr>
      <w:r w:rsidRPr="003A625B">
        <w:rPr>
          <w:rFonts w:ascii="Times New Roman" w:hAnsi="Times New Roman" w:hint="eastAsia"/>
          <w:b/>
          <w:bCs/>
          <w:color w:val="FF0000"/>
          <w:sz w:val="20"/>
          <w:szCs w:val="20"/>
          <w:highlight w:val="yellow"/>
          <w:bdr w:val="single" w:sz="4" w:space="0" w:color="auto"/>
        </w:rPr>
        <w:t>（</w:t>
      </w:r>
      <w:r w:rsidRPr="003A625B">
        <w:rPr>
          <w:rFonts w:ascii="Times New Roman" w:hAnsi="Times New Roman" w:hint="eastAsia"/>
          <w:b/>
          <w:bCs/>
          <w:color w:val="FF0000"/>
          <w:sz w:val="20"/>
          <w:szCs w:val="20"/>
          <w:highlight w:val="yellow"/>
          <w:bdr w:val="single" w:sz="4" w:space="0" w:color="auto"/>
        </w:rPr>
        <w:t>1</w:t>
      </w:r>
      <w:r w:rsidRPr="003A625B">
        <w:rPr>
          <w:rFonts w:ascii="Times New Roman" w:hAnsi="Times New Roman" w:hint="eastAsia"/>
          <w:b/>
          <w:bCs/>
          <w:color w:val="FF0000"/>
          <w:sz w:val="20"/>
          <w:szCs w:val="20"/>
          <w:highlight w:val="yellow"/>
          <w:bdr w:val="single" w:sz="4" w:space="0" w:color="auto"/>
        </w:rPr>
        <w:t>）</w:t>
      </w:r>
      <w:r w:rsidR="00E43C20" w:rsidRPr="00DA3BC7">
        <w:rPr>
          <w:rFonts w:ascii="Times New Roman" w:hAnsi="Times New Roman"/>
          <w:b/>
          <w:bCs/>
          <w:sz w:val="20"/>
          <w:szCs w:val="20"/>
          <w:bdr w:val="single" w:sz="4" w:space="0" w:color="auto"/>
        </w:rPr>
        <w:t>〈</w:t>
      </w:r>
      <w:r w:rsidR="00E43C20" w:rsidRPr="00DA3BC7">
        <w:rPr>
          <w:rFonts w:ascii="Times New Roman" w:hAnsi="Times New Roman"/>
          <w:b/>
          <w:bCs/>
          <w:sz w:val="20"/>
          <w:szCs w:val="20"/>
          <w:bdr w:val="single" w:sz="4" w:space="0" w:color="auto"/>
        </w:rPr>
        <w:t>11</w:t>
      </w:r>
      <w:r w:rsidR="00B5073E" w:rsidRPr="00DA3BC7">
        <w:rPr>
          <w:rFonts w:ascii="Times New Roman" w:hAnsi="Times New Roman"/>
          <w:b/>
          <w:bCs/>
          <w:sz w:val="20"/>
          <w:szCs w:val="20"/>
          <w:bdr w:val="single" w:sz="4" w:space="0" w:color="auto"/>
        </w:rPr>
        <w:t xml:space="preserve"> </w:t>
      </w:r>
      <w:r w:rsidR="00E43C20" w:rsidRPr="00DA3BC7">
        <w:rPr>
          <w:rFonts w:ascii="Times New Roman" w:hAnsi="Times New Roman"/>
          <w:b/>
          <w:bCs/>
          <w:sz w:val="20"/>
          <w:szCs w:val="20"/>
          <w:bdr w:val="single" w:sz="4" w:space="0" w:color="auto"/>
        </w:rPr>
        <w:t>觀本際品〉</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p.18</w:t>
      </w:r>
      <w:r w:rsidR="00E43C20" w:rsidRPr="00DA3BC7">
        <w:rPr>
          <w:rFonts w:ascii="Times New Roman" w:hAnsi="Times New Roman" w:hint="eastAsia"/>
          <w:bCs/>
          <w:sz w:val="20"/>
          <w:szCs w:val="20"/>
        </w:rPr>
        <w:t>）</w:t>
      </w:r>
    </w:p>
    <w:p w:rsidR="00E43C20" w:rsidRPr="00DA3BC7" w:rsidRDefault="00E43C20" w:rsidP="00033F40">
      <w:pPr>
        <w:widowControl/>
        <w:ind w:leftChars="250" w:left="600"/>
        <w:jc w:val="both"/>
        <w:rPr>
          <w:rFonts w:ascii="Times New Roman" w:hAnsi="Times New Roman"/>
        </w:rPr>
      </w:pPr>
      <w:r w:rsidRPr="00DA3BC7">
        <w:rPr>
          <w:rFonts w:ascii="Times New Roman" w:hAnsi="Times New Roman"/>
        </w:rPr>
        <w:t>〈</w:t>
      </w:r>
      <w:r w:rsidRPr="00DA76AC">
        <w:rPr>
          <w:rFonts w:ascii="Times New Roman" w:hAnsi="Times New Roman"/>
          <w:shd w:val="pct15" w:color="auto" w:fill="FFFFFF"/>
        </w:rPr>
        <w:t>11</w:t>
      </w:r>
      <w:r w:rsidR="00B5073E" w:rsidRPr="00DA3BC7">
        <w:rPr>
          <w:rFonts w:ascii="Times New Roman" w:hAnsi="Times New Roman"/>
        </w:rPr>
        <w:t xml:space="preserve"> </w:t>
      </w:r>
      <w:r w:rsidRPr="00DA3BC7">
        <w:rPr>
          <w:rFonts w:ascii="Times New Roman" w:hAnsi="Times New Roman"/>
        </w:rPr>
        <w:t>觀本際品〉說</w:t>
      </w:r>
      <w:r w:rsidRPr="00DA3BC7">
        <w:rPr>
          <w:rFonts w:ascii="Times New Roman" w:eastAsia="標楷體" w:hAnsi="Times New Roman"/>
        </w:rPr>
        <w:t>「大聖之所說，本際不可得</w:t>
      </w:r>
      <w:r w:rsidRPr="00DA3BC7">
        <w:rPr>
          <w:rFonts w:ascii="Times New Roman" w:hAnsi="Times New Roman"/>
        </w:rPr>
        <w:t>」</w:t>
      </w:r>
      <w:r w:rsidRPr="00DA3BC7">
        <w:rPr>
          <w:rFonts w:ascii="Times New Roman" w:hAnsi="Times New Roman"/>
          <w:vertAlign w:val="superscript"/>
        </w:rPr>
        <w:footnoteReference w:id="133"/>
      </w:r>
      <w:r w:rsidRPr="00DA3BC7">
        <w:rPr>
          <w:rFonts w:ascii="Times New Roman" w:hAnsi="Times New Roman"/>
        </w:rPr>
        <w:t>，這出於《雜阿含</w:t>
      </w:r>
      <w:r w:rsidRPr="00DA3BC7">
        <w:rPr>
          <w:rFonts w:ascii="Times New Roman" w:hAnsi="Times New Roman" w:hint="eastAsia"/>
        </w:rPr>
        <w:t>經</w:t>
      </w:r>
      <w:r w:rsidRPr="00DA3BC7">
        <w:rPr>
          <w:rFonts w:ascii="Times New Roman" w:hAnsi="Times New Roman"/>
        </w:rPr>
        <w:t>》</w:t>
      </w:r>
      <w:r w:rsidR="00F50FC2" w:rsidRPr="00DA3BC7">
        <w:rPr>
          <w:rFonts w:ascii="Times New Roman" w:hAnsi="Times New Roman"/>
        </w:rPr>
        <w:t>卷</w:t>
      </w:r>
      <w:r w:rsidRPr="00DA3BC7">
        <w:rPr>
          <w:rFonts w:ascii="Times New Roman" w:hAnsi="Times New Roman"/>
        </w:rPr>
        <w:t>10</w:t>
      </w:r>
      <w:r w:rsidRPr="00DA3BC7">
        <w:rPr>
          <w:rFonts w:ascii="Times New Roman" w:hAnsi="Times New Roman"/>
        </w:rPr>
        <w:t>（</w:t>
      </w:r>
      <w:r w:rsidRPr="00DA3BC7">
        <w:rPr>
          <w:rFonts w:ascii="Times New Roman" w:hAnsi="Times New Roman"/>
        </w:rPr>
        <w:t>266</w:t>
      </w:r>
      <w:r w:rsidRPr="00DA3BC7">
        <w:rPr>
          <w:rFonts w:ascii="Times New Roman" w:hAnsi="Times New Roman"/>
        </w:rPr>
        <w:t>經等）說：</w:t>
      </w:r>
      <w:r w:rsidRPr="00DA3BC7">
        <w:rPr>
          <w:rFonts w:ascii="Times New Roman" w:eastAsia="標楷體" w:hAnsi="Times New Roman"/>
        </w:rPr>
        <w:t>「無始生死</w:t>
      </w:r>
      <w:r w:rsidRPr="00DA3BC7">
        <w:rPr>
          <w:rFonts w:ascii="Times New Roman" w:eastAsia="標楷體" w:hAnsi="Times New Roman" w:hint="eastAsia"/>
        </w:rPr>
        <w:t>……</w:t>
      </w:r>
      <w:r w:rsidRPr="00DA3BC7">
        <w:rPr>
          <w:rFonts w:ascii="Times New Roman" w:eastAsia="標楷體" w:hAnsi="Times New Roman"/>
        </w:rPr>
        <w:t>長夜輪迴，不知苦之本際</w:t>
      </w:r>
      <w:r w:rsidRPr="00DA3BC7">
        <w:rPr>
          <w:rFonts w:ascii="Times New Roman" w:eastAsia="標楷體" w:hAnsi="Times New Roman" w:hint="eastAsia"/>
        </w:rPr>
        <w:t>。</w:t>
      </w:r>
      <w:r w:rsidRPr="00DA3BC7">
        <w:rPr>
          <w:rFonts w:ascii="Times New Roman" w:hAnsi="Times New Roman"/>
        </w:rPr>
        <w:t>」</w:t>
      </w:r>
      <w:r w:rsidRPr="00DA3BC7">
        <w:rPr>
          <w:rFonts w:ascii="Times New Roman" w:hAnsi="Times New Roman"/>
          <w:vertAlign w:val="superscript"/>
        </w:rPr>
        <w:footnoteReference w:id="134"/>
      </w:r>
      <w:r w:rsidRPr="00DA3BC7">
        <w:rPr>
          <w:rFonts w:ascii="Times New Roman" w:hAnsi="Times New Roman"/>
        </w:rPr>
        <w:t>生死無始的教說，龍樹引歸「</w:t>
      </w:r>
      <w:r w:rsidRPr="00DA3BC7">
        <w:rPr>
          <w:rFonts w:ascii="Times New Roman" w:eastAsia="標楷體" w:hAnsi="Times New Roman"/>
        </w:rPr>
        <w:t>何故而戲論，謂有生老死</w:t>
      </w:r>
      <w:r w:rsidRPr="00DA3BC7">
        <w:rPr>
          <w:rFonts w:ascii="Times New Roman" w:hAnsi="Times New Roman"/>
        </w:rPr>
        <w:t>」</w:t>
      </w:r>
      <w:r w:rsidRPr="00DA3BC7">
        <w:rPr>
          <w:rFonts w:ascii="Times New Roman" w:hAnsi="Times New Roman"/>
          <w:vertAlign w:val="superscript"/>
        </w:rPr>
        <w:footnoteReference w:id="135"/>
      </w:r>
      <w:r w:rsidRPr="00DA3BC7">
        <w:rPr>
          <w:rFonts w:ascii="Times New Roman" w:hAnsi="Times New Roman"/>
        </w:rPr>
        <w:t>的空義。</w:t>
      </w:r>
    </w:p>
    <w:p w:rsidR="00E43C20" w:rsidRPr="00DA3BC7" w:rsidRDefault="003A625B" w:rsidP="00AE3920">
      <w:pPr>
        <w:spacing w:beforeLines="30"/>
        <w:ind w:leftChars="250" w:left="600"/>
        <w:jc w:val="both"/>
        <w:rPr>
          <w:rFonts w:ascii="Times New Roman" w:hAnsi="Times New Roman"/>
          <w:b/>
          <w:bCs/>
          <w:sz w:val="20"/>
          <w:szCs w:val="20"/>
          <w:bdr w:val="single" w:sz="4" w:space="0" w:color="auto"/>
        </w:rPr>
      </w:pPr>
      <w:r w:rsidRPr="003A625B">
        <w:rPr>
          <w:rFonts w:ascii="Times New Roman" w:hAnsi="Times New Roman" w:hint="eastAsia"/>
          <w:b/>
          <w:bCs/>
          <w:color w:val="FF0000"/>
          <w:sz w:val="20"/>
          <w:szCs w:val="20"/>
          <w:highlight w:val="yellow"/>
          <w:bdr w:val="single" w:sz="4" w:space="0" w:color="auto"/>
        </w:rPr>
        <w:lastRenderedPageBreak/>
        <w:t>（</w:t>
      </w:r>
      <w:r>
        <w:rPr>
          <w:rFonts w:ascii="Times New Roman" w:hAnsi="Times New Roman" w:hint="eastAsia"/>
          <w:b/>
          <w:bCs/>
          <w:color w:val="FF0000"/>
          <w:sz w:val="20"/>
          <w:szCs w:val="20"/>
          <w:highlight w:val="yellow"/>
          <w:bdr w:val="single" w:sz="4" w:space="0" w:color="auto"/>
        </w:rPr>
        <w:t>2</w:t>
      </w:r>
      <w:r w:rsidRPr="003A625B">
        <w:rPr>
          <w:rFonts w:ascii="Times New Roman" w:hAnsi="Times New Roman" w:hint="eastAsia"/>
          <w:b/>
          <w:bCs/>
          <w:color w:val="FF0000"/>
          <w:sz w:val="20"/>
          <w:szCs w:val="20"/>
          <w:highlight w:val="yellow"/>
          <w:bdr w:val="single" w:sz="4" w:space="0" w:color="auto"/>
        </w:rPr>
        <w:t>）</w:t>
      </w:r>
      <w:r w:rsidR="00E43C20" w:rsidRPr="00DA3BC7">
        <w:rPr>
          <w:rFonts w:ascii="Times New Roman" w:hAnsi="Times New Roman"/>
          <w:b/>
          <w:bCs/>
          <w:sz w:val="20"/>
          <w:szCs w:val="20"/>
          <w:bdr w:val="single" w:sz="4" w:space="0" w:color="auto"/>
        </w:rPr>
        <w:t>〈</w:t>
      </w:r>
      <w:r w:rsidR="00E43C20" w:rsidRPr="00DA3BC7">
        <w:rPr>
          <w:rFonts w:ascii="Times New Roman" w:hAnsi="Times New Roman"/>
          <w:b/>
          <w:bCs/>
          <w:sz w:val="20"/>
          <w:szCs w:val="20"/>
          <w:bdr w:val="single" w:sz="4" w:space="0" w:color="auto"/>
        </w:rPr>
        <w:t>13</w:t>
      </w:r>
      <w:r w:rsidR="00B5073E" w:rsidRPr="00DA3BC7">
        <w:rPr>
          <w:rFonts w:ascii="Times New Roman" w:hAnsi="Times New Roman"/>
          <w:b/>
          <w:bCs/>
          <w:sz w:val="20"/>
          <w:szCs w:val="20"/>
          <w:bdr w:val="single" w:sz="4" w:space="0" w:color="auto"/>
        </w:rPr>
        <w:t xml:space="preserve"> </w:t>
      </w:r>
      <w:r w:rsidR="00E43C20" w:rsidRPr="00DA3BC7">
        <w:rPr>
          <w:rFonts w:ascii="Times New Roman" w:hAnsi="Times New Roman"/>
          <w:b/>
          <w:bCs/>
          <w:sz w:val="20"/>
          <w:szCs w:val="20"/>
          <w:bdr w:val="single" w:sz="4" w:space="0" w:color="auto"/>
        </w:rPr>
        <w:t>觀行品〉</w:t>
      </w:r>
      <w:r w:rsidR="00E43C20" w:rsidRPr="00DA3BC7">
        <w:rPr>
          <w:rFonts w:ascii="Times New Roman" w:hAnsi="Times New Roman" w:hint="eastAsia"/>
          <w:bCs/>
          <w:sz w:val="20"/>
          <w:szCs w:val="20"/>
        </w:rPr>
        <w:t>（</w:t>
      </w:r>
      <w:r w:rsidR="00FA6C4B" w:rsidRPr="00DA3BC7">
        <w:rPr>
          <w:rFonts w:ascii="Times New Roman" w:hAnsi="Times New Roman" w:hint="eastAsia"/>
          <w:bCs/>
          <w:sz w:val="20"/>
          <w:szCs w:val="20"/>
        </w:rPr>
        <w:t>p</w:t>
      </w:r>
      <w:r w:rsidR="00E43C20" w:rsidRPr="00DA3BC7">
        <w:rPr>
          <w:rFonts w:ascii="Times New Roman" w:hAnsi="Times New Roman"/>
          <w:bCs/>
          <w:sz w:val="20"/>
          <w:szCs w:val="20"/>
        </w:rPr>
        <w:t>p.18</w:t>
      </w:r>
      <w:r w:rsidR="00FA6C4B" w:rsidRPr="00DA3BC7">
        <w:rPr>
          <w:rFonts w:ascii="Times New Roman" w:hAnsi="Times New Roman" w:hint="eastAsia"/>
          <w:bCs/>
          <w:sz w:val="20"/>
          <w:szCs w:val="20"/>
        </w:rPr>
        <w:t>-19</w:t>
      </w:r>
      <w:r w:rsidR="00E43C20" w:rsidRPr="00DA3BC7">
        <w:rPr>
          <w:rFonts w:ascii="Times New Roman" w:hAnsi="Times New Roman" w:hint="eastAsia"/>
          <w:bCs/>
          <w:sz w:val="20"/>
          <w:szCs w:val="20"/>
        </w:rPr>
        <w:t>）</w:t>
      </w:r>
    </w:p>
    <w:p w:rsidR="00E43C20" w:rsidRPr="00DA3BC7" w:rsidRDefault="00E43C20" w:rsidP="00033F40">
      <w:pPr>
        <w:ind w:leftChars="250" w:left="600"/>
        <w:jc w:val="both"/>
        <w:rPr>
          <w:rFonts w:ascii="Times New Roman" w:hAnsi="Times New Roman"/>
        </w:rPr>
      </w:pPr>
      <w:r w:rsidRPr="00DA3BC7">
        <w:rPr>
          <w:rFonts w:ascii="Times New Roman" w:hAnsi="Times New Roman"/>
        </w:rPr>
        <w:t>〈</w:t>
      </w:r>
      <w:r w:rsidRPr="00DA3BC7">
        <w:rPr>
          <w:rFonts w:ascii="Times New Roman" w:hAnsi="Times New Roman"/>
        </w:rPr>
        <w:t>13</w:t>
      </w:r>
      <w:r w:rsidR="00B5073E" w:rsidRPr="00DA3BC7">
        <w:rPr>
          <w:rFonts w:ascii="Times New Roman" w:hAnsi="Times New Roman" w:hint="eastAsia"/>
        </w:rPr>
        <w:t xml:space="preserve"> </w:t>
      </w:r>
      <w:r w:rsidRPr="00DA3BC7">
        <w:rPr>
          <w:rFonts w:ascii="Times New Roman" w:hAnsi="Times New Roman"/>
        </w:rPr>
        <w:t>觀行品〉說：「</w:t>
      </w:r>
      <w:r w:rsidRPr="00DA3BC7">
        <w:rPr>
          <w:rFonts w:ascii="Times New Roman" w:eastAsia="標楷體" w:hAnsi="Times New Roman"/>
        </w:rPr>
        <w:t>如佛經所說，虛誑妄取相</w:t>
      </w:r>
      <w:r w:rsidRPr="00DA3BC7">
        <w:rPr>
          <w:rFonts w:ascii="Times New Roman" w:hAnsi="Times New Roman"/>
        </w:rPr>
        <w:t>。」</w:t>
      </w:r>
      <w:r w:rsidRPr="00DA3BC7">
        <w:rPr>
          <w:rFonts w:ascii="Times New Roman" w:hAnsi="Times New Roman"/>
          <w:vertAlign w:val="superscript"/>
        </w:rPr>
        <w:footnoteReference w:id="136"/>
      </w:r>
      <w:r w:rsidRPr="00DA3BC7">
        <w:rPr>
          <w:rFonts w:ascii="Times New Roman" w:hAnsi="Times New Roman"/>
        </w:rPr>
        <w:t>以有為諸行為由妄</w:t>
      </w:r>
      <w:r w:rsidRPr="00DA3BC7">
        <w:rPr>
          <w:rFonts w:ascii="Times New Roman" w:hAnsi="Times New Roman"/>
        </w:rPr>
        <w:lastRenderedPageBreak/>
        <w:t>取而成的虛誑</w:t>
      </w:r>
      <w:r w:rsidRPr="00DA3BC7">
        <w:rPr>
          <w:rFonts w:ascii="新細明體" w:hAnsi="新細明體"/>
        </w:rPr>
        <w:t>──</w:t>
      </w:r>
      <w:r w:rsidRPr="00DA3BC7">
        <w:rPr>
          <w:rFonts w:ascii="Times New Roman" w:hAnsi="Times New Roman"/>
        </w:rPr>
        <w:t>即虛妄相，以涅槃為不虛誑，是《阿含經》所說的。</w:t>
      </w:r>
    </w:p>
    <w:p w:rsidR="00E43C20" w:rsidRPr="00DA3BC7" w:rsidRDefault="00E43C20" w:rsidP="00AE3920">
      <w:pPr>
        <w:spacing w:beforeLines="20"/>
        <w:ind w:leftChars="250" w:left="600"/>
        <w:jc w:val="both"/>
        <w:rPr>
          <w:rFonts w:ascii="Times New Roman" w:hAnsi="Times New Roman"/>
          <w:spacing w:val="-10"/>
        </w:rPr>
      </w:pPr>
      <w:r w:rsidRPr="00DA3BC7">
        <w:rPr>
          <w:rFonts w:ascii="Times New Roman" w:hAnsi="Times New Roman"/>
          <w:spacing w:val="-4"/>
        </w:rPr>
        <w:t>但龍樹以</w:t>
      </w:r>
      <w:r w:rsidRPr="00DA3BC7">
        <w:rPr>
          <w:rFonts w:ascii="Times New Roman" w:hAnsi="Times New Roman"/>
          <w:spacing w:val="-20"/>
        </w:rPr>
        <w:t>為：</w:t>
      </w:r>
      <w:r w:rsidRPr="00DA3BC7">
        <w:rPr>
          <w:rFonts w:ascii="Times New Roman" w:hAnsi="Times New Roman"/>
          <w:spacing w:val="-6"/>
        </w:rPr>
        <w:t>虛妄即是空無自性</w:t>
      </w:r>
      <w:r w:rsidRPr="00DA3BC7">
        <w:rPr>
          <w:rFonts w:ascii="Times New Roman" w:hAnsi="Times New Roman"/>
          <w:spacing w:val="-10"/>
        </w:rPr>
        <w:t>的，</w:t>
      </w:r>
      <w:r w:rsidRPr="00DA3BC7">
        <w:rPr>
          <w:rFonts w:ascii="Times New Roman" w:hAnsi="Times New Roman"/>
          <w:spacing w:val="-6"/>
        </w:rPr>
        <w:t>所以</w:t>
      </w:r>
      <w:r w:rsidRPr="00DA3BC7">
        <w:rPr>
          <w:rFonts w:ascii="Times New Roman" w:hAnsi="Times New Roman"/>
          <w:spacing w:val="-10"/>
        </w:rPr>
        <w:t>說：「</w:t>
      </w:r>
      <w:r w:rsidRPr="00DA3BC7">
        <w:rPr>
          <w:rFonts w:ascii="Times New Roman" w:eastAsia="標楷體" w:hAnsi="Times New Roman"/>
          <w:spacing w:val="-6"/>
        </w:rPr>
        <w:t>佛說如是</w:t>
      </w:r>
      <w:r w:rsidRPr="00DA3BC7">
        <w:rPr>
          <w:rFonts w:ascii="Times New Roman" w:eastAsia="標楷體" w:hAnsi="Times New Roman"/>
          <w:spacing w:val="-20"/>
        </w:rPr>
        <w:t>事，</w:t>
      </w:r>
      <w:r w:rsidRPr="00DA3BC7">
        <w:rPr>
          <w:rFonts w:ascii="Times New Roman" w:eastAsia="標楷體" w:hAnsi="Times New Roman"/>
          <w:spacing w:val="-6"/>
        </w:rPr>
        <w:t>欲以示空</w:t>
      </w:r>
      <w:r w:rsidRPr="00DA3BC7">
        <w:rPr>
          <w:rFonts w:ascii="Times New Roman" w:eastAsia="標楷體" w:hAnsi="Times New Roman"/>
          <w:spacing w:val="-20"/>
        </w:rPr>
        <w:t>義</w:t>
      </w:r>
      <w:r w:rsidRPr="00DA3BC7">
        <w:rPr>
          <w:rFonts w:ascii="Times New Roman" w:hAnsi="Times New Roman"/>
          <w:spacing w:val="-20"/>
        </w:rPr>
        <w:t>。」</w:t>
      </w:r>
      <w:r w:rsidRPr="00DA3BC7">
        <w:rPr>
          <w:rFonts w:ascii="Times New Roman" w:hAnsi="Times New Roman"/>
          <w:spacing w:val="-10"/>
          <w:vertAlign w:val="superscript"/>
        </w:rPr>
        <w:footnoteReference w:id="137"/>
      </w:r>
    </w:p>
    <w:p w:rsidR="00E43C20" w:rsidRPr="00DA3BC7" w:rsidRDefault="003A625B" w:rsidP="00AE3920">
      <w:pPr>
        <w:spacing w:beforeLines="30"/>
        <w:ind w:leftChars="250" w:left="600"/>
        <w:jc w:val="both"/>
        <w:rPr>
          <w:rFonts w:ascii="Times New Roman" w:hAnsi="Times New Roman"/>
          <w:b/>
          <w:bCs/>
          <w:sz w:val="20"/>
          <w:szCs w:val="20"/>
          <w:bdr w:val="single" w:sz="4" w:space="0" w:color="auto"/>
        </w:rPr>
      </w:pPr>
      <w:r w:rsidRPr="003A625B">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3</w:t>
      </w:r>
      <w:r w:rsidRPr="003A625B">
        <w:rPr>
          <w:rFonts w:ascii="Times New Roman" w:hAnsi="Times New Roman" w:hint="eastAsia"/>
          <w:b/>
          <w:bCs/>
          <w:color w:val="FF0000"/>
          <w:sz w:val="20"/>
          <w:szCs w:val="20"/>
          <w:highlight w:val="yellow"/>
          <w:bdr w:val="single" w:sz="4" w:space="0" w:color="auto"/>
        </w:rPr>
        <w:t>）</w:t>
      </w:r>
      <w:r w:rsidR="00E43C20" w:rsidRPr="00DA3BC7">
        <w:rPr>
          <w:rFonts w:ascii="Times New Roman" w:hAnsi="Times New Roman"/>
          <w:b/>
          <w:bCs/>
          <w:sz w:val="20"/>
          <w:szCs w:val="20"/>
          <w:bdr w:val="single" w:sz="4" w:space="0" w:color="auto"/>
        </w:rPr>
        <w:t>〈</w:t>
      </w:r>
      <w:r w:rsidR="00E43C20" w:rsidRPr="00DA3BC7">
        <w:rPr>
          <w:rFonts w:ascii="Times New Roman" w:hAnsi="Times New Roman"/>
          <w:b/>
          <w:bCs/>
          <w:sz w:val="20"/>
          <w:szCs w:val="20"/>
          <w:bdr w:val="single" w:sz="4" w:space="0" w:color="auto"/>
        </w:rPr>
        <w:t>15</w:t>
      </w:r>
      <w:r w:rsidR="00B5073E" w:rsidRPr="00DA3BC7">
        <w:rPr>
          <w:rFonts w:ascii="Times New Roman" w:hAnsi="Times New Roman"/>
          <w:b/>
          <w:bCs/>
          <w:sz w:val="20"/>
          <w:szCs w:val="20"/>
          <w:bdr w:val="single" w:sz="4" w:space="0" w:color="auto"/>
        </w:rPr>
        <w:t xml:space="preserve"> </w:t>
      </w:r>
      <w:r w:rsidR="00E43C20" w:rsidRPr="00DA3BC7">
        <w:rPr>
          <w:rFonts w:ascii="Times New Roman" w:hAnsi="Times New Roman"/>
          <w:b/>
          <w:bCs/>
          <w:sz w:val="20"/>
          <w:szCs w:val="20"/>
          <w:bdr w:val="single" w:sz="4" w:space="0" w:color="auto"/>
        </w:rPr>
        <w:t>觀有無品〉</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p.19</w:t>
      </w:r>
      <w:r w:rsidR="00E43C20" w:rsidRPr="00DA3BC7">
        <w:rPr>
          <w:rFonts w:ascii="Times New Roman" w:hAnsi="Times New Roman" w:hint="eastAsia"/>
          <w:bCs/>
          <w:sz w:val="20"/>
          <w:szCs w:val="20"/>
        </w:rPr>
        <w:t>）</w:t>
      </w:r>
    </w:p>
    <w:p w:rsidR="00E43C20" w:rsidRPr="00DA3BC7" w:rsidRDefault="00E43C20" w:rsidP="00033F40">
      <w:pPr>
        <w:ind w:leftChars="250" w:left="600"/>
        <w:jc w:val="both"/>
        <w:rPr>
          <w:rFonts w:ascii="Times New Roman" w:hAnsi="Times New Roman"/>
        </w:rPr>
      </w:pPr>
      <w:r w:rsidRPr="00DA3BC7">
        <w:rPr>
          <w:rFonts w:ascii="Times New Roman" w:hAnsi="Times New Roman"/>
        </w:rPr>
        <w:t>〈</w:t>
      </w:r>
      <w:r w:rsidRPr="00DA76AC">
        <w:rPr>
          <w:rFonts w:ascii="Times New Roman" w:hAnsi="Times New Roman"/>
          <w:shd w:val="pct15" w:color="auto" w:fill="FFFFFF"/>
        </w:rPr>
        <w:t>15</w:t>
      </w:r>
      <w:r w:rsidR="00B5073E" w:rsidRPr="00DA3BC7">
        <w:rPr>
          <w:rFonts w:ascii="Times New Roman" w:hAnsi="Times New Roman"/>
        </w:rPr>
        <w:t xml:space="preserve"> </w:t>
      </w:r>
      <w:r w:rsidRPr="00DA3BC7">
        <w:rPr>
          <w:rFonts w:ascii="Times New Roman" w:hAnsi="Times New Roman"/>
        </w:rPr>
        <w:t>觀有無品〉說：「</w:t>
      </w:r>
      <w:r w:rsidRPr="00DA3BC7">
        <w:rPr>
          <w:rFonts w:ascii="Times New Roman" w:eastAsia="標楷體" w:hAnsi="Times New Roman"/>
        </w:rPr>
        <w:t>佛能滅有無，於化迦旃延，經中之所說，離有亦離無</w:t>
      </w:r>
      <w:r w:rsidRPr="00DA3BC7">
        <w:rPr>
          <w:rFonts w:ascii="Times New Roman" w:eastAsia="標楷體" w:hAnsi="Times New Roman" w:hint="eastAsia"/>
        </w:rPr>
        <w:t>。</w:t>
      </w:r>
      <w:r w:rsidRPr="00DA3BC7">
        <w:rPr>
          <w:rFonts w:ascii="Times New Roman" w:hAnsi="Times New Roman"/>
        </w:rPr>
        <w:t>」</w:t>
      </w:r>
      <w:r w:rsidRPr="00DA3BC7">
        <w:rPr>
          <w:rFonts w:ascii="Times New Roman" w:hAnsi="Times New Roman"/>
          <w:vertAlign w:val="superscript"/>
        </w:rPr>
        <w:footnoteReference w:id="138"/>
      </w:r>
      <w:r w:rsidRPr="00DA3BC7">
        <w:rPr>
          <w:rFonts w:ascii="Times New Roman" w:hAnsi="Times New Roman"/>
        </w:rPr>
        <w:t>這出於《雜阿含經》</w:t>
      </w:r>
      <w:r w:rsidRPr="00DA3BC7">
        <w:rPr>
          <w:rFonts w:ascii="Times New Roman" w:hAnsi="Times New Roman"/>
          <w:vertAlign w:val="superscript"/>
        </w:rPr>
        <w:footnoteReference w:id="139"/>
      </w:r>
      <w:r w:rsidRPr="00DA3BC7">
        <w:rPr>
          <w:rFonts w:ascii="Times New Roman" w:hAnsi="Times New Roman"/>
        </w:rPr>
        <w:t>，已經引述過。</w:t>
      </w:r>
      <w:r w:rsidRPr="00DA3BC7">
        <w:rPr>
          <w:rStyle w:val="a6"/>
          <w:rFonts w:ascii="Times New Roman" w:hAnsi="Times New Roman"/>
        </w:rPr>
        <w:footnoteReference w:id="140"/>
      </w:r>
    </w:p>
    <w:p w:rsidR="00E43C20" w:rsidRPr="00DA3BC7" w:rsidRDefault="00E43C20" w:rsidP="00AE3920">
      <w:pPr>
        <w:spacing w:afterLines="30"/>
        <w:ind w:leftChars="250" w:left="600"/>
        <w:jc w:val="both"/>
        <w:rPr>
          <w:rFonts w:ascii="Times New Roman" w:hAnsi="Times New Roman"/>
        </w:rPr>
      </w:pPr>
      <w:r w:rsidRPr="00DA3BC7">
        <w:rPr>
          <w:rFonts w:ascii="Times New Roman" w:hAnsi="Times New Roman"/>
        </w:rPr>
        <w:lastRenderedPageBreak/>
        <w:t>離有無二邊的緣起中道，為《中論》重要的教證。</w:t>
      </w:r>
    </w:p>
    <w:p w:rsidR="00E43C20" w:rsidRPr="00DA3BC7" w:rsidRDefault="008E2BBC" w:rsidP="00AE3920">
      <w:pPr>
        <w:spacing w:beforeLines="30"/>
        <w:ind w:leftChars="250" w:left="600"/>
        <w:jc w:val="both"/>
        <w:rPr>
          <w:rFonts w:ascii="Times New Roman" w:hAnsi="Times New Roman"/>
          <w:b/>
          <w:bCs/>
          <w:sz w:val="20"/>
          <w:szCs w:val="20"/>
          <w:bdr w:val="single" w:sz="4" w:space="0" w:color="auto"/>
        </w:rPr>
      </w:pPr>
      <w:r w:rsidRPr="003A625B">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4</w:t>
      </w:r>
      <w:r w:rsidRPr="003A625B">
        <w:rPr>
          <w:rFonts w:ascii="Times New Roman" w:hAnsi="Times New Roman" w:hint="eastAsia"/>
          <w:b/>
          <w:bCs/>
          <w:color w:val="FF0000"/>
          <w:sz w:val="20"/>
          <w:szCs w:val="20"/>
          <w:highlight w:val="yellow"/>
          <w:bdr w:val="single" w:sz="4" w:space="0" w:color="auto"/>
        </w:rPr>
        <w:t>）</w:t>
      </w:r>
      <w:r w:rsidR="00E43C20" w:rsidRPr="00DA3BC7">
        <w:rPr>
          <w:rFonts w:ascii="Times New Roman" w:hAnsi="Times New Roman"/>
          <w:b/>
          <w:bCs/>
          <w:sz w:val="20"/>
          <w:szCs w:val="20"/>
          <w:bdr w:val="single" w:sz="4" w:space="0" w:color="auto"/>
        </w:rPr>
        <w:t>〈</w:t>
      </w:r>
      <w:r w:rsidR="00E43C20" w:rsidRPr="00DA3BC7">
        <w:rPr>
          <w:rFonts w:ascii="Times New Roman" w:hAnsi="Times New Roman"/>
          <w:b/>
          <w:bCs/>
          <w:sz w:val="20"/>
          <w:szCs w:val="20"/>
          <w:bdr w:val="single" w:sz="4" w:space="0" w:color="auto"/>
        </w:rPr>
        <w:t>24</w:t>
      </w:r>
      <w:r w:rsidR="00B5073E" w:rsidRPr="00DA3BC7">
        <w:rPr>
          <w:rFonts w:ascii="Times New Roman" w:hAnsi="Times New Roman"/>
          <w:b/>
          <w:bCs/>
          <w:sz w:val="20"/>
          <w:szCs w:val="20"/>
          <w:bdr w:val="single" w:sz="4" w:space="0" w:color="auto"/>
        </w:rPr>
        <w:t xml:space="preserve"> </w:t>
      </w:r>
      <w:r w:rsidR="00E43C20" w:rsidRPr="00DA3BC7">
        <w:rPr>
          <w:rFonts w:ascii="Times New Roman" w:hAnsi="Times New Roman"/>
          <w:b/>
          <w:bCs/>
          <w:sz w:val="20"/>
          <w:szCs w:val="20"/>
          <w:bdr w:val="single" w:sz="4" w:space="0" w:color="auto"/>
        </w:rPr>
        <w:t>觀四諦品〉</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p.19</w:t>
      </w:r>
      <w:r w:rsidR="00E43C20" w:rsidRPr="00DA3BC7">
        <w:rPr>
          <w:rFonts w:ascii="Times New Roman" w:hAnsi="Times New Roman" w:hint="eastAsia"/>
          <w:bCs/>
          <w:sz w:val="20"/>
          <w:szCs w:val="20"/>
        </w:rPr>
        <w:t>）</w:t>
      </w:r>
    </w:p>
    <w:p w:rsidR="00E43C20" w:rsidRPr="00DA3BC7" w:rsidRDefault="00E43C20" w:rsidP="00033F40">
      <w:pPr>
        <w:ind w:leftChars="250" w:left="600"/>
        <w:jc w:val="both"/>
        <w:rPr>
          <w:rFonts w:ascii="Times New Roman" w:hAnsi="Times New Roman"/>
        </w:rPr>
      </w:pPr>
      <w:r w:rsidRPr="00DA3BC7">
        <w:rPr>
          <w:rFonts w:ascii="Times New Roman" w:hAnsi="Times New Roman"/>
        </w:rPr>
        <w:t>〈</w:t>
      </w:r>
      <w:r w:rsidRPr="00DA76AC">
        <w:rPr>
          <w:rFonts w:ascii="Times New Roman" w:hAnsi="Times New Roman"/>
          <w:shd w:val="pct15" w:color="auto" w:fill="FFFFFF"/>
        </w:rPr>
        <w:t>24</w:t>
      </w:r>
      <w:r w:rsidR="00B5073E" w:rsidRPr="00DA3BC7">
        <w:rPr>
          <w:rFonts w:ascii="Times New Roman" w:hAnsi="Times New Roman"/>
        </w:rPr>
        <w:t xml:space="preserve"> </w:t>
      </w:r>
      <w:r w:rsidRPr="00DA3BC7">
        <w:rPr>
          <w:rFonts w:ascii="Times New Roman" w:hAnsi="Times New Roman"/>
        </w:rPr>
        <w:t>觀四諦品〉說：「</w:t>
      </w:r>
      <w:r w:rsidRPr="00DA3BC7">
        <w:rPr>
          <w:rFonts w:ascii="Times New Roman" w:eastAsia="標楷體" w:hAnsi="Times New Roman"/>
        </w:rPr>
        <w:t>世尊知是法，甚深微妙相，非鈍根所及，是故不欲說</w:t>
      </w:r>
      <w:r w:rsidRPr="00DA3BC7">
        <w:rPr>
          <w:rFonts w:ascii="Times New Roman" w:eastAsia="標楷體" w:hAnsi="Times New Roman" w:hint="eastAsia"/>
        </w:rPr>
        <w:t>。</w:t>
      </w:r>
      <w:r w:rsidRPr="00DA3BC7">
        <w:rPr>
          <w:rFonts w:ascii="Times New Roman" w:hAnsi="Times New Roman"/>
        </w:rPr>
        <w:t>」</w:t>
      </w:r>
      <w:r w:rsidRPr="00DA3BC7">
        <w:rPr>
          <w:rFonts w:ascii="Times New Roman" w:hAnsi="Times New Roman"/>
          <w:vertAlign w:val="superscript"/>
        </w:rPr>
        <w:footnoteReference w:id="141"/>
      </w:r>
      <w:r w:rsidRPr="00DA3BC7">
        <w:rPr>
          <w:rFonts w:ascii="Times New Roman" w:hAnsi="Times New Roman"/>
        </w:rPr>
        <w:t>這如《增一阿含經》卷</w:t>
      </w:r>
      <w:r w:rsidRPr="00DA3BC7">
        <w:rPr>
          <w:rFonts w:ascii="Times New Roman" w:hAnsi="Times New Roman"/>
        </w:rPr>
        <w:t>10</w:t>
      </w:r>
      <w:r w:rsidRPr="00DA3BC7">
        <w:rPr>
          <w:rFonts w:ascii="Times New Roman" w:hAnsi="Times New Roman"/>
        </w:rPr>
        <w:t>說：「</w:t>
      </w:r>
      <w:r w:rsidRPr="00DA3BC7">
        <w:rPr>
          <w:rFonts w:ascii="Times New Roman" w:eastAsia="標楷體" w:hAnsi="Times New Roman"/>
        </w:rPr>
        <w:t>我今甚深之法，難曉難了，難可覺知！</w:t>
      </w:r>
      <w:r w:rsidRPr="00DA3BC7">
        <w:rPr>
          <w:rFonts w:ascii="Times New Roman" w:eastAsia="標楷體" w:hAnsi="Times New Roman" w:hint="eastAsia"/>
        </w:rPr>
        <w:t>……</w:t>
      </w:r>
      <w:r w:rsidRPr="00DA3BC7">
        <w:rPr>
          <w:rFonts w:ascii="Times New Roman" w:eastAsia="標楷體" w:hAnsi="Times New Roman"/>
        </w:rPr>
        <w:t>設吾與人說妙法者，人不信受，亦不奉行，</w:t>
      </w:r>
      <w:r w:rsidRPr="00DA3BC7">
        <w:rPr>
          <w:rFonts w:ascii="Times New Roman" w:eastAsia="標楷體" w:hAnsi="Times New Roman" w:hint="eastAsia"/>
        </w:rPr>
        <w:t>……</w:t>
      </w:r>
      <w:r w:rsidRPr="00DA3BC7">
        <w:rPr>
          <w:rFonts w:ascii="Times New Roman" w:eastAsia="標楷體" w:hAnsi="Times New Roman"/>
        </w:rPr>
        <w:t>我今宜可默然，何須說法</w:t>
      </w:r>
      <w:r w:rsidRPr="00DA3BC7">
        <w:rPr>
          <w:rFonts w:ascii="Times New Roman" w:eastAsia="標楷體" w:hAnsi="Times New Roman" w:hint="eastAsia"/>
        </w:rPr>
        <w:t>！</w:t>
      </w:r>
      <w:r w:rsidRPr="00DA3BC7">
        <w:rPr>
          <w:rFonts w:ascii="Times New Roman" w:hAnsi="Times New Roman"/>
        </w:rPr>
        <w:t>」</w:t>
      </w:r>
      <w:r w:rsidRPr="00DA3BC7">
        <w:rPr>
          <w:rFonts w:ascii="Times New Roman" w:hAnsi="Times New Roman"/>
          <w:vertAlign w:val="superscript"/>
        </w:rPr>
        <w:footnoteReference w:id="142"/>
      </w:r>
    </w:p>
    <w:p w:rsidR="00E43C20" w:rsidRPr="00DA3BC7" w:rsidRDefault="00E43C20" w:rsidP="00AE3920">
      <w:pPr>
        <w:spacing w:beforeLines="20"/>
        <w:ind w:leftChars="250" w:left="600"/>
        <w:jc w:val="both"/>
        <w:rPr>
          <w:rFonts w:ascii="Times New Roman" w:eastAsia="標楷體" w:hAnsi="Times New Roman"/>
        </w:rPr>
      </w:pPr>
      <w:r w:rsidRPr="00DA3BC7">
        <w:rPr>
          <w:rFonts w:ascii="Times New Roman" w:hAnsi="Times New Roman"/>
        </w:rPr>
        <w:t>各部廣律，在梵天請法前，都有此說。</w:t>
      </w:r>
      <w:r w:rsidRPr="00DA3BC7">
        <w:rPr>
          <w:rFonts w:ascii="Times New Roman" w:hAnsi="Times New Roman"/>
          <w:vertAlign w:val="superscript"/>
        </w:rPr>
        <w:footnoteReference w:id="143"/>
      </w:r>
    </w:p>
    <w:p w:rsidR="00E43C20" w:rsidRPr="00DA3BC7" w:rsidRDefault="00E43C20" w:rsidP="00033F40">
      <w:pPr>
        <w:widowControl/>
        <w:ind w:leftChars="250" w:left="600"/>
        <w:jc w:val="both"/>
        <w:rPr>
          <w:rFonts w:ascii="Times New Roman" w:hAnsi="Times New Roman"/>
        </w:rPr>
      </w:pPr>
      <w:r w:rsidRPr="00DA3BC7">
        <w:rPr>
          <w:rFonts w:ascii="Times New Roman" w:hAnsi="Times New Roman"/>
        </w:rPr>
        <w:t>〈</w:t>
      </w:r>
      <w:r w:rsidRPr="00DA3BC7">
        <w:rPr>
          <w:rFonts w:ascii="Times New Roman" w:hAnsi="Times New Roman"/>
        </w:rPr>
        <w:t>24</w:t>
      </w:r>
      <w:r w:rsidR="00B5073E" w:rsidRPr="00DA3BC7">
        <w:rPr>
          <w:rFonts w:ascii="Times New Roman" w:hAnsi="Times New Roman"/>
        </w:rPr>
        <w:t xml:space="preserve"> </w:t>
      </w:r>
      <w:r w:rsidRPr="00DA3BC7">
        <w:rPr>
          <w:rFonts w:ascii="Times New Roman" w:hAnsi="Times New Roman"/>
        </w:rPr>
        <w:t>觀四諦品〉說：「</w:t>
      </w:r>
      <w:r w:rsidRPr="00DA3BC7">
        <w:rPr>
          <w:rFonts w:ascii="Times New Roman" w:eastAsia="標楷體" w:hAnsi="Times New Roman"/>
        </w:rPr>
        <w:t>是故經中說，若見因緣法，則為能見佛，見苦集滅道</w:t>
      </w:r>
      <w:r w:rsidRPr="00DA3BC7">
        <w:rPr>
          <w:rFonts w:ascii="Times New Roman" w:eastAsia="標楷體" w:hAnsi="Times New Roman" w:hint="eastAsia"/>
        </w:rPr>
        <w:t>。</w:t>
      </w:r>
      <w:r w:rsidRPr="00DA3BC7">
        <w:rPr>
          <w:rFonts w:ascii="Times New Roman" w:hAnsi="Times New Roman"/>
        </w:rPr>
        <w:t>」</w:t>
      </w:r>
      <w:r w:rsidRPr="00DA3BC7">
        <w:rPr>
          <w:rFonts w:ascii="Times New Roman" w:hAnsi="Times New Roman"/>
          <w:vertAlign w:val="superscript"/>
        </w:rPr>
        <w:footnoteReference w:id="144"/>
      </w:r>
      <w:r w:rsidRPr="00DA3BC7">
        <w:rPr>
          <w:rFonts w:ascii="Times New Roman" w:hAnsi="Times New Roman"/>
        </w:rPr>
        <w:t>見緣起法即見佛，出於《增一阿含經》卷</w:t>
      </w:r>
      <w:r w:rsidRPr="00DA3BC7">
        <w:rPr>
          <w:rFonts w:ascii="Times New Roman" w:hAnsi="Times New Roman"/>
        </w:rPr>
        <w:t>2</w:t>
      </w:r>
      <w:r w:rsidRPr="00DA3BC7">
        <w:rPr>
          <w:rFonts w:ascii="Times New Roman" w:hAnsi="Times New Roman" w:hint="eastAsia"/>
        </w:rPr>
        <w:t>8</w:t>
      </w:r>
      <w:r w:rsidRPr="00DA3BC7">
        <w:rPr>
          <w:rFonts w:ascii="Times New Roman" w:hAnsi="Times New Roman"/>
        </w:rPr>
        <w:t>須菩提見佛的教說。</w:t>
      </w:r>
      <w:r w:rsidRPr="00DA3BC7">
        <w:rPr>
          <w:rFonts w:ascii="Times New Roman" w:hAnsi="Times New Roman"/>
          <w:vertAlign w:val="superscript"/>
        </w:rPr>
        <w:footnoteReference w:id="145"/>
      </w:r>
    </w:p>
    <w:p w:rsidR="00E43C20" w:rsidRPr="00DA3BC7" w:rsidRDefault="00E43C20" w:rsidP="00033F40">
      <w:pPr>
        <w:ind w:leftChars="250" w:left="600"/>
        <w:jc w:val="both"/>
        <w:rPr>
          <w:rFonts w:ascii="Times New Roman" w:hAnsi="Times New Roman"/>
        </w:rPr>
      </w:pPr>
      <w:r w:rsidRPr="00DA3BC7">
        <w:rPr>
          <w:rFonts w:ascii="Times New Roman" w:hAnsi="Times New Roman"/>
        </w:rPr>
        <w:lastRenderedPageBreak/>
        <w:t>見緣起法即見四諦，出於《中阿含經》卷</w:t>
      </w:r>
      <w:r w:rsidRPr="00DA3BC7">
        <w:rPr>
          <w:rFonts w:ascii="Times New Roman" w:hAnsi="Times New Roman"/>
        </w:rPr>
        <w:t>7</w:t>
      </w:r>
      <w:r w:rsidRPr="00DA3BC7">
        <w:rPr>
          <w:rFonts w:ascii="Times New Roman" w:hAnsi="Times New Roman"/>
        </w:rPr>
        <w:t>《象跡喻經》。</w:t>
      </w:r>
      <w:r w:rsidRPr="00DA3BC7">
        <w:rPr>
          <w:rFonts w:ascii="Times New Roman" w:hAnsi="Times New Roman"/>
          <w:vertAlign w:val="superscript"/>
        </w:rPr>
        <w:footnoteReference w:id="146"/>
      </w:r>
    </w:p>
    <w:p w:rsidR="00E43C20" w:rsidRPr="00DA3BC7" w:rsidRDefault="008E2BBC" w:rsidP="00AE3920">
      <w:pPr>
        <w:spacing w:beforeLines="30"/>
        <w:ind w:leftChars="250" w:left="600"/>
        <w:jc w:val="both"/>
        <w:rPr>
          <w:rFonts w:ascii="Times New Roman" w:hAnsi="Times New Roman"/>
          <w:b/>
          <w:bCs/>
          <w:sz w:val="20"/>
          <w:szCs w:val="20"/>
          <w:bdr w:val="single" w:sz="4" w:space="0" w:color="auto"/>
        </w:rPr>
      </w:pPr>
      <w:r w:rsidRPr="003A625B">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5</w:t>
      </w:r>
      <w:r w:rsidRPr="003A625B">
        <w:rPr>
          <w:rFonts w:ascii="Times New Roman" w:hAnsi="Times New Roman" w:hint="eastAsia"/>
          <w:b/>
          <w:bCs/>
          <w:color w:val="FF0000"/>
          <w:sz w:val="20"/>
          <w:szCs w:val="20"/>
          <w:highlight w:val="yellow"/>
          <w:bdr w:val="single" w:sz="4" w:space="0" w:color="auto"/>
        </w:rPr>
        <w:t>）</w:t>
      </w:r>
      <w:r w:rsidR="00E43C20" w:rsidRPr="00DA3BC7">
        <w:rPr>
          <w:rFonts w:ascii="Times New Roman" w:hAnsi="Times New Roman"/>
          <w:b/>
          <w:bCs/>
          <w:sz w:val="20"/>
          <w:szCs w:val="20"/>
          <w:bdr w:val="single" w:sz="4" w:space="0" w:color="auto"/>
        </w:rPr>
        <w:t>〈</w:t>
      </w:r>
      <w:r w:rsidR="00E43C20" w:rsidRPr="00DA3BC7">
        <w:rPr>
          <w:rFonts w:ascii="Times New Roman" w:hAnsi="Times New Roman"/>
          <w:b/>
          <w:bCs/>
          <w:sz w:val="20"/>
          <w:szCs w:val="20"/>
          <w:bdr w:val="single" w:sz="4" w:space="0" w:color="auto"/>
        </w:rPr>
        <w:t>25</w:t>
      </w:r>
      <w:r w:rsidR="00B5073E" w:rsidRPr="00DA3BC7">
        <w:rPr>
          <w:rFonts w:ascii="Times New Roman" w:hAnsi="Times New Roman"/>
          <w:b/>
          <w:bCs/>
          <w:sz w:val="20"/>
          <w:szCs w:val="20"/>
          <w:bdr w:val="single" w:sz="4" w:space="0" w:color="auto"/>
        </w:rPr>
        <w:t xml:space="preserve"> </w:t>
      </w:r>
      <w:r w:rsidR="00E43C20" w:rsidRPr="00DA3BC7">
        <w:rPr>
          <w:rFonts w:ascii="Times New Roman" w:hAnsi="Times New Roman"/>
          <w:b/>
          <w:bCs/>
          <w:sz w:val="20"/>
          <w:szCs w:val="20"/>
          <w:bdr w:val="single" w:sz="4" w:space="0" w:color="auto"/>
        </w:rPr>
        <w:t>觀涅槃品〉</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p.19</w:t>
      </w:r>
      <w:r w:rsidR="00E43C20" w:rsidRPr="00DA3BC7">
        <w:rPr>
          <w:rFonts w:ascii="Times New Roman" w:hAnsi="Times New Roman" w:hint="eastAsia"/>
          <w:bCs/>
          <w:sz w:val="20"/>
          <w:szCs w:val="20"/>
        </w:rPr>
        <w:t>）</w:t>
      </w:r>
    </w:p>
    <w:p w:rsidR="00E43C20" w:rsidRPr="00DA3BC7" w:rsidRDefault="00E43C20" w:rsidP="00033F40">
      <w:pPr>
        <w:ind w:leftChars="250" w:left="600"/>
        <w:jc w:val="both"/>
        <w:rPr>
          <w:rFonts w:ascii="Times New Roman" w:hAnsi="Times New Roman"/>
        </w:rPr>
      </w:pPr>
      <w:r w:rsidRPr="00DA3BC7">
        <w:rPr>
          <w:rFonts w:ascii="Times New Roman" w:hAnsi="Times New Roman"/>
        </w:rPr>
        <w:t>〈</w:t>
      </w:r>
      <w:r w:rsidRPr="00DA76AC">
        <w:rPr>
          <w:rFonts w:ascii="Times New Roman" w:hAnsi="Times New Roman"/>
          <w:shd w:val="pct15" w:color="auto" w:fill="FFFFFF"/>
        </w:rPr>
        <w:t>25</w:t>
      </w:r>
      <w:r w:rsidR="00B5073E" w:rsidRPr="00DA3BC7">
        <w:rPr>
          <w:rFonts w:ascii="Times New Roman" w:hAnsi="Times New Roman"/>
        </w:rPr>
        <w:t xml:space="preserve"> </w:t>
      </w:r>
      <w:r w:rsidRPr="00DA3BC7">
        <w:rPr>
          <w:rFonts w:ascii="Times New Roman" w:hAnsi="Times New Roman"/>
        </w:rPr>
        <w:t>觀涅槃品〉說：「</w:t>
      </w:r>
      <w:r w:rsidRPr="00DA3BC7">
        <w:rPr>
          <w:rFonts w:ascii="Times New Roman" w:eastAsia="標楷體" w:hAnsi="Times New Roman"/>
        </w:rPr>
        <w:t>如佛經中說，斷有斷非有</w:t>
      </w:r>
      <w:r w:rsidRPr="00DA3BC7">
        <w:rPr>
          <w:rFonts w:ascii="Times New Roman" w:eastAsia="標楷體" w:hAnsi="Times New Roman" w:hint="eastAsia"/>
        </w:rPr>
        <w:t>。</w:t>
      </w:r>
      <w:r w:rsidRPr="00DA3BC7">
        <w:rPr>
          <w:rFonts w:ascii="Times New Roman" w:hAnsi="Times New Roman"/>
        </w:rPr>
        <w:t>」</w:t>
      </w:r>
      <w:r w:rsidRPr="00DA3BC7">
        <w:rPr>
          <w:rFonts w:ascii="Times New Roman" w:hAnsi="Times New Roman"/>
          <w:vertAlign w:val="superscript"/>
        </w:rPr>
        <w:footnoteReference w:id="147"/>
      </w:r>
      <w:r w:rsidRPr="00DA3BC7">
        <w:rPr>
          <w:rFonts w:ascii="Times New Roman" w:hAnsi="Times New Roman"/>
        </w:rPr>
        <w:t>這如《雜阿含經》卷</w:t>
      </w:r>
      <w:r w:rsidRPr="00DA3BC7">
        <w:rPr>
          <w:rFonts w:ascii="Times New Roman" w:hAnsi="Times New Roman"/>
        </w:rPr>
        <w:t>9</w:t>
      </w:r>
      <w:r w:rsidRPr="00DA3BC7">
        <w:rPr>
          <w:rFonts w:ascii="Times New Roman" w:hAnsi="Times New Roman"/>
        </w:rPr>
        <w:t>（</w:t>
      </w:r>
      <w:r w:rsidRPr="00DA3BC7">
        <w:rPr>
          <w:rFonts w:ascii="Times New Roman" w:hAnsi="Times New Roman"/>
        </w:rPr>
        <w:t>249</w:t>
      </w:r>
      <w:r w:rsidRPr="00DA3BC7">
        <w:rPr>
          <w:rFonts w:ascii="Times New Roman" w:hAnsi="Times New Roman"/>
        </w:rPr>
        <w:t>經）說：</w:t>
      </w:r>
      <w:r w:rsidRPr="00DA3BC7">
        <w:rPr>
          <w:rFonts w:ascii="Times New Roman" w:eastAsia="標楷體" w:hAnsi="Times New Roman"/>
        </w:rPr>
        <w:t>「盡、離欲、滅、息、沒已，有亦不應說，無亦不應說。</w:t>
      </w:r>
      <w:r w:rsidRPr="00DA3BC7">
        <w:rPr>
          <w:rFonts w:ascii="Times New Roman" w:eastAsia="標楷體" w:hAnsi="Times New Roman" w:hint="eastAsia"/>
        </w:rPr>
        <w:t>……</w:t>
      </w:r>
      <w:r w:rsidRPr="00DA3BC7">
        <w:rPr>
          <w:rFonts w:ascii="Times New Roman" w:eastAsia="標楷體" w:hAnsi="Times New Roman"/>
        </w:rPr>
        <w:t>離諸虛偽，得般涅槃，此則佛說</w:t>
      </w:r>
      <w:r w:rsidRPr="00DA3BC7">
        <w:rPr>
          <w:rFonts w:ascii="Times New Roman" w:hAnsi="Times New Roman"/>
        </w:rPr>
        <w:t>」。</w:t>
      </w:r>
      <w:r w:rsidRPr="00DA3BC7">
        <w:rPr>
          <w:rFonts w:ascii="Times New Roman" w:hAnsi="Times New Roman"/>
          <w:vertAlign w:val="superscript"/>
        </w:rPr>
        <w:footnoteReference w:id="148"/>
      </w:r>
    </w:p>
    <w:p w:rsidR="00E43C20" w:rsidRPr="00DA3BC7" w:rsidRDefault="008E2BBC" w:rsidP="00AE3920">
      <w:pPr>
        <w:spacing w:beforeLines="30"/>
        <w:ind w:leftChars="200" w:left="480"/>
        <w:jc w:val="both"/>
        <w:rPr>
          <w:rFonts w:ascii="Times New Roman" w:hAnsi="Times New Roman"/>
          <w:b/>
          <w:bCs/>
          <w:sz w:val="20"/>
          <w:szCs w:val="20"/>
          <w:bdr w:val="single" w:sz="4" w:space="0" w:color="auto"/>
        </w:rPr>
      </w:pPr>
      <w:r w:rsidRPr="008E2BBC">
        <w:rPr>
          <w:rFonts w:ascii="Times New Roman" w:hAnsi="Times New Roman" w:hint="eastAsia"/>
          <w:b/>
          <w:bCs/>
          <w:color w:val="FF0000"/>
          <w:sz w:val="20"/>
          <w:szCs w:val="20"/>
          <w:highlight w:val="yellow"/>
          <w:bdr w:val="single" w:sz="4" w:space="0" w:color="auto"/>
        </w:rPr>
        <w:t>3</w:t>
      </w:r>
      <w:r w:rsidRPr="008E2BBC">
        <w:rPr>
          <w:rFonts w:ascii="Times New Roman" w:hAnsi="Times New Roman" w:hint="eastAsia"/>
          <w:b/>
          <w:bCs/>
          <w:color w:val="FF0000"/>
          <w:sz w:val="20"/>
          <w:szCs w:val="20"/>
          <w:highlight w:val="yellow"/>
          <w:bdr w:val="single" w:sz="4" w:space="0" w:color="auto"/>
        </w:rPr>
        <w:t>、顯義</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p.19</w:t>
      </w:r>
      <w:r w:rsidR="00E43C20" w:rsidRPr="00DA3BC7">
        <w:rPr>
          <w:rFonts w:ascii="Times New Roman" w:hAnsi="Times New Roman" w:hint="eastAsia"/>
          <w:bCs/>
          <w:sz w:val="20"/>
          <w:szCs w:val="20"/>
        </w:rPr>
        <w:t>）</w:t>
      </w:r>
    </w:p>
    <w:p w:rsidR="00E43C20" w:rsidRPr="00DA3BC7" w:rsidRDefault="00E43C20" w:rsidP="00033F40">
      <w:pPr>
        <w:ind w:leftChars="200" w:left="480"/>
        <w:jc w:val="both"/>
        <w:rPr>
          <w:rFonts w:ascii="Times New Roman" w:hAnsi="Times New Roman"/>
        </w:rPr>
      </w:pPr>
      <w:r w:rsidRPr="00DA3BC7">
        <w:rPr>
          <w:rFonts w:ascii="Times New Roman" w:hAnsi="Times New Roman"/>
        </w:rPr>
        <w:t>《阿含經》的本義，一般聲聞學者不能深識，專在名相上取執，所以龍樹與他們論</w:t>
      </w:r>
      <w:r w:rsidRPr="00DA3BC7">
        <w:rPr>
          <w:rFonts w:ascii="Times New Roman" w:hAnsi="Times New Roman" w:hint="eastAsia"/>
        </w:rPr>
        <w:t>辯</w:t>
      </w:r>
      <w:r w:rsidRPr="00DA3BC7">
        <w:rPr>
          <w:rFonts w:ascii="Times New Roman" w:hAnsi="Times New Roman"/>
        </w:rPr>
        <w:t>，似乎龍樹在極力破斥小乘，而不知是為了成立《阿含</w:t>
      </w:r>
      <w:r w:rsidRPr="00DA3BC7">
        <w:rPr>
          <w:rFonts w:ascii="Times New Roman" w:hAnsi="Times New Roman" w:hint="eastAsia"/>
        </w:rPr>
        <w:t>經</w:t>
      </w:r>
      <w:r w:rsidRPr="00DA3BC7">
        <w:rPr>
          <w:rFonts w:ascii="Times New Roman" w:hAnsi="Times New Roman"/>
        </w:rPr>
        <w:t>》的真義，成立四諦、三寶、世出世一切法。</w:t>
      </w:r>
    </w:p>
    <w:p w:rsidR="00E43C20" w:rsidRPr="00DA3BC7" w:rsidRDefault="008E2BBC" w:rsidP="00AE3920">
      <w:pPr>
        <w:spacing w:beforeLines="30"/>
        <w:ind w:leftChars="150" w:left="360"/>
        <w:jc w:val="both"/>
        <w:rPr>
          <w:rFonts w:ascii="Times New Roman" w:hAnsi="Times New Roman"/>
          <w:b/>
          <w:bCs/>
          <w:sz w:val="20"/>
          <w:szCs w:val="20"/>
        </w:rPr>
      </w:pPr>
      <w:r w:rsidRPr="008E2BBC">
        <w:rPr>
          <w:rFonts w:ascii="Times New Roman" w:hAnsi="Times New Roman" w:hint="eastAsia"/>
          <w:b/>
          <w:bCs/>
          <w:color w:val="FF0000"/>
          <w:sz w:val="20"/>
          <w:szCs w:val="20"/>
          <w:highlight w:val="yellow"/>
          <w:bdr w:val="single" w:sz="4" w:space="0" w:color="auto"/>
        </w:rPr>
        <w:t>（二）</w:t>
      </w:r>
      <w:r w:rsidR="00E43C20" w:rsidRPr="00DA3BC7">
        <w:rPr>
          <w:rFonts w:ascii="Times New Roman" w:hAnsi="Times New Roman"/>
          <w:b/>
          <w:bCs/>
          <w:sz w:val="20"/>
          <w:szCs w:val="20"/>
          <w:bdr w:val="single" w:sz="4" w:space="0" w:color="auto"/>
        </w:rPr>
        <w:t>從</w:t>
      </w:r>
      <w:r w:rsidR="006D3C45" w:rsidRPr="006D3C45">
        <w:rPr>
          <w:rFonts w:ascii="Times New Roman" w:hAnsi="Times New Roman" w:hint="eastAsia"/>
          <w:b/>
          <w:bCs/>
          <w:color w:val="FF0000"/>
          <w:sz w:val="20"/>
          <w:szCs w:val="20"/>
          <w:highlight w:val="yellow"/>
          <w:bdr w:val="single" w:sz="4" w:space="0" w:color="auto"/>
        </w:rPr>
        <w:t>「</w:t>
      </w:r>
      <w:r w:rsidR="00E43C20" w:rsidRPr="00DA3BC7">
        <w:rPr>
          <w:rFonts w:ascii="Times New Roman" w:hAnsi="Times New Roman"/>
          <w:b/>
          <w:bCs/>
          <w:sz w:val="20"/>
          <w:szCs w:val="20"/>
          <w:bdr w:val="single" w:sz="4" w:space="0" w:color="auto"/>
        </w:rPr>
        <w:t>《中論》的內容</w:t>
      </w:r>
      <w:r w:rsidR="006D3C45" w:rsidRPr="006D3C45">
        <w:rPr>
          <w:rFonts w:ascii="Times New Roman" w:hAnsi="Times New Roman" w:hint="eastAsia"/>
          <w:b/>
          <w:bCs/>
          <w:color w:val="FF0000"/>
          <w:sz w:val="20"/>
          <w:szCs w:val="20"/>
          <w:highlight w:val="yellow"/>
          <w:bdr w:val="single" w:sz="4" w:space="0" w:color="auto"/>
        </w:rPr>
        <w:t>」以</w:t>
      </w:r>
      <w:r w:rsidR="00E43C20" w:rsidRPr="00DA3BC7">
        <w:rPr>
          <w:rFonts w:ascii="Times New Roman" w:hAnsi="Times New Roman" w:hint="eastAsia"/>
          <w:b/>
          <w:bCs/>
          <w:sz w:val="20"/>
          <w:szCs w:val="20"/>
          <w:bdr w:val="single" w:sz="4" w:space="0" w:color="auto"/>
        </w:rPr>
        <w:t>明</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pp.20-22</w:t>
      </w:r>
      <w:r w:rsidR="00E43C20" w:rsidRPr="00DA3BC7">
        <w:rPr>
          <w:rFonts w:ascii="Times New Roman" w:hAnsi="Times New Roman" w:hint="eastAsia"/>
          <w:bCs/>
          <w:sz w:val="20"/>
          <w:szCs w:val="20"/>
        </w:rPr>
        <w:t>）</w:t>
      </w:r>
    </w:p>
    <w:p w:rsidR="00E43C20" w:rsidRPr="00DA3BC7" w:rsidRDefault="008E2BBC" w:rsidP="0022377A">
      <w:pPr>
        <w:ind w:leftChars="200" w:left="480"/>
        <w:jc w:val="both"/>
        <w:rPr>
          <w:rFonts w:ascii="Times New Roman" w:hAnsi="Times New Roman"/>
        </w:rPr>
      </w:pPr>
      <w:r w:rsidRPr="008E2BBC">
        <w:rPr>
          <w:rFonts w:ascii="Times New Roman" w:hAnsi="Times New Roman" w:hint="eastAsia"/>
          <w:b/>
          <w:bCs/>
          <w:color w:val="FF0000"/>
          <w:sz w:val="20"/>
          <w:szCs w:val="20"/>
          <w:highlight w:val="yellow"/>
          <w:bdr w:val="single" w:sz="4" w:space="0" w:color="auto"/>
        </w:rPr>
        <w:t>1</w:t>
      </w:r>
      <w:r w:rsidRPr="008E2BBC">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總說</w:t>
      </w:r>
      <w:r w:rsidR="00E43C20" w:rsidRPr="00DA3BC7">
        <w:rPr>
          <w:rFonts w:ascii="Times New Roman" w:hAnsi="Times New Roman"/>
          <w:bCs/>
          <w:vertAlign w:val="superscript"/>
        </w:rPr>
        <w:footnoteReference w:id="149"/>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p.20</w:t>
      </w:r>
      <w:r w:rsidR="00E43C20" w:rsidRPr="00DA3BC7">
        <w:rPr>
          <w:rFonts w:ascii="Times New Roman" w:hAnsi="Times New Roman" w:hint="eastAsia"/>
          <w:bCs/>
          <w:sz w:val="20"/>
          <w:szCs w:val="20"/>
        </w:rPr>
        <w:t>）</w:t>
      </w:r>
    </w:p>
    <w:p w:rsidR="00E43C20" w:rsidRPr="00DA3BC7" w:rsidRDefault="00E43C20" w:rsidP="00033F40">
      <w:pPr>
        <w:ind w:leftChars="200" w:left="960" w:hangingChars="200" w:hanging="480"/>
        <w:jc w:val="both"/>
        <w:rPr>
          <w:rFonts w:ascii="Times New Roman" w:hAnsi="Times New Roman"/>
        </w:rPr>
      </w:pPr>
      <w:r w:rsidRPr="00DA3BC7">
        <w:rPr>
          <w:rFonts w:ascii="Times New Roman" w:hAnsi="Times New Roman"/>
        </w:rPr>
        <w:t>二、從《中論》的內容去看，也明白《中論》是以《阿含經》的教義為對象，參考古典的阿毘曇，破斥一般學者的解說，顯出瞿曇緣起的中道真義。</w:t>
      </w:r>
    </w:p>
    <w:p w:rsidR="00E43C20" w:rsidRPr="00DA3BC7" w:rsidRDefault="008E2BBC" w:rsidP="00AE3920">
      <w:pPr>
        <w:spacing w:beforeLines="30"/>
        <w:ind w:leftChars="200" w:left="480"/>
        <w:jc w:val="both"/>
        <w:rPr>
          <w:rFonts w:ascii="Times New Roman" w:hAnsi="Times New Roman"/>
          <w:b/>
          <w:bCs/>
          <w:sz w:val="20"/>
          <w:szCs w:val="20"/>
          <w:bdr w:val="single" w:sz="4" w:space="0" w:color="auto"/>
        </w:rPr>
      </w:pPr>
      <w:r>
        <w:rPr>
          <w:rFonts w:ascii="Times New Roman" w:hAnsi="Times New Roman" w:hint="eastAsia"/>
          <w:b/>
          <w:bCs/>
          <w:color w:val="FF0000"/>
          <w:sz w:val="20"/>
          <w:szCs w:val="20"/>
          <w:highlight w:val="yellow"/>
          <w:bdr w:val="single" w:sz="4" w:space="0" w:color="auto"/>
        </w:rPr>
        <w:t>2</w:t>
      </w:r>
      <w:r>
        <w:rPr>
          <w:rFonts w:ascii="Times New Roman" w:hAnsi="Times New Roman" w:hint="eastAsia"/>
          <w:b/>
          <w:bCs/>
          <w:color w:val="FF0000"/>
          <w:sz w:val="20"/>
          <w:szCs w:val="20"/>
          <w:highlight w:val="yellow"/>
          <w:bdr w:val="single" w:sz="4" w:space="0" w:color="auto"/>
        </w:rPr>
        <w:t>、別辨</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pp.20-22</w:t>
      </w:r>
      <w:r w:rsidR="00E43C20" w:rsidRPr="00DA3BC7">
        <w:rPr>
          <w:rFonts w:ascii="Times New Roman" w:hAnsi="Times New Roman" w:hint="eastAsia"/>
          <w:bCs/>
          <w:sz w:val="20"/>
          <w:szCs w:val="20"/>
        </w:rPr>
        <w:t>）</w:t>
      </w:r>
    </w:p>
    <w:p w:rsidR="001968AB" w:rsidRPr="00DA3BC7" w:rsidRDefault="00E43C20" w:rsidP="00033F40">
      <w:pPr>
        <w:ind w:leftChars="200" w:left="480"/>
        <w:jc w:val="both"/>
        <w:rPr>
          <w:rFonts w:ascii="Times New Roman" w:hAnsi="Times New Roman"/>
        </w:rPr>
      </w:pPr>
      <w:r w:rsidRPr="00DA3BC7">
        <w:rPr>
          <w:rFonts w:ascii="Times New Roman" w:hAnsi="Times New Roman"/>
        </w:rPr>
        <w:t>這不妨略為分析：</w:t>
      </w:r>
    </w:p>
    <w:p w:rsidR="00E43C20" w:rsidRPr="00DA3BC7" w:rsidRDefault="008E2BBC" w:rsidP="00AE3920">
      <w:pPr>
        <w:spacing w:beforeLines="30"/>
        <w:ind w:leftChars="250" w:left="600"/>
        <w:jc w:val="both"/>
        <w:rPr>
          <w:rFonts w:ascii="Times New Roman" w:hAnsi="Times New Roman"/>
          <w:b/>
          <w:bCs/>
          <w:sz w:val="20"/>
          <w:szCs w:val="20"/>
          <w:bdr w:val="single" w:sz="4" w:space="0" w:color="auto"/>
        </w:rPr>
      </w:pPr>
      <w:r w:rsidRPr="003A625B">
        <w:rPr>
          <w:rFonts w:ascii="Times New Roman" w:hAnsi="Times New Roman" w:hint="eastAsia"/>
          <w:b/>
          <w:bCs/>
          <w:color w:val="FF0000"/>
          <w:sz w:val="20"/>
          <w:szCs w:val="20"/>
          <w:highlight w:val="yellow"/>
          <w:bdr w:val="single" w:sz="4" w:space="0" w:color="auto"/>
        </w:rPr>
        <w:lastRenderedPageBreak/>
        <w:t>（</w:t>
      </w:r>
      <w:r>
        <w:rPr>
          <w:rFonts w:ascii="Times New Roman" w:hAnsi="Times New Roman" w:hint="eastAsia"/>
          <w:b/>
          <w:bCs/>
          <w:color w:val="FF0000"/>
          <w:sz w:val="20"/>
          <w:szCs w:val="20"/>
          <w:highlight w:val="yellow"/>
          <w:bdr w:val="single" w:sz="4" w:space="0" w:color="auto"/>
        </w:rPr>
        <w:t>1</w:t>
      </w:r>
      <w:r w:rsidRPr="003A625B">
        <w:rPr>
          <w:rFonts w:ascii="Times New Roman" w:hAnsi="Times New Roman" w:hint="eastAsia"/>
          <w:b/>
          <w:bCs/>
          <w:color w:val="FF0000"/>
          <w:sz w:val="20"/>
          <w:szCs w:val="20"/>
          <w:highlight w:val="yellow"/>
          <w:bdr w:val="single" w:sz="4" w:space="0" w:color="auto"/>
        </w:rPr>
        <w:t>）</w:t>
      </w:r>
      <w:r w:rsidR="00E43C20" w:rsidRPr="00DA3BC7">
        <w:rPr>
          <w:rFonts w:ascii="Times New Roman" w:hAnsi="Times New Roman" w:hint="eastAsia"/>
          <w:b/>
          <w:bCs/>
          <w:sz w:val="20"/>
          <w:szCs w:val="20"/>
          <w:bdr w:val="single" w:sz="4" w:space="0" w:color="auto"/>
        </w:rPr>
        <w:t>初</w:t>
      </w:r>
      <w:r w:rsidR="00E43C20" w:rsidRPr="00DA3BC7">
        <w:rPr>
          <w:rFonts w:ascii="Times New Roman" w:hAnsi="Times New Roman"/>
          <w:b/>
          <w:bCs/>
          <w:sz w:val="20"/>
          <w:szCs w:val="20"/>
          <w:bdr w:val="single" w:sz="4" w:space="0" w:color="auto"/>
        </w:rPr>
        <w:t>二品：總觀八不的始終</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p.20</w:t>
      </w:r>
      <w:r w:rsidR="00E43C20" w:rsidRPr="00DA3BC7">
        <w:rPr>
          <w:rFonts w:ascii="Times New Roman" w:hAnsi="Times New Roman" w:hint="eastAsia"/>
          <w:bCs/>
          <w:sz w:val="20"/>
          <w:szCs w:val="20"/>
        </w:rPr>
        <w:t>）</w:t>
      </w:r>
    </w:p>
    <w:p w:rsidR="008E2BBC" w:rsidRDefault="00E43C20" w:rsidP="00033F40">
      <w:pPr>
        <w:ind w:leftChars="250" w:left="600"/>
        <w:jc w:val="both"/>
        <w:rPr>
          <w:rFonts w:ascii="Times New Roman" w:hAnsi="Times New Roman"/>
        </w:rPr>
      </w:pPr>
      <w:r w:rsidRPr="00DA3BC7">
        <w:rPr>
          <w:rFonts w:ascii="Times New Roman" w:hAnsi="Times New Roman"/>
        </w:rPr>
        <w:t>〈</w:t>
      </w:r>
      <w:r w:rsidRPr="00DA76AC">
        <w:rPr>
          <w:rFonts w:ascii="Times New Roman" w:hAnsi="Times New Roman"/>
          <w:shd w:val="pct15" w:color="auto" w:fill="FFFFFF"/>
        </w:rPr>
        <w:t>1</w:t>
      </w:r>
      <w:r w:rsidR="00B5073E" w:rsidRPr="00DA3BC7">
        <w:rPr>
          <w:rFonts w:ascii="Times New Roman" w:hAnsi="Times New Roman"/>
        </w:rPr>
        <w:t xml:space="preserve"> </w:t>
      </w:r>
      <w:r w:rsidRPr="00DA3BC7">
        <w:rPr>
          <w:rFonts w:ascii="Times New Roman" w:hAnsi="Times New Roman"/>
        </w:rPr>
        <w:t>觀因緣品〉，觀「緣生」的不生（滅）。</w:t>
      </w:r>
    </w:p>
    <w:p w:rsidR="008E2BBC" w:rsidRDefault="00E43C20" w:rsidP="00033F40">
      <w:pPr>
        <w:ind w:leftChars="250" w:left="600"/>
        <w:jc w:val="both"/>
        <w:rPr>
          <w:rFonts w:ascii="Times New Roman" w:hAnsi="Times New Roman"/>
        </w:rPr>
      </w:pPr>
      <w:r w:rsidRPr="00DA3BC7">
        <w:rPr>
          <w:rFonts w:ascii="Times New Roman" w:hAnsi="Times New Roman"/>
        </w:rPr>
        <w:t>〈</w:t>
      </w:r>
      <w:r w:rsidRPr="00DA76AC">
        <w:rPr>
          <w:rFonts w:ascii="Times New Roman" w:hAnsi="Times New Roman"/>
          <w:shd w:val="pct15" w:color="auto" w:fill="FFFFFF"/>
        </w:rPr>
        <w:t>2</w:t>
      </w:r>
      <w:r w:rsidR="0006238F" w:rsidRPr="00DA3BC7">
        <w:rPr>
          <w:rFonts w:ascii="Times New Roman" w:hAnsi="Times New Roman"/>
        </w:rPr>
        <w:t xml:space="preserve"> </w:t>
      </w:r>
      <w:r w:rsidRPr="00DA3BC7">
        <w:rPr>
          <w:rFonts w:ascii="Times New Roman" w:hAnsi="Times New Roman"/>
        </w:rPr>
        <w:t>觀去來品〉，觀此諸行的「</w:t>
      </w:r>
      <w:r w:rsidRPr="00DA3BC7">
        <w:rPr>
          <w:rFonts w:ascii="Times New Roman" w:eastAsia="標楷體" w:hAnsi="Times New Roman"/>
        </w:rPr>
        <w:t>生無所從來，滅亦無所至</w:t>
      </w:r>
      <w:r w:rsidRPr="00DA3BC7">
        <w:rPr>
          <w:rFonts w:ascii="Times New Roman" w:hAnsi="Times New Roman"/>
        </w:rPr>
        <w:t>」。</w:t>
      </w:r>
    </w:p>
    <w:p w:rsidR="00E43C20" w:rsidRPr="00DA3BC7" w:rsidRDefault="00E43C20" w:rsidP="00033F40">
      <w:pPr>
        <w:ind w:leftChars="250" w:left="600"/>
        <w:jc w:val="both"/>
        <w:rPr>
          <w:rFonts w:ascii="Times New Roman" w:hAnsi="Times New Roman"/>
        </w:rPr>
      </w:pPr>
      <w:r w:rsidRPr="00DA3BC7">
        <w:rPr>
          <w:rFonts w:ascii="Times New Roman" w:hAnsi="Times New Roman"/>
        </w:rPr>
        <w:t>此二品，總觀八不的始終</w:t>
      </w:r>
      <w:r w:rsidRPr="00DA3BC7">
        <w:rPr>
          <w:rFonts w:ascii="Times New Roman" w:hAnsi="Times New Roman" w:hint="eastAsia"/>
        </w:rPr>
        <w:t>──</w:t>
      </w:r>
      <w:r w:rsidRPr="00DA3BC7">
        <w:rPr>
          <w:rFonts w:ascii="Times New Roman" w:hAnsi="Times New Roman"/>
        </w:rPr>
        <w:t>「不生」與「不去」。</w:t>
      </w:r>
    </w:p>
    <w:p w:rsidR="00E43C20" w:rsidRPr="00DA3BC7" w:rsidRDefault="008E2BBC" w:rsidP="00AE3920">
      <w:pPr>
        <w:spacing w:beforeLines="30"/>
        <w:ind w:leftChars="250" w:left="600"/>
        <w:jc w:val="both"/>
        <w:rPr>
          <w:rFonts w:ascii="Times New Roman" w:hAnsi="Times New Roman"/>
          <w:b/>
          <w:bdr w:val="single" w:sz="4" w:space="0" w:color="auto"/>
        </w:rPr>
      </w:pPr>
      <w:r w:rsidRPr="003A625B">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2</w:t>
      </w:r>
      <w:r w:rsidRPr="003A625B">
        <w:rPr>
          <w:rFonts w:ascii="Times New Roman" w:hAnsi="Times New Roman" w:hint="eastAsia"/>
          <w:b/>
          <w:bCs/>
          <w:color w:val="FF0000"/>
          <w:sz w:val="20"/>
          <w:szCs w:val="20"/>
          <w:highlight w:val="yellow"/>
          <w:bdr w:val="single" w:sz="4" w:space="0" w:color="auto"/>
        </w:rPr>
        <w:t>）</w:t>
      </w:r>
      <w:r w:rsidR="00E43C20" w:rsidRPr="00DA3BC7">
        <w:rPr>
          <w:rFonts w:ascii="Times New Roman" w:hAnsi="Times New Roman"/>
          <w:b/>
          <w:bCs/>
          <w:sz w:val="20"/>
          <w:szCs w:val="20"/>
          <w:bdr w:val="single" w:sz="4" w:space="0" w:color="auto"/>
        </w:rPr>
        <w:t>第</w:t>
      </w:r>
      <w:r w:rsidR="00E43C20" w:rsidRPr="00DA3BC7">
        <w:rPr>
          <w:rFonts w:ascii="Times New Roman" w:hAnsi="Times New Roman"/>
          <w:b/>
          <w:bCs/>
          <w:sz w:val="20"/>
          <w:szCs w:val="20"/>
          <w:bdr w:val="single" w:sz="4" w:space="0" w:color="auto"/>
        </w:rPr>
        <w:t>3</w:t>
      </w:r>
      <w:r w:rsidR="00E43C20" w:rsidRPr="00DA3BC7">
        <w:rPr>
          <w:rFonts w:ascii="Times New Roman" w:hAnsi="Times New Roman"/>
          <w:b/>
          <w:bCs/>
          <w:sz w:val="20"/>
          <w:szCs w:val="20"/>
          <w:bdr w:val="single" w:sz="4" w:space="0" w:color="auto"/>
        </w:rPr>
        <w:t>品～第</w:t>
      </w:r>
      <w:r w:rsidR="00E43C20" w:rsidRPr="00DA3BC7">
        <w:rPr>
          <w:rFonts w:ascii="Times New Roman" w:hAnsi="Times New Roman"/>
          <w:b/>
          <w:bCs/>
          <w:sz w:val="20"/>
          <w:szCs w:val="20"/>
          <w:bdr w:val="single" w:sz="4" w:space="0" w:color="auto"/>
        </w:rPr>
        <w:t>27</w:t>
      </w:r>
      <w:r w:rsidR="00E43C20" w:rsidRPr="00DA3BC7">
        <w:rPr>
          <w:rFonts w:ascii="Times New Roman" w:hAnsi="Times New Roman"/>
          <w:b/>
          <w:bCs/>
          <w:sz w:val="20"/>
          <w:szCs w:val="20"/>
          <w:bdr w:val="single" w:sz="4" w:space="0" w:color="auto"/>
        </w:rPr>
        <w:t>品：別觀四諦</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pp.20-22</w:t>
      </w:r>
      <w:r w:rsidR="00E43C20" w:rsidRPr="00DA3BC7">
        <w:rPr>
          <w:rFonts w:ascii="Times New Roman" w:hAnsi="Times New Roman" w:hint="eastAsia"/>
          <w:bCs/>
          <w:sz w:val="20"/>
          <w:szCs w:val="20"/>
        </w:rPr>
        <w:t>）</w:t>
      </w:r>
    </w:p>
    <w:p w:rsidR="00E43C20" w:rsidRPr="00DA3BC7" w:rsidRDefault="00E43C20" w:rsidP="00033F40">
      <w:pPr>
        <w:ind w:leftChars="250" w:left="600"/>
        <w:jc w:val="both"/>
        <w:rPr>
          <w:rFonts w:ascii="Times New Roman" w:hAnsi="Times New Roman"/>
        </w:rPr>
      </w:pPr>
      <w:r w:rsidRPr="00DA3BC7">
        <w:rPr>
          <w:rFonts w:ascii="Times New Roman" w:hAnsi="Times New Roman"/>
        </w:rPr>
        <w:t>此下別觀四諦。</w:t>
      </w:r>
    </w:p>
    <w:p w:rsidR="00E43C20" w:rsidRPr="00DA3BC7" w:rsidRDefault="008E2BBC" w:rsidP="00AE3920">
      <w:pPr>
        <w:spacing w:beforeLines="30"/>
        <w:ind w:leftChars="300" w:left="720"/>
        <w:jc w:val="both"/>
        <w:rPr>
          <w:rFonts w:ascii="Times New Roman" w:hAnsi="Times New Roman"/>
          <w:b/>
          <w:bCs/>
          <w:sz w:val="20"/>
          <w:szCs w:val="20"/>
          <w:bdr w:val="single" w:sz="4" w:space="0" w:color="auto"/>
        </w:rPr>
      </w:pPr>
      <w:r w:rsidRPr="008E2BBC">
        <w:rPr>
          <w:rFonts w:ascii="Times New Roman" w:hAnsi="Times New Roman" w:hint="eastAsia"/>
          <w:b/>
          <w:bCs/>
          <w:color w:val="FF0000"/>
          <w:sz w:val="20"/>
          <w:szCs w:val="20"/>
          <w:highlight w:val="yellow"/>
          <w:bdr w:val="single" w:sz="4" w:space="0" w:color="auto"/>
        </w:rPr>
        <w:t>A</w:t>
      </w:r>
      <w:r w:rsidRPr="008E2BBC">
        <w:rPr>
          <w:rFonts w:ascii="Times New Roman" w:hAnsi="Times New Roman" w:hint="eastAsia"/>
          <w:b/>
          <w:bCs/>
          <w:color w:val="FF0000"/>
          <w:sz w:val="20"/>
          <w:szCs w:val="20"/>
          <w:highlight w:val="yellow"/>
          <w:bdr w:val="single" w:sz="4" w:space="0" w:color="auto"/>
        </w:rPr>
        <w:t>、</w:t>
      </w:r>
      <w:r w:rsidR="00E43C20" w:rsidRPr="00DA3BC7">
        <w:rPr>
          <w:rFonts w:ascii="Times New Roman" w:hAnsi="Times New Roman"/>
          <w:b/>
          <w:bCs/>
          <w:sz w:val="20"/>
          <w:szCs w:val="20"/>
          <w:bdr w:val="single" w:sz="4" w:space="0" w:color="auto"/>
        </w:rPr>
        <w:t>世間苦諦的中道：第</w:t>
      </w:r>
      <w:r w:rsidR="00E43C20" w:rsidRPr="00DA3BC7">
        <w:rPr>
          <w:rFonts w:ascii="Times New Roman" w:hAnsi="Times New Roman"/>
          <w:b/>
          <w:bCs/>
          <w:sz w:val="20"/>
          <w:szCs w:val="20"/>
          <w:bdr w:val="single" w:sz="4" w:space="0" w:color="auto"/>
        </w:rPr>
        <w:t>3</w:t>
      </w:r>
      <w:r w:rsidR="00E43C20" w:rsidRPr="00DA3BC7">
        <w:rPr>
          <w:rFonts w:ascii="Times New Roman" w:hAnsi="Times New Roman"/>
          <w:b/>
          <w:bCs/>
          <w:sz w:val="20"/>
          <w:szCs w:val="20"/>
          <w:bdr w:val="single" w:sz="4" w:space="0" w:color="auto"/>
        </w:rPr>
        <w:t>品～第</w:t>
      </w:r>
      <w:r w:rsidR="00E43C20" w:rsidRPr="00DA3BC7">
        <w:rPr>
          <w:rFonts w:ascii="Times New Roman" w:hAnsi="Times New Roman"/>
          <w:b/>
          <w:bCs/>
          <w:sz w:val="20"/>
          <w:szCs w:val="20"/>
          <w:bdr w:val="single" w:sz="4" w:space="0" w:color="auto"/>
        </w:rPr>
        <w:t>5</w:t>
      </w:r>
      <w:r w:rsidR="00E43C20" w:rsidRPr="00DA3BC7">
        <w:rPr>
          <w:rFonts w:ascii="Times New Roman" w:hAnsi="Times New Roman"/>
          <w:b/>
          <w:bCs/>
          <w:sz w:val="20"/>
          <w:szCs w:val="20"/>
          <w:bdr w:val="single" w:sz="4" w:space="0" w:color="auto"/>
        </w:rPr>
        <w:t>品</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p.20</w:t>
      </w:r>
      <w:r w:rsidR="00E43C20" w:rsidRPr="00DA3BC7">
        <w:rPr>
          <w:rFonts w:ascii="Times New Roman" w:hAnsi="Times New Roman" w:hint="eastAsia"/>
          <w:bCs/>
          <w:sz w:val="20"/>
          <w:szCs w:val="20"/>
        </w:rPr>
        <w:t>）</w:t>
      </w:r>
    </w:p>
    <w:p w:rsidR="008E2BBC" w:rsidRDefault="008E2BBC" w:rsidP="0022377A">
      <w:pPr>
        <w:ind w:leftChars="350" w:left="840"/>
        <w:jc w:val="both"/>
        <w:rPr>
          <w:rFonts w:ascii="Times New Roman" w:hAnsi="Times New Roman"/>
          <w:b/>
          <w:bCs/>
          <w:color w:val="FF0000"/>
          <w:sz w:val="20"/>
          <w:szCs w:val="20"/>
          <w:bdr w:val="single" w:sz="4" w:space="0" w:color="auto"/>
        </w:rPr>
      </w:pPr>
      <w:r w:rsidRPr="003A625B">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A</w:t>
      </w:r>
      <w:r w:rsidRPr="003A625B">
        <w:rPr>
          <w:rFonts w:ascii="Times New Roman" w:hAnsi="Times New Roman" w:hint="eastAsia"/>
          <w:b/>
          <w:bCs/>
          <w:color w:val="FF0000"/>
          <w:sz w:val="20"/>
          <w:szCs w:val="20"/>
          <w:highlight w:val="yellow"/>
          <w:bdr w:val="single" w:sz="4" w:space="0" w:color="auto"/>
        </w:rPr>
        <w:t>）</w:t>
      </w:r>
      <w:r w:rsidRPr="008E2BBC">
        <w:rPr>
          <w:rFonts w:ascii="Times New Roman" w:hAnsi="Times New Roman" w:hint="eastAsia"/>
          <w:b/>
          <w:bCs/>
          <w:color w:val="FF0000"/>
          <w:sz w:val="20"/>
          <w:szCs w:val="20"/>
          <w:highlight w:val="yellow"/>
          <w:bdr w:val="single" w:sz="4" w:space="0" w:color="auto"/>
        </w:rPr>
        <w:t>論究</w:t>
      </w:r>
      <w:r w:rsidRPr="00DA3BC7">
        <w:rPr>
          <w:rFonts w:ascii="Times New Roman" w:hAnsi="Times New Roman" w:hint="eastAsia"/>
          <w:bCs/>
          <w:sz w:val="20"/>
          <w:szCs w:val="20"/>
        </w:rPr>
        <w:t>（</w:t>
      </w:r>
      <w:r w:rsidRPr="00DA3BC7">
        <w:rPr>
          <w:rFonts w:ascii="Times New Roman" w:hAnsi="Times New Roman"/>
          <w:bCs/>
          <w:sz w:val="20"/>
          <w:szCs w:val="20"/>
        </w:rPr>
        <w:t>p.20</w:t>
      </w:r>
      <w:r w:rsidRPr="00DA3BC7">
        <w:rPr>
          <w:rFonts w:ascii="Times New Roman" w:hAnsi="Times New Roman" w:hint="eastAsia"/>
          <w:bCs/>
          <w:sz w:val="20"/>
          <w:szCs w:val="20"/>
        </w:rPr>
        <w:t>）</w:t>
      </w:r>
    </w:p>
    <w:p w:rsidR="00E43C20" w:rsidRPr="00DA3BC7" w:rsidRDefault="00E43C20" w:rsidP="00033F40">
      <w:pPr>
        <w:ind w:leftChars="350" w:left="840"/>
        <w:jc w:val="both"/>
        <w:rPr>
          <w:rFonts w:ascii="Times New Roman" w:hAnsi="Times New Roman"/>
        </w:rPr>
      </w:pPr>
      <w:r w:rsidRPr="00DA3BC7">
        <w:rPr>
          <w:rFonts w:ascii="Times New Roman" w:hAnsi="Times New Roman"/>
        </w:rPr>
        <w:t>〈</w:t>
      </w:r>
      <w:r w:rsidRPr="00DA76AC">
        <w:rPr>
          <w:rFonts w:ascii="Times New Roman" w:hAnsi="Times New Roman"/>
          <w:shd w:val="pct15" w:color="auto" w:fill="FFFFFF"/>
        </w:rPr>
        <w:t>3</w:t>
      </w:r>
      <w:r w:rsidR="00B5073E" w:rsidRPr="00DA3BC7">
        <w:rPr>
          <w:rFonts w:ascii="Times New Roman" w:hAnsi="Times New Roman"/>
        </w:rPr>
        <w:t xml:space="preserve"> </w:t>
      </w:r>
      <w:r w:rsidRPr="00DA3BC7">
        <w:rPr>
          <w:rFonts w:ascii="Times New Roman" w:hAnsi="Times New Roman"/>
        </w:rPr>
        <w:t>觀六情品〉、〈</w:t>
      </w:r>
      <w:r w:rsidRPr="00DA76AC">
        <w:rPr>
          <w:rFonts w:ascii="Times New Roman" w:hAnsi="Times New Roman"/>
          <w:shd w:val="pct15" w:color="auto" w:fill="FFFFFF"/>
        </w:rPr>
        <w:t>4</w:t>
      </w:r>
      <w:r w:rsidR="00B5073E" w:rsidRPr="00DA3BC7">
        <w:rPr>
          <w:rFonts w:ascii="Times New Roman" w:hAnsi="Times New Roman"/>
        </w:rPr>
        <w:t xml:space="preserve"> </w:t>
      </w:r>
      <w:r w:rsidRPr="00DA3BC7">
        <w:rPr>
          <w:rFonts w:ascii="Times New Roman" w:hAnsi="Times New Roman"/>
        </w:rPr>
        <w:t>觀五陰品〉、〈</w:t>
      </w:r>
      <w:r w:rsidRPr="00DA76AC">
        <w:rPr>
          <w:rFonts w:ascii="Times New Roman" w:hAnsi="Times New Roman"/>
          <w:shd w:val="pct15" w:color="auto" w:fill="FFFFFF"/>
        </w:rPr>
        <w:t>5</w:t>
      </w:r>
      <w:r w:rsidR="00B5073E" w:rsidRPr="00DA3BC7">
        <w:rPr>
          <w:rFonts w:ascii="Times New Roman" w:hAnsi="Times New Roman"/>
        </w:rPr>
        <w:t xml:space="preserve"> </w:t>
      </w:r>
      <w:r w:rsidRPr="00DA3BC7">
        <w:rPr>
          <w:rFonts w:ascii="Times New Roman" w:hAnsi="Times New Roman"/>
        </w:rPr>
        <w:t>觀六種品〉，即觀察六處、五蘊、六界的世間法。這三者的次第，依《中阿含經》卷</w:t>
      </w:r>
      <w:r w:rsidRPr="00DA3BC7">
        <w:rPr>
          <w:rFonts w:ascii="Times New Roman" w:hAnsi="Times New Roman"/>
        </w:rPr>
        <w:t>34</w:t>
      </w:r>
      <w:r w:rsidRPr="00DA3BC7">
        <w:rPr>
          <w:rFonts w:ascii="Times New Roman" w:hAnsi="Times New Roman"/>
        </w:rPr>
        <w:t>說。</w:t>
      </w:r>
      <w:r w:rsidR="006A170A" w:rsidRPr="00DA3BC7">
        <w:rPr>
          <w:rFonts w:ascii="Times New Roman" w:hAnsi="Times New Roman"/>
          <w:vertAlign w:val="superscript"/>
        </w:rPr>
        <w:footnoteReference w:id="150"/>
      </w:r>
      <w:r w:rsidRPr="00DA3BC7">
        <w:rPr>
          <w:rFonts w:ascii="Times New Roman" w:hAnsi="Times New Roman"/>
        </w:rPr>
        <w:t>古典的《舍利弗阿毘曇》</w:t>
      </w:r>
      <w:r w:rsidRPr="00DA3BC7">
        <w:rPr>
          <w:rStyle w:val="a6"/>
          <w:rFonts w:ascii="Times New Roman" w:hAnsi="Times New Roman"/>
        </w:rPr>
        <w:footnoteReference w:id="151"/>
      </w:r>
      <w:r w:rsidRPr="00DA3BC7">
        <w:rPr>
          <w:rFonts w:ascii="Times New Roman" w:hAnsi="Times New Roman"/>
        </w:rPr>
        <w:t>、《法蘊足論》</w:t>
      </w:r>
      <w:r w:rsidRPr="00DA3BC7">
        <w:rPr>
          <w:rStyle w:val="a6"/>
          <w:rFonts w:ascii="Times New Roman" w:hAnsi="Times New Roman"/>
        </w:rPr>
        <w:footnoteReference w:id="152"/>
      </w:r>
      <w:r w:rsidRPr="00DA3BC7">
        <w:rPr>
          <w:rFonts w:ascii="Times New Roman" w:hAnsi="Times New Roman"/>
        </w:rPr>
        <w:t>，也都與此相合。</w:t>
      </w:r>
    </w:p>
    <w:p w:rsidR="00E43C20" w:rsidRPr="00DA3BC7" w:rsidRDefault="00E43C20" w:rsidP="00AE3920">
      <w:pPr>
        <w:spacing w:beforeLines="20"/>
        <w:ind w:leftChars="350" w:left="840"/>
        <w:jc w:val="both"/>
        <w:rPr>
          <w:rFonts w:ascii="Times New Roman" w:hAnsi="Times New Roman"/>
        </w:rPr>
      </w:pPr>
      <w:r w:rsidRPr="00DA3BC7">
        <w:rPr>
          <w:rFonts w:ascii="Times New Roman" w:hAnsi="Times New Roman"/>
        </w:rPr>
        <w:t>〈觀六情品〉中說：「</w:t>
      </w:r>
      <w:r w:rsidRPr="00DA3BC7">
        <w:rPr>
          <w:rFonts w:ascii="Times New Roman" w:eastAsia="標楷體" w:hAnsi="Times New Roman"/>
        </w:rPr>
        <w:t>見可見無故，識等四法無；四取等諸緣，云何</w:t>
      </w:r>
      <w:r w:rsidRPr="00DA3BC7">
        <w:rPr>
          <w:rFonts w:ascii="Times New Roman" w:eastAsia="標楷體" w:hAnsi="Times New Roman" w:hint="eastAsia"/>
        </w:rPr>
        <w:t>當</w:t>
      </w:r>
      <w:r w:rsidRPr="00DA3BC7">
        <w:rPr>
          <w:rFonts w:ascii="Times New Roman" w:eastAsia="標楷體" w:hAnsi="Times New Roman"/>
        </w:rPr>
        <w:t>得有</w:t>
      </w:r>
      <w:r w:rsidRPr="00DA3BC7">
        <w:rPr>
          <w:rFonts w:ascii="Times New Roman" w:eastAsia="標楷體" w:hAnsi="Times New Roman" w:hint="eastAsia"/>
        </w:rPr>
        <w:t>？</w:t>
      </w:r>
      <w:r w:rsidRPr="00DA3BC7">
        <w:rPr>
          <w:rFonts w:ascii="Times New Roman" w:hAnsi="Times New Roman"/>
        </w:rPr>
        <w:t>」從內六處、外六處，引生六識、六觸、六受、六愛</w:t>
      </w:r>
      <w:r w:rsidRPr="00DA3BC7">
        <w:rPr>
          <w:rFonts w:ascii="新細明體" w:hAnsi="新細明體"/>
        </w:rPr>
        <w:t>──</w:t>
      </w:r>
      <w:r w:rsidRPr="00DA3BC7">
        <w:rPr>
          <w:rFonts w:ascii="Times New Roman" w:hAnsi="Times New Roman"/>
        </w:rPr>
        <w:t>六六法門，再說到四取等</w:t>
      </w:r>
      <w:r w:rsidRPr="00DA3BC7">
        <w:rPr>
          <w:rFonts w:ascii="Times New Roman" w:hAnsi="Times New Roman"/>
          <w:vertAlign w:val="superscript"/>
        </w:rPr>
        <w:footnoteReference w:id="153"/>
      </w:r>
      <w:r w:rsidRPr="00DA3BC7">
        <w:rPr>
          <w:rFonts w:ascii="Times New Roman" w:hAnsi="Times New Roman"/>
        </w:rPr>
        <w:t>，這是《雜阿含經》</w:t>
      </w:r>
      <w:r w:rsidR="007B7369">
        <w:rPr>
          <w:rFonts w:ascii="Times New Roman" w:hAnsi="Times New Roman" w:hint="eastAsia"/>
        </w:rPr>
        <w:t>「</w:t>
      </w:r>
      <w:r w:rsidR="007B7369" w:rsidRPr="00DA3BC7">
        <w:rPr>
          <w:rFonts w:ascii="Times New Roman" w:hAnsi="Times New Roman"/>
        </w:rPr>
        <w:t>六處誦</w:t>
      </w:r>
      <w:r w:rsidR="007B7369">
        <w:rPr>
          <w:rFonts w:ascii="Times New Roman" w:hAnsi="Times New Roman" w:hint="eastAsia"/>
        </w:rPr>
        <w:t>」</w:t>
      </w:r>
      <w:r w:rsidRPr="00DA3BC7">
        <w:rPr>
          <w:rFonts w:ascii="Times New Roman" w:hAnsi="Times New Roman"/>
        </w:rPr>
        <w:t>中常見的緣</w:t>
      </w:r>
      <w:r w:rsidRPr="00DA3BC7">
        <w:rPr>
          <w:rFonts w:ascii="Times New Roman" w:hAnsi="Times New Roman"/>
        </w:rPr>
        <w:lastRenderedPageBreak/>
        <w:t>起說</w:t>
      </w:r>
      <w:r w:rsidRPr="00DA3BC7">
        <w:rPr>
          <w:rFonts w:ascii="Times New Roman" w:hAnsi="Times New Roman"/>
          <w:vertAlign w:val="superscript"/>
        </w:rPr>
        <w:footnoteReference w:id="154"/>
      </w:r>
      <w:r w:rsidRPr="00DA3BC7">
        <w:rPr>
          <w:rFonts w:ascii="Times New Roman" w:hAnsi="Times New Roman"/>
        </w:rPr>
        <w:t>。</w:t>
      </w:r>
    </w:p>
    <w:p w:rsidR="008E2BBC" w:rsidRDefault="008E2BBC" w:rsidP="00AE3920">
      <w:pPr>
        <w:spacing w:beforeLines="30"/>
        <w:ind w:leftChars="350" w:left="840"/>
        <w:jc w:val="both"/>
        <w:rPr>
          <w:rFonts w:ascii="Times New Roman" w:hAnsi="Times New Roman"/>
          <w:b/>
          <w:bCs/>
          <w:color w:val="FF0000"/>
          <w:sz w:val="20"/>
          <w:szCs w:val="20"/>
          <w:bdr w:val="single" w:sz="4" w:space="0" w:color="auto"/>
        </w:rPr>
      </w:pPr>
      <w:r w:rsidRPr="0022377A">
        <w:rPr>
          <w:rFonts w:ascii="Times New Roman" w:hAnsi="Times New Roman" w:hint="eastAsia"/>
          <w:b/>
          <w:bCs/>
          <w:color w:val="FF0000"/>
          <w:sz w:val="20"/>
          <w:szCs w:val="20"/>
          <w:highlight w:val="yellow"/>
          <w:bdr w:val="single" w:sz="4" w:space="0" w:color="auto"/>
        </w:rPr>
        <w:t>（</w:t>
      </w:r>
      <w:r w:rsidRPr="0022377A">
        <w:rPr>
          <w:rFonts w:ascii="Times New Roman" w:hAnsi="Times New Roman" w:hint="eastAsia"/>
          <w:b/>
          <w:bCs/>
          <w:color w:val="FF0000"/>
          <w:sz w:val="20"/>
          <w:szCs w:val="20"/>
          <w:highlight w:val="yellow"/>
          <w:bdr w:val="single" w:sz="4" w:space="0" w:color="auto"/>
        </w:rPr>
        <w:t>B</w:t>
      </w:r>
      <w:r w:rsidRPr="0022377A">
        <w:rPr>
          <w:rFonts w:ascii="Times New Roman" w:hAnsi="Times New Roman" w:hint="eastAsia"/>
          <w:b/>
          <w:bCs/>
          <w:color w:val="FF0000"/>
          <w:sz w:val="20"/>
          <w:szCs w:val="20"/>
          <w:highlight w:val="yellow"/>
          <w:bdr w:val="single" w:sz="4" w:space="0" w:color="auto"/>
        </w:rPr>
        <w:t>）結成</w:t>
      </w:r>
      <w:r w:rsidRPr="00DA3BC7">
        <w:rPr>
          <w:rFonts w:ascii="Times New Roman" w:hAnsi="Times New Roman" w:hint="eastAsia"/>
          <w:bCs/>
          <w:sz w:val="20"/>
          <w:szCs w:val="20"/>
        </w:rPr>
        <w:t>（</w:t>
      </w:r>
      <w:r w:rsidRPr="00DA3BC7">
        <w:rPr>
          <w:rFonts w:ascii="Times New Roman" w:hAnsi="Times New Roman"/>
          <w:bCs/>
          <w:sz w:val="20"/>
          <w:szCs w:val="20"/>
        </w:rPr>
        <w:t>p.20</w:t>
      </w:r>
      <w:r w:rsidRPr="00DA3BC7">
        <w:rPr>
          <w:rFonts w:ascii="Times New Roman" w:hAnsi="Times New Roman" w:hint="eastAsia"/>
          <w:bCs/>
          <w:sz w:val="20"/>
          <w:szCs w:val="20"/>
        </w:rPr>
        <w:t>）</w:t>
      </w:r>
    </w:p>
    <w:p w:rsidR="00E43C20" w:rsidRPr="00DA3BC7" w:rsidRDefault="00E43C20" w:rsidP="00033F40">
      <w:pPr>
        <w:ind w:leftChars="350" w:left="840"/>
        <w:jc w:val="both"/>
        <w:rPr>
          <w:rFonts w:ascii="Times New Roman" w:hAnsi="Times New Roman"/>
          <w:b/>
        </w:rPr>
      </w:pPr>
      <w:r w:rsidRPr="00DA3BC7">
        <w:rPr>
          <w:rFonts w:ascii="Times New Roman" w:hAnsi="Times New Roman"/>
          <w:b/>
        </w:rPr>
        <w:t>這三品，論究世間</w:t>
      </w:r>
      <w:r w:rsidRPr="00DA3BC7">
        <w:rPr>
          <w:rFonts w:ascii="新細明體" w:hAnsi="新細明體"/>
          <w:b/>
        </w:rPr>
        <w:t>──</w:t>
      </w:r>
      <w:r w:rsidRPr="00DA3BC7">
        <w:rPr>
          <w:rFonts w:ascii="Times New Roman" w:hAnsi="Times New Roman"/>
          <w:b/>
        </w:rPr>
        <w:t>苦的中道。</w:t>
      </w:r>
    </w:p>
    <w:p w:rsidR="00E43C20" w:rsidRPr="00DA3BC7" w:rsidRDefault="008E2BBC" w:rsidP="00AE3920">
      <w:pPr>
        <w:spacing w:beforeLines="30"/>
        <w:ind w:leftChars="300" w:left="720"/>
        <w:jc w:val="both"/>
        <w:rPr>
          <w:rFonts w:ascii="Times New Roman" w:hAnsi="Times New Roman"/>
          <w:b/>
          <w:bCs/>
          <w:sz w:val="20"/>
          <w:szCs w:val="20"/>
          <w:bdr w:val="single" w:sz="4" w:space="0" w:color="auto"/>
        </w:rPr>
      </w:pPr>
      <w:r w:rsidRPr="008E2BBC">
        <w:rPr>
          <w:rFonts w:ascii="Times New Roman" w:hAnsi="Times New Roman" w:hint="eastAsia"/>
          <w:b/>
          <w:bCs/>
          <w:color w:val="FF0000"/>
          <w:sz w:val="20"/>
          <w:szCs w:val="20"/>
          <w:highlight w:val="yellow"/>
          <w:bdr w:val="single" w:sz="4" w:space="0" w:color="auto"/>
        </w:rPr>
        <w:t>B</w:t>
      </w:r>
      <w:r w:rsidRPr="008E2BBC">
        <w:rPr>
          <w:rFonts w:ascii="Times New Roman" w:hAnsi="Times New Roman" w:hint="eastAsia"/>
          <w:b/>
          <w:bCs/>
          <w:color w:val="FF0000"/>
          <w:sz w:val="20"/>
          <w:szCs w:val="20"/>
          <w:highlight w:val="yellow"/>
          <w:bdr w:val="single" w:sz="4" w:space="0" w:color="auto"/>
        </w:rPr>
        <w:t>、</w:t>
      </w:r>
      <w:r w:rsidR="00E43C20" w:rsidRPr="00DA3BC7">
        <w:rPr>
          <w:rFonts w:ascii="Times New Roman" w:hAnsi="Times New Roman"/>
          <w:b/>
          <w:bCs/>
          <w:sz w:val="20"/>
          <w:szCs w:val="20"/>
          <w:bdr w:val="single" w:sz="4" w:space="0" w:color="auto"/>
        </w:rPr>
        <w:t>世間集諦的中道：第</w:t>
      </w:r>
      <w:r w:rsidR="00E43C20" w:rsidRPr="00DA3BC7">
        <w:rPr>
          <w:rFonts w:ascii="Times New Roman" w:hAnsi="Times New Roman"/>
          <w:b/>
          <w:bCs/>
          <w:sz w:val="20"/>
          <w:szCs w:val="20"/>
          <w:bdr w:val="single" w:sz="4" w:space="0" w:color="auto"/>
        </w:rPr>
        <w:t>6</w:t>
      </w:r>
      <w:r w:rsidR="00E43C20" w:rsidRPr="00DA3BC7">
        <w:rPr>
          <w:rFonts w:ascii="Times New Roman" w:hAnsi="Times New Roman"/>
          <w:b/>
          <w:bCs/>
          <w:sz w:val="20"/>
          <w:szCs w:val="20"/>
          <w:bdr w:val="single" w:sz="4" w:space="0" w:color="auto"/>
        </w:rPr>
        <w:t>品～第</w:t>
      </w:r>
      <w:r w:rsidR="00E43C20" w:rsidRPr="00DA3BC7">
        <w:rPr>
          <w:rFonts w:ascii="Times New Roman" w:hAnsi="Times New Roman"/>
          <w:b/>
          <w:bCs/>
          <w:sz w:val="20"/>
          <w:szCs w:val="20"/>
          <w:bdr w:val="single" w:sz="4" w:space="0" w:color="auto"/>
        </w:rPr>
        <w:t>17</w:t>
      </w:r>
      <w:r w:rsidR="00E43C20" w:rsidRPr="00DA3BC7">
        <w:rPr>
          <w:rFonts w:ascii="Times New Roman" w:hAnsi="Times New Roman"/>
          <w:b/>
          <w:bCs/>
          <w:sz w:val="20"/>
          <w:szCs w:val="20"/>
          <w:bdr w:val="single" w:sz="4" w:space="0" w:color="auto"/>
        </w:rPr>
        <w:t>品</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pp.20-21</w:t>
      </w:r>
      <w:r w:rsidR="00E43C20" w:rsidRPr="00DA3BC7">
        <w:rPr>
          <w:rFonts w:ascii="Times New Roman" w:hAnsi="Times New Roman" w:hint="eastAsia"/>
          <w:bCs/>
          <w:sz w:val="20"/>
          <w:szCs w:val="20"/>
        </w:rPr>
        <w:t>）</w:t>
      </w:r>
    </w:p>
    <w:p w:rsidR="008E2BBC" w:rsidRDefault="008E2BBC" w:rsidP="0022377A">
      <w:pPr>
        <w:ind w:leftChars="350" w:left="840"/>
        <w:jc w:val="both"/>
        <w:rPr>
          <w:rFonts w:ascii="Times New Roman" w:hAnsi="Times New Roman"/>
          <w:b/>
          <w:bCs/>
          <w:color w:val="FF0000"/>
          <w:sz w:val="20"/>
          <w:szCs w:val="20"/>
          <w:bdr w:val="single" w:sz="4" w:space="0" w:color="auto" w:frame="1"/>
        </w:rPr>
      </w:pPr>
      <w:r>
        <w:rPr>
          <w:rFonts w:ascii="Times New Roman" w:hAnsi="Times New Roman" w:hint="eastAsia"/>
          <w:b/>
          <w:bCs/>
          <w:color w:val="FF0000"/>
          <w:sz w:val="20"/>
          <w:szCs w:val="20"/>
          <w:highlight w:val="yellow"/>
          <w:bdr w:val="single" w:sz="4" w:space="0" w:color="auto" w:frame="1"/>
        </w:rPr>
        <w:t>（</w:t>
      </w:r>
      <w:r>
        <w:rPr>
          <w:rFonts w:ascii="Times New Roman" w:hAnsi="Times New Roman"/>
          <w:b/>
          <w:bCs/>
          <w:color w:val="FF0000"/>
          <w:sz w:val="20"/>
          <w:szCs w:val="20"/>
          <w:highlight w:val="yellow"/>
          <w:bdr w:val="single" w:sz="4" w:space="0" w:color="auto" w:frame="1"/>
        </w:rPr>
        <w:t>A</w:t>
      </w:r>
      <w:r>
        <w:rPr>
          <w:rFonts w:ascii="Times New Roman" w:hAnsi="Times New Roman" w:hint="eastAsia"/>
          <w:b/>
          <w:bCs/>
          <w:color w:val="FF0000"/>
          <w:sz w:val="20"/>
          <w:szCs w:val="20"/>
          <w:highlight w:val="yellow"/>
          <w:bdr w:val="single" w:sz="4" w:space="0" w:color="auto" w:frame="1"/>
        </w:rPr>
        <w:t>）論究</w:t>
      </w:r>
      <w:r>
        <w:rPr>
          <w:rFonts w:ascii="Times New Roman" w:hAnsi="Times New Roman" w:hint="eastAsia"/>
          <w:bCs/>
          <w:sz w:val="20"/>
          <w:szCs w:val="20"/>
        </w:rPr>
        <w:t>（</w:t>
      </w:r>
      <w:r>
        <w:rPr>
          <w:rFonts w:ascii="Times New Roman" w:hAnsi="Times New Roman"/>
          <w:bCs/>
          <w:sz w:val="20"/>
          <w:szCs w:val="20"/>
        </w:rPr>
        <w:t>p.20</w:t>
      </w:r>
      <w:r>
        <w:rPr>
          <w:rFonts w:ascii="Times New Roman" w:hAnsi="Times New Roman" w:hint="eastAsia"/>
          <w:bCs/>
          <w:sz w:val="20"/>
          <w:szCs w:val="20"/>
        </w:rPr>
        <w:t>）</w:t>
      </w:r>
    </w:p>
    <w:p w:rsidR="008E2BBC" w:rsidRDefault="008E2BBC" w:rsidP="0022377A">
      <w:pPr>
        <w:ind w:leftChars="400" w:left="960"/>
        <w:jc w:val="both"/>
        <w:rPr>
          <w:rFonts w:ascii="Times New Roman" w:hAnsi="Times New Roman"/>
          <w:b/>
          <w:bCs/>
          <w:color w:val="FF0000"/>
          <w:sz w:val="20"/>
          <w:szCs w:val="20"/>
          <w:highlight w:val="yellow"/>
          <w:bdr w:val="single" w:sz="4" w:space="0" w:color="auto"/>
        </w:rPr>
      </w:pPr>
      <w:r w:rsidRPr="008E2BBC">
        <w:rPr>
          <w:rFonts w:ascii="Times New Roman" w:hAnsi="Times New Roman" w:hint="eastAsia"/>
          <w:b/>
          <w:bCs/>
          <w:color w:val="FF0000"/>
          <w:sz w:val="20"/>
          <w:szCs w:val="20"/>
          <w:highlight w:val="yellow"/>
          <w:bdr w:val="single" w:sz="4" w:space="0" w:color="auto"/>
        </w:rPr>
        <w:t>a</w:t>
      </w:r>
      <w:r w:rsidR="00E43C20" w:rsidRPr="008E2BBC">
        <w:rPr>
          <w:rFonts w:ascii="Times New Roman" w:hAnsi="Times New Roman"/>
          <w:b/>
          <w:bCs/>
          <w:color w:val="FF0000"/>
          <w:sz w:val="20"/>
          <w:szCs w:val="20"/>
          <w:highlight w:val="yellow"/>
          <w:bdr w:val="single" w:sz="4" w:space="0" w:color="auto"/>
        </w:rPr>
        <w:t>、</w:t>
      </w:r>
      <w:r w:rsidRPr="008E2BBC">
        <w:rPr>
          <w:rFonts w:ascii="Times New Roman" w:hAnsi="Times New Roman"/>
          <w:b/>
          <w:bCs/>
          <w:color w:val="FF0000"/>
          <w:sz w:val="20"/>
          <w:szCs w:val="20"/>
          <w:highlight w:val="yellow"/>
          <w:bdr w:val="single" w:sz="4" w:space="0" w:color="auto"/>
        </w:rPr>
        <w:t>第</w:t>
      </w:r>
      <w:r w:rsidRPr="008E2BBC">
        <w:rPr>
          <w:rFonts w:ascii="Times New Roman" w:hAnsi="Times New Roman"/>
          <w:b/>
          <w:bCs/>
          <w:color w:val="FF0000"/>
          <w:sz w:val="20"/>
          <w:szCs w:val="20"/>
          <w:highlight w:val="yellow"/>
          <w:bdr w:val="single" w:sz="4" w:space="0" w:color="auto"/>
        </w:rPr>
        <w:t>6</w:t>
      </w:r>
      <w:r w:rsidRPr="008E2BBC">
        <w:rPr>
          <w:rFonts w:ascii="Times New Roman" w:hAnsi="Times New Roman"/>
          <w:b/>
          <w:bCs/>
          <w:color w:val="FF0000"/>
          <w:sz w:val="20"/>
          <w:szCs w:val="20"/>
          <w:highlight w:val="yellow"/>
          <w:bdr w:val="single" w:sz="4" w:space="0" w:color="auto"/>
        </w:rPr>
        <w:t>品～第</w:t>
      </w:r>
      <w:r>
        <w:rPr>
          <w:rFonts w:ascii="Times New Roman" w:hAnsi="Times New Roman" w:hint="eastAsia"/>
          <w:b/>
          <w:bCs/>
          <w:color w:val="FF0000"/>
          <w:sz w:val="20"/>
          <w:szCs w:val="20"/>
          <w:highlight w:val="yellow"/>
          <w:bdr w:val="single" w:sz="4" w:space="0" w:color="auto"/>
        </w:rPr>
        <w:t>10</w:t>
      </w:r>
      <w:r w:rsidRPr="008E2BBC">
        <w:rPr>
          <w:rFonts w:ascii="Times New Roman" w:hAnsi="Times New Roman"/>
          <w:b/>
          <w:bCs/>
          <w:color w:val="FF0000"/>
          <w:sz w:val="20"/>
          <w:szCs w:val="20"/>
          <w:highlight w:val="yellow"/>
          <w:bdr w:val="single" w:sz="4" w:space="0" w:color="auto"/>
        </w:rPr>
        <w:t>品</w:t>
      </w:r>
    </w:p>
    <w:p w:rsidR="008E2BBC" w:rsidRDefault="008E2BBC" w:rsidP="0022377A">
      <w:pPr>
        <w:ind w:leftChars="450" w:left="1080"/>
        <w:jc w:val="both"/>
        <w:rPr>
          <w:rFonts w:ascii="Times New Roman" w:hAnsi="Times New Roman"/>
          <w:b/>
          <w:bCs/>
          <w:color w:val="FF0000"/>
          <w:sz w:val="20"/>
          <w:szCs w:val="20"/>
          <w:bdr w:val="single" w:sz="4" w:space="0" w:color="auto"/>
        </w:rPr>
      </w:pPr>
      <w:r w:rsidRPr="008E2BBC">
        <w:rPr>
          <w:rFonts w:ascii="Times New Roman" w:hAnsi="Times New Roman" w:hint="eastAsia"/>
          <w:b/>
          <w:bCs/>
          <w:color w:val="FF0000"/>
          <w:sz w:val="20"/>
          <w:szCs w:val="20"/>
          <w:highlight w:val="yellow"/>
          <w:bdr w:val="single" w:sz="4" w:space="0" w:color="auto"/>
        </w:rPr>
        <w:t>（</w:t>
      </w:r>
      <w:r w:rsidRPr="008E2BBC">
        <w:rPr>
          <w:rFonts w:ascii="Times New Roman" w:hAnsi="Times New Roman" w:hint="eastAsia"/>
          <w:b/>
          <w:bCs/>
          <w:color w:val="FF0000"/>
          <w:sz w:val="20"/>
          <w:szCs w:val="20"/>
          <w:highlight w:val="yellow"/>
          <w:bdr w:val="single" w:sz="4" w:space="0" w:color="auto"/>
        </w:rPr>
        <w:t>a</w:t>
      </w:r>
      <w:r w:rsidRPr="008E2BBC">
        <w:rPr>
          <w:rFonts w:ascii="Times New Roman" w:hAnsi="Times New Roman" w:hint="eastAsia"/>
          <w:b/>
          <w:bCs/>
          <w:color w:val="FF0000"/>
          <w:sz w:val="20"/>
          <w:szCs w:val="20"/>
          <w:highlight w:val="yellow"/>
          <w:bdr w:val="single" w:sz="4" w:space="0" w:color="auto"/>
        </w:rPr>
        <w:t>）</w:t>
      </w:r>
      <w:r w:rsidRPr="008E2BBC">
        <w:rPr>
          <w:rFonts w:ascii="Times New Roman" w:hAnsi="Times New Roman"/>
          <w:b/>
          <w:bCs/>
          <w:color w:val="FF0000"/>
          <w:sz w:val="20"/>
          <w:szCs w:val="20"/>
          <w:highlight w:val="yellow"/>
          <w:bdr w:val="single" w:sz="4" w:space="0" w:color="auto"/>
        </w:rPr>
        <w:t>第</w:t>
      </w:r>
      <w:r w:rsidRPr="008E2BBC">
        <w:rPr>
          <w:rFonts w:ascii="Times New Roman" w:hAnsi="Times New Roman"/>
          <w:b/>
          <w:bCs/>
          <w:color w:val="FF0000"/>
          <w:sz w:val="20"/>
          <w:szCs w:val="20"/>
          <w:highlight w:val="yellow"/>
          <w:bdr w:val="single" w:sz="4" w:space="0" w:color="auto"/>
        </w:rPr>
        <w:t>6</w:t>
      </w:r>
      <w:r w:rsidRPr="008E2BBC">
        <w:rPr>
          <w:rFonts w:ascii="Times New Roman" w:hAnsi="Times New Roman"/>
          <w:b/>
          <w:bCs/>
          <w:color w:val="FF0000"/>
          <w:sz w:val="20"/>
          <w:szCs w:val="20"/>
          <w:highlight w:val="yellow"/>
          <w:bdr w:val="single" w:sz="4" w:space="0" w:color="auto"/>
        </w:rPr>
        <w:t>品～第</w:t>
      </w:r>
      <w:r w:rsidRPr="008E2BBC">
        <w:rPr>
          <w:rFonts w:ascii="Times New Roman" w:hAnsi="Times New Roman" w:hint="eastAsia"/>
          <w:b/>
          <w:bCs/>
          <w:color w:val="FF0000"/>
          <w:sz w:val="20"/>
          <w:szCs w:val="20"/>
          <w:highlight w:val="yellow"/>
          <w:bdr w:val="single" w:sz="4" w:space="0" w:color="auto"/>
        </w:rPr>
        <w:t>7</w:t>
      </w:r>
      <w:r w:rsidRPr="008E2BBC">
        <w:rPr>
          <w:rFonts w:ascii="Times New Roman" w:hAnsi="Times New Roman"/>
          <w:b/>
          <w:bCs/>
          <w:color w:val="FF0000"/>
          <w:sz w:val="20"/>
          <w:szCs w:val="20"/>
          <w:highlight w:val="yellow"/>
          <w:bdr w:val="single" w:sz="4" w:space="0" w:color="auto"/>
        </w:rPr>
        <w:t>品</w:t>
      </w:r>
      <w:r w:rsidRPr="00DA3BC7">
        <w:rPr>
          <w:rFonts w:ascii="Times New Roman" w:hAnsi="Times New Roman" w:hint="eastAsia"/>
          <w:bCs/>
          <w:sz w:val="20"/>
          <w:szCs w:val="20"/>
        </w:rPr>
        <w:t>（</w:t>
      </w:r>
      <w:r w:rsidRPr="00DA3BC7">
        <w:rPr>
          <w:rFonts w:ascii="Times New Roman" w:hAnsi="Times New Roman"/>
          <w:bCs/>
          <w:sz w:val="20"/>
          <w:szCs w:val="20"/>
        </w:rPr>
        <w:t>p.20</w:t>
      </w:r>
      <w:r w:rsidRPr="00DA3BC7">
        <w:rPr>
          <w:rFonts w:ascii="Times New Roman" w:hAnsi="Times New Roman" w:hint="eastAsia"/>
          <w:bCs/>
          <w:sz w:val="20"/>
          <w:szCs w:val="20"/>
        </w:rPr>
        <w:t>）</w:t>
      </w:r>
    </w:p>
    <w:p w:rsidR="00E43C20" w:rsidRPr="00DA3BC7" w:rsidRDefault="00E43C20" w:rsidP="00033F40">
      <w:pPr>
        <w:ind w:leftChars="450" w:left="1080"/>
        <w:jc w:val="both"/>
        <w:rPr>
          <w:rFonts w:ascii="Times New Roman" w:hAnsi="Times New Roman"/>
        </w:rPr>
      </w:pPr>
      <w:r w:rsidRPr="00DA3BC7">
        <w:rPr>
          <w:rFonts w:ascii="Times New Roman" w:hAnsi="Times New Roman"/>
        </w:rPr>
        <w:t>〈</w:t>
      </w:r>
      <w:r w:rsidRPr="00DA76AC">
        <w:rPr>
          <w:rFonts w:ascii="Times New Roman" w:hAnsi="Times New Roman"/>
          <w:shd w:val="pct15" w:color="auto" w:fill="FFFFFF"/>
        </w:rPr>
        <w:t>6</w:t>
      </w:r>
      <w:r w:rsidR="004D138A" w:rsidRPr="00DA3BC7">
        <w:rPr>
          <w:rFonts w:ascii="Times New Roman" w:hAnsi="Times New Roman"/>
        </w:rPr>
        <w:t xml:space="preserve"> </w:t>
      </w:r>
      <w:r w:rsidRPr="00DA3BC7">
        <w:rPr>
          <w:rFonts w:ascii="Times New Roman" w:hAnsi="Times New Roman"/>
        </w:rPr>
        <w:t>觀染染者品〉，論煩惱的相應</w:t>
      </w:r>
      <w:r w:rsidRPr="00DA3BC7">
        <w:rPr>
          <w:rFonts w:ascii="Times New Roman" w:hAnsi="Times New Roman" w:hint="eastAsia"/>
        </w:rPr>
        <w:t>。</w:t>
      </w:r>
    </w:p>
    <w:p w:rsidR="00E43C20" w:rsidRPr="00DA3BC7" w:rsidRDefault="00E43C20" w:rsidP="00033F40">
      <w:pPr>
        <w:ind w:leftChars="450" w:left="1080"/>
        <w:jc w:val="both"/>
        <w:rPr>
          <w:rFonts w:ascii="Times New Roman" w:hAnsi="Times New Roman"/>
        </w:rPr>
      </w:pPr>
      <w:r w:rsidRPr="00DA3BC7">
        <w:rPr>
          <w:rFonts w:ascii="Times New Roman" w:hAnsi="Times New Roman"/>
        </w:rPr>
        <w:t>〈</w:t>
      </w:r>
      <w:r w:rsidRPr="00DA76AC">
        <w:rPr>
          <w:rFonts w:ascii="Times New Roman" w:hAnsi="Times New Roman"/>
          <w:shd w:val="pct15" w:color="auto" w:fill="FFFFFF"/>
        </w:rPr>
        <w:t>7</w:t>
      </w:r>
      <w:r w:rsidR="004D138A" w:rsidRPr="00DA3BC7">
        <w:rPr>
          <w:rFonts w:ascii="Times New Roman" w:hAnsi="Times New Roman"/>
        </w:rPr>
        <w:t xml:space="preserve"> </w:t>
      </w:r>
      <w:r w:rsidRPr="00DA3BC7">
        <w:rPr>
          <w:rFonts w:ascii="Times New Roman" w:hAnsi="Times New Roman"/>
        </w:rPr>
        <w:t>觀三相品〉，明有為</w:t>
      </w:r>
      <w:r w:rsidRPr="00DA3BC7">
        <w:rPr>
          <w:rFonts w:ascii="新細明體" w:hAnsi="新細明體"/>
        </w:rPr>
        <w:t>──</w:t>
      </w:r>
      <w:r w:rsidRPr="00DA3BC7">
        <w:rPr>
          <w:rFonts w:ascii="Times New Roman" w:hAnsi="Times New Roman"/>
        </w:rPr>
        <w:t>煩惱所為的生住滅三相。</w:t>
      </w:r>
    </w:p>
    <w:p w:rsidR="00E43C20" w:rsidRPr="00DA3BC7" w:rsidRDefault="00E43C20" w:rsidP="00033F40">
      <w:pPr>
        <w:ind w:leftChars="450" w:left="1080"/>
        <w:jc w:val="both"/>
        <w:rPr>
          <w:rFonts w:ascii="Times New Roman" w:hAnsi="Times New Roman"/>
        </w:rPr>
      </w:pPr>
      <w:r w:rsidRPr="00DA3BC7">
        <w:rPr>
          <w:rFonts w:ascii="Times New Roman" w:hAnsi="Times New Roman"/>
        </w:rPr>
        <w:t>在蘊、處、界以後，說明</w:t>
      </w:r>
      <w:r w:rsidRPr="00EA2DF7">
        <w:rPr>
          <w:rFonts w:ascii="Times New Roman" w:hAnsi="Times New Roman"/>
          <w:b/>
          <w:u w:val="wave" w:color="C00000"/>
        </w:rPr>
        <w:t>相應行</w:t>
      </w:r>
      <w:r w:rsidRPr="00DA3BC7">
        <w:rPr>
          <w:rFonts w:ascii="Times New Roman" w:hAnsi="Times New Roman"/>
        </w:rPr>
        <w:t>與</w:t>
      </w:r>
      <w:r w:rsidRPr="00EA2DF7">
        <w:rPr>
          <w:rFonts w:ascii="Times New Roman" w:hAnsi="Times New Roman"/>
          <w:b/>
          <w:u w:val="wave" w:color="C00000"/>
        </w:rPr>
        <w:t>不相應行</w:t>
      </w:r>
      <w:r w:rsidRPr="00DA3BC7">
        <w:rPr>
          <w:rFonts w:ascii="Times New Roman" w:hAnsi="Times New Roman"/>
        </w:rPr>
        <w:t>的三相，本於阿毘曇論的次第；如《阿毘曇心論》。</w:t>
      </w:r>
      <w:r w:rsidRPr="00DA3BC7">
        <w:rPr>
          <w:rStyle w:val="a6"/>
          <w:rFonts w:ascii="Times New Roman" w:hAnsi="Times New Roman"/>
        </w:rPr>
        <w:footnoteReference w:id="155"/>
      </w:r>
    </w:p>
    <w:p w:rsidR="00E43C20" w:rsidRPr="00DA3BC7" w:rsidRDefault="008E2BBC" w:rsidP="00AE3920">
      <w:pPr>
        <w:spacing w:beforeLines="30"/>
        <w:ind w:leftChars="450" w:left="1080"/>
        <w:jc w:val="both"/>
        <w:rPr>
          <w:rFonts w:ascii="Times New Roman" w:hAnsi="Times New Roman"/>
          <w:b/>
          <w:bdr w:val="single" w:sz="4" w:space="0" w:color="auto"/>
        </w:rPr>
      </w:pPr>
      <w:r w:rsidRPr="008E2BBC">
        <w:rPr>
          <w:rFonts w:ascii="Times New Roman" w:hAnsi="Times New Roman" w:hint="eastAsia"/>
          <w:b/>
          <w:bCs/>
          <w:color w:val="FF0000"/>
          <w:sz w:val="20"/>
          <w:szCs w:val="20"/>
          <w:highlight w:val="yellow"/>
          <w:bdr w:val="single" w:sz="4" w:space="0" w:color="auto"/>
        </w:rPr>
        <w:t>（</w:t>
      </w:r>
      <w:r w:rsidRPr="008E2BBC">
        <w:rPr>
          <w:rFonts w:ascii="Times New Roman" w:hAnsi="Times New Roman" w:hint="eastAsia"/>
          <w:b/>
          <w:bCs/>
          <w:color w:val="FF0000"/>
          <w:sz w:val="20"/>
          <w:szCs w:val="20"/>
          <w:highlight w:val="yellow"/>
          <w:bdr w:val="single" w:sz="4" w:space="0" w:color="auto"/>
        </w:rPr>
        <w:t>b</w:t>
      </w:r>
      <w:r w:rsidRPr="008E2BBC">
        <w:rPr>
          <w:rFonts w:ascii="Times New Roman" w:hAnsi="Times New Roman" w:hint="eastAsia"/>
          <w:b/>
          <w:bCs/>
          <w:color w:val="FF0000"/>
          <w:sz w:val="20"/>
          <w:szCs w:val="20"/>
          <w:highlight w:val="yellow"/>
          <w:bdr w:val="single" w:sz="4" w:space="0" w:color="auto"/>
        </w:rPr>
        <w:t>）</w:t>
      </w:r>
      <w:r w:rsidRPr="008E2BBC">
        <w:rPr>
          <w:rFonts w:ascii="Times New Roman" w:hAnsi="Times New Roman"/>
          <w:b/>
          <w:bCs/>
          <w:color w:val="FF0000"/>
          <w:sz w:val="20"/>
          <w:szCs w:val="20"/>
          <w:highlight w:val="yellow"/>
          <w:bdr w:val="single" w:sz="4" w:space="0" w:color="auto"/>
        </w:rPr>
        <w:t>第</w:t>
      </w:r>
      <w:r>
        <w:rPr>
          <w:rFonts w:ascii="Times New Roman" w:hAnsi="Times New Roman" w:hint="eastAsia"/>
          <w:b/>
          <w:bCs/>
          <w:color w:val="FF0000"/>
          <w:sz w:val="20"/>
          <w:szCs w:val="20"/>
          <w:highlight w:val="yellow"/>
          <w:bdr w:val="single" w:sz="4" w:space="0" w:color="auto"/>
        </w:rPr>
        <w:t>8</w:t>
      </w:r>
      <w:r w:rsidRPr="008E2BBC">
        <w:rPr>
          <w:rFonts w:ascii="Times New Roman" w:hAnsi="Times New Roman"/>
          <w:b/>
          <w:bCs/>
          <w:color w:val="FF0000"/>
          <w:sz w:val="20"/>
          <w:szCs w:val="20"/>
          <w:highlight w:val="yellow"/>
          <w:bdr w:val="single" w:sz="4" w:space="0" w:color="auto"/>
        </w:rPr>
        <w:t>品～第</w:t>
      </w:r>
      <w:r>
        <w:rPr>
          <w:rFonts w:ascii="Times New Roman" w:hAnsi="Times New Roman" w:hint="eastAsia"/>
          <w:b/>
          <w:bCs/>
          <w:color w:val="FF0000"/>
          <w:sz w:val="20"/>
          <w:szCs w:val="20"/>
          <w:highlight w:val="yellow"/>
          <w:bdr w:val="single" w:sz="4" w:space="0" w:color="auto"/>
        </w:rPr>
        <w:t>10</w:t>
      </w:r>
      <w:r w:rsidRPr="008E2BBC">
        <w:rPr>
          <w:rFonts w:ascii="Times New Roman" w:hAnsi="Times New Roman"/>
          <w:b/>
          <w:bCs/>
          <w:color w:val="FF0000"/>
          <w:sz w:val="20"/>
          <w:szCs w:val="20"/>
          <w:highlight w:val="yellow"/>
          <w:bdr w:val="single" w:sz="4" w:space="0" w:color="auto"/>
        </w:rPr>
        <w:t>品</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pp.20-21</w:t>
      </w:r>
      <w:r w:rsidR="00E43C20" w:rsidRPr="00DA3BC7">
        <w:rPr>
          <w:rFonts w:ascii="Times New Roman" w:hAnsi="Times New Roman" w:hint="eastAsia"/>
          <w:bCs/>
          <w:sz w:val="20"/>
          <w:szCs w:val="20"/>
        </w:rPr>
        <w:t>）</w:t>
      </w:r>
    </w:p>
    <w:p w:rsidR="00E43C20" w:rsidRPr="00DA3BC7" w:rsidRDefault="00E43C20" w:rsidP="00033F40">
      <w:pPr>
        <w:ind w:leftChars="450" w:left="1080"/>
        <w:jc w:val="both"/>
        <w:rPr>
          <w:rFonts w:ascii="Times New Roman" w:hAnsi="Times New Roman"/>
        </w:rPr>
      </w:pPr>
      <w:r w:rsidRPr="00DA3BC7">
        <w:rPr>
          <w:rFonts w:ascii="Times New Roman" w:hAnsi="Times New Roman"/>
        </w:rPr>
        <w:t>〈</w:t>
      </w:r>
      <w:r w:rsidRPr="00DA76AC">
        <w:rPr>
          <w:rFonts w:ascii="Times New Roman" w:hAnsi="Times New Roman"/>
          <w:shd w:val="pct15" w:color="auto" w:fill="FFFFFF"/>
        </w:rPr>
        <w:t>8</w:t>
      </w:r>
      <w:r w:rsidR="004D138A" w:rsidRPr="00DA3BC7">
        <w:rPr>
          <w:rFonts w:ascii="Times New Roman" w:hAnsi="Times New Roman"/>
        </w:rPr>
        <w:t xml:space="preserve"> </w:t>
      </w:r>
      <w:r w:rsidRPr="00DA3BC7">
        <w:rPr>
          <w:rFonts w:ascii="Times New Roman" w:hAnsi="Times New Roman"/>
        </w:rPr>
        <w:t>觀作作者品〉、〈</w:t>
      </w:r>
      <w:r w:rsidRPr="00DA76AC">
        <w:rPr>
          <w:rFonts w:ascii="Times New Roman" w:hAnsi="Times New Roman"/>
          <w:shd w:val="pct15" w:color="auto" w:fill="FFFFFF"/>
        </w:rPr>
        <w:t>9</w:t>
      </w:r>
      <w:r w:rsidR="004D138A" w:rsidRPr="00DA3BC7">
        <w:rPr>
          <w:rFonts w:ascii="Times New Roman" w:hAnsi="Times New Roman"/>
        </w:rPr>
        <w:t xml:space="preserve"> </w:t>
      </w:r>
      <w:r w:rsidRPr="00DA3BC7">
        <w:rPr>
          <w:rFonts w:ascii="Times New Roman" w:hAnsi="Times New Roman"/>
        </w:rPr>
        <w:t>觀本住品〉、〈</w:t>
      </w:r>
      <w:r w:rsidRPr="00DA76AC">
        <w:rPr>
          <w:rFonts w:ascii="Times New Roman" w:hAnsi="Times New Roman"/>
          <w:shd w:val="pct15" w:color="auto" w:fill="FFFFFF"/>
        </w:rPr>
        <w:t>10</w:t>
      </w:r>
      <w:r w:rsidR="004D138A" w:rsidRPr="00DA3BC7">
        <w:rPr>
          <w:rFonts w:ascii="Times New Roman" w:hAnsi="Times New Roman"/>
        </w:rPr>
        <w:t xml:space="preserve"> </w:t>
      </w:r>
      <w:r w:rsidRPr="00DA3BC7">
        <w:rPr>
          <w:rFonts w:ascii="Times New Roman" w:hAnsi="Times New Roman" w:hint="eastAsia"/>
        </w:rPr>
        <w:t>觀燃可燃品</w:t>
      </w:r>
      <w:r w:rsidRPr="00DA3BC7">
        <w:rPr>
          <w:rFonts w:ascii="Times New Roman" w:hAnsi="Times New Roman"/>
        </w:rPr>
        <w:t>〉，明作者、受者的不可得，這更是《阿含經》的根本論題了。</w:t>
      </w:r>
    </w:p>
    <w:p w:rsidR="008E2BBC" w:rsidRPr="00DA3BC7" w:rsidRDefault="008E2BBC" w:rsidP="00AE3920">
      <w:pPr>
        <w:spacing w:beforeLines="30"/>
        <w:ind w:leftChars="450" w:left="1080"/>
        <w:jc w:val="both"/>
        <w:rPr>
          <w:rFonts w:ascii="Times New Roman" w:hAnsi="Times New Roman"/>
          <w:b/>
          <w:bdr w:val="single" w:sz="4" w:space="0" w:color="auto"/>
        </w:rPr>
      </w:pPr>
      <w:r w:rsidRPr="008E2BBC">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c</w:t>
      </w:r>
      <w:r w:rsidRPr="008E2BBC">
        <w:rPr>
          <w:rFonts w:ascii="Times New Roman" w:hAnsi="Times New Roman" w:hint="eastAsia"/>
          <w:b/>
          <w:bCs/>
          <w:color w:val="FF0000"/>
          <w:sz w:val="20"/>
          <w:szCs w:val="20"/>
          <w:highlight w:val="yellow"/>
          <w:bdr w:val="single" w:sz="4" w:space="0" w:color="auto"/>
        </w:rPr>
        <w:t>）略結</w:t>
      </w:r>
      <w:r w:rsidRPr="00DA3BC7">
        <w:rPr>
          <w:rFonts w:ascii="Times New Roman" w:hAnsi="Times New Roman" w:hint="eastAsia"/>
          <w:bCs/>
          <w:sz w:val="20"/>
          <w:szCs w:val="20"/>
        </w:rPr>
        <w:t>（</w:t>
      </w:r>
      <w:r w:rsidRPr="00DA3BC7">
        <w:rPr>
          <w:rFonts w:ascii="Times New Roman" w:hAnsi="Times New Roman"/>
          <w:bCs/>
          <w:sz w:val="20"/>
          <w:szCs w:val="20"/>
        </w:rPr>
        <w:t>p.21</w:t>
      </w:r>
      <w:r w:rsidRPr="00DA3BC7">
        <w:rPr>
          <w:rFonts w:ascii="Times New Roman" w:hAnsi="Times New Roman" w:hint="eastAsia"/>
          <w:bCs/>
          <w:sz w:val="20"/>
          <w:szCs w:val="20"/>
        </w:rPr>
        <w:t>）</w:t>
      </w:r>
    </w:p>
    <w:p w:rsidR="00E43C20" w:rsidRPr="00DA3BC7" w:rsidRDefault="00E43C20" w:rsidP="00033F40">
      <w:pPr>
        <w:ind w:leftChars="450" w:left="1080"/>
        <w:jc w:val="both"/>
        <w:rPr>
          <w:rFonts w:ascii="Times New Roman" w:hAnsi="Times New Roman"/>
          <w:b/>
        </w:rPr>
      </w:pPr>
      <w:r w:rsidRPr="00DA3BC7">
        <w:rPr>
          <w:rFonts w:ascii="Times New Roman" w:hAnsi="Times New Roman" w:hint="eastAsia"/>
          <w:b/>
        </w:rPr>
        <w:t>與上二品合起來，即是論究惑招有為，與作即受果的道理。</w:t>
      </w:r>
    </w:p>
    <w:p w:rsidR="008E2BBC" w:rsidRDefault="008E2BBC" w:rsidP="00AE3920">
      <w:pPr>
        <w:spacing w:beforeLines="30"/>
        <w:ind w:leftChars="400" w:left="960"/>
        <w:jc w:val="both"/>
        <w:rPr>
          <w:rFonts w:ascii="Times New Roman" w:hAnsi="Times New Roman"/>
          <w:b/>
          <w:bCs/>
          <w:color w:val="FF0000"/>
          <w:sz w:val="20"/>
          <w:szCs w:val="20"/>
          <w:bdr w:val="single" w:sz="4" w:space="0" w:color="auto"/>
        </w:rPr>
      </w:pPr>
      <w:r w:rsidRPr="008E2BBC">
        <w:rPr>
          <w:rFonts w:ascii="Times New Roman" w:hAnsi="Times New Roman" w:hint="eastAsia"/>
          <w:b/>
          <w:bCs/>
          <w:color w:val="FF0000"/>
          <w:sz w:val="20"/>
          <w:szCs w:val="20"/>
          <w:highlight w:val="yellow"/>
          <w:bdr w:val="single" w:sz="4" w:space="0" w:color="auto"/>
        </w:rPr>
        <w:t>b</w:t>
      </w:r>
      <w:r>
        <w:rPr>
          <w:rFonts w:ascii="Times New Roman" w:hAnsi="Times New Roman" w:hint="eastAsia"/>
          <w:b/>
          <w:bCs/>
          <w:color w:val="FF0000"/>
          <w:sz w:val="20"/>
          <w:szCs w:val="20"/>
          <w:highlight w:val="yellow"/>
          <w:bdr w:val="single" w:sz="4" w:space="0" w:color="auto"/>
        </w:rPr>
        <w:t>、</w:t>
      </w:r>
      <w:r w:rsidRPr="008E2BBC">
        <w:rPr>
          <w:rFonts w:ascii="Times New Roman" w:hAnsi="Times New Roman"/>
          <w:b/>
          <w:bCs/>
          <w:color w:val="FF0000"/>
          <w:sz w:val="20"/>
          <w:szCs w:val="20"/>
          <w:highlight w:val="yellow"/>
          <w:bdr w:val="single" w:sz="4" w:space="0" w:color="auto"/>
        </w:rPr>
        <w:t>第</w:t>
      </w:r>
      <w:r>
        <w:rPr>
          <w:rFonts w:ascii="Times New Roman" w:hAnsi="Times New Roman" w:hint="eastAsia"/>
          <w:b/>
          <w:bCs/>
          <w:color w:val="FF0000"/>
          <w:sz w:val="20"/>
          <w:szCs w:val="20"/>
          <w:highlight w:val="yellow"/>
          <w:bdr w:val="single" w:sz="4" w:space="0" w:color="auto"/>
        </w:rPr>
        <w:t>11</w:t>
      </w:r>
      <w:r w:rsidRPr="008E2BBC">
        <w:rPr>
          <w:rFonts w:ascii="Times New Roman" w:hAnsi="Times New Roman"/>
          <w:b/>
          <w:bCs/>
          <w:color w:val="FF0000"/>
          <w:sz w:val="20"/>
          <w:szCs w:val="20"/>
          <w:highlight w:val="yellow"/>
          <w:bdr w:val="single" w:sz="4" w:space="0" w:color="auto"/>
        </w:rPr>
        <w:t>品～第</w:t>
      </w:r>
      <w:r>
        <w:rPr>
          <w:rFonts w:ascii="Times New Roman" w:hAnsi="Times New Roman" w:hint="eastAsia"/>
          <w:b/>
          <w:bCs/>
          <w:color w:val="FF0000"/>
          <w:sz w:val="20"/>
          <w:szCs w:val="20"/>
          <w:highlight w:val="yellow"/>
          <w:bdr w:val="single" w:sz="4" w:space="0" w:color="auto"/>
        </w:rPr>
        <w:t>1</w:t>
      </w:r>
      <w:r w:rsidRPr="008E2BBC">
        <w:rPr>
          <w:rFonts w:ascii="Times New Roman" w:hAnsi="Times New Roman" w:hint="eastAsia"/>
          <w:b/>
          <w:bCs/>
          <w:color w:val="FF0000"/>
          <w:sz w:val="20"/>
          <w:szCs w:val="20"/>
          <w:highlight w:val="yellow"/>
          <w:bdr w:val="single" w:sz="4" w:space="0" w:color="auto"/>
        </w:rPr>
        <w:t>7</w:t>
      </w:r>
      <w:r w:rsidRPr="008E2BBC">
        <w:rPr>
          <w:rFonts w:ascii="Times New Roman" w:hAnsi="Times New Roman"/>
          <w:b/>
          <w:bCs/>
          <w:color w:val="FF0000"/>
          <w:sz w:val="20"/>
          <w:szCs w:val="20"/>
          <w:highlight w:val="yellow"/>
          <w:bdr w:val="single" w:sz="4" w:space="0" w:color="auto"/>
        </w:rPr>
        <w:t>品</w:t>
      </w:r>
    </w:p>
    <w:p w:rsidR="00E43C20" w:rsidRPr="00DA3BC7" w:rsidRDefault="008E2BBC" w:rsidP="0022377A">
      <w:pPr>
        <w:ind w:leftChars="450" w:left="1080"/>
        <w:jc w:val="both"/>
        <w:rPr>
          <w:rFonts w:ascii="Times New Roman" w:hAnsi="Times New Roman"/>
          <w:b/>
          <w:bCs/>
          <w:sz w:val="20"/>
          <w:szCs w:val="20"/>
          <w:bdr w:val="single" w:sz="4" w:space="0" w:color="auto"/>
        </w:rPr>
      </w:pPr>
      <w:r w:rsidRPr="008E2BBC">
        <w:rPr>
          <w:rFonts w:ascii="Times New Roman" w:hAnsi="Times New Roman" w:hint="eastAsia"/>
          <w:b/>
          <w:bCs/>
          <w:color w:val="FF0000"/>
          <w:sz w:val="20"/>
          <w:szCs w:val="20"/>
          <w:highlight w:val="yellow"/>
          <w:bdr w:val="single" w:sz="4" w:space="0" w:color="auto"/>
        </w:rPr>
        <w:t>（</w:t>
      </w:r>
      <w:r w:rsidRPr="008E2BBC">
        <w:rPr>
          <w:rFonts w:ascii="Times New Roman" w:hAnsi="Times New Roman" w:hint="eastAsia"/>
          <w:b/>
          <w:bCs/>
          <w:color w:val="FF0000"/>
          <w:sz w:val="20"/>
          <w:szCs w:val="20"/>
          <w:highlight w:val="yellow"/>
          <w:bdr w:val="single" w:sz="4" w:space="0" w:color="auto"/>
        </w:rPr>
        <w:t>a</w:t>
      </w:r>
      <w:r w:rsidRPr="008E2BBC">
        <w:rPr>
          <w:rFonts w:ascii="Times New Roman" w:hAnsi="Times New Roman" w:hint="eastAsia"/>
          <w:b/>
          <w:bCs/>
          <w:color w:val="FF0000"/>
          <w:sz w:val="20"/>
          <w:szCs w:val="20"/>
          <w:highlight w:val="yellow"/>
          <w:bdr w:val="single" w:sz="4" w:space="0" w:color="auto"/>
        </w:rPr>
        <w:t>）</w:t>
      </w:r>
      <w:r w:rsidR="00E43C20" w:rsidRPr="00DA3BC7">
        <w:rPr>
          <w:rFonts w:ascii="Times New Roman" w:hAnsi="Times New Roman"/>
          <w:b/>
          <w:bCs/>
          <w:sz w:val="20"/>
          <w:szCs w:val="20"/>
          <w:bdr w:val="single" w:sz="4" w:space="0" w:color="auto"/>
        </w:rPr>
        <w:t>〈</w:t>
      </w:r>
      <w:r w:rsidR="00E43C20" w:rsidRPr="0022377A">
        <w:rPr>
          <w:rFonts w:ascii="Times New Roman" w:hAnsi="Times New Roman"/>
          <w:b/>
          <w:bCs/>
          <w:color w:val="FF0000"/>
          <w:sz w:val="20"/>
          <w:szCs w:val="20"/>
          <w:highlight w:val="yellow"/>
          <w:bdr w:val="single" w:sz="4" w:space="0" w:color="auto"/>
        </w:rPr>
        <w:t>11</w:t>
      </w:r>
      <w:r w:rsidR="004D138A" w:rsidRPr="00DA3BC7">
        <w:rPr>
          <w:rFonts w:ascii="Times New Roman" w:hAnsi="Times New Roman"/>
          <w:b/>
          <w:bCs/>
          <w:sz w:val="20"/>
          <w:szCs w:val="20"/>
          <w:bdr w:val="single" w:sz="4" w:space="0" w:color="auto"/>
        </w:rPr>
        <w:t xml:space="preserve"> </w:t>
      </w:r>
      <w:r w:rsidR="00E43C20" w:rsidRPr="00DA3BC7">
        <w:rPr>
          <w:rFonts w:ascii="Times New Roman" w:hAnsi="Times New Roman"/>
          <w:b/>
          <w:bCs/>
          <w:sz w:val="20"/>
          <w:szCs w:val="20"/>
          <w:bdr w:val="single" w:sz="4" w:space="0" w:color="auto"/>
        </w:rPr>
        <w:t>觀本際品〉</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p.21</w:t>
      </w:r>
      <w:r w:rsidR="00E43C20" w:rsidRPr="00DA3BC7">
        <w:rPr>
          <w:rFonts w:ascii="Times New Roman" w:hAnsi="Times New Roman" w:hint="eastAsia"/>
          <w:bCs/>
          <w:sz w:val="20"/>
          <w:szCs w:val="20"/>
        </w:rPr>
        <w:t>）</w:t>
      </w:r>
    </w:p>
    <w:p w:rsidR="00E43C20" w:rsidRPr="00DA3BC7" w:rsidRDefault="00E43C20" w:rsidP="00033F40">
      <w:pPr>
        <w:ind w:leftChars="450" w:left="1080"/>
        <w:jc w:val="both"/>
        <w:rPr>
          <w:rFonts w:ascii="Times New Roman" w:hAnsi="Times New Roman"/>
        </w:rPr>
      </w:pPr>
      <w:r w:rsidRPr="00DA3BC7">
        <w:rPr>
          <w:rFonts w:ascii="Times New Roman" w:hAnsi="Times New Roman"/>
        </w:rPr>
        <w:t>〈</w:t>
      </w:r>
      <w:r w:rsidRPr="00DA76AC">
        <w:rPr>
          <w:rFonts w:ascii="Times New Roman" w:hAnsi="Times New Roman"/>
          <w:shd w:val="pct15" w:color="auto" w:fill="FFFFFF"/>
        </w:rPr>
        <w:t>11</w:t>
      </w:r>
      <w:r w:rsidR="004D138A" w:rsidRPr="00DA3BC7">
        <w:rPr>
          <w:rFonts w:ascii="Times New Roman" w:hAnsi="Times New Roman"/>
        </w:rPr>
        <w:t xml:space="preserve"> </w:t>
      </w:r>
      <w:r w:rsidRPr="00DA3BC7">
        <w:rPr>
          <w:rFonts w:ascii="Times New Roman" w:hAnsi="Times New Roman"/>
        </w:rPr>
        <w:t>觀本際品〉，引經以明生死本際不可得。</w:t>
      </w:r>
      <w:r w:rsidRPr="00DA3BC7">
        <w:rPr>
          <w:rStyle w:val="a6"/>
          <w:rFonts w:ascii="Times New Roman" w:hAnsi="Times New Roman"/>
        </w:rPr>
        <w:footnoteReference w:id="156"/>
      </w:r>
    </w:p>
    <w:p w:rsidR="00E43C20" w:rsidRPr="00DA3BC7" w:rsidRDefault="008E2BBC" w:rsidP="00AE3920">
      <w:pPr>
        <w:spacing w:beforeLines="30"/>
        <w:ind w:leftChars="450" w:left="1080"/>
        <w:jc w:val="both"/>
        <w:rPr>
          <w:rFonts w:ascii="Times New Roman" w:hAnsi="Times New Roman"/>
          <w:b/>
          <w:bCs/>
          <w:sz w:val="20"/>
          <w:szCs w:val="20"/>
          <w:bdr w:val="single" w:sz="4" w:space="0" w:color="auto"/>
        </w:rPr>
      </w:pPr>
      <w:r w:rsidRPr="008E2BBC">
        <w:rPr>
          <w:rFonts w:ascii="Times New Roman" w:hAnsi="Times New Roman" w:hint="eastAsia"/>
          <w:b/>
          <w:bCs/>
          <w:color w:val="FF0000"/>
          <w:sz w:val="20"/>
          <w:szCs w:val="20"/>
          <w:highlight w:val="yellow"/>
          <w:bdr w:val="single" w:sz="4" w:space="0" w:color="auto"/>
        </w:rPr>
        <w:lastRenderedPageBreak/>
        <w:t>（</w:t>
      </w:r>
      <w:r w:rsidRPr="008E2BBC">
        <w:rPr>
          <w:rFonts w:ascii="Times New Roman" w:hAnsi="Times New Roman" w:hint="eastAsia"/>
          <w:b/>
          <w:bCs/>
          <w:color w:val="FF0000"/>
          <w:sz w:val="20"/>
          <w:szCs w:val="20"/>
          <w:highlight w:val="yellow"/>
          <w:bdr w:val="single" w:sz="4" w:space="0" w:color="auto"/>
        </w:rPr>
        <w:t>b</w:t>
      </w:r>
      <w:r w:rsidRPr="008E2BBC">
        <w:rPr>
          <w:rFonts w:ascii="Times New Roman" w:hAnsi="Times New Roman" w:hint="eastAsia"/>
          <w:b/>
          <w:bCs/>
          <w:color w:val="FF0000"/>
          <w:sz w:val="20"/>
          <w:szCs w:val="20"/>
          <w:highlight w:val="yellow"/>
          <w:bdr w:val="single" w:sz="4" w:space="0" w:color="auto"/>
        </w:rPr>
        <w:t>）</w:t>
      </w:r>
      <w:r w:rsidR="00E43C20" w:rsidRPr="008E2BBC">
        <w:rPr>
          <w:rFonts w:ascii="Times New Roman" w:hAnsi="Times New Roman"/>
          <w:b/>
          <w:bCs/>
          <w:sz w:val="20"/>
          <w:szCs w:val="20"/>
          <w:bdr w:val="single" w:sz="4" w:space="0" w:color="auto"/>
        </w:rPr>
        <w:t>〈</w:t>
      </w:r>
      <w:r w:rsidR="00E43C20" w:rsidRPr="008E2BBC">
        <w:rPr>
          <w:rFonts w:ascii="Times New Roman" w:hAnsi="Times New Roman"/>
          <w:b/>
          <w:bCs/>
          <w:sz w:val="20"/>
          <w:szCs w:val="20"/>
          <w:bdr w:val="single" w:sz="4" w:space="0" w:color="auto"/>
        </w:rPr>
        <w:t>12</w:t>
      </w:r>
      <w:r w:rsidR="004D138A" w:rsidRPr="008E2BBC">
        <w:rPr>
          <w:rFonts w:ascii="Times New Roman" w:hAnsi="Times New Roman"/>
          <w:b/>
          <w:bCs/>
          <w:sz w:val="20"/>
          <w:szCs w:val="20"/>
          <w:bdr w:val="single" w:sz="4" w:space="0" w:color="auto"/>
        </w:rPr>
        <w:t xml:space="preserve"> </w:t>
      </w:r>
      <w:r w:rsidR="00E43C20" w:rsidRPr="008E2BBC">
        <w:rPr>
          <w:rFonts w:ascii="Times New Roman" w:hAnsi="Times New Roman"/>
          <w:b/>
          <w:bCs/>
          <w:sz w:val="20"/>
          <w:szCs w:val="20"/>
          <w:bdr w:val="single" w:sz="4" w:space="0" w:color="auto"/>
        </w:rPr>
        <w:t>觀苦品〉</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p.21</w:t>
      </w:r>
      <w:r w:rsidR="00E43C20" w:rsidRPr="00DA3BC7">
        <w:rPr>
          <w:rFonts w:ascii="Times New Roman" w:hAnsi="Times New Roman" w:hint="eastAsia"/>
          <w:bCs/>
          <w:sz w:val="20"/>
          <w:szCs w:val="20"/>
        </w:rPr>
        <w:t>）</w:t>
      </w:r>
    </w:p>
    <w:p w:rsidR="00E43C20" w:rsidRPr="00DA3BC7" w:rsidRDefault="00E43C20" w:rsidP="00033F40">
      <w:pPr>
        <w:ind w:leftChars="450" w:left="1080"/>
        <w:jc w:val="both"/>
        <w:rPr>
          <w:rFonts w:ascii="Times New Roman" w:hAnsi="Times New Roman"/>
        </w:rPr>
      </w:pPr>
      <w:r w:rsidRPr="00DA3BC7">
        <w:rPr>
          <w:rFonts w:ascii="Times New Roman" w:hAnsi="Times New Roman"/>
        </w:rPr>
        <w:t>〈</w:t>
      </w:r>
      <w:r w:rsidRPr="00DA76AC">
        <w:rPr>
          <w:rFonts w:ascii="Times New Roman" w:hAnsi="Times New Roman"/>
          <w:shd w:val="pct15" w:color="auto" w:fill="FFFFFF"/>
        </w:rPr>
        <w:t>12</w:t>
      </w:r>
      <w:r w:rsidR="004D138A" w:rsidRPr="00DA3BC7">
        <w:rPr>
          <w:rFonts w:ascii="Times New Roman" w:hAnsi="Times New Roman"/>
        </w:rPr>
        <w:t xml:space="preserve"> </w:t>
      </w:r>
      <w:r w:rsidRPr="00DA3BC7">
        <w:rPr>
          <w:rFonts w:ascii="Times New Roman" w:hAnsi="Times New Roman"/>
        </w:rPr>
        <w:t>觀苦品〉，說明苦非自作、他作、共作、無因作，是依《雜</w:t>
      </w:r>
      <w:r w:rsidRPr="00DA3BC7">
        <w:rPr>
          <w:rFonts w:ascii="Times New Roman" w:hAnsi="Times New Roman" w:hint="eastAsia"/>
        </w:rPr>
        <w:t>阿</w:t>
      </w:r>
      <w:r w:rsidRPr="00DA3BC7">
        <w:rPr>
          <w:rFonts w:ascii="Times New Roman" w:hAnsi="Times New Roman"/>
        </w:rPr>
        <w:t>含</w:t>
      </w:r>
      <w:r w:rsidRPr="00DA3BC7">
        <w:rPr>
          <w:rFonts w:ascii="Times New Roman" w:hAnsi="Times New Roman" w:hint="eastAsia"/>
        </w:rPr>
        <w:t>經</w:t>
      </w:r>
      <w:r w:rsidRPr="00DA3BC7">
        <w:rPr>
          <w:rFonts w:ascii="Times New Roman" w:hAnsi="Times New Roman"/>
        </w:rPr>
        <w:t>》卷</w:t>
      </w:r>
      <w:r w:rsidRPr="00DA3BC7">
        <w:rPr>
          <w:rFonts w:ascii="Times New Roman" w:hAnsi="Times New Roman"/>
        </w:rPr>
        <w:t>12</w:t>
      </w:r>
      <w:r w:rsidRPr="00DA3BC7">
        <w:rPr>
          <w:rFonts w:ascii="Times New Roman" w:hAnsi="Times New Roman"/>
        </w:rPr>
        <w:t>（</w:t>
      </w:r>
      <w:r w:rsidRPr="00DA3BC7">
        <w:rPr>
          <w:rFonts w:ascii="Times New Roman" w:hAnsi="Times New Roman"/>
        </w:rPr>
        <w:t>302</w:t>
      </w:r>
      <w:r w:rsidRPr="00DA3BC7">
        <w:rPr>
          <w:rFonts w:ascii="Times New Roman" w:hAnsi="Times New Roman"/>
        </w:rPr>
        <w:t>經）阿支羅迦葉問等而作的。</w:t>
      </w:r>
      <w:r w:rsidRPr="00DA3BC7">
        <w:rPr>
          <w:rFonts w:ascii="Times New Roman" w:hAnsi="Times New Roman"/>
          <w:vertAlign w:val="superscript"/>
        </w:rPr>
        <w:footnoteReference w:id="157"/>
      </w:r>
      <w:r w:rsidRPr="00DA3BC7">
        <w:rPr>
          <w:rFonts w:ascii="Times New Roman" w:hAnsi="Times New Roman"/>
        </w:rPr>
        <w:t>《十二門論》的〈觀作者門〉</w:t>
      </w:r>
      <w:r w:rsidRPr="00DA3BC7">
        <w:rPr>
          <w:rFonts w:ascii="Times New Roman" w:hAnsi="Times New Roman"/>
          <w:vertAlign w:val="superscript"/>
        </w:rPr>
        <w:footnoteReference w:id="158"/>
      </w:r>
      <w:r w:rsidRPr="00DA3BC7">
        <w:rPr>
          <w:rFonts w:ascii="Times New Roman" w:hAnsi="Times New Roman"/>
        </w:rPr>
        <w:t>，也引此經以明空義。</w:t>
      </w:r>
    </w:p>
    <w:p w:rsidR="00E43C20" w:rsidRPr="00DA3BC7" w:rsidRDefault="008E2BBC" w:rsidP="00AE3920">
      <w:pPr>
        <w:spacing w:beforeLines="30"/>
        <w:ind w:leftChars="450" w:left="1080"/>
        <w:jc w:val="both"/>
        <w:rPr>
          <w:rFonts w:ascii="Times New Roman" w:hAnsi="Times New Roman"/>
          <w:b/>
          <w:bCs/>
          <w:sz w:val="20"/>
          <w:szCs w:val="20"/>
          <w:bdr w:val="single" w:sz="4" w:space="0" w:color="auto"/>
        </w:rPr>
      </w:pPr>
      <w:r w:rsidRPr="008E2BBC">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c</w:t>
      </w:r>
      <w:r w:rsidRPr="008E2BBC">
        <w:rPr>
          <w:rFonts w:ascii="Times New Roman" w:hAnsi="Times New Roman" w:hint="eastAsia"/>
          <w:b/>
          <w:bCs/>
          <w:color w:val="FF0000"/>
          <w:sz w:val="20"/>
          <w:szCs w:val="20"/>
          <w:highlight w:val="yellow"/>
          <w:bdr w:val="single" w:sz="4" w:space="0" w:color="auto"/>
        </w:rPr>
        <w:t>）</w:t>
      </w:r>
      <w:r w:rsidR="00E43C20" w:rsidRPr="00DA3BC7">
        <w:rPr>
          <w:rFonts w:ascii="Times New Roman" w:hAnsi="Times New Roman"/>
          <w:b/>
          <w:bCs/>
          <w:sz w:val="20"/>
          <w:szCs w:val="20"/>
          <w:bdr w:val="single" w:sz="4" w:space="0" w:color="auto"/>
        </w:rPr>
        <w:t>〈</w:t>
      </w:r>
      <w:r w:rsidR="00E43C20" w:rsidRPr="00DA3BC7">
        <w:rPr>
          <w:rFonts w:ascii="Times New Roman" w:hAnsi="Times New Roman"/>
          <w:b/>
          <w:bCs/>
          <w:sz w:val="20"/>
          <w:szCs w:val="20"/>
          <w:bdr w:val="single" w:sz="4" w:space="0" w:color="auto"/>
        </w:rPr>
        <w:t>13</w:t>
      </w:r>
      <w:r w:rsidR="004D138A" w:rsidRPr="00DA3BC7">
        <w:rPr>
          <w:rFonts w:ascii="Times New Roman" w:hAnsi="Times New Roman"/>
          <w:b/>
          <w:bCs/>
          <w:sz w:val="20"/>
          <w:szCs w:val="20"/>
          <w:bdr w:val="single" w:sz="4" w:space="0" w:color="auto"/>
        </w:rPr>
        <w:t xml:space="preserve"> </w:t>
      </w:r>
      <w:r w:rsidR="00E43C20" w:rsidRPr="00DA3BC7">
        <w:rPr>
          <w:rFonts w:ascii="Times New Roman" w:hAnsi="Times New Roman"/>
          <w:b/>
          <w:bCs/>
          <w:sz w:val="20"/>
          <w:szCs w:val="20"/>
          <w:bdr w:val="single" w:sz="4" w:space="0" w:color="auto"/>
        </w:rPr>
        <w:t>觀行品〉</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p.21</w:t>
      </w:r>
      <w:r w:rsidR="00E43C20" w:rsidRPr="00DA3BC7">
        <w:rPr>
          <w:rFonts w:ascii="Times New Roman" w:hAnsi="Times New Roman" w:hint="eastAsia"/>
          <w:bCs/>
          <w:sz w:val="20"/>
          <w:szCs w:val="20"/>
        </w:rPr>
        <w:t>）</w:t>
      </w:r>
    </w:p>
    <w:p w:rsidR="00E43C20" w:rsidRPr="00DA3BC7" w:rsidRDefault="00E43C20" w:rsidP="00033F40">
      <w:pPr>
        <w:ind w:leftChars="450" w:left="1080"/>
        <w:jc w:val="both"/>
        <w:rPr>
          <w:rFonts w:ascii="Times New Roman" w:hAnsi="Times New Roman"/>
        </w:rPr>
      </w:pPr>
      <w:r w:rsidRPr="00DA3BC7">
        <w:rPr>
          <w:rFonts w:ascii="Times New Roman" w:hAnsi="Times New Roman"/>
        </w:rPr>
        <w:t>〈</w:t>
      </w:r>
      <w:r w:rsidRPr="00DA3BC7">
        <w:rPr>
          <w:rFonts w:ascii="Times New Roman" w:hAnsi="Times New Roman"/>
        </w:rPr>
        <w:t>13</w:t>
      </w:r>
      <w:r w:rsidR="004D138A" w:rsidRPr="00DA3BC7">
        <w:rPr>
          <w:rFonts w:ascii="Times New Roman" w:hAnsi="Times New Roman"/>
        </w:rPr>
        <w:t xml:space="preserve"> </w:t>
      </w:r>
      <w:r w:rsidRPr="00DA3BC7">
        <w:rPr>
          <w:rFonts w:ascii="Times New Roman" w:hAnsi="Times New Roman"/>
        </w:rPr>
        <w:t>觀行品〉，明無常諸行的性空，進而空亦不可得。</w:t>
      </w:r>
    </w:p>
    <w:p w:rsidR="00E43C20" w:rsidRPr="00DA3BC7" w:rsidRDefault="008E2BBC" w:rsidP="00AE3920">
      <w:pPr>
        <w:spacing w:beforeLines="30"/>
        <w:ind w:leftChars="450" w:left="1080"/>
        <w:jc w:val="both"/>
        <w:rPr>
          <w:rFonts w:ascii="Times New Roman" w:hAnsi="Times New Roman"/>
          <w:b/>
          <w:bCs/>
          <w:sz w:val="20"/>
          <w:szCs w:val="20"/>
          <w:bdr w:val="single" w:sz="4" w:space="0" w:color="auto"/>
        </w:rPr>
      </w:pPr>
      <w:r w:rsidRPr="008E2BBC">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d</w:t>
      </w:r>
      <w:r w:rsidRPr="008E2BBC">
        <w:rPr>
          <w:rFonts w:ascii="Times New Roman" w:hAnsi="Times New Roman" w:hint="eastAsia"/>
          <w:b/>
          <w:bCs/>
          <w:color w:val="FF0000"/>
          <w:sz w:val="20"/>
          <w:szCs w:val="20"/>
          <w:highlight w:val="yellow"/>
          <w:bdr w:val="single" w:sz="4" w:space="0" w:color="auto"/>
        </w:rPr>
        <w:t>）</w:t>
      </w:r>
      <w:r w:rsidR="00E43C20" w:rsidRPr="00DA3BC7">
        <w:rPr>
          <w:rFonts w:ascii="Times New Roman" w:hAnsi="Times New Roman"/>
          <w:b/>
          <w:bCs/>
          <w:sz w:val="20"/>
          <w:szCs w:val="20"/>
          <w:bdr w:val="single" w:sz="4" w:space="0" w:color="auto"/>
        </w:rPr>
        <w:t>〈</w:t>
      </w:r>
      <w:r w:rsidR="00E43C20" w:rsidRPr="00DA3BC7">
        <w:rPr>
          <w:rFonts w:ascii="Times New Roman" w:hAnsi="Times New Roman"/>
          <w:b/>
          <w:bCs/>
          <w:sz w:val="20"/>
          <w:szCs w:val="20"/>
          <w:bdr w:val="single" w:sz="4" w:space="0" w:color="auto"/>
        </w:rPr>
        <w:t>14</w:t>
      </w:r>
      <w:r w:rsidR="004D138A" w:rsidRPr="00DA3BC7">
        <w:rPr>
          <w:rFonts w:ascii="Times New Roman" w:hAnsi="Times New Roman"/>
          <w:b/>
          <w:bCs/>
          <w:sz w:val="20"/>
          <w:szCs w:val="20"/>
          <w:bdr w:val="single" w:sz="4" w:space="0" w:color="auto"/>
        </w:rPr>
        <w:t xml:space="preserve"> </w:t>
      </w:r>
      <w:r w:rsidR="00E43C20" w:rsidRPr="00DA3BC7">
        <w:rPr>
          <w:rFonts w:ascii="Times New Roman" w:hAnsi="Times New Roman"/>
          <w:b/>
          <w:bCs/>
          <w:sz w:val="20"/>
          <w:szCs w:val="20"/>
          <w:bdr w:val="single" w:sz="4" w:space="0" w:color="auto"/>
        </w:rPr>
        <w:t>觀合品〉</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p.21</w:t>
      </w:r>
      <w:r w:rsidR="00E43C20" w:rsidRPr="00DA3BC7">
        <w:rPr>
          <w:rFonts w:ascii="Times New Roman" w:hAnsi="Times New Roman" w:hint="eastAsia"/>
          <w:bCs/>
          <w:sz w:val="20"/>
          <w:szCs w:val="20"/>
        </w:rPr>
        <w:t>）</w:t>
      </w:r>
    </w:p>
    <w:p w:rsidR="00E43C20" w:rsidRPr="00DA3BC7" w:rsidRDefault="00E43C20" w:rsidP="00033F40">
      <w:pPr>
        <w:ind w:leftChars="450" w:left="1080"/>
        <w:jc w:val="both"/>
        <w:rPr>
          <w:rFonts w:ascii="Times New Roman" w:hAnsi="Times New Roman"/>
        </w:rPr>
      </w:pPr>
      <w:r w:rsidRPr="00DA3BC7">
        <w:rPr>
          <w:rFonts w:ascii="Times New Roman" w:hAnsi="Times New Roman"/>
        </w:rPr>
        <w:t>〈</w:t>
      </w:r>
      <w:r w:rsidRPr="00DA76AC">
        <w:rPr>
          <w:rFonts w:ascii="Times New Roman" w:hAnsi="Times New Roman"/>
          <w:shd w:val="pct15" w:color="auto" w:fill="FFFFFF"/>
        </w:rPr>
        <w:t>14</w:t>
      </w:r>
      <w:r w:rsidR="004D138A" w:rsidRPr="00DA3BC7">
        <w:rPr>
          <w:rFonts w:ascii="Times New Roman" w:hAnsi="Times New Roman"/>
        </w:rPr>
        <w:t xml:space="preserve"> </w:t>
      </w:r>
      <w:r w:rsidRPr="00DA3BC7">
        <w:rPr>
          <w:rFonts w:ascii="Times New Roman" w:hAnsi="Times New Roman"/>
        </w:rPr>
        <w:t>觀合品〉，明三和合觸的無性。</w:t>
      </w:r>
      <w:r w:rsidRPr="00DA3BC7">
        <w:rPr>
          <w:rStyle w:val="a6"/>
          <w:rFonts w:ascii="Times New Roman" w:hAnsi="Times New Roman"/>
        </w:rPr>
        <w:footnoteReference w:id="159"/>
      </w:r>
    </w:p>
    <w:p w:rsidR="00E43C20" w:rsidRPr="00DA3BC7" w:rsidRDefault="008E2BBC" w:rsidP="00AE3920">
      <w:pPr>
        <w:spacing w:beforeLines="30"/>
        <w:ind w:leftChars="450" w:left="1080"/>
        <w:jc w:val="both"/>
        <w:rPr>
          <w:rFonts w:ascii="Times New Roman" w:hAnsi="Times New Roman"/>
          <w:b/>
          <w:bCs/>
          <w:sz w:val="20"/>
          <w:szCs w:val="20"/>
          <w:bdr w:val="single" w:sz="4" w:space="0" w:color="auto"/>
        </w:rPr>
      </w:pPr>
      <w:r w:rsidRPr="008E2BBC">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e</w:t>
      </w:r>
      <w:r w:rsidRPr="008E2BBC">
        <w:rPr>
          <w:rFonts w:ascii="Times New Roman" w:hAnsi="Times New Roman" w:hint="eastAsia"/>
          <w:b/>
          <w:bCs/>
          <w:color w:val="FF0000"/>
          <w:sz w:val="20"/>
          <w:szCs w:val="20"/>
          <w:highlight w:val="yellow"/>
          <w:bdr w:val="single" w:sz="4" w:space="0" w:color="auto"/>
        </w:rPr>
        <w:t>）</w:t>
      </w:r>
      <w:r w:rsidR="00E43C20" w:rsidRPr="00DA3BC7">
        <w:rPr>
          <w:rFonts w:ascii="Times New Roman" w:hAnsi="Times New Roman"/>
          <w:b/>
          <w:bCs/>
          <w:sz w:val="20"/>
          <w:szCs w:val="20"/>
          <w:bdr w:val="single" w:sz="4" w:space="0" w:color="auto"/>
        </w:rPr>
        <w:t>〈</w:t>
      </w:r>
      <w:r w:rsidR="00E43C20" w:rsidRPr="00DA3BC7">
        <w:rPr>
          <w:rFonts w:ascii="Times New Roman" w:hAnsi="Times New Roman"/>
          <w:b/>
          <w:bCs/>
          <w:sz w:val="20"/>
          <w:szCs w:val="20"/>
          <w:bdr w:val="single" w:sz="4" w:space="0" w:color="auto"/>
        </w:rPr>
        <w:t>15</w:t>
      </w:r>
      <w:r w:rsidR="004D138A" w:rsidRPr="00DA3BC7">
        <w:rPr>
          <w:rFonts w:ascii="Times New Roman" w:hAnsi="Times New Roman"/>
          <w:b/>
          <w:bCs/>
          <w:sz w:val="20"/>
          <w:szCs w:val="20"/>
          <w:bdr w:val="single" w:sz="4" w:space="0" w:color="auto"/>
        </w:rPr>
        <w:t xml:space="preserve"> </w:t>
      </w:r>
      <w:r w:rsidR="00E43C20" w:rsidRPr="00DA3BC7">
        <w:rPr>
          <w:rFonts w:ascii="Times New Roman" w:hAnsi="Times New Roman"/>
          <w:b/>
          <w:bCs/>
          <w:sz w:val="20"/>
          <w:szCs w:val="20"/>
          <w:bdr w:val="single" w:sz="4" w:space="0" w:color="auto"/>
        </w:rPr>
        <w:t>觀有無品〉</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p.21</w:t>
      </w:r>
      <w:r w:rsidR="00E43C20" w:rsidRPr="00DA3BC7">
        <w:rPr>
          <w:rFonts w:ascii="Times New Roman" w:hAnsi="Times New Roman" w:hint="eastAsia"/>
          <w:bCs/>
          <w:sz w:val="20"/>
          <w:szCs w:val="20"/>
        </w:rPr>
        <w:t>）</w:t>
      </w:r>
    </w:p>
    <w:p w:rsidR="00E43C20" w:rsidRPr="00DA3BC7" w:rsidRDefault="00E43C20" w:rsidP="00033F40">
      <w:pPr>
        <w:ind w:leftChars="450" w:left="1080"/>
        <w:jc w:val="both"/>
        <w:rPr>
          <w:rFonts w:ascii="Times New Roman" w:hAnsi="Times New Roman"/>
        </w:rPr>
      </w:pPr>
      <w:r w:rsidRPr="00DA3BC7">
        <w:rPr>
          <w:rFonts w:ascii="Times New Roman" w:hAnsi="Times New Roman"/>
        </w:rPr>
        <w:t>〈</w:t>
      </w:r>
      <w:r w:rsidRPr="00DA76AC">
        <w:rPr>
          <w:rFonts w:ascii="Times New Roman" w:hAnsi="Times New Roman"/>
          <w:shd w:val="pct15" w:color="auto" w:fill="FFFFFF"/>
        </w:rPr>
        <w:t>15</w:t>
      </w:r>
      <w:r w:rsidR="004D138A" w:rsidRPr="00DA3BC7">
        <w:rPr>
          <w:rFonts w:ascii="Times New Roman" w:hAnsi="Times New Roman"/>
        </w:rPr>
        <w:t xml:space="preserve"> </w:t>
      </w:r>
      <w:r w:rsidRPr="00DA3BC7">
        <w:rPr>
          <w:rFonts w:ascii="Times New Roman" w:hAnsi="Times New Roman"/>
        </w:rPr>
        <w:t>觀有無品〉，從緣起法的非有論到非無，這是依《化迦旃延經》</w:t>
      </w:r>
      <w:r w:rsidRPr="00DA3BC7">
        <w:rPr>
          <w:rFonts w:ascii="Times New Roman" w:hAnsi="Times New Roman"/>
          <w:vertAlign w:val="superscript"/>
        </w:rPr>
        <w:footnoteReference w:id="160"/>
      </w:r>
      <w:r w:rsidRPr="00DA3BC7">
        <w:rPr>
          <w:rFonts w:ascii="Times New Roman" w:hAnsi="Times New Roman"/>
        </w:rPr>
        <w:t>說的。</w:t>
      </w:r>
    </w:p>
    <w:p w:rsidR="00E43C20" w:rsidRPr="00DA3BC7" w:rsidRDefault="008E2BBC" w:rsidP="00AE3920">
      <w:pPr>
        <w:spacing w:beforeLines="30"/>
        <w:ind w:leftChars="450" w:left="1080"/>
        <w:jc w:val="both"/>
        <w:rPr>
          <w:rFonts w:ascii="Times New Roman" w:hAnsi="Times New Roman"/>
          <w:b/>
          <w:bCs/>
          <w:sz w:val="20"/>
          <w:szCs w:val="20"/>
          <w:bdr w:val="single" w:sz="4" w:space="0" w:color="auto"/>
        </w:rPr>
      </w:pPr>
      <w:r w:rsidRPr="008E2BBC">
        <w:rPr>
          <w:rFonts w:ascii="Times New Roman" w:hAnsi="Times New Roman" w:hint="eastAsia"/>
          <w:b/>
          <w:bCs/>
          <w:color w:val="FF0000"/>
          <w:sz w:val="20"/>
          <w:szCs w:val="20"/>
          <w:highlight w:val="yellow"/>
          <w:bdr w:val="single" w:sz="4" w:space="0" w:color="auto"/>
        </w:rPr>
        <w:lastRenderedPageBreak/>
        <w:t>（</w:t>
      </w:r>
      <w:r>
        <w:rPr>
          <w:rFonts w:ascii="Times New Roman" w:hAnsi="Times New Roman" w:hint="eastAsia"/>
          <w:b/>
          <w:bCs/>
          <w:color w:val="FF0000"/>
          <w:sz w:val="20"/>
          <w:szCs w:val="20"/>
          <w:highlight w:val="yellow"/>
          <w:bdr w:val="single" w:sz="4" w:space="0" w:color="auto"/>
        </w:rPr>
        <w:t>f</w:t>
      </w:r>
      <w:r w:rsidRPr="008E2BBC">
        <w:rPr>
          <w:rFonts w:ascii="Times New Roman" w:hAnsi="Times New Roman" w:hint="eastAsia"/>
          <w:b/>
          <w:bCs/>
          <w:color w:val="FF0000"/>
          <w:sz w:val="20"/>
          <w:szCs w:val="20"/>
          <w:highlight w:val="yellow"/>
          <w:bdr w:val="single" w:sz="4" w:space="0" w:color="auto"/>
        </w:rPr>
        <w:t>）</w:t>
      </w:r>
      <w:r w:rsidR="00E43C20" w:rsidRPr="00DA3BC7">
        <w:rPr>
          <w:rFonts w:ascii="Times New Roman" w:hAnsi="Times New Roman"/>
          <w:b/>
          <w:bCs/>
          <w:sz w:val="20"/>
          <w:szCs w:val="20"/>
          <w:bdr w:val="single" w:sz="4" w:space="0" w:color="auto"/>
        </w:rPr>
        <w:t>〈</w:t>
      </w:r>
      <w:r w:rsidR="00E43C20" w:rsidRPr="00DA3BC7">
        <w:rPr>
          <w:rFonts w:ascii="Times New Roman" w:hAnsi="Times New Roman"/>
          <w:b/>
          <w:bCs/>
          <w:sz w:val="20"/>
          <w:szCs w:val="20"/>
          <w:bdr w:val="single" w:sz="4" w:space="0" w:color="auto"/>
        </w:rPr>
        <w:t>16</w:t>
      </w:r>
      <w:r w:rsidR="004D138A" w:rsidRPr="00DA3BC7">
        <w:rPr>
          <w:rFonts w:ascii="Times New Roman" w:hAnsi="Times New Roman"/>
          <w:b/>
          <w:bCs/>
          <w:sz w:val="20"/>
          <w:szCs w:val="20"/>
          <w:bdr w:val="single" w:sz="4" w:space="0" w:color="auto"/>
        </w:rPr>
        <w:t xml:space="preserve"> </w:t>
      </w:r>
      <w:r w:rsidR="00E43C20" w:rsidRPr="00DA3BC7">
        <w:rPr>
          <w:rFonts w:ascii="Times New Roman" w:hAnsi="Times New Roman"/>
          <w:b/>
          <w:bCs/>
          <w:sz w:val="20"/>
          <w:szCs w:val="20"/>
          <w:bdr w:val="single" w:sz="4" w:space="0" w:color="auto"/>
        </w:rPr>
        <w:t>觀縛解品〉</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p.21</w:t>
      </w:r>
      <w:r w:rsidR="00E43C20" w:rsidRPr="00DA3BC7">
        <w:rPr>
          <w:rFonts w:ascii="Times New Roman" w:hAnsi="Times New Roman" w:hint="eastAsia"/>
          <w:bCs/>
          <w:sz w:val="20"/>
          <w:szCs w:val="20"/>
        </w:rPr>
        <w:t>）</w:t>
      </w:r>
    </w:p>
    <w:p w:rsidR="00E43C20" w:rsidRPr="00DA3BC7" w:rsidRDefault="00E43C20" w:rsidP="00033F40">
      <w:pPr>
        <w:ind w:leftChars="450" w:left="1080"/>
        <w:jc w:val="both"/>
        <w:rPr>
          <w:rFonts w:ascii="Times New Roman" w:hAnsi="Times New Roman"/>
        </w:rPr>
      </w:pPr>
      <w:r w:rsidRPr="00DA3BC7">
        <w:rPr>
          <w:rFonts w:ascii="Times New Roman" w:hAnsi="Times New Roman"/>
        </w:rPr>
        <w:t>〈</w:t>
      </w:r>
      <w:r w:rsidRPr="00DA76AC">
        <w:rPr>
          <w:rFonts w:ascii="Times New Roman" w:hAnsi="Times New Roman"/>
          <w:shd w:val="pct15" w:color="auto" w:fill="FFFFFF"/>
        </w:rPr>
        <w:t>16</w:t>
      </w:r>
      <w:r w:rsidR="004D138A" w:rsidRPr="00DA3BC7">
        <w:rPr>
          <w:rFonts w:ascii="Times New Roman" w:hAnsi="Times New Roman"/>
        </w:rPr>
        <w:t xml:space="preserve"> </w:t>
      </w:r>
      <w:r w:rsidRPr="00DA3BC7">
        <w:rPr>
          <w:rFonts w:ascii="Times New Roman" w:hAnsi="Times New Roman"/>
        </w:rPr>
        <w:t>觀縛解品〉，從生死流轉說到還滅，從繫縛說到解脫。</w:t>
      </w:r>
    </w:p>
    <w:p w:rsidR="00E43C20" w:rsidRPr="00DA3BC7" w:rsidRDefault="008E2BBC" w:rsidP="00AE3920">
      <w:pPr>
        <w:spacing w:beforeLines="30"/>
        <w:ind w:leftChars="450" w:left="1080"/>
        <w:jc w:val="both"/>
        <w:rPr>
          <w:rFonts w:ascii="Times New Roman" w:hAnsi="Times New Roman"/>
          <w:b/>
          <w:bCs/>
          <w:sz w:val="20"/>
          <w:szCs w:val="20"/>
          <w:bdr w:val="single" w:sz="4" w:space="0" w:color="auto"/>
        </w:rPr>
      </w:pPr>
      <w:r w:rsidRPr="008E2BBC">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g</w:t>
      </w:r>
      <w:r w:rsidRPr="008E2BBC">
        <w:rPr>
          <w:rFonts w:ascii="Times New Roman" w:hAnsi="Times New Roman" w:hint="eastAsia"/>
          <w:b/>
          <w:bCs/>
          <w:color w:val="FF0000"/>
          <w:sz w:val="20"/>
          <w:szCs w:val="20"/>
          <w:highlight w:val="yellow"/>
          <w:bdr w:val="single" w:sz="4" w:space="0" w:color="auto"/>
        </w:rPr>
        <w:t>）</w:t>
      </w:r>
      <w:r w:rsidR="00E43C20" w:rsidRPr="00DA3BC7">
        <w:rPr>
          <w:rFonts w:ascii="Times New Roman" w:hAnsi="Times New Roman"/>
          <w:b/>
          <w:bCs/>
          <w:sz w:val="20"/>
          <w:szCs w:val="20"/>
          <w:bdr w:val="single" w:sz="4" w:space="0" w:color="auto"/>
        </w:rPr>
        <w:t>〈</w:t>
      </w:r>
      <w:r w:rsidR="00E43C20" w:rsidRPr="00DA3BC7">
        <w:rPr>
          <w:rFonts w:ascii="Times New Roman" w:hAnsi="Times New Roman"/>
          <w:b/>
          <w:bCs/>
          <w:sz w:val="20"/>
          <w:szCs w:val="20"/>
          <w:bdr w:val="single" w:sz="4" w:space="0" w:color="auto"/>
        </w:rPr>
        <w:t>17</w:t>
      </w:r>
      <w:r w:rsidR="004D138A" w:rsidRPr="00DA3BC7">
        <w:rPr>
          <w:rFonts w:ascii="Times New Roman" w:hAnsi="Times New Roman"/>
          <w:b/>
          <w:bCs/>
          <w:sz w:val="20"/>
          <w:szCs w:val="20"/>
          <w:bdr w:val="single" w:sz="4" w:space="0" w:color="auto"/>
        </w:rPr>
        <w:t xml:space="preserve"> </w:t>
      </w:r>
      <w:r w:rsidR="00E43C20" w:rsidRPr="00DA3BC7">
        <w:rPr>
          <w:rFonts w:ascii="Times New Roman" w:hAnsi="Times New Roman"/>
          <w:b/>
          <w:bCs/>
          <w:sz w:val="20"/>
          <w:szCs w:val="20"/>
          <w:bdr w:val="single" w:sz="4" w:space="0" w:color="auto"/>
        </w:rPr>
        <w:t>觀業品〉</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p.21</w:t>
      </w:r>
      <w:r w:rsidR="00E43C20" w:rsidRPr="00DA3BC7">
        <w:rPr>
          <w:rFonts w:ascii="Times New Roman" w:hAnsi="Times New Roman" w:hint="eastAsia"/>
          <w:bCs/>
          <w:sz w:val="20"/>
          <w:szCs w:val="20"/>
        </w:rPr>
        <w:t>）</w:t>
      </w:r>
    </w:p>
    <w:p w:rsidR="00E43C20" w:rsidRPr="00DA3BC7" w:rsidRDefault="00E43C20" w:rsidP="00033F40">
      <w:pPr>
        <w:ind w:leftChars="450" w:left="1080"/>
        <w:jc w:val="both"/>
        <w:rPr>
          <w:rFonts w:ascii="Times New Roman" w:hAnsi="Times New Roman"/>
        </w:rPr>
      </w:pPr>
      <w:r w:rsidRPr="00DA3BC7">
        <w:rPr>
          <w:rFonts w:ascii="Times New Roman" w:hAnsi="Times New Roman"/>
        </w:rPr>
        <w:t>〈</w:t>
      </w:r>
      <w:r w:rsidRPr="00DA76AC">
        <w:rPr>
          <w:rFonts w:ascii="Times New Roman" w:hAnsi="Times New Roman"/>
          <w:shd w:val="pct15" w:color="auto" w:fill="FFFFFF"/>
        </w:rPr>
        <w:t>17</w:t>
      </w:r>
      <w:r w:rsidR="004D138A" w:rsidRPr="00DA3BC7">
        <w:rPr>
          <w:rFonts w:ascii="Times New Roman" w:hAnsi="Times New Roman"/>
        </w:rPr>
        <w:t xml:space="preserve"> </w:t>
      </w:r>
      <w:r w:rsidRPr="00DA3BC7">
        <w:rPr>
          <w:rFonts w:ascii="Times New Roman" w:hAnsi="Times New Roman"/>
        </w:rPr>
        <w:t>觀業品〉，更是生死相續中的要義。</w:t>
      </w:r>
    </w:p>
    <w:p w:rsidR="008E2BBC" w:rsidRDefault="008E2BBC" w:rsidP="00AE3920">
      <w:pPr>
        <w:spacing w:beforeLines="30"/>
        <w:ind w:leftChars="350" w:left="840"/>
        <w:jc w:val="both"/>
        <w:rPr>
          <w:rFonts w:ascii="Times New Roman" w:hAnsi="Times New Roman"/>
          <w:b/>
          <w:bCs/>
          <w:color w:val="FF0000"/>
          <w:sz w:val="20"/>
          <w:szCs w:val="20"/>
          <w:bdr w:val="single" w:sz="4" w:space="0" w:color="auto" w:frame="1"/>
        </w:rPr>
      </w:pPr>
      <w:r>
        <w:rPr>
          <w:rFonts w:ascii="Times New Roman" w:hAnsi="Times New Roman" w:hint="eastAsia"/>
          <w:b/>
          <w:bCs/>
          <w:color w:val="FF0000"/>
          <w:sz w:val="20"/>
          <w:szCs w:val="20"/>
          <w:highlight w:val="yellow"/>
          <w:bdr w:val="single" w:sz="4" w:space="0" w:color="auto" w:frame="1"/>
        </w:rPr>
        <w:t>（</w:t>
      </w:r>
      <w:r>
        <w:rPr>
          <w:rFonts w:ascii="Times New Roman" w:hAnsi="Times New Roman" w:hint="eastAsia"/>
          <w:b/>
          <w:bCs/>
          <w:color w:val="FF0000"/>
          <w:sz w:val="20"/>
          <w:szCs w:val="20"/>
          <w:highlight w:val="yellow"/>
          <w:bdr w:val="single" w:sz="4" w:space="0" w:color="auto" w:frame="1"/>
        </w:rPr>
        <w:t>B</w:t>
      </w:r>
      <w:r>
        <w:rPr>
          <w:rFonts w:ascii="Times New Roman" w:hAnsi="Times New Roman" w:hint="eastAsia"/>
          <w:b/>
          <w:bCs/>
          <w:color w:val="FF0000"/>
          <w:sz w:val="20"/>
          <w:szCs w:val="20"/>
          <w:highlight w:val="yellow"/>
          <w:bdr w:val="single" w:sz="4" w:space="0" w:color="auto" w:frame="1"/>
        </w:rPr>
        <w:t>）結成</w:t>
      </w:r>
    </w:p>
    <w:p w:rsidR="00E43C20" w:rsidRPr="00DA3BC7" w:rsidRDefault="00E43C20" w:rsidP="00033F40">
      <w:pPr>
        <w:ind w:leftChars="350" w:left="840"/>
        <w:jc w:val="both"/>
        <w:rPr>
          <w:rFonts w:ascii="Times New Roman" w:hAnsi="Times New Roman"/>
        </w:rPr>
      </w:pPr>
      <w:r w:rsidRPr="00DA3BC7">
        <w:rPr>
          <w:rFonts w:ascii="Times New Roman" w:hAnsi="Times New Roman"/>
          <w:b/>
        </w:rPr>
        <w:t>從〈</w:t>
      </w:r>
      <w:r w:rsidRPr="00DA76AC">
        <w:rPr>
          <w:rFonts w:ascii="Times New Roman" w:hAnsi="Times New Roman"/>
          <w:shd w:val="pct15" w:color="auto" w:fill="FFFFFF"/>
        </w:rPr>
        <w:t>6</w:t>
      </w:r>
      <w:r w:rsidR="004D138A" w:rsidRPr="00DA3BC7">
        <w:rPr>
          <w:rFonts w:ascii="Times New Roman" w:hAnsi="Times New Roman"/>
          <w:b/>
        </w:rPr>
        <w:t xml:space="preserve"> </w:t>
      </w:r>
      <w:r w:rsidRPr="00DA3BC7">
        <w:rPr>
          <w:rFonts w:ascii="Times New Roman" w:hAnsi="Times New Roman"/>
          <w:b/>
        </w:rPr>
        <w:t>觀染染者</w:t>
      </w:r>
      <w:r w:rsidRPr="00DA3BC7">
        <w:rPr>
          <w:rFonts w:ascii="Times New Roman" w:hAnsi="Times New Roman" w:hint="eastAsia"/>
          <w:b/>
        </w:rPr>
        <w:t>品</w:t>
      </w:r>
      <w:r w:rsidRPr="00DA3BC7">
        <w:rPr>
          <w:rFonts w:ascii="Times New Roman" w:hAnsi="Times New Roman"/>
          <w:b/>
        </w:rPr>
        <w:t>〉到此，共有十二品，論究世間集的中道</w:t>
      </w:r>
      <w:r w:rsidRPr="00DA3BC7">
        <w:rPr>
          <w:rFonts w:ascii="Times New Roman" w:hAnsi="Times New Roman"/>
        </w:rPr>
        <w:t>。</w:t>
      </w:r>
    </w:p>
    <w:p w:rsidR="00E43C20" w:rsidRPr="00DA3BC7" w:rsidRDefault="008E2BBC" w:rsidP="00AE3920">
      <w:pPr>
        <w:spacing w:beforeLines="30"/>
        <w:ind w:leftChars="300" w:left="720"/>
        <w:jc w:val="both"/>
        <w:rPr>
          <w:rFonts w:ascii="Times New Roman" w:hAnsi="Times New Roman"/>
          <w:b/>
          <w:bCs/>
          <w:sz w:val="20"/>
          <w:szCs w:val="20"/>
          <w:bdr w:val="single" w:sz="4" w:space="0" w:color="auto"/>
        </w:rPr>
      </w:pPr>
      <w:r w:rsidRPr="008E2BBC">
        <w:rPr>
          <w:rFonts w:ascii="Times New Roman" w:hAnsi="Times New Roman"/>
          <w:b/>
          <w:bCs/>
          <w:color w:val="FF0000"/>
          <w:sz w:val="20"/>
          <w:szCs w:val="20"/>
          <w:highlight w:val="yellow"/>
          <w:bdr w:val="single" w:sz="4" w:space="0" w:color="auto"/>
        </w:rPr>
        <w:t>C</w:t>
      </w:r>
      <w:r w:rsidRPr="008E2BBC">
        <w:rPr>
          <w:rFonts w:ascii="Times New Roman" w:hAnsi="Times New Roman"/>
          <w:b/>
          <w:bCs/>
          <w:color w:val="FF0000"/>
          <w:sz w:val="20"/>
          <w:szCs w:val="20"/>
          <w:highlight w:val="yellow"/>
          <w:bdr w:val="single" w:sz="4" w:space="0" w:color="auto"/>
        </w:rPr>
        <w:t>、</w:t>
      </w:r>
      <w:r w:rsidR="00E43C20" w:rsidRPr="00DA3BC7">
        <w:rPr>
          <w:rFonts w:ascii="Times New Roman" w:hAnsi="Times New Roman"/>
          <w:b/>
          <w:bCs/>
          <w:sz w:val="20"/>
          <w:szCs w:val="20"/>
          <w:bdr w:val="single" w:sz="4" w:space="0" w:color="auto"/>
        </w:rPr>
        <w:t>世間滅諦的中道：第</w:t>
      </w:r>
      <w:r w:rsidR="00E43C20" w:rsidRPr="00DA3BC7">
        <w:rPr>
          <w:rFonts w:ascii="Times New Roman" w:hAnsi="Times New Roman"/>
          <w:b/>
          <w:bCs/>
          <w:sz w:val="20"/>
          <w:szCs w:val="20"/>
          <w:bdr w:val="single" w:sz="4" w:space="0" w:color="auto"/>
        </w:rPr>
        <w:t>18</w:t>
      </w:r>
      <w:r w:rsidR="00E43C20" w:rsidRPr="00DA3BC7">
        <w:rPr>
          <w:rFonts w:ascii="Times New Roman" w:hAnsi="Times New Roman"/>
          <w:b/>
          <w:bCs/>
          <w:sz w:val="20"/>
          <w:szCs w:val="20"/>
          <w:bdr w:val="single" w:sz="4" w:space="0" w:color="auto"/>
        </w:rPr>
        <w:t>品～第</w:t>
      </w:r>
      <w:r w:rsidR="00E43C20" w:rsidRPr="00DA3BC7">
        <w:rPr>
          <w:rFonts w:ascii="Times New Roman" w:hAnsi="Times New Roman"/>
          <w:b/>
          <w:bCs/>
          <w:sz w:val="20"/>
          <w:szCs w:val="20"/>
          <w:bdr w:val="single" w:sz="4" w:space="0" w:color="auto"/>
        </w:rPr>
        <w:t>25</w:t>
      </w:r>
      <w:r w:rsidR="00E43C20" w:rsidRPr="00DA3BC7">
        <w:rPr>
          <w:rFonts w:ascii="Times New Roman" w:hAnsi="Times New Roman"/>
          <w:b/>
          <w:bCs/>
          <w:sz w:val="20"/>
          <w:szCs w:val="20"/>
          <w:bdr w:val="single" w:sz="4" w:space="0" w:color="auto"/>
        </w:rPr>
        <w:t>品</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pp.21-22</w:t>
      </w:r>
      <w:r w:rsidR="00E43C20" w:rsidRPr="00DA3BC7">
        <w:rPr>
          <w:rFonts w:ascii="Times New Roman" w:hAnsi="Times New Roman" w:hint="eastAsia"/>
          <w:bCs/>
          <w:sz w:val="20"/>
          <w:szCs w:val="20"/>
        </w:rPr>
        <w:t>）</w:t>
      </w:r>
    </w:p>
    <w:p w:rsidR="008E2BBC" w:rsidRDefault="008E2BBC" w:rsidP="0055739A">
      <w:pPr>
        <w:ind w:leftChars="350" w:left="840"/>
        <w:jc w:val="both"/>
        <w:rPr>
          <w:rFonts w:ascii="Times New Roman" w:hAnsi="Times New Roman"/>
          <w:b/>
          <w:bCs/>
          <w:color w:val="FF0000"/>
          <w:sz w:val="20"/>
          <w:szCs w:val="20"/>
          <w:bdr w:val="single" w:sz="4" w:space="0" w:color="auto" w:frame="1"/>
        </w:rPr>
      </w:pPr>
      <w:r>
        <w:rPr>
          <w:rFonts w:ascii="Times New Roman" w:hAnsi="Times New Roman" w:hint="eastAsia"/>
          <w:b/>
          <w:bCs/>
          <w:color w:val="FF0000"/>
          <w:sz w:val="20"/>
          <w:szCs w:val="20"/>
          <w:highlight w:val="yellow"/>
          <w:bdr w:val="single" w:sz="4" w:space="0" w:color="auto" w:frame="1"/>
        </w:rPr>
        <w:t>（</w:t>
      </w:r>
      <w:r>
        <w:rPr>
          <w:rFonts w:ascii="Times New Roman" w:hAnsi="Times New Roman"/>
          <w:b/>
          <w:bCs/>
          <w:color w:val="FF0000"/>
          <w:sz w:val="20"/>
          <w:szCs w:val="20"/>
          <w:highlight w:val="yellow"/>
          <w:bdr w:val="single" w:sz="4" w:space="0" w:color="auto" w:frame="1"/>
        </w:rPr>
        <w:t>A</w:t>
      </w:r>
      <w:r>
        <w:rPr>
          <w:rFonts w:ascii="Times New Roman" w:hAnsi="Times New Roman" w:hint="eastAsia"/>
          <w:b/>
          <w:bCs/>
          <w:color w:val="FF0000"/>
          <w:sz w:val="20"/>
          <w:szCs w:val="20"/>
          <w:highlight w:val="yellow"/>
          <w:bdr w:val="single" w:sz="4" w:space="0" w:color="auto" w:frame="1"/>
        </w:rPr>
        <w:t>）論究</w:t>
      </w:r>
      <w:r>
        <w:rPr>
          <w:rFonts w:ascii="Times New Roman" w:hAnsi="Times New Roman" w:hint="eastAsia"/>
          <w:bCs/>
          <w:sz w:val="20"/>
          <w:szCs w:val="20"/>
        </w:rPr>
        <w:t>（</w:t>
      </w:r>
      <w:r>
        <w:rPr>
          <w:rFonts w:ascii="Times New Roman" w:hAnsi="Times New Roman"/>
          <w:bCs/>
          <w:sz w:val="20"/>
          <w:szCs w:val="20"/>
        </w:rPr>
        <w:t>p.2</w:t>
      </w:r>
      <w:r>
        <w:rPr>
          <w:rFonts w:ascii="Times New Roman" w:hAnsi="Times New Roman" w:hint="eastAsia"/>
          <w:bCs/>
          <w:sz w:val="20"/>
          <w:szCs w:val="20"/>
        </w:rPr>
        <w:t>1</w:t>
      </w:r>
      <w:r>
        <w:rPr>
          <w:rFonts w:ascii="Times New Roman" w:hAnsi="Times New Roman" w:hint="eastAsia"/>
          <w:bCs/>
          <w:sz w:val="20"/>
          <w:szCs w:val="20"/>
        </w:rPr>
        <w:t>）</w:t>
      </w:r>
    </w:p>
    <w:p w:rsidR="00E43C20" w:rsidRPr="00DA3BC7" w:rsidRDefault="008E2BBC" w:rsidP="0055739A">
      <w:pPr>
        <w:ind w:leftChars="400" w:left="960"/>
        <w:jc w:val="both"/>
        <w:rPr>
          <w:rFonts w:ascii="Times New Roman" w:hAnsi="Times New Roman"/>
          <w:b/>
          <w:bCs/>
          <w:sz w:val="20"/>
          <w:szCs w:val="20"/>
          <w:bdr w:val="single" w:sz="4" w:space="0" w:color="auto"/>
        </w:rPr>
      </w:pPr>
      <w:r w:rsidRPr="008E2BBC">
        <w:rPr>
          <w:rFonts w:ascii="Times New Roman" w:hAnsi="Times New Roman" w:hint="eastAsia"/>
          <w:b/>
          <w:bCs/>
          <w:color w:val="FF0000"/>
          <w:sz w:val="20"/>
          <w:szCs w:val="20"/>
          <w:highlight w:val="yellow"/>
          <w:bdr w:val="single" w:sz="4" w:space="0" w:color="auto"/>
        </w:rPr>
        <w:t>a</w:t>
      </w:r>
      <w:r w:rsidR="00E43C20" w:rsidRPr="0055739A">
        <w:rPr>
          <w:rFonts w:ascii="Times New Roman" w:hAnsi="Times New Roman"/>
          <w:b/>
          <w:bCs/>
          <w:color w:val="FF0000"/>
          <w:sz w:val="20"/>
          <w:szCs w:val="20"/>
          <w:highlight w:val="yellow"/>
          <w:bdr w:val="single" w:sz="4" w:space="0" w:color="auto"/>
        </w:rPr>
        <w:t>、</w:t>
      </w:r>
      <w:r w:rsidR="00E43C20" w:rsidRPr="00DA3BC7">
        <w:rPr>
          <w:rFonts w:ascii="Times New Roman" w:hAnsi="Times New Roman"/>
          <w:b/>
          <w:bCs/>
          <w:sz w:val="20"/>
          <w:szCs w:val="20"/>
          <w:bdr w:val="single" w:sz="4" w:space="0" w:color="auto"/>
        </w:rPr>
        <w:t>〈</w:t>
      </w:r>
      <w:r w:rsidR="00E43C20" w:rsidRPr="00DA3BC7">
        <w:rPr>
          <w:rFonts w:ascii="Times New Roman" w:hAnsi="Times New Roman"/>
          <w:b/>
          <w:bCs/>
          <w:sz w:val="20"/>
          <w:szCs w:val="20"/>
          <w:bdr w:val="single" w:sz="4" w:space="0" w:color="auto"/>
        </w:rPr>
        <w:t>18</w:t>
      </w:r>
      <w:r w:rsidR="004D138A" w:rsidRPr="00DA3BC7">
        <w:rPr>
          <w:rFonts w:ascii="Times New Roman" w:hAnsi="Times New Roman"/>
          <w:b/>
          <w:bCs/>
          <w:sz w:val="20"/>
          <w:szCs w:val="20"/>
          <w:bdr w:val="single" w:sz="4" w:space="0" w:color="auto"/>
        </w:rPr>
        <w:t xml:space="preserve"> </w:t>
      </w:r>
      <w:r w:rsidR="00E43C20" w:rsidRPr="00DA3BC7">
        <w:rPr>
          <w:rFonts w:ascii="Times New Roman" w:hAnsi="Times New Roman"/>
          <w:b/>
          <w:bCs/>
          <w:sz w:val="20"/>
          <w:szCs w:val="20"/>
          <w:bdr w:val="single" w:sz="4" w:space="0" w:color="auto"/>
        </w:rPr>
        <w:t>觀法品〉</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p.21</w:t>
      </w:r>
      <w:r w:rsidR="00E43C20" w:rsidRPr="00DA3BC7">
        <w:rPr>
          <w:rFonts w:ascii="Times New Roman" w:hAnsi="Times New Roman" w:hint="eastAsia"/>
          <w:bCs/>
          <w:sz w:val="20"/>
          <w:szCs w:val="20"/>
        </w:rPr>
        <w:t>）</w:t>
      </w:r>
    </w:p>
    <w:p w:rsidR="00E43C20" w:rsidRPr="00DA3BC7" w:rsidRDefault="00E43C20" w:rsidP="00033F40">
      <w:pPr>
        <w:ind w:leftChars="400" w:left="960"/>
        <w:jc w:val="both"/>
        <w:rPr>
          <w:rFonts w:ascii="Times New Roman" w:hAnsi="Times New Roman"/>
        </w:rPr>
      </w:pPr>
      <w:r w:rsidRPr="00DA3BC7">
        <w:rPr>
          <w:rFonts w:ascii="Times New Roman" w:hAnsi="Times New Roman"/>
        </w:rPr>
        <w:t>〈</w:t>
      </w:r>
      <w:r w:rsidRPr="00DA76AC">
        <w:rPr>
          <w:rFonts w:ascii="Times New Roman" w:hAnsi="Times New Roman"/>
          <w:shd w:val="pct15" w:color="auto" w:fill="FFFFFF"/>
        </w:rPr>
        <w:t>18</w:t>
      </w:r>
      <w:r w:rsidR="004D138A" w:rsidRPr="00DA3BC7">
        <w:rPr>
          <w:rFonts w:ascii="Times New Roman" w:hAnsi="Times New Roman"/>
        </w:rPr>
        <w:t xml:space="preserve"> </w:t>
      </w:r>
      <w:r w:rsidRPr="00DA3BC7">
        <w:rPr>
          <w:rFonts w:ascii="Times New Roman" w:hAnsi="Times New Roman"/>
        </w:rPr>
        <w:t>觀法品〉，明「</w:t>
      </w:r>
      <w:r w:rsidRPr="00EA2DF7">
        <w:rPr>
          <w:rFonts w:ascii="標楷體" w:eastAsia="標楷體" w:hAnsi="標楷體"/>
        </w:rPr>
        <w:t>知法入法</w:t>
      </w:r>
      <w:r w:rsidRPr="00DA3BC7">
        <w:rPr>
          <w:rFonts w:ascii="Times New Roman" w:hAnsi="Times New Roman"/>
        </w:rPr>
        <w:t>」的現證。無我無我所，為能見法性的觀門，這是《阿含經》的要義。所契入的諸法實相，即緣起的寂滅，即聲聞與辟支佛所共證的。</w:t>
      </w:r>
    </w:p>
    <w:p w:rsidR="00E43C20" w:rsidRPr="00DA3BC7" w:rsidRDefault="008E2BBC" w:rsidP="00AE3920">
      <w:pPr>
        <w:spacing w:beforeLines="30"/>
        <w:ind w:leftChars="400" w:left="960"/>
        <w:jc w:val="both"/>
        <w:rPr>
          <w:rFonts w:ascii="Times New Roman" w:hAnsi="Times New Roman"/>
          <w:b/>
          <w:bCs/>
          <w:sz w:val="20"/>
          <w:szCs w:val="20"/>
          <w:bdr w:val="single" w:sz="4" w:space="0" w:color="auto"/>
        </w:rPr>
      </w:pPr>
      <w:r w:rsidRPr="008E2BBC">
        <w:rPr>
          <w:rFonts w:ascii="Times New Roman" w:hAnsi="Times New Roman" w:hint="eastAsia"/>
          <w:b/>
          <w:bCs/>
          <w:color w:val="FF0000"/>
          <w:sz w:val="20"/>
          <w:szCs w:val="20"/>
          <w:highlight w:val="yellow"/>
          <w:bdr w:val="single" w:sz="4" w:space="0" w:color="auto"/>
        </w:rPr>
        <w:t>b</w:t>
      </w:r>
      <w:r w:rsidR="00E43C20" w:rsidRPr="0055739A">
        <w:rPr>
          <w:rFonts w:ascii="Times New Roman" w:hAnsi="Times New Roman"/>
          <w:b/>
          <w:bCs/>
          <w:color w:val="FF0000"/>
          <w:sz w:val="20"/>
          <w:szCs w:val="20"/>
          <w:highlight w:val="yellow"/>
          <w:bdr w:val="single" w:sz="4" w:space="0" w:color="auto"/>
        </w:rPr>
        <w:t>、</w:t>
      </w:r>
      <w:r w:rsidR="00E43C20" w:rsidRPr="00DA3BC7">
        <w:rPr>
          <w:rFonts w:ascii="Times New Roman" w:hAnsi="Times New Roman"/>
          <w:b/>
          <w:bCs/>
          <w:sz w:val="20"/>
          <w:szCs w:val="20"/>
          <w:bdr w:val="single" w:sz="4" w:space="0" w:color="auto"/>
        </w:rPr>
        <w:t>〈</w:t>
      </w:r>
      <w:r w:rsidR="00E43C20" w:rsidRPr="00DA3BC7">
        <w:rPr>
          <w:rFonts w:ascii="Times New Roman" w:hAnsi="Times New Roman"/>
          <w:b/>
          <w:bCs/>
          <w:sz w:val="20"/>
          <w:szCs w:val="20"/>
          <w:bdr w:val="single" w:sz="4" w:space="0" w:color="auto"/>
        </w:rPr>
        <w:t>19</w:t>
      </w:r>
      <w:r w:rsidR="004D138A" w:rsidRPr="00DA3BC7">
        <w:rPr>
          <w:rFonts w:ascii="Times New Roman" w:hAnsi="Times New Roman"/>
          <w:b/>
          <w:bCs/>
          <w:sz w:val="20"/>
          <w:szCs w:val="20"/>
          <w:bdr w:val="single" w:sz="4" w:space="0" w:color="auto"/>
        </w:rPr>
        <w:t xml:space="preserve"> </w:t>
      </w:r>
      <w:r w:rsidR="00E43C20" w:rsidRPr="00DA3BC7">
        <w:rPr>
          <w:rFonts w:ascii="Times New Roman" w:hAnsi="Times New Roman"/>
          <w:b/>
          <w:bCs/>
          <w:sz w:val="20"/>
          <w:szCs w:val="20"/>
          <w:bdr w:val="single" w:sz="4" w:space="0" w:color="auto"/>
        </w:rPr>
        <w:t>觀時品〉、〈</w:t>
      </w:r>
      <w:r w:rsidR="00E43C20" w:rsidRPr="00DA3BC7">
        <w:rPr>
          <w:rFonts w:ascii="Times New Roman" w:hAnsi="Times New Roman"/>
          <w:b/>
          <w:bCs/>
          <w:sz w:val="20"/>
          <w:szCs w:val="20"/>
          <w:bdr w:val="single" w:sz="4" w:space="0" w:color="auto"/>
        </w:rPr>
        <w:t>20</w:t>
      </w:r>
      <w:r w:rsidR="004D138A" w:rsidRPr="00DA3BC7">
        <w:rPr>
          <w:rFonts w:ascii="Times New Roman" w:hAnsi="Times New Roman"/>
          <w:b/>
          <w:bCs/>
          <w:sz w:val="20"/>
          <w:szCs w:val="20"/>
          <w:bdr w:val="single" w:sz="4" w:space="0" w:color="auto"/>
        </w:rPr>
        <w:t xml:space="preserve"> </w:t>
      </w:r>
      <w:r w:rsidR="00E43C20" w:rsidRPr="00DA3BC7">
        <w:rPr>
          <w:rFonts w:ascii="Times New Roman" w:hAnsi="Times New Roman"/>
          <w:b/>
          <w:bCs/>
          <w:sz w:val="20"/>
          <w:szCs w:val="20"/>
          <w:bdr w:val="single" w:sz="4" w:space="0" w:color="auto"/>
        </w:rPr>
        <w:t>觀因果品〉、〈</w:t>
      </w:r>
      <w:r w:rsidR="00E43C20" w:rsidRPr="00DA3BC7">
        <w:rPr>
          <w:rFonts w:ascii="Times New Roman" w:hAnsi="Times New Roman"/>
          <w:b/>
          <w:bCs/>
          <w:sz w:val="20"/>
          <w:szCs w:val="20"/>
          <w:bdr w:val="single" w:sz="4" w:space="0" w:color="auto"/>
        </w:rPr>
        <w:t>21</w:t>
      </w:r>
      <w:r w:rsidR="004D138A" w:rsidRPr="00DA3BC7">
        <w:rPr>
          <w:rFonts w:ascii="Times New Roman" w:hAnsi="Times New Roman"/>
          <w:b/>
          <w:bCs/>
          <w:sz w:val="20"/>
          <w:szCs w:val="20"/>
          <w:bdr w:val="single" w:sz="4" w:space="0" w:color="auto"/>
        </w:rPr>
        <w:t xml:space="preserve"> </w:t>
      </w:r>
      <w:r w:rsidR="00E43C20" w:rsidRPr="00DA3BC7">
        <w:rPr>
          <w:rFonts w:ascii="Times New Roman" w:hAnsi="Times New Roman"/>
          <w:b/>
          <w:bCs/>
          <w:sz w:val="20"/>
          <w:szCs w:val="20"/>
          <w:bdr w:val="single" w:sz="4" w:space="0" w:color="auto"/>
        </w:rPr>
        <w:t>觀成壞品〉</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p.21</w:t>
      </w:r>
      <w:r w:rsidR="00E43C20" w:rsidRPr="00DA3BC7">
        <w:rPr>
          <w:rFonts w:ascii="Times New Roman" w:hAnsi="Times New Roman" w:hint="eastAsia"/>
          <w:bCs/>
          <w:sz w:val="20"/>
          <w:szCs w:val="20"/>
        </w:rPr>
        <w:t>）</w:t>
      </w:r>
    </w:p>
    <w:p w:rsidR="00E43C20" w:rsidRPr="00DA3BC7" w:rsidRDefault="00E43C20" w:rsidP="00033F40">
      <w:pPr>
        <w:ind w:leftChars="400" w:left="960"/>
        <w:jc w:val="both"/>
        <w:rPr>
          <w:rFonts w:ascii="Times New Roman" w:hAnsi="Times New Roman"/>
        </w:rPr>
      </w:pPr>
      <w:r w:rsidRPr="00DA3BC7">
        <w:rPr>
          <w:rFonts w:ascii="Times New Roman" w:hAnsi="Times New Roman"/>
        </w:rPr>
        <w:t>〈</w:t>
      </w:r>
      <w:r w:rsidRPr="00DA76AC">
        <w:rPr>
          <w:rFonts w:ascii="Times New Roman" w:hAnsi="Times New Roman"/>
          <w:shd w:val="pct15" w:color="auto" w:fill="FFFFFF"/>
        </w:rPr>
        <w:t>19</w:t>
      </w:r>
      <w:r w:rsidR="004D138A" w:rsidRPr="00DA3BC7">
        <w:rPr>
          <w:rFonts w:ascii="Times New Roman" w:hAnsi="Times New Roman"/>
        </w:rPr>
        <w:t xml:space="preserve"> </w:t>
      </w:r>
      <w:r w:rsidRPr="00DA3BC7">
        <w:rPr>
          <w:rFonts w:ascii="Times New Roman" w:hAnsi="Times New Roman"/>
        </w:rPr>
        <w:t>觀時品〉、〈</w:t>
      </w:r>
      <w:r w:rsidRPr="00DA76AC">
        <w:rPr>
          <w:rFonts w:ascii="Times New Roman" w:hAnsi="Times New Roman"/>
          <w:shd w:val="pct15" w:color="auto" w:fill="FFFFFF"/>
        </w:rPr>
        <w:t>20</w:t>
      </w:r>
      <w:r w:rsidR="004D138A" w:rsidRPr="00DA3BC7">
        <w:rPr>
          <w:rFonts w:ascii="Times New Roman" w:hAnsi="Times New Roman"/>
        </w:rPr>
        <w:t xml:space="preserve"> </w:t>
      </w:r>
      <w:r w:rsidRPr="00DA3BC7">
        <w:rPr>
          <w:rFonts w:ascii="Times New Roman" w:hAnsi="Times New Roman"/>
        </w:rPr>
        <w:t>觀因果品〉、〈</w:t>
      </w:r>
      <w:r w:rsidRPr="00DA76AC">
        <w:rPr>
          <w:rFonts w:ascii="Times New Roman" w:hAnsi="Times New Roman"/>
          <w:shd w:val="pct15" w:color="auto" w:fill="FFFFFF"/>
        </w:rPr>
        <w:t>21</w:t>
      </w:r>
      <w:r w:rsidR="004D138A" w:rsidRPr="00DA3BC7">
        <w:rPr>
          <w:rFonts w:ascii="Times New Roman" w:hAnsi="Times New Roman"/>
        </w:rPr>
        <w:t xml:space="preserve"> </w:t>
      </w:r>
      <w:r w:rsidRPr="00DA3BC7">
        <w:rPr>
          <w:rFonts w:ascii="Times New Roman" w:hAnsi="Times New Roman"/>
        </w:rPr>
        <w:t>觀成壞品〉，分別說明</w:t>
      </w:r>
      <w:r w:rsidRPr="00DA3BC7">
        <w:rPr>
          <w:rFonts w:ascii="Times New Roman" w:hAnsi="Times New Roman"/>
          <w:b/>
        </w:rPr>
        <w:t>三世</w:t>
      </w:r>
      <w:r w:rsidRPr="00DA3BC7">
        <w:rPr>
          <w:rFonts w:ascii="Times New Roman" w:hAnsi="Times New Roman" w:hint="eastAsia"/>
          <w:b/>
        </w:rPr>
        <w:t>、</w:t>
      </w:r>
      <w:r w:rsidRPr="00DA3BC7">
        <w:rPr>
          <w:rFonts w:ascii="Times New Roman" w:hAnsi="Times New Roman"/>
          <w:b/>
        </w:rPr>
        <w:t>因果與得失</w:t>
      </w:r>
      <w:r w:rsidRPr="00DA3BC7">
        <w:rPr>
          <w:rFonts w:ascii="Times New Roman" w:hAnsi="Times New Roman"/>
        </w:rPr>
        <w:t>。這是當時內外學者重視的論題，特別是修行歷程中的要題；如要經過多少時間，怎樣的從因到果，功德的成就或退壞。</w:t>
      </w:r>
    </w:p>
    <w:p w:rsidR="00E43C20" w:rsidRPr="00DA3BC7" w:rsidRDefault="008E2BBC" w:rsidP="00AE3920">
      <w:pPr>
        <w:spacing w:beforeLines="30"/>
        <w:ind w:leftChars="400" w:left="960"/>
        <w:jc w:val="both"/>
        <w:rPr>
          <w:rFonts w:ascii="Times New Roman" w:hAnsi="Times New Roman"/>
          <w:b/>
          <w:bCs/>
          <w:sz w:val="20"/>
          <w:szCs w:val="20"/>
          <w:bdr w:val="single" w:sz="4" w:space="0" w:color="auto"/>
        </w:rPr>
      </w:pPr>
      <w:r w:rsidRPr="008E2BBC">
        <w:rPr>
          <w:rFonts w:ascii="Times New Roman" w:hAnsi="Times New Roman" w:hint="eastAsia"/>
          <w:b/>
          <w:bCs/>
          <w:color w:val="FF0000"/>
          <w:sz w:val="20"/>
          <w:szCs w:val="20"/>
          <w:highlight w:val="yellow"/>
          <w:bdr w:val="single" w:sz="4" w:space="0" w:color="auto"/>
        </w:rPr>
        <w:t>c</w:t>
      </w:r>
      <w:r w:rsidRPr="0055739A">
        <w:rPr>
          <w:rFonts w:ascii="Times New Roman" w:hAnsi="Times New Roman"/>
          <w:b/>
          <w:bCs/>
          <w:color w:val="FF0000"/>
          <w:sz w:val="20"/>
          <w:szCs w:val="20"/>
          <w:highlight w:val="yellow"/>
          <w:bdr w:val="single" w:sz="4" w:space="0" w:color="auto"/>
        </w:rPr>
        <w:t>、</w:t>
      </w:r>
      <w:r w:rsidR="00E43C20" w:rsidRPr="00DA3BC7">
        <w:rPr>
          <w:rFonts w:ascii="Times New Roman" w:hAnsi="Times New Roman"/>
          <w:b/>
          <w:bCs/>
          <w:sz w:val="20"/>
          <w:szCs w:val="20"/>
          <w:bdr w:val="single" w:sz="4" w:space="0" w:color="auto"/>
        </w:rPr>
        <w:t>〈</w:t>
      </w:r>
      <w:r w:rsidR="00E43C20" w:rsidRPr="00DA3BC7">
        <w:rPr>
          <w:rFonts w:ascii="Times New Roman" w:hAnsi="Times New Roman"/>
          <w:b/>
          <w:bCs/>
          <w:sz w:val="20"/>
          <w:szCs w:val="20"/>
          <w:bdr w:val="single" w:sz="4" w:space="0" w:color="auto"/>
        </w:rPr>
        <w:t>22</w:t>
      </w:r>
      <w:r w:rsidR="004D138A" w:rsidRPr="00DA3BC7">
        <w:rPr>
          <w:rFonts w:ascii="Times New Roman" w:hAnsi="Times New Roman"/>
          <w:b/>
          <w:bCs/>
          <w:sz w:val="20"/>
          <w:szCs w:val="20"/>
          <w:bdr w:val="single" w:sz="4" w:space="0" w:color="auto"/>
        </w:rPr>
        <w:t xml:space="preserve"> </w:t>
      </w:r>
      <w:r w:rsidR="00E43C20" w:rsidRPr="00DA3BC7">
        <w:rPr>
          <w:rFonts w:ascii="Times New Roman" w:hAnsi="Times New Roman"/>
          <w:b/>
          <w:bCs/>
          <w:sz w:val="20"/>
          <w:szCs w:val="20"/>
          <w:bdr w:val="single" w:sz="4" w:space="0" w:color="auto"/>
        </w:rPr>
        <w:t>觀如來品〉</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pp.21-22</w:t>
      </w:r>
      <w:r w:rsidR="00E43C20" w:rsidRPr="00DA3BC7">
        <w:rPr>
          <w:rFonts w:ascii="Times New Roman" w:hAnsi="Times New Roman" w:hint="eastAsia"/>
          <w:bCs/>
          <w:sz w:val="20"/>
          <w:szCs w:val="20"/>
        </w:rPr>
        <w:t>）</w:t>
      </w:r>
    </w:p>
    <w:p w:rsidR="00E43C20" w:rsidRPr="00DA3BC7" w:rsidRDefault="00E43C20" w:rsidP="00033F40">
      <w:pPr>
        <w:ind w:leftChars="400" w:left="960"/>
        <w:jc w:val="both"/>
        <w:rPr>
          <w:rFonts w:ascii="Times New Roman" w:hAnsi="Times New Roman"/>
        </w:rPr>
      </w:pPr>
      <w:r w:rsidRPr="00DA3BC7">
        <w:rPr>
          <w:rFonts w:ascii="Times New Roman" w:hAnsi="Times New Roman"/>
        </w:rPr>
        <w:t>〈</w:t>
      </w:r>
      <w:r w:rsidRPr="00DA76AC">
        <w:rPr>
          <w:rFonts w:ascii="Times New Roman" w:hAnsi="Times New Roman"/>
          <w:shd w:val="pct15" w:color="auto" w:fill="FFFFFF"/>
        </w:rPr>
        <w:t>22</w:t>
      </w:r>
      <w:r w:rsidR="004D138A" w:rsidRPr="00DA3BC7">
        <w:rPr>
          <w:rFonts w:ascii="Times New Roman" w:hAnsi="Times New Roman"/>
        </w:rPr>
        <w:t xml:space="preserve"> </w:t>
      </w:r>
      <w:r w:rsidRPr="00DA3BC7">
        <w:rPr>
          <w:rFonts w:ascii="Times New Roman" w:hAnsi="Times New Roman"/>
        </w:rPr>
        <w:t>觀如來品〉，如來為創覺正法的聖者，超越常無常四見</w:t>
      </w:r>
      <w:r w:rsidRPr="00DA3BC7">
        <w:rPr>
          <w:rFonts w:ascii="Times New Roman" w:hAnsi="Times New Roman" w:hint="eastAsia"/>
        </w:rPr>
        <w:t>、</w:t>
      </w:r>
      <w:r w:rsidRPr="00DA3BC7">
        <w:rPr>
          <w:rFonts w:ascii="Times New Roman" w:hAnsi="Times New Roman"/>
        </w:rPr>
        <w:t>邊無邊四見</w:t>
      </w:r>
      <w:r w:rsidRPr="00DA3BC7">
        <w:rPr>
          <w:rFonts w:ascii="Times New Roman" w:hAnsi="Times New Roman" w:hint="eastAsia"/>
        </w:rPr>
        <w:t>、</w:t>
      </w:r>
      <w:r w:rsidRPr="00DA3BC7">
        <w:rPr>
          <w:rFonts w:ascii="Times New Roman" w:hAnsi="Times New Roman"/>
        </w:rPr>
        <w:t>有見與無見，這都是《阿含經》十四不可記</w:t>
      </w:r>
      <w:r w:rsidRPr="00DA3BC7">
        <w:rPr>
          <w:rFonts w:ascii="Times New Roman" w:hAnsi="Times New Roman"/>
          <w:vertAlign w:val="superscript"/>
        </w:rPr>
        <w:footnoteReference w:id="161"/>
      </w:r>
      <w:r w:rsidRPr="00DA3BC7">
        <w:rPr>
          <w:rFonts w:ascii="Times New Roman" w:hAnsi="Times New Roman"/>
        </w:rPr>
        <w:t>的意義。</w:t>
      </w:r>
    </w:p>
    <w:p w:rsidR="00E43C20" w:rsidRPr="00DA3BC7" w:rsidRDefault="008E2BBC" w:rsidP="00AE3920">
      <w:pPr>
        <w:spacing w:beforeLines="30"/>
        <w:ind w:leftChars="400" w:left="960"/>
        <w:jc w:val="both"/>
        <w:rPr>
          <w:rFonts w:ascii="Times New Roman" w:hAnsi="Times New Roman"/>
          <w:b/>
          <w:bCs/>
          <w:sz w:val="20"/>
          <w:szCs w:val="20"/>
          <w:bdr w:val="single" w:sz="4" w:space="0" w:color="auto"/>
        </w:rPr>
      </w:pPr>
      <w:r w:rsidRPr="008E2BBC">
        <w:rPr>
          <w:rFonts w:ascii="Times New Roman" w:hAnsi="Times New Roman" w:hint="eastAsia"/>
          <w:b/>
          <w:bCs/>
          <w:color w:val="FF0000"/>
          <w:sz w:val="20"/>
          <w:szCs w:val="20"/>
          <w:highlight w:val="yellow"/>
          <w:bdr w:val="single" w:sz="4" w:space="0" w:color="auto"/>
        </w:rPr>
        <w:t>d</w:t>
      </w:r>
      <w:r w:rsidR="00E43C20" w:rsidRPr="0055739A">
        <w:rPr>
          <w:rFonts w:ascii="Times New Roman" w:hAnsi="Times New Roman"/>
          <w:b/>
          <w:bCs/>
          <w:color w:val="FF0000"/>
          <w:sz w:val="20"/>
          <w:szCs w:val="20"/>
          <w:highlight w:val="yellow"/>
          <w:bdr w:val="single" w:sz="4" w:space="0" w:color="auto"/>
        </w:rPr>
        <w:t>、</w:t>
      </w:r>
      <w:r w:rsidR="00E43C20" w:rsidRPr="00DA3BC7">
        <w:rPr>
          <w:rFonts w:ascii="Times New Roman" w:hAnsi="Times New Roman"/>
          <w:b/>
          <w:bCs/>
          <w:sz w:val="20"/>
          <w:szCs w:val="20"/>
          <w:bdr w:val="single" w:sz="4" w:space="0" w:color="auto"/>
        </w:rPr>
        <w:t>〈</w:t>
      </w:r>
      <w:r w:rsidR="00E43C20" w:rsidRPr="00DA3BC7">
        <w:rPr>
          <w:rFonts w:ascii="Times New Roman" w:hAnsi="Times New Roman"/>
          <w:b/>
          <w:bCs/>
          <w:sz w:val="20"/>
          <w:szCs w:val="20"/>
          <w:bdr w:val="single" w:sz="4" w:space="0" w:color="auto"/>
        </w:rPr>
        <w:t>23</w:t>
      </w:r>
      <w:r w:rsidR="004D138A" w:rsidRPr="00DA3BC7">
        <w:rPr>
          <w:rFonts w:ascii="Times New Roman" w:hAnsi="Times New Roman"/>
          <w:b/>
          <w:bCs/>
          <w:sz w:val="20"/>
          <w:szCs w:val="20"/>
          <w:bdr w:val="single" w:sz="4" w:space="0" w:color="auto"/>
        </w:rPr>
        <w:t xml:space="preserve"> </w:t>
      </w:r>
      <w:r w:rsidR="00E43C20" w:rsidRPr="00DA3BC7">
        <w:rPr>
          <w:rFonts w:ascii="Times New Roman" w:hAnsi="Times New Roman"/>
          <w:b/>
          <w:bCs/>
          <w:sz w:val="20"/>
          <w:szCs w:val="20"/>
          <w:bdr w:val="single" w:sz="4" w:space="0" w:color="auto"/>
        </w:rPr>
        <w:t>觀顛倒品〉</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p.22</w:t>
      </w:r>
      <w:r w:rsidR="00E43C20" w:rsidRPr="00DA3BC7">
        <w:rPr>
          <w:rFonts w:ascii="Times New Roman" w:hAnsi="Times New Roman" w:hint="eastAsia"/>
          <w:bCs/>
          <w:sz w:val="20"/>
          <w:szCs w:val="20"/>
        </w:rPr>
        <w:t>）</w:t>
      </w:r>
    </w:p>
    <w:p w:rsidR="00E43C20" w:rsidRPr="00DA3BC7" w:rsidRDefault="00E43C20" w:rsidP="00AE3920">
      <w:pPr>
        <w:widowControl/>
        <w:spacing w:afterLines="30"/>
        <w:ind w:leftChars="400" w:left="960"/>
        <w:jc w:val="both"/>
        <w:rPr>
          <w:rFonts w:ascii="Times New Roman" w:hAnsi="Times New Roman"/>
        </w:rPr>
      </w:pPr>
      <w:r w:rsidRPr="00DA3BC7">
        <w:rPr>
          <w:rFonts w:ascii="Times New Roman" w:hAnsi="Times New Roman"/>
        </w:rPr>
        <w:t>〈</w:t>
      </w:r>
      <w:r w:rsidRPr="00DA76AC">
        <w:rPr>
          <w:rFonts w:ascii="Times New Roman" w:hAnsi="Times New Roman"/>
          <w:shd w:val="pct15" w:color="auto" w:fill="FFFFFF"/>
        </w:rPr>
        <w:t>23</w:t>
      </w:r>
      <w:r w:rsidR="004D138A" w:rsidRPr="00DA3BC7">
        <w:rPr>
          <w:rFonts w:ascii="Times New Roman" w:hAnsi="Times New Roman"/>
        </w:rPr>
        <w:t xml:space="preserve"> </w:t>
      </w:r>
      <w:r w:rsidRPr="00DA3BC7">
        <w:rPr>
          <w:rFonts w:ascii="Times New Roman" w:hAnsi="Times New Roman"/>
        </w:rPr>
        <w:t>觀顛倒品〉，明所破的顛倒，否定三毒、染淨、四倒</w:t>
      </w:r>
      <w:r w:rsidRPr="00DA3BC7">
        <w:rPr>
          <w:rStyle w:val="a6"/>
          <w:rFonts w:ascii="Times New Roman" w:hAnsi="Times New Roman"/>
        </w:rPr>
        <w:footnoteReference w:id="162"/>
      </w:r>
      <w:r w:rsidRPr="00DA3BC7">
        <w:rPr>
          <w:rFonts w:ascii="Times New Roman" w:hAnsi="Times New Roman"/>
        </w:rPr>
        <w:t>的實性，歸結到「</w:t>
      </w:r>
      <w:r w:rsidRPr="00DA3BC7">
        <w:rPr>
          <w:rFonts w:ascii="Times New Roman" w:eastAsia="標楷體" w:hAnsi="Times New Roman"/>
        </w:rPr>
        <w:t>如是顛倒滅，無明則亦滅</w:t>
      </w:r>
      <w:r w:rsidRPr="00DA3BC7">
        <w:rPr>
          <w:rFonts w:ascii="Times New Roman" w:hAnsi="Times New Roman"/>
        </w:rPr>
        <w:t>」</w:t>
      </w:r>
      <w:r w:rsidRPr="00DA3BC7">
        <w:rPr>
          <w:rFonts w:ascii="Times New Roman" w:hAnsi="Times New Roman"/>
          <w:vertAlign w:val="superscript"/>
        </w:rPr>
        <w:footnoteReference w:id="163"/>
      </w:r>
      <w:r w:rsidRPr="00DA3BC7">
        <w:rPr>
          <w:rFonts w:ascii="Times New Roman" w:hAnsi="Times New Roman"/>
        </w:rPr>
        <w:t>的緣起還滅。</w:t>
      </w:r>
    </w:p>
    <w:p w:rsidR="00E43C20" w:rsidRPr="00DA3BC7" w:rsidRDefault="008E2BBC" w:rsidP="00AE3920">
      <w:pPr>
        <w:spacing w:beforeLines="30"/>
        <w:ind w:leftChars="400" w:left="960"/>
        <w:jc w:val="both"/>
        <w:rPr>
          <w:rFonts w:ascii="Times New Roman" w:hAnsi="Times New Roman"/>
          <w:b/>
          <w:bdr w:val="single" w:sz="4" w:space="0" w:color="auto"/>
        </w:rPr>
      </w:pPr>
      <w:r w:rsidRPr="008E2BBC">
        <w:rPr>
          <w:rFonts w:ascii="Times New Roman" w:hAnsi="Times New Roman" w:hint="eastAsia"/>
          <w:b/>
          <w:bCs/>
          <w:color w:val="FF0000"/>
          <w:sz w:val="20"/>
          <w:szCs w:val="20"/>
          <w:highlight w:val="yellow"/>
          <w:bdr w:val="single" w:sz="4" w:space="0" w:color="auto"/>
        </w:rPr>
        <w:lastRenderedPageBreak/>
        <w:t>e</w:t>
      </w:r>
      <w:r w:rsidR="00E43C20" w:rsidRPr="0055739A">
        <w:rPr>
          <w:rFonts w:ascii="Times New Roman" w:hAnsi="Times New Roman"/>
          <w:b/>
          <w:bCs/>
          <w:color w:val="FF0000"/>
          <w:sz w:val="20"/>
          <w:szCs w:val="20"/>
          <w:highlight w:val="yellow"/>
          <w:bdr w:val="single" w:sz="4" w:space="0" w:color="auto"/>
        </w:rPr>
        <w:t>、</w:t>
      </w:r>
      <w:r w:rsidR="00E43C20" w:rsidRPr="00DA3BC7">
        <w:rPr>
          <w:rFonts w:ascii="Times New Roman" w:hAnsi="Times New Roman"/>
          <w:b/>
          <w:bCs/>
          <w:sz w:val="20"/>
          <w:szCs w:val="20"/>
          <w:bdr w:val="single" w:sz="4" w:space="0" w:color="auto"/>
        </w:rPr>
        <w:t>〈</w:t>
      </w:r>
      <w:r w:rsidR="00E43C20" w:rsidRPr="00DA3BC7">
        <w:rPr>
          <w:rFonts w:ascii="Times New Roman" w:hAnsi="Times New Roman"/>
          <w:b/>
          <w:bCs/>
          <w:sz w:val="20"/>
          <w:szCs w:val="20"/>
          <w:bdr w:val="single" w:sz="4" w:space="0" w:color="auto"/>
        </w:rPr>
        <w:t>24</w:t>
      </w:r>
      <w:r w:rsidR="00E43C20" w:rsidRPr="00DA3BC7">
        <w:rPr>
          <w:rFonts w:ascii="Times New Roman" w:hAnsi="Times New Roman"/>
          <w:b/>
          <w:bCs/>
          <w:sz w:val="20"/>
          <w:szCs w:val="20"/>
          <w:bdr w:val="single" w:sz="4" w:space="0" w:color="auto"/>
        </w:rPr>
        <w:t>觀四諦品〉</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p.22</w:t>
      </w:r>
      <w:r w:rsidR="00E43C20" w:rsidRPr="00DA3BC7">
        <w:rPr>
          <w:rFonts w:ascii="Times New Roman" w:hAnsi="Times New Roman" w:hint="eastAsia"/>
          <w:bCs/>
          <w:sz w:val="20"/>
          <w:szCs w:val="20"/>
        </w:rPr>
        <w:t>）</w:t>
      </w:r>
    </w:p>
    <w:p w:rsidR="00E43C20" w:rsidRPr="00DA3BC7" w:rsidRDefault="00E43C20" w:rsidP="00033F40">
      <w:pPr>
        <w:ind w:leftChars="400" w:left="960"/>
        <w:jc w:val="both"/>
        <w:rPr>
          <w:rFonts w:ascii="Times New Roman" w:hAnsi="Times New Roman"/>
        </w:rPr>
      </w:pPr>
      <w:r w:rsidRPr="00DA3BC7">
        <w:rPr>
          <w:rFonts w:ascii="Times New Roman" w:hAnsi="Times New Roman"/>
        </w:rPr>
        <w:t>〈</w:t>
      </w:r>
      <w:r w:rsidRPr="00DA76AC">
        <w:rPr>
          <w:rFonts w:ascii="Times New Roman" w:hAnsi="Times New Roman"/>
          <w:shd w:val="pct15" w:color="auto" w:fill="FFFFFF"/>
        </w:rPr>
        <w:t>24</w:t>
      </w:r>
      <w:r w:rsidR="00DA76AC" w:rsidRPr="00DA76AC">
        <w:rPr>
          <w:rFonts w:ascii="Times New Roman" w:hAnsi="Times New Roman" w:hint="eastAsia"/>
        </w:rPr>
        <w:t xml:space="preserve"> </w:t>
      </w:r>
      <w:r w:rsidRPr="00DA3BC7">
        <w:rPr>
          <w:rFonts w:ascii="Times New Roman" w:hAnsi="Times New Roman"/>
        </w:rPr>
        <w:t>觀四諦品〉，明所悟的諦理，批評實有論者的破壞四諦、三寶，引證《阿含經》，成立「</w:t>
      </w:r>
      <w:r w:rsidRPr="00DA3BC7">
        <w:rPr>
          <w:rFonts w:ascii="Times New Roman" w:eastAsia="標楷體" w:hAnsi="Times New Roman"/>
        </w:rPr>
        <w:t>若見因緣法，則為能見佛</w:t>
      </w:r>
      <w:r w:rsidRPr="00DA3BC7">
        <w:rPr>
          <w:rFonts w:ascii="Times New Roman" w:eastAsia="標楷體" w:hAnsi="Times New Roman" w:hint="eastAsia"/>
        </w:rPr>
        <w:t>，</w:t>
      </w:r>
      <w:r w:rsidRPr="00DA3BC7">
        <w:rPr>
          <w:rFonts w:ascii="Times New Roman" w:eastAsia="標楷體" w:hAnsi="Times New Roman"/>
        </w:rPr>
        <w:t>見苦集滅道</w:t>
      </w:r>
      <w:r w:rsidRPr="00DA3BC7">
        <w:rPr>
          <w:rFonts w:ascii="Times New Roman" w:hAnsi="Times New Roman"/>
        </w:rPr>
        <w:t>」</w:t>
      </w:r>
      <w:r w:rsidRPr="00DA3BC7">
        <w:rPr>
          <w:rFonts w:ascii="Times New Roman" w:hAnsi="Times New Roman"/>
          <w:vertAlign w:val="superscript"/>
        </w:rPr>
        <w:footnoteReference w:id="164"/>
      </w:r>
      <w:r w:rsidRPr="00DA3BC7">
        <w:rPr>
          <w:rFonts w:ascii="Times New Roman" w:hAnsi="Times New Roman"/>
        </w:rPr>
        <w:t>的自宗。</w:t>
      </w:r>
    </w:p>
    <w:p w:rsidR="00E43C20" w:rsidRPr="00DA3BC7" w:rsidRDefault="008E2BBC" w:rsidP="00AE3920">
      <w:pPr>
        <w:spacing w:beforeLines="30"/>
        <w:ind w:leftChars="400" w:left="960"/>
        <w:jc w:val="both"/>
        <w:rPr>
          <w:rFonts w:ascii="Times New Roman" w:hAnsi="Times New Roman"/>
          <w:b/>
          <w:sz w:val="20"/>
          <w:szCs w:val="20"/>
          <w:bdr w:val="single" w:sz="4" w:space="0" w:color="auto"/>
        </w:rPr>
      </w:pPr>
      <w:r w:rsidRPr="008E2BBC">
        <w:rPr>
          <w:rFonts w:ascii="Times New Roman" w:hAnsi="Times New Roman" w:hint="eastAsia"/>
          <w:b/>
          <w:bCs/>
          <w:color w:val="FF0000"/>
          <w:sz w:val="20"/>
          <w:szCs w:val="20"/>
          <w:highlight w:val="yellow"/>
          <w:bdr w:val="single" w:sz="4" w:space="0" w:color="auto"/>
        </w:rPr>
        <w:t>f</w:t>
      </w:r>
      <w:r w:rsidR="00E43C20" w:rsidRPr="0055739A">
        <w:rPr>
          <w:rFonts w:ascii="Times New Roman" w:hAnsi="Times New Roman"/>
          <w:b/>
          <w:bCs/>
          <w:color w:val="FF0000"/>
          <w:sz w:val="20"/>
          <w:szCs w:val="20"/>
          <w:highlight w:val="yellow"/>
          <w:bdr w:val="single" w:sz="4" w:space="0" w:color="auto"/>
        </w:rPr>
        <w:t>、</w:t>
      </w:r>
      <w:r w:rsidR="00E43C20" w:rsidRPr="00DA3BC7">
        <w:rPr>
          <w:rFonts w:ascii="Times New Roman" w:hAnsi="Times New Roman"/>
          <w:b/>
          <w:bCs/>
          <w:sz w:val="20"/>
          <w:szCs w:val="20"/>
          <w:bdr w:val="single" w:sz="4" w:space="0" w:color="auto"/>
        </w:rPr>
        <w:t>〈</w:t>
      </w:r>
      <w:r w:rsidR="00E43C20" w:rsidRPr="00DA3BC7">
        <w:rPr>
          <w:rFonts w:ascii="Times New Roman" w:hAnsi="Times New Roman"/>
          <w:b/>
          <w:bCs/>
          <w:sz w:val="20"/>
          <w:szCs w:val="20"/>
          <w:bdr w:val="single" w:sz="4" w:space="0" w:color="auto"/>
        </w:rPr>
        <w:t>25</w:t>
      </w:r>
      <w:r w:rsidR="004D138A" w:rsidRPr="00DA3BC7">
        <w:rPr>
          <w:rFonts w:ascii="Times New Roman" w:hAnsi="Times New Roman"/>
          <w:b/>
          <w:bCs/>
          <w:sz w:val="20"/>
          <w:szCs w:val="20"/>
          <w:bdr w:val="single" w:sz="4" w:space="0" w:color="auto"/>
        </w:rPr>
        <w:t xml:space="preserve"> </w:t>
      </w:r>
      <w:r w:rsidR="00E43C20" w:rsidRPr="00DA3BC7">
        <w:rPr>
          <w:rFonts w:ascii="Times New Roman" w:hAnsi="Times New Roman"/>
          <w:b/>
          <w:bCs/>
          <w:sz w:val="20"/>
          <w:szCs w:val="20"/>
          <w:bdr w:val="single" w:sz="4" w:space="0" w:color="auto"/>
        </w:rPr>
        <w:t>觀涅槃品〉</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p.22</w:t>
      </w:r>
      <w:r w:rsidR="00E43C20" w:rsidRPr="00DA3BC7">
        <w:rPr>
          <w:rFonts w:ascii="Times New Roman" w:hAnsi="Times New Roman" w:hint="eastAsia"/>
          <w:bCs/>
          <w:sz w:val="20"/>
          <w:szCs w:val="20"/>
        </w:rPr>
        <w:t>）</w:t>
      </w:r>
    </w:p>
    <w:p w:rsidR="00E43C20" w:rsidRPr="00DA3BC7" w:rsidRDefault="00E43C20" w:rsidP="00033F40">
      <w:pPr>
        <w:ind w:leftChars="400" w:left="960"/>
        <w:jc w:val="both"/>
        <w:rPr>
          <w:rFonts w:ascii="Times New Roman" w:hAnsi="Times New Roman"/>
        </w:rPr>
      </w:pPr>
      <w:r w:rsidRPr="00DA3BC7">
        <w:rPr>
          <w:rFonts w:ascii="Times New Roman" w:hAnsi="Times New Roman"/>
        </w:rPr>
        <w:t>〈</w:t>
      </w:r>
      <w:r w:rsidRPr="00DA76AC">
        <w:rPr>
          <w:rFonts w:ascii="Times New Roman" w:hAnsi="Times New Roman"/>
          <w:shd w:val="pct15" w:color="auto" w:fill="FFFFFF"/>
        </w:rPr>
        <w:t>25</w:t>
      </w:r>
      <w:r w:rsidR="004D138A" w:rsidRPr="00DA3BC7">
        <w:rPr>
          <w:rFonts w:ascii="Times New Roman" w:hAnsi="Times New Roman"/>
        </w:rPr>
        <w:t xml:space="preserve"> </w:t>
      </w:r>
      <w:r w:rsidRPr="00DA3BC7">
        <w:rPr>
          <w:rFonts w:ascii="Times New Roman" w:hAnsi="Times New Roman"/>
        </w:rPr>
        <w:t>觀涅槃品〉，發揮《雜</w:t>
      </w:r>
      <w:r w:rsidRPr="00DA3BC7">
        <w:rPr>
          <w:rFonts w:ascii="Times New Roman" w:hAnsi="Times New Roman" w:hint="eastAsia"/>
        </w:rPr>
        <w:t>阿</w:t>
      </w:r>
      <w:r w:rsidRPr="00DA3BC7">
        <w:rPr>
          <w:rFonts w:ascii="Times New Roman" w:hAnsi="Times New Roman"/>
        </w:rPr>
        <w:t>含</w:t>
      </w:r>
      <w:r w:rsidRPr="00DA3BC7">
        <w:rPr>
          <w:rFonts w:ascii="Times New Roman" w:hAnsi="Times New Roman" w:hint="eastAsia"/>
        </w:rPr>
        <w:t>經</w:t>
      </w:r>
      <w:r w:rsidRPr="00DA3BC7">
        <w:rPr>
          <w:rFonts w:ascii="Times New Roman" w:hAnsi="Times New Roman"/>
        </w:rPr>
        <w:t>》卷</w:t>
      </w:r>
      <w:r w:rsidRPr="00DA3BC7">
        <w:rPr>
          <w:rFonts w:ascii="Times New Roman" w:hAnsi="Times New Roman"/>
        </w:rPr>
        <w:t>12</w:t>
      </w:r>
      <w:r w:rsidRPr="00DA3BC7">
        <w:rPr>
          <w:rFonts w:ascii="Times New Roman" w:hAnsi="Times New Roman"/>
        </w:rPr>
        <w:t>（</w:t>
      </w:r>
      <w:r w:rsidRPr="00DA3BC7">
        <w:rPr>
          <w:rFonts w:ascii="Times New Roman" w:hAnsi="Times New Roman"/>
        </w:rPr>
        <w:t>293</w:t>
      </w:r>
      <w:r w:rsidRPr="00DA3BC7">
        <w:rPr>
          <w:rFonts w:ascii="Times New Roman" w:hAnsi="Times New Roman"/>
        </w:rPr>
        <w:t>經）所說「</w:t>
      </w:r>
      <w:r w:rsidRPr="00DA3BC7">
        <w:rPr>
          <w:rFonts w:ascii="Times New Roman" w:eastAsia="標楷體" w:hAnsi="Times New Roman"/>
        </w:rPr>
        <w:t>一切取</w:t>
      </w:r>
      <w:r w:rsidRPr="008E2BBC">
        <w:rPr>
          <w:rFonts w:ascii="新細明體" w:hAnsi="新細明體"/>
        </w:rPr>
        <w:t>（受）</w:t>
      </w:r>
      <w:r w:rsidRPr="00DA3BC7">
        <w:rPr>
          <w:rFonts w:ascii="Times New Roman" w:eastAsia="標楷體" w:hAnsi="Times New Roman"/>
        </w:rPr>
        <w:t>離、愛盡、無欲、寂滅涅槃</w:t>
      </w:r>
      <w:r w:rsidRPr="00DA3BC7">
        <w:rPr>
          <w:rFonts w:ascii="Times New Roman" w:hAnsi="Times New Roman"/>
        </w:rPr>
        <w:t>」</w:t>
      </w:r>
      <w:r w:rsidRPr="00DA3BC7">
        <w:rPr>
          <w:rFonts w:ascii="Times New Roman" w:hAnsi="Times New Roman"/>
          <w:vertAlign w:val="superscript"/>
        </w:rPr>
        <w:footnoteReference w:id="165"/>
      </w:r>
      <w:r w:rsidRPr="00DA3BC7">
        <w:rPr>
          <w:rFonts w:ascii="Times New Roman" w:hAnsi="Times New Roman"/>
        </w:rPr>
        <w:t>，是「</w:t>
      </w:r>
      <w:r w:rsidRPr="00EA2DF7">
        <w:rPr>
          <w:rFonts w:ascii="標楷體" w:eastAsia="標楷體" w:hAnsi="標楷體"/>
        </w:rPr>
        <w:t>無為</w:t>
      </w:r>
      <w:r w:rsidRPr="00DA3BC7">
        <w:rPr>
          <w:rFonts w:ascii="Times New Roman" w:hAnsi="Times New Roman"/>
        </w:rPr>
        <w:t>」法的真義，說明無為、無受的涅槃。「</w:t>
      </w:r>
      <w:r w:rsidRPr="00DA3BC7">
        <w:rPr>
          <w:rFonts w:ascii="標楷體" w:eastAsia="標楷體" w:hAnsi="標楷體"/>
        </w:rPr>
        <w:t>如來滅度後，不言有與無</w:t>
      </w:r>
      <w:r w:rsidRPr="00DA3BC7">
        <w:rPr>
          <w:rFonts w:ascii="Times New Roman" w:hAnsi="Times New Roman"/>
        </w:rPr>
        <w:t>」，「</w:t>
      </w:r>
      <w:r w:rsidRPr="00DA3BC7">
        <w:rPr>
          <w:rFonts w:ascii="Times New Roman" w:eastAsia="標楷體" w:hAnsi="Times New Roman"/>
        </w:rPr>
        <w:t>一切法空故，</w:t>
      </w:r>
      <w:r w:rsidRPr="00EA2DF7">
        <w:rPr>
          <w:rFonts w:ascii="標楷體" w:eastAsia="標楷體" w:hAnsi="標楷體"/>
        </w:rPr>
        <w:t>何有邊無邊</w:t>
      </w:r>
      <w:r w:rsidRPr="00DA3BC7">
        <w:rPr>
          <w:rFonts w:ascii="Times New Roman" w:hAnsi="Times New Roman"/>
        </w:rPr>
        <w:t>」等，掃盡十四不可記的戲論。</w:t>
      </w:r>
      <w:r w:rsidR="00EA2DF7" w:rsidRPr="00EA2DF7">
        <w:rPr>
          <w:rFonts w:ascii="Times New Roman" w:hAnsi="Times New Roman"/>
          <w:color w:val="FF0000"/>
          <w:highlight w:val="yellow"/>
          <w:vertAlign w:val="superscript"/>
        </w:rPr>
        <w:footnoteReference w:id="166"/>
      </w:r>
    </w:p>
    <w:p w:rsidR="008E2BBC" w:rsidRDefault="008E2BBC" w:rsidP="00AE3920">
      <w:pPr>
        <w:spacing w:beforeLines="30"/>
        <w:ind w:leftChars="350" w:left="840"/>
        <w:jc w:val="both"/>
        <w:rPr>
          <w:rFonts w:ascii="Times New Roman" w:hAnsi="Times New Roman"/>
          <w:b/>
          <w:bCs/>
          <w:color w:val="FF0000"/>
          <w:sz w:val="20"/>
          <w:szCs w:val="20"/>
          <w:bdr w:val="single" w:sz="4" w:space="0" w:color="auto" w:frame="1"/>
        </w:rPr>
      </w:pPr>
      <w:r>
        <w:rPr>
          <w:rFonts w:ascii="Times New Roman" w:hAnsi="Times New Roman" w:hint="eastAsia"/>
          <w:b/>
          <w:bCs/>
          <w:color w:val="FF0000"/>
          <w:sz w:val="20"/>
          <w:szCs w:val="20"/>
          <w:highlight w:val="yellow"/>
          <w:bdr w:val="single" w:sz="4" w:space="0" w:color="auto" w:frame="1"/>
        </w:rPr>
        <w:t>（</w:t>
      </w:r>
      <w:r>
        <w:rPr>
          <w:rFonts w:ascii="Times New Roman" w:hAnsi="Times New Roman" w:hint="eastAsia"/>
          <w:b/>
          <w:bCs/>
          <w:color w:val="FF0000"/>
          <w:sz w:val="20"/>
          <w:szCs w:val="20"/>
          <w:highlight w:val="yellow"/>
          <w:bdr w:val="single" w:sz="4" w:space="0" w:color="auto" w:frame="1"/>
        </w:rPr>
        <w:t>B</w:t>
      </w:r>
      <w:r>
        <w:rPr>
          <w:rFonts w:ascii="Times New Roman" w:hAnsi="Times New Roman" w:hint="eastAsia"/>
          <w:b/>
          <w:bCs/>
          <w:color w:val="FF0000"/>
          <w:sz w:val="20"/>
          <w:szCs w:val="20"/>
          <w:highlight w:val="yellow"/>
          <w:bdr w:val="single" w:sz="4" w:space="0" w:color="auto" w:frame="1"/>
        </w:rPr>
        <w:t>）結成</w:t>
      </w:r>
    </w:p>
    <w:p w:rsidR="00E43C20" w:rsidRPr="00DA3BC7" w:rsidRDefault="00E43C20" w:rsidP="00033F40">
      <w:pPr>
        <w:widowControl/>
        <w:ind w:leftChars="350" w:left="840"/>
        <w:jc w:val="both"/>
        <w:rPr>
          <w:rFonts w:ascii="Times New Roman" w:hAnsi="Times New Roman"/>
          <w:b/>
        </w:rPr>
      </w:pPr>
      <w:r w:rsidRPr="00DA3BC7">
        <w:rPr>
          <w:rFonts w:ascii="Times New Roman" w:hAnsi="Times New Roman"/>
          <w:b/>
        </w:rPr>
        <w:t>從〈</w:t>
      </w:r>
      <w:r w:rsidRPr="00DA76AC">
        <w:rPr>
          <w:rFonts w:ascii="Times New Roman" w:hAnsi="Times New Roman"/>
          <w:b/>
          <w:shd w:val="pct15" w:color="auto" w:fill="FFFFFF"/>
        </w:rPr>
        <w:t>18</w:t>
      </w:r>
      <w:r w:rsidR="004D138A" w:rsidRPr="00DA3BC7">
        <w:rPr>
          <w:rFonts w:ascii="Times New Roman" w:hAnsi="Times New Roman"/>
          <w:b/>
        </w:rPr>
        <w:t xml:space="preserve"> </w:t>
      </w:r>
      <w:r w:rsidRPr="00DA3BC7">
        <w:rPr>
          <w:rFonts w:ascii="Times New Roman" w:hAnsi="Times New Roman"/>
          <w:b/>
        </w:rPr>
        <w:t>觀法品〉到此，論究世間集滅的中道。</w:t>
      </w:r>
    </w:p>
    <w:p w:rsidR="00E43C20" w:rsidRPr="00DA3BC7" w:rsidRDefault="008E2BBC" w:rsidP="00AE3920">
      <w:pPr>
        <w:spacing w:beforeLines="30"/>
        <w:ind w:leftChars="300" w:left="720"/>
        <w:jc w:val="both"/>
        <w:rPr>
          <w:rFonts w:ascii="Times New Roman" w:hAnsi="Times New Roman"/>
          <w:b/>
          <w:bCs/>
          <w:sz w:val="20"/>
          <w:szCs w:val="20"/>
          <w:bdr w:val="single" w:sz="4" w:space="0" w:color="auto"/>
        </w:rPr>
      </w:pPr>
      <w:r w:rsidRPr="008E2BBC">
        <w:rPr>
          <w:rFonts w:ascii="Times New Roman" w:hAnsi="Times New Roman" w:hint="eastAsia"/>
          <w:b/>
          <w:color w:val="FF0000"/>
          <w:sz w:val="20"/>
          <w:szCs w:val="20"/>
          <w:highlight w:val="yellow"/>
          <w:bdr w:val="single" w:sz="4" w:space="0" w:color="auto"/>
        </w:rPr>
        <w:t>D</w:t>
      </w:r>
      <w:r w:rsidRPr="008E2BBC">
        <w:rPr>
          <w:rFonts w:ascii="Times New Roman" w:hAnsi="Times New Roman" w:hint="eastAsia"/>
          <w:b/>
          <w:color w:val="FF0000"/>
          <w:sz w:val="20"/>
          <w:szCs w:val="20"/>
          <w:highlight w:val="yellow"/>
          <w:bdr w:val="single" w:sz="4" w:space="0" w:color="auto"/>
        </w:rPr>
        <w:t>、</w:t>
      </w:r>
      <w:r w:rsidR="00E43C20" w:rsidRPr="00DA3BC7">
        <w:rPr>
          <w:rFonts w:ascii="Times New Roman" w:hAnsi="Times New Roman"/>
          <w:b/>
          <w:bCs/>
          <w:sz w:val="20"/>
          <w:szCs w:val="20"/>
          <w:bdr w:val="single" w:sz="4" w:space="0" w:color="auto"/>
        </w:rPr>
        <w:t>世間</w:t>
      </w:r>
      <w:r w:rsidR="00E43C20" w:rsidRPr="00DA3BC7">
        <w:rPr>
          <w:rFonts w:ascii="Times New Roman" w:hAnsi="Times New Roman"/>
          <w:b/>
          <w:sz w:val="20"/>
          <w:szCs w:val="20"/>
          <w:bdr w:val="single" w:sz="4" w:space="0" w:color="auto"/>
        </w:rPr>
        <w:t>道諦的精義</w:t>
      </w:r>
      <w:r w:rsidR="00E43C20" w:rsidRPr="00DA3BC7">
        <w:rPr>
          <w:rFonts w:ascii="Times New Roman" w:hAnsi="Times New Roman"/>
          <w:b/>
          <w:bCs/>
          <w:sz w:val="20"/>
          <w:szCs w:val="20"/>
          <w:bdr w:val="single" w:sz="4" w:space="0" w:color="auto"/>
        </w:rPr>
        <w:t>：第</w:t>
      </w:r>
      <w:r w:rsidR="00E43C20" w:rsidRPr="00DA3BC7">
        <w:rPr>
          <w:rFonts w:ascii="Times New Roman" w:hAnsi="Times New Roman"/>
          <w:b/>
          <w:bCs/>
          <w:sz w:val="20"/>
          <w:szCs w:val="20"/>
          <w:bdr w:val="single" w:sz="4" w:space="0" w:color="auto"/>
        </w:rPr>
        <w:t>26</w:t>
      </w:r>
      <w:r w:rsidR="00E43C20" w:rsidRPr="00DA3BC7">
        <w:rPr>
          <w:rFonts w:ascii="Times New Roman" w:hAnsi="Times New Roman"/>
          <w:b/>
          <w:bCs/>
          <w:sz w:val="20"/>
          <w:szCs w:val="20"/>
          <w:bdr w:val="single" w:sz="4" w:space="0" w:color="auto"/>
        </w:rPr>
        <w:t>品～第</w:t>
      </w:r>
      <w:r w:rsidR="00E43C20" w:rsidRPr="00DA3BC7">
        <w:rPr>
          <w:rFonts w:ascii="Times New Roman" w:hAnsi="Times New Roman"/>
          <w:b/>
          <w:bCs/>
          <w:sz w:val="20"/>
          <w:szCs w:val="20"/>
          <w:bdr w:val="single" w:sz="4" w:space="0" w:color="auto"/>
        </w:rPr>
        <w:t>27</w:t>
      </w:r>
      <w:r w:rsidR="00E43C20" w:rsidRPr="00DA3BC7">
        <w:rPr>
          <w:rFonts w:ascii="Times New Roman" w:hAnsi="Times New Roman"/>
          <w:b/>
          <w:bCs/>
          <w:sz w:val="20"/>
          <w:szCs w:val="20"/>
          <w:bdr w:val="single" w:sz="4" w:space="0" w:color="auto"/>
        </w:rPr>
        <w:t>品</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p.22</w:t>
      </w:r>
      <w:r w:rsidR="00E43C20" w:rsidRPr="00DA3BC7">
        <w:rPr>
          <w:rFonts w:ascii="Times New Roman" w:hAnsi="Times New Roman" w:hint="eastAsia"/>
          <w:bCs/>
          <w:sz w:val="20"/>
          <w:szCs w:val="20"/>
        </w:rPr>
        <w:t>）</w:t>
      </w:r>
    </w:p>
    <w:p w:rsidR="008E2BBC" w:rsidRDefault="008E2BBC" w:rsidP="0055739A">
      <w:pPr>
        <w:ind w:leftChars="350" w:left="840"/>
        <w:jc w:val="both"/>
        <w:rPr>
          <w:rFonts w:ascii="Times New Roman" w:hAnsi="Times New Roman"/>
          <w:b/>
          <w:bCs/>
          <w:color w:val="FF0000"/>
          <w:sz w:val="20"/>
          <w:szCs w:val="20"/>
          <w:bdr w:val="single" w:sz="4" w:space="0" w:color="auto" w:frame="1"/>
        </w:rPr>
      </w:pPr>
      <w:r>
        <w:rPr>
          <w:rFonts w:ascii="Times New Roman" w:hAnsi="Times New Roman" w:hint="eastAsia"/>
          <w:b/>
          <w:bCs/>
          <w:color w:val="FF0000"/>
          <w:sz w:val="20"/>
          <w:szCs w:val="20"/>
          <w:highlight w:val="yellow"/>
          <w:bdr w:val="single" w:sz="4" w:space="0" w:color="auto" w:frame="1"/>
        </w:rPr>
        <w:t>（</w:t>
      </w:r>
      <w:r>
        <w:rPr>
          <w:rFonts w:ascii="Times New Roman" w:hAnsi="Times New Roman"/>
          <w:b/>
          <w:bCs/>
          <w:color w:val="FF0000"/>
          <w:sz w:val="20"/>
          <w:szCs w:val="20"/>
          <w:highlight w:val="yellow"/>
          <w:bdr w:val="single" w:sz="4" w:space="0" w:color="auto" w:frame="1"/>
        </w:rPr>
        <w:t>A</w:t>
      </w:r>
      <w:r>
        <w:rPr>
          <w:rFonts w:ascii="Times New Roman" w:hAnsi="Times New Roman" w:hint="eastAsia"/>
          <w:b/>
          <w:bCs/>
          <w:color w:val="FF0000"/>
          <w:sz w:val="20"/>
          <w:szCs w:val="20"/>
          <w:highlight w:val="yellow"/>
          <w:bdr w:val="single" w:sz="4" w:space="0" w:color="auto" w:frame="1"/>
        </w:rPr>
        <w:t>）論究</w:t>
      </w:r>
      <w:r>
        <w:rPr>
          <w:rFonts w:ascii="Times New Roman" w:hAnsi="Times New Roman" w:hint="eastAsia"/>
          <w:bCs/>
          <w:sz w:val="20"/>
          <w:szCs w:val="20"/>
        </w:rPr>
        <w:t>（</w:t>
      </w:r>
      <w:r>
        <w:rPr>
          <w:rFonts w:ascii="Times New Roman" w:hAnsi="Times New Roman"/>
          <w:bCs/>
          <w:sz w:val="20"/>
          <w:szCs w:val="20"/>
        </w:rPr>
        <w:t>p.2</w:t>
      </w:r>
      <w:r>
        <w:rPr>
          <w:rFonts w:ascii="Times New Roman" w:hAnsi="Times New Roman" w:hint="eastAsia"/>
          <w:bCs/>
          <w:sz w:val="20"/>
          <w:szCs w:val="20"/>
        </w:rPr>
        <w:t>2</w:t>
      </w:r>
      <w:r>
        <w:rPr>
          <w:rFonts w:ascii="Times New Roman" w:hAnsi="Times New Roman" w:hint="eastAsia"/>
          <w:bCs/>
          <w:sz w:val="20"/>
          <w:szCs w:val="20"/>
        </w:rPr>
        <w:t>）</w:t>
      </w:r>
    </w:p>
    <w:p w:rsidR="00E43C20" w:rsidRPr="00DA3BC7" w:rsidRDefault="008E2BBC" w:rsidP="0055739A">
      <w:pPr>
        <w:ind w:leftChars="400" w:left="960"/>
        <w:jc w:val="both"/>
        <w:rPr>
          <w:rFonts w:ascii="Times New Roman" w:hAnsi="Times New Roman"/>
          <w:b/>
          <w:sz w:val="20"/>
          <w:szCs w:val="20"/>
          <w:bdr w:val="single" w:sz="4" w:space="0" w:color="auto"/>
        </w:rPr>
      </w:pPr>
      <w:r w:rsidRPr="008E2BBC">
        <w:rPr>
          <w:rFonts w:ascii="Times New Roman" w:hAnsi="Times New Roman" w:hint="eastAsia"/>
          <w:b/>
          <w:color w:val="FF0000"/>
          <w:sz w:val="20"/>
          <w:szCs w:val="20"/>
          <w:highlight w:val="yellow"/>
          <w:bdr w:val="single" w:sz="4" w:space="0" w:color="auto"/>
        </w:rPr>
        <w:t>a</w:t>
      </w:r>
      <w:r w:rsidR="00E43C20" w:rsidRPr="0055739A">
        <w:rPr>
          <w:rFonts w:ascii="Times New Roman" w:hAnsi="Times New Roman"/>
          <w:b/>
          <w:color w:val="FF0000"/>
          <w:sz w:val="20"/>
          <w:szCs w:val="20"/>
          <w:highlight w:val="yellow"/>
          <w:bdr w:val="single" w:sz="4" w:space="0" w:color="auto"/>
        </w:rPr>
        <w:t>、</w:t>
      </w:r>
      <w:r w:rsidR="00E43C20" w:rsidRPr="00DA3BC7">
        <w:rPr>
          <w:rFonts w:ascii="Times New Roman" w:hAnsi="Times New Roman"/>
          <w:b/>
          <w:sz w:val="20"/>
          <w:szCs w:val="20"/>
          <w:bdr w:val="single" w:sz="4" w:space="0" w:color="auto"/>
        </w:rPr>
        <w:t>〈</w:t>
      </w:r>
      <w:r w:rsidR="00E43C20" w:rsidRPr="00DA3BC7">
        <w:rPr>
          <w:rFonts w:ascii="Times New Roman" w:hAnsi="Times New Roman"/>
          <w:b/>
          <w:sz w:val="20"/>
          <w:szCs w:val="20"/>
          <w:bdr w:val="single" w:sz="4" w:space="0" w:color="auto"/>
        </w:rPr>
        <w:t>26</w:t>
      </w:r>
      <w:r w:rsidR="004D138A" w:rsidRPr="00DA3BC7">
        <w:rPr>
          <w:rFonts w:ascii="Times New Roman" w:hAnsi="Times New Roman"/>
          <w:b/>
          <w:sz w:val="20"/>
          <w:szCs w:val="20"/>
          <w:bdr w:val="single" w:sz="4" w:space="0" w:color="auto"/>
        </w:rPr>
        <w:t xml:space="preserve"> </w:t>
      </w:r>
      <w:r w:rsidR="00E43C20" w:rsidRPr="00DA3BC7">
        <w:rPr>
          <w:rFonts w:ascii="Times New Roman" w:hAnsi="Times New Roman"/>
          <w:b/>
          <w:sz w:val="20"/>
          <w:szCs w:val="20"/>
          <w:bdr w:val="single" w:sz="4" w:space="0" w:color="auto"/>
        </w:rPr>
        <w:t>觀十二因緣品〉</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p.22</w:t>
      </w:r>
      <w:r w:rsidR="00E43C20" w:rsidRPr="00DA3BC7">
        <w:rPr>
          <w:rFonts w:ascii="Times New Roman" w:hAnsi="Times New Roman" w:hint="eastAsia"/>
          <w:bCs/>
          <w:sz w:val="20"/>
          <w:szCs w:val="20"/>
        </w:rPr>
        <w:t>）</w:t>
      </w:r>
    </w:p>
    <w:p w:rsidR="00E43C20" w:rsidRPr="00DA3BC7" w:rsidRDefault="00E43C20" w:rsidP="00033F40">
      <w:pPr>
        <w:ind w:leftChars="400" w:left="960"/>
        <w:jc w:val="both"/>
        <w:rPr>
          <w:rFonts w:ascii="Times New Roman" w:hAnsi="Times New Roman"/>
        </w:rPr>
      </w:pPr>
      <w:r w:rsidRPr="00DA3BC7">
        <w:rPr>
          <w:rFonts w:ascii="Times New Roman" w:hAnsi="Times New Roman"/>
        </w:rPr>
        <w:t>〈</w:t>
      </w:r>
      <w:r w:rsidRPr="00DA76AC">
        <w:rPr>
          <w:rFonts w:ascii="Times New Roman" w:hAnsi="Times New Roman"/>
          <w:shd w:val="pct15" w:color="auto" w:fill="FFFFFF"/>
        </w:rPr>
        <w:t>26</w:t>
      </w:r>
      <w:r w:rsidR="004D138A" w:rsidRPr="00DA3BC7">
        <w:rPr>
          <w:rFonts w:ascii="Times New Roman" w:hAnsi="Times New Roman"/>
        </w:rPr>
        <w:t xml:space="preserve"> </w:t>
      </w:r>
      <w:r w:rsidRPr="00DA3BC7">
        <w:rPr>
          <w:rFonts w:ascii="Times New Roman" w:hAnsi="Times New Roman"/>
        </w:rPr>
        <w:t>觀十二因緣品〉，全依《阿含經》義。</w:t>
      </w:r>
    </w:p>
    <w:p w:rsidR="00E43C20" w:rsidRPr="00DA3BC7" w:rsidRDefault="008E2BBC" w:rsidP="00AE3920">
      <w:pPr>
        <w:spacing w:beforeLines="30"/>
        <w:ind w:leftChars="400" w:left="960"/>
        <w:jc w:val="both"/>
        <w:rPr>
          <w:rFonts w:ascii="Times New Roman" w:hAnsi="Times New Roman"/>
          <w:b/>
          <w:sz w:val="20"/>
          <w:szCs w:val="20"/>
          <w:bdr w:val="single" w:sz="4" w:space="0" w:color="auto"/>
        </w:rPr>
      </w:pPr>
      <w:r w:rsidRPr="008E2BBC">
        <w:rPr>
          <w:rFonts w:ascii="Times New Roman" w:hAnsi="Times New Roman" w:hint="eastAsia"/>
          <w:b/>
          <w:color w:val="FF0000"/>
          <w:sz w:val="20"/>
          <w:szCs w:val="20"/>
          <w:highlight w:val="yellow"/>
          <w:bdr w:val="single" w:sz="4" w:space="0" w:color="auto"/>
        </w:rPr>
        <w:t>b</w:t>
      </w:r>
      <w:r w:rsidR="00E43C20" w:rsidRPr="0055739A">
        <w:rPr>
          <w:rFonts w:ascii="Times New Roman" w:hAnsi="Times New Roman"/>
          <w:b/>
          <w:color w:val="FF0000"/>
          <w:sz w:val="20"/>
          <w:szCs w:val="20"/>
          <w:highlight w:val="yellow"/>
          <w:bdr w:val="single" w:sz="4" w:space="0" w:color="auto"/>
        </w:rPr>
        <w:t>、</w:t>
      </w:r>
      <w:r w:rsidR="00E43C20" w:rsidRPr="00DA3BC7">
        <w:rPr>
          <w:rFonts w:ascii="Times New Roman" w:hAnsi="Times New Roman"/>
          <w:b/>
          <w:sz w:val="20"/>
          <w:szCs w:val="20"/>
          <w:bdr w:val="single" w:sz="4" w:space="0" w:color="auto"/>
        </w:rPr>
        <w:t>〈</w:t>
      </w:r>
      <w:r w:rsidR="00E43C20" w:rsidRPr="00DA3BC7">
        <w:rPr>
          <w:rFonts w:ascii="Times New Roman" w:hAnsi="Times New Roman"/>
          <w:b/>
          <w:bCs/>
          <w:sz w:val="20"/>
          <w:szCs w:val="20"/>
          <w:bdr w:val="single" w:sz="4" w:space="0" w:color="auto"/>
        </w:rPr>
        <w:t>27</w:t>
      </w:r>
      <w:r w:rsidR="004D138A" w:rsidRPr="00DA3BC7">
        <w:rPr>
          <w:rFonts w:ascii="Times New Roman" w:hAnsi="Times New Roman"/>
          <w:b/>
          <w:bCs/>
          <w:sz w:val="20"/>
          <w:szCs w:val="20"/>
          <w:bdr w:val="single" w:sz="4" w:space="0" w:color="auto"/>
        </w:rPr>
        <w:t xml:space="preserve"> </w:t>
      </w:r>
      <w:r w:rsidR="00E43C20" w:rsidRPr="00DA3BC7">
        <w:rPr>
          <w:rFonts w:ascii="Times New Roman" w:hAnsi="Times New Roman"/>
          <w:b/>
          <w:sz w:val="20"/>
          <w:szCs w:val="20"/>
          <w:bdr w:val="single" w:sz="4" w:space="0" w:color="auto"/>
        </w:rPr>
        <w:t>觀邪見品〉</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p.22</w:t>
      </w:r>
      <w:r w:rsidR="00E43C20" w:rsidRPr="00DA3BC7">
        <w:rPr>
          <w:rFonts w:ascii="Times New Roman" w:hAnsi="Times New Roman" w:hint="eastAsia"/>
          <w:bCs/>
          <w:sz w:val="20"/>
          <w:szCs w:val="20"/>
        </w:rPr>
        <w:t>）</w:t>
      </w:r>
    </w:p>
    <w:p w:rsidR="00E43C20" w:rsidRPr="00DA3BC7" w:rsidRDefault="00E43C20" w:rsidP="00033F40">
      <w:pPr>
        <w:ind w:leftChars="400" w:left="960"/>
        <w:jc w:val="both"/>
        <w:rPr>
          <w:rFonts w:ascii="Times New Roman" w:hAnsi="Times New Roman"/>
        </w:rPr>
      </w:pPr>
      <w:r w:rsidRPr="00DA3BC7">
        <w:rPr>
          <w:rFonts w:ascii="Times New Roman" w:hAnsi="Times New Roman"/>
        </w:rPr>
        <w:t>〈</w:t>
      </w:r>
      <w:r w:rsidRPr="00DA76AC">
        <w:rPr>
          <w:rFonts w:ascii="Times New Roman" w:hAnsi="Times New Roman"/>
          <w:shd w:val="pct15" w:color="auto" w:fill="FFFFFF"/>
        </w:rPr>
        <w:t>27</w:t>
      </w:r>
      <w:r w:rsidR="004D138A" w:rsidRPr="00DA3BC7">
        <w:rPr>
          <w:rFonts w:ascii="Times New Roman" w:hAnsi="Times New Roman"/>
        </w:rPr>
        <w:t xml:space="preserve"> </w:t>
      </w:r>
      <w:r w:rsidRPr="00DA3BC7">
        <w:rPr>
          <w:rFonts w:ascii="Times New Roman" w:hAnsi="Times New Roman"/>
        </w:rPr>
        <w:t>觀邪見品〉，即破除我及世間常無常</w:t>
      </w:r>
      <w:r w:rsidRPr="00DA3BC7">
        <w:rPr>
          <w:rFonts w:ascii="Times New Roman" w:hAnsi="Times New Roman" w:hint="eastAsia"/>
        </w:rPr>
        <w:t>、</w:t>
      </w:r>
      <w:r w:rsidRPr="00DA3BC7">
        <w:rPr>
          <w:rFonts w:ascii="Times New Roman" w:hAnsi="Times New Roman"/>
        </w:rPr>
        <w:t>我及世間邊無邊的邪見，明我法空。</w:t>
      </w:r>
    </w:p>
    <w:p w:rsidR="008E2BBC" w:rsidRDefault="008E2BBC" w:rsidP="00AE3920">
      <w:pPr>
        <w:spacing w:beforeLines="30"/>
        <w:ind w:leftChars="350" w:left="840"/>
        <w:jc w:val="both"/>
        <w:rPr>
          <w:rFonts w:ascii="Times New Roman" w:hAnsi="Times New Roman"/>
          <w:b/>
          <w:bCs/>
          <w:color w:val="FF0000"/>
          <w:sz w:val="20"/>
          <w:szCs w:val="20"/>
          <w:bdr w:val="single" w:sz="4" w:space="0" w:color="auto" w:frame="1"/>
        </w:rPr>
      </w:pPr>
      <w:r>
        <w:rPr>
          <w:rFonts w:ascii="Times New Roman" w:hAnsi="Times New Roman" w:hint="eastAsia"/>
          <w:b/>
          <w:bCs/>
          <w:color w:val="FF0000"/>
          <w:sz w:val="20"/>
          <w:szCs w:val="20"/>
          <w:highlight w:val="yellow"/>
          <w:bdr w:val="single" w:sz="4" w:space="0" w:color="auto" w:frame="1"/>
        </w:rPr>
        <w:t>（</w:t>
      </w:r>
      <w:r>
        <w:rPr>
          <w:rFonts w:ascii="Times New Roman" w:hAnsi="Times New Roman"/>
          <w:b/>
          <w:bCs/>
          <w:color w:val="FF0000"/>
          <w:sz w:val="20"/>
          <w:szCs w:val="20"/>
          <w:highlight w:val="yellow"/>
          <w:bdr w:val="single" w:sz="4" w:space="0" w:color="auto" w:frame="1"/>
        </w:rPr>
        <w:t>B</w:t>
      </w:r>
      <w:r>
        <w:rPr>
          <w:rFonts w:ascii="Times New Roman" w:hAnsi="Times New Roman" w:hint="eastAsia"/>
          <w:b/>
          <w:bCs/>
          <w:color w:val="FF0000"/>
          <w:sz w:val="20"/>
          <w:szCs w:val="20"/>
          <w:highlight w:val="yellow"/>
          <w:bdr w:val="single" w:sz="4" w:space="0" w:color="auto" w:frame="1"/>
        </w:rPr>
        <w:t>）結成</w:t>
      </w:r>
    </w:p>
    <w:p w:rsidR="00E43C20" w:rsidRPr="00DA3BC7" w:rsidRDefault="00E43C20" w:rsidP="00033F40">
      <w:pPr>
        <w:widowControl/>
        <w:ind w:leftChars="350" w:left="840"/>
        <w:jc w:val="both"/>
        <w:rPr>
          <w:rFonts w:ascii="Times New Roman" w:hAnsi="Times New Roman"/>
          <w:b/>
        </w:rPr>
      </w:pPr>
      <w:r w:rsidRPr="00DA3BC7">
        <w:rPr>
          <w:rFonts w:ascii="Times New Roman" w:hAnsi="Times New Roman"/>
          <w:b/>
        </w:rPr>
        <w:t>正觀緣起，遠離邪見，這二品即論究世間滅道的精義。</w:t>
      </w:r>
    </w:p>
    <w:p w:rsidR="00E43C20" w:rsidRPr="00DA3BC7" w:rsidRDefault="008E2BBC" w:rsidP="00AE3920">
      <w:pPr>
        <w:spacing w:beforeLines="30"/>
        <w:ind w:leftChars="150" w:left="360"/>
        <w:jc w:val="both"/>
        <w:rPr>
          <w:rFonts w:ascii="Times New Roman" w:hAnsi="Times New Roman"/>
          <w:b/>
          <w:sz w:val="20"/>
          <w:szCs w:val="20"/>
        </w:rPr>
      </w:pPr>
      <w:r w:rsidRPr="008E2BBC">
        <w:rPr>
          <w:rFonts w:ascii="Times New Roman" w:hAnsi="Times New Roman" w:hint="eastAsia"/>
          <w:b/>
          <w:bCs/>
          <w:color w:val="FF0000"/>
          <w:sz w:val="20"/>
          <w:szCs w:val="20"/>
          <w:highlight w:val="yellow"/>
          <w:bdr w:val="single" w:sz="4" w:space="0" w:color="auto"/>
        </w:rPr>
        <w:lastRenderedPageBreak/>
        <w:t>（</w:t>
      </w:r>
      <w:r w:rsidRPr="008E2BBC">
        <w:rPr>
          <w:rFonts w:ascii="Times New Roman" w:hAnsi="Times New Roman" w:hint="eastAsia"/>
          <w:b/>
          <w:color w:val="FF0000"/>
          <w:sz w:val="20"/>
          <w:szCs w:val="20"/>
          <w:highlight w:val="yellow"/>
          <w:bdr w:val="single" w:sz="4" w:space="0" w:color="auto"/>
        </w:rPr>
        <w:t>三</w:t>
      </w:r>
      <w:r w:rsidRPr="008E2BBC">
        <w:rPr>
          <w:rFonts w:ascii="Times New Roman" w:hAnsi="Times New Roman" w:hint="eastAsia"/>
          <w:b/>
          <w:bCs/>
          <w:color w:val="FF0000"/>
          <w:sz w:val="20"/>
          <w:szCs w:val="20"/>
          <w:highlight w:val="yellow"/>
          <w:bdr w:val="single" w:sz="4" w:space="0" w:color="auto"/>
        </w:rPr>
        <w:t>）</w:t>
      </w:r>
      <w:r w:rsidR="00E43C20" w:rsidRPr="008E2BBC">
        <w:rPr>
          <w:rFonts w:ascii="Times New Roman" w:hAnsi="Times New Roman"/>
          <w:b/>
          <w:sz w:val="20"/>
          <w:szCs w:val="20"/>
          <w:bdr w:val="single" w:sz="4" w:space="0" w:color="auto"/>
        </w:rPr>
        <w:t>從</w:t>
      </w:r>
      <w:r w:rsidR="006D3C45" w:rsidRPr="006D3C45">
        <w:rPr>
          <w:rFonts w:ascii="Times New Roman" w:hAnsi="Times New Roman" w:hint="eastAsia"/>
          <w:b/>
          <w:color w:val="FF0000"/>
          <w:sz w:val="20"/>
          <w:szCs w:val="20"/>
          <w:highlight w:val="yellow"/>
          <w:bdr w:val="single" w:sz="4" w:space="0" w:color="auto"/>
        </w:rPr>
        <w:t>「</w:t>
      </w:r>
      <w:r w:rsidR="00E43C20" w:rsidRPr="008E2BBC">
        <w:rPr>
          <w:rFonts w:ascii="Times New Roman" w:hAnsi="Times New Roman" w:hint="eastAsia"/>
          <w:b/>
          <w:sz w:val="20"/>
          <w:szCs w:val="20"/>
          <w:bdr w:val="single" w:sz="4" w:space="0" w:color="auto"/>
        </w:rPr>
        <w:t>八不的根據</w:t>
      </w:r>
      <w:r w:rsidR="006D3C45" w:rsidRPr="006D3C45">
        <w:rPr>
          <w:rFonts w:ascii="Times New Roman" w:hAnsi="Times New Roman" w:hint="eastAsia"/>
          <w:b/>
          <w:color w:val="FF0000"/>
          <w:sz w:val="20"/>
          <w:szCs w:val="20"/>
          <w:highlight w:val="yellow"/>
          <w:bdr w:val="single" w:sz="4" w:space="0" w:color="auto"/>
        </w:rPr>
        <w:t>」</w:t>
      </w:r>
      <w:r w:rsidR="006D3C45">
        <w:rPr>
          <w:rFonts w:ascii="Times New Roman" w:hAnsi="Times New Roman" w:hint="eastAsia"/>
          <w:b/>
          <w:color w:val="FF0000"/>
          <w:sz w:val="20"/>
          <w:szCs w:val="20"/>
          <w:highlight w:val="yellow"/>
          <w:bdr w:val="single" w:sz="4" w:space="0" w:color="auto"/>
        </w:rPr>
        <w:t>以</w:t>
      </w:r>
      <w:r w:rsidR="00E43C20" w:rsidRPr="008E2BBC">
        <w:rPr>
          <w:rFonts w:ascii="Times New Roman" w:hAnsi="Times New Roman" w:hint="eastAsia"/>
          <w:b/>
          <w:sz w:val="20"/>
          <w:szCs w:val="20"/>
          <w:bdr w:val="single" w:sz="4" w:space="0" w:color="auto"/>
        </w:rPr>
        <w:t>明</w:t>
      </w:r>
      <w:r w:rsidR="00E43C20" w:rsidRPr="00DA3BC7">
        <w:rPr>
          <w:rFonts w:ascii="Times New Roman" w:hAnsi="Times New Roman" w:hint="eastAsia"/>
          <w:sz w:val="20"/>
          <w:szCs w:val="20"/>
        </w:rPr>
        <w:t>（</w:t>
      </w:r>
      <w:r w:rsidR="00E43C20" w:rsidRPr="00DA3BC7">
        <w:rPr>
          <w:rFonts w:ascii="Times New Roman" w:hAnsi="Times New Roman"/>
          <w:sz w:val="20"/>
          <w:szCs w:val="20"/>
        </w:rPr>
        <w:t>pp.22-</w:t>
      </w:r>
      <w:r w:rsidR="00E43C20" w:rsidRPr="00DA3BC7">
        <w:rPr>
          <w:rFonts w:ascii="Times New Roman" w:hAnsi="Times New Roman"/>
          <w:bCs/>
          <w:sz w:val="20"/>
          <w:szCs w:val="20"/>
        </w:rPr>
        <w:t>23</w:t>
      </w:r>
      <w:r w:rsidR="00E43C20" w:rsidRPr="00DA3BC7">
        <w:rPr>
          <w:rFonts w:ascii="Times New Roman" w:hAnsi="Times New Roman" w:hint="eastAsia"/>
          <w:sz w:val="20"/>
          <w:szCs w:val="20"/>
        </w:rPr>
        <w:t>）</w:t>
      </w:r>
    </w:p>
    <w:p w:rsidR="00E43C20" w:rsidRPr="00DA3BC7" w:rsidRDefault="008E2BBC" w:rsidP="0055739A">
      <w:pPr>
        <w:ind w:leftChars="200" w:left="480"/>
        <w:jc w:val="both"/>
        <w:rPr>
          <w:rFonts w:ascii="Times New Roman" w:hAnsi="Times New Roman"/>
          <w:b/>
          <w:sz w:val="20"/>
          <w:szCs w:val="20"/>
          <w:bdr w:val="single" w:sz="4" w:space="0" w:color="auto"/>
        </w:rPr>
      </w:pPr>
      <w:r w:rsidRPr="008E2BBC">
        <w:rPr>
          <w:rFonts w:ascii="Times New Roman" w:hAnsi="Times New Roman" w:hint="eastAsia"/>
          <w:b/>
          <w:color w:val="FF0000"/>
          <w:sz w:val="20"/>
          <w:szCs w:val="20"/>
          <w:highlight w:val="yellow"/>
          <w:bdr w:val="single" w:sz="4" w:space="0" w:color="auto"/>
        </w:rPr>
        <w:t>1</w:t>
      </w:r>
      <w:r w:rsidRPr="008E2BBC">
        <w:rPr>
          <w:rFonts w:ascii="Times New Roman" w:hAnsi="Times New Roman" w:hint="eastAsia"/>
          <w:b/>
          <w:color w:val="FF0000"/>
          <w:sz w:val="20"/>
          <w:szCs w:val="20"/>
          <w:highlight w:val="yellow"/>
          <w:bdr w:val="single" w:sz="4" w:space="0" w:color="auto"/>
        </w:rPr>
        <w:t>、總說</w:t>
      </w:r>
      <w:r w:rsidR="00E43C20" w:rsidRPr="00DA3BC7">
        <w:rPr>
          <w:rStyle w:val="a6"/>
          <w:rFonts w:ascii="Times New Roman" w:hAnsi="Times New Roman"/>
        </w:rPr>
        <w:footnoteReference w:id="167"/>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p.22</w:t>
      </w:r>
      <w:r w:rsidR="00E43C20" w:rsidRPr="00DA3BC7">
        <w:rPr>
          <w:rFonts w:ascii="Times New Roman" w:hAnsi="Times New Roman" w:hint="eastAsia"/>
          <w:bCs/>
          <w:sz w:val="20"/>
          <w:szCs w:val="20"/>
        </w:rPr>
        <w:t>）</w:t>
      </w:r>
    </w:p>
    <w:p w:rsidR="00E43C20" w:rsidRPr="00DA3BC7" w:rsidRDefault="00E43C20" w:rsidP="00033F40">
      <w:pPr>
        <w:ind w:leftChars="200" w:left="960" w:hangingChars="200" w:hanging="480"/>
        <w:jc w:val="both"/>
        <w:rPr>
          <w:rFonts w:ascii="Times New Roman" w:hAnsi="Times New Roman"/>
        </w:rPr>
      </w:pPr>
      <w:r w:rsidRPr="00DA3BC7">
        <w:rPr>
          <w:rFonts w:ascii="Times New Roman" w:hAnsi="Times New Roman"/>
        </w:rPr>
        <w:t>三、從《中論》開首的歸敬頌來說：緣起</w:t>
      </w:r>
      <w:r w:rsidRPr="00DA3BC7">
        <w:rPr>
          <w:rFonts w:ascii="Times New Roman" w:hAnsi="Times New Roman" w:hint="eastAsia"/>
        </w:rPr>
        <w:t>，</w:t>
      </w:r>
      <w:r w:rsidRPr="00DA3BC7">
        <w:rPr>
          <w:rFonts w:ascii="Times New Roman" w:hAnsi="Times New Roman"/>
        </w:rPr>
        <w:t>就是八不的中道。</w:t>
      </w:r>
      <w:r w:rsidR="007C48C2" w:rsidRPr="00DA3BC7">
        <w:rPr>
          <w:rFonts w:ascii="Times New Roman" w:hAnsi="Times New Roman"/>
          <w:vertAlign w:val="superscript"/>
        </w:rPr>
        <w:footnoteReference w:id="168"/>
      </w:r>
      <w:r w:rsidRPr="00DA3BC7">
        <w:rPr>
          <w:rFonts w:ascii="Times New Roman" w:hAnsi="Times New Roman"/>
        </w:rPr>
        <w:t>《中論》以中為名，即以八不顯示中道。</w:t>
      </w:r>
    </w:p>
    <w:p w:rsidR="00E43C20" w:rsidRPr="00DA3BC7" w:rsidRDefault="008E2BBC" w:rsidP="00AE3920">
      <w:pPr>
        <w:spacing w:beforeLines="30"/>
        <w:ind w:leftChars="200" w:left="480"/>
        <w:jc w:val="both"/>
        <w:rPr>
          <w:rFonts w:ascii="Times New Roman" w:hAnsi="Times New Roman"/>
          <w:b/>
          <w:sz w:val="20"/>
          <w:szCs w:val="20"/>
          <w:bdr w:val="single" w:sz="4" w:space="0" w:color="auto"/>
        </w:rPr>
      </w:pPr>
      <w:r w:rsidRPr="008E2BBC">
        <w:rPr>
          <w:rFonts w:ascii="Times New Roman" w:hAnsi="Times New Roman" w:hint="eastAsia"/>
          <w:b/>
          <w:color w:val="FF0000"/>
          <w:sz w:val="20"/>
          <w:szCs w:val="20"/>
          <w:highlight w:val="yellow"/>
          <w:bdr w:val="single" w:sz="4" w:space="0" w:color="auto"/>
        </w:rPr>
        <w:t>2</w:t>
      </w:r>
      <w:r w:rsidRPr="008E2BBC">
        <w:rPr>
          <w:rFonts w:ascii="Times New Roman" w:hAnsi="Times New Roman" w:hint="eastAsia"/>
          <w:b/>
          <w:color w:val="FF0000"/>
          <w:sz w:val="20"/>
          <w:szCs w:val="20"/>
          <w:highlight w:val="yellow"/>
          <w:bdr w:val="single" w:sz="4" w:space="0" w:color="auto"/>
        </w:rPr>
        <w:t>、</w:t>
      </w:r>
      <w:r w:rsidR="00E43C20" w:rsidRPr="008E2BBC">
        <w:rPr>
          <w:rFonts w:ascii="Times New Roman" w:hAnsi="Times New Roman" w:hint="eastAsia"/>
          <w:b/>
          <w:color w:val="FF0000"/>
          <w:sz w:val="20"/>
          <w:szCs w:val="20"/>
          <w:highlight w:val="yellow"/>
          <w:bdr w:val="single" w:sz="4" w:space="0" w:color="auto"/>
        </w:rPr>
        <w:t>別</w:t>
      </w:r>
      <w:r w:rsidRPr="008E2BBC">
        <w:rPr>
          <w:rFonts w:ascii="Times New Roman" w:hAnsi="Times New Roman" w:hint="eastAsia"/>
          <w:b/>
          <w:color w:val="FF0000"/>
          <w:sz w:val="20"/>
          <w:szCs w:val="20"/>
          <w:highlight w:val="yellow"/>
          <w:bdr w:val="single" w:sz="4" w:space="0" w:color="auto"/>
        </w:rPr>
        <w:t>辨</w:t>
      </w:r>
      <w:r w:rsidR="00E43C20" w:rsidRPr="00DA3BC7">
        <w:rPr>
          <w:rFonts w:ascii="Times New Roman" w:hAnsi="Times New Roman" w:hint="eastAsia"/>
          <w:sz w:val="20"/>
          <w:szCs w:val="20"/>
        </w:rPr>
        <w:t>（</w:t>
      </w:r>
      <w:r w:rsidR="00E43C20" w:rsidRPr="00DA3BC7">
        <w:rPr>
          <w:rFonts w:ascii="Times New Roman" w:hAnsi="Times New Roman"/>
          <w:sz w:val="20"/>
          <w:szCs w:val="20"/>
        </w:rPr>
        <w:t>pp.22-</w:t>
      </w:r>
      <w:r w:rsidR="00E43C20" w:rsidRPr="00DA3BC7">
        <w:rPr>
          <w:rFonts w:ascii="Times New Roman" w:hAnsi="Times New Roman"/>
          <w:bCs/>
          <w:sz w:val="20"/>
          <w:szCs w:val="20"/>
        </w:rPr>
        <w:t>23</w:t>
      </w:r>
      <w:r w:rsidR="00E43C20" w:rsidRPr="00DA3BC7">
        <w:rPr>
          <w:rFonts w:ascii="Times New Roman" w:hAnsi="Times New Roman" w:hint="eastAsia"/>
          <w:sz w:val="20"/>
          <w:szCs w:val="20"/>
        </w:rPr>
        <w:t>）</w:t>
      </w:r>
    </w:p>
    <w:p w:rsidR="00E43C20" w:rsidRPr="00DA3BC7" w:rsidRDefault="008E2BBC" w:rsidP="0055739A">
      <w:pPr>
        <w:ind w:leftChars="250" w:left="600"/>
        <w:jc w:val="both"/>
        <w:rPr>
          <w:rFonts w:ascii="Times New Roman" w:hAnsi="Times New Roman"/>
          <w:b/>
          <w:sz w:val="20"/>
          <w:szCs w:val="20"/>
          <w:bdr w:val="single" w:sz="4" w:space="0" w:color="auto"/>
        </w:rPr>
      </w:pPr>
      <w:r w:rsidRPr="008E2BBC">
        <w:rPr>
          <w:rFonts w:ascii="Times New Roman" w:hAnsi="Times New Roman" w:hint="eastAsia"/>
          <w:b/>
          <w:bCs/>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1</w:t>
      </w:r>
      <w:r w:rsidRPr="008E2BBC">
        <w:rPr>
          <w:rFonts w:ascii="Times New Roman" w:hAnsi="Times New Roman" w:hint="eastAsia"/>
          <w:b/>
          <w:bCs/>
          <w:color w:val="FF0000"/>
          <w:sz w:val="20"/>
          <w:szCs w:val="20"/>
          <w:highlight w:val="yellow"/>
          <w:bdr w:val="single" w:sz="4" w:space="0" w:color="auto"/>
        </w:rPr>
        <w:t>）</w:t>
      </w:r>
      <w:r w:rsidR="00E43C20" w:rsidRPr="00DA3BC7">
        <w:rPr>
          <w:rFonts w:ascii="Times New Roman" w:hAnsi="Times New Roman"/>
          <w:b/>
          <w:sz w:val="20"/>
          <w:szCs w:val="20"/>
          <w:bdr w:val="single" w:sz="4" w:space="0" w:color="auto"/>
        </w:rPr>
        <w:t>不常不斷</w:t>
      </w:r>
      <w:r w:rsidR="00E43C20" w:rsidRPr="00DA3BC7">
        <w:rPr>
          <w:rFonts w:ascii="Times New Roman" w:hAnsi="Times New Roman" w:hint="eastAsia"/>
          <w:b/>
          <w:sz w:val="20"/>
          <w:szCs w:val="20"/>
          <w:bdr w:val="single" w:sz="4" w:space="0" w:color="auto"/>
        </w:rPr>
        <w:t>，</w:t>
      </w:r>
      <w:r w:rsidRPr="008E2BBC">
        <w:rPr>
          <w:rFonts w:ascii="Times New Roman" w:hAnsi="Times New Roman" w:hint="eastAsia"/>
          <w:b/>
          <w:bCs/>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2</w:t>
      </w:r>
      <w:r w:rsidRPr="008E2BBC">
        <w:rPr>
          <w:rFonts w:ascii="Times New Roman" w:hAnsi="Times New Roman" w:hint="eastAsia"/>
          <w:b/>
          <w:bCs/>
          <w:color w:val="FF0000"/>
          <w:sz w:val="20"/>
          <w:szCs w:val="20"/>
          <w:highlight w:val="yellow"/>
          <w:bdr w:val="single" w:sz="4" w:space="0" w:color="auto"/>
        </w:rPr>
        <w:t>）</w:t>
      </w:r>
      <w:r w:rsidR="00E43C20" w:rsidRPr="00DA3BC7">
        <w:rPr>
          <w:rFonts w:ascii="Times New Roman" w:hAnsi="Times New Roman"/>
          <w:b/>
          <w:sz w:val="20"/>
          <w:szCs w:val="20"/>
          <w:bdr w:val="single" w:sz="4" w:space="0" w:color="auto"/>
        </w:rPr>
        <w:t>不一不異</w:t>
      </w:r>
      <w:r w:rsidR="00E43C20" w:rsidRPr="00DA3BC7">
        <w:rPr>
          <w:rFonts w:ascii="Times New Roman" w:hAnsi="Times New Roman" w:hint="eastAsia"/>
          <w:sz w:val="20"/>
          <w:szCs w:val="20"/>
        </w:rPr>
        <w:t>（</w:t>
      </w:r>
      <w:r w:rsidR="00E43C20" w:rsidRPr="00DA3BC7">
        <w:rPr>
          <w:rFonts w:ascii="Times New Roman" w:hAnsi="Times New Roman"/>
          <w:sz w:val="20"/>
          <w:szCs w:val="20"/>
        </w:rPr>
        <w:t>pp.22-</w:t>
      </w:r>
      <w:r w:rsidR="00E43C20" w:rsidRPr="00DA3BC7">
        <w:rPr>
          <w:rFonts w:ascii="Times New Roman" w:hAnsi="Times New Roman"/>
          <w:bCs/>
          <w:sz w:val="20"/>
          <w:szCs w:val="20"/>
        </w:rPr>
        <w:t>23</w:t>
      </w:r>
      <w:r w:rsidR="00E43C20" w:rsidRPr="00DA3BC7">
        <w:rPr>
          <w:rFonts w:ascii="Times New Roman" w:hAnsi="Times New Roman" w:hint="eastAsia"/>
          <w:sz w:val="20"/>
          <w:szCs w:val="20"/>
        </w:rPr>
        <w:t>）</w:t>
      </w:r>
    </w:p>
    <w:p w:rsidR="00E43C20" w:rsidRPr="00DA3BC7" w:rsidRDefault="00E43C20" w:rsidP="00033F40">
      <w:pPr>
        <w:ind w:leftChars="250" w:left="600"/>
        <w:jc w:val="both"/>
        <w:rPr>
          <w:rFonts w:ascii="Times New Roman" w:hAnsi="Times New Roman"/>
        </w:rPr>
      </w:pPr>
      <w:r w:rsidRPr="00DA3BC7">
        <w:rPr>
          <w:rFonts w:ascii="Times New Roman" w:hAnsi="Times New Roman"/>
        </w:rPr>
        <w:t>不常不斷的中道</w:t>
      </w:r>
      <w:r w:rsidRPr="00DA3BC7">
        <w:rPr>
          <w:rFonts w:ascii="Times New Roman" w:hAnsi="Times New Roman" w:hint="eastAsia"/>
        </w:rPr>
        <w:t>、</w:t>
      </w:r>
      <w:r w:rsidR="007C48C2" w:rsidRPr="00DA3BC7">
        <w:rPr>
          <w:rFonts w:ascii="Times New Roman" w:hAnsi="Times New Roman"/>
          <w:vertAlign w:val="superscript"/>
        </w:rPr>
        <w:footnoteReference w:id="169"/>
      </w:r>
      <w:r w:rsidRPr="00DA3BC7">
        <w:rPr>
          <w:rFonts w:ascii="Times New Roman" w:hAnsi="Times New Roman"/>
        </w:rPr>
        <w:t>不一不異的中道，</w:t>
      </w:r>
      <w:r w:rsidR="007C48C2" w:rsidRPr="00DA3BC7">
        <w:rPr>
          <w:rFonts w:ascii="Times New Roman" w:hAnsi="Times New Roman"/>
          <w:vertAlign w:val="superscript"/>
        </w:rPr>
        <w:footnoteReference w:id="170"/>
      </w:r>
      <w:r w:rsidRPr="00DA3BC7">
        <w:rPr>
          <w:rFonts w:ascii="Times New Roman" w:hAnsi="Times New Roman"/>
        </w:rPr>
        <w:t>出於《阿含經》，上來都曾引證過。</w:t>
      </w:r>
    </w:p>
    <w:p w:rsidR="00E43C20" w:rsidRPr="00DA3BC7" w:rsidRDefault="008E2BBC" w:rsidP="00AE3920">
      <w:pPr>
        <w:spacing w:beforeLines="30"/>
        <w:ind w:leftChars="250" w:left="600"/>
        <w:jc w:val="both"/>
        <w:rPr>
          <w:rFonts w:ascii="Times New Roman" w:hAnsi="Times New Roman"/>
          <w:b/>
          <w:sz w:val="20"/>
          <w:szCs w:val="20"/>
          <w:bdr w:val="single" w:sz="4" w:space="0" w:color="auto"/>
        </w:rPr>
      </w:pPr>
      <w:r w:rsidRPr="008E2BBC">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3</w:t>
      </w:r>
      <w:r w:rsidRPr="008E2BBC">
        <w:rPr>
          <w:rFonts w:ascii="Times New Roman" w:hAnsi="Times New Roman" w:hint="eastAsia"/>
          <w:b/>
          <w:bCs/>
          <w:color w:val="FF0000"/>
          <w:sz w:val="20"/>
          <w:szCs w:val="20"/>
          <w:highlight w:val="yellow"/>
          <w:bdr w:val="single" w:sz="4" w:space="0" w:color="auto"/>
        </w:rPr>
        <w:t>）</w:t>
      </w:r>
      <w:r w:rsidR="00E43C20" w:rsidRPr="00DA3BC7">
        <w:rPr>
          <w:rFonts w:ascii="Times New Roman" w:hAnsi="Times New Roman"/>
          <w:b/>
          <w:sz w:val="20"/>
          <w:szCs w:val="20"/>
          <w:bdr w:val="single" w:sz="4" w:space="0" w:color="auto"/>
        </w:rPr>
        <w:t>不來不去</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p.23</w:t>
      </w:r>
      <w:r w:rsidR="00E43C20" w:rsidRPr="00DA3BC7">
        <w:rPr>
          <w:rFonts w:ascii="Times New Roman" w:hAnsi="Times New Roman" w:hint="eastAsia"/>
          <w:bCs/>
          <w:sz w:val="20"/>
          <w:szCs w:val="20"/>
        </w:rPr>
        <w:t>）</w:t>
      </w:r>
    </w:p>
    <w:p w:rsidR="00E43C20" w:rsidRPr="00DA3BC7" w:rsidRDefault="00E43C20" w:rsidP="00033F40">
      <w:pPr>
        <w:ind w:leftChars="250" w:left="600"/>
        <w:jc w:val="both"/>
        <w:rPr>
          <w:rFonts w:ascii="Times New Roman" w:hAnsi="Times New Roman"/>
        </w:rPr>
      </w:pPr>
      <w:r w:rsidRPr="00DA3BC7">
        <w:rPr>
          <w:rFonts w:ascii="Times New Roman" w:hAnsi="Times New Roman"/>
        </w:rPr>
        <w:t>不來不去，在《雜阿含經》的《第一義空經》，也曾說到。</w:t>
      </w:r>
      <w:r w:rsidR="007C48C2" w:rsidRPr="00DA3BC7">
        <w:rPr>
          <w:rFonts w:ascii="Times New Roman" w:hAnsi="Times New Roman"/>
          <w:vertAlign w:val="superscript"/>
        </w:rPr>
        <w:footnoteReference w:id="171"/>
      </w:r>
      <w:r w:rsidRPr="00DA3BC7">
        <w:rPr>
          <w:rFonts w:ascii="Times New Roman" w:hAnsi="Times New Roman"/>
        </w:rPr>
        <w:t>在顯示緣</w:t>
      </w:r>
      <w:r w:rsidRPr="00DA3BC7">
        <w:rPr>
          <w:rFonts w:ascii="Times New Roman" w:hAnsi="Times New Roman"/>
        </w:rPr>
        <w:lastRenderedPageBreak/>
        <w:t>起的有因有果而無作無受時說：「</w:t>
      </w:r>
      <w:r w:rsidRPr="00DA3BC7">
        <w:rPr>
          <w:rFonts w:ascii="標楷體" w:eastAsia="標楷體" w:hAnsi="標楷體" w:hint="eastAsia"/>
        </w:rPr>
        <w:t>眼生時無有來處，滅時無有去處。</w:t>
      </w:r>
      <w:r w:rsidRPr="00DA3BC7">
        <w:rPr>
          <w:rFonts w:ascii="Times New Roman" w:hAnsi="Times New Roman"/>
        </w:rPr>
        <w:t>」這即是在緣起的生滅中，指出不來不去的中道。</w:t>
      </w:r>
    </w:p>
    <w:p w:rsidR="00E43C20" w:rsidRPr="00DA3BC7" w:rsidRDefault="008E2BBC" w:rsidP="00AE3920">
      <w:pPr>
        <w:spacing w:beforeLines="30"/>
        <w:ind w:leftChars="250" w:left="600"/>
        <w:jc w:val="both"/>
        <w:rPr>
          <w:rFonts w:ascii="Times New Roman" w:hAnsi="Times New Roman"/>
          <w:b/>
          <w:sz w:val="20"/>
          <w:szCs w:val="20"/>
          <w:bdr w:val="single" w:sz="4" w:space="0" w:color="auto"/>
        </w:rPr>
      </w:pPr>
      <w:r w:rsidRPr="008E2BBC">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4</w:t>
      </w:r>
      <w:r w:rsidRPr="008E2BBC">
        <w:rPr>
          <w:rFonts w:ascii="Times New Roman" w:hAnsi="Times New Roman" w:hint="eastAsia"/>
          <w:b/>
          <w:bCs/>
          <w:color w:val="FF0000"/>
          <w:sz w:val="20"/>
          <w:szCs w:val="20"/>
          <w:highlight w:val="yellow"/>
          <w:bdr w:val="single" w:sz="4" w:space="0" w:color="auto"/>
        </w:rPr>
        <w:t>）</w:t>
      </w:r>
      <w:r w:rsidR="00E43C20" w:rsidRPr="00DA3BC7">
        <w:rPr>
          <w:rFonts w:ascii="Times New Roman" w:hAnsi="Times New Roman"/>
          <w:b/>
          <w:sz w:val="20"/>
          <w:szCs w:val="20"/>
          <w:bdr w:val="single" w:sz="4" w:space="0" w:color="auto"/>
        </w:rPr>
        <w:t>不生不滅</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p.23</w:t>
      </w:r>
      <w:r w:rsidR="00E43C20" w:rsidRPr="00DA3BC7">
        <w:rPr>
          <w:rFonts w:ascii="Times New Roman" w:hAnsi="Times New Roman" w:hint="eastAsia"/>
          <w:bCs/>
          <w:sz w:val="20"/>
          <w:szCs w:val="20"/>
        </w:rPr>
        <w:t>）</w:t>
      </w:r>
    </w:p>
    <w:p w:rsidR="00E43C20" w:rsidRPr="00DA3BC7" w:rsidRDefault="00E43C20" w:rsidP="00033F40">
      <w:pPr>
        <w:ind w:leftChars="250" w:left="600"/>
        <w:jc w:val="both"/>
        <w:rPr>
          <w:rFonts w:ascii="Times New Roman" w:hAnsi="Times New Roman"/>
        </w:rPr>
      </w:pPr>
      <w:r w:rsidRPr="00DA3BC7">
        <w:rPr>
          <w:rFonts w:ascii="Times New Roman" w:hAnsi="Times New Roman"/>
        </w:rPr>
        <w:t>不生不滅，據《阿含經》義，指無為法而說</w:t>
      </w:r>
      <w:r w:rsidRPr="00DA3BC7">
        <w:rPr>
          <w:rFonts w:ascii="Times New Roman" w:hAnsi="Times New Roman" w:hint="eastAsia"/>
        </w:rPr>
        <w:t>。</w:t>
      </w:r>
      <w:r w:rsidRPr="00DA3BC7">
        <w:rPr>
          <w:rFonts w:ascii="Times New Roman" w:hAnsi="Times New Roman"/>
        </w:rPr>
        <w:t>無為法是不生</w:t>
      </w:r>
      <w:r w:rsidRPr="00DA3BC7">
        <w:rPr>
          <w:rFonts w:ascii="Times New Roman" w:hAnsi="Times New Roman" w:hint="eastAsia"/>
        </w:rPr>
        <w:t>、</w:t>
      </w:r>
      <w:r w:rsidRPr="00DA3BC7">
        <w:rPr>
          <w:rFonts w:ascii="Times New Roman" w:hAnsi="Times New Roman"/>
        </w:rPr>
        <w:t>不住</w:t>
      </w:r>
      <w:r w:rsidRPr="00DA3BC7">
        <w:rPr>
          <w:rFonts w:ascii="Times New Roman" w:hAnsi="Times New Roman" w:hint="eastAsia"/>
        </w:rPr>
        <w:t>、</w:t>
      </w:r>
      <w:r w:rsidRPr="00DA3BC7">
        <w:rPr>
          <w:rFonts w:ascii="Times New Roman" w:hAnsi="Times New Roman"/>
        </w:rPr>
        <w:t>不滅的，無為即涅槃寂滅，</w:t>
      </w:r>
      <w:r w:rsidR="007C48C2" w:rsidRPr="00DA3BC7">
        <w:rPr>
          <w:rFonts w:ascii="Times New Roman" w:hAnsi="Times New Roman"/>
          <w:vertAlign w:val="superscript"/>
        </w:rPr>
        <w:footnoteReference w:id="172"/>
      </w:r>
      <w:r w:rsidRPr="00DA3BC7">
        <w:rPr>
          <w:rFonts w:ascii="Times New Roman" w:hAnsi="Times New Roman"/>
        </w:rPr>
        <w:t>即緣起的寂滅性。</w:t>
      </w:r>
      <w:r w:rsidRPr="00DA3BC7">
        <w:rPr>
          <w:rFonts w:ascii="Times New Roman" w:hAnsi="Times New Roman"/>
          <w:vertAlign w:val="superscript"/>
        </w:rPr>
        <w:footnoteReference w:id="173"/>
      </w:r>
    </w:p>
    <w:p w:rsidR="00E43C20" w:rsidRPr="00DA3BC7" w:rsidRDefault="008E2BBC" w:rsidP="00AE3920">
      <w:pPr>
        <w:spacing w:beforeLines="30"/>
        <w:ind w:leftChars="200" w:left="480"/>
        <w:jc w:val="both"/>
        <w:rPr>
          <w:rFonts w:ascii="Times New Roman" w:hAnsi="Times New Roman"/>
          <w:b/>
          <w:sz w:val="20"/>
          <w:szCs w:val="20"/>
          <w:bdr w:val="single" w:sz="4" w:space="0" w:color="auto"/>
        </w:rPr>
      </w:pPr>
      <w:r w:rsidRPr="008E2BBC">
        <w:rPr>
          <w:rFonts w:ascii="Times New Roman" w:hAnsi="Times New Roman" w:hint="eastAsia"/>
          <w:b/>
          <w:color w:val="FF0000"/>
          <w:sz w:val="20"/>
          <w:szCs w:val="20"/>
          <w:highlight w:val="yellow"/>
          <w:bdr w:val="single" w:sz="4" w:space="0" w:color="auto"/>
        </w:rPr>
        <w:t>3</w:t>
      </w:r>
      <w:r w:rsidRPr="008E2BBC">
        <w:rPr>
          <w:rFonts w:ascii="Times New Roman" w:hAnsi="Times New Roman" w:hint="eastAsia"/>
          <w:b/>
          <w:color w:val="FF0000"/>
          <w:sz w:val="20"/>
          <w:szCs w:val="20"/>
          <w:highlight w:val="yellow"/>
          <w:bdr w:val="single" w:sz="4" w:space="0" w:color="auto"/>
        </w:rPr>
        <w:t>、顯義</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p.23</w:t>
      </w:r>
      <w:r w:rsidR="00E43C20" w:rsidRPr="00DA3BC7">
        <w:rPr>
          <w:rFonts w:ascii="Times New Roman" w:hAnsi="Times New Roman" w:hint="eastAsia"/>
          <w:bCs/>
          <w:sz w:val="20"/>
          <w:szCs w:val="20"/>
        </w:rPr>
        <w:t>）</w:t>
      </w:r>
    </w:p>
    <w:p w:rsidR="00E43C20" w:rsidRPr="00DA3BC7" w:rsidRDefault="00E43C20" w:rsidP="00033F40">
      <w:pPr>
        <w:ind w:leftChars="200" w:left="480"/>
        <w:jc w:val="both"/>
        <w:rPr>
          <w:rFonts w:ascii="Times New Roman" w:hAnsi="Times New Roman"/>
        </w:rPr>
      </w:pPr>
      <w:r w:rsidRPr="00DA3BC7">
        <w:rPr>
          <w:rFonts w:ascii="Times New Roman" w:hAnsi="Times New Roman"/>
        </w:rPr>
        <w:t>龍樹以此八不的緣起說，為止息戲論而寂滅的第一教說：「</w:t>
      </w:r>
      <w:r w:rsidRPr="00DA3BC7">
        <w:rPr>
          <w:rFonts w:ascii="Times New Roman" w:eastAsia="標楷體" w:hAnsi="Times New Roman"/>
        </w:rPr>
        <w:t>瞿曇大聖主，憐</w:t>
      </w:r>
      <w:r w:rsidRPr="00DA3BC7">
        <w:rPr>
          <w:rFonts w:ascii="Times New Roman" w:eastAsia="標楷體" w:hAnsi="Times New Roman" w:hint="eastAsia"/>
        </w:rPr>
        <w:t>愍</w:t>
      </w:r>
      <w:r w:rsidRPr="00DA3BC7">
        <w:rPr>
          <w:rFonts w:ascii="Times New Roman" w:eastAsia="標楷體" w:hAnsi="Times New Roman"/>
        </w:rPr>
        <w:t>說是法，悉斷一切見，我今稽首禮</w:t>
      </w:r>
      <w:r w:rsidRPr="00DA3BC7">
        <w:rPr>
          <w:rFonts w:ascii="Times New Roman" w:eastAsia="標楷體" w:hAnsi="Times New Roman" w:hint="eastAsia"/>
        </w:rPr>
        <w:t>。</w:t>
      </w:r>
      <w:r w:rsidRPr="00DA3BC7">
        <w:rPr>
          <w:rFonts w:ascii="Times New Roman" w:hAnsi="Times New Roman"/>
        </w:rPr>
        <w:t>」</w:t>
      </w:r>
      <w:r w:rsidRPr="00DA3BC7">
        <w:rPr>
          <w:rFonts w:ascii="Times New Roman" w:hAnsi="Times New Roman"/>
          <w:vertAlign w:val="superscript"/>
        </w:rPr>
        <w:footnoteReference w:id="174"/>
      </w:r>
      <w:r w:rsidRPr="00DA3BC7">
        <w:rPr>
          <w:rFonts w:ascii="Times New Roman" w:hAnsi="Times New Roman"/>
        </w:rPr>
        <w:t>歸功於瞿曇，這也可見與《阿含</w:t>
      </w:r>
      <w:r w:rsidRPr="00DA3BC7">
        <w:rPr>
          <w:rFonts w:ascii="Times New Roman" w:hAnsi="Times New Roman" w:hint="eastAsia"/>
        </w:rPr>
        <w:t>經</w:t>
      </w:r>
      <w:r w:rsidRPr="00DA3BC7">
        <w:rPr>
          <w:rFonts w:ascii="Times New Roman" w:hAnsi="Times New Roman"/>
        </w:rPr>
        <w:t>》的關切</w:t>
      </w:r>
      <w:r w:rsidRPr="00DA3BC7">
        <w:rPr>
          <w:rStyle w:val="a6"/>
          <w:rFonts w:ascii="Times New Roman" w:hAnsi="Times New Roman"/>
        </w:rPr>
        <w:footnoteReference w:id="175"/>
      </w:r>
      <w:r w:rsidRPr="00DA3BC7">
        <w:rPr>
          <w:rFonts w:ascii="Times New Roman" w:hAnsi="Times New Roman"/>
        </w:rPr>
        <w:t>了！</w:t>
      </w:r>
    </w:p>
    <w:p w:rsidR="00E43C20" w:rsidRPr="00DA3BC7" w:rsidRDefault="008E2BBC" w:rsidP="00AE3920">
      <w:pPr>
        <w:spacing w:beforeLines="30"/>
        <w:ind w:leftChars="100" w:left="240"/>
        <w:jc w:val="both"/>
        <w:rPr>
          <w:rFonts w:ascii="Times New Roman" w:hAnsi="Times New Roman"/>
          <w:b/>
          <w:bCs/>
          <w:sz w:val="20"/>
          <w:szCs w:val="20"/>
          <w:bdr w:val="single" w:sz="4" w:space="0" w:color="auto"/>
        </w:rPr>
      </w:pPr>
      <w:r>
        <w:rPr>
          <w:rFonts w:ascii="Times New Roman" w:hAnsi="Times New Roman" w:hint="eastAsia"/>
          <w:b/>
          <w:bCs/>
          <w:color w:val="FF0000"/>
          <w:sz w:val="20"/>
          <w:szCs w:val="20"/>
          <w:highlight w:val="yellow"/>
          <w:bdr w:val="single" w:sz="4" w:space="0" w:color="auto"/>
        </w:rPr>
        <w:t>三</w:t>
      </w:r>
      <w:r w:rsidR="00E43C20" w:rsidRPr="008E2BBC">
        <w:rPr>
          <w:rFonts w:ascii="Times New Roman" w:hAnsi="Times New Roman"/>
          <w:b/>
          <w:bCs/>
          <w:color w:val="FF0000"/>
          <w:sz w:val="20"/>
          <w:szCs w:val="20"/>
          <w:highlight w:val="yellow"/>
          <w:bdr w:val="single" w:sz="4" w:space="0" w:color="auto"/>
        </w:rPr>
        <w:t>、結</w:t>
      </w:r>
      <w:r w:rsidRPr="008E2BBC">
        <w:rPr>
          <w:rFonts w:ascii="Times New Roman" w:hAnsi="Times New Roman" w:hint="eastAsia"/>
          <w:b/>
          <w:bCs/>
          <w:color w:val="FF0000"/>
          <w:sz w:val="20"/>
          <w:szCs w:val="20"/>
          <w:highlight w:val="yellow"/>
          <w:bdr w:val="single" w:sz="4" w:space="0" w:color="auto"/>
        </w:rPr>
        <w:t>成</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p.23</w:t>
      </w:r>
      <w:r w:rsidR="00E43C20" w:rsidRPr="00DA3BC7">
        <w:rPr>
          <w:rFonts w:ascii="Times New Roman" w:hAnsi="Times New Roman" w:hint="eastAsia"/>
          <w:bCs/>
          <w:sz w:val="20"/>
          <w:szCs w:val="20"/>
        </w:rPr>
        <w:t>）</w:t>
      </w:r>
    </w:p>
    <w:p w:rsidR="00E43C20" w:rsidRPr="00DA3BC7" w:rsidRDefault="00E43C20" w:rsidP="008E2BBC">
      <w:pPr>
        <w:ind w:leftChars="100" w:left="240"/>
        <w:jc w:val="both"/>
        <w:rPr>
          <w:rFonts w:ascii="Times New Roman" w:hAnsi="Times New Roman"/>
        </w:rPr>
      </w:pPr>
      <w:r w:rsidRPr="00DA3BC7">
        <w:rPr>
          <w:rFonts w:ascii="Times New Roman" w:hAnsi="Times New Roman"/>
        </w:rPr>
        <w:t>這樣，</w:t>
      </w:r>
      <w:r w:rsidRPr="00DA3BC7">
        <w:rPr>
          <w:rFonts w:ascii="Times New Roman" w:hAnsi="Times New Roman"/>
          <w:b/>
          <w:bCs/>
        </w:rPr>
        <w:t>從引證的聖典看</w:t>
      </w:r>
      <w:r w:rsidRPr="00DA3BC7">
        <w:rPr>
          <w:rFonts w:ascii="Times New Roman" w:hAnsi="Times New Roman"/>
        </w:rPr>
        <w:t>，</w:t>
      </w:r>
      <w:r w:rsidRPr="00DA3BC7">
        <w:rPr>
          <w:rFonts w:ascii="Times New Roman" w:hAnsi="Times New Roman"/>
          <w:b/>
          <w:bCs/>
        </w:rPr>
        <w:t>從本論的內容看，從八不的根據看</w:t>
      </w:r>
      <w:r w:rsidRPr="00DA3BC7">
        <w:rPr>
          <w:rFonts w:ascii="Times New Roman" w:hAnsi="Times New Roman"/>
        </w:rPr>
        <w:t>，都不難看出《中論》的意趣所在。</w:t>
      </w:r>
    </w:p>
    <w:p w:rsidR="00E43C20" w:rsidRPr="00DA3BC7" w:rsidRDefault="00E43C20" w:rsidP="00AE3920">
      <w:pPr>
        <w:spacing w:beforeLines="30"/>
        <w:jc w:val="both"/>
        <w:rPr>
          <w:rFonts w:ascii="Times New Roman" w:hAnsi="Times New Roman"/>
          <w:b/>
          <w:bCs/>
          <w:sz w:val="20"/>
          <w:szCs w:val="20"/>
        </w:rPr>
      </w:pPr>
      <w:r w:rsidRPr="00DA3BC7">
        <w:rPr>
          <w:rFonts w:ascii="Times New Roman" w:hAnsi="Times New Roman" w:hint="eastAsia"/>
          <w:b/>
          <w:sz w:val="20"/>
          <w:szCs w:val="20"/>
          <w:bdr w:val="single" w:sz="4" w:space="0" w:color="auto"/>
        </w:rPr>
        <w:t>貳</w:t>
      </w:r>
      <w:r w:rsidRPr="00DA3BC7">
        <w:rPr>
          <w:rFonts w:ascii="Times New Roman" w:hAnsi="Times New Roman"/>
          <w:b/>
          <w:sz w:val="20"/>
          <w:szCs w:val="20"/>
          <w:bdr w:val="single" w:sz="4" w:space="0" w:color="auto"/>
        </w:rPr>
        <w:t>、</w:t>
      </w:r>
      <w:r w:rsidR="008E2BBC" w:rsidRPr="008E2BBC">
        <w:rPr>
          <w:rFonts w:ascii="Times New Roman" w:hAnsi="Times New Roman" w:hint="eastAsia"/>
          <w:b/>
          <w:color w:val="FF0000"/>
          <w:sz w:val="20"/>
          <w:szCs w:val="20"/>
          <w:highlight w:val="yellow"/>
          <w:bdr w:val="single" w:sz="4" w:space="0" w:color="auto"/>
        </w:rPr>
        <w:t>引</w:t>
      </w:r>
      <w:r w:rsidRPr="00DA3BC7">
        <w:rPr>
          <w:rFonts w:ascii="Times New Roman" w:hAnsi="Times New Roman"/>
          <w:b/>
          <w:sz w:val="20"/>
          <w:szCs w:val="20"/>
          <w:bdr w:val="single" w:sz="4" w:space="0" w:color="auto"/>
        </w:rPr>
        <w:t>《大智度論》</w:t>
      </w:r>
      <w:r w:rsidR="008E2BBC">
        <w:rPr>
          <w:rFonts w:ascii="Times New Roman" w:hAnsi="Times New Roman" w:hint="eastAsia"/>
          <w:b/>
          <w:bCs/>
          <w:color w:val="FF0000"/>
          <w:sz w:val="20"/>
          <w:szCs w:val="20"/>
          <w:highlight w:val="yellow"/>
          <w:bdr w:val="single" w:sz="4" w:space="0" w:color="auto"/>
        </w:rPr>
        <w:t>為證</w:t>
      </w:r>
      <w:r w:rsidRPr="00DA3BC7">
        <w:rPr>
          <w:rFonts w:ascii="Times New Roman" w:hAnsi="Times New Roman" w:hint="eastAsia"/>
          <w:bCs/>
          <w:sz w:val="20"/>
          <w:szCs w:val="20"/>
        </w:rPr>
        <w:t>（</w:t>
      </w:r>
      <w:r w:rsidRPr="00DA3BC7">
        <w:rPr>
          <w:rFonts w:ascii="Times New Roman" w:hAnsi="Times New Roman"/>
          <w:bCs/>
          <w:sz w:val="20"/>
          <w:szCs w:val="20"/>
        </w:rPr>
        <w:t>pp.23-24</w:t>
      </w:r>
      <w:r w:rsidRPr="00DA3BC7">
        <w:rPr>
          <w:rFonts w:ascii="Times New Roman" w:hAnsi="Times New Roman"/>
          <w:b/>
          <w:bCs/>
          <w:sz w:val="20"/>
          <w:szCs w:val="20"/>
        </w:rPr>
        <w:t>）</w:t>
      </w:r>
    </w:p>
    <w:p w:rsidR="00E43C20" w:rsidRPr="00DA3BC7" w:rsidRDefault="00E43C20" w:rsidP="008E2BBC">
      <w:pPr>
        <w:ind w:leftChars="50" w:left="120"/>
        <w:jc w:val="both"/>
        <w:rPr>
          <w:rFonts w:ascii="Times New Roman" w:hAnsi="Times New Roman"/>
          <w:b/>
          <w:sz w:val="20"/>
          <w:szCs w:val="20"/>
          <w:bdr w:val="single" w:sz="4" w:space="0" w:color="auto"/>
        </w:rPr>
      </w:pPr>
      <w:r w:rsidRPr="00DA3BC7">
        <w:rPr>
          <w:rFonts w:ascii="Times New Roman" w:hAnsi="Times New Roman"/>
          <w:b/>
          <w:bCs/>
          <w:sz w:val="20"/>
          <w:szCs w:val="20"/>
          <w:bdr w:val="single" w:sz="4" w:space="0" w:color="auto"/>
        </w:rPr>
        <w:t>（壹）</w:t>
      </w:r>
      <w:r w:rsidR="008E2BBC">
        <w:rPr>
          <w:rFonts w:ascii="Times New Roman" w:hAnsi="Times New Roman" w:hint="eastAsia"/>
          <w:b/>
          <w:bCs/>
          <w:color w:val="FF0000"/>
          <w:sz w:val="20"/>
          <w:szCs w:val="20"/>
          <w:highlight w:val="yellow"/>
          <w:bdr w:val="single" w:sz="4" w:space="0" w:color="auto"/>
        </w:rPr>
        <w:t>概述</w:t>
      </w:r>
      <w:r w:rsidRPr="00DA3BC7">
        <w:rPr>
          <w:rFonts w:ascii="Times New Roman" w:hAnsi="Times New Roman" w:hint="eastAsia"/>
          <w:bCs/>
          <w:sz w:val="20"/>
          <w:szCs w:val="20"/>
        </w:rPr>
        <w:t>（</w:t>
      </w:r>
      <w:r w:rsidRPr="00DA3BC7">
        <w:rPr>
          <w:rFonts w:ascii="Times New Roman" w:hAnsi="Times New Roman"/>
          <w:bCs/>
          <w:sz w:val="20"/>
          <w:szCs w:val="20"/>
        </w:rPr>
        <w:t>p.23</w:t>
      </w:r>
      <w:r w:rsidRPr="00DA3BC7">
        <w:rPr>
          <w:rFonts w:ascii="Times New Roman" w:hAnsi="Times New Roman" w:hint="eastAsia"/>
          <w:bCs/>
          <w:sz w:val="20"/>
          <w:szCs w:val="20"/>
        </w:rPr>
        <w:t>）</w:t>
      </w:r>
    </w:p>
    <w:p w:rsidR="008E2BBC" w:rsidRDefault="00E43C20" w:rsidP="008E2BBC">
      <w:pPr>
        <w:ind w:leftChars="50" w:left="120"/>
        <w:jc w:val="both"/>
        <w:rPr>
          <w:rFonts w:ascii="Times New Roman" w:hAnsi="Times New Roman"/>
        </w:rPr>
      </w:pPr>
      <w:r w:rsidRPr="00DA3BC7">
        <w:rPr>
          <w:rFonts w:ascii="Times New Roman" w:hAnsi="Times New Roman"/>
        </w:rPr>
        <w:t>龍樹的思想，不僅《中論》如此，《大智度論》也還是如此。</w:t>
      </w:r>
    </w:p>
    <w:p w:rsidR="008E2BBC" w:rsidRDefault="008E2BBC" w:rsidP="00AE3920">
      <w:pPr>
        <w:spacing w:beforeLines="30"/>
        <w:ind w:leftChars="50" w:left="120"/>
        <w:jc w:val="both"/>
        <w:rPr>
          <w:rFonts w:ascii="Times New Roman" w:hAnsi="Times New Roman"/>
          <w:bCs/>
          <w:sz w:val="20"/>
          <w:szCs w:val="20"/>
        </w:rPr>
      </w:pPr>
      <w:r w:rsidRPr="00DA3BC7">
        <w:rPr>
          <w:rFonts w:ascii="Times New Roman" w:hAnsi="Times New Roman"/>
          <w:b/>
          <w:bCs/>
          <w:sz w:val="20"/>
          <w:szCs w:val="20"/>
          <w:bdr w:val="single" w:sz="4" w:space="0" w:color="auto"/>
        </w:rPr>
        <w:t>（貳）</w:t>
      </w:r>
      <w:r>
        <w:rPr>
          <w:rFonts w:ascii="Times New Roman" w:hAnsi="Times New Roman" w:hint="eastAsia"/>
          <w:b/>
          <w:bCs/>
          <w:color w:val="FF0000"/>
          <w:sz w:val="20"/>
          <w:szCs w:val="20"/>
          <w:highlight w:val="yellow"/>
          <w:bdr w:val="single" w:sz="4" w:space="0" w:color="auto"/>
        </w:rPr>
        <w:t>述明</w:t>
      </w:r>
      <w:r w:rsidRPr="00DA3BC7">
        <w:rPr>
          <w:rFonts w:ascii="Times New Roman" w:hAnsi="Times New Roman" w:hint="eastAsia"/>
          <w:bCs/>
          <w:sz w:val="20"/>
          <w:szCs w:val="20"/>
        </w:rPr>
        <w:t>（</w:t>
      </w:r>
      <w:r w:rsidRPr="00DA3BC7">
        <w:rPr>
          <w:rFonts w:ascii="Times New Roman" w:hAnsi="Times New Roman"/>
          <w:bCs/>
          <w:sz w:val="20"/>
          <w:szCs w:val="20"/>
        </w:rPr>
        <w:t>p.23</w:t>
      </w:r>
      <w:r w:rsidRPr="00DA3BC7">
        <w:rPr>
          <w:rFonts w:ascii="Times New Roman" w:hAnsi="Times New Roman" w:hint="eastAsia"/>
          <w:bCs/>
          <w:sz w:val="20"/>
          <w:szCs w:val="20"/>
        </w:rPr>
        <w:t>）</w:t>
      </w:r>
    </w:p>
    <w:p w:rsidR="00FC70F6" w:rsidRDefault="008E2BBC" w:rsidP="00FC70F6">
      <w:pPr>
        <w:ind w:leftChars="100" w:left="240"/>
        <w:jc w:val="both"/>
        <w:rPr>
          <w:rFonts w:ascii="Times New Roman" w:hAnsi="Times New Roman"/>
          <w:bCs/>
          <w:sz w:val="20"/>
          <w:szCs w:val="20"/>
        </w:rPr>
      </w:pPr>
      <w:r w:rsidRPr="008E2BBC">
        <w:rPr>
          <w:rFonts w:ascii="Times New Roman" w:hAnsi="Times New Roman" w:hint="eastAsia"/>
          <w:b/>
          <w:bCs/>
          <w:color w:val="FF0000"/>
          <w:sz w:val="20"/>
          <w:szCs w:val="20"/>
          <w:highlight w:val="yellow"/>
          <w:bdr w:val="single" w:sz="4" w:space="0" w:color="auto"/>
        </w:rPr>
        <w:t>一、約「解義」辨</w:t>
      </w:r>
      <w:r w:rsidRPr="00DA3BC7">
        <w:rPr>
          <w:rFonts w:ascii="Times New Roman" w:hAnsi="Times New Roman" w:hint="eastAsia"/>
          <w:bCs/>
          <w:sz w:val="20"/>
          <w:szCs w:val="20"/>
        </w:rPr>
        <w:t>（</w:t>
      </w:r>
      <w:r w:rsidRPr="00DA3BC7">
        <w:rPr>
          <w:rFonts w:ascii="Times New Roman" w:hAnsi="Times New Roman"/>
          <w:bCs/>
          <w:sz w:val="20"/>
          <w:szCs w:val="20"/>
        </w:rPr>
        <w:t>p.23</w:t>
      </w:r>
      <w:r w:rsidRPr="00DA3BC7">
        <w:rPr>
          <w:rFonts w:ascii="Times New Roman" w:hAnsi="Times New Roman" w:hint="eastAsia"/>
          <w:bCs/>
          <w:sz w:val="20"/>
          <w:szCs w:val="20"/>
        </w:rPr>
        <w:t>）</w:t>
      </w:r>
    </w:p>
    <w:p w:rsidR="00E43C20" w:rsidRPr="00DA3BC7" w:rsidRDefault="00E43C20" w:rsidP="00FC70F6">
      <w:pPr>
        <w:ind w:leftChars="100" w:left="240"/>
        <w:jc w:val="both"/>
        <w:rPr>
          <w:rFonts w:ascii="Times New Roman" w:hAnsi="Times New Roman"/>
        </w:rPr>
      </w:pPr>
      <w:r w:rsidRPr="00DA3BC7">
        <w:rPr>
          <w:rFonts w:ascii="Times New Roman" w:hAnsi="Times New Roman"/>
        </w:rPr>
        <w:t>他解說八不的第一義悉檀，是三乘所共的。</w:t>
      </w:r>
      <w:r w:rsidRPr="00DA3BC7">
        <w:rPr>
          <w:rFonts w:ascii="Times New Roman" w:hAnsi="Times New Roman"/>
          <w:vertAlign w:val="superscript"/>
        </w:rPr>
        <w:footnoteReference w:id="176"/>
      </w:r>
    </w:p>
    <w:p w:rsidR="008E2BBC" w:rsidRDefault="008E2BBC" w:rsidP="00AE3920">
      <w:pPr>
        <w:spacing w:beforeLines="30"/>
        <w:ind w:leftChars="100" w:left="240"/>
        <w:jc w:val="both"/>
        <w:rPr>
          <w:rFonts w:ascii="Times New Roman" w:hAnsi="Times New Roman"/>
          <w:bCs/>
          <w:sz w:val="20"/>
          <w:szCs w:val="20"/>
        </w:rPr>
      </w:pPr>
      <w:r>
        <w:rPr>
          <w:rFonts w:ascii="Times New Roman" w:hAnsi="Times New Roman" w:hint="eastAsia"/>
          <w:b/>
          <w:bCs/>
          <w:color w:val="FF0000"/>
          <w:sz w:val="20"/>
          <w:szCs w:val="20"/>
          <w:highlight w:val="yellow"/>
          <w:bdr w:val="single" w:sz="4" w:space="0" w:color="auto"/>
        </w:rPr>
        <w:lastRenderedPageBreak/>
        <w:t>二</w:t>
      </w:r>
      <w:r w:rsidRPr="008E2BBC">
        <w:rPr>
          <w:rFonts w:ascii="Times New Roman" w:hAnsi="Times New Roman" w:hint="eastAsia"/>
          <w:b/>
          <w:bCs/>
          <w:color w:val="FF0000"/>
          <w:sz w:val="20"/>
          <w:szCs w:val="20"/>
          <w:highlight w:val="yellow"/>
          <w:bdr w:val="single" w:sz="4" w:space="0" w:color="auto"/>
        </w:rPr>
        <w:t>、約「</w:t>
      </w:r>
      <w:r>
        <w:rPr>
          <w:rFonts w:ascii="Times New Roman" w:hAnsi="Times New Roman" w:hint="eastAsia"/>
          <w:b/>
          <w:bCs/>
          <w:color w:val="FF0000"/>
          <w:sz w:val="20"/>
          <w:szCs w:val="20"/>
          <w:highlight w:val="yellow"/>
          <w:bdr w:val="single" w:sz="4" w:space="0" w:color="auto"/>
        </w:rPr>
        <w:t>引經</w:t>
      </w:r>
      <w:r w:rsidRPr="008E2BBC">
        <w:rPr>
          <w:rFonts w:ascii="Times New Roman" w:hAnsi="Times New Roman" w:hint="eastAsia"/>
          <w:b/>
          <w:bCs/>
          <w:color w:val="FF0000"/>
          <w:sz w:val="20"/>
          <w:szCs w:val="20"/>
          <w:highlight w:val="yellow"/>
          <w:bdr w:val="single" w:sz="4" w:space="0" w:color="auto"/>
        </w:rPr>
        <w:t>」辨</w:t>
      </w:r>
      <w:r w:rsidRPr="00DA3BC7">
        <w:rPr>
          <w:rFonts w:ascii="Times New Roman" w:hAnsi="Times New Roman" w:hint="eastAsia"/>
          <w:bCs/>
          <w:sz w:val="20"/>
          <w:szCs w:val="20"/>
        </w:rPr>
        <w:t>（</w:t>
      </w:r>
      <w:r w:rsidRPr="00DA3BC7">
        <w:rPr>
          <w:rFonts w:ascii="Times New Roman" w:hAnsi="Times New Roman"/>
          <w:bCs/>
          <w:sz w:val="20"/>
          <w:szCs w:val="20"/>
        </w:rPr>
        <w:t>p.23</w:t>
      </w:r>
      <w:r w:rsidRPr="00DA3BC7">
        <w:rPr>
          <w:rFonts w:ascii="Times New Roman" w:hAnsi="Times New Roman" w:hint="eastAsia"/>
          <w:bCs/>
          <w:sz w:val="20"/>
          <w:szCs w:val="20"/>
        </w:rPr>
        <w:t>）</w:t>
      </w:r>
    </w:p>
    <w:p w:rsidR="008E2BBC" w:rsidRPr="008E2BBC" w:rsidRDefault="008E2BBC" w:rsidP="00FC70F6">
      <w:pPr>
        <w:ind w:leftChars="150" w:left="360"/>
        <w:jc w:val="both"/>
        <w:rPr>
          <w:rFonts w:ascii="Times New Roman" w:hAnsi="Times New Roman"/>
          <w:b/>
          <w:color w:val="FF0000"/>
          <w:sz w:val="20"/>
          <w:szCs w:val="20"/>
          <w:highlight w:val="yellow"/>
          <w:bdr w:val="single" w:sz="4" w:space="0" w:color="auto"/>
        </w:rPr>
      </w:pPr>
      <w:r>
        <w:rPr>
          <w:rFonts w:ascii="Times New Roman" w:hAnsi="Times New Roman" w:hint="eastAsia"/>
          <w:b/>
          <w:bCs/>
          <w:color w:val="FF0000"/>
          <w:sz w:val="20"/>
          <w:szCs w:val="20"/>
          <w:highlight w:val="yellow"/>
          <w:bdr w:val="single" w:sz="4" w:space="0" w:color="auto"/>
        </w:rPr>
        <w:t>（一）明「第一義悉檀」</w:t>
      </w:r>
      <w:r w:rsidRPr="00DA3BC7">
        <w:rPr>
          <w:rFonts w:ascii="Times New Roman" w:hAnsi="Times New Roman" w:hint="eastAsia"/>
          <w:bCs/>
          <w:sz w:val="20"/>
          <w:szCs w:val="20"/>
        </w:rPr>
        <w:t>（</w:t>
      </w:r>
      <w:r w:rsidRPr="00DA3BC7">
        <w:rPr>
          <w:rFonts w:ascii="Times New Roman" w:hAnsi="Times New Roman"/>
          <w:bCs/>
          <w:sz w:val="20"/>
          <w:szCs w:val="20"/>
        </w:rPr>
        <w:t>p.23</w:t>
      </w:r>
      <w:r w:rsidRPr="00DA3BC7">
        <w:rPr>
          <w:rFonts w:ascii="Times New Roman" w:hAnsi="Times New Roman" w:hint="eastAsia"/>
          <w:bCs/>
          <w:sz w:val="20"/>
          <w:szCs w:val="20"/>
        </w:rPr>
        <w:t>）</w:t>
      </w:r>
    </w:p>
    <w:p w:rsidR="00E43C20" w:rsidRPr="00DA3BC7" w:rsidRDefault="00E43C20" w:rsidP="00FC70F6">
      <w:pPr>
        <w:ind w:leftChars="150" w:left="360"/>
        <w:jc w:val="both"/>
        <w:rPr>
          <w:rFonts w:ascii="Times New Roman" w:hAnsi="Times New Roman"/>
        </w:rPr>
      </w:pPr>
      <w:r w:rsidRPr="00DA3BC7">
        <w:rPr>
          <w:rFonts w:ascii="Times New Roman" w:hAnsi="Times New Roman"/>
        </w:rPr>
        <w:t>《</w:t>
      </w:r>
      <w:r w:rsidRPr="00DA3BC7">
        <w:rPr>
          <w:rFonts w:ascii="Times New Roman" w:hAnsi="Times New Roman" w:hint="eastAsia"/>
        </w:rPr>
        <w:t>大</w:t>
      </w:r>
      <w:r w:rsidRPr="00DA3BC7">
        <w:rPr>
          <w:rFonts w:ascii="Times New Roman" w:hAnsi="Times New Roman"/>
        </w:rPr>
        <w:t>智</w:t>
      </w:r>
      <w:r w:rsidRPr="00DA3BC7">
        <w:rPr>
          <w:rFonts w:ascii="Times New Roman" w:hAnsi="Times New Roman" w:hint="eastAsia"/>
        </w:rPr>
        <w:t>度</w:t>
      </w:r>
      <w:r w:rsidRPr="00DA3BC7">
        <w:rPr>
          <w:rFonts w:ascii="Times New Roman" w:hAnsi="Times New Roman"/>
        </w:rPr>
        <w:t>論》卷</w:t>
      </w:r>
      <w:r w:rsidR="007C48C2">
        <w:rPr>
          <w:rFonts w:ascii="Times New Roman" w:hAnsi="Times New Roman" w:hint="eastAsia"/>
        </w:rPr>
        <w:t>1</w:t>
      </w:r>
      <w:r w:rsidRPr="00DA3BC7">
        <w:rPr>
          <w:rFonts w:ascii="Times New Roman" w:hAnsi="Times New Roman"/>
        </w:rPr>
        <w:t>，除了八不而外，又引《眾義經》</w:t>
      </w:r>
      <w:r w:rsidRPr="00DA3BC7">
        <w:rPr>
          <w:rFonts w:ascii="Times New Roman" w:hAnsi="Times New Roman"/>
          <w:vertAlign w:val="superscript"/>
        </w:rPr>
        <w:footnoteReference w:id="177"/>
      </w:r>
      <w:r w:rsidRPr="00DA3BC7">
        <w:rPr>
          <w:rFonts w:ascii="Times New Roman" w:hAnsi="Times New Roman" w:hint="eastAsia"/>
        </w:rPr>
        <w:t>──</w:t>
      </w:r>
      <w:r w:rsidRPr="00DA3BC7">
        <w:rPr>
          <w:rFonts w:ascii="Times New Roman" w:hAnsi="Times New Roman"/>
        </w:rPr>
        <w:t>漢譯名《義足經》，即《義品》，巴利藏攝在</w:t>
      </w:r>
      <w:r w:rsidRPr="00DA3BC7">
        <w:rPr>
          <w:rFonts w:ascii="Times New Roman" w:hAnsi="Times New Roman" w:hint="eastAsia"/>
        </w:rPr>
        <w:t>《</w:t>
      </w:r>
      <w:r w:rsidRPr="00DA3BC7">
        <w:rPr>
          <w:rFonts w:ascii="Times New Roman" w:hAnsi="Times New Roman"/>
        </w:rPr>
        <w:t>小部</w:t>
      </w:r>
      <w:r w:rsidRPr="00DA3BC7">
        <w:rPr>
          <w:rFonts w:ascii="Times New Roman" w:hAnsi="Times New Roman" w:hint="eastAsia"/>
        </w:rPr>
        <w:t>》</w:t>
      </w:r>
      <w:r w:rsidRPr="00DA3BC7">
        <w:rPr>
          <w:rFonts w:ascii="Times New Roman" w:hAnsi="Times New Roman"/>
        </w:rPr>
        <w:t>裏。</w:t>
      </w:r>
    </w:p>
    <w:p w:rsidR="00142BBC" w:rsidRPr="008E2BBC" w:rsidRDefault="00142BBC" w:rsidP="00AE3920">
      <w:pPr>
        <w:spacing w:beforeLines="30"/>
        <w:ind w:leftChars="150" w:left="360"/>
        <w:jc w:val="both"/>
        <w:rPr>
          <w:rFonts w:ascii="Times New Roman" w:hAnsi="Times New Roman"/>
          <w:b/>
          <w:color w:val="FF0000"/>
          <w:sz w:val="20"/>
          <w:szCs w:val="20"/>
          <w:highlight w:val="yellow"/>
          <w:bdr w:val="single" w:sz="4" w:space="0" w:color="auto"/>
        </w:rPr>
      </w:pPr>
      <w:r>
        <w:rPr>
          <w:rFonts w:ascii="Times New Roman" w:hAnsi="Times New Roman" w:hint="eastAsia"/>
          <w:b/>
          <w:bCs/>
          <w:color w:val="FF0000"/>
          <w:sz w:val="20"/>
          <w:szCs w:val="20"/>
          <w:highlight w:val="yellow"/>
          <w:bdr w:val="single" w:sz="4" w:space="0" w:color="auto"/>
        </w:rPr>
        <w:t>（二）明「我法皆空」</w:t>
      </w:r>
      <w:r w:rsidRPr="00DA3BC7">
        <w:rPr>
          <w:rFonts w:ascii="Times New Roman" w:hAnsi="Times New Roman" w:hint="eastAsia"/>
          <w:bCs/>
          <w:sz w:val="20"/>
          <w:szCs w:val="20"/>
        </w:rPr>
        <w:t>（</w:t>
      </w:r>
      <w:r w:rsidRPr="00DA3BC7">
        <w:rPr>
          <w:rFonts w:ascii="Times New Roman" w:hAnsi="Times New Roman"/>
          <w:bCs/>
          <w:sz w:val="20"/>
          <w:szCs w:val="20"/>
        </w:rPr>
        <w:t>p.23</w:t>
      </w:r>
      <w:r w:rsidRPr="00DA3BC7">
        <w:rPr>
          <w:rFonts w:ascii="Times New Roman" w:hAnsi="Times New Roman" w:hint="eastAsia"/>
          <w:bCs/>
          <w:sz w:val="20"/>
          <w:szCs w:val="20"/>
        </w:rPr>
        <w:t>）</w:t>
      </w:r>
    </w:p>
    <w:p w:rsidR="00E43C20" w:rsidRPr="00DA3BC7" w:rsidRDefault="00E43C20" w:rsidP="00FC70F6">
      <w:pPr>
        <w:ind w:leftChars="150" w:left="360"/>
        <w:jc w:val="both"/>
        <w:rPr>
          <w:rFonts w:ascii="Times New Roman" w:hAnsi="Times New Roman"/>
          <w:spacing w:val="-4"/>
        </w:rPr>
      </w:pPr>
      <w:r w:rsidRPr="00DA3BC7">
        <w:rPr>
          <w:rFonts w:ascii="Times New Roman" w:hAnsi="Times New Roman"/>
          <w:spacing w:val="-4"/>
        </w:rPr>
        <w:t>又如三門</w:t>
      </w:r>
      <w:r w:rsidRPr="00DA3BC7">
        <w:rPr>
          <w:rFonts w:ascii="Times New Roman" w:hAnsi="Times New Roman"/>
          <w:spacing w:val="-4"/>
          <w:vertAlign w:val="superscript"/>
        </w:rPr>
        <w:footnoteReference w:id="178"/>
      </w:r>
      <w:r w:rsidRPr="00DA3BC7">
        <w:rPr>
          <w:rFonts w:ascii="Times New Roman" w:hAnsi="Times New Roman"/>
          <w:spacing w:val="-4"/>
        </w:rPr>
        <w:t>中的空門，廣引《阿含經》來成立我法皆空（《</w:t>
      </w:r>
      <w:r w:rsidRPr="00DA3BC7">
        <w:rPr>
          <w:rFonts w:ascii="Times New Roman" w:hAnsi="Times New Roman" w:hint="eastAsia"/>
          <w:spacing w:val="-4"/>
        </w:rPr>
        <w:t>大</w:t>
      </w:r>
      <w:r w:rsidRPr="00DA3BC7">
        <w:rPr>
          <w:rFonts w:ascii="Times New Roman" w:hAnsi="Times New Roman"/>
          <w:spacing w:val="-4"/>
        </w:rPr>
        <w:t>智</w:t>
      </w:r>
      <w:r w:rsidRPr="00DA3BC7">
        <w:rPr>
          <w:rFonts w:ascii="Times New Roman" w:hAnsi="Times New Roman" w:hint="eastAsia"/>
          <w:spacing w:val="-4"/>
        </w:rPr>
        <w:t>度</w:t>
      </w:r>
      <w:r w:rsidRPr="00DA3BC7">
        <w:rPr>
          <w:rFonts w:ascii="Times New Roman" w:hAnsi="Times New Roman"/>
          <w:spacing w:val="-4"/>
        </w:rPr>
        <w:t>論》卷</w:t>
      </w:r>
      <w:r w:rsidRPr="00DA3BC7">
        <w:rPr>
          <w:rFonts w:ascii="Times New Roman" w:hAnsi="Times New Roman"/>
          <w:spacing w:val="-4"/>
        </w:rPr>
        <w:t>18</w:t>
      </w:r>
      <w:r w:rsidRPr="00DA3BC7">
        <w:rPr>
          <w:rFonts w:ascii="Times New Roman" w:hAnsi="Times New Roman"/>
          <w:spacing w:val="-4"/>
        </w:rPr>
        <w:t>）。</w:t>
      </w:r>
      <w:r w:rsidR="007C48C2" w:rsidRPr="00DA3BC7">
        <w:rPr>
          <w:rFonts w:ascii="Times New Roman" w:hAnsi="Times New Roman"/>
          <w:spacing w:val="-4"/>
          <w:vertAlign w:val="superscript"/>
        </w:rPr>
        <w:footnoteReference w:id="179"/>
      </w:r>
    </w:p>
    <w:p w:rsidR="00142BBC" w:rsidRDefault="00142BBC" w:rsidP="00AE3920">
      <w:pPr>
        <w:spacing w:beforeLines="30"/>
        <w:ind w:leftChars="150" w:left="360"/>
        <w:jc w:val="both"/>
        <w:rPr>
          <w:rFonts w:ascii="Times New Roman" w:hAnsi="Times New Roman"/>
          <w:bCs/>
          <w:sz w:val="20"/>
          <w:szCs w:val="20"/>
        </w:rPr>
      </w:pPr>
      <w:r>
        <w:rPr>
          <w:rFonts w:ascii="Times New Roman" w:hAnsi="Times New Roman" w:hint="eastAsia"/>
          <w:b/>
          <w:bCs/>
          <w:color w:val="FF0000"/>
          <w:sz w:val="20"/>
          <w:szCs w:val="20"/>
          <w:highlight w:val="yellow"/>
          <w:bdr w:val="single" w:sz="4" w:space="0" w:color="auto"/>
        </w:rPr>
        <w:lastRenderedPageBreak/>
        <w:t>（三）明「聲聞藏的法空」</w:t>
      </w:r>
      <w:r w:rsidRPr="00DA3BC7">
        <w:rPr>
          <w:rFonts w:ascii="Times New Roman" w:hAnsi="Times New Roman" w:hint="eastAsia"/>
          <w:bCs/>
          <w:sz w:val="20"/>
          <w:szCs w:val="20"/>
        </w:rPr>
        <w:t>（</w:t>
      </w:r>
      <w:r w:rsidRPr="00DA3BC7">
        <w:rPr>
          <w:rFonts w:ascii="Times New Roman" w:hAnsi="Times New Roman"/>
          <w:bCs/>
          <w:sz w:val="20"/>
          <w:szCs w:val="20"/>
        </w:rPr>
        <w:t>p.23</w:t>
      </w:r>
      <w:r w:rsidRPr="00DA3BC7">
        <w:rPr>
          <w:rFonts w:ascii="Times New Roman" w:hAnsi="Times New Roman" w:hint="eastAsia"/>
          <w:bCs/>
          <w:sz w:val="20"/>
          <w:szCs w:val="20"/>
        </w:rPr>
        <w:t>）</w:t>
      </w:r>
    </w:p>
    <w:p w:rsidR="00E43C20" w:rsidRPr="00DA3BC7" w:rsidRDefault="00E43C20" w:rsidP="00FC70F6">
      <w:pPr>
        <w:ind w:leftChars="150" w:left="360"/>
        <w:jc w:val="both"/>
        <w:rPr>
          <w:rFonts w:ascii="Times New Roman" w:hAnsi="Times New Roman"/>
        </w:rPr>
      </w:pPr>
      <w:r w:rsidRPr="00DA3BC7">
        <w:rPr>
          <w:rFonts w:ascii="Times New Roman" w:hAnsi="Times New Roman"/>
        </w:rPr>
        <w:t>卷</w:t>
      </w:r>
      <w:r w:rsidRPr="00DA3BC7">
        <w:rPr>
          <w:rFonts w:ascii="Times New Roman" w:hAnsi="Times New Roman"/>
        </w:rPr>
        <w:t>3</w:t>
      </w:r>
      <w:r w:rsidRPr="00DA3BC7">
        <w:rPr>
          <w:rFonts w:ascii="Times New Roman" w:hAnsi="Times New Roman" w:hint="eastAsia"/>
        </w:rPr>
        <w:t>1</w:t>
      </w:r>
      <w:r w:rsidRPr="00DA3BC7">
        <w:rPr>
          <w:rFonts w:ascii="Times New Roman" w:hAnsi="Times New Roman"/>
        </w:rPr>
        <w:t>中，也引七經，證明聲聞藏的法空。</w:t>
      </w:r>
      <w:r w:rsidR="007C48C2" w:rsidRPr="00DA3BC7">
        <w:rPr>
          <w:rFonts w:ascii="Times New Roman" w:hAnsi="Times New Roman"/>
          <w:vertAlign w:val="superscript"/>
        </w:rPr>
        <w:footnoteReference w:id="180"/>
      </w:r>
    </w:p>
    <w:p w:rsidR="00E43C20" w:rsidRPr="00DA3BC7" w:rsidRDefault="00E43C20" w:rsidP="00AE3920">
      <w:pPr>
        <w:spacing w:beforeLines="30"/>
        <w:ind w:leftChars="50" w:left="120"/>
        <w:jc w:val="both"/>
        <w:rPr>
          <w:rFonts w:ascii="Times New Roman" w:hAnsi="Times New Roman"/>
          <w:b/>
          <w:sz w:val="20"/>
          <w:szCs w:val="20"/>
        </w:rPr>
      </w:pPr>
      <w:r w:rsidRPr="00DA3BC7">
        <w:rPr>
          <w:rFonts w:ascii="Times New Roman" w:hAnsi="Times New Roman"/>
          <w:b/>
          <w:bCs/>
          <w:sz w:val="20"/>
          <w:szCs w:val="20"/>
          <w:bdr w:val="single" w:sz="4" w:space="0" w:color="auto"/>
        </w:rPr>
        <w:t>（</w:t>
      </w:r>
      <w:r w:rsidR="00FC5046" w:rsidRPr="00DA3BC7">
        <w:rPr>
          <w:rFonts w:ascii="Times New Roman" w:hAnsi="Times New Roman" w:hint="eastAsia"/>
          <w:b/>
          <w:bCs/>
          <w:sz w:val="20"/>
          <w:szCs w:val="20"/>
          <w:bdr w:val="single" w:sz="4" w:space="0" w:color="auto"/>
        </w:rPr>
        <w:t>參</w:t>
      </w:r>
      <w:r w:rsidRPr="00DA3BC7">
        <w:rPr>
          <w:rFonts w:ascii="Times New Roman" w:hAnsi="Times New Roman"/>
          <w:b/>
          <w:bCs/>
          <w:sz w:val="20"/>
          <w:szCs w:val="20"/>
          <w:bdr w:val="single" w:sz="4" w:space="0" w:color="auto"/>
        </w:rPr>
        <w:t>）</w:t>
      </w:r>
      <w:r w:rsidR="00142BBC">
        <w:rPr>
          <w:rFonts w:ascii="Times New Roman" w:hAnsi="Times New Roman" w:hint="eastAsia"/>
          <w:b/>
          <w:bCs/>
          <w:color w:val="FF0000"/>
          <w:sz w:val="20"/>
          <w:szCs w:val="20"/>
          <w:highlight w:val="yellow"/>
          <w:bdr w:val="single" w:sz="4" w:space="0" w:color="auto"/>
        </w:rPr>
        <w:t>結成</w:t>
      </w:r>
      <w:r w:rsidRPr="00DA3BC7">
        <w:rPr>
          <w:rFonts w:ascii="Times New Roman" w:hAnsi="Times New Roman" w:hint="eastAsia"/>
          <w:bCs/>
          <w:sz w:val="20"/>
          <w:szCs w:val="20"/>
        </w:rPr>
        <w:t>（</w:t>
      </w:r>
      <w:r w:rsidRPr="00DA3BC7">
        <w:rPr>
          <w:rFonts w:ascii="Times New Roman" w:hAnsi="Times New Roman"/>
          <w:bCs/>
          <w:sz w:val="20"/>
          <w:szCs w:val="20"/>
        </w:rPr>
        <w:t>pp.23-24</w:t>
      </w:r>
      <w:r w:rsidRPr="00DA3BC7">
        <w:rPr>
          <w:rFonts w:ascii="Times New Roman" w:hAnsi="Times New Roman" w:hint="eastAsia"/>
          <w:bCs/>
          <w:sz w:val="20"/>
          <w:szCs w:val="20"/>
        </w:rPr>
        <w:t>）</w:t>
      </w:r>
    </w:p>
    <w:p w:rsidR="00E43C20" w:rsidRPr="00DA3BC7" w:rsidRDefault="00E43C20" w:rsidP="008E2BBC">
      <w:pPr>
        <w:ind w:leftChars="50" w:left="120"/>
        <w:jc w:val="both"/>
        <w:rPr>
          <w:rFonts w:ascii="Times New Roman" w:hAnsi="Times New Roman"/>
        </w:rPr>
      </w:pPr>
      <w:r w:rsidRPr="00DA3BC7">
        <w:rPr>
          <w:rFonts w:ascii="Times New Roman" w:hAnsi="Times New Roman"/>
        </w:rPr>
        <w:t>所以，依龍樹的見地，空相應的緣起、中道，雖菩薩與聲聞的智慧不同，聲聞如毛孔空，菩薩如虛空空（</w:t>
      </w:r>
      <w:r w:rsidRPr="00DA3BC7">
        <w:rPr>
          <w:rFonts w:ascii="新細明體" w:hAnsi="新細明體" w:hint="eastAsia"/>
        </w:rPr>
        <w:t>《</w:t>
      </w:r>
      <w:r w:rsidRPr="00DA3BC7">
        <w:rPr>
          <w:rFonts w:ascii="Times New Roman" w:hAnsi="Times New Roman" w:hint="eastAsia"/>
        </w:rPr>
        <w:t>大智度論</w:t>
      </w:r>
      <w:r w:rsidRPr="00DA3BC7">
        <w:rPr>
          <w:rFonts w:ascii="新細明體" w:hAnsi="新細明體" w:hint="eastAsia"/>
        </w:rPr>
        <w:t>》</w:t>
      </w:r>
      <w:r w:rsidRPr="00DA3BC7">
        <w:rPr>
          <w:rFonts w:ascii="Times New Roman" w:hAnsi="Times New Roman"/>
        </w:rPr>
        <w:t>卷</w:t>
      </w:r>
      <w:r w:rsidRPr="00DA3BC7">
        <w:rPr>
          <w:rFonts w:ascii="Times New Roman" w:hAnsi="Times New Roman"/>
        </w:rPr>
        <w:t>35</w:t>
      </w:r>
      <w:r w:rsidRPr="00DA3BC7">
        <w:rPr>
          <w:rFonts w:ascii="Times New Roman" w:hAnsi="Times New Roman"/>
        </w:rPr>
        <w:t>），</w:t>
      </w:r>
      <w:r w:rsidR="004A3AF1" w:rsidRPr="00DA3BC7">
        <w:rPr>
          <w:rFonts w:ascii="Times New Roman" w:hAnsi="Times New Roman"/>
          <w:vertAlign w:val="superscript"/>
        </w:rPr>
        <w:footnoteReference w:id="181"/>
      </w:r>
      <w:r w:rsidRPr="00DA3BC7">
        <w:rPr>
          <w:rFonts w:ascii="Times New Roman" w:hAnsi="Times New Roman"/>
        </w:rPr>
        <w:t>但這到底是量的差別，</w:t>
      </w:r>
      <w:r w:rsidRPr="00DA3BC7">
        <w:rPr>
          <w:rFonts w:ascii="Times New Roman" w:hAnsi="Times New Roman"/>
        </w:rPr>
        <w:lastRenderedPageBreak/>
        <w:t>不能說空性寂滅中有什麼質的不同。</w:t>
      </w:r>
    </w:p>
    <w:p w:rsidR="001968AB" w:rsidRPr="00DA3BC7" w:rsidRDefault="00E43C20" w:rsidP="00AE3920">
      <w:pPr>
        <w:spacing w:beforeLines="20"/>
        <w:ind w:leftChars="50" w:left="120"/>
        <w:jc w:val="both"/>
        <w:rPr>
          <w:rFonts w:ascii="Times New Roman" w:hAnsi="Times New Roman"/>
        </w:rPr>
      </w:pPr>
      <w:r w:rsidRPr="00DA3BC7">
        <w:rPr>
          <w:rFonts w:ascii="Times New Roman" w:hAnsi="Times New Roman"/>
        </w:rPr>
        <w:t>所以「</w:t>
      </w:r>
      <w:r w:rsidRPr="00DA3BC7">
        <w:rPr>
          <w:rFonts w:ascii="Times New Roman" w:eastAsia="標楷體" w:hAnsi="Times New Roman"/>
        </w:rPr>
        <w:t>聲聞乘多說眾生空，佛乘說眾生空、法空</w:t>
      </w:r>
      <w:r w:rsidRPr="00DA3BC7">
        <w:rPr>
          <w:rFonts w:ascii="Times New Roman" w:hAnsi="Times New Roman"/>
        </w:rPr>
        <w:t>」（《</w:t>
      </w:r>
      <w:r w:rsidRPr="00DA3BC7">
        <w:rPr>
          <w:rFonts w:ascii="Times New Roman" w:hAnsi="Times New Roman" w:hint="eastAsia"/>
        </w:rPr>
        <w:t>大</w:t>
      </w:r>
      <w:r w:rsidRPr="00DA3BC7">
        <w:rPr>
          <w:rFonts w:ascii="Times New Roman" w:hAnsi="Times New Roman"/>
        </w:rPr>
        <w:t>智</w:t>
      </w:r>
      <w:r w:rsidRPr="00DA3BC7">
        <w:rPr>
          <w:rFonts w:ascii="Times New Roman" w:hAnsi="Times New Roman" w:hint="eastAsia"/>
        </w:rPr>
        <w:t>度</w:t>
      </w:r>
      <w:r w:rsidRPr="00DA3BC7">
        <w:rPr>
          <w:rFonts w:ascii="Times New Roman" w:hAnsi="Times New Roman"/>
        </w:rPr>
        <w:t>論》卷</w:t>
      </w:r>
      <w:r w:rsidRPr="00DA3BC7">
        <w:rPr>
          <w:rFonts w:ascii="Times New Roman" w:hAnsi="Times New Roman"/>
        </w:rPr>
        <w:t>4</w:t>
      </w:r>
      <w:r w:rsidRPr="00DA3BC7">
        <w:rPr>
          <w:rFonts w:ascii="Times New Roman" w:hAnsi="Times New Roman"/>
        </w:rPr>
        <w:t>）</w:t>
      </w:r>
      <w:r w:rsidR="004A3AF1">
        <w:rPr>
          <w:rFonts w:ascii="Times New Roman" w:hAnsi="Times New Roman" w:hint="eastAsia"/>
          <w:color w:val="FF0000"/>
          <w:highlight w:val="yellow"/>
        </w:rPr>
        <w:t>；</w:t>
      </w:r>
      <w:r w:rsidR="004A3AF1" w:rsidRPr="00DA3BC7">
        <w:rPr>
          <w:rFonts w:ascii="Times New Roman" w:hAnsi="Times New Roman"/>
          <w:vertAlign w:val="superscript"/>
        </w:rPr>
        <w:footnoteReference w:id="182"/>
      </w:r>
      <w:r w:rsidRPr="00DA3BC7">
        <w:rPr>
          <w:rFonts w:ascii="Times New Roman" w:hAnsi="Times New Roman"/>
        </w:rPr>
        <w:t>「</w:t>
      </w:r>
      <w:r w:rsidRPr="00DA3BC7">
        <w:rPr>
          <w:rFonts w:ascii="Times New Roman" w:eastAsia="標楷體" w:hAnsi="Times New Roman"/>
        </w:rPr>
        <w:t>若了了說，則言一切諸法空；若方便說，則言無我</w:t>
      </w:r>
      <w:r w:rsidRPr="00DA3BC7">
        <w:rPr>
          <w:rFonts w:ascii="Times New Roman" w:hAnsi="Times New Roman"/>
        </w:rPr>
        <w:t>」（《</w:t>
      </w:r>
      <w:r w:rsidRPr="00DA3BC7">
        <w:rPr>
          <w:rFonts w:ascii="Times New Roman" w:hAnsi="Times New Roman" w:hint="eastAsia"/>
        </w:rPr>
        <w:t>大</w:t>
      </w:r>
      <w:r w:rsidRPr="00DA3BC7">
        <w:rPr>
          <w:rFonts w:ascii="Times New Roman" w:hAnsi="Times New Roman"/>
        </w:rPr>
        <w:t>智</w:t>
      </w:r>
      <w:r w:rsidRPr="00DA3BC7">
        <w:rPr>
          <w:rFonts w:ascii="Times New Roman" w:hAnsi="Times New Roman" w:hint="eastAsia"/>
        </w:rPr>
        <w:t>度</w:t>
      </w:r>
      <w:r w:rsidRPr="00DA3BC7">
        <w:rPr>
          <w:rFonts w:ascii="Times New Roman" w:hAnsi="Times New Roman"/>
        </w:rPr>
        <w:t>論》卷</w:t>
      </w:r>
      <w:r w:rsidRPr="00DA3BC7">
        <w:rPr>
          <w:rFonts w:ascii="Times New Roman" w:hAnsi="Times New Roman"/>
        </w:rPr>
        <w:t>26</w:t>
      </w:r>
      <w:r w:rsidRPr="00DA3BC7">
        <w:rPr>
          <w:rFonts w:ascii="Times New Roman" w:hAnsi="Times New Roman"/>
        </w:rPr>
        <w:t>）</w:t>
      </w:r>
      <w:r w:rsidR="004A3AF1">
        <w:rPr>
          <w:rFonts w:ascii="Times New Roman" w:hAnsi="Times New Roman" w:hint="eastAsia"/>
          <w:color w:val="FF0000"/>
          <w:highlight w:val="yellow"/>
        </w:rPr>
        <w:t>；</w:t>
      </w:r>
      <w:r w:rsidR="004A3AF1" w:rsidRPr="00DA3BC7">
        <w:rPr>
          <w:rFonts w:ascii="Times New Roman" w:hAnsi="Times New Roman"/>
          <w:vertAlign w:val="superscript"/>
        </w:rPr>
        <w:footnoteReference w:id="183"/>
      </w:r>
      <w:r w:rsidRPr="00DA3BC7">
        <w:rPr>
          <w:rFonts w:ascii="Times New Roman" w:hAnsi="Times New Roman"/>
        </w:rPr>
        <w:t>這都不過是側重的不同</w:t>
      </w:r>
      <w:r w:rsidRPr="00DA3BC7">
        <w:rPr>
          <w:rFonts w:ascii="Times New Roman" w:hAnsi="Times New Roman" w:hint="eastAsia"/>
        </w:rPr>
        <w:t>、</w:t>
      </w:r>
      <w:r w:rsidRPr="00DA3BC7">
        <w:rPr>
          <w:rFonts w:ascii="Times New Roman" w:hAnsi="Times New Roman"/>
        </w:rPr>
        <w:t>詳略的不同而已！</w:t>
      </w:r>
    </w:p>
    <w:p w:rsidR="00E43C20" w:rsidRPr="00DA3BC7" w:rsidRDefault="00FC5046" w:rsidP="00AE3920">
      <w:pPr>
        <w:spacing w:beforeLines="30"/>
        <w:jc w:val="both"/>
        <w:rPr>
          <w:rFonts w:ascii="Times New Roman" w:hAnsi="Times New Roman"/>
          <w:b/>
          <w:bCs/>
          <w:sz w:val="20"/>
          <w:szCs w:val="20"/>
          <w:bdr w:val="single" w:sz="4" w:space="0" w:color="auto"/>
        </w:rPr>
      </w:pPr>
      <w:r w:rsidRPr="00DA3BC7">
        <w:rPr>
          <w:rFonts w:ascii="Times New Roman" w:hAnsi="Times New Roman" w:hint="eastAsia"/>
          <w:b/>
          <w:bCs/>
          <w:sz w:val="20"/>
          <w:szCs w:val="20"/>
          <w:bdr w:val="single" w:sz="4" w:space="0" w:color="auto"/>
        </w:rPr>
        <w:t>參</w:t>
      </w:r>
      <w:r w:rsidR="00E43C20" w:rsidRPr="00DA3BC7">
        <w:rPr>
          <w:rFonts w:ascii="Times New Roman" w:hAnsi="Times New Roman"/>
          <w:b/>
          <w:bCs/>
          <w:sz w:val="20"/>
          <w:szCs w:val="20"/>
          <w:bdr w:val="single" w:sz="4" w:space="0" w:color="auto"/>
        </w:rPr>
        <w:t>、</w:t>
      </w:r>
      <w:r w:rsidR="00142BBC" w:rsidRPr="00142BBC">
        <w:rPr>
          <w:rFonts w:ascii="Times New Roman" w:hAnsi="Times New Roman" w:hint="eastAsia"/>
          <w:b/>
          <w:bCs/>
          <w:color w:val="FF0000"/>
          <w:sz w:val="20"/>
          <w:szCs w:val="20"/>
          <w:highlight w:val="yellow"/>
          <w:bdr w:val="single" w:sz="4" w:space="0" w:color="auto"/>
        </w:rPr>
        <w:t>歸</w:t>
      </w:r>
      <w:r w:rsidR="00E43C20" w:rsidRPr="00142BBC">
        <w:rPr>
          <w:rFonts w:ascii="Times New Roman" w:hAnsi="Times New Roman"/>
          <w:b/>
          <w:bCs/>
          <w:color w:val="FF0000"/>
          <w:sz w:val="20"/>
          <w:szCs w:val="20"/>
          <w:highlight w:val="yellow"/>
          <w:bdr w:val="single" w:sz="4" w:space="0" w:color="auto"/>
        </w:rPr>
        <w:t>結</w:t>
      </w:r>
      <w:r w:rsidR="00142BBC" w:rsidRPr="00142BBC">
        <w:rPr>
          <w:rFonts w:ascii="Times New Roman" w:hAnsi="Times New Roman" w:hint="eastAsia"/>
          <w:b/>
          <w:bCs/>
          <w:color w:val="FF0000"/>
          <w:sz w:val="20"/>
          <w:szCs w:val="20"/>
          <w:highlight w:val="yellow"/>
          <w:bdr w:val="single" w:sz="4" w:space="0" w:color="auto"/>
        </w:rPr>
        <w:t>要義</w:t>
      </w:r>
      <w:r w:rsidR="00E43C20" w:rsidRPr="00DA3BC7">
        <w:rPr>
          <w:rFonts w:ascii="Times New Roman" w:hAnsi="Times New Roman" w:hint="eastAsia"/>
          <w:bCs/>
          <w:sz w:val="20"/>
          <w:szCs w:val="20"/>
        </w:rPr>
        <w:t>（</w:t>
      </w:r>
      <w:r w:rsidR="00E43C20" w:rsidRPr="00DA3BC7">
        <w:rPr>
          <w:rFonts w:ascii="Times New Roman" w:hAnsi="Times New Roman"/>
          <w:bCs/>
          <w:sz w:val="20"/>
          <w:szCs w:val="20"/>
        </w:rPr>
        <w:t>p.24</w:t>
      </w:r>
      <w:r w:rsidR="00E43C20" w:rsidRPr="00DA3BC7">
        <w:rPr>
          <w:rFonts w:ascii="Times New Roman" w:hAnsi="Times New Roman" w:hint="eastAsia"/>
          <w:bCs/>
          <w:sz w:val="20"/>
          <w:szCs w:val="20"/>
        </w:rPr>
        <w:t>）</w:t>
      </w:r>
    </w:p>
    <w:p w:rsidR="00E43C20" w:rsidRPr="00DA3BC7" w:rsidRDefault="00E43C20" w:rsidP="00AE3920">
      <w:pPr>
        <w:spacing w:afterLines="30"/>
        <w:jc w:val="both"/>
        <w:rPr>
          <w:rFonts w:ascii="Times New Roman" w:hAnsi="Times New Roman"/>
          <w:b/>
          <w:bdr w:val="single" w:sz="4" w:space="0" w:color="auto"/>
        </w:rPr>
      </w:pPr>
      <w:r w:rsidRPr="00DA3BC7">
        <w:rPr>
          <w:rFonts w:ascii="Times New Roman" w:hAnsi="Times New Roman"/>
        </w:rPr>
        <w:t>這樣，《中論》確是以大乘學者的立場，確認緣起、空、中道為佛教的根本深義，與聲聞學者辨詰</w:t>
      </w:r>
      <w:r w:rsidRPr="00DA3BC7">
        <w:rPr>
          <w:rStyle w:val="a6"/>
          <w:rFonts w:ascii="Times New Roman" w:hAnsi="Times New Roman"/>
        </w:rPr>
        <w:footnoteReference w:id="184"/>
      </w:r>
      <w:r w:rsidRPr="00DA3BC7">
        <w:rPr>
          <w:rFonts w:ascii="Times New Roman" w:hAnsi="Times New Roman"/>
        </w:rPr>
        <w:t>論難，並非破除四諦、三寶等法，反而是成立。抉發《阿含</w:t>
      </w:r>
      <w:r w:rsidRPr="00DA3BC7">
        <w:rPr>
          <w:rFonts w:ascii="Times New Roman" w:hAnsi="Times New Roman" w:hint="eastAsia"/>
        </w:rPr>
        <w:t>經</w:t>
      </w:r>
      <w:r w:rsidRPr="00DA3BC7">
        <w:rPr>
          <w:rFonts w:ascii="Times New Roman" w:hAnsi="Times New Roman"/>
        </w:rPr>
        <w:t>》的緣起深義，將佛法的正見，確樹</w:t>
      </w:r>
      <w:r w:rsidRPr="00DA3BC7">
        <w:rPr>
          <w:rStyle w:val="a6"/>
          <w:rFonts w:ascii="Times New Roman" w:hAnsi="Times New Roman"/>
        </w:rPr>
        <w:footnoteReference w:id="185"/>
      </w:r>
      <w:r w:rsidRPr="00DA3BC7">
        <w:rPr>
          <w:rFonts w:ascii="Times New Roman" w:hAnsi="Times New Roman"/>
        </w:rPr>
        <w:t>於緣起中道的磐石</w:t>
      </w:r>
      <w:r w:rsidRPr="00DA3BC7">
        <w:rPr>
          <w:rStyle w:val="a6"/>
          <w:rFonts w:ascii="Times New Roman" w:hAnsi="Times New Roman"/>
        </w:rPr>
        <w:footnoteReference w:id="186"/>
      </w:r>
      <w:r w:rsidRPr="00DA3BC7">
        <w:rPr>
          <w:rFonts w:ascii="Times New Roman" w:hAnsi="Times New Roman"/>
        </w:rPr>
        <w:t>。</w:t>
      </w:r>
    </w:p>
    <w:p w:rsidR="00E43C20" w:rsidRPr="00DA3BC7" w:rsidRDefault="009461CE" w:rsidP="008E2BBC">
      <w:pPr>
        <w:jc w:val="both"/>
        <w:rPr>
          <w:rFonts w:ascii="Times New Roman" w:hAnsi="Times New Roman"/>
          <w:b/>
        </w:rPr>
      </w:pPr>
      <w:r w:rsidRPr="00DA3BC7">
        <w:rPr>
          <w:rFonts w:ascii="新細明體" w:hAnsi="新細明體" w:cs="新細明體"/>
          <w:b/>
        </w:rPr>
        <w:br w:type="page"/>
      </w:r>
      <w:r w:rsidR="00E43C20" w:rsidRPr="00DA3BC7">
        <w:rPr>
          <w:rFonts w:ascii="新細明體" w:hAnsi="新細明體" w:cs="新細明體" w:hint="eastAsia"/>
          <w:b/>
        </w:rPr>
        <w:lastRenderedPageBreak/>
        <w:t>※</w:t>
      </w:r>
      <w:r w:rsidR="00E43C20" w:rsidRPr="00DA3BC7">
        <w:rPr>
          <w:rFonts w:ascii="Times New Roman" w:hAnsi="Times New Roman"/>
          <w:b/>
        </w:rPr>
        <w:t>附錄：《中論》之大科分判（印順法師，《中觀論頌講記》，</w:t>
      </w:r>
      <w:r w:rsidR="00E43C20" w:rsidRPr="00DA3BC7">
        <w:rPr>
          <w:rFonts w:ascii="Times New Roman" w:hAnsi="Times New Roman"/>
          <w:b/>
        </w:rPr>
        <w:t>pp.45-46</w:t>
      </w:r>
      <w:r w:rsidR="00E43C20" w:rsidRPr="00DA3BC7">
        <w:rPr>
          <w:rFonts w:ascii="Times New Roman" w:hAnsi="Times New Roman"/>
          <w:b/>
        </w:rPr>
        <w:t>）</w:t>
      </w:r>
    </w:p>
    <w:p w:rsidR="00E43C20" w:rsidRPr="00DA3BC7" w:rsidRDefault="00E43C20" w:rsidP="008E2BBC">
      <w:pPr>
        <w:jc w:val="both"/>
        <w:rPr>
          <w:sz w:val="22"/>
        </w:rPr>
      </w:pPr>
      <w:r w:rsidRPr="00DA3BC7">
        <w:rPr>
          <w:rFonts w:hint="eastAsia"/>
          <w:sz w:val="22"/>
        </w:rPr>
        <w:t xml:space="preserve">　　　　┌標宗…………………………</w:t>
      </w:r>
      <w:r w:rsidR="004D4F5F" w:rsidRPr="00DA3BC7">
        <w:rPr>
          <w:rFonts w:hint="eastAsia"/>
          <w:sz w:val="22"/>
        </w:rPr>
        <w:t>（</w:t>
      </w:r>
      <w:r w:rsidRPr="00DA3BC7">
        <w:rPr>
          <w:rFonts w:hint="eastAsia"/>
          <w:sz w:val="22"/>
        </w:rPr>
        <w:t>最初二頌</w:t>
      </w:r>
      <w:r w:rsidR="004D4F5F" w:rsidRPr="00DA3BC7">
        <w:rPr>
          <w:rFonts w:ascii="Times New Roman" w:hAnsi="Times New Roman" w:hint="eastAsia"/>
          <w:sz w:val="22"/>
        </w:rPr>
        <w:t>）</w:t>
      </w:r>
      <w:r w:rsidRPr="00DA3BC7">
        <w:rPr>
          <w:rFonts w:hint="eastAsia"/>
          <w:spacing w:val="6"/>
          <w:sz w:val="22"/>
        </w:rPr>
        <w:t>……</w:t>
      </w:r>
      <w:r w:rsidRPr="00DA3BC7">
        <w:rPr>
          <w:rFonts w:hint="eastAsia"/>
          <w:sz w:val="22"/>
        </w:rPr>
        <w:t>┐</w:t>
      </w:r>
    </w:p>
    <w:p w:rsidR="00E43C20" w:rsidRPr="00DA3BC7" w:rsidRDefault="00E43C20" w:rsidP="008E2BBC">
      <w:pPr>
        <w:jc w:val="both"/>
        <w:rPr>
          <w:sz w:val="22"/>
        </w:rPr>
      </w:pPr>
      <w:r w:rsidRPr="00DA3BC7">
        <w:rPr>
          <w:rFonts w:hint="eastAsia"/>
          <w:sz w:val="22"/>
        </w:rPr>
        <w:t xml:space="preserve">　　　　│　　┌總觀┬觀集無生…………………………┴</w:t>
      </w:r>
      <w:r w:rsidRPr="00DA3BC7">
        <w:rPr>
          <w:rFonts w:hint="eastAsia"/>
          <w:spacing w:val="76"/>
          <w:sz w:val="22"/>
        </w:rPr>
        <w:t>觀因緣</w:t>
      </w:r>
      <w:r w:rsidRPr="00DA3BC7">
        <w:rPr>
          <w:rFonts w:hint="eastAsia"/>
          <w:spacing w:val="-10"/>
          <w:sz w:val="22"/>
        </w:rPr>
        <w:t>品</w:t>
      </w:r>
      <w:r w:rsidRPr="00DA3BC7">
        <w:rPr>
          <w:rFonts w:hint="eastAsia"/>
          <w:sz w:val="22"/>
        </w:rPr>
        <w:t>（</w:t>
      </w:r>
      <w:r w:rsidRPr="00DA3BC7">
        <w:rPr>
          <w:rFonts w:ascii="Times New Roman" w:hAnsi="Times New Roman" w:hint="eastAsia"/>
          <w:sz w:val="22"/>
        </w:rPr>
        <w:t>01</w:t>
      </w:r>
      <w:r w:rsidRPr="00DA3BC7">
        <w:rPr>
          <w:rFonts w:hint="eastAsia"/>
          <w:sz w:val="22"/>
        </w:rPr>
        <w:t>）</w:t>
      </w:r>
    </w:p>
    <w:p w:rsidR="00E43C20" w:rsidRPr="00DA3BC7" w:rsidRDefault="00E43C20" w:rsidP="008E2BBC">
      <w:pPr>
        <w:jc w:val="both"/>
        <w:rPr>
          <w:sz w:val="22"/>
        </w:rPr>
      </w:pPr>
      <w:r w:rsidRPr="00DA3BC7">
        <w:rPr>
          <w:rFonts w:hint="eastAsia"/>
          <w:sz w:val="22"/>
        </w:rPr>
        <w:t xml:space="preserve">　　　　│　　│　</w:t>
      </w:r>
      <w:r w:rsidR="00F50FC2" w:rsidRPr="00DA3BC7">
        <w:rPr>
          <w:rFonts w:hint="eastAsia"/>
          <w:sz w:val="22"/>
        </w:rPr>
        <w:t xml:space="preserve">　</w:t>
      </w:r>
      <w:r w:rsidRPr="00DA3BC7">
        <w:rPr>
          <w:rFonts w:hint="eastAsia"/>
          <w:sz w:val="22"/>
        </w:rPr>
        <w:t>└觀滅不去……………………………</w:t>
      </w:r>
      <w:r w:rsidRPr="00DA3BC7">
        <w:rPr>
          <w:rFonts w:hint="eastAsia"/>
          <w:spacing w:val="76"/>
          <w:sz w:val="22"/>
        </w:rPr>
        <w:t>觀去來</w:t>
      </w:r>
      <w:r w:rsidRPr="00DA3BC7">
        <w:rPr>
          <w:rFonts w:hint="eastAsia"/>
          <w:spacing w:val="-10"/>
          <w:sz w:val="22"/>
        </w:rPr>
        <w:t>品</w:t>
      </w:r>
      <w:r w:rsidRPr="00DA3BC7">
        <w:rPr>
          <w:rFonts w:hint="eastAsia"/>
          <w:sz w:val="22"/>
        </w:rPr>
        <w:t>（</w:t>
      </w:r>
      <w:r w:rsidRPr="00DA3BC7">
        <w:rPr>
          <w:rFonts w:ascii="Times New Roman" w:hAnsi="Times New Roman" w:hint="eastAsia"/>
          <w:sz w:val="22"/>
        </w:rPr>
        <w:t>02</w:t>
      </w:r>
      <w:r w:rsidRPr="00DA3BC7">
        <w:rPr>
          <w:rFonts w:hint="eastAsia"/>
          <w:sz w:val="22"/>
        </w:rPr>
        <w:t>）</w:t>
      </w:r>
    </w:p>
    <w:p w:rsidR="00E43C20" w:rsidRPr="00DA3BC7" w:rsidRDefault="00E43C20" w:rsidP="008E2BBC">
      <w:pPr>
        <w:jc w:val="both"/>
        <w:rPr>
          <w:sz w:val="22"/>
        </w:rPr>
      </w:pPr>
      <w:r w:rsidRPr="00DA3BC7">
        <w:rPr>
          <w:rFonts w:hint="eastAsia"/>
          <w:sz w:val="22"/>
        </w:rPr>
        <w:t xml:space="preserve">　　　　│　　│　　　　　　┌……………………………</w:t>
      </w:r>
      <w:r w:rsidRPr="00DA3BC7">
        <w:rPr>
          <w:rFonts w:hint="eastAsia"/>
          <w:spacing w:val="76"/>
          <w:sz w:val="22"/>
        </w:rPr>
        <w:t>觀六情</w:t>
      </w:r>
      <w:r w:rsidRPr="00DA3BC7">
        <w:rPr>
          <w:rFonts w:hint="eastAsia"/>
          <w:spacing w:val="-10"/>
          <w:sz w:val="22"/>
        </w:rPr>
        <w:t>品</w:t>
      </w:r>
      <w:r w:rsidRPr="00DA3BC7">
        <w:rPr>
          <w:rFonts w:hint="eastAsia"/>
          <w:sz w:val="22"/>
        </w:rPr>
        <w:t>（</w:t>
      </w:r>
      <w:r w:rsidRPr="00DA3BC7">
        <w:rPr>
          <w:rFonts w:ascii="Times New Roman" w:hAnsi="Times New Roman" w:hint="eastAsia"/>
          <w:sz w:val="22"/>
        </w:rPr>
        <w:t>03</w:t>
      </w:r>
      <w:r w:rsidRPr="00DA3BC7">
        <w:rPr>
          <w:rFonts w:hint="eastAsia"/>
          <w:sz w:val="22"/>
        </w:rPr>
        <w:t>）</w:t>
      </w:r>
    </w:p>
    <w:p w:rsidR="00E43C20" w:rsidRPr="00DA3BC7" w:rsidRDefault="00E43C20" w:rsidP="008E2BBC">
      <w:pPr>
        <w:jc w:val="both"/>
        <w:rPr>
          <w:sz w:val="22"/>
        </w:rPr>
      </w:pPr>
      <w:r w:rsidRPr="00DA3BC7">
        <w:rPr>
          <w:rFonts w:hint="eastAsia"/>
          <w:sz w:val="22"/>
        </w:rPr>
        <w:t xml:space="preserve">　　　　│　　│　　┌觀世間┼……………………………</w:t>
      </w:r>
      <w:r w:rsidRPr="00DA3BC7">
        <w:rPr>
          <w:rFonts w:hint="eastAsia"/>
          <w:spacing w:val="76"/>
          <w:sz w:val="22"/>
        </w:rPr>
        <w:t>觀五陰</w:t>
      </w:r>
      <w:r w:rsidRPr="00DA3BC7">
        <w:rPr>
          <w:rFonts w:hint="eastAsia"/>
          <w:spacing w:val="-10"/>
          <w:sz w:val="22"/>
        </w:rPr>
        <w:t>品</w:t>
      </w:r>
      <w:r w:rsidRPr="00DA3BC7">
        <w:rPr>
          <w:rFonts w:hint="eastAsia"/>
          <w:sz w:val="22"/>
        </w:rPr>
        <w:t>（</w:t>
      </w:r>
      <w:r w:rsidRPr="00DA3BC7">
        <w:rPr>
          <w:rFonts w:ascii="Times New Roman" w:hAnsi="Times New Roman" w:hint="eastAsia"/>
          <w:sz w:val="22"/>
        </w:rPr>
        <w:t>04</w:t>
      </w:r>
      <w:r w:rsidRPr="00DA3BC7">
        <w:rPr>
          <w:rFonts w:hint="eastAsia"/>
          <w:sz w:val="22"/>
        </w:rPr>
        <w:t>）</w:t>
      </w:r>
    </w:p>
    <w:p w:rsidR="00E43C20" w:rsidRPr="00DA3BC7" w:rsidRDefault="00E43C20" w:rsidP="008E2BBC">
      <w:pPr>
        <w:jc w:val="both"/>
        <w:rPr>
          <w:sz w:val="22"/>
        </w:rPr>
      </w:pPr>
      <w:r w:rsidRPr="00DA3BC7">
        <w:rPr>
          <w:rFonts w:hint="eastAsia"/>
          <w:sz w:val="22"/>
        </w:rPr>
        <w:t xml:space="preserve">　　　　│　　│　　│　　　└……………………………</w:t>
      </w:r>
      <w:r w:rsidRPr="00DA3BC7">
        <w:rPr>
          <w:rFonts w:hint="eastAsia"/>
          <w:spacing w:val="76"/>
          <w:sz w:val="22"/>
        </w:rPr>
        <w:t>觀六</w:t>
      </w:r>
      <w:r w:rsidR="00E01F67" w:rsidRPr="00DA3BC7">
        <w:rPr>
          <w:rFonts w:hint="eastAsia"/>
          <w:spacing w:val="76"/>
          <w:sz w:val="22"/>
        </w:rPr>
        <w:t>種</w:t>
      </w:r>
      <w:r w:rsidRPr="00DA3BC7">
        <w:rPr>
          <w:rFonts w:hint="eastAsia"/>
          <w:spacing w:val="-10"/>
          <w:sz w:val="22"/>
        </w:rPr>
        <w:t>品</w:t>
      </w:r>
      <w:r w:rsidRPr="00DA3BC7">
        <w:rPr>
          <w:rFonts w:hint="eastAsia"/>
          <w:sz w:val="22"/>
        </w:rPr>
        <w:t>（</w:t>
      </w:r>
      <w:r w:rsidRPr="00DA3BC7">
        <w:rPr>
          <w:rFonts w:ascii="Times New Roman" w:hAnsi="Times New Roman" w:hint="eastAsia"/>
          <w:sz w:val="22"/>
        </w:rPr>
        <w:t>05</w:t>
      </w:r>
      <w:r w:rsidRPr="00DA3BC7">
        <w:rPr>
          <w:rFonts w:hint="eastAsia"/>
          <w:sz w:val="22"/>
        </w:rPr>
        <w:t>）</w:t>
      </w:r>
    </w:p>
    <w:p w:rsidR="00E43C20" w:rsidRPr="00DA3BC7" w:rsidRDefault="00E43C20" w:rsidP="008E2BBC">
      <w:pPr>
        <w:jc w:val="both"/>
        <w:rPr>
          <w:sz w:val="22"/>
        </w:rPr>
      </w:pPr>
      <w:r w:rsidRPr="00DA3BC7">
        <w:rPr>
          <w:rFonts w:hint="eastAsia"/>
          <w:sz w:val="22"/>
        </w:rPr>
        <w:t xml:space="preserve">　　　　│　　│　　│　　　　　　　　　┌染則生┬…</w:t>
      </w:r>
      <w:r w:rsidRPr="00DA3BC7">
        <w:rPr>
          <w:rFonts w:hint="eastAsia"/>
          <w:spacing w:val="30"/>
          <w:sz w:val="22"/>
        </w:rPr>
        <w:t>觀染染者</w:t>
      </w:r>
      <w:r w:rsidRPr="00DA3BC7">
        <w:rPr>
          <w:rFonts w:hint="eastAsia"/>
          <w:spacing w:val="-10"/>
          <w:sz w:val="22"/>
        </w:rPr>
        <w:t>品</w:t>
      </w:r>
      <w:r w:rsidRPr="00DA3BC7">
        <w:rPr>
          <w:rFonts w:hint="eastAsia"/>
          <w:sz w:val="22"/>
        </w:rPr>
        <w:t>（</w:t>
      </w:r>
      <w:r w:rsidRPr="00DA3BC7">
        <w:rPr>
          <w:rFonts w:ascii="Times New Roman" w:hAnsi="Times New Roman" w:hint="eastAsia"/>
          <w:sz w:val="22"/>
        </w:rPr>
        <w:t>06</w:t>
      </w:r>
      <w:r w:rsidRPr="00DA3BC7">
        <w:rPr>
          <w:rFonts w:hint="eastAsia"/>
          <w:sz w:val="22"/>
        </w:rPr>
        <w:t>）</w:t>
      </w:r>
    </w:p>
    <w:p w:rsidR="00E43C20" w:rsidRPr="00DA3BC7" w:rsidRDefault="00E43C20" w:rsidP="008E2BBC">
      <w:pPr>
        <w:jc w:val="both"/>
        <w:rPr>
          <w:sz w:val="22"/>
        </w:rPr>
      </w:pPr>
      <w:r w:rsidRPr="00DA3BC7">
        <w:rPr>
          <w:rFonts w:hint="eastAsia"/>
          <w:sz w:val="22"/>
        </w:rPr>
        <w:t>全論組織┤　　│　　│　　　　┌惑業所生┤　　　└…</w:t>
      </w:r>
      <w:r w:rsidRPr="00DA3BC7">
        <w:rPr>
          <w:rFonts w:hint="eastAsia"/>
          <w:spacing w:val="76"/>
          <w:sz w:val="22"/>
        </w:rPr>
        <w:t>觀三相</w:t>
      </w:r>
      <w:r w:rsidRPr="00DA3BC7">
        <w:rPr>
          <w:rFonts w:hint="eastAsia"/>
          <w:spacing w:val="-10"/>
          <w:sz w:val="22"/>
        </w:rPr>
        <w:t>品</w:t>
      </w:r>
      <w:r w:rsidRPr="00DA3BC7">
        <w:rPr>
          <w:rFonts w:hint="eastAsia"/>
          <w:sz w:val="22"/>
        </w:rPr>
        <w:t>（</w:t>
      </w:r>
      <w:r w:rsidRPr="00DA3BC7">
        <w:rPr>
          <w:rFonts w:ascii="Times New Roman" w:hAnsi="Times New Roman" w:hint="eastAsia"/>
          <w:sz w:val="22"/>
        </w:rPr>
        <w:t>07</w:t>
      </w:r>
      <w:r w:rsidRPr="00DA3BC7">
        <w:rPr>
          <w:rFonts w:hint="eastAsia"/>
          <w:sz w:val="22"/>
        </w:rPr>
        <w:t>）</w:t>
      </w:r>
    </w:p>
    <w:p w:rsidR="00E43C20" w:rsidRPr="00DA3BC7" w:rsidRDefault="00E43C20" w:rsidP="008E2BBC">
      <w:pPr>
        <w:jc w:val="both"/>
        <w:rPr>
          <w:sz w:val="22"/>
        </w:rPr>
      </w:pPr>
      <w:r w:rsidRPr="00DA3BC7">
        <w:rPr>
          <w:rFonts w:hint="eastAsia"/>
          <w:sz w:val="22"/>
        </w:rPr>
        <w:t xml:space="preserve">　　　　│顯義┤　　│　　　　│　　　　│　　　┌…</w:t>
      </w:r>
      <w:r w:rsidRPr="00DA3BC7">
        <w:rPr>
          <w:rFonts w:hint="eastAsia"/>
          <w:spacing w:val="30"/>
          <w:sz w:val="22"/>
        </w:rPr>
        <w:t>觀作作者</w:t>
      </w:r>
      <w:r w:rsidRPr="00DA3BC7">
        <w:rPr>
          <w:rFonts w:hint="eastAsia"/>
          <w:spacing w:val="-10"/>
          <w:sz w:val="22"/>
        </w:rPr>
        <w:t>品</w:t>
      </w:r>
      <w:r w:rsidRPr="00DA3BC7">
        <w:rPr>
          <w:rFonts w:hint="eastAsia"/>
          <w:sz w:val="22"/>
        </w:rPr>
        <w:t>（</w:t>
      </w:r>
      <w:r w:rsidRPr="00DA3BC7">
        <w:rPr>
          <w:rFonts w:ascii="Times New Roman" w:hAnsi="Times New Roman" w:hint="eastAsia"/>
          <w:sz w:val="22"/>
        </w:rPr>
        <w:t>08</w:t>
      </w:r>
      <w:r w:rsidRPr="00DA3BC7">
        <w:rPr>
          <w:rFonts w:hint="eastAsia"/>
          <w:sz w:val="22"/>
        </w:rPr>
        <w:t>）</w:t>
      </w:r>
    </w:p>
    <w:p w:rsidR="00E43C20" w:rsidRPr="00DA3BC7" w:rsidRDefault="00E43C20" w:rsidP="008E2BBC">
      <w:pPr>
        <w:jc w:val="both"/>
        <w:rPr>
          <w:sz w:val="22"/>
        </w:rPr>
      </w:pPr>
      <w:r w:rsidRPr="00DA3BC7">
        <w:rPr>
          <w:rFonts w:hint="eastAsia"/>
          <w:sz w:val="22"/>
        </w:rPr>
        <w:t xml:space="preserve">　　　　│　　│　　│　　　　│　　　　└作則受┼…</w:t>
      </w:r>
      <w:r w:rsidRPr="00DA3BC7">
        <w:rPr>
          <w:rFonts w:hint="eastAsia"/>
          <w:spacing w:val="76"/>
          <w:sz w:val="22"/>
        </w:rPr>
        <w:t>觀本住</w:t>
      </w:r>
      <w:r w:rsidRPr="00DA3BC7">
        <w:rPr>
          <w:rFonts w:hint="eastAsia"/>
          <w:spacing w:val="-10"/>
          <w:sz w:val="22"/>
        </w:rPr>
        <w:t>品</w:t>
      </w:r>
      <w:r w:rsidRPr="00DA3BC7">
        <w:rPr>
          <w:rFonts w:hint="eastAsia"/>
          <w:sz w:val="22"/>
        </w:rPr>
        <w:t>（</w:t>
      </w:r>
      <w:r w:rsidRPr="00DA3BC7">
        <w:rPr>
          <w:rFonts w:ascii="Times New Roman" w:hAnsi="Times New Roman" w:hint="eastAsia"/>
          <w:sz w:val="22"/>
        </w:rPr>
        <w:t>09</w:t>
      </w:r>
      <w:r w:rsidRPr="00DA3BC7">
        <w:rPr>
          <w:rFonts w:hint="eastAsia"/>
          <w:sz w:val="22"/>
        </w:rPr>
        <w:t>）</w:t>
      </w:r>
    </w:p>
    <w:p w:rsidR="00E43C20" w:rsidRPr="00DA3BC7" w:rsidRDefault="00E43C20" w:rsidP="008E2BBC">
      <w:pPr>
        <w:jc w:val="both"/>
        <w:rPr>
          <w:sz w:val="22"/>
        </w:rPr>
      </w:pPr>
      <w:r w:rsidRPr="00DA3BC7">
        <w:rPr>
          <w:rFonts w:hint="eastAsia"/>
          <w:sz w:val="22"/>
        </w:rPr>
        <w:t xml:space="preserve">　　　　│　　│　　│　　　　│　　　　　　　　└…</w:t>
      </w:r>
      <w:r w:rsidRPr="00DA3BC7">
        <w:rPr>
          <w:rFonts w:hint="eastAsia"/>
          <w:spacing w:val="30"/>
          <w:sz w:val="22"/>
        </w:rPr>
        <w:t>觀燃可燃</w:t>
      </w:r>
      <w:r w:rsidRPr="00DA3BC7">
        <w:rPr>
          <w:rFonts w:hint="eastAsia"/>
          <w:spacing w:val="-10"/>
          <w:sz w:val="22"/>
        </w:rPr>
        <w:t>品</w:t>
      </w:r>
      <w:r w:rsidRPr="00DA3BC7">
        <w:rPr>
          <w:rFonts w:hint="eastAsia"/>
          <w:sz w:val="22"/>
        </w:rPr>
        <w:t>（</w:t>
      </w:r>
      <w:r w:rsidRPr="00DA3BC7">
        <w:rPr>
          <w:rFonts w:ascii="Times New Roman" w:hAnsi="Times New Roman" w:hint="eastAsia"/>
          <w:sz w:val="22"/>
        </w:rPr>
        <w:t>10</w:t>
      </w:r>
      <w:r w:rsidRPr="00DA3BC7">
        <w:rPr>
          <w:rFonts w:hint="eastAsia"/>
          <w:sz w:val="22"/>
        </w:rPr>
        <w:t>）</w:t>
      </w:r>
    </w:p>
    <w:p w:rsidR="00E43C20" w:rsidRPr="00DA3BC7" w:rsidRDefault="00E43C20" w:rsidP="008E2BBC">
      <w:pPr>
        <w:jc w:val="both"/>
        <w:rPr>
          <w:sz w:val="22"/>
        </w:rPr>
      </w:pPr>
      <w:r w:rsidRPr="00DA3BC7">
        <w:rPr>
          <w:rFonts w:hint="eastAsia"/>
          <w:sz w:val="22"/>
        </w:rPr>
        <w:t xml:space="preserve">　　　　│　　│　　│觀世間集┤生死流轉┬無三際……</w:t>
      </w:r>
      <w:r w:rsidRPr="00DA3BC7">
        <w:rPr>
          <w:rFonts w:hint="eastAsia"/>
          <w:spacing w:val="76"/>
          <w:sz w:val="22"/>
        </w:rPr>
        <w:t>觀本際</w:t>
      </w:r>
      <w:r w:rsidRPr="00DA3BC7">
        <w:rPr>
          <w:rFonts w:hint="eastAsia"/>
          <w:spacing w:val="-10"/>
          <w:sz w:val="22"/>
        </w:rPr>
        <w:t>品</w:t>
      </w:r>
      <w:r w:rsidRPr="00DA3BC7">
        <w:rPr>
          <w:rFonts w:hint="eastAsia"/>
          <w:sz w:val="22"/>
        </w:rPr>
        <w:t>（</w:t>
      </w:r>
      <w:r w:rsidRPr="00DA3BC7">
        <w:rPr>
          <w:rFonts w:ascii="Times New Roman" w:hAnsi="Times New Roman" w:hint="eastAsia"/>
          <w:sz w:val="22"/>
        </w:rPr>
        <w:t>11</w:t>
      </w:r>
      <w:r w:rsidRPr="00DA3BC7">
        <w:rPr>
          <w:rFonts w:hint="eastAsia"/>
          <w:sz w:val="22"/>
        </w:rPr>
        <w:t>）</w:t>
      </w:r>
    </w:p>
    <w:p w:rsidR="00E43C20" w:rsidRPr="00DA3BC7" w:rsidRDefault="00E43C20" w:rsidP="008E2BBC">
      <w:pPr>
        <w:jc w:val="both"/>
        <w:rPr>
          <w:sz w:val="22"/>
        </w:rPr>
      </w:pPr>
      <w:r w:rsidRPr="00DA3BC7">
        <w:rPr>
          <w:rFonts w:hint="eastAsia"/>
          <w:sz w:val="22"/>
        </w:rPr>
        <w:t xml:space="preserve">　　　　│　　│　　│　　　　│　　　　└非四作……</w:t>
      </w:r>
      <w:r w:rsidRPr="00DA3BC7">
        <w:rPr>
          <w:rFonts w:hint="eastAsia"/>
          <w:spacing w:val="168"/>
          <w:sz w:val="22"/>
        </w:rPr>
        <w:t>觀苦</w:t>
      </w:r>
      <w:r w:rsidRPr="00DA3BC7">
        <w:rPr>
          <w:rFonts w:hint="eastAsia"/>
          <w:spacing w:val="-10"/>
          <w:sz w:val="22"/>
        </w:rPr>
        <w:t>品</w:t>
      </w:r>
      <w:r w:rsidRPr="00DA3BC7">
        <w:rPr>
          <w:rFonts w:hint="eastAsia"/>
          <w:sz w:val="22"/>
        </w:rPr>
        <w:t>（</w:t>
      </w:r>
      <w:r w:rsidRPr="00DA3BC7">
        <w:rPr>
          <w:rFonts w:ascii="Times New Roman" w:hAnsi="Times New Roman" w:hint="eastAsia"/>
          <w:sz w:val="22"/>
        </w:rPr>
        <w:t>12</w:t>
      </w:r>
      <w:r w:rsidRPr="00DA3BC7">
        <w:rPr>
          <w:rFonts w:hint="eastAsia"/>
          <w:sz w:val="22"/>
        </w:rPr>
        <w:t>）</w:t>
      </w:r>
    </w:p>
    <w:p w:rsidR="00E43C20" w:rsidRPr="00DA3BC7" w:rsidRDefault="00E43C20" w:rsidP="008E2BBC">
      <w:pPr>
        <w:jc w:val="both"/>
        <w:rPr>
          <w:sz w:val="22"/>
        </w:rPr>
      </w:pPr>
      <w:r w:rsidRPr="00DA3BC7">
        <w:rPr>
          <w:rFonts w:hint="eastAsia"/>
          <w:sz w:val="22"/>
        </w:rPr>
        <w:t xml:space="preserve">　　　　│　　│　　│　　　　│　　　　┌諸行………</w:t>
      </w:r>
      <w:r w:rsidRPr="00DA3BC7">
        <w:rPr>
          <w:rFonts w:hint="eastAsia"/>
          <w:spacing w:val="168"/>
          <w:sz w:val="22"/>
        </w:rPr>
        <w:t>觀行</w:t>
      </w:r>
      <w:r w:rsidRPr="00DA3BC7">
        <w:rPr>
          <w:rFonts w:hint="eastAsia"/>
          <w:spacing w:val="-10"/>
          <w:sz w:val="22"/>
        </w:rPr>
        <w:t>品</w:t>
      </w:r>
      <w:r w:rsidRPr="00DA3BC7">
        <w:rPr>
          <w:rFonts w:hint="eastAsia"/>
          <w:sz w:val="22"/>
        </w:rPr>
        <w:t>（</w:t>
      </w:r>
      <w:r w:rsidRPr="00DA3BC7">
        <w:rPr>
          <w:rFonts w:ascii="Times New Roman" w:hAnsi="Times New Roman" w:hint="eastAsia"/>
          <w:sz w:val="22"/>
        </w:rPr>
        <w:t>13</w:t>
      </w:r>
      <w:r w:rsidRPr="00DA3BC7">
        <w:rPr>
          <w:rFonts w:hint="eastAsia"/>
          <w:sz w:val="22"/>
        </w:rPr>
        <w:t>）</w:t>
      </w:r>
    </w:p>
    <w:p w:rsidR="00E43C20" w:rsidRPr="00DA3BC7" w:rsidRDefault="00E43C20" w:rsidP="008E2BBC">
      <w:pPr>
        <w:jc w:val="both"/>
        <w:rPr>
          <w:sz w:val="22"/>
        </w:rPr>
      </w:pPr>
      <w:r w:rsidRPr="00DA3BC7">
        <w:rPr>
          <w:rFonts w:hint="eastAsia"/>
          <w:sz w:val="22"/>
        </w:rPr>
        <w:t xml:space="preserve">　　　　│　　│　　│　　　　│　　　　│觸合………</w:t>
      </w:r>
      <w:r w:rsidRPr="00DA3BC7">
        <w:rPr>
          <w:rFonts w:hint="eastAsia"/>
          <w:spacing w:val="168"/>
          <w:sz w:val="22"/>
        </w:rPr>
        <w:t>觀合</w:t>
      </w:r>
      <w:r w:rsidRPr="00DA3BC7">
        <w:rPr>
          <w:rFonts w:hint="eastAsia"/>
          <w:spacing w:val="-10"/>
          <w:sz w:val="22"/>
        </w:rPr>
        <w:t>品</w:t>
      </w:r>
      <w:r w:rsidRPr="00DA3BC7">
        <w:rPr>
          <w:rFonts w:hint="eastAsia"/>
          <w:sz w:val="22"/>
        </w:rPr>
        <w:t>（</w:t>
      </w:r>
      <w:r w:rsidRPr="00DA3BC7">
        <w:rPr>
          <w:rFonts w:ascii="Times New Roman" w:hAnsi="Times New Roman" w:hint="eastAsia"/>
          <w:sz w:val="22"/>
        </w:rPr>
        <w:t>14</w:t>
      </w:r>
      <w:r w:rsidRPr="00DA3BC7">
        <w:rPr>
          <w:rFonts w:hint="eastAsia"/>
          <w:sz w:val="22"/>
        </w:rPr>
        <w:t>）</w:t>
      </w:r>
    </w:p>
    <w:p w:rsidR="00E43C20" w:rsidRPr="00DA3BC7" w:rsidRDefault="00E43C20" w:rsidP="008E2BBC">
      <w:pPr>
        <w:jc w:val="both"/>
        <w:rPr>
          <w:sz w:val="22"/>
        </w:rPr>
      </w:pPr>
      <w:r w:rsidRPr="00DA3BC7">
        <w:rPr>
          <w:rFonts w:hint="eastAsia"/>
          <w:sz w:val="22"/>
        </w:rPr>
        <w:t xml:space="preserve">　　　　│　　└別觀┤　　　　└行事空寂┤有無………</w:t>
      </w:r>
      <w:r w:rsidRPr="00DA3BC7">
        <w:rPr>
          <w:rFonts w:hint="eastAsia"/>
          <w:spacing w:val="76"/>
          <w:sz w:val="22"/>
        </w:rPr>
        <w:t>觀有無</w:t>
      </w:r>
      <w:r w:rsidRPr="00DA3BC7">
        <w:rPr>
          <w:rFonts w:hint="eastAsia"/>
          <w:spacing w:val="-10"/>
          <w:sz w:val="22"/>
        </w:rPr>
        <w:t>品</w:t>
      </w:r>
      <w:r w:rsidRPr="00DA3BC7">
        <w:rPr>
          <w:rFonts w:hint="eastAsia"/>
          <w:sz w:val="22"/>
        </w:rPr>
        <w:t>（</w:t>
      </w:r>
      <w:r w:rsidRPr="00DA3BC7">
        <w:rPr>
          <w:rFonts w:ascii="Times New Roman" w:hAnsi="Times New Roman" w:hint="eastAsia"/>
          <w:sz w:val="22"/>
        </w:rPr>
        <w:t>15</w:t>
      </w:r>
      <w:r w:rsidRPr="00DA3BC7">
        <w:rPr>
          <w:rFonts w:hint="eastAsia"/>
          <w:sz w:val="22"/>
        </w:rPr>
        <w:t>）</w:t>
      </w:r>
    </w:p>
    <w:p w:rsidR="00E43C20" w:rsidRPr="00DA3BC7" w:rsidRDefault="00E43C20" w:rsidP="008E2BBC">
      <w:pPr>
        <w:jc w:val="both"/>
        <w:rPr>
          <w:sz w:val="22"/>
        </w:rPr>
      </w:pPr>
      <w:r w:rsidRPr="00DA3BC7">
        <w:rPr>
          <w:rFonts w:hint="eastAsia"/>
          <w:sz w:val="22"/>
        </w:rPr>
        <w:t xml:space="preserve">　　　　│　　　　　│　　　　　　　　　│縛脫………</w:t>
      </w:r>
      <w:r w:rsidRPr="00DA3BC7">
        <w:rPr>
          <w:rFonts w:hint="eastAsia"/>
          <w:spacing w:val="76"/>
          <w:sz w:val="22"/>
        </w:rPr>
        <w:t>觀縛解</w:t>
      </w:r>
      <w:r w:rsidRPr="00DA3BC7">
        <w:rPr>
          <w:rFonts w:hint="eastAsia"/>
          <w:spacing w:val="-10"/>
          <w:sz w:val="22"/>
        </w:rPr>
        <w:t>品</w:t>
      </w:r>
      <w:r w:rsidRPr="00DA3BC7">
        <w:rPr>
          <w:rFonts w:hint="eastAsia"/>
          <w:sz w:val="22"/>
        </w:rPr>
        <w:t>（</w:t>
      </w:r>
      <w:r w:rsidRPr="00DA3BC7">
        <w:rPr>
          <w:rFonts w:ascii="Times New Roman" w:hAnsi="Times New Roman" w:hint="eastAsia"/>
          <w:sz w:val="22"/>
        </w:rPr>
        <w:t>16</w:t>
      </w:r>
      <w:r w:rsidRPr="00DA3BC7">
        <w:rPr>
          <w:rFonts w:hint="eastAsia"/>
          <w:sz w:val="22"/>
        </w:rPr>
        <w:t>）</w:t>
      </w:r>
    </w:p>
    <w:p w:rsidR="00E43C20" w:rsidRPr="00DA3BC7" w:rsidRDefault="00E43C20" w:rsidP="008E2BBC">
      <w:pPr>
        <w:jc w:val="both"/>
        <w:rPr>
          <w:sz w:val="22"/>
        </w:rPr>
      </w:pPr>
      <w:r w:rsidRPr="00DA3BC7">
        <w:rPr>
          <w:rFonts w:hint="eastAsia"/>
          <w:sz w:val="22"/>
        </w:rPr>
        <w:t xml:space="preserve">　　　　│　　　　　│　　　　　　　　　└行業………</w:t>
      </w:r>
      <w:r w:rsidRPr="00DA3BC7">
        <w:rPr>
          <w:rFonts w:hint="eastAsia"/>
          <w:spacing w:val="168"/>
          <w:sz w:val="22"/>
        </w:rPr>
        <w:t>觀業</w:t>
      </w:r>
      <w:r w:rsidRPr="00DA3BC7">
        <w:rPr>
          <w:rFonts w:hint="eastAsia"/>
          <w:spacing w:val="-10"/>
          <w:sz w:val="22"/>
        </w:rPr>
        <w:t>品</w:t>
      </w:r>
      <w:r w:rsidRPr="00DA3BC7">
        <w:rPr>
          <w:rFonts w:hint="eastAsia"/>
          <w:sz w:val="22"/>
        </w:rPr>
        <w:t>（</w:t>
      </w:r>
      <w:r w:rsidRPr="00DA3BC7">
        <w:rPr>
          <w:rFonts w:ascii="Times New Roman" w:hAnsi="Times New Roman" w:hint="eastAsia"/>
          <w:sz w:val="22"/>
        </w:rPr>
        <w:t>17</w:t>
      </w:r>
      <w:r w:rsidRPr="00DA3BC7">
        <w:rPr>
          <w:rFonts w:hint="eastAsia"/>
          <w:sz w:val="22"/>
        </w:rPr>
        <w:t>）</w:t>
      </w:r>
    </w:p>
    <w:p w:rsidR="00E43C20" w:rsidRPr="00DA3BC7" w:rsidRDefault="00E43C20" w:rsidP="008E2BBC">
      <w:pPr>
        <w:jc w:val="both"/>
        <w:rPr>
          <w:sz w:val="22"/>
        </w:rPr>
      </w:pPr>
      <w:r w:rsidRPr="00DA3BC7">
        <w:rPr>
          <w:rFonts w:hint="eastAsia"/>
          <w:sz w:val="22"/>
        </w:rPr>
        <w:t xml:space="preserve">　　　　│　　　　　│　　　　┌現觀……………………</w:t>
      </w:r>
      <w:r w:rsidRPr="00DA3BC7">
        <w:rPr>
          <w:rFonts w:hint="eastAsia"/>
          <w:spacing w:val="168"/>
          <w:sz w:val="22"/>
        </w:rPr>
        <w:t>觀法</w:t>
      </w:r>
      <w:r w:rsidRPr="00DA3BC7">
        <w:rPr>
          <w:rFonts w:hint="eastAsia"/>
          <w:spacing w:val="-10"/>
          <w:sz w:val="22"/>
        </w:rPr>
        <w:t>品</w:t>
      </w:r>
      <w:r w:rsidRPr="00DA3BC7">
        <w:rPr>
          <w:rFonts w:hint="eastAsia"/>
          <w:sz w:val="22"/>
        </w:rPr>
        <w:t>（</w:t>
      </w:r>
      <w:r w:rsidRPr="00DA3BC7">
        <w:rPr>
          <w:rFonts w:ascii="Times New Roman" w:hAnsi="Times New Roman" w:hint="eastAsia"/>
          <w:sz w:val="22"/>
        </w:rPr>
        <w:t>18</w:t>
      </w:r>
      <w:r w:rsidRPr="00DA3BC7">
        <w:rPr>
          <w:rFonts w:hint="eastAsia"/>
          <w:sz w:val="22"/>
        </w:rPr>
        <w:t>）</w:t>
      </w:r>
    </w:p>
    <w:p w:rsidR="00E43C20" w:rsidRPr="00DA3BC7" w:rsidRDefault="00E43C20" w:rsidP="008E2BBC">
      <w:pPr>
        <w:jc w:val="both"/>
        <w:rPr>
          <w:sz w:val="22"/>
        </w:rPr>
      </w:pPr>
      <w:r w:rsidRPr="00DA3BC7">
        <w:rPr>
          <w:rFonts w:hint="eastAsia"/>
          <w:sz w:val="22"/>
        </w:rPr>
        <w:t xml:space="preserve">　　　　│　　　　　│　　　　│　　┌…………………</w:t>
      </w:r>
      <w:r w:rsidRPr="00DA3BC7">
        <w:rPr>
          <w:rFonts w:hint="eastAsia"/>
          <w:spacing w:val="168"/>
          <w:sz w:val="22"/>
        </w:rPr>
        <w:t>觀時</w:t>
      </w:r>
      <w:r w:rsidRPr="00DA3BC7">
        <w:rPr>
          <w:rFonts w:hint="eastAsia"/>
          <w:spacing w:val="-10"/>
          <w:sz w:val="22"/>
        </w:rPr>
        <w:t>品</w:t>
      </w:r>
      <w:r w:rsidRPr="00DA3BC7">
        <w:rPr>
          <w:rFonts w:hint="eastAsia"/>
          <w:sz w:val="22"/>
        </w:rPr>
        <w:t>（</w:t>
      </w:r>
      <w:r w:rsidRPr="00DA3BC7">
        <w:rPr>
          <w:rFonts w:ascii="Times New Roman" w:hAnsi="Times New Roman" w:hint="eastAsia"/>
          <w:sz w:val="22"/>
        </w:rPr>
        <w:t>19</w:t>
      </w:r>
      <w:r w:rsidRPr="00DA3BC7">
        <w:rPr>
          <w:rFonts w:hint="eastAsia"/>
          <w:sz w:val="22"/>
        </w:rPr>
        <w:t>）</w:t>
      </w:r>
    </w:p>
    <w:p w:rsidR="00E43C20" w:rsidRPr="00DA3BC7" w:rsidRDefault="00E43C20" w:rsidP="008E2BBC">
      <w:pPr>
        <w:jc w:val="both"/>
        <w:rPr>
          <w:sz w:val="22"/>
        </w:rPr>
      </w:pPr>
      <w:r w:rsidRPr="00DA3BC7">
        <w:rPr>
          <w:rFonts w:hint="eastAsia"/>
          <w:sz w:val="22"/>
        </w:rPr>
        <w:t xml:space="preserve">　　　　│　　　　　│觀世間滅┤向得┼…………………</w:t>
      </w:r>
      <w:r w:rsidRPr="00DA3BC7">
        <w:rPr>
          <w:rFonts w:hint="eastAsia"/>
          <w:spacing w:val="76"/>
          <w:sz w:val="22"/>
        </w:rPr>
        <w:t>觀因果</w:t>
      </w:r>
      <w:r w:rsidRPr="00DA3BC7">
        <w:rPr>
          <w:rFonts w:hint="eastAsia"/>
          <w:spacing w:val="-10"/>
          <w:sz w:val="22"/>
        </w:rPr>
        <w:t>品</w:t>
      </w:r>
      <w:r w:rsidRPr="00DA3BC7">
        <w:rPr>
          <w:rFonts w:hint="eastAsia"/>
          <w:sz w:val="22"/>
        </w:rPr>
        <w:t>（</w:t>
      </w:r>
      <w:r w:rsidRPr="00DA3BC7">
        <w:rPr>
          <w:rFonts w:ascii="Times New Roman" w:hAnsi="Times New Roman" w:hint="eastAsia"/>
          <w:sz w:val="22"/>
        </w:rPr>
        <w:t>20</w:t>
      </w:r>
      <w:r w:rsidRPr="00DA3BC7">
        <w:rPr>
          <w:rFonts w:hint="eastAsia"/>
          <w:sz w:val="22"/>
        </w:rPr>
        <w:t>）</w:t>
      </w:r>
    </w:p>
    <w:p w:rsidR="00E43C20" w:rsidRPr="00DA3BC7" w:rsidRDefault="00E43C20" w:rsidP="008E2BBC">
      <w:pPr>
        <w:jc w:val="both"/>
        <w:rPr>
          <w:sz w:val="22"/>
        </w:rPr>
      </w:pPr>
      <w:r w:rsidRPr="00DA3BC7">
        <w:rPr>
          <w:rFonts w:hint="eastAsia"/>
          <w:sz w:val="22"/>
        </w:rPr>
        <w:t xml:space="preserve">　　　　│　　　　　│　　　　│　　└…………………</w:t>
      </w:r>
      <w:r w:rsidRPr="00DA3BC7">
        <w:rPr>
          <w:rFonts w:hint="eastAsia"/>
          <w:spacing w:val="76"/>
          <w:sz w:val="22"/>
        </w:rPr>
        <w:t>觀成壞</w:t>
      </w:r>
      <w:r w:rsidRPr="00DA3BC7">
        <w:rPr>
          <w:rFonts w:hint="eastAsia"/>
          <w:spacing w:val="-10"/>
          <w:sz w:val="22"/>
        </w:rPr>
        <w:t>品</w:t>
      </w:r>
      <w:r w:rsidRPr="00DA3BC7">
        <w:rPr>
          <w:rFonts w:hint="eastAsia"/>
          <w:sz w:val="22"/>
        </w:rPr>
        <w:t>（</w:t>
      </w:r>
      <w:r w:rsidRPr="00DA3BC7">
        <w:rPr>
          <w:rFonts w:ascii="Times New Roman" w:hAnsi="Times New Roman" w:hint="eastAsia"/>
          <w:sz w:val="22"/>
        </w:rPr>
        <w:t>21</w:t>
      </w:r>
      <w:r w:rsidRPr="00DA3BC7">
        <w:rPr>
          <w:rFonts w:hint="eastAsia"/>
          <w:sz w:val="22"/>
        </w:rPr>
        <w:t>）</w:t>
      </w:r>
    </w:p>
    <w:p w:rsidR="00E43C20" w:rsidRPr="00DA3BC7" w:rsidRDefault="00E43C20" w:rsidP="008E2BBC">
      <w:pPr>
        <w:jc w:val="both"/>
        <w:rPr>
          <w:sz w:val="22"/>
        </w:rPr>
      </w:pPr>
      <w:r w:rsidRPr="00DA3BC7">
        <w:rPr>
          <w:rFonts w:hint="eastAsia"/>
          <w:sz w:val="22"/>
        </w:rPr>
        <w:t xml:space="preserve">　　　　│　　　　　│　　　　│　　　　┌人…………</w:t>
      </w:r>
      <w:r w:rsidRPr="00DA3BC7">
        <w:rPr>
          <w:rFonts w:hint="eastAsia"/>
          <w:spacing w:val="76"/>
          <w:sz w:val="22"/>
        </w:rPr>
        <w:t>觀如來</w:t>
      </w:r>
      <w:r w:rsidRPr="00DA3BC7">
        <w:rPr>
          <w:rFonts w:ascii="Times New Roman" w:hAnsi="Times New Roman"/>
          <w:spacing w:val="-10"/>
          <w:sz w:val="22"/>
        </w:rPr>
        <w:t>品</w:t>
      </w:r>
      <w:r w:rsidR="0098185C" w:rsidRPr="00DA3BC7">
        <w:rPr>
          <w:rFonts w:ascii="Times New Roman" w:hAnsi="Times New Roman"/>
          <w:sz w:val="22"/>
        </w:rPr>
        <w:t>（</w:t>
      </w:r>
      <w:r w:rsidRPr="00DA3BC7">
        <w:rPr>
          <w:rFonts w:ascii="Times New Roman" w:hAnsi="Times New Roman"/>
          <w:sz w:val="22"/>
        </w:rPr>
        <w:t>22</w:t>
      </w:r>
      <w:r w:rsidR="0098185C" w:rsidRPr="00DA3BC7">
        <w:rPr>
          <w:rFonts w:ascii="Times New Roman" w:hAnsi="Times New Roman"/>
          <w:sz w:val="22"/>
        </w:rPr>
        <w:t>）</w:t>
      </w:r>
    </w:p>
    <w:p w:rsidR="00E43C20" w:rsidRPr="00DA3BC7" w:rsidRDefault="00E43C20" w:rsidP="008E2BBC">
      <w:pPr>
        <w:jc w:val="both"/>
        <w:rPr>
          <w:sz w:val="22"/>
        </w:rPr>
      </w:pPr>
      <w:r w:rsidRPr="00DA3BC7">
        <w:rPr>
          <w:rFonts w:hint="eastAsia"/>
          <w:sz w:val="22"/>
        </w:rPr>
        <w:t xml:space="preserve">　　　　│　　　　　│　　　　└斷證──┤　┌………</w:t>
      </w:r>
      <w:r w:rsidRPr="00DA3BC7">
        <w:rPr>
          <w:rFonts w:hint="eastAsia"/>
          <w:spacing w:val="76"/>
          <w:sz w:val="22"/>
        </w:rPr>
        <w:t>觀顛倒</w:t>
      </w:r>
      <w:r w:rsidRPr="00DA3BC7">
        <w:rPr>
          <w:rFonts w:hint="eastAsia"/>
          <w:spacing w:val="-10"/>
          <w:sz w:val="22"/>
        </w:rPr>
        <w:t>品</w:t>
      </w:r>
      <w:r w:rsidRPr="00DA3BC7">
        <w:rPr>
          <w:rFonts w:hint="eastAsia"/>
          <w:sz w:val="22"/>
        </w:rPr>
        <w:t>（</w:t>
      </w:r>
      <w:r w:rsidRPr="00DA3BC7">
        <w:rPr>
          <w:rFonts w:ascii="Times New Roman" w:hAnsi="Times New Roman" w:hint="eastAsia"/>
          <w:sz w:val="22"/>
        </w:rPr>
        <w:t>23</w:t>
      </w:r>
      <w:r w:rsidRPr="00DA3BC7">
        <w:rPr>
          <w:rFonts w:hint="eastAsia"/>
          <w:sz w:val="22"/>
        </w:rPr>
        <w:t>）</w:t>
      </w:r>
    </w:p>
    <w:p w:rsidR="00E43C20" w:rsidRPr="00DA3BC7" w:rsidRDefault="00E43C20" w:rsidP="008E2BBC">
      <w:pPr>
        <w:jc w:val="both"/>
        <w:rPr>
          <w:sz w:val="22"/>
        </w:rPr>
      </w:pPr>
      <w:r w:rsidRPr="00DA3BC7">
        <w:rPr>
          <w:rFonts w:hint="eastAsia"/>
          <w:sz w:val="22"/>
        </w:rPr>
        <w:t xml:space="preserve">　　　　│　　　　　│　　　　　　　　　└法┼………</w:t>
      </w:r>
      <w:r w:rsidRPr="00DA3BC7">
        <w:rPr>
          <w:rFonts w:hint="eastAsia"/>
          <w:spacing w:val="76"/>
          <w:sz w:val="22"/>
        </w:rPr>
        <w:t>觀四諦</w:t>
      </w:r>
      <w:r w:rsidRPr="00DA3BC7">
        <w:rPr>
          <w:rFonts w:hint="eastAsia"/>
          <w:spacing w:val="-10"/>
          <w:sz w:val="22"/>
        </w:rPr>
        <w:t>品</w:t>
      </w:r>
      <w:r w:rsidRPr="00DA3BC7">
        <w:rPr>
          <w:rFonts w:hint="eastAsia"/>
          <w:sz w:val="22"/>
        </w:rPr>
        <w:t>（</w:t>
      </w:r>
      <w:r w:rsidRPr="00DA3BC7">
        <w:rPr>
          <w:rFonts w:ascii="Times New Roman" w:hAnsi="Times New Roman" w:hint="eastAsia"/>
          <w:sz w:val="22"/>
        </w:rPr>
        <w:t>24</w:t>
      </w:r>
      <w:r w:rsidRPr="00DA3BC7">
        <w:rPr>
          <w:rFonts w:hint="eastAsia"/>
          <w:sz w:val="22"/>
        </w:rPr>
        <w:t>）</w:t>
      </w:r>
    </w:p>
    <w:p w:rsidR="00E43C20" w:rsidRPr="00DA3BC7" w:rsidRDefault="00E43C20" w:rsidP="008E2BBC">
      <w:pPr>
        <w:jc w:val="both"/>
        <w:rPr>
          <w:sz w:val="22"/>
        </w:rPr>
      </w:pPr>
      <w:r w:rsidRPr="00DA3BC7">
        <w:rPr>
          <w:rFonts w:hint="eastAsia"/>
          <w:sz w:val="22"/>
        </w:rPr>
        <w:t xml:space="preserve">　　　　│　　　　　│　　　　　　　　　　　└………</w:t>
      </w:r>
      <w:r w:rsidRPr="00DA3BC7">
        <w:rPr>
          <w:rFonts w:hint="eastAsia"/>
          <w:spacing w:val="76"/>
          <w:sz w:val="22"/>
        </w:rPr>
        <w:t>觀涅槃</w:t>
      </w:r>
      <w:r w:rsidRPr="00DA3BC7">
        <w:rPr>
          <w:rFonts w:hint="eastAsia"/>
          <w:spacing w:val="-10"/>
          <w:sz w:val="22"/>
        </w:rPr>
        <w:t>品</w:t>
      </w:r>
      <w:r w:rsidRPr="00DA3BC7">
        <w:rPr>
          <w:rFonts w:hint="eastAsia"/>
          <w:sz w:val="22"/>
        </w:rPr>
        <w:t>（</w:t>
      </w:r>
      <w:r w:rsidRPr="00DA3BC7">
        <w:rPr>
          <w:rFonts w:ascii="Times New Roman" w:hAnsi="Times New Roman" w:hint="eastAsia"/>
          <w:sz w:val="22"/>
        </w:rPr>
        <w:t>25</w:t>
      </w:r>
      <w:r w:rsidRPr="00DA3BC7">
        <w:rPr>
          <w:rFonts w:hint="eastAsia"/>
          <w:sz w:val="22"/>
        </w:rPr>
        <w:t>）</w:t>
      </w:r>
    </w:p>
    <w:p w:rsidR="00E43C20" w:rsidRPr="00DA3BC7" w:rsidRDefault="00E43C20" w:rsidP="008E2BBC">
      <w:pPr>
        <w:tabs>
          <w:tab w:val="left" w:pos="6804"/>
          <w:tab w:val="left" w:pos="8222"/>
        </w:tabs>
        <w:jc w:val="both"/>
        <w:rPr>
          <w:sz w:val="22"/>
        </w:rPr>
      </w:pPr>
      <w:r w:rsidRPr="00DA3BC7">
        <w:rPr>
          <w:rFonts w:hint="eastAsia"/>
          <w:sz w:val="22"/>
        </w:rPr>
        <w:t xml:space="preserve">　　　　│　　　　　└觀世間滅道┬正觀緣起……………</w:t>
      </w:r>
      <w:r w:rsidRPr="00DA3BC7">
        <w:rPr>
          <w:rFonts w:hint="eastAsia"/>
          <w:spacing w:val="4"/>
          <w:sz w:val="22"/>
        </w:rPr>
        <w:t>觀</w:t>
      </w:r>
      <w:r w:rsidRPr="00DA3BC7">
        <w:rPr>
          <w:rFonts w:ascii="Times New Roman" w:hAnsi="Times New Roman" w:hint="eastAsia"/>
          <w:spacing w:val="2"/>
          <w:sz w:val="22"/>
        </w:rPr>
        <w:t>十二</w:t>
      </w:r>
      <w:r w:rsidRPr="00DA3BC7">
        <w:rPr>
          <w:rFonts w:hint="eastAsia"/>
          <w:spacing w:val="2"/>
          <w:sz w:val="22"/>
        </w:rPr>
        <w:t>因緣</w:t>
      </w:r>
      <w:r w:rsidRPr="00DA3BC7">
        <w:rPr>
          <w:rFonts w:hint="eastAsia"/>
          <w:spacing w:val="-10"/>
          <w:sz w:val="22"/>
        </w:rPr>
        <w:t>品</w:t>
      </w:r>
      <w:r w:rsidRPr="00DA3BC7">
        <w:rPr>
          <w:rFonts w:hint="eastAsia"/>
          <w:sz w:val="22"/>
        </w:rPr>
        <w:t>（</w:t>
      </w:r>
      <w:r w:rsidRPr="00DA3BC7">
        <w:rPr>
          <w:rFonts w:ascii="Times New Roman" w:hAnsi="Times New Roman" w:hint="eastAsia"/>
          <w:sz w:val="22"/>
        </w:rPr>
        <w:t>26</w:t>
      </w:r>
      <w:r w:rsidRPr="00DA3BC7">
        <w:rPr>
          <w:rFonts w:hint="eastAsia"/>
          <w:sz w:val="22"/>
        </w:rPr>
        <w:t>）</w:t>
      </w:r>
    </w:p>
    <w:p w:rsidR="00E43C20" w:rsidRPr="00DA3BC7" w:rsidRDefault="00E43C20" w:rsidP="008E2BBC">
      <w:pPr>
        <w:jc w:val="both"/>
        <w:rPr>
          <w:sz w:val="22"/>
        </w:rPr>
      </w:pPr>
      <w:r w:rsidRPr="00DA3BC7">
        <w:rPr>
          <w:rFonts w:hint="eastAsia"/>
          <w:sz w:val="22"/>
        </w:rPr>
        <w:t xml:space="preserve">　　　　│　　　　　　　　　　　└遠離邪見…………┬</w:t>
      </w:r>
      <w:r w:rsidRPr="00DA3BC7">
        <w:rPr>
          <w:rFonts w:hint="eastAsia"/>
          <w:spacing w:val="76"/>
          <w:sz w:val="22"/>
        </w:rPr>
        <w:t>觀邪見</w:t>
      </w:r>
      <w:r w:rsidRPr="00DA3BC7">
        <w:rPr>
          <w:rFonts w:hint="eastAsia"/>
          <w:spacing w:val="-10"/>
          <w:sz w:val="22"/>
        </w:rPr>
        <w:t>品</w:t>
      </w:r>
      <w:r w:rsidRPr="00DA3BC7">
        <w:rPr>
          <w:rFonts w:hint="eastAsia"/>
          <w:sz w:val="22"/>
        </w:rPr>
        <w:t>（</w:t>
      </w:r>
      <w:r w:rsidRPr="00DA3BC7">
        <w:rPr>
          <w:rFonts w:ascii="Times New Roman" w:hAnsi="Times New Roman" w:hint="eastAsia"/>
          <w:sz w:val="22"/>
        </w:rPr>
        <w:t>27</w:t>
      </w:r>
      <w:r w:rsidRPr="00DA3BC7">
        <w:rPr>
          <w:rFonts w:hint="eastAsia"/>
          <w:sz w:val="22"/>
        </w:rPr>
        <w:t>）</w:t>
      </w:r>
    </w:p>
    <w:p w:rsidR="00C30BBB" w:rsidRPr="00DA3BC7" w:rsidRDefault="00E43C20" w:rsidP="008E2BBC">
      <w:pPr>
        <w:jc w:val="both"/>
        <w:rPr>
          <w:sz w:val="22"/>
        </w:rPr>
        <w:sectPr w:rsidR="00C30BBB" w:rsidRPr="00DA3BC7" w:rsidSect="003218DE">
          <w:headerReference w:type="default" r:id="rId24"/>
          <w:footnotePr>
            <w:numRestart w:val="eachSect"/>
          </w:footnotePr>
          <w:pgSz w:w="10773" w:h="14742" w:code="9"/>
          <w:pgMar w:top="1418" w:right="1418" w:bottom="1418" w:left="1418" w:header="851" w:footer="992" w:gutter="0"/>
          <w:cols w:space="425"/>
          <w:docGrid w:type="lines" w:linePitch="360"/>
        </w:sectPr>
      </w:pPr>
      <w:r w:rsidRPr="00DA3BC7">
        <w:rPr>
          <w:rFonts w:hint="eastAsia"/>
          <w:sz w:val="22"/>
        </w:rPr>
        <w:t xml:space="preserve">　　　　└結讚……………………………（最後一頌）…┘</w:t>
      </w:r>
    </w:p>
    <w:p w:rsidR="00C30BBB" w:rsidRPr="00E75A4A" w:rsidRDefault="00C30BBB" w:rsidP="008E2BBC">
      <w:pPr>
        <w:pStyle w:val="1"/>
      </w:pPr>
      <w:bookmarkStart w:id="48" w:name="_Toc405499749"/>
      <w:r w:rsidRPr="00E75A4A">
        <w:lastRenderedPageBreak/>
        <w:t>第三章、緣起之生滅與不生不滅</w:t>
      </w:r>
      <w:bookmarkEnd w:id="48"/>
    </w:p>
    <w:p w:rsidR="00C30BBB" w:rsidRPr="00DA3BC7" w:rsidRDefault="00C30BBB" w:rsidP="008E2BBC">
      <w:pPr>
        <w:pStyle w:val="2"/>
      </w:pPr>
      <w:bookmarkStart w:id="49" w:name="_Toc405499750"/>
      <w:r w:rsidRPr="00E75A4A">
        <w:t>第一節</w:t>
      </w:r>
      <w:r w:rsidRPr="00E75A4A">
        <w:rPr>
          <w:rFonts w:hint="eastAsia"/>
        </w:rPr>
        <w:t>、無生之共證與大乘不共</w:t>
      </w:r>
      <w:bookmarkEnd w:id="49"/>
    </w:p>
    <w:p w:rsidR="00C30BBB" w:rsidRPr="00DA3BC7" w:rsidRDefault="00C30BBB" w:rsidP="008E2BBC">
      <w:pPr>
        <w:jc w:val="center"/>
        <w:rPr>
          <w:rFonts w:ascii="Times New Roman" w:eastAsia="標楷體" w:hAnsi="Times New Roman"/>
        </w:rPr>
      </w:pPr>
      <w:r w:rsidRPr="00DA3BC7">
        <w:rPr>
          <w:rFonts w:ascii="Times New Roman" w:eastAsia="標楷體" w:hAnsi="Times New Roman"/>
        </w:rPr>
        <w:t>（</w:t>
      </w:r>
      <w:r w:rsidRPr="00DA3BC7">
        <w:rPr>
          <w:rFonts w:ascii="Times New Roman" w:eastAsia="標楷體" w:hAnsi="Times New Roman"/>
        </w:rPr>
        <w:t>pp.25-28</w:t>
      </w:r>
      <w:r w:rsidRPr="00DA3BC7">
        <w:rPr>
          <w:rFonts w:ascii="Times New Roman" w:eastAsia="標楷體" w:hAnsi="Times New Roman"/>
        </w:rPr>
        <w:t>）</w:t>
      </w:r>
    </w:p>
    <w:p w:rsidR="00C30BBB" w:rsidRPr="00DA3BC7" w:rsidRDefault="00C30BBB" w:rsidP="008E2BBC">
      <w:pPr>
        <w:pStyle w:val="Author"/>
      </w:pPr>
    </w:p>
    <w:p w:rsidR="00C30BBB" w:rsidRPr="00DA3BC7" w:rsidRDefault="00C30BBB" w:rsidP="00AE3920">
      <w:pPr>
        <w:spacing w:beforeLines="50"/>
        <w:jc w:val="both"/>
        <w:rPr>
          <w:rFonts w:ascii="Times New Roman" w:hAnsi="Times New Roman"/>
          <w:b/>
          <w:sz w:val="20"/>
          <w:szCs w:val="26"/>
          <w:bdr w:val="single" w:sz="4" w:space="0" w:color="auto"/>
        </w:rPr>
      </w:pPr>
      <w:r w:rsidRPr="00DA3BC7">
        <w:rPr>
          <w:rFonts w:ascii="Times New Roman" w:hAnsi="Times New Roman" w:hint="eastAsia"/>
          <w:b/>
          <w:sz w:val="20"/>
          <w:szCs w:val="26"/>
          <w:bdr w:val="single" w:sz="4" w:space="0" w:color="auto"/>
        </w:rPr>
        <w:t>壹</w:t>
      </w:r>
      <w:r w:rsidRPr="00DA3BC7">
        <w:rPr>
          <w:rFonts w:ascii="Times New Roman" w:hAnsi="Times New Roman"/>
          <w:b/>
          <w:sz w:val="20"/>
          <w:szCs w:val="26"/>
          <w:bdr w:val="single" w:sz="4" w:space="0" w:color="auto"/>
        </w:rPr>
        <w:t>、</w:t>
      </w:r>
      <w:r w:rsidRPr="00DA3BC7">
        <w:rPr>
          <w:rFonts w:ascii="Times New Roman" w:hAnsi="Times New Roman" w:hint="eastAsia"/>
          <w:b/>
          <w:sz w:val="20"/>
          <w:szCs w:val="26"/>
          <w:bdr w:val="single" w:sz="4" w:space="0" w:color="auto"/>
        </w:rPr>
        <w:t>聲聞</w:t>
      </w:r>
      <w:r w:rsidR="00C8381B" w:rsidRPr="00C8381B">
        <w:rPr>
          <w:rFonts w:ascii="Times New Roman" w:hAnsi="Times New Roman" w:hint="eastAsia"/>
          <w:b/>
          <w:color w:val="FF0000"/>
          <w:sz w:val="20"/>
          <w:szCs w:val="26"/>
          <w:highlight w:val="yellow"/>
          <w:bdr w:val="single" w:sz="4" w:space="0" w:color="auto"/>
        </w:rPr>
        <w:t>學</w:t>
      </w:r>
      <w:r w:rsidR="009D3F77" w:rsidRPr="009D3F77">
        <w:rPr>
          <w:rFonts w:ascii="Times New Roman" w:hAnsi="Times New Roman" w:hint="eastAsia"/>
          <w:b/>
          <w:color w:val="FF0000"/>
          <w:sz w:val="20"/>
          <w:szCs w:val="26"/>
          <w:highlight w:val="yellow"/>
          <w:bdr w:val="single" w:sz="4" w:space="0" w:color="auto"/>
        </w:rPr>
        <w:t>者</w:t>
      </w:r>
      <w:r w:rsidRPr="00DA3BC7">
        <w:rPr>
          <w:rFonts w:ascii="Times New Roman" w:hAnsi="Times New Roman" w:hint="eastAsia"/>
          <w:b/>
          <w:sz w:val="20"/>
          <w:szCs w:val="26"/>
          <w:bdr w:val="single" w:sz="4" w:space="0" w:color="auto"/>
        </w:rPr>
        <w:t>與</w:t>
      </w:r>
      <w:r w:rsidR="009D3F77">
        <w:rPr>
          <w:rFonts w:ascii="Times New Roman" w:hAnsi="Times New Roman" w:hint="eastAsia"/>
          <w:b/>
          <w:color w:val="FF0000"/>
          <w:sz w:val="20"/>
          <w:szCs w:val="26"/>
          <w:highlight w:val="yellow"/>
          <w:bdr w:val="single" w:sz="4" w:space="0" w:color="auto"/>
        </w:rPr>
        <w:t>中觀者</w:t>
      </w:r>
      <w:r w:rsidRPr="009D3F77">
        <w:rPr>
          <w:rFonts w:ascii="Times New Roman" w:hAnsi="Times New Roman" w:hint="eastAsia"/>
          <w:b/>
          <w:color w:val="FF0000"/>
          <w:sz w:val="20"/>
          <w:szCs w:val="26"/>
          <w:highlight w:val="yellow"/>
          <w:bdr w:val="single" w:sz="4" w:space="0" w:color="auto"/>
        </w:rPr>
        <w:t>對「不生不滅」</w:t>
      </w:r>
      <w:r w:rsidR="009D3F77" w:rsidRPr="009D3F77">
        <w:rPr>
          <w:rFonts w:ascii="Times New Roman" w:hAnsi="Times New Roman" w:hint="eastAsia"/>
          <w:b/>
          <w:color w:val="FF0000"/>
          <w:sz w:val="20"/>
          <w:szCs w:val="26"/>
          <w:highlight w:val="yellow"/>
          <w:bdr w:val="single" w:sz="4" w:space="0" w:color="auto"/>
        </w:rPr>
        <w:t>緣起</w:t>
      </w:r>
      <w:r w:rsidRPr="00DA3BC7">
        <w:rPr>
          <w:rFonts w:ascii="Times New Roman" w:hAnsi="Times New Roman" w:hint="eastAsia"/>
          <w:b/>
          <w:sz w:val="20"/>
          <w:szCs w:val="26"/>
          <w:bdr w:val="single" w:sz="4" w:space="0" w:color="auto"/>
        </w:rPr>
        <w:t>之看法</w:t>
      </w:r>
      <w:r w:rsidRPr="00DA3BC7">
        <w:rPr>
          <w:rFonts w:ascii="Times New Roman" w:hAnsi="Times New Roman" w:hint="eastAsia"/>
          <w:sz w:val="20"/>
          <w:szCs w:val="20"/>
        </w:rPr>
        <w:t>（</w:t>
      </w:r>
      <w:r w:rsidRPr="00DA3BC7">
        <w:rPr>
          <w:rFonts w:ascii="Times New Roman" w:hAnsi="Times New Roman"/>
          <w:sz w:val="20"/>
          <w:szCs w:val="20"/>
        </w:rPr>
        <w:t>pp.25-26</w:t>
      </w:r>
      <w:r w:rsidRPr="00DA3BC7">
        <w:rPr>
          <w:rFonts w:ascii="Times New Roman" w:hAnsi="Times New Roman" w:hint="eastAsia"/>
          <w:sz w:val="20"/>
          <w:szCs w:val="20"/>
        </w:rPr>
        <w:t>）</w:t>
      </w:r>
    </w:p>
    <w:p w:rsidR="00C30BBB" w:rsidRPr="00DA3BC7" w:rsidRDefault="00C30BBB" w:rsidP="008E2BBC">
      <w:pPr>
        <w:ind w:leftChars="50" w:left="120"/>
        <w:jc w:val="both"/>
        <w:rPr>
          <w:rFonts w:ascii="Times New Roman" w:hAnsi="Times New Roman"/>
          <w:b/>
          <w:sz w:val="20"/>
          <w:szCs w:val="26"/>
        </w:rPr>
      </w:pPr>
      <w:r w:rsidRPr="00DA3BC7">
        <w:rPr>
          <w:rFonts w:ascii="Times New Roman" w:hAnsi="Times New Roman" w:hint="eastAsia"/>
          <w:b/>
          <w:sz w:val="20"/>
          <w:szCs w:val="26"/>
          <w:bdr w:val="single" w:sz="4" w:space="0" w:color="auto"/>
        </w:rPr>
        <w:t>（壹）</w:t>
      </w:r>
      <w:r w:rsidR="009D3F77">
        <w:rPr>
          <w:rFonts w:ascii="Times New Roman" w:hAnsi="Times New Roman" w:hint="eastAsia"/>
          <w:b/>
          <w:color w:val="FF0000"/>
          <w:sz w:val="20"/>
          <w:szCs w:val="26"/>
          <w:highlight w:val="yellow"/>
          <w:bdr w:val="single" w:sz="4" w:space="0" w:color="auto"/>
        </w:rPr>
        <w:t>提要</w:t>
      </w:r>
      <w:r w:rsidRPr="00DA3BC7">
        <w:rPr>
          <w:rFonts w:ascii="Times New Roman" w:hAnsi="Times New Roman" w:hint="eastAsia"/>
          <w:sz w:val="20"/>
          <w:szCs w:val="26"/>
        </w:rPr>
        <w:t>（</w:t>
      </w:r>
      <w:r w:rsidRPr="00DA3BC7">
        <w:rPr>
          <w:rFonts w:ascii="Times New Roman" w:hAnsi="Times New Roman" w:hint="eastAsia"/>
          <w:sz w:val="20"/>
          <w:szCs w:val="26"/>
        </w:rPr>
        <w:t>p.25</w:t>
      </w:r>
      <w:r w:rsidRPr="00DA3BC7">
        <w:rPr>
          <w:rFonts w:ascii="Times New Roman" w:hAnsi="Times New Roman" w:hint="eastAsia"/>
          <w:sz w:val="20"/>
          <w:szCs w:val="26"/>
        </w:rPr>
        <w:t>）</w:t>
      </w:r>
    </w:p>
    <w:p w:rsidR="00C30BBB" w:rsidRPr="00DA3BC7" w:rsidRDefault="00C30BBB" w:rsidP="008E2BBC">
      <w:pPr>
        <w:ind w:leftChars="50" w:left="120"/>
        <w:jc w:val="both"/>
        <w:rPr>
          <w:rFonts w:ascii="Times New Roman" w:hAnsi="Times New Roman"/>
        </w:rPr>
      </w:pPr>
      <w:r w:rsidRPr="00DA3BC7">
        <w:rPr>
          <w:rFonts w:ascii="Times New Roman" w:hAnsi="Times New Roman"/>
        </w:rPr>
        <w:t>龍樹依空而顯示中道，即八不緣起。其中，不常不斷、不一不異、不來不去的緣起，即使解說不同，因為《阿含經》有明顯的教證，聲聞學者還易於接受。</w:t>
      </w:r>
    </w:p>
    <w:p w:rsidR="00C30BBB" w:rsidRPr="00DA3BC7" w:rsidRDefault="00C30BBB" w:rsidP="008E2BBC">
      <w:pPr>
        <w:ind w:leftChars="50" w:left="120"/>
        <w:jc w:val="both"/>
        <w:rPr>
          <w:rFonts w:ascii="Times New Roman" w:hAnsi="Times New Roman"/>
          <w:szCs w:val="23"/>
        </w:rPr>
      </w:pPr>
      <w:r w:rsidRPr="00DA3BC7">
        <w:rPr>
          <w:rFonts w:ascii="Times New Roman" w:hAnsi="Times New Roman"/>
        </w:rPr>
        <w:t>唯對於不生不滅的</w:t>
      </w:r>
      <w:r w:rsidRPr="00DA3BC7">
        <w:rPr>
          <w:rFonts w:ascii="Times New Roman" w:hAnsi="Times New Roman" w:hint="eastAsia"/>
        </w:rPr>
        <w:t>緣起，不免有點難於信受。</w:t>
      </w:r>
    </w:p>
    <w:p w:rsidR="00C30BBB" w:rsidRPr="00DA3BC7" w:rsidRDefault="00C30BBB" w:rsidP="008E2BBC">
      <w:pPr>
        <w:ind w:leftChars="50" w:left="120"/>
        <w:jc w:val="both"/>
        <w:rPr>
          <w:rFonts w:ascii="Times New Roman" w:hAnsi="Times New Roman"/>
        </w:rPr>
      </w:pPr>
      <w:r w:rsidRPr="00DA3BC7">
        <w:rPr>
          <w:rFonts w:ascii="Times New Roman" w:hAnsi="Times New Roman" w:hint="eastAsia"/>
        </w:rPr>
        <w:t>因此，這就形成了大乘教學的特色，成為不共聲聞的地方。</w:t>
      </w:r>
    </w:p>
    <w:p w:rsidR="00C30BBB" w:rsidRPr="00DA3BC7" w:rsidRDefault="00C30BBB" w:rsidP="00AE3920">
      <w:pPr>
        <w:spacing w:beforeLines="30"/>
        <w:ind w:leftChars="50" w:left="120"/>
        <w:jc w:val="both"/>
        <w:rPr>
          <w:rFonts w:ascii="Times New Roman" w:hAnsi="Times New Roman"/>
          <w:sz w:val="20"/>
          <w:szCs w:val="23"/>
        </w:rPr>
      </w:pPr>
      <w:r w:rsidRPr="00DA3BC7">
        <w:rPr>
          <w:rFonts w:ascii="Times New Roman" w:hAnsi="Times New Roman" w:hint="eastAsia"/>
          <w:b/>
          <w:sz w:val="20"/>
          <w:szCs w:val="26"/>
          <w:bdr w:val="single" w:sz="4" w:space="0" w:color="auto"/>
        </w:rPr>
        <w:t>（貳）</w:t>
      </w:r>
      <w:r w:rsidR="009D3F77">
        <w:rPr>
          <w:rFonts w:ascii="Times New Roman" w:hAnsi="Times New Roman" w:hint="eastAsia"/>
          <w:b/>
          <w:color w:val="FF0000"/>
          <w:sz w:val="20"/>
          <w:szCs w:val="26"/>
          <w:highlight w:val="yellow"/>
          <w:bdr w:val="single" w:sz="4" w:space="0" w:color="auto"/>
        </w:rPr>
        <w:t>論究</w:t>
      </w:r>
      <w:r w:rsidRPr="00DA3BC7">
        <w:rPr>
          <w:rFonts w:ascii="Times New Roman" w:hAnsi="Times New Roman" w:hint="eastAsia"/>
          <w:sz w:val="20"/>
          <w:szCs w:val="20"/>
        </w:rPr>
        <w:t>（</w:t>
      </w:r>
      <w:r w:rsidRPr="00DA3BC7">
        <w:rPr>
          <w:rFonts w:ascii="Times New Roman" w:hAnsi="Times New Roman" w:hint="eastAsia"/>
          <w:sz w:val="20"/>
          <w:szCs w:val="20"/>
        </w:rPr>
        <w:t>p.25</w:t>
      </w:r>
      <w:r w:rsidRPr="00DA3BC7">
        <w:rPr>
          <w:rFonts w:ascii="Times New Roman" w:hAnsi="Times New Roman" w:hint="eastAsia"/>
          <w:sz w:val="20"/>
          <w:szCs w:val="20"/>
        </w:rPr>
        <w:t>）</w:t>
      </w:r>
    </w:p>
    <w:p w:rsidR="009D3F77" w:rsidRDefault="00C30BBB" w:rsidP="008E2BBC">
      <w:pPr>
        <w:ind w:leftChars="100" w:left="240"/>
        <w:jc w:val="both"/>
        <w:rPr>
          <w:rFonts w:ascii="Times New Roman" w:hAnsi="Times New Roman"/>
          <w:b/>
          <w:color w:val="FF0000"/>
          <w:sz w:val="20"/>
          <w:szCs w:val="26"/>
          <w:bdr w:val="single" w:sz="4" w:space="0" w:color="auto"/>
        </w:rPr>
      </w:pPr>
      <w:r w:rsidRPr="009D3F77">
        <w:rPr>
          <w:rFonts w:ascii="Times New Roman" w:hAnsi="Times New Roman" w:hint="eastAsia"/>
          <w:b/>
          <w:color w:val="FF0000"/>
          <w:sz w:val="20"/>
          <w:szCs w:val="20"/>
          <w:highlight w:val="yellow"/>
          <w:bdr w:val="single" w:sz="4" w:space="0" w:color="auto"/>
        </w:rPr>
        <w:t>一、</w:t>
      </w:r>
      <w:r w:rsidR="009D3F77">
        <w:rPr>
          <w:rFonts w:ascii="Times New Roman" w:hAnsi="Times New Roman" w:hint="eastAsia"/>
          <w:b/>
          <w:color w:val="FF0000"/>
          <w:sz w:val="20"/>
          <w:szCs w:val="26"/>
          <w:highlight w:val="yellow"/>
          <w:bdr w:val="single" w:sz="4" w:space="0" w:color="auto"/>
        </w:rPr>
        <w:t>部派之說</w:t>
      </w:r>
      <w:r w:rsidR="009D3F77" w:rsidRPr="00DA3BC7">
        <w:rPr>
          <w:rFonts w:ascii="Times New Roman" w:hAnsi="Times New Roman" w:hint="eastAsia"/>
          <w:sz w:val="20"/>
          <w:szCs w:val="20"/>
        </w:rPr>
        <w:t>（</w:t>
      </w:r>
      <w:r w:rsidR="00E00A1C" w:rsidRPr="00DA3BC7">
        <w:rPr>
          <w:rFonts w:ascii="Times New Roman" w:hAnsi="Times New Roman" w:hint="eastAsia"/>
          <w:sz w:val="20"/>
          <w:szCs w:val="20"/>
        </w:rPr>
        <w:t>p</w:t>
      </w:r>
      <w:r w:rsidR="009D3F77" w:rsidRPr="00DA3BC7">
        <w:rPr>
          <w:rFonts w:ascii="Times New Roman" w:hAnsi="Times New Roman" w:hint="eastAsia"/>
          <w:sz w:val="20"/>
          <w:szCs w:val="20"/>
        </w:rPr>
        <w:t>p.25</w:t>
      </w:r>
      <w:r w:rsidR="00E00A1C">
        <w:rPr>
          <w:rFonts w:ascii="Times New Roman" w:hAnsi="Times New Roman" w:hint="eastAsia"/>
          <w:sz w:val="20"/>
          <w:szCs w:val="20"/>
        </w:rPr>
        <w:t>-26</w:t>
      </w:r>
      <w:r w:rsidR="009D3F77" w:rsidRPr="00DA3BC7">
        <w:rPr>
          <w:rFonts w:ascii="Times New Roman" w:hAnsi="Times New Roman" w:hint="eastAsia"/>
          <w:sz w:val="20"/>
          <w:szCs w:val="20"/>
        </w:rPr>
        <w:t>）</w:t>
      </w:r>
    </w:p>
    <w:p w:rsidR="009D3F77" w:rsidRDefault="009D3F77" w:rsidP="00E75A4A">
      <w:pPr>
        <w:ind w:leftChars="150" w:left="360"/>
        <w:jc w:val="both"/>
        <w:rPr>
          <w:rFonts w:ascii="Times New Roman" w:hAnsi="Times New Roman"/>
          <w:b/>
          <w:sz w:val="20"/>
          <w:szCs w:val="20"/>
          <w:bdr w:val="single" w:sz="4" w:space="0" w:color="auto"/>
        </w:rPr>
      </w:pPr>
      <w:r w:rsidRPr="009D3F77">
        <w:rPr>
          <w:rFonts w:ascii="Times New Roman" w:hAnsi="Times New Roman" w:hint="eastAsia"/>
          <w:b/>
          <w:color w:val="FF0000"/>
          <w:sz w:val="20"/>
          <w:szCs w:val="20"/>
          <w:highlight w:val="yellow"/>
          <w:bdr w:val="single" w:sz="4" w:space="0" w:color="auto"/>
        </w:rPr>
        <w:t>（一）上座系</w:t>
      </w:r>
      <w:r w:rsidRPr="00DA3BC7">
        <w:rPr>
          <w:rFonts w:ascii="Times New Roman" w:hAnsi="Times New Roman" w:hint="eastAsia"/>
          <w:sz w:val="20"/>
          <w:szCs w:val="20"/>
        </w:rPr>
        <w:t>（</w:t>
      </w:r>
      <w:r w:rsidRPr="00DA3BC7">
        <w:rPr>
          <w:rFonts w:ascii="Times New Roman" w:hAnsi="Times New Roman" w:hint="eastAsia"/>
          <w:sz w:val="20"/>
          <w:szCs w:val="20"/>
        </w:rPr>
        <w:t>p.25</w:t>
      </w:r>
      <w:r w:rsidRPr="00DA3BC7">
        <w:rPr>
          <w:rFonts w:ascii="Times New Roman" w:hAnsi="Times New Roman" w:hint="eastAsia"/>
          <w:sz w:val="20"/>
          <w:szCs w:val="20"/>
        </w:rPr>
        <w:t>）</w:t>
      </w:r>
    </w:p>
    <w:p w:rsidR="00FC70F6" w:rsidRDefault="009D3F77" w:rsidP="00FC70F6">
      <w:pPr>
        <w:ind w:leftChars="200" w:left="480"/>
        <w:jc w:val="both"/>
        <w:rPr>
          <w:rFonts w:ascii="Times New Roman" w:hAnsi="Times New Roman"/>
          <w:sz w:val="20"/>
          <w:szCs w:val="20"/>
        </w:rPr>
      </w:pPr>
      <w:r w:rsidRPr="009D3F77">
        <w:rPr>
          <w:rFonts w:ascii="Times New Roman" w:hAnsi="Times New Roman" w:hint="eastAsia"/>
          <w:b/>
          <w:color w:val="FF0000"/>
          <w:sz w:val="20"/>
          <w:szCs w:val="20"/>
          <w:highlight w:val="yellow"/>
          <w:bdr w:val="single" w:sz="4" w:space="0" w:color="auto"/>
        </w:rPr>
        <w:t>1</w:t>
      </w:r>
      <w:r w:rsidRPr="009D3F77">
        <w:rPr>
          <w:rFonts w:ascii="Times New Roman" w:hAnsi="Times New Roman" w:hint="eastAsia"/>
          <w:b/>
          <w:color w:val="FF0000"/>
          <w:sz w:val="20"/>
          <w:szCs w:val="20"/>
          <w:highlight w:val="yellow"/>
          <w:bdr w:val="single" w:sz="4" w:space="0" w:color="auto"/>
        </w:rPr>
        <w:t>、</w:t>
      </w:r>
      <w:r w:rsidR="00C30BBB" w:rsidRPr="009D3F77">
        <w:rPr>
          <w:rFonts w:ascii="Times New Roman" w:hAnsi="Times New Roman" w:hint="eastAsia"/>
          <w:b/>
          <w:color w:val="FF0000"/>
          <w:sz w:val="20"/>
          <w:szCs w:val="20"/>
          <w:highlight w:val="yellow"/>
          <w:bdr w:val="single" w:sz="4" w:space="0" w:color="auto"/>
        </w:rPr>
        <w:t>有</w:t>
      </w:r>
      <w:r w:rsidR="00C30BBB" w:rsidRPr="009D3F77">
        <w:rPr>
          <w:rFonts w:ascii="Times New Roman" w:hAnsi="Times New Roman"/>
          <w:b/>
          <w:color w:val="FF0000"/>
          <w:sz w:val="20"/>
          <w:szCs w:val="20"/>
          <w:highlight w:val="yellow"/>
          <w:bdr w:val="single" w:sz="4" w:space="0" w:color="auto"/>
        </w:rPr>
        <w:t>部</w:t>
      </w:r>
      <w:r w:rsidR="00C30BBB" w:rsidRPr="00DA3BC7">
        <w:rPr>
          <w:rStyle w:val="a6"/>
          <w:rFonts w:ascii="Times New Roman" w:hAnsi="Times New Roman"/>
        </w:rPr>
        <w:footnoteReference w:id="187"/>
      </w:r>
      <w:r w:rsidR="00C30BBB" w:rsidRPr="00DA3BC7">
        <w:rPr>
          <w:rFonts w:ascii="Times New Roman" w:hAnsi="Times New Roman" w:hint="eastAsia"/>
          <w:sz w:val="20"/>
          <w:szCs w:val="20"/>
        </w:rPr>
        <w:t>（</w:t>
      </w:r>
      <w:r w:rsidR="00C30BBB" w:rsidRPr="00DA3BC7">
        <w:rPr>
          <w:rFonts w:ascii="Times New Roman" w:hAnsi="Times New Roman" w:hint="eastAsia"/>
          <w:sz w:val="20"/>
          <w:szCs w:val="20"/>
        </w:rPr>
        <w:t>p.25</w:t>
      </w:r>
      <w:r w:rsidR="00C30BBB" w:rsidRPr="00DA3BC7">
        <w:rPr>
          <w:rFonts w:ascii="Times New Roman" w:hAnsi="Times New Roman" w:hint="eastAsia"/>
          <w:sz w:val="20"/>
          <w:szCs w:val="20"/>
        </w:rPr>
        <w:t>）</w:t>
      </w:r>
    </w:p>
    <w:p w:rsidR="00C30BBB" w:rsidRPr="00DA3BC7" w:rsidRDefault="00C30BBB" w:rsidP="00FC70F6">
      <w:pPr>
        <w:ind w:leftChars="200" w:left="480"/>
        <w:jc w:val="both"/>
        <w:rPr>
          <w:rFonts w:ascii="Times New Roman" w:hAnsi="Times New Roman"/>
        </w:rPr>
      </w:pPr>
      <w:r w:rsidRPr="00DA3BC7">
        <w:rPr>
          <w:rFonts w:ascii="Times New Roman" w:hAnsi="Times New Roman"/>
        </w:rPr>
        <w:t>上座系的薩婆多</w:t>
      </w:r>
      <w:r w:rsidRPr="00DA3BC7">
        <w:rPr>
          <w:rFonts w:hint="eastAsia"/>
        </w:rPr>
        <w:t>部是</w:t>
      </w:r>
      <w:r w:rsidRPr="00DA3BC7">
        <w:rPr>
          <w:rFonts w:ascii="Times New Roman" w:hAnsi="Times New Roman"/>
        </w:rPr>
        <w:t>不承認的。</w:t>
      </w:r>
    </w:p>
    <w:p w:rsidR="00C30BBB" w:rsidRPr="00DA3BC7" w:rsidRDefault="009D3F77" w:rsidP="00AE3920">
      <w:pPr>
        <w:spacing w:beforeLines="30"/>
        <w:ind w:leftChars="200" w:left="480"/>
        <w:jc w:val="both"/>
        <w:rPr>
          <w:rFonts w:ascii="Times New Roman" w:hAnsi="Times New Roman"/>
          <w:b/>
          <w:sz w:val="20"/>
          <w:szCs w:val="20"/>
          <w:bdr w:val="single" w:sz="4" w:space="0" w:color="auto"/>
        </w:rPr>
      </w:pPr>
      <w:r w:rsidRPr="009D3F77">
        <w:rPr>
          <w:rFonts w:ascii="Times New Roman" w:hAnsi="Times New Roman" w:hint="eastAsia"/>
          <w:b/>
          <w:color w:val="FF0000"/>
          <w:sz w:val="20"/>
          <w:szCs w:val="20"/>
          <w:highlight w:val="yellow"/>
          <w:bdr w:val="single" w:sz="4" w:space="0" w:color="auto"/>
        </w:rPr>
        <w:lastRenderedPageBreak/>
        <w:t>2</w:t>
      </w:r>
      <w:r w:rsidR="00C30BBB" w:rsidRPr="00DA3BC7">
        <w:rPr>
          <w:rFonts w:ascii="Times New Roman" w:hAnsi="Times New Roman" w:hint="eastAsia"/>
          <w:b/>
          <w:sz w:val="20"/>
          <w:szCs w:val="20"/>
          <w:bdr w:val="single" w:sz="4" w:space="0" w:color="auto"/>
        </w:rPr>
        <w:t>、</w:t>
      </w:r>
      <w:r w:rsidR="00C30BBB" w:rsidRPr="00DA3BC7">
        <w:rPr>
          <w:rFonts w:ascii="Times New Roman" w:hAnsi="Times New Roman"/>
          <w:b/>
          <w:sz w:val="20"/>
          <w:szCs w:val="20"/>
          <w:bdr w:val="single" w:sz="4" w:space="0" w:color="auto"/>
        </w:rPr>
        <w:t>經部</w:t>
      </w:r>
      <w:r w:rsidR="00C30BBB" w:rsidRPr="00DA3BC7">
        <w:rPr>
          <w:rFonts w:ascii="Times New Roman" w:hAnsi="Times New Roman" w:hint="eastAsia"/>
          <w:sz w:val="20"/>
          <w:szCs w:val="26"/>
        </w:rPr>
        <w:t>（</w:t>
      </w:r>
      <w:r w:rsidR="00C30BBB" w:rsidRPr="00DA3BC7">
        <w:rPr>
          <w:rFonts w:ascii="Times New Roman" w:hAnsi="Times New Roman" w:hint="eastAsia"/>
          <w:sz w:val="20"/>
          <w:szCs w:val="26"/>
        </w:rPr>
        <w:t>p.25</w:t>
      </w:r>
      <w:r w:rsidR="00C30BBB" w:rsidRPr="00DA3BC7">
        <w:rPr>
          <w:rFonts w:ascii="Times New Roman" w:hAnsi="Times New Roman" w:hint="eastAsia"/>
          <w:sz w:val="20"/>
          <w:szCs w:val="26"/>
        </w:rPr>
        <w:t>）</w:t>
      </w:r>
    </w:p>
    <w:p w:rsidR="001968AB" w:rsidRPr="00DA3BC7" w:rsidRDefault="00C30BBB" w:rsidP="00FC70F6">
      <w:pPr>
        <w:ind w:leftChars="200" w:left="480"/>
        <w:jc w:val="both"/>
        <w:rPr>
          <w:rFonts w:ascii="Times New Roman" w:hAnsi="Times New Roman"/>
          <w:szCs w:val="23"/>
        </w:rPr>
      </w:pPr>
      <w:r w:rsidRPr="00DA3BC7">
        <w:rPr>
          <w:rFonts w:ascii="Times New Roman" w:hAnsi="Times New Roman"/>
        </w:rPr>
        <w:t>進步些的經部師，也有緣起的不生不滅說，但他們是依「</w:t>
      </w:r>
      <w:r w:rsidRPr="00DA3BC7">
        <w:rPr>
          <w:rFonts w:ascii="Times New Roman" w:eastAsia="標楷體" w:hAnsi="Times New Roman"/>
        </w:rPr>
        <w:t>唯法因果，實無作用</w:t>
      </w:r>
      <w:r w:rsidRPr="00DA3BC7">
        <w:rPr>
          <w:rFonts w:ascii="Times New Roman" w:hAnsi="Times New Roman"/>
        </w:rPr>
        <w:t>」</w:t>
      </w:r>
      <w:r w:rsidRPr="00DA3BC7">
        <w:rPr>
          <w:rStyle w:val="a6"/>
          <w:rFonts w:ascii="Times New Roman" w:hAnsi="Times New Roman"/>
        </w:rPr>
        <w:footnoteReference w:id="188"/>
      </w:r>
      <w:r w:rsidRPr="00DA3BC7">
        <w:rPr>
          <w:rFonts w:ascii="Times New Roman" w:hAnsi="Times New Roman"/>
        </w:rPr>
        <w:t>的見地說，</w:t>
      </w:r>
      <w:r w:rsidRPr="00DA3BC7">
        <w:rPr>
          <w:rFonts w:ascii="Times New Roman" w:hAnsi="Times New Roman" w:hint="eastAsia"/>
        </w:rPr>
        <w:t>還</w:t>
      </w:r>
      <w:r w:rsidRPr="00DA3BC7">
        <w:rPr>
          <w:rFonts w:ascii="Times New Roman" w:hAnsi="Times New Roman"/>
        </w:rPr>
        <w:t>不是大乘學者說緣起不生不滅的本義。</w:t>
      </w:r>
    </w:p>
    <w:p w:rsidR="00C30BBB" w:rsidRPr="00DA3BC7" w:rsidRDefault="00E00A1C" w:rsidP="00AE3920">
      <w:pPr>
        <w:spacing w:beforeLines="30"/>
        <w:ind w:leftChars="150" w:left="360"/>
        <w:jc w:val="both"/>
        <w:rPr>
          <w:rFonts w:ascii="Times New Roman" w:hAnsi="Times New Roman"/>
          <w:sz w:val="20"/>
          <w:szCs w:val="20"/>
          <w:bdr w:val="single" w:sz="4" w:space="0" w:color="auto"/>
        </w:rPr>
      </w:pPr>
      <w:r w:rsidRPr="00E00A1C">
        <w:rPr>
          <w:rFonts w:ascii="Times New Roman" w:hAnsi="Times New Roman" w:hint="eastAsia"/>
          <w:b/>
          <w:color w:val="FF0000"/>
          <w:sz w:val="20"/>
          <w:szCs w:val="20"/>
          <w:highlight w:val="yellow"/>
          <w:bdr w:val="single" w:sz="4" w:space="0" w:color="auto"/>
        </w:rPr>
        <w:t>（二）</w:t>
      </w:r>
      <w:r w:rsidR="00C30BBB" w:rsidRPr="00DA3BC7">
        <w:rPr>
          <w:rFonts w:ascii="Times New Roman" w:hAnsi="Times New Roman"/>
          <w:b/>
          <w:sz w:val="20"/>
          <w:szCs w:val="20"/>
          <w:bdr w:val="single" w:sz="4" w:space="0" w:color="auto"/>
        </w:rPr>
        <w:t>大眾</w:t>
      </w:r>
      <w:r w:rsidR="00C30BBB" w:rsidRPr="00E00A1C">
        <w:rPr>
          <w:rFonts w:ascii="Times New Roman" w:hAnsi="Times New Roman"/>
          <w:b/>
          <w:sz w:val="20"/>
          <w:szCs w:val="20"/>
          <w:highlight w:val="yellow"/>
          <w:bdr w:val="single" w:sz="4" w:space="0" w:color="auto"/>
        </w:rPr>
        <w:t>部</w:t>
      </w:r>
      <w:r w:rsidR="00C30BBB" w:rsidRPr="00DA3BC7">
        <w:rPr>
          <w:rFonts w:ascii="Times New Roman" w:hAnsi="Times New Roman"/>
          <w:sz w:val="20"/>
          <w:szCs w:val="20"/>
        </w:rPr>
        <w:t>（</w:t>
      </w:r>
      <w:r w:rsidR="00C30BBB" w:rsidRPr="00DA3BC7">
        <w:rPr>
          <w:rFonts w:ascii="Times New Roman" w:hAnsi="Times New Roman"/>
          <w:sz w:val="20"/>
          <w:szCs w:val="20"/>
        </w:rPr>
        <w:t>pp.25-26</w:t>
      </w:r>
      <w:r w:rsidR="00C30BBB" w:rsidRPr="00DA3BC7">
        <w:rPr>
          <w:rFonts w:ascii="Times New Roman" w:hAnsi="Times New Roman"/>
          <w:sz w:val="20"/>
          <w:szCs w:val="20"/>
        </w:rPr>
        <w:t>）</w:t>
      </w:r>
    </w:p>
    <w:p w:rsidR="00C30BBB" w:rsidRPr="00DA3BC7" w:rsidRDefault="00C30BBB" w:rsidP="00FC70F6">
      <w:pPr>
        <w:ind w:leftChars="150" w:left="360"/>
        <w:jc w:val="both"/>
        <w:rPr>
          <w:rFonts w:ascii="Times New Roman" w:hAnsi="Times New Roman"/>
        </w:rPr>
      </w:pPr>
      <w:r w:rsidRPr="00DA3BC7">
        <w:rPr>
          <w:rFonts w:ascii="Times New Roman" w:hAnsi="Times New Roman"/>
        </w:rPr>
        <w:t>大眾部說緣起是無為法，因為緣起是「</w:t>
      </w:r>
      <w:r w:rsidRPr="00DA3BC7">
        <w:rPr>
          <w:rFonts w:ascii="Times New Roman" w:eastAsia="標楷體" w:hAnsi="Times New Roman"/>
        </w:rPr>
        <w:t>若佛出世，若不出世，法性法住，法界常</w:t>
      </w:r>
      <w:r w:rsidRPr="00DA3BC7">
        <w:rPr>
          <w:rFonts w:ascii="Times New Roman" w:eastAsia="標楷體" w:hAnsi="Times New Roman" w:hint="eastAsia"/>
        </w:rPr>
        <w:t>住</w:t>
      </w:r>
      <w:r w:rsidRPr="00DA3BC7">
        <w:rPr>
          <w:rFonts w:ascii="Times New Roman" w:hAnsi="Times New Roman" w:hint="eastAsia"/>
        </w:rPr>
        <w:t>」</w:t>
      </w:r>
      <w:r w:rsidRPr="00DA3BC7">
        <w:rPr>
          <w:rStyle w:val="a6"/>
          <w:rFonts w:ascii="Times New Roman" w:hAnsi="Times New Roman"/>
        </w:rPr>
        <w:footnoteReference w:id="189"/>
      </w:r>
      <w:r w:rsidRPr="00DA3BC7">
        <w:rPr>
          <w:rFonts w:ascii="Times New Roman" w:hAnsi="Times New Roman" w:hint="eastAsia"/>
        </w:rPr>
        <w:t>的。他們說緣起常住</w:t>
      </w:r>
      <w:r w:rsidRPr="00DA3BC7">
        <w:rPr>
          <w:rFonts w:ascii="新細明體" w:hAnsi="新細明體" w:hint="eastAsia"/>
        </w:rPr>
        <w:t>、</w:t>
      </w:r>
      <w:r w:rsidRPr="00DA3BC7">
        <w:rPr>
          <w:rFonts w:ascii="Times New Roman" w:hAnsi="Times New Roman" w:hint="eastAsia"/>
        </w:rPr>
        <w:t>不生不滅，而把緣起作為離開事相的</w:t>
      </w:r>
      <w:r w:rsidRPr="00DA3BC7">
        <w:rPr>
          <w:rFonts w:ascii="Times New Roman" w:hAnsi="Times New Roman" w:hint="eastAsia"/>
        </w:rPr>
        <w:lastRenderedPageBreak/>
        <w:t>理性看，也與大乘不同。</w:t>
      </w:r>
      <w:r w:rsidRPr="00DA3BC7">
        <w:rPr>
          <w:rStyle w:val="a6"/>
          <w:rFonts w:ascii="Times New Roman" w:hAnsi="Times New Roman"/>
        </w:rPr>
        <w:footnoteReference w:id="190"/>
      </w:r>
    </w:p>
    <w:p w:rsidR="00A73CA0" w:rsidRPr="00DA3BC7" w:rsidRDefault="00A73CA0" w:rsidP="00AE3920">
      <w:pPr>
        <w:spacing w:beforeLines="30"/>
        <w:ind w:leftChars="150" w:left="360"/>
        <w:jc w:val="both"/>
        <w:rPr>
          <w:rFonts w:ascii="Times New Roman" w:hAnsi="Times New Roman"/>
          <w:sz w:val="20"/>
          <w:szCs w:val="20"/>
          <w:bdr w:val="single" w:sz="4" w:space="0" w:color="auto"/>
        </w:rPr>
      </w:pPr>
      <w:r w:rsidRPr="00A73CA0">
        <w:rPr>
          <w:rFonts w:ascii="Times New Roman" w:hAnsi="Times New Roman" w:hint="eastAsia"/>
          <w:b/>
          <w:color w:val="FF0000"/>
          <w:sz w:val="20"/>
          <w:szCs w:val="20"/>
          <w:highlight w:val="yellow"/>
          <w:bdr w:val="single" w:sz="4" w:space="0" w:color="auto"/>
        </w:rPr>
        <w:t>※略結</w:t>
      </w:r>
      <w:r w:rsidRPr="00DA3BC7">
        <w:rPr>
          <w:rFonts w:ascii="Times New Roman" w:hAnsi="Times New Roman"/>
          <w:sz w:val="20"/>
          <w:szCs w:val="20"/>
        </w:rPr>
        <w:t>（</w:t>
      </w:r>
      <w:r w:rsidRPr="00DA3BC7">
        <w:rPr>
          <w:rFonts w:ascii="Times New Roman" w:hAnsi="Times New Roman"/>
          <w:sz w:val="20"/>
          <w:szCs w:val="20"/>
        </w:rPr>
        <w:t>p.26</w:t>
      </w:r>
      <w:r w:rsidRPr="00DA3BC7">
        <w:rPr>
          <w:rFonts w:ascii="Times New Roman" w:hAnsi="Times New Roman"/>
          <w:sz w:val="20"/>
          <w:szCs w:val="20"/>
        </w:rPr>
        <w:t>）</w:t>
      </w:r>
    </w:p>
    <w:p w:rsidR="00C30BBB" w:rsidRPr="00DA3BC7" w:rsidRDefault="00C30BBB" w:rsidP="00FC70F6">
      <w:pPr>
        <w:ind w:leftChars="150" w:left="360"/>
        <w:jc w:val="both"/>
        <w:rPr>
          <w:rFonts w:ascii="Times New Roman" w:hAnsi="Times New Roman"/>
        </w:rPr>
      </w:pPr>
      <w:r w:rsidRPr="00DA3BC7">
        <w:rPr>
          <w:rFonts w:ascii="Times New Roman" w:hAnsi="Times New Roman" w:hint="eastAsia"/>
        </w:rPr>
        <w:t>關於這些，清辨的《般若燈論》，曾經說到。</w:t>
      </w:r>
      <w:r w:rsidR="00A73CA0" w:rsidRPr="00DA3BC7">
        <w:rPr>
          <w:rStyle w:val="a6"/>
          <w:rFonts w:ascii="Times New Roman" w:hAnsi="Times New Roman"/>
        </w:rPr>
        <w:footnoteReference w:id="191"/>
      </w:r>
    </w:p>
    <w:p w:rsidR="00C30BBB" w:rsidRPr="00DA3BC7" w:rsidRDefault="002D018C" w:rsidP="00AE3920">
      <w:pPr>
        <w:spacing w:beforeLines="30"/>
        <w:ind w:leftChars="100" w:left="240"/>
        <w:jc w:val="both"/>
        <w:rPr>
          <w:rFonts w:ascii="Times New Roman" w:hAnsi="Times New Roman"/>
          <w:sz w:val="20"/>
          <w:szCs w:val="20"/>
        </w:rPr>
      </w:pPr>
      <w:r>
        <w:rPr>
          <w:rFonts w:ascii="Times New Roman" w:hAnsi="Times New Roman" w:hint="eastAsia"/>
          <w:b/>
          <w:color w:val="FF0000"/>
          <w:sz w:val="20"/>
          <w:szCs w:val="20"/>
          <w:highlight w:val="yellow"/>
          <w:bdr w:val="single" w:sz="4" w:space="0" w:color="auto"/>
        </w:rPr>
        <w:t>二</w:t>
      </w:r>
      <w:r w:rsidR="00C30BBB" w:rsidRPr="00DA3BC7">
        <w:rPr>
          <w:rFonts w:ascii="Times New Roman" w:hAnsi="Times New Roman" w:hint="eastAsia"/>
          <w:b/>
          <w:sz w:val="20"/>
          <w:szCs w:val="20"/>
          <w:bdr w:val="single" w:sz="4" w:space="0" w:color="auto"/>
        </w:rPr>
        <w:t>、</w:t>
      </w:r>
      <w:r w:rsidR="00C30BBB" w:rsidRPr="00DA3BC7">
        <w:rPr>
          <w:rFonts w:ascii="Times New Roman" w:hAnsi="Times New Roman"/>
          <w:b/>
          <w:sz w:val="20"/>
          <w:szCs w:val="20"/>
          <w:bdr w:val="single" w:sz="4" w:space="0" w:color="auto"/>
        </w:rPr>
        <w:t>中觀者</w:t>
      </w:r>
      <w:r w:rsidR="00643A7E" w:rsidRPr="00643A7E">
        <w:rPr>
          <w:rFonts w:ascii="Times New Roman" w:hAnsi="Times New Roman" w:hint="eastAsia"/>
          <w:b/>
          <w:color w:val="FF0000"/>
          <w:sz w:val="20"/>
          <w:szCs w:val="20"/>
          <w:highlight w:val="yellow"/>
          <w:bdr w:val="single" w:sz="4" w:space="0" w:color="auto"/>
        </w:rPr>
        <w:t>之說</w:t>
      </w:r>
      <w:r w:rsidR="00C30BBB" w:rsidRPr="00DA3BC7">
        <w:rPr>
          <w:rFonts w:ascii="Times New Roman" w:hAnsi="Times New Roman"/>
          <w:sz w:val="20"/>
          <w:szCs w:val="20"/>
        </w:rPr>
        <w:t>（</w:t>
      </w:r>
      <w:r w:rsidR="00C30BBB" w:rsidRPr="00DA3BC7">
        <w:rPr>
          <w:rFonts w:ascii="Times New Roman" w:hAnsi="Times New Roman"/>
          <w:sz w:val="20"/>
          <w:szCs w:val="20"/>
        </w:rPr>
        <w:t>p.26</w:t>
      </w:r>
      <w:r w:rsidR="00C30BBB" w:rsidRPr="00DA3BC7">
        <w:rPr>
          <w:rFonts w:ascii="Times New Roman" w:hAnsi="Times New Roman"/>
          <w:sz w:val="20"/>
          <w:szCs w:val="20"/>
        </w:rPr>
        <w:t>）</w:t>
      </w:r>
    </w:p>
    <w:p w:rsidR="00C30BBB" w:rsidRPr="00DA3BC7" w:rsidRDefault="00C30BBB" w:rsidP="008E2BBC">
      <w:pPr>
        <w:ind w:leftChars="100" w:left="240"/>
        <w:jc w:val="both"/>
        <w:rPr>
          <w:rFonts w:ascii="Times New Roman" w:hAnsi="Times New Roman"/>
        </w:rPr>
      </w:pPr>
      <w:r w:rsidRPr="00DA3BC7">
        <w:rPr>
          <w:rFonts w:ascii="Times New Roman" w:hAnsi="Times New Roman"/>
        </w:rPr>
        <w:t>依中觀者說，緣起不生不滅，是說緣起即是不生不滅的，這緣起寂滅性即是中道。佛陀正覺緣起而成佛，在此；聲聞的證入無為無生，也在此。</w:t>
      </w:r>
    </w:p>
    <w:p w:rsidR="00C30BBB" w:rsidRPr="00DA3BC7" w:rsidRDefault="002D018C" w:rsidP="00AE3920">
      <w:pPr>
        <w:spacing w:beforeLines="30"/>
        <w:ind w:leftChars="100" w:left="240"/>
        <w:jc w:val="both"/>
        <w:rPr>
          <w:rFonts w:ascii="Times New Roman" w:hAnsi="Times New Roman"/>
          <w:b/>
          <w:sz w:val="20"/>
          <w:szCs w:val="26"/>
          <w:bdr w:val="single" w:sz="4" w:space="0" w:color="auto"/>
        </w:rPr>
      </w:pPr>
      <w:r w:rsidRPr="002D018C">
        <w:rPr>
          <w:rFonts w:ascii="Times New Roman" w:hAnsi="Times New Roman" w:hint="eastAsia"/>
          <w:b/>
          <w:color w:val="FF0000"/>
          <w:sz w:val="20"/>
          <w:szCs w:val="26"/>
          <w:highlight w:val="yellow"/>
          <w:bdr w:val="single" w:sz="4" w:space="0" w:color="auto"/>
        </w:rPr>
        <w:t>三</w:t>
      </w:r>
      <w:r w:rsidR="00C30BBB" w:rsidRPr="002D018C">
        <w:rPr>
          <w:rFonts w:ascii="Times New Roman" w:hAnsi="Times New Roman"/>
          <w:b/>
          <w:color w:val="FF0000"/>
          <w:sz w:val="20"/>
          <w:szCs w:val="26"/>
          <w:highlight w:val="yellow"/>
          <w:bdr w:val="single" w:sz="4" w:space="0" w:color="auto"/>
        </w:rPr>
        <w:t>、</w:t>
      </w:r>
      <w:r w:rsidRPr="002D018C">
        <w:rPr>
          <w:rFonts w:ascii="Times New Roman" w:hAnsi="Times New Roman" w:hint="eastAsia"/>
          <w:b/>
          <w:color w:val="FF0000"/>
          <w:sz w:val="20"/>
          <w:szCs w:val="26"/>
          <w:highlight w:val="yellow"/>
          <w:bdr w:val="single" w:sz="4" w:space="0" w:color="auto"/>
        </w:rPr>
        <w:t>印順法師評</w:t>
      </w:r>
      <w:r w:rsidR="00C30BBB" w:rsidRPr="00DA3BC7">
        <w:rPr>
          <w:rFonts w:ascii="Times New Roman" w:hAnsi="Times New Roman"/>
          <w:sz w:val="20"/>
          <w:szCs w:val="20"/>
        </w:rPr>
        <w:t>（</w:t>
      </w:r>
      <w:r w:rsidR="00C30BBB" w:rsidRPr="00DA3BC7">
        <w:rPr>
          <w:rFonts w:ascii="Times New Roman" w:hAnsi="Times New Roman"/>
          <w:sz w:val="20"/>
          <w:szCs w:val="20"/>
        </w:rPr>
        <w:t>p.26</w:t>
      </w:r>
      <w:r w:rsidR="00C30BBB" w:rsidRPr="00DA3BC7">
        <w:rPr>
          <w:rFonts w:ascii="Times New Roman" w:hAnsi="Times New Roman"/>
          <w:sz w:val="20"/>
          <w:szCs w:val="20"/>
        </w:rPr>
        <w:t>）</w:t>
      </w:r>
    </w:p>
    <w:p w:rsidR="00C30BBB" w:rsidRPr="00DA3BC7" w:rsidRDefault="00C30BBB" w:rsidP="00FC70F6">
      <w:pPr>
        <w:ind w:leftChars="100" w:left="240"/>
        <w:jc w:val="both"/>
        <w:rPr>
          <w:rFonts w:ascii="Times New Roman" w:hAnsi="Times New Roman"/>
        </w:rPr>
      </w:pPr>
      <w:r w:rsidRPr="00DA3BC7">
        <w:rPr>
          <w:rFonts w:ascii="Times New Roman" w:hAnsi="Times New Roman" w:hint="eastAsia"/>
        </w:rPr>
        <w:t>這緣起的不生不滅，本是佛法的根本深義，三乘所共證的；但在佛教教義開展的過程中，成為大乘學者特別發揮的深義，形式上成為大乘的不共之學。</w:t>
      </w:r>
    </w:p>
    <w:p w:rsidR="00C30BBB" w:rsidRPr="00DA3BC7" w:rsidRDefault="00C30BBB" w:rsidP="00FC70F6">
      <w:pPr>
        <w:widowControl/>
        <w:ind w:leftChars="100" w:left="240"/>
        <w:jc w:val="both"/>
        <w:rPr>
          <w:rFonts w:ascii="Times New Roman" w:hAnsi="Times New Roman"/>
        </w:rPr>
      </w:pPr>
      <w:r w:rsidRPr="00DA3BC7">
        <w:rPr>
          <w:rFonts w:ascii="Times New Roman" w:hAnsi="Times New Roman"/>
        </w:rPr>
        <w:t>一般聲聞學者以為緣起是無常生滅的，現在</w:t>
      </w:r>
      <w:r w:rsidRPr="00DA3BC7">
        <w:rPr>
          <w:rFonts w:hint="eastAsia"/>
        </w:rPr>
        <w:t>說</w:t>
      </w:r>
      <w:r w:rsidRPr="00DA3BC7">
        <w:rPr>
          <w:rFonts w:ascii="Times New Roman" w:hAnsi="Times New Roman"/>
        </w:rPr>
        <w:t>「</w:t>
      </w:r>
      <w:r w:rsidRPr="00DA3BC7">
        <w:rPr>
          <w:rFonts w:ascii="Times New Roman" w:eastAsia="標楷體" w:hAnsi="Times New Roman"/>
        </w:rPr>
        <w:t>不生不滅是無常義」</w:t>
      </w:r>
      <w:r w:rsidRPr="00DA3BC7">
        <w:rPr>
          <w:rFonts w:ascii="Times New Roman" w:hAnsi="Times New Roman"/>
        </w:rPr>
        <w:t>（《維摩經》卷上），</w:t>
      </w:r>
      <w:r w:rsidR="00C8381B" w:rsidRPr="00DA3BC7">
        <w:rPr>
          <w:rStyle w:val="a6"/>
          <w:rFonts w:ascii="Times New Roman" w:hAnsi="Times New Roman"/>
        </w:rPr>
        <w:footnoteReference w:id="192"/>
      </w:r>
      <w:r w:rsidRPr="00DA3BC7">
        <w:rPr>
          <w:rFonts w:ascii="Times New Roman" w:hAnsi="Times New Roman"/>
        </w:rPr>
        <w:t>這似乎不同，成為一般聲聞學者與大乘學者論諍的焦點。</w:t>
      </w:r>
    </w:p>
    <w:p w:rsidR="00C30BBB" w:rsidRPr="00DA3BC7" w:rsidRDefault="00C30BBB" w:rsidP="00AE3920">
      <w:pPr>
        <w:spacing w:beforeLines="30"/>
        <w:ind w:leftChars="100" w:left="240"/>
        <w:jc w:val="both"/>
        <w:rPr>
          <w:rFonts w:ascii="Times New Roman" w:hAnsi="Times New Roman"/>
        </w:rPr>
      </w:pPr>
      <w:r w:rsidRPr="00DA3BC7">
        <w:rPr>
          <w:rFonts w:ascii="Times New Roman" w:hAnsi="Times New Roman"/>
        </w:rPr>
        <w:lastRenderedPageBreak/>
        <w:t>然依釋迦創開的佛</w:t>
      </w:r>
      <w:r w:rsidRPr="00DA3BC7">
        <w:rPr>
          <w:rFonts w:ascii="Times New Roman" w:hAnsi="Times New Roman" w:hint="eastAsia"/>
        </w:rPr>
        <w:t>法說，生滅與不生滅，本來一致。</w:t>
      </w:r>
    </w:p>
    <w:p w:rsidR="001968AB" w:rsidRPr="00DA3BC7" w:rsidRDefault="004E6FE7" w:rsidP="00AE3920">
      <w:pPr>
        <w:spacing w:beforeLines="30"/>
        <w:jc w:val="both"/>
        <w:rPr>
          <w:rFonts w:ascii="Times New Roman" w:hAnsi="Times New Roman"/>
          <w:b/>
          <w:sz w:val="20"/>
          <w:szCs w:val="20"/>
        </w:rPr>
      </w:pPr>
      <w:r>
        <w:rPr>
          <w:rFonts w:ascii="Times New Roman" w:hAnsi="Times New Roman" w:hint="eastAsia"/>
          <w:b/>
          <w:color w:val="FF0000"/>
          <w:sz w:val="20"/>
          <w:szCs w:val="26"/>
          <w:highlight w:val="yellow"/>
          <w:bdr w:val="single" w:sz="4" w:space="0" w:color="auto"/>
        </w:rPr>
        <w:t>貳</w:t>
      </w:r>
      <w:r w:rsidR="00C30BBB" w:rsidRPr="004E6FE7">
        <w:rPr>
          <w:rFonts w:ascii="Times New Roman" w:hAnsi="Times New Roman" w:hint="eastAsia"/>
          <w:b/>
          <w:color w:val="FF0000"/>
          <w:sz w:val="20"/>
          <w:szCs w:val="26"/>
          <w:highlight w:val="yellow"/>
          <w:bdr w:val="single" w:sz="4" w:space="0" w:color="auto"/>
        </w:rPr>
        <w:t>、不生不滅之</w:t>
      </w:r>
      <w:r w:rsidRPr="004E6FE7">
        <w:rPr>
          <w:rFonts w:ascii="Times New Roman" w:hAnsi="Times New Roman" w:hint="eastAsia"/>
          <w:b/>
          <w:color w:val="FF0000"/>
          <w:sz w:val="20"/>
          <w:szCs w:val="26"/>
          <w:highlight w:val="yellow"/>
          <w:bdr w:val="single" w:sz="4" w:space="0" w:color="auto"/>
        </w:rPr>
        <w:t>三乘共貫義與大乘不共行</w:t>
      </w:r>
      <w:r w:rsidR="00C30BBB" w:rsidRPr="00DA3BC7">
        <w:rPr>
          <w:rFonts w:ascii="Times New Roman" w:hAnsi="Times New Roman"/>
          <w:sz w:val="20"/>
          <w:szCs w:val="20"/>
        </w:rPr>
        <w:t>（</w:t>
      </w:r>
      <w:r w:rsidR="00C30BBB" w:rsidRPr="00DA3BC7">
        <w:rPr>
          <w:rFonts w:ascii="Times New Roman" w:hAnsi="Times New Roman"/>
          <w:sz w:val="20"/>
          <w:szCs w:val="20"/>
        </w:rPr>
        <w:t>pp.26-27</w:t>
      </w:r>
      <w:r w:rsidR="00C30BBB" w:rsidRPr="00DA3BC7">
        <w:rPr>
          <w:rFonts w:ascii="Times New Roman" w:hAnsi="Times New Roman"/>
          <w:sz w:val="20"/>
          <w:szCs w:val="20"/>
        </w:rPr>
        <w:t>）</w:t>
      </w:r>
    </w:p>
    <w:p w:rsidR="004E6FE7" w:rsidRDefault="00C30BBB" w:rsidP="008E2BBC">
      <w:pPr>
        <w:ind w:leftChars="50" w:left="120"/>
        <w:jc w:val="both"/>
        <w:rPr>
          <w:rFonts w:ascii="Times New Roman" w:hAnsi="Times New Roman"/>
          <w:sz w:val="20"/>
          <w:szCs w:val="20"/>
        </w:rPr>
      </w:pPr>
      <w:r w:rsidRPr="00DA3BC7">
        <w:rPr>
          <w:rFonts w:ascii="Times New Roman" w:hAnsi="Times New Roman"/>
          <w:b/>
          <w:sz w:val="20"/>
          <w:szCs w:val="20"/>
          <w:bdr w:val="single" w:sz="4" w:space="0" w:color="auto"/>
        </w:rPr>
        <w:t>（壹）</w:t>
      </w:r>
      <w:r w:rsidRPr="00DA3BC7">
        <w:rPr>
          <w:rFonts w:ascii="Times New Roman" w:hAnsi="Times New Roman" w:hint="eastAsia"/>
          <w:b/>
          <w:sz w:val="20"/>
          <w:szCs w:val="20"/>
          <w:bdr w:val="single" w:sz="4" w:space="0" w:color="auto"/>
        </w:rPr>
        <w:t>不生不滅</w:t>
      </w:r>
      <w:r w:rsidR="004E6FE7">
        <w:rPr>
          <w:rFonts w:ascii="Times New Roman" w:hAnsi="Times New Roman" w:hint="eastAsia"/>
          <w:b/>
          <w:color w:val="FF0000"/>
          <w:sz w:val="20"/>
          <w:szCs w:val="20"/>
          <w:highlight w:val="yellow"/>
          <w:bdr w:val="single" w:sz="4" w:space="0" w:color="auto"/>
        </w:rPr>
        <w:t>之</w:t>
      </w:r>
      <w:r w:rsidRPr="00DA3BC7">
        <w:rPr>
          <w:rFonts w:ascii="Times New Roman" w:hAnsi="Times New Roman" w:hint="eastAsia"/>
          <w:b/>
          <w:sz w:val="20"/>
          <w:szCs w:val="20"/>
          <w:bdr w:val="single" w:sz="4" w:space="0" w:color="auto"/>
        </w:rPr>
        <w:t>涅槃</w:t>
      </w:r>
      <w:r w:rsidR="004E6FE7" w:rsidRPr="004E6FE7">
        <w:rPr>
          <w:rFonts w:ascii="Times New Roman" w:hAnsi="Times New Roman" w:hint="eastAsia"/>
          <w:b/>
          <w:color w:val="FF0000"/>
          <w:sz w:val="20"/>
          <w:szCs w:val="20"/>
          <w:highlight w:val="yellow"/>
          <w:bdr w:val="single" w:sz="4" w:space="0" w:color="auto"/>
        </w:rPr>
        <w:t>義</w:t>
      </w:r>
      <w:r w:rsidRPr="00DA3BC7">
        <w:rPr>
          <w:rFonts w:ascii="Times New Roman" w:hAnsi="Times New Roman" w:hint="eastAsia"/>
          <w:sz w:val="20"/>
          <w:szCs w:val="20"/>
        </w:rPr>
        <w:t>（</w:t>
      </w:r>
      <w:r w:rsidRPr="00DA3BC7">
        <w:rPr>
          <w:rFonts w:ascii="Times New Roman" w:hAnsi="Times New Roman" w:hint="eastAsia"/>
          <w:sz w:val="20"/>
          <w:szCs w:val="20"/>
        </w:rPr>
        <w:t>p.26</w:t>
      </w:r>
      <w:r w:rsidRPr="00DA3BC7">
        <w:rPr>
          <w:rFonts w:ascii="Times New Roman" w:hAnsi="Times New Roman" w:hint="eastAsia"/>
          <w:sz w:val="20"/>
          <w:szCs w:val="20"/>
        </w:rPr>
        <w:t>）</w:t>
      </w:r>
    </w:p>
    <w:p w:rsidR="00FC70F6" w:rsidRDefault="004E6FE7" w:rsidP="00FC70F6">
      <w:pPr>
        <w:ind w:leftChars="100" w:left="240"/>
        <w:jc w:val="both"/>
        <w:rPr>
          <w:rFonts w:ascii="Times New Roman" w:hAnsi="Times New Roman"/>
          <w:sz w:val="20"/>
          <w:szCs w:val="20"/>
        </w:rPr>
      </w:pPr>
      <w:r w:rsidRPr="009D3F77">
        <w:rPr>
          <w:rFonts w:ascii="Times New Roman" w:hAnsi="Times New Roman" w:hint="eastAsia"/>
          <w:b/>
          <w:color w:val="FF0000"/>
          <w:sz w:val="20"/>
          <w:szCs w:val="20"/>
          <w:highlight w:val="yellow"/>
          <w:bdr w:val="single" w:sz="4" w:space="0" w:color="auto"/>
        </w:rPr>
        <w:t>一、</w:t>
      </w:r>
      <w:r>
        <w:rPr>
          <w:rFonts w:ascii="Times New Roman" w:hAnsi="Times New Roman" w:hint="eastAsia"/>
          <w:b/>
          <w:color w:val="FF0000"/>
          <w:sz w:val="20"/>
          <w:szCs w:val="26"/>
          <w:highlight w:val="yellow"/>
          <w:bdr w:val="single" w:sz="4" w:space="0" w:color="auto"/>
        </w:rPr>
        <w:t>引經說</w:t>
      </w:r>
      <w:r w:rsidRPr="00DA3BC7">
        <w:rPr>
          <w:rFonts w:ascii="Times New Roman" w:hAnsi="Times New Roman" w:hint="eastAsia"/>
          <w:sz w:val="20"/>
          <w:szCs w:val="20"/>
        </w:rPr>
        <w:t>（</w:t>
      </w:r>
      <w:r w:rsidRPr="00DA3BC7">
        <w:rPr>
          <w:rFonts w:ascii="Times New Roman" w:hAnsi="Times New Roman" w:hint="eastAsia"/>
          <w:sz w:val="20"/>
          <w:szCs w:val="20"/>
        </w:rPr>
        <w:t>p.</w:t>
      </w:r>
      <w:r>
        <w:rPr>
          <w:rFonts w:ascii="Times New Roman" w:hAnsi="Times New Roman" w:hint="eastAsia"/>
          <w:sz w:val="20"/>
          <w:szCs w:val="20"/>
        </w:rPr>
        <w:t>26</w:t>
      </w:r>
      <w:r w:rsidRPr="00DA3BC7">
        <w:rPr>
          <w:rFonts w:ascii="Times New Roman" w:hAnsi="Times New Roman" w:hint="eastAsia"/>
          <w:sz w:val="20"/>
          <w:szCs w:val="20"/>
        </w:rPr>
        <w:t>）</w:t>
      </w:r>
    </w:p>
    <w:p w:rsidR="001968AB" w:rsidRPr="00DA3BC7" w:rsidRDefault="00C30BBB" w:rsidP="00FC70F6">
      <w:pPr>
        <w:ind w:leftChars="100" w:left="240"/>
        <w:jc w:val="both"/>
        <w:rPr>
          <w:rFonts w:ascii="Times New Roman" w:hAnsi="Times New Roman"/>
        </w:rPr>
      </w:pPr>
      <w:r w:rsidRPr="00DA3BC7">
        <w:rPr>
          <w:rFonts w:ascii="Times New Roman" w:hAnsi="Times New Roman"/>
        </w:rPr>
        <w:t>不生不滅，《阿含經》是指涅槃無為而說的。</w:t>
      </w:r>
      <w:r w:rsidRPr="00DA3BC7">
        <w:rPr>
          <w:rFonts w:ascii="Times New Roman" w:hAnsi="Times New Roman"/>
          <w:vertAlign w:val="superscript"/>
        </w:rPr>
        <w:footnoteReference w:id="193"/>
      </w:r>
    </w:p>
    <w:p w:rsidR="004E6FE7" w:rsidRPr="00DA3BC7" w:rsidRDefault="00643A7E" w:rsidP="00643A7E">
      <w:pPr>
        <w:ind w:leftChars="100" w:left="24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二</w:t>
      </w:r>
      <w:r w:rsidR="004E6FE7" w:rsidRPr="009D3F77">
        <w:rPr>
          <w:rFonts w:ascii="Times New Roman" w:hAnsi="Times New Roman" w:hint="eastAsia"/>
          <w:b/>
          <w:color w:val="FF0000"/>
          <w:sz w:val="20"/>
          <w:szCs w:val="20"/>
          <w:highlight w:val="yellow"/>
          <w:bdr w:val="single" w:sz="4" w:space="0" w:color="auto"/>
        </w:rPr>
        <w:t>、</w:t>
      </w:r>
      <w:r w:rsidR="004E6FE7">
        <w:rPr>
          <w:rFonts w:ascii="Times New Roman" w:hAnsi="Times New Roman" w:hint="eastAsia"/>
          <w:b/>
          <w:color w:val="FF0000"/>
          <w:sz w:val="20"/>
          <w:szCs w:val="26"/>
          <w:highlight w:val="yellow"/>
          <w:bdr w:val="single" w:sz="4" w:space="0" w:color="auto"/>
        </w:rPr>
        <w:t>釋教義</w:t>
      </w:r>
      <w:r w:rsidR="004E6FE7" w:rsidRPr="00DA3BC7">
        <w:rPr>
          <w:rFonts w:ascii="Times New Roman" w:hAnsi="Times New Roman" w:hint="eastAsia"/>
          <w:sz w:val="20"/>
          <w:szCs w:val="20"/>
        </w:rPr>
        <w:t>（</w:t>
      </w:r>
      <w:r w:rsidR="004E6FE7" w:rsidRPr="00DA3BC7">
        <w:rPr>
          <w:rFonts w:ascii="Times New Roman" w:hAnsi="Times New Roman"/>
          <w:sz w:val="20"/>
          <w:szCs w:val="20"/>
        </w:rPr>
        <w:t>pp.26-27</w:t>
      </w:r>
      <w:r w:rsidR="004E6FE7" w:rsidRPr="00DA3BC7">
        <w:rPr>
          <w:rFonts w:ascii="Times New Roman" w:hAnsi="Times New Roman" w:hint="eastAsia"/>
          <w:sz w:val="20"/>
          <w:szCs w:val="20"/>
        </w:rPr>
        <w:t>）</w:t>
      </w:r>
    </w:p>
    <w:p w:rsidR="004E6FE7" w:rsidRDefault="004E6FE7" w:rsidP="00643A7E">
      <w:pPr>
        <w:ind w:leftChars="150" w:left="360"/>
        <w:jc w:val="both"/>
        <w:rPr>
          <w:rFonts w:ascii="Times New Roman" w:hAnsi="Times New Roman"/>
          <w:b/>
          <w:sz w:val="20"/>
          <w:szCs w:val="20"/>
          <w:bdr w:val="single" w:sz="4" w:space="0" w:color="auto"/>
        </w:rPr>
      </w:pPr>
      <w:r w:rsidRPr="009D3F77">
        <w:rPr>
          <w:rFonts w:ascii="Times New Roman" w:hAnsi="Times New Roman" w:hint="eastAsia"/>
          <w:b/>
          <w:color w:val="FF0000"/>
          <w:sz w:val="20"/>
          <w:szCs w:val="20"/>
          <w:highlight w:val="yellow"/>
          <w:bdr w:val="single" w:sz="4" w:space="0" w:color="auto"/>
        </w:rPr>
        <w:t>（一）</w:t>
      </w:r>
      <w:r>
        <w:rPr>
          <w:rFonts w:ascii="Times New Roman" w:hAnsi="Times New Roman" w:hint="eastAsia"/>
          <w:b/>
          <w:color w:val="FF0000"/>
          <w:sz w:val="20"/>
          <w:szCs w:val="20"/>
          <w:highlight w:val="yellow"/>
          <w:bdr w:val="single" w:sz="4" w:space="0" w:color="auto"/>
        </w:rPr>
        <w:t>中道行之成果</w:t>
      </w:r>
      <w:r w:rsidRPr="00DA3BC7">
        <w:rPr>
          <w:rFonts w:ascii="Times New Roman" w:hAnsi="Times New Roman" w:hint="eastAsia"/>
          <w:sz w:val="20"/>
          <w:szCs w:val="20"/>
        </w:rPr>
        <w:t>（</w:t>
      </w:r>
      <w:r w:rsidRPr="00DA3BC7">
        <w:rPr>
          <w:rFonts w:ascii="Times New Roman" w:hAnsi="Times New Roman" w:hint="eastAsia"/>
          <w:sz w:val="20"/>
          <w:szCs w:val="20"/>
        </w:rPr>
        <w:t>p.2</w:t>
      </w:r>
      <w:r>
        <w:rPr>
          <w:rFonts w:ascii="Times New Roman" w:hAnsi="Times New Roman" w:hint="eastAsia"/>
          <w:sz w:val="20"/>
          <w:szCs w:val="20"/>
        </w:rPr>
        <w:t>6</w:t>
      </w:r>
      <w:r w:rsidRPr="00DA3BC7">
        <w:rPr>
          <w:rFonts w:ascii="Times New Roman" w:hAnsi="Times New Roman" w:hint="eastAsia"/>
          <w:sz w:val="20"/>
          <w:szCs w:val="20"/>
        </w:rPr>
        <w:t>）</w:t>
      </w:r>
    </w:p>
    <w:p w:rsidR="00FC70F6" w:rsidRDefault="004E6FE7" w:rsidP="00FC70F6">
      <w:pPr>
        <w:ind w:leftChars="200" w:left="480"/>
        <w:jc w:val="both"/>
        <w:rPr>
          <w:rFonts w:ascii="Times New Roman" w:hAnsi="Times New Roman"/>
          <w:sz w:val="20"/>
          <w:szCs w:val="20"/>
        </w:rPr>
      </w:pPr>
      <w:r w:rsidRPr="009D3F77">
        <w:rPr>
          <w:rFonts w:ascii="Times New Roman" w:hAnsi="Times New Roman" w:hint="eastAsia"/>
          <w:b/>
          <w:color w:val="FF0000"/>
          <w:sz w:val="20"/>
          <w:szCs w:val="20"/>
          <w:highlight w:val="yellow"/>
          <w:bdr w:val="single" w:sz="4" w:space="0" w:color="auto"/>
        </w:rPr>
        <w:t>1</w:t>
      </w:r>
      <w:r w:rsidRPr="009D3F77">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「圓寂」</w:t>
      </w:r>
      <w:r>
        <w:rPr>
          <w:rFonts w:ascii="Times New Roman" w:hAnsi="Times New Roman" w:hint="eastAsia"/>
          <w:b/>
          <w:color w:val="FF0000"/>
          <w:sz w:val="20"/>
          <w:szCs w:val="26"/>
          <w:highlight w:val="yellow"/>
          <w:bdr w:val="single" w:sz="4" w:space="0" w:color="auto"/>
        </w:rPr>
        <w:t>義</w:t>
      </w:r>
      <w:r w:rsidRPr="00DA3BC7">
        <w:rPr>
          <w:rFonts w:ascii="Times New Roman" w:hAnsi="Times New Roman" w:hint="eastAsia"/>
          <w:sz w:val="20"/>
          <w:szCs w:val="20"/>
        </w:rPr>
        <w:t>（</w:t>
      </w:r>
      <w:r w:rsidRPr="00DA3BC7">
        <w:rPr>
          <w:rFonts w:ascii="Times New Roman" w:hAnsi="Times New Roman" w:hint="eastAsia"/>
          <w:sz w:val="20"/>
          <w:szCs w:val="20"/>
        </w:rPr>
        <w:t>p.2</w:t>
      </w:r>
      <w:r>
        <w:rPr>
          <w:rFonts w:ascii="Times New Roman" w:hAnsi="Times New Roman" w:hint="eastAsia"/>
          <w:sz w:val="20"/>
          <w:szCs w:val="20"/>
        </w:rPr>
        <w:t>6</w:t>
      </w:r>
      <w:r w:rsidRPr="00DA3BC7">
        <w:rPr>
          <w:rFonts w:ascii="Times New Roman" w:hAnsi="Times New Roman" w:hint="eastAsia"/>
          <w:sz w:val="20"/>
          <w:szCs w:val="20"/>
        </w:rPr>
        <w:t>）</w:t>
      </w:r>
    </w:p>
    <w:p w:rsidR="001968AB" w:rsidRPr="00DA3BC7" w:rsidRDefault="00C30BBB" w:rsidP="00FC70F6">
      <w:pPr>
        <w:ind w:leftChars="200" w:left="480"/>
        <w:jc w:val="both"/>
        <w:rPr>
          <w:rFonts w:ascii="Times New Roman" w:hAnsi="Times New Roman"/>
        </w:rPr>
      </w:pPr>
      <w:r w:rsidRPr="00DA3BC7">
        <w:rPr>
          <w:rFonts w:ascii="Times New Roman" w:hAnsi="Times New Roman"/>
        </w:rPr>
        <w:lastRenderedPageBreak/>
        <w:t>涅槃，決不是死了，也不是死了纔證得涅槃。涅槃，玄奘譯為圓寂</w:t>
      </w:r>
      <w:r w:rsidRPr="00DA3BC7">
        <w:rPr>
          <w:rFonts w:ascii="新細明體" w:hAnsi="新細明體" w:hint="eastAsia"/>
        </w:rPr>
        <w:t>；</w:t>
      </w:r>
      <w:r w:rsidRPr="00DA3BC7">
        <w:rPr>
          <w:rFonts w:ascii="Times New Roman" w:hAnsi="Times New Roman"/>
        </w:rPr>
        <w:t>梵語含有否定與消散的意味，又有安樂自在的意義。</w:t>
      </w:r>
      <w:r w:rsidRPr="00DA3BC7">
        <w:rPr>
          <w:rFonts w:ascii="Times New Roman" w:hAnsi="Times New Roman"/>
          <w:vertAlign w:val="superscript"/>
        </w:rPr>
        <w:footnoteReference w:id="194"/>
      </w:r>
    </w:p>
    <w:p w:rsidR="00C30BBB" w:rsidRPr="00DA3BC7" w:rsidRDefault="00C30BBB" w:rsidP="00FC70F6">
      <w:pPr>
        <w:ind w:leftChars="200" w:left="480"/>
        <w:jc w:val="both"/>
        <w:rPr>
          <w:rFonts w:ascii="Times New Roman" w:hAnsi="Times New Roman"/>
        </w:rPr>
      </w:pPr>
      <w:r w:rsidRPr="00DA3BC7">
        <w:rPr>
          <w:rFonts w:ascii="Times New Roman" w:hAnsi="Times New Roman"/>
        </w:rPr>
        <w:t>佛所說的涅槃，是指那超脫了紛亂的、煩囂</w:t>
      </w:r>
      <w:r w:rsidRPr="00DA3BC7">
        <w:rPr>
          <w:rStyle w:val="a6"/>
          <w:rFonts w:ascii="Times New Roman" w:hAnsi="Times New Roman"/>
        </w:rPr>
        <w:footnoteReference w:id="195"/>
      </w:r>
      <w:r w:rsidRPr="00DA3BC7">
        <w:rPr>
          <w:rFonts w:ascii="Times New Roman" w:hAnsi="Times New Roman"/>
        </w:rPr>
        <w:t>的、束縛的一切，而到達安寧的、平和的、解放的自在境地。</w:t>
      </w:r>
    </w:p>
    <w:p w:rsidR="001968AB" w:rsidRPr="00DA3BC7" w:rsidRDefault="00C30BBB" w:rsidP="00AE3920">
      <w:pPr>
        <w:spacing w:beforeLines="20"/>
        <w:ind w:leftChars="200" w:left="480"/>
        <w:jc w:val="both"/>
        <w:rPr>
          <w:rFonts w:ascii="Times New Roman" w:hAnsi="Times New Roman"/>
        </w:rPr>
      </w:pPr>
      <w:r w:rsidRPr="00DA3BC7">
        <w:rPr>
          <w:rFonts w:ascii="Times New Roman" w:hAnsi="Times New Roman"/>
        </w:rPr>
        <w:t>這一</w:t>
      </w:r>
      <w:r w:rsidRPr="00DA3BC7">
        <w:rPr>
          <w:rFonts w:ascii="Times New Roman" w:hAnsi="Times New Roman"/>
          <w:szCs w:val="22"/>
        </w:rPr>
        <w:t>解脫</w:t>
      </w:r>
      <w:r w:rsidRPr="00DA3BC7">
        <w:rPr>
          <w:rFonts w:ascii="Times New Roman" w:hAnsi="Times New Roman"/>
        </w:rPr>
        <w:t>自在的境地，是佛教正覺的完成，充滿了豐富的內容，即解脫了愚癡為本的生死，而得到智慧為本的解脫。</w:t>
      </w:r>
      <w:r w:rsidRPr="00DA3BC7">
        <w:rPr>
          <w:rFonts w:ascii="Times New Roman" w:hAnsi="Times New Roman"/>
          <w:vertAlign w:val="superscript"/>
        </w:rPr>
        <w:footnoteReference w:id="196"/>
      </w:r>
    </w:p>
    <w:p w:rsidR="004E6FE7" w:rsidRDefault="004E6FE7" w:rsidP="00AE3920">
      <w:pPr>
        <w:spacing w:beforeLines="20"/>
        <w:ind w:leftChars="200" w:left="480"/>
        <w:jc w:val="both"/>
        <w:rPr>
          <w:rFonts w:ascii="Times New Roman" w:hAnsi="Times New Roman"/>
          <w:sz w:val="20"/>
          <w:szCs w:val="26"/>
        </w:rPr>
      </w:pPr>
      <w:r w:rsidRPr="004E6FE7">
        <w:rPr>
          <w:rFonts w:ascii="Times New Roman" w:hAnsi="Times New Roman" w:hint="eastAsia"/>
          <w:b/>
          <w:color w:val="FF0000"/>
          <w:sz w:val="20"/>
          <w:szCs w:val="20"/>
          <w:highlight w:val="yellow"/>
          <w:bdr w:val="single" w:sz="4" w:space="0" w:color="auto"/>
        </w:rPr>
        <w:t>2</w:t>
      </w:r>
      <w:r w:rsidRPr="004E6FE7">
        <w:rPr>
          <w:rFonts w:ascii="Times New Roman" w:hAnsi="Times New Roman" w:hint="eastAsia"/>
          <w:b/>
          <w:color w:val="FF0000"/>
          <w:sz w:val="20"/>
          <w:szCs w:val="20"/>
          <w:highlight w:val="yellow"/>
          <w:bdr w:val="single" w:sz="4" w:space="0" w:color="auto"/>
        </w:rPr>
        <w:t>、「無生」義</w:t>
      </w:r>
      <w:r w:rsidRPr="00DA3BC7">
        <w:rPr>
          <w:rFonts w:ascii="Times New Roman" w:hAnsi="Times New Roman" w:hint="eastAsia"/>
          <w:sz w:val="20"/>
          <w:szCs w:val="26"/>
        </w:rPr>
        <w:t>（</w:t>
      </w:r>
      <w:r>
        <w:rPr>
          <w:rFonts w:ascii="Times New Roman" w:hAnsi="Times New Roman"/>
          <w:sz w:val="20"/>
          <w:szCs w:val="20"/>
        </w:rPr>
        <w:t>pp.26-27</w:t>
      </w:r>
      <w:r w:rsidRPr="00DA3BC7">
        <w:rPr>
          <w:rFonts w:ascii="Times New Roman" w:hAnsi="Times New Roman" w:hint="eastAsia"/>
          <w:sz w:val="20"/>
          <w:szCs w:val="26"/>
        </w:rPr>
        <w:t>）</w:t>
      </w:r>
    </w:p>
    <w:p w:rsidR="00C30BBB" w:rsidRPr="00DA3BC7" w:rsidRDefault="00C30BBB" w:rsidP="00FC70F6">
      <w:pPr>
        <w:ind w:leftChars="200" w:left="480"/>
        <w:jc w:val="both"/>
        <w:rPr>
          <w:rFonts w:ascii="Times New Roman" w:hAnsi="Times New Roman"/>
        </w:rPr>
      </w:pPr>
      <w:r w:rsidRPr="00DA3BC7">
        <w:rPr>
          <w:rFonts w:ascii="Times New Roman" w:hAnsi="Times New Roman"/>
          <w:b/>
        </w:rPr>
        <w:t>涅槃又稱為無為、無生（無住無滅）</w:t>
      </w:r>
      <w:r w:rsidRPr="00DA3BC7">
        <w:rPr>
          <w:rFonts w:ascii="Times New Roman" w:hAnsi="Times New Roman"/>
        </w:rPr>
        <w:t>。因為佛稱世俗的一切為有為，即惑業所感成的，動亂、相對、束縛的生滅，是</w:t>
      </w:r>
      <w:r w:rsidRPr="00DA3BC7">
        <w:rPr>
          <w:rFonts w:ascii="Times New Roman" w:hAnsi="Times New Roman" w:hint="eastAsia"/>
        </w:rPr>
        <w:t>它</w:t>
      </w:r>
      <w:r w:rsidRPr="00DA3BC7">
        <w:rPr>
          <w:rFonts w:ascii="Times New Roman" w:hAnsi="Times New Roman"/>
        </w:rPr>
        <w:t>的根本性質；突破了這種煩擾、差別、束縛的有為生滅，在無可形容、無可名稱中，即稱之為不生不滅的無為涅槃。</w:t>
      </w:r>
    </w:p>
    <w:p w:rsidR="00C30BBB" w:rsidRPr="00DA3BC7" w:rsidRDefault="00C30BBB" w:rsidP="00AE3920">
      <w:pPr>
        <w:spacing w:beforeLines="30"/>
        <w:ind w:leftChars="150" w:left="360"/>
        <w:jc w:val="both"/>
        <w:rPr>
          <w:rFonts w:ascii="Times New Roman" w:hAnsi="Times New Roman"/>
          <w:b/>
          <w:sz w:val="20"/>
          <w:szCs w:val="20"/>
          <w:bdr w:val="single" w:sz="4" w:space="0" w:color="auto"/>
        </w:rPr>
      </w:pPr>
      <w:r w:rsidRPr="004E6FE7">
        <w:rPr>
          <w:rFonts w:ascii="Times New Roman" w:hAnsi="Times New Roman"/>
          <w:b/>
          <w:color w:val="FF0000"/>
          <w:sz w:val="20"/>
          <w:szCs w:val="20"/>
          <w:highlight w:val="yellow"/>
          <w:bdr w:val="single" w:sz="4" w:space="0" w:color="auto"/>
        </w:rPr>
        <w:t>（</w:t>
      </w:r>
      <w:r w:rsidR="004E6FE7" w:rsidRPr="004E6FE7">
        <w:rPr>
          <w:rFonts w:ascii="Times New Roman" w:hAnsi="Times New Roman" w:hint="eastAsia"/>
          <w:b/>
          <w:color w:val="FF0000"/>
          <w:sz w:val="20"/>
          <w:szCs w:val="20"/>
          <w:highlight w:val="yellow"/>
          <w:bdr w:val="single" w:sz="4" w:space="0" w:color="auto"/>
        </w:rPr>
        <w:t>二</w:t>
      </w:r>
      <w:r w:rsidRPr="004E6FE7">
        <w:rPr>
          <w:rFonts w:ascii="Times New Roman" w:hAnsi="Times New Roman"/>
          <w:b/>
          <w:color w:val="FF0000"/>
          <w:sz w:val="20"/>
          <w:szCs w:val="20"/>
          <w:highlight w:val="yellow"/>
          <w:bdr w:val="single" w:sz="4" w:space="0" w:color="auto"/>
        </w:rPr>
        <w:t>）</w:t>
      </w:r>
      <w:r w:rsidR="004E6FE7" w:rsidRPr="004E6FE7">
        <w:rPr>
          <w:rFonts w:ascii="Times New Roman" w:hAnsi="Times New Roman" w:hint="eastAsia"/>
          <w:b/>
          <w:color w:val="FF0000"/>
          <w:sz w:val="20"/>
          <w:szCs w:val="20"/>
          <w:highlight w:val="yellow"/>
          <w:bdr w:val="single" w:sz="4" w:space="0" w:color="auto"/>
        </w:rPr>
        <w:t>正等</w:t>
      </w:r>
      <w:r w:rsidRPr="004E6FE7">
        <w:rPr>
          <w:rFonts w:ascii="Times New Roman" w:hAnsi="Times New Roman" w:hint="eastAsia"/>
          <w:b/>
          <w:color w:val="FF0000"/>
          <w:sz w:val="20"/>
          <w:szCs w:val="20"/>
          <w:highlight w:val="yellow"/>
          <w:bdr w:val="single" w:sz="4" w:space="0" w:color="auto"/>
        </w:rPr>
        <w:t>覺</w:t>
      </w:r>
      <w:r w:rsidR="004E6FE7" w:rsidRPr="004E6FE7">
        <w:rPr>
          <w:rFonts w:ascii="Times New Roman" w:hAnsi="Times New Roman" w:hint="eastAsia"/>
          <w:b/>
          <w:color w:val="FF0000"/>
          <w:sz w:val="20"/>
          <w:szCs w:val="20"/>
          <w:highlight w:val="yellow"/>
          <w:bdr w:val="single" w:sz="4" w:space="0" w:color="auto"/>
        </w:rPr>
        <w:t>之</w:t>
      </w:r>
      <w:r w:rsidRPr="004E6FE7">
        <w:rPr>
          <w:rFonts w:ascii="Times New Roman" w:hAnsi="Times New Roman" w:hint="eastAsia"/>
          <w:b/>
          <w:color w:val="FF0000"/>
          <w:sz w:val="20"/>
          <w:szCs w:val="20"/>
          <w:highlight w:val="yellow"/>
          <w:bdr w:val="single" w:sz="4" w:space="0" w:color="auto"/>
        </w:rPr>
        <w:t>理</w:t>
      </w:r>
      <w:r w:rsidR="004E6FE7" w:rsidRPr="004E6FE7">
        <w:rPr>
          <w:rFonts w:ascii="Times New Roman" w:hAnsi="Times New Roman" w:hint="eastAsia"/>
          <w:b/>
          <w:color w:val="FF0000"/>
          <w:sz w:val="20"/>
          <w:szCs w:val="20"/>
          <w:highlight w:val="yellow"/>
          <w:bdr w:val="single" w:sz="4" w:space="0" w:color="auto"/>
        </w:rPr>
        <w:t>境</w:t>
      </w:r>
      <w:r w:rsidRPr="00DA3BC7">
        <w:rPr>
          <w:rFonts w:ascii="Times New Roman" w:hAnsi="Times New Roman" w:hint="eastAsia"/>
          <w:sz w:val="20"/>
          <w:szCs w:val="20"/>
        </w:rPr>
        <w:t>（</w:t>
      </w:r>
      <w:r w:rsidRPr="00DA3BC7">
        <w:rPr>
          <w:rFonts w:ascii="Times New Roman" w:hAnsi="Times New Roman"/>
          <w:sz w:val="20"/>
          <w:szCs w:val="20"/>
        </w:rPr>
        <w:t>p.2</w:t>
      </w:r>
      <w:r w:rsidRPr="00DA3BC7">
        <w:rPr>
          <w:rFonts w:ascii="Times New Roman" w:hAnsi="Times New Roman" w:hint="eastAsia"/>
          <w:sz w:val="20"/>
          <w:szCs w:val="20"/>
        </w:rPr>
        <w:t>7</w:t>
      </w:r>
      <w:r w:rsidRPr="00DA3BC7">
        <w:rPr>
          <w:rFonts w:ascii="Times New Roman" w:hAnsi="Times New Roman" w:hint="eastAsia"/>
          <w:sz w:val="20"/>
          <w:szCs w:val="20"/>
        </w:rPr>
        <w:t>）</w:t>
      </w:r>
    </w:p>
    <w:p w:rsidR="001968AB" w:rsidRPr="00DA3BC7" w:rsidRDefault="00C30BBB" w:rsidP="00FC70F6">
      <w:pPr>
        <w:ind w:leftChars="150" w:left="360"/>
        <w:jc w:val="both"/>
        <w:rPr>
          <w:rFonts w:ascii="Times New Roman" w:hAnsi="Times New Roman"/>
        </w:rPr>
      </w:pPr>
      <w:r w:rsidRPr="00DA3BC7">
        <w:rPr>
          <w:rFonts w:ascii="Times New Roman" w:hAnsi="Times New Roman" w:hint="eastAsia"/>
        </w:rPr>
        <w:t>這</w:t>
      </w:r>
      <w:r w:rsidRPr="00DA3BC7">
        <w:rPr>
          <w:rFonts w:ascii="Times New Roman" w:hAnsi="Times New Roman"/>
        </w:rPr>
        <w:t>本是</w:t>
      </w:r>
      <w:r w:rsidRPr="00DA3BC7">
        <w:rPr>
          <w:rFonts w:ascii="Times New Roman" w:hAnsi="Times New Roman"/>
          <w:b/>
        </w:rPr>
        <w:t>中道行的成果</w:t>
      </w:r>
      <w:r w:rsidRPr="00DA3BC7">
        <w:rPr>
          <w:rFonts w:ascii="Times New Roman" w:hAnsi="Times New Roman"/>
        </w:rPr>
        <w:t>，然依此為正覺所覺的</w:t>
      </w:r>
      <w:r w:rsidRPr="00DA3BC7">
        <w:rPr>
          <w:rFonts w:ascii="Times New Roman" w:hAnsi="Times New Roman"/>
          <w:b/>
        </w:rPr>
        <w:t>法界</w:t>
      </w:r>
      <w:r w:rsidRPr="00DA3BC7">
        <w:rPr>
          <w:rFonts w:ascii="Times New Roman" w:hAnsi="Times New Roman"/>
        </w:rPr>
        <w:t>而說，無為又成為究竟的</w:t>
      </w:r>
      <w:r w:rsidRPr="00DA3BC7">
        <w:rPr>
          <w:rFonts w:ascii="Times New Roman" w:hAnsi="Times New Roman"/>
          <w:b/>
        </w:rPr>
        <w:t>理性</w:t>
      </w:r>
      <w:r w:rsidRPr="00DA3BC7">
        <w:rPr>
          <w:rFonts w:ascii="Times New Roman" w:hAnsi="Times New Roman"/>
        </w:rPr>
        <w:t>。</w:t>
      </w:r>
      <w:r w:rsidRPr="00DA3BC7">
        <w:rPr>
          <w:rFonts w:ascii="Times New Roman" w:hAnsi="Times New Roman"/>
          <w:vertAlign w:val="superscript"/>
        </w:rPr>
        <w:footnoteReference w:id="197"/>
      </w:r>
    </w:p>
    <w:p w:rsidR="00C30BBB" w:rsidRPr="00DA3BC7" w:rsidRDefault="004E6FE7" w:rsidP="00AE3920">
      <w:pPr>
        <w:spacing w:beforeLines="30"/>
        <w:ind w:leftChars="50" w:left="120"/>
        <w:jc w:val="both"/>
        <w:rPr>
          <w:rFonts w:ascii="Times New Roman" w:hAnsi="Times New Roman"/>
          <w:b/>
          <w:sz w:val="20"/>
          <w:szCs w:val="26"/>
        </w:rPr>
      </w:pPr>
      <w:r w:rsidRPr="004E6FE7">
        <w:rPr>
          <w:rFonts w:ascii="Times New Roman" w:hAnsi="Times New Roman"/>
          <w:b/>
          <w:color w:val="FF0000"/>
          <w:sz w:val="20"/>
          <w:szCs w:val="20"/>
          <w:highlight w:val="yellow"/>
          <w:bdr w:val="single" w:sz="4" w:space="0" w:color="auto"/>
        </w:rPr>
        <w:lastRenderedPageBreak/>
        <w:t>（</w:t>
      </w:r>
      <w:r w:rsidRPr="004E6FE7">
        <w:rPr>
          <w:rFonts w:ascii="Times New Roman" w:hAnsi="Times New Roman" w:hint="eastAsia"/>
          <w:b/>
          <w:color w:val="FF0000"/>
          <w:sz w:val="20"/>
          <w:szCs w:val="20"/>
          <w:highlight w:val="yellow"/>
          <w:bdr w:val="single" w:sz="4" w:space="0" w:color="auto"/>
        </w:rPr>
        <w:t>貳</w:t>
      </w:r>
      <w:r w:rsidRPr="004E6FE7">
        <w:rPr>
          <w:rFonts w:ascii="Times New Roman" w:hAnsi="Times New Roman"/>
          <w:b/>
          <w:color w:val="FF0000"/>
          <w:sz w:val="20"/>
          <w:szCs w:val="20"/>
          <w:highlight w:val="yellow"/>
          <w:bdr w:val="single" w:sz="4" w:space="0" w:color="auto"/>
        </w:rPr>
        <w:t>）</w:t>
      </w:r>
      <w:r w:rsidRPr="004E6FE7">
        <w:rPr>
          <w:rFonts w:ascii="Times New Roman" w:hAnsi="Times New Roman" w:hint="eastAsia"/>
          <w:b/>
          <w:color w:val="FF0000"/>
          <w:sz w:val="20"/>
          <w:szCs w:val="26"/>
          <w:highlight w:val="yellow"/>
          <w:bdr w:val="single" w:sz="4" w:space="0" w:color="auto"/>
        </w:rPr>
        <w:t>三乘共證</w:t>
      </w:r>
      <w:r w:rsidR="00C30BBB" w:rsidRPr="004E6FE7">
        <w:rPr>
          <w:rFonts w:ascii="Times New Roman" w:hAnsi="Times New Roman"/>
          <w:b/>
          <w:color w:val="FF0000"/>
          <w:sz w:val="20"/>
          <w:szCs w:val="26"/>
          <w:highlight w:val="yellow"/>
          <w:bdr w:val="single" w:sz="4" w:space="0" w:color="auto"/>
        </w:rPr>
        <w:t>與</w:t>
      </w:r>
      <w:r w:rsidRPr="004E6FE7">
        <w:rPr>
          <w:rFonts w:ascii="Times New Roman" w:hAnsi="Times New Roman" w:hint="eastAsia"/>
          <w:b/>
          <w:color w:val="FF0000"/>
          <w:sz w:val="20"/>
          <w:szCs w:val="26"/>
          <w:highlight w:val="yellow"/>
          <w:bdr w:val="single" w:sz="4" w:space="0" w:color="auto"/>
        </w:rPr>
        <w:t>大乘不共行</w:t>
      </w:r>
      <w:r w:rsidR="00C30BBB" w:rsidRPr="00DA3BC7">
        <w:rPr>
          <w:rFonts w:ascii="Times New Roman" w:hAnsi="Times New Roman"/>
          <w:sz w:val="20"/>
          <w:szCs w:val="20"/>
        </w:rPr>
        <w:t>（</w:t>
      </w:r>
      <w:r w:rsidR="00C30BBB" w:rsidRPr="00DA3BC7">
        <w:rPr>
          <w:rFonts w:ascii="Times New Roman" w:hAnsi="Times New Roman"/>
          <w:sz w:val="20"/>
          <w:szCs w:val="20"/>
        </w:rPr>
        <w:t>pp.27-28</w:t>
      </w:r>
      <w:r w:rsidR="00C30BBB" w:rsidRPr="00DA3BC7">
        <w:rPr>
          <w:rFonts w:ascii="Times New Roman" w:hAnsi="Times New Roman"/>
          <w:sz w:val="20"/>
          <w:szCs w:val="20"/>
        </w:rPr>
        <w:t>）</w:t>
      </w:r>
    </w:p>
    <w:p w:rsidR="00C30BBB" w:rsidRPr="00DA3BC7" w:rsidRDefault="004E6FE7" w:rsidP="00643A7E">
      <w:pPr>
        <w:ind w:leftChars="100" w:left="240"/>
        <w:jc w:val="both"/>
        <w:rPr>
          <w:rFonts w:ascii="Times New Roman" w:hAnsi="Times New Roman"/>
          <w:b/>
          <w:sz w:val="20"/>
          <w:szCs w:val="20"/>
          <w:bdr w:val="single" w:sz="4" w:space="0" w:color="auto"/>
        </w:rPr>
      </w:pPr>
      <w:r>
        <w:rPr>
          <w:rFonts w:ascii="Times New Roman" w:hAnsi="Times New Roman" w:hint="eastAsia"/>
          <w:b/>
          <w:color w:val="FF0000"/>
          <w:sz w:val="20"/>
          <w:szCs w:val="26"/>
          <w:highlight w:val="yellow"/>
          <w:bdr w:val="single" w:sz="4" w:space="0" w:color="auto"/>
        </w:rPr>
        <w:t>一</w:t>
      </w:r>
      <w:r w:rsidRPr="004E6FE7">
        <w:rPr>
          <w:rFonts w:ascii="Times New Roman" w:hAnsi="Times New Roman"/>
          <w:b/>
          <w:color w:val="FF0000"/>
          <w:sz w:val="20"/>
          <w:szCs w:val="26"/>
          <w:highlight w:val="yellow"/>
          <w:bdr w:val="single" w:sz="4" w:space="0" w:color="auto"/>
        </w:rPr>
        <w:t>、</w:t>
      </w:r>
      <w:r w:rsidR="00C30BBB" w:rsidRPr="00DA3BC7">
        <w:rPr>
          <w:rFonts w:ascii="Times New Roman" w:hAnsi="Times New Roman" w:hint="eastAsia"/>
          <w:b/>
          <w:sz w:val="20"/>
          <w:szCs w:val="20"/>
          <w:bdr w:val="single" w:sz="4" w:space="0" w:color="auto"/>
        </w:rPr>
        <w:t>相同點：</w:t>
      </w:r>
      <w:r w:rsidRPr="004E6FE7">
        <w:rPr>
          <w:rFonts w:ascii="Times New Roman" w:hAnsi="Times New Roman" w:hint="eastAsia"/>
          <w:b/>
          <w:color w:val="FF0000"/>
          <w:sz w:val="20"/>
          <w:szCs w:val="20"/>
          <w:highlight w:val="yellow"/>
          <w:bdr w:val="single" w:sz="4" w:space="0" w:color="auto"/>
        </w:rPr>
        <w:t>三乘共坐解脫床</w:t>
      </w:r>
      <w:r w:rsidR="00C30BBB" w:rsidRPr="00DA3BC7">
        <w:rPr>
          <w:rFonts w:ascii="Times New Roman" w:hAnsi="Times New Roman" w:hint="eastAsia"/>
          <w:sz w:val="20"/>
          <w:szCs w:val="20"/>
        </w:rPr>
        <w:t>（</w:t>
      </w:r>
      <w:r w:rsidR="00C30BBB" w:rsidRPr="00DA3BC7">
        <w:rPr>
          <w:rFonts w:ascii="Times New Roman" w:hAnsi="Times New Roman" w:hint="eastAsia"/>
          <w:sz w:val="20"/>
          <w:szCs w:val="20"/>
        </w:rPr>
        <w:t>p.27</w:t>
      </w:r>
      <w:r w:rsidR="00C30BBB" w:rsidRPr="00DA3BC7">
        <w:rPr>
          <w:rFonts w:ascii="Times New Roman" w:hAnsi="Times New Roman" w:hint="eastAsia"/>
          <w:sz w:val="20"/>
          <w:szCs w:val="20"/>
        </w:rPr>
        <w:t>）</w:t>
      </w:r>
    </w:p>
    <w:p w:rsidR="00C30BBB" w:rsidRPr="00DA3BC7" w:rsidRDefault="00C30BBB" w:rsidP="00FC70F6">
      <w:pPr>
        <w:ind w:leftChars="100" w:left="240"/>
        <w:jc w:val="both"/>
        <w:rPr>
          <w:rFonts w:ascii="Times New Roman" w:hAnsi="Times New Roman"/>
        </w:rPr>
      </w:pPr>
      <w:r w:rsidRPr="00DA3BC7">
        <w:rPr>
          <w:rFonts w:ascii="Times New Roman" w:hAnsi="Times New Roman"/>
        </w:rPr>
        <w:t>涅槃</w:t>
      </w:r>
      <w:r w:rsidRPr="00DA3BC7">
        <w:rPr>
          <w:rFonts w:ascii="Times New Roman" w:hAnsi="Times New Roman" w:hint="eastAsia"/>
        </w:rPr>
        <w:t>──</w:t>
      </w:r>
      <w:r w:rsidRPr="00DA3BC7">
        <w:rPr>
          <w:rFonts w:ascii="Times New Roman" w:hAnsi="Times New Roman"/>
        </w:rPr>
        <w:t>正覺的解脫，不問菩薩、聲聞，是一致企圖實現的目的。</w:t>
      </w:r>
    </w:p>
    <w:p w:rsidR="00C30BBB" w:rsidRPr="00DA3BC7" w:rsidRDefault="004E6FE7" w:rsidP="00AE3920">
      <w:pPr>
        <w:spacing w:beforeLines="30"/>
        <w:ind w:leftChars="100" w:left="240"/>
        <w:jc w:val="both"/>
        <w:rPr>
          <w:rFonts w:ascii="Times New Roman" w:hAnsi="Times New Roman"/>
        </w:rPr>
      </w:pPr>
      <w:r w:rsidRPr="004E6FE7">
        <w:rPr>
          <w:rFonts w:ascii="Times New Roman" w:hAnsi="Times New Roman" w:hint="eastAsia"/>
          <w:b/>
          <w:color w:val="FF0000"/>
          <w:sz w:val="20"/>
          <w:szCs w:val="20"/>
          <w:highlight w:val="yellow"/>
          <w:bdr w:val="single" w:sz="4" w:space="0" w:color="auto"/>
        </w:rPr>
        <w:t>二、</w:t>
      </w:r>
      <w:r w:rsidR="00C30BBB" w:rsidRPr="00DA3BC7">
        <w:rPr>
          <w:rFonts w:ascii="Times New Roman" w:hAnsi="Times New Roman" w:hint="eastAsia"/>
          <w:b/>
          <w:sz w:val="20"/>
          <w:szCs w:val="20"/>
          <w:bdr w:val="single" w:sz="4" w:space="0" w:color="auto"/>
        </w:rPr>
        <w:t>相異點</w:t>
      </w:r>
      <w:r w:rsidRPr="004E6FE7">
        <w:rPr>
          <w:rFonts w:ascii="Times New Roman" w:hAnsi="Times New Roman" w:hint="eastAsia"/>
          <w:b/>
          <w:color w:val="FF0000"/>
          <w:sz w:val="20"/>
          <w:szCs w:val="20"/>
          <w:highlight w:val="yellow"/>
          <w:bdr w:val="single" w:sz="4" w:space="0" w:color="auto"/>
        </w:rPr>
        <w:t>：大乘廣修悲願行</w:t>
      </w:r>
      <w:r w:rsidR="00C30BBB" w:rsidRPr="00DA3BC7">
        <w:rPr>
          <w:rFonts w:ascii="Times New Roman" w:hAnsi="Times New Roman" w:hint="eastAsia"/>
          <w:sz w:val="20"/>
          <w:szCs w:val="20"/>
        </w:rPr>
        <w:t>（</w:t>
      </w:r>
      <w:r w:rsidR="00C30BBB" w:rsidRPr="00DA3BC7">
        <w:rPr>
          <w:rFonts w:ascii="Times New Roman" w:hAnsi="Times New Roman"/>
          <w:sz w:val="20"/>
          <w:szCs w:val="20"/>
        </w:rPr>
        <w:t>pp.27-28</w:t>
      </w:r>
      <w:r w:rsidR="00C30BBB" w:rsidRPr="00DA3BC7">
        <w:rPr>
          <w:rFonts w:ascii="Times New Roman" w:hAnsi="Times New Roman" w:hint="eastAsia"/>
          <w:sz w:val="20"/>
          <w:szCs w:val="20"/>
        </w:rPr>
        <w:t>）</w:t>
      </w:r>
    </w:p>
    <w:p w:rsidR="00C30BBB" w:rsidRPr="00DA3BC7" w:rsidRDefault="004E6FE7" w:rsidP="00643A7E">
      <w:pPr>
        <w:ind w:leftChars="150" w:left="360"/>
        <w:jc w:val="both"/>
        <w:rPr>
          <w:rFonts w:ascii="Times New Roman" w:hAnsi="Times New Roman"/>
          <w:b/>
          <w:sz w:val="20"/>
          <w:szCs w:val="20"/>
        </w:rPr>
      </w:pPr>
      <w:r w:rsidRPr="004E6FE7">
        <w:rPr>
          <w:rFonts w:ascii="Times New Roman" w:hAnsi="Times New Roman"/>
          <w:b/>
          <w:color w:val="FF0000"/>
          <w:sz w:val="20"/>
          <w:szCs w:val="20"/>
          <w:highlight w:val="yellow"/>
          <w:bdr w:val="single" w:sz="4" w:space="0" w:color="auto"/>
        </w:rPr>
        <w:t>（</w:t>
      </w:r>
      <w:r w:rsidRPr="004E6FE7">
        <w:rPr>
          <w:rFonts w:ascii="Times New Roman" w:hAnsi="Times New Roman" w:hint="eastAsia"/>
          <w:b/>
          <w:color w:val="FF0000"/>
          <w:sz w:val="20"/>
          <w:szCs w:val="20"/>
          <w:highlight w:val="yellow"/>
          <w:bdr w:val="single" w:sz="4" w:space="0" w:color="auto"/>
        </w:rPr>
        <w:t>一</w:t>
      </w:r>
      <w:r w:rsidRPr="004E6FE7">
        <w:rPr>
          <w:rFonts w:ascii="Times New Roman" w:hAnsi="Times New Roman"/>
          <w:b/>
          <w:color w:val="FF0000"/>
          <w:sz w:val="20"/>
          <w:szCs w:val="20"/>
          <w:highlight w:val="yellow"/>
          <w:bdr w:val="single" w:sz="4" w:space="0" w:color="auto"/>
        </w:rPr>
        <w:t>）</w:t>
      </w:r>
      <w:r w:rsidRPr="004E6FE7">
        <w:rPr>
          <w:rFonts w:ascii="Times New Roman" w:hAnsi="Times New Roman" w:hint="eastAsia"/>
          <w:b/>
          <w:color w:val="FF0000"/>
          <w:sz w:val="20"/>
          <w:szCs w:val="20"/>
          <w:highlight w:val="yellow"/>
          <w:bdr w:val="single" w:sz="4" w:space="0" w:color="auto"/>
        </w:rPr>
        <w:t>二乘</w:t>
      </w:r>
      <w:r w:rsidR="006719E3">
        <w:rPr>
          <w:rFonts w:ascii="Times New Roman" w:hAnsi="Times New Roman" w:hint="eastAsia"/>
          <w:b/>
          <w:color w:val="FF0000"/>
          <w:sz w:val="20"/>
          <w:szCs w:val="20"/>
          <w:highlight w:val="yellow"/>
          <w:bdr w:val="single" w:sz="4" w:space="0" w:color="auto"/>
        </w:rPr>
        <w:t>至</w:t>
      </w:r>
      <w:r w:rsidRPr="004E6FE7">
        <w:rPr>
          <w:rFonts w:ascii="Times New Roman" w:hAnsi="Times New Roman" w:hint="eastAsia"/>
          <w:b/>
          <w:color w:val="FF0000"/>
          <w:sz w:val="20"/>
          <w:szCs w:val="20"/>
          <w:highlight w:val="yellow"/>
          <w:bdr w:val="single" w:sz="4" w:space="0" w:color="auto"/>
        </w:rPr>
        <w:t>此終</w:t>
      </w:r>
      <w:r w:rsidR="006719E3" w:rsidRPr="006719E3">
        <w:rPr>
          <w:rFonts w:ascii="Times New Roman" w:hAnsi="Times New Roman" w:hint="eastAsia"/>
          <w:b/>
          <w:color w:val="FF0000"/>
          <w:sz w:val="20"/>
          <w:szCs w:val="20"/>
          <w:highlight w:val="yellow"/>
          <w:bdr w:val="single" w:sz="4" w:space="0" w:color="auto"/>
        </w:rPr>
        <w:t>了</w:t>
      </w:r>
      <w:r w:rsidR="00C30BBB" w:rsidRPr="00DA3BC7">
        <w:rPr>
          <w:rFonts w:ascii="Times New Roman" w:hAnsi="Times New Roman" w:hint="eastAsia"/>
          <w:sz w:val="20"/>
          <w:szCs w:val="20"/>
        </w:rPr>
        <w:t>（</w:t>
      </w:r>
      <w:r w:rsidR="00C30BBB" w:rsidRPr="00DA3BC7">
        <w:rPr>
          <w:rFonts w:ascii="Times New Roman" w:hAnsi="Times New Roman" w:hint="eastAsia"/>
          <w:sz w:val="20"/>
          <w:szCs w:val="20"/>
        </w:rPr>
        <w:t>p.27</w:t>
      </w:r>
      <w:r w:rsidR="00C30BBB" w:rsidRPr="00DA3BC7">
        <w:rPr>
          <w:rFonts w:ascii="Times New Roman" w:hAnsi="Times New Roman" w:hint="eastAsia"/>
          <w:sz w:val="20"/>
          <w:szCs w:val="20"/>
        </w:rPr>
        <w:t>）</w:t>
      </w:r>
    </w:p>
    <w:p w:rsidR="00C30BBB" w:rsidRPr="00DA3BC7" w:rsidRDefault="00C30BBB" w:rsidP="00FC70F6">
      <w:pPr>
        <w:ind w:leftChars="150" w:left="360"/>
        <w:jc w:val="both"/>
        <w:rPr>
          <w:rFonts w:ascii="Times New Roman" w:hAnsi="Times New Roman"/>
          <w:szCs w:val="20"/>
          <w:bdr w:val="single" w:sz="4" w:space="0" w:color="auto"/>
        </w:rPr>
      </w:pPr>
      <w:r w:rsidRPr="00DA3BC7">
        <w:rPr>
          <w:rFonts w:ascii="Times New Roman" w:hAnsi="Times New Roman"/>
        </w:rPr>
        <w:t>聲聞</w:t>
      </w:r>
      <w:r w:rsidR="000A622D">
        <w:rPr>
          <w:rFonts w:ascii="Times New Roman" w:hAnsi="Times New Roman" w:hint="eastAsia"/>
        </w:rPr>
        <w:t>行</w:t>
      </w:r>
      <w:r w:rsidRPr="000E633B">
        <w:rPr>
          <w:rFonts w:ascii="Times New Roman" w:hAnsi="Times New Roman"/>
          <w:highlight w:val="yellow"/>
        </w:rPr>
        <w:t>者達</w:t>
      </w:r>
      <w:r w:rsidRPr="00DA3BC7">
        <w:rPr>
          <w:rFonts w:ascii="Times New Roman" w:hAnsi="Times New Roman"/>
        </w:rPr>
        <w:t>到了此一目的，即以為到達了究竟，「所作已辦」，更沒有可學可作的，稱為「證入實際」。</w:t>
      </w:r>
    </w:p>
    <w:p w:rsidR="00C30BBB" w:rsidRPr="00DA3BC7" w:rsidRDefault="004E6FE7" w:rsidP="00AE3920">
      <w:pPr>
        <w:spacing w:beforeLines="30"/>
        <w:ind w:leftChars="150" w:left="360"/>
        <w:jc w:val="both"/>
        <w:rPr>
          <w:rFonts w:ascii="Times New Roman" w:hAnsi="Times New Roman"/>
          <w:b/>
          <w:sz w:val="20"/>
          <w:szCs w:val="20"/>
        </w:rPr>
      </w:pPr>
      <w:r w:rsidRPr="004E6FE7">
        <w:rPr>
          <w:rFonts w:ascii="新細明體" w:hAnsi="新細明體" w:hint="eastAsia"/>
          <w:b/>
          <w:color w:val="FF0000"/>
          <w:sz w:val="20"/>
          <w:szCs w:val="20"/>
          <w:highlight w:val="yellow"/>
          <w:bdr w:val="single" w:sz="4" w:space="0" w:color="auto"/>
        </w:rPr>
        <w:t>（</w:t>
      </w:r>
      <w:r w:rsidRPr="004E6FE7">
        <w:rPr>
          <w:rFonts w:ascii="Times New Roman" w:hAnsi="Times New Roman" w:hint="eastAsia"/>
          <w:b/>
          <w:color w:val="FF0000"/>
          <w:sz w:val="20"/>
          <w:szCs w:val="20"/>
          <w:highlight w:val="yellow"/>
          <w:bdr w:val="single" w:sz="4" w:space="0" w:color="auto"/>
        </w:rPr>
        <w:t>二</w:t>
      </w:r>
      <w:r w:rsidRPr="004E6FE7">
        <w:rPr>
          <w:rFonts w:ascii="新細明體" w:hAnsi="新細明體" w:hint="eastAsia"/>
          <w:b/>
          <w:color w:val="FF0000"/>
          <w:sz w:val="20"/>
          <w:szCs w:val="20"/>
          <w:highlight w:val="yellow"/>
          <w:bdr w:val="single" w:sz="4" w:space="0" w:color="auto"/>
        </w:rPr>
        <w:t>）</w:t>
      </w:r>
      <w:r w:rsidRPr="004E6FE7">
        <w:rPr>
          <w:rFonts w:ascii="Times New Roman" w:hAnsi="Times New Roman" w:hint="eastAsia"/>
          <w:b/>
          <w:color w:val="FF0000"/>
          <w:sz w:val="20"/>
          <w:szCs w:val="20"/>
          <w:highlight w:val="yellow"/>
          <w:bdr w:val="single" w:sz="4" w:space="0" w:color="auto"/>
        </w:rPr>
        <w:t>菩薩更</w:t>
      </w:r>
      <w:r w:rsidR="00C30BBB" w:rsidRPr="004E6FE7">
        <w:rPr>
          <w:rFonts w:ascii="Times New Roman" w:hAnsi="Times New Roman"/>
          <w:b/>
          <w:color w:val="FF0000"/>
          <w:sz w:val="20"/>
          <w:szCs w:val="20"/>
          <w:highlight w:val="yellow"/>
          <w:bdr w:val="single" w:sz="4" w:space="0" w:color="auto"/>
        </w:rPr>
        <w:t>行</w:t>
      </w:r>
      <w:r w:rsidR="00C30BBB" w:rsidRPr="004E6FE7">
        <w:rPr>
          <w:rFonts w:ascii="Times New Roman" w:hAnsi="Times New Roman" w:hint="eastAsia"/>
          <w:b/>
          <w:color w:val="FF0000"/>
          <w:sz w:val="20"/>
          <w:szCs w:val="20"/>
          <w:highlight w:val="yellow"/>
          <w:bdr w:val="single" w:sz="4" w:space="0" w:color="auto"/>
        </w:rPr>
        <w:t>利他</w:t>
      </w:r>
      <w:r w:rsidR="00C30BBB" w:rsidRPr="00DA3BC7">
        <w:rPr>
          <w:rFonts w:ascii="Times New Roman" w:hAnsi="Times New Roman" w:hint="eastAsia"/>
          <w:sz w:val="20"/>
          <w:szCs w:val="20"/>
        </w:rPr>
        <w:t>（</w:t>
      </w:r>
      <w:r w:rsidR="00C30BBB" w:rsidRPr="00DA3BC7">
        <w:rPr>
          <w:rFonts w:ascii="Times New Roman" w:hAnsi="Times New Roman"/>
          <w:sz w:val="20"/>
          <w:szCs w:val="20"/>
        </w:rPr>
        <w:t>pp.27-28</w:t>
      </w:r>
      <w:r w:rsidR="00C30BBB" w:rsidRPr="00DA3BC7">
        <w:rPr>
          <w:rFonts w:ascii="Times New Roman" w:hAnsi="Times New Roman" w:hint="eastAsia"/>
          <w:sz w:val="20"/>
          <w:szCs w:val="20"/>
        </w:rPr>
        <w:t>）</w:t>
      </w:r>
    </w:p>
    <w:p w:rsidR="000E633B" w:rsidRDefault="004E6FE7" w:rsidP="000E633B">
      <w:pPr>
        <w:ind w:leftChars="200" w:left="480"/>
        <w:jc w:val="both"/>
        <w:rPr>
          <w:rFonts w:ascii="Times New Roman" w:hAnsi="Times New Roman"/>
          <w:sz w:val="20"/>
          <w:szCs w:val="20"/>
        </w:rPr>
      </w:pPr>
      <w:r w:rsidRPr="004E6FE7">
        <w:rPr>
          <w:rFonts w:ascii="Times New Roman" w:hAnsi="Times New Roman" w:hint="eastAsia"/>
          <w:b/>
          <w:color w:val="FF0000"/>
          <w:sz w:val="20"/>
          <w:szCs w:val="20"/>
          <w:highlight w:val="yellow"/>
          <w:bdr w:val="single" w:sz="4" w:space="0" w:color="auto"/>
        </w:rPr>
        <w:t>1</w:t>
      </w:r>
      <w:r w:rsidRPr="004E6FE7">
        <w:rPr>
          <w:rFonts w:ascii="Times New Roman" w:hAnsi="Times New Roman" w:hint="eastAsia"/>
          <w:b/>
          <w:color w:val="FF0000"/>
          <w:sz w:val="20"/>
          <w:szCs w:val="20"/>
          <w:highlight w:val="yellow"/>
          <w:bdr w:val="single" w:sz="4" w:space="0" w:color="auto"/>
        </w:rPr>
        <w:t>、述義</w:t>
      </w:r>
      <w:r w:rsidR="00C30BBB" w:rsidRPr="00DA3BC7">
        <w:rPr>
          <w:rFonts w:ascii="Times New Roman" w:hAnsi="Times New Roman" w:hint="eastAsia"/>
          <w:sz w:val="20"/>
          <w:szCs w:val="20"/>
        </w:rPr>
        <w:t>（</w:t>
      </w:r>
      <w:r w:rsidR="00C30BBB" w:rsidRPr="00DA3BC7">
        <w:rPr>
          <w:rFonts w:ascii="Times New Roman" w:hAnsi="Times New Roman" w:hint="eastAsia"/>
          <w:sz w:val="20"/>
          <w:szCs w:val="20"/>
        </w:rPr>
        <w:t>p.27</w:t>
      </w:r>
      <w:r w:rsidR="00C30BBB" w:rsidRPr="00DA3BC7">
        <w:rPr>
          <w:rFonts w:ascii="Times New Roman" w:hAnsi="Times New Roman" w:hint="eastAsia"/>
          <w:sz w:val="20"/>
          <w:szCs w:val="20"/>
        </w:rPr>
        <w:t>）</w:t>
      </w:r>
    </w:p>
    <w:p w:rsidR="004E6FE7" w:rsidRDefault="00C30BBB" w:rsidP="000E633B">
      <w:pPr>
        <w:ind w:leftChars="200" w:left="480"/>
        <w:jc w:val="both"/>
        <w:rPr>
          <w:rFonts w:ascii="Times New Roman" w:hAnsi="Times New Roman"/>
        </w:rPr>
      </w:pPr>
      <w:r w:rsidRPr="00DA3BC7">
        <w:rPr>
          <w:rFonts w:ascii="Times New Roman" w:hAnsi="Times New Roman" w:hint="eastAsia"/>
        </w:rPr>
        <w:t>大乘行</w:t>
      </w:r>
      <w:r w:rsidRPr="000E633B">
        <w:rPr>
          <w:rFonts w:ascii="Times New Roman" w:hAnsi="Times New Roman" w:hint="eastAsia"/>
          <w:highlight w:val="yellow"/>
        </w:rPr>
        <w:t>者</w:t>
      </w:r>
      <w:r w:rsidRPr="000E633B">
        <w:rPr>
          <w:rFonts w:ascii="Times New Roman" w:hAnsi="Times New Roman"/>
          <w:highlight w:val="yellow"/>
        </w:rPr>
        <w:t>到</w:t>
      </w:r>
      <w:r w:rsidRPr="00DA3BC7">
        <w:rPr>
          <w:rFonts w:ascii="Times New Roman" w:hAnsi="Times New Roman"/>
        </w:rPr>
        <w:t>了不動地，也同樣的體驗此一境地，但名之為「無生法忍」，而認為還沒究竟的。</w:t>
      </w:r>
    </w:p>
    <w:p w:rsidR="004E6FE7" w:rsidRDefault="004E6FE7" w:rsidP="00AE3920">
      <w:pPr>
        <w:spacing w:beforeLines="30"/>
        <w:ind w:leftChars="150" w:left="360"/>
        <w:jc w:val="both"/>
        <w:rPr>
          <w:rFonts w:ascii="Times New Roman" w:hAnsi="Times New Roman"/>
          <w:b/>
          <w:color w:val="FF0000"/>
          <w:sz w:val="20"/>
          <w:szCs w:val="20"/>
          <w:bdr w:val="single" w:sz="4" w:space="0" w:color="auto"/>
        </w:rPr>
      </w:pPr>
      <w:r w:rsidRPr="004E6FE7">
        <w:rPr>
          <w:rFonts w:ascii="Times New Roman" w:hAnsi="Times New Roman" w:hint="eastAsia"/>
          <w:b/>
          <w:color w:val="FF0000"/>
          <w:sz w:val="20"/>
          <w:szCs w:val="20"/>
          <w:highlight w:val="yellow"/>
          <w:bdr w:val="single" w:sz="4" w:space="0" w:color="auto"/>
        </w:rPr>
        <w:t>2</w:t>
      </w:r>
      <w:r w:rsidR="00643A7E">
        <w:rPr>
          <w:rFonts w:ascii="Times New Roman" w:hAnsi="Times New Roman" w:hint="eastAsia"/>
          <w:b/>
          <w:color w:val="FF0000"/>
          <w:sz w:val="20"/>
          <w:szCs w:val="20"/>
          <w:highlight w:val="yellow"/>
          <w:bdr w:val="single" w:sz="4" w:space="0" w:color="auto"/>
        </w:rPr>
        <w:t>、辨</w:t>
      </w:r>
      <w:r w:rsidRPr="004E6FE7">
        <w:rPr>
          <w:rFonts w:ascii="Times New Roman" w:hAnsi="Times New Roman" w:hint="eastAsia"/>
          <w:b/>
          <w:color w:val="FF0000"/>
          <w:sz w:val="20"/>
          <w:szCs w:val="20"/>
          <w:highlight w:val="yellow"/>
          <w:bdr w:val="single" w:sz="4" w:space="0" w:color="auto"/>
        </w:rPr>
        <w:t>明</w:t>
      </w:r>
    </w:p>
    <w:p w:rsidR="000E633B" w:rsidRDefault="004E6FE7" w:rsidP="000E633B">
      <w:pPr>
        <w:ind w:leftChars="250" w:left="600"/>
        <w:jc w:val="both"/>
        <w:rPr>
          <w:rFonts w:ascii="Times New Roman" w:hAnsi="Times New Roman"/>
          <w:sz w:val="20"/>
          <w:szCs w:val="20"/>
        </w:rPr>
      </w:pPr>
      <w:r>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1</w:t>
      </w:r>
      <w:r>
        <w:rPr>
          <w:rFonts w:ascii="Times New Roman" w:hAnsi="Times New Roman" w:hint="eastAsia"/>
          <w:b/>
          <w:color w:val="FF0000"/>
          <w:sz w:val="20"/>
          <w:szCs w:val="20"/>
          <w:highlight w:val="yellow"/>
          <w:bdr w:val="single" w:sz="4" w:space="0" w:color="auto"/>
        </w:rPr>
        <w:t>）辨</w:t>
      </w:r>
      <w:r w:rsidRPr="00DA3BC7">
        <w:rPr>
          <w:rFonts w:ascii="Times New Roman" w:hAnsi="Times New Roman"/>
          <w:b/>
          <w:sz w:val="20"/>
          <w:szCs w:val="20"/>
          <w:bdr w:val="single" w:sz="4" w:space="0" w:color="auto"/>
        </w:rPr>
        <w:t>《十地經》</w:t>
      </w:r>
      <w:r>
        <w:rPr>
          <w:rFonts w:ascii="Times New Roman" w:hAnsi="Times New Roman" w:hint="eastAsia"/>
          <w:b/>
          <w:color w:val="FF0000"/>
          <w:sz w:val="20"/>
          <w:szCs w:val="20"/>
          <w:highlight w:val="yellow"/>
          <w:bdr w:val="single" w:sz="4" w:space="0" w:color="auto"/>
        </w:rPr>
        <w:t>之說</w:t>
      </w:r>
      <w:r w:rsidRPr="00DA3BC7">
        <w:rPr>
          <w:rFonts w:ascii="Times New Roman" w:hAnsi="Times New Roman" w:hint="eastAsia"/>
          <w:sz w:val="20"/>
          <w:szCs w:val="20"/>
        </w:rPr>
        <w:t>（</w:t>
      </w:r>
      <w:r w:rsidRPr="00DA3BC7">
        <w:rPr>
          <w:rFonts w:ascii="Times New Roman" w:hAnsi="Times New Roman" w:hint="eastAsia"/>
          <w:sz w:val="20"/>
          <w:szCs w:val="20"/>
        </w:rPr>
        <w:t>p.27</w:t>
      </w:r>
      <w:r w:rsidRPr="00DA3BC7">
        <w:rPr>
          <w:rFonts w:ascii="Times New Roman" w:hAnsi="Times New Roman" w:hint="eastAsia"/>
          <w:sz w:val="20"/>
          <w:szCs w:val="20"/>
        </w:rPr>
        <w:t>）</w:t>
      </w:r>
    </w:p>
    <w:p w:rsidR="000E633B" w:rsidRDefault="00C30BBB" w:rsidP="000E633B">
      <w:pPr>
        <w:ind w:leftChars="250" w:left="600"/>
        <w:jc w:val="both"/>
        <w:rPr>
          <w:rFonts w:ascii="Times New Roman" w:hAnsi="Times New Roman"/>
        </w:rPr>
      </w:pPr>
      <w:r w:rsidRPr="00DA3BC7">
        <w:rPr>
          <w:rFonts w:ascii="Times New Roman" w:hAnsi="Times New Roman"/>
        </w:rPr>
        <w:t>如《十地經》</w:t>
      </w:r>
      <w:r w:rsidRPr="00DA3BC7">
        <w:rPr>
          <w:rFonts w:ascii="Times New Roman" w:hAnsi="Times New Roman"/>
          <w:vertAlign w:val="superscript"/>
        </w:rPr>
        <w:footnoteReference w:id="198"/>
      </w:r>
      <w:r w:rsidRPr="00DA3BC7">
        <w:rPr>
          <w:rFonts w:ascii="Times New Roman" w:hAnsi="Times New Roman"/>
        </w:rPr>
        <w:t>第八地中說：菩薩證得無生法忍時，想要證涅槃了。佛告訴他說：「</w:t>
      </w:r>
      <w:r w:rsidRPr="00DA3BC7">
        <w:rPr>
          <w:rFonts w:ascii="Times New Roman" w:eastAsia="標楷體" w:hAnsi="Times New Roman"/>
        </w:rPr>
        <w:t>此諸</w:t>
      </w:r>
      <w:r w:rsidRPr="00DA3BC7">
        <w:rPr>
          <w:rFonts w:ascii="標楷體" w:eastAsia="標楷體" w:hAnsi="標楷體" w:hint="eastAsia"/>
        </w:rPr>
        <w:t>法</w:t>
      </w:r>
      <w:r w:rsidRPr="00DA3BC7">
        <w:rPr>
          <w:rFonts w:ascii="Times New Roman" w:eastAsia="標楷體" w:hAnsi="Times New Roman"/>
        </w:rPr>
        <w:t>法性，若佛出世，若不出世，常住不異。諸佛不以</w:t>
      </w:r>
      <w:r w:rsidRPr="00DA3BC7">
        <w:rPr>
          <w:rFonts w:ascii="Times New Roman" w:eastAsia="標楷體" w:hAnsi="Times New Roman"/>
        </w:rPr>
        <w:lastRenderedPageBreak/>
        <w:t>得此法故名為如來，一切二乘亦能得此無分別法</w:t>
      </w:r>
      <w:r w:rsidRPr="00DA3BC7">
        <w:rPr>
          <w:rFonts w:ascii="Times New Roman" w:hAnsi="Times New Roman"/>
        </w:rPr>
        <w:t>。」</w:t>
      </w:r>
    </w:p>
    <w:p w:rsidR="00C30BBB" w:rsidRPr="00DA3BC7" w:rsidRDefault="00C30BBB" w:rsidP="000E633B">
      <w:pPr>
        <w:ind w:leftChars="250" w:left="600"/>
        <w:jc w:val="both"/>
        <w:rPr>
          <w:rFonts w:ascii="Times New Roman" w:hAnsi="Times New Roman"/>
        </w:rPr>
      </w:pPr>
      <w:r w:rsidRPr="00DA3BC7">
        <w:rPr>
          <w:rFonts w:ascii="Times New Roman" w:hAnsi="Times New Roman"/>
        </w:rPr>
        <w:t>無生法，是三乘所共證的，諸佛並不以得此法而名為如來，即說明了大乘沒有把它看作「完成了」，還要更進一步，從大悲大願中去廣行利他。</w:t>
      </w:r>
    </w:p>
    <w:p w:rsidR="00C30BBB" w:rsidRPr="00DA3BC7" w:rsidRDefault="00C30BBB" w:rsidP="00AE3920">
      <w:pPr>
        <w:spacing w:beforeLines="30"/>
        <w:ind w:leftChars="250" w:left="600"/>
        <w:jc w:val="both"/>
        <w:rPr>
          <w:rFonts w:ascii="Times New Roman" w:hAnsi="Times New Roman"/>
          <w:b/>
          <w:sz w:val="20"/>
          <w:szCs w:val="20"/>
          <w:bdr w:val="single" w:sz="4" w:space="0" w:color="auto"/>
        </w:rPr>
      </w:pPr>
      <w:r w:rsidRPr="00EF31A0">
        <w:rPr>
          <w:rFonts w:ascii="Times New Roman" w:hAnsi="Times New Roman" w:hint="eastAsia"/>
          <w:b/>
          <w:color w:val="FF0000"/>
          <w:sz w:val="20"/>
          <w:szCs w:val="20"/>
          <w:highlight w:val="yellow"/>
          <w:bdr w:val="single" w:sz="4" w:space="0" w:color="auto"/>
        </w:rPr>
        <w:t>（</w:t>
      </w:r>
      <w:r w:rsidR="004E6FE7" w:rsidRPr="00EF31A0">
        <w:rPr>
          <w:rFonts w:ascii="Times New Roman" w:hAnsi="Times New Roman" w:hint="eastAsia"/>
          <w:b/>
          <w:color w:val="FF0000"/>
          <w:sz w:val="20"/>
          <w:szCs w:val="20"/>
          <w:highlight w:val="yellow"/>
          <w:bdr w:val="single" w:sz="4" w:space="0" w:color="auto"/>
        </w:rPr>
        <w:t>2</w:t>
      </w:r>
      <w:r w:rsidRPr="00EF31A0">
        <w:rPr>
          <w:rFonts w:ascii="Times New Roman" w:hAnsi="Times New Roman" w:hint="eastAsia"/>
          <w:b/>
          <w:color w:val="FF0000"/>
          <w:sz w:val="20"/>
          <w:szCs w:val="20"/>
          <w:highlight w:val="yellow"/>
          <w:bdr w:val="single" w:sz="4" w:space="0" w:color="auto"/>
        </w:rPr>
        <w:t>）</w:t>
      </w:r>
      <w:r w:rsidR="004E6FE7">
        <w:rPr>
          <w:rFonts w:ascii="Times New Roman" w:hAnsi="Times New Roman" w:hint="eastAsia"/>
          <w:b/>
          <w:color w:val="FF0000"/>
          <w:sz w:val="20"/>
          <w:szCs w:val="20"/>
          <w:highlight w:val="yellow"/>
          <w:bdr w:val="single" w:sz="4" w:space="0" w:color="auto"/>
        </w:rPr>
        <w:t>辨</w:t>
      </w:r>
      <w:r w:rsidRPr="00DA3BC7">
        <w:rPr>
          <w:rFonts w:ascii="Times New Roman" w:hAnsi="Times New Roman"/>
          <w:b/>
          <w:sz w:val="20"/>
          <w:szCs w:val="20"/>
          <w:bdr w:val="single" w:sz="4" w:space="0" w:color="auto"/>
        </w:rPr>
        <w:t>《大智度論》</w:t>
      </w:r>
      <w:r w:rsidR="004E6FE7">
        <w:rPr>
          <w:rFonts w:ascii="Times New Roman" w:hAnsi="Times New Roman" w:hint="eastAsia"/>
          <w:b/>
          <w:color w:val="FF0000"/>
          <w:sz w:val="20"/>
          <w:szCs w:val="20"/>
          <w:highlight w:val="yellow"/>
          <w:bdr w:val="single" w:sz="4" w:space="0" w:color="auto"/>
        </w:rPr>
        <w:t>之說</w:t>
      </w:r>
      <w:r w:rsidRPr="00DA3BC7">
        <w:rPr>
          <w:rFonts w:ascii="Times New Roman" w:hAnsi="Times New Roman" w:hint="eastAsia"/>
          <w:sz w:val="20"/>
          <w:szCs w:val="20"/>
        </w:rPr>
        <w:t>（</w:t>
      </w:r>
      <w:r w:rsidRPr="00DA3BC7">
        <w:rPr>
          <w:rFonts w:ascii="Times New Roman" w:hAnsi="Times New Roman"/>
          <w:sz w:val="20"/>
          <w:szCs w:val="20"/>
        </w:rPr>
        <w:t>pp.27-28</w:t>
      </w:r>
      <w:r w:rsidRPr="00DA3BC7">
        <w:rPr>
          <w:rFonts w:ascii="Times New Roman" w:hAnsi="Times New Roman" w:hint="eastAsia"/>
          <w:sz w:val="20"/>
          <w:szCs w:val="20"/>
        </w:rPr>
        <w:t>）</w:t>
      </w:r>
    </w:p>
    <w:p w:rsidR="001968AB" w:rsidRPr="00DA3BC7" w:rsidRDefault="00C30BBB" w:rsidP="000E633B">
      <w:pPr>
        <w:ind w:leftChars="250" w:left="600"/>
        <w:jc w:val="both"/>
        <w:rPr>
          <w:rFonts w:ascii="Times New Roman" w:hAnsi="Times New Roman"/>
          <w:spacing w:val="-4"/>
        </w:rPr>
      </w:pPr>
      <w:r w:rsidRPr="00DA3BC7">
        <w:rPr>
          <w:rFonts w:ascii="Times New Roman" w:hAnsi="Times New Roman" w:hint="eastAsia"/>
          <w:spacing w:val="-4"/>
        </w:rPr>
        <w:t>關於這點，</w:t>
      </w:r>
      <w:r w:rsidRPr="00DA3BC7">
        <w:rPr>
          <w:rFonts w:ascii="Times New Roman" w:hAnsi="Times New Roman"/>
          <w:spacing w:val="-4"/>
        </w:rPr>
        <w:t>《大智度論》卷</w:t>
      </w:r>
      <w:r w:rsidRPr="00DA3BC7">
        <w:rPr>
          <w:rFonts w:ascii="Times New Roman" w:hAnsi="Times New Roman"/>
          <w:spacing w:val="-4"/>
        </w:rPr>
        <w:t>75</w:t>
      </w:r>
      <w:r w:rsidRPr="00DA3BC7">
        <w:rPr>
          <w:rFonts w:ascii="Times New Roman" w:hAnsi="Times New Roman"/>
          <w:spacing w:val="-4"/>
        </w:rPr>
        <w:t>說：「</w:t>
      </w:r>
      <w:r w:rsidRPr="00DA3BC7">
        <w:rPr>
          <w:rFonts w:ascii="Times New Roman" w:eastAsia="標楷體" w:hAnsi="Times New Roman"/>
          <w:spacing w:val="-4"/>
        </w:rPr>
        <w:t>得無生</w:t>
      </w:r>
      <w:r w:rsidRPr="00DA3BC7">
        <w:rPr>
          <w:rFonts w:ascii="標楷體" w:eastAsia="標楷體" w:hAnsi="標楷體" w:hint="eastAsia"/>
          <w:spacing w:val="-4"/>
        </w:rPr>
        <w:t>法</w:t>
      </w:r>
      <w:r w:rsidRPr="00DA3BC7">
        <w:rPr>
          <w:rFonts w:ascii="Times New Roman" w:eastAsia="標楷體" w:hAnsi="Times New Roman"/>
          <w:spacing w:val="-4"/>
        </w:rPr>
        <w:t>忍、</w:t>
      </w:r>
      <w:r w:rsidRPr="00DA3BC7">
        <w:rPr>
          <w:rFonts w:ascii="標楷體" w:eastAsia="標楷體" w:hAnsi="標楷體" w:hint="eastAsia"/>
          <w:spacing w:val="-4"/>
        </w:rPr>
        <w:t>授</w:t>
      </w:r>
      <w:r w:rsidRPr="00DA3BC7">
        <w:rPr>
          <w:rFonts w:ascii="Times New Roman" w:eastAsia="標楷體" w:hAnsi="Times New Roman"/>
          <w:spacing w:val="-4"/>
        </w:rPr>
        <w:t>記，更無餘事，唯行淨佛世界</w:t>
      </w:r>
      <w:r w:rsidRPr="00DA3BC7">
        <w:rPr>
          <w:rFonts w:ascii="新細明體" w:hAnsi="新細明體" w:hint="eastAsia"/>
          <w:spacing w:val="-4"/>
        </w:rPr>
        <w:t>、</w:t>
      </w:r>
      <w:r w:rsidRPr="00DA3BC7">
        <w:rPr>
          <w:rFonts w:ascii="Times New Roman" w:eastAsia="標楷體" w:hAnsi="Times New Roman"/>
          <w:spacing w:val="-4"/>
        </w:rPr>
        <w:t>成就眾生</w:t>
      </w:r>
      <w:r w:rsidRPr="00DA3BC7">
        <w:rPr>
          <w:rFonts w:ascii="Times New Roman" w:hAnsi="Times New Roman" w:hint="eastAsia"/>
          <w:spacing w:val="-4"/>
        </w:rPr>
        <w:t>。</w:t>
      </w:r>
      <w:r w:rsidRPr="00DA3BC7">
        <w:rPr>
          <w:rFonts w:ascii="Times New Roman" w:hAnsi="Times New Roman"/>
          <w:spacing w:val="-4"/>
        </w:rPr>
        <w:t>」</w:t>
      </w:r>
      <w:r w:rsidRPr="00DA3BC7">
        <w:rPr>
          <w:rFonts w:ascii="Times New Roman" w:hAnsi="Times New Roman"/>
          <w:spacing w:val="-4"/>
          <w:vertAlign w:val="superscript"/>
        </w:rPr>
        <w:footnoteReference w:id="199"/>
      </w:r>
      <w:r w:rsidRPr="00DA3BC7">
        <w:rPr>
          <w:rFonts w:ascii="Times New Roman" w:hAnsi="Times New Roman"/>
          <w:spacing w:val="-4"/>
        </w:rPr>
        <w:t>依於此義，故卷</w:t>
      </w:r>
      <w:r w:rsidRPr="00DA3BC7">
        <w:rPr>
          <w:rFonts w:ascii="Times New Roman" w:hAnsi="Times New Roman"/>
          <w:spacing w:val="-4"/>
        </w:rPr>
        <w:t>5</w:t>
      </w:r>
      <w:r w:rsidRPr="00DA3BC7">
        <w:rPr>
          <w:rFonts w:ascii="Times New Roman" w:hAnsi="Times New Roman"/>
          <w:spacing w:val="-4"/>
        </w:rPr>
        <w:t>說：「</w:t>
      </w:r>
      <w:r w:rsidRPr="00DA3BC7">
        <w:rPr>
          <w:rFonts w:ascii="Times New Roman" w:eastAsia="標楷體" w:hAnsi="Times New Roman"/>
          <w:spacing w:val="-4"/>
        </w:rPr>
        <w:t>無生忍是助佛道</w:t>
      </w:r>
      <w:r w:rsidRPr="00DA3BC7">
        <w:rPr>
          <w:rFonts w:ascii="標楷體" w:eastAsia="標楷體" w:hAnsi="標楷體" w:hint="eastAsia"/>
          <w:spacing w:val="-4"/>
        </w:rPr>
        <w:t>初</w:t>
      </w:r>
      <w:r w:rsidRPr="00DA3BC7">
        <w:rPr>
          <w:rFonts w:ascii="Times New Roman" w:eastAsia="標楷體" w:hAnsi="Times New Roman"/>
          <w:spacing w:val="-4"/>
        </w:rPr>
        <w:t>門</w:t>
      </w:r>
      <w:r w:rsidRPr="00DA3BC7">
        <w:rPr>
          <w:rFonts w:ascii="Times New Roman" w:hAnsi="Times New Roman" w:hint="eastAsia"/>
          <w:spacing w:val="-4"/>
        </w:rPr>
        <w:t>。</w:t>
      </w:r>
      <w:r w:rsidRPr="00DA3BC7">
        <w:rPr>
          <w:rFonts w:ascii="Times New Roman" w:hAnsi="Times New Roman"/>
          <w:spacing w:val="-4"/>
        </w:rPr>
        <w:t>」</w:t>
      </w:r>
      <w:r w:rsidRPr="00DA3BC7">
        <w:rPr>
          <w:rFonts w:ascii="Times New Roman" w:hAnsi="Times New Roman"/>
          <w:spacing w:val="-4"/>
          <w:vertAlign w:val="superscript"/>
        </w:rPr>
        <w:footnoteReference w:id="200"/>
      </w:r>
    </w:p>
    <w:p w:rsidR="00C30BBB" w:rsidRPr="00DA3BC7" w:rsidRDefault="004E6FE7" w:rsidP="00AE3920">
      <w:pPr>
        <w:spacing w:beforeLines="30"/>
        <w:ind w:leftChars="100" w:left="240"/>
        <w:jc w:val="both"/>
        <w:rPr>
          <w:rFonts w:ascii="Times New Roman" w:hAnsi="Times New Roman"/>
          <w:b/>
          <w:sz w:val="20"/>
          <w:szCs w:val="20"/>
          <w:bdr w:val="single" w:sz="4" w:space="0" w:color="auto"/>
        </w:rPr>
      </w:pPr>
      <w:r w:rsidRPr="004E6FE7">
        <w:rPr>
          <w:rFonts w:ascii="Times New Roman" w:hAnsi="Times New Roman" w:hint="eastAsia"/>
          <w:b/>
          <w:color w:val="FF0000"/>
          <w:sz w:val="20"/>
          <w:szCs w:val="20"/>
          <w:highlight w:val="yellow"/>
          <w:bdr w:val="single" w:sz="4" w:space="0" w:color="auto"/>
        </w:rPr>
        <w:t>三、</w:t>
      </w:r>
      <w:r w:rsidR="00C30BBB" w:rsidRPr="00DA3BC7">
        <w:rPr>
          <w:rFonts w:ascii="Times New Roman" w:hAnsi="Times New Roman" w:hint="eastAsia"/>
          <w:b/>
          <w:sz w:val="20"/>
          <w:szCs w:val="20"/>
          <w:bdr w:val="single" w:sz="4" w:space="0" w:color="auto"/>
        </w:rPr>
        <w:t>結</w:t>
      </w:r>
      <w:r w:rsidRPr="004E6FE7">
        <w:rPr>
          <w:rFonts w:ascii="Times New Roman" w:hAnsi="Times New Roman" w:hint="eastAsia"/>
          <w:b/>
          <w:color w:val="FF0000"/>
          <w:sz w:val="20"/>
          <w:szCs w:val="20"/>
          <w:highlight w:val="yellow"/>
          <w:bdr w:val="single" w:sz="4" w:space="0" w:color="auto"/>
        </w:rPr>
        <w:t>成</w:t>
      </w:r>
      <w:r w:rsidR="00C30BBB" w:rsidRPr="00DA3BC7">
        <w:rPr>
          <w:rFonts w:ascii="Times New Roman" w:hAnsi="Times New Roman" w:hint="eastAsia"/>
          <w:sz w:val="20"/>
          <w:szCs w:val="20"/>
        </w:rPr>
        <w:t>（</w:t>
      </w:r>
      <w:r w:rsidR="00C30BBB" w:rsidRPr="00DA3BC7">
        <w:rPr>
          <w:rFonts w:ascii="Times New Roman" w:hAnsi="Times New Roman" w:hint="eastAsia"/>
          <w:sz w:val="20"/>
          <w:szCs w:val="20"/>
        </w:rPr>
        <w:t>p.28</w:t>
      </w:r>
      <w:r w:rsidR="00C30BBB" w:rsidRPr="00DA3BC7">
        <w:rPr>
          <w:rFonts w:ascii="Times New Roman" w:hAnsi="Times New Roman" w:hint="eastAsia"/>
          <w:sz w:val="20"/>
          <w:szCs w:val="20"/>
        </w:rPr>
        <w:t>）</w:t>
      </w:r>
    </w:p>
    <w:p w:rsidR="00C30BBB" w:rsidRPr="00DA3BC7" w:rsidRDefault="00C30BBB" w:rsidP="000E633B">
      <w:pPr>
        <w:ind w:leftChars="100" w:left="240"/>
        <w:jc w:val="both"/>
        <w:rPr>
          <w:rFonts w:ascii="Times New Roman" w:hAnsi="Times New Roman"/>
        </w:rPr>
      </w:pPr>
      <w:r w:rsidRPr="00DA3BC7">
        <w:rPr>
          <w:rFonts w:ascii="Times New Roman" w:hAnsi="Times New Roman" w:hint="eastAsia"/>
        </w:rPr>
        <w:t>這</w:t>
      </w:r>
      <w:r w:rsidRPr="00DA3BC7">
        <w:rPr>
          <w:rFonts w:ascii="Times New Roman" w:hAnsi="Times New Roman"/>
        </w:rPr>
        <w:t>可見大乘在正覺解脫的</w:t>
      </w:r>
      <w:r w:rsidRPr="00DA3BC7">
        <w:rPr>
          <w:rFonts w:ascii="新細明體" w:hAnsi="新細明體"/>
        </w:rPr>
        <w:t>──</w:t>
      </w:r>
      <w:r w:rsidRPr="00DA3BC7">
        <w:rPr>
          <w:rFonts w:ascii="Times New Roman" w:hAnsi="Times New Roman"/>
          <w:b/>
        </w:rPr>
        <w:t>自利</w:t>
      </w:r>
      <w:r w:rsidRPr="00DA3BC7">
        <w:rPr>
          <w:rFonts w:ascii="Times New Roman" w:hAnsi="Times New Roman" w:hint="eastAsia"/>
        </w:rPr>
        <w:t>的</w:t>
      </w:r>
      <w:r w:rsidRPr="00DA3BC7">
        <w:rPr>
          <w:rFonts w:ascii="Times New Roman" w:hAnsi="Times New Roman"/>
        </w:rPr>
        <w:t>立場，</w:t>
      </w:r>
      <w:r w:rsidRPr="00DA3BC7">
        <w:rPr>
          <w:rFonts w:ascii="Times New Roman" w:hAnsi="Times New Roman" w:hint="eastAsia"/>
        </w:rPr>
        <w:t>並</w:t>
      </w:r>
      <w:r w:rsidRPr="00DA3BC7">
        <w:rPr>
          <w:rFonts w:ascii="Times New Roman" w:hAnsi="Times New Roman"/>
        </w:rPr>
        <w:t>不與聲聞乘不同。</w:t>
      </w:r>
    </w:p>
    <w:p w:rsidR="00C30BBB" w:rsidRPr="00DA3BC7" w:rsidRDefault="00C30BBB" w:rsidP="00AE3920">
      <w:pPr>
        <w:spacing w:beforeLines="20"/>
        <w:ind w:leftChars="100" w:left="240"/>
        <w:jc w:val="both"/>
        <w:rPr>
          <w:rFonts w:ascii="Times New Roman" w:hAnsi="Times New Roman"/>
        </w:rPr>
      </w:pPr>
      <w:r w:rsidRPr="00DA3BC7">
        <w:rPr>
          <w:rFonts w:ascii="Times New Roman" w:hAnsi="Times New Roman"/>
        </w:rPr>
        <w:t>不過一般聲聞行者自利心切，到此即以為一切圓滿了，不能更精進的起而利他，所以大乘經中多責斥他。</w:t>
      </w:r>
    </w:p>
    <w:p w:rsidR="00E84A31" w:rsidRPr="00DA3BC7" w:rsidRDefault="00C30BBB" w:rsidP="00AE3920">
      <w:pPr>
        <w:spacing w:beforeLines="20"/>
        <w:ind w:leftChars="100" w:left="240"/>
        <w:jc w:val="both"/>
        <w:rPr>
          <w:rFonts w:ascii="Times New Roman" w:hAnsi="Times New Roman"/>
        </w:rPr>
        <w:sectPr w:rsidR="00E84A31" w:rsidRPr="00DA3BC7" w:rsidSect="009914C0">
          <w:headerReference w:type="even" r:id="rId25"/>
          <w:headerReference w:type="default" r:id="rId26"/>
          <w:footnotePr>
            <w:numRestart w:val="eachSect"/>
          </w:footnotePr>
          <w:pgSz w:w="10773" w:h="14742" w:code="9"/>
          <w:pgMar w:top="1418" w:right="1418" w:bottom="1418" w:left="1418" w:header="851" w:footer="992" w:gutter="0"/>
          <w:cols w:space="425"/>
          <w:docGrid w:type="lines" w:linePitch="360"/>
        </w:sectPr>
      </w:pPr>
      <w:r w:rsidRPr="00DA3BC7">
        <w:rPr>
          <w:rFonts w:ascii="Times New Roman" w:hAnsi="Times New Roman"/>
        </w:rPr>
        <w:t>大乘是依此聲聞極果的正覺境界</w:t>
      </w:r>
      <w:r w:rsidRPr="00DA3BC7">
        <w:rPr>
          <w:rFonts w:ascii="新細明體" w:hAnsi="新細明體"/>
        </w:rPr>
        <w:t>──</w:t>
      </w:r>
      <w:r w:rsidRPr="00DA3BC7">
        <w:rPr>
          <w:rFonts w:ascii="Times New Roman" w:hAnsi="Times New Roman"/>
        </w:rPr>
        <w:t>涅槃，得無生法忍，不把</w:t>
      </w:r>
      <w:r w:rsidRPr="00DA3BC7">
        <w:rPr>
          <w:rFonts w:ascii="Times New Roman" w:hAnsi="Times New Roman" w:hint="eastAsia"/>
        </w:rPr>
        <w:t>它</w:t>
      </w:r>
      <w:r w:rsidRPr="00DA3BC7">
        <w:rPr>
          <w:rFonts w:ascii="Times New Roman" w:hAnsi="Times New Roman"/>
        </w:rPr>
        <w:t>看作完成，進而開拓出普度眾生的無盡的大悲願行。</w:t>
      </w:r>
    </w:p>
    <w:p w:rsidR="001968AB" w:rsidRPr="00DA3BC7" w:rsidRDefault="00E84A31" w:rsidP="008E2BBC">
      <w:pPr>
        <w:pStyle w:val="1"/>
      </w:pPr>
      <w:bookmarkStart w:id="50" w:name="_Toc405287336"/>
      <w:bookmarkStart w:id="51" w:name="_Toc405287808"/>
      <w:bookmarkStart w:id="52" w:name="_Toc405499751"/>
      <w:r w:rsidRPr="00DA3BC7">
        <w:lastRenderedPageBreak/>
        <w:t>第三章、緣起之生滅與不生不滅</w:t>
      </w:r>
      <w:bookmarkEnd w:id="50"/>
      <w:bookmarkEnd w:id="51"/>
      <w:bookmarkEnd w:id="52"/>
    </w:p>
    <w:p w:rsidR="00E84A31" w:rsidRPr="00DA3BC7" w:rsidRDefault="00E84A31" w:rsidP="008E2BBC">
      <w:pPr>
        <w:pStyle w:val="2"/>
      </w:pPr>
      <w:bookmarkStart w:id="53" w:name="_Toc405499752"/>
      <w:r w:rsidRPr="00DA3BC7">
        <w:t>第二節</w:t>
      </w:r>
      <w:r w:rsidRPr="00DA3BC7">
        <w:rPr>
          <w:rFonts w:hint="eastAsia"/>
        </w:rPr>
        <w:t>、聲聞常道與大乘深論</w:t>
      </w:r>
      <w:bookmarkEnd w:id="53"/>
    </w:p>
    <w:p w:rsidR="00E84A31" w:rsidRPr="00DA3BC7" w:rsidRDefault="00E84A31" w:rsidP="008E2BBC">
      <w:pPr>
        <w:jc w:val="center"/>
        <w:rPr>
          <w:rFonts w:ascii="Times New Roman" w:eastAsia="標楷體" w:hAnsi="Times New Roman"/>
        </w:rPr>
      </w:pPr>
      <w:r w:rsidRPr="00DA3BC7">
        <w:rPr>
          <w:rFonts w:ascii="Times New Roman" w:eastAsia="標楷體" w:hAnsi="Times New Roman"/>
        </w:rPr>
        <w:t>（</w:t>
      </w:r>
      <w:r w:rsidRPr="00DA3BC7">
        <w:rPr>
          <w:rFonts w:ascii="Times New Roman" w:eastAsia="標楷體" w:hAnsi="Times New Roman"/>
        </w:rPr>
        <w:t>pp.28-34</w:t>
      </w:r>
      <w:r w:rsidRPr="00DA3BC7">
        <w:rPr>
          <w:rFonts w:ascii="Times New Roman" w:eastAsia="標楷體" w:hAnsi="Times New Roman"/>
        </w:rPr>
        <w:t>）</w:t>
      </w:r>
    </w:p>
    <w:p w:rsidR="00E84A31" w:rsidRPr="00DA3BC7" w:rsidRDefault="00E84A31" w:rsidP="008E2BBC">
      <w:pPr>
        <w:pStyle w:val="Author"/>
      </w:pPr>
    </w:p>
    <w:p w:rsidR="00E84A31" w:rsidRDefault="00E84A31" w:rsidP="00AE3920">
      <w:pPr>
        <w:spacing w:beforeLines="50"/>
        <w:jc w:val="both"/>
        <w:rPr>
          <w:rFonts w:ascii="Times New Roman" w:hAnsi="Times New Roman"/>
          <w:sz w:val="20"/>
          <w:szCs w:val="20"/>
        </w:rPr>
      </w:pPr>
      <w:r w:rsidRPr="00DA3BC7">
        <w:rPr>
          <w:rFonts w:ascii="Times New Roman" w:hAnsi="Times New Roman" w:hint="eastAsia"/>
          <w:b/>
          <w:sz w:val="20"/>
          <w:szCs w:val="26"/>
          <w:bdr w:val="single" w:sz="4" w:space="0" w:color="auto"/>
        </w:rPr>
        <w:t>壹</w:t>
      </w:r>
      <w:r w:rsidRPr="00DA3BC7">
        <w:rPr>
          <w:rFonts w:ascii="Times New Roman" w:hAnsi="Times New Roman"/>
          <w:b/>
          <w:sz w:val="20"/>
          <w:szCs w:val="26"/>
          <w:bdr w:val="single" w:sz="4" w:space="0" w:color="auto"/>
        </w:rPr>
        <w:t>、</w:t>
      </w:r>
      <w:r w:rsidR="001E0CB3">
        <w:rPr>
          <w:rFonts w:ascii="Times New Roman" w:hAnsi="Times New Roman" w:cs="Times Ext Roman" w:hint="eastAsia"/>
          <w:b/>
          <w:color w:val="FF0000"/>
          <w:sz w:val="20"/>
          <w:highlight w:val="yellow"/>
          <w:bdr w:val="single" w:sz="4" w:space="0" w:color="auto"/>
        </w:rPr>
        <w:t>要說</w:t>
      </w:r>
      <w:r w:rsidR="00D47170" w:rsidRPr="00DA3BC7">
        <w:rPr>
          <w:rFonts w:ascii="Times New Roman" w:hAnsi="Times New Roman" w:hint="eastAsia"/>
          <w:sz w:val="20"/>
          <w:szCs w:val="20"/>
        </w:rPr>
        <w:t>（</w:t>
      </w:r>
      <w:r w:rsidR="00D47170" w:rsidRPr="00DA3BC7">
        <w:rPr>
          <w:rFonts w:ascii="Times New Roman" w:hAnsi="Times New Roman"/>
          <w:sz w:val="20"/>
          <w:szCs w:val="20"/>
        </w:rPr>
        <w:t>pp.28-29</w:t>
      </w:r>
      <w:r w:rsidR="00D47170" w:rsidRPr="00DA3BC7">
        <w:rPr>
          <w:rFonts w:ascii="Times New Roman" w:hAnsi="Times New Roman" w:hint="eastAsia"/>
          <w:sz w:val="20"/>
          <w:szCs w:val="20"/>
        </w:rPr>
        <w:t>）</w:t>
      </w:r>
    </w:p>
    <w:p w:rsidR="000E633B" w:rsidRDefault="001E0CB3" w:rsidP="000E633B">
      <w:pPr>
        <w:ind w:leftChars="50" w:left="120"/>
        <w:jc w:val="both"/>
        <w:rPr>
          <w:rFonts w:ascii="Times New Roman" w:hAnsi="Times New Roman" w:cs="Times Ext Roman"/>
          <w:b/>
          <w:color w:val="FF0000"/>
          <w:sz w:val="20"/>
          <w:bdr w:val="single" w:sz="4" w:space="0" w:color="auto"/>
        </w:rPr>
      </w:pPr>
      <w:r w:rsidRPr="001E0CB3">
        <w:rPr>
          <w:rFonts w:ascii="Times New Roman" w:hAnsi="Times New Roman" w:cs="Times Ext Roman" w:hint="eastAsia"/>
          <w:b/>
          <w:color w:val="FF0000"/>
          <w:sz w:val="20"/>
          <w:highlight w:val="yellow"/>
          <w:bdr w:val="single" w:sz="4" w:space="0" w:color="auto"/>
        </w:rPr>
        <w:t>（壹）聖典所傳的三法印說</w:t>
      </w:r>
      <w:r w:rsidR="00D47170" w:rsidRPr="00DA3BC7">
        <w:rPr>
          <w:rFonts w:ascii="Times New Roman" w:hAnsi="Times New Roman" w:hint="eastAsia"/>
          <w:sz w:val="20"/>
          <w:szCs w:val="20"/>
        </w:rPr>
        <w:t>（</w:t>
      </w:r>
      <w:r w:rsidR="00D47170" w:rsidRPr="00DA3BC7">
        <w:rPr>
          <w:rFonts w:ascii="Times New Roman" w:hAnsi="Times New Roman"/>
          <w:sz w:val="20"/>
          <w:szCs w:val="20"/>
        </w:rPr>
        <w:t>p.28</w:t>
      </w:r>
      <w:r w:rsidR="00D47170" w:rsidRPr="00DA3BC7">
        <w:rPr>
          <w:rFonts w:ascii="Times New Roman" w:hAnsi="Times New Roman" w:hint="eastAsia"/>
          <w:sz w:val="20"/>
          <w:szCs w:val="20"/>
        </w:rPr>
        <w:t>）</w:t>
      </w:r>
    </w:p>
    <w:p w:rsidR="00E84A31" w:rsidRPr="00DA3BC7" w:rsidRDefault="00E84A31" w:rsidP="000E633B">
      <w:pPr>
        <w:ind w:leftChars="50" w:left="120"/>
        <w:jc w:val="both"/>
        <w:rPr>
          <w:rFonts w:ascii="Times New Roman" w:hAnsi="Times New Roman"/>
        </w:rPr>
      </w:pPr>
      <w:r w:rsidRPr="00DA3BC7">
        <w:rPr>
          <w:rFonts w:ascii="Times New Roman" w:hAnsi="Times New Roman"/>
        </w:rPr>
        <w:t>正覺體悟的無為、不生，是三乘聖者所共證的，已如上述。</w:t>
      </w:r>
      <w:r w:rsidRPr="00DA3BC7">
        <w:rPr>
          <w:rStyle w:val="a6"/>
          <w:rFonts w:ascii="Times New Roman" w:hAnsi="Times New Roman"/>
        </w:rPr>
        <w:footnoteReference w:id="201"/>
      </w:r>
    </w:p>
    <w:p w:rsidR="001968AB" w:rsidRPr="00DA3BC7" w:rsidRDefault="00E84A31" w:rsidP="00AE3920">
      <w:pPr>
        <w:spacing w:beforeLines="20"/>
        <w:ind w:leftChars="50" w:left="120"/>
        <w:jc w:val="both"/>
        <w:rPr>
          <w:rFonts w:ascii="Times New Roman" w:hAnsi="Times New Roman"/>
        </w:rPr>
      </w:pPr>
      <w:r w:rsidRPr="00DA3BC7">
        <w:rPr>
          <w:rFonts w:ascii="Times New Roman" w:hAnsi="Times New Roman"/>
        </w:rPr>
        <w:t>為了教導聲聞弟子證得此無生法，</w:t>
      </w:r>
      <w:r w:rsidRPr="00DA3BC7">
        <w:rPr>
          <w:rFonts w:ascii="Times New Roman" w:hAnsi="Times New Roman" w:hint="eastAsia"/>
        </w:rPr>
        <w:t>依</w:t>
      </w:r>
      <w:r w:rsidRPr="00DA3BC7">
        <w:rPr>
          <w:rFonts w:ascii="Times New Roman" w:hAnsi="Times New Roman"/>
        </w:rPr>
        <w:t>《阿含經》所成立的教門說，主要是三法印：一、諸行無常，二、諸法無我，三、涅槃寂靜。此三者，印定</w:t>
      </w:r>
      <w:r w:rsidRPr="00DA3BC7">
        <w:rPr>
          <w:rStyle w:val="a6"/>
          <w:rFonts w:ascii="Times New Roman" w:hAnsi="Times New Roman"/>
        </w:rPr>
        <w:footnoteReference w:id="202"/>
      </w:r>
      <w:r w:rsidRPr="00DA3BC7">
        <w:rPr>
          <w:rFonts w:ascii="Times New Roman" w:hAnsi="Times New Roman"/>
        </w:rPr>
        <w:t>釋迦的出世法，開示世出世間的真理。此三者，是可以隨說一印，或次第說此三印的。</w:t>
      </w:r>
    </w:p>
    <w:p w:rsidR="001E0CB3" w:rsidRPr="001E0CB3" w:rsidRDefault="001E0CB3" w:rsidP="00AE3920">
      <w:pPr>
        <w:spacing w:beforeLines="30"/>
        <w:ind w:leftChars="50" w:left="120"/>
        <w:jc w:val="both"/>
        <w:rPr>
          <w:rFonts w:ascii="Times New Roman" w:hAnsi="Times New Roman" w:cs="Times Ext Roman"/>
          <w:b/>
          <w:color w:val="FF0000"/>
          <w:sz w:val="20"/>
          <w:highlight w:val="yellow"/>
          <w:bdr w:val="single" w:sz="4" w:space="0" w:color="auto"/>
        </w:rPr>
      </w:pPr>
      <w:r w:rsidRPr="001E0CB3">
        <w:rPr>
          <w:rFonts w:ascii="Times New Roman" w:hAnsi="Times New Roman" w:cs="Times Ext Roman" w:hint="eastAsia"/>
          <w:b/>
          <w:color w:val="FF0000"/>
          <w:sz w:val="20"/>
          <w:highlight w:val="yellow"/>
          <w:bdr w:val="single" w:sz="4" w:space="0" w:color="auto"/>
        </w:rPr>
        <w:t>（</w:t>
      </w:r>
      <w:r>
        <w:rPr>
          <w:rFonts w:ascii="Times New Roman" w:hAnsi="Times New Roman" w:cs="Times Ext Roman" w:hint="eastAsia"/>
          <w:b/>
          <w:color w:val="FF0000"/>
          <w:sz w:val="20"/>
          <w:highlight w:val="yellow"/>
          <w:bdr w:val="single" w:sz="4" w:space="0" w:color="auto"/>
        </w:rPr>
        <w:t>貳</w:t>
      </w:r>
      <w:r w:rsidRPr="001E0CB3">
        <w:rPr>
          <w:rFonts w:ascii="Times New Roman" w:hAnsi="Times New Roman" w:cs="Times Ext Roman" w:hint="eastAsia"/>
          <w:b/>
          <w:color w:val="FF0000"/>
          <w:sz w:val="20"/>
          <w:highlight w:val="yellow"/>
          <w:bdr w:val="single" w:sz="4" w:space="0" w:color="auto"/>
        </w:rPr>
        <w:t>）</w:t>
      </w:r>
      <w:r>
        <w:rPr>
          <w:rFonts w:ascii="Times New Roman" w:hAnsi="Times New Roman" w:cs="Times Ext Roman" w:hint="eastAsia"/>
          <w:b/>
          <w:color w:val="FF0000"/>
          <w:sz w:val="20"/>
          <w:highlight w:val="yellow"/>
          <w:bdr w:val="single" w:sz="4" w:space="0" w:color="auto"/>
        </w:rPr>
        <w:t>聲聞法</w:t>
      </w:r>
      <w:r w:rsidRPr="001E0CB3">
        <w:rPr>
          <w:rFonts w:ascii="Times New Roman" w:hAnsi="Times New Roman" w:cs="Times Ext Roman" w:hint="eastAsia"/>
          <w:b/>
          <w:color w:val="FF0000"/>
          <w:sz w:val="20"/>
          <w:highlight w:val="yellow"/>
          <w:bdr w:val="single" w:sz="4" w:space="0" w:color="auto"/>
        </w:rPr>
        <w:t>的</w:t>
      </w:r>
      <w:r>
        <w:rPr>
          <w:rFonts w:ascii="Times New Roman" w:hAnsi="Times New Roman" w:cs="Times Ext Roman" w:hint="eastAsia"/>
          <w:b/>
          <w:color w:val="FF0000"/>
          <w:sz w:val="20"/>
          <w:highlight w:val="yellow"/>
          <w:bdr w:val="single" w:sz="4" w:space="0" w:color="auto"/>
        </w:rPr>
        <w:t>常道──「次第</w:t>
      </w:r>
      <w:r w:rsidRPr="001E0CB3">
        <w:rPr>
          <w:rFonts w:ascii="Times New Roman" w:hAnsi="Times New Roman" w:cs="Times Ext Roman" w:hint="eastAsia"/>
          <w:b/>
          <w:color w:val="FF0000"/>
          <w:sz w:val="20"/>
          <w:highlight w:val="yellow"/>
          <w:bdr w:val="single" w:sz="4" w:space="0" w:color="auto"/>
        </w:rPr>
        <w:t>三法印</w:t>
      </w:r>
      <w:r>
        <w:rPr>
          <w:rFonts w:ascii="Times New Roman" w:hAnsi="Times New Roman" w:cs="Times Ext Roman" w:hint="eastAsia"/>
          <w:b/>
          <w:color w:val="FF0000"/>
          <w:sz w:val="20"/>
          <w:highlight w:val="yellow"/>
          <w:bdr w:val="single" w:sz="4" w:space="0" w:color="auto"/>
        </w:rPr>
        <w:t>」</w:t>
      </w:r>
      <w:r w:rsidR="00D47170" w:rsidRPr="00DA3BC7">
        <w:rPr>
          <w:rFonts w:ascii="Times New Roman" w:hAnsi="Times New Roman" w:hint="eastAsia"/>
          <w:sz w:val="20"/>
          <w:szCs w:val="20"/>
        </w:rPr>
        <w:t>（</w:t>
      </w:r>
      <w:r w:rsidR="00D47170" w:rsidRPr="00DA3BC7">
        <w:rPr>
          <w:rFonts w:ascii="Times New Roman" w:hAnsi="Times New Roman"/>
          <w:sz w:val="20"/>
          <w:szCs w:val="20"/>
        </w:rPr>
        <w:t>p.28</w:t>
      </w:r>
      <w:r w:rsidR="00D47170" w:rsidRPr="00DA3BC7">
        <w:rPr>
          <w:rFonts w:ascii="Times New Roman" w:hAnsi="Times New Roman" w:hint="eastAsia"/>
          <w:sz w:val="20"/>
          <w:szCs w:val="20"/>
        </w:rPr>
        <w:t>）</w:t>
      </w:r>
    </w:p>
    <w:p w:rsidR="00E84A31" w:rsidRPr="00DA3BC7" w:rsidRDefault="00E84A31" w:rsidP="000E633B">
      <w:pPr>
        <w:ind w:leftChars="50" w:left="120"/>
        <w:jc w:val="both"/>
        <w:rPr>
          <w:rFonts w:ascii="Times New Roman" w:hAnsi="Times New Roman"/>
        </w:rPr>
      </w:pPr>
      <w:r w:rsidRPr="00DA3BC7">
        <w:rPr>
          <w:rFonts w:ascii="Times New Roman" w:hAnsi="Times New Roman"/>
        </w:rPr>
        <w:t>次第三法印，即是以明解因果事實的生滅為出發點，依此而通過諸法無我的實踐，到達正覺的涅槃。這如《雜阿含</w:t>
      </w:r>
      <w:r w:rsidRPr="00DA3BC7">
        <w:rPr>
          <w:rFonts w:ascii="Times New Roman" w:hAnsi="Times New Roman" w:hint="eastAsia"/>
        </w:rPr>
        <w:t>經</w:t>
      </w:r>
      <w:r w:rsidRPr="00DA3BC7">
        <w:rPr>
          <w:rFonts w:ascii="Times New Roman" w:hAnsi="Times New Roman"/>
        </w:rPr>
        <w:t>》（</w:t>
      </w:r>
      <w:r w:rsidRPr="00DA3BC7">
        <w:rPr>
          <w:rFonts w:ascii="Times New Roman" w:hAnsi="Times New Roman"/>
        </w:rPr>
        <w:t>270</w:t>
      </w:r>
      <w:r w:rsidRPr="00DA3BC7">
        <w:rPr>
          <w:rFonts w:ascii="Times New Roman" w:hAnsi="Times New Roman"/>
        </w:rPr>
        <w:t>經）說：「</w:t>
      </w:r>
      <w:r w:rsidRPr="00DA3BC7">
        <w:rPr>
          <w:rFonts w:ascii="Times New Roman" w:eastAsia="標楷體" w:hAnsi="Times New Roman"/>
        </w:rPr>
        <w:t>無常想者能建立無我想，聖弟子住無我想，心離我慢，順得涅槃</w:t>
      </w:r>
      <w:r w:rsidRPr="00DA3BC7">
        <w:rPr>
          <w:rFonts w:ascii="Times New Roman" w:hAnsi="Times New Roman"/>
        </w:rPr>
        <w:t>」</w:t>
      </w:r>
      <w:r w:rsidRPr="00DA3BC7">
        <w:rPr>
          <w:rStyle w:val="a6"/>
          <w:rFonts w:ascii="Times New Roman" w:hAnsi="Times New Roman"/>
        </w:rPr>
        <w:footnoteReference w:id="203"/>
      </w:r>
      <w:r w:rsidRPr="00DA3BC7">
        <w:rPr>
          <w:rFonts w:ascii="Times New Roman" w:hAnsi="Times New Roman"/>
        </w:rPr>
        <w:t>。三法印的次第悟入，可看為聲聞法的常道。</w:t>
      </w:r>
    </w:p>
    <w:p w:rsidR="001968AB" w:rsidRPr="00DA3BC7" w:rsidRDefault="001E0CB3" w:rsidP="00AE3920">
      <w:pPr>
        <w:spacing w:beforeLines="30"/>
        <w:ind w:leftChars="50" w:left="120"/>
        <w:jc w:val="both"/>
        <w:rPr>
          <w:rFonts w:ascii="Times New Roman" w:hAnsi="Times New Roman"/>
          <w:b/>
          <w:sz w:val="26"/>
          <w:szCs w:val="26"/>
        </w:rPr>
      </w:pPr>
      <w:r w:rsidRPr="001E0CB3">
        <w:rPr>
          <w:rFonts w:ascii="Times New Roman" w:hAnsi="Times New Roman" w:cs="Times Ext Roman" w:hint="eastAsia"/>
          <w:b/>
          <w:color w:val="FF0000"/>
          <w:sz w:val="20"/>
          <w:highlight w:val="yellow"/>
          <w:bdr w:val="single" w:sz="4" w:space="0" w:color="auto"/>
        </w:rPr>
        <w:t>（</w:t>
      </w:r>
      <w:r w:rsidRPr="001E0CB3">
        <w:rPr>
          <w:rFonts w:ascii="Times New Roman" w:hAnsi="Times New Roman" w:hint="eastAsia"/>
          <w:b/>
          <w:color w:val="FF0000"/>
          <w:sz w:val="20"/>
          <w:szCs w:val="26"/>
          <w:highlight w:val="yellow"/>
          <w:bdr w:val="single" w:sz="4" w:space="0" w:color="auto"/>
        </w:rPr>
        <w:t>參</w:t>
      </w:r>
      <w:r w:rsidRPr="001E0CB3">
        <w:rPr>
          <w:rFonts w:ascii="Times New Roman" w:hAnsi="Times New Roman" w:cs="Times Ext Roman" w:hint="eastAsia"/>
          <w:b/>
          <w:color w:val="FF0000"/>
          <w:sz w:val="20"/>
          <w:highlight w:val="yellow"/>
          <w:bdr w:val="single" w:sz="4" w:space="0" w:color="auto"/>
        </w:rPr>
        <w:t>）</w:t>
      </w:r>
      <w:r w:rsidR="00E84A31" w:rsidRPr="006D0171">
        <w:rPr>
          <w:rFonts w:ascii="Times New Roman" w:hAnsi="Times New Roman" w:cs="Times Ext Roman"/>
          <w:b/>
          <w:color w:val="FF0000"/>
          <w:sz w:val="20"/>
          <w:highlight w:val="yellow"/>
          <w:bdr w:val="single" w:sz="4" w:space="0" w:color="auto"/>
        </w:rPr>
        <w:t>大乘</w:t>
      </w:r>
      <w:r w:rsidRPr="006D0171">
        <w:rPr>
          <w:rFonts w:ascii="Times New Roman" w:hAnsi="Times New Roman" w:cs="Times Ext Roman" w:hint="eastAsia"/>
          <w:b/>
          <w:color w:val="FF0000"/>
          <w:sz w:val="20"/>
          <w:highlight w:val="yellow"/>
          <w:bdr w:val="single" w:sz="4" w:space="0" w:color="auto"/>
        </w:rPr>
        <w:t>法</w:t>
      </w:r>
      <w:r>
        <w:rPr>
          <w:rFonts w:ascii="Times New Roman" w:hAnsi="Times New Roman" w:hint="eastAsia"/>
          <w:b/>
          <w:color w:val="FF0000"/>
          <w:sz w:val="20"/>
          <w:szCs w:val="26"/>
          <w:highlight w:val="yellow"/>
          <w:bdr w:val="single" w:sz="4" w:space="0" w:color="auto"/>
        </w:rPr>
        <w:t>的特色</w:t>
      </w:r>
      <w:r>
        <w:rPr>
          <w:rFonts w:ascii="Times New Roman" w:hAnsi="Times New Roman" w:cs="Times Ext Roman" w:hint="eastAsia"/>
          <w:b/>
          <w:color w:val="FF0000"/>
          <w:sz w:val="20"/>
          <w:highlight w:val="yellow"/>
          <w:bdr w:val="single" w:sz="4" w:space="0" w:color="auto"/>
        </w:rPr>
        <w:t>──「一實相</w:t>
      </w:r>
      <w:r w:rsidRPr="001E0CB3">
        <w:rPr>
          <w:rFonts w:ascii="Times New Roman" w:hAnsi="Times New Roman" w:cs="Times Ext Roman" w:hint="eastAsia"/>
          <w:b/>
          <w:color w:val="FF0000"/>
          <w:sz w:val="20"/>
          <w:highlight w:val="yellow"/>
          <w:bdr w:val="single" w:sz="4" w:space="0" w:color="auto"/>
        </w:rPr>
        <w:t>印</w:t>
      </w:r>
      <w:r>
        <w:rPr>
          <w:rFonts w:ascii="Times New Roman" w:hAnsi="Times New Roman" w:cs="Times Ext Roman" w:hint="eastAsia"/>
          <w:b/>
          <w:color w:val="FF0000"/>
          <w:sz w:val="20"/>
          <w:highlight w:val="yellow"/>
          <w:bdr w:val="single" w:sz="4" w:space="0" w:color="auto"/>
        </w:rPr>
        <w:t>」</w:t>
      </w:r>
      <w:r w:rsidR="00E84A31" w:rsidRPr="00DA3BC7">
        <w:rPr>
          <w:rFonts w:ascii="Times New Roman" w:hAnsi="Times New Roman" w:hint="eastAsia"/>
          <w:sz w:val="20"/>
          <w:szCs w:val="20"/>
        </w:rPr>
        <w:t>（</w:t>
      </w:r>
      <w:r w:rsidR="00E84A31" w:rsidRPr="00DA3BC7">
        <w:rPr>
          <w:rFonts w:ascii="Times New Roman" w:hAnsi="Times New Roman"/>
          <w:sz w:val="20"/>
          <w:szCs w:val="20"/>
        </w:rPr>
        <w:t>pp.28-29</w:t>
      </w:r>
      <w:r w:rsidR="00E84A31" w:rsidRPr="00DA3BC7">
        <w:rPr>
          <w:rFonts w:ascii="Times New Roman" w:hAnsi="Times New Roman" w:hint="eastAsia"/>
          <w:sz w:val="20"/>
          <w:szCs w:val="20"/>
        </w:rPr>
        <w:t>）</w:t>
      </w:r>
    </w:p>
    <w:p w:rsidR="00E84A31" w:rsidRPr="00DA3BC7" w:rsidRDefault="001E0CB3" w:rsidP="000E633B">
      <w:pPr>
        <w:ind w:leftChars="100" w:left="240"/>
        <w:jc w:val="both"/>
        <w:rPr>
          <w:rFonts w:ascii="Times New Roman" w:hAnsi="Times New Roman"/>
          <w:b/>
          <w:sz w:val="20"/>
          <w:szCs w:val="20"/>
        </w:rPr>
      </w:pPr>
      <w:r w:rsidRPr="001E0CB3">
        <w:rPr>
          <w:rFonts w:ascii="Times New Roman" w:hAnsi="Times New Roman" w:hint="eastAsia"/>
          <w:b/>
          <w:color w:val="FF0000"/>
          <w:sz w:val="20"/>
          <w:szCs w:val="20"/>
          <w:highlight w:val="yellow"/>
          <w:bdr w:val="single" w:sz="4" w:space="0" w:color="auto"/>
        </w:rPr>
        <w:t>一、明宗</w:t>
      </w:r>
      <w:r w:rsidR="00E84A31" w:rsidRPr="00DA3BC7">
        <w:rPr>
          <w:rFonts w:ascii="Times New Roman" w:hAnsi="Times New Roman" w:hint="eastAsia"/>
          <w:sz w:val="20"/>
          <w:szCs w:val="20"/>
        </w:rPr>
        <w:t>（</w:t>
      </w:r>
      <w:r w:rsidR="00E84A31" w:rsidRPr="00DA3BC7">
        <w:rPr>
          <w:rFonts w:ascii="Times New Roman" w:hAnsi="Times New Roman"/>
          <w:sz w:val="20"/>
          <w:szCs w:val="20"/>
        </w:rPr>
        <w:t>pp.28-29</w:t>
      </w:r>
      <w:r w:rsidR="00E84A31" w:rsidRPr="00DA3BC7">
        <w:rPr>
          <w:rFonts w:ascii="Times New Roman" w:hAnsi="Times New Roman" w:hint="eastAsia"/>
          <w:sz w:val="20"/>
          <w:szCs w:val="20"/>
        </w:rPr>
        <w:t>）</w:t>
      </w:r>
    </w:p>
    <w:p w:rsidR="000E633B" w:rsidRDefault="00E84A31" w:rsidP="000E633B">
      <w:pPr>
        <w:ind w:leftChars="100" w:left="240"/>
        <w:jc w:val="both"/>
        <w:rPr>
          <w:rFonts w:ascii="Times New Roman" w:hAnsi="Times New Roman"/>
        </w:rPr>
      </w:pPr>
      <w:r w:rsidRPr="00DA3BC7">
        <w:rPr>
          <w:rFonts w:ascii="Times New Roman" w:hAnsi="Times New Roman"/>
        </w:rPr>
        <w:t>但大乘佛教，本是充滿利他悲願的佛教行者</w:t>
      </w:r>
      <w:r w:rsidRPr="00DA3BC7">
        <w:rPr>
          <w:rFonts w:ascii="Times New Roman" w:hAnsi="Times New Roman" w:hint="eastAsia"/>
        </w:rPr>
        <w:t>，</w:t>
      </w:r>
      <w:r w:rsidRPr="00DA3BC7">
        <w:rPr>
          <w:rFonts w:ascii="Times New Roman" w:hAnsi="Times New Roman"/>
        </w:rPr>
        <w:t>在深證無生的體悟中，闡發釋迦本懷而應運</w:t>
      </w:r>
      <w:r w:rsidRPr="00DA3BC7">
        <w:rPr>
          <w:rStyle w:val="a6"/>
          <w:rFonts w:ascii="Times New Roman" w:hAnsi="Times New Roman"/>
        </w:rPr>
        <w:footnoteReference w:id="204"/>
      </w:r>
      <w:r w:rsidRPr="00DA3BC7">
        <w:rPr>
          <w:rFonts w:ascii="Times New Roman" w:hAnsi="Times New Roman"/>
        </w:rPr>
        <w:t>光大的。在這無生的深悟中，以佛陀為模範，不以為「所作已辦」，而還要進一步的利他無盡。本著此無生無為的悟境去正觀一切，即窺見了釋迦立教的深義，因之與一般凡庸的聲聞學者不同。</w:t>
      </w:r>
    </w:p>
    <w:p w:rsidR="001E0CB3" w:rsidRDefault="00E84A31" w:rsidP="000E633B">
      <w:pPr>
        <w:ind w:leftChars="100" w:left="240"/>
        <w:jc w:val="both"/>
        <w:rPr>
          <w:rFonts w:ascii="Times New Roman" w:hAnsi="Times New Roman"/>
        </w:rPr>
      </w:pPr>
      <w:r w:rsidRPr="00DA3BC7">
        <w:rPr>
          <w:rFonts w:ascii="Times New Roman" w:hAnsi="Times New Roman"/>
        </w:rPr>
        <w:t>所以大乘佛教的特色，即「諸法本不生」，即是依緣起本來不生不滅為出發的。</w:t>
      </w:r>
    </w:p>
    <w:p w:rsidR="001E0CB3" w:rsidRDefault="001E0CB3" w:rsidP="00AE3920">
      <w:pPr>
        <w:spacing w:beforeLines="30"/>
        <w:ind w:leftChars="100" w:left="240"/>
        <w:jc w:val="both"/>
        <w:rPr>
          <w:rFonts w:ascii="Times New Roman" w:hAnsi="Times New Roman"/>
          <w:sz w:val="20"/>
          <w:szCs w:val="20"/>
        </w:rPr>
      </w:pPr>
      <w:r>
        <w:rPr>
          <w:rFonts w:ascii="Times New Roman" w:hAnsi="Times New Roman" w:hint="eastAsia"/>
          <w:b/>
          <w:color w:val="FF0000"/>
          <w:sz w:val="20"/>
          <w:szCs w:val="20"/>
          <w:highlight w:val="yellow"/>
          <w:bdr w:val="single" w:sz="4" w:space="0" w:color="auto"/>
        </w:rPr>
        <w:t>二</w:t>
      </w:r>
      <w:r w:rsidRPr="001E0CB3">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引證表顯</w:t>
      </w:r>
      <w:r w:rsidRPr="00DA3BC7">
        <w:rPr>
          <w:rFonts w:ascii="Times New Roman" w:hAnsi="Times New Roman" w:hint="eastAsia"/>
          <w:sz w:val="20"/>
          <w:szCs w:val="20"/>
        </w:rPr>
        <w:t>（</w:t>
      </w:r>
      <w:r w:rsidRPr="00DA3BC7">
        <w:rPr>
          <w:rFonts w:ascii="Times New Roman" w:hAnsi="Times New Roman"/>
          <w:sz w:val="20"/>
          <w:szCs w:val="20"/>
        </w:rPr>
        <w:t>p.29</w:t>
      </w:r>
      <w:r w:rsidRPr="00DA3BC7">
        <w:rPr>
          <w:rFonts w:ascii="Times New Roman" w:hAnsi="Times New Roman" w:hint="eastAsia"/>
          <w:sz w:val="20"/>
          <w:szCs w:val="20"/>
        </w:rPr>
        <w:t>）</w:t>
      </w:r>
    </w:p>
    <w:p w:rsidR="001968AB" w:rsidRPr="00DA3BC7" w:rsidRDefault="00E84A31" w:rsidP="000E633B">
      <w:pPr>
        <w:ind w:leftChars="100" w:left="240"/>
        <w:jc w:val="both"/>
        <w:rPr>
          <w:rFonts w:ascii="Times New Roman" w:hAnsi="Times New Roman"/>
        </w:rPr>
      </w:pPr>
      <w:r w:rsidRPr="00DA3BC7">
        <w:rPr>
          <w:rFonts w:ascii="Times New Roman" w:hAnsi="Times New Roman"/>
        </w:rPr>
        <w:t>《文殊師利淨律經》說：「</w:t>
      </w:r>
      <w:r w:rsidRPr="00DA3BC7">
        <w:rPr>
          <w:rFonts w:ascii="Times New Roman" w:eastAsia="標楷體" w:hAnsi="Times New Roman"/>
        </w:rPr>
        <w:t>彼土眾生了真諦義以為元首，不以緣</w:t>
      </w:r>
      <w:r w:rsidRPr="00DA3BC7">
        <w:rPr>
          <w:rFonts w:ascii="標楷體" w:eastAsia="標楷體" w:hAnsi="標楷體" w:hint="eastAsia"/>
        </w:rPr>
        <w:t>合</w:t>
      </w:r>
      <w:r w:rsidRPr="00DA3BC7">
        <w:rPr>
          <w:rFonts w:ascii="Times New Roman" w:eastAsia="標楷體" w:hAnsi="Times New Roman"/>
        </w:rPr>
        <w:t>為第一也</w:t>
      </w:r>
      <w:r w:rsidRPr="00DA3BC7">
        <w:rPr>
          <w:rFonts w:ascii="Times New Roman" w:hAnsi="Times New Roman"/>
        </w:rPr>
        <w:t>。」</w:t>
      </w:r>
      <w:r w:rsidRPr="00DA3BC7">
        <w:rPr>
          <w:rStyle w:val="a6"/>
          <w:rFonts w:ascii="Times New Roman" w:hAnsi="Times New Roman"/>
        </w:rPr>
        <w:lastRenderedPageBreak/>
        <w:footnoteReference w:id="205"/>
      </w:r>
    </w:p>
    <w:p w:rsidR="00E84A31" w:rsidRPr="00DA3BC7" w:rsidRDefault="00E84A31" w:rsidP="00AE3920">
      <w:pPr>
        <w:spacing w:beforeLines="20"/>
        <w:ind w:leftChars="100" w:left="240"/>
        <w:jc w:val="both"/>
        <w:rPr>
          <w:rFonts w:ascii="新細明體" w:hAnsi="新細明體"/>
        </w:rPr>
      </w:pPr>
      <w:r w:rsidRPr="00DA3BC7">
        <w:rPr>
          <w:rFonts w:ascii="Times New Roman" w:hAnsi="Times New Roman"/>
        </w:rPr>
        <w:t>這雖在說明彼土與此土的立教方式不同，實即說明了佛教的原有體系</w:t>
      </w:r>
      <w:r w:rsidRPr="00DA3BC7">
        <w:rPr>
          <w:rFonts w:ascii="新細明體" w:hAnsi="新細明體"/>
        </w:rPr>
        <w:t>──</w:t>
      </w:r>
    </w:p>
    <w:p w:rsidR="00E84A31" w:rsidRPr="00DA3BC7" w:rsidRDefault="00E84A31" w:rsidP="000E633B">
      <w:pPr>
        <w:ind w:leftChars="100" w:left="240"/>
        <w:jc w:val="both"/>
        <w:rPr>
          <w:rFonts w:ascii="Times New Roman" w:hAnsi="Times New Roman"/>
        </w:rPr>
      </w:pPr>
      <w:r w:rsidRPr="00DA3BC7">
        <w:rPr>
          <w:rFonts w:ascii="Times New Roman" w:hAnsi="Times New Roman"/>
        </w:rPr>
        <w:t>一般</w:t>
      </w:r>
      <w:r w:rsidRPr="00DA3BC7">
        <w:rPr>
          <w:rFonts w:ascii="Times New Roman" w:hAnsi="Times New Roman"/>
          <w:b/>
        </w:rPr>
        <w:t>聲聞學者</w:t>
      </w:r>
      <w:r w:rsidRPr="00DA3BC7">
        <w:rPr>
          <w:rFonts w:ascii="Times New Roman" w:hAnsi="Times New Roman"/>
        </w:rPr>
        <w:t>，是</w:t>
      </w:r>
      <w:r w:rsidRPr="00DA3BC7">
        <w:rPr>
          <w:rFonts w:ascii="Times New Roman" w:hAnsi="Times New Roman"/>
          <w:b/>
        </w:rPr>
        <w:t>以緣起因果生滅為出發</w:t>
      </w:r>
      <w:r w:rsidRPr="00DA3BC7">
        <w:rPr>
          <w:rFonts w:ascii="Times New Roman" w:hAnsi="Times New Roman"/>
        </w:rPr>
        <w:t>的；</w:t>
      </w:r>
    </w:p>
    <w:p w:rsidR="001968AB" w:rsidRPr="00DA3BC7" w:rsidRDefault="00E84A31" w:rsidP="000E633B">
      <w:pPr>
        <w:ind w:leftChars="100" w:left="240"/>
        <w:jc w:val="both"/>
        <w:rPr>
          <w:rFonts w:ascii="Times New Roman" w:hAnsi="Times New Roman"/>
          <w:sz w:val="16"/>
          <w:szCs w:val="16"/>
        </w:rPr>
      </w:pPr>
      <w:r w:rsidRPr="00DA3BC7">
        <w:rPr>
          <w:rFonts w:ascii="Times New Roman" w:hAnsi="Times New Roman"/>
        </w:rPr>
        <w:t>應運光大的</w:t>
      </w:r>
      <w:r w:rsidRPr="00DA3BC7">
        <w:rPr>
          <w:rFonts w:ascii="Times New Roman" w:hAnsi="Times New Roman"/>
          <w:b/>
        </w:rPr>
        <w:t>大乘學</w:t>
      </w:r>
      <w:r w:rsidRPr="00DA3BC7">
        <w:rPr>
          <w:rFonts w:ascii="Times New Roman" w:hAnsi="Times New Roman"/>
        </w:rPr>
        <w:t>，是</w:t>
      </w:r>
      <w:r w:rsidRPr="00DA3BC7">
        <w:rPr>
          <w:rFonts w:ascii="Times New Roman" w:hAnsi="Times New Roman"/>
          <w:b/>
        </w:rPr>
        <w:t>以本不生滅的寂滅無為（緣起性）為出發</w:t>
      </w:r>
      <w:r w:rsidRPr="00DA3BC7">
        <w:rPr>
          <w:rFonts w:ascii="Times New Roman" w:hAnsi="Times New Roman"/>
        </w:rPr>
        <w:t>的。</w:t>
      </w:r>
      <w:r w:rsidRPr="00DA3BC7">
        <w:rPr>
          <w:rStyle w:val="a6"/>
          <w:rFonts w:ascii="Times New Roman" w:hAnsi="Times New Roman"/>
          <w:szCs w:val="23"/>
        </w:rPr>
        <w:footnoteReference w:id="206"/>
      </w:r>
    </w:p>
    <w:p w:rsidR="001968AB" w:rsidRPr="00DA3BC7" w:rsidRDefault="00036D97" w:rsidP="00AE3920">
      <w:pPr>
        <w:spacing w:beforeLines="30"/>
        <w:jc w:val="both"/>
        <w:rPr>
          <w:rFonts w:ascii="Times New Roman" w:hAnsi="Times New Roman"/>
          <w:b/>
          <w:sz w:val="20"/>
          <w:szCs w:val="26"/>
        </w:rPr>
      </w:pPr>
      <w:r w:rsidRPr="00036D97">
        <w:rPr>
          <w:rFonts w:ascii="Times New Roman" w:hAnsi="Times New Roman" w:hint="eastAsia"/>
          <w:b/>
          <w:color w:val="FF0000"/>
          <w:sz w:val="20"/>
          <w:szCs w:val="26"/>
          <w:highlight w:val="yellow"/>
          <w:bdr w:val="single" w:sz="4" w:space="0" w:color="auto"/>
        </w:rPr>
        <w:t>貳</w:t>
      </w:r>
      <w:r w:rsidR="00E84A31" w:rsidRPr="00036D97">
        <w:rPr>
          <w:rFonts w:ascii="Times New Roman" w:hAnsi="Times New Roman"/>
          <w:b/>
          <w:color w:val="FF0000"/>
          <w:sz w:val="20"/>
          <w:szCs w:val="26"/>
          <w:highlight w:val="yellow"/>
          <w:bdr w:val="single" w:sz="4" w:space="0" w:color="auto"/>
        </w:rPr>
        <w:t>、</w:t>
      </w:r>
      <w:r w:rsidRPr="00036D97">
        <w:rPr>
          <w:rFonts w:ascii="Times New Roman" w:hAnsi="Times New Roman" w:hint="eastAsia"/>
          <w:b/>
          <w:color w:val="FF0000"/>
          <w:sz w:val="20"/>
          <w:szCs w:val="26"/>
          <w:highlight w:val="yellow"/>
          <w:bdr w:val="single" w:sz="4" w:space="0" w:color="auto"/>
        </w:rPr>
        <w:t>詳論</w:t>
      </w:r>
      <w:r w:rsidR="00E84A31" w:rsidRPr="00DA3BC7">
        <w:rPr>
          <w:rFonts w:ascii="Times New Roman" w:hAnsi="Times New Roman" w:hint="eastAsia"/>
          <w:sz w:val="20"/>
          <w:szCs w:val="20"/>
        </w:rPr>
        <w:t>（</w:t>
      </w:r>
      <w:r w:rsidR="00E84A31" w:rsidRPr="00DA3BC7">
        <w:rPr>
          <w:rFonts w:ascii="Times New Roman" w:hAnsi="Times New Roman"/>
          <w:sz w:val="20"/>
          <w:szCs w:val="20"/>
        </w:rPr>
        <w:t>pp.29-30</w:t>
      </w:r>
      <w:r w:rsidR="00E84A31" w:rsidRPr="00DA3BC7">
        <w:rPr>
          <w:rFonts w:ascii="Times New Roman" w:hAnsi="Times New Roman" w:hint="eastAsia"/>
          <w:sz w:val="20"/>
          <w:szCs w:val="20"/>
        </w:rPr>
        <w:t>）</w:t>
      </w:r>
    </w:p>
    <w:p w:rsidR="00036D97" w:rsidRPr="00036D97" w:rsidRDefault="00E84A31" w:rsidP="008E2BBC">
      <w:pPr>
        <w:ind w:leftChars="50" w:left="120"/>
        <w:jc w:val="both"/>
        <w:rPr>
          <w:rFonts w:ascii="Times New Roman" w:hAnsi="Times New Roman"/>
          <w:b/>
          <w:color w:val="FF0000"/>
          <w:sz w:val="20"/>
          <w:szCs w:val="20"/>
          <w:highlight w:val="yellow"/>
          <w:bdr w:val="single" w:sz="4" w:space="0" w:color="auto"/>
        </w:rPr>
      </w:pPr>
      <w:r w:rsidRPr="00036D97">
        <w:rPr>
          <w:rFonts w:ascii="Times New Roman" w:hAnsi="Times New Roman"/>
          <w:b/>
          <w:color w:val="FF0000"/>
          <w:sz w:val="20"/>
          <w:szCs w:val="20"/>
          <w:highlight w:val="yellow"/>
          <w:bdr w:val="single" w:sz="4" w:space="0" w:color="auto"/>
        </w:rPr>
        <w:t>（壹）</w:t>
      </w:r>
      <w:r w:rsidR="00036D97" w:rsidRPr="00036D97">
        <w:rPr>
          <w:rFonts w:ascii="Times New Roman" w:hAnsi="Times New Roman" w:hint="eastAsia"/>
          <w:b/>
          <w:color w:val="FF0000"/>
          <w:sz w:val="20"/>
          <w:szCs w:val="20"/>
          <w:highlight w:val="yellow"/>
          <w:bdr w:val="single" w:sz="4" w:space="0" w:color="auto"/>
        </w:rPr>
        <w:t>總述</w:t>
      </w:r>
    </w:p>
    <w:p w:rsidR="000E633B" w:rsidRDefault="00036D97" w:rsidP="000E633B">
      <w:pPr>
        <w:ind w:leftChars="100" w:left="240"/>
        <w:jc w:val="both"/>
        <w:rPr>
          <w:rFonts w:ascii="Times New Roman" w:hAnsi="Times New Roman"/>
          <w:sz w:val="20"/>
          <w:szCs w:val="20"/>
        </w:rPr>
      </w:pPr>
      <w:r w:rsidRPr="00036D97">
        <w:rPr>
          <w:rFonts w:ascii="Times New Roman" w:hAnsi="Times New Roman" w:hint="eastAsia"/>
          <w:b/>
          <w:color w:val="FF0000"/>
          <w:sz w:val="20"/>
          <w:szCs w:val="20"/>
          <w:highlight w:val="yellow"/>
          <w:bdr w:val="single" w:sz="4" w:space="0" w:color="auto"/>
        </w:rPr>
        <w:t>一、</w:t>
      </w:r>
      <w:r w:rsidR="00E84A31" w:rsidRPr="00DA3BC7">
        <w:rPr>
          <w:rFonts w:ascii="Times New Roman" w:hAnsi="Times New Roman"/>
          <w:b/>
          <w:sz w:val="20"/>
          <w:szCs w:val="20"/>
          <w:bdr w:val="single" w:sz="4" w:space="0" w:color="auto"/>
        </w:rPr>
        <w:t>釋迦</w:t>
      </w:r>
      <w:r w:rsidR="009A53CA" w:rsidRPr="009A53CA">
        <w:rPr>
          <w:rFonts w:ascii="Times New Roman" w:hAnsi="Times New Roman" w:hint="eastAsia"/>
          <w:b/>
          <w:color w:val="FF0000"/>
          <w:sz w:val="20"/>
          <w:szCs w:val="20"/>
          <w:highlight w:val="yellow"/>
          <w:bdr w:val="single" w:sz="4" w:space="0" w:color="auto"/>
        </w:rPr>
        <w:t>佛</w:t>
      </w:r>
      <w:r w:rsidR="008705B7" w:rsidRPr="008705B7">
        <w:rPr>
          <w:rFonts w:ascii="Times New Roman" w:hAnsi="Times New Roman" w:hint="eastAsia"/>
          <w:b/>
          <w:color w:val="FF0000"/>
          <w:sz w:val="20"/>
          <w:szCs w:val="20"/>
          <w:highlight w:val="yellow"/>
          <w:bdr w:val="single" w:sz="4" w:space="0" w:color="auto"/>
        </w:rPr>
        <w:t>之</w:t>
      </w:r>
      <w:r w:rsidR="00E84A31" w:rsidRPr="00DA3BC7">
        <w:rPr>
          <w:rFonts w:ascii="Times New Roman" w:hAnsi="Times New Roman"/>
          <w:b/>
          <w:sz w:val="20"/>
          <w:szCs w:val="20"/>
          <w:bdr w:val="single" w:sz="4" w:space="0" w:color="auto"/>
        </w:rPr>
        <w:t>本</w:t>
      </w:r>
      <w:r w:rsidR="00E84A31" w:rsidRPr="00036D97">
        <w:rPr>
          <w:rFonts w:ascii="Times New Roman" w:hAnsi="Times New Roman"/>
          <w:b/>
          <w:sz w:val="20"/>
          <w:szCs w:val="20"/>
          <w:highlight w:val="yellow"/>
          <w:bdr w:val="single" w:sz="4" w:space="0" w:color="auto"/>
        </w:rPr>
        <w:t>教</w:t>
      </w:r>
      <w:r w:rsidR="00E84A31" w:rsidRPr="00DA3BC7">
        <w:rPr>
          <w:rFonts w:ascii="Times New Roman" w:hAnsi="Times New Roman" w:hint="eastAsia"/>
          <w:sz w:val="20"/>
          <w:szCs w:val="20"/>
        </w:rPr>
        <w:t>（</w:t>
      </w:r>
      <w:r w:rsidR="00E84A31" w:rsidRPr="00DA3BC7">
        <w:rPr>
          <w:rFonts w:ascii="Times New Roman" w:hAnsi="Times New Roman"/>
          <w:sz w:val="20"/>
          <w:szCs w:val="20"/>
        </w:rPr>
        <w:t>p.29</w:t>
      </w:r>
      <w:r w:rsidR="00E84A31" w:rsidRPr="00DA3BC7">
        <w:rPr>
          <w:rFonts w:ascii="Times New Roman" w:hAnsi="Times New Roman" w:hint="eastAsia"/>
          <w:sz w:val="20"/>
          <w:szCs w:val="20"/>
        </w:rPr>
        <w:t>）</w:t>
      </w:r>
    </w:p>
    <w:p w:rsidR="001968AB" w:rsidRPr="00DA3BC7" w:rsidRDefault="00E84A31" w:rsidP="000E633B">
      <w:pPr>
        <w:ind w:leftChars="100" w:left="240"/>
        <w:jc w:val="both"/>
        <w:rPr>
          <w:rFonts w:ascii="Times New Roman" w:hAnsi="Times New Roman"/>
        </w:rPr>
      </w:pPr>
      <w:r w:rsidRPr="00DA3BC7">
        <w:rPr>
          <w:rFonts w:ascii="Times New Roman" w:hAnsi="Times New Roman"/>
        </w:rPr>
        <w:t>從釋迦的由證而立教說，本是正覺了無生法性，圓證了法法不出於如如</w:t>
      </w:r>
      <w:r w:rsidRPr="00DA3BC7">
        <w:rPr>
          <w:rStyle w:val="a6"/>
          <w:rFonts w:ascii="Times New Roman" w:hAnsi="Times New Roman"/>
        </w:rPr>
        <w:footnoteReference w:id="207"/>
      </w:r>
      <w:r w:rsidRPr="00DA3BC7">
        <w:rPr>
          <w:rFonts w:ascii="Times New Roman" w:hAnsi="Times New Roman"/>
        </w:rPr>
        <w:t>（無</w:t>
      </w:r>
      <w:r w:rsidRPr="00DA3BC7">
        <w:rPr>
          <w:rFonts w:ascii="Times New Roman" w:hAnsi="Times New Roman"/>
        </w:rPr>
        <w:lastRenderedPageBreak/>
        <w:t>生）法性的。他的從證出教，如先從最高峰鳥瞰</w:t>
      </w:r>
      <w:r w:rsidRPr="00DA3BC7">
        <w:rPr>
          <w:rStyle w:val="a6"/>
          <w:rFonts w:ascii="Times New Roman" w:hAnsi="Times New Roman"/>
        </w:rPr>
        <w:footnoteReference w:id="208"/>
      </w:r>
      <w:r w:rsidRPr="00DA3BC7">
        <w:rPr>
          <w:rFonts w:ascii="Times New Roman" w:hAnsi="Times New Roman"/>
        </w:rPr>
        <w:t>一切，然後順從山谷中的迷路者（眾生），給以逐步指引，以導登最高峰的。</w:t>
      </w:r>
    </w:p>
    <w:p w:rsidR="00E84A31" w:rsidRPr="00DA3BC7" w:rsidRDefault="00036D97" w:rsidP="00AE3920">
      <w:pPr>
        <w:spacing w:beforeLines="30"/>
        <w:ind w:leftChars="100" w:left="24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二、</w:t>
      </w:r>
      <w:r w:rsidR="00E84A31" w:rsidRPr="00DA3BC7">
        <w:rPr>
          <w:rFonts w:ascii="Times New Roman" w:hAnsi="Times New Roman"/>
          <w:b/>
          <w:sz w:val="20"/>
          <w:szCs w:val="20"/>
          <w:bdr w:val="single" w:sz="4" w:space="0" w:color="auto"/>
        </w:rPr>
        <w:t>聲聞學</w:t>
      </w:r>
      <w:r w:rsidR="00E84A31" w:rsidRPr="00036D97">
        <w:rPr>
          <w:rFonts w:ascii="Times New Roman" w:hAnsi="Times New Roman"/>
          <w:b/>
          <w:sz w:val="20"/>
          <w:szCs w:val="20"/>
          <w:highlight w:val="yellow"/>
          <w:bdr w:val="single" w:sz="4" w:space="0" w:color="auto"/>
        </w:rPr>
        <w:t>者</w:t>
      </w:r>
      <w:r w:rsidR="008705B7" w:rsidRPr="008705B7">
        <w:rPr>
          <w:rFonts w:ascii="Times New Roman" w:hAnsi="Times New Roman" w:hint="eastAsia"/>
          <w:b/>
          <w:color w:val="FF0000"/>
          <w:sz w:val="20"/>
          <w:szCs w:val="20"/>
          <w:highlight w:val="yellow"/>
          <w:bdr w:val="single" w:sz="4" w:space="0" w:color="auto"/>
        </w:rPr>
        <w:t>之失</w:t>
      </w:r>
      <w:r w:rsidR="00E84A31" w:rsidRPr="00DA3BC7">
        <w:rPr>
          <w:rFonts w:ascii="Times New Roman" w:hAnsi="Times New Roman" w:hint="eastAsia"/>
          <w:sz w:val="20"/>
          <w:szCs w:val="20"/>
        </w:rPr>
        <w:t>（</w:t>
      </w:r>
      <w:r w:rsidR="00E84A31" w:rsidRPr="00DA3BC7">
        <w:rPr>
          <w:rFonts w:ascii="Times New Roman" w:hAnsi="Times New Roman"/>
          <w:sz w:val="20"/>
          <w:szCs w:val="20"/>
        </w:rPr>
        <w:t>p.29</w:t>
      </w:r>
      <w:r w:rsidR="00E84A31" w:rsidRPr="00DA3BC7">
        <w:rPr>
          <w:rFonts w:ascii="Times New Roman" w:hAnsi="Times New Roman" w:hint="eastAsia"/>
          <w:sz w:val="20"/>
          <w:szCs w:val="20"/>
        </w:rPr>
        <w:t>）</w:t>
      </w:r>
    </w:p>
    <w:p w:rsidR="001968AB" w:rsidRPr="00DA3BC7" w:rsidRDefault="00E84A31" w:rsidP="000E633B">
      <w:pPr>
        <w:ind w:leftChars="100" w:left="240"/>
        <w:jc w:val="both"/>
        <w:rPr>
          <w:rFonts w:ascii="Times New Roman" w:hAnsi="Times New Roman"/>
        </w:rPr>
      </w:pPr>
      <w:r w:rsidRPr="00DA3BC7">
        <w:rPr>
          <w:rFonts w:ascii="Times New Roman" w:hAnsi="Times New Roman"/>
        </w:rPr>
        <w:t>後來的一般聲聞學者，在向上的歷程中，為路旁的景色所迷，忘卻了指導者的真意。</w:t>
      </w:r>
    </w:p>
    <w:p w:rsidR="00E84A31" w:rsidRPr="00DA3BC7" w:rsidRDefault="00036D97" w:rsidP="00AE3920">
      <w:pPr>
        <w:spacing w:beforeLines="30"/>
        <w:ind w:leftChars="100" w:left="240"/>
        <w:jc w:val="both"/>
        <w:rPr>
          <w:rFonts w:ascii="Times New Roman" w:hAnsi="Times New Roman"/>
          <w:b/>
          <w:sz w:val="20"/>
          <w:szCs w:val="20"/>
          <w:bdr w:val="single" w:sz="4" w:space="0" w:color="auto"/>
        </w:rPr>
      </w:pPr>
      <w:r w:rsidRPr="00036D97">
        <w:rPr>
          <w:rFonts w:ascii="Times New Roman" w:hAnsi="Times New Roman" w:hint="eastAsia"/>
          <w:b/>
          <w:color w:val="FF0000"/>
          <w:sz w:val="20"/>
          <w:szCs w:val="20"/>
          <w:highlight w:val="yellow"/>
          <w:bdr w:val="single" w:sz="4" w:space="0" w:color="auto"/>
        </w:rPr>
        <w:t>三、</w:t>
      </w:r>
      <w:r w:rsidR="00E84A31" w:rsidRPr="00DA3BC7">
        <w:rPr>
          <w:rFonts w:ascii="Times New Roman" w:hAnsi="Times New Roman"/>
          <w:b/>
          <w:sz w:val="20"/>
          <w:szCs w:val="20"/>
          <w:bdr w:val="single" w:sz="4" w:space="0" w:color="auto"/>
        </w:rPr>
        <w:t>大乘學</w:t>
      </w:r>
      <w:r w:rsidR="00E84A31" w:rsidRPr="00036D97">
        <w:rPr>
          <w:rFonts w:ascii="Times New Roman" w:hAnsi="Times New Roman"/>
          <w:b/>
          <w:sz w:val="20"/>
          <w:szCs w:val="20"/>
          <w:highlight w:val="yellow"/>
          <w:bdr w:val="single" w:sz="4" w:space="0" w:color="auto"/>
        </w:rPr>
        <w:t>者</w:t>
      </w:r>
      <w:r w:rsidR="008705B7" w:rsidRPr="008705B7">
        <w:rPr>
          <w:rFonts w:ascii="Times New Roman" w:hAnsi="Times New Roman" w:hint="eastAsia"/>
          <w:b/>
          <w:color w:val="FF0000"/>
          <w:sz w:val="20"/>
          <w:szCs w:val="20"/>
          <w:highlight w:val="yellow"/>
          <w:bdr w:val="single" w:sz="4" w:space="0" w:color="auto"/>
        </w:rPr>
        <w:t>之得</w:t>
      </w:r>
      <w:r w:rsidR="00E84A31" w:rsidRPr="00DA3BC7">
        <w:rPr>
          <w:rFonts w:ascii="Times New Roman" w:hAnsi="Times New Roman" w:hint="eastAsia"/>
          <w:sz w:val="20"/>
          <w:szCs w:val="20"/>
        </w:rPr>
        <w:t>（</w:t>
      </w:r>
      <w:r w:rsidR="00E84A31" w:rsidRPr="00DA3BC7">
        <w:rPr>
          <w:rFonts w:ascii="Times New Roman" w:hAnsi="Times New Roman"/>
          <w:sz w:val="20"/>
          <w:szCs w:val="20"/>
        </w:rPr>
        <w:t>pp.29-30</w:t>
      </w:r>
      <w:r w:rsidR="00E84A31" w:rsidRPr="00DA3BC7">
        <w:rPr>
          <w:rFonts w:ascii="Times New Roman" w:hAnsi="Times New Roman" w:hint="eastAsia"/>
          <w:sz w:val="20"/>
          <w:szCs w:val="20"/>
        </w:rPr>
        <w:t>）</w:t>
      </w:r>
    </w:p>
    <w:p w:rsidR="000E633B" w:rsidRDefault="00036D97" w:rsidP="000E633B">
      <w:pPr>
        <w:ind w:leftChars="150" w:left="360"/>
        <w:jc w:val="both"/>
        <w:rPr>
          <w:rFonts w:ascii="Times New Roman" w:hAnsi="Times New Roman"/>
          <w:sz w:val="20"/>
          <w:szCs w:val="20"/>
        </w:rPr>
      </w:pPr>
      <w:r w:rsidRPr="00036D97">
        <w:rPr>
          <w:rFonts w:ascii="Times New Roman" w:hAnsi="Times New Roman"/>
          <w:b/>
          <w:color w:val="FF0000"/>
          <w:sz w:val="20"/>
          <w:szCs w:val="20"/>
          <w:highlight w:val="yellow"/>
          <w:bdr w:val="single" w:sz="4" w:space="0" w:color="auto"/>
        </w:rPr>
        <w:t>（</w:t>
      </w:r>
      <w:r w:rsidRPr="00036D97">
        <w:rPr>
          <w:rFonts w:ascii="Times New Roman" w:hAnsi="Times New Roman" w:hint="eastAsia"/>
          <w:b/>
          <w:color w:val="FF0000"/>
          <w:sz w:val="20"/>
          <w:szCs w:val="20"/>
          <w:highlight w:val="yellow"/>
          <w:bdr w:val="single" w:sz="4" w:space="0" w:color="auto"/>
        </w:rPr>
        <w:t>一</w:t>
      </w:r>
      <w:r w:rsidRPr="00036D97">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明義見真</w:t>
      </w:r>
      <w:r w:rsidR="00E84A31" w:rsidRPr="00DA3BC7">
        <w:rPr>
          <w:rStyle w:val="a6"/>
          <w:rFonts w:ascii="Times New Roman" w:hAnsi="Times New Roman"/>
        </w:rPr>
        <w:footnoteReference w:id="209"/>
      </w:r>
      <w:r w:rsidR="009D3C9D" w:rsidRPr="00DA3BC7">
        <w:rPr>
          <w:rFonts w:ascii="Times New Roman" w:hAnsi="Times New Roman" w:hint="eastAsia"/>
          <w:sz w:val="20"/>
          <w:szCs w:val="20"/>
        </w:rPr>
        <w:t>（</w:t>
      </w:r>
      <w:r w:rsidR="009D3C9D" w:rsidRPr="00DA3BC7">
        <w:rPr>
          <w:rFonts w:ascii="Times New Roman" w:hAnsi="Times New Roman"/>
          <w:sz w:val="20"/>
          <w:szCs w:val="20"/>
        </w:rPr>
        <w:t>pp.29-30</w:t>
      </w:r>
      <w:r w:rsidR="009D3C9D" w:rsidRPr="00DA3BC7">
        <w:rPr>
          <w:rFonts w:ascii="Times New Roman" w:hAnsi="Times New Roman" w:hint="eastAsia"/>
          <w:sz w:val="20"/>
          <w:szCs w:val="20"/>
        </w:rPr>
        <w:t>）</w:t>
      </w:r>
    </w:p>
    <w:p w:rsidR="00E84A31" w:rsidRPr="00DA3BC7" w:rsidRDefault="00E84A31" w:rsidP="008705B7">
      <w:pPr>
        <w:ind w:leftChars="150" w:left="360"/>
        <w:rPr>
          <w:rFonts w:ascii="Times New Roman" w:hAnsi="Times New Roman"/>
        </w:rPr>
      </w:pPr>
      <w:r w:rsidRPr="00DA3BC7">
        <w:rPr>
          <w:rFonts w:ascii="Times New Roman" w:hAnsi="Times New Roman"/>
        </w:rPr>
        <w:t>大乘學者，即是揭露這鳥瞰一切的意境，使他們歸宗</w:t>
      </w:r>
      <w:r w:rsidRPr="00DA3BC7">
        <w:rPr>
          <w:rStyle w:val="a6"/>
          <w:rFonts w:ascii="Times New Roman" w:hAnsi="Times New Roman"/>
        </w:rPr>
        <w:footnoteReference w:id="210"/>
      </w:r>
      <w:r w:rsidRPr="00DA3BC7">
        <w:rPr>
          <w:rFonts w:ascii="Times New Roman" w:hAnsi="Times New Roman"/>
        </w:rPr>
        <w:t>有在而直登山頂的。所以，大乘不僅不與釋迦的本教相違，而且真能窺見釋迦本教的真義，非拘泥</w:t>
      </w:r>
      <w:r w:rsidRPr="00DA3BC7">
        <w:rPr>
          <w:rStyle w:val="a6"/>
          <w:rFonts w:ascii="Times New Roman" w:hAnsi="Times New Roman"/>
        </w:rPr>
        <w:footnoteReference w:id="211"/>
      </w:r>
      <w:r w:rsidRPr="00DA3BC7">
        <w:rPr>
          <w:rFonts w:ascii="Times New Roman" w:hAnsi="Times New Roman"/>
        </w:rPr>
        <w:t>名相的一般聲聞學者所及。</w:t>
      </w:r>
    </w:p>
    <w:p w:rsidR="00E84A31" w:rsidRPr="00DA3BC7" w:rsidRDefault="00036D97" w:rsidP="00AE3920">
      <w:pPr>
        <w:spacing w:beforeLines="30"/>
        <w:ind w:leftChars="150" w:left="360"/>
        <w:jc w:val="both"/>
        <w:rPr>
          <w:rFonts w:ascii="Times New Roman" w:hAnsi="Times New Roman"/>
          <w:b/>
          <w:sz w:val="20"/>
          <w:szCs w:val="20"/>
          <w:bdr w:val="single" w:sz="4" w:space="0" w:color="auto"/>
        </w:rPr>
      </w:pPr>
      <w:r w:rsidRPr="00036D97">
        <w:rPr>
          <w:rFonts w:ascii="Times New Roman" w:hAnsi="Times New Roman" w:hint="eastAsia"/>
          <w:b/>
          <w:color w:val="FF0000"/>
          <w:sz w:val="20"/>
          <w:szCs w:val="20"/>
          <w:highlight w:val="yellow"/>
          <w:bdr w:val="single" w:sz="4" w:space="0" w:color="auto"/>
        </w:rPr>
        <w:t>（二）</w:t>
      </w:r>
      <w:r>
        <w:rPr>
          <w:rFonts w:ascii="Times New Roman" w:hAnsi="Times New Roman" w:hint="eastAsia"/>
          <w:b/>
          <w:color w:val="FF0000"/>
          <w:sz w:val="20"/>
          <w:szCs w:val="20"/>
          <w:highlight w:val="yellow"/>
          <w:bdr w:val="single" w:sz="4" w:space="0" w:color="auto"/>
        </w:rPr>
        <w:t>引經證成</w:t>
      </w:r>
      <w:r w:rsidR="009D3C9D" w:rsidRPr="00DA3BC7">
        <w:rPr>
          <w:rFonts w:ascii="Times New Roman" w:hAnsi="Times New Roman" w:hint="eastAsia"/>
          <w:sz w:val="20"/>
          <w:szCs w:val="20"/>
        </w:rPr>
        <w:t>（</w:t>
      </w:r>
      <w:r w:rsidR="009D3C9D" w:rsidRPr="00DA3BC7">
        <w:rPr>
          <w:rFonts w:ascii="Times New Roman" w:hAnsi="Times New Roman"/>
          <w:sz w:val="20"/>
          <w:szCs w:val="20"/>
        </w:rPr>
        <w:t>p.30</w:t>
      </w:r>
      <w:r w:rsidR="009D3C9D" w:rsidRPr="00DA3BC7">
        <w:rPr>
          <w:rFonts w:ascii="Times New Roman" w:hAnsi="Times New Roman" w:hint="eastAsia"/>
          <w:sz w:val="20"/>
          <w:szCs w:val="20"/>
        </w:rPr>
        <w:t>）</w:t>
      </w:r>
    </w:p>
    <w:p w:rsidR="00E84A31" w:rsidRPr="00DA3BC7" w:rsidRDefault="00E84A31" w:rsidP="008E2BBC">
      <w:pPr>
        <w:ind w:leftChars="150" w:left="360"/>
        <w:jc w:val="both"/>
        <w:rPr>
          <w:rFonts w:ascii="Times New Roman" w:hAnsi="Times New Roman"/>
        </w:rPr>
      </w:pPr>
      <w:r w:rsidRPr="00DA3BC7">
        <w:rPr>
          <w:rFonts w:ascii="Times New Roman" w:hAnsi="Times New Roman"/>
        </w:rPr>
        <w:t>如佛在《阿含經》中，從</w:t>
      </w:r>
      <w:r w:rsidRPr="00C8381B">
        <w:rPr>
          <w:rFonts w:ascii="Times New Roman" w:hAnsi="Times New Roman"/>
          <w:b/>
          <w:u w:val="wave" w:color="C00000"/>
        </w:rPr>
        <w:t>緣起的生滅相續</w:t>
      </w:r>
      <w:r w:rsidRPr="00DA3BC7">
        <w:rPr>
          <w:rFonts w:ascii="Times New Roman" w:hAnsi="Times New Roman"/>
        </w:rPr>
        <w:t>而說</w:t>
      </w:r>
      <w:r w:rsidRPr="00C8381B">
        <w:rPr>
          <w:rFonts w:ascii="Times New Roman" w:hAnsi="Times New Roman"/>
          <w:b/>
          <w:u w:val="wave" w:color="C00000"/>
        </w:rPr>
        <w:t>諸行無常</w:t>
      </w:r>
      <w:r w:rsidRPr="00DA3BC7">
        <w:rPr>
          <w:rFonts w:ascii="Times New Roman" w:hAnsi="Times New Roman"/>
        </w:rPr>
        <w:t>；</w:t>
      </w:r>
    </w:p>
    <w:p w:rsidR="001968AB" w:rsidRPr="00DA3BC7" w:rsidRDefault="00E84A31" w:rsidP="00036D97">
      <w:pPr>
        <w:ind w:leftChars="1150" w:left="2760"/>
        <w:jc w:val="both"/>
        <w:rPr>
          <w:rFonts w:ascii="Times New Roman" w:hAnsi="Times New Roman"/>
        </w:rPr>
      </w:pPr>
      <w:r w:rsidRPr="00DA3BC7">
        <w:rPr>
          <w:rFonts w:ascii="Times New Roman" w:hAnsi="Times New Roman"/>
        </w:rPr>
        <w:t>從</w:t>
      </w:r>
      <w:r w:rsidRPr="00C8381B">
        <w:rPr>
          <w:rFonts w:ascii="Times New Roman" w:hAnsi="Times New Roman"/>
          <w:b/>
          <w:u w:val="wave" w:color="C00000"/>
        </w:rPr>
        <w:t>緣起的因緣和合</w:t>
      </w:r>
      <w:r w:rsidRPr="00DA3BC7">
        <w:rPr>
          <w:rFonts w:ascii="Times New Roman" w:hAnsi="Times New Roman"/>
        </w:rPr>
        <w:t>而說</w:t>
      </w:r>
      <w:r w:rsidRPr="00C8381B">
        <w:rPr>
          <w:rFonts w:ascii="Times New Roman" w:hAnsi="Times New Roman"/>
          <w:b/>
          <w:u w:val="wave" w:color="C00000"/>
        </w:rPr>
        <w:t>諸法無我</w:t>
      </w:r>
      <w:r w:rsidRPr="00DA3BC7">
        <w:rPr>
          <w:rFonts w:ascii="Times New Roman" w:hAnsi="Times New Roman"/>
        </w:rPr>
        <w:t>；</w:t>
      </w:r>
    </w:p>
    <w:p w:rsidR="00E84A31" w:rsidRPr="00DA3BC7" w:rsidRDefault="00E84A31" w:rsidP="00036D97">
      <w:pPr>
        <w:ind w:leftChars="1150" w:left="2760"/>
        <w:jc w:val="both"/>
        <w:rPr>
          <w:rFonts w:ascii="Times New Roman" w:hAnsi="Times New Roman"/>
        </w:rPr>
      </w:pPr>
      <w:r w:rsidRPr="00C8381B">
        <w:rPr>
          <w:rFonts w:ascii="Times New Roman" w:hAnsi="Times New Roman"/>
          <w:b/>
          <w:u w:val="wave" w:color="C00000"/>
        </w:rPr>
        <w:t>無我我所的執見</w:t>
      </w:r>
      <w:r w:rsidRPr="00DA3BC7">
        <w:rPr>
          <w:rFonts w:ascii="Times New Roman" w:hAnsi="Times New Roman"/>
        </w:rPr>
        <w:t>而悟入</w:t>
      </w:r>
      <w:r w:rsidRPr="00C8381B">
        <w:rPr>
          <w:rFonts w:ascii="Times New Roman" w:hAnsi="Times New Roman"/>
          <w:b/>
          <w:u w:val="wave" w:color="C00000"/>
        </w:rPr>
        <w:t>無生無滅的涅槃</w:t>
      </w:r>
      <w:r w:rsidRPr="00DA3BC7">
        <w:rPr>
          <w:rFonts w:ascii="Times New Roman" w:hAnsi="Times New Roman"/>
        </w:rPr>
        <w:t>。</w:t>
      </w:r>
    </w:p>
    <w:p w:rsidR="001968AB" w:rsidRPr="00DA3BC7" w:rsidRDefault="00E84A31" w:rsidP="00AE3920">
      <w:pPr>
        <w:spacing w:beforeLines="20"/>
        <w:ind w:leftChars="150" w:left="360"/>
        <w:jc w:val="both"/>
        <w:rPr>
          <w:rFonts w:ascii="Times New Roman" w:hAnsi="Times New Roman"/>
          <w:szCs w:val="23"/>
        </w:rPr>
      </w:pPr>
      <w:r w:rsidRPr="00DA3BC7">
        <w:rPr>
          <w:rFonts w:ascii="Times New Roman" w:hAnsi="Times New Roman"/>
        </w:rPr>
        <w:t>釋迦的方便善巧，使眾生從現實經驗到的因果生滅相續和合中離執，到達正覺的體悟。實則此涅槃並不在一切現實的以外，不過為了引迷</w:t>
      </w:r>
      <w:r w:rsidRPr="00DA3BC7">
        <w:rPr>
          <w:rFonts w:ascii="Times New Roman" w:hAnsi="Times New Roman" w:hint="eastAsia"/>
        </w:rPr>
        <w:t>啟</w:t>
      </w:r>
      <w:r w:rsidRPr="00DA3BC7">
        <w:rPr>
          <w:rFonts w:ascii="Times New Roman" w:hAnsi="Times New Roman"/>
        </w:rPr>
        <w:t>悟，而相對的稱之為無為、無生。</w:t>
      </w:r>
    </w:p>
    <w:p w:rsidR="00036D97" w:rsidRDefault="00036D97" w:rsidP="00AE3920">
      <w:pPr>
        <w:spacing w:beforeLines="30"/>
        <w:ind w:leftChars="50" w:left="120"/>
        <w:jc w:val="both"/>
        <w:rPr>
          <w:rFonts w:ascii="Times New Roman" w:hAnsi="Times New Roman"/>
          <w:b/>
          <w:color w:val="FF0000"/>
          <w:sz w:val="20"/>
          <w:szCs w:val="26"/>
          <w:bdr w:val="single" w:sz="4" w:space="0" w:color="auto"/>
        </w:rPr>
      </w:pPr>
      <w:r w:rsidRPr="00036D97">
        <w:rPr>
          <w:rFonts w:ascii="Times New Roman" w:hAnsi="Times New Roman" w:hint="eastAsia"/>
          <w:b/>
          <w:color w:val="FF0000"/>
          <w:sz w:val="20"/>
          <w:szCs w:val="26"/>
          <w:highlight w:val="yellow"/>
          <w:bdr w:val="single" w:sz="4" w:space="0" w:color="auto"/>
        </w:rPr>
        <w:t>（</w:t>
      </w:r>
      <w:r>
        <w:rPr>
          <w:rFonts w:ascii="Times New Roman" w:hAnsi="Times New Roman" w:hint="eastAsia"/>
          <w:b/>
          <w:color w:val="FF0000"/>
          <w:sz w:val="20"/>
          <w:szCs w:val="26"/>
          <w:highlight w:val="yellow"/>
          <w:bdr w:val="single" w:sz="4" w:space="0" w:color="auto"/>
        </w:rPr>
        <w:t>貳</w:t>
      </w:r>
      <w:r w:rsidRPr="00036D97">
        <w:rPr>
          <w:rFonts w:ascii="Times New Roman" w:hAnsi="Times New Roman" w:hint="eastAsia"/>
          <w:b/>
          <w:color w:val="FF0000"/>
          <w:sz w:val="20"/>
          <w:szCs w:val="26"/>
          <w:highlight w:val="yellow"/>
          <w:bdr w:val="single" w:sz="4" w:space="0" w:color="auto"/>
        </w:rPr>
        <w:t>）</w:t>
      </w:r>
      <w:r w:rsidR="00AE2CBC">
        <w:rPr>
          <w:rFonts w:ascii="Times New Roman" w:hAnsi="Times New Roman" w:hint="eastAsia"/>
          <w:b/>
          <w:color w:val="FF0000"/>
          <w:sz w:val="20"/>
          <w:szCs w:val="26"/>
          <w:highlight w:val="yellow"/>
          <w:bdr w:val="single" w:sz="4" w:space="0" w:color="auto"/>
        </w:rPr>
        <w:t>別</w:t>
      </w:r>
      <w:r>
        <w:rPr>
          <w:rFonts w:ascii="Times New Roman" w:hAnsi="Times New Roman" w:hint="eastAsia"/>
          <w:b/>
          <w:color w:val="FF0000"/>
          <w:sz w:val="20"/>
          <w:szCs w:val="26"/>
          <w:highlight w:val="yellow"/>
          <w:bdr w:val="single" w:sz="4" w:space="0" w:color="auto"/>
        </w:rPr>
        <w:t>辨</w:t>
      </w:r>
    </w:p>
    <w:p w:rsidR="001968AB" w:rsidRPr="00DA3BC7" w:rsidRDefault="00036D97" w:rsidP="006D0171">
      <w:pPr>
        <w:ind w:leftChars="100" w:left="240"/>
        <w:jc w:val="both"/>
        <w:rPr>
          <w:rFonts w:ascii="Times New Roman" w:hAnsi="Times New Roman"/>
          <w:b/>
          <w:sz w:val="20"/>
          <w:szCs w:val="26"/>
        </w:rPr>
      </w:pPr>
      <w:r w:rsidRPr="00036D97">
        <w:rPr>
          <w:rFonts w:ascii="Times New Roman" w:hAnsi="Times New Roman" w:hint="eastAsia"/>
          <w:b/>
          <w:color w:val="FF0000"/>
          <w:sz w:val="20"/>
          <w:szCs w:val="26"/>
          <w:highlight w:val="yellow"/>
          <w:bdr w:val="single" w:sz="4" w:space="0" w:color="auto"/>
        </w:rPr>
        <w:t>一</w:t>
      </w:r>
      <w:r w:rsidR="00E84A31" w:rsidRPr="00036D97">
        <w:rPr>
          <w:rFonts w:ascii="Times New Roman" w:hAnsi="Times New Roman"/>
          <w:b/>
          <w:color w:val="FF0000"/>
          <w:sz w:val="20"/>
          <w:szCs w:val="26"/>
          <w:highlight w:val="yellow"/>
          <w:bdr w:val="single" w:sz="4" w:space="0" w:color="auto"/>
        </w:rPr>
        <w:t>、</w:t>
      </w:r>
      <w:r w:rsidR="00B123AE">
        <w:rPr>
          <w:rFonts w:ascii="Times New Roman" w:hAnsi="Times New Roman" w:hint="eastAsia"/>
          <w:b/>
          <w:color w:val="FF0000"/>
          <w:sz w:val="20"/>
          <w:szCs w:val="26"/>
          <w:highlight w:val="yellow"/>
          <w:bdr w:val="single" w:sz="4" w:space="0" w:color="auto"/>
        </w:rPr>
        <w:t>評「</w:t>
      </w:r>
      <w:r w:rsidRPr="00036D97">
        <w:rPr>
          <w:rFonts w:ascii="Times New Roman" w:hAnsi="Times New Roman" w:hint="eastAsia"/>
          <w:b/>
          <w:color w:val="FF0000"/>
          <w:sz w:val="20"/>
          <w:szCs w:val="26"/>
          <w:highlight w:val="yellow"/>
          <w:bdr w:val="single" w:sz="4" w:space="0" w:color="auto"/>
        </w:rPr>
        <w:t>部</w:t>
      </w:r>
      <w:r w:rsidR="00E84A31" w:rsidRPr="00036D97">
        <w:rPr>
          <w:rFonts w:ascii="Times New Roman" w:hAnsi="Times New Roman"/>
          <w:b/>
          <w:color w:val="FF0000"/>
          <w:sz w:val="20"/>
          <w:szCs w:val="26"/>
          <w:highlight w:val="yellow"/>
          <w:bdr w:val="single" w:sz="4" w:space="0" w:color="auto"/>
        </w:rPr>
        <w:t>派</w:t>
      </w:r>
      <w:r w:rsidRPr="00036D97">
        <w:rPr>
          <w:rFonts w:ascii="Times New Roman" w:hAnsi="Times New Roman" w:hint="eastAsia"/>
          <w:b/>
          <w:color w:val="FF0000"/>
          <w:sz w:val="20"/>
          <w:szCs w:val="26"/>
          <w:highlight w:val="yellow"/>
          <w:bdr w:val="single" w:sz="4" w:space="0" w:color="auto"/>
        </w:rPr>
        <w:t>的</w:t>
      </w:r>
      <w:r w:rsidR="00E84A31" w:rsidRPr="00036D97">
        <w:rPr>
          <w:rFonts w:ascii="Times New Roman" w:hAnsi="Times New Roman"/>
          <w:b/>
          <w:color w:val="FF0000"/>
          <w:sz w:val="20"/>
          <w:szCs w:val="26"/>
          <w:highlight w:val="yellow"/>
          <w:bdr w:val="single" w:sz="4" w:space="0" w:color="auto"/>
        </w:rPr>
        <w:t>看法</w:t>
      </w:r>
      <w:r w:rsidR="00B123AE" w:rsidRPr="00B123AE">
        <w:rPr>
          <w:rFonts w:ascii="Times New Roman" w:hAnsi="Times New Roman" w:hint="eastAsia"/>
          <w:b/>
          <w:color w:val="FF0000"/>
          <w:sz w:val="20"/>
          <w:szCs w:val="26"/>
          <w:highlight w:val="yellow"/>
          <w:bdr w:val="single" w:sz="4" w:space="0" w:color="auto"/>
        </w:rPr>
        <w:t>」</w:t>
      </w:r>
      <w:r w:rsidR="00E84A31" w:rsidRPr="00DA3BC7">
        <w:rPr>
          <w:rFonts w:ascii="Times New Roman" w:hAnsi="Times New Roman" w:hint="eastAsia"/>
          <w:sz w:val="20"/>
          <w:szCs w:val="20"/>
        </w:rPr>
        <w:t>（</w:t>
      </w:r>
      <w:r w:rsidR="00E84A31" w:rsidRPr="00DA3BC7">
        <w:rPr>
          <w:rFonts w:ascii="Times New Roman" w:hAnsi="Times New Roman"/>
          <w:sz w:val="20"/>
          <w:szCs w:val="20"/>
        </w:rPr>
        <w:t>pp.30-32</w:t>
      </w:r>
      <w:r w:rsidR="00E84A31" w:rsidRPr="00DA3BC7">
        <w:rPr>
          <w:rFonts w:ascii="Times New Roman" w:hAnsi="Times New Roman" w:hint="eastAsia"/>
          <w:sz w:val="20"/>
          <w:szCs w:val="20"/>
        </w:rPr>
        <w:t>）</w:t>
      </w:r>
    </w:p>
    <w:p w:rsidR="000E633B" w:rsidRDefault="00036D97" w:rsidP="000E633B">
      <w:pPr>
        <w:ind w:leftChars="150" w:left="360"/>
        <w:jc w:val="both"/>
        <w:rPr>
          <w:rFonts w:ascii="Times New Roman" w:hAnsi="Times New Roman"/>
          <w:sz w:val="20"/>
          <w:szCs w:val="20"/>
        </w:rPr>
      </w:pPr>
      <w:r w:rsidRPr="00036D97">
        <w:rPr>
          <w:rFonts w:ascii="Times New Roman" w:hAnsi="Times New Roman" w:hint="eastAsia"/>
          <w:b/>
          <w:color w:val="FF0000"/>
          <w:sz w:val="20"/>
          <w:szCs w:val="20"/>
          <w:highlight w:val="yellow"/>
          <w:bdr w:val="single" w:sz="4" w:space="0" w:color="auto"/>
        </w:rPr>
        <w:t>（一）</w:t>
      </w:r>
      <w:r w:rsidR="00E84A31" w:rsidRPr="00DA3BC7">
        <w:rPr>
          <w:rFonts w:ascii="Times New Roman" w:hAnsi="Times New Roman" w:hint="eastAsia"/>
          <w:b/>
          <w:sz w:val="20"/>
          <w:szCs w:val="26"/>
          <w:bdr w:val="single" w:sz="4" w:space="0" w:color="auto"/>
        </w:rPr>
        <w:t>略</w:t>
      </w:r>
      <w:r w:rsidR="00E84A31" w:rsidRPr="00036D97">
        <w:rPr>
          <w:rFonts w:ascii="Times New Roman" w:hAnsi="Times New Roman" w:hint="eastAsia"/>
          <w:b/>
          <w:sz w:val="20"/>
          <w:szCs w:val="26"/>
          <w:highlight w:val="yellow"/>
          <w:bdr w:val="single" w:sz="4" w:space="0" w:color="auto"/>
        </w:rPr>
        <w:t>標</w:t>
      </w:r>
      <w:r w:rsidR="009D3C9D" w:rsidRPr="00DA3BC7">
        <w:rPr>
          <w:rFonts w:ascii="Times New Roman" w:hAnsi="Times New Roman" w:hint="eastAsia"/>
          <w:sz w:val="20"/>
          <w:szCs w:val="20"/>
        </w:rPr>
        <w:t>（</w:t>
      </w:r>
      <w:r w:rsidR="009D3C9D" w:rsidRPr="00DA3BC7">
        <w:rPr>
          <w:rFonts w:ascii="Times New Roman" w:hAnsi="Times New Roman"/>
          <w:sz w:val="20"/>
          <w:szCs w:val="20"/>
        </w:rPr>
        <w:t>p.30</w:t>
      </w:r>
      <w:r w:rsidR="009D3C9D" w:rsidRPr="00DA3BC7">
        <w:rPr>
          <w:rFonts w:ascii="Times New Roman" w:hAnsi="Times New Roman" w:hint="eastAsia"/>
          <w:sz w:val="20"/>
          <w:szCs w:val="20"/>
        </w:rPr>
        <w:t>）</w:t>
      </w:r>
    </w:p>
    <w:p w:rsidR="001968AB" w:rsidRPr="00DA3BC7" w:rsidRDefault="00E84A31" w:rsidP="000E633B">
      <w:pPr>
        <w:ind w:leftChars="150" w:left="360"/>
        <w:jc w:val="both"/>
        <w:rPr>
          <w:rFonts w:ascii="Times New Roman" w:hAnsi="Times New Roman"/>
        </w:rPr>
      </w:pPr>
      <w:r w:rsidRPr="00DA3BC7">
        <w:rPr>
          <w:rFonts w:ascii="Times New Roman" w:hAnsi="Times New Roman"/>
        </w:rPr>
        <w:t>一般聲聞學者，為名相章句所迷，將有為生死與無為涅槃的真義誤會了。</w:t>
      </w:r>
    </w:p>
    <w:p w:rsidR="00E84A31" w:rsidRPr="00DA3BC7" w:rsidRDefault="00E84A31" w:rsidP="00AE3920">
      <w:pPr>
        <w:spacing w:beforeLines="30"/>
        <w:ind w:leftChars="150" w:left="360"/>
        <w:jc w:val="both"/>
        <w:rPr>
          <w:rFonts w:ascii="Times New Roman" w:hAnsi="Times New Roman"/>
          <w:b/>
          <w:sz w:val="20"/>
          <w:szCs w:val="20"/>
          <w:bdr w:val="single" w:sz="4" w:space="0" w:color="auto"/>
        </w:rPr>
      </w:pPr>
      <w:r w:rsidRPr="006D0171">
        <w:rPr>
          <w:rFonts w:ascii="Times New Roman" w:hAnsi="Times New Roman" w:hint="eastAsia"/>
          <w:b/>
          <w:color w:val="FF0000"/>
          <w:sz w:val="20"/>
          <w:szCs w:val="20"/>
          <w:highlight w:val="yellow"/>
          <w:bdr w:val="single" w:sz="4" w:space="0" w:color="auto"/>
        </w:rPr>
        <w:t>（</w:t>
      </w:r>
      <w:r w:rsidR="00036D97" w:rsidRPr="006D0171">
        <w:rPr>
          <w:rFonts w:ascii="Times New Roman" w:hAnsi="Times New Roman" w:hint="eastAsia"/>
          <w:b/>
          <w:color w:val="FF0000"/>
          <w:sz w:val="20"/>
          <w:szCs w:val="20"/>
          <w:highlight w:val="yellow"/>
          <w:bdr w:val="single" w:sz="4" w:space="0" w:color="auto"/>
        </w:rPr>
        <w:t>二</w:t>
      </w:r>
      <w:r w:rsidRPr="006D0171">
        <w:rPr>
          <w:rFonts w:ascii="Times New Roman" w:hAnsi="Times New Roman" w:hint="eastAsia"/>
          <w:b/>
          <w:color w:val="FF0000"/>
          <w:sz w:val="20"/>
          <w:szCs w:val="20"/>
          <w:highlight w:val="yellow"/>
          <w:bdr w:val="single" w:sz="4" w:space="0" w:color="auto"/>
        </w:rPr>
        <w:t>）</w:t>
      </w:r>
      <w:r w:rsidRPr="00DA3BC7">
        <w:rPr>
          <w:rFonts w:ascii="Times New Roman" w:hAnsi="Times New Roman" w:hint="eastAsia"/>
          <w:b/>
          <w:sz w:val="20"/>
          <w:szCs w:val="20"/>
          <w:bdr w:val="single" w:sz="4" w:space="0" w:color="auto"/>
        </w:rPr>
        <w:t>別述</w:t>
      </w:r>
      <w:r w:rsidR="009D3C9D" w:rsidRPr="00DA3BC7">
        <w:rPr>
          <w:rFonts w:ascii="Times New Roman" w:hAnsi="Times New Roman" w:hint="eastAsia"/>
          <w:sz w:val="20"/>
          <w:szCs w:val="20"/>
        </w:rPr>
        <w:t>（</w:t>
      </w:r>
      <w:r w:rsidR="009D3C9D" w:rsidRPr="00DA3BC7">
        <w:rPr>
          <w:rFonts w:ascii="Times New Roman" w:hAnsi="Times New Roman" w:hint="eastAsia"/>
          <w:sz w:val="20"/>
          <w:szCs w:val="20"/>
        </w:rPr>
        <w:t>p</w:t>
      </w:r>
      <w:r w:rsidR="009D3C9D" w:rsidRPr="00DA3BC7">
        <w:rPr>
          <w:rFonts w:ascii="Times New Roman" w:hAnsi="Times New Roman"/>
          <w:sz w:val="20"/>
          <w:szCs w:val="20"/>
        </w:rPr>
        <w:t>p.30</w:t>
      </w:r>
      <w:r w:rsidR="009D3C9D" w:rsidRPr="00DA3BC7">
        <w:rPr>
          <w:rFonts w:ascii="Times New Roman" w:hAnsi="Times New Roman" w:hint="eastAsia"/>
          <w:sz w:val="20"/>
          <w:szCs w:val="20"/>
        </w:rPr>
        <w:t>-31</w:t>
      </w:r>
      <w:r w:rsidR="009D3C9D" w:rsidRPr="00DA3BC7">
        <w:rPr>
          <w:rFonts w:ascii="Times New Roman" w:hAnsi="Times New Roman" w:hint="eastAsia"/>
          <w:sz w:val="20"/>
          <w:szCs w:val="20"/>
        </w:rPr>
        <w:t>）</w:t>
      </w:r>
    </w:p>
    <w:p w:rsidR="00E84A31" w:rsidRPr="00DA3BC7" w:rsidRDefault="00036D97" w:rsidP="006D0171">
      <w:pPr>
        <w:ind w:leftChars="200" w:left="480"/>
        <w:jc w:val="both"/>
        <w:rPr>
          <w:rFonts w:ascii="Times New Roman" w:hAnsi="Times New Roman"/>
          <w:sz w:val="20"/>
          <w:szCs w:val="20"/>
          <w:bdr w:val="single" w:sz="4" w:space="0" w:color="auto"/>
        </w:rPr>
      </w:pPr>
      <w:r>
        <w:rPr>
          <w:rFonts w:ascii="Times New Roman" w:hAnsi="Times New Roman" w:hint="eastAsia"/>
          <w:b/>
          <w:color w:val="FF0000"/>
          <w:sz w:val="20"/>
          <w:szCs w:val="20"/>
          <w:highlight w:val="yellow"/>
          <w:bdr w:val="single" w:sz="4" w:space="0" w:color="auto"/>
        </w:rPr>
        <w:t>1</w:t>
      </w:r>
      <w:r w:rsidR="00E84A31" w:rsidRPr="006D0171">
        <w:rPr>
          <w:rFonts w:ascii="Times New Roman" w:hAnsi="Times New Roman" w:hint="eastAsia"/>
          <w:b/>
          <w:color w:val="FF0000"/>
          <w:sz w:val="20"/>
          <w:szCs w:val="20"/>
          <w:highlight w:val="yellow"/>
          <w:bdr w:val="single" w:sz="4" w:space="0" w:color="auto"/>
        </w:rPr>
        <w:t>、</w:t>
      </w:r>
      <w:r w:rsidR="00B123AE">
        <w:rPr>
          <w:rFonts w:ascii="Times New Roman" w:hAnsi="Times New Roman" w:hint="eastAsia"/>
          <w:b/>
          <w:color w:val="FF0000"/>
          <w:sz w:val="20"/>
          <w:szCs w:val="26"/>
          <w:highlight w:val="yellow"/>
          <w:bdr w:val="single" w:sz="4" w:space="0" w:color="auto"/>
        </w:rPr>
        <w:t>評「</w:t>
      </w:r>
      <w:r w:rsidR="00E84A31" w:rsidRPr="00DA3BC7">
        <w:rPr>
          <w:rFonts w:ascii="Times New Roman" w:hAnsi="Times New Roman"/>
          <w:b/>
          <w:sz w:val="20"/>
          <w:szCs w:val="20"/>
          <w:bdr w:val="single" w:sz="4" w:space="0" w:color="auto"/>
        </w:rPr>
        <w:t>薩婆多部（說一切有部）</w:t>
      </w:r>
      <w:r w:rsidR="00B123AE" w:rsidRPr="00B123AE">
        <w:rPr>
          <w:rFonts w:ascii="Times New Roman" w:hAnsi="Times New Roman" w:hint="eastAsia"/>
          <w:b/>
          <w:color w:val="FF0000"/>
          <w:sz w:val="20"/>
          <w:szCs w:val="26"/>
          <w:highlight w:val="yellow"/>
          <w:bdr w:val="single" w:sz="4" w:space="0" w:color="auto"/>
        </w:rPr>
        <w:t>」</w:t>
      </w:r>
      <w:r w:rsidR="00E84A31" w:rsidRPr="00DA3BC7">
        <w:rPr>
          <w:rFonts w:ascii="Times New Roman" w:hAnsi="Times New Roman" w:hint="eastAsia"/>
          <w:sz w:val="20"/>
          <w:szCs w:val="20"/>
        </w:rPr>
        <w:t>（</w:t>
      </w:r>
      <w:r w:rsidR="00E84A31" w:rsidRPr="00DA3BC7">
        <w:rPr>
          <w:rFonts w:ascii="Times New Roman" w:hAnsi="Times New Roman"/>
          <w:sz w:val="20"/>
          <w:szCs w:val="20"/>
        </w:rPr>
        <w:t>p.30</w:t>
      </w:r>
      <w:r w:rsidR="00E84A31" w:rsidRPr="00DA3BC7">
        <w:rPr>
          <w:rFonts w:ascii="Times New Roman" w:hAnsi="Times New Roman" w:hint="eastAsia"/>
          <w:sz w:val="20"/>
          <w:szCs w:val="20"/>
        </w:rPr>
        <w:t>）</w:t>
      </w:r>
    </w:p>
    <w:p w:rsidR="000E633B" w:rsidRDefault="00E84A31" w:rsidP="000E633B">
      <w:pPr>
        <w:ind w:leftChars="250" w:left="600"/>
        <w:jc w:val="both"/>
        <w:rPr>
          <w:rFonts w:ascii="Times New Roman" w:hAnsi="Times New Roman"/>
          <w:sz w:val="20"/>
          <w:szCs w:val="20"/>
        </w:rPr>
      </w:pPr>
      <w:r w:rsidRPr="006D0171">
        <w:rPr>
          <w:rFonts w:ascii="Times New Roman" w:hAnsi="Times New Roman" w:hint="eastAsia"/>
          <w:b/>
          <w:color w:val="FF0000"/>
          <w:sz w:val="20"/>
          <w:szCs w:val="20"/>
          <w:highlight w:val="yellow"/>
          <w:bdr w:val="single" w:sz="4" w:space="0" w:color="auto"/>
        </w:rPr>
        <w:t>（</w:t>
      </w:r>
      <w:r w:rsidR="00036D97">
        <w:rPr>
          <w:rFonts w:ascii="Times New Roman" w:hAnsi="Times New Roman" w:hint="eastAsia"/>
          <w:b/>
          <w:color w:val="FF0000"/>
          <w:sz w:val="20"/>
          <w:szCs w:val="20"/>
          <w:highlight w:val="yellow"/>
          <w:bdr w:val="single" w:sz="4" w:space="0" w:color="auto"/>
        </w:rPr>
        <w:t>1</w:t>
      </w:r>
      <w:r w:rsidRPr="006D0171">
        <w:rPr>
          <w:rFonts w:ascii="Times New Roman" w:hAnsi="Times New Roman" w:hint="eastAsia"/>
          <w:b/>
          <w:color w:val="FF0000"/>
          <w:sz w:val="20"/>
          <w:szCs w:val="20"/>
          <w:highlight w:val="yellow"/>
          <w:bdr w:val="single" w:sz="4" w:space="0" w:color="auto"/>
        </w:rPr>
        <w:t>）</w:t>
      </w:r>
      <w:r w:rsidR="00036D97" w:rsidRPr="00036D97">
        <w:rPr>
          <w:rFonts w:ascii="Times New Roman" w:hAnsi="Times New Roman" w:hint="eastAsia"/>
          <w:b/>
          <w:color w:val="FF0000"/>
          <w:sz w:val="20"/>
          <w:szCs w:val="20"/>
          <w:highlight w:val="yellow"/>
          <w:bdr w:val="single" w:sz="4" w:space="0" w:color="auto"/>
        </w:rPr>
        <w:t>明宗</w:t>
      </w:r>
      <w:r w:rsidRPr="00DA3BC7">
        <w:rPr>
          <w:rFonts w:ascii="Times New Roman" w:hAnsi="Times New Roman" w:hint="eastAsia"/>
          <w:sz w:val="20"/>
          <w:szCs w:val="20"/>
        </w:rPr>
        <w:t>（</w:t>
      </w:r>
      <w:r w:rsidRPr="00DA3BC7">
        <w:rPr>
          <w:rFonts w:ascii="Times New Roman" w:hAnsi="Times New Roman"/>
          <w:sz w:val="20"/>
          <w:szCs w:val="20"/>
        </w:rPr>
        <w:t>p.30</w:t>
      </w:r>
      <w:r w:rsidRPr="00DA3BC7">
        <w:rPr>
          <w:rFonts w:ascii="Times New Roman" w:hAnsi="Times New Roman" w:hint="eastAsia"/>
          <w:sz w:val="20"/>
          <w:szCs w:val="20"/>
        </w:rPr>
        <w:t>）</w:t>
      </w:r>
    </w:p>
    <w:p w:rsidR="00E84A31" w:rsidRPr="00DA3BC7" w:rsidRDefault="00E84A31" w:rsidP="000E633B">
      <w:pPr>
        <w:ind w:leftChars="250" w:left="600"/>
        <w:jc w:val="both"/>
        <w:rPr>
          <w:rFonts w:ascii="Times New Roman" w:hAnsi="Times New Roman"/>
        </w:rPr>
      </w:pPr>
      <w:r w:rsidRPr="00DA3BC7">
        <w:rPr>
          <w:rFonts w:ascii="Times New Roman" w:hAnsi="Times New Roman"/>
        </w:rPr>
        <w:lastRenderedPageBreak/>
        <w:t>如薩婆多部，把有為與無為看作兩種根本不同性質的實體法。</w:t>
      </w:r>
      <w:r w:rsidRPr="00DA3BC7">
        <w:rPr>
          <w:rStyle w:val="a6"/>
          <w:rFonts w:ascii="Times New Roman" w:hAnsi="Times New Roman"/>
        </w:rPr>
        <w:footnoteReference w:id="212"/>
      </w:r>
    </w:p>
    <w:p w:rsidR="00E84A31" w:rsidRPr="00DA3BC7" w:rsidRDefault="00E84A31" w:rsidP="00AE3920">
      <w:pPr>
        <w:spacing w:beforeLines="30"/>
        <w:ind w:leftChars="250" w:left="600"/>
        <w:jc w:val="both"/>
        <w:rPr>
          <w:rFonts w:ascii="Times New Roman" w:hAnsi="Times New Roman"/>
        </w:rPr>
      </w:pPr>
      <w:r w:rsidRPr="006D0171">
        <w:rPr>
          <w:rFonts w:ascii="Times New Roman" w:hAnsi="Times New Roman" w:hint="eastAsia"/>
          <w:b/>
          <w:color w:val="FF0000"/>
          <w:sz w:val="20"/>
          <w:szCs w:val="20"/>
          <w:highlight w:val="yellow"/>
          <w:bdr w:val="single" w:sz="4" w:space="0" w:color="auto"/>
        </w:rPr>
        <w:t>（</w:t>
      </w:r>
      <w:r w:rsidR="00036D97" w:rsidRPr="006D0171">
        <w:rPr>
          <w:rFonts w:ascii="Times New Roman" w:hAnsi="Times New Roman" w:hint="eastAsia"/>
          <w:b/>
          <w:color w:val="FF0000"/>
          <w:sz w:val="20"/>
          <w:szCs w:val="20"/>
          <w:highlight w:val="yellow"/>
          <w:bdr w:val="single" w:sz="4" w:space="0" w:color="auto"/>
        </w:rPr>
        <w:t>2</w:t>
      </w:r>
      <w:r w:rsidRPr="006D0171">
        <w:rPr>
          <w:rFonts w:ascii="Times New Roman" w:hAnsi="Times New Roman" w:hint="eastAsia"/>
          <w:b/>
          <w:color w:val="FF0000"/>
          <w:sz w:val="20"/>
          <w:szCs w:val="20"/>
          <w:highlight w:val="yellow"/>
          <w:bdr w:val="single" w:sz="4" w:space="0" w:color="auto"/>
        </w:rPr>
        <w:t>）</w:t>
      </w:r>
      <w:r w:rsidR="00036D97">
        <w:rPr>
          <w:rFonts w:ascii="Times New Roman" w:hAnsi="Times New Roman" w:hint="eastAsia"/>
          <w:b/>
          <w:color w:val="FF0000"/>
          <w:sz w:val="20"/>
          <w:szCs w:val="20"/>
          <w:highlight w:val="yellow"/>
          <w:bdr w:val="single" w:sz="4" w:space="0" w:color="auto"/>
        </w:rPr>
        <w:t>顯非</w:t>
      </w:r>
      <w:r w:rsidRPr="00DA3BC7">
        <w:rPr>
          <w:rFonts w:ascii="Times New Roman" w:hAnsi="Times New Roman" w:hint="eastAsia"/>
          <w:sz w:val="20"/>
          <w:szCs w:val="20"/>
        </w:rPr>
        <w:t>（</w:t>
      </w:r>
      <w:r w:rsidRPr="00DA3BC7">
        <w:rPr>
          <w:rFonts w:ascii="Times New Roman" w:hAnsi="Times New Roman"/>
          <w:sz w:val="20"/>
          <w:szCs w:val="20"/>
        </w:rPr>
        <w:t>p.30</w:t>
      </w:r>
      <w:r w:rsidRPr="00DA3BC7">
        <w:rPr>
          <w:rFonts w:ascii="Times New Roman" w:hAnsi="Times New Roman" w:hint="eastAsia"/>
          <w:sz w:val="20"/>
          <w:szCs w:val="20"/>
        </w:rPr>
        <w:t>）</w:t>
      </w:r>
    </w:p>
    <w:p w:rsidR="001968AB" w:rsidRPr="00DA3BC7" w:rsidRDefault="00E84A31" w:rsidP="000E633B">
      <w:pPr>
        <w:ind w:leftChars="250" w:left="600"/>
        <w:jc w:val="both"/>
        <w:rPr>
          <w:rFonts w:ascii="Times New Roman" w:hAnsi="Times New Roman"/>
        </w:rPr>
      </w:pPr>
      <w:r w:rsidRPr="00DA3BC7">
        <w:rPr>
          <w:rFonts w:ascii="Times New Roman" w:hAnsi="Times New Roman"/>
        </w:rPr>
        <w:t>這由於缺乏無生無為的深悟，專在名相上轉，所以不能正見《阿含</w:t>
      </w:r>
      <w:r w:rsidRPr="00DA3BC7">
        <w:rPr>
          <w:rFonts w:ascii="Times New Roman" w:hAnsi="Times New Roman" w:hint="eastAsia"/>
        </w:rPr>
        <w:t>經</w:t>
      </w:r>
      <w:r w:rsidRPr="00DA3BC7">
        <w:rPr>
          <w:rFonts w:ascii="Times New Roman" w:hAnsi="Times New Roman"/>
        </w:rPr>
        <w:t>》的教義，不能理解釋迦何以依緣起而建立一切。涅槃即是依緣起的「</w:t>
      </w:r>
      <w:r w:rsidRPr="00562AE7">
        <w:rPr>
          <w:rFonts w:ascii="標楷體" w:eastAsia="標楷體" w:hAnsi="標楷體"/>
        </w:rPr>
        <w:t>此無故彼無，此滅故彼滅</w:t>
      </w:r>
      <w:r w:rsidRPr="00DA3BC7">
        <w:rPr>
          <w:rFonts w:ascii="Times New Roman" w:hAnsi="Times New Roman"/>
        </w:rPr>
        <w:t>」的法則而顯示的，如何離卻緣起而另指一物！</w:t>
      </w:r>
    </w:p>
    <w:p w:rsidR="00E84A31" w:rsidRPr="00DA3BC7" w:rsidRDefault="00036D97" w:rsidP="00AE3920">
      <w:pPr>
        <w:spacing w:beforeLines="30"/>
        <w:ind w:leftChars="200" w:left="480"/>
        <w:jc w:val="both"/>
        <w:rPr>
          <w:rFonts w:ascii="Times New Roman" w:hAnsi="Times New Roman"/>
          <w:b/>
          <w:sz w:val="20"/>
          <w:szCs w:val="20"/>
          <w:bdr w:val="single" w:sz="4" w:space="0" w:color="auto"/>
        </w:rPr>
      </w:pPr>
      <w:r w:rsidRPr="00B123AE">
        <w:rPr>
          <w:rFonts w:ascii="Times New Roman" w:hAnsi="Times New Roman" w:hint="eastAsia"/>
          <w:b/>
          <w:color w:val="FF0000"/>
          <w:sz w:val="20"/>
          <w:szCs w:val="20"/>
          <w:highlight w:val="yellow"/>
          <w:bdr w:val="single" w:sz="4" w:space="0" w:color="auto"/>
        </w:rPr>
        <w:t>2</w:t>
      </w:r>
      <w:r w:rsidR="00B123AE">
        <w:rPr>
          <w:rFonts w:ascii="Times New Roman" w:hAnsi="Times New Roman" w:hint="eastAsia"/>
          <w:b/>
          <w:color w:val="FF0000"/>
          <w:sz w:val="20"/>
          <w:szCs w:val="20"/>
          <w:highlight w:val="yellow"/>
          <w:bdr w:val="single" w:sz="4" w:space="0" w:color="auto"/>
        </w:rPr>
        <w:t>、</w:t>
      </w:r>
      <w:r w:rsidR="00B123AE" w:rsidRPr="00B123AE">
        <w:rPr>
          <w:rFonts w:ascii="Times New Roman" w:hAnsi="Times New Roman" w:hint="eastAsia"/>
          <w:b/>
          <w:color w:val="FF0000"/>
          <w:sz w:val="20"/>
          <w:szCs w:val="26"/>
          <w:highlight w:val="yellow"/>
          <w:bdr w:val="single" w:sz="4" w:space="0" w:color="auto"/>
        </w:rPr>
        <w:t>評「</w:t>
      </w:r>
      <w:r w:rsidR="00E84A31" w:rsidRPr="00B123AE">
        <w:rPr>
          <w:rFonts w:ascii="Times New Roman" w:hAnsi="Times New Roman"/>
          <w:b/>
          <w:sz w:val="20"/>
          <w:szCs w:val="20"/>
          <w:bdr w:val="single" w:sz="4" w:space="0" w:color="auto"/>
        </w:rPr>
        <w:t>經部師</w:t>
      </w:r>
      <w:r w:rsidR="00B123AE" w:rsidRPr="00B123AE">
        <w:rPr>
          <w:rFonts w:ascii="Times New Roman" w:hAnsi="Times New Roman" w:hint="eastAsia"/>
          <w:b/>
          <w:color w:val="FF0000"/>
          <w:sz w:val="20"/>
          <w:szCs w:val="26"/>
          <w:highlight w:val="yellow"/>
          <w:bdr w:val="single" w:sz="4" w:space="0" w:color="auto"/>
        </w:rPr>
        <w:t>」</w:t>
      </w:r>
      <w:r w:rsidR="00E84A31" w:rsidRPr="00DA3BC7">
        <w:rPr>
          <w:rFonts w:ascii="Times New Roman" w:hAnsi="Times New Roman" w:hint="eastAsia"/>
          <w:sz w:val="20"/>
          <w:szCs w:val="20"/>
        </w:rPr>
        <w:t>（</w:t>
      </w:r>
      <w:r w:rsidR="00E84A31" w:rsidRPr="00DA3BC7">
        <w:rPr>
          <w:rFonts w:ascii="Times New Roman" w:hAnsi="Times New Roman"/>
          <w:sz w:val="20"/>
          <w:szCs w:val="20"/>
        </w:rPr>
        <w:t>p.30</w:t>
      </w:r>
      <w:r w:rsidR="00E84A31" w:rsidRPr="00DA3BC7">
        <w:rPr>
          <w:rFonts w:ascii="Times New Roman" w:hAnsi="Times New Roman" w:hint="eastAsia"/>
          <w:sz w:val="20"/>
          <w:szCs w:val="20"/>
        </w:rPr>
        <w:t>）</w:t>
      </w:r>
    </w:p>
    <w:p w:rsidR="000E633B" w:rsidRDefault="00E84A31" w:rsidP="000E633B">
      <w:pPr>
        <w:ind w:leftChars="250" w:left="600"/>
        <w:jc w:val="both"/>
        <w:rPr>
          <w:rFonts w:ascii="Times New Roman" w:hAnsi="Times New Roman"/>
          <w:sz w:val="20"/>
          <w:szCs w:val="20"/>
        </w:rPr>
      </w:pPr>
      <w:r w:rsidRPr="006D0171">
        <w:rPr>
          <w:rFonts w:ascii="Times New Roman" w:hAnsi="Times New Roman" w:hint="eastAsia"/>
          <w:b/>
          <w:color w:val="FF0000"/>
          <w:sz w:val="20"/>
          <w:szCs w:val="20"/>
          <w:highlight w:val="yellow"/>
          <w:bdr w:val="single" w:sz="4" w:space="0" w:color="auto"/>
        </w:rPr>
        <w:t>（</w:t>
      </w:r>
      <w:r w:rsidR="00036D97">
        <w:rPr>
          <w:rFonts w:ascii="Times New Roman" w:hAnsi="Times New Roman" w:hint="eastAsia"/>
          <w:b/>
          <w:color w:val="FF0000"/>
          <w:sz w:val="20"/>
          <w:szCs w:val="20"/>
          <w:highlight w:val="yellow"/>
          <w:bdr w:val="single" w:sz="4" w:space="0" w:color="auto"/>
        </w:rPr>
        <w:t>1</w:t>
      </w:r>
      <w:r w:rsidRPr="006D0171">
        <w:rPr>
          <w:rFonts w:ascii="Times New Roman" w:hAnsi="Times New Roman" w:hint="eastAsia"/>
          <w:b/>
          <w:color w:val="FF0000"/>
          <w:sz w:val="20"/>
          <w:szCs w:val="20"/>
          <w:highlight w:val="yellow"/>
          <w:bdr w:val="single" w:sz="4" w:space="0" w:color="auto"/>
        </w:rPr>
        <w:t>）</w:t>
      </w:r>
      <w:r w:rsidR="00036D97" w:rsidRPr="00036D97">
        <w:rPr>
          <w:rFonts w:ascii="新細明體" w:hAnsi="新細明體" w:hint="eastAsia"/>
          <w:b/>
          <w:color w:val="FF0000"/>
          <w:sz w:val="20"/>
          <w:szCs w:val="20"/>
          <w:highlight w:val="yellow"/>
          <w:bdr w:val="single" w:sz="4" w:space="0" w:color="auto"/>
        </w:rPr>
        <w:t>明宗</w:t>
      </w:r>
      <w:r w:rsidRPr="00DA3BC7">
        <w:rPr>
          <w:rFonts w:ascii="Times New Roman" w:hAnsi="Times New Roman" w:hint="eastAsia"/>
          <w:sz w:val="20"/>
          <w:szCs w:val="20"/>
        </w:rPr>
        <w:t>（</w:t>
      </w:r>
      <w:r w:rsidRPr="00DA3BC7">
        <w:rPr>
          <w:rFonts w:ascii="Times New Roman" w:hAnsi="Times New Roman"/>
          <w:sz w:val="20"/>
          <w:szCs w:val="20"/>
        </w:rPr>
        <w:t>p.30</w:t>
      </w:r>
      <w:r w:rsidRPr="00DA3BC7">
        <w:rPr>
          <w:rFonts w:ascii="Times New Roman" w:hAnsi="Times New Roman" w:hint="eastAsia"/>
          <w:sz w:val="20"/>
          <w:szCs w:val="20"/>
        </w:rPr>
        <w:t>）</w:t>
      </w:r>
    </w:p>
    <w:p w:rsidR="001968AB" w:rsidRPr="00DA3BC7" w:rsidRDefault="00E84A31" w:rsidP="000E633B">
      <w:pPr>
        <w:ind w:leftChars="250" w:left="600"/>
        <w:jc w:val="both"/>
        <w:rPr>
          <w:rFonts w:ascii="Times New Roman" w:hAnsi="Times New Roman"/>
        </w:rPr>
      </w:pPr>
      <w:r w:rsidRPr="00DA3BC7">
        <w:rPr>
          <w:rFonts w:ascii="Times New Roman" w:hAnsi="Times New Roman"/>
        </w:rPr>
        <w:t>又如經部師</w:t>
      </w:r>
      <w:r w:rsidRPr="00DA3BC7">
        <w:rPr>
          <w:rFonts w:ascii="新細明體" w:hAnsi="新細明體" w:hint="eastAsia"/>
        </w:rPr>
        <w:t>，</w:t>
      </w:r>
      <w:r w:rsidRPr="00DA3BC7">
        <w:rPr>
          <w:rFonts w:ascii="Times New Roman" w:hAnsi="Times New Roman"/>
        </w:rPr>
        <w:t>以無為是無，有為才是實有</w:t>
      </w:r>
      <w:r w:rsidRPr="00DA3BC7">
        <w:rPr>
          <w:rFonts w:ascii="新細明體" w:hAnsi="新細明體" w:hint="eastAsia"/>
        </w:rPr>
        <w:t>。</w:t>
      </w:r>
      <w:r w:rsidRPr="00DA3BC7">
        <w:rPr>
          <w:rStyle w:val="a6"/>
          <w:rFonts w:ascii="Times New Roman" w:hAnsi="Times New Roman"/>
        </w:rPr>
        <w:footnoteReference w:id="213"/>
      </w:r>
    </w:p>
    <w:p w:rsidR="00E84A31" w:rsidRPr="00DA3BC7" w:rsidRDefault="00036D97" w:rsidP="00AE3920">
      <w:pPr>
        <w:spacing w:beforeLines="30"/>
        <w:ind w:leftChars="250" w:left="600"/>
        <w:jc w:val="both"/>
        <w:rPr>
          <w:rFonts w:ascii="Times New Roman" w:hAnsi="Times New Roman"/>
          <w:b/>
          <w:sz w:val="20"/>
          <w:szCs w:val="20"/>
          <w:bdr w:val="single" w:sz="4" w:space="0" w:color="auto"/>
        </w:rPr>
      </w:pPr>
      <w:r w:rsidRPr="006D0171">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2</w:t>
      </w:r>
      <w:r w:rsidRPr="006D0171">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顯非</w:t>
      </w:r>
      <w:r w:rsidR="00E84A31" w:rsidRPr="00DA3BC7">
        <w:rPr>
          <w:rFonts w:ascii="Times New Roman" w:hAnsi="Times New Roman" w:hint="eastAsia"/>
          <w:sz w:val="20"/>
          <w:szCs w:val="20"/>
        </w:rPr>
        <w:t>（</w:t>
      </w:r>
      <w:r w:rsidR="00E84A31" w:rsidRPr="00DA3BC7">
        <w:rPr>
          <w:rFonts w:ascii="Times New Roman" w:hAnsi="Times New Roman"/>
          <w:sz w:val="20"/>
          <w:szCs w:val="20"/>
        </w:rPr>
        <w:t>pp.30-31</w:t>
      </w:r>
      <w:r w:rsidR="00E84A31" w:rsidRPr="00DA3BC7">
        <w:rPr>
          <w:rFonts w:ascii="Times New Roman" w:hAnsi="Times New Roman" w:hint="eastAsia"/>
          <w:sz w:val="20"/>
          <w:szCs w:val="20"/>
        </w:rPr>
        <w:t>）</w:t>
      </w:r>
    </w:p>
    <w:p w:rsidR="000E633B" w:rsidRDefault="00E84A31" w:rsidP="000E633B">
      <w:pPr>
        <w:ind w:leftChars="250" w:left="600"/>
        <w:jc w:val="both"/>
        <w:rPr>
          <w:rFonts w:ascii="Times New Roman" w:hAnsi="Times New Roman"/>
        </w:rPr>
      </w:pPr>
      <w:r w:rsidRPr="00DA3BC7">
        <w:rPr>
          <w:rFonts w:ascii="Times New Roman" w:hAnsi="Times New Roman"/>
        </w:rPr>
        <w:t>那麼佛法竟是教導眾生離開真實而歸向絕對的虛無了！要知道：</w:t>
      </w:r>
    </w:p>
    <w:p w:rsidR="000E633B" w:rsidRDefault="00E84A31" w:rsidP="000E633B">
      <w:pPr>
        <w:ind w:leftChars="250" w:left="600"/>
        <w:jc w:val="both"/>
        <w:rPr>
          <w:rFonts w:ascii="Times New Roman" w:hAnsi="Times New Roman"/>
        </w:rPr>
      </w:pPr>
      <w:r w:rsidRPr="00DA3BC7">
        <w:rPr>
          <w:rFonts w:ascii="Times New Roman" w:hAnsi="Times New Roman"/>
        </w:rPr>
        <w:t>生滅相續的是</w:t>
      </w:r>
      <w:r w:rsidRPr="00DA3BC7">
        <w:rPr>
          <w:rFonts w:ascii="Times New Roman" w:hAnsi="Times New Roman"/>
          <w:b/>
        </w:rPr>
        <w:t>無常</w:t>
      </w:r>
      <w:r w:rsidRPr="00DA3BC7">
        <w:rPr>
          <w:rFonts w:ascii="Times New Roman" w:hAnsi="Times New Roman"/>
        </w:rPr>
        <w:t>，蘊等和合的是</w:t>
      </w:r>
      <w:r w:rsidRPr="00DA3BC7">
        <w:rPr>
          <w:rFonts w:ascii="Times New Roman" w:hAnsi="Times New Roman"/>
          <w:b/>
        </w:rPr>
        <w:t>無我</w:t>
      </w:r>
      <w:r w:rsidRPr="00DA3BC7">
        <w:rPr>
          <w:rFonts w:ascii="Times New Roman" w:hAnsi="Times New Roman"/>
        </w:rPr>
        <w:t>，</w:t>
      </w:r>
      <w:r w:rsidRPr="00DA3BC7">
        <w:rPr>
          <w:rFonts w:ascii="Times New Roman" w:hAnsi="Times New Roman"/>
          <w:b/>
        </w:rPr>
        <w:t>依無常</w:t>
      </w:r>
      <w:r w:rsidRPr="00DA3BC7">
        <w:rPr>
          <w:rFonts w:ascii="Times New Roman" w:hAnsi="Times New Roman" w:hint="eastAsia"/>
          <w:b/>
        </w:rPr>
        <w:t>、</w:t>
      </w:r>
      <w:r w:rsidRPr="00DA3BC7">
        <w:rPr>
          <w:rFonts w:ascii="Times New Roman" w:hAnsi="Times New Roman"/>
          <w:b/>
        </w:rPr>
        <w:t>無我的事相，說明流轉門</w:t>
      </w:r>
      <w:r w:rsidRPr="00DA3BC7">
        <w:rPr>
          <w:rFonts w:ascii="Times New Roman" w:hAnsi="Times New Roman"/>
        </w:rPr>
        <w:t>。</w:t>
      </w:r>
    </w:p>
    <w:p w:rsidR="00E84A31" w:rsidRPr="00DA3BC7" w:rsidRDefault="00E84A31" w:rsidP="000E633B">
      <w:pPr>
        <w:ind w:leftChars="250" w:left="600"/>
        <w:jc w:val="both"/>
        <w:rPr>
          <w:rFonts w:ascii="Times New Roman" w:hAnsi="Times New Roman"/>
        </w:rPr>
      </w:pPr>
      <w:r w:rsidRPr="00DA3BC7">
        <w:rPr>
          <w:rFonts w:ascii="Times New Roman" w:hAnsi="Times New Roman"/>
        </w:rPr>
        <w:t>能夠體悟無我無我所，</w:t>
      </w:r>
      <w:r w:rsidRPr="00DA3BC7">
        <w:rPr>
          <w:rFonts w:ascii="Times New Roman" w:hAnsi="Times New Roman"/>
          <w:b/>
        </w:rPr>
        <w:t>達到「</w:t>
      </w:r>
      <w:r w:rsidRPr="00C8381B">
        <w:rPr>
          <w:rFonts w:ascii="標楷體" w:eastAsia="標楷體" w:hAnsi="標楷體"/>
          <w:b/>
        </w:rPr>
        <w:t>此</w:t>
      </w:r>
      <w:r w:rsidRPr="00C8381B">
        <w:rPr>
          <w:rFonts w:ascii="標楷體" w:eastAsia="標楷體" w:hAnsi="標楷體" w:hint="eastAsia"/>
          <w:b/>
        </w:rPr>
        <w:t>無</w:t>
      </w:r>
      <w:r w:rsidRPr="00C8381B">
        <w:rPr>
          <w:rFonts w:ascii="標楷體" w:eastAsia="標楷體" w:hAnsi="標楷體"/>
          <w:b/>
        </w:rPr>
        <w:t>故彼</w:t>
      </w:r>
      <w:r w:rsidRPr="00C8381B">
        <w:rPr>
          <w:rFonts w:ascii="標楷體" w:eastAsia="標楷體" w:hAnsi="標楷體" w:hint="eastAsia"/>
          <w:b/>
        </w:rPr>
        <w:t>無</w:t>
      </w:r>
      <w:r w:rsidRPr="00C8381B">
        <w:rPr>
          <w:rFonts w:ascii="標楷體" w:eastAsia="標楷體" w:hAnsi="標楷體"/>
          <w:b/>
        </w:rPr>
        <w:t>，此</w:t>
      </w:r>
      <w:r w:rsidRPr="00C8381B">
        <w:rPr>
          <w:rFonts w:ascii="標楷體" w:eastAsia="標楷體" w:hAnsi="標楷體" w:hint="eastAsia"/>
          <w:b/>
        </w:rPr>
        <w:t>滅</w:t>
      </w:r>
      <w:r w:rsidRPr="00C8381B">
        <w:rPr>
          <w:rFonts w:ascii="標楷體" w:eastAsia="標楷體" w:hAnsi="標楷體"/>
          <w:b/>
        </w:rPr>
        <w:t>故彼</w:t>
      </w:r>
      <w:r w:rsidRPr="00C8381B">
        <w:rPr>
          <w:rFonts w:ascii="標楷體" w:eastAsia="標楷體" w:hAnsi="標楷體" w:hint="eastAsia"/>
          <w:b/>
        </w:rPr>
        <w:t>滅</w:t>
      </w:r>
      <w:r w:rsidRPr="00DA3BC7">
        <w:rPr>
          <w:rFonts w:ascii="Times New Roman" w:hAnsi="Times New Roman"/>
          <w:b/>
        </w:rPr>
        <w:t>」的涅槃，這是</w:t>
      </w:r>
      <w:r w:rsidRPr="00DA3BC7">
        <w:rPr>
          <w:rFonts w:ascii="Times New Roman" w:hAnsi="Times New Roman"/>
          <w:b/>
        </w:rPr>
        <w:lastRenderedPageBreak/>
        <w:t>還滅門</w:t>
      </w:r>
      <w:r w:rsidRPr="00DA3BC7">
        <w:rPr>
          <w:rFonts w:ascii="Times New Roman" w:hAnsi="Times New Roman"/>
        </w:rPr>
        <w:t>。</w:t>
      </w:r>
    </w:p>
    <w:p w:rsidR="00E84A31" w:rsidRPr="00DA3BC7" w:rsidRDefault="00E84A31" w:rsidP="000E633B">
      <w:pPr>
        <w:ind w:leftChars="250" w:left="600"/>
        <w:jc w:val="both"/>
        <w:rPr>
          <w:rFonts w:ascii="Times New Roman" w:hAnsi="Times New Roman"/>
        </w:rPr>
      </w:pPr>
      <w:r w:rsidRPr="00DA3BC7">
        <w:rPr>
          <w:rFonts w:ascii="Times New Roman" w:hAnsi="Times New Roman"/>
        </w:rPr>
        <w:t>這雖是釋尊所教示的，但這不過是從</w:t>
      </w:r>
      <w:r w:rsidRPr="00DA3BC7">
        <w:rPr>
          <w:rFonts w:ascii="Times New Roman" w:hAnsi="Times New Roman"/>
          <w:b/>
        </w:rPr>
        <w:t>緣起事相的消散過程</w:t>
      </w:r>
      <w:r w:rsidRPr="00DA3BC7">
        <w:rPr>
          <w:rFonts w:ascii="Times New Roman" w:hAnsi="Times New Roman"/>
        </w:rPr>
        <w:t>上說。</w:t>
      </w:r>
    </w:p>
    <w:p w:rsidR="001968AB" w:rsidRPr="00DA3BC7" w:rsidRDefault="00E84A31" w:rsidP="00AE3920">
      <w:pPr>
        <w:spacing w:beforeLines="20"/>
        <w:ind w:leftChars="250" w:left="600"/>
        <w:jc w:val="both"/>
        <w:rPr>
          <w:rFonts w:ascii="Times New Roman" w:hAnsi="Times New Roman"/>
        </w:rPr>
      </w:pPr>
      <w:r w:rsidRPr="00DA3BC7">
        <w:rPr>
          <w:rFonts w:ascii="Times New Roman" w:hAnsi="Times New Roman"/>
        </w:rPr>
        <w:t>這「無」與「滅」，實是</w:t>
      </w:r>
      <w:r w:rsidRPr="00DA3BC7">
        <w:rPr>
          <w:rFonts w:ascii="Times New Roman" w:hAnsi="Times New Roman"/>
          <w:b/>
        </w:rPr>
        <w:t>有與生的否定</w:t>
      </w:r>
      <w:r w:rsidRPr="00DA3BC7">
        <w:rPr>
          <w:rFonts w:ascii="Times New Roman" w:hAnsi="Times New Roman"/>
        </w:rPr>
        <w:t>，還是建立在</w:t>
      </w:r>
      <w:r w:rsidRPr="00DA3BC7">
        <w:rPr>
          <w:rFonts w:ascii="Times New Roman" w:hAnsi="Times New Roman"/>
          <w:b/>
        </w:rPr>
        <w:t>有為事實</w:t>
      </w:r>
      <w:r w:rsidRPr="00DA3BC7">
        <w:rPr>
          <w:rFonts w:ascii="Times New Roman" w:hAnsi="Times New Roman"/>
        </w:rPr>
        <w:t>上的，這那裏能說是涅槃</w:t>
      </w:r>
      <w:r w:rsidRPr="00DA3BC7">
        <w:rPr>
          <w:rFonts w:ascii="新細明體" w:hAnsi="新細明體"/>
        </w:rPr>
        <w:t>──</w:t>
      </w:r>
      <w:r w:rsidRPr="00DA3BC7">
        <w:rPr>
          <w:rFonts w:ascii="Times New Roman" w:hAnsi="Times New Roman"/>
        </w:rPr>
        <w:t>滅諦？所以古人說：「</w:t>
      </w:r>
      <w:r w:rsidRPr="00DA3BC7">
        <w:rPr>
          <w:rFonts w:ascii="Times New Roman" w:eastAsia="標楷體" w:hAnsi="Times New Roman"/>
        </w:rPr>
        <w:t>滅尚非真，三諦</w:t>
      </w:r>
      <w:r w:rsidRPr="00DA3BC7">
        <w:rPr>
          <w:rStyle w:val="a6"/>
          <w:rFonts w:ascii="Times New Roman" w:hAnsi="Times New Roman"/>
        </w:rPr>
        <w:footnoteReference w:id="214"/>
      </w:r>
      <w:r w:rsidRPr="00DA3BC7">
        <w:rPr>
          <w:rFonts w:ascii="Times New Roman" w:eastAsia="標楷體" w:hAnsi="Times New Roman"/>
        </w:rPr>
        <w:t>焉是</w:t>
      </w:r>
      <w:r w:rsidRPr="00DA3BC7">
        <w:rPr>
          <w:rFonts w:ascii="標楷體" w:eastAsia="標楷體" w:hAnsi="標楷體" w:hint="eastAsia"/>
        </w:rPr>
        <w:t>？</w:t>
      </w:r>
      <w:r w:rsidRPr="00DA3BC7">
        <w:rPr>
          <w:rFonts w:ascii="Times New Roman" w:hAnsi="Times New Roman"/>
        </w:rPr>
        <w:t>」</w:t>
      </w:r>
      <w:r w:rsidRPr="00DA3BC7">
        <w:rPr>
          <w:rStyle w:val="a6"/>
          <w:rFonts w:ascii="Times New Roman" w:hAnsi="Times New Roman"/>
        </w:rPr>
        <w:footnoteReference w:id="215"/>
      </w:r>
    </w:p>
    <w:p w:rsidR="00E84A31" w:rsidRPr="00DA3BC7" w:rsidRDefault="001C34B0" w:rsidP="00AE3920">
      <w:pPr>
        <w:spacing w:beforeLines="30"/>
        <w:ind w:leftChars="200" w:left="480"/>
        <w:jc w:val="both"/>
        <w:rPr>
          <w:rFonts w:ascii="Times New Roman" w:hAnsi="Times New Roman"/>
          <w:b/>
          <w:sz w:val="20"/>
          <w:szCs w:val="20"/>
        </w:rPr>
      </w:pPr>
      <w:r w:rsidRPr="00B123AE">
        <w:rPr>
          <w:rFonts w:ascii="Times New Roman" w:hAnsi="Times New Roman" w:hint="eastAsia"/>
          <w:b/>
          <w:color w:val="FF0000"/>
          <w:sz w:val="20"/>
          <w:szCs w:val="20"/>
          <w:highlight w:val="yellow"/>
          <w:bdr w:val="single" w:sz="4" w:space="0" w:color="auto"/>
        </w:rPr>
        <w:t>3</w:t>
      </w:r>
      <w:r w:rsidR="00E84A31" w:rsidRPr="00B123AE">
        <w:rPr>
          <w:rFonts w:ascii="Times New Roman" w:hAnsi="Times New Roman" w:hint="eastAsia"/>
          <w:b/>
          <w:color w:val="FF0000"/>
          <w:sz w:val="20"/>
          <w:szCs w:val="20"/>
          <w:highlight w:val="yellow"/>
          <w:bdr w:val="single" w:sz="4" w:space="0" w:color="auto"/>
        </w:rPr>
        <w:t>、</w:t>
      </w:r>
      <w:r w:rsidR="00B123AE" w:rsidRPr="00B123AE">
        <w:rPr>
          <w:rFonts w:ascii="Times New Roman" w:hAnsi="Times New Roman" w:hint="eastAsia"/>
          <w:b/>
          <w:color w:val="FF0000"/>
          <w:sz w:val="20"/>
          <w:szCs w:val="26"/>
          <w:highlight w:val="yellow"/>
          <w:bdr w:val="single" w:sz="4" w:space="0" w:color="auto"/>
        </w:rPr>
        <w:t>評「</w:t>
      </w:r>
      <w:r w:rsidR="00E84A31" w:rsidRPr="00B123AE">
        <w:rPr>
          <w:rFonts w:ascii="Times New Roman" w:hAnsi="Times New Roman"/>
          <w:b/>
          <w:sz w:val="20"/>
          <w:szCs w:val="20"/>
          <w:bdr w:val="single" w:sz="4" w:space="0" w:color="auto"/>
        </w:rPr>
        <w:t>大眾系學者</w:t>
      </w:r>
      <w:r w:rsidR="00B123AE" w:rsidRPr="00B123AE">
        <w:rPr>
          <w:rFonts w:ascii="Times New Roman" w:hAnsi="Times New Roman" w:hint="eastAsia"/>
          <w:b/>
          <w:color w:val="FF0000"/>
          <w:sz w:val="20"/>
          <w:szCs w:val="26"/>
          <w:highlight w:val="yellow"/>
          <w:bdr w:val="single" w:sz="4" w:space="0" w:color="auto"/>
        </w:rPr>
        <w:t>」</w:t>
      </w:r>
      <w:r w:rsidR="00E84A31" w:rsidRPr="00DA3BC7">
        <w:rPr>
          <w:rFonts w:ascii="Times New Roman" w:hAnsi="Times New Roman" w:hint="eastAsia"/>
          <w:sz w:val="20"/>
          <w:szCs w:val="20"/>
        </w:rPr>
        <w:t>（</w:t>
      </w:r>
      <w:r w:rsidR="00E84A31" w:rsidRPr="00DA3BC7">
        <w:rPr>
          <w:rFonts w:ascii="Times New Roman" w:hAnsi="Times New Roman"/>
          <w:sz w:val="20"/>
          <w:szCs w:val="20"/>
        </w:rPr>
        <w:t>p.31</w:t>
      </w:r>
      <w:r w:rsidR="00E84A31" w:rsidRPr="00DA3BC7">
        <w:rPr>
          <w:rFonts w:ascii="Times New Roman" w:hAnsi="Times New Roman" w:hint="eastAsia"/>
          <w:sz w:val="20"/>
          <w:szCs w:val="20"/>
        </w:rPr>
        <w:t>）</w:t>
      </w:r>
    </w:p>
    <w:p w:rsidR="001968AB" w:rsidRPr="00DA3BC7" w:rsidRDefault="00E84A31" w:rsidP="000E633B">
      <w:pPr>
        <w:ind w:leftChars="200" w:left="480"/>
        <w:jc w:val="both"/>
        <w:rPr>
          <w:rFonts w:ascii="Times New Roman" w:hAnsi="Times New Roman"/>
          <w:sz w:val="16"/>
          <w:szCs w:val="16"/>
        </w:rPr>
      </w:pPr>
      <w:r w:rsidRPr="00DA3BC7">
        <w:rPr>
          <w:rFonts w:ascii="Times New Roman" w:hAnsi="Times New Roman" w:hint="eastAsia"/>
        </w:rPr>
        <w:t>還有，</w:t>
      </w:r>
      <w:r w:rsidRPr="00DA3BC7">
        <w:rPr>
          <w:rFonts w:ascii="Times New Roman" w:hAnsi="Times New Roman"/>
        </w:rPr>
        <w:t>大眾系學者，誤會不生不滅的意義，因而成立各式各樣的無為，都是離開事相的理性</w:t>
      </w:r>
      <w:r w:rsidRPr="00DA3BC7">
        <w:rPr>
          <w:rFonts w:ascii="Times New Roman" w:hAnsi="Times New Roman"/>
          <w:szCs w:val="23"/>
        </w:rPr>
        <w:t>。</w:t>
      </w:r>
      <w:r w:rsidRPr="00DA3BC7">
        <w:rPr>
          <w:rStyle w:val="a6"/>
          <w:rFonts w:ascii="Times New Roman" w:hAnsi="Times New Roman"/>
          <w:szCs w:val="23"/>
        </w:rPr>
        <w:footnoteReference w:id="216"/>
      </w:r>
    </w:p>
    <w:p w:rsidR="00E84A31" w:rsidRPr="00DA3BC7" w:rsidRDefault="00E84A31" w:rsidP="00AE3920">
      <w:pPr>
        <w:spacing w:beforeLines="30"/>
        <w:ind w:leftChars="150" w:left="360"/>
        <w:jc w:val="both"/>
        <w:rPr>
          <w:rFonts w:ascii="Times New Roman" w:hAnsi="Times New Roman"/>
          <w:b/>
          <w:sz w:val="20"/>
          <w:szCs w:val="20"/>
          <w:bdr w:val="single" w:sz="4" w:space="0" w:color="auto"/>
        </w:rPr>
      </w:pPr>
      <w:r w:rsidRPr="006D0171">
        <w:rPr>
          <w:rFonts w:ascii="Times New Roman" w:hAnsi="Times New Roman" w:hint="eastAsia"/>
          <w:b/>
          <w:color w:val="FF0000"/>
          <w:sz w:val="20"/>
          <w:szCs w:val="20"/>
          <w:highlight w:val="yellow"/>
          <w:bdr w:val="single" w:sz="4" w:space="0" w:color="auto"/>
        </w:rPr>
        <w:t>（</w:t>
      </w:r>
      <w:r w:rsidR="001C34B0" w:rsidRPr="001C34B0">
        <w:rPr>
          <w:rFonts w:ascii="Times New Roman" w:hAnsi="Times New Roman" w:hint="eastAsia"/>
          <w:b/>
          <w:color w:val="FF0000"/>
          <w:sz w:val="20"/>
          <w:szCs w:val="20"/>
          <w:highlight w:val="yellow"/>
          <w:bdr w:val="single" w:sz="4" w:space="0" w:color="auto"/>
        </w:rPr>
        <w:t>三</w:t>
      </w:r>
      <w:r w:rsidRPr="006D0171">
        <w:rPr>
          <w:rFonts w:ascii="Times New Roman" w:hAnsi="Times New Roman" w:hint="eastAsia"/>
          <w:b/>
          <w:color w:val="FF0000"/>
          <w:sz w:val="20"/>
          <w:szCs w:val="20"/>
          <w:highlight w:val="yellow"/>
          <w:bdr w:val="single" w:sz="4" w:space="0" w:color="auto"/>
        </w:rPr>
        <w:t>）</w:t>
      </w:r>
      <w:r w:rsidRPr="00DA3BC7">
        <w:rPr>
          <w:rFonts w:ascii="Times New Roman" w:hAnsi="Times New Roman" w:hint="eastAsia"/>
          <w:b/>
          <w:sz w:val="20"/>
          <w:szCs w:val="20"/>
          <w:bdr w:val="single" w:sz="4" w:space="0" w:color="auto"/>
        </w:rPr>
        <w:t>小結</w:t>
      </w:r>
      <w:r w:rsidRPr="00DA3BC7">
        <w:rPr>
          <w:rFonts w:ascii="Times New Roman" w:hAnsi="Times New Roman" w:hint="eastAsia"/>
          <w:sz w:val="20"/>
          <w:szCs w:val="20"/>
        </w:rPr>
        <w:t>（</w:t>
      </w:r>
      <w:r w:rsidRPr="00DA3BC7">
        <w:rPr>
          <w:rFonts w:ascii="Times New Roman" w:hAnsi="Times New Roman"/>
          <w:sz w:val="20"/>
          <w:szCs w:val="20"/>
        </w:rPr>
        <w:t>p.31</w:t>
      </w:r>
      <w:r w:rsidRPr="00DA3BC7">
        <w:rPr>
          <w:rFonts w:ascii="Times New Roman" w:hAnsi="Times New Roman" w:hint="eastAsia"/>
          <w:sz w:val="20"/>
          <w:szCs w:val="20"/>
        </w:rPr>
        <w:t>）</w:t>
      </w:r>
    </w:p>
    <w:p w:rsidR="001968AB" w:rsidRPr="00DA3BC7" w:rsidRDefault="00E84A31" w:rsidP="000E633B">
      <w:pPr>
        <w:ind w:leftChars="150" w:left="360"/>
        <w:jc w:val="both"/>
        <w:rPr>
          <w:rFonts w:ascii="Times New Roman" w:hAnsi="Times New Roman"/>
        </w:rPr>
      </w:pPr>
      <w:r w:rsidRPr="00DA3BC7">
        <w:rPr>
          <w:rFonts w:ascii="Times New Roman" w:hAnsi="Times New Roman" w:hint="eastAsia"/>
        </w:rPr>
        <w:t>所以</w:t>
      </w:r>
      <w:r w:rsidRPr="00DA3BC7">
        <w:rPr>
          <w:rFonts w:ascii="新細明體" w:hAnsi="新細明體" w:hint="eastAsia"/>
        </w:rPr>
        <w:t>，</w:t>
      </w:r>
      <w:r w:rsidRPr="00DA3BC7">
        <w:rPr>
          <w:rFonts w:ascii="Times New Roman" w:hAnsi="Times New Roman"/>
        </w:rPr>
        <w:t>不是將無為與涅槃看作離事實而別有實體，即是看作沒有。尤其生滅無常，被他們局限在緣起事相上說，根本不成其為法印！</w:t>
      </w:r>
    </w:p>
    <w:p w:rsidR="001968AB" w:rsidRPr="00DA3BC7" w:rsidRDefault="001C34B0" w:rsidP="00AE3920">
      <w:pPr>
        <w:spacing w:beforeLines="30"/>
        <w:ind w:leftChars="100" w:left="240"/>
        <w:jc w:val="both"/>
        <w:rPr>
          <w:rFonts w:ascii="Times New Roman" w:hAnsi="Times New Roman"/>
          <w:b/>
          <w:bCs/>
          <w:sz w:val="20"/>
          <w:szCs w:val="20"/>
        </w:rPr>
      </w:pPr>
      <w:r>
        <w:rPr>
          <w:rFonts w:ascii="Times New Roman" w:hAnsi="Times New Roman" w:hint="eastAsia"/>
          <w:b/>
          <w:color w:val="FF0000"/>
          <w:sz w:val="20"/>
          <w:szCs w:val="20"/>
          <w:highlight w:val="yellow"/>
          <w:bdr w:val="single" w:sz="4" w:space="0" w:color="auto"/>
        </w:rPr>
        <w:t>二</w:t>
      </w:r>
      <w:r w:rsidR="00E84A31" w:rsidRPr="001C34B0">
        <w:rPr>
          <w:rFonts w:ascii="Times New Roman" w:hAnsi="Times New Roman" w:hint="eastAsia"/>
          <w:b/>
          <w:color w:val="FF0000"/>
          <w:sz w:val="20"/>
          <w:szCs w:val="20"/>
          <w:highlight w:val="yellow"/>
          <w:bdr w:val="single" w:sz="4" w:space="0" w:color="auto"/>
        </w:rPr>
        <w:t>、</w:t>
      </w:r>
      <w:r w:rsidR="00E84A31" w:rsidRPr="001C34B0">
        <w:rPr>
          <w:rFonts w:ascii="Times New Roman" w:hAnsi="Times New Roman"/>
          <w:b/>
          <w:color w:val="FF0000"/>
          <w:sz w:val="20"/>
          <w:szCs w:val="20"/>
          <w:highlight w:val="yellow"/>
          <w:bdr w:val="single" w:sz="4" w:space="0" w:color="auto"/>
        </w:rPr>
        <w:t>大乘</w:t>
      </w:r>
      <w:r w:rsidRPr="001C34B0">
        <w:rPr>
          <w:rFonts w:ascii="Times New Roman" w:hAnsi="Times New Roman" w:hint="eastAsia"/>
          <w:b/>
          <w:color w:val="FF0000"/>
          <w:sz w:val="20"/>
          <w:szCs w:val="20"/>
          <w:highlight w:val="yellow"/>
          <w:bdr w:val="single" w:sz="4" w:space="0" w:color="auto"/>
        </w:rPr>
        <w:t>［龍樹系］</w:t>
      </w:r>
      <w:r>
        <w:rPr>
          <w:rFonts w:ascii="Times New Roman" w:hAnsi="Times New Roman" w:hint="eastAsia"/>
          <w:b/>
          <w:color w:val="FF0000"/>
          <w:sz w:val="20"/>
          <w:szCs w:val="20"/>
          <w:highlight w:val="yellow"/>
          <w:bdr w:val="single" w:sz="4" w:space="0" w:color="auto"/>
        </w:rPr>
        <w:t>的見解</w:t>
      </w:r>
      <w:r w:rsidR="00E84A31" w:rsidRPr="00DA3BC7">
        <w:rPr>
          <w:rFonts w:ascii="Times New Roman" w:hAnsi="Times New Roman" w:hint="eastAsia"/>
          <w:bCs/>
          <w:sz w:val="20"/>
          <w:szCs w:val="20"/>
        </w:rPr>
        <w:t>（</w:t>
      </w:r>
      <w:r w:rsidR="00E84A31" w:rsidRPr="00DA3BC7">
        <w:rPr>
          <w:rFonts w:ascii="Times New Roman" w:hAnsi="Times New Roman"/>
          <w:bCs/>
          <w:sz w:val="20"/>
          <w:szCs w:val="20"/>
        </w:rPr>
        <w:t>pp.31-32</w:t>
      </w:r>
      <w:r w:rsidR="00E84A31" w:rsidRPr="00DA3BC7">
        <w:rPr>
          <w:rFonts w:ascii="Times New Roman" w:hAnsi="Times New Roman" w:hint="eastAsia"/>
          <w:bCs/>
          <w:sz w:val="20"/>
          <w:szCs w:val="20"/>
        </w:rPr>
        <w:t>）</w:t>
      </w:r>
    </w:p>
    <w:p w:rsidR="00E84A31" w:rsidRPr="00DA3BC7" w:rsidRDefault="00E84A31" w:rsidP="006D0171">
      <w:pPr>
        <w:ind w:leftChars="150" w:left="360"/>
        <w:jc w:val="both"/>
        <w:rPr>
          <w:rFonts w:ascii="Times New Roman" w:hAnsi="Times New Roman"/>
          <w:b/>
          <w:sz w:val="20"/>
          <w:szCs w:val="26"/>
          <w:bdr w:val="single" w:sz="4" w:space="0" w:color="auto"/>
        </w:rPr>
      </w:pPr>
      <w:r w:rsidRPr="001C34B0">
        <w:rPr>
          <w:rFonts w:ascii="Times New Roman" w:hAnsi="Times New Roman" w:hint="eastAsia"/>
          <w:b/>
          <w:color w:val="FF0000"/>
          <w:sz w:val="20"/>
          <w:szCs w:val="26"/>
          <w:highlight w:val="yellow"/>
          <w:bdr w:val="single" w:sz="4" w:space="0" w:color="auto"/>
        </w:rPr>
        <w:t>（</w:t>
      </w:r>
      <w:r w:rsidR="001C34B0" w:rsidRPr="001C34B0">
        <w:rPr>
          <w:rFonts w:ascii="Times New Roman" w:hAnsi="Times New Roman" w:hint="eastAsia"/>
          <w:b/>
          <w:color w:val="FF0000"/>
          <w:sz w:val="20"/>
          <w:szCs w:val="26"/>
          <w:highlight w:val="yellow"/>
          <w:bdr w:val="single" w:sz="4" w:space="0" w:color="auto"/>
        </w:rPr>
        <w:t>一</w:t>
      </w:r>
      <w:r w:rsidRPr="001C34B0">
        <w:rPr>
          <w:rFonts w:ascii="Times New Roman" w:hAnsi="Times New Roman" w:hint="eastAsia"/>
          <w:b/>
          <w:color w:val="FF0000"/>
          <w:sz w:val="20"/>
          <w:szCs w:val="26"/>
          <w:highlight w:val="yellow"/>
          <w:bdr w:val="single" w:sz="4" w:space="0" w:color="auto"/>
        </w:rPr>
        <w:t>）</w:t>
      </w:r>
      <w:r w:rsidR="001C34B0">
        <w:rPr>
          <w:rFonts w:ascii="Times New Roman" w:hAnsi="Times New Roman" w:hint="eastAsia"/>
          <w:b/>
          <w:color w:val="FF0000"/>
          <w:sz w:val="20"/>
          <w:szCs w:val="26"/>
          <w:highlight w:val="yellow"/>
          <w:bdr w:val="single" w:sz="4" w:space="0" w:color="auto"/>
        </w:rPr>
        <w:t>論理</w:t>
      </w:r>
      <w:r w:rsidR="00D10440" w:rsidRPr="00DA3BC7">
        <w:rPr>
          <w:rFonts w:ascii="Times New Roman" w:hAnsi="Times New Roman" w:hint="eastAsia"/>
          <w:bCs/>
          <w:sz w:val="20"/>
          <w:szCs w:val="20"/>
        </w:rPr>
        <w:t>（</w:t>
      </w:r>
      <w:r w:rsidR="00D10440" w:rsidRPr="00DA3BC7">
        <w:rPr>
          <w:rFonts w:ascii="Times New Roman" w:hAnsi="Times New Roman"/>
          <w:bCs/>
          <w:sz w:val="20"/>
          <w:szCs w:val="20"/>
        </w:rPr>
        <w:t>pp.31-32</w:t>
      </w:r>
      <w:r w:rsidR="00D10440" w:rsidRPr="00DA3BC7">
        <w:rPr>
          <w:rFonts w:ascii="Times New Roman" w:hAnsi="Times New Roman" w:hint="eastAsia"/>
          <w:bCs/>
          <w:sz w:val="20"/>
          <w:szCs w:val="20"/>
        </w:rPr>
        <w:t>）</w:t>
      </w:r>
    </w:p>
    <w:p w:rsidR="000E633B" w:rsidRDefault="00E84A31" w:rsidP="000E633B">
      <w:pPr>
        <w:ind w:leftChars="150" w:left="360"/>
        <w:jc w:val="both"/>
        <w:rPr>
          <w:rFonts w:ascii="Times New Roman" w:hAnsi="Times New Roman"/>
        </w:rPr>
      </w:pPr>
      <w:r w:rsidRPr="00DA3BC7">
        <w:rPr>
          <w:rFonts w:ascii="Times New Roman" w:hAnsi="Times New Roman"/>
        </w:rPr>
        <w:t>大乘學者</w:t>
      </w:r>
      <w:r w:rsidRPr="00DA3BC7">
        <w:rPr>
          <w:rFonts w:ascii="Times New Roman" w:hAnsi="Times New Roman"/>
          <w:b/>
        </w:rPr>
        <w:t>從無生無為的深悟中，直見正覺內容的</w:t>
      </w:r>
      <w:r w:rsidRPr="00DA3BC7">
        <w:rPr>
          <w:rFonts w:ascii="新細明體" w:hAnsi="新細明體"/>
          <w:b/>
        </w:rPr>
        <w:t>──</w:t>
      </w:r>
      <w:r w:rsidRPr="00DA3BC7">
        <w:rPr>
          <w:rFonts w:ascii="Times New Roman" w:hAnsi="Times New Roman"/>
          <w:b/>
        </w:rPr>
        <w:t>無為的不生不滅</w:t>
      </w:r>
      <w:r w:rsidRPr="00DA3BC7">
        <w:rPr>
          <w:rFonts w:ascii="Times New Roman" w:hAnsi="Times New Roman"/>
        </w:rPr>
        <w:t>。</w:t>
      </w:r>
    </w:p>
    <w:p w:rsidR="00E84A31" w:rsidRPr="00DA3BC7" w:rsidRDefault="00E84A31" w:rsidP="008E2BBC">
      <w:pPr>
        <w:ind w:leftChars="150" w:left="360"/>
        <w:jc w:val="both"/>
        <w:rPr>
          <w:rFonts w:ascii="Times New Roman" w:hAnsi="Times New Roman"/>
        </w:rPr>
      </w:pPr>
      <w:r w:rsidRPr="00DA3BC7">
        <w:rPr>
          <w:rFonts w:ascii="Times New Roman" w:hAnsi="Times New Roman"/>
        </w:rPr>
        <w:t>所以，說</w:t>
      </w:r>
      <w:r w:rsidRPr="00DA3BC7">
        <w:rPr>
          <w:rFonts w:ascii="Times New Roman" w:hAnsi="Times New Roman"/>
          <w:b/>
        </w:rPr>
        <w:t>無常</w:t>
      </w:r>
      <w:r w:rsidRPr="00DA3BC7">
        <w:rPr>
          <w:rFonts w:ascii="Times New Roman" w:hAnsi="Times New Roman"/>
        </w:rPr>
        <w:t>，即了知</w:t>
      </w:r>
      <w:r w:rsidRPr="00DA3BC7">
        <w:rPr>
          <w:rFonts w:ascii="Times New Roman" w:hAnsi="Times New Roman"/>
          <w:b/>
        </w:rPr>
        <w:t>常性不可得</w:t>
      </w:r>
      <w:r w:rsidRPr="00DA3BC7">
        <w:rPr>
          <w:rFonts w:ascii="Times New Roman" w:hAnsi="Times New Roman"/>
        </w:rPr>
        <w:t>；</w:t>
      </w:r>
    </w:p>
    <w:p w:rsidR="00E84A31" w:rsidRPr="00DA3BC7" w:rsidRDefault="00E84A31" w:rsidP="000E633B">
      <w:pPr>
        <w:ind w:leftChars="550" w:left="1320"/>
        <w:jc w:val="both"/>
        <w:rPr>
          <w:rFonts w:ascii="Times New Roman" w:hAnsi="Times New Roman"/>
        </w:rPr>
      </w:pPr>
      <w:r w:rsidRPr="00DA3BC7">
        <w:rPr>
          <w:rFonts w:ascii="Times New Roman" w:hAnsi="Times New Roman"/>
          <w:b/>
        </w:rPr>
        <w:lastRenderedPageBreak/>
        <w:t>無我</w:t>
      </w:r>
      <w:r w:rsidRPr="00DA3BC7">
        <w:rPr>
          <w:rFonts w:ascii="Times New Roman" w:hAnsi="Times New Roman"/>
        </w:rPr>
        <w:t>，即</w:t>
      </w:r>
      <w:r w:rsidRPr="00DA3BC7">
        <w:rPr>
          <w:rFonts w:ascii="Times New Roman" w:hAnsi="Times New Roman"/>
          <w:b/>
        </w:rPr>
        <w:t>我性不可得</w:t>
      </w:r>
      <w:r w:rsidRPr="00DA3BC7">
        <w:rPr>
          <w:rFonts w:ascii="Times New Roman" w:hAnsi="Times New Roman"/>
        </w:rPr>
        <w:t>；</w:t>
      </w:r>
    </w:p>
    <w:p w:rsidR="00E84A31" w:rsidRPr="00DA3BC7" w:rsidRDefault="00E84A31" w:rsidP="000E633B">
      <w:pPr>
        <w:ind w:leftChars="550" w:left="1320"/>
        <w:jc w:val="both"/>
        <w:rPr>
          <w:rFonts w:ascii="Times New Roman" w:hAnsi="Times New Roman"/>
        </w:rPr>
      </w:pPr>
      <w:r w:rsidRPr="00DA3BC7">
        <w:rPr>
          <w:rFonts w:ascii="Times New Roman" w:hAnsi="Times New Roman"/>
          <w:b/>
        </w:rPr>
        <w:t>涅槃</w:t>
      </w:r>
      <w:r w:rsidRPr="00DA3BC7">
        <w:rPr>
          <w:rFonts w:ascii="Times New Roman" w:hAnsi="Times New Roman"/>
        </w:rPr>
        <w:t>，即是</w:t>
      </w:r>
      <w:r w:rsidRPr="00DA3BC7">
        <w:rPr>
          <w:rFonts w:ascii="Times New Roman" w:hAnsi="Times New Roman"/>
          <w:b/>
        </w:rPr>
        <w:t>生滅自性不可得</w:t>
      </w:r>
      <w:r w:rsidRPr="00DA3BC7">
        <w:rPr>
          <w:rFonts w:ascii="Times New Roman" w:hAnsi="Times New Roman"/>
        </w:rPr>
        <w:t>。</w:t>
      </w:r>
    </w:p>
    <w:p w:rsidR="001968AB" w:rsidRPr="00DA3BC7" w:rsidRDefault="00E84A31" w:rsidP="000E633B">
      <w:pPr>
        <w:ind w:leftChars="150" w:left="360"/>
        <w:jc w:val="both"/>
        <w:rPr>
          <w:rFonts w:ascii="Times New Roman" w:hAnsi="Times New Roman"/>
        </w:rPr>
      </w:pPr>
      <w:r w:rsidRPr="00DA3BC7">
        <w:rPr>
          <w:rFonts w:ascii="Times New Roman" w:hAnsi="Times New Roman"/>
          <w:b/>
        </w:rPr>
        <w:t>這都是立足於空相應緣起的，所以一切法是本性空寂的一切</w:t>
      </w:r>
      <w:r w:rsidRPr="00DA3BC7">
        <w:rPr>
          <w:rFonts w:ascii="Times New Roman" w:hAnsi="Times New Roman"/>
        </w:rPr>
        <w:t>。</w:t>
      </w:r>
    </w:p>
    <w:p w:rsidR="001968AB" w:rsidRPr="00DA3BC7" w:rsidRDefault="00E84A31" w:rsidP="00AE3920">
      <w:pPr>
        <w:spacing w:beforeLines="20"/>
        <w:ind w:leftChars="150" w:left="360"/>
        <w:jc w:val="both"/>
        <w:rPr>
          <w:rFonts w:ascii="Times New Roman" w:hAnsi="Times New Roman"/>
        </w:rPr>
      </w:pPr>
      <w:r w:rsidRPr="00DA3BC7">
        <w:rPr>
          <w:rFonts w:ascii="Times New Roman" w:hAnsi="Times New Roman"/>
          <w:b/>
        </w:rPr>
        <w:t>常性不可得</w:t>
      </w:r>
      <w:r w:rsidR="000E633B" w:rsidRPr="000E633B">
        <w:rPr>
          <w:rFonts w:ascii="Times New Roman" w:hAnsi="Times New Roman" w:hint="eastAsia"/>
          <w:color w:val="FF0000"/>
          <w:highlight w:val="yellow"/>
        </w:rPr>
        <w:t>，</w:t>
      </w:r>
      <w:r w:rsidRPr="00DA3BC7">
        <w:rPr>
          <w:rFonts w:ascii="Times New Roman" w:hAnsi="Times New Roman"/>
        </w:rPr>
        <w:t>即現為因果生滅相續相；從</w:t>
      </w:r>
      <w:r w:rsidRPr="00DA3BC7">
        <w:rPr>
          <w:rFonts w:ascii="Times New Roman" w:hAnsi="Times New Roman"/>
          <w:b/>
        </w:rPr>
        <w:t>生滅相續的無常事相</w:t>
      </w:r>
      <w:r w:rsidRPr="00DA3BC7">
        <w:rPr>
          <w:rFonts w:ascii="Times New Roman" w:hAnsi="Times New Roman"/>
        </w:rPr>
        <w:t>中，即了悟</w:t>
      </w:r>
      <w:r w:rsidRPr="00DA3BC7">
        <w:rPr>
          <w:rFonts w:ascii="Times New Roman" w:hAnsi="Times New Roman"/>
          <w:b/>
        </w:rPr>
        <w:t>常性的空寂</w:t>
      </w:r>
      <w:r w:rsidRPr="00DA3BC7">
        <w:rPr>
          <w:rFonts w:ascii="Times New Roman" w:hAnsi="Times New Roman"/>
        </w:rPr>
        <w:t>。</w:t>
      </w:r>
    </w:p>
    <w:p w:rsidR="00E84A31" w:rsidRPr="00DA3BC7" w:rsidRDefault="00E84A31" w:rsidP="00AE3920">
      <w:pPr>
        <w:spacing w:beforeLines="20"/>
        <w:ind w:leftChars="150" w:left="360"/>
        <w:jc w:val="both"/>
        <w:rPr>
          <w:rFonts w:ascii="Times New Roman" w:hAnsi="Times New Roman"/>
        </w:rPr>
      </w:pPr>
      <w:r w:rsidRPr="00DA3BC7">
        <w:rPr>
          <w:rFonts w:ascii="Times New Roman" w:hAnsi="Times New Roman"/>
          <w:b/>
        </w:rPr>
        <w:t>我性不可得</w:t>
      </w:r>
      <w:r w:rsidRPr="00DA3BC7">
        <w:rPr>
          <w:rFonts w:ascii="Times New Roman" w:hAnsi="Times New Roman"/>
        </w:rPr>
        <w:t>，即現為因緣和合的無我相；在這</w:t>
      </w:r>
      <w:r w:rsidRPr="00DA3BC7">
        <w:rPr>
          <w:rFonts w:ascii="Times New Roman" w:hAnsi="Times New Roman"/>
          <w:b/>
        </w:rPr>
        <w:t>無我的和合相</w:t>
      </w:r>
      <w:r w:rsidRPr="00DA3BC7">
        <w:rPr>
          <w:rFonts w:ascii="Times New Roman" w:hAnsi="Times New Roman"/>
        </w:rPr>
        <w:t>中，即了悟</w:t>
      </w:r>
      <w:r w:rsidRPr="00DA3BC7">
        <w:rPr>
          <w:rFonts w:ascii="Times New Roman" w:hAnsi="Times New Roman"/>
          <w:b/>
        </w:rPr>
        <w:t>我性的空寂</w:t>
      </w:r>
      <w:r w:rsidRPr="00DA3BC7">
        <w:rPr>
          <w:rFonts w:ascii="Times New Roman" w:hAnsi="Times New Roman"/>
        </w:rPr>
        <w:t>。</w:t>
      </w:r>
    </w:p>
    <w:p w:rsidR="00E84A31" w:rsidRPr="00DA3BC7" w:rsidRDefault="00E84A31" w:rsidP="00AE3920">
      <w:pPr>
        <w:spacing w:beforeLines="20"/>
        <w:ind w:leftChars="150" w:left="360"/>
        <w:jc w:val="both"/>
        <w:rPr>
          <w:rFonts w:ascii="Times New Roman" w:hAnsi="Times New Roman"/>
        </w:rPr>
      </w:pPr>
      <w:r w:rsidRPr="00DA3BC7">
        <w:rPr>
          <w:rFonts w:ascii="Times New Roman" w:hAnsi="Times New Roman"/>
          <w:b/>
        </w:rPr>
        <w:t>生滅性不可得</w:t>
      </w:r>
      <w:r w:rsidRPr="00DA3BC7">
        <w:rPr>
          <w:rFonts w:ascii="Times New Roman" w:hAnsi="Times New Roman"/>
        </w:rPr>
        <w:t>，即</w:t>
      </w:r>
      <w:r w:rsidRPr="00562AE7">
        <w:rPr>
          <w:rFonts w:ascii="Times New Roman" w:hAnsi="Times New Roman"/>
          <w:b/>
        </w:rPr>
        <w:t>生非實生，滅非實滅</w:t>
      </w:r>
      <w:r w:rsidRPr="00DA3BC7">
        <w:rPr>
          <w:rFonts w:ascii="Times New Roman" w:hAnsi="Times New Roman"/>
        </w:rPr>
        <w:t>，所以「</w:t>
      </w:r>
      <w:r w:rsidRPr="00562AE7">
        <w:rPr>
          <w:rFonts w:ascii="標楷體" w:eastAsia="標楷體" w:hAnsi="標楷體"/>
        </w:rPr>
        <w:t>此有故彼有，此生故彼生</w:t>
      </w:r>
      <w:r w:rsidRPr="00DA3BC7">
        <w:rPr>
          <w:rFonts w:ascii="Times New Roman" w:hAnsi="Times New Roman"/>
        </w:rPr>
        <w:t>」的緣起相，必然的歸結於「</w:t>
      </w:r>
      <w:r w:rsidRPr="00562AE7">
        <w:rPr>
          <w:rFonts w:ascii="標楷體" w:eastAsia="標楷體" w:hAnsi="標楷體"/>
        </w:rPr>
        <w:t>此</w:t>
      </w:r>
      <w:r w:rsidRPr="00562AE7">
        <w:rPr>
          <w:rFonts w:ascii="標楷體" w:eastAsia="標楷體" w:hAnsi="標楷體" w:hint="eastAsia"/>
        </w:rPr>
        <w:t>無</w:t>
      </w:r>
      <w:r w:rsidRPr="00562AE7">
        <w:rPr>
          <w:rFonts w:ascii="標楷體" w:eastAsia="標楷體" w:hAnsi="標楷體"/>
        </w:rPr>
        <w:t>故彼</w:t>
      </w:r>
      <w:r w:rsidRPr="00562AE7">
        <w:rPr>
          <w:rFonts w:ascii="標楷體" w:eastAsia="標楷體" w:hAnsi="標楷體" w:hint="eastAsia"/>
        </w:rPr>
        <w:t>無</w:t>
      </w:r>
      <w:r w:rsidRPr="00562AE7">
        <w:rPr>
          <w:rFonts w:ascii="標楷體" w:eastAsia="標楷體" w:hAnsi="標楷體"/>
        </w:rPr>
        <w:t>，此</w:t>
      </w:r>
      <w:r w:rsidRPr="00562AE7">
        <w:rPr>
          <w:rFonts w:ascii="標楷體" w:eastAsia="標楷體" w:hAnsi="標楷體" w:hint="eastAsia"/>
        </w:rPr>
        <w:t>滅</w:t>
      </w:r>
      <w:r w:rsidRPr="00562AE7">
        <w:rPr>
          <w:rFonts w:ascii="標楷體" w:eastAsia="標楷體" w:hAnsi="標楷體"/>
        </w:rPr>
        <w:t>故彼</w:t>
      </w:r>
      <w:r w:rsidRPr="00562AE7">
        <w:rPr>
          <w:rFonts w:ascii="標楷體" w:eastAsia="標楷體" w:hAnsi="標楷體" w:hint="eastAsia"/>
        </w:rPr>
        <w:t>滅</w:t>
      </w:r>
      <w:r w:rsidRPr="00DA3BC7">
        <w:rPr>
          <w:rFonts w:ascii="Times New Roman" w:hAnsi="Times New Roman"/>
        </w:rPr>
        <w:t>」。由此「</w:t>
      </w:r>
      <w:r w:rsidRPr="00562AE7">
        <w:rPr>
          <w:rFonts w:ascii="標楷體" w:eastAsia="標楷體" w:hAnsi="標楷體"/>
        </w:rPr>
        <w:t>此無故彼無，此滅故彼滅</w:t>
      </w:r>
      <w:r w:rsidRPr="00DA3BC7">
        <w:rPr>
          <w:rFonts w:ascii="Times New Roman" w:hAnsi="Times New Roman"/>
        </w:rPr>
        <w:t>」的事相，即能徹了</w:t>
      </w:r>
      <w:r w:rsidRPr="00DA3BC7">
        <w:rPr>
          <w:rFonts w:ascii="Times New Roman" w:hAnsi="Times New Roman"/>
          <w:b/>
        </w:rPr>
        <w:t>生滅的空寂</w:t>
      </w:r>
      <w:r w:rsidRPr="00DA3BC7">
        <w:rPr>
          <w:rFonts w:ascii="Times New Roman" w:hAnsi="Times New Roman"/>
        </w:rPr>
        <w:t>。</w:t>
      </w:r>
    </w:p>
    <w:p w:rsidR="00E84A31" w:rsidRPr="00DA3BC7" w:rsidRDefault="00E84A31" w:rsidP="00AE3920">
      <w:pPr>
        <w:spacing w:beforeLines="20"/>
        <w:ind w:leftChars="150" w:left="360"/>
        <w:jc w:val="both"/>
        <w:rPr>
          <w:rFonts w:ascii="Times New Roman" w:hAnsi="Times New Roman"/>
        </w:rPr>
      </w:pPr>
      <w:r w:rsidRPr="00DA3BC7">
        <w:rPr>
          <w:rFonts w:ascii="Times New Roman" w:hAnsi="Times New Roman"/>
        </w:rPr>
        <w:t>大乘行者從「</w:t>
      </w:r>
      <w:r w:rsidRPr="00562AE7">
        <w:rPr>
          <w:rFonts w:ascii="標楷體" w:eastAsia="標楷體" w:hAnsi="標楷體"/>
        </w:rPr>
        <w:t>一切法本不生</w:t>
      </w:r>
      <w:r w:rsidRPr="00DA3BC7">
        <w:rPr>
          <w:rFonts w:ascii="Times New Roman" w:hAnsi="Times New Roman"/>
        </w:rPr>
        <w:t>」</w:t>
      </w:r>
      <w:r w:rsidR="00562AE7" w:rsidRPr="00562AE7">
        <w:rPr>
          <w:rStyle w:val="a6"/>
          <w:rFonts w:ascii="Times New Roman" w:hAnsi="Times New Roman"/>
          <w:color w:val="FF0000"/>
          <w:highlight w:val="yellow"/>
        </w:rPr>
        <w:footnoteReference w:id="217"/>
      </w:r>
      <w:r w:rsidRPr="00DA3BC7">
        <w:rPr>
          <w:rFonts w:ascii="Times New Roman" w:hAnsi="Times New Roman"/>
        </w:rPr>
        <w:t>的無生體悟中，揭發諸法本性空寂的真實，直示聖賢悟證的真相。</w:t>
      </w:r>
    </w:p>
    <w:p w:rsidR="00E84A31" w:rsidRPr="00DA3BC7" w:rsidRDefault="00E84A31" w:rsidP="00AE3920">
      <w:pPr>
        <w:spacing w:beforeLines="20"/>
        <w:ind w:leftChars="150" w:left="360"/>
        <w:jc w:val="both"/>
        <w:rPr>
          <w:rFonts w:ascii="Times New Roman" w:hAnsi="Times New Roman"/>
        </w:rPr>
      </w:pPr>
      <w:r w:rsidRPr="00DA3BC7">
        <w:rPr>
          <w:rFonts w:ascii="Times New Roman" w:hAnsi="Times New Roman" w:hint="eastAsia"/>
        </w:rPr>
        <w:t>因此，</w:t>
      </w:r>
      <w:r w:rsidRPr="00DA3BC7">
        <w:rPr>
          <w:rFonts w:ascii="Times New Roman" w:hAnsi="Times New Roman"/>
        </w:rPr>
        <w:t>釋迦的三法印，在一以貫之的空寂中，即稱為一實相印。</w:t>
      </w:r>
    </w:p>
    <w:p w:rsidR="001968AB" w:rsidRPr="00DA3BC7" w:rsidRDefault="00E84A31" w:rsidP="000E633B">
      <w:pPr>
        <w:ind w:leftChars="150" w:left="360"/>
        <w:jc w:val="both"/>
        <w:rPr>
          <w:rFonts w:ascii="Times New Roman" w:hAnsi="Times New Roman"/>
        </w:rPr>
      </w:pPr>
      <w:r w:rsidRPr="00DA3BC7">
        <w:rPr>
          <w:rFonts w:ascii="Times New Roman" w:hAnsi="Times New Roman"/>
        </w:rPr>
        <w:t>一實相印即是三法印，真理是不會異樣的。</w:t>
      </w:r>
    </w:p>
    <w:p w:rsidR="00E84A31" w:rsidRPr="00DA3BC7" w:rsidRDefault="00E84A31" w:rsidP="00AE3920">
      <w:pPr>
        <w:spacing w:beforeLines="30"/>
        <w:ind w:leftChars="150" w:left="360"/>
        <w:jc w:val="both"/>
        <w:rPr>
          <w:rFonts w:ascii="Times New Roman" w:hAnsi="Times New Roman"/>
          <w:b/>
          <w:sz w:val="20"/>
          <w:szCs w:val="20"/>
          <w:bdr w:val="single" w:sz="4" w:space="0" w:color="auto"/>
        </w:rPr>
      </w:pPr>
      <w:r w:rsidRPr="001C34B0">
        <w:rPr>
          <w:rFonts w:ascii="Times New Roman" w:hAnsi="Times New Roman"/>
          <w:b/>
          <w:color w:val="FF0000"/>
          <w:sz w:val="20"/>
          <w:szCs w:val="20"/>
          <w:highlight w:val="yellow"/>
          <w:bdr w:val="single" w:sz="4" w:space="0" w:color="auto"/>
        </w:rPr>
        <w:t>（</w:t>
      </w:r>
      <w:r w:rsidR="001C34B0" w:rsidRPr="001C34B0">
        <w:rPr>
          <w:rFonts w:ascii="Times New Roman" w:hAnsi="Times New Roman" w:hint="eastAsia"/>
          <w:b/>
          <w:color w:val="FF0000"/>
          <w:sz w:val="20"/>
          <w:szCs w:val="20"/>
          <w:highlight w:val="yellow"/>
          <w:bdr w:val="single" w:sz="4" w:space="0" w:color="auto"/>
        </w:rPr>
        <w:t>二</w:t>
      </w:r>
      <w:r w:rsidRPr="001C34B0">
        <w:rPr>
          <w:rFonts w:ascii="Times New Roman" w:hAnsi="Times New Roman"/>
          <w:b/>
          <w:color w:val="FF0000"/>
          <w:sz w:val="20"/>
          <w:szCs w:val="20"/>
          <w:highlight w:val="yellow"/>
          <w:bdr w:val="single" w:sz="4" w:space="0" w:color="auto"/>
        </w:rPr>
        <w:t>）</w:t>
      </w:r>
      <w:r w:rsidRPr="001C34B0">
        <w:rPr>
          <w:rFonts w:ascii="Times New Roman" w:hAnsi="Times New Roman" w:hint="eastAsia"/>
          <w:b/>
          <w:color w:val="FF0000"/>
          <w:sz w:val="20"/>
          <w:szCs w:val="20"/>
          <w:highlight w:val="yellow"/>
          <w:bdr w:val="single" w:sz="4" w:space="0" w:color="auto"/>
        </w:rPr>
        <w:t>引證</w:t>
      </w:r>
      <w:r w:rsidR="00D10440" w:rsidRPr="00DA3BC7">
        <w:rPr>
          <w:rFonts w:ascii="Times New Roman" w:hAnsi="Times New Roman" w:hint="eastAsia"/>
          <w:sz w:val="20"/>
          <w:szCs w:val="20"/>
        </w:rPr>
        <w:t>（</w:t>
      </w:r>
      <w:r w:rsidR="00D10440" w:rsidRPr="00DA3BC7">
        <w:rPr>
          <w:rFonts w:ascii="Times New Roman" w:hAnsi="Times New Roman"/>
          <w:sz w:val="20"/>
          <w:szCs w:val="20"/>
        </w:rPr>
        <w:t>p.3</w:t>
      </w:r>
      <w:r w:rsidR="00D10440" w:rsidRPr="00DA3BC7">
        <w:rPr>
          <w:rFonts w:ascii="Times New Roman" w:hAnsi="Times New Roman" w:hint="eastAsia"/>
          <w:sz w:val="20"/>
          <w:szCs w:val="20"/>
        </w:rPr>
        <w:t>2</w:t>
      </w:r>
      <w:r w:rsidR="00D10440" w:rsidRPr="00DA3BC7">
        <w:rPr>
          <w:rFonts w:ascii="Times New Roman" w:hAnsi="Times New Roman" w:hint="eastAsia"/>
          <w:sz w:val="20"/>
          <w:szCs w:val="20"/>
        </w:rPr>
        <w:t>）</w:t>
      </w:r>
    </w:p>
    <w:p w:rsidR="00E84A31" w:rsidRPr="00DA3BC7" w:rsidRDefault="00E84A31" w:rsidP="000E633B">
      <w:pPr>
        <w:ind w:leftChars="150" w:left="360"/>
        <w:jc w:val="both"/>
        <w:rPr>
          <w:rFonts w:ascii="Times New Roman" w:hAnsi="Times New Roman"/>
        </w:rPr>
      </w:pPr>
      <w:r w:rsidRPr="00DA3BC7">
        <w:rPr>
          <w:rFonts w:ascii="Times New Roman" w:hAnsi="Times New Roman"/>
        </w:rPr>
        <w:t>《大智度論》卷</w:t>
      </w:r>
      <w:r w:rsidRPr="00DA3BC7">
        <w:rPr>
          <w:rFonts w:ascii="Times New Roman" w:hAnsi="Times New Roman"/>
        </w:rPr>
        <w:t>22</w:t>
      </w:r>
      <w:r w:rsidRPr="00DA3BC7">
        <w:rPr>
          <w:rFonts w:ascii="Times New Roman" w:hAnsi="Times New Roman"/>
        </w:rPr>
        <w:t>說：「</w:t>
      </w:r>
      <w:r w:rsidRPr="00DA3BC7">
        <w:rPr>
          <w:rFonts w:ascii="Times New Roman" w:eastAsia="標楷體" w:hAnsi="Times New Roman"/>
        </w:rPr>
        <w:t>有為法無常，念念生滅故，皆屬因緣無有自在；無有自在故無我；無常無我無相故心不著，無相不著故即是寂滅涅槃</w:t>
      </w:r>
      <w:r w:rsidRPr="00DA3BC7">
        <w:rPr>
          <w:rFonts w:ascii="標楷體" w:eastAsia="標楷體" w:hAnsi="標楷體"/>
        </w:rPr>
        <w:t>。</w:t>
      </w:r>
      <w:r w:rsidRPr="00DA3BC7">
        <w:rPr>
          <w:rFonts w:ascii="Times New Roman" w:eastAsia="標楷體" w:hAnsi="Times New Roman"/>
        </w:rPr>
        <w:t>」</w:t>
      </w:r>
      <w:r w:rsidRPr="00DA3BC7">
        <w:rPr>
          <w:rStyle w:val="a6"/>
          <w:rFonts w:ascii="Times New Roman" w:hAnsi="Times New Roman"/>
        </w:rPr>
        <w:footnoteReference w:id="218"/>
      </w:r>
    </w:p>
    <w:p w:rsidR="001968AB" w:rsidRPr="00DA3BC7" w:rsidRDefault="00E84A31" w:rsidP="00AE3920">
      <w:pPr>
        <w:spacing w:beforeLines="20"/>
        <w:ind w:leftChars="150" w:left="360"/>
        <w:jc w:val="both"/>
        <w:rPr>
          <w:rFonts w:ascii="Times New Roman" w:hAnsi="Times New Roman"/>
        </w:rPr>
      </w:pPr>
      <w:r w:rsidRPr="001C34B0">
        <w:rPr>
          <w:rFonts w:ascii="Times New Roman" w:hAnsi="Times New Roman"/>
          <w:highlight w:val="yellow"/>
        </w:rPr>
        <w:t>又</w:t>
      </w:r>
      <w:r w:rsidRPr="00DA3BC7">
        <w:rPr>
          <w:rFonts w:ascii="Times New Roman" w:hAnsi="Times New Roman"/>
        </w:rPr>
        <w:t>說：「</w:t>
      </w:r>
      <w:r w:rsidRPr="00DA3BC7">
        <w:rPr>
          <w:rFonts w:ascii="Times New Roman" w:eastAsia="標楷體" w:hAnsi="Times New Roman"/>
        </w:rPr>
        <w:t>觀無常即是觀空因緣</w:t>
      </w:r>
      <w:r w:rsidRPr="00DA3BC7">
        <w:rPr>
          <w:rFonts w:ascii="Times New Roman" w:hAnsi="Times New Roman"/>
        </w:rPr>
        <w:t>（「觀心生滅如流水</w:t>
      </w:r>
      <w:r w:rsidRPr="00DA3BC7">
        <w:rPr>
          <w:rFonts w:ascii="新細明體" w:hAnsi="新細明體" w:hint="eastAsia"/>
        </w:rPr>
        <w:t>、</w:t>
      </w:r>
      <w:r w:rsidRPr="00DA3BC7">
        <w:rPr>
          <w:rFonts w:ascii="Times New Roman" w:hAnsi="Times New Roman"/>
        </w:rPr>
        <w:t>燈焰，</w:t>
      </w:r>
      <w:r w:rsidRPr="00DA3BC7">
        <w:rPr>
          <w:rFonts w:ascii="Times New Roman" w:hAnsi="Times New Roman" w:hint="eastAsia"/>
        </w:rPr>
        <w:t>此</w:t>
      </w:r>
      <w:r w:rsidRPr="00DA3BC7">
        <w:rPr>
          <w:rFonts w:ascii="Times New Roman" w:hAnsi="Times New Roman"/>
        </w:rPr>
        <w:t>名入空智門」</w:t>
      </w:r>
      <w:r w:rsidRPr="00DA3BC7">
        <w:rPr>
          <w:rStyle w:val="a6"/>
          <w:rFonts w:ascii="Times New Roman" w:hAnsi="Times New Roman"/>
        </w:rPr>
        <w:footnoteReference w:id="219"/>
      </w:r>
      <w:r w:rsidRPr="00DA3BC7">
        <w:rPr>
          <w:rFonts w:ascii="Times New Roman" w:hAnsi="Times New Roman"/>
        </w:rPr>
        <w:t>），</w:t>
      </w:r>
      <w:r w:rsidRPr="00DA3BC7">
        <w:rPr>
          <w:rFonts w:ascii="Times New Roman" w:eastAsia="標楷體" w:hAnsi="Times New Roman"/>
        </w:rPr>
        <w:t>如觀色念念無常，即知為空。</w:t>
      </w:r>
      <w:r w:rsidRPr="00DA3BC7">
        <w:rPr>
          <w:rFonts w:ascii="Times New Roman" w:eastAsia="標楷體" w:hAnsi="Times New Roman" w:hint="eastAsia"/>
        </w:rPr>
        <w:t>……</w:t>
      </w:r>
      <w:r w:rsidRPr="00DA3BC7">
        <w:rPr>
          <w:rFonts w:ascii="Times New Roman" w:eastAsia="標楷體" w:hAnsi="Times New Roman"/>
        </w:rPr>
        <w:t>空即是無生無滅。無生無滅及生</w:t>
      </w:r>
      <w:r w:rsidRPr="00DA3BC7">
        <w:rPr>
          <w:rFonts w:ascii="Times New Roman" w:eastAsia="標楷體" w:hAnsi="Times New Roman"/>
        </w:rPr>
        <w:lastRenderedPageBreak/>
        <w:t>滅，其實是一，說有廣略</w:t>
      </w:r>
      <w:r w:rsidRPr="00DA3BC7">
        <w:rPr>
          <w:rFonts w:ascii="標楷體" w:eastAsia="標楷體" w:hAnsi="標楷體" w:hint="eastAsia"/>
        </w:rPr>
        <w:t>。</w:t>
      </w:r>
      <w:r w:rsidRPr="00DA3BC7">
        <w:rPr>
          <w:rFonts w:ascii="Times New Roman" w:eastAsia="標楷體" w:hAnsi="Times New Roman"/>
        </w:rPr>
        <w:t>」</w:t>
      </w:r>
      <w:r w:rsidRPr="00DA3BC7">
        <w:rPr>
          <w:rStyle w:val="a6"/>
          <w:rFonts w:ascii="Times New Roman" w:hAnsi="Times New Roman"/>
        </w:rPr>
        <w:footnoteReference w:id="220"/>
      </w:r>
    </w:p>
    <w:p w:rsidR="001C34B0" w:rsidRDefault="001C34B0" w:rsidP="00AE3920">
      <w:pPr>
        <w:spacing w:beforeLines="30"/>
        <w:ind w:leftChars="150" w:left="360"/>
        <w:jc w:val="both"/>
        <w:rPr>
          <w:rFonts w:ascii="Times New Roman" w:hAnsi="Times New Roman"/>
          <w:sz w:val="20"/>
          <w:szCs w:val="20"/>
        </w:rPr>
      </w:pPr>
      <w:r w:rsidRPr="001C34B0">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三</w:t>
      </w:r>
      <w:r w:rsidRPr="001C34B0">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辨義</w:t>
      </w:r>
      <w:r w:rsidRPr="00DA3BC7">
        <w:rPr>
          <w:rFonts w:ascii="Times New Roman" w:hAnsi="Times New Roman" w:hint="eastAsia"/>
          <w:sz w:val="20"/>
          <w:szCs w:val="20"/>
        </w:rPr>
        <w:t>（</w:t>
      </w:r>
      <w:r w:rsidRPr="00DA3BC7">
        <w:rPr>
          <w:rFonts w:ascii="Times New Roman" w:hAnsi="Times New Roman"/>
          <w:sz w:val="20"/>
          <w:szCs w:val="20"/>
        </w:rPr>
        <w:t>p.3</w:t>
      </w:r>
      <w:r w:rsidRPr="00DA3BC7">
        <w:rPr>
          <w:rFonts w:ascii="Times New Roman" w:hAnsi="Times New Roman" w:hint="eastAsia"/>
          <w:sz w:val="20"/>
          <w:szCs w:val="20"/>
        </w:rPr>
        <w:t>2</w:t>
      </w:r>
      <w:r w:rsidRPr="00DA3BC7">
        <w:rPr>
          <w:rFonts w:ascii="Times New Roman" w:hAnsi="Times New Roman" w:hint="eastAsia"/>
          <w:sz w:val="20"/>
          <w:szCs w:val="20"/>
        </w:rPr>
        <w:t>）</w:t>
      </w:r>
    </w:p>
    <w:p w:rsidR="00E84A31" w:rsidRPr="00DA3BC7" w:rsidRDefault="00E84A31" w:rsidP="000E633B">
      <w:pPr>
        <w:ind w:leftChars="150" w:left="360"/>
        <w:jc w:val="both"/>
        <w:rPr>
          <w:rFonts w:ascii="Times New Roman" w:hAnsi="Times New Roman"/>
        </w:rPr>
      </w:pPr>
      <w:r w:rsidRPr="00DA3BC7">
        <w:rPr>
          <w:rFonts w:ascii="Times New Roman" w:hAnsi="Times New Roman"/>
        </w:rPr>
        <w:t>諸法生滅不住，即是無自性，無自性即無生無滅，所以</w:t>
      </w:r>
      <w:r w:rsidRPr="00DA3BC7">
        <w:rPr>
          <w:rFonts w:ascii="Times New Roman" w:hAnsi="Times New Roman"/>
          <w:b/>
        </w:rPr>
        <w:t>生滅的本性即是不生不滅</w:t>
      </w:r>
      <w:r w:rsidRPr="00DA3BC7">
        <w:rPr>
          <w:rFonts w:ascii="Times New Roman" w:hAnsi="Times New Roman"/>
        </w:rPr>
        <w:t>的，這即是不生不滅的緣起。</w:t>
      </w:r>
    </w:p>
    <w:p w:rsidR="001968AB" w:rsidRPr="00DA3BC7" w:rsidRDefault="00E84A31" w:rsidP="00AE3920">
      <w:pPr>
        <w:spacing w:beforeLines="20"/>
        <w:ind w:leftChars="150" w:left="360"/>
        <w:jc w:val="both"/>
        <w:rPr>
          <w:rFonts w:ascii="Times New Roman" w:hAnsi="Times New Roman"/>
          <w:szCs w:val="23"/>
        </w:rPr>
      </w:pPr>
      <w:r w:rsidRPr="00DA3BC7">
        <w:rPr>
          <w:rFonts w:ascii="Times New Roman" w:hAnsi="Times New Roman"/>
        </w:rPr>
        <w:t>這是通過了生滅的現象，深刻把握它的本性與緣起生滅並非彼此不同。依此去了解佛說的三法印，無常等即是空義，三印即是一印</w:t>
      </w:r>
      <w:r w:rsidRPr="00DA3BC7">
        <w:rPr>
          <w:rFonts w:ascii="Times New Roman" w:hAnsi="Times New Roman" w:hint="eastAsia"/>
        </w:rPr>
        <w:t>。</w:t>
      </w:r>
    </w:p>
    <w:p w:rsidR="001968AB" w:rsidRPr="00DA3BC7" w:rsidRDefault="00D120BF" w:rsidP="00AE3920">
      <w:pPr>
        <w:spacing w:beforeLines="30"/>
        <w:ind w:leftChars="100" w:left="240"/>
        <w:jc w:val="both"/>
        <w:rPr>
          <w:rFonts w:ascii="Times New Roman" w:hAnsi="Times New Roman"/>
          <w:b/>
          <w:sz w:val="20"/>
          <w:szCs w:val="26"/>
        </w:rPr>
      </w:pPr>
      <w:r w:rsidRPr="00D120BF">
        <w:rPr>
          <w:rFonts w:ascii="Times New Roman" w:hAnsi="Times New Roman" w:hint="eastAsia"/>
          <w:b/>
          <w:color w:val="FF0000"/>
          <w:sz w:val="20"/>
          <w:szCs w:val="26"/>
          <w:highlight w:val="yellow"/>
          <w:bdr w:val="single" w:sz="4" w:space="0" w:color="auto"/>
        </w:rPr>
        <w:t>三</w:t>
      </w:r>
      <w:r w:rsidR="00E84A31" w:rsidRPr="00D120BF">
        <w:rPr>
          <w:rFonts w:ascii="Times New Roman" w:hAnsi="Times New Roman"/>
          <w:b/>
          <w:color w:val="FF0000"/>
          <w:sz w:val="20"/>
          <w:szCs w:val="26"/>
          <w:highlight w:val="yellow"/>
          <w:bdr w:val="single" w:sz="4" w:space="0" w:color="auto"/>
        </w:rPr>
        <w:t>、</w:t>
      </w:r>
      <w:r w:rsidRPr="00D120BF">
        <w:rPr>
          <w:rFonts w:ascii="Times New Roman" w:hAnsi="Times New Roman" w:hint="eastAsia"/>
          <w:b/>
          <w:color w:val="FF0000"/>
          <w:sz w:val="20"/>
          <w:szCs w:val="26"/>
          <w:highlight w:val="yellow"/>
          <w:bdr w:val="single" w:sz="4" w:space="0" w:color="auto"/>
        </w:rPr>
        <w:t>印順法師</w:t>
      </w:r>
      <w:r w:rsidR="00E84A31" w:rsidRPr="00D120BF">
        <w:rPr>
          <w:rFonts w:ascii="Times New Roman" w:hAnsi="Times New Roman"/>
          <w:b/>
          <w:color w:val="FF0000"/>
          <w:sz w:val="20"/>
          <w:szCs w:val="26"/>
          <w:highlight w:val="yellow"/>
          <w:bdr w:val="single" w:sz="4" w:space="0" w:color="auto"/>
        </w:rPr>
        <w:t>的</w:t>
      </w:r>
      <w:r w:rsidRPr="00D120BF">
        <w:rPr>
          <w:rFonts w:ascii="Times New Roman" w:hAnsi="Times New Roman" w:hint="eastAsia"/>
          <w:b/>
          <w:color w:val="FF0000"/>
          <w:sz w:val="20"/>
          <w:szCs w:val="26"/>
          <w:highlight w:val="yellow"/>
          <w:bdr w:val="single" w:sz="4" w:space="0" w:color="auto"/>
        </w:rPr>
        <w:t>說明</w:t>
      </w:r>
      <w:r w:rsidR="00E84A31" w:rsidRPr="00DA3BC7">
        <w:rPr>
          <w:rFonts w:ascii="Times New Roman" w:hAnsi="Times New Roman" w:hint="eastAsia"/>
          <w:sz w:val="20"/>
          <w:szCs w:val="20"/>
        </w:rPr>
        <w:t>（</w:t>
      </w:r>
      <w:r w:rsidR="00E84A31" w:rsidRPr="00DA3BC7">
        <w:rPr>
          <w:rFonts w:ascii="Times New Roman" w:hAnsi="Times New Roman"/>
          <w:sz w:val="20"/>
          <w:szCs w:val="20"/>
        </w:rPr>
        <w:t>pp.32-34</w:t>
      </w:r>
      <w:r w:rsidR="00E84A31" w:rsidRPr="00DA3BC7">
        <w:rPr>
          <w:rFonts w:ascii="Times New Roman" w:hAnsi="Times New Roman" w:hint="eastAsia"/>
          <w:sz w:val="20"/>
          <w:szCs w:val="20"/>
        </w:rPr>
        <w:t>）</w:t>
      </w:r>
    </w:p>
    <w:p w:rsidR="00E84A31" w:rsidRDefault="00E84A31" w:rsidP="006D0171">
      <w:pPr>
        <w:ind w:leftChars="150" w:left="360"/>
        <w:jc w:val="both"/>
        <w:rPr>
          <w:rFonts w:ascii="Times New Roman" w:hAnsi="Times New Roman"/>
          <w:sz w:val="20"/>
          <w:szCs w:val="20"/>
        </w:rPr>
      </w:pPr>
      <w:r w:rsidRPr="00D120BF">
        <w:rPr>
          <w:rFonts w:ascii="Times New Roman" w:hAnsi="Times New Roman"/>
          <w:b/>
          <w:color w:val="FF0000"/>
          <w:sz w:val="20"/>
          <w:szCs w:val="20"/>
          <w:highlight w:val="yellow"/>
          <w:bdr w:val="single" w:sz="4" w:space="0" w:color="auto"/>
        </w:rPr>
        <w:t>（</w:t>
      </w:r>
      <w:r w:rsidR="00D120BF" w:rsidRPr="00D120BF">
        <w:rPr>
          <w:rFonts w:ascii="Times New Roman" w:hAnsi="Times New Roman" w:hint="eastAsia"/>
          <w:b/>
          <w:color w:val="FF0000"/>
          <w:sz w:val="20"/>
          <w:szCs w:val="20"/>
          <w:highlight w:val="yellow"/>
          <w:bdr w:val="single" w:sz="4" w:space="0" w:color="auto"/>
        </w:rPr>
        <w:t>一</w:t>
      </w:r>
      <w:r w:rsidRPr="00D120BF">
        <w:rPr>
          <w:rFonts w:ascii="Times New Roman" w:hAnsi="Times New Roman"/>
          <w:b/>
          <w:color w:val="FF0000"/>
          <w:sz w:val="20"/>
          <w:szCs w:val="20"/>
          <w:highlight w:val="yellow"/>
          <w:bdr w:val="single" w:sz="4" w:space="0" w:color="auto"/>
        </w:rPr>
        <w:t>）</w:t>
      </w:r>
      <w:r w:rsidR="00D120BF" w:rsidRPr="00D120BF">
        <w:rPr>
          <w:rFonts w:ascii="Times New Roman" w:hAnsi="Times New Roman" w:hint="eastAsia"/>
          <w:b/>
          <w:color w:val="FF0000"/>
          <w:sz w:val="20"/>
          <w:szCs w:val="20"/>
          <w:highlight w:val="yellow"/>
          <w:bdr w:val="single" w:sz="4" w:space="0" w:color="auto"/>
        </w:rPr>
        <w:t>明正義</w:t>
      </w:r>
      <w:r w:rsidRPr="00DA3BC7">
        <w:rPr>
          <w:rFonts w:ascii="Times New Roman" w:hAnsi="Times New Roman" w:hint="eastAsia"/>
          <w:sz w:val="20"/>
          <w:szCs w:val="20"/>
        </w:rPr>
        <w:t>（</w:t>
      </w:r>
      <w:r w:rsidRPr="00DA3BC7">
        <w:rPr>
          <w:rFonts w:ascii="Times New Roman" w:hAnsi="Times New Roman"/>
          <w:sz w:val="20"/>
          <w:szCs w:val="20"/>
        </w:rPr>
        <w:t>pp.32-33</w:t>
      </w:r>
      <w:r w:rsidRPr="00DA3BC7">
        <w:rPr>
          <w:rFonts w:ascii="Times New Roman" w:hAnsi="Times New Roman" w:hint="eastAsia"/>
          <w:sz w:val="20"/>
          <w:szCs w:val="20"/>
        </w:rPr>
        <w:t>）</w:t>
      </w:r>
    </w:p>
    <w:p w:rsidR="00D120BF" w:rsidRPr="00DA3BC7" w:rsidRDefault="00D120BF" w:rsidP="006D0171">
      <w:pPr>
        <w:ind w:leftChars="200" w:left="480"/>
        <w:jc w:val="both"/>
        <w:rPr>
          <w:rFonts w:ascii="Times New Roman" w:hAnsi="Times New Roman"/>
          <w:b/>
          <w:sz w:val="20"/>
          <w:szCs w:val="20"/>
        </w:rPr>
      </w:pPr>
      <w:r>
        <w:rPr>
          <w:rFonts w:ascii="Times New Roman" w:hAnsi="Times New Roman" w:hint="eastAsia"/>
          <w:b/>
          <w:color w:val="FF0000"/>
          <w:sz w:val="20"/>
          <w:szCs w:val="20"/>
          <w:highlight w:val="yellow"/>
          <w:bdr w:val="single" w:sz="4" w:space="0" w:color="auto"/>
        </w:rPr>
        <w:t>1</w:t>
      </w:r>
      <w:r>
        <w:rPr>
          <w:rFonts w:ascii="Times New Roman" w:hAnsi="Times New Roman" w:hint="eastAsia"/>
          <w:b/>
          <w:color w:val="FF0000"/>
          <w:sz w:val="20"/>
          <w:szCs w:val="20"/>
          <w:highlight w:val="yellow"/>
          <w:bdr w:val="single" w:sz="4" w:space="0" w:color="auto"/>
        </w:rPr>
        <w:t>、依</w:t>
      </w:r>
      <w:r w:rsidR="00B123AE">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三種觀</w:t>
      </w:r>
      <w:r w:rsidR="00B123AE">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論深義</w:t>
      </w:r>
      <w:r w:rsidR="00127BF8" w:rsidRPr="00DA3BC7">
        <w:rPr>
          <w:rFonts w:ascii="Times New Roman" w:hAnsi="Times New Roman" w:hint="eastAsia"/>
          <w:sz w:val="20"/>
          <w:szCs w:val="20"/>
        </w:rPr>
        <w:t>（</w:t>
      </w:r>
      <w:r w:rsidR="00127BF8" w:rsidRPr="00DA3BC7">
        <w:rPr>
          <w:rFonts w:ascii="Times New Roman" w:hAnsi="Times New Roman"/>
          <w:sz w:val="20"/>
          <w:szCs w:val="20"/>
        </w:rPr>
        <w:t>pp.32-33</w:t>
      </w:r>
      <w:r w:rsidR="00127BF8" w:rsidRPr="00DA3BC7">
        <w:rPr>
          <w:rFonts w:ascii="Times New Roman" w:hAnsi="Times New Roman" w:hint="eastAsia"/>
          <w:sz w:val="20"/>
          <w:szCs w:val="20"/>
        </w:rPr>
        <w:t>）</w:t>
      </w:r>
    </w:p>
    <w:p w:rsidR="00E84A31" w:rsidRPr="00DA3BC7" w:rsidRDefault="00E84A31" w:rsidP="000E633B">
      <w:pPr>
        <w:ind w:leftChars="200" w:left="480"/>
        <w:jc w:val="both"/>
        <w:rPr>
          <w:rFonts w:ascii="Times New Roman" w:hAnsi="Times New Roman"/>
        </w:rPr>
      </w:pPr>
      <w:r w:rsidRPr="00DA3BC7">
        <w:rPr>
          <w:rFonts w:ascii="Times New Roman" w:hAnsi="Times New Roman"/>
        </w:rPr>
        <w:t>無常等即是空義，原是《阿含經》的根本思想，大乘學者並沒有增加了什麼。</w:t>
      </w:r>
    </w:p>
    <w:p w:rsidR="001968AB" w:rsidRPr="00DA3BC7" w:rsidRDefault="00E84A31" w:rsidP="000E633B">
      <w:pPr>
        <w:ind w:leftChars="200" w:left="480"/>
        <w:jc w:val="both"/>
        <w:rPr>
          <w:rFonts w:ascii="Times New Roman" w:hAnsi="Times New Roman"/>
        </w:rPr>
      </w:pPr>
      <w:r w:rsidRPr="00DA3BC7">
        <w:rPr>
          <w:rFonts w:ascii="Times New Roman" w:hAnsi="Times New Roman"/>
        </w:rPr>
        <w:t>如《雜阿含</w:t>
      </w:r>
      <w:r w:rsidRPr="00DA3BC7">
        <w:rPr>
          <w:rFonts w:ascii="Times New Roman" w:hAnsi="Times New Roman" w:hint="eastAsia"/>
        </w:rPr>
        <w:t>經</w:t>
      </w:r>
      <w:r w:rsidRPr="00DA3BC7">
        <w:rPr>
          <w:rFonts w:ascii="Times New Roman" w:hAnsi="Times New Roman"/>
        </w:rPr>
        <w:t>》（</w:t>
      </w:r>
      <w:r w:rsidRPr="00DA3BC7">
        <w:rPr>
          <w:rFonts w:ascii="Times New Roman" w:hAnsi="Times New Roman"/>
        </w:rPr>
        <w:t>232</w:t>
      </w:r>
      <w:r w:rsidRPr="00DA3BC7">
        <w:rPr>
          <w:rFonts w:ascii="Times New Roman" w:hAnsi="Times New Roman"/>
        </w:rPr>
        <w:t>經）說：</w:t>
      </w:r>
      <w:r w:rsidRPr="00DA3BC7">
        <w:rPr>
          <w:rFonts w:ascii="標楷體" w:eastAsia="標楷體" w:hAnsi="標楷體"/>
        </w:rPr>
        <w:t>「眼（等）空，常</w:t>
      </w:r>
      <w:r w:rsidRPr="00DA3BC7">
        <w:rPr>
          <w:rFonts w:ascii="標楷體" w:eastAsia="標楷體" w:hAnsi="標楷體" w:hint="eastAsia"/>
        </w:rPr>
        <w:t>、</w:t>
      </w:r>
      <w:r w:rsidRPr="00DA3BC7">
        <w:rPr>
          <w:rFonts w:ascii="標楷體" w:eastAsia="標楷體" w:hAnsi="標楷體"/>
        </w:rPr>
        <w:t>恒</w:t>
      </w:r>
      <w:r w:rsidRPr="00DA3BC7">
        <w:rPr>
          <w:rFonts w:ascii="標楷體" w:eastAsia="標楷體" w:hAnsi="標楷體" w:hint="eastAsia"/>
        </w:rPr>
        <w:t>、</w:t>
      </w:r>
      <w:r w:rsidRPr="00DA3BC7">
        <w:rPr>
          <w:rFonts w:ascii="標楷體" w:eastAsia="標楷體" w:hAnsi="標楷體"/>
        </w:rPr>
        <w:t>不變易法空，我我所空。所以者何？此性自爾</w:t>
      </w:r>
      <w:r w:rsidRPr="00DA3BC7">
        <w:rPr>
          <w:rFonts w:ascii="Times New Roman" w:hAnsi="Times New Roman"/>
        </w:rPr>
        <w:t>。」</w:t>
      </w:r>
      <w:r w:rsidRPr="00DA3BC7">
        <w:rPr>
          <w:rStyle w:val="a6"/>
          <w:rFonts w:ascii="Times New Roman" w:hAnsi="Times New Roman"/>
        </w:rPr>
        <w:footnoteReference w:id="221"/>
      </w:r>
      <w:r w:rsidRPr="00DA3BC7">
        <w:rPr>
          <w:rFonts w:ascii="Times New Roman" w:hAnsi="Times New Roman"/>
        </w:rPr>
        <w:t>（</w:t>
      </w:r>
      <w:r w:rsidRPr="00DA3BC7">
        <w:rPr>
          <w:rFonts w:ascii="Times New Roman" w:hAnsi="Times New Roman"/>
        </w:rPr>
        <w:t>273</w:t>
      </w:r>
      <w:r w:rsidRPr="00DA3BC7">
        <w:rPr>
          <w:rFonts w:ascii="Times New Roman" w:hAnsi="Times New Roman"/>
        </w:rPr>
        <w:t>經）也有此說，但作「空諸行」。</w:t>
      </w:r>
      <w:r w:rsidRPr="00DA3BC7">
        <w:rPr>
          <w:rStyle w:val="a6"/>
          <w:rFonts w:ascii="Times New Roman" w:hAnsi="Times New Roman"/>
        </w:rPr>
        <w:footnoteReference w:id="222"/>
      </w:r>
    </w:p>
    <w:p w:rsidR="001968AB" w:rsidRPr="00DA3BC7" w:rsidRDefault="00E84A31" w:rsidP="00AE3920">
      <w:pPr>
        <w:spacing w:beforeLines="20"/>
        <w:ind w:leftChars="200" w:left="480"/>
        <w:jc w:val="both"/>
        <w:rPr>
          <w:rFonts w:ascii="Times New Roman" w:hAnsi="Times New Roman"/>
          <w:b/>
        </w:rPr>
      </w:pPr>
      <w:r w:rsidRPr="00DA3BC7">
        <w:rPr>
          <w:rFonts w:ascii="Times New Roman" w:hAnsi="Times New Roman"/>
        </w:rPr>
        <w:t>常恒不變易法空，即是無常，所以</w:t>
      </w:r>
      <w:r w:rsidRPr="00DA3BC7">
        <w:rPr>
          <w:rFonts w:ascii="Times New Roman" w:hAnsi="Times New Roman"/>
          <w:b/>
        </w:rPr>
        <w:t>無常是常性不可得。</w:t>
      </w:r>
    </w:p>
    <w:p w:rsidR="001968AB" w:rsidRPr="00DA3BC7" w:rsidRDefault="00E84A31" w:rsidP="000E633B">
      <w:pPr>
        <w:ind w:leftChars="200" w:left="480"/>
        <w:jc w:val="both"/>
        <w:rPr>
          <w:rFonts w:ascii="Times New Roman" w:hAnsi="Times New Roman"/>
        </w:rPr>
      </w:pPr>
      <w:r w:rsidRPr="00DA3BC7">
        <w:rPr>
          <w:rFonts w:ascii="Times New Roman" w:hAnsi="Times New Roman"/>
        </w:rPr>
        <w:t>我我所空即是無我，所以</w:t>
      </w:r>
      <w:r w:rsidRPr="00DA3BC7">
        <w:rPr>
          <w:rFonts w:ascii="Times New Roman" w:hAnsi="Times New Roman"/>
          <w:b/>
        </w:rPr>
        <w:t>無我是我性不可得</w:t>
      </w:r>
      <w:r w:rsidRPr="00DA3BC7">
        <w:rPr>
          <w:rFonts w:ascii="Times New Roman" w:hAnsi="Times New Roman"/>
        </w:rPr>
        <w:t>。</w:t>
      </w:r>
    </w:p>
    <w:p w:rsidR="001968AB" w:rsidRPr="00DA3BC7" w:rsidRDefault="00E84A31" w:rsidP="00AE3920">
      <w:pPr>
        <w:spacing w:beforeLines="20"/>
        <w:ind w:leftChars="200" w:left="480"/>
        <w:jc w:val="both"/>
        <w:rPr>
          <w:rFonts w:ascii="Times New Roman" w:hAnsi="Times New Roman"/>
        </w:rPr>
      </w:pPr>
      <w:r w:rsidRPr="00DA3BC7">
        <w:rPr>
          <w:rFonts w:ascii="Times New Roman" w:hAnsi="Times New Roman"/>
          <w:b/>
        </w:rPr>
        <w:lastRenderedPageBreak/>
        <w:t>無常、無我即是空的異名</w:t>
      </w:r>
      <w:r w:rsidRPr="00DA3BC7">
        <w:rPr>
          <w:rFonts w:ascii="Times New Roman" w:hAnsi="Times New Roman"/>
        </w:rPr>
        <w:t>，佛說何等明白</w:t>
      </w:r>
      <w:r w:rsidRPr="00DA3BC7">
        <w:rPr>
          <w:rFonts w:ascii="新細明體" w:hAnsi="新細明體" w:hint="eastAsia"/>
        </w:rPr>
        <w:t>！</w:t>
      </w:r>
    </w:p>
    <w:p w:rsidR="001968AB" w:rsidRPr="00DA3BC7" w:rsidRDefault="00E84A31" w:rsidP="000E633B">
      <w:pPr>
        <w:ind w:leftChars="200" w:left="480"/>
        <w:jc w:val="both"/>
        <w:rPr>
          <w:rFonts w:ascii="Times New Roman" w:hAnsi="Times New Roman"/>
        </w:rPr>
      </w:pPr>
      <w:r w:rsidRPr="00DA3BC7">
        <w:rPr>
          <w:rFonts w:ascii="Times New Roman" w:hAnsi="Times New Roman"/>
        </w:rPr>
        <w:t>眼等諸行</w:t>
      </w:r>
      <w:r w:rsidRPr="00DA3BC7">
        <w:rPr>
          <w:rFonts w:ascii="新細明體" w:hAnsi="新細明體"/>
        </w:rPr>
        <w:t>──</w:t>
      </w:r>
      <w:r w:rsidRPr="00DA3BC7">
        <w:rPr>
          <w:rFonts w:ascii="Times New Roman" w:hAnsi="Times New Roman"/>
        </w:rPr>
        <w:t>有為的無常無我空，是本性自爾，實為「自性空」的根據所在。</w:t>
      </w:r>
    </w:p>
    <w:p w:rsidR="00E84A31" w:rsidRPr="00DA3BC7" w:rsidRDefault="00E84A31" w:rsidP="00AE3920">
      <w:pPr>
        <w:spacing w:beforeLines="20"/>
        <w:ind w:leftChars="200" w:left="480"/>
        <w:jc w:val="both"/>
        <w:rPr>
          <w:rFonts w:ascii="Times New Roman" w:hAnsi="Times New Roman"/>
        </w:rPr>
      </w:pPr>
      <w:r w:rsidRPr="00DA3BC7">
        <w:rPr>
          <w:rFonts w:ascii="Times New Roman" w:hAnsi="Times New Roman"/>
        </w:rPr>
        <w:t>這樣，一切法性空，所</w:t>
      </w:r>
      <w:r w:rsidRPr="00C54DA0">
        <w:rPr>
          <w:rFonts w:ascii="Times New Roman" w:hAnsi="Times New Roman"/>
          <w:highlight w:val="yellow"/>
        </w:rPr>
        <w:t>以</w:t>
      </w:r>
    </w:p>
    <w:p w:rsidR="001968AB" w:rsidRPr="00DA3BC7" w:rsidRDefault="00E84A31" w:rsidP="000E633B">
      <w:pPr>
        <w:ind w:leftChars="200" w:left="480"/>
        <w:jc w:val="both"/>
        <w:rPr>
          <w:rFonts w:ascii="Times New Roman" w:hAnsi="Times New Roman"/>
        </w:rPr>
      </w:pPr>
      <w:r w:rsidRPr="00DA3BC7">
        <w:rPr>
          <w:rFonts w:ascii="Times New Roman" w:hAnsi="Times New Roman"/>
          <w:b/>
        </w:rPr>
        <w:t>縱觀</w:t>
      </w:r>
      <w:r w:rsidRPr="00DA3BC7">
        <w:rPr>
          <w:rFonts w:ascii="Times New Roman" w:hAnsi="Times New Roman"/>
        </w:rPr>
        <w:t>（動的）緣起事相，是</w:t>
      </w:r>
      <w:r w:rsidRPr="00DA3BC7">
        <w:rPr>
          <w:rFonts w:ascii="Times New Roman" w:hAnsi="Times New Roman"/>
          <w:b/>
        </w:rPr>
        <w:t>生滅無常</w:t>
      </w:r>
      <w:r w:rsidRPr="00DA3BC7">
        <w:rPr>
          <w:rFonts w:ascii="Times New Roman" w:hAnsi="Times New Roman"/>
        </w:rPr>
        <w:t>的</w:t>
      </w:r>
      <w:r w:rsidR="00C54DA0">
        <w:rPr>
          <w:rFonts w:ascii="Times New Roman" w:hAnsi="Times New Roman" w:hint="eastAsia"/>
          <w:color w:val="FF0000"/>
          <w:highlight w:val="yellow"/>
        </w:rPr>
        <w:t>；</w:t>
      </w:r>
    </w:p>
    <w:p w:rsidR="001968AB" w:rsidRPr="00DA3BC7" w:rsidRDefault="00E84A31" w:rsidP="000E633B">
      <w:pPr>
        <w:ind w:leftChars="200" w:left="480"/>
        <w:jc w:val="both"/>
        <w:rPr>
          <w:rFonts w:ascii="Times New Roman" w:hAnsi="Times New Roman"/>
        </w:rPr>
      </w:pPr>
      <w:r w:rsidRPr="00DA3BC7">
        <w:rPr>
          <w:rFonts w:ascii="Times New Roman" w:hAnsi="Times New Roman"/>
          <w:b/>
        </w:rPr>
        <w:t>橫觀</w:t>
      </w:r>
      <w:r w:rsidRPr="00DA3BC7">
        <w:rPr>
          <w:rFonts w:ascii="Times New Roman" w:hAnsi="Times New Roman"/>
        </w:rPr>
        <w:t>（靜的）即見為</w:t>
      </w:r>
      <w:r w:rsidRPr="00DA3BC7">
        <w:rPr>
          <w:rFonts w:ascii="Times New Roman" w:hAnsi="Times New Roman"/>
          <w:b/>
        </w:rPr>
        <w:t>因緣和合</w:t>
      </w:r>
      <w:r w:rsidRPr="00DA3BC7">
        <w:rPr>
          <w:rFonts w:ascii="Times New Roman" w:hAnsi="Times New Roman"/>
        </w:rPr>
        <w:t>的</w:t>
      </w:r>
      <w:r w:rsidR="00C54DA0">
        <w:rPr>
          <w:rFonts w:ascii="Times New Roman" w:hAnsi="Times New Roman" w:hint="eastAsia"/>
          <w:color w:val="FF0000"/>
          <w:highlight w:val="yellow"/>
        </w:rPr>
        <w:t>；</w:t>
      </w:r>
    </w:p>
    <w:p w:rsidR="001968AB" w:rsidRPr="00DA3BC7" w:rsidRDefault="00E84A31" w:rsidP="000E633B">
      <w:pPr>
        <w:ind w:leftChars="200" w:left="480"/>
        <w:jc w:val="both"/>
        <w:rPr>
          <w:rFonts w:ascii="Times New Roman" w:hAnsi="Times New Roman"/>
        </w:rPr>
      </w:pPr>
      <w:r w:rsidRPr="00DA3BC7">
        <w:rPr>
          <w:rFonts w:ascii="Times New Roman" w:hAnsi="Times New Roman"/>
        </w:rPr>
        <w:t>從一一相</w:t>
      </w:r>
      <w:r w:rsidR="00D120BF" w:rsidRPr="00D120BF">
        <w:rPr>
          <w:rFonts w:ascii="Times New Roman" w:hAnsi="Times New Roman" w:hint="eastAsia"/>
          <w:highlight w:val="yellow"/>
        </w:rPr>
        <w:t>而</w:t>
      </w:r>
      <w:r w:rsidR="00D120BF" w:rsidRPr="00D120BF">
        <w:rPr>
          <w:rFonts w:ascii="Times New Roman" w:hAnsi="Times New Roman"/>
          <w:b/>
          <w:highlight w:val="yellow"/>
        </w:rPr>
        <w:t>直觀</w:t>
      </w:r>
      <w:r w:rsidRPr="00DA3BC7">
        <w:rPr>
          <w:rFonts w:ascii="Times New Roman" w:hAnsi="Times New Roman" w:hint="eastAsia"/>
        </w:rPr>
        <w:t>它</w:t>
      </w:r>
      <w:r w:rsidRPr="00DA3BC7">
        <w:rPr>
          <w:rFonts w:ascii="Times New Roman" w:hAnsi="Times New Roman"/>
        </w:rPr>
        <w:t>的本性，即是無常、無我、無生無滅、不集不散的</w:t>
      </w:r>
      <w:r w:rsidRPr="00DA3BC7">
        <w:rPr>
          <w:rFonts w:ascii="Times New Roman" w:hAnsi="Times New Roman"/>
          <w:b/>
        </w:rPr>
        <w:t>無為空寂</w:t>
      </w:r>
      <w:r w:rsidRPr="00DA3BC7">
        <w:rPr>
          <w:rFonts w:ascii="Times New Roman" w:hAnsi="Times New Roman"/>
        </w:rPr>
        <w:t>。</w:t>
      </w:r>
    </w:p>
    <w:p w:rsidR="00E84A31" w:rsidRPr="00DA3BC7" w:rsidRDefault="00E84A31" w:rsidP="00AE3920">
      <w:pPr>
        <w:spacing w:beforeLines="20"/>
        <w:ind w:leftChars="200" w:left="480"/>
        <w:jc w:val="both"/>
        <w:rPr>
          <w:rFonts w:ascii="Times New Roman" w:hAnsi="Times New Roman"/>
          <w:szCs w:val="23"/>
        </w:rPr>
      </w:pPr>
      <w:r w:rsidRPr="00DA3BC7">
        <w:rPr>
          <w:rFonts w:ascii="Times New Roman" w:hAnsi="Times New Roman"/>
        </w:rPr>
        <w:t>因此，</w:t>
      </w:r>
      <w:r w:rsidRPr="00562AE7">
        <w:rPr>
          <w:rFonts w:ascii="Times New Roman" w:hAnsi="Times New Roman"/>
          <w:b/>
          <w:u w:val="wave" w:color="C00000"/>
        </w:rPr>
        <w:t>無常</w:t>
      </w:r>
      <w:r w:rsidRPr="00DA3BC7">
        <w:rPr>
          <w:rFonts w:ascii="Times New Roman" w:hAnsi="Times New Roman"/>
        </w:rPr>
        <w:t>所以</w:t>
      </w:r>
      <w:r w:rsidRPr="00562AE7">
        <w:rPr>
          <w:rFonts w:ascii="Times New Roman" w:hAnsi="Times New Roman"/>
          <w:b/>
          <w:u w:val="wave" w:color="C00000"/>
        </w:rPr>
        <w:t>無我</w:t>
      </w:r>
      <w:r w:rsidRPr="00DA3BC7">
        <w:rPr>
          <w:rFonts w:ascii="Times New Roman" w:hAnsi="Times New Roman"/>
        </w:rPr>
        <w:t>，</w:t>
      </w:r>
      <w:r w:rsidRPr="00562AE7">
        <w:rPr>
          <w:rFonts w:ascii="Times New Roman" w:hAnsi="Times New Roman"/>
          <w:b/>
          <w:u w:val="wave" w:color="C00000"/>
        </w:rPr>
        <w:t>無我我所</w:t>
      </w:r>
      <w:r w:rsidRPr="00D120BF">
        <w:rPr>
          <w:rFonts w:ascii="Times New Roman" w:hAnsi="Times New Roman"/>
          <w:highlight w:val="yellow"/>
        </w:rPr>
        <w:t>所</w:t>
      </w:r>
      <w:r w:rsidRPr="00DA3BC7">
        <w:rPr>
          <w:rFonts w:ascii="Times New Roman" w:hAnsi="Times New Roman"/>
        </w:rPr>
        <w:t>以能證得</w:t>
      </w:r>
      <w:r w:rsidRPr="00562AE7">
        <w:rPr>
          <w:rFonts w:ascii="Times New Roman" w:hAnsi="Times New Roman"/>
          <w:b/>
          <w:u w:val="wave" w:color="C00000"/>
        </w:rPr>
        <w:t>涅槃</w:t>
      </w:r>
      <w:r w:rsidRPr="00DA3BC7">
        <w:rPr>
          <w:rFonts w:ascii="Times New Roman" w:hAnsi="Times New Roman"/>
        </w:rPr>
        <w:t>，這是《阿含經》本有的深義。</w:t>
      </w:r>
    </w:p>
    <w:p w:rsidR="00E84A31" w:rsidRPr="00DA3BC7" w:rsidRDefault="00D120BF" w:rsidP="00AE3920">
      <w:pPr>
        <w:spacing w:beforeLines="30"/>
        <w:ind w:leftChars="200" w:left="480"/>
        <w:jc w:val="both"/>
        <w:rPr>
          <w:rFonts w:ascii="Times New Roman" w:hAnsi="Times New Roman"/>
          <w:sz w:val="20"/>
          <w:szCs w:val="20"/>
        </w:rPr>
      </w:pPr>
      <w:r w:rsidRPr="00D120BF">
        <w:rPr>
          <w:rFonts w:ascii="Times New Roman" w:hAnsi="Times New Roman" w:hint="eastAsia"/>
          <w:b/>
          <w:color w:val="FF0000"/>
          <w:sz w:val="20"/>
          <w:szCs w:val="20"/>
          <w:highlight w:val="yellow"/>
          <w:bdr w:val="single" w:sz="4" w:space="0" w:color="auto"/>
        </w:rPr>
        <w:t>2</w:t>
      </w:r>
      <w:r w:rsidRPr="00D120BF">
        <w:rPr>
          <w:rFonts w:ascii="Times New Roman" w:hAnsi="Times New Roman" w:hint="eastAsia"/>
          <w:b/>
          <w:color w:val="FF0000"/>
          <w:sz w:val="20"/>
          <w:szCs w:val="20"/>
          <w:highlight w:val="yellow"/>
          <w:bdr w:val="single" w:sz="4" w:space="0" w:color="auto"/>
        </w:rPr>
        <w:t>、由</w:t>
      </w:r>
      <w:r w:rsidR="00B123AE">
        <w:rPr>
          <w:rFonts w:ascii="Times New Roman" w:hAnsi="Times New Roman" w:hint="eastAsia"/>
          <w:b/>
          <w:color w:val="FF0000"/>
          <w:sz w:val="20"/>
          <w:szCs w:val="20"/>
          <w:highlight w:val="yellow"/>
          <w:bdr w:val="single" w:sz="4" w:space="0" w:color="auto"/>
        </w:rPr>
        <w:t>「</w:t>
      </w:r>
      <w:r w:rsidRPr="00D120BF">
        <w:rPr>
          <w:rFonts w:ascii="Times New Roman" w:hAnsi="Times New Roman" w:hint="eastAsia"/>
          <w:b/>
          <w:color w:val="FF0000"/>
          <w:sz w:val="20"/>
          <w:szCs w:val="20"/>
          <w:highlight w:val="yellow"/>
          <w:bdr w:val="single" w:sz="4" w:space="0" w:color="auto"/>
        </w:rPr>
        <w:t>佛本行</w:t>
      </w:r>
      <w:r w:rsidR="00B123AE">
        <w:rPr>
          <w:rFonts w:ascii="Times New Roman" w:hAnsi="Times New Roman" w:hint="eastAsia"/>
          <w:b/>
          <w:color w:val="FF0000"/>
          <w:sz w:val="20"/>
          <w:szCs w:val="20"/>
          <w:highlight w:val="yellow"/>
          <w:bdr w:val="single" w:sz="4" w:space="0" w:color="auto"/>
        </w:rPr>
        <w:t>」</w:t>
      </w:r>
      <w:r w:rsidRPr="00D120BF">
        <w:rPr>
          <w:rFonts w:ascii="Times New Roman" w:hAnsi="Times New Roman" w:hint="eastAsia"/>
          <w:b/>
          <w:color w:val="FF0000"/>
          <w:sz w:val="20"/>
          <w:szCs w:val="20"/>
          <w:highlight w:val="yellow"/>
          <w:bdr w:val="single" w:sz="4" w:space="0" w:color="auto"/>
        </w:rPr>
        <w:t>述本懷</w:t>
      </w:r>
      <w:r w:rsidR="00E84A31" w:rsidRPr="00DA3BC7">
        <w:rPr>
          <w:rFonts w:ascii="Times New Roman" w:hAnsi="Times New Roman" w:hint="eastAsia"/>
          <w:sz w:val="20"/>
          <w:szCs w:val="20"/>
        </w:rPr>
        <w:t>（</w:t>
      </w:r>
      <w:r w:rsidR="00E84A31" w:rsidRPr="00DA3BC7">
        <w:rPr>
          <w:rFonts w:ascii="Times New Roman" w:hAnsi="Times New Roman"/>
          <w:sz w:val="20"/>
          <w:szCs w:val="20"/>
        </w:rPr>
        <w:t>p.33</w:t>
      </w:r>
      <w:r w:rsidR="00E84A31" w:rsidRPr="00DA3BC7">
        <w:rPr>
          <w:rFonts w:ascii="Times New Roman" w:hAnsi="Times New Roman" w:hint="eastAsia"/>
          <w:sz w:val="20"/>
          <w:szCs w:val="20"/>
        </w:rPr>
        <w:t>）</w:t>
      </w:r>
    </w:p>
    <w:p w:rsidR="00E84A31" w:rsidRPr="00DA3BC7" w:rsidRDefault="00E84A31" w:rsidP="000E633B">
      <w:pPr>
        <w:ind w:leftChars="200" w:left="480"/>
        <w:jc w:val="both"/>
        <w:rPr>
          <w:rFonts w:ascii="Times New Roman" w:hAnsi="Times New Roman"/>
        </w:rPr>
      </w:pPr>
      <w:r w:rsidRPr="00DA3BC7">
        <w:rPr>
          <w:rFonts w:ascii="Times New Roman" w:hAnsi="Times New Roman"/>
        </w:rPr>
        <w:t>釋迦佛本重於法性空寂的行證，如釋尊在《小空經》中說：「</w:t>
      </w:r>
      <w:r w:rsidRPr="00DA3BC7">
        <w:rPr>
          <w:rFonts w:ascii="Times New Roman" w:eastAsia="標楷體" w:hAnsi="Times New Roman"/>
        </w:rPr>
        <w:t>阿難！我多行空</w:t>
      </w:r>
      <w:r w:rsidRPr="00DA3BC7">
        <w:rPr>
          <w:rFonts w:ascii="標楷體" w:eastAsia="標楷體" w:hAnsi="標楷體" w:hint="eastAsia"/>
        </w:rPr>
        <w:t>。</w:t>
      </w:r>
      <w:r w:rsidRPr="00DA3BC7">
        <w:rPr>
          <w:rFonts w:ascii="Times New Roman" w:hAnsi="Times New Roman"/>
        </w:rPr>
        <w:t>」</w:t>
      </w:r>
      <w:r w:rsidRPr="00DA3BC7">
        <w:rPr>
          <w:rStyle w:val="a6"/>
          <w:rFonts w:ascii="Times New Roman" w:hAnsi="Times New Roman"/>
        </w:rPr>
        <w:footnoteReference w:id="223"/>
      </w:r>
    </w:p>
    <w:p w:rsidR="001968AB" w:rsidRPr="00DA3BC7" w:rsidRDefault="00E84A31" w:rsidP="000E633B">
      <w:pPr>
        <w:ind w:leftChars="200" w:left="480"/>
        <w:jc w:val="both"/>
        <w:rPr>
          <w:rFonts w:ascii="Times New Roman" w:hAnsi="Times New Roman"/>
        </w:rPr>
      </w:pPr>
      <w:r w:rsidRPr="00DA3BC7">
        <w:rPr>
          <w:rFonts w:ascii="Times New Roman" w:hAnsi="Times New Roman"/>
        </w:rPr>
        <w:t>《瑜伽</w:t>
      </w:r>
      <w:r w:rsidRPr="00DA3BC7">
        <w:rPr>
          <w:rFonts w:ascii="Times New Roman" w:hAnsi="Times New Roman" w:hint="eastAsia"/>
        </w:rPr>
        <w:t>師地</w:t>
      </w:r>
      <w:r w:rsidRPr="00DA3BC7">
        <w:rPr>
          <w:rFonts w:ascii="Times New Roman" w:hAnsi="Times New Roman"/>
        </w:rPr>
        <w:t>論》</w:t>
      </w:r>
      <w:r w:rsidRPr="00DA3BC7">
        <w:rPr>
          <w:rFonts w:ascii="Times New Roman" w:hAnsi="Times New Roman" w:hint="eastAsia"/>
        </w:rPr>
        <w:t>（卷</w:t>
      </w:r>
      <w:r w:rsidR="00D120BF">
        <w:rPr>
          <w:rFonts w:ascii="Times New Roman" w:hAnsi="Times New Roman" w:hint="eastAsia"/>
        </w:rPr>
        <w:t>90</w:t>
      </w:r>
      <w:r w:rsidRPr="00DA3BC7">
        <w:rPr>
          <w:rFonts w:ascii="Times New Roman" w:hAnsi="Times New Roman" w:hint="eastAsia"/>
        </w:rPr>
        <w:t>）</w:t>
      </w:r>
      <w:r w:rsidRPr="00DA3BC7">
        <w:rPr>
          <w:rFonts w:ascii="Times New Roman" w:hAnsi="Times New Roman"/>
        </w:rPr>
        <w:t>解說為：「</w:t>
      </w:r>
      <w:r w:rsidRPr="00DA3BC7">
        <w:rPr>
          <w:rFonts w:ascii="Times New Roman" w:eastAsia="標楷體" w:hAnsi="Times New Roman"/>
        </w:rPr>
        <w:t>世尊於昔修習菩薩行位，多修空住，故能速證阿耨多羅三藐三菩提</w:t>
      </w:r>
      <w:r w:rsidR="005C68C9" w:rsidRPr="00DA3BC7">
        <w:rPr>
          <w:rFonts w:ascii="Times New Roman" w:eastAsia="標楷體" w:hAnsi="Times New Roman"/>
        </w:rPr>
        <w:t>。</w:t>
      </w:r>
      <w:r w:rsidRPr="00DA3BC7">
        <w:rPr>
          <w:rFonts w:ascii="Times New Roman" w:hAnsi="Times New Roman"/>
        </w:rPr>
        <w:t>」</w:t>
      </w:r>
      <w:r w:rsidRPr="00DA3BC7">
        <w:rPr>
          <w:rStyle w:val="a6"/>
          <w:rFonts w:ascii="Times New Roman" w:hAnsi="Times New Roman"/>
        </w:rPr>
        <w:footnoteReference w:id="224"/>
      </w:r>
    </w:p>
    <w:p w:rsidR="001968AB" w:rsidRPr="00DA3BC7" w:rsidRDefault="00E84A31" w:rsidP="000E633B">
      <w:pPr>
        <w:ind w:leftChars="200" w:left="480"/>
        <w:jc w:val="both"/>
        <w:rPr>
          <w:rFonts w:ascii="Times New Roman" w:hAnsi="Times New Roman"/>
        </w:rPr>
      </w:pPr>
      <w:r w:rsidRPr="00DA3BC7">
        <w:rPr>
          <w:rFonts w:ascii="Times New Roman" w:hAnsi="Times New Roman"/>
        </w:rPr>
        <w:t>這可見佛陀的深見所在，隨順眾生</w:t>
      </w:r>
      <w:r w:rsidRPr="00DA3BC7">
        <w:rPr>
          <w:rFonts w:ascii="新細明體" w:hAnsi="新細明體"/>
        </w:rPr>
        <w:t>──</w:t>
      </w:r>
      <w:r w:rsidRPr="00DA3BC7">
        <w:rPr>
          <w:rFonts w:ascii="Times New Roman" w:hAnsi="Times New Roman"/>
        </w:rPr>
        <w:t>世俗的知解，在</w:t>
      </w:r>
      <w:r w:rsidRPr="00562AE7">
        <w:rPr>
          <w:rFonts w:ascii="Times New Roman" w:hAnsi="Times New Roman"/>
          <w:b/>
          <w:u w:val="wave" w:color="C00000"/>
        </w:rPr>
        <w:t>相續</w:t>
      </w:r>
      <w:r w:rsidRPr="00DA3BC7">
        <w:rPr>
          <w:rFonts w:ascii="Times New Roman" w:hAnsi="Times New Roman"/>
        </w:rPr>
        <w:t>中說</w:t>
      </w:r>
      <w:r w:rsidRPr="00562AE7">
        <w:rPr>
          <w:rFonts w:ascii="Times New Roman" w:hAnsi="Times New Roman"/>
          <w:b/>
          <w:u w:val="wave" w:color="C00000"/>
        </w:rPr>
        <w:t>無常</w:t>
      </w:r>
      <w:r w:rsidRPr="00DA3BC7">
        <w:rPr>
          <w:rFonts w:ascii="Times New Roman" w:hAnsi="Times New Roman"/>
        </w:rPr>
        <w:t>，在</w:t>
      </w:r>
      <w:r w:rsidRPr="00562AE7">
        <w:rPr>
          <w:rFonts w:ascii="Times New Roman" w:hAnsi="Times New Roman"/>
          <w:b/>
          <w:u w:val="wave" w:color="C00000"/>
        </w:rPr>
        <w:t>和合</w:t>
      </w:r>
      <w:r w:rsidRPr="00DA3BC7">
        <w:rPr>
          <w:rFonts w:ascii="Times New Roman" w:hAnsi="Times New Roman"/>
        </w:rPr>
        <w:t>中說</w:t>
      </w:r>
      <w:r w:rsidRPr="00562AE7">
        <w:rPr>
          <w:rFonts w:ascii="Times New Roman" w:hAnsi="Times New Roman"/>
          <w:b/>
          <w:u w:val="wave" w:color="C00000"/>
        </w:rPr>
        <w:t>無我</w:t>
      </w:r>
      <w:r w:rsidRPr="00DA3BC7">
        <w:rPr>
          <w:rFonts w:ascii="Times New Roman" w:hAnsi="Times New Roman"/>
        </w:rPr>
        <w:t>，這名為以俗說真。釋迦的本懷，不僅在乎相續與和合的理解，而是以指指月，是從此</w:t>
      </w:r>
      <w:r w:rsidRPr="00562AE7">
        <w:rPr>
          <w:rFonts w:ascii="Times New Roman" w:hAnsi="Times New Roman"/>
          <w:b/>
          <w:u w:val="wave" w:color="C00000"/>
        </w:rPr>
        <w:t>事相的相續相、和合相</w:t>
      </w:r>
      <w:r w:rsidRPr="00DA3BC7">
        <w:rPr>
          <w:rFonts w:ascii="Times New Roman" w:hAnsi="Times New Roman"/>
        </w:rPr>
        <w:t>中，要人深入於</w:t>
      </w:r>
      <w:r w:rsidRPr="00562AE7">
        <w:rPr>
          <w:rFonts w:ascii="Times New Roman" w:hAnsi="Times New Roman"/>
          <w:b/>
          <w:u w:val="wave" w:color="C00000"/>
        </w:rPr>
        <w:t>法性</w:t>
      </w:r>
      <w:r w:rsidRPr="00DA3BC7">
        <w:rPr>
          <w:rFonts w:ascii="新細明體" w:hAnsi="新細明體"/>
        </w:rPr>
        <w:t>──</w:t>
      </w:r>
      <w:r w:rsidRPr="00DA3BC7">
        <w:rPr>
          <w:rFonts w:ascii="Times New Roman" w:hAnsi="Times New Roman"/>
        </w:rPr>
        <w:t>即</w:t>
      </w:r>
      <w:r w:rsidRPr="00562AE7">
        <w:rPr>
          <w:rFonts w:ascii="Times New Roman" w:hAnsi="Times New Roman"/>
          <w:b/>
          <w:u w:val="wave" w:color="C00000"/>
        </w:rPr>
        <w:t>無常性</w:t>
      </w:r>
      <w:r w:rsidRPr="00DA3BC7">
        <w:rPr>
          <w:rFonts w:ascii="Times New Roman" w:hAnsi="Times New Roman"/>
        </w:rPr>
        <w:t>、</w:t>
      </w:r>
      <w:r w:rsidRPr="00562AE7">
        <w:rPr>
          <w:rFonts w:ascii="Times New Roman" w:hAnsi="Times New Roman"/>
          <w:b/>
          <w:u w:val="wave" w:color="C00000"/>
        </w:rPr>
        <w:t>無我性</w:t>
      </w:r>
      <w:r w:rsidRPr="00DA3BC7">
        <w:rPr>
          <w:rFonts w:ascii="Times New Roman" w:hAnsi="Times New Roman"/>
        </w:rPr>
        <w:t>，所以說能證</w:t>
      </w:r>
      <w:r w:rsidRPr="00562AE7">
        <w:rPr>
          <w:rFonts w:ascii="Times New Roman" w:hAnsi="Times New Roman"/>
          <w:b/>
          <w:u w:val="wave" w:color="C00000"/>
        </w:rPr>
        <w:t>涅槃</w:t>
      </w:r>
      <w:r w:rsidRPr="00DA3BC7">
        <w:rPr>
          <w:rFonts w:ascii="Times New Roman" w:hAnsi="Times New Roman"/>
        </w:rPr>
        <w:t>。</w:t>
      </w:r>
    </w:p>
    <w:p w:rsidR="00D120BF" w:rsidRDefault="00E84A31" w:rsidP="00AE3920">
      <w:pPr>
        <w:spacing w:beforeLines="30"/>
        <w:ind w:leftChars="150" w:left="360"/>
        <w:jc w:val="both"/>
        <w:rPr>
          <w:rFonts w:ascii="Times New Roman" w:hAnsi="Times New Roman"/>
          <w:b/>
          <w:color w:val="FF0000"/>
          <w:sz w:val="20"/>
          <w:szCs w:val="20"/>
          <w:bdr w:val="single" w:sz="4" w:space="0" w:color="auto"/>
        </w:rPr>
      </w:pPr>
      <w:r w:rsidRPr="00D120BF">
        <w:rPr>
          <w:rFonts w:ascii="Times New Roman" w:hAnsi="Times New Roman"/>
          <w:b/>
          <w:color w:val="FF0000"/>
          <w:sz w:val="20"/>
          <w:szCs w:val="20"/>
          <w:highlight w:val="yellow"/>
          <w:bdr w:val="single" w:sz="4" w:space="0" w:color="auto"/>
        </w:rPr>
        <w:t>（</w:t>
      </w:r>
      <w:r w:rsidR="00D120BF" w:rsidRPr="00D120BF">
        <w:rPr>
          <w:rFonts w:ascii="Times New Roman" w:hAnsi="Times New Roman" w:hint="eastAsia"/>
          <w:b/>
          <w:color w:val="FF0000"/>
          <w:sz w:val="20"/>
          <w:szCs w:val="20"/>
          <w:highlight w:val="yellow"/>
          <w:bdr w:val="single" w:sz="4" w:space="0" w:color="auto"/>
        </w:rPr>
        <w:t>二</w:t>
      </w:r>
      <w:r w:rsidRPr="00D120BF">
        <w:rPr>
          <w:rFonts w:ascii="Times New Roman" w:hAnsi="Times New Roman"/>
          <w:b/>
          <w:color w:val="FF0000"/>
          <w:sz w:val="20"/>
          <w:szCs w:val="20"/>
          <w:highlight w:val="yellow"/>
          <w:bdr w:val="single" w:sz="4" w:space="0" w:color="auto"/>
        </w:rPr>
        <w:t>）</w:t>
      </w:r>
      <w:r w:rsidR="00D120BF" w:rsidRPr="00D120BF">
        <w:rPr>
          <w:rFonts w:ascii="Times New Roman" w:hAnsi="Times New Roman" w:hint="eastAsia"/>
          <w:b/>
          <w:color w:val="FF0000"/>
          <w:sz w:val="20"/>
          <w:szCs w:val="20"/>
          <w:highlight w:val="yellow"/>
          <w:bdr w:val="single" w:sz="4" w:space="0" w:color="auto"/>
        </w:rPr>
        <w:t>顯過非</w:t>
      </w:r>
      <w:r w:rsidR="00D120BF" w:rsidRPr="00DA3BC7">
        <w:rPr>
          <w:rFonts w:ascii="Times New Roman" w:hAnsi="Times New Roman" w:hint="eastAsia"/>
          <w:sz w:val="20"/>
          <w:szCs w:val="20"/>
        </w:rPr>
        <w:t>（</w:t>
      </w:r>
      <w:r w:rsidR="00D120BF" w:rsidRPr="00DA3BC7">
        <w:rPr>
          <w:rFonts w:ascii="Times New Roman" w:hAnsi="Times New Roman"/>
          <w:sz w:val="20"/>
          <w:szCs w:val="20"/>
        </w:rPr>
        <w:t>pp.33-34</w:t>
      </w:r>
      <w:r w:rsidR="00D120BF" w:rsidRPr="00DA3BC7">
        <w:rPr>
          <w:rFonts w:ascii="Times New Roman" w:hAnsi="Times New Roman" w:hint="eastAsia"/>
          <w:sz w:val="20"/>
          <w:szCs w:val="20"/>
        </w:rPr>
        <w:t>）</w:t>
      </w:r>
    </w:p>
    <w:p w:rsidR="00E84A31" w:rsidRPr="00DA3BC7" w:rsidRDefault="00D120BF" w:rsidP="006D0171">
      <w:pPr>
        <w:ind w:leftChars="200" w:left="480"/>
        <w:jc w:val="both"/>
        <w:rPr>
          <w:rFonts w:ascii="Times New Roman" w:hAnsi="Times New Roman"/>
          <w:sz w:val="20"/>
          <w:szCs w:val="20"/>
          <w:bdr w:val="single" w:sz="4" w:space="0" w:color="auto"/>
        </w:rPr>
      </w:pPr>
      <w:r>
        <w:rPr>
          <w:rFonts w:ascii="Times New Roman" w:hAnsi="Times New Roman" w:hint="eastAsia"/>
          <w:b/>
          <w:color w:val="FF0000"/>
          <w:sz w:val="20"/>
          <w:szCs w:val="20"/>
          <w:highlight w:val="yellow"/>
          <w:bdr w:val="single" w:sz="4" w:space="0" w:color="auto"/>
        </w:rPr>
        <w:t>1</w:t>
      </w:r>
      <w:r>
        <w:rPr>
          <w:rFonts w:ascii="Times New Roman" w:hAnsi="Times New Roman" w:hint="eastAsia"/>
          <w:b/>
          <w:color w:val="FF0000"/>
          <w:sz w:val="20"/>
          <w:szCs w:val="20"/>
          <w:highlight w:val="yellow"/>
          <w:bdr w:val="single" w:sz="4" w:space="0" w:color="auto"/>
        </w:rPr>
        <w:t>、「重事廢理」失</w:t>
      </w:r>
      <w:r w:rsidR="00E84A31" w:rsidRPr="00DA3BC7">
        <w:rPr>
          <w:rFonts w:ascii="Times New Roman" w:hAnsi="Times New Roman" w:hint="eastAsia"/>
          <w:sz w:val="20"/>
          <w:szCs w:val="20"/>
        </w:rPr>
        <w:t>（</w:t>
      </w:r>
      <w:r w:rsidR="00E84A31" w:rsidRPr="00DA3BC7">
        <w:rPr>
          <w:rFonts w:ascii="Times New Roman" w:hAnsi="Times New Roman"/>
          <w:sz w:val="20"/>
          <w:szCs w:val="20"/>
        </w:rPr>
        <w:t>pp.33-34</w:t>
      </w:r>
      <w:r w:rsidR="00E84A31" w:rsidRPr="00DA3BC7">
        <w:rPr>
          <w:rFonts w:ascii="Times New Roman" w:hAnsi="Times New Roman" w:hint="eastAsia"/>
          <w:sz w:val="20"/>
          <w:szCs w:val="20"/>
        </w:rPr>
        <w:t>）</w:t>
      </w:r>
    </w:p>
    <w:p w:rsidR="00E84A31" w:rsidRPr="00DA3BC7" w:rsidRDefault="00E84A31" w:rsidP="000E633B">
      <w:pPr>
        <w:ind w:leftChars="200" w:left="480"/>
        <w:jc w:val="both"/>
        <w:rPr>
          <w:rFonts w:ascii="Times New Roman" w:hAnsi="Times New Roman"/>
        </w:rPr>
      </w:pPr>
      <w:r w:rsidRPr="00DA3BC7">
        <w:rPr>
          <w:rFonts w:ascii="Times New Roman" w:hAnsi="Times New Roman"/>
        </w:rPr>
        <w:t>可惜如來聖教不為一般聲聞學者所知，專在</w:t>
      </w:r>
      <w:r w:rsidRPr="00562AE7">
        <w:rPr>
          <w:rFonts w:ascii="Times New Roman" w:hAnsi="Times New Roman"/>
          <w:b/>
          <w:u w:val="wave" w:color="C00000"/>
        </w:rPr>
        <w:t>事相</w:t>
      </w:r>
      <w:r w:rsidRPr="00DA3BC7">
        <w:rPr>
          <w:rFonts w:ascii="Times New Roman" w:hAnsi="Times New Roman"/>
        </w:rPr>
        <w:t>上說因果生滅</w:t>
      </w:r>
      <w:r w:rsidRPr="00DA3BC7">
        <w:rPr>
          <w:rFonts w:ascii="新細明體" w:hAnsi="新細明體" w:hint="eastAsia"/>
        </w:rPr>
        <w:t>、</w:t>
      </w:r>
      <w:r w:rsidRPr="00DA3BC7">
        <w:rPr>
          <w:rFonts w:ascii="Times New Roman" w:hAnsi="Times New Roman"/>
        </w:rPr>
        <w:t>說因緣和合，</w:t>
      </w:r>
      <w:r w:rsidRPr="00562AE7">
        <w:rPr>
          <w:rFonts w:ascii="Times New Roman" w:hAnsi="Times New Roman"/>
          <w:b/>
          <w:u w:val="wave" w:color="C00000"/>
        </w:rPr>
        <w:t>偏重事相</w:t>
      </w:r>
      <w:r w:rsidRPr="00DA3BC7">
        <w:rPr>
          <w:rFonts w:ascii="Times New Roman" w:hAnsi="Times New Roman"/>
        </w:rPr>
        <w:t>的建立，而不能與深入</w:t>
      </w:r>
      <w:r w:rsidRPr="00562AE7">
        <w:rPr>
          <w:rFonts w:ascii="Times New Roman" w:hAnsi="Times New Roman"/>
          <w:b/>
          <w:u w:val="wave" w:color="C00000"/>
        </w:rPr>
        <w:t>本性空寂的無為無生</w:t>
      </w:r>
      <w:r w:rsidRPr="00DA3BC7">
        <w:rPr>
          <w:rFonts w:ascii="Times New Roman" w:hAnsi="Times New Roman"/>
        </w:rPr>
        <w:t>相契合。</w:t>
      </w:r>
    </w:p>
    <w:p w:rsidR="00E84A31" w:rsidRPr="00127BF8" w:rsidRDefault="00D120BF" w:rsidP="00AE3920">
      <w:pPr>
        <w:spacing w:beforeLines="30"/>
        <w:ind w:leftChars="200" w:left="480"/>
        <w:jc w:val="both"/>
        <w:rPr>
          <w:rFonts w:ascii="Times New Roman" w:hAnsi="Times New Roman"/>
          <w:sz w:val="20"/>
          <w:szCs w:val="20"/>
          <w:bdr w:val="single" w:sz="4" w:space="0" w:color="auto"/>
        </w:rPr>
      </w:pPr>
      <w:r w:rsidRPr="00127BF8">
        <w:rPr>
          <w:rFonts w:ascii="Times New Roman" w:hAnsi="Times New Roman"/>
          <w:b/>
          <w:color w:val="FF0000"/>
          <w:sz w:val="20"/>
          <w:szCs w:val="20"/>
          <w:highlight w:val="yellow"/>
          <w:bdr w:val="single" w:sz="4" w:space="0" w:color="auto"/>
        </w:rPr>
        <w:t>2</w:t>
      </w:r>
      <w:r w:rsidRPr="00127BF8">
        <w:rPr>
          <w:rFonts w:ascii="Times New Roman" w:hAnsi="Times New Roman"/>
          <w:b/>
          <w:color w:val="FF0000"/>
          <w:sz w:val="20"/>
          <w:szCs w:val="20"/>
          <w:highlight w:val="yellow"/>
          <w:bdr w:val="single" w:sz="4" w:space="0" w:color="auto"/>
        </w:rPr>
        <w:t>、「不成法印」失</w:t>
      </w:r>
      <w:r w:rsidR="00E84A31" w:rsidRPr="00127BF8">
        <w:rPr>
          <w:rFonts w:ascii="Times New Roman" w:hAnsi="Times New Roman"/>
          <w:sz w:val="20"/>
          <w:szCs w:val="20"/>
        </w:rPr>
        <w:t>（</w:t>
      </w:r>
      <w:r w:rsidR="00E84A31" w:rsidRPr="00127BF8">
        <w:rPr>
          <w:rFonts w:ascii="Times New Roman" w:hAnsi="Times New Roman"/>
          <w:sz w:val="20"/>
          <w:szCs w:val="20"/>
        </w:rPr>
        <w:t>p.34</w:t>
      </w:r>
      <w:r w:rsidR="00E84A31" w:rsidRPr="00127BF8">
        <w:rPr>
          <w:rFonts w:ascii="Times New Roman" w:hAnsi="Times New Roman"/>
          <w:sz w:val="20"/>
          <w:szCs w:val="20"/>
        </w:rPr>
        <w:t>）</w:t>
      </w:r>
    </w:p>
    <w:p w:rsidR="00B74007" w:rsidRPr="00DA3BC7" w:rsidRDefault="00E84A31" w:rsidP="000E633B">
      <w:pPr>
        <w:ind w:leftChars="200" w:left="480"/>
        <w:jc w:val="both"/>
        <w:rPr>
          <w:rFonts w:ascii="Times New Roman" w:hAnsi="Times New Roman"/>
        </w:rPr>
        <w:sectPr w:rsidR="00B74007" w:rsidRPr="00DA3BC7" w:rsidSect="009914C0">
          <w:headerReference w:type="default" r:id="rId27"/>
          <w:footnotePr>
            <w:numRestart w:val="eachSect"/>
          </w:footnotePr>
          <w:pgSz w:w="10773" w:h="14742" w:code="9"/>
          <w:pgMar w:top="1418" w:right="1418" w:bottom="1418" w:left="1418" w:header="851" w:footer="992" w:gutter="0"/>
          <w:cols w:space="425"/>
          <w:docGrid w:type="lines" w:linePitch="360"/>
        </w:sectPr>
      </w:pPr>
      <w:r w:rsidRPr="00DA3BC7">
        <w:rPr>
          <w:rFonts w:ascii="Times New Roman" w:hAnsi="Times New Roman"/>
        </w:rPr>
        <w:lastRenderedPageBreak/>
        <w:t>徹底的說，不能即緣起而知空，不能即生滅而知不生滅；那麼，無常、無我、涅槃，也都不成其為法印！</w:t>
      </w:r>
    </w:p>
    <w:p w:rsidR="00B74007" w:rsidRPr="00DA3BC7" w:rsidRDefault="00B74007" w:rsidP="008E2BBC">
      <w:pPr>
        <w:pStyle w:val="1"/>
      </w:pPr>
      <w:bookmarkStart w:id="54" w:name="_Toc405287338"/>
      <w:bookmarkStart w:id="55" w:name="_Toc405287810"/>
      <w:bookmarkStart w:id="56" w:name="_Toc405499753"/>
      <w:r w:rsidRPr="00DA3BC7">
        <w:lastRenderedPageBreak/>
        <w:t>第三章</w:t>
      </w:r>
      <w:r w:rsidRPr="00DA3BC7">
        <w:rPr>
          <w:rFonts w:hint="eastAsia"/>
        </w:rPr>
        <w:t>、</w:t>
      </w:r>
      <w:r w:rsidRPr="00DA3BC7">
        <w:t>緣起之生滅與不生不滅</w:t>
      </w:r>
      <w:bookmarkEnd w:id="54"/>
      <w:bookmarkEnd w:id="55"/>
      <w:bookmarkEnd w:id="56"/>
    </w:p>
    <w:p w:rsidR="00B74007" w:rsidRPr="00DA3BC7" w:rsidRDefault="00B74007" w:rsidP="008E2BBC">
      <w:pPr>
        <w:pStyle w:val="2"/>
      </w:pPr>
      <w:bookmarkStart w:id="57" w:name="_Toc405499754"/>
      <w:r w:rsidRPr="00DA3BC7">
        <w:t>第三節</w:t>
      </w:r>
      <w:r w:rsidRPr="00DA3BC7">
        <w:rPr>
          <w:rFonts w:hint="eastAsia"/>
        </w:rPr>
        <w:t>、三法印之橫豎無礙</w:t>
      </w:r>
      <w:bookmarkEnd w:id="57"/>
    </w:p>
    <w:p w:rsidR="00B74007" w:rsidRPr="00DA3BC7" w:rsidRDefault="00B74007" w:rsidP="008E2BBC">
      <w:pPr>
        <w:jc w:val="center"/>
        <w:rPr>
          <w:rFonts w:ascii="Times New Roman" w:eastAsia="標楷體" w:hAnsi="Times New Roman"/>
        </w:rPr>
      </w:pPr>
      <w:r w:rsidRPr="00DA3BC7">
        <w:rPr>
          <w:rFonts w:ascii="Times New Roman" w:eastAsia="標楷體" w:hAnsi="Times New Roman"/>
        </w:rPr>
        <w:t>（</w:t>
      </w:r>
      <w:r w:rsidRPr="00DA3BC7">
        <w:rPr>
          <w:rFonts w:ascii="Times New Roman" w:eastAsia="標楷體" w:hAnsi="Times New Roman"/>
        </w:rPr>
        <w:t>pp.34-37</w:t>
      </w:r>
      <w:r w:rsidRPr="00DA3BC7">
        <w:rPr>
          <w:rFonts w:ascii="Times New Roman" w:eastAsia="標楷體" w:hAnsi="Times New Roman"/>
        </w:rPr>
        <w:t>）</w:t>
      </w:r>
    </w:p>
    <w:p w:rsidR="00B74007" w:rsidRPr="00DA3BC7" w:rsidRDefault="00B74007" w:rsidP="008E2BBC">
      <w:pPr>
        <w:pStyle w:val="Author"/>
      </w:pPr>
    </w:p>
    <w:p w:rsidR="00B74007" w:rsidRPr="00DA3BC7" w:rsidRDefault="00B74007" w:rsidP="00AE3920">
      <w:pPr>
        <w:spacing w:beforeLines="50"/>
        <w:jc w:val="both"/>
        <w:rPr>
          <w:rFonts w:ascii="Times New Roman" w:hAnsi="Times New Roman"/>
          <w:b/>
          <w:sz w:val="20"/>
          <w:szCs w:val="26"/>
          <w:bdr w:val="single" w:sz="4" w:space="0" w:color="auto"/>
        </w:rPr>
      </w:pPr>
      <w:r w:rsidRPr="00DA3BC7">
        <w:rPr>
          <w:rFonts w:ascii="Times New Roman" w:hAnsi="Times New Roman" w:hint="eastAsia"/>
          <w:b/>
          <w:sz w:val="20"/>
          <w:szCs w:val="26"/>
          <w:bdr w:val="single" w:sz="4" w:space="0" w:color="auto"/>
        </w:rPr>
        <w:t>壹</w:t>
      </w:r>
      <w:r w:rsidRPr="00DA3BC7">
        <w:rPr>
          <w:rFonts w:ascii="Times New Roman" w:hAnsi="Times New Roman"/>
          <w:b/>
          <w:sz w:val="20"/>
          <w:szCs w:val="26"/>
          <w:bdr w:val="single" w:sz="4" w:space="0" w:color="auto"/>
        </w:rPr>
        <w:t>、</w:t>
      </w:r>
      <w:r w:rsidR="006B3B05" w:rsidRPr="006B3B05">
        <w:rPr>
          <w:rFonts w:ascii="Times New Roman" w:hAnsi="Times New Roman" w:hint="eastAsia"/>
          <w:b/>
          <w:color w:val="FF0000"/>
          <w:sz w:val="20"/>
          <w:szCs w:val="26"/>
          <w:highlight w:val="yellow"/>
          <w:bdr w:val="single" w:sz="4" w:space="0" w:color="auto"/>
        </w:rPr>
        <w:t>總明</w:t>
      </w:r>
      <w:r w:rsidRPr="00DA3BC7">
        <w:rPr>
          <w:rFonts w:ascii="Times New Roman" w:hAnsi="Times New Roman"/>
          <w:sz w:val="20"/>
          <w:szCs w:val="26"/>
        </w:rPr>
        <w:t>（</w:t>
      </w:r>
      <w:r w:rsidRPr="00DA3BC7">
        <w:rPr>
          <w:rFonts w:ascii="Times New Roman" w:hAnsi="Times New Roman"/>
          <w:sz w:val="20"/>
          <w:szCs w:val="26"/>
        </w:rPr>
        <w:t>p.34</w:t>
      </w:r>
      <w:r w:rsidRPr="00DA3BC7">
        <w:rPr>
          <w:rFonts w:ascii="Times New Roman" w:hAnsi="Times New Roman"/>
          <w:sz w:val="20"/>
          <w:szCs w:val="26"/>
        </w:rPr>
        <w:t>）</w:t>
      </w:r>
    </w:p>
    <w:p w:rsidR="00B74007" w:rsidRPr="00DA3BC7" w:rsidRDefault="006B3B05" w:rsidP="008E2BBC">
      <w:pPr>
        <w:jc w:val="both"/>
        <w:rPr>
          <w:rFonts w:ascii="Times New Roman" w:hAnsi="Times New Roman"/>
        </w:rPr>
      </w:pPr>
      <w:r w:rsidRPr="006B3B05">
        <w:rPr>
          <w:rFonts w:ascii="Times New Roman" w:hAnsi="Times New Roman" w:hint="eastAsia"/>
          <w:color w:val="FF0000"/>
          <w:highlight w:val="yellow"/>
        </w:rPr>
        <w:t>明白點說，</w:t>
      </w:r>
      <w:r w:rsidR="00B74007" w:rsidRPr="00DA3BC7">
        <w:rPr>
          <w:rFonts w:ascii="Times New Roman" w:hAnsi="Times New Roman"/>
        </w:rPr>
        <w:t>三法印的任何一印，都是直入於正覺自證的，都是究竟的法印。但為聽聞某義而不悟的眾生，於是更為解說，因而有次第的三法印。</w:t>
      </w:r>
    </w:p>
    <w:p w:rsidR="00B74007" w:rsidRPr="00DA3BC7" w:rsidRDefault="00B74007" w:rsidP="006B3B05">
      <w:pPr>
        <w:jc w:val="both"/>
        <w:rPr>
          <w:rFonts w:ascii="Times New Roman" w:hAnsi="Times New Roman"/>
        </w:rPr>
      </w:pPr>
      <w:r w:rsidRPr="00DA3BC7">
        <w:rPr>
          <w:rFonts w:ascii="Times New Roman" w:hAnsi="Times New Roman"/>
        </w:rPr>
        <w:t>在佛教發展的歷史中，也</w:t>
      </w:r>
      <w:r w:rsidRPr="006B3B05">
        <w:rPr>
          <w:rFonts w:ascii="Times New Roman" w:hAnsi="Times New Roman"/>
          <w:highlight w:val="yellow"/>
        </w:rPr>
        <w:t>是</w:t>
      </w:r>
      <w:r w:rsidRPr="00DA3BC7">
        <w:rPr>
          <w:rFonts w:ascii="Times New Roman" w:hAnsi="Times New Roman"/>
          <w:b/>
        </w:rPr>
        <w:t>初</w:t>
      </w:r>
      <w:r w:rsidRPr="006B3B05">
        <w:rPr>
          <w:rFonts w:ascii="Times New Roman" w:hAnsi="Times New Roman"/>
          <w:b/>
          <w:highlight w:val="yellow"/>
        </w:rPr>
        <w:t>期重</w:t>
      </w:r>
      <w:r w:rsidRPr="00DA3BC7">
        <w:rPr>
          <w:rFonts w:ascii="Times New Roman" w:hAnsi="Times New Roman"/>
          <w:b/>
        </w:rPr>
        <w:t>無常行</w:t>
      </w:r>
      <w:r w:rsidR="006B3B05" w:rsidRPr="006B3B05">
        <w:rPr>
          <w:rFonts w:ascii="Times New Roman" w:hAnsi="Times New Roman" w:hint="eastAsia"/>
          <w:b/>
          <w:color w:val="FF0000"/>
          <w:highlight w:val="yellow"/>
        </w:rPr>
        <w:t>，</w:t>
      </w:r>
      <w:r w:rsidRPr="00DA3BC7">
        <w:rPr>
          <w:rFonts w:ascii="Times New Roman" w:hAnsi="Times New Roman"/>
          <w:b/>
        </w:rPr>
        <w:t>中</w:t>
      </w:r>
      <w:r w:rsidRPr="006B3B05">
        <w:rPr>
          <w:rFonts w:ascii="Times New Roman" w:hAnsi="Times New Roman"/>
          <w:b/>
          <w:highlight w:val="yellow"/>
        </w:rPr>
        <w:t>期重</w:t>
      </w:r>
      <w:r w:rsidRPr="00DA3BC7">
        <w:rPr>
          <w:rFonts w:ascii="Times New Roman" w:hAnsi="Times New Roman"/>
          <w:b/>
        </w:rPr>
        <w:t>空無我行</w:t>
      </w:r>
      <w:r w:rsidR="006B3B05" w:rsidRPr="006B3B05">
        <w:rPr>
          <w:rFonts w:ascii="Times New Roman" w:hAnsi="Times New Roman" w:hint="eastAsia"/>
          <w:b/>
          <w:color w:val="FF0000"/>
          <w:highlight w:val="yellow"/>
        </w:rPr>
        <w:t>，</w:t>
      </w:r>
      <w:r w:rsidRPr="00DA3BC7">
        <w:rPr>
          <w:rFonts w:ascii="Times New Roman" w:hAnsi="Times New Roman"/>
          <w:b/>
        </w:rPr>
        <w:t>後</w:t>
      </w:r>
      <w:r w:rsidRPr="006B3B05">
        <w:rPr>
          <w:rFonts w:ascii="Times New Roman" w:hAnsi="Times New Roman"/>
          <w:b/>
          <w:highlight w:val="yellow"/>
        </w:rPr>
        <w:t>期重</w:t>
      </w:r>
      <w:r w:rsidRPr="00DA3BC7">
        <w:rPr>
          <w:rFonts w:ascii="Times New Roman" w:hAnsi="Times New Roman"/>
          <w:b/>
        </w:rPr>
        <w:t>無生行。</w:t>
      </w:r>
      <w:r w:rsidRPr="00DA3BC7">
        <w:rPr>
          <w:rStyle w:val="a6"/>
          <w:rFonts w:ascii="Times New Roman" w:hAnsi="Times New Roman"/>
        </w:rPr>
        <w:footnoteReference w:id="225"/>
      </w:r>
    </w:p>
    <w:p w:rsidR="00B74007" w:rsidRPr="00DA3BC7" w:rsidRDefault="00B74007" w:rsidP="00AE3920">
      <w:pPr>
        <w:spacing w:beforeLines="30"/>
        <w:jc w:val="both"/>
        <w:rPr>
          <w:rFonts w:ascii="Times New Roman" w:hAnsi="Times New Roman"/>
        </w:rPr>
      </w:pPr>
      <w:r w:rsidRPr="00DA3BC7">
        <w:rPr>
          <w:rFonts w:ascii="Times New Roman" w:hAnsi="Times New Roman" w:hint="eastAsia"/>
          <w:b/>
          <w:sz w:val="20"/>
          <w:szCs w:val="26"/>
          <w:bdr w:val="single" w:sz="4" w:space="0" w:color="auto"/>
        </w:rPr>
        <w:lastRenderedPageBreak/>
        <w:t>貳</w:t>
      </w:r>
      <w:r w:rsidRPr="00DA3BC7">
        <w:rPr>
          <w:rFonts w:ascii="Times New Roman" w:hAnsi="Times New Roman"/>
          <w:b/>
          <w:sz w:val="20"/>
          <w:szCs w:val="26"/>
          <w:bdr w:val="single" w:sz="4" w:space="0" w:color="auto"/>
        </w:rPr>
        <w:t>、</w:t>
      </w:r>
      <w:r w:rsidR="006B3B05">
        <w:rPr>
          <w:rFonts w:ascii="Times New Roman" w:hAnsi="Times New Roman" w:hint="eastAsia"/>
          <w:b/>
          <w:color w:val="FF0000"/>
          <w:sz w:val="20"/>
          <w:szCs w:val="26"/>
          <w:highlight w:val="yellow"/>
          <w:bdr w:val="single" w:sz="4" w:space="0" w:color="auto"/>
        </w:rPr>
        <w:t>詳論</w:t>
      </w:r>
      <w:r w:rsidRPr="00DA3BC7">
        <w:rPr>
          <w:rStyle w:val="a6"/>
          <w:rFonts w:ascii="Times New Roman" w:hAnsi="Times New Roman"/>
        </w:rPr>
        <w:footnoteReference w:id="226"/>
      </w:r>
      <w:r w:rsidRPr="00DA3BC7">
        <w:rPr>
          <w:rFonts w:ascii="Times New Roman" w:hAnsi="Times New Roman"/>
          <w:sz w:val="20"/>
          <w:szCs w:val="20"/>
        </w:rPr>
        <w:t>（</w:t>
      </w:r>
      <w:r w:rsidRPr="00DA3BC7">
        <w:rPr>
          <w:rFonts w:ascii="Times New Roman" w:hAnsi="Times New Roman"/>
          <w:sz w:val="20"/>
          <w:szCs w:val="20"/>
        </w:rPr>
        <w:t>pp.34-36</w:t>
      </w:r>
      <w:r w:rsidRPr="00DA3BC7">
        <w:rPr>
          <w:rFonts w:ascii="Times New Roman" w:hAnsi="Times New Roman"/>
          <w:sz w:val="20"/>
          <w:szCs w:val="20"/>
        </w:rPr>
        <w:t>）</w:t>
      </w:r>
    </w:p>
    <w:p w:rsidR="00B74007" w:rsidRPr="00DA3BC7" w:rsidRDefault="00B74007" w:rsidP="008E2BBC">
      <w:pPr>
        <w:ind w:leftChars="50" w:left="120"/>
        <w:jc w:val="both"/>
        <w:rPr>
          <w:rFonts w:ascii="Times New Roman" w:hAnsi="Times New Roman"/>
          <w:b/>
          <w:sz w:val="20"/>
          <w:szCs w:val="20"/>
        </w:rPr>
      </w:pPr>
      <w:r w:rsidRPr="00DA3BC7">
        <w:rPr>
          <w:rFonts w:ascii="Times New Roman" w:hAnsi="Times New Roman"/>
          <w:b/>
          <w:sz w:val="20"/>
          <w:szCs w:val="20"/>
          <w:bdr w:val="single" w:sz="4" w:space="0" w:color="auto"/>
        </w:rPr>
        <w:t>（壹）諸行無</w:t>
      </w:r>
      <w:r w:rsidRPr="006B3B05">
        <w:rPr>
          <w:rFonts w:ascii="Times New Roman" w:hAnsi="Times New Roman"/>
          <w:b/>
          <w:sz w:val="20"/>
          <w:szCs w:val="20"/>
          <w:highlight w:val="yellow"/>
          <w:bdr w:val="single" w:sz="4" w:space="0" w:color="auto"/>
        </w:rPr>
        <w:t>常</w:t>
      </w:r>
      <w:r w:rsidRPr="00DA3BC7">
        <w:rPr>
          <w:rFonts w:ascii="Times New Roman" w:hAnsi="Times New Roman"/>
          <w:sz w:val="20"/>
          <w:szCs w:val="20"/>
        </w:rPr>
        <w:t>（</w:t>
      </w:r>
      <w:r w:rsidRPr="00DA3BC7">
        <w:rPr>
          <w:rFonts w:ascii="Times New Roman" w:hAnsi="Times New Roman"/>
          <w:sz w:val="20"/>
          <w:szCs w:val="20"/>
        </w:rPr>
        <w:t>pp.34-35</w:t>
      </w:r>
      <w:r w:rsidRPr="00DA3BC7">
        <w:rPr>
          <w:rFonts w:ascii="Times New Roman" w:hAnsi="Times New Roman"/>
          <w:sz w:val="20"/>
          <w:szCs w:val="20"/>
        </w:rPr>
        <w:t>）</w:t>
      </w:r>
    </w:p>
    <w:p w:rsidR="00B74007" w:rsidRDefault="00B74007" w:rsidP="008E2BBC">
      <w:pPr>
        <w:ind w:leftChars="100" w:left="240"/>
        <w:jc w:val="both"/>
        <w:rPr>
          <w:rFonts w:ascii="Times New Roman" w:hAnsi="Times New Roman"/>
          <w:sz w:val="20"/>
          <w:szCs w:val="20"/>
        </w:rPr>
      </w:pPr>
      <w:r w:rsidRPr="00DA3BC7">
        <w:rPr>
          <w:rFonts w:ascii="Times New Roman" w:hAnsi="Times New Roman"/>
          <w:b/>
          <w:sz w:val="20"/>
          <w:szCs w:val="20"/>
          <w:bdr w:val="single" w:sz="4" w:space="0" w:color="auto"/>
        </w:rPr>
        <w:t>一、</w:t>
      </w:r>
      <w:r w:rsidR="006B3B05" w:rsidRPr="006B3B05">
        <w:rPr>
          <w:rFonts w:ascii="Times New Roman" w:hAnsi="Times New Roman" w:hint="eastAsia"/>
          <w:b/>
          <w:color w:val="FF0000"/>
          <w:sz w:val="20"/>
          <w:szCs w:val="20"/>
          <w:highlight w:val="yellow"/>
          <w:bdr w:val="single" w:sz="4" w:space="0" w:color="auto"/>
        </w:rPr>
        <w:t>「</w:t>
      </w:r>
      <w:r w:rsidRPr="006B3B05">
        <w:rPr>
          <w:rFonts w:ascii="Times New Roman" w:hAnsi="Times New Roman" w:hint="eastAsia"/>
          <w:b/>
          <w:color w:val="FF0000"/>
          <w:sz w:val="20"/>
          <w:szCs w:val="20"/>
          <w:highlight w:val="yellow"/>
          <w:bdr w:val="single" w:sz="4" w:space="0" w:color="auto"/>
        </w:rPr>
        <w:t>無常</w:t>
      </w:r>
      <w:r w:rsidR="006B3B05" w:rsidRPr="006B3B05">
        <w:rPr>
          <w:rFonts w:ascii="Times New Roman" w:hAnsi="Times New Roman" w:hint="eastAsia"/>
          <w:b/>
          <w:color w:val="FF0000"/>
          <w:sz w:val="20"/>
          <w:szCs w:val="20"/>
          <w:highlight w:val="yellow"/>
          <w:bdr w:val="single" w:sz="4" w:space="0" w:color="auto"/>
        </w:rPr>
        <w:t>」與「</w:t>
      </w:r>
      <w:r w:rsidRPr="006B3B05">
        <w:rPr>
          <w:rFonts w:ascii="Times New Roman" w:hAnsi="Times New Roman"/>
          <w:b/>
          <w:color w:val="FF0000"/>
          <w:sz w:val="20"/>
          <w:szCs w:val="20"/>
          <w:highlight w:val="yellow"/>
          <w:bdr w:val="single" w:sz="4" w:space="0" w:color="auto"/>
        </w:rPr>
        <w:t>滅</w:t>
      </w:r>
      <w:r w:rsidR="006B3B05" w:rsidRPr="006B3B05">
        <w:rPr>
          <w:rFonts w:ascii="Times New Roman" w:hAnsi="Times New Roman" w:hint="eastAsia"/>
          <w:b/>
          <w:color w:val="FF0000"/>
          <w:sz w:val="20"/>
          <w:szCs w:val="20"/>
          <w:highlight w:val="yellow"/>
          <w:bdr w:val="single" w:sz="4" w:space="0" w:color="auto"/>
        </w:rPr>
        <w:t>」、「空」同歸於一義</w:t>
      </w:r>
      <w:r w:rsidRPr="00DA3BC7">
        <w:rPr>
          <w:rFonts w:ascii="Times New Roman" w:hAnsi="Times New Roman"/>
          <w:sz w:val="20"/>
          <w:szCs w:val="20"/>
        </w:rPr>
        <w:t>（</w:t>
      </w:r>
      <w:r w:rsidRPr="00DA3BC7">
        <w:rPr>
          <w:rFonts w:ascii="Times New Roman" w:hAnsi="Times New Roman"/>
          <w:sz w:val="20"/>
          <w:szCs w:val="20"/>
        </w:rPr>
        <w:t>p.34</w:t>
      </w:r>
      <w:r w:rsidRPr="00DA3BC7">
        <w:rPr>
          <w:rFonts w:ascii="Times New Roman" w:hAnsi="Times New Roman"/>
          <w:sz w:val="20"/>
          <w:szCs w:val="20"/>
        </w:rPr>
        <w:t>）</w:t>
      </w:r>
    </w:p>
    <w:p w:rsidR="006B3B05" w:rsidRPr="00DA3BC7" w:rsidRDefault="006B3B05" w:rsidP="006D0171">
      <w:pPr>
        <w:ind w:leftChars="150" w:left="360"/>
        <w:jc w:val="both"/>
        <w:rPr>
          <w:rFonts w:ascii="Times New Roman" w:hAnsi="Times New Roman"/>
          <w:b/>
          <w:sz w:val="20"/>
          <w:szCs w:val="20"/>
          <w:bdr w:val="single" w:sz="4" w:space="0" w:color="auto"/>
        </w:rPr>
      </w:pPr>
      <w:r w:rsidRPr="006B3B05">
        <w:rPr>
          <w:rFonts w:ascii="Times New Roman" w:hAnsi="Times New Roman"/>
          <w:b/>
          <w:color w:val="FF0000"/>
          <w:sz w:val="20"/>
          <w:szCs w:val="20"/>
          <w:highlight w:val="yellow"/>
          <w:bdr w:val="single" w:sz="4" w:space="0" w:color="auto"/>
        </w:rPr>
        <w:t>（一）</w:t>
      </w:r>
      <w:r w:rsidRPr="006B3B05">
        <w:rPr>
          <w:rFonts w:ascii="Times New Roman" w:hAnsi="Times New Roman" w:hint="eastAsia"/>
          <w:b/>
          <w:color w:val="FF0000"/>
          <w:sz w:val="20"/>
          <w:szCs w:val="20"/>
          <w:highlight w:val="yellow"/>
          <w:bdr w:val="single" w:sz="4" w:space="0" w:color="auto"/>
        </w:rPr>
        <w:t>明</w:t>
      </w:r>
      <w:r>
        <w:rPr>
          <w:rFonts w:ascii="Times New Roman" w:hAnsi="Times New Roman" w:hint="eastAsia"/>
          <w:b/>
          <w:color w:val="FF0000"/>
          <w:sz w:val="20"/>
          <w:szCs w:val="20"/>
          <w:highlight w:val="yellow"/>
          <w:bdr w:val="single" w:sz="4" w:space="0" w:color="auto"/>
        </w:rPr>
        <w:t>理</w:t>
      </w:r>
      <w:r w:rsidRPr="00DA3BC7">
        <w:rPr>
          <w:rFonts w:ascii="Times New Roman" w:hAnsi="Times New Roman"/>
          <w:sz w:val="20"/>
          <w:szCs w:val="20"/>
        </w:rPr>
        <w:t>（</w:t>
      </w:r>
      <w:r w:rsidRPr="00DA3BC7">
        <w:rPr>
          <w:rFonts w:ascii="Times New Roman" w:hAnsi="Times New Roman"/>
          <w:sz w:val="20"/>
          <w:szCs w:val="20"/>
        </w:rPr>
        <w:t>p.34</w:t>
      </w:r>
      <w:r w:rsidRPr="00DA3BC7">
        <w:rPr>
          <w:rFonts w:ascii="Times New Roman" w:hAnsi="Times New Roman"/>
          <w:sz w:val="20"/>
          <w:szCs w:val="20"/>
        </w:rPr>
        <w:t>）</w:t>
      </w:r>
    </w:p>
    <w:p w:rsidR="00B74007" w:rsidRPr="00DA3BC7" w:rsidRDefault="00B74007" w:rsidP="006D0171">
      <w:pPr>
        <w:ind w:leftChars="150" w:left="360"/>
        <w:jc w:val="both"/>
        <w:rPr>
          <w:rFonts w:ascii="Times New Roman" w:hAnsi="Times New Roman"/>
        </w:rPr>
      </w:pPr>
      <w:r w:rsidRPr="00DA3BC7">
        <w:rPr>
          <w:rFonts w:ascii="Times New Roman" w:hAnsi="Times New Roman"/>
        </w:rPr>
        <w:t>如「諸行無常」</w:t>
      </w:r>
      <w:r w:rsidR="00562AE7" w:rsidRPr="00562AE7">
        <w:rPr>
          <w:rFonts w:ascii="Times New Roman" w:hAnsi="Times New Roman" w:hint="eastAsia"/>
          <w:color w:val="FF0000"/>
          <w:highlight w:val="yellow"/>
        </w:rPr>
        <w:t>，</w:t>
      </w:r>
      <w:r w:rsidRPr="00DA3BC7">
        <w:rPr>
          <w:rFonts w:ascii="Times New Roman" w:hAnsi="Times New Roman"/>
        </w:rPr>
        <w:t>除了</w:t>
      </w:r>
      <w:r w:rsidRPr="00562AE7">
        <w:rPr>
          <w:rFonts w:ascii="Times New Roman" w:hAnsi="Times New Roman"/>
          <w:b/>
          <w:u w:val="wave" w:color="C00000"/>
        </w:rPr>
        <w:t>事相的起滅相續相</w:t>
      </w:r>
      <w:r w:rsidRPr="00DA3BC7">
        <w:rPr>
          <w:rFonts w:ascii="Times New Roman" w:hAnsi="Times New Roman"/>
        </w:rPr>
        <w:t>而外，含有更深的意義，即</w:t>
      </w:r>
      <w:r w:rsidRPr="00562AE7">
        <w:rPr>
          <w:rFonts w:ascii="Times New Roman" w:hAnsi="Times New Roman"/>
          <w:b/>
          <w:u w:val="wave" w:color="C00000"/>
        </w:rPr>
        <w:t>無常</w:t>
      </w:r>
      <w:r w:rsidRPr="00DA3BC7">
        <w:rPr>
          <w:rFonts w:ascii="Times New Roman" w:hAnsi="Times New Roman"/>
        </w:rPr>
        <w:t>與</w:t>
      </w:r>
      <w:r w:rsidRPr="00562AE7">
        <w:rPr>
          <w:rFonts w:ascii="Times New Roman" w:hAnsi="Times New Roman"/>
          <w:b/>
          <w:u w:val="wave" w:color="C00000"/>
        </w:rPr>
        <w:t>滅</w:t>
      </w:r>
      <w:r w:rsidRPr="00DA3BC7">
        <w:rPr>
          <w:rFonts w:ascii="Times New Roman" w:hAnsi="Times New Roman"/>
        </w:rPr>
        <w:t>的含義是相通的。</w:t>
      </w:r>
    </w:p>
    <w:p w:rsidR="00B74007" w:rsidRDefault="00AE3920" w:rsidP="000E633B">
      <w:pPr>
        <w:ind w:leftChars="150" w:left="360"/>
        <w:jc w:val="both"/>
        <w:rPr>
          <w:rFonts w:ascii="Times New Roman" w:hAnsi="Times New Roman"/>
        </w:rPr>
      </w:pPr>
      <w:r w:rsidRPr="00AE3920">
        <w:rPr>
          <w:noProof/>
        </w:rPr>
        <w:pict>
          <v:group id="_x0000_s2196" style="position:absolute;left:0;text-align:left;margin-left:54.9pt;margin-top:283.35pt;width:277.55pt;height:72.45pt;z-index:251710976" coordorigin="2516,9245" coordsize="5551,1449">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06" o:spid="_x0000_s2180" type="#_x0000_t87" style="position:absolute;left:4375;top:9799;width:166;height:660;visibility:visible;v-text-anchor:middle" o:regroupid="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" adj="0" strokecolor="black [3040]"/>
            <v:group id="_x0000_s2181" style="position:absolute;left:5613;top:9831;width:390;height:653" coordorigin="5595,10435" coordsize="390,653" o:regroupid="7">
              <v:shapetype id="_x0000_t32" coordsize="21600,21600" o:spt="32" o:oned="t" path="m,l21600,21600e" filled="f">
                <v:path arrowok="t" fillok="f" o:connecttype="none"/>
                <o:lock v:ext="edit" shapetype="t"/>
              </v:shapetype>
              <v:shape id="AutoShape 120" o:spid="_x0000_s2182" type="#_x0000_t32" style="position:absolute;left:5595;top:10435;width:390;height:29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">
                <v:stroke dashstyle="dash"/>
              </v:shape>
              <v:shape id="AutoShape 121" o:spid="_x0000_s2183" type="#_x0000_t32" style="position:absolute;left:5595;top:10726;width:390;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">
                <v:stroke dashstyle="dash"/>
              </v:shape>
              <v:shape id="AutoShape 122" o:spid="_x0000_s2184" type="#_x0000_t32" style="position:absolute;left:5595;top:10726;width:390;height:362;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">
                <v:stroke dashstyle="dash"/>
              </v:shape>
            </v:group>
            <v:group id="Group 142" o:spid="_x0000_s2185" style="position:absolute;left:3258;top:9354;width:120;height:187" coordorigin="3255,9644" coordsize="120,187" o:regroupid="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AutoShape 134" o:spid="_x0000_s2186" type="#_x0000_t32" style="position:absolute;left:3255;top:9644;width:2;height:18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"/>
              <v:shape id="AutoShape 139" o:spid="_x0000_s2187" type="#_x0000_t32" style="position:absolute;left:3255;top:9830;width:120;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"/>
            </v:group>
            <v:group id="Group 108" o:spid="_x0000_s2188" style="position:absolute;left:3264;top:10121;width:114;height:524" coordsize="76200,332695" o:regroupid="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AutoShape 133" o:spid="_x0000_s2189" type="#_x0000_t32" style="position:absolute;width:4248;height:33269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"/>
              <v:shape id="AutoShape 140" o:spid="_x0000_s2190" type="#_x0000_t32" style="position:absolute;width:76200;height:63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"/>
            </v:group>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31" o:spid="_x0000_s2191" type="#_x0000_t88" style="position:absolute;left:7852;top:9184;width:89;height:340;rotation:90;flip:y;visibility:visible" o:regroupid="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" adj="2113"/>
            <v:shape id="_x0000_s2192" type="#_x0000_t88" style="position:absolute;left:7852;top:10480;width:89;height:340;rotation:90;visibility:visible" o:regroupid="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" adj="2113"/>
            <v:group id="_x0000_s2193" style="position:absolute;left:2516;top:9245;width:618;height:1449" coordorigin="2903,1670" coordsize="618,1449" o:regroupid="7">
              <v:shape id="AutoShape 118" o:spid="_x0000_s2194" type="#_x0000_t32" style="position:absolute;left:2903;top:1670;width:618;height:583;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">
                <v:stroke dashstyle="dash"/>
              </v:shape>
              <v:shape id="AutoShape 119" o:spid="_x0000_s2195" type="#_x0000_t32" style="position:absolute;left:2903;top:2253;width:618;height:86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">
                <v:stroke dashstyle="dash"/>
              </v:shape>
            </v:group>
          </v:group>
        </w:pict>
      </w:r>
      <w:r w:rsidR="00B74007" w:rsidRPr="00DA3BC7">
        <w:rPr>
          <w:rFonts w:ascii="Times New Roman" w:hAnsi="Times New Roman"/>
        </w:rPr>
        <w:t>佛為弟子說</w:t>
      </w:r>
      <w:r w:rsidR="00B74007" w:rsidRPr="00562AE7">
        <w:rPr>
          <w:rFonts w:ascii="Times New Roman" w:hAnsi="Times New Roman"/>
          <w:b/>
          <w:u w:val="wave" w:color="C00000"/>
        </w:rPr>
        <w:t>無常</w:t>
      </w:r>
      <w:r w:rsidR="00B74007" w:rsidRPr="00DA3BC7">
        <w:rPr>
          <w:rFonts w:ascii="Times New Roman" w:hAnsi="Times New Roman"/>
        </w:rPr>
        <w:t>，即說明一切法皆歸於</w:t>
      </w:r>
      <w:r w:rsidR="00B74007" w:rsidRPr="00562AE7">
        <w:rPr>
          <w:rFonts w:ascii="Times New Roman" w:hAnsi="Times New Roman"/>
          <w:b/>
          <w:u w:val="wave" w:color="C00000"/>
        </w:rPr>
        <w:t>滅</w:t>
      </w:r>
      <w:r w:rsidR="00B74007" w:rsidRPr="00DA3BC7">
        <w:rPr>
          <w:rFonts w:ascii="Times New Roman" w:hAnsi="Times New Roman"/>
        </w:rPr>
        <w:t>；</w:t>
      </w:r>
      <w:r w:rsidR="006B3B05" w:rsidRPr="00DA3BC7">
        <w:rPr>
          <w:rStyle w:val="a6"/>
          <w:rFonts w:ascii="Times New Roman" w:hAnsi="Times New Roman"/>
        </w:rPr>
        <w:footnoteReference w:id="227"/>
      </w:r>
      <w:r w:rsidR="00B74007" w:rsidRPr="00DA3BC7">
        <w:rPr>
          <w:rFonts w:ascii="Times New Roman" w:hAnsi="Times New Roman"/>
        </w:rPr>
        <w:t>終歸</w:t>
      </w:r>
      <w:r w:rsidR="00B74007" w:rsidRPr="00562AE7">
        <w:rPr>
          <w:rFonts w:ascii="Times New Roman" w:hAnsi="Times New Roman"/>
          <w:b/>
          <w:u w:val="wave" w:color="C00000"/>
        </w:rPr>
        <w:t>無常</w:t>
      </w:r>
      <w:r w:rsidR="00B74007" w:rsidRPr="00DA3BC7">
        <w:rPr>
          <w:rFonts w:ascii="Times New Roman" w:hAnsi="Times New Roman"/>
        </w:rPr>
        <w:t>，與終歸於</w:t>
      </w:r>
      <w:r w:rsidR="00B74007" w:rsidRPr="00562AE7">
        <w:rPr>
          <w:rFonts w:ascii="Times New Roman" w:hAnsi="Times New Roman"/>
          <w:b/>
          <w:u w:val="wave" w:color="C00000"/>
        </w:rPr>
        <w:t>滅</w:t>
      </w:r>
      <w:r w:rsidR="00B74007" w:rsidRPr="00DA3BC7">
        <w:rPr>
          <w:rFonts w:ascii="Times New Roman" w:hAnsi="Times New Roman" w:hint="eastAsia"/>
        </w:rPr>
        <w:t>、</w:t>
      </w:r>
      <w:r w:rsidR="00B74007" w:rsidRPr="00DA3BC7">
        <w:rPr>
          <w:rFonts w:ascii="Times New Roman" w:hAnsi="Times New Roman"/>
        </w:rPr>
        <w:t>終歸於</w:t>
      </w:r>
      <w:r w:rsidR="00B74007" w:rsidRPr="00562AE7">
        <w:rPr>
          <w:rFonts w:ascii="Times New Roman" w:hAnsi="Times New Roman"/>
          <w:b/>
          <w:u w:val="wave" w:color="C00000"/>
        </w:rPr>
        <w:t>空</w:t>
      </w:r>
      <w:r w:rsidR="00B74007" w:rsidRPr="00DA3BC7">
        <w:rPr>
          <w:rFonts w:ascii="Times New Roman" w:hAnsi="Times New Roman"/>
        </w:rPr>
        <w:t>，並無多大差別。</w:t>
      </w:r>
    </w:p>
    <w:p w:rsidR="00B74007" w:rsidRPr="00DA3BC7" w:rsidRDefault="006B3B05" w:rsidP="00AE3920">
      <w:pPr>
        <w:spacing w:beforeLines="30"/>
        <w:ind w:leftChars="150" w:left="360"/>
        <w:jc w:val="both"/>
        <w:rPr>
          <w:rFonts w:ascii="Times New Roman" w:hAnsi="Times New Roman"/>
          <w:b/>
          <w:sz w:val="20"/>
          <w:szCs w:val="20"/>
          <w:bdr w:val="single" w:sz="4" w:space="0" w:color="auto"/>
        </w:rPr>
      </w:pPr>
      <w:r w:rsidRPr="006B3B05">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二</w:t>
      </w:r>
      <w:r w:rsidRPr="006B3B05">
        <w:rPr>
          <w:rFonts w:ascii="Times New Roman" w:hAnsi="Times New Roman"/>
          <w:b/>
          <w:color w:val="FF0000"/>
          <w:sz w:val="20"/>
          <w:szCs w:val="20"/>
          <w:highlight w:val="yellow"/>
          <w:bdr w:val="single" w:sz="4" w:space="0" w:color="auto"/>
        </w:rPr>
        <w:t>）</w:t>
      </w:r>
      <w:r w:rsidRPr="006B3B05">
        <w:rPr>
          <w:rFonts w:ascii="Times New Roman" w:hAnsi="Times New Roman" w:hint="eastAsia"/>
          <w:b/>
          <w:color w:val="FF0000"/>
          <w:sz w:val="20"/>
          <w:szCs w:val="20"/>
          <w:highlight w:val="yellow"/>
          <w:bdr w:val="single" w:sz="4" w:space="0" w:color="auto"/>
        </w:rPr>
        <w:t>辨</w:t>
      </w:r>
      <w:r w:rsidR="00B74007" w:rsidRPr="006B3B05">
        <w:rPr>
          <w:rFonts w:ascii="Times New Roman" w:hAnsi="Times New Roman" w:hint="eastAsia"/>
          <w:b/>
          <w:color w:val="FF0000"/>
          <w:sz w:val="20"/>
          <w:szCs w:val="20"/>
          <w:highlight w:val="yellow"/>
          <w:bdr w:val="single" w:sz="4" w:space="0" w:color="auto"/>
        </w:rPr>
        <w:t>義</w:t>
      </w:r>
      <w:r w:rsidR="00B74007" w:rsidRPr="00DA3BC7">
        <w:rPr>
          <w:rFonts w:ascii="Times New Roman" w:hAnsi="Times New Roman"/>
          <w:sz w:val="20"/>
          <w:szCs w:val="20"/>
        </w:rPr>
        <w:t>（</w:t>
      </w:r>
      <w:r w:rsidR="00B74007" w:rsidRPr="00DA3BC7">
        <w:rPr>
          <w:rFonts w:ascii="Times New Roman" w:hAnsi="Times New Roman"/>
          <w:sz w:val="20"/>
          <w:szCs w:val="20"/>
        </w:rPr>
        <w:t>p.34</w:t>
      </w:r>
      <w:r w:rsidR="00B74007" w:rsidRPr="00DA3BC7">
        <w:rPr>
          <w:rFonts w:ascii="Times New Roman" w:hAnsi="Times New Roman"/>
          <w:sz w:val="20"/>
          <w:szCs w:val="20"/>
        </w:rPr>
        <w:t>）</w:t>
      </w:r>
    </w:p>
    <w:p w:rsidR="00B74007" w:rsidRPr="00DA3BC7" w:rsidRDefault="00B74007" w:rsidP="000E633B">
      <w:pPr>
        <w:ind w:leftChars="150" w:left="360"/>
        <w:jc w:val="both"/>
        <w:rPr>
          <w:rFonts w:ascii="Times New Roman" w:hAnsi="Times New Roman"/>
        </w:rPr>
      </w:pPr>
      <w:r w:rsidRPr="00DA3BC7">
        <w:rPr>
          <w:rFonts w:ascii="Times New Roman" w:hAnsi="Times New Roman"/>
        </w:rPr>
        <w:lastRenderedPageBreak/>
        <w:t>依此無常深義，即了知法法如空中的閃電，剎那生滅不住，而無不歸於一切法的平等寂滅。</w:t>
      </w:r>
    </w:p>
    <w:p w:rsidR="00B74007" w:rsidRPr="00DA3BC7" w:rsidRDefault="00B74007" w:rsidP="00AE3920">
      <w:pPr>
        <w:spacing w:beforeLines="20"/>
        <w:ind w:leftChars="150" w:left="360"/>
        <w:jc w:val="both"/>
        <w:rPr>
          <w:rFonts w:ascii="Times New Roman" w:hAnsi="Times New Roman"/>
        </w:rPr>
      </w:pPr>
      <w:r w:rsidRPr="00DA3BC7">
        <w:rPr>
          <w:rFonts w:ascii="Times New Roman" w:hAnsi="Times New Roman"/>
        </w:rPr>
        <w:t>無常滅，如從波浪洶湧，看出它的消失，還歸於平靜寂滅，即意味那波平浪靜的境界。波浪的歸於平靜，即水的本性如此，所以它必歸於平靜，而且到底能實現平靜。</w:t>
      </w:r>
    </w:p>
    <w:p w:rsidR="00B74007" w:rsidRPr="00DA3BC7" w:rsidRDefault="003A6DF1" w:rsidP="00AE3920">
      <w:pPr>
        <w:spacing w:beforeLines="30"/>
        <w:ind w:leftChars="100" w:left="240"/>
        <w:jc w:val="both"/>
        <w:rPr>
          <w:rFonts w:ascii="Times New Roman" w:hAnsi="Times New Roman"/>
          <w:b/>
          <w:sz w:val="20"/>
          <w:szCs w:val="20"/>
          <w:bdr w:val="single" w:sz="4" w:space="0" w:color="auto"/>
        </w:rPr>
      </w:pPr>
      <w:r w:rsidRPr="003A6DF1">
        <w:rPr>
          <w:rFonts w:ascii="Times New Roman" w:hAnsi="Times New Roman" w:hint="eastAsia"/>
          <w:b/>
          <w:color w:val="FF0000"/>
          <w:sz w:val="20"/>
          <w:szCs w:val="20"/>
          <w:highlight w:val="yellow"/>
          <w:bdr w:val="single" w:sz="4" w:space="0" w:color="auto"/>
        </w:rPr>
        <w:t>二</w:t>
      </w:r>
      <w:r w:rsidR="00B74007" w:rsidRPr="003A6DF1">
        <w:rPr>
          <w:rFonts w:ascii="Times New Roman" w:hAnsi="Times New Roman"/>
          <w:b/>
          <w:color w:val="FF0000"/>
          <w:sz w:val="20"/>
          <w:szCs w:val="20"/>
          <w:highlight w:val="yellow"/>
          <w:bdr w:val="single" w:sz="4" w:space="0" w:color="auto"/>
        </w:rPr>
        <w:t>、直</w:t>
      </w:r>
      <w:r w:rsidRPr="003A6DF1">
        <w:rPr>
          <w:rFonts w:ascii="Times New Roman" w:hAnsi="Times New Roman" w:hint="eastAsia"/>
          <w:b/>
          <w:color w:val="FF0000"/>
          <w:sz w:val="20"/>
          <w:szCs w:val="20"/>
          <w:highlight w:val="yellow"/>
          <w:bdr w:val="single" w:sz="4" w:space="0" w:color="auto"/>
        </w:rPr>
        <w:t>觀「常性空」，依「無願」得道</w:t>
      </w:r>
      <w:r w:rsidR="00B74007" w:rsidRPr="00DA3BC7">
        <w:rPr>
          <w:rFonts w:ascii="Times New Roman" w:hAnsi="Times New Roman"/>
          <w:sz w:val="20"/>
          <w:szCs w:val="20"/>
        </w:rPr>
        <w:t>（</w:t>
      </w:r>
      <w:r w:rsidR="00B74007" w:rsidRPr="00DA3BC7">
        <w:rPr>
          <w:rFonts w:ascii="Times New Roman" w:hAnsi="Times New Roman"/>
          <w:sz w:val="20"/>
          <w:szCs w:val="20"/>
        </w:rPr>
        <w:t>pp.34-35</w:t>
      </w:r>
      <w:r w:rsidR="00B74007" w:rsidRPr="00DA3BC7">
        <w:rPr>
          <w:rFonts w:ascii="Times New Roman" w:hAnsi="Times New Roman"/>
          <w:sz w:val="20"/>
          <w:szCs w:val="20"/>
        </w:rPr>
        <w:t>）</w:t>
      </w:r>
    </w:p>
    <w:p w:rsidR="00B74007" w:rsidRPr="00DA3BC7" w:rsidRDefault="00B74007" w:rsidP="008E2BBC">
      <w:pPr>
        <w:ind w:leftChars="100" w:left="240"/>
        <w:jc w:val="both"/>
        <w:rPr>
          <w:rFonts w:ascii="Times New Roman" w:hAnsi="Times New Roman"/>
        </w:rPr>
      </w:pPr>
      <w:r w:rsidRPr="00DA3BC7">
        <w:rPr>
          <w:rFonts w:ascii="Times New Roman" w:hAnsi="Times New Roman"/>
        </w:rPr>
        <w:t>佛說無常滅，意在使人依此而悟入寂靜，所以說：「</w:t>
      </w:r>
      <w:r w:rsidRPr="00DA3BC7">
        <w:rPr>
          <w:rFonts w:ascii="Times New Roman" w:eastAsia="標楷體" w:hAnsi="Times New Roman"/>
        </w:rPr>
        <w:t>若人生百歲，不見生滅法，不如生一日，而</w:t>
      </w:r>
      <w:r w:rsidRPr="00DA3BC7">
        <w:rPr>
          <w:rFonts w:ascii="Times New Roman" w:eastAsia="標楷體" w:hAnsi="Times New Roman"/>
          <w:szCs w:val="23"/>
        </w:rPr>
        <w:t>能得見之</w:t>
      </w:r>
      <w:r w:rsidRPr="00DA3BC7">
        <w:rPr>
          <w:rFonts w:ascii="Times New Roman" w:hAnsi="Times New Roman"/>
          <w:szCs w:val="23"/>
        </w:rPr>
        <w:t>！」</w:t>
      </w:r>
      <w:r w:rsidRPr="00DA3BC7">
        <w:rPr>
          <w:rStyle w:val="a6"/>
          <w:rFonts w:ascii="Times New Roman" w:hAnsi="Times New Roman"/>
          <w:szCs w:val="23"/>
        </w:rPr>
        <w:footnoteReference w:id="228"/>
      </w:r>
      <w:r w:rsidRPr="00DA3BC7">
        <w:rPr>
          <w:rFonts w:ascii="Times New Roman" w:hAnsi="Times New Roman"/>
          <w:szCs w:val="23"/>
        </w:rPr>
        <w:t>所以說：「</w:t>
      </w:r>
      <w:r w:rsidRPr="00DA3BC7">
        <w:rPr>
          <w:rFonts w:ascii="Times New Roman" w:eastAsia="標楷體" w:hAnsi="Times New Roman"/>
          <w:szCs w:val="23"/>
        </w:rPr>
        <w:t>諸行無常，是生滅法，生滅</w:t>
      </w:r>
      <w:r w:rsidRPr="00DA3BC7">
        <w:rPr>
          <w:rFonts w:ascii="Times New Roman" w:eastAsia="標楷體" w:hAnsi="Times New Roman" w:hint="eastAsia"/>
          <w:szCs w:val="23"/>
        </w:rPr>
        <w:t>滅已</w:t>
      </w:r>
      <w:r w:rsidRPr="00DA3BC7">
        <w:rPr>
          <w:rFonts w:ascii="Times New Roman" w:eastAsia="標楷體" w:hAnsi="Times New Roman"/>
          <w:szCs w:val="23"/>
        </w:rPr>
        <w:t>，寂滅為樂</w:t>
      </w:r>
      <w:r w:rsidRPr="00DA3BC7">
        <w:rPr>
          <w:rFonts w:ascii="Times New Roman" w:hAnsi="Times New Roman"/>
          <w:szCs w:val="23"/>
        </w:rPr>
        <w:t>。」</w:t>
      </w:r>
      <w:r w:rsidRPr="00DA3BC7">
        <w:rPr>
          <w:rStyle w:val="a6"/>
          <w:rFonts w:ascii="Times New Roman" w:hAnsi="Times New Roman"/>
          <w:szCs w:val="23"/>
        </w:rPr>
        <w:footnoteReference w:id="229"/>
      </w:r>
      <w:r w:rsidRPr="00DA3BC7">
        <w:rPr>
          <w:rFonts w:ascii="Times New Roman" w:hAnsi="Times New Roman"/>
        </w:rPr>
        <w:t>使人直從一切法的</w:t>
      </w:r>
      <w:r w:rsidRPr="00DA3BC7">
        <w:rPr>
          <w:rFonts w:ascii="Times New Roman" w:hAnsi="Times New Roman"/>
          <w:b/>
        </w:rPr>
        <w:t>生而即滅</w:t>
      </w:r>
      <w:r w:rsidRPr="00DA3BC7">
        <w:rPr>
          <w:rFonts w:ascii="Times New Roman" w:hAnsi="Times New Roman"/>
        </w:rPr>
        <w:t>中，證知常性本空而入</w:t>
      </w:r>
      <w:r w:rsidRPr="00DA3BC7">
        <w:rPr>
          <w:rFonts w:ascii="Times New Roman" w:hAnsi="Times New Roman"/>
          <w:b/>
        </w:rPr>
        <w:t>不生滅的寂靜</w:t>
      </w:r>
      <w:r w:rsidRPr="00DA3BC7">
        <w:rPr>
          <w:rFonts w:ascii="Times New Roman" w:hAnsi="Times New Roman"/>
        </w:rPr>
        <w:t>。</w:t>
      </w:r>
    </w:p>
    <w:p w:rsidR="00B74007" w:rsidRPr="00DA3BC7" w:rsidRDefault="00B74007" w:rsidP="008E2BBC">
      <w:pPr>
        <w:ind w:leftChars="100" w:left="240"/>
        <w:jc w:val="both"/>
        <w:rPr>
          <w:rFonts w:ascii="Times New Roman" w:hAnsi="Times New Roman"/>
          <w:szCs w:val="23"/>
        </w:rPr>
      </w:pPr>
      <w:r w:rsidRPr="00DA3BC7">
        <w:rPr>
          <w:rFonts w:ascii="Times New Roman" w:hAnsi="Times New Roman" w:hint="eastAsia"/>
          <w:b/>
        </w:rPr>
        <w:t>差別</w:t>
      </w:r>
      <w:r w:rsidRPr="00DA3BC7">
        <w:rPr>
          <w:rFonts w:ascii="Times New Roman" w:hAnsi="Times New Roman" w:hint="eastAsia"/>
        </w:rPr>
        <w:t>的歸於</w:t>
      </w:r>
      <w:r w:rsidRPr="00DA3BC7">
        <w:rPr>
          <w:rFonts w:ascii="Times New Roman" w:hAnsi="Times New Roman" w:hint="eastAsia"/>
          <w:b/>
        </w:rPr>
        <w:t>統一</w:t>
      </w:r>
      <w:r w:rsidRPr="00DA3BC7">
        <w:rPr>
          <w:rFonts w:ascii="Times New Roman" w:hAnsi="Times New Roman" w:hint="eastAsia"/>
        </w:rPr>
        <w:t>，</w:t>
      </w:r>
      <w:r w:rsidRPr="00DA3BC7">
        <w:rPr>
          <w:rFonts w:ascii="Times New Roman" w:hAnsi="Times New Roman" w:hint="eastAsia"/>
          <w:b/>
        </w:rPr>
        <w:t>動亂</w:t>
      </w:r>
      <w:r w:rsidRPr="00DA3BC7">
        <w:rPr>
          <w:rFonts w:ascii="Times New Roman" w:hAnsi="Times New Roman" w:hint="eastAsia"/>
        </w:rPr>
        <w:t>的歸於</w:t>
      </w:r>
      <w:r w:rsidRPr="00DA3BC7">
        <w:rPr>
          <w:rFonts w:ascii="Times New Roman" w:hAnsi="Times New Roman" w:hint="eastAsia"/>
          <w:b/>
        </w:rPr>
        <w:t>平靜</w:t>
      </w:r>
      <w:r w:rsidRPr="00DA3BC7">
        <w:rPr>
          <w:rFonts w:ascii="Times New Roman" w:hAnsi="Times New Roman" w:hint="eastAsia"/>
        </w:rPr>
        <w:t>，</w:t>
      </w:r>
      <w:r w:rsidRPr="00DA3BC7">
        <w:rPr>
          <w:rFonts w:ascii="Times New Roman" w:hAnsi="Times New Roman" w:hint="eastAsia"/>
          <w:b/>
        </w:rPr>
        <w:t>生滅</w:t>
      </w:r>
      <w:r w:rsidRPr="00DA3BC7">
        <w:rPr>
          <w:rFonts w:ascii="Times New Roman" w:hAnsi="Times New Roman" w:hint="eastAsia"/>
        </w:rPr>
        <w:t>的歸於</w:t>
      </w:r>
      <w:r w:rsidRPr="00DA3BC7">
        <w:rPr>
          <w:rFonts w:ascii="Times New Roman" w:hAnsi="Times New Roman" w:hint="eastAsia"/>
          <w:b/>
        </w:rPr>
        <w:t>寂滅</w:t>
      </w:r>
      <w:r w:rsidRPr="00DA3BC7">
        <w:rPr>
          <w:rFonts w:ascii="Times New Roman" w:hAnsi="Times New Roman" w:hint="eastAsia"/>
        </w:rPr>
        <w:t>。所以說：「</w:t>
      </w:r>
      <w:r w:rsidRPr="00DA3BC7">
        <w:rPr>
          <w:rFonts w:ascii="標楷體" w:eastAsia="標楷體" w:hAnsi="標楷體" w:hint="eastAsia"/>
        </w:rPr>
        <w:t>一切皆歸於</w:t>
      </w:r>
      <w:r w:rsidRPr="00562AE7">
        <w:rPr>
          <w:rFonts w:ascii="標楷體" w:eastAsia="標楷體" w:hAnsi="標楷體" w:hint="eastAsia"/>
          <w:b/>
        </w:rPr>
        <w:t>如</w:t>
      </w:r>
      <w:r w:rsidRPr="00DA3BC7">
        <w:rPr>
          <w:rFonts w:ascii="標楷體" w:eastAsia="標楷體" w:hAnsi="標楷體" w:hint="eastAsia"/>
        </w:rPr>
        <w:t>。</w:t>
      </w:r>
      <w:r w:rsidRPr="00DA3BC7">
        <w:rPr>
          <w:rFonts w:ascii="Times New Roman" w:hAnsi="Times New Roman" w:hint="eastAsia"/>
        </w:rPr>
        <w:t>」</w:t>
      </w:r>
      <w:r w:rsidRPr="00DA3BC7">
        <w:rPr>
          <w:rStyle w:val="a6"/>
          <w:rFonts w:ascii="Times New Roman" w:hAnsi="Times New Roman"/>
        </w:rPr>
        <w:footnoteReference w:id="230"/>
      </w:r>
      <w:r w:rsidRPr="00DA3BC7">
        <w:rPr>
          <w:rFonts w:ascii="Times New Roman" w:hAnsi="Times New Roman" w:hint="eastAsia"/>
        </w:rPr>
        <w:t>這樣，無常即究竟圓滿的法印，專從此入，即</w:t>
      </w:r>
      <w:r w:rsidRPr="00DA3BC7">
        <w:rPr>
          <w:rFonts w:ascii="Times New Roman" w:hAnsi="Times New Roman" w:hint="eastAsia"/>
          <w:b/>
        </w:rPr>
        <w:t>依</w:t>
      </w:r>
      <w:r w:rsidRPr="00562AE7">
        <w:rPr>
          <w:rFonts w:ascii="Times New Roman" w:hAnsi="Times New Roman" w:hint="eastAsia"/>
          <w:b/>
          <w:u w:val="wave" w:color="C00000"/>
        </w:rPr>
        <w:t>無願解脫門</w:t>
      </w:r>
      <w:r w:rsidRPr="00DA3BC7">
        <w:rPr>
          <w:rFonts w:ascii="Times New Roman" w:hAnsi="Times New Roman" w:hint="eastAsia"/>
          <w:b/>
        </w:rPr>
        <w:t>得道</w:t>
      </w:r>
      <w:r w:rsidRPr="00DA3BC7">
        <w:rPr>
          <w:rFonts w:ascii="Times New Roman" w:hAnsi="Times New Roman" w:hint="eastAsia"/>
        </w:rPr>
        <w:t>。</w:t>
      </w:r>
    </w:p>
    <w:p w:rsidR="00B74007" w:rsidRPr="00DA3BC7" w:rsidRDefault="00B74007" w:rsidP="00AE3920">
      <w:pPr>
        <w:spacing w:beforeLines="30"/>
        <w:ind w:leftChars="50" w:left="120"/>
        <w:jc w:val="both"/>
        <w:rPr>
          <w:rFonts w:ascii="Times New Roman" w:hAnsi="Times New Roman"/>
          <w:sz w:val="20"/>
          <w:szCs w:val="20"/>
        </w:rPr>
      </w:pPr>
      <w:r w:rsidRPr="00DA3BC7">
        <w:rPr>
          <w:rFonts w:ascii="Times New Roman" w:hAnsi="Times New Roman"/>
          <w:b/>
          <w:sz w:val="20"/>
          <w:szCs w:val="20"/>
          <w:bdr w:val="single" w:sz="4" w:space="0" w:color="auto"/>
        </w:rPr>
        <w:lastRenderedPageBreak/>
        <w:t>（貳）諸法無</w:t>
      </w:r>
      <w:r w:rsidRPr="003A6DF1">
        <w:rPr>
          <w:rFonts w:ascii="Times New Roman" w:hAnsi="Times New Roman"/>
          <w:b/>
          <w:sz w:val="20"/>
          <w:szCs w:val="20"/>
          <w:highlight w:val="yellow"/>
          <w:bdr w:val="single" w:sz="4" w:space="0" w:color="auto"/>
        </w:rPr>
        <w:t>我</w:t>
      </w:r>
      <w:r w:rsidRPr="00DA3BC7">
        <w:rPr>
          <w:rFonts w:ascii="Times New Roman" w:hAnsi="Times New Roman"/>
          <w:sz w:val="20"/>
          <w:szCs w:val="20"/>
        </w:rPr>
        <w:t>（</w:t>
      </w:r>
      <w:r w:rsidRPr="00DA3BC7">
        <w:rPr>
          <w:rFonts w:ascii="Times New Roman" w:hAnsi="Times New Roman"/>
          <w:sz w:val="20"/>
          <w:szCs w:val="20"/>
        </w:rPr>
        <w:t>pp.35-36</w:t>
      </w:r>
      <w:r w:rsidRPr="00DA3BC7">
        <w:rPr>
          <w:rFonts w:ascii="Times New Roman" w:hAnsi="Times New Roman"/>
          <w:sz w:val="20"/>
          <w:szCs w:val="20"/>
        </w:rPr>
        <w:t>）</w:t>
      </w:r>
    </w:p>
    <w:p w:rsidR="00B74007" w:rsidRPr="00DA3BC7" w:rsidRDefault="00B74007" w:rsidP="008E2BBC">
      <w:pPr>
        <w:ind w:leftChars="100" w:left="240"/>
        <w:jc w:val="both"/>
        <w:rPr>
          <w:rFonts w:ascii="Times New Roman" w:hAnsi="Times New Roman"/>
          <w:b/>
          <w:sz w:val="20"/>
          <w:szCs w:val="20"/>
          <w:bdr w:val="single" w:sz="4" w:space="0" w:color="auto"/>
        </w:rPr>
      </w:pPr>
      <w:r w:rsidRPr="00DA3BC7">
        <w:rPr>
          <w:rFonts w:ascii="Times New Roman" w:hAnsi="Times New Roman" w:hint="eastAsia"/>
          <w:b/>
          <w:sz w:val="20"/>
          <w:szCs w:val="20"/>
          <w:bdr w:val="single" w:sz="4" w:space="0" w:color="auto"/>
        </w:rPr>
        <w:t>一、</w:t>
      </w:r>
      <w:r w:rsidR="003A6DF1" w:rsidRPr="003A6DF1">
        <w:rPr>
          <w:rFonts w:ascii="Times New Roman" w:hAnsi="Times New Roman" w:hint="eastAsia"/>
          <w:b/>
          <w:color w:val="FF0000"/>
          <w:sz w:val="20"/>
          <w:szCs w:val="20"/>
          <w:highlight w:val="yellow"/>
          <w:bdr w:val="single" w:sz="4" w:space="0" w:color="auto"/>
        </w:rPr>
        <w:t>約機宜不同，頓漸</w:t>
      </w:r>
      <w:r w:rsidRPr="003A6DF1">
        <w:rPr>
          <w:rFonts w:ascii="Times New Roman" w:hAnsi="Times New Roman" w:hint="eastAsia"/>
          <w:b/>
          <w:color w:val="FF0000"/>
          <w:sz w:val="20"/>
          <w:szCs w:val="20"/>
          <w:highlight w:val="yellow"/>
          <w:bdr w:val="single" w:sz="4" w:space="0" w:color="auto"/>
        </w:rPr>
        <w:t>說「無我」</w:t>
      </w:r>
      <w:r w:rsidRPr="00DA3BC7">
        <w:rPr>
          <w:rFonts w:ascii="Times New Roman" w:hAnsi="Times New Roman"/>
          <w:sz w:val="20"/>
          <w:szCs w:val="20"/>
        </w:rPr>
        <w:t>（</w:t>
      </w:r>
      <w:r w:rsidRPr="00DA3BC7">
        <w:rPr>
          <w:rFonts w:ascii="Times New Roman" w:hAnsi="Times New Roman"/>
          <w:sz w:val="20"/>
          <w:szCs w:val="20"/>
        </w:rPr>
        <w:t>p.35</w:t>
      </w:r>
      <w:r w:rsidRPr="00DA3BC7">
        <w:rPr>
          <w:rFonts w:ascii="Times New Roman" w:hAnsi="Times New Roman"/>
          <w:sz w:val="20"/>
          <w:szCs w:val="20"/>
        </w:rPr>
        <w:t>）</w:t>
      </w:r>
    </w:p>
    <w:p w:rsidR="00F11A69" w:rsidRDefault="00B74007" w:rsidP="008E2BBC">
      <w:pPr>
        <w:ind w:leftChars="100" w:left="240"/>
        <w:jc w:val="both"/>
      </w:pPr>
      <w:r w:rsidRPr="00DA3BC7">
        <w:rPr>
          <w:rFonts w:ascii="Times New Roman" w:hAnsi="Times New Roman"/>
        </w:rPr>
        <w:t>然而，在厭離心切而拘泥於事相的</w:t>
      </w:r>
      <w:r w:rsidR="003A6DF1">
        <w:rPr>
          <w:rFonts w:ascii="Times New Roman" w:hAnsi="Times New Roman"/>
        </w:rPr>
        <w:t>，聽了無常，不能深解，只能因生滅相續的無常相而起厭離心，不能因</w:t>
      </w:r>
      <w:r w:rsidR="003A6DF1" w:rsidRPr="00562AE7">
        <w:rPr>
          <w:rFonts w:ascii="Times New Roman" w:hAnsi="Times New Roman"/>
          <w:b/>
          <w:u w:val="wave" w:color="C00000"/>
        </w:rPr>
        <w:t>常性不可得</w:t>
      </w:r>
      <w:r w:rsidRPr="00DA3BC7">
        <w:rPr>
          <w:rFonts w:ascii="Times New Roman" w:hAnsi="Times New Roman"/>
        </w:rPr>
        <w:t>而深入法性的寂滅</w:t>
      </w:r>
      <w:r w:rsidRPr="00DA3BC7">
        <w:rPr>
          <w:rFonts w:ascii="Times New Roman" w:hAnsi="Times New Roman" w:hint="eastAsia"/>
        </w:rPr>
        <w:t>；</w:t>
      </w:r>
      <w:r w:rsidR="003A6DF1">
        <w:rPr>
          <w:rFonts w:ascii="Times New Roman" w:hAnsi="Times New Roman"/>
        </w:rPr>
        <w:t>這非更說</w:t>
      </w:r>
      <w:r w:rsidR="003A6DF1" w:rsidRPr="00562AE7">
        <w:rPr>
          <w:rFonts w:ascii="Times New Roman" w:hAnsi="Times New Roman"/>
          <w:b/>
          <w:u w:val="wave" w:color="C00000"/>
        </w:rPr>
        <w:t>無我</w:t>
      </w:r>
      <w:r w:rsidRPr="00DA3BC7">
        <w:rPr>
          <w:rFonts w:ascii="Times New Roman" w:hAnsi="Times New Roman"/>
        </w:rPr>
        <w:t>不可</w:t>
      </w:r>
      <w:r w:rsidRPr="00DA3BC7">
        <w:rPr>
          <w:rFonts w:hint="eastAsia"/>
        </w:rPr>
        <w:t>；</w:t>
      </w:r>
    </w:p>
    <w:p w:rsidR="00B74007" w:rsidRPr="00DA3BC7" w:rsidRDefault="00B74007" w:rsidP="008E2BBC">
      <w:pPr>
        <w:ind w:leftChars="100" w:left="240"/>
        <w:jc w:val="both"/>
        <w:rPr>
          <w:rFonts w:ascii="Times New Roman" w:hAnsi="Times New Roman"/>
        </w:rPr>
      </w:pPr>
      <w:r w:rsidRPr="00F11A69">
        <w:rPr>
          <w:rFonts w:ascii="Times New Roman" w:hAnsi="Times New Roman"/>
          <w:highlight w:val="yellow"/>
        </w:rPr>
        <w:t>也</w:t>
      </w:r>
      <w:r w:rsidRPr="00DA3BC7">
        <w:rPr>
          <w:rFonts w:ascii="Times New Roman" w:hAnsi="Times New Roman"/>
        </w:rPr>
        <w:t>有直為宣說無我的</w:t>
      </w:r>
      <w:r w:rsidRPr="00DA3BC7">
        <w:rPr>
          <w:rFonts w:ascii="Times New Roman" w:hAnsi="Times New Roman" w:hint="eastAsia"/>
        </w:rPr>
        <w:t>，</w:t>
      </w:r>
      <w:r w:rsidRPr="00DA3BC7">
        <w:rPr>
          <w:rFonts w:ascii="Times New Roman" w:hAnsi="Times New Roman"/>
        </w:rPr>
        <w:t>由無我離執而證知諸法的空寂性，因之而得解脫。</w:t>
      </w:r>
    </w:p>
    <w:p w:rsidR="00B74007" w:rsidRPr="00DA3BC7" w:rsidRDefault="00B74007" w:rsidP="00AE3920">
      <w:pPr>
        <w:spacing w:beforeLines="30"/>
        <w:ind w:leftChars="100" w:left="240"/>
        <w:jc w:val="both"/>
        <w:rPr>
          <w:rFonts w:ascii="Times New Roman" w:hAnsi="Times New Roman"/>
          <w:b/>
          <w:sz w:val="20"/>
          <w:szCs w:val="20"/>
          <w:bdr w:val="single" w:sz="4" w:space="0" w:color="auto"/>
        </w:rPr>
      </w:pPr>
      <w:r w:rsidRPr="00DA3BC7">
        <w:rPr>
          <w:rFonts w:ascii="Times New Roman" w:hAnsi="Times New Roman" w:hint="eastAsia"/>
          <w:b/>
          <w:sz w:val="20"/>
          <w:szCs w:val="20"/>
          <w:bdr w:val="single" w:sz="4" w:space="0" w:color="auto"/>
        </w:rPr>
        <w:t>二、</w:t>
      </w:r>
      <w:r w:rsidR="003A6DF1" w:rsidRPr="003A6DF1">
        <w:rPr>
          <w:rFonts w:ascii="Times New Roman" w:hAnsi="Times New Roman" w:hint="eastAsia"/>
          <w:b/>
          <w:color w:val="FF0000"/>
          <w:sz w:val="20"/>
          <w:szCs w:val="20"/>
          <w:highlight w:val="yellow"/>
          <w:bdr w:val="single" w:sz="4" w:space="0" w:color="auto"/>
        </w:rPr>
        <w:t>「</w:t>
      </w:r>
      <w:r w:rsidRPr="003A6DF1">
        <w:rPr>
          <w:rFonts w:ascii="Times New Roman" w:hAnsi="Times New Roman" w:hint="eastAsia"/>
          <w:b/>
          <w:color w:val="FF0000"/>
          <w:sz w:val="20"/>
          <w:szCs w:val="20"/>
          <w:highlight w:val="yellow"/>
          <w:bdr w:val="single" w:sz="4" w:space="0" w:color="auto"/>
        </w:rPr>
        <w:t>空</w:t>
      </w:r>
      <w:r w:rsidR="003A6DF1" w:rsidRPr="003A6DF1">
        <w:rPr>
          <w:rFonts w:ascii="Times New Roman" w:hAnsi="Times New Roman" w:hint="eastAsia"/>
          <w:b/>
          <w:color w:val="FF0000"/>
          <w:sz w:val="20"/>
          <w:szCs w:val="20"/>
          <w:highlight w:val="yellow"/>
          <w:bdr w:val="single" w:sz="4" w:space="0" w:color="auto"/>
        </w:rPr>
        <w:t>」、「無</w:t>
      </w:r>
      <w:r w:rsidRPr="003A6DF1">
        <w:rPr>
          <w:rFonts w:ascii="Times New Roman" w:hAnsi="Times New Roman" w:hint="eastAsia"/>
          <w:b/>
          <w:color w:val="FF0000"/>
          <w:sz w:val="20"/>
          <w:szCs w:val="20"/>
          <w:highlight w:val="yellow"/>
          <w:bdr w:val="single" w:sz="4" w:space="0" w:color="auto"/>
        </w:rPr>
        <w:t>生</w:t>
      </w:r>
      <w:r w:rsidR="003A6DF1" w:rsidRPr="003A6DF1">
        <w:rPr>
          <w:rFonts w:ascii="Times New Roman" w:hAnsi="Times New Roman" w:hint="eastAsia"/>
          <w:b/>
          <w:color w:val="FF0000"/>
          <w:sz w:val="20"/>
          <w:szCs w:val="20"/>
          <w:highlight w:val="yellow"/>
          <w:bdr w:val="single" w:sz="4" w:space="0" w:color="auto"/>
        </w:rPr>
        <w:t>」等觀</w:t>
      </w:r>
      <w:r w:rsidRPr="003A6DF1">
        <w:rPr>
          <w:rFonts w:ascii="Times New Roman" w:hAnsi="Times New Roman" w:hint="eastAsia"/>
          <w:b/>
          <w:color w:val="FF0000"/>
          <w:sz w:val="20"/>
          <w:szCs w:val="20"/>
          <w:highlight w:val="yellow"/>
          <w:bdr w:val="single" w:sz="4" w:space="0" w:color="auto"/>
        </w:rPr>
        <w:t>，</w:t>
      </w:r>
      <w:r w:rsidR="003A6DF1" w:rsidRPr="003A6DF1">
        <w:rPr>
          <w:rFonts w:ascii="Times New Roman" w:hAnsi="Times New Roman"/>
          <w:b/>
          <w:color w:val="FF0000"/>
          <w:sz w:val="20"/>
          <w:szCs w:val="20"/>
          <w:highlight w:val="yellow"/>
          <w:bdr w:val="single" w:sz="4" w:space="0" w:color="auto"/>
        </w:rPr>
        <w:t>依</w:t>
      </w:r>
      <w:r w:rsidR="003A6DF1" w:rsidRPr="003A6DF1">
        <w:rPr>
          <w:rFonts w:ascii="Times New Roman" w:hAnsi="Times New Roman" w:hint="eastAsia"/>
          <w:b/>
          <w:color w:val="FF0000"/>
          <w:sz w:val="20"/>
          <w:szCs w:val="20"/>
          <w:highlight w:val="yellow"/>
          <w:bdr w:val="single" w:sz="4" w:space="0" w:color="auto"/>
        </w:rPr>
        <w:t>「</w:t>
      </w:r>
      <w:r w:rsidR="003A6DF1" w:rsidRPr="003A6DF1">
        <w:rPr>
          <w:rFonts w:ascii="Times New Roman" w:hAnsi="Times New Roman"/>
          <w:b/>
          <w:color w:val="FF0000"/>
          <w:sz w:val="20"/>
          <w:szCs w:val="20"/>
          <w:highlight w:val="yellow"/>
          <w:bdr w:val="single" w:sz="4" w:space="0" w:color="auto"/>
        </w:rPr>
        <w:t>空門</w:t>
      </w:r>
      <w:r w:rsidR="003A6DF1" w:rsidRPr="003A6DF1">
        <w:rPr>
          <w:rFonts w:ascii="Times New Roman" w:hAnsi="Times New Roman" w:hint="eastAsia"/>
          <w:b/>
          <w:color w:val="FF0000"/>
          <w:sz w:val="20"/>
          <w:szCs w:val="20"/>
          <w:highlight w:val="yellow"/>
          <w:bdr w:val="single" w:sz="4" w:space="0" w:color="auto"/>
        </w:rPr>
        <w:t>」</w:t>
      </w:r>
      <w:r w:rsidR="003A6DF1" w:rsidRPr="003A6DF1">
        <w:rPr>
          <w:rFonts w:ascii="Times New Roman" w:hAnsi="Times New Roman"/>
          <w:b/>
          <w:color w:val="FF0000"/>
          <w:sz w:val="20"/>
          <w:szCs w:val="20"/>
          <w:highlight w:val="yellow"/>
          <w:bdr w:val="single" w:sz="4" w:space="0" w:color="auto"/>
        </w:rPr>
        <w:t>得道</w:t>
      </w:r>
      <w:r w:rsidRPr="00DA3BC7">
        <w:rPr>
          <w:rFonts w:ascii="Times New Roman" w:hAnsi="Times New Roman"/>
          <w:sz w:val="20"/>
          <w:szCs w:val="20"/>
        </w:rPr>
        <w:t>（</w:t>
      </w:r>
      <w:r w:rsidRPr="00DA3BC7">
        <w:rPr>
          <w:rFonts w:ascii="Times New Roman" w:hAnsi="Times New Roman"/>
          <w:sz w:val="20"/>
          <w:szCs w:val="20"/>
        </w:rPr>
        <w:t>pp.35-</w:t>
      </w:r>
      <w:r w:rsidRPr="00DA3BC7">
        <w:rPr>
          <w:rFonts w:ascii="Times New Roman" w:hAnsi="Times New Roman" w:hint="eastAsia"/>
          <w:sz w:val="20"/>
          <w:szCs w:val="20"/>
        </w:rPr>
        <w:t>36</w:t>
      </w:r>
      <w:r w:rsidRPr="00DA3BC7">
        <w:rPr>
          <w:rFonts w:ascii="Times New Roman" w:hAnsi="Times New Roman"/>
          <w:sz w:val="20"/>
          <w:szCs w:val="20"/>
        </w:rPr>
        <w:t>）</w:t>
      </w:r>
    </w:p>
    <w:p w:rsidR="00F11A69" w:rsidRDefault="00B74007" w:rsidP="008E2BBC">
      <w:pPr>
        <w:ind w:leftChars="100" w:left="240"/>
        <w:jc w:val="both"/>
        <w:rPr>
          <w:rFonts w:ascii="Times New Roman" w:hAnsi="Times New Roman"/>
        </w:rPr>
      </w:pPr>
      <w:r w:rsidRPr="00DA3BC7">
        <w:rPr>
          <w:rFonts w:ascii="Times New Roman" w:hAnsi="Times New Roman"/>
        </w:rPr>
        <w:t>依《般若》及龍樹所宗，諸法本性的空寂即是不生，不生即是涅槃。《心經》「</w:t>
      </w:r>
      <w:r w:rsidRPr="00DA3BC7">
        <w:rPr>
          <w:rFonts w:ascii="Times New Roman" w:eastAsia="標楷體" w:hAnsi="Times New Roman"/>
        </w:rPr>
        <w:t>色即是空</w:t>
      </w:r>
      <w:r w:rsidRPr="00DA3BC7">
        <w:rPr>
          <w:rFonts w:ascii="Times New Roman" w:hAnsi="Times New Roman"/>
        </w:rPr>
        <w:t>」的空，即解說為</w:t>
      </w:r>
      <w:r w:rsidRPr="00562AE7">
        <w:rPr>
          <w:rFonts w:ascii="Times New Roman" w:hAnsi="Times New Roman"/>
          <w:b/>
          <w:u w:val="wave" w:color="C00000"/>
        </w:rPr>
        <w:t>無生的涅槃</w:t>
      </w:r>
      <w:r w:rsidRPr="00DA3BC7">
        <w:rPr>
          <w:rFonts w:ascii="Times New Roman" w:hAnsi="Times New Roman"/>
        </w:rPr>
        <w:t>。</w:t>
      </w:r>
      <w:r w:rsidR="00130A2E" w:rsidRPr="00130A2E">
        <w:rPr>
          <w:rStyle w:val="a6"/>
          <w:rFonts w:ascii="Times New Roman" w:hAnsi="Times New Roman"/>
          <w:color w:val="FF0000"/>
          <w:highlight w:val="yellow"/>
        </w:rPr>
        <w:footnoteReference w:id="231"/>
      </w:r>
    </w:p>
    <w:p w:rsidR="00B74007" w:rsidRPr="00DA3BC7" w:rsidRDefault="00B74007" w:rsidP="008E2BBC">
      <w:pPr>
        <w:ind w:leftChars="100" w:left="240"/>
        <w:jc w:val="both"/>
        <w:rPr>
          <w:rFonts w:ascii="Times New Roman" w:hAnsi="Times New Roman"/>
        </w:rPr>
      </w:pPr>
      <w:r w:rsidRPr="00F11A69">
        <w:rPr>
          <w:rFonts w:ascii="Times New Roman" w:hAnsi="Times New Roman"/>
          <w:highlight w:val="yellow"/>
        </w:rPr>
        <w:t>空</w:t>
      </w:r>
      <w:r w:rsidRPr="00DA3BC7">
        <w:rPr>
          <w:rFonts w:ascii="Times New Roman" w:hAnsi="Times New Roman"/>
        </w:rPr>
        <w:t>是</w:t>
      </w:r>
      <w:r w:rsidRPr="00562AE7">
        <w:rPr>
          <w:rFonts w:ascii="Times New Roman" w:hAnsi="Times New Roman"/>
          <w:b/>
          <w:u w:val="wave" w:color="C00000"/>
        </w:rPr>
        <w:t>本性空</w:t>
      </w:r>
      <w:r w:rsidRPr="00DA3BC7">
        <w:rPr>
          <w:rFonts w:ascii="Times New Roman" w:hAnsi="Times New Roman"/>
        </w:rPr>
        <w:t>；</w:t>
      </w:r>
      <w:r w:rsidRPr="00DA3BC7">
        <w:rPr>
          <w:rFonts w:ascii="Times New Roman" w:hAnsi="Times New Roman"/>
          <w:b/>
        </w:rPr>
        <w:t>空亦不可得，即是無生</w:t>
      </w:r>
      <w:r w:rsidRPr="00DA3BC7">
        <w:rPr>
          <w:rFonts w:ascii="Times New Roman" w:hAnsi="Times New Roman"/>
        </w:rPr>
        <w:t>。如《大智度論》</w:t>
      </w:r>
      <w:r w:rsidR="003A6DF1" w:rsidRPr="003A6DF1">
        <w:rPr>
          <w:rFonts w:ascii="Times New Roman" w:hAnsi="Times New Roman" w:hint="eastAsia"/>
          <w:color w:val="FF0000"/>
          <w:highlight w:val="yellow"/>
        </w:rPr>
        <w:t>（</w:t>
      </w:r>
      <w:r w:rsidRPr="00DA3BC7">
        <w:rPr>
          <w:rFonts w:ascii="Times New Roman" w:hAnsi="Times New Roman"/>
        </w:rPr>
        <w:t>卷</w:t>
      </w:r>
      <w:r w:rsidRPr="00DA3BC7">
        <w:rPr>
          <w:rFonts w:ascii="Times New Roman" w:hAnsi="Times New Roman"/>
        </w:rPr>
        <w:t>15</w:t>
      </w:r>
      <w:r w:rsidR="003A6DF1" w:rsidRPr="003A6DF1">
        <w:rPr>
          <w:rFonts w:ascii="Times New Roman" w:hAnsi="Times New Roman" w:hint="eastAsia"/>
          <w:color w:val="FF0000"/>
          <w:highlight w:val="yellow"/>
        </w:rPr>
        <w:t>）</w:t>
      </w:r>
      <w:r w:rsidRPr="00DA3BC7">
        <w:rPr>
          <w:rFonts w:ascii="Times New Roman" w:hAnsi="Times New Roman"/>
        </w:rPr>
        <w:t>說：「</w:t>
      </w:r>
      <w:r w:rsidRPr="00DA3BC7">
        <w:rPr>
          <w:rFonts w:ascii="Times New Roman" w:eastAsia="標楷體" w:hAnsi="Times New Roman"/>
        </w:rPr>
        <w:t>諸法性常空，心亦不著空；如是法能忍，是佛道初相</w:t>
      </w:r>
      <w:r w:rsidRPr="00DA3BC7">
        <w:rPr>
          <w:rFonts w:ascii="Times New Roman" w:hAnsi="Times New Roman"/>
        </w:rPr>
        <w:t>。」</w:t>
      </w:r>
      <w:r w:rsidRPr="00DA3BC7">
        <w:rPr>
          <w:rStyle w:val="a6"/>
          <w:rFonts w:ascii="Times New Roman" w:hAnsi="Times New Roman"/>
        </w:rPr>
        <w:footnoteReference w:id="232"/>
      </w:r>
      <w:r w:rsidRPr="00562AE7">
        <w:rPr>
          <w:rFonts w:ascii="Times New Roman" w:hAnsi="Times New Roman"/>
          <w:u w:val="wave" w:color="C00000"/>
        </w:rPr>
        <w:t>這是把空亦復空的</w:t>
      </w:r>
      <w:r w:rsidRPr="00562AE7">
        <w:rPr>
          <w:rFonts w:ascii="Times New Roman" w:hAnsi="Times New Roman"/>
          <w:b/>
          <w:u w:val="wave" w:color="C00000"/>
        </w:rPr>
        <w:t>畢竟空，</w:t>
      </w:r>
      <w:r w:rsidRPr="00562AE7">
        <w:rPr>
          <w:rFonts w:ascii="Times New Roman" w:hAnsi="Times New Roman"/>
          <w:u w:val="wave" w:color="C00000"/>
        </w:rPr>
        <w:t>與</w:t>
      </w:r>
      <w:r w:rsidRPr="00562AE7">
        <w:rPr>
          <w:rFonts w:ascii="Times New Roman" w:hAnsi="Times New Roman"/>
          <w:b/>
          <w:u w:val="wave" w:color="C00000"/>
        </w:rPr>
        <w:t>無生</w:t>
      </w:r>
      <w:r w:rsidRPr="00562AE7">
        <w:rPr>
          <w:rFonts w:ascii="Times New Roman" w:hAnsi="Times New Roman"/>
          <w:u w:val="wave" w:color="C00000"/>
        </w:rPr>
        <w:t>等量齊觀的</w:t>
      </w:r>
      <w:r w:rsidRPr="00DA3BC7">
        <w:rPr>
          <w:rFonts w:ascii="Times New Roman" w:hAnsi="Times New Roman"/>
        </w:rPr>
        <w:t>。</w:t>
      </w:r>
    </w:p>
    <w:p w:rsidR="00B74007" w:rsidRPr="00DA3BC7" w:rsidRDefault="00B74007" w:rsidP="00AE3920">
      <w:pPr>
        <w:spacing w:beforeLines="20"/>
        <w:ind w:leftChars="100" w:left="240"/>
        <w:jc w:val="both"/>
        <w:rPr>
          <w:rFonts w:ascii="Times New Roman" w:hAnsi="Times New Roman"/>
        </w:rPr>
      </w:pPr>
      <w:r w:rsidRPr="00DA3BC7">
        <w:rPr>
          <w:rFonts w:ascii="Times New Roman" w:hAnsi="Times New Roman"/>
        </w:rPr>
        <w:t>如《解深密經》說：初時教說無常令厭，中時教說「</w:t>
      </w:r>
      <w:r w:rsidRPr="00DA3BC7">
        <w:rPr>
          <w:rFonts w:ascii="Times New Roman" w:eastAsia="標楷體" w:hAnsi="Times New Roman" w:hint="eastAsia"/>
        </w:rPr>
        <w:t>皆無自性，無生無滅</w:t>
      </w:r>
      <w:r w:rsidRPr="00DA3BC7">
        <w:rPr>
          <w:rFonts w:ascii="Times New Roman" w:eastAsia="標楷體" w:hAnsi="Times New Roman"/>
        </w:rPr>
        <w:t>，本來寂靜，自性涅槃</w:t>
      </w:r>
      <w:r w:rsidRPr="00DA3BC7">
        <w:rPr>
          <w:rFonts w:ascii="Times New Roman" w:hAnsi="Times New Roman"/>
        </w:rPr>
        <w:t>」，</w:t>
      </w:r>
      <w:r w:rsidR="003A6DF1" w:rsidRPr="003A6DF1">
        <w:rPr>
          <w:rStyle w:val="a6"/>
          <w:rFonts w:ascii="Times New Roman" w:hAnsi="Times New Roman"/>
          <w:highlight w:val="yellow"/>
        </w:rPr>
        <w:footnoteReference w:id="233"/>
      </w:r>
      <w:r w:rsidRPr="00DA3BC7">
        <w:rPr>
          <w:rFonts w:ascii="Times New Roman" w:hAnsi="Times New Roman"/>
        </w:rPr>
        <w:t>也是</w:t>
      </w:r>
      <w:r w:rsidRPr="00562AE7">
        <w:rPr>
          <w:rFonts w:ascii="Times New Roman" w:hAnsi="Times New Roman"/>
          <w:u w:val="wave" w:color="C00000"/>
        </w:rPr>
        <w:t>以</w:t>
      </w:r>
      <w:r w:rsidRPr="00562AE7">
        <w:rPr>
          <w:rFonts w:ascii="Times New Roman" w:hAnsi="Times New Roman"/>
          <w:b/>
          <w:u w:val="wave" w:color="C00000"/>
        </w:rPr>
        <w:t>空</w:t>
      </w:r>
      <w:r w:rsidRPr="00562AE7">
        <w:rPr>
          <w:rFonts w:ascii="Times New Roman" w:hAnsi="Times New Roman"/>
          <w:u w:val="wave" w:color="C00000"/>
        </w:rPr>
        <w:t>及</w:t>
      </w:r>
      <w:r w:rsidRPr="00562AE7">
        <w:rPr>
          <w:rFonts w:ascii="Times New Roman" w:hAnsi="Times New Roman"/>
          <w:b/>
          <w:u w:val="wave" w:color="C00000"/>
        </w:rPr>
        <w:t>無生</w:t>
      </w:r>
      <w:r w:rsidRPr="00562AE7">
        <w:rPr>
          <w:rFonts w:ascii="Times New Roman" w:hAnsi="Times New Roman"/>
          <w:u w:val="wave" w:color="C00000"/>
        </w:rPr>
        <w:t>為同一意義的</w:t>
      </w:r>
      <w:r w:rsidRPr="00DA3BC7">
        <w:rPr>
          <w:rFonts w:ascii="Times New Roman" w:hAnsi="Times New Roman"/>
        </w:rPr>
        <w:t>。</w:t>
      </w:r>
    </w:p>
    <w:p w:rsidR="00B74007" w:rsidRPr="00DA3BC7" w:rsidRDefault="00B74007" w:rsidP="00AE3920">
      <w:pPr>
        <w:spacing w:beforeLines="20"/>
        <w:ind w:leftChars="100" w:left="240"/>
        <w:jc w:val="both"/>
        <w:rPr>
          <w:rFonts w:ascii="Times New Roman" w:hAnsi="Times New Roman"/>
          <w:b/>
        </w:rPr>
      </w:pPr>
      <w:r w:rsidRPr="00DA3BC7">
        <w:rPr>
          <w:rFonts w:ascii="Times New Roman" w:hAnsi="Times New Roman"/>
        </w:rPr>
        <w:lastRenderedPageBreak/>
        <w:t>如從此得證，即</w:t>
      </w:r>
      <w:r w:rsidRPr="00DA3BC7">
        <w:rPr>
          <w:rFonts w:ascii="Times New Roman" w:hAnsi="Times New Roman"/>
          <w:b/>
        </w:rPr>
        <w:t>依</w:t>
      </w:r>
      <w:r w:rsidRPr="00562AE7">
        <w:rPr>
          <w:rFonts w:ascii="Times New Roman" w:hAnsi="Times New Roman"/>
          <w:b/>
          <w:u w:val="wave" w:color="C00000"/>
        </w:rPr>
        <w:t>空解脫門</w:t>
      </w:r>
      <w:r w:rsidRPr="00DA3BC7">
        <w:rPr>
          <w:rFonts w:ascii="Times New Roman" w:hAnsi="Times New Roman"/>
          <w:b/>
        </w:rPr>
        <w:t>得道。</w:t>
      </w:r>
    </w:p>
    <w:p w:rsidR="00B74007" w:rsidRPr="00DA3BC7" w:rsidRDefault="00B74007" w:rsidP="00AE3920">
      <w:pPr>
        <w:spacing w:beforeLines="30"/>
        <w:ind w:leftChars="50" w:left="120"/>
        <w:jc w:val="both"/>
        <w:rPr>
          <w:rFonts w:ascii="Times New Roman" w:hAnsi="Times New Roman"/>
          <w:b/>
          <w:sz w:val="20"/>
          <w:szCs w:val="20"/>
        </w:rPr>
      </w:pPr>
      <w:r w:rsidRPr="00DA3BC7">
        <w:rPr>
          <w:rFonts w:ascii="Times New Roman" w:hAnsi="Times New Roman"/>
          <w:b/>
          <w:sz w:val="20"/>
          <w:szCs w:val="20"/>
          <w:bdr w:val="single" w:sz="4" w:space="0" w:color="auto"/>
        </w:rPr>
        <w:t>（</w:t>
      </w:r>
      <w:r w:rsidR="00FC5046" w:rsidRPr="00DA3BC7">
        <w:rPr>
          <w:rFonts w:ascii="Times New Roman" w:hAnsi="Times New Roman"/>
          <w:b/>
          <w:sz w:val="20"/>
          <w:szCs w:val="20"/>
          <w:bdr w:val="single" w:sz="4" w:space="0" w:color="auto"/>
        </w:rPr>
        <w:t>參</w:t>
      </w:r>
      <w:r w:rsidRPr="00DA3BC7">
        <w:rPr>
          <w:rFonts w:ascii="Times New Roman" w:hAnsi="Times New Roman"/>
          <w:b/>
          <w:sz w:val="20"/>
          <w:szCs w:val="20"/>
          <w:bdr w:val="single" w:sz="4" w:space="0" w:color="auto"/>
        </w:rPr>
        <w:t>）涅槃寂</w:t>
      </w:r>
      <w:r w:rsidRPr="003A6DF1">
        <w:rPr>
          <w:rFonts w:ascii="Times New Roman" w:hAnsi="Times New Roman"/>
          <w:b/>
          <w:sz w:val="20"/>
          <w:szCs w:val="20"/>
          <w:highlight w:val="yellow"/>
          <w:bdr w:val="single" w:sz="4" w:space="0" w:color="auto"/>
        </w:rPr>
        <w:t>靜</w:t>
      </w:r>
      <w:r w:rsidRPr="00DA3BC7">
        <w:rPr>
          <w:rFonts w:ascii="Times New Roman" w:hAnsi="Times New Roman"/>
          <w:sz w:val="20"/>
          <w:szCs w:val="20"/>
        </w:rPr>
        <w:t>（</w:t>
      </w:r>
      <w:r w:rsidRPr="00DA3BC7">
        <w:rPr>
          <w:rFonts w:ascii="Times New Roman" w:hAnsi="Times New Roman"/>
          <w:sz w:val="20"/>
          <w:szCs w:val="20"/>
        </w:rPr>
        <w:t>p.36</w:t>
      </w:r>
      <w:r w:rsidRPr="00DA3BC7">
        <w:rPr>
          <w:rFonts w:ascii="Times New Roman" w:hAnsi="Times New Roman"/>
          <w:sz w:val="20"/>
          <w:szCs w:val="20"/>
        </w:rPr>
        <w:t>）</w:t>
      </w:r>
    </w:p>
    <w:p w:rsidR="00B74007" w:rsidRPr="00DA3BC7" w:rsidRDefault="00B74007" w:rsidP="008E2BBC">
      <w:pPr>
        <w:ind w:leftChars="100" w:left="240"/>
        <w:jc w:val="both"/>
        <w:rPr>
          <w:rFonts w:ascii="Times New Roman" w:hAnsi="Times New Roman"/>
          <w:b/>
          <w:sz w:val="20"/>
          <w:szCs w:val="20"/>
          <w:bdr w:val="single" w:sz="4" w:space="0" w:color="auto"/>
        </w:rPr>
      </w:pPr>
      <w:r w:rsidRPr="00DA3BC7">
        <w:rPr>
          <w:rFonts w:ascii="Times New Roman" w:hAnsi="Times New Roman" w:hint="eastAsia"/>
          <w:b/>
          <w:sz w:val="20"/>
          <w:szCs w:val="20"/>
          <w:bdr w:val="single" w:sz="4" w:space="0" w:color="auto"/>
        </w:rPr>
        <w:t>一、</w:t>
      </w:r>
      <w:r w:rsidR="003A6DF1" w:rsidRPr="003A6DF1">
        <w:rPr>
          <w:rFonts w:ascii="Times New Roman" w:hAnsi="Times New Roman" w:hint="eastAsia"/>
          <w:b/>
          <w:color w:val="FF0000"/>
          <w:sz w:val="20"/>
          <w:szCs w:val="20"/>
          <w:highlight w:val="yellow"/>
          <w:bdr w:val="single" w:sz="4" w:space="0" w:color="auto"/>
        </w:rPr>
        <w:t>復為執</w:t>
      </w:r>
      <w:r w:rsidRPr="003A6DF1">
        <w:rPr>
          <w:rFonts w:ascii="Times New Roman" w:hAnsi="Times New Roman"/>
          <w:b/>
          <w:color w:val="FF0000"/>
          <w:sz w:val="20"/>
          <w:szCs w:val="20"/>
          <w:highlight w:val="yellow"/>
          <w:bdr w:val="single" w:sz="4" w:space="0" w:color="auto"/>
        </w:rPr>
        <w:t>空</w:t>
      </w:r>
      <w:r w:rsidR="003A6DF1" w:rsidRPr="003A6DF1">
        <w:rPr>
          <w:rFonts w:ascii="Times New Roman" w:hAnsi="Times New Roman" w:hint="eastAsia"/>
          <w:b/>
          <w:color w:val="FF0000"/>
          <w:sz w:val="20"/>
          <w:szCs w:val="20"/>
          <w:highlight w:val="yellow"/>
          <w:bdr w:val="single" w:sz="4" w:space="0" w:color="auto"/>
        </w:rPr>
        <w:t>者</w:t>
      </w:r>
      <w:r w:rsidRPr="003A6DF1">
        <w:rPr>
          <w:rFonts w:ascii="Times New Roman" w:hAnsi="Times New Roman" w:hint="eastAsia"/>
          <w:b/>
          <w:color w:val="FF0000"/>
          <w:sz w:val="20"/>
          <w:szCs w:val="20"/>
          <w:highlight w:val="yellow"/>
          <w:bdr w:val="single" w:sz="4" w:space="0" w:color="auto"/>
        </w:rPr>
        <w:t>，說</w:t>
      </w:r>
      <w:r w:rsidR="003A6DF1" w:rsidRPr="003A6DF1">
        <w:rPr>
          <w:rFonts w:ascii="Times New Roman" w:hAnsi="Times New Roman" w:hint="eastAsia"/>
          <w:b/>
          <w:color w:val="FF0000"/>
          <w:sz w:val="20"/>
          <w:szCs w:val="20"/>
          <w:highlight w:val="yellow"/>
          <w:bdr w:val="single" w:sz="4" w:space="0" w:color="auto"/>
        </w:rPr>
        <w:t>「</w:t>
      </w:r>
      <w:r w:rsidR="003A6DF1" w:rsidRPr="003A6DF1">
        <w:rPr>
          <w:rFonts w:ascii="Times New Roman" w:hAnsi="Times New Roman"/>
          <w:b/>
          <w:color w:val="FF0000"/>
          <w:sz w:val="20"/>
          <w:szCs w:val="20"/>
          <w:highlight w:val="yellow"/>
          <w:bdr w:val="single" w:sz="4" w:space="0" w:color="auto"/>
        </w:rPr>
        <w:t>無相</w:t>
      </w:r>
      <w:r w:rsidR="003A6DF1" w:rsidRPr="003A6DF1">
        <w:rPr>
          <w:rFonts w:ascii="Times New Roman" w:hAnsi="Times New Roman" w:hint="eastAsia"/>
          <w:b/>
          <w:color w:val="FF0000"/>
          <w:sz w:val="20"/>
          <w:szCs w:val="20"/>
          <w:highlight w:val="yellow"/>
          <w:bdr w:val="single" w:sz="4" w:space="0" w:color="auto"/>
        </w:rPr>
        <w:t>」</w:t>
      </w:r>
      <w:r w:rsidR="003A6DF1" w:rsidRPr="003A6DF1">
        <w:rPr>
          <w:rFonts w:ascii="Times New Roman" w:hAnsi="Times New Roman"/>
          <w:b/>
          <w:color w:val="FF0000"/>
          <w:sz w:val="20"/>
          <w:szCs w:val="20"/>
          <w:highlight w:val="yellow"/>
          <w:bdr w:val="single" w:sz="4" w:space="0" w:color="auto"/>
        </w:rPr>
        <w:t>得道</w:t>
      </w:r>
      <w:r w:rsidRPr="00DA3BC7">
        <w:rPr>
          <w:rFonts w:ascii="Times New Roman" w:hAnsi="Times New Roman"/>
          <w:sz w:val="20"/>
          <w:szCs w:val="20"/>
        </w:rPr>
        <w:t>（</w:t>
      </w:r>
      <w:r w:rsidRPr="00DA3BC7">
        <w:rPr>
          <w:rFonts w:ascii="Times New Roman" w:hAnsi="Times New Roman"/>
          <w:sz w:val="20"/>
          <w:szCs w:val="20"/>
        </w:rPr>
        <w:t>p.36</w:t>
      </w:r>
      <w:r w:rsidRPr="00DA3BC7">
        <w:rPr>
          <w:rFonts w:ascii="Times New Roman" w:hAnsi="Times New Roman"/>
          <w:sz w:val="20"/>
          <w:szCs w:val="20"/>
        </w:rPr>
        <w:t>）</w:t>
      </w:r>
    </w:p>
    <w:p w:rsidR="00B74007" w:rsidRPr="00DA3BC7" w:rsidRDefault="00B74007" w:rsidP="008E2BBC">
      <w:pPr>
        <w:ind w:leftChars="100" w:left="240"/>
        <w:jc w:val="both"/>
        <w:rPr>
          <w:rFonts w:ascii="Times New Roman" w:hAnsi="Times New Roman"/>
        </w:rPr>
      </w:pPr>
      <w:r w:rsidRPr="00DA3BC7">
        <w:rPr>
          <w:rFonts w:ascii="Times New Roman" w:hAnsi="Times New Roman"/>
        </w:rPr>
        <w:t>然而，若著於空，即不契佛意，所以說：「</w:t>
      </w:r>
      <w:r w:rsidRPr="00DA3BC7">
        <w:rPr>
          <w:rFonts w:ascii="標楷體" w:eastAsia="標楷體" w:hAnsi="標楷體"/>
        </w:rPr>
        <w:t>大聖說空法，為離諸見故，若復見有空，諸佛所不化</w:t>
      </w:r>
      <w:r w:rsidRPr="00DA3BC7">
        <w:rPr>
          <w:rFonts w:ascii="Times New Roman" w:hAnsi="Times New Roman"/>
        </w:rPr>
        <w:t>。」</w:t>
      </w:r>
      <w:r w:rsidRPr="00DA3BC7">
        <w:rPr>
          <w:rStyle w:val="a6"/>
          <w:rFonts w:ascii="Times New Roman" w:hAnsi="Times New Roman"/>
        </w:rPr>
        <w:footnoteReference w:id="234"/>
      </w:r>
      <w:r w:rsidRPr="00DA3BC7">
        <w:rPr>
          <w:rFonts w:ascii="Times New Roman" w:hAnsi="Times New Roman"/>
        </w:rPr>
        <w:t>有所著，即不能體證無所著的涅槃</w:t>
      </w:r>
      <w:r w:rsidRPr="00DA3BC7">
        <w:rPr>
          <w:rFonts w:ascii="新細明體" w:hAnsi="新細明體"/>
        </w:rPr>
        <w:t>──</w:t>
      </w:r>
      <w:r w:rsidRPr="00DA3BC7">
        <w:rPr>
          <w:rFonts w:ascii="Times New Roman" w:hAnsi="Times New Roman"/>
        </w:rPr>
        <w:t>無生法忍。因之，</w:t>
      </w:r>
      <w:r w:rsidRPr="003A6DF1">
        <w:rPr>
          <w:rFonts w:ascii="Times New Roman" w:hAnsi="Times New Roman"/>
          <w:highlight w:val="yellow"/>
        </w:rPr>
        <w:t>經</w:t>
      </w:r>
      <w:r w:rsidRPr="00DA3BC7">
        <w:rPr>
          <w:rFonts w:ascii="Times New Roman" w:hAnsi="Times New Roman"/>
        </w:rPr>
        <w:t>中也有以</w:t>
      </w:r>
      <w:r w:rsidRPr="00562AE7">
        <w:rPr>
          <w:rFonts w:ascii="Times New Roman" w:hAnsi="Times New Roman"/>
          <w:b/>
          <w:u w:val="wave" w:color="C00000"/>
        </w:rPr>
        <w:t>空</w:t>
      </w:r>
      <w:r w:rsidRPr="00DA3BC7">
        <w:rPr>
          <w:rFonts w:ascii="Times New Roman" w:hAnsi="Times New Roman"/>
        </w:rPr>
        <w:t>為不了，而以</w:t>
      </w:r>
      <w:r w:rsidRPr="00562AE7">
        <w:rPr>
          <w:rFonts w:ascii="Times New Roman" w:hAnsi="Times New Roman"/>
          <w:b/>
          <w:u w:val="wave" w:color="C00000"/>
        </w:rPr>
        <w:t>不生不滅</w:t>
      </w:r>
      <w:r w:rsidRPr="00DA3BC7">
        <w:rPr>
          <w:rFonts w:ascii="Times New Roman" w:hAnsi="Times New Roman"/>
        </w:rPr>
        <w:t>為究竟的。</w:t>
      </w:r>
    </w:p>
    <w:p w:rsidR="00B74007" w:rsidRPr="00DA3BC7" w:rsidRDefault="00B74007" w:rsidP="00AE3920">
      <w:pPr>
        <w:spacing w:beforeLines="20"/>
        <w:ind w:leftChars="100" w:left="240"/>
        <w:jc w:val="both"/>
        <w:rPr>
          <w:rFonts w:ascii="Times New Roman" w:hAnsi="Times New Roman"/>
        </w:rPr>
      </w:pPr>
      <w:r w:rsidRPr="00DA3BC7">
        <w:rPr>
          <w:rFonts w:ascii="Times New Roman" w:hAnsi="Times New Roman"/>
        </w:rPr>
        <w:t>如</w:t>
      </w:r>
      <w:r w:rsidRPr="00DA3BC7">
        <w:rPr>
          <w:rFonts w:ascii="Times New Roman" w:hAnsi="Times New Roman"/>
          <w:b/>
        </w:rPr>
        <w:t>從不生不滅而證入，即依</w:t>
      </w:r>
      <w:r w:rsidRPr="00562AE7">
        <w:rPr>
          <w:rFonts w:ascii="Times New Roman" w:hAnsi="Times New Roman"/>
          <w:b/>
          <w:u w:val="wave" w:color="C00000"/>
        </w:rPr>
        <w:t>無相解脫門</w:t>
      </w:r>
      <w:r w:rsidRPr="00DA3BC7">
        <w:rPr>
          <w:rFonts w:ascii="Times New Roman" w:hAnsi="Times New Roman"/>
          <w:b/>
        </w:rPr>
        <w:t>得道</w:t>
      </w:r>
      <w:r w:rsidRPr="00DA3BC7">
        <w:rPr>
          <w:rFonts w:ascii="Times New Roman" w:hAnsi="Times New Roman"/>
        </w:rPr>
        <w:t>。</w:t>
      </w:r>
    </w:p>
    <w:p w:rsidR="00B74007" w:rsidRPr="00DA3BC7" w:rsidRDefault="00B74007" w:rsidP="00AE3920">
      <w:pPr>
        <w:spacing w:beforeLines="30"/>
        <w:ind w:leftChars="100" w:left="240"/>
        <w:jc w:val="both"/>
        <w:rPr>
          <w:rFonts w:ascii="Times New Roman" w:hAnsi="Times New Roman"/>
          <w:b/>
          <w:sz w:val="20"/>
          <w:szCs w:val="26"/>
        </w:rPr>
      </w:pPr>
      <w:r w:rsidRPr="00DA3BC7">
        <w:rPr>
          <w:rFonts w:ascii="Times New Roman" w:hAnsi="Times New Roman" w:hint="eastAsia"/>
          <w:b/>
          <w:sz w:val="20"/>
          <w:szCs w:val="26"/>
          <w:bdr w:val="single" w:sz="4" w:space="0" w:color="auto"/>
        </w:rPr>
        <w:t>二、</w:t>
      </w:r>
      <w:r w:rsidR="004922B7" w:rsidRPr="004922B7">
        <w:rPr>
          <w:rFonts w:ascii="Times New Roman" w:hAnsi="Times New Roman" w:hint="eastAsia"/>
          <w:b/>
          <w:color w:val="FF0000"/>
          <w:sz w:val="20"/>
          <w:szCs w:val="26"/>
          <w:highlight w:val="yellow"/>
          <w:bdr w:val="single" w:sz="4" w:space="0" w:color="auto"/>
        </w:rPr>
        <w:t>別</w:t>
      </w:r>
      <w:r w:rsidRPr="004922B7">
        <w:rPr>
          <w:rFonts w:ascii="Times New Roman" w:hAnsi="Times New Roman" w:hint="eastAsia"/>
          <w:b/>
          <w:color w:val="FF0000"/>
          <w:sz w:val="20"/>
          <w:szCs w:val="26"/>
          <w:highlight w:val="yellow"/>
          <w:bdr w:val="single" w:sz="4" w:space="0" w:color="auto"/>
        </w:rPr>
        <w:t>辨</w:t>
      </w:r>
      <w:r w:rsidRPr="00DA3BC7">
        <w:rPr>
          <w:rFonts w:ascii="Times New Roman" w:hAnsi="Times New Roman"/>
          <w:sz w:val="20"/>
          <w:szCs w:val="26"/>
        </w:rPr>
        <w:t>（</w:t>
      </w:r>
      <w:r w:rsidRPr="00DA3BC7">
        <w:rPr>
          <w:rFonts w:ascii="Times New Roman" w:hAnsi="Times New Roman"/>
          <w:sz w:val="20"/>
          <w:szCs w:val="26"/>
        </w:rPr>
        <w:t>p.36</w:t>
      </w:r>
      <w:r w:rsidRPr="00DA3BC7">
        <w:rPr>
          <w:rFonts w:ascii="Times New Roman" w:hAnsi="Times New Roman"/>
          <w:sz w:val="20"/>
          <w:szCs w:val="26"/>
        </w:rPr>
        <w:t>）</w:t>
      </w:r>
    </w:p>
    <w:p w:rsidR="00B74007" w:rsidRPr="00DA3BC7" w:rsidRDefault="00B74007" w:rsidP="008E2BBC">
      <w:pPr>
        <w:ind w:leftChars="150" w:left="360"/>
        <w:jc w:val="both"/>
        <w:rPr>
          <w:rFonts w:ascii="Times New Roman" w:hAnsi="Times New Roman"/>
          <w:b/>
          <w:sz w:val="20"/>
          <w:szCs w:val="20"/>
          <w:bdr w:val="single" w:sz="4" w:space="0" w:color="auto"/>
        </w:rPr>
      </w:pPr>
      <w:r w:rsidRPr="00DA3BC7">
        <w:rPr>
          <w:rFonts w:ascii="Times New Roman" w:hAnsi="Times New Roman" w:hint="eastAsia"/>
          <w:b/>
          <w:sz w:val="20"/>
          <w:szCs w:val="20"/>
          <w:bdr w:val="single" w:sz="4" w:space="0" w:color="auto"/>
        </w:rPr>
        <w:t>（一）</w:t>
      </w:r>
      <w:r w:rsidR="004922B7">
        <w:rPr>
          <w:rFonts w:ascii="Times New Roman" w:hAnsi="Times New Roman" w:hint="eastAsia"/>
          <w:b/>
          <w:color w:val="FF0000"/>
          <w:sz w:val="20"/>
          <w:szCs w:val="20"/>
          <w:highlight w:val="yellow"/>
          <w:bdr w:val="single" w:sz="4" w:space="0" w:color="auto"/>
        </w:rPr>
        <w:t>約</w:t>
      </w:r>
      <w:r w:rsidRPr="004922B7">
        <w:rPr>
          <w:rFonts w:ascii="Times New Roman" w:hAnsi="Times New Roman" w:hint="eastAsia"/>
          <w:b/>
          <w:color w:val="FF0000"/>
          <w:sz w:val="20"/>
          <w:szCs w:val="20"/>
          <w:highlight w:val="yellow"/>
          <w:bdr w:val="single" w:sz="4" w:space="0" w:color="auto"/>
        </w:rPr>
        <w:t>異</w:t>
      </w:r>
      <w:r w:rsidRPr="00DA3BC7">
        <w:rPr>
          <w:rFonts w:ascii="Times New Roman" w:hAnsi="Times New Roman"/>
          <w:sz w:val="20"/>
          <w:szCs w:val="26"/>
        </w:rPr>
        <w:t>（</w:t>
      </w:r>
      <w:r w:rsidRPr="00DA3BC7">
        <w:rPr>
          <w:rFonts w:ascii="Times New Roman" w:hAnsi="Times New Roman"/>
          <w:sz w:val="20"/>
          <w:szCs w:val="26"/>
        </w:rPr>
        <w:t>p.36</w:t>
      </w:r>
      <w:r w:rsidRPr="00DA3BC7">
        <w:rPr>
          <w:rFonts w:ascii="Times New Roman" w:hAnsi="Times New Roman"/>
          <w:sz w:val="20"/>
          <w:szCs w:val="26"/>
        </w:rPr>
        <w:t>）</w:t>
      </w:r>
    </w:p>
    <w:p w:rsidR="00B74007" w:rsidRPr="00DA3BC7" w:rsidRDefault="00B74007" w:rsidP="008E2BBC">
      <w:pPr>
        <w:ind w:leftChars="200" w:left="480"/>
        <w:jc w:val="both"/>
        <w:rPr>
          <w:rFonts w:ascii="Times New Roman" w:hAnsi="Times New Roman"/>
          <w:b/>
          <w:sz w:val="20"/>
          <w:szCs w:val="20"/>
          <w:bdr w:val="single" w:sz="4" w:space="0" w:color="auto"/>
        </w:rPr>
      </w:pPr>
      <w:r w:rsidRPr="00DA3BC7">
        <w:rPr>
          <w:rFonts w:ascii="Times New Roman" w:hAnsi="Times New Roman" w:hint="eastAsia"/>
          <w:b/>
          <w:sz w:val="20"/>
          <w:szCs w:val="20"/>
          <w:bdr w:val="single" w:sz="4" w:space="0" w:color="auto"/>
        </w:rPr>
        <w:t>1</w:t>
      </w:r>
      <w:r w:rsidRPr="00DA3BC7">
        <w:rPr>
          <w:rFonts w:ascii="Times New Roman" w:hAnsi="Times New Roman" w:hint="eastAsia"/>
          <w:b/>
          <w:sz w:val="20"/>
          <w:szCs w:val="20"/>
          <w:bdr w:val="single" w:sz="4" w:space="0" w:color="auto"/>
        </w:rPr>
        <w:t>、</w:t>
      </w:r>
      <w:r w:rsidR="004922B7">
        <w:rPr>
          <w:rFonts w:ascii="Times New Roman" w:hAnsi="Times New Roman" w:hint="eastAsia"/>
          <w:b/>
          <w:color w:val="FF0000"/>
          <w:sz w:val="20"/>
          <w:szCs w:val="20"/>
          <w:highlight w:val="yellow"/>
          <w:bdr w:val="single" w:sz="4" w:space="0" w:color="auto"/>
        </w:rPr>
        <w:t>依經論說</w:t>
      </w:r>
    </w:p>
    <w:p w:rsidR="00B74007" w:rsidRPr="00DA3BC7" w:rsidRDefault="004922B7" w:rsidP="008E2BBC">
      <w:pPr>
        <w:ind w:leftChars="200" w:left="480"/>
        <w:jc w:val="both"/>
        <w:rPr>
          <w:rFonts w:ascii="Times New Roman" w:hAnsi="Times New Roman"/>
        </w:rPr>
      </w:pPr>
      <w:r w:rsidRPr="00562AE7">
        <w:rPr>
          <w:rFonts w:ascii="Times New Roman" w:hAnsi="Times New Roman"/>
          <w:b/>
          <w:u w:val="wave" w:color="C00000"/>
        </w:rPr>
        <w:t>空</w:t>
      </w:r>
      <w:r>
        <w:rPr>
          <w:rFonts w:ascii="Times New Roman" w:hAnsi="Times New Roman"/>
        </w:rPr>
        <w:t>與</w:t>
      </w:r>
      <w:r w:rsidRPr="00562AE7">
        <w:rPr>
          <w:rFonts w:ascii="Times New Roman" w:hAnsi="Times New Roman"/>
          <w:b/>
          <w:u w:val="wave" w:color="C00000"/>
        </w:rPr>
        <w:t>不生</w:t>
      </w:r>
      <w:r w:rsidR="00B74007" w:rsidRPr="00DA3BC7">
        <w:rPr>
          <w:rFonts w:ascii="Times New Roman" w:hAnsi="Times New Roman"/>
        </w:rPr>
        <w:t>，如《大方廣寶篋經》說：「</w:t>
      </w:r>
      <w:r w:rsidR="00B74007" w:rsidRPr="00DA3BC7">
        <w:rPr>
          <w:rFonts w:ascii="Times New Roman" w:eastAsia="標楷體" w:hAnsi="Times New Roman"/>
        </w:rPr>
        <w:t>如生金與熟金</w:t>
      </w:r>
      <w:r w:rsidR="00B74007" w:rsidRPr="00DA3BC7">
        <w:rPr>
          <w:rFonts w:ascii="Times New Roman" w:hAnsi="Times New Roman"/>
        </w:rPr>
        <w:t>。」</w:t>
      </w:r>
      <w:r w:rsidR="00B74007" w:rsidRPr="00DA3BC7">
        <w:rPr>
          <w:rStyle w:val="a6"/>
          <w:rFonts w:ascii="Times New Roman" w:hAnsi="Times New Roman"/>
        </w:rPr>
        <w:footnoteReference w:id="235"/>
      </w:r>
    </w:p>
    <w:p w:rsidR="00B74007" w:rsidRPr="00DA3BC7" w:rsidRDefault="00B74007" w:rsidP="008E2BBC">
      <w:pPr>
        <w:ind w:leftChars="200" w:left="480"/>
        <w:jc w:val="both"/>
        <w:rPr>
          <w:rFonts w:ascii="Times New Roman" w:hAnsi="Times New Roman"/>
        </w:rPr>
      </w:pPr>
      <w:r w:rsidRPr="00DA3BC7">
        <w:rPr>
          <w:rFonts w:ascii="Times New Roman" w:hAnsi="Times New Roman"/>
        </w:rPr>
        <w:t>龍樹也說：「</w:t>
      </w:r>
      <w:r w:rsidRPr="00DA3BC7">
        <w:rPr>
          <w:rFonts w:ascii="Times New Roman" w:eastAsia="標楷體" w:hAnsi="Times New Roman" w:hint="eastAsia"/>
        </w:rPr>
        <w:t>成就者，名為菩提；未成就者，名為空。</w:t>
      </w:r>
      <w:r w:rsidRPr="00DA3BC7">
        <w:rPr>
          <w:rFonts w:ascii="Times New Roman" w:hAnsi="Times New Roman"/>
        </w:rPr>
        <w:t>」</w:t>
      </w:r>
      <w:r w:rsidRPr="00DA3BC7">
        <w:rPr>
          <w:rStyle w:val="a6"/>
          <w:rFonts w:ascii="Times New Roman" w:hAnsi="Times New Roman"/>
        </w:rPr>
        <w:footnoteReference w:id="236"/>
      </w:r>
    </w:p>
    <w:p w:rsidR="00B74007" w:rsidRPr="00DA3BC7" w:rsidRDefault="004922B7" w:rsidP="00AE3920">
      <w:pPr>
        <w:spacing w:beforeLines="30"/>
        <w:ind w:leftChars="200" w:left="480"/>
        <w:jc w:val="both"/>
        <w:rPr>
          <w:rFonts w:ascii="Times New Roman" w:hAnsi="Times New Roman"/>
          <w:b/>
          <w:sz w:val="20"/>
          <w:szCs w:val="20"/>
          <w:bdr w:val="single" w:sz="4" w:space="0" w:color="auto"/>
        </w:rPr>
      </w:pPr>
      <w:r w:rsidRPr="004922B7">
        <w:rPr>
          <w:rFonts w:ascii="Times New Roman" w:hAnsi="Times New Roman" w:hint="eastAsia"/>
          <w:b/>
          <w:color w:val="FF0000"/>
          <w:sz w:val="20"/>
          <w:szCs w:val="20"/>
          <w:highlight w:val="yellow"/>
          <w:bdr w:val="single" w:sz="4" w:space="0" w:color="auto"/>
        </w:rPr>
        <w:t>2</w:t>
      </w:r>
      <w:r w:rsidR="00B74007" w:rsidRPr="004922B7">
        <w:rPr>
          <w:rFonts w:ascii="Times New Roman" w:hAnsi="Times New Roman" w:hint="eastAsia"/>
          <w:b/>
          <w:color w:val="FF0000"/>
          <w:sz w:val="20"/>
          <w:szCs w:val="20"/>
          <w:highlight w:val="yellow"/>
          <w:bdr w:val="single" w:sz="4" w:space="0" w:color="auto"/>
        </w:rPr>
        <w:t>、</w:t>
      </w:r>
      <w:r w:rsidRPr="004922B7">
        <w:rPr>
          <w:rFonts w:ascii="Times New Roman" w:hAnsi="Times New Roman" w:hint="eastAsia"/>
          <w:b/>
          <w:color w:val="FF0000"/>
          <w:sz w:val="20"/>
          <w:szCs w:val="20"/>
          <w:highlight w:val="yellow"/>
          <w:bdr w:val="single" w:sz="4" w:space="0" w:color="auto"/>
        </w:rPr>
        <w:t>依意</w:t>
      </w:r>
      <w:r w:rsidR="00B74007" w:rsidRPr="004922B7">
        <w:rPr>
          <w:rFonts w:ascii="Times New Roman" w:hAnsi="Times New Roman" w:hint="eastAsia"/>
          <w:b/>
          <w:color w:val="FF0000"/>
          <w:sz w:val="20"/>
          <w:szCs w:val="20"/>
          <w:highlight w:val="yellow"/>
          <w:bdr w:val="single" w:sz="4" w:space="0" w:color="auto"/>
        </w:rPr>
        <w:t>義</w:t>
      </w:r>
      <w:r w:rsidR="00B74007" w:rsidRPr="004922B7">
        <w:rPr>
          <w:rFonts w:ascii="Times New Roman" w:hAnsi="Times New Roman"/>
          <w:b/>
          <w:color w:val="FF0000"/>
          <w:sz w:val="20"/>
          <w:szCs w:val="20"/>
          <w:highlight w:val="yellow"/>
          <w:bdr w:val="single" w:sz="4" w:space="0" w:color="auto"/>
        </w:rPr>
        <w:t>說</w:t>
      </w:r>
      <w:r w:rsidR="00B74007" w:rsidRPr="00DA3BC7">
        <w:rPr>
          <w:rFonts w:ascii="Times New Roman" w:hAnsi="Times New Roman"/>
          <w:sz w:val="20"/>
          <w:szCs w:val="26"/>
        </w:rPr>
        <w:t>（</w:t>
      </w:r>
      <w:r w:rsidR="00B74007" w:rsidRPr="00DA3BC7">
        <w:rPr>
          <w:rFonts w:ascii="Times New Roman" w:hAnsi="Times New Roman"/>
          <w:sz w:val="20"/>
          <w:szCs w:val="26"/>
        </w:rPr>
        <w:t>p.36</w:t>
      </w:r>
      <w:r w:rsidR="00B74007" w:rsidRPr="00DA3BC7">
        <w:rPr>
          <w:rFonts w:ascii="Times New Roman" w:hAnsi="Times New Roman"/>
          <w:sz w:val="20"/>
          <w:szCs w:val="26"/>
        </w:rPr>
        <w:t>）</w:t>
      </w:r>
    </w:p>
    <w:p w:rsidR="00B74007" w:rsidRPr="00DA3BC7" w:rsidRDefault="004922B7" w:rsidP="008E2BBC">
      <w:pPr>
        <w:ind w:leftChars="200" w:left="480"/>
        <w:jc w:val="both"/>
        <w:rPr>
          <w:rFonts w:ascii="Times New Roman" w:hAnsi="Times New Roman"/>
        </w:rPr>
      </w:pPr>
      <w:r w:rsidRPr="004922B7">
        <w:rPr>
          <w:rFonts w:ascii="Times New Roman" w:hAnsi="Times New Roman" w:hint="eastAsia"/>
          <w:color w:val="FF0000"/>
          <w:highlight w:val="yellow"/>
        </w:rPr>
        <w:t>又</w:t>
      </w:r>
      <w:r w:rsidR="00B74007" w:rsidRPr="00562AE7">
        <w:rPr>
          <w:rFonts w:ascii="Times New Roman" w:hAnsi="Times New Roman"/>
          <w:b/>
          <w:u w:val="wave" w:color="C00000"/>
        </w:rPr>
        <w:t>空</w:t>
      </w:r>
      <w:r w:rsidR="00B74007" w:rsidRPr="00DA3BC7">
        <w:rPr>
          <w:rFonts w:ascii="Times New Roman" w:hAnsi="Times New Roman"/>
        </w:rPr>
        <w:t>著重於</w:t>
      </w:r>
      <w:r w:rsidR="00B74007" w:rsidRPr="00562AE7">
        <w:rPr>
          <w:rFonts w:ascii="Times New Roman" w:hAnsi="Times New Roman"/>
          <w:b/>
          <w:u w:val="wave" w:color="C00000"/>
        </w:rPr>
        <w:t>實踐</w:t>
      </w:r>
      <w:r w:rsidR="00B74007" w:rsidRPr="00DA3BC7">
        <w:rPr>
          <w:rFonts w:ascii="Times New Roman" w:hAnsi="Times New Roman"/>
        </w:rPr>
        <w:t>的意義</w:t>
      </w:r>
      <w:r>
        <w:rPr>
          <w:rFonts w:ascii="Times New Roman" w:hAnsi="Times New Roman" w:hint="eastAsia"/>
          <w:color w:val="FF0000"/>
          <w:highlight w:val="yellow"/>
        </w:rPr>
        <w:t>，</w:t>
      </w:r>
    </w:p>
    <w:p w:rsidR="00B74007" w:rsidRPr="00DA3BC7" w:rsidRDefault="004922B7" w:rsidP="008E2BBC">
      <w:pPr>
        <w:ind w:leftChars="200" w:left="480"/>
        <w:jc w:val="both"/>
        <w:rPr>
          <w:rFonts w:ascii="Times New Roman" w:hAnsi="Times New Roman"/>
        </w:rPr>
      </w:pPr>
      <w:r w:rsidRPr="004922B7">
        <w:rPr>
          <w:rFonts w:ascii="Times New Roman" w:hAnsi="Times New Roman" w:hint="eastAsia"/>
          <w:color w:val="FF0000"/>
          <w:highlight w:val="yellow"/>
        </w:rPr>
        <w:t>而</w:t>
      </w:r>
      <w:r w:rsidR="00B74007" w:rsidRPr="00562AE7">
        <w:rPr>
          <w:rFonts w:ascii="Times New Roman" w:hAnsi="Times New Roman"/>
          <w:b/>
          <w:u w:val="wave" w:color="C00000"/>
        </w:rPr>
        <w:t>無生</w:t>
      </w:r>
      <w:r w:rsidR="00B74007" w:rsidRPr="00DA3BC7">
        <w:rPr>
          <w:rFonts w:ascii="Times New Roman" w:hAnsi="Times New Roman"/>
        </w:rPr>
        <w:t>多用於說明</w:t>
      </w:r>
      <w:r w:rsidR="00B74007" w:rsidRPr="00562AE7">
        <w:rPr>
          <w:rFonts w:ascii="Times New Roman" w:hAnsi="Times New Roman"/>
          <w:b/>
          <w:u w:val="wave" w:color="C00000"/>
        </w:rPr>
        <w:t>法性寂滅</w:t>
      </w:r>
      <w:r w:rsidR="00B74007" w:rsidRPr="00DA3BC7">
        <w:rPr>
          <w:rFonts w:ascii="Times New Roman" w:hAnsi="Times New Roman"/>
        </w:rPr>
        <w:t>。</w:t>
      </w:r>
    </w:p>
    <w:p w:rsidR="00B74007" w:rsidRPr="00DA3BC7" w:rsidRDefault="00B74007" w:rsidP="00AE3920">
      <w:pPr>
        <w:spacing w:beforeLines="30"/>
        <w:ind w:leftChars="150" w:left="360"/>
        <w:jc w:val="both"/>
        <w:rPr>
          <w:rFonts w:ascii="Times New Roman" w:hAnsi="Times New Roman"/>
        </w:rPr>
      </w:pPr>
      <w:r w:rsidRPr="00DA3BC7">
        <w:rPr>
          <w:rFonts w:ascii="Times New Roman" w:hAnsi="Times New Roman" w:hint="eastAsia"/>
          <w:b/>
          <w:sz w:val="20"/>
          <w:szCs w:val="20"/>
          <w:bdr w:val="single" w:sz="4" w:space="0" w:color="auto"/>
        </w:rPr>
        <w:t>（二）</w:t>
      </w:r>
      <w:r w:rsidR="004922B7">
        <w:rPr>
          <w:rFonts w:ascii="Times New Roman" w:hAnsi="Times New Roman" w:hint="eastAsia"/>
          <w:b/>
          <w:color w:val="FF0000"/>
          <w:sz w:val="20"/>
          <w:szCs w:val="20"/>
          <w:highlight w:val="yellow"/>
          <w:bdr w:val="single" w:sz="4" w:space="0" w:color="auto"/>
        </w:rPr>
        <w:t>明</w:t>
      </w:r>
      <w:r w:rsidRPr="00DA3BC7">
        <w:rPr>
          <w:rFonts w:ascii="Times New Roman" w:hAnsi="Times New Roman" w:hint="eastAsia"/>
          <w:b/>
          <w:sz w:val="20"/>
          <w:szCs w:val="20"/>
          <w:bdr w:val="single" w:sz="4" w:space="0" w:color="auto"/>
        </w:rPr>
        <w:t>同</w:t>
      </w:r>
      <w:r w:rsidRPr="00DA3BC7">
        <w:rPr>
          <w:rFonts w:ascii="Times New Roman" w:hAnsi="Times New Roman"/>
          <w:sz w:val="20"/>
          <w:szCs w:val="26"/>
        </w:rPr>
        <w:t>（</w:t>
      </w:r>
      <w:r w:rsidRPr="00DA3BC7">
        <w:rPr>
          <w:rFonts w:ascii="Times New Roman" w:hAnsi="Times New Roman"/>
          <w:sz w:val="20"/>
          <w:szCs w:val="26"/>
        </w:rPr>
        <w:t>p.36</w:t>
      </w:r>
      <w:r w:rsidRPr="00DA3BC7">
        <w:rPr>
          <w:rFonts w:ascii="Times New Roman" w:hAnsi="Times New Roman"/>
          <w:sz w:val="20"/>
          <w:szCs w:val="26"/>
        </w:rPr>
        <w:t>）</w:t>
      </w:r>
    </w:p>
    <w:p w:rsidR="00B74007" w:rsidRPr="00DA3BC7" w:rsidRDefault="00B74007" w:rsidP="008E2BBC">
      <w:pPr>
        <w:ind w:leftChars="150" w:left="360"/>
        <w:jc w:val="both"/>
        <w:rPr>
          <w:rFonts w:ascii="Times New Roman" w:hAnsi="Times New Roman"/>
        </w:rPr>
      </w:pPr>
      <w:r w:rsidRPr="00DA3BC7">
        <w:rPr>
          <w:rFonts w:ascii="Times New Roman" w:hAnsi="Times New Roman"/>
        </w:rPr>
        <w:t>然在中觀的諸部論典中，處處都說空，</w:t>
      </w:r>
      <w:r w:rsidRPr="00562AE7">
        <w:rPr>
          <w:rFonts w:ascii="Times New Roman" w:hAnsi="Times New Roman"/>
          <w:b/>
          <w:u w:val="wave" w:color="C00000"/>
        </w:rPr>
        <w:t>空</w:t>
      </w:r>
      <w:r w:rsidRPr="00DA3BC7">
        <w:rPr>
          <w:rFonts w:ascii="Times New Roman" w:hAnsi="Times New Roman"/>
        </w:rPr>
        <w:t>即</w:t>
      </w:r>
      <w:r w:rsidRPr="00562AE7">
        <w:rPr>
          <w:rFonts w:ascii="Times New Roman" w:hAnsi="Times New Roman"/>
          <w:b/>
          <w:u w:val="wave" w:color="C00000"/>
        </w:rPr>
        <w:t>不生</w:t>
      </w:r>
      <w:r w:rsidRPr="00DA3BC7">
        <w:rPr>
          <w:rFonts w:ascii="Times New Roman" w:hAnsi="Times New Roman"/>
        </w:rPr>
        <w:t>，</w:t>
      </w:r>
      <w:r w:rsidRPr="00562AE7">
        <w:rPr>
          <w:rFonts w:ascii="Times New Roman" w:hAnsi="Times New Roman"/>
          <w:b/>
          <w:u w:val="wave" w:color="C00000"/>
        </w:rPr>
        <w:t>空</w:t>
      </w:r>
      <w:r w:rsidRPr="00DA3BC7">
        <w:rPr>
          <w:rFonts w:ascii="Times New Roman" w:hAnsi="Times New Roman"/>
        </w:rPr>
        <w:t>即是</w:t>
      </w:r>
      <w:r w:rsidRPr="00562AE7">
        <w:rPr>
          <w:rFonts w:ascii="Times New Roman" w:hAnsi="Times New Roman"/>
          <w:b/>
          <w:u w:val="wave" w:color="C00000"/>
        </w:rPr>
        <w:t>八不緣起的中道</w:t>
      </w:r>
      <w:r w:rsidRPr="00DA3BC7">
        <w:rPr>
          <w:rFonts w:ascii="Times New Roman" w:hAnsi="Times New Roman"/>
        </w:rPr>
        <w:t>。</w:t>
      </w:r>
    </w:p>
    <w:p w:rsidR="00B74007" w:rsidRPr="00DA3BC7" w:rsidRDefault="00B74007" w:rsidP="00AE3920">
      <w:pPr>
        <w:spacing w:beforeLines="20"/>
        <w:ind w:leftChars="150" w:left="360"/>
        <w:jc w:val="both"/>
        <w:rPr>
          <w:rFonts w:ascii="Times New Roman" w:hAnsi="Times New Roman"/>
        </w:rPr>
      </w:pPr>
      <w:r w:rsidRPr="00DA3BC7">
        <w:rPr>
          <w:rFonts w:ascii="Times New Roman" w:hAnsi="Times New Roman"/>
        </w:rPr>
        <w:t>事實上，取著無生，還是一樣的錯誤，所以《大智度論》解說無生，是無生無不生等五句都遣的。</w:t>
      </w:r>
      <w:r w:rsidRPr="00DA3BC7">
        <w:rPr>
          <w:rStyle w:val="a6"/>
          <w:rFonts w:ascii="Times New Roman" w:hAnsi="Times New Roman"/>
        </w:rPr>
        <w:footnoteReference w:id="237"/>
      </w:r>
      <w:r w:rsidRPr="00DA3BC7">
        <w:rPr>
          <w:rFonts w:ascii="Times New Roman" w:hAnsi="Times New Roman"/>
        </w:rPr>
        <w:t>空與無生，有何差別？</w:t>
      </w:r>
    </w:p>
    <w:p w:rsidR="00B74007" w:rsidRPr="00DA3BC7" w:rsidRDefault="00FC5046" w:rsidP="00AE3920">
      <w:pPr>
        <w:spacing w:beforeLines="50"/>
        <w:jc w:val="both"/>
        <w:rPr>
          <w:rFonts w:ascii="Times New Roman" w:hAnsi="Times New Roman"/>
          <w:b/>
          <w:sz w:val="20"/>
          <w:szCs w:val="26"/>
          <w:bdr w:val="single" w:sz="4" w:space="0" w:color="auto"/>
        </w:rPr>
      </w:pPr>
      <w:r w:rsidRPr="00DA3BC7">
        <w:rPr>
          <w:rFonts w:ascii="Times New Roman" w:hAnsi="Times New Roman" w:hint="eastAsia"/>
          <w:b/>
          <w:sz w:val="20"/>
          <w:szCs w:val="26"/>
          <w:bdr w:val="single" w:sz="4" w:space="0" w:color="auto"/>
        </w:rPr>
        <w:lastRenderedPageBreak/>
        <w:t>參</w:t>
      </w:r>
      <w:r w:rsidR="00B74007" w:rsidRPr="00DA3BC7">
        <w:rPr>
          <w:rFonts w:ascii="Times New Roman" w:hAnsi="Times New Roman"/>
          <w:b/>
          <w:sz w:val="20"/>
          <w:szCs w:val="26"/>
          <w:bdr w:val="single" w:sz="4" w:space="0" w:color="auto"/>
        </w:rPr>
        <w:t>、結語</w:t>
      </w:r>
      <w:r w:rsidR="00B74007" w:rsidRPr="00DA3BC7">
        <w:rPr>
          <w:rFonts w:ascii="Times New Roman" w:hAnsi="Times New Roman"/>
          <w:sz w:val="20"/>
          <w:szCs w:val="20"/>
        </w:rPr>
        <w:t>（</w:t>
      </w:r>
      <w:r w:rsidR="00B74007" w:rsidRPr="00DA3BC7">
        <w:rPr>
          <w:rFonts w:ascii="Times New Roman" w:hAnsi="Times New Roman"/>
          <w:sz w:val="20"/>
          <w:szCs w:val="20"/>
        </w:rPr>
        <w:t>pp.36-</w:t>
      </w:r>
      <w:r w:rsidR="00B74007" w:rsidRPr="00DA3BC7">
        <w:rPr>
          <w:rFonts w:ascii="Times New Roman" w:hAnsi="Times New Roman" w:hint="eastAsia"/>
          <w:sz w:val="20"/>
          <w:szCs w:val="20"/>
        </w:rPr>
        <w:t>37</w:t>
      </w:r>
      <w:r w:rsidR="00B74007" w:rsidRPr="00DA3BC7">
        <w:rPr>
          <w:rFonts w:ascii="Times New Roman" w:hAnsi="Times New Roman"/>
          <w:sz w:val="20"/>
          <w:szCs w:val="20"/>
        </w:rPr>
        <w:t>）</w:t>
      </w:r>
    </w:p>
    <w:p w:rsidR="00EC0355" w:rsidRDefault="00B74007" w:rsidP="008E2BBC">
      <w:pPr>
        <w:ind w:leftChars="50" w:left="120"/>
        <w:jc w:val="both"/>
        <w:rPr>
          <w:rFonts w:ascii="Times New Roman" w:hAnsi="Times New Roman"/>
          <w:b/>
          <w:sz w:val="20"/>
          <w:szCs w:val="20"/>
          <w:bdr w:val="single" w:sz="4" w:space="0" w:color="auto"/>
        </w:rPr>
      </w:pPr>
      <w:r w:rsidRPr="00DA3BC7">
        <w:rPr>
          <w:rFonts w:ascii="Times New Roman" w:hAnsi="Times New Roman"/>
          <w:b/>
          <w:sz w:val="20"/>
          <w:szCs w:val="20"/>
          <w:bdr w:val="single" w:sz="4" w:space="0" w:color="auto"/>
        </w:rPr>
        <w:t>（壹）</w:t>
      </w:r>
      <w:r w:rsidR="00EC0355" w:rsidRPr="00EC0355">
        <w:rPr>
          <w:rFonts w:ascii="Times New Roman" w:hAnsi="Times New Roman" w:hint="eastAsia"/>
          <w:b/>
          <w:color w:val="FF0000"/>
          <w:sz w:val="20"/>
          <w:szCs w:val="20"/>
          <w:highlight w:val="yellow"/>
          <w:bdr w:val="single" w:sz="4" w:space="0" w:color="auto"/>
        </w:rPr>
        <w:t>明得失</w:t>
      </w:r>
      <w:r w:rsidR="00EC0355" w:rsidRPr="00DA3BC7">
        <w:rPr>
          <w:rFonts w:ascii="Times New Roman" w:hAnsi="Times New Roman"/>
          <w:sz w:val="20"/>
          <w:szCs w:val="20"/>
        </w:rPr>
        <w:t>（</w:t>
      </w:r>
      <w:r w:rsidR="00EC0355" w:rsidRPr="00DA3BC7">
        <w:rPr>
          <w:rFonts w:ascii="Times New Roman" w:hAnsi="Times New Roman"/>
          <w:sz w:val="20"/>
          <w:szCs w:val="20"/>
        </w:rPr>
        <w:t>pp.36-</w:t>
      </w:r>
      <w:r w:rsidR="00EC0355" w:rsidRPr="00DA3BC7">
        <w:rPr>
          <w:rFonts w:ascii="Times New Roman" w:hAnsi="Times New Roman" w:hint="eastAsia"/>
          <w:sz w:val="20"/>
          <w:szCs w:val="20"/>
        </w:rPr>
        <w:t>37</w:t>
      </w:r>
      <w:r w:rsidR="00EC0355" w:rsidRPr="00DA3BC7">
        <w:rPr>
          <w:rFonts w:ascii="Times New Roman" w:hAnsi="Times New Roman"/>
          <w:sz w:val="20"/>
          <w:szCs w:val="20"/>
        </w:rPr>
        <w:t>）</w:t>
      </w:r>
    </w:p>
    <w:p w:rsidR="000E633B" w:rsidRDefault="00EC0355" w:rsidP="000E633B">
      <w:pPr>
        <w:ind w:leftChars="100" w:left="240"/>
        <w:jc w:val="both"/>
        <w:rPr>
          <w:rFonts w:ascii="Times New Roman" w:hAnsi="Times New Roman"/>
          <w:sz w:val="20"/>
          <w:szCs w:val="26"/>
        </w:rPr>
      </w:pPr>
      <w:r w:rsidRPr="00EC0355">
        <w:rPr>
          <w:rFonts w:ascii="Times New Roman" w:hAnsi="Times New Roman" w:hint="eastAsia"/>
          <w:b/>
          <w:color w:val="FF0000"/>
          <w:sz w:val="20"/>
          <w:szCs w:val="20"/>
          <w:highlight w:val="yellow"/>
          <w:bdr w:val="single" w:sz="4" w:space="0" w:color="auto"/>
        </w:rPr>
        <w:t>一、</w:t>
      </w:r>
      <w:r w:rsidR="00B74007" w:rsidRPr="00DA3BC7">
        <w:rPr>
          <w:rFonts w:ascii="Times New Roman" w:hAnsi="Times New Roman"/>
          <w:b/>
          <w:sz w:val="20"/>
          <w:szCs w:val="20"/>
          <w:bdr w:val="single" w:sz="4" w:space="0" w:color="auto"/>
        </w:rPr>
        <w:t>錯解三法印之流弊</w:t>
      </w:r>
      <w:r w:rsidR="00B74007" w:rsidRPr="00DA3BC7">
        <w:rPr>
          <w:rFonts w:ascii="Times New Roman" w:hAnsi="Times New Roman"/>
          <w:sz w:val="20"/>
          <w:szCs w:val="26"/>
        </w:rPr>
        <w:t>（</w:t>
      </w:r>
      <w:r w:rsidR="00B74007" w:rsidRPr="00DA3BC7">
        <w:rPr>
          <w:rFonts w:ascii="Times New Roman" w:hAnsi="Times New Roman"/>
          <w:sz w:val="20"/>
          <w:szCs w:val="26"/>
        </w:rPr>
        <w:t>p.36</w:t>
      </w:r>
      <w:r w:rsidR="00B74007" w:rsidRPr="00DA3BC7">
        <w:rPr>
          <w:rFonts w:ascii="Times New Roman" w:hAnsi="Times New Roman"/>
          <w:sz w:val="20"/>
          <w:szCs w:val="26"/>
        </w:rPr>
        <w:t>）</w:t>
      </w:r>
    </w:p>
    <w:p w:rsidR="00B74007" w:rsidRPr="00DA3BC7" w:rsidRDefault="00B74007" w:rsidP="000E633B">
      <w:pPr>
        <w:ind w:leftChars="100" w:left="240"/>
        <w:jc w:val="both"/>
        <w:rPr>
          <w:rFonts w:ascii="Times New Roman" w:hAnsi="Times New Roman"/>
        </w:rPr>
      </w:pPr>
      <w:r w:rsidRPr="00DA3BC7">
        <w:rPr>
          <w:rFonts w:ascii="Times New Roman" w:hAnsi="Times New Roman"/>
        </w:rPr>
        <w:t>總之，凡成為世諦流布，或以</w:t>
      </w:r>
      <w:r w:rsidRPr="00DA3BC7">
        <w:rPr>
          <w:rFonts w:ascii="Times New Roman" w:hAnsi="Times New Roman" w:hint="eastAsia"/>
        </w:rPr>
        <w:t>世</w:t>
      </w:r>
      <w:r w:rsidRPr="00DA3BC7">
        <w:rPr>
          <w:rFonts w:ascii="Times New Roman" w:hAnsi="Times New Roman"/>
        </w:rPr>
        <w:t>俗的見解，依名取義，</w:t>
      </w:r>
    </w:p>
    <w:p w:rsidR="00B74007" w:rsidRPr="00DA3BC7" w:rsidRDefault="00B74007" w:rsidP="00AE3920">
      <w:pPr>
        <w:spacing w:beforeLines="20"/>
        <w:ind w:leftChars="100" w:left="240"/>
        <w:jc w:val="both"/>
        <w:rPr>
          <w:rFonts w:ascii="Times New Roman" w:hAnsi="Times New Roman"/>
        </w:rPr>
      </w:pPr>
      <w:r w:rsidRPr="00DA3BC7">
        <w:rPr>
          <w:rFonts w:ascii="Times New Roman" w:hAnsi="Times New Roman"/>
          <w:b/>
        </w:rPr>
        <w:t>無常</w:t>
      </w:r>
      <w:r w:rsidRPr="00DA3BC7">
        <w:rPr>
          <w:rFonts w:ascii="Times New Roman" w:hAnsi="Times New Roman" w:hint="eastAsia"/>
        </w:rPr>
        <w:t>教</w:t>
      </w:r>
      <w:r w:rsidRPr="00DA3BC7">
        <w:rPr>
          <w:rFonts w:ascii="Times New Roman" w:hAnsi="Times New Roman"/>
        </w:rPr>
        <w:t>會引來</w:t>
      </w:r>
      <w:r w:rsidRPr="00DA3BC7">
        <w:rPr>
          <w:rFonts w:ascii="Times New Roman" w:hAnsi="Times New Roman"/>
          <w:b/>
        </w:rPr>
        <w:t>消極與厭離</w:t>
      </w:r>
      <w:r w:rsidR="00EC0355" w:rsidRPr="00EC0355">
        <w:rPr>
          <w:rFonts w:ascii="Times New Roman" w:hAnsi="Times New Roman" w:hint="eastAsia"/>
          <w:color w:val="FF0000"/>
          <w:highlight w:val="yellow"/>
        </w:rPr>
        <w:t>；</w:t>
      </w:r>
    </w:p>
    <w:p w:rsidR="00B74007" w:rsidRPr="00DA3BC7" w:rsidRDefault="00B74007" w:rsidP="000E633B">
      <w:pPr>
        <w:ind w:leftChars="100" w:left="240"/>
        <w:jc w:val="both"/>
        <w:rPr>
          <w:rFonts w:ascii="Times New Roman" w:hAnsi="Times New Roman"/>
        </w:rPr>
      </w:pPr>
      <w:r w:rsidRPr="00DA3BC7">
        <w:rPr>
          <w:rFonts w:ascii="Times New Roman" w:hAnsi="Times New Roman"/>
          <w:b/>
        </w:rPr>
        <w:t>空</w:t>
      </w:r>
      <w:r w:rsidRPr="00DA3BC7">
        <w:rPr>
          <w:rFonts w:ascii="Times New Roman" w:hAnsi="Times New Roman"/>
        </w:rPr>
        <w:t>會招來</w:t>
      </w:r>
      <w:r w:rsidRPr="00DA3BC7">
        <w:rPr>
          <w:rFonts w:ascii="Times New Roman" w:hAnsi="Times New Roman"/>
          <w:b/>
        </w:rPr>
        <w:t>邪見的撥無因果或偏於掃蕩</w:t>
      </w:r>
      <w:r w:rsidR="00EC0355" w:rsidRPr="00EC0355">
        <w:rPr>
          <w:rFonts w:ascii="Times New Roman" w:hAnsi="Times New Roman" w:hint="eastAsia"/>
          <w:color w:val="FF0000"/>
          <w:highlight w:val="yellow"/>
        </w:rPr>
        <w:t>；</w:t>
      </w:r>
    </w:p>
    <w:p w:rsidR="00B74007" w:rsidRPr="00DA3BC7" w:rsidRDefault="00B74007" w:rsidP="000E633B">
      <w:pPr>
        <w:ind w:leftChars="100" w:left="240"/>
        <w:jc w:val="both"/>
        <w:rPr>
          <w:rFonts w:ascii="Times New Roman" w:hAnsi="Times New Roman"/>
        </w:rPr>
      </w:pPr>
      <w:r w:rsidRPr="00DA3BC7">
        <w:rPr>
          <w:rFonts w:ascii="Times New Roman" w:hAnsi="Times New Roman"/>
          <w:b/>
        </w:rPr>
        <w:t>無生</w:t>
      </w:r>
      <w:r w:rsidRPr="00DA3BC7">
        <w:rPr>
          <w:rFonts w:ascii="Times New Roman" w:hAnsi="Times New Roman"/>
        </w:rPr>
        <w:t>會</w:t>
      </w:r>
      <w:r w:rsidRPr="00DA3BC7">
        <w:rPr>
          <w:rFonts w:ascii="Times New Roman" w:hAnsi="Times New Roman"/>
          <w:b/>
        </w:rPr>
        <w:t>與外道的神我合流</w:t>
      </w:r>
      <w:r w:rsidRPr="00DA3BC7">
        <w:rPr>
          <w:rFonts w:ascii="Times New Roman" w:hAnsi="Times New Roman"/>
        </w:rPr>
        <w:t>。</w:t>
      </w:r>
    </w:p>
    <w:p w:rsidR="00EC0355" w:rsidRDefault="00EC0355" w:rsidP="00AE3920">
      <w:pPr>
        <w:spacing w:beforeLines="30"/>
        <w:ind w:leftChars="100" w:left="240"/>
        <w:jc w:val="both"/>
        <w:rPr>
          <w:rFonts w:ascii="Times New Roman" w:hAnsi="Times New Roman"/>
          <w:b/>
          <w:sz w:val="20"/>
          <w:szCs w:val="20"/>
          <w:bdr w:val="single" w:sz="4" w:space="0" w:color="auto"/>
        </w:rPr>
      </w:pPr>
      <w:r>
        <w:rPr>
          <w:rFonts w:ascii="Times New Roman" w:hAnsi="Times New Roman" w:hint="eastAsia"/>
          <w:b/>
          <w:sz w:val="20"/>
          <w:szCs w:val="20"/>
          <w:bdr w:val="single" w:sz="4" w:space="0" w:color="auto"/>
        </w:rPr>
        <w:t>二、</w:t>
      </w:r>
      <w:r w:rsidRPr="00DA3BC7">
        <w:rPr>
          <w:rFonts w:ascii="Times New Roman" w:hAnsi="Times New Roman"/>
          <w:b/>
          <w:sz w:val="20"/>
          <w:szCs w:val="20"/>
          <w:bdr w:val="single" w:sz="4" w:space="0" w:color="auto"/>
        </w:rPr>
        <w:t>正解三法印</w:t>
      </w:r>
      <w:r>
        <w:rPr>
          <w:rFonts w:ascii="Times New Roman" w:hAnsi="Times New Roman" w:hint="eastAsia"/>
          <w:b/>
          <w:sz w:val="20"/>
          <w:szCs w:val="20"/>
          <w:bdr w:val="single" w:sz="4" w:space="0" w:color="auto"/>
        </w:rPr>
        <w:t>之特勝</w:t>
      </w:r>
      <w:r w:rsidRPr="00DA3BC7">
        <w:rPr>
          <w:rFonts w:ascii="Times New Roman" w:hAnsi="Times New Roman"/>
          <w:sz w:val="20"/>
          <w:szCs w:val="20"/>
        </w:rPr>
        <w:t>（</w:t>
      </w:r>
      <w:r w:rsidRPr="00DA3BC7">
        <w:rPr>
          <w:rFonts w:ascii="Times New Roman" w:hAnsi="Times New Roman"/>
          <w:sz w:val="20"/>
          <w:szCs w:val="20"/>
        </w:rPr>
        <w:t>pp.36-</w:t>
      </w:r>
      <w:r w:rsidRPr="00DA3BC7">
        <w:rPr>
          <w:rFonts w:ascii="Times New Roman" w:hAnsi="Times New Roman" w:hint="eastAsia"/>
          <w:sz w:val="20"/>
          <w:szCs w:val="20"/>
        </w:rPr>
        <w:t>37</w:t>
      </w:r>
      <w:r w:rsidRPr="00DA3BC7">
        <w:rPr>
          <w:rFonts w:ascii="Times New Roman" w:hAnsi="Times New Roman"/>
          <w:sz w:val="20"/>
          <w:szCs w:val="20"/>
        </w:rPr>
        <w:t>）</w:t>
      </w:r>
    </w:p>
    <w:p w:rsidR="00B74007" w:rsidRPr="00EC0355" w:rsidRDefault="00B74007" w:rsidP="00425F91">
      <w:pPr>
        <w:ind w:leftChars="150" w:left="360"/>
        <w:jc w:val="both"/>
        <w:rPr>
          <w:rFonts w:ascii="Times New Roman" w:hAnsi="Times New Roman"/>
          <w:b/>
          <w:color w:val="FF0000"/>
          <w:highlight w:val="yellow"/>
        </w:rPr>
      </w:pPr>
      <w:r w:rsidRPr="00EC0355">
        <w:rPr>
          <w:rFonts w:ascii="Times New Roman" w:hAnsi="Times New Roman"/>
          <w:b/>
          <w:color w:val="FF0000"/>
          <w:sz w:val="20"/>
          <w:szCs w:val="20"/>
          <w:highlight w:val="yellow"/>
          <w:bdr w:val="single" w:sz="4" w:space="0" w:color="auto"/>
        </w:rPr>
        <w:t>（</w:t>
      </w:r>
      <w:r w:rsidR="00EC0355" w:rsidRPr="00EC0355">
        <w:rPr>
          <w:rFonts w:ascii="Times New Roman" w:hAnsi="Times New Roman" w:hint="eastAsia"/>
          <w:b/>
          <w:color w:val="FF0000"/>
          <w:sz w:val="20"/>
          <w:szCs w:val="20"/>
          <w:highlight w:val="yellow"/>
          <w:bdr w:val="single" w:sz="4" w:space="0" w:color="auto"/>
        </w:rPr>
        <w:t>一</w:t>
      </w:r>
      <w:r w:rsidRPr="00EC0355">
        <w:rPr>
          <w:rFonts w:ascii="Times New Roman" w:hAnsi="Times New Roman"/>
          <w:b/>
          <w:color w:val="FF0000"/>
          <w:sz w:val="20"/>
          <w:szCs w:val="20"/>
          <w:highlight w:val="yellow"/>
          <w:bdr w:val="single" w:sz="4" w:space="0" w:color="auto"/>
        </w:rPr>
        <w:t>）</w:t>
      </w:r>
      <w:r w:rsidR="00EC0355" w:rsidRPr="00EC0355">
        <w:rPr>
          <w:rFonts w:ascii="Times New Roman" w:hAnsi="Times New Roman" w:hint="eastAsia"/>
          <w:b/>
          <w:color w:val="FF0000"/>
          <w:sz w:val="20"/>
          <w:szCs w:val="20"/>
          <w:highlight w:val="yellow"/>
          <w:bdr w:val="single" w:sz="4" w:space="0" w:color="auto"/>
        </w:rPr>
        <w:t>約「理」歸一義</w:t>
      </w:r>
      <w:r w:rsidRPr="00EC0355">
        <w:rPr>
          <w:rFonts w:ascii="Times New Roman" w:hAnsi="Times New Roman"/>
          <w:sz w:val="20"/>
          <w:szCs w:val="20"/>
        </w:rPr>
        <w:t>（</w:t>
      </w:r>
      <w:r w:rsidR="00EC0355" w:rsidRPr="00EC0355">
        <w:rPr>
          <w:rFonts w:ascii="Times New Roman" w:hAnsi="Times New Roman"/>
          <w:sz w:val="20"/>
          <w:szCs w:val="20"/>
        </w:rPr>
        <w:t>p.36</w:t>
      </w:r>
      <w:r w:rsidRPr="00EC0355">
        <w:rPr>
          <w:rFonts w:ascii="Times New Roman" w:hAnsi="Times New Roman"/>
          <w:sz w:val="20"/>
          <w:szCs w:val="20"/>
        </w:rPr>
        <w:t>）</w:t>
      </w:r>
    </w:p>
    <w:p w:rsidR="00B74007" w:rsidRPr="00DA3BC7" w:rsidRDefault="00B74007" w:rsidP="000E633B">
      <w:pPr>
        <w:ind w:leftChars="150" w:left="360"/>
        <w:jc w:val="both"/>
        <w:rPr>
          <w:rFonts w:ascii="Times New Roman" w:hAnsi="Times New Roman"/>
        </w:rPr>
      </w:pPr>
      <w:r w:rsidRPr="00DA3BC7">
        <w:rPr>
          <w:rFonts w:ascii="Times New Roman" w:hAnsi="Times New Roman"/>
        </w:rPr>
        <w:t>如能藉此</w:t>
      </w:r>
      <w:r w:rsidRPr="00562AE7">
        <w:rPr>
          <w:rFonts w:ascii="Times New Roman" w:hAnsi="Times New Roman"/>
          <w:b/>
          <w:u w:val="wave" w:color="C00000"/>
        </w:rPr>
        <w:t>無常、無我、無生</w:t>
      </w:r>
      <w:r w:rsidRPr="00DA3BC7">
        <w:rPr>
          <w:rFonts w:ascii="Times New Roman" w:hAnsi="Times New Roman"/>
        </w:rPr>
        <w:t>的教觀，徹法性本空，那麼三者都是法印，即是一實相了。</w:t>
      </w:r>
    </w:p>
    <w:p w:rsidR="00EC0355" w:rsidRPr="00DA3BC7" w:rsidRDefault="00EC0355" w:rsidP="00AE3920">
      <w:pPr>
        <w:spacing w:beforeLines="30"/>
        <w:ind w:leftChars="150" w:left="360"/>
        <w:jc w:val="both"/>
        <w:rPr>
          <w:rFonts w:ascii="Times New Roman" w:hAnsi="Times New Roman"/>
          <w:b/>
        </w:rPr>
      </w:pPr>
      <w:r w:rsidRPr="00EC0355">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二</w:t>
      </w:r>
      <w:r w:rsidRPr="00EC0355">
        <w:rPr>
          <w:rFonts w:ascii="Times New Roman" w:hAnsi="Times New Roman"/>
          <w:b/>
          <w:color w:val="FF0000"/>
          <w:sz w:val="20"/>
          <w:szCs w:val="20"/>
          <w:highlight w:val="yellow"/>
          <w:bdr w:val="single" w:sz="4" w:space="0" w:color="auto"/>
        </w:rPr>
        <w:t>）</w:t>
      </w:r>
      <w:r w:rsidRPr="00EC0355">
        <w:rPr>
          <w:rFonts w:ascii="Times New Roman" w:hAnsi="Times New Roman" w:hint="eastAsia"/>
          <w:b/>
          <w:color w:val="FF0000"/>
          <w:sz w:val="20"/>
          <w:szCs w:val="20"/>
          <w:highlight w:val="yellow"/>
          <w:bdr w:val="single" w:sz="4" w:space="0" w:color="auto"/>
        </w:rPr>
        <w:t>依「機」示差別</w:t>
      </w:r>
      <w:r w:rsidRPr="00DA3BC7">
        <w:rPr>
          <w:rFonts w:ascii="Times New Roman" w:hAnsi="Times New Roman"/>
          <w:sz w:val="20"/>
          <w:szCs w:val="20"/>
        </w:rPr>
        <w:t>（</w:t>
      </w:r>
      <w:r w:rsidRPr="00DA3BC7">
        <w:rPr>
          <w:rFonts w:ascii="Times New Roman" w:hAnsi="Times New Roman"/>
          <w:sz w:val="20"/>
          <w:szCs w:val="20"/>
        </w:rPr>
        <w:t>pp.36-</w:t>
      </w:r>
      <w:r w:rsidRPr="00DA3BC7">
        <w:rPr>
          <w:rFonts w:ascii="Times New Roman" w:hAnsi="Times New Roman" w:hint="eastAsia"/>
          <w:sz w:val="20"/>
          <w:szCs w:val="20"/>
        </w:rPr>
        <w:t>37</w:t>
      </w:r>
      <w:r w:rsidRPr="00DA3BC7">
        <w:rPr>
          <w:rFonts w:ascii="Times New Roman" w:hAnsi="Times New Roman"/>
          <w:sz w:val="20"/>
          <w:szCs w:val="20"/>
        </w:rPr>
        <w:t>）</w:t>
      </w:r>
    </w:p>
    <w:p w:rsidR="00B74007" w:rsidRPr="00DA3BC7" w:rsidRDefault="00B74007" w:rsidP="000E633B">
      <w:pPr>
        <w:ind w:leftChars="150" w:left="360"/>
        <w:jc w:val="both"/>
        <w:rPr>
          <w:rFonts w:ascii="Times New Roman" w:hAnsi="Times New Roman"/>
        </w:rPr>
      </w:pPr>
      <w:r w:rsidRPr="00DA3BC7">
        <w:rPr>
          <w:rFonts w:ascii="Times New Roman" w:hAnsi="Times New Roman"/>
          <w:szCs w:val="22"/>
        </w:rPr>
        <w:t>依眾生的悟</w:t>
      </w:r>
      <w:r w:rsidRPr="00DA3BC7">
        <w:rPr>
          <w:rFonts w:ascii="Times New Roman" w:hAnsi="Times New Roman"/>
        </w:rPr>
        <w:t>解不同，所以有此三門差別，或</w:t>
      </w:r>
      <w:r w:rsidRPr="00DA3BC7">
        <w:rPr>
          <w:rFonts w:ascii="Times New Roman" w:hAnsi="Times New Roman"/>
          <w:b/>
        </w:rPr>
        <w:t>別別說</w:t>
      </w:r>
      <w:r w:rsidRPr="00DA3BC7">
        <w:rPr>
          <w:rFonts w:ascii="Times New Roman" w:hAnsi="Times New Roman"/>
        </w:rPr>
        <w:t>，或</w:t>
      </w:r>
      <w:r w:rsidRPr="00DA3BC7">
        <w:rPr>
          <w:rFonts w:ascii="Times New Roman" w:hAnsi="Times New Roman"/>
          <w:b/>
        </w:rPr>
        <w:t>次第說</w:t>
      </w:r>
      <w:r w:rsidRPr="00DA3BC7">
        <w:rPr>
          <w:rFonts w:ascii="Times New Roman" w:hAnsi="Times New Roman"/>
        </w:rPr>
        <w:t>，或</w:t>
      </w:r>
      <w:r w:rsidRPr="00DA3BC7">
        <w:rPr>
          <w:rFonts w:ascii="Times New Roman" w:hAnsi="Times New Roman"/>
          <w:b/>
        </w:rPr>
        <w:t>具足說</w:t>
      </w:r>
      <w:r w:rsidRPr="00DA3BC7">
        <w:rPr>
          <w:rFonts w:ascii="Times New Roman" w:hAnsi="Times New Roman"/>
        </w:rPr>
        <w:t>，都是即俗示真，使契於正覺的一味。</w:t>
      </w:r>
    </w:p>
    <w:p w:rsidR="00B74007" w:rsidRPr="00DA3BC7" w:rsidRDefault="00B74007" w:rsidP="00AE3920">
      <w:pPr>
        <w:spacing w:beforeLines="30"/>
        <w:ind w:leftChars="50" w:left="120"/>
        <w:jc w:val="both"/>
        <w:rPr>
          <w:rFonts w:ascii="Times New Roman" w:hAnsi="Times New Roman"/>
          <w:b/>
          <w:sz w:val="20"/>
          <w:szCs w:val="26"/>
          <w:bdr w:val="single" w:sz="4" w:space="0" w:color="auto"/>
        </w:rPr>
      </w:pPr>
      <w:r w:rsidRPr="00EC0355">
        <w:rPr>
          <w:rFonts w:ascii="Times New Roman" w:hAnsi="Times New Roman" w:hint="eastAsia"/>
          <w:b/>
          <w:color w:val="FF0000"/>
          <w:sz w:val="20"/>
          <w:szCs w:val="26"/>
          <w:highlight w:val="yellow"/>
          <w:bdr w:val="single" w:sz="4" w:space="0" w:color="auto"/>
        </w:rPr>
        <w:t>（</w:t>
      </w:r>
      <w:r w:rsidR="00EC0355" w:rsidRPr="00EC0355">
        <w:rPr>
          <w:rFonts w:ascii="Times New Roman" w:hAnsi="Times New Roman" w:hint="eastAsia"/>
          <w:b/>
          <w:color w:val="FF0000"/>
          <w:sz w:val="20"/>
          <w:szCs w:val="26"/>
          <w:highlight w:val="yellow"/>
          <w:bdr w:val="single" w:sz="4" w:space="0" w:color="auto"/>
        </w:rPr>
        <w:t>貳</w:t>
      </w:r>
      <w:r w:rsidRPr="00EC0355">
        <w:rPr>
          <w:rFonts w:ascii="Times New Roman" w:hAnsi="Times New Roman" w:hint="eastAsia"/>
          <w:b/>
          <w:color w:val="FF0000"/>
          <w:sz w:val="20"/>
          <w:szCs w:val="26"/>
          <w:highlight w:val="yellow"/>
          <w:bdr w:val="single" w:sz="4" w:space="0" w:color="auto"/>
        </w:rPr>
        <w:t>）</w:t>
      </w:r>
      <w:r w:rsidR="00EC0355" w:rsidRPr="00EC0355">
        <w:rPr>
          <w:rFonts w:ascii="Times New Roman" w:hAnsi="Times New Roman" w:hint="eastAsia"/>
          <w:b/>
          <w:color w:val="FF0000"/>
          <w:sz w:val="20"/>
          <w:szCs w:val="26"/>
          <w:highlight w:val="yellow"/>
          <w:bdr w:val="single" w:sz="4" w:space="0" w:color="auto"/>
        </w:rPr>
        <w:t>示真義</w:t>
      </w:r>
      <w:r w:rsidRPr="00DA3BC7">
        <w:rPr>
          <w:rFonts w:ascii="Times New Roman" w:hAnsi="Times New Roman"/>
          <w:sz w:val="20"/>
          <w:szCs w:val="26"/>
        </w:rPr>
        <w:t>（</w:t>
      </w:r>
      <w:r w:rsidRPr="00DA3BC7">
        <w:rPr>
          <w:rFonts w:ascii="Times New Roman" w:hAnsi="Times New Roman"/>
          <w:sz w:val="20"/>
          <w:szCs w:val="26"/>
        </w:rPr>
        <w:t>p.3</w:t>
      </w:r>
      <w:r w:rsidRPr="00DA3BC7">
        <w:rPr>
          <w:rFonts w:ascii="Times New Roman" w:hAnsi="Times New Roman" w:hint="eastAsia"/>
          <w:sz w:val="20"/>
          <w:szCs w:val="26"/>
        </w:rPr>
        <w:t>7</w:t>
      </w:r>
      <w:r w:rsidRPr="00DA3BC7">
        <w:rPr>
          <w:rFonts w:ascii="Times New Roman" w:hAnsi="Times New Roman"/>
          <w:sz w:val="20"/>
          <w:szCs w:val="26"/>
        </w:rPr>
        <w:t>）</w:t>
      </w:r>
    </w:p>
    <w:p w:rsidR="00C20628" w:rsidRPr="00DA3BC7" w:rsidRDefault="00B74007" w:rsidP="008E2BBC">
      <w:pPr>
        <w:ind w:leftChars="50" w:left="120"/>
        <w:jc w:val="both"/>
        <w:rPr>
          <w:rFonts w:ascii="Times New Roman" w:hAnsi="Times New Roman"/>
        </w:rPr>
        <w:sectPr w:rsidR="00C20628" w:rsidRPr="00DA3BC7" w:rsidSect="009914C0">
          <w:headerReference w:type="default" r:id="rId28"/>
          <w:footerReference w:type="default" r:id="rId29"/>
          <w:headerReference w:type="first" r:id="rId30"/>
          <w:footerReference w:type="first" r:id="rId31"/>
          <w:footnotePr>
            <w:numRestart w:val="eachSect"/>
          </w:footnotePr>
          <w:pgSz w:w="10773" w:h="14742" w:code="9"/>
          <w:pgMar w:top="1418" w:right="1418" w:bottom="1418" w:left="1418" w:header="851" w:footer="992" w:gutter="0"/>
          <w:cols w:space="425"/>
          <w:docGrid w:type="lines" w:linePitch="360"/>
        </w:sectPr>
      </w:pPr>
      <w:r w:rsidRPr="00DA3BC7">
        <w:t>從</w:t>
      </w:r>
      <w:r w:rsidRPr="00562AE7">
        <w:rPr>
          <w:rFonts w:ascii="Times New Roman" w:hAnsi="Times New Roman"/>
          <w:b/>
          <w:u w:val="wave" w:color="C00000"/>
        </w:rPr>
        <w:t>緣起生滅</w:t>
      </w:r>
      <w:r w:rsidRPr="00DA3BC7">
        <w:t>悟得</w:t>
      </w:r>
      <w:r w:rsidRPr="00562AE7">
        <w:rPr>
          <w:rFonts w:ascii="Times New Roman" w:hAnsi="Times New Roman"/>
          <w:b/>
          <w:u w:val="wave" w:color="C00000"/>
        </w:rPr>
        <w:t>緣起不生不滅</w:t>
      </w:r>
      <w:r w:rsidRPr="00DA3BC7">
        <w:t>，揭開釋迦《阿含</w:t>
      </w:r>
      <w:r w:rsidRPr="00DA3BC7">
        <w:rPr>
          <w:rFonts w:hint="eastAsia"/>
        </w:rPr>
        <w:t>經</w:t>
      </w:r>
      <w:r w:rsidRPr="00DA3BC7">
        <w:t>》的真面目。能於空相應緣起中，直</w:t>
      </w:r>
      <w:r w:rsidRPr="00DA3BC7">
        <w:rPr>
          <w:rFonts w:ascii="Times New Roman" w:hAnsi="Times New Roman"/>
        </w:rPr>
        <w:t>探佛法深義而發揮之，即成為後代大乘教學的唯一特色。</w:t>
      </w:r>
    </w:p>
    <w:p w:rsidR="00C20628" w:rsidRPr="00DA3BC7" w:rsidRDefault="00C20628" w:rsidP="008E2BBC">
      <w:pPr>
        <w:pStyle w:val="1"/>
      </w:pPr>
      <w:bookmarkStart w:id="58" w:name="_Toc405287340"/>
      <w:bookmarkStart w:id="59" w:name="_Toc405287812"/>
      <w:bookmarkStart w:id="60" w:name="_Toc405499755"/>
      <w:r w:rsidRPr="00DA3BC7">
        <w:lastRenderedPageBreak/>
        <w:t>第三章、緣起之生滅與不生不滅</w:t>
      </w:r>
      <w:bookmarkEnd w:id="58"/>
      <w:bookmarkEnd w:id="59"/>
      <w:bookmarkEnd w:id="60"/>
    </w:p>
    <w:p w:rsidR="00C20628" w:rsidRPr="00DA3BC7" w:rsidRDefault="00C20628" w:rsidP="008E2BBC">
      <w:pPr>
        <w:pStyle w:val="2"/>
      </w:pPr>
      <w:bookmarkStart w:id="61" w:name="_Toc405499756"/>
      <w:r w:rsidRPr="00DA3BC7">
        <w:t>第四節</w:t>
      </w:r>
      <w:r w:rsidRPr="00DA3BC7">
        <w:rPr>
          <w:rFonts w:hint="eastAsia"/>
        </w:rPr>
        <w:t>、緣起之綜貫性</w:t>
      </w:r>
      <w:bookmarkEnd w:id="61"/>
    </w:p>
    <w:p w:rsidR="00C20628" w:rsidRPr="00DA3BC7" w:rsidRDefault="00C20628" w:rsidP="008E2BBC">
      <w:pPr>
        <w:jc w:val="center"/>
        <w:rPr>
          <w:rFonts w:ascii="Times New Roman" w:eastAsia="標楷體" w:hAnsi="Times New Roman"/>
        </w:rPr>
      </w:pPr>
      <w:r w:rsidRPr="00DA3BC7">
        <w:rPr>
          <w:rFonts w:ascii="Times New Roman" w:eastAsia="標楷體" w:hAnsi="Times New Roman"/>
        </w:rPr>
        <w:t>（</w:t>
      </w:r>
      <w:r w:rsidRPr="00DA3BC7">
        <w:rPr>
          <w:rFonts w:ascii="Times New Roman" w:eastAsia="標楷體" w:hAnsi="Times New Roman"/>
        </w:rPr>
        <w:t>pp.37-</w:t>
      </w:r>
      <w:r w:rsidRPr="00DA3BC7">
        <w:rPr>
          <w:rFonts w:ascii="Times New Roman" w:eastAsia="標楷體" w:hAnsi="Times New Roman" w:hint="eastAsia"/>
        </w:rPr>
        <w:t>40</w:t>
      </w:r>
      <w:r w:rsidRPr="00DA3BC7">
        <w:rPr>
          <w:rFonts w:ascii="Times New Roman" w:eastAsia="標楷體" w:hAnsi="Times New Roman"/>
        </w:rPr>
        <w:t>）</w:t>
      </w:r>
    </w:p>
    <w:p w:rsidR="00C20628" w:rsidRPr="00DA3BC7" w:rsidRDefault="00C20628" w:rsidP="008E2BBC">
      <w:pPr>
        <w:pStyle w:val="Author"/>
      </w:pPr>
    </w:p>
    <w:p w:rsidR="002E1B88" w:rsidRDefault="00C20628" w:rsidP="00AE3920">
      <w:pPr>
        <w:spacing w:beforeLines="50"/>
        <w:jc w:val="both"/>
        <w:rPr>
          <w:rFonts w:ascii="Times New Roman" w:hAnsi="Times New Roman"/>
          <w:b/>
          <w:sz w:val="20"/>
          <w:szCs w:val="26"/>
          <w:bdr w:val="single" w:sz="4" w:space="0" w:color="auto"/>
        </w:rPr>
      </w:pPr>
      <w:r w:rsidRPr="00DA3BC7">
        <w:rPr>
          <w:rFonts w:ascii="Times New Roman" w:hAnsi="Times New Roman" w:hint="eastAsia"/>
          <w:b/>
          <w:sz w:val="20"/>
          <w:szCs w:val="26"/>
          <w:bdr w:val="single" w:sz="4" w:space="0" w:color="auto"/>
        </w:rPr>
        <w:t>壹</w:t>
      </w:r>
      <w:r w:rsidRPr="00DA3BC7">
        <w:rPr>
          <w:rFonts w:ascii="Times New Roman" w:hAnsi="Times New Roman"/>
          <w:b/>
          <w:sz w:val="20"/>
          <w:szCs w:val="26"/>
          <w:bdr w:val="single" w:sz="4" w:space="0" w:color="auto"/>
        </w:rPr>
        <w:t>、</w:t>
      </w:r>
      <w:r w:rsidR="002E1B88" w:rsidRPr="002E1B88">
        <w:rPr>
          <w:rFonts w:ascii="Times New Roman" w:hAnsi="Times New Roman"/>
          <w:b/>
          <w:color w:val="FF0000"/>
          <w:sz w:val="20"/>
          <w:szCs w:val="26"/>
          <w:highlight w:val="yellow"/>
          <w:bdr w:val="single" w:sz="4" w:space="0" w:color="auto"/>
        </w:rPr>
        <w:t>《阿含》</w:t>
      </w:r>
      <w:r w:rsidR="002E1B88" w:rsidRPr="002E1B88">
        <w:rPr>
          <w:rFonts w:ascii="Times New Roman" w:hAnsi="Times New Roman" w:hint="eastAsia"/>
          <w:b/>
          <w:color w:val="FF0000"/>
          <w:sz w:val="20"/>
          <w:szCs w:val="26"/>
          <w:highlight w:val="yellow"/>
          <w:bdr w:val="single" w:sz="4" w:space="0" w:color="auto"/>
        </w:rPr>
        <w:t>聖典之教說</w:t>
      </w:r>
      <w:r w:rsidR="002E1B88" w:rsidRPr="00DA3BC7">
        <w:rPr>
          <w:rFonts w:ascii="Times New Roman" w:hAnsi="Times New Roman"/>
          <w:sz w:val="20"/>
          <w:szCs w:val="26"/>
        </w:rPr>
        <w:t>（</w:t>
      </w:r>
      <w:r w:rsidR="002E1B88" w:rsidRPr="00DA3BC7">
        <w:rPr>
          <w:rFonts w:ascii="Times New Roman" w:hAnsi="Times New Roman"/>
          <w:sz w:val="20"/>
          <w:szCs w:val="26"/>
        </w:rPr>
        <w:t>p.37</w:t>
      </w:r>
      <w:r w:rsidR="002E1B88" w:rsidRPr="00DA3BC7">
        <w:rPr>
          <w:rFonts w:ascii="Times New Roman" w:hAnsi="Times New Roman"/>
          <w:sz w:val="20"/>
          <w:szCs w:val="26"/>
        </w:rPr>
        <w:t>）</w:t>
      </w:r>
    </w:p>
    <w:p w:rsidR="001968AB" w:rsidRPr="00DA3BC7" w:rsidRDefault="002E1B88" w:rsidP="00993586">
      <w:pPr>
        <w:ind w:leftChars="50" w:left="120"/>
        <w:jc w:val="both"/>
        <w:rPr>
          <w:rFonts w:ascii="Times New Roman" w:hAnsi="Times New Roman"/>
        </w:rPr>
      </w:pPr>
      <w:r w:rsidRPr="002E1B88">
        <w:rPr>
          <w:rFonts w:ascii="Times New Roman" w:hAnsi="Times New Roman" w:hint="eastAsia"/>
          <w:b/>
          <w:color w:val="FF0000"/>
          <w:sz w:val="20"/>
          <w:szCs w:val="26"/>
          <w:highlight w:val="yellow"/>
          <w:bdr w:val="single" w:sz="4" w:space="0" w:color="auto"/>
        </w:rPr>
        <w:t>（壹）提要</w:t>
      </w:r>
      <w:r w:rsidR="00C20628" w:rsidRPr="00DA3BC7">
        <w:rPr>
          <w:rFonts w:ascii="Times New Roman" w:hAnsi="Times New Roman"/>
          <w:sz w:val="20"/>
          <w:szCs w:val="26"/>
        </w:rPr>
        <w:t>（</w:t>
      </w:r>
      <w:r w:rsidR="00C20628" w:rsidRPr="00DA3BC7">
        <w:rPr>
          <w:rFonts w:ascii="Times New Roman" w:hAnsi="Times New Roman"/>
          <w:sz w:val="20"/>
          <w:szCs w:val="26"/>
        </w:rPr>
        <w:t>p.37</w:t>
      </w:r>
      <w:r w:rsidR="00C20628" w:rsidRPr="00DA3BC7">
        <w:rPr>
          <w:rFonts w:ascii="Times New Roman" w:hAnsi="Times New Roman"/>
          <w:sz w:val="20"/>
          <w:szCs w:val="26"/>
        </w:rPr>
        <w:t>）</w:t>
      </w:r>
    </w:p>
    <w:p w:rsidR="001968AB" w:rsidRPr="00DA3BC7" w:rsidRDefault="00C20628" w:rsidP="00993586">
      <w:pPr>
        <w:ind w:leftChars="50" w:left="120"/>
        <w:jc w:val="both"/>
        <w:rPr>
          <w:rFonts w:ascii="Times New Roman" w:hAnsi="Times New Roman"/>
        </w:rPr>
      </w:pPr>
      <w:r w:rsidRPr="00DA3BC7">
        <w:rPr>
          <w:rFonts w:hint="eastAsia"/>
        </w:rPr>
        <w:t>聲</w:t>
      </w:r>
      <w:r w:rsidRPr="00DA3BC7">
        <w:t>聞常道以</w:t>
      </w:r>
      <w:r w:rsidRPr="00FB7ED7">
        <w:rPr>
          <w:b/>
          <w:u w:val="wave" w:color="C00000"/>
        </w:rPr>
        <w:t>緣起生滅</w:t>
      </w:r>
      <w:r w:rsidRPr="00DA3BC7">
        <w:t>為元首，大乘深義以</w:t>
      </w:r>
      <w:r w:rsidRPr="00FB7ED7">
        <w:rPr>
          <w:b/>
          <w:u w:val="wave" w:color="C00000"/>
        </w:rPr>
        <w:t>無生真諦</w:t>
      </w:r>
      <w:r w:rsidRPr="00DA3BC7">
        <w:t>為第一，這多少是近於大乘的解說。</w:t>
      </w:r>
    </w:p>
    <w:p w:rsidR="001968AB" w:rsidRPr="00DA3BC7" w:rsidRDefault="00C20628" w:rsidP="00AE3920">
      <w:pPr>
        <w:spacing w:beforeLines="20"/>
        <w:ind w:leftChars="50" w:left="120"/>
        <w:jc w:val="both"/>
        <w:rPr>
          <w:rFonts w:ascii="Times New Roman" w:hAnsi="Times New Roman"/>
        </w:rPr>
      </w:pPr>
      <w:r w:rsidRPr="00DA3BC7">
        <w:t>如從《阿含</w:t>
      </w:r>
      <w:r w:rsidRPr="00DA3BC7">
        <w:rPr>
          <w:rFonts w:hint="eastAsia"/>
        </w:rPr>
        <w:t>經</w:t>
      </w:r>
      <w:r w:rsidRPr="00DA3BC7">
        <w:t>》為佛法</w:t>
      </w:r>
      <w:r w:rsidRPr="00DA3BC7">
        <w:rPr>
          <w:rFonts w:hint="eastAsia"/>
        </w:rPr>
        <w:t>根</w:t>
      </w:r>
      <w:r w:rsidR="00FB7ED7">
        <w:t>原，以龍樹中道去理解，那麼緣起是處中說法，依此而明</w:t>
      </w:r>
      <w:r w:rsidR="00FB7ED7" w:rsidRPr="00FB7ED7">
        <w:rPr>
          <w:b/>
          <w:u w:val="wave" w:color="C00000"/>
        </w:rPr>
        <w:t>生滅</w:t>
      </w:r>
      <w:r w:rsidR="00FB7ED7">
        <w:t>，也依此而明</w:t>
      </w:r>
      <w:r w:rsidR="00FB7ED7" w:rsidRPr="00FB7ED7">
        <w:rPr>
          <w:b/>
          <w:u w:val="wave" w:color="C00000"/>
        </w:rPr>
        <w:t>不生滅</w:t>
      </w:r>
      <w:r w:rsidRPr="00DA3BC7">
        <w:rPr>
          <w:rFonts w:hint="eastAsia"/>
        </w:rPr>
        <w:t>。</w:t>
      </w:r>
      <w:r w:rsidRPr="00DA3BC7">
        <w:t>緣起為本的佛法，是綜貫</w:t>
      </w:r>
      <w:r w:rsidRPr="00FB7ED7">
        <w:rPr>
          <w:b/>
          <w:u w:val="wave" w:color="C00000"/>
        </w:rPr>
        <w:t>生滅</w:t>
      </w:r>
      <w:r w:rsidR="00FB7ED7">
        <w:t>與</w:t>
      </w:r>
      <w:r w:rsidR="00FB7ED7" w:rsidRPr="00FB7ED7">
        <w:rPr>
          <w:b/>
          <w:u w:val="wave" w:color="C00000"/>
        </w:rPr>
        <w:t>不生滅</w:t>
      </w:r>
      <w:r w:rsidRPr="00DA3BC7">
        <w:t>的。</w:t>
      </w:r>
      <w:r w:rsidRPr="00DA3BC7">
        <w:rPr>
          <w:rStyle w:val="a6"/>
          <w:rFonts w:ascii="Times New Roman" w:hAnsi="Times New Roman"/>
        </w:rPr>
        <w:footnoteReference w:id="238"/>
      </w:r>
    </w:p>
    <w:p w:rsidR="002E1B88" w:rsidRPr="00DA3BC7" w:rsidRDefault="002E1B88" w:rsidP="00AE3920">
      <w:pPr>
        <w:spacing w:beforeLines="30"/>
        <w:ind w:leftChars="50" w:left="120"/>
        <w:jc w:val="both"/>
      </w:pPr>
      <w:r w:rsidRPr="002E1B88">
        <w:rPr>
          <w:rFonts w:ascii="Times New Roman" w:hAnsi="Times New Roman" w:hint="eastAsia"/>
          <w:b/>
          <w:color w:val="FF0000"/>
          <w:sz w:val="20"/>
          <w:szCs w:val="26"/>
          <w:highlight w:val="yellow"/>
          <w:bdr w:val="single" w:sz="4" w:space="0" w:color="auto"/>
        </w:rPr>
        <w:t>（</w:t>
      </w:r>
      <w:r w:rsidR="00C20628" w:rsidRPr="002E1B88">
        <w:rPr>
          <w:rFonts w:ascii="Times New Roman" w:hAnsi="Times New Roman" w:hint="eastAsia"/>
          <w:b/>
          <w:color w:val="FF0000"/>
          <w:sz w:val="20"/>
          <w:szCs w:val="26"/>
          <w:highlight w:val="yellow"/>
          <w:bdr w:val="single" w:sz="4" w:space="0" w:color="auto"/>
        </w:rPr>
        <w:t>貳</w:t>
      </w:r>
      <w:r w:rsidRPr="002E1B88">
        <w:rPr>
          <w:rFonts w:ascii="Times New Roman" w:hAnsi="Times New Roman" w:hint="eastAsia"/>
          <w:b/>
          <w:color w:val="FF0000"/>
          <w:sz w:val="20"/>
          <w:szCs w:val="26"/>
          <w:highlight w:val="yellow"/>
          <w:bdr w:val="single" w:sz="4" w:space="0" w:color="auto"/>
        </w:rPr>
        <w:t>）</w:t>
      </w:r>
      <w:r w:rsidR="00C20628" w:rsidRPr="002E1B88">
        <w:rPr>
          <w:rFonts w:ascii="Times New Roman" w:hAnsi="Times New Roman" w:hint="eastAsia"/>
          <w:b/>
          <w:color w:val="FF0000"/>
          <w:sz w:val="20"/>
          <w:szCs w:val="26"/>
          <w:highlight w:val="yellow"/>
          <w:bdr w:val="single" w:sz="4" w:space="0" w:color="auto"/>
        </w:rPr>
        <w:t>引證</w:t>
      </w:r>
      <w:r w:rsidR="00C20628" w:rsidRPr="00DA3BC7">
        <w:rPr>
          <w:rFonts w:ascii="Times New Roman" w:hAnsi="Times New Roman"/>
          <w:sz w:val="20"/>
          <w:szCs w:val="20"/>
        </w:rPr>
        <w:t>（</w:t>
      </w:r>
      <w:r w:rsidR="00C20628" w:rsidRPr="00DA3BC7">
        <w:rPr>
          <w:rFonts w:ascii="Times New Roman" w:hAnsi="Times New Roman"/>
          <w:sz w:val="20"/>
          <w:szCs w:val="20"/>
        </w:rPr>
        <w:t>pp.37-38</w:t>
      </w:r>
      <w:r w:rsidR="00C20628" w:rsidRPr="00DA3BC7">
        <w:rPr>
          <w:rFonts w:ascii="Times New Roman" w:hAnsi="Times New Roman"/>
          <w:sz w:val="20"/>
          <w:szCs w:val="20"/>
        </w:rPr>
        <w:t>）</w:t>
      </w:r>
    </w:p>
    <w:p w:rsidR="00C20628" w:rsidRPr="00DA3BC7" w:rsidRDefault="002E1B88" w:rsidP="002E1B88">
      <w:pPr>
        <w:ind w:leftChars="50" w:left="120"/>
        <w:jc w:val="both"/>
        <w:rPr>
          <w:rFonts w:ascii="Times New Roman" w:hAnsi="Times New Roman"/>
          <w:b/>
          <w:sz w:val="20"/>
          <w:szCs w:val="26"/>
          <w:bdr w:val="single" w:sz="4" w:space="0" w:color="auto"/>
        </w:rPr>
      </w:pPr>
      <w:r w:rsidRPr="00DA3BC7">
        <w:rPr>
          <w:rFonts w:hint="eastAsia"/>
        </w:rPr>
        <w:t>所以，這裡再引經來說明。</w:t>
      </w:r>
    </w:p>
    <w:p w:rsidR="00C20628" w:rsidRPr="00DA3BC7" w:rsidRDefault="002E1B88" w:rsidP="00993586">
      <w:pPr>
        <w:ind w:leftChars="100" w:left="240"/>
        <w:jc w:val="both"/>
        <w:rPr>
          <w:rFonts w:ascii="Times New Roman" w:hAnsi="Times New Roman"/>
          <w:b/>
        </w:rPr>
      </w:pPr>
      <w:r w:rsidRPr="002E1B88">
        <w:rPr>
          <w:rFonts w:ascii="Times New Roman" w:hAnsi="Times New Roman" w:hint="eastAsia"/>
          <w:b/>
          <w:color w:val="FF0000"/>
          <w:sz w:val="20"/>
          <w:szCs w:val="26"/>
          <w:highlight w:val="yellow"/>
          <w:bdr w:val="single" w:sz="4" w:space="0" w:color="auto"/>
        </w:rPr>
        <w:t>一</w:t>
      </w:r>
      <w:r w:rsidRPr="002E1B88">
        <w:rPr>
          <w:rFonts w:ascii="Times New Roman" w:hAnsi="Times New Roman"/>
          <w:b/>
          <w:color w:val="FF0000"/>
          <w:sz w:val="20"/>
          <w:szCs w:val="26"/>
          <w:highlight w:val="yellow"/>
          <w:bdr w:val="single" w:sz="4" w:space="0" w:color="auto"/>
        </w:rPr>
        <w:t>、《雜阿含</w:t>
      </w:r>
      <w:r w:rsidRPr="002E1B88">
        <w:rPr>
          <w:rFonts w:ascii="Times New Roman" w:hAnsi="Times New Roman" w:hint="eastAsia"/>
          <w:b/>
          <w:color w:val="FF0000"/>
          <w:sz w:val="20"/>
          <w:szCs w:val="26"/>
          <w:highlight w:val="yellow"/>
          <w:bdr w:val="single" w:sz="4" w:space="0" w:color="auto"/>
        </w:rPr>
        <w:t>經</w:t>
      </w:r>
      <w:r w:rsidRPr="002E1B88">
        <w:rPr>
          <w:rFonts w:ascii="Times New Roman" w:hAnsi="Times New Roman"/>
          <w:b/>
          <w:color w:val="FF0000"/>
          <w:sz w:val="20"/>
          <w:szCs w:val="26"/>
          <w:highlight w:val="yellow"/>
          <w:bdr w:val="single" w:sz="4" w:space="0" w:color="auto"/>
        </w:rPr>
        <w:t>》</w:t>
      </w:r>
      <w:r w:rsidRPr="002E1B88">
        <w:rPr>
          <w:rFonts w:ascii="Times New Roman" w:hAnsi="Times New Roman"/>
          <w:b/>
          <w:color w:val="FF0000"/>
          <w:sz w:val="20"/>
          <w:szCs w:val="26"/>
          <w:highlight w:val="yellow"/>
          <w:bdr w:val="single" w:sz="4" w:space="0" w:color="auto"/>
        </w:rPr>
        <w:t>293</w:t>
      </w:r>
      <w:r w:rsidRPr="002E1B88">
        <w:rPr>
          <w:rFonts w:ascii="Times New Roman" w:hAnsi="Times New Roman"/>
          <w:b/>
          <w:color w:val="FF0000"/>
          <w:sz w:val="20"/>
          <w:szCs w:val="26"/>
          <w:highlight w:val="yellow"/>
          <w:bdr w:val="single" w:sz="4" w:space="0" w:color="auto"/>
        </w:rPr>
        <w:t>經</w:t>
      </w:r>
      <w:r w:rsidRPr="002E1B88">
        <w:rPr>
          <w:rFonts w:ascii="Times New Roman" w:hAnsi="Times New Roman" w:hint="eastAsia"/>
          <w:b/>
          <w:color w:val="FF0000"/>
          <w:sz w:val="20"/>
          <w:szCs w:val="26"/>
          <w:highlight w:val="yellow"/>
          <w:bdr w:val="single" w:sz="4" w:space="0" w:color="auto"/>
        </w:rPr>
        <w:t>之</w:t>
      </w:r>
      <w:r w:rsidR="00C20628" w:rsidRPr="00DA3BC7">
        <w:rPr>
          <w:rFonts w:ascii="Times New Roman" w:hAnsi="Times New Roman"/>
          <w:b/>
          <w:sz w:val="20"/>
          <w:szCs w:val="26"/>
          <w:bdr w:val="single" w:sz="4" w:space="0" w:color="auto"/>
        </w:rPr>
        <w:t>「緣起」與「涅槃」</w:t>
      </w:r>
      <w:r w:rsidR="00C20628" w:rsidRPr="00DA3BC7">
        <w:rPr>
          <w:rFonts w:ascii="Times New Roman" w:hAnsi="Times New Roman"/>
          <w:sz w:val="20"/>
          <w:szCs w:val="20"/>
        </w:rPr>
        <w:t>（</w:t>
      </w:r>
      <w:r w:rsidR="00C20628" w:rsidRPr="00DA3BC7">
        <w:rPr>
          <w:rFonts w:ascii="Times New Roman" w:hAnsi="Times New Roman"/>
          <w:sz w:val="20"/>
          <w:szCs w:val="20"/>
        </w:rPr>
        <w:t>pp.37-38</w:t>
      </w:r>
      <w:r w:rsidR="00C20628" w:rsidRPr="00DA3BC7">
        <w:rPr>
          <w:rFonts w:ascii="Times New Roman" w:hAnsi="Times New Roman"/>
          <w:sz w:val="20"/>
          <w:szCs w:val="20"/>
        </w:rPr>
        <w:t>）</w:t>
      </w:r>
    </w:p>
    <w:p w:rsidR="001968AB" w:rsidRPr="00DA3BC7" w:rsidRDefault="00C20628" w:rsidP="00993586">
      <w:pPr>
        <w:ind w:leftChars="100" w:left="240"/>
        <w:jc w:val="both"/>
        <w:rPr>
          <w:rFonts w:ascii="Times New Roman" w:hAnsi="Times New Roman"/>
        </w:rPr>
      </w:pPr>
      <w:r w:rsidRPr="00DA3BC7">
        <w:t>《雜阿含</w:t>
      </w:r>
      <w:r w:rsidRPr="00DA3BC7">
        <w:rPr>
          <w:rFonts w:hint="eastAsia"/>
        </w:rPr>
        <w:t>經</w:t>
      </w:r>
      <w:r w:rsidRPr="00DA3BC7">
        <w:t>》</w:t>
      </w:r>
      <w:r w:rsidRPr="00DA3BC7">
        <w:rPr>
          <w:rFonts w:ascii="Times New Roman" w:hAnsi="Times New Roman"/>
        </w:rPr>
        <w:t>293</w:t>
      </w:r>
      <w:r w:rsidRPr="00DA3BC7">
        <w:t>經，以緣起與涅槃對論，而說都是甚深的：「</w:t>
      </w:r>
      <w:r w:rsidRPr="00DA3BC7">
        <w:rPr>
          <w:rFonts w:ascii="標楷體" w:eastAsia="標楷體" w:hAnsi="標楷體"/>
        </w:rPr>
        <w:t>此甚深處，所謂緣起。倍復甚深難見，所謂一切取離</w:t>
      </w:r>
      <w:r w:rsidRPr="00DA3BC7">
        <w:rPr>
          <w:rFonts w:ascii="標楷體" w:eastAsia="標楷體" w:hAnsi="標楷體" w:hint="eastAsia"/>
        </w:rPr>
        <w:t>、</w:t>
      </w:r>
      <w:r w:rsidRPr="00DA3BC7">
        <w:rPr>
          <w:rFonts w:ascii="標楷體" w:eastAsia="標楷體" w:hAnsi="標楷體"/>
        </w:rPr>
        <w:t>愛盡</w:t>
      </w:r>
      <w:r w:rsidRPr="00DA3BC7">
        <w:rPr>
          <w:rFonts w:ascii="標楷體" w:eastAsia="標楷體" w:hAnsi="標楷體" w:hint="eastAsia"/>
        </w:rPr>
        <w:t>、</w:t>
      </w:r>
      <w:r w:rsidRPr="00DA3BC7">
        <w:rPr>
          <w:rFonts w:ascii="標楷體" w:eastAsia="標楷體" w:hAnsi="標楷體"/>
        </w:rPr>
        <w:t>無欲</w:t>
      </w:r>
      <w:r w:rsidRPr="00DA3BC7">
        <w:rPr>
          <w:rFonts w:ascii="標楷體" w:eastAsia="標楷體" w:hAnsi="標楷體" w:hint="eastAsia"/>
        </w:rPr>
        <w:t>、</w:t>
      </w:r>
      <w:r w:rsidRPr="00DA3BC7">
        <w:rPr>
          <w:rFonts w:ascii="標楷體" w:eastAsia="標楷體" w:hAnsi="標楷體"/>
        </w:rPr>
        <w:t>寂滅</w:t>
      </w:r>
      <w:r w:rsidRPr="00DA3BC7">
        <w:rPr>
          <w:rFonts w:ascii="標楷體" w:eastAsia="標楷體" w:hAnsi="標楷體" w:hint="eastAsia"/>
        </w:rPr>
        <w:t>、</w:t>
      </w:r>
      <w:r w:rsidRPr="00DA3BC7">
        <w:rPr>
          <w:rFonts w:ascii="標楷體" w:eastAsia="標楷體" w:hAnsi="標楷體"/>
        </w:rPr>
        <w:t>涅槃。如此二法，謂有為</w:t>
      </w:r>
      <w:r w:rsidRPr="00DA3BC7">
        <w:rPr>
          <w:rFonts w:ascii="標楷體" w:eastAsia="標楷體" w:hAnsi="標楷體" w:hint="eastAsia"/>
        </w:rPr>
        <w:t>、</w:t>
      </w:r>
      <w:r w:rsidRPr="00DA3BC7">
        <w:rPr>
          <w:rFonts w:ascii="標楷體" w:eastAsia="標楷體" w:hAnsi="標楷體"/>
        </w:rPr>
        <w:t>無為。有為者，若生、若住、若異、若滅。無為者，不生、不住、不異、不滅</w:t>
      </w:r>
      <w:r w:rsidRPr="00DA3BC7">
        <w:t>。」</w:t>
      </w:r>
      <w:r w:rsidRPr="00DA3BC7">
        <w:rPr>
          <w:rStyle w:val="a6"/>
          <w:rFonts w:ascii="Times New Roman" w:hAnsi="Times New Roman"/>
        </w:rPr>
        <w:footnoteReference w:id="239"/>
      </w:r>
      <w:r w:rsidRPr="00DA3BC7">
        <w:t>這說明在有為的緣起以外，還有更甚深難見的，即離一切戲論的涅槃寂滅</w:t>
      </w:r>
      <w:r w:rsidRPr="00FC4981">
        <w:rPr>
          <w:rFonts w:ascii="新細明體" w:hAnsi="新細明體"/>
        </w:rPr>
        <w:t>──</w:t>
      </w:r>
      <w:r w:rsidRPr="00DA3BC7">
        <w:t>無為。</w:t>
      </w:r>
    </w:p>
    <w:p w:rsidR="00C20628" w:rsidRPr="00DA3BC7" w:rsidRDefault="002E1B88" w:rsidP="00AE3920">
      <w:pPr>
        <w:spacing w:beforeLines="30"/>
        <w:ind w:leftChars="100" w:left="240"/>
        <w:jc w:val="both"/>
        <w:rPr>
          <w:rFonts w:ascii="Times New Roman" w:hAnsi="Times New Roman"/>
          <w:b/>
          <w:sz w:val="20"/>
          <w:szCs w:val="26"/>
        </w:rPr>
      </w:pPr>
      <w:r w:rsidRPr="002E1B88">
        <w:rPr>
          <w:rFonts w:ascii="Times New Roman" w:hAnsi="Times New Roman" w:hint="eastAsia"/>
          <w:b/>
          <w:color w:val="FF0000"/>
          <w:sz w:val="20"/>
          <w:szCs w:val="26"/>
          <w:highlight w:val="yellow"/>
          <w:bdr w:val="single" w:sz="4" w:space="0" w:color="auto"/>
        </w:rPr>
        <w:t>二</w:t>
      </w:r>
      <w:r w:rsidRPr="002E1B88">
        <w:rPr>
          <w:rFonts w:ascii="Times New Roman" w:hAnsi="Times New Roman"/>
          <w:b/>
          <w:color w:val="FF0000"/>
          <w:sz w:val="20"/>
          <w:szCs w:val="26"/>
          <w:highlight w:val="yellow"/>
          <w:bdr w:val="single" w:sz="4" w:space="0" w:color="auto"/>
        </w:rPr>
        <w:t>、《雜阿含</w:t>
      </w:r>
      <w:r w:rsidRPr="002E1B88">
        <w:rPr>
          <w:rFonts w:ascii="Times New Roman" w:hAnsi="Times New Roman" w:hint="eastAsia"/>
          <w:b/>
          <w:color w:val="FF0000"/>
          <w:sz w:val="20"/>
          <w:szCs w:val="26"/>
          <w:highlight w:val="yellow"/>
          <w:bdr w:val="single" w:sz="4" w:space="0" w:color="auto"/>
        </w:rPr>
        <w:t>經</w:t>
      </w:r>
      <w:r w:rsidRPr="002E1B88">
        <w:rPr>
          <w:rFonts w:ascii="Times New Roman" w:hAnsi="Times New Roman"/>
          <w:b/>
          <w:color w:val="FF0000"/>
          <w:sz w:val="20"/>
          <w:szCs w:val="26"/>
          <w:highlight w:val="yellow"/>
          <w:bdr w:val="single" w:sz="4" w:space="0" w:color="auto"/>
        </w:rPr>
        <w:t>》</w:t>
      </w:r>
      <w:r w:rsidRPr="002E1B88">
        <w:rPr>
          <w:rFonts w:ascii="Times New Roman" w:hAnsi="Times New Roman"/>
          <w:b/>
          <w:color w:val="FF0000"/>
          <w:sz w:val="20"/>
          <w:szCs w:val="26"/>
          <w:highlight w:val="yellow"/>
          <w:bdr w:val="single" w:sz="4" w:space="0" w:color="auto"/>
        </w:rPr>
        <w:t>29</w:t>
      </w:r>
      <w:r>
        <w:rPr>
          <w:rFonts w:ascii="Times New Roman" w:hAnsi="Times New Roman" w:hint="eastAsia"/>
          <w:b/>
          <w:color w:val="FF0000"/>
          <w:sz w:val="20"/>
          <w:szCs w:val="26"/>
          <w:highlight w:val="yellow"/>
          <w:bdr w:val="single" w:sz="4" w:space="0" w:color="auto"/>
        </w:rPr>
        <w:t>6</w:t>
      </w:r>
      <w:r w:rsidRPr="002E1B88">
        <w:rPr>
          <w:rFonts w:ascii="Times New Roman" w:hAnsi="Times New Roman"/>
          <w:b/>
          <w:color w:val="FF0000"/>
          <w:sz w:val="20"/>
          <w:szCs w:val="26"/>
          <w:highlight w:val="yellow"/>
          <w:bdr w:val="single" w:sz="4" w:space="0" w:color="auto"/>
        </w:rPr>
        <w:t>經</w:t>
      </w:r>
      <w:r w:rsidRPr="002E1B88">
        <w:rPr>
          <w:rFonts w:ascii="Times New Roman" w:hAnsi="Times New Roman" w:hint="eastAsia"/>
          <w:b/>
          <w:color w:val="FF0000"/>
          <w:sz w:val="20"/>
          <w:szCs w:val="26"/>
          <w:highlight w:val="yellow"/>
          <w:bdr w:val="single" w:sz="4" w:space="0" w:color="auto"/>
        </w:rPr>
        <w:t>之</w:t>
      </w:r>
      <w:r w:rsidR="00C20628" w:rsidRPr="00DA3BC7">
        <w:rPr>
          <w:rFonts w:ascii="Times New Roman" w:hAnsi="Times New Roman"/>
          <w:b/>
          <w:sz w:val="20"/>
          <w:szCs w:val="26"/>
          <w:bdr w:val="single" w:sz="4" w:space="0" w:color="auto"/>
        </w:rPr>
        <w:t>「緣起」與「緣生」</w:t>
      </w:r>
      <w:r w:rsidR="00C20628" w:rsidRPr="00DA3BC7">
        <w:rPr>
          <w:rFonts w:ascii="Times New Roman" w:hAnsi="Times New Roman"/>
          <w:sz w:val="20"/>
          <w:szCs w:val="20"/>
        </w:rPr>
        <w:t>（</w:t>
      </w:r>
      <w:r w:rsidR="00C20628" w:rsidRPr="00DA3BC7">
        <w:rPr>
          <w:rFonts w:ascii="Times New Roman" w:hAnsi="Times New Roman"/>
          <w:sz w:val="20"/>
          <w:szCs w:val="20"/>
        </w:rPr>
        <w:t>p.38</w:t>
      </w:r>
      <w:r w:rsidR="00C20628" w:rsidRPr="00DA3BC7">
        <w:rPr>
          <w:rFonts w:ascii="Times New Roman" w:hAnsi="Times New Roman"/>
          <w:sz w:val="20"/>
          <w:szCs w:val="20"/>
        </w:rPr>
        <w:t>）</w:t>
      </w:r>
    </w:p>
    <w:p w:rsidR="002E1B88" w:rsidRDefault="00C20628" w:rsidP="008E2BBC">
      <w:pPr>
        <w:ind w:leftChars="100" w:left="240"/>
        <w:jc w:val="both"/>
        <w:rPr>
          <w:rFonts w:ascii="Times New Roman" w:hAnsi="Times New Roman"/>
        </w:rPr>
      </w:pPr>
      <w:r w:rsidRPr="00DA3BC7">
        <w:rPr>
          <w:rFonts w:ascii="Times New Roman" w:hAnsi="Times New Roman" w:hint="eastAsia"/>
        </w:rPr>
        <w:t>又</w:t>
      </w:r>
      <w:r w:rsidRPr="00DA3BC7">
        <w:rPr>
          <w:rFonts w:ascii="Times New Roman" w:hAnsi="Times New Roman"/>
        </w:rPr>
        <w:t>《雜阿含</w:t>
      </w:r>
      <w:r w:rsidRPr="00DA3BC7">
        <w:rPr>
          <w:rFonts w:ascii="Times New Roman" w:hAnsi="Times New Roman" w:hint="eastAsia"/>
        </w:rPr>
        <w:t>經</w:t>
      </w:r>
      <w:r w:rsidRPr="00DA3BC7">
        <w:rPr>
          <w:rFonts w:ascii="Times New Roman" w:hAnsi="Times New Roman"/>
        </w:rPr>
        <w:t>》</w:t>
      </w:r>
      <w:r w:rsidRPr="00DA3BC7">
        <w:rPr>
          <w:rFonts w:ascii="Times New Roman" w:hAnsi="Times New Roman" w:hint="eastAsia"/>
        </w:rPr>
        <w:t>296</w:t>
      </w:r>
      <w:r w:rsidRPr="00DA3BC7">
        <w:rPr>
          <w:rFonts w:ascii="Times New Roman" w:hAnsi="Times New Roman"/>
        </w:rPr>
        <w:t>經，說緣起與緣生。</w:t>
      </w:r>
      <w:r w:rsidR="002E1B88" w:rsidRPr="002E1B88">
        <w:rPr>
          <w:rStyle w:val="a6"/>
          <w:rFonts w:ascii="Times New Roman" w:hAnsi="Times New Roman"/>
          <w:highlight w:val="yellow"/>
        </w:rPr>
        <w:footnoteReference w:id="240"/>
      </w:r>
      <w:r w:rsidRPr="00FB7ED7">
        <w:rPr>
          <w:rFonts w:ascii="Times New Roman" w:hAnsi="Times New Roman"/>
          <w:b/>
          <w:u w:val="wave" w:color="C00000"/>
        </w:rPr>
        <w:t>緣起</w:t>
      </w:r>
      <w:r w:rsidRPr="00FB7ED7">
        <w:rPr>
          <w:rFonts w:ascii="Times New Roman" w:hAnsi="Times New Roman" w:hint="eastAsia"/>
          <w:shd w:val="pct15" w:color="auto" w:fill="FFFFFF"/>
        </w:rPr>
        <w:t>（</w:t>
      </w:r>
      <w:r w:rsidRPr="00FB7ED7">
        <w:rPr>
          <w:rFonts w:ascii="Times New Roman" w:hAnsi="Times New Roman"/>
          <w:shd w:val="pct15" w:color="auto" w:fill="FFFFFF"/>
        </w:rPr>
        <w:t>pratītya-samutpāda</w:t>
      </w:r>
      <w:r w:rsidRPr="00FB7ED7">
        <w:rPr>
          <w:rFonts w:ascii="Times New Roman" w:hAnsi="Times New Roman" w:hint="eastAsia"/>
          <w:shd w:val="pct15" w:color="auto" w:fill="FFFFFF"/>
        </w:rPr>
        <w:t>）</w:t>
      </w:r>
      <w:r w:rsidRPr="00DA3BC7">
        <w:rPr>
          <w:rFonts w:ascii="Times New Roman" w:hAnsi="Times New Roman"/>
        </w:rPr>
        <w:t>即相</w:t>
      </w:r>
      <w:r w:rsidRPr="00DA3BC7">
        <w:rPr>
          <w:rFonts w:ascii="Times New Roman" w:hAnsi="Times New Roman"/>
        </w:rPr>
        <w:lastRenderedPageBreak/>
        <w:t>依相緣而起的</w:t>
      </w:r>
      <w:r w:rsidRPr="00DA3BC7">
        <w:rPr>
          <w:rFonts w:ascii="新細明體" w:hAnsi="新細明體" w:hint="eastAsia"/>
        </w:rPr>
        <w:t>，原語是</w:t>
      </w:r>
      <w:r w:rsidR="00FB7ED7">
        <w:rPr>
          <w:rFonts w:ascii="新細明體" w:hAnsi="新細明體" w:hint="eastAsia"/>
          <w:color w:val="FF0000"/>
          <w:highlight w:val="yellow"/>
        </w:rPr>
        <w:t>能</w:t>
      </w:r>
      <w:r w:rsidRPr="00DA3BC7">
        <w:rPr>
          <w:rFonts w:ascii="新細明體" w:hAnsi="新細明體" w:hint="eastAsia"/>
        </w:rPr>
        <w:t>動</w:t>
      </w:r>
      <w:r w:rsidR="002E1B88" w:rsidRPr="00FC4981">
        <w:rPr>
          <w:rFonts w:ascii="新細明體" w:hAnsi="新細明體" w:hint="eastAsia"/>
          <w:color w:val="FF0000"/>
          <w:highlight w:val="yellow"/>
        </w:rPr>
        <w:t>名</w:t>
      </w:r>
      <w:r w:rsidRPr="00DA3BC7">
        <w:rPr>
          <w:rFonts w:ascii="新細明體" w:hAnsi="新細明體" w:hint="eastAsia"/>
        </w:rPr>
        <w:t>詞</w:t>
      </w:r>
      <w:r w:rsidRPr="00DA3BC7">
        <w:rPr>
          <w:rFonts w:ascii="Times New Roman" w:hAnsi="Times New Roman"/>
        </w:rPr>
        <w:t>。</w:t>
      </w:r>
      <w:r w:rsidRPr="00FB7ED7">
        <w:rPr>
          <w:rFonts w:ascii="Times New Roman" w:hAnsi="Times New Roman"/>
          <w:b/>
          <w:u w:val="wave" w:color="C00000"/>
        </w:rPr>
        <w:t>緣生</w:t>
      </w:r>
      <w:r w:rsidRPr="00FB7ED7">
        <w:rPr>
          <w:rFonts w:ascii="新細明體" w:hAnsi="新細明體" w:hint="eastAsia"/>
          <w:shd w:val="pct15" w:color="auto" w:fill="FFFFFF"/>
        </w:rPr>
        <w:t>（</w:t>
      </w:r>
      <w:r w:rsidRPr="00FB7ED7">
        <w:rPr>
          <w:rFonts w:ascii="Times New Roman" w:hAnsi="Times New Roman"/>
          <w:shd w:val="pct15" w:color="auto" w:fill="FFFFFF"/>
        </w:rPr>
        <w:t>pratītyasamutpanna</w:t>
      </w:r>
      <w:r w:rsidRPr="00FB7ED7">
        <w:rPr>
          <w:rFonts w:ascii="新細明體" w:hAnsi="新細明體" w:hint="eastAsia"/>
          <w:shd w:val="pct15" w:color="auto" w:fill="FFFFFF"/>
        </w:rPr>
        <w:t>）</w:t>
      </w:r>
      <w:r w:rsidRPr="00DA3BC7">
        <w:rPr>
          <w:rFonts w:ascii="Times New Roman" w:hAnsi="Times New Roman"/>
        </w:rPr>
        <w:t>是被動詞的過去格，即被生而已生的，所以玄奘譯作「緣已生法」。</w:t>
      </w:r>
    </w:p>
    <w:p w:rsidR="002E1B88" w:rsidRDefault="002E1B88" w:rsidP="00AE3920">
      <w:pPr>
        <w:spacing w:beforeLines="30"/>
        <w:jc w:val="both"/>
        <w:rPr>
          <w:rFonts w:ascii="Times New Roman" w:hAnsi="Times New Roman"/>
          <w:b/>
          <w:color w:val="FF0000"/>
          <w:sz w:val="20"/>
          <w:szCs w:val="20"/>
          <w:bdr w:val="single" w:sz="4" w:space="0" w:color="auto"/>
        </w:rPr>
      </w:pPr>
      <w:r w:rsidRPr="002E1B88">
        <w:rPr>
          <w:rFonts w:ascii="Times New Roman" w:hAnsi="Times New Roman" w:hint="eastAsia"/>
          <w:b/>
          <w:color w:val="FF0000"/>
          <w:sz w:val="20"/>
          <w:szCs w:val="20"/>
          <w:highlight w:val="yellow"/>
          <w:bdr w:val="single" w:sz="4" w:space="0" w:color="auto"/>
        </w:rPr>
        <w:t>貳</w:t>
      </w:r>
      <w:r w:rsidR="00C20628" w:rsidRPr="002E1B88">
        <w:rPr>
          <w:rFonts w:ascii="Times New Roman" w:hAnsi="Times New Roman" w:hint="eastAsia"/>
          <w:b/>
          <w:color w:val="FF0000"/>
          <w:sz w:val="20"/>
          <w:szCs w:val="20"/>
          <w:highlight w:val="yellow"/>
          <w:bdr w:val="single" w:sz="4" w:space="0" w:color="auto"/>
        </w:rPr>
        <w:t>、</w:t>
      </w:r>
      <w:r w:rsidRPr="002E1B88">
        <w:rPr>
          <w:rFonts w:ascii="Times New Roman" w:hAnsi="Times New Roman" w:hint="eastAsia"/>
          <w:b/>
          <w:color w:val="FF0000"/>
          <w:sz w:val="20"/>
          <w:szCs w:val="20"/>
          <w:highlight w:val="yellow"/>
          <w:bdr w:val="single" w:sz="4" w:space="0" w:color="auto"/>
        </w:rPr>
        <w:t>部派佛教之異解</w:t>
      </w:r>
      <w:r w:rsidRPr="00DA3BC7">
        <w:rPr>
          <w:rFonts w:ascii="Times New Roman" w:hAnsi="Times New Roman" w:hint="eastAsia"/>
          <w:sz w:val="20"/>
          <w:szCs w:val="20"/>
        </w:rPr>
        <w:t>（</w:t>
      </w:r>
      <w:r w:rsidRPr="00DA3BC7">
        <w:rPr>
          <w:rFonts w:ascii="Times New Roman" w:hAnsi="Times New Roman" w:hint="eastAsia"/>
          <w:sz w:val="20"/>
          <w:szCs w:val="20"/>
        </w:rPr>
        <w:t>p.38</w:t>
      </w:r>
      <w:r w:rsidRPr="00DA3BC7">
        <w:rPr>
          <w:rFonts w:ascii="Times New Roman" w:hAnsi="Times New Roman" w:hint="eastAsia"/>
          <w:sz w:val="20"/>
          <w:szCs w:val="20"/>
        </w:rPr>
        <w:t>）</w:t>
      </w:r>
    </w:p>
    <w:p w:rsidR="002E1B88" w:rsidRDefault="002E1B88" w:rsidP="00993586">
      <w:pPr>
        <w:ind w:leftChars="50" w:left="120"/>
        <w:jc w:val="both"/>
        <w:rPr>
          <w:rFonts w:ascii="Times New Roman" w:hAnsi="Times New Roman"/>
          <w:b/>
          <w:color w:val="FF0000"/>
          <w:sz w:val="20"/>
          <w:szCs w:val="20"/>
          <w:bdr w:val="single" w:sz="4" w:space="0" w:color="auto"/>
        </w:rPr>
      </w:pPr>
      <w:r>
        <w:rPr>
          <w:rFonts w:ascii="Times New Roman" w:hAnsi="Times New Roman" w:hint="eastAsia"/>
          <w:b/>
          <w:color w:val="FF0000"/>
          <w:sz w:val="20"/>
          <w:szCs w:val="20"/>
          <w:highlight w:val="yellow"/>
          <w:bdr w:val="single" w:sz="4" w:space="0" w:color="auto"/>
        </w:rPr>
        <w:t>（壹）承先啟後</w:t>
      </w:r>
      <w:r w:rsidRPr="00DA3BC7">
        <w:rPr>
          <w:rFonts w:ascii="Times New Roman" w:hAnsi="Times New Roman" w:hint="eastAsia"/>
          <w:sz w:val="20"/>
          <w:szCs w:val="20"/>
        </w:rPr>
        <w:t>（</w:t>
      </w:r>
      <w:r w:rsidRPr="00DA3BC7">
        <w:rPr>
          <w:rFonts w:ascii="Times New Roman" w:hAnsi="Times New Roman" w:hint="eastAsia"/>
          <w:sz w:val="20"/>
          <w:szCs w:val="20"/>
        </w:rPr>
        <w:t>p.38</w:t>
      </w:r>
      <w:r w:rsidRPr="00DA3BC7">
        <w:rPr>
          <w:rFonts w:ascii="Times New Roman" w:hAnsi="Times New Roman" w:hint="eastAsia"/>
          <w:sz w:val="20"/>
          <w:szCs w:val="20"/>
        </w:rPr>
        <w:t>）</w:t>
      </w:r>
    </w:p>
    <w:p w:rsidR="002E1B88" w:rsidRDefault="002E1B88" w:rsidP="00993586">
      <w:pPr>
        <w:ind w:leftChars="50" w:left="120"/>
        <w:jc w:val="both"/>
        <w:rPr>
          <w:rFonts w:ascii="Times New Roman" w:hAnsi="Times New Roman"/>
          <w:b/>
          <w:color w:val="FF0000"/>
          <w:sz w:val="20"/>
          <w:szCs w:val="20"/>
          <w:bdr w:val="single" w:sz="4" w:space="0" w:color="auto"/>
        </w:rPr>
      </w:pPr>
      <w:r w:rsidRPr="00DA3BC7">
        <w:rPr>
          <w:rFonts w:ascii="Times New Roman" w:hAnsi="Times New Roman"/>
        </w:rPr>
        <w:t>經文以緣起與緣生對論，而論到內容，卻都是「</w:t>
      </w:r>
      <w:r w:rsidRPr="00FB7ED7">
        <w:rPr>
          <w:rFonts w:ascii="標楷體" w:eastAsia="標楷體" w:hAnsi="標楷體"/>
        </w:rPr>
        <w:t>此有故彼有，此生故彼生</w:t>
      </w:r>
      <w:r w:rsidRPr="00DA3BC7">
        <w:rPr>
          <w:rFonts w:ascii="Times New Roman" w:hAnsi="Times New Roman"/>
        </w:rPr>
        <w:t>」的十二支，成為學派間的難題。</w:t>
      </w:r>
      <w:r w:rsidRPr="00DA3BC7">
        <w:rPr>
          <w:rStyle w:val="a6"/>
          <w:rFonts w:ascii="Times New Roman" w:hAnsi="Times New Roman"/>
        </w:rPr>
        <w:footnoteReference w:id="241"/>
      </w:r>
    </w:p>
    <w:p w:rsidR="002E1B88" w:rsidRDefault="002E1B88" w:rsidP="00AE3920">
      <w:pPr>
        <w:spacing w:beforeLines="30"/>
        <w:ind w:leftChars="50" w:left="120"/>
        <w:jc w:val="both"/>
        <w:rPr>
          <w:rFonts w:ascii="Times New Roman" w:hAnsi="Times New Roman"/>
          <w:b/>
          <w:color w:val="FF0000"/>
          <w:sz w:val="20"/>
          <w:szCs w:val="20"/>
          <w:highlight w:val="yellow"/>
          <w:bdr w:val="single" w:sz="4" w:space="0" w:color="auto"/>
        </w:rPr>
      </w:pPr>
      <w:r>
        <w:rPr>
          <w:rFonts w:ascii="Times New Roman" w:hAnsi="Times New Roman" w:hint="eastAsia"/>
          <w:b/>
          <w:color w:val="FF0000"/>
          <w:sz w:val="20"/>
          <w:szCs w:val="20"/>
          <w:highlight w:val="yellow"/>
          <w:bdr w:val="single" w:sz="4" w:space="0" w:color="auto"/>
        </w:rPr>
        <w:t>（貳）正明學說</w:t>
      </w:r>
      <w:r w:rsidRPr="00DA3BC7">
        <w:rPr>
          <w:rFonts w:ascii="Times New Roman" w:hAnsi="Times New Roman" w:hint="eastAsia"/>
          <w:sz w:val="20"/>
          <w:szCs w:val="20"/>
        </w:rPr>
        <w:t>（</w:t>
      </w:r>
      <w:r w:rsidRPr="00DA3BC7">
        <w:rPr>
          <w:rFonts w:ascii="Times New Roman" w:hAnsi="Times New Roman" w:hint="eastAsia"/>
          <w:sz w:val="20"/>
          <w:szCs w:val="20"/>
        </w:rPr>
        <w:t>p.38</w:t>
      </w:r>
      <w:r w:rsidRPr="00DA3BC7">
        <w:rPr>
          <w:rFonts w:ascii="Times New Roman" w:hAnsi="Times New Roman" w:hint="eastAsia"/>
          <w:sz w:val="20"/>
          <w:szCs w:val="20"/>
        </w:rPr>
        <w:t>）</w:t>
      </w:r>
    </w:p>
    <w:p w:rsidR="00C20628" w:rsidRPr="00DA3BC7" w:rsidRDefault="002E1B88" w:rsidP="002E1B88">
      <w:pPr>
        <w:ind w:leftChars="100" w:left="240"/>
        <w:jc w:val="both"/>
        <w:rPr>
          <w:rFonts w:ascii="Times New Roman" w:hAnsi="Times New Roman"/>
          <w:b/>
        </w:rPr>
      </w:pPr>
      <w:r>
        <w:rPr>
          <w:rFonts w:ascii="Times New Roman" w:hAnsi="Times New Roman" w:hint="eastAsia"/>
          <w:b/>
          <w:color w:val="FF0000"/>
          <w:sz w:val="20"/>
          <w:szCs w:val="20"/>
          <w:highlight w:val="yellow"/>
          <w:bdr w:val="single" w:sz="4" w:space="0" w:color="auto"/>
        </w:rPr>
        <w:t>一、</w:t>
      </w:r>
      <w:r w:rsidRPr="002E1B88">
        <w:rPr>
          <w:rFonts w:ascii="Times New Roman" w:hAnsi="Times New Roman" w:hint="eastAsia"/>
          <w:b/>
          <w:color w:val="FF0000"/>
          <w:sz w:val="20"/>
          <w:szCs w:val="20"/>
          <w:highlight w:val="yellow"/>
          <w:bdr w:val="single" w:sz="4" w:space="0" w:color="auto"/>
        </w:rPr>
        <w:t>有</w:t>
      </w:r>
      <w:r w:rsidR="00C20628" w:rsidRPr="002E1B88">
        <w:rPr>
          <w:rFonts w:ascii="Times New Roman" w:hAnsi="Times New Roman"/>
          <w:b/>
          <w:color w:val="FF0000"/>
          <w:sz w:val="20"/>
          <w:szCs w:val="20"/>
          <w:highlight w:val="yellow"/>
          <w:bdr w:val="single" w:sz="4" w:space="0" w:color="auto"/>
        </w:rPr>
        <w:t>部</w:t>
      </w:r>
      <w:r w:rsidRPr="002E1B88">
        <w:rPr>
          <w:rFonts w:ascii="Times New Roman" w:hAnsi="Times New Roman" w:hint="eastAsia"/>
          <w:b/>
          <w:color w:val="FF0000"/>
          <w:sz w:val="20"/>
          <w:szCs w:val="20"/>
          <w:highlight w:val="yellow"/>
          <w:bdr w:val="single" w:sz="4" w:space="0" w:color="auto"/>
        </w:rPr>
        <w:t>之說</w:t>
      </w:r>
      <w:r w:rsidR="00C20628" w:rsidRPr="00DA3BC7">
        <w:rPr>
          <w:rFonts w:ascii="Times New Roman" w:hAnsi="Times New Roman" w:hint="eastAsia"/>
          <w:sz w:val="20"/>
          <w:szCs w:val="20"/>
        </w:rPr>
        <w:t>（</w:t>
      </w:r>
      <w:r w:rsidR="00C20628" w:rsidRPr="00DA3BC7">
        <w:rPr>
          <w:rFonts w:ascii="Times New Roman" w:hAnsi="Times New Roman" w:hint="eastAsia"/>
          <w:sz w:val="20"/>
          <w:szCs w:val="20"/>
        </w:rPr>
        <w:t>p.38</w:t>
      </w:r>
      <w:r w:rsidR="00C20628" w:rsidRPr="00DA3BC7">
        <w:rPr>
          <w:rFonts w:ascii="Times New Roman" w:hAnsi="Times New Roman" w:hint="eastAsia"/>
          <w:sz w:val="20"/>
          <w:szCs w:val="20"/>
        </w:rPr>
        <w:t>）</w:t>
      </w:r>
    </w:p>
    <w:p w:rsidR="00C20628" w:rsidRPr="00DA3BC7" w:rsidRDefault="00C20628" w:rsidP="008E2BBC">
      <w:pPr>
        <w:ind w:leftChars="100" w:left="240"/>
        <w:jc w:val="both"/>
        <w:rPr>
          <w:rFonts w:ascii="Times New Roman" w:hAnsi="Times New Roman"/>
        </w:rPr>
      </w:pPr>
      <w:r w:rsidRPr="00DA3BC7">
        <w:rPr>
          <w:rFonts w:ascii="Times New Roman" w:hAnsi="Times New Roman"/>
        </w:rPr>
        <w:lastRenderedPageBreak/>
        <w:t>薩婆多部依緣起是主動</w:t>
      </w:r>
      <w:r w:rsidRPr="00DA3BC7">
        <w:rPr>
          <w:rFonts w:ascii="Times New Roman" w:hAnsi="Times New Roman" w:hint="eastAsia"/>
        </w:rPr>
        <w:t>、</w:t>
      </w:r>
      <w:r w:rsidRPr="00DA3BC7">
        <w:rPr>
          <w:rFonts w:ascii="Times New Roman" w:hAnsi="Times New Roman"/>
        </w:rPr>
        <w:t>緣已生是被動的差別，說</w:t>
      </w:r>
      <w:r w:rsidRPr="00DA3BC7">
        <w:rPr>
          <w:rFonts w:ascii="Times New Roman" w:hAnsi="Times New Roman" w:hint="eastAsia"/>
        </w:rPr>
        <w:t>：</w:t>
      </w:r>
      <w:r w:rsidRPr="00DA3BC7">
        <w:rPr>
          <w:rFonts w:ascii="Times New Roman" w:hAnsi="Times New Roman"/>
        </w:rPr>
        <w:t>因名緣起，果名緣生。</w:t>
      </w:r>
      <w:r w:rsidRPr="00DA3BC7">
        <w:rPr>
          <w:rStyle w:val="a6"/>
          <w:rFonts w:ascii="Times New Roman" w:hAnsi="Times New Roman"/>
        </w:rPr>
        <w:footnoteReference w:id="242"/>
      </w:r>
      <w:r w:rsidRPr="00DA3BC7">
        <w:rPr>
          <w:rFonts w:ascii="Times New Roman" w:hAnsi="Times New Roman" w:hint="eastAsia"/>
        </w:rPr>
        <w:t>即從無明緣行，行緣識，乃至生緣老死，凡</w:t>
      </w:r>
      <w:r w:rsidRPr="00DA3BC7">
        <w:rPr>
          <w:rFonts w:ascii="Times New Roman" w:hAnsi="Times New Roman" w:hint="eastAsia"/>
          <w:b/>
        </w:rPr>
        <w:t>為緣能起的因</w:t>
      </w:r>
      <w:r w:rsidRPr="00DA3BC7">
        <w:rPr>
          <w:rFonts w:ascii="Times New Roman" w:hAnsi="Times New Roman" w:hint="eastAsia"/>
        </w:rPr>
        <w:t>說為</w:t>
      </w:r>
      <w:r w:rsidRPr="00DA3BC7">
        <w:rPr>
          <w:rFonts w:ascii="Times New Roman" w:hAnsi="Times New Roman" w:hint="eastAsia"/>
          <w:b/>
        </w:rPr>
        <w:t>緣起</w:t>
      </w:r>
      <w:r w:rsidRPr="00DA3BC7">
        <w:rPr>
          <w:rFonts w:ascii="Times New Roman" w:hAnsi="Times New Roman" w:hint="eastAsia"/>
        </w:rPr>
        <w:t>，</w:t>
      </w:r>
      <w:r w:rsidRPr="00DA3BC7">
        <w:rPr>
          <w:rFonts w:ascii="Times New Roman" w:hAnsi="Times New Roman" w:hint="eastAsia"/>
          <w:b/>
        </w:rPr>
        <w:t>從緣所生的果</w:t>
      </w:r>
      <w:r w:rsidRPr="00DA3BC7">
        <w:rPr>
          <w:rFonts w:ascii="Times New Roman" w:hAnsi="Times New Roman" w:hint="eastAsia"/>
        </w:rPr>
        <w:t>說為</w:t>
      </w:r>
      <w:r w:rsidRPr="00DA3BC7">
        <w:rPr>
          <w:rFonts w:ascii="Times New Roman" w:hAnsi="Times New Roman" w:hint="eastAsia"/>
          <w:b/>
        </w:rPr>
        <w:t>緣生</w:t>
      </w:r>
      <w:r w:rsidRPr="00DA3BC7">
        <w:rPr>
          <w:rFonts w:ascii="Times New Roman" w:hAnsi="Times New Roman" w:hint="eastAsia"/>
        </w:rPr>
        <w:t>。緣起、緣生，解說為能生、所生的因果</w:t>
      </w:r>
      <w:r w:rsidRPr="00DA3BC7">
        <w:rPr>
          <w:rFonts w:ascii="新細明體" w:hAnsi="新細明體" w:hint="eastAsia"/>
        </w:rPr>
        <w:t>。</w:t>
      </w:r>
    </w:p>
    <w:p w:rsidR="00C20628" w:rsidRPr="00DA3BC7" w:rsidRDefault="002E1B88" w:rsidP="00AE3920">
      <w:pPr>
        <w:spacing w:beforeLines="30"/>
        <w:ind w:leftChars="100" w:left="240"/>
        <w:jc w:val="both"/>
        <w:rPr>
          <w:rFonts w:ascii="Times New Roman" w:hAnsi="Times New Roman"/>
        </w:rPr>
      </w:pPr>
      <w:r>
        <w:rPr>
          <w:rFonts w:ascii="Times New Roman" w:hAnsi="Times New Roman" w:hint="eastAsia"/>
          <w:b/>
          <w:sz w:val="20"/>
          <w:szCs w:val="20"/>
          <w:bdr w:val="single" w:sz="4" w:space="0" w:color="auto"/>
        </w:rPr>
        <w:t>二</w:t>
      </w:r>
      <w:r w:rsidR="00C20628" w:rsidRPr="00DA3BC7">
        <w:rPr>
          <w:rFonts w:ascii="Times New Roman" w:hAnsi="Times New Roman" w:hint="eastAsia"/>
          <w:b/>
          <w:sz w:val="20"/>
          <w:szCs w:val="20"/>
          <w:bdr w:val="single" w:sz="4" w:space="0" w:color="auto"/>
        </w:rPr>
        <w:t>、</w:t>
      </w:r>
      <w:r w:rsidR="00C20628" w:rsidRPr="00DA3BC7">
        <w:rPr>
          <w:rFonts w:ascii="Times New Roman" w:hAnsi="Times New Roman"/>
          <w:b/>
          <w:sz w:val="20"/>
          <w:szCs w:val="20"/>
          <w:bdr w:val="single" w:sz="4" w:space="0" w:color="auto"/>
        </w:rPr>
        <w:t>大眾部</w:t>
      </w:r>
      <w:r w:rsidR="00FC4981">
        <w:rPr>
          <w:rFonts w:ascii="Times New Roman" w:hAnsi="Times New Roman" w:hint="eastAsia"/>
          <w:b/>
          <w:color w:val="FF0000"/>
          <w:sz w:val="20"/>
          <w:szCs w:val="20"/>
          <w:highlight w:val="yellow"/>
          <w:bdr w:val="single" w:sz="4" w:space="0" w:color="auto"/>
        </w:rPr>
        <w:t>之說</w:t>
      </w:r>
      <w:r w:rsidR="00C20628" w:rsidRPr="00DA3BC7">
        <w:rPr>
          <w:rFonts w:ascii="Times New Roman" w:hAnsi="Times New Roman" w:hint="eastAsia"/>
          <w:sz w:val="20"/>
          <w:szCs w:val="20"/>
        </w:rPr>
        <w:t>（</w:t>
      </w:r>
      <w:r w:rsidR="00C20628" w:rsidRPr="00DA3BC7">
        <w:rPr>
          <w:rFonts w:ascii="Times New Roman" w:hAnsi="Times New Roman" w:hint="eastAsia"/>
          <w:sz w:val="20"/>
          <w:szCs w:val="20"/>
        </w:rPr>
        <w:t>p.38</w:t>
      </w:r>
      <w:r w:rsidR="00C20628" w:rsidRPr="00DA3BC7">
        <w:rPr>
          <w:rFonts w:ascii="Times New Roman" w:hAnsi="Times New Roman" w:hint="eastAsia"/>
          <w:sz w:val="20"/>
          <w:szCs w:val="20"/>
        </w:rPr>
        <w:t>）</w:t>
      </w:r>
    </w:p>
    <w:p w:rsidR="00C20628" w:rsidRPr="00DA3BC7" w:rsidRDefault="00C20628" w:rsidP="008E2BBC">
      <w:pPr>
        <w:ind w:leftChars="100" w:left="240"/>
        <w:jc w:val="both"/>
        <w:rPr>
          <w:rFonts w:ascii="Times New Roman" w:hAnsi="Times New Roman"/>
        </w:rPr>
      </w:pPr>
      <w:r w:rsidRPr="00DA3BC7">
        <w:rPr>
          <w:rFonts w:ascii="Times New Roman" w:hAnsi="Times New Roman"/>
        </w:rPr>
        <w:t>大眾部留意經中說緣起是「</w:t>
      </w:r>
      <w:r w:rsidRPr="00DA3BC7">
        <w:rPr>
          <w:rFonts w:ascii="標楷體" w:eastAsia="標楷體" w:hAnsi="標楷體"/>
        </w:rPr>
        <w:t>若佛出世，若不出世，法性、法住、法界常住</w:t>
      </w:r>
      <w:r w:rsidRPr="00DA3BC7">
        <w:rPr>
          <w:rFonts w:ascii="Times New Roman" w:hAnsi="Times New Roman"/>
        </w:rPr>
        <w:t>」</w:t>
      </w:r>
      <w:r w:rsidRPr="00DA3BC7">
        <w:rPr>
          <w:rStyle w:val="a6"/>
          <w:rFonts w:ascii="Times New Roman" w:hAnsi="Times New Roman"/>
        </w:rPr>
        <w:footnoteReference w:id="243"/>
      </w:r>
      <w:r w:rsidRPr="00DA3BC7">
        <w:rPr>
          <w:rFonts w:ascii="Times New Roman" w:hAnsi="Times New Roman"/>
        </w:rPr>
        <w:t>的特點，所以說</w:t>
      </w:r>
      <w:r w:rsidRPr="00DA3BC7">
        <w:rPr>
          <w:rFonts w:ascii="Times New Roman" w:hAnsi="Times New Roman" w:hint="eastAsia"/>
        </w:rPr>
        <w:t>：</w:t>
      </w:r>
    </w:p>
    <w:p w:rsidR="001968AB" w:rsidRPr="00DA3BC7" w:rsidRDefault="00C20628" w:rsidP="008E2BBC">
      <w:pPr>
        <w:ind w:leftChars="100" w:left="240"/>
        <w:jc w:val="both"/>
        <w:rPr>
          <w:rFonts w:ascii="Times New Roman" w:hAnsi="Times New Roman"/>
        </w:rPr>
      </w:pPr>
      <w:r w:rsidRPr="00DA3BC7">
        <w:rPr>
          <w:rFonts w:ascii="Times New Roman" w:hAnsi="Times New Roman"/>
        </w:rPr>
        <w:t>各各因果的事實為</w:t>
      </w:r>
      <w:r w:rsidRPr="00DA3BC7">
        <w:rPr>
          <w:rFonts w:ascii="Times New Roman" w:hAnsi="Times New Roman"/>
          <w:b/>
        </w:rPr>
        <w:t>緣生</w:t>
      </w:r>
      <w:r w:rsidRPr="00DA3BC7">
        <w:rPr>
          <w:rFonts w:ascii="Times New Roman" w:hAnsi="Times New Roman"/>
        </w:rPr>
        <w:t>，這是</w:t>
      </w:r>
      <w:r w:rsidRPr="00DA3BC7">
        <w:rPr>
          <w:rFonts w:ascii="Times New Roman" w:hAnsi="Times New Roman"/>
          <w:b/>
        </w:rPr>
        <w:t>個別的</w:t>
      </w:r>
      <w:r w:rsidRPr="00DA3BC7">
        <w:rPr>
          <w:rFonts w:ascii="Times New Roman" w:hAnsi="Times New Roman" w:hint="eastAsia"/>
        </w:rPr>
        <w:t>、</w:t>
      </w:r>
      <w:r w:rsidRPr="00DA3BC7">
        <w:rPr>
          <w:rFonts w:ascii="Times New Roman" w:hAnsi="Times New Roman"/>
          <w:b/>
        </w:rPr>
        <w:t>生滅的</w:t>
      </w:r>
      <w:r w:rsidRPr="00DA3BC7">
        <w:rPr>
          <w:rFonts w:ascii="Times New Roman" w:hAnsi="Times New Roman"/>
        </w:rPr>
        <w:t>。</w:t>
      </w:r>
    </w:p>
    <w:p w:rsidR="001968AB" w:rsidRPr="00DA3BC7" w:rsidRDefault="00C20628" w:rsidP="008E2BBC">
      <w:pPr>
        <w:ind w:leftChars="100" w:left="240"/>
        <w:jc w:val="both"/>
        <w:rPr>
          <w:rFonts w:ascii="Times New Roman" w:hAnsi="Times New Roman"/>
        </w:rPr>
      </w:pPr>
      <w:r w:rsidRPr="00DA3BC7">
        <w:rPr>
          <w:rFonts w:ascii="Times New Roman" w:hAnsi="Times New Roman"/>
        </w:rPr>
        <w:t>因果關係間的必然理性為</w:t>
      </w:r>
      <w:r w:rsidRPr="00DA3BC7">
        <w:rPr>
          <w:rFonts w:ascii="Times New Roman" w:hAnsi="Times New Roman"/>
          <w:b/>
        </w:rPr>
        <w:t>緣起</w:t>
      </w:r>
      <w:r w:rsidRPr="00DA3BC7">
        <w:rPr>
          <w:rFonts w:ascii="Times New Roman" w:hAnsi="Times New Roman"/>
        </w:rPr>
        <w:t>，是</w:t>
      </w:r>
      <w:r w:rsidRPr="00DA3BC7">
        <w:rPr>
          <w:rFonts w:ascii="Times New Roman" w:hAnsi="Times New Roman"/>
          <w:b/>
        </w:rPr>
        <w:t>遍通的</w:t>
      </w:r>
      <w:r w:rsidRPr="00DA3BC7">
        <w:rPr>
          <w:rFonts w:ascii="Times New Roman" w:hAnsi="Times New Roman" w:hint="eastAsia"/>
        </w:rPr>
        <w:t>、</w:t>
      </w:r>
      <w:r w:rsidRPr="00DA3BC7">
        <w:rPr>
          <w:rFonts w:ascii="Times New Roman" w:hAnsi="Times New Roman"/>
          <w:b/>
        </w:rPr>
        <w:t>不生滅的</w:t>
      </w:r>
      <w:r w:rsidRPr="00DA3BC7">
        <w:rPr>
          <w:rFonts w:ascii="Times New Roman" w:hAnsi="Times New Roman"/>
        </w:rPr>
        <w:t>。</w:t>
      </w:r>
      <w:r w:rsidRPr="00DA3BC7">
        <w:rPr>
          <w:rStyle w:val="a6"/>
          <w:rFonts w:ascii="Times New Roman" w:hAnsi="Times New Roman"/>
        </w:rPr>
        <w:footnoteReference w:id="244"/>
      </w:r>
    </w:p>
    <w:p w:rsidR="00C20628" w:rsidRPr="00DA3BC7" w:rsidRDefault="00FC5046" w:rsidP="00AE3920">
      <w:pPr>
        <w:spacing w:beforeLines="30"/>
        <w:jc w:val="both"/>
        <w:rPr>
          <w:rFonts w:ascii="Times New Roman" w:hAnsi="Times New Roman"/>
          <w:sz w:val="20"/>
          <w:szCs w:val="26"/>
        </w:rPr>
      </w:pPr>
      <w:r w:rsidRPr="00DA3BC7">
        <w:rPr>
          <w:rFonts w:ascii="Times New Roman" w:hAnsi="Times New Roman" w:hint="eastAsia"/>
          <w:b/>
          <w:sz w:val="20"/>
          <w:szCs w:val="26"/>
          <w:bdr w:val="single" w:sz="4" w:space="0" w:color="auto"/>
        </w:rPr>
        <w:t>參</w:t>
      </w:r>
      <w:r w:rsidR="00C20628" w:rsidRPr="00DA3BC7">
        <w:rPr>
          <w:rFonts w:ascii="Times New Roman" w:hAnsi="Times New Roman"/>
          <w:b/>
          <w:sz w:val="20"/>
          <w:szCs w:val="26"/>
          <w:bdr w:val="single" w:sz="4" w:space="0" w:color="auto"/>
        </w:rPr>
        <w:t>、</w:t>
      </w:r>
      <w:r w:rsidR="00FC4981" w:rsidRPr="00FC4981">
        <w:rPr>
          <w:rFonts w:ascii="Times New Roman" w:hAnsi="Times New Roman" w:hint="eastAsia"/>
          <w:b/>
          <w:color w:val="FF0000"/>
          <w:sz w:val="20"/>
          <w:szCs w:val="26"/>
          <w:highlight w:val="yellow"/>
          <w:bdr w:val="single" w:sz="4" w:space="0" w:color="auto"/>
        </w:rPr>
        <w:t>聖</w:t>
      </w:r>
      <w:r w:rsidR="00C20628" w:rsidRPr="00FC4981">
        <w:rPr>
          <w:rFonts w:ascii="Times New Roman" w:hAnsi="Times New Roman" w:hint="eastAsia"/>
          <w:b/>
          <w:color w:val="FF0000"/>
          <w:sz w:val="20"/>
          <w:szCs w:val="26"/>
          <w:highlight w:val="yellow"/>
          <w:bdr w:val="single" w:sz="4" w:space="0" w:color="auto"/>
        </w:rPr>
        <w:t>龍樹</w:t>
      </w:r>
      <w:r w:rsidR="00FC4981" w:rsidRPr="00FC4981">
        <w:rPr>
          <w:rFonts w:ascii="Times New Roman" w:hAnsi="Times New Roman" w:hint="eastAsia"/>
          <w:b/>
          <w:color w:val="FF0000"/>
          <w:sz w:val="20"/>
          <w:szCs w:val="26"/>
          <w:highlight w:val="yellow"/>
          <w:bdr w:val="single" w:sz="4" w:space="0" w:color="auto"/>
        </w:rPr>
        <w:t>論</w:t>
      </w:r>
      <w:r w:rsidR="00C20628" w:rsidRPr="00FC4981">
        <w:rPr>
          <w:rFonts w:ascii="Times New Roman" w:hAnsi="Times New Roman" w:hint="eastAsia"/>
          <w:b/>
          <w:color w:val="FF0000"/>
          <w:sz w:val="20"/>
          <w:szCs w:val="26"/>
          <w:highlight w:val="yellow"/>
          <w:bdr w:val="single" w:sz="4" w:space="0" w:color="auto"/>
        </w:rPr>
        <w:t>之</w:t>
      </w:r>
      <w:r w:rsidR="00FC4981" w:rsidRPr="00FC4981">
        <w:rPr>
          <w:rFonts w:ascii="Times New Roman" w:hAnsi="Times New Roman" w:hint="eastAsia"/>
          <w:b/>
          <w:color w:val="FF0000"/>
          <w:sz w:val="20"/>
          <w:szCs w:val="26"/>
          <w:highlight w:val="yellow"/>
          <w:bdr w:val="single" w:sz="4" w:space="0" w:color="auto"/>
        </w:rPr>
        <w:t>闡發</w:t>
      </w:r>
      <w:r w:rsidR="00C20628" w:rsidRPr="00DA3BC7">
        <w:rPr>
          <w:rFonts w:ascii="Times New Roman" w:hAnsi="Times New Roman"/>
          <w:sz w:val="20"/>
          <w:szCs w:val="20"/>
        </w:rPr>
        <w:t>（</w:t>
      </w:r>
      <w:r w:rsidR="00C20628" w:rsidRPr="00DA3BC7">
        <w:rPr>
          <w:rFonts w:ascii="Times New Roman" w:hAnsi="Times New Roman"/>
          <w:sz w:val="20"/>
          <w:szCs w:val="20"/>
        </w:rPr>
        <w:t>pp.38-39</w:t>
      </w:r>
      <w:r w:rsidR="00C20628" w:rsidRPr="00DA3BC7">
        <w:rPr>
          <w:rFonts w:ascii="Times New Roman" w:hAnsi="Times New Roman"/>
          <w:sz w:val="20"/>
          <w:szCs w:val="20"/>
        </w:rPr>
        <w:t>）</w:t>
      </w:r>
    </w:p>
    <w:p w:rsidR="00C20628" w:rsidRPr="00DA3BC7" w:rsidRDefault="00C20628" w:rsidP="008E2BBC">
      <w:pPr>
        <w:ind w:leftChars="50" w:left="120"/>
        <w:jc w:val="both"/>
        <w:rPr>
          <w:rFonts w:ascii="Times New Roman" w:hAnsi="Times New Roman"/>
          <w:b/>
          <w:sz w:val="20"/>
          <w:szCs w:val="20"/>
          <w:bdr w:val="single" w:sz="4" w:space="0" w:color="auto"/>
        </w:rPr>
      </w:pPr>
      <w:r w:rsidRPr="00DA3BC7">
        <w:rPr>
          <w:rFonts w:ascii="Times New Roman" w:hAnsi="Times New Roman" w:hint="eastAsia"/>
          <w:b/>
          <w:sz w:val="20"/>
          <w:szCs w:val="20"/>
          <w:bdr w:val="single" w:sz="4" w:space="0" w:color="auto"/>
        </w:rPr>
        <w:t>（壹）</w:t>
      </w:r>
      <w:r w:rsidR="00FC4981">
        <w:rPr>
          <w:rFonts w:ascii="Times New Roman" w:hAnsi="Times New Roman" w:hint="eastAsia"/>
          <w:b/>
          <w:color w:val="FF0000"/>
          <w:sz w:val="20"/>
          <w:szCs w:val="20"/>
          <w:highlight w:val="yellow"/>
          <w:bdr w:val="single" w:sz="4" w:space="0" w:color="auto"/>
        </w:rPr>
        <w:t>總明</w:t>
      </w:r>
      <w:r w:rsidRPr="00DA3BC7">
        <w:rPr>
          <w:rFonts w:ascii="Times New Roman" w:hAnsi="Times New Roman"/>
          <w:sz w:val="20"/>
          <w:szCs w:val="20"/>
        </w:rPr>
        <w:t>（</w:t>
      </w:r>
      <w:r w:rsidRPr="00DA3BC7">
        <w:rPr>
          <w:rFonts w:ascii="Times New Roman" w:hAnsi="Times New Roman"/>
          <w:sz w:val="20"/>
          <w:szCs w:val="20"/>
        </w:rPr>
        <w:t>p.38</w:t>
      </w:r>
      <w:r w:rsidRPr="00DA3BC7">
        <w:rPr>
          <w:rFonts w:ascii="Times New Roman" w:hAnsi="Times New Roman"/>
          <w:sz w:val="20"/>
          <w:szCs w:val="20"/>
        </w:rPr>
        <w:t>）</w:t>
      </w:r>
    </w:p>
    <w:p w:rsidR="001968AB" w:rsidRPr="00DA3BC7" w:rsidRDefault="00C20628" w:rsidP="008E2BBC">
      <w:pPr>
        <w:ind w:leftChars="50" w:left="120"/>
        <w:jc w:val="both"/>
        <w:rPr>
          <w:rFonts w:ascii="Times New Roman" w:hAnsi="Times New Roman"/>
        </w:rPr>
      </w:pPr>
      <w:r w:rsidRPr="00DA3BC7">
        <w:rPr>
          <w:rFonts w:ascii="Times New Roman" w:hAnsi="Times New Roman" w:hint="eastAsia"/>
        </w:rPr>
        <w:t>今</w:t>
      </w:r>
      <w:r w:rsidRPr="00DA3BC7">
        <w:rPr>
          <w:rFonts w:ascii="Times New Roman" w:hAnsi="Times New Roman"/>
        </w:rPr>
        <w:t>依龍樹開示的《阿含</w:t>
      </w:r>
      <w:r w:rsidRPr="00DA3BC7">
        <w:rPr>
          <w:rFonts w:ascii="Times New Roman" w:hAnsi="Times New Roman" w:hint="eastAsia"/>
        </w:rPr>
        <w:t>經</w:t>
      </w:r>
      <w:r w:rsidRPr="00DA3BC7">
        <w:rPr>
          <w:rFonts w:ascii="Times New Roman" w:hAnsi="Times New Roman"/>
        </w:rPr>
        <w:t>》中道，應該說：</w:t>
      </w:r>
      <w:r w:rsidRPr="00FB7ED7">
        <w:rPr>
          <w:rFonts w:ascii="Times New Roman" w:hAnsi="Times New Roman"/>
          <w:b/>
          <w:u w:val="wave" w:color="C00000"/>
        </w:rPr>
        <w:t>緣起</w:t>
      </w:r>
      <w:r w:rsidRPr="00DA3BC7">
        <w:rPr>
          <w:rFonts w:ascii="Times New Roman" w:hAnsi="Times New Roman"/>
        </w:rPr>
        <w:t>不但是說明</w:t>
      </w:r>
      <w:r w:rsidRPr="00FB7ED7">
        <w:rPr>
          <w:rFonts w:ascii="Times New Roman" w:hAnsi="Times New Roman"/>
          <w:b/>
          <w:u w:val="wave" w:color="C00000"/>
        </w:rPr>
        <w:t>現象事相的根本法則</w:t>
      </w:r>
      <w:r w:rsidRPr="00DA3BC7">
        <w:rPr>
          <w:rFonts w:ascii="Times New Roman" w:hAnsi="Times New Roman"/>
        </w:rPr>
        <w:t>，也是說明</w:t>
      </w:r>
      <w:r w:rsidRPr="00FB7ED7">
        <w:rPr>
          <w:rFonts w:ascii="Times New Roman" w:hAnsi="Times New Roman"/>
          <w:b/>
          <w:u w:val="wave" w:color="C00000"/>
        </w:rPr>
        <w:t>涅槃實相的根本</w:t>
      </w:r>
      <w:r w:rsidRPr="00DA3BC7">
        <w:rPr>
          <w:rFonts w:ascii="Times New Roman" w:hAnsi="Times New Roman"/>
        </w:rPr>
        <w:t>。</w:t>
      </w:r>
    </w:p>
    <w:p w:rsidR="00FC4981" w:rsidRDefault="00FC4981" w:rsidP="00AE3920">
      <w:pPr>
        <w:spacing w:beforeLines="30"/>
        <w:ind w:leftChars="50" w:left="120"/>
        <w:jc w:val="both"/>
        <w:rPr>
          <w:rFonts w:ascii="Times New Roman" w:hAnsi="Times New Roman"/>
          <w:b/>
          <w:color w:val="FF0000"/>
          <w:sz w:val="20"/>
          <w:szCs w:val="20"/>
          <w:bdr w:val="single" w:sz="4" w:space="0" w:color="auto"/>
        </w:rPr>
      </w:pPr>
      <w:r w:rsidRPr="00FC4981">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貳</w:t>
      </w:r>
      <w:r w:rsidRPr="00FC4981">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辨究</w:t>
      </w:r>
      <w:r w:rsidRPr="00DA3BC7">
        <w:rPr>
          <w:rFonts w:ascii="Times New Roman" w:hAnsi="Times New Roman"/>
          <w:sz w:val="20"/>
          <w:szCs w:val="26"/>
        </w:rPr>
        <w:t>（</w:t>
      </w:r>
      <w:r w:rsidRPr="00DA3BC7">
        <w:rPr>
          <w:rFonts w:ascii="Times New Roman" w:hAnsi="Times New Roman"/>
          <w:sz w:val="20"/>
          <w:szCs w:val="26"/>
        </w:rPr>
        <w:t>p</w:t>
      </w:r>
      <w:r w:rsidRPr="00DA3BC7">
        <w:rPr>
          <w:rFonts w:ascii="Times New Roman" w:hAnsi="Times New Roman" w:hint="eastAsia"/>
          <w:sz w:val="20"/>
          <w:szCs w:val="26"/>
        </w:rPr>
        <w:t>p</w:t>
      </w:r>
      <w:r w:rsidRPr="00DA3BC7">
        <w:rPr>
          <w:rFonts w:ascii="Times New Roman" w:hAnsi="Times New Roman"/>
          <w:sz w:val="20"/>
          <w:szCs w:val="26"/>
        </w:rPr>
        <w:t>.38</w:t>
      </w:r>
      <w:r w:rsidRPr="00DA3BC7">
        <w:rPr>
          <w:rFonts w:ascii="Times New Roman" w:hAnsi="Times New Roman" w:hint="eastAsia"/>
          <w:sz w:val="20"/>
          <w:szCs w:val="26"/>
        </w:rPr>
        <w:t>-39</w:t>
      </w:r>
      <w:r w:rsidRPr="00DA3BC7">
        <w:rPr>
          <w:rFonts w:ascii="Times New Roman" w:hAnsi="Times New Roman"/>
          <w:sz w:val="20"/>
          <w:szCs w:val="26"/>
        </w:rPr>
        <w:t>）</w:t>
      </w:r>
    </w:p>
    <w:p w:rsidR="00FC4981" w:rsidRDefault="00FC4981" w:rsidP="00993586">
      <w:pPr>
        <w:ind w:leftChars="100" w:left="240"/>
        <w:jc w:val="both"/>
        <w:rPr>
          <w:rFonts w:ascii="Times New Roman" w:hAnsi="Times New Roman"/>
          <w:sz w:val="20"/>
          <w:szCs w:val="20"/>
        </w:rPr>
      </w:pPr>
      <w:r w:rsidRPr="00FC4981">
        <w:rPr>
          <w:rFonts w:ascii="Times New Roman" w:hAnsi="Times New Roman" w:hint="eastAsia"/>
          <w:b/>
          <w:color w:val="FF0000"/>
          <w:sz w:val="20"/>
          <w:szCs w:val="20"/>
          <w:highlight w:val="yellow"/>
          <w:bdr w:val="single" w:sz="4" w:space="0" w:color="auto"/>
        </w:rPr>
        <w:t>一、釋《阿含》</w:t>
      </w:r>
      <w:r>
        <w:rPr>
          <w:rFonts w:ascii="Times New Roman" w:hAnsi="Times New Roman" w:hint="eastAsia"/>
          <w:b/>
          <w:color w:val="FF0000"/>
          <w:sz w:val="20"/>
          <w:szCs w:val="20"/>
          <w:highlight w:val="yellow"/>
          <w:bdr w:val="single" w:sz="4" w:space="0" w:color="auto"/>
        </w:rPr>
        <w:t>之</w:t>
      </w:r>
      <w:r w:rsidRPr="00FC4981">
        <w:rPr>
          <w:rFonts w:ascii="Times New Roman" w:hAnsi="Times New Roman" w:hint="eastAsia"/>
          <w:b/>
          <w:color w:val="FF0000"/>
          <w:sz w:val="20"/>
          <w:szCs w:val="20"/>
          <w:highlight w:val="yellow"/>
          <w:bdr w:val="single" w:sz="4" w:space="0" w:color="auto"/>
        </w:rPr>
        <w:t>教義</w:t>
      </w:r>
      <w:r w:rsidRPr="00DA3BC7">
        <w:rPr>
          <w:rFonts w:ascii="Times New Roman" w:hAnsi="Times New Roman" w:hint="eastAsia"/>
          <w:sz w:val="20"/>
          <w:szCs w:val="20"/>
        </w:rPr>
        <w:t>（</w:t>
      </w:r>
      <w:r w:rsidRPr="00DA3BC7">
        <w:rPr>
          <w:rFonts w:ascii="Times New Roman" w:hAnsi="Times New Roman" w:hint="eastAsia"/>
          <w:sz w:val="20"/>
          <w:szCs w:val="20"/>
        </w:rPr>
        <w:t>p.38</w:t>
      </w:r>
      <w:r w:rsidRPr="00DA3BC7">
        <w:rPr>
          <w:rFonts w:ascii="Times New Roman" w:hAnsi="Times New Roman" w:hint="eastAsia"/>
          <w:sz w:val="20"/>
          <w:szCs w:val="20"/>
        </w:rPr>
        <w:t>）</w:t>
      </w:r>
    </w:p>
    <w:p w:rsidR="00FC4981" w:rsidRPr="00DA3BC7" w:rsidRDefault="00FC4981" w:rsidP="00993586">
      <w:pPr>
        <w:ind w:leftChars="150" w:left="360"/>
        <w:jc w:val="both"/>
        <w:rPr>
          <w:rFonts w:ascii="Times New Roman" w:hAnsi="Times New Roman"/>
        </w:rPr>
      </w:pPr>
      <w:r w:rsidRPr="00FC4981">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一</w:t>
      </w:r>
      <w:r w:rsidRPr="00FC4981">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略述經要</w:t>
      </w:r>
      <w:r w:rsidRPr="00DA3BC7">
        <w:rPr>
          <w:rFonts w:ascii="Times New Roman" w:hAnsi="Times New Roman"/>
          <w:sz w:val="20"/>
          <w:szCs w:val="26"/>
        </w:rPr>
        <w:t>（</w:t>
      </w:r>
      <w:r w:rsidRPr="00DA3BC7">
        <w:rPr>
          <w:rFonts w:ascii="Times New Roman" w:hAnsi="Times New Roman"/>
          <w:sz w:val="20"/>
          <w:szCs w:val="26"/>
        </w:rPr>
        <w:t>p</w:t>
      </w:r>
      <w:r w:rsidRPr="00DA3BC7">
        <w:rPr>
          <w:rFonts w:ascii="Times New Roman" w:hAnsi="Times New Roman" w:hint="eastAsia"/>
          <w:sz w:val="20"/>
          <w:szCs w:val="26"/>
        </w:rPr>
        <w:t>p</w:t>
      </w:r>
      <w:r w:rsidRPr="00DA3BC7">
        <w:rPr>
          <w:rFonts w:ascii="Times New Roman" w:hAnsi="Times New Roman"/>
          <w:sz w:val="20"/>
          <w:szCs w:val="26"/>
        </w:rPr>
        <w:t>.38</w:t>
      </w:r>
      <w:r w:rsidRPr="00DA3BC7">
        <w:rPr>
          <w:rFonts w:ascii="Times New Roman" w:hAnsi="Times New Roman" w:hint="eastAsia"/>
          <w:sz w:val="20"/>
          <w:szCs w:val="26"/>
        </w:rPr>
        <w:t>-39</w:t>
      </w:r>
      <w:r w:rsidRPr="00DA3BC7">
        <w:rPr>
          <w:rFonts w:ascii="Times New Roman" w:hAnsi="Times New Roman"/>
          <w:sz w:val="20"/>
          <w:szCs w:val="26"/>
        </w:rPr>
        <w:t>）</w:t>
      </w:r>
    </w:p>
    <w:p w:rsidR="00993586" w:rsidRDefault="00C20628" w:rsidP="00993586">
      <w:pPr>
        <w:ind w:leftChars="150" w:left="360"/>
        <w:jc w:val="both"/>
        <w:rPr>
          <w:rFonts w:ascii="Times New Roman" w:hAnsi="Times New Roman"/>
        </w:rPr>
      </w:pPr>
      <w:r w:rsidRPr="00DA3BC7">
        <w:rPr>
          <w:rFonts w:ascii="Times New Roman" w:hAnsi="Times New Roman"/>
        </w:rPr>
        <w:t>有人問佛：所說何法？佛說：「我說緣起。」</w:t>
      </w:r>
    </w:p>
    <w:p w:rsidR="00993586" w:rsidRDefault="00C20628" w:rsidP="00993586">
      <w:pPr>
        <w:ind w:leftChars="150" w:left="360"/>
        <w:jc w:val="both"/>
        <w:rPr>
          <w:rFonts w:ascii="Times New Roman" w:hAnsi="Times New Roman"/>
        </w:rPr>
      </w:pPr>
      <w:r w:rsidRPr="00DA3BC7">
        <w:rPr>
          <w:rFonts w:ascii="Times New Roman" w:hAnsi="Times New Roman"/>
        </w:rPr>
        <w:t>釋迦以「緣起為元首」，</w:t>
      </w:r>
      <w:r w:rsidRPr="00FB7ED7">
        <w:rPr>
          <w:rFonts w:ascii="Times New Roman" w:hAnsi="Times New Roman"/>
          <w:b/>
          <w:u w:val="wave" w:color="C00000"/>
        </w:rPr>
        <w:t>緣起法</w:t>
      </w:r>
      <w:r w:rsidRPr="00DA3BC7">
        <w:rPr>
          <w:rFonts w:ascii="Times New Roman" w:hAnsi="Times New Roman"/>
        </w:rPr>
        <w:t>可以說明</w:t>
      </w:r>
      <w:r w:rsidRPr="00FB7ED7">
        <w:rPr>
          <w:rFonts w:ascii="Times New Roman" w:hAnsi="Times New Roman"/>
          <w:b/>
          <w:u w:val="wave" w:color="C00000"/>
        </w:rPr>
        <w:t>緣生事相</w:t>
      </w:r>
      <w:r w:rsidRPr="00DA3BC7">
        <w:rPr>
          <w:rFonts w:ascii="Times New Roman" w:hAnsi="Times New Roman"/>
        </w:rPr>
        <w:t>，同時也能從此悟入</w:t>
      </w:r>
      <w:r w:rsidRPr="00FB7ED7">
        <w:rPr>
          <w:rFonts w:ascii="Times New Roman" w:hAnsi="Times New Roman"/>
          <w:b/>
          <w:u w:val="wave" w:color="C00000"/>
        </w:rPr>
        <w:t>涅槃</w:t>
      </w:r>
      <w:r w:rsidRPr="00DA3BC7">
        <w:rPr>
          <w:rFonts w:ascii="Times New Roman" w:hAnsi="Times New Roman"/>
        </w:rPr>
        <w:t>。</w:t>
      </w:r>
    </w:p>
    <w:p w:rsidR="00993586" w:rsidRDefault="00C20628" w:rsidP="00993586">
      <w:pPr>
        <w:ind w:leftChars="150" w:left="360"/>
        <w:jc w:val="both"/>
        <w:rPr>
          <w:rFonts w:ascii="Times New Roman" w:hAnsi="Times New Roman"/>
        </w:rPr>
      </w:pPr>
      <w:r w:rsidRPr="00DA3BC7">
        <w:rPr>
          <w:rFonts w:ascii="Times New Roman" w:hAnsi="Times New Roman"/>
        </w:rPr>
        <w:t>依</w:t>
      </w:r>
      <w:r w:rsidRPr="00FB7ED7">
        <w:rPr>
          <w:rFonts w:ascii="Times New Roman" w:hAnsi="Times New Roman"/>
          <w:b/>
          <w:u w:val="wave" w:color="C00000"/>
        </w:rPr>
        <w:t>相依相緣的緣起法</w:t>
      </w:r>
      <w:r w:rsidRPr="00DA3BC7">
        <w:rPr>
          <w:rFonts w:ascii="Times New Roman" w:hAnsi="Times New Roman"/>
        </w:rPr>
        <w:t>而看到</w:t>
      </w:r>
      <w:r w:rsidRPr="00FB7ED7">
        <w:rPr>
          <w:rFonts w:ascii="Times New Roman" w:hAnsi="Times New Roman"/>
          <w:b/>
          <w:u w:val="wave" w:color="C00000"/>
        </w:rPr>
        <w:t>世間現象界</w:t>
      </w:r>
      <w:r w:rsidRPr="00DA3BC7">
        <w:rPr>
          <w:rFonts w:ascii="新細明體" w:hAnsi="新細明體"/>
        </w:rPr>
        <w:t>──</w:t>
      </w:r>
      <w:r w:rsidRPr="00FB7ED7">
        <w:rPr>
          <w:rFonts w:ascii="Times New Roman" w:hAnsi="Times New Roman"/>
          <w:b/>
          <w:u w:val="wave" w:color="C00000"/>
        </w:rPr>
        <w:t>生滅</w:t>
      </w:r>
      <w:r w:rsidRPr="00DA3BC7">
        <w:rPr>
          <w:rFonts w:ascii="Times New Roman" w:hAnsi="Times New Roman"/>
        </w:rPr>
        <w:t>，</w:t>
      </w:r>
      <w:r w:rsidR="00FC4981" w:rsidRPr="00FB7ED7">
        <w:rPr>
          <w:rFonts w:ascii="Times New Roman" w:hAnsi="Times New Roman"/>
          <w:b/>
          <w:u w:val="wave" w:color="C00000"/>
        </w:rPr>
        <w:t>緣起</w:t>
      </w:r>
      <w:r w:rsidR="00FC4981">
        <w:rPr>
          <w:rFonts w:ascii="Times New Roman" w:hAnsi="Times New Roman"/>
          <w:b/>
        </w:rPr>
        <w:t>即與</w:t>
      </w:r>
      <w:r w:rsidR="00FC4981" w:rsidRPr="00FB7ED7">
        <w:rPr>
          <w:rFonts w:ascii="Times New Roman" w:hAnsi="Times New Roman"/>
          <w:b/>
          <w:u w:val="wave" w:color="C00000"/>
        </w:rPr>
        <w:t>緣生</w:t>
      </w:r>
      <w:r w:rsidRPr="00DA3BC7">
        <w:rPr>
          <w:rFonts w:ascii="Times New Roman" w:hAnsi="Times New Roman"/>
          <w:b/>
        </w:rPr>
        <w:t>相對</w:t>
      </w:r>
      <w:r w:rsidRPr="00DA3BC7">
        <w:rPr>
          <w:rFonts w:ascii="Times New Roman" w:hAnsi="Times New Roman"/>
        </w:rPr>
        <w:t>，</w:t>
      </w:r>
      <w:r w:rsidRPr="00DA3BC7">
        <w:rPr>
          <w:rFonts w:ascii="Times New Roman" w:hAnsi="Times New Roman"/>
          <w:b/>
        </w:rPr>
        <w:t>緣起即取得「</w:t>
      </w:r>
      <w:r w:rsidRPr="00FB7ED7">
        <w:rPr>
          <w:rFonts w:ascii="Times New Roman" w:hAnsi="Times New Roman"/>
          <w:b/>
          <w:u w:val="wave" w:color="C00000"/>
        </w:rPr>
        <w:t>法性法住法界常住</w:t>
      </w:r>
      <w:r w:rsidRPr="00DA3BC7">
        <w:rPr>
          <w:rFonts w:ascii="Times New Roman" w:hAnsi="Times New Roman"/>
          <w:b/>
        </w:rPr>
        <w:t>」的性質</w:t>
      </w:r>
      <w:r w:rsidRPr="00DA3BC7">
        <w:rPr>
          <w:rFonts w:ascii="Times New Roman" w:hAnsi="Times New Roman"/>
        </w:rPr>
        <w:t>。</w:t>
      </w:r>
    </w:p>
    <w:p w:rsidR="00993586" w:rsidRDefault="00C20628" w:rsidP="00993586">
      <w:pPr>
        <w:ind w:leftChars="150" w:left="360"/>
        <w:jc w:val="both"/>
        <w:rPr>
          <w:rFonts w:ascii="Times New Roman" w:hAnsi="Times New Roman"/>
        </w:rPr>
      </w:pPr>
      <w:r w:rsidRPr="00DA3BC7">
        <w:rPr>
          <w:rFonts w:ascii="Times New Roman" w:hAnsi="Times New Roman"/>
        </w:rPr>
        <w:t>依</w:t>
      </w:r>
      <w:r w:rsidRPr="00FB7ED7">
        <w:rPr>
          <w:rFonts w:ascii="Times New Roman" w:hAnsi="Times New Roman"/>
          <w:b/>
          <w:u w:val="wave" w:color="C00000"/>
        </w:rPr>
        <w:t>緣起</w:t>
      </w:r>
      <w:r w:rsidRPr="00DA3BC7">
        <w:rPr>
          <w:rFonts w:ascii="Times New Roman" w:hAnsi="Times New Roman"/>
        </w:rPr>
        <w:t>而看到</w:t>
      </w:r>
      <w:r w:rsidRPr="00FB7ED7">
        <w:rPr>
          <w:rFonts w:ascii="Times New Roman" w:hAnsi="Times New Roman"/>
          <w:b/>
          <w:u w:val="wave" w:color="C00000"/>
        </w:rPr>
        <w:t>出世的實相界</w:t>
      </w:r>
      <w:r w:rsidRPr="00DA3BC7">
        <w:rPr>
          <w:rFonts w:ascii="新細明體" w:hAnsi="新細明體"/>
        </w:rPr>
        <w:t>──</w:t>
      </w:r>
      <w:r w:rsidRPr="00FB7ED7">
        <w:rPr>
          <w:rFonts w:ascii="Times New Roman" w:hAnsi="Times New Roman"/>
          <w:b/>
          <w:u w:val="wave" w:color="C00000"/>
        </w:rPr>
        <w:t>不生滅</w:t>
      </w:r>
      <w:r w:rsidRPr="00DA3BC7">
        <w:rPr>
          <w:rFonts w:ascii="Times New Roman" w:hAnsi="Times New Roman"/>
        </w:rPr>
        <w:t>，</w:t>
      </w:r>
      <w:r w:rsidRPr="00FB7ED7">
        <w:rPr>
          <w:rFonts w:ascii="Times New Roman" w:hAnsi="Times New Roman"/>
          <w:b/>
          <w:u w:val="wave" w:color="C00000"/>
        </w:rPr>
        <w:t>緣起</w:t>
      </w:r>
      <w:r w:rsidRPr="00DA3BC7">
        <w:rPr>
          <w:rFonts w:ascii="Times New Roman" w:hAnsi="Times New Roman"/>
          <w:b/>
        </w:rPr>
        <w:t>即與</w:t>
      </w:r>
      <w:r w:rsidRPr="00FB7ED7">
        <w:rPr>
          <w:rFonts w:ascii="Times New Roman" w:hAnsi="Times New Roman"/>
          <w:b/>
          <w:u w:val="wave" w:color="C00000"/>
        </w:rPr>
        <w:t>涅槃</w:t>
      </w:r>
      <w:r w:rsidRPr="00DA3BC7">
        <w:rPr>
          <w:rFonts w:ascii="Times New Roman" w:hAnsi="Times New Roman"/>
          <w:b/>
        </w:rPr>
        <w:t>相對</w:t>
      </w:r>
      <w:r w:rsidRPr="00DA3BC7">
        <w:rPr>
          <w:rFonts w:ascii="Times New Roman" w:hAnsi="Times New Roman"/>
        </w:rPr>
        <w:t>，而</w:t>
      </w:r>
      <w:r w:rsidRPr="00FB7ED7">
        <w:rPr>
          <w:rFonts w:ascii="Times New Roman" w:hAnsi="Times New Roman"/>
          <w:b/>
          <w:u w:val="wave" w:color="C00000"/>
        </w:rPr>
        <w:t>緣起</w:t>
      </w:r>
      <w:r w:rsidRPr="00DA3BC7">
        <w:rPr>
          <w:rFonts w:ascii="Times New Roman" w:hAnsi="Times New Roman"/>
          <w:b/>
        </w:rPr>
        <w:t>即取得</w:t>
      </w:r>
      <w:r w:rsidRPr="00FB7ED7">
        <w:rPr>
          <w:rFonts w:ascii="Times New Roman" w:hAnsi="Times New Roman"/>
          <w:b/>
          <w:u w:val="wave" w:color="C00000"/>
        </w:rPr>
        <w:t>生滅</w:t>
      </w:r>
      <w:r w:rsidRPr="00DA3BC7">
        <w:rPr>
          <w:rFonts w:ascii="Times New Roman" w:hAnsi="Times New Roman"/>
          <w:b/>
        </w:rPr>
        <w:t>的性質</w:t>
      </w:r>
      <w:r w:rsidRPr="00DA3BC7">
        <w:rPr>
          <w:rFonts w:ascii="Times New Roman" w:hAnsi="Times New Roman"/>
        </w:rPr>
        <w:t>。</w:t>
      </w:r>
    </w:p>
    <w:p w:rsidR="00C20628" w:rsidRPr="00DA3BC7" w:rsidRDefault="00C20628" w:rsidP="00993586">
      <w:pPr>
        <w:ind w:leftChars="150" w:left="360"/>
        <w:jc w:val="both"/>
        <w:rPr>
          <w:rFonts w:ascii="Times New Roman" w:hAnsi="Times New Roman"/>
        </w:rPr>
      </w:pPr>
      <w:r w:rsidRPr="00DA3BC7">
        <w:rPr>
          <w:rFonts w:ascii="Times New Roman" w:hAnsi="Times New Roman"/>
        </w:rPr>
        <w:t>《阿含</w:t>
      </w:r>
      <w:r w:rsidRPr="00DA3BC7">
        <w:rPr>
          <w:rFonts w:ascii="Times New Roman" w:hAnsi="Times New Roman" w:hint="eastAsia"/>
        </w:rPr>
        <w:t>經</w:t>
      </w:r>
      <w:r w:rsidRPr="00DA3BC7">
        <w:rPr>
          <w:rFonts w:ascii="Times New Roman" w:hAnsi="Times New Roman"/>
        </w:rPr>
        <w:t>》是以</w:t>
      </w:r>
      <w:r w:rsidRPr="00FB7ED7">
        <w:rPr>
          <w:rFonts w:ascii="Times New Roman" w:hAnsi="Times New Roman"/>
          <w:b/>
          <w:u w:val="wave" w:color="C00000"/>
        </w:rPr>
        <w:t>緣起</w:t>
      </w:r>
      <w:r w:rsidRPr="00DA3BC7">
        <w:rPr>
          <w:rFonts w:ascii="Times New Roman" w:hAnsi="Times New Roman"/>
        </w:rPr>
        <w:t>為本而闡述此</w:t>
      </w:r>
      <w:r w:rsidRPr="00FB7ED7">
        <w:rPr>
          <w:rFonts w:ascii="Times New Roman" w:hAnsi="Times New Roman"/>
          <w:b/>
          <w:u w:val="wave" w:color="C00000"/>
        </w:rPr>
        <w:t>現象</w:t>
      </w:r>
      <w:r w:rsidR="00FC4981">
        <w:rPr>
          <w:rFonts w:ascii="Times New Roman" w:hAnsi="Times New Roman"/>
        </w:rPr>
        <w:t>與</w:t>
      </w:r>
      <w:r w:rsidR="00FC4981" w:rsidRPr="00FB7ED7">
        <w:rPr>
          <w:rFonts w:ascii="Times New Roman" w:hAnsi="Times New Roman"/>
          <w:b/>
          <w:u w:val="wave" w:color="C00000"/>
        </w:rPr>
        <w:t>實相</w:t>
      </w:r>
      <w:r w:rsidRPr="00DA3BC7">
        <w:rPr>
          <w:rFonts w:ascii="Times New Roman" w:hAnsi="Times New Roman"/>
        </w:rPr>
        <w:t>的。</w:t>
      </w:r>
    </w:p>
    <w:p w:rsidR="00C20628" w:rsidRPr="00DA3BC7" w:rsidRDefault="00C20628" w:rsidP="00AE3920">
      <w:pPr>
        <w:spacing w:beforeLines="30"/>
        <w:ind w:leftChars="150" w:left="360"/>
        <w:jc w:val="both"/>
        <w:rPr>
          <w:rFonts w:ascii="Times New Roman" w:hAnsi="Times New Roman"/>
          <w:b/>
          <w:sz w:val="20"/>
          <w:szCs w:val="20"/>
        </w:rPr>
      </w:pPr>
      <w:r w:rsidRPr="00FC4981">
        <w:rPr>
          <w:rFonts w:ascii="Times New Roman" w:hAnsi="Times New Roman"/>
          <w:b/>
          <w:color w:val="FF0000"/>
          <w:sz w:val="20"/>
          <w:szCs w:val="20"/>
          <w:highlight w:val="yellow"/>
          <w:bdr w:val="single" w:sz="4" w:space="0" w:color="auto"/>
        </w:rPr>
        <w:lastRenderedPageBreak/>
        <w:t>（</w:t>
      </w:r>
      <w:r w:rsidR="00FC4981" w:rsidRPr="00FC4981">
        <w:rPr>
          <w:rFonts w:ascii="Times New Roman" w:hAnsi="Times New Roman" w:hint="eastAsia"/>
          <w:b/>
          <w:color w:val="FF0000"/>
          <w:sz w:val="20"/>
          <w:szCs w:val="20"/>
          <w:highlight w:val="yellow"/>
          <w:bdr w:val="single" w:sz="4" w:space="0" w:color="auto"/>
        </w:rPr>
        <w:t>二</w:t>
      </w:r>
      <w:r w:rsidRPr="00FC4981">
        <w:rPr>
          <w:rFonts w:ascii="Times New Roman" w:hAnsi="Times New Roman"/>
          <w:b/>
          <w:color w:val="FF0000"/>
          <w:sz w:val="20"/>
          <w:szCs w:val="20"/>
          <w:highlight w:val="yellow"/>
          <w:bdr w:val="single" w:sz="4" w:space="0" w:color="auto"/>
        </w:rPr>
        <w:t>）</w:t>
      </w:r>
      <w:r w:rsidR="00FC4981" w:rsidRPr="00FC4981">
        <w:rPr>
          <w:rFonts w:ascii="Times New Roman" w:hAnsi="Times New Roman" w:hint="eastAsia"/>
          <w:b/>
          <w:color w:val="FF0000"/>
          <w:sz w:val="20"/>
          <w:szCs w:val="20"/>
          <w:highlight w:val="yellow"/>
          <w:bdr w:val="single" w:sz="4" w:space="0" w:color="auto"/>
        </w:rPr>
        <w:t>別辨義理</w:t>
      </w:r>
      <w:r w:rsidRPr="00DA3BC7">
        <w:rPr>
          <w:rFonts w:ascii="Times New Roman" w:hAnsi="Times New Roman"/>
          <w:sz w:val="20"/>
          <w:szCs w:val="26"/>
        </w:rPr>
        <w:t>（</w:t>
      </w:r>
      <w:r w:rsidRPr="00DA3BC7">
        <w:rPr>
          <w:rFonts w:ascii="Times New Roman" w:hAnsi="Times New Roman"/>
          <w:sz w:val="20"/>
          <w:szCs w:val="26"/>
        </w:rPr>
        <w:t>p.39</w:t>
      </w:r>
      <w:r w:rsidRPr="00DA3BC7">
        <w:rPr>
          <w:rFonts w:ascii="Times New Roman" w:hAnsi="Times New Roman"/>
          <w:sz w:val="20"/>
          <w:szCs w:val="26"/>
        </w:rPr>
        <w:t>）</w:t>
      </w:r>
    </w:p>
    <w:p w:rsidR="001968AB" w:rsidRPr="00DA3BC7" w:rsidRDefault="00C20628" w:rsidP="00BB6F88">
      <w:pPr>
        <w:ind w:leftChars="150" w:left="360"/>
        <w:jc w:val="both"/>
        <w:rPr>
          <w:rFonts w:ascii="Times New Roman" w:hAnsi="Times New Roman"/>
        </w:rPr>
      </w:pPr>
      <w:r w:rsidRPr="00DA3BC7">
        <w:rPr>
          <w:rFonts w:ascii="Times New Roman" w:hAnsi="Times New Roman"/>
        </w:rPr>
        <w:t>依《阿含</w:t>
      </w:r>
      <w:r w:rsidRPr="00DA3BC7">
        <w:rPr>
          <w:rFonts w:ascii="Times New Roman" w:hAnsi="Times New Roman" w:hint="eastAsia"/>
        </w:rPr>
        <w:t>經</w:t>
      </w:r>
      <w:r w:rsidRPr="00DA3BC7">
        <w:rPr>
          <w:rFonts w:ascii="Times New Roman" w:hAnsi="Times New Roman"/>
        </w:rPr>
        <w:t>》說：佛陀的正覺，即覺悟緣起，即是「法性、法住、法界常住」的緣起，即當體攝得（自性涅槃）空寂的緣起性</w:t>
      </w:r>
      <w:r w:rsidRPr="00DA3BC7">
        <w:rPr>
          <w:rFonts w:ascii="Times New Roman" w:hAnsi="Times New Roman" w:hint="eastAsia"/>
        </w:rPr>
        <w:t>。</w:t>
      </w:r>
      <w:r w:rsidRPr="00DA3BC7">
        <w:rPr>
          <w:rFonts w:ascii="Times New Roman" w:hAnsi="Times New Roman"/>
        </w:rPr>
        <w:t>所以正覺的</w:t>
      </w:r>
      <w:r w:rsidRPr="00FB7ED7">
        <w:rPr>
          <w:rFonts w:ascii="Times New Roman" w:hAnsi="Times New Roman"/>
          <w:b/>
          <w:u w:val="wave" w:color="C00000"/>
        </w:rPr>
        <w:t>緣起</w:t>
      </w:r>
      <w:r w:rsidRPr="00DA3BC7">
        <w:rPr>
          <w:rFonts w:ascii="Times New Roman" w:hAnsi="Times New Roman"/>
        </w:rPr>
        <w:t>，實為與</w:t>
      </w:r>
      <w:r w:rsidRPr="00FB7ED7">
        <w:rPr>
          <w:rFonts w:ascii="Times New Roman" w:hAnsi="Times New Roman"/>
          <w:b/>
          <w:u w:val="wave" w:color="C00000"/>
        </w:rPr>
        <w:t>緣生</w:t>
      </w:r>
      <w:r w:rsidRPr="00DA3BC7">
        <w:rPr>
          <w:rFonts w:ascii="Times New Roman" w:hAnsi="Times New Roman"/>
        </w:rPr>
        <w:t>對論的。</w:t>
      </w:r>
    </w:p>
    <w:p w:rsidR="001968AB" w:rsidRPr="00DA3BC7" w:rsidRDefault="00C20628" w:rsidP="00BB6F88">
      <w:pPr>
        <w:ind w:leftChars="150" w:left="360"/>
        <w:jc w:val="both"/>
        <w:rPr>
          <w:rFonts w:ascii="Times New Roman" w:hAnsi="Times New Roman"/>
        </w:rPr>
      </w:pPr>
      <w:r w:rsidRPr="00DA3BC7">
        <w:rPr>
          <w:rFonts w:ascii="Times New Roman" w:hAnsi="Times New Roman"/>
        </w:rPr>
        <w:t>反之，如與</w:t>
      </w:r>
      <w:r w:rsidRPr="00FB7ED7">
        <w:rPr>
          <w:rFonts w:ascii="Times New Roman" w:hAnsi="Times New Roman"/>
          <w:b/>
          <w:u w:val="wave" w:color="C00000"/>
        </w:rPr>
        <w:t>涅槃</w:t>
      </w:r>
      <w:r w:rsidRPr="00DA3BC7">
        <w:rPr>
          <w:rFonts w:ascii="Times New Roman" w:hAnsi="Times New Roman"/>
        </w:rPr>
        <w:t>對論，即偏就緣起生滅說，即攝得</w:t>
      </w:r>
      <w:r w:rsidRPr="00DA3BC7">
        <w:rPr>
          <w:rFonts w:ascii="新細明體" w:hAnsi="新細明體"/>
        </w:rPr>
        <w:t>──</w:t>
      </w:r>
      <w:r w:rsidRPr="00DA3BC7">
        <w:rPr>
          <w:rFonts w:ascii="Times New Roman" w:hAnsi="Times New Roman"/>
        </w:rPr>
        <w:t>因果生滅的緣起事相。</w:t>
      </w:r>
    </w:p>
    <w:p w:rsidR="001968AB" w:rsidRPr="00DA3BC7" w:rsidRDefault="00FB7ED7" w:rsidP="00BB6F88">
      <w:pPr>
        <w:ind w:leftChars="150" w:left="360"/>
        <w:jc w:val="both"/>
        <w:rPr>
          <w:rFonts w:ascii="Times New Roman" w:hAnsi="Times New Roman"/>
        </w:rPr>
      </w:pPr>
      <w:r>
        <w:rPr>
          <w:rFonts w:ascii="Times New Roman" w:hAnsi="Times New Roman"/>
        </w:rPr>
        <w:t>緣起，相依相緣而本性空寂，所以是</w:t>
      </w:r>
      <w:r w:rsidR="00C20628" w:rsidRPr="00FB7ED7">
        <w:rPr>
          <w:rFonts w:ascii="Times New Roman" w:hAnsi="Times New Roman"/>
          <w:b/>
          <w:u w:val="wave" w:color="C00000"/>
        </w:rPr>
        <w:t>生滅</w:t>
      </w:r>
      <w:r>
        <w:rPr>
          <w:rFonts w:ascii="Times New Roman" w:hAnsi="Times New Roman"/>
        </w:rPr>
        <w:t>，也即是</w:t>
      </w:r>
      <w:r w:rsidR="00C20628" w:rsidRPr="00FB7ED7">
        <w:rPr>
          <w:rFonts w:ascii="Times New Roman" w:hAnsi="Times New Roman"/>
          <w:b/>
          <w:u w:val="wave" w:color="C00000"/>
        </w:rPr>
        <w:t>不生滅</w:t>
      </w:r>
      <w:r w:rsidR="00C20628" w:rsidRPr="00DA3BC7">
        <w:rPr>
          <w:rFonts w:ascii="Times New Roman" w:hAnsi="Times New Roman"/>
        </w:rPr>
        <w:t>。釋尊直從此迷悟事理的中樞而建立聖教，極其善巧！</w:t>
      </w:r>
    </w:p>
    <w:p w:rsidR="00FC4981" w:rsidRPr="00DA3BC7" w:rsidRDefault="00FC4981" w:rsidP="00AE3920">
      <w:pPr>
        <w:spacing w:beforeLines="30"/>
        <w:ind w:leftChars="100" w:left="240"/>
        <w:jc w:val="both"/>
        <w:rPr>
          <w:rFonts w:ascii="Times New Roman" w:hAnsi="Times New Roman"/>
        </w:rPr>
      </w:pPr>
      <w:r w:rsidRPr="00FC4981">
        <w:rPr>
          <w:rFonts w:ascii="Times New Roman" w:hAnsi="Times New Roman" w:hint="eastAsia"/>
          <w:b/>
          <w:color w:val="FF0000"/>
          <w:sz w:val="20"/>
          <w:szCs w:val="20"/>
          <w:highlight w:val="yellow"/>
          <w:bdr w:val="single" w:sz="4" w:space="0" w:color="auto"/>
        </w:rPr>
        <w:t>二、顯部派</w:t>
      </w:r>
      <w:r>
        <w:rPr>
          <w:rFonts w:ascii="Times New Roman" w:hAnsi="Times New Roman" w:hint="eastAsia"/>
          <w:b/>
          <w:color w:val="FF0000"/>
          <w:sz w:val="20"/>
          <w:szCs w:val="20"/>
          <w:highlight w:val="yellow"/>
          <w:bdr w:val="single" w:sz="4" w:space="0" w:color="auto"/>
        </w:rPr>
        <w:t>之</w:t>
      </w:r>
      <w:r w:rsidRPr="00FC4981">
        <w:rPr>
          <w:rFonts w:ascii="Times New Roman" w:hAnsi="Times New Roman" w:hint="eastAsia"/>
          <w:b/>
          <w:color w:val="FF0000"/>
          <w:sz w:val="20"/>
          <w:szCs w:val="20"/>
          <w:highlight w:val="yellow"/>
          <w:bdr w:val="single" w:sz="4" w:space="0" w:color="auto"/>
        </w:rPr>
        <w:t>過失</w:t>
      </w:r>
      <w:r w:rsidRPr="00DA3BC7">
        <w:rPr>
          <w:rFonts w:ascii="Times New Roman" w:hAnsi="Times New Roman"/>
          <w:sz w:val="20"/>
          <w:szCs w:val="26"/>
        </w:rPr>
        <w:t>（</w:t>
      </w:r>
      <w:r w:rsidRPr="00DA3BC7">
        <w:rPr>
          <w:rFonts w:ascii="Times New Roman" w:hAnsi="Times New Roman"/>
          <w:sz w:val="20"/>
          <w:szCs w:val="26"/>
        </w:rPr>
        <w:t>p.39</w:t>
      </w:r>
      <w:r w:rsidRPr="00DA3BC7">
        <w:rPr>
          <w:rFonts w:ascii="Times New Roman" w:hAnsi="Times New Roman"/>
          <w:sz w:val="20"/>
          <w:szCs w:val="26"/>
        </w:rPr>
        <w:t>）</w:t>
      </w:r>
    </w:p>
    <w:p w:rsidR="00C20628" w:rsidRPr="00DA3BC7" w:rsidRDefault="00C20628" w:rsidP="00FC4981">
      <w:pPr>
        <w:ind w:leftChars="100" w:left="240"/>
        <w:jc w:val="both"/>
        <w:rPr>
          <w:rFonts w:ascii="Times New Roman" w:hAnsi="Times New Roman"/>
        </w:rPr>
      </w:pPr>
      <w:r w:rsidRPr="00DA3BC7">
        <w:rPr>
          <w:rFonts w:ascii="Times New Roman" w:hAnsi="Times New Roman" w:hint="eastAsia"/>
        </w:rPr>
        <w:t>這樣</w:t>
      </w:r>
      <w:r w:rsidRPr="00DA3BC7">
        <w:rPr>
          <w:rFonts w:ascii="Times New Roman" w:hAnsi="Times New Roman"/>
        </w:rPr>
        <w:t>聲聞學者把緣起與緣生，緣起與涅槃，作為完全不同的意義去看，是終不會契證實義的。</w:t>
      </w:r>
    </w:p>
    <w:p w:rsidR="00C20628" w:rsidRPr="00DA3BC7" w:rsidRDefault="00FC4981" w:rsidP="00AE3920">
      <w:pPr>
        <w:spacing w:beforeLines="30"/>
        <w:ind w:leftChars="100" w:left="240"/>
        <w:jc w:val="both"/>
        <w:rPr>
          <w:rFonts w:ascii="Times New Roman" w:hAnsi="Times New Roman"/>
        </w:rPr>
      </w:pPr>
      <w:r w:rsidRPr="00FC4981">
        <w:rPr>
          <w:rFonts w:ascii="Times New Roman" w:hAnsi="Times New Roman" w:hint="eastAsia"/>
          <w:b/>
          <w:color w:val="FF0000"/>
          <w:sz w:val="20"/>
          <w:szCs w:val="20"/>
          <w:highlight w:val="yellow"/>
          <w:bdr w:val="single" w:sz="4" w:space="0" w:color="auto"/>
        </w:rPr>
        <w:t>三</w:t>
      </w:r>
      <w:r w:rsidR="00C20628" w:rsidRPr="00FC4981">
        <w:rPr>
          <w:rFonts w:ascii="Times New Roman" w:hAnsi="Times New Roman" w:hint="eastAsia"/>
          <w:b/>
          <w:color w:val="FF0000"/>
          <w:sz w:val="20"/>
          <w:szCs w:val="20"/>
          <w:highlight w:val="yellow"/>
          <w:bdr w:val="single" w:sz="4" w:space="0" w:color="auto"/>
        </w:rPr>
        <w:t>、</w:t>
      </w:r>
      <w:r w:rsidRPr="00FC4981">
        <w:rPr>
          <w:rFonts w:ascii="Times New Roman" w:hAnsi="Times New Roman" w:hint="eastAsia"/>
          <w:b/>
          <w:color w:val="FF0000"/>
          <w:sz w:val="20"/>
          <w:szCs w:val="20"/>
          <w:highlight w:val="yellow"/>
          <w:bdr w:val="single" w:sz="4" w:space="0" w:color="auto"/>
        </w:rPr>
        <w:t>彰</w:t>
      </w:r>
      <w:r w:rsidR="00C20628" w:rsidRPr="00FC4981">
        <w:rPr>
          <w:rFonts w:ascii="Times New Roman" w:hAnsi="Times New Roman" w:hint="eastAsia"/>
          <w:b/>
          <w:color w:val="FF0000"/>
          <w:sz w:val="20"/>
          <w:szCs w:val="20"/>
          <w:highlight w:val="yellow"/>
          <w:bdr w:val="single" w:sz="4" w:space="0" w:color="auto"/>
        </w:rPr>
        <w:t>大乘</w:t>
      </w:r>
      <w:r w:rsidRPr="00FC4981">
        <w:rPr>
          <w:rFonts w:ascii="Times New Roman" w:hAnsi="Times New Roman" w:hint="eastAsia"/>
          <w:b/>
          <w:color w:val="FF0000"/>
          <w:sz w:val="20"/>
          <w:szCs w:val="20"/>
          <w:highlight w:val="yellow"/>
          <w:bdr w:val="single" w:sz="4" w:space="0" w:color="auto"/>
        </w:rPr>
        <w:t>之正理</w:t>
      </w:r>
      <w:r w:rsidR="00C20628" w:rsidRPr="00DA3BC7">
        <w:rPr>
          <w:rFonts w:ascii="Times New Roman" w:hAnsi="Times New Roman"/>
          <w:sz w:val="20"/>
          <w:szCs w:val="26"/>
        </w:rPr>
        <w:t>（</w:t>
      </w:r>
      <w:r w:rsidR="00C20628" w:rsidRPr="00DA3BC7">
        <w:rPr>
          <w:rFonts w:ascii="Times New Roman" w:hAnsi="Times New Roman"/>
          <w:sz w:val="20"/>
          <w:szCs w:val="26"/>
        </w:rPr>
        <w:t>p.39</w:t>
      </w:r>
      <w:r w:rsidR="00C20628" w:rsidRPr="00DA3BC7">
        <w:rPr>
          <w:rFonts w:ascii="Times New Roman" w:hAnsi="Times New Roman"/>
          <w:sz w:val="20"/>
          <w:szCs w:val="26"/>
        </w:rPr>
        <w:t>）</w:t>
      </w:r>
    </w:p>
    <w:p w:rsidR="00C20628" w:rsidRPr="00DA3BC7" w:rsidRDefault="00C20628" w:rsidP="00FC4981">
      <w:pPr>
        <w:ind w:leftChars="100" w:left="240"/>
        <w:jc w:val="both"/>
        <w:rPr>
          <w:rFonts w:ascii="Times New Roman" w:hAnsi="Times New Roman"/>
          <w:b/>
          <w:sz w:val="20"/>
          <w:szCs w:val="20"/>
          <w:bdr w:val="single" w:sz="4" w:space="0" w:color="auto"/>
        </w:rPr>
      </w:pPr>
      <w:r w:rsidRPr="00DA3BC7">
        <w:rPr>
          <w:rFonts w:ascii="Times New Roman" w:hAnsi="Times New Roman"/>
        </w:rPr>
        <w:t>若能了解緣起的名為</w:t>
      </w:r>
      <w:r w:rsidRPr="00DA3BC7">
        <w:rPr>
          <w:rFonts w:ascii="Times New Roman" w:hAnsi="Times New Roman"/>
          <w:b/>
        </w:rPr>
        <w:t>空相應緣起</w:t>
      </w:r>
      <w:r w:rsidRPr="00DA3BC7">
        <w:rPr>
          <w:rFonts w:ascii="Times New Roman" w:hAnsi="Times New Roman"/>
        </w:rPr>
        <w:t>；大乘特別發揮空義，亦從此緣起而發揮。以緣起是空相應，所以解悟</w:t>
      </w:r>
      <w:r w:rsidRPr="00FB7ED7">
        <w:rPr>
          <w:rFonts w:ascii="Times New Roman" w:hAnsi="Times New Roman"/>
          <w:b/>
          <w:u w:val="wave" w:color="C00000"/>
        </w:rPr>
        <w:t>緣起</w:t>
      </w:r>
      <w:r w:rsidRPr="00DA3BC7">
        <w:rPr>
          <w:rFonts w:ascii="Times New Roman" w:hAnsi="Times New Roman"/>
        </w:rPr>
        <w:t>，即悟入</w:t>
      </w:r>
      <w:r w:rsidRPr="00FB7ED7">
        <w:rPr>
          <w:rFonts w:ascii="Times New Roman" w:hAnsi="Times New Roman"/>
          <w:b/>
          <w:u w:val="wave" w:color="C00000"/>
        </w:rPr>
        <w:t>法性本空的不生不滅</w:t>
      </w:r>
      <w:r w:rsidRPr="00DA3BC7">
        <w:rPr>
          <w:rFonts w:ascii="Times New Roman" w:hAnsi="Times New Roman"/>
        </w:rPr>
        <w:t>；而</w:t>
      </w:r>
      <w:r w:rsidRPr="00FB7ED7">
        <w:rPr>
          <w:rFonts w:ascii="Times New Roman" w:hAnsi="Times New Roman"/>
          <w:b/>
          <w:u w:val="wave" w:color="C00000"/>
        </w:rPr>
        <w:t>緣生的一切事相</w:t>
      </w:r>
      <w:r w:rsidRPr="00DA3BC7">
        <w:rPr>
          <w:rFonts w:ascii="Times New Roman" w:hAnsi="Times New Roman"/>
        </w:rPr>
        <w:t>，也依此</w:t>
      </w:r>
      <w:r w:rsidRPr="00FB7ED7">
        <w:rPr>
          <w:rFonts w:ascii="Times New Roman" w:hAnsi="Times New Roman"/>
          <w:b/>
          <w:u w:val="wave" w:color="C00000"/>
        </w:rPr>
        <w:t>緣起</w:t>
      </w:r>
      <w:r w:rsidRPr="00DA3BC7">
        <w:rPr>
          <w:rFonts w:ascii="Times New Roman" w:hAnsi="Times New Roman"/>
        </w:rPr>
        <w:t>而成立。三法印中的</w:t>
      </w:r>
      <w:r w:rsidRPr="00FB7ED7">
        <w:rPr>
          <w:rFonts w:ascii="Times New Roman" w:hAnsi="Times New Roman"/>
          <w:b/>
          <w:u w:val="wave" w:color="C00000"/>
        </w:rPr>
        <w:t>無常</w:t>
      </w:r>
      <w:r w:rsidRPr="00DA3BC7">
        <w:rPr>
          <w:rFonts w:ascii="Times New Roman" w:hAnsi="Times New Roman"/>
        </w:rPr>
        <w:t>與</w:t>
      </w:r>
      <w:r w:rsidRPr="00FB7ED7">
        <w:rPr>
          <w:rFonts w:ascii="Times New Roman" w:hAnsi="Times New Roman"/>
          <w:b/>
          <w:u w:val="wave" w:color="C00000"/>
        </w:rPr>
        <w:t>涅</w:t>
      </w:r>
      <w:r w:rsidRPr="00DA3BC7">
        <w:rPr>
          <w:rFonts w:ascii="Times New Roman" w:hAnsi="Times New Roman"/>
        </w:rPr>
        <w:t>槃，即可依</w:t>
      </w:r>
      <w:r w:rsidRPr="00FB7ED7">
        <w:rPr>
          <w:rFonts w:ascii="Times New Roman" w:hAnsi="Times New Roman"/>
          <w:b/>
          <w:u w:val="wave" w:color="C00000"/>
        </w:rPr>
        <w:t>無我</w:t>
      </w:r>
      <w:r w:rsidRPr="00DA3BC7">
        <w:rPr>
          <w:rFonts w:ascii="新細明體" w:hAnsi="新細明體"/>
        </w:rPr>
        <w:t>──</w:t>
      </w:r>
      <w:r w:rsidRPr="00FB7ED7">
        <w:rPr>
          <w:rFonts w:ascii="Times New Roman" w:hAnsi="Times New Roman"/>
          <w:b/>
          <w:u w:val="wave" w:color="C00000"/>
        </w:rPr>
        <w:t>緣起性空</w:t>
      </w:r>
      <w:r w:rsidRPr="00DA3BC7">
        <w:rPr>
          <w:rFonts w:ascii="Times New Roman" w:hAnsi="Times New Roman"/>
        </w:rPr>
        <w:t>而予以統一。</w:t>
      </w:r>
    </w:p>
    <w:p w:rsidR="00C20628" w:rsidRPr="00DA3BC7" w:rsidRDefault="00C20628" w:rsidP="008E2BBC">
      <w:pPr>
        <w:ind w:leftChars="100" w:left="240"/>
        <w:jc w:val="both"/>
        <w:rPr>
          <w:rFonts w:ascii="Times New Roman" w:hAnsi="Times New Roman"/>
        </w:rPr>
      </w:pPr>
      <w:r w:rsidRPr="00DA3BC7">
        <w:rPr>
          <w:rFonts w:ascii="Times New Roman" w:hAnsi="Times New Roman"/>
        </w:rPr>
        <w:t>大乘把握了即空的緣起，所以能成立一切法相；同時，因為緣起即空，所以能從此而通達實相。</w:t>
      </w:r>
    </w:p>
    <w:p w:rsidR="00C20628" w:rsidRPr="00DA3BC7" w:rsidRDefault="00FC4981" w:rsidP="00AE3920">
      <w:pPr>
        <w:spacing w:beforeLines="30"/>
        <w:ind w:leftChars="100" w:left="240"/>
        <w:jc w:val="both"/>
        <w:rPr>
          <w:rFonts w:ascii="Times New Roman" w:hAnsi="Times New Roman"/>
        </w:rPr>
      </w:pPr>
      <w:r w:rsidRPr="00FC4981">
        <w:rPr>
          <w:rFonts w:ascii="Times New Roman" w:hAnsi="Times New Roman" w:hint="eastAsia"/>
          <w:b/>
          <w:color w:val="FF0000"/>
          <w:sz w:val="20"/>
          <w:szCs w:val="20"/>
          <w:highlight w:val="yellow"/>
          <w:bdr w:val="single" w:sz="4" w:space="0" w:color="auto"/>
        </w:rPr>
        <w:t>四</w:t>
      </w:r>
      <w:r w:rsidR="00C20628" w:rsidRPr="00FC4981">
        <w:rPr>
          <w:rFonts w:ascii="Times New Roman" w:hAnsi="Times New Roman" w:hint="eastAsia"/>
          <w:b/>
          <w:color w:val="FF0000"/>
          <w:sz w:val="20"/>
          <w:szCs w:val="20"/>
          <w:highlight w:val="yellow"/>
          <w:bdr w:val="single" w:sz="4" w:space="0" w:color="auto"/>
        </w:rPr>
        <w:t>、</w:t>
      </w:r>
      <w:r w:rsidRPr="00FC4981">
        <w:rPr>
          <w:rFonts w:ascii="Times New Roman" w:hAnsi="Times New Roman" w:hint="eastAsia"/>
          <w:b/>
          <w:color w:val="FF0000"/>
          <w:sz w:val="20"/>
          <w:szCs w:val="20"/>
          <w:highlight w:val="yellow"/>
          <w:bdr w:val="single" w:sz="4" w:space="0" w:color="auto"/>
        </w:rPr>
        <w:t>標教義之綜貫</w:t>
      </w:r>
      <w:r w:rsidR="00C20628" w:rsidRPr="00DA3BC7">
        <w:rPr>
          <w:rFonts w:ascii="Times New Roman" w:hAnsi="Times New Roman" w:hint="eastAsia"/>
          <w:sz w:val="20"/>
          <w:szCs w:val="20"/>
        </w:rPr>
        <w:t>（</w:t>
      </w:r>
      <w:r w:rsidR="00C20628" w:rsidRPr="00DA3BC7">
        <w:rPr>
          <w:rFonts w:ascii="Times New Roman" w:hAnsi="Times New Roman" w:hint="eastAsia"/>
          <w:sz w:val="20"/>
          <w:szCs w:val="20"/>
        </w:rPr>
        <w:t>p.39</w:t>
      </w:r>
      <w:r w:rsidR="00C20628" w:rsidRPr="00DA3BC7">
        <w:rPr>
          <w:rFonts w:ascii="Times New Roman" w:hAnsi="Times New Roman" w:hint="eastAsia"/>
          <w:sz w:val="20"/>
          <w:szCs w:val="20"/>
        </w:rPr>
        <w:t>）</w:t>
      </w:r>
    </w:p>
    <w:p w:rsidR="00FC4981" w:rsidRDefault="00C20628" w:rsidP="00993586">
      <w:pPr>
        <w:ind w:leftChars="100" w:left="240"/>
        <w:jc w:val="both"/>
        <w:rPr>
          <w:rFonts w:ascii="Times New Roman" w:hAnsi="Times New Roman"/>
        </w:rPr>
      </w:pPr>
      <w:r w:rsidRPr="00DA3BC7">
        <w:rPr>
          <w:rFonts w:ascii="Times New Roman" w:hAnsi="Times New Roman"/>
        </w:rPr>
        <w:t>大乘所發揮的空相應緣起，究其實，即是根本佛教的主要論題。</w:t>
      </w:r>
    </w:p>
    <w:p w:rsidR="00FC4981" w:rsidRPr="00DA3BC7" w:rsidRDefault="00FC4981" w:rsidP="00AE3920">
      <w:pPr>
        <w:spacing w:beforeLines="30"/>
        <w:jc w:val="both"/>
        <w:rPr>
          <w:rFonts w:ascii="Times New Roman" w:hAnsi="Times New Roman"/>
        </w:rPr>
      </w:pPr>
      <w:r w:rsidRPr="00DA3BC7">
        <w:rPr>
          <w:rFonts w:ascii="Times New Roman" w:hAnsi="Times New Roman" w:hint="eastAsia"/>
          <w:b/>
          <w:sz w:val="20"/>
          <w:szCs w:val="20"/>
          <w:bdr w:val="single" w:sz="4" w:space="0" w:color="auto"/>
        </w:rPr>
        <w:t>肆、結說</w:t>
      </w:r>
      <w:r w:rsidRPr="00FC4981">
        <w:rPr>
          <w:rFonts w:ascii="Times New Roman" w:hAnsi="Times New Roman" w:hint="eastAsia"/>
          <w:b/>
          <w:color w:val="FF0000"/>
          <w:sz w:val="20"/>
          <w:szCs w:val="20"/>
          <w:highlight w:val="yellow"/>
          <w:bdr w:val="single" w:sz="4" w:space="0" w:color="auto"/>
        </w:rPr>
        <w:t>全章論義</w:t>
      </w:r>
      <w:r w:rsidRPr="00DA3BC7">
        <w:rPr>
          <w:rFonts w:ascii="Times New Roman" w:hAnsi="Times New Roman" w:hint="eastAsia"/>
          <w:sz w:val="20"/>
          <w:szCs w:val="20"/>
        </w:rPr>
        <w:t>（</w:t>
      </w:r>
      <w:r w:rsidRPr="00DA3BC7">
        <w:rPr>
          <w:rFonts w:ascii="Times New Roman" w:hAnsi="Times New Roman" w:hint="eastAsia"/>
          <w:sz w:val="20"/>
          <w:szCs w:val="20"/>
        </w:rPr>
        <w:t>pp.39-40</w:t>
      </w:r>
      <w:r w:rsidRPr="00DA3BC7">
        <w:rPr>
          <w:rFonts w:ascii="Times New Roman" w:hAnsi="Times New Roman" w:hint="eastAsia"/>
          <w:sz w:val="20"/>
          <w:szCs w:val="20"/>
        </w:rPr>
        <w:t>）</w:t>
      </w:r>
    </w:p>
    <w:p w:rsidR="0009154E" w:rsidRPr="00DA3BC7" w:rsidRDefault="00C20628" w:rsidP="008E2BBC">
      <w:pPr>
        <w:jc w:val="both"/>
        <w:rPr>
          <w:rFonts w:ascii="Times New Roman" w:hAnsi="Times New Roman"/>
        </w:rPr>
        <w:sectPr w:rsidR="0009154E" w:rsidRPr="00DA3BC7" w:rsidSect="009914C0">
          <w:headerReference w:type="default" r:id="rId32"/>
          <w:headerReference w:type="first" r:id="rId33"/>
          <w:footerReference w:type="first" r:id="rId34"/>
          <w:footnotePr>
            <w:numRestart w:val="eachSect"/>
          </w:footnotePr>
          <w:pgSz w:w="10773" w:h="14742" w:code="9"/>
          <w:pgMar w:top="1418" w:right="1418" w:bottom="1418" w:left="1418" w:header="851" w:footer="992" w:gutter="0"/>
          <w:cols w:space="425"/>
          <w:docGrid w:type="lines" w:linePitch="360"/>
        </w:sectPr>
      </w:pPr>
      <w:r w:rsidRPr="00DA3BC7">
        <w:rPr>
          <w:rFonts w:ascii="Times New Roman" w:hAnsi="Times New Roman"/>
        </w:rPr>
        <w:t>緣起法的不生不滅，在《阿含經》中是深刻而含蓄的，特依《大智度論》而略為解說。</w:t>
      </w:r>
    </w:p>
    <w:p w:rsidR="002B682F" w:rsidRPr="00DA3BC7" w:rsidRDefault="002B682F" w:rsidP="008E2BBC">
      <w:pPr>
        <w:pStyle w:val="1"/>
      </w:pPr>
      <w:bookmarkStart w:id="62" w:name="_Toc405499757"/>
      <w:r w:rsidRPr="00DA3BC7">
        <w:rPr>
          <w:rFonts w:hint="eastAsia"/>
        </w:rPr>
        <w:lastRenderedPageBreak/>
        <w:t>第四章、中道之方法論</w:t>
      </w:r>
      <w:bookmarkEnd w:id="62"/>
    </w:p>
    <w:p w:rsidR="002B682F" w:rsidRPr="00DA3BC7" w:rsidRDefault="002B682F" w:rsidP="008E2BBC">
      <w:pPr>
        <w:pStyle w:val="2"/>
      </w:pPr>
      <w:bookmarkStart w:id="63" w:name="_Toc405499758"/>
      <w:r w:rsidRPr="00DA3BC7">
        <w:rPr>
          <w:rFonts w:hint="eastAsia"/>
        </w:rPr>
        <w:t>第一節、中觀與中論</w:t>
      </w:r>
      <w:bookmarkEnd w:id="63"/>
    </w:p>
    <w:p w:rsidR="002B682F" w:rsidRPr="00DA3BC7" w:rsidRDefault="002B682F" w:rsidP="008E2BBC">
      <w:pPr>
        <w:jc w:val="center"/>
        <w:rPr>
          <w:rFonts w:ascii="Times New Roman" w:eastAsia="標楷體" w:hAnsi="Times New Roman"/>
        </w:rPr>
      </w:pPr>
      <w:r w:rsidRPr="00DA3BC7">
        <w:rPr>
          <w:rFonts w:ascii="Times New Roman" w:eastAsia="標楷體" w:hAnsi="Times New Roman"/>
        </w:rPr>
        <w:t>（</w:t>
      </w:r>
      <w:r w:rsidRPr="00DA3BC7">
        <w:rPr>
          <w:rFonts w:ascii="Times New Roman" w:eastAsia="標楷體" w:hAnsi="Times New Roman"/>
        </w:rPr>
        <w:t>pp.41-43</w:t>
      </w:r>
      <w:r w:rsidRPr="00DA3BC7">
        <w:rPr>
          <w:rFonts w:ascii="Times New Roman" w:eastAsia="標楷體" w:hAnsi="Times New Roman"/>
        </w:rPr>
        <w:t>）</w:t>
      </w:r>
    </w:p>
    <w:p w:rsidR="002B682F" w:rsidRPr="00DA3BC7" w:rsidRDefault="002B682F" w:rsidP="008E2BBC">
      <w:pPr>
        <w:pStyle w:val="Author"/>
      </w:pPr>
    </w:p>
    <w:p w:rsidR="002B682F" w:rsidRPr="00DA3BC7" w:rsidRDefault="002B682F" w:rsidP="00AE3920">
      <w:pPr>
        <w:spacing w:beforeLines="50"/>
        <w:jc w:val="both"/>
        <w:rPr>
          <w:rFonts w:ascii="Times New Roman" w:hAnsi="Times New Roman"/>
          <w:b/>
          <w:sz w:val="20"/>
          <w:szCs w:val="20"/>
          <w:bdr w:val="single" w:sz="4" w:space="0" w:color="auto"/>
        </w:rPr>
      </w:pPr>
      <w:r w:rsidRPr="00DA3BC7">
        <w:rPr>
          <w:rFonts w:ascii="Times Ext Roman" w:hAnsi="Times Ext Roman" w:cs="Times Ext Roman" w:hint="eastAsia"/>
          <w:b/>
          <w:sz w:val="20"/>
          <w:bdr w:val="single" w:sz="4" w:space="0" w:color="auto"/>
        </w:rPr>
        <w:t>壹</w:t>
      </w:r>
      <w:r w:rsidRPr="00DA3BC7">
        <w:rPr>
          <w:rFonts w:ascii="Times Ext Roman" w:hAnsi="Times Ext Roman" w:cs="Times Ext Roman"/>
          <w:b/>
          <w:sz w:val="20"/>
          <w:bdr w:val="single" w:sz="4" w:space="0" w:color="auto"/>
        </w:rPr>
        <w:t>、</w:t>
      </w:r>
      <w:r w:rsidR="001C14E0">
        <w:rPr>
          <w:rFonts w:ascii="Times Ext Roman" w:hAnsi="Times Ext Roman" w:cs="Times Ext Roman" w:hint="eastAsia"/>
          <w:b/>
          <w:color w:val="FF0000"/>
          <w:sz w:val="20"/>
          <w:highlight w:val="yellow"/>
          <w:bdr w:val="single" w:sz="4" w:space="0" w:color="auto"/>
        </w:rPr>
        <w:t>總說</w:t>
      </w:r>
      <w:r w:rsidRPr="00DA3BC7">
        <w:rPr>
          <w:rFonts w:ascii="Times Ext Roman" w:hAnsi="Times Ext Roman" w:cs="Times Ext Roman" w:hint="eastAsia"/>
          <w:sz w:val="20"/>
          <w:szCs w:val="20"/>
        </w:rPr>
        <w:t>（</w:t>
      </w:r>
      <w:r w:rsidRPr="00DA3BC7">
        <w:rPr>
          <w:rFonts w:ascii="Times New Roman" w:hAnsi="Times New Roman" w:hint="eastAsia"/>
          <w:sz w:val="20"/>
          <w:szCs w:val="20"/>
        </w:rPr>
        <w:t>p.41</w:t>
      </w:r>
      <w:r w:rsidR="001C14E0" w:rsidRPr="00DA3BC7">
        <w:rPr>
          <w:rFonts w:ascii="Times Ext Roman" w:hAnsi="Times Ext Roman" w:cs="Times Ext Roman" w:hint="eastAsia"/>
          <w:sz w:val="20"/>
          <w:szCs w:val="20"/>
        </w:rPr>
        <w:t>）</w:t>
      </w:r>
    </w:p>
    <w:p w:rsidR="002B682F" w:rsidRPr="00DA3BC7" w:rsidRDefault="002B682F" w:rsidP="00993586">
      <w:pPr>
        <w:jc w:val="both"/>
        <w:rPr>
          <w:rFonts w:ascii="Times New Roman" w:hAnsi="Times New Roman"/>
        </w:rPr>
      </w:pPr>
      <w:r w:rsidRPr="00DA3BC7">
        <w:rPr>
          <w:rFonts w:ascii="Times New Roman" w:hAnsi="Times New Roman" w:hint="eastAsia"/>
        </w:rPr>
        <w:t>悟入緣起中道的方法論，即</w:t>
      </w:r>
      <w:r w:rsidRPr="00DA3BC7">
        <w:rPr>
          <w:rFonts w:ascii="Times New Roman" w:hAnsi="Times New Roman" w:hint="eastAsia"/>
          <w:b/>
        </w:rPr>
        <w:t>中觀</w:t>
      </w:r>
      <w:r w:rsidRPr="00DA3BC7">
        <w:rPr>
          <w:rFonts w:ascii="Times New Roman" w:hAnsi="Times New Roman" w:hint="eastAsia"/>
        </w:rPr>
        <w:t>與</w:t>
      </w:r>
      <w:r w:rsidRPr="00DA3BC7">
        <w:rPr>
          <w:rFonts w:ascii="Times New Roman" w:hAnsi="Times New Roman" w:hint="eastAsia"/>
          <w:b/>
        </w:rPr>
        <w:t>中論</w:t>
      </w:r>
      <w:r w:rsidRPr="00DA3BC7">
        <w:rPr>
          <w:rFonts w:ascii="Times New Roman" w:hAnsi="Times New Roman" w:hint="eastAsia"/>
        </w:rPr>
        <w:t>。</w:t>
      </w:r>
    </w:p>
    <w:p w:rsidR="001C14E0" w:rsidRDefault="001C14E0" w:rsidP="00AE3920">
      <w:pPr>
        <w:spacing w:beforeLines="30"/>
        <w:jc w:val="both"/>
        <w:rPr>
          <w:rFonts w:ascii="Times Ext Roman" w:hAnsi="Times Ext Roman" w:cs="Times Ext Roman"/>
          <w:sz w:val="20"/>
          <w:szCs w:val="20"/>
        </w:rPr>
      </w:pPr>
      <w:r w:rsidRPr="001C14E0">
        <w:rPr>
          <w:rFonts w:ascii="Times Ext Roman" w:hAnsi="Times Ext Roman" w:cs="Times Ext Roman" w:hint="eastAsia"/>
          <w:b/>
          <w:color w:val="FF0000"/>
          <w:sz w:val="20"/>
          <w:highlight w:val="yellow"/>
          <w:bdr w:val="single" w:sz="4" w:space="0" w:color="auto"/>
        </w:rPr>
        <w:t>貳</w:t>
      </w:r>
      <w:r w:rsidRPr="001C14E0">
        <w:rPr>
          <w:rFonts w:ascii="Times Ext Roman" w:hAnsi="Times Ext Roman" w:cs="Times Ext Roman"/>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辨義</w:t>
      </w:r>
      <w:r w:rsidRPr="00DA3BC7">
        <w:rPr>
          <w:rFonts w:ascii="Times Ext Roman" w:hAnsi="Times Ext Roman" w:cs="Times Ext Roman"/>
          <w:sz w:val="20"/>
          <w:szCs w:val="20"/>
        </w:rPr>
        <w:t>（</w:t>
      </w:r>
      <w:r w:rsidRPr="00DA3BC7">
        <w:rPr>
          <w:rFonts w:ascii="Times New Roman" w:hAnsi="Times New Roman"/>
          <w:sz w:val="20"/>
          <w:szCs w:val="20"/>
        </w:rPr>
        <w:t>pp.41-4</w:t>
      </w:r>
      <w:r w:rsidRPr="00DA3BC7">
        <w:rPr>
          <w:rFonts w:ascii="Times New Roman" w:hAnsi="Times New Roman" w:hint="eastAsia"/>
          <w:sz w:val="20"/>
          <w:szCs w:val="20"/>
        </w:rPr>
        <w:t>2</w:t>
      </w:r>
      <w:r w:rsidRPr="00DA3BC7">
        <w:rPr>
          <w:rFonts w:ascii="Times Ext Roman" w:hAnsi="Times Ext Roman" w:cs="Times Ext Roman"/>
          <w:sz w:val="20"/>
          <w:szCs w:val="20"/>
        </w:rPr>
        <w:t>）</w:t>
      </w:r>
    </w:p>
    <w:p w:rsidR="002B682F" w:rsidRPr="00DA3BC7" w:rsidRDefault="002B682F" w:rsidP="001C14E0">
      <w:pPr>
        <w:ind w:leftChars="50" w:left="120"/>
        <w:jc w:val="both"/>
        <w:rPr>
          <w:rFonts w:ascii="Times Ext Roman" w:hAnsi="Times Ext Roman" w:cs="Times Ext Roman"/>
          <w:sz w:val="20"/>
        </w:rPr>
      </w:pPr>
      <w:r w:rsidRPr="001C14E0">
        <w:rPr>
          <w:rFonts w:ascii="Times Ext Roman" w:hAnsi="Times Ext Roman" w:cs="Times Ext Roman" w:hint="eastAsia"/>
          <w:b/>
          <w:color w:val="FF0000"/>
          <w:sz w:val="20"/>
          <w:highlight w:val="yellow"/>
          <w:bdr w:val="single" w:sz="4" w:space="0" w:color="auto"/>
        </w:rPr>
        <w:t>（</w:t>
      </w:r>
      <w:r w:rsidR="001C14E0" w:rsidRPr="001C14E0">
        <w:rPr>
          <w:rFonts w:ascii="Times Ext Roman" w:hAnsi="Times Ext Roman" w:cs="Times Ext Roman" w:hint="eastAsia"/>
          <w:b/>
          <w:color w:val="FF0000"/>
          <w:sz w:val="20"/>
          <w:highlight w:val="yellow"/>
          <w:bdr w:val="single" w:sz="4" w:space="0" w:color="auto"/>
        </w:rPr>
        <w:t>壹</w:t>
      </w:r>
      <w:r w:rsidRPr="001C14E0">
        <w:rPr>
          <w:rFonts w:ascii="Times Ext Roman" w:hAnsi="Times Ext Roman" w:cs="Times Ext Roman" w:hint="eastAsia"/>
          <w:b/>
          <w:color w:val="FF0000"/>
          <w:sz w:val="20"/>
          <w:highlight w:val="yellow"/>
          <w:bdr w:val="single" w:sz="4" w:space="0" w:color="auto"/>
        </w:rPr>
        <w:t>）</w:t>
      </w:r>
      <w:r w:rsidRPr="001C14E0">
        <w:rPr>
          <w:rFonts w:ascii="Times Ext Roman" w:hAnsi="Times Ext Roman" w:cs="Times Ext Roman"/>
          <w:b/>
          <w:color w:val="FF0000"/>
          <w:sz w:val="20"/>
          <w:highlight w:val="yellow"/>
          <w:bdr w:val="single" w:sz="4" w:space="0" w:color="auto"/>
        </w:rPr>
        <w:t>「</w:t>
      </w:r>
      <w:r w:rsidR="001C14E0" w:rsidRPr="001C14E0">
        <w:rPr>
          <w:rFonts w:ascii="Times Ext Roman" w:hAnsi="Times Ext Roman" w:cs="Times Ext Roman" w:hint="eastAsia"/>
          <w:b/>
          <w:color w:val="FF0000"/>
          <w:sz w:val="20"/>
          <w:highlight w:val="yellow"/>
          <w:bdr w:val="single" w:sz="4" w:space="0" w:color="auto"/>
        </w:rPr>
        <w:t>中</w:t>
      </w:r>
      <w:r w:rsidRPr="001C14E0">
        <w:rPr>
          <w:rFonts w:ascii="Times Ext Roman" w:hAnsi="Times Ext Roman" w:cs="Times Ext Roman"/>
          <w:b/>
          <w:color w:val="FF0000"/>
          <w:sz w:val="20"/>
          <w:highlight w:val="yellow"/>
          <w:bdr w:val="single" w:sz="4" w:space="0" w:color="auto"/>
        </w:rPr>
        <w:t>觀</w:t>
      </w:r>
      <w:r w:rsidRPr="001C14E0">
        <w:rPr>
          <w:rFonts w:ascii="Times Ext Roman" w:hAnsi="Times Ext Roman" w:cs="Times Ext Roman" w:hint="eastAsia"/>
          <w:b/>
          <w:color w:val="FF0000"/>
          <w:sz w:val="20"/>
          <w:highlight w:val="yellow"/>
          <w:bdr w:val="single" w:sz="4" w:space="0" w:color="auto"/>
        </w:rPr>
        <w:t>」與「</w:t>
      </w:r>
      <w:r w:rsidR="001C14E0" w:rsidRPr="001C14E0">
        <w:rPr>
          <w:rFonts w:ascii="Times Ext Roman" w:hAnsi="Times Ext Roman" w:cs="Times Ext Roman" w:hint="eastAsia"/>
          <w:b/>
          <w:color w:val="FF0000"/>
          <w:sz w:val="20"/>
          <w:highlight w:val="yellow"/>
          <w:bdr w:val="single" w:sz="4" w:space="0" w:color="auto"/>
        </w:rPr>
        <w:t>中</w:t>
      </w:r>
      <w:r w:rsidRPr="001C14E0">
        <w:rPr>
          <w:rFonts w:ascii="Times Ext Roman" w:hAnsi="Times Ext Roman" w:cs="Times Ext Roman" w:hint="eastAsia"/>
          <w:b/>
          <w:color w:val="FF0000"/>
          <w:sz w:val="20"/>
          <w:highlight w:val="yellow"/>
          <w:bdr w:val="single" w:sz="4" w:space="0" w:color="auto"/>
        </w:rPr>
        <w:t>論」</w:t>
      </w:r>
      <w:r w:rsidRPr="00DA3BC7">
        <w:rPr>
          <w:rFonts w:ascii="Times Ext Roman" w:hAnsi="Times Ext Roman" w:cs="Times Ext Roman"/>
          <w:sz w:val="20"/>
          <w:szCs w:val="20"/>
        </w:rPr>
        <w:t>（</w:t>
      </w:r>
      <w:r w:rsidRPr="00DA3BC7">
        <w:rPr>
          <w:rFonts w:ascii="Times New Roman" w:hAnsi="Times New Roman"/>
          <w:sz w:val="20"/>
          <w:szCs w:val="20"/>
        </w:rPr>
        <w:t>pp.41-4</w:t>
      </w:r>
      <w:r w:rsidRPr="00DA3BC7">
        <w:rPr>
          <w:rFonts w:ascii="Times New Roman" w:hAnsi="Times New Roman" w:hint="eastAsia"/>
          <w:sz w:val="20"/>
          <w:szCs w:val="20"/>
        </w:rPr>
        <w:t>2</w:t>
      </w:r>
      <w:r w:rsidRPr="00DA3BC7">
        <w:rPr>
          <w:rFonts w:ascii="Times Ext Roman" w:hAnsi="Times Ext Roman" w:cs="Times Ext Roman"/>
          <w:sz w:val="20"/>
          <w:szCs w:val="20"/>
        </w:rPr>
        <w:t>）</w:t>
      </w:r>
    </w:p>
    <w:p w:rsidR="001C14E0" w:rsidRDefault="002B682F" w:rsidP="008E2BBC">
      <w:pPr>
        <w:ind w:leftChars="100" w:left="240"/>
        <w:jc w:val="both"/>
        <w:rPr>
          <w:rFonts w:ascii="Times Ext Roman" w:hAnsi="Times Ext Roman" w:cs="Times Ext Roman"/>
          <w:sz w:val="20"/>
          <w:szCs w:val="20"/>
        </w:rPr>
      </w:pPr>
      <w:r w:rsidRPr="001C14E0">
        <w:rPr>
          <w:rFonts w:ascii="Times Ext Roman" w:hAnsi="Times Ext Roman" w:cs="Times Ext Roman"/>
          <w:b/>
          <w:color w:val="FF0000"/>
          <w:sz w:val="20"/>
          <w:highlight w:val="yellow"/>
          <w:bdr w:val="single" w:sz="4" w:space="0" w:color="auto"/>
        </w:rPr>
        <w:t>一、</w:t>
      </w:r>
      <w:r w:rsidR="001C14E0" w:rsidRPr="001C14E0">
        <w:rPr>
          <w:rFonts w:ascii="Times Ext Roman" w:hAnsi="Times Ext Roman" w:cs="Times Ext Roman" w:hint="eastAsia"/>
          <w:b/>
          <w:color w:val="FF0000"/>
          <w:sz w:val="20"/>
          <w:highlight w:val="yellow"/>
          <w:bdr w:val="single" w:sz="4" w:space="0" w:color="auto"/>
        </w:rPr>
        <w:t>別述</w:t>
      </w:r>
      <w:r w:rsidRPr="00DA3BC7">
        <w:rPr>
          <w:rFonts w:ascii="Times Ext Roman" w:hAnsi="Times Ext Roman" w:cs="Times Ext Roman" w:hint="eastAsia"/>
          <w:sz w:val="20"/>
          <w:szCs w:val="20"/>
        </w:rPr>
        <w:t>（</w:t>
      </w:r>
      <w:r w:rsidRPr="00DA3BC7">
        <w:rPr>
          <w:rFonts w:ascii="Times New Roman" w:hAnsi="Times New Roman" w:hint="eastAsia"/>
          <w:sz w:val="20"/>
          <w:szCs w:val="20"/>
        </w:rPr>
        <w:t>p.41</w:t>
      </w:r>
      <w:r w:rsidRPr="00DA3BC7">
        <w:rPr>
          <w:rFonts w:ascii="Times Ext Roman" w:hAnsi="Times Ext Roman" w:cs="Times Ext Roman" w:hint="eastAsia"/>
          <w:sz w:val="20"/>
          <w:szCs w:val="20"/>
        </w:rPr>
        <w:t>）</w:t>
      </w:r>
    </w:p>
    <w:p w:rsidR="002B682F" w:rsidRDefault="001C14E0" w:rsidP="00993586">
      <w:pPr>
        <w:ind w:leftChars="150" w:left="360"/>
        <w:jc w:val="both"/>
        <w:rPr>
          <w:rFonts w:ascii="Times Ext Roman" w:hAnsi="Times Ext Roman" w:cs="Times Ext Roman"/>
          <w:b/>
          <w:color w:val="FF0000"/>
          <w:sz w:val="20"/>
          <w:bdr w:val="single" w:sz="4" w:space="0" w:color="auto"/>
        </w:rPr>
      </w:pPr>
      <w:r w:rsidRPr="001C14E0">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一</w:t>
      </w:r>
      <w:r w:rsidRPr="001C14E0">
        <w:rPr>
          <w:rFonts w:ascii="Times Ext Roman" w:hAnsi="Times Ext Roman" w:cs="Times Ext Roman" w:hint="eastAsia"/>
          <w:b/>
          <w:color w:val="FF0000"/>
          <w:sz w:val="20"/>
          <w:highlight w:val="yellow"/>
          <w:bdr w:val="single" w:sz="4" w:space="0" w:color="auto"/>
        </w:rPr>
        <w:t>）</w:t>
      </w:r>
      <w:r w:rsidRPr="001C14E0">
        <w:rPr>
          <w:rFonts w:ascii="Times Ext Roman" w:hAnsi="Times Ext Roman" w:cs="Times Ext Roman"/>
          <w:b/>
          <w:color w:val="FF0000"/>
          <w:sz w:val="20"/>
          <w:highlight w:val="yellow"/>
          <w:bdr w:val="single" w:sz="4" w:space="0" w:color="auto"/>
        </w:rPr>
        <w:t>「</w:t>
      </w:r>
      <w:r w:rsidRPr="001C14E0">
        <w:rPr>
          <w:rFonts w:ascii="Times Ext Roman" w:hAnsi="Times Ext Roman" w:cs="Times Ext Roman" w:hint="eastAsia"/>
          <w:b/>
          <w:color w:val="FF0000"/>
          <w:sz w:val="20"/>
          <w:highlight w:val="yellow"/>
          <w:bdr w:val="single" w:sz="4" w:space="0" w:color="auto"/>
        </w:rPr>
        <w:t>中</w:t>
      </w:r>
      <w:r w:rsidRPr="001C14E0">
        <w:rPr>
          <w:rFonts w:ascii="Times Ext Roman" w:hAnsi="Times Ext Roman" w:cs="Times Ext Roman"/>
          <w:b/>
          <w:color w:val="FF0000"/>
          <w:sz w:val="20"/>
          <w:highlight w:val="yellow"/>
          <w:bdr w:val="single" w:sz="4" w:space="0" w:color="auto"/>
        </w:rPr>
        <w:t>觀</w:t>
      </w:r>
      <w:r w:rsidRPr="001C14E0">
        <w:rPr>
          <w:rFonts w:ascii="Times Ext Roman" w:hAnsi="Times Ext Roman" w:cs="Times Ext Roman" w:hint="eastAsia"/>
          <w:b/>
          <w:color w:val="FF0000"/>
          <w:sz w:val="20"/>
          <w:highlight w:val="yellow"/>
          <w:bdr w:val="single" w:sz="4" w:space="0" w:color="auto"/>
        </w:rPr>
        <w:t>」</w:t>
      </w:r>
      <w:r w:rsidRPr="00DA3BC7">
        <w:rPr>
          <w:rFonts w:ascii="Times Ext Roman" w:hAnsi="Times Ext Roman" w:cs="Times Ext Roman" w:hint="eastAsia"/>
          <w:sz w:val="20"/>
          <w:szCs w:val="20"/>
        </w:rPr>
        <w:t>（</w:t>
      </w:r>
      <w:r w:rsidRPr="00DA3BC7">
        <w:rPr>
          <w:rFonts w:ascii="Times New Roman" w:hAnsi="Times New Roman" w:hint="eastAsia"/>
          <w:sz w:val="20"/>
          <w:szCs w:val="20"/>
        </w:rPr>
        <w:t>p.41</w:t>
      </w:r>
      <w:r w:rsidRPr="00DA3BC7">
        <w:rPr>
          <w:rFonts w:ascii="Times Ext Roman" w:hAnsi="Times Ext Roman" w:cs="Times Ext Roman" w:hint="eastAsia"/>
          <w:sz w:val="20"/>
          <w:szCs w:val="20"/>
        </w:rPr>
        <w:t>）</w:t>
      </w:r>
    </w:p>
    <w:p w:rsidR="001C14E0" w:rsidRPr="00DA3BC7" w:rsidRDefault="001C14E0" w:rsidP="00993586">
      <w:pPr>
        <w:ind w:leftChars="200" w:left="480"/>
        <w:jc w:val="both"/>
        <w:rPr>
          <w:rFonts w:ascii="Times Ext Roman" w:hAnsi="Times Ext Roman" w:cs="Times Ext Roman"/>
          <w:sz w:val="20"/>
          <w:szCs w:val="20"/>
          <w:bdr w:val="single" w:sz="4" w:space="0" w:color="auto"/>
        </w:rPr>
      </w:pPr>
      <w:r>
        <w:rPr>
          <w:rFonts w:ascii="Times Ext Roman" w:hAnsi="Times Ext Roman" w:cs="Times Ext Roman" w:hint="eastAsia"/>
          <w:b/>
          <w:color w:val="FF0000"/>
          <w:sz w:val="20"/>
          <w:highlight w:val="yellow"/>
          <w:bdr w:val="single" w:sz="4" w:space="0" w:color="auto"/>
        </w:rPr>
        <w:t>1</w:t>
      </w:r>
      <w:r>
        <w:rPr>
          <w:rFonts w:ascii="Times Ext Roman" w:hAnsi="Times Ext Roman" w:cs="Times Ext Roman" w:hint="eastAsia"/>
          <w:b/>
          <w:color w:val="FF0000"/>
          <w:sz w:val="20"/>
          <w:highlight w:val="yellow"/>
          <w:bdr w:val="single" w:sz="4" w:space="0" w:color="auto"/>
        </w:rPr>
        <w:t>、略明</w:t>
      </w:r>
      <w:r w:rsidRPr="00DA3BC7">
        <w:rPr>
          <w:rFonts w:ascii="Times Ext Roman" w:hAnsi="Times Ext Roman" w:cs="Times Ext Roman" w:hint="eastAsia"/>
          <w:sz w:val="20"/>
          <w:szCs w:val="20"/>
        </w:rPr>
        <w:t>（</w:t>
      </w:r>
      <w:r w:rsidRPr="00DA3BC7">
        <w:rPr>
          <w:rFonts w:ascii="Times New Roman" w:hAnsi="Times New Roman" w:hint="eastAsia"/>
          <w:sz w:val="20"/>
          <w:szCs w:val="20"/>
        </w:rPr>
        <w:t>p.41</w:t>
      </w:r>
      <w:r w:rsidRPr="00DA3BC7">
        <w:rPr>
          <w:rFonts w:ascii="Times Ext Roman" w:hAnsi="Times Ext Roman" w:cs="Times Ext Roman" w:hint="eastAsia"/>
          <w:sz w:val="20"/>
          <w:szCs w:val="20"/>
        </w:rPr>
        <w:t>）</w:t>
      </w:r>
    </w:p>
    <w:p w:rsidR="001C14E0" w:rsidRDefault="002B682F" w:rsidP="00993586">
      <w:pPr>
        <w:ind w:leftChars="200" w:left="480"/>
        <w:jc w:val="both"/>
        <w:rPr>
          <w:rFonts w:ascii="新細明體" w:hAnsi="新細明體"/>
        </w:rPr>
      </w:pPr>
      <w:r w:rsidRPr="00DA3BC7">
        <w:rPr>
          <w:rFonts w:ascii="Times New Roman" w:hAnsi="Times New Roman" w:hint="eastAsia"/>
        </w:rPr>
        <w:t>先說</w:t>
      </w:r>
      <w:r w:rsidRPr="00DA3BC7">
        <w:rPr>
          <w:rFonts w:ascii="Times New Roman" w:hAnsi="Times New Roman" w:hint="eastAsia"/>
          <w:b/>
        </w:rPr>
        <w:t>中觀</w:t>
      </w:r>
      <w:r w:rsidRPr="00DA3BC7">
        <w:rPr>
          <w:rFonts w:ascii="Times New Roman" w:hAnsi="Times New Roman"/>
          <w:vertAlign w:val="superscript"/>
        </w:rPr>
        <w:footnoteReference w:id="245"/>
      </w:r>
      <w:r w:rsidRPr="00DA3BC7">
        <w:rPr>
          <w:rFonts w:ascii="新細明體" w:hAnsi="新細明體" w:hint="eastAsia"/>
        </w:rPr>
        <w:t>。</w:t>
      </w:r>
    </w:p>
    <w:p w:rsidR="001C14E0" w:rsidRDefault="001C14E0" w:rsidP="00AE3920">
      <w:pPr>
        <w:spacing w:beforeLines="30"/>
        <w:ind w:leftChars="200" w:left="480"/>
        <w:jc w:val="both"/>
        <w:rPr>
          <w:rFonts w:ascii="Times Ext Roman" w:hAnsi="Times Ext Roman" w:cs="Times Ext Roman"/>
          <w:sz w:val="20"/>
          <w:szCs w:val="20"/>
        </w:rPr>
      </w:pPr>
      <w:r>
        <w:rPr>
          <w:rFonts w:ascii="Times Ext Roman" w:hAnsi="Times Ext Roman" w:cs="Times Ext Roman" w:hint="eastAsia"/>
          <w:b/>
          <w:color w:val="FF0000"/>
          <w:sz w:val="20"/>
          <w:highlight w:val="yellow"/>
          <w:bdr w:val="single" w:sz="4" w:space="0" w:color="auto"/>
        </w:rPr>
        <w:t>2</w:t>
      </w:r>
      <w:r w:rsidRPr="001C14E0">
        <w:rPr>
          <w:rFonts w:ascii="Times Ext Roman" w:hAnsi="Times Ext Roman" w:cs="Times Ext Roman"/>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詳釋</w:t>
      </w:r>
      <w:r w:rsidRPr="00DA3BC7">
        <w:rPr>
          <w:rFonts w:ascii="Times Ext Roman" w:hAnsi="Times Ext Roman" w:cs="Times Ext Roman"/>
          <w:sz w:val="20"/>
          <w:szCs w:val="20"/>
        </w:rPr>
        <w:t>（</w:t>
      </w:r>
      <w:r w:rsidRPr="00DA3BC7">
        <w:rPr>
          <w:rFonts w:ascii="Times New Roman" w:hAnsi="Times New Roman"/>
          <w:sz w:val="20"/>
          <w:szCs w:val="20"/>
        </w:rPr>
        <w:t>pp.41-4</w:t>
      </w:r>
      <w:r w:rsidRPr="00DA3BC7">
        <w:rPr>
          <w:rFonts w:ascii="Times New Roman" w:hAnsi="Times New Roman" w:hint="eastAsia"/>
          <w:sz w:val="20"/>
          <w:szCs w:val="20"/>
        </w:rPr>
        <w:t>2</w:t>
      </w:r>
      <w:r w:rsidRPr="00DA3BC7">
        <w:rPr>
          <w:rFonts w:ascii="Times Ext Roman" w:hAnsi="Times Ext Roman" w:cs="Times Ext Roman"/>
          <w:sz w:val="20"/>
          <w:szCs w:val="20"/>
        </w:rPr>
        <w:t>）</w:t>
      </w:r>
    </w:p>
    <w:p w:rsidR="002B682F" w:rsidRPr="00DA3BC7" w:rsidRDefault="002B682F" w:rsidP="00A27095">
      <w:pPr>
        <w:ind w:leftChars="200" w:left="480"/>
        <w:jc w:val="both"/>
        <w:rPr>
          <w:rFonts w:ascii="Times New Roman" w:hAnsi="Times New Roman"/>
        </w:rPr>
      </w:pPr>
      <w:r w:rsidRPr="00DA3BC7">
        <w:rPr>
          <w:rFonts w:ascii="Times New Roman" w:hAnsi="Times New Roman" w:hint="eastAsia"/>
        </w:rPr>
        <w:t>觀即觀察，此名可有三種意義：</w:t>
      </w:r>
    </w:p>
    <w:p w:rsidR="002B682F" w:rsidRPr="00DA3BC7" w:rsidRDefault="002B682F" w:rsidP="00AE3920">
      <w:pPr>
        <w:spacing w:beforeLines="30"/>
        <w:ind w:leftChars="250" w:left="600"/>
        <w:jc w:val="both"/>
        <w:rPr>
          <w:rFonts w:ascii="Times Ext Roman" w:hAnsi="Times Ext Roman" w:cs="Times Ext Roman"/>
          <w:sz w:val="20"/>
          <w:bdr w:val="single" w:sz="4" w:space="0" w:color="auto"/>
        </w:rPr>
      </w:pPr>
      <w:r w:rsidRPr="00DA3BC7">
        <w:rPr>
          <w:rFonts w:ascii="Times Ext Roman" w:hAnsi="Times Ext Roman" w:cs="Times Ext Roman" w:hint="eastAsia"/>
          <w:b/>
          <w:sz w:val="20"/>
          <w:bdr w:val="single" w:sz="4" w:space="0" w:color="auto"/>
        </w:rPr>
        <w:t>（</w:t>
      </w:r>
      <w:r w:rsidR="001C14E0">
        <w:rPr>
          <w:rFonts w:ascii="Times Ext Roman" w:hAnsi="Times Ext Roman" w:cs="Times Ext Roman" w:hint="eastAsia"/>
          <w:b/>
          <w:sz w:val="20"/>
          <w:bdr w:val="single" w:sz="4" w:space="0" w:color="auto"/>
        </w:rPr>
        <w:t>1</w:t>
      </w:r>
      <w:r w:rsidRPr="00DA3BC7">
        <w:rPr>
          <w:rFonts w:ascii="Times Ext Roman" w:hAnsi="Times Ext Roman" w:cs="Times Ext Roman" w:hint="eastAsia"/>
          <w:b/>
          <w:sz w:val="20"/>
          <w:bdr w:val="single" w:sz="4" w:space="0" w:color="auto"/>
        </w:rPr>
        <w:t>）觀者</w:t>
      </w:r>
      <w:r w:rsidRPr="00DA3BC7">
        <w:rPr>
          <w:rFonts w:ascii="Times Ext Roman" w:hAnsi="Times Ext Roman" w:cs="Times Ext Roman" w:hint="eastAsia"/>
          <w:sz w:val="20"/>
          <w:szCs w:val="20"/>
        </w:rPr>
        <w:t>（</w:t>
      </w:r>
      <w:r w:rsidRPr="00DA3BC7">
        <w:rPr>
          <w:rFonts w:ascii="Times New Roman" w:hAnsi="Times New Roman" w:hint="eastAsia"/>
          <w:sz w:val="20"/>
          <w:szCs w:val="20"/>
        </w:rPr>
        <w:t>p.41</w:t>
      </w:r>
      <w:r w:rsidRPr="00DA3BC7">
        <w:rPr>
          <w:rFonts w:ascii="Times Ext Roman" w:hAnsi="Times Ext Roman" w:cs="Times Ext Roman" w:hint="eastAsia"/>
          <w:sz w:val="20"/>
          <w:szCs w:val="20"/>
        </w:rPr>
        <w:t>）</w:t>
      </w:r>
    </w:p>
    <w:p w:rsidR="002B682F" w:rsidRPr="00DA3BC7" w:rsidRDefault="002B682F" w:rsidP="00993586">
      <w:pPr>
        <w:ind w:leftChars="250" w:left="600"/>
        <w:jc w:val="both"/>
        <w:rPr>
          <w:rFonts w:ascii="Times New Roman" w:hAnsi="Times New Roman"/>
        </w:rPr>
      </w:pPr>
      <w:r w:rsidRPr="00DA3BC7">
        <w:rPr>
          <w:rFonts w:ascii="Times New Roman" w:hAnsi="Times New Roman" w:hint="eastAsia"/>
        </w:rPr>
        <w:t>一、指</w:t>
      </w:r>
      <w:r w:rsidRPr="00DA3BC7">
        <w:rPr>
          <w:rFonts w:ascii="Times New Roman" w:hAnsi="Times New Roman" w:hint="eastAsia"/>
          <w:b/>
        </w:rPr>
        <w:t>觀者</w:t>
      </w:r>
      <w:r w:rsidRPr="00DA3BC7">
        <w:rPr>
          <w:rFonts w:ascii="Times New Roman" w:hAnsi="Times New Roman" w:hint="eastAsia"/>
        </w:rPr>
        <w:t>說，即能觀的</w:t>
      </w:r>
      <w:r w:rsidRPr="00DA3BC7">
        <w:rPr>
          <w:rFonts w:ascii="Times New Roman" w:hAnsi="Times New Roman" w:hint="eastAsia"/>
          <w:b/>
        </w:rPr>
        <w:t>主體</w:t>
      </w:r>
      <w:r w:rsidRPr="00DA3BC7">
        <w:rPr>
          <w:rFonts w:ascii="Times New Roman" w:hAnsi="Times New Roman" w:hint="eastAsia"/>
        </w:rPr>
        <w:t>。</w:t>
      </w:r>
    </w:p>
    <w:p w:rsidR="002B682F" w:rsidRPr="00DA3BC7" w:rsidRDefault="002B682F" w:rsidP="00AE3920">
      <w:pPr>
        <w:spacing w:beforeLines="20"/>
        <w:ind w:leftChars="450" w:left="1080"/>
        <w:jc w:val="both"/>
        <w:rPr>
          <w:rFonts w:ascii="Times New Roman" w:hAnsi="Times New Roman"/>
        </w:rPr>
      </w:pPr>
      <w:r w:rsidRPr="00DA3BC7">
        <w:rPr>
          <w:rFonts w:ascii="Times New Roman" w:hAnsi="Times New Roman" w:hint="eastAsia"/>
        </w:rPr>
        <w:t>約觀者的</w:t>
      </w:r>
      <w:r w:rsidRPr="00DA3BC7">
        <w:rPr>
          <w:rFonts w:ascii="Times New Roman" w:hAnsi="Times New Roman" w:hint="eastAsia"/>
          <w:b/>
        </w:rPr>
        <w:t>總體</w:t>
      </w:r>
      <w:r w:rsidRPr="00DA3BC7">
        <w:rPr>
          <w:rFonts w:ascii="Times New Roman" w:hAnsi="Times New Roman" w:hint="eastAsia"/>
        </w:rPr>
        <w:t>說，即是</w:t>
      </w:r>
      <w:r w:rsidRPr="00DA3BC7">
        <w:rPr>
          <w:rFonts w:ascii="Times New Roman" w:hAnsi="Times New Roman" w:hint="eastAsia"/>
          <w:b/>
        </w:rPr>
        <w:t>有情</w:t>
      </w:r>
      <w:r w:rsidRPr="00DA3BC7">
        <w:rPr>
          <w:rFonts w:ascii="Times New Roman" w:hAnsi="Times New Roman" w:hint="eastAsia"/>
        </w:rPr>
        <w:t>；</w:t>
      </w:r>
    </w:p>
    <w:p w:rsidR="002B682F" w:rsidRPr="00DA3BC7" w:rsidRDefault="002B682F" w:rsidP="00AE3920">
      <w:pPr>
        <w:spacing w:beforeLines="20"/>
        <w:ind w:leftChars="450" w:left="2160" w:hangingChars="450" w:hanging="1080"/>
        <w:jc w:val="both"/>
        <w:rPr>
          <w:rFonts w:ascii="Times New Roman" w:hAnsi="Times New Roman"/>
        </w:rPr>
      </w:pPr>
      <w:r w:rsidRPr="00DA3BC7">
        <w:rPr>
          <w:rFonts w:ascii="Times New Roman" w:hAnsi="Times New Roman" w:hint="eastAsia"/>
        </w:rPr>
        <w:t>約</w:t>
      </w:r>
      <w:r w:rsidRPr="00DA3BC7">
        <w:rPr>
          <w:rFonts w:ascii="Times New Roman" w:hAnsi="Times New Roman" w:hint="eastAsia"/>
          <w:b/>
        </w:rPr>
        <w:t>別體</w:t>
      </w:r>
      <w:r w:rsidRPr="00DA3BC7">
        <w:rPr>
          <w:rFonts w:ascii="Times New Roman" w:hAnsi="Times New Roman" w:hint="eastAsia"/>
        </w:rPr>
        <w:t>說，即與心心所相應的</w:t>
      </w:r>
      <w:r w:rsidRPr="00DA3BC7">
        <w:rPr>
          <w:rFonts w:ascii="Times New Roman" w:hAnsi="Times New Roman" w:hint="eastAsia"/>
          <w:b/>
        </w:rPr>
        <w:t>慧心所</w:t>
      </w:r>
      <w:r w:rsidRPr="00DA3BC7">
        <w:rPr>
          <w:rFonts w:ascii="Times New Roman" w:hAnsi="Times New Roman" w:hint="eastAsia"/>
        </w:rPr>
        <w:t>。佛典所說的止</w:t>
      </w:r>
      <w:r w:rsidRPr="00DA3BC7">
        <w:rPr>
          <w:rFonts w:ascii="新細明體" w:hAnsi="新細明體" w:hint="eastAsia"/>
        </w:rPr>
        <w:t>、</w:t>
      </w:r>
      <w:r w:rsidRPr="00DA3BC7">
        <w:rPr>
          <w:rFonts w:ascii="Times New Roman" w:hAnsi="Times New Roman" w:hint="eastAsia"/>
        </w:rPr>
        <w:t>觀，即是定</w:t>
      </w:r>
      <w:r w:rsidRPr="00DA3BC7">
        <w:rPr>
          <w:rFonts w:ascii="新細明體" w:hAnsi="新細明體" w:hint="eastAsia"/>
        </w:rPr>
        <w:t>、</w:t>
      </w:r>
      <w:r w:rsidRPr="00DA3BC7">
        <w:rPr>
          <w:rFonts w:ascii="Times New Roman" w:hAnsi="Times New Roman" w:hint="eastAsia"/>
        </w:rPr>
        <w:t>慧，故知觀體即是慧。</w:t>
      </w:r>
    </w:p>
    <w:p w:rsidR="002B682F" w:rsidRPr="00DA3BC7" w:rsidRDefault="002B682F" w:rsidP="00AE3920">
      <w:pPr>
        <w:spacing w:beforeLines="30"/>
        <w:ind w:leftChars="250" w:left="600"/>
        <w:jc w:val="both"/>
        <w:rPr>
          <w:rFonts w:ascii="Times Ext Roman" w:hAnsi="Times Ext Roman" w:cs="Times Ext Roman"/>
          <w:sz w:val="20"/>
          <w:bdr w:val="single" w:sz="4" w:space="0" w:color="auto"/>
        </w:rPr>
      </w:pPr>
      <w:r w:rsidRPr="00DA3BC7">
        <w:rPr>
          <w:rFonts w:ascii="Times Ext Roman" w:hAnsi="Times Ext Roman" w:cs="Times Ext Roman" w:hint="eastAsia"/>
          <w:b/>
          <w:sz w:val="20"/>
          <w:bdr w:val="single" w:sz="4" w:space="0" w:color="auto"/>
        </w:rPr>
        <w:t>（</w:t>
      </w:r>
      <w:r w:rsidR="001C14E0">
        <w:rPr>
          <w:rFonts w:ascii="Times Ext Roman" w:hAnsi="Times Ext Roman" w:cs="Times Ext Roman" w:hint="eastAsia"/>
          <w:b/>
          <w:sz w:val="20"/>
          <w:bdr w:val="single" w:sz="4" w:space="0" w:color="auto"/>
        </w:rPr>
        <w:t>2</w:t>
      </w:r>
      <w:r w:rsidRPr="00DA3BC7">
        <w:rPr>
          <w:rFonts w:ascii="Times Ext Roman" w:hAnsi="Times Ext Roman" w:cs="Times Ext Roman" w:hint="eastAsia"/>
          <w:b/>
          <w:sz w:val="20"/>
          <w:bdr w:val="single" w:sz="4" w:space="0" w:color="auto"/>
        </w:rPr>
        <w:t>）觀用</w:t>
      </w:r>
      <w:r w:rsidRPr="00DA3BC7">
        <w:rPr>
          <w:rFonts w:ascii="Times Ext Roman" w:hAnsi="Times Ext Roman" w:cs="Times Ext Roman" w:hint="eastAsia"/>
          <w:sz w:val="20"/>
          <w:szCs w:val="20"/>
        </w:rPr>
        <w:t>（</w:t>
      </w:r>
      <w:r w:rsidRPr="00DA3BC7">
        <w:rPr>
          <w:rFonts w:ascii="Times New Roman" w:hAnsi="Times New Roman" w:hint="eastAsia"/>
          <w:sz w:val="20"/>
          <w:szCs w:val="20"/>
        </w:rPr>
        <w:t>p.41</w:t>
      </w:r>
      <w:r w:rsidRPr="00DA3BC7">
        <w:rPr>
          <w:rFonts w:ascii="Times Ext Roman" w:hAnsi="Times Ext Roman" w:cs="Times Ext Roman" w:hint="eastAsia"/>
          <w:sz w:val="20"/>
        </w:rPr>
        <w:t>）</w:t>
      </w:r>
    </w:p>
    <w:p w:rsidR="002B682F" w:rsidRPr="00DA3BC7" w:rsidRDefault="002B682F" w:rsidP="00A27095">
      <w:pPr>
        <w:ind w:leftChars="250" w:left="600"/>
        <w:jc w:val="both"/>
        <w:rPr>
          <w:rFonts w:ascii="Times New Roman" w:hAnsi="Times New Roman"/>
        </w:rPr>
      </w:pPr>
      <w:r w:rsidRPr="00DA3BC7">
        <w:rPr>
          <w:rFonts w:ascii="Times New Roman" w:hAnsi="Times New Roman" w:hint="eastAsia"/>
        </w:rPr>
        <w:t>二、指</w:t>
      </w:r>
      <w:r w:rsidRPr="00DA3BC7">
        <w:rPr>
          <w:rFonts w:ascii="Times New Roman" w:hAnsi="Times New Roman" w:hint="eastAsia"/>
          <w:b/>
        </w:rPr>
        <w:t>觀用</w:t>
      </w:r>
      <w:r w:rsidRPr="00DA3BC7">
        <w:rPr>
          <w:rFonts w:ascii="Times New Roman" w:hAnsi="Times New Roman" w:hint="eastAsia"/>
        </w:rPr>
        <w:t>說，從觀慧所起的能觀察用，即名為觀。</w:t>
      </w:r>
    </w:p>
    <w:p w:rsidR="002B682F" w:rsidRPr="00DA3BC7" w:rsidRDefault="002B682F" w:rsidP="00AE3920">
      <w:pPr>
        <w:spacing w:beforeLines="20"/>
        <w:ind w:leftChars="450" w:left="1080"/>
        <w:jc w:val="both"/>
        <w:rPr>
          <w:rFonts w:ascii="Times New Roman" w:hAnsi="Times New Roman"/>
        </w:rPr>
      </w:pPr>
      <w:r w:rsidRPr="00DA3BC7">
        <w:rPr>
          <w:rFonts w:ascii="Times New Roman" w:hAnsi="Times New Roman" w:hint="eastAsia"/>
          <w:b/>
        </w:rPr>
        <w:t>用</w:t>
      </w:r>
      <w:r w:rsidRPr="00DA3BC7">
        <w:rPr>
          <w:rFonts w:ascii="Times New Roman" w:hAnsi="Times New Roman" w:hint="eastAsia"/>
        </w:rPr>
        <w:t>與</w:t>
      </w:r>
      <w:r w:rsidRPr="00DA3BC7">
        <w:rPr>
          <w:rFonts w:ascii="Times New Roman" w:hAnsi="Times New Roman" w:hint="eastAsia"/>
          <w:b/>
        </w:rPr>
        <w:t>體</w:t>
      </w:r>
      <w:r w:rsidRPr="00DA3BC7">
        <w:rPr>
          <w:rFonts w:ascii="Times New Roman" w:hAnsi="Times New Roman" w:hint="eastAsia"/>
        </w:rPr>
        <w:t>，佛法中常是通用的，如</w:t>
      </w:r>
      <w:r w:rsidRPr="00DA3BC7">
        <w:rPr>
          <w:rFonts w:hint="eastAsia"/>
        </w:rPr>
        <w:t>說「</w:t>
      </w:r>
      <w:r w:rsidRPr="00DA3BC7">
        <w:rPr>
          <w:rFonts w:ascii="標楷體" w:eastAsia="標楷體" w:hAnsi="標楷體" w:hint="eastAsia"/>
        </w:rPr>
        <w:t>思量為性相</w:t>
      </w:r>
      <w:r w:rsidRPr="00DA3BC7">
        <w:rPr>
          <w:rFonts w:ascii="Times New Roman" w:hAnsi="Times New Roman" w:hint="eastAsia"/>
        </w:rPr>
        <w:t>」</w:t>
      </w:r>
      <w:r w:rsidRPr="00DA3BC7">
        <w:rPr>
          <w:rFonts w:ascii="Times New Roman" w:hAnsi="Times New Roman"/>
          <w:vertAlign w:val="superscript"/>
        </w:rPr>
        <w:footnoteReference w:id="246"/>
      </w:r>
      <w:r w:rsidRPr="00DA3BC7">
        <w:rPr>
          <w:rFonts w:ascii="Times New Roman" w:hAnsi="Times New Roman" w:hint="eastAsia"/>
        </w:rPr>
        <w:t>，「</w:t>
      </w:r>
      <w:r w:rsidRPr="00DA3BC7">
        <w:rPr>
          <w:rFonts w:ascii="標楷體" w:eastAsia="標楷體" w:hAnsi="標楷體" w:hint="eastAsia"/>
        </w:rPr>
        <w:t>了別為行相</w:t>
      </w:r>
      <w:r w:rsidRPr="00DA3BC7">
        <w:rPr>
          <w:rFonts w:ascii="Times New Roman" w:hAnsi="Times New Roman" w:hint="eastAsia"/>
        </w:rPr>
        <w:t>」</w:t>
      </w:r>
      <w:r w:rsidRPr="00DA3BC7">
        <w:rPr>
          <w:rFonts w:ascii="Times New Roman" w:hAnsi="Times New Roman"/>
          <w:vertAlign w:val="superscript"/>
        </w:rPr>
        <w:footnoteReference w:id="247"/>
      </w:r>
      <w:r w:rsidRPr="00DA3BC7">
        <w:rPr>
          <w:rFonts w:ascii="Times New Roman" w:hAnsi="Times New Roman" w:hint="eastAsia"/>
        </w:rPr>
        <w:t>。</w:t>
      </w:r>
    </w:p>
    <w:p w:rsidR="002B682F" w:rsidRPr="00DA3BC7" w:rsidRDefault="002B682F" w:rsidP="00AE3920">
      <w:pPr>
        <w:spacing w:beforeLines="20"/>
        <w:ind w:leftChars="450" w:left="1080"/>
        <w:jc w:val="both"/>
        <w:rPr>
          <w:rFonts w:ascii="Times New Roman" w:hAnsi="Times New Roman"/>
        </w:rPr>
      </w:pPr>
      <w:r w:rsidRPr="00DA3BC7">
        <w:rPr>
          <w:rFonts w:ascii="Times New Roman" w:hAnsi="Times New Roman" w:hint="eastAsia"/>
          <w:b/>
        </w:rPr>
        <w:t>性</w:t>
      </w:r>
      <w:r w:rsidRPr="00DA3BC7">
        <w:rPr>
          <w:rFonts w:ascii="Times New Roman" w:hAnsi="Times New Roman" w:hint="eastAsia"/>
        </w:rPr>
        <w:t>即是</w:t>
      </w:r>
      <w:r w:rsidRPr="00DA3BC7">
        <w:rPr>
          <w:rFonts w:ascii="Times New Roman" w:hAnsi="Times New Roman" w:hint="eastAsia"/>
          <w:b/>
        </w:rPr>
        <w:t>體性</w:t>
      </w:r>
      <w:r w:rsidRPr="00DA3BC7">
        <w:rPr>
          <w:rFonts w:ascii="Times New Roman" w:hAnsi="Times New Roman" w:hint="eastAsia"/>
        </w:rPr>
        <w:t>，</w:t>
      </w:r>
      <w:r w:rsidRPr="00DA3BC7">
        <w:rPr>
          <w:rFonts w:ascii="Times New Roman" w:hAnsi="Times New Roman" w:hint="eastAsia"/>
          <w:b/>
        </w:rPr>
        <w:t>相</w:t>
      </w:r>
      <w:r w:rsidRPr="00DA3BC7">
        <w:rPr>
          <w:rFonts w:ascii="Times New Roman" w:hAnsi="Times New Roman" w:hint="eastAsia"/>
        </w:rPr>
        <w:t>即是</w:t>
      </w:r>
      <w:r w:rsidRPr="00DA3BC7">
        <w:rPr>
          <w:rFonts w:ascii="Times New Roman" w:hAnsi="Times New Roman" w:hint="eastAsia"/>
          <w:b/>
        </w:rPr>
        <w:t>用相</w:t>
      </w:r>
      <w:r w:rsidRPr="00DA3BC7">
        <w:rPr>
          <w:rFonts w:ascii="Times New Roman" w:hAnsi="Times New Roman" w:hint="eastAsia"/>
        </w:rPr>
        <w:t>；即是在思量或了境的作用中，顯示其體性。</w:t>
      </w:r>
    </w:p>
    <w:p w:rsidR="002B682F" w:rsidRPr="00DA3BC7" w:rsidRDefault="002B682F" w:rsidP="00AE3920">
      <w:pPr>
        <w:spacing w:beforeLines="20"/>
        <w:ind w:leftChars="450" w:left="1080"/>
        <w:jc w:val="both"/>
        <w:rPr>
          <w:rFonts w:ascii="Times New Roman" w:hAnsi="Times New Roman"/>
        </w:rPr>
      </w:pPr>
      <w:r w:rsidRPr="00DA3BC7">
        <w:rPr>
          <w:rFonts w:ascii="Times New Roman" w:hAnsi="Times New Roman" w:hint="eastAsia"/>
        </w:rPr>
        <w:lastRenderedPageBreak/>
        <w:t>今也是</w:t>
      </w:r>
      <w:r w:rsidRPr="00DA3BC7">
        <w:rPr>
          <w:rFonts w:ascii="Times New Roman" w:hAnsi="Times New Roman" w:hint="eastAsia"/>
          <w:b/>
        </w:rPr>
        <w:t>依觀察、思惟等作用，顯示觀慧的體性</w:t>
      </w:r>
      <w:r w:rsidRPr="00DA3BC7">
        <w:rPr>
          <w:rFonts w:ascii="Times New Roman" w:hAnsi="Times New Roman" w:hint="eastAsia"/>
        </w:rPr>
        <w:t>。</w:t>
      </w:r>
    </w:p>
    <w:p w:rsidR="002B682F" w:rsidRPr="00DA3BC7" w:rsidRDefault="002B682F" w:rsidP="00AE3920">
      <w:pPr>
        <w:spacing w:beforeLines="30"/>
        <w:ind w:leftChars="250" w:left="600"/>
        <w:jc w:val="both"/>
        <w:rPr>
          <w:rFonts w:ascii="Times Ext Roman" w:hAnsi="Times Ext Roman" w:cs="Times Ext Roman"/>
          <w:sz w:val="20"/>
          <w:bdr w:val="single" w:sz="4" w:space="0" w:color="auto"/>
        </w:rPr>
      </w:pPr>
      <w:r w:rsidRPr="00DA3BC7">
        <w:rPr>
          <w:rFonts w:ascii="Times Ext Roman" w:hAnsi="Times Ext Roman" w:cs="Times Ext Roman" w:hint="eastAsia"/>
          <w:b/>
          <w:sz w:val="20"/>
          <w:bdr w:val="single" w:sz="4" w:space="0" w:color="auto"/>
        </w:rPr>
        <w:t>（</w:t>
      </w:r>
      <w:r w:rsidR="001C14E0">
        <w:rPr>
          <w:rFonts w:ascii="Times Ext Roman" w:hAnsi="Times Ext Roman" w:cs="Times Ext Roman" w:hint="eastAsia"/>
          <w:b/>
          <w:sz w:val="20"/>
          <w:bdr w:val="single" w:sz="4" w:space="0" w:color="auto"/>
        </w:rPr>
        <w:t>3</w:t>
      </w:r>
      <w:r w:rsidRPr="00DA3BC7">
        <w:rPr>
          <w:rFonts w:ascii="Times Ext Roman" w:hAnsi="Times Ext Roman" w:cs="Times Ext Roman" w:hint="eastAsia"/>
          <w:b/>
          <w:sz w:val="20"/>
          <w:bdr w:val="single" w:sz="4" w:space="0" w:color="auto"/>
        </w:rPr>
        <w:t>）觀察的具體活動</w:t>
      </w:r>
      <w:r w:rsidRPr="00DA3BC7">
        <w:rPr>
          <w:rFonts w:ascii="Times Ext Roman" w:hAnsi="Times Ext Roman" w:cs="Times Ext Roman" w:hint="eastAsia"/>
          <w:sz w:val="20"/>
          <w:szCs w:val="20"/>
        </w:rPr>
        <w:t>（</w:t>
      </w:r>
      <w:r w:rsidRPr="00DA3BC7">
        <w:rPr>
          <w:rFonts w:ascii="Times New Roman" w:hAnsi="Times New Roman" w:hint="eastAsia"/>
          <w:sz w:val="20"/>
          <w:szCs w:val="20"/>
        </w:rPr>
        <w:t>pp.41-42</w:t>
      </w:r>
      <w:r w:rsidRPr="00DA3BC7">
        <w:rPr>
          <w:rFonts w:ascii="Times Ext Roman" w:hAnsi="Times Ext Roman" w:cs="Times Ext Roman" w:hint="eastAsia"/>
          <w:sz w:val="20"/>
          <w:szCs w:val="20"/>
        </w:rPr>
        <w:t>）</w:t>
      </w:r>
    </w:p>
    <w:p w:rsidR="002B682F" w:rsidRPr="00DA3BC7" w:rsidRDefault="002B682F" w:rsidP="00A27095">
      <w:pPr>
        <w:ind w:leftChars="250" w:left="600"/>
        <w:jc w:val="both"/>
        <w:rPr>
          <w:rFonts w:ascii="Times New Roman" w:hAnsi="Times New Roman"/>
        </w:rPr>
      </w:pPr>
      <w:r w:rsidRPr="00DA3BC7">
        <w:rPr>
          <w:rFonts w:ascii="Times New Roman" w:hAnsi="Times New Roman" w:hint="eastAsia"/>
        </w:rPr>
        <w:t>三、指</w:t>
      </w:r>
      <w:r w:rsidRPr="00DA3BC7">
        <w:rPr>
          <w:rFonts w:ascii="Times New Roman" w:hAnsi="Times New Roman" w:hint="eastAsia"/>
          <w:b/>
        </w:rPr>
        <w:t>觀察的具體活動</w:t>
      </w:r>
      <w:r w:rsidRPr="00DA3BC7">
        <w:rPr>
          <w:rFonts w:ascii="Times New Roman" w:hAnsi="Times New Roman" w:hint="eastAsia"/>
        </w:rPr>
        <w:t>說，這包括的內容很多。</w:t>
      </w:r>
    </w:p>
    <w:p w:rsidR="002B682F" w:rsidRPr="00DA3BC7" w:rsidRDefault="002B682F" w:rsidP="00AE3920">
      <w:pPr>
        <w:spacing w:beforeLines="20"/>
        <w:ind w:leftChars="450" w:left="1080"/>
        <w:jc w:val="both"/>
        <w:rPr>
          <w:rFonts w:ascii="Times New Roman" w:hAnsi="Times New Roman"/>
        </w:rPr>
      </w:pPr>
      <w:r w:rsidRPr="00DA3BC7">
        <w:rPr>
          <w:rFonts w:ascii="Times New Roman" w:hAnsi="Times New Roman" w:hint="eastAsia"/>
        </w:rPr>
        <w:t>說到觀，即是依所觀的對象而起能觀，以能觀去觀察所觀，</w:t>
      </w:r>
      <w:r w:rsidRPr="00DA3BC7">
        <w:rPr>
          <w:rFonts w:ascii="Times New Roman" w:hAnsi="Times New Roman" w:hint="eastAsia"/>
          <w:b/>
        </w:rPr>
        <w:t>所有的觀察方法</w:t>
      </w:r>
      <w:r w:rsidRPr="00DA3BC7">
        <w:rPr>
          <w:rFonts w:ascii="新細明體" w:hAnsi="新細明體" w:hint="eastAsia"/>
        </w:rPr>
        <w:t>、</w:t>
      </w:r>
      <w:r w:rsidRPr="00DA3BC7">
        <w:rPr>
          <w:rFonts w:ascii="Times New Roman" w:hAnsi="Times New Roman" w:hint="eastAsia"/>
          <w:b/>
        </w:rPr>
        <w:t>觀察過程</w:t>
      </w:r>
      <w:r w:rsidRPr="00DA3BC7">
        <w:rPr>
          <w:rFonts w:ascii="Times New Roman" w:hAnsi="Times New Roman" w:hint="eastAsia"/>
        </w:rPr>
        <w:t>等等，同為相依相待的緣起。</w:t>
      </w:r>
    </w:p>
    <w:p w:rsidR="002B682F" w:rsidRPr="00DA3BC7" w:rsidRDefault="002B682F" w:rsidP="00AE3920">
      <w:pPr>
        <w:spacing w:beforeLines="20"/>
        <w:ind w:leftChars="450" w:left="1080"/>
        <w:jc w:val="both"/>
        <w:rPr>
          <w:rFonts w:ascii="Times New Roman" w:hAnsi="Times New Roman"/>
        </w:rPr>
      </w:pPr>
      <w:r w:rsidRPr="00DA3BC7">
        <w:rPr>
          <w:rFonts w:ascii="Times New Roman" w:hAnsi="Times New Roman" w:hint="eastAsia"/>
        </w:rPr>
        <w:t>這在《般若經》中，曾分為五類：一、觀，二、所觀，三、觀者，四、觀所依處，五、觀所起時。</w:t>
      </w:r>
      <w:r w:rsidRPr="00DA3BC7">
        <w:rPr>
          <w:rFonts w:ascii="Times New Roman" w:hAnsi="Times New Roman"/>
          <w:vertAlign w:val="superscript"/>
        </w:rPr>
        <w:footnoteReference w:id="248"/>
      </w:r>
      <w:r w:rsidRPr="00DA3BC7">
        <w:rPr>
          <w:rFonts w:ascii="Times New Roman" w:hAnsi="Times New Roman" w:hint="eastAsia"/>
        </w:rPr>
        <w:t>若離了這些，觀就無從成立了。</w:t>
      </w:r>
    </w:p>
    <w:p w:rsidR="002B682F" w:rsidRPr="00DA3BC7" w:rsidRDefault="002B682F" w:rsidP="00AE3920">
      <w:pPr>
        <w:spacing w:beforeLines="20"/>
        <w:ind w:leftChars="450" w:left="1080"/>
        <w:jc w:val="both"/>
        <w:rPr>
          <w:rFonts w:ascii="Times New Roman" w:hAnsi="Times New Roman"/>
        </w:rPr>
      </w:pPr>
      <w:r w:rsidRPr="00DA3BC7">
        <w:rPr>
          <w:rFonts w:ascii="Times New Roman" w:hAnsi="Times New Roman" w:hint="eastAsia"/>
        </w:rPr>
        <w:t>所以，依於緣起的相依相待法則，才有內心的思惟與考察的中觀</w:t>
      </w:r>
      <w:r w:rsidRPr="00DA3BC7">
        <w:rPr>
          <w:rFonts w:hint="eastAsia"/>
        </w:rPr>
        <w:t>。</w:t>
      </w:r>
    </w:p>
    <w:p w:rsidR="002B682F" w:rsidRPr="00DA3BC7" w:rsidRDefault="001C14E0" w:rsidP="00AE3920">
      <w:pPr>
        <w:spacing w:beforeLines="30"/>
        <w:ind w:leftChars="150" w:left="360"/>
        <w:jc w:val="both"/>
        <w:rPr>
          <w:rFonts w:ascii="Times Ext Roman" w:hAnsi="Times Ext Roman" w:cs="Times Ext Roman"/>
          <w:sz w:val="20"/>
          <w:bdr w:val="single" w:sz="4" w:space="0" w:color="auto"/>
        </w:rPr>
      </w:pPr>
      <w:r w:rsidRPr="001C14E0">
        <w:rPr>
          <w:rFonts w:ascii="Times Ext Roman" w:hAnsi="Times Ext Roman" w:cs="Times Ext Roman" w:hint="eastAsia"/>
          <w:b/>
          <w:color w:val="FF0000"/>
          <w:sz w:val="20"/>
          <w:highlight w:val="yellow"/>
          <w:bdr w:val="single" w:sz="4" w:space="0" w:color="auto"/>
        </w:rPr>
        <w:t>（</w:t>
      </w:r>
      <w:r w:rsidR="002B682F" w:rsidRPr="001C14E0">
        <w:rPr>
          <w:rFonts w:ascii="Times Ext Roman" w:hAnsi="Times Ext Roman" w:cs="Times Ext Roman" w:hint="eastAsia"/>
          <w:b/>
          <w:color w:val="FF0000"/>
          <w:sz w:val="20"/>
          <w:highlight w:val="yellow"/>
          <w:bdr w:val="single" w:sz="4" w:space="0" w:color="auto"/>
        </w:rPr>
        <w:t>二</w:t>
      </w:r>
      <w:r w:rsidRPr="001C14E0">
        <w:rPr>
          <w:rFonts w:ascii="Times Ext Roman" w:hAnsi="Times Ext Roman" w:cs="Times Ext Roman" w:hint="eastAsia"/>
          <w:b/>
          <w:color w:val="FF0000"/>
          <w:sz w:val="20"/>
          <w:highlight w:val="yellow"/>
          <w:bdr w:val="single" w:sz="4" w:space="0" w:color="auto"/>
        </w:rPr>
        <w:t>）</w:t>
      </w:r>
      <w:r w:rsidR="002B682F" w:rsidRPr="001C14E0">
        <w:rPr>
          <w:rFonts w:ascii="Times Ext Roman" w:hAnsi="Times Ext Roman" w:cs="Times Ext Roman" w:hint="eastAsia"/>
          <w:b/>
          <w:color w:val="FF0000"/>
          <w:sz w:val="20"/>
          <w:highlight w:val="yellow"/>
          <w:bdr w:val="single" w:sz="4" w:space="0" w:color="auto"/>
        </w:rPr>
        <w:t>「</w:t>
      </w:r>
      <w:r w:rsidRPr="001C14E0">
        <w:rPr>
          <w:rFonts w:ascii="Times Ext Roman" w:hAnsi="Times Ext Roman" w:cs="Times Ext Roman" w:hint="eastAsia"/>
          <w:b/>
          <w:color w:val="FF0000"/>
          <w:sz w:val="20"/>
          <w:highlight w:val="yellow"/>
          <w:bdr w:val="single" w:sz="4" w:space="0" w:color="auto"/>
        </w:rPr>
        <w:t>中</w:t>
      </w:r>
      <w:r w:rsidR="002B682F" w:rsidRPr="001C14E0">
        <w:rPr>
          <w:rFonts w:ascii="Times Ext Roman" w:hAnsi="Times Ext Roman" w:cs="Times Ext Roman" w:hint="eastAsia"/>
          <w:b/>
          <w:color w:val="FF0000"/>
          <w:sz w:val="20"/>
          <w:highlight w:val="yellow"/>
          <w:bdr w:val="single" w:sz="4" w:space="0" w:color="auto"/>
        </w:rPr>
        <w:t>論」</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p.42</w:t>
      </w:r>
      <w:r w:rsidR="002B682F" w:rsidRPr="00DA3BC7">
        <w:rPr>
          <w:rFonts w:ascii="Times Ext Roman" w:hAnsi="Times Ext Roman" w:cs="Times Ext Roman" w:hint="eastAsia"/>
          <w:sz w:val="20"/>
          <w:szCs w:val="20"/>
        </w:rPr>
        <w:t>）</w:t>
      </w:r>
    </w:p>
    <w:p w:rsidR="001C14E0" w:rsidRPr="00DA3BC7" w:rsidRDefault="001C14E0" w:rsidP="00993586">
      <w:pPr>
        <w:ind w:leftChars="200" w:left="480"/>
        <w:jc w:val="both"/>
        <w:rPr>
          <w:rFonts w:ascii="Times Ext Roman" w:hAnsi="Times Ext Roman" w:cs="Times Ext Roman"/>
          <w:sz w:val="20"/>
          <w:szCs w:val="20"/>
          <w:bdr w:val="single" w:sz="4" w:space="0" w:color="auto"/>
        </w:rPr>
      </w:pPr>
      <w:r>
        <w:rPr>
          <w:rFonts w:ascii="Times Ext Roman" w:hAnsi="Times Ext Roman" w:cs="Times Ext Roman" w:hint="eastAsia"/>
          <w:b/>
          <w:color w:val="FF0000"/>
          <w:sz w:val="20"/>
          <w:highlight w:val="yellow"/>
          <w:bdr w:val="single" w:sz="4" w:space="0" w:color="auto"/>
        </w:rPr>
        <w:t>1</w:t>
      </w:r>
      <w:r>
        <w:rPr>
          <w:rFonts w:ascii="Times Ext Roman" w:hAnsi="Times Ext Roman" w:cs="Times Ext Roman" w:hint="eastAsia"/>
          <w:b/>
          <w:color w:val="FF0000"/>
          <w:sz w:val="20"/>
          <w:highlight w:val="yellow"/>
          <w:bdr w:val="single" w:sz="4" w:space="0" w:color="auto"/>
        </w:rPr>
        <w:t>、略標</w:t>
      </w:r>
      <w:r w:rsidRPr="00DA3BC7">
        <w:rPr>
          <w:rFonts w:ascii="Times Ext Roman" w:hAnsi="Times Ext Roman" w:cs="Times Ext Roman" w:hint="eastAsia"/>
          <w:sz w:val="20"/>
          <w:szCs w:val="20"/>
        </w:rPr>
        <w:t>（</w:t>
      </w:r>
      <w:r w:rsidRPr="00DA3BC7">
        <w:rPr>
          <w:rFonts w:ascii="Times New Roman" w:hAnsi="Times New Roman" w:hint="eastAsia"/>
          <w:sz w:val="20"/>
          <w:szCs w:val="20"/>
        </w:rPr>
        <w:t>p.4</w:t>
      </w:r>
      <w:r>
        <w:rPr>
          <w:rFonts w:ascii="Times New Roman" w:hAnsi="Times New Roman" w:hint="eastAsia"/>
          <w:sz w:val="20"/>
          <w:szCs w:val="20"/>
        </w:rPr>
        <w:t>2</w:t>
      </w:r>
      <w:r w:rsidRPr="00DA3BC7">
        <w:rPr>
          <w:rFonts w:ascii="Times Ext Roman" w:hAnsi="Times Ext Roman" w:cs="Times Ext Roman" w:hint="eastAsia"/>
          <w:sz w:val="20"/>
          <w:szCs w:val="20"/>
        </w:rPr>
        <w:t>）</w:t>
      </w:r>
    </w:p>
    <w:p w:rsidR="001C14E0" w:rsidRDefault="002B682F" w:rsidP="00993586">
      <w:pPr>
        <w:ind w:leftChars="200" w:left="480"/>
        <w:jc w:val="both"/>
        <w:rPr>
          <w:rFonts w:ascii="新細明體" w:hAnsi="新細明體"/>
        </w:rPr>
      </w:pPr>
      <w:r w:rsidRPr="00DA3BC7">
        <w:rPr>
          <w:rFonts w:ascii="Times New Roman" w:hAnsi="Times New Roman" w:hint="eastAsia"/>
        </w:rPr>
        <w:t>再說</w:t>
      </w:r>
      <w:r w:rsidRPr="00DA3BC7">
        <w:rPr>
          <w:rFonts w:ascii="Times New Roman" w:hAnsi="Times New Roman" w:hint="eastAsia"/>
          <w:b/>
        </w:rPr>
        <w:t>中論</w:t>
      </w:r>
      <w:r w:rsidRPr="00DA3BC7">
        <w:rPr>
          <w:rFonts w:ascii="新細明體" w:hAnsi="新細明體" w:hint="eastAsia"/>
        </w:rPr>
        <w:t>。</w:t>
      </w:r>
    </w:p>
    <w:p w:rsidR="001C14E0" w:rsidRDefault="001C14E0" w:rsidP="00AE3920">
      <w:pPr>
        <w:spacing w:beforeLines="30"/>
        <w:ind w:leftChars="200" w:left="480"/>
        <w:jc w:val="both"/>
        <w:rPr>
          <w:rFonts w:ascii="Times Ext Roman" w:hAnsi="Times Ext Roman" w:cs="Times Ext Roman"/>
          <w:b/>
          <w:color w:val="FF0000"/>
          <w:sz w:val="20"/>
          <w:bdr w:val="single" w:sz="4" w:space="0" w:color="auto"/>
        </w:rPr>
      </w:pPr>
      <w:r>
        <w:rPr>
          <w:rFonts w:ascii="Times Ext Roman" w:hAnsi="Times Ext Roman" w:cs="Times Ext Roman" w:hint="eastAsia"/>
          <w:b/>
          <w:color w:val="FF0000"/>
          <w:sz w:val="20"/>
          <w:highlight w:val="yellow"/>
          <w:bdr w:val="single" w:sz="4" w:space="0" w:color="auto"/>
        </w:rPr>
        <w:t>2</w:t>
      </w:r>
      <w:r w:rsidRPr="001C14E0">
        <w:rPr>
          <w:rFonts w:ascii="Times Ext Roman" w:hAnsi="Times Ext Roman" w:cs="Times Ext Roman"/>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詳釋</w:t>
      </w:r>
    </w:p>
    <w:p w:rsidR="002B682F" w:rsidRPr="00DA3BC7" w:rsidRDefault="002B682F" w:rsidP="00A27095">
      <w:pPr>
        <w:ind w:leftChars="200" w:left="480"/>
        <w:jc w:val="both"/>
        <w:rPr>
          <w:rFonts w:ascii="Times New Roman" w:hAnsi="Times New Roman"/>
        </w:rPr>
      </w:pPr>
      <w:r w:rsidRPr="00DA3BC7">
        <w:rPr>
          <w:rFonts w:ascii="Times New Roman" w:hAnsi="Times New Roman" w:hint="eastAsia"/>
        </w:rPr>
        <w:t>論有兩種：</w:t>
      </w:r>
    </w:p>
    <w:p w:rsidR="002B682F" w:rsidRPr="00DA3BC7" w:rsidRDefault="002B682F" w:rsidP="00A27095">
      <w:pPr>
        <w:ind w:leftChars="200" w:left="480"/>
        <w:jc w:val="both"/>
        <w:rPr>
          <w:rFonts w:ascii="Times New Roman" w:hAnsi="Times New Roman"/>
        </w:rPr>
      </w:pPr>
      <w:r w:rsidRPr="00DA3BC7">
        <w:rPr>
          <w:rFonts w:ascii="Times New Roman" w:hAnsi="Times New Roman" w:hint="eastAsia"/>
        </w:rPr>
        <w:t>一、語言的文字，依音聲的「語表」來論說的。</w:t>
      </w:r>
    </w:p>
    <w:p w:rsidR="002B682F" w:rsidRPr="00DA3BC7" w:rsidRDefault="002B682F" w:rsidP="00A27095">
      <w:pPr>
        <w:ind w:leftChars="200" w:left="960" w:hangingChars="200" w:hanging="480"/>
        <w:jc w:val="both"/>
        <w:rPr>
          <w:rFonts w:ascii="Times New Roman" w:hAnsi="Times New Roman"/>
        </w:rPr>
      </w:pPr>
      <w:r w:rsidRPr="00DA3BC7">
        <w:rPr>
          <w:rFonts w:ascii="Times New Roman" w:hAnsi="Times New Roman" w:hint="eastAsia"/>
        </w:rPr>
        <w:t>二、「表色」──間接的文字，即一般的文字，依形色的文、句、章、段以論說的。</w:t>
      </w:r>
    </w:p>
    <w:p w:rsidR="002B682F" w:rsidRPr="00DA3BC7" w:rsidRDefault="002B682F" w:rsidP="00AE3920">
      <w:pPr>
        <w:spacing w:beforeLines="20"/>
        <w:ind w:leftChars="200" w:left="480"/>
        <w:jc w:val="both"/>
        <w:rPr>
          <w:rFonts w:ascii="Times New Roman" w:hAnsi="Times New Roman"/>
        </w:rPr>
      </w:pPr>
      <w:r w:rsidRPr="00DA3BC7">
        <w:rPr>
          <w:rFonts w:ascii="Times New Roman" w:hAnsi="Times New Roman" w:hint="eastAsia"/>
        </w:rPr>
        <w:t>兩者都名之為論，都是論述內心的見地，表示而傳達於他人的。</w:t>
      </w:r>
    </w:p>
    <w:p w:rsidR="002B682F" w:rsidRPr="00DA3BC7" w:rsidRDefault="001C14E0" w:rsidP="00AE3920">
      <w:pPr>
        <w:spacing w:beforeLines="30"/>
        <w:ind w:leftChars="100" w:left="240"/>
        <w:jc w:val="both"/>
        <w:rPr>
          <w:rFonts w:ascii="Times Ext Roman" w:hAnsi="Times Ext Roman" w:cs="Times Ext Roman"/>
          <w:sz w:val="20"/>
          <w:bdr w:val="single" w:sz="4" w:space="0" w:color="auto"/>
        </w:rPr>
      </w:pPr>
      <w:r>
        <w:rPr>
          <w:rFonts w:ascii="Times Ext Roman" w:hAnsi="Times Ext Roman" w:cs="Times Ext Roman" w:hint="eastAsia"/>
          <w:b/>
          <w:color w:val="FF0000"/>
          <w:sz w:val="20"/>
          <w:highlight w:val="yellow"/>
          <w:bdr w:val="single" w:sz="4" w:space="0" w:color="auto"/>
        </w:rPr>
        <w:t>二</w:t>
      </w:r>
      <w:r w:rsidR="002B682F" w:rsidRPr="001C14E0">
        <w:rPr>
          <w:rFonts w:ascii="Times Ext Roman" w:hAnsi="Times Ext Roman" w:cs="Times Ext Roman" w:hint="eastAsia"/>
          <w:b/>
          <w:color w:val="FF0000"/>
          <w:sz w:val="20"/>
          <w:highlight w:val="yellow"/>
          <w:bdr w:val="single" w:sz="4" w:space="0" w:color="auto"/>
        </w:rPr>
        <w:t>、</w:t>
      </w:r>
      <w:r w:rsidRPr="001C14E0">
        <w:rPr>
          <w:rFonts w:ascii="Times Ext Roman" w:hAnsi="Times Ext Roman" w:cs="Times Ext Roman" w:hint="eastAsia"/>
          <w:b/>
          <w:color w:val="FF0000"/>
          <w:sz w:val="20"/>
          <w:highlight w:val="yellow"/>
          <w:bdr w:val="single" w:sz="4" w:space="0" w:color="auto"/>
        </w:rPr>
        <w:t>合</w:t>
      </w:r>
      <w:r>
        <w:rPr>
          <w:rFonts w:ascii="Times Ext Roman" w:hAnsi="Times Ext Roman" w:cs="Times Ext Roman" w:hint="eastAsia"/>
          <w:b/>
          <w:color w:val="FF0000"/>
          <w:sz w:val="20"/>
          <w:highlight w:val="yellow"/>
          <w:bdr w:val="single" w:sz="4" w:space="0" w:color="auto"/>
        </w:rPr>
        <w:t>明：</w:t>
      </w:r>
      <w:r w:rsidR="002B682F" w:rsidRPr="00DA3BC7">
        <w:rPr>
          <w:rFonts w:ascii="Times Ext Roman" w:hAnsi="Times Ext Roman" w:cs="Times Ext Roman" w:hint="eastAsia"/>
          <w:b/>
          <w:sz w:val="20"/>
          <w:bdr w:val="single" w:sz="4" w:space="0" w:color="auto"/>
        </w:rPr>
        <w:t>「觀」與「論」之關係</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pp.42-43</w:t>
      </w:r>
      <w:r w:rsidR="002B682F" w:rsidRPr="00DA3BC7">
        <w:rPr>
          <w:rFonts w:ascii="Times Ext Roman" w:hAnsi="Times Ext Roman" w:cs="Times Ext Roman" w:hint="eastAsia"/>
          <w:sz w:val="20"/>
          <w:szCs w:val="20"/>
        </w:rPr>
        <w:t>）</w:t>
      </w:r>
    </w:p>
    <w:p w:rsidR="002B682F" w:rsidRPr="00DA3BC7" w:rsidRDefault="002B682F" w:rsidP="008E2BBC">
      <w:pPr>
        <w:ind w:leftChars="100" w:left="240"/>
        <w:jc w:val="both"/>
        <w:rPr>
          <w:rFonts w:ascii="Times New Roman" w:hAnsi="Times New Roman"/>
        </w:rPr>
      </w:pPr>
      <w:r w:rsidRPr="00DA3BC7">
        <w:rPr>
          <w:rFonts w:ascii="Times New Roman" w:hAnsi="Times New Roman" w:hint="eastAsia"/>
          <w:b/>
        </w:rPr>
        <w:t>觀</w:t>
      </w:r>
      <w:r w:rsidRPr="00DA3BC7">
        <w:rPr>
          <w:rFonts w:ascii="Times New Roman" w:hAnsi="Times New Roman" w:hint="eastAsia"/>
        </w:rPr>
        <w:t>與</w:t>
      </w:r>
      <w:r w:rsidRPr="00DA3BC7">
        <w:rPr>
          <w:rFonts w:ascii="Times New Roman" w:hAnsi="Times New Roman" w:hint="eastAsia"/>
          <w:b/>
        </w:rPr>
        <w:t>論</w:t>
      </w:r>
      <w:r w:rsidRPr="00DA3BC7">
        <w:rPr>
          <w:rFonts w:ascii="Times New Roman" w:hAnsi="Times New Roman" w:hint="eastAsia"/>
        </w:rPr>
        <w:t>，同是對於事理的記錄</w:t>
      </w:r>
      <w:r w:rsidRPr="00DA3BC7">
        <w:rPr>
          <w:rFonts w:ascii="新細明體" w:hAnsi="新細明體" w:hint="eastAsia"/>
        </w:rPr>
        <w:t>。</w:t>
      </w:r>
    </w:p>
    <w:p w:rsidR="002B682F" w:rsidRPr="00DA3BC7" w:rsidRDefault="002B682F" w:rsidP="00AE3920">
      <w:pPr>
        <w:spacing w:beforeLines="20"/>
        <w:ind w:leftChars="100" w:left="240"/>
        <w:jc w:val="both"/>
        <w:rPr>
          <w:rFonts w:ascii="Times New Roman" w:hAnsi="Times New Roman"/>
        </w:rPr>
      </w:pPr>
      <w:r w:rsidRPr="00DA3BC7">
        <w:rPr>
          <w:rFonts w:ascii="Times New Roman" w:hAnsi="Times New Roman" w:hint="eastAsia"/>
        </w:rPr>
        <w:t>但</w:t>
      </w:r>
      <w:r w:rsidRPr="00DA3BC7">
        <w:rPr>
          <w:rFonts w:ascii="Times New Roman" w:hAnsi="Times New Roman" w:hint="eastAsia"/>
          <w:b/>
        </w:rPr>
        <w:t>觀</w:t>
      </w:r>
      <w:r w:rsidRPr="00DA3BC7">
        <w:rPr>
          <w:rFonts w:ascii="Times New Roman" w:hAnsi="Times New Roman" w:hint="eastAsia"/>
        </w:rPr>
        <w:t>是內心的思想活動</w:t>
      </w:r>
      <w:r w:rsidRPr="00DA3BC7">
        <w:rPr>
          <w:rFonts w:ascii="新細明體" w:hAnsi="新細明體" w:hint="eastAsia"/>
        </w:rPr>
        <w:t>，</w:t>
      </w:r>
      <w:r w:rsidRPr="00DA3BC7">
        <w:rPr>
          <w:rFonts w:ascii="Times New Roman" w:hAnsi="Times New Roman" w:hint="eastAsia"/>
        </w:rPr>
        <w:t>不僅是記錄正理，而且是以種種方法去發現事理的深密</w:t>
      </w:r>
      <w:r w:rsidRPr="00DA3BC7">
        <w:rPr>
          <w:rFonts w:ascii="新細明體" w:hAnsi="新細明體" w:hint="eastAsia"/>
        </w:rPr>
        <w:t>；</w:t>
      </w:r>
    </w:p>
    <w:p w:rsidR="002B682F" w:rsidRPr="00DA3BC7" w:rsidRDefault="002B682F" w:rsidP="008E2BBC">
      <w:pPr>
        <w:ind w:leftChars="100" w:left="240"/>
        <w:jc w:val="both"/>
        <w:rPr>
          <w:rFonts w:ascii="Times New Roman" w:hAnsi="Times New Roman"/>
        </w:rPr>
      </w:pPr>
      <w:r w:rsidRPr="00DA3BC7">
        <w:rPr>
          <w:rFonts w:ascii="Times New Roman" w:hAnsi="Times New Roman" w:hint="eastAsia"/>
          <w:b/>
        </w:rPr>
        <w:t>論</w:t>
      </w:r>
      <w:r w:rsidRPr="00DA3BC7">
        <w:rPr>
          <w:rFonts w:ascii="Times New Roman" w:hAnsi="Times New Roman" w:hint="eastAsia"/>
        </w:rPr>
        <w:t>是思想活動的方法、過程、結</w:t>
      </w:r>
      <w:r w:rsidRPr="00DA3BC7">
        <w:rPr>
          <w:rFonts w:hint="eastAsia"/>
        </w:rPr>
        <w:t>論表</w:t>
      </w:r>
      <w:r w:rsidRPr="00DA3BC7">
        <w:rPr>
          <w:rFonts w:ascii="Times New Roman" w:hAnsi="Times New Roman" w:hint="eastAsia"/>
        </w:rPr>
        <w:t>現於聲色的符號，以傳達於他人、將來。</w:t>
      </w:r>
    </w:p>
    <w:p w:rsidR="002B682F" w:rsidRPr="00DA3BC7" w:rsidRDefault="002B682F" w:rsidP="00AE3920">
      <w:pPr>
        <w:spacing w:beforeLines="20"/>
        <w:ind w:leftChars="100" w:left="240"/>
        <w:jc w:val="both"/>
        <w:rPr>
          <w:rFonts w:ascii="Times New Roman" w:hAnsi="Times New Roman"/>
        </w:rPr>
      </w:pPr>
      <w:r w:rsidRPr="00DA3BC7">
        <w:rPr>
          <w:rFonts w:ascii="Times New Roman" w:hAnsi="Times New Roman" w:hint="eastAsia"/>
        </w:rPr>
        <w:t>雖各有特長，而觀察與語文的對象，大體是同一的</w:t>
      </w:r>
      <w:r w:rsidRPr="00DA3BC7">
        <w:rPr>
          <w:rFonts w:ascii="新細明體" w:hAnsi="新細明體" w:hint="eastAsia"/>
        </w:rPr>
        <w:t>；</w:t>
      </w:r>
      <w:r w:rsidRPr="00DA3BC7">
        <w:rPr>
          <w:rFonts w:ascii="Times New Roman" w:hAnsi="Times New Roman" w:hint="eastAsia"/>
        </w:rPr>
        <w:t>因此古德說：「</w:t>
      </w:r>
      <w:r w:rsidRPr="00DA3BC7">
        <w:rPr>
          <w:rFonts w:ascii="標楷體" w:eastAsia="標楷體" w:hAnsi="標楷體" w:hint="eastAsia"/>
        </w:rPr>
        <w:t>存之於心為</w:t>
      </w:r>
      <w:r w:rsidRPr="00DA3BC7">
        <w:rPr>
          <w:rFonts w:ascii="標楷體" w:eastAsia="標楷體" w:hAnsi="標楷體" w:hint="eastAsia"/>
          <w:b/>
        </w:rPr>
        <w:t>觀</w:t>
      </w:r>
      <w:r w:rsidRPr="00DA3BC7">
        <w:rPr>
          <w:rFonts w:ascii="標楷體" w:eastAsia="標楷體" w:hAnsi="標楷體" w:hint="eastAsia"/>
        </w:rPr>
        <w:t>，吐之於口為</w:t>
      </w:r>
      <w:r w:rsidRPr="00DA3BC7">
        <w:rPr>
          <w:rFonts w:ascii="標楷體" w:eastAsia="標楷體" w:hAnsi="標楷體" w:hint="eastAsia"/>
          <w:b/>
        </w:rPr>
        <w:t>論</w:t>
      </w:r>
      <w:r w:rsidRPr="00DA3BC7">
        <w:rPr>
          <w:rFonts w:hint="eastAsia"/>
        </w:rPr>
        <w:t>。</w:t>
      </w:r>
      <w:r w:rsidRPr="00DA3BC7">
        <w:rPr>
          <w:rFonts w:ascii="Times New Roman" w:hAnsi="Times New Roman" w:hint="eastAsia"/>
        </w:rPr>
        <w:t>」</w:t>
      </w:r>
      <w:r w:rsidRPr="00DA3BC7">
        <w:rPr>
          <w:rFonts w:ascii="Times New Roman" w:hAnsi="Times New Roman"/>
          <w:vertAlign w:val="superscript"/>
        </w:rPr>
        <w:footnoteReference w:id="249"/>
      </w:r>
      <w:r w:rsidRPr="00DA3BC7">
        <w:rPr>
          <w:rFonts w:ascii="Times New Roman" w:hAnsi="Times New Roman" w:hint="eastAsia"/>
        </w:rPr>
        <w:t>。</w:t>
      </w:r>
    </w:p>
    <w:p w:rsidR="002B682F" w:rsidRPr="00DA3BC7" w:rsidRDefault="001C14E0" w:rsidP="00AE3920">
      <w:pPr>
        <w:spacing w:beforeLines="30"/>
        <w:ind w:leftChars="50" w:left="120"/>
        <w:jc w:val="both"/>
        <w:rPr>
          <w:rFonts w:ascii="Times Ext Roman" w:hAnsi="Times Ext Roman" w:cs="Times Ext Roman"/>
          <w:sz w:val="20"/>
          <w:bdr w:val="single" w:sz="4" w:space="0" w:color="auto"/>
        </w:rPr>
      </w:pPr>
      <w:r w:rsidRPr="001C14E0">
        <w:rPr>
          <w:rFonts w:ascii="Times Ext Roman" w:hAnsi="Times Ext Roman" w:cs="Times Ext Roman" w:hint="eastAsia"/>
          <w:b/>
          <w:color w:val="FF0000"/>
          <w:sz w:val="20"/>
          <w:highlight w:val="yellow"/>
          <w:bdr w:val="single" w:sz="4" w:space="0" w:color="auto"/>
        </w:rPr>
        <w:lastRenderedPageBreak/>
        <w:t>（貳）「</w:t>
      </w:r>
      <w:r w:rsidR="002B682F" w:rsidRPr="001C14E0">
        <w:rPr>
          <w:rFonts w:ascii="Times Ext Roman" w:hAnsi="Times Ext Roman" w:cs="Times Ext Roman" w:hint="eastAsia"/>
          <w:b/>
          <w:color w:val="FF0000"/>
          <w:sz w:val="20"/>
          <w:highlight w:val="yellow"/>
          <w:bdr w:val="single" w:sz="4" w:space="0" w:color="auto"/>
        </w:rPr>
        <w:t>觀</w:t>
      </w:r>
      <w:r w:rsidRPr="001C14E0">
        <w:rPr>
          <w:rFonts w:ascii="Times Ext Roman" w:hAnsi="Times Ext Roman" w:cs="Times Ext Roman" w:hint="eastAsia"/>
          <w:b/>
          <w:color w:val="FF0000"/>
          <w:sz w:val="20"/>
          <w:highlight w:val="yellow"/>
          <w:bdr w:val="single" w:sz="4" w:space="0" w:color="auto"/>
        </w:rPr>
        <w:t>」</w:t>
      </w:r>
      <w:r w:rsidR="002B682F" w:rsidRPr="001C14E0">
        <w:rPr>
          <w:rFonts w:ascii="Times Ext Roman" w:hAnsi="Times Ext Roman" w:cs="Times Ext Roman" w:hint="eastAsia"/>
          <w:b/>
          <w:color w:val="FF0000"/>
          <w:sz w:val="20"/>
          <w:highlight w:val="yellow"/>
          <w:bdr w:val="single" w:sz="4" w:space="0" w:color="auto"/>
        </w:rPr>
        <w:t>、</w:t>
      </w:r>
      <w:r w:rsidRPr="001C14E0">
        <w:rPr>
          <w:rFonts w:ascii="Times Ext Roman" w:hAnsi="Times Ext Roman" w:cs="Times Ext Roman" w:hint="eastAsia"/>
          <w:b/>
          <w:color w:val="FF0000"/>
          <w:sz w:val="20"/>
          <w:highlight w:val="yellow"/>
          <w:bdr w:val="single" w:sz="4" w:space="0" w:color="auto"/>
        </w:rPr>
        <w:t>「</w:t>
      </w:r>
      <w:r w:rsidR="002B682F" w:rsidRPr="001C14E0">
        <w:rPr>
          <w:rFonts w:ascii="Times Ext Roman" w:hAnsi="Times Ext Roman" w:cs="Times Ext Roman" w:hint="eastAsia"/>
          <w:b/>
          <w:color w:val="FF0000"/>
          <w:sz w:val="20"/>
          <w:highlight w:val="yellow"/>
          <w:bdr w:val="single" w:sz="4" w:space="0" w:color="auto"/>
        </w:rPr>
        <w:t>論</w:t>
      </w:r>
      <w:r w:rsidRPr="001C14E0">
        <w:rPr>
          <w:rFonts w:ascii="Times Ext Roman" w:hAnsi="Times Ext Roman" w:cs="Times Ext Roman" w:hint="eastAsia"/>
          <w:b/>
          <w:color w:val="FF0000"/>
          <w:sz w:val="20"/>
          <w:highlight w:val="yellow"/>
          <w:bdr w:val="single" w:sz="4" w:space="0" w:color="auto"/>
        </w:rPr>
        <w:t>」的對象及其關聯性</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pp.42-43</w:t>
      </w:r>
      <w:r w:rsidR="002B682F" w:rsidRPr="00DA3BC7">
        <w:rPr>
          <w:rFonts w:ascii="Times Ext Roman" w:hAnsi="Times Ext Roman" w:cs="Times Ext Roman" w:hint="eastAsia"/>
          <w:sz w:val="20"/>
          <w:szCs w:val="20"/>
        </w:rPr>
        <w:t>）</w:t>
      </w:r>
    </w:p>
    <w:p w:rsidR="002B682F" w:rsidRPr="00DA3BC7" w:rsidRDefault="001C14E0" w:rsidP="00993586">
      <w:pPr>
        <w:ind w:leftChars="100" w:left="240"/>
        <w:jc w:val="both"/>
        <w:rPr>
          <w:rFonts w:ascii="Times Ext Roman" w:hAnsi="Times Ext Roman" w:cs="Times Ext Roman"/>
          <w:sz w:val="20"/>
          <w:bdr w:val="single" w:sz="4" w:space="0" w:color="auto"/>
        </w:rPr>
      </w:pPr>
      <w:r w:rsidRPr="001C14E0">
        <w:rPr>
          <w:rFonts w:ascii="Times Ext Roman" w:hAnsi="Times Ext Roman" w:cs="Times Ext Roman" w:hint="eastAsia"/>
          <w:b/>
          <w:color w:val="FF0000"/>
          <w:sz w:val="20"/>
          <w:highlight w:val="yellow"/>
          <w:bdr w:val="single" w:sz="4" w:space="0" w:color="auto"/>
        </w:rPr>
        <w:t>一、</w:t>
      </w:r>
      <w:r w:rsidR="002B682F" w:rsidRPr="001C14E0">
        <w:rPr>
          <w:rFonts w:ascii="Times Ext Roman" w:hAnsi="Times Ext Roman" w:cs="Times Ext Roman" w:hint="eastAsia"/>
          <w:b/>
          <w:color w:val="FF0000"/>
          <w:sz w:val="20"/>
          <w:highlight w:val="yellow"/>
          <w:bdr w:val="single" w:sz="4" w:space="0" w:color="auto"/>
        </w:rPr>
        <w:t>對</w:t>
      </w:r>
      <w:r w:rsidR="002B682F" w:rsidRPr="001C14E0">
        <w:rPr>
          <w:rFonts w:ascii="Times Ext Roman" w:hAnsi="Times Ext Roman" w:cs="Times Ext Roman" w:hint="eastAsia"/>
          <w:b/>
          <w:color w:val="FF0000"/>
          <w:sz w:val="20"/>
          <w:szCs w:val="20"/>
          <w:highlight w:val="yellow"/>
          <w:bdr w:val="single" w:sz="4" w:space="0" w:color="auto"/>
        </w:rPr>
        <w:t>象</w:t>
      </w:r>
      <w:r>
        <w:rPr>
          <w:rFonts w:ascii="Times Ext Roman" w:hAnsi="Times Ext Roman" w:cs="Times Ext Roman" w:hint="eastAsia"/>
          <w:b/>
          <w:color w:val="FF0000"/>
          <w:sz w:val="20"/>
          <w:szCs w:val="20"/>
          <w:highlight w:val="yellow"/>
          <w:bdr w:val="single" w:sz="4" w:space="0" w:color="auto"/>
        </w:rPr>
        <w:t>──</w:t>
      </w:r>
      <w:r w:rsidRPr="001C14E0">
        <w:rPr>
          <w:rFonts w:ascii="Times Ext Roman" w:hAnsi="Times Ext Roman" w:cs="Times Ext Roman" w:hint="eastAsia"/>
          <w:b/>
          <w:sz w:val="20"/>
          <w:szCs w:val="20"/>
          <w:bdr w:val="single" w:sz="4" w:space="0" w:color="auto"/>
        </w:rPr>
        <w:t>同以「中道」為對象</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p.42</w:t>
      </w:r>
      <w:r w:rsidR="002B682F" w:rsidRPr="00DA3BC7">
        <w:rPr>
          <w:rFonts w:ascii="Times Ext Roman" w:hAnsi="Times Ext Roman" w:cs="Times Ext Roman" w:hint="eastAsia"/>
          <w:sz w:val="20"/>
          <w:szCs w:val="20"/>
        </w:rPr>
        <w:t>）</w:t>
      </w:r>
    </w:p>
    <w:p w:rsidR="002B682F" w:rsidRPr="00DA3BC7" w:rsidRDefault="002B682F" w:rsidP="00993586">
      <w:pPr>
        <w:ind w:leftChars="100" w:left="240"/>
        <w:jc w:val="both"/>
        <w:rPr>
          <w:rFonts w:ascii="Times New Roman" w:hAnsi="Times New Roman"/>
        </w:rPr>
      </w:pPr>
      <w:r w:rsidRPr="00DA3BC7">
        <w:rPr>
          <w:rFonts w:ascii="Times New Roman" w:hAnsi="Times New Roman" w:hint="eastAsia"/>
          <w:b/>
        </w:rPr>
        <w:t>中觀</w:t>
      </w:r>
      <w:r w:rsidRPr="00DA3BC7">
        <w:rPr>
          <w:rFonts w:ascii="Times New Roman" w:hAnsi="Times New Roman" w:hint="eastAsia"/>
        </w:rPr>
        <w:t>與</w:t>
      </w:r>
      <w:r w:rsidRPr="00DA3BC7">
        <w:rPr>
          <w:rFonts w:ascii="Times New Roman" w:hAnsi="Times New Roman" w:hint="eastAsia"/>
          <w:b/>
        </w:rPr>
        <w:t>中論</w:t>
      </w:r>
      <w:r w:rsidRPr="00DA3BC7">
        <w:rPr>
          <w:rFonts w:ascii="Times New Roman" w:hAnsi="Times New Roman" w:hint="eastAsia"/>
        </w:rPr>
        <w:t>，同是以</w:t>
      </w:r>
      <w:r w:rsidRPr="00DA3BC7">
        <w:rPr>
          <w:rFonts w:ascii="Times New Roman" w:hAnsi="Times New Roman" w:hint="eastAsia"/>
          <w:b/>
        </w:rPr>
        <w:t>中道</w:t>
      </w:r>
      <w:r w:rsidRPr="00DA3BC7">
        <w:rPr>
          <w:rFonts w:ascii="Times New Roman" w:hAnsi="Times New Roman" w:hint="eastAsia"/>
        </w:rPr>
        <w:t>為對象的</w:t>
      </w:r>
      <w:r w:rsidRPr="00DA3BC7">
        <w:rPr>
          <w:rFonts w:ascii="新細明體" w:hAnsi="新細明體" w:hint="eastAsia"/>
        </w:rPr>
        <w:t>。</w:t>
      </w:r>
    </w:p>
    <w:p w:rsidR="002B682F" w:rsidRPr="00DA3BC7" w:rsidRDefault="002B682F" w:rsidP="00AE3920">
      <w:pPr>
        <w:spacing w:beforeLines="30"/>
        <w:ind w:leftChars="100" w:left="240"/>
        <w:jc w:val="both"/>
        <w:rPr>
          <w:rFonts w:ascii="Times New Roman" w:hAnsi="Times New Roman"/>
        </w:rPr>
      </w:pPr>
      <w:r w:rsidRPr="00DA3BC7">
        <w:rPr>
          <w:rFonts w:ascii="Times New Roman" w:hAnsi="Times New Roman" w:hint="eastAsia"/>
        </w:rPr>
        <w:t>用</w:t>
      </w:r>
      <w:r w:rsidRPr="00DA3BC7">
        <w:rPr>
          <w:rFonts w:ascii="Times New Roman" w:hAnsi="Times New Roman" w:hint="eastAsia"/>
          <w:b/>
        </w:rPr>
        <w:t>觀察</w:t>
      </w:r>
      <w:r w:rsidRPr="00DA3BC7">
        <w:rPr>
          <w:rFonts w:ascii="Times New Roman" w:hAnsi="Times New Roman" w:hint="eastAsia"/>
        </w:rPr>
        <w:t>的方法去觀察中道，即</w:t>
      </w:r>
      <w:r w:rsidRPr="00DA3BC7">
        <w:rPr>
          <w:rFonts w:ascii="Times New Roman" w:hAnsi="Times New Roman" w:hint="eastAsia"/>
          <w:b/>
        </w:rPr>
        <w:t>中觀</w:t>
      </w:r>
      <w:r w:rsidRPr="00DA3BC7">
        <w:rPr>
          <w:rFonts w:ascii="Times New Roman" w:hAnsi="Times New Roman" w:hint="eastAsia"/>
        </w:rPr>
        <w:t>；</w:t>
      </w:r>
    </w:p>
    <w:p w:rsidR="002B682F" w:rsidRPr="00DA3BC7" w:rsidRDefault="002B682F" w:rsidP="00993586">
      <w:pPr>
        <w:ind w:leftChars="100" w:left="240"/>
        <w:jc w:val="both"/>
        <w:rPr>
          <w:rFonts w:ascii="Times New Roman" w:hAnsi="Times New Roman"/>
        </w:rPr>
      </w:pPr>
      <w:r w:rsidRPr="00DA3BC7">
        <w:rPr>
          <w:rFonts w:ascii="Times New Roman" w:hAnsi="Times New Roman" w:hint="eastAsia"/>
        </w:rPr>
        <w:t>用</w:t>
      </w:r>
      <w:r w:rsidRPr="00DA3BC7">
        <w:rPr>
          <w:rFonts w:ascii="Times New Roman" w:hAnsi="Times New Roman" w:hint="eastAsia"/>
          <w:b/>
        </w:rPr>
        <w:t>論證</w:t>
      </w:r>
      <w:r w:rsidRPr="00DA3BC7">
        <w:rPr>
          <w:rFonts w:ascii="Times New Roman" w:hAnsi="Times New Roman" w:hint="eastAsia"/>
        </w:rPr>
        <w:t>的方法來論證中道，即</w:t>
      </w:r>
      <w:r w:rsidRPr="00DA3BC7">
        <w:rPr>
          <w:rFonts w:ascii="Times New Roman" w:hAnsi="Times New Roman" w:hint="eastAsia"/>
          <w:b/>
        </w:rPr>
        <w:t>中論</w:t>
      </w:r>
      <w:r w:rsidRPr="00DA3BC7">
        <w:rPr>
          <w:rFonts w:ascii="Times New Roman" w:hAnsi="Times New Roman" w:hint="eastAsia"/>
        </w:rPr>
        <w:t>。</w:t>
      </w:r>
    </w:p>
    <w:p w:rsidR="001C14E0" w:rsidRDefault="001C14E0" w:rsidP="00AE3920">
      <w:pPr>
        <w:spacing w:beforeLines="30"/>
        <w:ind w:leftChars="100" w:left="240"/>
        <w:jc w:val="both"/>
        <w:rPr>
          <w:rFonts w:ascii="Times Ext Roman" w:hAnsi="Times Ext Roman" w:cs="Times Ext Roman"/>
          <w:b/>
          <w:sz w:val="20"/>
          <w:bdr w:val="single" w:sz="4" w:space="0" w:color="auto"/>
        </w:rPr>
      </w:pPr>
      <w:r w:rsidRPr="001C14E0">
        <w:rPr>
          <w:rFonts w:ascii="Times Ext Roman" w:hAnsi="Times Ext Roman" w:cs="Times Ext Roman" w:hint="eastAsia"/>
          <w:b/>
          <w:color w:val="FF0000"/>
          <w:sz w:val="20"/>
          <w:highlight w:val="yellow"/>
          <w:bdr w:val="single" w:sz="4" w:space="0" w:color="auto"/>
        </w:rPr>
        <w:t>二、關聯</w:t>
      </w:r>
      <w:r w:rsidRPr="00DA3BC7">
        <w:rPr>
          <w:rFonts w:ascii="Times Ext Roman" w:hAnsi="Times Ext Roman" w:cs="Times Ext Roman" w:hint="eastAsia"/>
          <w:sz w:val="20"/>
          <w:szCs w:val="20"/>
        </w:rPr>
        <w:t>（</w:t>
      </w:r>
      <w:r w:rsidRPr="00DA3BC7">
        <w:rPr>
          <w:rFonts w:ascii="Times New Roman" w:hAnsi="Times New Roman" w:hint="eastAsia"/>
          <w:sz w:val="20"/>
          <w:szCs w:val="20"/>
        </w:rPr>
        <w:t>pp.42-43</w:t>
      </w:r>
      <w:r w:rsidRPr="00DA3BC7">
        <w:rPr>
          <w:rFonts w:ascii="Times Ext Roman" w:hAnsi="Times Ext Roman" w:cs="Times Ext Roman" w:hint="eastAsia"/>
          <w:sz w:val="20"/>
          <w:szCs w:val="20"/>
        </w:rPr>
        <w:t>）</w:t>
      </w:r>
    </w:p>
    <w:p w:rsidR="002B682F" w:rsidRPr="00DA3BC7" w:rsidRDefault="001C14E0" w:rsidP="00993586">
      <w:pPr>
        <w:ind w:leftChars="150" w:left="360"/>
        <w:jc w:val="both"/>
        <w:rPr>
          <w:rFonts w:ascii="Times Ext Roman" w:hAnsi="Times Ext Roman" w:cs="Times Ext Roman"/>
          <w:sz w:val="20"/>
          <w:bdr w:val="single" w:sz="4" w:space="0" w:color="auto"/>
        </w:rPr>
      </w:pPr>
      <w:r w:rsidRPr="001C14E0">
        <w:rPr>
          <w:rFonts w:ascii="Times Ext Roman" w:hAnsi="Times Ext Roman" w:cs="Times Ext Roman" w:hint="eastAsia"/>
          <w:b/>
          <w:color w:val="FF0000"/>
          <w:sz w:val="20"/>
          <w:highlight w:val="yellow"/>
          <w:bdr w:val="single" w:sz="4" w:space="0" w:color="auto"/>
        </w:rPr>
        <w:t>（一）即以</w:t>
      </w:r>
      <w:r w:rsidR="002B682F" w:rsidRPr="001C14E0">
        <w:rPr>
          <w:rFonts w:ascii="Times Ext Roman" w:hAnsi="Times Ext Roman" w:cs="Times Ext Roman" w:hint="eastAsia"/>
          <w:b/>
          <w:color w:val="FF0000"/>
          <w:sz w:val="20"/>
          <w:highlight w:val="yellow"/>
          <w:bdr w:val="single" w:sz="4" w:space="0" w:color="auto"/>
        </w:rPr>
        <w:t>「</w:t>
      </w:r>
      <w:r w:rsidR="002B682F" w:rsidRPr="001C14E0">
        <w:rPr>
          <w:rFonts w:ascii="Times Ext Roman" w:hAnsi="Times Ext Roman" w:cs="Times Ext Roman" w:hint="eastAsia"/>
          <w:b/>
          <w:color w:val="FF0000"/>
          <w:sz w:val="20"/>
          <w:szCs w:val="20"/>
          <w:highlight w:val="yellow"/>
          <w:bdr w:val="single" w:sz="4" w:space="0" w:color="auto"/>
        </w:rPr>
        <w:t>中道</w:t>
      </w:r>
      <w:r w:rsidR="002B682F" w:rsidRPr="001C14E0">
        <w:rPr>
          <w:rFonts w:ascii="Times Ext Roman" w:hAnsi="Times Ext Roman" w:cs="Times Ext Roman" w:hint="eastAsia"/>
          <w:b/>
          <w:color w:val="FF0000"/>
          <w:sz w:val="20"/>
          <w:highlight w:val="yellow"/>
          <w:bdr w:val="single" w:sz="4" w:space="0" w:color="auto"/>
        </w:rPr>
        <w:t>」</w:t>
      </w:r>
      <w:r w:rsidRPr="001C14E0">
        <w:rPr>
          <w:rFonts w:ascii="Times Ext Roman" w:hAnsi="Times Ext Roman" w:cs="Times Ext Roman" w:hint="eastAsia"/>
          <w:b/>
          <w:color w:val="FF0000"/>
          <w:sz w:val="20"/>
          <w:highlight w:val="yellow"/>
          <w:bdr w:val="single" w:sz="4" w:space="0" w:color="auto"/>
        </w:rPr>
        <w:t>為</w:t>
      </w:r>
      <w:r w:rsidR="002B682F" w:rsidRPr="001C14E0">
        <w:rPr>
          <w:rFonts w:ascii="Times Ext Roman" w:hAnsi="Times Ext Roman" w:cs="Times Ext Roman" w:hint="eastAsia"/>
          <w:b/>
          <w:color w:val="FF0000"/>
          <w:sz w:val="20"/>
          <w:highlight w:val="yellow"/>
          <w:bdr w:val="single" w:sz="4" w:space="0" w:color="auto"/>
        </w:rPr>
        <w:t>法則</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pp.42-43</w:t>
      </w:r>
      <w:r w:rsidR="002B682F" w:rsidRPr="00DA3BC7">
        <w:rPr>
          <w:rFonts w:ascii="Times Ext Roman" w:hAnsi="Times Ext Roman" w:cs="Times Ext Roman" w:hint="eastAsia"/>
          <w:sz w:val="20"/>
          <w:szCs w:val="20"/>
        </w:rPr>
        <w:t>）</w:t>
      </w:r>
    </w:p>
    <w:p w:rsidR="002B682F" w:rsidRPr="00DA3BC7" w:rsidRDefault="002B682F" w:rsidP="00993586">
      <w:pPr>
        <w:ind w:leftChars="150" w:left="360"/>
        <w:jc w:val="both"/>
        <w:rPr>
          <w:rFonts w:ascii="Times New Roman" w:hAnsi="Times New Roman"/>
        </w:rPr>
      </w:pPr>
      <w:r w:rsidRPr="00DA3BC7">
        <w:rPr>
          <w:rFonts w:ascii="Times New Roman" w:hAnsi="Times New Roman" w:hint="eastAsia"/>
        </w:rPr>
        <w:t>中觀與中論，同為研求發見中道的方法。然而，無論是觀察或論證的方法，都不是離開中道</w:t>
      </w:r>
      <w:r w:rsidRPr="00DA3BC7">
        <w:rPr>
          <w:rFonts w:ascii="新細明體" w:hAnsi="新細明體" w:hint="eastAsia"/>
        </w:rPr>
        <w:t>（</w:t>
      </w:r>
      <w:r w:rsidRPr="00DA3BC7">
        <w:rPr>
          <w:rFonts w:hint="eastAsia"/>
        </w:rPr>
        <w:t>真理</w:t>
      </w:r>
      <w:r w:rsidRPr="00DA3BC7">
        <w:rPr>
          <w:rFonts w:ascii="新細明體" w:hAnsi="新細明體" w:hint="eastAsia"/>
        </w:rPr>
        <w:t>）</w:t>
      </w:r>
      <w:r w:rsidRPr="00DA3BC7">
        <w:rPr>
          <w:rFonts w:hint="eastAsia"/>
        </w:rPr>
        <w:t>而</w:t>
      </w:r>
      <w:r w:rsidRPr="00DA3BC7">
        <w:rPr>
          <w:rFonts w:ascii="Times New Roman" w:hAnsi="Times New Roman" w:hint="eastAsia"/>
        </w:rPr>
        <w:t>憑自己的情見去觀察論證的。</w:t>
      </w:r>
    </w:p>
    <w:p w:rsidR="002B682F" w:rsidRPr="00DA3BC7" w:rsidRDefault="002B682F" w:rsidP="00AE3920">
      <w:pPr>
        <w:spacing w:beforeLines="20"/>
        <w:ind w:leftChars="150" w:left="360"/>
        <w:jc w:val="both"/>
        <w:rPr>
          <w:rFonts w:ascii="Times New Roman" w:hAnsi="Times New Roman"/>
        </w:rPr>
      </w:pPr>
      <w:r w:rsidRPr="00DA3BC7">
        <w:rPr>
          <w:rFonts w:ascii="Times New Roman" w:hAnsi="Times New Roman" w:hint="eastAsia"/>
        </w:rPr>
        <w:t>觀察與論證的法則，即為中道諸法最高真理</w:t>
      </w:r>
      <w:r w:rsidRPr="00DA3BC7">
        <w:rPr>
          <w:rFonts w:ascii="新細明體" w:hAnsi="新細明體" w:hint="eastAsia"/>
        </w:rPr>
        <w:t>，</w:t>
      </w:r>
      <w:r w:rsidRPr="00DA3BC7">
        <w:rPr>
          <w:rFonts w:ascii="Times New Roman" w:hAnsi="Times New Roman" w:hint="eastAsia"/>
        </w:rPr>
        <w:t>為中道本有的──</w:t>
      </w:r>
      <w:r w:rsidRPr="00DA3BC7">
        <w:rPr>
          <w:rFonts w:ascii="Times New Roman" w:hAnsi="Times New Roman" w:hint="eastAsia"/>
          <w:b/>
        </w:rPr>
        <w:t>法性</w:t>
      </w:r>
      <w:r w:rsidRPr="00DA3BC7">
        <w:rPr>
          <w:rFonts w:ascii="Times New Roman" w:hAnsi="Times New Roman" w:hint="eastAsia"/>
        </w:rPr>
        <w:t>，</w:t>
      </w:r>
    </w:p>
    <w:p w:rsidR="002B682F" w:rsidRPr="00DA3BC7" w:rsidRDefault="002B682F" w:rsidP="00A27095">
      <w:pPr>
        <w:ind w:leftChars="2450" w:left="5880"/>
        <w:jc w:val="both"/>
        <w:rPr>
          <w:rFonts w:ascii="Times New Roman" w:hAnsi="Times New Roman"/>
        </w:rPr>
      </w:pPr>
      <w:r w:rsidRPr="006B5CE1">
        <w:rPr>
          <w:rFonts w:ascii="Times New Roman" w:hAnsi="Times New Roman" w:hint="eastAsia"/>
          <w:highlight w:val="yellow"/>
        </w:rPr>
        <w:t>必</w:t>
      </w:r>
      <w:r w:rsidRPr="00DA3BC7">
        <w:rPr>
          <w:rFonts w:ascii="Times New Roman" w:hAnsi="Times New Roman" w:hint="eastAsia"/>
        </w:rPr>
        <w:t>然的──</w:t>
      </w:r>
      <w:r w:rsidRPr="00DA3BC7">
        <w:rPr>
          <w:rFonts w:ascii="Times New Roman" w:hAnsi="Times New Roman" w:hint="eastAsia"/>
          <w:b/>
        </w:rPr>
        <w:t>法住</w:t>
      </w:r>
      <w:r w:rsidRPr="00DA3BC7">
        <w:rPr>
          <w:rFonts w:ascii="Times New Roman" w:hAnsi="Times New Roman" w:hint="eastAsia"/>
        </w:rPr>
        <w:t>，</w:t>
      </w:r>
    </w:p>
    <w:p w:rsidR="002B682F" w:rsidRPr="00DA3BC7" w:rsidRDefault="002B682F" w:rsidP="00A27095">
      <w:pPr>
        <w:ind w:leftChars="2450" w:left="5880"/>
        <w:jc w:val="both"/>
        <w:rPr>
          <w:rFonts w:ascii="Times New Roman" w:hAnsi="Times New Roman"/>
        </w:rPr>
      </w:pPr>
      <w:r w:rsidRPr="006B5CE1">
        <w:rPr>
          <w:rFonts w:ascii="Times New Roman" w:hAnsi="Times New Roman" w:hint="eastAsia"/>
          <w:highlight w:val="yellow"/>
        </w:rPr>
        <w:t>普</w:t>
      </w:r>
      <w:r w:rsidRPr="006B5CE1">
        <w:rPr>
          <w:rFonts w:ascii="Times New Roman" w:hAnsi="Times New Roman" w:hint="eastAsia"/>
        </w:rPr>
        <w:t>遍</w:t>
      </w:r>
      <w:r w:rsidRPr="00DA3BC7">
        <w:rPr>
          <w:rFonts w:ascii="Times New Roman" w:hAnsi="Times New Roman" w:hint="eastAsia"/>
        </w:rPr>
        <w:t>的──</w:t>
      </w:r>
      <w:r w:rsidRPr="00DA3BC7">
        <w:rPr>
          <w:rFonts w:ascii="Times New Roman" w:hAnsi="Times New Roman" w:hint="eastAsia"/>
          <w:b/>
        </w:rPr>
        <w:t>法界</w:t>
      </w:r>
      <w:r w:rsidRPr="00DA3BC7">
        <w:rPr>
          <w:rFonts w:ascii="Times New Roman" w:hAnsi="Times New Roman" w:hint="eastAsia"/>
        </w:rPr>
        <w:t>，</w:t>
      </w:r>
      <w:r w:rsidRPr="00DA3BC7">
        <w:rPr>
          <w:rFonts w:ascii="Times New Roman" w:hAnsi="Times New Roman"/>
          <w:vertAlign w:val="superscript"/>
        </w:rPr>
        <w:footnoteReference w:id="250"/>
      </w:r>
    </w:p>
    <w:p w:rsidR="002B682F" w:rsidRPr="00DA3BC7" w:rsidRDefault="002B682F" w:rsidP="00A27095">
      <w:pPr>
        <w:ind w:leftChars="150" w:left="360"/>
        <w:jc w:val="both"/>
        <w:rPr>
          <w:rFonts w:ascii="Times New Roman" w:hAnsi="Times New Roman"/>
        </w:rPr>
      </w:pPr>
      <w:r w:rsidRPr="00DA3BC7">
        <w:rPr>
          <w:rFonts w:ascii="Times New Roman" w:hAnsi="Times New Roman" w:hint="eastAsia"/>
        </w:rPr>
        <w:lastRenderedPageBreak/>
        <w:t>我們不過順著中道</w:t>
      </w:r>
      <w:r w:rsidRPr="00DA3BC7">
        <w:rPr>
          <w:rFonts w:ascii="新細明體" w:hAnsi="新細明體" w:hint="eastAsia"/>
        </w:rPr>
        <w:t>（</w:t>
      </w:r>
      <w:r w:rsidRPr="00DA3BC7">
        <w:rPr>
          <w:rFonts w:hint="eastAsia"/>
        </w:rPr>
        <w:t>最高真理</w:t>
      </w:r>
      <w:r w:rsidRPr="00DA3BC7">
        <w:rPr>
          <w:rFonts w:ascii="新細明體" w:hAnsi="新細明體" w:hint="eastAsia"/>
        </w:rPr>
        <w:t>）</w:t>
      </w:r>
      <w:r w:rsidRPr="00DA3BC7">
        <w:rPr>
          <w:rFonts w:ascii="Times New Roman" w:hAnsi="Times New Roman" w:hint="eastAsia"/>
        </w:rPr>
        <w:t>的常遍法</w:t>
      </w:r>
      <w:r w:rsidRPr="00DA3BC7">
        <w:rPr>
          <w:rFonts w:hint="eastAsia"/>
        </w:rPr>
        <w:t>則而</w:t>
      </w:r>
      <w:r w:rsidRPr="00DA3BC7">
        <w:rPr>
          <w:rFonts w:ascii="Times New Roman" w:hAnsi="Times New Roman" w:hint="eastAsia"/>
        </w:rPr>
        <w:t>觀察探求，去發見諸法的真理──中道。</w:t>
      </w:r>
      <w:r w:rsidRPr="00DA3BC7">
        <w:rPr>
          <w:rStyle w:val="a6"/>
          <w:rFonts w:ascii="Times New Roman" w:hAnsi="Times New Roman"/>
        </w:rPr>
        <w:footnoteReference w:id="251"/>
      </w:r>
      <w:r w:rsidRPr="00DA3BC7">
        <w:rPr>
          <w:rFonts w:ascii="Times New Roman" w:hAnsi="Times New Roman" w:hint="eastAsia"/>
        </w:rPr>
        <w:t>所以</w:t>
      </w:r>
      <w:r w:rsidRPr="00DA3BC7">
        <w:rPr>
          <w:rFonts w:ascii="Times New Roman" w:hAnsi="Times New Roman" w:hint="eastAsia"/>
          <w:b/>
        </w:rPr>
        <w:t>論證與觀察的方法，都是中道的</w:t>
      </w:r>
      <w:r w:rsidRPr="00DA3BC7">
        <w:rPr>
          <w:rFonts w:ascii="Times New Roman" w:hAnsi="Times New Roman" w:hint="eastAsia"/>
        </w:rPr>
        <w:t>。</w:t>
      </w:r>
    </w:p>
    <w:p w:rsidR="002B682F" w:rsidRPr="00DA3BC7" w:rsidRDefault="001C14E0" w:rsidP="00AE3920">
      <w:pPr>
        <w:spacing w:beforeLines="30"/>
        <w:ind w:leftChars="150" w:left="360"/>
        <w:jc w:val="both"/>
        <w:rPr>
          <w:rFonts w:ascii="Times Ext Roman" w:hAnsi="Times Ext Roman" w:cs="Times Ext Roman"/>
          <w:sz w:val="20"/>
          <w:bdr w:val="single" w:sz="4" w:space="0" w:color="auto"/>
        </w:rPr>
      </w:pPr>
      <w:r w:rsidRPr="001C14E0">
        <w:rPr>
          <w:rFonts w:ascii="Times Ext Roman" w:hAnsi="Times Ext Roman" w:cs="Times Ext Roman" w:hint="eastAsia"/>
          <w:b/>
          <w:color w:val="FF0000"/>
          <w:sz w:val="20"/>
          <w:highlight w:val="yellow"/>
          <w:bdr w:val="single" w:sz="4" w:space="0" w:color="auto"/>
        </w:rPr>
        <w:t>（二）</w:t>
      </w:r>
      <w:r w:rsidR="002B682F" w:rsidRPr="00DA3BC7">
        <w:rPr>
          <w:rFonts w:ascii="Times Ext Roman" w:hAnsi="Times Ext Roman" w:cs="Times Ext Roman" w:hint="eastAsia"/>
          <w:b/>
          <w:sz w:val="20"/>
          <w:bdr w:val="single" w:sz="4" w:space="0" w:color="auto"/>
        </w:rPr>
        <w:t>相依相待</w:t>
      </w:r>
      <w:r w:rsidR="00127BF8" w:rsidRPr="00127BF8">
        <w:rPr>
          <w:rFonts w:ascii="Times Ext Roman" w:hAnsi="Times Ext Roman" w:cs="Times Ext Roman" w:hint="eastAsia"/>
          <w:b/>
          <w:color w:val="FF0000"/>
          <w:sz w:val="20"/>
          <w:highlight w:val="yellow"/>
          <w:bdr w:val="single" w:sz="4" w:space="0" w:color="auto"/>
        </w:rPr>
        <w:t>，</w:t>
      </w:r>
      <w:r w:rsidRPr="001C14E0">
        <w:rPr>
          <w:rFonts w:ascii="Times Ext Roman" w:hAnsi="Times Ext Roman" w:cs="Times Ext Roman" w:hint="eastAsia"/>
          <w:b/>
          <w:color w:val="FF0000"/>
          <w:sz w:val="20"/>
          <w:highlight w:val="yellow"/>
          <w:bdr w:val="single" w:sz="4" w:space="0" w:color="auto"/>
        </w:rPr>
        <w:t>非隔別</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p.43</w:t>
      </w:r>
      <w:r w:rsidR="002B682F" w:rsidRPr="00DA3BC7">
        <w:rPr>
          <w:rFonts w:ascii="Times Ext Roman" w:hAnsi="Times Ext Roman" w:cs="Times Ext Roman" w:hint="eastAsia"/>
          <w:sz w:val="20"/>
          <w:szCs w:val="20"/>
        </w:rPr>
        <w:t>）</w:t>
      </w:r>
    </w:p>
    <w:p w:rsidR="002B682F" w:rsidRPr="00DA3BC7" w:rsidRDefault="002B682F" w:rsidP="00A27095">
      <w:pPr>
        <w:ind w:leftChars="150" w:left="360"/>
        <w:jc w:val="both"/>
        <w:rPr>
          <w:rFonts w:ascii="Times New Roman" w:hAnsi="Times New Roman"/>
        </w:rPr>
      </w:pPr>
      <w:r w:rsidRPr="00DA3BC7">
        <w:rPr>
          <w:rFonts w:ascii="Times New Roman" w:hAnsi="Times New Roman" w:hint="eastAsia"/>
        </w:rPr>
        <w:t>觀、論與中道，是相依相待而非隔別的。</w:t>
      </w:r>
    </w:p>
    <w:p w:rsidR="002B682F" w:rsidRPr="00DA3BC7" w:rsidRDefault="002B682F" w:rsidP="00AE3920">
      <w:pPr>
        <w:spacing w:beforeLines="20"/>
        <w:ind w:leftChars="150" w:left="360"/>
        <w:jc w:val="both"/>
        <w:rPr>
          <w:rFonts w:ascii="Times New Roman" w:hAnsi="Times New Roman"/>
        </w:rPr>
      </w:pPr>
      <w:r w:rsidRPr="00DA3BC7">
        <w:rPr>
          <w:rFonts w:ascii="Times New Roman" w:hAnsi="Times New Roman" w:hint="eastAsia"/>
        </w:rPr>
        <w:t>離</w:t>
      </w:r>
      <w:r w:rsidRPr="00DA3BC7">
        <w:rPr>
          <w:rFonts w:ascii="Times New Roman" w:hAnsi="Times New Roman" w:hint="eastAsia"/>
          <w:b/>
        </w:rPr>
        <w:t>中道</w:t>
      </w:r>
      <w:r w:rsidRPr="00DA3BC7">
        <w:rPr>
          <w:rFonts w:ascii="Times New Roman" w:hAnsi="Times New Roman" w:hint="eastAsia"/>
        </w:rPr>
        <w:t>，即沒有</w:t>
      </w:r>
      <w:r w:rsidRPr="00DA3BC7">
        <w:rPr>
          <w:rFonts w:ascii="Times New Roman" w:hAnsi="Times New Roman" w:hint="eastAsia"/>
          <w:b/>
        </w:rPr>
        <w:t>中論</w:t>
      </w:r>
      <w:r w:rsidRPr="00DA3BC7">
        <w:rPr>
          <w:rFonts w:ascii="Times New Roman" w:hAnsi="Times New Roman" w:hint="eastAsia"/>
        </w:rPr>
        <w:t>與</w:t>
      </w:r>
      <w:r w:rsidRPr="00DA3BC7">
        <w:rPr>
          <w:rFonts w:ascii="Times New Roman" w:hAnsi="Times New Roman" w:hint="eastAsia"/>
          <w:b/>
        </w:rPr>
        <w:t>中觀</w:t>
      </w:r>
      <w:r w:rsidRPr="00DA3BC7">
        <w:rPr>
          <w:rFonts w:ascii="Times New Roman" w:hAnsi="Times New Roman" w:hint="eastAsia"/>
        </w:rPr>
        <w:t>；</w:t>
      </w:r>
    </w:p>
    <w:p w:rsidR="002B682F" w:rsidRPr="00DA3BC7" w:rsidRDefault="002B682F" w:rsidP="00A27095">
      <w:pPr>
        <w:ind w:leftChars="150" w:left="360"/>
        <w:jc w:val="both"/>
        <w:rPr>
          <w:rFonts w:ascii="Times New Roman" w:hAnsi="Times New Roman"/>
        </w:rPr>
      </w:pPr>
      <w:r w:rsidRPr="00DA3BC7">
        <w:rPr>
          <w:rFonts w:ascii="Times New Roman" w:hAnsi="Times New Roman" w:hint="eastAsia"/>
        </w:rPr>
        <w:t>離了</w:t>
      </w:r>
      <w:r w:rsidRPr="00DA3BC7">
        <w:rPr>
          <w:rFonts w:ascii="Times New Roman" w:hAnsi="Times New Roman" w:hint="eastAsia"/>
          <w:b/>
        </w:rPr>
        <w:t>觀</w:t>
      </w:r>
      <w:r w:rsidRPr="00DA3BC7">
        <w:rPr>
          <w:rFonts w:ascii="Times New Roman" w:hAnsi="Times New Roman" w:hint="eastAsia"/>
        </w:rPr>
        <w:t>與</w:t>
      </w:r>
      <w:r w:rsidRPr="00DA3BC7">
        <w:rPr>
          <w:rFonts w:ascii="Times New Roman" w:hAnsi="Times New Roman" w:hint="eastAsia"/>
          <w:b/>
        </w:rPr>
        <w:t>論</w:t>
      </w:r>
      <w:r w:rsidRPr="00DA3BC7">
        <w:rPr>
          <w:rFonts w:ascii="Times New Roman" w:hAnsi="Times New Roman" w:hint="eastAsia"/>
        </w:rPr>
        <w:t>，也無法發見</w:t>
      </w:r>
      <w:r w:rsidRPr="00DA3BC7">
        <w:rPr>
          <w:rFonts w:ascii="Times New Roman" w:hAnsi="Times New Roman" w:hint="eastAsia"/>
          <w:b/>
        </w:rPr>
        <w:t>中道</w:t>
      </w:r>
      <w:r w:rsidRPr="00DA3BC7">
        <w:rPr>
          <w:rFonts w:ascii="Times New Roman" w:hAnsi="Times New Roman" w:hint="eastAsia"/>
        </w:rPr>
        <w:t>、體驗</w:t>
      </w:r>
      <w:r w:rsidRPr="00DA3BC7">
        <w:rPr>
          <w:rFonts w:ascii="Times New Roman" w:hAnsi="Times New Roman" w:hint="eastAsia"/>
          <w:b/>
        </w:rPr>
        <w:t>中道</w:t>
      </w:r>
      <w:r w:rsidRPr="00DA3BC7">
        <w:rPr>
          <w:rFonts w:ascii="Times New Roman" w:hAnsi="Times New Roman" w:hint="eastAsia"/>
        </w:rPr>
        <w:t>。</w:t>
      </w:r>
    </w:p>
    <w:p w:rsidR="002B682F" w:rsidRPr="00DA3BC7" w:rsidRDefault="002B682F" w:rsidP="00AE3920">
      <w:pPr>
        <w:spacing w:beforeLines="20"/>
        <w:ind w:leftChars="150" w:left="360"/>
        <w:jc w:val="both"/>
        <w:rPr>
          <w:rFonts w:ascii="Times New Roman" w:hAnsi="Times New Roman"/>
        </w:rPr>
        <w:sectPr w:rsidR="002B682F" w:rsidRPr="00DA3BC7" w:rsidSect="009914C0">
          <w:headerReference w:type="even" r:id="rId35"/>
          <w:headerReference w:type="default" r:id="rId36"/>
          <w:footnotePr>
            <w:numRestart w:val="eachSect"/>
          </w:footnotePr>
          <w:pgSz w:w="10773" w:h="14742" w:code="9"/>
          <w:pgMar w:top="1418" w:right="1418" w:bottom="1418" w:left="1418" w:header="851" w:footer="992" w:gutter="0"/>
          <w:cols w:space="425"/>
          <w:docGrid w:type="lines" w:linePitch="360"/>
        </w:sectPr>
      </w:pPr>
      <w:r w:rsidRPr="00DA3BC7">
        <w:rPr>
          <w:rFonts w:ascii="Times New Roman" w:hAnsi="Times New Roman" w:hint="eastAsia"/>
        </w:rPr>
        <w:t>這點，中觀學者必須切實記取！</w:t>
      </w:r>
    </w:p>
    <w:p w:rsidR="002B682F" w:rsidRPr="00DA3BC7" w:rsidRDefault="002B682F" w:rsidP="008E2BBC">
      <w:pPr>
        <w:pStyle w:val="1"/>
      </w:pPr>
      <w:bookmarkStart w:id="64" w:name="_Toc405287344"/>
      <w:bookmarkStart w:id="65" w:name="_Toc405287816"/>
      <w:bookmarkStart w:id="66" w:name="_Toc405499759"/>
      <w:r w:rsidRPr="00DA3BC7">
        <w:rPr>
          <w:rFonts w:hint="eastAsia"/>
        </w:rPr>
        <w:lastRenderedPageBreak/>
        <w:t>第四章、中道之方法論</w:t>
      </w:r>
      <w:bookmarkEnd w:id="64"/>
      <w:bookmarkEnd w:id="65"/>
      <w:bookmarkEnd w:id="66"/>
    </w:p>
    <w:p w:rsidR="002B682F" w:rsidRPr="00DA3BC7" w:rsidRDefault="002B682F" w:rsidP="008E2BBC">
      <w:pPr>
        <w:pStyle w:val="2"/>
      </w:pPr>
      <w:bookmarkStart w:id="67" w:name="_Toc405499760"/>
      <w:r w:rsidRPr="00DA3BC7">
        <w:rPr>
          <w:rFonts w:hint="eastAsia"/>
        </w:rPr>
        <w:t>第二節、因明與中觀</w:t>
      </w:r>
      <w:bookmarkEnd w:id="67"/>
    </w:p>
    <w:p w:rsidR="002B682F" w:rsidRPr="00DA3BC7" w:rsidRDefault="002B682F" w:rsidP="008E2BBC">
      <w:pPr>
        <w:jc w:val="center"/>
        <w:rPr>
          <w:rFonts w:ascii="Times New Roman" w:hAnsi="Times New Roman"/>
        </w:rPr>
      </w:pPr>
      <w:r w:rsidRPr="00DA3BC7">
        <w:rPr>
          <w:rFonts w:ascii="Times New Roman" w:hAnsi="Times New Roman" w:hint="eastAsia"/>
        </w:rPr>
        <w:t>（</w:t>
      </w:r>
      <w:r w:rsidRPr="00DA3BC7">
        <w:rPr>
          <w:rFonts w:ascii="Times New Roman" w:hAnsi="Times New Roman" w:hint="eastAsia"/>
        </w:rPr>
        <w:t>pp.43-52</w:t>
      </w:r>
      <w:r w:rsidRPr="00DA3BC7">
        <w:rPr>
          <w:rFonts w:ascii="Times New Roman" w:hAnsi="Times New Roman" w:hint="eastAsia"/>
        </w:rPr>
        <w:t>）</w:t>
      </w:r>
    </w:p>
    <w:p w:rsidR="002B682F" w:rsidRPr="00DA3BC7" w:rsidRDefault="002B682F" w:rsidP="008E2BBC">
      <w:pPr>
        <w:pStyle w:val="Author"/>
      </w:pPr>
    </w:p>
    <w:p w:rsidR="002B682F" w:rsidRPr="00DA3BC7" w:rsidRDefault="002B682F" w:rsidP="00AE3920">
      <w:pPr>
        <w:spacing w:beforeLines="50"/>
        <w:jc w:val="both"/>
        <w:rPr>
          <w:rFonts w:ascii="Times Ext Roman" w:hAnsi="Times Ext Roman" w:cs="Times Ext Roman"/>
          <w:sz w:val="20"/>
          <w:bdr w:val="single" w:sz="4" w:space="0" w:color="auto"/>
        </w:rPr>
      </w:pPr>
      <w:r w:rsidRPr="00DA3BC7">
        <w:rPr>
          <w:rFonts w:ascii="Times Ext Roman" w:hAnsi="Times Ext Roman" w:cs="Times Ext Roman" w:hint="eastAsia"/>
          <w:b/>
          <w:sz w:val="20"/>
          <w:bdr w:val="single" w:sz="4" w:space="0" w:color="auto"/>
        </w:rPr>
        <w:t>壹</w:t>
      </w:r>
      <w:r w:rsidRPr="00DA3BC7">
        <w:rPr>
          <w:rFonts w:ascii="Times Ext Roman" w:hAnsi="Times Ext Roman" w:cs="Times Ext Roman"/>
          <w:b/>
          <w:sz w:val="20"/>
          <w:bdr w:val="single" w:sz="4" w:space="0" w:color="auto"/>
        </w:rPr>
        <w:t>、</w:t>
      </w:r>
      <w:r w:rsidR="0050649B" w:rsidRPr="0050649B">
        <w:rPr>
          <w:rFonts w:ascii="Times Ext Roman" w:hAnsi="Times Ext Roman" w:cs="Times Ext Roman" w:hint="eastAsia"/>
          <w:b/>
          <w:color w:val="FF0000"/>
          <w:sz w:val="20"/>
          <w:highlight w:val="yellow"/>
          <w:bdr w:val="single" w:sz="4" w:space="0" w:color="auto"/>
        </w:rPr>
        <w:t>概說［承先啟後］</w:t>
      </w:r>
      <w:r w:rsidRPr="00DA3BC7">
        <w:rPr>
          <w:rFonts w:ascii="Times Ext Roman" w:hAnsi="Times Ext Roman" w:cs="Times Ext Roman" w:hint="eastAsia"/>
          <w:sz w:val="20"/>
          <w:szCs w:val="20"/>
        </w:rPr>
        <w:t>（</w:t>
      </w:r>
      <w:r w:rsidRPr="00DA3BC7">
        <w:rPr>
          <w:rFonts w:ascii="Times New Roman" w:hAnsi="Times New Roman" w:hint="eastAsia"/>
          <w:sz w:val="20"/>
          <w:szCs w:val="20"/>
        </w:rPr>
        <w:t>p.43</w:t>
      </w:r>
      <w:r w:rsidRPr="00DA3BC7">
        <w:rPr>
          <w:rFonts w:ascii="Times Ext Roman" w:hAnsi="Times Ext Roman" w:cs="Times Ext Roman" w:hint="eastAsia"/>
          <w:sz w:val="20"/>
          <w:szCs w:val="20"/>
        </w:rPr>
        <w:t>）</w:t>
      </w:r>
    </w:p>
    <w:p w:rsidR="002B682F" w:rsidRPr="00DA3BC7" w:rsidRDefault="002B682F" w:rsidP="003B7900">
      <w:pPr>
        <w:jc w:val="both"/>
        <w:rPr>
          <w:rFonts w:ascii="Times New Roman" w:hAnsi="Times New Roman"/>
        </w:rPr>
      </w:pPr>
      <w:r w:rsidRPr="00DA3BC7">
        <w:rPr>
          <w:rFonts w:ascii="Times New Roman" w:hAnsi="Times New Roman" w:hint="eastAsia"/>
        </w:rPr>
        <w:t>中觀與中論，是觀察中道、論證中道的方法，是體悟中道實相必不可無的方法。所以中觀與中</w:t>
      </w:r>
      <w:r w:rsidRPr="00DA3BC7">
        <w:rPr>
          <w:rFonts w:hint="eastAsia"/>
        </w:rPr>
        <w:t>論，是</w:t>
      </w:r>
      <w:r w:rsidRPr="00DA3BC7">
        <w:rPr>
          <w:rFonts w:ascii="Times New Roman" w:hAnsi="Times New Roman" w:hint="eastAsia"/>
        </w:rPr>
        <w:t>中道──真理的方法論；用世間的術語說，即是論理學</w:t>
      </w:r>
      <w:r w:rsidRPr="00DA3BC7">
        <w:rPr>
          <w:rFonts w:hint="eastAsia"/>
        </w:rPr>
        <w:t>。</w:t>
      </w:r>
    </w:p>
    <w:p w:rsidR="0050649B" w:rsidRPr="0050649B" w:rsidRDefault="0050649B" w:rsidP="00AE3920">
      <w:pPr>
        <w:spacing w:beforeLines="30"/>
        <w:jc w:val="both"/>
        <w:rPr>
          <w:rFonts w:ascii="Times Ext Roman" w:hAnsi="Times Ext Roman" w:cs="Times Ext Roman"/>
          <w:b/>
          <w:color w:val="FF0000"/>
          <w:sz w:val="20"/>
          <w:highlight w:val="yellow"/>
          <w:bdr w:val="single" w:sz="4" w:space="0" w:color="auto"/>
        </w:rPr>
      </w:pPr>
      <w:r w:rsidRPr="00DA3BC7">
        <w:rPr>
          <w:rFonts w:ascii="Times Ext Roman" w:hAnsi="Times Ext Roman" w:cs="Times Ext Roman" w:hint="eastAsia"/>
          <w:b/>
          <w:sz w:val="20"/>
          <w:bdr w:val="single" w:sz="4" w:space="0" w:color="auto"/>
        </w:rPr>
        <w:t>貳</w:t>
      </w:r>
      <w:r>
        <w:rPr>
          <w:rFonts w:ascii="Times Ext Roman" w:hAnsi="Times Ext Roman" w:cs="Times Ext Roman" w:hint="eastAsia"/>
          <w:b/>
          <w:sz w:val="20"/>
          <w:bdr w:val="single" w:sz="4" w:space="0" w:color="auto"/>
        </w:rPr>
        <w:t>、</w:t>
      </w:r>
      <w:r w:rsidRPr="0050649B">
        <w:rPr>
          <w:rFonts w:ascii="Times Ext Roman" w:hAnsi="Times Ext Roman" w:cs="Times Ext Roman" w:hint="eastAsia"/>
          <w:b/>
          <w:color w:val="FF0000"/>
          <w:sz w:val="20"/>
          <w:highlight w:val="yellow"/>
          <w:bdr w:val="single" w:sz="4" w:space="0" w:color="auto"/>
        </w:rPr>
        <w:t>印度論理學的淵源</w:t>
      </w:r>
    </w:p>
    <w:p w:rsidR="002B682F" w:rsidRPr="00DA3BC7" w:rsidRDefault="002B682F" w:rsidP="003B7900">
      <w:pPr>
        <w:ind w:leftChars="50" w:left="120"/>
        <w:jc w:val="both"/>
        <w:rPr>
          <w:rFonts w:ascii="Times Ext Roman" w:hAnsi="Times Ext Roman" w:cs="Times Ext Roman"/>
          <w:sz w:val="20"/>
          <w:bdr w:val="single" w:sz="4" w:space="0" w:color="auto"/>
        </w:rPr>
      </w:pPr>
      <w:r w:rsidRPr="0050649B">
        <w:rPr>
          <w:rFonts w:ascii="Times Ext Roman" w:hAnsi="Times Ext Roman" w:cs="Times Ext Roman" w:hint="eastAsia"/>
          <w:b/>
          <w:color w:val="FF0000"/>
          <w:sz w:val="20"/>
          <w:highlight w:val="yellow"/>
          <w:bdr w:val="single" w:sz="4" w:space="0" w:color="auto"/>
        </w:rPr>
        <w:t>（</w:t>
      </w:r>
      <w:r w:rsidR="0050649B" w:rsidRPr="0050649B">
        <w:rPr>
          <w:rFonts w:ascii="Times Ext Roman" w:hAnsi="Times Ext Roman" w:cs="Times Ext Roman" w:hint="eastAsia"/>
          <w:b/>
          <w:color w:val="FF0000"/>
          <w:sz w:val="20"/>
          <w:highlight w:val="yellow"/>
          <w:bdr w:val="single" w:sz="4" w:space="0" w:color="auto"/>
        </w:rPr>
        <w:t>壹</w:t>
      </w:r>
      <w:r w:rsidRPr="0050649B">
        <w:rPr>
          <w:rFonts w:ascii="Times Ext Roman" w:hAnsi="Times Ext Roman" w:cs="Times Ext Roman" w:hint="eastAsia"/>
          <w:b/>
          <w:color w:val="FF0000"/>
          <w:sz w:val="20"/>
          <w:highlight w:val="yellow"/>
          <w:bdr w:val="single" w:sz="4" w:space="0" w:color="auto"/>
        </w:rPr>
        <w:t>）</w:t>
      </w:r>
      <w:r w:rsidR="0050649B" w:rsidRPr="0050649B">
        <w:rPr>
          <w:rFonts w:ascii="Times Ext Roman" w:hAnsi="Times Ext Roman" w:cs="Times Ext Roman" w:hint="eastAsia"/>
          <w:b/>
          <w:color w:val="FF0000"/>
          <w:sz w:val="20"/>
          <w:highlight w:val="yellow"/>
          <w:bdr w:val="single" w:sz="4" w:space="0" w:color="auto"/>
        </w:rPr>
        <w:t>依名溯源</w:t>
      </w:r>
      <w:r w:rsidRPr="00DA3BC7">
        <w:rPr>
          <w:rFonts w:ascii="Times Ext Roman" w:hAnsi="Times Ext Roman" w:cs="Times Ext Roman" w:hint="eastAsia"/>
          <w:sz w:val="20"/>
          <w:szCs w:val="20"/>
        </w:rPr>
        <w:t>（</w:t>
      </w:r>
      <w:r w:rsidRPr="00DA3BC7">
        <w:rPr>
          <w:rFonts w:ascii="Times New Roman" w:hAnsi="Times New Roman" w:hint="eastAsia"/>
          <w:sz w:val="20"/>
          <w:szCs w:val="20"/>
        </w:rPr>
        <w:t>pp.43-44</w:t>
      </w:r>
      <w:r w:rsidRPr="00DA3BC7">
        <w:rPr>
          <w:rFonts w:ascii="Times Ext Roman" w:hAnsi="Times Ext Roman" w:cs="Times Ext Roman" w:hint="eastAsia"/>
          <w:sz w:val="20"/>
          <w:szCs w:val="20"/>
        </w:rPr>
        <w:t>）</w:t>
      </w:r>
    </w:p>
    <w:p w:rsidR="002B682F" w:rsidRPr="00DA3BC7" w:rsidRDefault="002B682F" w:rsidP="008E2BBC">
      <w:pPr>
        <w:ind w:leftChars="50" w:left="120"/>
        <w:jc w:val="both"/>
        <w:rPr>
          <w:rFonts w:ascii="Times New Roman" w:hAnsi="Times New Roman"/>
        </w:rPr>
      </w:pPr>
      <w:r w:rsidRPr="00DA3BC7">
        <w:rPr>
          <w:rFonts w:ascii="Times New Roman" w:hAnsi="Times New Roman" w:hint="eastAsia"/>
        </w:rPr>
        <w:t>一般所說的印度論理學，稱為「正理」</w:t>
      </w:r>
      <w:r w:rsidRPr="00DA3BC7">
        <w:rPr>
          <w:rFonts w:ascii="Times New Roman" w:hAnsi="Times New Roman"/>
          <w:vertAlign w:val="superscript"/>
        </w:rPr>
        <w:footnoteReference w:id="252"/>
      </w:r>
      <w:r w:rsidRPr="00DA3BC7">
        <w:rPr>
          <w:rFonts w:ascii="Times New Roman" w:hAnsi="Times New Roman" w:hint="eastAsia"/>
        </w:rPr>
        <w:t>，淵源很早。梵語尼夜耶</w:t>
      </w:r>
      <w:r w:rsidRPr="0050649B">
        <w:rPr>
          <w:rFonts w:ascii="Times New Roman" w:hAnsi="新細明體" w:hint="eastAsia"/>
          <w:shd w:val="pct15" w:color="auto" w:fill="FFFFFF"/>
        </w:rPr>
        <w:t>（</w:t>
      </w:r>
      <w:r w:rsidRPr="0050649B">
        <w:rPr>
          <w:rFonts w:ascii="Times New Roman" w:hAnsi="Times New Roman"/>
          <w:shd w:val="pct15" w:color="auto" w:fill="FFFFFF"/>
        </w:rPr>
        <w:t>nyāya</w:t>
      </w:r>
      <w:r w:rsidRPr="0050649B">
        <w:rPr>
          <w:rFonts w:ascii="Times New Roman" w:hAnsi="新細明體" w:hint="eastAsia"/>
          <w:shd w:val="pct15" w:color="auto" w:fill="FFFFFF"/>
        </w:rPr>
        <w:t>）</w:t>
      </w:r>
      <w:r w:rsidRPr="00DA3BC7">
        <w:rPr>
          <w:rFonts w:ascii="Times New Roman" w:hAnsi="Times New Roman" w:hint="eastAsia"/>
        </w:rPr>
        <w:t>，譯為正理，正理即是真理；後來，即轉用為論究考察真理的方法，成為印度論理學的專稱。</w:t>
      </w:r>
    </w:p>
    <w:p w:rsidR="002B682F" w:rsidRPr="00DA3BC7" w:rsidRDefault="002B682F" w:rsidP="00AE3920">
      <w:pPr>
        <w:spacing w:beforeLines="20"/>
        <w:ind w:leftChars="50" w:left="120"/>
        <w:jc w:val="both"/>
        <w:rPr>
          <w:rFonts w:ascii="Times New Roman" w:hAnsi="Times New Roman"/>
        </w:rPr>
      </w:pPr>
      <w:r w:rsidRPr="00DA3BC7">
        <w:rPr>
          <w:rFonts w:ascii="Times New Roman" w:hAnsi="Times New Roman" w:hint="eastAsia"/>
        </w:rPr>
        <w:t>這和西洋的邏輯</w:t>
      </w:r>
      <w:r w:rsidRPr="0050649B">
        <w:rPr>
          <w:rFonts w:ascii="Times New Roman" w:hAnsi="新細明體" w:hint="eastAsia"/>
          <w:shd w:val="pct15" w:color="auto" w:fill="FFFFFF"/>
        </w:rPr>
        <w:t>（</w:t>
      </w:r>
      <w:r w:rsidRPr="0050649B">
        <w:rPr>
          <w:rFonts w:ascii="Times New Roman" w:hAnsi="Times New Roman" w:hint="eastAsia"/>
          <w:shd w:val="pct15" w:color="auto" w:fill="FFFFFF"/>
        </w:rPr>
        <w:t>logic</w:t>
      </w:r>
      <w:r w:rsidRPr="0050649B">
        <w:rPr>
          <w:rFonts w:ascii="Times New Roman" w:hAnsi="新細明體" w:hint="eastAsia"/>
          <w:shd w:val="pct15" w:color="auto" w:fill="FFFFFF"/>
        </w:rPr>
        <w:t>）</w:t>
      </w:r>
      <w:bookmarkStart w:id="68" w:name="OLE_LINK1"/>
      <w:r w:rsidRPr="00DA3BC7">
        <w:rPr>
          <w:rFonts w:hint="eastAsia"/>
        </w:rPr>
        <w:t>從</w:t>
      </w:r>
      <w:r w:rsidRPr="00DA3BC7">
        <w:rPr>
          <w:rFonts w:ascii="Times New Roman" w:hAnsi="Times New Roman" w:hint="eastAsia"/>
          <w:b/>
        </w:rPr>
        <w:t>邏格思</w:t>
      </w:r>
      <w:bookmarkEnd w:id="68"/>
      <w:r w:rsidRPr="0050649B">
        <w:rPr>
          <w:rFonts w:ascii="Times New Roman" w:hAnsi="新細明體" w:hint="eastAsia"/>
          <w:shd w:val="pct15" w:color="auto" w:fill="FFFFFF"/>
        </w:rPr>
        <w:t>（</w:t>
      </w:r>
      <w:r w:rsidRPr="0050649B">
        <w:rPr>
          <w:rFonts w:ascii="Times New Roman" w:hAnsi="Times New Roman" w:hint="eastAsia"/>
          <w:shd w:val="pct15" w:color="auto" w:fill="FFFFFF"/>
        </w:rPr>
        <w:t>logos</w:t>
      </w:r>
      <w:r w:rsidRPr="0050649B">
        <w:rPr>
          <w:rFonts w:ascii="Times New Roman" w:hAnsi="新細明體" w:hint="eastAsia"/>
          <w:shd w:val="pct15" w:color="auto" w:fill="FFFFFF"/>
        </w:rPr>
        <w:t>）</w:t>
      </w:r>
      <w:r w:rsidR="0050649B" w:rsidRPr="00DA3BC7">
        <w:rPr>
          <w:rFonts w:ascii="Times New Roman" w:hAnsi="Times New Roman"/>
          <w:vertAlign w:val="superscript"/>
        </w:rPr>
        <w:footnoteReference w:id="253"/>
      </w:r>
      <w:r w:rsidRPr="00DA3BC7">
        <w:rPr>
          <w:rFonts w:ascii="Times New Roman" w:hAnsi="Times New Roman" w:hint="eastAsia"/>
        </w:rPr>
        <w:t>的術語變化而來一樣。</w:t>
      </w:r>
    </w:p>
    <w:p w:rsidR="002B682F" w:rsidRPr="00DA3BC7" w:rsidRDefault="002B682F" w:rsidP="00AE3920">
      <w:pPr>
        <w:spacing w:beforeLines="30"/>
        <w:ind w:leftChars="50" w:left="120"/>
        <w:jc w:val="both"/>
        <w:rPr>
          <w:rFonts w:ascii="Times Ext Roman" w:hAnsi="Times Ext Roman" w:cs="Times Ext Roman"/>
          <w:sz w:val="20"/>
          <w:bdr w:val="single" w:sz="4" w:space="0" w:color="auto"/>
        </w:rPr>
      </w:pPr>
      <w:r w:rsidRPr="0050649B">
        <w:rPr>
          <w:rFonts w:ascii="Times Ext Roman" w:hAnsi="Times Ext Roman" w:cs="Times Ext Roman" w:hint="eastAsia"/>
          <w:b/>
          <w:color w:val="FF0000"/>
          <w:sz w:val="20"/>
          <w:highlight w:val="yellow"/>
          <w:bdr w:val="single" w:sz="4" w:space="0" w:color="auto"/>
        </w:rPr>
        <w:t>（</w:t>
      </w:r>
      <w:r w:rsidR="0050649B" w:rsidRPr="0050649B">
        <w:rPr>
          <w:rFonts w:ascii="Times Ext Roman" w:hAnsi="Times Ext Roman" w:cs="Times Ext Roman" w:hint="eastAsia"/>
          <w:b/>
          <w:color w:val="FF0000"/>
          <w:sz w:val="20"/>
          <w:highlight w:val="yellow"/>
          <w:bdr w:val="single" w:sz="4" w:space="0" w:color="auto"/>
        </w:rPr>
        <w:t>貳</w:t>
      </w:r>
      <w:r w:rsidRPr="0050649B">
        <w:rPr>
          <w:rFonts w:ascii="Times Ext Roman" w:hAnsi="Times Ext Roman" w:cs="Times Ext Roman" w:hint="eastAsia"/>
          <w:b/>
          <w:color w:val="FF0000"/>
          <w:sz w:val="20"/>
          <w:highlight w:val="yellow"/>
          <w:bdr w:val="single" w:sz="4" w:space="0" w:color="auto"/>
        </w:rPr>
        <w:t>）學</w:t>
      </w:r>
      <w:r w:rsidR="0050649B" w:rsidRPr="0050649B">
        <w:rPr>
          <w:rFonts w:ascii="Times Ext Roman" w:hAnsi="Times Ext Roman" w:cs="Times Ext Roman" w:hint="eastAsia"/>
          <w:b/>
          <w:color w:val="FF0000"/>
          <w:sz w:val="20"/>
          <w:highlight w:val="yellow"/>
          <w:bdr w:val="single" w:sz="4" w:space="0" w:color="auto"/>
        </w:rPr>
        <w:t>思的發展</w:t>
      </w:r>
      <w:r w:rsidRPr="00DA3BC7">
        <w:rPr>
          <w:rFonts w:ascii="Times Ext Roman" w:hAnsi="Times Ext Roman" w:cs="Times Ext Roman" w:hint="eastAsia"/>
          <w:sz w:val="20"/>
          <w:szCs w:val="20"/>
        </w:rPr>
        <w:t>（</w:t>
      </w:r>
      <w:r w:rsidRPr="00DA3BC7">
        <w:rPr>
          <w:rFonts w:ascii="Times New Roman" w:hAnsi="Times New Roman" w:hint="eastAsia"/>
          <w:sz w:val="20"/>
          <w:szCs w:val="20"/>
        </w:rPr>
        <w:t>p.44</w:t>
      </w:r>
      <w:r w:rsidRPr="00DA3BC7">
        <w:rPr>
          <w:rFonts w:ascii="Times Ext Roman" w:hAnsi="Times Ext Roman" w:cs="Times Ext Roman" w:hint="eastAsia"/>
          <w:sz w:val="20"/>
          <w:szCs w:val="20"/>
        </w:rPr>
        <w:t>）</w:t>
      </w:r>
    </w:p>
    <w:p w:rsidR="002B682F" w:rsidRPr="00DA3BC7" w:rsidRDefault="002B682F" w:rsidP="008E2BBC">
      <w:pPr>
        <w:ind w:leftChars="50" w:left="120"/>
        <w:jc w:val="both"/>
        <w:rPr>
          <w:rFonts w:ascii="Times New Roman" w:hAnsi="Times New Roman"/>
        </w:rPr>
      </w:pPr>
      <w:r w:rsidRPr="00DA3BC7">
        <w:rPr>
          <w:rFonts w:ascii="Times New Roman" w:hAnsi="Times New Roman" w:hint="eastAsia"/>
        </w:rPr>
        <w:t>印度的正理學派，約成立於西元之初。其後，佛教學者也加以採用，特別是法相唯識學，即發展為著名的因明。</w:t>
      </w:r>
    </w:p>
    <w:p w:rsidR="0050649B" w:rsidRDefault="002B682F" w:rsidP="00A27095">
      <w:pPr>
        <w:ind w:leftChars="50" w:left="120"/>
        <w:jc w:val="both"/>
        <w:rPr>
          <w:rFonts w:ascii="Times New Roman" w:hAnsi="Times New Roman"/>
        </w:rPr>
      </w:pPr>
      <w:r w:rsidRPr="00DA3BC7">
        <w:rPr>
          <w:rFonts w:ascii="Times New Roman" w:hAnsi="Times New Roman" w:hint="eastAsia"/>
        </w:rPr>
        <w:lastRenderedPageBreak/>
        <w:t>正理學派的論理方法，總凡十六句</w:t>
      </w:r>
      <w:r w:rsidRPr="00DA3BC7">
        <w:rPr>
          <w:rFonts w:ascii="Times New Roman" w:hAnsi="Times New Roman"/>
          <w:vertAlign w:val="superscript"/>
        </w:rPr>
        <w:footnoteReference w:id="254"/>
      </w:r>
      <w:r w:rsidRPr="00DA3BC7">
        <w:rPr>
          <w:rFonts w:ascii="Times New Roman" w:hAnsi="Times New Roman" w:hint="eastAsia"/>
        </w:rPr>
        <w:t>；他的論式，是五分論法</w:t>
      </w:r>
      <w:r w:rsidRPr="00DA3BC7">
        <w:rPr>
          <w:rFonts w:ascii="Times New Roman" w:hAnsi="Times New Roman"/>
          <w:vertAlign w:val="superscript"/>
        </w:rPr>
        <w:footnoteReference w:id="255"/>
      </w:r>
      <w:r w:rsidRPr="00DA3BC7">
        <w:rPr>
          <w:rFonts w:ascii="Times New Roman" w:hAnsi="Times New Roman" w:hint="eastAsia"/>
        </w:rPr>
        <w:t>。</w:t>
      </w:r>
    </w:p>
    <w:p w:rsidR="002B682F" w:rsidRPr="00DA3BC7" w:rsidRDefault="002B682F" w:rsidP="0050649B">
      <w:pPr>
        <w:ind w:leftChars="50" w:left="120"/>
        <w:jc w:val="both"/>
        <w:rPr>
          <w:rFonts w:ascii="Times New Roman" w:hAnsi="Times New Roman"/>
        </w:rPr>
      </w:pPr>
      <w:r w:rsidRPr="00DA3BC7">
        <w:rPr>
          <w:rFonts w:ascii="Times New Roman" w:hAnsi="Times New Roman" w:hint="eastAsia"/>
        </w:rPr>
        <w:t>到世親及弟子陳那，把五分論法加以改善，成為三支論法</w:t>
      </w:r>
      <w:r w:rsidRPr="00DA3BC7">
        <w:rPr>
          <w:rFonts w:ascii="Times New Roman" w:hAnsi="Times New Roman"/>
          <w:vertAlign w:val="superscript"/>
        </w:rPr>
        <w:footnoteReference w:id="256"/>
      </w:r>
      <w:r w:rsidRPr="00DA3BC7">
        <w:rPr>
          <w:rFonts w:ascii="Times New Roman" w:hAnsi="Times New Roman" w:hint="eastAsia"/>
        </w:rPr>
        <w:t>。</w:t>
      </w:r>
    </w:p>
    <w:p w:rsidR="002B682F" w:rsidRPr="00DA3BC7" w:rsidRDefault="002B682F" w:rsidP="00AE3920">
      <w:pPr>
        <w:spacing w:beforeLines="20"/>
        <w:ind w:leftChars="50" w:left="120"/>
        <w:jc w:val="both"/>
        <w:rPr>
          <w:rFonts w:ascii="Times New Roman" w:hAnsi="Times New Roman"/>
        </w:rPr>
      </w:pPr>
      <w:r w:rsidRPr="00DA3BC7">
        <w:rPr>
          <w:rFonts w:ascii="Times New Roman" w:hAnsi="Times New Roman" w:hint="eastAsia"/>
        </w:rPr>
        <w:t>因明是佛教所用的術語，因為考察事理真相的三支論法，主要是以理由──因支來證明宗義，因支特別重要，故名因明。然也沒有忘棄</w:t>
      </w:r>
      <w:r w:rsidRPr="00DA3BC7">
        <w:rPr>
          <w:rFonts w:ascii="新細明體" w:hAnsi="新細明體" w:hint="eastAsia"/>
        </w:rPr>
        <w:t>「</w:t>
      </w:r>
      <w:r w:rsidRPr="00DA3BC7">
        <w:rPr>
          <w:rFonts w:hint="eastAsia"/>
        </w:rPr>
        <w:t>正理</w:t>
      </w:r>
      <w:r w:rsidRPr="00DA3BC7">
        <w:rPr>
          <w:rFonts w:ascii="新細明體" w:hAnsi="新細明體" w:hint="eastAsia"/>
        </w:rPr>
        <w:t>」</w:t>
      </w:r>
      <w:r w:rsidRPr="00DA3BC7">
        <w:rPr>
          <w:rFonts w:ascii="Times New Roman" w:hAnsi="Times New Roman" w:hint="eastAsia"/>
        </w:rPr>
        <w:t>一詞，如陳那師資</w:t>
      </w:r>
      <w:r w:rsidRPr="00DA3BC7">
        <w:rPr>
          <w:rFonts w:ascii="Times New Roman" w:hAnsi="Times New Roman"/>
          <w:vertAlign w:val="superscript"/>
        </w:rPr>
        <w:footnoteReference w:id="257"/>
      </w:r>
      <w:r w:rsidRPr="00DA3BC7">
        <w:rPr>
          <w:rFonts w:ascii="Times New Roman" w:hAnsi="Times New Roman" w:hint="eastAsia"/>
        </w:rPr>
        <w:t>所著的《因明正理門論》</w:t>
      </w:r>
      <w:r w:rsidRPr="00DA3BC7">
        <w:rPr>
          <w:rFonts w:ascii="Times New Roman" w:hAnsi="Times New Roman"/>
          <w:vertAlign w:val="superscript"/>
        </w:rPr>
        <w:footnoteReference w:id="258"/>
      </w:r>
      <w:r w:rsidRPr="00DA3BC7">
        <w:rPr>
          <w:rFonts w:ascii="新細明體" w:hAnsi="新細明體" w:hint="eastAsia"/>
        </w:rPr>
        <w:t>、</w:t>
      </w:r>
      <w:r w:rsidRPr="00DA3BC7">
        <w:rPr>
          <w:rFonts w:ascii="Times New Roman" w:hAnsi="Times New Roman" w:hint="eastAsia"/>
        </w:rPr>
        <w:t>《因明入正理門論》</w:t>
      </w:r>
      <w:r w:rsidRPr="00DA3BC7">
        <w:rPr>
          <w:rFonts w:ascii="Times New Roman" w:hAnsi="Times New Roman"/>
          <w:vertAlign w:val="superscript"/>
        </w:rPr>
        <w:footnoteReference w:id="259"/>
      </w:r>
      <w:r w:rsidRPr="00DA3BC7">
        <w:rPr>
          <w:rFonts w:ascii="Times New Roman" w:hAnsi="Times New Roman" w:hint="eastAsia"/>
        </w:rPr>
        <w:t>等是。</w:t>
      </w:r>
    </w:p>
    <w:p w:rsidR="002B682F" w:rsidRPr="00DA3BC7" w:rsidRDefault="0050649B" w:rsidP="00AE3920">
      <w:pPr>
        <w:spacing w:beforeLines="30"/>
        <w:jc w:val="both"/>
        <w:rPr>
          <w:rFonts w:ascii="Times Ext Roman" w:hAnsi="Times Ext Roman" w:cs="Times Ext Roman"/>
          <w:sz w:val="20"/>
          <w:bdr w:val="single" w:sz="4" w:space="0" w:color="auto"/>
        </w:rPr>
      </w:pPr>
      <w:r w:rsidRPr="0050649B">
        <w:rPr>
          <w:rFonts w:ascii="Times Ext Roman" w:hAnsi="Times Ext Roman" w:cs="Times Ext Roman" w:hint="eastAsia"/>
          <w:b/>
          <w:color w:val="FF0000"/>
          <w:sz w:val="20"/>
          <w:highlight w:val="yellow"/>
          <w:bdr w:val="single" w:sz="4" w:space="0" w:color="auto"/>
        </w:rPr>
        <w:lastRenderedPageBreak/>
        <w:t>參、中道的論理學──</w:t>
      </w:r>
      <w:r w:rsidR="002B682F" w:rsidRPr="0050649B">
        <w:rPr>
          <w:rFonts w:ascii="Times Ext Roman" w:hAnsi="Times Ext Roman" w:cs="Times Ext Roman" w:hint="eastAsia"/>
          <w:b/>
          <w:color w:val="FF0000"/>
          <w:sz w:val="20"/>
          <w:highlight w:val="yellow"/>
          <w:bdr w:val="single" w:sz="4" w:space="0" w:color="auto"/>
        </w:rPr>
        <w:t>中觀</w:t>
      </w:r>
      <w:r w:rsidRPr="00DA3BC7">
        <w:rPr>
          <w:rFonts w:ascii="Times Ext Roman" w:hAnsi="Times Ext Roman" w:cs="Times Ext Roman" w:hint="eastAsia"/>
          <w:sz w:val="20"/>
          <w:szCs w:val="20"/>
        </w:rPr>
        <w:t>（</w:t>
      </w:r>
      <w:r w:rsidRPr="00DA3BC7">
        <w:rPr>
          <w:rFonts w:ascii="Times New Roman" w:hAnsi="Times New Roman" w:hint="eastAsia"/>
          <w:sz w:val="20"/>
          <w:szCs w:val="20"/>
        </w:rPr>
        <w:t>pp.44-45</w:t>
      </w:r>
      <w:r w:rsidRPr="00DA3BC7">
        <w:rPr>
          <w:rFonts w:ascii="Times Ext Roman" w:hAnsi="Times Ext Roman" w:cs="Times Ext Roman" w:hint="eastAsia"/>
          <w:sz w:val="20"/>
          <w:szCs w:val="20"/>
        </w:rPr>
        <w:t>）</w:t>
      </w:r>
    </w:p>
    <w:p w:rsidR="0050649B" w:rsidRPr="0050649B" w:rsidRDefault="0050649B" w:rsidP="008E2BBC">
      <w:pPr>
        <w:ind w:leftChars="50" w:left="120"/>
        <w:jc w:val="both"/>
        <w:rPr>
          <w:rFonts w:ascii="Times Ext Roman" w:hAnsi="Times Ext Roman" w:cs="Times Ext Roman"/>
          <w:b/>
          <w:color w:val="FF0000"/>
          <w:sz w:val="20"/>
          <w:highlight w:val="yellow"/>
          <w:bdr w:val="single" w:sz="4" w:space="0" w:color="auto"/>
        </w:rPr>
      </w:pPr>
      <w:r w:rsidRPr="0050649B">
        <w:rPr>
          <w:rFonts w:ascii="Times Ext Roman" w:hAnsi="Times Ext Roman" w:cs="Times Ext Roman" w:hint="eastAsia"/>
          <w:b/>
          <w:color w:val="FF0000"/>
          <w:sz w:val="20"/>
          <w:highlight w:val="yellow"/>
          <w:bdr w:val="single" w:sz="4" w:space="0" w:color="auto"/>
        </w:rPr>
        <w:t>（壹）提要</w:t>
      </w:r>
      <w:r w:rsidRPr="00DA3BC7">
        <w:rPr>
          <w:rFonts w:ascii="Times Ext Roman" w:hAnsi="Times Ext Roman" w:cs="Times Ext Roman" w:hint="eastAsia"/>
          <w:sz w:val="20"/>
          <w:szCs w:val="20"/>
        </w:rPr>
        <w:t>（</w:t>
      </w:r>
      <w:r w:rsidRPr="00DA3BC7">
        <w:rPr>
          <w:rFonts w:ascii="Times New Roman" w:hAnsi="Times New Roman" w:hint="eastAsia"/>
          <w:sz w:val="20"/>
          <w:szCs w:val="20"/>
        </w:rPr>
        <w:t>p.44</w:t>
      </w:r>
      <w:r w:rsidRPr="00DA3BC7">
        <w:rPr>
          <w:rFonts w:ascii="Times Ext Roman" w:hAnsi="Times Ext Roman" w:cs="Times Ext Roman" w:hint="eastAsia"/>
          <w:sz w:val="20"/>
          <w:szCs w:val="20"/>
        </w:rPr>
        <w:t>）</w:t>
      </w:r>
    </w:p>
    <w:p w:rsidR="002B682F" w:rsidRPr="00DA3BC7" w:rsidRDefault="002B682F" w:rsidP="008E2BBC">
      <w:pPr>
        <w:ind w:leftChars="50" w:left="120"/>
        <w:jc w:val="both"/>
        <w:rPr>
          <w:rFonts w:ascii="Times New Roman" w:hAnsi="Times New Roman"/>
        </w:rPr>
      </w:pPr>
      <w:r w:rsidRPr="00DA3BC7">
        <w:rPr>
          <w:rFonts w:ascii="Times New Roman" w:hAnsi="Times New Roman" w:hint="eastAsia"/>
        </w:rPr>
        <w:t>現在說中觀</w:t>
      </w:r>
      <w:r w:rsidRPr="00DA3BC7">
        <w:rPr>
          <w:rFonts w:ascii="新細明體" w:hAnsi="新細明體" w:hint="eastAsia"/>
        </w:rPr>
        <w:t>、</w:t>
      </w:r>
      <w:r w:rsidRPr="00DA3BC7">
        <w:rPr>
          <w:rFonts w:ascii="Times New Roman" w:hAnsi="Times New Roman" w:hint="eastAsia"/>
        </w:rPr>
        <w:t>中論即是中道的方法論、論理學，這不但事實如此，在名稱也是如此的。如正理是真理，在印度早成為論理學的專名，而龍樹的《中論》等五部論典，即被稱為「五正理聚」</w:t>
      </w:r>
      <w:r w:rsidRPr="00DA3BC7">
        <w:rPr>
          <w:rFonts w:ascii="Times New Roman" w:hAnsi="Times New Roman"/>
          <w:vertAlign w:val="superscript"/>
        </w:rPr>
        <w:footnoteReference w:id="260"/>
      </w:r>
      <w:r w:rsidRPr="00DA3BC7">
        <w:rPr>
          <w:rFonts w:ascii="Times New Roman" w:hAnsi="Times New Roman" w:hint="eastAsia"/>
        </w:rPr>
        <w:t>，這可見《中論》等即是以論理方法探究真理之學。又如《菩提道次</w:t>
      </w:r>
      <w:r w:rsidRPr="00DA3BC7">
        <w:rPr>
          <w:rFonts w:hint="eastAsia"/>
        </w:rPr>
        <w:t>第</w:t>
      </w:r>
      <w:r w:rsidRPr="00DA3BC7">
        <w:rPr>
          <w:rFonts w:ascii="Times New Roman" w:hAnsi="Times New Roman" w:hint="eastAsia"/>
        </w:rPr>
        <w:t>論》，即每稱中道觀察為「</w:t>
      </w:r>
      <w:r w:rsidRPr="00DA3BC7">
        <w:rPr>
          <w:rFonts w:ascii="標楷體" w:eastAsia="標楷體" w:hAnsi="標楷體" w:hint="eastAsia"/>
        </w:rPr>
        <w:t>正理觀察</w:t>
      </w:r>
      <w:r w:rsidRPr="00DA3BC7">
        <w:rPr>
          <w:rFonts w:ascii="Times New Roman" w:hAnsi="Times New Roman" w:hint="eastAsia"/>
        </w:rPr>
        <w:t>」。</w:t>
      </w:r>
    </w:p>
    <w:p w:rsidR="002B682F" w:rsidRPr="00DA3BC7" w:rsidRDefault="0050649B" w:rsidP="00AE3920">
      <w:pPr>
        <w:spacing w:beforeLines="30"/>
        <w:ind w:leftChars="50" w:left="120"/>
        <w:jc w:val="both"/>
        <w:rPr>
          <w:rFonts w:ascii="Times Ext Roman" w:hAnsi="Times Ext Roman" w:cs="Times Ext Roman"/>
          <w:sz w:val="20"/>
          <w:bdr w:val="single" w:sz="4" w:space="0" w:color="auto"/>
        </w:rPr>
      </w:pPr>
      <w:r w:rsidRPr="0050649B">
        <w:rPr>
          <w:rFonts w:ascii="Times Ext Roman" w:hAnsi="Times Ext Roman" w:cs="Times Ext Roman" w:hint="eastAsia"/>
          <w:b/>
          <w:color w:val="FF0000"/>
          <w:sz w:val="20"/>
          <w:highlight w:val="yellow"/>
          <w:bdr w:val="single" w:sz="4" w:space="0" w:color="auto"/>
        </w:rPr>
        <w:t>（</w:t>
      </w:r>
      <w:r w:rsidR="002B682F" w:rsidRPr="0050649B">
        <w:rPr>
          <w:rFonts w:ascii="Times Ext Roman" w:hAnsi="Times Ext Roman" w:cs="Times Ext Roman" w:hint="eastAsia"/>
          <w:b/>
          <w:color w:val="FF0000"/>
          <w:sz w:val="20"/>
          <w:highlight w:val="yellow"/>
          <w:bdr w:val="single" w:sz="4" w:space="0" w:color="auto"/>
        </w:rPr>
        <w:t>貳</w:t>
      </w:r>
      <w:r w:rsidRPr="0050649B">
        <w:rPr>
          <w:rFonts w:ascii="Times Ext Roman" w:hAnsi="Times Ext Roman" w:cs="Times Ext Roman" w:hint="eastAsia"/>
          <w:b/>
          <w:color w:val="FF0000"/>
          <w:sz w:val="20"/>
          <w:highlight w:val="yellow"/>
          <w:bdr w:val="single" w:sz="4" w:space="0" w:color="auto"/>
        </w:rPr>
        <w:t>）簡異</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pp.44-45</w:t>
      </w:r>
      <w:r w:rsidR="002B682F" w:rsidRPr="00DA3BC7">
        <w:rPr>
          <w:rFonts w:ascii="Times Ext Roman" w:hAnsi="Times Ext Roman" w:cs="Times Ext Roman" w:hint="eastAsia"/>
          <w:sz w:val="20"/>
          <w:szCs w:val="20"/>
        </w:rPr>
        <w:t>）</w:t>
      </w:r>
    </w:p>
    <w:p w:rsidR="002B682F" w:rsidRPr="00DA3BC7" w:rsidRDefault="002B682F" w:rsidP="008E2BBC">
      <w:pPr>
        <w:ind w:leftChars="50" w:left="120"/>
        <w:jc w:val="both"/>
        <w:rPr>
          <w:rFonts w:ascii="Times New Roman" w:hAnsi="Times New Roman"/>
        </w:rPr>
      </w:pPr>
      <w:r w:rsidRPr="00DA3BC7">
        <w:rPr>
          <w:rFonts w:ascii="Times New Roman" w:hAnsi="Times New Roman" w:hint="eastAsia"/>
        </w:rPr>
        <w:lastRenderedPageBreak/>
        <w:t>法相唯識家的因明，與龍樹學系的中觀，雖同為論理方法，而因為</w:t>
      </w:r>
      <w:r w:rsidRPr="00DA3BC7">
        <w:rPr>
          <w:rFonts w:ascii="Times New Roman" w:hAnsi="Times New Roman" w:hint="eastAsia"/>
          <w:b/>
        </w:rPr>
        <w:t>中觀本源於佛陀的緣起法，因明卻僅是正理學派方法</w:t>
      </w:r>
      <w:r w:rsidRPr="00DA3BC7">
        <w:rPr>
          <w:rFonts w:ascii="新細明體" w:hAnsi="新細明體" w:hint="eastAsia"/>
        </w:rPr>
        <w:t>──</w:t>
      </w:r>
      <w:r w:rsidRPr="00DA3BC7">
        <w:rPr>
          <w:rFonts w:ascii="Times New Roman" w:hAnsi="Times New Roman" w:hint="eastAsia"/>
          <w:b/>
        </w:rPr>
        <w:t>可說是常人的方法論</w:t>
      </w:r>
      <w:r w:rsidRPr="00DA3BC7">
        <w:rPr>
          <w:rFonts w:hint="eastAsia"/>
        </w:rPr>
        <w:t>的修正；</w:t>
      </w:r>
      <w:r w:rsidRPr="00DA3BC7">
        <w:rPr>
          <w:rFonts w:ascii="Times New Roman" w:hAnsi="Times New Roman" w:hint="eastAsia"/>
        </w:rPr>
        <w:t>所用的方法不同，所以對究竟實相的中道也不免有所不同。這也是空有二宗的根本不同處，所以要特別的揭示出來。</w:t>
      </w:r>
    </w:p>
    <w:p w:rsidR="002B682F" w:rsidRPr="00DA3BC7" w:rsidRDefault="002B682F" w:rsidP="00AE3920">
      <w:pPr>
        <w:spacing w:beforeLines="30"/>
        <w:ind w:leftChars="50" w:left="120"/>
        <w:jc w:val="both"/>
        <w:rPr>
          <w:rFonts w:ascii="Times Ext Roman" w:hAnsi="Times Ext Roman" w:cs="Times Ext Roman"/>
          <w:sz w:val="20"/>
          <w:bdr w:val="single" w:sz="4" w:space="0" w:color="auto"/>
        </w:rPr>
      </w:pPr>
      <w:r w:rsidRPr="0050649B">
        <w:rPr>
          <w:rFonts w:ascii="Times Ext Roman" w:hAnsi="Times Ext Roman" w:cs="Times Ext Roman" w:hint="eastAsia"/>
          <w:b/>
          <w:color w:val="FF0000"/>
          <w:sz w:val="20"/>
          <w:highlight w:val="yellow"/>
          <w:bdr w:val="single" w:sz="4" w:space="0" w:color="auto"/>
        </w:rPr>
        <w:t>（</w:t>
      </w:r>
      <w:r w:rsidR="0050649B" w:rsidRPr="0050649B">
        <w:rPr>
          <w:rFonts w:ascii="Times Ext Roman" w:hAnsi="Times Ext Roman" w:cs="Times Ext Roman" w:hint="eastAsia"/>
          <w:b/>
          <w:color w:val="FF0000"/>
          <w:sz w:val="20"/>
          <w:highlight w:val="yellow"/>
          <w:bdr w:val="single" w:sz="4" w:space="0" w:color="auto"/>
        </w:rPr>
        <w:t>參</w:t>
      </w:r>
      <w:r w:rsidRPr="0050649B">
        <w:rPr>
          <w:rFonts w:ascii="Times Ext Roman" w:hAnsi="Times Ext Roman" w:cs="Times Ext Roman" w:hint="eastAsia"/>
          <w:b/>
          <w:color w:val="FF0000"/>
          <w:sz w:val="20"/>
          <w:highlight w:val="yellow"/>
          <w:bdr w:val="single" w:sz="4" w:space="0" w:color="auto"/>
        </w:rPr>
        <w:t>）</w:t>
      </w:r>
      <w:r w:rsidR="0050649B">
        <w:rPr>
          <w:rFonts w:ascii="Times Ext Roman" w:hAnsi="Times Ext Roman" w:cs="Times Ext Roman" w:hint="eastAsia"/>
          <w:b/>
          <w:color w:val="FF0000"/>
          <w:sz w:val="20"/>
          <w:highlight w:val="yellow"/>
          <w:bdr w:val="single" w:sz="4" w:space="0" w:color="auto"/>
        </w:rPr>
        <w:t>正明</w:t>
      </w:r>
      <w:r w:rsidRPr="00DA3BC7">
        <w:rPr>
          <w:rFonts w:ascii="Times Ext Roman" w:hAnsi="Times Ext Roman" w:cs="Times Ext Roman" w:hint="eastAsia"/>
          <w:sz w:val="20"/>
          <w:szCs w:val="20"/>
        </w:rPr>
        <w:t>（</w:t>
      </w:r>
      <w:r w:rsidRPr="00DA3BC7">
        <w:rPr>
          <w:rFonts w:ascii="Times New Roman" w:hAnsi="Times New Roman" w:hint="eastAsia"/>
          <w:sz w:val="20"/>
          <w:szCs w:val="20"/>
        </w:rPr>
        <w:t>p.45</w:t>
      </w:r>
      <w:r w:rsidRPr="00DA3BC7">
        <w:rPr>
          <w:rFonts w:ascii="Times Ext Roman" w:hAnsi="Times Ext Roman" w:cs="Times Ext Roman" w:hint="eastAsia"/>
          <w:sz w:val="20"/>
          <w:szCs w:val="20"/>
        </w:rPr>
        <w:t>）</w:t>
      </w:r>
    </w:p>
    <w:p w:rsidR="0050649B" w:rsidRPr="0050649B" w:rsidRDefault="002B682F" w:rsidP="008E2BBC">
      <w:pPr>
        <w:ind w:leftChars="100" w:left="240"/>
        <w:jc w:val="both"/>
        <w:rPr>
          <w:rFonts w:ascii="Times Ext Roman" w:hAnsi="Times Ext Roman" w:cs="Times Ext Roman"/>
          <w:b/>
          <w:color w:val="FF0000"/>
          <w:sz w:val="20"/>
          <w:highlight w:val="yellow"/>
          <w:bdr w:val="single" w:sz="4" w:space="0" w:color="auto"/>
        </w:rPr>
      </w:pPr>
      <w:r w:rsidRPr="0050649B">
        <w:rPr>
          <w:rFonts w:ascii="Times Ext Roman" w:hAnsi="Times Ext Roman" w:cs="Times Ext Roman" w:hint="eastAsia"/>
          <w:b/>
          <w:color w:val="FF0000"/>
          <w:sz w:val="20"/>
          <w:highlight w:val="yellow"/>
          <w:bdr w:val="single" w:sz="4" w:space="0" w:color="auto"/>
        </w:rPr>
        <w:t>一、</w:t>
      </w:r>
      <w:r w:rsidR="0050649B" w:rsidRPr="0050649B">
        <w:rPr>
          <w:rFonts w:ascii="Times Ext Roman" w:hAnsi="Times Ext Roman" w:cs="Times Ext Roman" w:hint="eastAsia"/>
          <w:b/>
          <w:color w:val="FF0000"/>
          <w:sz w:val="20"/>
          <w:highlight w:val="yellow"/>
          <w:bdr w:val="single" w:sz="4" w:space="0" w:color="auto"/>
        </w:rPr>
        <w:t>略述</w:t>
      </w:r>
    </w:p>
    <w:p w:rsidR="002B682F" w:rsidRPr="00DA3BC7" w:rsidRDefault="0050649B" w:rsidP="003B7900">
      <w:pPr>
        <w:ind w:leftChars="150" w:left="360"/>
        <w:jc w:val="both"/>
        <w:rPr>
          <w:rFonts w:ascii="Times Ext Roman" w:hAnsi="Times Ext Roman" w:cs="Times Ext Roman"/>
          <w:sz w:val="20"/>
          <w:bdr w:val="single" w:sz="4" w:space="0" w:color="auto"/>
        </w:rPr>
      </w:pPr>
      <w:r w:rsidRPr="0050649B">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一</w:t>
      </w:r>
      <w:r w:rsidRPr="0050649B">
        <w:rPr>
          <w:rFonts w:ascii="Times Ext Roman" w:hAnsi="Times Ext Roman" w:cs="Times Ext Roman" w:hint="eastAsia"/>
          <w:b/>
          <w:color w:val="FF0000"/>
          <w:sz w:val="20"/>
          <w:highlight w:val="yellow"/>
          <w:bdr w:val="single" w:sz="4" w:space="0" w:color="auto"/>
        </w:rPr>
        <w:t>）</w:t>
      </w:r>
      <w:r w:rsidR="002B682F" w:rsidRPr="00DA3BC7">
        <w:rPr>
          <w:rFonts w:ascii="Times Ext Roman" w:hAnsi="Times Ext Roman" w:cs="Times Ext Roman" w:hint="eastAsia"/>
          <w:b/>
          <w:sz w:val="20"/>
          <w:bdr w:val="single" w:sz="4" w:space="0" w:color="auto"/>
        </w:rPr>
        <w:t>中國的三論宗</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p.45</w:t>
      </w:r>
      <w:r w:rsidR="002B682F" w:rsidRPr="00DA3BC7">
        <w:rPr>
          <w:rFonts w:ascii="Times Ext Roman" w:hAnsi="Times Ext Roman" w:cs="Times Ext Roman" w:hint="eastAsia"/>
          <w:sz w:val="20"/>
          <w:szCs w:val="20"/>
        </w:rPr>
        <w:t>）</w:t>
      </w:r>
    </w:p>
    <w:p w:rsidR="002B682F" w:rsidRPr="00DA3BC7" w:rsidRDefault="002B682F" w:rsidP="003B7900">
      <w:pPr>
        <w:ind w:leftChars="150" w:left="360"/>
        <w:jc w:val="both"/>
        <w:rPr>
          <w:rFonts w:ascii="Times New Roman" w:hAnsi="Times New Roman"/>
        </w:rPr>
      </w:pPr>
      <w:r w:rsidRPr="00DA3BC7">
        <w:rPr>
          <w:rFonts w:ascii="Times New Roman" w:hAnsi="Times New Roman" w:hint="eastAsia"/>
        </w:rPr>
        <w:t>中國的古三論師</w:t>
      </w:r>
      <w:r w:rsidRPr="00DA3BC7">
        <w:rPr>
          <w:rFonts w:ascii="Times New Roman" w:hAnsi="Times New Roman"/>
          <w:vertAlign w:val="superscript"/>
        </w:rPr>
        <w:footnoteReference w:id="261"/>
      </w:r>
      <w:r w:rsidRPr="00DA3BC7">
        <w:rPr>
          <w:rFonts w:ascii="Times New Roman" w:hAnsi="Times New Roman" w:hint="eastAsia"/>
        </w:rPr>
        <w:t>，並未使用因明式的方法。</w:t>
      </w:r>
    </w:p>
    <w:p w:rsidR="002B682F" w:rsidRPr="00DA3BC7" w:rsidRDefault="002B682F" w:rsidP="00AE3920">
      <w:pPr>
        <w:spacing w:beforeLines="20"/>
        <w:ind w:leftChars="150" w:left="360"/>
        <w:jc w:val="both"/>
        <w:rPr>
          <w:rFonts w:ascii="Times New Roman" w:hAnsi="Times New Roman"/>
        </w:rPr>
      </w:pPr>
      <w:r w:rsidRPr="00DA3BC7">
        <w:rPr>
          <w:rFonts w:ascii="Times New Roman" w:hAnsi="Times New Roman" w:hint="eastAsia"/>
        </w:rPr>
        <w:t>到了唐代的新三論宗，即賢首</w:t>
      </w:r>
      <w:r w:rsidRPr="00DA3BC7">
        <w:rPr>
          <w:rFonts w:ascii="Times New Roman" w:hAnsi="Times New Roman"/>
          <w:vertAlign w:val="superscript"/>
        </w:rPr>
        <w:footnoteReference w:id="262"/>
      </w:r>
      <w:r w:rsidRPr="00DA3BC7">
        <w:rPr>
          <w:rFonts w:ascii="Times New Roman" w:hAnsi="Times New Roman" w:hint="eastAsia"/>
        </w:rPr>
        <w:t>承</w:t>
      </w:r>
      <w:bookmarkStart w:id="69" w:name="OLE_LINK4"/>
      <w:bookmarkStart w:id="70" w:name="OLE_LINK5"/>
      <w:r w:rsidRPr="00DA3BC7">
        <w:rPr>
          <w:rFonts w:ascii="Times New Roman" w:hAnsi="Times New Roman" w:hint="eastAsia"/>
        </w:rPr>
        <w:t>日照</w:t>
      </w:r>
      <w:bookmarkEnd w:id="69"/>
      <w:bookmarkEnd w:id="70"/>
      <w:r w:rsidRPr="00DA3BC7">
        <w:rPr>
          <w:rFonts w:ascii="Times New Roman" w:hAnsi="Times New Roman" w:hint="eastAsia"/>
        </w:rPr>
        <w:t>三藏</w:t>
      </w:r>
      <w:r w:rsidRPr="00DA3BC7">
        <w:rPr>
          <w:rFonts w:ascii="Times New Roman" w:hAnsi="Times New Roman"/>
          <w:vertAlign w:val="superscript"/>
        </w:rPr>
        <w:footnoteReference w:id="263"/>
      </w:r>
      <w:r w:rsidRPr="00DA3BC7">
        <w:rPr>
          <w:rFonts w:ascii="Times New Roman" w:hAnsi="Times New Roman" w:hint="eastAsia"/>
        </w:rPr>
        <w:t>的學系，也採用了因明（不過，也說</w:t>
      </w:r>
      <w:r w:rsidRPr="00DA3BC7">
        <w:rPr>
          <w:rFonts w:hint="eastAsia"/>
        </w:rPr>
        <w:t>它</w:t>
      </w:r>
      <w:r w:rsidRPr="00DA3BC7">
        <w:rPr>
          <w:rFonts w:ascii="Times New Roman" w:hAnsi="Times New Roman" w:hint="eastAsia"/>
        </w:rPr>
        <w:t>是不究竟的），如《十二門論宗致義記》所說。</w:t>
      </w:r>
      <w:r w:rsidR="00E4710E" w:rsidRPr="00DA3BC7">
        <w:rPr>
          <w:rFonts w:ascii="Times New Roman" w:hAnsi="Times New Roman"/>
          <w:vertAlign w:val="superscript"/>
        </w:rPr>
        <w:footnoteReference w:id="264"/>
      </w:r>
    </w:p>
    <w:p w:rsidR="002B682F" w:rsidRPr="00DA3BC7" w:rsidRDefault="0050649B" w:rsidP="00AE3920">
      <w:pPr>
        <w:spacing w:beforeLines="30"/>
        <w:ind w:leftChars="150" w:left="360"/>
        <w:jc w:val="both"/>
        <w:rPr>
          <w:rFonts w:ascii="Times Ext Roman" w:hAnsi="Times Ext Roman" w:cs="Times Ext Roman"/>
          <w:sz w:val="20"/>
          <w:bdr w:val="single" w:sz="4" w:space="0" w:color="auto"/>
        </w:rPr>
      </w:pPr>
      <w:r w:rsidRPr="0050649B">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二</w:t>
      </w:r>
      <w:r w:rsidRPr="0050649B">
        <w:rPr>
          <w:rFonts w:ascii="Times Ext Roman" w:hAnsi="Times Ext Roman" w:cs="Times Ext Roman" w:hint="eastAsia"/>
          <w:b/>
          <w:color w:val="FF0000"/>
          <w:sz w:val="20"/>
          <w:highlight w:val="yellow"/>
          <w:bdr w:val="single" w:sz="4" w:space="0" w:color="auto"/>
        </w:rPr>
        <w:t>）</w:t>
      </w:r>
      <w:r w:rsidR="002B682F" w:rsidRPr="00DA3BC7">
        <w:rPr>
          <w:rFonts w:ascii="Times Ext Roman" w:hAnsi="Times Ext Roman" w:cs="Times Ext Roman" w:hint="eastAsia"/>
          <w:b/>
          <w:sz w:val="20"/>
          <w:bdr w:val="single" w:sz="4" w:space="0" w:color="auto"/>
        </w:rPr>
        <w:t>印度的中觀家</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p.45</w:t>
      </w:r>
      <w:r w:rsidR="002B682F" w:rsidRPr="00DA3BC7">
        <w:rPr>
          <w:rFonts w:ascii="Times Ext Roman" w:hAnsi="Times Ext Roman" w:cs="Times Ext Roman" w:hint="eastAsia"/>
          <w:sz w:val="20"/>
          <w:szCs w:val="20"/>
        </w:rPr>
        <w:t>）</w:t>
      </w:r>
    </w:p>
    <w:p w:rsidR="0050649B" w:rsidRDefault="002B682F" w:rsidP="003B7900">
      <w:pPr>
        <w:ind w:leftChars="150" w:left="360"/>
        <w:jc w:val="both"/>
        <w:rPr>
          <w:rFonts w:ascii="Times New Roman" w:hAnsi="Times New Roman"/>
        </w:rPr>
      </w:pPr>
      <w:r w:rsidRPr="00DA3BC7">
        <w:rPr>
          <w:rFonts w:ascii="Times New Roman" w:hAnsi="Times New Roman" w:hint="eastAsia"/>
        </w:rPr>
        <w:t>中觀學在印度，</w:t>
      </w:r>
    </w:p>
    <w:p w:rsidR="002B682F" w:rsidRPr="00DA3BC7" w:rsidRDefault="002B682F" w:rsidP="003B7900">
      <w:pPr>
        <w:ind w:leftChars="150" w:left="360"/>
        <w:jc w:val="both"/>
        <w:rPr>
          <w:rFonts w:ascii="Times New Roman" w:hAnsi="Times New Roman"/>
        </w:rPr>
      </w:pPr>
      <w:r w:rsidRPr="00DA3BC7">
        <w:rPr>
          <w:rFonts w:ascii="Times New Roman" w:hAnsi="Times New Roman" w:hint="eastAsia"/>
        </w:rPr>
        <w:t>龍樹論是沒有承認正理學系的方法論的。</w:t>
      </w:r>
    </w:p>
    <w:p w:rsidR="002B682F" w:rsidRPr="00DA3BC7" w:rsidRDefault="002B682F" w:rsidP="00AE3920">
      <w:pPr>
        <w:spacing w:beforeLines="20"/>
        <w:ind w:leftChars="150" w:left="360"/>
        <w:jc w:val="both"/>
        <w:rPr>
          <w:rFonts w:ascii="Times New Roman" w:hAnsi="Times New Roman"/>
        </w:rPr>
      </w:pPr>
      <w:r w:rsidRPr="00DA3BC7">
        <w:rPr>
          <w:rFonts w:ascii="Times New Roman" w:hAnsi="Times New Roman" w:hint="eastAsia"/>
        </w:rPr>
        <w:t>到了清辨，大概是為了爭取唯識學者的同情，完全採用因明的論理法，造《般若燈論》及《掌珍論》等。這是沒有確見中觀的深義所在，難怪為月</w:t>
      </w:r>
      <w:r w:rsidRPr="00DA3BC7">
        <w:rPr>
          <w:rFonts w:ascii="Times New Roman" w:hAnsi="Times New Roman" w:hint="eastAsia"/>
        </w:rPr>
        <w:lastRenderedPageBreak/>
        <w:t>稱所破。</w:t>
      </w:r>
    </w:p>
    <w:p w:rsidR="002B682F" w:rsidRPr="00DA3BC7" w:rsidRDefault="002B682F" w:rsidP="00AE3920">
      <w:pPr>
        <w:spacing w:beforeLines="30"/>
        <w:ind w:leftChars="100" w:left="240"/>
        <w:jc w:val="both"/>
        <w:rPr>
          <w:rFonts w:ascii="Times Ext Roman" w:hAnsi="Times Ext Roman" w:cs="Times Ext Roman"/>
          <w:sz w:val="20"/>
          <w:bdr w:val="single" w:sz="4" w:space="0" w:color="auto"/>
        </w:rPr>
      </w:pPr>
      <w:r w:rsidRPr="0050649B">
        <w:rPr>
          <w:rFonts w:ascii="Times Ext Roman" w:hAnsi="Times Ext Roman" w:cs="Times Ext Roman" w:hint="eastAsia"/>
          <w:b/>
          <w:color w:val="FF0000"/>
          <w:sz w:val="20"/>
          <w:highlight w:val="yellow"/>
          <w:bdr w:val="single" w:sz="4" w:space="0" w:color="auto"/>
        </w:rPr>
        <w:t>二</w:t>
      </w:r>
      <w:r w:rsidR="0050649B" w:rsidRPr="0050649B">
        <w:rPr>
          <w:rFonts w:ascii="Times Ext Roman" w:hAnsi="Times Ext Roman" w:cs="Times Ext Roman" w:hint="eastAsia"/>
          <w:b/>
          <w:color w:val="FF0000"/>
          <w:sz w:val="20"/>
          <w:highlight w:val="yellow"/>
          <w:bdr w:val="single" w:sz="4" w:space="0" w:color="auto"/>
        </w:rPr>
        <w:t>、詳辨</w:t>
      </w:r>
      <w:r w:rsidRPr="00DA3BC7">
        <w:rPr>
          <w:rFonts w:ascii="Times Ext Roman" w:hAnsi="Times Ext Roman" w:cs="Times Ext Roman" w:hint="eastAsia"/>
          <w:sz w:val="20"/>
          <w:szCs w:val="20"/>
        </w:rPr>
        <w:t>（</w:t>
      </w:r>
      <w:r w:rsidRPr="00DA3BC7">
        <w:rPr>
          <w:rFonts w:ascii="Times New Roman" w:hAnsi="Times New Roman" w:hint="eastAsia"/>
          <w:sz w:val="20"/>
          <w:szCs w:val="20"/>
        </w:rPr>
        <w:t>pp.45-51</w:t>
      </w:r>
      <w:r w:rsidRPr="00DA3BC7">
        <w:rPr>
          <w:rFonts w:ascii="Times Ext Roman" w:hAnsi="Times Ext Roman" w:cs="Times Ext Roman" w:hint="eastAsia"/>
          <w:sz w:val="20"/>
          <w:szCs w:val="20"/>
        </w:rPr>
        <w:t>）</w:t>
      </w:r>
    </w:p>
    <w:p w:rsidR="002B682F" w:rsidRPr="00DA3BC7" w:rsidRDefault="002B682F" w:rsidP="003B7900">
      <w:pPr>
        <w:ind w:leftChars="100" w:left="240"/>
        <w:jc w:val="both"/>
        <w:rPr>
          <w:rFonts w:ascii="Times New Roman" w:hAnsi="Times New Roman"/>
        </w:rPr>
      </w:pPr>
      <w:r w:rsidRPr="00DA3BC7">
        <w:rPr>
          <w:rFonts w:ascii="Times New Roman" w:hAnsi="Times New Roman" w:hint="eastAsia"/>
        </w:rPr>
        <w:t>為了辨別論理方法的不同，從二方面來說明：</w:t>
      </w:r>
    </w:p>
    <w:p w:rsidR="002B682F" w:rsidRPr="00DA3BC7" w:rsidRDefault="0050649B" w:rsidP="00AE3920">
      <w:pPr>
        <w:spacing w:beforeLines="30"/>
        <w:ind w:leftChars="150" w:left="360"/>
        <w:jc w:val="both"/>
        <w:rPr>
          <w:rFonts w:ascii="Times Ext Roman" w:hAnsi="Times Ext Roman" w:cs="Times Ext Roman"/>
          <w:sz w:val="20"/>
          <w:bdr w:val="single" w:sz="4" w:space="0" w:color="auto"/>
        </w:rPr>
      </w:pPr>
      <w:r w:rsidRPr="0050649B">
        <w:rPr>
          <w:rFonts w:ascii="Times Ext Roman" w:hAnsi="Times Ext Roman" w:cs="Times Ext Roman" w:hint="eastAsia"/>
          <w:b/>
          <w:color w:val="FF0000"/>
          <w:sz w:val="20"/>
          <w:highlight w:val="yellow"/>
          <w:bdr w:val="single" w:sz="4" w:space="0" w:color="auto"/>
        </w:rPr>
        <w:t>（一）</w:t>
      </w:r>
      <w:r w:rsidR="002B682F" w:rsidRPr="0050649B">
        <w:rPr>
          <w:rFonts w:ascii="Times Ext Roman" w:hAnsi="Times Ext Roman" w:cs="Times Ext Roman" w:hint="eastAsia"/>
          <w:b/>
          <w:color w:val="FF0000"/>
          <w:sz w:val="20"/>
          <w:highlight w:val="yellow"/>
          <w:bdr w:val="single" w:sz="4" w:space="0" w:color="auto"/>
        </w:rPr>
        <w:t>中國三論師</w:t>
      </w:r>
      <w:r w:rsidRPr="0050649B">
        <w:rPr>
          <w:rFonts w:ascii="Times Ext Roman" w:hAnsi="Times Ext Roman" w:cs="Times Ext Roman" w:hint="eastAsia"/>
          <w:b/>
          <w:color w:val="FF0000"/>
          <w:sz w:val="20"/>
          <w:highlight w:val="yellow"/>
          <w:bdr w:val="single" w:sz="4" w:space="0" w:color="auto"/>
        </w:rPr>
        <w:t>之</w:t>
      </w:r>
      <w:r w:rsidR="002B682F" w:rsidRPr="0050649B">
        <w:rPr>
          <w:rFonts w:ascii="Times Ext Roman" w:hAnsi="Times Ext Roman" w:cs="Times Ext Roman" w:hint="eastAsia"/>
          <w:b/>
          <w:color w:val="FF0000"/>
          <w:sz w:val="20"/>
          <w:highlight w:val="yellow"/>
          <w:bdr w:val="single" w:sz="4" w:space="0" w:color="auto"/>
        </w:rPr>
        <w:t>法</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pp.45-49</w:t>
      </w:r>
      <w:r w:rsidR="002B682F" w:rsidRPr="00DA3BC7">
        <w:rPr>
          <w:rFonts w:ascii="Times Ext Roman" w:hAnsi="Times Ext Roman" w:cs="Times Ext Roman" w:hint="eastAsia"/>
          <w:sz w:val="20"/>
          <w:szCs w:val="20"/>
        </w:rPr>
        <w:t>）</w:t>
      </w:r>
    </w:p>
    <w:p w:rsidR="002B682F" w:rsidRPr="00DA3BC7" w:rsidRDefault="0050649B" w:rsidP="003B7900">
      <w:pPr>
        <w:ind w:leftChars="200" w:left="480"/>
        <w:jc w:val="both"/>
        <w:rPr>
          <w:rFonts w:ascii="Times Ext Roman" w:hAnsi="Times Ext Roman" w:cs="Times Ext Roman"/>
          <w:b/>
          <w:sz w:val="20"/>
          <w:bdr w:val="single" w:sz="4" w:space="0" w:color="auto"/>
        </w:rPr>
      </w:pPr>
      <w:r w:rsidRPr="0050649B">
        <w:rPr>
          <w:rFonts w:ascii="Times New Roman" w:hAnsi="Times New Roman" w:hint="eastAsia"/>
          <w:b/>
          <w:color w:val="FF0000"/>
          <w:sz w:val="20"/>
          <w:highlight w:val="yellow"/>
          <w:bdr w:val="single" w:sz="4" w:space="0" w:color="auto"/>
        </w:rPr>
        <w:t>1</w:t>
      </w:r>
      <w:r w:rsidRPr="0050649B">
        <w:rPr>
          <w:rFonts w:ascii="Times Ext Roman" w:hAnsi="Times Ext Roman" w:cs="Times Ext Roman" w:hint="eastAsia"/>
          <w:b/>
          <w:color w:val="FF0000"/>
          <w:sz w:val="20"/>
          <w:highlight w:val="yellow"/>
          <w:bdr w:val="single" w:sz="4" w:space="0" w:color="auto"/>
        </w:rPr>
        <w:t>、正顯</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pp.45-47</w:t>
      </w:r>
      <w:r w:rsidR="002B682F" w:rsidRPr="00DA3BC7">
        <w:rPr>
          <w:rFonts w:ascii="Times Ext Roman" w:hAnsi="Times Ext Roman" w:cs="Times Ext Roman" w:hint="eastAsia"/>
          <w:sz w:val="20"/>
          <w:szCs w:val="20"/>
        </w:rPr>
        <w:t>）</w:t>
      </w:r>
    </w:p>
    <w:p w:rsidR="002B682F" w:rsidRPr="00DA3BC7" w:rsidRDefault="0050649B" w:rsidP="003B7900">
      <w:pPr>
        <w:ind w:leftChars="250" w:left="600"/>
        <w:jc w:val="both"/>
        <w:rPr>
          <w:rFonts w:ascii="Times Ext Roman" w:hAnsi="Times Ext Roman" w:cs="Times Ext Roman"/>
          <w:sz w:val="20"/>
          <w:bdr w:val="single" w:sz="4" w:space="0" w:color="auto"/>
        </w:rPr>
      </w:pPr>
      <w:r w:rsidRPr="0050649B">
        <w:rPr>
          <w:rFonts w:ascii="Times Ext Roman" w:hAnsi="Times Ext Roman" w:cs="Times Ext Roman" w:hint="eastAsia"/>
          <w:b/>
          <w:color w:val="FF0000"/>
          <w:sz w:val="20"/>
          <w:highlight w:val="yellow"/>
          <w:bdr w:val="single" w:sz="4" w:space="0" w:color="auto"/>
        </w:rPr>
        <w:t>（</w:t>
      </w:r>
      <w:r w:rsidRPr="0050649B">
        <w:rPr>
          <w:rFonts w:ascii="Times Ext Roman" w:hAnsi="Times Ext Roman" w:cs="Times Ext Roman" w:hint="eastAsia"/>
          <w:b/>
          <w:color w:val="FF0000"/>
          <w:sz w:val="20"/>
          <w:highlight w:val="yellow"/>
          <w:bdr w:val="single" w:sz="4" w:space="0" w:color="auto"/>
        </w:rPr>
        <w:t>1</w:t>
      </w:r>
      <w:r w:rsidRPr="0050649B">
        <w:rPr>
          <w:rFonts w:ascii="Times Ext Roman" w:hAnsi="Times Ext Roman" w:cs="Times Ext Roman" w:hint="eastAsia"/>
          <w:b/>
          <w:color w:val="FF0000"/>
          <w:sz w:val="20"/>
          <w:highlight w:val="yellow"/>
          <w:bdr w:val="single" w:sz="4" w:space="0" w:color="auto"/>
        </w:rPr>
        <w:t>）總</w:t>
      </w:r>
      <w:r w:rsidR="002B682F" w:rsidRPr="0050649B">
        <w:rPr>
          <w:rFonts w:ascii="Times Ext Roman" w:hAnsi="Times Ext Roman" w:cs="Times Ext Roman" w:hint="eastAsia"/>
          <w:b/>
          <w:color w:val="FF0000"/>
          <w:sz w:val="20"/>
          <w:highlight w:val="yellow"/>
          <w:bdr w:val="single" w:sz="4" w:space="0" w:color="auto"/>
        </w:rPr>
        <w:t>標</w:t>
      </w:r>
      <w:r w:rsidRPr="0050649B">
        <w:rPr>
          <w:rFonts w:ascii="Times Ext Roman" w:hAnsi="Times Ext Roman" w:cs="Times Ext Roman" w:hint="eastAsia"/>
          <w:b/>
          <w:color w:val="FF0000"/>
          <w:sz w:val="20"/>
          <w:highlight w:val="yellow"/>
          <w:bdr w:val="single" w:sz="4" w:space="0" w:color="auto"/>
        </w:rPr>
        <w:t>舉</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p.45</w:t>
      </w:r>
      <w:r w:rsidR="002B682F" w:rsidRPr="00DA3BC7">
        <w:rPr>
          <w:rFonts w:ascii="Times Ext Roman" w:hAnsi="Times Ext Roman" w:cs="Times Ext Roman" w:hint="eastAsia"/>
          <w:sz w:val="20"/>
          <w:szCs w:val="20"/>
        </w:rPr>
        <w:t>）</w:t>
      </w:r>
    </w:p>
    <w:p w:rsidR="002B682F" w:rsidRPr="00DA3BC7" w:rsidRDefault="002B682F" w:rsidP="003B7900">
      <w:pPr>
        <w:ind w:leftChars="250" w:left="600"/>
        <w:jc w:val="both"/>
        <w:rPr>
          <w:rFonts w:ascii="Times New Roman" w:hAnsi="Times New Roman"/>
        </w:rPr>
      </w:pPr>
      <w:r w:rsidRPr="00DA3BC7">
        <w:rPr>
          <w:rFonts w:ascii="Times New Roman" w:hAnsi="Times New Roman" w:hint="eastAsia"/>
        </w:rPr>
        <w:t>一、中國古三論師教導學人，有入門的「初章義」與「中假義」。</w:t>
      </w:r>
      <w:r w:rsidRPr="00DA3BC7">
        <w:rPr>
          <w:rFonts w:ascii="Times New Roman" w:hAnsi="Times New Roman"/>
          <w:vertAlign w:val="superscript"/>
        </w:rPr>
        <w:footnoteReference w:id="265"/>
      </w:r>
    </w:p>
    <w:p w:rsidR="0050649B" w:rsidRDefault="002B682F" w:rsidP="00AE3920">
      <w:pPr>
        <w:spacing w:beforeLines="20"/>
        <w:ind w:leftChars="250" w:left="600"/>
        <w:jc w:val="both"/>
        <w:rPr>
          <w:rFonts w:ascii="Times New Roman" w:hAnsi="Times New Roman"/>
        </w:rPr>
      </w:pPr>
      <w:r w:rsidRPr="00DA3BC7">
        <w:rPr>
          <w:rFonts w:ascii="Times New Roman" w:hAnsi="Times New Roman" w:hint="eastAsia"/>
          <w:b/>
        </w:rPr>
        <w:t>初章</w:t>
      </w:r>
      <w:r w:rsidRPr="00DA3BC7">
        <w:rPr>
          <w:rFonts w:ascii="Times New Roman" w:hAnsi="Times New Roman" w:hint="eastAsia"/>
        </w:rPr>
        <w:t>，譬如讀書的先學字母，就是第一課的意思。</w:t>
      </w:r>
    </w:p>
    <w:p w:rsidR="002B682F" w:rsidRPr="00DA3BC7" w:rsidRDefault="002B682F" w:rsidP="003B7900">
      <w:pPr>
        <w:ind w:leftChars="250" w:left="600"/>
        <w:jc w:val="both"/>
        <w:rPr>
          <w:rFonts w:ascii="Times New Roman" w:hAnsi="Times New Roman"/>
        </w:rPr>
      </w:pPr>
      <w:r w:rsidRPr="00DA3BC7">
        <w:rPr>
          <w:rFonts w:ascii="Times New Roman" w:hAnsi="Times New Roman" w:hint="eastAsia"/>
        </w:rPr>
        <w:t>要學中觀，第一步必須明解初章，即</w:t>
      </w:r>
      <w:r w:rsidRPr="00DA3BC7">
        <w:rPr>
          <w:rFonts w:ascii="Times New Roman" w:hAnsi="Times New Roman" w:hint="eastAsia"/>
          <w:b/>
        </w:rPr>
        <w:t>破斥外人的立義</w:t>
      </w:r>
      <w:r w:rsidRPr="00DA3BC7">
        <w:rPr>
          <w:rFonts w:ascii="Times New Roman" w:hAnsi="Times New Roman" w:hint="eastAsia"/>
        </w:rPr>
        <w:t>；</w:t>
      </w:r>
    </w:p>
    <w:p w:rsidR="002B682F" w:rsidRPr="00DA3BC7" w:rsidRDefault="002B682F" w:rsidP="00AE3920">
      <w:pPr>
        <w:spacing w:beforeLines="20"/>
        <w:ind w:leftChars="250" w:left="600"/>
        <w:jc w:val="both"/>
        <w:rPr>
          <w:rFonts w:ascii="Times New Roman" w:hAnsi="Times New Roman"/>
        </w:rPr>
      </w:pPr>
      <w:r w:rsidRPr="00DA3BC7">
        <w:rPr>
          <w:rFonts w:ascii="Times New Roman" w:hAnsi="Times New Roman" w:hint="eastAsia"/>
        </w:rPr>
        <w:t>然後進一步</w:t>
      </w:r>
      <w:r w:rsidRPr="00DA3BC7">
        <w:rPr>
          <w:rFonts w:ascii="Times New Roman" w:hAnsi="Times New Roman" w:hint="eastAsia"/>
          <w:b/>
        </w:rPr>
        <w:t>修學中觀家的正義</w:t>
      </w:r>
      <w:r w:rsidRPr="00DA3BC7">
        <w:rPr>
          <w:rFonts w:ascii="Times New Roman" w:hAnsi="Times New Roman" w:hint="eastAsia"/>
        </w:rPr>
        <w:t>──「</w:t>
      </w:r>
      <w:r w:rsidRPr="00DA3BC7">
        <w:rPr>
          <w:rFonts w:ascii="Times New Roman" w:hAnsi="Times New Roman" w:hint="eastAsia"/>
          <w:b/>
        </w:rPr>
        <w:t>中假</w:t>
      </w:r>
      <w:r w:rsidRPr="00DA3BC7">
        <w:rPr>
          <w:rFonts w:ascii="Times New Roman" w:hAnsi="Times New Roman" w:hint="eastAsia"/>
        </w:rPr>
        <w:t>」。</w:t>
      </w:r>
    </w:p>
    <w:p w:rsidR="002B682F" w:rsidRPr="00DA3BC7" w:rsidRDefault="002B682F" w:rsidP="00AE3920">
      <w:pPr>
        <w:spacing w:beforeLines="20"/>
        <w:ind w:leftChars="250" w:left="600"/>
        <w:jc w:val="both"/>
        <w:rPr>
          <w:rFonts w:ascii="Times New Roman" w:hAnsi="Times New Roman"/>
        </w:rPr>
      </w:pPr>
      <w:r w:rsidRPr="00DA3BC7">
        <w:rPr>
          <w:rFonts w:ascii="Times New Roman" w:hAnsi="Times New Roman" w:hint="eastAsia"/>
        </w:rPr>
        <w:t>常人、外道</w:t>
      </w:r>
      <w:r w:rsidRPr="00DA3BC7">
        <w:rPr>
          <w:rFonts w:ascii="新細明體" w:hAnsi="新細明體" w:hint="eastAsia"/>
        </w:rPr>
        <w:t>、</w:t>
      </w:r>
      <w:r w:rsidRPr="00DA3BC7">
        <w:rPr>
          <w:rFonts w:ascii="Times New Roman" w:hAnsi="Times New Roman" w:hint="eastAsia"/>
        </w:rPr>
        <w:t>有所得小乘，以至有所得大乘，對於諸法都有一根本的錯誤</w:t>
      </w:r>
      <w:r w:rsidRPr="00DA3BC7">
        <w:rPr>
          <w:rFonts w:ascii="新細明體" w:hAnsi="新細明體" w:hint="eastAsia"/>
        </w:rPr>
        <w:t>；</w:t>
      </w:r>
      <w:r w:rsidRPr="00DA3BC7">
        <w:rPr>
          <w:rFonts w:ascii="Times New Roman" w:hAnsi="Times New Roman" w:hint="eastAsia"/>
        </w:rPr>
        <w:t>根源於此種錯誤而影響一切思想學說，無不成為錯誤的。非將這一根本錯誤破除，是不能正確的理解中道，進而體悟中道──中觀的。</w:t>
      </w:r>
    </w:p>
    <w:p w:rsidR="002B682F" w:rsidRPr="00DA3BC7" w:rsidRDefault="0050649B" w:rsidP="00AE3920">
      <w:pPr>
        <w:spacing w:beforeLines="30"/>
        <w:ind w:leftChars="250" w:left="600"/>
        <w:jc w:val="both"/>
        <w:rPr>
          <w:rFonts w:ascii="Times Ext Roman" w:hAnsi="Times Ext Roman" w:cs="Times Ext Roman"/>
          <w:b/>
          <w:sz w:val="20"/>
          <w:bdr w:val="single" w:sz="4" w:space="0" w:color="auto"/>
        </w:rPr>
      </w:pPr>
      <w:r w:rsidRPr="0050649B">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2</w:t>
      </w:r>
      <w:r w:rsidRPr="0050649B">
        <w:rPr>
          <w:rFonts w:ascii="Times Ext Roman" w:hAnsi="Times Ext Roman" w:cs="Times Ext Roman" w:hint="eastAsia"/>
          <w:b/>
          <w:color w:val="FF0000"/>
          <w:sz w:val="20"/>
          <w:highlight w:val="yellow"/>
          <w:bdr w:val="single" w:sz="4" w:space="0" w:color="auto"/>
        </w:rPr>
        <w:t>）</w:t>
      </w:r>
      <w:r w:rsidR="002B682F" w:rsidRPr="0050649B">
        <w:rPr>
          <w:rFonts w:ascii="Times Ext Roman" w:hAnsi="Times Ext Roman" w:cs="Times Ext Roman" w:hint="eastAsia"/>
          <w:b/>
          <w:color w:val="FF0000"/>
          <w:sz w:val="20"/>
          <w:highlight w:val="yellow"/>
          <w:bdr w:val="single" w:sz="4" w:space="0" w:color="auto"/>
        </w:rPr>
        <w:t>別釋義</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pp.45-47</w:t>
      </w:r>
      <w:r w:rsidR="002B682F" w:rsidRPr="00DA3BC7">
        <w:rPr>
          <w:rFonts w:ascii="Times Ext Roman" w:hAnsi="Times Ext Roman" w:cs="Times Ext Roman" w:hint="eastAsia"/>
          <w:sz w:val="20"/>
          <w:szCs w:val="20"/>
        </w:rPr>
        <w:t>）</w:t>
      </w:r>
    </w:p>
    <w:p w:rsidR="002B682F" w:rsidRPr="00DA3BC7" w:rsidRDefault="0050649B" w:rsidP="003B7900">
      <w:pPr>
        <w:ind w:leftChars="300" w:left="720"/>
        <w:jc w:val="both"/>
        <w:rPr>
          <w:rFonts w:ascii="Times Ext Roman" w:hAnsi="Times Ext Roman" w:cs="Times Ext Roman"/>
          <w:sz w:val="20"/>
          <w:bdr w:val="single" w:sz="4" w:space="0" w:color="auto"/>
        </w:rPr>
      </w:pPr>
      <w:r w:rsidRPr="0050649B">
        <w:rPr>
          <w:rFonts w:ascii="Times Ext Roman" w:hAnsi="Times Ext Roman" w:cs="Times Ext Roman" w:hint="eastAsia"/>
          <w:b/>
          <w:color w:val="FF0000"/>
          <w:sz w:val="20"/>
          <w:highlight w:val="yellow"/>
          <w:bdr w:val="single" w:sz="4" w:space="0" w:color="auto"/>
        </w:rPr>
        <w:t>A</w:t>
      </w:r>
      <w:r w:rsidRPr="0050649B">
        <w:rPr>
          <w:rFonts w:ascii="Times Ext Roman" w:hAnsi="Times Ext Roman" w:cs="Times Ext Roman" w:hint="eastAsia"/>
          <w:b/>
          <w:color w:val="FF0000"/>
          <w:sz w:val="20"/>
          <w:highlight w:val="yellow"/>
          <w:bdr w:val="single" w:sz="4" w:space="0" w:color="auto"/>
        </w:rPr>
        <w:t>、</w:t>
      </w:r>
      <w:r w:rsidR="002B682F" w:rsidRPr="00DA3BC7">
        <w:rPr>
          <w:rFonts w:ascii="Times Ext Roman" w:hAnsi="Times Ext Roman" w:cs="Times Ext Roman" w:hint="eastAsia"/>
          <w:b/>
          <w:sz w:val="20"/>
          <w:bdr w:val="single" w:sz="4" w:space="0" w:color="auto"/>
        </w:rPr>
        <w:t>初章義</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pp.45-46</w:t>
      </w:r>
      <w:r w:rsidR="002B682F" w:rsidRPr="00DA3BC7">
        <w:rPr>
          <w:rFonts w:ascii="Times Ext Roman" w:hAnsi="Times Ext Roman" w:cs="Times Ext Roman" w:hint="eastAsia"/>
          <w:sz w:val="20"/>
          <w:szCs w:val="20"/>
        </w:rPr>
        <w:t>）</w:t>
      </w:r>
    </w:p>
    <w:p w:rsidR="002B682F" w:rsidRPr="00DA3BC7" w:rsidRDefault="002B682F" w:rsidP="003B7900">
      <w:pPr>
        <w:ind w:leftChars="300" w:left="720"/>
        <w:jc w:val="both"/>
        <w:rPr>
          <w:rFonts w:ascii="Times New Roman" w:hAnsi="Times New Roman"/>
        </w:rPr>
      </w:pPr>
      <w:r w:rsidRPr="00DA3BC7">
        <w:rPr>
          <w:rFonts w:ascii="Times New Roman" w:hAnsi="Times New Roman" w:hint="eastAsia"/>
        </w:rPr>
        <w:t>初章，為一根本而共同的錯誤的論證法。</w:t>
      </w:r>
    </w:p>
    <w:p w:rsidR="002B682F" w:rsidRPr="00DA3BC7" w:rsidRDefault="002B682F" w:rsidP="00AE3920">
      <w:pPr>
        <w:spacing w:beforeLines="20"/>
        <w:ind w:leftChars="300" w:left="720"/>
        <w:jc w:val="both"/>
        <w:rPr>
          <w:rFonts w:ascii="Times New Roman" w:hAnsi="Times New Roman"/>
        </w:rPr>
      </w:pPr>
      <w:r w:rsidRPr="00DA3BC7">
        <w:rPr>
          <w:rFonts w:ascii="Times New Roman" w:hAnsi="Times New Roman" w:hint="eastAsia"/>
        </w:rPr>
        <w:t>今舉「生」</w:t>
      </w:r>
      <w:r w:rsidRPr="00DA3BC7">
        <w:rPr>
          <w:rFonts w:ascii="新細明體" w:hAnsi="新細明體" w:hint="eastAsia"/>
        </w:rPr>
        <w:t>、</w:t>
      </w:r>
      <w:r w:rsidRPr="00DA3BC7">
        <w:rPr>
          <w:rFonts w:ascii="Times New Roman" w:hAnsi="Times New Roman" w:hint="eastAsia"/>
        </w:rPr>
        <w:t>「滅」二名而論：</w:t>
      </w:r>
    </w:p>
    <w:p w:rsidR="00A27095" w:rsidRDefault="002B682F" w:rsidP="003B7900">
      <w:pPr>
        <w:ind w:leftChars="300" w:left="720"/>
        <w:jc w:val="both"/>
        <w:rPr>
          <w:rFonts w:ascii="標楷體" w:eastAsia="標楷體" w:hAnsi="標楷體"/>
        </w:rPr>
      </w:pPr>
      <w:r w:rsidRPr="00DA3BC7">
        <w:rPr>
          <w:rFonts w:ascii="Times New Roman" w:hAnsi="Times New Roman" w:hint="eastAsia"/>
        </w:rPr>
        <w:t>「</w:t>
      </w:r>
      <w:r w:rsidRPr="00DA3BC7">
        <w:rPr>
          <w:rFonts w:ascii="標楷體" w:eastAsia="標楷體" w:hAnsi="標楷體" w:hint="eastAsia"/>
          <w:b/>
        </w:rPr>
        <w:t>他</w:t>
      </w:r>
      <w:r w:rsidRPr="00DA3BC7">
        <w:rPr>
          <w:rFonts w:ascii="標楷體" w:eastAsia="標楷體" w:hAnsi="標楷體" w:hint="eastAsia"/>
        </w:rPr>
        <w:t>有生可生，有滅可滅。</w:t>
      </w:r>
    </w:p>
    <w:p w:rsidR="002B682F" w:rsidRPr="00DA3BC7" w:rsidRDefault="002B682F" w:rsidP="003B7900">
      <w:pPr>
        <w:ind w:leftChars="300" w:left="720"/>
        <w:jc w:val="both"/>
        <w:rPr>
          <w:rFonts w:ascii="標楷體" w:eastAsia="標楷體" w:hAnsi="標楷體"/>
        </w:rPr>
      </w:pPr>
      <w:r w:rsidRPr="00DA3BC7">
        <w:rPr>
          <w:rFonts w:ascii="標楷體" w:eastAsia="標楷體" w:hAnsi="標楷體" w:hint="eastAsia"/>
        </w:rPr>
        <w:t>有生可生，生不由滅；有滅可滅，滅不由生。</w:t>
      </w:r>
    </w:p>
    <w:p w:rsidR="002B682F" w:rsidRPr="00DA3BC7" w:rsidRDefault="002B682F" w:rsidP="00A27095">
      <w:pPr>
        <w:ind w:leftChars="300" w:left="720"/>
        <w:jc w:val="both"/>
        <w:rPr>
          <w:rFonts w:ascii="標楷體" w:eastAsia="標楷體" w:hAnsi="標楷體"/>
        </w:rPr>
      </w:pPr>
      <w:r w:rsidRPr="00DA3BC7">
        <w:rPr>
          <w:rFonts w:ascii="標楷體" w:eastAsia="標楷體" w:hAnsi="標楷體" w:hint="eastAsia"/>
        </w:rPr>
        <w:t>生不由滅，生非滅生；有滅可滅，滅非生滅。</w:t>
      </w:r>
    </w:p>
    <w:p w:rsidR="002B682F" w:rsidRPr="00DA3BC7" w:rsidRDefault="002B682F" w:rsidP="00A27095">
      <w:pPr>
        <w:ind w:leftChars="300" w:left="720"/>
        <w:jc w:val="both"/>
        <w:rPr>
          <w:rFonts w:ascii="標楷體" w:eastAsia="標楷體" w:hAnsi="標楷體"/>
        </w:rPr>
      </w:pPr>
      <w:r w:rsidRPr="00DA3BC7">
        <w:rPr>
          <w:rFonts w:ascii="標楷體" w:eastAsia="標楷體" w:hAnsi="標楷體" w:hint="eastAsia"/>
        </w:rPr>
        <w:t>生非滅生，即是自生；滅非生滅，即是自滅。</w:t>
      </w:r>
    </w:p>
    <w:p w:rsidR="002B682F" w:rsidRPr="00DA3BC7" w:rsidRDefault="002B682F" w:rsidP="00A27095">
      <w:pPr>
        <w:ind w:leftChars="300" w:left="720"/>
        <w:jc w:val="both"/>
        <w:rPr>
          <w:rFonts w:ascii="Times New Roman" w:hAnsi="Times New Roman"/>
        </w:rPr>
      </w:pPr>
      <w:r w:rsidRPr="00DA3BC7">
        <w:rPr>
          <w:rFonts w:ascii="標楷體" w:eastAsia="標楷體" w:hAnsi="標楷體" w:hint="eastAsia"/>
        </w:rPr>
        <w:t>自生即是實生，自滅即是實滅</w:t>
      </w:r>
      <w:r w:rsidRPr="00DA3BC7">
        <w:rPr>
          <w:rFonts w:hint="eastAsia"/>
        </w:rPr>
        <w:t>。</w:t>
      </w:r>
      <w:r w:rsidRPr="00DA3BC7">
        <w:rPr>
          <w:rFonts w:ascii="Times New Roman" w:hAnsi="Times New Roman" w:hint="eastAsia"/>
        </w:rPr>
        <w:t>」</w:t>
      </w:r>
      <w:r w:rsidRPr="00DA3BC7">
        <w:rPr>
          <w:rFonts w:ascii="Times New Roman" w:hAnsi="Times New Roman"/>
          <w:vertAlign w:val="superscript"/>
        </w:rPr>
        <w:footnoteReference w:id="266"/>
      </w:r>
    </w:p>
    <w:p w:rsidR="0050649B" w:rsidRDefault="002B682F" w:rsidP="00AE3920">
      <w:pPr>
        <w:spacing w:beforeLines="30"/>
        <w:ind w:leftChars="300" w:left="720"/>
        <w:jc w:val="both"/>
        <w:rPr>
          <w:rFonts w:ascii="Times New Roman" w:hAnsi="Times New Roman"/>
        </w:rPr>
      </w:pPr>
      <w:r w:rsidRPr="00DA3BC7">
        <w:rPr>
          <w:rFonts w:ascii="Times New Roman" w:hAnsi="Times New Roman" w:hint="eastAsia"/>
          <w:b/>
        </w:rPr>
        <w:t>他</w:t>
      </w:r>
      <w:r w:rsidRPr="00DA3BC7">
        <w:rPr>
          <w:rFonts w:ascii="Times New Roman" w:hAnsi="Times New Roman" w:hint="eastAsia"/>
        </w:rPr>
        <w:t>，即是中觀者以外的一切。</w:t>
      </w:r>
    </w:p>
    <w:p w:rsidR="002B682F" w:rsidRPr="00DA3BC7" w:rsidRDefault="002B682F" w:rsidP="00AE3920">
      <w:pPr>
        <w:spacing w:beforeLines="30"/>
        <w:ind w:leftChars="300" w:left="720"/>
        <w:jc w:val="both"/>
        <w:rPr>
          <w:rFonts w:ascii="Times New Roman" w:hAnsi="Times New Roman"/>
        </w:rPr>
      </w:pPr>
      <w:r w:rsidRPr="00DA3BC7">
        <w:rPr>
          <w:rFonts w:ascii="Times New Roman" w:hAnsi="Times New Roman" w:hint="eastAsia"/>
        </w:rPr>
        <w:lastRenderedPageBreak/>
        <w:t>他們認為某一事理的存在，是有它的獨立存在性。如生，即不是由於滅、不離滅而有此「生」的，所以說</w:t>
      </w:r>
      <w:r w:rsidRPr="00DA3BC7">
        <w:rPr>
          <w:rFonts w:hint="eastAsia"/>
        </w:rPr>
        <w:t>它</w:t>
      </w:r>
      <w:r w:rsidRPr="00DA3BC7">
        <w:rPr>
          <w:rFonts w:ascii="Times New Roman" w:hAnsi="Times New Roman" w:hint="eastAsia"/>
        </w:rPr>
        <w:t>不由滅而生，不是待滅</w:t>
      </w:r>
      <w:r w:rsidRPr="00DA3BC7">
        <w:rPr>
          <w:rFonts w:ascii="新細明體" w:hAnsi="新細明體" w:hint="eastAsia"/>
        </w:rPr>
        <w:t>、</w:t>
      </w:r>
      <w:r w:rsidRPr="00DA3BC7">
        <w:rPr>
          <w:rFonts w:ascii="Times New Roman" w:hAnsi="Times New Roman" w:hint="eastAsia"/>
        </w:rPr>
        <w:t>不離滅的生。這樣，即違反緣起的相依相待而有的真理，而成為反緣起的實有了。</w:t>
      </w:r>
    </w:p>
    <w:p w:rsidR="002B682F" w:rsidRPr="00DA3BC7" w:rsidRDefault="002B682F" w:rsidP="00AE3920">
      <w:pPr>
        <w:spacing w:beforeLines="30"/>
        <w:ind w:leftChars="300" w:left="720"/>
        <w:jc w:val="both"/>
        <w:rPr>
          <w:rFonts w:ascii="Times New Roman" w:hAnsi="Times New Roman"/>
        </w:rPr>
      </w:pPr>
      <w:r w:rsidRPr="00DA3BC7">
        <w:rPr>
          <w:rFonts w:ascii="Times New Roman" w:hAnsi="Times New Roman" w:hint="eastAsia"/>
        </w:rPr>
        <w:t>在三論師說的實生實滅，即是不合佛法的倒見。實體的生滅，即說明他的生滅反真理而不能成立了。</w:t>
      </w:r>
    </w:p>
    <w:p w:rsidR="002B682F" w:rsidRPr="00DA3BC7" w:rsidRDefault="0050649B" w:rsidP="00AE3920">
      <w:pPr>
        <w:spacing w:beforeLines="30"/>
        <w:ind w:leftChars="300" w:left="720"/>
        <w:jc w:val="both"/>
        <w:rPr>
          <w:rFonts w:ascii="Times Ext Roman" w:hAnsi="Times Ext Roman" w:cs="Times Ext Roman"/>
          <w:sz w:val="20"/>
          <w:bdr w:val="single" w:sz="4" w:space="0" w:color="auto"/>
        </w:rPr>
      </w:pPr>
      <w:r w:rsidRPr="0050649B">
        <w:rPr>
          <w:rFonts w:ascii="Times Ext Roman" w:hAnsi="Times Ext Roman" w:cs="Times Ext Roman" w:hint="eastAsia"/>
          <w:b/>
          <w:color w:val="FF0000"/>
          <w:sz w:val="20"/>
          <w:highlight w:val="yellow"/>
          <w:bdr w:val="single" w:sz="4" w:space="0" w:color="auto"/>
        </w:rPr>
        <w:t>B</w:t>
      </w:r>
      <w:r w:rsidRPr="0050649B">
        <w:rPr>
          <w:rFonts w:ascii="Times Ext Roman" w:hAnsi="Times Ext Roman" w:cs="Times Ext Roman" w:hint="eastAsia"/>
          <w:b/>
          <w:color w:val="FF0000"/>
          <w:sz w:val="20"/>
          <w:highlight w:val="yellow"/>
          <w:bdr w:val="single" w:sz="4" w:space="0" w:color="auto"/>
        </w:rPr>
        <w:t>、</w:t>
      </w:r>
      <w:r w:rsidR="002B682F" w:rsidRPr="00DA3BC7">
        <w:rPr>
          <w:rFonts w:ascii="Times Ext Roman" w:hAnsi="Times Ext Roman" w:cs="Times Ext Roman" w:hint="eastAsia"/>
          <w:b/>
          <w:sz w:val="20"/>
          <w:bdr w:val="single" w:sz="4" w:space="0" w:color="auto"/>
        </w:rPr>
        <w:t>中假義</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pp.46-47</w:t>
      </w:r>
      <w:r w:rsidR="002B682F" w:rsidRPr="00DA3BC7">
        <w:rPr>
          <w:rFonts w:ascii="Times Ext Roman" w:hAnsi="Times Ext Roman" w:cs="Times Ext Roman" w:hint="eastAsia"/>
          <w:sz w:val="20"/>
          <w:szCs w:val="20"/>
        </w:rPr>
        <w:t>）</w:t>
      </w:r>
    </w:p>
    <w:p w:rsidR="002B682F" w:rsidRPr="00DA3BC7" w:rsidRDefault="002B682F" w:rsidP="003B7900">
      <w:pPr>
        <w:ind w:leftChars="300" w:left="720"/>
        <w:jc w:val="both"/>
        <w:rPr>
          <w:rFonts w:ascii="Times New Roman" w:hAnsi="Times New Roman"/>
        </w:rPr>
      </w:pPr>
      <w:r w:rsidRPr="00DA3BC7">
        <w:rPr>
          <w:rFonts w:ascii="Times New Roman" w:hAnsi="Times New Roman" w:hint="eastAsia"/>
        </w:rPr>
        <w:t>反之，中觀的正義，即中假義，論說的方法如此：</w:t>
      </w:r>
    </w:p>
    <w:p w:rsidR="002B682F" w:rsidRPr="00DA3BC7" w:rsidRDefault="002B682F" w:rsidP="00AE3920">
      <w:pPr>
        <w:spacing w:beforeLines="20"/>
        <w:ind w:leftChars="300" w:left="720"/>
        <w:jc w:val="both"/>
        <w:rPr>
          <w:rFonts w:ascii="標楷體" w:eastAsia="標楷體" w:hAnsi="標楷體"/>
        </w:rPr>
      </w:pPr>
      <w:r w:rsidRPr="00DA3BC7">
        <w:rPr>
          <w:rFonts w:ascii="Times New Roman" w:hAnsi="Times New Roman" w:hint="eastAsia"/>
        </w:rPr>
        <w:t>「</w:t>
      </w:r>
      <w:r w:rsidRPr="00DA3BC7">
        <w:rPr>
          <w:rFonts w:ascii="標楷體" w:eastAsia="標楷體" w:hAnsi="標楷體" w:hint="eastAsia"/>
          <w:b/>
        </w:rPr>
        <w:t>今</w:t>
      </w:r>
      <w:r w:rsidRPr="00DA3BC7">
        <w:rPr>
          <w:rFonts w:ascii="標楷體" w:eastAsia="標楷體" w:hAnsi="標楷體" w:hint="eastAsia"/>
        </w:rPr>
        <w:t>無生可生，無滅可滅。無生可生，由滅故生；無滅可滅，由生故滅</w:t>
      </w:r>
      <w:r w:rsidRPr="00DA3BC7">
        <w:rPr>
          <w:rFonts w:ascii="新細明體" w:hAnsi="新細明體" w:hint="eastAsia"/>
        </w:rPr>
        <w:t>。</w:t>
      </w:r>
    </w:p>
    <w:p w:rsidR="002B682F" w:rsidRPr="00DA3BC7" w:rsidRDefault="002B682F" w:rsidP="003B7900">
      <w:pPr>
        <w:ind w:leftChars="300" w:left="720"/>
        <w:jc w:val="both"/>
        <w:rPr>
          <w:rFonts w:ascii="標楷體" w:eastAsia="標楷體" w:hAnsi="標楷體"/>
        </w:rPr>
      </w:pPr>
      <w:r w:rsidRPr="00DA3BC7">
        <w:rPr>
          <w:rFonts w:ascii="標楷體" w:eastAsia="標楷體" w:hAnsi="標楷體" w:hint="eastAsia"/>
        </w:rPr>
        <w:t>由滅故生，生是滅生；由生故滅，滅是生滅</w:t>
      </w:r>
      <w:r w:rsidRPr="00DA3BC7">
        <w:rPr>
          <w:rFonts w:hint="eastAsia"/>
        </w:rPr>
        <w:t>。</w:t>
      </w:r>
    </w:p>
    <w:p w:rsidR="002B682F" w:rsidRPr="00DA3BC7" w:rsidRDefault="002B682F" w:rsidP="003B7900">
      <w:pPr>
        <w:ind w:leftChars="300" w:left="720"/>
        <w:jc w:val="both"/>
        <w:rPr>
          <w:rFonts w:ascii="標楷體" w:eastAsia="標楷體" w:hAnsi="標楷體"/>
        </w:rPr>
      </w:pPr>
      <w:r w:rsidRPr="00DA3BC7">
        <w:rPr>
          <w:rFonts w:ascii="標楷體" w:eastAsia="標楷體" w:hAnsi="標楷體" w:hint="eastAsia"/>
        </w:rPr>
        <w:t>滅生即非生，生滅即非滅。</w:t>
      </w:r>
    </w:p>
    <w:p w:rsidR="002B682F" w:rsidRPr="00DA3BC7" w:rsidRDefault="002B682F" w:rsidP="003B7900">
      <w:pPr>
        <w:ind w:leftChars="300" w:left="720"/>
        <w:jc w:val="both"/>
        <w:rPr>
          <w:rFonts w:ascii="Times New Roman" w:hAnsi="Times New Roman"/>
        </w:rPr>
      </w:pPr>
      <w:r w:rsidRPr="00DA3BC7">
        <w:rPr>
          <w:rFonts w:ascii="標楷體" w:eastAsia="標楷體" w:hAnsi="標楷體" w:hint="eastAsia"/>
        </w:rPr>
        <w:t>非生非滅為</w:t>
      </w:r>
      <w:r w:rsidRPr="00DA3BC7">
        <w:rPr>
          <w:rFonts w:ascii="標楷體" w:eastAsia="標楷體" w:hAnsi="標楷體" w:hint="eastAsia"/>
          <w:b/>
        </w:rPr>
        <w:t>中道</w:t>
      </w:r>
      <w:r w:rsidRPr="00DA3BC7">
        <w:rPr>
          <w:rFonts w:ascii="標楷體" w:eastAsia="標楷體" w:hAnsi="標楷體" w:hint="eastAsia"/>
        </w:rPr>
        <w:t>，而生而滅為</w:t>
      </w:r>
      <w:r w:rsidRPr="00DA3BC7">
        <w:rPr>
          <w:rFonts w:ascii="標楷體" w:eastAsia="標楷體" w:hAnsi="標楷體" w:hint="eastAsia"/>
          <w:b/>
        </w:rPr>
        <w:t>假名</w:t>
      </w:r>
      <w:r w:rsidRPr="00DA3BC7">
        <w:rPr>
          <w:rFonts w:ascii="Times New Roman" w:hAnsi="Times New Roman" w:hint="eastAsia"/>
        </w:rPr>
        <w:t>」。</w:t>
      </w:r>
      <w:r w:rsidRPr="00DA3BC7">
        <w:rPr>
          <w:rFonts w:ascii="Times New Roman" w:hAnsi="Times New Roman"/>
          <w:vertAlign w:val="superscript"/>
        </w:rPr>
        <w:footnoteReference w:id="267"/>
      </w:r>
    </w:p>
    <w:p w:rsidR="0050649B" w:rsidRDefault="002B682F" w:rsidP="00AE3920">
      <w:pPr>
        <w:spacing w:beforeLines="20"/>
        <w:ind w:leftChars="300" w:left="720"/>
        <w:jc w:val="both"/>
        <w:rPr>
          <w:rFonts w:ascii="Times New Roman" w:hAnsi="Times New Roman"/>
        </w:rPr>
      </w:pPr>
      <w:r w:rsidRPr="00DA3BC7">
        <w:rPr>
          <w:rFonts w:ascii="Times New Roman" w:hAnsi="Times New Roman" w:hint="eastAsia"/>
          <w:b/>
        </w:rPr>
        <w:t>今</w:t>
      </w:r>
      <w:r w:rsidRPr="00DA3BC7">
        <w:rPr>
          <w:rFonts w:ascii="Times New Roman" w:hAnsi="Times New Roman" w:hint="eastAsia"/>
        </w:rPr>
        <w:t>，即是中觀者。</w:t>
      </w:r>
    </w:p>
    <w:p w:rsidR="002B682F" w:rsidRPr="00DA3BC7" w:rsidRDefault="002B682F" w:rsidP="00AE3920">
      <w:pPr>
        <w:spacing w:beforeLines="20"/>
        <w:ind w:leftChars="300" w:left="720"/>
        <w:jc w:val="both"/>
        <w:rPr>
          <w:rFonts w:ascii="Times New Roman" w:hAnsi="Times New Roman"/>
        </w:rPr>
      </w:pPr>
      <w:r w:rsidRPr="00DA3BC7">
        <w:rPr>
          <w:rFonts w:ascii="Times New Roman" w:hAnsi="Times New Roman" w:hint="eastAsia"/>
        </w:rPr>
        <w:t>無生可生，無滅可滅，即本著中觀的畢竟空義，否定有「生」</w:t>
      </w:r>
      <w:r w:rsidRPr="00DA3BC7">
        <w:rPr>
          <w:rFonts w:ascii="新細明體" w:hAnsi="新細明體" w:hint="eastAsia"/>
        </w:rPr>
        <w:t>、</w:t>
      </w:r>
      <w:r w:rsidRPr="00DA3BC7">
        <w:rPr>
          <w:rFonts w:ascii="Times New Roman" w:hAnsi="Times New Roman" w:hint="eastAsia"/>
        </w:rPr>
        <w:t>「滅」的自性，也即是不執有實性的生滅。因此，生是由於滅、待於滅、不離滅的，是依於緣起法的相依相待而成立。即生的滅，即滅的生，即否定「生」</w:t>
      </w:r>
      <w:r w:rsidRPr="00DA3BC7">
        <w:rPr>
          <w:rFonts w:ascii="新細明體" w:hAnsi="新細明體" w:hint="eastAsia"/>
        </w:rPr>
        <w:t>、</w:t>
      </w:r>
      <w:r w:rsidRPr="00DA3BC7">
        <w:rPr>
          <w:rFonts w:ascii="Times New Roman" w:hAnsi="Times New Roman" w:hint="eastAsia"/>
        </w:rPr>
        <w:t>「滅」的實性，契入非生非滅的空性──</w:t>
      </w:r>
      <w:r w:rsidRPr="00DA3BC7">
        <w:rPr>
          <w:rFonts w:ascii="Times New Roman" w:hAnsi="Times New Roman" w:hint="eastAsia"/>
          <w:b/>
        </w:rPr>
        <w:t>中道</w:t>
      </w:r>
      <w:r w:rsidRPr="00DA3BC7">
        <w:rPr>
          <w:rFonts w:ascii="Times New Roman" w:hAnsi="Times New Roman" w:hint="eastAsia"/>
        </w:rPr>
        <w:t>，因而成立「生」與「滅」為因緣的</w:t>
      </w:r>
      <w:r w:rsidRPr="00DA3BC7">
        <w:rPr>
          <w:rFonts w:ascii="Times New Roman" w:hAnsi="Times New Roman" w:hint="eastAsia"/>
          <w:b/>
        </w:rPr>
        <w:t>假名</w:t>
      </w:r>
      <w:r w:rsidRPr="00DA3BC7">
        <w:rPr>
          <w:rFonts w:ascii="Times New Roman" w:hAnsi="Times New Roman" w:hint="eastAsia"/>
        </w:rPr>
        <w:t>。</w:t>
      </w:r>
    </w:p>
    <w:p w:rsidR="0050649B" w:rsidRPr="0050649B" w:rsidRDefault="0050649B" w:rsidP="00AE3920">
      <w:pPr>
        <w:spacing w:beforeLines="30"/>
        <w:ind w:leftChars="200" w:left="480"/>
        <w:jc w:val="both"/>
        <w:rPr>
          <w:rFonts w:ascii="Times Ext Roman" w:hAnsi="Times Ext Roman" w:cs="Times Ext Roman"/>
          <w:b/>
          <w:color w:val="FF0000"/>
          <w:sz w:val="20"/>
          <w:highlight w:val="yellow"/>
          <w:bdr w:val="single" w:sz="4" w:space="0" w:color="auto"/>
        </w:rPr>
      </w:pPr>
      <w:r w:rsidRPr="0050649B">
        <w:rPr>
          <w:rFonts w:ascii="Times Ext Roman" w:hAnsi="Times Ext Roman" w:cs="Times Ext Roman" w:hint="eastAsia"/>
          <w:b/>
          <w:color w:val="FF0000"/>
          <w:sz w:val="20"/>
          <w:highlight w:val="yellow"/>
          <w:bdr w:val="single" w:sz="4" w:space="0" w:color="auto"/>
        </w:rPr>
        <w:t>2</w:t>
      </w:r>
      <w:r w:rsidRPr="0050649B">
        <w:rPr>
          <w:rFonts w:ascii="Times Ext Roman" w:hAnsi="Times Ext Roman" w:cs="Times Ext Roman" w:hint="eastAsia"/>
          <w:b/>
          <w:color w:val="FF0000"/>
          <w:sz w:val="20"/>
          <w:highlight w:val="yellow"/>
          <w:bdr w:val="single" w:sz="4" w:space="0" w:color="auto"/>
        </w:rPr>
        <w:t>、校量</w:t>
      </w:r>
    </w:p>
    <w:p w:rsidR="002B682F" w:rsidRPr="00DA3BC7" w:rsidRDefault="002B682F" w:rsidP="0050649B">
      <w:pPr>
        <w:ind w:leftChars="250" w:left="600"/>
        <w:jc w:val="both"/>
        <w:rPr>
          <w:rFonts w:ascii="Times Ext Roman" w:hAnsi="Times Ext Roman" w:cs="Times Ext Roman"/>
          <w:sz w:val="20"/>
          <w:bdr w:val="single" w:sz="4" w:space="0" w:color="auto"/>
        </w:rPr>
      </w:pPr>
      <w:r w:rsidRPr="0050649B">
        <w:rPr>
          <w:rFonts w:ascii="Times Ext Roman" w:hAnsi="Times Ext Roman" w:cs="Times Ext Roman" w:hint="eastAsia"/>
          <w:b/>
          <w:color w:val="FF0000"/>
          <w:sz w:val="20"/>
          <w:highlight w:val="yellow"/>
          <w:bdr w:val="single" w:sz="4" w:space="0" w:color="auto"/>
        </w:rPr>
        <w:t>（</w:t>
      </w:r>
      <w:r w:rsidR="0050649B" w:rsidRPr="0050649B">
        <w:rPr>
          <w:rFonts w:ascii="Times New Roman" w:hAnsi="Times New Roman" w:hint="eastAsia"/>
          <w:b/>
          <w:color w:val="FF0000"/>
          <w:sz w:val="20"/>
          <w:highlight w:val="yellow"/>
          <w:bdr w:val="single" w:sz="4" w:space="0" w:color="auto"/>
        </w:rPr>
        <w:t>1</w:t>
      </w:r>
      <w:r w:rsidRPr="0050649B">
        <w:rPr>
          <w:rFonts w:ascii="Times Ext Roman" w:hAnsi="Times Ext Roman" w:cs="Times Ext Roman" w:hint="eastAsia"/>
          <w:b/>
          <w:color w:val="FF0000"/>
          <w:sz w:val="20"/>
          <w:highlight w:val="yellow"/>
          <w:bdr w:val="single" w:sz="4" w:space="0" w:color="auto"/>
        </w:rPr>
        <w:t>）</w:t>
      </w:r>
      <w:r w:rsidR="0050649B" w:rsidRPr="0050649B">
        <w:rPr>
          <w:rFonts w:ascii="Times Ext Roman" w:hAnsi="Times Ext Roman" w:cs="Times Ext Roman" w:hint="eastAsia"/>
          <w:b/>
          <w:color w:val="FF0000"/>
          <w:sz w:val="20"/>
          <w:highlight w:val="yellow"/>
          <w:bdr w:val="single" w:sz="4" w:space="0" w:color="auto"/>
        </w:rPr>
        <w:t>總述義</w:t>
      </w:r>
      <w:r w:rsidRPr="00DA3BC7">
        <w:rPr>
          <w:rFonts w:ascii="Times Ext Roman" w:hAnsi="Times Ext Roman" w:cs="Times Ext Roman" w:hint="eastAsia"/>
          <w:sz w:val="20"/>
          <w:szCs w:val="20"/>
        </w:rPr>
        <w:t>（</w:t>
      </w:r>
      <w:r w:rsidRPr="00DA3BC7">
        <w:rPr>
          <w:rFonts w:ascii="Times New Roman" w:hAnsi="Times New Roman" w:hint="eastAsia"/>
          <w:sz w:val="20"/>
          <w:szCs w:val="20"/>
        </w:rPr>
        <w:t>p.47</w:t>
      </w:r>
      <w:r w:rsidRPr="00DA3BC7">
        <w:rPr>
          <w:rFonts w:ascii="Times Ext Roman" w:hAnsi="Times Ext Roman" w:cs="Times Ext Roman" w:hint="eastAsia"/>
          <w:sz w:val="20"/>
          <w:szCs w:val="20"/>
        </w:rPr>
        <w:t>）</w:t>
      </w:r>
    </w:p>
    <w:p w:rsidR="002B682F" w:rsidRPr="00DA3BC7" w:rsidRDefault="002B682F" w:rsidP="008E2BBC">
      <w:pPr>
        <w:ind w:leftChars="250" w:left="600"/>
        <w:jc w:val="both"/>
        <w:rPr>
          <w:rFonts w:ascii="Times New Roman" w:hAnsi="Times New Roman"/>
        </w:rPr>
      </w:pPr>
      <w:r w:rsidRPr="00DA3BC7">
        <w:rPr>
          <w:rFonts w:ascii="Times New Roman" w:hAnsi="Times New Roman" w:hint="eastAsia"/>
        </w:rPr>
        <w:t>初章與中假的要義，在</w:t>
      </w:r>
      <w:r w:rsidRPr="00DA3BC7">
        <w:rPr>
          <w:rFonts w:ascii="Times New Roman" w:hAnsi="Times New Roman" w:hint="eastAsia"/>
          <w:b/>
        </w:rPr>
        <w:t>指出外人與中觀者，</w:t>
      </w:r>
      <w:r w:rsidRPr="00DA3BC7">
        <w:rPr>
          <w:rFonts w:ascii="Times New Roman" w:hAnsi="Times New Roman" w:hint="eastAsia"/>
        </w:rPr>
        <w:t>對於一切的一切</w:t>
      </w:r>
      <w:r w:rsidRPr="00DA3BC7">
        <w:rPr>
          <w:rFonts w:hint="eastAsia"/>
        </w:rPr>
        <w:t>有</w:t>
      </w:r>
      <w:r w:rsidRPr="00DA3BC7">
        <w:rPr>
          <w:rFonts w:ascii="Times New Roman" w:hAnsi="Times New Roman" w:hint="eastAsia"/>
        </w:rPr>
        <w:t>著根本上的</w:t>
      </w:r>
      <w:r w:rsidRPr="00DA3BC7">
        <w:rPr>
          <w:rFonts w:ascii="Times New Roman" w:hAnsi="Times New Roman" w:hint="eastAsia"/>
          <w:b/>
        </w:rPr>
        <w:t>認識不同，而成為方法與結論的不同</w:t>
      </w:r>
      <w:r w:rsidRPr="00DA3BC7">
        <w:rPr>
          <w:rFonts w:ascii="Times New Roman" w:hAnsi="Times New Roman" w:hint="eastAsia"/>
        </w:rPr>
        <w:t>。</w:t>
      </w:r>
    </w:p>
    <w:p w:rsidR="002B682F" w:rsidRPr="00DA3BC7" w:rsidRDefault="002B682F" w:rsidP="00AE3920">
      <w:pPr>
        <w:spacing w:beforeLines="30"/>
        <w:ind w:leftChars="250" w:left="600"/>
        <w:jc w:val="both"/>
        <w:rPr>
          <w:rFonts w:ascii="Times Ext Roman" w:hAnsi="Times Ext Roman" w:cs="Times Ext Roman"/>
          <w:b/>
          <w:sz w:val="20"/>
          <w:bdr w:val="single" w:sz="4" w:space="0" w:color="auto"/>
        </w:rPr>
      </w:pPr>
      <w:r w:rsidRPr="0050649B">
        <w:rPr>
          <w:rFonts w:ascii="Times Ext Roman" w:hAnsi="Times Ext Roman" w:cs="Times Ext Roman" w:hint="eastAsia"/>
          <w:b/>
          <w:color w:val="FF0000"/>
          <w:sz w:val="20"/>
          <w:highlight w:val="yellow"/>
          <w:bdr w:val="single" w:sz="4" w:space="0" w:color="auto"/>
        </w:rPr>
        <w:t>（</w:t>
      </w:r>
      <w:r w:rsidR="0050649B" w:rsidRPr="0050649B">
        <w:rPr>
          <w:rFonts w:ascii="Times Ext Roman" w:hAnsi="Times Ext Roman" w:cs="Times Ext Roman" w:hint="eastAsia"/>
          <w:b/>
          <w:color w:val="FF0000"/>
          <w:sz w:val="20"/>
          <w:highlight w:val="yellow"/>
          <w:bdr w:val="single" w:sz="4" w:space="0" w:color="auto"/>
        </w:rPr>
        <w:t>2</w:t>
      </w:r>
      <w:r w:rsidRPr="0050649B">
        <w:rPr>
          <w:rFonts w:ascii="Times Ext Roman" w:hAnsi="Times Ext Roman" w:cs="Times Ext Roman" w:hint="eastAsia"/>
          <w:b/>
          <w:color w:val="FF0000"/>
          <w:sz w:val="20"/>
          <w:highlight w:val="yellow"/>
          <w:bdr w:val="single" w:sz="4" w:space="0" w:color="auto"/>
        </w:rPr>
        <w:t>）</w:t>
      </w:r>
      <w:r w:rsidR="0050649B" w:rsidRPr="0050649B">
        <w:rPr>
          <w:rFonts w:ascii="Times Ext Roman" w:hAnsi="Times Ext Roman" w:cs="Times Ext Roman" w:hint="eastAsia"/>
          <w:b/>
          <w:color w:val="FF0000"/>
          <w:sz w:val="20"/>
          <w:highlight w:val="yellow"/>
          <w:bdr w:val="single" w:sz="4" w:space="0" w:color="auto"/>
        </w:rPr>
        <w:t>別舉例</w:t>
      </w:r>
      <w:r w:rsidRPr="00DA3BC7">
        <w:rPr>
          <w:rFonts w:ascii="Times New Roman" w:hAnsi="Times New Roman" w:hint="eastAsia"/>
          <w:sz w:val="20"/>
          <w:szCs w:val="20"/>
        </w:rPr>
        <w:t>（</w:t>
      </w:r>
      <w:r w:rsidRPr="00DA3BC7">
        <w:rPr>
          <w:rFonts w:ascii="Times New Roman" w:hAnsi="Times New Roman"/>
          <w:sz w:val="20"/>
          <w:szCs w:val="20"/>
        </w:rPr>
        <w:t>p</w:t>
      </w:r>
      <w:r w:rsidRPr="00DA3BC7">
        <w:rPr>
          <w:rFonts w:ascii="Times New Roman" w:hAnsi="Times New Roman" w:hint="eastAsia"/>
          <w:sz w:val="20"/>
          <w:szCs w:val="20"/>
        </w:rPr>
        <w:t>p</w:t>
      </w:r>
      <w:r w:rsidRPr="00DA3BC7">
        <w:rPr>
          <w:rFonts w:ascii="Times New Roman" w:hAnsi="Times New Roman"/>
          <w:sz w:val="20"/>
          <w:szCs w:val="20"/>
        </w:rPr>
        <w:t>.4</w:t>
      </w:r>
      <w:r w:rsidRPr="00DA3BC7">
        <w:rPr>
          <w:rFonts w:ascii="Times New Roman" w:hAnsi="Times New Roman" w:hint="eastAsia"/>
          <w:sz w:val="20"/>
          <w:szCs w:val="20"/>
        </w:rPr>
        <w:t>7-48</w:t>
      </w:r>
      <w:r w:rsidRPr="00DA3BC7">
        <w:rPr>
          <w:rFonts w:ascii="Times New Roman" w:hAnsi="Times New Roman"/>
          <w:sz w:val="20"/>
          <w:szCs w:val="20"/>
        </w:rPr>
        <w:t>）</w:t>
      </w:r>
    </w:p>
    <w:p w:rsidR="002B682F" w:rsidRPr="00DA3BC7" w:rsidRDefault="0050649B" w:rsidP="003B7900">
      <w:pPr>
        <w:ind w:leftChars="300" w:left="720"/>
        <w:jc w:val="both"/>
        <w:rPr>
          <w:rFonts w:ascii="Times Ext Roman" w:hAnsi="Times Ext Roman" w:cs="Times Ext Roman"/>
          <w:b/>
          <w:sz w:val="20"/>
          <w:bdr w:val="single" w:sz="4" w:space="0" w:color="auto"/>
        </w:rPr>
      </w:pPr>
      <w:r w:rsidRPr="0050649B">
        <w:rPr>
          <w:rFonts w:ascii="Times New Roman" w:hAnsi="Times New Roman" w:hint="eastAsia"/>
          <w:b/>
          <w:color w:val="FF0000"/>
          <w:sz w:val="20"/>
          <w:highlight w:val="yellow"/>
          <w:bdr w:val="single" w:sz="4" w:space="0" w:color="auto"/>
        </w:rPr>
        <w:t>A</w:t>
      </w:r>
      <w:r w:rsidR="002B682F" w:rsidRPr="0050649B">
        <w:rPr>
          <w:rFonts w:ascii="Times Ext Roman" w:hAnsi="Times Ext Roman" w:cs="Times Ext Roman" w:hint="eastAsia"/>
          <w:b/>
          <w:color w:val="FF0000"/>
          <w:sz w:val="20"/>
          <w:highlight w:val="yellow"/>
          <w:bdr w:val="single" w:sz="4" w:space="0" w:color="auto"/>
        </w:rPr>
        <w:t>、</w:t>
      </w:r>
      <w:r w:rsidRPr="0050649B">
        <w:rPr>
          <w:rFonts w:ascii="Times Ext Roman" w:hAnsi="Times Ext Roman" w:cs="Times Ext Roman" w:hint="eastAsia"/>
          <w:b/>
          <w:color w:val="FF0000"/>
          <w:sz w:val="20"/>
          <w:highlight w:val="yellow"/>
          <w:bdr w:val="single" w:sz="4" w:space="0" w:color="auto"/>
        </w:rPr>
        <w:t>外學之異說</w:t>
      </w:r>
      <w:r w:rsidRPr="00DA3BC7">
        <w:rPr>
          <w:rFonts w:ascii="Times New Roman" w:hAnsi="Times New Roman" w:hint="eastAsia"/>
          <w:sz w:val="20"/>
          <w:szCs w:val="20"/>
        </w:rPr>
        <w:t>（</w:t>
      </w:r>
      <w:r w:rsidR="002B682F" w:rsidRPr="00DA3BC7">
        <w:rPr>
          <w:rFonts w:ascii="Times New Roman" w:hAnsi="Times New Roman" w:hint="eastAsia"/>
          <w:sz w:val="20"/>
          <w:szCs w:val="20"/>
        </w:rPr>
        <w:t>p.47</w:t>
      </w:r>
      <w:r w:rsidR="002B682F" w:rsidRPr="00DA3BC7">
        <w:rPr>
          <w:rFonts w:ascii="Times Ext Roman" w:hAnsi="Times Ext Roman" w:cs="Times Ext Roman" w:hint="eastAsia"/>
          <w:sz w:val="20"/>
          <w:szCs w:val="20"/>
        </w:rPr>
        <w:t>）</w:t>
      </w:r>
    </w:p>
    <w:p w:rsidR="00A27095" w:rsidRDefault="002B682F" w:rsidP="00A27095">
      <w:pPr>
        <w:ind w:leftChars="300" w:left="720"/>
        <w:jc w:val="both"/>
        <w:rPr>
          <w:rFonts w:ascii="Times New Roman" w:hAnsi="Times New Roman"/>
        </w:rPr>
      </w:pPr>
      <w:r w:rsidRPr="00DA3BC7">
        <w:rPr>
          <w:rFonts w:ascii="Times New Roman" w:hAnsi="Times New Roman" w:hint="eastAsia"/>
        </w:rPr>
        <w:t>如上所說的生滅，中觀宗徹底的確</w:t>
      </w:r>
      <w:r w:rsidRPr="00DA3BC7">
        <w:rPr>
          <w:rFonts w:hint="eastAsia"/>
        </w:rPr>
        <w:t>立緣</w:t>
      </w:r>
      <w:r w:rsidRPr="00DA3BC7">
        <w:rPr>
          <w:rFonts w:ascii="Times New Roman" w:hAnsi="Times New Roman" w:hint="eastAsia"/>
        </w:rPr>
        <w:t>起法是即生即滅的，這是《阿</w:t>
      </w:r>
      <w:r w:rsidRPr="00DA3BC7">
        <w:rPr>
          <w:rFonts w:ascii="Times New Roman" w:hAnsi="Times New Roman" w:hint="eastAsia"/>
        </w:rPr>
        <w:lastRenderedPageBreak/>
        <w:t>含經》的根本論題──是生也是滅</w:t>
      </w:r>
      <w:r w:rsidRPr="00DA3BC7">
        <w:rPr>
          <w:rFonts w:ascii="新細明體" w:hAnsi="新細明體" w:hint="eastAsia"/>
        </w:rPr>
        <w:t>。</w:t>
      </w:r>
      <w:r w:rsidRPr="00DA3BC7">
        <w:rPr>
          <w:rFonts w:ascii="Times New Roman" w:hAnsi="Times New Roman" w:hint="eastAsia"/>
        </w:rPr>
        <w:t>相對性與內在的矛盾性</w:t>
      </w:r>
      <w:r w:rsidRPr="00DA3BC7">
        <w:rPr>
          <w:rFonts w:ascii="Times New Roman" w:hAnsi="Times New Roman"/>
          <w:vertAlign w:val="superscript"/>
        </w:rPr>
        <w:footnoteReference w:id="268"/>
      </w:r>
      <w:r w:rsidRPr="00DA3BC7">
        <w:rPr>
          <w:rFonts w:ascii="Times New Roman" w:hAnsi="Times New Roman" w:hint="eastAsia"/>
        </w:rPr>
        <w:t>，為緣起法的根本性質</w:t>
      </w:r>
      <w:r w:rsidRPr="00DA3BC7">
        <w:rPr>
          <w:rFonts w:ascii="新細明體" w:hAnsi="新細明體" w:hint="eastAsia"/>
        </w:rPr>
        <w:t>，</w:t>
      </w:r>
      <w:r w:rsidRPr="00DA3BC7">
        <w:rPr>
          <w:rFonts w:ascii="Times New Roman" w:hAnsi="Times New Roman" w:hint="eastAsia"/>
        </w:rPr>
        <w:t>然這在中觀以外的學者看來，是難得理解的。</w:t>
      </w:r>
    </w:p>
    <w:p w:rsidR="00A27095" w:rsidRDefault="002B682F" w:rsidP="00A27095">
      <w:pPr>
        <w:ind w:leftChars="300" w:left="720"/>
        <w:jc w:val="both"/>
        <w:rPr>
          <w:rFonts w:ascii="Times New Roman" w:hAnsi="Times New Roman"/>
        </w:rPr>
      </w:pPr>
      <w:r w:rsidRPr="00DA3BC7">
        <w:rPr>
          <w:rFonts w:ascii="Times New Roman" w:hAnsi="Times New Roman" w:hint="eastAsia"/>
        </w:rPr>
        <w:t>中觀以外的佛學</w:t>
      </w:r>
      <w:r w:rsidRPr="00DA3BC7">
        <w:rPr>
          <w:rFonts w:hint="eastAsia"/>
        </w:rPr>
        <w:t>者以</w:t>
      </w:r>
      <w:r w:rsidRPr="00DA3BC7">
        <w:rPr>
          <w:rFonts w:ascii="Times New Roman" w:hAnsi="Times New Roman" w:hint="eastAsia"/>
        </w:rPr>
        <w:t>及一般人，他們以為：生是生起，滅是消滅；生既是生，即不是滅；滅既是滅，即不是生。生與滅，簡直是隔別無關的。佛說的「即生即滅」，是怎樣的困惱他們！</w:t>
      </w:r>
    </w:p>
    <w:p w:rsidR="00A27095" w:rsidRDefault="002B682F" w:rsidP="00A27095">
      <w:pPr>
        <w:ind w:leftChars="300" w:left="720"/>
        <w:jc w:val="both"/>
        <w:rPr>
          <w:rFonts w:ascii="Times New Roman" w:hAnsi="Times New Roman"/>
        </w:rPr>
      </w:pPr>
      <w:r w:rsidRPr="00DA3BC7">
        <w:rPr>
          <w:rFonts w:ascii="Times New Roman" w:hAnsi="Times New Roman" w:hint="eastAsia"/>
        </w:rPr>
        <w:t>本來，這是世間普通的思想方式，和西洋三段論法</w:t>
      </w:r>
      <w:r w:rsidRPr="00DA3BC7">
        <w:rPr>
          <w:rFonts w:ascii="Times New Roman" w:hAnsi="Times New Roman"/>
          <w:vertAlign w:val="superscript"/>
        </w:rPr>
        <w:footnoteReference w:id="269"/>
      </w:r>
      <w:r w:rsidRPr="00DA3BC7">
        <w:rPr>
          <w:rFonts w:ascii="Times New Roman" w:hAnsi="Times New Roman" w:hint="eastAsia"/>
        </w:rPr>
        <w:t>的形式邏輯相同。</w:t>
      </w:r>
    </w:p>
    <w:p w:rsidR="00A27095" w:rsidRDefault="002B682F" w:rsidP="00A27095">
      <w:pPr>
        <w:ind w:leftChars="300" w:left="720"/>
        <w:jc w:val="both"/>
        <w:rPr>
          <w:rFonts w:ascii="新細明體" w:hAnsi="新細明體"/>
        </w:rPr>
      </w:pPr>
      <w:r w:rsidRPr="00DA3BC7">
        <w:rPr>
          <w:rFonts w:hint="eastAsia"/>
        </w:rPr>
        <w:t>如生是生，非滅</w:t>
      </w:r>
      <w:r w:rsidRPr="00DA3BC7">
        <w:rPr>
          <w:rFonts w:ascii="新細明體" w:hAnsi="新細明體" w:hint="eastAsia"/>
        </w:rPr>
        <w:t>；</w:t>
      </w:r>
      <w:r w:rsidRPr="00DA3BC7">
        <w:rPr>
          <w:rFonts w:hint="eastAsia"/>
        </w:rPr>
        <w:t>滅是滅</w:t>
      </w:r>
      <w:r w:rsidRPr="00DA3BC7">
        <w:rPr>
          <w:rFonts w:ascii="新細明體" w:hAnsi="新細明體" w:hint="eastAsia"/>
        </w:rPr>
        <w:t>，</w:t>
      </w:r>
      <w:r w:rsidRPr="00DA3BC7">
        <w:rPr>
          <w:rFonts w:hint="eastAsia"/>
        </w:rPr>
        <w:t>非生</w:t>
      </w:r>
      <w:r w:rsidRPr="00DA3BC7">
        <w:rPr>
          <w:rFonts w:ascii="新細明體" w:hAnsi="新細明體" w:hint="eastAsia"/>
        </w:rPr>
        <w:t>；</w:t>
      </w:r>
      <w:r w:rsidRPr="00DA3BC7">
        <w:rPr>
          <w:rFonts w:ascii="Times New Roman" w:hAnsi="Times New Roman" w:hint="eastAsia"/>
        </w:rPr>
        <w:t>這近於形式邏輯的</w:t>
      </w:r>
      <w:r w:rsidRPr="00DA3BC7">
        <w:rPr>
          <w:rFonts w:ascii="Times New Roman" w:hAnsi="Times New Roman" w:hint="eastAsia"/>
          <w:b/>
        </w:rPr>
        <w:t>同一律</w:t>
      </w:r>
      <w:r w:rsidRPr="00DA3BC7">
        <w:rPr>
          <w:rFonts w:ascii="Times New Roman" w:hAnsi="Times New Roman" w:hint="eastAsia"/>
        </w:rPr>
        <w:t>與</w:t>
      </w:r>
      <w:r w:rsidRPr="00DA3BC7">
        <w:rPr>
          <w:rFonts w:ascii="Times New Roman" w:hAnsi="Times New Roman" w:hint="eastAsia"/>
          <w:b/>
        </w:rPr>
        <w:t>矛盾律</w:t>
      </w:r>
      <w:r w:rsidRPr="00DA3BC7">
        <w:rPr>
          <w:rFonts w:ascii="新細明體" w:hAnsi="新細明體" w:hint="eastAsia"/>
        </w:rPr>
        <w:t>。</w:t>
      </w:r>
    </w:p>
    <w:p w:rsidR="002B682F" w:rsidRPr="00DA3BC7" w:rsidRDefault="002B682F" w:rsidP="00A27095">
      <w:pPr>
        <w:ind w:leftChars="300" w:left="720"/>
        <w:jc w:val="both"/>
        <w:rPr>
          <w:rFonts w:ascii="Times New Roman" w:hAnsi="Times New Roman"/>
        </w:rPr>
      </w:pPr>
      <w:r w:rsidRPr="00DA3BC7">
        <w:rPr>
          <w:rFonts w:ascii="Times New Roman" w:hAnsi="Times New Roman" w:hint="eastAsia"/>
        </w:rPr>
        <w:t>不許生而可滅滅而即生的，即是</w:t>
      </w:r>
      <w:r w:rsidRPr="00DA3BC7">
        <w:rPr>
          <w:rFonts w:ascii="Times New Roman" w:hAnsi="Times New Roman" w:hint="eastAsia"/>
          <w:b/>
        </w:rPr>
        <w:t>排中律</w:t>
      </w:r>
      <w:r w:rsidRPr="00DA3BC7">
        <w:rPr>
          <w:rFonts w:ascii="Times New Roman" w:hAnsi="Times New Roman" w:hint="eastAsia"/>
        </w:rPr>
        <w:t>。</w:t>
      </w:r>
      <w:r w:rsidRPr="00DA3BC7">
        <w:rPr>
          <w:rFonts w:ascii="Times New Roman" w:hAnsi="Times New Roman"/>
          <w:vertAlign w:val="superscript"/>
        </w:rPr>
        <w:footnoteReference w:id="270"/>
      </w:r>
    </w:p>
    <w:p w:rsidR="002B682F" w:rsidRPr="00DA3BC7" w:rsidRDefault="002B682F" w:rsidP="00AE3920">
      <w:pPr>
        <w:spacing w:beforeLines="20"/>
        <w:ind w:leftChars="300" w:left="720"/>
        <w:jc w:val="both"/>
        <w:rPr>
          <w:rFonts w:ascii="Times New Roman" w:hAnsi="Times New Roman"/>
        </w:rPr>
      </w:pPr>
      <w:r w:rsidRPr="00DA3BC7">
        <w:rPr>
          <w:rFonts w:ascii="Times New Roman" w:hAnsi="Times New Roman" w:hint="eastAsia"/>
        </w:rPr>
        <w:t>這種含有根本錯誤的認識及其方法論，西洋的形式邏輯如此，印度的五分作法以及三支論法都如此，都不過是庸俗的淺見。</w:t>
      </w:r>
    </w:p>
    <w:p w:rsidR="002B682F" w:rsidRPr="00DA3BC7" w:rsidRDefault="0050649B" w:rsidP="00AE3920">
      <w:pPr>
        <w:spacing w:beforeLines="30"/>
        <w:ind w:leftChars="300" w:left="720"/>
        <w:jc w:val="both"/>
        <w:rPr>
          <w:rFonts w:ascii="Times Ext Roman" w:hAnsi="Times Ext Roman" w:cs="Times Ext Roman"/>
          <w:b/>
          <w:sz w:val="20"/>
          <w:bdr w:val="single" w:sz="4" w:space="0" w:color="auto"/>
        </w:rPr>
      </w:pPr>
      <w:r w:rsidRPr="0050649B">
        <w:rPr>
          <w:rFonts w:ascii="Times New Roman" w:hAnsi="Times New Roman" w:hint="eastAsia"/>
          <w:b/>
          <w:color w:val="FF0000"/>
          <w:sz w:val="20"/>
          <w:highlight w:val="yellow"/>
          <w:bdr w:val="single" w:sz="4" w:space="0" w:color="auto"/>
        </w:rPr>
        <w:t>B</w:t>
      </w:r>
      <w:r w:rsidR="002B682F" w:rsidRPr="0050649B">
        <w:rPr>
          <w:rFonts w:ascii="Times Ext Roman" w:hAnsi="Times Ext Roman" w:cs="Times Ext Roman" w:hint="eastAsia"/>
          <w:b/>
          <w:color w:val="FF0000"/>
          <w:sz w:val="20"/>
          <w:highlight w:val="yellow"/>
          <w:bdr w:val="single" w:sz="4" w:space="0" w:color="auto"/>
        </w:rPr>
        <w:t>、中觀</w:t>
      </w:r>
      <w:r w:rsidRPr="0050649B">
        <w:rPr>
          <w:rFonts w:ascii="Times Ext Roman" w:hAnsi="Times Ext Roman" w:cs="Times Ext Roman" w:hint="eastAsia"/>
          <w:b/>
          <w:color w:val="FF0000"/>
          <w:sz w:val="20"/>
          <w:highlight w:val="yellow"/>
          <w:bdr w:val="single" w:sz="4" w:space="0" w:color="auto"/>
        </w:rPr>
        <w:t>之論理</w:t>
      </w:r>
      <w:r w:rsidR="002B682F" w:rsidRPr="00DA3BC7">
        <w:rPr>
          <w:rFonts w:ascii="Times New Roman" w:hAnsi="Times New Roman" w:hint="eastAsia"/>
          <w:sz w:val="20"/>
          <w:szCs w:val="20"/>
        </w:rPr>
        <w:t>（</w:t>
      </w:r>
      <w:r w:rsidR="002B682F" w:rsidRPr="00DA3BC7">
        <w:rPr>
          <w:rFonts w:ascii="Times New Roman" w:hAnsi="Times New Roman"/>
          <w:sz w:val="20"/>
          <w:szCs w:val="20"/>
        </w:rPr>
        <w:t>p</w:t>
      </w:r>
      <w:r w:rsidR="002B682F" w:rsidRPr="00DA3BC7">
        <w:rPr>
          <w:rFonts w:ascii="Times New Roman" w:hAnsi="Times New Roman" w:hint="eastAsia"/>
          <w:sz w:val="20"/>
          <w:szCs w:val="20"/>
        </w:rPr>
        <w:t>p</w:t>
      </w:r>
      <w:r w:rsidR="002B682F" w:rsidRPr="00DA3BC7">
        <w:rPr>
          <w:rFonts w:ascii="Times New Roman" w:hAnsi="Times New Roman"/>
          <w:sz w:val="20"/>
          <w:szCs w:val="20"/>
        </w:rPr>
        <w:t>.4</w:t>
      </w:r>
      <w:r w:rsidR="002B682F" w:rsidRPr="00DA3BC7">
        <w:rPr>
          <w:rFonts w:ascii="Times New Roman" w:hAnsi="Times New Roman" w:hint="eastAsia"/>
          <w:sz w:val="20"/>
          <w:szCs w:val="20"/>
        </w:rPr>
        <w:t>7-48</w:t>
      </w:r>
      <w:r w:rsidR="002B682F" w:rsidRPr="00DA3BC7">
        <w:rPr>
          <w:rFonts w:ascii="Times New Roman" w:hAnsi="Times New Roman"/>
          <w:sz w:val="20"/>
          <w:szCs w:val="20"/>
        </w:rPr>
        <w:t>）</w:t>
      </w:r>
    </w:p>
    <w:p w:rsidR="002B682F" w:rsidRPr="00DA3BC7" w:rsidRDefault="002B682F" w:rsidP="003B7900">
      <w:pPr>
        <w:ind w:leftChars="300" w:left="720"/>
        <w:jc w:val="both"/>
        <w:rPr>
          <w:rFonts w:ascii="Times New Roman" w:hAnsi="Times New Roman"/>
        </w:rPr>
      </w:pPr>
      <w:r w:rsidRPr="00DA3BC7">
        <w:rPr>
          <w:rFonts w:ascii="Times New Roman" w:hAnsi="Times New Roman" w:hint="eastAsia"/>
        </w:rPr>
        <w:t>若依中觀的論理說：生是生，也可以是滅的；離了滅是不成其為生的。滅是滅，也是生</w:t>
      </w:r>
      <w:r w:rsidRPr="00DA3BC7">
        <w:rPr>
          <w:rFonts w:ascii="新細明體" w:hAnsi="新細明體" w:hint="eastAsia"/>
        </w:rPr>
        <w:t>；</w:t>
      </w:r>
      <w:r w:rsidRPr="00DA3BC7">
        <w:rPr>
          <w:rFonts w:ascii="Times New Roman" w:hAnsi="Times New Roman" w:hint="eastAsia"/>
        </w:rPr>
        <w:t>滅是由於生，離了生是不成其為滅的。這從無自性的緣起法，說明如幻的生滅。</w:t>
      </w:r>
    </w:p>
    <w:p w:rsidR="002B682F" w:rsidRPr="00DA3BC7" w:rsidRDefault="002B682F" w:rsidP="00AE3920">
      <w:pPr>
        <w:spacing w:beforeLines="20"/>
        <w:ind w:leftChars="300" w:left="720"/>
        <w:jc w:val="both"/>
        <w:rPr>
          <w:rFonts w:ascii="Times New Roman" w:hAnsi="Times New Roman"/>
        </w:rPr>
      </w:pPr>
      <w:r w:rsidRPr="00DA3BC7">
        <w:rPr>
          <w:rFonts w:ascii="Times New Roman" w:hAnsi="Times New Roman" w:hint="eastAsia"/>
        </w:rPr>
        <w:t>這種論理方法，近於辯證的邏輯（自然有</w:t>
      </w:r>
      <w:r w:rsidRPr="00DA3BC7">
        <w:rPr>
          <w:rFonts w:hint="eastAsia"/>
        </w:rPr>
        <w:t>它</w:t>
      </w:r>
      <w:r w:rsidRPr="00DA3BC7">
        <w:rPr>
          <w:rFonts w:ascii="Times New Roman" w:hAnsi="Times New Roman" w:hint="eastAsia"/>
        </w:rPr>
        <w:t>根本的不同點）。</w:t>
      </w:r>
      <w:r w:rsidRPr="00DA3BC7">
        <w:rPr>
          <w:rFonts w:ascii="Times New Roman" w:hAnsi="Times New Roman"/>
          <w:vertAlign w:val="superscript"/>
        </w:rPr>
        <w:footnoteReference w:id="271"/>
      </w:r>
    </w:p>
    <w:p w:rsidR="002B682F" w:rsidRPr="00DA3BC7" w:rsidRDefault="0050649B" w:rsidP="00AE3920">
      <w:pPr>
        <w:spacing w:beforeLines="30"/>
        <w:ind w:leftChars="250" w:left="600"/>
        <w:jc w:val="both"/>
        <w:rPr>
          <w:rFonts w:ascii="Times Ext Roman" w:hAnsi="Times Ext Roman" w:cs="Times Ext Roman"/>
          <w:b/>
          <w:sz w:val="20"/>
          <w:bdr w:val="single" w:sz="4" w:space="0" w:color="auto"/>
        </w:rPr>
      </w:pPr>
      <w:r w:rsidRPr="0050649B">
        <w:rPr>
          <w:rFonts w:ascii="Times New Roman" w:hAnsi="Times New Roman" w:hint="eastAsia"/>
          <w:b/>
          <w:color w:val="FF0000"/>
          <w:sz w:val="20"/>
          <w:highlight w:val="yellow"/>
          <w:bdr w:val="single" w:sz="4" w:space="0" w:color="auto"/>
        </w:rPr>
        <w:lastRenderedPageBreak/>
        <w:t>（</w:t>
      </w:r>
      <w:r w:rsidRPr="0050649B">
        <w:rPr>
          <w:rFonts w:ascii="Times New Roman" w:hAnsi="Times New Roman" w:hint="eastAsia"/>
          <w:b/>
          <w:color w:val="FF0000"/>
          <w:sz w:val="20"/>
          <w:highlight w:val="yellow"/>
          <w:bdr w:val="single" w:sz="4" w:space="0" w:color="auto"/>
        </w:rPr>
        <w:t>3</w:t>
      </w:r>
      <w:r w:rsidRPr="0050649B">
        <w:rPr>
          <w:rFonts w:ascii="Times New Roman" w:hAnsi="Times New Roman" w:hint="eastAsia"/>
          <w:b/>
          <w:color w:val="FF0000"/>
          <w:sz w:val="20"/>
          <w:highlight w:val="yellow"/>
          <w:bdr w:val="single" w:sz="4" w:space="0" w:color="auto"/>
        </w:rPr>
        <w:t>）正結量</w:t>
      </w:r>
      <w:r w:rsidR="002B682F" w:rsidRPr="00DA3BC7">
        <w:rPr>
          <w:rFonts w:ascii="Times New Roman" w:hAnsi="Times New Roman" w:hint="eastAsia"/>
          <w:sz w:val="20"/>
          <w:szCs w:val="20"/>
        </w:rPr>
        <w:t>（</w:t>
      </w:r>
      <w:r w:rsidR="002B682F" w:rsidRPr="00DA3BC7">
        <w:rPr>
          <w:rFonts w:ascii="Times New Roman" w:hAnsi="Times New Roman" w:hint="eastAsia"/>
          <w:sz w:val="20"/>
          <w:szCs w:val="20"/>
        </w:rPr>
        <w:t>p</w:t>
      </w:r>
      <w:r w:rsidR="002B682F" w:rsidRPr="00DA3BC7">
        <w:rPr>
          <w:rFonts w:ascii="Times New Roman" w:hAnsi="Times New Roman"/>
          <w:sz w:val="20"/>
          <w:szCs w:val="20"/>
        </w:rPr>
        <w:t>.4</w:t>
      </w:r>
      <w:r w:rsidR="002B682F" w:rsidRPr="00DA3BC7">
        <w:rPr>
          <w:rFonts w:ascii="Times New Roman" w:hAnsi="Times New Roman" w:hint="eastAsia"/>
          <w:sz w:val="20"/>
          <w:szCs w:val="20"/>
        </w:rPr>
        <w:t>8</w:t>
      </w:r>
      <w:r w:rsidR="002B682F" w:rsidRPr="00DA3BC7">
        <w:rPr>
          <w:rFonts w:ascii="Times New Roman" w:hAnsi="Times New Roman"/>
          <w:sz w:val="20"/>
          <w:szCs w:val="20"/>
        </w:rPr>
        <w:t>）</w:t>
      </w:r>
    </w:p>
    <w:p w:rsidR="002B682F" w:rsidRPr="00DA3BC7" w:rsidRDefault="00241E6A" w:rsidP="003B7900">
      <w:pPr>
        <w:ind w:leftChars="250" w:left="600"/>
        <w:jc w:val="both"/>
        <w:rPr>
          <w:rFonts w:ascii="Times New Roman" w:hAnsi="新細明體"/>
          <w:b/>
        </w:rPr>
      </w:pPr>
      <w:r>
        <w:rPr>
          <w:rFonts w:ascii="Times New Roman" w:hAnsi="新細明體" w:hint="eastAsia"/>
          <w:b/>
        </w:rPr>
        <w:t>古三論師的初章、中假義，是明顯地劃出二種認識的不同；因</w:t>
      </w:r>
      <w:r w:rsidRPr="00241E6A">
        <w:rPr>
          <w:rFonts w:ascii="Times New Roman" w:hAnsi="新細明體" w:hint="eastAsia"/>
          <w:b/>
          <w:u w:val="wave" w:color="C00000"/>
        </w:rPr>
        <w:t>認識</w:t>
      </w:r>
      <w:r>
        <w:rPr>
          <w:rFonts w:ascii="Times New Roman" w:hAnsi="新細明體" w:hint="eastAsia"/>
          <w:b/>
        </w:rPr>
        <w:t>的不同，所以</w:t>
      </w:r>
      <w:r w:rsidR="002B682F" w:rsidRPr="00241E6A">
        <w:rPr>
          <w:rFonts w:ascii="Times New Roman" w:hAnsi="新細明體" w:hint="eastAsia"/>
          <w:b/>
          <w:u w:val="wave" w:color="C00000"/>
        </w:rPr>
        <w:t>論理的方式</w:t>
      </w:r>
      <w:r>
        <w:rPr>
          <w:rFonts w:ascii="Times New Roman" w:hAnsi="新細明體" w:hint="eastAsia"/>
          <w:b/>
        </w:rPr>
        <w:t>與</w:t>
      </w:r>
      <w:r w:rsidRPr="00241E6A">
        <w:rPr>
          <w:rFonts w:ascii="Times New Roman" w:hAnsi="新細明體" w:hint="eastAsia"/>
          <w:b/>
          <w:u w:val="wave" w:color="C00000"/>
        </w:rPr>
        <w:t>結論</w:t>
      </w:r>
      <w:r w:rsidR="002B682F" w:rsidRPr="00DA3BC7">
        <w:rPr>
          <w:rFonts w:ascii="Times New Roman" w:hAnsi="新細明體" w:hint="eastAsia"/>
          <w:b/>
        </w:rPr>
        <w:t>也不能相同。</w:t>
      </w:r>
    </w:p>
    <w:p w:rsidR="002B682F" w:rsidRPr="00DA3BC7" w:rsidRDefault="002B682F" w:rsidP="00AE3920">
      <w:pPr>
        <w:spacing w:beforeLines="20"/>
        <w:ind w:leftChars="250" w:left="600"/>
        <w:jc w:val="both"/>
        <w:rPr>
          <w:rFonts w:ascii="Times New Roman" w:hAnsi="Times New Roman"/>
        </w:rPr>
      </w:pPr>
      <w:r w:rsidRPr="00DA3BC7">
        <w:rPr>
          <w:rFonts w:ascii="Times New Roman" w:hAnsi="Times New Roman" w:hint="eastAsia"/>
        </w:rPr>
        <w:t>主張有自相的學者，雖也明因果，說緣起，而因他們不能如實的明見緣起與依據緣起法則，故結果不免於反緣起而流於斷常二邊。</w:t>
      </w:r>
    </w:p>
    <w:p w:rsidR="002B682F" w:rsidRPr="00DA3BC7" w:rsidRDefault="002B682F" w:rsidP="00AE3920">
      <w:pPr>
        <w:spacing w:beforeLines="20"/>
        <w:ind w:leftChars="250" w:left="600"/>
        <w:jc w:val="both"/>
        <w:rPr>
          <w:rFonts w:ascii="Times New Roman" w:hAnsi="Times New Roman"/>
        </w:rPr>
      </w:pPr>
      <w:r w:rsidRPr="00DA3BC7">
        <w:rPr>
          <w:rFonts w:ascii="Times New Roman" w:hAnsi="Times New Roman" w:hint="eastAsia"/>
        </w:rPr>
        <w:t>所以要如實的體達中道，對於這種反緣起</w:t>
      </w:r>
      <w:r w:rsidRPr="00DA3BC7">
        <w:rPr>
          <w:rFonts w:ascii="新細明體" w:hAnsi="新細明體" w:hint="eastAsia"/>
        </w:rPr>
        <w:t>、</w:t>
      </w:r>
      <w:r w:rsidRPr="00DA3BC7">
        <w:rPr>
          <w:rFonts w:ascii="Times New Roman" w:hAnsi="Times New Roman" w:hint="eastAsia"/>
        </w:rPr>
        <w:t>反中道的認識與論理法，必先加以破斥，纔能引生如實的中道。</w:t>
      </w:r>
    </w:p>
    <w:p w:rsidR="002B682F" w:rsidRPr="00DA3BC7" w:rsidRDefault="002B682F" w:rsidP="00AE3920">
      <w:pPr>
        <w:spacing w:beforeLines="20"/>
        <w:ind w:leftChars="250" w:left="600"/>
        <w:jc w:val="both"/>
        <w:rPr>
          <w:rFonts w:ascii="Times New Roman" w:hAnsi="Times New Roman"/>
        </w:rPr>
      </w:pPr>
      <w:r w:rsidRPr="00DA3BC7">
        <w:rPr>
          <w:rFonts w:ascii="Times New Roman" w:hAnsi="Times New Roman" w:hint="eastAsia"/>
          <w:b/>
        </w:rPr>
        <w:t>這二種認識方法的不同，也即是空宗與有宗的方法論不同，明顯地劃出了兩宗的根本差別</w:t>
      </w:r>
      <w:r w:rsidRPr="00DA3BC7">
        <w:rPr>
          <w:rFonts w:ascii="Times New Roman" w:hAnsi="Times New Roman" w:hint="eastAsia"/>
        </w:rPr>
        <w:t>。</w:t>
      </w:r>
    </w:p>
    <w:p w:rsidR="002B682F" w:rsidRPr="00DA3BC7" w:rsidRDefault="002B682F" w:rsidP="00AE3920">
      <w:pPr>
        <w:spacing w:beforeLines="20"/>
        <w:ind w:leftChars="250" w:left="600"/>
        <w:jc w:val="both"/>
        <w:rPr>
          <w:rFonts w:ascii="Times New Roman" w:hAnsi="Times New Roman"/>
        </w:rPr>
      </w:pPr>
      <w:r w:rsidRPr="00DA3BC7">
        <w:rPr>
          <w:rFonts w:ascii="Times New Roman" w:hAnsi="Times New Roman" w:hint="eastAsia"/>
          <w:b/>
        </w:rPr>
        <w:t>徹底的說，這種差別，就是聖凡、迷悟的差別。</w:t>
      </w:r>
      <w:r w:rsidRPr="00DA3BC7">
        <w:rPr>
          <w:rFonts w:ascii="Times New Roman" w:hAnsi="Times New Roman" w:hint="eastAsia"/>
        </w:rPr>
        <w:t>破迷</w:t>
      </w:r>
      <w:r w:rsidRPr="00DA3BC7">
        <w:rPr>
          <w:rFonts w:hint="eastAsia"/>
        </w:rPr>
        <w:t>啟悟</w:t>
      </w:r>
      <w:r w:rsidRPr="00DA3BC7">
        <w:rPr>
          <w:rFonts w:ascii="新細明體" w:hAnsi="新細明體" w:hint="eastAsia"/>
        </w:rPr>
        <w:t>、</w:t>
      </w:r>
      <w:r w:rsidRPr="00DA3BC7">
        <w:rPr>
          <w:rFonts w:ascii="Times New Roman" w:hAnsi="Times New Roman" w:hint="eastAsia"/>
        </w:rPr>
        <w:t>轉凡成聖的根本關鍵，就在我們認識事物的是否正確。</w:t>
      </w:r>
      <w:r w:rsidRPr="00DA3BC7">
        <w:rPr>
          <w:rFonts w:ascii="Times New Roman" w:hAnsi="Times New Roman" w:hint="eastAsia"/>
          <w:b/>
        </w:rPr>
        <w:t>要革新以往含有普遍成見──俱生法執的世俗認識，勢非從</w:t>
      </w:r>
      <w:r w:rsidRPr="00241E6A">
        <w:rPr>
          <w:rFonts w:ascii="Times New Roman" w:hAnsi="新細明體" w:hint="eastAsia"/>
          <w:b/>
          <w:u w:val="wave" w:color="C00000"/>
        </w:rPr>
        <w:t>中觀的方法論</w:t>
      </w:r>
      <w:r w:rsidRPr="00DA3BC7">
        <w:rPr>
          <w:rFonts w:ascii="Times New Roman" w:hAnsi="Times New Roman" w:hint="eastAsia"/>
          <w:b/>
        </w:rPr>
        <w:t>著手不可。</w:t>
      </w:r>
    </w:p>
    <w:p w:rsidR="002B682F" w:rsidRPr="00DA3BC7" w:rsidRDefault="0050649B" w:rsidP="00AE3920">
      <w:pPr>
        <w:spacing w:beforeLines="30"/>
        <w:ind w:leftChars="200" w:left="480"/>
        <w:jc w:val="both"/>
        <w:rPr>
          <w:rFonts w:ascii="Times Ext Roman" w:hAnsi="Times Ext Roman" w:cs="Times Ext Roman"/>
          <w:sz w:val="20"/>
          <w:bdr w:val="single" w:sz="4" w:space="0" w:color="auto"/>
        </w:rPr>
      </w:pPr>
      <w:r w:rsidRPr="0050649B">
        <w:rPr>
          <w:rFonts w:ascii="Times New Roman" w:hAnsi="Times New Roman" w:hint="eastAsia"/>
          <w:b/>
          <w:color w:val="FF0000"/>
          <w:sz w:val="20"/>
          <w:highlight w:val="yellow"/>
          <w:bdr w:val="single" w:sz="4" w:space="0" w:color="auto"/>
        </w:rPr>
        <w:t>3</w:t>
      </w:r>
      <w:r w:rsidRPr="0050649B">
        <w:rPr>
          <w:rFonts w:ascii="Times Ext Roman" w:hAnsi="Times Ext Roman" w:cs="Times Ext Roman" w:hint="eastAsia"/>
          <w:b/>
          <w:color w:val="FF0000"/>
          <w:sz w:val="20"/>
          <w:highlight w:val="yellow"/>
          <w:bdr w:val="single" w:sz="4" w:space="0" w:color="auto"/>
        </w:rPr>
        <w:t>、</w:t>
      </w:r>
      <w:r w:rsidR="002B682F" w:rsidRPr="00DA3BC7">
        <w:rPr>
          <w:rFonts w:ascii="Times Ext Roman" w:hAnsi="Times Ext Roman" w:cs="Times Ext Roman" w:hint="eastAsia"/>
          <w:b/>
          <w:sz w:val="20"/>
          <w:bdr w:val="single" w:sz="4" w:space="0" w:color="auto"/>
        </w:rPr>
        <w:t>附論：</w:t>
      </w:r>
      <w:r w:rsidR="002B682F" w:rsidRPr="0050649B">
        <w:rPr>
          <w:rFonts w:ascii="Times Ext Roman" w:hAnsi="Times Ext Roman" w:cs="Times Ext Roman" w:hint="eastAsia"/>
          <w:b/>
          <w:color w:val="FF0000"/>
          <w:sz w:val="20"/>
          <w:highlight w:val="yellow"/>
          <w:bdr w:val="single" w:sz="4" w:space="0" w:color="auto"/>
        </w:rPr>
        <w:t>空有</w:t>
      </w:r>
      <w:r w:rsidRPr="0050649B">
        <w:rPr>
          <w:rFonts w:ascii="Times Ext Roman" w:hAnsi="Times Ext Roman" w:cs="Times Ext Roman" w:hint="eastAsia"/>
          <w:b/>
          <w:color w:val="FF0000"/>
          <w:sz w:val="20"/>
          <w:highlight w:val="yellow"/>
          <w:bdr w:val="single" w:sz="4" w:space="0" w:color="auto"/>
        </w:rPr>
        <w:t>之別</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pp.48-49</w:t>
      </w:r>
      <w:r w:rsidR="002B682F" w:rsidRPr="00DA3BC7">
        <w:rPr>
          <w:rFonts w:ascii="Times Ext Roman" w:hAnsi="Times Ext Roman" w:cs="Times Ext Roman" w:hint="eastAsia"/>
          <w:sz w:val="20"/>
          <w:szCs w:val="20"/>
        </w:rPr>
        <w:t>）</w:t>
      </w:r>
    </w:p>
    <w:p w:rsidR="002B682F" w:rsidRPr="00DA3BC7" w:rsidRDefault="0050649B" w:rsidP="00A27095">
      <w:pPr>
        <w:ind w:leftChars="250" w:left="600"/>
        <w:jc w:val="both"/>
        <w:rPr>
          <w:rFonts w:ascii="Times New Roman" w:hAnsi="Times New Roman"/>
        </w:rPr>
      </w:pPr>
      <w:r w:rsidRPr="0050649B">
        <w:rPr>
          <w:rFonts w:ascii="Times Ext Roman" w:hAnsi="Times Ext Roman" w:cs="Times Ext Roman" w:hint="eastAsia"/>
          <w:b/>
          <w:color w:val="FF0000"/>
          <w:sz w:val="20"/>
          <w:highlight w:val="yellow"/>
          <w:bdr w:val="single" w:sz="4" w:space="0" w:color="auto"/>
        </w:rPr>
        <w:t>（</w:t>
      </w:r>
      <w:r w:rsidRPr="0050649B">
        <w:rPr>
          <w:rFonts w:ascii="Times Ext Roman" w:hAnsi="Times Ext Roman" w:cs="Times Ext Roman" w:hint="eastAsia"/>
          <w:b/>
          <w:color w:val="FF0000"/>
          <w:sz w:val="20"/>
          <w:highlight w:val="yellow"/>
          <w:bdr w:val="single" w:sz="4" w:space="0" w:color="auto"/>
        </w:rPr>
        <w:t>1</w:t>
      </w:r>
      <w:r w:rsidRPr="0050649B">
        <w:rPr>
          <w:rFonts w:ascii="Times Ext Roman" w:hAnsi="Times Ext Roman" w:cs="Times Ext Roman" w:hint="eastAsia"/>
          <w:b/>
          <w:color w:val="FF0000"/>
          <w:sz w:val="20"/>
          <w:highlight w:val="yellow"/>
          <w:bdr w:val="single" w:sz="4" w:space="0" w:color="auto"/>
        </w:rPr>
        <w:t>）</w:t>
      </w:r>
      <w:r w:rsidR="002B682F" w:rsidRPr="00DA3BC7">
        <w:rPr>
          <w:rFonts w:ascii="Times Ext Roman" w:hAnsi="Times Ext Roman" w:cs="Times Ext Roman" w:hint="eastAsia"/>
          <w:b/>
          <w:sz w:val="20"/>
          <w:bdr w:val="single" w:sz="4" w:space="0" w:color="auto"/>
        </w:rPr>
        <w:t>略</w:t>
      </w:r>
      <w:r w:rsidR="002B682F" w:rsidRPr="0050649B">
        <w:rPr>
          <w:rFonts w:ascii="Times Ext Roman" w:hAnsi="Times Ext Roman" w:cs="Times Ext Roman" w:hint="eastAsia"/>
          <w:b/>
          <w:sz w:val="20"/>
          <w:highlight w:val="yellow"/>
          <w:bdr w:val="single" w:sz="4" w:space="0" w:color="auto"/>
        </w:rPr>
        <w:t>標</w:t>
      </w:r>
      <w:r w:rsidR="002B682F" w:rsidRPr="00DA3BC7">
        <w:rPr>
          <w:rFonts w:ascii="Times New Roman" w:hAnsi="Times New Roman" w:hint="eastAsia"/>
          <w:sz w:val="20"/>
          <w:szCs w:val="20"/>
        </w:rPr>
        <w:t>（</w:t>
      </w:r>
      <w:r w:rsidR="002B682F" w:rsidRPr="00DA3BC7">
        <w:rPr>
          <w:rFonts w:ascii="Times New Roman" w:hAnsi="Times New Roman" w:hint="eastAsia"/>
          <w:sz w:val="20"/>
          <w:szCs w:val="20"/>
        </w:rPr>
        <w:t>p</w:t>
      </w:r>
      <w:r w:rsidR="002B682F" w:rsidRPr="00DA3BC7">
        <w:rPr>
          <w:rFonts w:ascii="Times New Roman" w:hAnsi="Times New Roman"/>
          <w:sz w:val="20"/>
          <w:szCs w:val="20"/>
        </w:rPr>
        <w:t>.4</w:t>
      </w:r>
      <w:r w:rsidR="002B682F" w:rsidRPr="00DA3BC7">
        <w:rPr>
          <w:rFonts w:ascii="Times New Roman" w:hAnsi="Times New Roman" w:hint="eastAsia"/>
          <w:sz w:val="20"/>
          <w:szCs w:val="20"/>
        </w:rPr>
        <w:t>8</w:t>
      </w:r>
      <w:r w:rsidR="002B682F" w:rsidRPr="00DA3BC7">
        <w:rPr>
          <w:rFonts w:ascii="Times New Roman" w:hAnsi="Times New Roman"/>
          <w:sz w:val="20"/>
          <w:szCs w:val="20"/>
        </w:rPr>
        <w:t>）</w:t>
      </w:r>
    </w:p>
    <w:p w:rsidR="002B682F" w:rsidRPr="00DA3BC7" w:rsidRDefault="002B682F" w:rsidP="00A27095">
      <w:pPr>
        <w:ind w:leftChars="250" w:left="600"/>
        <w:jc w:val="both"/>
        <w:rPr>
          <w:rFonts w:ascii="Times New Roman" w:hAnsi="Times New Roman"/>
        </w:rPr>
      </w:pPr>
      <w:r w:rsidRPr="00DA3BC7">
        <w:rPr>
          <w:rFonts w:ascii="Times New Roman" w:hAnsi="Times New Roman" w:hint="eastAsia"/>
        </w:rPr>
        <w:t>這可以附帶一說</w:t>
      </w:r>
      <w:r w:rsidRPr="00DA3BC7">
        <w:rPr>
          <w:rFonts w:ascii="Times New Roman" w:hAnsi="Times New Roman" w:hint="eastAsia"/>
          <w:b/>
        </w:rPr>
        <w:t>空宗與有宗的不同根源</w:t>
      </w:r>
      <w:r w:rsidRPr="00DA3BC7">
        <w:rPr>
          <w:rFonts w:ascii="Times New Roman" w:hAnsi="Times New Roman" w:hint="eastAsia"/>
        </w:rPr>
        <w:t>。空宗與有宗所諍的，主要為</w:t>
      </w:r>
      <w:r w:rsidRPr="00DA3BC7">
        <w:rPr>
          <w:rFonts w:ascii="Times New Roman" w:hAnsi="Times New Roman" w:hint="eastAsia"/>
          <w:b/>
        </w:rPr>
        <w:t>對於空的論法不同</w:t>
      </w:r>
      <w:r w:rsidRPr="00DA3BC7">
        <w:rPr>
          <w:rFonts w:ascii="Times New Roman" w:hAnsi="Times New Roman" w:hint="eastAsia"/>
        </w:rPr>
        <w:t>。</w:t>
      </w:r>
    </w:p>
    <w:p w:rsidR="002B682F" w:rsidRPr="00DA3BC7" w:rsidRDefault="0050649B" w:rsidP="00AE3920">
      <w:pPr>
        <w:spacing w:beforeLines="30"/>
        <w:ind w:leftChars="250" w:left="600"/>
        <w:jc w:val="both"/>
        <w:rPr>
          <w:rFonts w:ascii="Times Ext Roman" w:hAnsi="Times Ext Roman" w:cs="Times Ext Roman"/>
          <w:b/>
          <w:sz w:val="20"/>
          <w:bdr w:val="single" w:sz="4" w:space="0" w:color="auto"/>
        </w:rPr>
      </w:pPr>
      <w:r w:rsidRPr="0050649B">
        <w:rPr>
          <w:rFonts w:ascii="Times Ext Roman" w:hAnsi="Times Ext Roman" w:cs="Times Ext Roman" w:hint="eastAsia"/>
          <w:b/>
          <w:color w:val="FF0000"/>
          <w:sz w:val="20"/>
          <w:highlight w:val="yellow"/>
          <w:bdr w:val="single" w:sz="4" w:space="0" w:color="auto"/>
        </w:rPr>
        <w:t>（</w:t>
      </w:r>
      <w:r w:rsidRPr="0050649B">
        <w:rPr>
          <w:rFonts w:ascii="Times New Roman" w:hAnsi="Times New Roman" w:hint="eastAsia"/>
          <w:b/>
          <w:color w:val="FF0000"/>
          <w:sz w:val="20"/>
          <w:highlight w:val="yellow"/>
          <w:bdr w:val="single" w:sz="4" w:space="0" w:color="auto"/>
        </w:rPr>
        <w:t>2</w:t>
      </w:r>
      <w:r w:rsidRPr="0050649B">
        <w:rPr>
          <w:rFonts w:ascii="Times Ext Roman" w:hAnsi="Times Ext Roman" w:cs="Times Ext Roman" w:hint="eastAsia"/>
          <w:b/>
          <w:color w:val="FF0000"/>
          <w:sz w:val="20"/>
          <w:highlight w:val="yellow"/>
          <w:bdr w:val="single" w:sz="4" w:space="0" w:color="auto"/>
        </w:rPr>
        <w:t>）</w:t>
      </w:r>
      <w:r w:rsidR="002B682F" w:rsidRPr="00DA3BC7">
        <w:rPr>
          <w:rFonts w:ascii="Times Ext Roman" w:hAnsi="Times Ext Roman" w:cs="Times Ext Roman" w:hint="eastAsia"/>
          <w:b/>
          <w:sz w:val="20"/>
          <w:bdr w:val="single" w:sz="4" w:space="0" w:color="auto"/>
        </w:rPr>
        <w:t>別釋</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pp.48-49</w:t>
      </w:r>
      <w:r w:rsidR="002B682F" w:rsidRPr="00DA3BC7">
        <w:rPr>
          <w:rFonts w:ascii="Times Ext Roman" w:hAnsi="Times Ext Roman" w:cs="Times Ext Roman" w:hint="eastAsia"/>
          <w:sz w:val="20"/>
          <w:szCs w:val="20"/>
        </w:rPr>
        <w:t>）</w:t>
      </w:r>
    </w:p>
    <w:p w:rsidR="002B682F" w:rsidRPr="00DA3BC7" w:rsidRDefault="0050649B" w:rsidP="003B7900">
      <w:pPr>
        <w:ind w:leftChars="300" w:left="720"/>
        <w:jc w:val="both"/>
        <w:rPr>
          <w:rFonts w:ascii="Times Ext Roman" w:hAnsi="Times Ext Roman" w:cs="Times Ext Roman"/>
          <w:sz w:val="20"/>
          <w:bdr w:val="single" w:sz="4" w:space="0" w:color="auto"/>
        </w:rPr>
      </w:pPr>
      <w:r w:rsidRPr="0050649B">
        <w:rPr>
          <w:rFonts w:ascii="Times Ext Roman" w:hAnsi="Times Ext Roman" w:cs="Times Ext Roman"/>
          <w:b/>
          <w:color w:val="FF0000"/>
          <w:sz w:val="20"/>
          <w:highlight w:val="yellow"/>
          <w:bdr w:val="single" w:sz="4" w:space="0" w:color="auto"/>
        </w:rPr>
        <w:t>A</w:t>
      </w:r>
      <w:r w:rsidRPr="0050649B">
        <w:rPr>
          <w:rFonts w:ascii="Times Ext Roman" w:hAnsi="Times Ext Roman" w:cs="Times Ext Roman" w:hint="eastAsia"/>
          <w:b/>
          <w:color w:val="FF0000"/>
          <w:sz w:val="20"/>
          <w:highlight w:val="yellow"/>
          <w:bdr w:val="single" w:sz="4" w:space="0" w:color="auto"/>
        </w:rPr>
        <w:t>、</w:t>
      </w:r>
      <w:r w:rsidR="002B682F" w:rsidRPr="00DA3BC7">
        <w:rPr>
          <w:rFonts w:ascii="Times Ext Roman" w:hAnsi="Times Ext Roman" w:cs="Times Ext Roman" w:hint="eastAsia"/>
          <w:b/>
          <w:sz w:val="20"/>
          <w:bdr w:val="single" w:sz="4" w:space="0" w:color="auto"/>
        </w:rPr>
        <w:t>空宗</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pp.48-49</w:t>
      </w:r>
      <w:r w:rsidR="002B682F" w:rsidRPr="00DA3BC7">
        <w:rPr>
          <w:rFonts w:ascii="Times Ext Roman" w:hAnsi="Times Ext Roman" w:cs="Times Ext Roman" w:hint="eastAsia"/>
          <w:sz w:val="20"/>
          <w:szCs w:val="20"/>
        </w:rPr>
        <w:t>）</w:t>
      </w:r>
    </w:p>
    <w:p w:rsidR="002B682F" w:rsidRPr="00DA3BC7" w:rsidRDefault="002B682F" w:rsidP="00EA1FEC">
      <w:pPr>
        <w:ind w:leftChars="300" w:left="1680" w:hangingChars="400" w:hanging="960"/>
        <w:jc w:val="both"/>
        <w:rPr>
          <w:rFonts w:ascii="Times New Roman" w:hAnsi="Times New Roman"/>
        </w:rPr>
      </w:pPr>
      <w:r w:rsidRPr="00DA3BC7">
        <w:rPr>
          <w:rFonts w:ascii="Times New Roman" w:hAnsi="Times New Roman" w:hint="eastAsia"/>
        </w:rPr>
        <w:t>空宗說：一切法是本性空的；因為一切法的自性本空，所以一切法是緣起有的。「</w:t>
      </w:r>
      <w:r w:rsidRPr="00241E6A">
        <w:rPr>
          <w:rFonts w:ascii="標楷體" w:eastAsia="標楷體" w:hAnsi="標楷體" w:hint="eastAsia"/>
        </w:rPr>
        <w:t>空中無色</w:t>
      </w:r>
      <w:r w:rsidRPr="00DA3BC7">
        <w:rPr>
          <w:rFonts w:ascii="Times New Roman" w:hAnsi="Times New Roman" w:hint="eastAsia"/>
        </w:rPr>
        <w:t>」而「</w:t>
      </w:r>
      <w:r w:rsidRPr="00241E6A">
        <w:rPr>
          <w:rFonts w:ascii="標楷體" w:eastAsia="標楷體" w:hAnsi="標楷體" w:hint="eastAsia"/>
        </w:rPr>
        <w:t>色即是空</w:t>
      </w:r>
      <w:r w:rsidRPr="00DA3BC7">
        <w:rPr>
          <w:rFonts w:ascii="Times New Roman" w:hAnsi="Times New Roman" w:hint="eastAsia"/>
        </w:rPr>
        <w:t>」，所以空與有不相礙，一切空而可能建立一切因果、罪福，以及凡聖的流轉和還滅。</w:t>
      </w:r>
    </w:p>
    <w:p w:rsidR="002B682F" w:rsidRPr="00DA3BC7" w:rsidRDefault="0050649B" w:rsidP="00AE3920">
      <w:pPr>
        <w:spacing w:beforeLines="30"/>
        <w:ind w:leftChars="300" w:left="720"/>
        <w:jc w:val="both"/>
        <w:rPr>
          <w:rFonts w:ascii="Times Ext Roman" w:hAnsi="Times Ext Roman" w:cs="Times Ext Roman"/>
          <w:sz w:val="20"/>
          <w:bdr w:val="single" w:sz="4" w:space="0" w:color="auto"/>
        </w:rPr>
      </w:pPr>
      <w:r w:rsidRPr="0050649B">
        <w:rPr>
          <w:rFonts w:ascii="Times Ext Roman" w:hAnsi="Times Ext Roman" w:cs="Times Ext Roman" w:hint="eastAsia"/>
          <w:b/>
          <w:color w:val="FF0000"/>
          <w:sz w:val="20"/>
          <w:highlight w:val="yellow"/>
          <w:bdr w:val="single" w:sz="4" w:space="0" w:color="auto"/>
        </w:rPr>
        <w:t>B</w:t>
      </w:r>
      <w:r w:rsidRPr="0050649B">
        <w:rPr>
          <w:rFonts w:ascii="Times Ext Roman" w:hAnsi="Times Ext Roman" w:cs="Times Ext Roman" w:hint="eastAsia"/>
          <w:b/>
          <w:color w:val="FF0000"/>
          <w:sz w:val="20"/>
          <w:highlight w:val="yellow"/>
          <w:bdr w:val="single" w:sz="4" w:space="0" w:color="auto"/>
        </w:rPr>
        <w:t>、</w:t>
      </w:r>
      <w:r w:rsidR="002B682F" w:rsidRPr="00DA3BC7">
        <w:rPr>
          <w:rFonts w:ascii="Times Ext Roman" w:hAnsi="Times Ext Roman" w:cs="Times Ext Roman" w:hint="eastAsia"/>
          <w:b/>
          <w:sz w:val="20"/>
          <w:bdr w:val="single" w:sz="4" w:space="0" w:color="auto"/>
        </w:rPr>
        <w:t>有宗</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p.49</w:t>
      </w:r>
      <w:r w:rsidR="002B682F" w:rsidRPr="00DA3BC7">
        <w:rPr>
          <w:rFonts w:ascii="Times Ext Roman" w:hAnsi="Times Ext Roman" w:cs="Times Ext Roman" w:hint="eastAsia"/>
          <w:sz w:val="20"/>
          <w:szCs w:val="20"/>
        </w:rPr>
        <w:t>）</w:t>
      </w:r>
    </w:p>
    <w:p w:rsidR="002B682F" w:rsidRPr="00DA3BC7" w:rsidRDefault="0050649B" w:rsidP="003B7900">
      <w:pPr>
        <w:ind w:leftChars="300" w:left="720"/>
        <w:jc w:val="both"/>
        <w:rPr>
          <w:rFonts w:ascii="Times New Roman" w:hAnsi="Times New Roman"/>
        </w:rPr>
      </w:pPr>
      <w:r w:rsidRPr="0050649B">
        <w:rPr>
          <w:rFonts w:ascii="Times New Roman" w:hAnsi="Times New Roman" w:hint="eastAsia"/>
          <w:highlight w:val="yellow"/>
        </w:rPr>
        <w:lastRenderedPageBreak/>
        <w:t>這點，中觀以外的學者，都難以承認。</w:t>
      </w:r>
      <w:r w:rsidR="002B682F" w:rsidRPr="00DA3BC7">
        <w:rPr>
          <w:rFonts w:ascii="Times New Roman" w:hAnsi="Times New Roman" w:hint="eastAsia"/>
        </w:rPr>
        <w:t>他們以為空是空的，即不是有的；有是有的，即不是空的。聽說「一切皆空」，就以為是毀壞一切的惡見，以為一切因果、罪福，甚麼都不能有了，所以至少非有些不空的纔對。</w:t>
      </w:r>
    </w:p>
    <w:p w:rsidR="002B682F" w:rsidRPr="00DA3BC7" w:rsidRDefault="002B682F" w:rsidP="00AE3920">
      <w:pPr>
        <w:spacing w:beforeLines="20"/>
        <w:ind w:leftChars="300" w:left="720"/>
        <w:jc w:val="both"/>
        <w:rPr>
          <w:rFonts w:ascii="Times New Roman" w:hAnsi="Times New Roman"/>
        </w:rPr>
      </w:pPr>
      <w:r w:rsidRPr="00DA3BC7">
        <w:rPr>
          <w:rFonts w:ascii="Times New Roman" w:hAnsi="Times New Roman" w:hint="eastAsia"/>
        </w:rPr>
        <w:t>依這種認識而開展的思想，不但外道、小乘，就是大乘的唯識學──有宗，也不免如此。因之，對於經中的「一切皆空」，不是根本的反對它，就給以非本義的修正：空是不了義的，這是依某種意義說的，其實某些某些是不空的。</w:t>
      </w:r>
    </w:p>
    <w:p w:rsidR="002B682F" w:rsidRPr="00DA3BC7" w:rsidRDefault="002B682F" w:rsidP="00AE3920">
      <w:pPr>
        <w:spacing w:beforeLines="20"/>
        <w:ind w:leftChars="300" w:left="720"/>
        <w:jc w:val="both"/>
        <w:rPr>
          <w:rFonts w:ascii="Times New Roman" w:hAnsi="Times New Roman"/>
        </w:rPr>
      </w:pPr>
      <w:r w:rsidRPr="00DA3BC7">
        <w:rPr>
          <w:rFonts w:ascii="Times New Roman" w:hAnsi="Times New Roman" w:hint="eastAsia"/>
        </w:rPr>
        <w:t>總之，他們勢必尋出一些不空的作根基，才能建立他們的宇宙觀與人生觀，建立他們的流轉論與還滅論。</w:t>
      </w:r>
    </w:p>
    <w:p w:rsidR="002B682F" w:rsidRPr="00DA3BC7" w:rsidRDefault="0050649B" w:rsidP="00AE3920">
      <w:pPr>
        <w:spacing w:beforeLines="30"/>
        <w:ind w:leftChars="250" w:left="600"/>
        <w:jc w:val="both"/>
        <w:rPr>
          <w:rFonts w:ascii="Times Ext Roman" w:hAnsi="Times Ext Roman" w:cs="Times Ext Roman"/>
          <w:sz w:val="20"/>
          <w:bdr w:val="single" w:sz="4" w:space="0" w:color="auto"/>
        </w:rPr>
      </w:pPr>
      <w:r w:rsidRPr="0050649B">
        <w:rPr>
          <w:rFonts w:ascii="Times New Roman" w:hAnsi="Times New Roman" w:hint="eastAsia"/>
          <w:b/>
          <w:color w:val="FF0000"/>
          <w:sz w:val="20"/>
          <w:szCs w:val="20"/>
          <w:highlight w:val="yellow"/>
          <w:bdr w:val="single" w:sz="4" w:space="0" w:color="auto"/>
        </w:rPr>
        <w:t>（</w:t>
      </w:r>
      <w:r w:rsidR="002B682F" w:rsidRPr="0050649B">
        <w:rPr>
          <w:rFonts w:ascii="Times New Roman" w:hAnsi="Times New Roman" w:hint="eastAsia"/>
          <w:b/>
          <w:color w:val="FF0000"/>
          <w:sz w:val="20"/>
          <w:highlight w:val="yellow"/>
          <w:bdr w:val="single" w:sz="4" w:space="0" w:color="auto"/>
        </w:rPr>
        <w:t>3</w:t>
      </w:r>
      <w:r w:rsidRPr="0050649B">
        <w:rPr>
          <w:rFonts w:ascii="Times New Roman" w:hAnsi="Times New Roman" w:hint="eastAsia"/>
          <w:b/>
          <w:color w:val="FF0000"/>
          <w:sz w:val="20"/>
          <w:szCs w:val="20"/>
          <w:highlight w:val="yellow"/>
          <w:bdr w:val="single" w:sz="4" w:space="0" w:color="auto"/>
        </w:rPr>
        <w:t>）</w:t>
      </w:r>
      <w:r w:rsidR="002B682F" w:rsidRPr="00DA3BC7">
        <w:rPr>
          <w:rFonts w:ascii="Times Ext Roman" w:hAnsi="Times Ext Roman" w:cs="Times Ext Roman" w:hint="eastAsia"/>
          <w:b/>
          <w:sz w:val="20"/>
          <w:bdr w:val="single" w:sz="4" w:space="0" w:color="auto"/>
        </w:rPr>
        <w:t>小結</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p.49</w:t>
      </w:r>
      <w:r w:rsidR="002B682F" w:rsidRPr="00DA3BC7">
        <w:rPr>
          <w:rFonts w:ascii="Times Ext Roman" w:hAnsi="Times Ext Roman" w:cs="Times Ext Roman" w:hint="eastAsia"/>
          <w:sz w:val="20"/>
          <w:szCs w:val="20"/>
        </w:rPr>
        <w:t>）</w:t>
      </w:r>
    </w:p>
    <w:p w:rsidR="002B682F" w:rsidRPr="00DA3BC7" w:rsidRDefault="002B682F" w:rsidP="003B7900">
      <w:pPr>
        <w:ind w:leftChars="250" w:left="600"/>
        <w:jc w:val="both"/>
        <w:rPr>
          <w:rFonts w:ascii="Times New Roman" w:hAnsi="Times New Roman"/>
        </w:rPr>
      </w:pPr>
      <w:r w:rsidRPr="00DA3BC7">
        <w:rPr>
          <w:rFonts w:ascii="Times New Roman" w:hAnsi="Times New Roman" w:hint="eastAsia"/>
          <w:b/>
        </w:rPr>
        <w:t>空有二宗的諍論不已，根本即淵源於此種認識以及論理方式的不同</w:t>
      </w:r>
      <w:r w:rsidRPr="00DA3BC7">
        <w:rPr>
          <w:rFonts w:ascii="Times New Roman" w:hAnsi="Times New Roman" w:hint="eastAsia"/>
        </w:rPr>
        <w:t>。所以假如</w:t>
      </w:r>
      <w:r w:rsidRPr="00DA3BC7">
        <w:rPr>
          <w:rFonts w:hint="eastAsia"/>
        </w:rPr>
        <w:t>說</w:t>
      </w:r>
      <w:r w:rsidRPr="00DA3BC7">
        <w:rPr>
          <w:rFonts w:ascii="Times New Roman" w:hAnsi="Times New Roman" w:hint="eastAsia"/>
        </w:rPr>
        <w:t>中觀的論理方</w:t>
      </w:r>
      <w:r w:rsidRPr="00DA3BC7">
        <w:rPr>
          <w:rFonts w:hint="eastAsia"/>
        </w:rPr>
        <w:t>法處</w:t>
      </w:r>
      <w:r w:rsidR="00241E6A">
        <w:rPr>
          <w:rFonts w:ascii="Times New Roman" w:hAnsi="Times New Roman" w:hint="eastAsia"/>
        </w:rPr>
        <w:t>處合於唯識家的因明</w:t>
      </w:r>
      <w:r w:rsidRPr="00DA3BC7">
        <w:rPr>
          <w:rFonts w:ascii="Times New Roman" w:hAnsi="Times New Roman" w:hint="eastAsia"/>
        </w:rPr>
        <w:t>，那簡直是大外行！</w:t>
      </w:r>
    </w:p>
    <w:p w:rsidR="002B682F" w:rsidRPr="00DA3BC7" w:rsidRDefault="0050649B" w:rsidP="00AE3920">
      <w:pPr>
        <w:spacing w:beforeLines="30"/>
        <w:ind w:leftChars="150" w:left="360"/>
        <w:jc w:val="both"/>
        <w:rPr>
          <w:rFonts w:ascii="Times Ext Roman" w:hAnsi="Times Ext Roman" w:cs="Times Ext Roman"/>
          <w:sz w:val="20"/>
          <w:bdr w:val="single" w:sz="4" w:space="0" w:color="auto"/>
        </w:rPr>
      </w:pPr>
      <w:r w:rsidRPr="0050649B">
        <w:rPr>
          <w:rFonts w:ascii="Times New Roman" w:hAnsi="Times New Roman" w:hint="eastAsia"/>
          <w:b/>
          <w:color w:val="FF0000"/>
          <w:sz w:val="20"/>
          <w:szCs w:val="20"/>
          <w:highlight w:val="yellow"/>
          <w:bdr w:val="single" w:sz="4" w:space="0" w:color="auto"/>
        </w:rPr>
        <w:t>（二）藏傳的中觀家</w:t>
      </w:r>
      <w:r w:rsidRPr="0050649B">
        <w:rPr>
          <w:rFonts w:ascii="Times Ext Roman" w:hAnsi="Times Ext Roman" w:cs="Times Ext Roman" w:hint="eastAsia"/>
          <w:b/>
          <w:color w:val="FF0000"/>
          <w:sz w:val="20"/>
          <w:highlight w:val="yellow"/>
          <w:bdr w:val="single" w:sz="4" w:space="0" w:color="auto"/>
        </w:rPr>
        <w:t>之</w:t>
      </w:r>
      <w:r w:rsidR="002B682F" w:rsidRPr="0050649B">
        <w:rPr>
          <w:rFonts w:ascii="Times Ext Roman" w:hAnsi="Times Ext Roman" w:cs="Times Ext Roman" w:hint="eastAsia"/>
          <w:b/>
          <w:color w:val="FF0000"/>
          <w:sz w:val="20"/>
          <w:highlight w:val="yellow"/>
          <w:bdr w:val="single" w:sz="4" w:space="0" w:color="auto"/>
        </w:rPr>
        <w:t>法</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pp.49-51</w:t>
      </w:r>
      <w:r w:rsidR="002B682F" w:rsidRPr="00DA3BC7">
        <w:rPr>
          <w:rFonts w:ascii="Times Ext Roman" w:hAnsi="Times Ext Roman" w:cs="Times Ext Roman" w:hint="eastAsia"/>
          <w:sz w:val="20"/>
          <w:szCs w:val="20"/>
        </w:rPr>
        <w:t>）</w:t>
      </w:r>
    </w:p>
    <w:p w:rsidR="002B682F" w:rsidRPr="00DA3BC7" w:rsidRDefault="0050649B" w:rsidP="003B7900">
      <w:pPr>
        <w:ind w:leftChars="200" w:left="480"/>
        <w:jc w:val="both"/>
        <w:rPr>
          <w:rFonts w:ascii="Times New Roman" w:hAnsi="Times New Roman"/>
          <w:b/>
          <w:sz w:val="20"/>
          <w:szCs w:val="20"/>
          <w:bdr w:val="single" w:sz="4" w:space="0" w:color="auto"/>
        </w:rPr>
      </w:pPr>
      <w:r w:rsidRPr="0050649B">
        <w:rPr>
          <w:rFonts w:ascii="Times New Roman" w:hAnsi="Times New Roman" w:hint="eastAsia"/>
          <w:b/>
          <w:color w:val="FF0000"/>
          <w:sz w:val="20"/>
          <w:szCs w:val="20"/>
          <w:highlight w:val="yellow"/>
          <w:bdr w:val="single" w:sz="4" w:space="0" w:color="auto"/>
        </w:rPr>
        <w:t>1</w:t>
      </w:r>
      <w:r w:rsidRPr="0050649B">
        <w:rPr>
          <w:rFonts w:ascii="Times New Roman" w:hAnsi="Times New Roman" w:hint="eastAsia"/>
          <w:b/>
          <w:color w:val="FF0000"/>
          <w:sz w:val="20"/>
          <w:szCs w:val="20"/>
          <w:highlight w:val="yellow"/>
          <w:bdr w:val="single" w:sz="4" w:space="0" w:color="auto"/>
        </w:rPr>
        <w:t>、概述</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p.49</w:t>
      </w:r>
      <w:r w:rsidR="002B682F" w:rsidRPr="00DA3BC7">
        <w:rPr>
          <w:rFonts w:ascii="Times Ext Roman" w:hAnsi="Times Ext Roman" w:cs="Times Ext Roman" w:hint="eastAsia"/>
          <w:sz w:val="20"/>
          <w:szCs w:val="20"/>
        </w:rPr>
        <w:t>）</w:t>
      </w:r>
    </w:p>
    <w:p w:rsidR="002B682F" w:rsidRPr="00DA3BC7" w:rsidRDefault="002B682F" w:rsidP="00EA1FEC">
      <w:pPr>
        <w:ind w:leftChars="200" w:left="960" w:hangingChars="200" w:hanging="480"/>
        <w:jc w:val="both"/>
        <w:rPr>
          <w:rFonts w:ascii="Times New Roman" w:hAnsi="Times New Roman"/>
        </w:rPr>
      </w:pPr>
      <w:r w:rsidRPr="00DA3BC7">
        <w:rPr>
          <w:rFonts w:ascii="Times New Roman" w:hAnsi="Times New Roman" w:hint="eastAsia"/>
        </w:rPr>
        <w:t>二、由印度傳入西藏的中觀，也有這一分別。這在月稱論師對於清辨批評佛護的反駁上，可以看出中觀者與一般學者是怎樣不同的。</w:t>
      </w:r>
    </w:p>
    <w:p w:rsidR="00212687" w:rsidRPr="00DA3BC7" w:rsidRDefault="00212687" w:rsidP="00AE3920">
      <w:pPr>
        <w:spacing w:beforeLines="30"/>
        <w:ind w:leftChars="200" w:left="48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2</w:t>
      </w:r>
      <w:r>
        <w:rPr>
          <w:rFonts w:ascii="Times New Roman" w:hAnsi="Times New Roman" w:hint="eastAsia"/>
          <w:b/>
          <w:color w:val="FF0000"/>
          <w:sz w:val="20"/>
          <w:szCs w:val="20"/>
          <w:highlight w:val="yellow"/>
          <w:bdr w:val="single" w:sz="4" w:space="0" w:color="auto"/>
        </w:rPr>
        <w:t>、詳明</w:t>
      </w:r>
      <w:r w:rsidRPr="00DA3BC7">
        <w:rPr>
          <w:rFonts w:ascii="Times Ext Roman" w:hAnsi="Times Ext Roman" w:cs="Times Ext Roman" w:hint="eastAsia"/>
          <w:sz w:val="20"/>
          <w:szCs w:val="20"/>
        </w:rPr>
        <w:t>（</w:t>
      </w:r>
      <w:r w:rsidRPr="00DA3BC7">
        <w:rPr>
          <w:rFonts w:ascii="Times New Roman" w:hAnsi="Times New Roman" w:hint="eastAsia"/>
          <w:sz w:val="20"/>
          <w:szCs w:val="20"/>
        </w:rPr>
        <w:t>pp.49-51</w:t>
      </w:r>
      <w:r w:rsidRPr="00DA3BC7">
        <w:rPr>
          <w:rFonts w:ascii="Times Ext Roman" w:hAnsi="Times Ext Roman" w:cs="Times Ext Roman" w:hint="eastAsia"/>
          <w:sz w:val="20"/>
          <w:szCs w:val="20"/>
        </w:rPr>
        <w:t>）</w:t>
      </w:r>
    </w:p>
    <w:p w:rsidR="00212687" w:rsidRPr="00212687" w:rsidRDefault="00212687" w:rsidP="003B7900">
      <w:pPr>
        <w:ind w:leftChars="250" w:left="600"/>
        <w:jc w:val="both"/>
        <w:rPr>
          <w:rFonts w:ascii="Times New Roman" w:hAnsi="Times New Roman"/>
          <w:b/>
          <w:color w:val="FF0000"/>
          <w:sz w:val="20"/>
          <w:szCs w:val="20"/>
          <w:highlight w:val="yellow"/>
          <w:bdr w:val="single" w:sz="4" w:space="0" w:color="auto"/>
        </w:rPr>
      </w:pPr>
      <w:r w:rsidRPr="00212687">
        <w:rPr>
          <w:rFonts w:ascii="Times New Roman" w:hAnsi="Times New Roman" w:hint="eastAsia"/>
          <w:b/>
          <w:color w:val="FF0000"/>
          <w:sz w:val="20"/>
          <w:szCs w:val="20"/>
          <w:highlight w:val="yellow"/>
          <w:bdr w:val="single" w:sz="4" w:space="0" w:color="auto"/>
        </w:rPr>
        <w:t>（</w:t>
      </w:r>
      <w:r w:rsidRPr="00212687">
        <w:rPr>
          <w:rFonts w:ascii="Times New Roman" w:hAnsi="Times New Roman" w:hint="eastAsia"/>
          <w:b/>
          <w:color w:val="FF0000"/>
          <w:sz w:val="20"/>
          <w:szCs w:val="20"/>
          <w:highlight w:val="yellow"/>
          <w:bdr w:val="single" w:sz="4" w:space="0" w:color="auto"/>
        </w:rPr>
        <w:t>1</w:t>
      </w:r>
      <w:r w:rsidRPr="00212687">
        <w:rPr>
          <w:rFonts w:ascii="Times New Roman" w:hAnsi="Times New Roman" w:hint="eastAsia"/>
          <w:b/>
          <w:color w:val="FF0000"/>
          <w:sz w:val="20"/>
          <w:szCs w:val="20"/>
          <w:highlight w:val="yellow"/>
          <w:bdr w:val="single" w:sz="4" w:space="0" w:color="auto"/>
        </w:rPr>
        <w:t>）月稱的評破</w:t>
      </w:r>
      <w:r w:rsidRPr="00DA3BC7">
        <w:rPr>
          <w:rFonts w:ascii="Times Ext Roman" w:hAnsi="Times Ext Roman" w:cs="Times Ext Roman" w:hint="eastAsia"/>
          <w:sz w:val="20"/>
          <w:szCs w:val="20"/>
        </w:rPr>
        <w:t>（</w:t>
      </w:r>
      <w:r w:rsidRPr="00DA3BC7">
        <w:rPr>
          <w:rFonts w:ascii="Times New Roman" w:hAnsi="Times New Roman" w:hint="eastAsia"/>
          <w:sz w:val="20"/>
          <w:szCs w:val="20"/>
        </w:rPr>
        <w:t>pp.49-51</w:t>
      </w:r>
      <w:r w:rsidRPr="00DA3BC7">
        <w:rPr>
          <w:rFonts w:ascii="Times Ext Roman" w:hAnsi="Times Ext Roman" w:cs="Times Ext Roman" w:hint="eastAsia"/>
          <w:sz w:val="20"/>
          <w:szCs w:val="20"/>
        </w:rPr>
        <w:t>）</w:t>
      </w:r>
    </w:p>
    <w:p w:rsidR="002B682F" w:rsidRPr="00DA3BC7" w:rsidRDefault="002B682F" w:rsidP="003B7900">
      <w:pPr>
        <w:ind w:leftChars="250" w:left="600"/>
        <w:jc w:val="both"/>
        <w:rPr>
          <w:rFonts w:ascii="Times New Roman" w:hAnsi="Times New Roman"/>
        </w:rPr>
      </w:pPr>
      <w:r w:rsidRPr="00DA3BC7">
        <w:rPr>
          <w:rFonts w:ascii="Times New Roman" w:hAnsi="Times New Roman" w:hint="eastAsia"/>
        </w:rPr>
        <w:t>月稱曾提出兩個名字：（一）自續──或譯自立量，（二）應成──或譯隨應破。</w:t>
      </w:r>
      <w:r w:rsidRPr="00DA3BC7">
        <w:rPr>
          <w:rFonts w:ascii="Times New Roman" w:hAnsi="Times New Roman"/>
          <w:vertAlign w:val="superscript"/>
        </w:rPr>
        <w:footnoteReference w:id="272"/>
      </w:r>
    </w:p>
    <w:p w:rsidR="002B682F" w:rsidRPr="00DA3BC7" w:rsidRDefault="002B682F" w:rsidP="003B7900">
      <w:pPr>
        <w:ind w:leftChars="250" w:left="600"/>
        <w:jc w:val="both"/>
        <w:rPr>
          <w:rFonts w:ascii="Times New Roman" w:hAnsi="Times New Roman"/>
        </w:rPr>
      </w:pPr>
      <w:r w:rsidRPr="00DA3BC7">
        <w:rPr>
          <w:rFonts w:ascii="Times New Roman" w:hAnsi="Times New Roman" w:hint="eastAsia"/>
        </w:rPr>
        <w:t>清辨批評佛護：不能專於破他，要以因明的論理方式建立緣起性空的自宗。這如他的《掌珍論》，曾成立二量：「</w:t>
      </w:r>
      <w:r w:rsidRPr="00DA3BC7">
        <w:rPr>
          <w:rFonts w:ascii="標楷體" w:eastAsia="標楷體" w:hAnsi="標楷體" w:hint="eastAsia"/>
        </w:rPr>
        <w:t>真性有為空，如幻，緣生故。</w:t>
      </w:r>
      <w:r w:rsidRPr="00DA3BC7">
        <w:rPr>
          <w:rFonts w:ascii="Times New Roman" w:hAnsi="Times New Roman"/>
          <w:vertAlign w:val="superscript"/>
        </w:rPr>
        <w:footnoteReference w:id="273"/>
      </w:r>
      <w:r w:rsidRPr="00DA3BC7">
        <w:rPr>
          <w:rFonts w:ascii="標楷體" w:eastAsia="標楷體" w:hAnsi="標楷體" w:hint="eastAsia"/>
        </w:rPr>
        <w:t>無為無有實，不起，似空華。</w:t>
      </w:r>
      <w:r w:rsidRPr="00DA3BC7">
        <w:rPr>
          <w:rFonts w:ascii="Times New Roman" w:hAnsi="Times New Roman"/>
          <w:vertAlign w:val="superscript"/>
        </w:rPr>
        <w:footnoteReference w:id="274"/>
      </w:r>
      <w:r w:rsidRPr="00DA3BC7">
        <w:rPr>
          <w:rFonts w:ascii="Times New Roman" w:hAnsi="Times New Roman" w:hint="eastAsia"/>
        </w:rPr>
        <w:t>」</w:t>
      </w:r>
      <w:r w:rsidRPr="00DA3BC7">
        <w:rPr>
          <w:rFonts w:ascii="Times New Roman" w:hAnsi="Times New Roman"/>
          <w:vertAlign w:val="superscript"/>
        </w:rPr>
        <w:footnoteReference w:id="275"/>
      </w:r>
    </w:p>
    <w:p w:rsidR="002B682F" w:rsidRPr="00DA3BC7" w:rsidRDefault="002B682F" w:rsidP="00EA1FEC">
      <w:pPr>
        <w:ind w:leftChars="250" w:left="600"/>
        <w:jc w:val="both"/>
        <w:rPr>
          <w:rFonts w:ascii="Times New Roman" w:hAnsi="Times New Roman"/>
        </w:rPr>
      </w:pPr>
      <w:r w:rsidRPr="00DA3BC7">
        <w:rPr>
          <w:rFonts w:ascii="Times New Roman" w:hAnsi="Times New Roman" w:hint="eastAsia"/>
        </w:rPr>
        <w:lastRenderedPageBreak/>
        <w:t>這種自立比量的方法，在月稱看來，是根本沒有理解佛護的意思，沒有理解中觀者與一般人的認識方法如何不同。因為因明的三支比</w:t>
      </w:r>
      <w:r w:rsidRPr="00DA3BC7">
        <w:rPr>
          <w:rFonts w:hint="eastAsia"/>
        </w:rPr>
        <w:t>量有</w:t>
      </w:r>
      <w:r w:rsidRPr="00DA3BC7">
        <w:rPr>
          <w:rFonts w:ascii="Times New Roman" w:hAnsi="Times New Roman" w:hint="eastAsia"/>
        </w:rPr>
        <w:t>一基本原則，立敵</w:t>
      </w:r>
      <w:r w:rsidRPr="00DA3BC7">
        <w:rPr>
          <w:rFonts w:ascii="Times New Roman" w:hAnsi="Times New Roman"/>
          <w:vertAlign w:val="superscript"/>
        </w:rPr>
        <w:footnoteReference w:id="276"/>
      </w:r>
      <w:r w:rsidRPr="00DA3BC7">
        <w:rPr>
          <w:rFonts w:ascii="Times New Roman" w:hAnsi="Times New Roman" w:hint="eastAsia"/>
        </w:rPr>
        <w:t>間要有共同的認識，即宗支的有法</w:t>
      </w:r>
      <w:r w:rsidRPr="00DA3BC7">
        <w:rPr>
          <w:rFonts w:ascii="Times New Roman" w:hAnsi="Times New Roman"/>
          <w:vertAlign w:val="superscript"/>
        </w:rPr>
        <w:footnoteReference w:id="277"/>
      </w:r>
      <w:r w:rsidRPr="00DA3BC7">
        <w:rPr>
          <w:rFonts w:ascii="Times New Roman" w:hAnsi="Times New Roman" w:hint="eastAsia"/>
        </w:rPr>
        <w:t>及能別</w:t>
      </w:r>
      <w:r w:rsidRPr="00DA3BC7">
        <w:rPr>
          <w:rFonts w:ascii="Times New Roman" w:hAnsi="Times New Roman"/>
          <w:vertAlign w:val="superscript"/>
        </w:rPr>
        <w:footnoteReference w:id="278"/>
      </w:r>
      <w:r w:rsidRPr="00DA3BC7">
        <w:rPr>
          <w:rFonts w:ascii="Times New Roman" w:hAnsi="Times New Roman" w:hint="eastAsia"/>
        </w:rPr>
        <w:t>必須彼此極</w:t>
      </w:r>
      <w:r w:rsidRPr="00DA3BC7">
        <w:rPr>
          <w:rFonts w:ascii="Times New Roman" w:hAnsi="Times New Roman" w:hint="eastAsia"/>
        </w:rPr>
        <w:lastRenderedPageBreak/>
        <w:t>成</w:t>
      </w:r>
      <w:r w:rsidRPr="00DA3BC7">
        <w:rPr>
          <w:rFonts w:ascii="Times New Roman" w:hAnsi="Times New Roman"/>
          <w:vertAlign w:val="superscript"/>
        </w:rPr>
        <w:footnoteReference w:id="279"/>
      </w:r>
      <w:r w:rsidRPr="00DA3BC7">
        <w:rPr>
          <w:rFonts w:ascii="Times New Roman" w:hAnsi="Times New Roman" w:hint="eastAsia"/>
        </w:rPr>
        <w:t>。如立「</w:t>
      </w:r>
      <w:r w:rsidRPr="00241E6A">
        <w:rPr>
          <w:rFonts w:ascii="標楷體" w:eastAsia="標楷體" w:hAnsi="標楷體" w:hint="eastAsia"/>
        </w:rPr>
        <w:t>聲</w:t>
      </w:r>
      <w:r w:rsidRPr="00DA3BC7">
        <w:rPr>
          <w:rFonts w:ascii="Times New Roman" w:hAnsi="Times New Roman" w:hint="eastAsia"/>
        </w:rPr>
        <w:t>是</w:t>
      </w:r>
      <w:r w:rsidRPr="00241E6A">
        <w:rPr>
          <w:rFonts w:ascii="標楷體" w:eastAsia="標楷體" w:hAnsi="標楷體" w:hint="eastAsia"/>
        </w:rPr>
        <w:t>無常</w:t>
      </w:r>
      <w:r w:rsidRPr="00DA3BC7">
        <w:rPr>
          <w:rFonts w:ascii="Times New Roman" w:hAnsi="Times New Roman" w:hint="eastAsia"/>
        </w:rPr>
        <w:t>」，那麼「</w:t>
      </w:r>
      <w:r w:rsidRPr="00241E6A">
        <w:rPr>
          <w:rFonts w:ascii="標楷體" w:eastAsia="標楷體" w:hAnsi="標楷體" w:hint="eastAsia"/>
        </w:rPr>
        <w:t>所作性故</w:t>
      </w:r>
      <w:r w:rsidRPr="00DA3BC7">
        <w:rPr>
          <w:rFonts w:ascii="Times New Roman" w:hAnsi="Times New Roman" w:hint="eastAsia"/>
        </w:rPr>
        <w:t>」的因，和「</w:t>
      </w:r>
      <w:r w:rsidRPr="00241E6A">
        <w:rPr>
          <w:rFonts w:ascii="標楷體" w:eastAsia="標楷體" w:hAnsi="標楷體" w:hint="eastAsia"/>
        </w:rPr>
        <w:t>如瓶</w:t>
      </w:r>
      <w:r w:rsidRPr="00DA3BC7">
        <w:rPr>
          <w:rFonts w:ascii="Times New Roman" w:hAnsi="Times New Roman" w:hint="eastAsia"/>
        </w:rPr>
        <w:t>」的喻，</w:t>
      </w:r>
      <w:r w:rsidR="00241E6A" w:rsidRPr="00241E6A">
        <w:rPr>
          <w:rFonts w:ascii="Times New Roman" w:hAnsi="Times New Roman"/>
          <w:color w:val="FF0000"/>
          <w:highlight w:val="yellow"/>
          <w:vertAlign w:val="superscript"/>
        </w:rPr>
        <w:footnoteReference w:id="280"/>
      </w:r>
      <w:r w:rsidRPr="00DA3BC7">
        <w:rPr>
          <w:rFonts w:ascii="Times New Roman" w:hAnsi="Times New Roman" w:hint="eastAsia"/>
        </w:rPr>
        <w:t>也要彼此有共同了解，這纔能以彼此共同的成立彼此不同的自宗。</w:t>
      </w:r>
    </w:p>
    <w:p w:rsidR="002B682F" w:rsidRPr="00DA3BC7" w:rsidRDefault="002B682F" w:rsidP="00AE3920">
      <w:pPr>
        <w:spacing w:beforeLines="20"/>
        <w:ind w:leftChars="250" w:left="600"/>
        <w:jc w:val="both"/>
        <w:rPr>
          <w:rFonts w:ascii="Times New Roman" w:hAnsi="Times New Roman"/>
        </w:rPr>
      </w:pPr>
      <w:r w:rsidRPr="00DA3BC7">
        <w:rPr>
          <w:rFonts w:ascii="Times New Roman" w:hAnsi="Times New Roman" w:hint="eastAsia"/>
        </w:rPr>
        <w:t>月稱在《明句論》裏，對清辨用因明量成立自宗的批評，指出「有法」與「法」，以及「因」</w:t>
      </w:r>
      <w:r w:rsidRPr="00DA3BC7">
        <w:rPr>
          <w:rFonts w:ascii="新細明體" w:hAnsi="新細明體" w:hint="eastAsia"/>
        </w:rPr>
        <w:t>、</w:t>
      </w:r>
      <w:r w:rsidRPr="00DA3BC7">
        <w:rPr>
          <w:rFonts w:ascii="Times New Roman" w:hAnsi="Times New Roman" w:hint="eastAsia"/>
        </w:rPr>
        <w:t>「喻」，中觀者與外小等甚麼都不共，這如何能用自立量呢？</w:t>
      </w:r>
    </w:p>
    <w:p w:rsidR="002B682F" w:rsidRPr="00DA3BC7" w:rsidRDefault="001400D5" w:rsidP="00AE3920">
      <w:pPr>
        <w:spacing w:beforeLines="30"/>
        <w:ind w:leftChars="250" w:left="600"/>
        <w:jc w:val="both"/>
        <w:rPr>
          <w:rFonts w:ascii="Times Ext Roman" w:hAnsi="Times Ext Roman" w:cs="Times Ext Roman"/>
          <w:b/>
          <w:sz w:val="20"/>
          <w:szCs w:val="20"/>
          <w:bdr w:val="single" w:sz="4" w:space="0" w:color="auto"/>
        </w:rPr>
      </w:pPr>
      <w:r w:rsidRPr="001400D5">
        <w:rPr>
          <w:rFonts w:ascii="Times Ext Roman" w:hAnsi="Times Ext Roman" w:cs="Times Ext Roman" w:hint="eastAsia"/>
          <w:b/>
          <w:color w:val="FF0000"/>
          <w:sz w:val="20"/>
          <w:highlight w:val="yellow"/>
          <w:bdr w:val="single" w:sz="4" w:space="0" w:color="auto"/>
        </w:rPr>
        <w:t>（</w:t>
      </w:r>
      <w:r w:rsidRPr="001400D5">
        <w:rPr>
          <w:rFonts w:ascii="Times New Roman" w:hAnsi="Times New Roman" w:hint="eastAsia"/>
          <w:b/>
          <w:color w:val="FF0000"/>
          <w:sz w:val="20"/>
          <w:highlight w:val="yellow"/>
          <w:bdr w:val="single" w:sz="4" w:space="0" w:color="auto"/>
        </w:rPr>
        <w:t>2</w:t>
      </w:r>
      <w:r w:rsidRPr="001400D5">
        <w:rPr>
          <w:rFonts w:ascii="Times Ext Roman" w:hAnsi="Times Ext Roman" w:cs="Times Ext Roman" w:hint="eastAsia"/>
          <w:b/>
          <w:color w:val="FF0000"/>
          <w:sz w:val="20"/>
          <w:highlight w:val="yellow"/>
          <w:bdr w:val="single" w:sz="4" w:space="0" w:color="auto"/>
        </w:rPr>
        <w:t>）</w:t>
      </w:r>
      <w:r w:rsidR="002B682F" w:rsidRPr="00DA3BC7">
        <w:rPr>
          <w:rFonts w:ascii="Times Ext Roman" w:hAnsi="Times Ext Roman" w:cs="Times Ext Roman" w:hint="eastAsia"/>
          <w:b/>
          <w:sz w:val="20"/>
          <w:bdr w:val="single" w:sz="4" w:space="0" w:color="auto"/>
        </w:rPr>
        <w:t>印順法師</w:t>
      </w:r>
      <w:r>
        <w:rPr>
          <w:rFonts w:ascii="Times Ext Roman" w:hAnsi="Times Ext Roman" w:cs="Times Ext Roman" w:hint="eastAsia"/>
          <w:b/>
          <w:color w:val="FF0000"/>
          <w:sz w:val="20"/>
          <w:highlight w:val="yellow"/>
          <w:bdr w:val="single" w:sz="4" w:space="0" w:color="auto"/>
        </w:rPr>
        <w:t>的論判</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p.50-51</w:t>
      </w:r>
      <w:r w:rsidR="002B682F" w:rsidRPr="00DA3BC7">
        <w:rPr>
          <w:rFonts w:ascii="Times Ext Roman" w:hAnsi="Times Ext Roman" w:cs="Times Ext Roman" w:hint="eastAsia"/>
          <w:sz w:val="20"/>
          <w:szCs w:val="20"/>
        </w:rPr>
        <w:t>）</w:t>
      </w:r>
    </w:p>
    <w:p w:rsidR="002B682F" w:rsidRPr="00DA3BC7" w:rsidRDefault="001400D5" w:rsidP="003B7900">
      <w:pPr>
        <w:ind w:leftChars="300" w:left="720"/>
        <w:jc w:val="both"/>
        <w:rPr>
          <w:rFonts w:ascii="Times Ext Roman" w:hAnsi="Times Ext Roman" w:cs="Times Ext Roman"/>
          <w:sz w:val="20"/>
          <w:bdr w:val="single" w:sz="4" w:space="0" w:color="auto"/>
        </w:rPr>
      </w:pPr>
      <w:r w:rsidRPr="001400D5">
        <w:rPr>
          <w:rFonts w:ascii="Times Ext Roman" w:hAnsi="Times Ext Roman" w:cs="Times Ext Roman" w:hint="eastAsia"/>
          <w:b/>
          <w:color w:val="FF0000"/>
          <w:sz w:val="20"/>
          <w:highlight w:val="yellow"/>
          <w:bdr w:val="single" w:sz="4" w:space="0" w:color="auto"/>
        </w:rPr>
        <w:t>A</w:t>
      </w:r>
      <w:r w:rsidRPr="001400D5">
        <w:rPr>
          <w:rFonts w:ascii="Times Ext Roman" w:hAnsi="Times Ext Roman" w:cs="Times Ext Roman" w:hint="eastAsia"/>
          <w:b/>
          <w:color w:val="FF0000"/>
          <w:sz w:val="20"/>
          <w:highlight w:val="yellow"/>
          <w:bdr w:val="single" w:sz="4" w:space="0" w:color="auto"/>
        </w:rPr>
        <w:t>、直顯是非</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p.50</w:t>
      </w:r>
      <w:r w:rsidR="002B682F" w:rsidRPr="00DA3BC7">
        <w:rPr>
          <w:rFonts w:ascii="Times Ext Roman" w:hAnsi="Times Ext Roman" w:cs="Times Ext Roman" w:hint="eastAsia"/>
          <w:sz w:val="20"/>
          <w:szCs w:val="20"/>
        </w:rPr>
        <w:t>）</w:t>
      </w:r>
    </w:p>
    <w:p w:rsidR="001400D5" w:rsidRDefault="002B682F" w:rsidP="003B7900">
      <w:pPr>
        <w:ind w:leftChars="300" w:left="720"/>
        <w:jc w:val="both"/>
        <w:rPr>
          <w:rFonts w:ascii="Times New Roman" w:hAnsi="Times New Roman"/>
        </w:rPr>
      </w:pPr>
      <w:r w:rsidRPr="00DA3BC7">
        <w:rPr>
          <w:rFonts w:ascii="Times New Roman" w:hAnsi="Times New Roman" w:hint="eastAsia"/>
        </w:rPr>
        <w:t>這是正確不過的。</w:t>
      </w:r>
    </w:p>
    <w:p w:rsidR="001400D5" w:rsidRPr="00DA3BC7" w:rsidRDefault="001400D5" w:rsidP="00AE3920">
      <w:pPr>
        <w:spacing w:beforeLines="30"/>
        <w:ind w:leftChars="300" w:left="720"/>
        <w:jc w:val="both"/>
        <w:rPr>
          <w:rFonts w:ascii="Times Ext Roman" w:hAnsi="Times Ext Roman" w:cs="Times Ext Roman"/>
          <w:sz w:val="20"/>
          <w:bdr w:val="single" w:sz="4" w:space="0" w:color="auto"/>
        </w:rPr>
      </w:pPr>
      <w:r>
        <w:rPr>
          <w:rFonts w:ascii="Times Ext Roman" w:hAnsi="Times Ext Roman" w:cs="Times Ext Roman" w:hint="eastAsia"/>
          <w:b/>
          <w:color w:val="FF0000"/>
          <w:sz w:val="20"/>
          <w:highlight w:val="yellow"/>
          <w:bdr w:val="single" w:sz="4" w:space="0" w:color="auto"/>
        </w:rPr>
        <w:t>B</w:t>
      </w:r>
      <w:r w:rsidRPr="001400D5">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舉例闡明</w:t>
      </w:r>
      <w:r w:rsidRPr="00DA3BC7">
        <w:rPr>
          <w:rFonts w:ascii="Times Ext Roman" w:hAnsi="Times Ext Roman" w:cs="Times Ext Roman" w:hint="eastAsia"/>
          <w:sz w:val="20"/>
          <w:szCs w:val="20"/>
        </w:rPr>
        <w:t>（</w:t>
      </w:r>
      <w:r w:rsidRPr="00DA3BC7">
        <w:rPr>
          <w:rFonts w:ascii="Times New Roman" w:hAnsi="Times New Roman" w:hint="eastAsia"/>
          <w:sz w:val="20"/>
          <w:szCs w:val="20"/>
        </w:rPr>
        <w:t>p.50</w:t>
      </w:r>
      <w:r w:rsidRPr="00DA3BC7">
        <w:rPr>
          <w:rFonts w:ascii="Times Ext Roman" w:hAnsi="Times Ext Roman" w:cs="Times Ext Roman" w:hint="eastAsia"/>
          <w:sz w:val="20"/>
          <w:szCs w:val="20"/>
        </w:rPr>
        <w:t>）</w:t>
      </w:r>
    </w:p>
    <w:p w:rsidR="006C4E94" w:rsidRDefault="002B682F" w:rsidP="003B7900">
      <w:pPr>
        <w:ind w:leftChars="300" w:left="720"/>
        <w:jc w:val="both"/>
        <w:rPr>
          <w:rFonts w:ascii="Times New Roman" w:hAnsi="Times New Roman"/>
        </w:rPr>
      </w:pPr>
      <w:r w:rsidRPr="00DA3BC7">
        <w:rPr>
          <w:rFonts w:ascii="Times New Roman" w:hAnsi="Times New Roman" w:hint="eastAsia"/>
        </w:rPr>
        <w:t>即如清辨《掌珍論》的「</w:t>
      </w:r>
      <w:r w:rsidRPr="00DA3BC7">
        <w:rPr>
          <w:rFonts w:ascii="標楷體" w:eastAsia="標楷體" w:hAnsi="標楷體" w:hint="eastAsia"/>
        </w:rPr>
        <w:t>真性有為空，</w:t>
      </w:r>
      <w:r w:rsidRPr="006C4E94">
        <w:rPr>
          <w:rFonts w:ascii="標楷體" w:eastAsia="標楷體" w:hAnsi="標楷體" w:hint="eastAsia"/>
        </w:rPr>
        <w:t>如幻，緣生故。</w:t>
      </w:r>
      <w:r w:rsidRPr="00DA3BC7">
        <w:rPr>
          <w:rFonts w:ascii="Times New Roman" w:hAnsi="Times New Roman" w:hint="eastAsia"/>
        </w:rPr>
        <w:t>」</w:t>
      </w:r>
    </w:p>
    <w:p w:rsidR="006C4E94" w:rsidRDefault="002B682F" w:rsidP="003B7900">
      <w:pPr>
        <w:ind w:leftChars="300" w:left="720"/>
        <w:jc w:val="both"/>
        <w:rPr>
          <w:rFonts w:ascii="Times New Roman" w:hAnsi="Times New Roman"/>
        </w:rPr>
      </w:pPr>
      <w:r w:rsidRPr="00DA3BC7">
        <w:rPr>
          <w:rFonts w:ascii="Times New Roman" w:hAnsi="Times New Roman" w:hint="eastAsia"/>
        </w:rPr>
        <w:t>唯識家就可以說：</w:t>
      </w:r>
    </w:p>
    <w:p w:rsidR="002B682F" w:rsidRPr="00DA3BC7" w:rsidRDefault="002B682F" w:rsidP="003B7900">
      <w:pPr>
        <w:ind w:leftChars="300" w:left="720"/>
        <w:jc w:val="both"/>
        <w:rPr>
          <w:rFonts w:ascii="Times New Roman" w:hAnsi="Times New Roman"/>
        </w:rPr>
      </w:pPr>
      <w:r w:rsidRPr="00DA3BC7">
        <w:rPr>
          <w:rFonts w:ascii="Times New Roman" w:hAnsi="Times New Roman" w:hint="eastAsia"/>
        </w:rPr>
        <w:t>空不是真性有為的法，真性有為是非空非不空的。</w:t>
      </w:r>
    </w:p>
    <w:p w:rsidR="002B682F" w:rsidRPr="00DA3BC7" w:rsidRDefault="002B682F" w:rsidP="00AE3920">
      <w:pPr>
        <w:spacing w:beforeLines="20"/>
        <w:ind w:leftChars="300" w:left="720"/>
        <w:jc w:val="both"/>
        <w:rPr>
          <w:rFonts w:ascii="Times New Roman" w:hAnsi="Times New Roman"/>
        </w:rPr>
      </w:pPr>
      <w:r w:rsidRPr="00DA3BC7">
        <w:rPr>
          <w:rFonts w:ascii="Times New Roman" w:hAnsi="Times New Roman" w:hint="eastAsia"/>
        </w:rPr>
        <w:t>「</w:t>
      </w:r>
      <w:r w:rsidRPr="00DA3BC7">
        <w:rPr>
          <w:rFonts w:ascii="標楷體" w:eastAsia="標楷體" w:hAnsi="標楷體" w:hint="eastAsia"/>
        </w:rPr>
        <w:t>緣生故</w:t>
      </w:r>
      <w:r w:rsidRPr="00DA3BC7">
        <w:rPr>
          <w:rFonts w:ascii="Times New Roman" w:hAnsi="Times New Roman" w:hint="eastAsia"/>
        </w:rPr>
        <w:t>」的因，不但不能成立中觀的空，反而成立唯識的不空。</w:t>
      </w:r>
    </w:p>
    <w:p w:rsidR="002B682F" w:rsidRPr="00DA3BC7" w:rsidRDefault="002B682F" w:rsidP="00AE3920">
      <w:pPr>
        <w:spacing w:beforeLines="20"/>
        <w:ind w:leftChars="300" w:left="720"/>
        <w:jc w:val="both"/>
        <w:rPr>
          <w:rFonts w:ascii="Times New Roman" w:hAnsi="Times New Roman"/>
        </w:rPr>
      </w:pPr>
      <w:r w:rsidRPr="00DA3BC7">
        <w:rPr>
          <w:rFonts w:ascii="Times New Roman" w:hAnsi="Times New Roman" w:hint="eastAsia"/>
        </w:rPr>
        <w:t>「</w:t>
      </w:r>
      <w:r w:rsidRPr="00DA3BC7">
        <w:rPr>
          <w:rFonts w:ascii="標楷體" w:eastAsia="標楷體" w:hAnsi="標楷體" w:hint="eastAsia"/>
        </w:rPr>
        <w:t>如幻</w:t>
      </w:r>
      <w:r w:rsidRPr="00DA3BC7">
        <w:rPr>
          <w:rFonts w:ascii="Times New Roman" w:hAnsi="Times New Roman" w:hint="eastAsia"/>
        </w:rPr>
        <w:t>」，唯識家也不承認如幻是空的。</w:t>
      </w:r>
    </w:p>
    <w:p w:rsidR="002B682F" w:rsidRPr="00DA3BC7" w:rsidRDefault="002B682F" w:rsidP="00AE3920">
      <w:pPr>
        <w:spacing w:beforeLines="20"/>
        <w:ind w:leftChars="300" w:left="720"/>
        <w:jc w:val="both"/>
        <w:rPr>
          <w:rFonts w:ascii="Times New Roman" w:hAnsi="Times New Roman"/>
        </w:rPr>
      </w:pPr>
      <w:r w:rsidRPr="00DA3BC7">
        <w:rPr>
          <w:rFonts w:ascii="Times New Roman" w:hAnsi="Times New Roman" w:hint="eastAsia"/>
        </w:rPr>
        <w:t>這可見月稱批評清辨的自立量，是非常正確的。</w:t>
      </w:r>
    </w:p>
    <w:p w:rsidR="006C4E94" w:rsidRPr="00DA3BC7" w:rsidRDefault="006C4E94" w:rsidP="00AE3920">
      <w:pPr>
        <w:spacing w:beforeLines="30"/>
        <w:ind w:leftChars="300" w:left="720"/>
        <w:jc w:val="both"/>
        <w:rPr>
          <w:rFonts w:ascii="Times Ext Roman" w:hAnsi="Times Ext Roman" w:cs="Times Ext Roman"/>
          <w:sz w:val="20"/>
          <w:bdr w:val="single" w:sz="4" w:space="0" w:color="auto"/>
        </w:rPr>
      </w:pPr>
      <w:r>
        <w:rPr>
          <w:rFonts w:ascii="Times Ext Roman" w:hAnsi="Times Ext Roman" w:cs="Times Ext Roman" w:hint="eastAsia"/>
          <w:b/>
          <w:color w:val="FF0000"/>
          <w:sz w:val="20"/>
          <w:highlight w:val="yellow"/>
          <w:bdr w:val="single" w:sz="4" w:space="0" w:color="auto"/>
        </w:rPr>
        <w:t>C</w:t>
      </w:r>
      <w:r w:rsidRPr="001400D5">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歸納要義</w:t>
      </w:r>
      <w:r w:rsidRPr="00DA3BC7">
        <w:rPr>
          <w:rFonts w:ascii="Times Ext Roman" w:hAnsi="Times Ext Roman" w:cs="Times Ext Roman" w:hint="eastAsia"/>
          <w:sz w:val="20"/>
          <w:szCs w:val="20"/>
        </w:rPr>
        <w:t>（</w:t>
      </w:r>
      <w:r w:rsidRPr="00DA3BC7">
        <w:rPr>
          <w:rFonts w:ascii="Times New Roman" w:hAnsi="Times New Roman" w:hint="eastAsia"/>
          <w:sz w:val="20"/>
          <w:szCs w:val="20"/>
        </w:rPr>
        <w:t>pp.50-51</w:t>
      </w:r>
      <w:r w:rsidRPr="00DA3BC7">
        <w:rPr>
          <w:rFonts w:ascii="Times Ext Roman" w:hAnsi="Times Ext Roman" w:cs="Times Ext Roman" w:hint="eastAsia"/>
          <w:sz w:val="20"/>
          <w:szCs w:val="20"/>
        </w:rPr>
        <w:t>）</w:t>
      </w:r>
    </w:p>
    <w:p w:rsidR="003B7900" w:rsidRDefault="002B682F" w:rsidP="003B7900">
      <w:pPr>
        <w:ind w:leftChars="300" w:left="720"/>
        <w:jc w:val="both"/>
        <w:rPr>
          <w:rFonts w:ascii="Times New Roman" w:hAnsi="Times New Roman"/>
        </w:rPr>
      </w:pPr>
      <w:r w:rsidRPr="00DA3BC7">
        <w:rPr>
          <w:rFonts w:ascii="Times New Roman" w:hAnsi="Times New Roman" w:hint="eastAsia"/>
        </w:rPr>
        <w:t>對於一般非中觀者而自立比量，根本不可能；僅可以他人所承認而立他比量，即揭破他本身所含的矛盾，所謂「以子之矛，攻子之盾」</w:t>
      </w:r>
      <w:r w:rsidRPr="00DA3BC7">
        <w:rPr>
          <w:rFonts w:ascii="Times New Roman" w:hAnsi="Times New Roman"/>
          <w:vertAlign w:val="superscript"/>
        </w:rPr>
        <w:footnoteReference w:id="281"/>
      </w:r>
      <w:r w:rsidRPr="00DA3BC7">
        <w:rPr>
          <w:rFonts w:ascii="Times New Roman" w:hAnsi="Times New Roman" w:hint="eastAsia"/>
        </w:rPr>
        <w:t>，所以月稱主張隨應破。</w:t>
      </w:r>
    </w:p>
    <w:p w:rsidR="002B682F" w:rsidRPr="00DA3BC7" w:rsidRDefault="002B682F" w:rsidP="00AE3920">
      <w:pPr>
        <w:spacing w:beforeLines="20"/>
        <w:ind w:leftChars="300" w:left="720"/>
        <w:jc w:val="both"/>
        <w:rPr>
          <w:rFonts w:ascii="Times New Roman" w:hAnsi="Times New Roman"/>
        </w:rPr>
      </w:pPr>
      <w:r w:rsidRPr="00DA3BC7">
        <w:rPr>
          <w:rFonts w:ascii="Times New Roman" w:hAnsi="Times New Roman" w:hint="eastAsia"/>
        </w:rPr>
        <w:t>這雖在與清辨</w:t>
      </w:r>
      <w:r w:rsidRPr="00DA3BC7">
        <w:rPr>
          <w:rFonts w:hint="eastAsia"/>
        </w:rPr>
        <w:t>辯</w:t>
      </w:r>
      <w:r w:rsidRPr="00DA3BC7">
        <w:rPr>
          <w:rFonts w:ascii="Times New Roman" w:hAnsi="Times New Roman" w:hint="eastAsia"/>
        </w:rPr>
        <w:t>論是否可以自立比量，其實即說明了中觀者與一般人</w:t>
      </w:r>
      <w:r w:rsidRPr="00DA3BC7">
        <w:rPr>
          <w:rFonts w:ascii="Times New Roman" w:hAnsi="Times New Roman" w:hint="eastAsia"/>
        </w:rPr>
        <w:lastRenderedPageBreak/>
        <w:t>的認識有根本不同處：即中觀學者所信解或悟入的如幻緣起，與常人執著實有的因果法，或者也名為緣起，根本不同。</w:t>
      </w:r>
      <w:r w:rsidRPr="00DA3BC7">
        <w:rPr>
          <w:rFonts w:ascii="Times New Roman" w:hAnsi="Times New Roman" w:hint="eastAsia"/>
          <w:b/>
        </w:rPr>
        <w:t>差別的根源，即在於彼此的認識不同，因而論理的方法也不能一致</w:t>
      </w:r>
      <w:r w:rsidRPr="00DA3BC7">
        <w:rPr>
          <w:rFonts w:ascii="Times New Roman" w:hAnsi="Times New Roman" w:hint="eastAsia"/>
        </w:rPr>
        <w:t>。</w:t>
      </w:r>
    </w:p>
    <w:p w:rsidR="006C4E94" w:rsidRDefault="006C4E94" w:rsidP="00AE3920">
      <w:pPr>
        <w:spacing w:beforeLines="30"/>
        <w:ind w:leftChars="50" w:left="120"/>
        <w:jc w:val="both"/>
        <w:rPr>
          <w:rFonts w:ascii="Times Ext Roman" w:hAnsi="Times Ext Roman" w:cs="Times Ext Roman"/>
          <w:b/>
          <w:color w:val="FF0000"/>
          <w:sz w:val="20"/>
          <w:bdr w:val="single" w:sz="4" w:space="0" w:color="auto"/>
        </w:rPr>
      </w:pPr>
      <w:r w:rsidRPr="006C4E94">
        <w:rPr>
          <w:rFonts w:ascii="Times Ext Roman" w:hAnsi="Times Ext Roman" w:cs="Times Ext Roman"/>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肆</w:t>
      </w:r>
      <w:r w:rsidRPr="006C4E94">
        <w:rPr>
          <w:rFonts w:ascii="Times Ext Roman" w:hAnsi="Times Ext Roman" w:cs="Times Ext Roman"/>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結義</w:t>
      </w:r>
    </w:p>
    <w:p w:rsidR="002B682F" w:rsidRPr="00DA3BC7" w:rsidRDefault="006C4E94" w:rsidP="003B7900">
      <w:pPr>
        <w:ind w:leftChars="100" w:left="240"/>
        <w:jc w:val="both"/>
        <w:rPr>
          <w:rFonts w:ascii="Times Ext Roman" w:hAnsi="Times Ext Roman" w:cs="Times Ext Roman"/>
          <w:sz w:val="20"/>
          <w:bdr w:val="single" w:sz="4" w:space="0" w:color="auto"/>
        </w:rPr>
      </w:pPr>
      <w:r w:rsidRPr="006C4E94">
        <w:rPr>
          <w:rFonts w:ascii="Times Ext Roman" w:hAnsi="Times Ext Roman" w:cs="Times Ext Roman" w:hint="eastAsia"/>
          <w:b/>
          <w:color w:val="FF0000"/>
          <w:sz w:val="20"/>
          <w:highlight w:val="yellow"/>
          <w:bdr w:val="single" w:sz="4" w:space="0" w:color="auto"/>
        </w:rPr>
        <w:t>一</w:t>
      </w:r>
      <w:r w:rsidR="002B682F" w:rsidRPr="006C4E94">
        <w:rPr>
          <w:rFonts w:ascii="Times Ext Roman" w:hAnsi="Times Ext Roman" w:cs="Times Ext Roman"/>
          <w:b/>
          <w:color w:val="FF0000"/>
          <w:sz w:val="20"/>
          <w:highlight w:val="yellow"/>
          <w:bdr w:val="single" w:sz="4" w:space="0" w:color="auto"/>
        </w:rPr>
        <w:t>、</w:t>
      </w:r>
      <w:r w:rsidRPr="006C4E94">
        <w:rPr>
          <w:rFonts w:ascii="Times Ext Roman" w:hAnsi="Times Ext Roman" w:cs="Times Ext Roman" w:hint="eastAsia"/>
          <w:b/>
          <w:color w:val="FF0000"/>
          <w:sz w:val="20"/>
          <w:highlight w:val="yellow"/>
          <w:bdr w:val="single" w:sz="4" w:space="0" w:color="auto"/>
        </w:rPr>
        <w:t>敘</w:t>
      </w:r>
      <w:r w:rsidR="002B682F" w:rsidRPr="006C4E94">
        <w:rPr>
          <w:rFonts w:ascii="Times Ext Roman" w:hAnsi="Times Ext Roman" w:cs="Times Ext Roman" w:hint="eastAsia"/>
          <w:b/>
          <w:color w:val="FF0000"/>
          <w:sz w:val="20"/>
          <w:highlight w:val="yellow"/>
          <w:bdr w:val="single" w:sz="4" w:space="0" w:color="auto"/>
        </w:rPr>
        <w:t>「</w:t>
      </w:r>
      <w:r w:rsidRPr="006C4E94">
        <w:rPr>
          <w:rFonts w:ascii="Times Ext Roman" w:hAnsi="Times Ext Roman" w:cs="Times Ext Roman" w:hint="eastAsia"/>
          <w:b/>
          <w:color w:val="FF0000"/>
          <w:sz w:val="20"/>
          <w:highlight w:val="yellow"/>
          <w:bdr w:val="single" w:sz="4" w:space="0" w:color="auto"/>
        </w:rPr>
        <w:t>外學之失</w:t>
      </w:r>
      <w:r w:rsidR="002B682F" w:rsidRPr="006C4E94">
        <w:rPr>
          <w:rFonts w:ascii="Times Ext Roman" w:hAnsi="Times Ext Roman" w:cs="Times Ext Roman" w:hint="eastAsia"/>
          <w:b/>
          <w:color w:val="FF0000"/>
          <w:sz w:val="20"/>
          <w:highlight w:val="yellow"/>
          <w:bdr w:val="single" w:sz="4" w:space="0" w:color="auto"/>
        </w:rPr>
        <w:t>」</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pp.51-52</w:t>
      </w:r>
      <w:r w:rsidR="002B682F" w:rsidRPr="00DA3BC7">
        <w:rPr>
          <w:rFonts w:ascii="Times Ext Roman" w:hAnsi="Times Ext Roman" w:cs="Times Ext Roman" w:hint="eastAsia"/>
          <w:sz w:val="20"/>
          <w:szCs w:val="20"/>
        </w:rPr>
        <w:t>）</w:t>
      </w:r>
    </w:p>
    <w:p w:rsidR="002B682F" w:rsidRPr="00DA3BC7" w:rsidRDefault="002B682F" w:rsidP="003B7900">
      <w:pPr>
        <w:ind w:leftChars="150" w:left="360"/>
        <w:jc w:val="both"/>
        <w:rPr>
          <w:rFonts w:ascii="Times Ext Roman" w:hAnsi="Times Ext Roman" w:cs="Times Ext Roman"/>
          <w:sz w:val="20"/>
          <w:bdr w:val="single" w:sz="4" w:space="0" w:color="auto"/>
        </w:rPr>
      </w:pPr>
      <w:r w:rsidRPr="006C4E94">
        <w:rPr>
          <w:rFonts w:ascii="Times Ext Roman" w:hAnsi="Times Ext Roman" w:cs="Times Ext Roman"/>
          <w:b/>
          <w:color w:val="FF0000"/>
          <w:sz w:val="20"/>
          <w:highlight w:val="yellow"/>
          <w:bdr w:val="single" w:sz="4" w:space="0" w:color="auto"/>
        </w:rPr>
        <w:t>（</w:t>
      </w:r>
      <w:r w:rsidR="006C4E94" w:rsidRPr="006C4E94">
        <w:rPr>
          <w:rFonts w:ascii="Times Ext Roman" w:hAnsi="Times Ext Roman" w:cs="Times Ext Roman" w:hint="eastAsia"/>
          <w:b/>
          <w:color w:val="FF0000"/>
          <w:sz w:val="20"/>
          <w:highlight w:val="yellow"/>
          <w:bdr w:val="single" w:sz="4" w:space="0" w:color="auto"/>
        </w:rPr>
        <w:t>一</w:t>
      </w:r>
      <w:r w:rsidRPr="006C4E94">
        <w:rPr>
          <w:rFonts w:ascii="Times Ext Roman" w:hAnsi="Times Ext Roman" w:cs="Times Ext Roman"/>
          <w:b/>
          <w:color w:val="FF0000"/>
          <w:sz w:val="20"/>
          <w:highlight w:val="yellow"/>
          <w:bdr w:val="single" w:sz="4" w:space="0" w:color="auto"/>
        </w:rPr>
        <w:t>）</w:t>
      </w:r>
      <w:r w:rsidR="006C4E94" w:rsidRPr="006C4E94">
        <w:rPr>
          <w:rFonts w:ascii="Times Ext Roman" w:hAnsi="Times Ext Roman" w:cs="Times Ext Roman" w:hint="eastAsia"/>
          <w:b/>
          <w:color w:val="FF0000"/>
          <w:sz w:val="20"/>
          <w:highlight w:val="yellow"/>
          <w:bdr w:val="single" w:sz="4" w:space="0" w:color="auto"/>
        </w:rPr>
        <w:t>彰示過非</w:t>
      </w:r>
      <w:r w:rsidRPr="00DA3BC7">
        <w:rPr>
          <w:rFonts w:ascii="Times Ext Roman" w:hAnsi="Times Ext Roman" w:cs="Times Ext Roman" w:hint="eastAsia"/>
          <w:sz w:val="20"/>
          <w:szCs w:val="20"/>
        </w:rPr>
        <w:t>（</w:t>
      </w:r>
      <w:r w:rsidRPr="00DA3BC7">
        <w:rPr>
          <w:rFonts w:ascii="Times New Roman" w:hAnsi="Times New Roman" w:hint="eastAsia"/>
          <w:sz w:val="20"/>
          <w:szCs w:val="20"/>
        </w:rPr>
        <w:t>p.51</w:t>
      </w:r>
      <w:r w:rsidRPr="00DA3BC7">
        <w:rPr>
          <w:rFonts w:ascii="Times Ext Roman" w:hAnsi="Times Ext Roman" w:cs="Times Ext Roman" w:hint="eastAsia"/>
          <w:sz w:val="20"/>
          <w:szCs w:val="20"/>
        </w:rPr>
        <w:t>）</w:t>
      </w:r>
    </w:p>
    <w:p w:rsidR="002B682F" w:rsidRPr="00DA3BC7" w:rsidRDefault="002B682F" w:rsidP="003B7900">
      <w:pPr>
        <w:ind w:leftChars="150" w:left="360"/>
        <w:jc w:val="both"/>
        <w:rPr>
          <w:rFonts w:ascii="Times New Roman" w:hAnsi="Times New Roman"/>
        </w:rPr>
      </w:pPr>
      <w:r w:rsidRPr="00DA3BC7">
        <w:rPr>
          <w:rFonts w:ascii="Times New Roman" w:hAnsi="Times New Roman" w:hint="eastAsia"/>
        </w:rPr>
        <w:t>因明等形式論理，是不能用以論證中觀深義的，不能用為通達究極真理的工具。這在唯識家，也未嘗</w:t>
      </w:r>
      <w:r w:rsidRPr="00DA3BC7">
        <w:rPr>
          <w:rFonts w:ascii="Times New Roman" w:hAnsi="Times New Roman"/>
          <w:vertAlign w:val="superscript"/>
        </w:rPr>
        <w:footnoteReference w:id="282"/>
      </w:r>
      <w:r w:rsidRPr="00DA3BC7">
        <w:rPr>
          <w:rFonts w:ascii="Times New Roman" w:hAnsi="Times New Roman" w:hint="eastAsia"/>
        </w:rPr>
        <w:t>不知「</w:t>
      </w:r>
      <w:r w:rsidRPr="00DA3BC7">
        <w:rPr>
          <w:rFonts w:ascii="標楷體" w:eastAsia="標楷體" w:hAnsi="標楷體" w:hint="eastAsia"/>
        </w:rPr>
        <w:t>真如無同喻</w:t>
      </w:r>
      <w:r w:rsidRPr="00DA3BC7">
        <w:rPr>
          <w:rFonts w:ascii="Times New Roman" w:hAnsi="Times New Roman" w:hint="eastAsia"/>
        </w:rPr>
        <w:t>」</w:t>
      </w:r>
      <w:r w:rsidR="00B47F0F" w:rsidRPr="00DA3BC7">
        <w:rPr>
          <w:rFonts w:ascii="Times New Roman" w:hAnsi="Times New Roman"/>
          <w:vertAlign w:val="superscript"/>
        </w:rPr>
        <w:footnoteReference w:id="283"/>
      </w:r>
      <w:r w:rsidRPr="00DA3BC7">
        <w:rPr>
          <w:rFonts w:ascii="Times New Roman" w:hAnsi="Times New Roman" w:hint="eastAsia"/>
        </w:rPr>
        <w:t>。</w:t>
      </w:r>
      <w:r w:rsidR="00B47F0F" w:rsidRPr="00DA3BC7">
        <w:rPr>
          <w:rFonts w:ascii="Times New Roman" w:hAnsi="Times New Roman"/>
          <w:vertAlign w:val="superscript"/>
        </w:rPr>
        <w:footnoteReference w:id="284"/>
      </w:r>
      <w:r w:rsidRPr="00DA3BC7">
        <w:rPr>
          <w:rFonts w:ascii="Times New Roman" w:hAnsi="Times New Roman" w:hint="eastAsia"/>
        </w:rPr>
        <w:t>如《楞伽》等經，都對五支論法有所批評。</w:t>
      </w:r>
      <w:r w:rsidRPr="00DA3BC7">
        <w:rPr>
          <w:rFonts w:ascii="Times New Roman" w:hAnsi="Times New Roman"/>
          <w:vertAlign w:val="superscript"/>
        </w:rPr>
        <w:footnoteReference w:id="285"/>
      </w:r>
    </w:p>
    <w:p w:rsidR="002B682F" w:rsidRPr="00DA3BC7" w:rsidRDefault="002B682F" w:rsidP="00AE3920">
      <w:pPr>
        <w:spacing w:beforeLines="20"/>
        <w:ind w:leftChars="150" w:left="360"/>
        <w:jc w:val="both"/>
        <w:rPr>
          <w:rFonts w:ascii="Times New Roman" w:hAnsi="Times New Roman"/>
        </w:rPr>
      </w:pPr>
      <w:r w:rsidRPr="00DA3BC7">
        <w:rPr>
          <w:rFonts w:ascii="Times New Roman" w:hAnsi="Times New Roman" w:hint="eastAsia"/>
        </w:rPr>
        <w:t>但這是說它不能把握究極的真理，在相對的世俗真實上，依舊是有其作用的。這如依地球為中心以觀測天象，有它範圍內的正確性，若依之擴大觀察，它的正確性就漸漸消失了，不能不加以修正。</w:t>
      </w:r>
      <w:r w:rsidRPr="00DA3BC7">
        <w:rPr>
          <w:rFonts w:ascii="Times New Roman" w:hAnsi="Times New Roman" w:hint="eastAsia"/>
          <w:b/>
        </w:rPr>
        <w:t>用因明等論理來成立世俗的事象，而不能用來探求究竟真理</w:t>
      </w:r>
      <w:r w:rsidRPr="00DA3BC7">
        <w:rPr>
          <w:rFonts w:ascii="Times New Roman" w:hAnsi="Times New Roman" w:hint="eastAsia"/>
        </w:rPr>
        <w:t>，也如此。</w:t>
      </w:r>
    </w:p>
    <w:p w:rsidR="002B682F" w:rsidRPr="00DA3BC7" w:rsidRDefault="002B682F" w:rsidP="00AE3920">
      <w:pPr>
        <w:spacing w:beforeLines="30"/>
        <w:ind w:leftChars="150" w:left="360"/>
        <w:jc w:val="both"/>
        <w:rPr>
          <w:rFonts w:ascii="Times Ext Roman" w:hAnsi="Times Ext Roman" w:cs="Times Ext Roman"/>
          <w:sz w:val="20"/>
          <w:bdr w:val="single" w:sz="4" w:space="0" w:color="auto"/>
        </w:rPr>
      </w:pPr>
      <w:r w:rsidRPr="006C4E94">
        <w:rPr>
          <w:rFonts w:ascii="Times Ext Roman" w:hAnsi="Times Ext Roman" w:cs="Times Ext Roman"/>
          <w:b/>
          <w:color w:val="FF0000"/>
          <w:sz w:val="20"/>
          <w:highlight w:val="yellow"/>
          <w:bdr w:val="single" w:sz="4" w:space="0" w:color="auto"/>
        </w:rPr>
        <w:t>（</w:t>
      </w:r>
      <w:r w:rsidR="006C4E94" w:rsidRPr="006C4E94">
        <w:rPr>
          <w:rFonts w:ascii="Times Ext Roman" w:hAnsi="Times Ext Roman" w:cs="Times Ext Roman" w:hint="eastAsia"/>
          <w:b/>
          <w:color w:val="FF0000"/>
          <w:sz w:val="20"/>
          <w:highlight w:val="yellow"/>
          <w:bdr w:val="single" w:sz="4" w:space="0" w:color="auto"/>
        </w:rPr>
        <w:t>二</w:t>
      </w:r>
      <w:r w:rsidRPr="006C4E94">
        <w:rPr>
          <w:rFonts w:ascii="Times Ext Roman" w:hAnsi="Times Ext Roman" w:cs="Times Ext Roman"/>
          <w:b/>
          <w:color w:val="FF0000"/>
          <w:sz w:val="20"/>
          <w:highlight w:val="yellow"/>
          <w:bdr w:val="single" w:sz="4" w:space="0" w:color="auto"/>
        </w:rPr>
        <w:t>）</w:t>
      </w:r>
      <w:r w:rsidR="006C4E94" w:rsidRPr="006C4E94">
        <w:rPr>
          <w:rFonts w:ascii="Times Ext Roman" w:hAnsi="Times Ext Roman" w:cs="Times Ext Roman" w:hint="eastAsia"/>
          <w:b/>
          <w:color w:val="FF0000"/>
          <w:sz w:val="20"/>
          <w:highlight w:val="yellow"/>
          <w:bdr w:val="single" w:sz="4" w:space="0" w:color="auto"/>
        </w:rPr>
        <w:t>舉文證義</w:t>
      </w:r>
      <w:r w:rsidRPr="00DA3BC7">
        <w:rPr>
          <w:rFonts w:ascii="Times Ext Roman" w:hAnsi="Times Ext Roman" w:cs="Times Ext Roman" w:hint="eastAsia"/>
          <w:sz w:val="20"/>
          <w:szCs w:val="20"/>
        </w:rPr>
        <w:t>（</w:t>
      </w:r>
      <w:r w:rsidRPr="00DA3BC7">
        <w:rPr>
          <w:rFonts w:ascii="Times New Roman" w:hAnsi="Times New Roman" w:hint="eastAsia"/>
          <w:sz w:val="20"/>
          <w:szCs w:val="20"/>
        </w:rPr>
        <w:t>pp.51-52</w:t>
      </w:r>
      <w:r w:rsidRPr="00DA3BC7">
        <w:rPr>
          <w:rFonts w:ascii="Times Ext Roman" w:hAnsi="Times Ext Roman" w:cs="Times Ext Roman" w:hint="eastAsia"/>
          <w:sz w:val="20"/>
          <w:szCs w:val="20"/>
        </w:rPr>
        <w:t>）</w:t>
      </w:r>
    </w:p>
    <w:p w:rsidR="002B682F" w:rsidRPr="00DA3BC7" w:rsidRDefault="002B682F" w:rsidP="003B7900">
      <w:pPr>
        <w:ind w:leftChars="150" w:left="360"/>
        <w:jc w:val="both"/>
        <w:rPr>
          <w:rFonts w:ascii="Times New Roman" w:hAnsi="Times New Roman"/>
        </w:rPr>
      </w:pPr>
      <w:r w:rsidRPr="00DA3BC7">
        <w:rPr>
          <w:rFonts w:ascii="Times New Roman" w:hAnsi="Times New Roman" w:hint="eastAsia"/>
        </w:rPr>
        <w:t>不能依於即空的緣起法的論理法，不能用以論究真理，不能破邪顯正，《中論》</w:t>
      </w:r>
      <w:r w:rsidR="0033704C">
        <w:rPr>
          <w:rFonts w:ascii="Times New Roman" w:hAnsi="Times New Roman" w:hint="eastAsia"/>
        </w:rPr>
        <w:t>〈</w:t>
      </w:r>
      <w:r w:rsidR="003B754E" w:rsidRPr="003B754E">
        <w:rPr>
          <w:rFonts w:ascii="Times New Roman" w:hAnsi="Times New Roman" w:hint="eastAsia"/>
          <w:shd w:val="pct15" w:color="auto" w:fill="FFFFFF"/>
        </w:rPr>
        <w:t>4</w:t>
      </w:r>
      <w:r w:rsidR="003B754E">
        <w:rPr>
          <w:rFonts w:ascii="Times New Roman" w:hAnsi="Times New Roman" w:hint="eastAsia"/>
        </w:rPr>
        <w:t xml:space="preserve"> </w:t>
      </w:r>
      <w:r w:rsidR="0033704C" w:rsidRPr="00DA3BC7">
        <w:rPr>
          <w:rFonts w:ascii="Times New Roman" w:hAnsi="Times New Roman" w:hint="eastAsia"/>
        </w:rPr>
        <w:t>觀五陰品</w:t>
      </w:r>
      <w:r w:rsidR="0033704C">
        <w:rPr>
          <w:rFonts w:ascii="Times New Roman" w:hAnsi="Times New Roman" w:hint="eastAsia"/>
        </w:rPr>
        <w:t>〉</w:t>
      </w:r>
      <w:r w:rsidRPr="00DA3BC7">
        <w:rPr>
          <w:rFonts w:ascii="Times New Roman" w:hAnsi="Times New Roman" w:hint="eastAsia"/>
        </w:rPr>
        <w:t>即早已說過：「</w:t>
      </w:r>
      <w:r w:rsidRPr="00DA3BC7">
        <w:rPr>
          <w:rFonts w:ascii="標楷體" w:eastAsia="標楷體" w:hAnsi="標楷體" w:hint="eastAsia"/>
        </w:rPr>
        <w:t>若人有問者，離空而欲答；是則不成答，俱同於彼疑。若人有難問，離空說其過；是不成難問，俱同於彼疑</w:t>
      </w:r>
      <w:r w:rsidRPr="00DA3BC7">
        <w:rPr>
          <w:rFonts w:hint="eastAsia"/>
        </w:rPr>
        <w:t>。</w:t>
      </w:r>
      <w:r w:rsidRPr="00DA3BC7">
        <w:rPr>
          <w:rFonts w:ascii="Times New Roman" w:hAnsi="Times New Roman" w:hint="eastAsia"/>
        </w:rPr>
        <w:t>」</w:t>
      </w:r>
      <w:r w:rsidRPr="00DA3BC7">
        <w:rPr>
          <w:rFonts w:ascii="Times New Roman" w:hAnsi="Times New Roman"/>
          <w:vertAlign w:val="superscript"/>
        </w:rPr>
        <w:footnoteReference w:id="286"/>
      </w:r>
      <w:r w:rsidRPr="00DA3BC7">
        <w:rPr>
          <w:rFonts w:ascii="Times New Roman" w:hAnsi="Times New Roman" w:hint="eastAsia"/>
        </w:rPr>
        <w:lastRenderedPageBreak/>
        <w:t>離了法性本空，即不能理解無性的緣起，這在答覆他宗和難破他宗時，即不能成為正確的答覆和真正的破除。</w:t>
      </w:r>
    </w:p>
    <w:p w:rsidR="002B682F" w:rsidRPr="00DA3BC7" w:rsidRDefault="002B682F" w:rsidP="00AE3920">
      <w:pPr>
        <w:spacing w:beforeLines="20"/>
        <w:ind w:leftChars="150" w:left="360"/>
        <w:jc w:val="both"/>
        <w:rPr>
          <w:rFonts w:ascii="Times New Roman" w:hAnsi="Times New Roman"/>
        </w:rPr>
      </w:pPr>
      <w:r w:rsidRPr="00DA3BC7">
        <w:rPr>
          <w:rFonts w:ascii="Times New Roman" w:hAnsi="Times New Roman" w:hint="eastAsia"/>
        </w:rPr>
        <w:t>怎樣成立自己，他人也照樣的可以成立他；用某種方法去破斥他人，他人也可以使用此同一理由來反問自己，也就無法成立了。</w:t>
      </w:r>
    </w:p>
    <w:p w:rsidR="002B682F" w:rsidRPr="00DA3BC7" w:rsidRDefault="002B682F" w:rsidP="00AE3920">
      <w:pPr>
        <w:spacing w:beforeLines="20"/>
        <w:ind w:leftChars="150" w:left="360"/>
        <w:jc w:val="both"/>
        <w:rPr>
          <w:rFonts w:ascii="Times New Roman" w:hAnsi="Times New Roman"/>
        </w:rPr>
      </w:pPr>
      <w:r w:rsidRPr="00DA3BC7">
        <w:rPr>
          <w:rFonts w:ascii="Times New Roman" w:hAnsi="Times New Roman" w:hint="eastAsia"/>
        </w:rPr>
        <w:t>同一的認識以及大致共同的方法，是會遭遇同一命運的。如佛弟子用無常去破斥外道的常，外道也可以用常來破斥你的無常。你若以理由來成立無常，外道也可以理由來成立他的常，究竟誰是真理？因明中的「相違決定」</w:t>
      </w:r>
      <w:r w:rsidRPr="00DA3BC7">
        <w:rPr>
          <w:rFonts w:ascii="Times New Roman" w:hAnsi="Times New Roman"/>
          <w:vertAlign w:val="superscript"/>
        </w:rPr>
        <w:footnoteReference w:id="287"/>
      </w:r>
      <w:r w:rsidRPr="00DA3BC7">
        <w:rPr>
          <w:rFonts w:ascii="Times New Roman" w:hAnsi="Times New Roman" w:hint="eastAsia"/>
        </w:rPr>
        <w:t>，康德的</w:t>
      </w:r>
      <w:r w:rsidRPr="00DA3BC7">
        <w:rPr>
          <w:rFonts w:ascii="新細明體" w:hAnsi="新細明體" w:hint="eastAsia"/>
        </w:rPr>
        <w:t>「</w:t>
      </w:r>
      <w:r w:rsidRPr="00DA3BC7">
        <w:rPr>
          <w:rFonts w:hint="eastAsia"/>
        </w:rPr>
        <w:t>二律背反</w:t>
      </w:r>
      <w:r w:rsidRPr="00DA3BC7">
        <w:rPr>
          <w:rFonts w:ascii="新細明體" w:hAnsi="新細明體" w:hint="eastAsia"/>
        </w:rPr>
        <w:t>」</w:t>
      </w:r>
      <w:r w:rsidRPr="00DA3BC7">
        <w:rPr>
          <w:rFonts w:ascii="Times New Roman" w:hAnsi="Times New Roman"/>
          <w:bCs/>
          <w:vertAlign w:val="superscript"/>
        </w:rPr>
        <w:footnoteReference w:id="288"/>
      </w:r>
      <w:r w:rsidRPr="00DA3BC7">
        <w:rPr>
          <w:rFonts w:ascii="Times New Roman" w:hAnsi="Times New Roman" w:hint="eastAsia"/>
        </w:rPr>
        <w:t>，完全暴露了此一論理的缺點。</w:t>
      </w:r>
    </w:p>
    <w:p w:rsidR="002B682F" w:rsidRPr="00DA3BC7" w:rsidRDefault="006C4E94" w:rsidP="00AE3920">
      <w:pPr>
        <w:spacing w:beforeLines="30"/>
        <w:ind w:leftChars="100" w:left="240"/>
        <w:jc w:val="both"/>
        <w:rPr>
          <w:rFonts w:ascii="Times New Roman" w:hAnsi="Times New Roman"/>
        </w:rPr>
      </w:pPr>
      <w:r w:rsidRPr="006C4E94">
        <w:rPr>
          <w:rFonts w:ascii="Times Ext Roman" w:hAnsi="Times Ext Roman" w:cs="Times Ext Roman" w:hint="eastAsia"/>
          <w:b/>
          <w:color w:val="FF0000"/>
          <w:sz w:val="20"/>
          <w:highlight w:val="yellow"/>
          <w:bdr w:val="single" w:sz="4" w:space="0" w:color="auto"/>
        </w:rPr>
        <w:lastRenderedPageBreak/>
        <w:t>二</w:t>
      </w:r>
      <w:r w:rsidR="002B682F" w:rsidRPr="006C4E94">
        <w:rPr>
          <w:rFonts w:ascii="Times Ext Roman" w:hAnsi="Times Ext Roman" w:cs="Times Ext Roman" w:hint="eastAsia"/>
          <w:b/>
          <w:color w:val="FF0000"/>
          <w:sz w:val="20"/>
          <w:highlight w:val="yellow"/>
          <w:bdr w:val="single" w:sz="4" w:space="0" w:color="auto"/>
        </w:rPr>
        <w:t>、</w:t>
      </w:r>
      <w:r w:rsidRPr="006C4E94">
        <w:rPr>
          <w:rFonts w:ascii="Times Ext Roman" w:hAnsi="Times Ext Roman" w:cs="Times Ext Roman" w:hint="eastAsia"/>
          <w:b/>
          <w:color w:val="FF0000"/>
          <w:sz w:val="20"/>
          <w:highlight w:val="yellow"/>
          <w:bdr w:val="single" w:sz="4" w:space="0" w:color="auto"/>
        </w:rPr>
        <w:t>表「中觀之</w:t>
      </w:r>
      <w:r>
        <w:rPr>
          <w:rFonts w:ascii="Times Ext Roman" w:hAnsi="Times Ext Roman" w:cs="Times Ext Roman" w:hint="eastAsia"/>
          <w:b/>
          <w:color w:val="FF0000"/>
          <w:sz w:val="20"/>
          <w:highlight w:val="yellow"/>
          <w:bdr w:val="single" w:sz="4" w:space="0" w:color="auto"/>
        </w:rPr>
        <w:t>真</w:t>
      </w:r>
      <w:r w:rsidRPr="006C4E94">
        <w:rPr>
          <w:rFonts w:ascii="Times Ext Roman" w:hAnsi="Times Ext Roman" w:cs="Times Ext Roman" w:hint="eastAsia"/>
          <w:b/>
          <w:color w:val="FF0000"/>
          <w:sz w:val="20"/>
          <w:highlight w:val="yellow"/>
          <w:bdr w:val="single" w:sz="4" w:space="0" w:color="auto"/>
        </w:rPr>
        <w:t>」</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p.52</w:t>
      </w:r>
      <w:r w:rsidR="002B682F" w:rsidRPr="00DA3BC7">
        <w:rPr>
          <w:rFonts w:ascii="Times Ext Roman" w:hAnsi="Times Ext Roman" w:cs="Times Ext Roman" w:hint="eastAsia"/>
          <w:sz w:val="20"/>
          <w:szCs w:val="20"/>
        </w:rPr>
        <w:t>）</w:t>
      </w:r>
    </w:p>
    <w:p w:rsidR="002B682F" w:rsidRPr="00DA3BC7" w:rsidRDefault="002B682F" w:rsidP="003B7900">
      <w:pPr>
        <w:ind w:leftChars="100" w:left="240"/>
        <w:jc w:val="both"/>
        <w:sectPr w:rsidR="002B682F" w:rsidRPr="00DA3BC7" w:rsidSect="009914C0">
          <w:headerReference w:type="default" r:id="rId37"/>
          <w:footnotePr>
            <w:numRestart w:val="eachSect"/>
          </w:footnotePr>
          <w:pgSz w:w="10773" w:h="14742" w:code="9"/>
          <w:pgMar w:top="1418" w:right="1418" w:bottom="1418" w:left="1418" w:header="851" w:footer="992" w:gutter="0"/>
          <w:cols w:space="425"/>
          <w:docGrid w:type="lines" w:linePitch="360"/>
        </w:sectPr>
      </w:pPr>
      <w:r w:rsidRPr="00DA3BC7">
        <w:rPr>
          <w:rFonts w:ascii="Times New Roman" w:hAnsi="Times New Roman" w:hint="eastAsia"/>
        </w:rPr>
        <w:t>所以，唯有能了達諸法是即空的緣起，本著諸法本性空寂的見地，展開緣起的論法，這纔能徹底難破</w:t>
      </w:r>
      <w:r w:rsidRPr="00DA3BC7">
        <w:rPr>
          <w:rFonts w:ascii="新細明體" w:hAnsi="新細明體" w:hint="eastAsia"/>
        </w:rPr>
        <w:t>、</w:t>
      </w:r>
      <w:r w:rsidRPr="00DA3BC7">
        <w:rPr>
          <w:rFonts w:ascii="Times New Roman" w:hAnsi="Times New Roman" w:hint="eastAsia"/>
        </w:rPr>
        <w:t>徹底的答覆別人；纔能真正破除他人的錯誤，真正的顯示真理。所以說：「</w:t>
      </w:r>
      <w:r w:rsidRPr="00DA3BC7">
        <w:rPr>
          <w:rFonts w:ascii="標楷體" w:eastAsia="標楷體" w:hAnsi="標楷體" w:hint="eastAsia"/>
        </w:rPr>
        <w:t>以有空義故，一切法得成</w:t>
      </w:r>
      <w:r w:rsidRPr="00DA3BC7">
        <w:rPr>
          <w:rFonts w:hint="eastAsia"/>
        </w:rPr>
        <w:t>。</w:t>
      </w:r>
      <w:r w:rsidRPr="00DA3BC7">
        <w:rPr>
          <w:rFonts w:ascii="Times New Roman" w:hAnsi="Times New Roman" w:hint="eastAsia"/>
        </w:rPr>
        <w:t>」</w:t>
      </w:r>
      <w:r w:rsidRPr="00DA3BC7">
        <w:rPr>
          <w:rFonts w:ascii="Times New Roman" w:hAnsi="Times New Roman"/>
          <w:vertAlign w:val="superscript"/>
        </w:rPr>
        <w:footnoteReference w:id="289"/>
      </w:r>
      <w:r w:rsidRPr="00DA3BC7">
        <w:rPr>
          <w:rFonts w:ascii="Times New Roman" w:hAnsi="Times New Roman" w:hint="eastAsia"/>
        </w:rPr>
        <w:t>所以</w:t>
      </w:r>
      <w:r w:rsidRPr="00DA3BC7">
        <w:rPr>
          <w:rFonts w:ascii="Times New Roman" w:hAnsi="Times New Roman" w:hint="eastAsia"/>
          <w:b/>
        </w:rPr>
        <w:t>在方法論的立場，通達中道實相，非依於即空的緣起法不可</w:t>
      </w:r>
      <w:r w:rsidRPr="00DA3BC7">
        <w:rPr>
          <w:rFonts w:hint="eastAsia"/>
        </w:rPr>
        <w:t>。</w:t>
      </w:r>
    </w:p>
    <w:p w:rsidR="002B682F" w:rsidRPr="00DA3BC7" w:rsidRDefault="002B682F" w:rsidP="008E2BBC">
      <w:pPr>
        <w:pStyle w:val="1"/>
      </w:pPr>
      <w:bookmarkStart w:id="72" w:name="_Toc405287346"/>
      <w:bookmarkStart w:id="73" w:name="_Toc405287818"/>
      <w:bookmarkStart w:id="74" w:name="_Toc405499761"/>
      <w:r w:rsidRPr="00DA3BC7">
        <w:rPr>
          <w:rFonts w:hint="eastAsia"/>
        </w:rPr>
        <w:lastRenderedPageBreak/>
        <w:t>第四章</w:t>
      </w:r>
      <w:r w:rsidRPr="00DA3BC7">
        <w:t>、</w:t>
      </w:r>
      <w:r w:rsidRPr="00DA3BC7">
        <w:rPr>
          <w:rFonts w:hint="eastAsia"/>
        </w:rPr>
        <w:t>中道之方法論</w:t>
      </w:r>
      <w:bookmarkEnd w:id="72"/>
      <w:bookmarkEnd w:id="73"/>
      <w:bookmarkEnd w:id="74"/>
    </w:p>
    <w:p w:rsidR="002B682F" w:rsidRPr="00DA3BC7" w:rsidRDefault="002B682F" w:rsidP="008E2BBC">
      <w:pPr>
        <w:pStyle w:val="2"/>
      </w:pPr>
      <w:bookmarkStart w:id="75" w:name="_Toc405499762"/>
      <w:r w:rsidRPr="00DA3BC7">
        <w:rPr>
          <w:rFonts w:hint="eastAsia"/>
        </w:rPr>
        <w:t>第三節</w:t>
      </w:r>
      <w:r w:rsidRPr="00DA3BC7">
        <w:t>、</w:t>
      </w:r>
      <w:r w:rsidRPr="00DA3BC7">
        <w:rPr>
          <w:rFonts w:hint="eastAsia"/>
        </w:rPr>
        <w:t>聞量、比量、現量</w:t>
      </w:r>
      <w:bookmarkEnd w:id="75"/>
    </w:p>
    <w:p w:rsidR="002B682F" w:rsidRPr="00DA3BC7" w:rsidRDefault="002B682F" w:rsidP="008E2BBC">
      <w:pPr>
        <w:jc w:val="center"/>
        <w:rPr>
          <w:rFonts w:ascii="Times New Roman" w:eastAsia="標楷體" w:hAnsi="Times New Roman"/>
        </w:rPr>
      </w:pPr>
      <w:r w:rsidRPr="00DA3BC7">
        <w:rPr>
          <w:rFonts w:ascii="Times New Roman" w:eastAsia="標楷體" w:hAnsi="Times New Roman" w:hint="eastAsia"/>
        </w:rPr>
        <w:t>（</w:t>
      </w:r>
      <w:r w:rsidRPr="00DA3BC7">
        <w:rPr>
          <w:rFonts w:ascii="Times New Roman" w:eastAsia="標楷體" w:hAnsi="Times New Roman"/>
        </w:rPr>
        <w:t>pp.52-57</w:t>
      </w:r>
      <w:r w:rsidRPr="00DA3BC7">
        <w:rPr>
          <w:rFonts w:ascii="Times New Roman" w:eastAsia="標楷體" w:hAnsi="Times New Roman" w:hint="eastAsia"/>
        </w:rPr>
        <w:t>）</w:t>
      </w:r>
    </w:p>
    <w:p w:rsidR="002B682F" w:rsidRPr="00DA3BC7" w:rsidRDefault="002B682F" w:rsidP="008E2BBC">
      <w:pPr>
        <w:pStyle w:val="Author"/>
      </w:pPr>
    </w:p>
    <w:p w:rsidR="002B682F" w:rsidRPr="00DA3BC7" w:rsidRDefault="002B682F" w:rsidP="00AE3920">
      <w:pPr>
        <w:spacing w:beforeLines="50"/>
        <w:jc w:val="both"/>
        <w:rPr>
          <w:rFonts w:ascii="Times New Roman" w:hAnsi="Times New Roman"/>
          <w:b/>
          <w:sz w:val="20"/>
          <w:szCs w:val="20"/>
        </w:rPr>
      </w:pPr>
      <w:r w:rsidRPr="00DA3BC7">
        <w:rPr>
          <w:rFonts w:ascii="Times New Roman" w:hAnsi="Times New Roman" w:hint="eastAsia"/>
          <w:b/>
          <w:sz w:val="20"/>
          <w:szCs w:val="20"/>
          <w:bdr w:val="single" w:sz="4" w:space="0" w:color="auto"/>
        </w:rPr>
        <w:t>壹、</w:t>
      </w:r>
      <w:r w:rsidR="00411C14">
        <w:rPr>
          <w:rFonts w:ascii="Times New Roman" w:hAnsi="Times New Roman" w:cs="Times Ext Roman" w:hint="eastAsia"/>
          <w:b/>
          <w:color w:val="FF0000"/>
          <w:sz w:val="20"/>
          <w:highlight w:val="yellow"/>
          <w:bdr w:val="single" w:sz="4" w:space="0" w:color="auto"/>
        </w:rPr>
        <w:t>導</w:t>
      </w:r>
      <w:r w:rsidR="006C4E94">
        <w:rPr>
          <w:rFonts w:ascii="Times New Roman" w:hAnsi="Times New Roman" w:cs="Times Ext Roman" w:hint="eastAsia"/>
          <w:b/>
          <w:color w:val="FF0000"/>
          <w:sz w:val="20"/>
          <w:highlight w:val="yellow"/>
          <w:bdr w:val="single" w:sz="4" w:space="0" w:color="auto"/>
        </w:rPr>
        <w:t>言</w:t>
      </w:r>
      <w:r w:rsidRPr="00DA3BC7">
        <w:rPr>
          <w:rFonts w:ascii="Times New Roman" w:hAnsi="Times New Roman" w:hint="eastAsia"/>
          <w:sz w:val="20"/>
          <w:szCs w:val="20"/>
        </w:rPr>
        <w:t>（</w:t>
      </w:r>
      <w:r w:rsidRPr="00DA3BC7">
        <w:rPr>
          <w:rFonts w:ascii="Times New Roman" w:eastAsia="標楷體" w:hAnsi="Times New Roman"/>
          <w:sz w:val="20"/>
          <w:szCs w:val="20"/>
        </w:rPr>
        <w:t>pp.52-</w:t>
      </w:r>
      <w:r w:rsidRPr="00DA3BC7">
        <w:rPr>
          <w:rFonts w:ascii="Times New Roman" w:hAnsi="Times New Roman"/>
          <w:sz w:val="20"/>
          <w:szCs w:val="20"/>
        </w:rPr>
        <w:t>53</w:t>
      </w:r>
      <w:r w:rsidRPr="00DA3BC7">
        <w:rPr>
          <w:rFonts w:ascii="Times New Roman" w:hAnsi="Times New Roman" w:hint="eastAsia"/>
          <w:sz w:val="20"/>
          <w:szCs w:val="20"/>
        </w:rPr>
        <w:t>）</w:t>
      </w:r>
    </w:p>
    <w:p w:rsidR="002B682F" w:rsidRPr="00DA3BC7" w:rsidRDefault="002B682F" w:rsidP="008E2BBC">
      <w:pPr>
        <w:jc w:val="both"/>
        <w:rPr>
          <w:rFonts w:ascii="Times New Roman" w:hAnsi="Times New Roman"/>
        </w:rPr>
      </w:pPr>
      <w:r w:rsidRPr="00DA3BC7">
        <w:rPr>
          <w:rFonts w:ascii="Times New Roman" w:hAnsi="Times New Roman" w:hint="eastAsia"/>
        </w:rPr>
        <w:t>上來說中道是諸法的如實相，是無作無為本來空寂的，離文字相、離心緣相的。</w:t>
      </w:r>
      <w:r w:rsidRPr="00DA3BC7">
        <w:rPr>
          <w:rStyle w:val="a6"/>
          <w:rFonts w:ascii="Times New Roman" w:hAnsi="Times New Roman"/>
        </w:rPr>
        <w:footnoteReference w:id="290"/>
      </w:r>
    </w:p>
    <w:p w:rsidR="002B682F" w:rsidRPr="00DA3BC7" w:rsidRDefault="002B682F" w:rsidP="00AE3920">
      <w:pPr>
        <w:spacing w:beforeLines="20"/>
        <w:jc w:val="both"/>
        <w:rPr>
          <w:rFonts w:ascii="Times New Roman" w:hAnsi="Times New Roman"/>
        </w:rPr>
      </w:pPr>
      <w:r w:rsidRPr="00DA3BC7">
        <w:rPr>
          <w:rFonts w:ascii="Times New Roman" w:hAnsi="Times New Roman" w:hint="eastAsia"/>
        </w:rPr>
        <w:t>這離一切能所相待，唯證方知的中道實相，如何可以文字去</w:t>
      </w:r>
      <w:r w:rsidRPr="00DA3BC7">
        <w:rPr>
          <w:rFonts w:ascii="Times New Roman" w:hAnsi="Times New Roman" w:hint="eastAsia"/>
          <w:b/>
        </w:rPr>
        <w:t>論證</w:t>
      </w:r>
      <w:r w:rsidRPr="00DA3BC7">
        <w:rPr>
          <w:rFonts w:ascii="Times New Roman" w:hAnsi="Times New Roman" w:hint="eastAsia"/>
        </w:rPr>
        <w:t>，以觀慧去</w:t>
      </w:r>
      <w:r w:rsidRPr="00DA3BC7">
        <w:rPr>
          <w:rFonts w:ascii="Times New Roman" w:hAnsi="Times New Roman" w:hint="eastAsia"/>
          <w:b/>
        </w:rPr>
        <w:t>觀察</w:t>
      </w:r>
      <w:r w:rsidRPr="00DA3BC7">
        <w:rPr>
          <w:rFonts w:ascii="Times New Roman" w:hAnsi="Times New Roman" w:hint="eastAsia"/>
        </w:rPr>
        <w:t>呢？</w:t>
      </w:r>
    </w:p>
    <w:p w:rsidR="002B682F" w:rsidRPr="00DA3BC7" w:rsidRDefault="002B682F" w:rsidP="008E2BBC">
      <w:pPr>
        <w:jc w:val="both"/>
        <w:rPr>
          <w:rFonts w:ascii="Times New Roman" w:hAnsi="Times New Roman"/>
        </w:rPr>
      </w:pPr>
      <w:r w:rsidRPr="00DA3BC7">
        <w:rPr>
          <w:rFonts w:ascii="Times New Roman" w:hAnsi="Times New Roman" w:hint="eastAsia"/>
        </w:rPr>
        <w:t>因明的方法論，不能探究深理；中觀的方法論，又焉能觀得到真理？</w:t>
      </w:r>
    </w:p>
    <w:p w:rsidR="002B682F" w:rsidRPr="00DA3BC7" w:rsidRDefault="002B682F" w:rsidP="00AE3920">
      <w:pPr>
        <w:spacing w:beforeLines="20"/>
        <w:jc w:val="both"/>
        <w:rPr>
          <w:rFonts w:ascii="Times New Roman" w:hAnsi="Times New Roman"/>
        </w:rPr>
      </w:pPr>
      <w:r w:rsidRPr="00DA3BC7">
        <w:rPr>
          <w:rFonts w:ascii="Times New Roman" w:hAnsi="Times New Roman" w:hint="eastAsia"/>
        </w:rPr>
        <w:t>依</w:t>
      </w:r>
      <w:r w:rsidRPr="00DA3BC7">
        <w:rPr>
          <w:rFonts w:ascii="Times New Roman" w:hAnsi="Times New Roman" w:hint="eastAsia"/>
          <w:b/>
        </w:rPr>
        <w:t>語言文字</w:t>
      </w:r>
      <w:r w:rsidRPr="00DA3BC7">
        <w:rPr>
          <w:rFonts w:ascii="Times New Roman" w:hAnsi="Times New Roman" w:hint="eastAsia"/>
        </w:rPr>
        <w:t>及</w:t>
      </w:r>
      <w:r w:rsidRPr="00DA3BC7">
        <w:rPr>
          <w:rFonts w:ascii="Times New Roman" w:hAnsi="Times New Roman" w:hint="eastAsia"/>
          <w:b/>
        </w:rPr>
        <w:t>觀慧</w:t>
      </w:r>
      <w:r w:rsidRPr="00DA3BC7">
        <w:rPr>
          <w:rFonts w:ascii="Times New Roman" w:hAnsi="Times New Roman" w:hint="eastAsia"/>
        </w:rPr>
        <w:t>去觀察離言的</w:t>
      </w:r>
      <w:r w:rsidRPr="00DA3BC7">
        <w:rPr>
          <w:rFonts w:ascii="Times New Roman" w:hAnsi="Times New Roman" w:hint="eastAsia"/>
          <w:b/>
        </w:rPr>
        <w:t>實相</w:t>
      </w:r>
      <w:r w:rsidRPr="00DA3BC7">
        <w:rPr>
          <w:rFonts w:ascii="Times New Roman" w:hAnsi="Times New Roman" w:hint="eastAsia"/>
        </w:rPr>
        <w:t>，這是極重要的問題。</w:t>
      </w:r>
    </w:p>
    <w:p w:rsidR="002B682F" w:rsidRPr="00DA3BC7" w:rsidRDefault="002B682F" w:rsidP="008E2BBC">
      <w:pPr>
        <w:jc w:val="both"/>
        <w:rPr>
          <w:rFonts w:ascii="Times New Roman" w:hAnsi="Times New Roman"/>
        </w:rPr>
      </w:pPr>
      <w:r w:rsidRPr="00DA3BC7">
        <w:rPr>
          <w:rFonts w:ascii="Times New Roman" w:hAnsi="Times New Roman" w:hint="eastAsia"/>
        </w:rPr>
        <w:t>現在，就以現量</w:t>
      </w:r>
      <w:r w:rsidRPr="00DA3BC7">
        <w:rPr>
          <w:rStyle w:val="a6"/>
          <w:rFonts w:ascii="Times New Roman" w:hAnsi="Times New Roman"/>
        </w:rPr>
        <w:footnoteReference w:id="291"/>
      </w:r>
      <w:r w:rsidRPr="00DA3BC7">
        <w:rPr>
          <w:rFonts w:ascii="Times New Roman" w:hAnsi="Times New Roman" w:hint="eastAsia"/>
        </w:rPr>
        <w:t>、比量、至教量</w:t>
      </w:r>
      <w:r w:rsidRPr="00DA3BC7">
        <w:rPr>
          <w:rFonts w:ascii="新細明體" w:hint="eastAsia"/>
        </w:rPr>
        <w:t>──</w:t>
      </w:r>
      <w:r w:rsidRPr="00DA3BC7">
        <w:rPr>
          <w:rFonts w:ascii="Times New Roman" w:hAnsi="Times New Roman" w:hint="eastAsia"/>
        </w:rPr>
        <w:t>也名聲量</w:t>
      </w:r>
      <w:r w:rsidRPr="00DA3BC7">
        <w:rPr>
          <w:rStyle w:val="a6"/>
          <w:rFonts w:ascii="Times New Roman" w:hAnsi="Times New Roman"/>
        </w:rPr>
        <w:footnoteReference w:id="292"/>
      </w:r>
      <w:r w:rsidRPr="00DA3BC7">
        <w:rPr>
          <w:rFonts w:ascii="Times New Roman" w:hAnsi="Times New Roman" w:hint="eastAsia"/>
        </w:rPr>
        <w:t>或聞量的三量去說明。</w:t>
      </w:r>
    </w:p>
    <w:p w:rsidR="002B682F" w:rsidRPr="00DA3BC7" w:rsidRDefault="002B682F" w:rsidP="00AE3920">
      <w:pPr>
        <w:spacing w:beforeLines="30"/>
        <w:jc w:val="both"/>
        <w:rPr>
          <w:rFonts w:ascii="Times New Roman" w:hAnsi="Times New Roman"/>
          <w:b/>
          <w:sz w:val="20"/>
          <w:szCs w:val="20"/>
          <w:bdr w:val="single" w:sz="4" w:space="0" w:color="auto"/>
        </w:rPr>
      </w:pPr>
      <w:r w:rsidRPr="007639DD">
        <w:rPr>
          <w:rFonts w:ascii="Times New Roman" w:hAnsi="Times New Roman" w:hint="eastAsia"/>
          <w:b/>
          <w:color w:val="FF0000"/>
          <w:sz w:val="20"/>
          <w:szCs w:val="20"/>
          <w:highlight w:val="yellow"/>
          <w:bdr w:val="single" w:sz="4" w:space="0" w:color="auto"/>
        </w:rPr>
        <w:lastRenderedPageBreak/>
        <w:t>貳、</w:t>
      </w:r>
      <w:r w:rsidR="007639DD" w:rsidRPr="007639DD">
        <w:rPr>
          <w:rFonts w:ascii="Times New Roman" w:hAnsi="Times New Roman" w:hint="eastAsia"/>
          <w:b/>
          <w:color w:val="FF0000"/>
          <w:sz w:val="20"/>
          <w:szCs w:val="20"/>
          <w:highlight w:val="yellow"/>
          <w:bdr w:val="single" w:sz="4" w:space="0" w:color="auto"/>
        </w:rPr>
        <w:t>正明</w:t>
      </w:r>
      <w:r w:rsidRPr="00DA3BC7">
        <w:rPr>
          <w:rFonts w:ascii="Times New Roman" w:eastAsia="標楷體" w:hAnsi="Times New Roman" w:hint="eastAsia"/>
          <w:sz w:val="20"/>
          <w:szCs w:val="20"/>
        </w:rPr>
        <w:t>（</w:t>
      </w:r>
      <w:r w:rsidRPr="00DA3BC7">
        <w:rPr>
          <w:rFonts w:ascii="Times New Roman" w:eastAsia="標楷體" w:hAnsi="Times New Roman"/>
          <w:sz w:val="20"/>
          <w:szCs w:val="20"/>
        </w:rPr>
        <w:t>pp.53-5</w:t>
      </w:r>
      <w:r w:rsidR="00825849">
        <w:rPr>
          <w:rFonts w:ascii="Times New Roman" w:eastAsia="標楷體" w:hAnsi="Times New Roman" w:hint="eastAsia"/>
          <w:sz w:val="20"/>
          <w:szCs w:val="20"/>
        </w:rPr>
        <w:t>7</w:t>
      </w:r>
      <w:r w:rsidRPr="00DA3BC7">
        <w:rPr>
          <w:rFonts w:ascii="Times New Roman" w:eastAsia="標楷體" w:hAnsi="Times New Roman" w:hint="eastAsia"/>
          <w:sz w:val="20"/>
          <w:szCs w:val="20"/>
        </w:rPr>
        <w:t>）</w:t>
      </w:r>
    </w:p>
    <w:p w:rsidR="002B682F" w:rsidRDefault="002B682F" w:rsidP="008E2BBC">
      <w:pPr>
        <w:ind w:leftChars="50" w:left="120"/>
        <w:jc w:val="both"/>
        <w:rPr>
          <w:rFonts w:ascii="Times New Roman" w:eastAsia="標楷體" w:hAnsi="Times New Roman"/>
          <w:sz w:val="20"/>
          <w:szCs w:val="20"/>
        </w:rPr>
      </w:pPr>
      <w:r w:rsidRPr="007639DD">
        <w:rPr>
          <w:rFonts w:ascii="Times New Roman" w:hAnsi="Times New Roman" w:hint="eastAsia"/>
          <w:b/>
          <w:color w:val="FF0000"/>
          <w:sz w:val="20"/>
          <w:szCs w:val="20"/>
          <w:highlight w:val="yellow"/>
          <w:bdr w:val="single" w:sz="4" w:space="0" w:color="auto"/>
        </w:rPr>
        <w:t>（壹）</w:t>
      </w:r>
      <w:r w:rsidR="007639DD">
        <w:rPr>
          <w:rFonts w:ascii="Times New Roman" w:hAnsi="Times New Roman" w:hint="eastAsia"/>
          <w:b/>
          <w:color w:val="FF0000"/>
          <w:sz w:val="20"/>
          <w:szCs w:val="20"/>
          <w:highlight w:val="yellow"/>
          <w:bdr w:val="single" w:sz="4" w:space="0" w:color="auto"/>
        </w:rPr>
        <w:t>別辨「三量」</w:t>
      </w:r>
      <w:r w:rsidR="00825849" w:rsidRPr="00DA3BC7">
        <w:rPr>
          <w:rFonts w:ascii="Times New Roman" w:eastAsia="標楷體" w:hAnsi="Times New Roman" w:hint="eastAsia"/>
          <w:sz w:val="20"/>
          <w:szCs w:val="20"/>
        </w:rPr>
        <w:t>（</w:t>
      </w:r>
      <w:r w:rsidR="00825849" w:rsidRPr="00DA3BC7">
        <w:rPr>
          <w:rFonts w:ascii="Times New Roman" w:eastAsia="標楷體" w:hAnsi="Times New Roman"/>
          <w:sz w:val="20"/>
          <w:szCs w:val="20"/>
        </w:rPr>
        <w:t>pp.53-5</w:t>
      </w:r>
      <w:r w:rsidR="00825849">
        <w:rPr>
          <w:rFonts w:ascii="Times New Roman" w:eastAsia="標楷體" w:hAnsi="Times New Roman" w:hint="eastAsia"/>
          <w:sz w:val="20"/>
          <w:szCs w:val="20"/>
        </w:rPr>
        <w:t>6</w:t>
      </w:r>
      <w:r w:rsidR="00825849" w:rsidRPr="00DA3BC7">
        <w:rPr>
          <w:rFonts w:ascii="Times New Roman" w:eastAsia="標楷體" w:hAnsi="Times New Roman" w:hint="eastAsia"/>
          <w:sz w:val="20"/>
          <w:szCs w:val="20"/>
        </w:rPr>
        <w:t>）</w:t>
      </w:r>
    </w:p>
    <w:p w:rsidR="007639DD" w:rsidRDefault="007639DD" w:rsidP="003B7900">
      <w:pPr>
        <w:ind w:leftChars="100" w:left="240"/>
        <w:jc w:val="both"/>
        <w:rPr>
          <w:rFonts w:ascii="Times New Roman" w:eastAsia="標楷體" w:hAnsi="Times New Roman"/>
          <w:sz w:val="20"/>
          <w:szCs w:val="20"/>
        </w:rPr>
      </w:pPr>
      <w:r w:rsidRPr="007639DD">
        <w:rPr>
          <w:rFonts w:ascii="Times New Roman" w:hAnsi="Times New Roman" w:hint="eastAsia"/>
          <w:b/>
          <w:color w:val="FF0000"/>
          <w:sz w:val="20"/>
          <w:szCs w:val="20"/>
          <w:highlight w:val="yellow"/>
          <w:bdr w:val="single" w:sz="4" w:space="0" w:color="auto"/>
        </w:rPr>
        <w:t>一、聞量──文字般若</w:t>
      </w:r>
      <w:r w:rsidR="00825849" w:rsidRPr="00DA3BC7">
        <w:rPr>
          <w:rFonts w:ascii="Times New Roman" w:eastAsia="標楷體" w:hAnsi="Times New Roman" w:hint="eastAsia"/>
          <w:sz w:val="20"/>
          <w:szCs w:val="20"/>
        </w:rPr>
        <w:t>（</w:t>
      </w:r>
      <w:r w:rsidR="00825849" w:rsidRPr="00DA3BC7">
        <w:rPr>
          <w:rFonts w:ascii="Times New Roman" w:eastAsia="標楷體" w:hAnsi="Times New Roman"/>
          <w:sz w:val="20"/>
          <w:szCs w:val="20"/>
        </w:rPr>
        <w:t>pp.53-54</w:t>
      </w:r>
      <w:r w:rsidR="00825849" w:rsidRPr="00DA3BC7">
        <w:rPr>
          <w:rFonts w:ascii="Times New Roman" w:eastAsia="標楷體" w:hAnsi="Times New Roman" w:hint="eastAsia"/>
          <w:sz w:val="20"/>
          <w:szCs w:val="20"/>
        </w:rPr>
        <w:t>）</w:t>
      </w:r>
    </w:p>
    <w:p w:rsidR="007639DD" w:rsidRDefault="007639DD" w:rsidP="003B7900">
      <w:pPr>
        <w:ind w:leftChars="150" w:left="360"/>
        <w:jc w:val="both"/>
        <w:rPr>
          <w:rFonts w:ascii="Times New Roman" w:eastAsia="標楷體" w:hAnsi="Times New Roman"/>
          <w:sz w:val="20"/>
          <w:szCs w:val="20"/>
        </w:rPr>
      </w:pPr>
      <w:r w:rsidRPr="007639DD">
        <w:rPr>
          <w:rFonts w:ascii="Times New Roman" w:hAnsi="Times New Roman" w:hint="eastAsia"/>
          <w:b/>
          <w:color w:val="FF0000"/>
          <w:sz w:val="20"/>
          <w:szCs w:val="20"/>
          <w:highlight w:val="yellow"/>
          <w:bdr w:val="single" w:sz="4" w:space="0" w:color="auto"/>
        </w:rPr>
        <w:t>（一）</w:t>
      </w:r>
      <w:r>
        <w:rPr>
          <w:rFonts w:ascii="Times New Roman" w:hAnsi="Times New Roman" w:hint="eastAsia"/>
          <w:b/>
          <w:color w:val="FF0000"/>
          <w:sz w:val="20"/>
          <w:szCs w:val="20"/>
          <w:highlight w:val="yellow"/>
          <w:bdr w:val="single" w:sz="4" w:space="0" w:color="auto"/>
        </w:rPr>
        <w:t>敘要徑</w:t>
      </w:r>
      <w:r w:rsidRPr="00DA3BC7">
        <w:rPr>
          <w:rFonts w:ascii="Times New Roman" w:eastAsia="標楷體" w:hAnsi="Times New Roman" w:hint="eastAsia"/>
          <w:sz w:val="20"/>
          <w:szCs w:val="20"/>
        </w:rPr>
        <w:t>（</w:t>
      </w:r>
      <w:r w:rsidRPr="00DA3BC7">
        <w:rPr>
          <w:rFonts w:ascii="Times New Roman" w:eastAsia="標楷體" w:hAnsi="Times New Roman"/>
          <w:sz w:val="20"/>
          <w:szCs w:val="20"/>
        </w:rPr>
        <w:t>p.53</w:t>
      </w:r>
      <w:r w:rsidRPr="00DA3BC7">
        <w:rPr>
          <w:rFonts w:ascii="Times New Roman" w:eastAsia="標楷體" w:hAnsi="Times New Roman" w:hint="eastAsia"/>
          <w:sz w:val="20"/>
          <w:szCs w:val="20"/>
        </w:rPr>
        <w:t>）</w:t>
      </w:r>
    </w:p>
    <w:p w:rsidR="007639DD" w:rsidRPr="007639DD" w:rsidRDefault="007639DD" w:rsidP="003B7900">
      <w:pPr>
        <w:ind w:leftChars="200" w:left="480"/>
        <w:jc w:val="both"/>
        <w:rPr>
          <w:rFonts w:ascii="Times New Roman" w:eastAsia="標楷體" w:hAnsi="Times New Roman"/>
          <w:sz w:val="20"/>
          <w:szCs w:val="20"/>
        </w:rPr>
      </w:pPr>
      <w:r>
        <w:rPr>
          <w:rFonts w:ascii="Times New Roman" w:hAnsi="Times New Roman" w:hint="eastAsia"/>
          <w:b/>
          <w:color w:val="FF0000"/>
          <w:sz w:val="20"/>
          <w:szCs w:val="20"/>
          <w:highlight w:val="yellow"/>
          <w:bdr w:val="single" w:sz="4" w:space="0" w:color="auto"/>
        </w:rPr>
        <w:t>1</w:t>
      </w:r>
      <w:r w:rsidRPr="007639DD">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聞所入處</w:t>
      </w:r>
      <w:r w:rsidRPr="00DA3BC7">
        <w:rPr>
          <w:rFonts w:ascii="Times New Roman" w:eastAsia="標楷體" w:hAnsi="Times New Roman" w:hint="eastAsia"/>
          <w:sz w:val="20"/>
          <w:szCs w:val="20"/>
        </w:rPr>
        <w:t>（</w:t>
      </w:r>
      <w:r w:rsidRPr="00DA3BC7">
        <w:rPr>
          <w:rFonts w:ascii="Times New Roman" w:eastAsia="標楷體" w:hAnsi="Times New Roman"/>
          <w:sz w:val="20"/>
          <w:szCs w:val="20"/>
        </w:rPr>
        <w:t>p.53</w:t>
      </w:r>
      <w:r w:rsidRPr="00DA3BC7">
        <w:rPr>
          <w:rFonts w:ascii="Times New Roman" w:eastAsia="標楷體" w:hAnsi="Times New Roman" w:hint="eastAsia"/>
          <w:sz w:val="20"/>
          <w:szCs w:val="20"/>
        </w:rPr>
        <w:t>）</w:t>
      </w:r>
    </w:p>
    <w:p w:rsidR="002B682F" w:rsidRPr="00DA3BC7" w:rsidRDefault="002B682F" w:rsidP="003B7900">
      <w:pPr>
        <w:ind w:leftChars="200" w:left="480"/>
        <w:jc w:val="both"/>
        <w:rPr>
          <w:rFonts w:ascii="Times New Roman" w:hAnsi="Times New Roman"/>
        </w:rPr>
      </w:pPr>
      <w:r w:rsidRPr="00DA3BC7">
        <w:rPr>
          <w:rFonts w:ascii="Times New Roman" w:hAnsi="Times New Roman" w:hint="eastAsia"/>
          <w:b/>
        </w:rPr>
        <w:t>修學佛法</w:t>
      </w:r>
      <w:r w:rsidRPr="00DA3BC7">
        <w:rPr>
          <w:rFonts w:ascii="Times New Roman" w:hAnsi="Times New Roman" w:hint="eastAsia"/>
        </w:rPr>
        <w:t>以及</w:t>
      </w:r>
      <w:r w:rsidRPr="00DA3BC7">
        <w:rPr>
          <w:rFonts w:ascii="Times New Roman" w:hAnsi="Times New Roman" w:hint="eastAsia"/>
          <w:b/>
        </w:rPr>
        <w:t>中觀</w:t>
      </w:r>
      <w:r w:rsidRPr="00DA3BC7">
        <w:rPr>
          <w:rFonts w:ascii="Times New Roman" w:hAnsi="Times New Roman" w:hint="eastAsia"/>
        </w:rPr>
        <w:t>，初步應從</w:t>
      </w:r>
      <w:r w:rsidRPr="00DA3BC7">
        <w:rPr>
          <w:rFonts w:ascii="Times New Roman" w:hAnsi="Times New Roman" w:hint="eastAsia"/>
          <w:b/>
        </w:rPr>
        <w:t>親近善友、聽聞正法</w:t>
      </w:r>
      <w:r w:rsidRPr="00DA3BC7">
        <w:rPr>
          <w:rFonts w:ascii="Times New Roman" w:hAnsi="Times New Roman" w:hint="eastAsia"/>
        </w:rPr>
        <w:t>下手。</w:t>
      </w:r>
    </w:p>
    <w:p w:rsidR="002B682F" w:rsidRPr="00DA3BC7" w:rsidRDefault="002B682F" w:rsidP="003B7900">
      <w:pPr>
        <w:ind w:leftChars="200" w:left="480"/>
        <w:jc w:val="both"/>
        <w:rPr>
          <w:rFonts w:ascii="Times New Roman" w:hAnsi="Times New Roman"/>
        </w:rPr>
      </w:pPr>
      <w:r w:rsidRPr="00DA3BC7">
        <w:rPr>
          <w:rFonts w:ascii="Times New Roman" w:hAnsi="Times New Roman" w:hint="eastAsia"/>
        </w:rPr>
        <w:t>所聽聞的，雖不是諸法的實相，但這名言章句，是佛、菩薩體證實相，為應眾生可能了解的機宜而建立的；我們依此方便，可以漸次昇進，以</w:t>
      </w:r>
      <w:r w:rsidRPr="00DA3BC7">
        <w:rPr>
          <w:rFonts w:ascii="Times New Roman" w:hAnsi="新細明體" w:hint="eastAsia"/>
        </w:rPr>
        <w:t>到</w:t>
      </w:r>
      <w:r w:rsidRPr="00DA3BC7">
        <w:rPr>
          <w:rFonts w:ascii="Times New Roman" w:hAnsi="Times New Roman" w:hint="eastAsia"/>
        </w:rPr>
        <w:t>達與佛同樣的證悟。</w:t>
      </w:r>
    </w:p>
    <w:p w:rsidR="002B682F" w:rsidRPr="00DA3BC7" w:rsidRDefault="002B682F" w:rsidP="003B7900">
      <w:pPr>
        <w:ind w:leftChars="200" w:left="480"/>
        <w:jc w:val="both"/>
        <w:rPr>
          <w:rFonts w:ascii="Times New Roman" w:hAnsi="Times New Roman"/>
        </w:rPr>
      </w:pPr>
      <w:r w:rsidRPr="00DA3BC7">
        <w:rPr>
          <w:rFonts w:ascii="Times New Roman" w:hAnsi="Times New Roman" w:hint="eastAsia"/>
        </w:rPr>
        <w:t>佛所說的正法，稱為「</w:t>
      </w:r>
      <w:r w:rsidRPr="00DA3BC7">
        <w:rPr>
          <w:rFonts w:ascii="Times New Roman" w:eastAsia="標楷體" w:hAnsi="Times New Roman" w:hint="eastAsia"/>
        </w:rPr>
        <w:t>法界等流</w:t>
      </w:r>
      <w:r w:rsidRPr="00DA3BC7">
        <w:rPr>
          <w:rFonts w:ascii="Times New Roman" w:hAnsi="Times New Roman" w:hint="eastAsia"/>
        </w:rPr>
        <w:t>」，</w:t>
      </w:r>
      <w:r w:rsidR="00B47F0F" w:rsidRPr="00DA3BC7">
        <w:rPr>
          <w:rStyle w:val="a6"/>
          <w:rFonts w:ascii="Times New Roman" w:hAnsi="Times New Roman"/>
        </w:rPr>
        <w:footnoteReference w:id="293"/>
      </w:r>
      <w:r w:rsidRPr="00DA3BC7">
        <w:rPr>
          <w:rFonts w:ascii="Times New Roman" w:hAnsi="Times New Roman" w:hint="eastAsia"/>
        </w:rPr>
        <w:t>這並非與中道實相</w:t>
      </w:r>
      <w:r w:rsidRPr="00DA3BC7">
        <w:rPr>
          <w:rFonts w:ascii="新細明體" w:hint="eastAsia"/>
        </w:rPr>
        <w:t>──</w:t>
      </w:r>
      <w:r w:rsidRPr="00DA3BC7">
        <w:rPr>
          <w:rFonts w:ascii="Times New Roman" w:hAnsi="Times New Roman" w:hint="eastAsia"/>
        </w:rPr>
        <w:t>法界無關，</w:t>
      </w:r>
      <w:r w:rsidRPr="00DA3BC7">
        <w:rPr>
          <w:rFonts w:ascii="Times New Roman" w:hAnsi="Times New Roman" w:hint="eastAsia"/>
        </w:rPr>
        <w:lastRenderedPageBreak/>
        <w:t>而是中道的影像教，如指月的手指不是月，卻確有標指明月的作用。</w:t>
      </w:r>
    </w:p>
    <w:p w:rsidR="00733CB1" w:rsidRPr="007639DD" w:rsidRDefault="002F38A3" w:rsidP="00AE3920">
      <w:pPr>
        <w:spacing w:beforeLines="30"/>
        <w:ind w:leftChars="200" w:left="480"/>
        <w:jc w:val="both"/>
        <w:rPr>
          <w:rFonts w:ascii="Times New Roman" w:eastAsia="標楷體" w:hAnsi="Times New Roman"/>
          <w:sz w:val="20"/>
          <w:szCs w:val="20"/>
        </w:rPr>
      </w:pPr>
      <w:r>
        <w:rPr>
          <w:rFonts w:ascii="Times New Roman" w:hAnsi="Times New Roman" w:hint="eastAsia"/>
          <w:b/>
          <w:color w:val="FF0000"/>
          <w:sz w:val="20"/>
          <w:szCs w:val="20"/>
          <w:highlight w:val="yellow"/>
          <w:bdr w:val="single" w:sz="4" w:space="0" w:color="auto"/>
        </w:rPr>
        <w:t>2</w:t>
      </w:r>
      <w:r w:rsidR="00733CB1" w:rsidRPr="007639DD">
        <w:rPr>
          <w:rFonts w:ascii="Times New Roman" w:hAnsi="Times New Roman" w:hint="eastAsia"/>
          <w:b/>
          <w:color w:val="FF0000"/>
          <w:sz w:val="20"/>
          <w:szCs w:val="20"/>
          <w:highlight w:val="yellow"/>
          <w:bdr w:val="single" w:sz="4" w:space="0" w:color="auto"/>
        </w:rPr>
        <w:t>、</w:t>
      </w:r>
      <w:r w:rsidR="00733CB1">
        <w:rPr>
          <w:rFonts w:ascii="Times New Roman" w:hAnsi="Times New Roman" w:hint="eastAsia"/>
          <w:b/>
          <w:color w:val="FF0000"/>
          <w:sz w:val="20"/>
          <w:szCs w:val="20"/>
          <w:highlight w:val="yellow"/>
          <w:bdr w:val="single" w:sz="4" w:space="0" w:color="auto"/>
        </w:rPr>
        <w:t>聞所具因</w:t>
      </w:r>
      <w:r w:rsidR="00733CB1" w:rsidRPr="00DA3BC7">
        <w:rPr>
          <w:rFonts w:ascii="Times New Roman" w:eastAsia="標楷體" w:hAnsi="Times New Roman" w:hint="eastAsia"/>
          <w:sz w:val="20"/>
          <w:szCs w:val="20"/>
        </w:rPr>
        <w:t>（</w:t>
      </w:r>
      <w:r w:rsidR="00733CB1" w:rsidRPr="00DA3BC7">
        <w:rPr>
          <w:rFonts w:ascii="Times New Roman" w:eastAsia="標楷體" w:hAnsi="Times New Roman"/>
          <w:sz w:val="20"/>
          <w:szCs w:val="20"/>
        </w:rPr>
        <w:t>p.53</w:t>
      </w:r>
      <w:r w:rsidR="00733CB1" w:rsidRPr="00DA3BC7">
        <w:rPr>
          <w:rFonts w:ascii="Times New Roman" w:eastAsia="標楷體" w:hAnsi="Times New Roman" w:hint="eastAsia"/>
          <w:sz w:val="20"/>
          <w:szCs w:val="20"/>
        </w:rPr>
        <w:t>）</w:t>
      </w:r>
    </w:p>
    <w:p w:rsidR="002B682F" w:rsidRPr="00DA3BC7" w:rsidRDefault="002B682F" w:rsidP="003B7900">
      <w:pPr>
        <w:ind w:leftChars="200" w:left="480"/>
        <w:jc w:val="both"/>
        <w:rPr>
          <w:rFonts w:ascii="Times New Roman" w:hAnsi="Times New Roman"/>
        </w:rPr>
      </w:pPr>
      <w:r w:rsidRPr="00DA3BC7">
        <w:rPr>
          <w:rFonts w:ascii="Times New Roman" w:hAnsi="Times New Roman" w:hint="eastAsia"/>
          <w:b/>
        </w:rPr>
        <w:t>了解法界等流的教法，須具有純正的信心</w:t>
      </w:r>
      <w:r w:rsidRPr="00DA3BC7">
        <w:rPr>
          <w:rFonts w:ascii="Times New Roman" w:hAnsi="Times New Roman" w:hint="eastAsia"/>
        </w:rPr>
        <w:t>，以信心去接受古聖先賢的指示。</w:t>
      </w:r>
    </w:p>
    <w:p w:rsidR="002B682F" w:rsidRPr="00DA3BC7" w:rsidRDefault="002B682F" w:rsidP="00AE3920">
      <w:pPr>
        <w:spacing w:beforeLines="30"/>
        <w:ind w:leftChars="150" w:left="360"/>
        <w:jc w:val="both"/>
        <w:rPr>
          <w:rFonts w:ascii="Times New Roman" w:hAnsi="Times New Roman"/>
          <w:b/>
          <w:sz w:val="20"/>
          <w:szCs w:val="20"/>
          <w:bdr w:val="single" w:sz="4" w:space="0" w:color="auto"/>
        </w:rPr>
      </w:pPr>
      <w:r w:rsidRPr="002F38A3">
        <w:rPr>
          <w:rFonts w:ascii="Times New Roman" w:hAnsi="Times New Roman" w:hint="eastAsia"/>
          <w:b/>
          <w:color w:val="FF0000"/>
          <w:sz w:val="20"/>
          <w:szCs w:val="20"/>
          <w:highlight w:val="yellow"/>
          <w:bdr w:val="single" w:sz="4" w:space="0" w:color="auto"/>
        </w:rPr>
        <w:t>（</w:t>
      </w:r>
      <w:r w:rsidR="002F38A3" w:rsidRPr="002F38A3">
        <w:rPr>
          <w:rFonts w:ascii="Times New Roman" w:hAnsi="Times New Roman" w:hint="eastAsia"/>
          <w:b/>
          <w:color w:val="FF0000"/>
          <w:sz w:val="20"/>
          <w:szCs w:val="20"/>
          <w:highlight w:val="yellow"/>
          <w:bdr w:val="single" w:sz="4" w:space="0" w:color="auto"/>
        </w:rPr>
        <w:t>二</w:t>
      </w:r>
      <w:r w:rsidRPr="002F38A3">
        <w:rPr>
          <w:rFonts w:ascii="Times New Roman" w:hAnsi="Times New Roman" w:hint="eastAsia"/>
          <w:b/>
          <w:color w:val="FF0000"/>
          <w:sz w:val="20"/>
          <w:szCs w:val="20"/>
          <w:highlight w:val="yellow"/>
          <w:bdr w:val="single" w:sz="4" w:space="0" w:color="auto"/>
        </w:rPr>
        <w:t>）</w:t>
      </w:r>
      <w:r w:rsidR="002F38A3" w:rsidRPr="002F38A3">
        <w:rPr>
          <w:rFonts w:ascii="Times New Roman" w:hAnsi="Times New Roman" w:hint="eastAsia"/>
          <w:b/>
          <w:color w:val="FF0000"/>
          <w:sz w:val="20"/>
          <w:szCs w:val="20"/>
          <w:highlight w:val="yellow"/>
          <w:bdr w:val="single" w:sz="4" w:space="0" w:color="auto"/>
        </w:rPr>
        <w:t>詳旨意</w:t>
      </w:r>
      <w:r w:rsidRPr="00DA3BC7">
        <w:rPr>
          <w:rFonts w:ascii="Times New Roman" w:eastAsia="標楷體" w:hAnsi="Times New Roman" w:hint="eastAsia"/>
          <w:sz w:val="20"/>
          <w:szCs w:val="20"/>
        </w:rPr>
        <w:t>（</w:t>
      </w:r>
      <w:r w:rsidRPr="00DA3BC7">
        <w:rPr>
          <w:rFonts w:ascii="Times New Roman" w:eastAsia="標楷體" w:hAnsi="Times New Roman"/>
          <w:sz w:val="20"/>
          <w:szCs w:val="20"/>
        </w:rPr>
        <w:t>pp.53-54</w:t>
      </w:r>
      <w:r w:rsidRPr="00DA3BC7">
        <w:rPr>
          <w:rFonts w:ascii="Times New Roman" w:eastAsia="標楷體" w:hAnsi="Times New Roman" w:hint="eastAsia"/>
          <w:sz w:val="20"/>
          <w:szCs w:val="20"/>
        </w:rPr>
        <w:t>）</w:t>
      </w:r>
    </w:p>
    <w:p w:rsidR="002F38A3" w:rsidRDefault="002F38A3" w:rsidP="003B7900">
      <w:pPr>
        <w:ind w:leftChars="200" w:left="480"/>
        <w:jc w:val="both"/>
        <w:rPr>
          <w:rFonts w:ascii="Times New Roman" w:eastAsia="標楷體" w:hAnsi="Times New Roman"/>
          <w:sz w:val="20"/>
          <w:szCs w:val="20"/>
        </w:rPr>
      </w:pPr>
      <w:r>
        <w:rPr>
          <w:rFonts w:ascii="Times New Roman" w:hAnsi="Times New Roman" w:hint="eastAsia"/>
          <w:b/>
          <w:color w:val="FF0000"/>
          <w:sz w:val="20"/>
          <w:szCs w:val="20"/>
          <w:highlight w:val="yellow"/>
          <w:bdr w:val="single" w:sz="4" w:space="0" w:color="auto"/>
        </w:rPr>
        <w:t>1</w:t>
      </w:r>
      <w:r w:rsidR="002B682F" w:rsidRPr="002F38A3">
        <w:rPr>
          <w:rFonts w:ascii="Times New Roman" w:hAnsi="Times New Roman" w:hint="eastAsia"/>
          <w:b/>
          <w:color w:val="FF0000"/>
          <w:sz w:val="20"/>
          <w:szCs w:val="20"/>
          <w:highlight w:val="yellow"/>
          <w:bdr w:val="single" w:sz="4" w:space="0" w:color="auto"/>
        </w:rPr>
        <w:t>、</w:t>
      </w:r>
      <w:r w:rsidRPr="002F38A3">
        <w:rPr>
          <w:rFonts w:ascii="Times New Roman" w:hAnsi="Times New Roman" w:hint="eastAsia"/>
          <w:b/>
          <w:color w:val="FF0000"/>
          <w:sz w:val="20"/>
          <w:szCs w:val="20"/>
          <w:highlight w:val="yellow"/>
          <w:bdr w:val="single" w:sz="4" w:space="0" w:color="auto"/>
        </w:rPr>
        <w:t>修學初步在</w:t>
      </w:r>
      <w:r w:rsidR="002B682F" w:rsidRPr="002F38A3">
        <w:rPr>
          <w:rFonts w:ascii="Times New Roman" w:hAnsi="Times New Roman" w:hint="eastAsia"/>
          <w:b/>
          <w:color w:val="FF0000"/>
          <w:sz w:val="20"/>
          <w:szCs w:val="20"/>
          <w:highlight w:val="yellow"/>
          <w:bdr w:val="single" w:sz="4" w:space="0" w:color="auto"/>
        </w:rPr>
        <w:t>聽聞</w:t>
      </w:r>
      <w:r w:rsidR="002B682F" w:rsidRPr="00DA3BC7">
        <w:rPr>
          <w:rFonts w:ascii="Times New Roman" w:eastAsia="標楷體" w:hAnsi="Times New Roman" w:hint="eastAsia"/>
          <w:sz w:val="20"/>
          <w:szCs w:val="20"/>
        </w:rPr>
        <w:t>（</w:t>
      </w:r>
      <w:r w:rsidR="002B682F" w:rsidRPr="00DA3BC7">
        <w:rPr>
          <w:rFonts w:ascii="Times New Roman" w:eastAsia="標楷體" w:hAnsi="Times New Roman"/>
          <w:sz w:val="20"/>
          <w:szCs w:val="20"/>
        </w:rPr>
        <w:t>pp.53-54</w:t>
      </w:r>
      <w:r w:rsidR="002B682F" w:rsidRPr="00DA3BC7">
        <w:rPr>
          <w:rFonts w:ascii="Times New Roman" w:eastAsia="標楷體" w:hAnsi="Times New Roman" w:hint="eastAsia"/>
          <w:sz w:val="20"/>
          <w:szCs w:val="20"/>
        </w:rPr>
        <w:t>）</w:t>
      </w:r>
    </w:p>
    <w:p w:rsidR="002B682F" w:rsidRPr="00DA3BC7" w:rsidRDefault="002F38A3" w:rsidP="003B7900">
      <w:pPr>
        <w:ind w:leftChars="250" w:left="600"/>
        <w:jc w:val="both"/>
        <w:rPr>
          <w:rFonts w:ascii="Times New Roman" w:hAnsi="Times New Roman"/>
          <w:b/>
        </w:rPr>
      </w:pPr>
      <w:r w:rsidRPr="002F38A3">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1</w:t>
      </w:r>
      <w:r w:rsidRPr="002F38A3">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約「世學」</w:t>
      </w:r>
      <w:r w:rsidRPr="00DA3BC7">
        <w:rPr>
          <w:rFonts w:ascii="Times New Roman" w:eastAsia="標楷體" w:hAnsi="Times New Roman" w:hint="eastAsia"/>
          <w:sz w:val="20"/>
          <w:szCs w:val="20"/>
        </w:rPr>
        <w:t>（</w:t>
      </w:r>
      <w:r w:rsidRPr="00DA3BC7">
        <w:rPr>
          <w:rFonts w:ascii="Times New Roman" w:eastAsia="標楷體" w:hAnsi="Times New Roman"/>
          <w:sz w:val="20"/>
          <w:szCs w:val="20"/>
        </w:rPr>
        <w:t>pp.53-54</w:t>
      </w:r>
      <w:r w:rsidRPr="00DA3BC7">
        <w:rPr>
          <w:rFonts w:ascii="Times New Roman" w:eastAsia="標楷體" w:hAnsi="Times New Roman" w:hint="eastAsia"/>
          <w:sz w:val="20"/>
          <w:szCs w:val="20"/>
        </w:rPr>
        <w:t>）</w:t>
      </w:r>
    </w:p>
    <w:p w:rsidR="002B682F" w:rsidRPr="00DA3BC7" w:rsidRDefault="002B682F" w:rsidP="003B7900">
      <w:pPr>
        <w:ind w:leftChars="250" w:left="600"/>
        <w:jc w:val="both"/>
        <w:rPr>
          <w:rFonts w:ascii="Times New Roman" w:hAnsi="Times New Roman"/>
        </w:rPr>
      </w:pPr>
      <w:r w:rsidRPr="00DA3BC7">
        <w:rPr>
          <w:rFonts w:ascii="Times New Roman" w:hAnsi="Times New Roman" w:hint="eastAsia"/>
        </w:rPr>
        <w:t>要知道：不單是對於尋求正理需要聽聞（此聽聞，實不僅是用耳聞的。如說：「</w:t>
      </w:r>
      <w:r w:rsidRPr="00DA3BC7">
        <w:rPr>
          <w:rFonts w:ascii="Times New Roman" w:eastAsia="標楷體" w:hAnsi="Times New Roman" w:hint="eastAsia"/>
        </w:rPr>
        <w:t>般若從三處聞：從佛聞、弟子聞，及經典聞」</w:t>
      </w:r>
      <w:r w:rsidRPr="00DA3BC7">
        <w:rPr>
          <w:rFonts w:ascii="Times New Roman" w:hAnsi="Times New Roman" w:hint="eastAsia"/>
        </w:rPr>
        <w:t>。</w:t>
      </w:r>
      <w:r w:rsidR="00B47F0F" w:rsidRPr="00DA3BC7">
        <w:rPr>
          <w:rStyle w:val="a6"/>
          <w:rFonts w:ascii="Times New Roman" w:hAnsi="Times New Roman"/>
        </w:rPr>
        <w:footnoteReference w:id="294"/>
      </w:r>
      <w:r w:rsidRPr="00DA3BC7">
        <w:rPr>
          <w:rFonts w:ascii="Times New Roman" w:hAnsi="Times New Roman" w:hint="eastAsia"/>
        </w:rPr>
        <w:t>所以這是包含聽受師友的教授，以及自己從經典中去參研），就是世俗的學識、技能，也沒有不需要聽聞的。</w:t>
      </w:r>
    </w:p>
    <w:p w:rsidR="002F38A3" w:rsidRDefault="002B682F" w:rsidP="00AE3920">
      <w:pPr>
        <w:spacing w:beforeLines="20"/>
        <w:ind w:leftChars="250" w:left="600"/>
        <w:jc w:val="both"/>
        <w:rPr>
          <w:rFonts w:ascii="Times New Roman" w:hAnsi="Times New Roman"/>
        </w:rPr>
      </w:pPr>
      <w:r w:rsidRPr="00DA3BC7">
        <w:rPr>
          <w:rFonts w:ascii="Times New Roman" w:hAnsi="Times New Roman" w:hint="eastAsia"/>
        </w:rPr>
        <w:t>小孩以父母的是非為是非，學生以師長的指示為正鵠</w:t>
      </w:r>
      <w:r w:rsidRPr="00DA3BC7">
        <w:rPr>
          <w:rStyle w:val="a6"/>
          <w:rFonts w:ascii="Times New Roman" w:hAnsi="Times New Roman"/>
        </w:rPr>
        <w:footnoteReference w:id="295"/>
      </w:r>
      <w:r w:rsidRPr="00DA3BC7">
        <w:rPr>
          <w:rFonts w:ascii="Times New Roman" w:hAnsi="Times New Roman" w:hint="eastAsia"/>
        </w:rPr>
        <w:t>。即成年後自己得來的知識、技能，雖不從父母師長處得來，一部分為自己經驗的發見，因而修正父母、師長的意見；然而主要的，還是由於社會共同思想的熏陶得來。所有的知識，十九</w:t>
      </w:r>
      <w:r w:rsidRPr="00DA3BC7">
        <w:rPr>
          <w:rStyle w:val="a6"/>
          <w:rFonts w:ascii="Times New Roman" w:hAnsi="Times New Roman"/>
        </w:rPr>
        <w:footnoteReference w:id="296"/>
      </w:r>
      <w:r w:rsidRPr="00DA3BC7">
        <w:rPr>
          <w:rFonts w:ascii="Times New Roman" w:hAnsi="Times New Roman" w:hint="eastAsia"/>
        </w:rPr>
        <w:t>從聽聞得來；</w:t>
      </w:r>
      <w:r w:rsidRPr="00DA3BC7">
        <w:rPr>
          <w:rFonts w:ascii="Times New Roman" w:hAnsi="Times New Roman" w:hint="eastAsia"/>
          <w:b/>
        </w:rPr>
        <w:t>聽聞得來的正確知識，即是聞量</w:t>
      </w:r>
      <w:r w:rsidRPr="00DA3BC7">
        <w:rPr>
          <w:rFonts w:ascii="Times New Roman" w:hAnsi="Times New Roman" w:hint="eastAsia"/>
        </w:rPr>
        <w:t>。</w:t>
      </w:r>
    </w:p>
    <w:p w:rsidR="002F38A3" w:rsidRPr="007639DD" w:rsidRDefault="002F38A3" w:rsidP="00AE3920">
      <w:pPr>
        <w:spacing w:beforeLines="30"/>
        <w:ind w:leftChars="250" w:left="600"/>
        <w:jc w:val="both"/>
        <w:rPr>
          <w:rFonts w:ascii="Times New Roman" w:eastAsia="標楷體" w:hAnsi="Times New Roman"/>
          <w:sz w:val="20"/>
          <w:szCs w:val="20"/>
        </w:rPr>
      </w:pPr>
      <w:r w:rsidRPr="002F38A3">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2</w:t>
      </w:r>
      <w:r w:rsidRPr="002F38A3">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約「佛法」</w:t>
      </w:r>
      <w:r w:rsidRPr="00DA3BC7">
        <w:rPr>
          <w:rFonts w:ascii="Times New Roman" w:eastAsia="標楷體" w:hAnsi="Times New Roman" w:hint="eastAsia"/>
          <w:sz w:val="20"/>
          <w:szCs w:val="20"/>
        </w:rPr>
        <w:t>（</w:t>
      </w:r>
      <w:r w:rsidRPr="00DA3BC7">
        <w:rPr>
          <w:rFonts w:ascii="Times New Roman" w:eastAsia="標楷體" w:hAnsi="Times New Roman"/>
          <w:sz w:val="20"/>
          <w:szCs w:val="20"/>
        </w:rPr>
        <w:t>p.5</w:t>
      </w:r>
      <w:r>
        <w:rPr>
          <w:rFonts w:ascii="Times New Roman" w:eastAsia="標楷體" w:hAnsi="Times New Roman" w:hint="eastAsia"/>
          <w:sz w:val="20"/>
          <w:szCs w:val="20"/>
        </w:rPr>
        <w:t>4</w:t>
      </w:r>
      <w:r w:rsidRPr="00DA3BC7">
        <w:rPr>
          <w:rFonts w:ascii="Times New Roman" w:eastAsia="標楷體" w:hAnsi="Times New Roman" w:hint="eastAsia"/>
          <w:sz w:val="20"/>
          <w:szCs w:val="20"/>
        </w:rPr>
        <w:t>）</w:t>
      </w:r>
    </w:p>
    <w:p w:rsidR="002B682F" w:rsidRPr="00DA3BC7" w:rsidRDefault="002B682F" w:rsidP="003B7900">
      <w:pPr>
        <w:ind w:leftChars="250" w:left="600"/>
        <w:jc w:val="both"/>
        <w:rPr>
          <w:rFonts w:ascii="Times New Roman" w:hAnsi="Times New Roman"/>
          <w:b/>
          <w:sz w:val="20"/>
          <w:szCs w:val="20"/>
          <w:bdr w:val="single" w:sz="4" w:space="0" w:color="auto"/>
        </w:rPr>
      </w:pPr>
      <w:r w:rsidRPr="00DA3BC7">
        <w:rPr>
          <w:rFonts w:ascii="Times New Roman" w:hAnsi="Times New Roman" w:hint="eastAsia"/>
        </w:rPr>
        <w:t>在佛法，即主要的要從流行於社會中的佛教思想，以及由佛弟子展轉傳來的教導。</w:t>
      </w:r>
    </w:p>
    <w:p w:rsidR="002B682F" w:rsidRPr="00DA3BC7" w:rsidRDefault="002B682F" w:rsidP="003B7900">
      <w:pPr>
        <w:ind w:leftChars="250" w:left="600"/>
        <w:jc w:val="both"/>
        <w:rPr>
          <w:rFonts w:ascii="Times New Roman" w:hAnsi="Times New Roman"/>
        </w:rPr>
      </w:pPr>
      <w:r w:rsidRPr="00DA3BC7">
        <w:rPr>
          <w:rFonts w:ascii="Times New Roman" w:hAnsi="Times New Roman" w:hint="eastAsia"/>
        </w:rPr>
        <w:t>我們於佛法以及中觀的認識，就必須從</w:t>
      </w:r>
      <w:r w:rsidRPr="00DA3BC7">
        <w:rPr>
          <w:rFonts w:ascii="Times New Roman" w:hAnsi="Times New Roman" w:hint="eastAsia"/>
          <w:b/>
        </w:rPr>
        <w:t>聽聞正法</w:t>
      </w:r>
      <w:r w:rsidRPr="00DA3BC7">
        <w:rPr>
          <w:rFonts w:ascii="Times New Roman" w:hAnsi="Times New Roman" w:hint="eastAsia"/>
        </w:rPr>
        <w:t>入手。這在三</w:t>
      </w:r>
      <w:r w:rsidRPr="00DA3BC7">
        <w:rPr>
          <w:rFonts w:ascii="Times New Roman" w:hAnsi="新細明體" w:hint="eastAsia"/>
        </w:rPr>
        <w:t>種般</w:t>
      </w:r>
      <w:r w:rsidRPr="00DA3BC7">
        <w:rPr>
          <w:rFonts w:ascii="Times New Roman" w:hAnsi="Times New Roman" w:hint="eastAsia"/>
        </w:rPr>
        <w:t>若</w:t>
      </w:r>
      <w:r w:rsidRPr="00DA3BC7">
        <w:rPr>
          <w:rStyle w:val="a6"/>
          <w:rFonts w:ascii="Times New Roman" w:hAnsi="Times New Roman"/>
        </w:rPr>
        <w:footnoteReference w:id="297"/>
      </w:r>
      <w:r w:rsidRPr="00DA3BC7">
        <w:rPr>
          <w:rFonts w:ascii="Times New Roman" w:hAnsi="Times New Roman" w:hint="eastAsia"/>
        </w:rPr>
        <w:t>中，</w:t>
      </w:r>
      <w:r w:rsidRPr="00DA3BC7">
        <w:rPr>
          <w:rFonts w:ascii="Times New Roman" w:hAnsi="Times New Roman" w:hint="eastAsia"/>
        </w:rPr>
        <w:lastRenderedPageBreak/>
        <w:t>稱為</w:t>
      </w:r>
      <w:r w:rsidRPr="00DA3BC7">
        <w:rPr>
          <w:rFonts w:ascii="Times New Roman" w:hAnsi="Times New Roman" w:hint="eastAsia"/>
          <w:b/>
        </w:rPr>
        <w:t>文字般若</w:t>
      </w:r>
      <w:r w:rsidRPr="00DA3BC7">
        <w:rPr>
          <w:rFonts w:ascii="Times New Roman" w:hAnsi="Times New Roman" w:hint="eastAsia"/>
        </w:rPr>
        <w:t>。</w:t>
      </w:r>
    </w:p>
    <w:p w:rsidR="002F38A3" w:rsidRDefault="002F38A3" w:rsidP="00AE3920">
      <w:pPr>
        <w:spacing w:beforeLines="30"/>
        <w:ind w:leftChars="200" w:left="480"/>
        <w:jc w:val="both"/>
        <w:rPr>
          <w:rFonts w:ascii="Times New Roman" w:eastAsia="標楷體" w:hAnsi="Times New Roman"/>
          <w:sz w:val="20"/>
          <w:szCs w:val="20"/>
        </w:rPr>
      </w:pPr>
      <w:r>
        <w:rPr>
          <w:rFonts w:ascii="Times New Roman" w:hAnsi="Times New Roman" w:hint="eastAsia"/>
          <w:b/>
          <w:color w:val="FF0000"/>
          <w:sz w:val="20"/>
          <w:szCs w:val="20"/>
          <w:highlight w:val="yellow"/>
          <w:bdr w:val="single" w:sz="4" w:space="0" w:color="auto"/>
        </w:rPr>
        <w:t>2</w:t>
      </w:r>
      <w:r w:rsidRPr="002F38A3">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研習深入須</w:t>
      </w:r>
      <w:r w:rsidRPr="002F38A3">
        <w:rPr>
          <w:rFonts w:ascii="Times New Roman" w:hAnsi="Times New Roman" w:hint="eastAsia"/>
          <w:b/>
          <w:color w:val="FF0000"/>
          <w:sz w:val="20"/>
          <w:szCs w:val="20"/>
          <w:highlight w:val="yellow"/>
          <w:bdr w:val="single" w:sz="4" w:space="0" w:color="auto"/>
        </w:rPr>
        <w:t>聞</w:t>
      </w:r>
      <w:r>
        <w:rPr>
          <w:rFonts w:ascii="Times New Roman" w:hAnsi="Times New Roman" w:hint="eastAsia"/>
          <w:b/>
          <w:color w:val="FF0000"/>
          <w:sz w:val="20"/>
          <w:szCs w:val="20"/>
          <w:highlight w:val="yellow"/>
          <w:bdr w:val="single" w:sz="4" w:space="0" w:color="auto"/>
        </w:rPr>
        <w:t>信</w:t>
      </w:r>
      <w:r w:rsidRPr="00DA3BC7">
        <w:rPr>
          <w:rFonts w:ascii="Times New Roman" w:eastAsia="標楷體" w:hAnsi="Times New Roman" w:hint="eastAsia"/>
          <w:sz w:val="20"/>
          <w:szCs w:val="20"/>
        </w:rPr>
        <w:t>（</w:t>
      </w:r>
      <w:r w:rsidRPr="00DA3BC7">
        <w:rPr>
          <w:rFonts w:ascii="Times New Roman" w:eastAsia="標楷體" w:hAnsi="Times New Roman"/>
          <w:sz w:val="20"/>
          <w:szCs w:val="20"/>
        </w:rPr>
        <w:t>pp.53-54</w:t>
      </w:r>
      <w:r w:rsidRPr="00DA3BC7">
        <w:rPr>
          <w:rFonts w:ascii="Times New Roman" w:eastAsia="標楷體" w:hAnsi="Times New Roman" w:hint="eastAsia"/>
          <w:sz w:val="20"/>
          <w:szCs w:val="20"/>
        </w:rPr>
        <w:t>）</w:t>
      </w:r>
    </w:p>
    <w:p w:rsidR="002B682F" w:rsidRPr="00DA3BC7" w:rsidRDefault="002B682F" w:rsidP="003B7900">
      <w:pPr>
        <w:ind w:leftChars="200" w:left="480"/>
        <w:jc w:val="both"/>
        <w:rPr>
          <w:rFonts w:ascii="Times New Roman" w:hAnsi="Times New Roman"/>
        </w:rPr>
      </w:pPr>
      <w:r w:rsidRPr="00DA3BC7">
        <w:rPr>
          <w:rFonts w:ascii="Times New Roman" w:hAnsi="Times New Roman" w:hint="eastAsia"/>
        </w:rPr>
        <w:t>如</w:t>
      </w:r>
      <w:r w:rsidRPr="00DA3BC7">
        <w:rPr>
          <w:rFonts w:ascii="Times New Roman" w:hAnsi="Times New Roman" w:hint="eastAsia"/>
          <w:b/>
        </w:rPr>
        <w:t>信心</w:t>
      </w:r>
      <w:r w:rsidRPr="00DA3BC7">
        <w:rPr>
          <w:rFonts w:ascii="Times New Roman" w:hAnsi="Times New Roman" w:hint="eastAsia"/>
        </w:rPr>
        <w:t>不具，不能根源於教典的多聞熏習，即不能於甚深的佛法有所了解。</w:t>
      </w:r>
    </w:p>
    <w:p w:rsidR="002B682F" w:rsidRPr="00DA3BC7" w:rsidRDefault="002B682F" w:rsidP="00AE3920">
      <w:pPr>
        <w:spacing w:beforeLines="20"/>
        <w:ind w:leftChars="200" w:left="480"/>
        <w:jc w:val="both"/>
        <w:rPr>
          <w:rFonts w:ascii="Times New Roman" w:hAnsi="Times New Roman"/>
        </w:rPr>
      </w:pPr>
      <w:r w:rsidRPr="00DA3BC7">
        <w:rPr>
          <w:rFonts w:ascii="Times New Roman" w:hAnsi="Times New Roman" w:hint="eastAsia"/>
        </w:rPr>
        <w:t>離此</w:t>
      </w:r>
      <w:r w:rsidRPr="00DA3BC7">
        <w:rPr>
          <w:rFonts w:ascii="Times New Roman" w:hAnsi="Times New Roman" w:hint="eastAsia"/>
          <w:b/>
        </w:rPr>
        <w:t>至教量</w:t>
      </w:r>
      <w:r w:rsidRPr="00DA3BC7">
        <w:rPr>
          <w:rFonts w:ascii="Times New Roman" w:hAnsi="Times New Roman" w:hint="eastAsia"/>
        </w:rPr>
        <w:t>而專談</w:t>
      </w:r>
      <w:r w:rsidRPr="00DA3BC7">
        <w:rPr>
          <w:rFonts w:ascii="Times New Roman" w:hAnsi="Times New Roman" w:hint="eastAsia"/>
          <w:b/>
        </w:rPr>
        <w:t>現量、比量</w:t>
      </w:r>
      <w:r w:rsidRPr="00DA3BC7">
        <w:rPr>
          <w:rFonts w:ascii="Times New Roman" w:hAnsi="Times New Roman" w:hint="eastAsia"/>
        </w:rPr>
        <w:t>，是根本不可能的。因為世間的正確知識，雖無不合於現量及比量，然我們所有的一切知識，決非一一經過現量與比量的證明。如對於古代傳來以及現代的社會思想，概不輕信而一一要經過自己的現比證成而後信仰，這是怎樣違反世間的現實？</w:t>
      </w:r>
    </w:p>
    <w:p w:rsidR="002F38A3" w:rsidRPr="00DA3BC7" w:rsidRDefault="002F38A3" w:rsidP="00AE3920">
      <w:pPr>
        <w:spacing w:beforeLines="30"/>
        <w:ind w:leftChars="150" w:left="360"/>
        <w:jc w:val="both"/>
        <w:rPr>
          <w:rFonts w:ascii="Times New Roman" w:hAnsi="Times New Roman"/>
          <w:b/>
          <w:sz w:val="20"/>
          <w:szCs w:val="20"/>
          <w:bdr w:val="single" w:sz="4" w:space="0" w:color="auto"/>
        </w:rPr>
      </w:pPr>
      <w:r w:rsidRPr="002F38A3">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三</w:t>
      </w:r>
      <w:r w:rsidRPr="002F38A3">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顯德用</w:t>
      </w:r>
      <w:r w:rsidRPr="00DA3BC7">
        <w:rPr>
          <w:rFonts w:ascii="Times New Roman" w:eastAsia="標楷體" w:hAnsi="Times New Roman" w:hint="eastAsia"/>
          <w:sz w:val="20"/>
          <w:szCs w:val="20"/>
        </w:rPr>
        <w:t>（</w:t>
      </w:r>
      <w:r w:rsidRPr="00DA3BC7">
        <w:rPr>
          <w:rFonts w:ascii="Times New Roman" w:eastAsia="標楷體" w:hAnsi="Times New Roman"/>
          <w:sz w:val="20"/>
          <w:szCs w:val="20"/>
        </w:rPr>
        <w:t>p.54</w:t>
      </w:r>
      <w:r w:rsidRPr="00DA3BC7">
        <w:rPr>
          <w:rFonts w:ascii="Times New Roman" w:eastAsia="標楷體" w:hAnsi="Times New Roman" w:hint="eastAsia"/>
          <w:sz w:val="20"/>
          <w:szCs w:val="20"/>
        </w:rPr>
        <w:t>）</w:t>
      </w:r>
    </w:p>
    <w:p w:rsidR="002B682F" w:rsidRPr="00DA3BC7" w:rsidRDefault="002B682F" w:rsidP="003B7900">
      <w:pPr>
        <w:ind w:leftChars="150" w:left="360"/>
        <w:jc w:val="both"/>
        <w:rPr>
          <w:rFonts w:ascii="Times New Roman" w:hAnsi="Times New Roman"/>
        </w:rPr>
      </w:pPr>
      <w:r w:rsidRPr="00DA3BC7">
        <w:rPr>
          <w:rFonts w:ascii="Times New Roman" w:hAnsi="Times New Roman" w:hint="eastAsia"/>
        </w:rPr>
        <w:t>所以聞量的文字般若，可能有缺點，但永遠是修學佛法的始基</w:t>
      </w:r>
      <w:r w:rsidRPr="00DA3BC7">
        <w:rPr>
          <w:rStyle w:val="a6"/>
          <w:rFonts w:ascii="Times New Roman" w:hAnsi="Times New Roman"/>
        </w:rPr>
        <w:footnoteReference w:id="298"/>
      </w:r>
      <w:r w:rsidRPr="00DA3BC7">
        <w:rPr>
          <w:rFonts w:ascii="Times New Roman" w:hAnsi="Times New Roman" w:hint="eastAsia"/>
        </w:rPr>
        <w:t>。</w:t>
      </w:r>
    </w:p>
    <w:p w:rsidR="002B682F" w:rsidRPr="00DA3BC7" w:rsidRDefault="00A846C3" w:rsidP="00AE3920">
      <w:pPr>
        <w:spacing w:beforeLines="30"/>
        <w:ind w:leftChars="100" w:left="240"/>
        <w:jc w:val="both"/>
        <w:rPr>
          <w:rFonts w:ascii="Times New Roman" w:hAnsi="Times New Roman"/>
        </w:rPr>
      </w:pPr>
      <w:r w:rsidRPr="00A846C3">
        <w:rPr>
          <w:rFonts w:ascii="Times New Roman" w:hAnsi="Times New Roman" w:hint="eastAsia"/>
          <w:b/>
          <w:color w:val="FF0000"/>
          <w:sz w:val="20"/>
          <w:szCs w:val="20"/>
          <w:highlight w:val="yellow"/>
          <w:bdr w:val="single" w:sz="4" w:space="0" w:color="auto"/>
        </w:rPr>
        <w:t>二</w:t>
      </w:r>
      <w:r w:rsidR="002B682F" w:rsidRPr="00DA3BC7">
        <w:rPr>
          <w:rFonts w:ascii="Times New Roman" w:hAnsi="Times New Roman" w:hint="eastAsia"/>
          <w:b/>
          <w:sz w:val="20"/>
          <w:szCs w:val="20"/>
          <w:bdr w:val="single" w:sz="4" w:space="0" w:color="auto"/>
        </w:rPr>
        <w:t>、比量</w:t>
      </w:r>
      <w:r>
        <w:rPr>
          <w:rFonts w:ascii="Times New Roman" w:hAnsi="Times New Roman" w:hint="eastAsia"/>
          <w:b/>
          <w:color w:val="FF0000"/>
          <w:sz w:val="20"/>
          <w:szCs w:val="20"/>
          <w:highlight w:val="yellow"/>
          <w:bdr w:val="single" w:sz="4" w:space="0" w:color="auto"/>
        </w:rPr>
        <w:t>──</w:t>
      </w:r>
      <w:r w:rsidR="002B682F" w:rsidRPr="00DA3BC7">
        <w:rPr>
          <w:rFonts w:ascii="Times New Roman" w:hAnsi="Times New Roman" w:hint="eastAsia"/>
          <w:b/>
          <w:sz w:val="20"/>
          <w:szCs w:val="20"/>
          <w:bdr w:val="single" w:sz="4" w:space="0" w:color="auto"/>
        </w:rPr>
        <w:t>觀照般若</w:t>
      </w:r>
      <w:r w:rsidR="002B682F" w:rsidRPr="00DA3BC7">
        <w:rPr>
          <w:rFonts w:ascii="Times New Roman" w:eastAsia="標楷體" w:hAnsi="Times New Roman" w:hint="eastAsia"/>
          <w:sz w:val="20"/>
          <w:szCs w:val="20"/>
        </w:rPr>
        <w:t>（</w:t>
      </w:r>
      <w:r w:rsidR="002B682F" w:rsidRPr="00DA3BC7">
        <w:rPr>
          <w:rFonts w:ascii="Times New Roman" w:eastAsia="標楷體" w:hAnsi="Times New Roman"/>
          <w:sz w:val="20"/>
          <w:szCs w:val="20"/>
        </w:rPr>
        <w:t>pp.54-56</w:t>
      </w:r>
      <w:r w:rsidR="002B682F" w:rsidRPr="00DA3BC7">
        <w:rPr>
          <w:rFonts w:ascii="Times New Roman" w:eastAsia="標楷體" w:hAnsi="Times New Roman" w:hint="eastAsia"/>
          <w:sz w:val="20"/>
          <w:szCs w:val="20"/>
        </w:rPr>
        <w:t>）</w:t>
      </w:r>
    </w:p>
    <w:p w:rsidR="003B7900" w:rsidRDefault="002B682F" w:rsidP="003B7900">
      <w:pPr>
        <w:ind w:leftChars="150" w:left="360"/>
        <w:jc w:val="both"/>
        <w:rPr>
          <w:rFonts w:ascii="Times New Roman" w:eastAsia="標楷體" w:hAnsi="Times New Roman"/>
          <w:sz w:val="20"/>
          <w:szCs w:val="20"/>
        </w:rPr>
      </w:pPr>
      <w:r w:rsidRPr="00A846C3">
        <w:rPr>
          <w:rFonts w:ascii="Times New Roman" w:hAnsi="Times New Roman" w:hint="eastAsia"/>
          <w:b/>
          <w:color w:val="FF0000"/>
          <w:sz w:val="20"/>
          <w:szCs w:val="20"/>
          <w:highlight w:val="yellow"/>
          <w:bdr w:val="single" w:sz="4" w:space="0" w:color="auto"/>
        </w:rPr>
        <w:t>（</w:t>
      </w:r>
      <w:r w:rsidR="00A846C3" w:rsidRPr="00A846C3">
        <w:rPr>
          <w:rFonts w:ascii="Times New Roman" w:hAnsi="Times New Roman" w:hint="eastAsia"/>
          <w:b/>
          <w:color w:val="FF0000"/>
          <w:sz w:val="20"/>
          <w:szCs w:val="20"/>
          <w:highlight w:val="yellow"/>
          <w:bdr w:val="single" w:sz="4" w:space="0" w:color="auto"/>
        </w:rPr>
        <w:t>一</w:t>
      </w:r>
      <w:r w:rsidRPr="00A846C3">
        <w:rPr>
          <w:rFonts w:ascii="Times New Roman" w:hAnsi="Times New Roman" w:hint="eastAsia"/>
          <w:b/>
          <w:color w:val="FF0000"/>
          <w:sz w:val="20"/>
          <w:szCs w:val="20"/>
          <w:highlight w:val="yellow"/>
          <w:bdr w:val="single" w:sz="4" w:space="0" w:color="auto"/>
        </w:rPr>
        <w:t>）</w:t>
      </w:r>
      <w:r w:rsidR="00A846C3">
        <w:rPr>
          <w:rFonts w:ascii="Times New Roman" w:hAnsi="Times New Roman" w:hint="eastAsia"/>
          <w:b/>
          <w:color w:val="FF0000"/>
          <w:sz w:val="20"/>
          <w:szCs w:val="20"/>
          <w:highlight w:val="yellow"/>
          <w:bdr w:val="single" w:sz="4" w:space="0" w:color="auto"/>
        </w:rPr>
        <w:t>辨體用</w:t>
      </w:r>
      <w:r w:rsidRPr="00DA3BC7">
        <w:rPr>
          <w:rFonts w:ascii="Times New Roman" w:eastAsia="標楷體" w:hAnsi="Times New Roman" w:hint="eastAsia"/>
          <w:sz w:val="20"/>
          <w:szCs w:val="20"/>
        </w:rPr>
        <w:t>（</w:t>
      </w:r>
      <w:r w:rsidRPr="00DA3BC7">
        <w:rPr>
          <w:rFonts w:ascii="Times New Roman" w:eastAsia="標楷體" w:hAnsi="Times New Roman"/>
          <w:sz w:val="20"/>
          <w:szCs w:val="20"/>
        </w:rPr>
        <w:t>pp.54-55</w:t>
      </w:r>
      <w:r w:rsidRPr="00DA3BC7">
        <w:rPr>
          <w:rFonts w:ascii="Times New Roman" w:eastAsia="標楷體" w:hAnsi="Times New Roman" w:hint="eastAsia"/>
          <w:sz w:val="20"/>
          <w:szCs w:val="20"/>
        </w:rPr>
        <w:t>）</w:t>
      </w:r>
    </w:p>
    <w:p w:rsidR="002B682F" w:rsidRPr="00DA3BC7" w:rsidRDefault="002B682F" w:rsidP="003B7900">
      <w:pPr>
        <w:ind w:leftChars="150" w:left="360"/>
        <w:jc w:val="both"/>
        <w:rPr>
          <w:rFonts w:ascii="Times New Roman" w:hAnsi="Times New Roman"/>
        </w:rPr>
      </w:pPr>
      <w:r w:rsidRPr="00DA3BC7">
        <w:rPr>
          <w:rFonts w:ascii="Times New Roman" w:hAnsi="Times New Roman" w:hint="eastAsia"/>
        </w:rPr>
        <w:t>由聽聞正法，進而如理思惟、法隨法行。</w:t>
      </w:r>
      <w:r w:rsidRPr="00DA3BC7">
        <w:rPr>
          <w:rStyle w:val="a6"/>
          <w:rFonts w:ascii="Times New Roman" w:hAnsi="Times New Roman"/>
        </w:rPr>
        <w:footnoteReference w:id="299"/>
      </w:r>
      <w:r w:rsidRPr="00DA3BC7">
        <w:rPr>
          <w:rFonts w:ascii="Times New Roman" w:hAnsi="Times New Roman" w:hint="eastAsia"/>
        </w:rPr>
        <w:t>即從聞而思，以便從思而到達修證；</w:t>
      </w:r>
      <w:r w:rsidRPr="00DA3BC7">
        <w:rPr>
          <w:rFonts w:ascii="Times New Roman" w:hAnsi="Times New Roman"/>
          <w:vertAlign w:val="superscript"/>
        </w:rPr>
        <w:footnoteReference w:id="300"/>
      </w:r>
      <w:r w:rsidRPr="00DA3BC7">
        <w:rPr>
          <w:rFonts w:ascii="Times New Roman" w:hAnsi="Times New Roman" w:hint="eastAsia"/>
        </w:rPr>
        <w:t>即</w:t>
      </w:r>
      <w:r w:rsidRPr="00DA3BC7">
        <w:rPr>
          <w:rFonts w:ascii="Times New Roman" w:hAnsi="Times New Roman" w:hint="eastAsia"/>
          <w:b/>
        </w:rPr>
        <w:t>以</w:t>
      </w:r>
      <w:r w:rsidRPr="00DA3BC7">
        <w:rPr>
          <w:rFonts w:ascii="新細明體" w:hAnsi="新細明體" w:hint="eastAsia"/>
          <w:b/>
        </w:rPr>
        <w:t>思慧為主而兼攝聞慧、修慧</w:t>
      </w:r>
      <w:r w:rsidRPr="00DA3BC7">
        <w:rPr>
          <w:rFonts w:ascii="新細明體" w:hint="eastAsia"/>
          <w:b/>
        </w:rPr>
        <w:t>──</w:t>
      </w:r>
      <w:r w:rsidRPr="00DA3BC7">
        <w:rPr>
          <w:rFonts w:ascii="新細明體" w:hAnsi="新細明體" w:hint="eastAsia"/>
          <w:b/>
        </w:rPr>
        <w:t>實際觀察的階段，名為比量</w:t>
      </w:r>
      <w:r w:rsidRPr="00DA3BC7">
        <w:rPr>
          <w:rFonts w:ascii="新細明體" w:hAnsi="新細明體" w:hint="eastAsia"/>
        </w:rPr>
        <w:t>。</w:t>
      </w:r>
      <w:r w:rsidRPr="00DA3BC7">
        <w:rPr>
          <w:rFonts w:ascii="新細明體" w:hAnsi="新細明體" w:hint="eastAsia"/>
          <w:b/>
        </w:rPr>
        <w:t>中道的正見，即由比量</w:t>
      </w:r>
      <w:r w:rsidRPr="00DA3BC7">
        <w:rPr>
          <w:rFonts w:ascii="Times New Roman" w:hAnsi="Times New Roman" w:hint="eastAsia"/>
          <w:b/>
        </w:rPr>
        <w:t>而來</w:t>
      </w:r>
      <w:r w:rsidRPr="00DA3BC7">
        <w:rPr>
          <w:rFonts w:ascii="Times New Roman" w:hAnsi="Times New Roman" w:hint="eastAsia"/>
        </w:rPr>
        <w:t>。三種般若中，此即</w:t>
      </w:r>
      <w:r w:rsidRPr="00DA3BC7">
        <w:rPr>
          <w:rFonts w:ascii="Times New Roman" w:hAnsi="Times New Roman" w:hint="eastAsia"/>
          <w:b/>
        </w:rPr>
        <w:t>觀照般若</w:t>
      </w:r>
      <w:r w:rsidRPr="00DA3BC7">
        <w:rPr>
          <w:rFonts w:ascii="Times New Roman" w:hAnsi="Times New Roman" w:hint="eastAsia"/>
        </w:rPr>
        <w:t>。</w:t>
      </w:r>
      <w:r w:rsidRPr="00DA3BC7">
        <w:rPr>
          <w:rStyle w:val="a6"/>
          <w:rFonts w:ascii="Times New Roman" w:hAnsi="Times New Roman"/>
        </w:rPr>
        <w:footnoteReference w:id="301"/>
      </w:r>
    </w:p>
    <w:p w:rsidR="002B682F" w:rsidRDefault="002B682F" w:rsidP="00AE3920">
      <w:pPr>
        <w:spacing w:beforeLines="30"/>
        <w:ind w:leftChars="150" w:left="360"/>
        <w:jc w:val="both"/>
        <w:rPr>
          <w:rFonts w:ascii="Times New Roman" w:eastAsia="標楷體" w:hAnsi="Times New Roman"/>
          <w:sz w:val="20"/>
          <w:szCs w:val="20"/>
        </w:rPr>
      </w:pPr>
      <w:r w:rsidRPr="00A846C3">
        <w:rPr>
          <w:rFonts w:ascii="Times New Roman" w:hAnsi="Times New Roman" w:hint="eastAsia"/>
          <w:b/>
          <w:color w:val="FF0000"/>
          <w:sz w:val="20"/>
          <w:szCs w:val="20"/>
          <w:highlight w:val="yellow"/>
          <w:bdr w:val="single" w:sz="4" w:space="0" w:color="auto" w:frame="1"/>
        </w:rPr>
        <w:lastRenderedPageBreak/>
        <w:t>（</w:t>
      </w:r>
      <w:r w:rsidR="00A846C3" w:rsidRPr="00A846C3">
        <w:rPr>
          <w:rFonts w:ascii="Times New Roman" w:hAnsi="Times New Roman" w:hint="eastAsia"/>
          <w:b/>
          <w:color w:val="FF0000"/>
          <w:sz w:val="20"/>
          <w:szCs w:val="20"/>
          <w:highlight w:val="yellow"/>
          <w:bdr w:val="single" w:sz="4" w:space="0" w:color="auto" w:frame="1"/>
        </w:rPr>
        <w:t>二</w:t>
      </w:r>
      <w:r w:rsidRPr="00A846C3">
        <w:rPr>
          <w:rFonts w:ascii="Times New Roman" w:hAnsi="Times New Roman" w:hint="eastAsia"/>
          <w:b/>
          <w:color w:val="FF0000"/>
          <w:sz w:val="20"/>
          <w:szCs w:val="20"/>
          <w:highlight w:val="yellow"/>
          <w:bdr w:val="single" w:sz="4" w:space="0" w:color="auto" w:frame="1"/>
        </w:rPr>
        <w:t>）</w:t>
      </w:r>
      <w:r w:rsidR="00A846C3" w:rsidRPr="00A846C3">
        <w:rPr>
          <w:rFonts w:ascii="Times New Roman" w:hAnsi="Times New Roman" w:hint="eastAsia"/>
          <w:b/>
          <w:color w:val="FF0000"/>
          <w:sz w:val="20"/>
          <w:szCs w:val="20"/>
          <w:highlight w:val="yellow"/>
          <w:bdr w:val="single" w:sz="4" w:space="0" w:color="auto" w:frame="1"/>
        </w:rPr>
        <w:t>述差別</w:t>
      </w:r>
      <w:r w:rsidRPr="00DA3BC7">
        <w:rPr>
          <w:rFonts w:ascii="Times New Roman" w:eastAsia="標楷體" w:hAnsi="Times New Roman" w:hint="eastAsia"/>
          <w:sz w:val="20"/>
          <w:szCs w:val="20"/>
        </w:rPr>
        <w:t>（</w:t>
      </w:r>
      <w:r w:rsidRPr="00DA3BC7">
        <w:rPr>
          <w:rFonts w:ascii="Times New Roman" w:eastAsia="標楷體" w:hAnsi="Times New Roman"/>
          <w:sz w:val="20"/>
          <w:szCs w:val="20"/>
        </w:rPr>
        <w:t>p.55</w:t>
      </w:r>
      <w:r w:rsidRPr="00DA3BC7">
        <w:rPr>
          <w:rFonts w:ascii="Times New Roman" w:eastAsia="標楷體" w:hAnsi="Times New Roman" w:hint="eastAsia"/>
          <w:sz w:val="20"/>
          <w:szCs w:val="20"/>
        </w:rPr>
        <w:t>）</w:t>
      </w:r>
    </w:p>
    <w:p w:rsidR="00A846C3" w:rsidRPr="00DA3BC7" w:rsidRDefault="00A846C3" w:rsidP="003B7900">
      <w:pPr>
        <w:ind w:leftChars="200" w:left="480"/>
        <w:jc w:val="both"/>
        <w:rPr>
          <w:rFonts w:ascii="Times New Roman" w:hAnsi="Times New Roman"/>
          <w:b/>
        </w:rPr>
      </w:pPr>
      <w:r>
        <w:rPr>
          <w:rFonts w:ascii="Times New Roman" w:hAnsi="Times New Roman" w:hint="eastAsia"/>
          <w:b/>
          <w:color w:val="FF0000"/>
          <w:sz w:val="20"/>
          <w:szCs w:val="20"/>
          <w:highlight w:val="yellow"/>
          <w:bdr w:val="single" w:sz="4" w:space="0" w:color="auto" w:frame="1"/>
        </w:rPr>
        <w:t>1</w:t>
      </w:r>
      <w:r>
        <w:rPr>
          <w:rFonts w:ascii="Times New Roman" w:hAnsi="Times New Roman" w:hint="eastAsia"/>
          <w:b/>
          <w:color w:val="FF0000"/>
          <w:sz w:val="20"/>
          <w:szCs w:val="20"/>
          <w:highlight w:val="yellow"/>
          <w:bdr w:val="single" w:sz="4" w:space="0" w:color="auto" w:frame="1"/>
        </w:rPr>
        <w:t>、世俗事相與究極真理</w:t>
      </w:r>
      <w:r w:rsidRPr="00DA3BC7">
        <w:rPr>
          <w:rFonts w:ascii="Times New Roman" w:eastAsia="標楷體" w:hAnsi="Times New Roman" w:hint="eastAsia"/>
          <w:sz w:val="20"/>
          <w:szCs w:val="20"/>
        </w:rPr>
        <w:t>（</w:t>
      </w:r>
      <w:r w:rsidRPr="00DA3BC7">
        <w:rPr>
          <w:rFonts w:ascii="Times New Roman" w:eastAsia="標楷體" w:hAnsi="Times New Roman"/>
          <w:sz w:val="20"/>
          <w:szCs w:val="20"/>
        </w:rPr>
        <w:t>p.55</w:t>
      </w:r>
      <w:r w:rsidRPr="00DA3BC7">
        <w:rPr>
          <w:rFonts w:ascii="Times New Roman" w:eastAsia="標楷體" w:hAnsi="Times New Roman" w:hint="eastAsia"/>
          <w:sz w:val="20"/>
          <w:szCs w:val="20"/>
        </w:rPr>
        <w:t>）</w:t>
      </w:r>
    </w:p>
    <w:p w:rsidR="002B682F" w:rsidRPr="00DA3BC7" w:rsidRDefault="002B682F" w:rsidP="003B7900">
      <w:pPr>
        <w:ind w:leftChars="200" w:left="480"/>
        <w:jc w:val="both"/>
        <w:rPr>
          <w:rFonts w:ascii="Times New Roman" w:hAnsi="Times New Roman"/>
        </w:rPr>
      </w:pPr>
      <w:r w:rsidRPr="00DA3BC7">
        <w:rPr>
          <w:rFonts w:ascii="Times New Roman" w:hAnsi="Times New Roman" w:hint="eastAsia"/>
        </w:rPr>
        <w:t>觀慧的尋思、抉擇、審察階段，如為</w:t>
      </w:r>
      <w:r w:rsidRPr="00DA3BC7">
        <w:rPr>
          <w:rFonts w:ascii="Times New Roman" w:hAnsi="Times New Roman" w:hint="eastAsia"/>
          <w:b/>
        </w:rPr>
        <w:t>世俗事相的觀察</w:t>
      </w:r>
      <w:r w:rsidRPr="00DA3BC7">
        <w:rPr>
          <w:rFonts w:ascii="Times New Roman" w:hAnsi="Times New Roman" w:hint="eastAsia"/>
        </w:rPr>
        <w:t>，不淨觀、慈悲觀等，即</w:t>
      </w:r>
      <w:r w:rsidRPr="00DA3BC7">
        <w:rPr>
          <w:rFonts w:ascii="Times New Roman" w:hAnsi="Times New Roman" w:hint="eastAsia"/>
          <w:b/>
        </w:rPr>
        <w:t>因明</w:t>
      </w:r>
      <w:r w:rsidRPr="00DA3BC7">
        <w:rPr>
          <w:rFonts w:ascii="Times New Roman" w:hAnsi="Times New Roman" w:hint="eastAsia"/>
        </w:rPr>
        <w:t>式的論理方式，也是可用的；</w:t>
      </w:r>
    </w:p>
    <w:p w:rsidR="002B682F" w:rsidRPr="00DA3BC7" w:rsidRDefault="002B682F" w:rsidP="003B7900">
      <w:pPr>
        <w:ind w:leftChars="200" w:left="480"/>
        <w:jc w:val="both"/>
        <w:rPr>
          <w:rFonts w:ascii="Times New Roman" w:hAnsi="Times New Roman"/>
        </w:rPr>
      </w:pPr>
      <w:r w:rsidRPr="00DA3BC7">
        <w:rPr>
          <w:rFonts w:ascii="Times New Roman" w:hAnsi="Times New Roman" w:hint="eastAsia"/>
        </w:rPr>
        <w:t>但在</w:t>
      </w:r>
      <w:r w:rsidRPr="00DA3BC7">
        <w:rPr>
          <w:rFonts w:ascii="Times New Roman" w:hAnsi="Times New Roman" w:hint="eastAsia"/>
          <w:b/>
        </w:rPr>
        <w:t>探究究極真理的抉擇、觀照</w:t>
      </w:r>
      <w:r w:rsidRPr="00DA3BC7">
        <w:rPr>
          <w:rFonts w:ascii="Times New Roman" w:hAnsi="Times New Roman" w:hint="eastAsia"/>
        </w:rPr>
        <w:t>，那非使用</w:t>
      </w:r>
      <w:r w:rsidRPr="00DA3BC7">
        <w:rPr>
          <w:rFonts w:ascii="Times New Roman" w:hAnsi="Times New Roman" w:hint="eastAsia"/>
          <w:b/>
        </w:rPr>
        <w:t>中觀</w:t>
      </w:r>
      <w:r w:rsidRPr="00DA3BC7">
        <w:rPr>
          <w:rFonts w:ascii="Times New Roman" w:hAnsi="Times New Roman" w:hint="eastAsia"/>
        </w:rPr>
        <w:t>的方法不可。</w:t>
      </w:r>
    </w:p>
    <w:p w:rsidR="00A846C3" w:rsidRDefault="00A846C3" w:rsidP="00AE3920">
      <w:pPr>
        <w:spacing w:beforeLines="30"/>
        <w:ind w:leftChars="200" w:left="480"/>
        <w:jc w:val="both"/>
        <w:rPr>
          <w:rFonts w:ascii="Times New Roman" w:eastAsia="標楷體" w:hAnsi="Times New Roman"/>
          <w:sz w:val="20"/>
          <w:szCs w:val="20"/>
        </w:rPr>
      </w:pPr>
      <w:r>
        <w:rPr>
          <w:rFonts w:ascii="Times New Roman" w:hAnsi="Times New Roman" w:hint="eastAsia"/>
          <w:b/>
          <w:color w:val="FF0000"/>
          <w:sz w:val="20"/>
          <w:szCs w:val="20"/>
          <w:highlight w:val="yellow"/>
          <w:bdr w:val="single" w:sz="4" w:space="0" w:color="auto" w:frame="1"/>
        </w:rPr>
        <w:t>2</w:t>
      </w:r>
      <w:r>
        <w:rPr>
          <w:rFonts w:ascii="Times New Roman" w:hAnsi="Times New Roman" w:hint="eastAsia"/>
          <w:b/>
          <w:color w:val="FF0000"/>
          <w:sz w:val="20"/>
          <w:szCs w:val="20"/>
          <w:highlight w:val="yellow"/>
          <w:bdr w:val="single" w:sz="4" w:space="0" w:color="auto" w:frame="1"/>
        </w:rPr>
        <w:t>、因果事相與諸法本性</w:t>
      </w:r>
      <w:r w:rsidRPr="00DA3BC7">
        <w:rPr>
          <w:rFonts w:ascii="Times New Roman" w:eastAsia="標楷體" w:hAnsi="Times New Roman" w:hint="eastAsia"/>
          <w:sz w:val="20"/>
          <w:szCs w:val="20"/>
        </w:rPr>
        <w:t>（</w:t>
      </w:r>
      <w:r w:rsidRPr="00DA3BC7">
        <w:rPr>
          <w:rFonts w:ascii="Times New Roman" w:eastAsia="標楷體" w:hAnsi="Times New Roman"/>
          <w:sz w:val="20"/>
          <w:szCs w:val="20"/>
        </w:rPr>
        <w:t>p.55</w:t>
      </w:r>
      <w:r w:rsidRPr="00DA3BC7">
        <w:rPr>
          <w:rFonts w:ascii="Times New Roman" w:eastAsia="標楷體" w:hAnsi="Times New Roman" w:hint="eastAsia"/>
          <w:sz w:val="20"/>
          <w:szCs w:val="20"/>
        </w:rPr>
        <w:t>）</w:t>
      </w:r>
    </w:p>
    <w:p w:rsidR="00A846C3" w:rsidRDefault="00A846C3" w:rsidP="003B7900">
      <w:pPr>
        <w:ind w:leftChars="250" w:left="600"/>
        <w:jc w:val="both"/>
        <w:rPr>
          <w:rFonts w:ascii="Times New Roman" w:eastAsia="標楷體" w:hAnsi="Times New Roman"/>
          <w:sz w:val="20"/>
          <w:szCs w:val="20"/>
        </w:rPr>
      </w:pPr>
      <w:r w:rsidRPr="00A846C3">
        <w:rPr>
          <w:rFonts w:ascii="Times New Roman" w:hAnsi="Times New Roman" w:hint="eastAsia"/>
          <w:b/>
          <w:color w:val="FF0000"/>
          <w:sz w:val="20"/>
          <w:szCs w:val="20"/>
          <w:highlight w:val="yellow"/>
          <w:bdr w:val="single" w:sz="4" w:space="0" w:color="auto" w:frame="1"/>
        </w:rPr>
        <w:t>（</w:t>
      </w:r>
      <w:r>
        <w:rPr>
          <w:rFonts w:ascii="Times New Roman" w:hAnsi="Times New Roman" w:hint="eastAsia"/>
          <w:b/>
          <w:color w:val="FF0000"/>
          <w:sz w:val="20"/>
          <w:szCs w:val="20"/>
          <w:highlight w:val="yellow"/>
          <w:bdr w:val="single" w:sz="4" w:space="0" w:color="auto" w:frame="1"/>
        </w:rPr>
        <w:t>1</w:t>
      </w:r>
      <w:r w:rsidRPr="00A846C3">
        <w:rPr>
          <w:rFonts w:ascii="Times New Roman" w:hAnsi="Times New Roman" w:hint="eastAsia"/>
          <w:b/>
          <w:color w:val="FF0000"/>
          <w:sz w:val="20"/>
          <w:szCs w:val="20"/>
          <w:highlight w:val="yellow"/>
          <w:bdr w:val="single" w:sz="4" w:space="0" w:color="auto" w:frame="1"/>
        </w:rPr>
        <w:t>）</w:t>
      </w:r>
      <w:r>
        <w:rPr>
          <w:rFonts w:ascii="Times New Roman" w:hAnsi="Times New Roman" w:hint="eastAsia"/>
          <w:b/>
          <w:color w:val="FF0000"/>
          <w:sz w:val="20"/>
          <w:szCs w:val="20"/>
          <w:highlight w:val="yellow"/>
          <w:bdr w:val="single" w:sz="4" w:space="0" w:color="auto" w:frame="1"/>
        </w:rPr>
        <w:t>略要</w:t>
      </w:r>
      <w:r w:rsidRPr="00DA3BC7">
        <w:rPr>
          <w:rFonts w:ascii="Times New Roman" w:eastAsia="標楷體" w:hAnsi="Times New Roman" w:hint="eastAsia"/>
          <w:sz w:val="20"/>
          <w:szCs w:val="20"/>
        </w:rPr>
        <w:t>（</w:t>
      </w:r>
      <w:r w:rsidRPr="00DA3BC7">
        <w:rPr>
          <w:rFonts w:ascii="Times New Roman" w:eastAsia="標楷體" w:hAnsi="Times New Roman"/>
          <w:sz w:val="20"/>
          <w:szCs w:val="20"/>
        </w:rPr>
        <w:t>p.55</w:t>
      </w:r>
      <w:r w:rsidRPr="00DA3BC7">
        <w:rPr>
          <w:rFonts w:ascii="Times New Roman" w:eastAsia="標楷體" w:hAnsi="Times New Roman" w:hint="eastAsia"/>
          <w:sz w:val="20"/>
          <w:szCs w:val="20"/>
        </w:rPr>
        <w:t>）</w:t>
      </w:r>
    </w:p>
    <w:p w:rsidR="002B682F" w:rsidRPr="00DA3BC7" w:rsidRDefault="002B682F" w:rsidP="003B7900">
      <w:pPr>
        <w:ind w:leftChars="250" w:left="600"/>
        <w:jc w:val="both"/>
        <w:rPr>
          <w:rFonts w:ascii="Times New Roman" w:hAnsi="Times New Roman"/>
          <w:szCs w:val="20"/>
          <w:bdr w:val="single" w:sz="4" w:space="0" w:color="auto" w:frame="1"/>
        </w:rPr>
      </w:pPr>
      <w:r w:rsidRPr="00DA3BC7">
        <w:rPr>
          <w:rFonts w:ascii="Times New Roman" w:hAnsi="Times New Roman" w:hint="eastAsia"/>
        </w:rPr>
        <w:t>中觀法，不是從</w:t>
      </w:r>
      <w:r w:rsidRPr="00DA3BC7">
        <w:rPr>
          <w:rFonts w:ascii="Times New Roman" w:hAnsi="Times New Roman" w:hint="eastAsia"/>
          <w:b/>
        </w:rPr>
        <w:t>形式的差別</w:t>
      </w:r>
      <w:r w:rsidRPr="00DA3BC7">
        <w:rPr>
          <w:rFonts w:ascii="Times New Roman" w:hAnsi="Times New Roman" w:hint="eastAsia"/>
        </w:rPr>
        <w:t>去考察，而是</w:t>
      </w:r>
      <w:r w:rsidRPr="00DA3BC7">
        <w:rPr>
          <w:rFonts w:ascii="Times New Roman" w:hAnsi="Times New Roman" w:hint="eastAsia"/>
          <w:b/>
        </w:rPr>
        <w:t>從內容的彼此關涉中去考察</w:t>
      </w:r>
      <w:r w:rsidRPr="00DA3BC7">
        <w:rPr>
          <w:rFonts w:ascii="Times New Roman" w:hAnsi="Times New Roman" w:hint="eastAsia"/>
        </w:rPr>
        <w:t>；是</w:t>
      </w:r>
      <w:r w:rsidRPr="00DA3BC7">
        <w:rPr>
          <w:rFonts w:ascii="Times New Roman" w:hAnsi="Times New Roman" w:hint="eastAsia"/>
          <w:b/>
        </w:rPr>
        <w:t>從緣起法</w:t>
      </w:r>
      <w:r w:rsidRPr="00DA3BC7">
        <w:rPr>
          <w:rFonts w:ascii="新細明體" w:hint="eastAsia"/>
          <w:b/>
        </w:rPr>
        <w:t>──</w:t>
      </w:r>
      <w:r w:rsidRPr="00DA3BC7">
        <w:rPr>
          <w:rFonts w:ascii="Times New Roman" w:hAnsi="Times New Roman" w:hint="eastAsia"/>
          <w:b/>
        </w:rPr>
        <w:t>內在相依相待中，更深入到事事物物的本性去觀察的。</w:t>
      </w:r>
    </w:p>
    <w:p w:rsidR="002B682F" w:rsidRPr="00DA3BC7" w:rsidRDefault="002B682F" w:rsidP="003B7900">
      <w:pPr>
        <w:ind w:leftChars="250" w:left="600"/>
        <w:jc w:val="both"/>
        <w:rPr>
          <w:rFonts w:ascii="Times New Roman" w:hAnsi="Times New Roman"/>
        </w:rPr>
      </w:pPr>
      <w:r w:rsidRPr="00DA3BC7">
        <w:rPr>
          <w:rFonts w:ascii="Times New Roman" w:hAnsi="Times New Roman" w:hint="eastAsia"/>
        </w:rPr>
        <w:t>由緣起法以觀</w:t>
      </w:r>
      <w:r w:rsidRPr="00DA3BC7">
        <w:rPr>
          <w:rFonts w:ascii="Times New Roman" w:hAnsi="新細明體" w:hint="eastAsia"/>
        </w:rPr>
        <w:t>察</w:t>
      </w:r>
      <w:r w:rsidRPr="00DA3BC7">
        <w:rPr>
          <w:rFonts w:ascii="Times New Roman" w:hAnsi="Times New Roman" w:hint="eastAsia"/>
        </w:rPr>
        <w:t>無自性的因果事相，即</w:t>
      </w:r>
      <w:r w:rsidRPr="00DA3BC7">
        <w:rPr>
          <w:rFonts w:ascii="Times New Roman" w:hAnsi="Times New Roman" w:hint="eastAsia"/>
          <w:b/>
        </w:rPr>
        <w:t>從緣起到緣生</w:t>
      </w:r>
      <w:r w:rsidRPr="00DA3BC7">
        <w:rPr>
          <w:rFonts w:ascii="Times New Roman" w:hAnsi="Times New Roman" w:hint="eastAsia"/>
        </w:rPr>
        <w:t>，</w:t>
      </w:r>
      <w:r w:rsidRPr="00DA3BC7">
        <w:rPr>
          <w:rStyle w:val="a6"/>
          <w:rFonts w:ascii="Times New Roman" w:hAnsi="Times New Roman"/>
        </w:rPr>
        <w:footnoteReference w:id="302"/>
      </w:r>
      <w:r w:rsidRPr="00DA3BC7">
        <w:rPr>
          <w:rFonts w:ascii="Times New Roman" w:hAnsi="Times New Roman" w:hint="eastAsia"/>
        </w:rPr>
        <w:t>這是</w:t>
      </w:r>
      <w:r w:rsidRPr="00DA3BC7">
        <w:rPr>
          <w:rFonts w:ascii="Times New Roman" w:hAnsi="Times New Roman" w:hint="eastAsia"/>
          <w:b/>
        </w:rPr>
        <w:t>隨順世俗</w:t>
      </w:r>
      <w:r w:rsidRPr="00DA3BC7">
        <w:rPr>
          <w:rFonts w:ascii="Times New Roman" w:hAnsi="Times New Roman" w:hint="eastAsia"/>
          <w:b/>
        </w:rPr>
        <w:lastRenderedPageBreak/>
        <w:t>的中觀法</w:t>
      </w:r>
      <w:r w:rsidRPr="00DA3BC7">
        <w:rPr>
          <w:rFonts w:ascii="Times New Roman" w:hAnsi="Times New Roman" w:hint="eastAsia"/>
        </w:rPr>
        <w:t>。</w:t>
      </w:r>
    </w:p>
    <w:p w:rsidR="002B682F" w:rsidRPr="00DA3BC7" w:rsidRDefault="002B682F" w:rsidP="003B7900">
      <w:pPr>
        <w:ind w:leftChars="250" w:left="600"/>
        <w:jc w:val="both"/>
        <w:rPr>
          <w:rFonts w:ascii="Times New Roman" w:hAnsi="Times New Roman"/>
        </w:rPr>
      </w:pPr>
      <w:r w:rsidRPr="00DA3BC7">
        <w:rPr>
          <w:rFonts w:ascii="Times New Roman" w:hAnsi="Times New Roman" w:hint="eastAsia"/>
        </w:rPr>
        <w:t>依緣起法以觀察法法無自性的本性，洗淨眾生的一切錯謬成見，即</w:t>
      </w:r>
      <w:r w:rsidRPr="00DA3BC7">
        <w:rPr>
          <w:rFonts w:ascii="Times New Roman" w:hAnsi="Times New Roman" w:hint="eastAsia"/>
          <w:b/>
        </w:rPr>
        <w:t>從緣起到寂滅</w:t>
      </w:r>
      <w:r w:rsidRPr="00DA3BC7">
        <w:rPr>
          <w:rFonts w:ascii="Times New Roman" w:hAnsi="Times New Roman" w:hint="eastAsia"/>
        </w:rPr>
        <w:t>，這是</w:t>
      </w:r>
      <w:r w:rsidRPr="00DA3BC7">
        <w:rPr>
          <w:rFonts w:ascii="Times New Roman" w:hAnsi="Times New Roman" w:hint="eastAsia"/>
          <w:b/>
        </w:rPr>
        <w:t>隨順勝義的中觀法</w:t>
      </w:r>
      <w:r w:rsidRPr="00DA3BC7">
        <w:rPr>
          <w:rFonts w:ascii="Times New Roman" w:hAnsi="Times New Roman" w:hint="eastAsia"/>
        </w:rPr>
        <w:t>。</w:t>
      </w:r>
    </w:p>
    <w:p w:rsidR="002B682F" w:rsidRPr="00DA3BC7" w:rsidRDefault="00A846C3" w:rsidP="00AE3920">
      <w:pPr>
        <w:spacing w:beforeLines="30"/>
        <w:ind w:leftChars="250" w:left="600"/>
        <w:jc w:val="both"/>
        <w:rPr>
          <w:rFonts w:ascii="Times New Roman" w:eastAsia="標楷體" w:hAnsi="Times New Roman"/>
          <w:sz w:val="20"/>
          <w:szCs w:val="20"/>
        </w:rPr>
      </w:pPr>
      <w:r w:rsidRPr="00A846C3">
        <w:rPr>
          <w:rFonts w:ascii="Times New Roman" w:hAnsi="Times New Roman" w:hint="eastAsia"/>
          <w:b/>
          <w:color w:val="FF0000"/>
          <w:sz w:val="20"/>
          <w:szCs w:val="20"/>
          <w:highlight w:val="yellow"/>
          <w:bdr w:val="single" w:sz="4" w:space="0" w:color="auto" w:frame="1"/>
        </w:rPr>
        <w:t>（</w:t>
      </w:r>
      <w:r w:rsidRPr="00A846C3">
        <w:rPr>
          <w:rFonts w:ascii="Times New Roman" w:hAnsi="Times New Roman" w:hint="eastAsia"/>
          <w:b/>
          <w:color w:val="FF0000"/>
          <w:sz w:val="20"/>
          <w:szCs w:val="20"/>
          <w:highlight w:val="yellow"/>
          <w:bdr w:val="single" w:sz="4" w:space="0" w:color="auto" w:frame="1"/>
        </w:rPr>
        <w:t>2</w:t>
      </w:r>
      <w:r w:rsidRPr="00A846C3">
        <w:rPr>
          <w:rFonts w:ascii="Times New Roman" w:hAnsi="Times New Roman" w:hint="eastAsia"/>
          <w:b/>
          <w:color w:val="FF0000"/>
          <w:sz w:val="20"/>
          <w:szCs w:val="20"/>
          <w:highlight w:val="yellow"/>
          <w:bdr w:val="single" w:sz="4" w:space="0" w:color="auto" w:frame="1"/>
        </w:rPr>
        <w:t>）詳釋</w:t>
      </w:r>
      <w:r w:rsidR="002B682F" w:rsidRPr="00DA3BC7">
        <w:rPr>
          <w:rFonts w:ascii="Times New Roman" w:eastAsia="標楷體" w:hAnsi="Times New Roman" w:hint="eastAsia"/>
          <w:sz w:val="20"/>
          <w:szCs w:val="20"/>
        </w:rPr>
        <w:t>（</w:t>
      </w:r>
      <w:r w:rsidR="002B682F" w:rsidRPr="00DA3BC7">
        <w:rPr>
          <w:rFonts w:ascii="Times New Roman" w:eastAsia="標楷體" w:hAnsi="Times New Roman"/>
          <w:sz w:val="20"/>
          <w:szCs w:val="20"/>
        </w:rPr>
        <w:t>pp.55-56</w:t>
      </w:r>
      <w:r w:rsidR="002B682F" w:rsidRPr="00DA3BC7">
        <w:rPr>
          <w:rFonts w:ascii="Times New Roman" w:eastAsia="標楷體" w:hAnsi="Times New Roman" w:hint="eastAsia"/>
          <w:sz w:val="20"/>
          <w:szCs w:val="20"/>
        </w:rPr>
        <w:t>）</w:t>
      </w:r>
    </w:p>
    <w:p w:rsidR="00A846C3" w:rsidRDefault="00A846C3" w:rsidP="003B7900">
      <w:pPr>
        <w:ind w:leftChars="300" w:left="720"/>
        <w:jc w:val="both"/>
        <w:rPr>
          <w:rFonts w:ascii="Times New Roman" w:eastAsia="標楷體" w:hAnsi="Times New Roman"/>
          <w:sz w:val="20"/>
          <w:szCs w:val="20"/>
        </w:rPr>
      </w:pPr>
      <w:r w:rsidRPr="00A846C3">
        <w:rPr>
          <w:rFonts w:ascii="Times New Roman" w:hAnsi="Times New Roman" w:hint="eastAsia"/>
          <w:b/>
          <w:color w:val="FF0000"/>
          <w:sz w:val="20"/>
          <w:szCs w:val="20"/>
          <w:highlight w:val="yellow"/>
          <w:bdr w:val="single" w:sz="4" w:space="0" w:color="auto" w:frame="1"/>
        </w:rPr>
        <w:t>A</w:t>
      </w:r>
      <w:r w:rsidRPr="00A846C3">
        <w:rPr>
          <w:rFonts w:ascii="Times New Roman" w:hAnsi="Times New Roman" w:hint="eastAsia"/>
          <w:b/>
          <w:color w:val="FF0000"/>
          <w:sz w:val="20"/>
          <w:szCs w:val="20"/>
          <w:highlight w:val="yellow"/>
          <w:bdr w:val="single" w:sz="4" w:space="0" w:color="auto" w:frame="1"/>
        </w:rPr>
        <w:t>、依義示別</w:t>
      </w:r>
      <w:r w:rsidR="002B682F" w:rsidRPr="00DA3BC7">
        <w:rPr>
          <w:rFonts w:ascii="Times New Roman" w:eastAsia="標楷體" w:hAnsi="Times New Roman" w:hint="eastAsia"/>
          <w:sz w:val="20"/>
          <w:szCs w:val="20"/>
        </w:rPr>
        <w:t>（</w:t>
      </w:r>
      <w:r w:rsidR="002B682F" w:rsidRPr="00DA3BC7">
        <w:rPr>
          <w:rFonts w:ascii="Times New Roman" w:eastAsia="標楷體" w:hAnsi="Times New Roman"/>
          <w:sz w:val="20"/>
          <w:szCs w:val="20"/>
        </w:rPr>
        <w:t>p.55</w:t>
      </w:r>
      <w:r w:rsidR="002B682F" w:rsidRPr="00DA3BC7">
        <w:rPr>
          <w:rFonts w:ascii="Times New Roman" w:eastAsia="標楷體" w:hAnsi="Times New Roman" w:hint="eastAsia"/>
          <w:sz w:val="20"/>
          <w:szCs w:val="20"/>
        </w:rPr>
        <w:t>）</w:t>
      </w:r>
    </w:p>
    <w:p w:rsidR="002B682F" w:rsidRPr="00DA3BC7" w:rsidRDefault="00A846C3" w:rsidP="003B7900">
      <w:pPr>
        <w:ind w:leftChars="350" w:left="840"/>
        <w:jc w:val="both"/>
        <w:rPr>
          <w:rFonts w:ascii="Times New Roman" w:eastAsia="標楷體" w:hAnsi="Times New Roman"/>
          <w:sz w:val="20"/>
          <w:szCs w:val="20"/>
        </w:rPr>
      </w:pPr>
      <w:r w:rsidRPr="00A846C3">
        <w:rPr>
          <w:rFonts w:ascii="Times New Roman" w:hAnsi="Times New Roman" w:hint="eastAsia"/>
          <w:b/>
          <w:color w:val="FF0000"/>
          <w:sz w:val="20"/>
          <w:szCs w:val="20"/>
          <w:highlight w:val="yellow"/>
          <w:bdr w:val="single" w:sz="4" w:space="0" w:color="auto" w:frame="1"/>
        </w:rPr>
        <w:t>（</w:t>
      </w:r>
      <w:r>
        <w:rPr>
          <w:rFonts w:ascii="Times New Roman" w:hAnsi="Times New Roman" w:hint="eastAsia"/>
          <w:b/>
          <w:color w:val="FF0000"/>
          <w:sz w:val="20"/>
          <w:szCs w:val="20"/>
          <w:highlight w:val="yellow"/>
          <w:bdr w:val="single" w:sz="4" w:space="0" w:color="auto" w:frame="1"/>
        </w:rPr>
        <w:t>A</w:t>
      </w:r>
      <w:r w:rsidRPr="00A846C3">
        <w:rPr>
          <w:rFonts w:ascii="Times New Roman" w:hAnsi="Times New Roman" w:hint="eastAsia"/>
          <w:b/>
          <w:color w:val="FF0000"/>
          <w:sz w:val="20"/>
          <w:szCs w:val="20"/>
          <w:highlight w:val="yellow"/>
          <w:bdr w:val="single" w:sz="4" w:space="0" w:color="auto" w:frame="1"/>
        </w:rPr>
        <w:t>）</w:t>
      </w:r>
      <w:r>
        <w:rPr>
          <w:rFonts w:ascii="Times New Roman" w:hAnsi="Times New Roman" w:hint="eastAsia"/>
          <w:b/>
          <w:color w:val="FF0000"/>
          <w:sz w:val="20"/>
          <w:szCs w:val="20"/>
          <w:highlight w:val="yellow"/>
          <w:bdr w:val="single" w:sz="4" w:space="0" w:color="auto" w:frame="1"/>
        </w:rPr>
        <w:t>順世俗之道</w:t>
      </w:r>
      <w:r w:rsidRPr="00DA3BC7">
        <w:rPr>
          <w:rFonts w:ascii="Times New Roman" w:eastAsia="標楷體" w:hAnsi="Times New Roman" w:hint="eastAsia"/>
          <w:sz w:val="20"/>
          <w:szCs w:val="20"/>
        </w:rPr>
        <w:t>（</w:t>
      </w:r>
      <w:r w:rsidRPr="00DA3BC7">
        <w:rPr>
          <w:rFonts w:ascii="Times New Roman" w:eastAsia="標楷體" w:hAnsi="Times New Roman"/>
          <w:sz w:val="20"/>
          <w:szCs w:val="20"/>
        </w:rPr>
        <w:t>p.55</w:t>
      </w:r>
      <w:r w:rsidRPr="00DA3BC7">
        <w:rPr>
          <w:rFonts w:ascii="Times New Roman" w:eastAsia="標楷體" w:hAnsi="Times New Roman" w:hint="eastAsia"/>
          <w:sz w:val="20"/>
          <w:szCs w:val="20"/>
        </w:rPr>
        <w:t>）</w:t>
      </w:r>
    </w:p>
    <w:p w:rsidR="002B682F" w:rsidRPr="00DA3BC7" w:rsidRDefault="002B682F" w:rsidP="003B7900">
      <w:pPr>
        <w:ind w:leftChars="350" w:left="840"/>
        <w:jc w:val="both"/>
        <w:rPr>
          <w:rFonts w:ascii="Times New Roman" w:hAnsi="Times New Roman"/>
        </w:rPr>
      </w:pPr>
      <w:r w:rsidRPr="00DA3BC7">
        <w:rPr>
          <w:rFonts w:ascii="Times New Roman" w:hAnsi="Times New Roman" w:hint="eastAsia"/>
          <w:b/>
        </w:rPr>
        <w:t>隨順世俗的中觀法</w:t>
      </w:r>
      <w:r w:rsidRPr="00DA3BC7">
        <w:rPr>
          <w:rFonts w:ascii="Times New Roman" w:hAnsi="Times New Roman" w:hint="eastAsia"/>
        </w:rPr>
        <w:t>，是基於緣起的相依相待、相凌</w:t>
      </w:r>
      <w:r w:rsidRPr="00DA3BC7">
        <w:rPr>
          <w:rStyle w:val="a6"/>
          <w:rFonts w:ascii="Times New Roman" w:hAnsi="Times New Roman"/>
        </w:rPr>
        <w:footnoteReference w:id="303"/>
      </w:r>
      <w:r w:rsidRPr="00DA3BC7">
        <w:rPr>
          <w:rFonts w:ascii="Times New Roman" w:hAnsi="Times New Roman" w:hint="eastAsia"/>
        </w:rPr>
        <w:t>相奪以觀察一切，也不會與因明的方法全同。</w:t>
      </w:r>
    </w:p>
    <w:p w:rsidR="002B682F" w:rsidRPr="00DA3BC7" w:rsidRDefault="002B682F" w:rsidP="00AE3920">
      <w:pPr>
        <w:spacing w:beforeLines="30"/>
        <w:ind w:leftChars="350" w:left="840"/>
        <w:jc w:val="both"/>
        <w:rPr>
          <w:rFonts w:ascii="Times New Roman" w:hAnsi="Times New Roman"/>
          <w:b/>
        </w:rPr>
      </w:pPr>
      <w:r w:rsidRPr="00A846C3">
        <w:rPr>
          <w:rFonts w:ascii="Times New Roman" w:hAnsi="Times New Roman" w:hint="eastAsia"/>
          <w:b/>
          <w:color w:val="FF0000"/>
          <w:sz w:val="20"/>
          <w:szCs w:val="20"/>
          <w:highlight w:val="yellow"/>
          <w:bdr w:val="single" w:sz="4" w:space="0" w:color="auto" w:frame="1"/>
        </w:rPr>
        <w:t>（</w:t>
      </w:r>
      <w:r w:rsidR="00A846C3" w:rsidRPr="00A846C3">
        <w:rPr>
          <w:rFonts w:ascii="Times New Roman" w:hAnsi="Times New Roman" w:hint="eastAsia"/>
          <w:b/>
          <w:color w:val="FF0000"/>
          <w:sz w:val="20"/>
          <w:szCs w:val="20"/>
          <w:highlight w:val="yellow"/>
          <w:bdr w:val="single" w:sz="4" w:space="0" w:color="auto" w:frame="1"/>
        </w:rPr>
        <w:t>B</w:t>
      </w:r>
      <w:r w:rsidRPr="00A846C3">
        <w:rPr>
          <w:rFonts w:ascii="Times New Roman" w:hAnsi="Times New Roman" w:hint="eastAsia"/>
          <w:b/>
          <w:color w:val="FF0000"/>
          <w:sz w:val="20"/>
          <w:szCs w:val="20"/>
          <w:highlight w:val="yellow"/>
          <w:bdr w:val="single" w:sz="4" w:space="0" w:color="auto" w:frame="1"/>
        </w:rPr>
        <w:t>）順勝義</w:t>
      </w:r>
      <w:r w:rsidR="00A846C3" w:rsidRPr="00A846C3">
        <w:rPr>
          <w:rFonts w:ascii="Times New Roman" w:hAnsi="Times New Roman" w:hint="eastAsia"/>
          <w:b/>
          <w:color w:val="FF0000"/>
          <w:sz w:val="20"/>
          <w:szCs w:val="20"/>
          <w:highlight w:val="yellow"/>
          <w:bdr w:val="single" w:sz="4" w:space="0" w:color="auto" w:frame="1"/>
        </w:rPr>
        <w:t>之道</w:t>
      </w:r>
      <w:r w:rsidR="00A846C3" w:rsidRPr="00DA3BC7">
        <w:rPr>
          <w:rFonts w:ascii="Times New Roman" w:eastAsia="標楷體" w:hAnsi="Times New Roman" w:hint="eastAsia"/>
          <w:sz w:val="20"/>
          <w:szCs w:val="20"/>
        </w:rPr>
        <w:t>（</w:t>
      </w:r>
      <w:r w:rsidR="00A846C3" w:rsidRPr="00DA3BC7">
        <w:rPr>
          <w:rFonts w:ascii="Times New Roman" w:eastAsia="標楷體" w:hAnsi="Times New Roman"/>
          <w:sz w:val="20"/>
          <w:szCs w:val="20"/>
        </w:rPr>
        <w:t>pp.55-56</w:t>
      </w:r>
      <w:r w:rsidR="00A846C3" w:rsidRPr="00DA3BC7">
        <w:rPr>
          <w:rFonts w:ascii="Times New Roman" w:eastAsia="標楷體" w:hAnsi="Times New Roman" w:hint="eastAsia"/>
          <w:sz w:val="20"/>
          <w:szCs w:val="20"/>
        </w:rPr>
        <w:t>）</w:t>
      </w:r>
    </w:p>
    <w:p w:rsidR="002B682F" w:rsidRPr="00DA3BC7" w:rsidRDefault="002B682F" w:rsidP="003B7900">
      <w:pPr>
        <w:ind w:leftChars="350" w:left="840"/>
        <w:jc w:val="both"/>
        <w:rPr>
          <w:rFonts w:ascii="Times New Roman" w:hAnsi="Times New Roman"/>
        </w:rPr>
      </w:pPr>
      <w:r w:rsidRPr="00DA3BC7">
        <w:rPr>
          <w:rFonts w:ascii="Times New Roman" w:hAnsi="Times New Roman" w:hint="eastAsia"/>
        </w:rPr>
        <w:t>特別是：依緣起相依相待、相凌相奪的觀法，隨順勝義的中道而傾向於勝義</w:t>
      </w:r>
      <w:r w:rsidRPr="00DA3BC7">
        <w:rPr>
          <w:rFonts w:ascii="新細明體" w:hint="eastAsia"/>
        </w:rPr>
        <w:t>──</w:t>
      </w:r>
      <w:r w:rsidRPr="00DA3BC7">
        <w:rPr>
          <w:rFonts w:ascii="Times New Roman" w:hAnsi="Times New Roman" w:hint="eastAsia"/>
        </w:rPr>
        <w:t>「</w:t>
      </w:r>
      <w:r w:rsidRPr="00B47F0F">
        <w:rPr>
          <w:rFonts w:ascii="標楷體" w:eastAsia="標楷體" w:hAnsi="標楷體" w:hint="eastAsia"/>
        </w:rPr>
        <w:t>一切法趣空</w:t>
      </w:r>
      <w:r w:rsidRPr="00DA3BC7">
        <w:rPr>
          <w:rFonts w:ascii="Times New Roman" w:hAnsi="Times New Roman" w:hint="eastAsia"/>
        </w:rPr>
        <w:t>」</w:t>
      </w:r>
      <w:r w:rsidR="00B47F0F" w:rsidRPr="00B47F0F">
        <w:rPr>
          <w:rStyle w:val="a6"/>
          <w:rFonts w:ascii="Times New Roman" w:hAnsi="Times New Roman"/>
          <w:color w:val="FF0000"/>
          <w:highlight w:val="yellow"/>
        </w:rPr>
        <w:footnoteReference w:id="304"/>
      </w:r>
      <w:r w:rsidRPr="00DA3BC7">
        <w:rPr>
          <w:rFonts w:ascii="Times New Roman" w:hAnsi="Times New Roman" w:hint="eastAsia"/>
        </w:rPr>
        <w:t>的觀慧。</w:t>
      </w:r>
    </w:p>
    <w:p w:rsidR="002B682F" w:rsidRPr="00DA3BC7" w:rsidRDefault="002B682F" w:rsidP="00AE3920">
      <w:pPr>
        <w:spacing w:beforeLines="20"/>
        <w:ind w:leftChars="350" w:left="840"/>
        <w:jc w:val="both"/>
        <w:rPr>
          <w:rFonts w:ascii="Times New Roman" w:hAnsi="Times New Roman"/>
        </w:rPr>
      </w:pPr>
      <w:r w:rsidRPr="00DA3BC7">
        <w:rPr>
          <w:rFonts w:ascii="Times New Roman" w:hAnsi="Times New Roman" w:hint="eastAsia"/>
        </w:rPr>
        <w:t>觀慧雖也觀察不到離言的中道勝義，而依此緣起觀，卻能深入本性空寂，成為深入中道的不二法門。</w:t>
      </w:r>
      <w:r w:rsidRPr="00DA3BC7">
        <w:rPr>
          <w:rStyle w:val="a6"/>
          <w:rFonts w:ascii="Times New Roman" w:hAnsi="Times New Roman"/>
        </w:rPr>
        <w:footnoteReference w:id="305"/>
      </w:r>
    </w:p>
    <w:p w:rsidR="002B682F" w:rsidRPr="00DA3BC7" w:rsidRDefault="002B682F" w:rsidP="003B7900">
      <w:pPr>
        <w:ind w:leftChars="350" w:left="840"/>
        <w:jc w:val="both"/>
        <w:rPr>
          <w:rFonts w:ascii="Times New Roman" w:hAnsi="Times New Roman"/>
        </w:rPr>
      </w:pPr>
      <w:r w:rsidRPr="00DA3BC7">
        <w:rPr>
          <w:rFonts w:ascii="Times New Roman" w:hAnsi="Times New Roman" w:hint="eastAsia"/>
        </w:rPr>
        <w:t>中道離一切相，但即為成立緣起的特性，中道即緣起的中道；</w:t>
      </w:r>
      <w:r w:rsidRPr="00DA3BC7">
        <w:rPr>
          <w:rFonts w:ascii="Times New Roman" w:hAnsi="Times New Roman" w:hint="eastAsia"/>
          <w:b/>
        </w:rPr>
        <w:t>緣起的因果生滅，當下顯示這空寂的真理</w:t>
      </w:r>
      <w:r w:rsidRPr="00DA3BC7">
        <w:rPr>
          <w:rFonts w:ascii="Times New Roman" w:hAnsi="Times New Roman" w:hint="eastAsia"/>
        </w:rPr>
        <w:t>。</w:t>
      </w:r>
    </w:p>
    <w:p w:rsidR="00A846C3" w:rsidRPr="00DA3BC7" w:rsidRDefault="00A846C3" w:rsidP="00AE3920">
      <w:pPr>
        <w:spacing w:beforeLines="30"/>
        <w:ind w:leftChars="300" w:left="720"/>
        <w:jc w:val="both"/>
        <w:rPr>
          <w:rFonts w:ascii="Times New Roman" w:hAnsi="Times New Roman"/>
          <w:b/>
        </w:rPr>
      </w:pPr>
      <w:r w:rsidRPr="00A846C3">
        <w:rPr>
          <w:rFonts w:ascii="Times New Roman" w:hAnsi="Times New Roman" w:hint="eastAsia"/>
          <w:b/>
          <w:color w:val="FF0000"/>
          <w:sz w:val="20"/>
          <w:szCs w:val="20"/>
          <w:highlight w:val="yellow"/>
          <w:bdr w:val="single" w:sz="4" w:space="0" w:color="auto" w:frame="1"/>
        </w:rPr>
        <w:t>B</w:t>
      </w:r>
      <w:r>
        <w:rPr>
          <w:rFonts w:ascii="Times New Roman" w:hAnsi="Times New Roman" w:hint="eastAsia"/>
          <w:b/>
          <w:color w:val="FF0000"/>
          <w:sz w:val="20"/>
          <w:szCs w:val="20"/>
          <w:highlight w:val="yellow"/>
          <w:bdr w:val="single" w:sz="4" w:space="0" w:color="auto" w:frame="1"/>
        </w:rPr>
        <w:t>、舉喻合法</w:t>
      </w:r>
      <w:r w:rsidRPr="00DA3BC7">
        <w:rPr>
          <w:rFonts w:ascii="Times New Roman" w:eastAsia="標楷體" w:hAnsi="Times New Roman" w:hint="eastAsia"/>
          <w:sz w:val="20"/>
          <w:szCs w:val="20"/>
        </w:rPr>
        <w:t>（</w:t>
      </w:r>
      <w:r w:rsidRPr="00DA3BC7">
        <w:rPr>
          <w:rFonts w:ascii="Times New Roman" w:eastAsia="標楷體" w:hAnsi="Times New Roman"/>
          <w:sz w:val="20"/>
          <w:szCs w:val="20"/>
        </w:rPr>
        <w:t>pp.55-56</w:t>
      </w:r>
      <w:r w:rsidRPr="00DA3BC7">
        <w:rPr>
          <w:rFonts w:ascii="Times New Roman" w:eastAsia="標楷體" w:hAnsi="Times New Roman" w:hint="eastAsia"/>
          <w:sz w:val="20"/>
          <w:szCs w:val="20"/>
        </w:rPr>
        <w:t>）</w:t>
      </w:r>
    </w:p>
    <w:p w:rsidR="002B682F" w:rsidRPr="00DA3BC7" w:rsidRDefault="002B682F" w:rsidP="003B7900">
      <w:pPr>
        <w:ind w:leftChars="300" w:left="720"/>
        <w:jc w:val="both"/>
        <w:rPr>
          <w:rFonts w:ascii="Times New Roman" w:hAnsi="Times New Roman"/>
        </w:rPr>
      </w:pPr>
      <w:r w:rsidRPr="00DA3BC7">
        <w:rPr>
          <w:rFonts w:ascii="Times New Roman" w:hAnsi="Times New Roman" w:hint="eastAsia"/>
        </w:rPr>
        <w:t>譬如江水在峽谷中，反流而激起狂浪，然同時它即反歸於平靜，而且直趨於大海。在這怒浪狂躍</w:t>
      </w:r>
      <w:r w:rsidRPr="00DA3BC7">
        <w:rPr>
          <w:rStyle w:val="a6"/>
          <w:rFonts w:ascii="Times New Roman" w:hAnsi="Times New Roman"/>
        </w:rPr>
        <w:footnoteReference w:id="306"/>
      </w:r>
      <w:r w:rsidRPr="00DA3BC7">
        <w:rPr>
          <w:rFonts w:ascii="Times New Roman" w:hAnsi="Times New Roman" w:hint="eastAsia"/>
        </w:rPr>
        <w:t>時，雖未能想見海水的一味，但能順此水勢而流，即必有會歸大海的可能。</w:t>
      </w:r>
    </w:p>
    <w:p w:rsidR="002B682F" w:rsidRPr="00DA3BC7" w:rsidRDefault="002B682F" w:rsidP="00AE3920">
      <w:pPr>
        <w:spacing w:beforeLines="20"/>
        <w:ind w:leftChars="300" w:left="720"/>
        <w:jc w:val="both"/>
        <w:rPr>
          <w:rFonts w:ascii="Times New Roman" w:hAnsi="Times New Roman"/>
        </w:rPr>
      </w:pPr>
      <w:r w:rsidRPr="00DA3BC7">
        <w:rPr>
          <w:rFonts w:ascii="Times New Roman" w:hAnsi="Times New Roman" w:hint="eastAsia"/>
        </w:rPr>
        <w:lastRenderedPageBreak/>
        <w:t>從緣起法以觀察中道，也即是如此。</w:t>
      </w:r>
    </w:p>
    <w:p w:rsidR="002B682F" w:rsidRPr="00DA3BC7" w:rsidRDefault="002B682F" w:rsidP="00AE3920">
      <w:pPr>
        <w:spacing w:beforeLines="30"/>
        <w:ind w:leftChars="150" w:left="360"/>
        <w:jc w:val="both"/>
        <w:rPr>
          <w:rFonts w:ascii="Times New Roman" w:hAnsi="Times New Roman"/>
          <w:b/>
          <w:sz w:val="20"/>
          <w:szCs w:val="20"/>
          <w:bdr w:val="single" w:sz="4" w:space="0" w:color="auto" w:frame="1"/>
        </w:rPr>
      </w:pPr>
      <w:r w:rsidRPr="00DA3BC7">
        <w:rPr>
          <w:rFonts w:ascii="Times New Roman" w:hAnsi="Times New Roman" w:hint="eastAsia"/>
          <w:b/>
          <w:sz w:val="20"/>
          <w:szCs w:val="20"/>
          <w:bdr w:val="single" w:sz="4" w:space="0" w:color="auto" w:frame="1"/>
        </w:rPr>
        <w:t>（三）</w:t>
      </w:r>
      <w:r w:rsidR="00A846C3">
        <w:rPr>
          <w:rFonts w:ascii="Times New Roman" w:hAnsi="Times New Roman" w:hint="eastAsia"/>
          <w:b/>
          <w:color w:val="FF0000"/>
          <w:sz w:val="20"/>
          <w:szCs w:val="20"/>
          <w:highlight w:val="yellow"/>
          <w:bdr w:val="single" w:sz="4" w:space="0" w:color="auto" w:frame="1"/>
        </w:rPr>
        <w:t>明是非</w:t>
      </w:r>
      <w:r w:rsidRPr="00DA3BC7">
        <w:rPr>
          <w:rFonts w:ascii="Times New Roman" w:eastAsia="標楷體" w:hAnsi="Times New Roman" w:hint="eastAsia"/>
          <w:sz w:val="20"/>
          <w:szCs w:val="20"/>
        </w:rPr>
        <w:t>（</w:t>
      </w:r>
      <w:r w:rsidRPr="00DA3BC7">
        <w:rPr>
          <w:rFonts w:ascii="Times New Roman" w:eastAsia="標楷體" w:hAnsi="Times New Roman"/>
          <w:sz w:val="20"/>
          <w:szCs w:val="20"/>
        </w:rPr>
        <w:t>p.56</w:t>
      </w:r>
      <w:r w:rsidRPr="00DA3BC7">
        <w:rPr>
          <w:rFonts w:ascii="Times New Roman" w:eastAsia="標楷體" w:hAnsi="Times New Roman" w:hint="eastAsia"/>
          <w:sz w:val="20"/>
          <w:szCs w:val="20"/>
        </w:rPr>
        <w:t>）</w:t>
      </w:r>
    </w:p>
    <w:p w:rsidR="002B682F" w:rsidRPr="00DA3BC7" w:rsidRDefault="002B682F" w:rsidP="008E2BBC">
      <w:pPr>
        <w:ind w:leftChars="200" w:left="480"/>
        <w:jc w:val="both"/>
        <w:rPr>
          <w:rFonts w:ascii="Times New Roman" w:hAnsi="Times New Roman"/>
          <w:b/>
          <w:sz w:val="20"/>
          <w:szCs w:val="20"/>
          <w:bdr w:val="single" w:sz="4" w:space="0" w:color="auto" w:frame="1"/>
        </w:rPr>
      </w:pPr>
      <w:r w:rsidRPr="00DA3BC7">
        <w:rPr>
          <w:rFonts w:ascii="Times New Roman" w:hAnsi="Times New Roman"/>
          <w:b/>
          <w:sz w:val="20"/>
          <w:szCs w:val="20"/>
          <w:bdr w:val="single" w:sz="4" w:space="0" w:color="auto" w:frame="1"/>
        </w:rPr>
        <w:t>1</w:t>
      </w:r>
      <w:r w:rsidRPr="00DA3BC7">
        <w:rPr>
          <w:rFonts w:ascii="Times New Roman" w:hAnsi="Times New Roman" w:hint="eastAsia"/>
          <w:b/>
          <w:sz w:val="20"/>
          <w:szCs w:val="20"/>
          <w:bdr w:val="single" w:sz="4" w:space="0" w:color="auto" w:frame="1"/>
        </w:rPr>
        <w:t>、</w:t>
      </w:r>
      <w:r w:rsidR="00A846C3" w:rsidRPr="00A846C3">
        <w:rPr>
          <w:rFonts w:ascii="Times New Roman" w:hAnsi="Times New Roman" w:hint="eastAsia"/>
          <w:b/>
          <w:color w:val="FF0000"/>
          <w:sz w:val="20"/>
          <w:szCs w:val="20"/>
          <w:highlight w:val="yellow"/>
          <w:bdr w:val="single" w:sz="4" w:space="0" w:color="auto" w:frame="1"/>
        </w:rPr>
        <w:t>直</w:t>
      </w:r>
      <w:r w:rsidRPr="00A846C3">
        <w:rPr>
          <w:rFonts w:ascii="Times New Roman" w:hAnsi="Times New Roman" w:hint="eastAsia"/>
          <w:b/>
          <w:color w:val="FF0000"/>
          <w:sz w:val="20"/>
          <w:szCs w:val="20"/>
          <w:highlight w:val="yellow"/>
          <w:bdr w:val="single" w:sz="4" w:space="0" w:color="auto" w:frame="1"/>
        </w:rPr>
        <w:t>顯</w:t>
      </w:r>
      <w:r w:rsidR="00A846C3" w:rsidRPr="00A846C3">
        <w:rPr>
          <w:rFonts w:ascii="Times New Roman" w:hAnsi="Times New Roman" w:hint="eastAsia"/>
          <w:b/>
          <w:color w:val="FF0000"/>
          <w:sz w:val="20"/>
          <w:szCs w:val="20"/>
          <w:highlight w:val="yellow"/>
          <w:bdr w:val="single" w:sz="4" w:space="0" w:color="auto" w:frame="1"/>
        </w:rPr>
        <w:t>正理</w:t>
      </w:r>
      <w:r w:rsidRPr="00DA3BC7">
        <w:rPr>
          <w:rFonts w:ascii="Times New Roman" w:eastAsia="標楷體" w:hAnsi="Times New Roman" w:hint="eastAsia"/>
          <w:sz w:val="20"/>
          <w:szCs w:val="20"/>
        </w:rPr>
        <w:t>（</w:t>
      </w:r>
      <w:r w:rsidRPr="00DA3BC7">
        <w:rPr>
          <w:rFonts w:ascii="Times New Roman" w:eastAsia="標楷體" w:hAnsi="Times New Roman"/>
          <w:sz w:val="20"/>
          <w:szCs w:val="20"/>
        </w:rPr>
        <w:t>p.56</w:t>
      </w:r>
      <w:r w:rsidRPr="00DA3BC7">
        <w:rPr>
          <w:rFonts w:ascii="Times New Roman" w:eastAsia="標楷體" w:hAnsi="Times New Roman" w:hint="eastAsia"/>
          <w:sz w:val="20"/>
          <w:szCs w:val="20"/>
        </w:rPr>
        <w:t>）</w:t>
      </w:r>
    </w:p>
    <w:p w:rsidR="002B682F" w:rsidRPr="00DA3BC7" w:rsidRDefault="002B682F" w:rsidP="008E2BBC">
      <w:pPr>
        <w:ind w:leftChars="200" w:left="480"/>
        <w:jc w:val="both"/>
        <w:rPr>
          <w:rFonts w:ascii="Times New Roman" w:hAnsi="Times New Roman"/>
        </w:rPr>
      </w:pPr>
      <w:r w:rsidRPr="00DA3BC7">
        <w:rPr>
          <w:rFonts w:ascii="Times New Roman" w:hAnsi="Times New Roman" w:hint="eastAsia"/>
        </w:rPr>
        <w:t>文字（即總攝一切名相分別）性空即解脫相，趣入離言是不能離棄名言的。</w:t>
      </w:r>
    </w:p>
    <w:p w:rsidR="002B682F" w:rsidRPr="00DA3BC7" w:rsidRDefault="002B682F" w:rsidP="008E2BBC">
      <w:pPr>
        <w:ind w:leftChars="200" w:left="480"/>
        <w:jc w:val="both"/>
        <w:rPr>
          <w:rFonts w:ascii="Times New Roman" w:hAnsi="Times New Roman"/>
        </w:rPr>
      </w:pPr>
      <w:r w:rsidRPr="00DA3BC7">
        <w:rPr>
          <w:rFonts w:ascii="Times New Roman" w:hAnsi="Times New Roman" w:hint="eastAsia"/>
        </w:rPr>
        <w:t>所以說：「</w:t>
      </w:r>
      <w:r w:rsidRPr="00DA3BC7">
        <w:rPr>
          <w:rFonts w:ascii="標楷體" w:eastAsia="標楷體" w:hAnsi="標楷體" w:hint="eastAsia"/>
        </w:rPr>
        <w:t>言不是義，而因言顯第一義</w:t>
      </w:r>
      <w:r w:rsidRPr="00DA3BC7">
        <w:rPr>
          <w:rFonts w:ascii="Times New Roman" w:hAnsi="Times New Roman" w:hint="eastAsia"/>
        </w:rPr>
        <w:t>。」</w:t>
      </w:r>
      <w:r w:rsidRPr="00DA3BC7">
        <w:rPr>
          <w:rStyle w:val="a6"/>
          <w:rFonts w:ascii="Times New Roman" w:hAnsi="Times New Roman"/>
        </w:rPr>
        <w:footnoteReference w:id="307"/>
      </w:r>
    </w:p>
    <w:p w:rsidR="002B682F" w:rsidRPr="00DA3BC7" w:rsidRDefault="002B682F" w:rsidP="00AE3920">
      <w:pPr>
        <w:spacing w:beforeLines="30"/>
        <w:ind w:leftChars="200" w:left="480"/>
        <w:jc w:val="both"/>
        <w:rPr>
          <w:rFonts w:ascii="Times New Roman" w:hAnsi="Times New Roman"/>
          <w:b/>
        </w:rPr>
      </w:pPr>
      <w:r w:rsidRPr="00DA3BC7">
        <w:rPr>
          <w:rFonts w:ascii="Times New Roman" w:hAnsi="Times New Roman"/>
          <w:b/>
          <w:sz w:val="20"/>
          <w:szCs w:val="20"/>
          <w:bdr w:val="single" w:sz="4" w:space="0" w:color="auto" w:frame="1"/>
        </w:rPr>
        <w:t>2</w:t>
      </w:r>
      <w:r w:rsidRPr="00DA3BC7">
        <w:rPr>
          <w:rFonts w:ascii="Times New Roman" w:hAnsi="Times New Roman" w:hint="eastAsia"/>
          <w:b/>
          <w:sz w:val="20"/>
          <w:szCs w:val="20"/>
          <w:bdr w:val="single" w:sz="4" w:space="0" w:color="auto" w:frame="1"/>
        </w:rPr>
        <w:t>、</w:t>
      </w:r>
      <w:r w:rsidR="00A846C3">
        <w:rPr>
          <w:rFonts w:ascii="Times New Roman" w:hAnsi="Times New Roman" w:hint="eastAsia"/>
          <w:b/>
          <w:color w:val="FF0000"/>
          <w:sz w:val="20"/>
          <w:szCs w:val="20"/>
          <w:highlight w:val="yellow"/>
          <w:bdr w:val="single" w:sz="4" w:space="0" w:color="auto" w:frame="1"/>
        </w:rPr>
        <w:t>標舉謬見</w:t>
      </w:r>
      <w:r w:rsidRPr="00DA3BC7">
        <w:rPr>
          <w:rFonts w:ascii="Times New Roman" w:eastAsia="標楷體" w:hAnsi="Times New Roman" w:hint="eastAsia"/>
          <w:sz w:val="20"/>
          <w:szCs w:val="20"/>
        </w:rPr>
        <w:t>（</w:t>
      </w:r>
      <w:r w:rsidRPr="00DA3BC7">
        <w:rPr>
          <w:rFonts w:ascii="Times New Roman" w:eastAsia="標楷體" w:hAnsi="Times New Roman"/>
          <w:sz w:val="20"/>
          <w:szCs w:val="20"/>
        </w:rPr>
        <w:t>p.56</w:t>
      </w:r>
      <w:r w:rsidRPr="00DA3BC7">
        <w:rPr>
          <w:rFonts w:ascii="Times New Roman" w:eastAsia="標楷體" w:hAnsi="Times New Roman" w:hint="eastAsia"/>
          <w:sz w:val="20"/>
          <w:szCs w:val="20"/>
        </w:rPr>
        <w:t>）</w:t>
      </w:r>
    </w:p>
    <w:p w:rsidR="002B682F" w:rsidRPr="00DA3BC7" w:rsidRDefault="002B682F" w:rsidP="00EA1FEC">
      <w:pPr>
        <w:ind w:leftChars="200" w:left="1920" w:hangingChars="600" w:hanging="1440"/>
        <w:jc w:val="both"/>
        <w:rPr>
          <w:rFonts w:ascii="Times New Roman" w:hAnsi="Times New Roman"/>
        </w:rPr>
      </w:pPr>
      <w:r w:rsidRPr="00DA3BC7">
        <w:rPr>
          <w:rFonts w:ascii="Times New Roman" w:hAnsi="Times New Roman" w:hint="eastAsia"/>
        </w:rPr>
        <w:t>有些人以為：真理離言，甚麼也不是，任何觀察也觀不到中道。於是無聞、無慧，要離一切的論法、觀法而直入中道。</w:t>
      </w:r>
    </w:p>
    <w:p w:rsidR="002B682F" w:rsidRPr="00DA3BC7" w:rsidRDefault="002B682F" w:rsidP="00AE3920">
      <w:pPr>
        <w:spacing w:beforeLines="20"/>
        <w:ind w:leftChars="200" w:left="480"/>
        <w:jc w:val="both"/>
        <w:rPr>
          <w:rFonts w:ascii="Times New Roman" w:hAnsi="Times New Roman"/>
        </w:rPr>
      </w:pPr>
      <w:r w:rsidRPr="00DA3BC7">
        <w:rPr>
          <w:rFonts w:ascii="Times New Roman" w:hAnsi="Times New Roman" w:hint="eastAsia"/>
        </w:rPr>
        <w:t>那裏知道這是不能到達中道自證的，這只能陷於無想的定境而已！</w:t>
      </w:r>
    </w:p>
    <w:p w:rsidR="002B682F" w:rsidRPr="00DA3BC7" w:rsidRDefault="002B682F" w:rsidP="00AE3920">
      <w:pPr>
        <w:spacing w:beforeLines="30"/>
        <w:ind w:leftChars="200" w:left="480"/>
        <w:jc w:val="both"/>
        <w:rPr>
          <w:rFonts w:ascii="Times New Roman" w:hAnsi="Times New Roman"/>
          <w:b/>
        </w:rPr>
      </w:pPr>
      <w:r w:rsidRPr="00DA3BC7">
        <w:rPr>
          <w:rFonts w:ascii="Times New Roman" w:hAnsi="Times New Roman"/>
          <w:b/>
          <w:sz w:val="20"/>
          <w:szCs w:val="20"/>
          <w:bdr w:val="single" w:sz="4" w:space="0" w:color="auto" w:frame="1"/>
        </w:rPr>
        <w:t>3</w:t>
      </w:r>
      <w:r w:rsidRPr="00DA3BC7">
        <w:rPr>
          <w:rFonts w:ascii="Times New Roman" w:hAnsi="Times New Roman" w:hint="eastAsia"/>
          <w:b/>
          <w:sz w:val="20"/>
          <w:szCs w:val="20"/>
          <w:bdr w:val="single" w:sz="4" w:space="0" w:color="auto" w:frame="1"/>
        </w:rPr>
        <w:t>、</w:t>
      </w:r>
      <w:r w:rsidR="00A846C3">
        <w:rPr>
          <w:rFonts w:ascii="Times New Roman" w:hAnsi="Times New Roman" w:hint="eastAsia"/>
          <w:b/>
          <w:color w:val="FF0000"/>
          <w:sz w:val="20"/>
          <w:szCs w:val="20"/>
          <w:highlight w:val="yellow"/>
          <w:bdr w:val="single" w:sz="4" w:space="0" w:color="auto" w:frame="1"/>
        </w:rPr>
        <w:t>復彰正</w:t>
      </w:r>
      <w:r w:rsidRPr="00A846C3">
        <w:rPr>
          <w:rFonts w:ascii="Times New Roman" w:hAnsi="Times New Roman" w:hint="eastAsia"/>
          <w:b/>
          <w:color w:val="FF0000"/>
          <w:sz w:val="20"/>
          <w:szCs w:val="20"/>
          <w:highlight w:val="yellow"/>
          <w:bdr w:val="single" w:sz="4" w:space="0" w:color="auto" w:frame="1"/>
        </w:rPr>
        <w:t>觀</w:t>
      </w:r>
      <w:r w:rsidRPr="00DA3BC7">
        <w:rPr>
          <w:rFonts w:ascii="Times New Roman" w:eastAsia="標楷體" w:hAnsi="Times New Roman" w:hint="eastAsia"/>
          <w:sz w:val="20"/>
          <w:szCs w:val="20"/>
        </w:rPr>
        <w:t>（</w:t>
      </w:r>
      <w:r w:rsidRPr="00DA3BC7">
        <w:rPr>
          <w:rFonts w:ascii="Times New Roman" w:eastAsia="標楷體" w:hAnsi="Times New Roman"/>
          <w:sz w:val="20"/>
          <w:szCs w:val="20"/>
        </w:rPr>
        <w:t>p.56</w:t>
      </w:r>
      <w:r w:rsidRPr="00DA3BC7">
        <w:rPr>
          <w:rFonts w:ascii="Times New Roman" w:eastAsia="標楷體" w:hAnsi="Times New Roman" w:hint="eastAsia"/>
          <w:sz w:val="20"/>
          <w:szCs w:val="20"/>
        </w:rPr>
        <w:t>）</w:t>
      </w:r>
    </w:p>
    <w:p w:rsidR="00A846C3" w:rsidRPr="00DA3BC7" w:rsidRDefault="00A846C3" w:rsidP="001F4193">
      <w:pPr>
        <w:ind w:leftChars="250" w:left="600"/>
        <w:jc w:val="both"/>
        <w:rPr>
          <w:rFonts w:ascii="Times New Roman" w:hAnsi="Times New Roman"/>
          <w:b/>
        </w:rPr>
      </w:pPr>
      <w:r w:rsidRPr="00A846C3">
        <w:rPr>
          <w:rFonts w:ascii="Times New Roman" w:hAnsi="Times New Roman" w:hint="eastAsia"/>
          <w:b/>
          <w:color w:val="FF0000"/>
          <w:sz w:val="20"/>
          <w:szCs w:val="20"/>
          <w:highlight w:val="yellow"/>
          <w:bdr w:val="single" w:sz="4" w:space="0" w:color="auto" w:frame="1"/>
        </w:rPr>
        <w:t>（</w:t>
      </w:r>
      <w:r w:rsidRPr="00A846C3">
        <w:rPr>
          <w:rFonts w:ascii="Times New Roman" w:hAnsi="Times New Roman" w:hint="eastAsia"/>
          <w:b/>
          <w:color w:val="FF0000"/>
          <w:sz w:val="20"/>
          <w:szCs w:val="20"/>
          <w:highlight w:val="yellow"/>
          <w:bdr w:val="single" w:sz="4" w:space="0" w:color="auto" w:frame="1"/>
        </w:rPr>
        <w:t>1</w:t>
      </w:r>
      <w:r w:rsidRPr="00A846C3">
        <w:rPr>
          <w:rFonts w:ascii="Times New Roman" w:hAnsi="Times New Roman" w:hint="eastAsia"/>
          <w:b/>
          <w:color w:val="FF0000"/>
          <w:sz w:val="20"/>
          <w:szCs w:val="20"/>
          <w:highlight w:val="yellow"/>
          <w:bdr w:val="single" w:sz="4" w:space="0" w:color="auto" w:frame="1"/>
        </w:rPr>
        <w:t>）明義</w:t>
      </w:r>
      <w:r w:rsidRPr="00DA3BC7">
        <w:rPr>
          <w:rFonts w:ascii="Times New Roman" w:eastAsia="標楷體" w:hAnsi="Times New Roman" w:hint="eastAsia"/>
          <w:sz w:val="20"/>
          <w:szCs w:val="20"/>
        </w:rPr>
        <w:t>（</w:t>
      </w:r>
      <w:r w:rsidRPr="00DA3BC7">
        <w:rPr>
          <w:rFonts w:ascii="Times New Roman" w:eastAsia="標楷體" w:hAnsi="Times New Roman"/>
          <w:sz w:val="20"/>
          <w:szCs w:val="20"/>
        </w:rPr>
        <w:t>p.56</w:t>
      </w:r>
      <w:r w:rsidRPr="00DA3BC7">
        <w:rPr>
          <w:rFonts w:ascii="Times New Roman" w:eastAsia="標楷體" w:hAnsi="Times New Roman" w:hint="eastAsia"/>
          <w:sz w:val="20"/>
          <w:szCs w:val="20"/>
        </w:rPr>
        <w:t>）</w:t>
      </w:r>
    </w:p>
    <w:p w:rsidR="002B682F" w:rsidRPr="00DA3BC7" w:rsidRDefault="002B682F" w:rsidP="001F4193">
      <w:pPr>
        <w:ind w:leftChars="250" w:left="600"/>
        <w:jc w:val="both"/>
        <w:rPr>
          <w:rFonts w:ascii="Times New Roman" w:hAnsi="Times New Roman"/>
        </w:rPr>
      </w:pPr>
      <w:r w:rsidRPr="00DA3BC7">
        <w:rPr>
          <w:rFonts w:ascii="Times New Roman" w:hAnsi="Times New Roman" w:hint="eastAsia"/>
        </w:rPr>
        <w:t>唯有中觀的觀法，是</w:t>
      </w:r>
      <w:r w:rsidRPr="00DA3BC7">
        <w:rPr>
          <w:rFonts w:ascii="Times New Roman" w:hAnsi="Times New Roman" w:hint="eastAsia"/>
          <w:b/>
        </w:rPr>
        <w:t>隨順緣起性空的中道觀</w:t>
      </w:r>
      <w:r w:rsidRPr="00DA3BC7">
        <w:rPr>
          <w:rFonts w:ascii="Times New Roman" w:hAnsi="Times New Roman" w:hint="eastAsia"/>
        </w:rPr>
        <w:t>，是緣起而性空的方法論，</w:t>
      </w:r>
      <w:r w:rsidRPr="00DA3BC7">
        <w:rPr>
          <w:rFonts w:ascii="Times New Roman" w:hAnsi="Times New Roman" w:hint="eastAsia"/>
          <w:b/>
        </w:rPr>
        <w:t>也是隨順勝義的方法論</w:t>
      </w:r>
      <w:r w:rsidRPr="00DA3BC7">
        <w:rPr>
          <w:rFonts w:ascii="Times New Roman" w:hAnsi="Times New Roman" w:hint="eastAsia"/>
        </w:rPr>
        <w:t>。</w:t>
      </w:r>
    </w:p>
    <w:p w:rsidR="00A846C3" w:rsidRPr="00DA3BC7" w:rsidRDefault="00A846C3" w:rsidP="00AE3920">
      <w:pPr>
        <w:spacing w:beforeLines="30"/>
        <w:ind w:leftChars="250" w:left="600"/>
        <w:jc w:val="both"/>
        <w:rPr>
          <w:rFonts w:ascii="Times New Roman" w:hAnsi="Times New Roman"/>
          <w:b/>
        </w:rPr>
      </w:pPr>
      <w:r w:rsidRPr="00A846C3">
        <w:rPr>
          <w:rFonts w:ascii="Times New Roman" w:hAnsi="Times New Roman" w:hint="eastAsia"/>
          <w:b/>
          <w:color w:val="FF0000"/>
          <w:sz w:val="20"/>
          <w:szCs w:val="20"/>
          <w:highlight w:val="yellow"/>
          <w:bdr w:val="single" w:sz="4" w:space="0" w:color="auto" w:frame="1"/>
        </w:rPr>
        <w:t>（</w:t>
      </w:r>
      <w:r>
        <w:rPr>
          <w:rFonts w:ascii="Times New Roman" w:hAnsi="Times New Roman" w:hint="eastAsia"/>
          <w:b/>
          <w:color w:val="FF0000"/>
          <w:sz w:val="20"/>
          <w:szCs w:val="20"/>
          <w:highlight w:val="yellow"/>
          <w:bdr w:val="single" w:sz="4" w:space="0" w:color="auto" w:frame="1"/>
        </w:rPr>
        <w:t>2</w:t>
      </w:r>
      <w:r w:rsidRPr="00A846C3">
        <w:rPr>
          <w:rFonts w:ascii="Times New Roman" w:hAnsi="Times New Roman" w:hint="eastAsia"/>
          <w:b/>
          <w:color w:val="FF0000"/>
          <w:sz w:val="20"/>
          <w:szCs w:val="20"/>
          <w:highlight w:val="yellow"/>
          <w:bdr w:val="single" w:sz="4" w:space="0" w:color="auto" w:frame="1"/>
        </w:rPr>
        <w:t>）</w:t>
      </w:r>
      <w:r>
        <w:rPr>
          <w:rFonts w:ascii="Times New Roman" w:hAnsi="Times New Roman" w:hint="eastAsia"/>
          <w:b/>
          <w:color w:val="FF0000"/>
          <w:sz w:val="20"/>
          <w:szCs w:val="20"/>
          <w:highlight w:val="yellow"/>
          <w:bdr w:val="single" w:sz="4" w:space="0" w:color="auto" w:frame="1"/>
        </w:rPr>
        <w:t>引證</w:t>
      </w:r>
      <w:r w:rsidRPr="00DA3BC7">
        <w:rPr>
          <w:rFonts w:ascii="Times New Roman" w:eastAsia="標楷體" w:hAnsi="Times New Roman" w:hint="eastAsia"/>
          <w:sz w:val="20"/>
          <w:szCs w:val="20"/>
        </w:rPr>
        <w:t>（</w:t>
      </w:r>
      <w:r w:rsidRPr="00DA3BC7">
        <w:rPr>
          <w:rFonts w:ascii="Times New Roman" w:eastAsia="標楷體" w:hAnsi="Times New Roman"/>
          <w:sz w:val="20"/>
          <w:szCs w:val="20"/>
        </w:rPr>
        <w:t>p.56</w:t>
      </w:r>
      <w:r w:rsidRPr="00DA3BC7">
        <w:rPr>
          <w:rFonts w:ascii="Times New Roman" w:eastAsia="標楷體" w:hAnsi="Times New Roman" w:hint="eastAsia"/>
          <w:sz w:val="20"/>
          <w:szCs w:val="20"/>
        </w:rPr>
        <w:t>）</w:t>
      </w:r>
    </w:p>
    <w:p w:rsidR="002B682F" w:rsidRPr="00DA3BC7" w:rsidRDefault="002B682F" w:rsidP="00EA1FEC">
      <w:pPr>
        <w:ind w:leftChars="250" w:left="600"/>
        <w:jc w:val="both"/>
        <w:rPr>
          <w:rFonts w:ascii="Times New Roman" w:hAnsi="Times New Roman"/>
        </w:rPr>
      </w:pPr>
      <w:r w:rsidRPr="00DA3BC7">
        <w:rPr>
          <w:rFonts w:ascii="Times New Roman" w:hAnsi="Times New Roman" w:hint="eastAsia"/>
        </w:rPr>
        <w:t>蓮華戒在《中觀光明論》裏也說：「</w:t>
      </w:r>
      <w:r w:rsidRPr="00DA3BC7">
        <w:rPr>
          <w:rFonts w:ascii="Times New Roman" w:eastAsia="標楷體" w:hAnsi="Times New Roman" w:hint="eastAsia"/>
        </w:rPr>
        <w:t>何等名為了義？謂有正量，依於勝義增上而</w:t>
      </w:r>
      <w:r w:rsidRPr="00A846C3">
        <w:rPr>
          <w:rFonts w:ascii="Times New Roman" w:eastAsia="標楷體" w:hAnsi="Times New Roman" w:hint="eastAsia"/>
          <w:highlight w:val="yellow"/>
        </w:rPr>
        <w:t>說</w:t>
      </w:r>
      <w:r w:rsidRPr="00A846C3">
        <w:rPr>
          <w:rFonts w:ascii="Times New Roman" w:hAnsi="Times New Roman" w:hint="eastAsia"/>
          <w:highlight w:val="yellow"/>
        </w:rPr>
        <w:t>」</w:t>
      </w:r>
      <w:r w:rsidRPr="00DA3BC7">
        <w:rPr>
          <w:rStyle w:val="a6"/>
          <w:rFonts w:ascii="Times New Roman" w:hAnsi="Times New Roman"/>
        </w:rPr>
        <w:footnoteReference w:id="308"/>
      </w:r>
      <w:r w:rsidR="00A846C3" w:rsidRPr="00A846C3">
        <w:rPr>
          <w:rFonts w:ascii="Times New Roman" w:hAnsi="Times New Roman" w:hint="eastAsia"/>
          <w:color w:val="FF0000"/>
          <w:highlight w:val="yellow"/>
        </w:rPr>
        <w:t>；</w:t>
      </w:r>
    </w:p>
    <w:p w:rsidR="002B682F" w:rsidRPr="00DA3BC7" w:rsidRDefault="002B682F" w:rsidP="001F4193">
      <w:pPr>
        <w:ind w:leftChars="250" w:left="600"/>
        <w:jc w:val="both"/>
        <w:rPr>
          <w:rFonts w:ascii="Times New Roman" w:hAnsi="Times New Roman"/>
          <w:spacing w:val="-4"/>
        </w:rPr>
      </w:pPr>
      <w:r w:rsidRPr="00DA3BC7">
        <w:rPr>
          <w:rFonts w:ascii="Times New Roman" w:hAnsi="Times New Roman" w:hint="eastAsia"/>
          <w:spacing w:val="-4"/>
        </w:rPr>
        <w:t>「</w:t>
      </w:r>
      <w:r w:rsidRPr="00DA3BC7">
        <w:rPr>
          <w:rFonts w:ascii="Times New Roman" w:eastAsia="標楷體" w:hAnsi="Times New Roman" w:hint="eastAsia"/>
          <w:spacing w:val="-4"/>
        </w:rPr>
        <w:t>言勝義無生等，其義</w:t>
      </w:r>
      <w:r w:rsidRPr="00DA3BC7">
        <w:rPr>
          <w:rFonts w:ascii="Times New Roman" w:eastAsia="標楷體" w:hAnsi="Times New Roman" w:hint="eastAsia"/>
          <w:b/>
          <w:spacing w:val="-4"/>
        </w:rPr>
        <w:t>通許一切聞思修所成慧，皆名勝義</w:t>
      </w:r>
      <w:r w:rsidRPr="00DA3BC7">
        <w:rPr>
          <w:rFonts w:ascii="Times New Roman" w:eastAsia="標楷體" w:hAnsi="Times New Roman" w:hint="eastAsia"/>
          <w:spacing w:val="-4"/>
        </w:rPr>
        <w:t>，無倒心故</w:t>
      </w:r>
      <w:r w:rsidRPr="00DA3BC7">
        <w:rPr>
          <w:rFonts w:ascii="Times New Roman" w:hAnsi="Times New Roman" w:hint="eastAsia"/>
          <w:spacing w:val="-4"/>
        </w:rPr>
        <w:t>。」</w:t>
      </w:r>
      <w:r w:rsidRPr="00DA3BC7">
        <w:rPr>
          <w:rStyle w:val="a6"/>
          <w:rFonts w:ascii="Times New Roman" w:hAnsi="Times New Roman"/>
          <w:spacing w:val="-4"/>
        </w:rPr>
        <w:footnoteReference w:id="309"/>
      </w:r>
    </w:p>
    <w:p w:rsidR="002B682F" w:rsidRPr="00DA3BC7" w:rsidRDefault="002B682F" w:rsidP="00AE3920">
      <w:pPr>
        <w:spacing w:beforeLines="20"/>
        <w:ind w:leftChars="250" w:left="600"/>
        <w:jc w:val="both"/>
        <w:rPr>
          <w:rFonts w:ascii="Times New Roman" w:hAnsi="Times New Roman"/>
        </w:rPr>
      </w:pPr>
      <w:r w:rsidRPr="00DA3BC7">
        <w:rPr>
          <w:rFonts w:ascii="Times New Roman" w:hAnsi="Times New Roman" w:hint="eastAsia"/>
        </w:rPr>
        <w:t>《中觀莊嚴論釋難》說：「</w:t>
      </w:r>
      <w:r w:rsidRPr="00DA3BC7">
        <w:rPr>
          <w:rFonts w:ascii="Times New Roman" w:eastAsia="標楷體" w:hAnsi="Times New Roman" w:hint="eastAsia"/>
        </w:rPr>
        <w:t>何謂無自性性？謂於真實。言真實者，謂隨</w:t>
      </w:r>
      <w:r w:rsidRPr="00DA3BC7">
        <w:rPr>
          <w:rFonts w:ascii="Times New Roman" w:eastAsia="標楷體" w:hAnsi="Times New Roman" w:hint="eastAsia"/>
        </w:rPr>
        <w:lastRenderedPageBreak/>
        <w:t>事勢轉</w:t>
      </w:r>
      <w:r w:rsidRPr="00DA3BC7">
        <w:rPr>
          <w:rFonts w:ascii="Times New Roman" w:eastAsia="標楷體" w:hAnsi="Times New Roman" w:hint="eastAsia"/>
          <w:b/>
        </w:rPr>
        <w:t>比量</w:t>
      </w:r>
      <w:r w:rsidRPr="00DA3BC7">
        <w:rPr>
          <w:rFonts w:ascii="Times New Roman" w:eastAsia="標楷體" w:hAnsi="Times New Roman" w:hint="eastAsia"/>
        </w:rPr>
        <w:t>所證真實義性</w:t>
      </w:r>
      <w:r w:rsidRPr="00DA3BC7">
        <w:rPr>
          <w:rFonts w:ascii="Times New Roman" w:hAnsi="Times New Roman" w:hint="eastAsia"/>
        </w:rPr>
        <w:t>。</w:t>
      </w:r>
      <w:r w:rsidRPr="00DA3BC7">
        <w:rPr>
          <w:rFonts w:ascii="Times New Roman" w:eastAsia="標楷體" w:hAnsi="Times New Roman" w:hint="eastAsia"/>
        </w:rPr>
        <w:t>」</w:t>
      </w:r>
      <w:r w:rsidRPr="00DA3BC7">
        <w:rPr>
          <w:rStyle w:val="a6"/>
          <w:rFonts w:ascii="Times New Roman" w:hAnsi="Times New Roman"/>
        </w:rPr>
        <w:footnoteReference w:id="310"/>
      </w:r>
    </w:p>
    <w:p w:rsidR="002B682F" w:rsidRPr="00DA3BC7" w:rsidRDefault="00A846C3" w:rsidP="00AE3920">
      <w:pPr>
        <w:spacing w:beforeLines="30"/>
        <w:ind w:leftChars="150" w:left="360"/>
        <w:jc w:val="both"/>
        <w:rPr>
          <w:rFonts w:ascii="Times New Roman" w:hAnsi="Times New Roman"/>
          <w:b/>
        </w:rPr>
      </w:pPr>
      <w:r w:rsidRPr="00A846C3">
        <w:rPr>
          <w:rFonts w:ascii="Times New Roman" w:hAnsi="Times New Roman" w:hint="eastAsia"/>
          <w:b/>
          <w:color w:val="FF0000"/>
          <w:sz w:val="20"/>
          <w:szCs w:val="20"/>
          <w:highlight w:val="yellow"/>
          <w:bdr w:val="single" w:sz="4" w:space="0" w:color="auto" w:frame="1"/>
        </w:rPr>
        <w:t>（四）歸宗旨</w:t>
      </w:r>
      <w:r w:rsidR="002B682F" w:rsidRPr="00DA3BC7">
        <w:rPr>
          <w:rFonts w:ascii="Times New Roman" w:eastAsia="標楷體" w:hAnsi="Times New Roman" w:hint="eastAsia"/>
          <w:sz w:val="20"/>
          <w:szCs w:val="20"/>
        </w:rPr>
        <w:t>（</w:t>
      </w:r>
      <w:r w:rsidR="002B682F" w:rsidRPr="00DA3BC7">
        <w:rPr>
          <w:rFonts w:ascii="Times New Roman" w:eastAsia="標楷體" w:hAnsi="Times New Roman"/>
          <w:sz w:val="20"/>
          <w:szCs w:val="20"/>
        </w:rPr>
        <w:t>p.56</w:t>
      </w:r>
      <w:r w:rsidR="002B682F" w:rsidRPr="00DA3BC7">
        <w:rPr>
          <w:rFonts w:ascii="Times New Roman" w:eastAsia="標楷體" w:hAnsi="Times New Roman" w:hint="eastAsia"/>
          <w:sz w:val="20"/>
          <w:szCs w:val="20"/>
        </w:rPr>
        <w:t>）</w:t>
      </w:r>
    </w:p>
    <w:p w:rsidR="002B682F" w:rsidRPr="00DA3BC7" w:rsidRDefault="002B682F" w:rsidP="001F4193">
      <w:pPr>
        <w:ind w:leftChars="150" w:left="360"/>
        <w:jc w:val="both"/>
        <w:rPr>
          <w:rFonts w:ascii="Times New Roman" w:hAnsi="Times New Roman"/>
        </w:rPr>
      </w:pPr>
      <w:r w:rsidRPr="00DA3BC7">
        <w:rPr>
          <w:rFonts w:ascii="Times New Roman" w:hAnsi="Times New Roman" w:hint="eastAsia"/>
        </w:rPr>
        <w:t>中觀的教法，即我們的</w:t>
      </w:r>
      <w:r w:rsidRPr="00DA3BC7">
        <w:rPr>
          <w:rFonts w:ascii="Times New Roman" w:hAnsi="Times New Roman" w:hint="eastAsia"/>
          <w:b/>
        </w:rPr>
        <w:t>聞思修慧，雖不是離言的，而能順流趣入離言的中道</w:t>
      </w:r>
      <w:r w:rsidRPr="00DA3BC7">
        <w:rPr>
          <w:rFonts w:ascii="Times New Roman" w:hAnsi="Times New Roman" w:hint="eastAsia"/>
        </w:rPr>
        <w:t>。</w:t>
      </w:r>
    </w:p>
    <w:p w:rsidR="002B682F" w:rsidRPr="00DA3BC7" w:rsidRDefault="00A846C3" w:rsidP="00AE3920">
      <w:pPr>
        <w:spacing w:beforeLines="30"/>
        <w:ind w:leftChars="100" w:left="240"/>
        <w:jc w:val="both"/>
        <w:rPr>
          <w:rFonts w:ascii="Times New Roman" w:hAnsi="Times New Roman"/>
        </w:rPr>
      </w:pPr>
      <w:r>
        <w:rPr>
          <w:rFonts w:ascii="Times New Roman" w:hAnsi="Times New Roman" w:hint="eastAsia"/>
          <w:b/>
          <w:color w:val="FF0000"/>
          <w:sz w:val="20"/>
          <w:szCs w:val="20"/>
          <w:highlight w:val="yellow"/>
          <w:bdr w:val="single" w:sz="4" w:space="0" w:color="auto"/>
        </w:rPr>
        <w:t>三</w:t>
      </w:r>
      <w:r w:rsidR="002B682F" w:rsidRPr="00DA3BC7">
        <w:rPr>
          <w:rFonts w:ascii="Times New Roman" w:hAnsi="Times New Roman" w:hint="eastAsia"/>
          <w:b/>
          <w:sz w:val="20"/>
          <w:szCs w:val="20"/>
          <w:bdr w:val="single" w:sz="4" w:space="0" w:color="auto"/>
        </w:rPr>
        <w:t>、現量</w:t>
      </w:r>
      <w:r>
        <w:rPr>
          <w:rFonts w:ascii="Times New Roman" w:hAnsi="Times New Roman" w:hint="eastAsia"/>
          <w:b/>
          <w:color w:val="FF0000"/>
          <w:sz w:val="20"/>
          <w:szCs w:val="20"/>
          <w:highlight w:val="yellow"/>
          <w:bdr w:val="single" w:sz="4" w:space="0" w:color="auto"/>
        </w:rPr>
        <w:t>──</w:t>
      </w:r>
      <w:r w:rsidR="002B682F" w:rsidRPr="00DA3BC7">
        <w:rPr>
          <w:rFonts w:ascii="Times New Roman" w:hAnsi="Times New Roman" w:hint="eastAsia"/>
          <w:b/>
          <w:sz w:val="20"/>
          <w:szCs w:val="20"/>
          <w:bdr w:val="single" w:sz="4" w:space="0" w:color="auto"/>
        </w:rPr>
        <w:t>實相般若</w:t>
      </w:r>
      <w:r w:rsidR="002B682F" w:rsidRPr="00DA3BC7">
        <w:rPr>
          <w:rFonts w:ascii="Times New Roman" w:eastAsia="標楷體" w:hAnsi="Times New Roman" w:hint="eastAsia"/>
          <w:sz w:val="20"/>
          <w:szCs w:val="20"/>
        </w:rPr>
        <w:t>（</w:t>
      </w:r>
      <w:r w:rsidR="002B682F" w:rsidRPr="00DA3BC7">
        <w:rPr>
          <w:rFonts w:ascii="Times New Roman" w:eastAsia="標楷體" w:hAnsi="Times New Roman"/>
          <w:sz w:val="20"/>
          <w:szCs w:val="20"/>
        </w:rPr>
        <w:t>p.56</w:t>
      </w:r>
      <w:r w:rsidR="002B682F" w:rsidRPr="00DA3BC7">
        <w:rPr>
          <w:rFonts w:ascii="Times New Roman" w:eastAsia="標楷體" w:hAnsi="Times New Roman" w:hint="eastAsia"/>
          <w:sz w:val="20"/>
          <w:szCs w:val="20"/>
        </w:rPr>
        <w:t>）</w:t>
      </w:r>
    </w:p>
    <w:p w:rsidR="002B682F" w:rsidRPr="00DA3BC7" w:rsidRDefault="002B682F" w:rsidP="001F4193">
      <w:pPr>
        <w:ind w:leftChars="100" w:left="240"/>
        <w:jc w:val="both"/>
        <w:rPr>
          <w:rFonts w:ascii="Times New Roman" w:hAnsi="Times New Roman"/>
        </w:rPr>
      </w:pPr>
      <w:r w:rsidRPr="00DA3BC7">
        <w:rPr>
          <w:rFonts w:ascii="Times New Roman" w:hAnsi="Times New Roman" w:hint="eastAsia"/>
        </w:rPr>
        <w:t>依此深入中道正觀，精勤修習，將根本顛倒的自性徹底掀翻，直證真實，</w:t>
      </w:r>
      <w:r w:rsidRPr="00DA3BC7">
        <w:rPr>
          <w:rFonts w:ascii="Times New Roman" w:hAnsi="Times New Roman" w:hint="eastAsia"/>
          <w:spacing w:val="-2"/>
        </w:rPr>
        <w:t>此即</w:t>
      </w:r>
      <w:r w:rsidRPr="00DA3BC7">
        <w:rPr>
          <w:rFonts w:ascii="Times New Roman" w:hAnsi="Times New Roman" w:hint="eastAsia"/>
          <w:b/>
          <w:spacing w:val="-2"/>
        </w:rPr>
        <w:t>無漏現量的自證，也即是中道的現觀</w:t>
      </w:r>
      <w:r w:rsidRPr="00DA3BC7">
        <w:rPr>
          <w:rFonts w:ascii="Times New Roman" w:hAnsi="Times New Roman" w:hint="eastAsia"/>
          <w:spacing w:val="-2"/>
        </w:rPr>
        <w:t>。三種般若中，此為</w:t>
      </w:r>
      <w:r w:rsidRPr="00DA3BC7">
        <w:rPr>
          <w:rFonts w:ascii="Times New Roman" w:hAnsi="Times New Roman" w:hint="eastAsia"/>
          <w:b/>
          <w:spacing w:val="-2"/>
        </w:rPr>
        <w:t>實相般若</w:t>
      </w:r>
      <w:r w:rsidRPr="00DA3BC7">
        <w:rPr>
          <w:rFonts w:ascii="Times New Roman" w:hAnsi="Times New Roman" w:hint="eastAsia"/>
          <w:spacing w:val="-2"/>
        </w:rPr>
        <w:t>。</w:t>
      </w:r>
      <w:r w:rsidRPr="00DA3BC7">
        <w:rPr>
          <w:rStyle w:val="a6"/>
          <w:rFonts w:ascii="Times New Roman" w:hAnsi="Times New Roman"/>
          <w:spacing w:val="-2"/>
        </w:rPr>
        <w:footnoteReference w:id="311"/>
      </w:r>
    </w:p>
    <w:p w:rsidR="002B682F" w:rsidRPr="00DA3BC7" w:rsidRDefault="002B682F" w:rsidP="00AE3920">
      <w:pPr>
        <w:spacing w:beforeLines="30"/>
        <w:ind w:leftChars="50" w:left="120"/>
        <w:jc w:val="both"/>
        <w:rPr>
          <w:rFonts w:ascii="Times New Roman" w:hAnsi="Times New Roman"/>
          <w:b/>
          <w:sz w:val="20"/>
          <w:szCs w:val="20"/>
          <w:bdr w:val="single" w:sz="4" w:space="0" w:color="auto"/>
        </w:rPr>
      </w:pPr>
      <w:r w:rsidRPr="00DA3BC7">
        <w:rPr>
          <w:rFonts w:ascii="Times New Roman" w:hAnsi="Times New Roman" w:hint="eastAsia"/>
          <w:b/>
          <w:sz w:val="20"/>
          <w:szCs w:val="20"/>
          <w:bdr w:val="single" w:sz="4" w:space="0" w:color="auto"/>
        </w:rPr>
        <w:lastRenderedPageBreak/>
        <w:t>（貳）</w:t>
      </w:r>
      <w:r w:rsidR="002F1DF6">
        <w:rPr>
          <w:rFonts w:ascii="Times New Roman" w:hAnsi="Times New Roman" w:hint="eastAsia"/>
          <w:b/>
          <w:color w:val="FF0000"/>
          <w:sz w:val="20"/>
          <w:szCs w:val="20"/>
          <w:highlight w:val="yellow"/>
          <w:bdr w:val="single" w:sz="4" w:space="0" w:color="auto"/>
        </w:rPr>
        <w:t>合論交關</w:t>
      </w:r>
      <w:r w:rsidRPr="00DA3BC7">
        <w:rPr>
          <w:rFonts w:ascii="Times New Roman" w:eastAsia="標楷體" w:hAnsi="Times New Roman" w:hint="eastAsia"/>
          <w:sz w:val="20"/>
          <w:szCs w:val="20"/>
        </w:rPr>
        <w:t>（</w:t>
      </w:r>
      <w:r w:rsidRPr="00DA3BC7">
        <w:rPr>
          <w:rFonts w:ascii="Times New Roman" w:eastAsia="標楷體" w:hAnsi="Times New Roman"/>
          <w:sz w:val="20"/>
          <w:szCs w:val="20"/>
        </w:rPr>
        <w:t>pp.56-57</w:t>
      </w:r>
      <w:r w:rsidRPr="00DA3BC7">
        <w:rPr>
          <w:rFonts w:ascii="Times New Roman" w:eastAsia="標楷體" w:hAnsi="Times New Roman" w:hint="eastAsia"/>
          <w:sz w:val="20"/>
          <w:szCs w:val="20"/>
        </w:rPr>
        <w:t>）</w:t>
      </w:r>
    </w:p>
    <w:p w:rsidR="002B682F" w:rsidRPr="00DA3BC7" w:rsidRDefault="002B682F" w:rsidP="008E2BBC">
      <w:pPr>
        <w:ind w:leftChars="50" w:left="120"/>
        <w:jc w:val="both"/>
        <w:rPr>
          <w:rFonts w:ascii="Times New Roman" w:hAnsi="Times New Roman"/>
        </w:rPr>
      </w:pPr>
      <w:r w:rsidRPr="00DA3BC7">
        <w:rPr>
          <w:rFonts w:ascii="Times New Roman" w:hAnsi="Times New Roman" w:hint="eastAsia"/>
        </w:rPr>
        <w:t>此實相般若，才是真般若；前二般若，是達到此實相般若的方便，所以因得果名也名之為</w:t>
      </w:r>
      <w:r w:rsidRPr="00DA3BC7">
        <w:rPr>
          <w:rFonts w:ascii="Times New Roman" w:hAnsi="Times New Roman" w:hint="eastAsia"/>
          <w:b/>
        </w:rPr>
        <w:t>般若</w:t>
      </w:r>
      <w:r w:rsidRPr="00DA3BC7">
        <w:rPr>
          <w:rFonts w:ascii="Times New Roman" w:hAnsi="Times New Roman" w:hint="eastAsia"/>
        </w:rPr>
        <w:t>，為</w:t>
      </w:r>
      <w:r w:rsidRPr="00DA3BC7">
        <w:rPr>
          <w:rFonts w:ascii="Times New Roman" w:hAnsi="Times New Roman" w:hint="eastAsia"/>
          <w:b/>
        </w:rPr>
        <w:t>中觀</w:t>
      </w:r>
      <w:r w:rsidRPr="00DA3BC7">
        <w:rPr>
          <w:rFonts w:ascii="Times New Roman" w:hAnsi="Times New Roman" w:hint="eastAsia"/>
        </w:rPr>
        <w:t>。</w:t>
      </w:r>
    </w:p>
    <w:p w:rsidR="002B682F" w:rsidRPr="00DA3BC7" w:rsidRDefault="002B682F" w:rsidP="00AE3920">
      <w:pPr>
        <w:spacing w:beforeLines="20"/>
        <w:ind w:leftChars="50" w:left="120"/>
        <w:jc w:val="both"/>
        <w:rPr>
          <w:rFonts w:ascii="Times New Roman" w:hAnsi="Times New Roman"/>
        </w:rPr>
      </w:pPr>
      <w:r w:rsidRPr="00DA3BC7">
        <w:rPr>
          <w:rFonts w:ascii="Times New Roman" w:hAnsi="Times New Roman" w:hint="eastAsia"/>
        </w:rPr>
        <w:t>要到此田地</w:t>
      </w:r>
      <w:r w:rsidRPr="00DA3BC7">
        <w:rPr>
          <w:rStyle w:val="a6"/>
          <w:rFonts w:ascii="Times New Roman" w:hAnsi="Times New Roman"/>
        </w:rPr>
        <w:footnoteReference w:id="312"/>
      </w:r>
      <w:r w:rsidRPr="00DA3BC7">
        <w:rPr>
          <w:rFonts w:ascii="Times New Roman" w:hAnsi="Times New Roman" w:hint="eastAsia"/>
        </w:rPr>
        <w:t>，須依</w:t>
      </w:r>
      <w:r w:rsidRPr="00DA3BC7">
        <w:rPr>
          <w:rFonts w:ascii="Times New Roman" w:hAnsi="Times New Roman" w:hint="eastAsia"/>
          <w:b/>
        </w:rPr>
        <w:t>中觀的方法論</w:t>
      </w:r>
      <w:r w:rsidRPr="00DA3BC7">
        <w:rPr>
          <w:rFonts w:ascii="Times New Roman" w:hAnsi="Times New Roman" w:hint="eastAsia"/>
        </w:rPr>
        <w:t>。所以我們應</w:t>
      </w:r>
      <w:r w:rsidRPr="00DA3BC7">
        <w:rPr>
          <w:rFonts w:ascii="Times New Roman" w:hAnsi="Times New Roman" w:hint="eastAsia"/>
          <w:b/>
        </w:rPr>
        <w:t>以信順中觀教為本，進而運用中觀的方法以觀察真理，以趨入中觀的現證</w:t>
      </w:r>
      <w:r w:rsidRPr="00DA3BC7">
        <w:rPr>
          <w:rFonts w:ascii="Times New Roman" w:hAnsi="Times New Roman" w:hint="eastAsia"/>
        </w:rPr>
        <w:t>。</w:t>
      </w:r>
      <w:r w:rsidRPr="00DA3BC7">
        <w:rPr>
          <w:rStyle w:val="a6"/>
          <w:rFonts w:ascii="Times New Roman" w:hAnsi="Times New Roman"/>
        </w:rPr>
        <w:footnoteReference w:id="313"/>
      </w:r>
    </w:p>
    <w:p w:rsidR="002B682F" w:rsidRPr="00DA3BC7" w:rsidRDefault="002F1DF6" w:rsidP="00AE3920">
      <w:pPr>
        <w:spacing w:beforeLines="30"/>
        <w:jc w:val="both"/>
        <w:rPr>
          <w:rFonts w:ascii="Times New Roman" w:hAnsi="Times New Roman"/>
          <w:b/>
          <w:sz w:val="20"/>
          <w:szCs w:val="20"/>
        </w:rPr>
      </w:pPr>
      <w:r w:rsidRPr="002D1291">
        <w:rPr>
          <w:rFonts w:ascii="Times New Roman" w:hAnsi="Times New Roman" w:hint="eastAsia"/>
          <w:b/>
          <w:color w:val="FF0000"/>
          <w:sz w:val="20"/>
          <w:szCs w:val="20"/>
          <w:highlight w:val="yellow"/>
          <w:bdr w:val="single" w:sz="4" w:space="0" w:color="auto"/>
        </w:rPr>
        <w:t>參</w:t>
      </w:r>
      <w:r w:rsidR="002B682F" w:rsidRPr="002D1291">
        <w:rPr>
          <w:rFonts w:ascii="Times New Roman" w:hAnsi="Times New Roman" w:hint="eastAsia"/>
          <w:b/>
          <w:color w:val="FF0000"/>
          <w:sz w:val="20"/>
          <w:szCs w:val="20"/>
          <w:highlight w:val="yellow"/>
          <w:bdr w:val="single" w:sz="4" w:space="0" w:color="auto"/>
        </w:rPr>
        <w:t>、</w:t>
      </w:r>
      <w:r w:rsidRPr="002F1DF6">
        <w:rPr>
          <w:rFonts w:ascii="Times New Roman" w:hAnsi="Times New Roman" w:hint="eastAsia"/>
          <w:b/>
          <w:color w:val="FF0000"/>
          <w:sz w:val="20"/>
          <w:szCs w:val="20"/>
          <w:highlight w:val="yellow"/>
          <w:bdr w:val="single" w:sz="4" w:space="0" w:color="auto"/>
        </w:rPr>
        <w:t>總</w:t>
      </w:r>
      <w:r w:rsidR="002B682F" w:rsidRPr="00DA3BC7">
        <w:rPr>
          <w:rFonts w:ascii="Times New Roman" w:hAnsi="Times New Roman" w:hint="eastAsia"/>
          <w:b/>
          <w:sz w:val="20"/>
          <w:szCs w:val="20"/>
          <w:bdr w:val="single" w:sz="4" w:space="0" w:color="auto"/>
        </w:rPr>
        <w:t>結</w:t>
      </w:r>
      <w:r w:rsidR="002B682F" w:rsidRPr="00DA3BC7">
        <w:rPr>
          <w:rFonts w:ascii="Times New Roman" w:eastAsia="標楷體" w:hAnsi="Times New Roman" w:hint="eastAsia"/>
          <w:sz w:val="20"/>
          <w:szCs w:val="20"/>
        </w:rPr>
        <w:t>（</w:t>
      </w:r>
      <w:r w:rsidR="002B682F" w:rsidRPr="00DA3BC7">
        <w:rPr>
          <w:rFonts w:ascii="Times New Roman" w:eastAsia="標楷體" w:hAnsi="Times New Roman"/>
          <w:sz w:val="20"/>
          <w:szCs w:val="20"/>
        </w:rPr>
        <w:t>p.57</w:t>
      </w:r>
      <w:r w:rsidR="002B682F" w:rsidRPr="00DA3BC7">
        <w:rPr>
          <w:rFonts w:ascii="Times New Roman" w:eastAsia="標楷體" w:hAnsi="Times New Roman" w:hint="eastAsia"/>
          <w:sz w:val="20"/>
          <w:szCs w:val="20"/>
        </w:rPr>
        <w:t>）</w:t>
      </w:r>
    </w:p>
    <w:p w:rsidR="002B682F" w:rsidRPr="00DA3BC7" w:rsidRDefault="002B682F" w:rsidP="008E2BBC">
      <w:pPr>
        <w:jc w:val="both"/>
        <w:rPr>
          <w:rFonts w:ascii="Times New Roman" w:hAnsi="Times New Roman"/>
        </w:rPr>
        <w:sectPr w:rsidR="002B682F" w:rsidRPr="00DA3BC7" w:rsidSect="009914C0">
          <w:headerReference w:type="default" r:id="rId38"/>
          <w:footnotePr>
            <w:numRestart w:val="eachSect"/>
          </w:footnotePr>
          <w:pgSz w:w="10773" w:h="14742" w:code="9"/>
          <w:pgMar w:top="1418" w:right="1418" w:bottom="1418" w:left="1418" w:header="851" w:footer="992" w:gutter="0"/>
          <w:cols w:space="425"/>
          <w:docGrid w:type="lines" w:linePitch="360"/>
        </w:sectPr>
      </w:pPr>
      <w:r w:rsidRPr="00DA3BC7">
        <w:rPr>
          <w:rFonts w:ascii="Times New Roman" w:hAnsi="Times New Roman" w:hint="eastAsia"/>
        </w:rPr>
        <w:t>聞量、比量、現量三者，在正觀真理的過程上，是有著連貫性的、必然的關係性的。忽略此點，縱以為理事圓融，而實際上必然落於兩邊！</w:t>
      </w:r>
    </w:p>
    <w:p w:rsidR="002B682F" w:rsidRPr="00DA3BC7" w:rsidRDefault="002B682F" w:rsidP="008E2BBC">
      <w:pPr>
        <w:pStyle w:val="1"/>
      </w:pPr>
      <w:bookmarkStart w:id="77" w:name="_Toc405499763"/>
      <w:r w:rsidRPr="00DA3BC7">
        <w:rPr>
          <w:rFonts w:hint="eastAsia"/>
        </w:rPr>
        <w:lastRenderedPageBreak/>
        <w:t>第五章、中觀之根本論題</w:t>
      </w:r>
      <w:bookmarkEnd w:id="77"/>
    </w:p>
    <w:p w:rsidR="002B682F" w:rsidRPr="00DA3BC7" w:rsidRDefault="002B682F" w:rsidP="008E2BBC">
      <w:pPr>
        <w:pStyle w:val="2"/>
      </w:pPr>
      <w:bookmarkStart w:id="78" w:name="_Toc405499764"/>
      <w:r w:rsidRPr="00DA3BC7">
        <w:rPr>
          <w:rFonts w:hint="eastAsia"/>
        </w:rPr>
        <w:t>第一節、緣起</w:t>
      </w:r>
      <w:bookmarkEnd w:id="78"/>
    </w:p>
    <w:p w:rsidR="002B682F" w:rsidRPr="00DA3BC7" w:rsidRDefault="002B682F" w:rsidP="008E2BBC">
      <w:pPr>
        <w:widowControl/>
        <w:jc w:val="center"/>
        <w:rPr>
          <w:rFonts w:ascii="Times New Roman" w:eastAsia="標楷體" w:hAnsi="Times New Roman"/>
          <w:bCs/>
        </w:rPr>
      </w:pPr>
      <w:r w:rsidRPr="00DA3BC7">
        <w:rPr>
          <w:rFonts w:ascii="Times New Roman" w:eastAsia="標楷體" w:hAnsi="Times New Roman" w:hint="eastAsia"/>
          <w:bCs/>
        </w:rPr>
        <w:t>（</w:t>
      </w:r>
      <w:r w:rsidRPr="00DA3BC7">
        <w:rPr>
          <w:rFonts w:ascii="Times New Roman" w:eastAsia="SimSun" w:hAnsi="Times New Roman"/>
          <w:bCs/>
        </w:rPr>
        <w:t>pp.59-63</w:t>
      </w:r>
      <w:r w:rsidRPr="00DA3BC7">
        <w:rPr>
          <w:rFonts w:ascii="Times New Roman" w:eastAsia="標楷體" w:hAnsi="Times New Roman" w:hint="eastAsia"/>
          <w:bCs/>
        </w:rPr>
        <w:t>）</w:t>
      </w:r>
    </w:p>
    <w:p w:rsidR="002B682F" w:rsidRPr="00DA3BC7" w:rsidRDefault="002B682F" w:rsidP="008E2BBC">
      <w:pPr>
        <w:pStyle w:val="Author"/>
      </w:pPr>
    </w:p>
    <w:p w:rsidR="002B682F" w:rsidRPr="00DA3BC7" w:rsidRDefault="002B682F" w:rsidP="00AE3920">
      <w:pPr>
        <w:spacing w:beforeLines="50"/>
        <w:jc w:val="both"/>
        <w:rPr>
          <w:rFonts w:ascii="Arial" w:eastAsia="SimSun" w:hAnsi="Arial" w:cs="Arial"/>
        </w:rPr>
      </w:pPr>
      <w:r w:rsidRPr="00DA3BC7">
        <w:rPr>
          <w:rFonts w:ascii="新細明體" w:hAnsi="新細明體" w:cs="Times Ext Roman" w:hint="eastAsia"/>
          <w:b/>
          <w:sz w:val="20"/>
          <w:szCs w:val="20"/>
          <w:bdr w:val="single" w:sz="4" w:space="0" w:color="auto"/>
        </w:rPr>
        <w:t>壹、中觀的根本論題：</w:t>
      </w:r>
      <w:r w:rsidRPr="00DA3BC7">
        <w:rPr>
          <w:rFonts w:ascii="Times New Roman" w:hAnsi="Times New Roman" w:hint="eastAsia"/>
          <w:b/>
          <w:sz w:val="20"/>
          <w:szCs w:val="20"/>
          <w:bdr w:val="single" w:sz="4" w:space="0" w:color="auto"/>
        </w:rPr>
        <w:t>緣起</w:t>
      </w:r>
      <w:r w:rsidRPr="00DA3BC7">
        <w:rPr>
          <w:rFonts w:ascii="新細明體" w:hAnsi="新細明體" w:cs="Times Ext Roman" w:hint="eastAsia"/>
          <w:b/>
          <w:sz w:val="20"/>
          <w:szCs w:val="20"/>
          <w:bdr w:val="single" w:sz="4" w:space="0" w:color="auto"/>
        </w:rPr>
        <w:t>、無自性、空</w:t>
      </w:r>
      <w:r w:rsidRPr="00DA3BC7">
        <w:rPr>
          <w:rFonts w:ascii="Times New Roman" w:hAnsi="Times New Roman" w:hint="eastAsia"/>
          <w:sz w:val="20"/>
          <w:szCs w:val="20"/>
        </w:rPr>
        <w:t>（</w:t>
      </w:r>
      <w:r w:rsidRPr="00DA3BC7">
        <w:rPr>
          <w:rFonts w:ascii="Times New Roman" w:hAnsi="Times New Roman"/>
          <w:sz w:val="20"/>
          <w:szCs w:val="20"/>
        </w:rPr>
        <w:t>p.</w:t>
      </w:r>
      <w:r w:rsidRPr="00DA3BC7">
        <w:rPr>
          <w:rFonts w:ascii="Times New Roman" w:eastAsia="SimSun" w:hAnsi="Times New Roman"/>
          <w:sz w:val="20"/>
          <w:szCs w:val="20"/>
        </w:rPr>
        <w:t>59</w:t>
      </w:r>
      <w:r w:rsidRPr="00DA3BC7">
        <w:rPr>
          <w:rFonts w:ascii="Times New Roman" w:hAnsi="Times New Roman" w:hint="eastAsia"/>
          <w:sz w:val="20"/>
          <w:szCs w:val="20"/>
        </w:rPr>
        <w:t>）</w:t>
      </w:r>
    </w:p>
    <w:p w:rsidR="002B682F" w:rsidRPr="00DA3BC7" w:rsidRDefault="002B682F" w:rsidP="008E2BBC">
      <w:pPr>
        <w:widowControl/>
        <w:tabs>
          <w:tab w:val="left" w:pos="6660"/>
        </w:tabs>
        <w:jc w:val="both"/>
        <w:rPr>
          <w:rFonts w:ascii="Arial" w:hAnsi="Arial" w:cs="Arial"/>
        </w:rPr>
      </w:pPr>
      <w:r w:rsidRPr="00DA3BC7">
        <w:rPr>
          <w:rFonts w:ascii="Arial" w:hAnsi="Arial" w:cs="Arial" w:hint="eastAsia"/>
        </w:rPr>
        <w:t>《中論》說：「</w:t>
      </w:r>
      <w:r w:rsidRPr="00DA3BC7">
        <w:rPr>
          <w:rFonts w:ascii="標楷體" w:eastAsia="標楷體" w:hAnsi="標楷體" w:hint="eastAsia"/>
        </w:rPr>
        <w:t>眾因緣生</w:t>
      </w:r>
      <w:r w:rsidRPr="00DA3BC7">
        <w:rPr>
          <w:rFonts w:ascii="標楷體" w:eastAsia="標楷體" w:hAnsi="標楷體" w:cs="Arial" w:hint="eastAsia"/>
        </w:rPr>
        <w:t>（即緣起）法，我說即是空</w:t>
      </w:r>
      <w:r w:rsidRPr="00DA3BC7">
        <w:rPr>
          <w:rFonts w:ascii="Arial" w:hAnsi="Arial" w:cs="Arial" w:hint="eastAsia"/>
        </w:rPr>
        <w:t>。」</w:t>
      </w:r>
      <w:r w:rsidRPr="00DA3BC7">
        <w:rPr>
          <w:rStyle w:val="a6"/>
          <w:rFonts w:ascii="Times New Roman" w:hAnsi="Times New Roman"/>
        </w:rPr>
        <w:footnoteReference w:id="314"/>
      </w:r>
    </w:p>
    <w:p w:rsidR="002B682F" w:rsidRPr="00DA3BC7" w:rsidRDefault="002B682F" w:rsidP="008E2BBC">
      <w:pPr>
        <w:widowControl/>
        <w:ind w:leftChars="550" w:left="1320"/>
        <w:jc w:val="both"/>
        <w:rPr>
          <w:rFonts w:ascii="Arial" w:eastAsia="SimSun" w:hAnsi="Arial" w:cs="Arial"/>
        </w:rPr>
      </w:pPr>
      <w:r w:rsidRPr="00DA3BC7">
        <w:rPr>
          <w:rFonts w:ascii="Arial" w:hAnsi="Arial" w:cs="Arial" w:hint="eastAsia"/>
        </w:rPr>
        <w:t>「</w:t>
      </w:r>
      <w:r w:rsidRPr="00DA3BC7">
        <w:rPr>
          <w:rFonts w:ascii="標楷體" w:eastAsia="標楷體" w:hAnsi="標楷體" w:hint="eastAsia"/>
        </w:rPr>
        <w:t>若法眾緣生</w:t>
      </w:r>
      <w:r w:rsidRPr="00DA3BC7">
        <w:rPr>
          <w:rFonts w:ascii="標楷體" w:eastAsia="標楷體" w:hAnsi="標楷體" w:cs="Arial" w:hint="eastAsia"/>
        </w:rPr>
        <w:t>，即是寂滅性</w:t>
      </w:r>
      <w:r w:rsidRPr="00DA3BC7">
        <w:rPr>
          <w:rFonts w:ascii="Arial" w:hAnsi="Arial" w:cs="Arial" w:hint="eastAsia"/>
        </w:rPr>
        <w:t>。」</w:t>
      </w:r>
      <w:r w:rsidRPr="00DA3BC7">
        <w:rPr>
          <w:rStyle w:val="a6"/>
          <w:rFonts w:ascii="Times New Roman" w:hAnsi="Times New Roman"/>
        </w:rPr>
        <w:footnoteReference w:id="315"/>
      </w:r>
    </w:p>
    <w:p w:rsidR="002B682F" w:rsidRPr="00DA3BC7" w:rsidRDefault="002B682F" w:rsidP="00AE3920">
      <w:pPr>
        <w:widowControl/>
        <w:spacing w:beforeLines="20"/>
        <w:jc w:val="both"/>
        <w:rPr>
          <w:rFonts w:ascii="Arial" w:eastAsia="SimSun" w:hAnsi="Arial" w:cs="Arial"/>
        </w:rPr>
      </w:pPr>
      <w:r w:rsidRPr="00DA3BC7">
        <w:rPr>
          <w:rFonts w:ascii="Arial" w:hAnsi="Arial" w:cs="Arial" w:hint="eastAsia"/>
        </w:rPr>
        <w:t>《十二門論》說：「</w:t>
      </w:r>
      <w:r w:rsidRPr="00DA3BC7">
        <w:rPr>
          <w:rFonts w:ascii="標楷體" w:eastAsia="標楷體" w:hAnsi="標楷體" w:hint="eastAsia"/>
        </w:rPr>
        <w:t>眾</w:t>
      </w:r>
      <w:r w:rsidRPr="00DA3BC7">
        <w:rPr>
          <w:rFonts w:ascii="標楷體" w:eastAsia="標楷體" w:hAnsi="標楷體" w:cs="Arial" w:hint="eastAsia"/>
        </w:rPr>
        <w:t>緣所生法，是即無自性</w:t>
      </w:r>
      <w:r w:rsidRPr="00DA3BC7">
        <w:rPr>
          <w:rFonts w:hint="eastAsia"/>
        </w:rPr>
        <w:t>。</w:t>
      </w:r>
      <w:r w:rsidRPr="00DA3BC7">
        <w:rPr>
          <w:rFonts w:ascii="Arial" w:hAnsi="Arial" w:cs="Arial" w:hint="eastAsia"/>
        </w:rPr>
        <w:t>」</w:t>
      </w:r>
      <w:r w:rsidRPr="00DA3BC7">
        <w:rPr>
          <w:rStyle w:val="a6"/>
          <w:rFonts w:ascii="Times New Roman" w:hAnsi="Times New Roman"/>
        </w:rPr>
        <w:footnoteReference w:id="316"/>
      </w:r>
    </w:p>
    <w:p w:rsidR="002B682F" w:rsidRPr="00DA3BC7" w:rsidRDefault="002B682F" w:rsidP="00AE3920">
      <w:pPr>
        <w:widowControl/>
        <w:spacing w:beforeLines="20"/>
        <w:jc w:val="both"/>
        <w:rPr>
          <w:rFonts w:ascii="Arial" w:hAnsi="Arial" w:cs="Arial"/>
        </w:rPr>
      </w:pPr>
      <w:r w:rsidRPr="00DA3BC7">
        <w:rPr>
          <w:rFonts w:ascii="Arial" w:hAnsi="Arial" w:cs="Arial" w:hint="eastAsia"/>
        </w:rPr>
        <w:lastRenderedPageBreak/>
        <w:t>緣起，所以是無自性的；無自性，所以是空的；空，所以是寂滅的。</w:t>
      </w:r>
    </w:p>
    <w:p w:rsidR="002B682F" w:rsidRPr="00DA3BC7" w:rsidRDefault="002B682F" w:rsidP="008E2BBC">
      <w:pPr>
        <w:widowControl/>
        <w:jc w:val="both"/>
        <w:rPr>
          <w:rFonts w:ascii="Arial" w:hAnsi="Arial" w:cs="Arial"/>
        </w:rPr>
      </w:pPr>
      <w:r w:rsidRPr="00DA3BC7">
        <w:rPr>
          <w:rFonts w:ascii="Arial" w:hAnsi="Arial" w:cs="Arial" w:hint="eastAsia"/>
        </w:rPr>
        <w:t>「緣起自性空」，實為中觀的根本論題、根本觀法、根本的法則。</w:t>
      </w:r>
    </w:p>
    <w:p w:rsidR="002B682F" w:rsidRPr="00DA3BC7" w:rsidRDefault="002B682F" w:rsidP="00AE3920">
      <w:pPr>
        <w:widowControl/>
        <w:spacing w:beforeLines="20"/>
        <w:jc w:val="both"/>
        <w:rPr>
          <w:rFonts w:ascii="Arial" w:eastAsia="SimSun" w:hAnsi="Arial" w:cs="Arial"/>
        </w:rPr>
      </w:pPr>
      <w:r w:rsidRPr="00DA3BC7">
        <w:rPr>
          <w:rFonts w:ascii="Arial" w:hAnsi="Arial" w:cs="Arial" w:hint="eastAsia"/>
        </w:rPr>
        <w:t>緣起、自性、空，到底是什麼意義呢？</w:t>
      </w:r>
    </w:p>
    <w:p w:rsidR="002B682F" w:rsidRPr="00DA3BC7" w:rsidRDefault="002B682F" w:rsidP="00AE3920">
      <w:pPr>
        <w:widowControl/>
        <w:spacing w:beforeLines="30"/>
        <w:jc w:val="both"/>
        <w:rPr>
          <w:rFonts w:ascii="新細明體" w:cs="Arial"/>
        </w:rPr>
      </w:pPr>
      <w:r w:rsidRPr="00DA3BC7">
        <w:rPr>
          <w:rFonts w:ascii="新細明體" w:hAnsi="新細明體" w:cs="Times Ext Roman" w:hint="eastAsia"/>
          <w:b/>
          <w:sz w:val="20"/>
          <w:szCs w:val="20"/>
          <w:bdr w:val="single" w:sz="4" w:space="0" w:color="auto"/>
        </w:rPr>
        <w:t>貳、別論</w:t>
      </w:r>
      <w:r w:rsidR="00774F73" w:rsidRPr="00774F73">
        <w:rPr>
          <w:rFonts w:ascii="新細明體" w:hAnsi="新細明體" w:cs="Times Ext Roman" w:hint="eastAsia"/>
          <w:b/>
          <w:color w:val="FF0000"/>
          <w:sz w:val="20"/>
          <w:szCs w:val="20"/>
          <w:highlight w:val="yellow"/>
          <w:bdr w:val="single" w:sz="4" w:space="0" w:color="auto"/>
        </w:rPr>
        <w:t>「</w:t>
      </w:r>
      <w:r w:rsidRPr="00DA3BC7">
        <w:rPr>
          <w:rFonts w:ascii="新細明體" w:hAnsi="新細明體" w:cs="Times Ext Roman" w:hint="eastAsia"/>
          <w:b/>
          <w:sz w:val="20"/>
          <w:szCs w:val="20"/>
          <w:bdr w:val="single" w:sz="4" w:space="0" w:color="auto"/>
        </w:rPr>
        <w:t>緣起</w:t>
      </w:r>
      <w:r w:rsidR="00774F73" w:rsidRPr="00774F73">
        <w:rPr>
          <w:rFonts w:ascii="新細明體" w:hAnsi="新細明體" w:cs="Times Ext Roman" w:hint="eastAsia"/>
          <w:b/>
          <w:color w:val="FF0000"/>
          <w:sz w:val="20"/>
          <w:szCs w:val="20"/>
          <w:highlight w:val="yellow"/>
          <w:bdr w:val="single" w:sz="4" w:space="0" w:color="auto"/>
        </w:rPr>
        <w:t>」</w:t>
      </w:r>
      <w:r w:rsidRPr="00DA3BC7">
        <w:rPr>
          <w:rFonts w:ascii="Times New Roman" w:hAnsi="Times New Roman" w:hint="eastAsia"/>
          <w:sz w:val="20"/>
          <w:szCs w:val="20"/>
        </w:rPr>
        <w:t>（</w:t>
      </w:r>
      <w:r w:rsidRPr="00DA3BC7">
        <w:rPr>
          <w:rFonts w:ascii="Times New Roman" w:hAnsi="Times New Roman" w:hint="eastAsia"/>
          <w:sz w:val="20"/>
          <w:szCs w:val="20"/>
        </w:rPr>
        <w:t>p</w:t>
      </w:r>
      <w:r w:rsidRPr="00DA3BC7">
        <w:rPr>
          <w:rFonts w:ascii="Times New Roman" w:hAnsi="Times New Roman"/>
          <w:sz w:val="20"/>
          <w:szCs w:val="20"/>
        </w:rPr>
        <w:t>p.</w:t>
      </w:r>
      <w:r w:rsidRPr="00DA3BC7">
        <w:rPr>
          <w:rFonts w:ascii="Times New Roman" w:eastAsia="SimSun" w:hAnsi="Times New Roman"/>
          <w:sz w:val="20"/>
          <w:szCs w:val="20"/>
        </w:rPr>
        <w:t>59</w:t>
      </w:r>
      <w:r w:rsidRPr="00DA3BC7">
        <w:rPr>
          <w:rFonts w:ascii="Times New Roman" w:hAnsi="Times New Roman" w:hint="eastAsia"/>
          <w:sz w:val="20"/>
          <w:szCs w:val="20"/>
        </w:rPr>
        <w:t>-63</w:t>
      </w:r>
      <w:r w:rsidRPr="00DA3BC7">
        <w:rPr>
          <w:rFonts w:ascii="Times New Roman" w:hAnsi="Times New Roman" w:hint="eastAsia"/>
          <w:sz w:val="20"/>
          <w:szCs w:val="20"/>
        </w:rPr>
        <w:t>）</w:t>
      </w:r>
    </w:p>
    <w:p w:rsidR="002B682F" w:rsidRPr="00DA3BC7" w:rsidRDefault="002B682F" w:rsidP="008E2BBC">
      <w:pPr>
        <w:widowControl/>
        <w:ind w:leftChars="50" w:left="120"/>
        <w:jc w:val="both"/>
        <w:rPr>
          <w:rFonts w:ascii="新細明體" w:hAnsi="新細明體" w:cs="Times Ext Roman"/>
          <w:b/>
          <w:sz w:val="20"/>
          <w:szCs w:val="20"/>
          <w:bdr w:val="single" w:sz="4" w:space="0" w:color="auto"/>
        </w:rPr>
      </w:pPr>
      <w:r w:rsidRPr="00DA3BC7">
        <w:rPr>
          <w:rFonts w:ascii="新細明體" w:hAnsi="新細明體" w:cs="Times Ext Roman" w:hint="eastAsia"/>
          <w:b/>
          <w:sz w:val="20"/>
          <w:szCs w:val="20"/>
          <w:bdr w:val="single" w:sz="4" w:space="0" w:color="auto"/>
        </w:rPr>
        <w:t>（壹）一切</w:t>
      </w:r>
      <w:r w:rsidR="00774F73" w:rsidRPr="00774F73">
        <w:rPr>
          <w:rFonts w:ascii="新細明體" w:hAnsi="新細明體" w:cs="Times Ext Roman" w:hint="eastAsia"/>
          <w:b/>
          <w:color w:val="FF0000"/>
          <w:sz w:val="20"/>
          <w:szCs w:val="20"/>
          <w:highlight w:val="yellow"/>
          <w:bdr w:val="single" w:sz="4" w:space="0" w:color="auto"/>
        </w:rPr>
        <w:t>［</w:t>
      </w:r>
      <w:r w:rsidRPr="00DA3BC7">
        <w:rPr>
          <w:rFonts w:ascii="新細明體" w:hAnsi="新細明體" w:cs="Times Ext Roman" w:hint="eastAsia"/>
          <w:b/>
          <w:sz w:val="20"/>
          <w:szCs w:val="20"/>
          <w:bdr w:val="single" w:sz="4" w:space="0" w:color="auto"/>
        </w:rPr>
        <w:t>因果、事理</w:t>
      </w:r>
      <w:r w:rsidR="00774F73" w:rsidRPr="00774F73">
        <w:rPr>
          <w:rFonts w:ascii="新細明體" w:hAnsi="新細明體" w:cs="Times Ext Roman" w:hint="eastAsia"/>
          <w:b/>
          <w:color w:val="FF0000"/>
          <w:sz w:val="20"/>
          <w:szCs w:val="20"/>
          <w:highlight w:val="yellow"/>
          <w:bdr w:val="single" w:sz="4" w:space="0" w:color="auto"/>
        </w:rPr>
        <w:t>］</w:t>
      </w:r>
      <w:r w:rsidRPr="00DA3BC7">
        <w:rPr>
          <w:rFonts w:ascii="新細明體" w:hAnsi="新細明體" w:cs="Times Ext Roman" w:hint="eastAsia"/>
          <w:b/>
          <w:sz w:val="20"/>
          <w:szCs w:val="20"/>
          <w:bdr w:val="single" w:sz="4" w:space="0" w:color="auto"/>
        </w:rPr>
        <w:t>都是緣起</w:t>
      </w:r>
      <w:r w:rsidRPr="00DA3BC7">
        <w:rPr>
          <w:rFonts w:ascii="Times New Roman" w:hAnsi="Times New Roman" w:hint="eastAsia"/>
          <w:sz w:val="20"/>
          <w:szCs w:val="20"/>
        </w:rPr>
        <w:t>（</w:t>
      </w:r>
      <w:r w:rsidRPr="00DA3BC7">
        <w:rPr>
          <w:rFonts w:ascii="Times New Roman" w:hAnsi="Times New Roman" w:hint="eastAsia"/>
          <w:sz w:val="20"/>
          <w:szCs w:val="20"/>
        </w:rPr>
        <w:t>p</w:t>
      </w:r>
      <w:r w:rsidRPr="00DA3BC7">
        <w:rPr>
          <w:rFonts w:ascii="Times New Roman" w:hAnsi="Times New Roman"/>
          <w:sz w:val="20"/>
          <w:szCs w:val="20"/>
        </w:rPr>
        <w:t>p.</w:t>
      </w:r>
      <w:r w:rsidRPr="00DA3BC7">
        <w:rPr>
          <w:rFonts w:ascii="Times New Roman" w:eastAsia="SimSun" w:hAnsi="Times New Roman"/>
          <w:sz w:val="20"/>
          <w:szCs w:val="20"/>
        </w:rPr>
        <w:t>59</w:t>
      </w:r>
      <w:r w:rsidRPr="00DA3BC7">
        <w:rPr>
          <w:rFonts w:ascii="Times New Roman" w:hAnsi="Times New Roman" w:hint="eastAsia"/>
          <w:sz w:val="20"/>
          <w:szCs w:val="20"/>
        </w:rPr>
        <w:t>-60</w:t>
      </w:r>
      <w:r w:rsidRPr="00DA3BC7">
        <w:rPr>
          <w:rFonts w:ascii="Times New Roman" w:hAnsi="Times New Roman" w:hint="eastAsia"/>
          <w:sz w:val="20"/>
          <w:szCs w:val="20"/>
        </w:rPr>
        <w:t>）</w:t>
      </w:r>
    </w:p>
    <w:p w:rsidR="002B682F" w:rsidRPr="00DA3BC7" w:rsidRDefault="002B682F" w:rsidP="008E2BBC">
      <w:pPr>
        <w:widowControl/>
        <w:ind w:leftChars="100" w:left="240"/>
        <w:jc w:val="both"/>
        <w:rPr>
          <w:rFonts w:ascii="Arial" w:eastAsia="SimSun" w:hAnsi="Arial" w:cs="Arial"/>
        </w:rPr>
      </w:pPr>
      <w:r w:rsidRPr="00DA3BC7">
        <w:rPr>
          <w:rFonts w:ascii="Times New Roman" w:hAnsi="Times New Roman" w:hint="eastAsia"/>
          <w:b/>
          <w:sz w:val="20"/>
          <w:szCs w:val="20"/>
          <w:bdr w:val="single" w:sz="4" w:space="0" w:color="auto"/>
        </w:rPr>
        <w:t>一、</w:t>
      </w:r>
      <w:r w:rsidRPr="00DA3BC7">
        <w:rPr>
          <w:rFonts w:ascii="新細明體" w:hAnsi="新細明體" w:cs="Times Ext Roman" w:hint="eastAsia"/>
          <w:b/>
          <w:sz w:val="20"/>
          <w:szCs w:val="20"/>
          <w:bdr w:val="single" w:sz="4" w:space="0" w:color="auto"/>
        </w:rPr>
        <w:t>《阿含經》所說的</w:t>
      </w:r>
      <w:r w:rsidR="00774F73" w:rsidRPr="00774F73">
        <w:rPr>
          <w:rFonts w:ascii="新細明體" w:hAnsi="新細明體" w:cs="Times Ext Roman" w:hint="eastAsia"/>
          <w:b/>
          <w:color w:val="FF0000"/>
          <w:sz w:val="20"/>
          <w:szCs w:val="20"/>
          <w:highlight w:val="yellow"/>
          <w:bdr w:val="single" w:sz="4" w:space="0" w:color="auto"/>
        </w:rPr>
        <w:t>「</w:t>
      </w:r>
      <w:r w:rsidR="00774F73" w:rsidRPr="00DA3BC7">
        <w:rPr>
          <w:rFonts w:ascii="新細明體" w:hAnsi="新細明體" w:cs="Times Ext Roman" w:hint="eastAsia"/>
          <w:b/>
          <w:sz w:val="20"/>
          <w:szCs w:val="20"/>
          <w:bdr w:val="single" w:sz="4" w:space="0" w:color="auto"/>
        </w:rPr>
        <w:t>緣起</w:t>
      </w:r>
      <w:r w:rsidR="00774F73" w:rsidRPr="00774F73">
        <w:rPr>
          <w:rFonts w:ascii="新細明體" w:hAnsi="新細明體" w:cs="Times Ext Roman" w:hint="eastAsia"/>
          <w:b/>
          <w:color w:val="FF0000"/>
          <w:sz w:val="20"/>
          <w:szCs w:val="20"/>
          <w:highlight w:val="yellow"/>
          <w:bdr w:val="single" w:sz="4" w:space="0" w:color="auto"/>
        </w:rPr>
        <w:t>」</w:t>
      </w:r>
      <w:r w:rsidRPr="00DA3BC7">
        <w:rPr>
          <w:rFonts w:ascii="Times New Roman" w:hAnsi="Times New Roman" w:hint="eastAsia"/>
          <w:sz w:val="20"/>
          <w:szCs w:val="20"/>
        </w:rPr>
        <w:t>（</w:t>
      </w:r>
      <w:r w:rsidRPr="00DA3BC7">
        <w:rPr>
          <w:rFonts w:ascii="Times New Roman" w:hAnsi="Times New Roman"/>
          <w:sz w:val="20"/>
          <w:szCs w:val="20"/>
        </w:rPr>
        <w:t>p.</w:t>
      </w:r>
      <w:r w:rsidRPr="00DA3BC7">
        <w:rPr>
          <w:rFonts w:ascii="Times New Roman" w:eastAsia="SimSun" w:hAnsi="Times New Roman"/>
          <w:sz w:val="20"/>
          <w:szCs w:val="20"/>
        </w:rPr>
        <w:t>59</w:t>
      </w:r>
      <w:r w:rsidRPr="00DA3BC7">
        <w:rPr>
          <w:rFonts w:ascii="Times New Roman" w:hAnsi="Times New Roman" w:hint="eastAsia"/>
          <w:sz w:val="20"/>
          <w:szCs w:val="20"/>
        </w:rPr>
        <w:t>）</w:t>
      </w:r>
    </w:p>
    <w:p w:rsidR="002B682F" w:rsidRPr="00DA3BC7" w:rsidRDefault="002B682F" w:rsidP="008E2BBC">
      <w:pPr>
        <w:widowControl/>
        <w:ind w:leftChars="100" w:left="240"/>
        <w:jc w:val="both"/>
        <w:rPr>
          <w:rFonts w:ascii="Arial" w:hAnsi="Arial" w:cs="Arial"/>
        </w:rPr>
      </w:pPr>
      <w:r w:rsidRPr="00DA3BC7">
        <w:rPr>
          <w:rFonts w:ascii="Arial" w:hAnsi="Arial" w:cs="Arial" w:hint="eastAsia"/>
        </w:rPr>
        <w:t>佛法以有情的生死相續及還滅為中心，所以經中說到緣起，總是這樣說：</w:t>
      </w:r>
    </w:p>
    <w:p w:rsidR="002B682F" w:rsidRPr="00DA3BC7" w:rsidRDefault="002B682F" w:rsidP="00AE3920">
      <w:pPr>
        <w:widowControl/>
        <w:spacing w:beforeLines="20"/>
        <w:ind w:leftChars="100" w:left="240"/>
        <w:jc w:val="both"/>
        <w:rPr>
          <w:rFonts w:ascii="Arial" w:hAnsi="Arial" w:cs="Arial"/>
        </w:rPr>
      </w:pPr>
      <w:r w:rsidRPr="00DA3BC7">
        <w:rPr>
          <w:rFonts w:ascii="Arial" w:hAnsi="Arial" w:cs="Arial" w:hint="eastAsia"/>
        </w:rPr>
        <w:t>「</w:t>
      </w:r>
      <w:r w:rsidRPr="00DA3BC7">
        <w:rPr>
          <w:rFonts w:ascii="標楷體" w:eastAsia="標楷體" w:hAnsi="標楷體" w:cs="Arial" w:hint="eastAsia"/>
        </w:rPr>
        <w:t>此有故彼有，此生故彼生，謂無明緣行，……乃至純大苦聚集</w:t>
      </w:r>
      <w:r w:rsidRPr="00DA3BC7">
        <w:rPr>
          <w:rFonts w:ascii="Arial" w:hAnsi="Arial" w:cs="Arial" w:hint="eastAsia"/>
        </w:rPr>
        <w:t>。」</w:t>
      </w:r>
      <w:r w:rsidRPr="00DA3BC7">
        <w:rPr>
          <w:rStyle w:val="a6"/>
          <w:rFonts w:ascii="Times New Roman" w:hAnsi="Times New Roman"/>
        </w:rPr>
        <w:footnoteReference w:id="317"/>
      </w:r>
    </w:p>
    <w:p w:rsidR="002B682F" w:rsidRPr="00DA3BC7" w:rsidRDefault="002B682F" w:rsidP="00AE3920">
      <w:pPr>
        <w:widowControl/>
        <w:spacing w:beforeLines="20"/>
        <w:ind w:leftChars="100" w:left="240"/>
        <w:jc w:val="both"/>
        <w:rPr>
          <w:rFonts w:ascii="Arial" w:hAnsi="Arial" w:cs="Arial"/>
        </w:rPr>
      </w:pPr>
      <w:r w:rsidRPr="00DA3BC7">
        <w:rPr>
          <w:rFonts w:ascii="標楷體" w:eastAsia="標楷體" w:hAnsi="標楷體" w:cs="Arial" w:hint="eastAsia"/>
        </w:rPr>
        <w:t>「此無故彼無，此滅故彼滅，謂無明滅則行滅，……乃至純大苦聚滅</w:t>
      </w:r>
      <w:r w:rsidRPr="00DA3BC7">
        <w:rPr>
          <w:rFonts w:ascii="Arial" w:hAnsi="Arial" w:cs="Arial" w:hint="eastAsia"/>
        </w:rPr>
        <w:t>。</w:t>
      </w:r>
      <w:r w:rsidRPr="00DA3BC7">
        <w:rPr>
          <w:rFonts w:ascii="標楷體" w:eastAsia="標楷體" w:hAnsi="標楷體" w:cs="Arial" w:hint="eastAsia"/>
        </w:rPr>
        <w:t>」</w:t>
      </w:r>
    </w:p>
    <w:p w:rsidR="002B682F" w:rsidRPr="00DA3BC7" w:rsidRDefault="002B682F" w:rsidP="00AE3920">
      <w:pPr>
        <w:widowControl/>
        <w:spacing w:beforeLines="20"/>
        <w:ind w:leftChars="100" w:left="240"/>
        <w:jc w:val="both"/>
        <w:rPr>
          <w:rFonts w:ascii="Arial" w:eastAsia="SimSun" w:hAnsi="Arial" w:cs="Arial"/>
        </w:rPr>
      </w:pPr>
      <w:r w:rsidRPr="00DA3BC7">
        <w:rPr>
          <w:rFonts w:ascii="Arial" w:hAnsi="Arial" w:cs="Arial" w:hint="eastAsia"/>
        </w:rPr>
        <w:t>《阿含經》說緣起，雖多從</w:t>
      </w:r>
      <w:r w:rsidRPr="00DA3BC7">
        <w:rPr>
          <w:rFonts w:ascii="Arial" w:hAnsi="Arial" w:cs="Arial" w:hint="eastAsia"/>
          <w:b/>
        </w:rPr>
        <w:t>有情的流轉還滅說</w:t>
      </w:r>
      <w:r w:rsidRPr="00DA3BC7">
        <w:rPr>
          <w:rFonts w:ascii="Arial" w:hAnsi="Arial" w:cs="Arial" w:hint="eastAsia"/>
        </w:rPr>
        <w:t>，實則</w:t>
      </w:r>
      <w:r w:rsidRPr="00DA3BC7">
        <w:rPr>
          <w:rFonts w:ascii="Arial" w:hAnsi="Arial" w:cs="Arial" w:hint="eastAsia"/>
          <w:b/>
        </w:rPr>
        <w:t>器世間</w:t>
      </w:r>
      <w:r w:rsidRPr="00DA3BC7">
        <w:rPr>
          <w:rFonts w:ascii="Arial" w:hAnsi="Arial" w:cs="Arial" w:hint="eastAsia"/>
        </w:rPr>
        <w:t>也還是緣起的。</w:t>
      </w:r>
    </w:p>
    <w:p w:rsidR="002B682F" w:rsidRPr="00DA3BC7" w:rsidRDefault="002B682F" w:rsidP="00AE3920">
      <w:pPr>
        <w:widowControl/>
        <w:spacing w:beforeLines="30"/>
        <w:ind w:leftChars="100" w:left="240"/>
        <w:jc w:val="both"/>
        <w:rPr>
          <w:rFonts w:ascii="Arial" w:eastAsia="SimSun" w:hAnsi="Arial" w:cs="Arial"/>
        </w:rPr>
      </w:pPr>
      <w:r w:rsidRPr="00DA3BC7">
        <w:rPr>
          <w:rFonts w:ascii="Times New Roman" w:hAnsi="Times New Roman" w:hint="eastAsia"/>
          <w:b/>
          <w:sz w:val="20"/>
          <w:szCs w:val="20"/>
          <w:bdr w:val="single" w:sz="4" w:space="0" w:color="auto"/>
        </w:rPr>
        <w:t>二、</w:t>
      </w:r>
      <w:r w:rsidR="00774F73" w:rsidRPr="00774F73">
        <w:rPr>
          <w:rFonts w:ascii="Times New Roman" w:hAnsi="Times New Roman" w:hint="eastAsia"/>
          <w:b/>
          <w:color w:val="FF0000"/>
          <w:sz w:val="20"/>
          <w:szCs w:val="20"/>
          <w:highlight w:val="yellow"/>
          <w:bdr w:val="single" w:sz="4" w:space="0" w:color="auto"/>
        </w:rPr>
        <w:t>論師所明的</w:t>
      </w:r>
      <w:r w:rsidR="00774F73" w:rsidRPr="00774F73">
        <w:rPr>
          <w:rFonts w:ascii="新細明體" w:hAnsi="新細明體" w:cs="Times Ext Roman" w:hint="eastAsia"/>
          <w:b/>
          <w:color w:val="FF0000"/>
          <w:sz w:val="20"/>
          <w:szCs w:val="20"/>
          <w:highlight w:val="yellow"/>
          <w:bdr w:val="single" w:sz="4" w:space="0" w:color="auto"/>
        </w:rPr>
        <w:t>「</w:t>
      </w:r>
      <w:r w:rsidR="00774F73" w:rsidRPr="00DA3BC7">
        <w:rPr>
          <w:rFonts w:ascii="新細明體" w:hAnsi="新細明體" w:cs="Times Ext Roman" w:hint="eastAsia"/>
          <w:b/>
          <w:sz w:val="20"/>
          <w:szCs w:val="20"/>
          <w:bdr w:val="single" w:sz="4" w:space="0" w:color="auto"/>
        </w:rPr>
        <w:t>緣起</w:t>
      </w:r>
      <w:r w:rsidR="00774F73" w:rsidRPr="00774F73">
        <w:rPr>
          <w:rFonts w:ascii="新細明體" w:hAnsi="新細明體" w:cs="Times Ext Roman" w:hint="eastAsia"/>
          <w:b/>
          <w:color w:val="FF0000"/>
          <w:sz w:val="20"/>
          <w:szCs w:val="20"/>
          <w:highlight w:val="yellow"/>
          <w:bdr w:val="single" w:sz="4" w:space="0" w:color="auto"/>
        </w:rPr>
        <w:t>」</w:t>
      </w:r>
      <w:r w:rsidRPr="00DA3BC7">
        <w:rPr>
          <w:rFonts w:ascii="Times New Roman" w:hAnsi="Times New Roman" w:hint="eastAsia"/>
          <w:sz w:val="20"/>
          <w:szCs w:val="20"/>
        </w:rPr>
        <w:t>（</w:t>
      </w:r>
      <w:r w:rsidRPr="00DA3BC7">
        <w:rPr>
          <w:rFonts w:ascii="Times New Roman" w:hAnsi="Times New Roman" w:hint="eastAsia"/>
          <w:sz w:val="20"/>
          <w:szCs w:val="20"/>
        </w:rPr>
        <w:t>p</w:t>
      </w:r>
      <w:r w:rsidRPr="00DA3BC7">
        <w:rPr>
          <w:rFonts w:ascii="Times New Roman" w:hAnsi="Times New Roman"/>
          <w:sz w:val="20"/>
          <w:szCs w:val="20"/>
        </w:rPr>
        <w:t>p.</w:t>
      </w:r>
      <w:r w:rsidRPr="00DA3BC7">
        <w:rPr>
          <w:rFonts w:ascii="Times New Roman" w:eastAsia="SimSun" w:hAnsi="Times New Roman"/>
          <w:sz w:val="20"/>
          <w:szCs w:val="20"/>
        </w:rPr>
        <w:t>59</w:t>
      </w:r>
      <w:r w:rsidRPr="00DA3BC7">
        <w:rPr>
          <w:rFonts w:ascii="Times New Roman" w:hAnsi="Times New Roman" w:hint="eastAsia"/>
          <w:sz w:val="20"/>
          <w:szCs w:val="20"/>
        </w:rPr>
        <w:t>-60</w:t>
      </w:r>
      <w:r w:rsidRPr="00DA3BC7">
        <w:rPr>
          <w:rFonts w:ascii="Times New Roman" w:hAnsi="Times New Roman" w:hint="eastAsia"/>
          <w:sz w:val="20"/>
          <w:szCs w:val="20"/>
        </w:rPr>
        <w:t>）</w:t>
      </w:r>
    </w:p>
    <w:p w:rsidR="00774F73" w:rsidRPr="00DA3BC7" w:rsidRDefault="00774F73" w:rsidP="00F87FD0">
      <w:pPr>
        <w:widowControl/>
        <w:ind w:leftChars="150" w:left="360"/>
        <w:jc w:val="both"/>
        <w:rPr>
          <w:rFonts w:ascii="Arial" w:eastAsia="SimSun" w:hAnsi="Arial" w:cs="Arial"/>
        </w:rPr>
      </w:pPr>
      <w:r w:rsidRPr="00774F73">
        <w:rPr>
          <w:rFonts w:ascii="Times New Roman" w:hAnsi="Times New Roman" w:hint="eastAsia"/>
          <w:b/>
          <w:color w:val="FF0000"/>
          <w:sz w:val="20"/>
          <w:szCs w:val="20"/>
          <w:highlight w:val="yellow"/>
          <w:bdr w:val="single" w:sz="4" w:space="0" w:color="auto"/>
        </w:rPr>
        <w:t>（一）</w:t>
      </w:r>
      <w:r w:rsidRPr="00774F73">
        <w:rPr>
          <w:rFonts w:ascii="新細明體" w:hAnsi="新細明體" w:cs="Times Ext Roman" w:hint="eastAsia"/>
          <w:b/>
          <w:color w:val="FF0000"/>
          <w:sz w:val="20"/>
          <w:szCs w:val="20"/>
          <w:highlight w:val="yellow"/>
          <w:bdr w:val="single" w:sz="4" w:space="0" w:color="auto"/>
        </w:rPr>
        <w:t>「</w:t>
      </w:r>
      <w:r w:rsidRPr="00DA3BC7">
        <w:rPr>
          <w:rFonts w:ascii="新細明體" w:hAnsi="新細明體" w:cs="Times Ext Roman" w:hint="eastAsia"/>
          <w:b/>
          <w:sz w:val="20"/>
          <w:szCs w:val="20"/>
          <w:bdr w:val="single" w:sz="4" w:space="0" w:color="auto"/>
        </w:rPr>
        <w:t>緣起</w:t>
      </w:r>
      <w:r w:rsidRPr="00774F73">
        <w:rPr>
          <w:rFonts w:ascii="新細明體" w:hAnsi="新細明體" w:cs="Times Ext Roman" w:hint="eastAsia"/>
          <w:b/>
          <w:color w:val="FF0000"/>
          <w:sz w:val="20"/>
          <w:szCs w:val="20"/>
          <w:highlight w:val="yellow"/>
          <w:bdr w:val="single" w:sz="4" w:space="0" w:color="auto"/>
        </w:rPr>
        <w:t>」</w:t>
      </w:r>
      <w:r w:rsidRPr="00774F73">
        <w:rPr>
          <w:rFonts w:ascii="Times New Roman" w:hAnsi="Times New Roman" w:hint="eastAsia"/>
          <w:b/>
          <w:color w:val="FF0000"/>
          <w:sz w:val="20"/>
          <w:szCs w:val="20"/>
          <w:highlight w:val="yellow"/>
          <w:bdr w:val="single" w:sz="4" w:space="0" w:color="auto"/>
        </w:rPr>
        <w:t>通於有情、無情</w:t>
      </w:r>
      <w:r w:rsidRPr="00DA3BC7">
        <w:rPr>
          <w:rFonts w:ascii="Times New Roman" w:hAnsi="Times New Roman" w:hint="eastAsia"/>
          <w:sz w:val="20"/>
          <w:szCs w:val="20"/>
        </w:rPr>
        <w:t>（</w:t>
      </w:r>
      <w:r w:rsidRPr="00DA3BC7">
        <w:rPr>
          <w:rFonts w:ascii="Times New Roman" w:hAnsi="Times New Roman" w:hint="eastAsia"/>
          <w:sz w:val="20"/>
          <w:szCs w:val="20"/>
        </w:rPr>
        <w:t>p</w:t>
      </w:r>
      <w:r w:rsidRPr="00DA3BC7">
        <w:rPr>
          <w:rFonts w:ascii="Times New Roman" w:hAnsi="Times New Roman"/>
          <w:sz w:val="20"/>
          <w:szCs w:val="20"/>
        </w:rPr>
        <w:t>p.</w:t>
      </w:r>
      <w:r w:rsidRPr="00DA3BC7">
        <w:rPr>
          <w:rFonts w:ascii="Times New Roman" w:eastAsia="SimSun" w:hAnsi="Times New Roman"/>
          <w:sz w:val="20"/>
          <w:szCs w:val="20"/>
        </w:rPr>
        <w:t>59</w:t>
      </w:r>
      <w:r w:rsidRPr="00DA3BC7">
        <w:rPr>
          <w:rFonts w:ascii="Times New Roman" w:hAnsi="Times New Roman" w:hint="eastAsia"/>
          <w:sz w:val="20"/>
          <w:szCs w:val="20"/>
        </w:rPr>
        <w:t>-60</w:t>
      </w:r>
      <w:r w:rsidRPr="00DA3BC7">
        <w:rPr>
          <w:rFonts w:ascii="Times New Roman" w:hAnsi="Times New Roman" w:hint="eastAsia"/>
          <w:sz w:val="20"/>
          <w:szCs w:val="20"/>
        </w:rPr>
        <w:t>）</w:t>
      </w:r>
    </w:p>
    <w:p w:rsidR="002B682F" w:rsidRPr="00DA3BC7" w:rsidRDefault="002B682F" w:rsidP="00C161CA">
      <w:pPr>
        <w:widowControl/>
        <w:ind w:leftChars="150" w:left="360"/>
        <w:jc w:val="both"/>
        <w:rPr>
          <w:rFonts w:ascii="Arial" w:eastAsia="SimSun" w:hAnsi="Arial" w:cs="Arial"/>
        </w:rPr>
      </w:pPr>
      <w:r w:rsidRPr="00DA3BC7">
        <w:rPr>
          <w:rFonts w:ascii="Arial" w:hAnsi="Arial" w:cs="Arial" w:hint="eastAsia"/>
        </w:rPr>
        <w:t>《阿毘達磨論》中說四種緣起，</w:t>
      </w:r>
      <w:r w:rsidR="00C161CA" w:rsidRPr="00DA3BC7">
        <w:rPr>
          <w:rStyle w:val="a6"/>
          <w:rFonts w:ascii="Times New Roman" w:hAnsi="Times New Roman"/>
        </w:rPr>
        <w:footnoteReference w:id="318"/>
      </w:r>
      <w:r w:rsidRPr="00DA3BC7">
        <w:rPr>
          <w:rFonts w:ascii="Arial" w:hAnsi="Arial" w:cs="Arial" w:hint="eastAsia"/>
        </w:rPr>
        <w:t>即通於有情及器世間。</w:t>
      </w:r>
      <w:r w:rsidR="00C161CA" w:rsidRPr="00DA3BC7">
        <w:rPr>
          <w:rStyle w:val="a6"/>
          <w:rFonts w:ascii="Times New Roman" w:hAnsi="Times New Roman"/>
        </w:rPr>
        <w:footnoteReference w:id="319"/>
      </w:r>
    </w:p>
    <w:p w:rsidR="00774F73" w:rsidRDefault="002B682F" w:rsidP="00F87FD0">
      <w:pPr>
        <w:widowControl/>
        <w:ind w:leftChars="150" w:left="360"/>
        <w:jc w:val="both"/>
        <w:rPr>
          <w:rFonts w:ascii="Arial" w:hAnsi="Arial" w:cs="Arial"/>
        </w:rPr>
      </w:pPr>
      <w:r w:rsidRPr="00DA3BC7">
        <w:rPr>
          <w:rFonts w:ascii="Arial" w:hAnsi="Arial" w:cs="Arial" w:hint="eastAsia"/>
        </w:rPr>
        <w:lastRenderedPageBreak/>
        <w:t>《十二門論》也說內緣起與外緣起：內緣起，即無明緣行等十二支；外緣起，即如以泥土、輪繩、陶工等而成瓶。</w:t>
      </w:r>
      <w:r w:rsidR="00774F73" w:rsidRPr="00774F73">
        <w:rPr>
          <w:rStyle w:val="a6"/>
          <w:rFonts w:ascii="Times New Roman" w:hAnsi="Times New Roman"/>
          <w:highlight w:val="yellow"/>
        </w:rPr>
        <w:footnoteReference w:id="320"/>
      </w:r>
    </w:p>
    <w:p w:rsidR="002B682F" w:rsidRPr="00DA3BC7" w:rsidRDefault="002B682F" w:rsidP="00F87FD0">
      <w:pPr>
        <w:widowControl/>
        <w:ind w:leftChars="150" w:left="360"/>
        <w:jc w:val="both"/>
        <w:rPr>
          <w:rFonts w:ascii="Arial" w:eastAsia="SimSun" w:hAnsi="Arial" w:cs="Arial"/>
        </w:rPr>
      </w:pPr>
      <w:r w:rsidRPr="00774F73">
        <w:rPr>
          <w:rFonts w:ascii="Arial" w:hAnsi="Arial" w:cs="Arial" w:hint="eastAsia"/>
          <w:highlight w:val="yellow"/>
        </w:rPr>
        <w:t>可知</w:t>
      </w:r>
      <w:r w:rsidR="00664D31" w:rsidRPr="00664D31">
        <w:rPr>
          <w:rFonts w:ascii="Arial" w:hAnsi="Arial" w:cs="Arial" w:hint="eastAsia"/>
          <w:color w:val="FF0000"/>
          <w:highlight w:val="yellow"/>
        </w:rPr>
        <w:t>：</w:t>
      </w:r>
      <w:r w:rsidRPr="00DA3BC7">
        <w:rPr>
          <w:rFonts w:ascii="Arial" w:hAnsi="Arial" w:cs="Arial" w:hint="eastAsia"/>
        </w:rPr>
        <w:t>緣起法是通於有情、無情的。</w:t>
      </w:r>
    </w:p>
    <w:p w:rsidR="002B682F" w:rsidRPr="00DA3BC7" w:rsidRDefault="00774F73" w:rsidP="00AE3920">
      <w:pPr>
        <w:widowControl/>
        <w:spacing w:beforeLines="30"/>
        <w:ind w:leftChars="150" w:left="360"/>
        <w:jc w:val="both"/>
        <w:rPr>
          <w:rFonts w:ascii="Arial" w:eastAsia="SimSun" w:hAnsi="Arial" w:cs="Arial"/>
        </w:rPr>
      </w:pPr>
      <w:r w:rsidRPr="00774F73">
        <w:rPr>
          <w:rFonts w:ascii="Times New Roman" w:hAnsi="Times New Roman" w:hint="eastAsia"/>
          <w:b/>
          <w:color w:val="FF0000"/>
          <w:sz w:val="20"/>
          <w:szCs w:val="20"/>
          <w:highlight w:val="yellow"/>
          <w:bdr w:val="single" w:sz="4" w:space="0" w:color="auto"/>
        </w:rPr>
        <w:t>（二）「</w:t>
      </w:r>
      <w:r w:rsidRPr="00774F73">
        <w:rPr>
          <w:rFonts w:ascii="新細明體" w:hAnsi="新細明體" w:cs="Times Ext Roman" w:hint="eastAsia"/>
          <w:b/>
          <w:color w:val="FF0000"/>
          <w:sz w:val="20"/>
          <w:szCs w:val="20"/>
          <w:highlight w:val="yellow"/>
          <w:bdr w:val="single" w:sz="4" w:space="0" w:color="auto"/>
        </w:rPr>
        <w:t>緣起」通於</w:t>
      </w:r>
      <w:r w:rsidR="002B682F" w:rsidRPr="00774F73">
        <w:rPr>
          <w:rFonts w:ascii="新細明體" w:hAnsi="新細明體" w:cs="Times Ext Roman" w:hint="eastAsia"/>
          <w:b/>
          <w:color w:val="FF0000"/>
          <w:sz w:val="20"/>
          <w:szCs w:val="20"/>
          <w:highlight w:val="yellow"/>
          <w:bdr w:val="single" w:sz="4" w:space="0" w:color="auto"/>
        </w:rPr>
        <w:t>有為、無為</w:t>
      </w:r>
      <w:r w:rsidR="002B682F" w:rsidRPr="00DA3BC7">
        <w:rPr>
          <w:rFonts w:ascii="新細明體" w:hAnsi="新細明體" w:hint="eastAsia"/>
          <w:sz w:val="20"/>
          <w:szCs w:val="20"/>
        </w:rPr>
        <w:t>（</w:t>
      </w:r>
      <w:r w:rsidR="002B682F" w:rsidRPr="00DA3BC7">
        <w:rPr>
          <w:rFonts w:ascii="Times New Roman" w:eastAsia="SimSun" w:hAnsi="Times New Roman"/>
          <w:sz w:val="20"/>
          <w:szCs w:val="20"/>
        </w:rPr>
        <w:t>p.60</w:t>
      </w:r>
      <w:r w:rsidR="002B682F" w:rsidRPr="00DA3BC7">
        <w:rPr>
          <w:rFonts w:ascii="新細明體" w:hAnsi="新細明體" w:hint="eastAsia"/>
          <w:sz w:val="20"/>
          <w:szCs w:val="20"/>
        </w:rPr>
        <w:t>）</w:t>
      </w:r>
    </w:p>
    <w:p w:rsidR="002B682F" w:rsidRPr="00DA3BC7" w:rsidRDefault="002B682F" w:rsidP="00F87FD0">
      <w:pPr>
        <w:widowControl/>
        <w:ind w:leftChars="150" w:left="360"/>
        <w:jc w:val="both"/>
        <w:rPr>
          <w:rFonts w:ascii="Arial" w:eastAsia="SimSun" w:hAnsi="Arial" w:cs="Arial"/>
        </w:rPr>
      </w:pPr>
      <w:r w:rsidRPr="00DA3BC7">
        <w:rPr>
          <w:rFonts w:ascii="Arial" w:hAnsi="Arial" w:cs="Arial" w:hint="eastAsia"/>
        </w:rPr>
        <w:t>依《大智度論》說：不但內外的有為法是緣起的，因待有為而施設無為，無為也是緣起的。</w:t>
      </w:r>
      <w:r w:rsidR="00774F73" w:rsidRPr="00774F73">
        <w:rPr>
          <w:rStyle w:val="a6"/>
          <w:rFonts w:ascii="Times New Roman" w:hAnsi="Times New Roman"/>
          <w:highlight w:val="yellow"/>
        </w:rPr>
        <w:footnoteReference w:id="321"/>
      </w:r>
    </w:p>
    <w:p w:rsidR="002B682F" w:rsidRPr="00DA3BC7" w:rsidRDefault="00EA1FEC" w:rsidP="00AE3920">
      <w:pPr>
        <w:widowControl/>
        <w:spacing w:beforeLines="30"/>
        <w:ind w:leftChars="100" w:left="240"/>
        <w:jc w:val="both"/>
        <w:rPr>
          <w:rFonts w:ascii="Times New Roman" w:eastAsia="SimSun" w:hAnsi="Times New Roman"/>
        </w:rPr>
      </w:pPr>
      <w:r w:rsidRPr="00EA1FEC">
        <w:rPr>
          <w:rFonts w:ascii="Times New Roman" w:hAnsi="Times New Roman" w:hint="eastAsia"/>
          <w:b/>
          <w:color w:val="FF0000"/>
          <w:sz w:val="20"/>
          <w:szCs w:val="20"/>
          <w:highlight w:val="yellow"/>
          <w:bdr w:val="single" w:sz="4" w:space="0" w:color="auto"/>
        </w:rPr>
        <w:t>三</w:t>
      </w:r>
      <w:r w:rsidR="002B682F" w:rsidRPr="00EA1FEC">
        <w:rPr>
          <w:rFonts w:ascii="新細明體" w:hAnsi="新細明體" w:cs="Times Ext Roman" w:hint="eastAsia"/>
          <w:b/>
          <w:color w:val="FF0000"/>
          <w:sz w:val="20"/>
          <w:szCs w:val="20"/>
          <w:highlight w:val="yellow"/>
          <w:bdr w:val="single" w:sz="4" w:space="0" w:color="auto"/>
        </w:rPr>
        <w:t>、</w:t>
      </w:r>
      <w:r w:rsidR="002B682F" w:rsidRPr="00DA3BC7">
        <w:rPr>
          <w:rFonts w:ascii="新細明體" w:hAnsi="新細明體" w:cs="Times Ext Roman" w:hint="eastAsia"/>
          <w:b/>
          <w:sz w:val="20"/>
          <w:szCs w:val="20"/>
          <w:bdr w:val="single" w:sz="4" w:space="0" w:color="auto"/>
        </w:rPr>
        <w:t>小</w:t>
      </w:r>
      <w:r w:rsidR="002B682F" w:rsidRPr="00774F73">
        <w:rPr>
          <w:rFonts w:ascii="新細明體" w:hAnsi="新細明體" w:cs="Times Ext Roman" w:hint="eastAsia"/>
          <w:b/>
          <w:sz w:val="20"/>
          <w:szCs w:val="20"/>
          <w:highlight w:val="yellow"/>
          <w:bdr w:val="single" w:sz="4" w:space="0" w:color="auto"/>
        </w:rPr>
        <w:t>結</w:t>
      </w:r>
      <w:r w:rsidR="002B682F" w:rsidRPr="00DA3BC7">
        <w:rPr>
          <w:rFonts w:ascii="Times New Roman" w:hAnsi="Times New Roman" w:hint="eastAsia"/>
          <w:sz w:val="20"/>
          <w:szCs w:val="20"/>
        </w:rPr>
        <w:t>（</w:t>
      </w:r>
      <w:r w:rsidR="002B682F" w:rsidRPr="00DA3BC7">
        <w:rPr>
          <w:rFonts w:ascii="Times New Roman" w:hAnsi="Times New Roman"/>
          <w:sz w:val="20"/>
          <w:szCs w:val="20"/>
        </w:rPr>
        <w:t>p.</w:t>
      </w:r>
      <w:r w:rsidR="002B682F" w:rsidRPr="00DA3BC7">
        <w:rPr>
          <w:rFonts w:ascii="Times New Roman" w:eastAsia="SimSun" w:hAnsi="Times New Roman"/>
          <w:sz w:val="20"/>
          <w:szCs w:val="20"/>
        </w:rPr>
        <w:t>60</w:t>
      </w:r>
      <w:r w:rsidR="002B682F" w:rsidRPr="00DA3BC7">
        <w:rPr>
          <w:rFonts w:ascii="Times New Roman" w:hAnsi="Times New Roman" w:hint="eastAsia"/>
          <w:sz w:val="20"/>
          <w:szCs w:val="20"/>
        </w:rPr>
        <w:t>）</w:t>
      </w:r>
    </w:p>
    <w:p w:rsidR="002B682F" w:rsidRPr="00DA3BC7" w:rsidRDefault="002B682F" w:rsidP="008E2BBC">
      <w:pPr>
        <w:widowControl/>
        <w:ind w:leftChars="100" w:left="240"/>
        <w:jc w:val="both"/>
        <w:rPr>
          <w:rFonts w:ascii="Times New Roman" w:hAnsi="Times New Roman"/>
        </w:rPr>
      </w:pPr>
      <w:r w:rsidRPr="00DA3BC7">
        <w:rPr>
          <w:rFonts w:ascii="Arial" w:hAnsi="Arial" w:cs="Arial" w:hint="eastAsia"/>
        </w:rPr>
        <w:t>這樣，凡是存在的因果、事理，一切是緣起的存在；離卻</w:t>
      </w:r>
      <w:r w:rsidRPr="00DA3BC7">
        <w:rPr>
          <w:rStyle w:val="a6"/>
          <w:rFonts w:ascii="Times New Roman" w:hAnsi="Times New Roman"/>
        </w:rPr>
        <w:footnoteReference w:id="322"/>
      </w:r>
      <w:r w:rsidRPr="00DA3BC7">
        <w:rPr>
          <w:rFonts w:ascii="Arial" w:hAnsi="Arial" w:cs="Arial" w:hint="eastAsia"/>
        </w:rPr>
        <w:t>緣起，一切無從安立。</w:t>
      </w:r>
    </w:p>
    <w:p w:rsidR="002B682F" w:rsidRPr="00DA3BC7" w:rsidRDefault="002B682F" w:rsidP="00AE3920">
      <w:pPr>
        <w:widowControl/>
        <w:spacing w:beforeLines="30"/>
        <w:ind w:leftChars="50" w:left="120"/>
        <w:jc w:val="both"/>
        <w:rPr>
          <w:rFonts w:ascii="Arial" w:eastAsia="SimSun" w:hAnsi="Arial" w:cs="Arial"/>
          <w:sz w:val="20"/>
          <w:szCs w:val="20"/>
        </w:rPr>
      </w:pPr>
      <w:r w:rsidRPr="00DA3BC7">
        <w:rPr>
          <w:rFonts w:ascii="新細明體" w:hAnsi="新細明體" w:cs="Times Ext Roman" w:hint="eastAsia"/>
          <w:b/>
          <w:sz w:val="20"/>
          <w:szCs w:val="20"/>
          <w:bdr w:val="single" w:sz="4" w:space="0" w:color="auto"/>
        </w:rPr>
        <w:t>（貳）「緣起」的三種特性</w:t>
      </w:r>
      <w:r w:rsidRPr="00DA3BC7">
        <w:rPr>
          <w:rFonts w:ascii="Times New Roman" w:hAnsi="Times New Roman" w:hint="eastAsia"/>
          <w:sz w:val="20"/>
          <w:szCs w:val="20"/>
        </w:rPr>
        <w:t>（</w:t>
      </w:r>
      <w:r w:rsidRPr="00DA3BC7">
        <w:rPr>
          <w:rFonts w:ascii="Times New Roman" w:hAnsi="Times New Roman"/>
          <w:sz w:val="20"/>
          <w:szCs w:val="20"/>
        </w:rPr>
        <w:t>pp.</w:t>
      </w:r>
      <w:r w:rsidRPr="00DA3BC7">
        <w:rPr>
          <w:rFonts w:ascii="Times New Roman" w:eastAsia="SimSun" w:hAnsi="Times New Roman"/>
          <w:sz w:val="20"/>
          <w:szCs w:val="20"/>
        </w:rPr>
        <w:t>60</w:t>
      </w:r>
      <w:r w:rsidRPr="00DA3BC7">
        <w:rPr>
          <w:rFonts w:ascii="Times New Roman" w:hAnsi="Times New Roman"/>
          <w:sz w:val="20"/>
          <w:szCs w:val="20"/>
        </w:rPr>
        <w:t>-</w:t>
      </w:r>
      <w:r w:rsidRPr="00DA3BC7">
        <w:rPr>
          <w:rFonts w:ascii="Times New Roman" w:eastAsia="SimSun" w:hAnsi="Times New Roman"/>
          <w:sz w:val="20"/>
          <w:szCs w:val="20"/>
        </w:rPr>
        <w:t>63</w:t>
      </w:r>
      <w:r w:rsidRPr="00DA3BC7">
        <w:rPr>
          <w:rFonts w:ascii="Times New Roman" w:eastAsia="SimSun" w:hAnsi="Times New Roman" w:hint="eastAsia"/>
          <w:sz w:val="20"/>
          <w:szCs w:val="20"/>
        </w:rPr>
        <w:t>）</w:t>
      </w:r>
    </w:p>
    <w:p w:rsidR="002B682F" w:rsidRPr="00DA3BC7" w:rsidRDefault="002B682F" w:rsidP="008E2BBC">
      <w:pPr>
        <w:widowControl/>
        <w:ind w:leftChars="50" w:left="120"/>
        <w:jc w:val="both"/>
        <w:rPr>
          <w:rFonts w:ascii="Times New Roman" w:hAnsi="Times New Roman"/>
        </w:rPr>
      </w:pPr>
      <w:r w:rsidRPr="00DA3BC7">
        <w:rPr>
          <w:rFonts w:ascii="Arial" w:hAnsi="Arial" w:cs="Arial" w:hint="eastAsia"/>
        </w:rPr>
        <w:t>「緣起」為佛法最主要的術語。從經義的通貫生滅及不生滅，依學派間的種種異說，今總括為三點來說明：</w:t>
      </w:r>
    </w:p>
    <w:p w:rsidR="002B682F" w:rsidRPr="00DA3BC7" w:rsidRDefault="002B682F" w:rsidP="00AE3920">
      <w:pPr>
        <w:widowControl/>
        <w:spacing w:beforeLines="30"/>
        <w:ind w:leftChars="100" w:left="240"/>
        <w:jc w:val="both"/>
        <w:rPr>
          <w:rFonts w:ascii="Times Ext Roman" w:hAnsi="Times Ext Roman" w:cs="Times Ext Roman"/>
          <w:b/>
          <w:sz w:val="20"/>
          <w:szCs w:val="20"/>
          <w:bdr w:val="single" w:sz="4" w:space="0" w:color="auto"/>
        </w:rPr>
      </w:pPr>
      <w:r w:rsidRPr="00DA3BC7">
        <w:rPr>
          <w:rFonts w:ascii="Times New Roman" w:hAnsi="Times New Roman" w:hint="eastAsia"/>
          <w:b/>
          <w:sz w:val="20"/>
          <w:szCs w:val="20"/>
          <w:bdr w:val="single" w:sz="4" w:space="0" w:color="auto"/>
        </w:rPr>
        <w:t>一、</w:t>
      </w:r>
      <w:r w:rsidRPr="00DA3BC7">
        <w:rPr>
          <w:rFonts w:ascii="新細明體" w:hAnsi="新細明體" w:cs="Times Ext Roman" w:hint="eastAsia"/>
          <w:b/>
          <w:sz w:val="20"/>
          <w:szCs w:val="20"/>
          <w:bdr w:val="single" w:sz="4" w:space="0" w:color="auto"/>
        </w:rPr>
        <w:t>相關的因待性</w:t>
      </w:r>
      <w:r w:rsidRPr="00DA3BC7">
        <w:rPr>
          <w:rFonts w:ascii="Times New Roman" w:hAnsi="Times New Roman" w:hint="eastAsia"/>
          <w:sz w:val="20"/>
          <w:szCs w:val="20"/>
        </w:rPr>
        <w:t>（</w:t>
      </w:r>
      <w:r w:rsidRPr="00DA3BC7">
        <w:rPr>
          <w:rFonts w:ascii="Times New Roman" w:hAnsi="Times New Roman"/>
          <w:sz w:val="20"/>
          <w:szCs w:val="20"/>
        </w:rPr>
        <w:t>pp.60-62</w:t>
      </w:r>
      <w:r w:rsidRPr="00DA3BC7">
        <w:rPr>
          <w:rFonts w:ascii="Times New Roman" w:hAnsi="Times New Roman" w:hint="eastAsia"/>
          <w:sz w:val="20"/>
          <w:szCs w:val="20"/>
        </w:rPr>
        <w:t>）</w:t>
      </w:r>
    </w:p>
    <w:p w:rsidR="002B682F" w:rsidRPr="00DA3BC7" w:rsidRDefault="002B682F" w:rsidP="008E2BBC">
      <w:pPr>
        <w:widowControl/>
        <w:ind w:leftChars="100" w:left="240"/>
        <w:jc w:val="both"/>
        <w:rPr>
          <w:rFonts w:ascii="Arial" w:hAnsi="Arial" w:cs="Arial"/>
        </w:rPr>
      </w:pPr>
      <w:r w:rsidRPr="00DA3BC7">
        <w:rPr>
          <w:rFonts w:ascii="Arial" w:hAnsi="Arial" w:cs="Arial" w:hint="eastAsia"/>
        </w:rPr>
        <w:t>一、相關的因待性：</w:t>
      </w:r>
    </w:p>
    <w:p w:rsidR="002B682F" w:rsidRDefault="002B682F" w:rsidP="00AE3920">
      <w:pPr>
        <w:widowControl/>
        <w:spacing w:beforeLines="30"/>
        <w:ind w:leftChars="150" w:left="360"/>
        <w:jc w:val="both"/>
        <w:rPr>
          <w:rFonts w:ascii="Times New Roman" w:hAnsi="Times New Roman"/>
          <w:sz w:val="20"/>
          <w:szCs w:val="20"/>
        </w:rPr>
      </w:pPr>
      <w:r w:rsidRPr="00DA3BC7">
        <w:rPr>
          <w:rFonts w:ascii="新細明體" w:hAnsi="新細明體" w:cs="Times Ext Roman" w:hint="eastAsia"/>
          <w:b/>
          <w:sz w:val="20"/>
          <w:szCs w:val="20"/>
          <w:bdr w:val="single" w:sz="4" w:space="0" w:color="auto"/>
        </w:rPr>
        <w:lastRenderedPageBreak/>
        <w:t>（一）</w:t>
      </w:r>
      <w:r w:rsidR="00774F73" w:rsidRPr="00774F73">
        <w:rPr>
          <w:rFonts w:ascii="新細明體" w:hAnsi="新細明體" w:cs="Times Ext Roman" w:hint="eastAsia"/>
          <w:b/>
          <w:color w:val="FF0000"/>
          <w:sz w:val="20"/>
          <w:szCs w:val="20"/>
          <w:highlight w:val="yellow"/>
          <w:bdr w:val="single" w:sz="4" w:space="0" w:color="auto"/>
        </w:rPr>
        <w:t>約「從緣而生起」</w:t>
      </w:r>
      <w:r w:rsidRPr="00DA3BC7">
        <w:rPr>
          <w:rFonts w:ascii="Times New Roman" w:hAnsi="Times New Roman" w:hint="eastAsia"/>
          <w:sz w:val="20"/>
          <w:szCs w:val="20"/>
        </w:rPr>
        <w:t>（</w:t>
      </w:r>
      <w:r w:rsidRPr="00DA3BC7">
        <w:rPr>
          <w:rFonts w:ascii="Times New Roman" w:hAnsi="Times New Roman"/>
          <w:sz w:val="20"/>
          <w:szCs w:val="20"/>
        </w:rPr>
        <w:t>p.60</w:t>
      </w:r>
      <w:r w:rsidRPr="00DA3BC7">
        <w:rPr>
          <w:rFonts w:ascii="Times New Roman" w:hAnsi="Times New Roman" w:hint="eastAsia"/>
          <w:sz w:val="20"/>
          <w:szCs w:val="20"/>
        </w:rPr>
        <w:t>）</w:t>
      </w:r>
    </w:p>
    <w:p w:rsidR="00774F73" w:rsidRPr="00774F73" w:rsidRDefault="00774F73" w:rsidP="00F87FD0">
      <w:pPr>
        <w:widowControl/>
        <w:ind w:leftChars="200" w:left="480"/>
        <w:jc w:val="both"/>
        <w:rPr>
          <w:rFonts w:ascii="Times New Roman" w:eastAsia="SimSun" w:hAnsi="Times New Roman"/>
          <w:b/>
          <w:color w:val="FF0000"/>
          <w:sz w:val="20"/>
          <w:szCs w:val="20"/>
          <w:highlight w:val="yellow"/>
        </w:rPr>
      </w:pPr>
      <w:r w:rsidRPr="00774F73">
        <w:rPr>
          <w:rFonts w:ascii="Times New Roman" w:hAnsi="Times New Roman" w:hint="eastAsia"/>
          <w:b/>
          <w:color w:val="FF0000"/>
          <w:sz w:val="20"/>
          <w:szCs w:val="20"/>
          <w:highlight w:val="yellow"/>
          <w:bdr w:val="single" w:sz="4" w:space="0" w:color="auto"/>
        </w:rPr>
        <w:t>1</w:t>
      </w:r>
      <w:r w:rsidRPr="00774F73">
        <w:rPr>
          <w:rFonts w:ascii="Times New Roman" w:hAnsi="Times New Roman" w:hint="eastAsia"/>
          <w:b/>
          <w:color w:val="FF0000"/>
          <w:sz w:val="20"/>
          <w:szCs w:val="20"/>
          <w:highlight w:val="yellow"/>
          <w:bdr w:val="single" w:sz="4" w:space="0" w:color="auto"/>
        </w:rPr>
        <w:t>、要明</w:t>
      </w:r>
      <w:r w:rsidRPr="00DA3BC7">
        <w:rPr>
          <w:rFonts w:ascii="Times New Roman" w:hAnsi="Times New Roman" w:hint="eastAsia"/>
          <w:sz w:val="20"/>
          <w:szCs w:val="20"/>
        </w:rPr>
        <w:t>（</w:t>
      </w:r>
      <w:r w:rsidRPr="00DA3BC7">
        <w:rPr>
          <w:rFonts w:ascii="Times New Roman" w:hAnsi="Times New Roman"/>
          <w:sz w:val="20"/>
          <w:szCs w:val="20"/>
        </w:rPr>
        <w:t>p.60</w:t>
      </w:r>
      <w:r w:rsidRPr="00DA3BC7">
        <w:rPr>
          <w:rFonts w:ascii="Times New Roman" w:hAnsi="Times New Roman" w:hint="eastAsia"/>
          <w:sz w:val="20"/>
          <w:szCs w:val="20"/>
        </w:rPr>
        <w:t>）</w:t>
      </w:r>
    </w:p>
    <w:p w:rsidR="002B682F" w:rsidRPr="00DA3BC7" w:rsidRDefault="002B682F" w:rsidP="00F87FD0">
      <w:pPr>
        <w:widowControl/>
        <w:ind w:leftChars="200" w:left="480"/>
        <w:jc w:val="both"/>
        <w:rPr>
          <w:rFonts w:ascii="Arial" w:hAnsi="Arial" w:cs="Arial"/>
        </w:rPr>
      </w:pPr>
      <w:r w:rsidRPr="00DA3BC7">
        <w:rPr>
          <w:rFonts w:ascii="Arial" w:hAnsi="Arial" w:cs="Arial" w:hint="eastAsia"/>
        </w:rPr>
        <w:t>起是生起，緣是果法生起所因待</w:t>
      </w:r>
      <w:r w:rsidRPr="0049006B">
        <w:rPr>
          <w:rFonts w:ascii="Times Ext Roman" w:hAnsi="Times Ext Roman" w:cs="Times Ext Roman" w:hint="eastAsia"/>
        </w:rPr>
        <w:t>（</w:t>
      </w:r>
      <w:r w:rsidRPr="0049006B">
        <w:rPr>
          <w:rFonts w:ascii="Times New Roman" w:hAnsi="Times New Roman"/>
        </w:rPr>
        <w:t>apekṣya</w:t>
      </w:r>
      <w:r w:rsidRPr="0049006B">
        <w:rPr>
          <w:rFonts w:ascii="Times Ext Roman" w:hAnsi="Times Ext Roman" w:cs="Times Ext Roman" w:hint="eastAsia"/>
        </w:rPr>
        <w:t>）</w:t>
      </w:r>
      <w:r w:rsidRPr="00DA3BC7">
        <w:rPr>
          <w:rFonts w:ascii="Arial" w:hAnsi="Arial" w:cs="Arial" w:hint="eastAsia"/>
        </w:rPr>
        <w:t>的。約從緣所生起的果法說，即</w:t>
      </w:r>
      <w:r w:rsidRPr="00DA3BC7">
        <w:rPr>
          <w:rFonts w:ascii="Arial" w:hAnsi="Arial" w:cs="Arial" w:hint="eastAsia"/>
          <w:b/>
        </w:rPr>
        <w:t>緣生</w:t>
      </w:r>
      <w:r w:rsidRPr="00DA3BC7">
        <w:rPr>
          <w:rFonts w:ascii="Arial" w:hAnsi="Arial" w:cs="Arial" w:hint="eastAsia"/>
        </w:rPr>
        <w:t>；約從果起所因待的因緣說，即</w:t>
      </w:r>
      <w:r w:rsidRPr="00DA3BC7">
        <w:rPr>
          <w:rFonts w:ascii="Arial" w:hAnsi="Arial" w:cs="Arial" w:hint="eastAsia"/>
          <w:b/>
        </w:rPr>
        <w:t>緣起</w:t>
      </w:r>
      <w:r w:rsidRPr="00DA3BC7">
        <w:rPr>
          <w:rFonts w:ascii="Arial" w:hAnsi="Arial" w:cs="Arial" w:hint="eastAsia"/>
        </w:rPr>
        <w:t>。</w:t>
      </w:r>
    </w:p>
    <w:p w:rsidR="00774F73" w:rsidRDefault="00774F73" w:rsidP="00AE3920">
      <w:pPr>
        <w:widowControl/>
        <w:spacing w:beforeLines="30"/>
        <w:ind w:leftChars="200" w:left="480"/>
        <w:jc w:val="both"/>
        <w:rPr>
          <w:rFonts w:ascii="Times New Roman" w:hAnsi="Times New Roman"/>
          <w:b/>
          <w:color w:val="FF0000"/>
          <w:sz w:val="20"/>
          <w:szCs w:val="20"/>
          <w:bdr w:val="single" w:sz="4" w:space="0" w:color="auto"/>
        </w:rPr>
      </w:pPr>
      <w:r w:rsidRPr="00774F73">
        <w:rPr>
          <w:rFonts w:ascii="Times New Roman" w:hAnsi="Times New Roman" w:hint="eastAsia"/>
          <w:b/>
          <w:color w:val="FF0000"/>
          <w:sz w:val="20"/>
          <w:szCs w:val="20"/>
          <w:highlight w:val="yellow"/>
          <w:bdr w:val="single" w:sz="4" w:space="0" w:color="auto"/>
        </w:rPr>
        <w:t>2</w:t>
      </w:r>
      <w:r w:rsidRPr="00774F73">
        <w:rPr>
          <w:rFonts w:ascii="Times New Roman" w:hAnsi="Times New Roman" w:hint="eastAsia"/>
          <w:b/>
          <w:color w:val="FF0000"/>
          <w:sz w:val="20"/>
          <w:szCs w:val="20"/>
          <w:highlight w:val="yellow"/>
          <w:bdr w:val="single" w:sz="4" w:space="0" w:color="auto"/>
        </w:rPr>
        <w:t>、詳辨</w:t>
      </w:r>
      <w:r w:rsidRPr="00DA3BC7">
        <w:rPr>
          <w:rFonts w:ascii="Times New Roman" w:hAnsi="Times New Roman" w:hint="eastAsia"/>
          <w:sz w:val="20"/>
          <w:szCs w:val="20"/>
        </w:rPr>
        <w:t>（</w:t>
      </w:r>
      <w:r w:rsidRPr="00DA3BC7">
        <w:rPr>
          <w:rFonts w:ascii="Times New Roman" w:hAnsi="Times New Roman"/>
          <w:sz w:val="20"/>
          <w:szCs w:val="20"/>
        </w:rPr>
        <w:t>pp.60-61</w:t>
      </w:r>
      <w:r w:rsidRPr="00DA3BC7">
        <w:rPr>
          <w:rFonts w:ascii="Times New Roman" w:hAnsi="Times New Roman" w:hint="eastAsia"/>
          <w:sz w:val="20"/>
          <w:szCs w:val="20"/>
        </w:rPr>
        <w:t>）</w:t>
      </w:r>
    </w:p>
    <w:p w:rsidR="002B682F" w:rsidRPr="00DA3BC7" w:rsidRDefault="00774F73" w:rsidP="00F87FD0">
      <w:pPr>
        <w:widowControl/>
        <w:ind w:leftChars="250" w:left="600"/>
        <w:jc w:val="both"/>
        <w:rPr>
          <w:rFonts w:ascii="新細明體" w:hAnsi="新細明體" w:cs="Times Ext Roman"/>
          <w:b/>
          <w:sz w:val="20"/>
          <w:szCs w:val="20"/>
          <w:bdr w:val="single" w:sz="4" w:space="0" w:color="auto"/>
        </w:rPr>
      </w:pPr>
      <w:r w:rsidRPr="00774F73">
        <w:rPr>
          <w:rFonts w:ascii="Times New Roman" w:hAnsi="Times New Roman" w:hint="eastAsia"/>
          <w:b/>
          <w:color w:val="FF0000"/>
          <w:sz w:val="20"/>
          <w:szCs w:val="20"/>
          <w:highlight w:val="yellow"/>
          <w:bdr w:val="single" w:sz="4" w:space="0" w:color="auto"/>
        </w:rPr>
        <w:t>（</w:t>
      </w:r>
      <w:r w:rsidRPr="00774F73">
        <w:rPr>
          <w:rFonts w:ascii="Times New Roman" w:hAnsi="Times New Roman" w:hint="eastAsia"/>
          <w:b/>
          <w:color w:val="FF0000"/>
          <w:sz w:val="20"/>
          <w:szCs w:val="20"/>
          <w:highlight w:val="yellow"/>
          <w:bdr w:val="single" w:sz="4" w:space="0" w:color="auto"/>
        </w:rPr>
        <w:t>1</w:t>
      </w:r>
      <w:r w:rsidRPr="00774F73">
        <w:rPr>
          <w:rFonts w:ascii="Times New Roman" w:hAnsi="Times New Roman" w:hint="eastAsia"/>
          <w:b/>
          <w:color w:val="FF0000"/>
          <w:sz w:val="20"/>
          <w:szCs w:val="20"/>
          <w:highlight w:val="yellow"/>
          <w:bdr w:val="single" w:sz="4" w:space="0" w:color="auto"/>
        </w:rPr>
        <w:t>）評</w:t>
      </w:r>
      <w:r>
        <w:rPr>
          <w:rFonts w:ascii="Times New Roman" w:hAnsi="Times New Roman" w:hint="eastAsia"/>
          <w:b/>
          <w:color w:val="FF0000"/>
          <w:sz w:val="20"/>
          <w:szCs w:val="20"/>
          <w:highlight w:val="yellow"/>
          <w:bdr w:val="single" w:sz="4" w:space="0" w:color="auto"/>
        </w:rPr>
        <w:t>「</w:t>
      </w:r>
      <w:r w:rsidR="002B682F" w:rsidRPr="00774F73">
        <w:rPr>
          <w:rFonts w:ascii="新細明體" w:hAnsi="新細明體" w:cs="Times Ext Roman" w:hint="eastAsia"/>
          <w:b/>
          <w:color w:val="FF0000"/>
          <w:sz w:val="20"/>
          <w:szCs w:val="20"/>
          <w:highlight w:val="yellow"/>
          <w:bdr w:val="single" w:sz="4" w:space="0" w:color="auto"/>
        </w:rPr>
        <w:t>有部的偏</w:t>
      </w:r>
      <w:r w:rsidRPr="00774F73">
        <w:rPr>
          <w:rFonts w:ascii="新細明體" w:hAnsi="新細明體" w:cs="Times Ext Roman" w:hint="eastAsia"/>
          <w:b/>
          <w:color w:val="FF0000"/>
          <w:sz w:val="20"/>
          <w:szCs w:val="20"/>
          <w:highlight w:val="yellow"/>
          <w:bdr w:val="single" w:sz="4" w:space="0" w:color="auto"/>
        </w:rPr>
        <w:t>失</w:t>
      </w:r>
      <w:r>
        <w:rPr>
          <w:rFonts w:ascii="新細明體" w:hAnsi="新細明體" w:cs="Times Ext Roman" w:hint="eastAsia"/>
          <w:b/>
          <w:color w:val="FF0000"/>
          <w:sz w:val="20"/>
          <w:szCs w:val="20"/>
          <w:highlight w:val="yellow"/>
          <w:bdr w:val="single" w:sz="4" w:space="0" w:color="auto"/>
        </w:rPr>
        <w:t>」</w:t>
      </w:r>
      <w:r w:rsidR="002B682F" w:rsidRPr="00DA3BC7">
        <w:rPr>
          <w:rFonts w:ascii="Times New Roman" w:hAnsi="Times New Roman" w:hint="eastAsia"/>
          <w:sz w:val="20"/>
          <w:szCs w:val="20"/>
        </w:rPr>
        <w:t>（</w:t>
      </w:r>
      <w:r w:rsidR="002B682F" w:rsidRPr="00DA3BC7">
        <w:rPr>
          <w:rFonts w:ascii="Times New Roman" w:hAnsi="Times New Roman"/>
          <w:sz w:val="20"/>
          <w:szCs w:val="20"/>
        </w:rPr>
        <w:t>p.60</w:t>
      </w:r>
      <w:r w:rsidR="002B682F" w:rsidRPr="00DA3BC7">
        <w:rPr>
          <w:rFonts w:ascii="Times New Roman" w:hAnsi="Times New Roman" w:hint="eastAsia"/>
          <w:sz w:val="20"/>
          <w:szCs w:val="20"/>
        </w:rPr>
        <w:t>）</w:t>
      </w:r>
    </w:p>
    <w:p w:rsidR="002B682F" w:rsidRPr="00DA3BC7" w:rsidRDefault="002B682F" w:rsidP="00F87FD0">
      <w:pPr>
        <w:widowControl/>
        <w:ind w:leftChars="250" w:left="600"/>
        <w:jc w:val="both"/>
        <w:rPr>
          <w:rFonts w:ascii="Arial" w:hAnsi="Arial" w:cs="Arial"/>
        </w:rPr>
      </w:pPr>
      <w:r w:rsidRPr="00DA3BC7">
        <w:rPr>
          <w:rFonts w:ascii="Arial" w:hAnsi="Arial" w:cs="Arial" w:hint="eastAsia"/>
        </w:rPr>
        <w:t>薩婆多部等以緣起為因，也有他的見地。但他們關於緣起的解說，專作事相的辨析，考察無明等的自相、共相、因相、果相等，忽略了「</w:t>
      </w:r>
      <w:r w:rsidRPr="006C462F">
        <w:rPr>
          <w:rFonts w:ascii="標楷體" w:eastAsia="標楷體" w:hAnsi="標楷體" w:cs="Arial" w:hint="eastAsia"/>
          <w:b/>
        </w:rPr>
        <w:t>此有故彼有，此生故彼生</w:t>
      </w:r>
      <w:r w:rsidRPr="00DA3BC7">
        <w:rPr>
          <w:rFonts w:ascii="Arial" w:hAnsi="Arial" w:cs="Arial" w:hint="eastAsia"/>
        </w:rPr>
        <w:t>」的因待性，不免有所偏失！</w:t>
      </w:r>
    </w:p>
    <w:p w:rsidR="002B682F" w:rsidRPr="00DA3BC7" w:rsidRDefault="002B682F" w:rsidP="00AE3920">
      <w:pPr>
        <w:widowControl/>
        <w:spacing w:beforeLines="30"/>
        <w:ind w:leftChars="250" w:left="600"/>
        <w:jc w:val="both"/>
        <w:rPr>
          <w:rFonts w:ascii="新細明體" w:hAnsi="新細明體" w:cs="Times Ext Roman"/>
          <w:b/>
          <w:sz w:val="20"/>
          <w:szCs w:val="20"/>
          <w:bdr w:val="single" w:sz="4" w:space="0" w:color="auto"/>
        </w:rPr>
      </w:pPr>
      <w:r w:rsidRPr="00774F73">
        <w:rPr>
          <w:rFonts w:ascii="Times New Roman" w:hAnsi="Times New Roman" w:hint="eastAsia"/>
          <w:b/>
          <w:color w:val="FF0000"/>
          <w:sz w:val="20"/>
          <w:szCs w:val="20"/>
          <w:highlight w:val="yellow"/>
          <w:bdr w:val="single" w:sz="4" w:space="0" w:color="auto"/>
        </w:rPr>
        <w:t>（</w:t>
      </w:r>
      <w:r w:rsidR="00774F73" w:rsidRPr="00774F73">
        <w:rPr>
          <w:rFonts w:ascii="Times New Roman" w:hAnsi="Times New Roman" w:hint="eastAsia"/>
          <w:b/>
          <w:color w:val="FF0000"/>
          <w:sz w:val="20"/>
          <w:szCs w:val="20"/>
          <w:highlight w:val="yellow"/>
          <w:bdr w:val="single" w:sz="4" w:space="0" w:color="auto"/>
        </w:rPr>
        <w:t>2</w:t>
      </w:r>
      <w:r w:rsidRPr="00774F73">
        <w:rPr>
          <w:rFonts w:ascii="Times New Roman" w:hAnsi="Times New Roman" w:hint="eastAsia"/>
          <w:b/>
          <w:color w:val="FF0000"/>
          <w:sz w:val="20"/>
          <w:szCs w:val="20"/>
          <w:highlight w:val="yellow"/>
          <w:bdr w:val="single" w:sz="4" w:space="0" w:color="auto"/>
        </w:rPr>
        <w:t>）</w:t>
      </w:r>
      <w:r w:rsidR="00774F73" w:rsidRPr="00774F73">
        <w:rPr>
          <w:rFonts w:ascii="新細明體" w:hAnsi="新細明體" w:cs="Times Ext Roman" w:hint="eastAsia"/>
          <w:b/>
          <w:color w:val="FF0000"/>
          <w:sz w:val="20"/>
          <w:szCs w:val="20"/>
          <w:highlight w:val="yellow"/>
          <w:bdr w:val="single" w:sz="4" w:space="0" w:color="auto"/>
        </w:rPr>
        <w:t>彰</w:t>
      </w:r>
      <w:r w:rsidR="00774F73">
        <w:rPr>
          <w:rFonts w:ascii="Times New Roman" w:hAnsi="Times New Roman" w:hint="eastAsia"/>
          <w:b/>
          <w:color w:val="FF0000"/>
          <w:sz w:val="20"/>
          <w:szCs w:val="20"/>
          <w:highlight w:val="yellow"/>
          <w:bdr w:val="single" w:sz="4" w:space="0" w:color="auto"/>
        </w:rPr>
        <w:t>「</w:t>
      </w:r>
      <w:r w:rsidRPr="00774F73">
        <w:rPr>
          <w:rFonts w:ascii="新細明體" w:hAnsi="新細明體" w:cs="Times Ext Roman" w:hint="eastAsia"/>
          <w:b/>
          <w:color w:val="FF0000"/>
          <w:sz w:val="20"/>
          <w:szCs w:val="20"/>
          <w:highlight w:val="yellow"/>
          <w:bdr w:val="single" w:sz="4" w:space="0" w:color="auto"/>
        </w:rPr>
        <w:t>緣起</w:t>
      </w:r>
      <w:r w:rsidR="00774F73" w:rsidRPr="00774F73">
        <w:rPr>
          <w:rFonts w:ascii="新細明體" w:hAnsi="新細明體" w:cs="Times Ext Roman" w:hint="eastAsia"/>
          <w:b/>
          <w:color w:val="FF0000"/>
          <w:sz w:val="20"/>
          <w:szCs w:val="20"/>
          <w:highlight w:val="yellow"/>
          <w:bdr w:val="single" w:sz="4" w:space="0" w:color="auto"/>
        </w:rPr>
        <w:t>之正理</w:t>
      </w:r>
      <w:r w:rsidR="00774F73">
        <w:rPr>
          <w:rFonts w:ascii="新細明體" w:hAnsi="新細明體" w:cs="Times Ext Roman" w:hint="eastAsia"/>
          <w:b/>
          <w:color w:val="FF0000"/>
          <w:sz w:val="20"/>
          <w:szCs w:val="20"/>
          <w:highlight w:val="yellow"/>
          <w:bdr w:val="single" w:sz="4" w:space="0" w:color="auto"/>
        </w:rPr>
        <w:t>」</w:t>
      </w:r>
      <w:r w:rsidRPr="00DA3BC7">
        <w:rPr>
          <w:rFonts w:ascii="Times New Roman" w:hAnsi="Times New Roman" w:hint="eastAsia"/>
          <w:sz w:val="20"/>
          <w:szCs w:val="20"/>
        </w:rPr>
        <w:t>（</w:t>
      </w:r>
      <w:r w:rsidRPr="00DA3BC7">
        <w:rPr>
          <w:rFonts w:ascii="Times New Roman" w:hAnsi="Times New Roman"/>
          <w:sz w:val="20"/>
          <w:szCs w:val="20"/>
        </w:rPr>
        <w:t>pp.60-61</w:t>
      </w:r>
      <w:r w:rsidRPr="00DA3BC7">
        <w:rPr>
          <w:rFonts w:ascii="Times New Roman" w:hAnsi="Times New Roman" w:hint="eastAsia"/>
          <w:sz w:val="20"/>
          <w:szCs w:val="20"/>
        </w:rPr>
        <w:t>）</w:t>
      </w:r>
    </w:p>
    <w:p w:rsidR="002B682F" w:rsidRPr="00DA3BC7" w:rsidRDefault="002B682F" w:rsidP="00F87FD0">
      <w:pPr>
        <w:widowControl/>
        <w:ind w:leftChars="250" w:left="600"/>
        <w:jc w:val="both"/>
        <w:rPr>
          <w:rFonts w:ascii="Arial" w:eastAsia="SimSun" w:hAnsi="Arial" w:cs="Arial"/>
        </w:rPr>
      </w:pPr>
      <w:r w:rsidRPr="00DA3BC7">
        <w:rPr>
          <w:rFonts w:ascii="Arial" w:hAnsi="Arial" w:cs="Arial" w:hint="eastAsia"/>
        </w:rPr>
        <w:t>剋實</w:t>
      </w:r>
      <w:r w:rsidRPr="00DA3BC7">
        <w:rPr>
          <w:rStyle w:val="a6"/>
          <w:rFonts w:ascii="Times New Roman" w:hAnsi="Times New Roman"/>
        </w:rPr>
        <w:footnoteReference w:id="323"/>
      </w:r>
      <w:r w:rsidRPr="00DA3BC7">
        <w:rPr>
          <w:rFonts w:ascii="Arial" w:hAnsi="Arial" w:cs="Arial" w:hint="eastAsia"/>
        </w:rPr>
        <w:t>的說：</w:t>
      </w:r>
      <w:r w:rsidRPr="00DA3BC7">
        <w:rPr>
          <w:rFonts w:ascii="Arial" w:hAnsi="Arial" w:cs="Arial" w:hint="eastAsia"/>
          <w:b/>
        </w:rPr>
        <w:t>「</w:t>
      </w:r>
      <w:r w:rsidRPr="006C462F">
        <w:rPr>
          <w:rFonts w:ascii="標楷體" w:eastAsia="標楷體" w:hAnsi="標楷體" w:cs="Arial" w:hint="eastAsia"/>
          <w:b/>
        </w:rPr>
        <w:t>此有故彼有</w:t>
      </w:r>
      <w:r w:rsidRPr="00DA3BC7">
        <w:rPr>
          <w:rFonts w:ascii="Arial" w:hAnsi="Arial" w:cs="Arial" w:hint="eastAsia"/>
          <w:b/>
        </w:rPr>
        <w:t>」二句，是緣起的主要定義</w:t>
      </w:r>
      <w:r w:rsidRPr="00DA3BC7">
        <w:rPr>
          <w:rFonts w:ascii="Arial" w:hAnsi="Arial" w:cs="Arial" w:hint="eastAsia"/>
        </w:rPr>
        <w:t>；「</w:t>
      </w:r>
      <w:r w:rsidRPr="006C462F">
        <w:rPr>
          <w:rFonts w:ascii="標楷體" w:eastAsia="標楷體" w:hAnsi="標楷體" w:cs="Arial" w:hint="eastAsia"/>
        </w:rPr>
        <w:t>無明緣行</w:t>
      </w:r>
      <w:r w:rsidRPr="00DA3BC7">
        <w:rPr>
          <w:rFonts w:ascii="Arial" w:hAnsi="Arial" w:cs="Arial" w:hint="eastAsia"/>
        </w:rPr>
        <w:t>」等，是緣起的必然序列，也是舉例以說明其內容。</w:t>
      </w:r>
    </w:p>
    <w:p w:rsidR="002B682F" w:rsidRPr="00DA3BC7" w:rsidRDefault="002B682F" w:rsidP="00AE3920">
      <w:pPr>
        <w:spacing w:beforeLines="20"/>
        <w:ind w:leftChars="250" w:left="600"/>
        <w:jc w:val="both"/>
        <w:rPr>
          <w:rFonts w:ascii="Arial" w:hAnsi="Arial" w:cs="Arial"/>
        </w:rPr>
      </w:pPr>
      <w:r w:rsidRPr="00DA3BC7">
        <w:rPr>
          <w:rFonts w:ascii="Arial" w:hAnsi="Arial" w:cs="Arial" w:hint="eastAsia"/>
        </w:rPr>
        <w:t>唯有在緣能起果中，</w:t>
      </w:r>
      <w:r w:rsidRPr="00DA3BC7">
        <w:rPr>
          <w:rFonts w:ascii="Arial" w:hAnsi="Arial" w:cs="Arial" w:hint="eastAsia"/>
          <w:b/>
        </w:rPr>
        <w:t>把握緣起相關的因待性，才能深入緣起，以及悟入緣起法性的空寂</w:t>
      </w:r>
      <w:r w:rsidRPr="00DA3BC7">
        <w:rPr>
          <w:rFonts w:ascii="Arial" w:hAnsi="Arial" w:cs="Arial" w:hint="eastAsia"/>
        </w:rPr>
        <w:t>。所以，</w:t>
      </w:r>
      <w:r w:rsidRPr="00DA3BC7">
        <w:rPr>
          <w:rFonts w:ascii="Arial" w:hAnsi="Arial" w:cs="Arial" w:hint="eastAsia"/>
          <w:b/>
        </w:rPr>
        <w:t>緣起約因緣的生果作用說，但更重在為一切存在的因待性</w:t>
      </w:r>
      <w:r w:rsidRPr="00DA3BC7">
        <w:rPr>
          <w:rFonts w:ascii="Arial" w:hAnsi="Arial" w:cs="Arial" w:hint="eastAsia"/>
        </w:rPr>
        <w:t>。</w:t>
      </w:r>
    </w:p>
    <w:p w:rsidR="002B682F" w:rsidRPr="00DA3BC7" w:rsidRDefault="002B682F" w:rsidP="00AE3920">
      <w:pPr>
        <w:spacing w:beforeLines="20"/>
        <w:ind w:leftChars="250" w:left="600"/>
        <w:jc w:val="both"/>
        <w:rPr>
          <w:rFonts w:ascii="Arial" w:eastAsia="SimSun" w:hAnsi="Arial" w:cs="Arial"/>
        </w:rPr>
      </w:pPr>
      <w:r w:rsidRPr="00DA3BC7">
        <w:rPr>
          <w:rFonts w:ascii="Arial" w:hAnsi="Arial" w:cs="Arial" w:hint="eastAsia"/>
        </w:rPr>
        <w:t>若用抽象的公式來說，緣起即是「此故彼」。此與彼，泛指因與果。彼之所以如此，不是自己如此的，是由於此法而如此的，此為彼所以如此的因待性，彼此間即構成因果系。</w:t>
      </w:r>
    </w:p>
    <w:p w:rsidR="002B682F" w:rsidRPr="00DA3BC7" w:rsidRDefault="002B682F" w:rsidP="00AE3920">
      <w:pPr>
        <w:spacing w:beforeLines="20"/>
        <w:ind w:leftChars="250" w:left="600"/>
        <w:jc w:val="both"/>
        <w:rPr>
          <w:rFonts w:ascii="Arial" w:hAnsi="Arial" w:cs="Arial"/>
        </w:rPr>
      </w:pPr>
      <w:r w:rsidRPr="00DA3BC7">
        <w:rPr>
          <w:rFonts w:ascii="Arial" w:hAnsi="Arial" w:cs="Arial" w:hint="eastAsia"/>
        </w:rPr>
        <w:t>例如推究如何而有觸</w:t>
      </w:r>
      <w:r w:rsidRPr="00DA3BC7">
        <w:rPr>
          <w:rFonts w:ascii="新細明體" w:hAnsi="新細明體" w:cs="Arial"/>
        </w:rPr>
        <w:t>──</w:t>
      </w:r>
      <w:r w:rsidRPr="00DA3BC7">
        <w:rPr>
          <w:rFonts w:ascii="新細明體" w:hAnsi="新細明體" w:cs="Arial" w:hint="eastAsia"/>
        </w:rPr>
        <w:t>感覺，即知依於六入</w:t>
      </w:r>
      <w:r w:rsidRPr="00DA3BC7">
        <w:rPr>
          <w:rFonts w:ascii="新細明體" w:hAnsi="新細明體" w:cs="Arial"/>
        </w:rPr>
        <w:t>──</w:t>
      </w:r>
      <w:r w:rsidRPr="00DA3BC7">
        <w:rPr>
          <w:rFonts w:ascii="Arial" w:hAnsi="Arial" w:cs="Arial" w:hint="eastAsia"/>
        </w:rPr>
        <w:t>引發心理作用的生理機構而有的；六入對於觸，有著此有彼可有</w:t>
      </w:r>
      <w:r w:rsidR="00774F73" w:rsidRPr="00774F73">
        <w:rPr>
          <w:rFonts w:ascii="Arial" w:hAnsi="Arial" w:cs="Arial" w:hint="eastAsia"/>
          <w:color w:val="FF0000"/>
          <w:shd w:val="pct15" w:color="auto" w:fill="FFFFFF"/>
        </w:rPr>
        <w:t>、</w:t>
      </w:r>
      <w:r w:rsidRPr="00DA3BC7">
        <w:rPr>
          <w:rFonts w:ascii="Arial" w:hAnsi="Arial" w:cs="Arial" w:hint="eastAsia"/>
        </w:rPr>
        <w:t>此無彼必無的必然關係，即成因果。</w:t>
      </w:r>
    </w:p>
    <w:p w:rsidR="002B682F" w:rsidRPr="00DA3BC7" w:rsidRDefault="002B682F" w:rsidP="00AE3920">
      <w:pPr>
        <w:widowControl/>
        <w:spacing w:beforeLines="30"/>
        <w:ind w:leftChars="150" w:left="360"/>
        <w:jc w:val="both"/>
        <w:rPr>
          <w:rFonts w:ascii="新細明體" w:hAnsi="新細明體" w:cs="Times Ext Roman"/>
          <w:b/>
          <w:sz w:val="20"/>
          <w:szCs w:val="20"/>
          <w:bdr w:val="single" w:sz="4" w:space="0" w:color="auto"/>
        </w:rPr>
      </w:pPr>
      <w:r w:rsidRPr="00774F73">
        <w:rPr>
          <w:rFonts w:ascii="新細明體" w:hAnsi="新細明體" w:cs="Times Ext Roman" w:hint="eastAsia"/>
          <w:b/>
          <w:color w:val="FF0000"/>
          <w:sz w:val="20"/>
          <w:szCs w:val="20"/>
          <w:highlight w:val="yellow"/>
          <w:bdr w:val="single" w:sz="4" w:space="0" w:color="auto"/>
        </w:rPr>
        <w:t>（</w:t>
      </w:r>
      <w:r w:rsidR="00774F73" w:rsidRPr="00774F73">
        <w:rPr>
          <w:rFonts w:ascii="新細明體" w:hAnsi="新細明體" w:cs="Times Ext Roman" w:hint="eastAsia"/>
          <w:b/>
          <w:color w:val="FF0000"/>
          <w:sz w:val="20"/>
          <w:szCs w:val="20"/>
          <w:highlight w:val="yellow"/>
          <w:bdr w:val="single" w:sz="4" w:space="0" w:color="auto"/>
        </w:rPr>
        <w:t>二</w:t>
      </w:r>
      <w:r w:rsidRPr="00774F73">
        <w:rPr>
          <w:rFonts w:ascii="新細明體" w:hAnsi="新細明體" w:cs="Times Ext Roman" w:hint="eastAsia"/>
          <w:b/>
          <w:color w:val="FF0000"/>
          <w:sz w:val="20"/>
          <w:szCs w:val="20"/>
          <w:highlight w:val="yellow"/>
          <w:bdr w:val="single" w:sz="4" w:space="0" w:color="auto"/>
        </w:rPr>
        <w:t>）</w:t>
      </w:r>
      <w:r w:rsidR="00774F73" w:rsidRPr="00774F73">
        <w:rPr>
          <w:rFonts w:ascii="新細明體" w:hAnsi="新細明體" w:cs="Times Ext Roman" w:hint="eastAsia"/>
          <w:b/>
          <w:color w:val="FF0000"/>
          <w:sz w:val="20"/>
          <w:szCs w:val="20"/>
          <w:highlight w:val="yellow"/>
          <w:bdr w:val="single" w:sz="4" w:space="0" w:color="auto"/>
        </w:rPr>
        <w:t>約「從緣而</w:t>
      </w:r>
      <w:r w:rsidR="00774F73">
        <w:rPr>
          <w:rFonts w:ascii="新細明體" w:hAnsi="新細明體" w:cs="Times Ext Roman" w:hint="eastAsia"/>
          <w:b/>
          <w:color w:val="FF0000"/>
          <w:sz w:val="20"/>
          <w:szCs w:val="20"/>
          <w:highlight w:val="yellow"/>
          <w:bdr w:val="single" w:sz="4" w:space="0" w:color="auto"/>
        </w:rPr>
        <w:t>滅無</w:t>
      </w:r>
      <w:r w:rsidR="00774F73" w:rsidRPr="00774F73">
        <w:rPr>
          <w:rFonts w:ascii="新細明體" w:hAnsi="新細明體" w:cs="Times Ext Roman" w:hint="eastAsia"/>
          <w:b/>
          <w:color w:val="FF0000"/>
          <w:sz w:val="20"/>
          <w:szCs w:val="20"/>
          <w:highlight w:val="yellow"/>
          <w:bdr w:val="single" w:sz="4" w:space="0" w:color="auto"/>
        </w:rPr>
        <w:t>」</w:t>
      </w:r>
      <w:r w:rsidRPr="00DA3BC7">
        <w:rPr>
          <w:rFonts w:ascii="Times New Roman" w:hAnsi="Times New Roman" w:hint="eastAsia"/>
          <w:sz w:val="20"/>
          <w:szCs w:val="20"/>
        </w:rPr>
        <w:t>（</w:t>
      </w:r>
      <w:r w:rsidRPr="00DA3BC7">
        <w:rPr>
          <w:rFonts w:ascii="Times New Roman" w:hAnsi="Times New Roman"/>
          <w:sz w:val="20"/>
          <w:szCs w:val="20"/>
        </w:rPr>
        <w:t>pp.6</w:t>
      </w:r>
      <w:r w:rsidRPr="00DA3BC7">
        <w:rPr>
          <w:rFonts w:ascii="Times New Roman" w:hAnsi="Times New Roman" w:hint="eastAsia"/>
          <w:sz w:val="20"/>
          <w:szCs w:val="20"/>
        </w:rPr>
        <w:t>1</w:t>
      </w:r>
      <w:r w:rsidRPr="00DA3BC7">
        <w:rPr>
          <w:rFonts w:ascii="Times New Roman" w:hAnsi="Times New Roman"/>
          <w:sz w:val="20"/>
          <w:szCs w:val="20"/>
        </w:rPr>
        <w:t>-6</w:t>
      </w:r>
      <w:r w:rsidRPr="00DA3BC7">
        <w:rPr>
          <w:rFonts w:ascii="Times New Roman" w:hAnsi="Times New Roman" w:hint="eastAsia"/>
          <w:sz w:val="20"/>
          <w:szCs w:val="20"/>
        </w:rPr>
        <w:t>2</w:t>
      </w:r>
      <w:r w:rsidRPr="00DA3BC7">
        <w:rPr>
          <w:rFonts w:ascii="Times New Roman" w:hAnsi="Times New Roman" w:hint="eastAsia"/>
          <w:sz w:val="20"/>
          <w:szCs w:val="20"/>
        </w:rPr>
        <w:t>）</w:t>
      </w:r>
    </w:p>
    <w:p w:rsidR="002B682F" w:rsidRPr="00DA3BC7" w:rsidRDefault="002B682F" w:rsidP="008E2BBC">
      <w:pPr>
        <w:widowControl/>
        <w:ind w:leftChars="150" w:left="360"/>
        <w:jc w:val="both"/>
        <w:rPr>
          <w:rFonts w:ascii="Arial" w:eastAsia="SimSun" w:hAnsi="Arial" w:cs="Arial"/>
        </w:rPr>
      </w:pPr>
      <w:r w:rsidRPr="00DA3BC7">
        <w:rPr>
          <w:rFonts w:ascii="Arial" w:hAnsi="Arial" w:cs="Arial" w:hint="eastAsia"/>
        </w:rPr>
        <w:t>但緣起的含義極廣，不單是從緣而生起，也還是從緣而滅無，這又可以分為兩點說：</w:t>
      </w:r>
    </w:p>
    <w:p w:rsidR="002B682F" w:rsidRPr="00DA3BC7" w:rsidRDefault="002B682F" w:rsidP="00AE3920">
      <w:pPr>
        <w:widowControl/>
        <w:spacing w:beforeLines="30"/>
        <w:ind w:leftChars="200" w:left="480"/>
        <w:jc w:val="both"/>
        <w:rPr>
          <w:rFonts w:ascii="Arial" w:eastAsia="SimSun" w:hAnsi="Arial" w:cs="Arial"/>
        </w:rPr>
      </w:pPr>
      <w:r w:rsidRPr="00DA3BC7">
        <w:rPr>
          <w:rFonts w:ascii="Times New Roman" w:hAnsi="Times New Roman" w:hint="eastAsia"/>
          <w:b/>
          <w:sz w:val="20"/>
          <w:szCs w:val="20"/>
          <w:bdr w:val="single" w:sz="4" w:space="0" w:color="auto"/>
        </w:rPr>
        <w:t>1</w:t>
      </w:r>
      <w:r w:rsidRPr="00DA3BC7">
        <w:rPr>
          <w:rFonts w:ascii="新細明體" w:hAnsi="新細明體" w:cs="Times Ext Roman" w:hint="eastAsia"/>
          <w:b/>
          <w:sz w:val="20"/>
          <w:szCs w:val="20"/>
          <w:bdr w:val="single" w:sz="4" w:space="0" w:color="auto"/>
        </w:rPr>
        <w:t>、相生相滅</w:t>
      </w:r>
      <w:r w:rsidR="00774F73">
        <w:rPr>
          <w:rFonts w:ascii="新細明體" w:hAnsi="新細明體" w:cs="Times Ext Roman" w:hint="eastAsia"/>
          <w:b/>
          <w:color w:val="FF0000"/>
          <w:sz w:val="20"/>
          <w:szCs w:val="20"/>
          <w:highlight w:val="yellow"/>
          <w:bdr w:val="single" w:sz="4" w:space="0" w:color="auto"/>
        </w:rPr>
        <w:t>的外在因緣</w:t>
      </w:r>
      <w:r w:rsidRPr="00DA3BC7">
        <w:rPr>
          <w:rFonts w:ascii="Times New Roman" w:hAnsi="Times New Roman" w:hint="eastAsia"/>
          <w:sz w:val="20"/>
          <w:szCs w:val="20"/>
        </w:rPr>
        <w:t>（</w:t>
      </w:r>
      <w:r w:rsidRPr="00DA3BC7">
        <w:rPr>
          <w:rFonts w:ascii="Times New Roman" w:hAnsi="Times New Roman"/>
          <w:sz w:val="20"/>
          <w:szCs w:val="20"/>
        </w:rPr>
        <w:t>p.61</w:t>
      </w:r>
      <w:r w:rsidRPr="00DA3BC7">
        <w:rPr>
          <w:rFonts w:ascii="Times New Roman" w:hAnsi="Times New Roman" w:hint="eastAsia"/>
          <w:sz w:val="20"/>
          <w:szCs w:val="20"/>
        </w:rPr>
        <w:t>）</w:t>
      </w:r>
    </w:p>
    <w:p w:rsidR="002B682F" w:rsidRPr="00DA3BC7" w:rsidRDefault="002B682F" w:rsidP="008E2BBC">
      <w:pPr>
        <w:widowControl/>
        <w:ind w:leftChars="200" w:left="480"/>
        <w:jc w:val="both"/>
        <w:rPr>
          <w:rFonts w:ascii="Arial" w:hAnsi="Arial" w:cs="Arial"/>
        </w:rPr>
      </w:pPr>
      <w:r w:rsidRPr="00DA3BC7">
        <w:rPr>
          <w:rFonts w:ascii="Arial" w:hAnsi="Arial" w:cs="Arial" w:hint="eastAsia"/>
        </w:rPr>
        <w:t>一、如</w:t>
      </w:r>
      <w:r w:rsidRPr="00DA3BC7">
        <w:rPr>
          <w:rFonts w:ascii="Arial" w:hAnsi="Arial" w:cs="Arial" w:hint="eastAsia"/>
          <w:b/>
        </w:rPr>
        <w:t>由惑造業，由業感果</w:t>
      </w:r>
      <w:r w:rsidRPr="00DA3BC7">
        <w:rPr>
          <w:rFonts w:ascii="Arial" w:hAnsi="Arial" w:cs="Arial" w:hint="eastAsia"/>
        </w:rPr>
        <w:t>，這是</w:t>
      </w:r>
      <w:r w:rsidRPr="00DA3BC7">
        <w:rPr>
          <w:rFonts w:ascii="Arial" w:hAnsi="Arial" w:cs="Arial" w:hint="eastAsia"/>
          <w:b/>
        </w:rPr>
        <w:t>相順相生</w:t>
      </w:r>
      <w:r w:rsidRPr="00DA3BC7">
        <w:rPr>
          <w:rFonts w:ascii="Arial" w:hAnsi="Arial" w:cs="Arial" w:hint="eastAsia"/>
        </w:rPr>
        <w:t>的。</w:t>
      </w:r>
    </w:p>
    <w:p w:rsidR="002B682F" w:rsidRPr="00DA3BC7" w:rsidRDefault="002B682F" w:rsidP="00AE3920">
      <w:pPr>
        <w:widowControl/>
        <w:spacing w:beforeLines="20"/>
        <w:ind w:leftChars="200" w:left="480"/>
        <w:jc w:val="both"/>
        <w:rPr>
          <w:rFonts w:ascii="Arial" w:hAnsi="Arial" w:cs="Arial"/>
        </w:rPr>
      </w:pPr>
      <w:r w:rsidRPr="00DA3BC7">
        <w:rPr>
          <w:rFonts w:ascii="Arial" w:hAnsi="Arial" w:cs="Arial" w:hint="eastAsia"/>
        </w:rPr>
        <w:t>如推究如何才能滅苦？這必須斷除苦果的因緣</w:t>
      </w:r>
      <w:r w:rsidRPr="00DA3BC7">
        <w:rPr>
          <w:rFonts w:ascii="新細明體" w:hAnsi="新細明體" w:cs="Arial"/>
        </w:rPr>
        <w:t>──</w:t>
      </w:r>
      <w:r w:rsidRPr="00DA3BC7">
        <w:rPr>
          <w:rFonts w:ascii="Arial" w:hAnsi="Arial" w:cs="Arial" w:hint="eastAsia"/>
        </w:rPr>
        <w:t>惑，即須修戒定慧的對治道。此</w:t>
      </w:r>
      <w:r w:rsidRPr="00DA3BC7">
        <w:rPr>
          <w:rFonts w:ascii="Arial" w:hAnsi="Arial" w:cs="Arial" w:hint="eastAsia"/>
          <w:b/>
        </w:rPr>
        <w:t>對治道能為斷惑的因緣，即相違相滅</w:t>
      </w:r>
      <w:r w:rsidRPr="00DA3BC7">
        <w:rPr>
          <w:rFonts w:ascii="Arial" w:hAnsi="Arial" w:cs="Arial" w:hint="eastAsia"/>
        </w:rPr>
        <w:t>的。</w:t>
      </w:r>
    </w:p>
    <w:p w:rsidR="002B682F" w:rsidRPr="00DA3BC7" w:rsidRDefault="002B682F" w:rsidP="00AE3920">
      <w:pPr>
        <w:widowControl/>
        <w:spacing w:beforeLines="20"/>
        <w:ind w:leftChars="200" w:left="480"/>
        <w:jc w:val="both"/>
        <w:rPr>
          <w:rFonts w:ascii="Arial" w:hAnsi="Arial" w:cs="Arial"/>
        </w:rPr>
      </w:pPr>
      <w:r w:rsidRPr="00DA3BC7">
        <w:rPr>
          <w:rFonts w:ascii="Arial" w:hAnsi="Arial" w:cs="Arial" w:hint="eastAsia"/>
        </w:rPr>
        <w:t>如《雜阿含</w:t>
      </w:r>
      <w:r w:rsidRPr="00DA3BC7">
        <w:rPr>
          <w:rFonts w:hint="eastAsia"/>
        </w:rPr>
        <w:t>經</w:t>
      </w:r>
      <w:r w:rsidRPr="00DA3BC7">
        <w:rPr>
          <w:rFonts w:ascii="Arial" w:hAnsi="Arial" w:cs="Arial" w:hint="eastAsia"/>
        </w:rPr>
        <w:t>》（</w:t>
      </w:r>
      <w:r w:rsidRPr="00DA3BC7">
        <w:rPr>
          <w:rFonts w:ascii="Times New Roman" w:hAnsi="Times New Roman"/>
        </w:rPr>
        <w:t>53</w:t>
      </w:r>
      <w:r w:rsidRPr="00DA3BC7">
        <w:rPr>
          <w:rFonts w:ascii="Arial" w:hAnsi="Arial" w:cs="Arial" w:hint="eastAsia"/>
        </w:rPr>
        <w:t>經）說：「</w:t>
      </w:r>
      <w:r w:rsidRPr="00DA3BC7">
        <w:rPr>
          <w:rFonts w:ascii="標楷體" w:eastAsia="標楷體" w:hAnsi="標楷體" w:cs="Arial" w:hint="eastAsia"/>
        </w:rPr>
        <w:t>有因有緣世間集，有因有緣世間滅</w:t>
      </w:r>
      <w:r w:rsidRPr="00DA3BC7">
        <w:rPr>
          <w:rFonts w:ascii="Arial" w:hAnsi="Arial" w:cs="Arial" w:hint="eastAsia"/>
        </w:rPr>
        <w:t>。」</w:t>
      </w:r>
      <w:r w:rsidRPr="00DA3BC7">
        <w:rPr>
          <w:rStyle w:val="a6"/>
          <w:rFonts w:ascii="Times New Roman" w:hAnsi="Times New Roman"/>
        </w:rPr>
        <w:footnoteReference w:id="324"/>
      </w:r>
    </w:p>
    <w:p w:rsidR="002B682F" w:rsidRPr="00DA3BC7" w:rsidRDefault="002B682F" w:rsidP="00AE3920">
      <w:pPr>
        <w:widowControl/>
        <w:spacing w:beforeLines="20"/>
        <w:ind w:leftChars="200" w:left="480"/>
        <w:jc w:val="both"/>
        <w:rPr>
          <w:rFonts w:ascii="Arial" w:eastAsia="SimSun" w:hAnsi="Arial" w:cs="Arial"/>
        </w:rPr>
      </w:pPr>
      <w:r w:rsidRPr="00DA3BC7">
        <w:rPr>
          <w:rFonts w:ascii="Arial" w:hAnsi="Arial" w:cs="Arial" w:hint="eastAsia"/>
        </w:rPr>
        <w:lastRenderedPageBreak/>
        <w:t>世間集，是由惑感苦，</w:t>
      </w:r>
      <w:r w:rsidRPr="00DA3BC7">
        <w:rPr>
          <w:rFonts w:ascii="Arial" w:hAnsi="Arial" w:cs="Arial" w:hint="eastAsia"/>
          <w:b/>
        </w:rPr>
        <w:t>相順相生</w:t>
      </w:r>
      <w:r w:rsidRPr="00DA3BC7">
        <w:rPr>
          <w:rFonts w:ascii="Arial" w:hAnsi="Arial" w:cs="Arial" w:hint="eastAsia"/>
        </w:rPr>
        <w:t>；世間滅，是由道斷惑，</w:t>
      </w:r>
      <w:r w:rsidRPr="00DA3BC7">
        <w:rPr>
          <w:rFonts w:ascii="Arial" w:hAnsi="Arial" w:cs="Arial" w:hint="eastAsia"/>
          <w:b/>
        </w:rPr>
        <w:t>相違相滅</w:t>
      </w:r>
      <w:r w:rsidRPr="00DA3BC7">
        <w:rPr>
          <w:rFonts w:ascii="Arial" w:hAnsi="Arial" w:cs="Arial" w:hint="eastAsia"/>
        </w:rPr>
        <w:t>的。</w:t>
      </w:r>
    </w:p>
    <w:p w:rsidR="002B682F" w:rsidRPr="00DA3BC7" w:rsidRDefault="002B682F" w:rsidP="00AE3920">
      <w:pPr>
        <w:widowControl/>
        <w:spacing w:beforeLines="20"/>
        <w:ind w:leftChars="200" w:left="480"/>
        <w:jc w:val="both"/>
        <w:rPr>
          <w:rFonts w:ascii="Arial" w:eastAsia="SimSun" w:hAnsi="Arial" w:cs="Arial"/>
        </w:rPr>
      </w:pPr>
      <w:r w:rsidRPr="00DA3BC7">
        <w:rPr>
          <w:rFonts w:ascii="Arial" w:hAnsi="Arial" w:cs="Arial" w:hint="eastAsia"/>
        </w:rPr>
        <w:t>這</w:t>
      </w:r>
      <w:r w:rsidRPr="00DA3BC7">
        <w:rPr>
          <w:rFonts w:ascii="Arial" w:hAnsi="Arial" w:cs="Arial" w:hint="eastAsia"/>
          <w:b/>
        </w:rPr>
        <w:t>相生相滅，都是依於緣起的</w:t>
      </w:r>
      <w:r w:rsidRPr="00DA3BC7">
        <w:rPr>
          <w:rFonts w:ascii="Arial" w:hAnsi="Arial" w:cs="Arial" w:hint="eastAsia"/>
        </w:rPr>
        <w:t>。</w:t>
      </w:r>
    </w:p>
    <w:p w:rsidR="002B682F" w:rsidRPr="00DA3BC7" w:rsidRDefault="002B682F" w:rsidP="00AE3920">
      <w:pPr>
        <w:widowControl/>
        <w:spacing w:beforeLines="30"/>
        <w:ind w:leftChars="200" w:left="480"/>
        <w:jc w:val="both"/>
        <w:rPr>
          <w:rFonts w:ascii="Arial" w:eastAsia="SimSun" w:hAnsi="Arial" w:cs="Arial"/>
          <w:sz w:val="20"/>
          <w:szCs w:val="20"/>
        </w:rPr>
      </w:pPr>
      <w:r w:rsidRPr="00DA3BC7">
        <w:rPr>
          <w:rFonts w:ascii="Times New Roman" w:hAnsi="Times New Roman" w:hint="eastAsia"/>
          <w:b/>
          <w:sz w:val="20"/>
          <w:szCs w:val="20"/>
          <w:bdr w:val="single" w:sz="4" w:space="0" w:color="auto"/>
        </w:rPr>
        <w:t>2</w:t>
      </w:r>
      <w:r w:rsidRPr="00DA3BC7">
        <w:rPr>
          <w:rFonts w:ascii="Times New Roman" w:hAnsi="Times New Roman" w:hint="eastAsia"/>
          <w:b/>
          <w:sz w:val="20"/>
          <w:szCs w:val="20"/>
          <w:bdr w:val="single" w:sz="4" w:space="0" w:color="auto"/>
        </w:rPr>
        <w:t>、</w:t>
      </w:r>
      <w:r w:rsidR="00774F73">
        <w:rPr>
          <w:rFonts w:ascii="Times New Roman" w:hAnsi="Times New Roman" w:hint="eastAsia"/>
          <w:b/>
          <w:color w:val="FF0000"/>
          <w:sz w:val="20"/>
          <w:szCs w:val="20"/>
          <w:highlight w:val="yellow"/>
          <w:bdr w:val="single" w:sz="4" w:space="0" w:color="auto"/>
        </w:rPr>
        <w:t>必然歸滅</w:t>
      </w:r>
      <w:r w:rsidRPr="00DA3BC7">
        <w:rPr>
          <w:rFonts w:ascii="新細明體" w:hAnsi="新細明體" w:cs="Times Ext Roman" w:hint="eastAsia"/>
          <w:b/>
          <w:sz w:val="20"/>
          <w:szCs w:val="20"/>
          <w:bdr w:val="single" w:sz="4" w:space="0" w:color="auto"/>
        </w:rPr>
        <w:t>的內在特</w:t>
      </w:r>
      <w:r w:rsidRPr="00774F73">
        <w:rPr>
          <w:rFonts w:ascii="新細明體" w:hAnsi="新細明體" w:cs="Times Ext Roman" w:hint="eastAsia"/>
          <w:b/>
          <w:sz w:val="20"/>
          <w:szCs w:val="20"/>
          <w:highlight w:val="yellow"/>
          <w:bdr w:val="single" w:sz="4" w:space="0" w:color="auto"/>
        </w:rPr>
        <w:t>性</w:t>
      </w:r>
      <w:r w:rsidRPr="00DA3BC7">
        <w:rPr>
          <w:rFonts w:ascii="Times New Roman" w:hAnsi="Times New Roman" w:hint="eastAsia"/>
          <w:sz w:val="20"/>
          <w:szCs w:val="20"/>
        </w:rPr>
        <w:t>（</w:t>
      </w:r>
      <w:r w:rsidRPr="00DA3BC7">
        <w:rPr>
          <w:rFonts w:ascii="Times New Roman" w:hAnsi="Times New Roman"/>
          <w:sz w:val="20"/>
          <w:szCs w:val="20"/>
        </w:rPr>
        <w:t>pp.6</w:t>
      </w:r>
      <w:r w:rsidRPr="00DA3BC7">
        <w:rPr>
          <w:rFonts w:ascii="Times New Roman" w:eastAsia="SimSun" w:hAnsi="Times New Roman"/>
          <w:sz w:val="20"/>
          <w:szCs w:val="20"/>
        </w:rPr>
        <w:t>1</w:t>
      </w:r>
      <w:r w:rsidRPr="00DA3BC7">
        <w:rPr>
          <w:rFonts w:ascii="Times New Roman" w:hAnsi="Times New Roman"/>
          <w:sz w:val="20"/>
          <w:szCs w:val="20"/>
        </w:rPr>
        <w:t>-6</w:t>
      </w:r>
      <w:r w:rsidRPr="00DA3BC7">
        <w:rPr>
          <w:rFonts w:ascii="Times New Roman" w:eastAsia="SimSun" w:hAnsi="Times New Roman"/>
          <w:sz w:val="20"/>
          <w:szCs w:val="20"/>
        </w:rPr>
        <w:t>2</w:t>
      </w:r>
      <w:r w:rsidRPr="00DA3BC7">
        <w:rPr>
          <w:rFonts w:ascii="Times New Roman" w:hAnsi="Times New Roman" w:hint="eastAsia"/>
          <w:sz w:val="20"/>
          <w:szCs w:val="20"/>
        </w:rPr>
        <w:t>）</w:t>
      </w:r>
    </w:p>
    <w:p w:rsidR="002B682F" w:rsidRPr="00DA3BC7" w:rsidRDefault="002B682F" w:rsidP="008E2BBC">
      <w:pPr>
        <w:widowControl/>
        <w:ind w:leftChars="200" w:left="480"/>
        <w:jc w:val="both"/>
        <w:rPr>
          <w:rFonts w:ascii="Arial" w:hAnsi="Arial" w:cs="Arial"/>
        </w:rPr>
      </w:pPr>
      <w:r w:rsidRPr="00DA3BC7">
        <w:rPr>
          <w:rFonts w:ascii="Arial" w:hAnsi="Arial" w:cs="Arial" w:hint="eastAsia"/>
        </w:rPr>
        <w:t>二、一切法所以能有生，有法的可以無，生法的可以滅，不僅由於</w:t>
      </w:r>
      <w:r w:rsidRPr="00DA3BC7">
        <w:rPr>
          <w:rFonts w:ascii="Arial" w:hAnsi="Arial" w:cs="Arial" w:hint="eastAsia"/>
          <w:b/>
        </w:rPr>
        <w:t>外在的違順因緣</w:t>
      </w:r>
      <w:r w:rsidRPr="00DA3BC7">
        <w:rPr>
          <w:rFonts w:ascii="Arial" w:hAnsi="Arial" w:cs="Arial" w:hint="eastAsia"/>
        </w:rPr>
        <w:t>，而更由於</w:t>
      </w:r>
      <w:r w:rsidRPr="00DA3BC7">
        <w:rPr>
          <w:rFonts w:ascii="Arial" w:hAnsi="Arial" w:cs="Arial" w:hint="eastAsia"/>
          <w:b/>
        </w:rPr>
        <w:t>內在的可有可無、可生可滅，此可有可無、可生可滅的可能性</w:t>
      </w:r>
      <w:r w:rsidRPr="00DA3BC7">
        <w:rPr>
          <w:rFonts w:ascii="Arial" w:hAnsi="Arial" w:cs="Arial" w:hint="eastAsia"/>
        </w:rPr>
        <w:t>，即由於緣起。</w:t>
      </w:r>
      <w:r w:rsidRPr="00DA3BC7">
        <w:rPr>
          <w:rFonts w:ascii="Arial" w:hAnsi="Arial" w:cs="Arial" w:hint="eastAsia"/>
          <w:b/>
        </w:rPr>
        <w:t>存在</w:t>
      </w:r>
      <w:r w:rsidRPr="00DA3BC7">
        <w:rPr>
          <w:rFonts w:ascii="新細明體" w:hAnsi="新細明體" w:cs="Arial"/>
          <w:b/>
        </w:rPr>
        <w:t>──</w:t>
      </w:r>
      <w:r w:rsidRPr="00DA3BC7">
        <w:rPr>
          <w:rFonts w:ascii="Arial" w:hAnsi="Arial" w:cs="Arial" w:hint="eastAsia"/>
          <w:b/>
        </w:rPr>
        <w:t>有與生起的本身，即含有生者必滅、有必歸無的必然性</w:t>
      </w:r>
      <w:r w:rsidRPr="00DA3BC7">
        <w:rPr>
          <w:rFonts w:ascii="Arial" w:hAnsi="Arial" w:cs="Arial" w:hint="eastAsia"/>
        </w:rPr>
        <w:t>。</w:t>
      </w:r>
    </w:p>
    <w:p w:rsidR="002B682F" w:rsidRPr="00DA3BC7" w:rsidRDefault="002B682F" w:rsidP="00AE3920">
      <w:pPr>
        <w:widowControl/>
        <w:spacing w:beforeLines="20"/>
        <w:ind w:leftChars="200" w:left="480"/>
        <w:jc w:val="both"/>
        <w:rPr>
          <w:rFonts w:ascii="Arial" w:eastAsia="SimSun" w:hAnsi="Arial" w:cs="Arial"/>
        </w:rPr>
      </w:pPr>
      <w:r w:rsidRPr="00DA3BC7">
        <w:rPr>
          <w:rFonts w:ascii="Arial" w:hAnsi="Arial" w:cs="Arial" w:hint="eastAsia"/>
        </w:rPr>
        <w:t>例如觸是依於六入而有而生的，那麼，觸即不離六入，沒有觸的獨存性。一旦作為因緣的六入起了變化或失壞了，觸也不能不跟著變化及失壞。</w:t>
      </w:r>
    </w:p>
    <w:p w:rsidR="002B682F" w:rsidRPr="00DA3BC7" w:rsidRDefault="002B682F" w:rsidP="00AE3920">
      <w:pPr>
        <w:widowControl/>
        <w:spacing w:beforeLines="20"/>
        <w:ind w:leftChars="200" w:left="480"/>
        <w:jc w:val="both"/>
        <w:rPr>
          <w:rFonts w:ascii="Arial" w:eastAsia="SimSun" w:hAnsi="Arial" w:cs="Arial"/>
        </w:rPr>
      </w:pPr>
      <w:r w:rsidRPr="00DA3BC7">
        <w:rPr>
          <w:rFonts w:ascii="Arial" w:hAnsi="Arial" w:cs="Arial" w:hint="eastAsia"/>
        </w:rPr>
        <w:t>這即是說：</w:t>
      </w:r>
      <w:r w:rsidRPr="00DA3BC7">
        <w:rPr>
          <w:rFonts w:ascii="Arial" w:hAnsi="Arial" w:cs="Arial" w:hint="eastAsia"/>
          <w:b/>
        </w:rPr>
        <w:t>凡是依緣而起的，此生起與存在的即必然要歸於滅無</w:t>
      </w:r>
      <w:r w:rsidRPr="00DA3BC7">
        <w:rPr>
          <w:rFonts w:ascii="Arial" w:hAnsi="Arial" w:cs="Arial" w:hint="eastAsia"/>
        </w:rPr>
        <w:t>。所以佛說緣起，不但說「</w:t>
      </w:r>
      <w:r w:rsidRPr="00AE6593">
        <w:rPr>
          <w:rFonts w:ascii="標楷體" w:eastAsia="標楷體" w:hAnsi="標楷體" w:cs="Arial" w:hint="eastAsia"/>
        </w:rPr>
        <w:t>此有故彼有</w:t>
      </w:r>
      <w:r w:rsidRPr="00DA3BC7">
        <w:rPr>
          <w:rFonts w:ascii="Arial" w:hAnsi="Arial" w:cs="Arial" w:hint="eastAsia"/>
        </w:rPr>
        <w:t>」的生起，而且說「</w:t>
      </w:r>
      <w:r w:rsidRPr="00AE6593">
        <w:rPr>
          <w:rFonts w:ascii="標楷體" w:eastAsia="標楷體" w:hAnsi="標楷體" w:cs="Arial" w:hint="eastAsia"/>
        </w:rPr>
        <w:t>此無故彼無</w:t>
      </w:r>
      <w:r w:rsidRPr="00DA3BC7">
        <w:rPr>
          <w:rFonts w:ascii="Arial" w:hAnsi="Arial" w:cs="Arial" w:hint="eastAsia"/>
        </w:rPr>
        <w:t>」的還滅。</w:t>
      </w:r>
    </w:p>
    <w:p w:rsidR="002B682F" w:rsidRPr="00DA3BC7" w:rsidRDefault="002B682F" w:rsidP="00AE3920">
      <w:pPr>
        <w:widowControl/>
        <w:spacing w:beforeLines="20"/>
        <w:ind w:leftChars="200" w:left="480"/>
        <w:jc w:val="both"/>
        <w:rPr>
          <w:rFonts w:ascii="Arial" w:eastAsia="SimSun" w:hAnsi="Arial" w:cs="Arial"/>
        </w:rPr>
      </w:pPr>
      <w:r w:rsidRPr="00DA3BC7">
        <w:rPr>
          <w:rFonts w:ascii="Arial" w:hAnsi="Arial" w:cs="Arial" w:hint="eastAsia"/>
          <w:b/>
        </w:rPr>
        <w:t>依他而有而生，必依他而無而滅，這是深刻的指出緣起的內在特性</w:t>
      </w:r>
      <w:r w:rsidRPr="00DA3BC7">
        <w:rPr>
          <w:rFonts w:ascii="Arial" w:hAnsi="Arial" w:cs="Arial" w:hint="eastAsia"/>
        </w:rPr>
        <w:t>。</w:t>
      </w:r>
    </w:p>
    <w:p w:rsidR="002B682F" w:rsidRPr="00DA3BC7" w:rsidRDefault="002B682F" w:rsidP="00AE3920">
      <w:pPr>
        <w:widowControl/>
        <w:spacing w:beforeLines="20"/>
        <w:ind w:leftChars="200" w:left="480"/>
        <w:jc w:val="both"/>
        <w:rPr>
          <w:rFonts w:ascii="Arial" w:eastAsia="SimSun" w:hAnsi="Arial" w:cs="Arial"/>
        </w:rPr>
      </w:pPr>
      <w:r w:rsidRPr="00DA3BC7">
        <w:rPr>
          <w:rFonts w:ascii="Arial" w:hAnsi="Arial" w:cs="Arial" w:hint="eastAsia"/>
        </w:rPr>
        <w:t>《阿含經》說：人是地水火風空識</w:t>
      </w:r>
      <w:r w:rsidRPr="00DA3BC7">
        <w:rPr>
          <w:rFonts w:ascii="新細明體" w:hAnsi="新細明體" w:cs="Arial"/>
        </w:rPr>
        <w:t>──</w:t>
      </w:r>
      <w:r w:rsidRPr="00DA3BC7">
        <w:rPr>
          <w:rFonts w:ascii="Arial" w:hAnsi="Arial" w:cs="Arial" w:hint="eastAsia"/>
        </w:rPr>
        <w:t>六大和合而成的。</w:t>
      </w:r>
      <w:r w:rsidR="000B3E66" w:rsidRPr="00DA3BC7">
        <w:rPr>
          <w:rStyle w:val="a6"/>
          <w:rFonts w:ascii="Times New Roman" w:hAnsi="Times New Roman"/>
        </w:rPr>
        <w:footnoteReference w:id="325"/>
      </w:r>
      <w:r w:rsidRPr="00DA3BC7">
        <w:rPr>
          <w:rFonts w:ascii="Arial" w:hAnsi="Arial" w:cs="Arial" w:hint="eastAsia"/>
        </w:rPr>
        <w:t>但這性能不同的六大，一失均衡，即有病、老、死的現象，這即是具體的說明了由此而生，必由此而滅。</w:t>
      </w:r>
    </w:p>
    <w:p w:rsidR="002B682F" w:rsidRPr="00DA3BC7" w:rsidRDefault="00F87FD0" w:rsidP="00AE3920">
      <w:pPr>
        <w:widowControl/>
        <w:spacing w:beforeLines="30"/>
        <w:ind w:leftChars="200" w:left="480"/>
        <w:jc w:val="both"/>
        <w:rPr>
          <w:rFonts w:ascii="Arial" w:eastAsia="SimSun" w:hAnsi="Arial" w:cs="Arial"/>
        </w:rPr>
      </w:pPr>
      <w:r w:rsidRPr="00F87FD0">
        <w:rPr>
          <w:rFonts w:ascii="Times New Roman" w:hAnsi="Times New Roman" w:hint="eastAsia"/>
          <w:b/>
          <w:color w:val="FF0000"/>
          <w:sz w:val="20"/>
          <w:szCs w:val="20"/>
          <w:highlight w:val="yellow"/>
          <w:bdr w:val="single" w:sz="4" w:space="0" w:color="auto"/>
        </w:rPr>
        <w:t>※</w:t>
      </w:r>
      <w:r w:rsidR="002B682F" w:rsidRPr="00DA3BC7">
        <w:rPr>
          <w:rFonts w:ascii="Times New Roman" w:hAnsi="Times New Roman" w:hint="eastAsia"/>
          <w:b/>
          <w:sz w:val="20"/>
          <w:szCs w:val="20"/>
          <w:bdr w:val="single" w:sz="4" w:space="0" w:color="auto"/>
        </w:rPr>
        <w:t>小結：依於緣起</w:t>
      </w:r>
      <w:r w:rsidR="00774F73">
        <w:rPr>
          <w:rFonts w:ascii="Times New Roman" w:hAnsi="Times New Roman" w:hint="eastAsia"/>
          <w:b/>
          <w:color w:val="FF0000"/>
          <w:sz w:val="20"/>
          <w:szCs w:val="20"/>
          <w:highlight w:val="yellow"/>
          <w:bdr w:val="single" w:sz="4" w:space="0" w:color="auto"/>
        </w:rPr>
        <w:t>巧</w:t>
      </w:r>
      <w:r w:rsidR="002B682F" w:rsidRPr="00DA3BC7">
        <w:rPr>
          <w:rFonts w:ascii="Times New Roman" w:hAnsi="Times New Roman" w:hint="eastAsia"/>
          <w:b/>
          <w:sz w:val="20"/>
          <w:szCs w:val="20"/>
          <w:bdr w:val="single" w:sz="4" w:space="0" w:color="auto"/>
        </w:rPr>
        <w:t>立生死</w:t>
      </w:r>
      <w:r w:rsidR="00774F73">
        <w:rPr>
          <w:rFonts w:ascii="Times New Roman" w:hAnsi="Times New Roman" w:hint="eastAsia"/>
          <w:b/>
          <w:color w:val="FF0000"/>
          <w:sz w:val="20"/>
          <w:szCs w:val="20"/>
          <w:highlight w:val="yellow"/>
          <w:bdr w:val="single" w:sz="4" w:space="0" w:color="auto"/>
        </w:rPr>
        <w:t>、</w:t>
      </w:r>
      <w:r w:rsidR="002B682F" w:rsidRPr="00DA3BC7">
        <w:rPr>
          <w:rFonts w:ascii="Times New Roman" w:hAnsi="Times New Roman" w:hint="eastAsia"/>
          <w:b/>
          <w:sz w:val="20"/>
          <w:szCs w:val="20"/>
          <w:bdr w:val="single" w:sz="4" w:space="0" w:color="auto"/>
        </w:rPr>
        <w:t>涅槃</w:t>
      </w:r>
      <w:r w:rsidR="002B682F" w:rsidRPr="00DA3BC7">
        <w:rPr>
          <w:rFonts w:ascii="Times New Roman" w:hAnsi="Times New Roman" w:hint="eastAsia"/>
          <w:sz w:val="20"/>
          <w:szCs w:val="20"/>
        </w:rPr>
        <w:t>（</w:t>
      </w:r>
      <w:r w:rsidR="002B682F" w:rsidRPr="00DA3BC7">
        <w:rPr>
          <w:rFonts w:ascii="Times New Roman" w:hAnsi="Times New Roman"/>
          <w:sz w:val="20"/>
          <w:szCs w:val="20"/>
        </w:rPr>
        <w:t>p.6</w:t>
      </w:r>
      <w:r w:rsidR="002B682F" w:rsidRPr="00DA3BC7">
        <w:rPr>
          <w:rFonts w:ascii="Times New Roman" w:eastAsia="SimSun" w:hAnsi="Times New Roman"/>
          <w:sz w:val="20"/>
          <w:szCs w:val="20"/>
        </w:rPr>
        <w:t>2</w:t>
      </w:r>
      <w:r w:rsidR="002B682F" w:rsidRPr="00DA3BC7">
        <w:rPr>
          <w:rFonts w:ascii="Times New Roman" w:hAnsi="Times New Roman" w:hint="eastAsia"/>
          <w:sz w:val="20"/>
          <w:szCs w:val="20"/>
        </w:rPr>
        <w:t>）</w:t>
      </w:r>
    </w:p>
    <w:p w:rsidR="002B682F" w:rsidRPr="00DA3BC7" w:rsidRDefault="002B682F" w:rsidP="008E2BBC">
      <w:pPr>
        <w:widowControl/>
        <w:ind w:leftChars="200" w:left="480"/>
        <w:jc w:val="both"/>
        <w:rPr>
          <w:rFonts w:ascii="Arial" w:hAnsi="Arial" w:cs="Arial"/>
        </w:rPr>
      </w:pPr>
      <w:r w:rsidRPr="00DA3BC7">
        <w:rPr>
          <w:rFonts w:ascii="Arial" w:hAnsi="Arial" w:cs="Arial" w:hint="eastAsia"/>
        </w:rPr>
        <w:t>所以緣起法有此二大定律：即</w:t>
      </w:r>
      <w:r w:rsidRPr="00DA3BC7">
        <w:rPr>
          <w:rFonts w:ascii="Arial" w:hAnsi="Arial" w:cs="Arial" w:hint="eastAsia"/>
          <w:b/>
        </w:rPr>
        <w:t>相依相生的流轉律</w:t>
      </w:r>
      <w:r w:rsidRPr="00DA3BC7">
        <w:rPr>
          <w:rFonts w:ascii="Arial" w:hAnsi="Arial" w:cs="Arial" w:hint="eastAsia"/>
        </w:rPr>
        <w:t>，又相反的有</w:t>
      </w:r>
      <w:r w:rsidRPr="00DA3BC7">
        <w:rPr>
          <w:rFonts w:ascii="Arial" w:hAnsi="Arial" w:cs="Arial" w:hint="eastAsia"/>
          <w:b/>
        </w:rPr>
        <w:t>相依相滅的還滅律</w:t>
      </w:r>
      <w:r w:rsidRPr="00DA3BC7">
        <w:rPr>
          <w:rFonts w:ascii="Arial" w:hAnsi="Arial" w:cs="Arial" w:hint="eastAsia"/>
        </w:rPr>
        <w:t>。</w:t>
      </w:r>
    </w:p>
    <w:p w:rsidR="002B682F" w:rsidRPr="00DA3BC7" w:rsidRDefault="002B682F" w:rsidP="00AE3920">
      <w:pPr>
        <w:widowControl/>
        <w:spacing w:beforeLines="20"/>
        <w:ind w:leftChars="200" w:left="480"/>
        <w:jc w:val="both"/>
        <w:rPr>
          <w:rFonts w:ascii="Times New Roman" w:hAnsi="Times New Roman"/>
        </w:rPr>
      </w:pPr>
      <w:r w:rsidRPr="00DA3BC7">
        <w:rPr>
          <w:rFonts w:ascii="Arial" w:hAnsi="Arial" w:cs="Arial" w:hint="eastAsia"/>
        </w:rPr>
        <w:t>依於</w:t>
      </w:r>
      <w:r w:rsidRPr="00DA3BC7">
        <w:rPr>
          <w:rFonts w:ascii="Arial" w:hAnsi="Arial" w:cs="Arial" w:hint="eastAsia"/>
          <w:b/>
        </w:rPr>
        <w:t>緣起</w:t>
      </w:r>
      <w:r w:rsidRPr="00DA3BC7">
        <w:rPr>
          <w:rFonts w:ascii="Arial" w:hAnsi="Arial" w:cs="Arial" w:hint="eastAsia"/>
        </w:rPr>
        <w:t>，成立</w:t>
      </w:r>
      <w:r w:rsidRPr="00DA3BC7">
        <w:rPr>
          <w:rFonts w:ascii="Arial" w:hAnsi="Arial" w:cs="Arial" w:hint="eastAsia"/>
          <w:b/>
        </w:rPr>
        <w:t>生死</w:t>
      </w:r>
      <w:r w:rsidRPr="00DA3BC7">
        <w:rPr>
          <w:rFonts w:ascii="Arial" w:hAnsi="Arial" w:cs="Arial" w:hint="eastAsia"/>
        </w:rPr>
        <w:t>，也即依之成立</w:t>
      </w:r>
      <w:r w:rsidRPr="00DA3BC7">
        <w:rPr>
          <w:rFonts w:ascii="Arial" w:hAnsi="Arial" w:cs="Arial" w:hint="eastAsia"/>
          <w:b/>
        </w:rPr>
        <w:t>涅槃</w:t>
      </w:r>
      <w:r w:rsidRPr="00DA3BC7">
        <w:rPr>
          <w:rFonts w:ascii="Arial" w:hAnsi="Arial" w:cs="Arial" w:hint="eastAsia"/>
        </w:rPr>
        <w:t>，佛法是何等善巧！</w:t>
      </w:r>
    </w:p>
    <w:p w:rsidR="002B682F" w:rsidRPr="00DA3BC7" w:rsidRDefault="002B682F" w:rsidP="00AE3920">
      <w:pPr>
        <w:widowControl/>
        <w:spacing w:beforeLines="30"/>
        <w:ind w:leftChars="100" w:left="240"/>
        <w:jc w:val="both"/>
        <w:rPr>
          <w:rFonts w:ascii="Times Ext Roman" w:hAnsi="Times Ext Roman" w:cs="Times Ext Roman"/>
          <w:b/>
          <w:sz w:val="20"/>
          <w:szCs w:val="20"/>
          <w:bdr w:val="single" w:sz="4" w:space="0" w:color="auto"/>
        </w:rPr>
      </w:pPr>
      <w:r w:rsidRPr="00DA3BC7">
        <w:rPr>
          <w:rFonts w:ascii="Times New Roman" w:hAnsi="Times New Roman" w:hint="eastAsia"/>
          <w:b/>
          <w:sz w:val="20"/>
          <w:szCs w:val="20"/>
          <w:bdr w:val="single" w:sz="4" w:space="0" w:color="auto"/>
        </w:rPr>
        <w:t>二、</w:t>
      </w:r>
      <w:r w:rsidRPr="00DA3BC7">
        <w:rPr>
          <w:rFonts w:ascii="新細明體" w:hAnsi="新細明體" w:cs="Times Ext Roman" w:hint="eastAsia"/>
          <w:b/>
          <w:sz w:val="20"/>
          <w:szCs w:val="20"/>
          <w:bdr w:val="single" w:sz="4" w:space="0" w:color="auto"/>
        </w:rPr>
        <w:t>序列的必然性</w:t>
      </w:r>
      <w:r w:rsidRPr="00DA3BC7">
        <w:rPr>
          <w:rFonts w:ascii="Times New Roman" w:hAnsi="Times New Roman" w:hint="eastAsia"/>
          <w:sz w:val="20"/>
          <w:szCs w:val="20"/>
        </w:rPr>
        <w:t>（</w:t>
      </w:r>
      <w:r w:rsidRPr="00DA3BC7">
        <w:rPr>
          <w:rFonts w:ascii="Times New Roman" w:hAnsi="Times New Roman"/>
          <w:sz w:val="20"/>
          <w:szCs w:val="20"/>
        </w:rPr>
        <w:t>pp.62-63</w:t>
      </w:r>
      <w:r w:rsidRPr="00DA3BC7">
        <w:rPr>
          <w:rFonts w:ascii="Times New Roman" w:hAnsi="Times New Roman" w:hint="eastAsia"/>
          <w:sz w:val="20"/>
          <w:szCs w:val="20"/>
        </w:rPr>
        <w:t>）</w:t>
      </w:r>
    </w:p>
    <w:p w:rsidR="002B682F" w:rsidRPr="00DA3BC7" w:rsidRDefault="002B682F" w:rsidP="008E2BBC">
      <w:pPr>
        <w:widowControl/>
        <w:ind w:leftChars="100" w:left="240"/>
        <w:jc w:val="both"/>
        <w:rPr>
          <w:rFonts w:ascii="Arial" w:hAnsi="Arial" w:cs="Arial"/>
        </w:rPr>
      </w:pPr>
      <w:r w:rsidRPr="00DA3BC7">
        <w:rPr>
          <w:rFonts w:ascii="Arial" w:hAnsi="Arial" w:cs="Arial" w:hint="eastAsia"/>
        </w:rPr>
        <w:t>二、序列的必然性：</w:t>
      </w:r>
    </w:p>
    <w:p w:rsidR="002B682F" w:rsidRPr="00DA3BC7" w:rsidRDefault="002B682F" w:rsidP="00AE3920">
      <w:pPr>
        <w:widowControl/>
        <w:spacing w:beforeLines="30"/>
        <w:ind w:leftChars="150" w:left="360"/>
        <w:jc w:val="both"/>
        <w:rPr>
          <w:rFonts w:ascii="Times Ext Roman" w:eastAsia="SimSun" w:hAnsi="Times Ext Roman" w:cs="Times Ext Roman"/>
          <w:b/>
          <w:sz w:val="20"/>
          <w:szCs w:val="20"/>
          <w:bdr w:val="single" w:sz="4" w:space="0" w:color="auto"/>
        </w:rPr>
      </w:pPr>
      <w:r w:rsidRPr="00DA3BC7">
        <w:rPr>
          <w:rFonts w:ascii="新細明體" w:hAnsi="新細明體" w:cs="Times Ext Roman" w:hint="eastAsia"/>
          <w:b/>
          <w:sz w:val="20"/>
          <w:szCs w:val="20"/>
          <w:bdr w:val="single" w:sz="4" w:space="0" w:color="auto"/>
        </w:rPr>
        <w:t>（</w:t>
      </w:r>
      <w:r w:rsidRPr="00DA3BC7">
        <w:rPr>
          <w:rFonts w:ascii="Times New Roman" w:hAnsi="Times New Roman" w:hint="eastAsia"/>
          <w:b/>
          <w:sz w:val="20"/>
          <w:szCs w:val="20"/>
          <w:bdr w:val="single" w:sz="4" w:space="0" w:color="auto"/>
        </w:rPr>
        <w:t>一</w:t>
      </w:r>
      <w:r w:rsidRPr="00DA3BC7">
        <w:rPr>
          <w:rFonts w:ascii="新細明體" w:hAnsi="新細明體" w:cs="Times Ext Roman" w:hint="eastAsia"/>
          <w:b/>
          <w:sz w:val="20"/>
          <w:szCs w:val="20"/>
          <w:bdr w:val="single" w:sz="4" w:space="0" w:color="auto"/>
        </w:rPr>
        <w:t>）</w:t>
      </w:r>
      <w:r w:rsidR="00774F73">
        <w:rPr>
          <w:rFonts w:ascii="新細明體" w:hAnsi="新細明體" w:cs="Times Ext Roman" w:hint="eastAsia"/>
          <w:b/>
          <w:color w:val="FF0000"/>
          <w:sz w:val="20"/>
          <w:szCs w:val="20"/>
          <w:highlight w:val="yellow"/>
          <w:bdr w:val="single" w:sz="4" w:space="0" w:color="auto"/>
        </w:rPr>
        <w:t>約「聖典之意」</w:t>
      </w:r>
      <w:r w:rsidRPr="00DA3BC7">
        <w:rPr>
          <w:rFonts w:ascii="Times New Roman" w:hAnsi="Times New Roman" w:hint="eastAsia"/>
          <w:sz w:val="20"/>
          <w:szCs w:val="20"/>
        </w:rPr>
        <w:t>（</w:t>
      </w:r>
      <w:r w:rsidRPr="00DA3BC7">
        <w:rPr>
          <w:rFonts w:ascii="Times New Roman" w:hAnsi="Times New Roman"/>
          <w:sz w:val="20"/>
          <w:szCs w:val="20"/>
        </w:rPr>
        <w:t>pp.6</w:t>
      </w:r>
      <w:r w:rsidRPr="00DA3BC7">
        <w:rPr>
          <w:rFonts w:ascii="Times New Roman" w:eastAsia="SimSun" w:hAnsi="Times New Roman"/>
          <w:sz w:val="20"/>
          <w:szCs w:val="20"/>
        </w:rPr>
        <w:t>2</w:t>
      </w:r>
      <w:r w:rsidRPr="00DA3BC7">
        <w:rPr>
          <w:rFonts w:ascii="Times New Roman" w:hAnsi="Times New Roman"/>
          <w:sz w:val="20"/>
          <w:szCs w:val="20"/>
        </w:rPr>
        <w:t>-6</w:t>
      </w:r>
      <w:r w:rsidRPr="00DA3BC7">
        <w:rPr>
          <w:rFonts w:ascii="Times New Roman" w:eastAsia="SimSun" w:hAnsi="Times New Roman"/>
          <w:sz w:val="20"/>
          <w:szCs w:val="20"/>
        </w:rPr>
        <w:t>3</w:t>
      </w:r>
      <w:r w:rsidRPr="00DA3BC7">
        <w:rPr>
          <w:rFonts w:ascii="Times New Roman" w:hAnsi="Times New Roman" w:hint="eastAsia"/>
          <w:sz w:val="20"/>
          <w:szCs w:val="20"/>
        </w:rPr>
        <w:t>）</w:t>
      </w:r>
    </w:p>
    <w:p w:rsidR="002B682F" w:rsidRPr="00DA3BC7" w:rsidRDefault="002B682F" w:rsidP="008E2BBC">
      <w:pPr>
        <w:widowControl/>
        <w:ind w:leftChars="150" w:left="360"/>
        <w:jc w:val="both"/>
        <w:rPr>
          <w:rFonts w:ascii="Arial" w:eastAsia="SimSun" w:hAnsi="Arial" w:cs="Arial"/>
        </w:rPr>
      </w:pPr>
      <w:r w:rsidRPr="00DA3BC7">
        <w:rPr>
          <w:rFonts w:ascii="Arial" w:hAnsi="Arial" w:cs="Arial" w:hint="eastAsia"/>
        </w:rPr>
        <w:lastRenderedPageBreak/>
        <w:t>佛法說緣起，不但說明「此故彼」的因果關係，而且在因果中，抉出因果生滅的序列必然性。</w:t>
      </w:r>
    </w:p>
    <w:p w:rsidR="002B682F" w:rsidRPr="00DA3BC7" w:rsidRDefault="002B682F" w:rsidP="00AE3920">
      <w:pPr>
        <w:widowControl/>
        <w:spacing w:beforeLines="20"/>
        <w:ind w:leftChars="150" w:left="360"/>
        <w:jc w:val="both"/>
        <w:rPr>
          <w:rFonts w:ascii="Arial" w:hAnsi="Arial" w:cs="Arial"/>
        </w:rPr>
      </w:pPr>
      <w:r w:rsidRPr="00DA3BC7">
        <w:rPr>
          <w:rFonts w:ascii="Arial" w:hAnsi="Arial" w:cs="Arial" w:hint="eastAsia"/>
        </w:rPr>
        <w:t>如悟入十二有支，這決不止於別別的因果事實，而是</w:t>
      </w:r>
      <w:r w:rsidRPr="00DA3BC7">
        <w:rPr>
          <w:rFonts w:ascii="Arial" w:hAnsi="Arial" w:cs="Arial" w:hint="eastAsia"/>
          <w:b/>
        </w:rPr>
        <w:t>從一切眾生無限複雜的因果事相中，發見</w:t>
      </w:r>
      <w:r w:rsidRPr="00DA3BC7">
        <w:rPr>
          <w:rStyle w:val="a6"/>
          <w:rFonts w:ascii="Times New Roman" w:hAnsi="Times New Roman"/>
        </w:rPr>
        <w:footnoteReference w:id="326"/>
      </w:r>
      <w:r w:rsidRPr="00DA3BC7">
        <w:rPr>
          <w:rFonts w:ascii="Arial" w:hAnsi="Arial" w:cs="Arial" w:hint="eastAsia"/>
          <w:b/>
        </w:rPr>
        <w:t>此因果的必然程序</w:t>
      </w:r>
      <w:r w:rsidRPr="00DA3BC7">
        <w:rPr>
          <w:rFonts w:ascii="Arial" w:hAnsi="Arial" w:cs="Arial" w:hint="eastAsia"/>
        </w:rPr>
        <w:t>。如發見日月運行的軌道，看出社會發展的必然階段。</w:t>
      </w:r>
    </w:p>
    <w:p w:rsidR="002B682F" w:rsidRPr="00DA3BC7" w:rsidRDefault="002B682F" w:rsidP="00AE3920">
      <w:pPr>
        <w:widowControl/>
        <w:spacing w:beforeLines="20"/>
        <w:ind w:leftChars="150" w:left="360"/>
        <w:jc w:val="both"/>
        <w:rPr>
          <w:rFonts w:ascii="Times New Roman" w:hAnsi="Times New Roman"/>
          <w:spacing w:val="-6"/>
        </w:rPr>
      </w:pPr>
      <w:r w:rsidRPr="00DA3BC7">
        <w:rPr>
          <w:rFonts w:ascii="Arial" w:hAnsi="Arial" w:cs="Arial" w:hint="eastAsia"/>
          <w:spacing w:val="-6"/>
        </w:rPr>
        <w:t>從前，大眾學者特別重視這點，因此說緣起是不變（無為）的因果軌律</w:t>
      </w:r>
      <w:r w:rsidRPr="00DA3BC7">
        <w:rPr>
          <w:rStyle w:val="a6"/>
          <w:rFonts w:ascii="Times New Roman" w:hAnsi="Times New Roman"/>
          <w:spacing w:val="-6"/>
        </w:rPr>
        <w:footnoteReference w:id="327"/>
      </w:r>
      <w:r w:rsidRPr="00DA3BC7">
        <w:rPr>
          <w:rFonts w:ascii="Times New Roman" w:hAnsi="Times New Roman"/>
          <w:spacing w:val="-6"/>
        </w:rPr>
        <w:t>。</w:t>
      </w:r>
      <w:r w:rsidRPr="00DA3BC7">
        <w:rPr>
          <w:rStyle w:val="a6"/>
          <w:rFonts w:ascii="Times New Roman" w:hAnsi="Times New Roman"/>
          <w:spacing w:val="-6"/>
        </w:rPr>
        <w:footnoteReference w:id="328"/>
      </w:r>
    </w:p>
    <w:p w:rsidR="002B682F" w:rsidRPr="00DA3BC7" w:rsidRDefault="002B682F" w:rsidP="00AE3920">
      <w:pPr>
        <w:widowControl/>
        <w:spacing w:beforeLines="20"/>
        <w:ind w:leftChars="150" w:left="360"/>
        <w:jc w:val="both"/>
        <w:rPr>
          <w:rFonts w:ascii="Arial" w:eastAsia="SimSun" w:hAnsi="Arial" w:cs="Arial"/>
        </w:rPr>
      </w:pPr>
      <w:r w:rsidRPr="00DA3BC7">
        <w:rPr>
          <w:rFonts w:ascii="Arial" w:hAnsi="Arial" w:cs="Arial" w:hint="eastAsia"/>
        </w:rPr>
        <w:t>佛說「</w:t>
      </w:r>
      <w:r w:rsidRPr="00DA3BC7">
        <w:rPr>
          <w:rFonts w:ascii="標楷體" w:eastAsia="標楷體" w:hAnsi="標楷體" w:cs="Arial" w:hint="eastAsia"/>
        </w:rPr>
        <w:t>得法住智</w:t>
      </w:r>
      <w:r w:rsidRPr="00DA3BC7">
        <w:rPr>
          <w:rFonts w:ascii="Arial" w:hAnsi="Arial" w:cs="Arial" w:hint="eastAsia"/>
        </w:rPr>
        <w:t>」</w:t>
      </w:r>
      <w:r w:rsidRPr="00DA3BC7">
        <w:rPr>
          <w:rStyle w:val="a6"/>
          <w:rFonts w:ascii="Times New Roman" w:hAnsi="Times New Roman"/>
        </w:rPr>
        <w:footnoteReference w:id="329"/>
      </w:r>
      <w:r w:rsidRPr="00DA3BC7">
        <w:rPr>
          <w:rFonts w:ascii="Arial" w:hAnsi="Arial" w:cs="Arial" w:hint="eastAsia"/>
        </w:rPr>
        <w:t>；經說「</w:t>
      </w:r>
      <w:r w:rsidRPr="00DA3BC7">
        <w:rPr>
          <w:rFonts w:ascii="標楷體" w:eastAsia="標楷體" w:hAnsi="標楷體" w:cs="Arial" w:hint="eastAsia"/>
        </w:rPr>
        <w:t>是法住法位，世間相常住</w:t>
      </w:r>
      <w:r w:rsidRPr="00DA3BC7">
        <w:rPr>
          <w:rFonts w:ascii="Arial" w:hAnsi="Arial" w:cs="Arial" w:hint="eastAsia"/>
        </w:rPr>
        <w:t>」</w:t>
      </w:r>
      <w:r w:rsidRPr="00DA3BC7">
        <w:rPr>
          <w:rStyle w:val="a6"/>
          <w:rFonts w:ascii="Times New Roman" w:hAnsi="Times New Roman"/>
        </w:rPr>
        <w:footnoteReference w:id="330"/>
      </w:r>
      <w:r w:rsidRPr="00DA3BC7">
        <w:rPr>
          <w:rFonts w:ascii="Arial" w:hAnsi="Arial" w:cs="Arial" w:hint="eastAsia"/>
        </w:rPr>
        <w:t>，都是說明緣起序列的必然性。</w:t>
      </w:r>
    </w:p>
    <w:p w:rsidR="002B682F" w:rsidRPr="00DA3BC7" w:rsidRDefault="002B682F" w:rsidP="00AE3920">
      <w:pPr>
        <w:widowControl/>
        <w:spacing w:beforeLines="30"/>
        <w:ind w:leftChars="150" w:left="360"/>
        <w:jc w:val="both"/>
        <w:rPr>
          <w:rFonts w:ascii="Times Ext Roman" w:eastAsia="SimSun" w:hAnsi="Times Ext Roman" w:cs="Times Ext Roman"/>
          <w:b/>
          <w:sz w:val="20"/>
          <w:szCs w:val="20"/>
          <w:bdr w:val="single" w:sz="4" w:space="0" w:color="auto"/>
        </w:rPr>
      </w:pPr>
      <w:r w:rsidRPr="00DA3BC7">
        <w:rPr>
          <w:rFonts w:ascii="新細明體" w:hAnsi="新細明體" w:cs="Times Ext Roman" w:hint="eastAsia"/>
          <w:b/>
          <w:sz w:val="20"/>
          <w:szCs w:val="20"/>
          <w:bdr w:val="single" w:sz="4" w:space="0" w:color="auto"/>
        </w:rPr>
        <w:lastRenderedPageBreak/>
        <w:t>（</w:t>
      </w:r>
      <w:r w:rsidRPr="00DA3BC7">
        <w:rPr>
          <w:rFonts w:ascii="Times New Roman" w:hAnsi="Times New Roman" w:hint="eastAsia"/>
          <w:b/>
          <w:sz w:val="20"/>
          <w:szCs w:val="20"/>
          <w:bdr w:val="single" w:sz="4" w:space="0" w:color="auto"/>
        </w:rPr>
        <w:t>二</w:t>
      </w:r>
      <w:r w:rsidRPr="00DA3BC7">
        <w:rPr>
          <w:rFonts w:ascii="新細明體" w:hAnsi="新細明體" w:cs="Times Ext Roman" w:hint="eastAsia"/>
          <w:b/>
          <w:sz w:val="20"/>
          <w:szCs w:val="20"/>
          <w:bdr w:val="single" w:sz="4" w:space="0" w:color="auto"/>
        </w:rPr>
        <w:t>）依中觀義</w:t>
      </w:r>
      <w:r w:rsidRPr="00774F73">
        <w:rPr>
          <w:rFonts w:ascii="新細明體" w:hAnsi="新細明體" w:cs="Times Ext Roman" w:hint="eastAsia"/>
          <w:b/>
          <w:sz w:val="20"/>
          <w:szCs w:val="20"/>
          <w:highlight w:val="yellow"/>
          <w:bdr w:val="single" w:sz="4" w:space="0" w:color="auto"/>
        </w:rPr>
        <w:t>說</w:t>
      </w:r>
      <w:r w:rsidRPr="00DA3BC7">
        <w:rPr>
          <w:rFonts w:ascii="Times New Roman" w:hAnsi="Times New Roman" w:hint="eastAsia"/>
          <w:sz w:val="20"/>
          <w:szCs w:val="20"/>
        </w:rPr>
        <w:t>（</w:t>
      </w:r>
      <w:r w:rsidRPr="00DA3BC7">
        <w:rPr>
          <w:rFonts w:ascii="Times New Roman" w:hAnsi="Times New Roman"/>
          <w:sz w:val="20"/>
          <w:szCs w:val="20"/>
        </w:rPr>
        <w:t>p.6</w:t>
      </w:r>
      <w:r w:rsidRPr="00DA3BC7">
        <w:rPr>
          <w:rFonts w:ascii="Times New Roman" w:eastAsia="SimSun" w:hAnsi="Times New Roman"/>
          <w:sz w:val="20"/>
          <w:szCs w:val="20"/>
        </w:rPr>
        <w:t>3</w:t>
      </w:r>
      <w:r w:rsidRPr="00DA3BC7">
        <w:rPr>
          <w:rFonts w:ascii="Times New Roman" w:hAnsi="Times New Roman" w:hint="eastAsia"/>
          <w:sz w:val="20"/>
          <w:szCs w:val="20"/>
        </w:rPr>
        <w:t>）</w:t>
      </w:r>
    </w:p>
    <w:p w:rsidR="002B682F" w:rsidRPr="00DA3BC7" w:rsidRDefault="002B682F" w:rsidP="008E2BBC">
      <w:pPr>
        <w:widowControl/>
        <w:ind w:leftChars="150" w:left="360"/>
        <w:jc w:val="both"/>
        <w:rPr>
          <w:rFonts w:ascii="Arial" w:eastAsia="SimSun" w:hAnsi="Arial" w:cs="Arial"/>
        </w:rPr>
      </w:pPr>
      <w:r w:rsidRPr="00DA3BC7">
        <w:rPr>
          <w:rFonts w:ascii="Arial" w:hAnsi="Arial" w:cs="Arial" w:hint="eastAsia"/>
        </w:rPr>
        <w:t>但依中觀義來說，緣起的序列必然性決非離事說理，</w:t>
      </w:r>
      <w:r w:rsidRPr="00DA3BC7">
        <w:rPr>
          <w:rFonts w:hint="eastAsia"/>
        </w:rPr>
        <w:t>是</w:t>
      </w:r>
      <w:r w:rsidRPr="00DA3BC7">
        <w:rPr>
          <w:rFonts w:ascii="Arial" w:hAnsi="Arial" w:cs="Arial" w:hint="eastAsia"/>
        </w:rPr>
        <w:t>在緣能起果的作用中，現出此必然的理則。</w:t>
      </w:r>
    </w:p>
    <w:p w:rsidR="002B682F" w:rsidRPr="00DA3BC7" w:rsidRDefault="002B682F" w:rsidP="00AE3920">
      <w:pPr>
        <w:widowControl/>
        <w:spacing w:beforeLines="20"/>
        <w:ind w:leftChars="150" w:left="360"/>
        <w:jc w:val="both"/>
        <w:rPr>
          <w:rFonts w:ascii="Arial" w:eastAsia="SimSun" w:hAnsi="Arial" w:cs="Arial"/>
        </w:rPr>
      </w:pPr>
      <w:r w:rsidRPr="00DA3BC7">
        <w:rPr>
          <w:rFonts w:ascii="Arial" w:hAnsi="Arial" w:cs="Arial" w:hint="eastAsia"/>
        </w:rPr>
        <w:t>生死相續，似乎依照此理則而發展，佛也不過發見此因果事中的理則而已。</w:t>
      </w:r>
    </w:p>
    <w:p w:rsidR="002B682F" w:rsidRPr="00DA3BC7" w:rsidRDefault="002B682F" w:rsidP="00AE3920">
      <w:pPr>
        <w:widowControl/>
        <w:spacing w:beforeLines="30"/>
        <w:ind w:leftChars="100" w:left="240"/>
        <w:jc w:val="both"/>
        <w:rPr>
          <w:rFonts w:ascii="Arial" w:eastAsia="SimSun" w:hAnsi="Arial" w:cs="Arial"/>
        </w:rPr>
      </w:pPr>
      <w:r w:rsidRPr="00DA3BC7">
        <w:rPr>
          <w:rFonts w:ascii="Times New Roman" w:hAnsi="Times New Roman" w:hint="eastAsia"/>
          <w:b/>
          <w:sz w:val="20"/>
          <w:szCs w:val="20"/>
          <w:bdr w:val="single" w:sz="4" w:space="0" w:color="auto"/>
        </w:rPr>
        <w:t>三、</w:t>
      </w:r>
      <w:r w:rsidRPr="00DA3BC7">
        <w:rPr>
          <w:rFonts w:ascii="新細明體" w:hAnsi="新細明體" w:cs="Times Ext Roman" w:hint="eastAsia"/>
          <w:b/>
          <w:sz w:val="20"/>
          <w:szCs w:val="20"/>
          <w:bdr w:val="single" w:sz="4" w:space="0" w:color="auto"/>
        </w:rPr>
        <w:t>自性的空寂性</w:t>
      </w:r>
      <w:r w:rsidRPr="00DA3BC7">
        <w:rPr>
          <w:rFonts w:ascii="Times New Roman" w:hAnsi="Times New Roman" w:hint="eastAsia"/>
          <w:sz w:val="20"/>
          <w:szCs w:val="20"/>
        </w:rPr>
        <w:t>（</w:t>
      </w:r>
      <w:r w:rsidRPr="00DA3BC7">
        <w:rPr>
          <w:rFonts w:ascii="Times New Roman" w:hAnsi="Times New Roman"/>
          <w:sz w:val="20"/>
          <w:szCs w:val="20"/>
        </w:rPr>
        <w:t>p.6</w:t>
      </w:r>
      <w:r w:rsidRPr="00DA3BC7">
        <w:rPr>
          <w:rFonts w:ascii="Times New Roman" w:eastAsia="SimSun" w:hAnsi="Times New Roman"/>
          <w:sz w:val="20"/>
          <w:szCs w:val="20"/>
        </w:rPr>
        <w:t>3</w:t>
      </w:r>
      <w:r w:rsidRPr="00DA3BC7">
        <w:rPr>
          <w:rFonts w:ascii="Times New Roman" w:hAnsi="Times New Roman" w:hint="eastAsia"/>
          <w:sz w:val="20"/>
          <w:szCs w:val="20"/>
        </w:rPr>
        <w:t>）</w:t>
      </w:r>
    </w:p>
    <w:p w:rsidR="002B682F" w:rsidRPr="00DA3BC7" w:rsidRDefault="002B682F" w:rsidP="008E2BBC">
      <w:pPr>
        <w:widowControl/>
        <w:ind w:leftChars="100" w:left="240"/>
        <w:jc w:val="both"/>
        <w:rPr>
          <w:rFonts w:ascii="Arial" w:eastAsia="SimSun" w:hAnsi="Arial" w:cs="Arial"/>
        </w:rPr>
      </w:pPr>
      <w:r w:rsidRPr="00DA3BC7">
        <w:rPr>
          <w:rFonts w:ascii="Arial" w:hAnsi="Arial" w:cs="Arial" w:hint="eastAsia"/>
        </w:rPr>
        <w:t>三、自性的空寂性：</w:t>
      </w:r>
    </w:p>
    <w:p w:rsidR="002B682F" w:rsidRPr="00DA3BC7" w:rsidRDefault="002B682F" w:rsidP="00AE3920">
      <w:pPr>
        <w:widowControl/>
        <w:spacing w:beforeLines="20"/>
        <w:ind w:leftChars="100" w:left="240"/>
        <w:jc w:val="both"/>
        <w:rPr>
          <w:rFonts w:ascii="Arial" w:eastAsia="SimSun" w:hAnsi="Arial" w:cs="Arial"/>
        </w:rPr>
      </w:pPr>
      <w:r w:rsidRPr="00DA3BC7">
        <w:rPr>
          <w:rFonts w:ascii="Arial" w:hAnsi="Arial" w:cs="Arial" w:hint="eastAsia"/>
        </w:rPr>
        <w:t>從緣起果的作用，有相關的因待性，有序列的必然性。此因待與必然，不但是如此相生，也如此還滅。</w:t>
      </w:r>
    </w:p>
    <w:p w:rsidR="002B682F" w:rsidRPr="00DA3BC7" w:rsidRDefault="002B682F" w:rsidP="00AE3920">
      <w:pPr>
        <w:widowControl/>
        <w:spacing w:beforeLines="20"/>
        <w:ind w:leftChars="100" w:left="240"/>
        <w:jc w:val="both"/>
        <w:rPr>
          <w:rFonts w:ascii="Arial" w:hAnsi="Arial" w:cs="Arial"/>
        </w:rPr>
      </w:pPr>
      <w:r w:rsidRPr="00DA3BC7">
        <w:rPr>
          <w:rFonts w:ascii="Arial" w:hAnsi="Arial" w:cs="Arial" w:hint="eastAsia"/>
        </w:rPr>
        <w:t>如進一層考察，一切法的如此生滅、如此次第，無不由於眾緣。那麼，此有無生滅的一切法，即沒有自體，即非自己如此的。這即能從如此生滅、次第中，悟入此是即空的諸行，並非是實有實無實生實滅的。</w:t>
      </w:r>
    </w:p>
    <w:p w:rsidR="002B682F" w:rsidRPr="00DA3BC7" w:rsidRDefault="002B682F" w:rsidP="00AE3920">
      <w:pPr>
        <w:widowControl/>
        <w:spacing w:beforeLines="20"/>
        <w:ind w:leftChars="100" w:left="240"/>
        <w:jc w:val="both"/>
        <w:rPr>
          <w:rFonts w:ascii="Times New Roman" w:hAnsi="Times New Roman"/>
        </w:rPr>
      </w:pPr>
      <w:r w:rsidRPr="00DA3BC7">
        <w:rPr>
          <w:rFonts w:ascii="Arial" w:hAnsi="Arial" w:cs="Arial" w:hint="eastAsia"/>
        </w:rPr>
        <w:t>彼此因待，前後必然，世間的因果幻網，似乎有跡可尋，而自性空寂，因果幻網即當體絕待，了無蹤跡。所以說：緣起是「宛然</w:t>
      </w:r>
      <w:r w:rsidRPr="00DA3BC7">
        <w:rPr>
          <w:rStyle w:val="a6"/>
          <w:rFonts w:ascii="Times New Roman" w:hAnsi="Times New Roman"/>
        </w:rPr>
        <w:footnoteReference w:id="331"/>
      </w:r>
      <w:r w:rsidRPr="00DA3BC7">
        <w:rPr>
          <w:rFonts w:ascii="Arial" w:hAnsi="Arial" w:cs="Arial" w:hint="eastAsia"/>
        </w:rPr>
        <w:t>有而畢竟空，畢竟空而宛然有</w:t>
      </w:r>
      <w:r w:rsidR="005C68C9" w:rsidRPr="00DA3BC7">
        <w:rPr>
          <w:rFonts w:ascii="Arial" w:hAnsi="Arial" w:cs="Arial" w:hint="eastAsia"/>
        </w:rPr>
        <w:t>。」</w:t>
      </w:r>
    </w:p>
    <w:p w:rsidR="00F87FD0" w:rsidRDefault="00F87FD0" w:rsidP="00AE3920">
      <w:pPr>
        <w:spacing w:beforeLines="100"/>
        <w:jc w:val="both"/>
        <w:rPr>
          <w:rFonts w:ascii="新細明體" w:hAnsi="新細明體"/>
          <w:b/>
        </w:rPr>
      </w:pPr>
    </w:p>
    <w:p w:rsidR="00F87FD0" w:rsidRDefault="00F87FD0" w:rsidP="00AE3920">
      <w:pPr>
        <w:spacing w:beforeLines="100"/>
        <w:jc w:val="both"/>
        <w:rPr>
          <w:rFonts w:ascii="新細明體" w:hAnsi="新細明體"/>
          <w:b/>
        </w:rPr>
      </w:pPr>
    </w:p>
    <w:p w:rsidR="00F87FD0" w:rsidRDefault="00F87FD0" w:rsidP="00AE3920">
      <w:pPr>
        <w:spacing w:beforeLines="100"/>
        <w:jc w:val="both"/>
        <w:rPr>
          <w:rFonts w:ascii="新細明體" w:hAnsi="新細明體"/>
          <w:b/>
        </w:rPr>
      </w:pPr>
    </w:p>
    <w:p w:rsidR="00F87FD0" w:rsidRDefault="00F87FD0" w:rsidP="00AE3920">
      <w:pPr>
        <w:spacing w:beforeLines="100"/>
        <w:jc w:val="both"/>
        <w:rPr>
          <w:rFonts w:ascii="新細明體" w:hAnsi="新細明體"/>
          <w:b/>
        </w:rPr>
      </w:pPr>
    </w:p>
    <w:p w:rsidR="00F87FD0" w:rsidRDefault="00F87FD0" w:rsidP="00AE3920">
      <w:pPr>
        <w:spacing w:beforeLines="100"/>
        <w:jc w:val="both"/>
        <w:rPr>
          <w:rFonts w:ascii="新細明體" w:hAnsi="新細明體"/>
          <w:b/>
        </w:rPr>
      </w:pPr>
    </w:p>
    <w:p w:rsidR="002B682F" w:rsidRPr="00DA3BC7" w:rsidRDefault="00225C01" w:rsidP="00AE3920">
      <w:pPr>
        <w:spacing w:beforeLines="100"/>
        <w:jc w:val="both"/>
        <w:rPr>
          <w:rFonts w:ascii="Times New Roman" w:hAnsi="Times New Roman"/>
          <w:b/>
        </w:rPr>
      </w:pPr>
      <w:r>
        <w:rPr>
          <w:rFonts w:ascii="新細明體" w:hAnsi="新細明體"/>
          <w:b/>
        </w:rPr>
        <w:br w:type="column"/>
      </w:r>
      <w:r w:rsidR="002B682F" w:rsidRPr="00DA3BC7">
        <w:rPr>
          <w:rFonts w:ascii="新細明體" w:hAnsi="新細明體" w:hint="eastAsia"/>
          <w:b/>
        </w:rPr>
        <w:lastRenderedPageBreak/>
        <w:t>附錄：印順法師，《成佛之道》（增注本），</w:t>
      </w:r>
      <w:r w:rsidR="002B682F" w:rsidRPr="00DA3BC7">
        <w:rPr>
          <w:rFonts w:ascii="Times New Roman" w:eastAsia="SimSun" w:hAnsi="Times New Roman"/>
          <w:b/>
        </w:rPr>
        <w:t>p.1</w:t>
      </w:r>
      <w:r w:rsidR="002B682F" w:rsidRPr="00DA3BC7">
        <w:rPr>
          <w:rFonts w:ascii="Times New Roman" w:hAnsi="Times New Roman" w:hint="eastAsia"/>
          <w:b/>
        </w:rPr>
        <w:t>72</w:t>
      </w:r>
      <w:r w:rsidR="002B682F" w:rsidRPr="00DA3BC7">
        <w:rPr>
          <w:rFonts w:ascii="Times New Roman" w:hAnsi="Times New Roman" w:hint="eastAsia"/>
          <w:b/>
        </w:rPr>
        <w:t>：</w:t>
      </w:r>
    </w:p>
    <w:p w:rsidR="002B682F" w:rsidRPr="00DA3BC7" w:rsidRDefault="00AE3920" w:rsidP="008E2BBC">
      <w:pPr>
        <w:ind w:firstLine="480"/>
        <w:jc w:val="both"/>
        <w:rPr>
          <w:rFonts w:ascii="新細明體" w:hAnsi="新細明體"/>
        </w:rPr>
      </w:pPr>
      <w:r w:rsidRPr="00AE3920">
        <w:rPr>
          <w:noProof/>
        </w:rPr>
        <w:pict>
          <v:line id="直線接點 64" o:spid="_x0000_s2138" style="position:absolute;left:0;text-align:left;z-index:251643392;visibility:visible;mso-wrap-distance-top:-8e-5mm;mso-wrap-distance-bottom:-8e-5mm" from="135.1pt,8.95pt" to="169.6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" o:allowincell="f"/>
        </w:pict>
      </w:r>
      <w:r w:rsidRPr="00AE3920">
        <w:rPr>
          <w:noProof/>
        </w:rPr>
        <w:pict>
          <v:group id="群組 2" o:spid="_x0000_s2133" style="position:absolute;left:0;text-align:left;margin-left:225.1pt;margin-top:9.8pt;width:27.2pt;height:36pt;z-index:251645440" coordsize="345831,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">
            <v:line id="直線接點 65" o:spid="_x0000_s2137" style="position:absolute;visibility:visible" from="0,0" to="1143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"/>
            <v:line id="直線接點 66" o:spid="_x0000_s2136" style="position:absolute;visibility:visible" from="111369,0" to="111369,45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"/>
            <v:line id="直線接點 56" o:spid="_x0000_s2135" style="position:absolute;flip:x;visibility:visible" from="0,457200" to="114300,45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"/>
            <v:line id="直線接點 59" o:spid="_x0000_s2134" style="position:absolute;visibility:visible" from="117231,228600" to="345831,228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2XxgAAANsAAAAPAAAAZHJzL2Rvd25yZXYueG1sRI9Ba8JA&#10;FITvgv9heYI33Vhp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Q1w9l8YAAADbAAAA&#10;DwAAAAAAAAAAAAAAAAAHAgAAZHJzL2Rvd25yZXYueG1sUEsFBgAAAAADAAMAtwAAAPoCAAAAAA==&#10;"/>
          </v:group>
        </w:pict>
      </w:r>
      <w:r w:rsidRPr="00AE3920">
        <w:rPr>
          <w:noProof/>
        </w:rPr>
        <w:pict>
          <v:group id="群組 1" o:spid="_x0000_s2128" style="position:absolute;left:0;text-align:left;margin-left:86.5pt;margin-top:8.85pt;width:18.2pt;height:36pt;z-index:251642368" coordsize="231531,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">
            <v:line id="直線接點 67" o:spid="_x0000_s2132" style="position:absolute;visibility:visible" from="111369,0" to="111369,45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"/>
            <v:line id="直線接點 63" o:spid="_x0000_s2131" style="position:absolute;visibility:visible" from="117231,0" to="231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"/>
            <v:line id="直線接點 57" o:spid="_x0000_s2130" style="position:absolute;visibility:visible" from="117231,457200" to="231531,45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直線接點 58" o:spid="_x0000_s2129" style="position:absolute;flip:x;visibility:visible" from="0,228600" to="114300,228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"/>
          </v:group>
        </w:pict>
      </w:r>
      <w:r w:rsidR="002B682F" w:rsidRPr="00DA3BC7">
        <w:rPr>
          <w:rFonts w:eastAsia="標楷體" w:hint="eastAsia"/>
        </w:rPr>
        <w:t xml:space="preserve">　　</w:t>
      </w:r>
      <w:r w:rsidR="002B682F" w:rsidRPr="00DA3BC7">
        <w:rPr>
          <w:rFonts w:ascii="新細明體" w:hAnsi="新細明體" w:hint="eastAsia"/>
        </w:rPr>
        <w:t xml:space="preserve">　　　　　無明　　</w:t>
      </w:r>
      <w:r w:rsidR="002B682F" w:rsidRPr="00DA3BC7">
        <w:rPr>
          <w:rFonts w:ascii="Times New Roman" w:hAnsi="Times New Roman"/>
        </w:rPr>
        <w:t xml:space="preserve">   </w:t>
      </w:r>
      <w:r w:rsidR="002B682F" w:rsidRPr="00DA3BC7">
        <w:rPr>
          <w:rFonts w:ascii="新細明體" w:hAnsi="新細明體" w:hint="eastAsia"/>
        </w:rPr>
        <w:t>惑（緣）</w:t>
      </w:r>
    </w:p>
    <w:p w:rsidR="002B682F" w:rsidRPr="00DA3BC7" w:rsidRDefault="00AE3920" w:rsidP="008E2BBC">
      <w:pPr>
        <w:jc w:val="both"/>
        <w:rPr>
          <w:rFonts w:ascii="新細明體" w:hAnsi="新細明體"/>
        </w:rPr>
      </w:pPr>
      <w:r w:rsidRPr="00AE3920">
        <w:rPr>
          <w:noProof/>
        </w:rPr>
        <w:pict>
          <v:shape id="左大括弧 62" o:spid="_x0000_s2127" type="#_x0000_t87" style="position:absolute;left:0;text-align:left;margin-left:28.25pt;margin-top:8.6pt;width:18pt;height:235.3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" o:allowincell="f" adj="0,10850"/>
        </w:pict>
      </w:r>
      <w:r w:rsidRPr="00AE3920">
        <w:rPr>
          <w:noProof/>
        </w:rPr>
        <w:pict>
          <v:group id="群組 3" o:spid="_x0000_s2122" style="position:absolute;left:0;text-align:left;margin-left:277.3pt;margin-top:8.2pt;width:17.75pt;height:1in;z-index:251655680" coordsize="2256,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">
            <v:line id="直線接點 60" o:spid="_x0000_s2126" style="position:absolute;visibility:visible" from="0,0" to="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line id="直線接點 61" o:spid="_x0000_s2125" style="position:absolute;visibility:visible" from="1113,0" to="1113,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v:line id="直線接點 48" o:spid="_x0000_s2124" style="position:absolute;flip:x;visibility:visible" from="0,9144" to="1143,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"/>
            <v:line id="直線接點 53" o:spid="_x0000_s2123" style="position:absolute;visibility:visible" from="1113,4572" to="2256,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egrxgAAANsAAAAPAAAAZHJzL2Rvd25yZXYueG1sRI9Ba8JA&#10;FITvgv9heUJvumkr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GcXoK8YAAADbAAAA&#10;DwAAAAAAAAAAAAAAAAAHAgAAZHJzL2Rvd25yZXYueG1sUEsFBgAAAAADAAMAtwAAAPoCAAAAAA==&#10;"/>
          </v:group>
        </w:pict>
      </w:r>
      <w:r w:rsidR="002B682F" w:rsidRPr="00DA3BC7">
        <w:rPr>
          <w:rFonts w:ascii="新細明體" w:hAnsi="新細明體" w:hint="eastAsia"/>
        </w:rPr>
        <w:t xml:space="preserve">　　　　過去世　　　　　　　　</w:t>
      </w:r>
      <w:r w:rsidR="002B682F" w:rsidRPr="00DA3BC7">
        <w:rPr>
          <w:rFonts w:ascii="Times New Roman" w:hAnsi="Times New Roman"/>
        </w:rPr>
        <w:t xml:space="preserve"> </w:t>
      </w:r>
      <w:r w:rsidR="002B682F" w:rsidRPr="00DA3BC7">
        <w:rPr>
          <w:rFonts w:ascii="新細明體" w:hAnsi="新細明體" w:hint="eastAsia"/>
        </w:rPr>
        <w:t xml:space="preserve">　　　</w:t>
      </w:r>
      <w:r w:rsidR="002B682F" w:rsidRPr="00DA3BC7">
        <w:rPr>
          <w:rFonts w:ascii="Times New Roman" w:hAnsi="Times New Roman"/>
        </w:rPr>
        <w:t xml:space="preserve">   </w:t>
      </w:r>
      <w:r w:rsidR="002B682F" w:rsidRPr="00DA3BC7">
        <w:rPr>
          <w:rFonts w:ascii="新細明體" w:hAnsi="新細明體" w:hint="eastAsia"/>
        </w:rPr>
        <w:t xml:space="preserve">　</w:t>
      </w:r>
      <w:r w:rsidR="002B682F" w:rsidRPr="00DA3BC7">
        <w:rPr>
          <w:rFonts w:ascii="Times New Roman" w:hAnsi="Times New Roman"/>
        </w:rPr>
        <w:t xml:space="preserve"> </w:t>
      </w:r>
      <w:r w:rsidR="002B682F" w:rsidRPr="00DA3BC7">
        <w:rPr>
          <w:rFonts w:ascii="新細明體" w:hAnsi="新細明體" w:hint="eastAsia"/>
        </w:rPr>
        <w:t>因</w:t>
      </w:r>
    </w:p>
    <w:p w:rsidR="002B682F" w:rsidRPr="00DA3BC7" w:rsidRDefault="00AE3920" w:rsidP="008E2BBC">
      <w:pPr>
        <w:jc w:val="both"/>
        <w:rPr>
          <w:rFonts w:ascii="新細明體" w:hAnsi="新細明體"/>
        </w:rPr>
      </w:pPr>
      <w:r w:rsidRPr="00AE3920">
        <w:rPr>
          <w:noProof/>
        </w:rPr>
        <w:pict>
          <v:line id="直線接點 55" o:spid="_x0000_s2121" style="position:absolute;left:0;text-align:left;z-index:251644416;visibility:visible;mso-wrap-distance-top:-8e-5mm;mso-wrap-distance-bottom:-8e-5mm" from="123.6pt,8.95pt" to="169.6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" o:allowincell="f"/>
        </w:pict>
      </w:r>
      <w:r w:rsidR="002B682F" w:rsidRPr="00DA3BC7">
        <w:rPr>
          <w:rFonts w:ascii="新細明體" w:hAnsi="新細明體" w:hint="eastAsia"/>
        </w:rPr>
        <w:t xml:space="preserve">　　　　　　　　</w:t>
      </w:r>
      <w:r w:rsidR="002B682F" w:rsidRPr="00DA3BC7">
        <w:rPr>
          <w:rFonts w:ascii="Times New Roman" w:hAnsi="Times New Roman"/>
        </w:rPr>
        <w:t xml:space="preserve">  </w:t>
      </w:r>
      <w:r w:rsidR="002B682F" w:rsidRPr="00DA3BC7">
        <w:rPr>
          <w:rFonts w:ascii="新細明體" w:hAnsi="新細明體" w:hint="eastAsia"/>
        </w:rPr>
        <w:t xml:space="preserve">行　　</w:t>
      </w:r>
      <w:r w:rsidR="002B682F" w:rsidRPr="00DA3BC7">
        <w:rPr>
          <w:rFonts w:ascii="Times New Roman" w:hAnsi="Times New Roman"/>
        </w:rPr>
        <w:t xml:space="preserve">     </w:t>
      </w:r>
      <w:r w:rsidR="002B682F" w:rsidRPr="00DA3BC7">
        <w:rPr>
          <w:rFonts w:ascii="新細明體" w:hAnsi="新細明體" w:hint="eastAsia"/>
        </w:rPr>
        <w:t>業（因）</w:t>
      </w:r>
    </w:p>
    <w:p w:rsidR="002B682F" w:rsidRPr="00DA3BC7" w:rsidRDefault="00AE3920" w:rsidP="008E2BBC">
      <w:pPr>
        <w:jc w:val="both"/>
        <w:rPr>
          <w:rFonts w:ascii="新細明體" w:hAnsi="新細明體"/>
        </w:rPr>
      </w:pPr>
      <w:r w:rsidRPr="00AE3920">
        <w:rPr>
          <w:noProof/>
        </w:rPr>
        <w:pict>
          <v:shape id="右大括弧 54" o:spid="_x0000_s2120" type="#_x0000_t88" style="position:absolute;left:0;text-align:left;margin-left:354.5pt;margin-top:9.4pt;width:17pt;height:161.8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" o:allowincell="f" adj="0"/>
        </w:pict>
      </w:r>
      <w:r w:rsidRPr="00AE3920">
        <w:rPr>
          <w:noProof/>
        </w:rPr>
        <w:pict>
          <v:group id="群組 10" o:spid="_x0000_s2114" style="position:absolute;left:0;text-align:left;margin-left:86.1pt;margin-top:8.3pt;width:19.1pt;height:162.8pt;z-index:251661824" coordsize="2431,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">
            <v:group id="群組 9" o:spid="_x0000_s2116" style="position:absolute;left:1230;width:1201;height:18288" coordsize="120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line id="直線接點 52" o:spid="_x0000_s2119" style="position:absolute;visibility:visible" from="0,0" to="0,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"/>
              <v:line id="直線接點 49" o:spid="_x0000_s2118" style="position:absolute;visibility:visible" from="58,0" to="12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line id="直線接點 30" o:spid="_x0000_s2117" style="position:absolute;visibility:visible" from="58,18288" to="1201,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v:group>
            <v:line id="直線接點 43" o:spid="_x0000_s2115" style="position:absolute;flip:x;visibility:visible" from="0,8968" to="1143,8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"/>
          </v:group>
        </w:pict>
      </w:r>
      <w:r w:rsidRPr="00AE3920">
        <w:rPr>
          <w:noProof/>
        </w:rPr>
        <w:pict>
          <v:line id="直線接點 12" o:spid="_x0000_s2113" style="position:absolute;left:0;text-align:left;z-index:251667968;visibility:visible;mso-wrap-distance-top:-6e-5mm;mso-wrap-distance-bottom:-6e-5mm" from="133.05pt,8.75pt" to="151.0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"/>
        </w:pict>
      </w:r>
      <w:r w:rsidRPr="00AE3920">
        <w:rPr>
          <w:noProof/>
        </w:rPr>
        <w:pict>
          <v:line id="直線接點 51" o:spid="_x0000_s2112" style="position:absolute;left:0;text-align:left;flip:y;z-index:251663872;visibility:visible;mso-wrap-distance-left:3.17494mm;mso-wrap-distance-right:3.17494mm" from="151.4pt,8.4pt" to="151.4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"/>
        </w:pict>
      </w:r>
      <w:r w:rsidR="002B682F" w:rsidRPr="00DA3BC7">
        <w:rPr>
          <w:rFonts w:ascii="新細明體" w:hAnsi="新細明體" w:hint="eastAsia"/>
        </w:rPr>
        <w:t xml:space="preserve">　　　　　　　　　識　　　　　　　　</w:t>
      </w:r>
      <w:r w:rsidR="002B682F" w:rsidRPr="00DA3BC7">
        <w:rPr>
          <w:rFonts w:ascii="Times New Roman" w:hAnsi="Times New Roman"/>
        </w:rPr>
        <w:t xml:space="preserve">   </w:t>
      </w:r>
      <w:r w:rsidR="002B682F" w:rsidRPr="00DA3BC7">
        <w:rPr>
          <w:rFonts w:ascii="新細明體" w:hAnsi="新細明體" w:hint="eastAsia"/>
        </w:rPr>
        <w:t xml:space="preserve">　　</w:t>
      </w:r>
      <w:r w:rsidR="002B682F" w:rsidRPr="00DA3BC7">
        <w:rPr>
          <w:rFonts w:ascii="Times New Roman" w:hAnsi="Times New Roman"/>
        </w:rPr>
        <w:t xml:space="preserve">    </w:t>
      </w:r>
      <w:r w:rsidR="002B682F" w:rsidRPr="00DA3BC7">
        <w:rPr>
          <w:rFonts w:ascii="新細明體" w:hAnsi="新細明體" w:hint="eastAsia"/>
        </w:rPr>
        <w:t xml:space="preserve">　</w:t>
      </w:r>
      <w:r w:rsidR="002B682F" w:rsidRPr="00DA3BC7">
        <w:rPr>
          <w:rFonts w:ascii="Times New Roman" w:hAnsi="Times New Roman"/>
        </w:rPr>
        <w:t xml:space="preserve"> </w:t>
      </w:r>
      <w:r w:rsidR="002B682F" w:rsidRPr="00DA3BC7">
        <w:rPr>
          <w:rFonts w:ascii="新細明體" w:hAnsi="新細明體" w:hint="eastAsia"/>
        </w:rPr>
        <w:t>一重因果</w:t>
      </w:r>
    </w:p>
    <w:p w:rsidR="002B682F" w:rsidRPr="00DA3BC7" w:rsidRDefault="002B682F" w:rsidP="008E2BBC">
      <w:pPr>
        <w:jc w:val="both"/>
        <w:rPr>
          <w:rFonts w:ascii="新細明體" w:hAnsi="新細明體"/>
        </w:rPr>
      </w:pPr>
      <w:r w:rsidRPr="00DA3BC7">
        <w:rPr>
          <w:rFonts w:ascii="新細明體" w:hAnsi="新細明體" w:hint="eastAsia"/>
        </w:rPr>
        <w:t xml:space="preserve">　　　　　　　　　名色</w:t>
      </w:r>
    </w:p>
    <w:p w:rsidR="002B682F" w:rsidRPr="00DA3BC7" w:rsidRDefault="00AE3920" w:rsidP="008E2BBC">
      <w:pPr>
        <w:jc w:val="both"/>
        <w:rPr>
          <w:rFonts w:ascii="新細明體" w:hAnsi="新細明體"/>
        </w:rPr>
      </w:pPr>
      <w:r w:rsidRPr="00AE3920">
        <w:rPr>
          <w:noProof/>
        </w:rPr>
        <w:pict>
          <v:line id="直線接點 47" o:spid="_x0000_s2111" style="position:absolute;left:0;text-align:left;z-index:251648512;visibility:visible;mso-wrap-distance-top:-8e-5mm;mso-wrap-distance-bottom:-8e-5mm" from="189.1pt,9.45pt" to="252.3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" o:allowincell="f"/>
        </w:pict>
      </w:r>
      <w:r w:rsidRPr="00AE3920">
        <w:rPr>
          <w:noProof/>
        </w:rPr>
        <w:pict>
          <v:line id="直線接點 46" o:spid="_x0000_s2110" style="position:absolute;left:0;text-align:left;z-index:251647488;visibility:visible;mso-wrap-distance-top:-6e-5mm;mso-wrap-distance-bottom:-6e-5mm" from="151.85pt,8.4pt" to="169.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"/>
        </w:pict>
      </w:r>
      <w:r w:rsidR="002B682F" w:rsidRPr="00DA3BC7">
        <w:rPr>
          <w:rFonts w:ascii="新細明體" w:hAnsi="新細明體" w:hint="eastAsia"/>
        </w:rPr>
        <w:t xml:space="preserve">　　　　　　　　　六處　　　</w:t>
      </w:r>
      <w:r w:rsidR="002B682F" w:rsidRPr="00DA3BC7">
        <w:rPr>
          <w:rFonts w:ascii="Times New Roman" w:hAnsi="Times New Roman"/>
        </w:rPr>
        <w:t xml:space="preserve"> </w:t>
      </w:r>
      <w:r w:rsidR="002B682F" w:rsidRPr="00DA3BC7">
        <w:rPr>
          <w:rFonts w:ascii="新細明體" w:hAnsi="新細明體" w:hint="eastAsia"/>
        </w:rPr>
        <w:t xml:space="preserve">苦　　　</w:t>
      </w:r>
      <w:r w:rsidR="002B682F" w:rsidRPr="00DA3BC7">
        <w:rPr>
          <w:rFonts w:ascii="Times New Roman" w:hAnsi="Times New Roman"/>
        </w:rPr>
        <w:t xml:space="preserve">      </w:t>
      </w:r>
      <w:r w:rsidR="002B682F" w:rsidRPr="00DA3BC7">
        <w:rPr>
          <w:rFonts w:ascii="新細明體" w:hAnsi="新細明體" w:hint="eastAsia"/>
        </w:rPr>
        <w:t>果</w:t>
      </w:r>
    </w:p>
    <w:p w:rsidR="002B682F" w:rsidRPr="00DA3BC7" w:rsidRDefault="002B682F" w:rsidP="008E2BBC">
      <w:pPr>
        <w:jc w:val="both"/>
        <w:rPr>
          <w:rFonts w:ascii="新細明體" w:hAnsi="新細明體"/>
        </w:rPr>
      </w:pPr>
      <w:r w:rsidRPr="00DA3BC7">
        <w:rPr>
          <w:rFonts w:ascii="新細明體" w:hAnsi="新細明體" w:hint="eastAsia"/>
        </w:rPr>
        <w:t xml:space="preserve">　　　　　　　　　觸</w:t>
      </w:r>
    </w:p>
    <w:p w:rsidR="002B682F" w:rsidRPr="00DA3BC7" w:rsidRDefault="00AE3920" w:rsidP="008E2BBC">
      <w:pPr>
        <w:jc w:val="both"/>
        <w:rPr>
          <w:rFonts w:ascii="新細明體" w:hAnsi="新細明體"/>
        </w:rPr>
      </w:pPr>
      <w:r w:rsidRPr="00AE3920">
        <w:rPr>
          <w:noProof/>
        </w:rPr>
        <w:pict>
          <v:line id="直線接點 44" o:spid="_x0000_s2109" style="position:absolute;left:0;text-align:left;z-index:251646464;visibility:visible;mso-wrap-distance-top:-6e-5mm;mso-wrap-distance-bottom:-6e-5mm" from="133.85pt,8.4pt" to="151.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"/>
        </w:pict>
      </w:r>
      <w:r w:rsidR="002B682F" w:rsidRPr="00DA3BC7">
        <w:rPr>
          <w:rFonts w:ascii="新細明體" w:hAnsi="新細明體" w:hint="eastAsia"/>
        </w:rPr>
        <w:t>三世</w:t>
      </w:r>
      <w:r w:rsidR="002B682F" w:rsidRPr="00DA3BC7">
        <w:rPr>
          <w:rFonts w:ascii="Times New Roman" w:hAnsi="Times New Roman"/>
        </w:rPr>
        <w:t xml:space="preserve">    </w:t>
      </w:r>
      <w:r w:rsidR="002B682F" w:rsidRPr="00DA3BC7">
        <w:rPr>
          <w:rFonts w:ascii="新細明體" w:hAnsi="新細明體" w:hint="eastAsia"/>
        </w:rPr>
        <w:t xml:space="preserve">現在世　　受　　　　　　　　　　　　　　　　</w:t>
      </w:r>
      <w:r w:rsidR="002B682F" w:rsidRPr="00DA3BC7">
        <w:rPr>
          <w:rFonts w:ascii="Times New Roman" w:hAnsi="Times New Roman"/>
        </w:rPr>
        <w:t xml:space="preserve">          </w:t>
      </w:r>
      <w:r w:rsidR="002B682F" w:rsidRPr="00DA3BC7">
        <w:rPr>
          <w:rFonts w:ascii="新細明體" w:hAnsi="新細明體" w:hint="eastAsia"/>
        </w:rPr>
        <w:t>兩重因果</w:t>
      </w:r>
    </w:p>
    <w:p w:rsidR="002B682F" w:rsidRPr="00DA3BC7" w:rsidRDefault="00AE3920" w:rsidP="008E2BBC">
      <w:pPr>
        <w:jc w:val="both"/>
        <w:rPr>
          <w:rFonts w:ascii="新細明體" w:hAnsi="新細明體"/>
        </w:rPr>
      </w:pPr>
      <w:r w:rsidRPr="00AE3920">
        <w:rPr>
          <w:noProof/>
        </w:rPr>
        <w:pict>
          <v:group id="群組 5" o:spid="_x0000_s2104" style="position:absolute;left:0;text-align:left;margin-left:132.85pt;margin-top:8.85pt;width:36pt;height:36pt;z-index:251649536" coordsize="457200,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">
            <v:line id="直線接點 41" o:spid="_x0000_s2108" style="position:absolute;visibility:visible" from="0,0" to="228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v:line id="直線接點 34" o:spid="_x0000_s2107" style="position:absolute;visibility:visible" from="0,457200" to="228600,45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Ymk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stWJpMYAAADbAAAA&#10;DwAAAAAAAAAAAAAAAAAHAgAAZHJzL2Rvd25yZXYueG1sUEsFBgAAAAADAAMAtwAAAPoCAAAAAA==&#10;"/>
            <v:line id="直線接點 42" o:spid="_x0000_s2106" style="position:absolute;flip:y;visibility:visible" from="222738,0" to="222738,45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"/>
            <v:line id="直線接點 38" o:spid="_x0000_s2105" style="position:absolute;visibility:visible" from="228600,228600" to="457200,228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"/>
          </v:group>
        </w:pict>
      </w:r>
      <w:r w:rsidR="002B682F" w:rsidRPr="00DA3BC7">
        <w:rPr>
          <w:rFonts w:ascii="新細明體" w:hAnsi="新細明體" w:hint="eastAsia"/>
        </w:rPr>
        <w:t xml:space="preserve">　　　　　　　　　愛</w:t>
      </w:r>
    </w:p>
    <w:p w:rsidR="002B682F" w:rsidRPr="00DA3BC7" w:rsidRDefault="00AE3920" w:rsidP="008E2BBC">
      <w:pPr>
        <w:jc w:val="both"/>
        <w:rPr>
          <w:rFonts w:ascii="新細明體" w:hAnsi="新細明體"/>
        </w:rPr>
      </w:pPr>
      <w:r w:rsidRPr="00AE3920">
        <w:rPr>
          <w:noProof/>
        </w:rPr>
        <w:pict>
          <v:group id="群組 11" o:spid="_x0000_s2099" style="position:absolute;left:0;text-align:left;margin-left:221.85pt;margin-top:9.25pt;width:27.25pt;height:36pt;z-index:251651584" coordsize="345831,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">
            <v:line id="直線接點 39" o:spid="_x0000_s2103" style="position:absolute;visibility:visible" from="0,0" to="1143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line id="直線接點 40" o:spid="_x0000_s2102" style="position:absolute;visibility:visible" from="111369,0" to="111369,45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直線接點 32" o:spid="_x0000_s2101" style="position:absolute;flip:x;visibility:visible" from="0,457200" to="114300,45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直線接點 35" o:spid="_x0000_s2100" style="position:absolute;visibility:visible" from="117231,228600" to="345831,228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group>
        </w:pict>
      </w:r>
      <w:r w:rsidR="002B682F" w:rsidRPr="00DA3BC7">
        <w:rPr>
          <w:rFonts w:ascii="新細明體" w:hAnsi="新細明體" w:hint="eastAsia"/>
        </w:rPr>
        <w:t xml:space="preserve">　　　　　　　　　　　　　　</w:t>
      </w:r>
      <w:r w:rsidR="002B682F" w:rsidRPr="00DA3BC7">
        <w:rPr>
          <w:rFonts w:ascii="Times New Roman" w:hAnsi="Times New Roman"/>
        </w:rPr>
        <w:t xml:space="preserve"> </w:t>
      </w:r>
      <w:r w:rsidR="002B682F" w:rsidRPr="00DA3BC7">
        <w:rPr>
          <w:rFonts w:ascii="新細明體" w:hAnsi="新細明體" w:hint="eastAsia"/>
        </w:rPr>
        <w:t>惑（緣）</w:t>
      </w:r>
    </w:p>
    <w:p w:rsidR="002B682F" w:rsidRPr="00DA3BC7" w:rsidRDefault="00AE3920" w:rsidP="008E2BBC">
      <w:pPr>
        <w:jc w:val="both"/>
        <w:rPr>
          <w:rFonts w:ascii="新細明體" w:hAnsi="新細明體"/>
        </w:rPr>
      </w:pPr>
      <w:r w:rsidRPr="00AE3920">
        <w:rPr>
          <w:noProof/>
        </w:rPr>
        <w:pict>
          <v:group id="群組 7" o:spid="_x0000_s2094" style="position:absolute;left:0;text-align:left;margin-left:278.9pt;margin-top:8.2pt;width:17.75pt;height:54pt;z-index:251656704" coordsize="225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">
            <v:line id="直線接點 36" o:spid="_x0000_s2098" style="position:absolute;visibility:visible" from="0,0" to="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直線接點 37" o:spid="_x0000_s2097" style="position:absolute;visibility:visible" from="1113,0" to="111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line id="直線接點 25" o:spid="_x0000_s2096" style="position:absolute;flip:x;visibility:visible" from="0,6858" to="114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"/>
            <v:line id="直線接點 33" o:spid="_x0000_s2095" style="position:absolute;visibility:visible" from="1113,2286" to="225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group>
        </w:pict>
      </w:r>
      <w:r w:rsidR="002B682F" w:rsidRPr="00DA3BC7">
        <w:rPr>
          <w:rFonts w:ascii="新細明體" w:hAnsi="新細明體" w:hint="eastAsia"/>
        </w:rPr>
        <w:t xml:space="preserve">　　　　　　　　　取　　　　</w:t>
      </w:r>
      <w:r w:rsidR="002B682F" w:rsidRPr="00DA3BC7">
        <w:rPr>
          <w:rFonts w:ascii="Times New Roman" w:hAnsi="Times New Roman"/>
          <w:lang w:eastAsia="zh-CN"/>
        </w:rPr>
        <w:t xml:space="preserve">  </w:t>
      </w:r>
      <w:r w:rsidR="002B682F" w:rsidRPr="00DA3BC7">
        <w:rPr>
          <w:rFonts w:ascii="新細明體" w:hAnsi="新細明體" w:hint="eastAsia"/>
        </w:rPr>
        <w:t xml:space="preserve">　　　</w:t>
      </w:r>
      <w:r w:rsidR="002B682F" w:rsidRPr="00DA3BC7">
        <w:rPr>
          <w:rFonts w:ascii="Times New Roman" w:hAnsi="Times New Roman"/>
          <w:lang w:eastAsia="zh-CN"/>
        </w:rPr>
        <w:t xml:space="preserve">       </w:t>
      </w:r>
      <w:r w:rsidR="00B500BD" w:rsidRPr="00DA3BC7">
        <w:rPr>
          <w:rFonts w:ascii="新細明體" w:hAnsi="新細明體" w:hint="eastAsia"/>
        </w:rPr>
        <w:t>因</w:t>
      </w:r>
    </w:p>
    <w:p w:rsidR="002B682F" w:rsidRPr="00DA3BC7" w:rsidRDefault="00AE3920" w:rsidP="008E2BBC">
      <w:pPr>
        <w:jc w:val="both"/>
        <w:rPr>
          <w:rFonts w:ascii="新細明體" w:hAnsi="新細明體"/>
        </w:rPr>
      </w:pPr>
      <w:r w:rsidRPr="00AE3920">
        <w:rPr>
          <w:noProof/>
        </w:rPr>
        <w:pict>
          <v:line id="直線接點 31" o:spid="_x0000_s2093" style="position:absolute;left:0;text-align:left;z-index:251650560;visibility:visible;mso-wrap-distance-top:-8e-5mm;mso-wrap-distance-bottom:-8e-5mm" from="122.1pt,9.45pt" to="169.1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" o:allowincell="f"/>
        </w:pict>
      </w:r>
      <w:r w:rsidR="002B682F" w:rsidRPr="00DA3BC7">
        <w:rPr>
          <w:rFonts w:ascii="新細明體" w:hAnsi="新細明體" w:hint="eastAsia"/>
        </w:rPr>
        <w:t xml:space="preserve">　　　　　　　　</w:t>
      </w:r>
      <w:r w:rsidR="002B682F" w:rsidRPr="00DA3BC7">
        <w:rPr>
          <w:rFonts w:ascii="Times New Roman" w:hAnsi="Times New Roman"/>
        </w:rPr>
        <w:t xml:space="preserve">  </w:t>
      </w:r>
      <w:r w:rsidR="002B682F" w:rsidRPr="00DA3BC7">
        <w:rPr>
          <w:rFonts w:ascii="新細明體" w:hAnsi="新細明體" w:hint="eastAsia"/>
        </w:rPr>
        <w:t xml:space="preserve">有　　　</w:t>
      </w:r>
      <w:r w:rsidR="002B682F" w:rsidRPr="00DA3BC7">
        <w:rPr>
          <w:rFonts w:ascii="Times New Roman" w:hAnsi="Times New Roman"/>
        </w:rPr>
        <w:t xml:space="preserve">   </w:t>
      </w:r>
      <w:r w:rsidR="002B682F" w:rsidRPr="00DA3BC7">
        <w:rPr>
          <w:rFonts w:ascii="新細明體" w:hAnsi="新細明體" w:hint="eastAsia"/>
        </w:rPr>
        <w:t xml:space="preserve">業（因）　　　</w:t>
      </w:r>
      <w:r w:rsidR="002B682F" w:rsidRPr="00DA3BC7">
        <w:rPr>
          <w:rFonts w:ascii="Times New Roman" w:hAnsi="Times New Roman"/>
        </w:rPr>
        <w:t xml:space="preserve"> </w:t>
      </w:r>
      <w:r w:rsidR="002B682F" w:rsidRPr="00DA3BC7">
        <w:rPr>
          <w:rFonts w:ascii="新細明體" w:hAnsi="新細明體" w:hint="eastAsia"/>
        </w:rPr>
        <w:t xml:space="preserve">　　</w:t>
      </w:r>
      <w:r w:rsidR="002B682F" w:rsidRPr="00DA3BC7">
        <w:rPr>
          <w:rFonts w:ascii="Times New Roman" w:hAnsi="Times New Roman"/>
        </w:rPr>
        <w:t xml:space="preserve">   </w:t>
      </w:r>
      <w:r w:rsidR="002B682F" w:rsidRPr="00DA3BC7">
        <w:rPr>
          <w:rFonts w:ascii="新細明體" w:hAnsi="新細明體" w:hint="eastAsia"/>
        </w:rPr>
        <w:t>一重因果</w:t>
      </w:r>
    </w:p>
    <w:p w:rsidR="002B682F" w:rsidRPr="00DA3BC7" w:rsidRDefault="00AE3920" w:rsidP="008E2BBC">
      <w:pPr>
        <w:jc w:val="both"/>
        <w:rPr>
          <w:rFonts w:ascii="新細明體" w:hAnsi="新細明體"/>
        </w:rPr>
      </w:pPr>
      <w:r w:rsidRPr="00AE3920">
        <w:rPr>
          <w:noProof/>
        </w:rPr>
        <w:pict>
          <v:group id="群組 6" o:spid="_x0000_s2088" style="position:absolute;left:0;text-align:left;margin-left:134.75pt;margin-top:10.2pt;width:27.2pt;height:36pt;z-index:251653632" coordsize="345831,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">
            <v:line id="直線接點 21" o:spid="_x0000_s2092" style="position:absolute;visibility:visible" from="0,457200" to="114300,45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直線接點 28" o:spid="_x0000_s2091" style="position:absolute;flip:y;visibility:visible" from="111369,0" to="111369,45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"/>
            <v:line id="直線接點 29" o:spid="_x0000_s2090" style="position:absolute;flip:x;visibility:visible" from="0,0" to="1143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"/>
            <v:line id="直線接點 23" o:spid="_x0000_s2089" style="position:absolute;visibility:visible" from="117231,228600" to="345831,228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group>
        </w:pict>
      </w:r>
      <w:r w:rsidRPr="00AE3920">
        <w:rPr>
          <w:noProof/>
        </w:rPr>
        <w:pict>
          <v:group id="群組 8" o:spid="_x0000_s2083" style="position:absolute;left:0;text-align:left;margin-left:87.2pt;margin-top:8.2pt;width:18.25pt;height:36pt;z-index:251652608" coordsize="231531,45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">
            <v:line id="直線接點 26" o:spid="_x0000_s2087" style="position:absolute;visibility:visible" from="117231,0" to="2315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line id="直線接點 27" o:spid="_x0000_s2086" style="position:absolute;visibility:visible" from="111369,0" to="111369,45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直線接點 20" o:spid="_x0000_s2085" style="position:absolute;visibility:visible" from="117231,457200" to="231531,45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直線接點 22" o:spid="_x0000_s2084" style="position:absolute;flip:x;visibility:visible" from="0,228600" to="114300,228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group>
        </w:pict>
      </w:r>
      <w:r w:rsidR="002B682F" w:rsidRPr="00DA3BC7">
        <w:rPr>
          <w:rFonts w:ascii="新細明體" w:hAnsi="新細明體" w:hint="eastAsia"/>
        </w:rPr>
        <w:t xml:space="preserve">　　　　　　　　</w:t>
      </w:r>
      <w:r w:rsidR="002B682F" w:rsidRPr="00DA3BC7">
        <w:rPr>
          <w:rFonts w:ascii="Times New Roman" w:hAnsi="Times New Roman"/>
        </w:rPr>
        <w:t xml:space="preserve">  </w:t>
      </w:r>
      <w:r w:rsidR="002B682F" w:rsidRPr="00DA3BC7">
        <w:rPr>
          <w:rFonts w:ascii="新細明體" w:hAnsi="新細明體" w:hint="eastAsia"/>
        </w:rPr>
        <w:t>生</w:t>
      </w:r>
    </w:p>
    <w:p w:rsidR="002B682F" w:rsidRPr="00DA3BC7" w:rsidRDefault="00AE3920" w:rsidP="008E2BBC">
      <w:pPr>
        <w:jc w:val="both"/>
        <w:rPr>
          <w:rFonts w:ascii="新細明體" w:hAnsi="新細明體"/>
        </w:rPr>
      </w:pPr>
      <w:r w:rsidRPr="00AE3920">
        <w:rPr>
          <w:noProof/>
        </w:rPr>
        <w:pict>
          <v:line id="直線接點 24" o:spid="_x0000_s2082" style="position:absolute;left:0;text-align:left;z-index:251654656;visibility:visible;mso-wrap-distance-top:-8e-5mm;mso-wrap-distance-bottom:-8e-5mm" from="195.1pt,9.75pt" to="25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" o:allowincell="f"/>
        </w:pict>
      </w:r>
      <w:r w:rsidR="002B682F" w:rsidRPr="00DA3BC7">
        <w:rPr>
          <w:rFonts w:ascii="新細明體" w:hAnsi="新細明體" w:hint="eastAsia"/>
        </w:rPr>
        <w:t xml:space="preserve">　　　　未來世　　　　</w:t>
      </w:r>
      <w:r w:rsidR="002B682F" w:rsidRPr="00DA3BC7">
        <w:rPr>
          <w:rFonts w:ascii="Times New Roman" w:hAnsi="Times New Roman"/>
        </w:rPr>
        <w:t xml:space="preserve"> </w:t>
      </w:r>
      <w:r w:rsidR="002B682F" w:rsidRPr="00DA3BC7">
        <w:rPr>
          <w:rFonts w:ascii="新細明體" w:hAnsi="新細明體" w:hint="eastAsia"/>
        </w:rPr>
        <w:t xml:space="preserve">　　</w:t>
      </w:r>
      <w:r w:rsidR="002B682F" w:rsidRPr="00DA3BC7">
        <w:rPr>
          <w:rFonts w:ascii="Times New Roman" w:hAnsi="Times New Roman"/>
        </w:rPr>
        <w:t xml:space="preserve">  </w:t>
      </w:r>
      <w:r w:rsidR="002B682F" w:rsidRPr="00DA3BC7">
        <w:rPr>
          <w:rFonts w:ascii="新細明體" w:hAnsi="新細明體" w:hint="eastAsia"/>
        </w:rPr>
        <w:t xml:space="preserve">苦　　　</w:t>
      </w:r>
      <w:r w:rsidR="002B682F" w:rsidRPr="00DA3BC7">
        <w:rPr>
          <w:rFonts w:ascii="Times New Roman" w:hAnsi="Times New Roman"/>
        </w:rPr>
        <w:t xml:space="preserve">      </w:t>
      </w:r>
      <w:r w:rsidR="002B682F" w:rsidRPr="00DA3BC7">
        <w:rPr>
          <w:rFonts w:ascii="新細明體" w:hAnsi="新細明體" w:hint="eastAsia"/>
        </w:rPr>
        <w:t>果</w:t>
      </w:r>
    </w:p>
    <w:p w:rsidR="002B682F" w:rsidRPr="00DA3BC7" w:rsidRDefault="002B682F" w:rsidP="008E2BBC">
      <w:pPr>
        <w:jc w:val="both"/>
        <w:rPr>
          <w:rFonts w:ascii="新細明體" w:hAnsi="新細明體"/>
        </w:rPr>
        <w:sectPr w:rsidR="002B682F" w:rsidRPr="00DA3BC7" w:rsidSect="009914C0">
          <w:headerReference w:type="even" r:id="rId39"/>
          <w:headerReference w:type="default" r:id="rId40"/>
          <w:footnotePr>
            <w:numRestart w:val="eachSect"/>
          </w:footnotePr>
          <w:pgSz w:w="10773" w:h="14742" w:code="9"/>
          <w:pgMar w:top="1418" w:right="1418" w:bottom="1418" w:left="1418" w:header="851" w:footer="992" w:gutter="0"/>
          <w:cols w:space="425"/>
          <w:docGrid w:type="lines" w:linePitch="360"/>
        </w:sectPr>
      </w:pPr>
      <w:r w:rsidRPr="00DA3BC7">
        <w:rPr>
          <w:rFonts w:eastAsia="標楷體" w:hint="eastAsia"/>
        </w:rPr>
        <w:t xml:space="preserve">　　　　　　　　　</w:t>
      </w:r>
      <w:r w:rsidRPr="00DA3BC7">
        <w:rPr>
          <w:rFonts w:ascii="新細明體" w:hAnsi="新細明體" w:hint="eastAsia"/>
        </w:rPr>
        <w:t>老死</w:t>
      </w:r>
    </w:p>
    <w:p w:rsidR="002B682F" w:rsidRPr="00DA3BC7" w:rsidRDefault="002B682F" w:rsidP="008E2BBC">
      <w:pPr>
        <w:pStyle w:val="1"/>
      </w:pPr>
      <w:bookmarkStart w:id="79" w:name="_Toc405287350"/>
      <w:bookmarkStart w:id="80" w:name="_Toc405287822"/>
      <w:bookmarkStart w:id="81" w:name="_Toc405499765"/>
      <w:r w:rsidRPr="00DA3BC7">
        <w:rPr>
          <w:rFonts w:hint="eastAsia"/>
        </w:rPr>
        <w:lastRenderedPageBreak/>
        <w:t>第五章、中觀之根本論題</w:t>
      </w:r>
      <w:bookmarkEnd w:id="79"/>
      <w:bookmarkEnd w:id="80"/>
      <w:bookmarkEnd w:id="81"/>
    </w:p>
    <w:p w:rsidR="002B682F" w:rsidRPr="00DA3BC7" w:rsidRDefault="002B682F" w:rsidP="008E2BBC">
      <w:pPr>
        <w:pStyle w:val="2"/>
      </w:pPr>
      <w:bookmarkStart w:id="82" w:name="_Toc405499766"/>
      <w:r w:rsidRPr="00DA3BC7">
        <w:rPr>
          <w:rFonts w:hint="eastAsia"/>
        </w:rPr>
        <w:t>第二節、</w:t>
      </w:r>
      <w:r w:rsidRPr="00DA3BC7">
        <w:t>自性</w:t>
      </w:r>
      <w:bookmarkEnd w:id="82"/>
    </w:p>
    <w:p w:rsidR="002B682F" w:rsidRPr="00DA3BC7" w:rsidRDefault="002B682F" w:rsidP="008E2BBC">
      <w:pPr>
        <w:jc w:val="center"/>
        <w:rPr>
          <w:rFonts w:ascii="Times New Roman" w:eastAsia="標楷體" w:hAnsi="Times New Roman"/>
        </w:rPr>
      </w:pPr>
      <w:r w:rsidRPr="00DA3BC7">
        <w:rPr>
          <w:rFonts w:ascii="Times New Roman" w:eastAsia="標楷體" w:hAnsi="Times New Roman" w:hint="eastAsia"/>
        </w:rPr>
        <w:t>（</w:t>
      </w:r>
      <w:r w:rsidRPr="00DA3BC7">
        <w:rPr>
          <w:rFonts w:ascii="Times New Roman" w:eastAsia="標楷體" w:hAnsi="Times New Roman" w:hint="eastAsia"/>
        </w:rPr>
        <w:t>pp.64-70</w:t>
      </w:r>
      <w:r w:rsidRPr="00DA3BC7">
        <w:rPr>
          <w:rFonts w:ascii="Times New Roman" w:eastAsia="標楷體" w:hAnsi="Times New Roman" w:hint="eastAsia"/>
        </w:rPr>
        <w:t>）</w:t>
      </w:r>
    </w:p>
    <w:p w:rsidR="002B682F" w:rsidRPr="00DA3BC7" w:rsidRDefault="002B682F" w:rsidP="008E2BBC">
      <w:pPr>
        <w:pStyle w:val="Author"/>
      </w:pPr>
    </w:p>
    <w:p w:rsidR="002B682F" w:rsidRPr="00DA3BC7" w:rsidRDefault="002B682F" w:rsidP="00AE3920">
      <w:pPr>
        <w:spacing w:beforeLines="50"/>
        <w:jc w:val="both"/>
        <w:rPr>
          <w:rFonts w:ascii="Times New Roman" w:hAnsi="Times New Roman"/>
          <w:sz w:val="20"/>
          <w:szCs w:val="20"/>
        </w:rPr>
      </w:pPr>
      <w:r w:rsidRPr="00DA3BC7">
        <w:rPr>
          <w:rFonts w:ascii="Times New Roman" w:hAnsi="新細明體" w:hint="eastAsia"/>
          <w:b/>
          <w:sz w:val="20"/>
          <w:szCs w:val="20"/>
          <w:bdr w:val="single" w:sz="4" w:space="0" w:color="auto"/>
        </w:rPr>
        <w:t>壹</w:t>
      </w:r>
      <w:r w:rsidRPr="00DA3BC7">
        <w:rPr>
          <w:rFonts w:ascii="Times New Roman" w:hAnsi="新細明體"/>
          <w:b/>
          <w:sz w:val="20"/>
          <w:szCs w:val="20"/>
          <w:bdr w:val="single" w:sz="4" w:space="0" w:color="auto"/>
        </w:rPr>
        <w:t>、</w:t>
      </w:r>
      <w:r w:rsidRPr="00DA3BC7">
        <w:rPr>
          <w:rFonts w:ascii="Times New Roman" w:hAnsi="新細明體" w:hint="eastAsia"/>
          <w:b/>
          <w:sz w:val="20"/>
          <w:szCs w:val="20"/>
          <w:bdr w:val="single" w:sz="4" w:space="0" w:color="auto"/>
        </w:rPr>
        <w:t>「自性」之語意</w:t>
      </w:r>
      <w:r w:rsidRPr="00DA3BC7">
        <w:rPr>
          <w:rFonts w:ascii="Times New Roman" w:hAnsi="Times Ext Roman"/>
          <w:sz w:val="20"/>
          <w:szCs w:val="20"/>
        </w:rPr>
        <w:t>（</w:t>
      </w:r>
      <w:r w:rsidRPr="00DA3BC7">
        <w:rPr>
          <w:rFonts w:ascii="Times New Roman" w:hAnsi="Times New Roman"/>
          <w:sz w:val="20"/>
          <w:szCs w:val="20"/>
        </w:rPr>
        <w:t>pp.</w:t>
      </w:r>
      <w:r w:rsidRPr="00DA3BC7">
        <w:rPr>
          <w:rFonts w:ascii="Times New Roman" w:eastAsia="SimSun" w:hAnsi="Times New Roman"/>
          <w:sz w:val="20"/>
          <w:szCs w:val="20"/>
        </w:rPr>
        <w:t>64</w:t>
      </w:r>
      <w:r w:rsidRPr="00DA3BC7">
        <w:rPr>
          <w:rFonts w:ascii="Times New Roman" w:hAnsi="Times New Roman"/>
          <w:sz w:val="20"/>
          <w:szCs w:val="20"/>
        </w:rPr>
        <w:t>-</w:t>
      </w:r>
      <w:r w:rsidRPr="00DA3BC7">
        <w:rPr>
          <w:rFonts w:ascii="Times New Roman" w:eastAsia="SimSun" w:hAnsi="Times New Roman"/>
          <w:sz w:val="20"/>
          <w:szCs w:val="20"/>
        </w:rPr>
        <w:t>65</w:t>
      </w:r>
      <w:r w:rsidRPr="00DA3BC7">
        <w:rPr>
          <w:rFonts w:ascii="Times New Roman" w:hAnsi="Times Ext Roman"/>
          <w:sz w:val="20"/>
          <w:szCs w:val="20"/>
        </w:rPr>
        <w:t>）</w:t>
      </w:r>
    </w:p>
    <w:p w:rsidR="002B682F" w:rsidRPr="00DA3BC7" w:rsidRDefault="002B682F" w:rsidP="008E2BBC">
      <w:pPr>
        <w:tabs>
          <w:tab w:val="left" w:pos="6315"/>
        </w:tabs>
        <w:ind w:leftChars="50" w:left="120"/>
        <w:jc w:val="both"/>
        <w:rPr>
          <w:rFonts w:ascii="Times New Roman" w:hAnsi="Times New Roman"/>
          <w:sz w:val="20"/>
          <w:szCs w:val="20"/>
        </w:rPr>
      </w:pPr>
      <w:r w:rsidRPr="00DA3BC7">
        <w:rPr>
          <w:rFonts w:ascii="Times New Roman" w:hAnsi="Times New Roman"/>
          <w:b/>
          <w:sz w:val="20"/>
          <w:szCs w:val="20"/>
          <w:bdr w:val="single" w:sz="4" w:space="0" w:color="auto"/>
        </w:rPr>
        <w:t>（</w:t>
      </w:r>
      <w:r w:rsidRPr="00DA3BC7">
        <w:rPr>
          <w:rFonts w:ascii="Times New Roman" w:hAnsi="Times New Roman" w:hint="eastAsia"/>
          <w:b/>
          <w:sz w:val="20"/>
          <w:szCs w:val="20"/>
          <w:bdr w:val="single" w:sz="4" w:space="0" w:color="auto"/>
        </w:rPr>
        <w:t>壹</w:t>
      </w:r>
      <w:r w:rsidRPr="00DA3BC7">
        <w:rPr>
          <w:rFonts w:ascii="Times New Roman" w:hAnsi="Times New Roman"/>
          <w:b/>
          <w:sz w:val="20"/>
          <w:szCs w:val="20"/>
          <w:bdr w:val="single" w:sz="4" w:space="0" w:color="auto"/>
        </w:rPr>
        <w:t>）</w:t>
      </w:r>
      <w:r w:rsidRPr="00DA3BC7">
        <w:rPr>
          <w:rFonts w:ascii="Times New Roman" w:hAnsi="新細明體" w:hint="eastAsia"/>
          <w:b/>
          <w:sz w:val="20"/>
          <w:szCs w:val="20"/>
          <w:bdr w:val="single" w:sz="4" w:space="0" w:color="auto"/>
        </w:rPr>
        <w:t>自</w:t>
      </w:r>
      <w:r w:rsidRPr="00DA3BC7">
        <w:rPr>
          <w:rFonts w:ascii="Times New Roman" w:hAnsi="Times New Roman" w:hint="eastAsia"/>
          <w:b/>
          <w:sz w:val="20"/>
          <w:szCs w:val="20"/>
          <w:bdr w:val="single" w:sz="4" w:space="0" w:color="auto"/>
        </w:rPr>
        <w:t>性</w:t>
      </w:r>
      <w:r w:rsidRPr="00DA3BC7">
        <w:rPr>
          <w:rFonts w:ascii="Times New Roman" w:hAnsi="Times New Roman"/>
          <w:b/>
          <w:sz w:val="20"/>
          <w:szCs w:val="20"/>
          <w:bdr w:val="single" w:sz="4" w:space="0" w:color="auto"/>
        </w:rPr>
        <w:t>（</w:t>
      </w:r>
      <w:r w:rsidRPr="00DA3BC7">
        <w:rPr>
          <w:rFonts w:ascii="Times New Roman" w:hAnsi="Times New Roman"/>
          <w:b/>
          <w:sz w:val="20"/>
          <w:szCs w:val="20"/>
          <w:bdr w:val="single" w:sz="4" w:space="0" w:color="auto"/>
        </w:rPr>
        <w:t>svabhāva</w:t>
      </w:r>
      <w:r w:rsidRPr="00DA3BC7">
        <w:rPr>
          <w:rFonts w:ascii="Times New Roman" w:hAnsi="Times New Roman"/>
          <w:b/>
          <w:sz w:val="20"/>
          <w:szCs w:val="20"/>
          <w:bdr w:val="single" w:sz="4" w:space="0" w:color="auto"/>
        </w:rPr>
        <w:t>）</w:t>
      </w:r>
      <w:r w:rsidRPr="00DA3BC7">
        <w:rPr>
          <w:rFonts w:ascii="Times New Roman" w:hAnsi="Times Ext Roman"/>
          <w:sz w:val="20"/>
          <w:szCs w:val="20"/>
        </w:rPr>
        <w:t>（</w:t>
      </w:r>
      <w:r w:rsidRPr="00DA3BC7">
        <w:rPr>
          <w:rFonts w:ascii="Times New Roman" w:hAnsi="Times New Roman"/>
          <w:sz w:val="20"/>
          <w:szCs w:val="20"/>
        </w:rPr>
        <w:t>p.</w:t>
      </w:r>
      <w:r w:rsidRPr="00DA3BC7">
        <w:rPr>
          <w:rFonts w:ascii="Times New Roman" w:eastAsia="SimSun" w:hAnsi="Times New Roman"/>
          <w:sz w:val="20"/>
          <w:szCs w:val="20"/>
        </w:rPr>
        <w:t>64</w:t>
      </w:r>
      <w:r w:rsidRPr="00DA3BC7">
        <w:rPr>
          <w:rFonts w:ascii="Times New Roman" w:hAnsi="Times Ext Roman"/>
          <w:sz w:val="20"/>
          <w:szCs w:val="20"/>
        </w:rPr>
        <w:t>）</w:t>
      </w:r>
    </w:p>
    <w:p w:rsidR="002B682F" w:rsidRPr="00DA3BC7" w:rsidRDefault="002B682F" w:rsidP="008E2BBC">
      <w:pPr>
        <w:ind w:leftChars="100" w:left="240"/>
        <w:jc w:val="both"/>
        <w:rPr>
          <w:rFonts w:ascii="Times New Roman" w:hAnsi="Times New Roman"/>
          <w:b/>
          <w:sz w:val="20"/>
          <w:szCs w:val="20"/>
        </w:rPr>
      </w:pPr>
      <w:r w:rsidRPr="00DA3BC7">
        <w:rPr>
          <w:rFonts w:ascii="Times New Roman" w:hAnsi="Times New Roman" w:hint="eastAsia"/>
          <w:b/>
          <w:sz w:val="20"/>
          <w:szCs w:val="20"/>
          <w:bdr w:val="single" w:sz="4" w:space="0" w:color="auto"/>
        </w:rPr>
        <w:t>一</w:t>
      </w:r>
      <w:r w:rsidRPr="00DA3BC7">
        <w:rPr>
          <w:rFonts w:ascii="Times New Roman" w:hAnsi="Times New Roman"/>
          <w:b/>
          <w:sz w:val="20"/>
          <w:szCs w:val="20"/>
          <w:bdr w:val="single" w:sz="4" w:space="0" w:color="auto"/>
        </w:rPr>
        <w:t>、自性之異名：體、性、法、物、事</w:t>
      </w:r>
      <w:r w:rsidRPr="00DA3BC7">
        <w:rPr>
          <w:rFonts w:ascii="Times New Roman" w:hAnsi="Times New Roman" w:hint="eastAsia"/>
          <w:b/>
          <w:sz w:val="20"/>
          <w:szCs w:val="20"/>
          <w:bdr w:val="single" w:sz="4" w:space="0" w:color="auto"/>
        </w:rPr>
        <w:t>、有</w:t>
      </w:r>
      <w:r w:rsidRPr="00DA3BC7">
        <w:rPr>
          <w:rFonts w:ascii="Times New Roman" w:hAnsi="Times Ext Roman"/>
          <w:sz w:val="20"/>
          <w:szCs w:val="20"/>
        </w:rPr>
        <w:t>（</w:t>
      </w:r>
      <w:r w:rsidRPr="00DA3BC7">
        <w:rPr>
          <w:rFonts w:ascii="Times New Roman" w:hAnsi="Times New Roman"/>
          <w:sz w:val="20"/>
          <w:szCs w:val="20"/>
        </w:rPr>
        <w:t>p.</w:t>
      </w:r>
      <w:r w:rsidRPr="00DA3BC7">
        <w:rPr>
          <w:rFonts w:ascii="Times New Roman" w:eastAsia="SimSun" w:hAnsi="Times New Roman"/>
          <w:sz w:val="20"/>
          <w:szCs w:val="20"/>
        </w:rPr>
        <w:t>64</w:t>
      </w:r>
      <w:r w:rsidRPr="00DA3BC7">
        <w:rPr>
          <w:rFonts w:ascii="Times New Roman" w:hAnsi="Times Ext Roman"/>
          <w:sz w:val="20"/>
          <w:szCs w:val="20"/>
        </w:rPr>
        <w:t>）</w:t>
      </w:r>
    </w:p>
    <w:p w:rsidR="002B682F" w:rsidRPr="00DA3BC7" w:rsidRDefault="002B682F" w:rsidP="008E2BBC">
      <w:pPr>
        <w:ind w:leftChars="100" w:left="240"/>
        <w:jc w:val="both"/>
        <w:rPr>
          <w:rFonts w:ascii="Times New Roman" w:eastAsia="SimSun" w:hAnsi="Times New Roman"/>
        </w:rPr>
      </w:pPr>
      <w:r w:rsidRPr="00DA3BC7">
        <w:rPr>
          <w:rFonts w:ascii="Times New Roman" w:hAnsi="Times New Roman"/>
        </w:rPr>
        <w:t>緣起是無自性的，甚麼是「自性」呢？自性</w:t>
      </w:r>
      <w:r w:rsidRPr="00CD554C">
        <w:rPr>
          <w:rFonts w:ascii="Times New Roman" w:eastAsia="SimSun" w:hAnsi="SimSun"/>
          <w:shd w:val="pct15" w:color="auto" w:fill="FFFFFF"/>
        </w:rPr>
        <w:t>（</w:t>
      </w:r>
      <w:r w:rsidRPr="00CD554C">
        <w:rPr>
          <w:rFonts w:ascii="Times New Roman" w:hAnsi="Times New Roman"/>
          <w:shd w:val="pct15" w:color="auto" w:fill="FFFFFF"/>
        </w:rPr>
        <w:t>svabhāva</w:t>
      </w:r>
      <w:r w:rsidRPr="00CD554C">
        <w:rPr>
          <w:rFonts w:ascii="Times New Roman" w:eastAsia="SimSun" w:hAnsi="SimSun"/>
          <w:shd w:val="pct15" w:color="auto" w:fill="FFFFFF"/>
        </w:rPr>
        <w:t>）</w:t>
      </w:r>
      <w:r w:rsidRPr="00DA3BC7">
        <w:rPr>
          <w:rFonts w:ascii="Times New Roman" w:hAnsi="Times New Roman"/>
        </w:rPr>
        <w:t>是專門術語，如《壹輸盧迦論》</w:t>
      </w:r>
      <w:r w:rsidR="00CD554C" w:rsidRPr="00CD554C">
        <w:rPr>
          <w:rFonts w:ascii="Times New Roman" w:hAnsi="Times New Roman"/>
          <w:shd w:val="pct15" w:color="auto" w:fill="FFFFFF"/>
        </w:rPr>
        <w:t>（大正</w:t>
      </w:r>
      <w:r w:rsidR="00CD554C" w:rsidRPr="00CD554C">
        <w:rPr>
          <w:rFonts w:ascii="Times New Roman" w:hAnsi="Times New Roman"/>
          <w:shd w:val="pct15" w:color="auto" w:fill="FFFFFF"/>
        </w:rPr>
        <w:t>30</w:t>
      </w:r>
      <w:r w:rsidR="00CD554C" w:rsidRPr="00CD554C">
        <w:rPr>
          <w:rFonts w:ascii="Times New Roman" w:hAnsi="Times New Roman"/>
          <w:shd w:val="pct15" w:color="auto" w:fill="FFFFFF"/>
        </w:rPr>
        <w:t>，</w:t>
      </w:r>
      <w:r w:rsidR="00CD554C" w:rsidRPr="00CD554C">
        <w:rPr>
          <w:rFonts w:ascii="Times New Roman" w:hAnsi="Times New Roman"/>
          <w:shd w:val="pct15" w:color="auto" w:fill="FFFFFF"/>
        </w:rPr>
        <w:t>253c21-25</w:t>
      </w:r>
      <w:r w:rsidR="00CD554C" w:rsidRPr="00CD554C">
        <w:rPr>
          <w:rFonts w:ascii="Times New Roman" w:hAnsi="Times New Roman"/>
          <w:shd w:val="pct15" w:color="auto" w:fill="FFFFFF"/>
        </w:rPr>
        <w:t>）</w:t>
      </w:r>
      <w:r w:rsidRPr="00DA3BC7">
        <w:rPr>
          <w:rFonts w:ascii="Times New Roman" w:hAnsi="Times New Roman"/>
        </w:rPr>
        <w:t>說：</w:t>
      </w:r>
    </w:p>
    <w:p w:rsidR="002B682F" w:rsidRPr="00DA3BC7" w:rsidRDefault="002B682F" w:rsidP="008E2BBC">
      <w:pPr>
        <w:ind w:leftChars="200" w:left="480"/>
        <w:jc w:val="both"/>
        <w:rPr>
          <w:rFonts w:ascii="Times New Roman" w:eastAsia="標楷體" w:hAnsi="Times New Roman"/>
        </w:rPr>
      </w:pPr>
      <w:r w:rsidRPr="00DA3BC7">
        <w:rPr>
          <w:rFonts w:ascii="Times New Roman" w:eastAsia="標楷體" w:hAnsi="Times New Roman"/>
        </w:rPr>
        <w:t>凡諸法</w:t>
      </w:r>
      <w:r w:rsidRPr="00DA3BC7">
        <w:rPr>
          <w:rFonts w:ascii="Times New Roman" w:eastAsia="標楷體" w:hAnsi="Times New Roman"/>
          <w:b/>
        </w:rPr>
        <w:t>體、性、法、物、事、有</w:t>
      </w:r>
      <w:r w:rsidRPr="00DA3BC7">
        <w:rPr>
          <w:rFonts w:ascii="Times New Roman" w:eastAsia="標楷體" w:hAnsi="Times New Roman"/>
        </w:rPr>
        <w:t>，名異義同。是故或言體，或言性，或言法，或言有，或言物，莫不皆是「有」之差別。</w:t>
      </w:r>
    </w:p>
    <w:p w:rsidR="002B682F" w:rsidRPr="00DA3BC7" w:rsidRDefault="002B682F" w:rsidP="00AE3920">
      <w:pPr>
        <w:spacing w:beforeLines="20"/>
        <w:ind w:leftChars="200" w:left="480"/>
        <w:jc w:val="both"/>
        <w:rPr>
          <w:rFonts w:ascii="Times New Roman" w:eastAsia="SimSun" w:hAnsi="Times New Roman"/>
          <w:lang w:eastAsia="zh-CN"/>
        </w:rPr>
      </w:pPr>
      <w:r w:rsidRPr="00DA3BC7">
        <w:rPr>
          <w:rFonts w:ascii="Times New Roman" w:eastAsia="標楷體" w:hAnsi="Times New Roman"/>
        </w:rPr>
        <w:t>正音云私婆婆，或譯為自體</w:t>
      </w:r>
      <w:r w:rsidR="00CD7838" w:rsidRPr="00DA3BC7">
        <w:rPr>
          <w:rFonts w:ascii="新細明體" w:hAnsi="新細明體"/>
        </w:rPr>
        <w:t>［</w:t>
      </w:r>
      <w:r w:rsidRPr="00DA3BC7">
        <w:rPr>
          <w:rFonts w:ascii="新細明體" w:hAnsi="新細明體"/>
        </w:rPr>
        <w:t>的</w:t>
      </w:r>
      <w:r w:rsidR="00CD7838" w:rsidRPr="00DA3BC7">
        <w:rPr>
          <w:rFonts w:ascii="新細明體" w:hAnsi="新細明體"/>
        </w:rPr>
        <w:t>］</w:t>
      </w:r>
      <w:r w:rsidRPr="00DA3BC7">
        <w:rPr>
          <w:rFonts w:ascii="Times New Roman" w:eastAsia="標楷體" w:hAnsi="Times New Roman"/>
          <w:b/>
        </w:rPr>
        <w:t>體</w:t>
      </w:r>
      <w:r w:rsidRPr="00DA3BC7">
        <w:rPr>
          <w:rFonts w:ascii="Times New Roman" w:eastAsia="標楷體" w:hAnsi="Times New Roman"/>
        </w:rPr>
        <w:t>，或譯為無法有法</w:t>
      </w:r>
      <w:r w:rsidR="00CD7838" w:rsidRPr="00DA3BC7">
        <w:rPr>
          <w:rFonts w:ascii="新細明體" w:hAnsi="新細明體"/>
        </w:rPr>
        <w:t>［</w:t>
      </w:r>
      <w:r w:rsidRPr="00DA3BC7">
        <w:rPr>
          <w:rFonts w:ascii="新細明體" w:hAnsi="新細明體"/>
        </w:rPr>
        <w:t>的</w:t>
      </w:r>
      <w:r w:rsidRPr="00CD554C">
        <w:rPr>
          <w:rFonts w:ascii="新細明體" w:hAnsi="新細明體"/>
          <w:b/>
          <w:highlight w:val="yellow"/>
        </w:rPr>
        <w:t>法</w:t>
      </w:r>
      <w:r w:rsidR="00CD554C" w:rsidRPr="00CD554C">
        <w:rPr>
          <w:rFonts w:ascii="新細明體" w:hAnsi="新細明體"/>
          <w:highlight w:val="yellow"/>
        </w:rPr>
        <w:t>］</w:t>
      </w:r>
      <w:r w:rsidRPr="00DA3BC7">
        <w:rPr>
          <w:rFonts w:ascii="Times New Roman" w:eastAsia="標楷體" w:hAnsi="Times New Roman"/>
        </w:rPr>
        <w:t>，或譯為無自性</w:t>
      </w:r>
      <w:r w:rsidR="00CD7838" w:rsidRPr="00DA3BC7">
        <w:rPr>
          <w:rFonts w:ascii="新細明體" w:hAnsi="新細明體"/>
        </w:rPr>
        <w:t>［</w:t>
      </w:r>
      <w:r w:rsidRPr="00DA3BC7">
        <w:rPr>
          <w:rFonts w:ascii="新細明體" w:hAnsi="新細明體"/>
        </w:rPr>
        <w:t>的</w:t>
      </w:r>
      <w:r w:rsidR="00CD7838" w:rsidRPr="00DA3BC7">
        <w:rPr>
          <w:rFonts w:ascii="新細明體" w:hAnsi="新細明體"/>
        </w:rPr>
        <w:t>］</w:t>
      </w:r>
      <w:r w:rsidRPr="00DA3BC7">
        <w:rPr>
          <w:rFonts w:ascii="Times New Roman" w:eastAsia="標楷體" w:hAnsi="Times New Roman"/>
          <w:b/>
        </w:rPr>
        <w:t>性</w:t>
      </w:r>
      <w:r w:rsidRPr="00DA3BC7">
        <w:rPr>
          <w:rFonts w:ascii="Times New Roman" w:eastAsia="標楷體" w:hAnsi="Times New Roman"/>
        </w:rPr>
        <w:t>。</w:t>
      </w:r>
    </w:p>
    <w:p w:rsidR="002B682F" w:rsidRPr="00DA3BC7" w:rsidRDefault="002B682F" w:rsidP="008E2BBC">
      <w:pPr>
        <w:ind w:leftChars="100" w:left="240"/>
        <w:jc w:val="both"/>
        <w:rPr>
          <w:rFonts w:ascii="Times New Roman" w:eastAsia="SimSun" w:hAnsi="Times New Roman"/>
          <w:u w:val="single"/>
        </w:rPr>
      </w:pPr>
      <w:r w:rsidRPr="00DA3BC7">
        <w:rPr>
          <w:rFonts w:ascii="Times New Roman" w:hAnsi="Times New Roman"/>
        </w:rPr>
        <w:t>所舉的名字雖很多，而意義是同一的。</w:t>
      </w:r>
      <w:r w:rsidRPr="00DA3BC7">
        <w:rPr>
          <w:rFonts w:ascii="Times New Roman" w:hAnsi="Times New Roman"/>
          <w:b/>
        </w:rPr>
        <w:t>所謂體、性、法、物、事，皆即是「有」的別名</w:t>
      </w:r>
      <w:r w:rsidRPr="00DA3BC7">
        <w:rPr>
          <w:rFonts w:ascii="Times New Roman" w:hAnsi="Times New Roman"/>
        </w:rPr>
        <w:t>。</w:t>
      </w:r>
    </w:p>
    <w:p w:rsidR="002B682F" w:rsidRPr="00DA3BC7" w:rsidRDefault="002B682F" w:rsidP="00AE3920">
      <w:pPr>
        <w:spacing w:beforeLines="20"/>
        <w:ind w:leftChars="100" w:left="240"/>
        <w:jc w:val="both"/>
        <w:rPr>
          <w:rFonts w:ascii="Times New Roman" w:eastAsia="SimSun" w:hAnsi="Times New Roman"/>
        </w:rPr>
      </w:pPr>
      <w:r w:rsidRPr="00DA3BC7">
        <w:rPr>
          <w:rFonts w:ascii="Times New Roman" w:hAnsi="Times New Roman"/>
        </w:rPr>
        <w:t>但它又說：梵語的</w:t>
      </w:r>
      <w:r w:rsidRPr="00DA3BC7">
        <w:rPr>
          <w:rFonts w:ascii="Times New Roman" w:hAnsi="Times New Roman"/>
          <w:b/>
        </w:rPr>
        <w:t>私婆婆</w:t>
      </w:r>
      <w:r w:rsidRPr="00DA3BC7">
        <w:rPr>
          <w:rFonts w:ascii="Times New Roman" w:hAnsi="Times New Roman"/>
        </w:rPr>
        <w:t>，或譯為</w:t>
      </w:r>
      <w:r w:rsidRPr="00DA3BC7">
        <w:rPr>
          <w:rFonts w:ascii="Times New Roman" w:hAnsi="Times New Roman"/>
          <w:b/>
        </w:rPr>
        <w:t>體、法、性</w:t>
      </w:r>
      <w:r w:rsidRPr="00DA3BC7">
        <w:rPr>
          <w:rFonts w:ascii="Times New Roman" w:hAnsi="Times New Roman"/>
        </w:rPr>
        <w:t>。</w:t>
      </w:r>
    </w:p>
    <w:p w:rsidR="002B682F" w:rsidRPr="00DA3BC7" w:rsidRDefault="002B682F" w:rsidP="00AE3920">
      <w:pPr>
        <w:spacing w:beforeLines="30"/>
        <w:ind w:leftChars="100" w:left="240"/>
        <w:jc w:val="both"/>
        <w:rPr>
          <w:rFonts w:ascii="Times New Roman" w:hAnsi="Times New Roman"/>
          <w:sz w:val="20"/>
          <w:szCs w:val="20"/>
        </w:rPr>
      </w:pPr>
      <w:r w:rsidRPr="00DA3BC7">
        <w:rPr>
          <w:rFonts w:ascii="Times New Roman" w:hAnsi="Times New Roman" w:hint="eastAsia"/>
          <w:b/>
          <w:sz w:val="20"/>
          <w:szCs w:val="20"/>
          <w:bdr w:val="single" w:sz="4" w:space="0" w:color="auto"/>
        </w:rPr>
        <w:t>二、</w:t>
      </w:r>
      <w:r w:rsidRPr="00DA3BC7">
        <w:rPr>
          <w:rFonts w:ascii="Times New Roman" w:hAnsi="Times New Roman"/>
          <w:b/>
          <w:sz w:val="20"/>
          <w:szCs w:val="20"/>
          <w:bdr w:val="single" w:sz="4" w:space="0" w:color="auto"/>
        </w:rPr>
        <w:t>自性之意義</w:t>
      </w:r>
      <w:r w:rsidRPr="00DA3BC7">
        <w:rPr>
          <w:rFonts w:ascii="Times New Roman" w:hAnsi="Times Ext Roman"/>
          <w:sz w:val="20"/>
          <w:szCs w:val="20"/>
        </w:rPr>
        <w:t>（</w:t>
      </w:r>
      <w:r w:rsidRPr="00DA3BC7">
        <w:rPr>
          <w:rFonts w:ascii="Times New Roman" w:hAnsi="Times New Roman"/>
          <w:sz w:val="20"/>
          <w:szCs w:val="20"/>
        </w:rPr>
        <w:t>p.</w:t>
      </w:r>
      <w:r w:rsidRPr="00DA3BC7">
        <w:rPr>
          <w:rFonts w:ascii="Times New Roman" w:eastAsia="SimSun" w:hAnsi="Times New Roman"/>
          <w:sz w:val="20"/>
          <w:szCs w:val="20"/>
        </w:rPr>
        <w:t>64</w:t>
      </w:r>
      <w:r w:rsidRPr="00DA3BC7">
        <w:rPr>
          <w:rFonts w:ascii="Times New Roman" w:hAnsi="Times Ext Roman"/>
          <w:sz w:val="20"/>
          <w:szCs w:val="20"/>
        </w:rPr>
        <w:t>）</w:t>
      </w:r>
    </w:p>
    <w:p w:rsidR="002B682F" w:rsidRPr="00DA3BC7" w:rsidRDefault="002B682F" w:rsidP="008E2BBC">
      <w:pPr>
        <w:ind w:leftChars="100" w:left="240"/>
        <w:jc w:val="both"/>
        <w:rPr>
          <w:rFonts w:ascii="Times New Roman" w:eastAsia="SimSun" w:hAnsi="Times New Roman"/>
        </w:rPr>
      </w:pPr>
      <w:r w:rsidRPr="00DA3BC7">
        <w:rPr>
          <w:rFonts w:ascii="Times New Roman" w:hAnsi="Times New Roman"/>
        </w:rPr>
        <w:t>依梵語說</w:t>
      </w:r>
      <w:r w:rsidRPr="00DA3BC7">
        <w:rPr>
          <w:rFonts w:ascii="Times New Roman" w:hAnsi="Times New Roman" w:hint="eastAsia"/>
        </w:rPr>
        <w:t>，</w:t>
      </w:r>
      <w:r w:rsidRPr="00DA3BC7">
        <w:rPr>
          <w:rFonts w:ascii="Times New Roman" w:hAnsi="Times New Roman"/>
        </w:rPr>
        <w:t>婆婆</w:t>
      </w:r>
      <w:r w:rsidRPr="003B54E5">
        <w:rPr>
          <w:rFonts w:ascii="Times New Roman" w:eastAsia="SimSun" w:hAnsi="SimSun"/>
        </w:rPr>
        <w:t>（</w:t>
      </w:r>
      <w:r w:rsidRPr="003B54E5">
        <w:rPr>
          <w:rFonts w:ascii="Times New Roman" w:hAnsi="Times New Roman"/>
        </w:rPr>
        <w:t>bhāva</w:t>
      </w:r>
      <w:r w:rsidRPr="003B54E5">
        <w:rPr>
          <w:rFonts w:ascii="Times New Roman" w:eastAsia="SimSun" w:hAnsi="SimSun"/>
        </w:rPr>
        <w:t>）</w:t>
      </w:r>
      <w:r w:rsidRPr="00DA3BC7">
        <w:rPr>
          <w:rFonts w:ascii="Times New Roman" w:hAnsi="Times New Roman"/>
        </w:rPr>
        <w:t>即是「有」。此字，什公每譯為</w:t>
      </w:r>
      <w:r w:rsidRPr="00C445A6">
        <w:rPr>
          <w:rFonts w:ascii="Times New Roman" w:hAnsi="Times New Roman"/>
          <w:b/>
          <w:u w:val="wave" w:color="C00000"/>
        </w:rPr>
        <w:t>法</w:t>
      </w:r>
      <w:r w:rsidRPr="00DA3BC7">
        <w:rPr>
          <w:rFonts w:ascii="Times New Roman" w:hAnsi="Times New Roman"/>
        </w:rPr>
        <w:t>，</w:t>
      </w:r>
      <w:r w:rsidR="00C445A6" w:rsidRPr="00DA3BC7">
        <w:rPr>
          <w:rStyle w:val="a6"/>
          <w:rFonts w:ascii="Times New Roman" w:hAnsi="Times New Roman"/>
        </w:rPr>
        <w:footnoteReference w:id="332"/>
      </w:r>
      <w:r w:rsidR="00C445A6">
        <w:rPr>
          <w:rFonts w:ascii="Times New Roman" w:hAnsi="Times New Roman"/>
        </w:rPr>
        <w:t>也或譯為</w:t>
      </w:r>
      <w:r w:rsidRPr="00C445A6">
        <w:rPr>
          <w:rFonts w:ascii="Times New Roman" w:hAnsi="Times New Roman"/>
          <w:b/>
          <w:u w:val="wave" w:color="C00000"/>
        </w:rPr>
        <w:t>物</w:t>
      </w:r>
      <w:r w:rsidR="00C445A6">
        <w:rPr>
          <w:rFonts w:ascii="Times New Roman" w:hAnsi="Times New Roman"/>
        </w:rPr>
        <w:t>。</w:t>
      </w:r>
      <w:r w:rsidRPr="00DA3BC7">
        <w:rPr>
          <w:rStyle w:val="a6"/>
          <w:rFonts w:ascii="Times New Roman" w:hAnsi="Times New Roman"/>
        </w:rPr>
        <w:footnoteReference w:id="333"/>
      </w:r>
      <w:r w:rsidR="00C445A6">
        <w:rPr>
          <w:rFonts w:ascii="Times New Roman" w:hAnsi="Times New Roman"/>
        </w:rPr>
        <w:t>《般若燈論》也有譯作</w:t>
      </w:r>
      <w:r w:rsidRPr="00C445A6">
        <w:rPr>
          <w:rFonts w:ascii="Times New Roman" w:hAnsi="Times New Roman"/>
          <w:b/>
          <w:u w:val="wave" w:color="C00000"/>
        </w:rPr>
        <w:t>體</w:t>
      </w:r>
      <w:r w:rsidRPr="00DA3BC7">
        <w:rPr>
          <w:rFonts w:ascii="Times New Roman" w:hAnsi="Times New Roman"/>
        </w:rPr>
        <w:t>的。</w:t>
      </w:r>
      <w:r w:rsidR="00C445A6" w:rsidRPr="00DA3BC7">
        <w:rPr>
          <w:rStyle w:val="a6"/>
          <w:rFonts w:ascii="Times New Roman" w:hAnsi="Times New Roman"/>
        </w:rPr>
        <w:footnoteReference w:id="334"/>
      </w:r>
    </w:p>
    <w:p w:rsidR="002B682F" w:rsidRPr="00DA3BC7" w:rsidRDefault="002B682F" w:rsidP="00AE3920">
      <w:pPr>
        <w:spacing w:beforeLines="20"/>
        <w:ind w:leftChars="100" w:left="240"/>
        <w:jc w:val="both"/>
        <w:rPr>
          <w:rFonts w:ascii="Times New Roman" w:eastAsia="SimSun" w:hAnsi="Times New Roman"/>
        </w:rPr>
      </w:pPr>
      <w:r w:rsidRPr="00DA3BC7">
        <w:rPr>
          <w:rFonts w:ascii="Times New Roman" w:hAnsi="Times New Roman"/>
        </w:rPr>
        <w:lastRenderedPageBreak/>
        <w:t>「有」前加</w:t>
      </w:r>
      <w:r w:rsidRPr="00DA3BC7">
        <w:rPr>
          <w:rFonts w:ascii="Times New Roman" w:hAnsi="Times New Roman"/>
        </w:rPr>
        <w:t>sva</w:t>
      </w:r>
      <w:r w:rsidRPr="00DA3BC7">
        <w:rPr>
          <w:rFonts w:ascii="Times New Roman" w:hAnsi="Times New Roman"/>
        </w:rPr>
        <w:t>，即私婆婆，即自性的原語。或譯「自體」，</w:t>
      </w:r>
      <w:r w:rsidRPr="00DA3BC7">
        <w:rPr>
          <w:rFonts w:ascii="Times New Roman" w:hAnsi="Times New Roman"/>
          <w:vertAlign w:val="superscript"/>
        </w:rPr>
        <w:footnoteReference w:id="335"/>
      </w:r>
      <w:r w:rsidRPr="00DA3BC7">
        <w:rPr>
          <w:rFonts w:ascii="Times New Roman" w:hAnsi="Times New Roman"/>
        </w:rPr>
        <w:t>含有自己有、自己成的意義，是自己規定自己的。凡是法，即有其特殊的形態與作用</w:t>
      </w:r>
      <w:r w:rsidRPr="00DA3BC7">
        <w:rPr>
          <w:rFonts w:ascii="Times New Roman" w:hAnsi="Times New Roman" w:hint="eastAsia"/>
        </w:rPr>
        <w:t>；</w:t>
      </w:r>
      <w:r w:rsidRPr="00DA3BC7">
        <w:rPr>
          <w:rFonts w:ascii="Times New Roman" w:hAnsi="Times New Roman"/>
        </w:rPr>
        <w:t>其所以有此形態與作用，依自性說，即是自己如此的。</w:t>
      </w:r>
    </w:p>
    <w:p w:rsidR="002B682F" w:rsidRPr="00DA3BC7" w:rsidRDefault="002B682F" w:rsidP="00AE3920">
      <w:pPr>
        <w:spacing w:beforeLines="30"/>
        <w:ind w:leftChars="50" w:left="120"/>
        <w:jc w:val="both"/>
        <w:rPr>
          <w:rFonts w:ascii="Times New Roman" w:hAnsi="Times New Roman"/>
          <w:sz w:val="20"/>
          <w:szCs w:val="20"/>
        </w:rPr>
      </w:pPr>
      <w:r w:rsidRPr="00DA3BC7">
        <w:rPr>
          <w:rFonts w:ascii="Times New Roman" w:hAnsi="Times New Roman" w:hint="eastAsia"/>
          <w:b/>
          <w:sz w:val="20"/>
          <w:szCs w:val="20"/>
          <w:bdr w:val="single" w:sz="4" w:space="0" w:color="auto"/>
        </w:rPr>
        <w:t>（貳）性（</w:t>
      </w:r>
      <w:r w:rsidRPr="00DA3BC7">
        <w:rPr>
          <w:rFonts w:ascii="Times New Roman" w:hAnsi="Times New Roman"/>
          <w:b/>
          <w:sz w:val="20"/>
          <w:szCs w:val="20"/>
          <w:bdr w:val="single" w:sz="4" w:space="0" w:color="auto"/>
        </w:rPr>
        <w:t>prakṛti</w:t>
      </w:r>
      <w:r w:rsidRPr="00DA3BC7">
        <w:rPr>
          <w:rFonts w:ascii="Times New Roman" w:hAnsi="Times New Roman" w:hint="eastAsia"/>
          <w:b/>
          <w:sz w:val="20"/>
          <w:szCs w:val="20"/>
          <w:bdr w:val="single" w:sz="4" w:space="0" w:color="auto"/>
        </w:rPr>
        <w:t>）</w:t>
      </w:r>
      <w:r w:rsidRPr="00DA3BC7">
        <w:rPr>
          <w:rFonts w:ascii="Times New Roman" w:hAnsi="Times Ext Roman"/>
          <w:sz w:val="20"/>
          <w:szCs w:val="20"/>
        </w:rPr>
        <w:t>（</w:t>
      </w:r>
      <w:r w:rsidRPr="00DA3BC7">
        <w:rPr>
          <w:rFonts w:ascii="Times New Roman" w:hAnsi="Times New Roman"/>
          <w:sz w:val="20"/>
          <w:szCs w:val="20"/>
        </w:rPr>
        <w:t>p.</w:t>
      </w:r>
      <w:r w:rsidRPr="00DA3BC7">
        <w:rPr>
          <w:rFonts w:ascii="Times New Roman" w:eastAsia="SimSun" w:hAnsi="Times New Roman"/>
          <w:sz w:val="20"/>
          <w:szCs w:val="20"/>
        </w:rPr>
        <w:t>64</w:t>
      </w:r>
      <w:r w:rsidRPr="00DA3BC7">
        <w:rPr>
          <w:rFonts w:ascii="Times New Roman" w:hAnsi="Times Ext Roman"/>
          <w:sz w:val="20"/>
          <w:szCs w:val="20"/>
        </w:rPr>
        <w:t>）</w:t>
      </w:r>
    </w:p>
    <w:p w:rsidR="002B682F" w:rsidRPr="00DA3BC7" w:rsidRDefault="002B682F" w:rsidP="008E2BBC">
      <w:pPr>
        <w:ind w:leftChars="50" w:left="120"/>
        <w:jc w:val="both"/>
        <w:rPr>
          <w:rFonts w:ascii="Times New Roman" w:hAnsi="Times New Roman"/>
        </w:rPr>
      </w:pPr>
      <w:r w:rsidRPr="00DA3BC7">
        <w:rPr>
          <w:rFonts w:ascii="Times New Roman" w:hAnsi="Times New Roman"/>
        </w:rPr>
        <w:t>此自性的另一特性</w:t>
      </w:r>
      <w:r w:rsidR="003B54E5" w:rsidRPr="003B54E5">
        <w:rPr>
          <w:rFonts w:ascii="Times New Roman" w:hAnsi="Times New Roman" w:hint="eastAsia"/>
          <w:color w:val="FF0000"/>
          <w:highlight w:val="yellow"/>
        </w:rPr>
        <w:t>（</w:t>
      </w:r>
      <w:r w:rsidRPr="00DA3BC7">
        <w:rPr>
          <w:rFonts w:ascii="Times New Roman" w:hAnsi="Times New Roman"/>
        </w:rPr>
        <w:t>prakṛti</w:t>
      </w:r>
      <w:r w:rsidR="003B54E5" w:rsidRPr="003B54E5">
        <w:rPr>
          <w:rFonts w:ascii="Times New Roman" w:hAnsi="Times New Roman" w:hint="eastAsia"/>
          <w:color w:val="FF0000"/>
          <w:highlight w:val="yellow"/>
        </w:rPr>
        <w:t>）</w:t>
      </w:r>
      <w:r w:rsidR="003B54E5" w:rsidRPr="00DA3BC7">
        <w:rPr>
          <w:rFonts w:ascii="Times New Roman" w:hAnsi="Times New Roman"/>
        </w:rPr>
        <w:t>，</w:t>
      </w:r>
      <w:r w:rsidRPr="00DA3BC7">
        <w:rPr>
          <w:rStyle w:val="a6"/>
          <w:rFonts w:ascii="Times New Roman" w:hAnsi="Times New Roman"/>
        </w:rPr>
        <w:footnoteReference w:id="336"/>
      </w:r>
      <w:r w:rsidRPr="00DA3BC7">
        <w:rPr>
          <w:rFonts w:ascii="Times New Roman" w:hAnsi="Times New Roman"/>
        </w:rPr>
        <w:t>什公譯為</w:t>
      </w:r>
      <w:r w:rsidRPr="003B54E5">
        <w:rPr>
          <w:rFonts w:ascii="Times New Roman" w:hAnsi="Times New Roman"/>
          <w:b/>
          <w:u w:val="wave" w:color="C00000"/>
        </w:rPr>
        <w:t>性</w:t>
      </w:r>
      <w:r w:rsidRPr="00DA3BC7">
        <w:rPr>
          <w:rFonts w:ascii="Times New Roman" w:hAnsi="Times New Roman"/>
        </w:rPr>
        <w:t>，意義為</w:t>
      </w:r>
      <w:r w:rsidRPr="003B54E5">
        <w:rPr>
          <w:rFonts w:ascii="Times New Roman" w:hAnsi="Times New Roman"/>
          <w:u w:val="wave" w:color="C00000"/>
        </w:rPr>
        <w:t>本源的性質</w:t>
      </w:r>
      <w:r w:rsidR="003B54E5" w:rsidRPr="003B54E5">
        <w:rPr>
          <w:rFonts w:ascii="Times New Roman" w:hAnsi="Times New Roman" w:hint="eastAsia"/>
          <w:u w:color="C00000"/>
        </w:rPr>
        <w:t>，</w:t>
      </w:r>
      <w:r w:rsidRPr="00DA3BC7">
        <w:rPr>
          <w:rFonts w:ascii="Times New Roman" w:hAnsi="Times New Roman"/>
        </w:rPr>
        <w:t>即本質或</w:t>
      </w:r>
      <w:r w:rsidRPr="00DA3BC7">
        <w:rPr>
          <w:rFonts w:ascii="Times New Roman" w:hAnsi="Times New Roman"/>
        </w:rPr>
        <w:lastRenderedPageBreak/>
        <w:t>原質。</w:t>
      </w:r>
    </w:p>
    <w:p w:rsidR="002B682F" w:rsidRPr="00DA3BC7" w:rsidRDefault="002B682F" w:rsidP="00AE3920">
      <w:pPr>
        <w:spacing w:beforeLines="30"/>
        <w:ind w:leftChars="50" w:left="120"/>
        <w:jc w:val="both"/>
        <w:rPr>
          <w:rFonts w:ascii="Times New Roman" w:hAnsi="Times New Roman"/>
          <w:b/>
          <w:sz w:val="20"/>
          <w:szCs w:val="20"/>
          <w:bdr w:val="single" w:sz="4" w:space="0" w:color="auto"/>
        </w:rPr>
      </w:pPr>
      <w:r w:rsidRPr="00DA3BC7">
        <w:rPr>
          <w:rFonts w:ascii="Times New Roman" w:hAnsi="Times New Roman" w:hint="eastAsia"/>
          <w:b/>
          <w:sz w:val="20"/>
          <w:szCs w:val="20"/>
          <w:bdr w:val="single" w:sz="4" w:space="0" w:color="auto"/>
        </w:rPr>
        <w:t>（</w:t>
      </w:r>
      <w:r w:rsidR="00FC5046" w:rsidRPr="00DA3BC7">
        <w:rPr>
          <w:rFonts w:ascii="Times New Roman" w:hAnsi="Times New Roman" w:hint="eastAsia"/>
          <w:b/>
          <w:sz w:val="20"/>
          <w:szCs w:val="20"/>
          <w:bdr w:val="single" w:sz="4" w:space="0" w:color="auto"/>
        </w:rPr>
        <w:t>參</w:t>
      </w:r>
      <w:r w:rsidRPr="00DA3BC7">
        <w:rPr>
          <w:rFonts w:ascii="Times New Roman" w:hAnsi="Times New Roman" w:hint="eastAsia"/>
          <w:b/>
          <w:sz w:val="20"/>
          <w:szCs w:val="20"/>
          <w:bdr w:val="single" w:sz="4" w:space="0" w:color="auto"/>
        </w:rPr>
        <w:t>）小結</w:t>
      </w:r>
      <w:r w:rsidRPr="00DA3BC7">
        <w:rPr>
          <w:rFonts w:ascii="Times New Roman" w:hAnsi="Times Ext Roman"/>
          <w:sz w:val="20"/>
          <w:szCs w:val="20"/>
        </w:rPr>
        <w:t>（</w:t>
      </w:r>
      <w:r w:rsidRPr="00DA3BC7">
        <w:rPr>
          <w:rFonts w:ascii="Times New Roman" w:hAnsi="Times New Roman"/>
          <w:sz w:val="20"/>
          <w:szCs w:val="20"/>
        </w:rPr>
        <w:t>pp.</w:t>
      </w:r>
      <w:r w:rsidRPr="00DA3BC7">
        <w:rPr>
          <w:rFonts w:ascii="Times New Roman" w:eastAsia="SimSun" w:hAnsi="Times New Roman"/>
          <w:sz w:val="20"/>
          <w:szCs w:val="20"/>
        </w:rPr>
        <w:t>64</w:t>
      </w:r>
      <w:r w:rsidRPr="00DA3BC7">
        <w:rPr>
          <w:rFonts w:ascii="Times New Roman" w:hAnsi="Times New Roman"/>
          <w:sz w:val="20"/>
          <w:szCs w:val="20"/>
        </w:rPr>
        <w:t>-</w:t>
      </w:r>
      <w:r w:rsidRPr="00DA3BC7">
        <w:rPr>
          <w:rFonts w:ascii="Times New Roman" w:eastAsia="SimSun" w:hAnsi="Times New Roman"/>
          <w:sz w:val="20"/>
          <w:szCs w:val="20"/>
        </w:rPr>
        <w:t>65</w:t>
      </w:r>
      <w:r w:rsidRPr="00DA3BC7">
        <w:rPr>
          <w:rFonts w:ascii="Times New Roman" w:hAnsi="Times Ext Roman"/>
          <w:sz w:val="20"/>
          <w:szCs w:val="20"/>
        </w:rPr>
        <w:t>）</w:t>
      </w:r>
    </w:p>
    <w:p w:rsidR="002B682F" w:rsidRPr="00DA3BC7" w:rsidRDefault="002B682F" w:rsidP="008E2BBC">
      <w:pPr>
        <w:ind w:leftChars="50" w:left="120"/>
        <w:jc w:val="both"/>
        <w:rPr>
          <w:rFonts w:ascii="Times New Roman" w:eastAsia="SimSun" w:hAnsi="Times New Roman"/>
        </w:rPr>
      </w:pPr>
      <w:r w:rsidRPr="00DA3BC7">
        <w:rPr>
          <w:rFonts w:ascii="Times New Roman" w:hAnsi="Times New Roman"/>
        </w:rPr>
        <w:t>所以，自性是自己如此的，也是本來的性質如此的。如哲學上所說的實在、本體、本元等，皆與此自性的含義相合。</w:t>
      </w:r>
      <w:r w:rsidRPr="00DA3BC7">
        <w:rPr>
          <w:rStyle w:val="a6"/>
          <w:rFonts w:ascii="Times New Roman" w:hAnsi="Times New Roman"/>
        </w:rPr>
        <w:footnoteReference w:id="337"/>
      </w:r>
    </w:p>
    <w:p w:rsidR="002B682F" w:rsidRPr="00DA3BC7" w:rsidRDefault="002B682F" w:rsidP="00AE3920">
      <w:pPr>
        <w:spacing w:beforeLines="30"/>
        <w:jc w:val="both"/>
        <w:rPr>
          <w:rFonts w:ascii="Times New Roman" w:hAnsi="Times New Roman"/>
          <w:sz w:val="20"/>
          <w:szCs w:val="20"/>
          <w:bdr w:val="single" w:sz="4" w:space="0" w:color="auto"/>
        </w:rPr>
      </w:pPr>
      <w:r w:rsidRPr="00DA3BC7">
        <w:rPr>
          <w:rFonts w:ascii="Times New Roman" w:hAnsi="Times New Roman" w:hint="eastAsia"/>
          <w:b/>
          <w:sz w:val="20"/>
          <w:szCs w:val="20"/>
          <w:bdr w:val="single" w:sz="4" w:space="0" w:color="auto"/>
        </w:rPr>
        <w:t>貳</w:t>
      </w:r>
      <w:r w:rsidRPr="00DA3BC7">
        <w:rPr>
          <w:rFonts w:ascii="Times New Roman" w:hAnsi="Times New Roman"/>
          <w:b/>
          <w:sz w:val="20"/>
          <w:szCs w:val="20"/>
          <w:bdr w:val="single" w:sz="4" w:space="0" w:color="auto"/>
        </w:rPr>
        <w:t>、</w:t>
      </w:r>
      <w:r w:rsidRPr="00DA3BC7">
        <w:rPr>
          <w:rFonts w:ascii="Times New Roman" w:hAnsi="Times New Roman" w:hint="eastAsia"/>
          <w:b/>
          <w:sz w:val="20"/>
          <w:szCs w:val="20"/>
          <w:bdr w:val="single" w:sz="4" w:space="0" w:color="auto"/>
        </w:rPr>
        <w:t>各學派</w:t>
      </w:r>
      <w:r w:rsidRPr="00DA3BC7">
        <w:rPr>
          <w:rFonts w:ascii="Times New Roman" w:hAnsi="Times New Roman"/>
          <w:b/>
          <w:sz w:val="20"/>
          <w:szCs w:val="20"/>
          <w:bdr w:val="single" w:sz="4" w:space="0" w:color="auto"/>
        </w:rPr>
        <w:t>對「自性」的詮釋</w:t>
      </w:r>
      <w:r w:rsidRPr="00DA3BC7">
        <w:rPr>
          <w:rFonts w:ascii="Times New Roman" w:hAnsi="Times Ext Roman"/>
          <w:sz w:val="20"/>
          <w:szCs w:val="20"/>
        </w:rPr>
        <w:t>（</w:t>
      </w:r>
      <w:r w:rsidRPr="00DA3BC7">
        <w:rPr>
          <w:rFonts w:ascii="Times New Roman" w:hAnsi="Times New Roman"/>
          <w:sz w:val="20"/>
          <w:szCs w:val="20"/>
        </w:rPr>
        <w:t>pp.</w:t>
      </w:r>
      <w:r w:rsidRPr="00DA3BC7">
        <w:rPr>
          <w:rFonts w:ascii="Times New Roman" w:eastAsia="SimSun" w:hAnsi="Times New Roman"/>
          <w:sz w:val="20"/>
          <w:szCs w:val="20"/>
        </w:rPr>
        <w:t>65</w:t>
      </w:r>
      <w:r w:rsidRPr="00DA3BC7">
        <w:rPr>
          <w:rFonts w:ascii="Times New Roman" w:hAnsi="Times New Roman"/>
          <w:sz w:val="20"/>
          <w:szCs w:val="20"/>
        </w:rPr>
        <w:t>-</w:t>
      </w:r>
      <w:r w:rsidRPr="00DA3BC7">
        <w:rPr>
          <w:rFonts w:ascii="Times New Roman" w:eastAsia="SimSun" w:hAnsi="Times New Roman"/>
          <w:sz w:val="20"/>
          <w:szCs w:val="20"/>
        </w:rPr>
        <w:t>69</w:t>
      </w:r>
      <w:r w:rsidRPr="00DA3BC7">
        <w:rPr>
          <w:rFonts w:ascii="Times New Roman" w:hAnsi="Times Ext Roman"/>
          <w:sz w:val="20"/>
          <w:szCs w:val="20"/>
        </w:rPr>
        <w:t>）</w:t>
      </w:r>
    </w:p>
    <w:p w:rsidR="002B682F" w:rsidRPr="00DA3BC7" w:rsidRDefault="002B682F" w:rsidP="008E2BBC">
      <w:pPr>
        <w:ind w:leftChars="50" w:left="120"/>
        <w:jc w:val="both"/>
        <w:rPr>
          <w:rFonts w:ascii="Times New Roman" w:hAnsi="Times New Roman"/>
          <w:sz w:val="20"/>
          <w:szCs w:val="20"/>
          <w:bdr w:val="single" w:sz="4" w:space="0" w:color="auto"/>
        </w:rPr>
      </w:pPr>
      <w:r w:rsidRPr="00DA3BC7">
        <w:rPr>
          <w:rFonts w:ascii="Times New Roman" w:hAnsi="Times New Roman"/>
          <w:b/>
          <w:sz w:val="20"/>
          <w:szCs w:val="20"/>
          <w:bdr w:val="single" w:sz="4" w:space="0" w:color="auto"/>
        </w:rPr>
        <w:t>（</w:t>
      </w:r>
      <w:r w:rsidRPr="00DA3BC7">
        <w:rPr>
          <w:rFonts w:ascii="Times New Roman" w:hAnsi="Times New Roman" w:hint="eastAsia"/>
          <w:b/>
          <w:sz w:val="20"/>
          <w:szCs w:val="20"/>
          <w:bdr w:val="single" w:sz="4" w:space="0" w:color="auto"/>
        </w:rPr>
        <w:t>壹</w:t>
      </w:r>
      <w:r w:rsidRPr="00DA3BC7">
        <w:rPr>
          <w:rFonts w:ascii="Times New Roman" w:hAnsi="Times New Roman"/>
          <w:b/>
          <w:sz w:val="20"/>
          <w:szCs w:val="20"/>
          <w:bdr w:val="single" w:sz="4" w:space="0" w:color="auto"/>
        </w:rPr>
        <w:t>）薩婆多部</w:t>
      </w:r>
      <w:r w:rsidRPr="00DA3BC7">
        <w:rPr>
          <w:rFonts w:ascii="Times New Roman" w:hAnsi="Times New Roman" w:hint="eastAsia"/>
          <w:b/>
          <w:sz w:val="20"/>
          <w:szCs w:val="20"/>
          <w:bdr w:val="single" w:sz="4" w:space="0" w:color="auto"/>
        </w:rPr>
        <w:t>學者（三世實有論者）</w:t>
      </w:r>
      <w:r w:rsidR="00F87FD0" w:rsidRPr="00F87FD0">
        <w:rPr>
          <w:rFonts w:ascii="Times New Roman" w:hAnsi="Times New Roman" w:hint="eastAsia"/>
          <w:b/>
          <w:color w:val="FF0000"/>
          <w:sz w:val="20"/>
          <w:szCs w:val="20"/>
          <w:highlight w:val="yellow"/>
          <w:bdr w:val="single" w:sz="4" w:space="0" w:color="auto"/>
        </w:rPr>
        <w:t>之見</w:t>
      </w:r>
      <w:r w:rsidRPr="00DA3BC7">
        <w:rPr>
          <w:rFonts w:ascii="Times New Roman" w:hAnsi="Times Ext Roman"/>
          <w:sz w:val="20"/>
          <w:szCs w:val="20"/>
        </w:rPr>
        <w:t>（</w:t>
      </w:r>
      <w:r w:rsidRPr="00DA3BC7">
        <w:rPr>
          <w:rFonts w:ascii="Times New Roman" w:hAnsi="Times New Roman"/>
          <w:sz w:val="20"/>
          <w:szCs w:val="20"/>
        </w:rPr>
        <w:t>p.</w:t>
      </w:r>
      <w:r w:rsidRPr="00DA3BC7">
        <w:rPr>
          <w:rFonts w:ascii="Times New Roman" w:eastAsia="SimSun" w:hAnsi="Times New Roman"/>
          <w:sz w:val="20"/>
          <w:szCs w:val="20"/>
        </w:rPr>
        <w:t>65</w:t>
      </w:r>
      <w:r w:rsidRPr="00DA3BC7">
        <w:rPr>
          <w:rFonts w:ascii="Times New Roman" w:hAnsi="Times Ext Roman"/>
          <w:sz w:val="20"/>
          <w:szCs w:val="20"/>
        </w:rPr>
        <w:t>）</w:t>
      </w:r>
    </w:p>
    <w:p w:rsidR="002B682F" w:rsidRPr="00DA3BC7" w:rsidRDefault="002B682F" w:rsidP="008E2BBC">
      <w:pPr>
        <w:ind w:leftChars="100" w:left="240"/>
        <w:jc w:val="both"/>
        <w:rPr>
          <w:rFonts w:ascii="Times New Roman" w:hAnsi="Times New Roman"/>
          <w:b/>
          <w:sz w:val="20"/>
          <w:szCs w:val="20"/>
        </w:rPr>
      </w:pPr>
      <w:r w:rsidRPr="00DA3BC7">
        <w:rPr>
          <w:rFonts w:ascii="Times New Roman" w:hAnsi="Times New Roman" w:hint="eastAsia"/>
          <w:b/>
          <w:sz w:val="20"/>
          <w:szCs w:val="20"/>
          <w:bdr w:val="single" w:sz="4" w:space="0" w:color="auto"/>
        </w:rPr>
        <w:t>一</w:t>
      </w:r>
      <w:r w:rsidRPr="00DA3BC7">
        <w:rPr>
          <w:rFonts w:ascii="Times New Roman" w:hAnsi="Times New Roman"/>
          <w:b/>
          <w:sz w:val="20"/>
          <w:szCs w:val="20"/>
          <w:bdr w:val="single" w:sz="4" w:space="0" w:color="auto"/>
        </w:rPr>
        <w:t>、自性之</w:t>
      </w:r>
      <w:r w:rsidR="00CD554C">
        <w:rPr>
          <w:rFonts w:ascii="Times New Roman" w:hAnsi="Times New Roman" w:hint="eastAsia"/>
          <w:b/>
          <w:color w:val="FF0000"/>
          <w:sz w:val="20"/>
          <w:szCs w:val="20"/>
          <w:highlight w:val="yellow"/>
          <w:bdr w:val="single" w:sz="4" w:space="0" w:color="auto"/>
        </w:rPr>
        <w:t>語意</w:t>
      </w:r>
      <w:r w:rsidRPr="00DA3BC7">
        <w:rPr>
          <w:rFonts w:ascii="Times New Roman" w:hAnsi="Times Ext Roman"/>
          <w:sz w:val="20"/>
          <w:szCs w:val="20"/>
        </w:rPr>
        <w:t>（</w:t>
      </w:r>
      <w:r w:rsidRPr="00DA3BC7">
        <w:rPr>
          <w:rFonts w:ascii="Times New Roman" w:hAnsi="Times New Roman"/>
          <w:sz w:val="20"/>
          <w:szCs w:val="20"/>
        </w:rPr>
        <w:t>p.</w:t>
      </w:r>
      <w:r w:rsidRPr="00DA3BC7">
        <w:rPr>
          <w:rFonts w:ascii="Times New Roman" w:eastAsia="SimSun" w:hAnsi="Times New Roman"/>
          <w:sz w:val="20"/>
          <w:szCs w:val="20"/>
        </w:rPr>
        <w:t>65</w:t>
      </w:r>
      <w:r w:rsidRPr="00DA3BC7">
        <w:rPr>
          <w:rFonts w:ascii="Times New Roman" w:hAnsi="Times Ext Roman"/>
          <w:sz w:val="20"/>
          <w:szCs w:val="20"/>
        </w:rPr>
        <w:t>）</w:t>
      </w:r>
    </w:p>
    <w:p w:rsidR="002B682F" w:rsidRPr="00DA3BC7" w:rsidRDefault="002B682F" w:rsidP="008E2BBC">
      <w:pPr>
        <w:ind w:leftChars="100" w:left="240"/>
        <w:jc w:val="both"/>
        <w:rPr>
          <w:rFonts w:ascii="Times New Roman" w:eastAsia="標楷體" w:hAnsi="Times New Roman"/>
        </w:rPr>
      </w:pPr>
      <w:r w:rsidRPr="00DA3BC7">
        <w:rPr>
          <w:rFonts w:ascii="Times New Roman" w:hAnsi="Times New Roman"/>
        </w:rPr>
        <w:t>要明瞭「自性」一語的意義，請聽薩婆多部所說。如《大毘婆沙論》卷</w:t>
      </w:r>
      <w:r w:rsidR="00CD554C">
        <w:rPr>
          <w:rFonts w:ascii="Times New Roman" w:hAnsi="Times New Roman" w:hint="eastAsia"/>
          <w:color w:val="FF0000"/>
          <w:highlight w:val="yellow"/>
        </w:rPr>
        <w:t>1</w:t>
      </w:r>
      <w:r w:rsidRPr="00DA3BC7">
        <w:rPr>
          <w:rFonts w:ascii="Times New Roman" w:hAnsi="Times New Roman"/>
        </w:rPr>
        <w:t>說：「</w:t>
      </w:r>
      <w:r w:rsidRPr="00DA3BC7">
        <w:rPr>
          <w:rFonts w:ascii="Times New Roman" w:eastAsia="標楷體" w:hAnsi="Times New Roman"/>
        </w:rPr>
        <w:t>如說自性，我、物、自體、相、分、本性，應知亦爾。」</w:t>
      </w:r>
      <w:r w:rsidRPr="00DA3BC7">
        <w:rPr>
          <w:rStyle w:val="a6"/>
          <w:rFonts w:ascii="Times New Roman" w:hAnsi="Times New Roman"/>
        </w:rPr>
        <w:footnoteReference w:id="338"/>
      </w:r>
    </w:p>
    <w:p w:rsidR="002B682F" w:rsidRPr="00DA3BC7" w:rsidRDefault="002B682F" w:rsidP="00AE3920">
      <w:pPr>
        <w:spacing w:beforeLines="20"/>
        <w:ind w:leftChars="100" w:left="240"/>
        <w:jc w:val="both"/>
        <w:rPr>
          <w:rFonts w:ascii="Times New Roman" w:hAnsi="Times New Roman"/>
        </w:rPr>
      </w:pPr>
      <w:r w:rsidRPr="00DA3BC7">
        <w:rPr>
          <w:rFonts w:ascii="Times New Roman" w:hAnsi="Times New Roman"/>
        </w:rPr>
        <w:t>薩婆多部</w:t>
      </w:r>
      <w:r w:rsidRPr="00DA3BC7">
        <w:rPr>
          <w:rFonts w:ascii="新細明體" w:hAnsi="新細明體"/>
        </w:rPr>
        <w:t>的學</w:t>
      </w:r>
      <w:r w:rsidRPr="00DA3BC7">
        <w:rPr>
          <w:rFonts w:ascii="Times New Roman" w:hAnsi="Times New Roman"/>
        </w:rPr>
        <w:t>者，把自性、我、物、自體、相、分、本性看成同一意義。尤其所謂「</w:t>
      </w:r>
      <w:r w:rsidRPr="009E0A5A">
        <w:rPr>
          <w:rFonts w:ascii="標楷體" w:eastAsia="標楷體" w:hAnsi="標楷體"/>
        </w:rPr>
        <w:t>分</w:t>
      </w:r>
      <w:r w:rsidRPr="00DA3BC7">
        <w:rPr>
          <w:rFonts w:ascii="Times New Roman" w:hAnsi="Times New Roman"/>
        </w:rPr>
        <w:t>」，最值得注意。此</w:t>
      </w:r>
      <w:r w:rsidRPr="009E0A5A">
        <w:rPr>
          <w:rFonts w:ascii="標楷體" w:eastAsia="標楷體" w:hAnsi="標楷體"/>
        </w:rPr>
        <w:t>分</w:t>
      </w:r>
      <w:r w:rsidRPr="00DA3BC7">
        <w:rPr>
          <w:rFonts w:ascii="Times New Roman" w:hAnsi="Times New Roman"/>
        </w:rPr>
        <w:t>，就是事物的最後原素，也即是所謂「點」，即「其小無內」不可再分割的東西。</w:t>
      </w:r>
    </w:p>
    <w:p w:rsidR="002B682F" w:rsidRPr="00DA3BC7" w:rsidRDefault="002B682F" w:rsidP="00AE3920">
      <w:pPr>
        <w:spacing w:beforeLines="30"/>
        <w:ind w:leftChars="100" w:left="240"/>
        <w:jc w:val="both"/>
        <w:rPr>
          <w:rFonts w:ascii="Times New Roman" w:eastAsia="SimSun" w:hAnsi="Times New Roman"/>
        </w:rPr>
      </w:pPr>
      <w:r w:rsidRPr="00DA3BC7">
        <w:rPr>
          <w:rFonts w:ascii="Times New Roman" w:hAnsi="Times New Roman" w:hint="eastAsia"/>
          <w:b/>
          <w:sz w:val="20"/>
          <w:szCs w:val="20"/>
          <w:bdr w:val="single" w:sz="4" w:space="0" w:color="auto"/>
        </w:rPr>
        <w:lastRenderedPageBreak/>
        <w:t>二、</w:t>
      </w:r>
      <w:r w:rsidR="00F87FD0" w:rsidRPr="00F87FD0">
        <w:rPr>
          <w:rFonts w:ascii="Times New Roman" w:hAnsi="Times New Roman" w:hint="eastAsia"/>
          <w:b/>
          <w:color w:val="FF0000"/>
          <w:sz w:val="20"/>
          <w:szCs w:val="20"/>
          <w:highlight w:val="yellow"/>
          <w:bdr w:val="single" w:sz="4" w:space="0" w:color="auto"/>
        </w:rPr>
        <w:t>「</w:t>
      </w:r>
      <w:r w:rsidRPr="00DA3BC7">
        <w:rPr>
          <w:rFonts w:ascii="Times New Roman" w:hAnsi="Times New Roman"/>
          <w:b/>
          <w:sz w:val="20"/>
          <w:szCs w:val="20"/>
          <w:bdr w:val="single" w:sz="4" w:space="0" w:color="auto"/>
        </w:rPr>
        <w:t>假必依實</w:t>
      </w:r>
      <w:r w:rsidR="00F87FD0">
        <w:rPr>
          <w:rFonts w:ascii="Times New Roman" w:hAnsi="Times New Roman" w:hint="eastAsia"/>
          <w:b/>
          <w:color w:val="FF0000"/>
          <w:sz w:val="20"/>
          <w:szCs w:val="20"/>
          <w:highlight w:val="yellow"/>
          <w:bdr w:val="single" w:sz="4" w:space="0" w:color="auto"/>
        </w:rPr>
        <w:t>」</w:t>
      </w:r>
      <w:r w:rsidR="00CD554C" w:rsidRPr="00CD554C">
        <w:rPr>
          <w:rFonts w:ascii="Times New Roman" w:hAnsi="Times New Roman" w:hint="eastAsia"/>
          <w:b/>
          <w:color w:val="FF0000"/>
          <w:sz w:val="20"/>
          <w:szCs w:val="20"/>
          <w:highlight w:val="yellow"/>
          <w:bdr w:val="single" w:sz="4" w:space="0" w:color="auto"/>
        </w:rPr>
        <w:t>的主張</w:t>
      </w:r>
      <w:r w:rsidRPr="00DA3BC7">
        <w:rPr>
          <w:rFonts w:ascii="Times New Roman" w:hAnsi="Times Ext Roman"/>
          <w:sz w:val="20"/>
          <w:szCs w:val="20"/>
        </w:rPr>
        <w:t>（</w:t>
      </w:r>
      <w:r w:rsidRPr="00DA3BC7">
        <w:rPr>
          <w:rFonts w:ascii="Times New Roman" w:hAnsi="Times New Roman"/>
          <w:sz w:val="20"/>
          <w:szCs w:val="20"/>
        </w:rPr>
        <w:t>pp.</w:t>
      </w:r>
      <w:r w:rsidRPr="00DA3BC7">
        <w:rPr>
          <w:rFonts w:ascii="Times New Roman" w:eastAsia="SimSun" w:hAnsi="Times New Roman"/>
          <w:sz w:val="20"/>
          <w:szCs w:val="20"/>
        </w:rPr>
        <w:t>65</w:t>
      </w:r>
      <w:r w:rsidRPr="00DA3BC7">
        <w:rPr>
          <w:rFonts w:ascii="Times New Roman" w:hAnsi="Times New Roman"/>
          <w:sz w:val="20"/>
          <w:szCs w:val="20"/>
        </w:rPr>
        <w:t>-</w:t>
      </w:r>
      <w:r w:rsidRPr="00DA3BC7">
        <w:rPr>
          <w:rFonts w:ascii="Times New Roman" w:eastAsia="SimSun" w:hAnsi="Times New Roman"/>
          <w:sz w:val="20"/>
          <w:szCs w:val="20"/>
        </w:rPr>
        <w:t>66</w:t>
      </w:r>
      <w:r w:rsidRPr="00DA3BC7">
        <w:rPr>
          <w:rFonts w:ascii="Times New Roman" w:hAnsi="Times Ext Roman"/>
          <w:sz w:val="20"/>
          <w:szCs w:val="20"/>
        </w:rPr>
        <w:t>）</w:t>
      </w:r>
    </w:p>
    <w:p w:rsidR="002B682F" w:rsidRPr="00DA3BC7" w:rsidRDefault="002B682F" w:rsidP="008E2BBC">
      <w:pPr>
        <w:ind w:leftChars="100" w:left="240"/>
        <w:jc w:val="both"/>
        <w:rPr>
          <w:rFonts w:ascii="Times New Roman" w:eastAsia="SimSun" w:hAnsi="Times New Roman"/>
        </w:rPr>
      </w:pPr>
      <w:r w:rsidRPr="00DA3BC7">
        <w:rPr>
          <w:rFonts w:ascii="Times New Roman" w:hAnsi="Times New Roman"/>
        </w:rPr>
        <w:t>薩婆多部以為一切法不外兩種：一、假有，二、實有。</w:t>
      </w:r>
      <w:r w:rsidRPr="00DA3BC7">
        <w:rPr>
          <w:rStyle w:val="a6"/>
          <w:rFonts w:ascii="Times New Roman" w:hAnsi="Times New Roman"/>
        </w:rPr>
        <w:footnoteReference w:id="339"/>
      </w:r>
    </w:p>
    <w:p w:rsidR="002B682F" w:rsidRPr="00DA3BC7" w:rsidRDefault="002B682F" w:rsidP="00AE3920">
      <w:pPr>
        <w:spacing w:beforeLines="20"/>
        <w:ind w:leftChars="100" w:left="240"/>
        <w:jc w:val="both"/>
        <w:rPr>
          <w:rFonts w:ascii="Times New Roman" w:eastAsia="SimSun" w:hAnsi="Times New Roman"/>
        </w:rPr>
      </w:pPr>
      <w:r w:rsidRPr="00DA3BC7">
        <w:rPr>
          <w:rFonts w:ascii="Times New Roman" w:hAnsi="Times New Roman"/>
          <w:b/>
        </w:rPr>
        <w:t>假有</w:t>
      </w:r>
      <w:r w:rsidRPr="00DA3BC7">
        <w:rPr>
          <w:rFonts w:ascii="Times New Roman" w:hAnsi="Times New Roman"/>
        </w:rPr>
        <w:t>的，如《順正理論》卷</w:t>
      </w:r>
      <w:r w:rsidR="003B54E5" w:rsidRPr="003B54E5">
        <w:rPr>
          <w:rFonts w:ascii="Times New Roman" w:hAnsi="Times New Roman" w:hint="eastAsia"/>
        </w:rPr>
        <w:t>13</w:t>
      </w:r>
      <w:r w:rsidRPr="00DA3BC7">
        <w:rPr>
          <w:rFonts w:ascii="Times New Roman" w:hAnsi="Times New Roman"/>
        </w:rPr>
        <w:t>說：「</w:t>
      </w:r>
      <w:r w:rsidRPr="00DA3BC7">
        <w:rPr>
          <w:rFonts w:ascii="Times New Roman" w:eastAsia="標楷體" w:hAnsi="Times New Roman"/>
        </w:rPr>
        <w:t>是假有法，</w:t>
      </w:r>
      <w:r w:rsidRPr="00DA3BC7">
        <w:rPr>
          <w:rFonts w:ascii="Times New Roman" w:eastAsia="標楷體" w:hAnsi="Times New Roman" w:hint="eastAsia"/>
        </w:rPr>
        <w:t>寧</w:t>
      </w:r>
      <w:r w:rsidRPr="00DA3BC7">
        <w:rPr>
          <w:rStyle w:val="a6"/>
          <w:rFonts w:ascii="Times New Roman" w:hAnsi="Times New Roman"/>
        </w:rPr>
        <w:footnoteReference w:id="340"/>
      </w:r>
      <w:r w:rsidRPr="00DA3BC7">
        <w:rPr>
          <w:rFonts w:ascii="Times New Roman" w:eastAsia="標楷體" w:hAnsi="Times New Roman"/>
        </w:rPr>
        <w:t>求自性？」</w:t>
      </w:r>
      <w:r w:rsidRPr="00DA3BC7">
        <w:rPr>
          <w:rStyle w:val="a6"/>
          <w:rFonts w:ascii="Times New Roman" w:hAnsi="Times New Roman"/>
        </w:rPr>
        <w:footnoteReference w:id="341"/>
      </w:r>
      <w:r w:rsidRPr="00DA3BC7">
        <w:rPr>
          <w:rFonts w:ascii="Times New Roman" w:hAnsi="Times New Roman"/>
        </w:rPr>
        <w:t>假有法即不能追求其自性的。</w:t>
      </w:r>
    </w:p>
    <w:p w:rsidR="009E0A5A" w:rsidRDefault="002B682F" w:rsidP="00AE3920">
      <w:pPr>
        <w:spacing w:beforeLines="20"/>
        <w:ind w:leftChars="100" w:left="240"/>
        <w:jc w:val="both"/>
        <w:rPr>
          <w:rFonts w:ascii="Times New Roman" w:hAnsi="Times New Roman"/>
        </w:rPr>
      </w:pPr>
      <w:r w:rsidRPr="00DA3BC7">
        <w:rPr>
          <w:rFonts w:ascii="Times New Roman" w:hAnsi="Times New Roman"/>
        </w:rPr>
        <w:t>依他們說</w:t>
      </w:r>
      <w:r w:rsidRPr="00DA3BC7">
        <w:rPr>
          <w:rFonts w:ascii="Times New Roman" w:hAnsi="Times New Roman" w:hint="eastAsia"/>
        </w:rPr>
        <w:t>，</w:t>
      </w:r>
    </w:p>
    <w:p w:rsidR="002B682F" w:rsidRPr="00DA3BC7" w:rsidRDefault="002B682F" w:rsidP="00AE3920">
      <w:pPr>
        <w:spacing w:beforeLines="20"/>
        <w:ind w:leftChars="100" w:left="240"/>
        <w:jc w:val="both"/>
        <w:rPr>
          <w:rFonts w:ascii="Times New Roman" w:hAnsi="Times New Roman"/>
        </w:rPr>
      </w:pPr>
      <w:r w:rsidRPr="009E0A5A">
        <w:rPr>
          <w:rFonts w:ascii="Times New Roman" w:hAnsi="Times New Roman"/>
          <w:b/>
          <w:highlight w:val="yellow"/>
        </w:rPr>
        <w:t>假</w:t>
      </w:r>
      <w:r w:rsidRPr="00DA3BC7">
        <w:rPr>
          <w:rFonts w:ascii="Times New Roman" w:hAnsi="Times New Roman"/>
          <w:b/>
        </w:rPr>
        <w:t>有的必依於真實的</w:t>
      </w:r>
      <w:r w:rsidRPr="00DA3BC7">
        <w:rPr>
          <w:rFonts w:ascii="Times New Roman" w:hAnsi="Times New Roman"/>
        </w:rPr>
        <w:t>。</w:t>
      </w:r>
      <w:r w:rsidRPr="00DA3BC7">
        <w:rPr>
          <w:rStyle w:val="a6"/>
          <w:rFonts w:ascii="Times New Roman" w:hAnsi="Times New Roman"/>
        </w:rPr>
        <w:footnoteReference w:id="342"/>
      </w:r>
    </w:p>
    <w:p w:rsidR="002B682F" w:rsidRPr="00DA3BC7" w:rsidRDefault="002B682F" w:rsidP="00AE3920">
      <w:pPr>
        <w:spacing w:beforeLines="20"/>
        <w:ind w:leftChars="100" w:left="240"/>
        <w:jc w:val="both"/>
        <w:rPr>
          <w:rFonts w:ascii="Times New Roman" w:hAnsi="Times New Roman"/>
        </w:rPr>
      </w:pPr>
      <w:r w:rsidRPr="00DA3BC7">
        <w:rPr>
          <w:rFonts w:ascii="Times New Roman" w:hAnsi="Times New Roman"/>
        </w:rPr>
        <w:t>依於實有，構成</w:t>
      </w:r>
      <w:r w:rsidRPr="00DA3BC7">
        <w:rPr>
          <w:rFonts w:ascii="Times New Roman" w:hAnsi="Times New Roman"/>
          <w:b/>
        </w:rPr>
        <w:t>前後的相續相</w:t>
      </w:r>
      <w:r w:rsidRPr="00DA3BC7">
        <w:rPr>
          <w:rFonts w:ascii="Times New Roman" w:hAnsi="Times New Roman" w:hint="eastAsia"/>
          <w:b/>
        </w:rPr>
        <w:t>、</w:t>
      </w:r>
      <w:r w:rsidRPr="00DA3BC7">
        <w:rPr>
          <w:rFonts w:ascii="Times New Roman" w:hAnsi="Times New Roman"/>
          <w:b/>
        </w:rPr>
        <w:t>同時的和合相</w:t>
      </w:r>
      <w:r w:rsidRPr="00DA3BC7">
        <w:rPr>
          <w:rFonts w:ascii="Times New Roman" w:hAnsi="Times New Roman"/>
        </w:rPr>
        <w:t>。此</w:t>
      </w:r>
      <w:r w:rsidRPr="00DA3BC7">
        <w:rPr>
          <w:rFonts w:ascii="Times New Roman" w:hAnsi="Times New Roman"/>
          <w:b/>
        </w:rPr>
        <w:t>和合</w:t>
      </w:r>
      <w:r w:rsidRPr="00DA3BC7">
        <w:rPr>
          <w:rFonts w:ascii="Times New Roman" w:hAnsi="Times New Roman"/>
        </w:rPr>
        <w:t>及</w:t>
      </w:r>
      <w:r w:rsidRPr="00DA3BC7">
        <w:rPr>
          <w:rFonts w:ascii="Times New Roman" w:hAnsi="Times New Roman"/>
          <w:b/>
        </w:rPr>
        <w:t>相續</w:t>
      </w:r>
      <w:r w:rsidRPr="00DA3BC7">
        <w:rPr>
          <w:rFonts w:ascii="Times New Roman" w:hAnsi="Times New Roman"/>
        </w:rPr>
        <w:t>，即</w:t>
      </w:r>
      <w:r w:rsidRPr="00DA3BC7">
        <w:rPr>
          <w:rFonts w:ascii="Times New Roman" w:hAnsi="Times New Roman"/>
          <w:b/>
        </w:rPr>
        <w:t>假有的，可以說沒有自性</w:t>
      </w:r>
      <w:r w:rsidRPr="00DA3BC7">
        <w:rPr>
          <w:rFonts w:ascii="Times New Roman" w:hAnsi="Times New Roman"/>
        </w:rPr>
        <w:t>。</w:t>
      </w:r>
    </w:p>
    <w:p w:rsidR="002B682F" w:rsidRPr="00DA3BC7" w:rsidRDefault="002B682F" w:rsidP="00AE3920">
      <w:pPr>
        <w:spacing w:beforeLines="20"/>
        <w:ind w:leftChars="100" w:left="240"/>
        <w:jc w:val="both"/>
        <w:rPr>
          <w:rFonts w:ascii="Times New Roman" w:hAnsi="Times New Roman"/>
        </w:rPr>
      </w:pPr>
      <w:r w:rsidRPr="00DA3BC7">
        <w:rPr>
          <w:rFonts w:ascii="Times New Roman" w:hAnsi="Times New Roman"/>
        </w:rPr>
        <w:t>而在相續與和合的現象中，分析到內在不可再分析的點，即是</w:t>
      </w:r>
      <w:r w:rsidRPr="00DA3BC7">
        <w:rPr>
          <w:rFonts w:ascii="Times New Roman" w:hAnsi="Times New Roman"/>
          <w:b/>
        </w:rPr>
        <w:t>自性實有</w:t>
      </w:r>
      <w:r w:rsidRPr="00DA3BC7">
        <w:rPr>
          <w:rFonts w:ascii="Times New Roman" w:hAnsi="Times New Roman"/>
        </w:rPr>
        <w:t>的。</w:t>
      </w:r>
    </w:p>
    <w:p w:rsidR="002B682F" w:rsidRPr="00DA3BC7" w:rsidRDefault="00CD554C" w:rsidP="00AE3920">
      <w:pPr>
        <w:spacing w:beforeLines="20"/>
        <w:ind w:leftChars="100" w:left="240"/>
        <w:jc w:val="both"/>
        <w:rPr>
          <w:rFonts w:ascii="Times New Roman" w:hAnsi="Times New Roman"/>
        </w:rPr>
      </w:pPr>
      <w:r>
        <w:rPr>
          <w:rFonts w:ascii="Times New Roman" w:hAnsi="Times New Roman"/>
        </w:rPr>
        <w:t>如在色法的和集中，分析至</w:t>
      </w:r>
      <w:r w:rsidR="002B682F" w:rsidRPr="00DA3BC7">
        <w:rPr>
          <w:rFonts w:ascii="Times New Roman" w:hAnsi="Times New Roman"/>
        </w:rPr>
        <w:t>極微，</w:t>
      </w:r>
      <w:r w:rsidR="002B682F" w:rsidRPr="00DA3BC7">
        <w:rPr>
          <w:rStyle w:val="a6"/>
          <w:rFonts w:ascii="Times New Roman" w:hAnsi="Times New Roman"/>
        </w:rPr>
        <w:footnoteReference w:id="343"/>
      </w:r>
      <w:r w:rsidR="002B682F" w:rsidRPr="00DA3BC7">
        <w:rPr>
          <w:rFonts w:ascii="Times New Roman" w:hAnsi="Times New Roman"/>
        </w:rPr>
        <w:t>以極微的物質點，為集成粗顯色相的</w:t>
      </w:r>
      <w:r w:rsidR="002B682F" w:rsidRPr="00DA3BC7">
        <w:rPr>
          <w:rFonts w:ascii="Times New Roman" w:hAnsi="Times New Roman"/>
        </w:rPr>
        <w:lastRenderedPageBreak/>
        <w:t>實質。</w:t>
      </w:r>
    </w:p>
    <w:p w:rsidR="002B682F" w:rsidRPr="00DA3BC7" w:rsidRDefault="002B682F" w:rsidP="00AE3920">
      <w:pPr>
        <w:spacing w:beforeLines="20"/>
        <w:ind w:leftChars="100" w:left="240"/>
        <w:jc w:val="both"/>
        <w:rPr>
          <w:rFonts w:ascii="Times New Roman" w:hAnsi="Times New Roman"/>
        </w:rPr>
      </w:pPr>
      <w:r w:rsidRPr="00DA3BC7">
        <w:rPr>
          <w:rFonts w:ascii="Times New Roman" w:hAnsi="Times New Roman"/>
        </w:rPr>
        <w:t>對於精神作用，也分析到心心所的單元。</w:t>
      </w:r>
    </w:p>
    <w:p w:rsidR="002B682F" w:rsidRPr="00DA3BC7" w:rsidRDefault="002B682F" w:rsidP="00AE3920">
      <w:pPr>
        <w:spacing w:beforeLines="20"/>
        <w:ind w:leftChars="100" w:left="240"/>
        <w:jc w:val="both"/>
        <w:rPr>
          <w:rFonts w:ascii="Times New Roman" w:eastAsia="SimSun" w:hAnsi="Times New Roman"/>
        </w:rPr>
      </w:pPr>
      <w:r w:rsidRPr="00DA3BC7">
        <w:rPr>
          <w:rFonts w:ascii="Times New Roman" w:hAnsi="Times New Roman"/>
        </w:rPr>
        <w:t>此分析出的單元，是自性，也稱為我</w:t>
      </w:r>
      <w:r w:rsidRPr="00DA3BC7">
        <w:rPr>
          <w:rFonts w:ascii="新細明體" w:hAnsi="新細明體"/>
        </w:rPr>
        <w:t>──</w:t>
      </w:r>
      <w:r w:rsidRPr="00DA3BC7">
        <w:rPr>
          <w:rFonts w:ascii="Times New Roman" w:hAnsi="Times New Roman"/>
        </w:rPr>
        <w:t>我即自在義。如《</w:t>
      </w:r>
      <w:r w:rsidRPr="00DA3BC7">
        <w:rPr>
          <w:rFonts w:ascii="Times New Roman" w:hAnsi="Times New Roman" w:hint="eastAsia"/>
        </w:rPr>
        <w:t>大毘</w:t>
      </w:r>
      <w:r w:rsidRPr="00DA3BC7">
        <w:rPr>
          <w:rFonts w:ascii="Times New Roman" w:hAnsi="Times New Roman"/>
        </w:rPr>
        <w:t>婆沙</w:t>
      </w:r>
      <w:r w:rsidRPr="00DA3BC7">
        <w:rPr>
          <w:rFonts w:ascii="Times New Roman" w:hAnsi="Times New Roman" w:hint="eastAsia"/>
        </w:rPr>
        <w:t>論</w:t>
      </w:r>
      <w:r w:rsidRPr="00DA3BC7">
        <w:rPr>
          <w:rFonts w:ascii="Times New Roman" w:hAnsi="Times New Roman"/>
        </w:rPr>
        <w:t>》卷</w:t>
      </w:r>
      <w:r w:rsidR="00CD554C">
        <w:rPr>
          <w:rFonts w:ascii="Times New Roman" w:hAnsi="Times New Roman" w:hint="eastAsia"/>
          <w:color w:val="FF0000"/>
          <w:highlight w:val="yellow"/>
        </w:rPr>
        <w:t>9</w:t>
      </w:r>
      <w:r w:rsidRPr="00DA3BC7">
        <w:rPr>
          <w:rFonts w:ascii="Times New Roman" w:hAnsi="Times New Roman"/>
        </w:rPr>
        <w:t>說：「</w:t>
      </w:r>
      <w:r w:rsidRPr="00DA3BC7">
        <w:rPr>
          <w:rFonts w:ascii="Times New Roman" w:eastAsia="標楷體" w:hAnsi="Times New Roman"/>
        </w:rPr>
        <w:t>善說法者，唯說實有法我，法性實有，如實見故。」</w:t>
      </w:r>
      <w:r w:rsidRPr="00DA3BC7">
        <w:rPr>
          <w:rStyle w:val="a6"/>
          <w:rFonts w:ascii="Times New Roman" w:hAnsi="Times New Roman"/>
        </w:rPr>
        <w:footnoteReference w:id="344"/>
      </w:r>
      <w:r w:rsidRPr="00DA3BC7">
        <w:rPr>
          <w:rFonts w:ascii="Times New Roman" w:hAnsi="Times New Roman"/>
        </w:rPr>
        <w:t>補特伽羅我是五蘊和合有的，所以是假；假的所依是自性實有，所以說：「</w:t>
      </w:r>
      <w:r w:rsidRPr="00DA3BC7">
        <w:rPr>
          <w:rFonts w:ascii="Times New Roman" w:eastAsia="標楷體" w:hAnsi="Times New Roman" w:hint="eastAsia"/>
        </w:rPr>
        <w:t>法</w:t>
      </w:r>
      <w:r w:rsidRPr="00DA3BC7">
        <w:rPr>
          <w:rFonts w:ascii="Times New Roman" w:eastAsia="標楷體" w:hAnsi="Times New Roman"/>
        </w:rPr>
        <w:t>性實有，如實見故</w:t>
      </w:r>
      <w:r w:rsidRPr="00DA3BC7">
        <w:rPr>
          <w:rFonts w:ascii="Times New Roman" w:hAnsi="Times New Roman"/>
        </w:rPr>
        <w:t>。」</w:t>
      </w:r>
    </w:p>
    <w:p w:rsidR="002B682F" w:rsidRPr="00DA3BC7" w:rsidRDefault="002B682F" w:rsidP="00AE3920">
      <w:pPr>
        <w:spacing w:beforeLines="20"/>
        <w:ind w:leftChars="100" w:left="240"/>
        <w:jc w:val="both"/>
        <w:rPr>
          <w:rFonts w:ascii="Times New Roman" w:hAnsi="Times New Roman"/>
        </w:rPr>
      </w:pPr>
      <w:r w:rsidRPr="00DA3BC7">
        <w:rPr>
          <w:rFonts w:ascii="Times New Roman" w:hAnsi="Times New Roman"/>
        </w:rPr>
        <w:t>這種思想，即是假定世間事物，有實在的</w:t>
      </w:r>
      <w:r w:rsidRPr="00DA3BC7">
        <w:rPr>
          <w:rFonts w:ascii="新細明體" w:hAnsi="新細明體"/>
        </w:rPr>
        <w:t>、</w:t>
      </w:r>
      <w:r w:rsidRPr="00DA3BC7">
        <w:rPr>
          <w:rFonts w:ascii="Times New Roman" w:hAnsi="Times New Roman"/>
        </w:rPr>
        <w:t>根本的自性物，而後才有世間的一切。</w:t>
      </w:r>
    </w:p>
    <w:p w:rsidR="002B682F" w:rsidRPr="00DA3BC7" w:rsidRDefault="002B682F" w:rsidP="00AE3920">
      <w:pPr>
        <w:spacing w:beforeLines="20"/>
        <w:ind w:leftChars="100" w:left="240"/>
        <w:jc w:val="both"/>
        <w:rPr>
          <w:rFonts w:ascii="Times New Roman" w:hAnsi="Times New Roman"/>
        </w:rPr>
      </w:pPr>
      <w:r w:rsidRPr="00DA3BC7">
        <w:rPr>
          <w:rFonts w:ascii="Times New Roman" w:hAnsi="Times New Roman"/>
        </w:rPr>
        <w:t>他們從「析假見實」的方法，分析到不可再分析的質素</w:t>
      </w:r>
      <w:r w:rsidRPr="00DA3BC7">
        <w:rPr>
          <w:rFonts w:ascii="新細明體" w:hAnsi="新細明體"/>
        </w:rPr>
        <w:t>──</w:t>
      </w:r>
      <w:r w:rsidRPr="00DA3BC7">
        <w:rPr>
          <w:rFonts w:ascii="Times New Roman" w:hAnsi="Times New Roman"/>
        </w:rPr>
        <w:t>心、物、非心非物，即是事物的實體，也即是所謂自性，自性即萬有的本元</w:t>
      </w:r>
      <w:r w:rsidRPr="00DA3BC7">
        <w:rPr>
          <w:rStyle w:val="a6"/>
          <w:rFonts w:ascii="Times New Roman" w:hAnsi="Times New Roman"/>
        </w:rPr>
        <w:footnoteReference w:id="345"/>
      </w:r>
      <w:r w:rsidRPr="00DA3BC7">
        <w:rPr>
          <w:rFonts w:ascii="Times New Roman" w:hAnsi="Times New Roman"/>
        </w:rPr>
        <w:t>。</w:t>
      </w:r>
    </w:p>
    <w:p w:rsidR="002B682F" w:rsidRPr="00DA3BC7" w:rsidRDefault="002B682F" w:rsidP="00AE3920">
      <w:pPr>
        <w:spacing w:beforeLines="20"/>
        <w:ind w:leftChars="100" w:left="240"/>
        <w:jc w:val="both"/>
        <w:rPr>
          <w:rFonts w:ascii="Times New Roman" w:eastAsia="標楷體" w:hAnsi="Times New Roman"/>
        </w:rPr>
      </w:pPr>
      <w:r w:rsidRPr="00DA3BC7">
        <w:rPr>
          <w:rFonts w:ascii="Times New Roman" w:hAnsi="Times New Roman"/>
        </w:rPr>
        <w:t>如《順正理論》卷</w:t>
      </w:r>
      <w:r w:rsidR="00CD554C">
        <w:rPr>
          <w:rFonts w:ascii="Times New Roman" w:hAnsi="Times New Roman" w:hint="eastAsia"/>
          <w:color w:val="FF0000"/>
          <w:highlight w:val="yellow"/>
        </w:rPr>
        <w:t>13</w:t>
      </w:r>
      <w:r w:rsidRPr="00DA3BC7">
        <w:rPr>
          <w:rFonts w:ascii="Times New Roman" w:hAnsi="Times New Roman"/>
        </w:rPr>
        <w:t>說：「</w:t>
      </w:r>
      <w:r w:rsidRPr="00DA3BC7">
        <w:rPr>
          <w:rFonts w:ascii="Times New Roman" w:eastAsia="標楷體" w:hAnsi="Times New Roman"/>
        </w:rPr>
        <w:t>未知何法為假所依？非離假依可有假法。」</w:t>
      </w:r>
      <w:r w:rsidRPr="00DA3BC7">
        <w:rPr>
          <w:rStyle w:val="a6"/>
          <w:rFonts w:ascii="Times New Roman" w:hAnsi="Times New Roman"/>
        </w:rPr>
        <w:footnoteReference w:id="346"/>
      </w:r>
    </w:p>
    <w:p w:rsidR="002B682F" w:rsidRPr="00DA3BC7" w:rsidRDefault="002B682F" w:rsidP="008E2BBC">
      <w:pPr>
        <w:ind w:leftChars="100" w:left="240"/>
        <w:jc w:val="both"/>
        <w:rPr>
          <w:rFonts w:ascii="Times New Roman" w:eastAsia="SimSun" w:hAnsi="Times New Roman"/>
        </w:rPr>
      </w:pPr>
      <w:r w:rsidRPr="00DA3BC7">
        <w:rPr>
          <w:rFonts w:ascii="Times New Roman" w:hAnsi="Times New Roman"/>
        </w:rPr>
        <w:t>「假必依實」</w:t>
      </w:r>
      <w:r w:rsidRPr="00DA3BC7">
        <w:rPr>
          <w:rFonts w:ascii="新細明體" w:hAnsi="新細明體"/>
        </w:rPr>
        <w:t>──</w:t>
      </w:r>
      <w:r w:rsidRPr="00DA3BC7">
        <w:rPr>
          <w:rFonts w:ascii="Times New Roman" w:hAnsi="Times New Roman"/>
        </w:rPr>
        <w:t>自性有，是最根本的見解。</w:t>
      </w:r>
    </w:p>
    <w:p w:rsidR="002B682F" w:rsidRPr="00DA3BC7" w:rsidRDefault="002B682F" w:rsidP="00AE3920">
      <w:pPr>
        <w:spacing w:beforeLines="30"/>
        <w:ind w:leftChars="100" w:left="240"/>
        <w:jc w:val="both"/>
        <w:rPr>
          <w:rFonts w:ascii="Times New Roman" w:hAnsi="Times New Roman"/>
          <w:sz w:val="20"/>
          <w:szCs w:val="20"/>
        </w:rPr>
      </w:pPr>
      <w:r w:rsidRPr="00DA3BC7">
        <w:rPr>
          <w:rFonts w:ascii="新細明體" w:hAnsi="新細明體" w:hint="eastAsia"/>
          <w:b/>
          <w:sz w:val="20"/>
          <w:szCs w:val="20"/>
          <w:bdr w:val="single" w:sz="4" w:space="0" w:color="auto"/>
        </w:rPr>
        <w:t>三</w:t>
      </w:r>
      <w:r w:rsidRPr="00DA3BC7">
        <w:rPr>
          <w:rFonts w:ascii="新細明體" w:hAnsi="新細明體"/>
          <w:b/>
          <w:sz w:val="20"/>
          <w:szCs w:val="20"/>
          <w:bdr w:val="single" w:sz="4" w:space="0" w:color="auto"/>
        </w:rPr>
        <w:t>、</w:t>
      </w:r>
      <w:r w:rsidR="00F87FD0">
        <w:rPr>
          <w:rFonts w:ascii="Times New Roman" w:hAnsi="Times New Roman" w:hint="eastAsia"/>
          <w:b/>
          <w:color w:val="FF0000"/>
          <w:sz w:val="20"/>
          <w:szCs w:val="20"/>
          <w:highlight w:val="yellow"/>
          <w:bdr w:val="single" w:sz="4" w:space="0" w:color="auto"/>
        </w:rPr>
        <w:t>「</w:t>
      </w:r>
      <w:r w:rsidRPr="00DA3BC7">
        <w:rPr>
          <w:rFonts w:ascii="新細明體" w:hAnsi="新細明體"/>
          <w:b/>
          <w:sz w:val="20"/>
          <w:szCs w:val="20"/>
          <w:bdr w:val="single" w:sz="4" w:space="0" w:color="auto"/>
        </w:rPr>
        <w:t>三世實有</w:t>
      </w:r>
      <w:r w:rsidR="00F87FD0">
        <w:rPr>
          <w:rFonts w:ascii="Times New Roman" w:hAnsi="Times New Roman" w:hint="eastAsia"/>
          <w:b/>
          <w:color w:val="FF0000"/>
          <w:sz w:val="20"/>
          <w:szCs w:val="20"/>
          <w:highlight w:val="yellow"/>
          <w:bdr w:val="single" w:sz="4" w:space="0" w:color="auto"/>
        </w:rPr>
        <w:t>」</w:t>
      </w:r>
      <w:r w:rsidR="00F87FD0" w:rsidRPr="00CD554C">
        <w:rPr>
          <w:rFonts w:ascii="Times New Roman" w:hAnsi="Times New Roman" w:hint="eastAsia"/>
          <w:b/>
          <w:color w:val="FF0000"/>
          <w:sz w:val="20"/>
          <w:szCs w:val="20"/>
          <w:highlight w:val="yellow"/>
          <w:bdr w:val="single" w:sz="4" w:space="0" w:color="auto"/>
        </w:rPr>
        <w:t>的主張</w:t>
      </w:r>
      <w:r w:rsidRPr="00DA3BC7">
        <w:rPr>
          <w:rFonts w:ascii="Times New Roman" w:hAnsi="Times New Roman"/>
          <w:sz w:val="20"/>
          <w:szCs w:val="20"/>
        </w:rPr>
        <w:t>（</w:t>
      </w:r>
      <w:r w:rsidRPr="00DA3BC7">
        <w:rPr>
          <w:rFonts w:ascii="Times New Roman" w:hAnsi="Times New Roman"/>
          <w:sz w:val="20"/>
          <w:szCs w:val="20"/>
        </w:rPr>
        <w:t>p.66</w:t>
      </w:r>
      <w:r w:rsidRPr="00DA3BC7">
        <w:rPr>
          <w:rFonts w:ascii="Times New Roman" w:hAnsi="Times New Roman"/>
          <w:sz w:val="20"/>
          <w:szCs w:val="20"/>
        </w:rPr>
        <w:t>）</w:t>
      </w:r>
    </w:p>
    <w:p w:rsidR="002B682F" w:rsidRPr="00DA3BC7" w:rsidRDefault="002B682F" w:rsidP="008E2BBC">
      <w:pPr>
        <w:ind w:leftChars="100" w:left="240"/>
        <w:jc w:val="both"/>
        <w:rPr>
          <w:rFonts w:ascii="Times New Roman" w:eastAsia="SimSun" w:hAnsi="Times New Roman"/>
        </w:rPr>
      </w:pPr>
      <w:r w:rsidRPr="00DA3BC7">
        <w:rPr>
          <w:rFonts w:ascii="Times New Roman" w:hAnsi="Times New Roman"/>
        </w:rPr>
        <w:t>薩婆多主張有自性的，於是佛說諸行無常</w:t>
      </w:r>
      <w:r w:rsidR="00CD554C">
        <w:rPr>
          <w:rFonts w:ascii="Times New Roman" w:hAnsi="Times New Roman" w:hint="eastAsia"/>
          <w:color w:val="FF0000"/>
          <w:shd w:val="pct15" w:color="auto" w:fill="FFFFFF"/>
        </w:rPr>
        <w:t>、</w:t>
      </w:r>
      <w:r w:rsidRPr="00DA3BC7">
        <w:rPr>
          <w:rFonts w:ascii="Times New Roman" w:hAnsi="Times New Roman"/>
        </w:rPr>
        <w:t>諸法無我，照他們的意見，追究</w:t>
      </w:r>
      <w:r w:rsidRPr="00DA3BC7">
        <w:rPr>
          <w:rFonts w:ascii="Times New Roman" w:hAnsi="Times New Roman"/>
          <w:b/>
        </w:rPr>
        <w:t>諸法的實在</w:t>
      </w:r>
      <w:r w:rsidRPr="00DA3BC7">
        <w:rPr>
          <w:rFonts w:ascii="Times New Roman" w:hAnsi="Times New Roman"/>
        </w:rPr>
        <w:t>，相續與和合假所依的</w:t>
      </w:r>
      <w:r w:rsidRPr="00DA3BC7">
        <w:rPr>
          <w:rFonts w:ascii="Times New Roman" w:hAnsi="Times New Roman"/>
          <w:b/>
        </w:rPr>
        <w:t>自性法，即是三世常如其性的、不變的，有不能無、無不能有的，甚至可以稱為「法我」了。</w:t>
      </w:r>
    </w:p>
    <w:p w:rsidR="002B682F" w:rsidRPr="00DA3BC7" w:rsidRDefault="002B682F" w:rsidP="00AE3920">
      <w:pPr>
        <w:spacing w:beforeLines="30"/>
        <w:ind w:leftChars="50" w:left="120"/>
        <w:jc w:val="both"/>
        <w:rPr>
          <w:rFonts w:ascii="Times New Roman" w:eastAsia="SimSun" w:hAnsi="Times New Roman"/>
          <w:sz w:val="20"/>
          <w:szCs w:val="20"/>
          <w:bdr w:val="single" w:sz="4" w:space="0" w:color="auto"/>
        </w:rPr>
      </w:pPr>
      <w:r w:rsidRPr="00DA3BC7">
        <w:rPr>
          <w:rFonts w:ascii="Times New Roman" w:hAnsi="Times New Roman"/>
          <w:b/>
          <w:sz w:val="20"/>
          <w:szCs w:val="20"/>
          <w:bdr w:val="single" w:sz="4" w:space="0" w:color="auto"/>
        </w:rPr>
        <w:t>（</w:t>
      </w:r>
      <w:r w:rsidRPr="00DA3BC7">
        <w:rPr>
          <w:rFonts w:ascii="Times New Roman" w:hAnsi="Times New Roman" w:hint="eastAsia"/>
          <w:b/>
          <w:sz w:val="20"/>
          <w:szCs w:val="20"/>
          <w:bdr w:val="single" w:sz="4" w:space="0" w:color="auto"/>
        </w:rPr>
        <w:t>貳</w:t>
      </w:r>
      <w:r w:rsidRPr="00DA3BC7">
        <w:rPr>
          <w:rFonts w:ascii="Times New Roman" w:hAnsi="Times New Roman"/>
          <w:b/>
          <w:sz w:val="20"/>
          <w:szCs w:val="20"/>
          <w:bdr w:val="single" w:sz="4" w:space="0" w:color="auto"/>
        </w:rPr>
        <w:t>）</w:t>
      </w:r>
      <w:r w:rsidRPr="00DA3BC7">
        <w:rPr>
          <w:rFonts w:ascii="Times New Roman" w:hAnsi="Times New Roman" w:hint="eastAsia"/>
          <w:b/>
          <w:sz w:val="20"/>
          <w:szCs w:val="20"/>
          <w:bdr w:val="single" w:sz="4" w:space="0" w:color="auto"/>
        </w:rPr>
        <w:t>經部師（現在實有論者）及唯識學者</w:t>
      </w:r>
      <w:r w:rsidR="00F87FD0" w:rsidRPr="00F87FD0">
        <w:rPr>
          <w:rFonts w:ascii="Times New Roman" w:hAnsi="Times New Roman" w:hint="eastAsia"/>
          <w:b/>
          <w:color w:val="FF0000"/>
          <w:sz w:val="20"/>
          <w:szCs w:val="20"/>
          <w:highlight w:val="yellow"/>
          <w:bdr w:val="single" w:sz="4" w:space="0" w:color="auto"/>
        </w:rPr>
        <w:t>之見</w:t>
      </w:r>
      <w:r w:rsidRPr="00DA3BC7">
        <w:rPr>
          <w:rFonts w:ascii="Times New Roman" w:hAnsi="Times Ext Roman"/>
          <w:sz w:val="20"/>
          <w:szCs w:val="20"/>
        </w:rPr>
        <w:t>（</w:t>
      </w:r>
      <w:r w:rsidRPr="00DA3BC7">
        <w:rPr>
          <w:rFonts w:ascii="Times New Roman" w:hAnsi="Times New Roman"/>
          <w:sz w:val="20"/>
          <w:szCs w:val="20"/>
        </w:rPr>
        <w:t>pp.</w:t>
      </w:r>
      <w:r w:rsidRPr="00DA3BC7">
        <w:rPr>
          <w:rFonts w:ascii="Times New Roman" w:eastAsia="SimSun" w:hAnsi="Times New Roman"/>
          <w:sz w:val="20"/>
          <w:szCs w:val="20"/>
        </w:rPr>
        <w:t>66</w:t>
      </w:r>
      <w:r w:rsidRPr="00DA3BC7">
        <w:rPr>
          <w:rFonts w:ascii="Times New Roman" w:hAnsi="Times New Roman"/>
          <w:sz w:val="20"/>
          <w:szCs w:val="20"/>
        </w:rPr>
        <w:t>-</w:t>
      </w:r>
      <w:r w:rsidRPr="00DA3BC7">
        <w:rPr>
          <w:rFonts w:ascii="Times New Roman" w:eastAsia="SimSun" w:hAnsi="Times New Roman"/>
          <w:sz w:val="20"/>
          <w:szCs w:val="20"/>
        </w:rPr>
        <w:t>67</w:t>
      </w:r>
      <w:r w:rsidRPr="00DA3BC7">
        <w:rPr>
          <w:rFonts w:ascii="Times New Roman" w:hAnsi="Times Ext Roman"/>
          <w:sz w:val="20"/>
          <w:szCs w:val="20"/>
        </w:rPr>
        <w:t>）</w:t>
      </w:r>
    </w:p>
    <w:p w:rsidR="00CD554C" w:rsidRDefault="002B682F" w:rsidP="008E2BBC">
      <w:pPr>
        <w:ind w:leftChars="100" w:left="240"/>
        <w:jc w:val="both"/>
        <w:rPr>
          <w:rFonts w:ascii="Times New Roman" w:hAnsi="新細明體"/>
          <w:b/>
          <w:sz w:val="20"/>
          <w:szCs w:val="20"/>
          <w:bdr w:val="single" w:sz="4" w:space="0" w:color="auto"/>
        </w:rPr>
      </w:pPr>
      <w:r w:rsidRPr="00DA3BC7">
        <w:rPr>
          <w:rFonts w:ascii="Times New Roman" w:hAnsi="Times New Roman" w:hint="eastAsia"/>
          <w:b/>
          <w:sz w:val="20"/>
          <w:szCs w:val="20"/>
          <w:bdr w:val="single" w:sz="4" w:space="0" w:color="auto"/>
        </w:rPr>
        <w:t>一</w:t>
      </w:r>
      <w:r w:rsidRPr="00DA3BC7">
        <w:rPr>
          <w:rFonts w:ascii="Times New Roman" w:hAnsi="新細明體"/>
          <w:b/>
          <w:sz w:val="20"/>
          <w:szCs w:val="20"/>
          <w:bdr w:val="single" w:sz="4" w:space="0" w:color="auto"/>
        </w:rPr>
        <w:t>、</w:t>
      </w:r>
      <w:r w:rsidR="00CD554C" w:rsidRPr="00CD554C">
        <w:rPr>
          <w:rFonts w:ascii="Times New Roman" w:hAnsi="新細明體" w:hint="eastAsia"/>
          <w:b/>
          <w:color w:val="FF0000"/>
          <w:sz w:val="20"/>
          <w:szCs w:val="20"/>
          <w:highlight w:val="yellow"/>
          <w:bdr w:val="single" w:sz="4" w:space="0" w:color="auto"/>
        </w:rPr>
        <w:t>「自性有」的定義</w:t>
      </w:r>
      <w:r w:rsidR="00F04B00" w:rsidRPr="00DA3BC7">
        <w:rPr>
          <w:rFonts w:ascii="Times New Roman" w:hAnsi="Times Ext Roman"/>
          <w:sz w:val="20"/>
          <w:szCs w:val="20"/>
        </w:rPr>
        <w:t>（</w:t>
      </w:r>
      <w:r w:rsidR="00F04B00" w:rsidRPr="00DA3BC7">
        <w:rPr>
          <w:rFonts w:ascii="Times New Roman" w:hAnsi="Times New Roman"/>
          <w:sz w:val="20"/>
          <w:szCs w:val="20"/>
        </w:rPr>
        <w:t>pp.</w:t>
      </w:r>
      <w:r w:rsidR="00F04B00" w:rsidRPr="00DA3BC7">
        <w:rPr>
          <w:rFonts w:ascii="Times New Roman" w:eastAsia="SimSun" w:hAnsi="Times New Roman"/>
          <w:sz w:val="20"/>
          <w:szCs w:val="20"/>
        </w:rPr>
        <w:t>66</w:t>
      </w:r>
      <w:r w:rsidR="00F04B00" w:rsidRPr="00DA3BC7">
        <w:rPr>
          <w:rFonts w:ascii="Times New Roman" w:hAnsi="Times New Roman"/>
          <w:sz w:val="20"/>
          <w:szCs w:val="20"/>
        </w:rPr>
        <w:t>-</w:t>
      </w:r>
      <w:r w:rsidR="00F04B00" w:rsidRPr="00DA3BC7">
        <w:rPr>
          <w:rFonts w:ascii="Times New Roman" w:eastAsia="SimSun" w:hAnsi="Times New Roman"/>
          <w:sz w:val="20"/>
          <w:szCs w:val="20"/>
        </w:rPr>
        <w:t>67</w:t>
      </w:r>
      <w:r w:rsidR="00F04B00" w:rsidRPr="00DA3BC7">
        <w:rPr>
          <w:rFonts w:ascii="Times New Roman" w:hAnsi="Times Ext Roman"/>
          <w:sz w:val="20"/>
          <w:szCs w:val="20"/>
        </w:rPr>
        <w:t>）</w:t>
      </w:r>
    </w:p>
    <w:p w:rsidR="002B682F" w:rsidRPr="00DA3BC7" w:rsidRDefault="00CD554C" w:rsidP="00F87FD0">
      <w:pPr>
        <w:ind w:leftChars="150" w:left="360"/>
        <w:jc w:val="both"/>
        <w:rPr>
          <w:rFonts w:ascii="Times New Roman" w:hAnsi="Times New Roman"/>
          <w:sz w:val="20"/>
          <w:szCs w:val="20"/>
        </w:rPr>
      </w:pPr>
      <w:r w:rsidRPr="00CD554C">
        <w:rPr>
          <w:rFonts w:ascii="Times New Roman" w:hAnsi="Times New Roman" w:hint="eastAsia"/>
          <w:b/>
          <w:color w:val="FF0000"/>
          <w:sz w:val="20"/>
          <w:szCs w:val="20"/>
          <w:highlight w:val="yellow"/>
          <w:bdr w:val="single" w:sz="4" w:space="0" w:color="auto"/>
        </w:rPr>
        <w:t>（一）</w:t>
      </w:r>
      <w:r w:rsidR="002B682F" w:rsidRPr="00DA3BC7">
        <w:rPr>
          <w:rFonts w:ascii="Times New Roman" w:hAnsi="Times New Roman"/>
          <w:b/>
          <w:sz w:val="20"/>
          <w:szCs w:val="20"/>
          <w:bdr w:val="single" w:sz="4" w:space="0" w:color="auto"/>
        </w:rPr>
        <w:t>經部師的</w:t>
      </w:r>
      <w:r w:rsidR="002B682F" w:rsidRPr="00DA3BC7">
        <w:rPr>
          <w:rFonts w:ascii="Times New Roman" w:hAnsi="Times New Roman" w:hint="eastAsia"/>
          <w:b/>
          <w:sz w:val="20"/>
          <w:szCs w:val="20"/>
          <w:bdr w:val="single" w:sz="4" w:space="0" w:color="auto"/>
        </w:rPr>
        <w:t>立場</w:t>
      </w:r>
      <w:r w:rsidR="002B682F" w:rsidRPr="00DA3BC7">
        <w:rPr>
          <w:rFonts w:ascii="Times New Roman" w:hAnsi="Times Ext Roman"/>
          <w:sz w:val="20"/>
          <w:szCs w:val="20"/>
        </w:rPr>
        <w:t>（</w:t>
      </w:r>
      <w:r w:rsidR="002B682F" w:rsidRPr="00DA3BC7">
        <w:rPr>
          <w:rFonts w:ascii="Times New Roman" w:hAnsi="Times New Roman"/>
          <w:sz w:val="20"/>
          <w:szCs w:val="20"/>
        </w:rPr>
        <w:t>p.</w:t>
      </w:r>
      <w:r w:rsidR="002B682F" w:rsidRPr="00DA3BC7">
        <w:rPr>
          <w:rFonts w:ascii="Times New Roman" w:eastAsia="SimSun" w:hAnsi="Times New Roman"/>
          <w:sz w:val="20"/>
          <w:szCs w:val="20"/>
        </w:rPr>
        <w:t>66</w:t>
      </w:r>
      <w:r w:rsidR="002B682F" w:rsidRPr="00DA3BC7">
        <w:rPr>
          <w:rFonts w:ascii="Times New Roman" w:hAnsi="Times Ext Roman"/>
          <w:sz w:val="20"/>
          <w:szCs w:val="20"/>
        </w:rPr>
        <w:t>）</w:t>
      </w:r>
    </w:p>
    <w:p w:rsidR="002B682F" w:rsidRPr="00DA3BC7" w:rsidRDefault="002B682F" w:rsidP="00F87FD0">
      <w:pPr>
        <w:ind w:leftChars="150" w:left="360"/>
        <w:jc w:val="both"/>
        <w:rPr>
          <w:rFonts w:ascii="Times New Roman" w:eastAsia="SimSun" w:hAnsi="Times New Roman"/>
        </w:rPr>
      </w:pPr>
      <w:r w:rsidRPr="00DA3BC7">
        <w:rPr>
          <w:rFonts w:ascii="Times New Roman" w:hAnsi="Times New Roman"/>
        </w:rPr>
        <w:t>假有無自性說，經部師是擴大了</w:t>
      </w:r>
      <w:r w:rsidRPr="00DA3BC7">
        <w:rPr>
          <w:rFonts w:ascii="Times New Roman" w:hAnsi="Times New Roman" w:hint="eastAsia"/>
        </w:rPr>
        <w:t>，</w:t>
      </w:r>
      <w:r w:rsidRPr="00DA3BC7">
        <w:rPr>
          <w:rFonts w:ascii="Times New Roman" w:hAnsi="Times New Roman"/>
        </w:rPr>
        <w:t>但自性有的基本原則並未改變。三世常如其性的一切法，在</w:t>
      </w:r>
      <w:r w:rsidRPr="00DA3BC7">
        <w:rPr>
          <w:rFonts w:ascii="Times New Roman" w:hAnsi="Times New Roman"/>
          <w:b/>
        </w:rPr>
        <w:t>經部</w:t>
      </w:r>
      <w:r w:rsidRPr="00DA3BC7">
        <w:rPr>
          <w:rFonts w:ascii="Times New Roman" w:hAnsi="Times New Roman"/>
        </w:rPr>
        <w:t>的</w:t>
      </w:r>
      <w:r w:rsidRPr="00DA3BC7">
        <w:rPr>
          <w:rFonts w:ascii="Times New Roman" w:hAnsi="Times New Roman"/>
          <w:b/>
        </w:rPr>
        <w:t>現在實有論</w:t>
      </w:r>
      <w:r w:rsidRPr="00DA3BC7">
        <w:rPr>
          <w:rFonts w:ascii="Times New Roman" w:hAnsi="Times New Roman"/>
        </w:rPr>
        <w:t>中，轉化為</w:t>
      </w:r>
      <w:r w:rsidRPr="00DA3BC7">
        <w:rPr>
          <w:rFonts w:ascii="Times New Roman" w:hAnsi="Times New Roman"/>
          <w:b/>
        </w:rPr>
        <w:t>潛在於現在的種子</w:t>
      </w:r>
      <w:r w:rsidRPr="00DA3BC7">
        <w:rPr>
          <w:rFonts w:ascii="Times New Roman" w:hAnsi="Times New Roman"/>
        </w:rPr>
        <w:t>或</w:t>
      </w:r>
      <w:r w:rsidRPr="00DA3BC7">
        <w:rPr>
          <w:rFonts w:ascii="Times New Roman" w:hAnsi="Times New Roman"/>
          <w:b/>
        </w:rPr>
        <w:t>舊</w:t>
      </w:r>
      <w:r w:rsidRPr="00DA3BC7">
        <w:rPr>
          <w:rFonts w:ascii="Times New Roman" w:hAnsi="Times New Roman"/>
          <w:b/>
        </w:rPr>
        <w:lastRenderedPageBreak/>
        <w:t>隨界</w:t>
      </w:r>
      <w:r w:rsidRPr="00DA3BC7">
        <w:rPr>
          <w:rStyle w:val="a6"/>
          <w:rFonts w:ascii="Times New Roman" w:hAnsi="Times New Roman"/>
        </w:rPr>
        <w:footnoteReference w:id="347"/>
      </w:r>
      <w:r w:rsidRPr="00DA3BC7">
        <w:rPr>
          <w:rFonts w:ascii="Times New Roman" w:hAnsi="Times New Roman"/>
        </w:rPr>
        <w:t>。此種子與界，雖不斷的從</w:t>
      </w:r>
      <w:r w:rsidRPr="00DA3BC7">
        <w:rPr>
          <w:rFonts w:ascii="Times New Roman" w:hAnsi="Times New Roman"/>
          <w:b/>
        </w:rPr>
        <w:t>種子</w:t>
      </w:r>
      <w:r w:rsidRPr="00DA3BC7">
        <w:rPr>
          <w:rFonts w:ascii="Times New Roman" w:hAnsi="Times New Roman"/>
        </w:rPr>
        <w:t>而轉化為</w:t>
      </w:r>
      <w:r w:rsidRPr="00DA3BC7">
        <w:rPr>
          <w:rFonts w:ascii="Times New Roman" w:hAnsi="Times New Roman"/>
          <w:b/>
        </w:rPr>
        <w:t>現行</w:t>
      </w:r>
      <w:r w:rsidRPr="00DA3BC7">
        <w:rPr>
          <w:rFonts w:ascii="Times New Roman" w:hAnsi="Times New Roman"/>
        </w:rPr>
        <w:t>，</w:t>
      </w:r>
      <w:r w:rsidRPr="00DA3BC7">
        <w:rPr>
          <w:rFonts w:ascii="Times New Roman" w:hAnsi="Times New Roman"/>
          <w:b/>
        </w:rPr>
        <w:t>現行</w:t>
      </w:r>
      <w:r w:rsidRPr="00DA3BC7">
        <w:rPr>
          <w:rFonts w:ascii="Times New Roman" w:hAnsi="Times New Roman"/>
        </w:rPr>
        <w:t>轉化為</w:t>
      </w:r>
      <w:r w:rsidRPr="00DA3BC7">
        <w:rPr>
          <w:rFonts w:ascii="Times New Roman" w:hAnsi="Times New Roman"/>
          <w:b/>
        </w:rPr>
        <w:t>種子</w:t>
      </w:r>
      <w:r w:rsidRPr="00DA3BC7">
        <w:rPr>
          <w:rFonts w:ascii="Times New Roman" w:hAnsi="Times New Roman"/>
        </w:rPr>
        <w:t>，</w:t>
      </w:r>
      <w:r w:rsidRPr="00DA3BC7">
        <w:rPr>
          <w:rFonts w:ascii="Times New Roman" w:hAnsi="Times New Roman"/>
        </w:rPr>
        <w:lastRenderedPageBreak/>
        <w:t>但依舊是不變的。</w:t>
      </w:r>
      <w:r w:rsidRPr="00DA3BC7">
        <w:rPr>
          <w:rStyle w:val="a6"/>
          <w:rFonts w:ascii="Times New Roman" w:hAnsi="Times New Roman"/>
        </w:rPr>
        <w:footnoteReference w:id="348"/>
      </w:r>
    </w:p>
    <w:p w:rsidR="002B682F" w:rsidRPr="00DA3BC7" w:rsidRDefault="00CD554C" w:rsidP="00AE3920">
      <w:pPr>
        <w:spacing w:beforeLines="30"/>
        <w:ind w:leftChars="150" w:left="360"/>
        <w:jc w:val="both"/>
        <w:rPr>
          <w:rFonts w:ascii="Times New Roman" w:hAnsi="Times New Roman"/>
          <w:sz w:val="20"/>
          <w:szCs w:val="20"/>
        </w:rPr>
      </w:pPr>
      <w:r w:rsidRPr="00CD554C">
        <w:rPr>
          <w:rFonts w:ascii="Times New Roman" w:hAnsi="Times New Roman" w:hint="eastAsia"/>
          <w:b/>
          <w:color w:val="FF0000"/>
          <w:sz w:val="20"/>
          <w:szCs w:val="20"/>
          <w:highlight w:val="yellow"/>
          <w:bdr w:val="single" w:sz="4" w:space="0" w:color="auto"/>
        </w:rPr>
        <w:t>（</w:t>
      </w:r>
      <w:r w:rsidR="002B682F" w:rsidRPr="00CD554C">
        <w:rPr>
          <w:rFonts w:ascii="Times New Roman" w:hAnsi="Times New Roman" w:hint="eastAsia"/>
          <w:b/>
          <w:color w:val="FF0000"/>
          <w:sz w:val="20"/>
          <w:szCs w:val="20"/>
          <w:highlight w:val="yellow"/>
          <w:bdr w:val="single" w:sz="4" w:space="0" w:color="auto"/>
        </w:rPr>
        <w:t>二</w:t>
      </w:r>
      <w:r w:rsidRPr="00CD554C">
        <w:rPr>
          <w:rFonts w:ascii="Times New Roman" w:hAnsi="Times New Roman" w:hint="eastAsia"/>
          <w:b/>
          <w:color w:val="FF0000"/>
          <w:sz w:val="20"/>
          <w:szCs w:val="20"/>
          <w:highlight w:val="yellow"/>
          <w:bdr w:val="single" w:sz="4" w:space="0" w:color="auto"/>
        </w:rPr>
        <w:t>）</w:t>
      </w:r>
      <w:r w:rsidR="002B682F" w:rsidRPr="00DA3BC7">
        <w:rPr>
          <w:rFonts w:ascii="Times New Roman" w:hAnsi="Times New Roman"/>
          <w:b/>
          <w:sz w:val="20"/>
          <w:szCs w:val="20"/>
          <w:bdr w:val="single" w:sz="4" w:space="0" w:color="auto"/>
        </w:rPr>
        <w:t>唯識學者的「自性緣起論」</w:t>
      </w:r>
      <w:r w:rsidR="002B682F" w:rsidRPr="00DA3BC7">
        <w:rPr>
          <w:rFonts w:ascii="Times New Roman" w:hAnsi="Times Ext Roman"/>
          <w:sz w:val="20"/>
          <w:szCs w:val="20"/>
        </w:rPr>
        <w:t>（</w:t>
      </w:r>
      <w:r w:rsidR="002B682F" w:rsidRPr="00DA3BC7">
        <w:rPr>
          <w:rFonts w:ascii="Times New Roman" w:hAnsi="Times New Roman" w:hint="eastAsia"/>
          <w:sz w:val="20"/>
          <w:szCs w:val="20"/>
        </w:rPr>
        <w:t>p</w:t>
      </w:r>
      <w:r w:rsidR="002B682F" w:rsidRPr="00DA3BC7">
        <w:rPr>
          <w:rFonts w:ascii="Times New Roman" w:hAnsi="Times New Roman"/>
          <w:sz w:val="20"/>
          <w:szCs w:val="20"/>
        </w:rPr>
        <w:t>p.</w:t>
      </w:r>
      <w:r w:rsidR="002B682F" w:rsidRPr="00DA3BC7">
        <w:rPr>
          <w:rFonts w:ascii="Times New Roman" w:eastAsia="SimSun" w:hAnsi="Times New Roman"/>
          <w:sz w:val="20"/>
          <w:szCs w:val="20"/>
        </w:rPr>
        <w:t>66</w:t>
      </w:r>
      <w:r w:rsidR="002B682F" w:rsidRPr="00DA3BC7">
        <w:rPr>
          <w:rFonts w:ascii="Times New Roman" w:hAnsi="Times New Roman" w:hint="eastAsia"/>
          <w:sz w:val="20"/>
          <w:szCs w:val="20"/>
        </w:rPr>
        <w:t>-67</w:t>
      </w:r>
      <w:r w:rsidR="002B682F" w:rsidRPr="00DA3BC7">
        <w:rPr>
          <w:rFonts w:ascii="Times New Roman" w:hAnsi="Times Ext Roman"/>
          <w:sz w:val="20"/>
          <w:szCs w:val="20"/>
        </w:rPr>
        <w:t>）</w:t>
      </w:r>
    </w:p>
    <w:p w:rsidR="002B682F" w:rsidRPr="00DA3BC7" w:rsidRDefault="002B682F" w:rsidP="00F87FD0">
      <w:pPr>
        <w:ind w:leftChars="150" w:left="360"/>
        <w:jc w:val="both"/>
        <w:rPr>
          <w:rFonts w:ascii="Times New Roman" w:eastAsia="SimSun" w:hAnsi="Times New Roman"/>
        </w:rPr>
      </w:pPr>
      <w:r w:rsidRPr="00DA3BC7">
        <w:rPr>
          <w:rFonts w:ascii="Times New Roman" w:hAnsi="Times New Roman"/>
        </w:rPr>
        <w:t>這點，唯識學者說得明白，名為「</w:t>
      </w:r>
      <w:r w:rsidRPr="00224D48">
        <w:rPr>
          <w:rFonts w:ascii="標楷體" w:eastAsia="標楷體" w:hAnsi="標楷體"/>
        </w:rPr>
        <w:t>自性緣起</w:t>
      </w:r>
      <w:r w:rsidRPr="00DA3BC7">
        <w:rPr>
          <w:rFonts w:ascii="Times New Roman" w:hAnsi="Times New Roman"/>
        </w:rPr>
        <w:t>」，</w:t>
      </w:r>
      <w:r w:rsidR="00224D48" w:rsidRPr="00DA3BC7">
        <w:rPr>
          <w:rStyle w:val="a6"/>
          <w:rFonts w:ascii="Times New Roman" w:hAnsi="Times New Roman"/>
        </w:rPr>
        <w:footnoteReference w:id="349"/>
      </w:r>
      <w:r w:rsidRPr="00DA3BC7">
        <w:rPr>
          <w:rFonts w:ascii="Times New Roman" w:hAnsi="Times New Roman"/>
        </w:rPr>
        <w:t>即色生色，眼生眼，貪</w:t>
      </w:r>
      <w:r w:rsidRPr="00DA3BC7">
        <w:rPr>
          <w:rFonts w:ascii="Times New Roman" w:hAnsi="Times New Roman"/>
        </w:rPr>
        <w:lastRenderedPageBreak/>
        <w:t>生貪，有漏生有漏，無漏生無漏。這樣的因緣論，即是從一切有部析假見實得來的自性有，不過從三世常如而使之現在化而已</w:t>
      </w:r>
      <w:r w:rsidRPr="00DA3BC7">
        <w:rPr>
          <w:rFonts w:ascii="Times New Roman" w:hAnsi="Times New Roman" w:hint="eastAsia"/>
        </w:rPr>
        <w:t>；</w:t>
      </w:r>
      <w:r w:rsidRPr="00DA3BC7">
        <w:rPr>
          <w:rFonts w:ascii="Times New Roman" w:hAnsi="Times New Roman"/>
        </w:rPr>
        <w:t>自性有的原則，完全吻合。</w:t>
      </w:r>
    </w:p>
    <w:p w:rsidR="002B682F" w:rsidRPr="00DA3BC7" w:rsidRDefault="00CD554C" w:rsidP="00AE3920">
      <w:pPr>
        <w:spacing w:beforeLines="30"/>
        <w:ind w:leftChars="100" w:left="240"/>
        <w:jc w:val="both"/>
        <w:rPr>
          <w:rFonts w:ascii="Times New Roman" w:hAnsi="Times New Roman"/>
          <w:sz w:val="20"/>
          <w:szCs w:val="20"/>
        </w:rPr>
      </w:pPr>
      <w:r>
        <w:rPr>
          <w:rFonts w:ascii="Times New Roman" w:hAnsi="Times New Roman" w:hint="eastAsia"/>
          <w:b/>
          <w:color w:val="FF0000"/>
          <w:sz w:val="20"/>
          <w:szCs w:val="20"/>
          <w:highlight w:val="yellow"/>
          <w:bdr w:val="single" w:sz="4" w:space="0" w:color="auto"/>
        </w:rPr>
        <w:t>二</w:t>
      </w:r>
      <w:r w:rsidR="002B682F" w:rsidRPr="00F87FD0">
        <w:rPr>
          <w:rFonts w:ascii="Times New Roman" w:hAnsi="Times New Roman"/>
          <w:b/>
          <w:color w:val="FF0000"/>
          <w:sz w:val="20"/>
          <w:szCs w:val="20"/>
          <w:highlight w:val="yellow"/>
          <w:bdr w:val="single" w:sz="4" w:space="0" w:color="auto"/>
        </w:rPr>
        <w:t>、</w:t>
      </w:r>
      <w:r w:rsidR="00F87FD0" w:rsidRPr="00F87FD0">
        <w:rPr>
          <w:rFonts w:ascii="Times New Roman" w:hAnsi="Times New Roman" w:hint="eastAsia"/>
          <w:b/>
          <w:color w:val="FF0000"/>
          <w:sz w:val="20"/>
          <w:szCs w:val="20"/>
          <w:highlight w:val="yellow"/>
          <w:bdr w:val="single" w:sz="4" w:space="0" w:color="auto"/>
        </w:rPr>
        <w:t>「</w:t>
      </w:r>
      <w:r w:rsidR="002B682F" w:rsidRPr="00DA3BC7">
        <w:rPr>
          <w:rFonts w:ascii="Times New Roman" w:hAnsi="Times New Roman"/>
          <w:b/>
          <w:sz w:val="20"/>
          <w:szCs w:val="20"/>
          <w:bdr w:val="single" w:sz="4" w:space="0" w:color="auto"/>
        </w:rPr>
        <w:t>假必依實</w:t>
      </w:r>
      <w:r w:rsidR="00F87FD0">
        <w:rPr>
          <w:rFonts w:ascii="Times New Roman" w:hAnsi="Times New Roman" w:hint="eastAsia"/>
          <w:b/>
          <w:color w:val="FF0000"/>
          <w:sz w:val="20"/>
          <w:szCs w:val="20"/>
          <w:highlight w:val="yellow"/>
          <w:bdr w:val="single" w:sz="4" w:space="0" w:color="auto"/>
        </w:rPr>
        <w:t>」</w:t>
      </w:r>
      <w:r w:rsidRPr="00CD554C">
        <w:rPr>
          <w:rFonts w:ascii="Times New Roman" w:hAnsi="Times New Roman" w:hint="eastAsia"/>
          <w:b/>
          <w:color w:val="FF0000"/>
          <w:sz w:val="20"/>
          <w:szCs w:val="20"/>
          <w:highlight w:val="yellow"/>
          <w:bdr w:val="single" w:sz="4" w:space="0" w:color="auto"/>
        </w:rPr>
        <w:t>的主張</w:t>
      </w:r>
      <w:r w:rsidR="002B682F" w:rsidRPr="00DA3BC7">
        <w:rPr>
          <w:rFonts w:ascii="Times New Roman" w:hAnsi="Times Ext Roman"/>
          <w:sz w:val="20"/>
          <w:szCs w:val="20"/>
        </w:rPr>
        <w:t>（</w:t>
      </w:r>
      <w:r w:rsidR="002B682F" w:rsidRPr="00DA3BC7">
        <w:rPr>
          <w:rFonts w:ascii="Times New Roman" w:hAnsi="Times New Roman"/>
          <w:sz w:val="20"/>
          <w:szCs w:val="20"/>
        </w:rPr>
        <w:t>p.</w:t>
      </w:r>
      <w:r w:rsidR="002B682F" w:rsidRPr="00DA3BC7">
        <w:rPr>
          <w:rFonts w:ascii="Times New Roman" w:eastAsia="SimSun" w:hAnsi="Times New Roman"/>
          <w:sz w:val="20"/>
          <w:szCs w:val="20"/>
        </w:rPr>
        <w:t>67</w:t>
      </w:r>
      <w:r w:rsidR="002B682F" w:rsidRPr="00DA3BC7">
        <w:rPr>
          <w:rFonts w:ascii="Times New Roman" w:hAnsi="Times Ext Roman"/>
          <w:sz w:val="20"/>
          <w:szCs w:val="20"/>
        </w:rPr>
        <w:t>）</w:t>
      </w:r>
    </w:p>
    <w:p w:rsidR="002B682F" w:rsidRPr="00DA3BC7" w:rsidRDefault="002B682F" w:rsidP="008E2BBC">
      <w:pPr>
        <w:ind w:leftChars="150" w:left="360"/>
        <w:jc w:val="both"/>
        <w:rPr>
          <w:rFonts w:ascii="Times New Roman" w:hAnsi="Times New Roman"/>
          <w:b/>
          <w:sz w:val="20"/>
          <w:szCs w:val="20"/>
        </w:rPr>
      </w:pPr>
      <w:r w:rsidRPr="00DA3BC7">
        <w:rPr>
          <w:rFonts w:ascii="Times New Roman" w:hAnsi="Times New Roman"/>
          <w:b/>
          <w:sz w:val="20"/>
          <w:szCs w:val="20"/>
          <w:bdr w:val="single" w:sz="4" w:space="0" w:color="auto"/>
        </w:rPr>
        <w:t>（</w:t>
      </w:r>
      <w:r w:rsidRPr="00DA3BC7">
        <w:rPr>
          <w:rFonts w:ascii="Times New Roman" w:hAnsi="Times New Roman" w:hint="eastAsia"/>
          <w:b/>
          <w:sz w:val="20"/>
          <w:szCs w:val="20"/>
          <w:bdr w:val="single" w:sz="4" w:space="0" w:color="auto"/>
        </w:rPr>
        <w:t>一</w:t>
      </w:r>
      <w:r w:rsidRPr="00DA3BC7">
        <w:rPr>
          <w:rFonts w:ascii="Times New Roman" w:hAnsi="Times New Roman"/>
          <w:b/>
          <w:sz w:val="20"/>
          <w:szCs w:val="20"/>
          <w:bdr w:val="single" w:sz="4" w:space="0" w:color="auto"/>
        </w:rPr>
        <w:t>）經部師</w:t>
      </w:r>
      <w:r w:rsidR="00F87FD0" w:rsidRPr="00F87FD0">
        <w:rPr>
          <w:rFonts w:ascii="Times New Roman" w:hAnsi="Times New Roman" w:hint="eastAsia"/>
          <w:b/>
          <w:color w:val="FF0000"/>
          <w:sz w:val="20"/>
          <w:szCs w:val="20"/>
          <w:highlight w:val="yellow"/>
          <w:bdr w:val="single" w:sz="4" w:space="0" w:color="auto"/>
        </w:rPr>
        <w:t>之</w:t>
      </w:r>
      <w:r w:rsidR="00F87FD0">
        <w:rPr>
          <w:rFonts w:ascii="Times New Roman" w:hAnsi="Times New Roman" w:hint="eastAsia"/>
          <w:b/>
          <w:color w:val="FF0000"/>
          <w:sz w:val="20"/>
          <w:szCs w:val="20"/>
          <w:highlight w:val="yellow"/>
          <w:bdr w:val="single" w:sz="4" w:space="0" w:color="auto"/>
        </w:rPr>
        <w:t>說</w:t>
      </w:r>
      <w:r w:rsidRPr="00DA3BC7">
        <w:rPr>
          <w:rFonts w:ascii="Times New Roman" w:hAnsi="Times Ext Roman"/>
          <w:sz w:val="20"/>
          <w:szCs w:val="20"/>
        </w:rPr>
        <w:t>（</w:t>
      </w:r>
      <w:r w:rsidRPr="00DA3BC7">
        <w:rPr>
          <w:rFonts w:ascii="Times New Roman" w:hAnsi="Times New Roman"/>
          <w:sz w:val="20"/>
          <w:szCs w:val="20"/>
        </w:rPr>
        <w:t>p.</w:t>
      </w:r>
      <w:r w:rsidRPr="00DA3BC7">
        <w:rPr>
          <w:rFonts w:ascii="Times New Roman" w:eastAsia="SimSun" w:hAnsi="Times New Roman"/>
          <w:sz w:val="20"/>
          <w:szCs w:val="20"/>
        </w:rPr>
        <w:t>67</w:t>
      </w:r>
      <w:r w:rsidRPr="00DA3BC7">
        <w:rPr>
          <w:rFonts w:ascii="Times New Roman" w:hAnsi="Times Ext Roman"/>
          <w:sz w:val="20"/>
          <w:szCs w:val="20"/>
        </w:rPr>
        <w:t>）</w:t>
      </w:r>
    </w:p>
    <w:p w:rsidR="002B682F" w:rsidRPr="00DA3BC7" w:rsidRDefault="002B682F" w:rsidP="008E2BBC">
      <w:pPr>
        <w:ind w:leftChars="150" w:left="360"/>
        <w:jc w:val="both"/>
        <w:rPr>
          <w:rFonts w:ascii="Times New Roman" w:eastAsia="SimSun" w:hAnsi="Times New Roman"/>
        </w:rPr>
      </w:pPr>
      <w:r w:rsidRPr="00DA3BC7">
        <w:rPr>
          <w:rFonts w:ascii="Times New Roman" w:hAnsi="Times New Roman"/>
        </w:rPr>
        <w:t>依經部師，蘊、處是假的，而十八界是實有的。</w:t>
      </w:r>
      <w:r w:rsidRPr="00DA3BC7">
        <w:rPr>
          <w:rStyle w:val="a6"/>
          <w:rFonts w:ascii="Times New Roman" w:hAnsi="Times New Roman"/>
        </w:rPr>
        <w:footnoteReference w:id="350"/>
      </w:r>
      <w:r w:rsidRPr="00DA3BC7">
        <w:rPr>
          <w:rFonts w:ascii="Times New Roman" w:hAnsi="Times New Roman"/>
        </w:rPr>
        <w:t>相續和合的現行，都依於真實的界性。</w:t>
      </w:r>
      <w:r w:rsidRPr="00DA3BC7">
        <w:rPr>
          <w:rStyle w:val="a6"/>
          <w:rFonts w:ascii="Times New Roman" w:hAnsi="Times New Roman"/>
        </w:rPr>
        <w:footnoteReference w:id="351"/>
      </w:r>
    </w:p>
    <w:p w:rsidR="002B682F" w:rsidRPr="00DA3BC7" w:rsidRDefault="002B682F" w:rsidP="00AE3920">
      <w:pPr>
        <w:spacing w:beforeLines="30"/>
        <w:ind w:leftChars="150" w:left="360"/>
        <w:jc w:val="both"/>
        <w:rPr>
          <w:rFonts w:ascii="Times New Roman" w:hAnsi="Times New Roman"/>
          <w:b/>
          <w:sz w:val="20"/>
          <w:szCs w:val="20"/>
        </w:rPr>
      </w:pPr>
      <w:r w:rsidRPr="00DA3BC7">
        <w:rPr>
          <w:rFonts w:ascii="Times New Roman" w:hAnsi="Times New Roman"/>
          <w:b/>
          <w:sz w:val="20"/>
          <w:szCs w:val="20"/>
          <w:bdr w:val="single" w:sz="4" w:space="0" w:color="auto"/>
        </w:rPr>
        <w:t>（</w:t>
      </w:r>
      <w:r w:rsidRPr="00DA3BC7">
        <w:rPr>
          <w:rFonts w:ascii="Times New Roman" w:hAnsi="Times New Roman" w:hint="eastAsia"/>
          <w:b/>
          <w:sz w:val="20"/>
          <w:szCs w:val="20"/>
          <w:bdr w:val="single" w:sz="4" w:space="0" w:color="auto"/>
        </w:rPr>
        <w:t>二</w:t>
      </w:r>
      <w:r w:rsidRPr="00DA3BC7">
        <w:rPr>
          <w:rFonts w:ascii="Times New Roman" w:hAnsi="Times New Roman"/>
          <w:b/>
          <w:sz w:val="20"/>
          <w:szCs w:val="20"/>
          <w:bdr w:val="single" w:sz="4" w:space="0" w:color="auto"/>
        </w:rPr>
        <w:t>）唯識學者</w:t>
      </w:r>
      <w:r w:rsidR="00F87FD0" w:rsidRPr="00F87FD0">
        <w:rPr>
          <w:rFonts w:ascii="Times New Roman" w:hAnsi="Times New Roman" w:hint="eastAsia"/>
          <w:b/>
          <w:color w:val="FF0000"/>
          <w:sz w:val="20"/>
          <w:szCs w:val="20"/>
          <w:highlight w:val="yellow"/>
          <w:bdr w:val="single" w:sz="4" w:space="0" w:color="auto"/>
        </w:rPr>
        <w:t>之</w:t>
      </w:r>
      <w:r w:rsidR="00F87FD0">
        <w:rPr>
          <w:rFonts w:ascii="Times New Roman" w:hAnsi="Times New Roman" w:hint="eastAsia"/>
          <w:b/>
          <w:color w:val="FF0000"/>
          <w:sz w:val="20"/>
          <w:szCs w:val="20"/>
          <w:highlight w:val="yellow"/>
          <w:bdr w:val="single" w:sz="4" w:space="0" w:color="auto"/>
        </w:rPr>
        <w:t>說</w:t>
      </w:r>
      <w:r w:rsidRPr="00DA3BC7">
        <w:rPr>
          <w:rFonts w:ascii="Times New Roman" w:hAnsi="Times Ext Roman"/>
          <w:sz w:val="20"/>
          <w:szCs w:val="20"/>
        </w:rPr>
        <w:t>（</w:t>
      </w:r>
      <w:r w:rsidRPr="00DA3BC7">
        <w:rPr>
          <w:rFonts w:ascii="Times New Roman" w:hAnsi="Times New Roman"/>
          <w:sz w:val="20"/>
          <w:szCs w:val="20"/>
        </w:rPr>
        <w:t>p.</w:t>
      </w:r>
      <w:r w:rsidRPr="00DA3BC7">
        <w:rPr>
          <w:rFonts w:ascii="Times New Roman" w:eastAsia="SimSun" w:hAnsi="Times New Roman"/>
          <w:sz w:val="20"/>
          <w:szCs w:val="20"/>
        </w:rPr>
        <w:t>67</w:t>
      </w:r>
      <w:r w:rsidRPr="00DA3BC7">
        <w:rPr>
          <w:rFonts w:ascii="Times New Roman" w:hAnsi="Times Ext Roman"/>
          <w:sz w:val="20"/>
          <w:szCs w:val="20"/>
        </w:rPr>
        <w:t>）</w:t>
      </w:r>
    </w:p>
    <w:p w:rsidR="002B682F" w:rsidRPr="00DA3BC7" w:rsidRDefault="002B682F" w:rsidP="008E2BBC">
      <w:pPr>
        <w:ind w:leftChars="150" w:left="360"/>
        <w:jc w:val="both"/>
        <w:rPr>
          <w:rFonts w:ascii="Times New Roman" w:eastAsia="SimSun" w:hAnsi="Times New Roman"/>
        </w:rPr>
      </w:pPr>
      <w:r w:rsidRPr="00DA3BC7">
        <w:rPr>
          <w:rFonts w:ascii="Times New Roman" w:hAnsi="Times New Roman"/>
        </w:rPr>
        <w:t>《瑜伽</w:t>
      </w:r>
      <w:r w:rsidRPr="00DA3BC7">
        <w:rPr>
          <w:rFonts w:hint="eastAsia"/>
        </w:rPr>
        <w:t>師地</w:t>
      </w:r>
      <w:r w:rsidRPr="00DA3BC7">
        <w:rPr>
          <w:rFonts w:ascii="Times New Roman" w:hAnsi="Times New Roman"/>
        </w:rPr>
        <w:t>論》在批評性空時說：「</w:t>
      </w:r>
      <w:r w:rsidRPr="00DA3BC7">
        <w:rPr>
          <w:rFonts w:ascii="Times New Roman" w:eastAsia="標楷體" w:hAnsi="Times New Roman"/>
        </w:rPr>
        <w:t>譬如要有色等諸蘊，方有假立補特伽羅，非無實事而有假立補特伽羅。如是要有色等諸法實有唯事，方可得有色等諸法假說所表，非無唯事而有色等假說所表。若唯有假而</w:t>
      </w:r>
      <w:r w:rsidRPr="00DA3BC7">
        <w:rPr>
          <w:rFonts w:ascii="標楷體" w:eastAsia="標楷體" w:hAnsi="標楷體" w:hint="eastAsia"/>
        </w:rPr>
        <w:t>無有</w:t>
      </w:r>
      <w:r w:rsidRPr="00DA3BC7">
        <w:rPr>
          <w:rFonts w:ascii="Times New Roman" w:eastAsia="標楷體" w:hAnsi="Times New Roman"/>
        </w:rPr>
        <w:t>實事，既無依處，假亦無有。」</w:t>
      </w:r>
      <w:r w:rsidRPr="00DA3BC7">
        <w:rPr>
          <w:rStyle w:val="a6"/>
          <w:rFonts w:ascii="Times New Roman" w:hAnsi="Times New Roman"/>
        </w:rPr>
        <w:footnoteReference w:id="352"/>
      </w:r>
    </w:p>
    <w:p w:rsidR="002B682F" w:rsidRPr="00DA3BC7" w:rsidRDefault="00F87FD0" w:rsidP="00AE3920">
      <w:pPr>
        <w:spacing w:beforeLines="30"/>
        <w:ind w:leftChars="150" w:left="360"/>
        <w:jc w:val="both"/>
        <w:rPr>
          <w:rFonts w:ascii="Times New Roman" w:hAnsi="Times New Roman"/>
          <w:b/>
          <w:sz w:val="20"/>
          <w:szCs w:val="20"/>
        </w:rPr>
      </w:pPr>
      <w:r w:rsidRPr="00F87FD0">
        <w:rPr>
          <w:rFonts w:ascii="Times New Roman" w:hAnsi="Times New Roman" w:hint="eastAsia"/>
          <w:b/>
          <w:color w:val="FF0000"/>
          <w:sz w:val="20"/>
          <w:szCs w:val="20"/>
          <w:highlight w:val="yellow"/>
          <w:bdr w:val="single" w:sz="4" w:space="0" w:color="auto"/>
        </w:rPr>
        <w:lastRenderedPageBreak/>
        <w:t>※</w:t>
      </w:r>
      <w:r w:rsidR="00980035">
        <w:rPr>
          <w:rFonts w:ascii="Times New Roman" w:hAnsi="Times New Roman" w:hint="eastAsia"/>
          <w:b/>
          <w:color w:val="FF0000"/>
          <w:sz w:val="20"/>
          <w:szCs w:val="20"/>
          <w:highlight w:val="yellow"/>
          <w:bdr w:val="single" w:sz="4" w:space="0" w:color="auto"/>
        </w:rPr>
        <w:t>結成</w:t>
      </w:r>
      <w:r w:rsidR="002B682F" w:rsidRPr="00DA3BC7">
        <w:rPr>
          <w:rFonts w:ascii="Times New Roman" w:hAnsi="Times Ext Roman"/>
          <w:sz w:val="20"/>
          <w:szCs w:val="20"/>
        </w:rPr>
        <w:t>（</w:t>
      </w:r>
      <w:r w:rsidR="002B682F" w:rsidRPr="00DA3BC7">
        <w:rPr>
          <w:rFonts w:ascii="Times New Roman" w:hAnsi="Times New Roman"/>
          <w:sz w:val="20"/>
          <w:szCs w:val="20"/>
        </w:rPr>
        <w:t>p.</w:t>
      </w:r>
      <w:r w:rsidR="002B682F" w:rsidRPr="00DA3BC7">
        <w:rPr>
          <w:rFonts w:ascii="Times New Roman" w:eastAsia="SimSun" w:hAnsi="Times New Roman"/>
          <w:sz w:val="20"/>
          <w:szCs w:val="20"/>
        </w:rPr>
        <w:t>67</w:t>
      </w:r>
      <w:r w:rsidR="002B682F" w:rsidRPr="00DA3BC7">
        <w:rPr>
          <w:rFonts w:ascii="Times New Roman" w:hAnsi="Times Ext Roman"/>
          <w:sz w:val="20"/>
          <w:szCs w:val="20"/>
        </w:rPr>
        <w:t>）</w:t>
      </w:r>
    </w:p>
    <w:p w:rsidR="002B682F" w:rsidRPr="00DA3BC7" w:rsidRDefault="002B682F" w:rsidP="008E2BBC">
      <w:pPr>
        <w:kinsoku w:val="0"/>
        <w:ind w:leftChars="150" w:left="360"/>
        <w:jc w:val="both"/>
        <w:rPr>
          <w:rFonts w:ascii="Times New Roman" w:hAnsi="Times New Roman"/>
        </w:rPr>
      </w:pPr>
      <w:r w:rsidRPr="00DA3BC7">
        <w:rPr>
          <w:rFonts w:ascii="Times New Roman" w:hAnsi="Times New Roman"/>
        </w:rPr>
        <w:t>經部與瑜伽論者，稟承</w:t>
      </w:r>
      <w:r w:rsidRPr="00DA3BC7">
        <w:rPr>
          <w:rStyle w:val="a6"/>
          <w:rFonts w:ascii="Times New Roman" w:hAnsi="Times New Roman"/>
        </w:rPr>
        <w:footnoteReference w:id="353"/>
      </w:r>
      <w:r w:rsidRPr="00DA3BC7">
        <w:rPr>
          <w:rFonts w:ascii="Times New Roman" w:hAnsi="Times New Roman"/>
        </w:rPr>
        <w:t>那「假必依實」的天經地義</w:t>
      </w:r>
      <w:r w:rsidRPr="00DA3BC7">
        <w:rPr>
          <w:rStyle w:val="a6"/>
          <w:rFonts w:ascii="Times New Roman" w:hAnsi="Times New Roman"/>
        </w:rPr>
        <w:footnoteReference w:id="354"/>
      </w:r>
      <w:r w:rsidRPr="00DA3BC7">
        <w:rPr>
          <w:rFonts w:ascii="Times New Roman" w:hAnsi="Times New Roman"/>
        </w:rPr>
        <w:t>，所以不能說一切無自性空而必須說「自性有」的，假有的可空而自性有的不可空。</w:t>
      </w:r>
    </w:p>
    <w:p w:rsidR="002B682F" w:rsidRPr="00DA3BC7" w:rsidRDefault="002B682F" w:rsidP="00AE3920">
      <w:pPr>
        <w:spacing w:beforeLines="20"/>
        <w:ind w:leftChars="150" w:left="360"/>
        <w:jc w:val="both"/>
        <w:rPr>
          <w:rFonts w:ascii="Times New Roman" w:eastAsia="標楷體" w:hAnsi="Times New Roman"/>
        </w:rPr>
      </w:pPr>
      <w:r w:rsidRPr="00DA3BC7">
        <w:rPr>
          <w:rFonts w:ascii="Times New Roman" w:hAnsi="Times New Roman"/>
        </w:rPr>
        <w:t>《解深密經》也這樣說：「</w:t>
      </w:r>
      <w:r w:rsidRPr="00DA3BC7">
        <w:rPr>
          <w:rFonts w:ascii="Times New Roman" w:eastAsia="標楷體" w:hAnsi="Times New Roman"/>
        </w:rPr>
        <w:t>云何諸法遍計所執相？謂一切</w:t>
      </w:r>
      <w:r w:rsidRPr="00DA3BC7">
        <w:rPr>
          <w:rFonts w:ascii="標楷體" w:eastAsia="標楷體" w:hAnsi="標楷體" w:hint="eastAsia"/>
        </w:rPr>
        <w:t>法</w:t>
      </w:r>
      <w:r w:rsidRPr="00DA3BC7">
        <w:rPr>
          <w:rFonts w:ascii="Times New Roman" w:eastAsia="標楷體" w:hAnsi="Times New Roman"/>
        </w:rPr>
        <w:t>名假安立（假名），自性差別乃至為令隨起言說。云何諸法依他起相？謂一切法緣生自性。」</w:t>
      </w:r>
      <w:r w:rsidRPr="00DA3BC7">
        <w:rPr>
          <w:rStyle w:val="a6"/>
          <w:rFonts w:ascii="Times New Roman" w:hAnsi="Times New Roman"/>
        </w:rPr>
        <w:footnoteReference w:id="355"/>
      </w:r>
    </w:p>
    <w:p w:rsidR="009E0A5A" w:rsidRDefault="002B682F" w:rsidP="00AE3920">
      <w:pPr>
        <w:spacing w:beforeLines="20"/>
        <w:ind w:leftChars="150" w:left="360"/>
        <w:jc w:val="both"/>
        <w:rPr>
          <w:rFonts w:ascii="Times New Roman" w:hAnsi="Times New Roman"/>
        </w:rPr>
      </w:pPr>
      <w:r w:rsidRPr="00DA3BC7">
        <w:rPr>
          <w:rFonts w:ascii="Times New Roman" w:hAnsi="Times New Roman"/>
        </w:rPr>
        <w:t>在論到有自性與無自性時，即說：「</w:t>
      </w:r>
      <w:r w:rsidRPr="00DA3BC7">
        <w:rPr>
          <w:rFonts w:ascii="Times New Roman" w:eastAsia="標楷體" w:hAnsi="Times New Roman"/>
        </w:rPr>
        <w:t>此由假名安立為相，非由自相安立為相，是故說名相無自性性。」</w:t>
      </w:r>
      <w:r w:rsidRPr="00DA3BC7">
        <w:rPr>
          <w:rStyle w:val="a6"/>
          <w:rFonts w:ascii="Times New Roman" w:hAnsi="Times New Roman"/>
        </w:rPr>
        <w:footnoteReference w:id="356"/>
      </w:r>
      <w:r w:rsidRPr="00DA3BC7">
        <w:rPr>
          <w:rFonts w:ascii="Times New Roman" w:hAnsi="Times New Roman"/>
        </w:rPr>
        <w:t>這分為假名安立與自相</w:t>
      </w:r>
      <w:r w:rsidRPr="00DA3BC7">
        <w:rPr>
          <w:rFonts w:ascii="新細明體" w:hAnsi="新細明體"/>
        </w:rPr>
        <w:t>──</w:t>
      </w:r>
      <w:r w:rsidRPr="00DA3BC7">
        <w:rPr>
          <w:rFonts w:ascii="Times New Roman" w:hAnsi="Times New Roman"/>
        </w:rPr>
        <w:t>即自性安立：</w:t>
      </w:r>
      <w:r w:rsidRPr="00DA3BC7">
        <w:rPr>
          <w:rFonts w:ascii="Times New Roman" w:hAnsi="Times New Roman"/>
        </w:rPr>
        <w:lastRenderedPageBreak/>
        <w:t>假名安立的，無自性、空；自相安立的，即是有自性了</w:t>
      </w:r>
    </w:p>
    <w:p w:rsidR="002B682F" w:rsidRPr="00DA3BC7" w:rsidRDefault="002B682F" w:rsidP="00AE3920">
      <w:pPr>
        <w:spacing w:beforeLines="20"/>
        <w:ind w:leftChars="150" w:left="360"/>
        <w:jc w:val="both"/>
        <w:rPr>
          <w:rFonts w:ascii="Times New Roman" w:eastAsia="SimSun" w:hAnsi="Times New Roman"/>
        </w:rPr>
      </w:pPr>
      <w:r w:rsidRPr="009E0A5A">
        <w:rPr>
          <w:rFonts w:ascii="Times New Roman" w:hAnsi="Times New Roman"/>
          <w:highlight w:val="yellow"/>
        </w:rPr>
        <w:lastRenderedPageBreak/>
        <w:t>追</w:t>
      </w:r>
      <w:r w:rsidRPr="00DA3BC7">
        <w:rPr>
          <w:rFonts w:ascii="Times New Roman" w:hAnsi="Times New Roman"/>
        </w:rPr>
        <w:t>求事物中的根元，看作實在的，依此而成立世出世一切，都是「自性」論者。</w:t>
      </w:r>
    </w:p>
    <w:p w:rsidR="002B682F" w:rsidRPr="00DA3BC7" w:rsidRDefault="002B682F" w:rsidP="00AE3920">
      <w:pPr>
        <w:spacing w:beforeLines="30"/>
        <w:ind w:leftChars="50" w:left="120"/>
        <w:jc w:val="both"/>
        <w:rPr>
          <w:rFonts w:ascii="Times New Roman" w:hAnsi="Times New Roman"/>
          <w:sz w:val="20"/>
          <w:szCs w:val="20"/>
          <w:bdr w:val="single" w:sz="4" w:space="0" w:color="auto"/>
        </w:rPr>
      </w:pPr>
      <w:r w:rsidRPr="00DA3BC7">
        <w:rPr>
          <w:rFonts w:ascii="Times New Roman" w:hAnsi="Times New Roman"/>
          <w:b/>
          <w:sz w:val="20"/>
          <w:szCs w:val="20"/>
          <w:bdr w:val="single" w:sz="4" w:space="0" w:color="auto"/>
        </w:rPr>
        <w:t>（</w:t>
      </w:r>
      <w:r w:rsidR="00FC5046" w:rsidRPr="00DA3BC7">
        <w:rPr>
          <w:rFonts w:ascii="Times New Roman" w:hAnsi="Times New Roman" w:hint="eastAsia"/>
          <w:b/>
          <w:sz w:val="20"/>
          <w:szCs w:val="20"/>
          <w:bdr w:val="single" w:sz="4" w:space="0" w:color="auto"/>
        </w:rPr>
        <w:t>參</w:t>
      </w:r>
      <w:r w:rsidRPr="00DA3BC7">
        <w:rPr>
          <w:rFonts w:ascii="Times New Roman" w:hAnsi="Times New Roman"/>
          <w:b/>
          <w:sz w:val="20"/>
          <w:szCs w:val="20"/>
          <w:bdr w:val="single" w:sz="4" w:space="0" w:color="auto"/>
        </w:rPr>
        <w:t>）</w:t>
      </w:r>
      <w:r w:rsidRPr="00DA3BC7">
        <w:rPr>
          <w:rFonts w:ascii="Times New Roman" w:hAnsi="Times New Roman" w:hint="eastAsia"/>
          <w:b/>
          <w:sz w:val="20"/>
          <w:szCs w:val="20"/>
          <w:bdr w:val="single" w:sz="4" w:space="0" w:color="auto"/>
        </w:rPr>
        <w:t>真常系</w:t>
      </w:r>
      <w:r w:rsidR="00F87FD0" w:rsidRPr="00F87FD0">
        <w:rPr>
          <w:rFonts w:ascii="Times New Roman" w:hAnsi="Times New Roman" w:hint="eastAsia"/>
          <w:b/>
          <w:color w:val="FF0000"/>
          <w:sz w:val="20"/>
          <w:szCs w:val="20"/>
          <w:highlight w:val="yellow"/>
          <w:bdr w:val="single" w:sz="4" w:space="0" w:color="auto"/>
        </w:rPr>
        <w:t>之見</w:t>
      </w:r>
      <w:r w:rsidRPr="00DA3BC7">
        <w:rPr>
          <w:rFonts w:ascii="Times New Roman" w:hAnsi="Times Ext Roman"/>
          <w:sz w:val="20"/>
          <w:szCs w:val="20"/>
        </w:rPr>
        <w:t>（</w:t>
      </w:r>
      <w:r w:rsidRPr="00DA3BC7">
        <w:rPr>
          <w:rFonts w:ascii="Times New Roman" w:hAnsi="Times New Roman"/>
          <w:sz w:val="20"/>
          <w:szCs w:val="20"/>
        </w:rPr>
        <w:t>pp.</w:t>
      </w:r>
      <w:r w:rsidRPr="00DA3BC7">
        <w:rPr>
          <w:rFonts w:ascii="Times New Roman" w:eastAsia="SimSun" w:hAnsi="Times New Roman"/>
          <w:sz w:val="20"/>
          <w:szCs w:val="20"/>
        </w:rPr>
        <w:t>67</w:t>
      </w:r>
      <w:r w:rsidRPr="00DA3BC7">
        <w:rPr>
          <w:rFonts w:ascii="Times New Roman" w:hAnsi="Times New Roman"/>
          <w:sz w:val="20"/>
          <w:szCs w:val="20"/>
        </w:rPr>
        <w:t>-</w:t>
      </w:r>
      <w:r w:rsidRPr="00DA3BC7">
        <w:rPr>
          <w:rFonts w:ascii="Times New Roman" w:eastAsia="SimSun" w:hAnsi="Times New Roman"/>
          <w:sz w:val="20"/>
          <w:szCs w:val="20"/>
        </w:rPr>
        <w:t>68</w:t>
      </w:r>
      <w:r w:rsidRPr="00DA3BC7">
        <w:rPr>
          <w:rFonts w:ascii="Times New Roman" w:hAnsi="Times Ext Roman"/>
          <w:sz w:val="20"/>
          <w:szCs w:val="20"/>
        </w:rPr>
        <w:t>）</w:t>
      </w:r>
    </w:p>
    <w:p w:rsidR="002B682F" w:rsidRPr="00DA3BC7" w:rsidRDefault="002B682F" w:rsidP="008E2BBC">
      <w:pPr>
        <w:ind w:leftChars="50" w:left="120"/>
        <w:jc w:val="both"/>
        <w:rPr>
          <w:rFonts w:ascii="Times New Roman" w:eastAsia="標楷體" w:hAnsi="Times New Roman"/>
        </w:rPr>
      </w:pPr>
      <w:r w:rsidRPr="00DA3BC7">
        <w:rPr>
          <w:rFonts w:ascii="Times New Roman" w:hAnsi="Times New Roman"/>
        </w:rPr>
        <w:t>又如《楞嚴經》說：「</w:t>
      </w:r>
      <w:r w:rsidRPr="00DA3BC7">
        <w:rPr>
          <w:rFonts w:ascii="Times New Roman" w:eastAsia="標楷體" w:hAnsi="Times New Roman"/>
        </w:rPr>
        <w:t>若諸世界一切所有，其中乃至草葉縷</w:t>
      </w:r>
      <w:r w:rsidRPr="00DA3BC7">
        <w:rPr>
          <w:rStyle w:val="a6"/>
          <w:rFonts w:ascii="Times New Roman" w:hAnsi="Times New Roman"/>
        </w:rPr>
        <w:footnoteReference w:id="357"/>
      </w:r>
      <w:r w:rsidRPr="00DA3BC7">
        <w:rPr>
          <w:rFonts w:ascii="Times New Roman" w:eastAsia="標楷體" w:hAnsi="Times New Roman"/>
        </w:rPr>
        <w:t>結</w:t>
      </w:r>
      <w:r w:rsidRPr="00DA3BC7">
        <w:rPr>
          <w:rStyle w:val="a6"/>
          <w:rFonts w:ascii="Times New Roman" w:hAnsi="Times New Roman"/>
        </w:rPr>
        <w:footnoteReference w:id="358"/>
      </w:r>
      <w:r w:rsidRPr="00DA3BC7">
        <w:rPr>
          <w:rFonts w:ascii="Times New Roman" w:eastAsia="標楷體" w:hAnsi="Times New Roman"/>
        </w:rPr>
        <w:t>，詰</w:t>
      </w:r>
      <w:r w:rsidRPr="00DA3BC7">
        <w:rPr>
          <w:rStyle w:val="a6"/>
          <w:rFonts w:ascii="Times New Roman" w:hAnsi="Times New Roman"/>
        </w:rPr>
        <w:footnoteReference w:id="359"/>
      </w:r>
      <w:r w:rsidRPr="00DA3BC7">
        <w:rPr>
          <w:rFonts w:ascii="Times New Roman" w:eastAsia="標楷體" w:hAnsi="Times New Roman"/>
        </w:rPr>
        <w:t>其根元，咸</w:t>
      </w:r>
      <w:r w:rsidRPr="00DA3BC7">
        <w:rPr>
          <w:rStyle w:val="a6"/>
          <w:rFonts w:ascii="Times New Roman" w:hAnsi="Times New Roman"/>
        </w:rPr>
        <w:footnoteReference w:id="360"/>
      </w:r>
      <w:r w:rsidRPr="00DA3BC7">
        <w:rPr>
          <w:rFonts w:ascii="Times New Roman" w:eastAsia="標楷體" w:hAnsi="Times New Roman"/>
        </w:rPr>
        <w:t>有體性，縱令虛空亦有名貌</w:t>
      </w:r>
      <w:r w:rsidRPr="00DA3BC7">
        <w:rPr>
          <w:rStyle w:val="a6"/>
          <w:rFonts w:ascii="Times New Roman" w:hAnsi="Times New Roman"/>
        </w:rPr>
        <w:footnoteReference w:id="361"/>
      </w:r>
      <w:r w:rsidRPr="00DA3BC7">
        <w:rPr>
          <w:rFonts w:ascii="Times New Roman" w:eastAsia="標楷體" w:hAnsi="Times New Roman"/>
        </w:rPr>
        <w:t>，何況清淨妙淨明心性一切心而自無體？」</w:t>
      </w:r>
      <w:r w:rsidRPr="00DA3BC7">
        <w:rPr>
          <w:rStyle w:val="a6"/>
          <w:rFonts w:ascii="Times New Roman" w:hAnsi="Times New Roman"/>
        </w:rPr>
        <w:footnoteReference w:id="362"/>
      </w:r>
    </w:p>
    <w:p w:rsidR="00384A62" w:rsidRDefault="002B682F" w:rsidP="00AE3920">
      <w:pPr>
        <w:spacing w:beforeLines="20"/>
        <w:ind w:leftChars="50" w:left="120"/>
        <w:jc w:val="both"/>
        <w:rPr>
          <w:rFonts w:ascii="Times New Roman" w:hAnsi="Times New Roman"/>
        </w:rPr>
      </w:pPr>
      <w:r w:rsidRPr="00DA3BC7">
        <w:rPr>
          <w:rFonts w:ascii="Times New Roman" w:hAnsi="Times New Roman"/>
        </w:rPr>
        <w:t>這是自性論者的另一面目。在萬化中，終必有一個真實自性而不是假的，這即是「自性」的意義。</w:t>
      </w:r>
    </w:p>
    <w:p w:rsidR="002B682F" w:rsidRPr="00DA3BC7" w:rsidRDefault="002B682F" w:rsidP="00AE3920">
      <w:pPr>
        <w:spacing w:beforeLines="20"/>
        <w:ind w:leftChars="50" w:left="120"/>
        <w:jc w:val="both"/>
        <w:rPr>
          <w:rFonts w:ascii="Times New Roman" w:eastAsia="SimSun" w:hAnsi="Times New Roman"/>
        </w:rPr>
      </w:pPr>
      <w:r w:rsidRPr="00384A62">
        <w:rPr>
          <w:rFonts w:ascii="Times New Roman" w:hAnsi="Times New Roman"/>
          <w:highlight w:val="yellow"/>
        </w:rPr>
        <w:t>一</w:t>
      </w:r>
      <w:r w:rsidRPr="00DA3BC7">
        <w:rPr>
          <w:rFonts w:ascii="Times New Roman" w:hAnsi="Times New Roman"/>
        </w:rPr>
        <w:t>般的宗教與哲學，無不從此自性的老路而來！</w:t>
      </w:r>
    </w:p>
    <w:p w:rsidR="002B682F" w:rsidRPr="00DA3BC7" w:rsidRDefault="002B682F" w:rsidP="00AE3920">
      <w:pPr>
        <w:spacing w:beforeLines="30"/>
        <w:ind w:leftChars="50" w:left="120"/>
        <w:jc w:val="both"/>
        <w:rPr>
          <w:rFonts w:ascii="Times New Roman" w:hAnsi="Times New Roman"/>
          <w:sz w:val="20"/>
          <w:szCs w:val="20"/>
          <w:bdr w:val="single" w:sz="4" w:space="0" w:color="auto"/>
        </w:rPr>
      </w:pPr>
      <w:r w:rsidRPr="00DA3BC7">
        <w:rPr>
          <w:rFonts w:ascii="Times New Roman" w:hAnsi="Times New Roman"/>
          <w:b/>
          <w:sz w:val="20"/>
          <w:szCs w:val="20"/>
          <w:bdr w:val="single" w:sz="4" w:space="0" w:color="auto"/>
        </w:rPr>
        <w:t>（</w:t>
      </w:r>
      <w:r w:rsidRPr="00DA3BC7">
        <w:rPr>
          <w:rFonts w:ascii="Times New Roman" w:hAnsi="Times New Roman" w:hint="eastAsia"/>
          <w:b/>
          <w:sz w:val="20"/>
          <w:szCs w:val="20"/>
          <w:bdr w:val="single" w:sz="4" w:space="0" w:color="auto"/>
        </w:rPr>
        <w:t>肆</w:t>
      </w:r>
      <w:r w:rsidRPr="00DA3BC7">
        <w:rPr>
          <w:rFonts w:ascii="Times New Roman" w:hAnsi="Times New Roman"/>
          <w:b/>
          <w:sz w:val="20"/>
          <w:szCs w:val="20"/>
          <w:bdr w:val="single" w:sz="4" w:space="0" w:color="auto"/>
        </w:rPr>
        <w:t>）中觀學系</w:t>
      </w:r>
      <w:r w:rsidR="00980035">
        <w:rPr>
          <w:rFonts w:ascii="Times New Roman" w:hAnsi="Times New Roman" w:hint="eastAsia"/>
          <w:b/>
          <w:sz w:val="20"/>
          <w:szCs w:val="20"/>
          <w:bdr w:val="single" w:sz="4" w:space="0" w:color="auto"/>
        </w:rPr>
        <w:t>對</w:t>
      </w:r>
      <w:r w:rsidR="00980035" w:rsidRPr="00980035">
        <w:rPr>
          <w:rFonts w:ascii="Times New Roman" w:hAnsi="Times New Roman" w:hint="eastAsia"/>
          <w:b/>
          <w:color w:val="FF0000"/>
          <w:sz w:val="20"/>
          <w:szCs w:val="20"/>
          <w:highlight w:val="yellow"/>
          <w:bdr w:val="single" w:sz="4" w:space="0" w:color="auto"/>
        </w:rPr>
        <w:t>「自性有」的評判</w:t>
      </w:r>
      <w:r w:rsidRPr="00DA3BC7">
        <w:rPr>
          <w:rFonts w:ascii="Times New Roman" w:hAnsi="Times Ext Roman"/>
          <w:sz w:val="20"/>
          <w:szCs w:val="20"/>
        </w:rPr>
        <w:t>（</w:t>
      </w:r>
      <w:r w:rsidRPr="00DA3BC7">
        <w:rPr>
          <w:rFonts w:ascii="Times New Roman" w:hAnsi="Times New Roman"/>
          <w:sz w:val="20"/>
          <w:szCs w:val="20"/>
        </w:rPr>
        <w:t>pp.</w:t>
      </w:r>
      <w:r w:rsidRPr="00DA3BC7">
        <w:rPr>
          <w:rFonts w:ascii="Times New Roman" w:eastAsia="SimSun" w:hAnsi="Times New Roman"/>
          <w:sz w:val="20"/>
          <w:szCs w:val="20"/>
        </w:rPr>
        <w:t>68</w:t>
      </w:r>
      <w:r w:rsidRPr="00DA3BC7">
        <w:rPr>
          <w:rFonts w:ascii="Times New Roman" w:hAnsi="Times New Roman"/>
          <w:sz w:val="20"/>
          <w:szCs w:val="20"/>
        </w:rPr>
        <w:t>-</w:t>
      </w:r>
      <w:r w:rsidRPr="00DA3BC7">
        <w:rPr>
          <w:rFonts w:ascii="Times New Roman" w:eastAsia="SimSun" w:hAnsi="Times New Roman"/>
          <w:sz w:val="20"/>
          <w:szCs w:val="20"/>
        </w:rPr>
        <w:t>69</w:t>
      </w:r>
      <w:r w:rsidRPr="00DA3BC7">
        <w:rPr>
          <w:rFonts w:ascii="Times New Roman" w:hAnsi="Times Ext Roman"/>
          <w:sz w:val="20"/>
          <w:szCs w:val="20"/>
        </w:rPr>
        <w:t>）</w:t>
      </w:r>
    </w:p>
    <w:p w:rsidR="002B682F" w:rsidRPr="00DA3BC7" w:rsidRDefault="002B682F" w:rsidP="008E2BBC">
      <w:pPr>
        <w:ind w:leftChars="100" w:left="240"/>
        <w:jc w:val="both"/>
        <w:rPr>
          <w:rFonts w:ascii="Times New Roman" w:hAnsi="Times New Roman"/>
          <w:sz w:val="20"/>
          <w:szCs w:val="20"/>
        </w:rPr>
      </w:pPr>
      <w:r w:rsidRPr="00DA3BC7">
        <w:rPr>
          <w:rFonts w:ascii="Times New Roman" w:hAnsi="Times New Roman" w:hint="eastAsia"/>
          <w:b/>
          <w:sz w:val="20"/>
          <w:szCs w:val="20"/>
          <w:bdr w:val="single" w:sz="4" w:space="0" w:color="auto"/>
        </w:rPr>
        <w:t>一、</w:t>
      </w:r>
      <w:r w:rsidR="0033756F">
        <w:rPr>
          <w:rFonts w:hint="eastAsia"/>
          <w:b/>
          <w:color w:val="FF0000"/>
          <w:sz w:val="20"/>
          <w:szCs w:val="20"/>
          <w:highlight w:val="yellow"/>
          <w:bdr w:val="single" w:sz="4" w:space="0" w:color="auto"/>
        </w:rPr>
        <w:t>引論表述</w:t>
      </w:r>
      <w:r w:rsidRPr="00DA3BC7">
        <w:rPr>
          <w:rFonts w:ascii="Times New Roman" w:hAnsi="Times Ext Roman"/>
          <w:sz w:val="20"/>
          <w:szCs w:val="20"/>
        </w:rPr>
        <w:t>（</w:t>
      </w:r>
      <w:r w:rsidRPr="00DA3BC7">
        <w:rPr>
          <w:rFonts w:ascii="Times New Roman" w:hAnsi="Times New Roman"/>
          <w:sz w:val="20"/>
          <w:szCs w:val="20"/>
        </w:rPr>
        <w:t>p.</w:t>
      </w:r>
      <w:r w:rsidRPr="00DA3BC7">
        <w:rPr>
          <w:rFonts w:ascii="Times New Roman" w:eastAsia="SimSun" w:hAnsi="Times New Roman"/>
          <w:sz w:val="20"/>
          <w:szCs w:val="20"/>
        </w:rPr>
        <w:t>68</w:t>
      </w:r>
      <w:r w:rsidRPr="00DA3BC7">
        <w:rPr>
          <w:rFonts w:ascii="Times New Roman" w:hAnsi="Times Ext Roman"/>
          <w:sz w:val="20"/>
          <w:szCs w:val="20"/>
        </w:rPr>
        <w:t>）</w:t>
      </w:r>
    </w:p>
    <w:p w:rsidR="002B682F" w:rsidRPr="00DA3BC7" w:rsidRDefault="002B682F" w:rsidP="008E2BBC">
      <w:pPr>
        <w:ind w:leftChars="100" w:left="240"/>
        <w:jc w:val="both"/>
        <w:rPr>
          <w:rFonts w:ascii="Times New Roman" w:hAnsi="Times New Roman"/>
        </w:rPr>
      </w:pPr>
      <w:r w:rsidRPr="00DA3BC7">
        <w:rPr>
          <w:rFonts w:ascii="Times New Roman" w:hAnsi="Times New Roman"/>
        </w:rPr>
        <w:t>《中論》</w:t>
      </w:r>
      <w:r w:rsidR="0008330E">
        <w:rPr>
          <w:rFonts w:ascii="Times New Roman" w:hAnsi="Times New Roman" w:hint="eastAsia"/>
        </w:rPr>
        <w:t>〈</w:t>
      </w:r>
      <w:r w:rsidR="0008330E" w:rsidRPr="00DA3BC7">
        <w:rPr>
          <w:rFonts w:ascii="Times New Roman" w:hAnsi="Times New Roman"/>
        </w:rPr>
        <w:t>觀有無品</w:t>
      </w:r>
      <w:r w:rsidR="0008330E">
        <w:rPr>
          <w:rFonts w:ascii="Times New Roman" w:hAnsi="Times New Roman" w:hint="eastAsia"/>
        </w:rPr>
        <w:t>〉</w:t>
      </w:r>
      <w:r w:rsidRPr="00DA3BC7">
        <w:rPr>
          <w:rFonts w:ascii="Times New Roman" w:hAnsi="Times New Roman"/>
        </w:rPr>
        <w:t>說：</w:t>
      </w:r>
    </w:p>
    <w:p w:rsidR="002B682F" w:rsidRPr="00DA3BC7" w:rsidRDefault="002B682F" w:rsidP="008E2BBC">
      <w:pPr>
        <w:ind w:leftChars="100" w:left="240"/>
        <w:jc w:val="both"/>
        <w:rPr>
          <w:rFonts w:ascii="Times New Roman" w:eastAsia="標楷體" w:hAnsi="Times New Roman"/>
        </w:rPr>
      </w:pPr>
      <w:r w:rsidRPr="00DA3BC7">
        <w:rPr>
          <w:rFonts w:ascii="Times New Roman" w:hAnsi="Times New Roman"/>
        </w:rPr>
        <w:t>「</w:t>
      </w:r>
      <w:r w:rsidRPr="00DA3BC7">
        <w:rPr>
          <w:rFonts w:ascii="Times New Roman" w:eastAsia="標楷體" w:hAnsi="Times New Roman"/>
        </w:rPr>
        <w:t>眾緣中</w:t>
      </w:r>
      <w:r w:rsidRPr="00DA3BC7">
        <w:rPr>
          <w:rFonts w:ascii="Times New Roman" w:eastAsia="標楷體" w:hAnsi="Times New Roman" w:hint="eastAsia"/>
        </w:rPr>
        <w:t>有</w:t>
      </w:r>
      <w:r w:rsidRPr="00DA3BC7">
        <w:rPr>
          <w:rFonts w:ascii="Times New Roman" w:eastAsia="標楷體" w:hAnsi="Times New Roman"/>
        </w:rPr>
        <w:t>性，是事則不然，性從眾緣出，即名為作法。</w:t>
      </w:r>
    </w:p>
    <w:p w:rsidR="002B682F" w:rsidRPr="00DA3BC7" w:rsidRDefault="002B682F" w:rsidP="00384A62">
      <w:pPr>
        <w:ind w:leftChars="200" w:left="480"/>
        <w:jc w:val="both"/>
        <w:rPr>
          <w:rFonts w:ascii="Times New Roman" w:eastAsia="標楷體" w:hAnsi="Times New Roman"/>
        </w:rPr>
      </w:pPr>
      <w:r w:rsidRPr="00DA3BC7">
        <w:rPr>
          <w:rFonts w:ascii="Times New Roman" w:eastAsia="標楷體" w:hAnsi="Times New Roman"/>
        </w:rPr>
        <w:t>性若是作者，云何有此義？性名為無作，不待異法成。」</w:t>
      </w:r>
      <w:r w:rsidRPr="00DA3BC7">
        <w:rPr>
          <w:rStyle w:val="a6"/>
          <w:rFonts w:ascii="Times New Roman" w:hAnsi="Times New Roman"/>
        </w:rPr>
        <w:footnoteReference w:id="363"/>
      </w:r>
    </w:p>
    <w:p w:rsidR="002B682F" w:rsidRPr="00DA3BC7" w:rsidRDefault="002B682F" w:rsidP="008E2BBC">
      <w:pPr>
        <w:ind w:leftChars="100" w:left="240"/>
        <w:jc w:val="both"/>
        <w:rPr>
          <w:rFonts w:ascii="Times New Roman" w:eastAsia="SimSun" w:hAnsi="Times New Roman"/>
        </w:rPr>
      </w:pPr>
      <w:r w:rsidRPr="00DA3BC7">
        <w:rPr>
          <w:rFonts w:ascii="Times New Roman" w:hAnsi="Times New Roman"/>
        </w:rPr>
        <w:lastRenderedPageBreak/>
        <w:t>這是《中觀論》對於「自性」的具體說明。</w:t>
      </w:r>
    </w:p>
    <w:p w:rsidR="002B682F" w:rsidRPr="00DA3BC7" w:rsidRDefault="002B682F" w:rsidP="00AE3920">
      <w:pPr>
        <w:spacing w:beforeLines="20"/>
        <w:ind w:leftChars="100" w:left="240"/>
        <w:jc w:val="both"/>
        <w:rPr>
          <w:rFonts w:ascii="Times New Roman" w:eastAsia="SimSun" w:hAnsi="Times New Roman"/>
          <w:u w:val="single"/>
        </w:rPr>
      </w:pPr>
      <w:r w:rsidRPr="00DA3BC7">
        <w:rPr>
          <w:rFonts w:ascii="Times New Roman" w:hAnsi="Times New Roman"/>
        </w:rPr>
        <w:t>佛法說緣起，除了極端者而外，誰都承認，但總覺得是諸法自性有，由眾緣的和</w:t>
      </w:r>
      <w:r w:rsidRPr="00DA3BC7">
        <w:rPr>
          <w:rFonts w:ascii="細明體" w:eastAsia="細明體" w:hAnsi="細明體" w:hint="eastAsia"/>
        </w:rPr>
        <w:t>合</w:t>
      </w:r>
      <w:r w:rsidRPr="00DA3BC7">
        <w:rPr>
          <w:rFonts w:ascii="Times New Roman" w:hAnsi="Times New Roman"/>
        </w:rPr>
        <w:t>關係而發現。</w:t>
      </w:r>
      <w:r w:rsidRPr="00DA3BC7">
        <w:rPr>
          <w:rFonts w:ascii="Times New Roman" w:hAnsi="Times New Roman"/>
          <w:b/>
        </w:rPr>
        <w:t>若依中觀的看法，自性與緣起，是不容並存的。有自性即不是緣起的，緣起的就不能說是自性有的。</w:t>
      </w:r>
    </w:p>
    <w:p w:rsidR="002B682F" w:rsidRPr="00DA3BC7" w:rsidRDefault="002B682F" w:rsidP="00AE3920">
      <w:pPr>
        <w:spacing w:beforeLines="20"/>
        <w:ind w:leftChars="100" w:left="240"/>
        <w:jc w:val="both"/>
        <w:rPr>
          <w:rFonts w:ascii="Times New Roman" w:hAnsi="Times New Roman"/>
        </w:rPr>
      </w:pPr>
      <w:r w:rsidRPr="00DA3BC7">
        <w:rPr>
          <w:rFonts w:ascii="Times New Roman" w:hAnsi="Times New Roman"/>
        </w:rPr>
        <w:t>因為，若法要由眾緣和合而現起，即依眾緣而存在與生起；承認由眾緣現起，即等於承認是「</w:t>
      </w:r>
      <w:r w:rsidRPr="00DA3BC7">
        <w:rPr>
          <w:rFonts w:ascii="Times New Roman" w:eastAsia="標楷體" w:hAnsi="Times New Roman"/>
        </w:rPr>
        <w:t>作法</w:t>
      </w:r>
      <w:r w:rsidRPr="00DA3BC7">
        <w:rPr>
          <w:rFonts w:ascii="Times New Roman" w:hAnsi="Times New Roman"/>
        </w:rPr>
        <w:t>」。「</w:t>
      </w:r>
      <w:r w:rsidRPr="00DA3BC7">
        <w:rPr>
          <w:rFonts w:ascii="Times New Roman" w:eastAsia="標楷體" w:hAnsi="Times New Roman"/>
        </w:rPr>
        <w:t>作</w:t>
      </w:r>
      <w:r w:rsidRPr="00DA3BC7">
        <w:rPr>
          <w:rFonts w:ascii="Times New Roman" w:hAnsi="Times New Roman"/>
        </w:rPr>
        <w:t>」，就是「</w:t>
      </w:r>
      <w:r w:rsidRPr="00224D48">
        <w:rPr>
          <w:rFonts w:ascii="標楷體" w:eastAsia="標楷體" w:hAnsi="標楷體"/>
        </w:rPr>
        <w:t>所作性故</w:t>
      </w:r>
      <w:r w:rsidRPr="00DA3BC7">
        <w:rPr>
          <w:rFonts w:ascii="Times New Roman" w:hAnsi="Times New Roman"/>
        </w:rPr>
        <w:t>」的作，有新新</w:t>
      </w:r>
      <w:r w:rsidRPr="00DA3BC7">
        <w:rPr>
          <w:rStyle w:val="a6"/>
          <w:rFonts w:ascii="Times New Roman" w:hAnsi="Times New Roman"/>
        </w:rPr>
        <w:footnoteReference w:id="364"/>
      </w:r>
      <w:r w:rsidRPr="00DA3BC7">
        <w:rPr>
          <w:rFonts w:ascii="Times New Roman" w:hAnsi="Times New Roman"/>
        </w:rPr>
        <w:t>非故</w:t>
      </w:r>
      <w:r w:rsidRPr="00DA3BC7">
        <w:rPr>
          <w:rStyle w:val="a6"/>
          <w:rFonts w:ascii="Times New Roman" w:hAnsi="Times New Roman"/>
        </w:rPr>
        <w:footnoteReference w:id="365"/>
      </w:r>
      <w:r w:rsidRPr="00DA3BC7">
        <w:rPr>
          <w:rFonts w:ascii="Times New Roman" w:hAnsi="Times New Roman"/>
        </w:rPr>
        <w:t>的意義。若主張有自性的，即不能是所作。因為自性有即自有的</w:t>
      </w:r>
      <w:r w:rsidRPr="00DA3BC7">
        <w:rPr>
          <w:rFonts w:ascii="Times New Roman" w:hAnsi="Times New Roman" w:hint="eastAsia"/>
        </w:rPr>
        <w:t>、</w:t>
      </w:r>
      <w:r w:rsidRPr="00DA3BC7">
        <w:rPr>
          <w:rFonts w:ascii="Times New Roman" w:hAnsi="Times New Roman"/>
        </w:rPr>
        <w:t>自成的</w:t>
      </w:r>
      <w:r w:rsidRPr="00DA3BC7">
        <w:rPr>
          <w:rFonts w:ascii="Times New Roman" w:hAnsi="Times New Roman" w:hint="eastAsia"/>
        </w:rPr>
        <w:t>、</w:t>
      </w:r>
      <w:r w:rsidRPr="00DA3BC7">
        <w:rPr>
          <w:rFonts w:ascii="Times New Roman" w:hAnsi="Times New Roman"/>
        </w:rPr>
        <w:t>自己規定著自己的，這如何可說是作法？</w:t>
      </w:r>
    </w:p>
    <w:p w:rsidR="002B682F" w:rsidRPr="00DA3BC7" w:rsidRDefault="002B682F" w:rsidP="00AE3920">
      <w:pPr>
        <w:spacing w:beforeLines="20"/>
        <w:ind w:leftChars="100" w:left="240"/>
        <w:jc w:val="both"/>
        <w:rPr>
          <w:rFonts w:ascii="Times New Roman" w:eastAsia="SimSun" w:hAnsi="Times New Roman"/>
        </w:rPr>
      </w:pPr>
      <w:r w:rsidRPr="00DA3BC7">
        <w:rPr>
          <w:rFonts w:ascii="Times New Roman" w:hAnsi="Times New Roman"/>
          <w:b/>
        </w:rPr>
        <w:t>緣起是所作的</w:t>
      </w:r>
      <w:r w:rsidRPr="00DA3BC7">
        <w:rPr>
          <w:rFonts w:ascii="Times New Roman" w:hAnsi="Times New Roman" w:hint="eastAsia"/>
          <w:b/>
        </w:rPr>
        <w:t>、</w:t>
      </w:r>
      <w:r w:rsidRPr="00DA3BC7">
        <w:rPr>
          <w:rFonts w:ascii="Times New Roman" w:hAnsi="Times New Roman"/>
          <w:b/>
        </w:rPr>
        <w:t>待它的；自性是非作的</w:t>
      </w:r>
      <w:r w:rsidRPr="00DA3BC7">
        <w:rPr>
          <w:rFonts w:ascii="Times New Roman" w:hAnsi="Times New Roman" w:hint="eastAsia"/>
          <w:b/>
        </w:rPr>
        <w:t>、</w:t>
      </w:r>
      <w:r w:rsidRPr="00DA3BC7">
        <w:rPr>
          <w:rFonts w:ascii="Times New Roman" w:hAnsi="Times New Roman"/>
          <w:b/>
        </w:rPr>
        <w:t>不待它的。</w:t>
      </w:r>
      <w:r w:rsidRPr="00DA3BC7">
        <w:rPr>
          <w:rFonts w:ascii="Times New Roman" w:hAnsi="Times New Roman"/>
        </w:rPr>
        <w:t>二者是徹底相反的，說自性有而又說緣起，可說根本不通。</w:t>
      </w:r>
    </w:p>
    <w:p w:rsidR="002B682F" w:rsidRPr="00DA3BC7" w:rsidRDefault="002B682F" w:rsidP="00AE3920">
      <w:pPr>
        <w:spacing w:beforeLines="30"/>
        <w:ind w:leftChars="100" w:left="240"/>
        <w:jc w:val="both"/>
        <w:rPr>
          <w:rFonts w:ascii="Times New Roman" w:hAnsi="Times New Roman"/>
          <w:sz w:val="20"/>
          <w:szCs w:val="20"/>
        </w:rPr>
      </w:pPr>
      <w:r w:rsidRPr="00DA3BC7">
        <w:rPr>
          <w:rFonts w:ascii="Times New Roman" w:hAnsi="Times New Roman" w:hint="eastAsia"/>
          <w:b/>
          <w:sz w:val="20"/>
          <w:szCs w:val="20"/>
          <w:bdr w:val="single" w:sz="4" w:space="0" w:color="auto"/>
        </w:rPr>
        <w:t>二、</w:t>
      </w:r>
      <w:r w:rsidR="0033756F">
        <w:rPr>
          <w:rFonts w:ascii="Times New Roman" w:hAnsi="Times New Roman" w:hint="eastAsia"/>
          <w:b/>
          <w:color w:val="FF0000"/>
          <w:sz w:val="20"/>
          <w:szCs w:val="20"/>
          <w:highlight w:val="yellow"/>
          <w:bdr w:val="single" w:sz="4" w:space="0" w:color="auto"/>
        </w:rPr>
        <w:t>依教闡明</w:t>
      </w:r>
      <w:r w:rsidRPr="00DA3BC7">
        <w:rPr>
          <w:rFonts w:ascii="Times New Roman" w:hAnsi="Times Ext Roman"/>
          <w:sz w:val="20"/>
          <w:szCs w:val="20"/>
        </w:rPr>
        <w:t>（</w:t>
      </w:r>
      <w:r w:rsidRPr="00DA3BC7">
        <w:rPr>
          <w:rFonts w:ascii="Times New Roman" w:hAnsi="Times New Roman"/>
          <w:sz w:val="20"/>
          <w:szCs w:val="20"/>
        </w:rPr>
        <w:t>pp.</w:t>
      </w:r>
      <w:r w:rsidRPr="00DA3BC7">
        <w:rPr>
          <w:rFonts w:ascii="Times New Roman" w:eastAsia="SimSun" w:hAnsi="Times New Roman"/>
          <w:sz w:val="20"/>
          <w:szCs w:val="20"/>
        </w:rPr>
        <w:t>68</w:t>
      </w:r>
      <w:r w:rsidRPr="00DA3BC7">
        <w:rPr>
          <w:rFonts w:ascii="Times New Roman" w:hAnsi="Times New Roman"/>
          <w:sz w:val="20"/>
          <w:szCs w:val="20"/>
        </w:rPr>
        <w:t>-</w:t>
      </w:r>
      <w:r w:rsidRPr="00DA3BC7">
        <w:rPr>
          <w:rFonts w:ascii="Times New Roman" w:eastAsia="SimSun" w:hAnsi="Times New Roman"/>
          <w:sz w:val="20"/>
          <w:szCs w:val="20"/>
        </w:rPr>
        <w:t>69</w:t>
      </w:r>
      <w:r w:rsidRPr="00DA3BC7">
        <w:rPr>
          <w:rFonts w:ascii="Times New Roman" w:hAnsi="Times Ext Roman"/>
          <w:sz w:val="20"/>
          <w:szCs w:val="20"/>
        </w:rPr>
        <w:t>）</w:t>
      </w:r>
    </w:p>
    <w:p w:rsidR="0033223F" w:rsidRDefault="002B682F" w:rsidP="008E2BBC">
      <w:pPr>
        <w:ind w:leftChars="100" w:left="240"/>
        <w:jc w:val="both"/>
        <w:rPr>
          <w:rFonts w:ascii="Times New Roman" w:hAnsi="Times New Roman"/>
        </w:rPr>
      </w:pPr>
      <w:r w:rsidRPr="00DA3BC7">
        <w:rPr>
          <w:rFonts w:ascii="Times New Roman" w:hAnsi="Times New Roman"/>
        </w:rPr>
        <w:t>佛說無常，即顯示緣起是作法，否定了自性的非作性</w:t>
      </w:r>
      <w:r w:rsidRPr="00DA3BC7">
        <w:rPr>
          <w:rFonts w:ascii="Times New Roman" w:hAnsi="Times New Roman" w:hint="eastAsia"/>
        </w:rPr>
        <w:t>。</w:t>
      </w:r>
    </w:p>
    <w:p w:rsidR="0033223F" w:rsidRDefault="002B682F" w:rsidP="008E2BBC">
      <w:pPr>
        <w:ind w:leftChars="100" w:left="240"/>
        <w:jc w:val="both"/>
        <w:rPr>
          <w:rFonts w:ascii="Times New Roman" w:hAnsi="Times New Roman"/>
        </w:rPr>
      </w:pPr>
      <w:r w:rsidRPr="0033223F">
        <w:rPr>
          <w:rFonts w:ascii="Times New Roman" w:hAnsi="Times New Roman"/>
          <w:highlight w:val="yellow"/>
        </w:rPr>
        <w:t>凡</w:t>
      </w:r>
      <w:r w:rsidRPr="00DA3BC7">
        <w:rPr>
          <w:rFonts w:ascii="Times New Roman" w:hAnsi="Times New Roman"/>
        </w:rPr>
        <w:t>是緣起即是和合的，如補特伽羅是依待五蘊等而假立的，所以佛說諸法無我，即否定了自性的不待它性。</w:t>
      </w:r>
    </w:p>
    <w:p w:rsidR="002B682F" w:rsidRPr="00DA3BC7" w:rsidRDefault="002B682F" w:rsidP="008E2BBC">
      <w:pPr>
        <w:ind w:leftChars="100" w:left="240"/>
        <w:jc w:val="both"/>
        <w:rPr>
          <w:rFonts w:ascii="Times New Roman" w:eastAsia="SimSun" w:hAnsi="Times New Roman"/>
          <w:b/>
        </w:rPr>
      </w:pPr>
      <w:r w:rsidRPr="0033223F">
        <w:rPr>
          <w:rFonts w:ascii="Times New Roman" w:hAnsi="Times New Roman"/>
          <w:b/>
          <w:highlight w:val="yellow"/>
        </w:rPr>
        <w:t>無</w:t>
      </w:r>
      <w:r w:rsidRPr="00DA3BC7">
        <w:rPr>
          <w:rFonts w:ascii="Times New Roman" w:hAnsi="Times New Roman"/>
          <w:b/>
        </w:rPr>
        <w:t>常</w:t>
      </w:r>
      <w:r w:rsidRPr="00DA3BC7">
        <w:rPr>
          <w:rFonts w:ascii="Times New Roman" w:hAnsi="Times New Roman" w:hint="eastAsia"/>
          <w:b/>
        </w:rPr>
        <w:t>、</w:t>
      </w:r>
      <w:r w:rsidRPr="00DA3BC7">
        <w:rPr>
          <w:rFonts w:ascii="Times New Roman" w:hAnsi="Times New Roman"/>
          <w:b/>
        </w:rPr>
        <w:t>無我的緣起論，即說明了諸法的無自性。</w:t>
      </w:r>
    </w:p>
    <w:p w:rsidR="002B682F" w:rsidRPr="00DA3BC7" w:rsidRDefault="00FC5046" w:rsidP="00AE3920">
      <w:pPr>
        <w:spacing w:beforeLines="30"/>
        <w:jc w:val="both"/>
        <w:rPr>
          <w:rFonts w:ascii="Times New Roman" w:hAnsi="Times New Roman"/>
          <w:sz w:val="20"/>
          <w:szCs w:val="20"/>
          <w:bdr w:val="single" w:sz="4" w:space="0" w:color="auto"/>
        </w:rPr>
      </w:pPr>
      <w:r w:rsidRPr="00DA3BC7">
        <w:rPr>
          <w:rFonts w:ascii="Times New Roman" w:hAnsi="Times New Roman" w:hint="eastAsia"/>
          <w:b/>
          <w:sz w:val="20"/>
          <w:szCs w:val="20"/>
          <w:bdr w:val="single" w:sz="4" w:space="0" w:color="auto"/>
        </w:rPr>
        <w:t>參</w:t>
      </w:r>
      <w:r w:rsidR="002B682F" w:rsidRPr="00DA3BC7">
        <w:rPr>
          <w:rFonts w:ascii="Times New Roman" w:hAnsi="Times New Roman"/>
          <w:b/>
          <w:sz w:val="20"/>
          <w:szCs w:val="20"/>
          <w:bdr w:val="single" w:sz="4" w:space="0" w:color="auto"/>
        </w:rPr>
        <w:t>、「分別自性執」</w:t>
      </w:r>
      <w:r w:rsidR="002B682F" w:rsidRPr="00DA3BC7">
        <w:rPr>
          <w:rFonts w:ascii="Times New Roman" w:hAnsi="Times New Roman" w:hint="eastAsia"/>
          <w:b/>
          <w:sz w:val="20"/>
          <w:szCs w:val="20"/>
          <w:bdr w:val="single" w:sz="4" w:space="0" w:color="auto"/>
        </w:rPr>
        <w:t>與</w:t>
      </w:r>
      <w:r w:rsidR="002B682F" w:rsidRPr="00DA3BC7">
        <w:rPr>
          <w:rFonts w:ascii="Times New Roman" w:hAnsi="Times New Roman"/>
          <w:b/>
          <w:sz w:val="20"/>
          <w:szCs w:val="20"/>
          <w:bdr w:val="single" w:sz="4" w:space="0" w:color="auto"/>
        </w:rPr>
        <w:t>「俱生自性執」</w:t>
      </w:r>
      <w:r w:rsidR="002B682F" w:rsidRPr="00DA3BC7">
        <w:rPr>
          <w:rFonts w:ascii="Times New Roman" w:hAnsi="Times New Roman"/>
          <w:vertAlign w:val="superscript"/>
        </w:rPr>
        <w:footnoteReference w:id="366"/>
      </w:r>
      <w:r w:rsidR="002B682F" w:rsidRPr="00DA3BC7">
        <w:rPr>
          <w:rFonts w:ascii="Times New Roman" w:hAnsi="Times Ext Roman"/>
          <w:sz w:val="20"/>
          <w:szCs w:val="20"/>
        </w:rPr>
        <w:t>（</w:t>
      </w:r>
      <w:r w:rsidR="002B682F" w:rsidRPr="00DA3BC7">
        <w:rPr>
          <w:rFonts w:ascii="Times New Roman" w:hAnsi="Times New Roman"/>
          <w:sz w:val="20"/>
          <w:szCs w:val="20"/>
        </w:rPr>
        <w:t>pp.</w:t>
      </w:r>
      <w:r w:rsidR="002B682F" w:rsidRPr="00DA3BC7">
        <w:rPr>
          <w:rFonts w:ascii="Times New Roman" w:eastAsia="SimSun" w:hAnsi="Times New Roman"/>
          <w:sz w:val="20"/>
          <w:szCs w:val="20"/>
        </w:rPr>
        <w:t>69</w:t>
      </w:r>
      <w:r w:rsidR="002B682F" w:rsidRPr="00DA3BC7">
        <w:rPr>
          <w:rFonts w:ascii="Times New Roman" w:hAnsi="Times New Roman"/>
          <w:sz w:val="20"/>
          <w:szCs w:val="20"/>
        </w:rPr>
        <w:t>-</w:t>
      </w:r>
      <w:r w:rsidR="002B682F" w:rsidRPr="00DA3BC7">
        <w:rPr>
          <w:rFonts w:ascii="Times New Roman" w:eastAsia="SimSun" w:hAnsi="Times New Roman"/>
          <w:sz w:val="20"/>
          <w:szCs w:val="20"/>
        </w:rPr>
        <w:t>70</w:t>
      </w:r>
      <w:r w:rsidR="002B682F" w:rsidRPr="00DA3BC7">
        <w:rPr>
          <w:rFonts w:ascii="Times New Roman" w:hAnsi="Times Ext Roman"/>
          <w:sz w:val="20"/>
          <w:szCs w:val="20"/>
        </w:rPr>
        <w:t>）</w:t>
      </w:r>
    </w:p>
    <w:p w:rsidR="002B682F" w:rsidRPr="00DA3BC7" w:rsidRDefault="002B682F" w:rsidP="008E2BBC">
      <w:pPr>
        <w:ind w:leftChars="50" w:left="120"/>
        <w:jc w:val="both"/>
        <w:rPr>
          <w:rFonts w:ascii="Times New Roman" w:hAnsi="Times New Roman"/>
          <w:sz w:val="20"/>
          <w:szCs w:val="20"/>
          <w:bdr w:val="single" w:sz="4" w:space="0" w:color="auto"/>
        </w:rPr>
      </w:pPr>
      <w:r w:rsidRPr="00DA3BC7">
        <w:rPr>
          <w:rFonts w:ascii="Times New Roman" w:hAnsi="Times New Roman"/>
          <w:b/>
          <w:sz w:val="20"/>
          <w:szCs w:val="20"/>
          <w:bdr w:val="single" w:sz="4" w:space="0" w:color="auto"/>
        </w:rPr>
        <w:lastRenderedPageBreak/>
        <w:t>（</w:t>
      </w:r>
      <w:r w:rsidRPr="00DA3BC7">
        <w:rPr>
          <w:rFonts w:ascii="Times New Roman" w:hAnsi="Times New Roman" w:hint="eastAsia"/>
          <w:b/>
          <w:sz w:val="20"/>
          <w:szCs w:val="20"/>
          <w:bdr w:val="single" w:sz="4" w:space="0" w:color="auto"/>
        </w:rPr>
        <w:t>壹</w:t>
      </w:r>
      <w:r w:rsidRPr="00DA3BC7">
        <w:rPr>
          <w:rFonts w:ascii="Times New Roman" w:hAnsi="Times New Roman"/>
          <w:b/>
          <w:sz w:val="20"/>
          <w:szCs w:val="20"/>
          <w:bdr w:val="single" w:sz="4" w:space="0" w:color="auto"/>
        </w:rPr>
        <w:t>）「分別自性執」</w:t>
      </w:r>
      <w:r w:rsidRPr="00DA3BC7">
        <w:rPr>
          <w:rFonts w:ascii="Times New Roman" w:hAnsi="Times Ext Roman"/>
          <w:sz w:val="20"/>
          <w:szCs w:val="20"/>
        </w:rPr>
        <w:t>（</w:t>
      </w:r>
      <w:r w:rsidRPr="00DA3BC7">
        <w:rPr>
          <w:rFonts w:ascii="Times New Roman" w:hAnsi="Times New Roman"/>
          <w:sz w:val="20"/>
          <w:szCs w:val="20"/>
        </w:rPr>
        <w:t>p.</w:t>
      </w:r>
      <w:r w:rsidRPr="00DA3BC7">
        <w:rPr>
          <w:rFonts w:ascii="Times New Roman" w:eastAsia="SimSun" w:hAnsi="Times New Roman"/>
          <w:sz w:val="20"/>
          <w:szCs w:val="20"/>
        </w:rPr>
        <w:t>69</w:t>
      </w:r>
      <w:r w:rsidRPr="00DA3BC7">
        <w:rPr>
          <w:rFonts w:ascii="Times New Roman" w:hAnsi="Times Ext Roman"/>
          <w:sz w:val="20"/>
          <w:szCs w:val="20"/>
        </w:rPr>
        <w:t>）</w:t>
      </w:r>
    </w:p>
    <w:p w:rsidR="002B682F" w:rsidRPr="00DA3BC7" w:rsidRDefault="002B682F" w:rsidP="008E2BBC">
      <w:pPr>
        <w:ind w:leftChars="50" w:left="120"/>
        <w:jc w:val="both"/>
        <w:rPr>
          <w:rFonts w:ascii="Times New Roman" w:eastAsia="SimSun" w:hAnsi="Times New Roman"/>
        </w:rPr>
      </w:pPr>
      <w:r w:rsidRPr="00DA3BC7">
        <w:rPr>
          <w:rFonts w:ascii="Times New Roman" w:hAnsi="Times New Roman"/>
        </w:rPr>
        <w:t>但如此的自性，表現於學者的思想體系中，依佛法說，這都是「分別的自性執」。</w:t>
      </w:r>
    </w:p>
    <w:p w:rsidR="002B682F" w:rsidRPr="00DA3BC7" w:rsidRDefault="002B682F" w:rsidP="00AE3920">
      <w:pPr>
        <w:spacing w:beforeLines="30"/>
        <w:ind w:leftChars="50" w:left="120"/>
        <w:jc w:val="both"/>
        <w:rPr>
          <w:rFonts w:ascii="Times New Roman" w:hAnsi="Times New Roman"/>
          <w:sz w:val="20"/>
          <w:szCs w:val="20"/>
          <w:bdr w:val="single" w:sz="4" w:space="0" w:color="auto"/>
        </w:rPr>
      </w:pPr>
      <w:r w:rsidRPr="00DA3BC7">
        <w:rPr>
          <w:rFonts w:ascii="Times New Roman" w:hAnsi="Times New Roman"/>
          <w:b/>
          <w:sz w:val="20"/>
          <w:szCs w:val="20"/>
          <w:bdr w:val="single" w:sz="4" w:space="0" w:color="auto"/>
        </w:rPr>
        <w:t>（</w:t>
      </w:r>
      <w:r w:rsidRPr="00DA3BC7">
        <w:rPr>
          <w:rFonts w:ascii="Times New Roman" w:hAnsi="Times New Roman" w:hint="eastAsia"/>
          <w:b/>
          <w:sz w:val="20"/>
          <w:szCs w:val="20"/>
          <w:bdr w:val="single" w:sz="4" w:space="0" w:color="auto"/>
        </w:rPr>
        <w:t>貳</w:t>
      </w:r>
      <w:r w:rsidRPr="00DA3BC7">
        <w:rPr>
          <w:rFonts w:ascii="Times New Roman" w:hAnsi="Times New Roman"/>
          <w:b/>
          <w:sz w:val="20"/>
          <w:szCs w:val="20"/>
          <w:bdr w:val="single" w:sz="4" w:space="0" w:color="auto"/>
        </w:rPr>
        <w:t>）「俱生自性執」</w:t>
      </w:r>
      <w:r w:rsidRPr="00DA3BC7">
        <w:rPr>
          <w:rFonts w:ascii="Times New Roman" w:hAnsi="Times Ext Roman"/>
          <w:sz w:val="20"/>
          <w:szCs w:val="20"/>
        </w:rPr>
        <w:t>（</w:t>
      </w:r>
      <w:r w:rsidRPr="00DA3BC7">
        <w:rPr>
          <w:rFonts w:ascii="Times New Roman" w:hAnsi="Times New Roman"/>
          <w:sz w:val="20"/>
          <w:szCs w:val="20"/>
        </w:rPr>
        <w:t>pp.</w:t>
      </w:r>
      <w:r w:rsidRPr="00DA3BC7">
        <w:rPr>
          <w:rFonts w:ascii="Times New Roman" w:eastAsia="SimSun" w:hAnsi="Times New Roman"/>
          <w:sz w:val="20"/>
          <w:szCs w:val="20"/>
        </w:rPr>
        <w:t>69</w:t>
      </w:r>
      <w:r w:rsidRPr="00DA3BC7">
        <w:rPr>
          <w:rFonts w:ascii="Times New Roman" w:hAnsi="Times New Roman"/>
          <w:sz w:val="20"/>
          <w:szCs w:val="20"/>
        </w:rPr>
        <w:t>-</w:t>
      </w:r>
      <w:r w:rsidRPr="00DA3BC7">
        <w:rPr>
          <w:rFonts w:ascii="Times New Roman" w:eastAsia="SimSun" w:hAnsi="Times New Roman"/>
          <w:sz w:val="20"/>
          <w:szCs w:val="20"/>
        </w:rPr>
        <w:t>70</w:t>
      </w:r>
      <w:r w:rsidRPr="00DA3BC7">
        <w:rPr>
          <w:rFonts w:ascii="Times New Roman" w:hAnsi="Times Ext Roman"/>
          <w:sz w:val="20"/>
          <w:szCs w:val="20"/>
        </w:rPr>
        <w:t>）</w:t>
      </w:r>
    </w:p>
    <w:p w:rsidR="002B682F" w:rsidRPr="00DA3BC7" w:rsidRDefault="002B682F" w:rsidP="008E2BBC">
      <w:pPr>
        <w:ind w:leftChars="50" w:left="120"/>
        <w:jc w:val="both"/>
        <w:rPr>
          <w:rFonts w:ascii="Times New Roman" w:eastAsia="SimSun" w:hAnsi="Times New Roman"/>
        </w:rPr>
      </w:pPr>
      <w:r w:rsidRPr="00DA3BC7">
        <w:rPr>
          <w:rFonts w:ascii="Times New Roman" w:hAnsi="Times New Roman"/>
        </w:rPr>
        <w:t>眾生生死根本的自性執，應該是眾生所共的，與生俱來的「俱生自性執」。這是什麼？不論外觀內察，我們總有一種原始的、根本的、素樸的，即明知不是而依然頑強存在於心目中的實在感，這即一切自性執的根源。</w:t>
      </w:r>
    </w:p>
    <w:p w:rsidR="002B682F" w:rsidRPr="00DA3BC7" w:rsidRDefault="002B682F" w:rsidP="00AE3920">
      <w:pPr>
        <w:spacing w:beforeLines="20"/>
        <w:ind w:leftChars="50" w:left="120"/>
        <w:jc w:val="both"/>
        <w:rPr>
          <w:rFonts w:ascii="Times New Roman" w:eastAsia="SimSun" w:hAnsi="Times New Roman"/>
        </w:rPr>
      </w:pPr>
      <w:r w:rsidRPr="00DA3BC7">
        <w:rPr>
          <w:rFonts w:ascii="Times New Roman" w:hAnsi="Times New Roman"/>
        </w:rPr>
        <w:t>存在的一切，都離不開時間與空間，所以在認識存在時，本來也帶有時空性。不過根識</w:t>
      </w:r>
      <w:r w:rsidRPr="00DA3BC7">
        <w:rPr>
          <w:rFonts w:ascii="新細明體" w:hAnsi="新細明體"/>
        </w:rPr>
        <w:t>──</w:t>
      </w:r>
      <w:r w:rsidRPr="00DA3BC7">
        <w:rPr>
          <w:rFonts w:ascii="Times New Roman" w:hAnsi="Times New Roman"/>
        </w:rPr>
        <w:t>直覺的感性認識，剎那的直觀如此如此，不能發見它是時空關係的存在，也即不能了達相續、和合的緣起性。</w:t>
      </w:r>
    </w:p>
    <w:p w:rsidR="002B682F" w:rsidRPr="00DA3BC7" w:rsidRDefault="002B682F" w:rsidP="00AE3920">
      <w:pPr>
        <w:spacing w:beforeLines="20"/>
        <w:ind w:leftChars="50" w:left="120"/>
        <w:jc w:val="both"/>
        <w:rPr>
          <w:rFonts w:ascii="Times New Roman" w:eastAsia="SimSun" w:hAnsi="Times New Roman"/>
        </w:rPr>
      </w:pPr>
      <w:r w:rsidRPr="00DA3BC7">
        <w:rPr>
          <w:rFonts w:ascii="Times New Roman" w:hAnsi="Times New Roman"/>
        </w:rPr>
        <w:t>這種直感的實在性，根深蒂固的成為眾生普遍的妄執根源。雖經過理性</w:t>
      </w:r>
      <w:r w:rsidRPr="00DA3BC7">
        <w:rPr>
          <w:rFonts w:ascii="新細明體" w:hAnsi="新細明體"/>
        </w:rPr>
        <w:t>──</w:t>
      </w:r>
      <w:r w:rsidRPr="00DA3BC7">
        <w:rPr>
          <w:rFonts w:ascii="Times New Roman" w:hAnsi="Times New Roman"/>
        </w:rPr>
        <w:t>意識的考察時，也多少看出相續與和合的緣起性，而受了自性妄執的無始熏染，終於歸結於自性，而結論到事物根源的</w:t>
      </w:r>
      <w:r w:rsidRPr="00DA3BC7">
        <w:rPr>
          <w:rFonts w:ascii="Times New Roman" w:hAnsi="Times New Roman"/>
          <w:b/>
        </w:rPr>
        <w:t>不變性、自成性、真實性</w:t>
      </w:r>
      <w:r w:rsidRPr="00DA3BC7">
        <w:rPr>
          <w:rFonts w:ascii="Times New Roman" w:hAnsi="Times New Roman"/>
        </w:rPr>
        <w:t>。因為自性是一切亂相亂識的根源，雖普遍的存在於眾生的一切認識中，而眾生不能摧破此一錯誤的成見，反而擁護自性</w:t>
      </w:r>
      <w:r w:rsidRPr="00DA3BC7">
        <w:rPr>
          <w:rFonts w:ascii="新細明體" w:hAnsi="新細明體"/>
        </w:rPr>
        <w:t>──</w:t>
      </w:r>
      <w:r w:rsidRPr="00DA3BC7">
        <w:rPr>
          <w:rFonts w:ascii="Times New Roman" w:hAnsi="Times New Roman"/>
        </w:rPr>
        <w:t>元、唯、神、我為真理。</w:t>
      </w:r>
    </w:p>
    <w:p w:rsidR="002B682F" w:rsidRPr="00DA3BC7" w:rsidRDefault="002B682F" w:rsidP="00AE3920">
      <w:pPr>
        <w:spacing w:beforeLines="30"/>
        <w:jc w:val="both"/>
        <w:rPr>
          <w:rFonts w:ascii="Times New Roman" w:hAnsi="Times New Roman"/>
          <w:sz w:val="20"/>
          <w:szCs w:val="20"/>
          <w:bdr w:val="single" w:sz="4" w:space="0" w:color="auto"/>
        </w:rPr>
      </w:pPr>
      <w:r w:rsidRPr="00DA3BC7">
        <w:rPr>
          <w:rFonts w:ascii="Times New Roman" w:hAnsi="Times New Roman" w:hint="eastAsia"/>
          <w:b/>
          <w:sz w:val="20"/>
          <w:szCs w:val="20"/>
          <w:bdr w:val="single" w:sz="4" w:space="0" w:color="auto"/>
        </w:rPr>
        <w:t>肆</w:t>
      </w:r>
      <w:r w:rsidRPr="00DA3BC7">
        <w:rPr>
          <w:rFonts w:ascii="Times New Roman" w:hAnsi="Times New Roman"/>
          <w:b/>
          <w:sz w:val="20"/>
          <w:szCs w:val="20"/>
          <w:bdr w:val="single" w:sz="4" w:space="0" w:color="auto"/>
        </w:rPr>
        <w:t>、</w:t>
      </w:r>
      <w:r w:rsidR="004874B4" w:rsidRPr="004874B4">
        <w:rPr>
          <w:rFonts w:ascii="Times New Roman" w:hAnsi="Times New Roman" w:hint="eastAsia"/>
          <w:b/>
          <w:color w:val="FF0000"/>
          <w:sz w:val="20"/>
          <w:szCs w:val="20"/>
          <w:highlight w:val="yellow"/>
          <w:bdr w:val="single" w:sz="4" w:space="0" w:color="auto"/>
        </w:rPr>
        <w:t>總</w:t>
      </w:r>
      <w:r w:rsidRPr="004874B4">
        <w:rPr>
          <w:rFonts w:ascii="Times New Roman" w:hAnsi="Times New Roman"/>
          <w:b/>
          <w:sz w:val="20"/>
          <w:szCs w:val="20"/>
          <w:highlight w:val="yellow"/>
          <w:bdr w:val="single" w:sz="4" w:space="0" w:color="auto"/>
        </w:rPr>
        <w:t>結</w:t>
      </w:r>
      <w:r w:rsidRPr="00DA3BC7">
        <w:rPr>
          <w:rFonts w:ascii="Times New Roman" w:hAnsi="Times Ext Roman"/>
          <w:sz w:val="20"/>
          <w:szCs w:val="20"/>
        </w:rPr>
        <w:t>（</w:t>
      </w:r>
      <w:r w:rsidRPr="00DA3BC7">
        <w:rPr>
          <w:rFonts w:ascii="Times New Roman" w:hAnsi="Times New Roman"/>
          <w:sz w:val="20"/>
          <w:szCs w:val="20"/>
        </w:rPr>
        <w:t>p.</w:t>
      </w:r>
      <w:r w:rsidRPr="00DA3BC7">
        <w:rPr>
          <w:rFonts w:ascii="Times New Roman" w:eastAsia="SimSun" w:hAnsi="Times New Roman"/>
          <w:sz w:val="20"/>
          <w:szCs w:val="20"/>
        </w:rPr>
        <w:t>70</w:t>
      </w:r>
      <w:r w:rsidRPr="00DA3BC7">
        <w:rPr>
          <w:rFonts w:ascii="Times New Roman" w:hAnsi="Times New Roman"/>
          <w:sz w:val="20"/>
          <w:szCs w:val="20"/>
        </w:rPr>
        <w:t>）</w:t>
      </w:r>
    </w:p>
    <w:p w:rsidR="002B682F" w:rsidRPr="00DA3BC7" w:rsidRDefault="002B682F" w:rsidP="008E2BBC">
      <w:pPr>
        <w:ind w:leftChars="50" w:left="120"/>
        <w:jc w:val="both"/>
        <w:rPr>
          <w:rFonts w:ascii="Times New Roman" w:hAnsi="Times New Roman"/>
          <w:b/>
          <w:sz w:val="20"/>
          <w:szCs w:val="20"/>
          <w:bdr w:val="single" w:sz="4" w:space="0" w:color="auto"/>
        </w:rPr>
      </w:pPr>
      <w:r w:rsidRPr="00DA3BC7">
        <w:rPr>
          <w:rFonts w:ascii="Times New Roman" w:hAnsi="Times New Roman"/>
          <w:b/>
          <w:sz w:val="20"/>
          <w:szCs w:val="20"/>
          <w:bdr w:val="single" w:sz="4" w:space="0" w:color="auto"/>
        </w:rPr>
        <w:lastRenderedPageBreak/>
        <w:t>（</w:t>
      </w:r>
      <w:r w:rsidRPr="00DA3BC7">
        <w:rPr>
          <w:rFonts w:ascii="Times New Roman" w:hAnsi="Times New Roman" w:hint="eastAsia"/>
          <w:b/>
          <w:sz w:val="20"/>
          <w:szCs w:val="20"/>
          <w:bdr w:val="single" w:sz="4" w:space="0" w:color="auto"/>
        </w:rPr>
        <w:t>壹</w:t>
      </w:r>
      <w:r w:rsidRPr="00DA3BC7">
        <w:rPr>
          <w:rFonts w:ascii="Times New Roman" w:hAnsi="Times New Roman"/>
          <w:b/>
          <w:sz w:val="20"/>
          <w:szCs w:val="20"/>
          <w:bdr w:val="single" w:sz="4" w:space="0" w:color="auto"/>
        </w:rPr>
        <w:t>）</w:t>
      </w:r>
      <w:r w:rsidRPr="00DA3BC7">
        <w:rPr>
          <w:rFonts w:ascii="細明體" w:eastAsia="細明體" w:hAnsi="細明體"/>
          <w:b/>
          <w:sz w:val="20"/>
          <w:szCs w:val="20"/>
          <w:bdr w:val="single" w:sz="4" w:space="0" w:color="auto"/>
        </w:rPr>
        <w:t>「自性」的定</w:t>
      </w:r>
      <w:r w:rsidRPr="004874B4">
        <w:rPr>
          <w:rFonts w:ascii="細明體" w:eastAsia="細明體" w:hAnsi="細明體"/>
          <w:b/>
          <w:sz w:val="20"/>
          <w:szCs w:val="20"/>
          <w:highlight w:val="yellow"/>
          <w:bdr w:val="single" w:sz="4" w:space="0" w:color="auto"/>
        </w:rPr>
        <w:t>義</w:t>
      </w:r>
      <w:r w:rsidRPr="00DA3BC7">
        <w:rPr>
          <w:rFonts w:ascii="Times New Roman" w:hAnsi="Times Ext Roman"/>
          <w:sz w:val="20"/>
          <w:szCs w:val="20"/>
        </w:rPr>
        <w:t>（</w:t>
      </w:r>
      <w:r w:rsidRPr="00DA3BC7">
        <w:rPr>
          <w:rFonts w:ascii="Times New Roman" w:hAnsi="Times New Roman"/>
          <w:sz w:val="20"/>
          <w:szCs w:val="20"/>
        </w:rPr>
        <w:t>p.</w:t>
      </w:r>
      <w:r w:rsidRPr="00DA3BC7">
        <w:rPr>
          <w:rFonts w:ascii="Times New Roman" w:eastAsia="SimSun" w:hAnsi="Times New Roman"/>
          <w:sz w:val="20"/>
          <w:szCs w:val="20"/>
        </w:rPr>
        <w:t>70</w:t>
      </w:r>
      <w:r w:rsidRPr="00DA3BC7">
        <w:rPr>
          <w:rFonts w:ascii="Times New Roman" w:hAnsi="Times New Roman"/>
          <w:sz w:val="20"/>
          <w:szCs w:val="20"/>
        </w:rPr>
        <w:t>）</w:t>
      </w:r>
    </w:p>
    <w:p w:rsidR="002B682F" w:rsidRPr="00DA3BC7" w:rsidRDefault="002B682F" w:rsidP="008E2BBC">
      <w:pPr>
        <w:ind w:leftChars="70" w:left="168"/>
        <w:jc w:val="both"/>
        <w:rPr>
          <w:rFonts w:ascii="Times New Roman" w:hAnsi="Times New Roman"/>
          <w:b/>
          <w:sz w:val="20"/>
          <w:szCs w:val="20"/>
          <w:bdr w:val="single" w:sz="4" w:space="0" w:color="auto"/>
        </w:rPr>
      </w:pPr>
      <w:r w:rsidRPr="00DA3BC7">
        <w:rPr>
          <w:rFonts w:ascii="Times New Roman" w:hAnsi="Times New Roman"/>
        </w:rPr>
        <w:t>總之，</w:t>
      </w:r>
      <w:r w:rsidRPr="00DA3BC7">
        <w:rPr>
          <w:rFonts w:ascii="Times New Roman" w:hAnsi="Times New Roman"/>
          <w:b/>
        </w:rPr>
        <w:t>所謂自性，以實在性為本而含攝得</w:t>
      </w:r>
      <w:r w:rsidR="004874B4">
        <w:rPr>
          <w:rFonts w:ascii="Times New Roman" w:hAnsi="Times New Roman"/>
          <w:b/>
        </w:rPr>
        <w:t>不變性</w:t>
      </w:r>
      <w:r w:rsidRPr="00DA3BC7">
        <w:rPr>
          <w:rFonts w:ascii="Times New Roman" w:hAnsi="Times New Roman"/>
          <w:b/>
        </w:rPr>
        <w:t>與自成性</w:t>
      </w:r>
      <w:r w:rsidRPr="00DA3BC7">
        <w:rPr>
          <w:rFonts w:ascii="Times New Roman" w:hAnsi="Times New Roman"/>
        </w:rPr>
        <w:t>。西藏學者有說自性的定義為：</w:t>
      </w:r>
      <w:r w:rsidRPr="00DA3BC7">
        <w:rPr>
          <w:rFonts w:ascii="Times New Roman" w:hAnsi="Times New Roman"/>
          <w:b/>
        </w:rPr>
        <w:t>不從緣生</w:t>
      </w:r>
      <w:r w:rsidRPr="00DA3BC7">
        <w:rPr>
          <w:rFonts w:ascii="Times New Roman" w:hAnsi="Times New Roman" w:hint="eastAsia"/>
          <w:b/>
        </w:rPr>
        <w:t>、</w:t>
      </w:r>
      <w:r w:rsidRPr="00DA3BC7">
        <w:rPr>
          <w:rFonts w:ascii="Times New Roman" w:hAnsi="Times New Roman"/>
          <w:b/>
        </w:rPr>
        <w:t>無變性</w:t>
      </w:r>
      <w:r w:rsidRPr="00DA3BC7">
        <w:rPr>
          <w:rFonts w:ascii="Times New Roman" w:hAnsi="Times New Roman" w:hint="eastAsia"/>
          <w:b/>
        </w:rPr>
        <w:t>、</w:t>
      </w:r>
      <w:r w:rsidRPr="00DA3BC7">
        <w:rPr>
          <w:rFonts w:ascii="Times New Roman" w:hAnsi="Times New Roman"/>
          <w:b/>
        </w:rPr>
        <w:t>不待它</w:t>
      </w:r>
      <w:r w:rsidRPr="00DA3BC7">
        <w:rPr>
          <w:rFonts w:ascii="Times New Roman" w:hAnsi="Times New Roman"/>
        </w:rPr>
        <w:t>，大體相近。自性的含義中，</w:t>
      </w:r>
    </w:p>
    <w:p w:rsidR="002B682F" w:rsidRPr="00DA3BC7" w:rsidRDefault="002B682F" w:rsidP="00AE3920">
      <w:pPr>
        <w:spacing w:beforeLines="20"/>
        <w:ind w:leftChars="70" w:left="168"/>
        <w:jc w:val="both"/>
        <w:rPr>
          <w:rFonts w:ascii="Times New Roman" w:eastAsia="SimSun" w:hAnsi="Times New Roman"/>
        </w:rPr>
      </w:pPr>
      <w:r w:rsidRPr="00DA3BC7">
        <w:rPr>
          <w:rFonts w:ascii="Times New Roman" w:hAnsi="Times New Roman"/>
        </w:rPr>
        <w:t>不待它的</w:t>
      </w:r>
      <w:r w:rsidRPr="00DA3BC7">
        <w:rPr>
          <w:rFonts w:ascii="Times New Roman" w:hAnsi="Times New Roman"/>
          <w:b/>
        </w:rPr>
        <w:t>自成性</w:t>
      </w:r>
      <w:r w:rsidRPr="00DA3BC7">
        <w:rPr>
          <w:rFonts w:ascii="Times New Roman" w:hAnsi="Times New Roman"/>
        </w:rPr>
        <w:t>，是從</w:t>
      </w:r>
      <w:r w:rsidRPr="00DA3BC7">
        <w:rPr>
          <w:rFonts w:ascii="Times New Roman" w:hAnsi="Times New Roman"/>
          <w:b/>
        </w:rPr>
        <w:t>橫的（空間化）</w:t>
      </w:r>
      <w:r w:rsidRPr="00DA3BC7">
        <w:rPr>
          <w:rFonts w:ascii="Times New Roman" w:hAnsi="Times New Roman"/>
        </w:rPr>
        <w:t>方面說明；</w:t>
      </w:r>
    </w:p>
    <w:p w:rsidR="002B682F" w:rsidRPr="00DA3BC7" w:rsidRDefault="002B682F" w:rsidP="008E2BBC">
      <w:pPr>
        <w:ind w:leftChars="70" w:left="168"/>
        <w:jc w:val="both"/>
        <w:rPr>
          <w:rFonts w:ascii="Times New Roman" w:eastAsia="SimSun" w:hAnsi="Times New Roman"/>
        </w:rPr>
      </w:pPr>
      <w:r w:rsidRPr="00DA3BC7">
        <w:rPr>
          <w:rFonts w:ascii="Times New Roman" w:hAnsi="Times New Roman"/>
        </w:rPr>
        <w:t>非作的</w:t>
      </w:r>
      <w:r w:rsidRPr="00DA3BC7">
        <w:rPr>
          <w:rFonts w:ascii="Times New Roman" w:hAnsi="Times New Roman"/>
          <w:b/>
        </w:rPr>
        <w:t>不變性</w:t>
      </w:r>
      <w:r w:rsidRPr="00DA3BC7">
        <w:rPr>
          <w:rFonts w:ascii="Times New Roman" w:hAnsi="Times New Roman"/>
        </w:rPr>
        <w:t>，是從</w:t>
      </w:r>
      <w:r w:rsidRPr="00DA3BC7">
        <w:rPr>
          <w:rFonts w:ascii="Times New Roman" w:hAnsi="Times New Roman"/>
          <w:b/>
        </w:rPr>
        <w:t>縱的（時間化）</w:t>
      </w:r>
      <w:r w:rsidRPr="00DA3BC7">
        <w:rPr>
          <w:rFonts w:ascii="Times New Roman" w:hAnsi="Times New Roman"/>
        </w:rPr>
        <w:t>方面說明；</w:t>
      </w:r>
    </w:p>
    <w:p w:rsidR="002B682F" w:rsidRPr="00DA3BC7" w:rsidRDefault="002B682F" w:rsidP="008E2BBC">
      <w:pPr>
        <w:ind w:leftChars="70" w:left="168"/>
        <w:jc w:val="both"/>
        <w:rPr>
          <w:rFonts w:ascii="Times New Roman" w:hAnsi="Times New Roman"/>
        </w:rPr>
      </w:pPr>
      <w:r w:rsidRPr="00DA3BC7">
        <w:rPr>
          <w:rFonts w:ascii="Times New Roman" w:hAnsi="Times New Roman"/>
        </w:rPr>
        <w:t>而</w:t>
      </w:r>
      <w:r w:rsidRPr="00DA3BC7">
        <w:rPr>
          <w:rFonts w:ascii="Times New Roman" w:hAnsi="Times New Roman"/>
          <w:b/>
        </w:rPr>
        <w:t>實在性</w:t>
      </w:r>
      <w:r w:rsidRPr="00DA3BC7">
        <w:rPr>
          <w:rFonts w:ascii="Times New Roman" w:hAnsi="Times New Roman"/>
        </w:rPr>
        <w:t>，即</w:t>
      </w:r>
      <w:r w:rsidRPr="00DA3BC7">
        <w:rPr>
          <w:rFonts w:ascii="Times New Roman" w:hAnsi="Times New Roman"/>
          <w:b/>
        </w:rPr>
        <w:t>豎入（直觀）法體</w:t>
      </w:r>
      <w:r w:rsidRPr="00DA3BC7">
        <w:rPr>
          <w:rFonts w:ascii="Times New Roman" w:hAnsi="Times New Roman"/>
        </w:rPr>
        <w:t>的說明。</w:t>
      </w:r>
      <w:r w:rsidRPr="00DA3BC7">
        <w:rPr>
          <w:rStyle w:val="a6"/>
          <w:rFonts w:ascii="Times New Roman" w:hAnsi="Times New Roman"/>
        </w:rPr>
        <w:footnoteReference w:id="367"/>
      </w:r>
    </w:p>
    <w:p w:rsidR="002B682F" w:rsidRPr="00DA3BC7" w:rsidRDefault="002B682F" w:rsidP="00AE3920">
      <w:pPr>
        <w:spacing w:beforeLines="30"/>
        <w:ind w:leftChars="50" w:left="120"/>
        <w:jc w:val="both"/>
        <w:rPr>
          <w:rFonts w:ascii="Times New Roman" w:hAnsi="Times New Roman"/>
          <w:b/>
          <w:bdr w:val="single" w:sz="4" w:space="0" w:color="auto"/>
        </w:rPr>
      </w:pPr>
      <w:r w:rsidRPr="00DA3BC7">
        <w:rPr>
          <w:rFonts w:ascii="Times New Roman" w:hAnsi="新細明體"/>
          <w:b/>
          <w:sz w:val="20"/>
          <w:szCs w:val="20"/>
          <w:bdr w:val="single" w:sz="4" w:space="0" w:color="auto"/>
        </w:rPr>
        <w:t>（</w:t>
      </w:r>
      <w:r w:rsidRPr="00DA3BC7">
        <w:rPr>
          <w:rFonts w:ascii="Times New Roman" w:hAnsi="新細明體" w:hint="eastAsia"/>
          <w:b/>
          <w:sz w:val="20"/>
          <w:szCs w:val="20"/>
          <w:bdr w:val="single" w:sz="4" w:space="0" w:color="auto"/>
        </w:rPr>
        <w:t>貳</w:t>
      </w:r>
      <w:r w:rsidRPr="00DA3BC7">
        <w:rPr>
          <w:rFonts w:ascii="Times New Roman" w:hAnsi="新細明體"/>
          <w:b/>
          <w:sz w:val="20"/>
          <w:szCs w:val="20"/>
          <w:bdr w:val="single" w:sz="4" w:space="0" w:color="auto"/>
        </w:rPr>
        <w:t>）佛法的緣起</w:t>
      </w:r>
      <w:r w:rsidRPr="004874B4">
        <w:rPr>
          <w:rFonts w:ascii="Times New Roman" w:hAnsi="新細明體"/>
          <w:b/>
          <w:sz w:val="20"/>
          <w:szCs w:val="20"/>
          <w:highlight w:val="yellow"/>
          <w:bdr w:val="single" w:sz="4" w:space="0" w:color="auto"/>
        </w:rPr>
        <w:t>觀</w:t>
      </w:r>
      <w:r w:rsidRPr="00DA3BC7">
        <w:rPr>
          <w:rFonts w:ascii="Times New Roman" w:hAnsi="Times Ext Roman"/>
          <w:sz w:val="20"/>
          <w:szCs w:val="20"/>
        </w:rPr>
        <w:t>（</w:t>
      </w:r>
      <w:r w:rsidRPr="00DA3BC7">
        <w:rPr>
          <w:rFonts w:ascii="Times New Roman" w:hAnsi="Times New Roman"/>
          <w:sz w:val="20"/>
          <w:szCs w:val="20"/>
        </w:rPr>
        <w:t>p.</w:t>
      </w:r>
      <w:r w:rsidRPr="00DA3BC7">
        <w:rPr>
          <w:rFonts w:ascii="Times New Roman" w:eastAsia="SimSun" w:hAnsi="Times New Roman"/>
          <w:sz w:val="20"/>
          <w:szCs w:val="20"/>
        </w:rPr>
        <w:t>70</w:t>
      </w:r>
      <w:r w:rsidRPr="00DA3BC7">
        <w:rPr>
          <w:rFonts w:ascii="Times New Roman" w:hAnsi="Times New Roman"/>
          <w:sz w:val="20"/>
          <w:szCs w:val="20"/>
        </w:rPr>
        <w:t>）</w:t>
      </w:r>
    </w:p>
    <w:p w:rsidR="002B682F" w:rsidRPr="00DA3BC7" w:rsidRDefault="002B682F" w:rsidP="008E2BBC">
      <w:pPr>
        <w:ind w:leftChars="50" w:left="120"/>
        <w:jc w:val="both"/>
        <w:rPr>
          <w:rFonts w:ascii="Times New Roman" w:hAnsi="Times New Roman"/>
        </w:rPr>
        <w:sectPr w:rsidR="002B682F" w:rsidRPr="00DA3BC7" w:rsidSect="009914C0">
          <w:headerReference w:type="default" r:id="rId41"/>
          <w:footnotePr>
            <w:numRestart w:val="eachSect"/>
          </w:footnotePr>
          <w:pgSz w:w="10773" w:h="14742" w:code="9"/>
          <w:pgMar w:top="1418" w:right="1418" w:bottom="1418" w:left="1418" w:header="851" w:footer="992" w:gutter="0"/>
          <w:cols w:space="425"/>
          <w:docGrid w:type="lines" w:linePitch="360"/>
        </w:sectPr>
      </w:pPr>
      <w:r w:rsidRPr="00DA3BC7">
        <w:rPr>
          <w:rFonts w:ascii="Times New Roman" w:hAnsi="Times New Roman"/>
        </w:rPr>
        <w:t>而佛法的緣起觀，是與這自性執完全相反。所以，</w:t>
      </w:r>
      <w:r w:rsidRPr="00DA3BC7">
        <w:rPr>
          <w:rFonts w:ascii="Times New Roman" w:hAnsi="Times New Roman"/>
          <w:b/>
        </w:rPr>
        <w:t>自性即非緣起，緣起即無自性</w:t>
      </w:r>
      <w:r w:rsidRPr="00DA3BC7">
        <w:rPr>
          <w:rFonts w:ascii="Times New Roman" w:hAnsi="Times New Roman"/>
        </w:rPr>
        <w:t>，二者不能並存，《中論》</w:t>
      </w:r>
      <w:r w:rsidRPr="00DA3BC7">
        <w:rPr>
          <w:rStyle w:val="a6"/>
          <w:rFonts w:ascii="Times New Roman" w:hAnsi="Times New Roman"/>
        </w:rPr>
        <w:footnoteReference w:id="368"/>
      </w:r>
      <w:r w:rsidRPr="00DA3BC7">
        <w:rPr>
          <w:rFonts w:ascii="Times New Roman" w:hAnsi="Times New Roman"/>
        </w:rPr>
        <w:t>曾反覆的說到。</w:t>
      </w:r>
    </w:p>
    <w:p w:rsidR="002B682F" w:rsidRPr="00DA3BC7" w:rsidRDefault="002B682F" w:rsidP="008E2BBC">
      <w:pPr>
        <w:pStyle w:val="1"/>
      </w:pPr>
      <w:bookmarkStart w:id="85" w:name="_Toc405287352"/>
      <w:bookmarkStart w:id="86" w:name="_Toc405287824"/>
      <w:bookmarkStart w:id="87" w:name="_Toc405499767"/>
      <w:r w:rsidRPr="00DA3BC7">
        <w:rPr>
          <w:rFonts w:hint="eastAsia"/>
        </w:rPr>
        <w:lastRenderedPageBreak/>
        <w:t>第五章、中觀之根本論題</w:t>
      </w:r>
      <w:bookmarkEnd w:id="85"/>
      <w:bookmarkEnd w:id="86"/>
      <w:bookmarkEnd w:id="87"/>
    </w:p>
    <w:p w:rsidR="002B682F" w:rsidRPr="00DA3BC7" w:rsidRDefault="002B682F" w:rsidP="008E2BBC">
      <w:pPr>
        <w:pStyle w:val="2"/>
      </w:pPr>
      <w:bookmarkStart w:id="88" w:name="_Toc405499768"/>
      <w:r w:rsidRPr="00DA3BC7">
        <w:t>第三節</w:t>
      </w:r>
      <w:r w:rsidRPr="00DA3BC7">
        <w:rPr>
          <w:rFonts w:hint="eastAsia"/>
        </w:rPr>
        <w:t>、</w:t>
      </w:r>
      <w:r w:rsidRPr="00DA3BC7">
        <w:t>空</w:t>
      </w:r>
      <w:bookmarkEnd w:id="88"/>
    </w:p>
    <w:p w:rsidR="002B682F" w:rsidRPr="00DA3BC7" w:rsidRDefault="002B682F" w:rsidP="008E2BBC">
      <w:pPr>
        <w:widowControl/>
        <w:jc w:val="center"/>
        <w:rPr>
          <w:rFonts w:eastAsia="標楷體"/>
        </w:rPr>
      </w:pPr>
      <w:r w:rsidRPr="00DA3BC7">
        <w:rPr>
          <w:rFonts w:eastAsia="標楷體" w:hint="eastAsia"/>
        </w:rPr>
        <w:t>（</w:t>
      </w:r>
      <w:r w:rsidRPr="00DA3BC7">
        <w:rPr>
          <w:rFonts w:ascii="Times New Roman" w:eastAsia="標楷體" w:hAnsi="Times New Roman"/>
        </w:rPr>
        <w:t>pp</w:t>
      </w:r>
      <w:r w:rsidRPr="00DA3BC7">
        <w:rPr>
          <w:rFonts w:eastAsia="標楷體"/>
        </w:rPr>
        <w:t>.</w:t>
      </w:r>
      <w:r w:rsidRPr="00DA3BC7">
        <w:rPr>
          <w:rFonts w:ascii="Times New Roman" w:eastAsia="標楷體" w:hAnsi="Times New Roman"/>
        </w:rPr>
        <w:t>70</w:t>
      </w:r>
      <w:r w:rsidRPr="00DA3BC7">
        <w:rPr>
          <w:rFonts w:eastAsia="標楷體"/>
        </w:rPr>
        <w:t>-</w:t>
      </w:r>
      <w:r w:rsidRPr="00DA3BC7">
        <w:rPr>
          <w:rFonts w:ascii="Times New Roman" w:eastAsia="標楷體" w:hAnsi="Times New Roman"/>
        </w:rPr>
        <w:t>79</w:t>
      </w:r>
      <w:r w:rsidRPr="00DA3BC7">
        <w:rPr>
          <w:rFonts w:eastAsia="標楷體" w:hint="eastAsia"/>
        </w:rPr>
        <w:t>）</w:t>
      </w:r>
    </w:p>
    <w:p w:rsidR="002B682F" w:rsidRPr="00DA3BC7" w:rsidRDefault="002B682F" w:rsidP="008E2BBC">
      <w:pPr>
        <w:pStyle w:val="Author"/>
      </w:pPr>
    </w:p>
    <w:p w:rsidR="00C17B13" w:rsidRDefault="00C17B13" w:rsidP="00AE3920">
      <w:pPr>
        <w:spacing w:beforeLines="50"/>
        <w:jc w:val="both"/>
        <w:rPr>
          <w:sz w:val="20"/>
          <w:szCs w:val="20"/>
        </w:rPr>
      </w:pPr>
      <w:r w:rsidRPr="00C17B13">
        <w:rPr>
          <w:rFonts w:hint="eastAsia"/>
          <w:b/>
          <w:color w:val="FF0000"/>
          <w:sz w:val="20"/>
          <w:szCs w:val="20"/>
          <w:highlight w:val="yellow"/>
          <w:bdr w:val="single" w:sz="4" w:space="0" w:color="auto"/>
        </w:rPr>
        <w:t>※開宗明義</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70</w:t>
      </w:r>
      <w:r w:rsidRPr="00DA3BC7">
        <w:rPr>
          <w:sz w:val="20"/>
          <w:szCs w:val="20"/>
        </w:rPr>
        <w:t>）</w:t>
      </w:r>
    </w:p>
    <w:p w:rsidR="00C17B13" w:rsidRDefault="00C17B13" w:rsidP="00C17B13">
      <w:pPr>
        <w:widowControl/>
        <w:jc w:val="both"/>
      </w:pPr>
      <w:r w:rsidRPr="00DA3BC7">
        <w:t>空，是佛教所共同的，而中觀家的觀法不盡與他派相同。</w:t>
      </w:r>
    </w:p>
    <w:p w:rsidR="002B682F" w:rsidRPr="00DA3BC7" w:rsidRDefault="002B682F" w:rsidP="00AE3920">
      <w:pPr>
        <w:spacing w:beforeLines="30"/>
        <w:jc w:val="both"/>
        <w:rPr>
          <w:b/>
          <w:sz w:val="20"/>
          <w:szCs w:val="20"/>
          <w:bdr w:val="single" w:sz="4" w:space="0" w:color="auto"/>
        </w:rPr>
      </w:pPr>
      <w:r w:rsidRPr="00DA3BC7">
        <w:rPr>
          <w:b/>
          <w:sz w:val="20"/>
          <w:szCs w:val="20"/>
          <w:bdr w:val="single" w:sz="4" w:space="0" w:color="auto"/>
        </w:rPr>
        <w:t>壹、分破空</w:t>
      </w:r>
      <w:r w:rsidRPr="00DA3BC7">
        <w:rPr>
          <w:rFonts w:hint="eastAsia"/>
          <w:b/>
          <w:sz w:val="20"/>
          <w:szCs w:val="20"/>
          <w:bdr w:val="single" w:sz="4" w:space="0" w:color="auto"/>
        </w:rPr>
        <w:t>、</w:t>
      </w:r>
      <w:r w:rsidRPr="00DA3BC7">
        <w:rPr>
          <w:b/>
          <w:sz w:val="20"/>
          <w:szCs w:val="20"/>
          <w:bdr w:val="single" w:sz="4" w:space="0" w:color="auto"/>
        </w:rPr>
        <w:t>觀空</w:t>
      </w:r>
      <w:r w:rsidRPr="00DA3BC7">
        <w:rPr>
          <w:rFonts w:hint="eastAsia"/>
          <w:b/>
          <w:sz w:val="20"/>
          <w:szCs w:val="20"/>
          <w:bdr w:val="single" w:sz="4" w:space="0" w:color="auto"/>
        </w:rPr>
        <w:t>、</w:t>
      </w:r>
      <w:r w:rsidRPr="00DA3BC7">
        <w:rPr>
          <w:b/>
          <w:sz w:val="20"/>
          <w:szCs w:val="20"/>
          <w:bdr w:val="single" w:sz="4" w:space="0" w:color="auto"/>
        </w:rPr>
        <w:t>十八空</w:t>
      </w:r>
      <w:r w:rsidRPr="00DA3BC7">
        <w:rPr>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70</w:t>
      </w:r>
      <w:r w:rsidRPr="00DA3BC7">
        <w:rPr>
          <w:sz w:val="20"/>
          <w:szCs w:val="20"/>
        </w:rPr>
        <w:t>-</w:t>
      </w:r>
      <w:r w:rsidRPr="00DA3BC7">
        <w:rPr>
          <w:rFonts w:ascii="Times New Roman" w:hAnsi="Times New Roman"/>
          <w:sz w:val="20"/>
          <w:szCs w:val="20"/>
        </w:rPr>
        <w:t>73</w:t>
      </w:r>
      <w:r w:rsidRPr="00DA3BC7">
        <w:rPr>
          <w:sz w:val="20"/>
          <w:szCs w:val="20"/>
        </w:rPr>
        <w:t>）</w:t>
      </w:r>
    </w:p>
    <w:p w:rsidR="002B682F" w:rsidRPr="00DA3BC7" w:rsidRDefault="002B682F" w:rsidP="008E2BBC">
      <w:pPr>
        <w:widowControl/>
        <w:ind w:leftChars="50" w:left="120"/>
        <w:jc w:val="both"/>
        <w:rPr>
          <w:b/>
          <w:sz w:val="20"/>
          <w:szCs w:val="20"/>
          <w:bdr w:val="single" w:sz="4" w:space="0" w:color="auto"/>
        </w:rPr>
      </w:pPr>
      <w:r w:rsidRPr="00DA3BC7">
        <w:rPr>
          <w:rFonts w:hint="eastAsia"/>
          <w:b/>
          <w:sz w:val="20"/>
          <w:szCs w:val="20"/>
          <w:bdr w:val="single" w:sz="4" w:space="0" w:color="auto"/>
        </w:rPr>
        <w:t>（壹）</w:t>
      </w:r>
      <w:r w:rsidRPr="00DA3BC7">
        <w:rPr>
          <w:b/>
          <w:sz w:val="20"/>
          <w:szCs w:val="20"/>
          <w:bdr w:val="single" w:sz="4" w:space="0" w:color="auto"/>
        </w:rPr>
        <w:t>《大智度論》</w:t>
      </w:r>
      <w:r w:rsidRPr="00DA3BC7">
        <w:rPr>
          <w:rFonts w:hint="eastAsia"/>
          <w:b/>
          <w:sz w:val="20"/>
          <w:szCs w:val="20"/>
          <w:bdr w:val="single" w:sz="4" w:space="0" w:color="auto"/>
        </w:rPr>
        <w:t>釋三種空</w:t>
      </w:r>
      <w:r w:rsidRPr="00DA3BC7">
        <w:rPr>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70</w:t>
      </w:r>
      <w:r w:rsidRPr="00DA3BC7">
        <w:rPr>
          <w:sz w:val="20"/>
          <w:szCs w:val="20"/>
        </w:rPr>
        <w:t>-</w:t>
      </w:r>
      <w:r w:rsidRPr="00DA3BC7">
        <w:rPr>
          <w:rFonts w:ascii="Times New Roman" w:hAnsi="Times New Roman"/>
          <w:sz w:val="20"/>
          <w:szCs w:val="20"/>
        </w:rPr>
        <w:t>7</w:t>
      </w:r>
      <w:r w:rsidRPr="00DA3BC7">
        <w:rPr>
          <w:rFonts w:ascii="Times New Roman" w:hAnsi="Times New Roman" w:hint="eastAsia"/>
          <w:sz w:val="20"/>
          <w:szCs w:val="20"/>
        </w:rPr>
        <w:t>1</w:t>
      </w:r>
      <w:r w:rsidRPr="00DA3BC7">
        <w:rPr>
          <w:sz w:val="20"/>
          <w:szCs w:val="20"/>
        </w:rPr>
        <w:t>）</w:t>
      </w:r>
    </w:p>
    <w:p w:rsidR="002B682F" w:rsidRPr="00DA3BC7" w:rsidRDefault="002B682F" w:rsidP="008E2BBC">
      <w:pPr>
        <w:widowControl/>
        <w:ind w:leftChars="100" w:left="240"/>
        <w:jc w:val="both"/>
        <w:rPr>
          <w:b/>
          <w:sz w:val="20"/>
          <w:szCs w:val="20"/>
          <w:bdr w:val="single" w:sz="4" w:space="0" w:color="auto"/>
        </w:rPr>
      </w:pPr>
      <w:r w:rsidRPr="00DA3BC7">
        <w:rPr>
          <w:rFonts w:hint="eastAsia"/>
          <w:b/>
          <w:sz w:val="20"/>
          <w:szCs w:val="20"/>
          <w:bdr w:val="single" w:sz="4" w:space="0" w:color="auto"/>
        </w:rPr>
        <w:t>一、略標三種空</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70</w:t>
      </w:r>
      <w:r w:rsidRPr="00DA3BC7">
        <w:rPr>
          <w:sz w:val="20"/>
          <w:szCs w:val="20"/>
        </w:rPr>
        <w:t>）</w:t>
      </w:r>
    </w:p>
    <w:p w:rsidR="002B682F" w:rsidRPr="00DA3BC7" w:rsidRDefault="002B682F" w:rsidP="008E2BBC">
      <w:pPr>
        <w:widowControl/>
        <w:ind w:leftChars="100" w:left="240"/>
        <w:jc w:val="both"/>
      </w:pPr>
      <w:r w:rsidRPr="00DA3BC7">
        <w:t>如《大智度論》卷</w:t>
      </w:r>
      <w:r w:rsidR="00C17B13" w:rsidRPr="00C17B13">
        <w:rPr>
          <w:rFonts w:ascii="Times New Roman" w:eastAsia="標楷體" w:hAnsi="Times New Roman" w:hint="eastAsia"/>
        </w:rPr>
        <w:t>12</w:t>
      </w:r>
      <w:r w:rsidRPr="00DA3BC7">
        <w:t>說有三種空：一、分破空，</w:t>
      </w:r>
      <w:r w:rsidRPr="00DA3BC7">
        <w:rPr>
          <w:rFonts w:hint="eastAsia"/>
        </w:rPr>
        <w:t>二</w:t>
      </w:r>
      <w:r w:rsidRPr="00DA3BC7">
        <w:t>、觀空，三、十八空。</w:t>
      </w:r>
      <w:r w:rsidRPr="00DA3BC7">
        <w:rPr>
          <w:rStyle w:val="a6"/>
          <w:rFonts w:ascii="Times New Roman" w:hAnsi="Times New Roman"/>
        </w:rPr>
        <w:footnoteReference w:id="369"/>
      </w:r>
    </w:p>
    <w:p w:rsidR="002B682F" w:rsidRPr="00DA3BC7" w:rsidRDefault="002B682F" w:rsidP="00AE3920">
      <w:pPr>
        <w:widowControl/>
        <w:spacing w:beforeLines="30"/>
        <w:ind w:leftChars="100" w:left="240"/>
        <w:jc w:val="both"/>
        <w:rPr>
          <w:b/>
          <w:sz w:val="20"/>
          <w:szCs w:val="20"/>
          <w:bdr w:val="single" w:sz="4" w:space="0" w:color="auto"/>
        </w:rPr>
      </w:pPr>
      <w:r w:rsidRPr="00DA3BC7">
        <w:rPr>
          <w:rFonts w:hint="eastAsia"/>
          <w:b/>
          <w:sz w:val="20"/>
          <w:szCs w:val="20"/>
          <w:bdr w:val="single" w:sz="4" w:space="0" w:color="auto"/>
        </w:rPr>
        <w:t>二、別釋</w:t>
      </w:r>
      <w:r w:rsidRPr="00DA3BC7">
        <w:rPr>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70</w:t>
      </w:r>
      <w:r w:rsidRPr="00DA3BC7">
        <w:rPr>
          <w:sz w:val="20"/>
          <w:szCs w:val="20"/>
        </w:rPr>
        <w:t>-</w:t>
      </w:r>
      <w:r w:rsidRPr="00DA3BC7">
        <w:rPr>
          <w:rFonts w:ascii="Times New Roman" w:hAnsi="Times New Roman"/>
          <w:sz w:val="20"/>
          <w:szCs w:val="20"/>
        </w:rPr>
        <w:t>7</w:t>
      </w:r>
      <w:r w:rsidRPr="00DA3BC7">
        <w:rPr>
          <w:rFonts w:ascii="Times New Roman" w:hAnsi="Times New Roman" w:hint="eastAsia"/>
          <w:sz w:val="20"/>
          <w:szCs w:val="20"/>
        </w:rPr>
        <w:t>1</w:t>
      </w:r>
      <w:r w:rsidRPr="00DA3BC7">
        <w:rPr>
          <w:sz w:val="20"/>
          <w:szCs w:val="20"/>
        </w:rPr>
        <w:t>）</w:t>
      </w:r>
    </w:p>
    <w:p w:rsidR="002B682F" w:rsidRPr="00DA3BC7" w:rsidRDefault="002B682F" w:rsidP="008E2BBC">
      <w:pPr>
        <w:widowControl/>
        <w:ind w:leftChars="150" w:left="360"/>
        <w:jc w:val="both"/>
        <w:rPr>
          <w:sz w:val="20"/>
          <w:szCs w:val="20"/>
        </w:rPr>
      </w:pPr>
      <w:r w:rsidRPr="00DA3BC7">
        <w:rPr>
          <w:b/>
          <w:sz w:val="20"/>
          <w:szCs w:val="20"/>
          <w:bdr w:val="single" w:sz="4" w:space="0" w:color="auto"/>
        </w:rPr>
        <w:t>（一）分破空</w:t>
      </w:r>
      <w:r w:rsidRPr="00DA3BC7">
        <w:rPr>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70</w:t>
      </w:r>
      <w:r w:rsidRPr="00DA3BC7">
        <w:rPr>
          <w:sz w:val="20"/>
          <w:szCs w:val="20"/>
        </w:rPr>
        <w:t>-</w:t>
      </w:r>
      <w:r w:rsidRPr="00DA3BC7">
        <w:rPr>
          <w:rFonts w:ascii="Times New Roman" w:hAnsi="Times New Roman"/>
          <w:sz w:val="20"/>
          <w:szCs w:val="20"/>
        </w:rPr>
        <w:t>71</w:t>
      </w:r>
      <w:r w:rsidRPr="00DA3BC7">
        <w:rPr>
          <w:sz w:val="20"/>
          <w:szCs w:val="20"/>
        </w:rPr>
        <w:t>）</w:t>
      </w:r>
    </w:p>
    <w:p w:rsidR="002B682F" w:rsidRPr="00DA3BC7" w:rsidRDefault="002B682F" w:rsidP="008E2BBC">
      <w:pPr>
        <w:ind w:leftChars="150" w:left="360"/>
        <w:jc w:val="both"/>
      </w:pPr>
      <w:r w:rsidRPr="00DA3BC7">
        <w:t>「分破空」，</w:t>
      </w:r>
      <w:r w:rsidR="00224D48" w:rsidRPr="00DA3BC7">
        <w:rPr>
          <w:rStyle w:val="a6"/>
          <w:rFonts w:ascii="Times New Roman" w:hAnsi="Times New Roman"/>
        </w:rPr>
        <w:footnoteReference w:id="370"/>
      </w:r>
      <w:r w:rsidRPr="00DA3BC7">
        <w:t>即</w:t>
      </w:r>
      <w:r w:rsidRPr="00DA3BC7">
        <w:rPr>
          <w:rFonts w:hint="eastAsia"/>
        </w:rPr>
        <w:t>台</w:t>
      </w:r>
      <w:r w:rsidRPr="00DA3BC7">
        <w:t>宗所說的析法空。</w:t>
      </w:r>
      <w:r w:rsidR="00224D48" w:rsidRPr="00DA3BC7">
        <w:rPr>
          <w:rStyle w:val="a6"/>
          <w:rFonts w:ascii="Times New Roman" w:hAnsi="Times New Roman"/>
        </w:rPr>
        <w:footnoteReference w:id="371"/>
      </w:r>
      <w:r w:rsidRPr="00DA3BC7">
        <w:t>如舉</w:t>
      </w:r>
      <w:r w:rsidRPr="00DA3BC7">
        <w:rPr>
          <w:rFonts w:eastAsia="細明體"/>
        </w:rPr>
        <w:t>疊</w:t>
      </w:r>
      <w:r w:rsidRPr="00DA3BC7">
        <w:rPr>
          <w:rStyle w:val="a6"/>
          <w:rFonts w:ascii="Times New Roman" w:hAnsi="Times New Roman"/>
        </w:rPr>
        <w:footnoteReference w:id="372"/>
      </w:r>
      <w:r w:rsidRPr="00DA3BC7">
        <w:rPr>
          <w:rFonts w:eastAsia="細明體"/>
        </w:rPr>
        <w:t>為</w:t>
      </w:r>
      <w:r w:rsidRPr="00DA3BC7">
        <w:t>喻，將</w:t>
      </w:r>
      <w:r w:rsidRPr="00DA3BC7">
        <w:rPr>
          <w:rFonts w:eastAsia="細明體"/>
        </w:rPr>
        <w:t>疊</w:t>
      </w:r>
      <w:r w:rsidRPr="00DA3BC7">
        <w:t>析至極微，再分</w:t>
      </w:r>
      <w:r w:rsidRPr="00DA3BC7">
        <w:lastRenderedPageBreak/>
        <w:t>析到無方分</w:t>
      </w:r>
      <w:r w:rsidRPr="00DA3BC7">
        <w:rPr>
          <w:rStyle w:val="a6"/>
          <w:rFonts w:ascii="Times New Roman" w:hAnsi="Times New Roman"/>
        </w:rPr>
        <w:footnoteReference w:id="373"/>
      </w:r>
      <w:r w:rsidRPr="00DA3BC7">
        <w:t>相，即現空相，所以極微名為「鄰虛」</w:t>
      </w:r>
      <w:r w:rsidRPr="00DA3BC7">
        <w:rPr>
          <w:rStyle w:val="a6"/>
          <w:rFonts w:ascii="Times New Roman" w:hAnsi="Times New Roman"/>
        </w:rPr>
        <w:footnoteReference w:id="374"/>
      </w:r>
      <w:r w:rsidRPr="00DA3BC7">
        <w:t>。這是從佔有空間的物質上說</w:t>
      </w:r>
      <w:r w:rsidRPr="00DA3BC7">
        <w:rPr>
          <w:rFonts w:hint="eastAsia"/>
        </w:rPr>
        <w:t>；</w:t>
      </w:r>
      <w:r w:rsidRPr="00DA3BC7">
        <w:t>若從佔有時間者說，分析到剎那</w:t>
      </w:r>
      <w:r w:rsidRPr="00DA3BC7">
        <w:rPr>
          <w:rFonts w:ascii="新細明體" w:hAnsi="新細明體"/>
        </w:rPr>
        <w:t>──</w:t>
      </w:r>
      <w:r w:rsidRPr="00DA3BC7">
        <w:t>最短的一念，沒有前後相，再也顯不出時間的特性時，也可以現出空相。由此分破的方法，分析時空中的存在者而達到空。</w:t>
      </w:r>
    </w:p>
    <w:p w:rsidR="002B682F" w:rsidRPr="00DA3BC7" w:rsidRDefault="002B682F" w:rsidP="00AE3920">
      <w:pPr>
        <w:widowControl/>
        <w:spacing w:beforeLines="30"/>
        <w:ind w:leftChars="150" w:left="360"/>
        <w:jc w:val="both"/>
        <w:rPr>
          <w:sz w:val="20"/>
          <w:szCs w:val="20"/>
        </w:rPr>
      </w:pPr>
      <w:r w:rsidRPr="00DA3BC7">
        <w:rPr>
          <w:b/>
          <w:sz w:val="20"/>
          <w:szCs w:val="20"/>
          <w:bdr w:val="single" w:sz="4" w:space="0" w:color="auto"/>
        </w:rPr>
        <w:t>（二）觀空</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71</w:t>
      </w:r>
      <w:r w:rsidRPr="00DA3BC7">
        <w:rPr>
          <w:sz w:val="20"/>
          <w:szCs w:val="20"/>
        </w:rPr>
        <w:t>）</w:t>
      </w:r>
    </w:p>
    <w:p w:rsidR="00C17B13" w:rsidRDefault="002B682F" w:rsidP="008E2BBC">
      <w:pPr>
        <w:widowControl/>
        <w:ind w:leftChars="150" w:left="360"/>
        <w:jc w:val="both"/>
      </w:pPr>
      <w:r w:rsidRPr="00DA3BC7">
        <w:t>「觀空」，</w:t>
      </w:r>
      <w:r w:rsidR="00224D48" w:rsidRPr="00DA3BC7">
        <w:rPr>
          <w:rStyle w:val="a6"/>
          <w:rFonts w:ascii="Times New Roman" w:hAnsi="Times New Roman"/>
        </w:rPr>
        <w:footnoteReference w:id="375"/>
      </w:r>
      <w:r w:rsidRPr="00DA3BC7">
        <w:t>這是從觀心的作用上說。如觀</w:t>
      </w:r>
      <w:r w:rsidRPr="00DA3BC7">
        <w:rPr>
          <w:rFonts w:eastAsia="細明體"/>
        </w:rPr>
        <w:t>疊為</w:t>
      </w:r>
      <w:r w:rsidRPr="00DA3BC7">
        <w:t>青，即成青</w:t>
      </w:r>
      <w:r w:rsidRPr="00DA3BC7">
        <w:rPr>
          <w:rFonts w:eastAsia="細明體"/>
        </w:rPr>
        <w:t>疊</w:t>
      </w:r>
      <w:r w:rsidRPr="00DA3BC7">
        <w:t>；觀</w:t>
      </w:r>
      <w:r w:rsidRPr="00DA3BC7">
        <w:rPr>
          <w:rFonts w:eastAsia="細明體"/>
        </w:rPr>
        <w:t>疊</w:t>
      </w:r>
      <w:r w:rsidRPr="00DA3BC7">
        <w:t>為黃，即成黃</w:t>
      </w:r>
      <w:r w:rsidRPr="00DA3BC7">
        <w:rPr>
          <w:rFonts w:eastAsia="細明體"/>
        </w:rPr>
        <w:t>疊</w:t>
      </w:r>
      <w:r w:rsidRPr="00DA3BC7">
        <w:t>等。十遍處觀等，就是此一方法的具體說明。</w:t>
      </w:r>
    </w:p>
    <w:p w:rsidR="002B682F" w:rsidRPr="00DA3BC7" w:rsidRDefault="002B682F" w:rsidP="008E2BBC">
      <w:pPr>
        <w:widowControl/>
        <w:ind w:leftChars="150" w:left="360"/>
        <w:jc w:val="both"/>
      </w:pPr>
      <w:r w:rsidRPr="00C17B13">
        <w:rPr>
          <w:highlight w:val="yellow"/>
        </w:rPr>
        <w:lastRenderedPageBreak/>
        <w:t>由</w:t>
      </w:r>
      <w:r w:rsidRPr="00DA3BC7">
        <w:t>觀空的方法，知所觀的外境是空。這境相空的最好例子，如一女人：冤仇看了生瞋，情人見了起愛，兒女見了起敬，鳥獸望而逃走。所以，好惡、美醜，都是隨能觀心的不同而轉變的，境無實體</w:t>
      </w:r>
      <w:r w:rsidRPr="00DA3BC7">
        <w:rPr>
          <w:rStyle w:val="a6"/>
          <w:rFonts w:ascii="Times New Roman" w:hAnsi="Times New Roman"/>
        </w:rPr>
        <w:footnoteReference w:id="376"/>
      </w:r>
      <w:r w:rsidRPr="00DA3BC7">
        <w:t>，故名觀空。</w:t>
      </w:r>
    </w:p>
    <w:p w:rsidR="002B682F" w:rsidRPr="00DA3BC7" w:rsidRDefault="002B682F" w:rsidP="00AE3920">
      <w:pPr>
        <w:widowControl/>
        <w:spacing w:beforeLines="30"/>
        <w:ind w:leftChars="150" w:left="360"/>
        <w:jc w:val="both"/>
        <w:rPr>
          <w:sz w:val="20"/>
          <w:szCs w:val="20"/>
        </w:rPr>
      </w:pPr>
      <w:r w:rsidRPr="00DA3BC7">
        <w:rPr>
          <w:b/>
          <w:sz w:val="20"/>
          <w:szCs w:val="20"/>
          <w:bdr w:val="single" w:sz="4" w:space="0" w:color="auto"/>
        </w:rPr>
        <w:t>（三）十八空</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71</w:t>
      </w:r>
      <w:r w:rsidRPr="00DA3BC7">
        <w:rPr>
          <w:sz w:val="20"/>
          <w:szCs w:val="20"/>
        </w:rPr>
        <w:t>）</w:t>
      </w:r>
    </w:p>
    <w:p w:rsidR="002B682F" w:rsidRPr="00DA3BC7" w:rsidRDefault="002B682F" w:rsidP="008E2BBC">
      <w:pPr>
        <w:widowControl/>
        <w:ind w:leftChars="150" w:left="360"/>
        <w:jc w:val="both"/>
      </w:pPr>
      <w:r w:rsidRPr="00DA3BC7">
        <w:t>「十八空」</w:t>
      </w:r>
      <w:r w:rsidR="00224D48" w:rsidRPr="00DA3BC7">
        <w:t>，</w:t>
      </w:r>
      <w:r w:rsidRPr="00DA3BC7">
        <w:rPr>
          <w:rStyle w:val="a6"/>
          <w:rFonts w:ascii="Times New Roman" w:hAnsi="Times New Roman"/>
        </w:rPr>
        <w:footnoteReference w:id="377"/>
      </w:r>
      <w:r w:rsidRPr="00DA3BC7">
        <w:t>《般若經》著重在自性空。自性空，就是任何一法的本體，都是不可得而當體即空的。</w:t>
      </w:r>
    </w:p>
    <w:p w:rsidR="002B682F" w:rsidRPr="00DA3BC7" w:rsidRDefault="002B682F" w:rsidP="00AE3920">
      <w:pPr>
        <w:widowControl/>
        <w:spacing w:beforeLines="30"/>
        <w:ind w:leftChars="50" w:left="120"/>
        <w:jc w:val="both"/>
        <w:rPr>
          <w:sz w:val="20"/>
          <w:szCs w:val="20"/>
        </w:rPr>
      </w:pPr>
      <w:r w:rsidRPr="00DA3BC7">
        <w:rPr>
          <w:b/>
          <w:sz w:val="20"/>
          <w:szCs w:val="20"/>
          <w:bdr w:val="single" w:sz="4" w:space="0" w:color="auto"/>
        </w:rPr>
        <w:t>（</w:t>
      </w:r>
      <w:r w:rsidRPr="00DA3BC7">
        <w:rPr>
          <w:rFonts w:hint="eastAsia"/>
          <w:b/>
          <w:sz w:val="20"/>
          <w:szCs w:val="20"/>
          <w:bdr w:val="single" w:sz="4" w:space="0" w:color="auto"/>
        </w:rPr>
        <w:t>貳</w:t>
      </w:r>
      <w:r w:rsidRPr="00DA3BC7">
        <w:rPr>
          <w:b/>
          <w:sz w:val="20"/>
          <w:szCs w:val="20"/>
          <w:bdr w:val="single" w:sz="4" w:space="0" w:color="auto"/>
        </w:rPr>
        <w:t>）</w:t>
      </w:r>
      <w:r w:rsidRPr="00DA3BC7">
        <w:rPr>
          <w:rFonts w:hint="eastAsia"/>
          <w:b/>
          <w:sz w:val="20"/>
          <w:szCs w:val="20"/>
          <w:bdr w:val="single" w:sz="4" w:space="0" w:color="auto"/>
        </w:rPr>
        <w:t>印順法師</w:t>
      </w:r>
      <w:r w:rsidRPr="00DA3BC7">
        <w:rPr>
          <w:b/>
          <w:sz w:val="20"/>
          <w:szCs w:val="20"/>
          <w:bdr w:val="single" w:sz="4" w:space="0" w:color="auto"/>
        </w:rPr>
        <w:t>對三空</w:t>
      </w:r>
      <w:r w:rsidRPr="00DA3BC7">
        <w:rPr>
          <w:rFonts w:hint="eastAsia"/>
          <w:b/>
          <w:sz w:val="20"/>
          <w:szCs w:val="20"/>
          <w:bdr w:val="single" w:sz="4" w:space="0" w:color="auto"/>
        </w:rPr>
        <w:t>之</w:t>
      </w:r>
      <w:r w:rsidRPr="00DA3BC7">
        <w:rPr>
          <w:b/>
          <w:sz w:val="20"/>
          <w:szCs w:val="20"/>
          <w:bdr w:val="single" w:sz="4" w:space="0" w:color="auto"/>
        </w:rPr>
        <w:t>評論</w:t>
      </w:r>
      <w:r w:rsidRPr="00DA3BC7">
        <w:rPr>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71</w:t>
      </w:r>
      <w:r w:rsidRPr="00DA3BC7">
        <w:rPr>
          <w:sz w:val="20"/>
          <w:szCs w:val="20"/>
        </w:rPr>
        <w:t>-</w:t>
      </w:r>
      <w:r w:rsidRPr="00DA3BC7">
        <w:rPr>
          <w:rFonts w:ascii="Times New Roman" w:hAnsi="Times New Roman"/>
          <w:sz w:val="20"/>
          <w:szCs w:val="20"/>
        </w:rPr>
        <w:t>7</w:t>
      </w:r>
      <w:r w:rsidR="001F538C">
        <w:rPr>
          <w:rFonts w:ascii="Times New Roman" w:hAnsi="Times New Roman" w:hint="eastAsia"/>
          <w:color w:val="FF0000"/>
          <w:sz w:val="20"/>
          <w:szCs w:val="20"/>
          <w:highlight w:val="yellow"/>
        </w:rPr>
        <w:t>3</w:t>
      </w:r>
      <w:r w:rsidRPr="00DA3BC7">
        <w:rPr>
          <w:sz w:val="20"/>
          <w:szCs w:val="20"/>
        </w:rPr>
        <w:t>）</w:t>
      </w:r>
    </w:p>
    <w:p w:rsidR="00C17B13" w:rsidRPr="00C17B13" w:rsidRDefault="002B682F" w:rsidP="008E2BBC">
      <w:pPr>
        <w:widowControl/>
        <w:ind w:leftChars="100" w:left="240"/>
        <w:jc w:val="both"/>
        <w:rPr>
          <w:b/>
          <w:color w:val="FF0000"/>
          <w:sz w:val="20"/>
          <w:szCs w:val="20"/>
          <w:highlight w:val="yellow"/>
          <w:bdr w:val="single" w:sz="4" w:space="0" w:color="auto"/>
        </w:rPr>
      </w:pPr>
      <w:r w:rsidRPr="00C17B13">
        <w:rPr>
          <w:rFonts w:hint="eastAsia"/>
          <w:b/>
          <w:color w:val="FF0000"/>
          <w:sz w:val="20"/>
          <w:szCs w:val="20"/>
          <w:highlight w:val="yellow"/>
          <w:bdr w:val="single" w:sz="4" w:space="0" w:color="auto"/>
        </w:rPr>
        <w:t>一、</w:t>
      </w:r>
      <w:r w:rsidR="00C17B13" w:rsidRPr="00C17B13">
        <w:rPr>
          <w:rFonts w:hint="eastAsia"/>
          <w:b/>
          <w:color w:val="FF0000"/>
          <w:sz w:val="20"/>
          <w:szCs w:val="20"/>
          <w:highlight w:val="yellow"/>
          <w:bdr w:val="single" w:sz="4" w:space="0" w:color="auto"/>
        </w:rPr>
        <w:t>略明《大智度論》的立場</w:t>
      </w:r>
      <w:r w:rsidR="001F538C" w:rsidRPr="00DA3BC7">
        <w:rPr>
          <w:sz w:val="20"/>
          <w:szCs w:val="20"/>
        </w:rPr>
        <w:t>（</w:t>
      </w:r>
      <w:r w:rsidR="001F538C" w:rsidRPr="00DA3BC7">
        <w:rPr>
          <w:rFonts w:ascii="Times New Roman" w:hAnsi="Times New Roman"/>
          <w:sz w:val="20"/>
          <w:szCs w:val="20"/>
        </w:rPr>
        <w:t>p</w:t>
      </w:r>
      <w:r w:rsidR="001F538C" w:rsidRPr="00DA3BC7">
        <w:rPr>
          <w:sz w:val="20"/>
          <w:szCs w:val="20"/>
        </w:rPr>
        <w:t>.</w:t>
      </w:r>
      <w:r w:rsidR="001F538C" w:rsidRPr="00DA3BC7">
        <w:rPr>
          <w:rFonts w:ascii="Times New Roman" w:hAnsi="Times New Roman"/>
          <w:sz w:val="20"/>
          <w:szCs w:val="20"/>
        </w:rPr>
        <w:t>71</w:t>
      </w:r>
      <w:r w:rsidR="001F538C" w:rsidRPr="00DA3BC7">
        <w:rPr>
          <w:sz w:val="20"/>
          <w:szCs w:val="20"/>
        </w:rPr>
        <w:t>）</w:t>
      </w:r>
    </w:p>
    <w:p w:rsidR="00C17B13" w:rsidRDefault="00C17B13" w:rsidP="00C17B13">
      <w:pPr>
        <w:widowControl/>
        <w:ind w:leftChars="100" w:left="240"/>
        <w:jc w:val="both"/>
      </w:pPr>
      <w:r w:rsidRPr="00C17B13">
        <w:rPr>
          <w:highlight w:val="yellow"/>
        </w:rPr>
        <w:t>《</w:t>
      </w:r>
      <w:r w:rsidRPr="00DA3BC7">
        <w:t>大智度論》雖說有三種空觀，然未分別徹底與不徹底。</w:t>
      </w:r>
    </w:p>
    <w:p w:rsidR="00C17B13" w:rsidRPr="00DA3BC7" w:rsidRDefault="00C17B13" w:rsidP="00C17B13">
      <w:pPr>
        <w:widowControl/>
        <w:ind w:leftChars="100" w:left="240"/>
        <w:jc w:val="both"/>
      </w:pPr>
      <w:r w:rsidRPr="00C17B13">
        <w:rPr>
          <w:highlight w:val="yellow"/>
        </w:rPr>
        <w:t>依</w:t>
      </w:r>
      <w:r w:rsidRPr="00DA3BC7">
        <w:t>龍樹論，這三種空觀，都可以使人了解空義，雖所了解的有深淺不同，然究不失為明空的方便，所以《</w:t>
      </w:r>
      <w:r w:rsidRPr="00DA3BC7">
        <w:rPr>
          <w:rFonts w:hint="eastAsia"/>
        </w:rPr>
        <w:t>大</w:t>
      </w:r>
      <w:r w:rsidRPr="00DA3BC7">
        <w:t>智度論》兼容並包</w:t>
      </w:r>
      <w:r w:rsidRPr="00DA3BC7">
        <w:rPr>
          <w:rStyle w:val="a6"/>
          <w:rFonts w:ascii="Times New Roman" w:hAnsi="Times New Roman"/>
        </w:rPr>
        <w:footnoteReference w:id="378"/>
      </w:r>
      <w:r w:rsidRPr="00DA3BC7">
        <w:t>的說有三空。</w:t>
      </w:r>
    </w:p>
    <w:p w:rsidR="00C17B13" w:rsidRDefault="00F87FD0" w:rsidP="00AE3920">
      <w:pPr>
        <w:widowControl/>
        <w:spacing w:beforeLines="30"/>
        <w:ind w:leftChars="100" w:left="240"/>
        <w:jc w:val="both"/>
        <w:rPr>
          <w:b/>
          <w:color w:val="FF0000"/>
          <w:sz w:val="20"/>
          <w:szCs w:val="20"/>
          <w:bdr w:val="single" w:sz="4" w:space="0" w:color="auto"/>
        </w:rPr>
      </w:pPr>
      <w:r>
        <w:rPr>
          <w:rFonts w:hint="eastAsia"/>
          <w:b/>
          <w:color w:val="FF0000"/>
          <w:sz w:val="20"/>
          <w:szCs w:val="20"/>
          <w:highlight w:val="yellow"/>
          <w:bdr w:val="single" w:sz="4" w:space="0" w:color="auto"/>
        </w:rPr>
        <w:t>二</w:t>
      </w:r>
      <w:r w:rsidR="00C17B13" w:rsidRPr="00C17B13">
        <w:rPr>
          <w:rFonts w:hint="eastAsia"/>
          <w:b/>
          <w:color w:val="FF0000"/>
          <w:sz w:val="20"/>
          <w:szCs w:val="20"/>
          <w:highlight w:val="yellow"/>
          <w:bdr w:val="single" w:sz="4" w:space="0" w:color="auto"/>
        </w:rPr>
        <w:t>、</w:t>
      </w:r>
      <w:r w:rsidR="00C17B13">
        <w:rPr>
          <w:rFonts w:hint="eastAsia"/>
          <w:b/>
          <w:color w:val="FF0000"/>
          <w:sz w:val="20"/>
          <w:szCs w:val="20"/>
          <w:highlight w:val="yellow"/>
          <w:bdr w:val="single" w:sz="4" w:space="0" w:color="auto"/>
        </w:rPr>
        <w:t>詳辨「三空」的實質</w:t>
      </w:r>
      <w:r w:rsidR="001F538C" w:rsidRPr="00DA3BC7">
        <w:rPr>
          <w:sz w:val="20"/>
          <w:szCs w:val="20"/>
        </w:rPr>
        <w:t>（</w:t>
      </w:r>
      <w:r w:rsidR="001F538C" w:rsidRPr="00DA3BC7">
        <w:rPr>
          <w:rFonts w:ascii="Times New Roman" w:hAnsi="Times New Roman"/>
          <w:sz w:val="20"/>
          <w:szCs w:val="20"/>
        </w:rPr>
        <w:t>pp</w:t>
      </w:r>
      <w:r w:rsidR="001F538C" w:rsidRPr="00DA3BC7">
        <w:rPr>
          <w:sz w:val="20"/>
          <w:szCs w:val="20"/>
        </w:rPr>
        <w:t>.</w:t>
      </w:r>
      <w:r w:rsidR="001F538C" w:rsidRPr="00DA3BC7">
        <w:rPr>
          <w:rFonts w:ascii="Times New Roman" w:hAnsi="Times New Roman"/>
          <w:sz w:val="20"/>
          <w:szCs w:val="20"/>
        </w:rPr>
        <w:t>71</w:t>
      </w:r>
      <w:r w:rsidR="001F538C" w:rsidRPr="00DA3BC7">
        <w:rPr>
          <w:sz w:val="20"/>
          <w:szCs w:val="20"/>
        </w:rPr>
        <w:t>-</w:t>
      </w:r>
      <w:r w:rsidR="001F538C" w:rsidRPr="00DA3BC7">
        <w:rPr>
          <w:rFonts w:ascii="Times New Roman" w:hAnsi="Times New Roman"/>
          <w:sz w:val="20"/>
          <w:szCs w:val="20"/>
        </w:rPr>
        <w:t>7</w:t>
      </w:r>
      <w:r w:rsidR="001F538C" w:rsidRPr="001F538C">
        <w:rPr>
          <w:rFonts w:ascii="Times New Roman" w:hAnsi="Times New Roman" w:hint="eastAsia"/>
          <w:sz w:val="20"/>
          <w:szCs w:val="20"/>
        </w:rPr>
        <w:t>3</w:t>
      </w:r>
      <w:r w:rsidR="001F538C" w:rsidRPr="00DA3BC7">
        <w:rPr>
          <w:sz w:val="20"/>
          <w:szCs w:val="20"/>
        </w:rPr>
        <w:t>）</w:t>
      </w:r>
    </w:p>
    <w:p w:rsidR="002B682F" w:rsidRPr="00DA3BC7" w:rsidRDefault="00C17B13" w:rsidP="00F87FD0">
      <w:pPr>
        <w:widowControl/>
        <w:ind w:leftChars="150" w:left="360"/>
        <w:jc w:val="both"/>
        <w:rPr>
          <w:sz w:val="20"/>
          <w:szCs w:val="20"/>
          <w:bdr w:val="single" w:sz="4" w:space="0" w:color="auto"/>
        </w:rPr>
      </w:pPr>
      <w:r w:rsidRPr="00C17B13">
        <w:rPr>
          <w:rFonts w:hint="eastAsia"/>
          <w:b/>
          <w:color w:val="FF0000"/>
          <w:sz w:val="20"/>
          <w:szCs w:val="20"/>
          <w:highlight w:val="yellow"/>
          <w:bdr w:val="single" w:sz="4" w:space="0" w:color="auto"/>
        </w:rPr>
        <w:t>（一）</w:t>
      </w:r>
      <w:r w:rsidR="002B682F" w:rsidRPr="00DA3BC7">
        <w:rPr>
          <w:b/>
          <w:sz w:val="20"/>
          <w:szCs w:val="20"/>
          <w:bdr w:val="single" w:sz="4" w:space="0" w:color="auto"/>
        </w:rPr>
        <w:t>對</w:t>
      </w:r>
      <w:r w:rsidR="002B682F" w:rsidRPr="00DA3BC7">
        <w:rPr>
          <w:rFonts w:hint="eastAsia"/>
          <w:b/>
          <w:sz w:val="20"/>
          <w:szCs w:val="20"/>
          <w:bdr w:val="single" w:sz="4" w:space="0" w:color="auto"/>
        </w:rPr>
        <w:t>「</w:t>
      </w:r>
      <w:r w:rsidR="002B682F" w:rsidRPr="00DA3BC7">
        <w:rPr>
          <w:b/>
          <w:sz w:val="20"/>
          <w:szCs w:val="20"/>
          <w:bdr w:val="single" w:sz="4" w:space="0" w:color="auto"/>
        </w:rPr>
        <w:t>分破空</w:t>
      </w:r>
      <w:r w:rsidR="002B682F" w:rsidRPr="00DA3BC7">
        <w:rPr>
          <w:rFonts w:hint="eastAsia"/>
          <w:b/>
          <w:sz w:val="20"/>
          <w:szCs w:val="20"/>
          <w:bdr w:val="single" w:sz="4" w:space="0" w:color="auto"/>
        </w:rPr>
        <w:t>」之評論</w:t>
      </w:r>
      <w:r w:rsidR="002B682F" w:rsidRPr="00DA3BC7">
        <w:rPr>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hAnsi="Times New Roman"/>
          <w:sz w:val="20"/>
          <w:szCs w:val="20"/>
        </w:rPr>
        <w:t>71</w:t>
      </w:r>
      <w:r w:rsidR="002B682F" w:rsidRPr="00DA3BC7">
        <w:rPr>
          <w:sz w:val="20"/>
          <w:szCs w:val="20"/>
        </w:rPr>
        <w:t>-</w:t>
      </w:r>
      <w:r w:rsidR="002B682F" w:rsidRPr="00DA3BC7">
        <w:rPr>
          <w:rFonts w:ascii="Times New Roman" w:hAnsi="Times New Roman"/>
          <w:sz w:val="20"/>
          <w:szCs w:val="20"/>
        </w:rPr>
        <w:t>72</w:t>
      </w:r>
      <w:r w:rsidR="002B682F" w:rsidRPr="00DA3BC7">
        <w:rPr>
          <w:sz w:val="20"/>
          <w:szCs w:val="20"/>
        </w:rPr>
        <w:t>）</w:t>
      </w:r>
    </w:p>
    <w:p w:rsidR="002B682F" w:rsidRPr="00DA3BC7" w:rsidRDefault="00C17B13" w:rsidP="00F87FD0">
      <w:pPr>
        <w:widowControl/>
        <w:ind w:leftChars="200" w:left="480"/>
        <w:jc w:val="both"/>
        <w:rPr>
          <w:sz w:val="20"/>
          <w:szCs w:val="20"/>
          <w:bdr w:val="single" w:sz="4" w:space="0" w:color="auto"/>
        </w:rPr>
      </w:pPr>
      <w:r w:rsidRPr="00C17B13">
        <w:rPr>
          <w:rFonts w:ascii="Times New Roman" w:hAnsi="Times New Roman" w:hint="eastAsia"/>
          <w:b/>
          <w:color w:val="FF0000"/>
          <w:sz w:val="20"/>
          <w:szCs w:val="20"/>
          <w:highlight w:val="yellow"/>
          <w:bdr w:val="single" w:sz="4" w:space="0" w:color="auto"/>
        </w:rPr>
        <w:t>1</w:t>
      </w:r>
      <w:r w:rsidRPr="00C17B13">
        <w:rPr>
          <w:rFonts w:ascii="Times New Roman" w:hAnsi="Times New Roman" w:hint="eastAsia"/>
          <w:b/>
          <w:color w:val="FF0000"/>
          <w:sz w:val="20"/>
          <w:szCs w:val="20"/>
          <w:highlight w:val="yellow"/>
          <w:bdr w:val="single" w:sz="4" w:space="0" w:color="auto"/>
        </w:rPr>
        <w:t>、</w:t>
      </w:r>
      <w:r w:rsidR="002B682F" w:rsidRPr="00C17B13">
        <w:rPr>
          <w:rFonts w:ascii="Times New Roman" w:hAnsi="Times New Roman"/>
          <w:b/>
          <w:color w:val="FF0000"/>
          <w:sz w:val="20"/>
          <w:szCs w:val="20"/>
          <w:highlight w:val="yellow"/>
          <w:bdr w:val="single" w:sz="4" w:space="0" w:color="auto"/>
        </w:rPr>
        <w:t>部</w:t>
      </w:r>
      <w:r w:rsidRPr="00C17B13">
        <w:rPr>
          <w:rFonts w:ascii="Times New Roman" w:hAnsi="Times New Roman" w:hint="eastAsia"/>
          <w:b/>
          <w:color w:val="FF0000"/>
          <w:sz w:val="20"/>
          <w:szCs w:val="20"/>
          <w:highlight w:val="yellow"/>
          <w:bdr w:val="single" w:sz="4" w:space="0" w:color="auto"/>
        </w:rPr>
        <w:t>派的見解</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71</w:t>
      </w:r>
      <w:r w:rsidR="002B682F" w:rsidRPr="00DA3BC7">
        <w:rPr>
          <w:sz w:val="20"/>
          <w:szCs w:val="20"/>
        </w:rPr>
        <w:t>）</w:t>
      </w:r>
    </w:p>
    <w:p w:rsidR="002B682F" w:rsidRPr="00DA3BC7" w:rsidRDefault="002B682F" w:rsidP="00F87FD0">
      <w:pPr>
        <w:widowControl/>
        <w:ind w:leftChars="200" w:left="480"/>
        <w:jc w:val="both"/>
      </w:pPr>
      <w:r w:rsidRPr="00DA3BC7">
        <w:t>若細考大小乘各派的說法，則分破空是阿毘達磨論師所常用的方法。</w:t>
      </w:r>
    </w:p>
    <w:p w:rsidR="002B682F" w:rsidRPr="00DA3BC7" w:rsidRDefault="002B682F" w:rsidP="00AE3920">
      <w:pPr>
        <w:widowControl/>
        <w:spacing w:beforeLines="20"/>
        <w:ind w:leftChars="200" w:left="480"/>
        <w:jc w:val="both"/>
        <w:rPr>
          <w:rFonts w:ascii="Times New Roman" w:hAnsi="Times New Roman"/>
          <w:vertAlign w:val="superscript"/>
        </w:rPr>
      </w:pPr>
      <w:r w:rsidRPr="00DA3BC7">
        <w:lastRenderedPageBreak/>
        <w:t>如有部，以觀慧析</w:t>
      </w:r>
      <w:r w:rsidRPr="00DA3BC7">
        <w:rPr>
          <w:b/>
        </w:rPr>
        <w:t>色</w:t>
      </w:r>
      <w:r w:rsidRPr="00DA3BC7">
        <w:t>至鄰虛，過此即成為空。然而</w:t>
      </w:r>
      <w:r w:rsidRPr="00DA3BC7">
        <w:rPr>
          <w:b/>
        </w:rPr>
        <w:t>有部不承認一切法皆空，反認為有自性有的極微</w:t>
      </w:r>
      <w:r w:rsidRPr="00DA3BC7">
        <w:t>。</w:t>
      </w:r>
      <w:r w:rsidRPr="00DA3BC7">
        <w:rPr>
          <w:rFonts w:ascii="Times New Roman" w:hAnsi="Times New Roman"/>
          <w:vertAlign w:val="superscript"/>
        </w:rPr>
        <w:footnoteReference w:id="379"/>
      </w:r>
    </w:p>
    <w:p w:rsidR="002B682F" w:rsidRPr="00DA3BC7" w:rsidRDefault="002B682F" w:rsidP="00F87FD0">
      <w:pPr>
        <w:widowControl/>
        <w:ind w:leftChars="200" w:left="480"/>
        <w:jc w:val="both"/>
      </w:pPr>
      <w:r w:rsidRPr="00DA3BC7">
        <w:t>因分析而知某些是假合有的，某些是假有所依的原素</w:t>
      </w:r>
      <w:r w:rsidRPr="00DA3BC7">
        <w:rPr>
          <w:rFonts w:ascii="新細明體" w:hAnsi="新細明體"/>
        </w:rPr>
        <w:t>──</w:t>
      </w:r>
      <w:r w:rsidRPr="00DA3BC7">
        <w:t>即最後的極微。</w:t>
      </w:r>
    </w:p>
    <w:p w:rsidR="002B682F" w:rsidRPr="00DA3BC7" w:rsidRDefault="002B682F" w:rsidP="00AE3920">
      <w:pPr>
        <w:widowControl/>
        <w:spacing w:beforeLines="20"/>
        <w:ind w:leftChars="200" w:left="480"/>
        <w:jc w:val="both"/>
      </w:pPr>
      <w:r w:rsidRPr="00DA3BC7">
        <w:rPr>
          <w:b/>
        </w:rPr>
        <w:t>心法</w:t>
      </w:r>
      <w:r w:rsidRPr="00DA3BC7">
        <w:t>也用此法分析到</w:t>
      </w:r>
      <w:r w:rsidRPr="00DA3BC7">
        <w:rPr>
          <w:b/>
        </w:rPr>
        <w:t>剎那念</w:t>
      </w:r>
      <w:r w:rsidRPr="00DA3BC7">
        <w:t>。</w:t>
      </w:r>
    </w:p>
    <w:p w:rsidR="002B682F" w:rsidRPr="00DA3BC7" w:rsidRDefault="00C17B13" w:rsidP="00AE3920">
      <w:pPr>
        <w:widowControl/>
        <w:spacing w:beforeLines="30"/>
        <w:ind w:leftChars="200" w:left="480"/>
        <w:jc w:val="both"/>
        <w:rPr>
          <w:sz w:val="20"/>
          <w:szCs w:val="20"/>
        </w:rPr>
      </w:pPr>
      <w:r w:rsidRPr="00C17B13">
        <w:rPr>
          <w:rFonts w:ascii="Times New Roman" w:hAnsi="Times New Roman" w:hint="eastAsia"/>
          <w:b/>
          <w:sz w:val="20"/>
          <w:szCs w:val="20"/>
          <w:bdr w:val="single" w:sz="4" w:space="0" w:color="auto"/>
        </w:rPr>
        <w:t>2</w:t>
      </w:r>
      <w:r w:rsidRPr="00C17B13">
        <w:rPr>
          <w:rFonts w:ascii="Times New Roman" w:hAnsi="Times New Roman" w:hint="eastAsia"/>
          <w:b/>
          <w:sz w:val="20"/>
          <w:szCs w:val="20"/>
          <w:bdr w:val="single" w:sz="4" w:space="0" w:color="auto"/>
        </w:rPr>
        <w:t>、</w:t>
      </w:r>
      <w:r w:rsidR="002B682F" w:rsidRPr="00DA3BC7">
        <w:rPr>
          <w:rFonts w:hint="eastAsia"/>
          <w:b/>
          <w:sz w:val="20"/>
          <w:szCs w:val="20"/>
          <w:bdr w:val="single" w:sz="4" w:space="0" w:color="auto"/>
        </w:rPr>
        <w:t>印順法師之評論</w:t>
      </w:r>
      <w:r w:rsidR="002B682F" w:rsidRPr="00DA3BC7">
        <w:rPr>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hAnsi="Times New Roman"/>
          <w:sz w:val="20"/>
          <w:szCs w:val="20"/>
        </w:rPr>
        <w:t>71</w:t>
      </w:r>
      <w:r w:rsidR="002B682F" w:rsidRPr="00DA3BC7">
        <w:rPr>
          <w:sz w:val="20"/>
          <w:szCs w:val="20"/>
        </w:rPr>
        <w:t>-</w:t>
      </w:r>
      <w:r w:rsidR="002B682F" w:rsidRPr="00DA3BC7">
        <w:rPr>
          <w:rFonts w:ascii="Times New Roman" w:hAnsi="Times New Roman"/>
          <w:sz w:val="20"/>
          <w:szCs w:val="20"/>
        </w:rPr>
        <w:t>72</w:t>
      </w:r>
      <w:r w:rsidR="002B682F" w:rsidRPr="00DA3BC7">
        <w:rPr>
          <w:sz w:val="20"/>
          <w:szCs w:val="20"/>
        </w:rPr>
        <w:t>）</w:t>
      </w:r>
    </w:p>
    <w:p w:rsidR="002B682F" w:rsidRPr="00DA3BC7" w:rsidRDefault="002B682F" w:rsidP="00F87FD0">
      <w:pPr>
        <w:widowControl/>
        <w:ind w:leftChars="200" w:left="480"/>
        <w:jc w:val="both"/>
      </w:pPr>
      <w:r w:rsidRPr="00DA3BC7">
        <w:t>這種方法，並不能達到一切皆空的結論，反而成為實有自性的根據。</w:t>
      </w:r>
    </w:p>
    <w:p w:rsidR="002B682F" w:rsidRPr="00DA3BC7" w:rsidRDefault="002B682F" w:rsidP="008E2BBC">
      <w:pPr>
        <w:widowControl/>
        <w:ind w:leftChars="150" w:left="360"/>
        <w:jc w:val="both"/>
      </w:pPr>
      <w:r w:rsidRPr="00DA3BC7">
        <w:t>如分析極微至最後，有說</w:t>
      </w:r>
      <w:r w:rsidRPr="00DA3BC7">
        <w:rPr>
          <w:b/>
        </w:rPr>
        <w:t>有方分</w:t>
      </w:r>
      <w:r w:rsidRPr="00DA3BC7">
        <w:t>的，有說</w:t>
      </w:r>
      <w:r w:rsidRPr="00DA3BC7">
        <w:rPr>
          <w:b/>
        </w:rPr>
        <w:t>無方分</w:t>
      </w:r>
      <w:r w:rsidRPr="00DA3BC7">
        <w:t>的，也有說</w:t>
      </w:r>
      <w:r w:rsidRPr="00DA3BC7">
        <w:rPr>
          <w:b/>
        </w:rPr>
        <w:t>有方而無分</w:t>
      </w:r>
      <w:r w:rsidRPr="00DA3BC7">
        <w:t>的，</w:t>
      </w:r>
      <w:r w:rsidRPr="00DA3BC7">
        <w:rPr>
          <w:rFonts w:ascii="Times New Roman" w:hAnsi="Times New Roman"/>
          <w:vertAlign w:val="superscript"/>
        </w:rPr>
        <w:footnoteReference w:id="380"/>
      </w:r>
      <w:r w:rsidRPr="00DA3BC7">
        <w:t>但無論如何，最後總都是有實在性的極微。</w:t>
      </w:r>
    </w:p>
    <w:p w:rsidR="002B682F" w:rsidRPr="00DA3BC7" w:rsidRDefault="002B682F" w:rsidP="00F87FD0">
      <w:pPr>
        <w:widowControl/>
        <w:ind w:leftChars="200" w:left="480"/>
        <w:jc w:val="both"/>
        <w:rPr>
          <w:rFonts w:eastAsia="標楷體"/>
        </w:rPr>
      </w:pPr>
      <w:r w:rsidRPr="00DA3BC7">
        <w:lastRenderedPageBreak/>
        <w:t>如古人說：</w:t>
      </w:r>
      <w:r w:rsidRPr="00DA3BC7">
        <w:rPr>
          <w:rFonts w:eastAsia="標楷體"/>
        </w:rPr>
        <w:t>「一尺之木，日取其半，終古不盡。」</w:t>
      </w:r>
      <w:r w:rsidRPr="00DA3BC7">
        <w:rPr>
          <w:rStyle w:val="a6"/>
          <w:rFonts w:ascii="Times New Roman" w:hAnsi="Times New Roman"/>
        </w:rPr>
        <w:footnoteReference w:id="381"/>
      </w:r>
    </w:p>
    <w:p w:rsidR="002B682F" w:rsidRPr="00DA3BC7" w:rsidRDefault="002B682F" w:rsidP="00AE3920">
      <w:pPr>
        <w:widowControl/>
        <w:spacing w:beforeLines="20"/>
        <w:ind w:leftChars="200" w:left="480"/>
        <w:jc w:val="both"/>
      </w:pPr>
      <w:r w:rsidRPr="00DA3BC7">
        <w:t>這種分破空法，本即《阿含經》說到的「散空」</w:t>
      </w:r>
      <w:r w:rsidRPr="00DA3BC7">
        <w:rPr>
          <w:rStyle w:val="a6"/>
          <w:rFonts w:ascii="Times New Roman" w:hAnsi="Times New Roman"/>
        </w:rPr>
        <w:footnoteReference w:id="382"/>
      </w:r>
      <w:r w:rsidRPr="00DA3BC7">
        <w:t>；不徹底而可以用為方便，所以龍樹也把它引用了來。</w:t>
      </w:r>
    </w:p>
    <w:p w:rsidR="002B682F" w:rsidRPr="00DA3BC7" w:rsidRDefault="00C17B13" w:rsidP="00AE3920">
      <w:pPr>
        <w:widowControl/>
        <w:spacing w:beforeLines="30"/>
        <w:ind w:leftChars="100" w:left="240"/>
        <w:jc w:val="both"/>
        <w:rPr>
          <w:sz w:val="20"/>
          <w:szCs w:val="20"/>
        </w:rPr>
      </w:pPr>
      <w:r w:rsidRPr="00C17B13">
        <w:rPr>
          <w:rFonts w:ascii="Times New Roman" w:hAnsi="Times New Roman" w:hint="eastAsia"/>
          <w:b/>
          <w:color w:val="FF0000"/>
          <w:sz w:val="20"/>
          <w:szCs w:val="20"/>
          <w:highlight w:val="yellow"/>
          <w:bdr w:val="single" w:sz="4" w:space="0" w:color="auto"/>
        </w:rPr>
        <w:t>（二）</w:t>
      </w:r>
      <w:r w:rsidR="002B682F" w:rsidRPr="00DA3BC7">
        <w:rPr>
          <w:b/>
          <w:sz w:val="20"/>
          <w:szCs w:val="20"/>
          <w:bdr w:val="single" w:sz="4" w:space="0" w:color="auto"/>
        </w:rPr>
        <w:t>對</w:t>
      </w:r>
      <w:r w:rsidR="002B682F" w:rsidRPr="00DA3BC7">
        <w:rPr>
          <w:rFonts w:hint="eastAsia"/>
          <w:b/>
          <w:sz w:val="20"/>
          <w:szCs w:val="20"/>
          <w:bdr w:val="single" w:sz="4" w:space="0" w:color="auto"/>
        </w:rPr>
        <w:t>「觀</w:t>
      </w:r>
      <w:r w:rsidR="002B682F" w:rsidRPr="00DA3BC7">
        <w:rPr>
          <w:b/>
          <w:sz w:val="20"/>
          <w:szCs w:val="20"/>
          <w:bdr w:val="single" w:sz="4" w:space="0" w:color="auto"/>
        </w:rPr>
        <w:t>空</w:t>
      </w:r>
      <w:r w:rsidR="002B682F" w:rsidRPr="00DA3BC7">
        <w:rPr>
          <w:rFonts w:hint="eastAsia"/>
          <w:b/>
          <w:sz w:val="20"/>
          <w:szCs w:val="20"/>
          <w:bdr w:val="single" w:sz="4" w:space="0" w:color="auto"/>
        </w:rPr>
        <w:t>」之評論</w:t>
      </w:r>
      <w:r w:rsidR="002B682F" w:rsidRPr="00DA3BC7">
        <w:rPr>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hAnsi="Times New Roman"/>
          <w:sz w:val="20"/>
          <w:szCs w:val="20"/>
        </w:rPr>
        <w:t>72</w:t>
      </w:r>
      <w:r w:rsidR="002B682F" w:rsidRPr="00DA3BC7">
        <w:rPr>
          <w:sz w:val="20"/>
          <w:szCs w:val="20"/>
        </w:rPr>
        <w:t>-</w:t>
      </w:r>
      <w:r w:rsidR="002B682F" w:rsidRPr="00DA3BC7">
        <w:rPr>
          <w:rFonts w:ascii="Times New Roman" w:hAnsi="Times New Roman"/>
          <w:sz w:val="20"/>
          <w:szCs w:val="20"/>
        </w:rPr>
        <w:t>73</w:t>
      </w:r>
      <w:r w:rsidR="002B682F" w:rsidRPr="00DA3BC7">
        <w:rPr>
          <w:sz w:val="20"/>
          <w:szCs w:val="20"/>
        </w:rPr>
        <w:t>）</w:t>
      </w:r>
    </w:p>
    <w:p w:rsidR="00C17B13" w:rsidRDefault="00C17B13" w:rsidP="00F87FD0">
      <w:pPr>
        <w:widowControl/>
        <w:ind w:leftChars="200" w:left="480"/>
        <w:jc w:val="both"/>
        <w:rPr>
          <w:b/>
          <w:color w:val="FF0000"/>
          <w:sz w:val="20"/>
          <w:szCs w:val="20"/>
          <w:bdr w:val="single" w:sz="4" w:space="0" w:color="auto"/>
        </w:rPr>
      </w:pPr>
      <w:r w:rsidRPr="00C17B13">
        <w:rPr>
          <w:rFonts w:ascii="Times New Roman" w:hAnsi="Times New Roman" w:hint="eastAsia"/>
          <w:b/>
          <w:color w:val="FF0000"/>
          <w:sz w:val="20"/>
          <w:szCs w:val="20"/>
          <w:highlight w:val="yellow"/>
          <w:bdr w:val="single" w:sz="4" w:space="0" w:color="auto"/>
        </w:rPr>
        <w:t>1</w:t>
      </w:r>
      <w:r w:rsidRPr="00C17B13">
        <w:rPr>
          <w:rFonts w:hint="eastAsia"/>
          <w:b/>
          <w:color w:val="FF0000"/>
          <w:sz w:val="20"/>
          <w:szCs w:val="20"/>
          <w:highlight w:val="yellow"/>
          <w:bdr w:val="single" w:sz="4" w:space="0" w:color="auto"/>
        </w:rPr>
        <w:t>、</w:t>
      </w:r>
      <w:r>
        <w:rPr>
          <w:rFonts w:hint="eastAsia"/>
          <w:b/>
          <w:color w:val="FF0000"/>
          <w:sz w:val="20"/>
          <w:szCs w:val="20"/>
          <w:highlight w:val="yellow"/>
          <w:bdr w:val="single" w:sz="4" w:space="0" w:color="auto"/>
        </w:rPr>
        <w:t>宗派的見解</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72</w:t>
      </w:r>
      <w:r w:rsidRPr="00DA3BC7">
        <w:rPr>
          <w:sz w:val="20"/>
          <w:szCs w:val="20"/>
        </w:rPr>
        <w:t>）</w:t>
      </w:r>
    </w:p>
    <w:p w:rsidR="00C17B13" w:rsidRDefault="002B682F" w:rsidP="00F87FD0">
      <w:pPr>
        <w:widowControl/>
        <w:ind w:leftChars="250" w:left="600"/>
        <w:jc w:val="both"/>
        <w:rPr>
          <w:sz w:val="20"/>
          <w:szCs w:val="20"/>
        </w:rPr>
      </w:pPr>
      <w:r w:rsidRPr="00C17B13">
        <w:rPr>
          <w:rFonts w:hint="eastAsia"/>
          <w:b/>
          <w:color w:val="FF0000"/>
          <w:sz w:val="20"/>
          <w:szCs w:val="20"/>
          <w:highlight w:val="yellow"/>
          <w:bdr w:val="single" w:sz="4" w:space="0" w:color="auto"/>
        </w:rPr>
        <w:t>（</w:t>
      </w:r>
      <w:r w:rsidR="00C17B13" w:rsidRPr="00C17B13">
        <w:rPr>
          <w:rFonts w:ascii="Times New Roman" w:hAnsi="Times New Roman" w:hint="eastAsia"/>
          <w:b/>
          <w:color w:val="FF0000"/>
          <w:sz w:val="20"/>
          <w:szCs w:val="20"/>
          <w:highlight w:val="yellow"/>
          <w:bdr w:val="single" w:sz="4" w:space="0" w:color="auto"/>
        </w:rPr>
        <w:t>1</w:t>
      </w:r>
      <w:r w:rsidRPr="00C17B13">
        <w:rPr>
          <w:rFonts w:hint="eastAsia"/>
          <w:b/>
          <w:color w:val="FF0000"/>
          <w:sz w:val="20"/>
          <w:szCs w:val="20"/>
          <w:highlight w:val="yellow"/>
          <w:bdr w:val="single" w:sz="4" w:space="0" w:color="auto"/>
        </w:rPr>
        <w:t>）</w:t>
      </w:r>
      <w:r w:rsidR="00C17B13" w:rsidRPr="00C17B13">
        <w:rPr>
          <w:rFonts w:hint="eastAsia"/>
          <w:b/>
          <w:color w:val="FF0000"/>
          <w:sz w:val="20"/>
          <w:szCs w:val="20"/>
          <w:highlight w:val="yellow"/>
          <w:bdr w:val="single" w:sz="4" w:space="0" w:color="auto"/>
        </w:rPr>
        <w:t>概述</w:t>
      </w:r>
      <w:r w:rsidR="00C17B13" w:rsidRPr="00DA3BC7">
        <w:rPr>
          <w:sz w:val="20"/>
          <w:szCs w:val="20"/>
        </w:rPr>
        <w:t>（</w:t>
      </w:r>
      <w:r w:rsidR="00C17B13" w:rsidRPr="00DA3BC7">
        <w:rPr>
          <w:rFonts w:ascii="Times New Roman" w:hAnsi="Times New Roman"/>
          <w:sz w:val="20"/>
          <w:szCs w:val="20"/>
        </w:rPr>
        <w:t>p</w:t>
      </w:r>
      <w:r w:rsidR="00C17B13" w:rsidRPr="00DA3BC7">
        <w:rPr>
          <w:sz w:val="20"/>
          <w:szCs w:val="20"/>
        </w:rPr>
        <w:t>.</w:t>
      </w:r>
      <w:r w:rsidR="00C17B13" w:rsidRPr="00DA3BC7">
        <w:rPr>
          <w:rFonts w:ascii="Times New Roman" w:hAnsi="Times New Roman"/>
          <w:sz w:val="20"/>
          <w:szCs w:val="20"/>
        </w:rPr>
        <w:t>72</w:t>
      </w:r>
      <w:r w:rsidR="00C17B13" w:rsidRPr="00DA3BC7">
        <w:rPr>
          <w:sz w:val="20"/>
          <w:szCs w:val="20"/>
        </w:rPr>
        <w:t>）</w:t>
      </w:r>
    </w:p>
    <w:p w:rsidR="00C17B13" w:rsidRDefault="00C17B13" w:rsidP="00F87FD0">
      <w:pPr>
        <w:widowControl/>
        <w:ind w:leftChars="250" w:left="600"/>
        <w:jc w:val="both"/>
        <w:rPr>
          <w:b/>
          <w:color w:val="FF0000"/>
          <w:sz w:val="20"/>
          <w:szCs w:val="20"/>
          <w:bdr w:val="single" w:sz="4" w:space="0" w:color="auto"/>
        </w:rPr>
      </w:pPr>
      <w:r w:rsidRPr="00DA3BC7">
        <w:t>觀空，是唯識宗等所使用的空觀。</w:t>
      </w:r>
    </w:p>
    <w:p w:rsidR="00C17B13" w:rsidRPr="00C17B13" w:rsidRDefault="00C17B13" w:rsidP="00AE3920">
      <w:pPr>
        <w:widowControl/>
        <w:spacing w:beforeLines="30"/>
        <w:ind w:leftChars="250" w:left="600"/>
        <w:jc w:val="both"/>
        <w:rPr>
          <w:rFonts w:ascii="Times New Roman" w:hAnsi="Times New Roman"/>
          <w:sz w:val="20"/>
          <w:szCs w:val="20"/>
        </w:rPr>
      </w:pPr>
      <w:r w:rsidRPr="00C17B13">
        <w:rPr>
          <w:rFonts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2</w:t>
      </w:r>
      <w:r w:rsidRPr="00C17B13">
        <w:rPr>
          <w:rFonts w:hint="eastAsia"/>
          <w:b/>
          <w:color w:val="FF0000"/>
          <w:sz w:val="20"/>
          <w:szCs w:val="20"/>
          <w:highlight w:val="yellow"/>
          <w:bdr w:val="single" w:sz="4" w:space="0" w:color="auto"/>
        </w:rPr>
        <w:t>）</w:t>
      </w:r>
      <w:r>
        <w:rPr>
          <w:rFonts w:hint="eastAsia"/>
          <w:b/>
          <w:color w:val="FF0000"/>
          <w:sz w:val="20"/>
          <w:szCs w:val="20"/>
          <w:highlight w:val="yellow"/>
          <w:bdr w:val="single" w:sz="4" w:space="0" w:color="auto"/>
        </w:rPr>
        <w:t>詳明</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72</w:t>
      </w:r>
      <w:r w:rsidRPr="00DA3BC7">
        <w:rPr>
          <w:sz w:val="20"/>
          <w:szCs w:val="20"/>
        </w:rPr>
        <w:t>）</w:t>
      </w:r>
    </w:p>
    <w:p w:rsidR="002B682F" w:rsidRPr="00DA3BC7" w:rsidRDefault="00C17B13" w:rsidP="00F87FD0">
      <w:pPr>
        <w:widowControl/>
        <w:ind w:leftChars="300" w:left="720"/>
        <w:jc w:val="both"/>
        <w:rPr>
          <w:sz w:val="20"/>
          <w:szCs w:val="20"/>
          <w:bdr w:val="single" w:sz="4" w:space="0" w:color="auto"/>
        </w:rPr>
      </w:pPr>
      <w:r w:rsidRPr="00C17B13">
        <w:rPr>
          <w:rFonts w:ascii="Times New Roman" w:hAnsi="Times New Roman" w:hint="eastAsia"/>
          <w:b/>
          <w:color w:val="FF0000"/>
          <w:sz w:val="20"/>
          <w:szCs w:val="20"/>
          <w:highlight w:val="yellow"/>
          <w:bdr w:val="single" w:sz="4" w:space="0" w:color="auto"/>
        </w:rPr>
        <w:t>A</w:t>
      </w:r>
      <w:r w:rsidRPr="00C17B13">
        <w:rPr>
          <w:rFonts w:ascii="Times New Roman" w:hAnsi="Times New Roman" w:hint="eastAsia"/>
          <w:b/>
          <w:color w:val="FF0000"/>
          <w:sz w:val="20"/>
          <w:szCs w:val="20"/>
          <w:highlight w:val="yellow"/>
          <w:bdr w:val="single" w:sz="4" w:space="0" w:color="auto"/>
        </w:rPr>
        <w:t>、</w:t>
      </w:r>
      <w:r w:rsidR="002B682F" w:rsidRPr="00C17B13">
        <w:rPr>
          <w:b/>
          <w:color w:val="FF0000"/>
          <w:sz w:val="20"/>
          <w:szCs w:val="20"/>
          <w:highlight w:val="yellow"/>
          <w:bdr w:val="single" w:sz="4" w:space="0" w:color="auto"/>
        </w:rPr>
        <w:t>經部師</w:t>
      </w:r>
      <w:r w:rsidRPr="00C17B13">
        <w:rPr>
          <w:rFonts w:hint="eastAsia"/>
          <w:b/>
          <w:color w:val="FF0000"/>
          <w:sz w:val="20"/>
          <w:szCs w:val="20"/>
          <w:highlight w:val="yellow"/>
          <w:bdr w:val="single" w:sz="4" w:space="0" w:color="auto"/>
        </w:rPr>
        <w:t>之說</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72</w:t>
      </w:r>
      <w:r w:rsidR="002B682F" w:rsidRPr="00DA3BC7">
        <w:rPr>
          <w:sz w:val="20"/>
          <w:szCs w:val="20"/>
        </w:rPr>
        <w:t>）</w:t>
      </w:r>
    </w:p>
    <w:p w:rsidR="002B682F" w:rsidRPr="00DA3BC7" w:rsidRDefault="002B682F" w:rsidP="00F87FD0">
      <w:pPr>
        <w:widowControl/>
        <w:ind w:leftChars="300" w:left="720"/>
        <w:jc w:val="both"/>
      </w:pPr>
      <w:r w:rsidRPr="00DA3BC7">
        <w:t>這一方法，經部師即大加應用。</w:t>
      </w:r>
    </w:p>
    <w:p w:rsidR="002B682F" w:rsidRPr="00DA3BC7" w:rsidRDefault="002B682F" w:rsidP="00F87FD0">
      <w:pPr>
        <w:widowControl/>
        <w:ind w:leftChars="300" w:left="720"/>
        <w:jc w:val="both"/>
        <w:rPr>
          <w:dstrike/>
        </w:rPr>
      </w:pPr>
      <w:r w:rsidRPr="00DA3BC7">
        <w:t>經部師說十二處</w:t>
      </w:r>
      <w:r w:rsidRPr="00DA3BC7">
        <w:rPr>
          <w:rFonts w:ascii="新細明體" w:hAnsi="新細明體"/>
        </w:rPr>
        <w:t>──</w:t>
      </w:r>
      <w:r w:rsidRPr="00DA3BC7">
        <w:t>根境非實，</w:t>
      </w:r>
      <w:r w:rsidR="00C17B13" w:rsidRPr="00C17B13">
        <w:rPr>
          <w:rStyle w:val="a6"/>
          <w:rFonts w:ascii="Times New Roman" w:hAnsi="Times New Roman"/>
          <w:highlight w:val="yellow"/>
        </w:rPr>
        <w:footnoteReference w:id="383"/>
      </w:r>
      <w:r w:rsidRPr="00DA3BC7">
        <w:t>即成立了所觀的境是非實有的。</w:t>
      </w:r>
    </w:p>
    <w:p w:rsidR="002B682F" w:rsidRPr="00DA3BC7" w:rsidRDefault="00C17B13" w:rsidP="00AE3920">
      <w:pPr>
        <w:widowControl/>
        <w:spacing w:beforeLines="30"/>
        <w:ind w:leftChars="300" w:left="720"/>
        <w:jc w:val="both"/>
        <w:rPr>
          <w:sz w:val="20"/>
          <w:szCs w:val="20"/>
          <w:bdr w:val="single" w:sz="4" w:space="0" w:color="auto"/>
        </w:rPr>
      </w:pPr>
      <w:r w:rsidRPr="00C17B13">
        <w:rPr>
          <w:rFonts w:ascii="Times New Roman" w:hAnsi="Times New Roman" w:hint="eastAsia"/>
          <w:b/>
          <w:color w:val="FF0000"/>
          <w:sz w:val="20"/>
          <w:szCs w:val="20"/>
          <w:highlight w:val="yellow"/>
          <w:bdr w:val="single" w:sz="4" w:space="0" w:color="auto"/>
        </w:rPr>
        <w:t>B</w:t>
      </w:r>
      <w:r w:rsidR="002B682F" w:rsidRPr="00C17B13">
        <w:rPr>
          <w:rFonts w:hint="eastAsia"/>
          <w:b/>
          <w:color w:val="FF0000"/>
          <w:sz w:val="20"/>
          <w:szCs w:val="20"/>
          <w:highlight w:val="yellow"/>
          <w:bdr w:val="single" w:sz="4" w:space="0" w:color="auto"/>
        </w:rPr>
        <w:t>、</w:t>
      </w:r>
      <w:r w:rsidR="002B682F" w:rsidRPr="00C17B13">
        <w:rPr>
          <w:b/>
          <w:color w:val="FF0000"/>
          <w:sz w:val="20"/>
          <w:szCs w:val="20"/>
          <w:highlight w:val="yellow"/>
          <w:bdr w:val="single" w:sz="4" w:space="0" w:color="auto"/>
        </w:rPr>
        <w:t>唯識</w:t>
      </w:r>
      <w:r w:rsidRPr="00C17B13">
        <w:rPr>
          <w:rFonts w:hint="eastAsia"/>
          <w:b/>
          <w:color w:val="FF0000"/>
          <w:sz w:val="20"/>
          <w:szCs w:val="20"/>
          <w:highlight w:val="yellow"/>
          <w:bdr w:val="single" w:sz="4" w:space="0" w:color="auto"/>
        </w:rPr>
        <w:t>宗之說</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72</w:t>
      </w:r>
      <w:r w:rsidR="002B682F" w:rsidRPr="00DA3BC7">
        <w:rPr>
          <w:sz w:val="20"/>
          <w:szCs w:val="20"/>
        </w:rPr>
        <w:t>）</w:t>
      </w:r>
    </w:p>
    <w:p w:rsidR="002B682F" w:rsidRPr="00DA3BC7" w:rsidRDefault="002B682F" w:rsidP="00F87FD0">
      <w:pPr>
        <w:widowControl/>
        <w:ind w:leftChars="300" w:left="720"/>
        <w:jc w:val="both"/>
      </w:pPr>
      <w:r w:rsidRPr="00DA3BC7">
        <w:t>後來大乘的唯識學者，極端的使用此觀空，如說：「</w:t>
      </w:r>
      <w:r w:rsidRPr="00DA3BC7">
        <w:rPr>
          <w:rFonts w:eastAsia="標楷體"/>
        </w:rPr>
        <w:t>鬼、傍生、人、天，各隨其所應，等事心異故，許義非真實</w:t>
      </w:r>
      <w:r w:rsidRPr="00DA3BC7">
        <w:t>。」</w:t>
      </w:r>
      <w:r w:rsidRPr="00DA3BC7">
        <w:rPr>
          <w:rStyle w:val="a6"/>
          <w:rFonts w:ascii="Times New Roman" w:hAnsi="Times New Roman"/>
        </w:rPr>
        <w:footnoteReference w:id="384"/>
      </w:r>
    </w:p>
    <w:p w:rsidR="002B682F" w:rsidRPr="00DA3BC7" w:rsidRDefault="002B682F" w:rsidP="00AE3920">
      <w:pPr>
        <w:widowControl/>
        <w:spacing w:beforeLines="20"/>
        <w:ind w:leftChars="300" w:left="720"/>
        <w:jc w:val="both"/>
      </w:pPr>
      <w:r w:rsidRPr="00DA3BC7">
        <w:t>如魚見水為舍宅，天見為琉璃，鬼見為膿血，人見為清水，這可見水或舍宅等境界，是不實的，是隨各自業報的認識不同而轉變的。</w:t>
      </w:r>
    </w:p>
    <w:p w:rsidR="002B682F" w:rsidRPr="00DA3BC7" w:rsidRDefault="002B682F" w:rsidP="00AE3920">
      <w:pPr>
        <w:widowControl/>
        <w:spacing w:beforeLines="20"/>
        <w:ind w:leftChars="300" w:left="720"/>
        <w:jc w:val="both"/>
      </w:pPr>
      <w:r w:rsidRPr="00DA3BC7">
        <w:t>《阿毘達磨大乘經》</w:t>
      </w:r>
      <w:r w:rsidRPr="00DA3BC7">
        <w:rPr>
          <w:rFonts w:hint="eastAsia"/>
        </w:rPr>
        <w:t>、</w:t>
      </w:r>
      <w:r w:rsidRPr="00DA3BC7">
        <w:t>瑜伽師，都是依此法以明</w:t>
      </w:r>
      <w:r w:rsidRPr="00DA3BC7">
        <w:rPr>
          <w:b/>
        </w:rPr>
        <w:t>外境的非有性</w:t>
      </w:r>
      <w:r w:rsidRPr="00DA3BC7">
        <w:t>，成立無分別智體證離言自性的。這參考《攝大乘論》</w:t>
      </w:r>
      <w:r w:rsidRPr="00DA3BC7">
        <w:rPr>
          <w:rStyle w:val="a6"/>
          <w:rFonts w:ascii="Times New Roman" w:hAnsi="Times New Roman"/>
        </w:rPr>
        <w:footnoteReference w:id="385"/>
      </w:r>
      <w:r w:rsidRPr="00DA3BC7">
        <w:t>等，即可完全明白。</w:t>
      </w:r>
    </w:p>
    <w:p w:rsidR="00BD2B54" w:rsidRDefault="00BD2B54" w:rsidP="00AE3920">
      <w:pPr>
        <w:widowControl/>
        <w:spacing w:beforeLines="30"/>
        <w:ind w:leftChars="200" w:left="480"/>
        <w:jc w:val="both"/>
        <w:rPr>
          <w:b/>
          <w:sz w:val="20"/>
          <w:szCs w:val="20"/>
          <w:bdr w:val="single" w:sz="4" w:space="0" w:color="auto"/>
        </w:rPr>
      </w:pPr>
      <w:r w:rsidRPr="00BD2B54">
        <w:rPr>
          <w:rFonts w:ascii="Times New Roman" w:hAnsi="Times New Roman" w:hint="eastAsia"/>
          <w:b/>
          <w:color w:val="FF0000"/>
          <w:sz w:val="20"/>
          <w:szCs w:val="20"/>
          <w:highlight w:val="yellow"/>
          <w:bdr w:val="single" w:sz="4" w:space="0" w:color="auto"/>
        </w:rPr>
        <w:lastRenderedPageBreak/>
        <w:t>2</w:t>
      </w:r>
      <w:r w:rsidRPr="00BD2B54">
        <w:rPr>
          <w:rFonts w:hint="eastAsia"/>
          <w:b/>
          <w:color w:val="FF0000"/>
          <w:sz w:val="20"/>
          <w:szCs w:val="20"/>
          <w:highlight w:val="yellow"/>
          <w:bdr w:val="single" w:sz="4" w:space="0" w:color="auto"/>
        </w:rPr>
        <w:t>、印順法師的判別</w:t>
      </w:r>
      <w:r w:rsidRPr="00DA3BC7">
        <w:rPr>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72</w:t>
      </w:r>
      <w:r w:rsidRPr="00DA3BC7">
        <w:rPr>
          <w:sz w:val="20"/>
          <w:szCs w:val="20"/>
        </w:rPr>
        <w:t>-</w:t>
      </w:r>
      <w:r w:rsidRPr="00DA3BC7">
        <w:rPr>
          <w:rFonts w:ascii="Times New Roman" w:hAnsi="Times New Roman"/>
          <w:sz w:val="20"/>
          <w:szCs w:val="20"/>
        </w:rPr>
        <w:t>73</w:t>
      </w:r>
      <w:r w:rsidRPr="00DA3BC7">
        <w:rPr>
          <w:sz w:val="20"/>
          <w:szCs w:val="20"/>
        </w:rPr>
        <w:t>）</w:t>
      </w:r>
    </w:p>
    <w:p w:rsidR="002B682F" w:rsidRPr="00DA3BC7" w:rsidRDefault="002B682F" w:rsidP="00F87FD0">
      <w:pPr>
        <w:widowControl/>
        <w:ind w:leftChars="250" w:left="600"/>
        <w:jc w:val="both"/>
        <w:rPr>
          <w:rFonts w:ascii="新細明體" w:hAnsi="新細明體"/>
          <w:b/>
          <w:sz w:val="20"/>
          <w:szCs w:val="20"/>
          <w:bdr w:val="single" w:sz="4" w:space="0" w:color="auto"/>
        </w:rPr>
      </w:pPr>
      <w:r w:rsidRPr="00BD2B54">
        <w:rPr>
          <w:rFonts w:hint="eastAsia"/>
          <w:b/>
          <w:color w:val="FF0000"/>
          <w:sz w:val="20"/>
          <w:szCs w:val="20"/>
          <w:highlight w:val="yellow"/>
          <w:bdr w:val="single" w:sz="4" w:space="0" w:color="auto"/>
        </w:rPr>
        <w:t>（</w:t>
      </w:r>
      <w:r w:rsidR="00BD2B54" w:rsidRPr="00BD2B54">
        <w:rPr>
          <w:rFonts w:ascii="Times New Roman" w:hAnsi="Times New Roman" w:hint="eastAsia"/>
          <w:b/>
          <w:color w:val="FF0000"/>
          <w:sz w:val="20"/>
          <w:szCs w:val="20"/>
          <w:highlight w:val="yellow"/>
          <w:bdr w:val="single" w:sz="4" w:space="0" w:color="auto"/>
        </w:rPr>
        <w:t>1</w:t>
      </w:r>
      <w:r w:rsidRPr="00BD2B54">
        <w:rPr>
          <w:rFonts w:hint="eastAsia"/>
          <w:b/>
          <w:color w:val="FF0000"/>
          <w:sz w:val="20"/>
          <w:szCs w:val="20"/>
          <w:highlight w:val="yellow"/>
          <w:bdr w:val="single" w:sz="4" w:space="0" w:color="auto"/>
        </w:rPr>
        <w:t>）</w:t>
      </w:r>
      <w:r w:rsidR="00BD2B54" w:rsidRPr="00BD2B54">
        <w:rPr>
          <w:rFonts w:hint="eastAsia"/>
          <w:b/>
          <w:color w:val="FF0000"/>
          <w:sz w:val="20"/>
          <w:szCs w:val="20"/>
          <w:highlight w:val="yellow"/>
          <w:bdr w:val="single" w:sz="4" w:space="0" w:color="auto"/>
        </w:rPr>
        <w:t>辨異</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72</w:t>
      </w:r>
      <w:r w:rsidRPr="00DA3BC7">
        <w:rPr>
          <w:sz w:val="20"/>
          <w:szCs w:val="20"/>
        </w:rPr>
        <w:t>）</w:t>
      </w:r>
    </w:p>
    <w:p w:rsidR="002B682F" w:rsidRPr="00DA3BC7" w:rsidRDefault="002B682F" w:rsidP="00F87FD0">
      <w:pPr>
        <w:widowControl/>
        <w:ind w:leftChars="250" w:left="600"/>
        <w:jc w:val="both"/>
      </w:pPr>
      <w:r w:rsidRPr="00DA3BC7">
        <w:t>觀空與分破空不同：</w:t>
      </w:r>
    </w:p>
    <w:p w:rsidR="002B682F" w:rsidRPr="00DA3BC7" w:rsidRDefault="002B682F" w:rsidP="00F87FD0">
      <w:pPr>
        <w:widowControl/>
        <w:ind w:leftChars="250" w:left="600"/>
        <w:jc w:val="both"/>
      </w:pPr>
      <w:r w:rsidRPr="00DA3BC7">
        <w:rPr>
          <w:b/>
        </w:rPr>
        <w:t>分破空</w:t>
      </w:r>
      <w:r w:rsidRPr="00DA3BC7">
        <w:t>，因</w:t>
      </w:r>
      <w:r w:rsidRPr="00DA3BC7">
        <w:rPr>
          <w:b/>
        </w:rPr>
        <w:t>分析假實而成立假名者為空</w:t>
      </w:r>
      <w:r w:rsidRPr="00DA3BC7">
        <w:t>的；</w:t>
      </w:r>
    </w:p>
    <w:p w:rsidR="002B682F" w:rsidRPr="00DA3BC7" w:rsidRDefault="002B682F" w:rsidP="00F87FD0">
      <w:pPr>
        <w:widowControl/>
        <w:ind w:leftChars="250" w:left="600"/>
        <w:jc w:val="both"/>
      </w:pPr>
      <w:r w:rsidRPr="00DA3BC7">
        <w:rPr>
          <w:b/>
        </w:rPr>
        <w:t>觀空</w:t>
      </w:r>
      <w:r w:rsidRPr="00DA3BC7">
        <w:t>，則在認識論的觀點，說明</w:t>
      </w:r>
      <w:r w:rsidRPr="00DA3BC7">
        <w:rPr>
          <w:b/>
        </w:rPr>
        <w:t>所觀境界的無所有</w:t>
      </w:r>
      <w:r w:rsidRPr="00DA3BC7">
        <w:t>。</w:t>
      </w:r>
    </w:p>
    <w:p w:rsidR="002B682F" w:rsidRPr="00DA3BC7" w:rsidRDefault="00BD2B54" w:rsidP="00AE3920">
      <w:pPr>
        <w:widowControl/>
        <w:spacing w:beforeLines="30"/>
        <w:ind w:leftChars="250" w:left="600"/>
        <w:jc w:val="both"/>
        <w:rPr>
          <w:b/>
          <w:sz w:val="20"/>
          <w:szCs w:val="20"/>
          <w:bdr w:val="single" w:sz="4" w:space="0" w:color="auto"/>
        </w:rPr>
      </w:pPr>
      <w:r w:rsidRPr="00BD2B54">
        <w:rPr>
          <w:rFonts w:hint="eastAsia"/>
          <w:b/>
          <w:color w:val="FF0000"/>
          <w:sz w:val="20"/>
          <w:szCs w:val="20"/>
          <w:highlight w:val="yellow"/>
          <w:bdr w:val="single" w:sz="4" w:space="0" w:color="auto"/>
        </w:rPr>
        <w:t>（</w:t>
      </w:r>
      <w:r w:rsidRPr="00BD2B54">
        <w:rPr>
          <w:rFonts w:ascii="Times New Roman" w:hAnsi="Times New Roman" w:hint="eastAsia"/>
          <w:b/>
          <w:color w:val="FF0000"/>
          <w:sz w:val="20"/>
          <w:szCs w:val="20"/>
          <w:highlight w:val="yellow"/>
          <w:bdr w:val="single" w:sz="4" w:space="0" w:color="auto"/>
        </w:rPr>
        <w:t>2</w:t>
      </w:r>
      <w:r w:rsidRPr="00BD2B54">
        <w:rPr>
          <w:rFonts w:hint="eastAsia"/>
          <w:b/>
          <w:color w:val="FF0000"/>
          <w:sz w:val="20"/>
          <w:szCs w:val="20"/>
          <w:highlight w:val="yellow"/>
          <w:bdr w:val="single" w:sz="4" w:space="0" w:color="auto"/>
        </w:rPr>
        <w:t>）明失</w:t>
      </w:r>
      <w:r w:rsidR="002B682F" w:rsidRPr="00DA3BC7">
        <w:rPr>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hAnsi="Times New Roman"/>
          <w:sz w:val="20"/>
          <w:szCs w:val="20"/>
        </w:rPr>
        <w:t>72</w:t>
      </w:r>
      <w:r w:rsidR="002B682F" w:rsidRPr="00DA3BC7">
        <w:rPr>
          <w:sz w:val="20"/>
          <w:szCs w:val="20"/>
        </w:rPr>
        <w:t>-</w:t>
      </w:r>
      <w:r w:rsidR="002B682F" w:rsidRPr="00DA3BC7">
        <w:rPr>
          <w:rFonts w:ascii="Times New Roman" w:hAnsi="Times New Roman"/>
          <w:sz w:val="20"/>
          <w:szCs w:val="20"/>
        </w:rPr>
        <w:t>73</w:t>
      </w:r>
      <w:r w:rsidR="002B682F" w:rsidRPr="00DA3BC7">
        <w:rPr>
          <w:sz w:val="20"/>
          <w:szCs w:val="20"/>
        </w:rPr>
        <w:t>）</w:t>
      </w:r>
    </w:p>
    <w:p w:rsidR="002B682F" w:rsidRPr="00DA3BC7" w:rsidRDefault="00BD2B54" w:rsidP="00F87FD0">
      <w:pPr>
        <w:widowControl/>
        <w:ind w:leftChars="300" w:left="720"/>
        <w:jc w:val="both"/>
      </w:pPr>
      <w:r w:rsidRPr="00BD2B54">
        <w:rPr>
          <w:rFonts w:ascii="Times New Roman" w:hAnsi="Times New Roman" w:hint="eastAsia"/>
          <w:b/>
          <w:color w:val="FF0000"/>
          <w:sz w:val="20"/>
          <w:szCs w:val="20"/>
          <w:highlight w:val="yellow"/>
          <w:bdr w:val="single" w:sz="4" w:space="0" w:color="auto"/>
        </w:rPr>
        <w:t>A</w:t>
      </w:r>
      <w:r w:rsidRPr="00BD2B54">
        <w:rPr>
          <w:rFonts w:ascii="Times New Roman" w:hAnsi="Times New Roman" w:hint="eastAsia"/>
          <w:b/>
          <w:color w:val="FF0000"/>
          <w:sz w:val="20"/>
          <w:szCs w:val="20"/>
          <w:highlight w:val="yellow"/>
          <w:bdr w:val="single" w:sz="4" w:space="0" w:color="auto"/>
        </w:rPr>
        <w:t>、直顯過非</w:t>
      </w:r>
      <w:r w:rsidR="002B682F" w:rsidRPr="00DA3BC7">
        <w:rPr>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hAnsi="Times New Roman"/>
          <w:sz w:val="20"/>
          <w:szCs w:val="20"/>
        </w:rPr>
        <w:t>72</w:t>
      </w:r>
      <w:r w:rsidR="002B682F" w:rsidRPr="00DA3BC7">
        <w:rPr>
          <w:sz w:val="20"/>
          <w:szCs w:val="20"/>
        </w:rPr>
        <w:t>-</w:t>
      </w:r>
      <w:r w:rsidR="002B682F" w:rsidRPr="00DA3BC7">
        <w:rPr>
          <w:rFonts w:ascii="Times New Roman" w:hAnsi="Times New Roman"/>
          <w:sz w:val="20"/>
          <w:szCs w:val="20"/>
        </w:rPr>
        <w:t>73</w:t>
      </w:r>
      <w:r w:rsidR="002B682F" w:rsidRPr="00DA3BC7">
        <w:rPr>
          <w:sz w:val="20"/>
          <w:szCs w:val="20"/>
        </w:rPr>
        <w:t>）</w:t>
      </w:r>
    </w:p>
    <w:p w:rsidR="002B682F" w:rsidRPr="00DA3BC7" w:rsidRDefault="002B682F" w:rsidP="00F87FD0">
      <w:pPr>
        <w:widowControl/>
        <w:ind w:leftChars="300" w:left="720"/>
        <w:jc w:val="both"/>
      </w:pPr>
      <w:r w:rsidRPr="00DA3BC7">
        <w:rPr>
          <w:b/>
        </w:rPr>
        <w:t>觀空</w:t>
      </w:r>
      <w:r w:rsidRPr="00DA3BC7">
        <w:t>，也同樣的</w:t>
      </w:r>
      <w:r w:rsidRPr="00DA3BC7">
        <w:rPr>
          <w:b/>
        </w:rPr>
        <w:t>不能達到一切法畢竟空</w:t>
      </w:r>
      <w:r w:rsidRPr="00DA3BC7">
        <w:t>，因為觀空即限定它要</w:t>
      </w:r>
      <w:r w:rsidRPr="00DA3BC7">
        <w:rPr>
          <w:b/>
        </w:rPr>
        <w:t>用能觀的心</w:t>
      </w:r>
      <w:r w:rsidRPr="00DA3BC7">
        <w:t>以</w:t>
      </w:r>
      <w:r w:rsidRPr="00DA3BC7">
        <w:rPr>
          <w:b/>
        </w:rPr>
        <w:t>觀外境不可得</w:t>
      </w:r>
      <w:r w:rsidRPr="00DA3BC7">
        <w:t>的，能觀心的本身，即不能再用同一的觀空來成其為空，所以應用觀空的結果，必然地要達到</w:t>
      </w:r>
      <w:r w:rsidRPr="00DA3BC7">
        <w:rPr>
          <w:b/>
        </w:rPr>
        <w:t>有心無境</w:t>
      </w:r>
      <w:r w:rsidRPr="00DA3BC7">
        <w:t>的思想。</w:t>
      </w:r>
    </w:p>
    <w:p w:rsidR="002B682F" w:rsidRPr="00DA3BC7" w:rsidRDefault="002B682F" w:rsidP="00AE3920">
      <w:pPr>
        <w:widowControl/>
        <w:spacing w:beforeLines="20"/>
        <w:ind w:leftChars="300" w:left="720"/>
        <w:jc w:val="both"/>
      </w:pPr>
      <w:r w:rsidRPr="00DA3BC7">
        <w:rPr>
          <w:b/>
        </w:rPr>
        <w:t>境空心有</w:t>
      </w:r>
      <w:r w:rsidRPr="00DA3BC7">
        <w:t>，固也可以為了達空義的方便，然在某種意義上講，不但所空的不能徹底，而將不當空的也空掉了。</w:t>
      </w:r>
    </w:p>
    <w:p w:rsidR="00BD2B54" w:rsidRDefault="00BD2B54" w:rsidP="00AE3920">
      <w:pPr>
        <w:widowControl/>
        <w:spacing w:beforeLines="30"/>
        <w:ind w:leftChars="300" w:left="720"/>
        <w:jc w:val="both"/>
        <w:rPr>
          <w:rFonts w:ascii="Times New Roman" w:hAnsi="Times New Roman"/>
          <w:b/>
          <w:color w:val="FF0000"/>
          <w:sz w:val="20"/>
          <w:szCs w:val="20"/>
          <w:bdr w:val="single" w:sz="4" w:space="0" w:color="auto"/>
        </w:rPr>
      </w:pPr>
      <w:r w:rsidRPr="00BD2B54">
        <w:rPr>
          <w:rFonts w:ascii="Times New Roman" w:hAnsi="Times New Roman" w:hint="eastAsia"/>
          <w:b/>
          <w:color w:val="FF0000"/>
          <w:sz w:val="20"/>
          <w:szCs w:val="20"/>
          <w:highlight w:val="yellow"/>
          <w:bdr w:val="single" w:sz="4" w:space="0" w:color="auto"/>
        </w:rPr>
        <w:t>B</w:t>
      </w:r>
      <w:r w:rsidRPr="00BD2B54">
        <w:rPr>
          <w:rFonts w:ascii="Times New Roman" w:hAnsi="Times New Roman" w:hint="eastAsia"/>
          <w:b/>
          <w:color w:val="FF0000"/>
          <w:sz w:val="20"/>
          <w:szCs w:val="20"/>
          <w:highlight w:val="yellow"/>
          <w:bdr w:val="single" w:sz="4" w:space="0" w:color="auto"/>
        </w:rPr>
        <w:t>、相較過非</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73</w:t>
      </w:r>
      <w:r w:rsidRPr="00DA3BC7">
        <w:rPr>
          <w:sz w:val="20"/>
          <w:szCs w:val="20"/>
        </w:rPr>
        <w:t>）</w:t>
      </w:r>
    </w:p>
    <w:p w:rsidR="002B682F" w:rsidRPr="00DA3BC7" w:rsidRDefault="00BD2B54" w:rsidP="00F87FD0">
      <w:pPr>
        <w:widowControl/>
        <w:ind w:leftChars="350" w:left="840"/>
        <w:jc w:val="both"/>
        <w:rPr>
          <w:sz w:val="20"/>
          <w:szCs w:val="20"/>
          <w:bdr w:val="single" w:sz="4" w:space="0" w:color="auto"/>
        </w:rPr>
      </w:pPr>
      <w:r w:rsidRPr="00BD2B54">
        <w:rPr>
          <w:rFonts w:ascii="Times New Roman" w:hAnsi="Times New Roman" w:hint="eastAsia"/>
          <w:b/>
          <w:color w:val="FF0000"/>
          <w:sz w:val="20"/>
          <w:szCs w:val="20"/>
          <w:highlight w:val="yellow"/>
          <w:bdr w:val="single" w:sz="4" w:space="0" w:color="auto"/>
        </w:rPr>
        <w:t>（</w:t>
      </w:r>
      <w:r w:rsidRPr="00BD2B54">
        <w:rPr>
          <w:rFonts w:ascii="Times New Roman" w:hAnsi="Times New Roman" w:hint="eastAsia"/>
          <w:b/>
          <w:color w:val="FF0000"/>
          <w:sz w:val="20"/>
          <w:szCs w:val="20"/>
          <w:highlight w:val="yellow"/>
          <w:bdr w:val="single" w:sz="4" w:space="0" w:color="auto"/>
        </w:rPr>
        <w:t>A</w:t>
      </w:r>
      <w:r w:rsidRPr="00BD2B54">
        <w:rPr>
          <w:rFonts w:ascii="Times New Roman" w:hAnsi="Times New Roman" w:hint="eastAsia"/>
          <w:b/>
          <w:color w:val="FF0000"/>
          <w:sz w:val="20"/>
          <w:szCs w:val="20"/>
          <w:highlight w:val="yellow"/>
          <w:bdr w:val="single" w:sz="4" w:space="0" w:color="auto"/>
        </w:rPr>
        <w:t>）</w:t>
      </w:r>
      <w:r w:rsidR="002B682F" w:rsidRPr="00BD2B54">
        <w:rPr>
          <w:rFonts w:ascii="新細明體" w:hAnsi="新細明體" w:hint="eastAsia"/>
          <w:b/>
          <w:color w:val="FF0000"/>
          <w:sz w:val="20"/>
          <w:szCs w:val="20"/>
          <w:highlight w:val="yellow"/>
          <w:bdr w:val="single" w:sz="4" w:space="0" w:color="auto"/>
        </w:rPr>
        <w:t>分破</w:t>
      </w:r>
      <w:r w:rsidR="002B682F" w:rsidRPr="00BD2B54">
        <w:rPr>
          <w:rFonts w:ascii="新細明體" w:hAnsi="新細明體"/>
          <w:b/>
          <w:color w:val="FF0000"/>
          <w:sz w:val="20"/>
          <w:szCs w:val="20"/>
          <w:highlight w:val="yellow"/>
          <w:bdr w:val="single" w:sz="4" w:space="0" w:color="auto"/>
        </w:rPr>
        <w:t>空</w:t>
      </w:r>
      <w:r w:rsidRPr="00BD2B54">
        <w:rPr>
          <w:rFonts w:ascii="新細明體" w:hAnsi="新細明體" w:hint="eastAsia"/>
          <w:b/>
          <w:color w:val="FF0000"/>
          <w:sz w:val="20"/>
          <w:szCs w:val="20"/>
          <w:highlight w:val="yellow"/>
          <w:bdr w:val="single" w:sz="4" w:space="0" w:color="auto"/>
        </w:rPr>
        <w:t>者之失</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73</w:t>
      </w:r>
      <w:r w:rsidR="002B682F" w:rsidRPr="00DA3BC7">
        <w:rPr>
          <w:sz w:val="20"/>
          <w:szCs w:val="20"/>
        </w:rPr>
        <w:t>）</w:t>
      </w:r>
    </w:p>
    <w:p w:rsidR="002B682F" w:rsidRPr="00DA3BC7" w:rsidRDefault="002B682F" w:rsidP="00F87FD0">
      <w:pPr>
        <w:widowControl/>
        <w:ind w:leftChars="350" w:left="840"/>
        <w:jc w:val="both"/>
      </w:pPr>
      <w:r w:rsidRPr="00DA3BC7">
        <w:t>即如</w:t>
      </w:r>
      <w:r w:rsidRPr="00DA3BC7">
        <w:rPr>
          <w:b/>
        </w:rPr>
        <w:t>分破空</w:t>
      </w:r>
      <w:r w:rsidRPr="00DA3BC7">
        <w:t>的學者，承認</w:t>
      </w:r>
      <w:r w:rsidRPr="00DA3BC7">
        <w:rPr>
          <w:b/>
        </w:rPr>
        <w:t>有實自性的極微和心心所</w:t>
      </w:r>
      <w:r w:rsidRPr="00DA3BC7">
        <w:t>，而由極微等所合成的現象，或五蘊所和合成的我，以為都是</w:t>
      </w:r>
      <w:r w:rsidRPr="00DA3BC7">
        <w:rPr>
          <w:b/>
        </w:rPr>
        <w:t>假法</w:t>
      </w:r>
      <w:r w:rsidRPr="00DA3BC7">
        <w:t>。他</w:t>
      </w:r>
      <w:r w:rsidRPr="00DA3BC7">
        <w:rPr>
          <w:b/>
        </w:rPr>
        <w:t>忽略了假法的緣起性</w:t>
      </w:r>
      <w:r w:rsidRPr="00DA3BC7">
        <w:t>，即是說，他們不承認一切法是緣起的。</w:t>
      </w:r>
    </w:p>
    <w:p w:rsidR="002B682F" w:rsidRPr="00DA3BC7" w:rsidRDefault="002B682F" w:rsidP="00AE3920">
      <w:pPr>
        <w:widowControl/>
        <w:spacing w:beforeLines="20"/>
        <w:ind w:leftChars="350" w:left="840"/>
        <w:jc w:val="both"/>
      </w:pPr>
      <w:r w:rsidRPr="00DA3BC7">
        <w:t>因此，一方面不能空得徹底，成</w:t>
      </w:r>
      <w:r w:rsidRPr="00DA3BC7">
        <w:rPr>
          <w:b/>
        </w:rPr>
        <w:t>增益執</w:t>
      </w:r>
      <w:r w:rsidRPr="00DA3BC7">
        <w:t>；</w:t>
      </w:r>
    </w:p>
    <w:p w:rsidR="002B682F" w:rsidRPr="00DA3BC7" w:rsidRDefault="002B682F" w:rsidP="00F87FD0">
      <w:pPr>
        <w:widowControl/>
        <w:ind w:leftChars="350" w:left="840"/>
        <w:jc w:val="both"/>
      </w:pPr>
      <w:r w:rsidRPr="00DA3BC7">
        <w:t>另方面，將不該破壞的緣起法也空掉了，即成</w:t>
      </w:r>
      <w:r w:rsidRPr="00DA3BC7">
        <w:rPr>
          <w:b/>
        </w:rPr>
        <w:t>損減執</w:t>
      </w:r>
      <w:r w:rsidRPr="00DA3BC7">
        <w:t>。</w:t>
      </w:r>
    </w:p>
    <w:p w:rsidR="002B682F" w:rsidRPr="00BD2B54" w:rsidRDefault="00BD2B54" w:rsidP="00AE3920">
      <w:pPr>
        <w:widowControl/>
        <w:spacing w:beforeLines="30"/>
        <w:ind w:leftChars="350" w:left="840"/>
        <w:jc w:val="both"/>
        <w:rPr>
          <w:rFonts w:ascii="新細明體" w:hAnsi="新細明體"/>
          <w:b/>
          <w:sz w:val="20"/>
          <w:szCs w:val="20"/>
          <w:bdr w:val="single" w:sz="4" w:space="0" w:color="auto"/>
        </w:rPr>
      </w:pPr>
      <w:r w:rsidRPr="00BD2B54">
        <w:rPr>
          <w:rFonts w:hint="eastAsia"/>
          <w:b/>
          <w:color w:val="FF0000"/>
          <w:sz w:val="20"/>
          <w:szCs w:val="20"/>
          <w:highlight w:val="yellow"/>
          <w:bdr w:val="single" w:sz="4" w:space="0" w:color="auto"/>
        </w:rPr>
        <w:t>（</w:t>
      </w:r>
      <w:r w:rsidRPr="00BD2B54">
        <w:rPr>
          <w:rFonts w:ascii="Times New Roman" w:hAnsi="Times New Roman" w:hint="eastAsia"/>
          <w:b/>
          <w:color w:val="FF0000"/>
          <w:sz w:val="20"/>
          <w:szCs w:val="20"/>
          <w:highlight w:val="yellow"/>
          <w:bdr w:val="single" w:sz="4" w:space="0" w:color="auto"/>
        </w:rPr>
        <w:t>B</w:t>
      </w:r>
      <w:r w:rsidRPr="00BD2B54">
        <w:rPr>
          <w:rFonts w:hint="eastAsia"/>
          <w:b/>
          <w:color w:val="FF0000"/>
          <w:sz w:val="20"/>
          <w:szCs w:val="20"/>
          <w:highlight w:val="yellow"/>
          <w:bdr w:val="single" w:sz="4" w:space="0" w:color="auto"/>
        </w:rPr>
        <w:t>）</w:t>
      </w:r>
      <w:r w:rsidRPr="00BD2B54">
        <w:rPr>
          <w:rFonts w:ascii="Times New Roman" w:hAnsi="Times New Roman" w:hint="eastAsia"/>
          <w:b/>
          <w:color w:val="FF0000"/>
          <w:sz w:val="20"/>
          <w:szCs w:val="20"/>
          <w:highlight w:val="yellow"/>
          <w:bdr w:val="single" w:sz="4" w:space="0" w:color="auto"/>
        </w:rPr>
        <w:t>觀空者之失</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73</w:t>
      </w:r>
      <w:r w:rsidR="002B682F" w:rsidRPr="00DA3BC7">
        <w:rPr>
          <w:sz w:val="20"/>
          <w:szCs w:val="20"/>
        </w:rPr>
        <w:t>）</w:t>
      </w:r>
    </w:p>
    <w:p w:rsidR="002B682F" w:rsidRPr="00DA3BC7" w:rsidRDefault="002B682F" w:rsidP="00F87FD0">
      <w:pPr>
        <w:widowControl/>
        <w:ind w:leftChars="350" w:left="840"/>
        <w:jc w:val="both"/>
      </w:pPr>
      <w:r w:rsidRPr="00DA3BC7">
        <w:t>唯識學者把緣起法統統的放在心心所法</w:t>
      </w:r>
      <w:r w:rsidRPr="00DA3BC7">
        <w:rPr>
          <w:rFonts w:ascii="新細明體" w:hAnsi="新細明體"/>
        </w:rPr>
        <w:t>──</w:t>
      </w:r>
      <w:r w:rsidRPr="00DA3BC7">
        <w:t>依他起性上，不能到達心無自性論；對於六塵</w:t>
      </w:r>
      <w:r w:rsidRPr="00DA3BC7">
        <w:rPr>
          <w:rFonts w:ascii="新細明體" w:hAnsi="新細明體"/>
        </w:rPr>
        <w:t>──</w:t>
      </w:r>
      <w:r w:rsidRPr="00DA3BC7">
        <w:t>境的緣起性忽略了，所以不能盡契中道。</w:t>
      </w:r>
    </w:p>
    <w:p w:rsidR="002B682F" w:rsidRPr="00DA3BC7" w:rsidRDefault="002B682F" w:rsidP="00AE3920">
      <w:pPr>
        <w:widowControl/>
        <w:spacing w:beforeLines="30" w:afterLines="10"/>
        <w:ind w:leftChars="100" w:left="240"/>
        <w:jc w:val="both"/>
        <w:rPr>
          <w:sz w:val="20"/>
          <w:szCs w:val="20"/>
          <w:bdr w:val="single" w:sz="4" w:space="0" w:color="auto"/>
        </w:rPr>
      </w:pPr>
      <w:r w:rsidRPr="00DA3BC7">
        <w:rPr>
          <w:rFonts w:hint="eastAsia"/>
          <w:b/>
          <w:sz w:val="20"/>
          <w:szCs w:val="20"/>
          <w:bdr w:val="single" w:sz="4" w:space="0" w:color="auto"/>
        </w:rPr>
        <w:t>三、</w:t>
      </w:r>
      <w:r w:rsidRPr="00DA3BC7">
        <w:rPr>
          <w:b/>
          <w:sz w:val="20"/>
          <w:szCs w:val="20"/>
          <w:bdr w:val="single" w:sz="4" w:space="0" w:color="auto"/>
        </w:rPr>
        <w:t>對</w:t>
      </w:r>
      <w:r w:rsidRPr="00DA3BC7">
        <w:rPr>
          <w:rFonts w:hint="eastAsia"/>
          <w:b/>
          <w:sz w:val="20"/>
          <w:szCs w:val="20"/>
          <w:bdr w:val="single" w:sz="4" w:space="0" w:color="auto"/>
        </w:rPr>
        <w:t>「十八</w:t>
      </w:r>
      <w:r w:rsidRPr="00DA3BC7">
        <w:rPr>
          <w:b/>
          <w:sz w:val="20"/>
          <w:szCs w:val="20"/>
          <w:bdr w:val="single" w:sz="4" w:space="0" w:color="auto"/>
        </w:rPr>
        <w:t>空</w:t>
      </w:r>
      <w:r w:rsidRPr="00DA3BC7">
        <w:rPr>
          <w:rFonts w:hint="eastAsia"/>
          <w:b/>
          <w:sz w:val="20"/>
          <w:szCs w:val="20"/>
          <w:bdr w:val="single" w:sz="4" w:space="0" w:color="auto"/>
        </w:rPr>
        <w:t>」之評論</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73</w:t>
      </w:r>
      <w:r w:rsidRPr="00DA3BC7">
        <w:rPr>
          <w:sz w:val="20"/>
          <w:szCs w:val="20"/>
        </w:rPr>
        <w:t>）</w:t>
      </w:r>
    </w:p>
    <w:p w:rsidR="002B682F" w:rsidRPr="00DA3BC7" w:rsidRDefault="002B682F" w:rsidP="008E2BBC">
      <w:pPr>
        <w:widowControl/>
        <w:ind w:leftChars="100" w:left="240"/>
        <w:jc w:val="both"/>
      </w:pPr>
      <w:r w:rsidRPr="00DA3BC7">
        <w:t>龍樹菩薩所發揮的空義，是立足於</w:t>
      </w:r>
      <w:r w:rsidRPr="00DA3BC7">
        <w:rPr>
          <w:b/>
        </w:rPr>
        <w:t>自性空</w:t>
      </w:r>
      <w:r w:rsidRPr="00DA3BC7">
        <w:t>的，不是某一部分是空而某些不空，也不是境空而心不空。</w:t>
      </w:r>
    </w:p>
    <w:p w:rsidR="002B682F" w:rsidRPr="00DA3BC7" w:rsidRDefault="002B682F" w:rsidP="00AE3920">
      <w:pPr>
        <w:spacing w:beforeLines="30"/>
        <w:jc w:val="both"/>
        <w:rPr>
          <w:sz w:val="20"/>
          <w:szCs w:val="20"/>
        </w:rPr>
      </w:pPr>
      <w:r w:rsidRPr="00DA3BC7">
        <w:rPr>
          <w:rFonts w:hint="eastAsia"/>
          <w:b/>
          <w:sz w:val="20"/>
          <w:szCs w:val="20"/>
          <w:bdr w:val="single" w:sz="4" w:space="0" w:color="auto"/>
        </w:rPr>
        <w:t>貳</w:t>
      </w:r>
      <w:r w:rsidRPr="00DA3BC7">
        <w:rPr>
          <w:b/>
          <w:sz w:val="20"/>
          <w:szCs w:val="20"/>
          <w:bdr w:val="single" w:sz="4" w:space="0" w:color="auto"/>
        </w:rPr>
        <w:t>、三昧空、所緣空、自性空</w:t>
      </w:r>
      <w:r w:rsidRPr="00DA3BC7">
        <w:rPr>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73</w:t>
      </w:r>
      <w:r w:rsidRPr="00DA3BC7">
        <w:rPr>
          <w:sz w:val="20"/>
          <w:szCs w:val="20"/>
        </w:rPr>
        <w:t>-</w:t>
      </w:r>
      <w:r w:rsidRPr="00DA3BC7">
        <w:rPr>
          <w:rFonts w:ascii="Times New Roman" w:hAnsi="Times New Roman" w:hint="eastAsia"/>
          <w:sz w:val="20"/>
          <w:szCs w:val="20"/>
        </w:rPr>
        <w:t>75</w:t>
      </w:r>
      <w:r w:rsidRPr="00DA3BC7">
        <w:rPr>
          <w:sz w:val="20"/>
          <w:szCs w:val="20"/>
        </w:rPr>
        <w:t>）</w:t>
      </w:r>
    </w:p>
    <w:p w:rsidR="002B682F" w:rsidRPr="00DA3BC7" w:rsidRDefault="002B682F" w:rsidP="008E2BBC">
      <w:pPr>
        <w:widowControl/>
        <w:ind w:leftChars="50" w:left="120"/>
        <w:jc w:val="both"/>
        <w:rPr>
          <w:b/>
          <w:sz w:val="20"/>
          <w:szCs w:val="20"/>
          <w:bdr w:val="single" w:sz="4" w:space="0" w:color="auto"/>
        </w:rPr>
      </w:pPr>
      <w:r w:rsidRPr="00DA3BC7">
        <w:rPr>
          <w:rFonts w:hint="eastAsia"/>
          <w:b/>
          <w:sz w:val="20"/>
          <w:szCs w:val="20"/>
          <w:bdr w:val="single" w:sz="4" w:space="0" w:color="auto"/>
        </w:rPr>
        <w:t>（壹）略標三種空</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7</w:t>
      </w:r>
      <w:r w:rsidRPr="00DA3BC7">
        <w:rPr>
          <w:rFonts w:ascii="Times New Roman" w:hAnsi="Times New Roman" w:hint="eastAsia"/>
          <w:sz w:val="20"/>
          <w:szCs w:val="20"/>
        </w:rPr>
        <w:t>3</w:t>
      </w:r>
      <w:r w:rsidRPr="00DA3BC7">
        <w:rPr>
          <w:sz w:val="20"/>
          <w:szCs w:val="20"/>
        </w:rPr>
        <w:t>）</w:t>
      </w:r>
    </w:p>
    <w:p w:rsidR="002B682F" w:rsidRPr="00DA3BC7" w:rsidRDefault="002B682F" w:rsidP="008E2BBC">
      <w:pPr>
        <w:widowControl/>
        <w:ind w:leftChars="50" w:left="120"/>
        <w:jc w:val="both"/>
      </w:pPr>
      <w:r w:rsidRPr="007F6969">
        <w:rPr>
          <w:rFonts w:ascii="Times New Roman" w:hAnsi="Times New Roman"/>
        </w:rPr>
        <w:t>《</w:t>
      </w:r>
      <w:r w:rsidRPr="007F6969">
        <w:rPr>
          <w:rFonts w:ascii="Times New Roman" w:hAnsi="Times New Roman" w:hint="eastAsia"/>
        </w:rPr>
        <w:t>大</w:t>
      </w:r>
      <w:r w:rsidRPr="007F6969">
        <w:rPr>
          <w:rFonts w:ascii="Times New Roman" w:hAnsi="Times New Roman"/>
        </w:rPr>
        <w:t>智度論》（卷</w:t>
      </w:r>
      <w:r w:rsidR="007F6969" w:rsidRPr="007F6969">
        <w:rPr>
          <w:rFonts w:ascii="Times New Roman" w:hAnsi="Times New Roman" w:hint="eastAsia"/>
        </w:rPr>
        <w:t>74</w:t>
      </w:r>
      <w:r w:rsidRPr="007F6969">
        <w:rPr>
          <w:rFonts w:ascii="Times New Roman" w:hAnsi="Times New Roman"/>
        </w:rPr>
        <w:t>）</w:t>
      </w:r>
      <w:r w:rsidR="007F6969" w:rsidRPr="007F6969">
        <w:rPr>
          <w:rFonts w:ascii="Times New Roman" w:hAnsi="Times New Roman" w:hint="eastAsia"/>
          <w:color w:val="FF0000"/>
          <w:shd w:val="pct15" w:color="auto" w:fill="FFFFFF"/>
        </w:rPr>
        <w:t>（大正</w:t>
      </w:r>
      <w:r w:rsidR="007F6969" w:rsidRPr="007F6969">
        <w:rPr>
          <w:rFonts w:ascii="Times New Roman" w:hAnsi="Times New Roman" w:hint="eastAsia"/>
          <w:color w:val="FF0000"/>
          <w:shd w:val="pct15" w:color="auto" w:fill="FFFFFF"/>
        </w:rPr>
        <w:t>25</w:t>
      </w:r>
      <w:r w:rsidR="007F6969" w:rsidRPr="007F6969">
        <w:rPr>
          <w:rFonts w:ascii="Times New Roman" w:hAnsi="Times New Roman" w:hint="eastAsia"/>
          <w:color w:val="FF0000"/>
          <w:shd w:val="pct15" w:color="auto" w:fill="FFFFFF"/>
        </w:rPr>
        <w:t>，</w:t>
      </w:r>
      <w:r w:rsidR="007F6969" w:rsidRPr="007F6969">
        <w:rPr>
          <w:rFonts w:ascii="Times New Roman" w:hAnsi="Times New Roman"/>
          <w:color w:val="FF0000"/>
          <w:shd w:val="pct15" w:color="auto" w:fill="FFFFFF"/>
        </w:rPr>
        <w:t>581b20-c6</w:t>
      </w:r>
      <w:r w:rsidR="007F6969" w:rsidRPr="007F6969">
        <w:rPr>
          <w:rFonts w:hint="eastAsia"/>
          <w:color w:val="FF0000"/>
          <w:shd w:val="pct15" w:color="auto" w:fill="FFFFFF"/>
        </w:rPr>
        <w:t>）</w:t>
      </w:r>
      <w:r w:rsidRPr="00DA3BC7">
        <w:t>又說有三種空：一、三昧（心）空，二、所緣（境）空，三、自性空。</w:t>
      </w:r>
    </w:p>
    <w:p w:rsidR="002B682F" w:rsidRPr="00DA3BC7" w:rsidRDefault="002B682F" w:rsidP="00AE3920">
      <w:pPr>
        <w:widowControl/>
        <w:spacing w:beforeLines="30"/>
        <w:ind w:leftChars="50" w:left="120"/>
        <w:jc w:val="both"/>
        <w:rPr>
          <w:b/>
          <w:sz w:val="20"/>
          <w:szCs w:val="20"/>
          <w:bdr w:val="single" w:sz="4" w:space="0" w:color="auto"/>
        </w:rPr>
      </w:pPr>
      <w:r w:rsidRPr="00DA3BC7">
        <w:rPr>
          <w:rFonts w:hint="eastAsia"/>
          <w:b/>
          <w:sz w:val="20"/>
          <w:szCs w:val="20"/>
          <w:bdr w:val="single" w:sz="4" w:space="0" w:color="auto"/>
        </w:rPr>
        <w:lastRenderedPageBreak/>
        <w:t>（貳）別釋</w:t>
      </w:r>
      <w:r w:rsidRPr="00DA3BC7">
        <w:rPr>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73</w:t>
      </w:r>
      <w:r w:rsidRPr="00DA3BC7">
        <w:rPr>
          <w:sz w:val="20"/>
          <w:szCs w:val="20"/>
        </w:rPr>
        <w:t>-</w:t>
      </w:r>
      <w:r w:rsidRPr="00DA3BC7">
        <w:rPr>
          <w:rFonts w:ascii="Times New Roman" w:hAnsi="Times New Roman"/>
          <w:sz w:val="20"/>
          <w:szCs w:val="20"/>
        </w:rPr>
        <w:t>7</w:t>
      </w:r>
      <w:r w:rsidRPr="00DA3BC7">
        <w:rPr>
          <w:rFonts w:ascii="Times New Roman" w:hAnsi="Times New Roman" w:hint="eastAsia"/>
          <w:sz w:val="20"/>
          <w:szCs w:val="20"/>
        </w:rPr>
        <w:t>5</w:t>
      </w:r>
      <w:r w:rsidRPr="00DA3BC7">
        <w:rPr>
          <w:sz w:val="20"/>
          <w:szCs w:val="20"/>
        </w:rPr>
        <w:t>）</w:t>
      </w:r>
    </w:p>
    <w:p w:rsidR="002B682F" w:rsidRPr="00DA3BC7" w:rsidRDefault="002B682F" w:rsidP="00AE3920">
      <w:pPr>
        <w:widowControl/>
        <w:spacing w:afterLines="10"/>
        <w:ind w:leftChars="100" w:left="240"/>
        <w:jc w:val="both"/>
        <w:rPr>
          <w:sz w:val="20"/>
          <w:szCs w:val="20"/>
          <w:bdr w:val="single" w:sz="4" w:space="0" w:color="auto"/>
        </w:rPr>
      </w:pPr>
      <w:r w:rsidRPr="00DA3BC7">
        <w:rPr>
          <w:rFonts w:hint="eastAsia"/>
          <w:b/>
          <w:sz w:val="20"/>
          <w:szCs w:val="20"/>
          <w:bdr w:val="single" w:sz="4" w:space="0" w:color="auto"/>
        </w:rPr>
        <w:t>一、</w:t>
      </w:r>
      <w:r w:rsidRPr="00DA3BC7">
        <w:rPr>
          <w:b/>
          <w:sz w:val="20"/>
          <w:szCs w:val="20"/>
          <w:bdr w:val="single" w:sz="4" w:space="0" w:color="auto"/>
        </w:rPr>
        <w:t>三昧（心）空</w:t>
      </w:r>
      <w:r w:rsidRPr="00DA3BC7">
        <w:rPr>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73</w:t>
      </w:r>
      <w:r w:rsidRPr="00DA3BC7">
        <w:rPr>
          <w:sz w:val="20"/>
          <w:szCs w:val="20"/>
        </w:rPr>
        <w:t>-</w:t>
      </w:r>
      <w:r w:rsidRPr="00DA3BC7">
        <w:rPr>
          <w:rFonts w:ascii="Times New Roman" w:hAnsi="Times New Roman"/>
          <w:sz w:val="20"/>
          <w:szCs w:val="20"/>
        </w:rPr>
        <w:t>74</w:t>
      </w:r>
      <w:r w:rsidRPr="00DA3BC7">
        <w:rPr>
          <w:sz w:val="20"/>
          <w:szCs w:val="20"/>
        </w:rPr>
        <w:t>）</w:t>
      </w:r>
    </w:p>
    <w:p w:rsidR="002B682F" w:rsidRPr="00DA3BC7" w:rsidRDefault="002B682F" w:rsidP="008E2BBC">
      <w:pPr>
        <w:widowControl/>
        <w:ind w:leftChars="150" w:left="360"/>
        <w:jc w:val="both"/>
        <w:rPr>
          <w:sz w:val="20"/>
          <w:szCs w:val="20"/>
          <w:bdr w:val="single" w:sz="4" w:space="0" w:color="auto"/>
        </w:rPr>
      </w:pPr>
      <w:r w:rsidRPr="00DA3BC7">
        <w:rPr>
          <w:rFonts w:hint="eastAsia"/>
          <w:b/>
          <w:sz w:val="20"/>
          <w:szCs w:val="20"/>
          <w:bdr w:val="single" w:sz="4" w:space="0" w:color="auto"/>
        </w:rPr>
        <w:t>（一）</w:t>
      </w:r>
      <w:r w:rsidR="007F6969">
        <w:rPr>
          <w:rFonts w:hint="eastAsia"/>
          <w:b/>
          <w:color w:val="FF0000"/>
          <w:sz w:val="20"/>
          <w:szCs w:val="20"/>
          <w:highlight w:val="yellow"/>
          <w:bdr w:val="single" w:sz="4" w:space="0" w:color="auto"/>
        </w:rPr>
        <w:t>定義</w:t>
      </w:r>
      <w:r w:rsidRPr="00DA3BC7">
        <w:rPr>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73</w:t>
      </w:r>
      <w:r w:rsidRPr="00DA3BC7">
        <w:rPr>
          <w:sz w:val="20"/>
          <w:szCs w:val="20"/>
        </w:rPr>
        <w:t>-</w:t>
      </w:r>
      <w:r w:rsidRPr="00DA3BC7">
        <w:rPr>
          <w:rFonts w:ascii="Times New Roman" w:hAnsi="Times New Roman"/>
          <w:sz w:val="20"/>
          <w:szCs w:val="20"/>
        </w:rPr>
        <w:t>74</w:t>
      </w:r>
      <w:r w:rsidRPr="00DA3BC7">
        <w:rPr>
          <w:sz w:val="20"/>
          <w:szCs w:val="20"/>
        </w:rPr>
        <w:t>）</w:t>
      </w:r>
    </w:p>
    <w:p w:rsidR="002B682F" w:rsidRPr="00DA3BC7" w:rsidRDefault="002B682F" w:rsidP="008E2BBC">
      <w:pPr>
        <w:widowControl/>
        <w:ind w:leftChars="150" w:left="360"/>
        <w:jc w:val="both"/>
      </w:pPr>
      <w:r w:rsidRPr="00DA3BC7">
        <w:t>「</w:t>
      </w:r>
      <w:r w:rsidRPr="00DA3BC7">
        <w:rPr>
          <w:b/>
        </w:rPr>
        <w:t>三昧空</w:t>
      </w:r>
      <w:r w:rsidRPr="00DA3BC7">
        <w:t>」，與上面三空中的</w:t>
      </w:r>
      <w:r w:rsidRPr="00DA3BC7">
        <w:rPr>
          <w:rFonts w:hint="eastAsia"/>
        </w:rPr>
        <w:t>「</w:t>
      </w:r>
      <w:r w:rsidRPr="00DA3BC7">
        <w:t>觀空</w:t>
      </w:r>
      <w:r w:rsidRPr="00DA3BC7">
        <w:rPr>
          <w:rFonts w:hint="eastAsia"/>
        </w:rPr>
        <w:t>」</w:t>
      </w:r>
      <w:r w:rsidRPr="00DA3BC7">
        <w:t>不同。這是就修空觀</w:t>
      </w:r>
      <w:r w:rsidRPr="00DA3BC7">
        <w:rPr>
          <w:rFonts w:ascii="新細明體" w:hAnsi="新細明體"/>
        </w:rPr>
        <w:t>──</w:t>
      </w:r>
      <w:r w:rsidRPr="00DA3BC7">
        <w:t>三三昧的時候，</w:t>
      </w:r>
      <w:r w:rsidRPr="00DA3BC7">
        <w:rPr>
          <w:b/>
        </w:rPr>
        <w:t>在能觀的心上所現的空相說</w:t>
      </w:r>
      <w:r w:rsidRPr="00DA3BC7">
        <w:t>的。如</w:t>
      </w:r>
      <w:r w:rsidRPr="00DA3BC7">
        <w:rPr>
          <w:b/>
        </w:rPr>
        <w:t>十遍處觀</w:t>
      </w:r>
      <w:r w:rsidRPr="00DA3BC7">
        <w:t>，在觀青的時候，一切法皆青</w:t>
      </w:r>
      <w:r w:rsidRPr="00DA3BC7">
        <w:rPr>
          <w:rFonts w:hint="eastAsia"/>
        </w:rPr>
        <w:t>；</w:t>
      </w:r>
      <w:r w:rsidRPr="00DA3BC7">
        <w:t>觀黃時一切法皆黃，青</w:t>
      </w:r>
      <w:r w:rsidRPr="00DA3BC7">
        <w:rPr>
          <w:rFonts w:hint="eastAsia"/>
        </w:rPr>
        <w:t>、</w:t>
      </w:r>
      <w:r w:rsidRPr="00DA3BC7">
        <w:t>黃等都是觀心上的觀境。這樣，空也是因空觀的觀想而空的。</w:t>
      </w:r>
    </w:p>
    <w:p w:rsidR="002B682F" w:rsidRPr="00DA3BC7" w:rsidRDefault="002B682F" w:rsidP="00AE3920">
      <w:pPr>
        <w:widowControl/>
        <w:spacing w:beforeLines="30"/>
        <w:ind w:leftChars="150" w:left="360"/>
        <w:jc w:val="both"/>
        <w:rPr>
          <w:sz w:val="20"/>
          <w:szCs w:val="20"/>
          <w:bdr w:val="single" w:sz="4" w:space="0" w:color="auto"/>
        </w:rPr>
      </w:pPr>
      <w:r w:rsidRPr="00DA3BC7">
        <w:rPr>
          <w:rFonts w:hint="eastAsia"/>
          <w:b/>
          <w:sz w:val="20"/>
          <w:szCs w:val="20"/>
          <w:bdr w:val="single" w:sz="4" w:space="0" w:color="auto"/>
        </w:rPr>
        <w:t>（二）</w:t>
      </w:r>
      <w:r w:rsidR="007F6969">
        <w:rPr>
          <w:rFonts w:hint="eastAsia"/>
          <w:b/>
          <w:color w:val="FF0000"/>
          <w:sz w:val="20"/>
          <w:szCs w:val="20"/>
          <w:highlight w:val="yellow"/>
          <w:bdr w:val="single" w:sz="4" w:space="0" w:color="auto"/>
        </w:rPr>
        <w:t>過失</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74</w:t>
      </w:r>
      <w:r w:rsidRPr="00DA3BC7">
        <w:rPr>
          <w:sz w:val="20"/>
          <w:szCs w:val="20"/>
        </w:rPr>
        <w:t>）</w:t>
      </w:r>
    </w:p>
    <w:p w:rsidR="002B682F" w:rsidRPr="00DA3BC7" w:rsidRDefault="002B682F" w:rsidP="008E2BBC">
      <w:pPr>
        <w:widowControl/>
        <w:ind w:leftChars="150" w:left="360"/>
        <w:jc w:val="both"/>
      </w:pPr>
      <w:r w:rsidRPr="00DA3BC7">
        <w:t>經上說種種法空，但</w:t>
      </w:r>
      <w:r w:rsidRPr="00DA3BC7">
        <w:rPr>
          <w:b/>
        </w:rPr>
        <w:t>依能觀的觀慧而觀之為空</w:t>
      </w:r>
      <w:r w:rsidRPr="00DA3BC7">
        <w:t>，於外境上不起執著而離戲論，所以名空，而實此種種法是不空的。這等於說：</w:t>
      </w:r>
      <w:r w:rsidRPr="00DA3BC7">
        <w:rPr>
          <w:b/>
        </w:rPr>
        <w:t>空是觀心想像所成的</w:t>
      </w:r>
      <w:r w:rsidRPr="00DA3BC7">
        <w:t>，不是法的本相。這樣，必執有不空的，不能達到也不會承認一切法空的了義教說。</w:t>
      </w:r>
    </w:p>
    <w:p w:rsidR="002B682F" w:rsidRPr="00DA3BC7" w:rsidRDefault="002B682F" w:rsidP="00AE3920">
      <w:pPr>
        <w:widowControl/>
        <w:spacing w:beforeLines="30"/>
        <w:ind w:leftChars="100" w:left="240"/>
        <w:jc w:val="both"/>
        <w:rPr>
          <w:sz w:val="20"/>
          <w:szCs w:val="20"/>
          <w:bdr w:val="single" w:sz="4" w:space="0" w:color="auto"/>
        </w:rPr>
      </w:pPr>
      <w:r w:rsidRPr="00DA3BC7">
        <w:rPr>
          <w:rFonts w:hint="eastAsia"/>
          <w:b/>
          <w:sz w:val="20"/>
          <w:szCs w:val="20"/>
          <w:bdr w:val="single" w:sz="4" w:space="0" w:color="auto"/>
        </w:rPr>
        <w:t>二、</w:t>
      </w:r>
      <w:r w:rsidRPr="00DA3BC7">
        <w:rPr>
          <w:b/>
          <w:sz w:val="20"/>
          <w:szCs w:val="20"/>
          <w:bdr w:val="single" w:sz="4" w:space="0" w:color="auto"/>
        </w:rPr>
        <w:t>所緣（境）空</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74</w:t>
      </w:r>
      <w:r w:rsidRPr="00DA3BC7">
        <w:rPr>
          <w:sz w:val="20"/>
          <w:szCs w:val="20"/>
        </w:rPr>
        <w:t>）</w:t>
      </w:r>
    </w:p>
    <w:p w:rsidR="002B682F" w:rsidRPr="00DA3BC7" w:rsidRDefault="002B682F" w:rsidP="008E2BBC">
      <w:pPr>
        <w:widowControl/>
        <w:ind w:leftChars="100" w:left="240"/>
        <w:jc w:val="both"/>
      </w:pPr>
      <w:r w:rsidRPr="00DA3BC7">
        <w:t>「</w:t>
      </w:r>
      <w:r w:rsidRPr="00DA3BC7">
        <w:rPr>
          <w:b/>
        </w:rPr>
        <w:t>所緣空</w:t>
      </w:r>
      <w:r w:rsidRPr="00DA3BC7">
        <w:t>」，與上說相反，是</w:t>
      </w:r>
      <w:r w:rsidRPr="00DA3BC7">
        <w:rPr>
          <w:b/>
        </w:rPr>
        <w:t>所緣的境界是空</w:t>
      </w:r>
      <w:r w:rsidRPr="00DA3BC7">
        <w:t>的，能觀心這才託所緣空境而觀見它是空。此所緣空，即必然是能觀不空，這與前三空中的</w:t>
      </w:r>
      <w:r w:rsidRPr="00DA3BC7">
        <w:rPr>
          <w:rFonts w:hint="eastAsia"/>
        </w:rPr>
        <w:t>「</w:t>
      </w:r>
      <w:r w:rsidRPr="00DA3BC7">
        <w:t>觀空</w:t>
      </w:r>
      <w:r w:rsidRPr="00DA3BC7">
        <w:rPr>
          <w:rFonts w:hint="eastAsia"/>
        </w:rPr>
        <w:t>」</w:t>
      </w:r>
      <w:r w:rsidRPr="00DA3BC7">
        <w:t>相近。</w:t>
      </w:r>
    </w:p>
    <w:p w:rsidR="002B682F" w:rsidRPr="00DA3BC7" w:rsidRDefault="002B682F" w:rsidP="008E2BBC">
      <w:pPr>
        <w:widowControl/>
        <w:ind w:leftChars="100" w:left="240"/>
        <w:jc w:val="both"/>
      </w:pPr>
      <w:r w:rsidRPr="00DA3BC7">
        <w:t>不過，</w:t>
      </w:r>
      <w:r w:rsidRPr="00DA3BC7">
        <w:rPr>
          <w:b/>
        </w:rPr>
        <w:t>觀空</w:t>
      </w:r>
      <w:r w:rsidRPr="00DA3BC7">
        <w:t>約</w:t>
      </w:r>
      <w:r w:rsidRPr="00DA3BC7">
        <w:rPr>
          <w:b/>
        </w:rPr>
        <w:t>境隨觀心而轉移</w:t>
      </w:r>
      <w:r w:rsidRPr="00DA3BC7">
        <w:t>說，</w:t>
      </w:r>
      <w:r w:rsidRPr="00DA3BC7">
        <w:rPr>
          <w:b/>
        </w:rPr>
        <w:t>所緣空</w:t>
      </w:r>
      <w:r w:rsidRPr="00DA3BC7">
        <w:t>約</w:t>
      </w:r>
      <w:r w:rsidRPr="00DA3BC7">
        <w:rPr>
          <w:b/>
        </w:rPr>
        <w:t>所緣境無實</w:t>
      </w:r>
      <w:r w:rsidRPr="00DA3BC7">
        <w:t>說。</w:t>
      </w:r>
    </w:p>
    <w:p w:rsidR="002B682F" w:rsidRPr="00DA3BC7" w:rsidRDefault="002B682F" w:rsidP="00AE3920">
      <w:pPr>
        <w:widowControl/>
        <w:spacing w:beforeLines="30"/>
        <w:ind w:leftChars="100" w:left="240"/>
        <w:jc w:val="both"/>
        <w:rPr>
          <w:sz w:val="20"/>
          <w:szCs w:val="20"/>
          <w:bdr w:val="single" w:sz="4" w:space="0" w:color="auto"/>
        </w:rPr>
      </w:pPr>
      <w:r w:rsidRPr="00DA3BC7">
        <w:rPr>
          <w:rFonts w:hint="eastAsia"/>
          <w:b/>
          <w:sz w:val="20"/>
          <w:szCs w:val="20"/>
          <w:bdr w:val="single" w:sz="4" w:space="0" w:color="auto"/>
        </w:rPr>
        <w:t>三、</w:t>
      </w:r>
      <w:r w:rsidRPr="00DA3BC7">
        <w:rPr>
          <w:b/>
          <w:sz w:val="20"/>
          <w:szCs w:val="20"/>
          <w:bdr w:val="single" w:sz="4" w:space="0" w:color="auto"/>
        </w:rPr>
        <w:t>自性空</w:t>
      </w:r>
      <w:r w:rsidRPr="00DA3BC7">
        <w:rPr>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74</w:t>
      </w:r>
      <w:r w:rsidRPr="00DA3BC7">
        <w:rPr>
          <w:sz w:val="20"/>
          <w:szCs w:val="20"/>
        </w:rPr>
        <w:t>-</w:t>
      </w:r>
      <w:r w:rsidRPr="00DA3BC7">
        <w:rPr>
          <w:rFonts w:ascii="Times New Roman" w:hAnsi="Times New Roman"/>
          <w:sz w:val="20"/>
          <w:szCs w:val="20"/>
        </w:rPr>
        <w:t>75</w:t>
      </w:r>
      <w:r w:rsidRPr="00DA3BC7">
        <w:rPr>
          <w:sz w:val="20"/>
          <w:szCs w:val="20"/>
        </w:rPr>
        <w:t>）</w:t>
      </w:r>
    </w:p>
    <w:p w:rsidR="002B682F" w:rsidRPr="00DA3BC7" w:rsidRDefault="002B682F" w:rsidP="00AE3920">
      <w:pPr>
        <w:widowControl/>
        <w:spacing w:beforeLines="10"/>
        <w:ind w:leftChars="150" w:left="360"/>
        <w:jc w:val="both"/>
        <w:rPr>
          <w:sz w:val="20"/>
          <w:szCs w:val="20"/>
          <w:bdr w:val="single" w:sz="4" w:space="0" w:color="auto"/>
        </w:rPr>
      </w:pPr>
      <w:r w:rsidRPr="00DA3BC7">
        <w:rPr>
          <w:rFonts w:hint="eastAsia"/>
          <w:b/>
          <w:sz w:val="20"/>
          <w:szCs w:val="20"/>
          <w:bdr w:val="single" w:sz="4" w:space="0" w:color="auto"/>
        </w:rPr>
        <w:t>（一）</w:t>
      </w:r>
      <w:r w:rsidR="007F6969">
        <w:rPr>
          <w:rFonts w:hint="eastAsia"/>
          <w:b/>
          <w:color w:val="FF0000"/>
          <w:sz w:val="20"/>
          <w:szCs w:val="20"/>
          <w:highlight w:val="yellow"/>
          <w:bdr w:val="single" w:sz="4" w:space="0" w:color="auto"/>
        </w:rPr>
        <w:t>引論述</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74</w:t>
      </w:r>
      <w:r w:rsidRPr="00DA3BC7">
        <w:rPr>
          <w:sz w:val="20"/>
          <w:szCs w:val="20"/>
        </w:rPr>
        <w:t>）</w:t>
      </w:r>
    </w:p>
    <w:p w:rsidR="002B682F" w:rsidRPr="00DA3BC7" w:rsidRDefault="002B682F" w:rsidP="008E2BBC">
      <w:pPr>
        <w:widowControl/>
        <w:ind w:leftChars="150" w:left="360"/>
        <w:jc w:val="both"/>
      </w:pPr>
      <w:r w:rsidRPr="00DA3BC7">
        <w:t>龍樹曾評論道：</w:t>
      </w:r>
    </w:p>
    <w:p w:rsidR="002B682F" w:rsidRPr="00DA3BC7" w:rsidRDefault="002B682F" w:rsidP="00AE3920">
      <w:pPr>
        <w:widowControl/>
        <w:spacing w:beforeLines="20"/>
        <w:ind w:leftChars="150" w:left="360"/>
        <w:jc w:val="both"/>
        <w:rPr>
          <w:spacing w:val="-2"/>
        </w:rPr>
      </w:pPr>
      <w:r w:rsidRPr="00DA3BC7">
        <w:rPr>
          <w:rFonts w:eastAsia="標楷體"/>
          <w:spacing w:val="-2"/>
        </w:rPr>
        <w:t>有人言：三三昧</w:t>
      </w:r>
      <w:r w:rsidRPr="00DA3BC7">
        <w:rPr>
          <w:rFonts w:eastAsia="標楷體" w:hint="eastAsia"/>
          <w:spacing w:val="-2"/>
        </w:rPr>
        <w:t>──空、</w:t>
      </w:r>
      <w:r w:rsidRPr="00DA3BC7">
        <w:rPr>
          <w:rFonts w:eastAsia="標楷體"/>
          <w:spacing w:val="-2"/>
        </w:rPr>
        <w:t>無相、無作</w:t>
      </w:r>
      <w:r w:rsidRPr="00DA3BC7">
        <w:rPr>
          <w:rFonts w:eastAsia="標楷體" w:hint="eastAsia"/>
          <w:spacing w:val="-2"/>
        </w:rPr>
        <w:t>，</w:t>
      </w:r>
      <w:r w:rsidRPr="00DA3BC7">
        <w:rPr>
          <w:rFonts w:eastAsia="標楷體"/>
          <w:spacing w:val="-2"/>
        </w:rPr>
        <w:t>心數法名為空，空故能觀諸法空。</w:t>
      </w:r>
      <w:r w:rsidRPr="00DA3BC7">
        <w:rPr>
          <w:rStyle w:val="a6"/>
          <w:rFonts w:ascii="Times New Roman" w:hAnsi="Times New Roman"/>
          <w:spacing w:val="-2"/>
        </w:rPr>
        <w:footnoteReference w:id="386"/>
      </w:r>
    </w:p>
    <w:p w:rsidR="002B682F" w:rsidRPr="00DA3BC7" w:rsidRDefault="002B682F" w:rsidP="008E2BBC">
      <w:pPr>
        <w:widowControl/>
        <w:ind w:leftChars="150" w:left="360"/>
        <w:jc w:val="both"/>
      </w:pPr>
      <w:r w:rsidRPr="00DA3BC7">
        <w:rPr>
          <w:rFonts w:eastAsia="標楷體"/>
        </w:rPr>
        <w:t>有人言：外所緣色等諸法皆空，緣外空故名為空三昧</w:t>
      </w:r>
      <w:r w:rsidRPr="00DA3BC7">
        <w:t>。</w:t>
      </w:r>
      <w:r w:rsidRPr="00DA3BC7">
        <w:rPr>
          <w:rStyle w:val="a6"/>
          <w:rFonts w:ascii="Times New Roman" w:hAnsi="Times New Roman"/>
        </w:rPr>
        <w:footnoteReference w:id="387"/>
      </w:r>
    </w:p>
    <w:p w:rsidR="002B682F" w:rsidRPr="00DA3BC7" w:rsidRDefault="002B682F" w:rsidP="00AE3920">
      <w:pPr>
        <w:widowControl/>
        <w:spacing w:beforeLines="20"/>
        <w:ind w:leftChars="150" w:left="360"/>
        <w:jc w:val="both"/>
      </w:pPr>
      <w:r w:rsidRPr="00DA3BC7">
        <w:rPr>
          <w:rFonts w:eastAsia="標楷體"/>
        </w:rPr>
        <w:lastRenderedPageBreak/>
        <w:t>此中佛說，不以空三昧故空，亦不以所緣外色等諸法故空。</w:t>
      </w:r>
      <w:r w:rsidRPr="00DA3BC7">
        <w:rPr>
          <w:rFonts w:ascii="標楷體" w:eastAsia="標楷體" w:hAnsi="標楷體" w:hint="eastAsia"/>
        </w:rPr>
        <w:t>……</w:t>
      </w:r>
      <w:r w:rsidRPr="00DA3BC7">
        <w:rPr>
          <w:rFonts w:eastAsia="標楷體"/>
        </w:rPr>
        <w:t>離是二邊說中道，所謂諸法因緣和合生，是和合法無有一定法故空</w:t>
      </w:r>
      <w:r w:rsidRPr="00DA3BC7">
        <w:t>。</w:t>
      </w:r>
      <w:r w:rsidRPr="00DA3BC7">
        <w:rPr>
          <w:rStyle w:val="a6"/>
          <w:rFonts w:ascii="Times New Roman" w:hAnsi="Times New Roman"/>
        </w:rPr>
        <w:footnoteReference w:id="388"/>
      </w:r>
    </w:p>
    <w:p w:rsidR="002B682F" w:rsidRPr="00DA3BC7" w:rsidRDefault="002B682F" w:rsidP="00AE3920">
      <w:pPr>
        <w:widowControl/>
        <w:spacing w:beforeLines="20"/>
        <w:ind w:leftChars="150" w:left="360"/>
        <w:jc w:val="both"/>
      </w:pPr>
      <w:r w:rsidRPr="00DA3BC7">
        <w:t>龍樹所明此</w:t>
      </w:r>
      <w:r w:rsidRPr="00DA3BC7">
        <w:rPr>
          <w:rFonts w:ascii="新細明體" w:hAnsi="新細明體"/>
        </w:rPr>
        <w:t>──</w:t>
      </w:r>
      <w:r w:rsidRPr="00DA3BC7">
        <w:t>《般若經》中所說的「</w:t>
      </w:r>
      <w:r w:rsidRPr="00DA3BC7">
        <w:rPr>
          <w:rFonts w:eastAsia="標楷體"/>
        </w:rPr>
        <w:t>無有一定法故空</w:t>
      </w:r>
      <w:r w:rsidRPr="00DA3BC7">
        <w:t>」，即說一切法緣合而成，緣合即無定性，無定性即是空，此空即</w:t>
      </w:r>
      <w:r w:rsidRPr="00DA3BC7">
        <w:rPr>
          <w:b/>
        </w:rPr>
        <w:t>指無自性的畢竟空說</w:t>
      </w:r>
      <w:r w:rsidRPr="00DA3BC7">
        <w:t>。</w:t>
      </w:r>
    </w:p>
    <w:p w:rsidR="002B682F" w:rsidRPr="00DA3BC7" w:rsidRDefault="002B682F" w:rsidP="00AE3920">
      <w:pPr>
        <w:widowControl/>
        <w:spacing w:beforeLines="30"/>
        <w:ind w:leftChars="150" w:left="360"/>
        <w:jc w:val="both"/>
        <w:rPr>
          <w:sz w:val="20"/>
          <w:szCs w:val="20"/>
          <w:bdr w:val="single" w:sz="4" w:space="0" w:color="auto"/>
        </w:rPr>
      </w:pPr>
      <w:r w:rsidRPr="00DA3BC7">
        <w:rPr>
          <w:rFonts w:hint="eastAsia"/>
          <w:b/>
          <w:sz w:val="20"/>
          <w:szCs w:val="20"/>
          <w:bdr w:val="single" w:sz="4" w:space="0" w:color="auto"/>
        </w:rPr>
        <w:t>（二）</w:t>
      </w:r>
      <w:r w:rsidR="007F6969">
        <w:rPr>
          <w:rFonts w:hint="eastAsia"/>
          <w:b/>
          <w:color w:val="FF0000"/>
          <w:sz w:val="20"/>
          <w:szCs w:val="20"/>
          <w:highlight w:val="yellow"/>
          <w:bdr w:val="single" w:sz="4" w:space="0" w:color="auto"/>
        </w:rPr>
        <w:t>印順法師評</w:t>
      </w:r>
      <w:r w:rsidRPr="00DA3BC7">
        <w:rPr>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74</w:t>
      </w:r>
      <w:r w:rsidRPr="00DA3BC7">
        <w:rPr>
          <w:sz w:val="20"/>
          <w:szCs w:val="20"/>
        </w:rPr>
        <w:t>-</w:t>
      </w:r>
      <w:r w:rsidRPr="00DA3BC7">
        <w:rPr>
          <w:rFonts w:ascii="Times New Roman" w:hAnsi="Times New Roman"/>
          <w:sz w:val="20"/>
          <w:szCs w:val="20"/>
        </w:rPr>
        <w:t>75</w:t>
      </w:r>
      <w:r w:rsidRPr="00DA3BC7">
        <w:rPr>
          <w:sz w:val="20"/>
          <w:szCs w:val="20"/>
        </w:rPr>
        <w:t>）</w:t>
      </w:r>
    </w:p>
    <w:p w:rsidR="002B682F" w:rsidRPr="00DA3BC7" w:rsidRDefault="002B682F" w:rsidP="008E2BBC">
      <w:pPr>
        <w:widowControl/>
        <w:ind w:leftChars="150" w:left="360"/>
        <w:jc w:val="both"/>
        <w:rPr>
          <w:b/>
        </w:rPr>
      </w:pPr>
      <w:r w:rsidRPr="00DA3BC7">
        <w:t>由此可知，</w:t>
      </w:r>
      <w:r w:rsidRPr="00DA3BC7">
        <w:rPr>
          <w:b/>
        </w:rPr>
        <w:t>中觀的空義，約緣起法的因果說，從緣起而知無自性，因無自性而知一切法畢竟皆空。</w:t>
      </w:r>
    </w:p>
    <w:p w:rsidR="002B682F" w:rsidRPr="00DA3BC7" w:rsidRDefault="002B682F" w:rsidP="00AE3920">
      <w:pPr>
        <w:widowControl/>
        <w:spacing w:beforeLines="20"/>
        <w:ind w:leftChars="150" w:left="360"/>
        <w:jc w:val="both"/>
      </w:pPr>
      <w:r w:rsidRPr="00DA3BC7">
        <w:t>若偏於</w:t>
      </w:r>
      <w:r w:rsidRPr="00DA3BC7">
        <w:rPr>
          <w:b/>
        </w:rPr>
        <w:t>三昧空</w:t>
      </w:r>
      <w:r w:rsidRPr="00DA3BC7">
        <w:t>或</w:t>
      </w:r>
      <w:r w:rsidRPr="00DA3BC7">
        <w:rPr>
          <w:b/>
        </w:rPr>
        <w:t>所緣空</w:t>
      </w:r>
      <w:r w:rsidRPr="00DA3BC7">
        <w:t>，專在認識論上說，不能即緣起知空，即不能達到一切法空的結論。</w:t>
      </w:r>
    </w:p>
    <w:p w:rsidR="002B682F" w:rsidRPr="00DA3BC7" w:rsidRDefault="00FC5046" w:rsidP="00AE3920">
      <w:pPr>
        <w:spacing w:beforeLines="30"/>
        <w:jc w:val="both"/>
        <w:rPr>
          <w:sz w:val="20"/>
          <w:szCs w:val="20"/>
          <w:bdr w:val="single" w:sz="4" w:space="0" w:color="auto"/>
        </w:rPr>
      </w:pPr>
      <w:r w:rsidRPr="00DA3BC7">
        <w:rPr>
          <w:rFonts w:hint="eastAsia"/>
          <w:b/>
          <w:sz w:val="20"/>
          <w:szCs w:val="20"/>
          <w:bdr w:val="single" w:sz="4" w:space="0" w:color="auto"/>
        </w:rPr>
        <w:t>參</w:t>
      </w:r>
      <w:r w:rsidR="002B682F" w:rsidRPr="00DA3BC7">
        <w:rPr>
          <w:b/>
          <w:sz w:val="20"/>
          <w:szCs w:val="20"/>
          <w:bdr w:val="single" w:sz="4" w:space="0" w:color="auto"/>
        </w:rPr>
        <w:t>、</w:t>
      </w:r>
      <w:r w:rsidR="00A04018">
        <w:rPr>
          <w:rFonts w:hint="eastAsia"/>
          <w:b/>
          <w:color w:val="FF0000"/>
          <w:sz w:val="20"/>
          <w:szCs w:val="20"/>
          <w:highlight w:val="yellow"/>
          <w:bdr w:val="single" w:sz="4" w:space="0" w:color="auto"/>
        </w:rPr>
        <w:t>中觀與唯識的空義</w:t>
      </w:r>
      <w:r w:rsidR="002B682F" w:rsidRPr="00DA3BC7">
        <w:rPr>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hAnsi="Times New Roman"/>
          <w:sz w:val="20"/>
          <w:szCs w:val="20"/>
        </w:rPr>
        <w:t>75</w:t>
      </w:r>
      <w:r w:rsidR="002B682F" w:rsidRPr="00DA3BC7">
        <w:rPr>
          <w:sz w:val="20"/>
          <w:szCs w:val="20"/>
        </w:rPr>
        <w:t>-</w:t>
      </w:r>
      <w:r w:rsidR="002B682F" w:rsidRPr="00DA3BC7">
        <w:rPr>
          <w:rFonts w:ascii="Times New Roman" w:hAnsi="Times New Roman" w:hint="eastAsia"/>
          <w:sz w:val="20"/>
          <w:szCs w:val="20"/>
        </w:rPr>
        <w:t>77</w:t>
      </w:r>
      <w:r w:rsidR="002B682F" w:rsidRPr="00DA3BC7">
        <w:rPr>
          <w:sz w:val="20"/>
          <w:szCs w:val="20"/>
        </w:rPr>
        <w:t>）</w:t>
      </w:r>
    </w:p>
    <w:p w:rsidR="00A04018" w:rsidRDefault="002B682F" w:rsidP="008E2BBC">
      <w:pPr>
        <w:widowControl/>
        <w:ind w:leftChars="50" w:left="120"/>
        <w:jc w:val="both"/>
        <w:rPr>
          <w:b/>
          <w:color w:val="FF0000"/>
          <w:sz w:val="20"/>
          <w:szCs w:val="20"/>
          <w:bdr w:val="single" w:sz="4" w:space="0" w:color="auto"/>
        </w:rPr>
      </w:pPr>
      <w:r w:rsidRPr="00A04018">
        <w:rPr>
          <w:rFonts w:hint="eastAsia"/>
          <w:b/>
          <w:color w:val="FF0000"/>
          <w:sz w:val="20"/>
          <w:szCs w:val="20"/>
          <w:highlight w:val="yellow"/>
          <w:bdr w:val="single" w:sz="4" w:space="0" w:color="auto"/>
        </w:rPr>
        <w:t>（壹）</w:t>
      </w:r>
      <w:r w:rsidR="00A04018" w:rsidRPr="00A04018">
        <w:rPr>
          <w:rFonts w:hint="eastAsia"/>
          <w:b/>
          <w:color w:val="FF0000"/>
          <w:sz w:val="20"/>
          <w:szCs w:val="20"/>
          <w:highlight w:val="yellow"/>
          <w:bdr w:val="single" w:sz="4" w:space="0" w:color="auto"/>
        </w:rPr>
        <w:t>兩種空論</w:t>
      </w:r>
      <w:r w:rsidR="00A04018" w:rsidRPr="00DA3BC7">
        <w:rPr>
          <w:sz w:val="20"/>
          <w:szCs w:val="20"/>
        </w:rPr>
        <w:t>（</w:t>
      </w:r>
      <w:r w:rsidR="00A04018" w:rsidRPr="00DA3BC7">
        <w:rPr>
          <w:rFonts w:ascii="Times New Roman" w:hAnsi="Times New Roman"/>
          <w:sz w:val="20"/>
          <w:szCs w:val="20"/>
        </w:rPr>
        <w:t>pp</w:t>
      </w:r>
      <w:r w:rsidR="00A04018" w:rsidRPr="00DA3BC7">
        <w:rPr>
          <w:sz w:val="20"/>
          <w:szCs w:val="20"/>
        </w:rPr>
        <w:t>.</w:t>
      </w:r>
      <w:r w:rsidR="00A04018" w:rsidRPr="00DA3BC7">
        <w:rPr>
          <w:rFonts w:ascii="Times New Roman" w:hAnsi="Times New Roman"/>
          <w:sz w:val="20"/>
          <w:szCs w:val="20"/>
        </w:rPr>
        <w:t>75</w:t>
      </w:r>
      <w:r w:rsidR="00A04018" w:rsidRPr="00DA3BC7">
        <w:rPr>
          <w:sz w:val="20"/>
          <w:szCs w:val="20"/>
        </w:rPr>
        <w:t>-</w:t>
      </w:r>
      <w:r w:rsidR="00A04018" w:rsidRPr="00DA3BC7">
        <w:rPr>
          <w:rFonts w:ascii="Times New Roman" w:hAnsi="Times New Roman" w:hint="eastAsia"/>
          <w:sz w:val="20"/>
          <w:szCs w:val="20"/>
        </w:rPr>
        <w:t>77</w:t>
      </w:r>
      <w:r w:rsidR="00A04018" w:rsidRPr="00DA3BC7">
        <w:rPr>
          <w:sz w:val="20"/>
          <w:szCs w:val="20"/>
        </w:rPr>
        <w:t>）</w:t>
      </w:r>
    </w:p>
    <w:p w:rsidR="00A04018" w:rsidRDefault="00A04018" w:rsidP="00C21620">
      <w:pPr>
        <w:widowControl/>
        <w:ind w:leftChars="100" w:left="240"/>
        <w:jc w:val="both"/>
        <w:rPr>
          <w:sz w:val="20"/>
          <w:szCs w:val="20"/>
        </w:rPr>
      </w:pPr>
      <w:r w:rsidRPr="00A04018">
        <w:rPr>
          <w:rFonts w:hint="eastAsia"/>
          <w:b/>
          <w:color w:val="FF0000"/>
          <w:sz w:val="20"/>
          <w:szCs w:val="20"/>
          <w:highlight w:val="yellow"/>
          <w:bdr w:val="single" w:sz="4" w:space="0" w:color="auto"/>
        </w:rPr>
        <w:t>一、</w:t>
      </w:r>
      <w:r w:rsidR="002B682F" w:rsidRPr="00A04018">
        <w:rPr>
          <w:rFonts w:hint="eastAsia"/>
          <w:b/>
          <w:color w:val="FF0000"/>
          <w:sz w:val="20"/>
          <w:szCs w:val="20"/>
          <w:highlight w:val="yellow"/>
          <w:bdr w:val="single" w:sz="4" w:space="0" w:color="auto"/>
        </w:rPr>
        <w:t>他空</w:t>
      </w:r>
      <w:r w:rsidRPr="00A04018">
        <w:rPr>
          <w:rFonts w:hint="eastAsia"/>
          <w:b/>
          <w:color w:val="FF0000"/>
          <w:sz w:val="20"/>
          <w:szCs w:val="20"/>
          <w:highlight w:val="yellow"/>
          <w:bdr w:val="single" w:sz="4" w:space="0" w:color="auto"/>
        </w:rPr>
        <w:t>論──唯識宗</w:t>
      </w:r>
      <w:r w:rsidR="002B682F" w:rsidRPr="00A04018">
        <w:rPr>
          <w:rFonts w:hint="eastAsia"/>
          <w:b/>
          <w:color w:val="FF0000"/>
          <w:sz w:val="20"/>
          <w:szCs w:val="20"/>
          <w:highlight w:val="yellow"/>
          <w:bdr w:val="single" w:sz="4" w:space="0" w:color="auto"/>
        </w:rPr>
        <w:t>之</w:t>
      </w:r>
      <w:r w:rsidRPr="00A04018">
        <w:rPr>
          <w:rFonts w:hint="eastAsia"/>
          <w:b/>
          <w:color w:val="FF0000"/>
          <w:sz w:val="20"/>
          <w:szCs w:val="20"/>
          <w:highlight w:val="yellow"/>
          <w:bdr w:val="single" w:sz="4" w:space="0" w:color="auto"/>
        </w:rPr>
        <w:t>空</w:t>
      </w:r>
      <w:r w:rsidRPr="00DA3BC7">
        <w:rPr>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75</w:t>
      </w:r>
      <w:r w:rsidRPr="00DA3BC7">
        <w:rPr>
          <w:sz w:val="20"/>
          <w:szCs w:val="20"/>
        </w:rPr>
        <w:t>-</w:t>
      </w:r>
      <w:r w:rsidRPr="00DA3BC7">
        <w:rPr>
          <w:rFonts w:ascii="Times New Roman" w:hAnsi="Times New Roman" w:hint="eastAsia"/>
          <w:sz w:val="20"/>
          <w:szCs w:val="20"/>
        </w:rPr>
        <w:t>7</w:t>
      </w:r>
      <w:r>
        <w:rPr>
          <w:rFonts w:ascii="Times New Roman" w:hAnsi="Times New Roman" w:hint="eastAsia"/>
          <w:sz w:val="20"/>
          <w:szCs w:val="20"/>
        </w:rPr>
        <w:t>6</w:t>
      </w:r>
      <w:r w:rsidRPr="00DA3BC7">
        <w:rPr>
          <w:sz w:val="20"/>
          <w:szCs w:val="20"/>
        </w:rPr>
        <w:t>）</w:t>
      </w:r>
    </w:p>
    <w:p w:rsidR="002B682F" w:rsidRDefault="00A04018" w:rsidP="00C21620">
      <w:pPr>
        <w:widowControl/>
        <w:ind w:leftChars="150" w:left="360"/>
        <w:jc w:val="both"/>
        <w:rPr>
          <w:sz w:val="20"/>
          <w:szCs w:val="20"/>
        </w:rPr>
      </w:pPr>
      <w:r w:rsidRPr="00A04018">
        <w:rPr>
          <w:rFonts w:hint="eastAsia"/>
          <w:b/>
          <w:color w:val="FF0000"/>
          <w:sz w:val="20"/>
          <w:szCs w:val="20"/>
          <w:highlight w:val="yellow"/>
          <w:bdr w:val="single" w:sz="4" w:space="0" w:color="auto"/>
        </w:rPr>
        <w:t>（</w:t>
      </w:r>
      <w:r>
        <w:rPr>
          <w:rFonts w:hint="eastAsia"/>
          <w:b/>
          <w:color w:val="FF0000"/>
          <w:sz w:val="20"/>
          <w:szCs w:val="20"/>
          <w:highlight w:val="yellow"/>
          <w:bdr w:val="single" w:sz="4" w:space="0" w:color="auto"/>
        </w:rPr>
        <w:t>一</w:t>
      </w:r>
      <w:r w:rsidRPr="00A04018">
        <w:rPr>
          <w:rFonts w:hint="eastAsia"/>
          <w:b/>
          <w:color w:val="FF0000"/>
          <w:sz w:val="20"/>
          <w:szCs w:val="20"/>
          <w:highlight w:val="yellow"/>
          <w:bdr w:val="single" w:sz="4" w:space="0" w:color="auto"/>
        </w:rPr>
        <w:t>）</w:t>
      </w:r>
      <w:r>
        <w:rPr>
          <w:rFonts w:hint="eastAsia"/>
          <w:b/>
          <w:color w:val="FF0000"/>
          <w:sz w:val="20"/>
          <w:szCs w:val="20"/>
          <w:highlight w:val="yellow"/>
          <w:bdr w:val="single" w:sz="4" w:space="0" w:color="auto"/>
        </w:rPr>
        <w:t>述義</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75</w:t>
      </w:r>
      <w:r w:rsidR="002B682F" w:rsidRPr="00DA3BC7">
        <w:rPr>
          <w:sz w:val="20"/>
          <w:szCs w:val="20"/>
        </w:rPr>
        <w:t>）</w:t>
      </w:r>
    </w:p>
    <w:p w:rsidR="00A04018" w:rsidRPr="00A04018" w:rsidRDefault="00A04018" w:rsidP="00C21620">
      <w:pPr>
        <w:widowControl/>
        <w:ind w:leftChars="200" w:left="480"/>
        <w:jc w:val="both"/>
        <w:rPr>
          <w:rFonts w:ascii="Times New Roman" w:hAnsi="Times New Roman"/>
          <w:b/>
          <w:sz w:val="20"/>
          <w:szCs w:val="20"/>
          <w:bdr w:val="single" w:sz="4" w:space="0" w:color="auto"/>
        </w:rPr>
      </w:pPr>
      <w:r w:rsidRPr="00A04018">
        <w:rPr>
          <w:rFonts w:ascii="Times New Roman" w:hAnsi="Times New Roman" w:hint="eastAsia"/>
          <w:b/>
          <w:color w:val="FF0000"/>
          <w:sz w:val="20"/>
          <w:szCs w:val="20"/>
          <w:highlight w:val="yellow"/>
          <w:bdr w:val="single" w:sz="4" w:space="0" w:color="auto"/>
        </w:rPr>
        <w:t>1</w:t>
      </w:r>
      <w:r w:rsidRPr="00A04018">
        <w:rPr>
          <w:rFonts w:ascii="Times New Roman" w:hAnsi="Times New Roman" w:hint="eastAsia"/>
          <w:b/>
          <w:color w:val="FF0000"/>
          <w:sz w:val="20"/>
          <w:szCs w:val="20"/>
          <w:highlight w:val="yellow"/>
          <w:bdr w:val="single" w:sz="4" w:space="0" w:color="auto"/>
        </w:rPr>
        <w:t>、舉例明異</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75</w:t>
      </w:r>
      <w:r w:rsidRPr="00DA3BC7">
        <w:rPr>
          <w:sz w:val="20"/>
          <w:szCs w:val="20"/>
        </w:rPr>
        <w:t>）</w:t>
      </w:r>
    </w:p>
    <w:p w:rsidR="002B682F" w:rsidRPr="00DA3BC7" w:rsidRDefault="002B682F" w:rsidP="00C21620">
      <w:pPr>
        <w:widowControl/>
        <w:ind w:leftChars="200" w:left="480"/>
        <w:jc w:val="both"/>
      </w:pPr>
      <w:r w:rsidRPr="00DA3BC7">
        <w:t>自空與他空，係兩種不同的空觀。譬如觀花空，</w:t>
      </w:r>
    </w:p>
    <w:p w:rsidR="002B682F" w:rsidRPr="00DA3BC7" w:rsidRDefault="002B682F" w:rsidP="00C21620">
      <w:pPr>
        <w:widowControl/>
        <w:ind w:leftChars="200" w:left="480"/>
        <w:jc w:val="both"/>
      </w:pPr>
      <w:r w:rsidRPr="00DA3BC7">
        <w:rPr>
          <w:b/>
        </w:rPr>
        <w:t>自空者</w:t>
      </w:r>
      <w:r w:rsidRPr="00DA3BC7">
        <w:t>說：花的當體就是空的。</w:t>
      </w:r>
    </w:p>
    <w:p w:rsidR="002B682F" w:rsidRPr="00DA3BC7" w:rsidRDefault="002B682F" w:rsidP="00C21620">
      <w:pPr>
        <w:widowControl/>
        <w:ind w:leftChars="200" w:left="480"/>
        <w:jc w:val="both"/>
      </w:pPr>
      <w:r w:rsidRPr="00DA3BC7">
        <w:rPr>
          <w:b/>
        </w:rPr>
        <w:t>他空者</w:t>
      </w:r>
      <w:r w:rsidRPr="00DA3BC7">
        <w:t>說：此花上沒有某些，所以說是空，但不是花的本身空。</w:t>
      </w:r>
    </w:p>
    <w:p w:rsidR="00A04018" w:rsidRDefault="00A04018" w:rsidP="00AE3920">
      <w:pPr>
        <w:widowControl/>
        <w:spacing w:beforeLines="30"/>
        <w:ind w:leftChars="200" w:left="480"/>
        <w:jc w:val="both"/>
        <w:rPr>
          <w:sz w:val="20"/>
          <w:szCs w:val="20"/>
        </w:rPr>
      </w:pPr>
      <w:r w:rsidRPr="00A04018">
        <w:rPr>
          <w:rFonts w:ascii="Times New Roman" w:hAnsi="Times New Roman" w:hint="eastAsia"/>
          <w:b/>
          <w:color w:val="FF0000"/>
          <w:sz w:val="20"/>
          <w:szCs w:val="20"/>
          <w:highlight w:val="yellow"/>
          <w:bdr w:val="single" w:sz="4" w:space="0" w:color="auto"/>
        </w:rPr>
        <w:t>2</w:t>
      </w:r>
      <w:r w:rsidRPr="00A04018">
        <w:rPr>
          <w:rFonts w:ascii="Times New Roman" w:hAnsi="Times New Roman" w:hint="eastAsia"/>
          <w:b/>
          <w:color w:val="FF0000"/>
          <w:sz w:val="20"/>
          <w:szCs w:val="20"/>
          <w:highlight w:val="yellow"/>
          <w:bdr w:val="single" w:sz="4" w:space="0" w:color="auto"/>
        </w:rPr>
        <w:t>、引論辨失</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75</w:t>
      </w:r>
      <w:r w:rsidR="002B682F" w:rsidRPr="00DA3BC7">
        <w:rPr>
          <w:sz w:val="20"/>
          <w:szCs w:val="20"/>
        </w:rPr>
        <w:t>）</w:t>
      </w:r>
    </w:p>
    <w:p w:rsidR="002B682F" w:rsidRPr="00DA3BC7" w:rsidRDefault="002B682F" w:rsidP="00C21620">
      <w:pPr>
        <w:widowControl/>
        <w:ind w:leftChars="200" w:left="480"/>
        <w:jc w:val="both"/>
      </w:pPr>
      <w:r w:rsidRPr="00DA3BC7">
        <w:t>如《瑜伽</w:t>
      </w:r>
      <w:r w:rsidRPr="00DA3BC7">
        <w:rPr>
          <w:rFonts w:hint="eastAsia"/>
        </w:rPr>
        <w:t>師地</w:t>
      </w:r>
      <w:r w:rsidRPr="00DA3BC7">
        <w:t>論》的〈真實義品〉說：「</w:t>
      </w:r>
      <w:r w:rsidRPr="00DA3BC7">
        <w:rPr>
          <w:rFonts w:eastAsia="標楷體"/>
        </w:rPr>
        <w:t>由彼故空，彼實是無；於此而空，此實是有：由此道理，可說為空</w:t>
      </w:r>
      <w:r w:rsidRPr="00DA3BC7">
        <w:t>。」</w:t>
      </w:r>
      <w:r w:rsidRPr="00DA3BC7">
        <w:rPr>
          <w:rStyle w:val="a6"/>
          <w:rFonts w:ascii="Times New Roman" w:hAnsi="Times New Roman"/>
        </w:rPr>
        <w:footnoteReference w:id="389"/>
      </w:r>
      <w:r w:rsidRPr="00DA3BC7">
        <w:t>這即是說：在此法上由於空去彼法，沒有彼法</w:t>
      </w:r>
      <w:r w:rsidRPr="00DA3BC7">
        <w:rPr>
          <w:rFonts w:hint="eastAsia"/>
        </w:rPr>
        <w:t>，</w:t>
      </w:r>
      <w:r w:rsidRPr="00DA3BC7">
        <w:t>可以說為空，但於此法是有的。</w:t>
      </w:r>
    </w:p>
    <w:p w:rsidR="002B682F" w:rsidRPr="00DA3BC7" w:rsidRDefault="002B682F" w:rsidP="00AE3920">
      <w:pPr>
        <w:widowControl/>
        <w:spacing w:beforeLines="20"/>
        <w:ind w:leftChars="200" w:left="480"/>
        <w:jc w:val="both"/>
      </w:pPr>
      <w:r w:rsidRPr="00DA3BC7">
        <w:lastRenderedPageBreak/>
        <w:t>唯識學者說空，無論如何巧妙的解說，永不能跳出此他空的圈子。</w:t>
      </w:r>
    </w:p>
    <w:p w:rsidR="00A04018" w:rsidRDefault="002B682F" w:rsidP="00AE3920">
      <w:pPr>
        <w:widowControl/>
        <w:spacing w:beforeLines="30"/>
        <w:ind w:leftChars="150" w:left="360"/>
        <w:jc w:val="both"/>
        <w:rPr>
          <w:b/>
          <w:color w:val="FF0000"/>
          <w:sz w:val="20"/>
          <w:szCs w:val="20"/>
          <w:bdr w:val="single" w:sz="4" w:space="0" w:color="auto"/>
        </w:rPr>
      </w:pPr>
      <w:r w:rsidRPr="00A04018">
        <w:rPr>
          <w:rFonts w:hint="eastAsia"/>
          <w:b/>
          <w:color w:val="FF0000"/>
          <w:sz w:val="20"/>
          <w:szCs w:val="20"/>
          <w:highlight w:val="yellow"/>
          <w:bdr w:val="single" w:sz="4" w:space="0" w:color="auto"/>
        </w:rPr>
        <w:t>（二）</w:t>
      </w:r>
      <w:r w:rsidR="00A04018" w:rsidRPr="00A04018">
        <w:rPr>
          <w:rFonts w:hint="eastAsia"/>
          <w:b/>
          <w:color w:val="FF0000"/>
          <w:sz w:val="20"/>
          <w:szCs w:val="20"/>
          <w:highlight w:val="yellow"/>
          <w:bdr w:val="single" w:sz="4" w:space="0" w:color="auto"/>
        </w:rPr>
        <w:t>溯源</w:t>
      </w:r>
      <w:r w:rsidR="00A04018" w:rsidRPr="00DA3BC7">
        <w:rPr>
          <w:sz w:val="20"/>
          <w:szCs w:val="20"/>
        </w:rPr>
        <w:t>（</w:t>
      </w:r>
      <w:r w:rsidR="00A04018" w:rsidRPr="00DA3BC7">
        <w:rPr>
          <w:rFonts w:ascii="Times New Roman" w:hAnsi="Times New Roman"/>
          <w:sz w:val="20"/>
          <w:szCs w:val="20"/>
        </w:rPr>
        <w:t>pp</w:t>
      </w:r>
      <w:r w:rsidR="00A04018" w:rsidRPr="00DA3BC7">
        <w:rPr>
          <w:sz w:val="20"/>
          <w:szCs w:val="20"/>
        </w:rPr>
        <w:t>.</w:t>
      </w:r>
      <w:r w:rsidR="00A04018" w:rsidRPr="00DA3BC7">
        <w:rPr>
          <w:rFonts w:ascii="Times New Roman" w:hAnsi="Times New Roman"/>
          <w:sz w:val="20"/>
          <w:szCs w:val="20"/>
        </w:rPr>
        <w:t>75</w:t>
      </w:r>
      <w:r w:rsidR="00A04018" w:rsidRPr="00DA3BC7">
        <w:rPr>
          <w:sz w:val="20"/>
          <w:szCs w:val="20"/>
        </w:rPr>
        <w:t>-</w:t>
      </w:r>
      <w:r w:rsidR="00A04018" w:rsidRPr="00DA3BC7">
        <w:rPr>
          <w:rFonts w:ascii="Times New Roman" w:hAnsi="Times New Roman" w:hint="eastAsia"/>
          <w:sz w:val="20"/>
          <w:szCs w:val="20"/>
        </w:rPr>
        <w:t>7</w:t>
      </w:r>
      <w:r w:rsidR="00A04018">
        <w:rPr>
          <w:rFonts w:ascii="Times New Roman" w:hAnsi="Times New Roman" w:hint="eastAsia"/>
          <w:sz w:val="20"/>
          <w:szCs w:val="20"/>
        </w:rPr>
        <w:t>6</w:t>
      </w:r>
      <w:r w:rsidR="00A04018" w:rsidRPr="00DA3BC7">
        <w:rPr>
          <w:sz w:val="20"/>
          <w:szCs w:val="20"/>
        </w:rPr>
        <w:t>）</w:t>
      </w:r>
    </w:p>
    <w:p w:rsidR="002B682F" w:rsidRPr="00DA3BC7" w:rsidRDefault="00A04018" w:rsidP="00C21620">
      <w:pPr>
        <w:widowControl/>
        <w:ind w:leftChars="200" w:left="480"/>
        <w:jc w:val="both"/>
        <w:rPr>
          <w:sz w:val="20"/>
          <w:szCs w:val="20"/>
          <w:bdr w:val="single" w:sz="4" w:space="0" w:color="auto"/>
        </w:rPr>
      </w:pPr>
      <w:r w:rsidRPr="00A04018">
        <w:rPr>
          <w:rFonts w:ascii="Times New Roman" w:hAnsi="Times New Roman" w:hint="eastAsia"/>
          <w:b/>
          <w:color w:val="FF0000"/>
          <w:sz w:val="20"/>
          <w:szCs w:val="20"/>
          <w:highlight w:val="yellow"/>
          <w:bdr w:val="single" w:sz="4" w:space="0" w:color="auto"/>
        </w:rPr>
        <w:t>1</w:t>
      </w:r>
      <w:r w:rsidRPr="00A04018">
        <w:rPr>
          <w:rFonts w:ascii="Times New Roman" w:hAnsi="Times New Roman" w:hint="eastAsia"/>
          <w:b/>
          <w:color w:val="FF0000"/>
          <w:sz w:val="20"/>
          <w:szCs w:val="20"/>
          <w:highlight w:val="yellow"/>
          <w:bdr w:val="single" w:sz="4" w:space="0" w:color="auto"/>
        </w:rPr>
        <w:t>、</w:t>
      </w:r>
      <w:r w:rsidR="002B682F" w:rsidRPr="00A04018">
        <w:rPr>
          <w:rFonts w:ascii="Times New Roman" w:hAnsi="Times New Roman"/>
          <w:b/>
          <w:color w:val="FF0000"/>
          <w:sz w:val="20"/>
          <w:szCs w:val="20"/>
          <w:highlight w:val="yellow"/>
          <w:bdr w:val="single" w:sz="4" w:space="0" w:color="auto"/>
        </w:rPr>
        <w:t>有部</w:t>
      </w:r>
      <w:r w:rsidRPr="00A04018">
        <w:rPr>
          <w:rFonts w:ascii="Times New Roman" w:hAnsi="Times New Roman" w:hint="eastAsia"/>
          <w:b/>
          <w:color w:val="FF0000"/>
          <w:sz w:val="20"/>
          <w:szCs w:val="20"/>
          <w:highlight w:val="yellow"/>
          <w:bdr w:val="single" w:sz="4" w:space="0" w:color="auto"/>
        </w:rPr>
        <w:t>之教</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75</w:t>
      </w:r>
      <w:r w:rsidR="002B682F" w:rsidRPr="00DA3BC7">
        <w:rPr>
          <w:sz w:val="20"/>
          <w:szCs w:val="20"/>
        </w:rPr>
        <w:t>）</w:t>
      </w:r>
    </w:p>
    <w:p w:rsidR="002B682F" w:rsidRPr="00DA3BC7" w:rsidRDefault="002B682F" w:rsidP="00C21620">
      <w:pPr>
        <w:widowControl/>
        <w:ind w:leftChars="200" w:left="480"/>
        <w:jc w:val="both"/>
      </w:pPr>
      <w:r w:rsidRPr="00DA3BC7">
        <w:t>此他空論，也不是唯識學所特創的，</w:t>
      </w:r>
      <w:r w:rsidRPr="00DA3BC7">
        <w:rPr>
          <w:rFonts w:hint="eastAsia"/>
        </w:rPr>
        <w:t>它</w:t>
      </w:r>
      <w:r w:rsidRPr="00DA3BC7">
        <w:t>的淵源即遠從薩婆多部而來。</w:t>
      </w:r>
    </w:p>
    <w:p w:rsidR="002B682F" w:rsidRPr="00DA3BC7" w:rsidRDefault="002B682F" w:rsidP="00C21620">
      <w:pPr>
        <w:widowControl/>
        <w:ind w:leftChars="200" w:left="480"/>
        <w:jc w:val="both"/>
      </w:pPr>
      <w:r w:rsidRPr="00DA3BC7">
        <w:t>有名的世友論師曾說：空與無我不同，</w:t>
      </w:r>
      <w:r w:rsidRPr="00DA3BC7">
        <w:rPr>
          <w:b/>
        </w:rPr>
        <w:t>無我</w:t>
      </w:r>
      <w:r w:rsidRPr="00DA3BC7">
        <w:t>是</w:t>
      </w:r>
      <w:r w:rsidRPr="00DA3BC7">
        <w:rPr>
          <w:b/>
        </w:rPr>
        <w:t>究竟了義</w:t>
      </w:r>
      <w:r w:rsidRPr="00DA3BC7">
        <w:t>的，</w:t>
      </w:r>
      <w:r w:rsidRPr="00DA3BC7">
        <w:rPr>
          <w:b/>
        </w:rPr>
        <w:t>空不是究竟了義</w:t>
      </w:r>
      <w:r w:rsidRPr="00DA3BC7">
        <w:t>的。</w:t>
      </w:r>
      <w:r w:rsidRPr="00DA3BC7">
        <w:rPr>
          <w:rStyle w:val="a6"/>
          <w:rFonts w:ascii="Times New Roman" w:hAnsi="Times New Roman"/>
        </w:rPr>
        <w:footnoteReference w:id="390"/>
      </w:r>
    </w:p>
    <w:p w:rsidR="002B682F" w:rsidRPr="00DA3BC7" w:rsidRDefault="002B682F" w:rsidP="00AE3920">
      <w:pPr>
        <w:widowControl/>
        <w:spacing w:beforeLines="20"/>
        <w:ind w:leftChars="200" w:left="480"/>
        <w:jc w:val="both"/>
      </w:pPr>
      <w:r w:rsidRPr="00DA3BC7">
        <w:t>如說五蘊無我，這是徹底的，確乎是無我的；若說五蘊為空，這不是徹底的。由於五蘊無我，所以佛說空，而於此色、受等五蘊卻是不可空的。</w:t>
      </w:r>
    </w:p>
    <w:p w:rsidR="002B682F" w:rsidRPr="00DA3BC7" w:rsidRDefault="002B682F" w:rsidP="00AE3920">
      <w:pPr>
        <w:widowControl/>
        <w:spacing w:beforeLines="20"/>
        <w:ind w:leftChars="200" w:left="480"/>
        <w:jc w:val="both"/>
      </w:pPr>
      <w:r w:rsidRPr="00DA3BC7">
        <w:t>如解經說「</w:t>
      </w:r>
      <w:r w:rsidRPr="00224D48">
        <w:rPr>
          <w:rFonts w:ascii="標楷體" w:eastAsia="標楷體" w:hAnsi="標楷體" w:hint="eastAsia"/>
        </w:rPr>
        <w:t>空</w:t>
      </w:r>
      <w:r w:rsidRPr="00224D48">
        <w:rPr>
          <w:rFonts w:ascii="標楷體" w:eastAsia="標楷體" w:hAnsi="標楷體"/>
        </w:rPr>
        <w:t>諸行</w:t>
      </w:r>
      <w:r w:rsidRPr="00DA3BC7">
        <w:t>」</w:t>
      </w:r>
      <w:r w:rsidRPr="00DA3BC7">
        <w:rPr>
          <w:rStyle w:val="a6"/>
          <w:rFonts w:ascii="Times New Roman" w:hAnsi="Times New Roman"/>
        </w:rPr>
        <w:footnoteReference w:id="391"/>
      </w:r>
      <w:r w:rsidRPr="00DA3BC7">
        <w:t>，也說：諸行中無我我所，所以是空，不是諸行的行空。</w:t>
      </w:r>
      <w:r w:rsidR="00224D48" w:rsidRPr="00224D48">
        <w:rPr>
          <w:rStyle w:val="a6"/>
          <w:rFonts w:ascii="Times New Roman" w:hAnsi="Times New Roman"/>
          <w:color w:val="FF0000"/>
          <w:highlight w:val="yellow"/>
        </w:rPr>
        <w:footnoteReference w:id="392"/>
      </w:r>
    </w:p>
    <w:p w:rsidR="00A04018" w:rsidRDefault="002B682F" w:rsidP="00C21620">
      <w:pPr>
        <w:widowControl/>
        <w:ind w:leftChars="200" w:left="480"/>
        <w:jc w:val="both"/>
      </w:pPr>
      <w:r w:rsidRPr="00DA3BC7">
        <w:lastRenderedPageBreak/>
        <w:t>唯識學者繼承此種思想，所以說：由於依他起上遠離遍計所執相，名之為空；而依他起是自相有，不能說為空的。</w:t>
      </w:r>
    </w:p>
    <w:p w:rsidR="002B682F" w:rsidRPr="00DA3BC7" w:rsidRDefault="002B682F" w:rsidP="00C21620">
      <w:pPr>
        <w:widowControl/>
        <w:ind w:leftChars="200" w:left="480"/>
        <w:jc w:val="both"/>
      </w:pPr>
      <w:r w:rsidRPr="00DA3BC7">
        <w:t>這種他空論，早已根深蒂固而必然的與自性有論相結合。</w:t>
      </w:r>
    </w:p>
    <w:p w:rsidR="002B682F" w:rsidRPr="00DA3BC7" w:rsidRDefault="00A04018" w:rsidP="00AE3920">
      <w:pPr>
        <w:widowControl/>
        <w:spacing w:beforeLines="30"/>
        <w:ind w:leftChars="200" w:left="480"/>
        <w:jc w:val="both"/>
        <w:rPr>
          <w:sz w:val="20"/>
          <w:szCs w:val="20"/>
          <w:bdr w:val="single" w:sz="4" w:space="0" w:color="auto"/>
        </w:rPr>
      </w:pPr>
      <w:r w:rsidRPr="00A04018">
        <w:rPr>
          <w:rFonts w:ascii="Times New Roman" w:hAnsi="Times New Roman" w:hint="eastAsia"/>
          <w:b/>
          <w:color w:val="FF0000"/>
          <w:sz w:val="20"/>
          <w:szCs w:val="20"/>
          <w:highlight w:val="yellow"/>
          <w:bdr w:val="single" w:sz="4" w:space="0" w:color="auto"/>
        </w:rPr>
        <w:t>2</w:t>
      </w:r>
      <w:r w:rsidRPr="00A04018">
        <w:rPr>
          <w:rFonts w:ascii="Times New Roman" w:hAnsi="Times New Roman" w:hint="eastAsia"/>
          <w:b/>
          <w:color w:val="FF0000"/>
          <w:sz w:val="20"/>
          <w:szCs w:val="20"/>
          <w:highlight w:val="yellow"/>
          <w:bdr w:val="single" w:sz="4" w:space="0" w:color="auto"/>
        </w:rPr>
        <w:t>、</w:t>
      </w:r>
      <w:r w:rsidR="002B682F" w:rsidRPr="00A04018">
        <w:rPr>
          <w:rFonts w:ascii="Times New Roman" w:hAnsi="Times New Roman"/>
          <w:b/>
          <w:color w:val="FF0000"/>
          <w:sz w:val="20"/>
          <w:szCs w:val="20"/>
          <w:highlight w:val="yellow"/>
          <w:bdr w:val="single" w:sz="4" w:space="0" w:color="auto"/>
        </w:rPr>
        <w:t>《阿含》</w:t>
      </w:r>
      <w:r w:rsidRPr="00A04018">
        <w:rPr>
          <w:rFonts w:ascii="Times New Roman" w:hAnsi="Times New Roman" w:hint="eastAsia"/>
          <w:b/>
          <w:color w:val="FF0000"/>
          <w:sz w:val="20"/>
          <w:szCs w:val="20"/>
          <w:highlight w:val="yellow"/>
          <w:bdr w:val="single" w:sz="4" w:space="0" w:color="auto"/>
        </w:rPr>
        <w:t>之教</w:t>
      </w:r>
      <w:r w:rsidR="002B682F" w:rsidRPr="00DA3BC7">
        <w:rPr>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hAnsi="Times New Roman"/>
          <w:sz w:val="20"/>
          <w:szCs w:val="20"/>
        </w:rPr>
        <w:t>75</w:t>
      </w:r>
      <w:r w:rsidR="002B682F" w:rsidRPr="00DA3BC7">
        <w:rPr>
          <w:sz w:val="20"/>
          <w:szCs w:val="20"/>
        </w:rPr>
        <w:t>-</w:t>
      </w:r>
      <w:r w:rsidR="002B682F" w:rsidRPr="00DA3BC7">
        <w:rPr>
          <w:rFonts w:ascii="Times New Roman" w:hAnsi="Times New Roman"/>
          <w:sz w:val="20"/>
          <w:szCs w:val="20"/>
        </w:rPr>
        <w:t>76</w:t>
      </w:r>
      <w:r w:rsidR="002B682F" w:rsidRPr="00DA3BC7">
        <w:rPr>
          <w:sz w:val="20"/>
          <w:szCs w:val="20"/>
        </w:rPr>
        <w:t>）</w:t>
      </w:r>
    </w:p>
    <w:p w:rsidR="002B682F" w:rsidRPr="00DA3BC7" w:rsidRDefault="002B682F" w:rsidP="00C21620">
      <w:pPr>
        <w:widowControl/>
        <w:ind w:leftChars="200" w:left="480"/>
        <w:jc w:val="both"/>
      </w:pPr>
      <w:r w:rsidRPr="00DA3BC7">
        <w:t>說得遠一點，他空的思想，早見於《中阿含經》中，如《中阿含經》的《小空經》</w:t>
      </w:r>
      <w:r w:rsidRPr="00DA3BC7">
        <w:rPr>
          <w:rStyle w:val="a6"/>
          <w:rFonts w:ascii="Times New Roman" w:hAnsi="Times New Roman"/>
        </w:rPr>
        <w:footnoteReference w:id="393"/>
      </w:r>
      <w:r w:rsidRPr="00DA3BC7">
        <w:t>，就是他空論。這種思想，與西北印度的佛教有關。《小空經》中的他空，即除去某一些而留存某一些</w:t>
      </w:r>
      <w:r w:rsidRPr="00DA3BC7">
        <w:rPr>
          <w:rFonts w:ascii="新細明體" w:hAnsi="新細明體"/>
        </w:rPr>
        <w:t>──</w:t>
      </w:r>
      <w:r w:rsidRPr="00DA3BC7">
        <w:t>本是禪定次第法，稱之為空，而不能一切空的。</w:t>
      </w:r>
    </w:p>
    <w:p w:rsidR="002B682F" w:rsidRPr="00DA3BC7" w:rsidRDefault="002B682F" w:rsidP="00AE3920">
      <w:pPr>
        <w:widowControl/>
        <w:spacing w:beforeLines="20"/>
        <w:ind w:leftChars="200" w:left="480"/>
        <w:jc w:val="both"/>
      </w:pPr>
      <w:r w:rsidRPr="00DA3BC7">
        <w:t>此經以「鹿子母堂空」為喻，如說鹿子母講堂空，是說講堂中沒有牛羊等所以說空，非講堂是空</w:t>
      </w:r>
      <w:r w:rsidRPr="00DA3BC7">
        <w:rPr>
          <w:rFonts w:hint="eastAsia"/>
        </w:rPr>
        <w:t>；</w:t>
      </w:r>
      <w:r w:rsidRPr="00DA3BC7">
        <w:t>也不是講堂裏沒有比丘，更不是別處沒有牛羊，纔說為空。</w:t>
      </w:r>
    </w:p>
    <w:p w:rsidR="002B682F" w:rsidRPr="00DA3BC7" w:rsidRDefault="002B682F" w:rsidP="00AE3920">
      <w:pPr>
        <w:widowControl/>
        <w:spacing w:beforeLines="20"/>
        <w:ind w:leftChars="200" w:left="480"/>
        <w:jc w:val="both"/>
      </w:pPr>
      <w:r w:rsidRPr="00DA3BC7">
        <w:t>這是浮淺的空觀，《楞伽經》稱之為「</w:t>
      </w:r>
      <w:r w:rsidRPr="00E163AB">
        <w:rPr>
          <w:rFonts w:ascii="標楷體" w:eastAsia="標楷體" w:hAnsi="標楷體"/>
        </w:rPr>
        <w:t>彼彼空</w:t>
      </w:r>
      <w:r w:rsidRPr="00DA3BC7">
        <w:t>」，最粗而不應該用的。</w:t>
      </w:r>
      <w:r w:rsidR="00A04018" w:rsidRPr="00A04018">
        <w:rPr>
          <w:rStyle w:val="a6"/>
          <w:rFonts w:ascii="Times New Roman" w:hAnsi="Times New Roman"/>
          <w:highlight w:val="yellow"/>
        </w:rPr>
        <w:footnoteReference w:id="394"/>
      </w:r>
    </w:p>
    <w:p w:rsidR="002B682F" w:rsidRPr="00DA3BC7" w:rsidRDefault="002B682F" w:rsidP="00AE3920">
      <w:pPr>
        <w:widowControl/>
        <w:spacing w:beforeLines="30"/>
        <w:ind w:leftChars="150" w:left="360"/>
        <w:jc w:val="both"/>
        <w:rPr>
          <w:sz w:val="20"/>
          <w:szCs w:val="20"/>
          <w:bdr w:val="single" w:sz="4" w:space="0" w:color="auto"/>
        </w:rPr>
      </w:pPr>
      <w:r w:rsidRPr="00A04018">
        <w:rPr>
          <w:rFonts w:hint="eastAsia"/>
          <w:b/>
          <w:color w:val="FF0000"/>
          <w:sz w:val="20"/>
          <w:szCs w:val="20"/>
          <w:highlight w:val="yellow"/>
          <w:bdr w:val="single" w:sz="4" w:space="0" w:color="auto"/>
        </w:rPr>
        <w:t>（</w:t>
      </w:r>
      <w:r w:rsidR="00A04018" w:rsidRPr="00A04018">
        <w:rPr>
          <w:rFonts w:hint="eastAsia"/>
          <w:b/>
          <w:color w:val="FF0000"/>
          <w:sz w:val="20"/>
          <w:szCs w:val="20"/>
          <w:highlight w:val="yellow"/>
          <w:bdr w:val="single" w:sz="4" w:space="0" w:color="auto"/>
        </w:rPr>
        <w:t>三</w:t>
      </w:r>
      <w:r w:rsidRPr="00A04018">
        <w:rPr>
          <w:rFonts w:hint="eastAsia"/>
          <w:b/>
          <w:color w:val="FF0000"/>
          <w:sz w:val="20"/>
          <w:szCs w:val="20"/>
          <w:highlight w:val="yellow"/>
          <w:bdr w:val="single" w:sz="4" w:space="0" w:color="auto"/>
        </w:rPr>
        <w:t>）</w:t>
      </w:r>
      <w:r w:rsidR="00A04018" w:rsidRPr="00A04018">
        <w:rPr>
          <w:rFonts w:hint="eastAsia"/>
          <w:b/>
          <w:color w:val="FF0000"/>
          <w:sz w:val="20"/>
          <w:szCs w:val="20"/>
          <w:highlight w:val="yellow"/>
          <w:bdr w:val="single" w:sz="4" w:space="0" w:color="auto"/>
        </w:rPr>
        <w:t>歸結</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76</w:t>
      </w:r>
      <w:r w:rsidRPr="00DA3BC7">
        <w:rPr>
          <w:sz w:val="20"/>
          <w:szCs w:val="20"/>
        </w:rPr>
        <w:t>）</w:t>
      </w:r>
    </w:p>
    <w:p w:rsidR="002B682F" w:rsidRPr="00DA3BC7" w:rsidRDefault="002B682F" w:rsidP="008E2BBC">
      <w:pPr>
        <w:widowControl/>
        <w:ind w:leftChars="150" w:left="360"/>
        <w:jc w:val="both"/>
      </w:pPr>
      <w:r w:rsidRPr="00DA3BC7">
        <w:t>這種「</w:t>
      </w:r>
      <w:r w:rsidRPr="00DA3BC7">
        <w:rPr>
          <w:rFonts w:ascii="標楷體" w:eastAsia="標楷體" w:hAnsi="標楷體"/>
        </w:rPr>
        <w:t>由彼故空，彼實是無；於此而空，此實是有</w:t>
      </w:r>
      <w:r w:rsidRPr="00DA3BC7">
        <w:t>」的空觀，有種種的樣式，而根本的方法不變。所以唯識學者的空義，實以西北印的他空論為本，雖接受了大乘的一切法空說，而究竟隔著的。</w:t>
      </w:r>
    </w:p>
    <w:p w:rsidR="002B682F" w:rsidRPr="00DA3BC7" w:rsidRDefault="002B682F" w:rsidP="00AE3920">
      <w:pPr>
        <w:widowControl/>
        <w:spacing w:beforeLines="30"/>
        <w:ind w:leftChars="100" w:left="240"/>
        <w:jc w:val="both"/>
        <w:rPr>
          <w:sz w:val="20"/>
          <w:szCs w:val="20"/>
          <w:bdr w:val="single" w:sz="4" w:space="0" w:color="auto"/>
        </w:rPr>
      </w:pPr>
      <w:r w:rsidRPr="00DA3BC7">
        <w:rPr>
          <w:rFonts w:hint="eastAsia"/>
          <w:b/>
          <w:sz w:val="20"/>
          <w:szCs w:val="20"/>
          <w:bdr w:val="single" w:sz="4" w:space="0" w:color="auto"/>
        </w:rPr>
        <w:lastRenderedPageBreak/>
        <w:t>二、</w:t>
      </w:r>
      <w:r w:rsidRPr="00DA3BC7">
        <w:rPr>
          <w:b/>
          <w:sz w:val="20"/>
          <w:szCs w:val="20"/>
          <w:bdr w:val="single" w:sz="4" w:space="0" w:color="auto"/>
        </w:rPr>
        <w:t>自空</w:t>
      </w:r>
      <w:r w:rsidR="00A04018" w:rsidRPr="00A04018">
        <w:rPr>
          <w:rFonts w:hint="eastAsia"/>
          <w:b/>
          <w:color w:val="FF0000"/>
          <w:sz w:val="20"/>
          <w:szCs w:val="20"/>
          <w:highlight w:val="yellow"/>
          <w:bdr w:val="single" w:sz="4" w:space="0" w:color="auto"/>
        </w:rPr>
        <w:t>論──中觀宗之空</w:t>
      </w:r>
      <w:r w:rsidRPr="00DA3BC7">
        <w:rPr>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76</w:t>
      </w:r>
      <w:r w:rsidRPr="00DA3BC7">
        <w:rPr>
          <w:sz w:val="20"/>
          <w:szCs w:val="20"/>
        </w:rPr>
        <w:t>-</w:t>
      </w:r>
      <w:r w:rsidRPr="00DA3BC7">
        <w:rPr>
          <w:rFonts w:ascii="Times New Roman" w:hAnsi="Times New Roman"/>
          <w:sz w:val="20"/>
          <w:szCs w:val="20"/>
        </w:rPr>
        <w:t>77</w:t>
      </w:r>
      <w:r w:rsidRPr="00DA3BC7">
        <w:rPr>
          <w:sz w:val="20"/>
          <w:szCs w:val="20"/>
        </w:rPr>
        <w:t>）</w:t>
      </w:r>
    </w:p>
    <w:p w:rsidR="00A04018" w:rsidRDefault="002B682F" w:rsidP="008E2BBC">
      <w:pPr>
        <w:widowControl/>
        <w:ind w:leftChars="150" w:left="360"/>
        <w:jc w:val="both"/>
        <w:rPr>
          <w:b/>
          <w:color w:val="FF0000"/>
          <w:sz w:val="20"/>
          <w:szCs w:val="20"/>
          <w:bdr w:val="single" w:sz="4" w:space="0" w:color="auto"/>
        </w:rPr>
      </w:pPr>
      <w:r w:rsidRPr="00A04018">
        <w:rPr>
          <w:rFonts w:hint="eastAsia"/>
          <w:b/>
          <w:color w:val="FF0000"/>
          <w:sz w:val="20"/>
          <w:szCs w:val="20"/>
          <w:highlight w:val="yellow"/>
          <w:bdr w:val="single" w:sz="4" w:space="0" w:color="auto"/>
        </w:rPr>
        <w:t>（一）</w:t>
      </w:r>
      <w:r w:rsidR="00A04018" w:rsidRPr="00A04018">
        <w:rPr>
          <w:rFonts w:hint="eastAsia"/>
          <w:b/>
          <w:color w:val="FF0000"/>
          <w:sz w:val="20"/>
          <w:szCs w:val="20"/>
          <w:highlight w:val="yellow"/>
          <w:bdr w:val="single" w:sz="4" w:space="0" w:color="auto"/>
        </w:rPr>
        <w:t>溯源</w:t>
      </w:r>
    </w:p>
    <w:p w:rsidR="002B682F" w:rsidRPr="00DA3BC7" w:rsidRDefault="00A04018" w:rsidP="00C21620">
      <w:pPr>
        <w:widowControl/>
        <w:ind w:leftChars="200" w:left="480"/>
        <w:jc w:val="both"/>
        <w:rPr>
          <w:sz w:val="20"/>
          <w:szCs w:val="20"/>
          <w:bdr w:val="single" w:sz="4" w:space="0" w:color="auto"/>
        </w:rPr>
      </w:pPr>
      <w:r w:rsidRPr="00A04018">
        <w:rPr>
          <w:rFonts w:ascii="Times New Roman" w:hAnsi="Times New Roman" w:hint="eastAsia"/>
          <w:b/>
          <w:color w:val="FF0000"/>
          <w:sz w:val="20"/>
          <w:szCs w:val="20"/>
          <w:highlight w:val="yellow"/>
          <w:bdr w:val="single" w:sz="4" w:space="0" w:color="auto"/>
        </w:rPr>
        <w:t>1</w:t>
      </w:r>
      <w:r w:rsidRPr="00A04018">
        <w:rPr>
          <w:rFonts w:ascii="Times New Roman" w:hAnsi="Times New Roman" w:hint="eastAsia"/>
          <w:b/>
          <w:color w:val="FF0000"/>
          <w:sz w:val="20"/>
          <w:szCs w:val="20"/>
          <w:highlight w:val="yellow"/>
          <w:bdr w:val="single" w:sz="4" w:space="0" w:color="auto"/>
        </w:rPr>
        <w:t>、</w:t>
      </w:r>
      <w:r w:rsidR="002B682F" w:rsidRPr="00DA3BC7">
        <w:rPr>
          <w:b/>
          <w:sz w:val="20"/>
          <w:szCs w:val="20"/>
          <w:bdr w:val="single" w:sz="4" w:space="0" w:color="auto"/>
        </w:rPr>
        <w:t>《雜阿含》</w:t>
      </w:r>
      <w:r w:rsidR="002B682F" w:rsidRPr="00DA3BC7">
        <w:rPr>
          <w:rFonts w:ascii="Times New Roman" w:hAnsi="Times New Roman" w:hint="eastAsia"/>
          <w:b/>
          <w:sz w:val="20"/>
          <w:szCs w:val="20"/>
          <w:bdr w:val="single" w:sz="4" w:space="0" w:color="auto"/>
        </w:rPr>
        <w:t>232</w:t>
      </w:r>
      <w:r w:rsidR="002B682F" w:rsidRPr="00A04018">
        <w:rPr>
          <w:rFonts w:hint="eastAsia"/>
          <w:b/>
          <w:sz w:val="20"/>
          <w:szCs w:val="20"/>
          <w:highlight w:val="yellow"/>
          <w:bdr w:val="single" w:sz="4" w:space="0" w:color="auto"/>
        </w:rPr>
        <w:t>經</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76</w:t>
      </w:r>
      <w:r w:rsidR="002B682F" w:rsidRPr="00DA3BC7">
        <w:rPr>
          <w:sz w:val="20"/>
          <w:szCs w:val="20"/>
        </w:rPr>
        <w:t>）</w:t>
      </w:r>
    </w:p>
    <w:p w:rsidR="002B682F" w:rsidRPr="00DA3BC7" w:rsidRDefault="002B682F" w:rsidP="00C21620">
      <w:pPr>
        <w:widowControl/>
        <w:ind w:leftChars="200" w:left="480"/>
        <w:jc w:val="both"/>
        <w:rPr>
          <w:lang w:eastAsia="zh-HK"/>
        </w:rPr>
      </w:pPr>
      <w:r w:rsidRPr="00DA3BC7">
        <w:t>至於自空，也是淵源於《阿含</w:t>
      </w:r>
      <w:r w:rsidRPr="00DA3BC7">
        <w:rPr>
          <w:rFonts w:hint="eastAsia"/>
        </w:rPr>
        <w:t>經</w:t>
      </w:r>
      <w:r w:rsidRPr="00DA3BC7">
        <w:t>》的。如《雜阿含經》說：「</w:t>
      </w:r>
      <w:r w:rsidRPr="00DA3BC7">
        <w:rPr>
          <w:rFonts w:eastAsia="標楷體"/>
        </w:rPr>
        <w:t>常空</w:t>
      </w:r>
      <w:r w:rsidRPr="00DA3BC7">
        <w:rPr>
          <w:rFonts w:ascii="標楷體" w:eastAsia="標楷體" w:hAnsi="標楷體" w:hint="eastAsia"/>
        </w:rPr>
        <w:t>……</w:t>
      </w:r>
      <w:r w:rsidRPr="00DA3BC7">
        <w:rPr>
          <w:rFonts w:eastAsia="標楷體"/>
        </w:rPr>
        <w:t>我我所空，性自爾故</w:t>
      </w:r>
      <w:r w:rsidRPr="00DA3BC7">
        <w:t>。」</w:t>
      </w:r>
      <w:r w:rsidRPr="00DA3BC7">
        <w:rPr>
          <w:rStyle w:val="a6"/>
          <w:rFonts w:ascii="Times New Roman" w:hAnsi="Times New Roman"/>
        </w:rPr>
        <w:footnoteReference w:id="395"/>
      </w:r>
      <w:r w:rsidRPr="00DA3BC7">
        <w:t>這即是說：常、我、我所的當體即空</w:t>
      </w:r>
      <w:r w:rsidRPr="00DA3BC7">
        <w:rPr>
          <w:rFonts w:hint="eastAsia"/>
        </w:rPr>
        <w:t>，</w:t>
      </w:r>
      <w:r w:rsidRPr="00DA3BC7">
        <w:t>不是空外另有常、我、我所等不空。常、我、我所等所以即空，是因為常、我、我所的性自爾故。</w:t>
      </w:r>
    </w:p>
    <w:p w:rsidR="002B682F" w:rsidRPr="00DA3BC7" w:rsidRDefault="00A04018" w:rsidP="00AE3920">
      <w:pPr>
        <w:widowControl/>
        <w:spacing w:beforeLines="30"/>
        <w:ind w:leftChars="200" w:left="480"/>
        <w:jc w:val="both"/>
        <w:rPr>
          <w:sz w:val="20"/>
          <w:szCs w:val="20"/>
          <w:bdr w:val="single" w:sz="4" w:space="0" w:color="auto"/>
          <w:lang w:eastAsia="zh-HK"/>
        </w:rPr>
      </w:pPr>
      <w:r w:rsidRPr="00A04018">
        <w:rPr>
          <w:rFonts w:ascii="Times New Roman" w:hAnsi="Times New Roman" w:hint="eastAsia"/>
          <w:b/>
          <w:color w:val="FF0000"/>
          <w:sz w:val="20"/>
          <w:szCs w:val="20"/>
          <w:highlight w:val="yellow"/>
          <w:bdr w:val="single" w:sz="4" w:space="0" w:color="auto"/>
        </w:rPr>
        <w:t>2</w:t>
      </w:r>
      <w:r w:rsidRPr="00A04018">
        <w:rPr>
          <w:rFonts w:ascii="Times New Roman" w:hAnsi="Times New Roman" w:hint="eastAsia"/>
          <w:b/>
          <w:color w:val="FF0000"/>
          <w:sz w:val="20"/>
          <w:szCs w:val="20"/>
          <w:highlight w:val="yellow"/>
          <w:bdr w:val="single" w:sz="4" w:space="0" w:color="auto"/>
        </w:rPr>
        <w:t>、</w:t>
      </w:r>
      <w:r w:rsidR="002B682F" w:rsidRPr="00DA3BC7">
        <w:rPr>
          <w:b/>
          <w:sz w:val="20"/>
          <w:szCs w:val="20"/>
          <w:bdr w:val="single" w:sz="4" w:space="0" w:color="auto"/>
        </w:rPr>
        <w:t>《雜阿</w:t>
      </w:r>
      <w:r w:rsidR="002B682F" w:rsidRPr="00A04018">
        <w:rPr>
          <w:b/>
          <w:sz w:val="20"/>
          <w:szCs w:val="20"/>
          <w:highlight w:val="yellow"/>
          <w:bdr w:val="single" w:sz="4" w:space="0" w:color="auto"/>
        </w:rPr>
        <w:t>含》</w:t>
      </w:r>
      <w:r w:rsidRPr="00A04018">
        <w:rPr>
          <w:rFonts w:ascii="Times New Roman" w:hAnsi="Times New Roman" w:hint="eastAsia"/>
          <w:b/>
          <w:color w:val="FF0000"/>
          <w:sz w:val="20"/>
          <w:szCs w:val="20"/>
          <w:highlight w:val="yellow"/>
          <w:bdr w:val="single" w:sz="4" w:space="0" w:color="auto"/>
        </w:rPr>
        <w:t>235</w:t>
      </w:r>
      <w:r w:rsidRPr="00A04018">
        <w:rPr>
          <w:b/>
          <w:sz w:val="20"/>
          <w:szCs w:val="20"/>
          <w:highlight w:val="yellow"/>
          <w:bdr w:val="single" w:sz="4" w:space="0" w:color="auto"/>
        </w:rPr>
        <w:t>經</w:t>
      </w:r>
      <w:r w:rsidR="002B682F" w:rsidRPr="00DA3BC7">
        <w:rPr>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hAnsi="Times New Roman"/>
          <w:sz w:val="20"/>
          <w:szCs w:val="20"/>
        </w:rPr>
        <w:t>76</w:t>
      </w:r>
      <w:r w:rsidR="002B682F" w:rsidRPr="00DA3BC7">
        <w:rPr>
          <w:sz w:val="20"/>
          <w:szCs w:val="20"/>
        </w:rPr>
        <w:t>-</w:t>
      </w:r>
      <w:r w:rsidR="002B682F" w:rsidRPr="00DA3BC7">
        <w:rPr>
          <w:rFonts w:ascii="Times New Roman" w:hAnsi="Times New Roman"/>
          <w:sz w:val="20"/>
          <w:szCs w:val="20"/>
        </w:rPr>
        <w:t>77</w:t>
      </w:r>
      <w:r w:rsidR="002B682F" w:rsidRPr="00DA3BC7">
        <w:rPr>
          <w:sz w:val="20"/>
          <w:szCs w:val="20"/>
        </w:rPr>
        <w:t>）</w:t>
      </w:r>
    </w:p>
    <w:p w:rsidR="002B682F" w:rsidRPr="00DA3BC7" w:rsidRDefault="002B682F" w:rsidP="00C21620">
      <w:pPr>
        <w:widowControl/>
        <w:ind w:leftChars="200" w:left="480"/>
        <w:jc w:val="both"/>
      </w:pPr>
      <w:r w:rsidRPr="00DA3BC7">
        <w:t>又如《雜阿含</w:t>
      </w:r>
      <w:r w:rsidRPr="00DA3BC7">
        <w:rPr>
          <w:rFonts w:hint="eastAsia"/>
        </w:rPr>
        <w:t>經</w:t>
      </w:r>
      <w:r w:rsidRPr="00DA3BC7">
        <w:t>》的《勝義空經》（</w:t>
      </w:r>
      <w:r w:rsidRPr="00DA3BC7">
        <w:rPr>
          <w:rFonts w:ascii="Times New Roman" w:hAnsi="Times New Roman" w:hint="eastAsia"/>
        </w:rPr>
        <w:t>335</w:t>
      </w:r>
      <w:r w:rsidRPr="00DA3BC7">
        <w:t>經）說：無我我所而有因果業報流轉事，但不是勝義諦中有此因果業報流轉等，所以說：「</w:t>
      </w:r>
      <w:r w:rsidRPr="00DA3BC7">
        <w:rPr>
          <w:rFonts w:eastAsia="標楷體"/>
        </w:rPr>
        <w:t>俗數法</w:t>
      </w:r>
      <w:r w:rsidRPr="00DA3BC7">
        <w:rPr>
          <w:rStyle w:val="a6"/>
          <w:rFonts w:ascii="Times New Roman" w:hAnsi="Times New Roman"/>
        </w:rPr>
        <w:footnoteReference w:id="396"/>
      </w:r>
      <w:r w:rsidRPr="00DA3BC7">
        <w:rPr>
          <w:rFonts w:eastAsia="標楷體"/>
        </w:rPr>
        <w:t>者，謂此有故彼有，此生故彼生，謂無明緣行</w:t>
      </w:r>
      <w:r w:rsidRPr="00DA3BC7">
        <w:rPr>
          <w:rFonts w:ascii="標楷體" w:eastAsia="標楷體" w:hAnsi="標楷體" w:hint="eastAsia"/>
        </w:rPr>
        <w:t>……</w:t>
      </w:r>
      <w:r w:rsidRPr="00DA3BC7">
        <w:t>。」</w:t>
      </w:r>
      <w:r w:rsidRPr="00DA3BC7">
        <w:rPr>
          <w:rStyle w:val="a6"/>
          <w:rFonts w:ascii="Times New Roman" w:hAnsi="Times New Roman"/>
        </w:rPr>
        <w:footnoteReference w:id="397"/>
      </w:r>
      <w:r w:rsidRPr="00DA3BC7">
        <w:t>緣起因果的相續有，是世俗的</w:t>
      </w:r>
      <w:r w:rsidRPr="00DA3BC7">
        <w:rPr>
          <w:rFonts w:hint="eastAsia"/>
        </w:rPr>
        <w:t>；</w:t>
      </w:r>
      <w:r w:rsidRPr="00DA3BC7">
        <w:t>勝義諦中即無我我所而空。世俗有與勝義空，此經即概略指出了。</w:t>
      </w:r>
    </w:p>
    <w:p w:rsidR="002B682F" w:rsidRPr="00DA3BC7" w:rsidRDefault="00A04018" w:rsidP="00AE3920">
      <w:pPr>
        <w:widowControl/>
        <w:spacing w:beforeLines="30"/>
        <w:ind w:leftChars="150" w:left="360"/>
        <w:jc w:val="both"/>
        <w:rPr>
          <w:sz w:val="20"/>
          <w:szCs w:val="20"/>
          <w:bdr w:val="single" w:sz="4" w:space="0" w:color="auto"/>
        </w:rPr>
      </w:pPr>
      <w:r w:rsidRPr="00A04018">
        <w:rPr>
          <w:rFonts w:hint="eastAsia"/>
          <w:b/>
          <w:color w:val="FF0000"/>
          <w:sz w:val="20"/>
          <w:szCs w:val="20"/>
          <w:highlight w:val="yellow"/>
          <w:bdr w:val="single" w:sz="4" w:space="0" w:color="auto"/>
        </w:rPr>
        <w:t>（二）顯異</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77</w:t>
      </w:r>
      <w:r w:rsidR="002B682F" w:rsidRPr="00DA3BC7">
        <w:rPr>
          <w:sz w:val="20"/>
          <w:szCs w:val="20"/>
        </w:rPr>
        <w:t>）</w:t>
      </w:r>
    </w:p>
    <w:p w:rsidR="002B682F" w:rsidRPr="00DA3BC7" w:rsidRDefault="002B682F" w:rsidP="00C21620">
      <w:pPr>
        <w:widowControl/>
        <w:ind w:leftChars="150" w:left="360"/>
        <w:jc w:val="both"/>
      </w:pPr>
      <w:r w:rsidRPr="00DA3BC7">
        <w:t>總之，</w:t>
      </w:r>
      <w:r w:rsidRPr="00DA3BC7">
        <w:rPr>
          <w:b/>
        </w:rPr>
        <w:t>自空</w:t>
      </w:r>
      <w:r w:rsidRPr="00DA3BC7">
        <w:t>乃</w:t>
      </w:r>
      <w:r w:rsidRPr="00DA3BC7">
        <w:rPr>
          <w:b/>
        </w:rPr>
        <w:t>即法的當體而明空</w:t>
      </w:r>
      <w:r w:rsidRPr="00DA3BC7">
        <w:t>，</w:t>
      </w:r>
      <w:r w:rsidRPr="00DA3BC7">
        <w:rPr>
          <w:b/>
        </w:rPr>
        <w:t>他空</w:t>
      </w:r>
      <w:r w:rsidRPr="00DA3BC7">
        <w:t>則</w:t>
      </w:r>
      <w:r w:rsidRPr="00DA3BC7">
        <w:rPr>
          <w:b/>
        </w:rPr>
        <w:t>在此法上空去彼法而明空</w:t>
      </w:r>
      <w:r w:rsidRPr="00DA3BC7">
        <w:t>的。</w:t>
      </w:r>
    </w:p>
    <w:p w:rsidR="002B682F" w:rsidRPr="00DA3BC7" w:rsidRDefault="002B682F" w:rsidP="00C21620">
      <w:pPr>
        <w:widowControl/>
        <w:ind w:leftChars="150" w:left="360"/>
        <w:jc w:val="both"/>
      </w:pPr>
      <w:r w:rsidRPr="00DA3BC7">
        <w:t>所以</w:t>
      </w:r>
      <w:r w:rsidRPr="00DA3BC7">
        <w:rPr>
          <w:b/>
        </w:rPr>
        <w:t>中觀</w:t>
      </w:r>
      <w:r w:rsidRPr="00DA3BC7">
        <w:t>所說的</w:t>
      </w:r>
      <w:r w:rsidRPr="00DA3BC7">
        <w:rPr>
          <w:b/>
        </w:rPr>
        <w:t>世俗假名有</w:t>
      </w:r>
      <w:r w:rsidR="00A04018">
        <w:rPr>
          <w:rFonts w:hint="eastAsia"/>
          <w:b/>
          <w:color w:val="FF0000"/>
          <w:highlight w:val="yellow"/>
        </w:rPr>
        <w:t>、</w:t>
      </w:r>
      <w:r w:rsidRPr="00DA3BC7">
        <w:rPr>
          <w:b/>
        </w:rPr>
        <w:t>勝義畢竟空</w:t>
      </w:r>
      <w:r w:rsidRPr="00DA3BC7">
        <w:t>，他空論者是不能承認的。他們照著自己的意見而修正說：一切皆空是不了義的</w:t>
      </w:r>
      <w:r w:rsidRPr="00DA3BC7">
        <w:rPr>
          <w:rFonts w:hint="eastAsia"/>
        </w:rPr>
        <w:t>。</w:t>
      </w:r>
      <w:r w:rsidRPr="00DA3BC7">
        <w:t>這與自性空者處於相反的立場。</w:t>
      </w:r>
    </w:p>
    <w:p w:rsidR="002B682F" w:rsidRPr="00DA3BC7" w:rsidRDefault="002B682F" w:rsidP="00AE3920">
      <w:pPr>
        <w:widowControl/>
        <w:spacing w:beforeLines="20"/>
        <w:ind w:leftChars="150" w:left="360"/>
        <w:jc w:val="both"/>
      </w:pPr>
      <w:r w:rsidRPr="00DA3BC7">
        <w:lastRenderedPageBreak/>
        <w:t>後來唯識學者論空，只約遣去遍計所執說；不但不能說緣起即空所顯，也不能當下確認諸法皆空，所以自空與他空是根本不同。</w:t>
      </w:r>
    </w:p>
    <w:p w:rsidR="002B682F" w:rsidRPr="00DA3BC7" w:rsidRDefault="002B682F" w:rsidP="00C21620">
      <w:pPr>
        <w:widowControl/>
        <w:ind w:leftChars="150" w:left="360"/>
        <w:jc w:val="both"/>
      </w:pPr>
      <w:r w:rsidRPr="00DA3BC7">
        <w:t>假使引用《成唯識論》所說「</w:t>
      </w:r>
      <w:r w:rsidRPr="00DA3BC7">
        <w:rPr>
          <w:rFonts w:eastAsia="標楷體"/>
        </w:rPr>
        <w:t>若執唯識</w:t>
      </w:r>
      <w:r w:rsidRPr="00DA3BC7">
        <w:rPr>
          <w:rFonts w:ascii="標楷體" w:eastAsia="標楷體" w:hAnsi="標楷體" w:hint="eastAsia"/>
        </w:rPr>
        <w:t>真</w:t>
      </w:r>
      <w:r w:rsidRPr="00DA3BC7">
        <w:rPr>
          <w:rFonts w:eastAsia="標楷體"/>
        </w:rPr>
        <w:t>實有者</w:t>
      </w:r>
      <w:r w:rsidRPr="00DA3BC7">
        <w:rPr>
          <w:rFonts w:eastAsia="標楷體" w:hint="eastAsia"/>
        </w:rPr>
        <w:t>，</w:t>
      </w:r>
      <w:r w:rsidRPr="00DA3BC7">
        <w:rPr>
          <w:rFonts w:ascii="新細明體" w:hAnsi="新細明體" w:hint="eastAsia"/>
        </w:rPr>
        <w:t>……</w:t>
      </w:r>
      <w:r w:rsidRPr="00DA3BC7">
        <w:rPr>
          <w:rFonts w:eastAsia="標楷體"/>
        </w:rPr>
        <w:t>亦是法執</w:t>
      </w:r>
      <w:r w:rsidRPr="00DA3BC7">
        <w:t>」</w:t>
      </w:r>
      <w:r w:rsidRPr="00DA3BC7">
        <w:rPr>
          <w:rStyle w:val="a6"/>
          <w:rFonts w:ascii="Times New Roman" w:hAnsi="Times New Roman"/>
        </w:rPr>
        <w:footnoteReference w:id="398"/>
      </w:r>
      <w:r w:rsidRPr="00DA3BC7">
        <w:t>，以為唯識也說緣起心心所法空，不免附會</w:t>
      </w:r>
      <w:r w:rsidRPr="00DA3BC7">
        <w:rPr>
          <w:rStyle w:val="a6"/>
          <w:rFonts w:ascii="Times New Roman" w:hAnsi="Times New Roman"/>
        </w:rPr>
        <w:footnoteReference w:id="399"/>
      </w:r>
      <w:r w:rsidRPr="00DA3BC7">
        <w:t>。</w:t>
      </w:r>
      <w:r w:rsidRPr="00DA3BC7">
        <w:rPr>
          <w:rStyle w:val="a6"/>
          <w:rFonts w:ascii="Times New Roman" w:hAnsi="Times New Roman"/>
        </w:rPr>
        <w:footnoteReference w:id="400"/>
      </w:r>
    </w:p>
    <w:p w:rsidR="002B682F" w:rsidRPr="00DA3BC7" w:rsidRDefault="00A04018" w:rsidP="00AE3920">
      <w:pPr>
        <w:spacing w:beforeLines="30"/>
        <w:ind w:leftChars="50" w:left="120"/>
        <w:jc w:val="both"/>
        <w:rPr>
          <w:sz w:val="20"/>
          <w:szCs w:val="20"/>
        </w:rPr>
      </w:pPr>
      <w:r w:rsidRPr="00A04018">
        <w:rPr>
          <w:rFonts w:hint="eastAsia"/>
          <w:b/>
          <w:color w:val="FF0000"/>
          <w:sz w:val="20"/>
          <w:szCs w:val="20"/>
          <w:highlight w:val="yellow"/>
          <w:bdr w:val="single" w:sz="4" w:space="0" w:color="auto"/>
        </w:rPr>
        <w:t>（貳）印順法師的評辨</w:t>
      </w:r>
      <w:r w:rsidR="002B682F" w:rsidRPr="00DA3BC7">
        <w:rPr>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hAnsi="Times New Roman"/>
          <w:sz w:val="20"/>
          <w:szCs w:val="20"/>
        </w:rPr>
        <w:t>77</w:t>
      </w:r>
      <w:r w:rsidR="002B682F" w:rsidRPr="00DA3BC7">
        <w:rPr>
          <w:sz w:val="20"/>
          <w:szCs w:val="20"/>
        </w:rPr>
        <w:t>-</w:t>
      </w:r>
      <w:r w:rsidR="002B682F" w:rsidRPr="00DA3BC7">
        <w:rPr>
          <w:rFonts w:ascii="Times New Roman" w:hAnsi="Times New Roman"/>
          <w:sz w:val="20"/>
          <w:szCs w:val="20"/>
        </w:rPr>
        <w:t>7</w:t>
      </w:r>
      <w:r w:rsidR="002B682F" w:rsidRPr="00DA3BC7">
        <w:rPr>
          <w:rFonts w:ascii="Times New Roman" w:hAnsi="Times New Roman" w:hint="eastAsia"/>
          <w:sz w:val="20"/>
          <w:szCs w:val="20"/>
        </w:rPr>
        <w:t>9</w:t>
      </w:r>
      <w:r w:rsidR="002B682F" w:rsidRPr="00DA3BC7">
        <w:rPr>
          <w:sz w:val="20"/>
          <w:szCs w:val="20"/>
        </w:rPr>
        <w:t>）</w:t>
      </w:r>
    </w:p>
    <w:p w:rsidR="002B682F" w:rsidRPr="00DA3BC7" w:rsidRDefault="00A04018" w:rsidP="00C21620">
      <w:pPr>
        <w:widowControl/>
        <w:ind w:leftChars="100" w:left="240"/>
        <w:jc w:val="both"/>
        <w:rPr>
          <w:b/>
          <w:sz w:val="20"/>
          <w:szCs w:val="20"/>
          <w:bdr w:val="single" w:sz="4" w:space="0" w:color="auto"/>
        </w:rPr>
      </w:pPr>
      <w:r w:rsidRPr="00A04018">
        <w:rPr>
          <w:rFonts w:hint="eastAsia"/>
          <w:b/>
          <w:color w:val="FF0000"/>
          <w:sz w:val="20"/>
          <w:szCs w:val="20"/>
          <w:highlight w:val="yellow"/>
          <w:bdr w:val="single" w:sz="4" w:space="0" w:color="auto"/>
        </w:rPr>
        <w:t>一、總</w:t>
      </w:r>
      <w:r w:rsidR="002B682F" w:rsidRPr="00A04018">
        <w:rPr>
          <w:rFonts w:hint="eastAsia"/>
          <w:b/>
          <w:color w:val="FF0000"/>
          <w:sz w:val="20"/>
          <w:szCs w:val="20"/>
          <w:highlight w:val="yellow"/>
          <w:bdr w:val="single" w:sz="4" w:space="0" w:color="auto"/>
        </w:rPr>
        <w:t>標</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77</w:t>
      </w:r>
      <w:r w:rsidR="002B682F" w:rsidRPr="00DA3BC7">
        <w:rPr>
          <w:sz w:val="20"/>
          <w:szCs w:val="20"/>
        </w:rPr>
        <w:t>）</w:t>
      </w:r>
    </w:p>
    <w:p w:rsidR="002B682F" w:rsidRPr="00DA3BC7" w:rsidRDefault="002B682F" w:rsidP="00C21620">
      <w:pPr>
        <w:widowControl/>
        <w:ind w:leftChars="100" w:left="240"/>
        <w:jc w:val="both"/>
      </w:pPr>
      <w:r w:rsidRPr="00DA3BC7">
        <w:t>我覺得</w:t>
      </w:r>
      <w:r w:rsidRPr="00DA3BC7">
        <w:rPr>
          <w:b/>
        </w:rPr>
        <w:t>中觀者</w:t>
      </w:r>
      <w:r w:rsidRPr="00DA3BC7">
        <w:t>的一切法空，主要是</w:t>
      </w:r>
      <w:r w:rsidRPr="00DA3BC7">
        <w:rPr>
          <w:b/>
        </w:rPr>
        <w:t>從緣起因果而顯</w:t>
      </w:r>
      <w:r w:rsidRPr="00DA3BC7">
        <w:t>的，而</w:t>
      </w:r>
      <w:r w:rsidRPr="00DA3BC7">
        <w:rPr>
          <w:b/>
        </w:rPr>
        <w:t>唯識宗</w:t>
      </w:r>
      <w:r w:rsidRPr="00DA3BC7">
        <w:t>是</w:t>
      </w:r>
      <w:r w:rsidRPr="00DA3BC7">
        <w:rPr>
          <w:b/>
        </w:rPr>
        <w:t>從認識論上說</w:t>
      </w:r>
      <w:r w:rsidRPr="00DA3BC7">
        <w:t>的。</w:t>
      </w:r>
    </w:p>
    <w:p w:rsidR="002B682F" w:rsidRPr="00DA3BC7" w:rsidRDefault="00A04018" w:rsidP="00AE3920">
      <w:pPr>
        <w:widowControl/>
        <w:spacing w:beforeLines="30"/>
        <w:ind w:leftChars="100" w:left="240"/>
        <w:jc w:val="both"/>
        <w:rPr>
          <w:b/>
          <w:sz w:val="20"/>
          <w:szCs w:val="20"/>
          <w:bdr w:val="single" w:sz="4" w:space="0" w:color="auto"/>
        </w:rPr>
      </w:pPr>
      <w:r w:rsidRPr="00A04018">
        <w:rPr>
          <w:rFonts w:hint="eastAsia"/>
          <w:b/>
          <w:color w:val="FF0000"/>
          <w:sz w:val="20"/>
          <w:szCs w:val="20"/>
          <w:highlight w:val="yellow"/>
          <w:bdr w:val="single" w:sz="4" w:space="0" w:color="auto"/>
        </w:rPr>
        <w:t>二、</w:t>
      </w:r>
      <w:r w:rsidR="002B682F" w:rsidRPr="00DA3BC7">
        <w:rPr>
          <w:rFonts w:hint="eastAsia"/>
          <w:b/>
          <w:sz w:val="20"/>
          <w:szCs w:val="20"/>
          <w:bdr w:val="single" w:sz="4" w:space="0" w:color="auto"/>
        </w:rPr>
        <w:t>別釋</w:t>
      </w:r>
      <w:r w:rsidR="002B682F" w:rsidRPr="00DA3BC7">
        <w:rPr>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hAnsi="Times New Roman"/>
          <w:sz w:val="20"/>
          <w:szCs w:val="20"/>
        </w:rPr>
        <w:t>77</w:t>
      </w:r>
      <w:r w:rsidR="002B682F" w:rsidRPr="00DA3BC7">
        <w:rPr>
          <w:sz w:val="20"/>
          <w:szCs w:val="20"/>
        </w:rPr>
        <w:t>-</w:t>
      </w:r>
      <w:r w:rsidR="002B682F" w:rsidRPr="00DA3BC7">
        <w:rPr>
          <w:rFonts w:ascii="Times New Roman" w:hAnsi="Times New Roman"/>
          <w:sz w:val="20"/>
          <w:szCs w:val="20"/>
        </w:rPr>
        <w:t>7</w:t>
      </w:r>
      <w:r w:rsidR="002B682F" w:rsidRPr="00DA3BC7">
        <w:rPr>
          <w:rFonts w:ascii="Times New Roman" w:hAnsi="Times New Roman" w:hint="eastAsia"/>
          <w:sz w:val="20"/>
          <w:szCs w:val="20"/>
        </w:rPr>
        <w:t>9</w:t>
      </w:r>
      <w:r w:rsidR="002B682F" w:rsidRPr="00DA3BC7">
        <w:rPr>
          <w:sz w:val="20"/>
          <w:szCs w:val="20"/>
        </w:rPr>
        <w:t>）</w:t>
      </w:r>
    </w:p>
    <w:p w:rsidR="002B682F" w:rsidRPr="00DA3BC7" w:rsidRDefault="00A04018" w:rsidP="00C21620">
      <w:pPr>
        <w:widowControl/>
        <w:ind w:leftChars="150" w:left="360"/>
        <w:jc w:val="both"/>
        <w:rPr>
          <w:b/>
          <w:sz w:val="20"/>
          <w:szCs w:val="20"/>
          <w:bdr w:val="single" w:sz="4" w:space="0" w:color="auto"/>
        </w:rPr>
      </w:pPr>
      <w:r w:rsidRPr="00A04018">
        <w:rPr>
          <w:rFonts w:hint="eastAsia"/>
          <w:b/>
          <w:color w:val="FF0000"/>
          <w:sz w:val="20"/>
          <w:szCs w:val="20"/>
          <w:highlight w:val="yellow"/>
          <w:bdr w:val="single" w:sz="4" w:space="0" w:color="auto"/>
        </w:rPr>
        <w:t>（一）辨「</w:t>
      </w:r>
      <w:r w:rsidR="002B682F" w:rsidRPr="00A04018">
        <w:rPr>
          <w:rFonts w:hint="eastAsia"/>
          <w:b/>
          <w:color w:val="FF0000"/>
          <w:sz w:val="20"/>
          <w:szCs w:val="20"/>
          <w:highlight w:val="yellow"/>
          <w:bdr w:val="single" w:sz="4" w:space="0" w:color="auto"/>
        </w:rPr>
        <w:t>唯識</w:t>
      </w:r>
      <w:r w:rsidRPr="00A04018">
        <w:rPr>
          <w:rFonts w:hint="eastAsia"/>
          <w:b/>
          <w:color w:val="FF0000"/>
          <w:sz w:val="20"/>
          <w:szCs w:val="20"/>
          <w:highlight w:val="yellow"/>
          <w:bdr w:val="single" w:sz="4" w:space="0" w:color="auto"/>
        </w:rPr>
        <w:t>者的</w:t>
      </w:r>
      <w:r w:rsidR="002B682F" w:rsidRPr="00A04018">
        <w:rPr>
          <w:rFonts w:hint="eastAsia"/>
          <w:b/>
          <w:color w:val="FF0000"/>
          <w:sz w:val="20"/>
          <w:szCs w:val="20"/>
          <w:highlight w:val="yellow"/>
          <w:bdr w:val="single" w:sz="4" w:space="0" w:color="auto"/>
        </w:rPr>
        <w:t>空</w:t>
      </w:r>
      <w:r w:rsidRPr="00A04018">
        <w:rPr>
          <w:rFonts w:hint="eastAsia"/>
          <w:b/>
          <w:color w:val="FF0000"/>
          <w:sz w:val="20"/>
          <w:szCs w:val="20"/>
          <w:highlight w:val="yellow"/>
          <w:bdr w:val="single" w:sz="4" w:space="0" w:color="auto"/>
        </w:rPr>
        <w:t>說」</w:t>
      </w:r>
      <w:r w:rsidR="002B682F" w:rsidRPr="00DA3BC7">
        <w:rPr>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hAnsi="Times New Roman"/>
          <w:sz w:val="20"/>
          <w:szCs w:val="20"/>
        </w:rPr>
        <w:t>77</w:t>
      </w:r>
      <w:r w:rsidR="002B682F" w:rsidRPr="00DA3BC7">
        <w:rPr>
          <w:sz w:val="20"/>
          <w:szCs w:val="20"/>
        </w:rPr>
        <w:t>-</w:t>
      </w:r>
      <w:r w:rsidR="002B682F" w:rsidRPr="00DA3BC7">
        <w:rPr>
          <w:rFonts w:ascii="Times New Roman" w:hAnsi="Times New Roman"/>
          <w:sz w:val="20"/>
          <w:szCs w:val="20"/>
        </w:rPr>
        <w:t>78</w:t>
      </w:r>
      <w:r w:rsidR="002B682F" w:rsidRPr="00DA3BC7">
        <w:rPr>
          <w:sz w:val="20"/>
          <w:szCs w:val="20"/>
        </w:rPr>
        <w:t>）</w:t>
      </w:r>
    </w:p>
    <w:p w:rsidR="002B682F" w:rsidRPr="00DA3BC7" w:rsidRDefault="00A04018" w:rsidP="00C21620">
      <w:pPr>
        <w:widowControl/>
        <w:ind w:leftChars="200" w:left="480"/>
        <w:jc w:val="both"/>
        <w:rPr>
          <w:b/>
          <w:sz w:val="20"/>
          <w:szCs w:val="20"/>
          <w:bdr w:val="single" w:sz="4" w:space="0" w:color="auto"/>
        </w:rPr>
      </w:pPr>
      <w:r w:rsidRPr="00A04018">
        <w:rPr>
          <w:rFonts w:ascii="Times New Roman" w:hAnsi="Times New Roman" w:hint="eastAsia"/>
          <w:b/>
          <w:color w:val="FF0000"/>
          <w:sz w:val="20"/>
          <w:szCs w:val="20"/>
          <w:highlight w:val="yellow"/>
          <w:bdr w:val="single" w:sz="4" w:space="0" w:color="auto"/>
        </w:rPr>
        <w:t>1</w:t>
      </w:r>
      <w:r w:rsidRPr="00A04018">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明宗義</w:t>
      </w:r>
      <w:r w:rsidR="002B682F" w:rsidRPr="00DA3BC7">
        <w:rPr>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hAnsi="Times New Roman"/>
          <w:sz w:val="20"/>
          <w:szCs w:val="20"/>
        </w:rPr>
        <w:t>77</w:t>
      </w:r>
      <w:r w:rsidR="002B682F" w:rsidRPr="00DA3BC7">
        <w:rPr>
          <w:sz w:val="20"/>
          <w:szCs w:val="20"/>
        </w:rPr>
        <w:t>-</w:t>
      </w:r>
      <w:r w:rsidR="002B682F" w:rsidRPr="00DA3BC7">
        <w:rPr>
          <w:rFonts w:ascii="Times New Roman" w:hAnsi="Times New Roman"/>
          <w:sz w:val="20"/>
          <w:szCs w:val="20"/>
        </w:rPr>
        <w:t>78</w:t>
      </w:r>
      <w:r w:rsidR="002B682F" w:rsidRPr="00DA3BC7">
        <w:rPr>
          <w:sz w:val="20"/>
          <w:szCs w:val="20"/>
        </w:rPr>
        <w:t>）</w:t>
      </w:r>
    </w:p>
    <w:p w:rsidR="002B682F" w:rsidRPr="00DA3BC7" w:rsidRDefault="00A04018" w:rsidP="00AE3920">
      <w:pPr>
        <w:widowControl/>
        <w:spacing w:beforeLines="10"/>
        <w:ind w:leftChars="250" w:left="600"/>
        <w:jc w:val="both"/>
        <w:rPr>
          <w:b/>
          <w:sz w:val="20"/>
          <w:szCs w:val="20"/>
          <w:bdr w:val="single" w:sz="4" w:space="0" w:color="auto"/>
        </w:rPr>
      </w:pPr>
      <w:r w:rsidRPr="00A04018">
        <w:rPr>
          <w:rFonts w:ascii="Times New Roman" w:hAnsi="Times New Roman" w:hint="eastAsia"/>
          <w:b/>
          <w:color w:val="FF0000"/>
          <w:sz w:val="20"/>
          <w:szCs w:val="20"/>
          <w:highlight w:val="yellow"/>
          <w:bdr w:val="single" w:sz="4" w:space="0" w:color="auto"/>
        </w:rPr>
        <w:t>（</w:t>
      </w:r>
      <w:r w:rsidR="002B682F" w:rsidRPr="00A04018">
        <w:rPr>
          <w:rFonts w:ascii="Times New Roman" w:hAnsi="Times New Roman" w:hint="eastAsia"/>
          <w:b/>
          <w:color w:val="FF0000"/>
          <w:sz w:val="20"/>
          <w:szCs w:val="20"/>
          <w:highlight w:val="yellow"/>
          <w:bdr w:val="single" w:sz="4" w:space="0" w:color="auto"/>
        </w:rPr>
        <w:t>1</w:t>
      </w:r>
      <w:r w:rsidRPr="00A04018">
        <w:rPr>
          <w:rFonts w:hint="eastAsia"/>
          <w:b/>
          <w:color w:val="FF0000"/>
          <w:sz w:val="20"/>
          <w:szCs w:val="20"/>
          <w:highlight w:val="yellow"/>
          <w:bdr w:val="single" w:sz="4" w:space="0" w:color="auto"/>
        </w:rPr>
        <w:t>）</w:t>
      </w:r>
      <w:r w:rsidR="002B682F" w:rsidRPr="00DA3BC7">
        <w:rPr>
          <w:rFonts w:hint="eastAsia"/>
          <w:b/>
          <w:sz w:val="20"/>
          <w:szCs w:val="20"/>
          <w:bdr w:val="single" w:sz="4" w:space="0" w:color="auto"/>
        </w:rPr>
        <w:t>標</w:t>
      </w:r>
      <w:r w:rsidR="002B682F" w:rsidRPr="00A04018">
        <w:rPr>
          <w:rFonts w:hint="eastAsia"/>
          <w:b/>
          <w:sz w:val="20"/>
          <w:szCs w:val="20"/>
          <w:highlight w:val="yellow"/>
          <w:bdr w:val="single" w:sz="4" w:space="0" w:color="auto"/>
        </w:rPr>
        <w:t>宗</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77</w:t>
      </w:r>
      <w:r w:rsidR="002B682F" w:rsidRPr="00DA3BC7">
        <w:rPr>
          <w:sz w:val="20"/>
          <w:szCs w:val="20"/>
        </w:rPr>
        <w:t>）</w:t>
      </w:r>
    </w:p>
    <w:p w:rsidR="002B682F" w:rsidRPr="00DA3BC7" w:rsidRDefault="002B682F" w:rsidP="00C21620">
      <w:pPr>
        <w:widowControl/>
        <w:ind w:leftChars="250" w:left="600"/>
        <w:jc w:val="both"/>
      </w:pPr>
      <w:r w:rsidRPr="00DA3BC7">
        <w:t>唯識者以為</w:t>
      </w:r>
      <w:r w:rsidRPr="00DA3BC7">
        <w:rPr>
          <w:b/>
        </w:rPr>
        <w:t>從因果緣起上明空</w:t>
      </w:r>
      <w:r w:rsidRPr="00DA3BC7">
        <w:t>，是</w:t>
      </w:r>
      <w:r w:rsidRPr="00DA3BC7">
        <w:rPr>
          <w:b/>
        </w:rPr>
        <w:t>共小乘</w:t>
      </w:r>
      <w:r w:rsidRPr="00DA3BC7">
        <w:t>的，不徹底的；</w:t>
      </w:r>
      <w:r w:rsidRPr="00DA3BC7">
        <w:rPr>
          <w:b/>
        </w:rPr>
        <w:t>大乘</w:t>
      </w:r>
      <w:r w:rsidRPr="00DA3BC7">
        <w:t>應</w:t>
      </w:r>
      <w:r w:rsidRPr="00DA3BC7">
        <w:rPr>
          <w:b/>
        </w:rPr>
        <w:t>從認識上說</w:t>
      </w:r>
      <w:r w:rsidRPr="00DA3BC7">
        <w:t>。</w:t>
      </w:r>
    </w:p>
    <w:p w:rsidR="002B682F" w:rsidRPr="00DA3BC7" w:rsidRDefault="00A04018" w:rsidP="00AE3920">
      <w:pPr>
        <w:widowControl/>
        <w:spacing w:beforeLines="30"/>
        <w:ind w:leftChars="250" w:left="600"/>
        <w:jc w:val="both"/>
        <w:rPr>
          <w:b/>
          <w:sz w:val="20"/>
          <w:szCs w:val="20"/>
          <w:bdr w:val="single" w:sz="4" w:space="0" w:color="auto"/>
        </w:rPr>
      </w:pPr>
      <w:r w:rsidRPr="00A04018">
        <w:rPr>
          <w:rFonts w:hint="eastAsia"/>
          <w:b/>
          <w:color w:val="FF0000"/>
          <w:sz w:val="20"/>
          <w:szCs w:val="20"/>
          <w:highlight w:val="yellow"/>
          <w:bdr w:val="single" w:sz="4" w:space="0" w:color="auto"/>
        </w:rPr>
        <w:t>（</w:t>
      </w:r>
      <w:r w:rsidRPr="00A04018">
        <w:rPr>
          <w:rFonts w:ascii="Times New Roman" w:hAnsi="Times New Roman" w:hint="eastAsia"/>
          <w:b/>
          <w:color w:val="FF0000"/>
          <w:sz w:val="20"/>
          <w:szCs w:val="20"/>
          <w:highlight w:val="yellow"/>
          <w:bdr w:val="single" w:sz="4" w:space="0" w:color="auto"/>
        </w:rPr>
        <w:t>2</w:t>
      </w:r>
      <w:r w:rsidRPr="00A04018">
        <w:rPr>
          <w:rFonts w:hint="eastAsia"/>
          <w:b/>
          <w:color w:val="FF0000"/>
          <w:sz w:val="20"/>
          <w:szCs w:val="20"/>
          <w:highlight w:val="yellow"/>
          <w:bdr w:val="single" w:sz="4" w:space="0" w:color="auto"/>
        </w:rPr>
        <w:t>）</w:t>
      </w:r>
      <w:r w:rsidR="002B682F" w:rsidRPr="00DA3BC7">
        <w:rPr>
          <w:rFonts w:hint="eastAsia"/>
          <w:b/>
          <w:sz w:val="20"/>
          <w:szCs w:val="20"/>
          <w:bdr w:val="single" w:sz="4" w:space="0" w:color="auto"/>
        </w:rPr>
        <w:t>論證</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77</w:t>
      </w:r>
      <w:r w:rsidR="002B682F" w:rsidRPr="00DA3BC7">
        <w:rPr>
          <w:sz w:val="20"/>
          <w:szCs w:val="20"/>
        </w:rPr>
        <w:t>）</w:t>
      </w:r>
    </w:p>
    <w:p w:rsidR="002B682F" w:rsidRPr="00DA3BC7" w:rsidRDefault="00A04018" w:rsidP="00C21620">
      <w:pPr>
        <w:widowControl/>
        <w:ind w:leftChars="300" w:left="720"/>
        <w:jc w:val="both"/>
        <w:rPr>
          <w:b/>
          <w:sz w:val="20"/>
          <w:szCs w:val="20"/>
          <w:bdr w:val="single" w:sz="4" w:space="0" w:color="auto"/>
        </w:rPr>
      </w:pPr>
      <w:r w:rsidRPr="00A04018">
        <w:rPr>
          <w:rFonts w:ascii="Times New Roman" w:hAnsi="Times New Roman" w:hint="eastAsia"/>
          <w:b/>
          <w:color w:val="FF0000"/>
          <w:sz w:val="20"/>
          <w:szCs w:val="20"/>
          <w:highlight w:val="yellow"/>
          <w:bdr w:val="single" w:sz="4" w:space="0" w:color="auto"/>
        </w:rPr>
        <w:t>A</w:t>
      </w:r>
      <w:r w:rsidRPr="00A04018">
        <w:rPr>
          <w:rFonts w:hint="eastAsia"/>
          <w:b/>
          <w:color w:val="FF0000"/>
          <w:sz w:val="20"/>
          <w:szCs w:val="20"/>
          <w:highlight w:val="yellow"/>
          <w:bdr w:val="single" w:sz="4" w:space="0" w:color="auto"/>
        </w:rPr>
        <w:t>、</w:t>
      </w:r>
      <w:r w:rsidR="002B682F" w:rsidRPr="00A04018">
        <w:rPr>
          <w:rFonts w:hint="eastAsia"/>
          <w:b/>
          <w:color w:val="FF0000"/>
          <w:sz w:val="20"/>
          <w:szCs w:val="20"/>
          <w:highlight w:val="yellow"/>
          <w:bdr w:val="single" w:sz="4" w:space="0" w:color="auto"/>
        </w:rPr>
        <w:t>舉</w:t>
      </w:r>
      <w:r>
        <w:rPr>
          <w:rFonts w:hint="eastAsia"/>
          <w:b/>
          <w:color w:val="FF0000"/>
          <w:sz w:val="20"/>
          <w:szCs w:val="20"/>
          <w:highlight w:val="yellow"/>
          <w:bdr w:val="single" w:sz="4" w:space="0" w:color="auto"/>
        </w:rPr>
        <w:t>文</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77</w:t>
      </w:r>
      <w:r w:rsidR="002B682F" w:rsidRPr="00DA3BC7">
        <w:rPr>
          <w:sz w:val="20"/>
          <w:szCs w:val="20"/>
        </w:rPr>
        <w:t>）</w:t>
      </w:r>
    </w:p>
    <w:p w:rsidR="002B682F" w:rsidRPr="00DA3BC7" w:rsidRDefault="002B682F" w:rsidP="00C21620">
      <w:pPr>
        <w:widowControl/>
        <w:ind w:leftChars="300" w:left="720"/>
        <w:jc w:val="both"/>
      </w:pPr>
      <w:r w:rsidRPr="00DA3BC7">
        <w:t>如《攝大乘論》說：「</w:t>
      </w:r>
      <w:r w:rsidRPr="00DA3BC7">
        <w:rPr>
          <w:rFonts w:eastAsia="標楷體"/>
        </w:rPr>
        <w:t>自然自體無，自性不堅住，如執取不有，故許無自性</w:t>
      </w:r>
      <w:r w:rsidRPr="00DA3BC7">
        <w:t>。」</w:t>
      </w:r>
      <w:r w:rsidRPr="00DA3BC7">
        <w:rPr>
          <w:rStyle w:val="a6"/>
          <w:rFonts w:ascii="Times New Roman" w:hAnsi="Times New Roman"/>
        </w:rPr>
        <w:footnoteReference w:id="401"/>
      </w:r>
    </w:p>
    <w:p w:rsidR="002B682F" w:rsidRPr="00DA3BC7" w:rsidRDefault="00A04018" w:rsidP="00AE3920">
      <w:pPr>
        <w:widowControl/>
        <w:spacing w:beforeLines="30"/>
        <w:ind w:leftChars="300" w:left="720"/>
        <w:jc w:val="both"/>
        <w:rPr>
          <w:b/>
          <w:sz w:val="20"/>
          <w:szCs w:val="20"/>
          <w:bdr w:val="single" w:sz="4" w:space="0" w:color="auto"/>
        </w:rPr>
      </w:pPr>
      <w:r w:rsidRPr="00A04018">
        <w:rPr>
          <w:rFonts w:ascii="Times New Roman" w:hAnsi="Times New Roman" w:hint="eastAsia"/>
          <w:b/>
          <w:color w:val="FF0000"/>
          <w:sz w:val="20"/>
          <w:szCs w:val="20"/>
          <w:highlight w:val="yellow"/>
          <w:bdr w:val="single" w:sz="4" w:space="0" w:color="auto"/>
        </w:rPr>
        <w:lastRenderedPageBreak/>
        <w:t>B</w:t>
      </w:r>
      <w:r w:rsidRPr="00A04018">
        <w:rPr>
          <w:rFonts w:ascii="Times New Roman" w:hAnsi="Times New Roman" w:hint="eastAsia"/>
          <w:b/>
          <w:color w:val="FF0000"/>
          <w:sz w:val="20"/>
          <w:szCs w:val="20"/>
          <w:highlight w:val="yellow"/>
          <w:bdr w:val="single" w:sz="4" w:space="0" w:color="auto"/>
        </w:rPr>
        <w:t>、釋義</w:t>
      </w:r>
      <w:r w:rsidR="002B682F" w:rsidRPr="00DA3BC7">
        <w:rPr>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hAnsi="Times New Roman"/>
          <w:sz w:val="20"/>
          <w:szCs w:val="20"/>
        </w:rPr>
        <w:t>77</w:t>
      </w:r>
      <w:r w:rsidR="002B682F" w:rsidRPr="00DA3BC7">
        <w:rPr>
          <w:sz w:val="20"/>
          <w:szCs w:val="20"/>
        </w:rPr>
        <w:t>-</w:t>
      </w:r>
      <w:r w:rsidR="002B682F" w:rsidRPr="00DA3BC7">
        <w:rPr>
          <w:rFonts w:ascii="Times New Roman" w:hAnsi="Times New Roman"/>
          <w:sz w:val="20"/>
          <w:szCs w:val="20"/>
        </w:rPr>
        <w:t>78</w:t>
      </w:r>
      <w:r w:rsidR="002B682F" w:rsidRPr="00DA3BC7">
        <w:rPr>
          <w:sz w:val="20"/>
          <w:szCs w:val="20"/>
        </w:rPr>
        <w:t>）</w:t>
      </w:r>
    </w:p>
    <w:p w:rsidR="002B682F" w:rsidRPr="00DA3BC7" w:rsidRDefault="00A04018" w:rsidP="00C21620">
      <w:pPr>
        <w:widowControl/>
        <w:ind w:leftChars="350" w:left="840"/>
        <w:jc w:val="both"/>
      </w:pPr>
      <w:r w:rsidRPr="00A04018">
        <w:rPr>
          <w:rFonts w:ascii="Times New Roman" w:hAnsi="Times New Roman" w:hint="eastAsia"/>
          <w:b/>
          <w:color w:val="FF0000"/>
          <w:sz w:val="20"/>
          <w:szCs w:val="20"/>
          <w:highlight w:val="yellow"/>
          <w:bdr w:val="single" w:sz="4" w:space="0" w:color="auto"/>
        </w:rPr>
        <w:t>（</w:t>
      </w:r>
      <w:r w:rsidR="002B682F" w:rsidRPr="00A04018">
        <w:rPr>
          <w:rFonts w:ascii="Times New Roman" w:hAnsi="Times New Roman" w:hint="eastAsia"/>
          <w:b/>
          <w:color w:val="FF0000"/>
          <w:sz w:val="20"/>
          <w:szCs w:val="20"/>
          <w:highlight w:val="yellow"/>
          <w:bdr w:val="single" w:sz="4" w:space="0" w:color="auto"/>
        </w:rPr>
        <w:t>A</w:t>
      </w:r>
      <w:r w:rsidRPr="00A04018">
        <w:rPr>
          <w:rFonts w:ascii="Times New Roman" w:hAnsi="Times New Roman" w:hint="eastAsia"/>
          <w:b/>
          <w:color w:val="FF0000"/>
          <w:sz w:val="20"/>
          <w:szCs w:val="20"/>
          <w:highlight w:val="yellow"/>
          <w:bdr w:val="single" w:sz="4" w:space="0" w:color="auto"/>
        </w:rPr>
        <w:t>）</w:t>
      </w:r>
      <w:r w:rsidR="002B682F" w:rsidRPr="00A04018">
        <w:rPr>
          <w:b/>
          <w:sz w:val="20"/>
          <w:szCs w:val="20"/>
          <w:highlight w:val="yellow"/>
          <w:bdr w:val="single" w:sz="4" w:space="0" w:color="auto"/>
        </w:rPr>
        <w:t>共</w:t>
      </w:r>
      <w:r w:rsidR="002B682F" w:rsidRPr="00DA3BC7">
        <w:rPr>
          <w:b/>
          <w:sz w:val="20"/>
          <w:szCs w:val="20"/>
          <w:bdr w:val="single" w:sz="4" w:space="0" w:color="auto"/>
        </w:rPr>
        <w:t>小乘</w:t>
      </w:r>
      <w:r w:rsidRPr="00A04018">
        <w:rPr>
          <w:rFonts w:hint="eastAsia"/>
          <w:b/>
          <w:color w:val="FF0000"/>
          <w:sz w:val="20"/>
          <w:szCs w:val="20"/>
          <w:highlight w:val="yellow"/>
          <w:bdr w:val="single" w:sz="4" w:space="0" w:color="auto"/>
        </w:rPr>
        <w:t>之教</w:t>
      </w:r>
      <w:r w:rsidR="002B682F" w:rsidRPr="00DA3BC7">
        <w:rPr>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hAnsi="Times New Roman"/>
          <w:sz w:val="20"/>
          <w:szCs w:val="20"/>
        </w:rPr>
        <w:t>77</w:t>
      </w:r>
      <w:r w:rsidR="002B682F" w:rsidRPr="00DA3BC7">
        <w:rPr>
          <w:sz w:val="20"/>
          <w:szCs w:val="20"/>
        </w:rPr>
        <w:t>-</w:t>
      </w:r>
      <w:r w:rsidR="002B682F" w:rsidRPr="00DA3BC7">
        <w:rPr>
          <w:rFonts w:ascii="Times New Roman" w:hAnsi="Times New Roman"/>
          <w:sz w:val="20"/>
          <w:szCs w:val="20"/>
        </w:rPr>
        <w:t>78</w:t>
      </w:r>
      <w:r w:rsidR="002B682F" w:rsidRPr="00DA3BC7">
        <w:rPr>
          <w:sz w:val="20"/>
          <w:szCs w:val="20"/>
        </w:rPr>
        <w:t>）</w:t>
      </w:r>
    </w:p>
    <w:p w:rsidR="002B682F" w:rsidRPr="00DA3BC7" w:rsidRDefault="002B682F" w:rsidP="00C21620">
      <w:pPr>
        <w:widowControl/>
        <w:ind w:leftChars="350" w:left="840"/>
        <w:jc w:val="both"/>
      </w:pPr>
      <w:r w:rsidRPr="00DA3BC7">
        <w:t>無自性，不是說自性完全沒有。</w:t>
      </w:r>
    </w:p>
    <w:p w:rsidR="002B682F" w:rsidRPr="00DA3BC7" w:rsidRDefault="002B682F" w:rsidP="00C21620">
      <w:pPr>
        <w:widowControl/>
        <w:ind w:leftChars="350" w:left="840"/>
        <w:jc w:val="both"/>
      </w:pPr>
      <w:r w:rsidRPr="00DA3BC7">
        <w:t>如</w:t>
      </w:r>
      <w:r w:rsidRPr="00DA3BC7">
        <w:rPr>
          <w:b/>
        </w:rPr>
        <w:t>未來法</w:t>
      </w:r>
      <w:r w:rsidRPr="00DA3BC7">
        <w:t>，在未來而生，必待因緣而決無自然生的，所以名</w:t>
      </w:r>
      <w:r w:rsidRPr="00DA3BC7">
        <w:rPr>
          <w:rFonts w:hint="eastAsia"/>
        </w:rPr>
        <w:t>「</w:t>
      </w:r>
      <w:r w:rsidRPr="00DA3BC7">
        <w:rPr>
          <w:rFonts w:ascii="標楷體" w:eastAsia="標楷體" w:hAnsi="標楷體"/>
        </w:rPr>
        <w:t>無自然性</w:t>
      </w:r>
      <w:r w:rsidRPr="00DA3BC7">
        <w:rPr>
          <w:rFonts w:hint="eastAsia"/>
        </w:rPr>
        <w:t>」</w:t>
      </w:r>
      <w:r w:rsidRPr="00DA3BC7">
        <w:t>。</w:t>
      </w:r>
    </w:p>
    <w:p w:rsidR="002B682F" w:rsidRPr="00DA3BC7" w:rsidRDefault="002B682F" w:rsidP="00C21620">
      <w:pPr>
        <w:widowControl/>
        <w:ind w:leftChars="350" w:left="840"/>
        <w:jc w:val="both"/>
      </w:pPr>
      <w:r w:rsidRPr="00DA3BC7">
        <w:rPr>
          <w:b/>
        </w:rPr>
        <w:t>過去</w:t>
      </w:r>
      <w:r w:rsidRPr="00DA3BC7">
        <w:t>已滅無體，即頌中的</w:t>
      </w:r>
      <w:r w:rsidRPr="00DA3BC7">
        <w:rPr>
          <w:rFonts w:hint="eastAsia"/>
        </w:rPr>
        <w:t>「</w:t>
      </w:r>
      <w:r w:rsidRPr="00DA3BC7">
        <w:rPr>
          <w:rFonts w:ascii="標楷體" w:eastAsia="標楷體" w:hAnsi="標楷體"/>
        </w:rPr>
        <w:t>自體無</w:t>
      </w:r>
      <w:r w:rsidRPr="00DA3BC7">
        <w:rPr>
          <w:rFonts w:hint="eastAsia"/>
        </w:rPr>
        <w:t>」</w:t>
      </w:r>
      <w:r w:rsidRPr="00DA3BC7">
        <w:t>。</w:t>
      </w:r>
    </w:p>
    <w:p w:rsidR="002B682F" w:rsidRPr="00DA3BC7" w:rsidRDefault="002B682F" w:rsidP="00C21620">
      <w:pPr>
        <w:widowControl/>
        <w:ind w:leftChars="350" w:left="840"/>
        <w:jc w:val="both"/>
      </w:pPr>
      <w:r w:rsidRPr="00DA3BC7">
        <w:rPr>
          <w:b/>
        </w:rPr>
        <w:t>現在</w:t>
      </w:r>
      <w:r w:rsidRPr="00DA3BC7">
        <w:t>生滅不住，即頌中的</w:t>
      </w:r>
      <w:r w:rsidRPr="00DA3BC7">
        <w:rPr>
          <w:rFonts w:hint="eastAsia"/>
        </w:rPr>
        <w:t>「</w:t>
      </w:r>
      <w:r w:rsidRPr="00DA3BC7">
        <w:rPr>
          <w:rFonts w:ascii="標楷體" w:eastAsia="標楷體" w:hAnsi="標楷體"/>
        </w:rPr>
        <w:t>自性不堅住</w:t>
      </w:r>
      <w:r w:rsidRPr="00DA3BC7">
        <w:rPr>
          <w:rFonts w:hint="eastAsia"/>
        </w:rPr>
        <w:t>」</w:t>
      </w:r>
      <w:r w:rsidRPr="00DA3BC7">
        <w:t>。</w:t>
      </w:r>
    </w:p>
    <w:p w:rsidR="002B682F" w:rsidRPr="00DA3BC7" w:rsidRDefault="002B682F" w:rsidP="00C21620">
      <w:pPr>
        <w:widowControl/>
        <w:ind w:leftChars="350" w:left="840"/>
        <w:jc w:val="both"/>
      </w:pPr>
      <w:r w:rsidRPr="00DA3BC7">
        <w:t>這是</w:t>
      </w:r>
      <w:r w:rsidRPr="00DA3BC7">
        <w:rPr>
          <w:b/>
        </w:rPr>
        <w:t>約三世因果的流動，說無自性</w:t>
      </w:r>
      <w:r w:rsidRPr="00DA3BC7">
        <w:t>。</w:t>
      </w:r>
    </w:p>
    <w:p w:rsidR="002B682F" w:rsidRPr="00DA3BC7" w:rsidRDefault="002B682F" w:rsidP="00C21620">
      <w:pPr>
        <w:widowControl/>
        <w:ind w:leftChars="350" w:left="840"/>
        <w:jc w:val="both"/>
      </w:pPr>
      <w:r w:rsidRPr="00DA3BC7">
        <w:t>《阿含經》有這種說法，所以《攝</w:t>
      </w:r>
      <w:r w:rsidRPr="00DA3BC7">
        <w:rPr>
          <w:rFonts w:hint="eastAsia"/>
        </w:rPr>
        <w:t>大乘</w:t>
      </w:r>
      <w:r w:rsidRPr="00DA3BC7">
        <w:t>論》以為這是共小乘的。</w:t>
      </w:r>
    </w:p>
    <w:p w:rsidR="002B682F" w:rsidRPr="00DA3BC7" w:rsidRDefault="00A04018" w:rsidP="00AE3920">
      <w:pPr>
        <w:widowControl/>
        <w:spacing w:beforeLines="30"/>
        <w:ind w:leftChars="350" w:left="840"/>
        <w:jc w:val="both"/>
        <w:rPr>
          <w:sz w:val="20"/>
          <w:szCs w:val="20"/>
          <w:bdr w:val="single" w:sz="4" w:space="0" w:color="auto"/>
        </w:rPr>
      </w:pPr>
      <w:r w:rsidRPr="00A04018">
        <w:rPr>
          <w:rFonts w:ascii="Times New Roman" w:hAnsi="Times New Roman" w:hint="eastAsia"/>
          <w:b/>
          <w:color w:val="FF0000"/>
          <w:sz w:val="20"/>
          <w:szCs w:val="20"/>
          <w:highlight w:val="yellow"/>
          <w:bdr w:val="single" w:sz="4" w:space="0" w:color="auto"/>
        </w:rPr>
        <w:t>（</w:t>
      </w:r>
      <w:r w:rsidR="002B682F" w:rsidRPr="00A04018">
        <w:rPr>
          <w:rFonts w:ascii="Times New Roman" w:hAnsi="Times New Roman" w:hint="eastAsia"/>
          <w:b/>
          <w:color w:val="FF0000"/>
          <w:sz w:val="20"/>
          <w:szCs w:val="20"/>
          <w:highlight w:val="yellow"/>
          <w:bdr w:val="single" w:sz="4" w:space="0" w:color="auto"/>
        </w:rPr>
        <w:t>B</w:t>
      </w:r>
      <w:r w:rsidRPr="00A04018">
        <w:rPr>
          <w:rFonts w:hint="eastAsia"/>
          <w:b/>
          <w:color w:val="FF0000"/>
          <w:sz w:val="20"/>
          <w:szCs w:val="20"/>
          <w:highlight w:val="yellow"/>
          <w:bdr w:val="single" w:sz="4" w:space="0" w:color="auto"/>
        </w:rPr>
        <w:t>）</w:t>
      </w:r>
      <w:r w:rsidR="002B682F" w:rsidRPr="00A04018">
        <w:rPr>
          <w:b/>
          <w:sz w:val="20"/>
          <w:szCs w:val="20"/>
          <w:highlight w:val="yellow"/>
          <w:bdr w:val="single" w:sz="4" w:space="0" w:color="auto"/>
        </w:rPr>
        <w:t>不</w:t>
      </w:r>
      <w:r w:rsidR="002B682F" w:rsidRPr="00DA3BC7">
        <w:rPr>
          <w:b/>
          <w:sz w:val="20"/>
          <w:szCs w:val="20"/>
          <w:bdr w:val="single" w:sz="4" w:space="0" w:color="auto"/>
        </w:rPr>
        <w:t>共小乘</w:t>
      </w:r>
      <w:r w:rsidRPr="00A04018">
        <w:rPr>
          <w:rFonts w:hint="eastAsia"/>
          <w:b/>
          <w:color w:val="FF0000"/>
          <w:sz w:val="20"/>
          <w:szCs w:val="20"/>
          <w:highlight w:val="yellow"/>
          <w:bdr w:val="single" w:sz="4" w:space="0" w:color="auto"/>
        </w:rPr>
        <w:t>之教</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78</w:t>
      </w:r>
      <w:r w:rsidR="002B682F" w:rsidRPr="00DA3BC7">
        <w:rPr>
          <w:sz w:val="20"/>
          <w:szCs w:val="20"/>
        </w:rPr>
        <w:t>）</w:t>
      </w:r>
    </w:p>
    <w:p w:rsidR="002B682F" w:rsidRPr="00DA3BC7" w:rsidRDefault="002B682F" w:rsidP="00C21620">
      <w:pPr>
        <w:widowControl/>
        <w:ind w:leftChars="350" w:left="840"/>
        <w:jc w:val="both"/>
      </w:pPr>
      <w:r w:rsidRPr="00DA3BC7">
        <w:t>「</w:t>
      </w:r>
      <w:r w:rsidRPr="00DA3BC7">
        <w:rPr>
          <w:rFonts w:eastAsia="標楷體"/>
        </w:rPr>
        <w:t>如執取不有，故許無自性</w:t>
      </w:r>
      <w:r w:rsidRPr="00DA3BC7">
        <w:t>」，這是</w:t>
      </w:r>
      <w:r w:rsidRPr="00DA3BC7">
        <w:rPr>
          <w:b/>
        </w:rPr>
        <w:t>約遍計無自性</w:t>
      </w:r>
      <w:r w:rsidRPr="00DA3BC7">
        <w:t>講，於一切法執自相、共相、我相、法相等，都是依名計義</w:t>
      </w:r>
      <w:r w:rsidRPr="00DA3BC7">
        <w:rPr>
          <w:rFonts w:hint="eastAsia"/>
        </w:rPr>
        <w:t>、</w:t>
      </w:r>
      <w:r w:rsidRPr="00DA3BC7">
        <w:t>依義計名而假名施設的，不是自相有的；</w:t>
      </w:r>
      <w:r w:rsidRPr="00DA3BC7">
        <w:rPr>
          <w:b/>
        </w:rPr>
        <w:t>離此遍計的非自相有，即大乘的空無自性說，這是唯識學者自命為不共小乘的地方</w:t>
      </w:r>
      <w:r w:rsidRPr="00DA3BC7">
        <w:t>。</w:t>
      </w:r>
    </w:p>
    <w:p w:rsidR="002B682F" w:rsidRPr="00DA3BC7" w:rsidRDefault="00A04018" w:rsidP="00AE3920">
      <w:pPr>
        <w:widowControl/>
        <w:spacing w:beforeLines="30"/>
        <w:ind w:leftChars="200" w:left="480"/>
        <w:jc w:val="both"/>
        <w:rPr>
          <w:sz w:val="20"/>
          <w:szCs w:val="20"/>
        </w:rPr>
      </w:pPr>
      <w:r w:rsidRPr="00A04018">
        <w:rPr>
          <w:rFonts w:ascii="Times New Roman" w:hAnsi="Times New Roman" w:hint="eastAsia"/>
          <w:b/>
          <w:color w:val="FF0000"/>
          <w:sz w:val="20"/>
          <w:szCs w:val="20"/>
          <w:highlight w:val="yellow"/>
          <w:bdr w:val="single" w:sz="4" w:space="0" w:color="auto"/>
        </w:rPr>
        <w:t>2</w:t>
      </w:r>
      <w:r w:rsidRPr="00A04018">
        <w:rPr>
          <w:rFonts w:ascii="Times New Roman" w:hAnsi="Times New Roman" w:hint="eastAsia"/>
          <w:b/>
          <w:color w:val="FF0000"/>
          <w:sz w:val="20"/>
          <w:szCs w:val="20"/>
          <w:highlight w:val="yellow"/>
          <w:bdr w:val="single" w:sz="4" w:space="0" w:color="auto"/>
        </w:rPr>
        <w:t>、辨違旨</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78</w:t>
      </w:r>
      <w:r w:rsidR="002B682F" w:rsidRPr="00DA3BC7">
        <w:rPr>
          <w:sz w:val="20"/>
          <w:szCs w:val="20"/>
        </w:rPr>
        <w:t>）</w:t>
      </w:r>
    </w:p>
    <w:p w:rsidR="00E163AB" w:rsidRDefault="002B682F" w:rsidP="00C21620">
      <w:pPr>
        <w:widowControl/>
        <w:ind w:leftChars="200" w:left="480"/>
        <w:jc w:val="both"/>
      </w:pPr>
      <w:r w:rsidRPr="00DA3BC7">
        <w:t>然細究這「執取相不有」，《阿含經》也多說到「不可取，不可得」。</w:t>
      </w:r>
    </w:p>
    <w:p w:rsidR="00E163AB" w:rsidRDefault="002B682F" w:rsidP="00E163AB">
      <w:pPr>
        <w:widowControl/>
        <w:ind w:leftChars="200" w:left="480"/>
        <w:jc w:val="both"/>
      </w:pPr>
      <w:r w:rsidRPr="00DA3BC7">
        <w:t>「</w:t>
      </w:r>
      <w:r w:rsidRPr="00E163AB">
        <w:rPr>
          <w:rFonts w:ascii="標楷體" w:eastAsia="標楷體" w:hAnsi="標楷體"/>
        </w:rPr>
        <w:t>如執取不有</w:t>
      </w:r>
      <w:r w:rsidRPr="00DA3BC7">
        <w:t>」，聲聞學者確乎也是可以達到的。</w:t>
      </w:r>
    </w:p>
    <w:p w:rsidR="002B682F" w:rsidRPr="00DA3BC7" w:rsidRDefault="002B682F" w:rsidP="00E163AB">
      <w:pPr>
        <w:widowControl/>
        <w:ind w:leftChars="200" w:left="480"/>
        <w:jc w:val="both"/>
      </w:pPr>
      <w:r w:rsidRPr="00DA3BC7">
        <w:lastRenderedPageBreak/>
        <w:t>《雜阿含</w:t>
      </w:r>
      <w:r w:rsidRPr="00DA3BC7">
        <w:rPr>
          <w:rFonts w:hint="eastAsia"/>
        </w:rPr>
        <w:t>經</w:t>
      </w:r>
      <w:r w:rsidRPr="00DA3BC7">
        <w:t>》（</w:t>
      </w:r>
      <w:r w:rsidRPr="00DA3BC7">
        <w:rPr>
          <w:rFonts w:ascii="Times New Roman" w:hAnsi="Times New Roman" w:hint="eastAsia"/>
        </w:rPr>
        <w:t>926</w:t>
      </w:r>
      <w:r w:rsidRPr="00DA3BC7">
        <w:t>經）說：迦旃延入真實</w:t>
      </w:r>
      <w:r w:rsidRPr="00DA3BC7">
        <w:rPr>
          <w:rFonts w:ascii="新細明體" w:hAnsi="新細明體"/>
        </w:rPr>
        <w:t>──</w:t>
      </w:r>
      <w:r w:rsidRPr="00DA3BC7">
        <w:t>勝義禪時，不取一切相而入禪。</w:t>
      </w:r>
      <w:r w:rsidRPr="00DA3BC7">
        <w:rPr>
          <w:rFonts w:ascii="Times New Roman" w:hAnsi="Times New Roman"/>
          <w:vertAlign w:val="superscript"/>
        </w:rPr>
        <w:footnoteReference w:id="402"/>
      </w:r>
    </w:p>
    <w:p w:rsidR="002B682F" w:rsidRPr="00DA3BC7" w:rsidRDefault="002B682F" w:rsidP="00C21620">
      <w:pPr>
        <w:widowControl/>
        <w:ind w:leftChars="200" w:left="480"/>
        <w:jc w:val="both"/>
      </w:pPr>
      <w:r w:rsidRPr="00DA3BC7">
        <w:t>《別譯》又說：「</w:t>
      </w:r>
      <w:r w:rsidRPr="00DA3BC7">
        <w:rPr>
          <w:rFonts w:ascii="標楷體" w:eastAsia="標楷體" w:hAnsi="標楷體"/>
        </w:rPr>
        <w:t>但以假</w:t>
      </w:r>
      <w:r w:rsidRPr="00DA3BC7">
        <w:rPr>
          <w:rFonts w:ascii="標楷體" w:eastAsia="標楷體" w:hAnsi="標楷體" w:hint="eastAsia"/>
        </w:rPr>
        <w:t>號</w:t>
      </w:r>
      <w:r w:rsidRPr="00DA3BC7">
        <w:rPr>
          <w:rFonts w:ascii="標楷體" w:eastAsia="標楷體" w:hAnsi="標楷體"/>
        </w:rPr>
        <w:t>因緣和合有種種名，觀斯空寂，不見有法及以非法</w:t>
      </w:r>
      <w:r w:rsidRPr="00DA3BC7">
        <w:t>。」</w:t>
      </w:r>
      <w:r w:rsidRPr="00DA3BC7">
        <w:rPr>
          <w:rFonts w:ascii="Times New Roman" w:hAnsi="Times New Roman"/>
          <w:vertAlign w:val="superscript"/>
        </w:rPr>
        <w:footnoteReference w:id="403"/>
      </w:r>
    </w:p>
    <w:p w:rsidR="002B682F" w:rsidRPr="00DA3BC7" w:rsidRDefault="002B682F" w:rsidP="00C21620">
      <w:pPr>
        <w:widowControl/>
        <w:ind w:leftChars="200" w:left="480"/>
        <w:jc w:val="both"/>
      </w:pPr>
      <w:r w:rsidRPr="00DA3BC7">
        <w:t>〈真實義品〉引此以為離言法性的教證，</w:t>
      </w:r>
      <w:r w:rsidR="00A04018" w:rsidRPr="00A04018">
        <w:rPr>
          <w:rFonts w:ascii="Times New Roman" w:hAnsi="Times New Roman"/>
          <w:highlight w:val="yellow"/>
          <w:vertAlign w:val="superscript"/>
        </w:rPr>
        <w:footnoteReference w:id="404"/>
      </w:r>
      <w:r w:rsidRPr="00DA3BC7">
        <w:t>焉能說聲聞法無此？</w:t>
      </w:r>
    </w:p>
    <w:p w:rsidR="002B682F" w:rsidRPr="00DA3BC7" w:rsidRDefault="002B682F" w:rsidP="00AE3920">
      <w:pPr>
        <w:widowControl/>
        <w:spacing w:beforeLines="20"/>
        <w:ind w:leftChars="200" w:left="480"/>
        <w:jc w:val="both"/>
      </w:pPr>
      <w:r w:rsidRPr="00DA3BC7">
        <w:t>由此可知，認識上不執取種種相的空，也是共小乘的。</w:t>
      </w:r>
    </w:p>
    <w:p w:rsidR="002B682F" w:rsidRPr="00DA3BC7" w:rsidRDefault="00A04018" w:rsidP="00AE3920">
      <w:pPr>
        <w:widowControl/>
        <w:spacing w:beforeLines="30"/>
        <w:ind w:leftChars="150" w:left="360"/>
        <w:jc w:val="both"/>
        <w:rPr>
          <w:sz w:val="20"/>
          <w:szCs w:val="20"/>
          <w:bdr w:val="single" w:sz="4" w:space="0" w:color="auto"/>
        </w:rPr>
      </w:pPr>
      <w:r w:rsidRPr="00A04018">
        <w:rPr>
          <w:rFonts w:hint="eastAsia"/>
          <w:b/>
          <w:color w:val="FF0000"/>
          <w:sz w:val="20"/>
          <w:szCs w:val="20"/>
          <w:highlight w:val="yellow"/>
          <w:bdr w:val="single" w:sz="4" w:space="0" w:color="auto"/>
        </w:rPr>
        <w:t>（二）辨「</w:t>
      </w:r>
      <w:r w:rsidR="002B682F" w:rsidRPr="00A04018">
        <w:rPr>
          <w:b/>
          <w:color w:val="FF0000"/>
          <w:sz w:val="20"/>
          <w:szCs w:val="20"/>
          <w:highlight w:val="yellow"/>
          <w:bdr w:val="single" w:sz="4" w:space="0" w:color="auto"/>
        </w:rPr>
        <w:t>中觀</w:t>
      </w:r>
      <w:r w:rsidRPr="00A04018">
        <w:rPr>
          <w:rFonts w:hint="eastAsia"/>
          <w:b/>
          <w:color w:val="FF0000"/>
          <w:sz w:val="20"/>
          <w:szCs w:val="20"/>
          <w:highlight w:val="yellow"/>
          <w:bdr w:val="single" w:sz="4" w:space="0" w:color="auto"/>
        </w:rPr>
        <w:t>的</w:t>
      </w:r>
      <w:r w:rsidR="002B682F" w:rsidRPr="00A04018">
        <w:rPr>
          <w:b/>
          <w:color w:val="FF0000"/>
          <w:sz w:val="20"/>
          <w:szCs w:val="20"/>
          <w:highlight w:val="yellow"/>
          <w:bdr w:val="single" w:sz="4" w:space="0" w:color="auto"/>
        </w:rPr>
        <w:t>空</w:t>
      </w:r>
      <w:r w:rsidRPr="00A04018">
        <w:rPr>
          <w:rFonts w:hint="eastAsia"/>
          <w:b/>
          <w:color w:val="FF0000"/>
          <w:sz w:val="20"/>
          <w:szCs w:val="20"/>
          <w:highlight w:val="yellow"/>
          <w:bdr w:val="single" w:sz="4" w:space="0" w:color="auto"/>
        </w:rPr>
        <w:t>說」</w:t>
      </w:r>
      <w:r w:rsidR="002B682F" w:rsidRPr="00DA3BC7">
        <w:rPr>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hAnsi="Times New Roman"/>
          <w:sz w:val="20"/>
          <w:szCs w:val="20"/>
        </w:rPr>
        <w:t>78</w:t>
      </w:r>
      <w:r w:rsidR="002B682F" w:rsidRPr="00DA3BC7">
        <w:rPr>
          <w:sz w:val="20"/>
          <w:szCs w:val="20"/>
        </w:rPr>
        <w:t>-</w:t>
      </w:r>
      <w:r w:rsidR="002B682F" w:rsidRPr="00DA3BC7">
        <w:rPr>
          <w:rFonts w:ascii="Times New Roman" w:hAnsi="Times New Roman"/>
          <w:sz w:val="20"/>
          <w:szCs w:val="20"/>
        </w:rPr>
        <w:t>79</w:t>
      </w:r>
      <w:r w:rsidR="002B682F" w:rsidRPr="00DA3BC7">
        <w:rPr>
          <w:sz w:val="20"/>
          <w:szCs w:val="20"/>
        </w:rPr>
        <w:t>）</w:t>
      </w:r>
    </w:p>
    <w:p w:rsidR="002B682F" w:rsidRPr="00DA3BC7" w:rsidRDefault="00A04018" w:rsidP="00C21620">
      <w:pPr>
        <w:widowControl/>
        <w:ind w:leftChars="200" w:left="480"/>
        <w:jc w:val="both"/>
        <w:rPr>
          <w:sz w:val="20"/>
          <w:szCs w:val="20"/>
          <w:bdr w:val="single" w:sz="4" w:space="0" w:color="auto"/>
        </w:rPr>
      </w:pPr>
      <w:r w:rsidRPr="00A04018">
        <w:rPr>
          <w:rFonts w:ascii="Times New Roman" w:hAnsi="Times New Roman" w:hint="eastAsia"/>
          <w:b/>
          <w:color w:val="FF0000"/>
          <w:sz w:val="20"/>
          <w:szCs w:val="20"/>
          <w:highlight w:val="yellow"/>
          <w:bdr w:val="single" w:sz="4" w:space="0" w:color="auto"/>
        </w:rPr>
        <w:t>1</w:t>
      </w:r>
      <w:r w:rsidRPr="00A04018">
        <w:rPr>
          <w:rFonts w:ascii="Times New Roman" w:hAnsi="Times New Roman" w:hint="eastAsia"/>
          <w:b/>
          <w:color w:val="FF0000"/>
          <w:sz w:val="20"/>
          <w:szCs w:val="20"/>
          <w:highlight w:val="yellow"/>
          <w:bdr w:val="single" w:sz="4" w:space="0" w:color="auto"/>
        </w:rPr>
        <w:t>、明宗</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78</w:t>
      </w:r>
      <w:r w:rsidR="002B682F" w:rsidRPr="00DA3BC7">
        <w:rPr>
          <w:sz w:val="20"/>
          <w:szCs w:val="20"/>
        </w:rPr>
        <w:t>）</w:t>
      </w:r>
    </w:p>
    <w:p w:rsidR="002B682F" w:rsidRPr="00DA3BC7" w:rsidRDefault="002B682F" w:rsidP="00C21620">
      <w:pPr>
        <w:widowControl/>
        <w:ind w:leftChars="200" w:left="480"/>
        <w:jc w:val="both"/>
      </w:pPr>
      <w:r w:rsidRPr="00DA3BC7">
        <w:t>依緣起因果法</w:t>
      </w:r>
      <w:r w:rsidRPr="00DA3BC7">
        <w:rPr>
          <w:rFonts w:hint="eastAsia"/>
        </w:rPr>
        <w:t>以</w:t>
      </w:r>
      <w:r w:rsidRPr="00DA3BC7">
        <w:t>明無自性空，與《攝</w:t>
      </w:r>
      <w:r w:rsidRPr="00DA3BC7">
        <w:rPr>
          <w:rFonts w:hint="eastAsia"/>
        </w:rPr>
        <w:t>大乘</w:t>
      </w:r>
      <w:r w:rsidRPr="00DA3BC7">
        <w:t>論》三說</w:t>
      </w:r>
      <w:r w:rsidR="00A04018" w:rsidRPr="00A04018">
        <w:rPr>
          <w:rStyle w:val="a6"/>
          <w:rFonts w:ascii="Times New Roman" w:hAnsi="Times New Roman"/>
          <w:highlight w:val="yellow"/>
        </w:rPr>
        <w:footnoteReference w:id="405"/>
      </w:r>
      <w:r w:rsidRPr="00DA3BC7">
        <w:t>不同。</w:t>
      </w:r>
    </w:p>
    <w:p w:rsidR="002B682F" w:rsidRPr="00DA3BC7" w:rsidRDefault="002B682F" w:rsidP="00C21620">
      <w:pPr>
        <w:widowControl/>
        <w:ind w:leftChars="200" w:left="480"/>
        <w:jc w:val="both"/>
      </w:pPr>
      <w:r w:rsidRPr="00DA3BC7">
        <w:t>緣生即無自性，自性不可得即是空；因為無自性空，所以執有自性戲論為顛倒，而如實正觀即不取諸相。入勝義禪時，不取一切相，這當然</w:t>
      </w:r>
      <w:r w:rsidRPr="00DA3BC7">
        <w:rPr>
          <w:b/>
        </w:rPr>
        <w:t>不離緣起因果</w:t>
      </w:r>
      <w:r w:rsidRPr="00DA3BC7">
        <w:t>而安立。</w:t>
      </w:r>
    </w:p>
    <w:p w:rsidR="002B682F" w:rsidRPr="00DA3BC7" w:rsidRDefault="00A04018" w:rsidP="00AE3920">
      <w:pPr>
        <w:widowControl/>
        <w:spacing w:beforeLines="30"/>
        <w:ind w:leftChars="200" w:left="480"/>
        <w:jc w:val="both"/>
        <w:rPr>
          <w:sz w:val="20"/>
          <w:szCs w:val="20"/>
          <w:bdr w:val="single" w:sz="4" w:space="0" w:color="auto"/>
        </w:rPr>
      </w:pPr>
      <w:r w:rsidRPr="00A04018">
        <w:rPr>
          <w:rFonts w:ascii="Times New Roman" w:hAnsi="Times New Roman" w:hint="eastAsia"/>
          <w:b/>
          <w:color w:val="FF0000"/>
          <w:sz w:val="20"/>
          <w:szCs w:val="20"/>
          <w:highlight w:val="yellow"/>
          <w:bdr w:val="single" w:sz="4" w:space="0" w:color="auto"/>
        </w:rPr>
        <w:t>2</w:t>
      </w:r>
      <w:r w:rsidRPr="00A04018">
        <w:rPr>
          <w:rFonts w:ascii="Times New Roman" w:hAnsi="Times New Roman" w:hint="eastAsia"/>
          <w:b/>
          <w:color w:val="FF0000"/>
          <w:sz w:val="20"/>
          <w:szCs w:val="20"/>
          <w:highlight w:val="yellow"/>
          <w:bdr w:val="single" w:sz="4" w:space="0" w:color="auto"/>
        </w:rPr>
        <w:t>、引證</w:t>
      </w:r>
      <w:r w:rsidR="002B682F" w:rsidRPr="00DA3BC7">
        <w:rPr>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hAnsi="Times New Roman"/>
          <w:sz w:val="20"/>
          <w:szCs w:val="20"/>
        </w:rPr>
        <w:t>78</w:t>
      </w:r>
      <w:r w:rsidR="002B682F" w:rsidRPr="00DA3BC7">
        <w:rPr>
          <w:sz w:val="20"/>
          <w:szCs w:val="20"/>
        </w:rPr>
        <w:t>-</w:t>
      </w:r>
      <w:r w:rsidR="002B682F" w:rsidRPr="00DA3BC7">
        <w:rPr>
          <w:rFonts w:ascii="Times New Roman" w:hAnsi="Times New Roman"/>
          <w:sz w:val="20"/>
          <w:szCs w:val="20"/>
        </w:rPr>
        <w:t>79</w:t>
      </w:r>
      <w:r w:rsidR="002B682F" w:rsidRPr="00DA3BC7">
        <w:rPr>
          <w:sz w:val="20"/>
          <w:szCs w:val="20"/>
        </w:rPr>
        <w:t>）</w:t>
      </w:r>
    </w:p>
    <w:p w:rsidR="002B682F" w:rsidRPr="00DA3BC7" w:rsidRDefault="002B682F" w:rsidP="00C21620">
      <w:pPr>
        <w:widowControl/>
        <w:ind w:leftChars="200" w:left="480"/>
        <w:jc w:val="both"/>
      </w:pPr>
      <w:r w:rsidRPr="00DA3BC7">
        <w:t>《般若經》曾說：若有一法可得，諸佛菩薩應有罪過</w:t>
      </w:r>
      <w:r w:rsidR="00A04018" w:rsidRPr="00A04018">
        <w:rPr>
          <w:rStyle w:val="a6"/>
          <w:rFonts w:ascii="Times New Roman" w:hAnsi="Times New Roman"/>
          <w:highlight w:val="yellow"/>
        </w:rPr>
        <w:footnoteReference w:id="406"/>
      </w:r>
      <w:r w:rsidRPr="00DA3BC7">
        <w:rPr>
          <w:rFonts w:ascii="新細明體" w:hAnsi="新細明體"/>
        </w:rPr>
        <w:t>──</w:t>
      </w:r>
      <w:r w:rsidRPr="00DA3BC7">
        <w:t>有執著即是雜染不清淨法，也是《阿含</w:t>
      </w:r>
      <w:r w:rsidRPr="00DA3BC7">
        <w:rPr>
          <w:rFonts w:hint="eastAsia"/>
        </w:rPr>
        <w:t>經</w:t>
      </w:r>
      <w:r w:rsidRPr="00DA3BC7">
        <w:t>》所說過的。</w:t>
      </w:r>
      <w:r w:rsidR="00A04018" w:rsidRPr="00A04018">
        <w:rPr>
          <w:rStyle w:val="a6"/>
          <w:rFonts w:ascii="Times New Roman" w:hAnsi="Times New Roman"/>
          <w:highlight w:val="yellow"/>
        </w:rPr>
        <w:footnoteReference w:id="407"/>
      </w:r>
    </w:p>
    <w:p w:rsidR="002B682F" w:rsidRPr="00DA3BC7" w:rsidRDefault="002B682F" w:rsidP="00AE3920">
      <w:pPr>
        <w:widowControl/>
        <w:spacing w:beforeLines="30"/>
        <w:ind w:leftChars="150" w:left="360"/>
        <w:jc w:val="both"/>
        <w:rPr>
          <w:sz w:val="20"/>
          <w:szCs w:val="20"/>
          <w:bdr w:val="single" w:sz="4" w:space="0" w:color="auto"/>
        </w:rPr>
      </w:pPr>
      <w:r w:rsidRPr="00DA3BC7">
        <w:rPr>
          <w:rFonts w:hint="eastAsia"/>
          <w:b/>
          <w:sz w:val="20"/>
          <w:szCs w:val="20"/>
          <w:bdr w:val="single" w:sz="4" w:space="0" w:color="auto"/>
        </w:rPr>
        <w:lastRenderedPageBreak/>
        <w:t>（三）</w:t>
      </w:r>
      <w:r w:rsidR="00A04018">
        <w:rPr>
          <w:rFonts w:hint="eastAsia"/>
          <w:b/>
          <w:color w:val="FF0000"/>
          <w:sz w:val="20"/>
          <w:szCs w:val="20"/>
          <w:highlight w:val="yellow"/>
          <w:bdr w:val="single" w:sz="4" w:space="0" w:color="auto"/>
        </w:rPr>
        <w:t>顯異</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79</w:t>
      </w:r>
      <w:r w:rsidRPr="00DA3BC7">
        <w:rPr>
          <w:sz w:val="20"/>
          <w:szCs w:val="20"/>
        </w:rPr>
        <w:t>）</w:t>
      </w:r>
    </w:p>
    <w:p w:rsidR="002B682F" w:rsidRPr="00DA3BC7" w:rsidRDefault="002B682F" w:rsidP="008E2BBC">
      <w:pPr>
        <w:widowControl/>
        <w:ind w:leftChars="150" w:left="360"/>
        <w:jc w:val="both"/>
      </w:pPr>
      <w:r w:rsidRPr="00DA3BC7">
        <w:t>依緣起因果法直明一切法空，是</w:t>
      </w:r>
      <w:r w:rsidRPr="00DA3BC7">
        <w:rPr>
          <w:b/>
        </w:rPr>
        <w:t>空門</w:t>
      </w:r>
      <w:r w:rsidRPr="00DA3BC7">
        <w:t>；不取一切相，是</w:t>
      </w:r>
      <w:r w:rsidRPr="00DA3BC7">
        <w:rPr>
          <w:b/>
        </w:rPr>
        <w:t>無相門</w:t>
      </w:r>
      <w:r w:rsidRPr="00DA3BC7">
        <w:t>。</w:t>
      </w:r>
    </w:p>
    <w:p w:rsidR="002B682F" w:rsidRPr="00DA3BC7" w:rsidRDefault="002B682F" w:rsidP="00A04018">
      <w:pPr>
        <w:widowControl/>
        <w:ind w:leftChars="150" w:left="360"/>
        <w:jc w:val="both"/>
        <w:rPr>
          <w:sz w:val="20"/>
          <w:szCs w:val="20"/>
          <w:bdr w:val="single" w:sz="4" w:space="0" w:color="auto"/>
        </w:rPr>
      </w:pPr>
      <w:r w:rsidRPr="00DA3BC7">
        <w:t>空門</w:t>
      </w:r>
      <w:r w:rsidRPr="00DA3BC7">
        <w:rPr>
          <w:rFonts w:hint="eastAsia"/>
        </w:rPr>
        <w:t>、</w:t>
      </w:r>
      <w:r w:rsidRPr="00DA3BC7">
        <w:t>無相門</w:t>
      </w:r>
      <w:r w:rsidRPr="00DA3BC7">
        <w:rPr>
          <w:rFonts w:hint="eastAsia"/>
        </w:rPr>
        <w:t>、</w:t>
      </w:r>
      <w:r w:rsidRPr="00DA3BC7">
        <w:t>無作門，方便不妨不同，而實則一悟一切悟，三解脫門同緣一實相。</w:t>
      </w:r>
      <w:r w:rsidRPr="00DA3BC7">
        <w:rPr>
          <w:rStyle w:val="a6"/>
          <w:rFonts w:ascii="Times New Roman" w:hAnsi="Times New Roman"/>
        </w:rPr>
        <w:footnoteReference w:id="408"/>
      </w:r>
    </w:p>
    <w:p w:rsidR="00EC1127" w:rsidRDefault="002B682F" w:rsidP="00EC1127">
      <w:pPr>
        <w:widowControl/>
        <w:ind w:leftChars="150" w:left="360"/>
        <w:jc w:val="both"/>
      </w:pPr>
      <w:r w:rsidRPr="00DA3BC7">
        <w:rPr>
          <w:b/>
        </w:rPr>
        <w:t>中觀</w:t>
      </w:r>
      <w:r w:rsidRPr="00DA3BC7">
        <w:t>以緣起無性的</w:t>
      </w:r>
      <w:r w:rsidRPr="00DA3BC7">
        <w:rPr>
          <w:b/>
        </w:rPr>
        <w:t>空門</w:t>
      </w:r>
      <w:r w:rsidRPr="00DA3BC7">
        <w:t>為本，未嘗不說</w:t>
      </w:r>
      <w:r w:rsidRPr="00DA3BC7">
        <w:rPr>
          <w:b/>
        </w:rPr>
        <w:t>無相門</w:t>
      </w:r>
      <w:r w:rsidRPr="00DA3BC7">
        <w:t>。</w:t>
      </w:r>
    </w:p>
    <w:p w:rsidR="002B682F" w:rsidRPr="00DA3BC7" w:rsidRDefault="002B682F" w:rsidP="00EC1127">
      <w:pPr>
        <w:widowControl/>
        <w:ind w:leftChars="150" w:left="360"/>
        <w:jc w:val="both"/>
        <w:rPr>
          <w:rFonts w:ascii="新細明體" w:hAnsi="新細明體" w:cs="新細明體"/>
        </w:rPr>
      </w:pPr>
      <w:r w:rsidRPr="00DA3BC7">
        <w:rPr>
          <w:rFonts w:ascii="新細明體" w:hAnsi="新細明體" w:cs="新細明體"/>
        </w:rPr>
        <w:t>而</w:t>
      </w:r>
      <w:r w:rsidRPr="00DA3BC7">
        <w:rPr>
          <w:rFonts w:ascii="新細明體" w:hAnsi="新細明體" w:cs="新細明體"/>
          <w:b/>
        </w:rPr>
        <w:t>唯識</w:t>
      </w:r>
      <w:r w:rsidRPr="00DA3BC7">
        <w:rPr>
          <w:rFonts w:ascii="新細明體" w:hAnsi="新細明體" w:cs="新細明體"/>
        </w:rPr>
        <w:t>專從觀空以明「不如所取有」，不能即因果而明空，此即是</w:t>
      </w:r>
      <w:r w:rsidRPr="00DA3BC7">
        <w:rPr>
          <w:rFonts w:ascii="新細明體" w:hAnsi="新細明體" w:cs="新細明體"/>
          <w:b/>
        </w:rPr>
        <w:t>二宗的不同</w:t>
      </w:r>
      <w:r w:rsidRPr="00DA3BC7">
        <w:rPr>
          <w:rFonts w:ascii="新細明體" w:hAnsi="新細明體" w:cs="新細明體"/>
        </w:rPr>
        <w:t>。</w:t>
      </w:r>
    </w:p>
    <w:p w:rsidR="00A04018" w:rsidRPr="00DA3BC7" w:rsidRDefault="00A04018" w:rsidP="00AE3920">
      <w:pPr>
        <w:widowControl/>
        <w:spacing w:beforeLines="30"/>
        <w:jc w:val="both"/>
        <w:rPr>
          <w:sz w:val="20"/>
          <w:szCs w:val="20"/>
          <w:bdr w:val="single" w:sz="4" w:space="0" w:color="auto"/>
        </w:rPr>
      </w:pPr>
      <w:r>
        <w:rPr>
          <w:rFonts w:hint="eastAsia"/>
          <w:b/>
          <w:color w:val="FF0000"/>
          <w:sz w:val="20"/>
          <w:szCs w:val="20"/>
          <w:highlight w:val="yellow"/>
          <w:bdr w:val="single" w:sz="4" w:space="0" w:color="auto"/>
        </w:rPr>
        <w:t>肆、結要</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79</w:t>
      </w:r>
      <w:r w:rsidRPr="00DA3BC7">
        <w:rPr>
          <w:sz w:val="20"/>
          <w:szCs w:val="20"/>
        </w:rPr>
        <w:t>）</w:t>
      </w:r>
    </w:p>
    <w:p w:rsidR="00EC1127" w:rsidRDefault="002B682F" w:rsidP="00EC1127">
      <w:pPr>
        <w:widowControl/>
        <w:jc w:val="both"/>
      </w:pPr>
      <w:r w:rsidRPr="00DA3BC7">
        <w:t>上明緣起無自性，都是為了說明空的定義。</w:t>
      </w:r>
    </w:p>
    <w:p w:rsidR="002B682F" w:rsidRPr="00DA3BC7" w:rsidRDefault="002B682F" w:rsidP="00AE3920">
      <w:pPr>
        <w:widowControl/>
        <w:spacing w:beforeLines="30"/>
        <w:jc w:val="both"/>
        <w:sectPr w:rsidR="002B682F" w:rsidRPr="00DA3BC7" w:rsidSect="009914C0">
          <w:headerReference w:type="default" r:id="rId42"/>
          <w:footnotePr>
            <w:numRestart w:val="eachSect"/>
          </w:footnotePr>
          <w:pgSz w:w="10773" w:h="14742" w:code="9"/>
          <w:pgMar w:top="1418" w:right="1418" w:bottom="1418" w:left="1418" w:header="851" w:footer="992" w:gutter="0"/>
          <w:cols w:space="425"/>
          <w:docGrid w:type="lines" w:linePitch="360"/>
        </w:sectPr>
      </w:pPr>
      <w:r w:rsidRPr="00DA3BC7">
        <w:t>龍樹論說到的地方很多，根本與其他的學派不同。所以不能望文生義，見了緣起、自性、空的名</w:t>
      </w:r>
      <w:r w:rsidRPr="00DA3BC7">
        <w:rPr>
          <w:rFonts w:hint="eastAsia"/>
        </w:rPr>
        <w:t>詞</w:t>
      </w:r>
      <w:r w:rsidRPr="00DA3BC7">
        <w:t>，就以為是同歸一致的。</w:t>
      </w:r>
    </w:p>
    <w:p w:rsidR="002B682F" w:rsidRPr="00DA3BC7" w:rsidRDefault="002B682F" w:rsidP="008E2BBC">
      <w:pPr>
        <w:pStyle w:val="1"/>
      </w:pPr>
      <w:bookmarkStart w:id="90" w:name="_Toc405287354"/>
      <w:bookmarkStart w:id="91" w:name="_Toc405287826"/>
      <w:bookmarkStart w:id="92" w:name="_Toc405499769"/>
      <w:r w:rsidRPr="00DA3BC7">
        <w:rPr>
          <w:rFonts w:hint="eastAsia"/>
        </w:rPr>
        <w:lastRenderedPageBreak/>
        <w:t>第五章、中觀之根本論題</w:t>
      </w:r>
      <w:bookmarkEnd w:id="90"/>
      <w:bookmarkEnd w:id="91"/>
      <w:bookmarkEnd w:id="92"/>
    </w:p>
    <w:p w:rsidR="002B682F" w:rsidRPr="00DA3BC7" w:rsidRDefault="002B682F" w:rsidP="008E2BBC">
      <w:pPr>
        <w:pStyle w:val="2"/>
      </w:pPr>
      <w:bookmarkStart w:id="93" w:name="_Toc405499770"/>
      <w:r w:rsidRPr="00DA3BC7">
        <w:rPr>
          <w:rFonts w:hint="eastAsia"/>
        </w:rPr>
        <w:t>第四節、</w:t>
      </w:r>
      <w:r w:rsidRPr="00DA3BC7">
        <w:t>緣起自性空</w:t>
      </w:r>
      <w:bookmarkEnd w:id="93"/>
    </w:p>
    <w:p w:rsidR="002B682F" w:rsidRPr="00DA3BC7" w:rsidRDefault="002B682F" w:rsidP="008E2BBC">
      <w:pPr>
        <w:jc w:val="center"/>
        <w:rPr>
          <w:rFonts w:ascii="Times New Roman" w:eastAsia="標楷體" w:hAnsi="Times New Roman"/>
        </w:rPr>
      </w:pPr>
      <w:r w:rsidRPr="00DA3BC7">
        <w:rPr>
          <w:rFonts w:ascii="Times New Roman" w:eastAsia="標楷體" w:hAnsi="Times New Roman"/>
        </w:rPr>
        <w:t>（</w:t>
      </w:r>
      <w:r w:rsidRPr="00DA3BC7">
        <w:rPr>
          <w:rFonts w:ascii="Times New Roman" w:eastAsia="標楷體" w:hAnsi="Times New Roman"/>
        </w:rPr>
        <w:t>pp.79-81</w:t>
      </w:r>
      <w:r w:rsidRPr="00DA3BC7">
        <w:rPr>
          <w:rFonts w:ascii="Times New Roman" w:eastAsia="標楷體" w:hAnsi="Times New Roman"/>
        </w:rPr>
        <w:t>）</w:t>
      </w:r>
    </w:p>
    <w:p w:rsidR="002B682F" w:rsidRPr="00DA3BC7" w:rsidRDefault="002B682F" w:rsidP="008E2BBC">
      <w:pPr>
        <w:pStyle w:val="Author"/>
      </w:pPr>
    </w:p>
    <w:p w:rsidR="002B682F" w:rsidRPr="00DA3BC7" w:rsidRDefault="002B682F" w:rsidP="00AE3920">
      <w:pPr>
        <w:spacing w:beforeLines="50"/>
        <w:jc w:val="both"/>
        <w:rPr>
          <w:rFonts w:ascii="Times New Roman" w:hAnsi="Times New Roman"/>
          <w:sz w:val="20"/>
          <w:bdr w:val="single" w:sz="4" w:space="0" w:color="auto"/>
        </w:rPr>
      </w:pPr>
      <w:r w:rsidRPr="00DA3BC7">
        <w:rPr>
          <w:rFonts w:ascii="Times New Roman" w:hAnsi="Times Ext Roman" w:hint="eastAsia"/>
          <w:b/>
          <w:sz w:val="20"/>
          <w:bdr w:val="single" w:sz="4" w:space="0" w:color="auto"/>
        </w:rPr>
        <w:t>壹、略標</w:t>
      </w:r>
      <w:r w:rsidRPr="00DA3BC7">
        <w:rPr>
          <w:rFonts w:ascii="Times New Roman" w:hAnsi="Times New Roman"/>
          <w:sz w:val="20"/>
        </w:rPr>
        <w:t>（</w:t>
      </w:r>
      <w:r w:rsidRPr="00DA3BC7">
        <w:rPr>
          <w:rFonts w:ascii="Times New Roman" w:hAnsi="Times New Roman"/>
          <w:sz w:val="20"/>
        </w:rPr>
        <w:t>p.</w:t>
      </w:r>
      <w:r w:rsidRPr="00DA3BC7">
        <w:rPr>
          <w:rFonts w:ascii="Times New Roman" w:hAnsi="Times New Roman" w:hint="eastAsia"/>
          <w:sz w:val="20"/>
        </w:rPr>
        <w:t>79</w:t>
      </w:r>
      <w:r w:rsidRPr="00DA3BC7">
        <w:rPr>
          <w:rFonts w:ascii="Times New Roman" w:hAnsi="Times Ext Roman"/>
          <w:sz w:val="20"/>
        </w:rPr>
        <w:t>）</w:t>
      </w:r>
    </w:p>
    <w:p w:rsidR="002B682F" w:rsidRPr="00DA3BC7" w:rsidRDefault="002B682F" w:rsidP="008E2BBC">
      <w:pPr>
        <w:jc w:val="both"/>
        <w:rPr>
          <w:rFonts w:ascii="Times New Roman"/>
        </w:rPr>
      </w:pPr>
      <w:r w:rsidRPr="00DA3BC7">
        <w:rPr>
          <w:rFonts w:ascii="Times New Roman"/>
        </w:rPr>
        <w:t>現在，把上面講的緣起、自性、空，總合起來說：</w:t>
      </w:r>
    </w:p>
    <w:p w:rsidR="002B682F" w:rsidRPr="00DA3BC7" w:rsidRDefault="002B682F" w:rsidP="00AE3920">
      <w:pPr>
        <w:spacing w:beforeLines="30"/>
        <w:jc w:val="both"/>
        <w:rPr>
          <w:rFonts w:ascii="Times New Roman" w:hAnsi="Times Ext Roman"/>
          <w:b/>
          <w:sz w:val="20"/>
          <w:szCs w:val="20"/>
          <w:bdr w:val="single" w:sz="4" w:space="0" w:color="auto"/>
        </w:rPr>
      </w:pPr>
      <w:r w:rsidRPr="00DA3BC7">
        <w:rPr>
          <w:rFonts w:ascii="Times New Roman" w:hAnsi="Times Ext Roman" w:hint="eastAsia"/>
          <w:b/>
          <w:sz w:val="20"/>
          <w:bdr w:val="single" w:sz="4" w:space="0" w:color="auto"/>
        </w:rPr>
        <w:t>貳、別述</w:t>
      </w:r>
      <w:r w:rsidRPr="00DA3BC7">
        <w:rPr>
          <w:rFonts w:ascii="Times New Roman" w:hAnsi="Times New Roman"/>
          <w:sz w:val="20"/>
          <w:szCs w:val="20"/>
        </w:rPr>
        <w:t>（</w:t>
      </w:r>
      <w:r w:rsidRPr="00DA3BC7">
        <w:rPr>
          <w:rFonts w:ascii="Times New Roman" w:hAnsi="Times New Roman"/>
          <w:sz w:val="20"/>
          <w:szCs w:val="20"/>
        </w:rPr>
        <w:t>pp.</w:t>
      </w:r>
      <w:r w:rsidRPr="00DA3BC7">
        <w:rPr>
          <w:rFonts w:ascii="Times New Roman" w:hAnsi="Times New Roman" w:hint="eastAsia"/>
          <w:sz w:val="20"/>
          <w:szCs w:val="20"/>
        </w:rPr>
        <w:t>79</w:t>
      </w:r>
      <w:r w:rsidRPr="00DA3BC7">
        <w:rPr>
          <w:rFonts w:ascii="Times New Roman" w:hAnsi="Times New Roman"/>
          <w:sz w:val="20"/>
          <w:szCs w:val="20"/>
        </w:rPr>
        <w:t>-</w:t>
      </w:r>
      <w:r w:rsidRPr="00DA3BC7">
        <w:rPr>
          <w:rFonts w:ascii="Times New Roman" w:hAnsi="Times New Roman" w:hint="eastAsia"/>
          <w:sz w:val="20"/>
          <w:szCs w:val="20"/>
        </w:rPr>
        <w:t>81</w:t>
      </w:r>
      <w:r w:rsidRPr="00DA3BC7">
        <w:rPr>
          <w:rFonts w:ascii="Times New Roman" w:hAnsi="Times Ext Roman"/>
          <w:sz w:val="20"/>
          <w:szCs w:val="20"/>
        </w:rPr>
        <w:t>）</w:t>
      </w:r>
    </w:p>
    <w:p w:rsidR="002B682F" w:rsidRPr="00DA3BC7" w:rsidRDefault="002B682F" w:rsidP="008E2BBC">
      <w:pPr>
        <w:ind w:leftChars="50" w:left="120"/>
        <w:jc w:val="both"/>
        <w:rPr>
          <w:rFonts w:ascii="Times New Roman" w:hAnsi="Times New Roman"/>
          <w:sz w:val="20"/>
          <w:bdr w:val="single" w:sz="4" w:space="0" w:color="auto"/>
        </w:rPr>
      </w:pPr>
      <w:r w:rsidRPr="00DA3BC7">
        <w:rPr>
          <w:rFonts w:ascii="Times New Roman" w:hAnsi="Times Ext Roman" w:hint="eastAsia"/>
          <w:b/>
          <w:sz w:val="20"/>
          <w:bdr w:val="single" w:sz="4" w:space="0" w:color="auto"/>
        </w:rPr>
        <w:t>（壹）</w:t>
      </w:r>
      <w:r w:rsidR="0078755B">
        <w:rPr>
          <w:rFonts w:ascii="Times New Roman" w:hAnsi="Times Ext Roman" w:hint="eastAsia"/>
          <w:b/>
          <w:sz w:val="20"/>
          <w:bdr w:val="single" w:sz="4" w:space="0" w:color="auto"/>
        </w:rPr>
        <w:t>「</w:t>
      </w:r>
      <w:r w:rsidRPr="00DA3BC7">
        <w:rPr>
          <w:rFonts w:ascii="Times New Roman" w:hAnsi="Times Ext Roman" w:hint="eastAsia"/>
          <w:b/>
          <w:sz w:val="20"/>
          <w:bdr w:val="single" w:sz="4" w:space="0" w:color="auto"/>
        </w:rPr>
        <w:t>緣起</w:t>
      </w:r>
      <w:r w:rsidR="0078755B">
        <w:rPr>
          <w:rFonts w:ascii="Times New Roman" w:hAnsi="Times Ext Roman" w:hint="eastAsia"/>
          <w:b/>
          <w:sz w:val="20"/>
          <w:bdr w:val="single" w:sz="4" w:space="0" w:color="auto"/>
        </w:rPr>
        <w:t>」</w:t>
      </w:r>
      <w:r w:rsidRPr="00DA3BC7">
        <w:rPr>
          <w:rFonts w:ascii="Times New Roman" w:hAnsi="Times Ext Roman" w:hint="eastAsia"/>
          <w:b/>
          <w:sz w:val="20"/>
          <w:bdr w:val="single" w:sz="4" w:space="0" w:color="auto"/>
        </w:rPr>
        <w:t>與</w:t>
      </w:r>
      <w:r w:rsidR="0078755B">
        <w:rPr>
          <w:rFonts w:ascii="Times New Roman" w:hAnsi="Times Ext Roman" w:hint="eastAsia"/>
          <w:b/>
          <w:sz w:val="20"/>
          <w:bdr w:val="single" w:sz="4" w:space="0" w:color="auto"/>
        </w:rPr>
        <w:t>「</w:t>
      </w:r>
      <w:r w:rsidRPr="00DA3BC7">
        <w:rPr>
          <w:rFonts w:ascii="Times New Roman" w:hAnsi="Times Ext Roman" w:hint="eastAsia"/>
          <w:b/>
          <w:sz w:val="20"/>
          <w:bdr w:val="single" w:sz="4" w:space="0" w:color="auto"/>
        </w:rPr>
        <w:t>自性</w:t>
      </w:r>
      <w:r w:rsidR="0078755B">
        <w:rPr>
          <w:rFonts w:ascii="Times New Roman" w:hAnsi="Times Ext Roman" w:hint="eastAsia"/>
          <w:b/>
          <w:sz w:val="20"/>
          <w:bdr w:val="single" w:sz="4" w:space="0" w:color="auto"/>
        </w:rPr>
        <w:t>」</w:t>
      </w:r>
      <w:r w:rsidR="00B35CD8" w:rsidRPr="00B35CD8">
        <w:rPr>
          <w:rFonts w:ascii="Times Ext Roman" w:hAnsi="Times Ext Roman" w:cs="Times Ext Roman" w:hint="eastAsia"/>
          <w:b/>
          <w:color w:val="FF0000"/>
          <w:sz w:val="20"/>
          <w:highlight w:val="yellow"/>
          <w:bdr w:val="single" w:sz="4" w:space="0" w:color="auto"/>
        </w:rPr>
        <w:t>──相反相奪</w:t>
      </w:r>
      <w:r w:rsidRPr="00DA3BC7">
        <w:rPr>
          <w:rFonts w:ascii="Times New Roman" w:hAnsi="Times New Roman"/>
          <w:sz w:val="20"/>
        </w:rPr>
        <w:t>（</w:t>
      </w:r>
      <w:r w:rsidRPr="00DA3BC7">
        <w:rPr>
          <w:rFonts w:ascii="Times New Roman" w:hAnsi="Times New Roman"/>
          <w:sz w:val="20"/>
          <w:szCs w:val="20"/>
        </w:rPr>
        <w:t>pp.</w:t>
      </w:r>
      <w:r w:rsidRPr="00DA3BC7">
        <w:rPr>
          <w:rFonts w:ascii="Times New Roman" w:hAnsi="Times New Roman" w:hint="eastAsia"/>
          <w:sz w:val="20"/>
          <w:szCs w:val="20"/>
        </w:rPr>
        <w:t>79</w:t>
      </w:r>
      <w:r w:rsidRPr="00DA3BC7">
        <w:rPr>
          <w:rFonts w:ascii="Times New Roman" w:hAnsi="Times New Roman"/>
          <w:sz w:val="20"/>
          <w:szCs w:val="20"/>
        </w:rPr>
        <w:t>-</w:t>
      </w:r>
      <w:r w:rsidRPr="00DA3BC7">
        <w:rPr>
          <w:rFonts w:ascii="Times New Roman" w:hAnsi="Times New Roman" w:hint="eastAsia"/>
          <w:sz w:val="20"/>
          <w:szCs w:val="20"/>
        </w:rPr>
        <w:t>80</w:t>
      </w:r>
      <w:r w:rsidRPr="00DA3BC7">
        <w:rPr>
          <w:rFonts w:ascii="Times New Roman" w:hAnsi="Times Ext Roman"/>
          <w:sz w:val="20"/>
        </w:rPr>
        <w:t>）</w:t>
      </w:r>
    </w:p>
    <w:p w:rsidR="002B682F" w:rsidRPr="00DA3BC7" w:rsidRDefault="002B682F" w:rsidP="008E2BBC">
      <w:pPr>
        <w:ind w:leftChars="100" w:left="240"/>
        <w:jc w:val="both"/>
        <w:rPr>
          <w:rFonts w:ascii="Times Ext Roman" w:hAnsi="Times Ext Roman" w:cs="Times Ext Roman"/>
          <w:b/>
          <w:sz w:val="20"/>
          <w:bdr w:val="single" w:sz="4" w:space="0" w:color="auto"/>
        </w:rPr>
      </w:pPr>
      <w:r w:rsidRPr="00DA3BC7">
        <w:rPr>
          <w:rFonts w:ascii="Times Ext Roman" w:hAnsi="Times Ext Roman" w:cs="Times Ext Roman" w:hint="eastAsia"/>
          <w:b/>
          <w:sz w:val="20"/>
          <w:bdr w:val="single" w:sz="4" w:space="0" w:color="auto"/>
        </w:rPr>
        <w:t>一、</w:t>
      </w:r>
      <w:r w:rsidR="00B35CD8">
        <w:rPr>
          <w:rFonts w:ascii="Times Ext Roman" w:hAnsi="Times Ext Roman" w:cs="Times Ext Roman" w:hint="eastAsia"/>
          <w:b/>
          <w:color w:val="FF0000"/>
          <w:sz w:val="20"/>
          <w:highlight w:val="yellow"/>
          <w:bdr w:val="single" w:sz="4" w:space="0" w:color="auto"/>
        </w:rPr>
        <w:t>明理</w:t>
      </w:r>
      <w:r w:rsidRPr="00DA3BC7">
        <w:rPr>
          <w:rFonts w:ascii="Times New Roman" w:hAnsi="Times New Roman"/>
          <w:sz w:val="20"/>
        </w:rPr>
        <w:t>（</w:t>
      </w:r>
      <w:r w:rsidRPr="00DA3BC7">
        <w:rPr>
          <w:rFonts w:ascii="Times New Roman" w:hAnsi="Times New Roman"/>
          <w:sz w:val="20"/>
        </w:rPr>
        <w:t>p.</w:t>
      </w:r>
      <w:r w:rsidRPr="00DA3BC7">
        <w:rPr>
          <w:rFonts w:ascii="Times New Roman" w:hAnsi="Times New Roman" w:hint="eastAsia"/>
          <w:sz w:val="20"/>
        </w:rPr>
        <w:t>79</w:t>
      </w:r>
      <w:r w:rsidRPr="00DA3BC7">
        <w:rPr>
          <w:rFonts w:ascii="Times New Roman" w:hAnsi="Times Ext Roman"/>
          <w:sz w:val="20"/>
        </w:rPr>
        <w:t>）</w:t>
      </w:r>
    </w:p>
    <w:p w:rsidR="002B682F" w:rsidRPr="00DA3BC7" w:rsidRDefault="002B682F" w:rsidP="008E2BBC">
      <w:pPr>
        <w:ind w:leftChars="100" w:left="240"/>
        <w:jc w:val="both"/>
        <w:rPr>
          <w:rFonts w:ascii="Times New Roman"/>
        </w:rPr>
      </w:pPr>
      <w:r w:rsidRPr="00586961">
        <w:rPr>
          <w:rFonts w:ascii="Times New Roman"/>
          <w:b/>
          <w:u w:val="wave" w:color="C00000"/>
        </w:rPr>
        <w:t>緣起</w:t>
      </w:r>
      <w:r w:rsidRPr="00DA3BC7">
        <w:rPr>
          <w:rFonts w:ascii="Times New Roman"/>
        </w:rPr>
        <w:t>與</w:t>
      </w:r>
      <w:r w:rsidRPr="00586961">
        <w:rPr>
          <w:rFonts w:ascii="Times New Roman"/>
          <w:b/>
          <w:u w:val="wave" w:color="C00000"/>
        </w:rPr>
        <w:t>自性</w:t>
      </w:r>
      <w:r w:rsidRPr="00DA3BC7">
        <w:rPr>
          <w:rFonts w:ascii="Times New Roman"/>
        </w:rPr>
        <w:t>是絕對相反的，緣起的即無自性，自性的即非緣起。</w:t>
      </w:r>
    </w:p>
    <w:p w:rsidR="002B682F" w:rsidRPr="00DA3BC7" w:rsidRDefault="002B682F" w:rsidP="00AE3920">
      <w:pPr>
        <w:spacing w:beforeLines="30"/>
        <w:ind w:leftChars="100" w:left="240"/>
        <w:jc w:val="both"/>
        <w:rPr>
          <w:rFonts w:ascii="Times Ext Roman" w:hAnsi="Times Ext Roman" w:cs="Times Ext Roman"/>
          <w:sz w:val="20"/>
          <w:bdr w:val="single" w:sz="4" w:space="0" w:color="auto"/>
        </w:rPr>
      </w:pPr>
      <w:r w:rsidRPr="00DA3BC7">
        <w:rPr>
          <w:rFonts w:ascii="Times Ext Roman" w:hAnsi="Times Ext Roman" w:cs="Times Ext Roman" w:hint="eastAsia"/>
          <w:b/>
          <w:sz w:val="20"/>
          <w:bdr w:val="single" w:sz="4" w:space="0" w:color="auto"/>
        </w:rPr>
        <w:t>二、</w:t>
      </w:r>
      <w:r w:rsidR="00B35CD8">
        <w:rPr>
          <w:rFonts w:ascii="Times Ext Roman" w:hAnsi="Times Ext Roman" w:cs="Times Ext Roman" w:hint="eastAsia"/>
          <w:b/>
          <w:color w:val="FF0000"/>
          <w:sz w:val="20"/>
          <w:highlight w:val="yellow"/>
          <w:bdr w:val="single" w:sz="4" w:space="0" w:color="auto"/>
        </w:rPr>
        <w:t>敘異</w:t>
      </w:r>
      <w:r w:rsidR="00B35CD8" w:rsidRPr="00DA3BC7">
        <w:rPr>
          <w:rFonts w:ascii="Times New Roman" w:hAnsi="Times New Roman"/>
          <w:sz w:val="20"/>
          <w:szCs w:val="20"/>
        </w:rPr>
        <w:t>（</w:t>
      </w:r>
      <w:r w:rsidR="00B35CD8" w:rsidRPr="00DA3BC7">
        <w:rPr>
          <w:rFonts w:ascii="Times New Roman" w:hAnsi="Times New Roman"/>
          <w:sz w:val="20"/>
          <w:szCs w:val="20"/>
        </w:rPr>
        <w:t>pp.</w:t>
      </w:r>
      <w:r w:rsidR="00B35CD8" w:rsidRPr="00DA3BC7">
        <w:rPr>
          <w:rFonts w:ascii="Times New Roman" w:hAnsi="Times New Roman" w:hint="eastAsia"/>
          <w:sz w:val="20"/>
          <w:szCs w:val="20"/>
        </w:rPr>
        <w:t>79</w:t>
      </w:r>
      <w:r w:rsidR="00B35CD8" w:rsidRPr="00DA3BC7">
        <w:rPr>
          <w:rFonts w:ascii="Times New Roman" w:hAnsi="Times New Roman"/>
          <w:sz w:val="20"/>
          <w:szCs w:val="20"/>
        </w:rPr>
        <w:t>-</w:t>
      </w:r>
      <w:r w:rsidR="00B35CD8" w:rsidRPr="00DA3BC7">
        <w:rPr>
          <w:rFonts w:ascii="Times New Roman" w:hAnsi="Times New Roman" w:hint="eastAsia"/>
          <w:sz w:val="20"/>
          <w:szCs w:val="20"/>
        </w:rPr>
        <w:t>80</w:t>
      </w:r>
      <w:r w:rsidR="00B35CD8" w:rsidRPr="00DA3BC7">
        <w:rPr>
          <w:rFonts w:ascii="Times New Roman" w:hAnsi="Times Ext Roman"/>
          <w:sz w:val="20"/>
          <w:szCs w:val="20"/>
        </w:rPr>
        <w:t>）</w:t>
      </w:r>
    </w:p>
    <w:p w:rsidR="002B682F" w:rsidRPr="00DA3BC7" w:rsidRDefault="002B682F" w:rsidP="008E2BBC">
      <w:pPr>
        <w:ind w:leftChars="100" w:left="240"/>
        <w:jc w:val="both"/>
        <w:rPr>
          <w:rFonts w:ascii="Times New Roman"/>
        </w:rPr>
      </w:pPr>
      <w:r w:rsidRPr="00DA3BC7">
        <w:rPr>
          <w:rFonts w:ascii="Times New Roman"/>
        </w:rPr>
        <w:t>一般的眾生</w:t>
      </w:r>
      <w:r w:rsidRPr="00DA3BC7">
        <w:rPr>
          <w:rFonts w:ascii="Times New Roman" w:hint="eastAsia"/>
        </w:rPr>
        <w:t>、</w:t>
      </w:r>
      <w:r w:rsidRPr="00DA3BC7">
        <w:rPr>
          <w:rFonts w:ascii="Times New Roman"/>
        </w:rPr>
        <w:t>外道以及佛法中的其他各派，都是以自性為根源而出發的。</w:t>
      </w:r>
    </w:p>
    <w:p w:rsidR="002B682F" w:rsidRPr="00DA3BC7" w:rsidRDefault="002B682F" w:rsidP="00B35CD8">
      <w:pPr>
        <w:ind w:leftChars="100" w:left="240"/>
        <w:jc w:val="both"/>
        <w:rPr>
          <w:rFonts w:ascii="Times New Roman"/>
        </w:rPr>
      </w:pPr>
      <w:r w:rsidRPr="00DA3BC7">
        <w:rPr>
          <w:rFonts w:ascii="Times New Roman"/>
        </w:rPr>
        <w:t>而佛陀的所以與外道不同，即是「</w:t>
      </w:r>
      <w:r w:rsidRPr="00DA3BC7">
        <w:rPr>
          <w:rFonts w:ascii="標楷體" w:eastAsia="標楷體" w:hAnsi="標楷體"/>
        </w:rPr>
        <w:t>我說緣起</w:t>
      </w:r>
      <w:r w:rsidRPr="00DA3BC7">
        <w:rPr>
          <w:rFonts w:ascii="Times New Roman"/>
        </w:rPr>
        <w:t>」</w:t>
      </w:r>
      <w:r w:rsidRPr="00DA3BC7">
        <w:rPr>
          <w:rStyle w:val="a6"/>
          <w:rFonts w:ascii="Times New Roman" w:hAnsi="Times New Roman"/>
          <w:bCs/>
        </w:rPr>
        <w:footnoteReference w:id="409"/>
      </w:r>
      <w:r w:rsidRPr="00DA3BC7">
        <w:rPr>
          <w:rFonts w:ascii="Times New Roman" w:hint="eastAsia"/>
        </w:rPr>
        <w:t>、</w:t>
      </w:r>
      <w:r w:rsidRPr="00DA3BC7">
        <w:rPr>
          <w:rFonts w:ascii="Times New Roman"/>
        </w:rPr>
        <w:t>「</w:t>
      </w:r>
      <w:r w:rsidRPr="00DA3BC7">
        <w:rPr>
          <w:rFonts w:ascii="標楷體" w:eastAsia="標楷體" w:hAnsi="標楷體"/>
        </w:rPr>
        <w:t>論因說因</w:t>
      </w:r>
      <w:r w:rsidRPr="00DA3BC7">
        <w:rPr>
          <w:rFonts w:ascii="Times New Roman"/>
        </w:rPr>
        <w:t>」</w:t>
      </w:r>
      <w:r w:rsidRPr="00DA3BC7">
        <w:rPr>
          <w:rStyle w:val="a6"/>
          <w:rFonts w:ascii="Times New Roman" w:hAnsi="Times New Roman"/>
          <w:bCs/>
        </w:rPr>
        <w:footnoteReference w:id="410"/>
      </w:r>
      <w:r w:rsidRPr="00DA3BC7">
        <w:rPr>
          <w:rFonts w:ascii="Times New Roman"/>
        </w:rPr>
        <w:t>。</w:t>
      </w:r>
    </w:p>
    <w:p w:rsidR="002B682F" w:rsidRPr="00DA3BC7" w:rsidRDefault="002B682F" w:rsidP="008E2BBC">
      <w:pPr>
        <w:ind w:leftChars="100" w:left="240"/>
        <w:jc w:val="both"/>
        <w:rPr>
          <w:rFonts w:ascii="Times New Roman"/>
        </w:rPr>
      </w:pPr>
      <w:r w:rsidRPr="00DA3BC7">
        <w:rPr>
          <w:rFonts w:ascii="Times New Roman"/>
        </w:rPr>
        <w:t>所以依中觀說，中觀可稱</w:t>
      </w:r>
      <w:r w:rsidRPr="00DA3BC7">
        <w:rPr>
          <w:rFonts w:ascii="Times New Roman" w:hint="eastAsia"/>
          <w:b/>
        </w:rPr>
        <w:t>緣起宗</w:t>
      </w:r>
      <w:r w:rsidRPr="00DA3BC7">
        <w:rPr>
          <w:rFonts w:ascii="Times New Roman"/>
        </w:rPr>
        <w:t>，其他各派可稱為</w:t>
      </w:r>
      <w:r w:rsidRPr="00DA3BC7">
        <w:rPr>
          <w:rFonts w:ascii="Times New Roman" w:hint="eastAsia"/>
          <w:b/>
        </w:rPr>
        <w:t>自性宗</w:t>
      </w:r>
      <w:r w:rsidRPr="00DA3BC7">
        <w:rPr>
          <w:rFonts w:ascii="Times New Roman"/>
        </w:rPr>
        <w:t>，也即是空有二宗的分別處。</w:t>
      </w:r>
    </w:p>
    <w:p w:rsidR="002B682F" w:rsidRPr="00DA3BC7" w:rsidRDefault="002B682F" w:rsidP="00AE3920">
      <w:pPr>
        <w:spacing w:beforeLines="30"/>
        <w:ind w:firstLineChars="50" w:firstLine="100"/>
        <w:jc w:val="both"/>
        <w:rPr>
          <w:rFonts w:ascii="Times New Roman" w:hAnsi="Times New Roman"/>
          <w:sz w:val="20"/>
          <w:szCs w:val="20"/>
          <w:bdr w:val="single" w:sz="4" w:space="0" w:color="auto"/>
        </w:rPr>
      </w:pPr>
      <w:r w:rsidRPr="00DA3BC7">
        <w:rPr>
          <w:rFonts w:ascii="Times New Roman" w:hAnsi="Times Ext Roman" w:hint="eastAsia"/>
          <w:b/>
          <w:sz w:val="20"/>
          <w:bdr w:val="single" w:sz="4" w:space="0" w:color="auto"/>
        </w:rPr>
        <w:t>（貳）</w:t>
      </w:r>
      <w:r w:rsidR="0078755B">
        <w:rPr>
          <w:rFonts w:ascii="Times New Roman" w:hAnsi="Times Ext Roman" w:hint="eastAsia"/>
          <w:b/>
          <w:sz w:val="20"/>
          <w:bdr w:val="single" w:sz="4" w:space="0" w:color="auto"/>
        </w:rPr>
        <w:t>「</w:t>
      </w:r>
      <w:r w:rsidRPr="00DA3BC7">
        <w:rPr>
          <w:rFonts w:ascii="Times New Roman" w:hAnsi="Times Ext Roman" w:hint="eastAsia"/>
          <w:b/>
          <w:sz w:val="20"/>
          <w:bdr w:val="single" w:sz="4" w:space="0" w:color="auto"/>
        </w:rPr>
        <w:t>緣起</w:t>
      </w:r>
      <w:r w:rsidR="0078755B">
        <w:rPr>
          <w:rFonts w:ascii="Times New Roman" w:hAnsi="Times Ext Roman" w:hint="eastAsia"/>
          <w:b/>
          <w:sz w:val="20"/>
          <w:bdr w:val="single" w:sz="4" w:space="0" w:color="auto"/>
        </w:rPr>
        <w:t>」</w:t>
      </w:r>
      <w:r w:rsidRPr="00DA3BC7">
        <w:rPr>
          <w:rFonts w:ascii="Times New Roman" w:hAnsi="Times Ext Roman" w:hint="eastAsia"/>
          <w:b/>
          <w:sz w:val="20"/>
          <w:bdr w:val="single" w:sz="4" w:space="0" w:color="auto"/>
        </w:rPr>
        <w:t>與</w:t>
      </w:r>
      <w:r w:rsidR="0078755B">
        <w:rPr>
          <w:rFonts w:ascii="Times New Roman" w:hAnsi="Times Ext Roman" w:hint="eastAsia"/>
          <w:b/>
          <w:sz w:val="20"/>
          <w:bdr w:val="single" w:sz="4" w:space="0" w:color="auto"/>
        </w:rPr>
        <w:t>「</w:t>
      </w:r>
      <w:r w:rsidRPr="00DA3BC7">
        <w:rPr>
          <w:rFonts w:ascii="Times New Roman" w:hAnsi="Times Ext Roman" w:hint="eastAsia"/>
          <w:b/>
          <w:sz w:val="20"/>
          <w:bdr w:val="single" w:sz="4" w:space="0" w:color="auto"/>
        </w:rPr>
        <w:t>空</w:t>
      </w:r>
      <w:r w:rsidR="0078755B">
        <w:rPr>
          <w:rFonts w:ascii="Times New Roman" w:hAnsi="Times Ext Roman" w:hint="eastAsia"/>
          <w:b/>
          <w:sz w:val="20"/>
          <w:bdr w:val="single" w:sz="4" w:space="0" w:color="auto"/>
        </w:rPr>
        <w:t>」</w:t>
      </w:r>
      <w:r w:rsidR="00B35CD8" w:rsidRPr="00B35CD8">
        <w:rPr>
          <w:rFonts w:ascii="Times Ext Roman" w:hAnsi="Times Ext Roman" w:cs="Times Ext Roman" w:hint="eastAsia"/>
          <w:b/>
          <w:color w:val="FF0000"/>
          <w:sz w:val="20"/>
          <w:highlight w:val="yellow"/>
          <w:bdr w:val="single" w:sz="4" w:space="0" w:color="auto"/>
        </w:rPr>
        <w:t>──相順相成</w:t>
      </w:r>
      <w:r w:rsidRPr="00DA3BC7">
        <w:rPr>
          <w:rFonts w:ascii="Times New Roman" w:hAnsi="Times New Roman"/>
          <w:sz w:val="20"/>
        </w:rPr>
        <w:t>（</w:t>
      </w:r>
      <w:r w:rsidRPr="00DA3BC7">
        <w:rPr>
          <w:rFonts w:ascii="Times New Roman" w:hAnsi="Times New Roman"/>
          <w:sz w:val="20"/>
        </w:rPr>
        <w:t>p.</w:t>
      </w:r>
      <w:r w:rsidRPr="00DA3BC7">
        <w:rPr>
          <w:rFonts w:ascii="Times New Roman" w:hAnsi="Times New Roman" w:hint="eastAsia"/>
          <w:sz w:val="20"/>
        </w:rPr>
        <w:t>80</w:t>
      </w:r>
      <w:r w:rsidRPr="00DA3BC7">
        <w:rPr>
          <w:rFonts w:ascii="Times New Roman" w:hAnsi="Times Ext Roman"/>
          <w:sz w:val="20"/>
        </w:rPr>
        <w:t>）</w:t>
      </w:r>
    </w:p>
    <w:p w:rsidR="002B682F" w:rsidRPr="00DA3BC7" w:rsidRDefault="002B682F" w:rsidP="008E2BBC">
      <w:pPr>
        <w:ind w:leftChars="100" w:left="240"/>
        <w:jc w:val="both"/>
        <w:rPr>
          <w:rFonts w:ascii="Times Ext Roman" w:hAnsi="Times Ext Roman" w:cs="Times Ext Roman"/>
          <w:b/>
          <w:sz w:val="20"/>
          <w:bdr w:val="single" w:sz="4" w:space="0" w:color="auto"/>
        </w:rPr>
      </w:pPr>
      <w:r w:rsidRPr="00DA3BC7">
        <w:rPr>
          <w:rFonts w:ascii="Times Ext Roman" w:hAnsi="Times Ext Roman" w:cs="Times Ext Roman" w:hint="eastAsia"/>
          <w:b/>
          <w:sz w:val="20"/>
          <w:bdr w:val="single" w:sz="4" w:space="0" w:color="auto"/>
        </w:rPr>
        <w:t>一、</w:t>
      </w:r>
      <w:r w:rsidR="00B35CD8">
        <w:rPr>
          <w:rFonts w:ascii="Times New Roman" w:hAnsi="Times Ext Roman" w:hint="eastAsia"/>
          <w:b/>
          <w:color w:val="FF0000"/>
          <w:sz w:val="20"/>
          <w:highlight w:val="yellow"/>
          <w:bdr w:val="single" w:sz="4" w:space="0" w:color="auto"/>
        </w:rPr>
        <w:t>總說</w:t>
      </w:r>
      <w:r w:rsidRPr="00DA3BC7">
        <w:rPr>
          <w:rFonts w:ascii="Times New Roman" w:hAnsi="Times New Roman"/>
          <w:sz w:val="20"/>
        </w:rPr>
        <w:t>（</w:t>
      </w:r>
      <w:r w:rsidRPr="00DA3BC7">
        <w:rPr>
          <w:rFonts w:ascii="Times New Roman" w:hAnsi="Times New Roman"/>
          <w:sz w:val="20"/>
        </w:rPr>
        <w:t>p.</w:t>
      </w:r>
      <w:r w:rsidRPr="00DA3BC7">
        <w:rPr>
          <w:rFonts w:ascii="Times New Roman" w:hAnsi="Times New Roman" w:hint="eastAsia"/>
          <w:sz w:val="20"/>
        </w:rPr>
        <w:t>80</w:t>
      </w:r>
      <w:r w:rsidRPr="00DA3BC7">
        <w:rPr>
          <w:rFonts w:ascii="Times New Roman" w:hAnsi="Times Ext Roman"/>
          <w:sz w:val="20"/>
        </w:rPr>
        <w:t>）</w:t>
      </w:r>
    </w:p>
    <w:p w:rsidR="002B682F" w:rsidRPr="00DA3BC7" w:rsidRDefault="002B682F" w:rsidP="008E2BBC">
      <w:pPr>
        <w:ind w:leftChars="100" w:left="240"/>
        <w:jc w:val="both"/>
        <w:rPr>
          <w:rFonts w:ascii="Times New Roman"/>
        </w:rPr>
      </w:pPr>
      <w:r w:rsidRPr="00DA3BC7">
        <w:rPr>
          <w:rFonts w:ascii="Times New Roman"/>
        </w:rPr>
        <w:t>若以緣起與空合說，緣起即空，空即緣起，二者不過是同一內容的兩種看法</w:t>
      </w:r>
      <w:r w:rsidRPr="00DA3BC7">
        <w:rPr>
          <w:rFonts w:ascii="Times New Roman" w:hint="eastAsia"/>
        </w:rPr>
        <w:t>、</w:t>
      </w:r>
      <w:r w:rsidRPr="00DA3BC7">
        <w:rPr>
          <w:rFonts w:ascii="Times New Roman"/>
        </w:rPr>
        <w:t>兩種說法，也即是經中所說的「</w:t>
      </w:r>
      <w:r w:rsidRPr="00DA3BC7">
        <w:rPr>
          <w:rFonts w:ascii="標楷體" w:eastAsia="標楷體" w:hAnsi="標楷體"/>
        </w:rPr>
        <w:t>色即是空，空即是色</w:t>
      </w:r>
      <w:r w:rsidRPr="00DA3BC7">
        <w:rPr>
          <w:rFonts w:ascii="Times New Roman"/>
        </w:rPr>
        <w:t>」。</w:t>
      </w:r>
      <w:r w:rsidR="008168C3" w:rsidRPr="00DA3BC7">
        <w:rPr>
          <w:rStyle w:val="a6"/>
          <w:rFonts w:ascii="Times New Roman" w:hAnsi="Times New Roman"/>
          <w:bCs/>
        </w:rPr>
        <w:footnoteReference w:id="411"/>
      </w:r>
    </w:p>
    <w:p w:rsidR="00022150" w:rsidRDefault="00B35CD8" w:rsidP="00AE3920">
      <w:pPr>
        <w:spacing w:beforeLines="30"/>
        <w:ind w:leftChars="100" w:left="240"/>
        <w:jc w:val="both"/>
        <w:rPr>
          <w:rFonts w:ascii="Times Ext Roman" w:hAnsi="Times Ext Roman" w:cs="Times Ext Roman"/>
          <w:b/>
          <w:color w:val="FF0000"/>
          <w:sz w:val="20"/>
          <w:bdr w:val="single" w:sz="4" w:space="0" w:color="auto"/>
        </w:rPr>
      </w:pPr>
      <w:r w:rsidRPr="00B35CD8">
        <w:rPr>
          <w:rFonts w:ascii="Times Ext Roman" w:hAnsi="Times Ext Roman" w:cs="Times Ext Roman" w:hint="eastAsia"/>
          <w:b/>
          <w:color w:val="FF0000"/>
          <w:sz w:val="20"/>
          <w:highlight w:val="yellow"/>
          <w:bdr w:val="single" w:sz="4" w:space="0" w:color="auto"/>
        </w:rPr>
        <w:t>二、別辨</w:t>
      </w:r>
      <w:r w:rsidR="00022150" w:rsidRPr="00DA3BC7">
        <w:rPr>
          <w:rFonts w:ascii="Times New Roman" w:hAnsi="Times New Roman"/>
          <w:sz w:val="20"/>
        </w:rPr>
        <w:t>（</w:t>
      </w:r>
      <w:r w:rsidR="00022150" w:rsidRPr="00DA3BC7">
        <w:rPr>
          <w:rFonts w:ascii="Times New Roman" w:hAnsi="Times New Roman"/>
          <w:sz w:val="20"/>
        </w:rPr>
        <w:t>p.</w:t>
      </w:r>
      <w:r w:rsidR="00022150" w:rsidRPr="00DA3BC7">
        <w:rPr>
          <w:rFonts w:ascii="Times New Roman" w:hAnsi="Times New Roman" w:hint="eastAsia"/>
          <w:sz w:val="20"/>
        </w:rPr>
        <w:t>80</w:t>
      </w:r>
      <w:r w:rsidR="00022150" w:rsidRPr="00DA3BC7">
        <w:rPr>
          <w:rFonts w:ascii="Times New Roman" w:hAnsi="Times Ext Roman"/>
          <w:sz w:val="20"/>
        </w:rPr>
        <w:t>）</w:t>
      </w:r>
    </w:p>
    <w:p w:rsidR="00B35CD8" w:rsidRPr="00DA3BC7" w:rsidRDefault="003D5556" w:rsidP="00EC1127">
      <w:pPr>
        <w:ind w:leftChars="150" w:left="360"/>
        <w:jc w:val="both"/>
        <w:rPr>
          <w:rFonts w:ascii="Times Ext Roman" w:hAnsi="Times Ext Roman" w:cs="Times Ext Roman"/>
          <w:b/>
          <w:sz w:val="20"/>
          <w:bdr w:val="single" w:sz="4" w:space="0" w:color="auto"/>
        </w:rPr>
      </w:pPr>
      <w:r w:rsidRPr="003D5556">
        <w:rPr>
          <w:rFonts w:ascii="Times New Roman" w:hAnsi="Times Ext Roman" w:hint="eastAsia"/>
          <w:b/>
          <w:color w:val="FF0000"/>
          <w:sz w:val="20"/>
          <w:highlight w:val="yellow"/>
          <w:bdr w:val="single" w:sz="4" w:space="0" w:color="auto"/>
        </w:rPr>
        <w:t>（一）緣起故空寂</w:t>
      </w:r>
      <w:r w:rsidR="00B35CD8" w:rsidRPr="00DA3BC7">
        <w:rPr>
          <w:rFonts w:ascii="Times New Roman" w:hAnsi="Times New Roman"/>
          <w:sz w:val="20"/>
        </w:rPr>
        <w:t>（</w:t>
      </w:r>
      <w:r w:rsidR="00B35CD8" w:rsidRPr="00DA3BC7">
        <w:rPr>
          <w:rFonts w:ascii="Times New Roman" w:hAnsi="Times New Roman"/>
          <w:sz w:val="20"/>
        </w:rPr>
        <w:t>p.</w:t>
      </w:r>
      <w:r w:rsidR="00B35CD8" w:rsidRPr="00DA3BC7">
        <w:rPr>
          <w:rFonts w:ascii="Times New Roman" w:hAnsi="Times New Roman" w:hint="eastAsia"/>
          <w:sz w:val="20"/>
        </w:rPr>
        <w:t>80</w:t>
      </w:r>
      <w:r w:rsidR="00B35CD8" w:rsidRPr="00DA3BC7">
        <w:rPr>
          <w:rFonts w:ascii="Times New Roman" w:hAnsi="Times Ext Roman"/>
          <w:sz w:val="20"/>
        </w:rPr>
        <w:t>）</w:t>
      </w:r>
    </w:p>
    <w:p w:rsidR="002B682F" w:rsidRPr="00DA3BC7" w:rsidRDefault="002B682F" w:rsidP="00EC1127">
      <w:pPr>
        <w:ind w:leftChars="150" w:left="360"/>
        <w:jc w:val="both"/>
        <w:rPr>
          <w:rFonts w:ascii="Times New Roman"/>
        </w:rPr>
      </w:pPr>
      <w:r w:rsidRPr="00DA3BC7">
        <w:rPr>
          <w:rFonts w:ascii="Times New Roman"/>
        </w:rPr>
        <w:t>緣起與空是相順的，因為緣起是無自性的緣起，緣起必達到畢竟空；若有自性，則不但不空，也不成為緣起了。</w:t>
      </w:r>
    </w:p>
    <w:p w:rsidR="003D5556" w:rsidRPr="00DA3BC7" w:rsidRDefault="003D5556" w:rsidP="00AE3920">
      <w:pPr>
        <w:spacing w:beforeLines="30"/>
        <w:ind w:leftChars="150" w:left="360"/>
        <w:jc w:val="both"/>
        <w:rPr>
          <w:rFonts w:ascii="Times Ext Roman" w:hAnsi="Times Ext Roman" w:cs="Times Ext Roman"/>
          <w:b/>
          <w:sz w:val="20"/>
          <w:bdr w:val="single" w:sz="4" w:space="0" w:color="auto"/>
        </w:rPr>
      </w:pPr>
      <w:r w:rsidRPr="003D5556">
        <w:rPr>
          <w:rFonts w:ascii="Times New Roman" w:hAnsi="Times Ext Roman" w:hint="eastAsia"/>
          <w:b/>
          <w:color w:val="FF0000"/>
          <w:sz w:val="20"/>
          <w:highlight w:val="yellow"/>
          <w:bdr w:val="single" w:sz="4" w:space="0" w:color="auto"/>
        </w:rPr>
        <w:t>（</w:t>
      </w:r>
      <w:r>
        <w:rPr>
          <w:rFonts w:ascii="Times New Roman" w:hAnsi="Times Ext Roman" w:hint="eastAsia"/>
          <w:b/>
          <w:color w:val="FF0000"/>
          <w:sz w:val="20"/>
          <w:highlight w:val="yellow"/>
          <w:bdr w:val="single" w:sz="4" w:space="0" w:color="auto"/>
        </w:rPr>
        <w:t>二</w:t>
      </w:r>
      <w:r w:rsidRPr="003D5556">
        <w:rPr>
          <w:rFonts w:ascii="Times New Roman" w:hAnsi="Times Ext Roman" w:hint="eastAsia"/>
          <w:b/>
          <w:color w:val="FF0000"/>
          <w:sz w:val="20"/>
          <w:highlight w:val="yellow"/>
          <w:bdr w:val="single" w:sz="4" w:space="0" w:color="auto"/>
        </w:rPr>
        <w:t>）空寂故緣起</w:t>
      </w:r>
      <w:r w:rsidRPr="00DA3BC7">
        <w:rPr>
          <w:rFonts w:ascii="Times New Roman" w:hAnsi="Times New Roman"/>
          <w:sz w:val="20"/>
        </w:rPr>
        <w:t>（</w:t>
      </w:r>
      <w:r w:rsidRPr="00DA3BC7">
        <w:rPr>
          <w:rFonts w:ascii="Times New Roman" w:hAnsi="Times New Roman"/>
          <w:sz w:val="20"/>
        </w:rPr>
        <w:t>p.</w:t>
      </w:r>
      <w:r w:rsidRPr="00DA3BC7">
        <w:rPr>
          <w:rFonts w:ascii="Times New Roman" w:hAnsi="Times New Roman" w:hint="eastAsia"/>
          <w:sz w:val="20"/>
        </w:rPr>
        <w:t>80</w:t>
      </w:r>
      <w:r w:rsidRPr="00DA3BC7">
        <w:rPr>
          <w:rFonts w:ascii="Times New Roman" w:hAnsi="Times Ext Roman"/>
          <w:sz w:val="20"/>
        </w:rPr>
        <w:t>）</w:t>
      </w:r>
    </w:p>
    <w:p w:rsidR="002B682F" w:rsidRPr="00DA3BC7" w:rsidRDefault="002B682F" w:rsidP="00EC1127">
      <w:pPr>
        <w:ind w:leftChars="150" w:left="360"/>
        <w:jc w:val="both"/>
        <w:rPr>
          <w:rFonts w:ascii="Times New Roman"/>
        </w:rPr>
      </w:pPr>
      <w:r w:rsidRPr="00DA3BC7">
        <w:rPr>
          <w:rFonts w:ascii="Times New Roman"/>
        </w:rPr>
        <w:lastRenderedPageBreak/>
        <w:t>外人以為空是沒有，是無，今說緣起即空，即誤以為什麼也沒有了。因為在他們，緣起是可以有自性的，緣起與空是不相順的。</w:t>
      </w:r>
    </w:p>
    <w:p w:rsidR="002B682F" w:rsidRPr="00DA3BC7" w:rsidRDefault="002B682F" w:rsidP="00EC1127">
      <w:pPr>
        <w:ind w:leftChars="150" w:left="360"/>
        <w:jc w:val="both"/>
        <w:rPr>
          <w:rFonts w:ascii="Times New Roman"/>
        </w:rPr>
      </w:pPr>
      <w:r w:rsidRPr="00DA3BC7">
        <w:rPr>
          <w:rFonts w:ascii="Times New Roman"/>
        </w:rPr>
        <w:t>而在中觀者，因為一切法畢竟空，所以有不礙生死</w:t>
      </w:r>
      <w:r w:rsidRPr="00DA3BC7">
        <w:rPr>
          <w:rFonts w:ascii="Times New Roman" w:hint="eastAsia"/>
          <w:b/>
        </w:rPr>
        <w:t>流轉</w:t>
      </w:r>
      <w:r w:rsidRPr="00DA3BC7">
        <w:rPr>
          <w:rFonts w:ascii="Times New Roman"/>
        </w:rPr>
        <w:t>以及</w:t>
      </w:r>
      <w:r w:rsidRPr="00DA3BC7">
        <w:rPr>
          <w:rFonts w:ascii="Times New Roman" w:hint="eastAsia"/>
          <w:b/>
        </w:rPr>
        <w:t>還滅</w:t>
      </w:r>
      <w:r w:rsidRPr="00DA3BC7">
        <w:rPr>
          <w:rFonts w:ascii="Times New Roman"/>
        </w:rPr>
        <w:t>的緣起法。</w:t>
      </w:r>
    </w:p>
    <w:p w:rsidR="003D5556" w:rsidRDefault="002B682F" w:rsidP="00AE3920">
      <w:pPr>
        <w:spacing w:beforeLines="20"/>
        <w:ind w:leftChars="150" w:left="360"/>
        <w:jc w:val="both"/>
        <w:rPr>
          <w:rFonts w:ascii="Times New Roman"/>
        </w:rPr>
      </w:pPr>
      <w:r w:rsidRPr="00DA3BC7">
        <w:rPr>
          <w:rFonts w:ascii="Times New Roman"/>
        </w:rPr>
        <w:t>中觀所說的空，不是都無所有，是無自性而已。如水中的月，雖月性本空，而月亦可得見。</w:t>
      </w:r>
    </w:p>
    <w:p w:rsidR="003D5556" w:rsidRDefault="003D5556" w:rsidP="00AE3920">
      <w:pPr>
        <w:spacing w:beforeLines="20"/>
        <w:ind w:leftChars="110" w:left="264"/>
        <w:jc w:val="both"/>
        <w:rPr>
          <w:rFonts w:ascii="Times New Roman" w:hAnsi="Times Ext Roman"/>
          <w:sz w:val="20"/>
          <w:szCs w:val="20"/>
        </w:rPr>
      </w:pPr>
      <w:r w:rsidRPr="003D5556">
        <w:rPr>
          <w:rFonts w:ascii="Times Ext Roman" w:hAnsi="Times Ext Roman" w:cs="Times Ext Roman" w:hint="eastAsia"/>
          <w:b/>
          <w:color w:val="FF0000"/>
          <w:sz w:val="20"/>
          <w:highlight w:val="yellow"/>
          <w:bdr w:val="single" w:sz="4" w:space="0" w:color="auto"/>
        </w:rPr>
        <w:t>三、結義</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hint="eastAsia"/>
          <w:sz w:val="20"/>
          <w:szCs w:val="20"/>
        </w:rPr>
        <w:t>80</w:t>
      </w:r>
      <w:r w:rsidRPr="00DA3BC7">
        <w:rPr>
          <w:rFonts w:ascii="Times New Roman" w:hAnsi="Times Ext Roman"/>
          <w:sz w:val="20"/>
          <w:szCs w:val="20"/>
        </w:rPr>
        <w:t>）</w:t>
      </w:r>
    </w:p>
    <w:p w:rsidR="002B682F" w:rsidRPr="00DA3BC7" w:rsidRDefault="002B682F" w:rsidP="003D5556">
      <w:pPr>
        <w:ind w:leftChars="110" w:left="264"/>
        <w:jc w:val="both"/>
        <w:rPr>
          <w:rFonts w:ascii="Times New Roman" w:hAnsi="Times New Roman"/>
        </w:rPr>
      </w:pPr>
      <w:r w:rsidRPr="00DA3BC7">
        <w:rPr>
          <w:rFonts w:ascii="Times New Roman"/>
        </w:rPr>
        <w:t>所以空與緣起是相順的，如離緣起說空，說緣起不空，那才是惡取空。</w:t>
      </w:r>
    </w:p>
    <w:p w:rsidR="002B682F" w:rsidRPr="00DA3BC7" w:rsidRDefault="002B682F" w:rsidP="00AE3920">
      <w:pPr>
        <w:spacing w:beforeLines="30"/>
        <w:ind w:leftChars="50" w:left="120"/>
        <w:jc w:val="both"/>
        <w:rPr>
          <w:rFonts w:ascii="Times New Roman" w:hAnsi="Times New Roman"/>
          <w:sz w:val="20"/>
          <w:bdr w:val="single" w:sz="4" w:space="0" w:color="auto"/>
        </w:rPr>
      </w:pPr>
      <w:r w:rsidRPr="00DA3BC7">
        <w:rPr>
          <w:rFonts w:ascii="Times New Roman" w:hAnsi="Times Ext Roman" w:hint="eastAsia"/>
          <w:b/>
          <w:sz w:val="20"/>
          <w:bdr w:val="single" w:sz="4" w:space="0" w:color="auto"/>
        </w:rPr>
        <w:t>（</w:t>
      </w:r>
      <w:r w:rsidR="00FC5046" w:rsidRPr="00DA3BC7">
        <w:rPr>
          <w:rFonts w:ascii="Times New Roman" w:hAnsi="Times Ext Roman" w:hint="eastAsia"/>
          <w:b/>
          <w:sz w:val="20"/>
          <w:bdr w:val="single" w:sz="4" w:space="0" w:color="auto"/>
        </w:rPr>
        <w:t>參</w:t>
      </w:r>
      <w:r w:rsidRPr="00DA3BC7">
        <w:rPr>
          <w:rFonts w:ascii="Times New Roman" w:hAnsi="Times Ext Roman" w:hint="eastAsia"/>
          <w:b/>
          <w:sz w:val="20"/>
          <w:bdr w:val="single" w:sz="4" w:space="0" w:color="auto"/>
        </w:rPr>
        <w:t>）</w:t>
      </w:r>
      <w:r w:rsidR="0078755B">
        <w:rPr>
          <w:rFonts w:ascii="Times New Roman" w:hAnsi="Times Ext Roman" w:hint="eastAsia"/>
          <w:b/>
          <w:sz w:val="20"/>
          <w:bdr w:val="single" w:sz="4" w:space="0" w:color="auto"/>
        </w:rPr>
        <w:t>「</w:t>
      </w:r>
      <w:r w:rsidRPr="00DA3BC7">
        <w:rPr>
          <w:rFonts w:ascii="Times New Roman" w:hAnsi="Times Ext Roman" w:hint="eastAsia"/>
          <w:b/>
          <w:sz w:val="20"/>
          <w:bdr w:val="single" w:sz="4" w:space="0" w:color="auto"/>
        </w:rPr>
        <w:t>空</w:t>
      </w:r>
      <w:r w:rsidR="0078755B">
        <w:rPr>
          <w:rFonts w:ascii="Times New Roman" w:hAnsi="Times Ext Roman" w:hint="eastAsia"/>
          <w:b/>
          <w:sz w:val="20"/>
          <w:bdr w:val="single" w:sz="4" w:space="0" w:color="auto"/>
        </w:rPr>
        <w:t>」</w:t>
      </w:r>
      <w:r w:rsidRPr="00DA3BC7">
        <w:rPr>
          <w:rFonts w:ascii="Times New Roman" w:hAnsi="Times Ext Roman" w:hint="eastAsia"/>
          <w:b/>
          <w:sz w:val="20"/>
          <w:bdr w:val="single" w:sz="4" w:space="0" w:color="auto"/>
        </w:rPr>
        <w:t>與</w:t>
      </w:r>
      <w:r w:rsidR="0078755B">
        <w:rPr>
          <w:rFonts w:ascii="Times New Roman" w:hAnsi="Times Ext Roman" w:hint="eastAsia"/>
          <w:b/>
          <w:sz w:val="20"/>
          <w:bdr w:val="single" w:sz="4" w:space="0" w:color="auto"/>
        </w:rPr>
        <w:t>「</w:t>
      </w:r>
      <w:r w:rsidRPr="00DA3BC7">
        <w:rPr>
          <w:rFonts w:ascii="Times New Roman" w:hAnsi="Times Ext Roman" w:hint="eastAsia"/>
          <w:b/>
          <w:sz w:val="20"/>
          <w:bdr w:val="single" w:sz="4" w:space="0" w:color="auto"/>
        </w:rPr>
        <w:t>自性</w:t>
      </w:r>
      <w:r w:rsidR="0078755B">
        <w:rPr>
          <w:rFonts w:ascii="Times New Roman" w:hAnsi="Times Ext Roman" w:hint="eastAsia"/>
          <w:b/>
          <w:sz w:val="20"/>
          <w:bdr w:val="single" w:sz="4" w:space="0" w:color="auto"/>
        </w:rPr>
        <w:t>」</w:t>
      </w:r>
      <w:r w:rsidRPr="00DA3BC7">
        <w:rPr>
          <w:rFonts w:ascii="Times New Roman" w:hAnsi="Times New Roman"/>
          <w:sz w:val="20"/>
          <w:szCs w:val="20"/>
        </w:rPr>
        <w:t>（</w:t>
      </w:r>
      <w:r w:rsidRPr="00DA3BC7">
        <w:rPr>
          <w:rFonts w:ascii="Times New Roman" w:hAnsi="Times New Roman"/>
          <w:sz w:val="20"/>
          <w:szCs w:val="20"/>
        </w:rPr>
        <w:t>pp.</w:t>
      </w:r>
      <w:r w:rsidRPr="00DA3BC7">
        <w:rPr>
          <w:rFonts w:ascii="Times New Roman" w:hAnsi="Times New Roman" w:hint="eastAsia"/>
          <w:sz w:val="20"/>
          <w:szCs w:val="20"/>
        </w:rPr>
        <w:t>80</w:t>
      </w:r>
      <w:r w:rsidRPr="00DA3BC7">
        <w:rPr>
          <w:rFonts w:ascii="Times New Roman" w:hAnsi="Times New Roman"/>
          <w:sz w:val="20"/>
          <w:szCs w:val="20"/>
        </w:rPr>
        <w:t>-</w:t>
      </w:r>
      <w:r w:rsidRPr="00DA3BC7">
        <w:rPr>
          <w:rFonts w:ascii="Times New Roman" w:hAnsi="Times New Roman" w:hint="eastAsia"/>
          <w:sz w:val="20"/>
          <w:szCs w:val="20"/>
        </w:rPr>
        <w:t>81</w:t>
      </w:r>
      <w:r w:rsidRPr="00DA3BC7">
        <w:rPr>
          <w:rFonts w:ascii="Times New Roman" w:hAnsi="Times Ext Roman"/>
          <w:sz w:val="20"/>
          <w:szCs w:val="20"/>
        </w:rPr>
        <w:t>）</w:t>
      </w:r>
    </w:p>
    <w:p w:rsidR="004142AA" w:rsidRDefault="004142AA" w:rsidP="00EC1127">
      <w:pPr>
        <w:ind w:leftChars="50" w:left="120"/>
        <w:jc w:val="both"/>
        <w:rPr>
          <w:rFonts w:ascii="Times New Roman"/>
        </w:rPr>
      </w:pPr>
      <w:r w:rsidRPr="004142AA">
        <w:rPr>
          <w:rFonts w:ascii="Times New Roman"/>
          <w:highlight w:val="yellow"/>
        </w:rPr>
        <w:t>論</w:t>
      </w:r>
      <w:r w:rsidRPr="00DA3BC7">
        <w:rPr>
          <w:rFonts w:ascii="Times New Roman"/>
        </w:rPr>
        <w:t>到空與自性，</w:t>
      </w:r>
    </w:p>
    <w:p w:rsidR="002B682F" w:rsidRPr="00DA3BC7" w:rsidRDefault="002B682F" w:rsidP="00EC1127">
      <w:pPr>
        <w:ind w:leftChars="100" w:left="240"/>
        <w:jc w:val="both"/>
        <w:rPr>
          <w:rFonts w:ascii="Times Ext Roman" w:hAnsi="Times Ext Roman" w:cs="Times Ext Roman"/>
          <w:b/>
          <w:sz w:val="20"/>
          <w:bdr w:val="single" w:sz="4" w:space="0" w:color="auto"/>
        </w:rPr>
      </w:pPr>
      <w:r w:rsidRPr="00DA3BC7">
        <w:rPr>
          <w:rFonts w:ascii="Times Ext Roman" w:hAnsi="Times Ext Roman" w:cs="Times Ext Roman" w:hint="eastAsia"/>
          <w:b/>
          <w:sz w:val="20"/>
          <w:bdr w:val="single" w:sz="4" w:space="0" w:color="auto"/>
        </w:rPr>
        <w:t>一、相順而相反──自性即空，空非自性</w:t>
      </w:r>
      <w:r w:rsidRPr="00DA3BC7">
        <w:rPr>
          <w:rFonts w:ascii="Times New Roman" w:hAnsi="Times New Roman"/>
          <w:sz w:val="20"/>
        </w:rPr>
        <w:t>（</w:t>
      </w:r>
      <w:r w:rsidRPr="00DA3BC7">
        <w:rPr>
          <w:rFonts w:ascii="Times New Roman" w:hAnsi="Times New Roman"/>
          <w:sz w:val="20"/>
        </w:rPr>
        <w:t>p.</w:t>
      </w:r>
      <w:r w:rsidRPr="00DA3BC7">
        <w:rPr>
          <w:rFonts w:ascii="Times New Roman" w:hAnsi="Times New Roman" w:hint="eastAsia"/>
          <w:sz w:val="20"/>
        </w:rPr>
        <w:t>80</w:t>
      </w:r>
      <w:r w:rsidRPr="00DA3BC7">
        <w:rPr>
          <w:rFonts w:ascii="Times New Roman" w:hAnsi="Times Ext Roman"/>
          <w:sz w:val="20"/>
        </w:rPr>
        <w:t>）</w:t>
      </w:r>
    </w:p>
    <w:p w:rsidR="002B682F" w:rsidRPr="00DA3BC7" w:rsidRDefault="002B682F" w:rsidP="0078755B">
      <w:pPr>
        <w:ind w:leftChars="100" w:left="240"/>
        <w:jc w:val="both"/>
        <w:rPr>
          <w:rFonts w:ascii="Times New Roman"/>
        </w:rPr>
      </w:pPr>
      <w:r w:rsidRPr="00DA3BC7">
        <w:rPr>
          <w:rFonts w:ascii="Times New Roman"/>
        </w:rPr>
        <w:t>一方面，自性是即空的，因為自性是顛倒計執而有的，沒有實性所以說自性即是空。</w:t>
      </w:r>
    </w:p>
    <w:p w:rsidR="002B682F" w:rsidRPr="00DA3BC7" w:rsidRDefault="002B682F" w:rsidP="00AE3920">
      <w:pPr>
        <w:spacing w:beforeLines="20"/>
        <w:ind w:leftChars="100" w:left="240"/>
        <w:jc w:val="both"/>
        <w:rPr>
          <w:rFonts w:ascii="Times New Roman"/>
        </w:rPr>
      </w:pPr>
      <w:r w:rsidRPr="00DA3BC7">
        <w:rPr>
          <w:rFonts w:ascii="Times New Roman"/>
        </w:rPr>
        <w:t>然不可說空即自性，以空是一切法本性，一切法的究竟真相，而自性不過是顛倒、妄執。</w:t>
      </w:r>
    </w:p>
    <w:p w:rsidR="002B682F" w:rsidRPr="00DA3BC7" w:rsidRDefault="002B682F" w:rsidP="00AE3920">
      <w:pPr>
        <w:spacing w:beforeLines="30"/>
        <w:ind w:leftChars="100" w:left="240"/>
        <w:jc w:val="both"/>
        <w:rPr>
          <w:rFonts w:ascii="Times Ext Roman" w:hAnsi="Times Ext Roman" w:cs="Times Ext Roman"/>
          <w:b/>
          <w:sz w:val="20"/>
          <w:bdr w:val="single" w:sz="4" w:space="0" w:color="auto"/>
        </w:rPr>
      </w:pPr>
      <w:r w:rsidRPr="00DA3BC7">
        <w:rPr>
          <w:rFonts w:ascii="Times Ext Roman" w:hAnsi="Times Ext Roman" w:cs="Times Ext Roman" w:hint="eastAsia"/>
          <w:b/>
          <w:sz w:val="20"/>
          <w:bdr w:val="single" w:sz="4" w:space="0" w:color="auto"/>
        </w:rPr>
        <w:t>二、相反而相成──無自性故空，空故即自性</w:t>
      </w:r>
      <w:r w:rsidRPr="00DA3BC7">
        <w:rPr>
          <w:rFonts w:ascii="Times New Roman" w:hAnsi="Times New Roman"/>
          <w:sz w:val="20"/>
          <w:szCs w:val="20"/>
        </w:rPr>
        <w:t>（</w:t>
      </w:r>
      <w:r w:rsidRPr="00DA3BC7">
        <w:rPr>
          <w:rFonts w:ascii="Times New Roman" w:hAnsi="Times New Roman"/>
          <w:sz w:val="20"/>
          <w:szCs w:val="20"/>
        </w:rPr>
        <w:t>pp.</w:t>
      </w:r>
      <w:r w:rsidRPr="00DA3BC7">
        <w:rPr>
          <w:rFonts w:ascii="Times New Roman" w:hAnsi="Times New Roman" w:hint="eastAsia"/>
          <w:sz w:val="20"/>
          <w:szCs w:val="20"/>
        </w:rPr>
        <w:t>80</w:t>
      </w:r>
      <w:r w:rsidRPr="00DA3BC7">
        <w:rPr>
          <w:rFonts w:ascii="Times New Roman" w:hAnsi="Times New Roman"/>
          <w:sz w:val="20"/>
          <w:szCs w:val="20"/>
        </w:rPr>
        <w:t>-</w:t>
      </w:r>
      <w:r w:rsidRPr="00DA3BC7">
        <w:rPr>
          <w:rFonts w:ascii="Times New Roman" w:hAnsi="Times New Roman" w:hint="eastAsia"/>
          <w:sz w:val="20"/>
          <w:szCs w:val="20"/>
        </w:rPr>
        <w:t>81</w:t>
      </w:r>
      <w:r w:rsidRPr="00DA3BC7">
        <w:rPr>
          <w:rFonts w:ascii="Times New Roman" w:hAnsi="Times Ext Roman"/>
          <w:sz w:val="20"/>
          <w:szCs w:val="20"/>
        </w:rPr>
        <w:t>）</w:t>
      </w:r>
    </w:p>
    <w:p w:rsidR="002B682F" w:rsidRPr="00DA3BC7" w:rsidRDefault="002B682F" w:rsidP="0078755B">
      <w:pPr>
        <w:ind w:leftChars="100" w:left="240"/>
        <w:jc w:val="both"/>
        <w:rPr>
          <w:rFonts w:ascii="Times New Roman"/>
        </w:rPr>
      </w:pPr>
      <w:r w:rsidRPr="00DA3BC7">
        <w:rPr>
          <w:rFonts w:ascii="Times New Roman"/>
        </w:rPr>
        <w:t>但以究極為自性說，空是真實，是究竟，也可能說空即（究極）自性</w:t>
      </w:r>
      <w:r w:rsidR="008168C3" w:rsidRPr="00DA3BC7">
        <w:rPr>
          <w:rFonts w:ascii="Times New Roman"/>
        </w:rPr>
        <w:t>。</w:t>
      </w:r>
      <w:r w:rsidRPr="00DA3BC7">
        <w:rPr>
          <w:rStyle w:val="a6"/>
          <w:rFonts w:ascii="Times New Roman" w:hAnsi="Times New Roman"/>
          <w:szCs w:val="23"/>
        </w:rPr>
        <w:footnoteReference w:id="412"/>
      </w:r>
      <w:r w:rsidRPr="00DA3BC7">
        <w:rPr>
          <w:rFonts w:ascii="Times New Roman"/>
        </w:rPr>
        <w:t>如</w:t>
      </w:r>
      <w:r w:rsidRPr="00DA3BC7">
        <w:rPr>
          <w:rFonts w:ascii="Times New Roman"/>
        </w:rPr>
        <w:lastRenderedPageBreak/>
        <w:t>《般若經》說：「</w:t>
      </w:r>
      <w:r w:rsidRPr="00DA3BC7">
        <w:rPr>
          <w:rFonts w:ascii="標楷體" w:eastAsia="標楷體" w:hAnsi="標楷體"/>
        </w:rPr>
        <w:t>一切法自性不可得，自性不可得即一切法之自性</w:t>
      </w:r>
      <w:r w:rsidRPr="00DA3BC7">
        <w:rPr>
          <w:rFonts w:ascii="Times New Roman"/>
        </w:rPr>
        <w:t>。」</w:t>
      </w:r>
      <w:r w:rsidRPr="00DA3BC7">
        <w:rPr>
          <w:rStyle w:val="a6"/>
          <w:rFonts w:ascii="Times New Roman" w:hAnsi="Times New Roman"/>
        </w:rPr>
        <w:footnoteReference w:id="413"/>
      </w:r>
    </w:p>
    <w:p w:rsidR="002B682F" w:rsidRPr="00DA3BC7" w:rsidRDefault="002B682F" w:rsidP="00AE3920">
      <w:pPr>
        <w:spacing w:beforeLines="20"/>
        <w:ind w:leftChars="100" w:left="240"/>
        <w:jc w:val="both"/>
        <w:rPr>
          <w:rFonts w:ascii="Times New Roman" w:hAnsi="Times New Roman"/>
        </w:rPr>
      </w:pPr>
      <w:r w:rsidRPr="00DA3BC7">
        <w:rPr>
          <w:rFonts w:ascii="Times New Roman"/>
        </w:rPr>
        <w:t>約畢竟空說，也可以說為實相、實性、真實。因為尋求諸法的究極性，即是畢竟空的，今還其本來之空，無增無減，而不是虛誑顛倒，所以也可說真說實。</w:t>
      </w:r>
    </w:p>
    <w:p w:rsidR="002B682F" w:rsidRPr="00DA3BC7" w:rsidRDefault="00FC5046" w:rsidP="00AE3920">
      <w:pPr>
        <w:spacing w:beforeLines="50" w:afterLines="10"/>
        <w:jc w:val="both"/>
        <w:rPr>
          <w:rFonts w:ascii="Times New Roman" w:hAnsi="Times New Roman"/>
          <w:sz w:val="20"/>
          <w:bdr w:val="single" w:sz="4" w:space="0" w:color="auto"/>
        </w:rPr>
      </w:pPr>
      <w:r w:rsidRPr="00DA3BC7">
        <w:rPr>
          <w:rFonts w:ascii="Times New Roman" w:hAnsi="Times Ext Roman" w:hint="eastAsia"/>
          <w:b/>
          <w:sz w:val="20"/>
          <w:bdr w:val="single" w:sz="4" w:space="0" w:color="auto"/>
        </w:rPr>
        <w:t>參</w:t>
      </w:r>
      <w:r w:rsidR="002B682F" w:rsidRPr="00DA3BC7">
        <w:rPr>
          <w:rFonts w:ascii="Times New Roman" w:hAnsi="Times Ext Roman" w:hint="eastAsia"/>
          <w:b/>
          <w:sz w:val="20"/>
          <w:bdr w:val="single" w:sz="4" w:space="0" w:color="auto"/>
        </w:rPr>
        <w:t>、總結</w:t>
      </w:r>
      <w:r w:rsidR="002B682F" w:rsidRPr="00DA3BC7">
        <w:rPr>
          <w:rFonts w:ascii="Times New Roman" w:hAnsi="Times New Roman"/>
          <w:sz w:val="20"/>
        </w:rPr>
        <w:t>（</w:t>
      </w:r>
      <w:r w:rsidR="002B682F" w:rsidRPr="00DA3BC7">
        <w:rPr>
          <w:rFonts w:ascii="Times New Roman" w:hAnsi="Times New Roman"/>
          <w:sz w:val="20"/>
        </w:rPr>
        <w:t>p.</w:t>
      </w:r>
      <w:r w:rsidR="002B682F" w:rsidRPr="00DA3BC7">
        <w:rPr>
          <w:rFonts w:ascii="Times New Roman" w:hAnsi="Times New Roman" w:hint="eastAsia"/>
          <w:sz w:val="20"/>
        </w:rPr>
        <w:t>8</w:t>
      </w:r>
      <w:r w:rsidR="002B682F" w:rsidRPr="00DA3BC7">
        <w:rPr>
          <w:rFonts w:ascii="Times New Roman" w:hAnsi="Times New Roman"/>
          <w:sz w:val="20"/>
        </w:rPr>
        <w:t>1</w:t>
      </w:r>
      <w:r w:rsidR="002B682F" w:rsidRPr="00DA3BC7">
        <w:rPr>
          <w:rFonts w:ascii="Times New Roman" w:hAnsi="Times Ext Roman"/>
          <w:sz w:val="20"/>
        </w:rPr>
        <w:t>）</w:t>
      </w:r>
    </w:p>
    <w:p w:rsidR="002B682F" w:rsidRPr="00DA3BC7" w:rsidRDefault="002B682F" w:rsidP="008E2BBC">
      <w:pPr>
        <w:jc w:val="both"/>
        <w:rPr>
          <w:rFonts w:ascii="Times New Roman" w:hAnsi="Times New Roman"/>
        </w:rPr>
      </w:pPr>
      <w:r w:rsidRPr="00DA3BC7">
        <w:rPr>
          <w:rFonts w:ascii="Times New Roman"/>
        </w:rPr>
        <w:t>總結的說，如此：</w:t>
      </w:r>
    </w:p>
    <w:p w:rsidR="002B682F" w:rsidRPr="00DA3BC7" w:rsidRDefault="002B682F" w:rsidP="008E2BBC">
      <w:pPr>
        <w:tabs>
          <w:tab w:val="left" w:pos="1946"/>
        </w:tabs>
        <w:jc w:val="both"/>
        <w:rPr>
          <w:rFonts w:ascii="新細明體" w:hAnsi="新細明體"/>
        </w:rPr>
      </w:pPr>
      <w:r w:rsidRPr="00DA3BC7">
        <w:rPr>
          <w:rFonts w:ascii="新細明體" w:hAnsi="新細明體" w:hint="eastAsia"/>
        </w:rPr>
        <w:t>（一）</w:t>
      </w:r>
      <w:r w:rsidRPr="00DA3BC7">
        <w:rPr>
          <w:rFonts w:ascii="新細明體" w:hAnsi="新細明體"/>
        </w:rPr>
        <w:t>自性與緣起</w:t>
      </w:r>
      <w:r w:rsidRPr="00DA3BC7">
        <w:rPr>
          <w:rFonts w:ascii="新細明體" w:hAnsi="新細明體"/>
        </w:rPr>
        <w:tab/>
        <w:t>──相反相奪的──自性非緣起，緣起非自性。</w:t>
      </w:r>
    </w:p>
    <w:p w:rsidR="002B682F" w:rsidRPr="00DA3BC7" w:rsidRDefault="002B682F" w:rsidP="008E2BBC">
      <w:pPr>
        <w:tabs>
          <w:tab w:val="left" w:pos="1946"/>
        </w:tabs>
        <w:jc w:val="both"/>
        <w:rPr>
          <w:rFonts w:ascii="新細明體" w:hAnsi="新細明體"/>
        </w:rPr>
      </w:pPr>
      <w:r w:rsidRPr="00DA3BC7">
        <w:rPr>
          <w:rFonts w:ascii="新細明體" w:hAnsi="新細明體" w:hint="eastAsia"/>
        </w:rPr>
        <w:t>（二）</w:t>
      </w:r>
      <w:r w:rsidRPr="00DA3BC7">
        <w:rPr>
          <w:rFonts w:ascii="新細明體" w:hAnsi="新細明體"/>
        </w:rPr>
        <w:t>緣起與空寂</w:t>
      </w:r>
      <w:r w:rsidRPr="00DA3BC7">
        <w:rPr>
          <w:rFonts w:ascii="新細明體" w:hAnsi="新細明體"/>
        </w:rPr>
        <w:tab/>
        <w:t>──相順相成的──緣起故空寂，空寂故緣起。</w:t>
      </w:r>
    </w:p>
    <w:p w:rsidR="002B682F" w:rsidRPr="00DA3BC7" w:rsidRDefault="002B682F" w:rsidP="008E2BBC">
      <w:pPr>
        <w:tabs>
          <w:tab w:val="left" w:pos="1946"/>
        </w:tabs>
        <w:jc w:val="both"/>
        <w:rPr>
          <w:rFonts w:ascii="新細明體" w:hAnsi="新細明體"/>
        </w:rPr>
      </w:pPr>
      <w:r w:rsidRPr="00DA3BC7">
        <w:rPr>
          <w:rFonts w:ascii="新細明體" w:hAnsi="新細明體" w:hint="eastAsia"/>
        </w:rPr>
        <w:t>（三）</w:t>
      </w:r>
      <w:r w:rsidRPr="00DA3BC7">
        <w:rPr>
          <w:rFonts w:ascii="新細明體" w:hAnsi="新細明體"/>
        </w:rPr>
        <w:t>空寂與自性</w:t>
      </w:r>
      <w:r w:rsidRPr="00DA3BC7">
        <w:rPr>
          <w:rFonts w:ascii="新細明體" w:hAnsi="新細明體"/>
        </w:rPr>
        <w:tab/>
        <w:t>┬─相順而相反──自性即空寂，空寂非自性。</w:t>
      </w:r>
    </w:p>
    <w:p w:rsidR="002B682F" w:rsidRPr="00DA3BC7" w:rsidRDefault="002B682F" w:rsidP="008E2BBC">
      <w:pPr>
        <w:tabs>
          <w:tab w:val="left" w:pos="1946"/>
        </w:tabs>
        <w:jc w:val="both"/>
        <w:rPr>
          <w:rFonts w:ascii="新細明體" w:hAnsi="新細明體"/>
        </w:rPr>
        <w:sectPr w:rsidR="002B682F" w:rsidRPr="00DA3BC7" w:rsidSect="009914C0">
          <w:headerReference w:type="default" r:id="rId43"/>
          <w:footnotePr>
            <w:numRestart w:val="eachSect"/>
          </w:footnotePr>
          <w:pgSz w:w="10773" w:h="14742" w:code="9"/>
          <w:pgMar w:top="1418" w:right="1418" w:bottom="1418" w:left="1418" w:header="851" w:footer="992" w:gutter="0"/>
          <w:cols w:space="425"/>
          <w:docGrid w:type="lines" w:linePitch="360"/>
        </w:sectPr>
      </w:pPr>
      <w:r w:rsidRPr="00DA3BC7">
        <w:rPr>
          <w:rFonts w:ascii="Times New Roman" w:hAnsi="Times New Roman"/>
        </w:rPr>
        <w:tab/>
      </w:r>
      <w:r w:rsidRPr="00DA3BC7">
        <w:rPr>
          <w:rFonts w:ascii="新細明體" w:hAnsi="新細明體"/>
        </w:rPr>
        <w:t>└─相反而相成──無自性故空，空故即自性。</w:t>
      </w:r>
    </w:p>
    <w:p w:rsidR="002B682F" w:rsidRPr="00406896" w:rsidRDefault="002B682F" w:rsidP="008E2BBC">
      <w:pPr>
        <w:pStyle w:val="1"/>
      </w:pPr>
      <w:bookmarkStart w:id="94" w:name="_Toc405499771"/>
      <w:r w:rsidRPr="00406896">
        <w:lastRenderedPageBreak/>
        <w:t>第六章、八不</w:t>
      </w:r>
      <w:bookmarkEnd w:id="94"/>
    </w:p>
    <w:p w:rsidR="002B682F" w:rsidRPr="00DA3BC7" w:rsidRDefault="002B682F" w:rsidP="008E2BBC">
      <w:pPr>
        <w:pStyle w:val="2"/>
      </w:pPr>
      <w:bookmarkStart w:id="95" w:name="_Toc405499772"/>
      <w:r w:rsidRPr="00406896">
        <w:t>第一節、八事四對之解說</w:t>
      </w:r>
      <w:bookmarkEnd w:id="95"/>
    </w:p>
    <w:p w:rsidR="002B682F" w:rsidRPr="00DA3BC7" w:rsidRDefault="002B682F" w:rsidP="008E2BBC">
      <w:pPr>
        <w:jc w:val="center"/>
        <w:rPr>
          <w:bCs/>
        </w:rPr>
      </w:pPr>
      <w:r w:rsidRPr="00DA3BC7">
        <w:rPr>
          <w:bCs/>
        </w:rPr>
        <w:t>（</w:t>
      </w:r>
      <w:r w:rsidRPr="00DA3BC7">
        <w:rPr>
          <w:rFonts w:ascii="Times New Roman" w:hAnsi="Times New Roman"/>
          <w:bCs/>
        </w:rPr>
        <w:t>pp</w:t>
      </w:r>
      <w:r w:rsidRPr="00DA3BC7">
        <w:rPr>
          <w:bCs/>
        </w:rPr>
        <w:t>.</w:t>
      </w:r>
      <w:r w:rsidRPr="00DA3BC7">
        <w:rPr>
          <w:rFonts w:ascii="Times New Roman" w:hAnsi="Times New Roman"/>
          <w:bCs/>
        </w:rPr>
        <w:t>83</w:t>
      </w:r>
      <w:r w:rsidRPr="00DA3BC7">
        <w:rPr>
          <w:bCs/>
        </w:rPr>
        <w:t>-</w:t>
      </w:r>
      <w:r w:rsidRPr="00DA3BC7">
        <w:rPr>
          <w:rFonts w:ascii="Times New Roman" w:hAnsi="Times New Roman"/>
          <w:bCs/>
        </w:rPr>
        <w:t>94</w:t>
      </w:r>
      <w:r w:rsidRPr="00DA3BC7">
        <w:rPr>
          <w:bCs/>
        </w:rPr>
        <w:t>）</w:t>
      </w:r>
    </w:p>
    <w:p w:rsidR="002B682F" w:rsidRPr="00DA3BC7" w:rsidRDefault="002B682F" w:rsidP="008E2BBC">
      <w:pPr>
        <w:pStyle w:val="Author"/>
      </w:pPr>
    </w:p>
    <w:p w:rsidR="002B682F" w:rsidRPr="00DA3BC7" w:rsidRDefault="002B682F" w:rsidP="00AE3920">
      <w:pPr>
        <w:spacing w:beforeLines="50"/>
        <w:jc w:val="both"/>
        <w:rPr>
          <w:bCs/>
        </w:rPr>
      </w:pPr>
      <w:r w:rsidRPr="00DA3BC7">
        <w:rPr>
          <w:rFonts w:hint="eastAsia"/>
          <w:b/>
          <w:bCs/>
          <w:sz w:val="20"/>
          <w:szCs w:val="20"/>
          <w:bdr w:val="single" w:sz="4" w:space="0" w:color="auto"/>
        </w:rPr>
        <w:t>壹</w:t>
      </w:r>
      <w:r w:rsidRPr="00DA3BC7">
        <w:rPr>
          <w:b/>
          <w:bCs/>
          <w:sz w:val="20"/>
          <w:szCs w:val="20"/>
          <w:bdr w:val="single" w:sz="4" w:space="0" w:color="auto"/>
        </w:rPr>
        <w:t>、</w:t>
      </w:r>
      <w:r w:rsidR="00F63F7D">
        <w:rPr>
          <w:rFonts w:ascii="Times New Roman" w:hAnsi="新細明體" w:hint="eastAsia"/>
          <w:b/>
          <w:color w:val="FF0000"/>
          <w:sz w:val="20"/>
          <w:szCs w:val="20"/>
          <w:highlight w:val="yellow"/>
          <w:bdr w:val="single" w:sz="4" w:space="0" w:color="auto"/>
        </w:rPr>
        <w:t>設問</w:t>
      </w:r>
      <w:r w:rsidRPr="00DA3BC7">
        <w:rPr>
          <w:sz w:val="20"/>
          <w:szCs w:val="20"/>
        </w:rPr>
        <w:t>（</w:t>
      </w:r>
      <w:r w:rsidRPr="00DA3BC7">
        <w:rPr>
          <w:rFonts w:ascii="Times New Roman" w:hAnsi="Times New Roman"/>
          <w:bCs/>
          <w:sz w:val="20"/>
          <w:szCs w:val="20"/>
        </w:rPr>
        <w:t>p</w:t>
      </w:r>
      <w:r w:rsidRPr="00DA3BC7">
        <w:rPr>
          <w:bCs/>
          <w:sz w:val="20"/>
          <w:szCs w:val="20"/>
        </w:rPr>
        <w:t>.</w:t>
      </w:r>
      <w:r w:rsidRPr="00DA3BC7">
        <w:rPr>
          <w:rFonts w:ascii="Times New Roman" w:hAnsi="Times New Roman"/>
          <w:bCs/>
          <w:sz w:val="20"/>
          <w:szCs w:val="20"/>
        </w:rPr>
        <w:t>83</w:t>
      </w:r>
      <w:r w:rsidRPr="00DA3BC7">
        <w:rPr>
          <w:sz w:val="20"/>
          <w:szCs w:val="20"/>
        </w:rPr>
        <w:t>）</w:t>
      </w:r>
    </w:p>
    <w:p w:rsidR="002B682F" w:rsidRPr="00DA3BC7" w:rsidRDefault="002B682F" w:rsidP="008E2BBC">
      <w:pPr>
        <w:jc w:val="both"/>
      </w:pPr>
      <w:r w:rsidRPr="00DA3BC7">
        <w:t>龍樹的《根本中論》，開首以八不</w:t>
      </w:r>
      <w:r w:rsidRPr="00DA3BC7">
        <w:rPr>
          <w:rFonts w:ascii="新細明體" w:hAnsi="新細明體"/>
        </w:rPr>
        <w:t>──</w:t>
      </w:r>
      <w:r w:rsidRPr="00DA3BC7">
        <w:t>不生不滅、不常不斷、不一不異、不來不出的緣起開</w:t>
      </w:r>
      <w:r w:rsidRPr="00DA3BC7">
        <w:rPr>
          <w:rFonts w:hint="eastAsia"/>
        </w:rPr>
        <w:t>示</w:t>
      </w:r>
      <w:r w:rsidRPr="00DA3BC7">
        <w:t>中道。</w:t>
      </w:r>
      <w:r w:rsidRPr="00DA3BC7">
        <w:rPr>
          <w:rStyle w:val="a6"/>
          <w:rFonts w:ascii="Times New Roman" w:hAnsi="Times New Roman"/>
        </w:rPr>
        <w:footnoteReference w:id="414"/>
      </w:r>
      <w:r w:rsidRPr="00DA3BC7">
        <w:t>龍樹為何以此緣起八不顯示中道？八不究竟含些甚麼意義？</w:t>
      </w:r>
    </w:p>
    <w:p w:rsidR="00F63F7D" w:rsidRDefault="002B682F" w:rsidP="00AE3920">
      <w:pPr>
        <w:spacing w:beforeLines="30"/>
        <w:jc w:val="both"/>
        <w:rPr>
          <w:b/>
          <w:bCs/>
          <w:color w:val="FF0000"/>
          <w:sz w:val="20"/>
          <w:szCs w:val="20"/>
          <w:bdr w:val="single" w:sz="4" w:space="0" w:color="auto"/>
        </w:rPr>
      </w:pPr>
      <w:r w:rsidRPr="00F63F7D">
        <w:rPr>
          <w:rFonts w:hint="eastAsia"/>
          <w:b/>
          <w:bCs/>
          <w:color w:val="FF0000"/>
          <w:sz w:val="20"/>
          <w:szCs w:val="20"/>
          <w:highlight w:val="yellow"/>
          <w:bdr w:val="single" w:sz="4" w:space="0" w:color="auto"/>
        </w:rPr>
        <w:t>貳、</w:t>
      </w:r>
      <w:r w:rsidR="00F63F7D" w:rsidRPr="00F63F7D">
        <w:rPr>
          <w:rFonts w:hint="eastAsia"/>
          <w:b/>
          <w:bCs/>
          <w:color w:val="FF0000"/>
          <w:sz w:val="20"/>
          <w:szCs w:val="20"/>
          <w:highlight w:val="yellow"/>
          <w:bdr w:val="single" w:sz="4" w:space="0" w:color="auto"/>
        </w:rPr>
        <w:t>詳究</w:t>
      </w:r>
    </w:p>
    <w:p w:rsidR="002B682F" w:rsidRPr="00DA3BC7" w:rsidRDefault="00F63F7D" w:rsidP="00F63F7D">
      <w:pPr>
        <w:overflowPunct w:val="0"/>
        <w:autoSpaceDE w:val="0"/>
        <w:autoSpaceDN w:val="0"/>
        <w:ind w:leftChars="50" w:left="120"/>
        <w:jc w:val="both"/>
        <w:rPr>
          <w:b/>
          <w:bCs/>
          <w:sz w:val="20"/>
          <w:szCs w:val="20"/>
          <w:bdr w:val="single" w:sz="4" w:space="0" w:color="auto"/>
        </w:rPr>
      </w:pPr>
      <w:r w:rsidRPr="00F63F7D">
        <w:rPr>
          <w:rFonts w:hint="eastAsia"/>
          <w:b/>
          <w:color w:val="FF0000"/>
          <w:sz w:val="20"/>
          <w:szCs w:val="20"/>
          <w:highlight w:val="yellow"/>
          <w:bdr w:val="single" w:sz="4" w:space="0" w:color="auto"/>
        </w:rPr>
        <w:t>（壹）</w:t>
      </w:r>
      <w:r w:rsidR="002B682F" w:rsidRPr="00F63F7D">
        <w:rPr>
          <w:rFonts w:hint="eastAsia"/>
          <w:b/>
          <w:bCs/>
          <w:color w:val="FF0000"/>
          <w:sz w:val="20"/>
          <w:szCs w:val="20"/>
          <w:highlight w:val="yellow"/>
          <w:bdr w:val="single" w:sz="4" w:space="0" w:color="auto"/>
        </w:rPr>
        <w:t>明</w:t>
      </w:r>
      <w:r w:rsidRPr="00F63F7D">
        <w:rPr>
          <w:rFonts w:hint="eastAsia"/>
          <w:b/>
          <w:color w:val="FF0000"/>
          <w:sz w:val="20"/>
          <w:szCs w:val="20"/>
          <w:highlight w:val="yellow"/>
          <w:bdr w:val="single" w:sz="4" w:space="0" w:color="auto"/>
        </w:rPr>
        <w:t>「</w:t>
      </w:r>
      <w:r w:rsidRPr="00F63F7D">
        <w:rPr>
          <w:rFonts w:hint="eastAsia"/>
          <w:b/>
          <w:bCs/>
          <w:color w:val="FF0000"/>
          <w:sz w:val="20"/>
          <w:szCs w:val="20"/>
          <w:highlight w:val="yellow"/>
          <w:bdr w:val="single" w:sz="4" w:space="0" w:color="auto"/>
        </w:rPr>
        <w:t>八事</w:t>
      </w:r>
      <w:r w:rsidR="002B682F" w:rsidRPr="00F63F7D">
        <w:rPr>
          <w:b/>
          <w:bCs/>
          <w:color w:val="FF0000"/>
          <w:sz w:val="20"/>
          <w:szCs w:val="20"/>
          <w:highlight w:val="yellow"/>
          <w:bdr w:val="single" w:sz="4" w:space="0" w:color="auto"/>
        </w:rPr>
        <w:t>四對</w:t>
      </w:r>
      <w:r w:rsidR="002B682F" w:rsidRPr="00F63F7D">
        <w:rPr>
          <w:rFonts w:hint="eastAsia"/>
          <w:b/>
          <w:bCs/>
          <w:color w:val="FF0000"/>
          <w:sz w:val="20"/>
          <w:szCs w:val="20"/>
          <w:highlight w:val="yellow"/>
          <w:bdr w:val="single" w:sz="4" w:space="0" w:color="auto"/>
        </w:rPr>
        <w:t>」</w:t>
      </w:r>
      <w:r w:rsidR="002B682F" w:rsidRPr="00DA3BC7">
        <w:rPr>
          <w:sz w:val="20"/>
          <w:szCs w:val="20"/>
        </w:rPr>
        <w:t>（</w:t>
      </w:r>
      <w:r w:rsidR="002B682F" w:rsidRPr="00DA3BC7">
        <w:rPr>
          <w:rFonts w:ascii="Times New Roman" w:hAnsi="Times New Roman"/>
          <w:bCs/>
          <w:sz w:val="20"/>
          <w:szCs w:val="20"/>
        </w:rPr>
        <w:t>pp</w:t>
      </w:r>
      <w:r w:rsidR="002B682F" w:rsidRPr="00DA3BC7">
        <w:rPr>
          <w:bCs/>
          <w:sz w:val="20"/>
          <w:szCs w:val="20"/>
        </w:rPr>
        <w:t>.</w:t>
      </w:r>
      <w:r w:rsidR="002B682F" w:rsidRPr="00DA3BC7">
        <w:rPr>
          <w:rFonts w:ascii="Times New Roman" w:hAnsi="Times New Roman"/>
          <w:bCs/>
          <w:sz w:val="20"/>
          <w:szCs w:val="20"/>
        </w:rPr>
        <w:t>83</w:t>
      </w:r>
      <w:r w:rsidR="002B682F" w:rsidRPr="00DA3BC7">
        <w:rPr>
          <w:bCs/>
          <w:sz w:val="20"/>
          <w:szCs w:val="20"/>
        </w:rPr>
        <w:t>-</w:t>
      </w:r>
      <w:r w:rsidR="002B682F" w:rsidRPr="00DA3BC7">
        <w:rPr>
          <w:rFonts w:ascii="Times New Roman" w:hAnsi="Times New Roman" w:hint="eastAsia"/>
          <w:bCs/>
          <w:sz w:val="20"/>
          <w:szCs w:val="20"/>
        </w:rPr>
        <w:t>90</w:t>
      </w:r>
      <w:r w:rsidR="002B682F" w:rsidRPr="00DA3BC7">
        <w:rPr>
          <w:sz w:val="20"/>
          <w:szCs w:val="20"/>
        </w:rPr>
        <w:t>）</w:t>
      </w:r>
    </w:p>
    <w:p w:rsidR="002B682F" w:rsidRPr="00DA3BC7" w:rsidRDefault="00F63F7D" w:rsidP="00406896">
      <w:pPr>
        <w:overflowPunct w:val="0"/>
        <w:autoSpaceDE w:val="0"/>
        <w:autoSpaceDN w:val="0"/>
        <w:ind w:leftChars="100" w:left="240"/>
        <w:jc w:val="both"/>
        <w:rPr>
          <w:b/>
          <w:sz w:val="20"/>
          <w:szCs w:val="20"/>
          <w:bdr w:val="single" w:sz="4" w:space="0" w:color="auto"/>
        </w:rPr>
      </w:pPr>
      <w:r w:rsidRPr="00F63F7D">
        <w:rPr>
          <w:rFonts w:hint="eastAsia"/>
          <w:b/>
          <w:bCs/>
          <w:color w:val="FF0000"/>
          <w:sz w:val="20"/>
          <w:szCs w:val="20"/>
          <w:highlight w:val="yellow"/>
          <w:bdr w:val="single" w:sz="4" w:space="0" w:color="auto"/>
        </w:rPr>
        <w:t>一</w:t>
      </w:r>
      <w:r w:rsidRPr="00F63F7D">
        <w:rPr>
          <w:b/>
          <w:bCs/>
          <w:color w:val="FF0000"/>
          <w:sz w:val="20"/>
          <w:szCs w:val="20"/>
          <w:highlight w:val="yellow"/>
          <w:bdr w:val="single" w:sz="4" w:space="0" w:color="auto"/>
        </w:rPr>
        <w:t>、</w:t>
      </w:r>
      <w:r w:rsidR="002B682F" w:rsidRPr="00DA3BC7">
        <w:rPr>
          <w:rFonts w:hint="eastAsia"/>
          <w:b/>
          <w:sz w:val="20"/>
          <w:szCs w:val="20"/>
          <w:bdr w:val="single" w:sz="4" w:space="0" w:color="auto"/>
        </w:rPr>
        <w:t>略標</w:t>
      </w:r>
      <w:r w:rsidR="002B682F" w:rsidRPr="00DA3BC7">
        <w:rPr>
          <w:sz w:val="20"/>
          <w:szCs w:val="20"/>
        </w:rPr>
        <w:t>（</w:t>
      </w:r>
      <w:r w:rsidR="002B682F" w:rsidRPr="00DA3BC7">
        <w:rPr>
          <w:rFonts w:ascii="Times New Roman" w:hAnsi="Times New Roman"/>
          <w:bCs/>
          <w:sz w:val="20"/>
          <w:szCs w:val="20"/>
        </w:rPr>
        <w:t>p</w:t>
      </w:r>
      <w:r w:rsidR="002B682F" w:rsidRPr="00DA3BC7">
        <w:rPr>
          <w:bCs/>
          <w:sz w:val="20"/>
          <w:szCs w:val="20"/>
        </w:rPr>
        <w:t>.</w:t>
      </w:r>
      <w:r w:rsidR="002B682F" w:rsidRPr="00DA3BC7">
        <w:rPr>
          <w:rFonts w:ascii="Times New Roman" w:hAnsi="Times New Roman"/>
          <w:bCs/>
          <w:sz w:val="20"/>
          <w:szCs w:val="20"/>
        </w:rPr>
        <w:t>83</w:t>
      </w:r>
      <w:r w:rsidR="002B682F" w:rsidRPr="00DA3BC7">
        <w:rPr>
          <w:sz w:val="20"/>
          <w:szCs w:val="20"/>
        </w:rPr>
        <w:t>）</w:t>
      </w:r>
    </w:p>
    <w:p w:rsidR="002B682F" w:rsidRPr="00DA3BC7" w:rsidRDefault="002B682F" w:rsidP="00406896">
      <w:pPr>
        <w:ind w:leftChars="100" w:left="240"/>
        <w:jc w:val="both"/>
      </w:pPr>
      <w:r w:rsidRPr="00DA3BC7">
        <w:t>要明了八不，先要知道所不的八事。這八者，是兩兩相對的，即分做四對：生滅、常斷、一異、來出。</w:t>
      </w:r>
    </w:p>
    <w:p w:rsidR="002B682F" w:rsidRPr="00DA3BC7" w:rsidRDefault="00F63F7D" w:rsidP="00AE3920">
      <w:pPr>
        <w:overflowPunct w:val="0"/>
        <w:autoSpaceDE w:val="0"/>
        <w:autoSpaceDN w:val="0"/>
        <w:spacing w:beforeLines="30"/>
        <w:ind w:leftChars="100" w:left="240"/>
        <w:jc w:val="both"/>
        <w:rPr>
          <w:b/>
          <w:sz w:val="20"/>
          <w:szCs w:val="20"/>
          <w:bdr w:val="single" w:sz="4" w:space="0" w:color="auto"/>
        </w:rPr>
      </w:pPr>
      <w:r>
        <w:rPr>
          <w:rFonts w:hint="eastAsia"/>
          <w:b/>
          <w:bCs/>
          <w:color w:val="FF0000"/>
          <w:sz w:val="20"/>
          <w:szCs w:val="20"/>
          <w:highlight w:val="yellow"/>
          <w:bdr w:val="single" w:sz="4" w:space="0" w:color="auto"/>
        </w:rPr>
        <w:t>二</w:t>
      </w:r>
      <w:r w:rsidRPr="00F63F7D">
        <w:rPr>
          <w:b/>
          <w:bCs/>
          <w:color w:val="FF0000"/>
          <w:sz w:val="20"/>
          <w:szCs w:val="20"/>
          <w:highlight w:val="yellow"/>
          <w:bdr w:val="single" w:sz="4" w:space="0" w:color="auto"/>
        </w:rPr>
        <w:t>、</w:t>
      </w:r>
      <w:r w:rsidR="002B682F" w:rsidRPr="00DA3BC7">
        <w:rPr>
          <w:rFonts w:hint="eastAsia"/>
          <w:b/>
          <w:sz w:val="20"/>
          <w:szCs w:val="20"/>
          <w:bdr w:val="single" w:sz="4" w:space="0" w:color="auto"/>
        </w:rPr>
        <w:t>別釋</w:t>
      </w:r>
      <w:r w:rsidR="002B682F" w:rsidRPr="00DA3BC7">
        <w:rPr>
          <w:sz w:val="20"/>
          <w:szCs w:val="20"/>
        </w:rPr>
        <w:t>（</w:t>
      </w:r>
      <w:r w:rsidR="002B682F" w:rsidRPr="00DA3BC7">
        <w:rPr>
          <w:rFonts w:ascii="Times New Roman" w:hAnsi="Times New Roman"/>
          <w:bCs/>
          <w:sz w:val="20"/>
          <w:szCs w:val="20"/>
        </w:rPr>
        <w:t>pp</w:t>
      </w:r>
      <w:r w:rsidR="002B682F" w:rsidRPr="00DA3BC7">
        <w:rPr>
          <w:bCs/>
          <w:sz w:val="20"/>
          <w:szCs w:val="20"/>
        </w:rPr>
        <w:t>.</w:t>
      </w:r>
      <w:r w:rsidR="002B682F" w:rsidRPr="00DA3BC7">
        <w:rPr>
          <w:rFonts w:ascii="Times New Roman" w:hAnsi="Times New Roman"/>
          <w:bCs/>
          <w:sz w:val="20"/>
          <w:szCs w:val="20"/>
        </w:rPr>
        <w:t>83</w:t>
      </w:r>
      <w:r w:rsidR="002B682F" w:rsidRPr="00DA3BC7">
        <w:rPr>
          <w:bCs/>
          <w:sz w:val="20"/>
          <w:szCs w:val="20"/>
        </w:rPr>
        <w:t>-</w:t>
      </w:r>
      <w:r w:rsidR="002B682F" w:rsidRPr="00DA3BC7">
        <w:rPr>
          <w:rFonts w:ascii="Times New Roman" w:hAnsi="Times New Roman" w:hint="eastAsia"/>
          <w:bCs/>
          <w:sz w:val="20"/>
          <w:szCs w:val="20"/>
        </w:rPr>
        <w:t>90</w:t>
      </w:r>
      <w:r w:rsidR="002B682F" w:rsidRPr="00DA3BC7">
        <w:rPr>
          <w:sz w:val="20"/>
          <w:szCs w:val="20"/>
        </w:rPr>
        <w:t>）</w:t>
      </w:r>
    </w:p>
    <w:p w:rsidR="002B682F" w:rsidRPr="00DA3BC7" w:rsidRDefault="00F63F7D" w:rsidP="00406896">
      <w:pPr>
        <w:overflowPunct w:val="0"/>
        <w:autoSpaceDE w:val="0"/>
        <w:autoSpaceDN w:val="0"/>
        <w:ind w:leftChars="150" w:left="360"/>
        <w:jc w:val="both"/>
        <w:rPr>
          <w:sz w:val="20"/>
          <w:szCs w:val="20"/>
        </w:rPr>
      </w:pPr>
      <w:r w:rsidRPr="00F63F7D">
        <w:rPr>
          <w:b/>
          <w:color w:val="FF0000"/>
          <w:sz w:val="20"/>
          <w:szCs w:val="20"/>
          <w:highlight w:val="yellow"/>
          <w:bdr w:val="single" w:sz="4" w:space="0" w:color="auto"/>
        </w:rPr>
        <w:t>（一）</w:t>
      </w:r>
      <w:r w:rsidR="002B682F" w:rsidRPr="00DA3BC7">
        <w:rPr>
          <w:b/>
          <w:bCs/>
          <w:sz w:val="20"/>
          <w:szCs w:val="20"/>
          <w:bdr w:val="single" w:sz="4" w:space="0" w:color="auto"/>
        </w:rPr>
        <w:t>「生」與「滅」</w:t>
      </w:r>
      <w:r w:rsidR="002B682F" w:rsidRPr="00DA3BC7">
        <w:rPr>
          <w:sz w:val="20"/>
          <w:szCs w:val="20"/>
        </w:rPr>
        <w:t>（</w:t>
      </w:r>
      <w:r w:rsidR="002B682F" w:rsidRPr="00DA3BC7">
        <w:rPr>
          <w:rFonts w:ascii="Times New Roman" w:hAnsi="Times New Roman"/>
          <w:bCs/>
          <w:sz w:val="20"/>
          <w:szCs w:val="20"/>
        </w:rPr>
        <w:t>pp</w:t>
      </w:r>
      <w:r w:rsidR="002B682F" w:rsidRPr="00DA3BC7">
        <w:rPr>
          <w:bCs/>
          <w:sz w:val="20"/>
          <w:szCs w:val="20"/>
        </w:rPr>
        <w:t>.</w:t>
      </w:r>
      <w:r w:rsidR="002B682F" w:rsidRPr="00DA3BC7">
        <w:rPr>
          <w:rFonts w:ascii="Times New Roman" w:hAnsi="Times New Roman"/>
          <w:bCs/>
          <w:sz w:val="20"/>
          <w:szCs w:val="20"/>
        </w:rPr>
        <w:t>83</w:t>
      </w:r>
      <w:r w:rsidR="002B682F" w:rsidRPr="00DA3BC7">
        <w:rPr>
          <w:bCs/>
          <w:sz w:val="20"/>
          <w:szCs w:val="20"/>
        </w:rPr>
        <w:t>-</w:t>
      </w:r>
      <w:r w:rsidR="002B682F" w:rsidRPr="00DA3BC7">
        <w:rPr>
          <w:rFonts w:ascii="Times New Roman" w:hAnsi="Times New Roman"/>
          <w:bCs/>
          <w:sz w:val="20"/>
          <w:szCs w:val="20"/>
        </w:rPr>
        <w:t>87</w:t>
      </w:r>
      <w:r w:rsidR="002B682F" w:rsidRPr="00DA3BC7">
        <w:rPr>
          <w:sz w:val="20"/>
          <w:szCs w:val="20"/>
        </w:rPr>
        <w:t>）</w:t>
      </w:r>
    </w:p>
    <w:p w:rsidR="00643D0C" w:rsidRDefault="00643D0C" w:rsidP="00643D0C">
      <w:pPr>
        <w:overflowPunct w:val="0"/>
        <w:autoSpaceDE w:val="0"/>
        <w:autoSpaceDN w:val="0"/>
        <w:ind w:leftChars="150" w:left="360"/>
        <w:jc w:val="both"/>
        <w:rPr>
          <w:rFonts w:ascii="Times New Roman" w:hAnsi="Times New Roman"/>
          <w:b/>
          <w:color w:val="FF0000"/>
          <w:sz w:val="20"/>
          <w:szCs w:val="20"/>
          <w:highlight w:val="yellow"/>
          <w:bdr w:val="single" w:sz="4" w:space="0" w:color="auto"/>
        </w:rPr>
      </w:pPr>
      <w:r w:rsidRPr="00643D0C">
        <w:rPr>
          <w:highlight w:val="yellow"/>
        </w:rPr>
        <w:t>先</w:t>
      </w:r>
      <w:r w:rsidRPr="00DA3BC7">
        <w:t>說生與滅：</w:t>
      </w:r>
    </w:p>
    <w:p w:rsidR="00F63F7D" w:rsidRDefault="00F63F7D" w:rsidP="00406896">
      <w:pPr>
        <w:overflowPunct w:val="0"/>
        <w:autoSpaceDE w:val="0"/>
        <w:autoSpaceDN w:val="0"/>
        <w:ind w:leftChars="200" w:left="480"/>
        <w:jc w:val="both"/>
        <w:rPr>
          <w:sz w:val="20"/>
          <w:szCs w:val="20"/>
        </w:rPr>
      </w:pPr>
      <w:r w:rsidRPr="00F63F7D">
        <w:rPr>
          <w:rFonts w:ascii="Times New Roman" w:hAnsi="Times New Roman"/>
          <w:b/>
          <w:color w:val="FF0000"/>
          <w:sz w:val="20"/>
          <w:szCs w:val="20"/>
          <w:highlight w:val="yellow"/>
          <w:bdr w:val="single" w:sz="4" w:space="0" w:color="auto"/>
        </w:rPr>
        <w:t>1</w:t>
      </w:r>
      <w:r w:rsidRPr="00F63F7D">
        <w:rPr>
          <w:b/>
          <w:color w:val="FF0000"/>
          <w:sz w:val="20"/>
          <w:szCs w:val="20"/>
          <w:highlight w:val="yellow"/>
          <w:bdr w:val="single" w:sz="4" w:space="0" w:color="auto"/>
        </w:rPr>
        <w:t>、</w:t>
      </w:r>
      <w:r>
        <w:rPr>
          <w:rFonts w:hint="eastAsia"/>
          <w:b/>
          <w:color w:val="FF0000"/>
          <w:sz w:val="20"/>
          <w:szCs w:val="20"/>
          <w:highlight w:val="yellow"/>
          <w:bdr w:val="single" w:sz="4" w:space="0" w:color="auto"/>
        </w:rPr>
        <w:t>約「無常」辨</w:t>
      </w:r>
      <w:r w:rsidR="002B682F" w:rsidRPr="00DA3BC7">
        <w:rPr>
          <w:sz w:val="20"/>
          <w:szCs w:val="20"/>
        </w:rPr>
        <w:t>（</w:t>
      </w:r>
      <w:r w:rsidR="002B682F" w:rsidRPr="00DA3BC7">
        <w:rPr>
          <w:rFonts w:ascii="Times New Roman" w:hAnsi="Times New Roman"/>
          <w:bCs/>
          <w:sz w:val="20"/>
          <w:szCs w:val="20"/>
        </w:rPr>
        <w:t>p</w:t>
      </w:r>
      <w:r w:rsidR="002B682F" w:rsidRPr="00DA3BC7">
        <w:rPr>
          <w:bCs/>
          <w:sz w:val="20"/>
          <w:szCs w:val="20"/>
        </w:rPr>
        <w:t>.</w:t>
      </w:r>
      <w:r w:rsidR="002B682F" w:rsidRPr="00DA3BC7">
        <w:rPr>
          <w:rFonts w:ascii="Times New Roman" w:hAnsi="Times New Roman"/>
          <w:bCs/>
          <w:sz w:val="20"/>
          <w:szCs w:val="20"/>
        </w:rPr>
        <w:t>83</w:t>
      </w:r>
      <w:r w:rsidR="002B682F" w:rsidRPr="00DA3BC7">
        <w:rPr>
          <w:sz w:val="20"/>
          <w:szCs w:val="20"/>
        </w:rPr>
        <w:t>）</w:t>
      </w:r>
    </w:p>
    <w:p w:rsidR="002B682F" w:rsidRPr="00DA3BC7" w:rsidRDefault="00F63F7D" w:rsidP="00406896">
      <w:pPr>
        <w:overflowPunct w:val="0"/>
        <w:autoSpaceDE w:val="0"/>
        <w:autoSpaceDN w:val="0"/>
        <w:ind w:leftChars="250" w:left="600"/>
        <w:jc w:val="both"/>
        <w:rPr>
          <w:sz w:val="20"/>
          <w:szCs w:val="20"/>
        </w:rPr>
      </w:pPr>
      <w:r w:rsidRPr="00F63F7D">
        <w:rPr>
          <w:b/>
          <w:color w:val="FF0000"/>
          <w:sz w:val="20"/>
          <w:szCs w:val="20"/>
          <w:highlight w:val="yellow"/>
          <w:bdr w:val="single" w:sz="4" w:space="0" w:color="auto"/>
        </w:rPr>
        <w:t>（</w:t>
      </w:r>
      <w:r w:rsidRPr="00F63F7D">
        <w:rPr>
          <w:rFonts w:ascii="Times New Roman" w:hAnsi="Times New Roman" w:hint="eastAsia"/>
          <w:b/>
          <w:color w:val="FF0000"/>
          <w:sz w:val="20"/>
          <w:szCs w:val="20"/>
          <w:highlight w:val="yellow"/>
          <w:bdr w:val="single" w:sz="4" w:space="0" w:color="auto"/>
        </w:rPr>
        <w:t>1</w:t>
      </w:r>
      <w:r w:rsidRPr="00F63F7D">
        <w:rPr>
          <w:b/>
          <w:color w:val="FF0000"/>
          <w:sz w:val="20"/>
          <w:szCs w:val="20"/>
          <w:highlight w:val="yellow"/>
          <w:bdr w:val="single" w:sz="4" w:space="0" w:color="auto"/>
        </w:rPr>
        <w:t>）</w:t>
      </w:r>
      <w:r>
        <w:rPr>
          <w:rFonts w:hint="eastAsia"/>
          <w:b/>
          <w:color w:val="FF0000"/>
          <w:sz w:val="20"/>
          <w:szCs w:val="20"/>
          <w:highlight w:val="yellow"/>
          <w:bdr w:val="single" w:sz="4" w:space="0" w:color="auto"/>
        </w:rPr>
        <w:t>概述</w:t>
      </w:r>
      <w:r w:rsidRPr="00DA3BC7">
        <w:rPr>
          <w:sz w:val="20"/>
          <w:szCs w:val="20"/>
        </w:rPr>
        <w:t>（</w:t>
      </w:r>
      <w:r w:rsidRPr="00DA3BC7">
        <w:rPr>
          <w:rFonts w:ascii="Times New Roman" w:hAnsi="Times New Roman"/>
          <w:bCs/>
          <w:sz w:val="20"/>
          <w:szCs w:val="20"/>
        </w:rPr>
        <w:t>p</w:t>
      </w:r>
      <w:r w:rsidRPr="00DA3BC7">
        <w:rPr>
          <w:bCs/>
          <w:sz w:val="20"/>
          <w:szCs w:val="20"/>
        </w:rPr>
        <w:t>.</w:t>
      </w:r>
      <w:r w:rsidRPr="00DA3BC7">
        <w:rPr>
          <w:rFonts w:ascii="Times New Roman" w:hAnsi="Times New Roman"/>
          <w:bCs/>
          <w:sz w:val="20"/>
          <w:szCs w:val="20"/>
        </w:rPr>
        <w:t>83</w:t>
      </w:r>
      <w:r w:rsidRPr="00DA3BC7">
        <w:rPr>
          <w:sz w:val="20"/>
          <w:szCs w:val="20"/>
        </w:rPr>
        <w:t>）</w:t>
      </w:r>
    </w:p>
    <w:p w:rsidR="002B682F" w:rsidRPr="00DA3BC7" w:rsidRDefault="002B682F" w:rsidP="00406896">
      <w:pPr>
        <w:overflowPunct w:val="0"/>
        <w:autoSpaceDE w:val="0"/>
        <w:autoSpaceDN w:val="0"/>
        <w:ind w:leftChars="250" w:left="600"/>
        <w:jc w:val="both"/>
      </w:pPr>
      <w:r w:rsidRPr="00DA3BC7">
        <w:t>生滅，在佛法裏是重要的術語，三法印的諸行無常，即依生滅而說明的。</w:t>
      </w:r>
    </w:p>
    <w:p w:rsidR="002B682F" w:rsidRPr="00DA3BC7" w:rsidRDefault="002B682F" w:rsidP="00AE3920">
      <w:pPr>
        <w:overflowPunct w:val="0"/>
        <w:autoSpaceDE w:val="0"/>
        <w:autoSpaceDN w:val="0"/>
        <w:spacing w:beforeLines="30"/>
        <w:ind w:leftChars="250" w:left="600"/>
        <w:jc w:val="both"/>
        <w:rPr>
          <w:b/>
          <w:sz w:val="20"/>
          <w:szCs w:val="20"/>
        </w:rPr>
      </w:pPr>
      <w:r w:rsidRPr="00F63F7D">
        <w:rPr>
          <w:b/>
          <w:color w:val="FF0000"/>
          <w:sz w:val="20"/>
          <w:szCs w:val="20"/>
          <w:highlight w:val="yellow"/>
          <w:bdr w:val="single" w:sz="4" w:space="0" w:color="auto"/>
        </w:rPr>
        <w:t>（</w:t>
      </w:r>
      <w:r w:rsidR="00F63F7D" w:rsidRPr="00F63F7D">
        <w:rPr>
          <w:rFonts w:ascii="Times New Roman" w:hAnsi="Times New Roman" w:hint="eastAsia"/>
          <w:b/>
          <w:color w:val="FF0000"/>
          <w:sz w:val="20"/>
          <w:szCs w:val="20"/>
          <w:highlight w:val="yellow"/>
          <w:bdr w:val="single" w:sz="4" w:space="0" w:color="auto"/>
        </w:rPr>
        <w:t>2</w:t>
      </w:r>
      <w:r w:rsidRPr="00F63F7D">
        <w:rPr>
          <w:b/>
          <w:color w:val="FF0000"/>
          <w:sz w:val="20"/>
          <w:szCs w:val="20"/>
          <w:highlight w:val="yellow"/>
          <w:bdr w:val="single" w:sz="4" w:space="0" w:color="auto"/>
        </w:rPr>
        <w:t>）</w:t>
      </w:r>
      <w:r w:rsidR="00F63F7D" w:rsidRPr="00F63F7D">
        <w:rPr>
          <w:rFonts w:hint="eastAsia"/>
          <w:b/>
          <w:color w:val="FF0000"/>
          <w:sz w:val="20"/>
          <w:szCs w:val="20"/>
          <w:highlight w:val="yellow"/>
          <w:bdr w:val="single" w:sz="4" w:space="0" w:color="auto"/>
        </w:rPr>
        <w:t>顯義</w:t>
      </w:r>
      <w:r w:rsidRPr="00DA3BC7">
        <w:rPr>
          <w:sz w:val="20"/>
          <w:szCs w:val="20"/>
        </w:rPr>
        <w:t>（</w:t>
      </w:r>
      <w:r w:rsidRPr="00DA3BC7">
        <w:rPr>
          <w:rFonts w:ascii="Times New Roman" w:hAnsi="Times New Roman"/>
          <w:bCs/>
          <w:sz w:val="20"/>
          <w:szCs w:val="20"/>
        </w:rPr>
        <w:t>pp</w:t>
      </w:r>
      <w:r w:rsidRPr="00DA3BC7">
        <w:rPr>
          <w:bCs/>
          <w:sz w:val="20"/>
          <w:szCs w:val="20"/>
        </w:rPr>
        <w:t>.</w:t>
      </w:r>
      <w:r w:rsidRPr="00DA3BC7">
        <w:rPr>
          <w:rFonts w:ascii="Times New Roman" w:hAnsi="Times New Roman"/>
          <w:bCs/>
          <w:sz w:val="20"/>
          <w:szCs w:val="20"/>
        </w:rPr>
        <w:t>83</w:t>
      </w:r>
      <w:r w:rsidRPr="00DA3BC7">
        <w:rPr>
          <w:bCs/>
          <w:sz w:val="20"/>
          <w:szCs w:val="20"/>
        </w:rPr>
        <w:t>-</w:t>
      </w:r>
      <w:r w:rsidRPr="00DA3BC7">
        <w:rPr>
          <w:rFonts w:ascii="Times New Roman" w:hAnsi="Times New Roman"/>
          <w:bCs/>
          <w:sz w:val="20"/>
          <w:szCs w:val="20"/>
        </w:rPr>
        <w:t>84</w:t>
      </w:r>
      <w:r w:rsidRPr="00DA3BC7">
        <w:rPr>
          <w:sz w:val="20"/>
          <w:szCs w:val="20"/>
        </w:rPr>
        <w:t>）</w:t>
      </w:r>
    </w:p>
    <w:p w:rsidR="00F63F7D" w:rsidRDefault="00F63F7D" w:rsidP="00406896">
      <w:pPr>
        <w:overflowPunct w:val="0"/>
        <w:autoSpaceDE w:val="0"/>
        <w:autoSpaceDN w:val="0"/>
        <w:ind w:leftChars="300" w:left="720"/>
        <w:jc w:val="both"/>
        <w:rPr>
          <w:b/>
          <w:color w:val="FF0000"/>
          <w:sz w:val="20"/>
          <w:szCs w:val="20"/>
          <w:highlight w:val="yellow"/>
          <w:bdr w:val="single" w:sz="4" w:space="0" w:color="auto"/>
        </w:rPr>
      </w:pPr>
      <w:r w:rsidRPr="00F63F7D">
        <w:rPr>
          <w:rFonts w:ascii="Times New Roman" w:hAnsi="Times New Roman" w:hint="eastAsia"/>
          <w:b/>
          <w:color w:val="FF0000"/>
          <w:sz w:val="20"/>
          <w:szCs w:val="20"/>
          <w:highlight w:val="yellow"/>
          <w:bdr w:val="single" w:sz="4" w:space="0" w:color="auto"/>
        </w:rPr>
        <w:t>A</w:t>
      </w:r>
      <w:r w:rsidRPr="00F63F7D">
        <w:rPr>
          <w:b/>
          <w:color w:val="FF0000"/>
          <w:sz w:val="20"/>
          <w:szCs w:val="20"/>
          <w:highlight w:val="yellow"/>
          <w:bdr w:val="single" w:sz="4" w:space="0" w:color="auto"/>
        </w:rPr>
        <w:t>、</w:t>
      </w:r>
      <w:r w:rsidRPr="00F63F7D">
        <w:rPr>
          <w:rFonts w:hint="eastAsia"/>
          <w:b/>
          <w:color w:val="FF0000"/>
          <w:sz w:val="20"/>
          <w:szCs w:val="20"/>
          <w:highlight w:val="yellow"/>
          <w:bdr w:val="single" w:sz="4" w:space="0" w:color="auto"/>
        </w:rPr>
        <w:t>依「有為相」說</w:t>
      </w:r>
      <w:r w:rsidRPr="00DA3BC7">
        <w:rPr>
          <w:sz w:val="20"/>
          <w:szCs w:val="20"/>
        </w:rPr>
        <w:t>（</w:t>
      </w:r>
      <w:r w:rsidRPr="00DA3BC7">
        <w:rPr>
          <w:rFonts w:ascii="Times New Roman" w:hAnsi="Times New Roman"/>
          <w:bCs/>
          <w:sz w:val="20"/>
          <w:szCs w:val="20"/>
        </w:rPr>
        <w:t>pp</w:t>
      </w:r>
      <w:r w:rsidRPr="00DA3BC7">
        <w:rPr>
          <w:bCs/>
          <w:sz w:val="20"/>
          <w:szCs w:val="20"/>
        </w:rPr>
        <w:t>.</w:t>
      </w:r>
      <w:r w:rsidRPr="00DA3BC7">
        <w:rPr>
          <w:rFonts w:ascii="Times New Roman" w:hAnsi="Times New Roman"/>
          <w:bCs/>
          <w:sz w:val="20"/>
          <w:szCs w:val="20"/>
        </w:rPr>
        <w:t>83</w:t>
      </w:r>
      <w:r w:rsidRPr="00DA3BC7">
        <w:rPr>
          <w:bCs/>
          <w:sz w:val="20"/>
          <w:szCs w:val="20"/>
        </w:rPr>
        <w:t>-</w:t>
      </w:r>
      <w:r w:rsidRPr="00DA3BC7">
        <w:rPr>
          <w:rFonts w:ascii="Times New Roman" w:hAnsi="Times New Roman"/>
          <w:bCs/>
          <w:sz w:val="20"/>
          <w:szCs w:val="20"/>
        </w:rPr>
        <w:t>84</w:t>
      </w:r>
      <w:r w:rsidRPr="00DA3BC7">
        <w:rPr>
          <w:sz w:val="20"/>
          <w:szCs w:val="20"/>
        </w:rPr>
        <w:t>）</w:t>
      </w:r>
    </w:p>
    <w:p w:rsidR="002B682F" w:rsidRPr="00DA3BC7" w:rsidRDefault="00F63F7D" w:rsidP="00406896">
      <w:pPr>
        <w:overflowPunct w:val="0"/>
        <w:autoSpaceDE w:val="0"/>
        <w:autoSpaceDN w:val="0"/>
        <w:ind w:leftChars="350" w:left="840"/>
        <w:jc w:val="both"/>
        <w:rPr>
          <w:b/>
          <w:sz w:val="20"/>
          <w:szCs w:val="20"/>
          <w:bdr w:val="single" w:sz="4" w:space="0" w:color="auto"/>
        </w:rPr>
      </w:pPr>
      <w:r w:rsidRPr="00F63F7D">
        <w:rPr>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A</w:t>
      </w:r>
      <w:r w:rsidRPr="00F63F7D">
        <w:rPr>
          <w:b/>
          <w:color w:val="FF0000"/>
          <w:sz w:val="20"/>
          <w:szCs w:val="20"/>
          <w:highlight w:val="yellow"/>
          <w:bdr w:val="single" w:sz="4" w:space="0" w:color="auto"/>
        </w:rPr>
        <w:t>）</w:t>
      </w:r>
      <w:r w:rsidR="002B682F" w:rsidRPr="00DA3BC7">
        <w:rPr>
          <w:b/>
          <w:sz w:val="20"/>
          <w:szCs w:val="20"/>
          <w:bdr w:val="single" w:sz="4" w:space="0" w:color="auto"/>
        </w:rPr>
        <w:t>有為四相：生、住、異、滅</w:t>
      </w:r>
      <w:r w:rsidR="002B682F" w:rsidRPr="00DA3BC7">
        <w:rPr>
          <w:sz w:val="20"/>
          <w:szCs w:val="20"/>
        </w:rPr>
        <w:t>（</w:t>
      </w:r>
      <w:r w:rsidR="002B682F" w:rsidRPr="00DA3BC7">
        <w:rPr>
          <w:rFonts w:ascii="Times New Roman" w:hAnsi="Times New Roman"/>
          <w:bCs/>
          <w:sz w:val="20"/>
          <w:szCs w:val="20"/>
        </w:rPr>
        <w:t>pp</w:t>
      </w:r>
      <w:r w:rsidR="002B682F" w:rsidRPr="00DA3BC7">
        <w:rPr>
          <w:bCs/>
          <w:sz w:val="20"/>
          <w:szCs w:val="20"/>
        </w:rPr>
        <w:t>.</w:t>
      </w:r>
      <w:r w:rsidR="002B682F" w:rsidRPr="00DA3BC7">
        <w:rPr>
          <w:rFonts w:ascii="Times New Roman" w:hAnsi="Times New Roman"/>
          <w:bCs/>
          <w:sz w:val="20"/>
          <w:szCs w:val="20"/>
        </w:rPr>
        <w:t>83</w:t>
      </w:r>
      <w:r w:rsidR="002B682F" w:rsidRPr="00DA3BC7">
        <w:rPr>
          <w:bCs/>
          <w:sz w:val="20"/>
          <w:szCs w:val="20"/>
        </w:rPr>
        <w:t>-</w:t>
      </w:r>
      <w:r w:rsidR="002B682F" w:rsidRPr="00DA3BC7">
        <w:rPr>
          <w:rFonts w:ascii="Times New Roman" w:hAnsi="Times New Roman"/>
          <w:bCs/>
          <w:sz w:val="20"/>
          <w:szCs w:val="20"/>
        </w:rPr>
        <w:t>84</w:t>
      </w:r>
      <w:r w:rsidR="002B682F" w:rsidRPr="00DA3BC7">
        <w:rPr>
          <w:sz w:val="20"/>
          <w:szCs w:val="20"/>
        </w:rPr>
        <w:t>）</w:t>
      </w:r>
    </w:p>
    <w:p w:rsidR="002B682F" w:rsidRPr="00DA3BC7" w:rsidRDefault="002B682F" w:rsidP="00406896">
      <w:pPr>
        <w:overflowPunct w:val="0"/>
        <w:autoSpaceDE w:val="0"/>
        <w:autoSpaceDN w:val="0"/>
        <w:ind w:leftChars="350" w:left="840"/>
        <w:jc w:val="both"/>
      </w:pPr>
      <w:r w:rsidRPr="00DA3BC7">
        <w:t>此生與滅，或說為有為</w:t>
      </w:r>
      <w:r w:rsidRPr="00DA3BC7">
        <w:rPr>
          <w:rFonts w:ascii="新細明體" w:hAnsi="新細明體"/>
        </w:rPr>
        <w:t>──諸</w:t>
      </w:r>
      <w:r w:rsidRPr="00DA3BC7">
        <w:t>行的四相：生、住、異、滅。</w:t>
      </w:r>
      <w:r w:rsidRPr="00DA3BC7">
        <w:rPr>
          <w:rStyle w:val="a6"/>
          <w:rFonts w:ascii="Times New Roman" w:hAnsi="Times New Roman"/>
        </w:rPr>
        <w:footnoteReference w:id="415"/>
      </w:r>
    </w:p>
    <w:p w:rsidR="00586961" w:rsidRDefault="002B682F" w:rsidP="00406896">
      <w:pPr>
        <w:overflowPunct w:val="0"/>
        <w:autoSpaceDE w:val="0"/>
        <w:autoSpaceDN w:val="0"/>
        <w:ind w:leftChars="350" w:left="840"/>
        <w:jc w:val="both"/>
      </w:pPr>
      <w:r w:rsidRPr="00DA3BC7">
        <w:t>本無今有為</w:t>
      </w:r>
      <w:r w:rsidRPr="00DA3BC7">
        <w:rPr>
          <w:b/>
        </w:rPr>
        <w:t>生</w:t>
      </w:r>
      <w:r w:rsidR="00586961">
        <w:rPr>
          <w:rFonts w:hint="eastAsia"/>
        </w:rPr>
        <w:t>，</w:t>
      </w:r>
      <w:r w:rsidRPr="00586961">
        <w:rPr>
          <w:highlight w:val="yellow"/>
        </w:rPr>
        <w:t>有</w:t>
      </w:r>
      <w:r w:rsidRPr="00DA3BC7">
        <w:t>而相續為</w:t>
      </w:r>
      <w:r w:rsidRPr="00DA3BC7">
        <w:rPr>
          <w:b/>
        </w:rPr>
        <w:t>住</w:t>
      </w:r>
      <w:r w:rsidR="00586961">
        <w:rPr>
          <w:rFonts w:hint="eastAsia"/>
        </w:rPr>
        <w:t>，</w:t>
      </w:r>
      <w:r w:rsidRPr="00586961">
        <w:rPr>
          <w:highlight w:val="yellow"/>
        </w:rPr>
        <w:t>變</w:t>
      </w:r>
      <w:r w:rsidRPr="00DA3BC7">
        <w:t>化不居</w:t>
      </w:r>
      <w:r w:rsidR="00643D0C">
        <w:rPr>
          <w:rStyle w:val="a6"/>
        </w:rPr>
        <w:footnoteReference w:id="416"/>
      </w:r>
      <w:r w:rsidRPr="00DA3BC7">
        <w:t>為</w:t>
      </w:r>
      <w:r w:rsidRPr="00DA3BC7">
        <w:rPr>
          <w:b/>
        </w:rPr>
        <w:t>異</w:t>
      </w:r>
      <w:r w:rsidR="00586961">
        <w:rPr>
          <w:rFonts w:hint="eastAsia"/>
        </w:rPr>
        <w:t>，</w:t>
      </w:r>
      <w:r w:rsidRPr="00586961">
        <w:rPr>
          <w:highlight w:val="yellow"/>
        </w:rPr>
        <w:t>有</w:t>
      </w:r>
      <w:r w:rsidRPr="00DA3BC7">
        <w:t>而還無為</w:t>
      </w:r>
      <w:r w:rsidRPr="00DA3BC7">
        <w:rPr>
          <w:b/>
        </w:rPr>
        <w:t>滅</w:t>
      </w:r>
      <w:r w:rsidRPr="00DA3BC7">
        <w:t>。</w:t>
      </w:r>
    </w:p>
    <w:p w:rsidR="002B682F" w:rsidRPr="00DA3BC7" w:rsidRDefault="00586961" w:rsidP="00406896">
      <w:pPr>
        <w:overflowPunct w:val="0"/>
        <w:autoSpaceDE w:val="0"/>
        <w:autoSpaceDN w:val="0"/>
        <w:ind w:leftChars="350" w:left="840"/>
        <w:jc w:val="both"/>
      </w:pPr>
      <w:r w:rsidRPr="00586961">
        <w:rPr>
          <w:rFonts w:hint="eastAsia"/>
          <w:highlight w:val="yellow"/>
        </w:rPr>
        <w:lastRenderedPageBreak/>
        <w:t>如</w:t>
      </w:r>
      <w:r>
        <w:rPr>
          <w:rFonts w:hint="eastAsia"/>
        </w:rPr>
        <w:t>人的成胎為</w:t>
      </w:r>
      <w:r>
        <w:rPr>
          <w:rFonts w:hint="eastAsia"/>
          <w:b/>
        </w:rPr>
        <w:t>生，</w:t>
      </w:r>
      <w:r w:rsidRPr="00586961">
        <w:rPr>
          <w:rFonts w:hint="eastAsia"/>
          <w:highlight w:val="yellow"/>
        </w:rPr>
        <w:t>從</w:t>
      </w:r>
      <w:r>
        <w:rPr>
          <w:rFonts w:hint="eastAsia"/>
        </w:rPr>
        <w:t>成胎到發育完成、健在為</w:t>
      </w:r>
      <w:r>
        <w:rPr>
          <w:rFonts w:hint="eastAsia"/>
          <w:b/>
        </w:rPr>
        <w:t>住，</w:t>
      </w:r>
      <w:r w:rsidRPr="00586961">
        <w:rPr>
          <w:rFonts w:hint="eastAsia"/>
          <w:highlight w:val="yellow"/>
        </w:rPr>
        <w:t>一</w:t>
      </w:r>
      <w:r>
        <w:rPr>
          <w:rFonts w:hint="eastAsia"/>
        </w:rPr>
        <w:t>天天的衰老為</w:t>
      </w:r>
      <w:r>
        <w:rPr>
          <w:rFonts w:hint="eastAsia"/>
          <w:b/>
        </w:rPr>
        <w:t>異，</w:t>
      </w:r>
      <w:r w:rsidR="002B682F" w:rsidRPr="00586961">
        <w:rPr>
          <w:highlight w:val="yellow"/>
        </w:rPr>
        <w:t>臨</w:t>
      </w:r>
      <w:r w:rsidR="002B682F" w:rsidRPr="00DA3BC7">
        <w:t>終的死亡為</w:t>
      </w:r>
      <w:r w:rsidR="002B682F" w:rsidRPr="00DA3BC7">
        <w:rPr>
          <w:b/>
        </w:rPr>
        <w:t>滅</w:t>
      </w:r>
      <w:r>
        <w:rPr>
          <w:rFonts w:hint="eastAsia"/>
        </w:rPr>
        <w:t>。</w:t>
      </w:r>
    </w:p>
    <w:p w:rsidR="002B682F" w:rsidRPr="00DA3BC7" w:rsidRDefault="00F63F7D" w:rsidP="00AE3920">
      <w:pPr>
        <w:overflowPunct w:val="0"/>
        <w:autoSpaceDE w:val="0"/>
        <w:autoSpaceDN w:val="0"/>
        <w:spacing w:beforeLines="30"/>
        <w:ind w:leftChars="350" w:left="840"/>
        <w:jc w:val="both"/>
        <w:rPr>
          <w:b/>
        </w:rPr>
      </w:pPr>
      <w:r w:rsidRPr="00F63F7D">
        <w:rPr>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B</w:t>
      </w:r>
      <w:r w:rsidRPr="00F63F7D">
        <w:rPr>
          <w:b/>
          <w:color w:val="FF0000"/>
          <w:sz w:val="20"/>
          <w:szCs w:val="20"/>
          <w:highlight w:val="yellow"/>
          <w:bdr w:val="single" w:sz="4" w:space="0" w:color="auto"/>
        </w:rPr>
        <w:t>）</w:t>
      </w:r>
      <w:r w:rsidR="002B682F" w:rsidRPr="00DA3BC7">
        <w:rPr>
          <w:b/>
          <w:sz w:val="20"/>
          <w:szCs w:val="20"/>
          <w:bdr w:val="single" w:sz="4" w:space="0" w:color="auto"/>
        </w:rPr>
        <w:t>有為三相：生、（住）異、滅</w:t>
      </w:r>
      <w:r w:rsidR="002B682F" w:rsidRPr="00DA3BC7">
        <w:rPr>
          <w:rStyle w:val="a6"/>
          <w:rFonts w:ascii="Times New Roman" w:hAnsi="Times New Roman"/>
        </w:rPr>
        <w:footnoteReference w:id="417"/>
      </w:r>
      <w:r w:rsidR="002B682F" w:rsidRPr="00DA3BC7">
        <w:rPr>
          <w:sz w:val="20"/>
          <w:szCs w:val="20"/>
        </w:rPr>
        <w:t>（</w:t>
      </w:r>
      <w:r w:rsidR="002B682F" w:rsidRPr="00DA3BC7">
        <w:rPr>
          <w:rFonts w:ascii="Times New Roman" w:hAnsi="Times New Roman"/>
          <w:bCs/>
          <w:sz w:val="20"/>
          <w:szCs w:val="20"/>
        </w:rPr>
        <w:t>p</w:t>
      </w:r>
      <w:r w:rsidR="002B682F" w:rsidRPr="00DA3BC7">
        <w:rPr>
          <w:bCs/>
          <w:sz w:val="20"/>
          <w:szCs w:val="20"/>
        </w:rPr>
        <w:t>.</w:t>
      </w:r>
      <w:r w:rsidR="002B682F" w:rsidRPr="00DA3BC7">
        <w:rPr>
          <w:rFonts w:ascii="Times New Roman" w:hAnsi="Times New Roman"/>
          <w:bCs/>
          <w:sz w:val="20"/>
          <w:szCs w:val="20"/>
        </w:rPr>
        <w:t>8</w:t>
      </w:r>
      <w:r w:rsidR="002B682F" w:rsidRPr="00DA3BC7">
        <w:rPr>
          <w:rFonts w:ascii="Times New Roman" w:hAnsi="Times New Roman" w:hint="eastAsia"/>
          <w:bCs/>
          <w:sz w:val="20"/>
          <w:szCs w:val="20"/>
        </w:rPr>
        <w:t>4</w:t>
      </w:r>
      <w:r w:rsidR="002B682F" w:rsidRPr="00DA3BC7">
        <w:rPr>
          <w:sz w:val="20"/>
          <w:szCs w:val="20"/>
        </w:rPr>
        <w:t>）</w:t>
      </w:r>
    </w:p>
    <w:p w:rsidR="00586961" w:rsidRDefault="002B682F" w:rsidP="00406896">
      <w:pPr>
        <w:overflowPunct w:val="0"/>
        <w:autoSpaceDE w:val="0"/>
        <w:autoSpaceDN w:val="0"/>
        <w:ind w:leftChars="350" w:left="840"/>
        <w:jc w:val="both"/>
      </w:pPr>
      <w:r w:rsidRPr="00DA3BC7">
        <w:t>或說為三有為相：生、異、滅。</w:t>
      </w:r>
    </w:p>
    <w:p w:rsidR="002B682F" w:rsidRPr="00DA3BC7" w:rsidRDefault="002B682F" w:rsidP="00406896">
      <w:pPr>
        <w:overflowPunct w:val="0"/>
        <w:autoSpaceDE w:val="0"/>
        <w:autoSpaceDN w:val="0"/>
        <w:ind w:leftChars="350" w:left="840"/>
        <w:jc w:val="both"/>
      </w:pPr>
      <w:r w:rsidRPr="00586961">
        <w:rPr>
          <w:b/>
          <w:u w:val="wave" w:color="C00000"/>
        </w:rPr>
        <w:t>住相</w:t>
      </w:r>
      <w:r w:rsidRPr="00DA3BC7">
        <w:t>含攝在</w:t>
      </w:r>
      <w:r w:rsidRPr="00586961">
        <w:rPr>
          <w:b/>
          <w:u w:val="wave" w:color="C00000"/>
        </w:rPr>
        <w:t>異</w:t>
      </w:r>
      <w:r w:rsidRPr="00DA3BC7">
        <w:t>中，因為一切法都在不息的變化，沒有絕對的安住性，不過在生而未滅的當中，稱此相對的安定為</w:t>
      </w:r>
      <w:r w:rsidRPr="00586961">
        <w:rPr>
          <w:b/>
          <w:u w:val="wave" w:color="C00000"/>
        </w:rPr>
        <w:t>住</w:t>
      </w:r>
      <w:r w:rsidRPr="00DA3BC7">
        <w:t>。此安住即是變化不定的，所以或稱為</w:t>
      </w:r>
      <w:r w:rsidRPr="00586961">
        <w:rPr>
          <w:b/>
          <w:u w:val="wave" w:color="C00000"/>
        </w:rPr>
        <w:t>住異</w:t>
      </w:r>
      <w:r w:rsidRPr="00DA3BC7">
        <w:t>。</w:t>
      </w:r>
    </w:p>
    <w:p w:rsidR="002B682F" w:rsidRPr="00DA3BC7" w:rsidRDefault="00F63F7D" w:rsidP="00AE3920">
      <w:pPr>
        <w:overflowPunct w:val="0"/>
        <w:autoSpaceDE w:val="0"/>
        <w:autoSpaceDN w:val="0"/>
        <w:spacing w:beforeLines="30"/>
        <w:ind w:leftChars="350" w:left="840"/>
        <w:jc w:val="both"/>
        <w:rPr>
          <w:b/>
          <w:sz w:val="20"/>
          <w:szCs w:val="20"/>
          <w:bdr w:val="single" w:sz="4" w:space="0" w:color="auto"/>
        </w:rPr>
      </w:pPr>
      <w:r w:rsidRPr="00F63F7D">
        <w:rPr>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C</w:t>
      </w:r>
      <w:r w:rsidRPr="00F63F7D">
        <w:rPr>
          <w:b/>
          <w:color w:val="FF0000"/>
          <w:sz w:val="20"/>
          <w:szCs w:val="20"/>
          <w:highlight w:val="yellow"/>
          <w:bdr w:val="single" w:sz="4" w:space="0" w:color="auto"/>
        </w:rPr>
        <w:t>）</w:t>
      </w:r>
      <w:r w:rsidR="002B682F" w:rsidRPr="00DA3BC7">
        <w:rPr>
          <w:b/>
          <w:sz w:val="20"/>
          <w:szCs w:val="20"/>
          <w:bdr w:val="single" w:sz="4" w:space="0" w:color="auto"/>
        </w:rPr>
        <w:t>有為二相：生、滅</w:t>
      </w:r>
      <w:r w:rsidR="002B682F" w:rsidRPr="00DA3BC7">
        <w:rPr>
          <w:sz w:val="20"/>
          <w:szCs w:val="20"/>
        </w:rPr>
        <w:t>（</w:t>
      </w:r>
      <w:r w:rsidR="002B682F" w:rsidRPr="00DA3BC7">
        <w:rPr>
          <w:rFonts w:ascii="Times New Roman" w:hAnsi="Times New Roman"/>
          <w:bCs/>
          <w:sz w:val="20"/>
          <w:szCs w:val="20"/>
        </w:rPr>
        <w:t>p</w:t>
      </w:r>
      <w:r w:rsidR="002B682F" w:rsidRPr="00DA3BC7">
        <w:rPr>
          <w:bCs/>
          <w:sz w:val="20"/>
          <w:szCs w:val="20"/>
        </w:rPr>
        <w:t>.</w:t>
      </w:r>
      <w:r w:rsidR="002B682F" w:rsidRPr="00DA3BC7">
        <w:rPr>
          <w:rFonts w:ascii="Times New Roman" w:hAnsi="Times New Roman"/>
          <w:bCs/>
          <w:sz w:val="20"/>
          <w:szCs w:val="20"/>
        </w:rPr>
        <w:t>8</w:t>
      </w:r>
      <w:r w:rsidR="002B682F" w:rsidRPr="00DA3BC7">
        <w:rPr>
          <w:rFonts w:ascii="Times New Roman" w:hAnsi="Times New Roman" w:hint="eastAsia"/>
          <w:bCs/>
          <w:sz w:val="20"/>
          <w:szCs w:val="20"/>
        </w:rPr>
        <w:t>4</w:t>
      </w:r>
      <w:r w:rsidR="002B682F" w:rsidRPr="00DA3BC7">
        <w:rPr>
          <w:sz w:val="20"/>
          <w:szCs w:val="20"/>
        </w:rPr>
        <w:t>）</w:t>
      </w:r>
    </w:p>
    <w:p w:rsidR="002B682F" w:rsidRPr="00DA3BC7" w:rsidRDefault="002B682F" w:rsidP="00406896">
      <w:pPr>
        <w:overflowPunct w:val="0"/>
        <w:autoSpaceDE w:val="0"/>
        <w:autoSpaceDN w:val="0"/>
        <w:ind w:leftChars="350" w:left="840"/>
        <w:jc w:val="both"/>
      </w:pPr>
      <w:r w:rsidRPr="00DA3BC7">
        <w:t>或說</w:t>
      </w:r>
      <w:r w:rsidRPr="00586961">
        <w:rPr>
          <w:b/>
          <w:highlight w:val="yellow"/>
          <w:u w:val="wave" w:color="C00000"/>
        </w:rPr>
        <w:t>生滅</w:t>
      </w:r>
      <w:r w:rsidRPr="00DA3BC7">
        <w:t>二相</w:t>
      </w:r>
      <w:r w:rsidRPr="00DA3BC7">
        <w:rPr>
          <w:rFonts w:hint="eastAsia"/>
        </w:rPr>
        <w:t>：</w:t>
      </w:r>
      <w:r w:rsidRPr="00DA3BC7">
        <w:t>依一般的事物相續看，可有生滅當中的住、異相；若從心識的活動去體察，是「即生即滅」，竟無片刻的安定，只可說生滅。</w:t>
      </w:r>
    </w:p>
    <w:p w:rsidR="002B682F" w:rsidRPr="00DA3BC7" w:rsidRDefault="00F63F7D" w:rsidP="00AE3920">
      <w:pPr>
        <w:overflowPunct w:val="0"/>
        <w:autoSpaceDE w:val="0"/>
        <w:autoSpaceDN w:val="0"/>
        <w:spacing w:beforeLines="30"/>
        <w:ind w:leftChars="350" w:left="840"/>
        <w:jc w:val="both"/>
        <w:rPr>
          <w:b/>
          <w:sz w:val="20"/>
          <w:szCs w:val="20"/>
          <w:bdr w:val="single" w:sz="4" w:space="0" w:color="auto"/>
        </w:rPr>
      </w:pPr>
      <w:r w:rsidRPr="00F63F7D">
        <w:rPr>
          <w:rFonts w:ascii="新細明體" w:hAnsi="新細明體" w:cs="新細明體" w:hint="eastAsia"/>
          <w:b/>
          <w:color w:val="FF0000"/>
          <w:sz w:val="20"/>
          <w:szCs w:val="20"/>
          <w:highlight w:val="yellow"/>
          <w:bdr w:val="single" w:sz="4" w:space="0" w:color="auto"/>
        </w:rPr>
        <w:t>※</w:t>
      </w:r>
      <w:r w:rsidR="002B682F" w:rsidRPr="00DA3BC7">
        <w:rPr>
          <w:b/>
          <w:sz w:val="20"/>
          <w:szCs w:val="20"/>
          <w:bdr w:val="single" w:sz="4" w:space="0" w:color="auto"/>
        </w:rPr>
        <w:t>小結</w:t>
      </w:r>
      <w:r w:rsidR="002B682F" w:rsidRPr="00DA3BC7">
        <w:rPr>
          <w:sz w:val="20"/>
          <w:szCs w:val="20"/>
        </w:rPr>
        <w:t>（</w:t>
      </w:r>
      <w:r w:rsidR="002B682F" w:rsidRPr="00DA3BC7">
        <w:rPr>
          <w:rFonts w:ascii="Times New Roman" w:hAnsi="Times New Roman"/>
          <w:bCs/>
          <w:sz w:val="20"/>
          <w:szCs w:val="20"/>
        </w:rPr>
        <w:t>p</w:t>
      </w:r>
      <w:r w:rsidR="002B682F" w:rsidRPr="00DA3BC7">
        <w:rPr>
          <w:bCs/>
          <w:sz w:val="20"/>
          <w:szCs w:val="20"/>
        </w:rPr>
        <w:t>.</w:t>
      </w:r>
      <w:r w:rsidR="002B682F" w:rsidRPr="00DA3BC7">
        <w:rPr>
          <w:rFonts w:ascii="Times New Roman" w:hAnsi="Times New Roman"/>
          <w:bCs/>
          <w:sz w:val="20"/>
          <w:szCs w:val="20"/>
        </w:rPr>
        <w:t>8</w:t>
      </w:r>
      <w:r w:rsidR="002B682F" w:rsidRPr="00DA3BC7">
        <w:rPr>
          <w:rFonts w:ascii="Times New Roman" w:hAnsi="Times New Roman" w:hint="eastAsia"/>
          <w:bCs/>
          <w:sz w:val="20"/>
          <w:szCs w:val="20"/>
        </w:rPr>
        <w:t>4</w:t>
      </w:r>
      <w:r w:rsidR="002B682F" w:rsidRPr="00DA3BC7">
        <w:rPr>
          <w:sz w:val="20"/>
          <w:szCs w:val="20"/>
        </w:rPr>
        <w:t>）</w:t>
      </w:r>
    </w:p>
    <w:p w:rsidR="002B682F" w:rsidRPr="00DA3BC7" w:rsidRDefault="002B682F" w:rsidP="00406896">
      <w:pPr>
        <w:overflowPunct w:val="0"/>
        <w:autoSpaceDE w:val="0"/>
        <w:autoSpaceDN w:val="0"/>
        <w:ind w:leftChars="350" w:left="840"/>
        <w:jc w:val="both"/>
      </w:pPr>
      <w:r w:rsidRPr="00DA3BC7">
        <w:t>雖有此四種、三種、二種的不同，然基本原則，都是說明諸法從生至滅與生了必歸於滅的過程，所以每以這基本的生滅說明無常。</w:t>
      </w:r>
    </w:p>
    <w:p w:rsidR="002B682F" w:rsidRPr="00DA3BC7" w:rsidRDefault="00F63F7D" w:rsidP="00AE3920">
      <w:pPr>
        <w:overflowPunct w:val="0"/>
        <w:autoSpaceDE w:val="0"/>
        <w:autoSpaceDN w:val="0"/>
        <w:spacing w:beforeLines="30"/>
        <w:ind w:leftChars="300" w:left="720"/>
        <w:jc w:val="both"/>
        <w:rPr>
          <w:b/>
          <w:sz w:val="20"/>
          <w:szCs w:val="20"/>
          <w:bdr w:val="single" w:sz="4" w:space="0" w:color="auto"/>
        </w:rPr>
      </w:pPr>
      <w:r w:rsidRPr="00F63F7D">
        <w:rPr>
          <w:rFonts w:ascii="Times New Roman" w:hAnsi="Times New Roman" w:hint="eastAsia"/>
          <w:b/>
          <w:color w:val="FF0000"/>
          <w:sz w:val="20"/>
          <w:szCs w:val="20"/>
          <w:highlight w:val="yellow"/>
          <w:bdr w:val="single" w:sz="4" w:space="0" w:color="auto"/>
        </w:rPr>
        <w:t>B</w:t>
      </w:r>
      <w:r w:rsidRPr="00F63F7D">
        <w:rPr>
          <w:b/>
          <w:color w:val="FF0000"/>
          <w:sz w:val="20"/>
          <w:szCs w:val="20"/>
          <w:highlight w:val="yellow"/>
          <w:bdr w:val="single" w:sz="4" w:space="0" w:color="auto"/>
        </w:rPr>
        <w:t>、</w:t>
      </w:r>
      <w:r w:rsidRPr="00F63F7D">
        <w:rPr>
          <w:rFonts w:hint="eastAsia"/>
          <w:b/>
          <w:color w:val="FF0000"/>
          <w:sz w:val="20"/>
          <w:szCs w:val="20"/>
          <w:highlight w:val="yellow"/>
          <w:bdr w:val="single" w:sz="4" w:space="0" w:color="auto"/>
        </w:rPr>
        <w:t>依「三種類」說</w:t>
      </w:r>
      <w:r w:rsidR="002B682F" w:rsidRPr="00DA3BC7">
        <w:rPr>
          <w:rStyle w:val="a6"/>
          <w:rFonts w:ascii="Times New Roman" w:hAnsi="Times New Roman"/>
        </w:rPr>
        <w:footnoteReference w:id="418"/>
      </w:r>
      <w:r w:rsidR="002B682F" w:rsidRPr="00DA3BC7">
        <w:rPr>
          <w:sz w:val="20"/>
          <w:szCs w:val="20"/>
        </w:rPr>
        <w:t>（</w:t>
      </w:r>
      <w:r w:rsidR="002B682F" w:rsidRPr="00DA3BC7">
        <w:rPr>
          <w:rFonts w:ascii="Times New Roman" w:hAnsi="Times New Roman"/>
          <w:bCs/>
          <w:sz w:val="20"/>
          <w:szCs w:val="20"/>
        </w:rPr>
        <w:t>pp</w:t>
      </w:r>
      <w:r w:rsidR="002B682F" w:rsidRPr="00DA3BC7">
        <w:rPr>
          <w:bCs/>
          <w:sz w:val="20"/>
          <w:szCs w:val="20"/>
        </w:rPr>
        <w:t>.</w:t>
      </w:r>
      <w:r w:rsidR="002B682F" w:rsidRPr="00DA3BC7">
        <w:rPr>
          <w:rFonts w:ascii="Times New Roman" w:hAnsi="Times New Roman"/>
          <w:bCs/>
          <w:sz w:val="20"/>
          <w:szCs w:val="20"/>
        </w:rPr>
        <w:t>84</w:t>
      </w:r>
      <w:r w:rsidR="002B682F" w:rsidRPr="00DA3BC7">
        <w:rPr>
          <w:bCs/>
          <w:sz w:val="20"/>
          <w:szCs w:val="20"/>
        </w:rPr>
        <w:t>-</w:t>
      </w:r>
      <w:r w:rsidR="002B682F" w:rsidRPr="00DA3BC7">
        <w:rPr>
          <w:rFonts w:ascii="Times New Roman" w:hAnsi="Times New Roman"/>
          <w:bCs/>
          <w:sz w:val="20"/>
          <w:szCs w:val="20"/>
        </w:rPr>
        <w:t>85</w:t>
      </w:r>
      <w:r w:rsidR="002B682F" w:rsidRPr="00DA3BC7">
        <w:rPr>
          <w:sz w:val="20"/>
          <w:szCs w:val="20"/>
        </w:rPr>
        <w:t>）</w:t>
      </w:r>
    </w:p>
    <w:p w:rsidR="002B682F" w:rsidRPr="00DA3BC7" w:rsidRDefault="002B682F" w:rsidP="00262DF3">
      <w:pPr>
        <w:overflowPunct w:val="0"/>
        <w:autoSpaceDE w:val="0"/>
        <w:autoSpaceDN w:val="0"/>
        <w:ind w:leftChars="300" w:left="720"/>
        <w:jc w:val="both"/>
      </w:pPr>
      <w:r w:rsidRPr="00DA3BC7">
        <w:t>對於無常生滅的一切，細究起來，可有三種：</w:t>
      </w:r>
    </w:p>
    <w:p w:rsidR="002B682F" w:rsidRPr="00DA3BC7" w:rsidRDefault="00F63F7D" w:rsidP="00AE3920">
      <w:pPr>
        <w:overflowPunct w:val="0"/>
        <w:autoSpaceDE w:val="0"/>
        <w:autoSpaceDN w:val="0"/>
        <w:spacing w:beforeLines="30"/>
        <w:ind w:leftChars="350" w:left="840"/>
        <w:jc w:val="both"/>
        <w:rPr>
          <w:b/>
          <w:sz w:val="20"/>
          <w:szCs w:val="20"/>
          <w:bdr w:val="single" w:sz="4" w:space="0" w:color="auto"/>
        </w:rPr>
      </w:pPr>
      <w:r w:rsidRPr="00F63F7D">
        <w:rPr>
          <w:b/>
          <w:color w:val="FF0000"/>
          <w:sz w:val="20"/>
          <w:szCs w:val="20"/>
          <w:highlight w:val="yellow"/>
          <w:bdr w:val="single" w:sz="4" w:space="0" w:color="auto"/>
        </w:rPr>
        <w:t>（</w:t>
      </w:r>
      <w:r w:rsidRPr="00F63F7D">
        <w:rPr>
          <w:rFonts w:ascii="Times New Roman" w:hAnsi="Times New Roman" w:hint="eastAsia"/>
          <w:b/>
          <w:color w:val="FF0000"/>
          <w:sz w:val="20"/>
          <w:szCs w:val="20"/>
          <w:highlight w:val="yellow"/>
          <w:bdr w:val="single" w:sz="4" w:space="0" w:color="auto"/>
        </w:rPr>
        <w:t>A</w:t>
      </w:r>
      <w:r w:rsidRPr="00F63F7D">
        <w:rPr>
          <w:b/>
          <w:color w:val="FF0000"/>
          <w:sz w:val="20"/>
          <w:szCs w:val="20"/>
          <w:highlight w:val="yellow"/>
          <w:bdr w:val="single" w:sz="4" w:space="0" w:color="auto"/>
        </w:rPr>
        <w:t>）</w:t>
      </w:r>
      <w:r w:rsidR="002B682F" w:rsidRPr="00DA3BC7">
        <w:rPr>
          <w:b/>
          <w:sz w:val="20"/>
          <w:szCs w:val="20"/>
          <w:bdr w:val="single" w:sz="4" w:space="0" w:color="auto"/>
        </w:rPr>
        <w:t>一期生滅</w:t>
      </w:r>
      <w:r w:rsidR="002B682F" w:rsidRPr="00DA3BC7">
        <w:rPr>
          <w:sz w:val="20"/>
          <w:szCs w:val="20"/>
        </w:rPr>
        <w:t>（</w:t>
      </w:r>
      <w:r w:rsidR="002B682F" w:rsidRPr="00DA3BC7">
        <w:rPr>
          <w:rFonts w:ascii="Times New Roman" w:hAnsi="Times New Roman"/>
          <w:bCs/>
          <w:sz w:val="20"/>
          <w:szCs w:val="20"/>
        </w:rPr>
        <w:t>p</w:t>
      </w:r>
      <w:r w:rsidR="002B682F" w:rsidRPr="00DA3BC7">
        <w:rPr>
          <w:bCs/>
          <w:sz w:val="20"/>
          <w:szCs w:val="20"/>
        </w:rPr>
        <w:t>.</w:t>
      </w:r>
      <w:r w:rsidR="002B682F" w:rsidRPr="00DA3BC7">
        <w:rPr>
          <w:rFonts w:ascii="Times New Roman" w:hAnsi="Times New Roman"/>
          <w:bCs/>
          <w:sz w:val="20"/>
          <w:szCs w:val="20"/>
        </w:rPr>
        <w:t>8</w:t>
      </w:r>
      <w:r w:rsidR="002B682F" w:rsidRPr="00DA3BC7">
        <w:rPr>
          <w:rFonts w:ascii="Times New Roman" w:hAnsi="Times New Roman" w:hint="eastAsia"/>
          <w:bCs/>
          <w:sz w:val="20"/>
          <w:szCs w:val="20"/>
        </w:rPr>
        <w:t>4</w:t>
      </w:r>
      <w:r w:rsidR="002B682F" w:rsidRPr="00DA3BC7">
        <w:rPr>
          <w:sz w:val="20"/>
          <w:szCs w:val="20"/>
        </w:rPr>
        <w:t>）</w:t>
      </w:r>
    </w:p>
    <w:p w:rsidR="002B682F" w:rsidRPr="00DA3BC7" w:rsidRDefault="002B682F" w:rsidP="00262DF3">
      <w:pPr>
        <w:overflowPunct w:val="0"/>
        <w:autoSpaceDE w:val="0"/>
        <w:autoSpaceDN w:val="0"/>
        <w:ind w:leftChars="350" w:left="840"/>
        <w:jc w:val="both"/>
      </w:pPr>
      <w:r w:rsidRPr="00DA3BC7">
        <w:rPr>
          <w:rFonts w:hint="eastAsia"/>
        </w:rPr>
        <w:t>一、</w:t>
      </w:r>
      <w:r w:rsidRPr="00DA3BC7">
        <w:t>一期生滅，這是最現成的，人人可經驗而知的。</w:t>
      </w:r>
    </w:p>
    <w:p w:rsidR="002B682F" w:rsidRPr="00DA3BC7" w:rsidRDefault="002B682F" w:rsidP="00262DF3">
      <w:pPr>
        <w:overflowPunct w:val="0"/>
        <w:autoSpaceDE w:val="0"/>
        <w:autoSpaceDN w:val="0"/>
        <w:ind w:leftChars="350" w:left="840"/>
        <w:jc w:val="both"/>
      </w:pPr>
      <w:r w:rsidRPr="00DA3BC7">
        <w:t>如人由入胎到死去等，有一較長的時期，如上四相所說。</w:t>
      </w:r>
    </w:p>
    <w:p w:rsidR="002B682F" w:rsidRPr="00DA3BC7" w:rsidRDefault="002B682F" w:rsidP="00262DF3">
      <w:pPr>
        <w:overflowPunct w:val="0"/>
        <w:autoSpaceDE w:val="0"/>
        <w:autoSpaceDN w:val="0"/>
        <w:ind w:leftChars="350" w:left="840"/>
        <w:jc w:val="both"/>
      </w:pPr>
      <w:r w:rsidRPr="00DA3BC7">
        <w:t>如約器界說，即成與壞，或成、住、壞。</w:t>
      </w:r>
    </w:p>
    <w:p w:rsidR="002B682F" w:rsidRPr="00DA3BC7" w:rsidRDefault="00F63F7D" w:rsidP="00AE3920">
      <w:pPr>
        <w:overflowPunct w:val="0"/>
        <w:autoSpaceDE w:val="0"/>
        <w:autoSpaceDN w:val="0"/>
        <w:spacing w:beforeLines="30"/>
        <w:ind w:leftChars="350" w:left="840"/>
        <w:jc w:val="both"/>
        <w:rPr>
          <w:b/>
          <w:sz w:val="20"/>
          <w:szCs w:val="20"/>
          <w:bdr w:val="single" w:sz="4" w:space="0" w:color="auto"/>
        </w:rPr>
      </w:pPr>
      <w:r w:rsidRPr="00F63F7D">
        <w:rPr>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B</w:t>
      </w:r>
      <w:r w:rsidRPr="00F63F7D">
        <w:rPr>
          <w:b/>
          <w:color w:val="FF0000"/>
          <w:sz w:val="20"/>
          <w:szCs w:val="20"/>
          <w:highlight w:val="yellow"/>
          <w:bdr w:val="single" w:sz="4" w:space="0" w:color="auto"/>
        </w:rPr>
        <w:t>）</w:t>
      </w:r>
      <w:r w:rsidR="002B682F" w:rsidRPr="00DA3BC7">
        <w:rPr>
          <w:b/>
          <w:sz w:val="20"/>
          <w:szCs w:val="20"/>
          <w:bdr w:val="single" w:sz="4" w:space="0" w:color="auto"/>
        </w:rPr>
        <w:t>一念生滅</w:t>
      </w:r>
      <w:r w:rsidR="002B682F" w:rsidRPr="00DA3BC7">
        <w:rPr>
          <w:rFonts w:hint="eastAsia"/>
          <w:b/>
          <w:sz w:val="20"/>
          <w:szCs w:val="20"/>
          <w:bdr w:val="single" w:sz="4" w:space="0" w:color="auto"/>
        </w:rPr>
        <w:t>（剎那生滅）</w:t>
      </w:r>
      <w:r w:rsidR="002B682F" w:rsidRPr="00DA3BC7">
        <w:rPr>
          <w:sz w:val="20"/>
          <w:szCs w:val="20"/>
        </w:rPr>
        <w:t>（</w:t>
      </w:r>
      <w:r w:rsidR="002B682F" w:rsidRPr="00DA3BC7">
        <w:rPr>
          <w:rFonts w:ascii="Times New Roman" w:hAnsi="Times New Roman"/>
          <w:bCs/>
          <w:sz w:val="20"/>
          <w:szCs w:val="20"/>
        </w:rPr>
        <w:t>pp</w:t>
      </w:r>
      <w:r w:rsidR="002B682F" w:rsidRPr="00DA3BC7">
        <w:rPr>
          <w:bCs/>
          <w:sz w:val="20"/>
          <w:szCs w:val="20"/>
        </w:rPr>
        <w:t>.</w:t>
      </w:r>
      <w:r w:rsidR="002B682F" w:rsidRPr="00DA3BC7">
        <w:rPr>
          <w:rFonts w:ascii="Times New Roman" w:hAnsi="Times New Roman"/>
          <w:bCs/>
          <w:sz w:val="20"/>
          <w:szCs w:val="20"/>
        </w:rPr>
        <w:t>84</w:t>
      </w:r>
      <w:r w:rsidR="002B682F" w:rsidRPr="00DA3BC7">
        <w:rPr>
          <w:bCs/>
          <w:sz w:val="20"/>
          <w:szCs w:val="20"/>
        </w:rPr>
        <w:t>-</w:t>
      </w:r>
      <w:r w:rsidR="002B682F" w:rsidRPr="00DA3BC7">
        <w:rPr>
          <w:rFonts w:ascii="Times New Roman" w:hAnsi="Times New Roman"/>
          <w:bCs/>
          <w:sz w:val="20"/>
          <w:szCs w:val="20"/>
        </w:rPr>
        <w:t>85</w:t>
      </w:r>
      <w:r w:rsidR="002B682F" w:rsidRPr="00DA3BC7">
        <w:rPr>
          <w:sz w:val="20"/>
          <w:szCs w:val="20"/>
        </w:rPr>
        <w:t>）</w:t>
      </w:r>
    </w:p>
    <w:p w:rsidR="002B682F" w:rsidRPr="00DA3BC7" w:rsidRDefault="002B682F" w:rsidP="00262DF3">
      <w:pPr>
        <w:overflowPunct w:val="0"/>
        <w:autoSpaceDE w:val="0"/>
        <w:autoSpaceDN w:val="0"/>
        <w:ind w:leftChars="350" w:left="840"/>
        <w:jc w:val="both"/>
      </w:pPr>
      <w:r w:rsidRPr="00DA3BC7">
        <w:rPr>
          <w:rFonts w:hint="eastAsia"/>
        </w:rPr>
        <w:t>二、</w:t>
      </w:r>
      <w:r w:rsidRPr="00DA3BC7">
        <w:t>一念</w:t>
      </w:r>
      <w:r w:rsidRPr="00DA3BC7">
        <w:rPr>
          <w:rFonts w:hint="eastAsia"/>
        </w:rPr>
        <w:t>──</w:t>
      </w:r>
      <w:r w:rsidRPr="00DA3BC7">
        <w:t>剎那生滅，不論是有情的</w:t>
      </w:r>
      <w:r w:rsidRPr="00DA3BC7">
        <w:rPr>
          <w:rFonts w:hint="eastAsia"/>
        </w:rPr>
        <w:t>、</w:t>
      </w:r>
      <w:r w:rsidRPr="00DA3BC7">
        <w:t>無情的，一切都有生滅相，即存在的必歸於息滅。推求到所以生者必滅，即發覺變化的並非突</w:t>
      </w:r>
      <w:r w:rsidRPr="00DA3BC7">
        <w:lastRenderedPageBreak/>
        <w:t>然，無時無刻不在潛移密化中。即追求到事物的剎那</w:t>
      </w:r>
      <w:r w:rsidRPr="00DA3BC7">
        <w:rPr>
          <w:rFonts w:ascii="新細明體" w:hAnsi="新細明體"/>
        </w:rPr>
        <w:t>──</w:t>
      </w:r>
      <w:r w:rsidRPr="00DA3BC7">
        <w:t>短到不可再短的時間，也還是在生滅變化中的。</w:t>
      </w:r>
    </w:p>
    <w:p w:rsidR="002B682F" w:rsidRPr="00DA3BC7" w:rsidRDefault="002B682F" w:rsidP="00AE3920">
      <w:pPr>
        <w:overflowPunct w:val="0"/>
        <w:autoSpaceDE w:val="0"/>
        <w:autoSpaceDN w:val="0"/>
        <w:spacing w:beforeLines="20"/>
        <w:ind w:leftChars="350" w:left="840"/>
        <w:jc w:val="both"/>
      </w:pPr>
      <w:r w:rsidRPr="00DA3BC7">
        <w:t>佛法說「一見不可再見」，因為一眨眼間，所見的似乎一樣，而早已不是原樣了。莊子說「</w:t>
      </w:r>
      <w:r w:rsidRPr="00586961">
        <w:t>交臂非故</w:t>
      </w:r>
      <w:r w:rsidRPr="00DA3BC7">
        <w:t>」，</w:t>
      </w:r>
      <w:r w:rsidR="00586961" w:rsidRPr="00DA3BC7">
        <w:rPr>
          <w:rStyle w:val="a6"/>
          <w:rFonts w:ascii="Times New Roman" w:hAnsi="Times New Roman"/>
        </w:rPr>
        <w:footnoteReference w:id="419"/>
      </w:r>
      <w:r w:rsidRPr="00DA3BC7">
        <w:t>也是此義。</w:t>
      </w:r>
    </w:p>
    <w:p w:rsidR="002B682F" w:rsidRPr="00DA3BC7" w:rsidRDefault="002B682F" w:rsidP="00AE3920">
      <w:pPr>
        <w:overflowPunct w:val="0"/>
        <w:autoSpaceDE w:val="0"/>
        <w:autoSpaceDN w:val="0"/>
        <w:spacing w:beforeLines="20"/>
        <w:ind w:leftChars="350" w:left="840"/>
        <w:jc w:val="both"/>
      </w:pPr>
      <w:r w:rsidRPr="00DA3BC7">
        <w:t>這個剎那生滅，好學深思的哲人們，都多少的推論到</w:t>
      </w:r>
      <w:r w:rsidRPr="00DA3BC7">
        <w:rPr>
          <w:rFonts w:hint="eastAsia"/>
        </w:rPr>
        <w:t>；</w:t>
      </w:r>
      <w:r w:rsidRPr="00DA3BC7">
        <w:t>近代的科學者，已證實人們的身體不斷的在新陳代謝</w:t>
      </w:r>
      <w:r w:rsidRPr="00DA3BC7">
        <w:rPr>
          <w:rStyle w:val="a6"/>
          <w:rFonts w:ascii="Times New Roman" w:hAnsi="Times New Roman"/>
        </w:rPr>
        <w:footnoteReference w:id="420"/>
      </w:r>
      <w:r w:rsidRPr="00DA3BC7">
        <w:t>。</w:t>
      </w:r>
    </w:p>
    <w:p w:rsidR="002B682F" w:rsidRPr="00DA3BC7" w:rsidRDefault="00F63F7D" w:rsidP="00AE3920">
      <w:pPr>
        <w:spacing w:beforeLines="30"/>
        <w:ind w:leftChars="350" w:left="840"/>
        <w:jc w:val="both"/>
        <w:rPr>
          <w:b/>
          <w:sz w:val="20"/>
          <w:szCs w:val="20"/>
          <w:bdr w:val="single" w:sz="4" w:space="0" w:color="auto"/>
        </w:rPr>
      </w:pPr>
      <w:r>
        <w:rPr>
          <w:rFonts w:ascii="Times New Roman" w:hAnsi="Times New Roman" w:hint="eastAsia"/>
          <w:b/>
          <w:sz w:val="20"/>
          <w:szCs w:val="20"/>
          <w:bdr w:val="single" w:sz="4" w:space="0" w:color="auto"/>
        </w:rPr>
        <w:t>（</w:t>
      </w:r>
      <w:r>
        <w:rPr>
          <w:rFonts w:ascii="Times New Roman" w:hAnsi="Times New Roman" w:hint="eastAsia"/>
          <w:b/>
          <w:sz w:val="20"/>
          <w:szCs w:val="20"/>
          <w:bdr w:val="single" w:sz="4" w:space="0" w:color="auto"/>
        </w:rPr>
        <w:t>C</w:t>
      </w:r>
      <w:r>
        <w:rPr>
          <w:rFonts w:ascii="Times New Roman" w:hAnsi="Times New Roman" w:hint="eastAsia"/>
          <w:b/>
          <w:sz w:val="20"/>
          <w:szCs w:val="20"/>
          <w:bdr w:val="single" w:sz="4" w:space="0" w:color="auto"/>
        </w:rPr>
        <w:t>）</w:t>
      </w:r>
      <w:r w:rsidR="002B682F" w:rsidRPr="00DA3BC7">
        <w:rPr>
          <w:b/>
          <w:sz w:val="20"/>
          <w:szCs w:val="20"/>
          <w:bdr w:val="single" w:sz="4" w:space="0" w:color="auto"/>
        </w:rPr>
        <w:t>大期生滅</w:t>
      </w:r>
      <w:r w:rsidR="002B682F" w:rsidRPr="00DA3BC7">
        <w:rPr>
          <w:sz w:val="20"/>
          <w:szCs w:val="20"/>
        </w:rPr>
        <w:t>（</w:t>
      </w:r>
      <w:r w:rsidR="002B682F" w:rsidRPr="00DA3BC7">
        <w:rPr>
          <w:rFonts w:ascii="Times New Roman" w:hAnsi="Times New Roman"/>
          <w:bCs/>
          <w:sz w:val="20"/>
          <w:szCs w:val="20"/>
        </w:rPr>
        <w:t>p</w:t>
      </w:r>
      <w:r w:rsidR="002B682F" w:rsidRPr="00DA3BC7">
        <w:rPr>
          <w:bCs/>
          <w:sz w:val="20"/>
          <w:szCs w:val="20"/>
        </w:rPr>
        <w:t>.</w:t>
      </w:r>
      <w:r w:rsidR="002B682F" w:rsidRPr="00DA3BC7">
        <w:rPr>
          <w:rFonts w:ascii="Times New Roman" w:hAnsi="Times New Roman"/>
          <w:bCs/>
          <w:sz w:val="20"/>
          <w:szCs w:val="20"/>
        </w:rPr>
        <w:t>8</w:t>
      </w:r>
      <w:r w:rsidR="002B682F" w:rsidRPr="00DA3BC7">
        <w:rPr>
          <w:rFonts w:ascii="Times New Roman" w:hAnsi="Times New Roman" w:hint="eastAsia"/>
          <w:bCs/>
          <w:sz w:val="20"/>
          <w:szCs w:val="20"/>
        </w:rPr>
        <w:t>5</w:t>
      </w:r>
      <w:r w:rsidR="002B682F" w:rsidRPr="00DA3BC7">
        <w:rPr>
          <w:sz w:val="20"/>
          <w:szCs w:val="20"/>
        </w:rPr>
        <w:t>）</w:t>
      </w:r>
    </w:p>
    <w:p w:rsidR="00643D0C" w:rsidRDefault="002B682F" w:rsidP="00262DF3">
      <w:pPr>
        <w:overflowPunct w:val="0"/>
        <w:autoSpaceDE w:val="0"/>
        <w:autoSpaceDN w:val="0"/>
        <w:ind w:leftChars="350" w:left="840"/>
        <w:jc w:val="both"/>
      </w:pPr>
      <w:r w:rsidRPr="00DA3BC7">
        <w:rPr>
          <w:rFonts w:hint="eastAsia"/>
        </w:rPr>
        <w:t>三、佛法還說到另一生滅，可稱為大期生滅。</w:t>
      </w:r>
      <w:r w:rsidRPr="00DA3BC7">
        <w:t>眾生的生死流轉，是無始來就生而滅</w:t>
      </w:r>
      <w:r w:rsidRPr="00DA3BC7">
        <w:rPr>
          <w:rFonts w:hint="eastAsia"/>
        </w:rPr>
        <w:t>、</w:t>
      </w:r>
      <w:r w:rsidRPr="00DA3BC7">
        <w:t>滅而又生的，生滅滅生，構成一生生不已的生存。</w:t>
      </w:r>
    </w:p>
    <w:p w:rsidR="002B682F" w:rsidRPr="00DA3BC7" w:rsidRDefault="002B682F" w:rsidP="00AE3920">
      <w:pPr>
        <w:overflowPunct w:val="0"/>
        <w:autoSpaceDE w:val="0"/>
        <w:autoSpaceDN w:val="0"/>
        <w:spacing w:beforeLines="20"/>
        <w:ind w:leftChars="350" w:left="840"/>
        <w:jc w:val="both"/>
      </w:pPr>
      <w:r w:rsidRPr="00643D0C">
        <w:rPr>
          <w:highlight w:val="yellow"/>
        </w:rPr>
        <w:t>我</w:t>
      </w:r>
      <w:r w:rsidRPr="00DA3BC7">
        <w:t>們知道一念</w:t>
      </w:r>
      <w:r w:rsidRPr="00DA3BC7">
        <w:rPr>
          <w:rFonts w:ascii="新細明體" w:hAnsi="新細明體"/>
        </w:rPr>
        <w:t>──</w:t>
      </w:r>
      <w:r w:rsidRPr="00DA3BC7">
        <w:t>剎那生滅，滅不是沒有了，還繼續地生滅滅生而形成一期的生滅。從此可知一期一期的生死死生，同樣的形成一生生不已的生命之流，都可稱之為</w:t>
      </w:r>
      <w:r w:rsidRPr="00DA3BC7">
        <w:rPr>
          <w:b/>
        </w:rPr>
        <w:t>生</w:t>
      </w:r>
      <w:r w:rsidRPr="00DA3BC7">
        <w:t>。</w:t>
      </w:r>
    </w:p>
    <w:p w:rsidR="002B682F" w:rsidRPr="00DA3BC7" w:rsidRDefault="002B682F" w:rsidP="00262DF3">
      <w:pPr>
        <w:overflowPunct w:val="0"/>
        <w:autoSpaceDE w:val="0"/>
        <w:autoSpaceDN w:val="0"/>
        <w:ind w:leftChars="350" w:left="840"/>
        <w:jc w:val="both"/>
      </w:pPr>
      <w:r w:rsidRPr="00DA3BC7">
        <w:t>到生死解脫的時候，纔名為</w:t>
      </w:r>
      <w:r w:rsidRPr="00DA3BC7">
        <w:rPr>
          <w:b/>
        </w:rPr>
        <w:t>滅</w:t>
      </w:r>
      <w:r w:rsidRPr="00DA3BC7">
        <w:t>。</w:t>
      </w:r>
    </w:p>
    <w:p w:rsidR="002B682F" w:rsidRPr="00DA3BC7" w:rsidRDefault="002B682F" w:rsidP="00AE3920">
      <w:pPr>
        <w:overflowPunct w:val="0"/>
        <w:autoSpaceDE w:val="0"/>
        <w:autoSpaceDN w:val="0"/>
        <w:spacing w:beforeLines="20"/>
        <w:ind w:leftChars="350" w:left="840"/>
        <w:jc w:val="both"/>
        <w:rPr>
          <w:rFonts w:ascii="新細明體" w:hAnsi="新細明體"/>
        </w:rPr>
      </w:pPr>
      <w:r w:rsidRPr="00DA3BC7">
        <w:t>這如緣起法所說的：「</w:t>
      </w:r>
      <w:r w:rsidRPr="00DA3BC7">
        <w:rPr>
          <w:rFonts w:ascii="標楷體" w:eastAsia="標楷體" w:hAnsi="標楷體"/>
        </w:rPr>
        <w:t>此生故彼生</w:t>
      </w:r>
      <w:r w:rsidRPr="00DA3BC7">
        <w:t>」，即是生死的流轉</w:t>
      </w:r>
      <w:r w:rsidRPr="00DA3BC7">
        <w:rPr>
          <w:rFonts w:ascii="新細明體" w:hAnsi="新細明體"/>
        </w:rPr>
        <w:t>──生；</w:t>
      </w:r>
    </w:p>
    <w:p w:rsidR="002B682F" w:rsidRPr="00DA3BC7" w:rsidRDefault="002B682F" w:rsidP="00262DF3">
      <w:pPr>
        <w:overflowPunct w:val="0"/>
        <w:autoSpaceDE w:val="0"/>
        <w:autoSpaceDN w:val="0"/>
        <w:ind w:leftChars="1200" w:left="2880"/>
        <w:jc w:val="both"/>
        <w:rPr>
          <w:rFonts w:ascii="新細明體" w:hAnsi="新細明體"/>
        </w:rPr>
      </w:pPr>
      <w:r w:rsidRPr="00E30BE9">
        <w:rPr>
          <w:rFonts w:ascii="新細明體" w:hAnsi="新細明體"/>
          <w:highlight w:val="yellow"/>
        </w:rPr>
        <w:t>「</w:t>
      </w:r>
      <w:r w:rsidRPr="00586961">
        <w:rPr>
          <w:rFonts w:ascii="標楷體" w:eastAsia="標楷體" w:hAnsi="標楷體"/>
        </w:rPr>
        <w:t>此滅故彼滅</w:t>
      </w:r>
      <w:r w:rsidRPr="00DA3BC7">
        <w:rPr>
          <w:rFonts w:ascii="新細明體" w:hAnsi="新細明體"/>
        </w:rPr>
        <w:t>」，即是流轉的還滅──滅。</w:t>
      </w:r>
    </w:p>
    <w:p w:rsidR="002B682F" w:rsidRPr="00DA3BC7" w:rsidRDefault="002B682F" w:rsidP="00AE3920">
      <w:pPr>
        <w:overflowPunct w:val="0"/>
        <w:autoSpaceDE w:val="0"/>
        <w:autoSpaceDN w:val="0"/>
        <w:spacing w:beforeLines="20"/>
        <w:ind w:leftChars="350" w:left="840"/>
        <w:jc w:val="both"/>
      </w:pPr>
      <w:r w:rsidRPr="00DA3BC7">
        <w:t>剎那</w:t>
      </w:r>
      <w:r w:rsidRPr="00DA3BC7">
        <w:rPr>
          <w:rFonts w:ascii="新細明體" w:hAnsi="新細明體"/>
        </w:rPr>
        <w:t>生滅是深細的</w:t>
      </w:r>
      <w:r w:rsidRPr="00DA3BC7">
        <w:rPr>
          <w:rFonts w:ascii="新細明體" w:hAnsi="新細明體" w:hint="eastAsia"/>
        </w:rPr>
        <w:t>，</w:t>
      </w:r>
      <w:r w:rsidRPr="00DA3BC7">
        <w:rPr>
          <w:rFonts w:ascii="新細明體" w:hAnsi="新細明體"/>
        </w:rPr>
        <w:t>此大期生滅又</w:t>
      </w:r>
      <w:r w:rsidRPr="00DA3BC7">
        <w:t>是極悠遠</w:t>
      </w:r>
      <w:r w:rsidRPr="00DA3BC7">
        <w:rPr>
          <w:rStyle w:val="a6"/>
          <w:rFonts w:ascii="Times New Roman" w:hAnsi="Times New Roman"/>
        </w:rPr>
        <w:footnoteReference w:id="421"/>
      </w:r>
      <w:r w:rsidRPr="00DA3BC7">
        <w:t>的，每非一般人所知。</w:t>
      </w:r>
    </w:p>
    <w:p w:rsidR="002B682F" w:rsidRPr="00DA3BC7" w:rsidRDefault="00F63F7D" w:rsidP="00AE3920">
      <w:pPr>
        <w:overflowPunct w:val="0"/>
        <w:autoSpaceDE w:val="0"/>
        <w:autoSpaceDN w:val="0"/>
        <w:spacing w:beforeLines="30"/>
        <w:ind w:leftChars="200" w:left="480"/>
        <w:jc w:val="both"/>
        <w:rPr>
          <w:b/>
          <w:sz w:val="20"/>
          <w:szCs w:val="20"/>
        </w:rPr>
      </w:pPr>
      <w:r w:rsidRPr="00F63F7D">
        <w:rPr>
          <w:rFonts w:ascii="Times New Roman" w:hAnsi="Times New Roman"/>
          <w:b/>
          <w:color w:val="FF0000"/>
          <w:sz w:val="20"/>
          <w:szCs w:val="20"/>
          <w:highlight w:val="yellow"/>
          <w:bdr w:val="single" w:sz="4" w:space="0" w:color="auto"/>
        </w:rPr>
        <w:t>2</w:t>
      </w:r>
      <w:r w:rsidRPr="00F63F7D">
        <w:rPr>
          <w:b/>
          <w:color w:val="FF0000"/>
          <w:sz w:val="20"/>
          <w:szCs w:val="20"/>
          <w:highlight w:val="yellow"/>
          <w:bdr w:val="single" w:sz="4" w:space="0" w:color="auto"/>
        </w:rPr>
        <w:t>、</w:t>
      </w:r>
      <w:r w:rsidRPr="00F63F7D">
        <w:rPr>
          <w:rFonts w:hint="eastAsia"/>
          <w:b/>
          <w:color w:val="FF0000"/>
          <w:sz w:val="20"/>
          <w:szCs w:val="20"/>
          <w:highlight w:val="yellow"/>
          <w:bdr w:val="single" w:sz="4" w:space="0" w:color="auto"/>
        </w:rPr>
        <w:t>約</w:t>
      </w:r>
      <w:r w:rsidR="002B682F" w:rsidRPr="00F63F7D">
        <w:rPr>
          <w:rFonts w:hint="eastAsia"/>
          <w:b/>
          <w:color w:val="FF0000"/>
          <w:sz w:val="20"/>
          <w:szCs w:val="20"/>
          <w:highlight w:val="yellow"/>
          <w:bdr w:val="single" w:sz="4" w:space="0" w:color="auto"/>
        </w:rPr>
        <w:t>「</w:t>
      </w:r>
      <w:r w:rsidR="002B682F" w:rsidRPr="00F63F7D">
        <w:rPr>
          <w:b/>
          <w:color w:val="FF0000"/>
          <w:sz w:val="20"/>
          <w:szCs w:val="20"/>
          <w:highlight w:val="yellow"/>
          <w:bdr w:val="single" w:sz="4" w:space="0" w:color="auto"/>
        </w:rPr>
        <w:t>有無</w:t>
      </w:r>
      <w:r w:rsidR="002B682F" w:rsidRPr="00F63F7D">
        <w:rPr>
          <w:rFonts w:hint="eastAsia"/>
          <w:b/>
          <w:color w:val="FF0000"/>
          <w:sz w:val="20"/>
          <w:szCs w:val="20"/>
          <w:highlight w:val="yellow"/>
          <w:bdr w:val="single" w:sz="4" w:space="0" w:color="auto"/>
        </w:rPr>
        <w:t>」</w:t>
      </w:r>
      <w:r w:rsidRPr="00F63F7D">
        <w:rPr>
          <w:rFonts w:hint="eastAsia"/>
          <w:b/>
          <w:color w:val="FF0000"/>
          <w:sz w:val="20"/>
          <w:szCs w:val="20"/>
          <w:highlight w:val="yellow"/>
          <w:bdr w:val="single" w:sz="4" w:space="0" w:color="auto"/>
        </w:rPr>
        <w:t>辨</w:t>
      </w:r>
      <w:r w:rsidR="002B682F" w:rsidRPr="00DA3BC7">
        <w:rPr>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hAnsi="Times New Roman"/>
          <w:sz w:val="20"/>
          <w:szCs w:val="20"/>
        </w:rPr>
        <w:t>85</w:t>
      </w:r>
      <w:r w:rsidR="002B682F" w:rsidRPr="00DA3BC7">
        <w:rPr>
          <w:sz w:val="20"/>
          <w:szCs w:val="20"/>
        </w:rPr>
        <w:t>-</w:t>
      </w:r>
      <w:r w:rsidR="002B682F" w:rsidRPr="00DA3BC7">
        <w:rPr>
          <w:rFonts w:ascii="Times New Roman" w:hAnsi="Times New Roman"/>
          <w:sz w:val="20"/>
          <w:szCs w:val="20"/>
        </w:rPr>
        <w:t>87</w:t>
      </w:r>
      <w:r w:rsidR="002B682F" w:rsidRPr="00DA3BC7">
        <w:rPr>
          <w:sz w:val="20"/>
          <w:szCs w:val="20"/>
        </w:rPr>
        <w:t>）</w:t>
      </w:r>
    </w:p>
    <w:p w:rsidR="00F63F7D" w:rsidRPr="00F63F7D" w:rsidRDefault="00F63F7D" w:rsidP="00E30BE9">
      <w:pPr>
        <w:ind w:leftChars="250" w:left="600"/>
        <w:jc w:val="both"/>
        <w:rPr>
          <w:b/>
          <w:color w:val="FF0000"/>
          <w:sz w:val="20"/>
          <w:szCs w:val="20"/>
          <w:highlight w:val="yellow"/>
          <w:bdr w:val="single" w:sz="4" w:space="0" w:color="auto"/>
        </w:rPr>
      </w:pPr>
      <w:r w:rsidRPr="00F63F7D">
        <w:rPr>
          <w:b/>
          <w:color w:val="FF0000"/>
          <w:sz w:val="20"/>
          <w:szCs w:val="20"/>
          <w:highlight w:val="yellow"/>
          <w:bdr w:val="single" w:sz="4" w:space="0" w:color="auto"/>
        </w:rPr>
        <w:t>（</w:t>
      </w:r>
      <w:r w:rsidRPr="00F63F7D">
        <w:rPr>
          <w:rFonts w:ascii="Times New Roman" w:hAnsi="Times New Roman" w:hint="eastAsia"/>
          <w:b/>
          <w:color w:val="FF0000"/>
          <w:sz w:val="20"/>
          <w:szCs w:val="20"/>
          <w:highlight w:val="yellow"/>
          <w:bdr w:val="single" w:sz="4" w:space="0" w:color="auto"/>
        </w:rPr>
        <w:t>1</w:t>
      </w:r>
      <w:r w:rsidRPr="00F63F7D">
        <w:rPr>
          <w:b/>
          <w:color w:val="FF0000"/>
          <w:sz w:val="20"/>
          <w:szCs w:val="20"/>
          <w:highlight w:val="yellow"/>
          <w:bdr w:val="single" w:sz="4" w:space="0" w:color="auto"/>
        </w:rPr>
        <w:t>）</w:t>
      </w:r>
      <w:r w:rsidRPr="00F63F7D">
        <w:rPr>
          <w:rFonts w:hint="eastAsia"/>
          <w:b/>
          <w:color w:val="FF0000"/>
          <w:sz w:val="20"/>
          <w:szCs w:val="20"/>
          <w:highlight w:val="yellow"/>
          <w:bdr w:val="single" w:sz="4" w:space="0" w:color="auto"/>
        </w:rPr>
        <w:t>標舉</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85</w:t>
      </w:r>
      <w:r w:rsidRPr="00DA3BC7">
        <w:rPr>
          <w:sz w:val="20"/>
          <w:szCs w:val="20"/>
        </w:rPr>
        <w:t>）</w:t>
      </w:r>
    </w:p>
    <w:p w:rsidR="002B682F" w:rsidRPr="00DA3BC7" w:rsidRDefault="002B682F" w:rsidP="00E30BE9">
      <w:pPr>
        <w:ind w:leftChars="250" w:left="600"/>
        <w:jc w:val="both"/>
      </w:pPr>
      <w:r w:rsidRPr="00DA3BC7">
        <w:t>更進一步來說與生滅有關係的有與無。</w:t>
      </w:r>
    </w:p>
    <w:p w:rsidR="00F63F7D" w:rsidRDefault="00F63F7D" w:rsidP="00AE3920">
      <w:pPr>
        <w:spacing w:beforeLines="30"/>
        <w:ind w:leftChars="250" w:left="600"/>
        <w:jc w:val="both"/>
        <w:rPr>
          <w:b/>
          <w:color w:val="FF0000"/>
          <w:sz w:val="20"/>
          <w:szCs w:val="20"/>
          <w:bdr w:val="single" w:sz="4" w:space="0" w:color="auto"/>
        </w:rPr>
      </w:pPr>
      <w:r w:rsidRPr="00F63F7D">
        <w:rPr>
          <w:b/>
          <w:color w:val="FF0000"/>
          <w:sz w:val="20"/>
          <w:szCs w:val="20"/>
          <w:highlight w:val="yellow"/>
          <w:bdr w:val="single" w:sz="4" w:space="0" w:color="auto"/>
        </w:rPr>
        <w:t>（</w:t>
      </w:r>
      <w:r w:rsidRPr="00F63F7D">
        <w:rPr>
          <w:rFonts w:ascii="Times New Roman" w:hAnsi="Times New Roman" w:hint="eastAsia"/>
          <w:b/>
          <w:color w:val="FF0000"/>
          <w:sz w:val="20"/>
          <w:szCs w:val="20"/>
          <w:highlight w:val="yellow"/>
          <w:bdr w:val="single" w:sz="4" w:space="0" w:color="auto"/>
        </w:rPr>
        <w:t>2</w:t>
      </w:r>
      <w:r w:rsidRPr="00F63F7D">
        <w:rPr>
          <w:b/>
          <w:color w:val="FF0000"/>
          <w:sz w:val="20"/>
          <w:szCs w:val="20"/>
          <w:highlight w:val="yellow"/>
          <w:bdr w:val="single" w:sz="4" w:space="0" w:color="auto"/>
        </w:rPr>
        <w:t>）</w:t>
      </w:r>
      <w:r w:rsidRPr="00F63F7D">
        <w:rPr>
          <w:rFonts w:hint="eastAsia"/>
          <w:b/>
          <w:color w:val="FF0000"/>
          <w:sz w:val="20"/>
          <w:szCs w:val="20"/>
          <w:highlight w:val="yellow"/>
          <w:bdr w:val="single" w:sz="4" w:space="0" w:color="auto"/>
        </w:rPr>
        <w:t>闡明</w:t>
      </w:r>
      <w:r w:rsidRPr="00DA3BC7">
        <w:rPr>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85</w:t>
      </w:r>
      <w:r w:rsidRPr="00DA3BC7">
        <w:rPr>
          <w:sz w:val="20"/>
          <w:szCs w:val="20"/>
        </w:rPr>
        <w:t>-</w:t>
      </w:r>
      <w:r w:rsidRPr="00DA3BC7">
        <w:rPr>
          <w:rFonts w:ascii="Times New Roman" w:hAnsi="Times New Roman"/>
          <w:sz w:val="20"/>
          <w:szCs w:val="20"/>
        </w:rPr>
        <w:t>8</w:t>
      </w:r>
      <w:r>
        <w:rPr>
          <w:rFonts w:ascii="Times New Roman" w:hAnsi="Times New Roman" w:hint="eastAsia"/>
          <w:sz w:val="20"/>
          <w:szCs w:val="20"/>
        </w:rPr>
        <w:t>6</w:t>
      </w:r>
      <w:r w:rsidRPr="00DA3BC7">
        <w:rPr>
          <w:sz w:val="20"/>
          <w:szCs w:val="20"/>
        </w:rPr>
        <w:t>）</w:t>
      </w:r>
    </w:p>
    <w:p w:rsidR="002B682F" w:rsidRPr="00DA3BC7" w:rsidRDefault="00F63F7D" w:rsidP="00E30BE9">
      <w:pPr>
        <w:ind w:leftChars="300" w:left="720"/>
        <w:jc w:val="both"/>
        <w:rPr>
          <w:sz w:val="20"/>
          <w:szCs w:val="20"/>
        </w:rPr>
      </w:pPr>
      <w:r w:rsidRPr="00F63F7D">
        <w:rPr>
          <w:rFonts w:ascii="Times New Roman" w:hAnsi="Times New Roman" w:hint="eastAsia"/>
          <w:b/>
          <w:color w:val="FF0000"/>
          <w:sz w:val="20"/>
          <w:szCs w:val="20"/>
          <w:highlight w:val="yellow"/>
          <w:bdr w:val="single" w:sz="4" w:space="0" w:color="auto"/>
        </w:rPr>
        <w:t>A</w:t>
      </w:r>
      <w:r w:rsidR="002B682F" w:rsidRPr="00F63F7D">
        <w:rPr>
          <w:b/>
          <w:color w:val="FF0000"/>
          <w:sz w:val="20"/>
          <w:szCs w:val="20"/>
          <w:highlight w:val="yellow"/>
          <w:bdr w:val="single" w:sz="4" w:space="0" w:color="auto"/>
        </w:rPr>
        <w:t>、</w:t>
      </w:r>
      <w:r>
        <w:rPr>
          <w:rFonts w:hint="eastAsia"/>
          <w:b/>
          <w:color w:val="FF0000"/>
          <w:sz w:val="20"/>
          <w:szCs w:val="20"/>
          <w:highlight w:val="yellow"/>
          <w:bdr w:val="single" w:sz="4" w:space="0" w:color="auto"/>
        </w:rPr>
        <w:t>釋義</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85</w:t>
      </w:r>
      <w:r w:rsidR="002B682F" w:rsidRPr="00DA3BC7">
        <w:rPr>
          <w:sz w:val="20"/>
          <w:szCs w:val="20"/>
        </w:rPr>
        <w:t>）</w:t>
      </w:r>
    </w:p>
    <w:p w:rsidR="002B682F" w:rsidRPr="00DA3BC7" w:rsidRDefault="002B682F" w:rsidP="00E30BE9">
      <w:pPr>
        <w:overflowPunct w:val="0"/>
        <w:autoSpaceDE w:val="0"/>
        <w:autoSpaceDN w:val="0"/>
        <w:ind w:leftChars="300" w:left="720"/>
        <w:jc w:val="both"/>
      </w:pPr>
      <w:r w:rsidRPr="00DA3BC7">
        <w:t>「</w:t>
      </w:r>
      <w:r w:rsidRPr="00586961">
        <w:rPr>
          <w:u w:val="wave" w:color="C00000"/>
        </w:rPr>
        <w:t>有</w:t>
      </w:r>
      <w:r w:rsidRPr="00DA3BC7">
        <w:t>」與「</w:t>
      </w:r>
      <w:r w:rsidRPr="00586961">
        <w:rPr>
          <w:u w:val="wave" w:color="C00000"/>
        </w:rPr>
        <w:t>無</w:t>
      </w:r>
      <w:r w:rsidRPr="00DA3BC7">
        <w:t>」，依現代的術語說，即</w:t>
      </w:r>
      <w:r w:rsidRPr="00586961">
        <w:rPr>
          <w:u w:val="wave" w:color="C00000"/>
        </w:rPr>
        <w:t>存在</w:t>
      </w:r>
      <w:r w:rsidRPr="00DA3BC7">
        <w:t>與</w:t>
      </w:r>
      <w:r w:rsidR="00586961" w:rsidRPr="00586961">
        <w:rPr>
          <w:u w:val="wave" w:color="C00000"/>
        </w:rPr>
        <w:t>不存在</w:t>
      </w:r>
      <w:r w:rsidRPr="00DA3BC7">
        <w:t>。</w:t>
      </w:r>
    </w:p>
    <w:p w:rsidR="002B682F" w:rsidRPr="00DA3BC7" w:rsidRDefault="002B682F" w:rsidP="00E30BE9">
      <w:pPr>
        <w:overflowPunct w:val="0"/>
        <w:autoSpaceDE w:val="0"/>
        <w:autoSpaceDN w:val="0"/>
        <w:ind w:leftChars="300" w:left="720"/>
        <w:jc w:val="both"/>
      </w:pPr>
      <w:r w:rsidRPr="00DA3BC7">
        <w:rPr>
          <w:b/>
        </w:rPr>
        <w:t>此有無與生滅，徹底的說，有著同一的意義。</w:t>
      </w:r>
      <w:r w:rsidRPr="00DA3BC7">
        <w:t>如緣起法說：「</w:t>
      </w:r>
      <w:r w:rsidRPr="00DA3BC7">
        <w:rPr>
          <w:rFonts w:ascii="標楷體" w:eastAsia="標楷體" w:hAnsi="標楷體"/>
        </w:rPr>
        <w:t>此有故彼</w:t>
      </w:r>
      <w:r w:rsidRPr="00DA3BC7">
        <w:rPr>
          <w:rFonts w:ascii="標楷體" w:eastAsia="標楷體" w:hAnsi="標楷體"/>
        </w:rPr>
        <w:lastRenderedPageBreak/>
        <w:t>有，此生故彼生；此無故彼無，此滅故彼滅</w:t>
      </w:r>
      <w:r w:rsidRPr="00DA3BC7">
        <w:t>。」</w:t>
      </w:r>
      <w:r w:rsidRPr="00DA3BC7">
        <w:rPr>
          <w:rStyle w:val="a6"/>
          <w:rFonts w:ascii="Times New Roman" w:hAnsi="Times New Roman"/>
        </w:rPr>
        <w:footnoteReference w:id="422"/>
      </w:r>
      <w:r w:rsidRPr="00DA3BC7">
        <w:t>這可知</w:t>
      </w:r>
      <w:r w:rsidRPr="00586961">
        <w:rPr>
          <w:b/>
          <w:u w:val="wave" w:color="C00000"/>
        </w:rPr>
        <w:t>有</w:t>
      </w:r>
      <w:r w:rsidRPr="00DA3BC7">
        <w:t>與</w:t>
      </w:r>
      <w:r w:rsidRPr="00586961">
        <w:rPr>
          <w:b/>
          <w:u w:val="wave" w:color="C00000"/>
        </w:rPr>
        <w:t>生</w:t>
      </w:r>
      <w:r w:rsidRPr="00DA3BC7">
        <w:t>為一類，</w:t>
      </w:r>
      <w:r w:rsidRPr="00586961">
        <w:rPr>
          <w:b/>
          <w:u w:val="wave" w:color="C00000"/>
        </w:rPr>
        <w:t>無</w:t>
      </w:r>
      <w:r w:rsidRPr="00DA3BC7">
        <w:t>與</w:t>
      </w:r>
      <w:r w:rsidRPr="00586961">
        <w:rPr>
          <w:b/>
          <w:u w:val="wave" w:color="C00000"/>
        </w:rPr>
        <w:t>滅</w:t>
      </w:r>
      <w:r w:rsidRPr="00DA3BC7">
        <w:t>又是一類。</w:t>
      </w:r>
    </w:p>
    <w:p w:rsidR="002B682F" w:rsidRPr="00DA3BC7" w:rsidRDefault="00F63F7D" w:rsidP="00AE3920">
      <w:pPr>
        <w:spacing w:beforeLines="30"/>
        <w:ind w:leftChars="300" w:left="720"/>
        <w:jc w:val="both"/>
        <w:rPr>
          <w:sz w:val="20"/>
          <w:szCs w:val="20"/>
        </w:rPr>
      </w:pPr>
      <w:r w:rsidRPr="00F63F7D">
        <w:rPr>
          <w:rFonts w:ascii="Times New Roman" w:hAnsi="Times New Roman" w:hint="eastAsia"/>
          <w:b/>
          <w:color w:val="FF0000"/>
          <w:sz w:val="20"/>
          <w:szCs w:val="20"/>
          <w:highlight w:val="yellow"/>
          <w:bdr w:val="single" w:sz="4" w:space="0" w:color="auto"/>
        </w:rPr>
        <w:t>B</w:t>
      </w:r>
      <w:r w:rsidRPr="00F63F7D">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破執</w:t>
      </w:r>
      <w:r w:rsidR="002B682F" w:rsidRPr="00DA3BC7">
        <w:rPr>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hAnsi="Times New Roman"/>
          <w:sz w:val="20"/>
          <w:szCs w:val="20"/>
        </w:rPr>
        <w:t>85</w:t>
      </w:r>
      <w:r w:rsidR="002B682F" w:rsidRPr="00DA3BC7">
        <w:rPr>
          <w:sz w:val="20"/>
          <w:szCs w:val="20"/>
        </w:rPr>
        <w:t>-</w:t>
      </w:r>
      <w:r w:rsidR="002B682F" w:rsidRPr="00DA3BC7">
        <w:rPr>
          <w:rFonts w:ascii="Times New Roman" w:hAnsi="Times New Roman"/>
          <w:sz w:val="20"/>
          <w:szCs w:val="20"/>
        </w:rPr>
        <w:t>86</w:t>
      </w:r>
      <w:r w:rsidR="002B682F" w:rsidRPr="00DA3BC7">
        <w:rPr>
          <w:sz w:val="20"/>
          <w:szCs w:val="20"/>
        </w:rPr>
        <w:t>）</w:t>
      </w:r>
    </w:p>
    <w:p w:rsidR="002B682F" w:rsidRDefault="002B682F" w:rsidP="00E30BE9">
      <w:pPr>
        <w:ind w:leftChars="350" w:left="840"/>
        <w:jc w:val="both"/>
        <w:rPr>
          <w:sz w:val="20"/>
          <w:szCs w:val="20"/>
        </w:rPr>
      </w:pPr>
      <w:r w:rsidRPr="00F63F7D">
        <w:rPr>
          <w:b/>
          <w:color w:val="FF0000"/>
          <w:sz w:val="20"/>
          <w:szCs w:val="20"/>
          <w:highlight w:val="yellow"/>
          <w:bdr w:val="single" w:sz="4" w:space="0" w:color="auto"/>
        </w:rPr>
        <w:t>（</w:t>
      </w:r>
      <w:r w:rsidR="00F63F7D" w:rsidRPr="00F63F7D">
        <w:rPr>
          <w:rFonts w:ascii="Times New Roman" w:hAnsi="Times New Roman" w:hint="eastAsia"/>
          <w:b/>
          <w:color w:val="FF0000"/>
          <w:sz w:val="20"/>
          <w:szCs w:val="20"/>
          <w:highlight w:val="yellow"/>
          <w:bdr w:val="single" w:sz="4" w:space="0" w:color="auto"/>
        </w:rPr>
        <w:t>A</w:t>
      </w:r>
      <w:r w:rsidRPr="00F63F7D">
        <w:rPr>
          <w:b/>
          <w:color w:val="FF0000"/>
          <w:sz w:val="20"/>
          <w:szCs w:val="20"/>
          <w:highlight w:val="yellow"/>
          <w:bdr w:val="single" w:sz="4" w:space="0" w:color="auto"/>
        </w:rPr>
        <w:t>）</w:t>
      </w:r>
      <w:r w:rsidR="00F63F7D" w:rsidRPr="00F63F7D">
        <w:rPr>
          <w:rFonts w:hint="eastAsia"/>
          <w:b/>
          <w:color w:val="FF0000"/>
          <w:sz w:val="20"/>
          <w:szCs w:val="20"/>
          <w:highlight w:val="yellow"/>
          <w:bdr w:val="single" w:sz="4" w:space="0" w:color="auto"/>
        </w:rPr>
        <w:t>破「</w:t>
      </w:r>
      <w:r w:rsidRPr="00F63F7D">
        <w:rPr>
          <w:b/>
          <w:color w:val="FF0000"/>
          <w:sz w:val="20"/>
          <w:szCs w:val="20"/>
          <w:highlight w:val="yellow"/>
          <w:bdr w:val="single" w:sz="4" w:space="0" w:color="auto"/>
        </w:rPr>
        <w:t>有無</w:t>
      </w:r>
      <w:r w:rsidR="00F63F7D" w:rsidRPr="00F63F7D">
        <w:rPr>
          <w:rFonts w:hint="eastAsia"/>
          <w:b/>
          <w:color w:val="FF0000"/>
          <w:sz w:val="20"/>
          <w:szCs w:val="20"/>
          <w:highlight w:val="yellow"/>
          <w:bdr w:val="single" w:sz="4" w:space="0" w:color="auto"/>
        </w:rPr>
        <w:t>實在論」</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8</w:t>
      </w:r>
      <w:r w:rsidRPr="00DA3BC7">
        <w:rPr>
          <w:rFonts w:ascii="Times New Roman" w:hAnsi="Times New Roman" w:hint="eastAsia"/>
          <w:sz w:val="20"/>
          <w:szCs w:val="20"/>
        </w:rPr>
        <w:t>5</w:t>
      </w:r>
      <w:r w:rsidRPr="00DA3BC7">
        <w:rPr>
          <w:sz w:val="20"/>
          <w:szCs w:val="20"/>
        </w:rPr>
        <w:t>）</w:t>
      </w:r>
    </w:p>
    <w:p w:rsidR="00F63F7D" w:rsidRPr="00F63F7D" w:rsidRDefault="00F63F7D" w:rsidP="00E30BE9">
      <w:pPr>
        <w:ind w:leftChars="400" w:left="960"/>
        <w:jc w:val="both"/>
        <w:rPr>
          <w:rFonts w:ascii="Times New Roman" w:hAnsi="Times New Roman"/>
          <w:b/>
          <w:color w:val="FF0000"/>
          <w:sz w:val="20"/>
          <w:szCs w:val="20"/>
          <w:highlight w:val="yellow"/>
        </w:rPr>
      </w:pPr>
      <w:r w:rsidRPr="00F63F7D">
        <w:rPr>
          <w:rFonts w:ascii="Times New Roman" w:hAnsi="Times New Roman" w:hint="eastAsia"/>
          <w:b/>
          <w:color w:val="FF0000"/>
          <w:sz w:val="20"/>
          <w:szCs w:val="20"/>
          <w:highlight w:val="yellow"/>
          <w:bdr w:val="single" w:sz="4" w:space="0" w:color="auto"/>
        </w:rPr>
        <w:t>a</w:t>
      </w:r>
      <w:r w:rsidRPr="00F63F7D">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述謬見</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8</w:t>
      </w:r>
      <w:r w:rsidRPr="00DA3BC7">
        <w:rPr>
          <w:rFonts w:ascii="Times New Roman" w:hAnsi="Times New Roman" w:hint="eastAsia"/>
          <w:sz w:val="20"/>
          <w:szCs w:val="20"/>
        </w:rPr>
        <w:t>5</w:t>
      </w:r>
      <w:r w:rsidRPr="00DA3BC7">
        <w:rPr>
          <w:sz w:val="20"/>
          <w:szCs w:val="20"/>
        </w:rPr>
        <w:t>）</w:t>
      </w:r>
    </w:p>
    <w:p w:rsidR="002B682F" w:rsidRPr="00DA3BC7" w:rsidRDefault="002B682F" w:rsidP="00E30BE9">
      <w:pPr>
        <w:ind w:leftChars="400" w:left="960"/>
        <w:jc w:val="both"/>
      </w:pPr>
      <w:r w:rsidRPr="00DA3BC7">
        <w:rPr>
          <w:b/>
        </w:rPr>
        <w:t>外道及一般人</w:t>
      </w:r>
      <w:r w:rsidRPr="00DA3BC7">
        <w:t>，每以為有即是實有，無即實無，即什麼都沒有了。</w:t>
      </w:r>
    </w:p>
    <w:p w:rsidR="002B682F" w:rsidRPr="00DA3BC7" w:rsidRDefault="002B682F" w:rsidP="00E30BE9">
      <w:pPr>
        <w:ind w:leftChars="400" w:left="960"/>
        <w:jc w:val="both"/>
      </w:pPr>
      <w:r w:rsidRPr="00DA3BC7">
        <w:t>這是極浮淺</w:t>
      </w:r>
      <w:r w:rsidRPr="00DA3BC7">
        <w:rPr>
          <w:rStyle w:val="a6"/>
          <w:rFonts w:ascii="Times New Roman" w:hAnsi="Times New Roman"/>
        </w:rPr>
        <w:footnoteReference w:id="423"/>
      </w:r>
      <w:r w:rsidRPr="00DA3BC7">
        <w:t>的見解。此一見解，即破壞因果相</w:t>
      </w:r>
      <w:r w:rsidRPr="00DA3BC7">
        <w:rPr>
          <w:rFonts w:ascii="新細明體" w:hAnsi="新細明體"/>
        </w:rPr>
        <w:t>──</w:t>
      </w:r>
      <w:r w:rsidRPr="00DA3BC7">
        <w:t>和合與相續。</w:t>
      </w:r>
    </w:p>
    <w:p w:rsidR="002B682F" w:rsidRPr="00DA3BC7" w:rsidRDefault="00F63F7D" w:rsidP="00AE3920">
      <w:pPr>
        <w:spacing w:beforeLines="30"/>
        <w:ind w:leftChars="400" w:left="960"/>
        <w:jc w:val="both"/>
        <w:rPr>
          <w:b/>
          <w:sz w:val="20"/>
          <w:szCs w:val="20"/>
          <w:bdr w:val="single" w:sz="4" w:space="0" w:color="auto"/>
        </w:rPr>
      </w:pPr>
      <w:r w:rsidRPr="00F63F7D">
        <w:rPr>
          <w:rFonts w:ascii="Times New Roman" w:hAnsi="Times New Roman" w:hint="eastAsia"/>
          <w:b/>
          <w:color w:val="FF0000"/>
          <w:sz w:val="20"/>
          <w:szCs w:val="20"/>
          <w:highlight w:val="yellow"/>
          <w:bdr w:val="single" w:sz="4" w:space="0" w:color="auto"/>
        </w:rPr>
        <w:t>b</w:t>
      </w:r>
      <w:r w:rsidRPr="00F63F7D">
        <w:rPr>
          <w:rFonts w:ascii="Times New Roman" w:hAnsi="Times New Roman" w:hint="eastAsia"/>
          <w:b/>
          <w:color w:val="FF0000"/>
          <w:sz w:val="20"/>
          <w:szCs w:val="20"/>
          <w:highlight w:val="yellow"/>
          <w:bdr w:val="single" w:sz="4" w:space="0" w:color="auto"/>
        </w:rPr>
        <w:t>、評過非</w:t>
      </w:r>
      <w:r w:rsidR="002B682F" w:rsidRPr="00DA3BC7">
        <w:rPr>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hAnsi="Times New Roman"/>
          <w:sz w:val="20"/>
          <w:szCs w:val="20"/>
        </w:rPr>
        <w:t>85</w:t>
      </w:r>
      <w:r w:rsidR="002B682F" w:rsidRPr="00DA3BC7">
        <w:rPr>
          <w:sz w:val="20"/>
          <w:szCs w:val="20"/>
        </w:rPr>
        <w:t>-</w:t>
      </w:r>
      <w:r w:rsidR="002B682F" w:rsidRPr="00DA3BC7">
        <w:rPr>
          <w:rFonts w:ascii="Times New Roman" w:hAnsi="Times New Roman"/>
          <w:sz w:val="20"/>
          <w:szCs w:val="20"/>
        </w:rPr>
        <w:t>86</w:t>
      </w:r>
      <w:r w:rsidR="002B682F" w:rsidRPr="00DA3BC7">
        <w:rPr>
          <w:sz w:val="20"/>
          <w:szCs w:val="20"/>
        </w:rPr>
        <w:t>）</w:t>
      </w:r>
    </w:p>
    <w:p w:rsidR="002B682F" w:rsidRPr="00DA3BC7" w:rsidRDefault="002B682F" w:rsidP="00E30BE9">
      <w:pPr>
        <w:ind w:leftChars="400" w:left="960"/>
        <w:jc w:val="both"/>
      </w:pPr>
      <w:r w:rsidRPr="00DA3BC7">
        <w:rPr>
          <w:b/>
        </w:rPr>
        <w:t>佛法</w:t>
      </w:r>
      <w:r w:rsidRPr="00DA3BC7">
        <w:t>徹底反對這樣的見解，稱之為有見、無見。</w:t>
      </w:r>
      <w:r w:rsidRPr="00DA3BC7">
        <w:rPr>
          <w:b/>
        </w:rPr>
        <w:t>這有見、無見，佛法以生滅來否定它</w:t>
      </w:r>
      <w:r w:rsidRPr="00DA3BC7">
        <w:rPr>
          <w:rFonts w:hint="eastAsia"/>
          <w:b/>
        </w:rPr>
        <w:t>、</w:t>
      </w:r>
      <w:r w:rsidRPr="00DA3BC7">
        <w:rPr>
          <w:b/>
        </w:rPr>
        <w:t>代替它</w:t>
      </w:r>
      <w:r w:rsidRPr="00DA3BC7">
        <w:t>。一切法之所以有，所以無，不過是因緣和合與離散的推移；存在與不存在，不外乎諸法緣生緣滅的現象。即一切法為新新非故，息息流變的有為諸行，從不斷地生滅無常觀，吐棄</w:t>
      </w:r>
      <w:r w:rsidRPr="00DA3BC7">
        <w:rPr>
          <w:rStyle w:val="a6"/>
          <w:rFonts w:ascii="Times New Roman" w:hAnsi="Times New Roman"/>
        </w:rPr>
        <w:footnoteReference w:id="424"/>
      </w:r>
      <w:r w:rsidRPr="00DA3BC7">
        <w:t>了有即實有</w:t>
      </w:r>
      <w:r w:rsidRPr="00DA3BC7">
        <w:rPr>
          <w:rFonts w:hint="eastAsia"/>
        </w:rPr>
        <w:t>、</w:t>
      </w:r>
      <w:r w:rsidRPr="00DA3BC7">
        <w:t>無即實無</w:t>
      </w:r>
      <w:r w:rsidRPr="00DA3BC7">
        <w:rPr>
          <w:rFonts w:hint="eastAsia"/>
        </w:rPr>
        <w:t>，</w:t>
      </w:r>
      <w:r w:rsidRPr="00DA3BC7">
        <w:t>或有者不可無</w:t>
      </w:r>
      <w:r w:rsidRPr="00DA3BC7">
        <w:rPr>
          <w:rFonts w:hint="eastAsia"/>
        </w:rPr>
        <w:t>、</w:t>
      </w:r>
      <w:r w:rsidRPr="00DA3BC7">
        <w:t>無者不可有的邪見。</w:t>
      </w:r>
    </w:p>
    <w:p w:rsidR="002B682F" w:rsidRPr="00DA3BC7" w:rsidRDefault="00F63F7D" w:rsidP="00AE3920">
      <w:pPr>
        <w:overflowPunct w:val="0"/>
        <w:autoSpaceDE w:val="0"/>
        <w:autoSpaceDN w:val="0"/>
        <w:spacing w:beforeLines="30"/>
        <w:ind w:leftChars="350" w:left="840"/>
        <w:jc w:val="both"/>
        <w:rPr>
          <w:b/>
          <w:sz w:val="20"/>
          <w:szCs w:val="20"/>
        </w:rPr>
      </w:pPr>
      <w:r w:rsidRPr="00F63F7D">
        <w:rPr>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B</w:t>
      </w:r>
      <w:r w:rsidRPr="00F63F7D">
        <w:rPr>
          <w:b/>
          <w:color w:val="FF0000"/>
          <w:sz w:val="20"/>
          <w:szCs w:val="20"/>
          <w:highlight w:val="yellow"/>
          <w:bdr w:val="single" w:sz="4" w:space="0" w:color="auto"/>
        </w:rPr>
        <w:t>）</w:t>
      </w:r>
      <w:r w:rsidRPr="00F63F7D">
        <w:rPr>
          <w:rFonts w:hint="eastAsia"/>
          <w:b/>
          <w:color w:val="FF0000"/>
          <w:sz w:val="20"/>
          <w:szCs w:val="20"/>
          <w:highlight w:val="yellow"/>
          <w:bdr w:val="single" w:sz="4" w:space="0" w:color="auto"/>
        </w:rPr>
        <w:t>破「</w:t>
      </w:r>
      <w:r>
        <w:rPr>
          <w:rFonts w:hint="eastAsia"/>
          <w:b/>
          <w:color w:val="FF0000"/>
          <w:sz w:val="20"/>
          <w:szCs w:val="20"/>
          <w:highlight w:val="yellow"/>
          <w:bdr w:val="single" w:sz="4" w:space="0" w:color="auto"/>
        </w:rPr>
        <w:t>因中有果</w:t>
      </w:r>
      <w:r w:rsidRPr="00F63F7D">
        <w:rPr>
          <w:rFonts w:hint="eastAsia"/>
          <w:b/>
          <w:color w:val="FF0000"/>
          <w:sz w:val="20"/>
          <w:szCs w:val="20"/>
          <w:highlight w:val="yellow"/>
          <w:bdr w:val="single" w:sz="4" w:space="0" w:color="auto"/>
        </w:rPr>
        <w:t>論」</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86</w:t>
      </w:r>
      <w:r w:rsidR="002B682F" w:rsidRPr="00DA3BC7">
        <w:rPr>
          <w:sz w:val="20"/>
          <w:szCs w:val="20"/>
        </w:rPr>
        <w:t>）</w:t>
      </w:r>
    </w:p>
    <w:p w:rsidR="002B682F" w:rsidRPr="00DA3BC7" w:rsidRDefault="00F63F7D" w:rsidP="00E30BE9">
      <w:pPr>
        <w:ind w:leftChars="400" w:left="960"/>
        <w:jc w:val="both"/>
        <w:rPr>
          <w:b/>
          <w:sz w:val="20"/>
          <w:szCs w:val="20"/>
          <w:bdr w:val="single" w:sz="4" w:space="0" w:color="auto"/>
        </w:rPr>
      </w:pPr>
      <w:r w:rsidRPr="00F63F7D">
        <w:rPr>
          <w:rFonts w:ascii="Times New Roman" w:hAnsi="Times New Roman" w:hint="eastAsia"/>
          <w:b/>
          <w:color w:val="FF0000"/>
          <w:sz w:val="20"/>
          <w:szCs w:val="20"/>
          <w:highlight w:val="yellow"/>
          <w:bdr w:val="single" w:sz="4" w:space="0" w:color="auto"/>
        </w:rPr>
        <w:t>a</w:t>
      </w:r>
      <w:r w:rsidRPr="00F63F7D">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述謬見</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86</w:t>
      </w:r>
      <w:r w:rsidR="002B682F" w:rsidRPr="00DA3BC7">
        <w:rPr>
          <w:sz w:val="20"/>
          <w:szCs w:val="20"/>
        </w:rPr>
        <w:t>）</w:t>
      </w:r>
    </w:p>
    <w:p w:rsidR="002B682F" w:rsidRPr="00DA3BC7" w:rsidRDefault="002B682F" w:rsidP="00AE3920">
      <w:pPr>
        <w:spacing w:beforeLines="10" w:afterLines="10"/>
        <w:ind w:leftChars="400" w:left="960"/>
        <w:jc w:val="both"/>
      </w:pPr>
      <w:r w:rsidRPr="00DA3BC7">
        <w:rPr>
          <w:b/>
        </w:rPr>
        <w:t>一類世間學者</w:t>
      </w:r>
      <w:r w:rsidRPr="00DA3BC7">
        <w:t>，以抽象的思想方法，以為宇宙根本的存在是有，與有相對的不存在是無；從有到無，從無到有，而後成轉化的生滅。這是以為先</w:t>
      </w:r>
      <w:r w:rsidRPr="00F22420">
        <w:rPr>
          <w:b/>
          <w:u w:val="wave" w:color="C00000"/>
        </w:rPr>
        <w:t>有無</w:t>
      </w:r>
      <w:r w:rsidRPr="00DA3BC7">
        <w:t>而後</w:t>
      </w:r>
      <w:r w:rsidRPr="00F22420">
        <w:rPr>
          <w:b/>
          <w:u w:val="wave" w:color="C00000"/>
        </w:rPr>
        <w:t>生滅</w:t>
      </w:r>
      <w:r w:rsidRPr="00DA3BC7">
        <w:t>的。</w:t>
      </w:r>
    </w:p>
    <w:p w:rsidR="002B682F" w:rsidRPr="00DA3BC7" w:rsidRDefault="00F63F7D" w:rsidP="00AE3920">
      <w:pPr>
        <w:spacing w:beforeLines="30"/>
        <w:ind w:leftChars="400" w:left="960"/>
        <w:jc w:val="both"/>
        <w:rPr>
          <w:b/>
          <w:sz w:val="20"/>
          <w:szCs w:val="20"/>
          <w:bdr w:val="single" w:sz="4" w:space="0" w:color="auto"/>
        </w:rPr>
      </w:pPr>
      <w:r w:rsidRPr="00F63F7D">
        <w:rPr>
          <w:rFonts w:ascii="Times New Roman" w:hAnsi="Times New Roman" w:hint="eastAsia"/>
          <w:b/>
          <w:color w:val="FF0000"/>
          <w:sz w:val="20"/>
          <w:szCs w:val="20"/>
          <w:highlight w:val="yellow"/>
          <w:bdr w:val="single" w:sz="4" w:space="0" w:color="auto"/>
        </w:rPr>
        <w:t>b</w:t>
      </w:r>
      <w:r w:rsidRPr="00F63F7D">
        <w:rPr>
          <w:rFonts w:ascii="Times New Roman" w:hAnsi="Times New Roman" w:hint="eastAsia"/>
          <w:b/>
          <w:color w:val="FF0000"/>
          <w:sz w:val="20"/>
          <w:szCs w:val="20"/>
          <w:highlight w:val="yellow"/>
          <w:bdr w:val="single" w:sz="4" w:space="0" w:color="auto"/>
        </w:rPr>
        <w:t>、評過非</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86</w:t>
      </w:r>
      <w:r w:rsidR="002B682F" w:rsidRPr="00DA3BC7">
        <w:rPr>
          <w:sz w:val="20"/>
          <w:szCs w:val="20"/>
        </w:rPr>
        <w:t>）</w:t>
      </w:r>
    </w:p>
    <w:p w:rsidR="002B682F" w:rsidRPr="00DA3BC7" w:rsidRDefault="002B682F" w:rsidP="00AE3920">
      <w:pPr>
        <w:spacing w:beforeLines="10"/>
        <w:ind w:leftChars="400" w:left="960"/>
        <w:jc w:val="both"/>
      </w:pPr>
      <w:r w:rsidRPr="00DA3BC7">
        <w:rPr>
          <w:b/>
        </w:rPr>
        <w:t>依佛法</w:t>
      </w:r>
      <w:r w:rsidRPr="00DA3BC7">
        <w:t>，凡是有的，必然是生的，離卻因緣和合生，即不會是有的。因此，因中有果論者的「有而未生」，為佛法所破。</w:t>
      </w:r>
    </w:p>
    <w:p w:rsidR="002B682F" w:rsidRPr="00DA3BC7" w:rsidRDefault="002B682F" w:rsidP="00AE3920">
      <w:pPr>
        <w:spacing w:beforeLines="20"/>
        <w:ind w:leftChars="400" w:left="960"/>
        <w:jc w:val="both"/>
      </w:pPr>
      <w:r w:rsidRPr="00DA3BC7">
        <w:t>《中論》〈</w:t>
      </w:r>
      <w:r w:rsidRPr="00DA3BC7">
        <w:rPr>
          <w:rFonts w:ascii="Times New Roman" w:hAnsi="Times New Roman"/>
        </w:rPr>
        <w:t>15</w:t>
      </w:r>
      <w:r w:rsidRPr="00DA3BC7">
        <w:rPr>
          <w:rFonts w:hint="eastAsia"/>
        </w:rPr>
        <w:t xml:space="preserve"> </w:t>
      </w:r>
      <w:r w:rsidRPr="00DA3BC7">
        <w:t>觀有無品〉</w:t>
      </w:r>
      <w:r w:rsidRPr="00DA3BC7">
        <w:rPr>
          <w:rFonts w:hint="eastAsia"/>
        </w:rPr>
        <w:t>說</w:t>
      </w:r>
      <w:r w:rsidRPr="00DA3BC7">
        <w:t>：</w:t>
      </w:r>
      <w:r w:rsidRPr="00DA3BC7">
        <w:rPr>
          <w:rFonts w:hint="eastAsia"/>
        </w:rPr>
        <w:t>「</w:t>
      </w:r>
      <w:r w:rsidRPr="00F22420">
        <w:rPr>
          <w:rFonts w:ascii="標楷體" w:eastAsia="標楷體" w:hAnsi="標楷體"/>
          <w:b/>
          <w:u w:val="wave" w:color="C00000"/>
        </w:rPr>
        <w:t>有</w:t>
      </w:r>
      <w:r w:rsidRPr="00DA3BC7">
        <w:rPr>
          <w:rFonts w:ascii="標楷體" w:eastAsia="標楷體" w:hAnsi="標楷體"/>
        </w:rPr>
        <w:t>若不成者，</w:t>
      </w:r>
      <w:r w:rsidRPr="00F22420">
        <w:rPr>
          <w:rFonts w:ascii="標楷體" w:eastAsia="標楷體" w:hAnsi="標楷體"/>
          <w:b/>
          <w:u w:val="wave" w:color="C00000"/>
        </w:rPr>
        <w:t>無</w:t>
      </w:r>
      <w:r w:rsidRPr="00DA3BC7">
        <w:rPr>
          <w:rFonts w:ascii="標楷體" w:eastAsia="標楷體" w:hAnsi="標楷體"/>
        </w:rPr>
        <w:t>云何可成？因有</w:t>
      </w:r>
      <w:r w:rsidRPr="00F22420">
        <w:rPr>
          <w:rFonts w:ascii="標楷體" w:eastAsia="標楷體" w:hAnsi="標楷體"/>
          <w:b/>
          <w:u w:val="wave" w:color="C00000"/>
        </w:rPr>
        <w:t>有法</w:t>
      </w:r>
      <w:r w:rsidRPr="00DA3BC7">
        <w:rPr>
          <w:rFonts w:ascii="標楷體" w:eastAsia="標楷體" w:hAnsi="標楷體"/>
        </w:rPr>
        <w:t>故，</w:t>
      </w:r>
      <w:r w:rsidRPr="00F22420">
        <w:rPr>
          <w:rFonts w:ascii="標楷體" w:eastAsia="標楷體" w:hAnsi="標楷體"/>
          <w:b/>
          <w:u w:val="wave" w:color="C00000"/>
        </w:rPr>
        <w:t>有</w:t>
      </w:r>
      <w:r w:rsidRPr="00DA3BC7">
        <w:rPr>
          <w:rFonts w:ascii="標楷體" w:eastAsia="標楷體" w:hAnsi="標楷體"/>
        </w:rPr>
        <w:t>壞名為</w:t>
      </w:r>
      <w:r w:rsidRPr="00F22420">
        <w:rPr>
          <w:rFonts w:ascii="標楷體" w:eastAsia="標楷體" w:hAnsi="標楷體"/>
          <w:b/>
          <w:u w:val="wave" w:color="C00000"/>
        </w:rPr>
        <w:t>無</w:t>
      </w:r>
      <w:r w:rsidRPr="00F22420">
        <w:rPr>
          <w:rFonts w:ascii="標楷體" w:eastAsia="標楷體" w:hAnsi="標楷體"/>
        </w:rPr>
        <w:t>。</w:t>
      </w:r>
      <w:r w:rsidRPr="00DA3BC7">
        <w:rPr>
          <w:rFonts w:hint="eastAsia"/>
        </w:rPr>
        <w:t>」</w:t>
      </w:r>
      <w:r w:rsidRPr="00DA3BC7">
        <w:rPr>
          <w:rStyle w:val="a6"/>
          <w:rFonts w:ascii="Times New Roman" w:hAnsi="Times New Roman"/>
        </w:rPr>
        <w:footnoteReference w:id="425"/>
      </w:r>
    </w:p>
    <w:p w:rsidR="002B682F" w:rsidRPr="00DA3BC7" w:rsidRDefault="002B682F" w:rsidP="00E30BE9">
      <w:pPr>
        <w:ind w:leftChars="400" w:left="960"/>
        <w:jc w:val="both"/>
      </w:pPr>
      <w:r w:rsidRPr="00DA3BC7">
        <w:lastRenderedPageBreak/>
        <w:t>這是說：依有法的變化趨於滅，滅即是無</w:t>
      </w:r>
      <w:r w:rsidRPr="00DA3BC7">
        <w:rPr>
          <w:rFonts w:hint="eastAsia"/>
        </w:rPr>
        <w:t>；</w:t>
      </w:r>
      <w:r w:rsidRPr="00DA3BC7">
        <w:t>離了有法的變異即沒有滅，離了滅即沒有無。若滅是存在的滅，不是存在的緣散而滅，那就是連無也無從說起。所以《中論》〈</w:t>
      </w:r>
      <w:r w:rsidRPr="00DA3BC7">
        <w:rPr>
          <w:rFonts w:ascii="Times New Roman" w:hAnsi="Times New Roman"/>
        </w:rPr>
        <w:t>5</w:t>
      </w:r>
      <w:r w:rsidRPr="00DA3BC7">
        <w:rPr>
          <w:rFonts w:hint="eastAsia"/>
        </w:rPr>
        <w:t xml:space="preserve"> </w:t>
      </w:r>
      <w:r w:rsidRPr="00DA3BC7">
        <w:t>觀六種品〉說：「</w:t>
      </w:r>
      <w:r w:rsidRPr="00DA3BC7">
        <w:rPr>
          <w:rFonts w:ascii="標楷體" w:eastAsia="標楷體" w:hAnsi="標楷體"/>
        </w:rPr>
        <w:t>若使無有</w:t>
      </w:r>
      <w:r w:rsidRPr="00F22420">
        <w:rPr>
          <w:rFonts w:ascii="標楷體" w:eastAsia="標楷體" w:hAnsi="標楷體"/>
          <w:b/>
          <w:u w:val="wave" w:color="C00000"/>
        </w:rPr>
        <w:t>有</w:t>
      </w:r>
      <w:r w:rsidRPr="00DA3BC7">
        <w:rPr>
          <w:rFonts w:ascii="標楷體" w:eastAsia="標楷體" w:hAnsi="標楷體"/>
        </w:rPr>
        <w:t>，云何當有</w:t>
      </w:r>
      <w:r w:rsidRPr="00F22420">
        <w:rPr>
          <w:rFonts w:ascii="標楷體" w:eastAsia="標楷體" w:hAnsi="標楷體"/>
          <w:b/>
          <w:u w:val="wave" w:color="C00000"/>
        </w:rPr>
        <w:t>無</w:t>
      </w:r>
      <w:r w:rsidRPr="00F22420">
        <w:rPr>
          <w:rFonts w:ascii="標楷體" w:eastAsia="標楷體" w:hAnsi="標楷體" w:hint="eastAsia"/>
        </w:rPr>
        <w:t>？</w:t>
      </w:r>
      <w:r w:rsidRPr="00DA3BC7">
        <w:t>」</w:t>
      </w:r>
      <w:r w:rsidRPr="00DA3BC7">
        <w:rPr>
          <w:rStyle w:val="a6"/>
          <w:rFonts w:ascii="Times New Roman" w:hAnsi="Times New Roman"/>
        </w:rPr>
        <w:footnoteReference w:id="426"/>
      </w:r>
    </w:p>
    <w:p w:rsidR="002B682F" w:rsidRPr="00DA3BC7" w:rsidRDefault="002B682F" w:rsidP="00E30BE9">
      <w:pPr>
        <w:ind w:leftChars="400" w:left="960"/>
        <w:jc w:val="both"/>
      </w:pPr>
      <w:r w:rsidRPr="00DA3BC7">
        <w:t>這樣，</w:t>
      </w:r>
      <w:r w:rsidRPr="00F22420">
        <w:rPr>
          <w:b/>
          <w:u w:val="wave" w:color="C00000"/>
        </w:rPr>
        <w:t>有</w:t>
      </w:r>
      <w:r w:rsidRPr="00DA3BC7">
        <w:rPr>
          <w:b/>
        </w:rPr>
        <w:t>與</w:t>
      </w:r>
      <w:r w:rsidRPr="00F22420">
        <w:rPr>
          <w:b/>
          <w:u w:val="wave" w:color="C00000"/>
        </w:rPr>
        <w:t>生</w:t>
      </w:r>
      <w:r w:rsidRPr="00DA3BC7">
        <w:rPr>
          <w:b/>
        </w:rPr>
        <w:t>，</w:t>
      </w:r>
      <w:r w:rsidRPr="00F22420">
        <w:rPr>
          <w:b/>
          <w:u w:val="wave" w:color="C00000"/>
        </w:rPr>
        <w:t>滅</w:t>
      </w:r>
      <w:r w:rsidRPr="00DA3BC7">
        <w:rPr>
          <w:b/>
        </w:rPr>
        <w:t>與</w:t>
      </w:r>
      <w:r w:rsidRPr="00F22420">
        <w:rPr>
          <w:b/>
          <w:u w:val="wave" w:color="C00000"/>
        </w:rPr>
        <w:t>無</w:t>
      </w:r>
      <w:r w:rsidRPr="00DA3BC7">
        <w:rPr>
          <w:b/>
        </w:rPr>
        <w:t>，是有著同一的內容。</w:t>
      </w:r>
      <w:r w:rsidRPr="00F22420">
        <w:rPr>
          <w:b/>
          <w:u w:val="wave" w:color="C00000"/>
        </w:rPr>
        <w:t>生起</w:t>
      </w:r>
      <w:r w:rsidRPr="00DA3BC7">
        <w:rPr>
          <w:b/>
        </w:rPr>
        <w:t>就是</w:t>
      </w:r>
      <w:r w:rsidRPr="00F22420">
        <w:rPr>
          <w:b/>
          <w:u w:val="wave" w:color="C00000"/>
        </w:rPr>
        <w:t>有</w:t>
      </w:r>
      <w:r w:rsidRPr="00DA3BC7">
        <w:rPr>
          <w:b/>
        </w:rPr>
        <w:t>，</w:t>
      </w:r>
      <w:r w:rsidRPr="00F22420">
        <w:rPr>
          <w:b/>
          <w:u w:val="wave" w:color="C00000"/>
        </w:rPr>
        <w:t>滅去</w:t>
      </w:r>
      <w:r w:rsidRPr="00DA3BC7">
        <w:rPr>
          <w:b/>
        </w:rPr>
        <w:t>即是</w:t>
      </w:r>
      <w:r w:rsidRPr="00F22420">
        <w:rPr>
          <w:b/>
          <w:u w:val="wave" w:color="C00000"/>
        </w:rPr>
        <w:t>無</w:t>
      </w:r>
      <w:r w:rsidRPr="00DA3BC7">
        <w:t>。</w:t>
      </w:r>
    </w:p>
    <w:p w:rsidR="002B682F" w:rsidRPr="00DA3BC7" w:rsidRDefault="00F63F7D" w:rsidP="00AE3920">
      <w:pPr>
        <w:overflowPunct w:val="0"/>
        <w:autoSpaceDE w:val="0"/>
        <w:autoSpaceDN w:val="0"/>
        <w:spacing w:beforeLines="30"/>
        <w:ind w:leftChars="350" w:left="840"/>
        <w:jc w:val="both"/>
        <w:rPr>
          <w:sz w:val="20"/>
          <w:szCs w:val="20"/>
        </w:rPr>
      </w:pPr>
      <w:r w:rsidRPr="00F63F7D">
        <w:rPr>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C</w:t>
      </w:r>
      <w:r w:rsidRPr="00F63F7D">
        <w:rPr>
          <w:b/>
          <w:color w:val="FF0000"/>
          <w:sz w:val="20"/>
          <w:szCs w:val="20"/>
          <w:highlight w:val="yellow"/>
          <w:bdr w:val="single" w:sz="4" w:space="0" w:color="auto"/>
        </w:rPr>
        <w:t>）</w:t>
      </w:r>
      <w:r w:rsidRPr="00F63F7D">
        <w:rPr>
          <w:rFonts w:hint="eastAsia"/>
          <w:b/>
          <w:color w:val="FF0000"/>
          <w:sz w:val="20"/>
          <w:szCs w:val="20"/>
          <w:highlight w:val="yellow"/>
          <w:bdr w:val="single" w:sz="4" w:space="0" w:color="auto"/>
        </w:rPr>
        <w:t>破「</w:t>
      </w:r>
      <w:r>
        <w:rPr>
          <w:rFonts w:hint="eastAsia"/>
          <w:b/>
          <w:color w:val="FF0000"/>
          <w:sz w:val="20"/>
          <w:szCs w:val="20"/>
          <w:highlight w:val="yellow"/>
          <w:bdr w:val="single" w:sz="4" w:space="0" w:color="auto"/>
        </w:rPr>
        <w:t>體用差別論</w:t>
      </w:r>
      <w:r w:rsidRPr="00F63F7D">
        <w:rPr>
          <w:rFonts w:hint="eastAsia"/>
          <w:b/>
          <w:color w:val="FF0000"/>
          <w:sz w:val="20"/>
          <w:szCs w:val="20"/>
          <w:highlight w:val="yellow"/>
          <w:bdr w:val="single" w:sz="4" w:space="0" w:color="auto"/>
        </w:rPr>
        <w:t>」</w:t>
      </w:r>
      <w:r w:rsidR="002B682F" w:rsidRPr="00DA3BC7">
        <w:rPr>
          <w:sz w:val="20"/>
          <w:szCs w:val="20"/>
        </w:rPr>
        <w:t>（</w:t>
      </w:r>
      <w:r w:rsidR="002B682F" w:rsidRPr="00DA3BC7">
        <w:rPr>
          <w:rFonts w:ascii="Times New Roman" w:hAnsi="Times New Roman"/>
          <w:bCs/>
          <w:sz w:val="20"/>
          <w:szCs w:val="20"/>
        </w:rPr>
        <w:t>pp</w:t>
      </w:r>
      <w:r w:rsidR="002B682F" w:rsidRPr="00DA3BC7">
        <w:rPr>
          <w:bCs/>
          <w:sz w:val="20"/>
          <w:szCs w:val="20"/>
        </w:rPr>
        <w:t>.</w:t>
      </w:r>
      <w:r w:rsidR="002B682F" w:rsidRPr="00DA3BC7">
        <w:rPr>
          <w:rFonts w:ascii="Times New Roman" w:hAnsi="Times New Roman"/>
          <w:bCs/>
          <w:sz w:val="20"/>
          <w:szCs w:val="20"/>
        </w:rPr>
        <w:t>86</w:t>
      </w:r>
      <w:r w:rsidR="002B682F" w:rsidRPr="00DA3BC7">
        <w:rPr>
          <w:bCs/>
          <w:sz w:val="20"/>
          <w:szCs w:val="20"/>
        </w:rPr>
        <w:t>-</w:t>
      </w:r>
      <w:r w:rsidR="002B682F" w:rsidRPr="00DA3BC7">
        <w:rPr>
          <w:rFonts w:ascii="Times New Roman" w:hAnsi="Times New Roman"/>
          <w:bCs/>
          <w:sz w:val="20"/>
          <w:szCs w:val="20"/>
        </w:rPr>
        <w:t>87</w:t>
      </w:r>
      <w:r w:rsidR="002B682F" w:rsidRPr="00DA3BC7">
        <w:rPr>
          <w:sz w:val="20"/>
          <w:szCs w:val="20"/>
        </w:rPr>
        <w:t>）</w:t>
      </w:r>
    </w:p>
    <w:p w:rsidR="002B682F" w:rsidRPr="00DA3BC7" w:rsidRDefault="00F63F7D" w:rsidP="00E30BE9">
      <w:pPr>
        <w:ind w:leftChars="400" w:left="960"/>
        <w:jc w:val="both"/>
        <w:rPr>
          <w:b/>
          <w:sz w:val="20"/>
          <w:szCs w:val="20"/>
          <w:bdr w:val="single" w:sz="4" w:space="0" w:color="auto"/>
        </w:rPr>
      </w:pPr>
      <w:r w:rsidRPr="00F63F7D">
        <w:rPr>
          <w:rFonts w:ascii="Times New Roman" w:hAnsi="Times New Roman" w:hint="eastAsia"/>
          <w:b/>
          <w:color w:val="FF0000"/>
          <w:sz w:val="20"/>
          <w:szCs w:val="20"/>
          <w:highlight w:val="yellow"/>
          <w:bdr w:val="single" w:sz="4" w:space="0" w:color="auto"/>
        </w:rPr>
        <w:t>a</w:t>
      </w:r>
      <w:r w:rsidRPr="00F63F7D">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述謬見</w:t>
      </w:r>
      <w:r w:rsidR="002B682F" w:rsidRPr="00DA3BC7">
        <w:rPr>
          <w:sz w:val="20"/>
          <w:szCs w:val="20"/>
        </w:rPr>
        <w:t>（</w:t>
      </w:r>
      <w:r w:rsidR="002B682F" w:rsidRPr="00DA3BC7">
        <w:rPr>
          <w:rFonts w:ascii="Times New Roman" w:hAnsi="Times New Roman"/>
          <w:bCs/>
          <w:sz w:val="20"/>
          <w:szCs w:val="20"/>
        </w:rPr>
        <w:t>pp</w:t>
      </w:r>
      <w:r w:rsidR="002B682F" w:rsidRPr="00DA3BC7">
        <w:rPr>
          <w:bCs/>
          <w:sz w:val="20"/>
          <w:szCs w:val="20"/>
        </w:rPr>
        <w:t>.</w:t>
      </w:r>
      <w:r w:rsidR="002B682F" w:rsidRPr="00DA3BC7">
        <w:rPr>
          <w:rFonts w:ascii="Times New Roman" w:hAnsi="Times New Roman"/>
          <w:bCs/>
          <w:sz w:val="20"/>
          <w:szCs w:val="20"/>
        </w:rPr>
        <w:t>86</w:t>
      </w:r>
      <w:r w:rsidR="002B682F" w:rsidRPr="00DA3BC7">
        <w:rPr>
          <w:bCs/>
          <w:sz w:val="20"/>
          <w:szCs w:val="20"/>
        </w:rPr>
        <w:t>-</w:t>
      </w:r>
      <w:r w:rsidR="002B682F" w:rsidRPr="00DA3BC7">
        <w:rPr>
          <w:rFonts w:ascii="Times New Roman" w:hAnsi="Times New Roman"/>
          <w:bCs/>
          <w:sz w:val="20"/>
          <w:szCs w:val="20"/>
        </w:rPr>
        <w:t>87</w:t>
      </w:r>
      <w:r w:rsidR="002B682F" w:rsidRPr="00DA3BC7">
        <w:rPr>
          <w:sz w:val="20"/>
          <w:szCs w:val="20"/>
        </w:rPr>
        <w:t>）</w:t>
      </w:r>
    </w:p>
    <w:p w:rsidR="002B682F" w:rsidRPr="00DA3BC7" w:rsidRDefault="002B682F" w:rsidP="00E30BE9">
      <w:pPr>
        <w:ind w:leftChars="400" w:left="960"/>
        <w:jc w:val="both"/>
      </w:pPr>
      <w:r w:rsidRPr="00DA3BC7">
        <w:rPr>
          <w:b/>
        </w:rPr>
        <w:t>一般人</w:t>
      </w:r>
      <w:r w:rsidRPr="00DA3BC7">
        <w:t>對於有與無，每落於</w:t>
      </w:r>
      <w:r w:rsidRPr="00DA3BC7">
        <w:rPr>
          <w:b/>
        </w:rPr>
        <w:t>靜止的觀察</w:t>
      </w:r>
      <w:r w:rsidRPr="00DA3BC7">
        <w:t>，所以都想像</w:t>
      </w:r>
      <w:r w:rsidRPr="00DA3BC7">
        <w:rPr>
          <w:b/>
        </w:rPr>
        <w:t>有與無</w:t>
      </w:r>
      <w:r w:rsidRPr="00DA3BC7">
        <w:t>約</w:t>
      </w:r>
      <w:r w:rsidRPr="00DA3BC7">
        <w:rPr>
          <w:b/>
        </w:rPr>
        <w:t>體性</w:t>
      </w:r>
      <w:r w:rsidRPr="00DA3BC7">
        <w:t>說，以</w:t>
      </w:r>
      <w:r w:rsidRPr="00DA3BC7">
        <w:rPr>
          <w:b/>
        </w:rPr>
        <w:t>生滅</w:t>
      </w:r>
      <w:r w:rsidRPr="00DA3BC7">
        <w:t>為約</w:t>
      </w:r>
      <w:r w:rsidRPr="00DA3BC7">
        <w:rPr>
          <w:b/>
        </w:rPr>
        <w:t>作用</w:t>
      </w:r>
      <w:r w:rsidRPr="00DA3BC7">
        <w:t>說。</w:t>
      </w:r>
    </w:p>
    <w:p w:rsidR="002B682F" w:rsidRPr="00DA3BC7" w:rsidRDefault="00F63F7D" w:rsidP="00AE3920">
      <w:pPr>
        <w:spacing w:beforeLines="30"/>
        <w:ind w:leftChars="400" w:left="960"/>
        <w:jc w:val="both"/>
        <w:rPr>
          <w:b/>
          <w:sz w:val="20"/>
          <w:szCs w:val="20"/>
          <w:bdr w:val="single" w:sz="4" w:space="0" w:color="auto"/>
        </w:rPr>
      </w:pPr>
      <w:r w:rsidRPr="00F63F7D">
        <w:rPr>
          <w:rFonts w:ascii="Times New Roman" w:hAnsi="Times New Roman" w:hint="eastAsia"/>
          <w:b/>
          <w:color w:val="FF0000"/>
          <w:sz w:val="20"/>
          <w:szCs w:val="20"/>
          <w:highlight w:val="yellow"/>
          <w:bdr w:val="single" w:sz="4" w:space="0" w:color="auto"/>
        </w:rPr>
        <w:t>b</w:t>
      </w:r>
      <w:r w:rsidRPr="00F63F7D">
        <w:rPr>
          <w:rFonts w:ascii="Times New Roman" w:hAnsi="Times New Roman" w:hint="eastAsia"/>
          <w:b/>
          <w:color w:val="FF0000"/>
          <w:sz w:val="20"/>
          <w:szCs w:val="20"/>
          <w:highlight w:val="yellow"/>
          <w:bdr w:val="single" w:sz="4" w:space="0" w:color="auto"/>
        </w:rPr>
        <w:t>、評過非</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8</w:t>
      </w:r>
      <w:r w:rsidR="002B682F" w:rsidRPr="00DA3BC7">
        <w:rPr>
          <w:rFonts w:ascii="Times New Roman" w:hAnsi="Times New Roman" w:hint="eastAsia"/>
          <w:sz w:val="20"/>
          <w:szCs w:val="20"/>
        </w:rPr>
        <w:t>7</w:t>
      </w:r>
      <w:r w:rsidR="002B682F" w:rsidRPr="00DA3BC7">
        <w:rPr>
          <w:sz w:val="20"/>
          <w:szCs w:val="20"/>
        </w:rPr>
        <w:t>）</w:t>
      </w:r>
    </w:p>
    <w:p w:rsidR="002B682F" w:rsidRPr="00DA3BC7" w:rsidRDefault="002B682F" w:rsidP="00E30BE9">
      <w:pPr>
        <w:ind w:leftChars="400" w:left="960"/>
        <w:jc w:val="both"/>
      </w:pPr>
      <w:r w:rsidRPr="00DA3BC7">
        <w:rPr>
          <w:b/>
        </w:rPr>
        <w:t>其實</w:t>
      </w:r>
      <w:r w:rsidRPr="00DA3BC7">
        <w:t>，體用如何可以割裂？</w:t>
      </w:r>
      <w:r w:rsidRPr="00DA3BC7">
        <w:rPr>
          <w:b/>
        </w:rPr>
        <w:t>佛法</w:t>
      </w:r>
      <w:r w:rsidRPr="00DA3BC7">
        <w:t>針對這點，</w:t>
      </w:r>
      <w:r w:rsidRPr="00DA3BC7">
        <w:rPr>
          <w:b/>
        </w:rPr>
        <w:t>以生滅為有無</w:t>
      </w:r>
      <w:r w:rsidRPr="00DA3BC7">
        <w:t>，如《中論》〈</w:t>
      </w:r>
      <w:r w:rsidR="000F4FCA" w:rsidRPr="00E61E77">
        <w:rPr>
          <w:rFonts w:ascii="Times New Roman" w:hAnsi="Times New Roman" w:hint="eastAsia"/>
          <w:shd w:val="pct15" w:color="auto" w:fill="FFFFFF"/>
        </w:rPr>
        <w:t>7</w:t>
      </w:r>
      <w:r w:rsidR="000F4FCA">
        <w:rPr>
          <w:rFonts w:ascii="Times New Roman" w:hAnsi="Times New Roman" w:hint="eastAsia"/>
        </w:rPr>
        <w:t xml:space="preserve"> </w:t>
      </w:r>
      <w:r w:rsidRPr="00DA3BC7">
        <w:t>觀三相品〉說。</w:t>
      </w:r>
      <w:r w:rsidR="00F63F7D" w:rsidRPr="00F63F7D">
        <w:rPr>
          <w:rStyle w:val="a6"/>
          <w:rFonts w:ascii="Times New Roman" w:hAnsi="Times New Roman"/>
          <w:highlight w:val="yellow"/>
        </w:rPr>
        <w:footnoteReference w:id="427"/>
      </w:r>
      <w:r w:rsidRPr="00DA3BC7">
        <w:t>中觀者深研生滅到達剎那生滅，所以發揮生滅即有無，確立</w:t>
      </w:r>
      <w:r w:rsidRPr="00DA3BC7">
        <w:rPr>
          <w:b/>
        </w:rPr>
        <w:t>動的宇宙觀</w:t>
      </w:r>
      <w:r w:rsidRPr="00DA3BC7">
        <w:t>。</w:t>
      </w:r>
    </w:p>
    <w:p w:rsidR="002B682F" w:rsidRPr="00DA3BC7" w:rsidRDefault="00F63F7D" w:rsidP="00AE3920">
      <w:pPr>
        <w:overflowPunct w:val="0"/>
        <w:autoSpaceDE w:val="0"/>
        <w:autoSpaceDN w:val="0"/>
        <w:spacing w:beforeLines="30"/>
        <w:ind w:leftChars="300" w:left="720"/>
        <w:jc w:val="both"/>
        <w:rPr>
          <w:b/>
          <w:sz w:val="20"/>
          <w:szCs w:val="20"/>
        </w:rPr>
      </w:pPr>
      <w:r w:rsidRPr="00F63F7D">
        <w:rPr>
          <w:rFonts w:ascii="Times New Roman" w:hAnsi="Times New Roman" w:hint="eastAsia"/>
          <w:b/>
          <w:color w:val="FF0000"/>
          <w:sz w:val="20"/>
          <w:szCs w:val="20"/>
          <w:highlight w:val="yellow"/>
          <w:bdr w:val="single" w:sz="4" w:space="0" w:color="auto"/>
        </w:rPr>
        <w:t>C</w:t>
      </w:r>
      <w:r w:rsidR="002B682F" w:rsidRPr="00F63F7D">
        <w:rPr>
          <w:b/>
          <w:color w:val="FF0000"/>
          <w:sz w:val="20"/>
          <w:szCs w:val="20"/>
          <w:highlight w:val="yellow"/>
          <w:bdr w:val="single" w:sz="4" w:space="0" w:color="auto"/>
        </w:rPr>
        <w:t>、</w:t>
      </w:r>
      <w:r w:rsidRPr="00F63F7D">
        <w:rPr>
          <w:rFonts w:hint="eastAsia"/>
          <w:b/>
          <w:color w:val="FF0000"/>
          <w:sz w:val="20"/>
          <w:szCs w:val="20"/>
          <w:highlight w:val="yellow"/>
          <w:bdr w:val="single" w:sz="4" w:space="0" w:color="auto"/>
        </w:rPr>
        <w:t>論理</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8</w:t>
      </w:r>
      <w:r w:rsidR="002B682F" w:rsidRPr="00DA3BC7">
        <w:rPr>
          <w:rFonts w:ascii="Times New Roman" w:hAnsi="Times New Roman" w:hint="eastAsia"/>
          <w:sz w:val="20"/>
          <w:szCs w:val="20"/>
        </w:rPr>
        <w:t>7</w:t>
      </w:r>
      <w:r w:rsidR="002B682F" w:rsidRPr="00DA3BC7">
        <w:rPr>
          <w:sz w:val="20"/>
          <w:szCs w:val="20"/>
        </w:rPr>
        <w:t>）</w:t>
      </w:r>
    </w:p>
    <w:p w:rsidR="002B682F" w:rsidRPr="00DA3BC7" w:rsidRDefault="002B682F" w:rsidP="00E30BE9">
      <w:pPr>
        <w:ind w:leftChars="300" w:left="720"/>
        <w:jc w:val="both"/>
      </w:pPr>
      <w:r w:rsidRPr="00DA3BC7">
        <w:t>但從念念生滅而觀相續的緣起，那麼有與生，無與滅，也不妨說有相對的前後性。如十二緣起支中說的「</w:t>
      </w:r>
      <w:r w:rsidRPr="00DA3BC7">
        <w:rPr>
          <w:rFonts w:ascii="標楷體" w:eastAsia="標楷體" w:hAnsi="標楷體"/>
        </w:rPr>
        <w:t>取緣有，有緣生</w:t>
      </w:r>
      <w:r w:rsidRPr="00DA3BC7">
        <w:t>」</w:t>
      </w:r>
      <w:r w:rsidRPr="00DA3BC7">
        <w:rPr>
          <w:rStyle w:val="a6"/>
          <w:rFonts w:ascii="Times New Roman" w:hAnsi="Times New Roman"/>
        </w:rPr>
        <w:footnoteReference w:id="428"/>
      </w:r>
      <w:r w:rsidRPr="00DA3BC7">
        <w:t>，即</w:t>
      </w:r>
      <w:r w:rsidRPr="00F22420">
        <w:rPr>
          <w:b/>
          <w:u w:val="wave" w:color="C00000"/>
        </w:rPr>
        <w:t>有</w:t>
      </w:r>
      <w:r w:rsidRPr="00DA3BC7">
        <w:t>在先而</w:t>
      </w:r>
      <w:r w:rsidRPr="00F22420">
        <w:rPr>
          <w:b/>
          <w:u w:val="wave" w:color="C00000"/>
        </w:rPr>
        <w:t>生</w:t>
      </w:r>
      <w:r w:rsidRPr="00DA3BC7">
        <w:t>在後；</w:t>
      </w:r>
      <w:r w:rsidRPr="00F22420">
        <w:rPr>
          <w:b/>
          <w:u w:val="wave" w:color="C00000"/>
        </w:rPr>
        <w:t>有</w:t>
      </w:r>
      <w:r w:rsidRPr="00DA3BC7">
        <w:t>即潛在，</w:t>
      </w:r>
      <w:r w:rsidRPr="00F22420">
        <w:rPr>
          <w:b/>
          <w:u w:val="wave" w:color="C00000"/>
        </w:rPr>
        <w:t>生</w:t>
      </w:r>
      <w:r w:rsidRPr="00DA3BC7">
        <w:t>即實現。</w:t>
      </w:r>
      <w:r w:rsidRPr="00D969B4">
        <w:t>滅了</w:t>
      </w:r>
      <w:r w:rsidRPr="00DA3BC7">
        <w:t>而後歸於</w:t>
      </w:r>
      <w:r w:rsidRPr="00D969B4">
        <w:t>無</w:t>
      </w:r>
      <w:r w:rsidRPr="00DA3BC7">
        <w:t>，也好像</w:t>
      </w:r>
      <w:r w:rsidRPr="00F22420">
        <w:rPr>
          <w:b/>
          <w:u w:val="wave" w:color="C00000"/>
        </w:rPr>
        <w:t>滅</w:t>
      </w:r>
      <w:r w:rsidRPr="00DA3BC7">
        <w:t>在先而</w:t>
      </w:r>
      <w:r w:rsidRPr="00F22420">
        <w:rPr>
          <w:b/>
          <w:u w:val="wave" w:color="C00000"/>
        </w:rPr>
        <w:lastRenderedPageBreak/>
        <w:t>無</w:t>
      </w:r>
      <w:r w:rsidRPr="00DA3BC7">
        <w:t>在後。</w:t>
      </w:r>
    </w:p>
    <w:p w:rsidR="002B682F" w:rsidRPr="00DA3BC7" w:rsidRDefault="002B682F" w:rsidP="00AE3920">
      <w:pPr>
        <w:spacing w:beforeLines="20"/>
        <w:ind w:leftChars="300" w:left="720"/>
        <w:jc w:val="both"/>
      </w:pPr>
      <w:r w:rsidRPr="00DA3BC7">
        <w:t>但這都</w:t>
      </w:r>
      <w:r w:rsidRPr="00DA3BC7">
        <w:rPr>
          <w:b/>
        </w:rPr>
        <w:t>約緣起假名相續的意義說</w:t>
      </w:r>
      <w:r w:rsidRPr="00DA3BC7">
        <w:t>，否則會與外道說相混。</w:t>
      </w:r>
    </w:p>
    <w:p w:rsidR="00F63F7D" w:rsidRPr="00DA3BC7" w:rsidRDefault="00F63F7D" w:rsidP="00AE3920">
      <w:pPr>
        <w:overflowPunct w:val="0"/>
        <w:autoSpaceDE w:val="0"/>
        <w:autoSpaceDN w:val="0"/>
        <w:spacing w:beforeLines="30"/>
        <w:ind w:leftChars="300" w:left="720"/>
        <w:jc w:val="both"/>
        <w:rPr>
          <w:b/>
          <w:sz w:val="20"/>
          <w:szCs w:val="20"/>
        </w:rPr>
      </w:pPr>
      <w:r>
        <w:rPr>
          <w:rFonts w:ascii="Times New Roman" w:hAnsi="Times New Roman" w:hint="eastAsia"/>
          <w:b/>
          <w:color w:val="FF0000"/>
          <w:sz w:val="20"/>
          <w:szCs w:val="20"/>
          <w:highlight w:val="yellow"/>
          <w:bdr w:val="single" w:sz="4" w:space="0" w:color="auto"/>
        </w:rPr>
        <w:t>D</w:t>
      </w:r>
      <w:r w:rsidRPr="00F63F7D">
        <w:rPr>
          <w:b/>
          <w:color w:val="FF0000"/>
          <w:sz w:val="20"/>
          <w:szCs w:val="20"/>
          <w:highlight w:val="yellow"/>
          <w:bdr w:val="single" w:sz="4" w:space="0" w:color="auto"/>
        </w:rPr>
        <w:t>、</w:t>
      </w:r>
      <w:r>
        <w:rPr>
          <w:rFonts w:hint="eastAsia"/>
          <w:b/>
          <w:color w:val="FF0000"/>
          <w:sz w:val="20"/>
          <w:szCs w:val="20"/>
          <w:highlight w:val="yellow"/>
          <w:bdr w:val="single" w:sz="4" w:space="0" w:color="auto"/>
        </w:rPr>
        <w:t>結示</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8</w:t>
      </w:r>
      <w:r w:rsidRPr="00DA3BC7">
        <w:rPr>
          <w:rFonts w:ascii="Times New Roman" w:hAnsi="Times New Roman" w:hint="eastAsia"/>
          <w:sz w:val="20"/>
          <w:szCs w:val="20"/>
        </w:rPr>
        <w:t>7</w:t>
      </w:r>
      <w:r w:rsidRPr="00DA3BC7">
        <w:rPr>
          <w:sz w:val="20"/>
          <w:szCs w:val="20"/>
        </w:rPr>
        <w:t>）</w:t>
      </w:r>
    </w:p>
    <w:p w:rsidR="002B682F" w:rsidRPr="00DA3BC7" w:rsidRDefault="002B682F" w:rsidP="00E30BE9">
      <w:pPr>
        <w:ind w:leftChars="300" w:left="720"/>
        <w:jc w:val="both"/>
      </w:pPr>
      <w:r w:rsidRPr="00DA3BC7">
        <w:t>此生與滅，含攝了哲學上的存在與不存在</w:t>
      </w:r>
      <w:r w:rsidRPr="00DA3BC7">
        <w:rPr>
          <w:rFonts w:hint="eastAsia"/>
        </w:rPr>
        <w:t>、</w:t>
      </w:r>
      <w:r w:rsidRPr="00DA3BC7">
        <w:t>發生與消滅等命題。</w:t>
      </w:r>
    </w:p>
    <w:p w:rsidR="002B682F" w:rsidRPr="00DA3BC7" w:rsidRDefault="00F63F7D" w:rsidP="00AE3920">
      <w:pPr>
        <w:overflowPunct w:val="0"/>
        <w:autoSpaceDE w:val="0"/>
        <w:autoSpaceDN w:val="0"/>
        <w:spacing w:beforeLines="30"/>
        <w:ind w:leftChars="150" w:left="360"/>
        <w:jc w:val="both"/>
        <w:rPr>
          <w:sz w:val="20"/>
          <w:szCs w:val="20"/>
          <w:bdr w:val="single" w:sz="4" w:space="0" w:color="auto"/>
        </w:rPr>
      </w:pPr>
      <w:r w:rsidRPr="00F63F7D">
        <w:rPr>
          <w:b/>
          <w:color w:val="FF0000"/>
          <w:sz w:val="20"/>
          <w:szCs w:val="20"/>
          <w:highlight w:val="yellow"/>
          <w:bdr w:val="single" w:sz="4" w:space="0" w:color="auto"/>
        </w:rPr>
        <w:t>（二）</w:t>
      </w:r>
      <w:r w:rsidR="002B682F" w:rsidRPr="00DA3BC7">
        <w:rPr>
          <w:b/>
          <w:bCs/>
          <w:sz w:val="20"/>
          <w:szCs w:val="20"/>
          <w:bdr w:val="single" w:sz="4" w:space="0" w:color="auto"/>
        </w:rPr>
        <w:t>「常」與「斷」</w:t>
      </w:r>
      <w:r w:rsidR="002B682F" w:rsidRPr="00DA3BC7">
        <w:rPr>
          <w:sz w:val="20"/>
          <w:szCs w:val="20"/>
        </w:rPr>
        <w:t>（</w:t>
      </w:r>
      <w:r w:rsidR="002B682F" w:rsidRPr="00DA3BC7">
        <w:rPr>
          <w:rFonts w:ascii="Times New Roman" w:hAnsi="Times New Roman"/>
          <w:bCs/>
          <w:sz w:val="20"/>
          <w:szCs w:val="20"/>
        </w:rPr>
        <w:t>pp</w:t>
      </w:r>
      <w:r w:rsidR="002B682F" w:rsidRPr="00DA3BC7">
        <w:rPr>
          <w:bCs/>
          <w:sz w:val="20"/>
          <w:szCs w:val="20"/>
        </w:rPr>
        <w:t>.</w:t>
      </w:r>
      <w:r w:rsidR="002B682F" w:rsidRPr="00DA3BC7">
        <w:rPr>
          <w:rFonts w:ascii="Times New Roman" w:hAnsi="Times New Roman"/>
          <w:bCs/>
          <w:sz w:val="20"/>
          <w:szCs w:val="20"/>
        </w:rPr>
        <w:t>87</w:t>
      </w:r>
      <w:r w:rsidR="002B682F" w:rsidRPr="00DA3BC7">
        <w:rPr>
          <w:bCs/>
          <w:sz w:val="20"/>
          <w:szCs w:val="20"/>
        </w:rPr>
        <w:t>-</w:t>
      </w:r>
      <w:r w:rsidR="002B682F" w:rsidRPr="00DA3BC7">
        <w:rPr>
          <w:rFonts w:ascii="Times New Roman" w:hAnsi="Times New Roman"/>
          <w:bCs/>
          <w:sz w:val="20"/>
          <w:szCs w:val="20"/>
        </w:rPr>
        <w:t>89</w:t>
      </w:r>
      <w:r w:rsidR="002B682F" w:rsidRPr="00DA3BC7">
        <w:rPr>
          <w:sz w:val="20"/>
          <w:szCs w:val="20"/>
        </w:rPr>
        <w:t>）</w:t>
      </w:r>
    </w:p>
    <w:p w:rsidR="00D969B4" w:rsidRDefault="00D969B4" w:rsidP="00D969B4">
      <w:pPr>
        <w:ind w:leftChars="150" w:left="360"/>
        <w:jc w:val="both"/>
      </w:pPr>
      <w:r w:rsidRPr="00D969B4">
        <w:rPr>
          <w:rFonts w:hint="eastAsia"/>
          <w:highlight w:val="yellow"/>
        </w:rPr>
        <w:t>再</w:t>
      </w:r>
      <w:r w:rsidRPr="00DA3BC7">
        <w:rPr>
          <w:rFonts w:hint="eastAsia"/>
        </w:rPr>
        <w:t>說斷常</w:t>
      </w:r>
      <w:r w:rsidRPr="00DA3BC7">
        <w:t>：</w:t>
      </w:r>
    </w:p>
    <w:p w:rsidR="002B682F" w:rsidRPr="00DA3BC7" w:rsidRDefault="00F63F7D" w:rsidP="00E30BE9">
      <w:pPr>
        <w:ind w:leftChars="200" w:left="480"/>
        <w:jc w:val="both"/>
        <w:rPr>
          <w:b/>
          <w:sz w:val="20"/>
          <w:szCs w:val="20"/>
          <w:bdr w:val="single" w:sz="4" w:space="0" w:color="auto"/>
        </w:rPr>
      </w:pPr>
      <w:r w:rsidRPr="00F63F7D">
        <w:rPr>
          <w:rFonts w:ascii="Times New Roman" w:hAnsi="Times New Roman" w:hint="eastAsia"/>
          <w:b/>
          <w:color w:val="FF0000"/>
          <w:sz w:val="20"/>
          <w:szCs w:val="20"/>
          <w:highlight w:val="yellow"/>
          <w:bdr w:val="single" w:sz="4" w:space="0" w:color="auto"/>
        </w:rPr>
        <w:t>1</w:t>
      </w:r>
      <w:r w:rsidRPr="00F63F7D">
        <w:rPr>
          <w:rFonts w:ascii="Times New Roman" w:hAnsi="Times New Roman" w:hint="eastAsia"/>
          <w:b/>
          <w:color w:val="FF0000"/>
          <w:sz w:val="20"/>
          <w:szCs w:val="20"/>
          <w:highlight w:val="yellow"/>
          <w:bdr w:val="single" w:sz="4" w:space="0" w:color="auto"/>
        </w:rPr>
        <w:t>、總標</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8</w:t>
      </w:r>
      <w:r w:rsidR="002B682F" w:rsidRPr="00DA3BC7">
        <w:rPr>
          <w:rFonts w:ascii="Times New Roman" w:hAnsi="Times New Roman" w:hint="eastAsia"/>
          <w:sz w:val="20"/>
          <w:szCs w:val="20"/>
        </w:rPr>
        <w:t>7</w:t>
      </w:r>
      <w:r w:rsidR="002B682F" w:rsidRPr="00DA3BC7">
        <w:rPr>
          <w:sz w:val="20"/>
          <w:szCs w:val="20"/>
        </w:rPr>
        <w:t>）</w:t>
      </w:r>
    </w:p>
    <w:p w:rsidR="002B682F" w:rsidRPr="00DA3BC7" w:rsidRDefault="002B682F" w:rsidP="00E30BE9">
      <w:pPr>
        <w:ind w:leftChars="200" w:left="480"/>
        <w:jc w:val="both"/>
        <w:rPr>
          <w:bCs/>
        </w:rPr>
      </w:pPr>
      <w:r w:rsidRPr="00DA3BC7">
        <w:t>佛法中彈斥</w:t>
      </w:r>
      <w:r w:rsidRPr="00DA3BC7">
        <w:rPr>
          <w:rStyle w:val="a6"/>
          <w:rFonts w:ascii="Times New Roman" w:hAnsi="Times New Roman"/>
        </w:rPr>
        <w:footnoteReference w:id="429"/>
      </w:r>
      <w:r w:rsidRPr="00DA3BC7">
        <w:t>外道的</w:t>
      </w:r>
      <w:r w:rsidRPr="00D969B4">
        <w:rPr>
          <w:b/>
          <w:u w:val="wave" w:color="C00000"/>
        </w:rPr>
        <w:t>有無</w:t>
      </w:r>
      <w:r w:rsidRPr="00DA3BC7">
        <w:t>，多用「生滅」</w:t>
      </w:r>
      <w:r w:rsidRPr="00DA3BC7">
        <w:rPr>
          <w:rFonts w:hint="eastAsia"/>
        </w:rPr>
        <w:t>；</w:t>
      </w:r>
      <w:r w:rsidRPr="00DA3BC7">
        <w:rPr>
          <w:bCs/>
        </w:rPr>
        <w:t>而此下斷常、一異、來出，為當時外道戲論的焦點，所以佛法多方的破斥</w:t>
      </w:r>
      <w:r w:rsidRPr="00DA3BC7">
        <w:rPr>
          <w:rFonts w:hint="eastAsia"/>
          <w:bCs/>
        </w:rPr>
        <w:t>它</w:t>
      </w:r>
      <w:r w:rsidRPr="00DA3BC7">
        <w:rPr>
          <w:bCs/>
        </w:rPr>
        <w:t>。</w:t>
      </w:r>
    </w:p>
    <w:p w:rsidR="00F63F7D" w:rsidRDefault="00F63F7D" w:rsidP="00AE3920">
      <w:pPr>
        <w:spacing w:beforeLines="30"/>
        <w:ind w:leftChars="200" w:left="480"/>
        <w:jc w:val="both"/>
        <w:rPr>
          <w:sz w:val="20"/>
          <w:szCs w:val="20"/>
        </w:rPr>
      </w:pPr>
      <w:r>
        <w:rPr>
          <w:rFonts w:ascii="Times New Roman" w:hAnsi="Times New Roman" w:hint="eastAsia"/>
          <w:b/>
          <w:color w:val="FF0000"/>
          <w:sz w:val="20"/>
          <w:szCs w:val="20"/>
          <w:highlight w:val="yellow"/>
          <w:bdr w:val="single" w:sz="4" w:space="0" w:color="auto"/>
        </w:rPr>
        <w:t>2</w:t>
      </w:r>
      <w:r w:rsidRPr="00F63F7D">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別辨</w:t>
      </w:r>
      <w:r w:rsidRPr="00DA3BC7">
        <w:rPr>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87</w:t>
      </w:r>
      <w:r w:rsidRPr="00DA3BC7">
        <w:rPr>
          <w:sz w:val="20"/>
          <w:szCs w:val="20"/>
        </w:rPr>
        <w:t>-</w:t>
      </w:r>
      <w:r w:rsidRPr="00DA3BC7">
        <w:rPr>
          <w:rFonts w:ascii="Times New Roman" w:hAnsi="Times New Roman"/>
          <w:sz w:val="20"/>
          <w:szCs w:val="20"/>
        </w:rPr>
        <w:t>8</w:t>
      </w:r>
      <w:r>
        <w:rPr>
          <w:rFonts w:ascii="Times New Roman" w:hAnsi="Times New Roman" w:hint="eastAsia"/>
          <w:sz w:val="20"/>
          <w:szCs w:val="20"/>
        </w:rPr>
        <w:t>9</w:t>
      </w:r>
      <w:r w:rsidRPr="00DA3BC7">
        <w:rPr>
          <w:sz w:val="20"/>
          <w:szCs w:val="20"/>
        </w:rPr>
        <w:t>）</w:t>
      </w:r>
    </w:p>
    <w:p w:rsidR="00F63F7D" w:rsidRDefault="00F63F7D" w:rsidP="00E30BE9">
      <w:pPr>
        <w:ind w:leftChars="250" w:left="600"/>
        <w:jc w:val="both"/>
        <w:rPr>
          <w:rFonts w:ascii="Times New Roman" w:hAnsi="Times New Roman"/>
          <w:b/>
          <w:color w:val="FF0000"/>
          <w:sz w:val="20"/>
          <w:szCs w:val="20"/>
          <w:bdr w:val="single" w:sz="4" w:space="0" w:color="auto"/>
        </w:rPr>
      </w:pPr>
      <w:r w:rsidRPr="00F63F7D">
        <w:rPr>
          <w:b/>
          <w:color w:val="FF0000"/>
          <w:sz w:val="20"/>
          <w:szCs w:val="20"/>
          <w:highlight w:val="yellow"/>
          <w:bdr w:val="single" w:sz="4" w:space="0" w:color="auto"/>
        </w:rPr>
        <w:t>（</w:t>
      </w:r>
      <w:r w:rsidRPr="00F63F7D">
        <w:rPr>
          <w:rFonts w:ascii="Times New Roman" w:hAnsi="Times New Roman" w:hint="eastAsia"/>
          <w:b/>
          <w:color w:val="FF0000"/>
          <w:sz w:val="20"/>
          <w:szCs w:val="20"/>
          <w:highlight w:val="yellow"/>
          <w:bdr w:val="single" w:sz="4" w:space="0" w:color="auto"/>
        </w:rPr>
        <w:t>1</w:t>
      </w:r>
      <w:r w:rsidRPr="00F63F7D">
        <w:rPr>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評「佛世之謬見」</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8</w:t>
      </w:r>
      <w:r w:rsidRPr="00DA3BC7">
        <w:rPr>
          <w:rFonts w:ascii="Times New Roman" w:hAnsi="Times New Roman" w:hint="eastAsia"/>
          <w:sz w:val="20"/>
          <w:szCs w:val="20"/>
        </w:rPr>
        <w:t>7</w:t>
      </w:r>
      <w:r w:rsidRPr="00DA3BC7">
        <w:rPr>
          <w:sz w:val="20"/>
          <w:szCs w:val="20"/>
        </w:rPr>
        <w:t>）</w:t>
      </w:r>
    </w:p>
    <w:p w:rsidR="00F63F7D" w:rsidRPr="00F63F7D" w:rsidRDefault="00F63F7D" w:rsidP="00E30BE9">
      <w:pPr>
        <w:ind w:leftChars="300" w:left="720"/>
        <w:jc w:val="both"/>
        <w:rPr>
          <w:rFonts w:ascii="Times New Roman" w:hAnsi="Times New Roman"/>
          <w:b/>
          <w:sz w:val="20"/>
          <w:szCs w:val="20"/>
          <w:bdr w:val="single" w:sz="4" w:space="0" w:color="auto"/>
        </w:rPr>
      </w:pPr>
      <w:r w:rsidRPr="00F63F7D">
        <w:rPr>
          <w:rFonts w:ascii="Times New Roman" w:hAnsi="Times New Roman" w:hint="eastAsia"/>
          <w:b/>
          <w:color w:val="FF0000"/>
          <w:sz w:val="20"/>
          <w:szCs w:val="20"/>
          <w:highlight w:val="yellow"/>
          <w:bdr w:val="single" w:sz="4" w:space="0" w:color="auto"/>
        </w:rPr>
        <w:t>A</w:t>
      </w:r>
      <w:r w:rsidRPr="00F63F7D">
        <w:rPr>
          <w:rFonts w:ascii="Times New Roman" w:hAnsi="Times New Roman" w:hint="eastAsia"/>
          <w:b/>
          <w:color w:val="FF0000"/>
          <w:sz w:val="20"/>
          <w:szCs w:val="20"/>
          <w:highlight w:val="yellow"/>
          <w:bdr w:val="single" w:sz="4" w:space="0" w:color="auto"/>
        </w:rPr>
        <w:t>、凡外的誤執</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8</w:t>
      </w:r>
      <w:r w:rsidRPr="00DA3BC7">
        <w:rPr>
          <w:rFonts w:ascii="Times New Roman" w:hAnsi="Times New Roman" w:hint="eastAsia"/>
          <w:sz w:val="20"/>
          <w:szCs w:val="20"/>
        </w:rPr>
        <w:t>7</w:t>
      </w:r>
      <w:r w:rsidRPr="00DA3BC7">
        <w:rPr>
          <w:sz w:val="20"/>
          <w:szCs w:val="20"/>
        </w:rPr>
        <w:t>）</w:t>
      </w:r>
    </w:p>
    <w:p w:rsidR="002B682F" w:rsidRPr="00DA3BC7" w:rsidRDefault="002B682F" w:rsidP="00E30BE9">
      <w:pPr>
        <w:ind w:leftChars="300" w:left="720"/>
        <w:jc w:val="both"/>
      </w:pPr>
      <w:r w:rsidRPr="00DA3BC7">
        <w:rPr>
          <w:rFonts w:hint="eastAsia"/>
          <w:b/>
        </w:rPr>
        <w:t>常</w:t>
      </w:r>
      <w:r w:rsidRPr="00DA3BC7">
        <w:rPr>
          <w:rFonts w:hint="eastAsia"/>
        </w:rPr>
        <w:t>，</w:t>
      </w:r>
      <w:r w:rsidRPr="00DA3BC7">
        <w:t>在釋迦時代的外道，是約時間變異中的永恒性說的。</w:t>
      </w:r>
    </w:p>
    <w:p w:rsidR="002B682F" w:rsidRPr="00DA3BC7" w:rsidRDefault="002B682F" w:rsidP="00E30BE9">
      <w:pPr>
        <w:ind w:leftChars="300" w:left="720"/>
        <w:jc w:val="both"/>
      </w:pPr>
      <w:r w:rsidRPr="00DA3BC7">
        <w:rPr>
          <w:rFonts w:hint="eastAsia"/>
          <w:b/>
        </w:rPr>
        <w:t>斷</w:t>
      </w:r>
      <w:r w:rsidRPr="00DA3BC7">
        <w:rPr>
          <w:rFonts w:hint="eastAsia"/>
        </w:rPr>
        <w:t>，是中斷，即不再繼續下去。</w:t>
      </w:r>
    </w:p>
    <w:p w:rsidR="002B682F" w:rsidRPr="00DA3BC7" w:rsidRDefault="002B682F" w:rsidP="00AE3920">
      <w:pPr>
        <w:spacing w:beforeLines="20"/>
        <w:ind w:leftChars="300" w:left="720"/>
        <w:jc w:val="both"/>
      </w:pPr>
      <w:r w:rsidRPr="00DA3BC7">
        <w:t>例如外道執有神我，有此常住的神我，所以從前生到後生，從人間到天上，前者即後者，這種</w:t>
      </w:r>
      <w:r w:rsidRPr="00DA3BC7">
        <w:rPr>
          <w:b/>
        </w:rPr>
        <w:t>有我論者</w:t>
      </w:r>
      <w:r w:rsidRPr="00DA3BC7">
        <w:t>即</w:t>
      </w:r>
      <w:r w:rsidRPr="00DA3BC7">
        <w:rPr>
          <w:b/>
        </w:rPr>
        <w:t>墮常見</w:t>
      </w:r>
      <w:r w:rsidRPr="00DA3BC7">
        <w:t>。</w:t>
      </w:r>
    </w:p>
    <w:p w:rsidR="002B682F" w:rsidRPr="00DA3BC7" w:rsidRDefault="002B682F" w:rsidP="00AE3920">
      <w:pPr>
        <w:spacing w:beforeLines="20"/>
        <w:ind w:leftChars="300" w:left="720"/>
        <w:jc w:val="both"/>
      </w:pPr>
      <w:r w:rsidRPr="00DA3BC7">
        <w:t>如</w:t>
      </w:r>
      <w:r w:rsidRPr="00DA3BC7">
        <w:rPr>
          <w:b/>
        </w:rPr>
        <w:t>順世論者</w:t>
      </w:r>
      <w:r w:rsidRPr="00DA3BC7">
        <w:rPr>
          <w:rStyle w:val="a6"/>
          <w:rFonts w:ascii="Times New Roman" w:hAnsi="Times New Roman"/>
        </w:rPr>
        <w:footnoteReference w:id="430"/>
      </w:r>
      <w:r w:rsidRPr="00DA3BC7">
        <w:t>，不信有前世後世，以為現在雖有我，死了即甚麼也完</w:t>
      </w:r>
      <w:r w:rsidRPr="00DA3BC7">
        <w:lastRenderedPageBreak/>
        <w:t>了，這即是</w:t>
      </w:r>
      <w:r w:rsidRPr="00DA3BC7">
        <w:rPr>
          <w:b/>
        </w:rPr>
        <w:t>墮於斷見</w:t>
      </w:r>
      <w:r w:rsidRPr="00DA3BC7">
        <w:t>的斷滅論者。</w:t>
      </w:r>
    </w:p>
    <w:p w:rsidR="002B682F" w:rsidRPr="00DA3BC7" w:rsidRDefault="00F63F7D" w:rsidP="00AE3920">
      <w:pPr>
        <w:spacing w:beforeLines="30"/>
        <w:ind w:leftChars="300" w:left="720"/>
        <w:jc w:val="both"/>
        <w:rPr>
          <w:b/>
          <w:sz w:val="20"/>
          <w:szCs w:val="20"/>
        </w:rPr>
      </w:pPr>
      <w:r w:rsidRPr="00F63F7D">
        <w:rPr>
          <w:rFonts w:ascii="Times New Roman" w:hAnsi="Times New Roman" w:hint="eastAsia"/>
          <w:b/>
          <w:color w:val="FF0000"/>
          <w:sz w:val="20"/>
          <w:szCs w:val="20"/>
          <w:highlight w:val="yellow"/>
          <w:bdr w:val="single" w:sz="4" w:space="0" w:color="auto"/>
        </w:rPr>
        <w:t>B</w:t>
      </w:r>
      <w:r w:rsidRPr="00F63F7D">
        <w:rPr>
          <w:rFonts w:ascii="Times New Roman" w:hAnsi="Times New Roman" w:hint="eastAsia"/>
          <w:b/>
          <w:color w:val="FF0000"/>
          <w:sz w:val="20"/>
          <w:szCs w:val="20"/>
          <w:highlight w:val="yellow"/>
          <w:bdr w:val="single" w:sz="4" w:space="0" w:color="auto"/>
        </w:rPr>
        <w:t>、</w:t>
      </w:r>
      <w:r w:rsidR="002B682F" w:rsidRPr="00F63F7D">
        <w:rPr>
          <w:rFonts w:ascii="Times New Roman" w:hAnsi="Times New Roman"/>
          <w:b/>
          <w:color w:val="FF0000"/>
          <w:sz w:val="20"/>
          <w:szCs w:val="20"/>
          <w:highlight w:val="yellow"/>
          <w:bdr w:val="single" w:sz="4" w:space="0" w:color="auto"/>
        </w:rPr>
        <w:t>佛法</w:t>
      </w:r>
      <w:r w:rsidRPr="00F63F7D">
        <w:rPr>
          <w:rFonts w:ascii="Times New Roman" w:hAnsi="Times New Roman" w:hint="eastAsia"/>
          <w:b/>
          <w:color w:val="FF0000"/>
          <w:sz w:val="20"/>
          <w:szCs w:val="20"/>
          <w:highlight w:val="yellow"/>
          <w:bdr w:val="single" w:sz="4" w:space="0" w:color="auto"/>
        </w:rPr>
        <w:t>的正觀</w:t>
      </w:r>
      <w:r w:rsidR="002B682F" w:rsidRPr="00DA3BC7">
        <w:rPr>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hAnsi="Times New Roman"/>
          <w:sz w:val="20"/>
          <w:szCs w:val="20"/>
        </w:rPr>
        <w:t>87</w:t>
      </w:r>
      <w:r w:rsidR="002B682F" w:rsidRPr="00DA3BC7">
        <w:rPr>
          <w:sz w:val="20"/>
          <w:szCs w:val="20"/>
        </w:rPr>
        <w:t>-</w:t>
      </w:r>
      <w:r w:rsidR="002B682F" w:rsidRPr="00DA3BC7">
        <w:rPr>
          <w:rFonts w:ascii="Times New Roman" w:hAnsi="Times New Roman"/>
          <w:sz w:val="20"/>
          <w:szCs w:val="20"/>
        </w:rPr>
        <w:t>88</w:t>
      </w:r>
      <w:r w:rsidR="002B682F" w:rsidRPr="00DA3BC7">
        <w:rPr>
          <w:sz w:val="20"/>
          <w:szCs w:val="20"/>
        </w:rPr>
        <w:t>）</w:t>
      </w:r>
    </w:p>
    <w:p w:rsidR="002B682F" w:rsidRPr="00DA3BC7" w:rsidRDefault="002B682F" w:rsidP="00E30BE9">
      <w:pPr>
        <w:ind w:leftChars="300" w:left="720"/>
        <w:jc w:val="both"/>
      </w:pPr>
      <w:r w:rsidRPr="00DA3BC7">
        <w:rPr>
          <w:rFonts w:hint="eastAsia"/>
        </w:rPr>
        <w:t>凡是佛法，決不作如是說。</w:t>
      </w:r>
      <w:r w:rsidRPr="00DA3BC7">
        <w:t>根本佛法以緣起生滅為出發，以無常而破斥此等常見；但</w:t>
      </w:r>
      <w:r w:rsidRPr="00DA3BC7">
        <w:rPr>
          <w:b/>
        </w:rPr>
        <w:t>無常是常性的否定，而並不是斷滅</w:t>
      </w:r>
      <w:r w:rsidRPr="00DA3BC7">
        <w:t>。佛法都說生滅與相續，此常與斷是極少引用為正義的。</w:t>
      </w:r>
    </w:p>
    <w:p w:rsidR="00F63F7D" w:rsidRDefault="00F63F7D" w:rsidP="00AE3920">
      <w:pPr>
        <w:spacing w:beforeLines="30"/>
        <w:ind w:leftChars="250" w:left="600"/>
        <w:jc w:val="both"/>
        <w:rPr>
          <w:rFonts w:ascii="Times New Roman" w:hAnsi="Times New Roman"/>
          <w:b/>
          <w:color w:val="FF0000"/>
          <w:sz w:val="20"/>
          <w:szCs w:val="20"/>
          <w:bdr w:val="single" w:sz="4" w:space="0" w:color="auto"/>
        </w:rPr>
      </w:pPr>
      <w:r w:rsidRPr="00F63F7D">
        <w:rPr>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2</w:t>
      </w:r>
      <w:r w:rsidRPr="00F63F7D">
        <w:rPr>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評「後學之偏說」</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8</w:t>
      </w:r>
      <w:r>
        <w:rPr>
          <w:rFonts w:ascii="Times New Roman" w:hAnsi="Times New Roman" w:hint="eastAsia"/>
          <w:sz w:val="20"/>
          <w:szCs w:val="20"/>
        </w:rPr>
        <w:t>8</w:t>
      </w:r>
      <w:r w:rsidRPr="00DA3BC7">
        <w:rPr>
          <w:sz w:val="20"/>
          <w:szCs w:val="20"/>
        </w:rPr>
        <w:t>）</w:t>
      </w:r>
    </w:p>
    <w:p w:rsidR="00F63F7D" w:rsidRDefault="00F63F7D" w:rsidP="00E30BE9">
      <w:pPr>
        <w:ind w:leftChars="300" w:left="720"/>
        <w:jc w:val="both"/>
        <w:rPr>
          <w:sz w:val="20"/>
          <w:szCs w:val="20"/>
        </w:rPr>
      </w:pPr>
      <w:r w:rsidRPr="00F63F7D">
        <w:rPr>
          <w:rFonts w:ascii="Times New Roman" w:hAnsi="Times New Roman" w:hint="eastAsia"/>
          <w:b/>
          <w:color w:val="FF0000"/>
          <w:sz w:val="20"/>
          <w:szCs w:val="20"/>
          <w:highlight w:val="yellow"/>
          <w:bdr w:val="single" w:sz="4" w:space="0" w:color="auto"/>
        </w:rPr>
        <w:t>A</w:t>
      </w:r>
      <w:r w:rsidRPr="00F63F7D">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評「部派之說」</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8</w:t>
      </w:r>
      <w:r>
        <w:rPr>
          <w:rFonts w:ascii="Times New Roman" w:hAnsi="Times New Roman" w:hint="eastAsia"/>
          <w:sz w:val="20"/>
          <w:szCs w:val="20"/>
        </w:rPr>
        <w:t>8</w:t>
      </w:r>
      <w:r w:rsidRPr="00DA3BC7">
        <w:rPr>
          <w:sz w:val="20"/>
          <w:szCs w:val="20"/>
        </w:rPr>
        <w:t>）</w:t>
      </w:r>
    </w:p>
    <w:p w:rsidR="00F63F7D" w:rsidRDefault="00F63F7D" w:rsidP="00E30BE9">
      <w:pPr>
        <w:ind w:leftChars="300" w:left="720"/>
        <w:jc w:val="both"/>
        <w:rPr>
          <w:sz w:val="20"/>
          <w:szCs w:val="20"/>
        </w:rPr>
      </w:pPr>
      <w:r w:rsidRPr="00DA3BC7">
        <w:t>然而不常不斷的生滅相續，意義非常深玄</w:t>
      </w:r>
      <w:r w:rsidRPr="00DA3BC7">
        <w:rPr>
          <w:rStyle w:val="a6"/>
          <w:rFonts w:ascii="Times New Roman" w:hAnsi="Times New Roman"/>
        </w:rPr>
        <w:footnoteReference w:id="431"/>
      </w:r>
      <w:r w:rsidRPr="00DA3BC7">
        <w:rPr>
          <w:rFonts w:hint="eastAsia"/>
        </w:rPr>
        <w:t>；</w:t>
      </w:r>
      <w:r w:rsidRPr="00DA3BC7">
        <w:t>一分學者大談生滅相續，而又轉上了斷常之途。</w:t>
      </w:r>
    </w:p>
    <w:p w:rsidR="00F63F7D" w:rsidRDefault="00F63F7D" w:rsidP="00AE3920">
      <w:pPr>
        <w:spacing w:beforeLines="30"/>
        <w:ind w:leftChars="350" w:left="840"/>
        <w:jc w:val="both"/>
        <w:rPr>
          <w:sz w:val="20"/>
          <w:szCs w:val="20"/>
        </w:rPr>
      </w:pPr>
      <w:r w:rsidRPr="00F63F7D">
        <w:rPr>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A</w:t>
      </w:r>
      <w:r w:rsidRPr="00F63F7D">
        <w:rPr>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評「有部之說」</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8</w:t>
      </w:r>
      <w:r>
        <w:rPr>
          <w:rFonts w:ascii="Times New Roman" w:hAnsi="Times New Roman" w:hint="eastAsia"/>
          <w:sz w:val="20"/>
          <w:szCs w:val="20"/>
        </w:rPr>
        <w:t>8</w:t>
      </w:r>
      <w:r w:rsidRPr="00DA3BC7">
        <w:rPr>
          <w:sz w:val="20"/>
          <w:szCs w:val="20"/>
        </w:rPr>
        <w:t>）</w:t>
      </w:r>
    </w:p>
    <w:p w:rsidR="002B682F" w:rsidRPr="00DA3BC7" w:rsidRDefault="002B682F" w:rsidP="00E30BE9">
      <w:pPr>
        <w:overflowPunct w:val="0"/>
        <w:autoSpaceDE w:val="0"/>
        <w:autoSpaceDN w:val="0"/>
        <w:ind w:leftChars="350" w:left="840"/>
        <w:jc w:val="both"/>
      </w:pPr>
      <w:r w:rsidRPr="00DA3BC7">
        <w:rPr>
          <w:rFonts w:hint="eastAsia"/>
        </w:rPr>
        <w:t>舉例說：</w:t>
      </w:r>
      <w:r w:rsidRPr="00DA3BC7">
        <w:t>薩婆多部主張三世有，一切法體是永遠如此的</w:t>
      </w:r>
      <w:r w:rsidRPr="00DA3BC7">
        <w:rPr>
          <w:rFonts w:ascii="新細明體" w:hAnsi="新細明體"/>
        </w:rPr>
        <w:t>──</w:t>
      </w:r>
      <w:r w:rsidRPr="00DA3BC7">
        <w:t>法性常如。從未來到現在，從現在到過去，說生滅，說相續，不過在作用上說。</w:t>
      </w:r>
      <w:r w:rsidR="00B127DB" w:rsidRPr="00B127DB">
        <w:rPr>
          <w:rStyle w:val="a6"/>
          <w:rFonts w:ascii="Times New Roman" w:hAnsi="Times New Roman"/>
          <w:highlight w:val="yellow"/>
        </w:rPr>
        <w:footnoteReference w:id="432"/>
      </w:r>
    </w:p>
    <w:p w:rsidR="002B682F" w:rsidRPr="00DA3BC7" w:rsidRDefault="002B682F" w:rsidP="00AE3920">
      <w:pPr>
        <w:overflowPunct w:val="0"/>
        <w:autoSpaceDE w:val="0"/>
        <w:autoSpaceDN w:val="0"/>
        <w:spacing w:beforeLines="20"/>
        <w:ind w:leftChars="350" w:left="840"/>
        <w:jc w:val="both"/>
      </w:pPr>
      <w:r w:rsidRPr="00DA3BC7">
        <w:lastRenderedPageBreak/>
        <w:t>他們雖也說諸行無常，然依中觀者看來，是落於常見的。</w:t>
      </w:r>
    </w:p>
    <w:p w:rsidR="002B682F" w:rsidRPr="00F63F7D" w:rsidRDefault="00F63F7D" w:rsidP="00AE3920">
      <w:pPr>
        <w:spacing w:beforeLines="30"/>
        <w:ind w:leftChars="350" w:left="840"/>
        <w:jc w:val="both"/>
        <w:rPr>
          <w:sz w:val="20"/>
          <w:szCs w:val="20"/>
        </w:rPr>
      </w:pPr>
      <w:r w:rsidRPr="00F63F7D">
        <w:rPr>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B</w:t>
      </w:r>
      <w:r w:rsidRPr="00F63F7D">
        <w:rPr>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評「經部之說」</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8</w:t>
      </w:r>
      <w:r>
        <w:rPr>
          <w:rFonts w:ascii="Times New Roman" w:hAnsi="Times New Roman" w:hint="eastAsia"/>
          <w:sz w:val="20"/>
          <w:szCs w:val="20"/>
        </w:rPr>
        <w:t>8</w:t>
      </w:r>
      <w:r w:rsidRPr="00DA3BC7">
        <w:rPr>
          <w:sz w:val="20"/>
          <w:szCs w:val="20"/>
        </w:rPr>
        <w:t>）</w:t>
      </w:r>
    </w:p>
    <w:p w:rsidR="002B682F" w:rsidRPr="00DA3BC7" w:rsidRDefault="002B682F" w:rsidP="00E30BE9">
      <w:pPr>
        <w:overflowPunct w:val="0"/>
        <w:autoSpaceDE w:val="0"/>
        <w:autoSpaceDN w:val="0"/>
        <w:ind w:leftChars="350" w:left="840"/>
        <w:jc w:val="both"/>
      </w:pPr>
      <w:r w:rsidRPr="00DA3BC7">
        <w:rPr>
          <w:rFonts w:hint="eastAsia"/>
        </w:rPr>
        <w:t>如經部師，以種子現行來說明因果。</w:t>
      </w:r>
      <w:r w:rsidRPr="00DA3BC7">
        <w:rPr>
          <w:rStyle w:val="a6"/>
          <w:rFonts w:ascii="Times New Roman" w:hAnsi="Times New Roman"/>
        </w:rPr>
        <w:footnoteReference w:id="433"/>
      </w:r>
    </w:p>
    <w:p w:rsidR="002B682F" w:rsidRPr="00DA3BC7" w:rsidRDefault="002B682F" w:rsidP="00AE3920">
      <w:pPr>
        <w:widowControl/>
        <w:overflowPunct w:val="0"/>
        <w:autoSpaceDE w:val="0"/>
        <w:autoSpaceDN w:val="0"/>
        <w:spacing w:beforeLines="10"/>
        <w:ind w:leftChars="350" w:left="840"/>
        <w:jc w:val="both"/>
      </w:pPr>
      <w:r w:rsidRPr="00DA3BC7">
        <w:rPr>
          <w:rFonts w:hint="eastAsia"/>
        </w:rPr>
        <w:t>然而從</w:t>
      </w:r>
      <w:r w:rsidRPr="00D969B4">
        <w:rPr>
          <w:rFonts w:hint="eastAsia"/>
          <w:b/>
          <w:u w:val="wave" w:color="C00000"/>
        </w:rPr>
        <w:t>大期生滅</w:t>
      </w:r>
      <w:r w:rsidRPr="00DA3BC7">
        <w:rPr>
          <w:rFonts w:hint="eastAsia"/>
        </w:rPr>
        <w:t>的見地去看，「</w:t>
      </w:r>
      <w:r w:rsidRPr="00DA3BC7">
        <w:rPr>
          <w:rFonts w:ascii="標楷體" w:eastAsia="標楷體" w:hAnsi="標楷體" w:hint="eastAsia"/>
        </w:rPr>
        <w:t>涅槃滅相續，則墮於斷滅</w:t>
      </w:r>
      <w:r w:rsidRPr="00DA3BC7">
        <w:rPr>
          <w:rFonts w:hint="eastAsia"/>
        </w:rPr>
        <w:t>」（</w:t>
      </w:r>
      <w:r w:rsidRPr="00DA3BC7">
        <w:rPr>
          <w:rFonts w:ascii="新細明體" w:hAnsi="新細明體" w:hint="eastAsia"/>
        </w:rPr>
        <w:t>〈</w:t>
      </w:r>
      <w:r w:rsidRPr="00DA3BC7">
        <w:rPr>
          <w:rFonts w:ascii="Times New Roman" w:hAnsi="Times New Roman"/>
        </w:rPr>
        <w:t>21</w:t>
      </w:r>
      <w:r w:rsidRPr="00DA3BC7">
        <w:rPr>
          <w:rFonts w:hint="eastAsia"/>
        </w:rPr>
        <w:t xml:space="preserve"> </w:t>
      </w:r>
      <w:r w:rsidRPr="00DA3BC7">
        <w:rPr>
          <w:rFonts w:hint="eastAsia"/>
        </w:rPr>
        <w:t>觀成壞品</w:t>
      </w:r>
      <w:r w:rsidRPr="00DA3BC7">
        <w:rPr>
          <w:rFonts w:ascii="新細明體" w:hAnsi="新細明體" w:hint="eastAsia"/>
        </w:rPr>
        <w:t>〉</w:t>
      </w:r>
      <w:r w:rsidRPr="00DA3BC7">
        <w:rPr>
          <w:rFonts w:hint="eastAsia"/>
        </w:rPr>
        <w:t>）。</w:t>
      </w:r>
      <w:r w:rsidRPr="00DA3BC7">
        <w:rPr>
          <w:rStyle w:val="a6"/>
          <w:rFonts w:ascii="Times New Roman" w:hAnsi="Times New Roman"/>
        </w:rPr>
        <w:footnoteReference w:id="434"/>
      </w:r>
    </w:p>
    <w:p w:rsidR="002B682F" w:rsidRPr="00DA3BC7" w:rsidRDefault="002B682F" w:rsidP="00AE3920">
      <w:pPr>
        <w:overflowPunct w:val="0"/>
        <w:autoSpaceDE w:val="0"/>
        <w:autoSpaceDN w:val="0"/>
        <w:spacing w:beforeLines="20"/>
        <w:ind w:leftChars="350" w:left="840"/>
        <w:jc w:val="both"/>
      </w:pPr>
      <w:r w:rsidRPr="00DA3BC7">
        <w:t>從</w:t>
      </w:r>
      <w:r w:rsidRPr="00D969B4">
        <w:rPr>
          <w:b/>
          <w:u w:val="wave" w:color="C00000"/>
        </w:rPr>
        <w:t>剎那生滅</w:t>
      </w:r>
      <w:r w:rsidRPr="00DA3BC7">
        <w:t>的見地去看，</w:t>
      </w:r>
      <w:r w:rsidRPr="00DA3BC7">
        <w:rPr>
          <w:rFonts w:hint="eastAsia"/>
        </w:rPr>
        <w:t>「</w:t>
      </w:r>
      <w:r w:rsidRPr="00DA3BC7">
        <w:rPr>
          <w:rFonts w:ascii="標楷體" w:eastAsia="標楷體" w:hAnsi="標楷體" w:hint="eastAsia"/>
        </w:rPr>
        <w:t>若法有定性，非無則是常；先有而今無，是則為斷滅</w:t>
      </w:r>
      <w:r w:rsidRPr="00DA3BC7">
        <w:rPr>
          <w:rFonts w:hint="eastAsia"/>
        </w:rPr>
        <w:t>」（</w:t>
      </w:r>
      <w:r w:rsidRPr="00DA3BC7">
        <w:rPr>
          <w:rFonts w:ascii="新細明體" w:hAnsi="新細明體" w:hint="eastAsia"/>
        </w:rPr>
        <w:t>〈</w:t>
      </w:r>
      <w:r w:rsidRPr="00DA3BC7">
        <w:rPr>
          <w:rFonts w:ascii="Times New Roman" w:hAnsi="Times New Roman" w:hint="eastAsia"/>
        </w:rPr>
        <w:t>15</w:t>
      </w:r>
      <w:r w:rsidRPr="00DA3BC7">
        <w:rPr>
          <w:rFonts w:hint="eastAsia"/>
        </w:rPr>
        <w:t xml:space="preserve"> </w:t>
      </w:r>
      <w:r w:rsidRPr="00DA3BC7">
        <w:rPr>
          <w:rFonts w:hint="eastAsia"/>
        </w:rPr>
        <w:t>觀有無品</w:t>
      </w:r>
      <w:r w:rsidRPr="00DA3BC7">
        <w:rPr>
          <w:rFonts w:ascii="新細明體" w:hAnsi="新細明體" w:hint="eastAsia"/>
        </w:rPr>
        <w:t>〉</w:t>
      </w:r>
      <w:r w:rsidRPr="00DA3BC7">
        <w:rPr>
          <w:rFonts w:hint="eastAsia"/>
        </w:rPr>
        <w:t>）。</w:t>
      </w:r>
      <w:r w:rsidRPr="00DA3BC7">
        <w:rPr>
          <w:rStyle w:val="a6"/>
          <w:rFonts w:ascii="Times New Roman" w:hAnsi="Times New Roman"/>
        </w:rPr>
        <w:footnoteReference w:id="435"/>
      </w:r>
    </w:p>
    <w:p w:rsidR="002B682F" w:rsidRPr="00DA3BC7" w:rsidRDefault="002B682F" w:rsidP="00AE3920">
      <w:pPr>
        <w:overflowPunct w:val="0"/>
        <w:autoSpaceDE w:val="0"/>
        <w:autoSpaceDN w:val="0"/>
        <w:spacing w:beforeLines="20"/>
        <w:ind w:leftChars="350" w:left="840"/>
        <w:jc w:val="both"/>
      </w:pPr>
      <w:r w:rsidRPr="00DA3BC7">
        <w:lastRenderedPageBreak/>
        <w:t>他即使不落於常見，斷見還不免呢！</w:t>
      </w:r>
    </w:p>
    <w:p w:rsidR="002B682F" w:rsidRPr="00DA3BC7" w:rsidRDefault="00F63F7D" w:rsidP="00AE3920">
      <w:pPr>
        <w:spacing w:beforeLines="30"/>
        <w:ind w:leftChars="300" w:left="720"/>
        <w:jc w:val="both"/>
        <w:rPr>
          <w:b/>
          <w:sz w:val="20"/>
          <w:szCs w:val="20"/>
        </w:rPr>
      </w:pPr>
      <w:r w:rsidRPr="00F63F7D">
        <w:rPr>
          <w:rFonts w:ascii="Times New Roman" w:hAnsi="Times New Roman" w:hint="eastAsia"/>
          <w:b/>
          <w:color w:val="FF0000"/>
          <w:sz w:val="20"/>
          <w:szCs w:val="20"/>
          <w:highlight w:val="yellow"/>
          <w:bdr w:val="single" w:sz="4" w:space="0" w:color="auto"/>
        </w:rPr>
        <w:t>B</w:t>
      </w:r>
      <w:r w:rsidRPr="00F63F7D">
        <w:rPr>
          <w:rFonts w:ascii="Times New Roman" w:hAnsi="Times New Roman" w:hint="eastAsia"/>
          <w:b/>
          <w:color w:val="FF0000"/>
          <w:sz w:val="20"/>
          <w:szCs w:val="20"/>
          <w:highlight w:val="yellow"/>
          <w:bdr w:val="single" w:sz="4" w:space="0" w:color="auto"/>
        </w:rPr>
        <w:t>、顯「</w:t>
      </w:r>
      <w:r w:rsidR="002B682F" w:rsidRPr="00F63F7D">
        <w:rPr>
          <w:rFonts w:ascii="Times New Roman" w:hAnsi="Times New Roman"/>
          <w:b/>
          <w:color w:val="FF0000"/>
          <w:sz w:val="20"/>
          <w:szCs w:val="20"/>
          <w:highlight w:val="yellow"/>
          <w:bdr w:val="single" w:sz="4" w:space="0" w:color="auto"/>
        </w:rPr>
        <w:t>中觀之正義</w:t>
      </w:r>
      <w:r w:rsidRPr="00F63F7D">
        <w:rPr>
          <w:rFonts w:ascii="Times New Roman" w:hAnsi="Times New Roman" w:hint="eastAsia"/>
          <w:b/>
          <w:color w:val="FF0000"/>
          <w:sz w:val="20"/>
          <w:szCs w:val="20"/>
          <w:highlight w:val="yellow"/>
          <w:bdr w:val="single" w:sz="4" w:space="0" w:color="auto"/>
        </w:rPr>
        <w:t>」</w:t>
      </w:r>
      <w:r w:rsidR="002B682F" w:rsidRPr="00DA3BC7">
        <w:rPr>
          <w:sz w:val="20"/>
          <w:szCs w:val="20"/>
        </w:rPr>
        <w:t>（</w:t>
      </w:r>
      <w:r w:rsidR="002B682F" w:rsidRPr="00DA3BC7">
        <w:rPr>
          <w:rFonts w:ascii="Times New Roman" w:hAnsi="Times New Roman"/>
          <w:bCs/>
          <w:sz w:val="20"/>
          <w:szCs w:val="20"/>
        </w:rPr>
        <w:t>pp</w:t>
      </w:r>
      <w:r w:rsidR="002B682F" w:rsidRPr="00DA3BC7">
        <w:rPr>
          <w:bCs/>
          <w:sz w:val="20"/>
          <w:szCs w:val="20"/>
        </w:rPr>
        <w:t>.</w:t>
      </w:r>
      <w:r w:rsidR="002B682F" w:rsidRPr="00DA3BC7">
        <w:rPr>
          <w:rFonts w:ascii="Times New Roman" w:hAnsi="Times New Roman"/>
          <w:bCs/>
          <w:sz w:val="20"/>
          <w:szCs w:val="20"/>
        </w:rPr>
        <w:t>88</w:t>
      </w:r>
      <w:r w:rsidR="002B682F" w:rsidRPr="00DA3BC7">
        <w:rPr>
          <w:bCs/>
          <w:sz w:val="20"/>
          <w:szCs w:val="20"/>
        </w:rPr>
        <w:t>-</w:t>
      </w:r>
      <w:r w:rsidR="002B682F" w:rsidRPr="00DA3BC7">
        <w:rPr>
          <w:rFonts w:ascii="Times New Roman" w:hAnsi="Times New Roman"/>
          <w:bCs/>
          <w:sz w:val="20"/>
          <w:szCs w:val="20"/>
        </w:rPr>
        <w:t>89</w:t>
      </w:r>
      <w:r w:rsidR="002B682F" w:rsidRPr="00DA3BC7">
        <w:rPr>
          <w:sz w:val="20"/>
          <w:szCs w:val="20"/>
        </w:rPr>
        <w:t>）</w:t>
      </w:r>
    </w:p>
    <w:p w:rsidR="002B682F" w:rsidRPr="00DA3BC7" w:rsidRDefault="002B682F" w:rsidP="00E30BE9">
      <w:pPr>
        <w:overflowPunct w:val="0"/>
        <w:autoSpaceDE w:val="0"/>
        <w:autoSpaceDN w:val="0"/>
        <w:ind w:leftChars="300" w:left="720"/>
        <w:jc w:val="both"/>
      </w:pPr>
      <w:r w:rsidRPr="00DA3BC7">
        <w:t>只要是執為自性有</w:t>
      </w:r>
      <w:r w:rsidRPr="00DA3BC7">
        <w:rPr>
          <w:rFonts w:hint="eastAsia"/>
        </w:rPr>
        <w:t>、</w:t>
      </w:r>
      <w:r w:rsidRPr="00DA3BC7">
        <w:t>自相有的，是難於避免常</w:t>
      </w:r>
      <w:r w:rsidRPr="00DA3BC7">
        <w:rPr>
          <w:rFonts w:hint="eastAsia"/>
        </w:rPr>
        <w:t>、</w:t>
      </w:r>
      <w:r w:rsidRPr="00DA3BC7">
        <w:t>斷過失的，所以說：「</w:t>
      </w:r>
      <w:r w:rsidRPr="00DA3BC7">
        <w:rPr>
          <w:rFonts w:ascii="標楷體" w:eastAsia="標楷體" w:hAnsi="標楷體"/>
        </w:rPr>
        <w:t>若有所受法，即墮於斷常</w:t>
      </w:r>
      <w:r w:rsidRPr="00DA3BC7">
        <w:t>。」</w:t>
      </w:r>
      <w:r w:rsidRPr="00DA3BC7">
        <w:rPr>
          <w:rFonts w:hint="eastAsia"/>
        </w:rPr>
        <w:t>（</w:t>
      </w:r>
      <w:r w:rsidRPr="00DA3BC7">
        <w:t>〈</w:t>
      </w:r>
      <w:r w:rsidRPr="00DA3BC7">
        <w:rPr>
          <w:rFonts w:ascii="Times New Roman" w:hAnsi="Times New Roman" w:hint="eastAsia"/>
        </w:rPr>
        <w:t>21</w:t>
      </w:r>
      <w:r w:rsidRPr="00DA3BC7">
        <w:rPr>
          <w:rFonts w:hint="eastAsia"/>
        </w:rPr>
        <w:t xml:space="preserve"> </w:t>
      </w:r>
      <w:r w:rsidRPr="00DA3BC7">
        <w:t>觀成壞品〉</w:t>
      </w:r>
      <w:r w:rsidRPr="00DA3BC7">
        <w:rPr>
          <w:rFonts w:hint="eastAsia"/>
        </w:rPr>
        <w:t>）</w:t>
      </w:r>
      <w:r w:rsidRPr="00DA3BC7">
        <w:rPr>
          <w:rStyle w:val="a6"/>
          <w:rFonts w:ascii="Times New Roman" w:hAnsi="Times New Roman"/>
        </w:rPr>
        <w:footnoteReference w:id="436"/>
      </w:r>
    </w:p>
    <w:p w:rsidR="002B682F" w:rsidRPr="00DA3BC7" w:rsidRDefault="002B682F" w:rsidP="00AE3920">
      <w:pPr>
        <w:overflowPunct w:val="0"/>
        <w:autoSpaceDE w:val="0"/>
        <w:autoSpaceDN w:val="0"/>
        <w:spacing w:beforeLines="20"/>
        <w:ind w:leftChars="300" w:left="720"/>
        <w:jc w:val="both"/>
      </w:pPr>
      <w:r w:rsidRPr="00DA3BC7">
        <w:t>若法執為實有，現在如此，未來也應如此，即墮於</w:t>
      </w:r>
      <w:r w:rsidRPr="00DA3BC7">
        <w:rPr>
          <w:b/>
        </w:rPr>
        <w:t>常見</w:t>
      </w:r>
      <w:r w:rsidRPr="00DA3BC7">
        <w:t>。</w:t>
      </w:r>
    </w:p>
    <w:p w:rsidR="002B682F" w:rsidRPr="00DA3BC7" w:rsidRDefault="002B682F" w:rsidP="00E30BE9">
      <w:pPr>
        <w:overflowPunct w:val="0"/>
        <w:autoSpaceDE w:val="0"/>
        <w:autoSpaceDN w:val="0"/>
        <w:ind w:leftChars="300" w:left="720"/>
        <w:jc w:val="both"/>
      </w:pPr>
      <w:r w:rsidRPr="00DA3BC7">
        <w:t>若說先有而後無，即是落於</w:t>
      </w:r>
      <w:r w:rsidRPr="00DA3BC7">
        <w:rPr>
          <w:b/>
        </w:rPr>
        <w:t>斷見</w:t>
      </w:r>
      <w:r w:rsidRPr="00DA3BC7">
        <w:t>。</w:t>
      </w:r>
    </w:p>
    <w:p w:rsidR="002B682F" w:rsidRPr="00DA3BC7" w:rsidRDefault="002B682F" w:rsidP="00E30BE9">
      <w:pPr>
        <w:overflowPunct w:val="0"/>
        <w:autoSpaceDE w:val="0"/>
        <w:autoSpaceDN w:val="0"/>
        <w:ind w:leftChars="300" w:left="720"/>
        <w:jc w:val="both"/>
      </w:pPr>
      <w:r w:rsidRPr="00DA3BC7">
        <w:t>〈</w:t>
      </w:r>
      <w:r w:rsidRPr="00DA3BC7">
        <w:rPr>
          <w:rFonts w:ascii="Times New Roman" w:hAnsi="Times New Roman" w:hint="eastAsia"/>
        </w:rPr>
        <w:t>15</w:t>
      </w:r>
      <w:r w:rsidRPr="00DA3BC7">
        <w:rPr>
          <w:rFonts w:hint="eastAsia"/>
        </w:rPr>
        <w:t xml:space="preserve"> </w:t>
      </w:r>
      <w:r w:rsidRPr="00DA3BC7">
        <w:t>觀有無品〉和〈</w:t>
      </w:r>
      <w:r w:rsidRPr="00DA3BC7">
        <w:rPr>
          <w:rFonts w:ascii="Times New Roman" w:hAnsi="Times New Roman" w:hint="eastAsia"/>
        </w:rPr>
        <w:t>21</w:t>
      </w:r>
      <w:r w:rsidRPr="00DA3BC7">
        <w:rPr>
          <w:rFonts w:hint="eastAsia"/>
        </w:rPr>
        <w:t xml:space="preserve"> </w:t>
      </w:r>
      <w:r w:rsidRPr="00DA3BC7">
        <w:t>觀成壞品〉，明確的指出這種思想的錯誤。</w:t>
      </w:r>
      <w:r w:rsidR="00F63F7D" w:rsidRPr="00DA3BC7">
        <w:rPr>
          <w:rStyle w:val="a6"/>
          <w:rFonts w:ascii="Times New Roman" w:hAnsi="Times New Roman"/>
        </w:rPr>
        <w:footnoteReference w:id="437"/>
      </w:r>
    </w:p>
    <w:p w:rsidR="002B682F" w:rsidRPr="00DA3BC7" w:rsidRDefault="002B682F" w:rsidP="00AE3920">
      <w:pPr>
        <w:overflowPunct w:val="0"/>
        <w:autoSpaceDE w:val="0"/>
        <w:autoSpaceDN w:val="0"/>
        <w:spacing w:beforeLines="20"/>
        <w:ind w:leftChars="300" w:left="720"/>
        <w:jc w:val="both"/>
      </w:pPr>
      <w:r w:rsidRPr="00DA3BC7">
        <w:t>《六十如理論》也曾說到：「</w:t>
      </w:r>
      <w:r w:rsidRPr="00DA3BC7">
        <w:rPr>
          <w:rFonts w:ascii="標楷體" w:eastAsia="標楷體" w:hAnsi="標楷體"/>
        </w:rPr>
        <w:t>若有許諸法，緣起而實有，彼亦云何能，不生常等過？</w:t>
      </w:r>
      <w:r w:rsidRPr="00DA3BC7">
        <w:t>」</w:t>
      </w:r>
      <w:r w:rsidRPr="00DA3BC7">
        <w:rPr>
          <w:rStyle w:val="a6"/>
          <w:rFonts w:ascii="Times New Roman" w:hAnsi="Times New Roman"/>
        </w:rPr>
        <w:footnoteReference w:id="438"/>
      </w:r>
    </w:p>
    <w:p w:rsidR="002B682F" w:rsidRPr="00DA3BC7" w:rsidRDefault="002B682F" w:rsidP="00E30BE9">
      <w:pPr>
        <w:overflowPunct w:val="0"/>
        <w:autoSpaceDE w:val="0"/>
        <w:autoSpaceDN w:val="0"/>
        <w:ind w:leftChars="300" w:left="720"/>
        <w:jc w:val="both"/>
      </w:pPr>
      <w:r w:rsidRPr="00DA3BC7">
        <w:t>故此中所講的斷常，是非常深廣的</w:t>
      </w:r>
      <w:r w:rsidRPr="00DA3BC7">
        <w:rPr>
          <w:rFonts w:hint="eastAsia"/>
        </w:rPr>
        <w:t>，</w:t>
      </w:r>
      <w:r w:rsidRPr="00DA3BC7">
        <w:t>甚至</w:t>
      </w:r>
      <w:r w:rsidRPr="00DA3BC7">
        <w:rPr>
          <w:b/>
        </w:rPr>
        <w:t>見有煩惱可斷，即斷見；有涅槃</w:t>
      </w:r>
      <w:r w:rsidRPr="00DA3BC7">
        <w:rPr>
          <w:b/>
          <w:spacing w:val="-8"/>
        </w:rPr>
        <w:t>常住，即常見。</w:t>
      </w:r>
      <w:r w:rsidRPr="00DA3BC7">
        <w:rPr>
          <w:spacing w:val="-8"/>
        </w:rPr>
        <w:t>而涅槃是「</w:t>
      </w:r>
      <w:r w:rsidRPr="00DA3BC7">
        <w:rPr>
          <w:rFonts w:ascii="標楷體" w:eastAsia="標楷體" w:hAnsi="標楷體"/>
          <w:spacing w:val="-8"/>
        </w:rPr>
        <w:t>不斷亦不常</w:t>
      </w:r>
      <w:r w:rsidRPr="00DA3BC7">
        <w:rPr>
          <w:rFonts w:ascii="新細明體" w:hAnsi="新細明體" w:hint="eastAsia"/>
          <w:spacing w:val="-8"/>
        </w:rPr>
        <w:t>……</w:t>
      </w:r>
      <w:r w:rsidRPr="00DA3BC7">
        <w:rPr>
          <w:rFonts w:ascii="標楷體" w:eastAsia="標楷體" w:hAnsi="標楷體"/>
          <w:spacing w:val="-8"/>
        </w:rPr>
        <w:t>是說名涅槃</w:t>
      </w:r>
      <w:r w:rsidRPr="00DA3BC7">
        <w:rPr>
          <w:spacing w:val="-8"/>
        </w:rPr>
        <w:t>」（〈</w:t>
      </w:r>
      <w:r w:rsidRPr="00DA3BC7">
        <w:rPr>
          <w:rFonts w:ascii="Times New Roman" w:hAnsi="Times New Roman" w:hint="eastAsia"/>
          <w:spacing w:val="-8"/>
        </w:rPr>
        <w:t>25</w:t>
      </w:r>
      <w:r w:rsidRPr="00DA3BC7">
        <w:rPr>
          <w:rFonts w:hint="eastAsia"/>
          <w:spacing w:val="-8"/>
        </w:rPr>
        <w:t xml:space="preserve"> </w:t>
      </w:r>
      <w:r w:rsidRPr="00DA3BC7">
        <w:rPr>
          <w:spacing w:val="-8"/>
        </w:rPr>
        <w:t>觀涅槃品〉）。</w:t>
      </w:r>
      <w:r w:rsidRPr="00DA3BC7">
        <w:rPr>
          <w:rStyle w:val="a6"/>
          <w:rFonts w:ascii="Times New Roman" w:hAnsi="Times New Roman"/>
          <w:spacing w:val="-8"/>
        </w:rPr>
        <w:footnoteReference w:id="439"/>
      </w:r>
    </w:p>
    <w:p w:rsidR="002B682F" w:rsidRPr="00DA3BC7" w:rsidRDefault="002B682F" w:rsidP="00AE3920">
      <w:pPr>
        <w:overflowPunct w:val="0"/>
        <w:autoSpaceDE w:val="0"/>
        <w:autoSpaceDN w:val="0"/>
        <w:spacing w:beforeLines="20"/>
        <w:ind w:leftChars="300" w:left="720"/>
        <w:jc w:val="both"/>
      </w:pPr>
      <w:r w:rsidRPr="00DA3BC7">
        <w:lastRenderedPageBreak/>
        <w:t>總之，不見緣起真義，那恒常與變化，變與不變，為此</w:t>
      </w:r>
      <w:r w:rsidRPr="00D969B4">
        <w:rPr>
          <w:b/>
          <w:u w:val="wave" w:color="C00000"/>
        </w:rPr>
        <w:t>常見</w:t>
      </w:r>
      <w:r w:rsidRPr="00DA3BC7">
        <w:t>、</w:t>
      </w:r>
      <w:r w:rsidRPr="00D969B4">
        <w:rPr>
          <w:b/>
          <w:u w:val="wave" w:color="C00000"/>
        </w:rPr>
        <w:t>斷見</w:t>
      </w:r>
      <w:r w:rsidRPr="00DA3BC7">
        <w:t>所攝。</w:t>
      </w:r>
    </w:p>
    <w:p w:rsidR="002B682F" w:rsidRPr="00DA3BC7" w:rsidRDefault="00A477BF" w:rsidP="00AE3920">
      <w:pPr>
        <w:widowControl/>
        <w:overflowPunct w:val="0"/>
        <w:autoSpaceDE w:val="0"/>
        <w:autoSpaceDN w:val="0"/>
        <w:spacing w:beforeLines="30"/>
        <w:ind w:leftChars="150" w:left="360"/>
        <w:jc w:val="both"/>
        <w:rPr>
          <w:bCs/>
          <w:sz w:val="20"/>
          <w:szCs w:val="20"/>
        </w:rPr>
      </w:pPr>
      <w:r w:rsidRPr="00A477BF">
        <w:rPr>
          <w:b/>
          <w:color w:val="FF0000"/>
          <w:sz w:val="20"/>
          <w:szCs w:val="20"/>
          <w:highlight w:val="yellow"/>
          <w:bdr w:val="single" w:sz="4" w:space="0" w:color="auto"/>
        </w:rPr>
        <w:t>（</w:t>
      </w:r>
      <w:r w:rsidRPr="00A477BF">
        <w:rPr>
          <w:rFonts w:hint="eastAsia"/>
          <w:b/>
          <w:bCs/>
          <w:color w:val="FF0000"/>
          <w:sz w:val="20"/>
          <w:szCs w:val="20"/>
          <w:highlight w:val="yellow"/>
          <w:bdr w:val="single" w:sz="4" w:space="0" w:color="auto"/>
        </w:rPr>
        <w:t>三</w:t>
      </w:r>
      <w:r w:rsidRPr="00A477BF">
        <w:rPr>
          <w:b/>
          <w:color w:val="FF0000"/>
          <w:sz w:val="20"/>
          <w:szCs w:val="20"/>
          <w:highlight w:val="yellow"/>
          <w:bdr w:val="single" w:sz="4" w:space="0" w:color="auto"/>
        </w:rPr>
        <w:t>）</w:t>
      </w:r>
      <w:r w:rsidR="002B682F" w:rsidRPr="00DA3BC7">
        <w:rPr>
          <w:b/>
          <w:bCs/>
          <w:sz w:val="20"/>
          <w:szCs w:val="20"/>
          <w:bdr w:val="single" w:sz="4" w:space="0" w:color="auto"/>
        </w:rPr>
        <w:t>「一」與「異」</w:t>
      </w:r>
      <w:r w:rsidR="002B682F" w:rsidRPr="00DA3BC7">
        <w:rPr>
          <w:bCs/>
          <w:sz w:val="20"/>
          <w:szCs w:val="20"/>
        </w:rPr>
        <w:t>（</w:t>
      </w:r>
      <w:r w:rsidR="002B682F" w:rsidRPr="00DA3BC7">
        <w:rPr>
          <w:rFonts w:ascii="Times New Roman" w:hAnsi="Times New Roman"/>
          <w:bCs/>
          <w:sz w:val="20"/>
          <w:szCs w:val="20"/>
        </w:rPr>
        <w:t>pp</w:t>
      </w:r>
      <w:r w:rsidR="002B682F" w:rsidRPr="00DA3BC7">
        <w:rPr>
          <w:bCs/>
          <w:sz w:val="20"/>
          <w:szCs w:val="20"/>
        </w:rPr>
        <w:t>.</w:t>
      </w:r>
      <w:r w:rsidR="002B682F" w:rsidRPr="00DA3BC7">
        <w:rPr>
          <w:rFonts w:ascii="Times New Roman" w:hAnsi="Times New Roman"/>
          <w:bCs/>
          <w:sz w:val="20"/>
          <w:szCs w:val="20"/>
        </w:rPr>
        <w:t>89</w:t>
      </w:r>
      <w:r w:rsidR="002B682F" w:rsidRPr="00DA3BC7">
        <w:rPr>
          <w:bCs/>
          <w:sz w:val="20"/>
          <w:szCs w:val="20"/>
        </w:rPr>
        <w:t>-</w:t>
      </w:r>
      <w:r w:rsidR="002B682F" w:rsidRPr="00DA3BC7">
        <w:rPr>
          <w:rFonts w:ascii="Times New Roman" w:hAnsi="Times New Roman"/>
          <w:bCs/>
          <w:sz w:val="20"/>
          <w:szCs w:val="20"/>
        </w:rPr>
        <w:t>90</w:t>
      </w:r>
      <w:r w:rsidR="002B682F" w:rsidRPr="00DA3BC7">
        <w:rPr>
          <w:bCs/>
          <w:sz w:val="20"/>
          <w:szCs w:val="20"/>
        </w:rPr>
        <w:t>）</w:t>
      </w:r>
    </w:p>
    <w:p w:rsidR="002B682F" w:rsidRPr="00DA3BC7" w:rsidRDefault="00A477BF" w:rsidP="00E30BE9">
      <w:pPr>
        <w:overflowPunct w:val="0"/>
        <w:autoSpaceDE w:val="0"/>
        <w:autoSpaceDN w:val="0"/>
        <w:ind w:leftChars="200" w:left="480"/>
        <w:jc w:val="both"/>
        <w:rPr>
          <w:b/>
          <w:sz w:val="20"/>
          <w:szCs w:val="20"/>
          <w:bdr w:val="single" w:sz="4" w:space="0" w:color="auto"/>
        </w:rPr>
      </w:pPr>
      <w:r w:rsidRPr="00A477BF">
        <w:rPr>
          <w:rFonts w:ascii="Times New Roman" w:hAnsi="Times New Roman" w:hint="eastAsia"/>
          <w:b/>
          <w:bCs/>
          <w:color w:val="FF0000"/>
          <w:sz w:val="20"/>
          <w:szCs w:val="20"/>
          <w:highlight w:val="yellow"/>
          <w:bdr w:val="single" w:sz="4" w:space="0" w:color="auto"/>
        </w:rPr>
        <w:t>1</w:t>
      </w:r>
      <w:r w:rsidRPr="00A477BF">
        <w:rPr>
          <w:b/>
          <w:bCs/>
          <w:color w:val="FF0000"/>
          <w:sz w:val="20"/>
          <w:szCs w:val="20"/>
          <w:highlight w:val="yellow"/>
          <w:bdr w:val="single" w:sz="4" w:space="0" w:color="auto"/>
        </w:rPr>
        <w:t>、</w:t>
      </w:r>
      <w:r w:rsidRPr="00A477BF">
        <w:rPr>
          <w:rFonts w:hint="eastAsia"/>
          <w:b/>
          <w:color w:val="FF0000"/>
          <w:sz w:val="20"/>
          <w:szCs w:val="20"/>
          <w:highlight w:val="yellow"/>
          <w:bdr w:val="single" w:sz="4" w:space="0" w:color="auto"/>
        </w:rPr>
        <w:t>概說</w:t>
      </w:r>
      <w:r w:rsidR="002B682F" w:rsidRPr="00DA3BC7">
        <w:rPr>
          <w:sz w:val="20"/>
          <w:szCs w:val="20"/>
        </w:rPr>
        <w:t>（</w:t>
      </w:r>
      <w:r w:rsidR="002B682F" w:rsidRPr="00DA3BC7">
        <w:rPr>
          <w:rFonts w:ascii="Times New Roman" w:hAnsi="Times New Roman"/>
          <w:bCs/>
          <w:sz w:val="20"/>
          <w:szCs w:val="20"/>
        </w:rPr>
        <w:t>p</w:t>
      </w:r>
      <w:r w:rsidR="002B682F" w:rsidRPr="00DA3BC7">
        <w:rPr>
          <w:bCs/>
          <w:sz w:val="20"/>
          <w:szCs w:val="20"/>
        </w:rPr>
        <w:t>.</w:t>
      </w:r>
      <w:r w:rsidR="002B682F" w:rsidRPr="00DA3BC7">
        <w:rPr>
          <w:rFonts w:ascii="Times New Roman" w:hAnsi="Times New Roman"/>
          <w:bCs/>
          <w:sz w:val="20"/>
          <w:szCs w:val="20"/>
        </w:rPr>
        <w:t>89</w:t>
      </w:r>
      <w:r w:rsidR="002B682F" w:rsidRPr="00DA3BC7">
        <w:rPr>
          <w:sz w:val="20"/>
          <w:szCs w:val="20"/>
        </w:rPr>
        <w:t>）</w:t>
      </w:r>
    </w:p>
    <w:p w:rsidR="002B682F" w:rsidRPr="00DA3BC7" w:rsidRDefault="002B682F" w:rsidP="00E30BE9">
      <w:pPr>
        <w:overflowPunct w:val="0"/>
        <w:autoSpaceDE w:val="0"/>
        <w:autoSpaceDN w:val="0"/>
        <w:ind w:leftChars="200" w:left="480"/>
        <w:jc w:val="both"/>
      </w:pPr>
      <w:r w:rsidRPr="00D969B4">
        <w:rPr>
          <w:b/>
          <w:u w:val="wave" w:color="C00000"/>
        </w:rPr>
        <w:t>一異</w:t>
      </w:r>
      <w:r w:rsidRPr="00DA3BC7">
        <w:t>，是極重要的，印度六十二見</w:t>
      </w:r>
      <w:r w:rsidRPr="00DA3BC7">
        <w:rPr>
          <w:rStyle w:val="a6"/>
          <w:rFonts w:ascii="Times New Roman" w:hAnsi="Times New Roman"/>
        </w:rPr>
        <w:footnoteReference w:id="440"/>
      </w:r>
      <w:r w:rsidRPr="00DA3BC7">
        <w:t>即以此</w:t>
      </w:r>
      <w:r w:rsidRPr="00D969B4">
        <w:rPr>
          <w:b/>
          <w:u w:val="wave" w:color="C00000"/>
        </w:rPr>
        <w:t>一見</w:t>
      </w:r>
      <w:r w:rsidRPr="00DA3BC7">
        <w:rPr>
          <w:rFonts w:hint="eastAsia"/>
        </w:rPr>
        <w:t>、</w:t>
      </w:r>
      <w:r w:rsidRPr="00D969B4">
        <w:rPr>
          <w:b/>
          <w:u w:val="wave" w:color="C00000"/>
        </w:rPr>
        <w:t>異見</w:t>
      </w:r>
      <w:r w:rsidRPr="00DA3BC7">
        <w:t>為根本。</w:t>
      </w:r>
    </w:p>
    <w:p w:rsidR="002B682F" w:rsidRPr="00DA3BC7" w:rsidRDefault="002B682F" w:rsidP="00E30BE9">
      <w:pPr>
        <w:overflowPunct w:val="0"/>
        <w:autoSpaceDE w:val="0"/>
        <w:autoSpaceDN w:val="0"/>
        <w:ind w:leftChars="200" w:left="480"/>
        <w:jc w:val="both"/>
      </w:pPr>
      <w:r w:rsidRPr="00DA3BC7">
        <w:t>現代辯證唯物論所說的矛盾</w:t>
      </w:r>
      <w:r w:rsidRPr="00DA3BC7">
        <w:rPr>
          <w:rFonts w:hint="eastAsia"/>
        </w:rPr>
        <w:t>、</w:t>
      </w:r>
      <w:r w:rsidRPr="00DA3BC7">
        <w:t>統一等，也不出</w:t>
      </w:r>
      <w:r w:rsidRPr="00D969B4">
        <w:rPr>
          <w:b/>
          <w:u w:val="wave" w:color="C00000"/>
        </w:rPr>
        <w:t>一異</w:t>
      </w:r>
      <w:r w:rsidRPr="00DA3BC7">
        <w:t>的範圍。</w:t>
      </w:r>
    </w:p>
    <w:p w:rsidR="00A477BF" w:rsidRDefault="00A477BF" w:rsidP="00AE3920">
      <w:pPr>
        <w:overflowPunct w:val="0"/>
        <w:autoSpaceDE w:val="0"/>
        <w:autoSpaceDN w:val="0"/>
        <w:spacing w:beforeLines="30"/>
        <w:ind w:leftChars="200" w:left="480"/>
        <w:jc w:val="both"/>
        <w:rPr>
          <w:b/>
          <w:color w:val="FF0000"/>
          <w:sz w:val="20"/>
          <w:szCs w:val="20"/>
          <w:bdr w:val="single" w:sz="4" w:space="0" w:color="auto"/>
        </w:rPr>
      </w:pPr>
      <w:r w:rsidRPr="00A477BF">
        <w:rPr>
          <w:rFonts w:ascii="Times New Roman" w:hAnsi="Times New Roman" w:hint="eastAsia"/>
          <w:b/>
          <w:color w:val="FF0000"/>
          <w:sz w:val="20"/>
          <w:szCs w:val="20"/>
          <w:highlight w:val="yellow"/>
          <w:bdr w:val="single" w:sz="4" w:space="0" w:color="auto"/>
        </w:rPr>
        <w:t>2</w:t>
      </w:r>
      <w:r w:rsidRPr="00A477BF">
        <w:rPr>
          <w:rFonts w:hint="eastAsia"/>
          <w:b/>
          <w:color w:val="FF0000"/>
          <w:sz w:val="20"/>
          <w:szCs w:val="20"/>
          <w:highlight w:val="yellow"/>
          <w:bdr w:val="single" w:sz="4" w:space="0" w:color="auto"/>
        </w:rPr>
        <w:t>、敘明</w:t>
      </w:r>
    </w:p>
    <w:p w:rsidR="002B682F" w:rsidRPr="00DA3BC7" w:rsidRDefault="002B682F" w:rsidP="00E30BE9">
      <w:pPr>
        <w:ind w:leftChars="250" w:left="600"/>
        <w:jc w:val="both"/>
        <w:rPr>
          <w:b/>
        </w:rPr>
      </w:pPr>
      <w:r w:rsidRPr="00A477BF">
        <w:rPr>
          <w:b/>
          <w:color w:val="FF0000"/>
          <w:sz w:val="20"/>
          <w:szCs w:val="20"/>
          <w:highlight w:val="yellow"/>
          <w:bdr w:val="single" w:sz="4" w:space="0" w:color="auto"/>
        </w:rPr>
        <w:t>（</w:t>
      </w:r>
      <w:r w:rsidR="00A477BF" w:rsidRPr="00A477BF">
        <w:rPr>
          <w:rFonts w:ascii="Times New Roman" w:hAnsi="Times New Roman" w:hint="eastAsia"/>
          <w:b/>
          <w:color w:val="FF0000"/>
          <w:sz w:val="20"/>
          <w:szCs w:val="20"/>
          <w:highlight w:val="yellow"/>
          <w:bdr w:val="single" w:sz="4" w:space="0" w:color="auto"/>
        </w:rPr>
        <w:t>1</w:t>
      </w:r>
      <w:r w:rsidRPr="00A477BF">
        <w:rPr>
          <w:b/>
          <w:color w:val="FF0000"/>
          <w:sz w:val="20"/>
          <w:szCs w:val="20"/>
          <w:highlight w:val="yellow"/>
          <w:bdr w:val="single" w:sz="4" w:space="0" w:color="auto"/>
        </w:rPr>
        <w:t>）「一」</w:t>
      </w:r>
      <w:r w:rsidR="00A477BF" w:rsidRPr="00A477BF">
        <w:rPr>
          <w:rFonts w:hint="eastAsia"/>
          <w:b/>
          <w:color w:val="FF0000"/>
          <w:sz w:val="20"/>
          <w:szCs w:val="20"/>
          <w:highlight w:val="yellow"/>
          <w:bdr w:val="single" w:sz="4" w:space="0" w:color="auto"/>
        </w:rPr>
        <w:t>、</w:t>
      </w:r>
      <w:r w:rsidRPr="00A477BF">
        <w:rPr>
          <w:b/>
          <w:color w:val="FF0000"/>
          <w:sz w:val="20"/>
          <w:szCs w:val="20"/>
          <w:highlight w:val="yellow"/>
          <w:bdr w:val="single" w:sz="4" w:space="0" w:color="auto"/>
        </w:rPr>
        <w:t>「異」的</w:t>
      </w:r>
      <w:r w:rsidR="00A477BF" w:rsidRPr="00A477BF">
        <w:rPr>
          <w:rFonts w:hint="eastAsia"/>
          <w:b/>
          <w:color w:val="FF0000"/>
          <w:sz w:val="20"/>
          <w:szCs w:val="20"/>
          <w:highlight w:val="yellow"/>
          <w:bdr w:val="single" w:sz="4" w:space="0" w:color="auto"/>
        </w:rPr>
        <w:t>定</w:t>
      </w:r>
      <w:r w:rsidRPr="00A477BF">
        <w:rPr>
          <w:b/>
          <w:color w:val="FF0000"/>
          <w:sz w:val="20"/>
          <w:szCs w:val="20"/>
          <w:highlight w:val="yellow"/>
          <w:bdr w:val="single" w:sz="4" w:space="0" w:color="auto"/>
        </w:rPr>
        <w:t>義</w:t>
      </w:r>
      <w:r w:rsidRPr="00DA3BC7">
        <w:rPr>
          <w:rStyle w:val="a6"/>
          <w:rFonts w:ascii="Times New Roman" w:hAnsi="Times New Roman"/>
        </w:rPr>
        <w:footnoteReference w:id="441"/>
      </w:r>
      <w:r w:rsidRPr="00DA3BC7">
        <w:rPr>
          <w:sz w:val="20"/>
          <w:szCs w:val="20"/>
        </w:rPr>
        <w:t>（</w:t>
      </w:r>
      <w:r w:rsidRPr="00DA3BC7">
        <w:rPr>
          <w:rFonts w:ascii="Times New Roman" w:hAnsi="Times New Roman"/>
          <w:bCs/>
          <w:sz w:val="20"/>
          <w:szCs w:val="20"/>
        </w:rPr>
        <w:t>p</w:t>
      </w:r>
      <w:r w:rsidRPr="00DA3BC7">
        <w:rPr>
          <w:bCs/>
          <w:sz w:val="20"/>
          <w:szCs w:val="20"/>
        </w:rPr>
        <w:t>.</w:t>
      </w:r>
      <w:r w:rsidRPr="00DA3BC7">
        <w:rPr>
          <w:rFonts w:ascii="Times New Roman" w:hAnsi="Times New Roman"/>
          <w:bCs/>
          <w:sz w:val="20"/>
          <w:szCs w:val="20"/>
        </w:rPr>
        <w:t>89</w:t>
      </w:r>
      <w:r w:rsidRPr="00DA3BC7">
        <w:rPr>
          <w:sz w:val="20"/>
          <w:szCs w:val="20"/>
        </w:rPr>
        <w:t>）</w:t>
      </w:r>
    </w:p>
    <w:p w:rsidR="002B682F" w:rsidRPr="00DA3BC7" w:rsidRDefault="00A477BF" w:rsidP="00E30BE9">
      <w:pPr>
        <w:ind w:leftChars="300" w:left="720"/>
        <w:jc w:val="both"/>
        <w:rPr>
          <w:b/>
          <w:sz w:val="20"/>
          <w:szCs w:val="20"/>
          <w:bdr w:val="single" w:sz="4" w:space="0" w:color="auto"/>
        </w:rPr>
      </w:pPr>
      <w:r w:rsidRPr="00A477BF">
        <w:rPr>
          <w:rFonts w:ascii="Times New Roman" w:hAnsi="Times New Roman" w:hint="eastAsia"/>
          <w:b/>
          <w:sz w:val="20"/>
          <w:szCs w:val="20"/>
          <w:bdr w:val="single" w:sz="4" w:space="0" w:color="auto"/>
        </w:rPr>
        <w:t>A</w:t>
      </w:r>
      <w:r w:rsidRPr="00A477BF">
        <w:rPr>
          <w:rFonts w:ascii="Times New Roman" w:hAnsi="Times New Roman" w:hint="eastAsia"/>
          <w:b/>
          <w:sz w:val="20"/>
          <w:szCs w:val="20"/>
          <w:bdr w:val="single" w:sz="4" w:space="0" w:color="auto"/>
        </w:rPr>
        <w:t>、</w:t>
      </w:r>
      <w:r w:rsidR="002B682F" w:rsidRPr="00DA3BC7">
        <w:rPr>
          <w:rFonts w:hint="eastAsia"/>
          <w:b/>
          <w:sz w:val="20"/>
          <w:szCs w:val="20"/>
          <w:bdr w:val="single" w:sz="4" w:space="0" w:color="auto"/>
        </w:rPr>
        <w:t>從「</w:t>
      </w:r>
      <w:r w:rsidR="002B682F" w:rsidRPr="00DA3BC7">
        <w:rPr>
          <w:b/>
          <w:sz w:val="20"/>
          <w:szCs w:val="20"/>
          <w:bdr w:val="single" w:sz="4" w:space="0" w:color="auto"/>
        </w:rPr>
        <w:t>總合與部分」</w:t>
      </w:r>
      <w:r w:rsidR="002B682F" w:rsidRPr="00DA3BC7">
        <w:rPr>
          <w:rFonts w:hint="eastAsia"/>
          <w:b/>
          <w:sz w:val="20"/>
          <w:szCs w:val="20"/>
          <w:bdr w:val="single" w:sz="4" w:space="0" w:color="auto"/>
        </w:rPr>
        <w:t>及</w:t>
      </w:r>
      <w:r w:rsidR="002B682F" w:rsidRPr="00DA3BC7">
        <w:rPr>
          <w:b/>
          <w:sz w:val="20"/>
          <w:szCs w:val="20"/>
          <w:bdr w:val="single" w:sz="4" w:space="0" w:color="auto"/>
        </w:rPr>
        <w:t>「單一與雜多」</w:t>
      </w:r>
      <w:r w:rsidR="002B682F" w:rsidRPr="00DA3BC7">
        <w:rPr>
          <w:rFonts w:hint="eastAsia"/>
          <w:b/>
          <w:sz w:val="20"/>
          <w:szCs w:val="20"/>
          <w:bdr w:val="single" w:sz="4" w:space="0" w:color="auto"/>
        </w:rPr>
        <w:t>來說</w:t>
      </w:r>
      <w:r w:rsidR="002B682F" w:rsidRPr="00DA3BC7">
        <w:rPr>
          <w:sz w:val="20"/>
          <w:szCs w:val="20"/>
        </w:rPr>
        <w:t>（</w:t>
      </w:r>
      <w:r w:rsidR="002B682F" w:rsidRPr="00DA3BC7">
        <w:rPr>
          <w:rFonts w:ascii="Times New Roman" w:hAnsi="Times New Roman"/>
          <w:bCs/>
          <w:sz w:val="20"/>
          <w:szCs w:val="20"/>
        </w:rPr>
        <w:t>p</w:t>
      </w:r>
      <w:r w:rsidR="002B682F" w:rsidRPr="00DA3BC7">
        <w:rPr>
          <w:bCs/>
          <w:sz w:val="20"/>
          <w:szCs w:val="20"/>
        </w:rPr>
        <w:t>.</w:t>
      </w:r>
      <w:r w:rsidR="002B682F" w:rsidRPr="00DA3BC7">
        <w:rPr>
          <w:rFonts w:ascii="Times New Roman" w:hAnsi="Times New Roman"/>
          <w:bCs/>
          <w:sz w:val="20"/>
          <w:szCs w:val="20"/>
        </w:rPr>
        <w:t>89</w:t>
      </w:r>
      <w:r w:rsidR="002B682F" w:rsidRPr="00DA3BC7">
        <w:rPr>
          <w:sz w:val="20"/>
          <w:szCs w:val="20"/>
        </w:rPr>
        <w:t>）</w:t>
      </w:r>
    </w:p>
    <w:p w:rsidR="002B682F" w:rsidRPr="00DA3BC7" w:rsidRDefault="002B682F" w:rsidP="00E30BE9">
      <w:pPr>
        <w:ind w:leftChars="300" w:left="720"/>
        <w:jc w:val="both"/>
      </w:pPr>
      <w:r w:rsidRPr="00D969B4">
        <w:rPr>
          <w:b/>
          <w:u w:val="wave" w:color="C00000"/>
        </w:rPr>
        <w:t>一</w:t>
      </w:r>
      <w:r w:rsidRPr="00DA3BC7">
        <w:t>即同一，</w:t>
      </w:r>
      <w:r w:rsidRPr="00D969B4">
        <w:rPr>
          <w:b/>
          <w:u w:val="wave" w:color="C00000"/>
        </w:rPr>
        <w:t>異</w:t>
      </w:r>
      <w:r w:rsidRPr="00DA3BC7">
        <w:t>即別異，且說兩種看法：</w:t>
      </w:r>
    </w:p>
    <w:p w:rsidR="002B682F" w:rsidRPr="00DA3BC7" w:rsidRDefault="002B682F" w:rsidP="00AE3920">
      <w:pPr>
        <w:spacing w:beforeLines="30"/>
        <w:ind w:leftChars="350" w:left="840"/>
        <w:jc w:val="both"/>
      </w:pPr>
      <w:r w:rsidRPr="00A477BF">
        <w:rPr>
          <w:rFonts w:hint="eastAsia"/>
          <w:b/>
          <w:color w:val="FF0000"/>
          <w:sz w:val="20"/>
          <w:szCs w:val="20"/>
          <w:highlight w:val="yellow"/>
          <w:bdr w:val="single" w:sz="4" w:space="0" w:color="auto"/>
        </w:rPr>
        <w:t>（</w:t>
      </w:r>
      <w:r w:rsidR="00A477BF" w:rsidRPr="00A477BF">
        <w:rPr>
          <w:rFonts w:ascii="Times New Roman" w:hAnsi="Times New Roman" w:hint="eastAsia"/>
          <w:b/>
          <w:color w:val="FF0000"/>
          <w:sz w:val="20"/>
          <w:szCs w:val="20"/>
          <w:highlight w:val="yellow"/>
          <w:bdr w:val="single" w:sz="4" w:space="0" w:color="auto"/>
        </w:rPr>
        <w:t>A</w:t>
      </w:r>
      <w:r w:rsidRPr="00A477BF">
        <w:rPr>
          <w:rFonts w:hint="eastAsia"/>
          <w:b/>
          <w:color w:val="FF0000"/>
          <w:sz w:val="20"/>
          <w:szCs w:val="20"/>
          <w:highlight w:val="yellow"/>
          <w:bdr w:val="single" w:sz="4" w:space="0" w:color="auto"/>
        </w:rPr>
        <w:t>）</w:t>
      </w:r>
      <w:r w:rsidRPr="00DA3BC7">
        <w:rPr>
          <w:b/>
          <w:sz w:val="20"/>
          <w:szCs w:val="20"/>
          <w:bdr w:val="single" w:sz="4" w:space="0" w:color="auto"/>
        </w:rPr>
        <w:t>「整體」是「一」</w:t>
      </w:r>
      <w:r w:rsidRPr="00DA3BC7">
        <w:rPr>
          <w:rFonts w:hint="eastAsia"/>
          <w:b/>
          <w:sz w:val="20"/>
          <w:szCs w:val="20"/>
          <w:bdr w:val="single" w:sz="4" w:space="0" w:color="auto"/>
        </w:rPr>
        <w:t>，</w:t>
      </w:r>
      <w:r w:rsidRPr="00DA3BC7">
        <w:rPr>
          <w:b/>
          <w:sz w:val="20"/>
          <w:szCs w:val="20"/>
          <w:bdr w:val="single" w:sz="4" w:space="0" w:color="auto"/>
        </w:rPr>
        <w:t>「部分」為「異</w:t>
      </w:r>
      <w:r w:rsidRPr="00A477BF">
        <w:rPr>
          <w:b/>
          <w:sz w:val="20"/>
          <w:szCs w:val="20"/>
          <w:highlight w:val="yellow"/>
          <w:bdr w:val="single" w:sz="4" w:space="0" w:color="auto"/>
        </w:rPr>
        <w:t>」</w:t>
      </w:r>
      <w:r w:rsidRPr="00DA3BC7">
        <w:rPr>
          <w:sz w:val="20"/>
          <w:szCs w:val="20"/>
        </w:rPr>
        <w:t>（</w:t>
      </w:r>
      <w:r w:rsidRPr="00DA3BC7">
        <w:rPr>
          <w:rFonts w:ascii="Times New Roman" w:hAnsi="Times New Roman"/>
          <w:bCs/>
          <w:sz w:val="20"/>
          <w:szCs w:val="20"/>
        </w:rPr>
        <w:t>p</w:t>
      </w:r>
      <w:r w:rsidRPr="00DA3BC7">
        <w:rPr>
          <w:bCs/>
          <w:sz w:val="20"/>
          <w:szCs w:val="20"/>
        </w:rPr>
        <w:t>.</w:t>
      </w:r>
      <w:r w:rsidRPr="00DA3BC7">
        <w:rPr>
          <w:rFonts w:ascii="Times New Roman" w:hAnsi="Times New Roman"/>
          <w:bCs/>
          <w:sz w:val="20"/>
          <w:szCs w:val="20"/>
        </w:rPr>
        <w:t>89</w:t>
      </w:r>
      <w:r w:rsidRPr="00DA3BC7">
        <w:rPr>
          <w:sz w:val="20"/>
          <w:szCs w:val="20"/>
        </w:rPr>
        <w:t>）</w:t>
      </w:r>
    </w:p>
    <w:p w:rsidR="002B682F" w:rsidRPr="00DA3BC7" w:rsidRDefault="002B682F" w:rsidP="00E30BE9">
      <w:pPr>
        <w:ind w:leftChars="350" w:left="840"/>
        <w:jc w:val="both"/>
      </w:pPr>
      <w:r w:rsidRPr="00DA3BC7">
        <w:rPr>
          <w:rFonts w:hint="eastAsia"/>
        </w:rPr>
        <w:t>（一）</w:t>
      </w:r>
      <w:r w:rsidRPr="00DA3BC7">
        <w:t>如茶壺的整體是一（《金剛經》名為一合相</w:t>
      </w:r>
      <w:r w:rsidRPr="00DA3BC7">
        <w:rPr>
          <w:rStyle w:val="a6"/>
          <w:rFonts w:ascii="Times New Roman" w:hAnsi="Times New Roman"/>
        </w:rPr>
        <w:footnoteReference w:id="442"/>
      </w:r>
      <w:r w:rsidRPr="00DA3BC7">
        <w:t>），壺上有蓋、有嘴、有把等是異；人是一，眼、耳、手、足等即異。</w:t>
      </w:r>
    </w:p>
    <w:p w:rsidR="002B682F" w:rsidRPr="00DA3BC7" w:rsidRDefault="002B682F" w:rsidP="00E30BE9">
      <w:pPr>
        <w:ind w:leftChars="350" w:left="840"/>
        <w:jc w:val="both"/>
      </w:pPr>
      <w:r w:rsidRPr="00DA3BC7">
        <w:t>或名此一異為</w:t>
      </w:r>
      <w:r w:rsidRPr="00D969B4">
        <w:rPr>
          <w:b/>
          <w:u w:val="wave" w:color="C00000"/>
        </w:rPr>
        <w:t>有分</w:t>
      </w:r>
      <w:r w:rsidRPr="00DA3BC7">
        <w:t>與</w:t>
      </w:r>
      <w:r w:rsidRPr="00D969B4">
        <w:rPr>
          <w:b/>
          <w:u w:val="wave" w:color="C00000"/>
        </w:rPr>
        <w:t>分</w:t>
      </w:r>
      <w:r w:rsidRPr="00DA3BC7">
        <w:t>：</w:t>
      </w:r>
      <w:r w:rsidRPr="00D969B4">
        <w:rPr>
          <w:b/>
          <w:u w:val="wave" w:color="C00000"/>
        </w:rPr>
        <w:t>分</w:t>
      </w:r>
      <w:r w:rsidRPr="00DA3BC7">
        <w:t>即部分，</w:t>
      </w:r>
      <w:r w:rsidRPr="00D969B4">
        <w:rPr>
          <w:b/>
          <w:u w:val="wave" w:color="C00000"/>
        </w:rPr>
        <w:t>有分</w:t>
      </w:r>
      <w:r w:rsidRPr="00DA3BC7">
        <w:t>即能包攝部分的</w:t>
      </w:r>
      <w:r w:rsidRPr="00DA3BC7">
        <w:rPr>
          <w:rFonts w:hint="eastAsia"/>
        </w:rPr>
        <w:t>；</w:t>
      </w:r>
      <w:r w:rsidRPr="00DA3BC7">
        <w:t>換言之，就是</w:t>
      </w:r>
      <w:r w:rsidRPr="00D969B4">
        <w:rPr>
          <w:b/>
          <w:u w:val="wave" w:color="C00000"/>
        </w:rPr>
        <w:t>全體</w:t>
      </w:r>
      <w:r w:rsidRPr="00D969B4">
        <w:t>與</w:t>
      </w:r>
      <w:r w:rsidRPr="00D969B4">
        <w:rPr>
          <w:b/>
          <w:u w:val="wave" w:color="C00000"/>
        </w:rPr>
        <w:t>部分</w:t>
      </w:r>
      <w:r w:rsidRPr="00DA3BC7">
        <w:t>。全體即是</w:t>
      </w:r>
      <w:r w:rsidRPr="00D969B4">
        <w:rPr>
          <w:b/>
          <w:u w:val="wave" w:color="C00000"/>
        </w:rPr>
        <w:t>一</w:t>
      </w:r>
      <w:r w:rsidRPr="00DA3BC7">
        <w:t>，全體內的部分即</w:t>
      </w:r>
      <w:r w:rsidRPr="00D969B4">
        <w:rPr>
          <w:b/>
          <w:u w:val="wave" w:color="C00000"/>
        </w:rPr>
        <w:t>異</w:t>
      </w:r>
      <w:r w:rsidRPr="00DA3BC7">
        <w:t>。</w:t>
      </w:r>
    </w:p>
    <w:p w:rsidR="002B682F" w:rsidRPr="00DA3BC7" w:rsidRDefault="002B682F" w:rsidP="00E30BE9">
      <w:pPr>
        <w:ind w:leftChars="350" w:left="840"/>
        <w:jc w:val="both"/>
      </w:pPr>
      <w:r w:rsidRPr="00DA3BC7">
        <w:t>然而如分析到不可再分割的部分，又即是「其小無內」</w:t>
      </w:r>
      <w:r w:rsidR="00A477BF" w:rsidRPr="00A477BF">
        <w:rPr>
          <w:rStyle w:val="a6"/>
          <w:rFonts w:ascii="Times New Roman" w:hAnsi="Times New Roman"/>
          <w:highlight w:val="yellow"/>
        </w:rPr>
        <w:footnoteReference w:id="443"/>
      </w:r>
      <w:r w:rsidRPr="00DA3BC7">
        <w:t>的小一，統攝於</w:t>
      </w:r>
      <w:r w:rsidRPr="00D969B4">
        <w:rPr>
          <w:b/>
          <w:u w:val="wave" w:color="C00000"/>
        </w:rPr>
        <w:t>有分</w:t>
      </w:r>
      <w:r w:rsidRPr="00DA3BC7">
        <w:t>的全體。</w:t>
      </w:r>
    </w:p>
    <w:p w:rsidR="002B682F" w:rsidRPr="00DA3BC7" w:rsidRDefault="002B682F" w:rsidP="00AE3920">
      <w:pPr>
        <w:spacing w:beforeLines="30"/>
        <w:ind w:leftChars="350" w:left="840"/>
        <w:jc w:val="both"/>
      </w:pPr>
      <w:r w:rsidRPr="00A477BF">
        <w:rPr>
          <w:rFonts w:hint="eastAsia"/>
          <w:b/>
          <w:color w:val="FF0000"/>
          <w:sz w:val="20"/>
          <w:szCs w:val="20"/>
          <w:highlight w:val="yellow"/>
          <w:bdr w:val="single" w:sz="4" w:space="0" w:color="auto"/>
        </w:rPr>
        <w:t>（</w:t>
      </w:r>
      <w:r w:rsidR="00A477BF" w:rsidRPr="00A477BF">
        <w:rPr>
          <w:rFonts w:ascii="Times New Roman" w:hAnsi="Times New Roman" w:hint="eastAsia"/>
          <w:b/>
          <w:color w:val="FF0000"/>
          <w:sz w:val="20"/>
          <w:szCs w:val="20"/>
          <w:highlight w:val="yellow"/>
          <w:bdr w:val="single" w:sz="4" w:space="0" w:color="auto"/>
        </w:rPr>
        <w:t>B</w:t>
      </w:r>
      <w:r w:rsidRPr="00A477BF">
        <w:rPr>
          <w:rFonts w:hint="eastAsia"/>
          <w:b/>
          <w:color w:val="FF0000"/>
          <w:sz w:val="20"/>
          <w:szCs w:val="20"/>
          <w:highlight w:val="yellow"/>
          <w:bdr w:val="single" w:sz="4" w:space="0" w:color="auto"/>
        </w:rPr>
        <w:t>）</w:t>
      </w:r>
      <w:r w:rsidRPr="00DA3BC7">
        <w:rPr>
          <w:b/>
          <w:sz w:val="20"/>
          <w:szCs w:val="20"/>
          <w:bdr w:val="single" w:sz="4" w:space="0" w:color="auto"/>
        </w:rPr>
        <w:t>「單一」為「一」</w:t>
      </w:r>
      <w:r w:rsidRPr="00DA3BC7">
        <w:rPr>
          <w:rFonts w:hint="eastAsia"/>
          <w:b/>
          <w:sz w:val="20"/>
          <w:szCs w:val="20"/>
          <w:bdr w:val="single" w:sz="4" w:space="0" w:color="auto"/>
        </w:rPr>
        <w:t>，</w:t>
      </w:r>
      <w:r w:rsidRPr="00DA3BC7">
        <w:rPr>
          <w:b/>
          <w:sz w:val="20"/>
          <w:szCs w:val="20"/>
          <w:bdr w:val="single" w:sz="4" w:space="0" w:color="auto"/>
        </w:rPr>
        <w:t>「雜多」為「異</w:t>
      </w:r>
      <w:r w:rsidRPr="00A477BF">
        <w:rPr>
          <w:b/>
          <w:sz w:val="20"/>
          <w:szCs w:val="20"/>
          <w:highlight w:val="yellow"/>
          <w:bdr w:val="single" w:sz="4" w:space="0" w:color="auto"/>
        </w:rPr>
        <w:t>」</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89</w:t>
      </w:r>
      <w:r w:rsidRPr="00DA3BC7">
        <w:rPr>
          <w:sz w:val="20"/>
          <w:szCs w:val="20"/>
        </w:rPr>
        <w:t>）</w:t>
      </w:r>
    </w:p>
    <w:p w:rsidR="002B682F" w:rsidRPr="00DA3BC7" w:rsidRDefault="002B682F" w:rsidP="00E30BE9">
      <w:pPr>
        <w:ind w:leftChars="350" w:left="840"/>
        <w:jc w:val="both"/>
      </w:pPr>
      <w:r w:rsidRPr="00DA3BC7">
        <w:rPr>
          <w:rFonts w:hint="eastAsia"/>
        </w:rPr>
        <w:t>（二）</w:t>
      </w:r>
      <w:r w:rsidRPr="00DA3BC7">
        <w:t>如此個體而觀察此外的一切屋宇</w:t>
      </w:r>
      <w:r w:rsidRPr="00DA3BC7">
        <w:rPr>
          <w:rStyle w:val="a6"/>
          <w:rFonts w:ascii="Times New Roman" w:hAnsi="Times New Roman"/>
        </w:rPr>
        <w:footnoteReference w:id="444"/>
      </w:r>
      <w:r w:rsidRPr="00DA3BC7">
        <w:t>鳥獸魚蟲草木等，此即</w:t>
      </w:r>
      <w:r w:rsidRPr="00D969B4">
        <w:rPr>
          <w:b/>
          <w:u w:val="wave" w:color="C00000"/>
        </w:rPr>
        <w:t>一</w:t>
      </w:r>
      <w:r w:rsidRPr="00DA3BC7">
        <w:t>，而彼彼即</w:t>
      </w:r>
      <w:r w:rsidRPr="00D969B4">
        <w:rPr>
          <w:b/>
          <w:u w:val="wave" w:color="C00000"/>
        </w:rPr>
        <w:t>異</w:t>
      </w:r>
      <w:r w:rsidRPr="00DA3BC7">
        <w:t>，所以</w:t>
      </w:r>
      <w:r w:rsidRPr="00D969B4">
        <w:rPr>
          <w:b/>
          <w:u w:val="wave" w:color="C00000"/>
        </w:rPr>
        <w:t>異</w:t>
      </w:r>
      <w:r w:rsidRPr="00DA3BC7">
        <w:t>又譯為</w:t>
      </w:r>
      <w:r w:rsidRPr="00D969B4">
        <w:rPr>
          <w:b/>
          <w:u w:val="wave" w:color="C00000"/>
        </w:rPr>
        <w:t>種種</w:t>
      </w:r>
      <w:r w:rsidRPr="00DA3BC7">
        <w:t>。</w:t>
      </w:r>
    </w:p>
    <w:p w:rsidR="002B682F" w:rsidRPr="00DA3BC7" w:rsidRDefault="002B682F" w:rsidP="00E30BE9">
      <w:pPr>
        <w:ind w:leftChars="350" w:left="840"/>
        <w:jc w:val="both"/>
      </w:pPr>
      <w:r w:rsidRPr="00DA3BC7">
        <w:t>而此</w:t>
      </w:r>
      <w:r w:rsidRPr="00D969B4">
        <w:rPr>
          <w:b/>
          <w:u w:val="wave" w:color="C00000"/>
        </w:rPr>
        <w:t>種種</w:t>
      </w:r>
      <w:r w:rsidRPr="00DA3BC7">
        <w:t>，或又統攝於</w:t>
      </w:r>
      <w:r w:rsidRPr="00D969B4">
        <w:rPr>
          <w:b/>
          <w:u w:val="wave" w:color="C00000"/>
        </w:rPr>
        <w:t>一</w:t>
      </w:r>
      <w:r w:rsidRPr="00DA3BC7">
        <w:t>，即所謂「其大無外」</w:t>
      </w:r>
      <w:r w:rsidR="00A477BF" w:rsidRPr="00A477BF">
        <w:rPr>
          <w:rStyle w:val="a6"/>
          <w:rFonts w:ascii="Times New Roman" w:hAnsi="Times New Roman"/>
          <w:highlight w:val="yellow"/>
        </w:rPr>
        <w:footnoteReference w:id="445"/>
      </w:r>
      <w:r w:rsidRPr="00DA3BC7">
        <w:t>的大一。</w:t>
      </w:r>
    </w:p>
    <w:p w:rsidR="002B682F" w:rsidRPr="00DA3BC7" w:rsidRDefault="00A477BF" w:rsidP="00AE3920">
      <w:pPr>
        <w:spacing w:beforeLines="30"/>
        <w:ind w:leftChars="300" w:left="720"/>
        <w:jc w:val="both"/>
        <w:rPr>
          <w:b/>
          <w:sz w:val="20"/>
          <w:szCs w:val="20"/>
        </w:rPr>
      </w:pPr>
      <w:r w:rsidRPr="00A477BF">
        <w:rPr>
          <w:rFonts w:ascii="Times New Roman" w:hAnsi="Times New Roman" w:hint="eastAsia"/>
          <w:b/>
          <w:color w:val="FF0000"/>
          <w:sz w:val="20"/>
          <w:szCs w:val="20"/>
          <w:highlight w:val="yellow"/>
          <w:bdr w:val="single" w:sz="4" w:space="0" w:color="auto"/>
        </w:rPr>
        <w:t>B</w:t>
      </w:r>
      <w:r w:rsidR="002B682F" w:rsidRPr="00A477BF">
        <w:rPr>
          <w:rFonts w:hint="eastAsia"/>
          <w:b/>
          <w:color w:val="FF0000"/>
          <w:sz w:val="20"/>
          <w:szCs w:val="20"/>
          <w:highlight w:val="yellow"/>
          <w:bdr w:val="single" w:sz="4" w:space="0" w:color="auto"/>
        </w:rPr>
        <w:t>、</w:t>
      </w:r>
      <w:r w:rsidR="002B682F" w:rsidRPr="00DA3BC7">
        <w:rPr>
          <w:rFonts w:hint="eastAsia"/>
          <w:b/>
          <w:sz w:val="20"/>
          <w:szCs w:val="20"/>
          <w:bdr w:val="single" w:sz="4" w:space="0" w:color="auto"/>
        </w:rPr>
        <w:t>從「</w:t>
      </w:r>
      <w:r w:rsidR="002B682F" w:rsidRPr="00DA3BC7">
        <w:rPr>
          <w:b/>
          <w:sz w:val="20"/>
          <w:szCs w:val="20"/>
          <w:bdr w:val="single" w:sz="4" w:space="0" w:color="auto"/>
        </w:rPr>
        <w:t>同一</w:t>
      </w:r>
      <w:r w:rsidRPr="00A477BF">
        <w:rPr>
          <w:b/>
          <w:color w:val="FF0000"/>
          <w:sz w:val="20"/>
          <w:szCs w:val="20"/>
          <w:highlight w:val="yellow"/>
          <w:bdr w:val="single" w:sz="4" w:space="0" w:color="auto"/>
        </w:rPr>
        <w:t>」</w:t>
      </w:r>
      <w:r w:rsidR="002B682F" w:rsidRPr="00DA3BC7">
        <w:rPr>
          <w:b/>
          <w:sz w:val="20"/>
          <w:szCs w:val="20"/>
          <w:bdr w:val="single" w:sz="4" w:space="0" w:color="auto"/>
        </w:rPr>
        <w:t>與</w:t>
      </w:r>
      <w:r w:rsidRPr="00A477BF">
        <w:rPr>
          <w:rFonts w:hint="eastAsia"/>
          <w:b/>
          <w:color w:val="FF0000"/>
          <w:sz w:val="20"/>
          <w:szCs w:val="20"/>
          <w:highlight w:val="yellow"/>
          <w:bdr w:val="single" w:sz="4" w:space="0" w:color="auto"/>
        </w:rPr>
        <w:t>「</w:t>
      </w:r>
      <w:r w:rsidR="002B682F" w:rsidRPr="00DA3BC7">
        <w:rPr>
          <w:b/>
          <w:sz w:val="20"/>
          <w:szCs w:val="20"/>
          <w:bdr w:val="single" w:sz="4" w:space="0" w:color="auto"/>
        </w:rPr>
        <w:t>差別」</w:t>
      </w:r>
      <w:r w:rsidR="002B682F" w:rsidRPr="00DA3BC7">
        <w:rPr>
          <w:rFonts w:hint="eastAsia"/>
          <w:b/>
          <w:sz w:val="20"/>
          <w:szCs w:val="20"/>
          <w:bdr w:val="single" w:sz="4" w:space="0" w:color="auto"/>
        </w:rPr>
        <w:t>來</w:t>
      </w:r>
      <w:r w:rsidR="002B682F" w:rsidRPr="00A477BF">
        <w:rPr>
          <w:rFonts w:hint="eastAsia"/>
          <w:b/>
          <w:sz w:val="20"/>
          <w:szCs w:val="20"/>
          <w:highlight w:val="yellow"/>
          <w:bdr w:val="single" w:sz="4" w:space="0" w:color="auto"/>
        </w:rPr>
        <w:t>說</w:t>
      </w:r>
      <w:r w:rsidR="002B682F" w:rsidRPr="00DA3BC7">
        <w:rPr>
          <w:sz w:val="20"/>
          <w:szCs w:val="20"/>
        </w:rPr>
        <w:t>（</w:t>
      </w:r>
      <w:r w:rsidR="002B682F" w:rsidRPr="00DA3BC7">
        <w:rPr>
          <w:rFonts w:ascii="Times New Roman" w:hAnsi="Times New Roman"/>
          <w:bCs/>
          <w:sz w:val="20"/>
          <w:szCs w:val="20"/>
        </w:rPr>
        <w:t>pp</w:t>
      </w:r>
      <w:r w:rsidR="002B682F" w:rsidRPr="00DA3BC7">
        <w:rPr>
          <w:bCs/>
          <w:sz w:val="20"/>
          <w:szCs w:val="20"/>
        </w:rPr>
        <w:t>.</w:t>
      </w:r>
      <w:r w:rsidR="002B682F" w:rsidRPr="00DA3BC7">
        <w:rPr>
          <w:rFonts w:ascii="Times New Roman" w:hAnsi="Times New Roman"/>
          <w:bCs/>
          <w:sz w:val="20"/>
          <w:szCs w:val="20"/>
        </w:rPr>
        <w:t>89</w:t>
      </w:r>
      <w:r w:rsidR="002B682F" w:rsidRPr="00DA3BC7">
        <w:rPr>
          <w:bCs/>
          <w:sz w:val="20"/>
          <w:szCs w:val="20"/>
        </w:rPr>
        <w:t>-</w:t>
      </w:r>
      <w:r w:rsidR="002B682F" w:rsidRPr="00DA3BC7">
        <w:rPr>
          <w:rFonts w:ascii="Times New Roman" w:hAnsi="Times New Roman"/>
          <w:bCs/>
          <w:sz w:val="20"/>
          <w:szCs w:val="20"/>
        </w:rPr>
        <w:t>90</w:t>
      </w:r>
      <w:r w:rsidR="002B682F" w:rsidRPr="00DA3BC7">
        <w:rPr>
          <w:sz w:val="20"/>
          <w:szCs w:val="20"/>
        </w:rPr>
        <w:t>）</w:t>
      </w:r>
    </w:p>
    <w:p w:rsidR="002B682F" w:rsidRPr="00DA3BC7" w:rsidRDefault="002B682F" w:rsidP="00E30BE9">
      <w:pPr>
        <w:ind w:leftChars="300" w:left="720"/>
        <w:jc w:val="both"/>
      </w:pPr>
      <w:r w:rsidRPr="00DA3BC7">
        <w:lastRenderedPageBreak/>
        <w:t>此外，如從類性去看，如說人，你、我、他都是人，即是同一；然我是張某，你是李某，乃至智愚強弱各各不同，即是異。</w:t>
      </w:r>
    </w:p>
    <w:p w:rsidR="002B682F" w:rsidRPr="00DA3BC7" w:rsidRDefault="002B682F" w:rsidP="00AE3920">
      <w:pPr>
        <w:spacing w:beforeLines="20"/>
        <w:ind w:leftChars="300" w:left="720"/>
        <w:jc w:val="both"/>
      </w:pPr>
      <w:r w:rsidRPr="00DA3BC7">
        <w:t>在此彼自他間，</w:t>
      </w:r>
      <w:r w:rsidRPr="00DA3BC7">
        <w:rPr>
          <w:b/>
        </w:rPr>
        <w:t>有共同的類性是一，不同的性質是異</w:t>
      </w:r>
      <w:r w:rsidRPr="00DA3BC7">
        <w:t>。而此一中有異，異中有一，是可以種種觀待而施設的。</w:t>
      </w:r>
    </w:p>
    <w:p w:rsidR="002B682F" w:rsidRPr="00DA3BC7" w:rsidRDefault="002B682F" w:rsidP="00AE3920">
      <w:pPr>
        <w:overflowPunct w:val="0"/>
        <w:autoSpaceDE w:val="0"/>
        <w:autoSpaceDN w:val="0"/>
        <w:spacing w:beforeLines="30"/>
        <w:ind w:leftChars="250" w:left="600"/>
        <w:jc w:val="both"/>
        <w:rPr>
          <w:b/>
          <w:sz w:val="20"/>
          <w:szCs w:val="20"/>
          <w:bdr w:val="single" w:sz="4" w:space="0" w:color="auto"/>
        </w:rPr>
      </w:pPr>
      <w:r w:rsidRPr="00A477BF">
        <w:rPr>
          <w:rFonts w:hint="eastAsia"/>
          <w:b/>
          <w:color w:val="FF0000"/>
          <w:sz w:val="20"/>
          <w:szCs w:val="20"/>
          <w:highlight w:val="yellow"/>
          <w:bdr w:val="single" w:sz="4" w:space="0" w:color="auto"/>
        </w:rPr>
        <w:t>（</w:t>
      </w:r>
      <w:r w:rsidR="00A477BF" w:rsidRPr="00A477BF">
        <w:rPr>
          <w:rFonts w:ascii="Times New Roman" w:hAnsi="Times New Roman" w:hint="eastAsia"/>
          <w:b/>
          <w:color w:val="FF0000"/>
          <w:sz w:val="20"/>
          <w:szCs w:val="20"/>
          <w:highlight w:val="yellow"/>
          <w:bdr w:val="single" w:sz="4" w:space="0" w:color="auto"/>
        </w:rPr>
        <w:t>2</w:t>
      </w:r>
      <w:r w:rsidRPr="00A477BF">
        <w:rPr>
          <w:rFonts w:hint="eastAsia"/>
          <w:b/>
          <w:color w:val="FF0000"/>
          <w:sz w:val="20"/>
          <w:szCs w:val="20"/>
          <w:highlight w:val="yellow"/>
          <w:bdr w:val="single" w:sz="4" w:space="0" w:color="auto"/>
        </w:rPr>
        <w:t>）</w:t>
      </w:r>
      <w:r w:rsidR="00A477BF" w:rsidRPr="00A477BF">
        <w:rPr>
          <w:rFonts w:hint="eastAsia"/>
          <w:b/>
          <w:color w:val="FF0000"/>
          <w:sz w:val="20"/>
          <w:szCs w:val="20"/>
          <w:highlight w:val="yellow"/>
          <w:bdr w:val="single" w:sz="4" w:space="0" w:color="auto"/>
        </w:rPr>
        <w:t>宗派的見解</w:t>
      </w:r>
      <w:r w:rsidRPr="00DA3BC7">
        <w:rPr>
          <w:sz w:val="20"/>
          <w:szCs w:val="20"/>
        </w:rPr>
        <w:t>（</w:t>
      </w:r>
      <w:r w:rsidRPr="00DA3BC7">
        <w:rPr>
          <w:rFonts w:ascii="Times New Roman" w:hAnsi="Times New Roman"/>
          <w:bCs/>
          <w:sz w:val="20"/>
          <w:szCs w:val="20"/>
        </w:rPr>
        <w:t>p</w:t>
      </w:r>
      <w:r w:rsidRPr="00DA3BC7">
        <w:rPr>
          <w:bCs/>
          <w:sz w:val="20"/>
          <w:szCs w:val="20"/>
        </w:rPr>
        <w:t>.</w:t>
      </w:r>
      <w:r w:rsidRPr="00DA3BC7">
        <w:rPr>
          <w:rFonts w:ascii="Times New Roman" w:hAnsi="Times New Roman"/>
          <w:bCs/>
          <w:sz w:val="20"/>
          <w:szCs w:val="20"/>
        </w:rPr>
        <w:t>90</w:t>
      </w:r>
      <w:r w:rsidRPr="00DA3BC7">
        <w:rPr>
          <w:sz w:val="20"/>
          <w:szCs w:val="20"/>
        </w:rPr>
        <w:t>）</w:t>
      </w:r>
    </w:p>
    <w:p w:rsidR="002B682F" w:rsidRPr="00DA3BC7" w:rsidRDefault="00A477BF" w:rsidP="00EB4232">
      <w:pPr>
        <w:tabs>
          <w:tab w:val="right" w:pos="567"/>
        </w:tabs>
        <w:ind w:leftChars="300" w:left="720"/>
        <w:jc w:val="both"/>
        <w:rPr>
          <w:b/>
          <w:sz w:val="20"/>
          <w:szCs w:val="20"/>
        </w:rPr>
      </w:pPr>
      <w:r w:rsidRPr="00A477BF">
        <w:rPr>
          <w:rFonts w:ascii="Times New Roman" w:hAnsi="Times New Roman" w:hint="eastAsia"/>
          <w:b/>
          <w:color w:val="FF0000"/>
          <w:sz w:val="20"/>
          <w:szCs w:val="20"/>
          <w:highlight w:val="yellow"/>
          <w:bdr w:val="single" w:sz="4" w:space="0" w:color="auto"/>
        </w:rPr>
        <w:t>A</w:t>
      </w:r>
      <w:r w:rsidR="002B682F" w:rsidRPr="00E30BE9">
        <w:rPr>
          <w:rFonts w:hint="eastAsia"/>
          <w:b/>
          <w:color w:val="FF0000"/>
          <w:sz w:val="20"/>
          <w:szCs w:val="20"/>
          <w:highlight w:val="yellow"/>
          <w:bdr w:val="single" w:sz="4" w:space="0" w:color="auto"/>
        </w:rPr>
        <w:t>、</w:t>
      </w:r>
      <w:r w:rsidR="002B682F" w:rsidRPr="00DA3BC7">
        <w:rPr>
          <w:b/>
          <w:sz w:val="20"/>
          <w:szCs w:val="20"/>
          <w:bdr w:val="single" w:sz="4" w:space="0" w:color="auto"/>
        </w:rPr>
        <w:t>勝論派立「同句、異句」</w:t>
      </w:r>
      <w:r w:rsidR="002B682F" w:rsidRPr="00DA3BC7">
        <w:rPr>
          <w:sz w:val="20"/>
          <w:szCs w:val="20"/>
        </w:rPr>
        <w:t>（</w:t>
      </w:r>
      <w:r w:rsidR="002B682F" w:rsidRPr="00DA3BC7">
        <w:rPr>
          <w:rFonts w:ascii="Times New Roman" w:hAnsi="Times New Roman"/>
          <w:bCs/>
          <w:sz w:val="20"/>
          <w:szCs w:val="20"/>
        </w:rPr>
        <w:t>p</w:t>
      </w:r>
      <w:r w:rsidR="002B682F" w:rsidRPr="00DA3BC7">
        <w:rPr>
          <w:bCs/>
          <w:sz w:val="20"/>
          <w:szCs w:val="20"/>
        </w:rPr>
        <w:t>.</w:t>
      </w:r>
      <w:r w:rsidR="002B682F" w:rsidRPr="00DA3BC7">
        <w:rPr>
          <w:rFonts w:ascii="Times New Roman" w:hAnsi="Times New Roman"/>
          <w:bCs/>
          <w:sz w:val="20"/>
          <w:szCs w:val="20"/>
        </w:rPr>
        <w:t>90</w:t>
      </w:r>
      <w:r w:rsidR="002B682F" w:rsidRPr="00DA3BC7">
        <w:rPr>
          <w:sz w:val="20"/>
          <w:szCs w:val="20"/>
        </w:rPr>
        <w:t>）</w:t>
      </w:r>
    </w:p>
    <w:p w:rsidR="002B682F" w:rsidRPr="00DA3BC7" w:rsidRDefault="002B682F" w:rsidP="00EB4232">
      <w:pPr>
        <w:ind w:leftChars="300" w:left="720"/>
        <w:jc w:val="both"/>
      </w:pPr>
      <w:r w:rsidRPr="00DA3BC7">
        <w:t>勝論師有同異性句，</w:t>
      </w:r>
      <w:r w:rsidR="00A477BF" w:rsidRPr="00A477BF">
        <w:rPr>
          <w:rStyle w:val="a6"/>
          <w:rFonts w:ascii="Times New Roman" w:hAnsi="Times New Roman"/>
          <w:highlight w:val="yellow"/>
        </w:rPr>
        <w:footnoteReference w:id="446"/>
      </w:r>
      <w:r w:rsidRPr="00DA3BC7">
        <w:t>即以一異為原理，而使萬有為一為異，《中論》也有破斥。</w:t>
      </w:r>
      <w:r w:rsidR="00924221" w:rsidRPr="00924221">
        <w:rPr>
          <w:rStyle w:val="a6"/>
          <w:rFonts w:ascii="Times New Roman" w:hAnsi="Times New Roman"/>
          <w:highlight w:val="yellow"/>
        </w:rPr>
        <w:footnoteReference w:id="447"/>
      </w:r>
    </w:p>
    <w:p w:rsidR="002B682F" w:rsidRPr="00DA3BC7" w:rsidRDefault="00A477BF" w:rsidP="00AE3920">
      <w:pPr>
        <w:spacing w:beforeLines="30"/>
        <w:ind w:leftChars="300" w:left="720"/>
        <w:jc w:val="both"/>
        <w:rPr>
          <w:sz w:val="20"/>
          <w:szCs w:val="20"/>
        </w:rPr>
      </w:pPr>
      <w:r>
        <w:rPr>
          <w:rFonts w:ascii="Times New Roman" w:hAnsi="Times New Roman" w:hint="eastAsia"/>
          <w:b/>
          <w:color w:val="FF0000"/>
          <w:sz w:val="20"/>
          <w:szCs w:val="20"/>
          <w:highlight w:val="yellow"/>
          <w:bdr w:val="single" w:sz="4" w:space="0" w:color="auto"/>
        </w:rPr>
        <w:lastRenderedPageBreak/>
        <w:t>B</w:t>
      </w:r>
      <w:r w:rsidR="002B682F" w:rsidRPr="00DA3BC7">
        <w:rPr>
          <w:rFonts w:hint="eastAsia"/>
          <w:b/>
          <w:sz w:val="20"/>
          <w:szCs w:val="20"/>
          <w:bdr w:val="single" w:sz="4" w:space="0" w:color="auto"/>
        </w:rPr>
        <w:t>、</w:t>
      </w:r>
      <w:r w:rsidR="002B682F" w:rsidRPr="00DA3BC7">
        <w:rPr>
          <w:b/>
          <w:sz w:val="20"/>
          <w:szCs w:val="20"/>
          <w:bdr w:val="single" w:sz="4" w:space="0" w:color="auto"/>
        </w:rPr>
        <w:t>《華嚴經》六相</w:t>
      </w:r>
      <w:r w:rsidR="002B682F" w:rsidRPr="00DA3BC7">
        <w:rPr>
          <w:rFonts w:hint="eastAsia"/>
          <w:b/>
          <w:sz w:val="20"/>
          <w:szCs w:val="20"/>
          <w:bdr w:val="single" w:sz="4" w:space="0" w:color="auto"/>
        </w:rPr>
        <w:t>中談到「</w:t>
      </w:r>
      <w:r w:rsidR="002B682F" w:rsidRPr="00DA3BC7">
        <w:rPr>
          <w:b/>
          <w:sz w:val="20"/>
          <w:szCs w:val="20"/>
          <w:bdr w:val="single" w:sz="4" w:space="0" w:color="auto"/>
        </w:rPr>
        <w:t>總、別</w:t>
      </w:r>
      <w:r w:rsidR="002B682F" w:rsidRPr="00DA3BC7">
        <w:rPr>
          <w:rFonts w:hint="eastAsia"/>
          <w:b/>
          <w:sz w:val="20"/>
          <w:szCs w:val="20"/>
          <w:bdr w:val="single" w:sz="4" w:space="0" w:color="auto"/>
        </w:rPr>
        <w:t>」與「</w:t>
      </w:r>
      <w:r w:rsidR="002B682F" w:rsidRPr="00DA3BC7">
        <w:rPr>
          <w:b/>
          <w:sz w:val="20"/>
          <w:szCs w:val="20"/>
          <w:bdr w:val="single" w:sz="4" w:space="0" w:color="auto"/>
        </w:rPr>
        <w:t>同、異</w:t>
      </w:r>
      <w:r w:rsidR="002B682F" w:rsidRPr="00DA3BC7">
        <w:rPr>
          <w:rFonts w:hint="eastAsia"/>
          <w:b/>
          <w:sz w:val="20"/>
          <w:szCs w:val="20"/>
          <w:bdr w:val="single" w:sz="4" w:space="0" w:color="auto"/>
        </w:rPr>
        <w:t>」</w:t>
      </w:r>
      <w:r w:rsidR="002B682F" w:rsidRPr="00DA3BC7">
        <w:rPr>
          <w:sz w:val="20"/>
          <w:szCs w:val="20"/>
        </w:rPr>
        <w:t>（</w:t>
      </w:r>
      <w:r w:rsidR="002B682F" w:rsidRPr="00DA3BC7">
        <w:rPr>
          <w:rFonts w:ascii="Times New Roman" w:hAnsi="Times New Roman"/>
          <w:bCs/>
          <w:sz w:val="20"/>
          <w:szCs w:val="20"/>
        </w:rPr>
        <w:t>p</w:t>
      </w:r>
      <w:r w:rsidR="002B682F" w:rsidRPr="00DA3BC7">
        <w:rPr>
          <w:bCs/>
          <w:sz w:val="20"/>
          <w:szCs w:val="20"/>
        </w:rPr>
        <w:t>.</w:t>
      </w:r>
      <w:r w:rsidR="002B682F" w:rsidRPr="00DA3BC7">
        <w:rPr>
          <w:rFonts w:ascii="Times New Roman" w:hAnsi="Times New Roman"/>
          <w:bCs/>
          <w:sz w:val="20"/>
          <w:szCs w:val="20"/>
        </w:rPr>
        <w:t>90</w:t>
      </w:r>
      <w:r w:rsidR="002B682F" w:rsidRPr="00DA3BC7">
        <w:rPr>
          <w:sz w:val="20"/>
          <w:szCs w:val="20"/>
        </w:rPr>
        <w:t>）</w:t>
      </w:r>
    </w:p>
    <w:p w:rsidR="002B682F" w:rsidRPr="00DA3BC7" w:rsidRDefault="002B682F" w:rsidP="00EB4232">
      <w:pPr>
        <w:ind w:leftChars="300" w:left="720"/>
        <w:jc w:val="both"/>
      </w:pPr>
      <w:r w:rsidRPr="00DA3BC7">
        <w:t>一異中，包括的意義極多。《華嚴經》明六相</w:t>
      </w:r>
      <w:r w:rsidRPr="00DA3BC7">
        <w:rPr>
          <w:rFonts w:ascii="新細明體" w:hAnsi="新細明體"/>
        </w:rPr>
        <w:t>──</w:t>
      </w:r>
      <w:r w:rsidRPr="00DA3BC7">
        <w:t>總、別、同、異、成、壞；</w:t>
      </w:r>
      <w:r w:rsidR="00A477BF" w:rsidRPr="00A477BF">
        <w:rPr>
          <w:rStyle w:val="a6"/>
          <w:rFonts w:ascii="Times New Roman" w:hAnsi="Times New Roman"/>
          <w:highlight w:val="yellow"/>
        </w:rPr>
        <w:footnoteReference w:id="448"/>
      </w:r>
      <w:r w:rsidRPr="00DA3BC7">
        <w:t>總別、同異四相，即是此處所說的一異。</w:t>
      </w:r>
    </w:p>
    <w:p w:rsidR="002B682F" w:rsidRPr="00DA3BC7" w:rsidRDefault="00A477BF" w:rsidP="00AE3920">
      <w:pPr>
        <w:overflowPunct w:val="0"/>
        <w:autoSpaceDE w:val="0"/>
        <w:autoSpaceDN w:val="0"/>
        <w:spacing w:beforeLines="30"/>
        <w:ind w:leftChars="200" w:left="480"/>
        <w:jc w:val="both"/>
        <w:rPr>
          <w:b/>
          <w:sz w:val="20"/>
          <w:szCs w:val="20"/>
        </w:rPr>
      </w:pPr>
      <w:r w:rsidRPr="00A477BF">
        <w:rPr>
          <w:rFonts w:ascii="Times New Roman" w:hAnsi="Times New Roman" w:hint="eastAsia"/>
          <w:b/>
          <w:color w:val="FF0000"/>
          <w:sz w:val="20"/>
          <w:szCs w:val="20"/>
          <w:highlight w:val="yellow"/>
          <w:bdr w:val="single" w:sz="4" w:space="0" w:color="auto"/>
        </w:rPr>
        <w:t>3</w:t>
      </w:r>
      <w:r w:rsidRPr="00A477BF">
        <w:rPr>
          <w:rFonts w:ascii="Times New Roman" w:hAnsi="Times New Roman" w:hint="eastAsia"/>
          <w:b/>
          <w:color w:val="FF0000"/>
          <w:sz w:val="20"/>
          <w:szCs w:val="20"/>
          <w:highlight w:val="yellow"/>
          <w:bdr w:val="single" w:sz="4" w:space="0" w:color="auto"/>
        </w:rPr>
        <w:t>、結成</w:t>
      </w:r>
      <w:r w:rsidR="002B682F" w:rsidRPr="00DA3BC7">
        <w:rPr>
          <w:sz w:val="20"/>
          <w:szCs w:val="20"/>
        </w:rPr>
        <w:t>（</w:t>
      </w:r>
      <w:r w:rsidR="002B682F" w:rsidRPr="00DA3BC7">
        <w:rPr>
          <w:rFonts w:ascii="Times New Roman" w:hAnsi="Times New Roman"/>
          <w:bCs/>
          <w:sz w:val="20"/>
          <w:szCs w:val="20"/>
        </w:rPr>
        <w:t>p</w:t>
      </w:r>
      <w:r w:rsidR="002B682F" w:rsidRPr="00DA3BC7">
        <w:rPr>
          <w:bCs/>
          <w:sz w:val="20"/>
          <w:szCs w:val="20"/>
        </w:rPr>
        <w:t>.</w:t>
      </w:r>
      <w:r w:rsidR="002B682F" w:rsidRPr="00DA3BC7">
        <w:rPr>
          <w:rFonts w:ascii="Times New Roman" w:hAnsi="Times New Roman"/>
          <w:bCs/>
          <w:sz w:val="20"/>
          <w:szCs w:val="20"/>
        </w:rPr>
        <w:t>90</w:t>
      </w:r>
      <w:r w:rsidR="002B682F" w:rsidRPr="00DA3BC7">
        <w:rPr>
          <w:sz w:val="20"/>
          <w:szCs w:val="20"/>
        </w:rPr>
        <w:t>）</w:t>
      </w:r>
    </w:p>
    <w:p w:rsidR="002B682F" w:rsidRPr="00DA3BC7" w:rsidRDefault="002B682F" w:rsidP="00EB4232">
      <w:pPr>
        <w:ind w:leftChars="200" w:left="480"/>
        <w:jc w:val="both"/>
      </w:pPr>
      <w:r w:rsidRPr="00DA3BC7">
        <w:t>緣起幻相，似一似異，而人或偏執一</w:t>
      </w:r>
      <w:r w:rsidRPr="00DA3BC7">
        <w:rPr>
          <w:rFonts w:hint="eastAsia"/>
        </w:rPr>
        <w:t>、</w:t>
      </w:r>
      <w:r w:rsidRPr="00DA3BC7">
        <w:t>偏執異，或執有離開事實的一異原理。</w:t>
      </w:r>
    </w:p>
    <w:p w:rsidR="002B682F" w:rsidRPr="00DA3BC7" w:rsidRDefault="002B682F" w:rsidP="00EB4232">
      <w:pPr>
        <w:ind w:leftChars="200" w:left="480"/>
        <w:jc w:val="both"/>
      </w:pPr>
      <w:r w:rsidRPr="00DA3BC7">
        <w:t>總之，這是世間重視的兩個概念。</w:t>
      </w:r>
    </w:p>
    <w:p w:rsidR="002B682F" w:rsidRPr="00DA3BC7" w:rsidRDefault="00A477BF" w:rsidP="00AE3920">
      <w:pPr>
        <w:tabs>
          <w:tab w:val="left" w:pos="3055"/>
        </w:tabs>
        <w:overflowPunct w:val="0"/>
        <w:autoSpaceDE w:val="0"/>
        <w:autoSpaceDN w:val="0"/>
        <w:spacing w:beforeLines="30"/>
        <w:ind w:leftChars="150" w:left="360"/>
        <w:jc w:val="both"/>
        <w:rPr>
          <w:b/>
          <w:bCs/>
          <w:sz w:val="20"/>
          <w:szCs w:val="20"/>
        </w:rPr>
      </w:pPr>
      <w:r w:rsidRPr="00A477BF">
        <w:rPr>
          <w:b/>
          <w:color w:val="FF0000"/>
          <w:sz w:val="20"/>
          <w:szCs w:val="20"/>
          <w:highlight w:val="yellow"/>
          <w:bdr w:val="single" w:sz="4" w:space="0" w:color="auto"/>
        </w:rPr>
        <w:t>（</w:t>
      </w:r>
      <w:r w:rsidRPr="00A477BF">
        <w:rPr>
          <w:rFonts w:hint="eastAsia"/>
          <w:b/>
          <w:bCs/>
          <w:color w:val="FF0000"/>
          <w:sz w:val="20"/>
          <w:szCs w:val="20"/>
          <w:highlight w:val="yellow"/>
          <w:bdr w:val="single" w:sz="4" w:space="0" w:color="auto"/>
        </w:rPr>
        <w:t>四</w:t>
      </w:r>
      <w:r w:rsidRPr="00A477BF">
        <w:rPr>
          <w:b/>
          <w:color w:val="FF0000"/>
          <w:sz w:val="20"/>
          <w:szCs w:val="20"/>
          <w:highlight w:val="yellow"/>
          <w:bdr w:val="single" w:sz="4" w:space="0" w:color="auto"/>
        </w:rPr>
        <w:t>）</w:t>
      </w:r>
      <w:r w:rsidR="002B682F" w:rsidRPr="00DA3BC7">
        <w:rPr>
          <w:b/>
          <w:bCs/>
          <w:sz w:val="20"/>
          <w:szCs w:val="20"/>
          <w:bdr w:val="single" w:sz="4" w:space="0" w:color="auto"/>
        </w:rPr>
        <w:t>「來」與「出」</w:t>
      </w:r>
      <w:r w:rsidR="002B682F" w:rsidRPr="00DA3BC7">
        <w:rPr>
          <w:rFonts w:hint="eastAsia"/>
          <w:b/>
          <w:bCs/>
          <w:sz w:val="20"/>
          <w:szCs w:val="20"/>
          <w:bdr w:val="single" w:sz="4" w:space="0" w:color="auto"/>
        </w:rPr>
        <w:t>（去）</w:t>
      </w:r>
      <w:r w:rsidR="002B682F" w:rsidRPr="00DA3BC7">
        <w:rPr>
          <w:sz w:val="20"/>
          <w:szCs w:val="20"/>
        </w:rPr>
        <w:t>（</w:t>
      </w:r>
      <w:r w:rsidR="002B682F" w:rsidRPr="00DA3BC7">
        <w:rPr>
          <w:rFonts w:ascii="Times New Roman" w:hAnsi="Times New Roman"/>
          <w:bCs/>
          <w:sz w:val="20"/>
          <w:szCs w:val="20"/>
        </w:rPr>
        <w:t>p</w:t>
      </w:r>
      <w:r w:rsidR="002B682F" w:rsidRPr="00DA3BC7">
        <w:rPr>
          <w:bCs/>
          <w:sz w:val="20"/>
          <w:szCs w:val="20"/>
        </w:rPr>
        <w:t>.</w:t>
      </w:r>
      <w:r w:rsidR="002B682F" w:rsidRPr="00DA3BC7">
        <w:rPr>
          <w:rFonts w:ascii="Times New Roman" w:hAnsi="Times New Roman"/>
          <w:bCs/>
          <w:sz w:val="20"/>
          <w:szCs w:val="20"/>
        </w:rPr>
        <w:t>90</w:t>
      </w:r>
      <w:r w:rsidR="002B682F" w:rsidRPr="00DA3BC7">
        <w:rPr>
          <w:sz w:val="20"/>
          <w:szCs w:val="20"/>
        </w:rPr>
        <w:t>）</w:t>
      </w:r>
    </w:p>
    <w:p w:rsidR="00D969B4" w:rsidRDefault="002B682F" w:rsidP="00EB4232">
      <w:pPr>
        <w:ind w:leftChars="150" w:left="360"/>
        <w:jc w:val="both"/>
      </w:pPr>
      <w:r w:rsidRPr="00D969B4">
        <w:rPr>
          <w:b/>
          <w:u w:val="wave" w:color="C00000"/>
        </w:rPr>
        <w:t>來出</w:t>
      </w:r>
      <w:r w:rsidR="00D969B4">
        <w:t>，</w:t>
      </w:r>
      <w:r w:rsidRPr="00D969B4">
        <w:rPr>
          <w:b/>
          <w:u w:val="wave" w:color="C00000"/>
        </w:rPr>
        <w:t>出</w:t>
      </w:r>
      <w:r w:rsidR="00D969B4">
        <w:t>又作</w:t>
      </w:r>
      <w:r w:rsidRPr="00D969B4">
        <w:rPr>
          <w:b/>
          <w:u w:val="wave" w:color="C00000"/>
        </w:rPr>
        <w:t>去</w:t>
      </w:r>
      <w:r w:rsidRPr="00DA3BC7">
        <w:t>。</w:t>
      </w:r>
    </w:p>
    <w:p w:rsidR="00D969B4" w:rsidRDefault="002B682F" w:rsidP="00EB4232">
      <w:pPr>
        <w:ind w:leftChars="150" w:left="360"/>
        <w:jc w:val="both"/>
      </w:pPr>
      <w:r w:rsidRPr="00DA3BC7">
        <w:t>從此到彼曰去，從彼到此為來。如變更觀點，那甲以為從甲到乙的去，而乙卻以為從甲到乙為來。</w:t>
      </w:r>
    </w:p>
    <w:p w:rsidR="002B682F" w:rsidRPr="00DA3BC7" w:rsidRDefault="002B682F" w:rsidP="00EB4232">
      <w:pPr>
        <w:ind w:leftChars="150" w:left="360"/>
        <w:jc w:val="both"/>
      </w:pPr>
      <w:r w:rsidRPr="00DA3BC7">
        <w:t>來去即是運動，本是一回事，不過看從哪方面說罷了！</w:t>
      </w:r>
    </w:p>
    <w:p w:rsidR="002B682F" w:rsidRPr="00DA3BC7" w:rsidRDefault="002B682F" w:rsidP="00EB4232">
      <w:pPr>
        <w:ind w:leftChars="150" w:left="360"/>
        <w:jc w:val="both"/>
      </w:pPr>
      <w:r w:rsidRPr="00DA3BC7">
        <w:t>世間的一切，我與法，凡是有生滅動變的，無不可以說為來去。</w:t>
      </w:r>
    </w:p>
    <w:p w:rsidR="002B682F" w:rsidRDefault="00A477BF" w:rsidP="00AE3920">
      <w:pPr>
        <w:pStyle w:val="af6"/>
        <w:spacing w:beforeLines="30" w:after="0"/>
        <w:ind w:leftChars="50" w:left="120"/>
        <w:jc w:val="both"/>
        <w:rPr>
          <w:rFonts w:ascii="Times New Roman" w:hAnsi="Times New Roman"/>
          <w:sz w:val="20"/>
        </w:rPr>
      </w:pPr>
      <w:r w:rsidRPr="00A477BF">
        <w:rPr>
          <w:rFonts w:ascii="Times New Roman" w:hAnsi="Times New Roman"/>
          <w:b/>
          <w:bCs/>
          <w:color w:val="FF0000"/>
          <w:sz w:val="20"/>
          <w:highlight w:val="yellow"/>
          <w:bdr w:val="single" w:sz="4" w:space="0" w:color="auto"/>
        </w:rPr>
        <w:t>（</w:t>
      </w:r>
      <w:r w:rsidRPr="00A477BF">
        <w:rPr>
          <w:rFonts w:ascii="Times New Roman" w:hAnsi="Times New Roman" w:hint="eastAsia"/>
          <w:b/>
          <w:bCs/>
          <w:color w:val="FF0000"/>
          <w:sz w:val="20"/>
          <w:highlight w:val="yellow"/>
          <w:bdr w:val="single" w:sz="4" w:space="0" w:color="auto"/>
        </w:rPr>
        <w:t>貳</w:t>
      </w:r>
      <w:r w:rsidRPr="00A477BF">
        <w:rPr>
          <w:rFonts w:ascii="Times New Roman" w:hAnsi="Times New Roman"/>
          <w:b/>
          <w:bCs/>
          <w:color w:val="FF0000"/>
          <w:sz w:val="20"/>
          <w:highlight w:val="yellow"/>
          <w:bdr w:val="single" w:sz="4" w:space="0" w:color="auto"/>
        </w:rPr>
        <w:t>）</w:t>
      </w:r>
      <w:r w:rsidRPr="00A477BF">
        <w:rPr>
          <w:rFonts w:ascii="Times New Roman" w:hAnsi="Times New Roman" w:hint="eastAsia"/>
          <w:b/>
          <w:bCs/>
          <w:color w:val="FF0000"/>
          <w:sz w:val="20"/>
          <w:highlight w:val="yellow"/>
          <w:bdr w:val="single" w:sz="4" w:space="0" w:color="auto"/>
        </w:rPr>
        <w:t>明「教說</w:t>
      </w:r>
      <w:r w:rsidR="002B682F" w:rsidRPr="00A477BF">
        <w:rPr>
          <w:rFonts w:ascii="Times New Roman" w:hAnsi="Times New Roman"/>
          <w:b/>
          <w:bCs/>
          <w:color w:val="FF0000"/>
          <w:sz w:val="20"/>
          <w:highlight w:val="yellow"/>
          <w:bdr w:val="single" w:sz="4" w:space="0" w:color="auto"/>
        </w:rPr>
        <w:t>次第</w:t>
      </w:r>
      <w:r w:rsidRPr="00A477BF">
        <w:rPr>
          <w:rFonts w:ascii="Times New Roman" w:hAnsi="Times New Roman" w:hint="eastAsia"/>
          <w:b/>
          <w:bCs/>
          <w:color w:val="FF0000"/>
          <w:sz w:val="20"/>
          <w:highlight w:val="yellow"/>
          <w:bdr w:val="single" w:sz="4" w:space="0" w:color="auto"/>
        </w:rPr>
        <w:t>」</w:t>
      </w:r>
      <w:r w:rsidR="002B682F" w:rsidRPr="00DA3BC7">
        <w:rPr>
          <w:rFonts w:ascii="Times New Roman" w:hAnsi="Times New Roman"/>
          <w:sz w:val="20"/>
        </w:rPr>
        <w:t>（</w:t>
      </w:r>
      <w:r w:rsidR="002B682F" w:rsidRPr="00DA3BC7">
        <w:rPr>
          <w:rFonts w:ascii="Times New Roman" w:hAnsi="Times New Roman"/>
          <w:bCs/>
          <w:sz w:val="20"/>
        </w:rPr>
        <w:t>pp.90-92</w:t>
      </w:r>
      <w:r w:rsidR="002B682F" w:rsidRPr="00DA3BC7">
        <w:rPr>
          <w:rFonts w:ascii="Times New Roman" w:hAnsi="Times New Roman"/>
          <w:sz w:val="20"/>
        </w:rPr>
        <w:t>）</w:t>
      </w:r>
    </w:p>
    <w:p w:rsidR="00A477BF" w:rsidRPr="00A477BF" w:rsidRDefault="00A477BF" w:rsidP="00EB4232">
      <w:pPr>
        <w:pStyle w:val="af6"/>
        <w:spacing w:after="0"/>
        <w:ind w:leftChars="100" w:left="240"/>
        <w:jc w:val="both"/>
        <w:rPr>
          <w:rFonts w:ascii="Times New Roman" w:hAnsi="Times New Roman"/>
          <w:b/>
          <w:bCs/>
          <w:color w:val="FF0000"/>
          <w:sz w:val="20"/>
          <w:highlight w:val="yellow"/>
          <w:bdr w:val="single" w:sz="4" w:space="0" w:color="auto"/>
        </w:rPr>
      </w:pPr>
      <w:r w:rsidRPr="00A477BF">
        <w:rPr>
          <w:rFonts w:ascii="Times New Roman" w:hAnsi="Times New Roman" w:hint="eastAsia"/>
          <w:b/>
          <w:bCs/>
          <w:color w:val="FF0000"/>
          <w:sz w:val="20"/>
          <w:highlight w:val="yellow"/>
          <w:bdr w:val="single" w:sz="4" w:space="0" w:color="auto"/>
        </w:rPr>
        <w:t>一、設問</w:t>
      </w:r>
    </w:p>
    <w:p w:rsidR="002B682F" w:rsidRPr="00DA3BC7" w:rsidRDefault="002B682F" w:rsidP="00EB4232">
      <w:pPr>
        <w:pStyle w:val="af6"/>
        <w:spacing w:after="0"/>
        <w:ind w:leftChars="100" w:left="240"/>
        <w:jc w:val="both"/>
        <w:rPr>
          <w:rFonts w:ascii="Times New Roman" w:hAnsi="Times New Roman"/>
          <w:bCs/>
        </w:rPr>
      </w:pPr>
      <w:r w:rsidRPr="00DA3BC7">
        <w:rPr>
          <w:rFonts w:ascii="Times New Roman" w:hAnsi="Times New Roman"/>
          <w:bCs/>
        </w:rPr>
        <w:t>現在，更進說龍樹為何只說這四對？為什麼如此次第？</w:t>
      </w:r>
    </w:p>
    <w:p w:rsidR="009B2993" w:rsidRDefault="009B2993" w:rsidP="00AE3920">
      <w:pPr>
        <w:pStyle w:val="af6"/>
        <w:spacing w:beforeLines="30" w:after="0"/>
        <w:ind w:leftChars="100" w:left="240"/>
        <w:jc w:val="both"/>
        <w:rPr>
          <w:rFonts w:ascii="Times New Roman" w:hAnsi="Times New Roman"/>
          <w:b/>
          <w:bCs/>
          <w:color w:val="FF0000"/>
          <w:sz w:val="20"/>
          <w:bdr w:val="single" w:sz="4" w:space="0" w:color="auto"/>
        </w:rPr>
      </w:pPr>
      <w:r w:rsidRPr="009B2993">
        <w:rPr>
          <w:rFonts w:ascii="Times New Roman" w:hAnsi="Times New Roman" w:hint="eastAsia"/>
          <w:b/>
          <w:bCs/>
          <w:color w:val="FF0000"/>
          <w:sz w:val="20"/>
          <w:highlight w:val="yellow"/>
          <w:bdr w:val="single" w:sz="4" w:space="0" w:color="auto"/>
        </w:rPr>
        <w:t>二、釋答</w:t>
      </w:r>
    </w:p>
    <w:p w:rsidR="002B682F" w:rsidRPr="00DA3BC7" w:rsidRDefault="009B2993" w:rsidP="00EB4232">
      <w:pPr>
        <w:pStyle w:val="af6"/>
        <w:spacing w:after="0"/>
        <w:ind w:leftChars="150" w:left="360"/>
        <w:jc w:val="both"/>
        <w:rPr>
          <w:rFonts w:ascii="Times New Roman" w:hAnsi="Times New Roman"/>
          <w:b/>
          <w:bCs/>
          <w:sz w:val="20"/>
        </w:rPr>
      </w:pPr>
      <w:r w:rsidRPr="009B2993">
        <w:rPr>
          <w:rFonts w:ascii="Times New Roman" w:hAnsi="Times New Roman"/>
          <w:b/>
          <w:bCs/>
          <w:color w:val="FF0000"/>
          <w:sz w:val="20"/>
          <w:highlight w:val="yellow"/>
          <w:bdr w:val="single" w:sz="4" w:space="0" w:color="auto"/>
        </w:rPr>
        <w:t>（</w:t>
      </w:r>
      <w:r w:rsidRPr="009B2993">
        <w:rPr>
          <w:rFonts w:ascii="Times New Roman" w:hAnsi="Times New Roman" w:hint="eastAsia"/>
          <w:b/>
          <w:bCs/>
          <w:color w:val="FF0000"/>
          <w:sz w:val="20"/>
          <w:highlight w:val="yellow"/>
          <w:bdr w:val="single" w:sz="4" w:space="0" w:color="auto"/>
        </w:rPr>
        <w:t>一</w:t>
      </w:r>
      <w:r w:rsidRPr="009B2993">
        <w:rPr>
          <w:rFonts w:ascii="Times New Roman" w:hAnsi="Times New Roman"/>
          <w:b/>
          <w:bCs/>
          <w:color w:val="FF0000"/>
          <w:sz w:val="20"/>
          <w:highlight w:val="yellow"/>
          <w:bdr w:val="single" w:sz="4" w:space="0" w:color="auto"/>
        </w:rPr>
        <w:t>）</w:t>
      </w:r>
      <w:r w:rsidR="002B682F" w:rsidRPr="009B2993">
        <w:rPr>
          <w:rFonts w:ascii="Times New Roman" w:hAnsi="Times New Roman"/>
          <w:b/>
          <w:bCs/>
          <w:color w:val="FF0000"/>
          <w:sz w:val="20"/>
          <w:highlight w:val="yellow"/>
          <w:bdr w:val="single" w:sz="4" w:space="0" w:color="auto"/>
        </w:rPr>
        <w:t>施教</w:t>
      </w:r>
      <w:r w:rsidRPr="009B2993">
        <w:rPr>
          <w:rFonts w:ascii="Times New Roman" w:hAnsi="Times New Roman" w:hint="eastAsia"/>
          <w:b/>
          <w:bCs/>
          <w:color w:val="FF0000"/>
          <w:sz w:val="20"/>
          <w:highlight w:val="yellow"/>
          <w:bdr w:val="single" w:sz="4" w:space="0" w:color="auto"/>
        </w:rPr>
        <w:t>方便</w:t>
      </w:r>
      <w:r w:rsidR="002B682F" w:rsidRPr="00DA3BC7">
        <w:rPr>
          <w:rFonts w:ascii="Times New Roman" w:hAnsi="Times New Roman"/>
          <w:sz w:val="20"/>
        </w:rPr>
        <w:t>（</w:t>
      </w:r>
      <w:r w:rsidR="002B682F" w:rsidRPr="00DA3BC7">
        <w:rPr>
          <w:rFonts w:ascii="Times New Roman" w:hAnsi="Times New Roman"/>
          <w:bCs/>
          <w:sz w:val="20"/>
        </w:rPr>
        <w:t>pp.90-91</w:t>
      </w:r>
      <w:r w:rsidR="002B682F" w:rsidRPr="00DA3BC7">
        <w:rPr>
          <w:rFonts w:ascii="Times New Roman" w:hAnsi="Times New Roman"/>
          <w:sz w:val="20"/>
        </w:rPr>
        <w:t>）</w:t>
      </w:r>
    </w:p>
    <w:p w:rsidR="002B682F" w:rsidRPr="00DA3BC7" w:rsidRDefault="002B682F" w:rsidP="00EB4232">
      <w:pPr>
        <w:pStyle w:val="af6"/>
        <w:spacing w:after="0"/>
        <w:ind w:leftChars="150" w:left="360"/>
        <w:jc w:val="both"/>
        <w:rPr>
          <w:rFonts w:ascii="Times New Roman" w:hAnsi="Times New Roman"/>
          <w:b/>
          <w:bCs/>
          <w:sz w:val="26"/>
          <w:szCs w:val="26"/>
        </w:rPr>
      </w:pPr>
      <w:r w:rsidRPr="00DA3BC7">
        <w:rPr>
          <w:rFonts w:ascii="Times New Roman" w:hAnsi="Times New Roman"/>
          <w:bCs/>
        </w:rPr>
        <w:lastRenderedPageBreak/>
        <w:t>《阿含經》中，如來散說緣起的不常不斷等，龍樹特地總集的說此八不。依《阿含經》，不妨除去「不生不滅」而換上「不有不無」。</w:t>
      </w:r>
    </w:p>
    <w:p w:rsidR="002B682F" w:rsidRPr="00DA3BC7" w:rsidRDefault="002B682F" w:rsidP="00AE3920">
      <w:pPr>
        <w:pStyle w:val="af6"/>
        <w:spacing w:beforeLines="20" w:after="0"/>
        <w:ind w:leftChars="150" w:left="360"/>
        <w:jc w:val="both"/>
        <w:rPr>
          <w:rFonts w:ascii="Times New Roman" w:hAnsi="Times New Roman"/>
          <w:bCs/>
        </w:rPr>
      </w:pPr>
      <w:r w:rsidRPr="00DA3BC7">
        <w:rPr>
          <w:rFonts w:ascii="Times New Roman" w:hAnsi="Times New Roman"/>
          <w:bCs/>
        </w:rPr>
        <w:t>《阿含</w:t>
      </w:r>
      <w:r w:rsidRPr="00DA3BC7">
        <w:rPr>
          <w:rFonts w:hint="eastAsia"/>
        </w:rPr>
        <w:t>經</w:t>
      </w:r>
      <w:r w:rsidRPr="00DA3BC7">
        <w:rPr>
          <w:rFonts w:ascii="Times New Roman" w:hAnsi="Times New Roman"/>
          <w:bCs/>
        </w:rPr>
        <w:t>》的緣起論，是「</w:t>
      </w:r>
      <w:r w:rsidRPr="00DA3BC7">
        <w:rPr>
          <w:rFonts w:ascii="Times New Roman" w:hAnsi="Times New Roman"/>
          <w:b/>
          <w:bCs/>
        </w:rPr>
        <w:t>外順世俗</w:t>
      </w:r>
      <w:r w:rsidRPr="00DA3BC7">
        <w:rPr>
          <w:rFonts w:ascii="Times New Roman" w:hAnsi="Times New Roman"/>
          <w:bCs/>
        </w:rPr>
        <w:t>」，</w:t>
      </w:r>
      <w:r w:rsidRPr="00DA3BC7">
        <w:rPr>
          <w:rFonts w:ascii="Times New Roman" w:hAnsi="Times New Roman"/>
          <w:b/>
          <w:bCs/>
        </w:rPr>
        <w:t>以生滅的正觀而遣除有無、常斷、一異、來去的</w:t>
      </w:r>
      <w:r w:rsidRPr="00DA3BC7">
        <w:rPr>
          <w:rFonts w:ascii="Times New Roman" w:hAnsi="Times New Roman"/>
          <w:bCs/>
        </w:rPr>
        <w:t>。</w:t>
      </w:r>
    </w:p>
    <w:p w:rsidR="002B682F" w:rsidRPr="00DA3BC7" w:rsidRDefault="002B682F" w:rsidP="00AE3920">
      <w:pPr>
        <w:pStyle w:val="af6"/>
        <w:spacing w:beforeLines="20" w:after="0"/>
        <w:ind w:leftChars="150" w:left="360"/>
        <w:jc w:val="both"/>
        <w:rPr>
          <w:rFonts w:ascii="Times New Roman" w:hAnsi="Times New Roman"/>
          <w:bCs/>
        </w:rPr>
      </w:pPr>
      <w:r w:rsidRPr="00DA3BC7">
        <w:rPr>
          <w:rFonts w:ascii="Times New Roman" w:hAnsi="Times New Roman"/>
          <w:bCs/>
        </w:rPr>
        <w:t>但由於某些學者的未能「</w:t>
      </w:r>
      <w:r w:rsidRPr="00DA3BC7">
        <w:rPr>
          <w:rFonts w:ascii="Times New Roman" w:hAnsi="Times New Roman"/>
          <w:b/>
          <w:bCs/>
        </w:rPr>
        <w:t>內契</w:t>
      </w:r>
      <w:r w:rsidRPr="00DA3BC7">
        <w:rPr>
          <w:rStyle w:val="a6"/>
          <w:rFonts w:ascii="Times New Roman" w:hAnsi="Times New Roman"/>
          <w:bCs/>
        </w:rPr>
        <w:footnoteReference w:id="449"/>
      </w:r>
      <w:r w:rsidRPr="00DA3BC7">
        <w:rPr>
          <w:rFonts w:ascii="Times New Roman" w:hAnsi="Times New Roman"/>
          <w:b/>
          <w:bCs/>
        </w:rPr>
        <w:t>實性</w:t>
      </w:r>
      <w:r w:rsidRPr="00DA3BC7">
        <w:rPr>
          <w:rFonts w:ascii="Times New Roman" w:hAnsi="Times New Roman"/>
          <w:bCs/>
        </w:rPr>
        <w:t>」，淺見地分別名相，而不能如實正觀緣起，說生說滅，依舊落入有無的窠臼</w:t>
      </w:r>
      <w:r w:rsidRPr="00DA3BC7">
        <w:rPr>
          <w:rStyle w:val="a6"/>
          <w:rFonts w:ascii="Times New Roman" w:hAnsi="Times New Roman"/>
          <w:bCs/>
        </w:rPr>
        <w:footnoteReference w:id="450"/>
      </w:r>
      <w:r w:rsidRPr="00DA3BC7">
        <w:rPr>
          <w:rFonts w:ascii="Times New Roman" w:hAnsi="Times New Roman"/>
          <w:bCs/>
        </w:rPr>
        <w:t>。</w:t>
      </w:r>
    </w:p>
    <w:p w:rsidR="009B2993" w:rsidRDefault="002B682F" w:rsidP="00AE3920">
      <w:pPr>
        <w:pStyle w:val="af6"/>
        <w:spacing w:beforeLines="20" w:after="0"/>
        <w:ind w:leftChars="150" w:left="360"/>
        <w:jc w:val="both"/>
        <w:rPr>
          <w:rFonts w:ascii="Times New Roman" w:hAnsi="Times New Roman"/>
          <w:bCs/>
        </w:rPr>
      </w:pPr>
      <w:r w:rsidRPr="00DA3BC7">
        <w:rPr>
          <w:rFonts w:ascii="Times New Roman" w:hAnsi="Times New Roman"/>
          <w:bCs/>
        </w:rPr>
        <w:t>所以深入緣起本性者，宣說不生不滅的緣起，遣除生滅</w:t>
      </w:r>
      <w:r w:rsidRPr="00DA3BC7">
        <w:rPr>
          <w:rFonts w:ascii="新細明體" w:hAnsi="新細明體"/>
          <w:bCs/>
        </w:rPr>
        <w:t>──</w:t>
      </w:r>
      <w:r w:rsidRPr="00DA3BC7">
        <w:rPr>
          <w:rFonts w:ascii="Times New Roman" w:hAnsi="Times New Roman"/>
          <w:bCs/>
        </w:rPr>
        <w:t>即有無的妄執，重行闡明釋迦的真義。</w:t>
      </w:r>
    </w:p>
    <w:p w:rsidR="002B682F" w:rsidRPr="00DA3BC7" w:rsidRDefault="002B682F" w:rsidP="00AE3920">
      <w:pPr>
        <w:pStyle w:val="af6"/>
        <w:spacing w:beforeLines="20" w:after="0"/>
        <w:ind w:leftChars="150" w:left="360"/>
        <w:jc w:val="both"/>
        <w:rPr>
          <w:rFonts w:ascii="Times New Roman" w:hAnsi="Times New Roman"/>
          <w:bCs/>
        </w:rPr>
      </w:pPr>
      <w:r w:rsidRPr="009B2993">
        <w:rPr>
          <w:rFonts w:ascii="Times New Roman" w:hAnsi="Times New Roman"/>
          <w:bCs/>
          <w:highlight w:val="yellow"/>
        </w:rPr>
        <w:t>大</w:t>
      </w:r>
      <w:r w:rsidRPr="00DA3BC7">
        <w:rPr>
          <w:rFonts w:ascii="Times New Roman" w:hAnsi="Times New Roman"/>
          <w:bCs/>
        </w:rPr>
        <w:t>乘的八不緣起，吻合釋尊的深義，而從</w:t>
      </w:r>
      <w:r w:rsidRPr="00DA3BC7">
        <w:rPr>
          <w:rFonts w:ascii="Times New Roman" w:hAnsi="Times New Roman"/>
          <w:b/>
          <w:bCs/>
        </w:rPr>
        <w:t>施設教相</w:t>
      </w:r>
      <w:r w:rsidRPr="00DA3BC7">
        <w:rPr>
          <w:rFonts w:ascii="Times New Roman" w:hAnsi="Times New Roman"/>
          <w:bCs/>
        </w:rPr>
        <w:t>的方便說，是富有對治的新精神。</w:t>
      </w:r>
    </w:p>
    <w:p w:rsidR="002B682F" w:rsidRPr="00DA3BC7" w:rsidRDefault="002B682F" w:rsidP="00AE3920">
      <w:pPr>
        <w:pStyle w:val="af6"/>
        <w:spacing w:beforeLines="30" w:after="0"/>
        <w:ind w:leftChars="150" w:left="360"/>
        <w:jc w:val="both"/>
        <w:rPr>
          <w:rFonts w:ascii="Times New Roman" w:hAnsi="Times New Roman"/>
          <w:b/>
          <w:sz w:val="20"/>
        </w:rPr>
      </w:pPr>
      <w:r w:rsidRPr="009B2993">
        <w:rPr>
          <w:rFonts w:ascii="Times New Roman" w:hAnsi="Times New Roman"/>
          <w:b/>
          <w:color w:val="FF0000"/>
          <w:sz w:val="20"/>
          <w:highlight w:val="yellow"/>
          <w:bdr w:val="single" w:sz="4" w:space="0" w:color="auto"/>
        </w:rPr>
        <w:t>（</w:t>
      </w:r>
      <w:r w:rsidR="009B2993" w:rsidRPr="009B2993">
        <w:rPr>
          <w:rFonts w:ascii="Times New Roman" w:hAnsi="Times New Roman" w:hint="eastAsia"/>
          <w:b/>
          <w:color w:val="FF0000"/>
          <w:sz w:val="20"/>
          <w:highlight w:val="yellow"/>
          <w:bdr w:val="single" w:sz="4" w:space="0" w:color="auto"/>
        </w:rPr>
        <w:t>二</w:t>
      </w:r>
      <w:r w:rsidRPr="009B2993">
        <w:rPr>
          <w:rFonts w:ascii="Times New Roman" w:hAnsi="Times New Roman"/>
          <w:b/>
          <w:color w:val="FF0000"/>
          <w:sz w:val="20"/>
          <w:highlight w:val="yellow"/>
          <w:bdr w:val="single" w:sz="4" w:space="0" w:color="auto"/>
        </w:rPr>
        <w:t>）</w:t>
      </w:r>
      <w:r w:rsidR="009B2993" w:rsidRPr="009B2993">
        <w:rPr>
          <w:rFonts w:ascii="Times New Roman" w:hAnsi="Times New Roman" w:hint="eastAsia"/>
          <w:b/>
          <w:color w:val="FF0000"/>
          <w:sz w:val="20"/>
          <w:highlight w:val="yellow"/>
          <w:bdr w:val="single" w:sz="4" w:space="0" w:color="auto"/>
        </w:rPr>
        <w:t>教法次第</w:t>
      </w:r>
      <w:r w:rsidRPr="00DA3BC7">
        <w:rPr>
          <w:rFonts w:ascii="Times New Roman" w:hAnsi="Times New Roman"/>
          <w:sz w:val="20"/>
        </w:rPr>
        <w:t>（</w:t>
      </w:r>
      <w:r w:rsidRPr="00DA3BC7">
        <w:rPr>
          <w:rFonts w:ascii="Times New Roman" w:hAnsi="Times New Roman"/>
          <w:bCs/>
          <w:sz w:val="20"/>
        </w:rPr>
        <w:t>p.91</w:t>
      </w:r>
      <w:r w:rsidRPr="00DA3BC7">
        <w:rPr>
          <w:rFonts w:ascii="Times New Roman" w:hAnsi="Times New Roman"/>
          <w:sz w:val="20"/>
        </w:rPr>
        <w:t>）</w:t>
      </w:r>
    </w:p>
    <w:p w:rsidR="009B2993" w:rsidRPr="009B2993" w:rsidRDefault="009B2993" w:rsidP="00EB4232">
      <w:pPr>
        <w:pStyle w:val="af6"/>
        <w:spacing w:after="0"/>
        <w:ind w:leftChars="200" w:left="480"/>
        <w:jc w:val="both"/>
        <w:rPr>
          <w:rFonts w:ascii="Times New Roman" w:hAnsi="Times New Roman"/>
          <w:b/>
          <w:color w:val="FF0000"/>
          <w:sz w:val="20"/>
          <w:highlight w:val="yellow"/>
          <w:bdr w:val="single" w:sz="4" w:space="0" w:color="auto"/>
        </w:rPr>
      </w:pPr>
      <w:r w:rsidRPr="009B2993">
        <w:rPr>
          <w:rFonts w:ascii="Times New Roman" w:hAnsi="Times New Roman" w:hint="eastAsia"/>
          <w:b/>
          <w:color w:val="FF0000"/>
          <w:sz w:val="20"/>
          <w:highlight w:val="yellow"/>
          <w:bdr w:val="single" w:sz="4" w:space="0" w:color="auto"/>
        </w:rPr>
        <w:t>1</w:t>
      </w:r>
      <w:r w:rsidRPr="009B2993">
        <w:rPr>
          <w:rFonts w:ascii="Times New Roman" w:hAnsi="Times New Roman" w:hint="eastAsia"/>
          <w:b/>
          <w:color w:val="FF0000"/>
          <w:sz w:val="20"/>
          <w:highlight w:val="yellow"/>
          <w:bdr w:val="single" w:sz="4" w:space="0" w:color="auto"/>
        </w:rPr>
        <w:t>、標宗</w:t>
      </w:r>
      <w:r w:rsidRPr="00DA3BC7">
        <w:rPr>
          <w:rFonts w:ascii="Times New Roman" w:hAnsi="Times New Roman"/>
          <w:sz w:val="20"/>
        </w:rPr>
        <w:t>（</w:t>
      </w:r>
      <w:r w:rsidRPr="00DA3BC7">
        <w:rPr>
          <w:rFonts w:ascii="Times New Roman" w:hAnsi="Times New Roman"/>
          <w:bCs/>
          <w:sz w:val="20"/>
        </w:rPr>
        <w:t>p.91</w:t>
      </w:r>
      <w:r w:rsidRPr="00DA3BC7">
        <w:rPr>
          <w:rFonts w:ascii="Times New Roman" w:hAnsi="Times New Roman"/>
          <w:sz w:val="20"/>
        </w:rPr>
        <w:t>）</w:t>
      </w:r>
    </w:p>
    <w:p w:rsidR="002B682F" w:rsidRPr="00DA3BC7" w:rsidRDefault="002B682F" w:rsidP="00EB4232">
      <w:pPr>
        <w:pStyle w:val="af6"/>
        <w:spacing w:after="0"/>
        <w:ind w:leftChars="200" w:left="480"/>
        <w:jc w:val="both"/>
        <w:rPr>
          <w:rFonts w:ascii="Times New Roman" w:hAnsi="Times New Roman"/>
          <w:bCs/>
        </w:rPr>
      </w:pPr>
      <w:r w:rsidRPr="00DA3BC7">
        <w:rPr>
          <w:rFonts w:ascii="Times New Roman" w:hAnsi="Times New Roman"/>
          <w:bCs/>
        </w:rPr>
        <w:t>這四對</w:t>
      </w:r>
      <w:r w:rsidRPr="009B2993">
        <w:rPr>
          <w:rFonts w:ascii="Times New Roman" w:hAnsi="Times New Roman"/>
          <w:bCs/>
          <w:sz w:val="20"/>
          <w:szCs w:val="20"/>
          <w:shd w:val="pct15" w:color="auto" w:fill="FFFFFF"/>
        </w:rPr>
        <w:t>（生滅、常斷、一異、來去）</w:t>
      </w:r>
      <w:r w:rsidRPr="00DA3BC7">
        <w:rPr>
          <w:rFonts w:ascii="Times New Roman" w:hAnsi="Times New Roman"/>
          <w:bCs/>
        </w:rPr>
        <w:t>，說明法的四相。無論是小到一極微，大到全法界</w:t>
      </w:r>
      <w:r w:rsidRPr="00DA3BC7">
        <w:rPr>
          <w:rStyle w:val="a6"/>
          <w:rFonts w:ascii="Times New Roman" w:hAnsi="Times New Roman"/>
          <w:bCs/>
        </w:rPr>
        <w:footnoteReference w:id="451"/>
      </w:r>
      <w:r w:rsidRPr="00DA3BC7">
        <w:rPr>
          <w:rFonts w:ascii="Times New Roman" w:hAnsi="Times New Roman"/>
          <w:bCs/>
        </w:rPr>
        <w:t>，沒有不具備此四相的，此四者是最一般而最主要的概念。</w:t>
      </w:r>
    </w:p>
    <w:p w:rsidR="002B682F" w:rsidRPr="00DA3BC7" w:rsidRDefault="002B682F" w:rsidP="00EB4232">
      <w:pPr>
        <w:pStyle w:val="af6"/>
        <w:spacing w:after="0"/>
        <w:ind w:leftChars="200" w:left="480"/>
        <w:jc w:val="both"/>
        <w:rPr>
          <w:rFonts w:ascii="Times New Roman" w:hAnsi="Times New Roman"/>
        </w:rPr>
      </w:pPr>
      <w:r w:rsidRPr="00DA3BC7">
        <w:rPr>
          <w:rFonts w:ascii="Times New Roman" w:hAnsi="Times New Roman"/>
        </w:rPr>
        <w:t>我們必須記著，這四者是不能說為前後次第的，是「說有次第，理非前後」的。如順世間的意見說，不妨說有次第。</w:t>
      </w:r>
    </w:p>
    <w:p w:rsidR="002B682F" w:rsidRPr="00DA3BC7" w:rsidRDefault="009B2993" w:rsidP="00AE3920">
      <w:pPr>
        <w:pStyle w:val="af6"/>
        <w:spacing w:beforeLines="30" w:after="0"/>
        <w:ind w:leftChars="200" w:left="480"/>
        <w:jc w:val="both"/>
        <w:rPr>
          <w:rFonts w:ascii="Times New Roman" w:hAnsi="Times New Roman"/>
          <w:b/>
          <w:sz w:val="20"/>
          <w:bdr w:val="single" w:sz="4" w:space="0" w:color="auto"/>
        </w:rPr>
      </w:pPr>
      <w:r w:rsidRPr="009B2993">
        <w:rPr>
          <w:rFonts w:ascii="Times New Roman" w:hAnsi="Times New Roman" w:hint="eastAsia"/>
          <w:b/>
          <w:color w:val="FF0000"/>
          <w:sz w:val="20"/>
          <w:highlight w:val="yellow"/>
          <w:bdr w:val="single" w:sz="4" w:space="0" w:color="auto"/>
        </w:rPr>
        <w:t>2</w:t>
      </w:r>
      <w:r w:rsidR="002B682F" w:rsidRPr="009B2993">
        <w:rPr>
          <w:rFonts w:ascii="Times New Roman" w:hAnsi="Times New Roman" w:hint="eastAsia"/>
          <w:b/>
          <w:color w:val="FF0000"/>
          <w:sz w:val="20"/>
          <w:highlight w:val="yellow"/>
          <w:bdr w:val="single" w:sz="4" w:space="0" w:color="auto"/>
        </w:rPr>
        <w:t>、</w:t>
      </w:r>
      <w:r w:rsidRPr="009B2993">
        <w:rPr>
          <w:rFonts w:ascii="Times New Roman" w:hAnsi="Times New Roman" w:hint="eastAsia"/>
          <w:b/>
          <w:color w:val="FF0000"/>
          <w:sz w:val="20"/>
          <w:highlight w:val="yellow"/>
          <w:bdr w:val="single" w:sz="4" w:space="0" w:color="auto"/>
        </w:rPr>
        <w:t>論義</w:t>
      </w:r>
      <w:r w:rsidR="002B682F" w:rsidRPr="00DA3BC7">
        <w:rPr>
          <w:rFonts w:ascii="Times New Roman" w:hAnsi="Times New Roman"/>
          <w:sz w:val="20"/>
        </w:rPr>
        <w:t>（</w:t>
      </w:r>
      <w:r w:rsidR="002B682F" w:rsidRPr="00DA3BC7">
        <w:rPr>
          <w:rFonts w:ascii="Times New Roman" w:hAnsi="Times New Roman"/>
          <w:bCs/>
          <w:sz w:val="20"/>
        </w:rPr>
        <w:t>pp.91-92</w:t>
      </w:r>
      <w:r w:rsidR="002B682F" w:rsidRPr="00DA3BC7">
        <w:rPr>
          <w:rFonts w:ascii="Times New Roman" w:hAnsi="Times New Roman"/>
          <w:sz w:val="20"/>
        </w:rPr>
        <w:t>）</w:t>
      </w:r>
    </w:p>
    <w:p w:rsidR="009B2993" w:rsidRDefault="002B682F" w:rsidP="00EB4232">
      <w:pPr>
        <w:pStyle w:val="af6"/>
        <w:spacing w:after="0"/>
        <w:ind w:leftChars="250" w:left="600"/>
        <w:jc w:val="both"/>
        <w:rPr>
          <w:b/>
          <w:color w:val="FF0000"/>
          <w:sz w:val="20"/>
          <w:bdr w:val="single" w:sz="4" w:space="0" w:color="auto"/>
        </w:rPr>
      </w:pPr>
      <w:r w:rsidRPr="009B2993">
        <w:rPr>
          <w:rFonts w:hint="eastAsia"/>
          <w:b/>
          <w:color w:val="FF0000"/>
          <w:sz w:val="20"/>
          <w:highlight w:val="yellow"/>
          <w:bdr w:val="single" w:sz="4" w:space="0" w:color="auto"/>
        </w:rPr>
        <w:t>（</w:t>
      </w:r>
      <w:r w:rsidR="009B2993" w:rsidRPr="009B2993">
        <w:rPr>
          <w:rFonts w:ascii="Times New Roman" w:hAnsi="Times New Roman" w:hint="eastAsia"/>
          <w:b/>
          <w:color w:val="FF0000"/>
          <w:sz w:val="20"/>
          <w:highlight w:val="yellow"/>
          <w:bdr w:val="single" w:sz="4" w:space="0" w:color="auto"/>
        </w:rPr>
        <w:t>1</w:t>
      </w:r>
      <w:r w:rsidRPr="009B2993">
        <w:rPr>
          <w:rFonts w:hint="eastAsia"/>
          <w:b/>
          <w:color w:val="FF0000"/>
          <w:sz w:val="20"/>
          <w:highlight w:val="yellow"/>
          <w:bdr w:val="single" w:sz="4" w:space="0" w:color="auto"/>
        </w:rPr>
        <w:t>）</w:t>
      </w:r>
      <w:r w:rsidR="009B2993" w:rsidRPr="009B2993">
        <w:rPr>
          <w:rFonts w:hint="eastAsia"/>
          <w:b/>
          <w:color w:val="FF0000"/>
          <w:sz w:val="20"/>
          <w:highlight w:val="yellow"/>
          <w:bdr w:val="single" w:sz="4" w:space="0" w:color="auto"/>
        </w:rPr>
        <w:t>別明</w:t>
      </w:r>
    </w:p>
    <w:p w:rsidR="002B682F" w:rsidRPr="00DA3BC7" w:rsidRDefault="009B2993" w:rsidP="00EB4232">
      <w:pPr>
        <w:pStyle w:val="af6"/>
        <w:spacing w:after="0"/>
        <w:ind w:leftChars="300" w:left="720"/>
        <w:jc w:val="both"/>
        <w:rPr>
          <w:sz w:val="20"/>
        </w:rPr>
      </w:pPr>
      <w:r w:rsidRPr="009B2993">
        <w:rPr>
          <w:rFonts w:ascii="Times New Roman" w:hAnsi="Times New Roman" w:hint="eastAsia"/>
          <w:b/>
          <w:color w:val="FF0000"/>
          <w:sz w:val="20"/>
          <w:highlight w:val="yellow"/>
          <w:bdr w:val="single" w:sz="4" w:space="0" w:color="auto"/>
        </w:rPr>
        <w:t>A</w:t>
      </w:r>
      <w:r w:rsidRPr="009B2993">
        <w:rPr>
          <w:rFonts w:ascii="Times New Roman" w:hAnsi="Times New Roman" w:hint="eastAsia"/>
          <w:b/>
          <w:color w:val="FF0000"/>
          <w:sz w:val="20"/>
          <w:highlight w:val="yellow"/>
          <w:bdr w:val="single" w:sz="4" w:space="0" w:color="auto"/>
        </w:rPr>
        <w:t>、</w:t>
      </w:r>
      <w:r w:rsidR="002B682F" w:rsidRPr="00DA3BC7">
        <w:rPr>
          <w:rFonts w:hint="eastAsia"/>
          <w:b/>
          <w:sz w:val="20"/>
          <w:bdr w:val="single" w:sz="4" w:space="0" w:color="auto"/>
        </w:rPr>
        <w:t>法</w:t>
      </w:r>
      <w:r w:rsidR="002B682F" w:rsidRPr="00DA3BC7">
        <w:rPr>
          <w:b/>
          <w:sz w:val="20"/>
          <w:bdr w:val="single" w:sz="4" w:space="0" w:color="auto"/>
        </w:rPr>
        <w:t>體：有、無</w:t>
      </w:r>
      <w:r w:rsidR="002B682F" w:rsidRPr="00DA3BC7">
        <w:rPr>
          <w:sz w:val="20"/>
        </w:rPr>
        <w:t>（</w:t>
      </w:r>
      <w:r w:rsidR="002B682F" w:rsidRPr="00DA3BC7">
        <w:rPr>
          <w:rFonts w:ascii="Times New Roman" w:hAnsi="Times New Roman"/>
          <w:bCs/>
          <w:sz w:val="20"/>
        </w:rPr>
        <w:t>p</w:t>
      </w:r>
      <w:r w:rsidR="002B682F" w:rsidRPr="00DA3BC7">
        <w:rPr>
          <w:bCs/>
          <w:sz w:val="20"/>
        </w:rPr>
        <w:t>.</w:t>
      </w:r>
      <w:r w:rsidR="002B682F" w:rsidRPr="00DA3BC7">
        <w:rPr>
          <w:rFonts w:ascii="Times New Roman" w:hAnsi="Times New Roman"/>
          <w:bCs/>
          <w:sz w:val="20"/>
        </w:rPr>
        <w:t>91</w:t>
      </w:r>
      <w:r w:rsidR="002B682F" w:rsidRPr="00DA3BC7">
        <w:rPr>
          <w:sz w:val="20"/>
        </w:rPr>
        <w:t>）</w:t>
      </w:r>
    </w:p>
    <w:p w:rsidR="002B682F" w:rsidRPr="00DA3BC7" w:rsidRDefault="002B682F" w:rsidP="00EB4232">
      <w:pPr>
        <w:pStyle w:val="af6"/>
        <w:spacing w:after="0"/>
        <w:ind w:leftChars="300" w:left="720"/>
        <w:jc w:val="both"/>
        <w:rPr>
          <w:rFonts w:ascii="Times New Roman" w:hAnsi="Times New Roman"/>
        </w:rPr>
      </w:pPr>
      <w:r w:rsidRPr="00DA3BC7">
        <w:rPr>
          <w:rFonts w:ascii="Times New Roman" w:hAnsi="Times New Roman"/>
        </w:rPr>
        <w:t>佛說：世間的學者，不依於有，即依於無。一切無不以「有」為根本的概念，此「有」（</w:t>
      </w:r>
      <w:r w:rsidRPr="00DA3BC7">
        <w:rPr>
          <w:rFonts w:ascii="Times New Roman" w:hAnsi="Times New Roman"/>
        </w:rPr>
        <w:t>bhāva</w:t>
      </w:r>
      <w:r w:rsidRPr="00DA3BC7">
        <w:rPr>
          <w:rFonts w:ascii="Times New Roman" w:hAnsi="Times New Roman"/>
        </w:rPr>
        <w:t>），一般的</w:t>
      </w:r>
      <w:r w:rsidRPr="00DA3BC7">
        <w:rPr>
          <w:rFonts w:ascii="新細明體" w:hAnsi="新細明體"/>
        </w:rPr>
        <w:t>──</w:t>
      </w:r>
      <w:r w:rsidRPr="00DA3BC7">
        <w:rPr>
          <w:rFonts w:ascii="Times New Roman" w:hAnsi="Times New Roman"/>
        </w:rPr>
        <w:t>自性妄執的見解，即是「法」、「體」、「物」，這是抽象的而又極充實的。如不是這樣的有，即是無</w:t>
      </w:r>
      <w:r w:rsidRPr="00DA3BC7">
        <w:rPr>
          <w:rFonts w:hint="eastAsia"/>
        </w:rPr>
        <w:t>──</w:t>
      </w:r>
      <w:r w:rsidRPr="00DA3BC7">
        <w:rPr>
          <w:rFonts w:ascii="Times New Roman" w:hAnsi="Times New Roman"/>
        </w:rPr>
        <w:t>什麼也不是的沒有。此有與無，是最普遍的概念，抽象的分析起來，是還沒有其它性質的。</w:t>
      </w:r>
    </w:p>
    <w:p w:rsidR="002B682F" w:rsidRPr="00DA3BC7" w:rsidRDefault="009B2993" w:rsidP="00AE3920">
      <w:pPr>
        <w:pStyle w:val="af6"/>
        <w:spacing w:beforeLines="30" w:after="0"/>
        <w:ind w:leftChars="300" w:left="720"/>
        <w:jc w:val="both"/>
        <w:rPr>
          <w:rFonts w:ascii="Times New Roman" w:hAnsi="Times New Roman"/>
          <w:sz w:val="20"/>
        </w:rPr>
      </w:pPr>
      <w:r>
        <w:rPr>
          <w:rFonts w:ascii="Times New Roman" w:hAnsi="Times New Roman" w:hint="eastAsia"/>
          <w:b/>
          <w:color w:val="FF0000"/>
          <w:sz w:val="20"/>
          <w:highlight w:val="yellow"/>
          <w:bdr w:val="single" w:sz="4" w:space="0" w:color="auto"/>
        </w:rPr>
        <w:t>B</w:t>
      </w:r>
      <w:r w:rsidRPr="009B2993">
        <w:rPr>
          <w:rFonts w:ascii="Times New Roman" w:hAnsi="Times New Roman" w:hint="eastAsia"/>
          <w:b/>
          <w:color w:val="FF0000"/>
          <w:sz w:val="20"/>
          <w:highlight w:val="yellow"/>
          <w:bdr w:val="single" w:sz="4" w:space="0" w:color="auto"/>
        </w:rPr>
        <w:t>、</w:t>
      </w:r>
      <w:r w:rsidR="002B682F" w:rsidRPr="00DA3BC7">
        <w:rPr>
          <w:rFonts w:ascii="Times New Roman" w:hAnsi="Times New Roman"/>
          <w:b/>
          <w:sz w:val="20"/>
          <w:bdr w:val="single" w:sz="4" w:space="0" w:color="auto"/>
        </w:rPr>
        <w:t>時間：常、斷</w:t>
      </w:r>
      <w:r w:rsidR="002B682F" w:rsidRPr="00DA3BC7">
        <w:rPr>
          <w:rFonts w:ascii="Times New Roman" w:hAnsi="Times New Roman"/>
          <w:sz w:val="20"/>
        </w:rPr>
        <w:t>（</w:t>
      </w:r>
      <w:r w:rsidR="002B682F" w:rsidRPr="00DA3BC7">
        <w:rPr>
          <w:rFonts w:ascii="Times New Roman" w:hAnsi="Times New Roman"/>
          <w:bCs/>
          <w:sz w:val="20"/>
        </w:rPr>
        <w:t>p.91</w:t>
      </w:r>
      <w:r w:rsidR="002B682F" w:rsidRPr="00DA3BC7">
        <w:rPr>
          <w:rFonts w:ascii="Times New Roman" w:hAnsi="Times New Roman"/>
          <w:sz w:val="20"/>
        </w:rPr>
        <w:t>）</w:t>
      </w:r>
    </w:p>
    <w:p w:rsidR="002B682F" w:rsidRPr="00DA3BC7" w:rsidRDefault="002B682F" w:rsidP="00EB4232">
      <w:pPr>
        <w:pStyle w:val="af6"/>
        <w:spacing w:after="0"/>
        <w:ind w:leftChars="300" w:left="720"/>
        <w:jc w:val="both"/>
        <w:rPr>
          <w:rFonts w:ascii="Times New Roman" w:hAnsi="Times New Roman"/>
        </w:rPr>
      </w:pPr>
      <w:r w:rsidRPr="00DA3BC7">
        <w:rPr>
          <w:rFonts w:ascii="Times New Roman" w:hAnsi="Times New Roman"/>
        </w:rPr>
        <w:lastRenderedPageBreak/>
        <w:t>如將此</w:t>
      </w:r>
      <w:r w:rsidRPr="007C39E5">
        <w:rPr>
          <w:rFonts w:ascii="Times New Roman" w:hAnsi="Times New Roman"/>
          <w:b/>
          <w:u w:val="wave" w:color="C00000"/>
        </w:rPr>
        <w:t>有</w:t>
      </w:r>
      <w:r w:rsidRPr="00DA3BC7">
        <w:rPr>
          <w:rFonts w:ascii="Times New Roman" w:hAnsi="Times New Roman"/>
        </w:rPr>
        <w:t>與</w:t>
      </w:r>
      <w:r w:rsidRPr="007C39E5">
        <w:rPr>
          <w:rFonts w:ascii="Times New Roman" w:hAnsi="Times New Roman"/>
          <w:b/>
          <w:u w:val="wave" w:color="C00000"/>
        </w:rPr>
        <w:t>無</w:t>
      </w:r>
      <w:r w:rsidRPr="00DA3BC7">
        <w:rPr>
          <w:rFonts w:ascii="Times New Roman" w:hAnsi="Times New Roman"/>
          <w:b/>
        </w:rPr>
        <w:t>引入時間的觀察</w:t>
      </w:r>
      <w:r w:rsidRPr="00DA3BC7">
        <w:rPr>
          <w:rFonts w:ascii="Times New Roman" w:hAnsi="Times New Roman"/>
        </w:rPr>
        <w:t>中，即必然地成為</w:t>
      </w:r>
      <w:r w:rsidRPr="007C39E5">
        <w:rPr>
          <w:rFonts w:ascii="Times New Roman" w:hAnsi="Times New Roman"/>
          <w:b/>
          <w:u w:val="wave" w:color="C00000"/>
        </w:rPr>
        <w:t>常見</w:t>
      </w:r>
      <w:r w:rsidRPr="00DA3BC7">
        <w:rPr>
          <w:rFonts w:ascii="Times New Roman" w:hAnsi="Times New Roman"/>
        </w:rPr>
        <w:t>或者</w:t>
      </w:r>
      <w:r w:rsidRPr="007C39E5">
        <w:rPr>
          <w:rFonts w:ascii="Times New Roman" w:hAnsi="Times New Roman"/>
          <w:b/>
          <w:u w:val="wave" w:color="C00000"/>
        </w:rPr>
        <w:t>斷見</w:t>
      </w:r>
      <w:r w:rsidRPr="00DA3BC7">
        <w:rPr>
          <w:rFonts w:ascii="Times New Roman" w:hAnsi="Times New Roman"/>
        </w:rPr>
        <w:t>。如有而不可無的即是</w:t>
      </w:r>
      <w:r w:rsidRPr="00DA3BC7">
        <w:rPr>
          <w:rFonts w:ascii="Times New Roman" w:hAnsi="Times New Roman"/>
          <w:b/>
        </w:rPr>
        <w:t>常</w:t>
      </w:r>
      <w:r w:rsidRPr="00DA3BC7">
        <w:rPr>
          <w:rFonts w:ascii="Times New Roman" w:hAnsi="Times New Roman"/>
        </w:rPr>
        <w:t>，先有而後可無的即是</w:t>
      </w:r>
      <w:r w:rsidRPr="00DA3BC7">
        <w:rPr>
          <w:rFonts w:ascii="Times New Roman" w:hAnsi="Times New Roman"/>
          <w:b/>
        </w:rPr>
        <w:t>斷</w:t>
      </w:r>
      <w:r w:rsidRPr="00DA3BC7">
        <w:rPr>
          <w:rFonts w:ascii="Times New Roman" w:hAnsi="Times New Roman"/>
        </w:rPr>
        <w:t>。常斷，即在有無的概念中，加入時間的性質。《雜阿含</w:t>
      </w:r>
      <w:r w:rsidRPr="00DA3BC7">
        <w:rPr>
          <w:rFonts w:hint="eastAsia"/>
        </w:rPr>
        <w:t>經</w:t>
      </w:r>
      <w:r w:rsidRPr="00DA3BC7">
        <w:rPr>
          <w:rFonts w:ascii="Times New Roman" w:hAnsi="Times New Roman"/>
        </w:rPr>
        <w:t>》（</w:t>
      </w:r>
      <w:r w:rsidRPr="00DA3BC7">
        <w:rPr>
          <w:rFonts w:ascii="Times New Roman" w:hAnsi="Times New Roman"/>
        </w:rPr>
        <w:t>961</w:t>
      </w:r>
      <w:r w:rsidRPr="00DA3BC7">
        <w:rPr>
          <w:rFonts w:ascii="Times New Roman" w:hAnsi="Times New Roman"/>
        </w:rPr>
        <w:t>經）說：「</w:t>
      </w:r>
      <w:r w:rsidRPr="00DA3BC7">
        <w:rPr>
          <w:rFonts w:ascii="標楷體" w:eastAsia="標楷體" w:hAnsi="標楷體"/>
        </w:rPr>
        <w:t>若先來有我，則是常見；於今斷滅，則是斷見</w:t>
      </w:r>
      <w:r w:rsidRPr="00DA3BC7">
        <w:rPr>
          <w:rFonts w:ascii="Times New Roman" w:hAnsi="Times New Roman"/>
        </w:rPr>
        <w:t>。」</w:t>
      </w:r>
      <w:r w:rsidRPr="00DA3BC7">
        <w:rPr>
          <w:rStyle w:val="a6"/>
          <w:rFonts w:ascii="Times New Roman" w:hAnsi="Times New Roman"/>
        </w:rPr>
        <w:footnoteReference w:id="452"/>
      </w:r>
    </w:p>
    <w:p w:rsidR="002B682F" w:rsidRPr="00DA3BC7" w:rsidRDefault="009B2993" w:rsidP="00AE3920">
      <w:pPr>
        <w:pStyle w:val="af6"/>
        <w:spacing w:beforeLines="30" w:after="0"/>
        <w:ind w:leftChars="300" w:left="720"/>
        <w:jc w:val="both"/>
        <w:rPr>
          <w:rFonts w:ascii="Times New Roman" w:hAnsi="Times New Roman"/>
          <w:b/>
          <w:sz w:val="20"/>
        </w:rPr>
      </w:pPr>
      <w:r>
        <w:rPr>
          <w:rFonts w:ascii="Times New Roman" w:hAnsi="Times New Roman" w:hint="eastAsia"/>
          <w:b/>
          <w:color w:val="FF0000"/>
          <w:sz w:val="20"/>
          <w:highlight w:val="yellow"/>
          <w:bdr w:val="single" w:sz="4" w:space="0" w:color="auto"/>
        </w:rPr>
        <w:t>C</w:t>
      </w:r>
      <w:r w:rsidRPr="009B2993">
        <w:rPr>
          <w:rFonts w:ascii="Times New Roman" w:hAnsi="Times New Roman" w:hint="eastAsia"/>
          <w:b/>
          <w:color w:val="FF0000"/>
          <w:sz w:val="20"/>
          <w:highlight w:val="yellow"/>
          <w:bdr w:val="single" w:sz="4" w:space="0" w:color="auto"/>
        </w:rPr>
        <w:t>、</w:t>
      </w:r>
      <w:r w:rsidR="002B682F" w:rsidRPr="00DA3BC7">
        <w:rPr>
          <w:rFonts w:ascii="Times New Roman" w:hAnsi="Times New Roman"/>
          <w:b/>
          <w:sz w:val="20"/>
          <w:bdr w:val="single" w:sz="4" w:space="0" w:color="auto"/>
        </w:rPr>
        <w:t>空間：一、異</w:t>
      </w:r>
      <w:r w:rsidR="002B682F" w:rsidRPr="00DA3BC7">
        <w:rPr>
          <w:rFonts w:ascii="Times New Roman" w:hAnsi="Times New Roman"/>
          <w:sz w:val="20"/>
        </w:rPr>
        <w:t>（</w:t>
      </w:r>
      <w:r w:rsidR="002B682F" w:rsidRPr="00DA3BC7">
        <w:rPr>
          <w:rFonts w:ascii="Times New Roman" w:hAnsi="Times New Roman"/>
          <w:bCs/>
          <w:sz w:val="20"/>
        </w:rPr>
        <w:t>pp.91-92</w:t>
      </w:r>
      <w:r w:rsidR="002B682F" w:rsidRPr="00DA3BC7">
        <w:rPr>
          <w:rFonts w:ascii="Times New Roman" w:hAnsi="Times New Roman"/>
          <w:sz w:val="20"/>
        </w:rPr>
        <w:t>）</w:t>
      </w:r>
    </w:p>
    <w:p w:rsidR="002B682F" w:rsidRPr="00DA3BC7" w:rsidRDefault="002B682F" w:rsidP="00EB4232">
      <w:pPr>
        <w:pStyle w:val="af6"/>
        <w:spacing w:after="0"/>
        <w:ind w:leftChars="300" w:left="720"/>
        <w:jc w:val="both"/>
        <w:rPr>
          <w:rFonts w:ascii="Times New Roman" w:hAnsi="Times New Roman"/>
        </w:rPr>
      </w:pPr>
      <w:r w:rsidRPr="00DA3BC7">
        <w:rPr>
          <w:rFonts w:ascii="Times New Roman" w:hAnsi="Times New Roman"/>
        </w:rPr>
        <w:t>如將此「</w:t>
      </w:r>
      <w:r w:rsidRPr="007C39E5">
        <w:rPr>
          <w:rFonts w:ascii="Times New Roman" w:hAnsi="Times New Roman"/>
          <w:b/>
          <w:u w:val="wave" w:color="C00000"/>
        </w:rPr>
        <w:t>有無</w:t>
      </w:r>
      <w:r w:rsidRPr="00DA3BC7">
        <w:rPr>
          <w:rFonts w:ascii="Times New Roman" w:hAnsi="Times New Roman"/>
        </w:rPr>
        <w:t>、</w:t>
      </w:r>
      <w:r w:rsidRPr="007C39E5">
        <w:rPr>
          <w:rFonts w:ascii="Times New Roman" w:hAnsi="Times New Roman"/>
          <w:b/>
          <w:u w:val="wave" w:color="C00000"/>
        </w:rPr>
        <w:t>常斷</w:t>
      </w:r>
      <w:r w:rsidRPr="00DA3BC7">
        <w:rPr>
          <w:rFonts w:ascii="Times New Roman" w:hAnsi="Times New Roman"/>
        </w:rPr>
        <w:t>」</w:t>
      </w:r>
      <w:r w:rsidRPr="00DA3BC7">
        <w:rPr>
          <w:rFonts w:ascii="Times New Roman" w:hAnsi="Times New Roman"/>
          <w:b/>
        </w:rPr>
        <w:t>引入空間的觀察</w:t>
      </w:r>
      <w:r w:rsidRPr="00DA3BC7">
        <w:rPr>
          <w:rFonts w:ascii="Times New Roman" w:hAnsi="Times New Roman"/>
        </w:rPr>
        <w:t>，即考察同時的彼此關係時，即轉為</w:t>
      </w:r>
      <w:r w:rsidRPr="007C39E5">
        <w:rPr>
          <w:rFonts w:ascii="Times New Roman" w:hAnsi="Times New Roman"/>
          <w:b/>
          <w:u w:val="wave" w:color="C00000"/>
        </w:rPr>
        <w:t>一見</w:t>
      </w:r>
      <w:r w:rsidRPr="00DA3BC7">
        <w:rPr>
          <w:rFonts w:ascii="Times New Roman" w:hAnsi="Times New Roman"/>
        </w:rPr>
        <w:t>與</w:t>
      </w:r>
      <w:r w:rsidRPr="007C39E5">
        <w:rPr>
          <w:rFonts w:ascii="Times New Roman" w:hAnsi="Times New Roman"/>
          <w:b/>
          <w:u w:val="wave" w:color="C00000"/>
        </w:rPr>
        <w:t>異見</w:t>
      </w:r>
      <w:r w:rsidRPr="00DA3BC7">
        <w:rPr>
          <w:rFonts w:ascii="Times New Roman" w:hAnsi="Times New Roman"/>
        </w:rPr>
        <w:t>。人類有精神與物質的活動，外道如執有神我常在者，即執身（心色）、命（神我）的別異；如以為身、命是一的，那即執我的斷滅而不存在了。此一異為眾見的根本，比有無與斷常的範圍更擴大；它通於有無</w:t>
      </w:r>
      <w:r w:rsidRPr="00DA3BC7">
        <w:rPr>
          <w:rFonts w:ascii="新細明體" w:hAnsi="新細明體" w:hint="eastAsia"/>
        </w:rPr>
        <w:t>（</w:t>
      </w:r>
      <w:r w:rsidRPr="00DA3BC7">
        <w:rPr>
          <w:rFonts w:ascii="Times New Roman" w:hAnsi="Times New Roman"/>
        </w:rPr>
        <w:t>法體</w:t>
      </w:r>
      <w:r w:rsidRPr="00DA3BC7">
        <w:rPr>
          <w:rFonts w:ascii="Times New Roman" w:hAnsi="Times New Roman" w:hint="eastAsia"/>
        </w:rPr>
        <w:t>）、</w:t>
      </w:r>
      <w:r w:rsidRPr="00DA3BC7">
        <w:rPr>
          <w:rFonts w:ascii="Times New Roman" w:hAnsi="Times New Roman"/>
        </w:rPr>
        <w:t>斷常</w:t>
      </w:r>
      <w:r w:rsidRPr="00DA3BC7">
        <w:rPr>
          <w:rFonts w:ascii="Times New Roman" w:hAnsi="Times New Roman" w:hint="eastAsia"/>
        </w:rPr>
        <w:t>（</w:t>
      </w:r>
      <w:r w:rsidRPr="00DA3BC7">
        <w:rPr>
          <w:rFonts w:ascii="Times New Roman" w:hAnsi="Times New Roman"/>
        </w:rPr>
        <w:t>時間</w:t>
      </w:r>
      <w:r w:rsidRPr="00DA3BC7">
        <w:rPr>
          <w:rFonts w:ascii="Times New Roman" w:hAnsi="Times New Roman" w:hint="eastAsia"/>
        </w:rPr>
        <w:t>）</w:t>
      </w:r>
      <w:r w:rsidRPr="00DA3BC7">
        <w:rPr>
          <w:rFonts w:ascii="Times New Roman" w:hAnsi="Times New Roman"/>
        </w:rPr>
        <w:t>，更通於空間的性質。</w:t>
      </w:r>
    </w:p>
    <w:p w:rsidR="002B682F" w:rsidRPr="00DA3BC7" w:rsidRDefault="009B2993" w:rsidP="00AE3920">
      <w:pPr>
        <w:pStyle w:val="af6"/>
        <w:spacing w:beforeLines="30" w:after="0"/>
        <w:ind w:leftChars="300" w:left="720"/>
        <w:jc w:val="both"/>
        <w:rPr>
          <w:rFonts w:ascii="Times New Roman" w:hAnsi="Times New Roman"/>
          <w:b/>
          <w:sz w:val="20"/>
        </w:rPr>
      </w:pPr>
      <w:r>
        <w:rPr>
          <w:rFonts w:ascii="Times New Roman" w:hAnsi="Times New Roman" w:hint="eastAsia"/>
          <w:b/>
          <w:color w:val="FF0000"/>
          <w:sz w:val="20"/>
          <w:highlight w:val="yellow"/>
          <w:bdr w:val="single" w:sz="4" w:space="0" w:color="auto"/>
        </w:rPr>
        <w:t>D</w:t>
      </w:r>
      <w:r w:rsidRPr="009B2993">
        <w:rPr>
          <w:rFonts w:ascii="Times New Roman" w:hAnsi="Times New Roman" w:hint="eastAsia"/>
          <w:b/>
          <w:color w:val="FF0000"/>
          <w:sz w:val="20"/>
          <w:highlight w:val="yellow"/>
          <w:bdr w:val="single" w:sz="4" w:space="0" w:color="auto"/>
        </w:rPr>
        <w:t>、</w:t>
      </w:r>
      <w:r w:rsidR="002B682F" w:rsidRPr="00DA3BC7">
        <w:rPr>
          <w:rFonts w:ascii="Times New Roman" w:hAnsi="Times New Roman"/>
          <w:b/>
          <w:sz w:val="20"/>
          <w:bdr w:val="single" w:sz="4" w:space="0" w:color="auto"/>
        </w:rPr>
        <w:t>運動：來、去</w:t>
      </w:r>
      <w:r w:rsidR="002B682F" w:rsidRPr="00DA3BC7">
        <w:rPr>
          <w:rFonts w:ascii="Times New Roman" w:hAnsi="Times New Roman"/>
          <w:sz w:val="20"/>
        </w:rPr>
        <w:t>（</w:t>
      </w:r>
      <w:r w:rsidR="002B682F" w:rsidRPr="00DA3BC7">
        <w:rPr>
          <w:rFonts w:ascii="Times New Roman" w:hAnsi="Times New Roman"/>
          <w:bCs/>
          <w:sz w:val="20"/>
        </w:rPr>
        <w:t>p.92</w:t>
      </w:r>
      <w:r w:rsidR="002B682F" w:rsidRPr="00DA3BC7">
        <w:rPr>
          <w:rFonts w:ascii="Times New Roman" w:hAnsi="Times New Roman"/>
          <w:sz w:val="20"/>
        </w:rPr>
        <w:t>）</w:t>
      </w:r>
    </w:p>
    <w:p w:rsidR="002B682F" w:rsidRPr="00DA3BC7" w:rsidRDefault="002B682F" w:rsidP="00EB4232">
      <w:pPr>
        <w:pStyle w:val="af6"/>
        <w:spacing w:after="0"/>
        <w:ind w:leftChars="300" w:left="720"/>
        <w:jc w:val="both"/>
        <w:rPr>
          <w:rFonts w:ascii="Times New Roman" w:hAnsi="Times New Roman"/>
        </w:rPr>
      </w:pPr>
      <w:r w:rsidRPr="00DA3BC7">
        <w:rPr>
          <w:rFonts w:ascii="Times New Roman" w:hAnsi="Times New Roman"/>
        </w:rPr>
        <w:t>但這</w:t>
      </w:r>
      <w:r w:rsidRPr="009B2993">
        <w:rPr>
          <w:rFonts w:ascii="Times New Roman" w:hAnsi="Times New Roman"/>
          <w:sz w:val="20"/>
          <w:shd w:val="pct15" w:color="auto" w:fill="FFFFFF"/>
        </w:rPr>
        <w:t>（一、異）</w:t>
      </w:r>
      <w:r w:rsidRPr="00DA3BC7">
        <w:rPr>
          <w:rFonts w:ascii="Times New Roman" w:hAnsi="Times New Roman"/>
        </w:rPr>
        <w:t>還是重於靜止的，法體實現</w:t>
      </w:r>
      <w:r w:rsidRPr="00DA3BC7">
        <w:rPr>
          <w:rFonts w:hint="eastAsia"/>
        </w:rPr>
        <w:t>於</w:t>
      </w:r>
      <w:r w:rsidRPr="00DA3BC7">
        <w:rPr>
          <w:rFonts w:ascii="Times New Roman" w:hAnsi="Times New Roman"/>
        </w:rPr>
        <w:t>時、空中，即成為來去：或為時間的前後移動，或為空間的位置變化。</w:t>
      </w:r>
      <w:r w:rsidRPr="00DA3BC7">
        <w:rPr>
          <w:rFonts w:ascii="Times New Roman" w:hAnsi="Times New Roman"/>
          <w:b/>
        </w:rPr>
        <w:t>法體的具體活動</w:t>
      </w:r>
      <w:r w:rsidRPr="00DA3BC7">
        <w:rPr>
          <w:rFonts w:ascii="Times New Roman" w:hAnsi="Times New Roman"/>
        </w:rPr>
        <w:t>即來去，來去即比上三者更有充實內容了。此來去，如完滿的說，應為「行、止」，《中論》〈觀去來品〉即說到動靜二者</w:t>
      </w:r>
      <w:r w:rsidRPr="00DA3BC7">
        <w:rPr>
          <w:rFonts w:ascii="Times New Roman" w:hAnsi="Times New Roman" w:hint="eastAsia"/>
        </w:rPr>
        <w:t>；</w:t>
      </w:r>
      <w:r w:rsidRPr="00DA3BC7">
        <w:rPr>
          <w:rFonts w:ascii="Times New Roman" w:hAnsi="Times New Roman"/>
        </w:rPr>
        <w:t>在《阿含經》中，外道即執為「去」與「不去」。</w:t>
      </w:r>
      <w:r w:rsidRPr="00DA3BC7">
        <w:rPr>
          <w:rStyle w:val="a6"/>
          <w:rFonts w:ascii="Times New Roman" w:hAnsi="Times New Roman"/>
        </w:rPr>
        <w:footnoteReference w:id="453"/>
      </w:r>
    </w:p>
    <w:p w:rsidR="002B682F" w:rsidRPr="00DA3BC7" w:rsidRDefault="009B2993" w:rsidP="00AE3920">
      <w:pPr>
        <w:pStyle w:val="af6"/>
        <w:spacing w:beforeLines="30" w:after="0"/>
        <w:ind w:leftChars="250" w:left="600"/>
        <w:jc w:val="both"/>
        <w:rPr>
          <w:rFonts w:ascii="Times New Roman" w:hAnsi="Times New Roman"/>
          <w:b/>
          <w:sz w:val="20"/>
          <w:bdr w:val="single" w:sz="4" w:space="0" w:color="auto"/>
        </w:rPr>
      </w:pPr>
      <w:r w:rsidRPr="009B2993">
        <w:rPr>
          <w:rFonts w:hint="eastAsia"/>
          <w:b/>
          <w:color w:val="FF0000"/>
          <w:sz w:val="20"/>
          <w:highlight w:val="yellow"/>
          <w:bdr w:val="single" w:sz="4" w:space="0" w:color="auto"/>
        </w:rPr>
        <w:lastRenderedPageBreak/>
        <w:t>（</w:t>
      </w:r>
      <w:r w:rsidRPr="009B2993">
        <w:rPr>
          <w:rFonts w:ascii="Times New Roman" w:hAnsi="Times New Roman" w:hint="eastAsia"/>
          <w:b/>
          <w:color w:val="FF0000"/>
          <w:sz w:val="20"/>
          <w:highlight w:val="yellow"/>
          <w:bdr w:val="single" w:sz="4" w:space="0" w:color="auto"/>
        </w:rPr>
        <w:t>2</w:t>
      </w:r>
      <w:r w:rsidRPr="009B2993">
        <w:rPr>
          <w:rFonts w:hint="eastAsia"/>
          <w:b/>
          <w:color w:val="FF0000"/>
          <w:sz w:val="20"/>
          <w:highlight w:val="yellow"/>
          <w:bdr w:val="single" w:sz="4" w:space="0" w:color="auto"/>
        </w:rPr>
        <w:t>）</w:t>
      </w:r>
      <w:r w:rsidR="002B682F" w:rsidRPr="009B2993">
        <w:rPr>
          <w:rFonts w:ascii="Times New Roman" w:hAnsi="Times New Roman"/>
          <w:b/>
          <w:color w:val="FF0000"/>
          <w:sz w:val="20"/>
          <w:highlight w:val="yellow"/>
          <w:bdr w:val="single" w:sz="4" w:space="0" w:color="auto"/>
        </w:rPr>
        <w:t>結</w:t>
      </w:r>
      <w:r w:rsidRPr="009B2993">
        <w:rPr>
          <w:rFonts w:ascii="Times New Roman" w:hAnsi="Times New Roman" w:hint="eastAsia"/>
          <w:b/>
          <w:color w:val="FF0000"/>
          <w:sz w:val="20"/>
          <w:highlight w:val="yellow"/>
          <w:bdr w:val="single" w:sz="4" w:space="0" w:color="auto"/>
        </w:rPr>
        <w:t>成</w:t>
      </w:r>
      <w:r w:rsidR="002B682F" w:rsidRPr="00DA3BC7">
        <w:rPr>
          <w:rFonts w:ascii="Times New Roman" w:hAnsi="Times New Roman"/>
          <w:sz w:val="20"/>
        </w:rPr>
        <w:t>（</w:t>
      </w:r>
      <w:r w:rsidR="002B682F" w:rsidRPr="00DA3BC7">
        <w:rPr>
          <w:rFonts w:ascii="Times New Roman" w:hAnsi="Times New Roman"/>
          <w:sz w:val="20"/>
        </w:rPr>
        <w:t>p.92</w:t>
      </w:r>
      <w:r w:rsidR="002B682F" w:rsidRPr="00DA3BC7">
        <w:rPr>
          <w:rFonts w:ascii="Times New Roman" w:hAnsi="Times New Roman"/>
          <w:sz w:val="20"/>
        </w:rPr>
        <w:t>）</w:t>
      </w:r>
    </w:p>
    <w:p w:rsidR="002B682F" w:rsidRPr="00DA3BC7" w:rsidRDefault="002B682F" w:rsidP="00EB4232">
      <w:pPr>
        <w:pStyle w:val="af6"/>
        <w:spacing w:after="0"/>
        <w:ind w:leftChars="250" w:left="600"/>
        <w:jc w:val="both"/>
        <w:rPr>
          <w:rFonts w:ascii="Times New Roman" w:hAnsi="Times New Roman"/>
        </w:rPr>
      </w:pPr>
      <w:r w:rsidRPr="00DA3BC7">
        <w:rPr>
          <w:rFonts w:ascii="Times New Roman" w:hAnsi="Times New Roman"/>
        </w:rPr>
        <w:t>如以世間學者的次第說，即如此：</w:t>
      </w:r>
    </w:p>
    <w:p w:rsidR="00807FA6" w:rsidRPr="00DA3BC7" w:rsidRDefault="00AE3920" w:rsidP="008E2BBC">
      <w:pPr>
        <w:pStyle w:val="af6"/>
        <w:spacing w:after="0"/>
        <w:ind w:leftChars="250" w:left="600"/>
        <w:jc w:val="both"/>
        <w:rPr>
          <w:rFonts w:ascii="Times New Roman" w:hAnsi="Times New Roman"/>
        </w:rPr>
      </w:pPr>
      <w:r>
        <w:rPr>
          <w:rFonts w:ascii="Times New Roman" w:hAnsi="Times New Roman"/>
          <w:noProof/>
        </w:rPr>
        <w:pict>
          <v:group id="Group 113" o:spid="_x0000_s2071" style="position:absolute;left:0;text-align:left;margin-left:71.5pt;margin-top:8.9pt;width:42.45pt;height:54.85pt;z-index:251664896" coordorigin="2848,2676" coordsize="849,1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">
            <v:shape id="AutoShape 79" o:spid="_x0000_s2081" type="#_x0000_t32" style="position:absolute;left:2848;top:2676;width:849;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"/>
            <v:shape id="AutoShape 80" o:spid="_x0000_s2080" type="#_x0000_t32" style="position:absolute;left:2848;top:2676;width:849;height:365;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"/>
            <v:shape id="AutoShape 81" o:spid="_x0000_s2079" type="#_x0000_t32" style="position:absolute;left:2848;top:2676;width:849;height:709;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"/>
            <v:shape id="AutoShape 82" o:spid="_x0000_s2078" type="#_x0000_t32" style="position:absolute;left:2848;top:2676;width:849;height:1097;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"/>
            <v:shape id="AutoShape 107" o:spid="_x0000_s2077" type="#_x0000_t32" style="position:absolute;left:2848;top:3041;width:849;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"/>
            <v:shape id="AutoShape 108" o:spid="_x0000_s2076" type="#_x0000_t32" style="position:absolute;left:2848;top:3041;width:849;height:34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6cwwAAANsAAAAPAAAAZHJzL2Rvd25yZXYueG1sRI9Bi8Iw&#10;FITvC/6H8AQvy5rWBZ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xbNunMMAAADbAAAADwAA&#10;AAAAAAAAAAAAAAAHAgAAZHJzL2Rvd25yZXYueG1sUEsFBgAAAAADAAMAtwAAAPcCAAAAAA==&#10;"/>
            <v:shape id="AutoShape 109" o:spid="_x0000_s2075" type="#_x0000_t32" style="position:absolute;left:2848;top:3041;width:849;height:732;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vbowwAAANsAAAAPAAAAZHJzL2Rvd25yZXYueG1sRI9Bi8Iw&#10;FITvC/6H8AQvy5pWFp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Slr26MMAAADbAAAADwAA&#10;AAAAAAAAAAAAAAAHAgAAZHJzL2Rvd25yZXYueG1sUEsFBgAAAAADAAMAtwAAAPcCAAAAAA==&#10;"/>
            <v:shape id="AutoShape 110" o:spid="_x0000_s2074" type="#_x0000_t32" style="position:absolute;left:2848;top:3385;width:849;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lNzwwAAANsAAAAPAAAAZHJzL2Rvd25yZXYueG1sRI9Bi8Iw&#10;FITvC/6H8AQvy5pWWJ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JRZTc8MAAADbAAAADwAA&#10;AAAAAAAAAAAAAAAHAgAAZHJzL2Rvd25yZXYueG1sUEsFBgAAAAADAAMAtwAAAPcCAAAAAA==&#10;"/>
            <v:shape id="AutoShape 111" o:spid="_x0000_s2073" type="#_x0000_t32" style="position:absolute;left:2848;top:3385;width:849;height:388;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"/>
            <v:shape id="AutoShape 112" o:spid="_x0000_s2072" type="#_x0000_t32" style="position:absolute;left:2848;top:3773;width:849;height:0;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"/>
          </v:group>
        </w:pict>
      </w:r>
      <w:r w:rsidR="00807FA6" w:rsidRPr="00DA3BC7">
        <w:rPr>
          <w:rFonts w:ascii="Times New Roman" w:hAnsi="Times New Roman"/>
        </w:rPr>
        <w:t>有　無</w:t>
      </w:r>
      <w:r w:rsidR="00807FA6" w:rsidRPr="00DA3BC7">
        <w:rPr>
          <w:rFonts w:ascii="Times New Roman" w:hAnsi="Times New Roman"/>
        </w:rPr>
        <w:tab/>
      </w:r>
      <w:r w:rsidR="00807FA6" w:rsidRPr="00DA3BC7">
        <w:rPr>
          <w:rFonts w:ascii="Times New Roman" w:hAnsi="Times New Roman"/>
        </w:rPr>
        <w:tab/>
      </w:r>
      <w:r w:rsidR="00807FA6" w:rsidRPr="00DA3BC7">
        <w:rPr>
          <w:rFonts w:ascii="Times New Roman" w:hAnsi="Times New Roman"/>
        </w:rPr>
        <w:tab/>
      </w:r>
      <w:r w:rsidR="00807FA6" w:rsidRPr="00DA3BC7">
        <w:rPr>
          <w:rFonts w:ascii="Times New Roman" w:hAnsi="Times New Roman"/>
        </w:rPr>
        <w:t>法　體</w:t>
      </w:r>
    </w:p>
    <w:p w:rsidR="00807FA6" w:rsidRPr="00DA3BC7" w:rsidRDefault="00807FA6" w:rsidP="008E2BBC">
      <w:pPr>
        <w:pStyle w:val="af6"/>
        <w:spacing w:after="0"/>
        <w:ind w:leftChars="250" w:left="600"/>
        <w:jc w:val="both"/>
        <w:rPr>
          <w:rFonts w:ascii="Times New Roman" w:hAnsi="Times New Roman"/>
        </w:rPr>
      </w:pPr>
      <w:r w:rsidRPr="00DA3BC7">
        <w:rPr>
          <w:rFonts w:ascii="Times New Roman" w:hAnsi="Times New Roman"/>
        </w:rPr>
        <w:t>斷　常</w:t>
      </w:r>
      <w:r w:rsidRPr="00DA3BC7">
        <w:rPr>
          <w:rFonts w:ascii="Times New Roman" w:hAnsi="Times New Roman"/>
        </w:rPr>
        <w:tab/>
      </w:r>
      <w:r w:rsidRPr="00DA3BC7">
        <w:rPr>
          <w:rFonts w:ascii="Times New Roman" w:hAnsi="Times New Roman"/>
        </w:rPr>
        <w:tab/>
      </w:r>
      <w:r w:rsidRPr="00DA3BC7">
        <w:rPr>
          <w:rFonts w:ascii="Times New Roman" w:hAnsi="Times New Roman"/>
        </w:rPr>
        <w:tab/>
      </w:r>
      <w:r w:rsidRPr="00DA3BC7">
        <w:rPr>
          <w:rFonts w:ascii="Times New Roman" w:hAnsi="Times New Roman"/>
        </w:rPr>
        <w:t>時　間</w:t>
      </w:r>
    </w:p>
    <w:p w:rsidR="00807FA6" w:rsidRPr="00DA3BC7" w:rsidRDefault="00807FA6" w:rsidP="008E2BBC">
      <w:pPr>
        <w:pStyle w:val="af6"/>
        <w:spacing w:after="0"/>
        <w:ind w:leftChars="250" w:left="600"/>
        <w:jc w:val="both"/>
        <w:rPr>
          <w:rFonts w:ascii="Times New Roman" w:hAnsi="Times New Roman"/>
        </w:rPr>
      </w:pPr>
      <w:r w:rsidRPr="00DA3BC7">
        <w:rPr>
          <w:rFonts w:ascii="Times New Roman" w:hAnsi="Times New Roman"/>
        </w:rPr>
        <w:t>一　異</w:t>
      </w:r>
      <w:r w:rsidRPr="00DA3BC7">
        <w:rPr>
          <w:rFonts w:ascii="Times New Roman" w:hAnsi="Times New Roman"/>
        </w:rPr>
        <w:tab/>
      </w:r>
      <w:r w:rsidRPr="00DA3BC7">
        <w:rPr>
          <w:rFonts w:ascii="Times New Roman" w:hAnsi="Times New Roman"/>
        </w:rPr>
        <w:tab/>
      </w:r>
      <w:r w:rsidRPr="00DA3BC7">
        <w:rPr>
          <w:rFonts w:ascii="Times New Roman" w:hAnsi="Times New Roman"/>
        </w:rPr>
        <w:tab/>
      </w:r>
      <w:r w:rsidRPr="00DA3BC7">
        <w:rPr>
          <w:rFonts w:ascii="Times New Roman" w:hAnsi="Times New Roman"/>
        </w:rPr>
        <w:t>空　間</w:t>
      </w:r>
    </w:p>
    <w:p w:rsidR="002B682F" w:rsidRPr="00DA3BC7" w:rsidRDefault="00807FA6" w:rsidP="008E2BBC">
      <w:pPr>
        <w:pStyle w:val="af6"/>
        <w:spacing w:after="0"/>
        <w:ind w:leftChars="250" w:left="600"/>
        <w:jc w:val="both"/>
        <w:rPr>
          <w:rFonts w:ascii="Times New Roman" w:hAnsi="Times New Roman"/>
        </w:rPr>
      </w:pPr>
      <w:r w:rsidRPr="00DA3BC7">
        <w:rPr>
          <w:rFonts w:ascii="Times New Roman" w:hAnsi="Times New Roman"/>
        </w:rPr>
        <w:t>來　去</w:t>
      </w:r>
      <w:r w:rsidRPr="00DA3BC7">
        <w:rPr>
          <w:rFonts w:ascii="Times New Roman" w:hAnsi="Times New Roman"/>
        </w:rPr>
        <w:tab/>
      </w:r>
      <w:r w:rsidRPr="00DA3BC7">
        <w:rPr>
          <w:rFonts w:ascii="Times New Roman" w:hAnsi="Times New Roman"/>
        </w:rPr>
        <w:tab/>
      </w:r>
      <w:r w:rsidRPr="00DA3BC7">
        <w:rPr>
          <w:rFonts w:ascii="Times New Roman" w:hAnsi="Times New Roman"/>
        </w:rPr>
        <w:tab/>
      </w:r>
      <w:r w:rsidRPr="00DA3BC7">
        <w:rPr>
          <w:rFonts w:ascii="Times New Roman" w:hAnsi="Times New Roman"/>
        </w:rPr>
        <w:t>運　動</w:t>
      </w:r>
    </w:p>
    <w:p w:rsidR="002B682F" w:rsidRPr="00DA3BC7" w:rsidRDefault="002B682F" w:rsidP="00AE3920">
      <w:pPr>
        <w:pStyle w:val="af6"/>
        <w:spacing w:beforeLines="30" w:after="0"/>
        <w:ind w:leftChars="50" w:left="120"/>
        <w:jc w:val="both"/>
        <w:rPr>
          <w:b/>
        </w:rPr>
      </w:pPr>
      <w:r w:rsidRPr="009B2993">
        <w:rPr>
          <w:rFonts w:hint="eastAsia"/>
          <w:b/>
          <w:color w:val="FF0000"/>
          <w:sz w:val="20"/>
          <w:highlight w:val="yellow"/>
          <w:bdr w:val="single" w:sz="4" w:space="0" w:color="auto"/>
        </w:rPr>
        <w:t>（</w:t>
      </w:r>
      <w:r w:rsidR="009B2993" w:rsidRPr="009B2993">
        <w:rPr>
          <w:rFonts w:hint="eastAsia"/>
          <w:b/>
          <w:color w:val="FF0000"/>
          <w:sz w:val="20"/>
          <w:highlight w:val="yellow"/>
          <w:bdr w:val="single" w:sz="4" w:space="0" w:color="auto"/>
        </w:rPr>
        <w:t>參</w:t>
      </w:r>
      <w:r w:rsidRPr="009B2993">
        <w:rPr>
          <w:rFonts w:hint="eastAsia"/>
          <w:b/>
          <w:color w:val="FF0000"/>
          <w:sz w:val="20"/>
          <w:highlight w:val="yellow"/>
          <w:bdr w:val="single" w:sz="4" w:space="0" w:color="auto"/>
        </w:rPr>
        <w:t>）</w:t>
      </w:r>
      <w:r w:rsidR="009B2993" w:rsidRPr="009B2993">
        <w:rPr>
          <w:rFonts w:hint="eastAsia"/>
          <w:b/>
          <w:color w:val="FF0000"/>
          <w:sz w:val="20"/>
          <w:highlight w:val="yellow"/>
          <w:bdr w:val="single" w:sz="4" w:space="0" w:color="auto"/>
        </w:rPr>
        <w:t>結</w:t>
      </w:r>
      <w:r w:rsidR="009B2993">
        <w:rPr>
          <w:rFonts w:hint="eastAsia"/>
          <w:b/>
          <w:color w:val="FF0000"/>
          <w:sz w:val="20"/>
          <w:highlight w:val="yellow"/>
          <w:bdr w:val="single" w:sz="4" w:space="0" w:color="auto"/>
        </w:rPr>
        <w:t>明</w:t>
      </w:r>
      <w:r w:rsidR="009B2993" w:rsidRPr="009B2993">
        <w:rPr>
          <w:rFonts w:hint="eastAsia"/>
          <w:b/>
          <w:color w:val="FF0000"/>
          <w:sz w:val="20"/>
          <w:highlight w:val="yellow"/>
          <w:bdr w:val="single" w:sz="4" w:space="0" w:color="auto"/>
        </w:rPr>
        <w:t>「教說宗趣」</w:t>
      </w:r>
      <w:r w:rsidRPr="00DA3BC7">
        <w:rPr>
          <w:sz w:val="20"/>
        </w:rPr>
        <w:t>（</w:t>
      </w:r>
      <w:r w:rsidR="009B2993" w:rsidRPr="009B2993">
        <w:rPr>
          <w:rFonts w:ascii="Times New Roman" w:hAnsi="Times New Roman" w:hint="eastAsia"/>
          <w:sz w:val="20"/>
        </w:rPr>
        <w:t>p</w:t>
      </w:r>
      <w:r w:rsidRPr="00DA3BC7">
        <w:rPr>
          <w:rFonts w:ascii="Times New Roman" w:hAnsi="Times New Roman"/>
          <w:sz w:val="20"/>
        </w:rPr>
        <w:t>p.9</w:t>
      </w:r>
      <w:r w:rsidRPr="00DA3BC7">
        <w:rPr>
          <w:rFonts w:ascii="Times New Roman" w:hAnsi="Times New Roman" w:hint="eastAsia"/>
          <w:sz w:val="20"/>
        </w:rPr>
        <w:t>3</w:t>
      </w:r>
      <w:r w:rsidR="009B2993">
        <w:rPr>
          <w:rFonts w:ascii="Times New Roman" w:hAnsi="Times New Roman" w:hint="eastAsia"/>
          <w:sz w:val="20"/>
        </w:rPr>
        <w:t>-94</w:t>
      </w:r>
      <w:r w:rsidRPr="00DA3BC7">
        <w:rPr>
          <w:sz w:val="20"/>
        </w:rPr>
        <w:t>）</w:t>
      </w:r>
    </w:p>
    <w:p w:rsidR="009B2993" w:rsidRPr="00DA3BC7" w:rsidRDefault="009B2993" w:rsidP="00EB4232">
      <w:pPr>
        <w:ind w:leftChars="100" w:left="240"/>
        <w:jc w:val="both"/>
        <w:rPr>
          <w:b/>
          <w:sz w:val="20"/>
          <w:szCs w:val="20"/>
        </w:rPr>
      </w:pPr>
      <w:r w:rsidRPr="009B2993">
        <w:rPr>
          <w:rFonts w:hint="eastAsia"/>
          <w:b/>
          <w:color w:val="FF0000"/>
          <w:sz w:val="20"/>
          <w:szCs w:val="20"/>
          <w:highlight w:val="yellow"/>
          <w:bdr w:val="single" w:sz="4" w:space="0" w:color="auto"/>
        </w:rPr>
        <w:t>一、理無次第</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9</w:t>
      </w:r>
      <w:r w:rsidRPr="00DA3BC7">
        <w:rPr>
          <w:rFonts w:ascii="Times New Roman" w:hAnsi="Times New Roman" w:hint="eastAsia"/>
          <w:sz w:val="20"/>
        </w:rPr>
        <w:t>3</w:t>
      </w:r>
      <w:r w:rsidRPr="00DA3BC7">
        <w:rPr>
          <w:sz w:val="20"/>
          <w:szCs w:val="20"/>
        </w:rPr>
        <w:t>）</w:t>
      </w:r>
    </w:p>
    <w:p w:rsidR="002B682F" w:rsidRPr="00DA3BC7" w:rsidRDefault="002B682F" w:rsidP="00EB4232">
      <w:pPr>
        <w:ind w:leftChars="100" w:left="240"/>
        <w:jc w:val="both"/>
      </w:pPr>
      <w:r w:rsidRPr="00DA3BC7">
        <w:t>如上面所說，中觀者是以此四相為一切所必備的，</w:t>
      </w:r>
      <w:r w:rsidRPr="00DA3BC7">
        <w:rPr>
          <w:b/>
        </w:rPr>
        <w:t>決無先後</w:t>
      </w:r>
      <w:r w:rsidRPr="00DA3BC7">
        <w:t>的。</w:t>
      </w:r>
    </w:p>
    <w:p w:rsidR="002B682F" w:rsidRPr="00DA3BC7" w:rsidRDefault="009B2993" w:rsidP="00AE3920">
      <w:pPr>
        <w:spacing w:beforeLines="30"/>
        <w:ind w:leftChars="100" w:left="240"/>
        <w:jc w:val="both"/>
        <w:rPr>
          <w:b/>
          <w:sz w:val="20"/>
          <w:szCs w:val="20"/>
        </w:rPr>
      </w:pPr>
      <w:r w:rsidRPr="009B2993">
        <w:rPr>
          <w:rFonts w:hint="eastAsia"/>
          <w:b/>
          <w:color w:val="FF0000"/>
          <w:sz w:val="20"/>
          <w:szCs w:val="20"/>
          <w:highlight w:val="yellow"/>
          <w:bdr w:val="single" w:sz="4" w:space="0" w:color="auto"/>
        </w:rPr>
        <w:t>二</w:t>
      </w:r>
      <w:r w:rsidR="002B682F" w:rsidRPr="009B2993">
        <w:rPr>
          <w:b/>
          <w:color w:val="FF0000"/>
          <w:sz w:val="20"/>
          <w:szCs w:val="20"/>
          <w:highlight w:val="yellow"/>
          <w:bdr w:val="single" w:sz="4" w:space="0" w:color="auto"/>
        </w:rPr>
        <w:t>、</w:t>
      </w:r>
      <w:r w:rsidRPr="009B2993">
        <w:rPr>
          <w:rFonts w:hint="eastAsia"/>
          <w:b/>
          <w:color w:val="FF0000"/>
          <w:sz w:val="20"/>
          <w:szCs w:val="20"/>
          <w:highlight w:val="yellow"/>
          <w:bdr w:val="single" w:sz="4" w:space="0" w:color="auto"/>
        </w:rPr>
        <w:t>義貫本教</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9</w:t>
      </w:r>
      <w:r w:rsidR="002B682F" w:rsidRPr="00DA3BC7">
        <w:rPr>
          <w:rFonts w:ascii="Times New Roman" w:hAnsi="Times New Roman" w:hint="eastAsia"/>
          <w:sz w:val="20"/>
        </w:rPr>
        <w:t>3</w:t>
      </w:r>
      <w:r w:rsidR="002B682F" w:rsidRPr="00DA3BC7">
        <w:rPr>
          <w:sz w:val="20"/>
          <w:szCs w:val="20"/>
        </w:rPr>
        <w:t>）</w:t>
      </w:r>
    </w:p>
    <w:p w:rsidR="002B682F" w:rsidRPr="00DA3BC7" w:rsidRDefault="002B682F" w:rsidP="00EB4232">
      <w:pPr>
        <w:ind w:leftChars="150" w:left="360"/>
        <w:jc w:val="both"/>
        <w:rPr>
          <w:b/>
          <w:sz w:val="20"/>
          <w:szCs w:val="20"/>
        </w:rPr>
      </w:pPr>
      <w:r w:rsidRPr="009B2993">
        <w:rPr>
          <w:b/>
          <w:color w:val="FF0000"/>
          <w:sz w:val="20"/>
          <w:szCs w:val="20"/>
          <w:highlight w:val="yellow"/>
          <w:bdr w:val="single" w:sz="4" w:space="0" w:color="auto"/>
        </w:rPr>
        <w:t>（</w:t>
      </w:r>
      <w:r w:rsidR="009B2993" w:rsidRPr="009B2993">
        <w:rPr>
          <w:rFonts w:hint="eastAsia"/>
          <w:b/>
          <w:color w:val="FF0000"/>
          <w:sz w:val="20"/>
          <w:szCs w:val="20"/>
          <w:highlight w:val="yellow"/>
          <w:bdr w:val="single" w:sz="4" w:space="0" w:color="auto"/>
        </w:rPr>
        <w:t>一</w:t>
      </w:r>
      <w:r w:rsidRPr="009B2993">
        <w:rPr>
          <w:b/>
          <w:color w:val="FF0000"/>
          <w:sz w:val="20"/>
          <w:szCs w:val="20"/>
          <w:highlight w:val="yellow"/>
          <w:bdr w:val="single" w:sz="4" w:space="0" w:color="auto"/>
        </w:rPr>
        <w:t>）</w:t>
      </w:r>
      <w:r w:rsidR="009B2993" w:rsidRPr="009B2993">
        <w:rPr>
          <w:rFonts w:hint="eastAsia"/>
          <w:b/>
          <w:color w:val="FF0000"/>
          <w:sz w:val="20"/>
          <w:szCs w:val="20"/>
          <w:highlight w:val="yellow"/>
          <w:bdr w:val="single" w:sz="4" w:space="0" w:color="auto"/>
        </w:rPr>
        <w:t>敘「根本聖教之用意」</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9</w:t>
      </w:r>
      <w:r w:rsidRPr="00DA3BC7">
        <w:rPr>
          <w:rFonts w:ascii="Times New Roman" w:hAnsi="Times New Roman" w:hint="eastAsia"/>
          <w:sz w:val="20"/>
        </w:rPr>
        <w:t>3</w:t>
      </w:r>
      <w:r w:rsidRPr="00DA3BC7">
        <w:rPr>
          <w:sz w:val="20"/>
          <w:szCs w:val="20"/>
        </w:rPr>
        <w:t>）</w:t>
      </w:r>
    </w:p>
    <w:p w:rsidR="002B682F" w:rsidRPr="00DA3BC7" w:rsidRDefault="002B682F" w:rsidP="00EB4232">
      <w:pPr>
        <w:ind w:leftChars="150" w:left="360"/>
        <w:jc w:val="both"/>
      </w:pPr>
      <w:r w:rsidRPr="00DA3BC7">
        <w:t>釋尊的教說，以生滅為三法印的前提。生（異）滅，被稱為「有為之三有為相」，即「有為」所以為有為的通相。</w:t>
      </w:r>
    </w:p>
    <w:p w:rsidR="002B682F" w:rsidRPr="00DA3BC7" w:rsidRDefault="002B682F" w:rsidP="00AE3920">
      <w:pPr>
        <w:spacing w:beforeLines="20"/>
        <w:ind w:leftChars="150" w:left="360"/>
        <w:jc w:val="both"/>
      </w:pPr>
      <w:r w:rsidRPr="00DA3BC7">
        <w:t>原來，</w:t>
      </w:r>
      <w:r w:rsidRPr="00DA3BC7">
        <w:rPr>
          <w:rFonts w:ascii="Times New Roman" w:hAnsi="Times New Roman"/>
        </w:rPr>
        <w:t>kriyā</w:t>
      </w:r>
      <w:r w:rsidRPr="00DA3BC7">
        <w:t>是</w:t>
      </w:r>
      <w:r w:rsidRPr="007C39E5">
        <w:rPr>
          <w:rFonts w:ascii="Times New Roman" w:hAnsi="Times New Roman"/>
          <w:b/>
          <w:u w:val="wave" w:color="C00000"/>
        </w:rPr>
        <w:t>力用</w:t>
      </w:r>
      <w:r w:rsidRPr="00DA3BC7">
        <w:t>或</w:t>
      </w:r>
      <w:r w:rsidRPr="007C39E5">
        <w:rPr>
          <w:rFonts w:ascii="Times New Roman" w:hAnsi="Times New Roman"/>
          <w:b/>
          <w:u w:val="wave" w:color="C00000"/>
        </w:rPr>
        <w:t>作用</w:t>
      </w:r>
      <w:r w:rsidRPr="00DA3BC7">
        <w:t>的意義。</w:t>
      </w:r>
      <w:r w:rsidRPr="00DA3BC7">
        <w:rPr>
          <w:rStyle w:val="a6"/>
          <w:rFonts w:ascii="Times New Roman" w:hAnsi="Times New Roman"/>
        </w:rPr>
        <w:footnoteReference w:id="454"/>
      </w:r>
      <w:r w:rsidRPr="00DA3BC7">
        <w:rPr>
          <w:rFonts w:ascii="Times New Roman" w:hAnsi="Times New Roman"/>
        </w:rPr>
        <w:t>kṛta</w:t>
      </w:r>
      <w:r w:rsidRPr="00DA3BC7">
        <w:t>，即是「所作的」。</w:t>
      </w:r>
    </w:p>
    <w:p w:rsidR="002B682F" w:rsidRPr="00DA3BC7" w:rsidRDefault="002B682F" w:rsidP="00AE3920">
      <w:pPr>
        <w:spacing w:beforeLines="20"/>
        <w:ind w:leftChars="150" w:left="360"/>
        <w:jc w:val="both"/>
      </w:pPr>
      <w:r w:rsidRPr="00DA3BC7">
        <w:lastRenderedPageBreak/>
        <w:t>佛說的「有為」與「行」，原文都以此作用</w:t>
      </w:r>
      <w:r w:rsidRPr="00DA3BC7">
        <w:rPr>
          <w:rFonts w:hint="eastAsia"/>
          <w:sz w:val="22"/>
          <w:szCs w:val="22"/>
        </w:rPr>
        <w:t>（</w:t>
      </w:r>
      <w:r w:rsidRPr="00DA3BC7">
        <w:rPr>
          <w:rFonts w:ascii="Times New Roman" w:hAnsi="Times New Roman"/>
          <w:sz w:val="22"/>
          <w:szCs w:val="22"/>
        </w:rPr>
        <w:t>Kṛ</w:t>
      </w:r>
      <w:r w:rsidRPr="00DA3BC7">
        <w:rPr>
          <w:rFonts w:hint="eastAsia"/>
          <w:sz w:val="22"/>
          <w:szCs w:val="22"/>
        </w:rPr>
        <w:t>）</w:t>
      </w:r>
      <w:r w:rsidRPr="00DA3BC7">
        <w:t>為語根</w:t>
      </w:r>
      <w:r w:rsidRPr="00DA3BC7">
        <w:rPr>
          <w:rFonts w:hint="eastAsia"/>
        </w:rPr>
        <w:t>。</w:t>
      </w:r>
    </w:p>
    <w:p w:rsidR="002B682F" w:rsidRPr="00DA3BC7" w:rsidRDefault="002B682F" w:rsidP="00EB4232">
      <w:pPr>
        <w:ind w:leftChars="150" w:left="360"/>
        <w:jc w:val="both"/>
      </w:pPr>
      <w:r w:rsidRPr="00DA3BC7">
        <w:t>如</w:t>
      </w:r>
      <w:r w:rsidRPr="00DA3BC7">
        <w:rPr>
          <w:rFonts w:hint="eastAsia"/>
        </w:rPr>
        <w:t>「</w:t>
      </w:r>
      <w:r w:rsidRPr="00DA3BC7">
        <w:rPr>
          <w:b/>
        </w:rPr>
        <w:t>行</w:t>
      </w:r>
      <w:r w:rsidRPr="00DA3BC7">
        <w:rPr>
          <w:rFonts w:hint="eastAsia"/>
        </w:rPr>
        <w:t>」</w:t>
      </w:r>
      <w:r w:rsidRPr="00DA3BC7">
        <w:rPr>
          <w:rFonts w:ascii="Times New Roman" w:hAnsi="Times New Roman"/>
        </w:rPr>
        <w:t>saṃskāra</w:t>
      </w:r>
      <w:r w:rsidRPr="00DA3BC7">
        <w:t>是能動名詞，意思是（能）作成的，或生成的。而</w:t>
      </w:r>
      <w:r w:rsidRPr="00DA3BC7">
        <w:rPr>
          <w:rFonts w:hint="eastAsia"/>
        </w:rPr>
        <w:t>「</w:t>
      </w:r>
      <w:r w:rsidRPr="00DA3BC7">
        <w:rPr>
          <w:b/>
        </w:rPr>
        <w:t>有為</w:t>
      </w:r>
      <w:r w:rsidRPr="00DA3BC7">
        <w:rPr>
          <w:rFonts w:hint="eastAsia"/>
        </w:rPr>
        <w:t>」</w:t>
      </w:r>
      <w:r w:rsidRPr="00DA3BC7">
        <w:t>的原語，是</w:t>
      </w:r>
      <w:r w:rsidRPr="00DA3BC7">
        <w:rPr>
          <w:rFonts w:ascii="Times New Roman" w:hAnsi="Times New Roman"/>
        </w:rPr>
        <w:t>saṃskṛta</w:t>
      </w:r>
      <w:r w:rsidRPr="00DA3BC7">
        <w:t>，為受動分詞的過去格，意思是為（因）所作成的。</w:t>
      </w:r>
    </w:p>
    <w:p w:rsidR="002B682F" w:rsidRPr="00DA3BC7" w:rsidRDefault="002B682F" w:rsidP="00EB4232">
      <w:pPr>
        <w:ind w:leftChars="150" w:left="360"/>
        <w:jc w:val="both"/>
      </w:pPr>
      <w:r w:rsidRPr="00DA3BC7">
        <w:t>這為因所成的</w:t>
      </w:r>
      <w:r w:rsidRPr="00DA3BC7">
        <w:rPr>
          <w:b/>
        </w:rPr>
        <w:t>有為，以生滅為相</w:t>
      </w:r>
      <w:r w:rsidRPr="00DA3BC7">
        <w:t>，所以</w:t>
      </w:r>
      <w:r w:rsidRPr="00DA3BC7">
        <w:rPr>
          <w:b/>
        </w:rPr>
        <w:t>生滅</w:t>
      </w:r>
      <w:r w:rsidRPr="00DA3BC7">
        <w:t>為</w:t>
      </w:r>
      <w:r w:rsidRPr="00DA3BC7">
        <w:rPr>
          <w:b/>
        </w:rPr>
        <w:t>因果諸行</w:t>
      </w:r>
      <w:r w:rsidRPr="00DA3BC7">
        <w:rPr>
          <w:rFonts w:ascii="新細明體" w:hAnsi="新細明體"/>
        </w:rPr>
        <w:t>──</w:t>
      </w:r>
      <w:r w:rsidRPr="00DA3BC7">
        <w:t>有為的</w:t>
      </w:r>
      <w:r w:rsidRPr="00DA3BC7">
        <w:rPr>
          <w:b/>
        </w:rPr>
        <w:t>必然的通遍的性質</w:t>
      </w:r>
      <w:r w:rsidRPr="00DA3BC7">
        <w:t>。</w:t>
      </w:r>
    </w:p>
    <w:p w:rsidR="002B682F" w:rsidRPr="00DA3BC7" w:rsidRDefault="002B682F" w:rsidP="00EB4232">
      <w:pPr>
        <w:ind w:leftChars="150" w:left="360"/>
        <w:jc w:val="both"/>
      </w:pPr>
      <w:r w:rsidRPr="00DA3BC7">
        <w:t>因果諸行，是必然的新新生滅而流轉於</w:t>
      </w:r>
      <w:r w:rsidRPr="00DA3BC7">
        <w:rPr>
          <w:b/>
        </w:rPr>
        <w:t>發生、安住、變異、滅無</w:t>
      </w:r>
      <w:r w:rsidRPr="00DA3BC7">
        <w:t>的歷程。</w:t>
      </w:r>
    </w:p>
    <w:p w:rsidR="002B682F" w:rsidRPr="00DA3BC7" w:rsidRDefault="002B682F" w:rsidP="00AE3920">
      <w:pPr>
        <w:spacing w:beforeLines="30"/>
        <w:ind w:leftChars="150" w:left="360"/>
        <w:jc w:val="both"/>
        <w:rPr>
          <w:b/>
          <w:sz w:val="20"/>
          <w:szCs w:val="20"/>
        </w:rPr>
      </w:pPr>
      <w:r w:rsidRPr="009B2993">
        <w:rPr>
          <w:b/>
          <w:color w:val="FF0000"/>
          <w:sz w:val="20"/>
          <w:szCs w:val="20"/>
          <w:highlight w:val="yellow"/>
          <w:bdr w:val="single" w:sz="4" w:space="0" w:color="auto"/>
        </w:rPr>
        <w:t>（</w:t>
      </w:r>
      <w:r w:rsidR="009B2993" w:rsidRPr="009B2993">
        <w:rPr>
          <w:rFonts w:hint="eastAsia"/>
          <w:b/>
          <w:color w:val="FF0000"/>
          <w:sz w:val="20"/>
          <w:szCs w:val="20"/>
          <w:highlight w:val="yellow"/>
          <w:bdr w:val="single" w:sz="4" w:space="0" w:color="auto"/>
        </w:rPr>
        <w:t>二</w:t>
      </w:r>
      <w:r w:rsidRPr="009B2993">
        <w:rPr>
          <w:b/>
          <w:color w:val="FF0000"/>
          <w:sz w:val="20"/>
          <w:szCs w:val="20"/>
          <w:highlight w:val="yellow"/>
          <w:bdr w:val="single" w:sz="4" w:space="0" w:color="auto"/>
        </w:rPr>
        <w:t>）</w:t>
      </w:r>
      <w:r w:rsidR="009B2993" w:rsidRPr="009B2993">
        <w:rPr>
          <w:rFonts w:hint="eastAsia"/>
          <w:b/>
          <w:color w:val="FF0000"/>
          <w:sz w:val="20"/>
          <w:szCs w:val="20"/>
          <w:highlight w:val="yellow"/>
          <w:bdr w:val="single" w:sz="4" w:space="0" w:color="auto"/>
        </w:rPr>
        <w:t>斥「自性</w:t>
      </w:r>
      <w:r w:rsidRPr="009B2993">
        <w:rPr>
          <w:rFonts w:hint="eastAsia"/>
          <w:b/>
          <w:color w:val="FF0000"/>
          <w:sz w:val="20"/>
          <w:szCs w:val="20"/>
          <w:highlight w:val="yellow"/>
          <w:bdr w:val="single" w:sz="4" w:space="0" w:color="auto"/>
        </w:rPr>
        <w:t>有</w:t>
      </w:r>
      <w:r w:rsidR="009B2993" w:rsidRPr="009B2993">
        <w:rPr>
          <w:rFonts w:hint="eastAsia"/>
          <w:b/>
          <w:color w:val="FF0000"/>
          <w:sz w:val="20"/>
          <w:szCs w:val="20"/>
          <w:highlight w:val="yellow"/>
          <w:bdr w:val="single" w:sz="4" w:space="0" w:color="auto"/>
        </w:rPr>
        <w:t>者之偏</w:t>
      </w:r>
      <w:r w:rsidR="007D36FE" w:rsidRPr="009B2993">
        <w:rPr>
          <w:rFonts w:hint="eastAsia"/>
          <w:b/>
          <w:color w:val="FF0000"/>
          <w:sz w:val="20"/>
          <w:szCs w:val="20"/>
          <w:highlight w:val="yellow"/>
          <w:bdr w:val="single" w:sz="4" w:space="0" w:color="auto"/>
        </w:rPr>
        <w:t>執</w:t>
      </w:r>
      <w:r w:rsidR="009B2993" w:rsidRPr="009B2993">
        <w:rPr>
          <w:rFonts w:hint="eastAsia"/>
          <w:b/>
          <w:color w:val="FF0000"/>
          <w:sz w:val="20"/>
          <w:szCs w:val="20"/>
          <w:highlight w:val="yellow"/>
          <w:bdr w:val="single" w:sz="4" w:space="0" w:color="auto"/>
        </w:rPr>
        <w:t>」</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9</w:t>
      </w:r>
      <w:r w:rsidRPr="00DA3BC7">
        <w:rPr>
          <w:rFonts w:ascii="Times New Roman" w:hAnsi="Times New Roman" w:hint="eastAsia"/>
          <w:sz w:val="20"/>
        </w:rPr>
        <w:t>3</w:t>
      </w:r>
      <w:r w:rsidRPr="00DA3BC7">
        <w:rPr>
          <w:sz w:val="20"/>
          <w:szCs w:val="20"/>
        </w:rPr>
        <w:t>）</w:t>
      </w:r>
    </w:p>
    <w:p w:rsidR="002B682F" w:rsidRPr="00DA3BC7" w:rsidRDefault="002B682F" w:rsidP="00EB4232">
      <w:pPr>
        <w:ind w:leftChars="150" w:left="360"/>
        <w:jc w:val="both"/>
      </w:pPr>
      <w:r w:rsidRPr="00DA3BC7">
        <w:t>釋迦的緣起觀，以此生滅觀即動觀中，否定有見與無見。</w:t>
      </w:r>
    </w:p>
    <w:p w:rsidR="002B682F" w:rsidRPr="00DA3BC7" w:rsidRDefault="002B682F" w:rsidP="00EB4232">
      <w:pPr>
        <w:ind w:leftChars="150" w:left="360"/>
        <w:jc w:val="both"/>
      </w:pPr>
      <w:r w:rsidRPr="00DA3BC7">
        <w:t>然佛以此</w:t>
      </w:r>
      <w:r w:rsidRPr="00DA3BC7">
        <w:rPr>
          <w:b/>
        </w:rPr>
        <w:t>生滅為有為諸行的通遍性</w:t>
      </w:r>
      <w:r w:rsidRPr="00DA3BC7">
        <w:t>，即從無而有、從有還無的流轉中正觀一切，</w:t>
      </w:r>
      <w:r w:rsidRPr="00DA3BC7">
        <w:rPr>
          <w:b/>
        </w:rPr>
        <w:t>並非以此為現象或以此為作用，而想像此生滅背後的實體</w:t>
      </w:r>
      <w:r w:rsidRPr="00DA3BC7">
        <w:t>的。</w:t>
      </w:r>
    </w:p>
    <w:p w:rsidR="002B682F" w:rsidRPr="00DA3BC7" w:rsidRDefault="002B682F" w:rsidP="00EB4232">
      <w:pPr>
        <w:ind w:leftChars="150" w:left="360"/>
        <w:jc w:val="both"/>
      </w:pPr>
      <w:r w:rsidRPr="00DA3BC7">
        <w:t>但</w:t>
      </w:r>
      <w:r w:rsidRPr="00DA3BC7">
        <w:rPr>
          <w:b/>
        </w:rPr>
        <w:t>有自性的學者</w:t>
      </w:r>
      <w:r w:rsidRPr="00DA3BC7">
        <w:t>，執生執滅，流為</w:t>
      </w:r>
      <w:r w:rsidRPr="00DA3BC7">
        <w:rPr>
          <w:b/>
        </w:rPr>
        <w:t>有見</w:t>
      </w:r>
      <w:r w:rsidRPr="00DA3BC7">
        <w:rPr>
          <w:rFonts w:hint="eastAsia"/>
          <w:b/>
        </w:rPr>
        <w:t>、</w:t>
      </w:r>
      <w:r w:rsidRPr="00DA3BC7">
        <w:rPr>
          <w:b/>
        </w:rPr>
        <w:t>無見</w:t>
      </w:r>
      <w:r w:rsidRPr="00DA3BC7">
        <w:t>的同道者。</w:t>
      </w:r>
    </w:p>
    <w:p w:rsidR="00C24405" w:rsidRDefault="00C24405" w:rsidP="00AE3920">
      <w:pPr>
        <w:spacing w:beforeLines="20"/>
        <w:ind w:leftChars="150" w:left="360"/>
        <w:jc w:val="both"/>
        <w:rPr>
          <w:sz w:val="20"/>
          <w:szCs w:val="20"/>
        </w:rPr>
      </w:pPr>
      <w:r w:rsidRPr="00C24405">
        <w:rPr>
          <w:rFonts w:hint="eastAsia"/>
          <w:b/>
          <w:color w:val="FF0000"/>
          <w:sz w:val="20"/>
          <w:szCs w:val="20"/>
          <w:highlight w:val="yellow"/>
          <w:bdr w:val="single" w:sz="4" w:space="0" w:color="auto"/>
        </w:rPr>
        <w:t>（三）</w:t>
      </w:r>
      <w:r>
        <w:rPr>
          <w:rFonts w:hint="eastAsia"/>
          <w:b/>
          <w:color w:val="FF0000"/>
          <w:sz w:val="20"/>
          <w:szCs w:val="20"/>
          <w:highlight w:val="yellow"/>
          <w:bdr w:val="single" w:sz="4" w:space="0" w:color="auto"/>
        </w:rPr>
        <w:t>彰</w:t>
      </w:r>
      <w:r w:rsidRPr="009B2993">
        <w:rPr>
          <w:rFonts w:hint="eastAsia"/>
          <w:b/>
          <w:color w:val="FF0000"/>
          <w:sz w:val="20"/>
          <w:szCs w:val="20"/>
          <w:highlight w:val="yellow"/>
          <w:bdr w:val="single" w:sz="4" w:space="0" w:color="auto"/>
        </w:rPr>
        <w:t>「</w:t>
      </w:r>
      <w:r>
        <w:rPr>
          <w:rFonts w:hint="eastAsia"/>
          <w:b/>
          <w:color w:val="FF0000"/>
          <w:sz w:val="20"/>
          <w:szCs w:val="20"/>
          <w:highlight w:val="yellow"/>
          <w:bdr w:val="single" w:sz="4" w:space="0" w:color="auto"/>
        </w:rPr>
        <w:t>中觀學</w:t>
      </w:r>
      <w:r w:rsidRPr="009B2993">
        <w:rPr>
          <w:rFonts w:hint="eastAsia"/>
          <w:b/>
          <w:color w:val="FF0000"/>
          <w:sz w:val="20"/>
          <w:szCs w:val="20"/>
          <w:highlight w:val="yellow"/>
          <w:bdr w:val="single" w:sz="4" w:space="0" w:color="auto"/>
        </w:rPr>
        <w:t>者之</w:t>
      </w:r>
      <w:r>
        <w:rPr>
          <w:rFonts w:hint="eastAsia"/>
          <w:b/>
          <w:color w:val="FF0000"/>
          <w:sz w:val="20"/>
          <w:szCs w:val="20"/>
          <w:highlight w:val="yellow"/>
          <w:bdr w:val="single" w:sz="4" w:space="0" w:color="auto"/>
        </w:rPr>
        <w:t>破邪</w:t>
      </w:r>
      <w:r w:rsidRPr="009B2993">
        <w:rPr>
          <w:rFonts w:hint="eastAsia"/>
          <w:b/>
          <w:color w:val="FF0000"/>
          <w:sz w:val="20"/>
          <w:szCs w:val="20"/>
          <w:highlight w:val="yellow"/>
          <w:bdr w:val="single" w:sz="4" w:space="0" w:color="auto"/>
        </w:rPr>
        <w:t>」</w:t>
      </w:r>
      <w:r w:rsidRPr="00DA3BC7">
        <w:rPr>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93</w:t>
      </w:r>
      <w:r w:rsidRPr="00DA3BC7">
        <w:rPr>
          <w:sz w:val="20"/>
          <w:szCs w:val="20"/>
        </w:rPr>
        <w:t>-</w:t>
      </w:r>
      <w:r w:rsidRPr="00DA3BC7">
        <w:rPr>
          <w:rFonts w:ascii="Times New Roman" w:hAnsi="Times New Roman"/>
          <w:sz w:val="20"/>
          <w:szCs w:val="20"/>
        </w:rPr>
        <w:t>94</w:t>
      </w:r>
      <w:r w:rsidRPr="00DA3BC7">
        <w:rPr>
          <w:sz w:val="20"/>
          <w:szCs w:val="20"/>
        </w:rPr>
        <w:t>）</w:t>
      </w:r>
    </w:p>
    <w:p w:rsidR="00C24405" w:rsidRDefault="00C24405" w:rsidP="00EB4232">
      <w:pPr>
        <w:ind w:leftChars="200" w:left="480"/>
        <w:jc w:val="both"/>
      </w:pPr>
      <w:r w:rsidRPr="00C24405">
        <w:rPr>
          <w:rFonts w:ascii="Times New Roman" w:hAnsi="Times New Roman" w:hint="eastAsia"/>
          <w:b/>
          <w:color w:val="FF0000"/>
          <w:sz w:val="20"/>
          <w:szCs w:val="20"/>
          <w:highlight w:val="yellow"/>
          <w:bdr w:val="single" w:sz="4" w:space="0" w:color="auto"/>
        </w:rPr>
        <w:t>1</w:t>
      </w:r>
      <w:r w:rsidRPr="00C24405">
        <w:rPr>
          <w:rFonts w:ascii="Times New Roman" w:hAnsi="Times New Roman" w:hint="eastAsia"/>
          <w:b/>
          <w:color w:val="FF0000"/>
          <w:sz w:val="20"/>
          <w:szCs w:val="20"/>
          <w:highlight w:val="yellow"/>
          <w:bdr w:val="single" w:sz="4" w:space="0" w:color="auto"/>
        </w:rPr>
        <w:t>、</w:t>
      </w:r>
      <w:r w:rsidRPr="00C24405">
        <w:rPr>
          <w:rFonts w:hint="eastAsia"/>
          <w:b/>
          <w:color w:val="FF0000"/>
          <w:sz w:val="20"/>
          <w:szCs w:val="20"/>
          <w:highlight w:val="yellow"/>
          <w:bdr w:val="single" w:sz="4" w:space="0" w:color="auto"/>
        </w:rPr>
        <w:t>標宗</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9</w:t>
      </w:r>
      <w:r w:rsidRPr="00DA3BC7">
        <w:rPr>
          <w:rFonts w:ascii="Times New Roman" w:hAnsi="Times New Roman" w:hint="eastAsia"/>
          <w:sz w:val="20"/>
        </w:rPr>
        <w:t>3</w:t>
      </w:r>
      <w:r w:rsidRPr="00DA3BC7">
        <w:rPr>
          <w:sz w:val="20"/>
          <w:szCs w:val="20"/>
        </w:rPr>
        <w:t>）</w:t>
      </w:r>
    </w:p>
    <w:p w:rsidR="002B682F" w:rsidRPr="00DA3BC7" w:rsidRDefault="002B682F" w:rsidP="00EB4232">
      <w:pPr>
        <w:ind w:leftChars="200" w:left="480"/>
        <w:jc w:val="both"/>
        <w:rPr>
          <w:b/>
          <w:sz w:val="20"/>
          <w:szCs w:val="20"/>
          <w:bdr w:val="single" w:sz="4" w:space="0" w:color="auto"/>
        </w:rPr>
      </w:pPr>
      <w:r w:rsidRPr="00DA3BC7">
        <w:t>為此，</w:t>
      </w:r>
      <w:r w:rsidRPr="00DA3BC7">
        <w:rPr>
          <w:b/>
        </w:rPr>
        <w:t>中觀者</w:t>
      </w:r>
      <w:r w:rsidRPr="00DA3BC7">
        <w:rPr>
          <w:rFonts w:ascii="新細明體" w:hAnsi="新細明體"/>
        </w:rPr>
        <w:t>──</w:t>
      </w:r>
      <w:r w:rsidRPr="00DA3BC7">
        <w:t>大乘經義，從</w:t>
      </w:r>
      <w:r w:rsidRPr="00DA3BC7">
        <w:rPr>
          <w:b/>
        </w:rPr>
        <w:t>緣起本性空的深觀</w:t>
      </w:r>
      <w:r w:rsidRPr="00DA3BC7">
        <w:t>中，以此</w:t>
      </w:r>
      <w:r w:rsidRPr="00DA3BC7">
        <w:rPr>
          <w:b/>
        </w:rPr>
        <w:t>生滅</w:t>
      </w:r>
      <w:r w:rsidRPr="00DA3BC7">
        <w:t>替代</w:t>
      </w:r>
      <w:r w:rsidRPr="00DA3BC7">
        <w:rPr>
          <w:b/>
        </w:rPr>
        <w:t>有無</w:t>
      </w:r>
      <w:r w:rsidRPr="00DA3BC7">
        <w:t>而否定</w:t>
      </w:r>
      <w:r w:rsidRPr="00DA3BC7">
        <w:rPr>
          <w:rFonts w:hint="eastAsia"/>
        </w:rPr>
        <w:t>它</w:t>
      </w:r>
      <w:r w:rsidRPr="00DA3BC7">
        <w:t>（</w:t>
      </w:r>
      <w:r w:rsidRPr="00DA3BC7">
        <w:rPr>
          <w:b/>
        </w:rPr>
        <w:t>除其執而不除其法</w:t>
      </w:r>
      <w:r w:rsidRPr="00DA3BC7">
        <w:t>）。</w:t>
      </w:r>
    </w:p>
    <w:p w:rsidR="00C24405" w:rsidRDefault="00C24405" w:rsidP="00AE3920">
      <w:pPr>
        <w:spacing w:beforeLines="20"/>
        <w:ind w:leftChars="200" w:left="480"/>
        <w:jc w:val="both"/>
      </w:pPr>
      <w:r>
        <w:rPr>
          <w:rFonts w:ascii="Times New Roman" w:hAnsi="Times New Roman" w:hint="eastAsia"/>
          <w:b/>
          <w:color w:val="FF0000"/>
          <w:sz w:val="20"/>
          <w:szCs w:val="20"/>
          <w:highlight w:val="yellow"/>
          <w:bdr w:val="single" w:sz="4" w:space="0" w:color="auto"/>
        </w:rPr>
        <w:t>2</w:t>
      </w:r>
      <w:r w:rsidRPr="00C24405">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述義</w:t>
      </w:r>
      <w:r w:rsidRPr="00DA3BC7">
        <w:rPr>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93</w:t>
      </w:r>
      <w:r w:rsidRPr="00DA3BC7">
        <w:rPr>
          <w:sz w:val="20"/>
          <w:szCs w:val="20"/>
        </w:rPr>
        <w:t>-</w:t>
      </w:r>
      <w:r w:rsidRPr="00DA3BC7">
        <w:rPr>
          <w:rFonts w:ascii="Times New Roman" w:hAnsi="Times New Roman"/>
          <w:sz w:val="20"/>
          <w:szCs w:val="20"/>
        </w:rPr>
        <w:t>94</w:t>
      </w:r>
      <w:r w:rsidRPr="00DA3BC7">
        <w:rPr>
          <w:sz w:val="20"/>
          <w:szCs w:val="20"/>
        </w:rPr>
        <w:t>）</w:t>
      </w:r>
    </w:p>
    <w:p w:rsidR="00C24405" w:rsidRDefault="00C24405" w:rsidP="00EB4232">
      <w:pPr>
        <w:ind w:leftChars="250" w:left="600"/>
        <w:jc w:val="both"/>
      </w:pPr>
      <w:r w:rsidRPr="00C24405">
        <w:rPr>
          <w:rFonts w:hint="eastAsia"/>
          <w:b/>
          <w:color w:val="FF0000"/>
          <w:sz w:val="20"/>
          <w:szCs w:val="20"/>
          <w:highlight w:val="yellow"/>
          <w:bdr w:val="single" w:sz="4" w:space="0" w:color="auto"/>
        </w:rPr>
        <w:t>（</w:t>
      </w:r>
      <w:r w:rsidRPr="00C24405">
        <w:rPr>
          <w:rFonts w:ascii="Times New Roman" w:hAnsi="Times New Roman" w:hint="eastAsia"/>
          <w:b/>
          <w:color w:val="FF0000"/>
          <w:sz w:val="20"/>
          <w:szCs w:val="20"/>
          <w:highlight w:val="yellow"/>
          <w:bdr w:val="single" w:sz="4" w:space="0" w:color="auto"/>
        </w:rPr>
        <w:t>1</w:t>
      </w:r>
      <w:r w:rsidRPr="00C24405">
        <w:rPr>
          <w:rFonts w:hint="eastAsia"/>
          <w:b/>
          <w:color w:val="FF0000"/>
          <w:sz w:val="20"/>
          <w:szCs w:val="20"/>
          <w:highlight w:val="yellow"/>
          <w:bdr w:val="single" w:sz="4" w:space="0" w:color="auto"/>
        </w:rPr>
        <w:t>）</w:t>
      </w:r>
      <w:r>
        <w:rPr>
          <w:rFonts w:hint="eastAsia"/>
          <w:b/>
          <w:color w:val="FF0000"/>
          <w:sz w:val="20"/>
          <w:szCs w:val="20"/>
          <w:highlight w:val="yellow"/>
          <w:bdr w:val="single" w:sz="4" w:space="0" w:color="auto"/>
        </w:rPr>
        <w:t>緣起無性觀</w:t>
      </w:r>
      <w:r w:rsidRPr="00DA3BC7">
        <w:rPr>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93</w:t>
      </w:r>
      <w:r w:rsidRPr="00DA3BC7">
        <w:rPr>
          <w:sz w:val="20"/>
          <w:szCs w:val="20"/>
        </w:rPr>
        <w:t>-</w:t>
      </w:r>
      <w:r w:rsidRPr="00DA3BC7">
        <w:rPr>
          <w:rFonts w:ascii="Times New Roman" w:hAnsi="Times New Roman"/>
          <w:sz w:val="20"/>
          <w:szCs w:val="20"/>
        </w:rPr>
        <w:t>94</w:t>
      </w:r>
      <w:r w:rsidRPr="00DA3BC7">
        <w:rPr>
          <w:sz w:val="20"/>
          <w:szCs w:val="20"/>
        </w:rPr>
        <w:t>）</w:t>
      </w:r>
    </w:p>
    <w:p w:rsidR="002B682F" w:rsidRPr="00DA3BC7" w:rsidRDefault="002B682F" w:rsidP="00EB4232">
      <w:pPr>
        <w:ind w:leftChars="250" w:left="600"/>
        <w:jc w:val="both"/>
      </w:pPr>
      <w:r w:rsidRPr="00DA3BC7">
        <w:t>如</w:t>
      </w:r>
      <w:r w:rsidRPr="00DA3BC7">
        <w:rPr>
          <w:b/>
        </w:rPr>
        <w:t>從無自性的緣起而觀</w:t>
      </w:r>
      <w:r w:rsidRPr="00DA3BC7">
        <w:t>此四者：生滅即如幻如化的變化不居的心色等法，即不離</w:t>
      </w:r>
      <w:r w:rsidRPr="00DA3BC7">
        <w:rPr>
          <w:b/>
        </w:rPr>
        <w:t>時空</w:t>
      </w:r>
      <w:r w:rsidRPr="00DA3BC7">
        <w:t>的</w:t>
      </w:r>
      <w:r w:rsidRPr="00DA3BC7">
        <w:rPr>
          <w:b/>
        </w:rPr>
        <w:t>活動</w:t>
      </w:r>
      <w:r w:rsidRPr="00DA3BC7">
        <w:t>者。</w:t>
      </w:r>
    </w:p>
    <w:p w:rsidR="002B682F" w:rsidRPr="00DA3BC7" w:rsidRDefault="00C24405" w:rsidP="00AE3920">
      <w:pPr>
        <w:spacing w:beforeLines="30"/>
        <w:ind w:leftChars="250" w:left="600"/>
        <w:jc w:val="both"/>
        <w:rPr>
          <w:b/>
          <w:sz w:val="20"/>
          <w:szCs w:val="20"/>
          <w:bdr w:val="single" w:sz="4" w:space="0" w:color="auto"/>
        </w:rPr>
      </w:pPr>
      <w:r w:rsidRPr="00C24405">
        <w:rPr>
          <w:rFonts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2</w:t>
      </w:r>
      <w:r w:rsidRPr="00C24405">
        <w:rPr>
          <w:rFonts w:hint="eastAsia"/>
          <w:b/>
          <w:color w:val="FF0000"/>
          <w:sz w:val="20"/>
          <w:szCs w:val="20"/>
          <w:highlight w:val="yellow"/>
          <w:bdr w:val="single" w:sz="4" w:space="0" w:color="auto"/>
        </w:rPr>
        <w:t>）</w:t>
      </w:r>
      <w:r>
        <w:rPr>
          <w:rFonts w:hint="eastAsia"/>
          <w:b/>
          <w:color w:val="FF0000"/>
          <w:sz w:val="20"/>
          <w:szCs w:val="20"/>
          <w:highlight w:val="yellow"/>
          <w:bdr w:val="single" w:sz="4" w:space="0" w:color="auto"/>
        </w:rPr>
        <w:t>特相分別觀</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9</w:t>
      </w:r>
      <w:r w:rsidR="002B682F" w:rsidRPr="00DA3BC7">
        <w:rPr>
          <w:rFonts w:ascii="Times New Roman" w:hAnsi="Times New Roman" w:hint="eastAsia"/>
          <w:sz w:val="20"/>
        </w:rPr>
        <w:t>4</w:t>
      </w:r>
      <w:r w:rsidR="002B682F" w:rsidRPr="00DA3BC7">
        <w:rPr>
          <w:sz w:val="20"/>
          <w:szCs w:val="20"/>
        </w:rPr>
        <w:t>）</w:t>
      </w:r>
    </w:p>
    <w:p w:rsidR="00C24405" w:rsidRDefault="00C24405" w:rsidP="00EB4232">
      <w:pPr>
        <w:ind w:leftChars="250" w:left="600"/>
        <w:jc w:val="both"/>
      </w:pPr>
      <w:r w:rsidRPr="00DA3BC7">
        <w:t>從特別明顯的見地去分別：</w:t>
      </w:r>
    </w:p>
    <w:p w:rsidR="002B682F" w:rsidRPr="00DA3BC7" w:rsidRDefault="002B682F" w:rsidP="00EB4232">
      <w:pPr>
        <w:ind w:leftChars="250" w:left="600"/>
        <w:jc w:val="both"/>
      </w:pPr>
      <w:r w:rsidRPr="00DA3BC7">
        <w:t>生滅（法）的</w:t>
      </w:r>
      <w:r w:rsidRPr="00DA3BC7">
        <w:rPr>
          <w:b/>
        </w:rPr>
        <w:t>時間相</w:t>
      </w:r>
      <w:r w:rsidRPr="00DA3BC7">
        <w:t>，即相似相續，不斷而又不常的。</w:t>
      </w:r>
    </w:p>
    <w:p w:rsidR="002B682F" w:rsidRPr="00DA3BC7" w:rsidRDefault="002B682F" w:rsidP="00EB4232">
      <w:pPr>
        <w:ind w:leftChars="250" w:left="600"/>
        <w:jc w:val="both"/>
      </w:pPr>
      <w:r w:rsidRPr="00DA3BC7">
        <w:t>生滅（法）的</w:t>
      </w:r>
      <w:r w:rsidRPr="00DA3BC7">
        <w:rPr>
          <w:b/>
        </w:rPr>
        <w:t>空間相</w:t>
      </w:r>
      <w:r w:rsidRPr="00DA3BC7">
        <w:t>，即相依相緣，不異而不即是一的。</w:t>
      </w:r>
    </w:p>
    <w:p w:rsidR="002B682F" w:rsidRPr="00DA3BC7" w:rsidRDefault="002B682F" w:rsidP="00EB4232">
      <w:pPr>
        <w:ind w:leftChars="250" w:left="600"/>
        <w:jc w:val="both"/>
      </w:pPr>
      <w:r w:rsidRPr="00DA3BC7">
        <w:t>此生滅的</w:t>
      </w:r>
      <w:r w:rsidRPr="00DA3BC7">
        <w:rPr>
          <w:b/>
        </w:rPr>
        <w:t>運動相</w:t>
      </w:r>
      <w:r w:rsidRPr="00DA3BC7">
        <w:t>，即時空中的生滅者，生無所從來而滅無所至的。</w:t>
      </w:r>
    </w:p>
    <w:p w:rsidR="008438F9" w:rsidRDefault="008438F9" w:rsidP="00AE3920">
      <w:pPr>
        <w:spacing w:beforeLines="30"/>
        <w:ind w:leftChars="200" w:left="480"/>
        <w:jc w:val="both"/>
        <w:rPr>
          <w:rFonts w:ascii="Times New Roman" w:hAnsi="Times New Roman"/>
          <w:b/>
          <w:color w:val="FF0000"/>
          <w:sz w:val="20"/>
          <w:szCs w:val="20"/>
          <w:highlight w:val="yellow"/>
          <w:bdr w:val="single" w:sz="4" w:space="0" w:color="auto"/>
        </w:rPr>
      </w:pPr>
    </w:p>
    <w:p w:rsidR="008438F9" w:rsidRDefault="008438F9" w:rsidP="00AE3920">
      <w:pPr>
        <w:spacing w:beforeLines="30"/>
        <w:ind w:leftChars="200" w:left="480"/>
        <w:jc w:val="both"/>
        <w:rPr>
          <w:rFonts w:ascii="Times New Roman" w:hAnsi="Times New Roman"/>
          <w:b/>
          <w:color w:val="FF0000"/>
          <w:sz w:val="20"/>
          <w:szCs w:val="20"/>
          <w:highlight w:val="yellow"/>
          <w:bdr w:val="single" w:sz="4" w:space="0" w:color="auto"/>
        </w:rPr>
      </w:pPr>
    </w:p>
    <w:p w:rsidR="008438F9" w:rsidRDefault="008438F9" w:rsidP="00AE3920">
      <w:pPr>
        <w:spacing w:beforeLines="30"/>
        <w:ind w:leftChars="200" w:left="480"/>
        <w:jc w:val="both"/>
        <w:rPr>
          <w:rFonts w:ascii="Times New Roman" w:hAnsi="Times New Roman"/>
          <w:b/>
          <w:color w:val="FF0000"/>
          <w:sz w:val="20"/>
          <w:szCs w:val="20"/>
          <w:highlight w:val="yellow"/>
          <w:bdr w:val="single" w:sz="4" w:space="0" w:color="auto"/>
        </w:rPr>
      </w:pPr>
    </w:p>
    <w:p w:rsidR="008438F9" w:rsidRDefault="008438F9" w:rsidP="00AE3920">
      <w:pPr>
        <w:spacing w:beforeLines="30"/>
        <w:ind w:leftChars="200" w:left="480"/>
        <w:jc w:val="both"/>
        <w:rPr>
          <w:rFonts w:ascii="Times New Roman" w:hAnsi="Times New Roman"/>
          <w:b/>
          <w:color w:val="FF0000"/>
          <w:sz w:val="20"/>
          <w:szCs w:val="20"/>
          <w:highlight w:val="yellow"/>
          <w:bdr w:val="single" w:sz="4" w:space="0" w:color="auto"/>
        </w:rPr>
      </w:pPr>
    </w:p>
    <w:p w:rsidR="008438F9" w:rsidRDefault="008438F9" w:rsidP="00AE3920">
      <w:pPr>
        <w:spacing w:beforeLines="30"/>
        <w:ind w:leftChars="200" w:left="480"/>
        <w:jc w:val="both"/>
        <w:rPr>
          <w:rFonts w:ascii="Times New Roman" w:hAnsi="Times New Roman"/>
          <w:b/>
          <w:color w:val="FF0000"/>
          <w:sz w:val="20"/>
          <w:szCs w:val="20"/>
          <w:highlight w:val="yellow"/>
          <w:bdr w:val="single" w:sz="4" w:space="0" w:color="auto"/>
        </w:rPr>
      </w:pPr>
    </w:p>
    <w:p w:rsidR="002B682F" w:rsidRPr="00DA3BC7" w:rsidRDefault="00C24405" w:rsidP="00AE3920">
      <w:pPr>
        <w:spacing w:beforeLines="30"/>
        <w:ind w:leftChars="200" w:left="480"/>
        <w:jc w:val="both"/>
        <w:rPr>
          <w:b/>
          <w:sz w:val="20"/>
          <w:szCs w:val="20"/>
          <w:bdr w:val="single" w:sz="4" w:space="0" w:color="auto"/>
        </w:rPr>
      </w:pPr>
      <w:r w:rsidRPr="00C24405">
        <w:rPr>
          <w:rFonts w:ascii="Times New Roman" w:hAnsi="Times New Roman" w:hint="eastAsia"/>
          <w:b/>
          <w:color w:val="FF0000"/>
          <w:sz w:val="20"/>
          <w:szCs w:val="20"/>
          <w:highlight w:val="yellow"/>
          <w:bdr w:val="single" w:sz="4" w:space="0" w:color="auto"/>
        </w:rPr>
        <w:t>3</w:t>
      </w:r>
      <w:r w:rsidRPr="00C24405">
        <w:rPr>
          <w:rFonts w:ascii="Times New Roman" w:hAnsi="Times New Roman" w:hint="eastAsia"/>
          <w:b/>
          <w:color w:val="FF0000"/>
          <w:sz w:val="20"/>
          <w:szCs w:val="20"/>
          <w:highlight w:val="yellow"/>
          <w:bdr w:val="single" w:sz="4" w:space="0" w:color="auto"/>
        </w:rPr>
        <w:t>、</w:t>
      </w:r>
      <w:r w:rsidR="002B682F" w:rsidRPr="00C24405">
        <w:rPr>
          <w:rFonts w:hint="eastAsia"/>
          <w:b/>
          <w:color w:val="FF0000"/>
          <w:sz w:val="20"/>
          <w:szCs w:val="20"/>
          <w:highlight w:val="yellow"/>
          <w:bdr w:val="single" w:sz="4" w:space="0" w:color="auto"/>
        </w:rPr>
        <w:t>圖示</w:t>
      </w:r>
      <w:r w:rsidR="002B682F" w:rsidRPr="00DA3BC7">
        <w:rPr>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9</w:t>
      </w:r>
      <w:r w:rsidR="002B682F" w:rsidRPr="00DA3BC7">
        <w:rPr>
          <w:rFonts w:ascii="Times New Roman" w:hAnsi="Times New Roman" w:hint="eastAsia"/>
          <w:sz w:val="20"/>
        </w:rPr>
        <w:t>4</w:t>
      </w:r>
      <w:r w:rsidR="002B682F" w:rsidRPr="00DA3BC7">
        <w:rPr>
          <w:sz w:val="20"/>
          <w:szCs w:val="20"/>
        </w:rPr>
        <w:t>）</w:t>
      </w:r>
    </w:p>
    <w:p w:rsidR="002B682F" w:rsidRPr="00DA3BC7" w:rsidRDefault="002B682F" w:rsidP="00EB4232">
      <w:pPr>
        <w:ind w:leftChars="200" w:left="480"/>
        <w:jc w:val="both"/>
      </w:pPr>
      <w:r w:rsidRPr="00DA3BC7">
        <w:t>約</w:t>
      </w:r>
      <w:r w:rsidRPr="00DA3BC7">
        <w:rPr>
          <w:rFonts w:hint="eastAsia"/>
        </w:rPr>
        <w:t>如</w:t>
      </w:r>
      <w:r w:rsidRPr="00DA3BC7">
        <w:t>幻的無性緣起說，姑</w:t>
      </w:r>
      <w:r w:rsidRPr="00DA3BC7">
        <w:rPr>
          <w:rStyle w:val="a6"/>
          <w:rFonts w:ascii="Times New Roman" w:hAnsi="Times New Roman"/>
        </w:rPr>
        <w:footnoteReference w:id="455"/>
      </w:r>
      <w:r w:rsidRPr="00DA3BC7">
        <w:t>表擬之如下：</w:t>
      </w:r>
    </w:p>
    <w:p w:rsidR="002B682F" w:rsidRPr="00650543" w:rsidRDefault="00AE3920" w:rsidP="008E2BBC">
      <w:pPr>
        <w:ind w:leftChars="1280" w:left="3072"/>
        <w:jc w:val="both"/>
        <w:rPr>
          <w:b/>
          <w:sz w:val="28"/>
          <w:szCs w:val="32"/>
        </w:rPr>
      </w:pPr>
      <w:r w:rsidRPr="00AE3920">
        <w:rPr>
          <w:noProof/>
        </w:rPr>
        <w:pict>
          <v:group id="_x0000_s2206" style="position:absolute;left:0;text-align:left;margin-left:18.35pt;margin-top:4.65pt;width:286.25pt;height:169.95pt;z-index:251729408" coordorigin="1785,3167" coordsize="5725,3399" o:regroupid="8">
            <v:shapetype id="_x0000_t202" coordsize="21600,21600" o:spt="202" path="m,l,21600r21600,l21600,xe">
              <v:stroke joinstyle="miter"/>
              <v:path gradientshapeok="t" o:connecttype="rect"/>
            </v:shapetype>
            <v:shape id="_x0000_s2166" type="#_x0000_t202" style="position:absolute;left:4365;top:3167;width:503;height:469" o:regroupid="9" filled="f" stroked="f">
              <v:textbox style="mso-next-textbox:#_x0000_s2166">
                <w:txbxContent>
                  <w:p w:rsidR="00650543" w:rsidRDefault="00650543">
                    <w:r>
                      <w:rPr>
                        <w:rFonts w:hint="eastAsia"/>
                      </w:rPr>
                      <w:t>生</w:t>
                    </w:r>
                  </w:p>
                </w:txbxContent>
              </v:textbox>
            </v:shape>
            <v:group id="_x0000_s2205" style="position:absolute;left:1785;top:3431;width:5725;height:3135" coordorigin="1785,3431" coordsize="5725,3135" o:regroupid="9">
              <v:shape id="Text Box 165" o:spid="_x0000_s2069" type="#_x0000_t202" style="position:absolute;left:3461;top:3753;width:2790;height:2258;visibility:visible" o:regroupid="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" filled="f" stroked="f">
                <v:textbox style="layout-flow:vertical-ideographic;mso-next-textbox:#Text Box 165">
                  <w:txbxContent>
                    <w:p w:rsidR="00157EF6" w:rsidRPr="00C6117F" w:rsidRDefault="00157EF6" w:rsidP="00AE3920">
                      <w:pPr>
                        <w:spacing w:beforeLines="100" w:after="100" w:afterAutospacing="1" w:line="360" w:lineRule="auto"/>
                        <w:jc w:val="both"/>
                      </w:pPr>
                      <w:r w:rsidRPr="00C6117F">
                        <w:rPr>
                          <w:rFonts w:hint="eastAsia"/>
                        </w:rPr>
                        <w:t>來去相</w:t>
                      </w:r>
                      <w:r>
                        <w:rPr>
                          <w:rFonts w:hint="eastAsia"/>
                        </w:rPr>
                        <w:t xml:space="preserve">　　　</w:t>
                      </w:r>
                      <w:r>
                        <w:rPr>
                          <w:rFonts w:hint="eastAsia"/>
                        </w:rPr>
                        <w:t xml:space="preserve"> </w:t>
                      </w:r>
                      <w:r w:rsidRPr="00C6117F">
                        <w:rPr>
                          <w:rFonts w:hint="eastAsia"/>
                        </w:rPr>
                        <w:t>運動</w:t>
                      </w:r>
                    </w:p>
                    <w:p w:rsidR="00157EF6" w:rsidRPr="00C6117F" w:rsidRDefault="00157EF6" w:rsidP="002B682F">
                      <w:pPr>
                        <w:spacing w:before="100" w:beforeAutospacing="1" w:after="100" w:afterAutospacing="1" w:line="360" w:lineRule="auto"/>
                        <w:jc w:val="both"/>
                      </w:pPr>
                      <w:r w:rsidRPr="00C6117F">
                        <w:rPr>
                          <w:rFonts w:hint="eastAsia"/>
                        </w:rPr>
                        <w:t>似續相</w:t>
                      </w:r>
                      <w:r>
                        <w:rPr>
                          <w:rFonts w:hint="eastAsia"/>
                        </w:rPr>
                        <w:t xml:space="preserve">　　　</w:t>
                      </w:r>
                      <w:r>
                        <w:rPr>
                          <w:rFonts w:hint="eastAsia"/>
                        </w:rPr>
                        <w:t xml:space="preserve"> </w:t>
                      </w:r>
                      <w:r w:rsidRPr="00C6117F">
                        <w:rPr>
                          <w:rFonts w:hint="eastAsia"/>
                        </w:rPr>
                        <w:t>時間</w:t>
                      </w:r>
                    </w:p>
                    <w:p w:rsidR="00157EF6" w:rsidRPr="00C6117F" w:rsidRDefault="00157EF6" w:rsidP="002B682F">
                      <w:pPr>
                        <w:spacing w:before="100" w:beforeAutospacing="1" w:after="100" w:afterAutospacing="1" w:line="360" w:lineRule="auto"/>
                        <w:jc w:val="both"/>
                      </w:pPr>
                      <w:r w:rsidRPr="00C6117F">
                        <w:rPr>
                          <w:rFonts w:hint="eastAsia"/>
                        </w:rPr>
                        <w:t>依緣相</w:t>
                      </w:r>
                      <w:r>
                        <w:rPr>
                          <w:rFonts w:hint="eastAsia"/>
                        </w:rPr>
                        <w:t xml:space="preserve">　　　</w:t>
                      </w:r>
                      <w:r>
                        <w:rPr>
                          <w:rFonts w:hint="eastAsia"/>
                        </w:rPr>
                        <w:t xml:space="preserve"> </w:t>
                      </w:r>
                      <w:r w:rsidRPr="00C6117F">
                        <w:rPr>
                          <w:rFonts w:hint="eastAsia"/>
                        </w:rPr>
                        <w:t>空間</w:t>
                      </w:r>
                    </w:p>
                  </w:txbxContent>
                </v:textbox>
              </v:shape>
              <v:group id="_x0000_s2204" style="position:absolute;left:1785;top:3431;width:5725;height:3135" coordorigin="1785,3431" coordsize="5725,3135" o:regroupid="10">
                <v:shape id="_x0000_s2169" type="#_x0000_t202" style="position:absolute;left:1847;top:4688;width:503;height:469" o:regroupid="11" filled="f" stroked="f">
                  <v:textbox style="mso-next-textbox:#_x0000_s2169">
                    <w:txbxContent>
                      <w:p w:rsidR="004F1374" w:rsidRDefault="004F1374">
                        <w:r>
                          <w:rPr>
                            <w:rFonts w:hint="eastAsia"/>
                          </w:rPr>
                          <w:t>有</w:t>
                        </w:r>
                      </w:p>
                    </w:txbxContent>
                  </v:textbox>
                </v:shape>
                <v:group id="_x0000_s2203" style="position:absolute;left:1785;top:3431;width:5725;height:3135" coordorigin="1785,3431" coordsize="5725,3135" o:regroupid="11">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2164" type="#_x0000_t19" style="position:absolute;left:2085;top:3434;width:2173;height:1200;flip:x" o:regroupid="12">
                    <v:stroke dashstyle="1 1" endcap="round"/>
                    <v:textbox style="mso-next-textbox:#_x0000_s2164">
                      <w:txbxContent>
                        <w:p w:rsidR="00650543" w:rsidRDefault="00650543"/>
                      </w:txbxContent>
                    </v:textbox>
                  </v:shape>
                  <v:shape id="_x0000_s2165" type="#_x0000_t19" style="position:absolute;left:4850;top:3431;width:2368;height:1290" o:regroupid="12">
                    <v:stroke dashstyle="1 1" endcap="round"/>
                  </v:shape>
                  <v:shape id="_x0000_s2172" type="#_x0000_t19" style="position:absolute;left:5005;top:5292;width:2253;height:1274;rotation:-35306032fd;flip:x" coordsize="21913,22924" o:regroupid="12" adj="-5952591,230287,313" path="wr-21287,,21913,43200,,2,21872,22924nfewr-21287,,21913,43200,,2,21872,22924l313,21600nsxe">
                    <v:stroke dashstyle="1 1" endcap="round"/>
                    <v:path o:connectlocs="0,2;21872,22924;313,21600"/>
                    <v:textbox style="mso-next-textbox:#_x0000_s2172">
                      <w:txbxContent>
                        <w:p w:rsidR="004F1374" w:rsidRDefault="004F1374"/>
                      </w:txbxContent>
                    </v:textbox>
                  </v:shape>
                  <v:shape id="_x0000_s2173" type="#_x0000_t19" style="position:absolute;left:2060;top:5132;width:2341;height:1373;rotation:12049741fd" coordsize="21353,21600" o:regroupid="12" adj=",-568370" path="wr-21600,,21600,43200,,,21353,18343nfewr-21600,,21600,43200,,,21353,18343l,21600nsxe">
                    <v:stroke dashstyle="1 1" endcap="round"/>
                    <v:path o:connectlocs="0,0;21353,18343;0,21600"/>
                  </v:shape>
                  <v:oval id="_x0000_s2174" style="position:absolute;left:1785;top:4670;width:618;height:557" o:regroupid="12" filled="f"/>
                  <v:oval id="_x0000_s2175" style="position:absolute;left:6892;top:4703;width:618;height:557" o:regroupid="12" filled="f"/>
                </v:group>
              </v:group>
            </v:group>
          </v:group>
        </w:pict>
      </w:r>
      <w:r w:rsidRPr="00AE3920">
        <w:rPr>
          <w:noProof/>
        </w:rPr>
        <w:pict>
          <v:shape id="_x0000_s2170" type="#_x0000_t202" style="position:absolute;left:0;text-align:left;margin-left:276.35pt;margin-top:82.5pt;width:25.15pt;height:23.45pt;z-index:251695616" filled="f" stroked="f">
            <v:textbox style="mso-next-textbox:#_x0000_s2170">
              <w:txbxContent>
                <w:p w:rsidR="004F1374" w:rsidRDefault="004F1374">
                  <w:r>
                    <w:rPr>
                      <w:rFonts w:hint="eastAsia"/>
                    </w:rPr>
                    <w:t>無</w:t>
                  </w:r>
                </w:p>
              </w:txbxContent>
            </v:textbox>
          </v:shape>
        </w:pict>
      </w:r>
    </w:p>
    <w:p w:rsidR="002B682F" w:rsidRPr="00DA3BC7" w:rsidRDefault="00AE3920" w:rsidP="00AE3920">
      <w:pPr>
        <w:tabs>
          <w:tab w:val="left" w:pos="636"/>
          <w:tab w:val="left" w:pos="5739"/>
        </w:tabs>
        <w:spacing w:beforeLines="300" w:afterLines="300"/>
        <w:ind w:leftChars="177" w:left="425"/>
        <w:jc w:val="both"/>
        <w:rPr>
          <w:sz w:val="28"/>
          <w:szCs w:val="28"/>
        </w:rPr>
      </w:pPr>
      <w:r w:rsidRPr="00AE3920">
        <w:rPr>
          <w:noProof/>
        </w:rPr>
        <w:pict>
          <v:shape id="_x0000_s2167" type="#_x0000_t202" style="position:absolute;left:0;text-align:left;margin-left:147.8pt;margin-top:144.3pt;width:25.15pt;height:23.45pt;z-index:251712000" o:regroupid="8" filled="f" stroked="f">
            <v:textbox style="mso-next-textbox:#_x0000_s2167">
              <w:txbxContent>
                <w:p w:rsidR="00650543" w:rsidRDefault="00650543">
                  <w:r>
                    <w:rPr>
                      <w:rFonts w:hint="eastAsia"/>
                    </w:rPr>
                    <w:t>滅</w:t>
                  </w:r>
                </w:p>
              </w:txbxContent>
            </v:textbox>
          </v:shape>
        </w:pict>
      </w:r>
      <w:r w:rsidRPr="00AE3920">
        <w:rPr>
          <w:noProof/>
        </w:rPr>
        <w:pict>
          <v:group id="Group 146" o:spid="_x0000_s2058" style="position:absolute;left:0;text-align:left;margin-left:121.55pt;margin-top:59.2pt;width:82.1pt;height:34.3pt;z-index:251670016" coordorigin="3849,8760" coordsize="1642,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">
            <v:line id="Line 168" o:spid="_x0000_s2067" style="position:absolute;visibility:visible" from="3849,8768" to="3849,9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170" o:spid="_x0000_s2066" style="position:absolute;visibility:visible" from="5487,8776" to="5487,9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180" o:spid="_x0000_s2065" style="position:absolute;flip:x;visibility:visible" from="4664,8760" to="4664,9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"/>
            <v:line id="Line 182" o:spid="_x0000_s2064" style="position:absolute;visibility:visible" from="3849,8768" to="5489,9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184" o:spid="_x0000_s2063" style="position:absolute;flip:x;visibility:visible" from="3849,8776" to="5489,9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line id="Line 185" o:spid="_x0000_s2062" style="position:absolute;flip:x;visibility:visible" from="3849,8760" to="4662,9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187" o:spid="_x0000_s2061" style="position:absolute;visibility:visible" from="4664,8760" to="5491,9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188" o:spid="_x0000_s2060" style="position:absolute;visibility:visible" from="3849,8768" to="4662,9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"/>
            <v:line id="Line 189" o:spid="_x0000_s2059" style="position:absolute;flip:x;visibility:visible" from="4664,8776" to="5491,9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group>
        </w:pict>
      </w:r>
      <w:r w:rsidRPr="00AE3920">
        <w:rPr>
          <w:noProof/>
        </w:rPr>
        <w:pict>
          <v:line id="Line 179" o:spid="_x0000_s2057" style="position:absolute;left:0;text-align:left;z-index:251662848;visibility:visible;mso-wrap-distance-left:3.17489mm;mso-wrap-distance-top:-1e-4mm;mso-wrap-distance-right:3.17489mm;mso-wrap-distance-bottom:-1e-4mm" from="252pt,9pt" to="25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"/>
        </w:pict>
      </w:r>
      <w:r w:rsidRPr="00AE3920">
        <w:rPr>
          <w:noProof/>
        </w:rPr>
        <w:pict>
          <v:line id="Line 167" o:spid="_x0000_s2056" style="position:absolute;left:0;text-align:left;z-index:251659776;visibility:visible;mso-wrap-distance-left:3.17489mm;mso-wrap-distance-top:-1e-4mm;mso-wrap-distance-right:3.17489mm;mso-wrap-distance-bottom:-1e-4mm" from="198pt,9pt" to="19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"/>
        </w:pict>
      </w:r>
      <w:r w:rsidR="002B682F" w:rsidRPr="00DA3BC7">
        <w:rPr>
          <w:sz w:val="28"/>
          <w:szCs w:val="28"/>
        </w:rPr>
        <w:tab/>
      </w:r>
      <w:r w:rsidR="00E91374">
        <w:rPr>
          <w:sz w:val="28"/>
          <w:szCs w:val="28"/>
        </w:rPr>
        <w:tab/>
      </w:r>
    </w:p>
    <w:p w:rsidR="002B682F" w:rsidRPr="00650543" w:rsidRDefault="002B682F" w:rsidP="008E2BBC">
      <w:pPr>
        <w:ind w:leftChars="1280" w:left="3072"/>
        <w:jc w:val="both"/>
        <w:rPr>
          <w:b/>
          <w:sz w:val="28"/>
          <w:szCs w:val="32"/>
        </w:rPr>
        <w:sectPr w:rsidR="002B682F" w:rsidRPr="00650543" w:rsidSect="009914C0">
          <w:headerReference w:type="even" r:id="rId44"/>
          <w:headerReference w:type="default" r:id="rId45"/>
          <w:footnotePr>
            <w:numRestart w:val="eachSect"/>
          </w:footnotePr>
          <w:pgSz w:w="10773" w:h="14742" w:code="9"/>
          <w:pgMar w:top="1418" w:right="1418" w:bottom="1418" w:left="1418" w:header="851" w:footer="992" w:gutter="0"/>
          <w:cols w:space="425"/>
          <w:docGrid w:type="lines" w:linePitch="360"/>
        </w:sectPr>
      </w:pPr>
    </w:p>
    <w:p w:rsidR="002B682F" w:rsidRPr="00DA3BC7" w:rsidRDefault="002B682F" w:rsidP="008E2BBC">
      <w:pPr>
        <w:pStyle w:val="1"/>
      </w:pPr>
      <w:bookmarkStart w:id="96" w:name="_Toc405287358"/>
      <w:bookmarkStart w:id="97" w:name="_Toc405287830"/>
      <w:bookmarkStart w:id="98" w:name="_Toc405499773"/>
      <w:r w:rsidRPr="00DA3BC7">
        <w:lastRenderedPageBreak/>
        <w:t>第六章、八不</w:t>
      </w:r>
      <w:bookmarkEnd w:id="96"/>
      <w:bookmarkEnd w:id="97"/>
      <w:bookmarkEnd w:id="98"/>
    </w:p>
    <w:p w:rsidR="002B682F" w:rsidRPr="00DA3BC7" w:rsidRDefault="002B682F" w:rsidP="008E2BBC">
      <w:pPr>
        <w:pStyle w:val="2"/>
      </w:pPr>
      <w:bookmarkStart w:id="99" w:name="_Toc405499774"/>
      <w:r w:rsidRPr="00DA3BC7">
        <w:t>第二節、不</w:t>
      </w:r>
      <w:bookmarkEnd w:id="99"/>
    </w:p>
    <w:p w:rsidR="002B682F" w:rsidRPr="00DA3BC7" w:rsidRDefault="002B682F" w:rsidP="008E2BBC">
      <w:pPr>
        <w:jc w:val="center"/>
        <w:rPr>
          <w:rFonts w:eastAsia="標楷體"/>
          <w:bCs/>
        </w:rPr>
      </w:pPr>
      <w:r w:rsidRPr="00DA3BC7">
        <w:rPr>
          <w:rFonts w:eastAsia="標楷體"/>
          <w:bCs/>
        </w:rPr>
        <w:t>（</w:t>
      </w:r>
      <w:r w:rsidRPr="00DA3BC7">
        <w:rPr>
          <w:rFonts w:ascii="Times New Roman" w:eastAsia="標楷體" w:hAnsi="Times New Roman"/>
          <w:bCs/>
        </w:rPr>
        <w:t>pp</w:t>
      </w:r>
      <w:r w:rsidRPr="00DA3BC7">
        <w:rPr>
          <w:rFonts w:eastAsia="標楷體"/>
          <w:bCs/>
        </w:rPr>
        <w:t>.</w:t>
      </w:r>
      <w:r w:rsidRPr="00DA3BC7">
        <w:rPr>
          <w:rFonts w:ascii="Times New Roman" w:eastAsia="標楷體" w:hAnsi="Times New Roman"/>
          <w:bCs/>
        </w:rPr>
        <w:t>9</w:t>
      </w:r>
      <w:r w:rsidRPr="00DA3BC7">
        <w:rPr>
          <w:rFonts w:ascii="Times New Roman" w:eastAsia="標楷體" w:hAnsi="Times New Roman" w:hint="eastAsia"/>
          <w:bCs/>
        </w:rPr>
        <w:t>5</w:t>
      </w:r>
      <w:r w:rsidRPr="00DA3BC7">
        <w:rPr>
          <w:rFonts w:eastAsia="標楷體"/>
          <w:bCs/>
        </w:rPr>
        <w:t>-</w:t>
      </w:r>
      <w:r w:rsidRPr="00DA3BC7">
        <w:rPr>
          <w:rFonts w:ascii="Times New Roman" w:eastAsia="標楷體" w:hAnsi="Times New Roman"/>
          <w:bCs/>
        </w:rPr>
        <w:t>111</w:t>
      </w:r>
      <w:r w:rsidRPr="00DA3BC7">
        <w:rPr>
          <w:rFonts w:eastAsia="標楷體"/>
          <w:bCs/>
        </w:rPr>
        <w:t>）</w:t>
      </w:r>
    </w:p>
    <w:p w:rsidR="002B682F" w:rsidRPr="00DA3BC7" w:rsidRDefault="002B682F" w:rsidP="008E2BBC">
      <w:pPr>
        <w:pStyle w:val="Author"/>
      </w:pPr>
    </w:p>
    <w:p w:rsidR="002B682F" w:rsidRPr="00DA3BC7" w:rsidRDefault="002B682F" w:rsidP="00AE3920">
      <w:pPr>
        <w:spacing w:beforeLines="50"/>
        <w:jc w:val="both"/>
        <w:rPr>
          <w:rFonts w:eastAsia="SimSun"/>
          <w:sz w:val="20"/>
          <w:szCs w:val="20"/>
          <w:bdr w:val="single" w:sz="4" w:space="0" w:color="auto"/>
        </w:rPr>
      </w:pPr>
      <w:r w:rsidRPr="00DA3BC7">
        <w:rPr>
          <w:rFonts w:ascii="新細明體" w:hAnsi="新細明體" w:hint="eastAsia"/>
          <w:b/>
          <w:bCs/>
          <w:sz w:val="20"/>
          <w:szCs w:val="20"/>
          <w:bdr w:val="single" w:sz="4" w:space="0" w:color="auto"/>
        </w:rPr>
        <w:t>壹</w:t>
      </w:r>
      <w:r w:rsidRPr="00DA3BC7">
        <w:rPr>
          <w:b/>
          <w:bCs/>
          <w:sz w:val="20"/>
          <w:szCs w:val="20"/>
          <w:bdr w:val="single" w:sz="4" w:space="0" w:color="auto"/>
        </w:rPr>
        <w:t>、</w:t>
      </w:r>
      <w:r w:rsidR="00650543" w:rsidRPr="00650543">
        <w:rPr>
          <w:rFonts w:hint="eastAsia"/>
          <w:b/>
          <w:bCs/>
          <w:color w:val="FF0000"/>
          <w:sz w:val="20"/>
          <w:szCs w:val="20"/>
          <w:highlight w:val="yellow"/>
          <w:bdr w:val="single" w:sz="4" w:space="0" w:color="auto"/>
        </w:rPr>
        <w:t>概說：「</w:t>
      </w:r>
      <w:r w:rsidRPr="00650543">
        <w:rPr>
          <w:rFonts w:hint="eastAsia"/>
          <w:b/>
          <w:bCs/>
          <w:color w:val="FF0000"/>
          <w:sz w:val="20"/>
          <w:szCs w:val="20"/>
          <w:highlight w:val="yellow"/>
          <w:bdr w:val="single" w:sz="4" w:space="0" w:color="auto"/>
        </w:rPr>
        <w:t>八不</w:t>
      </w:r>
      <w:r w:rsidR="00650543" w:rsidRPr="00650543">
        <w:rPr>
          <w:rFonts w:hint="eastAsia"/>
          <w:b/>
          <w:bCs/>
          <w:color w:val="FF0000"/>
          <w:sz w:val="20"/>
          <w:szCs w:val="20"/>
          <w:highlight w:val="yellow"/>
          <w:bdr w:val="single" w:sz="4" w:space="0" w:color="auto"/>
        </w:rPr>
        <w:t>」</w:t>
      </w:r>
      <w:r w:rsidRPr="00650543">
        <w:rPr>
          <w:rFonts w:hint="eastAsia"/>
          <w:b/>
          <w:bCs/>
          <w:color w:val="FF0000"/>
          <w:sz w:val="20"/>
          <w:szCs w:val="20"/>
          <w:highlight w:val="yellow"/>
          <w:bdr w:val="single" w:sz="4" w:space="0" w:color="auto"/>
        </w:rPr>
        <w:t>破執達法</w:t>
      </w:r>
      <w:r w:rsidR="00650543" w:rsidRPr="00650543">
        <w:rPr>
          <w:rFonts w:hint="eastAsia"/>
          <w:b/>
          <w:bCs/>
          <w:color w:val="FF0000"/>
          <w:sz w:val="20"/>
          <w:szCs w:val="20"/>
          <w:highlight w:val="yellow"/>
          <w:bdr w:val="single" w:sz="4" w:space="0" w:color="auto"/>
        </w:rPr>
        <w:t>空</w:t>
      </w:r>
      <w:r w:rsidRPr="00DA3BC7">
        <w:rPr>
          <w:rFonts w:ascii="Times Ext Roman" w:hAnsi="Times Ext Roman" w:cs="Times Ext Roman" w:hint="eastAsia"/>
          <w:sz w:val="20"/>
          <w:szCs w:val="20"/>
        </w:rPr>
        <w:t>（</w:t>
      </w:r>
      <w:r w:rsidRPr="00E91374">
        <w:rPr>
          <w:rFonts w:ascii="Times New Roman" w:hAnsi="Times New Roman"/>
          <w:color w:val="FF0000"/>
          <w:sz w:val="20"/>
          <w:szCs w:val="20"/>
        </w:rPr>
        <w:t>p</w:t>
      </w:r>
      <w:r w:rsidRPr="00E91374">
        <w:rPr>
          <w:color w:val="FF0000"/>
          <w:sz w:val="20"/>
          <w:szCs w:val="20"/>
        </w:rPr>
        <w:t>.</w:t>
      </w:r>
      <w:r w:rsidRPr="00E91374">
        <w:rPr>
          <w:rFonts w:ascii="Times New Roman" w:eastAsia="SimSun" w:hAnsi="Times New Roman"/>
          <w:color w:val="FF0000"/>
          <w:sz w:val="20"/>
          <w:szCs w:val="20"/>
        </w:rPr>
        <w:t>95</w:t>
      </w:r>
      <w:r w:rsidRPr="00DA3BC7">
        <w:rPr>
          <w:rFonts w:ascii="Times Ext Roman" w:hAnsi="Times Ext Roman" w:cs="Times Ext Roman" w:hint="eastAsia"/>
          <w:sz w:val="20"/>
          <w:szCs w:val="20"/>
        </w:rPr>
        <w:t>）</w:t>
      </w:r>
    </w:p>
    <w:p w:rsidR="002B682F" w:rsidRPr="00DA3BC7" w:rsidRDefault="002B682F" w:rsidP="008E2BBC">
      <w:pPr>
        <w:jc w:val="both"/>
      </w:pPr>
      <w:r w:rsidRPr="00DA3BC7">
        <w:rPr>
          <w:rFonts w:hint="eastAsia"/>
        </w:rPr>
        <w:t>八不所不的八事四對</w:t>
      </w:r>
      <w:r w:rsidRPr="00DA3BC7">
        <w:rPr>
          <w:rStyle w:val="a6"/>
          <w:rFonts w:ascii="Times New Roman" w:hAnsi="Times New Roman"/>
        </w:rPr>
        <w:footnoteReference w:id="456"/>
      </w:r>
      <w:r w:rsidRPr="00DA3BC7">
        <w:rPr>
          <w:rFonts w:hint="eastAsia"/>
        </w:rPr>
        <w:t>，是一切法最一般的普遍特性。龍樹總舉此八事四對而各加一「不」字以否定之，雖只是不此八事，實已總不了一切法。</w:t>
      </w:r>
      <w:r w:rsidRPr="00DA3BC7">
        <w:rPr>
          <w:rStyle w:val="a6"/>
          <w:rFonts w:ascii="Times New Roman" w:hAnsi="Times New Roman"/>
        </w:rPr>
        <w:footnoteReference w:id="457"/>
      </w:r>
    </w:p>
    <w:p w:rsidR="002B682F" w:rsidRPr="00DA3BC7" w:rsidRDefault="002B682F" w:rsidP="00AE3920">
      <w:pPr>
        <w:spacing w:beforeLines="20"/>
        <w:jc w:val="both"/>
        <w:rPr>
          <w:rFonts w:eastAsia="SimSun"/>
        </w:rPr>
      </w:pPr>
      <w:r w:rsidRPr="00DA3BC7">
        <w:rPr>
          <w:rFonts w:hint="eastAsia"/>
          <w:b/>
        </w:rPr>
        <w:t>八事四對，為一切法的基本通性</w:t>
      </w:r>
      <w:r w:rsidRPr="00DA3BC7">
        <w:rPr>
          <w:rFonts w:hint="eastAsia"/>
        </w:rPr>
        <w:t>；八者既皆不可得，即一切法不可得，從此即可通達諸法畢竟空的實相。</w:t>
      </w:r>
    </w:p>
    <w:p w:rsidR="00650543" w:rsidRDefault="00E91374" w:rsidP="00AE3920">
      <w:pPr>
        <w:spacing w:beforeLines="50"/>
        <w:jc w:val="both"/>
        <w:rPr>
          <w:rFonts w:ascii="Times Ext Roman" w:hAnsi="Times Ext Roman" w:cs="Times Ext Roman"/>
          <w:sz w:val="20"/>
          <w:szCs w:val="20"/>
        </w:rPr>
      </w:pPr>
      <w:r w:rsidRPr="00E91374">
        <w:rPr>
          <w:rFonts w:ascii="新細明體" w:hAnsi="新細明體" w:hint="eastAsia"/>
          <w:b/>
          <w:bCs/>
          <w:color w:val="FF0000"/>
          <w:sz w:val="20"/>
          <w:szCs w:val="20"/>
          <w:highlight w:val="yellow"/>
          <w:bdr w:val="single" w:sz="4" w:space="0" w:color="auto"/>
        </w:rPr>
        <w:t>貳</w:t>
      </w:r>
      <w:r w:rsidR="00650543" w:rsidRPr="00E91374">
        <w:rPr>
          <w:b/>
          <w:bCs/>
          <w:color w:val="FF0000"/>
          <w:sz w:val="20"/>
          <w:szCs w:val="20"/>
          <w:highlight w:val="yellow"/>
          <w:bdr w:val="single" w:sz="4" w:space="0" w:color="auto"/>
        </w:rPr>
        <w:t>、</w:t>
      </w:r>
      <w:r>
        <w:rPr>
          <w:rFonts w:hint="eastAsia"/>
          <w:b/>
          <w:bCs/>
          <w:color w:val="FF0000"/>
          <w:sz w:val="20"/>
          <w:szCs w:val="20"/>
          <w:highlight w:val="yellow"/>
          <w:bdr w:val="single" w:sz="4" w:space="0" w:color="auto"/>
        </w:rPr>
        <w:t>詳究</w:t>
      </w:r>
      <w:r w:rsidR="00650543" w:rsidRPr="00650543">
        <w:rPr>
          <w:rFonts w:hint="eastAsia"/>
          <w:b/>
          <w:bCs/>
          <w:color w:val="FF0000"/>
          <w:sz w:val="20"/>
          <w:szCs w:val="20"/>
          <w:highlight w:val="yellow"/>
          <w:bdr w:val="single" w:sz="4" w:space="0" w:color="auto"/>
        </w:rPr>
        <w:t>：</w:t>
      </w:r>
      <w:r>
        <w:rPr>
          <w:rFonts w:hint="eastAsia"/>
          <w:b/>
          <w:bCs/>
          <w:color w:val="FF0000"/>
          <w:sz w:val="20"/>
          <w:szCs w:val="20"/>
          <w:highlight w:val="yellow"/>
          <w:bdr w:val="single" w:sz="4" w:space="0" w:color="auto"/>
        </w:rPr>
        <w:t>眾說判攝</w:t>
      </w:r>
      <w:r w:rsidR="00650543" w:rsidRPr="00650543">
        <w:rPr>
          <w:rFonts w:hint="eastAsia"/>
          <w:b/>
          <w:bCs/>
          <w:color w:val="FF0000"/>
          <w:sz w:val="20"/>
          <w:szCs w:val="20"/>
          <w:highlight w:val="yellow"/>
          <w:bdr w:val="single" w:sz="4" w:space="0" w:color="auto"/>
        </w:rPr>
        <w:t>「八不」</w:t>
      </w:r>
      <w:r>
        <w:rPr>
          <w:rFonts w:hint="eastAsia"/>
          <w:b/>
          <w:bCs/>
          <w:color w:val="FF0000"/>
          <w:sz w:val="20"/>
          <w:szCs w:val="20"/>
          <w:highlight w:val="yellow"/>
          <w:bdr w:val="single" w:sz="4" w:space="0" w:color="auto"/>
        </w:rPr>
        <w:t>義</w:t>
      </w:r>
      <w:r w:rsidRPr="00E91374">
        <w:rPr>
          <w:rFonts w:ascii="Times Ext Roman" w:hAnsi="Times Ext Roman" w:cs="Times Ext Roman" w:hint="eastAsia"/>
          <w:sz w:val="20"/>
          <w:szCs w:val="20"/>
        </w:rPr>
        <w:t>（</w:t>
      </w:r>
      <w:r w:rsidRPr="00E91374">
        <w:rPr>
          <w:rFonts w:ascii="Times Ext Roman" w:hAnsi="Times Ext Roman" w:cs="Times Ext Roman" w:hint="eastAsia"/>
          <w:sz w:val="20"/>
          <w:szCs w:val="20"/>
        </w:rPr>
        <w:t>p</w:t>
      </w:r>
      <w:r w:rsidRPr="00E91374">
        <w:rPr>
          <w:rFonts w:ascii="Times New Roman" w:hAnsi="Times New Roman"/>
          <w:sz w:val="20"/>
          <w:szCs w:val="20"/>
        </w:rPr>
        <w:t>p</w:t>
      </w:r>
      <w:r w:rsidRPr="00E91374">
        <w:rPr>
          <w:sz w:val="20"/>
          <w:szCs w:val="20"/>
        </w:rPr>
        <w:t>.</w:t>
      </w:r>
      <w:r w:rsidRPr="00E91374">
        <w:rPr>
          <w:rFonts w:ascii="Times New Roman" w:eastAsia="SimSun" w:hAnsi="Times New Roman"/>
          <w:sz w:val="20"/>
          <w:szCs w:val="20"/>
        </w:rPr>
        <w:t>95</w:t>
      </w:r>
      <w:r w:rsidRPr="00E91374">
        <w:rPr>
          <w:rFonts w:ascii="Times New Roman" w:eastAsiaTheme="minorEastAsia" w:hAnsi="Times New Roman" w:hint="eastAsia"/>
          <w:sz w:val="20"/>
          <w:szCs w:val="20"/>
        </w:rPr>
        <w:t>-110</w:t>
      </w:r>
      <w:r w:rsidRPr="00E91374">
        <w:rPr>
          <w:rFonts w:ascii="Times Ext Roman" w:hAnsi="Times Ext Roman" w:cs="Times Ext Roman" w:hint="eastAsia"/>
          <w:sz w:val="20"/>
          <w:szCs w:val="20"/>
        </w:rPr>
        <w:t>）</w:t>
      </w:r>
    </w:p>
    <w:p w:rsidR="00E91374" w:rsidRDefault="00E91374" w:rsidP="00BA3856">
      <w:pPr>
        <w:ind w:leftChars="50" w:left="120"/>
        <w:jc w:val="both"/>
        <w:rPr>
          <w:b/>
          <w:bCs/>
          <w:color w:val="FF0000"/>
          <w:sz w:val="20"/>
          <w:szCs w:val="20"/>
          <w:bdr w:val="single" w:sz="4" w:space="0" w:color="auto"/>
        </w:rPr>
      </w:pPr>
      <w:r w:rsidRPr="00E91374">
        <w:rPr>
          <w:rFonts w:hint="eastAsia"/>
          <w:b/>
          <w:bCs/>
          <w:color w:val="FF0000"/>
          <w:sz w:val="20"/>
          <w:szCs w:val="20"/>
          <w:highlight w:val="yellow"/>
          <w:bdr w:val="single" w:sz="4" w:space="0" w:color="auto"/>
        </w:rPr>
        <w:t>（壹）</w:t>
      </w:r>
      <w:r>
        <w:rPr>
          <w:rFonts w:hint="eastAsia"/>
          <w:b/>
          <w:bCs/>
          <w:color w:val="FF0000"/>
          <w:sz w:val="20"/>
          <w:szCs w:val="20"/>
          <w:highlight w:val="yellow"/>
          <w:bdr w:val="single" w:sz="4" w:space="0" w:color="auto"/>
        </w:rPr>
        <w:t>總明</w:t>
      </w:r>
      <w:r w:rsidRPr="00650543">
        <w:rPr>
          <w:rFonts w:hint="eastAsia"/>
          <w:b/>
          <w:bCs/>
          <w:color w:val="FF0000"/>
          <w:sz w:val="20"/>
          <w:szCs w:val="20"/>
          <w:highlight w:val="yellow"/>
          <w:bdr w:val="single" w:sz="4" w:space="0" w:color="auto"/>
        </w:rPr>
        <w:t>「八不」</w:t>
      </w:r>
      <w:r>
        <w:rPr>
          <w:rFonts w:hint="eastAsia"/>
          <w:b/>
          <w:bCs/>
          <w:color w:val="FF0000"/>
          <w:sz w:val="20"/>
          <w:szCs w:val="20"/>
          <w:highlight w:val="yellow"/>
          <w:bdr w:val="single" w:sz="4" w:space="0" w:color="auto"/>
        </w:rPr>
        <w:t>甚深義</w:t>
      </w:r>
      <w:r w:rsidRPr="00E91374">
        <w:rPr>
          <w:rFonts w:ascii="Times Ext Roman" w:hAnsi="Times Ext Roman" w:cs="Times Ext Roman" w:hint="eastAsia"/>
          <w:sz w:val="20"/>
          <w:szCs w:val="20"/>
        </w:rPr>
        <w:t>（</w:t>
      </w:r>
      <w:r w:rsidRPr="00E91374">
        <w:rPr>
          <w:rFonts w:ascii="Times Ext Roman" w:hAnsi="Times Ext Roman" w:cs="Times Ext Roman" w:hint="eastAsia"/>
          <w:sz w:val="20"/>
          <w:szCs w:val="20"/>
        </w:rPr>
        <w:t>p</w:t>
      </w:r>
      <w:r w:rsidRPr="00E91374">
        <w:rPr>
          <w:rFonts w:ascii="Times New Roman" w:hAnsi="Times New Roman"/>
          <w:sz w:val="20"/>
          <w:szCs w:val="20"/>
        </w:rPr>
        <w:t>p</w:t>
      </w:r>
      <w:r w:rsidRPr="00E91374">
        <w:rPr>
          <w:sz w:val="20"/>
          <w:szCs w:val="20"/>
        </w:rPr>
        <w:t>.</w:t>
      </w:r>
      <w:r w:rsidRPr="00E91374">
        <w:rPr>
          <w:rFonts w:ascii="Times New Roman" w:eastAsia="SimSun" w:hAnsi="Times New Roman"/>
          <w:sz w:val="20"/>
          <w:szCs w:val="20"/>
        </w:rPr>
        <w:t>95</w:t>
      </w:r>
      <w:r w:rsidRPr="00E91374">
        <w:rPr>
          <w:rFonts w:ascii="Times New Roman" w:eastAsiaTheme="minorEastAsia" w:hAnsi="Times New Roman" w:hint="eastAsia"/>
          <w:sz w:val="20"/>
          <w:szCs w:val="20"/>
        </w:rPr>
        <w:t>-1</w:t>
      </w:r>
      <w:r>
        <w:rPr>
          <w:rFonts w:ascii="Times New Roman" w:eastAsiaTheme="minorEastAsia" w:hAnsi="Times New Roman" w:hint="eastAsia"/>
          <w:sz w:val="20"/>
          <w:szCs w:val="20"/>
        </w:rPr>
        <w:t>0</w:t>
      </w:r>
      <w:r w:rsidRPr="00E91374">
        <w:rPr>
          <w:rFonts w:ascii="Times New Roman" w:eastAsiaTheme="minorEastAsia" w:hAnsi="Times New Roman" w:hint="eastAsia"/>
          <w:sz w:val="20"/>
          <w:szCs w:val="20"/>
        </w:rPr>
        <w:t>0</w:t>
      </w:r>
      <w:r w:rsidRPr="00E91374">
        <w:rPr>
          <w:rFonts w:ascii="Times Ext Roman" w:hAnsi="Times Ext Roman" w:cs="Times Ext Roman" w:hint="eastAsia"/>
          <w:sz w:val="20"/>
          <w:szCs w:val="20"/>
        </w:rPr>
        <w:t>）</w:t>
      </w:r>
    </w:p>
    <w:p w:rsidR="00E91374" w:rsidRDefault="00E91374" w:rsidP="00BA3856">
      <w:pPr>
        <w:ind w:leftChars="100" w:left="240"/>
        <w:jc w:val="both"/>
        <w:rPr>
          <w:b/>
          <w:bCs/>
          <w:color w:val="FF0000"/>
          <w:sz w:val="20"/>
          <w:szCs w:val="20"/>
          <w:bdr w:val="single" w:sz="4" w:space="0" w:color="auto"/>
        </w:rPr>
      </w:pPr>
      <w:r>
        <w:rPr>
          <w:rFonts w:hint="eastAsia"/>
          <w:b/>
          <w:bCs/>
          <w:color w:val="FF0000"/>
          <w:sz w:val="20"/>
          <w:szCs w:val="20"/>
          <w:highlight w:val="yellow"/>
          <w:bdr w:val="single" w:sz="4" w:space="0" w:color="auto"/>
        </w:rPr>
        <w:t>一、諸家之說</w:t>
      </w:r>
      <w:r w:rsidRPr="00E91374">
        <w:rPr>
          <w:rFonts w:ascii="Times Ext Roman" w:hAnsi="Times Ext Roman" w:cs="Times Ext Roman" w:hint="eastAsia"/>
          <w:sz w:val="20"/>
          <w:szCs w:val="20"/>
        </w:rPr>
        <w:t>（</w:t>
      </w:r>
      <w:r w:rsidRPr="00E91374">
        <w:rPr>
          <w:rFonts w:ascii="Times Ext Roman" w:hAnsi="Times Ext Roman" w:cs="Times Ext Roman" w:hint="eastAsia"/>
          <w:sz w:val="20"/>
          <w:szCs w:val="20"/>
        </w:rPr>
        <w:t>p</w:t>
      </w:r>
      <w:r w:rsidRPr="00E91374">
        <w:rPr>
          <w:rFonts w:ascii="Times New Roman" w:hAnsi="Times New Roman"/>
          <w:sz w:val="20"/>
          <w:szCs w:val="20"/>
        </w:rPr>
        <w:t>p</w:t>
      </w:r>
      <w:r w:rsidRPr="00E91374">
        <w:rPr>
          <w:sz w:val="20"/>
          <w:szCs w:val="20"/>
        </w:rPr>
        <w:t>.</w:t>
      </w:r>
      <w:r w:rsidRPr="00E91374">
        <w:rPr>
          <w:rFonts w:ascii="Times New Roman" w:eastAsia="SimSun" w:hAnsi="Times New Roman"/>
          <w:sz w:val="20"/>
          <w:szCs w:val="20"/>
        </w:rPr>
        <w:t>95</w:t>
      </w:r>
      <w:r w:rsidRPr="00E91374">
        <w:rPr>
          <w:rFonts w:ascii="Times New Roman" w:eastAsiaTheme="minorEastAsia" w:hAnsi="Times New Roman" w:hint="eastAsia"/>
          <w:sz w:val="20"/>
          <w:szCs w:val="20"/>
        </w:rPr>
        <w:t>-</w:t>
      </w:r>
      <w:r>
        <w:rPr>
          <w:rFonts w:ascii="Times New Roman" w:eastAsiaTheme="minorEastAsia" w:hAnsi="Times New Roman" w:hint="eastAsia"/>
          <w:sz w:val="20"/>
          <w:szCs w:val="20"/>
        </w:rPr>
        <w:t>97</w:t>
      </w:r>
      <w:r w:rsidRPr="00E91374">
        <w:rPr>
          <w:rFonts w:ascii="Times Ext Roman" w:hAnsi="Times Ext Roman" w:cs="Times Ext Roman" w:hint="eastAsia"/>
          <w:sz w:val="20"/>
          <w:szCs w:val="20"/>
        </w:rPr>
        <w:t>）</w:t>
      </w:r>
    </w:p>
    <w:p w:rsidR="00E91374" w:rsidRDefault="00E91374" w:rsidP="00BA3856">
      <w:pPr>
        <w:ind w:leftChars="150" w:left="360"/>
        <w:jc w:val="both"/>
        <w:rPr>
          <w:b/>
          <w:bCs/>
          <w:color w:val="FF0000"/>
          <w:sz w:val="20"/>
          <w:szCs w:val="20"/>
          <w:bdr w:val="single" w:sz="4" w:space="0" w:color="auto"/>
        </w:rPr>
      </w:pPr>
      <w:r w:rsidRPr="00E91374">
        <w:rPr>
          <w:rFonts w:hint="eastAsia"/>
          <w:b/>
          <w:bCs/>
          <w:color w:val="FF0000"/>
          <w:sz w:val="20"/>
          <w:szCs w:val="20"/>
          <w:highlight w:val="yellow"/>
          <w:bdr w:val="single" w:sz="4" w:space="0" w:color="auto"/>
        </w:rPr>
        <w:t>（</w:t>
      </w:r>
      <w:r>
        <w:rPr>
          <w:rFonts w:hint="eastAsia"/>
          <w:b/>
          <w:bCs/>
          <w:color w:val="FF0000"/>
          <w:sz w:val="20"/>
          <w:szCs w:val="20"/>
          <w:highlight w:val="yellow"/>
          <w:bdr w:val="single" w:sz="4" w:space="0" w:color="auto"/>
        </w:rPr>
        <w:t>一</w:t>
      </w:r>
      <w:r w:rsidRPr="00E91374">
        <w:rPr>
          <w:rFonts w:hint="eastAsia"/>
          <w:b/>
          <w:bCs/>
          <w:color w:val="FF0000"/>
          <w:sz w:val="20"/>
          <w:szCs w:val="20"/>
          <w:highlight w:val="yellow"/>
          <w:bdr w:val="single" w:sz="4" w:space="0" w:color="auto"/>
        </w:rPr>
        <w:t>）</w:t>
      </w:r>
      <w:r>
        <w:rPr>
          <w:rFonts w:hint="eastAsia"/>
          <w:b/>
          <w:bCs/>
          <w:color w:val="FF0000"/>
          <w:sz w:val="20"/>
          <w:szCs w:val="20"/>
          <w:highlight w:val="yellow"/>
          <w:bdr w:val="single" w:sz="4" w:space="0" w:color="auto"/>
        </w:rPr>
        <w:t>青目：約「理</w:t>
      </w:r>
      <w:r w:rsidR="00333A2E">
        <w:rPr>
          <w:rFonts w:hint="eastAsia"/>
          <w:b/>
          <w:bCs/>
          <w:color w:val="FF0000"/>
          <w:sz w:val="20"/>
          <w:szCs w:val="20"/>
          <w:highlight w:val="yellow"/>
          <w:bdr w:val="single" w:sz="4" w:space="0" w:color="auto"/>
        </w:rPr>
        <w:t>、</w:t>
      </w:r>
      <w:r>
        <w:rPr>
          <w:rFonts w:hint="eastAsia"/>
          <w:b/>
          <w:bCs/>
          <w:color w:val="FF0000"/>
          <w:sz w:val="20"/>
          <w:szCs w:val="20"/>
          <w:highlight w:val="yellow"/>
          <w:bdr w:val="single" w:sz="4" w:space="0" w:color="auto"/>
        </w:rPr>
        <w:t>事」明意</w:t>
      </w:r>
      <w:r w:rsidRPr="00E91374">
        <w:rPr>
          <w:rFonts w:ascii="Times Ext Roman" w:hAnsi="Times Ext Roman" w:cs="Times Ext Roman" w:hint="eastAsia"/>
          <w:sz w:val="20"/>
          <w:szCs w:val="20"/>
        </w:rPr>
        <w:t>（</w:t>
      </w:r>
      <w:r w:rsidRPr="00E91374">
        <w:rPr>
          <w:rFonts w:ascii="Times Ext Roman" w:hAnsi="Times Ext Roman" w:cs="Times Ext Roman" w:hint="eastAsia"/>
          <w:sz w:val="20"/>
          <w:szCs w:val="20"/>
        </w:rPr>
        <w:t>p</w:t>
      </w:r>
      <w:r w:rsidRPr="00E91374">
        <w:rPr>
          <w:rFonts w:ascii="Times New Roman" w:hAnsi="Times New Roman"/>
          <w:sz w:val="20"/>
          <w:szCs w:val="20"/>
        </w:rPr>
        <w:t>p</w:t>
      </w:r>
      <w:r w:rsidRPr="00E91374">
        <w:rPr>
          <w:sz w:val="20"/>
          <w:szCs w:val="20"/>
        </w:rPr>
        <w:t>.</w:t>
      </w:r>
      <w:r w:rsidRPr="00E91374">
        <w:rPr>
          <w:rFonts w:ascii="Times New Roman" w:eastAsia="SimSun" w:hAnsi="Times New Roman"/>
          <w:sz w:val="20"/>
          <w:szCs w:val="20"/>
        </w:rPr>
        <w:t>95</w:t>
      </w:r>
      <w:r w:rsidRPr="00E91374">
        <w:rPr>
          <w:rFonts w:ascii="Times New Roman" w:eastAsiaTheme="minorEastAsia" w:hAnsi="Times New Roman" w:hint="eastAsia"/>
          <w:sz w:val="20"/>
          <w:szCs w:val="20"/>
        </w:rPr>
        <w:t>-</w:t>
      </w:r>
      <w:r>
        <w:rPr>
          <w:rFonts w:ascii="Times New Roman" w:eastAsiaTheme="minorEastAsia" w:hAnsi="Times New Roman" w:hint="eastAsia"/>
          <w:sz w:val="20"/>
          <w:szCs w:val="20"/>
        </w:rPr>
        <w:t>96</w:t>
      </w:r>
      <w:r w:rsidRPr="00E91374">
        <w:rPr>
          <w:rFonts w:ascii="Times Ext Roman" w:hAnsi="Times Ext Roman" w:cs="Times Ext Roman" w:hint="eastAsia"/>
          <w:sz w:val="20"/>
          <w:szCs w:val="20"/>
        </w:rPr>
        <w:t>）</w:t>
      </w:r>
    </w:p>
    <w:p w:rsidR="00E91374" w:rsidRPr="00E91374" w:rsidRDefault="00E91374" w:rsidP="00BA3856">
      <w:pPr>
        <w:ind w:leftChars="200" w:left="480"/>
        <w:jc w:val="both"/>
        <w:rPr>
          <w:rFonts w:ascii="Times New Roman" w:eastAsia="SimSun" w:hAnsi="Times New Roman"/>
          <w:sz w:val="20"/>
          <w:szCs w:val="20"/>
          <w:bdr w:val="single" w:sz="4" w:space="0" w:color="auto"/>
        </w:rPr>
      </w:pPr>
      <w:r w:rsidRPr="00E91374">
        <w:rPr>
          <w:rFonts w:ascii="Times New Roman" w:hAnsi="Times New Roman" w:hint="eastAsia"/>
          <w:b/>
          <w:bCs/>
          <w:color w:val="FF0000"/>
          <w:sz w:val="20"/>
          <w:szCs w:val="20"/>
          <w:highlight w:val="yellow"/>
          <w:bdr w:val="single" w:sz="4" w:space="0" w:color="auto"/>
        </w:rPr>
        <w:t>1</w:t>
      </w:r>
      <w:r w:rsidRPr="00E91374">
        <w:rPr>
          <w:rFonts w:ascii="Times New Roman" w:hAnsi="Times New Roman" w:hint="eastAsia"/>
          <w:b/>
          <w:bCs/>
          <w:color w:val="FF0000"/>
          <w:sz w:val="20"/>
          <w:szCs w:val="20"/>
          <w:highlight w:val="yellow"/>
          <w:bdr w:val="single" w:sz="4" w:space="0" w:color="auto"/>
        </w:rPr>
        <w:t>、明宗</w:t>
      </w:r>
      <w:r w:rsidRPr="00E91374">
        <w:rPr>
          <w:rFonts w:ascii="Times Ext Roman" w:hAnsi="Times Ext Roman" w:cs="Times Ext Roman" w:hint="eastAsia"/>
          <w:sz w:val="20"/>
          <w:szCs w:val="20"/>
        </w:rPr>
        <w:t>（</w:t>
      </w:r>
      <w:r w:rsidRPr="00E91374">
        <w:rPr>
          <w:rFonts w:ascii="Times Ext Roman" w:hAnsi="Times Ext Roman" w:cs="Times Ext Roman" w:hint="eastAsia"/>
          <w:sz w:val="20"/>
          <w:szCs w:val="20"/>
        </w:rPr>
        <w:t>p</w:t>
      </w:r>
      <w:r w:rsidRPr="00E91374">
        <w:rPr>
          <w:rFonts w:ascii="Times New Roman" w:hAnsi="Times New Roman"/>
          <w:sz w:val="20"/>
          <w:szCs w:val="20"/>
        </w:rPr>
        <w:t>p</w:t>
      </w:r>
      <w:r w:rsidRPr="00E91374">
        <w:rPr>
          <w:sz w:val="20"/>
          <w:szCs w:val="20"/>
        </w:rPr>
        <w:t>.</w:t>
      </w:r>
      <w:r w:rsidRPr="00E91374">
        <w:rPr>
          <w:rFonts w:ascii="Times New Roman" w:eastAsia="SimSun" w:hAnsi="Times New Roman"/>
          <w:sz w:val="20"/>
          <w:szCs w:val="20"/>
        </w:rPr>
        <w:t>95</w:t>
      </w:r>
      <w:r w:rsidRPr="00E91374">
        <w:rPr>
          <w:rFonts w:ascii="Times New Roman" w:eastAsiaTheme="minorEastAsia" w:hAnsi="Times New Roman" w:hint="eastAsia"/>
          <w:sz w:val="20"/>
          <w:szCs w:val="20"/>
        </w:rPr>
        <w:t>-</w:t>
      </w:r>
      <w:r>
        <w:rPr>
          <w:rFonts w:ascii="Times New Roman" w:eastAsiaTheme="minorEastAsia" w:hAnsi="Times New Roman" w:hint="eastAsia"/>
          <w:sz w:val="20"/>
          <w:szCs w:val="20"/>
        </w:rPr>
        <w:t>96</w:t>
      </w:r>
      <w:r w:rsidRPr="00E91374">
        <w:rPr>
          <w:rFonts w:ascii="Times Ext Roman" w:hAnsi="Times Ext Roman" w:cs="Times Ext Roman" w:hint="eastAsia"/>
          <w:sz w:val="20"/>
          <w:szCs w:val="20"/>
        </w:rPr>
        <w:t>）</w:t>
      </w:r>
    </w:p>
    <w:p w:rsidR="002B682F" w:rsidRPr="00DA3BC7" w:rsidRDefault="002B682F" w:rsidP="00BA3856">
      <w:pPr>
        <w:ind w:leftChars="200" w:left="480"/>
        <w:jc w:val="both"/>
      </w:pPr>
      <w:r w:rsidRPr="00DA3BC7">
        <w:rPr>
          <w:rFonts w:hint="eastAsia"/>
        </w:rPr>
        <w:t>青目說：論主以此不生亦不滅的「</w:t>
      </w:r>
      <w:r w:rsidRPr="00DA3BC7">
        <w:rPr>
          <w:rFonts w:ascii="標楷體" w:eastAsia="標楷體" w:hAnsi="標楷體" w:hint="eastAsia"/>
        </w:rPr>
        <w:t>二偈讚佛已，則已略說第一義</w:t>
      </w:r>
      <w:r w:rsidRPr="00DA3BC7">
        <w:rPr>
          <w:rFonts w:hint="eastAsia"/>
        </w:rPr>
        <w:t>」</w:t>
      </w:r>
      <w:r w:rsidRPr="00DA3BC7">
        <w:rPr>
          <w:rStyle w:val="a6"/>
          <w:rFonts w:ascii="Times New Roman" w:hAnsi="Times New Roman"/>
        </w:rPr>
        <w:footnoteReference w:id="458"/>
      </w:r>
      <w:r w:rsidRPr="00DA3BC7">
        <w:rPr>
          <w:rFonts w:hint="eastAsia"/>
        </w:rPr>
        <w:t>。第</w:t>
      </w:r>
      <w:r w:rsidRPr="00DA3BC7">
        <w:rPr>
          <w:rFonts w:hint="eastAsia"/>
        </w:rPr>
        <w:lastRenderedPageBreak/>
        <w:t>一義是聖者所體證的境界，即一切法的真相、本性。</w:t>
      </w:r>
    </w:p>
    <w:p w:rsidR="00E91374" w:rsidRPr="00DA3BC7" w:rsidRDefault="002B682F" w:rsidP="00BA3856">
      <w:pPr>
        <w:ind w:leftChars="200" w:left="480"/>
        <w:jc w:val="both"/>
        <w:rPr>
          <w:rFonts w:eastAsia="SimSun"/>
        </w:rPr>
      </w:pPr>
      <w:r w:rsidRPr="00DA3BC7">
        <w:rPr>
          <w:rFonts w:hint="eastAsia"/>
        </w:rPr>
        <w:t>他又說：「</w:t>
      </w:r>
      <w:r w:rsidRPr="00DA3BC7">
        <w:rPr>
          <w:rFonts w:ascii="標楷體" w:eastAsia="標楷體" w:hAnsi="標楷體" w:hint="eastAsia"/>
        </w:rPr>
        <w:t>法雖無量，略說八事，則為總破一切法</w:t>
      </w:r>
      <w:r w:rsidRPr="00DA3BC7">
        <w:rPr>
          <w:rFonts w:hint="eastAsia"/>
        </w:rPr>
        <w:t>。」</w:t>
      </w:r>
      <w:r w:rsidRPr="00DA3BC7">
        <w:rPr>
          <w:rStyle w:val="a6"/>
          <w:rFonts w:ascii="Times New Roman" w:hAnsi="Times New Roman"/>
        </w:rPr>
        <w:footnoteReference w:id="459"/>
      </w:r>
      <w:r w:rsidRPr="00DA3BC7">
        <w:rPr>
          <w:rFonts w:hint="eastAsia"/>
        </w:rPr>
        <w:t>他以破一切法盡顯第一</w:t>
      </w:r>
      <w:r w:rsidRPr="00E91374">
        <w:rPr>
          <w:rFonts w:hint="eastAsia"/>
          <w:highlight w:val="yellow"/>
        </w:rPr>
        <w:t>義解</w:t>
      </w:r>
      <w:r w:rsidRPr="00DA3BC7">
        <w:rPr>
          <w:rFonts w:hint="eastAsia"/>
        </w:rPr>
        <w:t>說此八不的</w:t>
      </w:r>
      <w:r w:rsidR="00E91374" w:rsidRPr="00E91374">
        <w:rPr>
          <w:rFonts w:hint="eastAsia"/>
          <w:color w:val="FF0000"/>
          <w:highlight w:val="yellow"/>
        </w:rPr>
        <w:t>，</w:t>
      </w:r>
      <w:r w:rsidR="00E91374" w:rsidRPr="00DA3BC7">
        <w:rPr>
          <w:rFonts w:hint="eastAsia"/>
        </w:rPr>
        <w:t>然青目的解說八不，分為兩段：</w:t>
      </w:r>
    </w:p>
    <w:p w:rsidR="002B682F" w:rsidRPr="00DA3BC7" w:rsidRDefault="002B682F" w:rsidP="00BA3856">
      <w:pPr>
        <w:ind w:leftChars="250" w:left="600"/>
        <w:jc w:val="both"/>
        <w:rPr>
          <w:rFonts w:eastAsia="SimSun"/>
          <w:b/>
          <w:bdr w:val="single" w:sz="4" w:space="0" w:color="auto"/>
        </w:rPr>
      </w:pPr>
      <w:r w:rsidRPr="00E91374">
        <w:rPr>
          <w:rFonts w:ascii="Times New Roman" w:hAnsi="Times New Roman" w:hint="eastAsia"/>
          <w:b/>
          <w:color w:val="FF0000"/>
          <w:sz w:val="20"/>
          <w:szCs w:val="20"/>
          <w:highlight w:val="yellow"/>
          <w:bdr w:val="single" w:sz="4" w:space="0" w:color="auto"/>
        </w:rPr>
        <w:t>（</w:t>
      </w:r>
      <w:r w:rsidR="00E91374" w:rsidRPr="00E91374">
        <w:rPr>
          <w:rFonts w:ascii="Times New Roman" w:hAnsi="Times New Roman" w:hint="eastAsia"/>
          <w:b/>
          <w:color w:val="FF0000"/>
          <w:sz w:val="20"/>
          <w:szCs w:val="20"/>
          <w:highlight w:val="yellow"/>
          <w:bdr w:val="single" w:sz="4" w:space="0" w:color="auto"/>
        </w:rPr>
        <w:t>1</w:t>
      </w:r>
      <w:r w:rsidRPr="00E91374">
        <w:rPr>
          <w:rFonts w:ascii="Times New Roman" w:hAnsi="Times New Roman" w:hint="eastAsia"/>
          <w:b/>
          <w:color w:val="FF0000"/>
          <w:sz w:val="20"/>
          <w:szCs w:val="20"/>
          <w:highlight w:val="yellow"/>
          <w:bdr w:val="single" w:sz="4" w:space="0" w:color="auto"/>
        </w:rPr>
        <w:t>）</w:t>
      </w:r>
      <w:r w:rsidRPr="00DA3BC7">
        <w:rPr>
          <w:b/>
          <w:sz w:val="20"/>
          <w:szCs w:val="20"/>
          <w:bdr w:val="single" w:sz="4" w:space="0" w:color="auto"/>
        </w:rPr>
        <w:t>約</w:t>
      </w:r>
      <w:r w:rsidRPr="00DA3BC7">
        <w:rPr>
          <w:rFonts w:hint="eastAsia"/>
          <w:b/>
          <w:sz w:val="20"/>
          <w:szCs w:val="20"/>
          <w:bdr w:val="single" w:sz="4" w:space="0" w:color="auto"/>
        </w:rPr>
        <w:t>「</w:t>
      </w:r>
      <w:r w:rsidRPr="00DA3BC7">
        <w:rPr>
          <w:b/>
          <w:sz w:val="20"/>
          <w:szCs w:val="20"/>
          <w:bdr w:val="single" w:sz="4" w:space="0" w:color="auto"/>
        </w:rPr>
        <w:t>理</w:t>
      </w:r>
      <w:r w:rsidRPr="00DA3BC7">
        <w:rPr>
          <w:rFonts w:hint="eastAsia"/>
          <w:b/>
          <w:sz w:val="20"/>
          <w:szCs w:val="20"/>
          <w:bdr w:val="single" w:sz="4" w:space="0" w:color="auto"/>
        </w:rPr>
        <w:t>」</w:t>
      </w:r>
      <w:r w:rsidRPr="00E91374">
        <w:rPr>
          <w:b/>
          <w:sz w:val="20"/>
          <w:szCs w:val="20"/>
          <w:highlight w:val="yellow"/>
          <w:bdr w:val="single" w:sz="4" w:space="0" w:color="auto"/>
        </w:rPr>
        <w:t>說</w:t>
      </w:r>
      <w:r w:rsidRPr="00DA3BC7">
        <w:rPr>
          <w:rFonts w:ascii="Times Ext Roman" w:hAnsi="Times Ext Roman" w:cs="Times Ext Roman" w:hint="eastAsia"/>
          <w:sz w:val="20"/>
          <w:szCs w:val="20"/>
        </w:rPr>
        <w:t>（</w:t>
      </w:r>
      <w:r w:rsidRPr="00DA3BC7">
        <w:rPr>
          <w:rFonts w:ascii="Times New Roman" w:hAnsi="Times New Roman" w:hint="eastAsia"/>
          <w:sz w:val="20"/>
          <w:szCs w:val="20"/>
        </w:rPr>
        <w:t>p</w:t>
      </w:r>
      <w:r w:rsidRPr="00DA3BC7">
        <w:rPr>
          <w:rFonts w:hint="eastAsia"/>
          <w:sz w:val="20"/>
          <w:szCs w:val="20"/>
        </w:rPr>
        <w:t>.</w:t>
      </w:r>
      <w:r w:rsidRPr="00DA3BC7">
        <w:rPr>
          <w:rFonts w:ascii="Times New Roman" w:eastAsia="SimSun" w:hAnsi="Times New Roman" w:hint="eastAsia"/>
          <w:sz w:val="20"/>
          <w:szCs w:val="20"/>
        </w:rPr>
        <w:t>95</w:t>
      </w:r>
      <w:r w:rsidRPr="00DA3BC7">
        <w:rPr>
          <w:rFonts w:ascii="Times Ext Roman" w:hAnsi="Times Ext Roman" w:cs="Times Ext Roman" w:hint="eastAsia"/>
          <w:sz w:val="20"/>
          <w:szCs w:val="20"/>
        </w:rPr>
        <w:t>）</w:t>
      </w:r>
    </w:p>
    <w:p w:rsidR="002B682F" w:rsidRPr="00DA3BC7" w:rsidRDefault="002B682F" w:rsidP="00BA3856">
      <w:pPr>
        <w:ind w:leftChars="250" w:left="1080" w:hangingChars="200" w:hanging="480"/>
        <w:jc w:val="both"/>
      </w:pPr>
      <w:r w:rsidRPr="00DA3BC7">
        <w:rPr>
          <w:rFonts w:hint="eastAsia"/>
        </w:rPr>
        <w:t>一、專就破生滅、斷常、一異、來去的執著以顯第一義，是</w:t>
      </w:r>
      <w:r w:rsidRPr="00DA3BC7">
        <w:rPr>
          <w:rFonts w:hint="eastAsia"/>
          <w:b/>
        </w:rPr>
        <w:t>約理說</w:t>
      </w:r>
      <w:r w:rsidRPr="00DA3BC7">
        <w:rPr>
          <w:rFonts w:hint="eastAsia"/>
        </w:rPr>
        <w:t>的。如法的實</w:t>
      </w:r>
      <w:r w:rsidRPr="00DA3BC7">
        <w:rPr>
          <w:rFonts w:hint="eastAsia"/>
          <w:b/>
        </w:rPr>
        <w:t>生</w:t>
      </w:r>
      <w:r w:rsidRPr="00DA3BC7">
        <w:rPr>
          <w:rFonts w:hint="eastAsia"/>
        </w:rPr>
        <w:t>既不可得，</w:t>
      </w:r>
      <w:r w:rsidRPr="00DA3BC7">
        <w:rPr>
          <w:rFonts w:hint="eastAsia"/>
          <w:b/>
        </w:rPr>
        <w:t>滅</w:t>
      </w:r>
      <w:r w:rsidRPr="00DA3BC7">
        <w:rPr>
          <w:rFonts w:hint="eastAsia"/>
        </w:rPr>
        <w:t>也就不可得了，無生那裡會有滅呢？</w:t>
      </w:r>
      <w:r w:rsidRPr="00DA3BC7">
        <w:rPr>
          <w:rFonts w:hint="eastAsia"/>
          <w:b/>
        </w:rPr>
        <w:t>生滅</w:t>
      </w:r>
      <w:r w:rsidRPr="00DA3BC7">
        <w:rPr>
          <w:rFonts w:hint="eastAsia"/>
        </w:rPr>
        <w:t>既不可得，</w:t>
      </w:r>
      <w:r w:rsidRPr="00DA3BC7">
        <w:rPr>
          <w:rFonts w:hint="eastAsia"/>
          <w:b/>
        </w:rPr>
        <w:t>斷常</w:t>
      </w:r>
      <w:r w:rsidRPr="00DA3BC7">
        <w:rPr>
          <w:rFonts w:hint="eastAsia"/>
        </w:rPr>
        <w:t>、</w:t>
      </w:r>
      <w:r w:rsidRPr="00DA3BC7">
        <w:rPr>
          <w:rFonts w:hint="eastAsia"/>
          <w:b/>
        </w:rPr>
        <w:t>一異</w:t>
      </w:r>
      <w:r w:rsidRPr="00DA3BC7">
        <w:rPr>
          <w:rFonts w:hint="eastAsia"/>
        </w:rPr>
        <w:t>、</w:t>
      </w:r>
      <w:r w:rsidRPr="00DA3BC7">
        <w:rPr>
          <w:rFonts w:hint="eastAsia"/>
          <w:b/>
        </w:rPr>
        <w:t>來去</w:t>
      </w:r>
      <w:r w:rsidRPr="00DA3BC7">
        <w:rPr>
          <w:rFonts w:hint="eastAsia"/>
        </w:rPr>
        <w:t>也就不可得了。</w:t>
      </w:r>
      <w:r w:rsidRPr="00DA3BC7">
        <w:rPr>
          <w:rStyle w:val="a6"/>
          <w:rFonts w:ascii="Times New Roman" w:hAnsi="Times New Roman"/>
        </w:rPr>
        <w:footnoteReference w:id="460"/>
      </w:r>
    </w:p>
    <w:p w:rsidR="002B682F" w:rsidRPr="00DA3BC7" w:rsidRDefault="002B682F" w:rsidP="00AE3920">
      <w:pPr>
        <w:spacing w:beforeLines="30"/>
        <w:ind w:leftChars="250" w:left="600"/>
        <w:jc w:val="both"/>
        <w:rPr>
          <w:rFonts w:eastAsia="SimSun"/>
          <w:b/>
          <w:sz w:val="20"/>
          <w:szCs w:val="20"/>
          <w:bdr w:val="single" w:sz="4" w:space="0" w:color="auto"/>
        </w:rPr>
      </w:pPr>
      <w:r w:rsidRPr="00E91374">
        <w:rPr>
          <w:rFonts w:ascii="Times New Roman" w:hAnsi="Times New Roman" w:hint="eastAsia"/>
          <w:b/>
          <w:color w:val="FF0000"/>
          <w:sz w:val="20"/>
          <w:szCs w:val="20"/>
          <w:highlight w:val="yellow"/>
          <w:bdr w:val="single" w:sz="4" w:space="0" w:color="auto"/>
        </w:rPr>
        <w:t>（</w:t>
      </w:r>
      <w:r w:rsidR="00E91374" w:rsidRPr="00E91374">
        <w:rPr>
          <w:rFonts w:ascii="Times New Roman" w:hAnsi="Times New Roman" w:hint="eastAsia"/>
          <w:b/>
          <w:color w:val="FF0000"/>
          <w:sz w:val="20"/>
          <w:szCs w:val="20"/>
          <w:highlight w:val="yellow"/>
          <w:bdr w:val="single" w:sz="4" w:space="0" w:color="auto"/>
        </w:rPr>
        <w:t>2</w:t>
      </w:r>
      <w:r w:rsidRPr="00E91374">
        <w:rPr>
          <w:rFonts w:ascii="Times New Roman" w:hAnsi="Times New Roman" w:hint="eastAsia"/>
          <w:b/>
          <w:color w:val="FF0000"/>
          <w:sz w:val="20"/>
          <w:szCs w:val="20"/>
          <w:highlight w:val="yellow"/>
          <w:bdr w:val="single" w:sz="4" w:space="0" w:color="auto"/>
        </w:rPr>
        <w:t>）</w:t>
      </w:r>
      <w:r w:rsidRPr="00DA3BC7">
        <w:rPr>
          <w:rFonts w:ascii="新細明體" w:hAnsi="新細明體" w:hint="eastAsia"/>
          <w:b/>
          <w:sz w:val="20"/>
          <w:szCs w:val="20"/>
          <w:bdr w:val="single" w:sz="4" w:space="0" w:color="auto"/>
        </w:rPr>
        <w:t>舉「</w:t>
      </w:r>
      <w:r w:rsidRPr="00E91374">
        <w:rPr>
          <w:rFonts w:ascii="新細明體" w:hAnsi="新細明體" w:hint="eastAsia"/>
          <w:b/>
          <w:sz w:val="20"/>
          <w:szCs w:val="20"/>
          <w:highlight w:val="yellow"/>
          <w:bdr w:val="single" w:sz="4" w:space="0" w:color="auto"/>
        </w:rPr>
        <w:t>事」明</w:t>
      </w:r>
      <w:r w:rsidRPr="00DA3BC7">
        <w:rPr>
          <w:rFonts w:ascii="Times Ext Roman" w:hAnsi="Times Ext Roman" w:cs="Times Ext Roman" w:hint="eastAsia"/>
          <w:sz w:val="20"/>
          <w:szCs w:val="20"/>
        </w:rPr>
        <w:t>（</w:t>
      </w:r>
      <w:r w:rsidRPr="00DA3BC7">
        <w:rPr>
          <w:rFonts w:ascii="Times New Roman" w:hAnsi="Times New Roman"/>
          <w:sz w:val="20"/>
          <w:szCs w:val="20"/>
        </w:rPr>
        <w:t>p</w:t>
      </w:r>
      <w:r w:rsidRPr="00DA3BC7">
        <w:rPr>
          <w:sz w:val="20"/>
          <w:szCs w:val="20"/>
        </w:rPr>
        <w:t>.</w:t>
      </w:r>
      <w:r w:rsidRPr="00DA3BC7">
        <w:rPr>
          <w:rFonts w:ascii="Times New Roman" w:eastAsia="SimSun" w:hAnsi="Times New Roman"/>
          <w:sz w:val="20"/>
          <w:szCs w:val="20"/>
        </w:rPr>
        <w:t>95</w:t>
      </w:r>
      <w:r w:rsidRPr="00DA3BC7">
        <w:rPr>
          <w:rFonts w:ascii="Times Ext Roman" w:hAnsi="Times Ext Roman" w:cs="Times Ext Roman" w:hint="eastAsia"/>
          <w:sz w:val="20"/>
          <w:szCs w:val="20"/>
        </w:rPr>
        <w:t>）</w:t>
      </w:r>
    </w:p>
    <w:p w:rsidR="002B682F" w:rsidRPr="00DA3BC7" w:rsidRDefault="002B682F" w:rsidP="00BA3856">
      <w:pPr>
        <w:ind w:leftChars="250" w:left="600"/>
        <w:jc w:val="both"/>
        <w:rPr>
          <w:rFonts w:eastAsia="SimSun"/>
        </w:rPr>
      </w:pPr>
      <w:r w:rsidRPr="00DA3BC7">
        <w:rPr>
          <w:rFonts w:hint="eastAsia"/>
        </w:rPr>
        <w:t>二、舉事例以說明八不：</w:t>
      </w:r>
    </w:p>
    <w:p w:rsidR="002B682F" w:rsidRPr="00DA3BC7" w:rsidRDefault="00E91374" w:rsidP="00AE3920">
      <w:pPr>
        <w:spacing w:beforeLines="30"/>
        <w:ind w:leftChars="300" w:left="720"/>
        <w:jc w:val="both"/>
        <w:rPr>
          <w:rFonts w:ascii="新細明體" w:hAnsi="新細明體"/>
          <w:b/>
          <w:sz w:val="20"/>
          <w:szCs w:val="20"/>
          <w:bdr w:val="single" w:sz="4" w:space="0" w:color="auto"/>
        </w:rPr>
      </w:pPr>
      <w:r w:rsidRPr="00E91374">
        <w:rPr>
          <w:rFonts w:ascii="Times New Roman" w:hAnsi="Times New Roman" w:hint="eastAsia"/>
          <w:b/>
          <w:color w:val="FF0000"/>
          <w:sz w:val="20"/>
          <w:szCs w:val="20"/>
          <w:highlight w:val="yellow"/>
          <w:bdr w:val="single" w:sz="4" w:space="0" w:color="auto"/>
        </w:rPr>
        <w:t>A</w:t>
      </w:r>
      <w:r w:rsidR="002B682F" w:rsidRPr="00E91374">
        <w:rPr>
          <w:rFonts w:ascii="Times New Roman" w:hAnsi="Times New Roman"/>
          <w:b/>
          <w:color w:val="FF0000"/>
          <w:sz w:val="20"/>
          <w:szCs w:val="20"/>
          <w:highlight w:val="yellow"/>
          <w:bdr w:val="single" w:sz="4" w:space="0" w:color="auto"/>
        </w:rPr>
        <w:t>、</w:t>
      </w:r>
      <w:r w:rsidR="002B682F" w:rsidRPr="00DA3BC7">
        <w:rPr>
          <w:rFonts w:ascii="新細明體" w:hAnsi="新細明體" w:hint="eastAsia"/>
          <w:b/>
          <w:sz w:val="20"/>
          <w:szCs w:val="20"/>
          <w:bdr w:val="single" w:sz="4" w:space="0" w:color="auto"/>
        </w:rPr>
        <w:t>不生不滅</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95</w:t>
      </w:r>
      <w:r w:rsidR="002B682F" w:rsidRPr="00DA3BC7">
        <w:rPr>
          <w:rFonts w:ascii="Times Ext Roman" w:hAnsi="Times Ext Roman" w:cs="Times Ext Roman" w:hint="eastAsia"/>
          <w:sz w:val="20"/>
          <w:szCs w:val="20"/>
        </w:rPr>
        <w:t>）</w:t>
      </w:r>
    </w:p>
    <w:p w:rsidR="002B682F" w:rsidRPr="00DA3BC7" w:rsidRDefault="002B682F" w:rsidP="00BA3856">
      <w:pPr>
        <w:ind w:leftChars="300" w:left="720"/>
        <w:jc w:val="both"/>
      </w:pPr>
      <w:r w:rsidRPr="00DA3BC7">
        <w:rPr>
          <w:rFonts w:hint="eastAsia"/>
        </w:rPr>
        <w:t>如穀，離從前的穀種，並沒有今穀新生，故</w:t>
      </w:r>
      <w:r w:rsidRPr="00DA3BC7">
        <w:rPr>
          <w:rFonts w:hint="eastAsia"/>
          <w:b/>
        </w:rPr>
        <w:t>不生</w:t>
      </w:r>
      <w:r w:rsidRPr="00DA3BC7">
        <w:rPr>
          <w:rFonts w:hint="eastAsia"/>
        </w:rPr>
        <w:t>；</w:t>
      </w:r>
    </w:p>
    <w:p w:rsidR="002B682F" w:rsidRPr="00DA3BC7" w:rsidRDefault="002B682F" w:rsidP="00AE3920">
      <w:pPr>
        <w:spacing w:beforeLines="20"/>
        <w:ind w:leftChars="300" w:left="720"/>
        <w:jc w:val="both"/>
        <w:rPr>
          <w:rFonts w:eastAsia="SimSun"/>
        </w:rPr>
      </w:pPr>
      <w:r w:rsidRPr="00DA3BC7">
        <w:rPr>
          <w:rFonts w:hint="eastAsia"/>
        </w:rPr>
        <w:t>而穀從無始來，還有現穀可得，故</w:t>
      </w:r>
      <w:r w:rsidRPr="00DA3BC7">
        <w:rPr>
          <w:rFonts w:hint="eastAsia"/>
          <w:b/>
        </w:rPr>
        <w:t>不滅</w:t>
      </w:r>
      <w:r w:rsidRPr="00DA3BC7">
        <w:rPr>
          <w:rFonts w:hint="eastAsia"/>
        </w:rPr>
        <w:t>。</w:t>
      </w:r>
    </w:p>
    <w:p w:rsidR="002B682F" w:rsidRPr="00DA3BC7" w:rsidRDefault="00E91374" w:rsidP="00AE3920">
      <w:pPr>
        <w:spacing w:beforeLines="30"/>
        <w:ind w:leftChars="300" w:left="720"/>
        <w:jc w:val="both"/>
        <w:rPr>
          <w:rFonts w:ascii="新細明體" w:eastAsia="SimSun" w:hAnsi="新細明體"/>
          <w:b/>
          <w:sz w:val="20"/>
          <w:szCs w:val="20"/>
          <w:bdr w:val="single" w:sz="4" w:space="0" w:color="auto"/>
        </w:rPr>
      </w:pPr>
      <w:r w:rsidRPr="00E91374">
        <w:rPr>
          <w:rFonts w:ascii="Times New Roman" w:hAnsi="Times New Roman" w:hint="eastAsia"/>
          <w:b/>
          <w:color w:val="FF0000"/>
          <w:sz w:val="20"/>
          <w:szCs w:val="20"/>
          <w:highlight w:val="yellow"/>
          <w:bdr w:val="single" w:sz="4" w:space="0" w:color="auto"/>
        </w:rPr>
        <w:t>B</w:t>
      </w:r>
      <w:r w:rsidR="002B682F" w:rsidRPr="00E91374">
        <w:rPr>
          <w:rFonts w:ascii="Times New Roman" w:hAnsi="Times New Roman"/>
          <w:b/>
          <w:color w:val="FF0000"/>
          <w:sz w:val="20"/>
          <w:szCs w:val="20"/>
          <w:highlight w:val="yellow"/>
          <w:bdr w:val="single" w:sz="4" w:space="0" w:color="auto"/>
        </w:rPr>
        <w:t>、</w:t>
      </w:r>
      <w:r w:rsidR="002B682F" w:rsidRPr="00DA3BC7">
        <w:rPr>
          <w:rFonts w:hint="eastAsia"/>
          <w:b/>
          <w:sz w:val="20"/>
          <w:szCs w:val="20"/>
          <w:bdr w:val="single" w:sz="4" w:space="0" w:color="auto"/>
        </w:rPr>
        <w:t>不常不斷</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95</w:t>
      </w:r>
      <w:r w:rsidR="002B682F" w:rsidRPr="00DA3BC7">
        <w:rPr>
          <w:rFonts w:ascii="Times Ext Roman" w:hAnsi="Times Ext Roman" w:cs="Times Ext Roman" w:hint="eastAsia"/>
          <w:sz w:val="20"/>
          <w:szCs w:val="20"/>
        </w:rPr>
        <w:t>）</w:t>
      </w:r>
    </w:p>
    <w:p w:rsidR="002B682F" w:rsidRPr="00DA3BC7" w:rsidRDefault="002B682F" w:rsidP="00BA3856">
      <w:pPr>
        <w:ind w:leftChars="300" w:left="720"/>
        <w:jc w:val="both"/>
      </w:pPr>
      <w:r w:rsidRPr="00DA3BC7">
        <w:rPr>
          <w:rFonts w:hint="eastAsia"/>
        </w:rPr>
        <w:t>雖然穀是不生不滅的，以後後非前前，故</w:t>
      </w:r>
      <w:r w:rsidRPr="00DA3BC7">
        <w:rPr>
          <w:rFonts w:hint="eastAsia"/>
          <w:b/>
        </w:rPr>
        <w:t>不常</w:t>
      </w:r>
      <w:r w:rsidRPr="00DA3BC7">
        <w:rPr>
          <w:rFonts w:hint="eastAsia"/>
        </w:rPr>
        <w:t>；</w:t>
      </w:r>
    </w:p>
    <w:p w:rsidR="002B682F" w:rsidRPr="00DA3BC7" w:rsidRDefault="002B682F" w:rsidP="00AE3920">
      <w:pPr>
        <w:spacing w:beforeLines="20"/>
        <w:ind w:leftChars="300" w:left="720"/>
        <w:jc w:val="both"/>
        <w:rPr>
          <w:rFonts w:eastAsia="SimSun"/>
        </w:rPr>
      </w:pPr>
      <w:r w:rsidRPr="00DA3BC7">
        <w:rPr>
          <w:rFonts w:hint="eastAsia"/>
        </w:rPr>
        <w:t>年年相續有穀，故</w:t>
      </w:r>
      <w:r w:rsidRPr="00DA3BC7">
        <w:rPr>
          <w:rFonts w:hint="eastAsia"/>
          <w:b/>
        </w:rPr>
        <w:t>不斷</w:t>
      </w:r>
      <w:r w:rsidRPr="00DA3BC7">
        <w:rPr>
          <w:rFonts w:hint="eastAsia"/>
        </w:rPr>
        <w:t>。</w:t>
      </w:r>
    </w:p>
    <w:p w:rsidR="002B682F" w:rsidRPr="00DA3BC7" w:rsidRDefault="00E91374" w:rsidP="00AE3920">
      <w:pPr>
        <w:spacing w:beforeLines="30"/>
        <w:ind w:leftChars="300" w:left="720"/>
        <w:jc w:val="both"/>
        <w:rPr>
          <w:rFonts w:ascii="新細明體" w:hAnsi="新細明體"/>
          <w:b/>
          <w:sz w:val="20"/>
          <w:szCs w:val="20"/>
          <w:bdr w:val="single" w:sz="4" w:space="0" w:color="auto"/>
        </w:rPr>
      </w:pPr>
      <w:r w:rsidRPr="00E91374">
        <w:rPr>
          <w:rFonts w:ascii="Times New Roman" w:hAnsi="Times New Roman" w:hint="eastAsia"/>
          <w:b/>
          <w:color w:val="FF0000"/>
          <w:sz w:val="20"/>
          <w:szCs w:val="20"/>
          <w:highlight w:val="yellow"/>
          <w:bdr w:val="single" w:sz="4" w:space="0" w:color="auto"/>
        </w:rPr>
        <w:t>C</w:t>
      </w:r>
      <w:r w:rsidR="002B682F" w:rsidRPr="00E91374">
        <w:rPr>
          <w:rFonts w:ascii="Times New Roman" w:hAnsi="Times New Roman"/>
          <w:b/>
          <w:color w:val="FF0000"/>
          <w:sz w:val="20"/>
          <w:szCs w:val="20"/>
          <w:highlight w:val="yellow"/>
          <w:bdr w:val="single" w:sz="4" w:space="0" w:color="auto"/>
        </w:rPr>
        <w:t>、</w:t>
      </w:r>
      <w:r w:rsidR="002B682F" w:rsidRPr="00DA3BC7">
        <w:rPr>
          <w:rFonts w:hint="eastAsia"/>
          <w:b/>
          <w:sz w:val="20"/>
          <w:szCs w:val="20"/>
          <w:bdr w:val="single" w:sz="4" w:space="0" w:color="auto"/>
        </w:rPr>
        <w:t>不一不異</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eastAsia="SimSun" w:hAnsi="Times New Roman"/>
          <w:sz w:val="20"/>
          <w:szCs w:val="20"/>
        </w:rPr>
        <w:t>95</w:t>
      </w:r>
      <w:r w:rsidR="002B682F" w:rsidRPr="00DA3BC7">
        <w:rPr>
          <w:sz w:val="20"/>
          <w:szCs w:val="20"/>
        </w:rPr>
        <w:t>-</w:t>
      </w:r>
      <w:r w:rsidR="002B682F" w:rsidRPr="00DA3BC7">
        <w:rPr>
          <w:rFonts w:ascii="Times New Roman" w:eastAsia="SimSun" w:hAnsi="Times New Roman"/>
          <w:sz w:val="20"/>
          <w:szCs w:val="20"/>
        </w:rPr>
        <w:t>96</w:t>
      </w:r>
      <w:r w:rsidR="002B682F" w:rsidRPr="00DA3BC7">
        <w:rPr>
          <w:rFonts w:ascii="Times Ext Roman" w:hAnsi="Times Ext Roman" w:cs="Times Ext Roman" w:hint="eastAsia"/>
          <w:sz w:val="20"/>
          <w:szCs w:val="20"/>
        </w:rPr>
        <w:t>）</w:t>
      </w:r>
    </w:p>
    <w:p w:rsidR="002B682F" w:rsidRPr="00DA3BC7" w:rsidRDefault="002B682F" w:rsidP="00BA3856">
      <w:pPr>
        <w:ind w:leftChars="300" w:left="720"/>
        <w:jc w:val="both"/>
      </w:pPr>
      <w:r w:rsidRPr="00DA3BC7">
        <w:rPr>
          <w:rFonts w:hint="eastAsia"/>
        </w:rPr>
        <w:t>由穀生芽、長葉、揚花</w:t>
      </w:r>
      <w:r w:rsidRPr="00DA3BC7">
        <w:rPr>
          <w:rStyle w:val="a6"/>
          <w:rFonts w:ascii="Times New Roman" w:hAnsi="Times New Roman"/>
        </w:rPr>
        <w:footnoteReference w:id="461"/>
      </w:r>
      <w:r w:rsidRPr="00DA3BC7">
        <w:rPr>
          <w:rFonts w:hint="eastAsia"/>
        </w:rPr>
        <w:t>、結實</w:t>
      </w:r>
      <w:r w:rsidRPr="00DA3BC7">
        <w:rPr>
          <w:rStyle w:val="a6"/>
          <w:rFonts w:ascii="Times New Roman" w:hAnsi="Times New Roman"/>
        </w:rPr>
        <w:footnoteReference w:id="462"/>
      </w:r>
      <w:r w:rsidRPr="00DA3BC7">
        <w:rPr>
          <w:rFonts w:hint="eastAsia"/>
        </w:rPr>
        <w:t>，即</w:t>
      </w:r>
      <w:r w:rsidRPr="00DA3BC7">
        <w:rPr>
          <w:rFonts w:hint="eastAsia"/>
          <w:b/>
        </w:rPr>
        <w:t>不一</w:t>
      </w:r>
      <w:r w:rsidRPr="00DA3BC7">
        <w:rPr>
          <w:rFonts w:hint="eastAsia"/>
        </w:rPr>
        <w:t>；</w:t>
      </w:r>
    </w:p>
    <w:p w:rsidR="002B682F" w:rsidRPr="00DA3BC7" w:rsidRDefault="002B682F" w:rsidP="00AE3920">
      <w:pPr>
        <w:spacing w:beforeLines="20"/>
        <w:ind w:leftChars="300" w:left="720"/>
        <w:jc w:val="both"/>
        <w:rPr>
          <w:rFonts w:eastAsia="SimSun"/>
        </w:rPr>
      </w:pPr>
      <w:r w:rsidRPr="00DA3BC7">
        <w:rPr>
          <w:rFonts w:hint="eastAsia"/>
        </w:rPr>
        <w:t>然穀芽、穀葉、穀花、穀實，而非麥芽、麥葉、麥花、麥實，也</w:t>
      </w:r>
      <w:r w:rsidRPr="00DA3BC7">
        <w:rPr>
          <w:rFonts w:hint="eastAsia"/>
          <w:b/>
        </w:rPr>
        <w:t>不</w:t>
      </w:r>
      <w:r w:rsidRPr="00DA3BC7">
        <w:rPr>
          <w:rFonts w:hint="eastAsia"/>
        </w:rPr>
        <w:t>可說是完全別</w:t>
      </w:r>
      <w:r w:rsidRPr="00DA3BC7">
        <w:rPr>
          <w:rFonts w:hint="eastAsia"/>
          <w:b/>
        </w:rPr>
        <w:t>異</w:t>
      </w:r>
      <w:r w:rsidRPr="00DA3BC7">
        <w:rPr>
          <w:rFonts w:hint="eastAsia"/>
        </w:rPr>
        <w:t>的。</w:t>
      </w:r>
    </w:p>
    <w:p w:rsidR="002B682F" w:rsidRPr="00DA3BC7" w:rsidRDefault="00E91374" w:rsidP="00AE3920">
      <w:pPr>
        <w:spacing w:beforeLines="30"/>
        <w:ind w:leftChars="300" w:left="720"/>
        <w:jc w:val="both"/>
        <w:rPr>
          <w:rFonts w:ascii="新細明體" w:eastAsia="SimSun" w:hAnsi="新細明體"/>
          <w:b/>
          <w:sz w:val="20"/>
          <w:szCs w:val="20"/>
          <w:bdr w:val="single" w:sz="4" w:space="0" w:color="auto"/>
        </w:rPr>
      </w:pPr>
      <w:r w:rsidRPr="00E91374">
        <w:rPr>
          <w:rFonts w:ascii="Times New Roman" w:hAnsi="Times New Roman" w:hint="eastAsia"/>
          <w:b/>
          <w:color w:val="FF0000"/>
          <w:sz w:val="20"/>
          <w:szCs w:val="20"/>
          <w:highlight w:val="yellow"/>
          <w:bdr w:val="single" w:sz="4" w:space="0" w:color="auto"/>
        </w:rPr>
        <w:t>D</w:t>
      </w:r>
      <w:r w:rsidR="002B682F" w:rsidRPr="00E91374">
        <w:rPr>
          <w:rFonts w:ascii="Times New Roman" w:hAnsi="Times New Roman"/>
          <w:b/>
          <w:color w:val="FF0000"/>
          <w:sz w:val="20"/>
          <w:szCs w:val="20"/>
          <w:highlight w:val="yellow"/>
          <w:bdr w:val="single" w:sz="4" w:space="0" w:color="auto"/>
        </w:rPr>
        <w:t>、</w:t>
      </w:r>
      <w:r w:rsidR="002B682F" w:rsidRPr="00DA3BC7">
        <w:rPr>
          <w:rFonts w:hint="eastAsia"/>
          <w:b/>
          <w:sz w:val="20"/>
          <w:szCs w:val="20"/>
          <w:bdr w:val="single" w:sz="4" w:space="0" w:color="auto"/>
        </w:rPr>
        <w:t>不來不出</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9</w:t>
      </w:r>
      <w:r w:rsidR="002B682F" w:rsidRPr="00DA3BC7">
        <w:rPr>
          <w:rFonts w:ascii="Times New Roman" w:hAnsi="Times New Roman" w:hint="eastAsia"/>
          <w:sz w:val="20"/>
          <w:szCs w:val="20"/>
        </w:rPr>
        <w:t>6</w:t>
      </w:r>
      <w:r w:rsidR="002B682F" w:rsidRPr="00DA3BC7">
        <w:rPr>
          <w:rFonts w:ascii="Times Ext Roman" w:hAnsi="Times Ext Roman" w:cs="Times Ext Roman" w:hint="eastAsia"/>
          <w:sz w:val="20"/>
          <w:szCs w:val="20"/>
        </w:rPr>
        <w:t>）</w:t>
      </w:r>
    </w:p>
    <w:p w:rsidR="002B682F" w:rsidRPr="00DA3BC7" w:rsidRDefault="002B682F" w:rsidP="00BA3856">
      <w:pPr>
        <w:ind w:leftChars="300" w:left="720"/>
        <w:jc w:val="both"/>
        <w:rPr>
          <w:rFonts w:eastAsia="SimSun"/>
        </w:rPr>
      </w:pPr>
      <w:r w:rsidRPr="00DA3BC7">
        <w:rPr>
          <w:rFonts w:hint="eastAsia"/>
        </w:rPr>
        <w:t>穀</w:t>
      </w:r>
      <w:r w:rsidRPr="00DA3BC7">
        <w:rPr>
          <w:rFonts w:hint="eastAsia"/>
          <w:b/>
        </w:rPr>
        <w:t>不</w:t>
      </w:r>
      <w:r w:rsidRPr="00DA3BC7">
        <w:rPr>
          <w:rFonts w:hint="eastAsia"/>
        </w:rPr>
        <w:t>自他處而</w:t>
      </w:r>
      <w:r w:rsidRPr="00DA3BC7">
        <w:rPr>
          <w:rFonts w:hint="eastAsia"/>
          <w:b/>
        </w:rPr>
        <w:t>來</w:t>
      </w:r>
      <w:r w:rsidRPr="00DA3BC7">
        <w:rPr>
          <w:rFonts w:hint="eastAsia"/>
        </w:rPr>
        <w:t>，亦</w:t>
      </w:r>
      <w:r w:rsidRPr="00DA3BC7">
        <w:rPr>
          <w:rFonts w:hint="eastAsia"/>
          <w:b/>
        </w:rPr>
        <w:t>不</w:t>
      </w:r>
      <w:r w:rsidRPr="00DA3BC7">
        <w:rPr>
          <w:rFonts w:hint="eastAsia"/>
        </w:rPr>
        <w:t>從自體而</w:t>
      </w:r>
      <w:r w:rsidRPr="00DA3BC7">
        <w:rPr>
          <w:rFonts w:hint="eastAsia"/>
          <w:b/>
        </w:rPr>
        <w:t>出</w:t>
      </w:r>
      <w:r w:rsidRPr="00DA3BC7">
        <w:rPr>
          <w:rFonts w:hint="eastAsia"/>
        </w:rPr>
        <w:t>，即不來不出。</w:t>
      </w:r>
      <w:r w:rsidRPr="00DA3BC7">
        <w:rPr>
          <w:rStyle w:val="a6"/>
          <w:rFonts w:ascii="Times New Roman" w:hAnsi="Times New Roman"/>
        </w:rPr>
        <w:footnoteReference w:id="463"/>
      </w:r>
    </w:p>
    <w:p w:rsidR="00E91374" w:rsidRPr="00E91374" w:rsidRDefault="00E91374" w:rsidP="00AE3920">
      <w:pPr>
        <w:spacing w:beforeLines="30"/>
        <w:ind w:leftChars="200" w:left="480"/>
        <w:jc w:val="both"/>
        <w:rPr>
          <w:rFonts w:ascii="Times New Roman" w:hAnsi="Times New Roman"/>
          <w:b/>
          <w:color w:val="FF0000"/>
          <w:sz w:val="20"/>
          <w:szCs w:val="20"/>
          <w:highlight w:val="yellow"/>
          <w:bdr w:val="single" w:sz="4" w:space="0" w:color="auto"/>
        </w:rPr>
      </w:pPr>
      <w:r w:rsidRPr="00E91374">
        <w:rPr>
          <w:rFonts w:ascii="Times New Roman" w:hAnsi="Times New Roman" w:hint="eastAsia"/>
          <w:b/>
          <w:color w:val="FF0000"/>
          <w:sz w:val="20"/>
          <w:szCs w:val="20"/>
          <w:highlight w:val="yellow"/>
          <w:bdr w:val="single" w:sz="4" w:space="0" w:color="auto"/>
        </w:rPr>
        <w:t>2</w:t>
      </w:r>
      <w:r w:rsidRPr="00E91374">
        <w:rPr>
          <w:rFonts w:ascii="Times New Roman" w:hAnsi="Times New Roman" w:hint="eastAsia"/>
          <w:b/>
          <w:color w:val="FF0000"/>
          <w:sz w:val="20"/>
          <w:szCs w:val="20"/>
          <w:highlight w:val="yellow"/>
          <w:bdr w:val="single" w:sz="4" w:space="0" w:color="auto"/>
        </w:rPr>
        <w:t>、評論</w:t>
      </w:r>
      <w:r w:rsidRPr="00DA3BC7">
        <w:rPr>
          <w:rFonts w:ascii="Times Ext Roman" w:hAnsi="Times Ext Roman" w:cs="Times Ext Roman" w:hint="eastAsia"/>
          <w:sz w:val="20"/>
          <w:szCs w:val="20"/>
        </w:rPr>
        <w:t>（</w:t>
      </w:r>
      <w:r w:rsidRPr="00DA3BC7">
        <w:rPr>
          <w:rFonts w:ascii="Times New Roman" w:hAnsi="Times New Roman"/>
          <w:sz w:val="20"/>
          <w:szCs w:val="20"/>
        </w:rPr>
        <w:t>p</w:t>
      </w:r>
      <w:r w:rsidRPr="00DA3BC7">
        <w:rPr>
          <w:sz w:val="20"/>
          <w:szCs w:val="20"/>
        </w:rPr>
        <w:t>.</w:t>
      </w:r>
      <w:r w:rsidRPr="00DA3BC7">
        <w:rPr>
          <w:rFonts w:ascii="Times New Roman" w:eastAsia="SimSun" w:hAnsi="Times New Roman"/>
          <w:sz w:val="20"/>
          <w:szCs w:val="20"/>
        </w:rPr>
        <w:t>96</w:t>
      </w:r>
      <w:r w:rsidRPr="00DA3BC7">
        <w:rPr>
          <w:rFonts w:ascii="Times Ext Roman" w:hAnsi="Times Ext Roman" w:cs="Times Ext Roman" w:hint="eastAsia"/>
          <w:sz w:val="20"/>
          <w:szCs w:val="20"/>
        </w:rPr>
        <w:t>）</w:t>
      </w:r>
    </w:p>
    <w:p w:rsidR="002B682F" w:rsidRPr="00DA3BC7" w:rsidRDefault="002B682F" w:rsidP="00BA3856">
      <w:pPr>
        <w:ind w:leftChars="250" w:left="600"/>
        <w:jc w:val="both"/>
        <w:rPr>
          <w:rFonts w:eastAsia="SimSun"/>
          <w:b/>
          <w:sz w:val="20"/>
          <w:szCs w:val="20"/>
          <w:bdr w:val="single" w:sz="4" w:space="0" w:color="auto"/>
        </w:rPr>
      </w:pPr>
      <w:r w:rsidRPr="00E91374">
        <w:rPr>
          <w:rFonts w:ascii="Times New Roman" w:hAnsi="Times New Roman" w:hint="eastAsia"/>
          <w:b/>
          <w:color w:val="FF0000"/>
          <w:sz w:val="20"/>
          <w:szCs w:val="20"/>
          <w:highlight w:val="yellow"/>
          <w:bdr w:val="single" w:sz="4" w:space="0" w:color="auto"/>
        </w:rPr>
        <w:lastRenderedPageBreak/>
        <w:t>（</w:t>
      </w:r>
      <w:r w:rsidR="00E91374" w:rsidRPr="00E91374">
        <w:rPr>
          <w:rFonts w:ascii="Times New Roman" w:hAnsi="Times New Roman" w:hint="eastAsia"/>
          <w:b/>
          <w:color w:val="FF0000"/>
          <w:sz w:val="20"/>
          <w:szCs w:val="20"/>
          <w:highlight w:val="yellow"/>
          <w:bdr w:val="single" w:sz="4" w:space="0" w:color="auto"/>
        </w:rPr>
        <w:t>1</w:t>
      </w:r>
      <w:r w:rsidRPr="00E91374">
        <w:rPr>
          <w:rFonts w:ascii="Times New Roman" w:hAnsi="Times New Roman" w:hint="eastAsia"/>
          <w:b/>
          <w:color w:val="FF0000"/>
          <w:sz w:val="20"/>
          <w:szCs w:val="20"/>
          <w:highlight w:val="yellow"/>
          <w:bdr w:val="single" w:sz="4" w:space="0" w:color="auto"/>
        </w:rPr>
        <w:t>）</w:t>
      </w:r>
      <w:r w:rsidR="00E91374" w:rsidRPr="00E91374">
        <w:rPr>
          <w:rFonts w:hint="eastAsia"/>
          <w:b/>
          <w:color w:val="FF0000"/>
          <w:sz w:val="20"/>
          <w:szCs w:val="20"/>
          <w:highlight w:val="yellow"/>
          <w:bdr w:val="single" w:sz="4" w:space="0" w:color="auto"/>
        </w:rPr>
        <w:t>印順法師評</w:t>
      </w:r>
      <w:r w:rsidRPr="00DA3BC7">
        <w:rPr>
          <w:rFonts w:ascii="Times Ext Roman" w:hAnsi="Times Ext Roman" w:cs="Times Ext Roman" w:hint="eastAsia"/>
          <w:sz w:val="20"/>
          <w:szCs w:val="20"/>
        </w:rPr>
        <w:t>（</w:t>
      </w:r>
      <w:r w:rsidRPr="00DA3BC7">
        <w:rPr>
          <w:rFonts w:ascii="Times New Roman" w:hAnsi="Times New Roman"/>
          <w:sz w:val="20"/>
          <w:szCs w:val="20"/>
        </w:rPr>
        <w:t>p</w:t>
      </w:r>
      <w:r w:rsidRPr="00DA3BC7">
        <w:rPr>
          <w:sz w:val="20"/>
          <w:szCs w:val="20"/>
        </w:rPr>
        <w:t>.</w:t>
      </w:r>
      <w:r w:rsidRPr="00DA3BC7">
        <w:rPr>
          <w:rFonts w:ascii="Times New Roman" w:eastAsia="SimSun" w:hAnsi="Times New Roman"/>
          <w:sz w:val="20"/>
          <w:szCs w:val="20"/>
        </w:rPr>
        <w:t>96</w:t>
      </w:r>
      <w:r w:rsidRPr="00DA3BC7">
        <w:rPr>
          <w:rFonts w:ascii="Times Ext Roman" w:hAnsi="Times Ext Roman" w:cs="Times Ext Roman" w:hint="eastAsia"/>
          <w:sz w:val="20"/>
          <w:szCs w:val="20"/>
        </w:rPr>
        <w:t>）</w:t>
      </w:r>
    </w:p>
    <w:p w:rsidR="002B682F" w:rsidRPr="00DA3BC7" w:rsidRDefault="002B682F" w:rsidP="00BA3856">
      <w:pPr>
        <w:ind w:leftChars="250" w:left="600"/>
        <w:jc w:val="both"/>
        <w:rPr>
          <w:rFonts w:eastAsia="SimSun"/>
        </w:rPr>
      </w:pPr>
      <w:r w:rsidRPr="00DA3BC7">
        <w:rPr>
          <w:rFonts w:hint="eastAsia"/>
        </w:rPr>
        <w:t>這可見青目的八不義，是即俗顯真的。古三論師以青目此兩段文：前者是依理說的，後者是據事說的。因為八不非僅是抽象的，即在一一的事上以顯出八不。青目的舉穀為例，即是就世俗諦以明第一義的好例。</w:t>
      </w:r>
    </w:p>
    <w:p w:rsidR="002B682F" w:rsidRPr="00DA3BC7" w:rsidRDefault="002B682F" w:rsidP="00AE3920">
      <w:pPr>
        <w:spacing w:beforeLines="30"/>
        <w:ind w:leftChars="250" w:left="600"/>
        <w:jc w:val="both"/>
        <w:rPr>
          <w:rFonts w:eastAsia="SimSun"/>
          <w:b/>
          <w:sz w:val="20"/>
          <w:szCs w:val="20"/>
          <w:bdr w:val="single" w:sz="4" w:space="0" w:color="auto"/>
        </w:rPr>
      </w:pPr>
      <w:r w:rsidRPr="00E91374">
        <w:rPr>
          <w:rFonts w:hint="eastAsia"/>
          <w:b/>
          <w:color w:val="FF0000"/>
          <w:sz w:val="20"/>
          <w:szCs w:val="20"/>
          <w:highlight w:val="yellow"/>
          <w:bdr w:val="single" w:sz="4" w:space="0" w:color="auto"/>
        </w:rPr>
        <w:t>（</w:t>
      </w:r>
      <w:r w:rsidR="00E91374" w:rsidRPr="00E91374">
        <w:rPr>
          <w:rFonts w:ascii="Times New Roman" w:hAnsi="Times New Roman" w:hint="eastAsia"/>
          <w:b/>
          <w:color w:val="FF0000"/>
          <w:sz w:val="20"/>
          <w:szCs w:val="20"/>
          <w:highlight w:val="yellow"/>
          <w:bdr w:val="single" w:sz="4" w:space="0" w:color="auto"/>
        </w:rPr>
        <w:t>2</w:t>
      </w:r>
      <w:r w:rsidRPr="00E91374">
        <w:rPr>
          <w:rFonts w:hint="eastAsia"/>
          <w:b/>
          <w:color w:val="FF0000"/>
          <w:sz w:val="20"/>
          <w:szCs w:val="20"/>
          <w:highlight w:val="yellow"/>
          <w:bdr w:val="single" w:sz="4" w:space="0" w:color="auto"/>
        </w:rPr>
        <w:t>）</w:t>
      </w:r>
      <w:r w:rsidRPr="00E91374">
        <w:rPr>
          <w:b/>
          <w:color w:val="FF0000"/>
          <w:sz w:val="20"/>
          <w:szCs w:val="20"/>
          <w:highlight w:val="yellow"/>
          <w:bdr w:val="single" w:sz="4" w:space="0" w:color="auto"/>
        </w:rPr>
        <w:t>古師</w:t>
      </w:r>
      <w:r w:rsidR="00E91374" w:rsidRPr="00E91374">
        <w:rPr>
          <w:rFonts w:ascii="新細明體" w:hAnsi="新細明體" w:hint="eastAsia"/>
          <w:b/>
          <w:color w:val="FF0000"/>
          <w:sz w:val="20"/>
          <w:szCs w:val="20"/>
          <w:highlight w:val="yellow"/>
          <w:bdr w:val="single" w:sz="4" w:space="0" w:color="auto"/>
        </w:rPr>
        <w:t>判</w:t>
      </w:r>
      <w:r w:rsidRPr="00DA3BC7">
        <w:rPr>
          <w:rFonts w:ascii="Times Ext Roman" w:hAnsi="Times Ext Roman" w:cs="Times Ext Roman" w:hint="eastAsia"/>
          <w:sz w:val="20"/>
          <w:szCs w:val="20"/>
        </w:rPr>
        <w:t>（</w:t>
      </w:r>
      <w:r w:rsidRPr="00DA3BC7">
        <w:rPr>
          <w:rFonts w:ascii="Times New Roman" w:hAnsi="Times New Roman"/>
          <w:sz w:val="20"/>
          <w:szCs w:val="20"/>
        </w:rPr>
        <w:t>p</w:t>
      </w:r>
      <w:r w:rsidRPr="00DA3BC7">
        <w:rPr>
          <w:sz w:val="20"/>
          <w:szCs w:val="20"/>
        </w:rPr>
        <w:t>.</w:t>
      </w:r>
      <w:r w:rsidRPr="00DA3BC7">
        <w:rPr>
          <w:rFonts w:ascii="Times New Roman" w:eastAsia="SimSun" w:hAnsi="Times New Roman"/>
          <w:sz w:val="20"/>
          <w:szCs w:val="20"/>
        </w:rPr>
        <w:t>96</w:t>
      </w:r>
      <w:r w:rsidRPr="00DA3BC7">
        <w:rPr>
          <w:rFonts w:ascii="Times Ext Roman" w:hAnsi="Times Ext Roman" w:cs="Times Ext Roman" w:hint="eastAsia"/>
          <w:sz w:val="20"/>
          <w:szCs w:val="20"/>
        </w:rPr>
        <w:t>）</w:t>
      </w:r>
    </w:p>
    <w:p w:rsidR="002B682F" w:rsidRPr="00DA3BC7" w:rsidRDefault="002B682F" w:rsidP="00BA3856">
      <w:pPr>
        <w:ind w:leftChars="250" w:left="600"/>
        <w:jc w:val="both"/>
        <w:rPr>
          <w:rFonts w:eastAsia="SimSun"/>
        </w:rPr>
      </w:pPr>
      <w:r w:rsidRPr="00DA3BC7">
        <w:rPr>
          <w:rFonts w:hint="eastAsia"/>
        </w:rPr>
        <w:t>古代三論師以為二諦皆應說不生不滅等的，</w:t>
      </w:r>
      <w:r w:rsidRPr="00DA3BC7">
        <w:rPr>
          <w:rStyle w:val="a6"/>
          <w:rFonts w:ascii="Times New Roman" w:hAnsi="Times New Roman"/>
        </w:rPr>
        <w:footnoteReference w:id="464"/>
      </w:r>
      <w:r w:rsidRPr="00DA3BC7">
        <w:rPr>
          <w:rFonts w:hint="eastAsia"/>
        </w:rPr>
        <w:t>那麼青目為何說不生等為明第一義諦呢？古師說：青目所說的第一義，是指</w:t>
      </w:r>
      <w:r w:rsidRPr="00DA3BC7">
        <w:rPr>
          <w:rFonts w:ascii="新細明體" w:hAnsi="新細明體" w:hint="eastAsia"/>
        </w:rPr>
        <w:t>「</w:t>
      </w:r>
      <w:r w:rsidRPr="00DA3BC7">
        <w:rPr>
          <w:rFonts w:hint="eastAsia"/>
        </w:rPr>
        <w:t>中道第一義</w:t>
      </w:r>
      <w:r w:rsidRPr="00DA3BC7">
        <w:rPr>
          <w:rFonts w:ascii="新細明體" w:hAnsi="新細明體" w:hint="eastAsia"/>
        </w:rPr>
        <w:t>」</w:t>
      </w:r>
      <w:r w:rsidRPr="00DA3BC7">
        <w:rPr>
          <w:rFonts w:hint="eastAsia"/>
        </w:rPr>
        <w:t>說的，</w:t>
      </w:r>
      <w:r w:rsidRPr="00DA3BC7">
        <w:rPr>
          <w:rStyle w:val="a6"/>
          <w:rFonts w:ascii="Times New Roman" w:hAnsi="Times New Roman"/>
        </w:rPr>
        <w:footnoteReference w:id="465"/>
      </w:r>
      <w:r w:rsidRPr="00DA3BC7">
        <w:rPr>
          <w:rFonts w:hint="eastAsia"/>
        </w:rPr>
        <w:t>但此義極為難知！</w:t>
      </w:r>
    </w:p>
    <w:p w:rsidR="002B682F" w:rsidRPr="00DA3BC7" w:rsidRDefault="002108D6" w:rsidP="00AE3920">
      <w:pPr>
        <w:spacing w:beforeLines="30"/>
        <w:ind w:leftChars="150" w:left="360"/>
        <w:jc w:val="both"/>
        <w:rPr>
          <w:rFonts w:ascii="新細明體" w:eastAsia="SimSun" w:hAnsi="新細明體"/>
          <w:b/>
          <w:sz w:val="20"/>
          <w:szCs w:val="20"/>
          <w:bdr w:val="single" w:sz="4" w:space="0" w:color="auto"/>
        </w:rPr>
      </w:pPr>
      <w:r w:rsidRPr="002108D6">
        <w:rPr>
          <w:rFonts w:hint="eastAsia"/>
          <w:b/>
          <w:color w:val="FF0000"/>
          <w:sz w:val="20"/>
          <w:szCs w:val="20"/>
          <w:highlight w:val="yellow"/>
          <w:bdr w:val="single" w:sz="4" w:space="0" w:color="auto"/>
        </w:rPr>
        <w:t>（</w:t>
      </w:r>
      <w:r w:rsidRPr="002108D6">
        <w:rPr>
          <w:rFonts w:ascii="新細明體" w:hAnsi="新細明體" w:hint="eastAsia"/>
          <w:b/>
          <w:color w:val="FF0000"/>
          <w:sz w:val="20"/>
          <w:szCs w:val="20"/>
          <w:highlight w:val="yellow"/>
          <w:bdr w:val="single" w:sz="4" w:space="0" w:color="auto"/>
        </w:rPr>
        <w:t>二</w:t>
      </w:r>
      <w:r w:rsidRPr="002108D6">
        <w:rPr>
          <w:rFonts w:hint="eastAsia"/>
          <w:b/>
          <w:color w:val="FF0000"/>
          <w:sz w:val="20"/>
          <w:szCs w:val="20"/>
          <w:highlight w:val="yellow"/>
          <w:bdr w:val="single" w:sz="4" w:space="0" w:color="auto"/>
        </w:rPr>
        <w:t>）</w:t>
      </w:r>
      <w:r w:rsidR="002B682F" w:rsidRPr="00DA3BC7">
        <w:rPr>
          <w:rFonts w:ascii="新細明體" w:hAnsi="新細明體" w:hint="eastAsia"/>
          <w:b/>
          <w:sz w:val="20"/>
          <w:szCs w:val="20"/>
          <w:bdr w:val="single" w:sz="4" w:space="0" w:color="auto"/>
        </w:rPr>
        <w:t>清辨</w:t>
      </w:r>
      <w:r w:rsidR="002B682F" w:rsidRPr="002108D6">
        <w:rPr>
          <w:rFonts w:ascii="新細明體" w:hAnsi="新細明體" w:hint="eastAsia"/>
          <w:b/>
          <w:sz w:val="20"/>
          <w:szCs w:val="20"/>
          <w:highlight w:val="yellow"/>
          <w:bdr w:val="single" w:sz="4" w:space="0" w:color="auto"/>
        </w:rPr>
        <w:t>說</w:t>
      </w:r>
      <w:r w:rsidRPr="00DA3BC7">
        <w:rPr>
          <w:rFonts w:ascii="Times Ext Roman" w:hAnsi="Times Ext Roman" w:cs="Times Ext Roman" w:hint="eastAsia"/>
          <w:sz w:val="20"/>
          <w:szCs w:val="20"/>
        </w:rPr>
        <w:t>（</w:t>
      </w:r>
      <w:r w:rsidRPr="00DA3BC7">
        <w:rPr>
          <w:rFonts w:ascii="Times New Roman" w:hAnsi="Times New Roman"/>
          <w:sz w:val="20"/>
          <w:szCs w:val="20"/>
        </w:rPr>
        <w:t>pp</w:t>
      </w:r>
      <w:r w:rsidRPr="00DA3BC7">
        <w:rPr>
          <w:sz w:val="20"/>
          <w:szCs w:val="20"/>
        </w:rPr>
        <w:t>.</w:t>
      </w:r>
      <w:r w:rsidRPr="00DA3BC7">
        <w:rPr>
          <w:rFonts w:ascii="Times New Roman" w:eastAsia="SimSun" w:hAnsi="Times New Roman"/>
          <w:sz w:val="20"/>
          <w:szCs w:val="20"/>
        </w:rPr>
        <w:t>96</w:t>
      </w:r>
      <w:r w:rsidRPr="00DA3BC7">
        <w:rPr>
          <w:sz w:val="20"/>
          <w:szCs w:val="20"/>
        </w:rPr>
        <w:t>-</w:t>
      </w:r>
      <w:r w:rsidRPr="00DA3BC7">
        <w:rPr>
          <w:rFonts w:ascii="Times New Roman" w:eastAsia="SimSun" w:hAnsi="Times New Roman"/>
          <w:sz w:val="20"/>
          <w:szCs w:val="20"/>
        </w:rPr>
        <w:t>97</w:t>
      </w:r>
      <w:r w:rsidRPr="00DA3BC7">
        <w:rPr>
          <w:rFonts w:ascii="Times Ext Roman" w:hAnsi="Times Ext Roman" w:cs="Times Ext Roman" w:hint="eastAsia"/>
          <w:sz w:val="20"/>
          <w:szCs w:val="20"/>
        </w:rPr>
        <w:t>）</w:t>
      </w:r>
    </w:p>
    <w:p w:rsidR="002108D6" w:rsidRDefault="002108D6" w:rsidP="00BA3856">
      <w:pPr>
        <w:ind w:leftChars="200" w:left="480"/>
        <w:jc w:val="both"/>
        <w:rPr>
          <w:rFonts w:ascii="Times Ext Roman" w:hAnsi="Times Ext Roman" w:cs="Times Ext Roman"/>
          <w:sz w:val="20"/>
          <w:szCs w:val="20"/>
        </w:rPr>
      </w:pPr>
      <w:r w:rsidRPr="002108D6">
        <w:rPr>
          <w:rFonts w:ascii="Times New Roman" w:hAnsi="Times New Roman" w:hint="eastAsia"/>
          <w:b/>
          <w:color w:val="FF0000"/>
          <w:sz w:val="20"/>
          <w:szCs w:val="20"/>
          <w:highlight w:val="yellow"/>
          <w:bdr w:val="single" w:sz="4" w:space="0" w:color="auto"/>
        </w:rPr>
        <w:t>1</w:t>
      </w:r>
      <w:r w:rsidRPr="002108D6">
        <w:rPr>
          <w:rFonts w:ascii="Times New Roman" w:hAnsi="Times New Roman" w:hint="eastAsia"/>
          <w:b/>
          <w:color w:val="FF0000"/>
          <w:sz w:val="20"/>
          <w:szCs w:val="20"/>
          <w:highlight w:val="yellow"/>
          <w:bdr w:val="single" w:sz="4" w:space="0" w:color="auto"/>
        </w:rPr>
        <w:t>、明宗</w:t>
      </w:r>
      <w:r w:rsidR="00333A2E" w:rsidRPr="00DA3BC7">
        <w:rPr>
          <w:rFonts w:ascii="Times Ext Roman" w:hAnsi="Times Ext Roman" w:cs="Times Ext Roman" w:hint="eastAsia"/>
          <w:sz w:val="20"/>
          <w:szCs w:val="20"/>
        </w:rPr>
        <w:t>（</w:t>
      </w:r>
      <w:r w:rsidR="00333A2E" w:rsidRPr="00DA3BC7">
        <w:rPr>
          <w:rFonts w:ascii="Times New Roman" w:hAnsi="Times New Roman"/>
          <w:sz w:val="20"/>
          <w:szCs w:val="20"/>
        </w:rPr>
        <w:t>pp</w:t>
      </w:r>
      <w:r w:rsidR="00333A2E" w:rsidRPr="00DA3BC7">
        <w:rPr>
          <w:sz w:val="20"/>
          <w:szCs w:val="20"/>
        </w:rPr>
        <w:t>.</w:t>
      </w:r>
      <w:r w:rsidR="00333A2E" w:rsidRPr="00DA3BC7">
        <w:rPr>
          <w:rFonts w:ascii="Times New Roman" w:eastAsia="SimSun" w:hAnsi="Times New Roman"/>
          <w:sz w:val="20"/>
          <w:szCs w:val="20"/>
        </w:rPr>
        <w:t>96</w:t>
      </w:r>
      <w:r w:rsidR="00333A2E" w:rsidRPr="00DA3BC7">
        <w:rPr>
          <w:sz w:val="20"/>
          <w:szCs w:val="20"/>
        </w:rPr>
        <w:t>-</w:t>
      </w:r>
      <w:r w:rsidR="00333A2E" w:rsidRPr="00DA3BC7">
        <w:rPr>
          <w:rFonts w:ascii="Times New Roman" w:eastAsia="SimSun" w:hAnsi="Times New Roman"/>
          <w:sz w:val="20"/>
          <w:szCs w:val="20"/>
        </w:rPr>
        <w:t>97</w:t>
      </w:r>
      <w:r w:rsidR="00333A2E" w:rsidRPr="00DA3BC7">
        <w:rPr>
          <w:rFonts w:ascii="Times Ext Roman" w:hAnsi="Times Ext Roman" w:cs="Times Ext Roman" w:hint="eastAsia"/>
          <w:sz w:val="20"/>
          <w:szCs w:val="20"/>
        </w:rPr>
        <w:t>）</w:t>
      </w:r>
    </w:p>
    <w:p w:rsidR="002108D6" w:rsidRDefault="002108D6" w:rsidP="00BA3856">
      <w:pPr>
        <w:ind w:leftChars="200" w:left="480"/>
        <w:jc w:val="both"/>
        <w:rPr>
          <w:rFonts w:ascii="Times Ext Roman" w:hAnsi="Times Ext Roman" w:cs="Times Ext Roman"/>
          <w:sz w:val="20"/>
          <w:szCs w:val="20"/>
        </w:rPr>
      </w:pPr>
      <w:r w:rsidRPr="00DA3BC7">
        <w:rPr>
          <w:rFonts w:hint="eastAsia"/>
        </w:rPr>
        <w:t>清辨釋也分為二說：</w:t>
      </w:r>
    </w:p>
    <w:p w:rsidR="002B682F" w:rsidRPr="00DA3BC7" w:rsidRDefault="002108D6" w:rsidP="00BA3856">
      <w:pPr>
        <w:ind w:leftChars="250" w:left="600"/>
        <w:jc w:val="both"/>
        <w:rPr>
          <w:rFonts w:ascii="新細明體" w:eastAsia="SimSun" w:hAnsi="新細明體"/>
          <w:b/>
          <w:sz w:val="20"/>
          <w:szCs w:val="20"/>
          <w:bdr w:val="single" w:sz="4" w:space="0" w:color="auto"/>
        </w:rPr>
      </w:pPr>
      <w:r w:rsidRPr="002108D6">
        <w:rPr>
          <w:rFonts w:hint="eastAsia"/>
          <w:b/>
          <w:color w:val="FF0000"/>
          <w:sz w:val="20"/>
          <w:szCs w:val="20"/>
          <w:highlight w:val="yellow"/>
          <w:bdr w:val="single" w:sz="4" w:space="0" w:color="auto"/>
        </w:rPr>
        <w:t>（</w:t>
      </w:r>
      <w:r w:rsidRPr="002108D6">
        <w:rPr>
          <w:rFonts w:ascii="Times New Roman" w:hAnsi="Times New Roman" w:hint="eastAsia"/>
          <w:b/>
          <w:color w:val="FF0000"/>
          <w:sz w:val="20"/>
          <w:szCs w:val="20"/>
          <w:highlight w:val="yellow"/>
          <w:bdr w:val="single" w:sz="4" w:space="0" w:color="auto"/>
        </w:rPr>
        <w:t>1</w:t>
      </w:r>
      <w:r w:rsidRPr="002108D6">
        <w:rPr>
          <w:rFonts w:hint="eastAsia"/>
          <w:b/>
          <w:color w:val="FF0000"/>
          <w:sz w:val="20"/>
          <w:szCs w:val="20"/>
          <w:highlight w:val="yellow"/>
          <w:bdr w:val="single" w:sz="4" w:space="0" w:color="auto"/>
        </w:rPr>
        <w:t>）</w:t>
      </w:r>
      <w:r w:rsidRPr="007C39E5">
        <w:rPr>
          <w:rFonts w:ascii="新細明體" w:hAnsi="新細明體" w:hint="eastAsia"/>
          <w:b/>
          <w:color w:val="FF0000"/>
          <w:sz w:val="20"/>
          <w:szCs w:val="20"/>
          <w:highlight w:val="yellow"/>
          <w:bdr w:val="single" w:sz="4" w:space="0" w:color="auto"/>
        </w:rPr>
        <w:t>第一說：約「差別」</w:t>
      </w:r>
      <w:r w:rsidR="00333A2E" w:rsidRPr="00DA3BC7">
        <w:rPr>
          <w:rFonts w:ascii="Times Ext Roman" w:hAnsi="Times Ext Roman" w:cs="Times Ext Roman" w:hint="eastAsia"/>
          <w:sz w:val="20"/>
          <w:szCs w:val="20"/>
        </w:rPr>
        <w:t>（</w:t>
      </w:r>
      <w:r w:rsidR="00333A2E" w:rsidRPr="00DA3BC7">
        <w:rPr>
          <w:rFonts w:ascii="Times New Roman" w:hAnsi="Times New Roman"/>
          <w:sz w:val="20"/>
          <w:szCs w:val="20"/>
        </w:rPr>
        <w:t>p</w:t>
      </w:r>
      <w:r w:rsidR="00333A2E" w:rsidRPr="00DA3BC7">
        <w:rPr>
          <w:sz w:val="20"/>
          <w:szCs w:val="20"/>
        </w:rPr>
        <w:t>.</w:t>
      </w:r>
      <w:r w:rsidR="00333A2E" w:rsidRPr="00DA3BC7">
        <w:rPr>
          <w:rFonts w:ascii="Times New Roman" w:eastAsia="SimSun" w:hAnsi="Times New Roman"/>
          <w:sz w:val="20"/>
          <w:szCs w:val="20"/>
        </w:rPr>
        <w:t>96</w:t>
      </w:r>
      <w:r w:rsidR="00333A2E" w:rsidRPr="00DA3BC7">
        <w:rPr>
          <w:rFonts w:ascii="Times Ext Roman" w:hAnsi="Times Ext Roman" w:cs="Times Ext Roman" w:hint="eastAsia"/>
          <w:sz w:val="20"/>
          <w:szCs w:val="20"/>
        </w:rPr>
        <w:t>）</w:t>
      </w:r>
    </w:p>
    <w:p w:rsidR="002B682F" w:rsidRPr="00DA3BC7" w:rsidRDefault="002B682F" w:rsidP="00BA3856">
      <w:pPr>
        <w:ind w:leftChars="250" w:left="600"/>
        <w:jc w:val="both"/>
        <w:rPr>
          <w:rFonts w:eastAsia="SimSun"/>
        </w:rPr>
      </w:pPr>
      <w:r w:rsidRPr="00DA3BC7">
        <w:rPr>
          <w:rFonts w:hint="eastAsia"/>
        </w:rPr>
        <w:t>一、如說：「</w:t>
      </w:r>
      <w:r w:rsidRPr="00DA3BC7">
        <w:rPr>
          <w:rFonts w:ascii="標楷體" w:eastAsia="標楷體" w:hAnsi="標楷體" w:hint="eastAsia"/>
        </w:rPr>
        <w:t>彼起滅、一異，第一義</w:t>
      </w:r>
      <w:r w:rsidRPr="007C39E5">
        <w:rPr>
          <w:rFonts w:ascii="標楷體" w:eastAsia="標楷體" w:hAnsi="標楷體" w:hint="eastAsia"/>
          <w:highlight w:val="yellow"/>
        </w:rPr>
        <w:t>遮</w:t>
      </w:r>
      <w:r w:rsidRPr="00DA3BC7">
        <w:rPr>
          <w:rFonts w:ascii="標楷體" w:eastAsia="標楷體" w:hAnsi="標楷體" w:hint="eastAsia"/>
        </w:rPr>
        <w:t>；彼斷常者，世俗中遮；彼來去者，或言俱遮</w:t>
      </w:r>
      <w:r w:rsidRPr="00DA3BC7">
        <w:rPr>
          <w:rFonts w:hint="eastAsia"/>
        </w:rPr>
        <w:t>。」</w:t>
      </w:r>
      <w:r w:rsidRPr="00DA3BC7">
        <w:rPr>
          <w:rStyle w:val="a6"/>
          <w:rFonts w:ascii="Times New Roman" w:hAnsi="Times New Roman"/>
        </w:rPr>
        <w:footnoteReference w:id="466"/>
      </w:r>
    </w:p>
    <w:p w:rsidR="002B682F" w:rsidRPr="00DA3BC7" w:rsidRDefault="002B682F" w:rsidP="00AE3920">
      <w:pPr>
        <w:spacing w:beforeLines="20"/>
        <w:ind w:leftChars="250" w:left="600"/>
        <w:jc w:val="both"/>
        <w:rPr>
          <w:rFonts w:eastAsia="SimSun"/>
        </w:rPr>
      </w:pPr>
      <w:r w:rsidRPr="00DA3BC7">
        <w:rPr>
          <w:rFonts w:hint="eastAsia"/>
        </w:rPr>
        <w:t>這是說：</w:t>
      </w:r>
      <w:r w:rsidRPr="007C39E5">
        <w:rPr>
          <w:rFonts w:hint="eastAsia"/>
          <w:b/>
          <w:u w:val="wave" w:color="C00000"/>
        </w:rPr>
        <w:t>生滅</w:t>
      </w:r>
      <w:r w:rsidRPr="00DA3BC7">
        <w:rPr>
          <w:rFonts w:hint="eastAsia"/>
        </w:rPr>
        <w:t>與</w:t>
      </w:r>
      <w:r w:rsidRPr="007C39E5">
        <w:rPr>
          <w:rFonts w:hint="eastAsia"/>
          <w:b/>
          <w:u w:val="wave" w:color="C00000"/>
        </w:rPr>
        <w:t>一異</w:t>
      </w:r>
      <w:r w:rsidRPr="00DA3BC7">
        <w:rPr>
          <w:rFonts w:hint="eastAsia"/>
        </w:rPr>
        <w:t>，是約</w:t>
      </w:r>
      <w:r w:rsidRPr="00DA3BC7">
        <w:rPr>
          <w:rFonts w:hint="eastAsia"/>
          <w:b/>
        </w:rPr>
        <w:t>第一義諦</w:t>
      </w:r>
      <w:r w:rsidRPr="00DA3BC7">
        <w:rPr>
          <w:rFonts w:hint="eastAsia"/>
        </w:rPr>
        <w:t>而說為</w:t>
      </w:r>
      <w:r w:rsidRPr="007C39E5">
        <w:rPr>
          <w:rFonts w:hint="eastAsia"/>
          <w:b/>
          <w:u w:val="wave" w:color="C00000"/>
        </w:rPr>
        <w:t>不</w:t>
      </w:r>
      <w:r w:rsidRPr="00DA3BC7">
        <w:rPr>
          <w:rFonts w:hint="eastAsia"/>
        </w:rPr>
        <w:t>的；</w:t>
      </w:r>
      <w:r w:rsidRPr="007C39E5">
        <w:rPr>
          <w:rFonts w:hint="eastAsia"/>
          <w:b/>
          <w:u w:val="wave" w:color="C00000"/>
        </w:rPr>
        <w:t>斷常</w:t>
      </w:r>
      <w:r w:rsidRPr="00DA3BC7">
        <w:rPr>
          <w:rFonts w:ascii="新細明體" w:hAnsi="新細明體" w:hint="eastAsia"/>
        </w:rPr>
        <w:t>，</w:t>
      </w:r>
      <w:r w:rsidRPr="00DA3BC7">
        <w:rPr>
          <w:rFonts w:hint="eastAsia"/>
        </w:rPr>
        <w:t>即約</w:t>
      </w:r>
      <w:r w:rsidRPr="00DA3BC7">
        <w:rPr>
          <w:rFonts w:hint="eastAsia"/>
          <w:b/>
        </w:rPr>
        <w:t>世俗諦</w:t>
      </w:r>
      <w:r w:rsidRPr="00DA3BC7">
        <w:rPr>
          <w:rFonts w:hint="eastAsia"/>
        </w:rPr>
        <w:t>而說</w:t>
      </w:r>
      <w:r w:rsidRPr="007C39E5">
        <w:rPr>
          <w:rFonts w:hint="eastAsia"/>
          <w:b/>
          <w:u w:val="wave" w:color="C00000"/>
        </w:rPr>
        <w:t>不</w:t>
      </w:r>
      <w:r w:rsidRPr="00DA3BC7">
        <w:rPr>
          <w:rFonts w:hint="eastAsia"/>
        </w:rPr>
        <w:t>的；</w:t>
      </w:r>
      <w:r w:rsidRPr="007C39E5">
        <w:rPr>
          <w:rFonts w:hint="eastAsia"/>
          <w:b/>
          <w:u w:val="wave" w:color="C00000"/>
        </w:rPr>
        <w:t>來去</w:t>
      </w:r>
      <w:r w:rsidRPr="00DA3BC7">
        <w:rPr>
          <w:rFonts w:hint="eastAsia"/>
        </w:rPr>
        <w:t>，</w:t>
      </w:r>
      <w:r w:rsidRPr="007C39E5">
        <w:rPr>
          <w:rFonts w:hint="eastAsia"/>
          <w:b/>
          <w:u w:val="wave" w:color="C00000"/>
        </w:rPr>
        <w:t>二諦中都不可得</w:t>
      </w:r>
      <w:r w:rsidRPr="00DA3BC7">
        <w:rPr>
          <w:rFonts w:hint="eastAsia"/>
        </w:rPr>
        <w:t>。</w:t>
      </w:r>
    </w:p>
    <w:p w:rsidR="002B682F" w:rsidRPr="00DA3BC7" w:rsidRDefault="002B682F" w:rsidP="00AE3920">
      <w:pPr>
        <w:spacing w:beforeLines="20"/>
        <w:ind w:leftChars="250" w:left="600"/>
        <w:jc w:val="both"/>
        <w:rPr>
          <w:rFonts w:eastAsia="SimSun"/>
        </w:rPr>
      </w:pPr>
      <w:r w:rsidRPr="00DA3BC7">
        <w:rPr>
          <w:rFonts w:hint="eastAsia"/>
        </w:rPr>
        <w:t>這種說法，也有它相當的意義。因為佛說緣起法是不斷不常的，緣起法是約世諦安立，所以世俗緣起法是不斷不常的，即此而顯生死相續的流轉，故清辨說不斷不常約世俗諦說。</w:t>
      </w:r>
    </w:p>
    <w:p w:rsidR="002B682F" w:rsidRPr="00DA3BC7" w:rsidRDefault="002B682F" w:rsidP="00AE3920">
      <w:pPr>
        <w:spacing w:beforeLines="30"/>
        <w:ind w:leftChars="250" w:left="600"/>
        <w:jc w:val="both"/>
        <w:rPr>
          <w:rFonts w:eastAsia="SimSun"/>
          <w:b/>
          <w:sz w:val="20"/>
          <w:szCs w:val="20"/>
          <w:bdr w:val="single" w:sz="4" w:space="0" w:color="auto"/>
        </w:rPr>
      </w:pPr>
      <w:r w:rsidRPr="002108D6">
        <w:rPr>
          <w:rFonts w:ascii="Times New Roman" w:hAnsi="Times New Roman" w:hint="eastAsia"/>
          <w:b/>
          <w:color w:val="FF0000"/>
          <w:sz w:val="20"/>
          <w:szCs w:val="20"/>
          <w:highlight w:val="yellow"/>
          <w:bdr w:val="single" w:sz="4" w:space="0" w:color="auto"/>
        </w:rPr>
        <w:lastRenderedPageBreak/>
        <w:t>（</w:t>
      </w:r>
      <w:r w:rsidR="002108D6" w:rsidRPr="002108D6">
        <w:rPr>
          <w:rFonts w:ascii="Times New Roman" w:hAnsi="Times New Roman" w:hint="eastAsia"/>
          <w:b/>
          <w:color w:val="FF0000"/>
          <w:sz w:val="20"/>
          <w:szCs w:val="20"/>
          <w:highlight w:val="yellow"/>
          <w:bdr w:val="single" w:sz="4" w:space="0" w:color="auto"/>
        </w:rPr>
        <w:t>2</w:t>
      </w:r>
      <w:r w:rsidRPr="002108D6">
        <w:rPr>
          <w:rFonts w:ascii="Times New Roman" w:hAnsi="Times New Roman" w:hint="eastAsia"/>
          <w:b/>
          <w:color w:val="FF0000"/>
          <w:sz w:val="20"/>
          <w:szCs w:val="20"/>
          <w:highlight w:val="yellow"/>
          <w:bdr w:val="single" w:sz="4" w:space="0" w:color="auto"/>
        </w:rPr>
        <w:t>）</w:t>
      </w:r>
      <w:r w:rsidR="002108D6" w:rsidRPr="002108D6">
        <w:rPr>
          <w:rFonts w:ascii="Times New Roman" w:hAnsi="Times New Roman" w:hint="eastAsia"/>
          <w:b/>
          <w:color w:val="FF0000"/>
          <w:sz w:val="20"/>
          <w:szCs w:val="20"/>
          <w:highlight w:val="yellow"/>
          <w:bdr w:val="single" w:sz="4" w:space="0" w:color="auto"/>
        </w:rPr>
        <w:t>第二說：</w:t>
      </w:r>
      <w:r w:rsidRPr="002108D6">
        <w:rPr>
          <w:rFonts w:ascii="Times New Roman" w:hAnsi="Times New Roman"/>
          <w:b/>
          <w:color w:val="FF0000"/>
          <w:sz w:val="20"/>
          <w:szCs w:val="20"/>
          <w:highlight w:val="yellow"/>
          <w:bdr w:val="single" w:sz="4" w:space="0" w:color="auto"/>
        </w:rPr>
        <w:t>約</w:t>
      </w:r>
      <w:r w:rsidR="002108D6" w:rsidRPr="002108D6">
        <w:rPr>
          <w:rFonts w:ascii="Times New Roman" w:hAnsi="Times New Roman" w:hint="eastAsia"/>
          <w:b/>
          <w:color w:val="FF0000"/>
          <w:sz w:val="20"/>
          <w:szCs w:val="20"/>
          <w:highlight w:val="yellow"/>
          <w:bdr w:val="single" w:sz="4" w:space="0" w:color="auto"/>
        </w:rPr>
        <w:t>「勝</w:t>
      </w:r>
      <w:r w:rsidRPr="002108D6">
        <w:rPr>
          <w:rFonts w:ascii="Times New Roman" w:hAnsi="Times New Roman"/>
          <w:b/>
          <w:color w:val="FF0000"/>
          <w:sz w:val="20"/>
          <w:szCs w:val="20"/>
          <w:highlight w:val="yellow"/>
          <w:bdr w:val="single" w:sz="4" w:space="0" w:color="auto"/>
        </w:rPr>
        <w:t>義</w:t>
      </w:r>
      <w:r w:rsidR="002108D6" w:rsidRPr="002108D6">
        <w:rPr>
          <w:rFonts w:ascii="Times New Roman" w:hAnsi="Times New Roman" w:hint="eastAsia"/>
          <w:b/>
          <w:color w:val="FF0000"/>
          <w:sz w:val="20"/>
          <w:szCs w:val="20"/>
          <w:highlight w:val="yellow"/>
          <w:bdr w:val="single" w:sz="4" w:space="0" w:color="auto"/>
        </w:rPr>
        <w:t>」</w:t>
      </w:r>
      <w:r w:rsidRPr="00DA3BC7">
        <w:rPr>
          <w:rFonts w:ascii="Times Ext Roman" w:hAnsi="Times Ext Roman" w:cs="Times Ext Roman" w:hint="eastAsia"/>
          <w:sz w:val="20"/>
          <w:szCs w:val="20"/>
        </w:rPr>
        <w:t>（</w:t>
      </w:r>
      <w:r w:rsidRPr="00DA3BC7">
        <w:rPr>
          <w:rFonts w:ascii="Times New Roman" w:hAnsi="Times New Roman"/>
          <w:sz w:val="20"/>
          <w:szCs w:val="20"/>
        </w:rPr>
        <w:t>pp</w:t>
      </w:r>
      <w:r w:rsidRPr="00DA3BC7">
        <w:rPr>
          <w:sz w:val="20"/>
          <w:szCs w:val="20"/>
        </w:rPr>
        <w:t>.</w:t>
      </w:r>
      <w:r w:rsidRPr="00DA3BC7">
        <w:rPr>
          <w:rFonts w:ascii="Times New Roman" w:eastAsia="SimSun" w:hAnsi="Times New Roman"/>
          <w:sz w:val="20"/>
          <w:szCs w:val="20"/>
        </w:rPr>
        <w:t>96</w:t>
      </w:r>
      <w:r w:rsidRPr="00DA3BC7">
        <w:rPr>
          <w:sz w:val="20"/>
          <w:szCs w:val="20"/>
        </w:rPr>
        <w:t>-</w:t>
      </w:r>
      <w:r w:rsidRPr="00DA3BC7">
        <w:rPr>
          <w:rFonts w:ascii="Times New Roman" w:eastAsia="SimSun" w:hAnsi="Times New Roman"/>
          <w:sz w:val="20"/>
          <w:szCs w:val="20"/>
        </w:rPr>
        <w:t>97</w:t>
      </w:r>
      <w:r w:rsidRPr="00DA3BC7">
        <w:rPr>
          <w:rFonts w:ascii="Times Ext Roman" w:hAnsi="Times Ext Roman" w:cs="Times Ext Roman" w:hint="eastAsia"/>
          <w:sz w:val="20"/>
          <w:szCs w:val="20"/>
        </w:rPr>
        <w:t>）</w:t>
      </w:r>
    </w:p>
    <w:p w:rsidR="002B682F" w:rsidRPr="00DA3BC7" w:rsidRDefault="002B682F" w:rsidP="00BA3856">
      <w:pPr>
        <w:ind w:leftChars="250" w:left="600"/>
        <w:jc w:val="both"/>
        <w:rPr>
          <w:rFonts w:eastAsia="SimSun"/>
        </w:rPr>
      </w:pPr>
      <w:r w:rsidRPr="00DA3BC7">
        <w:rPr>
          <w:rFonts w:hint="eastAsia"/>
        </w:rPr>
        <w:t>二、又說：「</w:t>
      </w:r>
      <w:r w:rsidRPr="00DA3BC7">
        <w:rPr>
          <w:rFonts w:ascii="標楷體" w:eastAsia="標楷體" w:hAnsi="標楷體" w:hint="eastAsia"/>
        </w:rPr>
        <w:t>或有說言：如是一切第一義遮</w:t>
      </w:r>
      <w:r w:rsidRPr="00DA3BC7">
        <w:rPr>
          <w:rFonts w:hint="eastAsia"/>
        </w:rPr>
        <w:t>。」</w:t>
      </w:r>
      <w:r w:rsidRPr="00DA3BC7">
        <w:rPr>
          <w:rStyle w:val="a6"/>
          <w:rFonts w:ascii="Times New Roman" w:hAnsi="Times New Roman"/>
        </w:rPr>
        <w:footnoteReference w:id="467"/>
      </w:r>
      <w:r w:rsidRPr="00DA3BC7">
        <w:rPr>
          <w:rFonts w:hint="eastAsia"/>
        </w:rPr>
        <w:t>這以為八不都約第一義諦的見地說，因為在第一義空中，生滅、斷常、一異、來去都是不可得的。</w:t>
      </w:r>
    </w:p>
    <w:p w:rsidR="002B682F" w:rsidRPr="00DA3BC7" w:rsidRDefault="002108D6" w:rsidP="00AE3920">
      <w:pPr>
        <w:spacing w:beforeLines="30"/>
        <w:ind w:leftChars="200" w:left="480"/>
        <w:jc w:val="both"/>
      </w:pPr>
      <w:r w:rsidRPr="002108D6">
        <w:rPr>
          <w:rFonts w:ascii="Times New Roman" w:hAnsi="Times New Roman" w:hint="eastAsia"/>
          <w:b/>
          <w:color w:val="FF0000"/>
          <w:sz w:val="20"/>
          <w:szCs w:val="20"/>
          <w:highlight w:val="yellow"/>
          <w:bdr w:val="single" w:sz="4" w:space="0" w:color="auto"/>
        </w:rPr>
        <w:t>2</w:t>
      </w:r>
      <w:r w:rsidR="002B682F" w:rsidRPr="002108D6">
        <w:rPr>
          <w:rFonts w:ascii="新細明體" w:hAnsi="新細明體" w:hint="eastAsia"/>
          <w:b/>
          <w:color w:val="FF0000"/>
          <w:sz w:val="20"/>
          <w:szCs w:val="20"/>
          <w:highlight w:val="yellow"/>
          <w:bdr w:val="single" w:sz="4" w:space="0" w:color="auto"/>
        </w:rPr>
        <w:t>、</w:t>
      </w:r>
      <w:r w:rsidRPr="002108D6">
        <w:rPr>
          <w:rFonts w:ascii="新細明體" w:hAnsi="新細明體" w:hint="eastAsia"/>
          <w:b/>
          <w:color w:val="FF0000"/>
          <w:sz w:val="20"/>
          <w:szCs w:val="20"/>
          <w:highlight w:val="yellow"/>
          <w:bdr w:val="single" w:sz="4" w:space="0" w:color="auto"/>
        </w:rPr>
        <w:t>評論</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9</w:t>
      </w:r>
      <w:r w:rsidR="002B682F" w:rsidRPr="00DA3BC7">
        <w:rPr>
          <w:rFonts w:ascii="Times New Roman" w:hAnsi="Times New Roman" w:hint="eastAsia"/>
          <w:sz w:val="20"/>
          <w:szCs w:val="20"/>
        </w:rPr>
        <w:t>7</w:t>
      </w:r>
      <w:r w:rsidR="002B682F" w:rsidRPr="00DA3BC7">
        <w:rPr>
          <w:rFonts w:ascii="Times Ext Roman" w:hAnsi="Times Ext Roman" w:cs="Times Ext Roman" w:hint="eastAsia"/>
          <w:sz w:val="20"/>
          <w:szCs w:val="20"/>
        </w:rPr>
        <w:t>）</w:t>
      </w:r>
    </w:p>
    <w:p w:rsidR="002B682F" w:rsidRPr="00DA3BC7" w:rsidRDefault="002B682F" w:rsidP="00BA3856">
      <w:pPr>
        <w:ind w:leftChars="200" w:left="480"/>
        <w:jc w:val="both"/>
        <w:rPr>
          <w:rFonts w:eastAsia="SimSun"/>
        </w:rPr>
      </w:pPr>
      <w:r w:rsidRPr="00DA3BC7">
        <w:rPr>
          <w:rFonts w:hint="eastAsia"/>
        </w:rPr>
        <w:t>清辨釋曾引到此二家的說法，第二說即與青目說同一。</w:t>
      </w:r>
    </w:p>
    <w:p w:rsidR="002108D6" w:rsidRPr="002108D6" w:rsidRDefault="002108D6" w:rsidP="00AE3920">
      <w:pPr>
        <w:spacing w:beforeLines="30"/>
        <w:ind w:leftChars="100" w:left="240"/>
        <w:jc w:val="both"/>
        <w:rPr>
          <w:b/>
          <w:color w:val="FF0000"/>
          <w:sz w:val="20"/>
          <w:szCs w:val="20"/>
          <w:highlight w:val="yellow"/>
          <w:bdr w:val="single" w:sz="4" w:space="0" w:color="auto"/>
        </w:rPr>
      </w:pPr>
      <w:r w:rsidRPr="002108D6">
        <w:rPr>
          <w:rFonts w:ascii="新細明體" w:hAnsi="新細明體" w:hint="eastAsia"/>
          <w:b/>
          <w:color w:val="FF0000"/>
          <w:sz w:val="20"/>
          <w:szCs w:val="20"/>
          <w:highlight w:val="yellow"/>
          <w:bdr w:val="single" w:sz="4" w:space="0" w:color="auto"/>
        </w:rPr>
        <w:t>二、</w:t>
      </w:r>
      <w:r w:rsidRPr="002108D6">
        <w:rPr>
          <w:rFonts w:hint="eastAsia"/>
          <w:b/>
          <w:color w:val="FF0000"/>
          <w:sz w:val="20"/>
          <w:szCs w:val="20"/>
          <w:highlight w:val="yellow"/>
          <w:bdr w:val="single" w:sz="4" w:space="0" w:color="auto"/>
        </w:rPr>
        <w:t>印順法師之辨</w:t>
      </w:r>
      <w:r w:rsidRPr="00DA3BC7">
        <w:rPr>
          <w:rFonts w:ascii="Times Ext Roman" w:hAnsi="Times Ext Roman" w:cs="Times Ext Roman" w:hint="eastAsia"/>
          <w:sz w:val="20"/>
          <w:szCs w:val="20"/>
        </w:rPr>
        <w:t>（</w:t>
      </w:r>
      <w:r w:rsidRPr="00DA3BC7">
        <w:rPr>
          <w:rFonts w:ascii="Times New Roman" w:hAnsi="Times New Roman" w:hint="eastAsia"/>
          <w:sz w:val="20"/>
          <w:szCs w:val="20"/>
        </w:rPr>
        <w:t>p</w:t>
      </w:r>
      <w:r w:rsidRPr="00DA3BC7">
        <w:rPr>
          <w:rFonts w:ascii="Times New Roman" w:hAnsi="Times New Roman"/>
          <w:sz w:val="20"/>
          <w:szCs w:val="20"/>
        </w:rPr>
        <w:t>p</w:t>
      </w:r>
      <w:r w:rsidRPr="00DA3BC7">
        <w:rPr>
          <w:rFonts w:hint="eastAsia"/>
          <w:sz w:val="20"/>
          <w:szCs w:val="20"/>
        </w:rPr>
        <w:t>.</w:t>
      </w:r>
      <w:r w:rsidRPr="00DA3BC7">
        <w:rPr>
          <w:rFonts w:ascii="Times New Roman" w:eastAsia="SimSun" w:hAnsi="Times New Roman"/>
          <w:sz w:val="20"/>
          <w:szCs w:val="20"/>
        </w:rPr>
        <w:t>97</w:t>
      </w:r>
      <w:r w:rsidRPr="00DA3BC7">
        <w:rPr>
          <w:rFonts w:hint="eastAsia"/>
          <w:sz w:val="20"/>
          <w:szCs w:val="20"/>
        </w:rPr>
        <w:t>-</w:t>
      </w:r>
      <w:r w:rsidRPr="002108D6">
        <w:rPr>
          <w:rFonts w:ascii="Times New Roman" w:hAnsi="Times New Roman" w:hint="eastAsia"/>
          <w:sz w:val="20"/>
          <w:szCs w:val="20"/>
        </w:rPr>
        <w:t>100</w:t>
      </w:r>
      <w:r w:rsidRPr="00DA3BC7">
        <w:rPr>
          <w:rFonts w:ascii="Times Ext Roman" w:hAnsi="Times Ext Roman" w:cs="Times Ext Roman" w:hint="eastAsia"/>
          <w:sz w:val="20"/>
          <w:szCs w:val="20"/>
        </w:rPr>
        <w:t>）</w:t>
      </w:r>
    </w:p>
    <w:p w:rsidR="002B682F" w:rsidRPr="00DA3BC7" w:rsidRDefault="002B682F" w:rsidP="00BA3856">
      <w:pPr>
        <w:ind w:leftChars="150" w:left="360"/>
        <w:jc w:val="both"/>
        <w:rPr>
          <w:rFonts w:eastAsia="SimSun"/>
          <w:b/>
          <w:sz w:val="20"/>
          <w:szCs w:val="20"/>
          <w:bdr w:val="single" w:sz="4" w:space="0" w:color="auto"/>
        </w:rPr>
      </w:pPr>
      <w:r w:rsidRPr="002108D6">
        <w:rPr>
          <w:rFonts w:ascii="新細明體" w:hAnsi="新細明體" w:hint="eastAsia"/>
          <w:b/>
          <w:color w:val="FF0000"/>
          <w:sz w:val="20"/>
          <w:szCs w:val="20"/>
          <w:highlight w:val="yellow"/>
          <w:bdr w:val="single" w:sz="4" w:space="0" w:color="auto"/>
        </w:rPr>
        <w:t>（</w:t>
      </w:r>
      <w:r w:rsidR="002108D6" w:rsidRPr="002108D6">
        <w:rPr>
          <w:rFonts w:ascii="新細明體" w:hAnsi="新細明體" w:hint="eastAsia"/>
          <w:b/>
          <w:color w:val="FF0000"/>
          <w:sz w:val="20"/>
          <w:szCs w:val="20"/>
          <w:highlight w:val="yellow"/>
          <w:bdr w:val="single" w:sz="4" w:space="0" w:color="auto"/>
        </w:rPr>
        <w:t>一</w:t>
      </w:r>
      <w:r w:rsidRPr="002108D6">
        <w:rPr>
          <w:rFonts w:ascii="新細明體" w:hAnsi="新細明體" w:hint="eastAsia"/>
          <w:b/>
          <w:color w:val="FF0000"/>
          <w:sz w:val="20"/>
          <w:szCs w:val="20"/>
          <w:highlight w:val="yellow"/>
          <w:bdr w:val="single" w:sz="4" w:space="0" w:color="auto"/>
        </w:rPr>
        <w:t>）</w:t>
      </w:r>
      <w:r w:rsidR="002108D6" w:rsidRPr="002108D6">
        <w:rPr>
          <w:rFonts w:ascii="新細明體" w:hAnsi="新細明體" w:hint="eastAsia"/>
          <w:b/>
          <w:color w:val="FF0000"/>
          <w:sz w:val="20"/>
          <w:szCs w:val="20"/>
          <w:highlight w:val="yellow"/>
          <w:bdr w:val="single" w:sz="4" w:space="0" w:color="auto"/>
        </w:rPr>
        <w:t>約「龍樹</w:t>
      </w:r>
      <w:r w:rsidRPr="002108D6">
        <w:rPr>
          <w:rFonts w:ascii="新細明體" w:hAnsi="新細明體" w:hint="eastAsia"/>
          <w:b/>
          <w:color w:val="FF0000"/>
          <w:sz w:val="20"/>
          <w:szCs w:val="20"/>
          <w:highlight w:val="yellow"/>
          <w:bdr w:val="single" w:sz="4" w:space="0" w:color="auto"/>
        </w:rPr>
        <w:t>本義</w:t>
      </w:r>
      <w:r w:rsidR="002108D6" w:rsidRPr="002108D6">
        <w:rPr>
          <w:rFonts w:ascii="新細明體" w:hAnsi="新細明體" w:hint="eastAsia"/>
          <w:b/>
          <w:color w:val="FF0000"/>
          <w:sz w:val="20"/>
          <w:szCs w:val="20"/>
          <w:highlight w:val="yellow"/>
          <w:bdr w:val="single" w:sz="4" w:space="0" w:color="auto"/>
        </w:rPr>
        <w:t>」</w:t>
      </w:r>
      <w:r w:rsidRPr="00DA3BC7">
        <w:rPr>
          <w:rFonts w:ascii="Times Ext Roman" w:hAnsi="Times Ext Roman" w:cs="Times Ext Roman" w:hint="eastAsia"/>
          <w:sz w:val="20"/>
          <w:szCs w:val="20"/>
        </w:rPr>
        <w:t>（</w:t>
      </w:r>
      <w:r w:rsidRPr="00DA3BC7">
        <w:rPr>
          <w:rFonts w:ascii="Times New Roman" w:hAnsi="Times New Roman" w:hint="eastAsia"/>
          <w:sz w:val="20"/>
          <w:szCs w:val="20"/>
        </w:rPr>
        <w:t>p</w:t>
      </w:r>
      <w:r w:rsidRPr="00DA3BC7">
        <w:rPr>
          <w:rFonts w:ascii="Times New Roman" w:hAnsi="Times New Roman"/>
          <w:sz w:val="20"/>
          <w:szCs w:val="20"/>
        </w:rPr>
        <w:t>p</w:t>
      </w:r>
      <w:r w:rsidRPr="00DA3BC7">
        <w:rPr>
          <w:rFonts w:hint="eastAsia"/>
          <w:sz w:val="20"/>
          <w:szCs w:val="20"/>
        </w:rPr>
        <w:t>.</w:t>
      </w:r>
      <w:r w:rsidRPr="00DA3BC7">
        <w:rPr>
          <w:rFonts w:ascii="Times New Roman" w:eastAsia="SimSun" w:hAnsi="Times New Roman"/>
          <w:sz w:val="20"/>
          <w:szCs w:val="20"/>
        </w:rPr>
        <w:t>97</w:t>
      </w:r>
      <w:r w:rsidRPr="00DA3BC7">
        <w:rPr>
          <w:rFonts w:hint="eastAsia"/>
          <w:sz w:val="20"/>
          <w:szCs w:val="20"/>
        </w:rPr>
        <w:t>-</w:t>
      </w:r>
      <w:r w:rsidRPr="00DA3BC7">
        <w:rPr>
          <w:rFonts w:ascii="Times New Roman" w:hAnsi="Times New Roman" w:hint="eastAsia"/>
          <w:sz w:val="20"/>
          <w:szCs w:val="20"/>
        </w:rPr>
        <w:t>9</w:t>
      </w:r>
      <w:r w:rsidR="004E4644">
        <w:rPr>
          <w:rFonts w:ascii="Times New Roman" w:hAnsi="Times New Roman" w:hint="eastAsia"/>
          <w:sz w:val="20"/>
          <w:szCs w:val="20"/>
        </w:rPr>
        <w:t>9</w:t>
      </w:r>
      <w:r w:rsidRPr="00DA3BC7">
        <w:rPr>
          <w:rFonts w:ascii="Times Ext Roman" w:hAnsi="Times Ext Roman" w:cs="Times Ext Roman" w:hint="eastAsia"/>
          <w:sz w:val="20"/>
          <w:szCs w:val="20"/>
        </w:rPr>
        <w:t>）</w:t>
      </w:r>
    </w:p>
    <w:p w:rsidR="002B682F" w:rsidRPr="00DA3BC7" w:rsidRDefault="002108D6" w:rsidP="00BA3856">
      <w:pPr>
        <w:ind w:leftChars="200" w:left="480"/>
        <w:jc w:val="both"/>
        <w:rPr>
          <w:b/>
          <w:sz w:val="20"/>
          <w:szCs w:val="20"/>
          <w:bdr w:val="single" w:sz="4" w:space="0" w:color="auto"/>
        </w:rPr>
      </w:pPr>
      <w:r w:rsidRPr="002108D6">
        <w:rPr>
          <w:rFonts w:ascii="Times New Roman" w:hAnsi="Times New Roman" w:hint="eastAsia"/>
          <w:b/>
          <w:color w:val="FF0000"/>
          <w:sz w:val="20"/>
          <w:szCs w:val="20"/>
          <w:highlight w:val="yellow"/>
          <w:bdr w:val="single" w:sz="4" w:space="0" w:color="auto"/>
        </w:rPr>
        <w:t>1</w:t>
      </w:r>
      <w:r w:rsidR="002B682F" w:rsidRPr="002108D6">
        <w:rPr>
          <w:rFonts w:hint="eastAsia"/>
          <w:b/>
          <w:color w:val="FF0000"/>
          <w:sz w:val="20"/>
          <w:szCs w:val="20"/>
          <w:highlight w:val="yellow"/>
          <w:bdr w:val="single" w:sz="4" w:space="0" w:color="auto"/>
        </w:rPr>
        <w:t>、</w:t>
      </w:r>
      <w:r w:rsidRPr="002108D6">
        <w:rPr>
          <w:rFonts w:ascii="新細明體" w:hAnsi="新細明體" w:hint="eastAsia"/>
          <w:b/>
          <w:color w:val="FF0000"/>
          <w:sz w:val="20"/>
          <w:szCs w:val="20"/>
          <w:highlight w:val="yellow"/>
          <w:bdr w:val="single" w:sz="4" w:space="0" w:color="auto"/>
        </w:rPr>
        <w:t>顯實</w:t>
      </w:r>
      <w:r w:rsidR="002B682F" w:rsidRPr="002108D6">
        <w:rPr>
          <w:rFonts w:hint="eastAsia"/>
          <w:b/>
          <w:color w:val="FF0000"/>
          <w:sz w:val="20"/>
          <w:szCs w:val="20"/>
          <w:highlight w:val="yellow"/>
          <w:bdr w:val="single" w:sz="4" w:space="0" w:color="auto"/>
        </w:rPr>
        <w:t>義</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97</w:t>
      </w:r>
      <w:r w:rsidR="002B682F" w:rsidRPr="00DA3BC7">
        <w:rPr>
          <w:rFonts w:ascii="Times Ext Roman" w:hAnsi="Times Ext Roman" w:cs="Times Ext Roman" w:hint="eastAsia"/>
          <w:sz w:val="20"/>
          <w:szCs w:val="20"/>
        </w:rPr>
        <w:t>）</w:t>
      </w:r>
    </w:p>
    <w:p w:rsidR="002B682F" w:rsidRPr="00DA3BC7" w:rsidRDefault="002B682F" w:rsidP="00BA3856">
      <w:pPr>
        <w:ind w:leftChars="200" w:left="480"/>
        <w:jc w:val="both"/>
        <w:rPr>
          <w:rFonts w:eastAsia="SimSun"/>
        </w:rPr>
      </w:pPr>
      <w:r w:rsidRPr="00DA3BC7">
        <w:rPr>
          <w:rFonts w:hint="eastAsia"/>
        </w:rPr>
        <w:t>約第一義以說明不生不滅等八不，當然是正確的，然僅此不能圓滿的了達八不。</w:t>
      </w:r>
    </w:p>
    <w:p w:rsidR="004E4644" w:rsidRPr="00DA3BC7" w:rsidRDefault="004E4644" w:rsidP="00AE3920">
      <w:pPr>
        <w:spacing w:beforeLines="30"/>
        <w:ind w:leftChars="250" w:left="600"/>
        <w:jc w:val="both"/>
        <w:rPr>
          <w:rFonts w:eastAsia="SimSun"/>
          <w:b/>
          <w:sz w:val="20"/>
          <w:szCs w:val="20"/>
          <w:bdr w:val="single" w:sz="4" w:space="0" w:color="auto"/>
        </w:rPr>
      </w:pPr>
      <w:r w:rsidRPr="004E4644">
        <w:rPr>
          <w:rFonts w:hint="eastAsia"/>
          <w:b/>
          <w:color w:val="FF0000"/>
          <w:sz w:val="20"/>
          <w:szCs w:val="20"/>
          <w:highlight w:val="yellow"/>
          <w:bdr w:val="single" w:sz="4" w:space="0" w:color="auto"/>
        </w:rPr>
        <w:t>（</w:t>
      </w:r>
      <w:r w:rsidRPr="004E4644">
        <w:rPr>
          <w:rFonts w:ascii="Times New Roman" w:hAnsi="Times New Roman" w:hint="eastAsia"/>
          <w:b/>
          <w:color w:val="FF0000"/>
          <w:sz w:val="20"/>
          <w:szCs w:val="20"/>
          <w:highlight w:val="yellow"/>
          <w:bdr w:val="single" w:sz="4" w:space="0" w:color="auto"/>
        </w:rPr>
        <w:t>1</w:t>
      </w:r>
      <w:r w:rsidRPr="004E4644">
        <w:rPr>
          <w:rFonts w:hint="eastAsia"/>
          <w:b/>
          <w:color w:val="FF0000"/>
          <w:sz w:val="20"/>
          <w:szCs w:val="20"/>
          <w:highlight w:val="yellow"/>
          <w:bdr w:val="single" w:sz="4" w:space="0" w:color="auto"/>
        </w:rPr>
        <w:t>）</w:t>
      </w:r>
      <w:r w:rsidRPr="004E4644">
        <w:rPr>
          <w:rFonts w:ascii="新細明體" w:hAnsi="新細明體" w:hint="eastAsia"/>
          <w:b/>
          <w:color w:val="FF0000"/>
          <w:sz w:val="20"/>
          <w:szCs w:val="20"/>
          <w:highlight w:val="yellow"/>
          <w:bdr w:val="single" w:sz="4" w:space="0" w:color="auto"/>
        </w:rPr>
        <w:t>舉「古三論師」明</w:t>
      </w:r>
      <w:r w:rsidRPr="00DA3BC7">
        <w:rPr>
          <w:rFonts w:ascii="Times Ext Roman" w:hAnsi="Times Ext Roman" w:cs="Times Ext Roman" w:hint="eastAsia"/>
          <w:sz w:val="20"/>
          <w:szCs w:val="20"/>
        </w:rPr>
        <w:t>（</w:t>
      </w:r>
      <w:r w:rsidRPr="00DA3BC7">
        <w:rPr>
          <w:rFonts w:ascii="Times New Roman" w:hAnsi="Times New Roman"/>
          <w:sz w:val="20"/>
          <w:szCs w:val="20"/>
        </w:rPr>
        <w:t>p</w:t>
      </w:r>
      <w:r w:rsidRPr="00DA3BC7">
        <w:rPr>
          <w:sz w:val="20"/>
          <w:szCs w:val="20"/>
        </w:rPr>
        <w:t>.</w:t>
      </w:r>
      <w:r w:rsidRPr="00DA3BC7">
        <w:rPr>
          <w:rFonts w:ascii="Times New Roman" w:eastAsia="SimSun" w:hAnsi="Times New Roman"/>
          <w:sz w:val="20"/>
          <w:szCs w:val="20"/>
        </w:rPr>
        <w:t>97</w:t>
      </w:r>
      <w:r w:rsidRPr="00DA3BC7">
        <w:rPr>
          <w:rFonts w:ascii="Times Ext Roman" w:hAnsi="Times Ext Roman" w:cs="Times Ext Roman" w:hint="eastAsia"/>
          <w:sz w:val="20"/>
          <w:szCs w:val="20"/>
        </w:rPr>
        <w:t>）</w:t>
      </w:r>
    </w:p>
    <w:p w:rsidR="002B682F" w:rsidRPr="00DA3BC7" w:rsidRDefault="002B682F" w:rsidP="00BA3856">
      <w:pPr>
        <w:ind w:leftChars="250" w:left="600"/>
        <w:jc w:val="both"/>
        <w:rPr>
          <w:rFonts w:eastAsia="SimSun"/>
        </w:rPr>
      </w:pPr>
      <w:r w:rsidRPr="00DA3BC7">
        <w:rPr>
          <w:rFonts w:hint="eastAsia"/>
        </w:rPr>
        <w:t>中國古三論師，即不許此說為能見龍樹的本義，以為此第一義是約</w:t>
      </w:r>
      <w:r w:rsidRPr="00DA3BC7">
        <w:rPr>
          <w:rFonts w:hint="eastAsia"/>
          <w:b/>
        </w:rPr>
        <w:t>中道第一義</w:t>
      </w:r>
      <w:r w:rsidRPr="00DA3BC7">
        <w:rPr>
          <w:rFonts w:hint="eastAsia"/>
        </w:rPr>
        <w:t>說的。</w:t>
      </w:r>
    </w:p>
    <w:p w:rsidR="002B682F" w:rsidRPr="00DA3BC7" w:rsidRDefault="002B682F" w:rsidP="00AE3920">
      <w:pPr>
        <w:spacing w:beforeLines="20"/>
        <w:ind w:leftChars="250" w:left="600"/>
        <w:jc w:val="both"/>
        <w:rPr>
          <w:rFonts w:eastAsia="SimSun"/>
        </w:rPr>
      </w:pPr>
      <w:r w:rsidRPr="00DA3BC7">
        <w:rPr>
          <w:rFonts w:hint="eastAsia"/>
        </w:rPr>
        <w:t>三論師此說，著眼於</w:t>
      </w:r>
      <w:r w:rsidRPr="00DA3BC7">
        <w:rPr>
          <w:rFonts w:hint="eastAsia"/>
          <w:b/>
        </w:rPr>
        <w:t>中道</w:t>
      </w:r>
      <w:r w:rsidRPr="00DA3BC7">
        <w:rPr>
          <w:rFonts w:hint="eastAsia"/>
        </w:rPr>
        <w:t>，即</w:t>
      </w:r>
      <w:r w:rsidRPr="00DA3BC7">
        <w:rPr>
          <w:rFonts w:hint="eastAsia"/>
          <w:b/>
        </w:rPr>
        <w:t>真俗相即不離</w:t>
      </w:r>
      <w:r w:rsidRPr="00DA3BC7">
        <w:rPr>
          <w:rFonts w:hint="eastAsia"/>
        </w:rPr>
        <w:t>的立場，但這同基於第一義（聖者境地）的特色而成立。</w:t>
      </w:r>
    </w:p>
    <w:p w:rsidR="002B682F" w:rsidRPr="00DA3BC7" w:rsidRDefault="002B682F" w:rsidP="00AE3920">
      <w:pPr>
        <w:spacing w:beforeLines="20"/>
        <w:ind w:leftChars="250" w:left="600"/>
        <w:jc w:val="both"/>
        <w:rPr>
          <w:rFonts w:eastAsia="SimSun"/>
        </w:rPr>
      </w:pPr>
      <w:r w:rsidRPr="00DA3BC7">
        <w:rPr>
          <w:rFonts w:hint="eastAsia"/>
        </w:rPr>
        <w:t>如以般若慧體證法法</w:t>
      </w:r>
      <w:r w:rsidRPr="00DA3BC7">
        <w:rPr>
          <w:rFonts w:hint="eastAsia"/>
          <w:b/>
        </w:rPr>
        <w:t>無自性的畢竟空</w:t>
      </w:r>
      <w:r w:rsidRPr="00DA3BC7">
        <w:rPr>
          <w:rFonts w:hint="eastAsia"/>
        </w:rPr>
        <w:t>，這是</w:t>
      </w:r>
      <w:r w:rsidRPr="00DA3BC7">
        <w:rPr>
          <w:rFonts w:hint="eastAsia"/>
          <w:b/>
        </w:rPr>
        <w:t>真諦（即第一義）的第一義</w:t>
      </w:r>
      <w:r w:rsidRPr="00DA3BC7">
        <w:rPr>
          <w:rFonts w:hint="eastAsia"/>
        </w:rPr>
        <w:t>；</w:t>
      </w:r>
    </w:p>
    <w:p w:rsidR="002B682F" w:rsidRPr="00DA3BC7" w:rsidRDefault="002B682F" w:rsidP="00AE3920">
      <w:pPr>
        <w:spacing w:beforeLines="20"/>
        <w:ind w:leftChars="250" w:left="600"/>
        <w:jc w:val="both"/>
        <w:rPr>
          <w:rFonts w:eastAsia="SimSun"/>
        </w:rPr>
      </w:pPr>
      <w:r w:rsidRPr="00DA3BC7">
        <w:rPr>
          <w:rFonts w:hint="eastAsia"/>
        </w:rPr>
        <w:t>從體見空性而通達一切法是不生不滅的</w:t>
      </w:r>
      <w:r w:rsidRPr="00DA3BC7">
        <w:rPr>
          <w:rFonts w:hint="eastAsia"/>
          <w:b/>
        </w:rPr>
        <w:t>如幻如化</w:t>
      </w:r>
      <w:r w:rsidRPr="00DA3BC7">
        <w:rPr>
          <w:rFonts w:hint="eastAsia"/>
        </w:rPr>
        <w:t>，這是</w:t>
      </w:r>
      <w:r w:rsidRPr="00DA3BC7">
        <w:rPr>
          <w:rFonts w:hint="eastAsia"/>
          <w:b/>
        </w:rPr>
        <w:t>世俗的第一義</w:t>
      </w:r>
      <w:r w:rsidRPr="00DA3BC7">
        <w:rPr>
          <w:rFonts w:hint="eastAsia"/>
        </w:rPr>
        <w:t>。</w:t>
      </w:r>
    </w:p>
    <w:p w:rsidR="002B682F" w:rsidRPr="00DA3BC7" w:rsidRDefault="002B682F" w:rsidP="00AE3920">
      <w:pPr>
        <w:spacing w:beforeLines="20"/>
        <w:ind w:leftChars="250" w:left="600"/>
        <w:jc w:val="both"/>
        <w:rPr>
          <w:rFonts w:eastAsia="SimSun"/>
        </w:rPr>
      </w:pPr>
      <w:r w:rsidRPr="00DA3BC7">
        <w:rPr>
          <w:rFonts w:hint="eastAsia"/>
        </w:rPr>
        <w:t>若</w:t>
      </w:r>
      <w:r w:rsidRPr="00DA3BC7">
        <w:rPr>
          <w:rFonts w:hint="eastAsia"/>
          <w:b/>
        </w:rPr>
        <w:t>二諦並觀</w:t>
      </w:r>
      <w:r w:rsidRPr="00DA3BC7">
        <w:rPr>
          <w:rFonts w:hint="eastAsia"/>
        </w:rPr>
        <w:t>，此即</w:t>
      </w:r>
      <w:r w:rsidRPr="00DA3BC7">
        <w:rPr>
          <w:rFonts w:hint="eastAsia"/>
          <w:b/>
        </w:rPr>
        <w:t>中道的第一義</w:t>
      </w:r>
      <w:r w:rsidRPr="00DA3BC7">
        <w:rPr>
          <w:rFonts w:hint="eastAsia"/>
        </w:rPr>
        <w:t>了。</w:t>
      </w:r>
    </w:p>
    <w:p w:rsidR="002B682F" w:rsidRPr="00DA3BC7" w:rsidRDefault="002B682F" w:rsidP="00BA3856">
      <w:pPr>
        <w:widowControl/>
        <w:ind w:leftChars="250" w:left="600"/>
        <w:jc w:val="both"/>
      </w:pPr>
      <w:r w:rsidRPr="00DA3BC7">
        <w:rPr>
          <w:rFonts w:hint="eastAsia"/>
        </w:rPr>
        <w:t>這都從第一義空透出，都是從自性不可得中開顯出來的事理實相。</w:t>
      </w:r>
    </w:p>
    <w:p w:rsidR="002B682F" w:rsidRPr="00DA3BC7" w:rsidRDefault="002B682F" w:rsidP="00BA3856">
      <w:pPr>
        <w:widowControl/>
        <w:ind w:leftChars="250" w:left="600"/>
        <w:jc w:val="both"/>
      </w:pPr>
      <w:r w:rsidRPr="00DA3BC7">
        <w:rPr>
          <w:rFonts w:hint="eastAsia"/>
        </w:rPr>
        <w:t>依諸法的自性不可得，所以了知諸法是如幻緣生的；</w:t>
      </w:r>
    </w:p>
    <w:p w:rsidR="002B682F" w:rsidRPr="00DA3BC7" w:rsidRDefault="002B682F" w:rsidP="00AE3920">
      <w:pPr>
        <w:spacing w:beforeLines="20"/>
        <w:ind w:leftChars="250" w:left="600"/>
        <w:jc w:val="both"/>
        <w:rPr>
          <w:rFonts w:eastAsia="SimSun"/>
        </w:rPr>
      </w:pPr>
      <w:r w:rsidRPr="00DA3BC7">
        <w:rPr>
          <w:rFonts w:hint="eastAsia"/>
        </w:rPr>
        <w:t>也必須依此如幻緣生法，才能通達自性不可得。</w:t>
      </w:r>
    </w:p>
    <w:p w:rsidR="002B682F" w:rsidRPr="00DA3BC7" w:rsidRDefault="004E4644" w:rsidP="00AE3920">
      <w:pPr>
        <w:spacing w:beforeLines="30"/>
        <w:ind w:leftChars="250" w:left="600"/>
        <w:jc w:val="both"/>
        <w:rPr>
          <w:rFonts w:eastAsia="SimSun"/>
          <w:b/>
          <w:sz w:val="20"/>
          <w:szCs w:val="20"/>
          <w:bdr w:val="single" w:sz="4" w:space="0" w:color="auto"/>
        </w:rPr>
      </w:pPr>
      <w:r w:rsidRPr="004E4644">
        <w:rPr>
          <w:rFonts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2</w:t>
      </w:r>
      <w:r w:rsidRPr="004E4644">
        <w:rPr>
          <w:rFonts w:hint="eastAsia"/>
          <w:b/>
          <w:color w:val="FF0000"/>
          <w:sz w:val="20"/>
          <w:szCs w:val="20"/>
          <w:highlight w:val="yellow"/>
          <w:bdr w:val="single" w:sz="4" w:space="0" w:color="auto"/>
        </w:rPr>
        <w:t>）</w:t>
      </w:r>
      <w:r w:rsidRPr="004E4644">
        <w:rPr>
          <w:rFonts w:ascii="新細明體" w:hAnsi="新細明體" w:hint="eastAsia"/>
          <w:b/>
          <w:color w:val="FF0000"/>
          <w:sz w:val="20"/>
          <w:szCs w:val="20"/>
          <w:highlight w:val="yellow"/>
          <w:bdr w:val="single" w:sz="4" w:space="0" w:color="auto"/>
        </w:rPr>
        <w:t>舉「</w:t>
      </w:r>
      <w:r w:rsidR="002B682F" w:rsidRPr="00DA3BC7">
        <w:rPr>
          <w:rFonts w:hint="eastAsia"/>
          <w:b/>
          <w:sz w:val="20"/>
          <w:szCs w:val="20"/>
          <w:bdr w:val="single" w:sz="4" w:space="0" w:color="auto"/>
        </w:rPr>
        <w:t>月稱</w:t>
      </w:r>
      <w:r w:rsidRPr="004E4644">
        <w:rPr>
          <w:rFonts w:ascii="新細明體" w:hAnsi="新細明體" w:hint="eastAsia"/>
          <w:b/>
          <w:color w:val="FF0000"/>
          <w:sz w:val="20"/>
          <w:szCs w:val="20"/>
          <w:highlight w:val="yellow"/>
          <w:bdr w:val="single" w:sz="4" w:space="0" w:color="auto"/>
        </w:rPr>
        <w:t>」明</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97</w:t>
      </w:r>
      <w:r w:rsidR="002B682F" w:rsidRPr="00DA3BC7">
        <w:rPr>
          <w:rFonts w:ascii="Times Ext Roman" w:hAnsi="Times Ext Roman" w:cs="Times Ext Roman" w:hint="eastAsia"/>
          <w:sz w:val="20"/>
          <w:szCs w:val="20"/>
        </w:rPr>
        <w:t>）</w:t>
      </w:r>
    </w:p>
    <w:p w:rsidR="002B682F" w:rsidRPr="00DA3BC7" w:rsidRDefault="002B682F" w:rsidP="00BA3856">
      <w:pPr>
        <w:ind w:leftChars="250" w:left="600"/>
        <w:jc w:val="both"/>
        <w:rPr>
          <w:rFonts w:eastAsia="SimSun"/>
        </w:rPr>
      </w:pPr>
      <w:r w:rsidRPr="00DA3BC7">
        <w:rPr>
          <w:rFonts w:hint="eastAsia"/>
        </w:rPr>
        <w:t>月稱等也這樣說：如說空，唯為尋求自性，</w:t>
      </w:r>
      <w:r w:rsidRPr="007C39E5">
        <w:rPr>
          <w:rFonts w:hint="eastAsia"/>
          <w:b/>
        </w:rPr>
        <w:t>不能說</w:t>
      </w:r>
      <w:r w:rsidRPr="007C39E5">
        <w:rPr>
          <w:rFonts w:hint="eastAsia"/>
          <w:u w:val="wave" w:color="C00000"/>
        </w:rPr>
        <w:t>自性空而可以破緣起諸法</w:t>
      </w:r>
      <w:r w:rsidRPr="00DA3BC7">
        <w:rPr>
          <w:rFonts w:hint="eastAsia"/>
        </w:rPr>
        <w:t>，但</w:t>
      </w:r>
      <w:r w:rsidRPr="007C39E5">
        <w:rPr>
          <w:rFonts w:hint="eastAsia"/>
          <w:b/>
          <w:u w:val="wave" w:color="C00000"/>
        </w:rPr>
        <w:t>緣起法</w:t>
      </w:r>
      <w:r w:rsidRPr="007C39E5">
        <w:rPr>
          <w:rFonts w:hint="eastAsia"/>
          <w:b/>
        </w:rPr>
        <w:t>不能說</w:t>
      </w:r>
      <w:r w:rsidRPr="007C39E5">
        <w:rPr>
          <w:rFonts w:hint="eastAsia"/>
          <w:b/>
          <w:u w:val="wave" w:color="C00000"/>
        </w:rPr>
        <w:t>不空</w:t>
      </w:r>
      <w:r w:rsidRPr="00DA3BC7">
        <w:rPr>
          <w:rFonts w:hint="eastAsia"/>
        </w:rPr>
        <w:t>。</w:t>
      </w:r>
      <w:r w:rsidRPr="00DA3BC7">
        <w:rPr>
          <w:rStyle w:val="a6"/>
          <w:rFonts w:ascii="Times New Roman" w:hAnsi="Times New Roman"/>
        </w:rPr>
        <w:footnoteReference w:id="468"/>
      </w:r>
      <w:r w:rsidRPr="00DA3BC7">
        <w:rPr>
          <w:rFonts w:hint="eastAsia"/>
          <w:b/>
        </w:rPr>
        <w:t>緣起</w:t>
      </w:r>
      <w:r w:rsidRPr="00DA3BC7">
        <w:rPr>
          <w:rFonts w:hint="eastAsia"/>
        </w:rPr>
        <w:t>即是無自性的緣起，所以也</w:t>
      </w:r>
      <w:r w:rsidRPr="00DA3BC7">
        <w:rPr>
          <w:rFonts w:hint="eastAsia"/>
          <w:b/>
        </w:rPr>
        <w:t>即是空</w:t>
      </w:r>
      <w:r w:rsidRPr="00DA3BC7">
        <w:rPr>
          <w:rFonts w:hint="eastAsia"/>
        </w:rPr>
        <w:t>。</w:t>
      </w:r>
    </w:p>
    <w:p w:rsidR="002B682F" w:rsidRPr="00DA3BC7" w:rsidRDefault="002B682F" w:rsidP="00AE3920">
      <w:pPr>
        <w:spacing w:beforeLines="20"/>
        <w:ind w:leftChars="250" w:left="600"/>
        <w:jc w:val="both"/>
        <w:rPr>
          <w:rFonts w:eastAsia="SimSun"/>
        </w:rPr>
      </w:pPr>
      <w:r w:rsidRPr="00DA3BC7">
        <w:rPr>
          <w:rFonts w:hint="eastAsia"/>
        </w:rPr>
        <w:lastRenderedPageBreak/>
        <w:t>若說</w:t>
      </w:r>
      <w:r w:rsidRPr="007C39E5">
        <w:rPr>
          <w:rFonts w:hint="eastAsia"/>
          <w:u w:val="wave" w:color="C00000"/>
        </w:rPr>
        <w:t>性空為空，而緣起不空</w:t>
      </w:r>
      <w:r w:rsidRPr="00DA3BC7">
        <w:rPr>
          <w:rFonts w:hint="eastAsia"/>
        </w:rPr>
        <w:t>，即是未能了解不生不滅等的深義。</w:t>
      </w:r>
    </w:p>
    <w:p w:rsidR="002B682F" w:rsidRPr="00DA3BC7" w:rsidRDefault="004E4644" w:rsidP="00AE3920">
      <w:pPr>
        <w:spacing w:beforeLines="30"/>
        <w:ind w:leftChars="250" w:left="600"/>
        <w:jc w:val="both"/>
        <w:rPr>
          <w:rFonts w:eastAsia="SimSun"/>
          <w:b/>
          <w:sz w:val="20"/>
          <w:szCs w:val="20"/>
          <w:bdr w:val="single" w:sz="4" w:space="0" w:color="auto"/>
        </w:rPr>
      </w:pPr>
      <w:r w:rsidRPr="004E4644">
        <w:rPr>
          <w:rFonts w:hint="eastAsia"/>
          <w:b/>
          <w:color w:val="FF0000"/>
          <w:sz w:val="20"/>
          <w:szCs w:val="20"/>
          <w:highlight w:val="yellow"/>
          <w:bdr w:val="single" w:sz="4" w:space="0" w:color="auto"/>
        </w:rPr>
        <w:t>（</w:t>
      </w:r>
      <w:r w:rsidRPr="004E4644">
        <w:rPr>
          <w:rFonts w:ascii="Times New Roman" w:hAnsi="Times New Roman" w:hint="eastAsia"/>
          <w:b/>
          <w:color w:val="FF0000"/>
          <w:sz w:val="20"/>
          <w:szCs w:val="20"/>
          <w:highlight w:val="yellow"/>
          <w:bdr w:val="single" w:sz="4" w:space="0" w:color="auto"/>
        </w:rPr>
        <w:t>3</w:t>
      </w:r>
      <w:r w:rsidRPr="004E4644">
        <w:rPr>
          <w:rFonts w:hint="eastAsia"/>
          <w:b/>
          <w:color w:val="FF0000"/>
          <w:sz w:val="20"/>
          <w:szCs w:val="20"/>
          <w:highlight w:val="yellow"/>
          <w:bdr w:val="single" w:sz="4" w:space="0" w:color="auto"/>
        </w:rPr>
        <w:t>）</w:t>
      </w:r>
      <w:r w:rsidR="002B682F" w:rsidRPr="00DA3BC7">
        <w:rPr>
          <w:rFonts w:hint="eastAsia"/>
          <w:b/>
          <w:sz w:val="20"/>
          <w:szCs w:val="20"/>
          <w:bdr w:val="single" w:sz="4" w:space="0" w:color="auto"/>
        </w:rPr>
        <w:t>結論</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rFonts w:ascii="Times New Roman" w:hAnsi="Times New Roman" w:hint="eastAsia"/>
          <w:sz w:val="20"/>
          <w:szCs w:val="20"/>
        </w:rPr>
        <w:t>p</w:t>
      </w:r>
      <w:r w:rsidR="002B682F" w:rsidRPr="00DA3BC7">
        <w:rPr>
          <w:sz w:val="20"/>
          <w:szCs w:val="20"/>
        </w:rPr>
        <w:t>.</w:t>
      </w:r>
      <w:r w:rsidR="002B682F" w:rsidRPr="00DA3BC7">
        <w:rPr>
          <w:rFonts w:ascii="Times New Roman" w:eastAsia="SimSun" w:hAnsi="Times New Roman"/>
          <w:sz w:val="20"/>
          <w:szCs w:val="20"/>
        </w:rPr>
        <w:t>97</w:t>
      </w:r>
      <w:r w:rsidR="002B682F" w:rsidRPr="00DA3BC7">
        <w:rPr>
          <w:rFonts w:hint="eastAsia"/>
          <w:sz w:val="20"/>
          <w:szCs w:val="20"/>
        </w:rPr>
        <w:t>-</w:t>
      </w:r>
      <w:r w:rsidR="002B682F" w:rsidRPr="00DA3BC7">
        <w:rPr>
          <w:rFonts w:ascii="Times New Roman" w:hAnsi="Times New Roman" w:hint="eastAsia"/>
          <w:sz w:val="20"/>
          <w:szCs w:val="20"/>
        </w:rPr>
        <w:t>98</w:t>
      </w:r>
      <w:r w:rsidR="002B682F" w:rsidRPr="00DA3BC7">
        <w:rPr>
          <w:rFonts w:ascii="Times Ext Roman" w:hAnsi="Times Ext Roman" w:cs="Times Ext Roman" w:hint="eastAsia"/>
          <w:sz w:val="20"/>
          <w:szCs w:val="20"/>
        </w:rPr>
        <w:t>）</w:t>
      </w:r>
    </w:p>
    <w:p w:rsidR="002B682F" w:rsidRPr="00DA3BC7" w:rsidRDefault="002B682F" w:rsidP="00BA3856">
      <w:pPr>
        <w:ind w:leftChars="250" w:left="600"/>
        <w:jc w:val="both"/>
        <w:rPr>
          <w:rFonts w:eastAsia="SimSun"/>
        </w:rPr>
      </w:pPr>
      <w:r w:rsidRPr="00DA3BC7">
        <w:rPr>
          <w:rFonts w:hint="eastAsia"/>
        </w:rPr>
        <w:t>所以八不的緣起，可簡括的說：</w:t>
      </w:r>
      <w:r w:rsidRPr="00DA3BC7">
        <w:rPr>
          <w:rFonts w:hint="eastAsia"/>
          <w:b/>
        </w:rPr>
        <w:t>以勝義自性空為根本</w:t>
      </w:r>
      <w:r w:rsidRPr="00DA3BC7">
        <w:rPr>
          <w:rFonts w:hint="eastAsia"/>
        </w:rPr>
        <w:t>，即以第一義而說八不；勝義不離世俗一切法，即一切法而顯，所以</w:t>
      </w:r>
      <w:r w:rsidRPr="00DA3BC7">
        <w:rPr>
          <w:rFonts w:hint="eastAsia"/>
          <w:b/>
        </w:rPr>
        <w:t>通達真俗皆是不生不滅的，這才是八不的究竟圓滿義</w:t>
      </w:r>
      <w:r w:rsidRPr="00DA3BC7">
        <w:rPr>
          <w:rFonts w:hint="eastAsia"/>
        </w:rPr>
        <w:t>。</w:t>
      </w:r>
    </w:p>
    <w:p w:rsidR="002B682F" w:rsidRPr="00DA3BC7" w:rsidRDefault="004E4644" w:rsidP="00AE3920">
      <w:pPr>
        <w:spacing w:beforeLines="30"/>
        <w:ind w:leftChars="200" w:left="480"/>
        <w:jc w:val="both"/>
        <w:rPr>
          <w:rFonts w:eastAsia="SimSun"/>
          <w:b/>
          <w:sz w:val="20"/>
          <w:szCs w:val="20"/>
          <w:bdr w:val="single" w:sz="4" w:space="0" w:color="auto"/>
        </w:rPr>
      </w:pPr>
      <w:r w:rsidRPr="004E4644">
        <w:rPr>
          <w:rFonts w:ascii="Times New Roman" w:hAnsi="Times New Roman" w:hint="eastAsia"/>
          <w:b/>
          <w:color w:val="FF0000"/>
          <w:sz w:val="20"/>
          <w:szCs w:val="20"/>
          <w:highlight w:val="yellow"/>
          <w:bdr w:val="single" w:sz="4" w:space="0" w:color="auto"/>
        </w:rPr>
        <w:t>2</w:t>
      </w:r>
      <w:r w:rsidRPr="004E4644">
        <w:rPr>
          <w:rFonts w:ascii="Times New Roman" w:hAnsi="Times New Roman" w:hint="eastAsia"/>
          <w:b/>
          <w:color w:val="FF0000"/>
          <w:sz w:val="20"/>
          <w:szCs w:val="20"/>
          <w:highlight w:val="yellow"/>
          <w:bdr w:val="single" w:sz="4" w:space="0" w:color="auto"/>
        </w:rPr>
        <w:t>、引佐證</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eastAsia="SimSun" w:hAnsi="Times New Roman"/>
          <w:sz w:val="20"/>
          <w:szCs w:val="20"/>
        </w:rPr>
        <w:t>9</w:t>
      </w:r>
      <w:r w:rsidR="002B682F" w:rsidRPr="00DA3BC7">
        <w:rPr>
          <w:rFonts w:ascii="Times New Roman" w:hAnsi="Times New Roman" w:hint="eastAsia"/>
          <w:sz w:val="20"/>
          <w:szCs w:val="20"/>
        </w:rPr>
        <w:t>8</w:t>
      </w:r>
      <w:r w:rsidR="002B682F" w:rsidRPr="00DA3BC7">
        <w:rPr>
          <w:sz w:val="20"/>
          <w:szCs w:val="20"/>
        </w:rPr>
        <w:t>-</w:t>
      </w:r>
      <w:r w:rsidR="002B682F" w:rsidRPr="00DA3BC7">
        <w:rPr>
          <w:rFonts w:ascii="Times New Roman" w:eastAsia="SimSun" w:hAnsi="Times New Roman"/>
          <w:sz w:val="20"/>
          <w:szCs w:val="20"/>
        </w:rPr>
        <w:t>99</w:t>
      </w:r>
      <w:r w:rsidR="002B682F" w:rsidRPr="00DA3BC7">
        <w:rPr>
          <w:rFonts w:ascii="Times Ext Roman" w:hAnsi="Times Ext Roman" w:cs="Times Ext Roman" w:hint="eastAsia"/>
          <w:sz w:val="20"/>
          <w:szCs w:val="20"/>
        </w:rPr>
        <w:t>）</w:t>
      </w:r>
    </w:p>
    <w:p w:rsidR="002B682F" w:rsidRPr="00DA3BC7" w:rsidRDefault="004E4644" w:rsidP="00BA3856">
      <w:pPr>
        <w:ind w:leftChars="250" w:left="600"/>
        <w:jc w:val="both"/>
        <w:rPr>
          <w:rFonts w:eastAsia="SimSun"/>
          <w:b/>
          <w:sz w:val="20"/>
          <w:szCs w:val="20"/>
          <w:bdr w:val="single" w:sz="4" w:space="0" w:color="auto"/>
        </w:rPr>
      </w:pPr>
      <w:r w:rsidRPr="004E4644">
        <w:rPr>
          <w:rFonts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1</w:t>
      </w:r>
      <w:r w:rsidRPr="004E4644">
        <w:rPr>
          <w:rFonts w:hint="eastAsia"/>
          <w:b/>
          <w:color w:val="FF0000"/>
          <w:sz w:val="20"/>
          <w:szCs w:val="20"/>
          <w:highlight w:val="yellow"/>
          <w:bdr w:val="single" w:sz="4" w:space="0" w:color="auto"/>
        </w:rPr>
        <w:t>）</w:t>
      </w:r>
      <w:r w:rsidR="002B682F" w:rsidRPr="00DA3BC7">
        <w:rPr>
          <w:rFonts w:ascii="新細明體" w:hAnsi="新細明體" w:hint="eastAsia"/>
          <w:b/>
          <w:sz w:val="20"/>
          <w:szCs w:val="20"/>
          <w:bdr w:val="single" w:sz="4" w:space="0" w:color="auto"/>
        </w:rPr>
        <w:t>總標</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98</w:t>
      </w:r>
      <w:r w:rsidR="002B682F" w:rsidRPr="00DA3BC7">
        <w:rPr>
          <w:rFonts w:ascii="Times Ext Roman" w:hAnsi="Times Ext Roman" w:cs="Times Ext Roman" w:hint="eastAsia"/>
          <w:sz w:val="20"/>
          <w:szCs w:val="20"/>
        </w:rPr>
        <w:t>）</w:t>
      </w:r>
    </w:p>
    <w:p w:rsidR="002B682F" w:rsidRPr="00DA3BC7" w:rsidRDefault="002B682F" w:rsidP="00BA3856">
      <w:pPr>
        <w:ind w:leftChars="250" w:left="600"/>
        <w:jc w:val="both"/>
        <w:rPr>
          <w:rFonts w:eastAsia="SimSun"/>
        </w:rPr>
      </w:pPr>
      <w:r w:rsidRPr="00DA3BC7">
        <w:rPr>
          <w:rFonts w:hint="eastAsia"/>
        </w:rPr>
        <w:t>中國古三論師，如嘉祥大師，於八不的解說，曾提出三種方言</w:t>
      </w:r>
      <w:r w:rsidRPr="00DA3BC7">
        <w:rPr>
          <w:rStyle w:val="a6"/>
          <w:rFonts w:ascii="Times New Roman" w:hAnsi="Times New Roman"/>
        </w:rPr>
        <w:footnoteReference w:id="469"/>
      </w:r>
      <w:r w:rsidRPr="00DA3BC7">
        <w:rPr>
          <w:rFonts w:hint="eastAsia"/>
        </w:rPr>
        <w:t>，即以三種說明的方式來顯示八不。今約取其義（不依其文），略為說明：</w:t>
      </w:r>
    </w:p>
    <w:p w:rsidR="002B682F" w:rsidRPr="00DA3BC7" w:rsidRDefault="004E4644" w:rsidP="00AE3920">
      <w:pPr>
        <w:spacing w:beforeLines="30"/>
        <w:ind w:leftChars="250" w:left="600"/>
        <w:jc w:val="both"/>
        <w:rPr>
          <w:rFonts w:ascii="新細明體" w:hAnsi="新細明體"/>
          <w:sz w:val="20"/>
          <w:szCs w:val="20"/>
          <w:bdr w:val="single" w:sz="4" w:space="0" w:color="auto"/>
        </w:rPr>
      </w:pPr>
      <w:r w:rsidRPr="004E4644">
        <w:rPr>
          <w:rFonts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2</w:t>
      </w:r>
      <w:r w:rsidRPr="004E4644">
        <w:rPr>
          <w:rFonts w:hint="eastAsia"/>
          <w:b/>
          <w:color w:val="FF0000"/>
          <w:sz w:val="20"/>
          <w:szCs w:val="20"/>
          <w:highlight w:val="yellow"/>
          <w:bdr w:val="single" w:sz="4" w:space="0" w:color="auto"/>
        </w:rPr>
        <w:t>）</w:t>
      </w:r>
      <w:r w:rsidR="002B682F" w:rsidRPr="00DA3BC7">
        <w:rPr>
          <w:rFonts w:ascii="新細明體" w:hAnsi="新細明體" w:hint="eastAsia"/>
          <w:b/>
          <w:sz w:val="20"/>
          <w:szCs w:val="20"/>
          <w:bdr w:val="single" w:sz="4" w:space="0" w:color="auto"/>
        </w:rPr>
        <w:t>別釋</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eastAsia="SimSun" w:hAnsi="Times New Roman"/>
          <w:sz w:val="20"/>
          <w:szCs w:val="20"/>
        </w:rPr>
        <w:t>9</w:t>
      </w:r>
      <w:r w:rsidR="002B682F" w:rsidRPr="00DA3BC7">
        <w:rPr>
          <w:rFonts w:ascii="Times New Roman" w:hAnsi="Times New Roman" w:hint="eastAsia"/>
          <w:sz w:val="20"/>
          <w:szCs w:val="20"/>
        </w:rPr>
        <w:t>8</w:t>
      </w:r>
      <w:r w:rsidR="002B682F" w:rsidRPr="00DA3BC7">
        <w:rPr>
          <w:sz w:val="20"/>
          <w:szCs w:val="20"/>
        </w:rPr>
        <w:t>-</w:t>
      </w:r>
      <w:r w:rsidR="002B682F" w:rsidRPr="00DA3BC7">
        <w:rPr>
          <w:rFonts w:ascii="Times New Roman" w:eastAsia="SimSun" w:hAnsi="Times New Roman"/>
          <w:sz w:val="20"/>
          <w:szCs w:val="20"/>
        </w:rPr>
        <w:t>99</w:t>
      </w:r>
      <w:r w:rsidR="002B682F" w:rsidRPr="00DA3BC7">
        <w:rPr>
          <w:rFonts w:ascii="Times Ext Roman" w:hAnsi="Times Ext Roman" w:cs="Times Ext Roman" w:hint="eastAsia"/>
          <w:sz w:val="20"/>
          <w:szCs w:val="20"/>
        </w:rPr>
        <w:t>）</w:t>
      </w:r>
    </w:p>
    <w:p w:rsidR="002B682F" w:rsidRPr="00DA3BC7" w:rsidRDefault="00326045" w:rsidP="00BA3856">
      <w:pPr>
        <w:ind w:leftChars="300" w:left="720"/>
        <w:jc w:val="both"/>
        <w:rPr>
          <w:rFonts w:eastAsia="SimSun"/>
          <w:b/>
          <w:sz w:val="20"/>
          <w:szCs w:val="20"/>
          <w:bdr w:val="single" w:sz="4" w:space="0" w:color="auto"/>
        </w:rPr>
      </w:pPr>
      <w:r w:rsidRPr="00326045">
        <w:rPr>
          <w:rFonts w:ascii="Times New Roman" w:hAnsi="Times New Roman"/>
          <w:b/>
          <w:color w:val="FF0000"/>
          <w:sz w:val="20"/>
          <w:szCs w:val="20"/>
          <w:highlight w:val="yellow"/>
          <w:bdr w:val="single" w:sz="4" w:space="0" w:color="auto"/>
        </w:rPr>
        <w:t>A</w:t>
      </w:r>
      <w:r w:rsidRPr="00326045">
        <w:rPr>
          <w:rFonts w:ascii="Times New Roman" w:hAnsi="Times New Roman" w:hint="eastAsia"/>
          <w:b/>
          <w:color w:val="FF0000"/>
          <w:sz w:val="20"/>
          <w:szCs w:val="20"/>
          <w:highlight w:val="yellow"/>
          <w:bdr w:val="single" w:sz="4" w:space="0" w:color="auto"/>
        </w:rPr>
        <w:t>、</w:t>
      </w:r>
      <w:r w:rsidR="002B682F" w:rsidRPr="00DA3BC7">
        <w:rPr>
          <w:b/>
          <w:sz w:val="20"/>
          <w:szCs w:val="20"/>
          <w:bdr w:val="single" w:sz="4" w:space="0" w:color="auto"/>
        </w:rPr>
        <w:t>世諦遮性，真諦</w:t>
      </w:r>
      <w:r w:rsidR="002B682F" w:rsidRPr="00DA3BC7">
        <w:rPr>
          <w:b/>
          <w:sz w:val="20"/>
          <w:szCs w:val="20"/>
          <w:u w:val="single"/>
          <w:bdr w:val="single" w:sz="4" w:space="0" w:color="auto"/>
        </w:rPr>
        <w:t>遮假</w:t>
      </w:r>
      <w:r w:rsidRPr="00326045">
        <w:rPr>
          <w:rFonts w:hint="eastAsia"/>
          <w:b/>
          <w:color w:val="FF0000"/>
          <w:sz w:val="20"/>
          <w:szCs w:val="20"/>
          <w:highlight w:val="yellow"/>
          <w:bdr w:val="single" w:sz="4" w:space="0" w:color="auto"/>
        </w:rPr>
        <w:t>（雙遮性假）</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98</w:t>
      </w:r>
      <w:r w:rsidR="002B682F" w:rsidRPr="00DA3BC7">
        <w:rPr>
          <w:rFonts w:ascii="Times Ext Roman" w:hAnsi="Times Ext Roman" w:cs="Times Ext Roman" w:hint="eastAsia"/>
          <w:sz w:val="20"/>
          <w:szCs w:val="20"/>
        </w:rPr>
        <w:t>）</w:t>
      </w:r>
    </w:p>
    <w:p w:rsidR="002B682F" w:rsidRPr="00DA3BC7" w:rsidRDefault="002B682F" w:rsidP="00BA3856">
      <w:pPr>
        <w:ind w:leftChars="300" w:left="720"/>
        <w:jc w:val="both"/>
        <w:rPr>
          <w:rFonts w:eastAsia="SimSun"/>
        </w:rPr>
      </w:pPr>
      <w:r w:rsidRPr="00DA3BC7">
        <w:rPr>
          <w:rFonts w:hint="eastAsia"/>
        </w:rPr>
        <w:t>一、世諦遮性，真諦遮假。</w:t>
      </w:r>
    </w:p>
    <w:p w:rsidR="002B682F" w:rsidRPr="00DA3BC7" w:rsidRDefault="002B682F" w:rsidP="00AE3920">
      <w:pPr>
        <w:spacing w:beforeLines="20"/>
        <w:ind w:leftChars="300" w:left="720"/>
        <w:jc w:val="both"/>
        <w:rPr>
          <w:rFonts w:eastAsia="SimSun"/>
        </w:rPr>
      </w:pPr>
      <w:r w:rsidRPr="00DA3BC7">
        <w:rPr>
          <w:rFonts w:hint="eastAsia"/>
        </w:rPr>
        <w:t>如說：</w:t>
      </w:r>
      <w:r w:rsidRPr="00DA3BC7">
        <w:rPr>
          <w:rFonts w:hint="eastAsia"/>
          <w:b/>
        </w:rPr>
        <w:t>世俗諦</w:t>
      </w:r>
      <w:r w:rsidRPr="00DA3BC7">
        <w:rPr>
          <w:rFonts w:hint="eastAsia"/>
        </w:rPr>
        <w:t>中，假生不生</w:t>
      </w:r>
      <w:r w:rsidR="006D32D8" w:rsidRPr="006D32D8">
        <w:rPr>
          <w:rFonts w:hint="eastAsia"/>
          <w:color w:val="FF0000"/>
          <w:shd w:val="pct15" w:color="auto" w:fill="FFFFFF"/>
        </w:rPr>
        <w:t>、</w:t>
      </w:r>
      <w:r w:rsidRPr="00DA3BC7">
        <w:rPr>
          <w:rFonts w:hint="eastAsia"/>
        </w:rPr>
        <w:t>假滅不滅；</w:t>
      </w:r>
      <w:r w:rsidRPr="00DA3BC7">
        <w:rPr>
          <w:rFonts w:hint="eastAsia"/>
          <w:b/>
        </w:rPr>
        <w:t>勝義諦</w:t>
      </w:r>
      <w:r w:rsidRPr="00DA3BC7">
        <w:rPr>
          <w:rFonts w:hint="eastAsia"/>
        </w:rPr>
        <w:t>中，也假生不生</w:t>
      </w:r>
      <w:r w:rsidR="006D32D8">
        <w:rPr>
          <w:rFonts w:hint="eastAsia"/>
          <w:color w:val="FF0000"/>
          <w:highlight w:val="yellow"/>
        </w:rPr>
        <w:t>、</w:t>
      </w:r>
      <w:r w:rsidRPr="00DA3BC7">
        <w:rPr>
          <w:rFonts w:hint="eastAsia"/>
        </w:rPr>
        <w:t>假滅不滅。</w:t>
      </w:r>
    </w:p>
    <w:p w:rsidR="002B682F" w:rsidRPr="00DA3BC7" w:rsidRDefault="002B682F" w:rsidP="00AE3920">
      <w:pPr>
        <w:spacing w:beforeLines="20"/>
        <w:ind w:leftChars="300" w:left="720"/>
        <w:jc w:val="both"/>
        <w:rPr>
          <w:rFonts w:eastAsia="SimSun"/>
        </w:rPr>
      </w:pPr>
      <w:r w:rsidRPr="00DA3BC7">
        <w:rPr>
          <w:rFonts w:hint="eastAsia"/>
        </w:rPr>
        <w:t>世俗與勝義雖都說為假生不生、假滅不滅，而含義不同。</w:t>
      </w:r>
      <w:r w:rsidRPr="00DA3BC7">
        <w:rPr>
          <w:rFonts w:hint="eastAsia"/>
          <w:b/>
        </w:rPr>
        <w:t>世俗諦</w:t>
      </w:r>
      <w:r w:rsidRPr="00DA3BC7">
        <w:rPr>
          <w:rFonts w:hint="eastAsia"/>
        </w:rPr>
        <w:t>中為破外道等的</w:t>
      </w:r>
      <w:r w:rsidR="00326045">
        <w:rPr>
          <w:rFonts w:hint="eastAsia"/>
        </w:rPr>
        <w:t>自性生滅</w:t>
      </w:r>
      <w:r w:rsidRPr="00DA3BC7">
        <w:rPr>
          <w:rFonts w:hint="eastAsia"/>
        </w:rPr>
        <w:t>，</w:t>
      </w:r>
      <w:r w:rsidRPr="00DA3BC7">
        <w:rPr>
          <w:rFonts w:hint="eastAsia"/>
          <w:b/>
        </w:rPr>
        <w:t>勝義諦</w:t>
      </w:r>
      <w:r w:rsidRPr="00DA3BC7">
        <w:rPr>
          <w:rFonts w:hint="eastAsia"/>
        </w:rPr>
        <w:t>中即破假生假滅，此即近於「空假名」</w:t>
      </w:r>
      <w:r w:rsidRPr="00DA3BC7">
        <w:rPr>
          <w:rStyle w:val="a6"/>
          <w:rFonts w:ascii="Times New Roman" w:hAnsi="Times New Roman"/>
        </w:rPr>
        <w:footnoteReference w:id="470"/>
      </w:r>
      <w:r w:rsidRPr="00DA3BC7">
        <w:rPr>
          <w:rFonts w:hint="eastAsia"/>
        </w:rPr>
        <w:t>師的思想。</w:t>
      </w:r>
    </w:p>
    <w:p w:rsidR="002B682F" w:rsidRPr="00DA3BC7" w:rsidRDefault="00326045" w:rsidP="00AE3920">
      <w:pPr>
        <w:spacing w:beforeLines="30"/>
        <w:ind w:leftChars="300" w:left="720"/>
        <w:jc w:val="both"/>
        <w:rPr>
          <w:rFonts w:eastAsia="SimSun"/>
          <w:sz w:val="20"/>
          <w:szCs w:val="20"/>
          <w:bdr w:val="single" w:sz="4" w:space="0" w:color="auto"/>
        </w:rPr>
      </w:pPr>
      <w:r>
        <w:rPr>
          <w:rFonts w:ascii="Times New Roman" w:hAnsi="Times New Roman" w:hint="eastAsia"/>
          <w:b/>
          <w:color w:val="FF0000"/>
          <w:sz w:val="20"/>
          <w:szCs w:val="20"/>
          <w:highlight w:val="yellow"/>
          <w:bdr w:val="single" w:sz="4" w:space="0" w:color="auto"/>
        </w:rPr>
        <w:t>B</w:t>
      </w:r>
      <w:r w:rsidRPr="00326045">
        <w:rPr>
          <w:rFonts w:ascii="Times New Roman" w:hAnsi="Times New Roman" w:hint="eastAsia"/>
          <w:b/>
          <w:color w:val="FF0000"/>
          <w:sz w:val="20"/>
          <w:szCs w:val="20"/>
          <w:highlight w:val="yellow"/>
          <w:bdr w:val="single" w:sz="4" w:space="0" w:color="auto"/>
        </w:rPr>
        <w:t>、</w:t>
      </w:r>
      <w:r w:rsidR="002B682F" w:rsidRPr="00DA3BC7">
        <w:rPr>
          <w:b/>
          <w:sz w:val="20"/>
          <w:szCs w:val="20"/>
          <w:bdr w:val="single" w:sz="4" w:space="0" w:color="auto"/>
        </w:rPr>
        <w:t>世諦遮性，真諦</w:t>
      </w:r>
      <w:r w:rsidR="002B682F" w:rsidRPr="00DA3BC7">
        <w:rPr>
          <w:b/>
          <w:sz w:val="20"/>
          <w:szCs w:val="20"/>
          <w:u w:val="single"/>
          <w:bdr w:val="single" w:sz="4" w:space="0" w:color="auto"/>
        </w:rPr>
        <w:t>泯假</w:t>
      </w:r>
      <w:r w:rsidRPr="00326045">
        <w:rPr>
          <w:rFonts w:hint="eastAsia"/>
          <w:b/>
          <w:color w:val="FF0000"/>
          <w:sz w:val="20"/>
          <w:szCs w:val="20"/>
          <w:highlight w:val="yellow"/>
          <w:bdr w:val="single" w:sz="4" w:space="0" w:color="auto"/>
        </w:rPr>
        <w:t>（遮性</w:t>
      </w:r>
      <w:r>
        <w:rPr>
          <w:rFonts w:hint="eastAsia"/>
          <w:b/>
          <w:color w:val="FF0000"/>
          <w:sz w:val="20"/>
          <w:szCs w:val="20"/>
          <w:highlight w:val="yellow"/>
          <w:bdr w:val="single" w:sz="4" w:space="0" w:color="auto"/>
        </w:rPr>
        <w:t>泯</w:t>
      </w:r>
      <w:r w:rsidRPr="00326045">
        <w:rPr>
          <w:rFonts w:hint="eastAsia"/>
          <w:b/>
          <w:color w:val="FF0000"/>
          <w:sz w:val="20"/>
          <w:szCs w:val="20"/>
          <w:highlight w:val="yellow"/>
          <w:bdr w:val="single" w:sz="4" w:space="0" w:color="auto"/>
        </w:rPr>
        <w:t>假）</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98</w:t>
      </w:r>
      <w:r w:rsidR="002B682F" w:rsidRPr="00DA3BC7">
        <w:rPr>
          <w:rFonts w:ascii="Times Ext Roman" w:hAnsi="Times Ext Roman" w:cs="Times Ext Roman" w:hint="eastAsia"/>
          <w:sz w:val="20"/>
          <w:szCs w:val="20"/>
        </w:rPr>
        <w:t>）</w:t>
      </w:r>
    </w:p>
    <w:p w:rsidR="002B682F" w:rsidRPr="00DA3BC7" w:rsidRDefault="002B682F" w:rsidP="00AE3920">
      <w:pPr>
        <w:widowControl/>
        <w:spacing w:beforeLines="10"/>
        <w:ind w:leftChars="300" w:left="720"/>
        <w:jc w:val="both"/>
        <w:rPr>
          <w:rFonts w:eastAsia="SimSun"/>
        </w:rPr>
      </w:pPr>
      <w:r w:rsidRPr="00DA3BC7">
        <w:rPr>
          <w:rFonts w:hint="eastAsia"/>
        </w:rPr>
        <w:t>二、世諦遮性，真諦泯</w:t>
      </w:r>
      <w:r w:rsidRPr="00DA3BC7">
        <w:rPr>
          <w:rStyle w:val="a6"/>
          <w:rFonts w:ascii="Times New Roman" w:hAnsi="Times New Roman"/>
        </w:rPr>
        <w:footnoteReference w:id="471"/>
      </w:r>
      <w:r w:rsidRPr="00DA3BC7">
        <w:rPr>
          <w:rFonts w:hint="eastAsia"/>
        </w:rPr>
        <w:t>假。</w:t>
      </w:r>
    </w:p>
    <w:p w:rsidR="002B682F" w:rsidRPr="00DA3BC7" w:rsidRDefault="002B682F" w:rsidP="00AE3920">
      <w:pPr>
        <w:widowControl/>
        <w:spacing w:beforeLines="20"/>
        <w:ind w:leftChars="300" w:left="720"/>
        <w:jc w:val="both"/>
        <w:rPr>
          <w:rFonts w:eastAsia="SimSun"/>
        </w:rPr>
      </w:pPr>
      <w:r w:rsidRPr="00DA3BC7">
        <w:rPr>
          <w:rFonts w:hint="eastAsia"/>
          <w:b/>
        </w:rPr>
        <w:lastRenderedPageBreak/>
        <w:t>世諦</w:t>
      </w:r>
      <w:r w:rsidRPr="00DA3BC7">
        <w:rPr>
          <w:rFonts w:hint="eastAsia"/>
        </w:rPr>
        <w:t>說不生，這是破性生的。前一方言的破假，依此說：因緣假法如何可破？說破假，不過外人執假為定有，執假成病，所以破斥他，其實假是不破的。那麼，</w:t>
      </w:r>
      <w:r w:rsidRPr="00DA3BC7">
        <w:rPr>
          <w:rFonts w:hint="eastAsia"/>
          <w:b/>
        </w:rPr>
        <w:t>勝義諦</w:t>
      </w:r>
      <w:r w:rsidRPr="00DA3BC7">
        <w:rPr>
          <w:rFonts w:hint="eastAsia"/>
        </w:rPr>
        <w:t>中，假生不生</w:t>
      </w:r>
      <w:r w:rsidR="006D32D8">
        <w:rPr>
          <w:rFonts w:hint="eastAsia"/>
          <w:color w:val="FF0000"/>
          <w:highlight w:val="yellow"/>
        </w:rPr>
        <w:t>、</w:t>
      </w:r>
      <w:r w:rsidRPr="00DA3BC7">
        <w:rPr>
          <w:rFonts w:hint="eastAsia"/>
        </w:rPr>
        <w:t>假滅不滅，是即於一切法的假生假滅而泯寂無相，不是撥無因緣的生滅。</w:t>
      </w:r>
    </w:p>
    <w:p w:rsidR="002B682F" w:rsidRPr="00DA3BC7" w:rsidRDefault="002B682F" w:rsidP="00AE3920">
      <w:pPr>
        <w:widowControl/>
        <w:spacing w:beforeLines="20"/>
        <w:ind w:leftChars="300" w:left="720"/>
        <w:jc w:val="both"/>
        <w:rPr>
          <w:rFonts w:eastAsia="SimSun"/>
        </w:rPr>
      </w:pPr>
      <w:r w:rsidRPr="00DA3BC7">
        <w:rPr>
          <w:rFonts w:hint="eastAsia"/>
        </w:rPr>
        <w:t>如偏取此解，即是「不空假名」</w:t>
      </w:r>
      <w:r w:rsidRPr="00DA3BC7">
        <w:rPr>
          <w:rStyle w:val="a6"/>
          <w:rFonts w:ascii="Times New Roman" w:hAnsi="Times New Roman"/>
        </w:rPr>
        <w:footnoteReference w:id="472"/>
      </w:r>
      <w:r w:rsidRPr="00DA3BC7">
        <w:rPr>
          <w:rFonts w:hint="eastAsia"/>
        </w:rPr>
        <w:t>師的思想，和唯識宗的</w:t>
      </w:r>
      <w:r w:rsidRPr="00DA3BC7">
        <w:rPr>
          <w:rFonts w:hint="eastAsia"/>
          <w:b/>
        </w:rPr>
        <w:t>泯相證性</w:t>
      </w:r>
      <w:r w:rsidRPr="00DA3BC7">
        <w:rPr>
          <w:rStyle w:val="a6"/>
          <w:rFonts w:ascii="Times New Roman" w:hAnsi="Times New Roman"/>
        </w:rPr>
        <w:footnoteReference w:id="473"/>
      </w:r>
      <w:r w:rsidRPr="00DA3BC7">
        <w:rPr>
          <w:rFonts w:hint="eastAsia"/>
          <w:b/>
        </w:rPr>
        <w:t>、依他起不空</w:t>
      </w:r>
      <w:r w:rsidRPr="00DA3BC7">
        <w:rPr>
          <w:rFonts w:hint="eastAsia"/>
        </w:rPr>
        <w:t>也相近。</w:t>
      </w:r>
    </w:p>
    <w:p w:rsidR="002B682F" w:rsidRPr="00DA3BC7" w:rsidRDefault="006D32D8" w:rsidP="00AE3920">
      <w:pPr>
        <w:spacing w:beforeLines="30"/>
        <w:ind w:leftChars="300" w:left="720"/>
        <w:jc w:val="both"/>
        <w:rPr>
          <w:rFonts w:eastAsia="SimSun"/>
          <w:sz w:val="20"/>
          <w:szCs w:val="20"/>
          <w:bdr w:val="single" w:sz="4" w:space="0" w:color="auto"/>
        </w:rPr>
      </w:pPr>
      <w:r w:rsidRPr="006D32D8">
        <w:rPr>
          <w:rFonts w:ascii="Times New Roman" w:hAnsi="Times New Roman" w:hint="eastAsia"/>
          <w:b/>
          <w:color w:val="FF0000"/>
          <w:sz w:val="20"/>
          <w:szCs w:val="20"/>
          <w:highlight w:val="yellow"/>
          <w:bdr w:val="single" w:sz="4" w:space="0" w:color="auto"/>
        </w:rPr>
        <w:t>C</w:t>
      </w:r>
      <w:r w:rsidRPr="006D32D8">
        <w:rPr>
          <w:rFonts w:ascii="Times New Roman" w:hAnsi="Times New Roman" w:hint="eastAsia"/>
          <w:b/>
          <w:color w:val="FF0000"/>
          <w:sz w:val="20"/>
          <w:szCs w:val="20"/>
          <w:highlight w:val="yellow"/>
          <w:bdr w:val="single" w:sz="4" w:space="0" w:color="auto"/>
        </w:rPr>
        <w:t>、</w:t>
      </w:r>
      <w:r w:rsidR="002B682F" w:rsidRPr="00DA3BC7">
        <w:rPr>
          <w:b/>
          <w:sz w:val="20"/>
          <w:szCs w:val="20"/>
          <w:bdr w:val="single" w:sz="4" w:space="0" w:color="auto"/>
        </w:rPr>
        <w:t>世諦以假遮性，真諦</w:t>
      </w:r>
      <w:r w:rsidR="002B682F" w:rsidRPr="00DA3BC7">
        <w:rPr>
          <w:b/>
          <w:sz w:val="20"/>
          <w:szCs w:val="20"/>
          <w:u w:val="single"/>
          <w:bdr w:val="single" w:sz="4" w:space="0" w:color="auto"/>
        </w:rPr>
        <w:t>即假為如</w:t>
      </w:r>
      <w:r w:rsidRPr="006D32D8">
        <w:rPr>
          <w:rFonts w:ascii="新細明體" w:hAnsi="新細明體" w:hint="eastAsia"/>
          <w:b/>
          <w:color w:val="FF0000"/>
          <w:sz w:val="20"/>
          <w:szCs w:val="20"/>
          <w:highlight w:val="yellow"/>
          <w:bdr w:val="single" w:sz="4" w:space="0" w:color="auto"/>
        </w:rPr>
        <w:t>（即假為如）</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eastAsia="SimSun" w:hAnsi="Times New Roman"/>
          <w:sz w:val="20"/>
          <w:szCs w:val="20"/>
        </w:rPr>
        <w:t>98</w:t>
      </w:r>
      <w:r w:rsidR="002B682F" w:rsidRPr="00DA3BC7">
        <w:rPr>
          <w:sz w:val="20"/>
          <w:szCs w:val="20"/>
        </w:rPr>
        <w:t>-</w:t>
      </w:r>
      <w:r w:rsidR="002B682F" w:rsidRPr="00DA3BC7">
        <w:rPr>
          <w:rFonts w:ascii="Times New Roman" w:eastAsia="SimSun" w:hAnsi="Times New Roman"/>
          <w:sz w:val="20"/>
          <w:szCs w:val="20"/>
        </w:rPr>
        <w:t>99</w:t>
      </w:r>
      <w:r w:rsidR="002B682F" w:rsidRPr="00DA3BC7">
        <w:rPr>
          <w:rFonts w:ascii="Times Ext Roman" w:hAnsi="Times Ext Roman" w:cs="Times Ext Roman" w:hint="eastAsia"/>
          <w:sz w:val="20"/>
          <w:szCs w:val="20"/>
        </w:rPr>
        <w:t>）</w:t>
      </w:r>
    </w:p>
    <w:p w:rsidR="002B682F" w:rsidRPr="00DA3BC7" w:rsidRDefault="002B682F" w:rsidP="00BA3856">
      <w:pPr>
        <w:ind w:leftChars="300" w:left="720"/>
        <w:jc w:val="both"/>
        <w:rPr>
          <w:rFonts w:eastAsia="SimSun"/>
        </w:rPr>
      </w:pPr>
      <w:r w:rsidRPr="00DA3BC7">
        <w:rPr>
          <w:rFonts w:hint="eastAsia"/>
        </w:rPr>
        <w:t>三、世諦以假遮性，真諦即假為如。</w:t>
      </w:r>
      <w:r w:rsidRPr="00DA3BC7">
        <w:rPr>
          <w:rStyle w:val="a6"/>
          <w:rFonts w:ascii="Times New Roman" w:hAnsi="Times New Roman"/>
        </w:rPr>
        <w:footnoteReference w:id="474"/>
      </w:r>
    </w:p>
    <w:p w:rsidR="002B682F" w:rsidRPr="00DA3BC7" w:rsidRDefault="002B682F" w:rsidP="00AE3920">
      <w:pPr>
        <w:widowControl/>
        <w:spacing w:beforeLines="20"/>
        <w:ind w:leftChars="300" w:left="720"/>
        <w:jc w:val="both"/>
      </w:pPr>
      <w:r w:rsidRPr="00DA3BC7">
        <w:rPr>
          <w:rFonts w:hint="eastAsia"/>
        </w:rPr>
        <w:t>如說：</w:t>
      </w:r>
      <w:r w:rsidRPr="00DA3BC7">
        <w:rPr>
          <w:rFonts w:hint="eastAsia"/>
          <w:b/>
        </w:rPr>
        <w:t>世俗諦</w:t>
      </w:r>
      <w:r w:rsidRPr="00DA3BC7">
        <w:rPr>
          <w:rFonts w:hint="eastAsia"/>
        </w:rPr>
        <w:t>中，不自性生</w:t>
      </w:r>
      <w:r w:rsidR="006D32D8" w:rsidRPr="006D32D8">
        <w:rPr>
          <w:rFonts w:hint="eastAsia"/>
          <w:color w:val="FF0000"/>
          <w:shd w:val="pct15" w:color="auto" w:fill="FFFFFF"/>
        </w:rPr>
        <w:t>、</w:t>
      </w:r>
      <w:r w:rsidRPr="00DA3BC7">
        <w:rPr>
          <w:rFonts w:hint="eastAsia"/>
        </w:rPr>
        <w:t>不自性滅，而成其假生</w:t>
      </w:r>
      <w:r w:rsidR="006D32D8" w:rsidRPr="006D32D8">
        <w:rPr>
          <w:rFonts w:hint="eastAsia"/>
          <w:color w:val="FF0000"/>
          <w:highlight w:val="yellow"/>
        </w:rPr>
        <w:t>、</w:t>
      </w:r>
      <w:r w:rsidRPr="00DA3BC7">
        <w:rPr>
          <w:rFonts w:hint="eastAsia"/>
        </w:rPr>
        <w:t>假滅。</w:t>
      </w:r>
    </w:p>
    <w:p w:rsidR="002B682F" w:rsidRPr="00DA3BC7" w:rsidRDefault="002B682F" w:rsidP="00AE3920">
      <w:pPr>
        <w:widowControl/>
        <w:spacing w:beforeLines="20"/>
        <w:ind w:leftChars="300" w:left="720"/>
        <w:jc w:val="both"/>
        <w:rPr>
          <w:rFonts w:eastAsia="SimSun"/>
        </w:rPr>
      </w:pPr>
      <w:r w:rsidRPr="00DA3BC7">
        <w:rPr>
          <w:rFonts w:hint="eastAsia"/>
          <w:b/>
        </w:rPr>
        <w:t>勝義諦</w:t>
      </w:r>
      <w:r w:rsidRPr="00DA3BC7">
        <w:rPr>
          <w:rFonts w:hint="eastAsia"/>
        </w:rPr>
        <w:t>中，即此無自性生滅的假生假滅，而成第一義的不生不滅。</w:t>
      </w:r>
    </w:p>
    <w:p w:rsidR="002B682F" w:rsidRPr="00DA3BC7" w:rsidRDefault="002B682F" w:rsidP="00AE3920">
      <w:pPr>
        <w:widowControl/>
        <w:spacing w:beforeLines="20"/>
        <w:ind w:leftChars="300" w:left="720"/>
        <w:jc w:val="both"/>
        <w:rPr>
          <w:rFonts w:eastAsia="SimSun"/>
        </w:rPr>
      </w:pPr>
      <w:r w:rsidRPr="00DA3BC7">
        <w:rPr>
          <w:rFonts w:hint="eastAsia"/>
        </w:rPr>
        <w:t>此即顯示假生假滅，是由於自性生滅的不可得；以自性生滅不可得，所以假生假滅。說此世諦的假生假滅，即是第一義的不生不滅，非是離假生假滅而別有不生不滅。以無自性的，所以假生假滅即為勝義的不生不滅。</w:t>
      </w:r>
    </w:p>
    <w:p w:rsidR="002B682F" w:rsidRPr="00DA3BC7" w:rsidRDefault="002B682F" w:rsidP="00AE3920">
      <w:pPr>
        <w:spacing w:beforeLines="30" w:afterLines="30"/>
        <w:ind w:leftChars="300" w:left="720"/>
        <w:jc w:val="both"/>
        <w:rPr>
          <w:rFonts w:eastAsia="SimSun"/>
        </w:rPr>
      </w:pPr>
      <w:r w:rsidRPr="00DA3BC7">
        <w:rPr>
          <w:rFonts w:hint="eastAsia"/>
        </w:rPr>
        <w:t>此第三種方言，能雙貫前兩種方言而超越它，即「</w:t>
      </w:r>
      <w:r w:rsidRPr="00DA3BC7">
        <w:rPr>
          <w:rFonts w:hint="eastAsia"/>
          <w:b/>
        </w:rPr>
        <w:t>假名空</w:t>
      </w:r>
      <w:r w:rsidRPr="00DA3BC7">
        <w:rPr>
          <w:rFonts w:hint="eastAsia"/>
        </w:rPr>
        <w:t>」</w:t>
      </w:r>
      <w:r w:rsidRPr="00DA3BC7">
        <w:rPr>
          <w:rStyle w:val="a6"/>
          <w:rFonts w:ascii="Times New Roman" w:hAnsi="Times New Roman"/>
        </w:rPr>
        <w:footnoteReference w:id="475"/>
      </w:r>
      <w:r w:rsidRPr="00DA3BC7">
        <w:rPr>
          <w:rFonts w:hint="eastAsia"/>
        </w:rPr>
        <w:t>者的正義。</w:t>
      </w:r>
    </w:p>
    <w:p w:rsidR="002B682F" w:rsidRPr="00DA3BC7" w:rsidRDefault="002B682F" w:rsidP="00AE3920">
      <w:pPr>
        <w:widowControl/>
        <w:spacing w:beforeLines="20"/>
        <w:ind w:leftChars="300" w:left="720"/>
        <w:jc w:val="both"/>
        <w:rPr>
          <w:rFonts w:eastAsia="SimSun"/>
        </w:rPr>
      </w:pPr>
      <w:r w:rsidRPr="00DA3BC7">
        <w:rPr>
          <w:rFonts w:hint="eastAsia"/>
        </w:rPr>
        <w:t>但說此三種方言，以一、二的兩種方言，</w:t>
      </w:r>
      <w:r w:rsidR="006D32D8" w:rsidRPr="006D32D8">
        <w:rPr>
          <w:rFonts w:hint="eastAsia"/>
          <w:color w:val="FF0000"/>
          <w:highlight w:val="yellow"/>
        </w:rPr>
        <w:t>才</w:t>
      </w:r>
      <w:r w:rsidRPr="00DA3BC7">
        <w:rPr>
          <w:rFonts w:hint="eastAsia"/>
        </w:rPr>
        <w:t>顯出第三種方言的究竟；前二雖不徹底，也是一途</w:t>
      </w:r>
      <w:r w:rsidRPr="00DA3BC7">
        <w:rPr>
          <w:rStyle w:val="a6"/>
          <w:rFonts w:ascii="Times New Roman" w:hAnsi="Times New Roman"/>
        </w:rPr>
        <w:footnoteReference w:id="476"/>
      </w:r>
      <w:r w:rsidRPr="00DA3BC7">
        <w:rPr>
          <w:rFonts w:hint="eastAsia"/>
        </w:rPr>
        <w:t>的方便。</w:t>
      </w:r>
    </w:p>
    <w:p w:rsidR="002B682F" w:rsidRPr="00DA3BC7" w:rsidRDefault="002B682F" w:rsidP="00AE3920">
      <w:pPr>
        <w:spacing w:beforeLines="30"/>
        <w:ind w:leftChars="250" w:left="600"/>
        <w:jc w:val="both"/>
        <w:rPr>
          <w:rFonts w:ascii="新細明體" w:hAnsi="新細明體"/>
          <w:b/>
          <w:sz w:val="20"/>
          <w:szCs w:val="20"/>
          <w:bdr w:val="single" w:sz="4" w:space="0" w:color="auto"/>
        </w:rPr>
      </w:pPr>
      <w:r w:rsidRPr="00DA3BC7">
        <w:rPr>
          <w:rFonts w:ascii="新細明體" w:hAnsi="新細明體" w:hint="eastAsia"/>
          <w:b/>
          <w:sz w:val="20"/>
          <w:szCs w:val="20"/>
          <w:bdr w:val="single" w:sz="4" w:space="0" w:color="auto"/>
        </w:rPr>
        <w:lastRenderedPageBreak/>
        <w:t>（</w:t>
      </w:r>
      <w:r w:rsidR="006D32D8" w:rsidRPr="006D32D8">
        <w:rPr>
          <w:rFonts w:ascii="Times New Roman" w:hAnsi="Times New Roman" w:hint="eastAsia"/>
          <w:b/>
          <w:sz w:val="20"/>
          <w:szCs w:val="20"/>
          <w:bdr w:val="single" w:sz="4" w:space="0" w:color="auto"/>
        </w:rPr>
        <w:t>3</w:t>
      </w:r>
      <w:r w:rsidRPr="00DA3BC7">
        <w:rPr>
          <w:rFonts w:ascii="新細明體" w:hAnsi="新細明體" w:hint="eastAsia"/>
          <w:b/>
          <w:sz w:val="20"/>
          <w:szCs w:val="20"/>
          <w:bdr w:val="single" w:sz="4" w:space="0" w:color="auto"/>
        </w:rPr>
        <w:t>）小</w:t>
      </w:r>
      <w:r w:rsidRPr="006D32D8">
        <w:rPr>
          <w:rFonts w:ascii="新細明體" w:hAnsi="新細明體" w:hint="eastAsia"/>
          <w:b/>
          <w:sz w:val="20"/>
          <w:szCs w:val="20"/>
          <w:highlight w:val="yellow"/>
          <w:bdr w:val="single" w:sz="4" w:space="0" w:color="auto"/>
        </w:rPr>
        <w:t>結</w:t>
      </w:r>
      <w:r w:rsidRPr="00DA3BC7">
        <w:rPr>
          <w:rFonts w:ascii="Times Ext Roman" w:hAnsi="Times Ext Roman" w:cs="Times Ext Roman" w:hint="eastAsia"/>
          <w:sz w:val="20"/>
          <w:szCs w:val="20"/>
        </w:rPr>
        <w:t>（</w:t>
      </w:r>
      <w:r w:rsidRPr="00DA3BC7">
        <w:rPr>
          <w:rFonts w:ascii="Times New Roman" w:hAnsi="Times New Roman"/>
          <w:sz w:val="20"/>
          <w:szCs w:val="20"/>
        </w:rPr>
        <w:t>p</w:t>
      </w:r>
      <w:r w:rsidRPr="00DA3BC7">
        <w:rPr>
          <w:sz w:val="20"/>
          <w:szCs w:val="20"/>
        </w:rPr>
        <w:t>.</w:t>
      </w:r>
      <w:r w:rsidRPr="00DA3BC7">
        <w:rPr>
          <w:rFonts w:ascii="Times New Roman" w:eastAsia="SimSun" w:hAnsi="Times New Roman"/>
          <w:sz w:val="20"/>
          <w:szCs w:val="20"/>
        </w:rPr>
        <w:t>99</w:t>
      </w:r>
      <w:r w:rsidRPr="00DA3BC7">
        <w:rPr>
          <w:rFonts w:ascii="Times Ext Roman" w:hAnsi="Times Ext Roman" w:cs="Times Ext Roman" w:hint="eastAsia"/>
          <w:sz w:val="20"/>
          <w:szCs w:val="20"/>
        </w:rPr>
        <w:t>）</w:t>
      </w:r>
    </w:p>
    <w:p w:rsidR="002B682F" w:rsidRPr="00DA3BC7" w:rsidRDefault="002B682F" w:rsidP="00BA3856">
      <w:pPr>
        <w:ind w:leftChars="250" w:left="600"/>
        <w:jc w:val="both"/>
        <w:rPr>
          <w:rFonts w:eastAsia="SimSun"/>
        </w:rPr>
      </w:pPr>
      <w:r w:rsidRPr="00DA3BC7">
        <w:rPr>
          <w:rFonts w:hint="eastAsia"/>
        </w:rPr>
        <w:t>這三種方言：一、雙遮性假，二、遮性泯假，三、即假為如，為說明八不的主要方法。</w:t>
      </w:r>
    </w:p>
    <w:p w:rsidR="006D32D8" w:rsidRDefault="006D32D8" w:rsidP="00AE3920">
      <w:pPr>
        <w:spacing w:beforeLines="30"/>
        <w:ind w:leftChars="200" w:left="480"/>
        <w:jc w:val="both"/>
        <w:rPr>
          <w:rFonts w:ascii="Times New Roman" w:hAnsi="Times New Roman"/>
          <w:b/>
          <w:color w:val="FF0000"/>
          <w:sz w:val="20"/>
          <w:szCs w:val="20"/>
          <w:bdr w:val="single" w:sz="4" w:space="0" w:color="auto"/>
        </w:rPr>
      </w:pPr>
      <w:r w:rsidRPr="006D32D8">
        <w:rPr>
          <w:rFonts w:ascii="Times New Roman" w:hAnsi="Times New Roman" w:hint="eastAsia"/>
          <w:b/>
          <w:color w:val="FF0000"/>
          <w:sz w:val="20"/>
          <w:szCs w:val="20"/>
          <w:highlight w:val="yellow"/>
          <w:bdr w:val="single" w:sz="4" w:space="0" w:color="auto"/>
        </w:rPr>
        <w:t>3</w:t>
      </w:r>
      <w:r w:rsidRPr="006D32D8">
        <w:rPr>
          <w:rFonts w:ascii="Times New Roman" w:hAnsi="Times New Roman" w:hint="eastAsia"/>
          <w:b/>
          <w:color w:val="FF0000"/>
          <w:sz w:val="20"/>
          <w:szCs w:val="20"/>
          <w:highlight w:val="yellow"/>
          <w:bdr w:val="single" w:sz="4" w:space="0" w:color="auto"/>
        </w:rPr>
        <w:t>、總結成</w:t>
      </w:r>
    </w:p>
    <w:p w:rsidR="002B682F" w:rsidRPr="00DA3BC7" w:rsidRDefault="002B682F" w:rsidP="00BA3856">
      <w:pPr>
        <w:ind w:leftChars="200" w:left="480"/>
        <w:jc w:val="both"/>
        <w:rPr>
          <w:rFonts w:eastAsia="SimSun"/>
          <w:b/>
        </w:rPr>
      </w:pPr>
      <w:r w:rsidRPr="00DA3BC7">
        <w:rPr>
          <w:rFonts w:hint="eastAsia"/>
        </w:rPr>
        <w:t>總之，古人解此</w:t>
      </w:r>
      <w:r w:rsidRPr="00DA3BC7">
        <w:rPr>
          <w:rFonts w:hint="eastAsia"/>
          <w:b/>
        </w:rPr>
        <w:t>八不義，有專約第一義諦說、通二諦說的不同。</w:t>
      </w:r>
    </w:p>
    <w:p w:rsidR="002B682F" w:rsidRPr="00DA3BC7" w:rsidRDefault="002B682F" w:rsidP="00AE3920">
      <w:pPr>
        <w:spacing w:beforeLines="20"/>
        <w:ind w:leftChars="200" w:left="480"/>
        <w:jc w:val="both"/>
      </w:pPr>
      <w:r w:rsidRPr="00DA3BC7">
        <w:rPr>
          <w:rFonts w:hint="eastAsia"/>
          <w:b/>
        </w:rPr>
        <w:t>這應以說第一義諦者為根本，以通明二諦者為究竟。</w:t>
      </w:r>
    </w:p>
    <w:p w:rsidR="002B682F" w:rsidRPr="00DA3BC7" w:rsidRDefault="00807094" w:rsidP="00AE3920">
      <w:pPr>
        <w:spacing w:beforeLines="30"/>
        <w:ind w:leftChars="150" w:left="360"/>
        <w:jc w:val="both"/>
        <w:rPr>
          <w:rFonts w:eastAsia="SimSun"/>
          <w:sz w:val="20"/>
          <w:szCs w:val="20"/>
          <w:bdr w:val="single" w:sz="4" w:space="0" w:color="auto"/>
        </w:rPr>
      </w:pPr>
      <w:r w:rsidRPr="00807094">
        <w:rPr>
          <w:rFonts w:ascii="新細明體" w:hAnsi="新細明體" w:hint="eastAsia"/>
          <w:b/>
          <w:color w:val="FF0000"/>
          <w:sz w:val="20"/>
          <w:szCs w:val="20"/>
          <w:highlight w:val="yellow"/>
          <w:bdr w:val="single" w:sz="4" w:space="0" w:color="auto"/>
        </w:rPr>
        <w:t>（二）</w:t>
      </w:r>
      <w:r w:rsidRPr="00807094">
        <w:rPr>
          <w:rFonts w:hint="eastAsia"/>
          <w:b/>
          <w:color w:val="FF0000"/>
          <w:sz w:val="20"/>
          <w:szCs w:val="20"/>
          <w:highlight w:val="yellow"/>
          <w:bdr w:val="single" w:sz="4" w:space="0" w:color="auto"/>
        </w:rPr>
        <w:t>約「釋尊本教」</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eastAsia="SimSun" w:hAnsi="Times New Roman"/>
          <w:sz w:val="20"/>
          <w:szCs w:val="20"/>
        </w:rPr>
        <w:t>99</w:t>
      </w:r>
      <w:r w:rsidR="002B682F" w:rsidRPr="00DA3BC7">
        <w:rPr>
          <w:sz w:val="20"/>
          <w:szCs w:val="20"/>
        </w:rPr>
        <w:t>-</w:t>
      </w:r>
      <w:r w:rsidR="002B682F" w:rsidRPr="00DA3BC7">
        <w:rPr>
          <w:rFonts w:ascii="Times New Roman" w:eastAsia="SimSun" w:hAnsi="Times New Roman"/>
          <w:sz w:val="20"/>
          <w:szCs w:val="20"/>
        </w:rPr>
        <w:t>100</w:t>
      </w:r>
      <w:r w:rsidR="002B682F" w:rsidRPr="00DA3BC7">
        <w:rPr>
          <w:rFonts w:ascii="Times Ext Roman" w:hAnsi="Times Ext Roman" w:cs="Times Ext Roman" w:hint="eastAsia"/>
          <w:sz w:val="20"/>
          <w:szCs w:val="20"/>
        </w:rPr>
        <w:t>）</w:t>
      </w:r>
    </w:p>
    <w:p w:rsidR="002B682F" w:rsidRPr="00DA3BC7" w:rsidRDefault="00807094" w:rsidP="00BA3856">
      <w:pPr>
        <w:ind w:leftChars="200" w:left="480"/>
        <w:jc w:val="both"/>
        <w:rPr>
          <w:rFonts w:ascii="新細明體" w:hAnsi="新細明體"/>
          <w:b/>
          <w:sz w:val="20"/>
          <w:szCs w:val="20"/>
          <w:bdr w:val="single" w:sz="4" w:space="0" w:color="auto"/>
        </w:rPr>
      </w:pPr>
      <w:r w:rsidRPr="00807094">
        <w:rPr>
          <w:rFonts w:ascii="Times New Roman" w:hAnsi="Times New Roman" w:hint="eastAsia"/>
          <w:b/>
          <w:color w:val="FF0000"/>
          <w:sz w:val="20"/>
          <w:szCs w:val="20"/>
          <w:highlight w:val="yellow"/>
          <w:bdr w:val="single" w:sz="4" w:space="0" w:color="auto"/>
        </w:rPr>
        <w:t>1</w:t>
      </w:r>
      <w:r w:rsidRPr="00807094">
        <w:rPr>
          <w:rFonts w:ascii="Times New Roman" w:hAnsi="Times New Roman" w:hint="eastAsia"/>
          <w:b/>
          <w:color w:val="FF0000"/>
          <w:sz w:val="20"/>
          <w:szCs w:val="20"/>
          <w:highlight w:val="yellow"/>
          <w:bdr w:val="single" w:sz="4" w:space="0" w:color="auto"/>
        </w:rPr>
        <w:t>、暢</w:t>
      </w:r>
      <w:r w:rsidR="002B682F" w:rsidRPr="00807094">
        <w:rPr>
          <w:rFonts w:hint="eastAsia"/>
          <w:b/>
          <w:color w:val="FF0000"/>
          <w:sz w:val="20"/>
          <w:szCs w:val="20"/>
          <w:highlight w:val="yellow"/>
          <w:bdr w:val="single" w:sz="4" w:space="0" w:color="auto"/>
        </w:rPr>
        <w:t>緣起</w:t>
      </w:r>
      <w:r w:rsidRPr="00807094">
        <w:rPr>
          <w:rFonts w:hint="eastAsia"/>
          <w:b/>
          <w:color w:val="FF0000"/>
          <w:sz w:val="20"/>
          <w:szCs w:val="20"/>
          <w:highlight w:val="yellow"/>
          <w:bdr w:val="single" w:sz="4" w:space="0" w:color="auto"/>
        </w:rPr>
        <w:t>深義</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eastAsia="SimSun" w:hAnsi="Times New Roman"/>
          <w:sz w:val="20"/>
          <w:szCs w:val="20"/>
        </w:rPr>
        <w:t>99</w:t>
      </w:r>
      <w:r w:rsidR="002B682F" w:rsidRPr="00DA3BC7">
        <w:rPr>
          <w:sz w:val="20"/>
          <w:szCs w:val="20"/>
        </w:rPr>
        <w:t>-</w:t>
      </w:r>
      <w:r w:rsidR="002B682F" w:rsidRPr="00DA3BC7">
        <w:rPr>
          <w:rFonts w:ascii="Times New Roman" w:eastAsia="SimSun" w:hAnsi="Times New Roman"/>
          <w:sz w:val="20"/>
          <w:szCs w:val="20"/>
        </w:rPr>
        <w:t>100</w:t>
      </w:r>
      <w:r w:rsidR="002B682F" w:rsidRPr="00DA3BC7">
        <w:rPr>
          <w:rFonts w:ascii="Times Ext Roman" w:hAnsi="Times Ext Roman" w:cs="Times Ext Roman" w:hint="eastAsia"/>
          <w:sz w:val="20"/>
          <w:szCs w:val="20"/>
        </w:rPr>
        <w:t>）</w:t>
      </w:r>
    </w:p>
    <w:p w:rsidR="002B682F" w:rsidRPr="00DA3BC7" w:rsidRDefault="002B682F" w:rsidP="00BA3856">
      <w:pPr>
        <w:ind w:leftChars="200" w:left="480"/>
        <w:jc w:val="both"/>
        <w:rPr>
          <w:rFonts w:eastAsia="SimSun"/>
        </w:rPr>
      </w:pPr>
      <w:r w:rsidRPr="00DA3BC7">
        <w:rPr>
          <w:rFonts w:hint="eastAsia"/>
        </w:rPr>
        <w:t>更從淺顯處說：依佛的本義，緣起生滅，是約世諦安立的；以此空去妄執的斷常、一異、去來，即勝義的畢竟空。此為佛與外道對辯，否定外道的斷常、一異、去來，而顯示佛法出勝</w:t>
      </w:r>
      <w:r w:rsidRPr="00DA3BC7">
        <w:rPr>
          <w:rStyle w:val="a6"/>
          <w:rFonts w:ascii="Times New Roman" w:hAnsi="Times New Roman"/>
        </w:rPr>
        <w:footnoteReference w:id="477"/>
      </w:r>
      <w:r w:rsidRPr="00DA3BC7">
        <w:rPr>
          <w:rFonts w:hint="eastAsia"/>
        </w:rPr>
        <w:t>外道之說。</w:t>
      </w:r>
    </w:p>
    <w:p w:rsidR="002B682F" w:rsidRPr="00DA3BC7" w:rsidRDefault="002B682F" w:rsidP="00AE3920">
      <w:pPr>
        <w:spacing w:beforeLines="20"/>
        <w:ind w:leftChars="200" w:left="480"/>
        <w:jc w:val="both"/>
      </w:pPr>
      <w:r w:rsidRPr="00DA3BC7">
        <w:rPr>
          <w:rFonts w:hint="eastAsia"/>
        </w:rPr>
        <w:t>外道所計執的，即佛法中常說的十四不可記</w:t>
      </w:r>
      <w:r w:rsidRPr="00DA3BC7">
        <w:rPr>
          <w:rStyle w:val="a6"/>
          <w:rFonts w:ascii="Times New Roman" w:hAnsi="Times New Roman"/>
        </w:rPr>
        <w:footnoteReference w:id="478"/>
      </w:r>
      <w:r w:rsidRPr="00DA3BC7">
        <w:rPr>
          <w:rFonts w:hint="eastAsia"/>
        </w:rPr>
        <w:t>，即</w:t>
      </w:r>
      <w:r w:rsidRPr="00DA3BC7">
        <w:rPr>
          <w:rFonts w:ascii="新細明體" w:hAnsi="新細明體" w:hint="eastAsia"/>
        </w:rPr>
        <w:t>是執斷、執常、執一、執異等</w:t>
      </w:r>
      <w:r w:rsidRPr="00DA3BC7">
        <w:rPr>
          <w:rFonts w:hint="eastAsia"/>
        </w:rPr>
        <w:t>。</w:t>
      </w:r>
    </w:p>
    <w:p w:rsidR="002B682F" w:rsidRPr="00DA3BC7" w:rsidRDefault="002B682F" w:rsidP="00AE3920">
      <w:pPr>
        <w:spacing w:beforeLines="20"/>
        <w:ind w:leftChars="200" w:left="480"/>
        <w:jc w:val="both"/>
        <w:rPr>
          <w:rFonts w:eastAsia="SimSun"/>
        </w:rPr>
      </w:pPr>
      <w:r w:rsidRPr="00DA3BC7">
        <w:rPr>
          <w:rFonts w:hint="eastAsia"/>
        </w:rPr>
        <w:t>佛為說</w:t>
      </w:r>
      <w:r w:rsidRPr="00DA3BC7">
        <w:rPr>
          <w:rFonts w:hint="eastAsia"/>
          <w:b/>
        </w:rPr>
        <w:t>緣起的生滅</w:t>
      </w:r>
      <w:r w:rsidRPr="00DA3BC7">
        <w:rPr>
          <w:rFonts w:hint="eastAsia"/>
        </w:rPr>
        <w:t>，即洗除斷常、一異、去來等的自性執。遮除此等妄執而顯示的緣起的生滅，即</w:t>
      </w:r>
      <w:r w:rsidRPr="00DA3BC7">
        <w:rPr>
          <w:rFonts w:hint="eastAsia"/>
          <w:b/>
        </w:rPr>
        <w:t>能隨順空義而契入涅槃的不生不滅</w:t>
      </w:r>
      <w:r w:rsidRPr="00DA3BC7">
        <w:rPr>
          <w:rFonts w:hint="eastAsia"/>
        </w:rPr>
        <w:t>。</w:t>
      </w:r>
    </w:p>
    <w:p w:rsidR="002B682F" w:rsidRPr="00DA3BC7" w:rsidRDefault="002B682F" w:rsidP="00AE3920">
      <w:pPr>
        <w:spacing w:beforeLines="20"/>
        <w:ind w:leftChars="200" w:left="480"/>
        <w:jc w:val="both"/>
        <w:rPr>
          <w:rFonts w:eastAsia="SimSun"/>
        </w:rPr>
      </w:pPr>
      <w:r w:rsidRPr="00DA3BC7">
        <w:rPr>
          <w:rFonts w:hint="eastAsia"/>
        </w:rPr>
        <w:t>約有為虛妄，遮除妄執而契證無為，與中觀師所說的並沒有甚麼不同，但不須中觀師所說的八不。</w:t>
      </w:r>
    </w:p>
    <w:p w:rsidR="002B682F" w:rsidRPr="00DA3BC7" w:rsidRDefault="000E59D5" w:rsidP="00AE3920">
      <w:pPr>
        <w:spacing w:beforeLines="30"/>
        <w:ind w:leftChars="200" w:left="480"/>
        <w:jc w:val="both"/>
        <w:rPr>
          <w:rFonts w:ascii="新細明體" w:hAnsi="新細明體"/>
          <w:b/>
          <w:sz w:val="20"/>
          <w:szCs w:val="20"/>
          <w:bdr w:val="single" w:sz="4" w:space="0" w:color="auto"/>
        </w:rPr>
      </w:pPr>
      <w:r w:rsidRPr="000E59D5">
        <w:rPr>
          <w:rFonts w:ascii="Times New Roman" w:hAnsi="Times New Roman" w:hint="eastAsia"/>
          <w:b/>
          <w:color w:val="FF0000"/>
          <w:sz w:val="20"/>
          <w:szCs w:val="20"/>
          <w:highlight w:val="yellow"/>
          <w:bdr w:val="single" w:sz="4" w:space="0" w:color="auto"/>
        </w:rPr>
        <w:t>2</w:t>
      </w:r>
      <w:r w:rsidRPr="000E59D5">
        <w:rPr>
          <w:rFonts w:ascii="Times New Roman" w:hAnsi="Times New Roman" w:hint="eastAsia"/>
          <w:b/>
          <w:color w:val="FF0000"/>
          <w:sz w:val="20"/>
          <w:szCs w:val="20"/>
          <w:highlight w:val="yellow"/>
          <w:bdr w:val="single" w:sz="4" w:space="0" w:color="auto"/>
        </w:rPr>
        <w:t>、引《中論》為證</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100</w:t>
      </w:r>
      <w:r w:rsidR="002B682F" w:rsidRPr="00DA3BC7">
        <w:rPr>
          <w:rFonts w:ascii="Times Ext Roman" w:hAnsi="Times Ext Roman" w:cs="Times Ext Roman" w:hint="eastAsia"/>
          <w:sz w:val="20"/>
          <w:szCs w:val="20"/>
        </w:rPr>
        <w:t>）</w:t>
      </w:r>
    </w:p>
    <w:p w:rsidR="000E59D5" w:rsidRDefault="002B682F" w:rsidP="00BA3856">
      <w:pPr>
        <w:ind w:leftChars="200" w:left="480"/>
        <w:jc w:val="both"/>
      </w:pPr>
      <w:r w:rsidRPr="00DA3BC7">
        <w:rPr>
          <w:rFonts w:hint="eastAsia"/>
        </w:rPr>
        <w:t>這在《中論》也還保存此古意，</w:t>
      </w:r>
    </w:p>
    <w:p w:rsidR="002B682F" w:rsidRPr="00DA3BC7" w:rsidRDefault="002B682F" w:rsidP="00BA3856">
      <w:pPr>
        <w:ind w:leftChars="200" w:left="480"/>
        <w:jc w:val="both"/>
        <w:rPr>
          <w:rFonts w:eastAsia="SimSun"/>
        </w:rPr>
      </w:pPr>
      <w:r w:rsidRPr="00DA3BC7">
        <w:rPr>
          <w:rFonts w:hint="eastAsia"/>
        </w:rPr>
        <w:t>如〈</w:t>
      </w:r>
      <w:r w:rsidRPr="00DA3BC7">
        <w:rPr>
          <w:rFonts w:ascii="Times New Roman" w:eastAsia="SimSun" w:hAnsi="Times New Roman" w:hint="eastAsia"/>
        </w:rPr>
        <w:t>18</w:t>
      </w:r>
      <w:r w:rsidRPr="00DA3BC7">
        <w:rPr>
          <w:rFonts w:hint="eastAsia"/>
        </w:rPr>
        <w:t>觀法品〉說：「</w:t>
      </w:r>
      <w:r w:rsidRPr="00DA3BC7">
        <w:rPr>
          <w:rFonts w:ascii="標楷體" w:eastAsia="標楷體" w:hAnsi="標楷體" w:hint="eastAsia"/>
        </w:rPr>
        <w:t>若法從緣生，不即不異因，是故名實相，不斷亦不常</w:t>
      </w:r>
      <w:r w:rsidRPr="00DA3BC7">
        <w:rPr>
          <w:rFonts w:hint="eastAsia"/>
        </w:rPr>
        <w:t>。」</w:t>
      </w:r>
      <w:r w:rsidRPr="00DA3BC7">
        <w:rPr>
          <w:rStyle w:val="a6"/>
          <w:rFonts w:ascii="Times New Roman" w:hAnsi="Times New Roman"/>
        </w:rPr>
        <w:footnoteReference w:id="479"/>
      </w:r>
      <w:r w:rsidRPr="00DA3BC7">
        <w:rPr>
          <w:rFonts w:hint="eastAsia"/>
        </w:rPr>
        <w:t>諸法從因緣生，非是無因生，從此遮除</w:t>
      </w:r>
      <w:r w:rsidRPr="00DA3BC7">
        <w:rPr>
          <w:rFonts w:hint="eastAsia"/>
          <w:b/>
        </w:rPr>
        <w:t>斷常、一異</w:t>
      </w:r>
      <w:r w:rsidRPr="00DA3BC7">
        <w:rPr>
          <w:rFonts w:hint="eastAsia"/>
        </w:rPr>
        <w:t>等過，即</w:t>
      </w:r>
      <w:r w:rsidRPr="00DA3BC7">
        <w:rPr>
          <w:rFonts w:hint="eastAsia"/>
        </w:rPr>
        <w:lastRenderedPageBreak/>
        <w:t>名實相。</w:t>
      </w:r>
    </w:p>
    <w:p w:rsidR="002B682F" w:rsidRPr="00DA3BC7" w:rsidRDefault="002B682F" w:rsidP="00AE3920">
      <w:pPr>
        <w:spacing w:beforeLines="20"/>
        <w:ind w:leftChars="200" w:left="480"/>
        <w:jc w:val="both"/>
        <w:rPr>
          <w:rFonts w:eastAsia="SimSun"/>
        </w:rPr>
      </w:pPr>
      <w:r w:rsidRPr="00DA3BC7">
        <w:rPr>
          <w:rFonts w:hint="eastAsia"/>
        </w:rPr>
        <w:t>論又說：「</w:t>
      </w:r>
      <w:r w:rsidRPr="00DA3BC7">
        <w:rPr>
          <w:rFonts w:ascii="標楷體" w:eastAsia="標楷體" w:hAnsi="標楷體" w:hint="eastAsia"/>
        </w:rPr>
        <w:t>不一亦不異，不常亦不斷，是名諸世尊，教化甘露味</w:t>
      </w:r>
      <w:r w:rsidRPr="00DA3BC7">
        <w:rPr>
          <w:rFonts w:hint="eastAsia"/>
        </w:rPr>
        <w:t>。」</w:t>
      </w:r>
      <w:r w:rsidRPr="00DA3BC7">
        <w:rPr>
          <w:rStyle w:val="a6"/>
          <w:rFonts w:ascii="Times New Roman" w:hAnsi="Times New Roman"/>
        </w:rPr>
        <w:footnoteReference w:id="480"/>
      </w:r>
    </w:p>
    <w:p w:rsidR="002B682F" w:rsidRPr="00DA3BC7" w:rsidRDefault="002B682F" w:rsidP="00AE3920">
      <w:pPr>
        <w:spacing w:beforeLines="20"/>
        <w:ind w:leftChars="200" w:left="480"/>
        <w:jc w:val="both"/>
      </w:pPr>
      <w:r w:rsidRPr="00DA3BC7">
        <w:rPr>
          <w:rFonts w:hint="eastAsia"/>
        </w:rPr>
        <w:t>這即是說：世尊的妙法甘露──緣起（生滅），即能遮眾生妄執的</w:t>
      </w:r>
      <w:r w:rsidRPr="00DA3BC7">
        <w:rPr>
          <w:rFonts w:hint="eastAsia"/>
          <w:b/>
        </w:rPr>
        <w:t>斷常、一異</w:t>
      </w:r>
      <w:r w:rsidRPr="00DA3BC7">
        <w:rPr>
          <w:rFonts w:hint="eastAsia"/>
        </w:rPr>
        <w:t>。世尊教化的甘露味，能遮外道的情執，契合於甚深義──《阿含經》即說緣起是甚深的，決非取相的學者所知。</w:t>
      </w:r>
    </w:p>
    <w:p w:rsidR="000E59D5" w:rsidRPr="00DA3BC7" w:rsidRDefault="000E59D5" w:rsidP="00AE3920">
      <w:pPr>
        <w:spacing w:beforeLines="30"/>
        <w:ind w:leftChars="100" w:left="240"/>
        <w:jc w:val="both"/>
        <w:rPr>
          <w:rFonts w:eastAsia="SimSun"/>
          <w:sz w:val="20"/>
          <w:szCs w:val="20"/>
          <w:bdr w:val="single" w:sz="4" w:space="0" w:color="auto"/>
        </w:rPr>
      </w:pPr>
      <w:r w:rsidRPr="000E59D5">
        <w:rPr>
          <w:rFonts w:hint="eastAsia"/>
          <w:b/>
          <w:bCs/>
          <w:color w:val="FF0000"/>
          <w:sz w:val="20"/>
          <w:szCs w:val="20"/>
          <w:highlight w:val="yellow"/>
          <w:bdr w:val="single" w:sz="4" w:space="0" w:color="auto"/>
        </w:rPr>
        <w:t>三</w:t>
      </w:r>
      <w:r w:rsidRPr="000E59D5">
        <w:rPr>
          <w:b/>
          <w:bCs/>
          <w:color w:val="FF0000"/>
          <w:sz w:val="20"/>
          <w:szCs w:val="20"/>
          <w:highlight w:val="yellow"/>
          <w:bdr w:val="single" w:sz="4" w:space="0" w:color="auto"/>
        </w:rPr>
        <w:t>、</w:t>
      </w:r>
      <w:r w:rsidRPr="000E59D5">
        <w:rPr>
          <w:rFonts w:hint="eastAsia"/>
          <w:b/>
          <w:bCs/>
          <w:color w:val="FF0000"/>
          <w:sz w:val="20"/>
          <w:szCs w:val="20"/>
          <w:highlight w:val="yellow"/>
          <w:bdr w:val="single" w:sz="4" w:space="0" w:color="auto"/>
        </w:rPr>
        <w:t>結前啟後</w:t>
      </w:r>
      <w:r w:rsidRPr="00DA3BC7">
        <w:rPr>
          <w:rFonts w:ascii="Times Ext Roman" w:hAnsi="Times Ext Roman" w:cs="Times Ext Roman" w:hint="eastAsia"/>
          <w:sz w:val="20"/>
          <w:szCs w:val="20"/>
        </w:rPr>
        <w:t>（</w:t>
      </w:r>
      <w:r w:rsidRPr="00DA3BC7">
        <w:rPr>
          <w:rFonts w:ascii="Times New Roman" w:hAnsi="Times New Roman"/>
          <w:sz w:val="20"/>
          <w:szCs w:val="20"/>
        </w:rPr>
        <w:t>p</w:t>
      </w:r>
      <w:r w:rsidRPr="00DA3BC7">
        <w:rPr>
          <w:sz w:val="20"/>
          <w:szCs w:val="20"/>
        </w:rPr>
        <w:t>.</w:t>
      </w:r>
      <w:r w:rsidRPr="00DA3BC7">
        <w:rPr>
          <w:rFonts w:ascii="Times New Roman" w:eastAsia="SimSun" w:hAnsi="Times New Roman"/>
          <w:sz w:val="20"/>
          <w:szCs w:val="20"/>
        </w:rPr>
        <w:t>100</w:t>
      </w:r>
      <w:r w:rsidRPr="00DA3BC7">
        <w:rPr>
          <w:rFonts w:ascii="Times Ext Roman" w:hAnsi="Times Ext Roman" w:cs="Times Ext Roman" w:hint="eastAsia"/>
          <w:sz w:val="20"/>
          <w:szCs w:val="20"/>
        </w:rPr>
        <w:t>）</w:t>
      </w:r>
    </w:p>
    <w:p w:rsidR="002B682F" w:rsidRPr="00DA3BC7" w:rsidRDefault="002B682F" w:rsidP="00BA3856">
      <w:pPr>
        <w:ind w:leftChars="100" w:left="240"/>
        <w:jc w:val="both"/>
      </w:pPr>
      <w:r w:rsidRPr="00DA3BC7">
        <w:rPr>
          <w:rFonts w:hint="eastAsia"/>
        </w:rPr>
        <w:t>佛弟子依自己所體驗到的，窺見釋尊緣起的根本深義，與適應時代的偏執，所以廣說法空。今</w:t>
      </w:r>
      <w:r w:rsidRPr="00DA3BC7">
        <w:rPr>
          <w:rFonts w:hint="eastAsia"/>
          <w:b/>
        </w:rPr>
        <w:t>龍樹即總攝為八不，以彰顯佛法深義</w:t>
      </w:r>
      <w:r w:rsidRPr="00DA3BC7">
        <w:rPr>
          <w:rFonts w:hint="eastAsia"/>
        </w:rPr>
        <w:t>。</w:t>
      </w:r>
    </w:p>
    <w:p w:rsidR="002B682F" w:rsidRPr="00DA3BC7" w:rsidRDefault="000E59D5" w:rsidP="00AE3920">
      <w:pPr>
        <w:spacing w:beforeLines="30"/>
        <w:ind w:leftChars="50" w:left="120"/>
        <w:jc w:val="both"/>
        <w:rPr>
          <w:rFonts w:eastAsia="SimSun"/>
          <w:sz w:val="20"/>
          <w:szCs w:val="20"/>
          <w:bdr w:val="single" w:sz="4" w:space="0" w:color="auto"/>
        </w:rPr>
      </w:pPr>
      <w:r w:rsidRPr="000E59D5">
        <w:rPr>
          <w:b/>
          <w:color w:val="FF0000"/>
          <w:sz w:val="20"/>
          <w:szCs w:val="20"/>
          <w:highlight w:val="yellow"/>
          <w:bdr w:val="single" w:sz="4" w:space="0" w:color="auto"/>
        </w:rPr>
        <w:t>（</w:t>
      </w:r>
      <w:r w:rsidRPr="000E59D5">
        <w:rPr>
          <w:rFonts w:hint="eastAsia"/>
          <w:b/>
          <w:color w:val="FF0000"/>
          <w:sz w:val="20"/>
          <w:szCs w:val="20"/>
          <w:highlight w:val="yellow"/>
          <w:bdr w:val="single" w:sz="4" w:space="0" w:color="auto"/>
        </w:rPr>
        <w:t>貳</w:t>
      </w:r>
      <w:r w:rsidRPr="000E59D5">
        <w:rPr>
          <w:b/>
          <w:color w:val="FF0000"/>
          <w:sz w:val="20"/>
          <w:szCs w:val="20"/>
          <w:highlight w:val="yellow"/>
          <w:bdr w:val="single" w:sz="4" w:space="0" w:color="auto"/>
        </w:rPr>
        <w:t>）</w:t>
      </w:r>
      <w:r w:rsidRPr="000E59D5">
        <w:rPr>
          <w:rFonts w:hint="eastAsia"/>
          <w:b/>
          <w:bCs/>
          <w:color w:val="FF0000"/>
          <w:sz w:val="20"/>
          <w:szCs w:val="20"/>
          <w:highlight w:val="yellow"/>
          <w:bdr w:val="single" w:sz="4" w:space="0" w:color="auto"/>
        </w:rPr>
        <w:t>別辨</w:t>
      </w:r>
      <w:r>
        <w:rPr>
          <w:rFonts w:hint="eastAsia"/>
          <w:b/>
          <w:bCs/>
          <w:color w:val="FF0000"/>
          <w:sz w:val="20"/>
          <w:szCs w:val="20"/>
          <w:highlight w:val="yellow"/>
          <w:bdr w:val="single" w:sz="4" w:space="0" w:color="auto"/>
        </w:rPr>
        <w:t>「八不四事」</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eastAsia="SimSun" w:hAnsi="Times New Roman"/>
          <w:sz w:val="20"/>
          <w:szCs w:val="20"/>
        </w:rPr>
        <w:t>100</w:t>
      </w:r>
      <w:r w:rsidR="002B682F" w:rsidRPr="00DA3BC7">
        <w:rPr>
          <w:sz w:val="20"/>
          <w:szCs w:val="20"/>
        </w:rPr>
        <w:t>-</w:t>
      </w:r>
      <w:r w:rsidR="002B682F" w:rsidRPr="00DA3BC7">
        <w:rPr>
          <w:rFonts w:ascii="Times New Roman" w:eastAsia="SimSun" w:hAnsi="Times New Roman"/>
          <w:sz w:val="20"/>
          <w:szCs w:val="20"/>
        </w:rPr>
        <w:t>104</w:t>
      </w:r>
      <w:r w:rsidR="002B682F" w:rsidRPr="00DA3BC7">
        <w:rPr>
          <w:rFonts w:ascii="Times Ext Roman" w:hAnsi="Times Ext Roman" w:cs="Times Ext Roman" w:hint="eastAsia"/>
          <w:sz w:val="20"/>
          <w:szCs w:val="20"/>
        </w:rPr>
        <w:t>）</w:t>
      </w:r>
    </w:p>
    <w:p w:rsidR="000E59D5" w:rsidRDefault="000E59D5" w:rsidP="00BA3856">
      <w:pPr>
        <w:ind w:leftChars="100" w:left="240"/>
        <w:jc w:val="both"/>
        <w:rPr>
          <w:b/>
          <w:sz w:val="20"/>
          <w:szCs w:val="20"/>
          <w:bdr w:val="single" w:sz="4" w:space="0" w:color="auto"/>
        </w:rPr>
      </w:pPr>
      <w:r w:rsidRPr="000E59D5">
        <w:rPr>
          <w:rFonts w:hint="eastAsia"/>
          <w:b/>
          <w:color w:val="FF0000"/>
          <w:sz w:val="20"/>
          <w:szCs w:val="20"/>
          <w:highlight w:val="yellow"/>
          <w:bdr w:val="single" w:sz="4" w:space="0" w:color="auto"/>
        </w:rPr>
        <w:t>一、</w:t>
      </w:r>
      <w:r>
        <w:rPr>
          <w:rFonts w:hint="eastAsia"/>
          <w:b/>
          <w:sz w:val="20"/>
          <w:szCs w:val="20"/>
          <w:bdr w:val="single" w:sz="4" w:space="0" w:color="auto"/>
        </w:rPr>
        <w:t>不生不滅</w:t>
      </w:r>
    </w:p>
    <w:p w:rsidR="002B682F" w:rsidRPr="00DA3BC7" w:rsidRDefault="000E59D5" w:rsidP="00BA3856">
      <w:pPr>
        <w:ind w:leftChars="150" w:left="360"/>
        <w:jc w:val="both"/>
        <w:rPr>
          <w:rFonts w:eastAsia="SimSun"/>
          <w:sz w:val="20"/>
          <w:szCs w:val="20"/>
          <w:bdr w:val="single" w:sz="4" w:space="0" w:color="auto"/>
        </w:rPr>
      </w:pPr>
      <w:r w:rsidRPr="000E59D5">
        <w:rPr>
          <w:rFonts w:hint="eastAsia"/>
          <w:b/>
          <w:color w:val="FF0000"/>
          <w:sz w:val="20"/>
          <w:szCs w:val="20"/>
          <w:highlight w:val="yellow"/>
          <w:bdr w:val="single" w:sz="4" w:space="0" w:color="auto"/>
        </w:rPr>
        <w:t>（一）明要</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hAnsi="Times New Roman"/>
          <w:sz w:val="20"/>
          <w:szCs w:val="20"/>
        </w:rPr>
        <w:t>100</w:t>
      </w:r>
      <w:r w:rsidR="002B682F" w:rsidRPr="00DA3BC7">
        <w:rPr>
          <w:rFonts w:hint="eastAsia"/>
          <w:sz w:val="20"/>
          <w:szCs w:val="20"/>
        </w:rPr>
        <w:t>-</w:t>
      </w:r>
      <w:r w:rsidR="002B682F" w:rsidRPr="00DA3BC7">
        <w:rPr>
          <w:rFonts w:ascii="Times New Roman" w:hAnsi="Times New Roman" w:hint="eastAsia"/>
          <w:sz w:val="20"/>
          <w:szCs w:val="20"/>
        </w:rPr>
        <w:t>101</w:t>
      </w:r>
      <w:r w:rsidR="002B682F" w:rsidRPr="00DA3BC7">
        <w:rPr>
          <w:rFonts w:ascii="Times Ext Roman" w:hAnsi="Times Ext Roman" w:cs="Times Ext Roman" w:hint="eastAsia"/>
          <w:sz w:val="20"/>
          <w:szCs w:val="20"/>
        </w:rPr>
        <w:t>）</w:t>
      </w:r>
    </w:p>
    <w:p w:rsidR="002B682F" w:rsidRPr="00DA3BC7" w:rsidRDefault="002B682F" w:rsidP="00BA3856">
      <w:pPr>
        <w:ind w:leftChars="150" w:left="360"/>
        <w:jc w:val="both"/>
        <w:rPr>
          <w:rFonts w:eastAsia="SimSun"/>
        </w:rPr>
      </w:pPr>
      <w:r w:rsidRPr="00DA3BC7">
        <w:rPr>
          <w:rFonts w:hint="eastAsia"/>
        </w:rPr>
        <w:t>八不所不的八不四事</w:t>
      </w:r>
      <w:r w:rsidR="000E59D5" w:rsidRPr="000E59D5">
        <w:rPr>
          <w:rStyle w:val="a6"/>
          <w:rFonts w:ascii="Times New Roman" w:hAnsi="Times New Roman"/>
          <w:color w:val="FF0000"/>
          <w:highlight w:val="yellow"/>
        </w:rPr>
        <w:footnoteReference w:id="481"/>
      </w:r>
      <w:r w:rsidRPr="00DA3BC7">
        <w:rPr>
          <w:rFonts w:hint="eastAsia"/>
        </w:rPr>
        <w:t>，已如上說。</w:t>
      </w:r>
      <w:r w:rsidRPr="00DA3BC7">
        <w:rPr>
          <w:rStyle w:val="a6"/>
          <w:rFonts w:ascii="Times New Roman" w:hAnsi="Times New Roman"/>
        </w:rPr>
        <w:footnoteReference w:id="482"/>
      </w:r>
      <w:r w:rsidRPr="00DA3BC7">
        <w:rPr>
          <w:rFonts w:hint="eastAsia"/>
        </w:rPr>
        <w:t>不的根據，即依緣起法而通達自性不可得。如生滅，〈</w:t>
      </w:r>
      <w:r w:rsidRPr="00DA3BC7">
        <w:rPr>
          <w:rFonts w:ascii="Times New Roman" w:eastAsia="SimSun" w:hAnsi="Times New Roman" w:hint="eastAsia"/>
        </w:rPr>
        <w:t>21</w:t>
      </w:r>
      <w:r w:rsidRPr="00DA3BC7">
        <w:rPr>
          <w:rFonts w:eastAsia="SimSun"/>
        </w:rPr>
        <w:t xml:space="preserve"> </w:t>
      </w:r>
      <w:r w:rsidRPr="00DA3BC7">
        <w:rPr>
          <w:rFonts w:hint="eastAsia"/>
        </w:rPr>
        <w:t>觀成壞品〉云：「</w:t>
      </w:r>
      <w:r w:rsidRPr="00DA3BC7">
        <w:rPr>
          <w:rFonts w:ascii="標楷體" w:eastAsia="標楷體" w:hAnsi="標楷體" w:hint="eastAsia"/>
        </w:rPr>
        <w:t>若謂以現見，而有生滅者，則為是癡妄，而見有生滅</w:t>
      </w:r>
      <w:r w:rsidRPr="00DA3BC7">
        <w:rPr>
          <w:rFonts w:hint="eastAsia"/>
        </w:rPr>
        <w:t>。」</w:t>
      </w:r>
      <w:r w:rsidRPr="00DA3BC7">
        <w:rPr>
          <w:rStyle w:val="a6"/>
          <w:rFonts w:ascii="Times New Roman" w:hAnsi="Times New Roman"/>
        </w:rPr>
        <w:footnoteReference w:id="483"/>
      </w:r>
      <w:r w:rsidRPr="00DA3BC7">
        <w:rPr>
          <w:rFonts w:hint="eastAsia"/>
        </w:rPr>
        <w:t>現見，不但是世俗的眼見，更是外道們由定心</w:t>
      </w:r>
      <w:r w:rsidRPr="00DA3BC7">
        <w:rPr>
          <w:rFonts w:hint="eastAsia"/>
        </w:rPr>
        <w:lastRenderedPageBreak/>
        <w:t>直覺到的。若以為定中親證法有生滅，這不是真悟，而反是愚癡妄計。因為諸法的自性不可得，更何可說法生法滅？如〈</w:t>
      </w:r>
      <w:r w:rsidR="007C39E5" w:rsidRPr="007C39E5">
        <w:rPr>
          <w:rFonts w:ascii="Times New Roman" w:hAnsi="Times New Roman" w:hint="eastAsia"/>
        </w:rPr>
        <w:t>17</w:t>
      </w:r>
      <w:r w:rsidR="007C39E5">
        <w:rPr>
          <w:rFonts w:ascii="Times New Roman" w:hAnsi="Times New Roman" w:hint="eastAsia"/>
        </w:rPr>
        <w:t xml:space="preserve"> </w:t>
      </w:r>
      <w:r w:rsidRPr="00DA3BC7">
        <w:rPr>
          <w:rFonts w:hint="eastAsia"/>
        </w:rPr>
        <w:t>觀業品〉中說：「</w:t>
      </w:r>
      <w:r w:rsidRPr="00DA3BC7">
        <w:rPr>
          <w:rFonts w:ascii="標楷體" w:eastAsia="標楷體" w:hAnsi="標楷體" w:hint="eastAsia"/>
        </w:rPr>
        <w:t>諸業本不生，以無定性故；諸業亦不滅，以其不生故</w:t>
      </w:r>
      <w:r w:rsidRPr="00DA3BC7">
        <w:rPr>
          <w:rFonts w:hint="eastAsia"/>
        </w:rPr>
        <w:t>。」</w:t>
      </w:r>
      <w:r w:rsidRPr="00DA3BC7">
        <w:rPr>
          <w:rStyle w:val="a6"/>
          <w:rFonts w:ascii="Times New Roman" w:hAnsi="Times New Roman"/>
        </w:rPr>
        <w:footnoteReference w:id="484"/>
      </w:r>
      <w:r w:rsidRPr="00DA3BC7">
        <w:rPr>
          <w:rFonts w:hint="eastAsia"/>
        </w:rPr>
        <w:t>詳此，可知諸法的不生不滅等，即因諸法之本無自性而說。</w:t>
      </w:r>
    </w:p>
    <w:p w:rsidR="002B682F" w:rsidRPr="00DA3BC7" w:rsidRDefault="002B682F" w:rsidP="00AE3920">
      <w:pPr>
        <w:spacing w:beforeLines="30"/>
        <w:ind w:leftChars="150" w:left="360"/>
        <w:jc w:val="both"/>
        <w:rPr>
          <w:rFonts w:eastAsia="SimSun"/>
          <w:sz w:val="20"/>
          <w:szCs w:val="20"/>
          <w:bdr w:val="single" w:sz="4" w:space="0" w:color="auto"/>
        </w:rPr>
      </w:pPr>
      <w:r w:rsidRPr="000E59D5">
        <w:rPr>
          <w:rFonts w:hint="eastAsia"/>
          <w:b/>
          <w:color w:val="FF0000"/>
          <w:sz w:val="20"/>
          <w:szCs w:val="20"/>
          <w:highlight w:val="yellow"/>
          <w:bdr w:val="single" w:sz="4" w:space="0" w:color="auto"/>
        </w:rPr>
        <w:t>（</w:t>
      </w:r>
      <w:r w:rsidR="000E59D5" w:rsidRPr="000E59D5">
        <w:rPr>
          <w:rFonts w:hint="eastAsia"/>
          <w:b/>
          <w:color w:val="FF0000"/>
          <w:sz w:val="20"/>
          <w:szCs w:val="20"/>
          <w:highlight w:val="yellow"/>
          <w:bdr w:val="single" w:sz="4" w:space="0" w:color="auto"/>
        </w:rPr>
        <w:t>二</w:t>
      </w:r>
      <w:r w:rsidRPr="000E59D5">
        <w:rPr>
          <w:rFonts w:hint="eastAsia"/>
          <w:b/>
          <w:color w:val="FF0000"/>
          <w:sz w:val="20"/>
          <w:szCs w:val="20"/>
          <w:highlight w:val="yellow"/>
          <w:bdr w:val="single" w:sz="4" w:space="0" w:color="auto"/>
        </w:rPr>
        <w:t>）</w:t>
      </w:r>
      <w:r w:rsidR="000E59D5" w:rsidRPr="000E59D5">
        <w:rPr>
          <w:rFonts w:hint="eastAsia"/>
          <w:b/>
          <w:color w:val="FF0000"/>
          <w:sz w:val="20"/>
          <w:szCs w:val="20"/>
          <w:highlight w:val="yellow"/>
          <w:bdr w:val="single" w:sz="4" w:space="0" w:color="auto"/>
        </w:rPr>
        <w:t>詳</w:t>
      </w:r>
      <w:r w:rsidRPr="00DA3BC7">
        <w:rPr>
          <w:rFonts w:hint="eastAsia"/>
          <w:b/>
          <w:sz w:val="20"/>
          <w:szCs w:val="20"/>
          <w:bdr w:val="single" w:sz="4" w:space="0" w:color="auto"/>
        </w:rPr>
        <w:t>論「不生」</w:t>
      </w:r>
      <w:r w:rsidRPr="00DA3BC7">
        <w:rPr>
          <w:rFonts w:ascii="Times Ext Roman" w:hAnsi="Times Ext Roman" w:cs="Times Ext Roman" w:hint="eastAsia"/>
          <w:sz w:val="20"/>
          <w:szCs w:val="20"/>
        </w:rPr>
        <w:t>（</w:t>
      </w:r>
      <w:r w:rsidRPr="00DA3BC7">
        <w:rPr>
          <w:rFonts w:ascii="Times New Roman" w:hAnsi="Times New Roman"/>
          <w:sz w:val="20"/>
          <w:szCs w:val="20"/>
        </w:rPr>
        <w:t>pp</w:t>
      </w:r>
      <w:r w:rsidRPr="00DA3BC7">
        <w:rPr>
          <w:sz w:val="20"/>
          <w:szCs w:val="20"/>
        </w:rPr>
        <w:t>.</w:t>
      </w:r>
      <w:r w:rsidRPr="00DA3BC7">
        <w:rPr>
          <w:rFonts w:ascii="Times New Roman" w:eastAsia="SimSun" w:hAnsi="Times New Roman"/>
          <w:sz w:val="20"/>
          <w:szCs w:val="20"/>
        </w:rPr>
        <w:t>10</w:t>
      </w:r>
      <w:r w:rsidRPr="00DA3BC7">
        <w:rPr>
          <w:rFonts w:ascii="Times New Roman" w:hAnsi="Times New Roman" w:hint="eastAsia"/>
          <w:sz w:val="20"/>
          <w:szCs w:val="20"/>
        </w:rPr>
        <w:t>1</w:t>
      </w:r>
      <w:r w:rsidRPr="00DA3BC7">
        <w:rPr>
          <w:sz w:val="20"/>
          <w:szCs w:val="20"/>
        </w:rPr>
        <w:t>-</w:t>
      </w:r>
      <w:r w:rsidRPr="00DA3BC7">
        <w:rPr>
          <w:rFonts w:ascii="Times New Roman" w:eastAsia="SimSun" w:hAnsi="Times New Roman"/>
          <w:sz w:val="20"/>
          <w:szCs w:val="20"/>
        </w:rPr>
        <w:t>104</w:t>
      </w:r>
      <w:r w:rsidRPr="00DA3BC7">
        <w:rPr>
          <w:rFonts w:ascii="Times Ext Roman" w:hAnsi="Times Ext Roman" w:cs="Times Ext Roman" w:hint="eastAsia"/>
          <w:sz w:val="20"/>
          <w:szCs w:val="20"/>
        </w:rPr>
        <w:t>）</w:t>
      </w:r>
    </w:p>
    <w:p w:rsidR="002B682F" w:rsidRPr="00DA3BC7" w:rsidRDefault="000E59D5" w:rsidP="00BA3856">
      <w:pPr>
        <w:ind w:leftChars="200" w:left="480"/>
        <w:jc w:val="both"/>
        <w:rPr>
          <w:b/>
          <w:bdr w:val="single" w:sz="4" w:space="0" w:color="auto"/>
        </w:rPr>
      </w:pPr>
      <w:r w:rsidRPr="000E59D5">
        <w:rPr>
          <w:rFonts w:ascii="Times New Roman" w:hAnsi="Times New Roman" w:hint="eastAsia"/>
          <w:b/>
          <w:color w:val="FF0000"/>
          <w:sz w:val="20"/>
          <w:szCs w:val="20"/>
          <w:highlight w:val="yellow"/>
          <w:bdr w:val="single" w:sz="4" w:space="0" w:color="auto"/>
        </w:rPr>
        <w:t>1</w:t>
      </w:r>
      <w:r w:rsidR="002B682F" w:rsidRPr="00DA3BC7">
        <w:rPr>
          <w:rFonts w:hint="eastAsia"/>
          <w:b/>
          <w:sz w:val="20"/>
          <w:szCs w:val="20"/>
          <w:bdr w:val="single" w:sz="4" w:space="0" w:color="auto"/>
        </w:rPr>
        <w:t>、總</w:t>
      </w:r>
      <w:r w:rsidR="002B682F" w:rsidRPr="000E59D5">
        <w:rPr>
          <w:rFonts w:hint="eastAsia"/>
          <w:b/>
          <w:sz w:val="20"/>
          <w:szCs w:val="20"/>
          <w:highlight w:val="yellow"/>
          <w:bdr w:val="single" w:sz="4" w:space="0" w:color="auto"/>
        </w:rPr>
        <w:t>標</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101</w:t>
      </w:r>
      <w:r w:rsidR="002B682F" w:rsidRPr="00DA3BC7">
        <w:rPr>
          <w:rFonts w:ascii="Times Ext Roman" w:hAnsi="Times Ext Roman" w:cs="Times Ext Roman" w:hint="eastAsia"/>
          <w:sz w:val="20"/>
          <w:szCs w:val="20"/>
        </w:rPr>
        <w:t>）</w:t>
      </w:r>
    </w:p>
    <w:p w:rsidR="002B682F" w:rsidRPr="00DA3BC7" w:rsidRDefault="002B682F" w:rsidP="00BA3856">
      <w:pPr>
        <w:ind w:leftChars="200" w:left="480"/>
        <w:jc w:val="both"/>
      </w:pPr>
      <w:r w:rsidRPr="00DA3BC7">
        <w:rPr>
          <w:rFonts w:hint="eastAsia"/>
        </w:rPr>
        <w:t>龍樹論中偏重破生，</w:t>
      </w:r>
      <w:r w:rsidR="007C39E5" w:rsidRPr="007C39E5">
        <w:rPr>
          <w:rFonts w:hint="eastAsia"/>
          <w:b/>
          <w:u w:val="wave" w:color="C00000"/>
        </w:rPr>
        <w:t>生</w:t>
      </w:r>
      <w:r w:rsidRPr="00DA3BC7">
        <w:rPr>
          <w:rFonts w:hint="eastAsia"/>
        </w:rPr>
        <w:t>破，</w:t>
      </w:r>
      <w:r w:rsidRPr="007C39E5">
        <w:rPr>
          <w:rFonts w:hint="eastAsia"/>
          <w:b/>
          <w:u w:val="wave" w:color="C00000"/>
        </w:rPr>
        <w:t>滅</w:t>
      </w:r>
      <w:r w:rsidRPr="00DA3BC7">
        <w:rPr>
          <w:rFonts w:hint="eastAsia"/>
        </w:rPr>
        <w:t>當然也不成立。</w:t>
      </w:r>
    </w:p>
    <w:p w:rsidR="002B682F" w:rsidRPr="00DA3BC7" w:rsidRDefault="002B682F" w:rsidP="00AE3920">
      <w:pPr>
        <w:spacing w:beforeLines="20"/>
        <w:ind w:leftChars="200" w:left="480"/>
        <w:jc w:val="both"/>
        <w:rPr>
          <w:rFonts w:eastAsia="SimSun"/>
        </w:rPr>
      </w:pPr>
      <w:r w:rsidRPr="00DA3BC7">
        <w:rPr>
          <w:rFonts w:hint="eastAsia"/>
        </w:rPr>
        <w:t>龍樹破生，是從兩方面而徵破的：</w:t>
      </w:r>
    </w:p>
    <w:p w:rsidR="002B682F" w:rsidRPr="00DA3BC7" w:rsidRDefault="002B682F" w:rsidP="00AE3920">
      <w:pPr>
        <w:spacing w:beforeLines="20"/>
        <w:ind w:leftChars="200" w:left="960" w:hangingChars="200" w:hanging="480"/>
        <w:jc w:val="both"/>
        <w:rPr>
          <w:rFonts w:eastAsia="SimSun"/>
        </w:rPr>
      </w:pPr>
      <w:r w:rsidRPr="00DA3BC7">
        <w:rPr>
          <w:rFonts w:hint="eastAsia"/>
        </w:rPr>
        <w:t>一、推究他如何而生？</w:t>
      </w:r>
    </w:p>
    <w:p w:rsidR="002B682F" w:rsidRPr="00DA3BC7" w:rsidRDefault="002B682F" w:rsidP="00AE3920">
      <w:pPr>
        <w:spacing w:beforeLines="20"/>
        <w:ind w:leftChars="200" w:left="960" w:hangingChars="200" w:hanging="480"/>
        <w:jc w:val="both"/>
      </w:pPr>
      <w:r w:rsidRPr="00DA3BC7">
        <w:rPr>
          <w:rFonts w:hint="eastAsia"/>
        </w:rPr>
        <w:t>二、佛說法生，學者不解佛意，以為「法」是一物，另有名為「生」者，以為「生」能生彼法。這如薩婆多部的不相應行的</w:t>
      </w:r>
      <w:r w:rsidRPr="00DA3BC7">
        <w:rPr>
          <w:rFonts w:hint="eastAsia"/>
          <w:b/>
        </w:rPr>
        <w:t>生滅實法，《中論》</w:t>
      </w:r>
      <w:r w:rsidRPr="00DA3BC7">
        <w:rPr>
          <w:rFonts w:hint="eastAsia"/>
          <w:b/>
        </w:rPr>
        <w:lastRenderedPageBreak/>
        <w:t>的</w:t>
      </w:r>
      <w:r w:rsidRPr="000F4FCA">
        <w:rPr>
          <w:rFonts w:ascii="Times New Roman" w:hAnsi="Times New Roman" w:hint="eastAsia"/>
          <w:b/>
        </w:rPr>
        <w:t>〈</w:t>
      </w:r>
      <w:r w:rsidR="00E61E77" w:rsidRPr="00E61E77">
        <w:rPr>
          <w:rFonts w:ascii="Times New Roman" w:hAnsi="Times New Roman" w:hint="eastAsia"/>
          <w:b/>
          <w:shd w:val="pct15" w:color="auto" w:fill="FFFFFF"/>
        </w:rPr>
        <w:t>7</w:t>
      </w:r>
      <w:r w:rsidR="000F4FCA">
        <w:rPr>
          <w:rFonts w:ascii="Times New Roman" w:hAnsi="Times New Roman" w:hint="eastAsia"/>
          <w:b/>
        </w:rPr>
        <w:t xml:space="preserve"> </w:t>
      </w:r>
      <w:r w:rsidRPr="00DA3BC7">
        <w:rPr>
          <w:rFonts w:hint="eastAsia"/>
          <w:b/>
        </w:rPr>
        <w:t>觀三相品〉即廣破此執</w:t>
      </w:r>
      <w:r w:rsidRPr="00DA3BC7">
        <w:rPr>
          <w:rFonts w:hint="eastAsia"/>
        </w:rPr>
        <w:t>。</w:t>
      </w:r>
      <w:r w:rsidR="000E59D5" w:rsidRPr="000E59D5">
        <w:rPr>
          <w:rStyle w:val="a6"/>
          <w:rFonts w:ascii="Times New Roman" w:hAnsi="Times New Roman"/>
          <w:highlight w:val="yellow"/>
        </w:rPr>
        <w:footnoteReference w:id="485"/>
      </w:r>
    </w:p>
    <w:p w:rsidR="002B682F" w:rsidRPr="00DA3BC7" w:rsidRDefault="000E59D5" w:rsidP="00AE3920">
      <w:pPr>
        <w:spacing w:beforeLines="30"/>
        <w:ind w:leftChars="200" w:left="480"/>
        <w:jc w:val="both"/>
        <w:rPr>
          <w:rFonts w:ascii="新細明體" w:hAnsi="新細明體"/>
          <w:b/>
          <w:sz w:val="20"/>
          <w:szCs w:val="20"/>
          <w:bdr w:val="single" w:sz="4" w:space="0" w:color="auto"/>
        </w:rPr>
      </w:pPr>
      <w:r w:rsidRPr="000E59D5">
        <w:rPr>
          <w:rFonts w:ascii="Times New Roman" w:hAnsi="Times New Roman" w:hint="eastAsia"/>
          <w:b/>
          <w:color w:val="FF0000"/>
          <w:sz w:val="20"/>
          <w:szCs w:val="20"/>
          <w:highlight w:val="yellow"/>
          <w:bdr w:val="single" w:sz="4" w:space="0" w:color="auto"/>
        </w:rPr>
        <w:t>2</w:t>
      </w:r>
      <w:r w:rsidR="002B682F" w:rsidRPr="000E59D5">
        <w:rPr>
          <w:rFonts w:hint="eastAsia"/>
          <w:b/>
          <w:color w:val="FF0000"/>
          <w:sz w:val="20"/>
          <w:szCs w:val="20"/>
          <w:highlight w:val="yellow"/>
          <w:bdr w:val="single" w:sz="4" w:space="0" w:color="auto"/>
        </w:rPr>
        <w:t>、</w:t>
      </w:r>
      <w:r w:rsidR="002B682F" w:rsidRPr="00DA3BC7">
        <w:rPr>
          <w:rFonts w:ascii="新細明體" w:hAnsi="新細明體" w:hint="eastAsia"/>
          <w:b/>
          <w:sz w:val="20"/>
          <w:szCs w:val="20"/>
          <w:bdr w:val="single" w:sz="4" w:space="0" w:color="auto"/>
        </w:rPr>
        <w:t>別釋</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eastAsia="SimSun" w:hAnsi="Times New Roman"/>
          <w:sz w:val="20"/>
          <w:szCs w:val="20"/>
        </w:rPr>
        <w:t>101</w:t>
      </w:r>
      <w:r w:rsidR="002B682F" w:rsidRPr="00DA3BC7">
        <w:rPr>
          <w:sz w:val="20"/>
          <w:szCs w:val="20"/>
        </w:rPr>
        <w:t>-</w:t>
      </w:r>
      <w:r w:rsidR="002B682F" w:rsidRPr="00DA3BC7">
        <w:rPr>
          <w:rFonts w:ascii="Times New Roman" w:eastAsia="SimSun" w:hAnsi="Times New Roman"/>
          <w:sz w:val="20"/>
          <w:szCs w:val="20"/>
        </w:rPr>
        <w:t>104</w:t>
      </w:r>
      <w:r w:rsidR="002B682F" w:rsidRPr="00DA3BC7">
        <w:rPr>
          <w:rFonts w:ascii="Times Ext Roman" w:hAnsi="Times Ext Roman" w:cs="Times Ext Roman" w:hint="eastAsia"/>
          <w:sz w:val="20"/>
          <w:szCs w:val="20"/>
        </w:rPr>
        <w:t>）</w:t>
      </w:r>
    </w:p>
    <w:p w:rsidR="002B682F" w:rsidRPr="00DA3BC7" w:rsidRDefault="002B682F" w:rsidP="00BA3856">
      <w:pPr>
        <w:ind w:leftChars="250" w:left="600"/>
        <w:jc w:val="both"/>
        <w:rPr>
          <w:b/>
          <w:sz w:val="20"/>
          <w:szCs w:val="20"/>
          <w:bdr w:val="single" w:sz="4" w:space="0" w:color="auto"/>
        </w:rPr>
      </w:pPr>
      <w:r w:rsidRPr="000E59D5">
        <w:rPr>
          <w:rFonts w:ascii="新細明體" w:hAnsi="新細明體" w:hint="eastAsia"/>
          <w:b/>
          <w:color w:val="FF0000"/>
          <w:sz w:val="20"/>
          <w:szCs w:val="20"/>
          <w:highlight w:val="yellow"/>
          <w:bdr w:val="single" w:sz="4" w:space="0" w:color="auto"/>
        </w:rPr>
        <w:t>（</w:t>
      </w:r>
      <w:r w:rsidR="000E59D5" w:rsidRPr="000E59D5">
        <w:rPr>
          <w:rFonts w:ascii="Times New Roman" w:hAnsi="Times New Roman" w:hint="eastAsia"/>
          <w:b/>
          <w:color w:val="FF0000"/>
          <w:sz w:val="20"/>
          <w:szCs w:val="20"/>
          <w:highlight w:val="yellow"/>
          <w:bdr w:val="single" w:sz="4" w:space="0" w:color="auto"/>
        </w:rPr>
        <w:t>1</w:t>
      </w:r>
      <w:r w:rsidRPr="000E59D5">
        <w:rPr>
          <w:rFonts w:ascii="新細明體" w:hAnsi="新細明體" w:hint="eastAsia"/>
          <w:b/>
          <w:color w:val="FF0000"/>
          <w:sz w:val="20"/>
          <w:szCs w:val="20"/>
          <w:highlight w:val="yellow"/>
          <w:bdr w:val="single" w:sz="4" w:space="0" w:color="auto"/>
        </w:rPr>
        <w:t>）</w:t>
      </w:r>
      <w:r w:rsidRPr="00DA3BC7">
        <w:rPr>
          <w:rFonts w:ascii="新細明體" w:hAnsi="新細明體" w:hint="eastAsia"/>
          <w:b/>
          <w:sz w:val="20"/>
          <w:szCs w:val="20"/>
          <w:bdr w:val="single" w:sz="4" w:space="0" w:color="auto"/>
        </w:rPr>
        <w:t>破四生</w:t>
      </w:r>
      <w:r w:rsidRPr="00DA3BC7">
        <w:rPr>
          <w:rFonts w:ascii="Times Ext Roman" w:hAnsi="Times Ext Roman" w:cs="Times Ext Roman" w:hint="eastAsia"/>
          <w:sz w:val="20"/>
          <w:szCs w:val="20"/>
        </w:rPr>
        <w:t>（</w:t>
      </w:r>
      <w:r w:rsidRPr="00DA3BC7">
        <w:rPr>
          <w:rFonts w:ascii="Times New Roman" w:hAnsi="Times New Roman"/>
          <w:sz w:val="20"/>
          <w:szCs w:val="20"/>
        </w:rPr>
        <w:t>pp</w:t>
      </w:r>
      <w:r w:rsidRPr="00DA3BC7">
        <w:rPr>
          <w:sz w:val="20"/>
          <w:szCs w:val="20"/>
        </w:rPr>
        <w:t>.</w:t>
      </w:r>
      <w:r w:rsidRPr="00DA3BC7">
        <w:rPr>
          <w:rFonts w:ascii="Times New Roman" w:eastAsia="SimSun" w:hAnsi="Times New Roman"/>
          <w:sz w:val="20"/>
          <w:szCs w:val="20"/>
        </w:rPr>
        <w:t>101</w:t>
      </w:r>
      <w:r w:rsidRPr="00DA3BC7">
        <w:rPr>
          <w:sz w:val="20"/>
          <w:szCs w:val="20"/>
        </w:rPr>
        <w:t>-</w:t>
      </w:r>
      <w:r w:rsidRPr="00DA3BC7">
        <w:rPr>
          <w:rFonts w:ascii="Times New Roman" w:eastAsia="SimSun" w:hAnsi="Times New Roman"/>
          <w:sz w:val="20"/>
          <w:szCs w:val="20"/>
        </w:rPr>
        <w:t>102</w:t>
      </w:r>
      <w:r w:rsidRPr="00DA3BC7">
        <w:rPr>
          <w:rFonts w:ascii="Times Ext Roman" w:hAnsi="Times Ext Roman" w:cs="Times Ext Roman" w:hint="eastAsia"/>
          <w:sz w:val="20"/>
          <w:szCs w:val="20"/>
        </w:rPr>
        <w:t>）</w:t>
      </w:r>
    </w:p>
    <w:p w:rsidR="002B682F" w:rsidRDefault="000E59D5" w:rsidP="00BA3856">
      <w:pPr>
        <w:ind w:leftChars="300" w:left="720"/>
        <w:jc w:val="both"/>
        <w:rPr>
          <w:rFonts w:ascii="Times Ext Roman" w:hAnsi="Times Ext Roman" w:cs="Times Ext Roman"/>
          <w:sz w:val="20"/>
          <w:szCs w:val="20"/>
        </w:rPr>
      </w:pPr>
      <w:r w:rsidRPr="000E59D5">
        <w:rPr>
          <w:rFonts w:ascii="Times New Roman" w:hAnsi="Times New Roman" w:hint="eastAsia"/>
          <w:b/>
          <w:color w:val="FF0000"/>
          <w:sz w:val="20"/>
          <w:szCs w:val="20"/>
          <w:highlight w:val="yellow"/>
          <w:bdr w:val="single" w:sz="4" w:space="0" w:color="auto"/>
        </w:rPr>
        <w:t>A</w:t>
      </w:r>
      <w:r w:rsidR="002B682F" w:rsidRPr="000E59D5">
        <w:rPr>
          <w:rFonts w:ascii="新細明體" w:hAnsi="新細明體" w:hint="eastAsia"/>
          <w:b/>
          <w:color w:val="FF0000"/>
          <w:sz w:val="20"/>
          <w:szCs w:val="20"/>
          <w:highlight w:val="yellow"/>
          <w:bdr w:val="single" w:sz="4" w:space="0" w:color="auto"/>
        </w:rPr>
        <w:t>、</w:t>
      </w:r>
      <w:r w:rsidRPr="000E59D5">
        <w:rPr>
          <w:rFonts w:hint="eastAsia"/>
          <w:b/>
          <w:color w:val="FF0000"/>
          <w:sz w:val="20"/>
          <w:szCs w:val="20"/>
          <w:highlight w:val="yellow"/>
          <w:bdr w:val="single" w:sz="4" w:space="0" w:color="auto"/>
        </w:rPr>
        <w:t>破執</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101</w:t>
      </w:r>
      <w:r w:rsidR="002B682F" w:rsidRPr="00DA3BC7">
        <w:rPr>
          <w:rFonts w:ascii="Times Ext Roman" w:hAnsi="Times Ext Roman" w:cs="Times Ext Roman" w:hint="eastAsia"/>
          <w:sz w:val="20"/>
          <w:szCs w:val="20"/>
        </w:rPr>
        <w:t>）</w:t>
      </w:r>
    </w:p>
    <w:p w:rsidR="00E97383" w:rsidRDefault="00E97383" w:rsidP="00BA3856">
      <w:pPr>
        <w:ind w:leftChars="350" w:left="840"/>
        <w:jc w:val="both"/>
        <w:rPr>
          <w:rFonts w:ascii="Times New Roman" w:hAnsi="Times New Roman"/>
          <w:b/>
          <w:color w:val="FF0000"/>
          <w:sz w:val="20"/>
          <w:szCs w:val="20"/>
          <w:bdr w:val="single" w:sz="4" w:space="0" w:color="auto"/>
        </w:rPr>
      </w:pPr>
      <w:r>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A</w:t>
      </w:r>
      <w:r>
        <w:rPr>
          <w:rFonts w:ascii="Times New Roman" w:hAnsi="Times New Roman" w:hint="eastAsia"/>
          <w:b/>
          <w:color w:val="FF0000"/>
          <w:sz w:val="20"/>
          <w:szCs w:val="20"/>
          <w:highlight w:val="yellow"/>
          <w:bdr w:val="single" w:sz="4" w:space="0" w:color="auto"/>
        </w:rPr>
        <w:t>）明「非緣生」</w:t>
      </w:r>
    </w:p>
    <w:p w:rsidR="00E97383" w:rsidRPr="00E97383" w:rsidRDefault="00E97383" w:rsidP="00BA3856">
      <w:pPr>
        <w:ind w:leftChars="400" w:left="960"/>
        <w:jc w:val="both"/>
        <w:rPr>
          <w:rFonts w:eastAsia="SimSun"/>
          <w:b/>
          <w:color w:val="FF0000"/>
          <w:sz w:val="20"/>
          <w:szCs w:val="20"/>
          <w:highlight w:val="yellow"/>
          <w:bdr w:val="single" w:sz="4" w:space="0" w:color="auto"/>
        </w:rPr>
      </w:pPr>
      <w:r>
        <w:rPr>
          <w:rFonts w:ascii="Times New Roman" w:hAnsi="Times New Roman" w:hint="eastAsia"/>
          <w:b/>
          <w:color w:val="FF0000"/>
          <w:sz w:val="20"/>
          <w:szCs w:val="20"/>
          <w:highlight w:val="yellow"/>
          <w:bdr w:val="single" w:sz="4" w:space="0" w:color="auto"/>
        </w:rPr>
        <w:t>a</w:t>
      </w:r>
      <w:r w:rsidRPr="00E97383">
        <w:rPr>
          <w:rFonts w:ascii="Times New Roman" w:hAnsi="Times New Roman" w:hint="eastAsia"/>
          <w:b/>
          <w:color w:val="FF0000"/>
          <w:sz w:val="20"/>
          <w:szCs w:val="20"/>
          <w:highlight w:val="yellow"/>
          <w:bdr w:val="single" w:sz="4" w:space="0" w:color="auto"/>
        </w:rPr>
        <w:t>、概述</w:t>
      </w:r>
    </w:p>
    <w:p w:rsidR="002B682F" w:rsidRPr="00DA3BC7" w:rsidRDefault="002B682F" w:rsidP="00BA3856">
      <w:pPr>
        <w:ind w:leftChars="400" w:left="960"/>
        <w:jc w:val="both"/>
        <w:rPr>
          <w:rFonts w:eastAsia="SimSun"/>
        </w:rPr>
      </w:pPr>
      <w:r w:rsidRPr="00DA3BC7">
        <w:rPr>
          <w:rFonts w:hint="eastAsia"/>
        </w:rPr>
        <w:t>推究法的如何生起？不外有因生與無因生，如論中說：「</w:t>
      </w:r>
      <w:r w:rsidRPr="00DA3BC7">
        <w:rPr>
          <w:rFonts w:ascii="標楷體" w:eastAsia="標楷體" w:hAnsi="標楷體" w:hint="eastAsia"/>
        </w:rPr>
        <w:t>諸法不自生，亦不從他生，不共不無因，是故知無生</w:t>
      </w:r>
      <w:r w:rsidRPr="00DA3BC7">
        <w:rPr>
          <w:rFonts w:hint="eastAsia"/>
        </w:rPr>
        <w:t>。」</w:t>
      </w:r>
      <w:r w:rsidRPr="00DA3BC7">
        <w:rPr>
          <w:rStyle w:val="a6"/>
          <w:rFonts w:ascii="Times New Roman" w:hAnsi="Times New Roman"/>
        </w:rPr>
        <w:footnoteReference w:id="486"/>
      </w:r>
      <w:r w:rsidRPr="00DA3BC7">
        <w:rPr>
          <w:rFonts w:hint="eastAsia"/>
        </w:rPr>
        <w:t>自生、他生、共生，</w:t>
      </w:r>
      <w:r w:rsidRPr="00DA3BC7">
        <w:rPr>
          <w:rFonts w:hint="eastAsia"/>
        </w:rPr>
        <w:lastRenderedPageBreak/>
        <w:t>這是計有因生；無因，即計無因而生。一切法的生起，不出有因、無因。這在一般學者，也以為或有循著必然性的，或有偶然性的。</w:t>
      </w:r>
      <w:r w:rsidRPr="00DA3BC7">
        <w:rPr>
          <w:rFonts w:hint="eastAsia"/>
        </w:rPr>
        <w:lastRenderedPageBreak/>
        <w:t>必然性的，即由某些關係條件，必然的發生某果。</w:t>
      </w:r>
    </w:p>
    <w:p w:rsidR="002B682F" w:rsidRPr="00DA3BC7" w:rsidRDefault="00E97383" w:rsidP="00AE3920">
      <w:pPr>
        <w:spacing w:beforeLines="30"/>
        <w:ind w:leftChars="400" w:left="960"/>
        <w:jc w:val="both"/>
        <w:rPr>
          <w:rFonts w:eastAsia="SimSun"/>
          <w:b/>
          <w:sz w:val="20"/>
          <w:szCs w:val="20"/>
          <w:bdr w:val="single" w:sz="4" w:space="0" w:color="auto"/>
        </w:rPr>
      </w:pPr>
      <w:r w:rsidRPr="00E97383">
        <w:rPr>
          <w:rFonts w:ascii="Times New Roman" w:hAnsi="Times New Roman" w:hint="eastAsia"/>
          <w:b/>
          <w:color w:val="FF0000"/>
          <w:sz w:val="20"/>
          <w:szCs w:val="20"/>
          <w:highlight w:val="yellow"/>
          <w:bdr w:val="single" w:sz="4" w:space="0" w:color="auto"/>
        </w:rPr>
        <w:t>b</w:t>
      </w:r>
      <w:r w:rsidR="002B682F" w:rsidRPr="00E97383">
        <w:rPr>
          <w:rFonts w:ascii="新細明體" w:hAnsi="新細明體" w:hint="eastAsia"/>
          <w:b/>
          <w:color w:val="FF0000"/>
          <w:sz w:val="20"/>
          <w:szCs w:val="20"/>
          <w:highlight w:val="yellow"/>
          <w:bdr w:val="single" w:sz="4" w:space="0" w:color="auto"/>
        </w:rPr>
        <w:t>、</w:t>
      </w:r>
      <w:r w:rsidRPr="00E97383">
        <w:rPr>
          <w:rFonts w:hint="eastAsia"/>
          <w:b/>
          <w:color w:val="FF0000"/>
          <w:sz w:val="20"/>
          <w:szCs w:val="20"/>
          <w:highlight w:val="yellow"/>
          <w:bdr w:val="single" w:sz="4" w:space="0" w:color="auto"/>
        </w:rPr>
        <w:t>舉事</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101</w:t>
      </w:r>
      <w:r w:rsidR="002B682F" w:rsidRPr="00DA3BC7">
        <w:rPr>
          <w:rFonts w:ascii="Times Ext Roman" w:hAnsi="Times Ext Roman" w:cs="Times Ext Roman" w:hint="eastAsia"/>
          <w:sz w:val="20"/>
          <w:szCs w:val="20"/>
        </w:rPr>
        <w:t>）</w:t>
      </w:r>
    </w:p>
    <w:p w:rsidR="002B682F" w:rsidRPr="00DA3BC7" w:rsidRDefault="002B682F" w:rsidP="00BA3856">
      <w:pPr>
        <w:ind w:leftChars="400" w:left="960"/>
        <w:jc w:val="both"/>
        <w:rPr>
          <w:rFonts w:eastAsia="SimSun"/>
        </w:rPr>
      </w:pPr>
      <w:r w:rsidRPr="00DA3BC7">
        <w:rPr>
          <w:rFonts w:hint="eastAsia"/>
        </w:rPr>
        <w:t>此四生，如說眼識生，</w:t>
      </w:r>
    </w:p>
    <w:p w:rsidR="002B682F" w:rsidRPr="00DA3BC7" w:rsidRDefault="002B682F" w:rsidP="00BA3856">
      <w:pPr>
        <w:ind w:leftChars="500" w:left="1200"/>
        <w:jc w:val="both"/>
        <w:rPr>
          <w:rFonts w:eastAsia="SimSun"/>
        </w:rPr>
      </w:pPr>
      <w:r w:rsidRPr="00DA3BC7">
        <w:rPr>
          <w:rFonts w:hint="eastAsia"/>
        </w:rPr>
        <w:t>計</w:t>
      </w:r>
      <w:r w:rsidRPr="00DA3BC7">
        <w:rPr>
          <w:rFonts w:hint="eastAsia"/>
          <w:b/>
        </w:rPr>
        <w:t>自生</w:t>
      </w:r>
      <w:r w:rsidRPr="00E97383">
        <w:rPr>
          <w:rFonts w:hint="eastAsia"/>
        </w:rPr>
        <w:t>者</w:t>
      </w:r>
      <w:r w:rsidRPr="00DA3BC7">
        <w:rPr>
          <w:rFonts w:hint="eastAsia"/>
        </w:rPr>
        <w:t>，以為眼識是本有的，生即本有眼識的現起。</w:t>
      </w:r>
    </w:p>
    <w:p w:rsidR="002B682F" w:rsidRPr="00DA3BC7" w:rsidRDefault="002B682F" w:rsidP="00BA3856">
      <w:pPr>
        <w:ind w:leftChars="500" w:left="2400" w:hangingChars="500" w:hanging="1200"/>
        <w:jc w:val="both"/>
        <w:rPr>
          <w:rFonts w:eastAsia="SimSun"/>
        </w:rPr>
      </w:pPr>
      <w:r w:rsidRPr="00DA3BC7">
        <w:rPr>
          <w:rFonts w:hint="eastAsia"/>
        </w:rPr>
        <w:t>計</w:t>
      </w:r>
      <w:r w:rsidRPr="00DA3BC7">
        <w:rPr>
          <w:rFonts w:hint="eastAsia"/>
          <w:b/>
        </w:rPr>
        <w:t>他生</w:t>
      </w:r>
      <w:r w:rsidRPr="00E97383">
        <w:rPr>
          <w:rFonts w:hint="eastAsia"/>
        </w:rPr>
        <w:t>者</w:t>
      </w:r>
      <w:r w:rsidRPr="00DA3BC7">
        <w:rPr>
          <w:rFonts w:hint="eastAsia"/>
        </w:rPr>
        <w:t>，以為</w:t>
      </w:r>
      <w:r w:rsidRPr="00DA3BC7">
        <w:rPr>
          <w:rFonts w:hint="eastAsia"/>
          <w:b/>
        </w:rPr>
        <w:t>眼識</w:t>
      </w:r>
      <w:r w:rsidRPr="00DA3BC7">
        <w:rPr>
          <w:rFonts w:hint="eastAsia"/>
        </w:rPr>
        <w:t>依</w:t>
      </w:r>
      <w:r w:rsidRPr="00DA3BC7">
        <w:rPr>
          <w:rFonts w:hint="eastAsia"/>
          <w:b/>
        </w:rPr>
        <w:t>根、境、明</w:t>
      </w:r>
      <w:r w:rsidRPr="00DA3BC7">
        <w:rPr>
          <w:rFonts w:hint="eastAsia"/>
        </w:rPr>
        <w:t>等眾緣而生，眼識從某種因緣中發生。</w:t>
      </w:r>
    </w:p>
    <w:p w:rsidR="002B682F" w:rsidRPr="00DA3BC7" w:rsidRDefault="002B682F" w:rsidP="00BA3856">
      <w:pPr>
        <w:ind w:leftChars="500" w:left="1200"/>
        <w:jc w:val="both"/>
      </w:pPr>
      <w:r w:rsidRPr="00DA3BC7">
        <w:rPr>
          <w:rFonts w:hint="eastAsia"/>
        </w:rPr>
        <w:t>計</w:t>
      </w:r>
      <w:r w:rsidRPr="00DA3BC7">
        <w:rPr>
          <w:rFonts w:hint="eastAsia"/>
          <w:b/>
        </w:rPr>
        <w:t>共生</w:t>
      </w:r>
      <w:r w:rsidRPr="00E97383">
        <w:rPr>
          <w:rFonts w:hint="eastAsia"/>
        </w:rPr>
        <w:t>者</w:t>
      </w:r>
      <w:r w:rsidRPr="00DA3BC7">
        <w:rPr>
          <w:rFonts w:hint="eastAsia"/>
        </w:rPr>
        <w:t>，以為本有的眼識，與根、境等緣相合而後生起。</w:t>
      </w:r>
      <w:r w:rsidRPr="00DA3BC7">
        <w:rPr>
          <w:rStyle w:val="a6"/>
          <w:rFonts w:ascii="Times New Roman" w:hAnsi="Times New Roman"/>
        </w:rPr>
        <w:footnoteReference w:id="487"/>
      </w:r>
    </w:p>
    <w:p w:rsidR="002B682F" w:rsidRPr="00DA3BC7" w:rsidRDefault="002B682F" w:rsidP="00AE3920">
      <w:pPr>
        <w:spacing w:beforeLines="20"/>
        <w:ind w:leftChars="500" w:left="1200"/>
        <w:jc w:val="both"/>
        <w:rPr>
          <w:rFonts w:eastAsia="SimSun"/>
        </w:rPr>
      </w:pPr>
      <w:r w:rsidRPr="00DA3BC7">
        <w:rPr>
          <w:rFonts w:hint="eastAsia"/>
        </w:rPr>
        <w:t>這些皆是計</w:t>
      </w:r>
      <w:r w:rsidRPr="00DA3BC7">
        <w:rPr>
          <w:rFonts w:hint="eastAsia"/>
          <w:b/>
        </w:rPr>
        <w:t>有因生</w:t>
      </w:r>
      <w:r w:rsidRPr="00DA3BC7">
        <w:rPr>
          <w:rFonts w:hint="eastAsia"/>
        </w:rPr>
        <w:t>；</w:t>
      </w:r>
    </w:p>
    <w:p w:rsidR="002B682F" w:rsidRPr="00DA3BC7" w:rsidRDefault="002B682F" w:rsidP="00AE3920">
      <w:pPr>
        <w:spacing w:beforeLines="20"/>
        <w:ind w:leftChars="500" w:left="1200"/>
        <w:jc w:val="both"/>
      </w:pPr>
      <w:r w:rsidRPr="00DA3BC7">
        <w:rPr>
          <w:rFonts w:hint="eastAsia"/>
        </w:rPr>
        <w:t>還有計</w:t>
      </w:r>
      <w:r w:rsidRPr="00DA3BC7">
        <w:rPr>
          <w:rFonts w:hint="eastAsia"/>
          <w:b/>
        </w:rPr>
        <w:t>無因生</w:t>
      </w:r>
      <w:r w:rsidRPr="00DA3BC7">
        <w:rPr>
          <w:rFonts w:hint="eastAsia"/>
        </w:rPr>
        <w:t>。</w:t>
      </w:r>
    </w:p>
    <w:p w:rsidR="002B682F" w:rsidRPr="00DA3BC7" w:rsidRDefault="002B682F" w:rsidP="00AE3920">
      <w:pPr>
        <w:spacing w:beforeLines="20"/>
        <w:ind w:leftChars="400" w:left="960"/>
        <w:jc w:val="both"/>
        <w:rPr>
          <w:rFonts w:eastAsia="SimSun"/>
        </w:rPr>
      </w:pPr>
      <w:r w:rsidRPr="00DA3BC7">
        <w:rPr>
          <w:rFonts w:hint="eastAsia"/>
        </w:rPr>
        <w:t>這四種，可以總括一切自性論者。</w:t>
      </w:r>
    </w:p>
    <w:p w:rsidR="002B682F" w:rsidRPr="00DA3BC7" w:rsidRDefault="00E97383" w:rsidP="00AE3920">
      <w:pPr>
        <w:spacing w:beforeLines="30"/>
        <w:ind w:leftChars="350" w:left="840"/>
        <w:jc w:val="both"/>
        <w:rPr>
          <w:rFonts w:eastAsia="SimSun"/>
          <w:b/>
          <w:sz w:val="20"/>
          <w:szCs w:val="20"/>
          <w:bdr w:val="single" w:sz="4" w:space="0" w:color="auto"/>
        </w:rPr>
      </w:pPr>
      <w:r w:rsidRPr="00E97383">
        <w:rPr>
          <w:rFonts w:hint="eastAsia"/>
          <w:b/>
          <w:color w:val="FF0000"/>
          <w:sz w:val="20"/>
          <w:szCs w:val="20"/>
          <w:highlight w:val="yellow"/>
          <w:bdr w:val="single" w:sz="4" w:space="0" w:color="auto"/>
        </w:rPr>
        <w:t>（</w:t>
      </w:r>
      <w:r w:rsidRPr="00E97383">
        <w:rPr>
          <w:rFonts w:ascii="Times New Roman" w:hAnsi="Times New Roman" w:hint="eastAsia"/>
          <w:b/>
          <w:color w:val="FF0000"/>
          <w:sz w:val="20"/>
          <w:szCs w:val="20"/>
          <w:highlight w:val="yellow"/>
          <w:bdr w:val="single" w:sz="4" w:space="0" w:color="auto"/>
        </w:rPr>
        <w:t>B</w:t>
      </w:r>
      <w:r w:rsidRPr="00E97383">
        <w:rPr>
          <w:rFonts w:hint="eastAsia"/>
          <w:b/>
          <w:color w:val="FF0000"/>
          <w:sz w:val="20"/>
          <w:szCs w:val="20"/>
          <w:highlight w:val="yellow"/>
          <w:bdr w:val="single" w:sz="4" w:space="0" w:color="auto"/>
        </w:rPr>
        <w:t>）</w:t>
      </w:r>
      <w:r w:rsidR="002B682F" w:rsidRPr="00DA3BC7">
        <w:rPr>
          <w:rFonts w:hint="eastAsia"/>
          <w:b/>
          <w:sz w:val="20"/>
          <w:szCs w:val="20"/>
          <w:bdr w:val="single" w:sz="4" w:space="0" w:color="auto"/>
        </w:rPr>
        <w:t>破</w:t>
      </w:r>
      <w:r w:rsidRPr="00E97383">
        <w:rPr>
          <w:rFonts w:hint="eastAsia"/>
          <w:b/>
          <w:color w:val="FF0000"/>
          <w:sz w:val="20"/>
          <w:szCs w:val="20"/>
          <w:highlight w:val="yellow"/>
          <w:bdr w:val="single" w:sz="4" w:space="0" w:color="auto"/>
        </w:rPr>
        <w:t>「</w:t>
      </w:r>
      <w:r w:rsidR="002B682F" w:rsidRPr="00DA3BC7">
        <w:rPr>
          <w:rFonts w:hint="eastAsia"/>
          <w:b/>
          <w:sz w:val="20"/>
          <w:szCs w:val="20"/>
          <w:bdr w:val="single" w:sz="4" w:space="0" w:color="auto"/>
        </w:rPr>
        <w:t>四生</w:t>
      </w:r>
      <w:r w:rsidRPr="00E97383">
        <w:rPr>
          <w:rFonts w:hint="eastAsia"/>
          <w:b/>
          <w:color w:val="FF0000"/>
          <w:sz w:val="20"/>
          <w:szCs w:val="20"/>
          <w:highlight w:val="yellow"/>
          <w:bdr w:val="single" w:sz="4" w:space="0" w:color="auto"/>
        </w:rPr>
        <w:t>」</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102</w:t>
      </w:r>
      <w:r w:rsidR="002B682F" w:rsidRPr="00DA3BC7">
        <w:rPr>
          <w:rFonts w:ascii="Times Ext Roman" w:hAnsi="Times Ext Roman" w:cs="Times Ext Roman" w:hint="eastAsia"/>
          <w:sz w:val="20"/>
          <w:szCs w:val="20"/>
        </w:rPr>
        <w:t>）</w:t>
      </w:r>
    </w:p>
    <w:p w:rsidR="002B682F" w:rsidRPr="00DA3BC7" w:rsidRDefault="00E97383" w:rsidP="00BA3856">
      <w:pPr>
        <w:ind w:leftChars="400" w:left="960"/>
        <w:jc w:val="both"/>
        <w:rPr>
          <w:rFonts w:eastAsia="SimSun"/>
          <w:sz w:val="20"/>
          <w:szCs w:val="20"/>
          <w:bdr w:val="single" w:sz="4" w:space="0" w:color="auto"/>
        </w:rPr>
      </w:pPr>
      <w:r w:rsidRPr="00E97383">
        <w:rPr>
          <w:rFonts w:ascii="Times New Roman" w:hAnsi="Times New Roman" w:hint="eastAsia"/>
          <w:b/>
          <w:color w:val="FF0000"/>
          <w:sz w:val="20"/>
          <w:szCs w:val="20"/>
          <w:highlight w:val="yellow"/>
          <w:bdr w:val="single" w:sz="4" w:space="0" w:color="auto"/>
        </w:rPr>
        <w:t>a</w:t>
      </w:r>
      <w:r w:rsidRPr="00E97383">
        <w:rPr>
          <w:rFonts w:ascii="Times New Roman" w:hAnsi="Times New Roman" w:hint="eastAsia"/>
          <w:b/>
          <w:color w:val="FF0000"/>
          <w:sz w:val="20"/>
          <w:szCs w:val="20"/>
          <w:highlight w:val="yellow"/>
          <w:bdr w:val="single" w:sz="4" w:space="0" w:color="auto"/>
        </w:rPr>
        <w:t>、</w:t>
      </w:r>
      <w:r w:rsidR="002B682F" w:rsidRPr="00DA3BC7">
        <w:rPr>
          <w:rFonts w:hint="eastAsia"/>
          <w:b/>
          <w:sz w:val="20"/>
          <w:szCs w:val="20"/>
          <w:bdr w:val="single" w:sz="4" w:space="0" w:color="auto"/>
        </w:rPr>
        <w:t>破「自生」</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w:t>
      </w:r>
      <w:r w:rsidR="002B682F" w:rsidRPr="00DA3BC7">
        <w:rPr>
          <w:rFonts w:hint="eastAsia"/>
          <w:sz w:val="20"/>
          <w:szCs w:val="20"/>
        </w:rPr>
        <w:t>.</w:t>
      </w:r>
      <w:r w:rsidR="002B682F" w:rsidRPr="00DA3BC7">
        <w:rPr>
          <w:rFonts w:ascii="Times New Roman" w:eastAsia="SimSun" w:hAnsi="Times New Roman" w:hint="eastAsia"/>
          <w:sz w:val="20"/>
          <w:szCs w:val="20"/>
        </w:rPr>
        <w:t>102</w:t>
      </w:r>
      <w:r w:rsidR="002B682F" w:rsidRPr="00DA3BC7">
        <w:rPr>
          <w:rFonts w:ascii="Times Ext Roman" w:hAnsi="Times Ext Roman" w:cs="Times Ext Roman" w:hint="eastAsia"/>
          <w:sz w:val="20"/>
          <w:szCs w:val="20"/>
        </w:rPr>
        <w:t>）</w:t>
      </w:r>
    </w:p>
    <w:p w:rsidR="002B682F" w:rsidRPr="00DA3BC7" w:rsidRDefault="002B682F" w:rsidP="00BA3856">
      <w:pPr>
        <w:ind w:leftChars="400" w:left="960"/>
        <w:jc w:val="both"/>
        <w:rPr>
          <w:rFonts w:eastAsia="SimSun"/>
        </w:rPr>
      </w:pPr>
      <w:r w:rsidRPr="00DA3BC7">
        <w:rPr>
          <w:rFonts w:hint="eastAsia"/>
          <w:b/>
        </w:rPr>
        <w:t>自生</w:t>
      </w:r>
      <w:r w:rsidRPr="00DA3BC7">
        <w:rPr>
          <w:rFonts w:hint="eastAsia"/>
        </w:rPr>
        <w:t>，在論理上根本就不通，因為自即不生，生即不自。說自己是存在的而又說從自己生，這不是矛盾嗎？</w:t>
      </w:r>
    </w:p>
    <w:p w:rsidR="002B682F" w:rsidRPr="00DA3BC7" w:rsidRDefault="00E97383" w:rsidP="00AE3920">
      <w:pPr>
        <w:spacing w:beforeLines="30"/>
        <w:ind w:leftChars="400" w:left="960"/>
        <w:jc w:val="both"/>
        <w:rPr>
          <w:rFonts w:eastAsia="SimSun"/>
          <w:sz w:val="20"/>
          <w:szCs w:val="20"/>
          <w:bdr w:val="single" w:sz="4" w:space="0" w:color="auto"/>
        </w:rPr>
      </w:pPr>
      <w:r>
        <w:rPr>
          <w:rFonts w:ascii="Times New Roman" w:hAnsi="Times New Roman" w:hint="eastAsia"/>
          <w:b/>
          <w:color w:val="FF0000"/>
          <w:sz w:val="20"/>
          <w:szCs w:val="20"/>
          <w:highlight w:val="yellow"/>
          <w:bdr w:val="single" w:sz="4" w:space="0" w:color="auto"/>
        </w:rPr>
        <w:t>b</w:t>
      </w:r>
      <w:r w:rsidRPr="00E97383">
        <w:rPr>
          <w:rFonts w:ascii="Times New Roman" w:hAnsi="Times New Roman" w:hint="eastAsia"/>
          <w:b/>
          <w:color w:val="FF0000"/>
          <w:sz w:val="20"/>
          <w:szCs w:val="20"/>
          <w:highlight w:val="yellow"/>
          <w:bdr w:val="single" w:sz="4" w:space="0" w:color="auto"/>
        </w:rPr>
        <w:t>、</w:t>
      </w:r>
      <w:r w:rsidR="002B682F" w:rsidRPr="00DA3BC7">
        <w:rPr>
          <w:rFonts w:hint="eastAsia"/>
          <w:b/>
          <w:sz w:val="20"/>
          <w:szCs w:val="20"/>
          <w:bdr w:val="single" w:sz="4" w:space="0" w:color="auto"/>
        </w:rPr>
        <w:t>破「他生」</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w:t>
      </w:r>
      <w:r w:rsidR="002B682F" w:rsidRPr="00DA3BC7">
        <w:rPr>
          <w:rFonts w:hint="eastAsia"/>
          <w:sz w:val="20"/>
          <w:szCs w:val="20"/>
        </w:rPr>
        <w:t>.</w:t>
      </w:r>
      <w:r w:rsidR="002B682F" w:rsidRPr="00DA3BC7">
        <w:rPr>
          <w:rFonts w:ascii="Times New Roman" w:eastAsia="SimSun" w:hAnsi="Times New Roman" w:hint="eastAsia"/>
          <w:sz w:val="20"/>
          <w:szCs w:val="20"/>
        </w:rPr>
        <w:t>102</w:t>
      </w:r>
      <w:r w:rsidR="002B682F" w:rsidRPr="00DA3BC7">
        <w:rPr>
          <w:rFonts w:ascii="Times Ext Roman" w:hAnsi="Times Ext Roman" w:cs="Times Ext Roman" w:hint="eastAsia"/>
          <w:sz w:val="20"/>
          <w:szCs w:val="20"/>
        </w:rPr>
        <w:t>）</w:t>
      </w:r>
    </w:p>
    <w:p w:rsidR="002B682F" w:rsidRPr="00DA3BC7" w:rsidRDefault="002B682F" w:rsidP="00BA3856">
      <w:pPr>
        <w:ind w:leftChars="400" w:left="960"/>
        <w:jc w:val="both"/>
        <w:rPr>
          <w:rFonts w:eastAsia="SimSun"/>
        </w:rPr>
      </w:pPr>
      <w:r w:rsidRPr="00DA3BC7">
        <w:rPr>
          <w:rFonts w:hint="eastAsia"/>
          <w:b/>
        </w:rPr>
        <w:t>他生</w:t>
      </w:r>
      <w:r w:rsidRPr="00DA3BC7">
        <w:rPr>
          <w:rFonts w:hint="eastAsia"/>
        </w:rPr>
        <w:t>，如眼識生，是</w:t>
      </w:r>
      <w:r w:rsidRPr="00DA3BC7">
        <w:rPr>
          <w:rFonts w:hint="eastAsia"/>
          <w:b/>
        </w:rPr>
        <w:t>根</w:t>
      </w:r>
      <w:r w:rsidRPr="00DA3BC7">
        <w:rPr>
          <w:rFonts w:hint="eastAsia"/>
        </w:rPr>
        <w:t>生的呢？還是</w:t>
      </w:r>
      <w:r w:rsidRPr="00DA3BC7">
        <w:rPr>
          <w:rFonts w:hint="eastAsia"/>
          <w:b/>
        </w:rPr>
        <w:t>境</w:t>
      </w:r>
      <w:r w:rsidRPr="00DA3BC7">
        <w:rPr>
          <w:rFonts w:hint="eastAsia"/>
        </w:rPr>
        <w:t>生？抑</w:t>
      </w:r>
      <w:r w:rsidRPr="00DA3BC7">
        <w:rPr>
          <w:rStyle w:val="a6"/>
          <w:rFonts w:ascii="Times New Roman" w:hAnsi="Times New Roman"/>
        </w:rPr>
        <w:footnoteReference w:id="488"/>
      </w:r>
      <w:r w:rsidRPr="00DA3BC7">
        <w:rPr>
          <w:rFonts w:hint="eastAsia"/>
        </w:rPr>
        <w:t>是</w:t>
      </w:r>
      <w:r w:rsidRPr="00DA3BC7">
        <w:rPr>
          <w:rFonts w:hint="eastAsia"/>
          <w:b/>
        </w:rPr>
        <w:t>光等緣</w:t>
      </w:r>
      <w:r w:rsidRPr="00DA3BC7">
        <w:rPr>
          <w:rFonts w:hint="eastAsia"/>
        </w:rPr>
        <w:t>生？若</w:t>
      </w:r>
      <w:r w:rsidRPr="00DA3BC7">
        <w:rPr>
          <w:rFonts w:hint="eastAsia"/>
          <w:b/>
        </w:rPr>
        <w:t>根</w:t>
      </w:r>
      <w:r w:rsidRPr="00DA3BC7">
        <w:rPr>
          <w:rFonts w:hint="eastAsia"/>
        </w:rPr>
        <w:t>不能生，</w:t>
      </w:r>
      <w:r w:rsidRPr="00DA3BC7">
        <w:rPr>
          <w:rFonts w:hint="eastAsia"/>
          <w:b/>
        </w:rPr>
        <w:t>境</w:t>
      </w:r>
      <w:r w:rsidRPr="00DA3BC7">
        <w:rPr>
          <w:rFonts w:hint="eastAsia"/>
        </w:rPr>
        <w:t>不能生，</w:t>
      </w:r>
      <w:r w:rsidRPr="00DA3BC7">
        <w:rPr>
          <w:rFonts w:hint="eastAsia"/>
          <w:b/>
        </w:rPr>
        <w:t>光等</w:t>
      </w:r>
      <w:r w:rsidRPr="00DA3BC7">
        <w:rPr>
          <w:rFonts w:hint="eastAsia"/>
        </w:rPr>
        <w:t>也不能生，那還可以說是他生嗎？</w:t>
      </w:r>
    </w:p>
    <w:p w:rsidR="002B682F" w:rsidRPr="00DA3BC7" w:rsidRDefault="00E97383" w:rsidP="00AE3920">
      <w:pPr>
        <w:spacing w:beforeLines="30"/>
        <w:ind w:leftChars="400" w:left="960"/>
        <w:jc w:val="both"/>
        <w:rPr>
          <w:rFonts w:eastAsia="SimSun"/>
          <w:sz w:val="20"/>
          <w:szCs w:val="20"/>
          <w:bdr w:val="single" w:sz="4" w:space="0" w:color="auto"/>
        </w:rPr>
      </w:pPr>
      <w:r>
        <w:rPr>
          <w:rFonts w:ascii="Times New Roman" w:hAnsi="Times New Roman" w:hint="eastAsia"/>
          <w:b/>
          <w:color w:val="FF0000"/>
          <w:sz w:val="20"/>
          <w:szCs w:val="20"/>
          <w:highlight w:val="yellow"/>
          <w:bdr w:val="single" w:sz="4" w:space="0" w:color="auto"/>
        </w:rPr>
        <w:t>c</w:t>
      </w:r>
      <w:r w:rsidRPr="00E97383">
        <w:rPr>
          <w:rFonts w:ascii="Times New Roman" w:hAnsi="Times New Roman" w:hint="eastAsia"/>
          <w:b/>
          <w:color w:val="FF0000"/>
          <w:sz w:val="20"/>
          <w:szCs w:val="20"/>
          <w:highlight w:val="yellow"/>
          <w:bdr w:val="single" w:sz="4" w:space="0" w:color="auto"/>
        </w:rPr>
        <w:t>、</w:t>
      </w:r>
      <w:r w:rsidR="002B682F" w:rsidRPr="00DA3BC7">
        <w:rPr>
          <w:rFonts w:hint="eastAsia"/>
          <w:b/>
          <w:sz w:val="20"/>
          <w:szCs w:val="20"/>
          <w:bdr w:val="single" w:sz="4" w:space="0" w:color="auto"/>
        </w:rPr>
        <w:t>破「共生」</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w:t>
      </w:r>
      <w:r w:rsidR="002B682F" w:rsidRPr="00DA3BC7">
        <w:rPr>
          <w:rFonts w:hint="eastAsia"/>
          <w:sz w:val="20"/>
          <w:szCs w:val="20"/>
        </w:rPr>
        <w:t>.</w:t>
      </w:r>
      <w:r w:rsidR="002B682F" w:rsidRPr="00DA3BC7">
        <w:rPr>
          <w:rFonts w:ascii="Times New Roman" w:eastAsia="SimSun" w:hAnsi="Times New Roman" w:hint="eastAsia"/>
          <w:sz w:val="20"/>
          <w:szCs w:val="20"/>
        </w:rPr>
        <w:t>102</w:t>
      </w:r>
      <w:r w:rsidR="002B682F" w:rsidRPr="00DA3BC7">
        <w:rPr>
          <w:rFonts w:ascii="Times Ext Roman" w:hAnsi="Times Ext Roman" w:cs="Times Ext Roman" w:hint="eastAsia"/>
          <w:sz w:val="20"/>
          <w:szCs w:val="20"/>
        </w:rPr>
        <w:t>）</w:t>
      </w:r>
    </w:p>
    <w:p w:rsidR="002B682F" w:rsidRPr="00DA3BC7" w:rsidRDefault="002B682F" w:rsidP="00BA3856">
      <w:pPr>
        <w:ind w:leftChars="400" w:left="960"/>
        <w:jc w:val="both"/>
        <w:rPr>
          <w:rFonts w:eastAsia="SimSun"/>
        </w:rPr>
      </w:pPr>
      <w:r w:rsidRPr="00DA3BC7">
        <w:rPr>
          <w:rFonts w:hint="eastAsia"/>
        </w:rPr>
        <w:t>自、他，既各各不能生，自他合的</w:t>
      </w:r>
      <w:r w:rsidRPr="00DA3BC7">
        <w:rPr>
          <w:rFonts w:hint="eastAsia"/>
          <w:b/>
        </w:rPr>
        <w:t>共生</w:t>
      </w:r>
      <w:r w:rsidRPr="00DA3BC7">
        <w:rPr>
          <w:rFonts w:hint="eastAsia"/>
        </w:rPr>
        <w:t>，當然也不能成立。</w:t>
      </w:r>
    </w:p>
    <w:p w:rsidR="002B682F" w:rsidRPr="00DA3BC7" w:rsidRDefault="00E97383" w:rsidP="00AE3920">
      <w:pPr>
        <w:spacing w:beforeLines="30"/>
        <w:ind w:leftChars="400" w:left="960"/>
        <w:jc w:val="both"/>
        <w:rPr>
          <w:rFonts w:eastAsia="SimSun"/>
          <w:sz w:val="20"/>
          <w:szCs w:val="20"/>
          <w:bdr w:val="single" w:sz="4" w:space="0" w:color="auto"/>
        </w:rPr>
      </w:pPr>
      <w:r>
        <w:rPr>
          <w:rFonts w:ascii="Times New Roman" w:hAnsi="Times New Roman" w:hint="eastAsia"/>
          <w:b/>
          <w:color w:val="FF0000"/>
          <w:sz w:val="20"/>
          <w:szCs w:val="20"/>
          <w:highlight w:val="yellow"/>
          <w:bdr w:val="single" w:sz="4" w:space="0" w:color="auto"/>
        </w:rPr>
        <w:t>d</w:t>
      </w:r>
      <w:r w:rsidRPr="00E97383">
        <w:rPr>
          <w:rFonts w:ascii="Times New Roman" w:hAnsi="Times New Roman" w:hint="eastAsia"/>
          <w:b/>
          <w:color w:val="FF0000"/>
          <w:sz w:val="20"/>
          <w:szCs w:val="20"/>
          <w:highlight w:val="yellow"/>
          <w:bdr w:val="single" w:sz="4" w:space="0" w:color="auto"/>
        </w:rPr>
        <w:t>、</w:t>
      </w:r>
      <w:r w:rsidR="002B682F" w:rsidRPr="00DA3BC7">
        <w:rPr>
          <w:rFonts w:hint="eastAsia"/>
          <w:b/>
          <w:sz w:val="20"/>
          <w:szCs w:val="20"/>
          <w:bdr w:val="single" w:sz="4" w:space="0" w:color="auto"/>
        </w:rPr>
        <w:t>破「無因生」</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w:t>
      </w:r>
      <w:r w:rsidR="002B682F" w:rsidRPr="00DA3BC7">
        <w:rPr>
          <w:rFonts w:hint="eastAsia"/>
          <w:sz w:val="20"/>
          <w:szCs w:val="20"/>
        </w:rPr>
        <w:t>.</w:t>
      </w:r>
      <w:r w:rsidR="002B682F" w:rsidRPr="00DA3BC7">
        <w:rPr>
          <w:rFonts w:ascii="Times New Roman" w:eastAsia="SimSun" w:hAnsi="Times New Roman" w:hint="eastAsia"/>
          <w:sz w:val="20"/>
          <w:szCs w:val="20"/>
        </w:rPr>
        <w:t>102</w:t>
      </w:r>
      <w:r w:rsidR="002B682F" w:rsidRPr="00DA3BC7">
        <w:rPr>
          <w:rFonts w:ascii="Times Ext Roman" w:hAnsi="Times Ext Roman" w:cs="Times Ext Roman" w:hint="eastAsia"/>
          <w:sz w:val="20"/>
          <w:szCs w:val="20"/>
        </w:rPr>
        <w:t>）</w:t>
      </w:r>
    </w:p>
    <w:p w:rsidR="002B682F" w:rsidRPr="00DA3BC7" w:rsidRDefault="002B682F" w:rsidP="00BA3856">
      <w:pPr>
        <w:ind w:leftChars="400" w:left="960"/>
        <w:jc w:val="both"/>
        <w:rPr>
          <w:rFonts w:eastAsia="SimSun"/>
        </w:rPr>
      </w:pPr>
      <w:r w:rsidRPr="00DA3BC7">
        <w:rPr>
          <w:rFonts w:hint="eastAsia"/>
          <w:b/>
        </w:rPr>
        <w:t>無因生</w:t>
      </w:r>
      <w:r w:rsidRPr="00DA3BC7">
        <w:rPr>
          <w:rFonts w:hint="eastAsia"/>
        </w:rPr>
        <w:t>又與事實不相符，如一切是偶然的，即世間無因果軌律等可說。</w:t>
      </w:r>
    </w:p>
    <w:p w:rsidR="002B682F" w:rsidRPr="00DA3BC7" w:rsidRDefault="00100AC0" w:rsidP="00AE3920">
      <w:pPr>
        <w:spacing w:beforeLines="30"/>
        <w:ind w:leftChars="300" w:left="720"/>
        <w:jc w:val="both"/>
        <w:rPr>
          <w:rFonts w:eastAsia="SimSun"/>
          <w:sz w:val="20"/>
          <w:szCs w:val="20"/>
          <w:bdr w:val="single" w:sz="4" w:space="0" w:color="auto"/>
        </w:rPr>
      </w:pPr>
      <w:r w:rsidRPr="00100AC0">
        <w:rPr>
          <w:rFonts w:ascii="Times New Roman" w:hAnsi="Times New Roman" w:hint="eastAsia"/>
          <w:b/>
          <w:color w:val="FF0000"/>
          <w:sz w:val="20"/>
          <w:szCs w:val="20"/>
          <w:highlight w:val="yellow"/>
          <w:bdr w:val="single" w:sz="4" w:space="0" w:color="auto"/>
        </w:rPr>
        <w:t>B</w:t>
      </w:r>
      <w:r w:rsidR="002B682F" w:rsidRPr="00100AC0">
        <w:rPr>
          <w:rFonts w:ascii="新細明體" w:hAnsi="新細明體" w:hint="eastAsia"/>
          <w:b/>
          <w:color w:val="FF0000"/>
          <w:sz w:val="20"/>
          <w:szCs w:val="20"/>
          <w:highlight w:val="yellow"/>
          <w:bdr w:val="single" w:sz="4" w:space="0" w:color="auto"/>
        </w:rPr>
        <w:t>、</w:t>
      </w:r>
      <w:r w:rsidRPr="00100AC0">
        <w:rPr>
          <w:rFonts w:hint="eastAsia"/>
          <w:b/>
          <w:color w:val="FF0000"/>
          <w:sz w:val="20"/>
          <w:szCs w:val="20"/>
          <w:highlight w:val="yellow"/>
          <w:bdr w:val="single" w:sz="4" w:space="0" w:color="auto"/>
        </w:rPr>
        <w:t>顯</w:t>
      </w:r>
      <w:r w:rsidR="002B682F" w:rsidRPr="00100AC0">
        <w:rPr>
          <w:rFonts w:hint="eastAsia"/>
          <w:b/>
          <w:color w:val="FF0000"/>
          <w:sz w:val="20"/>
          <w:szCs w:val="20"/>
          <w:highlight w:val="yellow"/>
          <w:bdr w:val="single" w:sz="4" w:space="0" w:color="auto"/>
        </w:rPr>
        <w:t>正</w:t>
      </w:r>
      <w:r w:rsidRPr="00100AC0">
        <w:rPr>
          <w:rFonts w:hint="eastAsia"/>
          <w:b/>
          <w:color w:val="FF0000"/>
          <w:sz w:val="20"/>
          <w:szCs w:val="20"/>
          <w:highlight w:val="yellow"/>
          <w:bdr w:val="single" w:sz="4" w:space="0" w:color="auto"/>
        </w:rPr>
        <w:t>──明「</w:t>
      </w:r>
      <w:r w:rsidR="002B682F" w:rsidRPr="00100AC0">
        <w:rPr>
          <w:rFonts w:hint="eastAsia"/>
          <w:b/>
          <w:color w:val="FF0000"/>
          <w:sz w:val="20"/>
          <w:szCs w:val="20"/>
          <w:highlight w:val="yellow"/>
          <w:bdr w:val="single" w:sz="4" w:space="0" w:color="auto"/>
        </w:rPr>
        <w:t>緣生</w:t>
      </w:r>
      <w:r w:rsidRPr="00100AC0">
        <w:rPr>
          <w:rFonts w:hint="eastAsia"/>
          <w:b/>
          <w:color w:val="FF0000"/>
          <w:sz w:val="20"/>
          <w:szCs w:val="20"/>
          <w:highlight w:val="yellow"/>
          <w:bdr w:val="single" w:sz="4" w:space="0" w:color="auto"/>
        </w:rPr>
        <w:t>」</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w:t>
      </w:r>
      <w:r w:rsidR="002B682F" w:rsidRPr="00DA3BC7">
        <w:rPr>
          <w:rFonts w:hint="eastAsia"/>
          <w:sz w:val="20"/>
          <w:szCs w:val="20"/>
        </w:rPr>
        <w:t>.</w:t>
      </w:r>
      <w:r w:rsidR="002B682F" w:rsidRPr="00DA3BC7">
        <w:rPr>
          <w:rFonts w:ascii="Times New Roman" w:eastAsia="SimSun" w:hAnsi="Times New Roman" w:hint="eastAsia"/>
          <w:sz w:val="20"/>
          <w:szCs w:val="20"/>
        </w:rPr>
        <w:t>102</w:t>
      </w:r>
      <w:r w:rsidR="002B682F" w:rsidRPr="00DA3BC7">
        <w:rPr>
          <w:rFonts w:ascii="Times Ext Roman" w:hAnsi="Times Ext Roman" w:cs="Times Ext Roman" w:hint="eastAsia"/>
          <w:sz w:val="20"/>
          <w:szCs w:val="20"/>
        </w:rPr>
        <w:t>）</w:t>
      </w:r>
    </w:p>
    <w:p w:rsidR="002B682F" w:rsidRPr="00DA3BC7" w:rsidRDefault="002B682F" w:rsidP="00BA3856">
      <w:pPr>
        <w:ind w:leftChars="300" w:left="720"/>
        <w:jc w:val="both"/>
      </w:pPr>
      <w:r w:rsidRPr="00DA3BC7">
        <w:rPr>
          <w:rFonts w:hint="eastAsia"/>
        </w:rPr>
        <w:t>這</w:t>
      </w:r>
      <w:r w:rsidRPr="00DA3BC7">
        <w:rPr>
          <w:rFonts w:hint="eastAsia"/>
          <w:b/>
        </w:rPr>
        <w:t>有因生</w:t>
      </w:r>
      <w:r w:rsidRPr="00DA3BC7">
        <w:rPr>
          <w:rFonts w:hint="eastAsia"/>
        </w:rPr>
        <w:t>與</w:t>
      </w:r>
      <w:r w:rsidRPr="00DA3BC7">
        <w:rPr>
          <w:rFonts w:hint="eastAsia"/>
          <w:b/>
        </w:rPr>
        <w:t>無因生</w:t>
      </w:r>
      <w:r w:rsidRPr="00DA3BC7">
        <w:rPr>
          <w:rFonts w:hint="eastAsia"/>
        </w:rPr>
        <w:t>的四生，既皆不能生，那麼究竟怎麼生呢？佛法稱之為因緣生。有些學者以為因緣生與他生、共生無何差別，這是沒有懂得緣生的真義。佛說的因緣生，是不屬於四生的，因為四生都是計有自性生的，</w:t>
      </w:r>
      <w:r w:rsidRPr="00DA3BC7">
        <w:rPr>
          <w:rFonts w:hint="eastAsia"/>
          <w:b/>
        </w:rPr>
        <w:t>緣生是否定自性。凡執有自性的，即落於四生；緣生即</w:t>
      </w:r>
      <w:r w:rsidRPr="00DA3BC7">
        <w:rPr>
          <w:rFonts w:hint="eastAsia"/>
          <w:b/>
        </w:rPr>
        <w:lastRenderedPageBreak/>
        <w:t>如幻，不墮於四生。</w:t>
      </w:r>
      <w:r w:rsidRPr="00DA3BC7">
        <w:rPr>
          <w:rFonts w:hint="eastAsia"/>
        </w:rPr>
        <w:t>所以經中說：「</w:t>
      </w:r>
      <w:r w:rsidRPr="00DA3BC7">
        <w:rPr>
          <w:rFonts w:ascii="標楷體" w:eastAsia="標楷體" w:hAnsi="標楷體" w:hint="eastAsia"/>
        </w:rPr>
        <w:t>若說緣生即無生，是中無有生自性</w:t>
      </w:r>
      <w:r w:rsidRPr="00DA3BC7">
        <w:rPr>
          <w:rFonts w:hint="eastAsia"/>
        </w:rPr>
        <w:t>。」</w:t>
      </w:r>
      <w:r w:rsidRPr="00DA3BC7">
        <w:rPr>
          <w:rStyle w:val="a6"/>
          <w:rFonts w:ascii="Times New Roman" w:hAnsi="Times New Roman"/>
        </w:rPr>
        <w:footnoteReference w:id="489"/>
      </w:r>
      <w:r w:rsidRPr="00DA3BC7">
        <w:rPr>
          <w:rFonts w:hint="eastAsia"/>
        </w:rPr>
        <w:t>不執有自性，即不犯前四生過，成緣生正義。</w:t>
      </w:r>
    </w:p>
    <w:p w:rsidR="002B682F" w:rsidRPr="00DA3BC7" w:rsidRDefault="002B682F" w:rsidP="00AE3920">
      <w:pPr>
        <w:spacing w:beforeLines="30"/>
        <w:ind w:leftChars="250" w:left="600"/>
        <w:jc w:val="both"/>
        <w:rPr>
          <w:rFonts w:eastAsia="SimSun"/>
          <w:sz w:val="20"/>
          <w:szCs w:val="20"/>
          <w:bdr w:val="single" w:sz="4" w:space="0" w:color="auto"/>
        </w:rPr>
      </w:pPr>
      <w:r w:rsidRPr="00100AC0">
        <w:rPr>
          <w:rFonts w:ascii="新細明體" w:hAnsi="新細明體" w:hint="eastAsia"/>
          <w:b/>
          <w:color w:val="FF0000"/>
          <w:sz w:val="20"/>
          <w:szCs w:val="20"/>
          <w:highlight w:val="yellow"/>
          <w:bdr w:val="single" w:sz="4" w:space="0" w:color="auto"/>
        </w:rPr>
        <w:t>（</w:t>
      </w:r>
      <w:r w:rsidR="00100AC0" w:rsidRPr="00100AC0">
        <w:rPr>
          <w:rFonts w:ascii="Times New Roman" w:hAnsi="Times New Roman" w:hint="eastAsia"/>
          <w:b/>
          <w:color w:val="FF0000"/>
          <w:sz w:val="20"/>
          <w:szCs w:val="20"/>
          <w:highlight w:val="yellow"/>
          <w:bdr w:val="single" w:sz="4" w:space="0" w:color="auto"/>
        </w:rPr>
        <w:t>2</w:t>
      </w:r>
      <w:r w:rsidRPr="00100AC0">
        <w:rPr>
          <w:rFonts w:ascii="新細明體" w:hAnsi="新細明體" w:hint="eastAsia"/>
          <w:b/>
          <w:color w:val="FF0000"/>
          <w:sz w:val="20"/>
          <w:szCs w:val="20"/>
          <w:highlight w:val="yellow"/>
          <w:bdr w:val="single" w:sz="4" w:space="0" w:color="auto"/>
        </w:rPr>
        <w:t>）</w:t>
      </w:r>
      <w:r w:rsidRPr="00100AC0">
        <w:rPr>
          <w:rFonts w:hint="eastAsia"/>
          <w:b/>
          <w:color w:val="FF0000"/>
          <w:sz w:val="20"/>
          <w:szCs w:val="20"/>
          <w:highlight w:val="yellow"/>
          <w:bdr w:val="single" w:sz="4" w:space="0" w:color="auto"/>
        </w:rPr>
        <w:t>破「</w:t>
      </w:r>
      <w:r w:rsidRPr="00100AC0">
        <w:rPr>
          <w:b/>
          <w:color w:val="FF0000"/>
          <w:sz w:val="20"/>
          <w:szCs w:val="20"/>
          <w:highlight w:val="yellow"/>
          <w:bdr w:val="single" w:sz="4" w:space="0" w:color="auto"/>
        </w:rPr>
        <w:t>生</w:t>
      </w:r>
      <w:r w:rsidR="00100AC0" w:rsidRPr="00100AC0">
        <w:rPr>
          <w:rFonts w:hint="eastAsia"/>
          <w:b/>
          <w:color w:val="FF0000"/>
          <w:sz w:val="20"/>
          <w:szCs w:val="20"/>
          <w:highlight w:val="yellow"/>
          <w:bdr w:val="single" w:sz="4" w:space="0" w:color="auto"/>
        </w:rPr>
        <w:t>相</w:t>
      </w:r>
      <w:r w:rsidRPr="00100AC0">
        <w:rPr>
          <w:rFonts w:hint="eastAsia"/>
          <w:b/>
          <w:color w:val="FF0000"/>
          <w:sz w:val="20"/>
          <w:szCs w:val="20"/>
          <w:highlight w:val="yellow"/>
          <w:bdr w:val="single" w:sz="4" w:space="0" w:color="auto"/>
        </w:rPr>
        <w:t>」</w:t>
      </w:r>
      <w:r w:rsidR="00100AC0" w:rsidRPr="00100AC0">
        <w:rPr>
          <w:rFonts w:hint="eastAsia"/>
          <w:b/>
          <w:color w:val="FF0000"/>
          <w:sz w:val="20"/>
          <w:szCs w:val="20"/>
          <w:highlight w:val="yellow"/>
          <w:bdr w:val="single" w:sz="4" w:space="0" w:color="auto"/>
        </w:rPr>
        <w:t>等</w:t>
      </w:r>
      <w:r w:rsidRPr="00DA3BC7">
        <w:rPr>
          <w:rFonts w:ascii="Times Ext Roman" w:hAnsi="Times Ext Roman" w:cs="Times Ext Roman" w:hint="eastAsia"/>
          <w:sz w:val="20"/>
          <w:szCs w:val="20"/>
        </w:rPr>
        <w:t>（</w:t>
      </w:r>
      <w:r w:rsidRPr="00DA3BC7">
        <w:rPr>
          <w:rFonts w:ascii="Times New Roman" w:hAnsi="Times New Roman" w:hint="eastAsia"/>
          <w:sz w:val="20"/>
          <w:szCs w:val="20"/>
        </w:rPr>
        <w:t>pp</w:t>
      </w:r>
      <w:r w:rsidRPr="00DA3BC7">
        <w:rPr>
          <w:rFonts w:hint="eastAsia"/>
          <w:sz w:val="20"/>
          <w:szCs w:val="20"/>
        </w:rPr>
        <w:t>.</w:t>
      </w:r>
      <w:r w:rsidRPr="00DA3BC7">
        <w:rPr>
          <w:rFonts w:ascii="Times New Roman" w:eastAsia="SimSun" w:hAnsi="Times New Roman" w:hint="eastAsia"/>
          <w:sz w:val="20"/>
          <w:szCs w:val="20"/>
        </w:rPr>
        <w:t>102</w:t>
      </w:r>
      <w:r w:rsidRPr="00DA3BC7">
        <w:rPr>
          <w:rFonts w:hint="eastAsia"/>
          <w:sz w:val="20"/>
          <w:szCs w:val="20"/>
        </w:rPr>
        <w:t>-</w:t>
      </w:r>
      <w:r w:rsidRPr="00DA3BC7">
        <w:rPr>
          <w:rFonts w:ascii="Times New Roman" w:eastAsia="SimSun" w:hAnsi="Times New Roman" w:hint="eastAsia"/>
          <w:sz w:val="20"/>
          <w:szCs w:val="20"/>
        </w:rPr>
        <w:t>104</w:t>
      </w:r>
      <w:r w:rsidRPr="00DA3BC7">
        <w:rPr>
          <w:rFonts w:ascii="Times Ext Roman" w:hAnsi="Times Ext Roman" w:cs="Times Ext Roman" w:hint="eastAsia"/>
          <w:sz w:val="20"/>
          <w:szCs w:val="20"/>
        </w:rPr>
        <w:t>）</w:t>
      </w:r>
    </w:p>
    <w:p w:rsidR="002B682F" w:rsidRPr="00DA3BC7" w:rsidRDefault="00100AC0" w:rsidP="00BA3856">
      <w:pPr>
        <w:ind w:leftChars="300" w:left="720"/>
        <w:jc w:val="both"/>
        <w:rPr>
          <w:rFonts w:eastAsia="SimSun"/>
          <w:b/>
          <w:sz w:val="20"/>
          <w:szCs w:val="20"/>
          <w:bdr w:val="single" w:sz="4" w:space="0" w:color="auto"/>
        </w:rPr>
      </w:pPr>
      <w:r w:rsidRPr="00100AC0">
        <w:rPr>
          <w:rFonts w:ascii="Times New Roman" w:hAnsi="Times New Roman" w:hint="eastAsia"/>
          <w:b/>
          <w:color w:val="FF0000"/>
          <w:sz w:val="20"/>
          <w:szCs w:val="20"/>
          <w:highlight w:val="yellow"/>
          <w:bdr w:val="single" w:sz="4" w:space="0" w:color="auto"/>
        </w:rPr>
        <w:t>A</w:t>
      </w:r>
      <w:r w:rsidR="002B682F" w:rsidRPr="00100AC0">
        <w:rPr>
          <w:rFonts w:ascii="新細明體" w:hAnsi="新細明體" w:hint="eastAsia"/>
          <w:b/>
          <w:color w:val="FF0000"/>
          <w:sz w:val="20"/>
          <w:szCs w:val="20"/>
          <w:highlight w:val="yellow"/>
          <w:bdr w:val="single" w:sz="4" w:space="0" w:color="auto"/>
        </w:rPr>
        <w:t>、總破</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pp</w:t>
      </w:r>
      <w:r w:rsidR="002B682F" w:rsidRPr="00DA3BC7">
        <w:rPr>
          <w:rFonts w:hint="eastAsia"/>
          <w:sz w:val="20"/>
          <w:szCs w:val="20"/>
        </w:rPr>
        <w:t>.</w:t>
      </w:r>
      <w:r w:rsidR="002B682F" w:rsidRPr="00DA3BC7">
        <w:rPr>
          <w:rFonts w:ascii="Times New Roman" w:eastAsia="SimSun" w:hAnsi="Times New Roman" w:hint="eastAsia"/>
          <w:sz w:val="20"/>
          <w:szCs w:val="20"/>
        </w:rPr>
        <w:t>102</w:t>
      </w:r>
      <w:r w:rsidR="002B682F" w:rsidRPr="00DA3BC7">
        <w:rPr>
          <w:rFonts w:hint="eastAsia"/>
          <w:sz w:val="20"/>
          <w:szCs w:val="20"/>
        </w:rPr>
        <w:t>-</w:t>
      </w:r>
      <w:r w:rsidR="002B682F" w:rsidRPr="00DA3BC7">
        <w:rPr>
          <w:rFonts w:ascii="Times New Roman" w:eastAsia="SimSun" w:hAnsi="Times New Roman" w:hint="eastAsia"/>
          <w:sz w:val="20"/>
          <w:szCs w:val="20"/>
        </w:rPr>
        <w:t>10</w:t>
      </w:r>
      <w:r w:rsidR="002B682F" w:rsidRPr="00DA3BC7">
        <w:rPr>
          <w:rFonts w:ascii="Times New Roman" w:hAnsi="Times New Roman" w:hint="eastAsia"/>
          <w:sz w:val="20"/>
          <w:szCs w:val="20"/>
        </w:rPr>
        <w:t>3</w:t>
      </w:r>
      <w:r w:rsidR="002B682F" w:rsidRPr="00DA3BC7">
        <w:rPr>
          <w:rFonts w:ascii="Times Ext Roman" w:hAnsi="Times Ext Roman" w:cs="Times Ext Roman" w:hint="eastAsia"/>
          <w:sz w:val="20"/>
          <w:szCs w:val="20"/>
        </w:rPr>
        <w:t>）</w:t>
      </w:r>
    </w:p>
    <w:p w:rsidR="002B682F" w:rsidRPr="00DA3BC7" w:rsidRDefault="002B682F" w:rsidP="00BA3856">
      <w:pPr>
        <w:ind w:leftChars="300" w:left="720"/>
        <w:jc w:val="both"/>
      </w:pPr>
      <w:r w:rsidRPr="00DA3BC7">
        <w:rPr>
          <w:rFonts w:hint="eastAsia"/>
        </w:rPr>
        <w:t>薩婆多部等以為眼識是一自性有法，眼識生的「生」，又是一自性有法，各有自性。以此「生」有作用，能生起眼識；眼識之外，另有此能生眼識的「生」。</w:t>
      </w:r>
    </w:p>
    <w:p w:rsidR="002B682F" w:rsidRPr="00DA3BC7" w:rsidRDefault="002B682F" w:rsidP="00AE3920">
      <w:pPr>
        <w:spacing w:beforeLines="20"/>
        <w:ind w:leftChars="300" w:left="720"/>
        <w:jc w:val="both"/>
        <w:rPr>
          <w:rFonts w:eastAsia="SimSun"/>
        </w:rPr>
      </w:pPr>
      <w:r w:rsidRPr="00DA3BC7">
        <w:rPr>
          <w:rFonts w:hint="eastAsia"/>
        </w:rPr>
        <w:t>自性論者，在剎那生滅的見地，有為法有生住滅的三有為相，是不免有些困難的。龍樹曾以</w:t>
      </w:r>
      <w:r w:rsidRPr="00DA3BC7">
        <w:rPr>
          <w:rFonts w:hint="eastAsia"/>
          <w:b/>
        </w:rPr>
        <w:t>聚散</w:t>
      </w:r>
      <w:r w:rsidRPr="00DA3BC7">
        <w:rPr>
          <w:rFonts w:hint="eastAsia"/>
        </w:rPr>
        <w:t>來破斥：</w:t>
      </w:r>
    </w:p>
    <w:p w:rsidR="002B682F" w:rsidRPr="00DA3BC7" w:rsidRDefault="002B682F" w:rsidP="00BA3856">
      <w:pPr>
        <w:ind w:leftChars="300" w:left="720"/>
        <w:jc w:val="both"/>
        <w:rPr>
          <w:rFonts w:eastAsia="SimSun"/>
        </w:rPr>
      </w:pPr>
      <w:r w:rsidRPr="00DA3BC7">
        <w:rPr>
          <w:rFonts w:hint="eastAsia"/>
          <w:b/>
        </w:rPr>
        <w:t>聚</w:t>
      </w:r>
      <w:r w:rsidRPr="00DA3BC7">
        <w:rPr>
          <w:rFonts w:hint="eastAsia"/>
        </w:rPr>
        <w:t>，是</w:t>
      </w:r>
      <w:r w:rsidRPr="00DA3BC7">
        <w:rPr>
          <w:rFonts w:hint="eastAsia"/>
          <w:b/>
        </w:rPr>
        <w:t>執生住滅三者是同時存在</w:t>
      </w:r>
      <w:r w:rsidRPr="00DA3BC7">
        <w:rPr>
          <w:rFonts w:hint="eastAsia"/>
        </w:rPr>
        <w:t>的；</w:t>
      </w:r>
    </w:p>
    <w:p w:rsidR="007C39E5" w:rsidRDefault="002B682F" w:rsidP="007C39E5">
      <w:pPr>
        <w:ind w:leftChars="300" w:left="720"/>
        <w:jc w:val="both"/>
      </w:pPr>
      <w:r w:rsidRPr="00DA3BC7">
        <w:rPr>
          <w:rFonts w:hint="eastAsia"/>
          <w:b/>
        </w:rPr>
        <w:t>散</w:t>
      </w:r>
      <w:r w:rsidRPr="00DA3BC7">
        <w:rPr>
          <w:rFonts w:hint="eastAsia"/>
        </w:rPr>
        <w:t>，是</w:t>
      </w:r>
      <w:r w:rsidRPr="00DA3BC7">
        <w:rPr>
          <w:rFonts w:hint="eastAsia"/>
          <w:b/>
        </w:rPr>
        <w:t>執生住滅三者是前後各別</w:t>
      </w:r>
      <w:r w:rsidRPr="00DA3BC7">
        <w:rPr>
          <w:rFonts w:hint="eastAsia"/>
        </w:rPr>
        <w:t>的。</w:t>
      </w:r>
    </w:p>
    <w:p w:rsidR="002B682F" w:rsidRPr="00DA3BC7" w:rsidRDefault="002B682F" w:rsidP="007C39E5">
      <w:pPr>
        <w:ind w:leftChars="300" w:left="720"/>
        <w:jc w:val="both"/>
        <w:rPr>
          <w:rFonts w:eastAsia="SimSun"/>
        </w:rPr>
      </w:pPr>
      <w:r w:rsidRPr="00DA3BC7">
        <w:rPr>
          <w:rFonts w:hint="eastAsia"/>
        </w:rPr>
        <w:t>在執有自性者，不論執聚或執散，論理上都是說不通的。</w:t>
      </w:r>
      <w:r w:rsidR="007C39E5" w:rsidRPr="00DA3BC7">
        <w:rPr>
          <w:rStyle w:val="a6"/>
          <w:rFonts w:ascii="Times New Roman" w:hAnsi="Times New Roman"/>
        </w:rPr>
        <w:footnoteReference w:id="490"/>
      </w:r>
    </w:p>
    <w:p w:rsidR="002B682F" w:rsidRPr="00DA3BC7" w:rsidRDefault="00100AC0" w:rsidP="00BA3856">
      <w:pPr>
        <w:ind w:leftChars="300" w:left="720"/>
        <w:jc w:val="both"/>
        <w:rPr>
          <w:b/>
          <w:sz w:val="20"/>
          <w:szCs w:val="20"/>
          <w:bdr w:val="single" w:sz="4" w:space="0" w:color="auto"/>
        </w:rPr>
      </w:pPr>
      <w:r w:rsidRPr="00100AC0">
        <w:rPr>
          <w:rFonts w:ascii="Times New Roman" w:hAnsi="Times New Roman" w:hint="eastAsia"/>
          <w:b/>
          <w:color w:val="FF0000"/>
          <w:sz w:val="20"/>
          <w:szCs w:val="20"/>
          <w:highlight w:val="yellow"/>
          <w:bdr w:val="single" w:sz="4" w:space="0" w:color="auto"/>
        </w:rPr>
        <w:lastRenderedPageBreak/>
        <w:t>B</w:t>
      </w:r>
      <w:r w:rsidR="002B682F" w:rsidRPr="00DA3BC7">
        <w:rPr>
          <w:rFonts w:hint="eastAsia"/>
          <w:b/>
          <w:sz w:val="20"/>
          <w:szCs w:val="20"/>
          <w:bdr w:val="single" w:sz="4" w:space="0" w:color="auto"/>
        </w:rPr>
        <w:t>、別破</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eastAsia="SimSun" w:hAnsi="Times New Roman"/>
          <w:sz w:val="20"/>
          <w:szCs w:val="20"/>
        </w:rPr>
        <w:t>10</w:t>
      </w:r>
      <w:r w:rsidR="002B682F" w:rsidRPr="00DA3BC7">
        <w:rPr>
          <w:rFonts w:ascii="Times New Roman" w:hAnsi="Times New Roman" w:hint="eastAsia"/>
          <w:sz w:val="20"/>
          <w:szCs w:val="20"/>
        </w:rPr>
        <w:t>3</w:t>
      </w:r>
      <w:r w:rsidR="002B682F" w:rsidRPr="00DA3BC7">
        <w:rPr>
          <w:sz w:val="20"/>
          <w:szCs w:val="20"/>
        </w:rPr>
        <w:t>-</w:t>
      </w:r>
      <w:r w:rsidR="002B682F" w:rsidRPr="00DA3BC7">
        <w:rPr>
          <w:rFonts w:ascii="Times New Roman" w:eastAsia="SimSun" w:hAnsi="Times New Roman"/>
          <w:sz w:val="20"/>
          <w:szCs w:val="20"/>
        </w:rPr>
        <w:t>10</w:t>
      </w:r>
      <w:r w:rsidR="002B682F" w:rsidRPr="00DA3BC7">
        <w:rPr>
          <w:rFonts w:ascii="Times New Roman" w:hAnsi="Times New Roman" w:hint="eastAsia"/>
          <w:sz w:val="20"/>
          <w:szCs w:val="20"/>
        </w:rPr>
        <w:t>4</w:t>
      </w:r>
      <w:r w:rsidR="002B682F" w:rsidRPr="00DA3BC7">
        <w:rPr>
          <w:rFonts w:ascii="Times Ext Roman" w:hAnsi="Times Ext Roman" w:cs="Times Ext Roman" w:hint="eastAsia"/>
          <w:sz w:val="20"/>
          <w:szCs w:val="20"/>
        </w:rPr>
        <w:t>）</w:t>
      </w:r>
    </w:p>
    <w:p w:rsidR="002B682F" w:rsidRPr="00DA3BC7" w:rsidRDefault="002B682F" w:rsidP="00BA3856">
      <w:pPr>
        <w:ind w:leftChars="350" w:left="840"/>
        <w:jc w:val="both"/>
        <w:rPr>
          <w:b/>
          <w:sz w:val="20"/>
          <w:szCs w:val="20"/>
          <w:bdr w:val="single" w:sz="4" w:space="0" w:color="auto"/>
        </w:rPr>
      </w:pPr>
      <w:r w:rsidRPr="00100AC0">
        <w:rPr>
          <w:rFonts w:hint="eastAsia"/>
          <w:b/>
          <w:color w:val="FF0000"/>
          <w:sz w:val="20"/>
          <w:szCs w:val="20"/>
          <w:highlight w:val="yellow"/>
          <w:bdr w:val="single" w:sz="4" w:space="0" w:color="auto"/>
        </w:rPr>
        <w:t>（</w:t>
      </w:r>
      <w:r w:rsidR="00100AC0" w:rsidRPr="00100AC0">
        <w:rPr>
          <w:rFonts w:ascii="Times New Roman" w:hAnsi="Times New Roman" w:hint="eastAsia"/>
          <w:b/>
          <w:color w:val="FF0000"/>
          <w:sz w:val="20"/>
          <w:szCs w:val="20"/>
          <w:highlight w:val="yellow"/>
          <w:bdr w:val="single" w:sz="4" w:space="0" w:color="auto"/>
        </w:rPr>
        <w:t>A</w:t>
      </w:r>
      <w:r w:rsidRPr="00100AC0">
        <w:rPr>
          <w:rFonts w:hint="eastAsia"/>
          <w:b/>
          <w:color w:val="FF0000"/>
          <w:sz w:val="20"/>
          <w:szCs w:val="20"/>
          <w:highlight w:val="yellow"/>
          <w:bdr w:val="single" w:sz="4" w:space="0" w:color="auto"/>
        </w:rPr>
        <w:t>）</w:t>
      </w:r>
      <w:r w:rsidRPr="00DA3BC7">
        <w:rPr>
          <w:rFonts w:hint="eastAsia"/>
          <w:b/>
          <w:sz w:val="20"/>
          <w:szCs w:val="20"/>
          <w:bdr w:val="single" w:sz="4" w:space="0" w:color="auto"/>
        </w:rPr>
        <w:t>破經部師與上座部</w:t>
      </w:r>
      <w:r w:rsidRPr="00DA3BC7">
        <w:rPr>
          <w:rFonts w:ascii="Times Ext Roman" w:hAnsi="Times Ext Roman" w:cs="Times Ext Roman" w:hint="eastAsia"/>
          <w:sz w:val="20"/>
          <w:szCs w:val="20"/>
        </w:rPr>
        <w:t>（</w:t>
      </w:r>
      <w:r w:rsidRPr="00DA3BC7">
        <w:rPr>
          <w:rFonts w:ascii="Times New Roman" w:hAnsi="Times New Roman"/>
          <w:sz w:val="20"/>
          <w:szCs w:val="20"/>
        </w:rPr>
        <w:t>p</w:t>
      </w:r>
      <w:r w:rsidRPr="00DA3BC7">
        <w:rPr>
          <w:sz w:val="20"/>
          <w:szCs w:val="20"/>
        </w:rPr>
        <w:t>.</w:t>
      </w:r>
      <w:r w:rsidRPr="00DA3BC7">
        <w:rPr>
          <w:rFonts w:ascii="Times New Roman" w:eastAsia="SimSun" w:hAnsi="Times New Roman"/>
          <w:sz w:val="20"/>
          <w:szCs w:val="20"/>
        </w:rPr>
        <w:t>103</w:t>
      </w:r>
      <w:r w:rsidRPr="00DA3BC7">
        <w:rPr>
          <w:rFonts w:ascii="Times Ext Roman" w:hAnsi="Times Ext Roman" w:cs="Times Ext Roman" w:hint="eastAsia"/>
          <w:sz w:val="20"/>
          <w:szCs w:val="20"/>
        </w:rPr>
        <w:t>）</w:t>
      </w:r>
    </w:p>
    <w:p w:rsidR="002B682F" w:rsidRPr="00DA3BC7" w:rsidRDefault="00100AC0" w:rsidP="00BA3856">
      <w:pPr>
        <w:ind w:leftChars="400" w:left="960"/>
        <w:jc w:val="both"/>
        <w:rPr>
          <w:rFonts w:eastAsia="SimSun"/>
          <w:sz w:val="20"/>
          <w:szCs w:val="20"/>
          <w:bdr w:val="single" w:sz="4" w:space="0" w:color="auto"/>
        </w:rPr>
      </w:pPr>
      <w:r w:rsidRPr="00100AC0">
        <w:rPr>
          <w:rFonts w:ascii="Times New Roman" w:hAnsi="Times New Roman" w:hint="eastAsia"/>
          <w:b/>
          <w:color w:val="FF0000"/>
          <w:sz w:val="20"/>
          <w:szCs w:val="20"/>
          <w:highlight w:val="yellow"/>
          <w:bdr w:val="single" w:sz="4" w:space="0" w:color="auto"/>
        </w:rPr>
        <w:t>a</w:t>
      </w:r>
      <w:r w:rsidR="002B682F" w:rsidRPr="00100AC0">
        <w:rPr>
          <w:rFonts w:hint="eastAsia"/>
          <w:b/>
          <w:color w:val="FF0000"/>
          <w:sz w:val="20"/>
          <w:szCs w:val="20"/>
          <w:highlight w:val="yellow"/>
          <w:bdr w:val="single" w:sz="4" w:space="0" w:color="auto"/>
        </w:rPr>
        <w:t>、</w:t>
      </w:r>
      <w:r w:rsidRPr="00100AC0">
        <w:rPr>
          <w:rFonts w:hint="eastAsia"/>
          <w:b/>
          <w:color w:val="FF0000"/>
          <w:sz w:val="20"/>
          <w:szCs w:val="20"/>
          <w:highlight w:val="yellow"/>
          <w:bdr w:val="single" w:sz="4" w:space="0" w:color="auto"/>
        </w:rPr>
        <w:t>標二部宗義</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103</w:t>
      </w:r>
      <w:r w:rsidR="002B682F" w:rsidRPr="00DA3BC7">
        <w:rPr>
          <w:rFonts w:ascii="Times Ext Roman" w:hAnsi="Times Ext Roman" w:cs="Times Ext Roman" w:hint="eastAsia"/>
          <w:sz w:val="20"/>
          <w:szCs w:val="20"/>
        </w:rPr>
        <w:t>）</w:t>
      </w:r>
    </w:p>
    <w:p w:rsidR="002B682F" w:rsidRPr="00DA3BC7" w:rsidRDefault="002B682F" w:rsidP="00BA3856">
      <w:pPr>
        <w:widowControl/>
        <w:ind w:leftChars="400" w:left="960"/>
        <w:jc w:val="both"/>
        <w:rPr>
          <w:rFonts w:eastAsia="SimSun"/>
        </w:rPr>
      </w:pPr>
      <w:r w:rsidRPr="00DA3BC7">
        <w:rPr>
          <w:rFonts w:hint="eastAsia"/>
        </w:rPr>
        <w:t>比如時間最短不過的剎那，</w:t>
      </w:r>
      <w:r w:rsidRPr="00DA3BC7">
        <w:rPr>
          <w:rFonts w:hint="eastAsia"/>
          <w:b/>
        </w:rPr>
        <w:t>經部師和上座部</w:t>
      </w:r>
      <w:r w:rsidRPr="00DA3BC7">
        <w:rPr>
          <w:rStyle w:val="a6"/>
          <w:rFonts w:ascii="Times New Roman" w:hAnsi="Times New Roman"/>
        </w:rPr>
        <w:footnoteReference w:id="491"/>
      </w:r>
      <w:r w:rsidRPr="00DA3BC7">
        <w:rPr>
          <w:rFonts w:hint="eastAsia"/>
          <w:b/>
        </w:rPr>
        <w:t>他們，主張生滅不同時</w:t>
      </w:r>
      <w:r w:rsidRPr="00DA3BC7">
        <w:rPr>
          <w:rFonts w:hint="eastAsia"/>
        </w:rPr>
        <w:t>的。</w:t>
      </w:r>
      <w:r w:rsidRPr="00DA3BC7">
        <w:rPr>
          <w:rStyle w:val="a6"/>
          <w:rFonts w:ascii="Times New Roman" w:hAnsi="Times New Roman"/>
        </w:rPr>
        <w:footnoteReference w:id="492"/>
      </w:r>
      <w:r w:rsidRPr="00DA3BC7">
        <w:rPr>
          <w:rFonts w:hint="eastAsia"/>
        </w:rPr>
        <w:t>這不同時的前生後滅，約剎那心上說。</w:t>
      </w:r>
    </w:p>
    <w:p w:rsidR="002B682F" w:rsidRPr="00DA3BC7" w:rsidRDefault="00100AC0" w:rsidP="00AE3920">
      <w:pPr>
        <w:spacing w:beforeLines="30"/>
        <w:ind w:leftChars="400" w:left="960"/>
        <w:jc w:val="both"/>
        <w:rPr>
          <w:b/>
          <w:sz w:val="20"/>
          <w:szCs w:val="20"/>
          <w:bdr w:val="single" w:sz="4" w:space="0" w:color="auto"/>
        </w:rPr>
      </w:pPr>
      <w:r w:rsidRPr="00100AC0">
        <w:rPr>
          <w:rFonts w:ascii="Times New Roman" w:hAnsi="Times New Roman" w:hint="eastAsia"/>
          <w:b/>
          <w:color w:val="FF0000"/>
          <w:sz w:val="20"/>
          <w:szCs w:val="20"/>
          <w:highlight w:val="yellow"/>
          <w:bdr w:val="single" w:sz="4" w:space="0" w:color="auto"/>
        </w:rPr>
        <w:lastRenderedPageBreak/>
        <w:t>b</w:t>
      </w:r>
      <w:r w:rsidR="002B682F" w:rsidRPr="00100AC0">
        <w:rPr>
          <w:rFonts w:hint="eastAsia"/>
          <w:b/>
          <w:color w:val="FF0000"/>
          <w:sz w:val="20"/>
          <w:szCs w:val="20"/>
          <w:highlight w:val="yellow"/>
          <w:bdr w:val="single" w:sz="4" w:space="0" w:color="auto"/>
        </w:rPr>
        <w:t>、</w:t>
      </w:r>
      <w:r w:rsidR="002B682F" w:rsidRPr="00DA3BC7">
        <w:rPr>
          <w:rFonts w:hint="eastAsia"/>
          <w:b/>
          <w:sz w:val="20"/>
          <w:szCs w:val="20"/>
          <w:bdr w:val="single" w:sz="4" w:space="0" w:color="auto"/>
        </w:rPr>
        <w:t>中觀</w:t>
      </w:r>
      <w:r w:rsidR="002B682F" w:rsidRPr="00100AC0">
        <w:rPr>
          <w:rFonts w:hint="eastAsia"/>
          <w:b/>
          <w:sz w:val="20"/>
          <w:szCs w:val="20"/>
          <w:highlight w:val="yellow"/>
          <w:bdr w:val="single" w:sz="4" w:space="0" w:color="auto"/>
        </w:rPr>
        <w:t>家評</w:t>
      </w:r>
      <w:r w:rsidR="002B682F" w:rsidRPr="00DA3BC7">
        <w:rPr>
          <w:rFonts w:hint="eastAsia"/>
          <w:b/>
          <w:sz w:val="20"/>
          <w:szCs w:val="20"/>
          <w:bdr w:val="single" w:sz="4" w:space="0" w:color="auto"/>
        </w:rPr>
        <w:t>破</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103</w:t>
      </w:r>
      <w:r w:rsidR="002B682F" w:rsidRPr="00DA3BC7">
        <w:rPr>
          <w:rFonts w:ascii="Times Ext Roman" w:hAnsi="Times Ext Roman" w:cs="Times Ext Roman" w:hint="eastAsia"/>
          <w:sz w:val="20"/>
          <w:szCs w:val="20"/>
        </w:rPr>
        <w:t>）</w:t>
      </w:r>
    </w:p>
    <w:p w:rsidR="002B682F" w:rsidRPr="00DA3BC7" w:rsidRDefault="002B682F" w:rsidP="00BA3856">
      <w:pPr>
        <w:ind w:leftChars="400" w:left="960"/>
        <w:jc w:val="both"/>
      </w:pPr>
      <w:r w:rsidRPr="00DA3BC7">
        <w:rPr>
          <w:rFonts w:hint="eastAsia"/>
        </w:rPr>
        <w:t>若生時與滅時不同而又同在此一剎那心，則一剎那已可分為前後兩時，即不能成立剎那是時間中最短的。而且，一切因果諸行在息息變滅中，決無生（或住）而不滅的，如《中論》</w:t>
      </w:r>
      <w:r w:rsidR="00E61E77">
        <w:rPr>
          <w:rFonts w:hint="eastAsia"/>
        </w:rPr>
        <w:t>〈</w:t>
      </w:r>
      <w:r w:rsidR="00E61E77" w:rsidRPr="00E61E77">
        <w:rPr>
          <w:rFonts w:ascii="Times New Roman" w:hAnsi="Times New Roman" w:hint="eastAsia"/>
          <w:shd w:val="pct15" w:color="auto" w:fill="FFFFFF"/>
        </w:rPr>
        <w:t>7</w:t>
      </w:r>
      <w:r w:rsidR="00E61E77">
        <w:rPr>
          <w:rFonts w:hint="eastAsia"/>
        </w:rPr>
        <w:t xml:space="preserve"> </w:t>
      </w:r>
      <w:r w:rsidR="00E61E77" w:rsidRPr="00DA3BC7">
        <w:rPr>
          <w:rFonts w:hint="eastAsia"/>
        </w:rPr>
        <w:t>觀三相品</w:t>
      </w:r>
      <w:r w:rsidR="00E61E77">
        <w:rPr>
          <w:rFonts w:hint="eastAsia"/>
        </w:rPr>
        <w:t>〉</w:t>
      </w:r>
      <w:r w:rsidRPr="00DA3BC7">
        <w:rPr>
          <w:rFonts w:hint="eastAsia"/>
        </w:rPr>
        <w:t>說：「</w:t>
      </w:r>
      <w:r w:rsidRPr="00DA3BC7">
        <w:rPr>
          <w:rFonts w:ascii="標楷體" w:eastAsia="標楷體" w:hAnsi="標楷體" w:hint="eastAsia"/>
        </w:rPr>
        <w:t>所有一切法，皆是老死（異滅）相，終不見有法，離老死有住</w:t>
      </w:r>
      <w:r w:rsidRPr="00DA3BC7">
        <w:rPr>
          <w:rFonts w:hint="eastAsia"/>
        </w:rPr>
        <w:t>。」</w:t>
      </w:r>
      <w:r w:rsidRPr="00DA3BC7">
        <w:rPr>
          <w:rStyle w:val="a6"/>
          <w:rFonts w:ascii="Times New Roman" w:hAnsi="Times New Roman"/>
        </w:rPr>
        <w:footnoteReference w:id="493"/>
      </w:r>
      <w:r w:rsidRPr="00DA3BC7">
        <w:rPr>
          <w:rFonts w:hint="eastAsia"/>
        </w:rPr>
        <w:t>所以在最短的時間，經部與上座部即不能成立有三有為相的生住</w:t>
      </w:r>
      <w:r w:rsidRPr="00DA3BC7">
        <w:rPr>
          <w:rFonts w:hint="eastAsia"/>
        </w:rPr>
        <w:lastRenderedPageBreak/>
        <w:t>滅，也即是不能在法的當體了知其即生即滅的緣起正理，僅能粗相的在相續上說有生有滅。</w:t>
      </w:r>
    </w:p>
    <w:p w:rsidR="002B682F" w:rsidRPr="00DA3BC7" w:rsidRDefault="002B682F" w:rsidP="00AE3920">
      <w:pPr>
        <w:spacing w:beforeLines="30"/>
        <w:ind w:leftChars="350" w:left="840"/>
        <w:jc w:val="both"/>
        <w:rPr>
          <w:rFonts w:eastAsia="SimSun"/>
          <w:sz w:val="20"/>
          <w:szCs w:val="20"/>
          <w:bdr w:val="single" w:sz="4" w:space="0" w:color="auto"/>
        </w:rPr>
      </w:pPr>
      <w:r w:rsidRPr="00100AC0">
        <w:rPr>
          <w:rFonts w:hint="eastAsia"/>
          <w:b/>
          <w:color w:val="FF0000"/>
          <w:sz w:val="20"/>
          <w:szCs w:val="20"/>
          <w:highlight w:val="yellow"/>
          <w:bdr w:val="single" w:sz="4" w:space="0" w:color="auto"/>
        </w:rPr>
        <w:t>（</w:t>
      </w:r>
      <w:r w:rsidR="00100AC0" w:rsidRPr="00100AC0">
        <w:rPr>
          <w:rFonts w:ascii="Times New Roman" w:hAnsi="Times New Roman" w:hint="eastAsia"/>
          <w:b/>
          <w:color w:val="FF0000"/>
          <w:sz w:val="20"/>
          <w:szCs w:val="20"/>
          <w:highlight w:val="yellow"/>
          <w:bdr w:val="single" w:sz="4" w:space="0" w:color="auto"/>
        </w:rPr>
        <w:t>B</w:t>
      </w:r>
      <w:r w:rsidRPr="00100AC0">
        <w:rPr>
          <w:rFonts w:hint="eastAsia"/>
          <w:b/>
          <w:color w:val="FF0000"/>
          <w:sz w:val="20"/>
          <w:szCs w:val="20"/>
          <w:highlight w:val="yellow"/>
          <w:bdr w:val="single" w:sz="4" w:space="0" w:color="auto"/>
        </w:rPr>
        <w:t>）</w:t>
      </w:r>
      <w:r w:rsidRPr="00DA3BC7">
        <w:rPr>
          <w:b/>
          <w:sz w:val="20"/>
          <w:szCs w:val="20"/>
          <w:bdr w:val="single" w:sz="4" w:space="0" w:color="auto"/>
        </w:rPr>
        <w:t>破薩婆多部</w:t>
      </w:r>
      <w:r w:rsidRPr="00DA3BC7">
        <w:rPr>
          <w:rFonts w:ascii="Times Ext Roman" w:hAnsi="Times Ext Roman" w:cs="Times Ext Roman" w:hint="eastAsia"/>
          <w:sz w:val="20"/>
        </w:rPr>
        <w:t>（</w:t>
      </w:r>
      <w:r w:rsidRPr="00DA3BC7">
        <w:rPr>
          <w:rFonts w:ascii="Times New Roman" w:hAnsi="Times New Roman"/>
          <w:sz w:val="20"/>
        </w:rPr>
        <w:t>pp</w:t>
      </w:r>
      <w:r w:rsidRPr="00DA3BC7">
        <w:rPr>
          <w:sz w:val="20"/>
        </w:rPr>
        <w:t>.</w:t>
      </w:r>
      <w:r w:rsidRPr="00DA3BC7">
        <w:rPr>
          <w:rFonts w:ascii="Times New Roman" w:eastAsia="SimSun" w:hAnsi="Times New Roman"/>
          <w:sz w:val="20"/>
        </w:rPr>
        <w:t>103</w:t>
      </w:r>
      <w:r w:rsidRPr="00DA3BC7">
        <w:rPr>
          <w:sz w:val="20"/>
        </w:rPr>
        <w:t>-</w:t>
      </w:r>
      <w:r w:rsidRPr="00DA3BC7">
        <w:rPr>
          <w:rFonts w:ascii="Times New Roman" w:eastAsia="SimSun" w:hAnsi="Times New Roman"/>
          <w:sz w:val="20"/>
        </w:rPr>
        <w:t>104</w:t>
      </w:r>
      <w:r w:rsidRPr="00DA3BC7">
        <w:rPr>
          <w:rFonts w:ascii="Times Ext Roman" w:hAnsi="Times Ext Roman" w:cs="Times Ext Roman" w:hint="eastAsia"/>
          <w:sz w:val="20"/>
        </w:rPr>
        <w:t>）</w:t>
      </w:r>
    </w:p>
    <w:p w:rsidR="002B682F" w:rsidRPr="00DA3BC7" w:rsidRDefault="00100AC0" w:rsidP="00BA3856">
      <w:pPr>
        <w:ind w:leftChars="400" w:left="960"/>
        <w:jc w:val="both"/>
        <w:rPr>
          <w:rFonts w:eastAsia="SimSun"/>
          <w:sz w:val="20"/>
          <w:szCs w:val="20"/>
          <w:bdr w:val="single" w:sz="4" w:space="0" w:color="auto"/>
        </w:rPr>
      </w:pPr>
      <w:r w:rsidRPr="00100AC0">
        <w:rPr>
          <w:rFonts w:ascii="Times New Roman" w:hAnsi="Times New Roman" w:hint="eastAsia"/>
          <w:b/>
          <w:color w:val="FF0000"/>
          <w:sz w:val="20"/>
          <w:szCs w:val="20"/>
          <w:highlight w:val="yellow"/>
          <w:bdr w:val="single" w:sz="4" w:space="0" w:color="auto"/>
        </w:rPr>
        <w:t>a</w:t>
      </w:r>
      <w:r w:rsidR="002B682F" w:rsidRPr="00100AC0">
        <w:rPr>
          <w:rFonts w:ascii="新細明體" w:hAnsi="新細明體" w:hint="eastAsia"/>
          <w:b/>
          <w:color w:val="FF0000"/>
          <w:sz w:val="20"/>
          <w:szCs w:val="20"/>
          <w:highlight w:val="yellow"/>
          <w:bdr w:val="single" w:sz="4" w:space="0" w:color="auto"/>
        </w:rPr>
        <w:t>、</w:t>
      </w:r>
      <w:r w:rsidRPr="00100AC0">
        <w:rPr>
          <w:rFonts w:hint="eastAsia"/>
          <w:b/>
          <w:color w:val="FF0000"/>
          <w:sz w:val="20"/>
          <w:szCs w:val="20"/>
          <w:highlight w:val="yellow"/>
          <w:bdr w:val="single" w:sz="4" w:space="0" w:color="auto"/>
        </w:rPr>
        <w:t>標宗義</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eastAsia="SimSun" w:hAnsi="Times New Roman"/>
          <w:sz w:val="20"/>
          <w:szCs w:val="20"/>
        </w:rPr>
        <w:t>103</w:t>
      </w:r>
      <w:r w:rsidR="002B682F" w:rsidRPr="00DA3BC7">
        <w:rPr>
          <w:sz w:val="20"/>
          <w:szCs w:val="20"/>
        </w:rPr>
        <w:t>-</w:t>
      </w:r>
      <w:r w:rsidR="002B682F" w:rsidRPr="00DA3BC7">
        <w:rPr>
          <w:rFonts w:ascii="Times New Roman" w:eastAsia="SimSun" w:hAnsi="Times New Roman"/>
          <w:sz w:val="20"/>
          <w:szCs w:val="20"/>
        </w:rPr>
        <w:t>104</w:t>
      </w:r>
      <w:r w:rsidR="002B682F" w:rsidRPr="00DA3BC7">
        <w:rPr>
          <w:rFonts w:ascii="Times Ext Roman" w:hAnsi="Times Ext Roman" w:cs="Times Ext Roman" w:hint="eastAsia"/>
          <w:sz w:val="20"/>
          <w:szCs w:val="20"/>
        </w:rPr>
        <w:t>）</w:t>
      </w:r>
    </w:p>
    <w:p w:rsidR="002B682F" w:rsidRPr="00DA3BC7" w:rsidRDefault="002B682F" w:rsidP="00BA3856">
      <w:pPr>
        <w:ind w:leftChars="400" w:left="960"/>
        <w:jc w:val="both"/>
        <w:rPr>
          <w:rFonts w:eastAsia="SimSun"/>
        </w:rPr>
      </w:pPr>
      <w:r w:rsidRPr="00DA3BC7">
        <w:rPr>
          <w:rFonts w:hint="eastAsia"/>
        </w:rPr>
        <w:t>薩婆多部是主張</w:t>
      </w:r>
      <w:r w:rsidRPr="00DA3BC7">
        <w:rPr>
          <w:rFonts w:hint="eastAsia"/>
          <w:b/>
        </w:rPr>
        <w:t>生住滅同時</w:t>
      </w:r>
      <w:r w:rsidRPr="00DA3BC7">
        <w:rPr>
          <w:rFonts w:hint="eastAsia"/>
        </w:rPr>
        <w:t>的，</w:t>
      </w:r>
      <w:r w:rsidR="00100AC0" w:rsidRPr="00DA3BC7">
        <w:rPr>
          <w:rStyle w:val="a6"/>
          <w:rFonts w:ascii="Times New Roman" w:hAnsi="Times New Roman"/>
        </w:rPr>
        <w:footnoteReference w:id="494"/>
      </w:r>
      <w:r w:rsidRPr="00DA3BC7">
        <w:rPr>
          <w:rFonts w:hint="eastAsia"/>
        </w:rPr>
        <w:t>換句話說：有「生」時，即有「住」，也即有「滅」。</w:t>
      </w:r>
    </w:p>
    <w:p w:rsidR="002B682F" w:rsidRPr="00DA3BC7" w:rsidRDefault="002B682F" w:rsidP="00AE3920">
      <w:pPr>
        <w:spacing w:beforeLines="20"/>
        <w:ind w:leftChars="400" w:left="960"/>
        <w:jc w:val="both"/>
        <w:rPr>
          <w:rFonts w:eastAsia="SimSun"/>
        </w:rPr>
      </w:pPr>
      <w:r w:rsidRPr="00DA3BC7">
        <w:rPr>
          <w:rFonts w:hint="eastAsia"/>
        </w:rPr>
        <w:t>但這在自性論者，論理上是矛盾的──自性論者是不能容許矛盾的。生時有住也有滅，則此法究竟是生、是住還是滅？這是一個難題。</w:t>
      </w:r>
    </w:p>
    <w:p w:rsidR="002B682F" w:rsidRPr="00DA3BC7" w:rsidRDefault="002B682F" w:rsidP="00AE3920">
      <w:pPr>
        <w:spacing w:beforeLines="20"/>
        <w:ind w:leftChars="400" w:left="960"/>
        <w:jc w:val="both"/>
        <w:rPr>
          <w:rFonts w:eastAsia="SimSun"/>
        </w:rPr>
      </w:pPr>
      <w:r w:rsidRPr="00DA3BC7">
        <w:rPr>
          <w:rFonts w:hint="eastAsia"/>
        </w:rPr>
        <w:t>在此，薩婆多部給以</w:t>
      </w:r>
      <w:r w:rsidRPr="00DA3BC7">
        <w:rPr>
          <w:rFonts w:hint="eastAsia"/>
          <w:b/>
        </w:rPr>
        <w:t>「體同時，用前後」</w:t>
      </w:r>
      <w:r w:rsidRPr="00DA3BC7">
        <w:rPr>
          <w:rFonts w:hint="eastAsia"/>
        </w:rPr>
        <w:t>的解說。</w:t>
      </w:r>
      <w:r w:rsidR="00100AC0" w:rsidRPr="00100AC0">
        <w:rPr>
          <w:rStyle w:val="a6"/>
          <w:rFonts w:ascii="Times New Roman" w:hAnsi="Times New Roman"/>
          <w:highlight w:val="yellow"/>
        </w:rPr>
        <w:footnoteReference w:id="495"/>
      </w:r>
      <w:r w:rsidRPr="00DA3BC7">
        <w:rPr>
          <w:rFonts w:hint="eastAsia"/>
        </w:rPr>
        <w:t>他們說：「生」起生用的時候，雖已有「住」與「滅」的體，而還沒有起住用與滅用。這樣，「住」現起住用的時候，「生」與「滅」同在，而生的作用已息，滅的作用未來。等到「滅」現起作用時，同樣地，「生」、「住」之體還現在，而作用已息。這樣說生住滅同時，而又說生住滅作用不同時，似乎可以避免作用的矛盾，而又可以成立同時有「三有為相」了。</w:t>
      </w:r>
    </w:p>
    <w:p w:rsidR="002B682F" w:rsidRPr="00DA3BC7" w:rsidRDefault="00100AC0" w:rsidP="00AE3920">
      <w:pPr>
        <w:spacing w:beforeLines="30"/>
        <w:ind w:leftChars="400" w:left="960"/>
        <w:jc w:val="both"/>
        <w:rPr>
          <w:rFonts w:eastAsia="SimSun"/>
          <w:sz w:val="20"/>
          <w:szCs w:val="20"/>
          <w:bdr w:val="single" w:sz="4" w:space="0" w:color="auto"/>
        </w:rPr>
      </w:pPr>
      <w:r w:rsidRPr="00100AC0">
        <w:rPr>
          <w:rFonts w:ascii="Times New Roman" w:hAnsi="Times New Roman" w:hint="eastAsia"/>
          <w:b/>
          <w:color w:val="FF0000"/>
          <w:sz w:val="20"/>
          <w:szCs w:val="20"/>
          <w:highlight w:val="yellow"/>
          <w:bdr w:val="single" w:sz="4" w:space="0" w:color="auto"/>
        </w:rPr>
        <w:t>b</w:t>
      </w:r>
      <w:r w:rsidR="002B682F" w:rsidRPr="00100AC0">
        <w:rPr>
          <w:rFonts w:ascii="新細明體" w:hAnsi="新細明體" w:hint="eastAsia"/>
          <w:b/>
          <w:color w:val="FF0000"/>
          <w:sz w:val="20"/>
          <w:szCs w:val="20"/>
          <w:highlight w:val="yellow"/>
          <w:bdr w:val="single" w:sz="4" w:space="0" w:color="auto"/>
        </w:rPr>
        <w:t>、</w:t>
      </w:r>
      <w:r w:rsidR="002B682F" w:rsidRPr="00DA3BC7">
        <w:rPr>
          <w:rFonts w:hint="eastAsia"/>
          <w:b/>
          <w:sz w:val="20"/>
          <w:szCs w:val="20"/>
          <w:bdr w:val="single" w:sz="4" w:space="0" w:color="auto"/>
        </w:rPr>
        <w:t>中觀</w:t>
      </w:r>
      <w:r w:rsidR="002B682F" w:rsidRPr="00100AC0">
        <w:rPr>
          <w:rFonts w:hint="eastAsia"/>
          <w:b/>
          <w:sz w:val="20"/>
          <w:szCs w:val="20"/>
          <w:highlight w:val="yellow"/>
          <w:bdr w:val="single" w:sz="4" w:space="0" w:color="auto"/>
        </w:rPr>
        <w:t>家評</w:t>
      </w:r>
      <w:r w:rsidR="002B682F" w:rsidRPr="00DA3BC7">
        <w:rPr>
          <w:rFonts w:hint="eastAsia"/>
          <w:b/>
          <w:sz w:val="20"/>
          <w:szCs w:val="20"/>
          <w:bdr w:val="single" w:sz="4" w:space="0" w:color="auto"/>
        </w:rPr>
        <w:t>破</w:t>
      </w:r>
      <w:r w:rsidR="002B682F" w:rsidRPr="00DA3BC7">
        <w:rPr>
          <w:rFonts w:ascii="Times Ext Roman" w:hAnsi="Times Ext Roman" w:cs="Times Ext Roman" w:hint="eastAsia"/>
          <w:sz w:val="20"/>
        </w:rPr>
        <w:t>（</w:t>
      </w:r>
      <w:r w:rsidR="002B682F" w:rsidRPr="00DA3BC7">
        <w:rPr>
          <w:rFonts w:ascii="Times New Roman" w:hAnsi="Times New Roman"/>
          <w:sz w:val="20"/>
        </w:rPr>
        <w:t>p</w:t>
      </w:r>
      <w:r w:rsidR="002B682F" w:rsidRPr="00DA3BC7">
        <w:rPr>
          <w:sz w:val="20"/>
        </w:rPr>
        <w:t>.</w:t>
      </w:r>
      <w:r w:rsidR="002B682F" w:rsidRPr="00DA3BC7">
        <w:rPr>
          <w:rFonts w:ascii="Times New Roman" w:eastAsia="SimSun" w:hAnsi="Times New Roman"/>
          <w:sz w:val="20"/>
        </w:rPr>
        <w:t>104</w:t>
      </w:r>
      <w:r w:rsidR="002B682F" w:rsidRPr="00DA3BC7">
        <w:rPr>
          <w:rFonts w:ascii="Times Ext Roman" w:hAnsi="Times Ext Roman" w:cs="Times Ext Roman" w:hint="eastAsia"/>
          <w:sz w:val="20"/>
        </w:rPr>
        <w:t>）</w:t>
      </w:r>
    </w:p>
    <w:p w:rsidR="002B682F" w:rsidRPr="00DA3BC7" w:rsidRDefault="002B682F" w:rsidP="00BA3856">
      <w:pPr>
        <w:ind w:leftChars="400" w:left="960"/>
        <w:jc w:val="both"/>
        <w:rPr>
          <w:rFonts w:eastAsia="SimSun"/>
        </w:rPr>
      </w:pPr>
      <w:r w:rsidRPr="00DA3BC7">
        <w:rPr>
          <w:rFonts w:hint="eastAsia"/>
        </w:rPr>
        <w:t>但在中觀者看來，「體同時，用前後」，是不可能的事。既說有前後的</w:t>
      </w:r>
      <w:r w:rsidRPr="007C39E5">
        <w:rPr>
          <w:rFonts w:hint="eastAsia"/>
          <w:b/>
          <w:u w:val="wave" w:color="C00000"/>
        </w:rPr>
        <w:t>生</w:t>
      </w:r>
      <w:r w:rsidRPr="007C39E5">
        <w:rPr>
          <w:rFonts w:hint="eastAsia"/>
          <w:u w:val="wave" w:color="C00000"/>
        </w:rPr>
        <w:t>等</w:t>
      </w:r>
      <w:r w:rsidRPr="00DA3BC7">
        <w:rPr>
          <w:rFonts w:hint="eastAsia"/>
        </w:rPr>
        <w:t>作用，為什麼不許</w:t>
      </w:r>
      <w:r w:rsidR="007C39E5" w:rsidRPr="007C39E5">
        <w:rPr>
          <w:rFonts w:hint="eastAsia"/>
          <w:b/>
          <w:u w:val="wave" w:color="C00000"/>
        </w:rPr>
        <w:t>生</w:t>
      </w:r>
      <w:r w:rsidR="007C39E5" w:rsidRPr="007C39E5">
        <w:rPr>
          <w:rFonts w:hint="eastAsia"/>
          <w:u w:val="wave" w:color="C00000"/>
        </w:rPr>
        <w:t>等</w:t>
      </w:r>
      <w:r w:rsidRPr="00DA3BC7">
        <w:rPr>
          <w:rFonts w:hint="eastAsia"/>
        </w:rPr>
        <w:t>的體有前後？</w:t>
      </w:r>
      <w:r w:rsidR="007C39E5" w:rsidRPr="007C39E5">
        <w:rPr>
          <w:rFonts w:hint="eastAsia"/>
          <w:b/>
          <w:u w:val="wave" w:color="C00000"/>
        </w:rPr>
        <w:t>生</w:t>
      </w:r>
      <w:r w:rsidR="007C39E5" w:rsidRPr="007C39E5">
        <w:rPr>
          <w:rFonts w:hint="eastAsia"/>
          <w:u w:val="wave" w:color="C00000"/>
        </w:rPr>
        <w:t>等</w:t>
      </w:r>
      <w:r w:rsidRPr="00DA3BC7">
        <w:rPr>
          <w:rFonts w:hint="eastAsia"/>
        </w:rPr>
        <w:t>的體既同時，為何不許同時有</w:t>
      </w:r>
      <w:r w:rsidR="007C39E5" w:rsidRPr="007C39E5">
        <w:rPr>
          <w:rFonts w:hint="eastAsia"/>
          <w:b/>
          <w:u w:val="wave" w:color="C00000"/>
        </w:rPr>
        <w:t>生</w:t>
      </w:r>
      <w:r w:rsidR="007C39E5" w:rsidRPr="007C39E5">
        <w:rPr>
          <w:rFonts w:hint="eastAsia"/>
          <w:u w:val="wave" w:color="C00000"/>
        </w:rPr>
        <w:t>等</w:t>
      </w:r>
      <w:r w:rsidRPr="00DA3BC7">
        <w:rPr>
          <w:rFonts w:hint="eastAsia"/>
        </w:rPr>
        <w:t>的作用？把體用劃分兩截，事實上那會有離體之用、</w:t>
      </w:r>
      <w:r w:rsidRPr="00924221">
        <w:rPr>
          <w:rFonts w:ascii="Times New Roman" w:hAnsi="Times New Roman" w:hint="eastAsia"/>
        </w:rPr>
        <w:lastRenderedPageBreak/>
        <w:t>離用之體呢？所以，終不免《中論》</w:t>
      </w:r>
      <w:r w:rsidR="00924221" w:rsidRPr="00924221">
        <w:rPr>
          <w:rFonts w:ascii="Times New Roman" w:hAnsi="Times New Roman" w:hint="eastAsia"/>
        </w:rPr>
        <w:t>〈</w:t>
      </w:r>
      <w:r w:rsidR="00924221" w:rsidRPr="00305CDE">
        <w:rPr>
          <w:rFonts w:ascii="Times New Roman" w:hAnsi="Times New Roman" w:hint="eastAsia"/>
          <w:shd w:val="pct15" w:color="auto" w:fill="FFFFFF"/>
        </w:rPr>
        <w:t>21</w:t>
      </w:r>
      <w:r w:rsidR="00924221" w:rsidRPr="00924221">
        <w:rPr>
          <w:rFonts w:ascii="Times New Roman" w:hAnsi="Times New Roman" w:hint="eastAsia"/>
        </w:rPr>
        <w:t xml:space="preserve"> </w:t>
      </w:r>
      <w:r w:rsidR="00924221" w:rsidRPr="00924221">
        <w:rPr>
          <w:rFonts w:ascii="Times New Roman" w:hAnsi="Times New Roman" w:hint="eastAsia"/>
        </w:rPr>
        <w:t>觀成壞品〉</w:t>
      </w:r>
      <w:r w:rsidRPr="00DA3BC7">
        <w:rPr>
          <w:rFonts w:hint="eastAsia"/>
        </w:rPr>
        <w:t>所說的</w:t>
      </w:r>
      <w:r w:rsidRPr="00DA3BC7">
        <w:rPr>
          <w:rFonts w:ascii="標楷體" w:eastAsia="標楷體" w:hAnsi="標楷體" w:hint="eastAsia"/>
        </w:rPr>
        <w:t>「若言於生滅，而謂一時者，則於此陰死，即於此陰生」</w:t>
      </w:r>
      <w:r w:rsidRPr="00DA3BC7">
        <w:rPr>
          <w:rStyle w:val="a6"/>
          <w:rFonts w:ascii="Times New Roman" w:hAnsi="Times New Roman"/>
        </w:rPr>
        <w:footnoteReference w:id="496"/>
      </w:r>
      <w:r w:rsidRPr="00DA3BC7">
        <w:rPr>
          <w:rFonts w:hint="eastAsia"/>
        </w:rPr>
        <w:t>的過失。</w:t>
      </w:r>
    </w:p>
    <w:p w:rsidR="002B682F" w:rsidRPr="00DA3BC7" w:rsidRDefault="00100AC0" w:rsidP="00AE3920">
      <w:pPr>
        <w:spacing w:beforeLines="30"/>
        <w:ind w:leftChars="300" w:left="720"/>
        <w:jc w:val="both"/>
        <w:rPr>
          <w:rFonts w:eastAsia="SimSun"/>
          <w:sz w:val="20"/>
          <w:szCs w:val="20"/>
          <w:bdr w:val="single" w:sz="4" w:space="0" w:color="auto"/>
        </w:rPr>
      </w:pPr>
      <w:r w:rsidRPr="00100AC0">
        <w:rPr>
          <w:rFonts w:ascii="Times New Roman" w:hAnsi="Times New Roman" w:hint="eastAsia"/>
          <w:b/>
          <w:color w:val="FF0000"/>
          <w:sz w:val="20"/>
          <w:szCs w:val="20"/>
          <w:highlight w:val="yellow"/>
          <w:bdr w:val="single" w:sz="4" w:space="0" w:color="auto"/>
        </w:rPr>
        <w:t>C</w:t>
      </w:r>
      <w:r w:rsidR="002B682F" w:rsidRPr="00DA3BC7">
        <w:rPr>
          <w:rFonts w:ascii="新細明體" w:hAnsi="新細明體" w:hint="eastAsia"/>
          <w:b/>
          <w:sz w:val="20"/>
          <w:szCs w:val="20"/>
          <w:bdr w:val="single" w:sz="4" w:space="0" w:color="auto"/>
        </w:rPr>
        <w:t>、</w:t>
      </w:r>
      <w:r w:rsidR="002B682F" w:rsidRPr="00DA3BC7">
        <w:rPr>
          <w:rFonts w:hint="eastAsia"/>
          <w:b/>
          <w:sz w:val="20"/>
          <w:szCs w:val="20"/>
          <w:bdr w:val="single" w:sz="4" w:space="0" w:color="auto"/>
        </w:rPr>
        <w:t>小結</w:t>
      </w:r>
      <w:r w:rsidR="002B682F" w:rsidRPr="00DA3BC7">
        <w:rPr>
          <w:rFonts w:ascii="Times Ext Roman" w:hAnsi="Times Ext Roman" w:cs="Times Ext Roman" w:hint="eastAsia"/>
          <w:sz w:val="20"/>
        </w:rPr>
        <w:t>（</w:t>
      </w:r>
      <w:r w:rsidR="002B682F" w:rsidRPr="00DA3BC7">
        <w:rPr>
          <w:rFonts w:ascii="Times New Roman" w:hAnsi="Times New Roman" w:hint="eastAsia"/>
          <w:sz w:val="20"/>
        </w:rPr>
        <w:t>p</w:t>
      </w:r>
      <w:r w:rsidR="002B682F" w:rsidRPr="00DA3BC7">
        <w:rPr>
          <w:rFonts w:hint="eastAsia"/>
          <w:sz w:val="20"/>
        </w:rPr>
        <w:t>.</w:t>
      </w:r>
      <w:r w:rsidR="002B682F" w:rsidRPr="00DA3BC7">
        <w:rPr>
          <w:rFonts w:ascii="Times New Roman" w:eastAsia="SimSun" w:hAnsi="Times New Roman" w:hint="eastAsia"/>
          <w:sz w:val="20"/>
        </w:rPr>
        <w:t>104</w:t>
      </w:r>
      <w:r w:rsidR="002B682F" w:rsidRPr="00DA3BC7">
        <w:rPr>
          <w:rFonts w:ascii="Times Ext Roman" w:hAnsi="Times Ext Roman" w:cs="Times Ext Roman" w:hint="eastAsia"/>
          <w:sz w:val="20"/>
        </w:rPr>
        <w:t>）</w:t>
      </w:r>
    </w:p>
    <w:p w:rsidR="002B682F" w:rsidRPr="00DA3BC7" w:rsidRDefault="002B682F" w:rsidP="00BA3856">
      <w:pPr>
        <w:ind w:leftChars="300" w:left="720"/>
        <w:jc w:val="both"/>
        <w:rPr>
          <w:rFonts w:eastAsia="SimSun"/>
        </w:rPr>
      </w:pPr>
      <w:r w:rsidRPr="00DA3BC7">
        <w:rPr>
          <w:rFonts w:hint="eastAsia"/>
        </w:rPr>
        <w:t>總之，各部所說的生住滅同時、不同時，困難在執有自性的生住滅。執有自性，此即如此不可彼，彼即如彼不可此，即無法解說如來「即生即滅」的緣起正理。</w:t>
      </w:r>
    </w:p>
    <w:p w:rsidR="002B682F" w:rsidRPr="00DA3BC7" w:rsidRDefault="002B682F" w:rsidP="00AE3920">
      <w:pPr>
        <w:spacing w:beforeLines="20"/>
        <w:ind w:leftChars="300" w:left="720"/>
        <w:jc w:val="both"/>
        <w:rPr>
          <w:rFonts w:eastAsia="SimSun"/>
        </w:rPr>
      </w:pPr>
      <w:r w:rsidRPr="00DA3BC7">
        <w:rPr>
          <w:rFonts w:hint="eastAsia"/>
        </w:rPr>
        <w:t>反之，唯有無自性執，了知一切法自性空，而後緣起的即生即滅，無不成立。</w:t>
      </w:r>
    </w:p>
    <w:p w:rsidR="002B682F" w:rsidRPr="00DA3BC7" w:rsidRDefault="00100AC0" w:rsidP="00AE3920">
      <w:pPr>
        <w:spacing w:beforeLines="30"/>
        <w:ind w:leftChars="100" w:left="240"/>
        <w:jc w:val="both"/>
        <w:rPr>
          <w:rFonts w:eastAsia="SimSun"/>
          <w:sz w:val="20"/>
          <w:szCs w:val="20"/>
          <w:bdr w:val="single" w:sz="4" w:space="0" w:color="auto"/>
        </w:rPr>
      </w:pPr>
      <w:r>
        <w:rPr>
          <w:rFonts w:hint="eastAsia"/>
          <w:b/>
          <w:bCs/>
          <w:color w:val="FF0000"/>
          <w:sz w:val="20"/>
          <w:szCs w:val="20"/>
          <w:highlight w:val="yellow"/>
          <w:bdr w:val="single" w:sz="4" w:space="0" w:color="auto"/>
        </w:rPr>
        <w:t>二</w:t>
      </w:r>
      <w:r w:rsidR="002B682F" w:rsidRPr="00DA3BC7">
        <w:rPr>
          <w:b/>
          <w:bCs/>
          <w:sz w:val="20"/>
          <w:szCs w:val="20"/>
          <w:bdr w:val="single" w:sz="4" w:space="0" w:color="auto"/>
        </w:rPr>
        <w:t>、</w:t>
      </w:r>
      <w:r w:rsidR="002B682F" w:rsidRPr="00DA3BC7">
        <w:rPr>
          <w:rFonts w:hint="eastAsia"/>
          <w:b/>
          <w:bCs/>
          <w:sz w:val="20"/>
          <w:szCs w:val="20"/>
          <w:bdr w:val="single" w:sz="4" w:space="0" w:color="auto"/>
        </w:rPr>
        <w:t>不常不斷</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eastAsia="SimSun" w:hAnsi="Times New Roman"/>
          <w:sz w:val="20"/>
          <w:szCs w:val="20"/>
        </w:rPr>
        <w:t>104</w:t>
      </w:r>
      <w:r w:rsidR="002B682F" w:rsidRPr="00DA3BC7">
        <w:rPr>
          <w:sz w:val="20"/>
          <w:szCs w:val="20"/>
        </w:rPr>
        <w:t>-</w:t>
      </w:r>
      <w:r w:rsidR="002B682F" w:rsidRPr="00DA3BC7">
        <w:rPr>
          <w:rFonts w:ascii="Times New Roman" w:eastAsia="SimSun" w:hAnsi="Times New Roman"/>
          <w:sz w:val="20"/>
          <w:szCs w:val="20"/>
        </w:rPr>
        <w:t>108</w:t>
      </w:r>
      <w:r w:rsidR="002B682F" w:rsidRPr="00DA3BC7">
        <w:rPr>
          <w:rFonts w:ascii="Times Ext Roman" w:hAnsi="Times Ext Roman" w:cs="Times Ext Roman" w:hint="eastAsia"/>
          <w:sz w:val="20"/>
          <w:szCs w:val="20"/>
        </w:rPr>
        <w:t>）</w:t>
      </w:r>
    </w:p>
    <w:p w:rsidR="002B682F" w:rsidRPr="00DA3BC7" w:rsidRDefault="002B682F" w:rsidP="00BA3856">
      <w:pPr>
        <w:ind w:leftChars="150" w:left="360"/>
        <w:jc w:val="both"/>
        <w:rPr>
          <w:rFonts w:eastAsia="SimSun"/>
          <w:sz w:val="20"/>
          <w:szCs w:val="20"/>
          <w:bdr w:val="single" w:sz="4" w:space="0" w:color="auto"/>
        </w:rPr>
      </w:pPr>
      <w:r w:rsidRPr="00100AC0">
        <w:rPr>
          <w:b/>
          <w:color w:val="FF0000"/>
          <w:sz w:val="20"/>
          <w:szCs w:val="20"/>
          <w:highlight w:val="yellow"/>
          <w:bdr w:val="single" w:sz="4" w:space="0" w:color="auto"/>
        </w:rPr>
        <w:t>（</w:t>
      </w:r>
      <w:r w:rsidR="00100AC0" w:rsidRPr="00100AC0">
        <w:rPr>
          <w:rFonts w:hint="eastAsia"/>
          <w:b/>
          <w:color w:val="FF0000"/>
          <w:sz w:val="20"/>
          <w:szCs w:val="20"/>
          <w:highlight w:val="yellow"/>
          <w:bdr w:val="single" w:sz="4" w:space="0" w:color="auto"/>
        </w:rPr>
        <w:t>一</w:t>
      </w:r>
      <w:r w:rsidRPr="00100AC0">
        <w:rPr>
          <w:b/>
          <w:color w:val="FF0000"/>
          <w:sz w:val="20"/>
          <w:szCs w:val="20"/>
          <w:highlight w:val="yellow"/>
          <w:bdr w:val="single" w:sz="4" w:space="0" w:color="auto"/>
        </w:rPr>
        <w:t>）</w:t>
      </w:r>
      <w:r w:rsidR="00100AC0" w:rsidRPr="00100AC0">
        <w:rPr>
          <w:rFonts w:hint="eastAsia"/>
          <w:b/>
          <w:color w:val="FF0000"/>
          <w:sz w:val="20"/>
          <w:szCs w:val="20"/>
          <w:highlight w:val="yellow"/>
          <w:bdr w:val="single" w:sz="4" w:space="0" w:color="auto"/>
        </w:rPr>
        <w:t>總述</w:t>
      </w:r>
      <w:r w:rsidRPr="00DA3BC7">
        <w:rPr>
          <w:rFonts w:ascii="Times Ext Roman" w:hAnsi="Times Ext Roman" w:cs="Times Ext Roman" w:hint="eastAsia"/>
          <w:sz w:val="20"/>
          <w:szCs w:val="20"/>
        </w:rPr>
        <w:t>（</w:t>
      </w:r>
      <w:r w:rsidRPr="00DA3BC7">
        <w:rPr>
          <w:rFonts w:ascii="Times New Roman" w:hAnsi="Times New Roman"/>
          <w:sz w:val="20"/>
          <w:szCs w:val="20"/>
        </w:rPr>
        <w:t>pp</w:t>
      </w:r>
      <w:r w:rsidRPr="00DA3BC7">
        <w:rPr>
          <w:sz w:val="20"/>
          <w:szCs w:val="20"/>
        </w:rPr>
        <w:t>.</w:t>
      </w:r>
      <w:r w:rsidRPr="00DA3BC7">
        <w:rPr>
          <w:rFonts w:ascii="Times New Roman" w:eastAsia="SimSun" w:hAnsi="Times New Roman"/>
          <w:sz w:val="20"/>
          <w:szCs w:val="20"/>
        </w:rPr>
        <w:t>104</w:t>
      </w:r>
      <w:r w:rsidRPr="00DA3BC7">
        <w:rPr>
          <w:sz w:val="20"/>
          <w:szCs w:val="20"/>
        </w:rPr>
        <w:t>-</w:t>
      </w:r>
      <w:r w:rsidRPr="00DA3BC7">
        <w:rPr>
          <w:rFonts w:ascii="Times New Roman" w:eastAsia="SimSun" w:hAnsi="Times New Roman"/>
          <w:sz w:val="20"/>
          <w:szCs w:val="20"/>
        </w:rPr>
        <w:t>105</w:t>
      </w:r>
      <w:r w:rsidRPr="00DA3BC7">
        <w:rPr>
          <w:rFonts w:ascii="Times Ext Roman" w:hAnsi="Times Ext Roman" w:cs="Times Ext Roman" w:hint="eastAsia"/>
          <w:sz w:val="20"/>
          <w:szCs w:val="20"/>
        </w:rPr>
        <w:t>）</w:t>
      </w:r>
    </w:p>
    <w:p w:rsidR="002B682F" w:rsidRPr="00DA3BC7" w:rsidRDefault="002B682F" w:rsidP="00BA3856">
      <w:pPr>
        <w:ind w:leftChars="150" w:left="360"/>
        <w:jc w:val="both"/>
      </w:pPr>
      <w:r w:rsidRPr="00DA3BC7">
        <w:rPr>
          <w:rFonts w:hint="eastAsia"/>
        </w:rPr>
        <w:t>常與斷，特別是外道的執著。</w:t>
      </w:r>
      <w:r w:rsidRPr="00DA3BC7">
        <w:rPr>
          <w:rFonts w:hint="eastAsia"/>
          <w:b/>
        </w:rPr>
        <w:t>執時間上前後是同一的，即常；執前後非同一的，是斷。</w:t>
      </w:r>
      <w:r w:rsidRPr="00DA3BC7">
        <w:rPr>
          <w:rFonts w:hint="eastAsia"/>
        </w:rPr>
        <w:t>若常、若斷，這在《中論》裡是不屑</w:t>
      </w:r>
      <w:r w:rsidRPr="00DA3BC7">
        <w:rPr>
          <w:rStyle w:val="a6"/>
          <w:rFonts w:ascii="Times New Roman" w:hAnsi="Times New Roman"/>
        </w:rPr>
        <w:footnoteReference w:id="497"/>
      </w:r>
      <w:r w:rsidRPr="00DA3BC7">
        <w:rPr>
          <w:rFonts w:hint="eastAsia"/>
        </w:rPr>
        <w:t>與共論的，因為斷與常，違反緣起因果的事實。</w:t>
      </w:r>
    </w:p>
    <w:p w:rsidR="002B682F" w:rsidRPr="00DA3BC7" w:rsidRDefault="002B682F" w:rsidP="00AE3920">
      <w:pPr>
        <w:spacing w:beforeLines="20"/>
        <w:ind w:leftChars="150" w:left="360"/>
        <w:jc w:val="both"/>
        <w:rPr>
          <w:rFonts w:eastAsia="SimSun"/>
        </w:rPr>
      </w:pPr>
      <w:r w:rsidRPr="00DA3BC7">
        <w:rPr>
          <w:rFonts w:hint="eastAsia"/>
        </w:rPr>
        <w:t>佛法中不問大乘小乘，都是主張不斷不常的。可是在法法自性有、自相有的見地上，這些佛法中的部派，雖不願意承認是常是斷，而到底不免於是常或是斷。</w:t>
      </w:r>
    </w:p>
    <w:p w:rsidR="002B682F" w:rsidRPr="00DA3BC7" w:rsidRDefault="002B682F" w:rsidP="00AE3920">
      <w:pPr>
        <w:spacing w:beforeLines="30"/>
        <w:ind w:leftChars="150" w:left="360"/>
        <w:jc w:val="both"/>
        <w:rPr>
          <w:rFonts w:eastAsia="SimSun"/>
          <w:sz w:val="20"/>
          <w:szCs w:val="20"/>
          <w:bdr w:val="single" w:sz="4" w:space="0" w:color="auto"/>
        </w:rPr>
      </w:pPr>
      <w:r w:rsidRPr="00100AC0">
        <w:rPr>
          <w:rFonts w:hint="eastAsia"/>
          <w:b/>
          <w:color w:val="FF0000"/>
          <w:sz w:val="20"/>
          <w:szCs w:val="20"/>
          <w:highlight w:val="yellow"/>
          <w:bdr w:val="single" w:sz="4" w:space="0" w:color="auto"/>
        </w:rPr>
        <w:t>（</w:t>
      </w:r>
      <w:r w:rsidR="00100AC0" w:rsidRPr="00100AC0">
        <w:rPr>
          <w:rFonts w:hint="eastAsia"/>
          <w:b/>
          <w:color w:val="FF0000"/>
          <w:sz w:val="20"/>
          <w:szCs w:val="20"/>
          <w:highlight w:val="yellow"/>
          <w:bdr w:val="single" w:sz="4" w:space="0" w:color="auto"/>
        </w:rPr>
        <w:t>二</w:t>
      </w:r>
      <w:r w:rsidRPr="00100AC0">
        <w:rPr>
          <w:rFonts w:hint="eastAsia"/>
          <w:b/>
          <w:color w:val="FF0000"/>
          <w:sz w:val="20"/>
          <w:szCs w:val="20"/>
          <w:highlight w:val="yellow"/>
          <w:bdr w:val="single" w:sz="4" w:space="0" w:color="auto"/>
        </w:rPr>
        <w:t>）</w:t>
      </w:r>
      <w:r w:rsidR="00100AC0" w:rsidRPr="00100AC0">
        <w:rPr>
          <w:rFonts w:hint="eastAsia"/>
          <w:b/>
          <w:color w:val="FF0000"/>
          <w:sz w:val="20"/>
          <w:szCs w:val="20"/>
          <w:highlight w:val="yellow"/>
          <w:bdr w:val="single" w:sz="4" w:space="0" w:color="auto"/>
        </w:rPr>
        <w:t>詳辨</w:t>
      </w:r>
      <w:r w:rsidRPr="00DA3BC7">
        <w:rPr>
          <w:rFonts w:ascii="Times Ext Roman" w:hAnsi="Times Ext Roman" w:cs="Times Ext Roman" w:hint="eastAsia"/>
          <w:sz w:val="20"/>
          <w:szCs w:val="20"/>
        </w:rPr>
        <w:t>（</w:t>
      </w:r>
      <w:r w:rsidRPr="00DA3BC7">
        <w:rPr>
          <w:rFonts w:ascii="Times New Roman" w:hAnsi="Times New Roman"/>
          <w:sz w:val="20"/>
          <w:szCs w:val="20"/>
        </w:rPr>
        <w:t>p</w:t>
      </w:r>
      <w:r w:rsidRPr="00DA3BC7">
        <w:rPr>
          <w:sz w:val="20"/>
          <w:szCs w:val="20"/>
        </w:rPr>
        <w:t>.</w:t>
      </w:r>
      <w:r w:rsidRPr="00DA3BC7">
        <w:rPr>
          <w:rFonts w:ascii="Times New Roman" w:eastAsia="SimSun" w:hAnsi="Times New Roman"/>
          <w:sz w:val="20"/>
          <w:szCs w:val="20"/>
        </w:rPr>
        <w:t>105</w:t>
      </w:r>
      <w:r w:rsidRPr="00DA3BC7">
        <w:rPr>
          <w:rFonts w:ascii="Times Ext Roman" w:hAnsi="Times Ext Roman" w:cs="Times Ext Roman" w:hint="eastAsia"/>
          <w:sz w:val="20"/>
          <w:szCs w:val="20"/>
        </w:rPr>
        <w:t>）</w:t>
      </w:r>
    </w:p>
    <w:p w:rsidR="002B682F" w:rsidRPr="00DA3BC7" w:rsidRDefault="00100AC0" w:rsidP="00BA3856">
      <w:pPr>
        <w:ind w:leftChars="200" w:left="480"/>
        <w:jc w:val="both"/>
      </w:pPr>
      <w:r w:rsidRPr="00100AC0">
        <w:rPr>
          <w:rFonts w:ascii="Times New Roman" w:hAnsi="Times New Roman" w:hint="eastAsia"/>
          <w:b/>
          <w:color w:val="FF0000"/>
          <w:sz w:val="20"/>
          <w:szCs w:val="20"/>
          <w:highlight w:val="yellow"/>
          <w:bdr w:val="single" w:sz="4" w:space="0" w:color="auto"/>
        </w:rPr>
        <w:t>1</w:t>
      </w:r>
      <w:r w:rsidR="002B682F" w:rsidRPr="00100AC0">
        <w:rPr>
          <w:rFonts w:ascii="新細明體" w:hAnsi="新細明體" w:hint="eastAsia"/>
          <w:b/>
          <w:color w:val="FF0000"/>
          <w:sz w:val="20"/>
          <w:szCs w:val="20"/>
          <w:highlight w:val="yellow"/>
          <w:bdr w:val="single" w:sz="4" w:space="0" w:color="auto"/>
        </w:rPr>
        <w:t>、</w:t>
      </w:r>
      <w:r w:rsidRPr="00100AC0">
        <w:rPr>
          <w:rFonts w:ascii="新細明體" w:hAnsi="新細明體" w:hint="eastAsia"/>
          <w:b/>
          <w:color w:val="FF0000"/>
          <w:sz w:val="20"/>
          <w:szCs w:val="20"/>
          <w:highlight w:val="yellow"/>
          <w:bdr w:val="single" w:sz="4" w:space="0" w:color="auto"/>
        </w:rPr>
        <w:t>破</w:t>
      </w:r>
      <w:r w:rsidR="002B682F" w:rsidRPr="00DA3BC7">
        <w:rPr>
          <w:rFonts w:ascii="新細明體" w:hAnsi="新細明體"/>
          <w:b/>
          <w:sz w:val="20"/>
          <w:szCs w:val="20"/>
          <w:bdr w:val="single" w:sz="4" w:space="0" w:color="auto"/>
        </w:rPr>
        <w:t>三世</w:t>
      </w:r>
      <w:r w:rsidR="002B682F" w:rsidRPr="00DA3BC7">
        <w:rPr>
          <w:rFonts w:ascii="新細明體" w:hAnsi="新細明體" w:hint="eastAsia"/>
          <w:b/>
          <w:sz w:val="20"/>
          <w:szCs w:val="20"/>
          <w:bdr w:val="single" w:sz="4" w:space="0" w:color="auto"/>
        </w:rPr>
        <w:t>實有論者之</w:t>
      </w:r>
      <w:r w:rsidRPr="00100AC0">
        <w:rPr>
          <w:rFonts w:ascii="新細明體" w:hAnsi="新細明體" w:hint="eastAsia"/>
          <w:b/>
          <w:color w:val="FF0000"/>
          <w:sz w:val="20"/>
          <w:szCs w:val="20"/>
          <w:highlight w:val="yellow"/>
          <w:bdr w:val="single" w:sz="4" w:space="0" w:color="auto"/>
        </w:rPr>
        <w:t>宗</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105</w:t>
      </w:r>
      <w:r w:rsidR="002B682F" w:rsidRPr="00DA3BC7">
        <w:rPr>
          <w:rFonts w:ascii="Times Ext Roman" w:hAnsi="Times Ext Roman" w:cs="Times Ext Roman" w:hint="eastAsia"/>
          <w:sz w:val="20"/>
          <w:szCs w:val="20"/>
        </w:rPr>
        <w:t>）</w:t>
      </w:r>
    </w:p>
    <w:p w:rsidR="002B682F" w:rsidRPr="00DA3BC7" w:rsidRDefault="002B682F" w:rsidP="00BA3856">
      <w:pPr>
        <w:ind w:leftChars="200" w:left="480"/>
        <w:jc w:val="both"/>
      </w:pPr>
      <w:r w:rsidRPr="00DA3BC7">
        <w:rPr>
          <w:rFonts w:hint="eastAsia"/>
        </w:rPr>
        <w:t>如三世實有者，以為法體是本來如是的</w:t>
      </w:r>
      <w:r w:rsidRPr="00DA3BC7">
        <w:rPr>
          <w:rFonts w:ascii="標楷體" w:eastAsia="標楷體" w:hAnsi="標楷體" w:hint="eastAsia"/>
        </w:rPr>
        <w:t>「自性恒如」</w:t>
      </w:r>
      <w:r w:rsidRPr="00DA3BC7">
        <w:rPr>
          <w:rFonts w:hint="eastAsia"/>
        </w:rPr>
        <w:t>；</w:t>
      </w:r>
      <w:r w:rsidR="007C39E5" w:rsidRPr="00DA3BC7">
        <w:rPr>
          <w:rStyle w:val="a6"/>
          <w:rFonts w:ascii="Times New Roman" w:hAnsi="Times New Roman"/>
        </w:rPr>
        <w:footnoteReference w:id="498"/>
      </w:r>
      <w:r w:rsidRPr="00DA3BC7">
        <w:rPr>
          <w:rFonts w:hint="eastAsia"/>
        </w:rPr>
        <w:t>從未來（此法未</w:t>
      </w:r>
      <w:r w:rsidRPr="00DA3BC7">
        <w:rPr>
          <w:rFonts w:hint="eastAsia"/>
        </w:rPr>
        <w:lastRenderedPageBreak/>
        <w:t>起生用時）到現在，從現在到過去，有三世的因果遷流，所以不常；而因果連續，故不斷。</w:t>
      </w:r>
    </w:p>
    <w:p w:rsidR="002B682F" w:rsidRPr="00DA3BC7" w:rsidRDefault="002B682F" w:rsidP="00BA3856">
      <w:pPr>
        <w:ind w:leftChars="200" w:left="480"/>
        <w:jc w:val="both"/>
      </w:pPr>
      <w:r w:rsidRPr="00DA3BC7">
        <w:rPr>
          <w:rFonts w:hint="eastAsia"/>
        </w:rPr>
        <w:t>然而可能沒有中斷的過失，但這三世恒如的法法自體，又怎能不落於常見？</w:t>
      </w:r>
    </w:p>
    <w:p w:rsidR="002B682F" w:rsidRPr="00DA3BC7" w:rsidRDefault="00100AC0" w:rsidP="00AE3920">
      <w:pPr>
        <w:spacing w:beforeLines="30"/>
        <w:ind w:leftChars="200" w:left="480"/>
        <w:jc w:val="both"/>
        <w:rPr>
          <w:rFonts w:eastAsia="SimSun"/>
          <w:sz w:val="20"/>
          <w:szCs w:val="20"/>
          <w:bdr w:val="single" w:sz="4" w:space="0" w:color="auto"/>
        </w:rPr>
      </w:pPr>
      <w:r w:rsidRPr="00100AC0">
        <w:rPr>
          <w:rFonts w:ascii="Times New Roman" w:hAnsi="Times New Roman" w:hint="eastAsia"/>
          <w:b/>
          <w:color w:val="FF0000"/>
          <w:sz w:val="20"/>
          <w:szCs w:val="20"/>
          <w:highlight w:val="yellow"/>
          <w:bdr w:val="single" w:sz="4" w:space="0" w:color="auto"/>
        </w:rPr>
        <w:t>2</w:t>
      </w:r>
      <w:r w:rsidRPr="00100AC0">
        <w:rPr>
          <w:rFonts w:ascii="Times New Roman" w:hAnsi="Times New Roman" w:hint="eastAsia"/>
          <w:b/>
          <w:color w:val="FF0000"/>
          <w:sz w:val="20"/>
          <w:szCs w:val="20"/>
          <w:highlight w:val="yellow"/>
          <w:bdr w:val="single" w:sz="4" w:space="0" w:color="auto"/>
        </w:rPr>
        <w:t>、破</w:t>
      </w:r>
      <w:r w:rsidR="002B682F" w:rsidRPr="00DA3BC7">
        <w:rPr>
          <w:b/>
          <w:sz w:val="20"/>
          <w:szCs w:val="20"/>
          <w:bdr w:val="single" w:sz="4" w:space="0" w:color="auto"/>
        </w:rPr>
        <w:t>現在實有論者</w:t>
      </w:r>
      <w:r w:rsidRPr="00100AC0">
        <w:rPr>
          <w:rFonts w:hint="eastAsia"/>
          <w:b/>
          <w:color w:val="FF0000"/>
          <w:sz w:val="20"/>
          <w:szCs w:val="20"/>
          <w:highlight w:val="yellow"/>
          <w:bdr w:val="single" w:sz="4" w:space="0" w:color="auto"/>
        </w:rPr>
        <w:t>之宗</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eastAsia="SimSun" w:hAnsi="Times New Roman"/>
          <w:sz w:val="20"/>
          <w:szCs w:val="20"/>
        </w:rPr>
        <w:t>105</w:t>
      </w:r>
      <w:r w:rsidR="002B682F" w:rsidRPr="00DA3BC7">
        <w:rPr>
          <w:sz w:val="20"/>
          <w:szCs w:val="20"/>
        </w:rPr>
        <w:t>-</w:t>
      </w:r>
      <w:r w:rsidR="002B682F" w:rsidRPr="00DA3BC7">
        <w:rPr>
          <w:rFonts w:ascii="Times New Roman" w:eastAsia="SimSun" w:hAnsi="Times New Roman"/>
          <w:sz w:val="20"/>
          <w:szCs w:val="20"/>
        </w:rPr>
        <w:t>108</w:t>
      </w:r>
      <w:r w:rsidR="002B682F" w:rsidRPr="00DA3BC7">
        <w:rPr>
          <w:rFonts w:ascii="Times Ext Roman" w:hAnsi="Times Ext Roman" w:cs="Times Ext Roman" w:hint="eastAsia"/>
          <w:sz w:val="20"/>
          <w:szCs w:val="20"/>
        </w:rPr>
        <w:t>）</w:t>
      </w:r>
    </w:p>
    <w:p w:rsidR="002B682F" w:rsidRPr="00DA3BC7" w:rsidRDefault="00100AC0" w:rsidP="00BA3856">
      <w:pPr>
        <w:ind w:leftChars="250" w:left="600"/>
        <w:jc w:val="both"/>
        <w:rPr>
          <w:rFonts w:eastAsia="SimSun"/>
          <w:sz w:val="20"/>
          <w:szCs w:val="20"/>
        </w:rPr>
      </w:pPr>
      <w:r w:rsidRPr="00100AC0">
        <w:rPr>
          <w:rFonts w:ascii="Times New Roman" w:hAnsi="Times New Roman"/>
          <w:b/>
          <w:color w:val="FF0000"/>
          <w:sz w:val="20"/>
          <w:szCs w:val="20"/>
          <w:highlight w:val="yellow"/>
          <w:bdr w:val="single" w:sz="4" w:space="0" w:color="auto"/>
        </w:rPr>
        <w:t>（</w:t>
      </w:r>
      <w:r w:rsidRPr="00100AC0">
        <w:rPr>
          <w:rFonts w:ascii="Times New Roman" w:hAnsi="Times New Roman" w:hint="eastAsia"/>
          <w:b/>
          <w:color w:val="FF0000"/>
          <w:sz w:val="20"/>
          <w:szCs w:val="20"/>
          <w:highlight w:val="yellow"/>
          <w:bdr w:val="single" w:sz="4" w:space="0" w:color="auto"/>
        </w:rPr>
        <w:t>1</w:t>
      </w:r>
      <w:r w:rsidRPr="00100AC0">
        <w:rPr>
          <w:rFonts w:ascii="Times New Roman" w:hAnsi="Times New Roman"/>
          <w:b/>
          <w:color w:val="FF0000"/>
          <w:sz w:val="20"/>
          <w:szCs w:val="20"/>
          <w:highlight w:val="yellow"/>
          <w:bdr w:val="single" w:sz="4" w:space="0" w:color="auto"/>
        </w:rPr>
        <w:t>）</w:t>
      </w:r>
      <w:r w:rsidRPr="00100AC0">
        <w:rPr>
          <w:rFonts w:hint="eastAsia"/>
          <w:b/>
          <w:color w:val="FF0000"/>
          <w:sz w:val="20"/>
          <w:szCs w:val="20"/>
          <w:highlight w:val="yellow"/>
          <w:bdr w:val="single" w:sz="4" w:space="0" w:color="auto"/>
        </w:rPr>
        <w:t>概述過失</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105</w:t>
      </w:r>
      <w:r w:rsidR="002B682F" w:rsidRPr="00DA3BC7">
        <w:rPr>
          <w:rFonts w:ascii="Times Ext Roman" w:hAnsi="Times Ext Roman" w:cs="Times Ext Roman" w:hint="eastAsia"/>
          <w:sz w:val="20"/>
          <w:szCs w:val="20"/>
        </w:rPr>
        <w:t>）</w:t>
      </w:r>
    </w:p>
    <w:p w:rsidR="002B682F" w:rsidRPr="00DA3BC7" w:rsidRDefault="00100AC0" w:rsidP="00BA3856">
      <w:pPr>
        <w:ind w:leftChars="300" w:left="720"/>
        <w:jc w:val="both"/>
        <w:rPr>
          <w:rFonts w:eastAsia="SimSun"/>
          <w:b/>
          <w:sz w:val="20"/>
          <w:szCs w:val="20"/>
          <w:bdr w:val="single" w:sz="4" w:space="0" w:color="auto"/>
        </w:rPr>
      </w:pPr>
      <w:r w:rsidRPr="00100AC0">
        <w:rPr>
          <w:rFonts w:ascii="Times New Roman" w:hAnsi="Times New Roman" w:hint="eastAsia"/>
          <w:b/>
          <w:sz w:val="20"/>
          <w:szCs w:val="20"/>
          <w:bdr w:val="single" w:sz="4" w:space="0" w:color="auto"/>
        </w:rPr>
        <w:t>A</w:t>
      </w:r>
      <w:r w:rsidRPr="00100AC0">
        <w:rPr>
          <w:rFonts w:ascii="Times New Roman" w:hAnsi="Times New Roman" w:hint="eastAsia"/>
          <w:b/>
          <w:sz w:val="20"/>
          <w:szCs w:val="20"/>
          <w:bdr w:val="single" w:sz="4" w:space="0" w:color="auto"/>
        </w:rPr>
        <w:t>、</w:t>
      </w:r>
      <w:r w:rsidR="002B682F" w:rsidRPr="00DA3BC7">
        <w:rPr>
          <w:rFonts w:ascii="新細明體" w:hAnsi="新細明體" w:hint="eastAsia"/>
          <w:b/>
          <w:sz w:val="20"/>
          <w:szCs w:val="20"/>
          <w:bdr w:val="single" w:sz="4" w:space="0" w:color="auto"/>
        </w:rPr>
        <w:t>現在實有論者</w:t>
      </w:r>
      <w:r w:rsidRPr="00100AC0">
        <w:rPr>
          <w:rFonts w:ascii="新細明體" w:hAnsi="新細明體" w:hint="eastAsia"/>
          <w:b/>
          <w:color w:val="FF0000"/>
          <w:sz w:val="20"/>
          <w:szCs w:val="20"/>
          <w:highlight w:val="yellow"/>
          <w:bdr w:val="single" w:sz="4" w:space="0" w:color="auto"/>
        </w:rPr>
        <w:t>的</w:t>
      </w:r>
      <w:r w:rsidR="002B682F" w:rsidRPr="00DA3BC7">
        <w:rPr>
          <w:rFonts w:ascii="新細明體" w:hAnsi="新細明體" w:hint="eastAsia"/>
          <w:b/>
          <w:sz w:val="20"/>
          <w:szCs w:val="20"/>
          <w:bdr w:val="single" w:sz="4" w:space="0" w:color="auto"/>
        </w:rPr>
        <w:t>主張</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105</w:t>
      </w:r>
      <w:r w:rsidR="002B682F" w:rsidRPr="00DA3BC7">
        <w:rPr>
          <w:rFonts w:ascii="Times Ext Roman" w:hAnsi="Times Ext Roman" w:cs="Times Ext Roman" w:hint="eastAsia"/>
          <w:sz w:val="20"/>
          <w:szCs w:val="20"/>
        </w:rPr>
        <w:t>）</w:t>
      </w:r>
    </w:p>
    <w:p w:rsidR="002B682F" w:rsidRPr="00DA3BC7" w:rsidRDefault="002B682F" w:rsidP="00BA3856">
      <w:pPr>
        <w:ind w:leftChars="300" w:left="720"/>
        <w:jc w:val="both"/>
        <w:rPr>
          <w:rFonts w:eastAsia="SimSun"/>
        </w:rPr>
      </w:pPr>
      <w:r w:rsidRPr="00DA3BC7">
        <w:rPr>
          <w:rFonts w:hint="eastAsia"/>
        </w:rPr>
        <w:t>又如現在實有論者，說過未非有，永遠的唯是現在剎那剎那的生滅。過去的剎那滅，並非實有過去，而實轉化到現在，現在的不就是過去。從現在有可至於未來，名為未來，而實未來未生，即沒有實體。</w:t>
      </w:r>
    </w:p>
    <w:p w:rsidR="002B682F" w:rsidRPr="00DA3BC7" w:rsidRDefault="00100AC0" w:rsidP="00AE3920">
      <w:pPr>
        <w:spacing w:beforeLines="30"/>
        <w:ind w:leftChars="300" w:left="720"/>
        <w:jc w:val="both"/>
        <w:rPr>
          <w:rFonts w:ascii="新細明體" w:hAnsi="新細明體"/>
        </w:rPr>
      </w:pPr>
      <w:r w:rsidRPr="00100AC0">
        <w:rPr>
          <w:rFonts w:ascii="Times New Roman" w:hAnsi="Times New Roman" w:hint="eastAsia"/>
          <w:b/>
          <w:sz w:val="20"/>
          <w:szCs w:val="20"/>
          <w:bdr w:val="single" w:sz="4" w:space="0" w:color="auto"/>
        </w:rPr>
        <w:t>B</w:t>
      </w:r>
      <w:r w:rsidRPr="00100AC0">
        <w:rPr>
          <w:rFonts w:ascii="Times New Roman" w:hAnsi="Times New Roman" w:hint="eastAsia"/>
          <w:b/>
          <w:sz w:val="20"/>
          <w:szCs w:val="20"/>
          <w:bdr w:val="single" w:sz="4" w:space="0" w:color="auto"/>
        </w:rPr>
        <w:t>、</w:t>
      </w:r>
      <w:r w:rsidR="002B682F" w:rsidRPr="00DA3BC7">
        <w:rPr>
          <w:rFonts w:ascii="新細明體" w:hAnsi="新細明體" w:hint="eastAsia"/>
          <w:b/>
          <w:sz w:val="20"/>
          <w:szCs w:val="20"/>
          <w:bdr w:val="single" w:sz="4" w:space="0" w:color="auto"/>
        </w:rPr>
        <w:t>中觀</w:t>
      </w:r>
      <w:r w:rsidR="002B682F" w:rsidRPr="00100AC0">
        <w:rPr>
          <w:rFonts w:ascii="新細明體" w:hAnsi="新細明體" w:hint="eastAsia"/>
          <w:b/>
          <w:sz w:val="20"/>
          <w:szCs w:val="20"/>
          <w:highlight w:val="yellow"/>
          <w:bdr w:val="single" w:sz="4" w:space="0" w:color="auto"/>
        </w:rPr>
        <w:t>家評</w:t>
      </w:r>
      <w:r w:rsidR="002B682F" w:rsidRPr="00DA3BC7">
        <w:rPr>
          <w:rFonts w:ascii="新細明體" w:hAnsi="新細明體" w:hint="eastAsia"/>
          <w:b/>
          <w:sz w:val="20"/>
          <w:szCs w:val="20"/>
          <w:bdr w:val="single" w:sz="4" w:space="0" w:color="auto"/>
        </w:rPr>
        <w:t>破</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105</w:t>
      </w:r>
      <w:r w:rsidR="002B682F" w:rsidRPr="00DA3BC7">
        <w:rPr>
          <w:rFonts w:ascii="Times Ext Roman" w:hAnsi="Times Ext Roman" w:cs="Times Ext Roman" w:hint="eastAsia"/>
          <w:sz w:val="20"/>
          <w:szCs w:val="20"/>
        </w:rPr>
        <w:t>）</w:t>
      </w:r>
    </w:p>
    <w:p w:rsidR="002B682F" w:rsidRPr="00DA3BC7" w:rsidRDefault="002B682F" w:rsidP="00BA3856">
      <w:pPr>
        <w:ind w:leftChars="300" w:left="720"/>
        <w:jc w:val="both"/>
        <w:rPr>
          <w:rFonts w:eastAsia="SimSun"/>
        </w:rPr>
      </w:pPr>
      <w:r w:rsidRPr="00DA3BC7">
        <w:rPr>
          <w:rFonts w:hint="eastAsia"/>
        </w:rPr>
        <w:t>這樣，三世恒常的過失可避免了，然唯此一念，前後因果的聯續不斷，又不免成了問題。這些，都是根源於時間觀的不同而來。</w:t>
      </w:r>
    </w:p>
    <w:p w:rsidR="002B682F" w:rsidRPr="00DA3BC7" w:rsidRDefault="00100AC0" w:rsidP="00AE3920">
      <w:pPr>
        <w:spacing w:beforeLines="30"/>
        <w:ind w:leftChars="250" w:left="600"/>
        <w:jc w:val="both"/>
        <w:rPr>
          <w:rFonts w:ascii="新細明體" w:hAnsi="新細明體"/>
          <w:sz w:val="20"/>
          <w:szCs w:val="20"/>
          <w:bdr w:val="single" w:sz="4" w:space="0" w:color="auto"/>
        </w:rPr>
      </w:pPr>
      <w:r w:rsidRPr="00100AC0">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2</w:t>
      </w:r>
      <w:r w:rsidRPr="00100AC0">
        <w:rPr>
          <w:rFonts w:ascii="Times New Roman" w:hAnsi="Times New Roman"/>
          <w:b/>
          <w:color w:val="FF0000"/>
          <w:sz w:val="20"/>
          <w:szCs w:val="20"/>
          <w:highlight w:val="yellow"/>
          <w:bdr w:val="single" w:sz="4" w:space="0" w:color="auto"/>
        </w:rPr>
        <w:t>）</w:t>
      </w:r>
      <w:r>
        <w:rPr>
          <w:rFonts w:hint="eastAsia"/>
          <w:b/>
          <w:color w:val="FF0000"/>
          <w:sz w:val="20"/>
          <w:szCs w:val="20"/>
          <w:highlight w:val="yellow"/>
          <w:bdr w:val="single" w:sz="4" w:space="0" w:color="auto"/>
        </w:rPr>
        <w:t>破</w:t>
      </w:r>
      <w:r w:rsidR="002B682F" w:rsidRPr="00100AC0">
        <w:rPr>
          <w:rFonts w:ascii="新細明體" w:hAnsi="新細明體" w:hint="eastAsia"/>
          <w:b/>
          <w:color w:val="FF0000"/>
          <w:sz w:val="20"/>
          <w:szCs w:val="20"/>
          <w:highlight w:val="yellow"/>
          <w:bdr w:val="single" w:sz="4" w:space="0" w:color="auto"/>
        </w:rPr>
        <w:t>唯識</w:t>
      </w:r>
      <w:r w:rsidRPr="00100AC0">
        <w:rPr>
          <w:rFonts w:ascii="新細明體" w:hAnsi="新細明體" w:hint="eastAsia"/>
          <w:b/>
          <w:color w:val="FF0000"/>
          <w:sz w:val="20"/>
          <w:szCs w:val="20"/>
          <w:highlight w:val="yellow"/>
          <w:bdr w:val="single" w:sz="4" w:space="0" w:color="auto"/>
        </w:rPr>
        <w:t>大乘者之見</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eastAsia="SimSun" w:hAnsi="Times New Roman"/>
          <w:sz w:val="20"/>
          <w:szCs w:val="20"/>
        </w:rPr>
        <w:t>105</w:t>
      </w:r>
      <w:r w:rsidR="002B682F" w:rsidRPr="00DA3BC7">
        <w:rPr>
          <w:sz w:val="20"/>
          <w:szCs w:val="20"/>
        </w:rPr>
        <w:t>-</w:t>
      </w:r>
      <w:r w:rsidR="002B682F" w:rsidRPr="00DA3BC7">
        <w:rPr>
          <w:rFonts w:ascii="Times New Roman" w:eastAsia="SimSun" w:hAnsi="Times New Roman"/>
          <w:sz w:val="20"/>
          <w:szCs w:val="20"/>
        </w:rPr>
        <w:t>10</w:t>
      </w:r>
      <w:r w:rsidRPr="00100AC0">
        <w:rPr>
          <w:rFonts w:ascii="Times New Roman" w:eastAsiaTheme="minorEastAsia" w:hAnsi="Times New Roman" w:hint="eastAsia"/>
          <w:sz w:val="20"/>
          <w:szCs w:val="20"/>
        </w:rPr>
        <w:t>8</w:t>
      </w:r>
      <w:r w:rsidR="002B682F" w:rsidRPr="00DA3BC7">
        <w:rPr>
          <w:rFonts w:ascii="Times Ext Roman" w:hAnsi="Times Ext Roman" w:cs="Times Ext Roman" w:hint="eastAsia"/>
          <w:sz w:val="20"/>
          <w:szCs w:val="20"/>
        </w:rPr>
        <w:t>）</w:t>
      </w:r>
    </w:p>
    <w:p w:rsidR="00100AC0" w:rsidRPr="00DA3BC7" w:rsidRDefault="00100AC0" w:rsidP="00BA3856">
      <w:pPr>
        <w:ind w:leftChars="300" w:left="720"/>
        <w:jc w:val="both"/>
        <w:rPr>
          <w:rFonts w:eastAsia="SimSun"/>
          <w:b/>
          <w:sz w:val="20"/>
          <w:szCs w:val="20"/>
          <w:bdr w:val="single" w:sz="4" w:space="0" w:color="auto"/>
        </w:rPr>
      </w:pPr>
      <w:r w:rsidRPr="00100AC0">
        <w:rPr>
          <w:rFonts w:ascii="Times New Roman" w:hAnsi="Times New Roman" w:hint="eastAsia"/>
          <w:b/>
          <w:color w:val="FF0000"/>
          <w:sz w:val="20"/>
          <w:szCs w:val="20"/>
          <w:highlight w:val="yellow"/>
          <w:bdr w:val="single" w:sz="4" w:space="0" w:color="auto"/>
        </w:rPr>
        <w:t>A</w:t>
      </w:r>
      <w:r w:rsidRPr="00100AC0">
        <w:rPr>
          <w:rFonts w:ascii="Times New Roman" w:hAnsi="Times New Roman" w:hint="eastAsia"/>
          <w:b/>
          <w:color w:val="FF0000"/>
          <w:sz w:val="20"/>
          <w:szCs w:val="20"/>
          <w:highlight w:val="yellow"/>
          <w:bdr w:val="single" w:sz="4" w:space="0" w:color="auto"/>
        </w:rPr>
        <w:t>、</w:t>
      </w:r>
      <w:r w:rsidRPr="00100AC0">
        <w:rPr>
          <w:rFonts w:ascii="新細明體" w:hAnsi="新細明體" w:hint="eastAsia"/>
          <w:b/>
          <w:color w:val="FF0000"/>
          <w:sz w:val="20"/>
          <w:szCs w:val="20"/>
          <w:highlight w:val="yellow"/>
          <w:bdr w:val="single" w:sz="4" w:space="0" w:color="auto"/>
        </w:rPr>
        <w:t>唯識宗的主張</w:t>
      </w:r>
      <w:r w:rsidRPr="00DA3BC7">
        <w:rPr>
          <w:rFonts w:ascii="Times Ext Roman" w:hAnsi="Times Ext Roman" w:cs="Times Ext Roman" w:hint="eastAsia"/>
          <w:sz w:val="20"/>
          <w:szCs w:val="20"/>
        </w:rPr>
        <w:t>（</w:t>
      </w:r>
      <w:r w:rsidRPr="00DA3BC7">
        <w:rPr>
          <w:rFonts w:ascii="Times New Roman" w:hAnsi="Times New Roman"/>
          <w:sz w:val="20"/>
          <w:szCs w:val="20"/>
        </w:rPr>
        <w:t>pp</w:t>
      </w:r>
      <w:r w:rsidRPr="00DA3BC7">
        <w:rPr>
          <w:sz w:val="20"/>
          <w:szCs w:val="20"/>
        </w:rPr>
        <w:t>.</w:t>
      </w:r>
      <w:r w:rsidRPr="00DA3BC7">
        <w:rPr>
          <w:rFonts w:ascii="Times New Roman" w:eastAsia="SimSun" w:hAnsi="Times New Roman"/>
          <w:sz w:val="20"/>
          <w:szCs w:val="20"/>
        </w:rPr>
        <w:t>105</w:t>
      </w:r>
      <w:r w:rsidRPr="00DA3BC7">
        <w:rPr>
          <w:sz w:val="20"/>
          <w:szCs w:val="20"/>
        </w:rPr>
        <w:t>-</w:t>
      </w:r>
      <w:r w:rsidRPr="00DA3BC7">
        <w:rPr>
          <w:rFonts w:ascii="Times New Roman" w:eastAsia="SimSun" w:hAnsi="Times New Roman"/>
          <w:sz w:val="20"/>
          <w:szCs w:val="20"/>
        </w:rPr>
        <w:t>10</w:t>
      </w:r>
      <w:r w:rsidRPr="00100AC0">
        <w:rPr>
          <w:rFonts w:ascii="Times New Roman" w:eastAsiaTheme="minorEastAsia" w:hAnsi="Times New Roman" w:hint="eastAsia"/>
          <w:sz w:val="20"/>
          <w:szCs w:val="20"/>
        </w:rPr>
        <w:t>6</w:t>
      </w:r>
      <w:r w:rsidRPr="00DA3BC7">
        <w:rPr>
          <w:rFonts w:ascii="Times Ext Roman" w:hAnsi="Times Ext Roman" w:cs="Times Ext Roman" w:hint="eastAsia"/>
          <w:sz w:val="20"/>
          <w:szCs w:val="20"/>
        </w:rPr>
        <w:t>）</w:t>
      </w:r>
    </w:p>
    <w:p w:rsidR="002B682F" w:rsidRPr="00DA3BC7" w:rsidRDefault="002B682F" w:rsidP="00BA3856">
      <w:pPr>
        <w:ind w:leftChars="300" w:left="720"/>
        <w:jc w:val="both"/>
        <w:rPr>
          <w:rFonts w:eastAsia="SimSun"/>
        </w:rPr>
      </w:pPr>
      <w:r w:rsidRPr="00DA3BC7">
        <w:rPr>
          <w:rFonts w:hint="eastAsia"/>
        </w:rPr>
        <w:t>據唯識大乘者說：若不照著唯識者所說，那就會墮於斷或墮於常。</w:t>
      </w:r>
    </w:p>
    <w:p w:rsidR="002B682F" w:rsidRPr="00DA3BC7" w:rsidRDefault="002B682F" w:rsidP="00AE3920">
      <w:pPr>
        <w:spacing w:beforeLines="10"/>
        <w:ind w:leftChars="300" w:left="720"/>
        <w:jc w:val="both"/>
        <w:rPr>
          <w:rFonts w:eastAsia="SimSun"/>
        </w:rPr>
      </w:pPr>
      <w:r w:rsidRPr="00DA3BC7">
        <w:rPr>
          <w:rFonts w:hint="eastAsia"/>
        </w:rPr>
        <w:t>唯識者主張過未無體，所以不會犯常見，而問題在如何不落於斷？</w:t>
      </w:r>
    </w:p>
    <w:p w:rsidR="002B682F" w:rsidRPr="00DA3BC7" w:rsidRDefault="002B682F" w:rsidP="00AE3920">
      <w:pPr>
        <w:spacing w:beforeLines="20"/>
        <w:ind w:leftChars="300" w:left="720"/>
        <w:jc w:val="both"/>
        <w:rPr>
          <w:b/>
        </w:rPr>
      </w:pPr>
      <w:r w:rsidRPr="00DA3BC7">
        <w:rPr>
          <w:rFonts w:hint="eastAsia"/>
        </w:rPr>
        <w:lastRenderedPageBreak/>
        <w:t>他們以為：</w:t>
      </w:r>
      <w:r w:rsidRPr="00DA3BC7">
        <w:rPr>
          <w:rFonts w:hint="eastAsia"/>
          <w:b/>
        </w:rPr>
        <w:t>如前念滅後念生，人中死天上生，這其中非要有一相續而從來沒有中斷者為所依，這才能擔保他不落於斷。</w:t>
      </w:r>
    </w:p>
    <w:p w:rsidR="002B682F" w:rsidRPr="00DA3BC7" w:rsidRDefault="002B682F" w:rsidP="00AE3920">
      <w:pPr>
        <w:spacing w:beforeLines="20"/>
        <w:ind w:leftChars="300" w:left="720"/>
        <w:jc w:val="both"/>
        <w:rPr>
          <w:b/>
        </w:rPr>
      </w:pPr>
      <w:r w:rsidRPr="00DA3BC7">
        <w:rPr>
          <w:rFonts w:hint="eastAsia"/>
        </w:rPr>
        <w:t>一切法都是無常生滅滅生的，但某些法，滅已而可以某些時間不生起的，所以</w:t>
      </w:r>
      <w:r w:rsidRPr="00DA3BC7">
        <w:rPr>
          <w:rFonts w:hint="eastAsia"/>
          <w:b/>
        </w:rPr>
        <w:t>必有一為此不能恒時現起的生滅滅生法作依止處，否則一切因果都不能建立，這即是阿賴耶識。</w:t>
      </w:r>
    </w:p>
    <w:p w:rsidR="002B682F" w:rsidRPr="00DA3BC7" w:rsidRDefault="002B682F" w:rsidP="00AE3920">
      <w:pPr>
        <w:spacing w:beforeLines="20"/>
        <w:ind w:leftChars="300" w:left="720"/>
        <w:jc w:val="both"/>
        <w:rPr>
          <w:rFonts w:eastAsia="SimSun"/>
        </w:rPr>
      </w:pPr>
      <w:r w:rsidRPr="00DA3BC7">
        <w:rPr>
          <w:rFonts w:hint="eastAsia"/>
        </w:rPr>
        <w:t>一切法的不斷不常，由阿賴耶識的「</w:t>
      </w:r>
      <w:r w:rsidRPr="00C05E1C">
        <w:rPr>
          <w:rFonts w:ascii="標楷體" w:eastAsia="標楷體" w:hAnsi="標楷體" w:hint="eastAsia"/>
        </w:rPr>
        <w:t>恒</w:t>
      </w:r>
      <w:r w:rsidRPr="00DA3BC7">
        <w:rPr>
          <w:rFonts w:hint="eastAsia"/>
        </w:rPr>
        <w:t>」時流「</w:t>
      </w:r>
      <w:r w:rsidRPr="00C05E1C">
        <w:rPr>
          <w:rFonts w:ascii="標楷體" w:eastAsia="標楷體" w:hAnsi="標楷體" w:hint="eastAsia"/>
        </w:rPr>
        <w:t>轉</w:t>
      </w:r>
      <w:r w:rsidRPr="00DA3BC7">
        <w:rPr>
          <w:rFonts w:hint="eastAsia"/>
        </w:rPr>
        <w:t>」，</w:t>
      </w:r>
      <w:r w:rsidR="007C39E5" w:rsidRPr="00DA3BC7">
        <w:rPr>
          <w:rStyle w:val="a6"/>
          <w:rFonts w:ascii="Times New Roman" w:hAnsi="Times New Roman"/>
        </w:rPr>
        <w:footnoteReference w:id="499"/>
      </w:r>
      <w:r w:rsidRPr="00DA3BC7">
        <w:rPr>
          <w:rFonts w:hint="eastAsia"/>
        </w:rPr>
        <w:t>而安立因果的不斷，在唯識者看來，這是再恰當不過的。</w:t>
      </w:r>
    </w:p>
    <w:p w:rsidR="002B682F" w:rsidRPr="00DA3BC7" w:rsidRDefault="002B682F" w:rsidP="00AE3920">
      <w:pPr>
        <w:spacing w:beforeLines="20"/>
        <w:ind w:leftChars="300" w:left="720"/>
        <w:jc w:val="both"/>
      </w:pPr>
      <w:r w:rsidRPr="00DA3BC7">
        <w:rPr>
          <w:rFonts w:hint="eastAsia"/>
        </w:rPr>
        <w:t>阿賴耶識的</w:t>
      </w:r>
      <w:r w:rsidRPr="00DA3BC7">
        <w:rPr>
          <w:rFonts w:hint="eastAsia"/>
          <w:b/>
        </w:rPr>
        <w:t>受熏持種說</w:t>
      </w:r>
      <w:r w:rsidRPr="00DA3BC7">
        <w:rPr>
          <w:rStyle w:val="a6"/>
          <w:rFonts w:ascii="Times New Roman" w:hAnsi="Times New Roman"/>
        </w:rPr>
        <w:footnoteReference w:id="500"/>
      </w:r>
      <w:r w:rsidRPr="00DA3BC7">
        <w:rPr>
          <w:rFonts w:hint="eastAsia"/>
        </w:rPr>
        <w:t>，是屬於現在實有論──過未無體論的立場，</w:t>
      </w:r>
      <w:r w:rsidRPr="00DA3BC7">
        <w:rPr>
          <w:rFonts w:hint="eastAsia"/>
        </w:rPr>
        <w:lastRenderedPageBreak/>
        <w:t>唯是現在，但可假說有過去、未來。</w:t>
      </w:r>
    </w:p>
    <w:p w:rsidR="002B682F" w:rsidRPr="00DA3BC7" w:rsidRDefault="002B682F" w:rsidP="00AE3920">
      <w:pPr>
        <w:spacing w:beforeLines="20"/>
        <w:ind w:leftChars="300" w:left="720"/>
        <w:jc w:val="both"/>
      </w:pPr>
      <w:r w:rsidRPr="00DA3BC7">
        <w:rPr>
          <w:rFonts w:hint="eastAsia"/>
        </w:rPr>
        <w:t>例如現在的現行法，是賴耶中的種子所生的，而此所因的種子，曾受從前的熏習，所以說有過去，說</w:t>
      </w:r>
      <w:r w:rsidRPr="00DA3BC7">
        <w:rPr>
          <w:rFonts w:hint="eastAsia"/>
          <w:b/>
        </w:rPr>
        <w:t>從過去因而有現在果</w:t>
      </w:r>
      <w:r w:rsidRPr="00DA3BC7">
        <w:rPr>
          <w:rFonts w:hint="eastAsia"/>
        </w:rPr>
        <w:t>。</w:t>
      </w:r>
    </w:p>
    <w:p w:rsidR="002B682F" w:rsidRPr="00DA3BC7" w:rsidRDefault="002B682F" w:rsidP="00AE3920">
      <w:pPr>
        <w:spacing w:beforeLines="20"/>
        <w:ind w:leftChars="300" w:left="720"/>
        <w:jc w:val="both"/>
      </w:pPr>
      <w:r w:rsidRPr="00DA3BC7">
        <w:rPr>
          <w:rFonts w:hint="eastAsia"/>
        </w:rPr>
        <w:t>現在的現行，又熏為賴耶的種子，可以成熟而生未來果，所以說有未來，說</w:t>
      </w:r>
      <w:r w:rsidRPr="00DA3BC7">
        <w:rPr>
          <w:rFonts w:hint="eastAsia"/>
          <w:b/>
        </w:rPr>
        <w:t>現在為因而有未來果</w:t>
      </w:r>
      <w:r w:rsidRPr="00DA3BC7">
        <w:rPr>
          <w:rFonts w:hint="eastAsia"/>
        </w:rPr>
        <w:t>。</w:t>
      </w:r>
    </w:p>
    <w:p w:rsidR="002B682F" w:rsidRPr="00DA3BC7" w:rsidRDefault="002B682F" w:rsidP="00AE3920">
      <w:pPr>
        <w:spacing w:beforeLines="20"/>
        <w:ind w:leftChars="300" w:left="720"/>
        <w:jc w:val="both"/>
        <w:rPr>
          <w:rFonts w:eastAsia="SimSun"/>
        </w:rPr>
      </w:pPr>
      <w:r w:rsidRPr="00DA3BC7">
        <w:rPr>
          <w:rFonts w:hint="eastAsia"/>
        </w:rPr>
        <w:t>謝入</w:t>
      </w:r>
      <w:r w:rsidRPr="00DA3BC7">
        <w:rPr>
          <w:rStyle w:val="a6"/>
          <w:rFonts w:ascii="Times New Roman" w:hAnsi="Times New Roman"/>
        </w:rPr>
        <w:footnoteReference w:id="501"/>
      </w:r>
      <w:r w:rsidRPr="00DA3BC7">
        <w:rPr>
          <w:rFonts w:hint="eastAsia"/>
        </w:rPr>
        <w:t>過去而實轉化到現在，存在現在而可引發於未來，過去、未來都以現在為本位而說明。</w:t>
      </w:r>
    </w:p>
    <w:p w:rsidR="002B682F" w:rsidRPr="00DA3BC7" w:rsidRDefault="00100AC0" w:rsidP="00AE3920">
      <w:pPr>
        <w:spacing w:beforeLines="30"/>
        <w:ind w:leftChars="300" w:left="720"/>
        <w:jc w:val="both"/>
        <w:rPr>
          <w:rFonts w:eastAsia="SimSun"/>
          <w:b/>
          <w:sz w:val="20"/>
          <w:szCs w:val="20"/>
          <w:bdr w:val="single" w:sz="4" w:space="0" w:color="auto"/>
        </w:rPr>
      </w:pPr>
      <w:r w:rsidRPr="00100AC0">
        <w:rPr>
          <w:rFonts w:ascii="Times New Roman" w:hAnsi="Times New Roman" w:hint="eastAsia"/>
          <w:b/>
          <w:sz w:val="20"/>
          <w:szCs w:val="20"/>
          <w:bdr w:val="single" w:sz="4" w:space="0" w:color="auto"/>
        </w:rPr>
        <w:t>B</w:t>
      </w:r>
      <w:r w:rsidR="002B682F" w:rsidRPr="00DA3BC7">
        <w:rPr>
          <w:rFonts w:hint="eastAsia"/>
          <w:b/>
          <w:sz w:val="20"/>
          <w:szCs w:val="20"/>
          <w:bdr w:val="single" w:sz="4" w:space="0" w:color="auto"/>
        </w:rPr>
        <w:t>、印順法師對唯識學派</w:t>
      </w:r>
      <w:r w:rsidRPr="00100AC0">
        <w:rPr>
          <w:rFonts w:hint="eastAsia"/>
          <w:b/>
          <w:color w:val="FF0000"/>
          <w:sz w:val="20"/>
          <w:szCs w:val="20"/>
          <w:highlight w:val="yellow"/>
          <w:bdr w:val="single" w:sz="4" w:space="0" w:color="auto"/>
        </w:rPr>
        <w:t>的</w:t>
      </w:r>
      <w:r w:rsidR="002B682F" w:rsidRPr="00DA3BC7">
        <w:rPr>
          <w:rFonts w:hint="eastAsia"/>
          <w:b/>
          <w:sz w:val="20"/>
          <w:szCs w:val="20"/>
          <w:bdr w:val="single" w:sz="4" w:space="0" w:color="auto"/>
        </w:rPr>
        <w:t>評論</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eastAsia="SimSun" w:hAnsi="Times New Roman"/>
          <w:sz w:val="20"/>
          <w:szCs w:val="20"/>
        </w:rPr>
        <w:t>106</w:t>
      </w:r>
      <w:r w:rsidR="002B682F" w:rsidRPr="00DA3BC7">
        <w:rPr>
          <w:sz w:val="20"/>
          <w:szCs w:val="20"/>
        </w:rPr>
        <w:t>-</w:t>
      </w:r>
      <w:r w:rsidR="002B682F" w:rsidRPr="00DA3BC7">
        <w:rPr>
          <w:rFonts w:ascii="Times New Roman" w:eastAsia="SimSun" w:hAnsi="Times New Roman"/>
          <w:sz w:val="20"/>
          <w:szCs w:val="20"/>
        </w:rPr>
        <w:t>108</w:t>
      </w:r>
      <w:r w:rsidR="002B682F" w:rsidRPr="00DA3BC7">
        <w:rPr>
          <w:rFonts w:ascii="Times Ext Roman" w:hAnsi="Times Ext Roman" w:cs="Times Ext Roman" w:hint="eastAsia"/>
          <w:sz w:val="20"/>
          <w:szCs w:val="20"/>
        </w:rPr>
        <w:t>）</w:t>
      </w:r>
    </w:p>
    <w:p w:rsidR="002B682F" w:rsidRPr="00DA3BC7" w:rsidRDefault="002B682F" w:rsidP="00BA3856">
      <w:pPr>
        <w:ind w:leftChars="350" w:left="840"/>
        <w:jc w:val="both"/>
        <w:rPr>
          <w:rFonts w:ascii="新細明體" w:hAnsi="新細明體"/>
          <w:b/>
          <w:sz w:val="20"/>
          <w:szCs w:val="20"/>
          <w:bdr w:val="single" w:sz="4" w:space="0" w:color="auto"/>
        </w:rPr>
      </w:pPr>
      <w:r w:rsidRPr="00100AC0">
        <w:rPr>
          <w:rFonts w:ascii="新細明體" w:hAnsi="新細明體" w:hint="eastAsia"/>
          <w:b/>
          <w:color w:val="FF0000"/>
          <w:sz w:val="20"/>
          <w:szCs w:val="20"/>
          <w:highlight w:val="yellow"/>
          <w:bdr w:val="single" w:sz="4" w:space="0" w:color="auto"/>
        </w:rPr>
        <w:t>（</w:t>
      </w:r>
      <w:r w:rsidR="00100AC0" w:rsidRPr="00100AC0">
        <w:rPr>
          <w:rFonts w:ascii="Times New Roman" w:hAnsi="Times New Roman" w:hint="eastAsia"/>
          <w:b/>
          <w:color w:val="FF0000"/>
          <w:sz w:val="20"/>
          <w:szCs w:val="20"/>
          <w:highlight w:val="yellow"/>
          <w:bdr w:val="single" w:sz="4" w:space="0" w:color="auto"/>
        </w:rPr>
        <w:t>A</w:t>
      </w:r>
      <w:r w:rsidRPr="00100AC0">
        <w:rPr>
          <w:rFonts w:ascii="新細明體" w:hAnsi="新細明體" w:hint="eastAsia"/>
          <w:b/>
          <w:color w:val="FF0000"/>
          <w:sz w:val="20"/>
          <w:szCs w:val="20"/>
          <w:highlight w:val="yellow"/>
          <w:bdr w:val="single" w:sz="4" w:space="0" w:color="auto"/>
        </w:rPr>
        <w:t>）</w:t>
      </w:r>
      <w:r w:rsidR="009B709F">
        <w:rPr>
          <w:rFonts w:ascii="新細明體" w:hAnsi="新細明體" w:hint="eastAsia"/>
          <w:b/>
          <w:color w:val="FF0000"/>
          <w:sz w:val="20"/>
          <w:szCs w:val="20"/>
          <w:highlight w:val="yellow"/>
          <w:bdr w:val="single" w:sz="4" w:space="0" w:color="auto"/>
        </w:rPr>
        <w:t>質疑</w:t>
      </w:r>
      <w:r w:rsidRPr="00DA3BC7">
        <w:rPr>
          <w:rFonts w:ascii="Times Ext Roman" w:hAnsi="Times Ext Roman" w:cs="Times Ext Roman" w:hint="eastAsia"/>
          <w:sz w:val="20"/>
          <w:szCs w:val="20"/>
        </w:rPr>
        <w:t>（</w:t>
      </w:r>
      <w:r w:rsidRPr="00DA3BC7">
        <w:rPr>
          <w:rFonts w:ascii="Times New Roman" w:hAnsi="Times New Roman"/>
          <w:sz w:val="20"/>
          <w:szCs w:val="20"/>
        </w:rPr>
        <w:t>p</w:t>
      </w:r>
      <w:r w:rsidRPr="00DA3BC7">
        <w:rPr>
          <w:sz w:val="20"/>
          <w:szCs w:val="20"/>
        </w:rPr>
        <w:t>.</w:t>
      </w:r>
      <w:r w:rsidRPr="00DA3BC7">
        <w:rPr>
          <w:rFonts w:ascii="Times New Roman" w:eastAsia="SimSun" w:hAnsi="Times New Roman"/>
          <w:sz w:val="20"/>
          <w:szCs w:val="20"/>
        </w:rPr>
        <w:t>106</w:t>
      </w:r>
      <w:r w:rsidRPr="00DA3BC7">
        <w:rPr>
          <w:rFonts w:ascii="Times Ext Roman" w:hAnsi="Times Ext Roman" w:cs="Times Ext Roman" w:hint="eastAsia"/>
          <w:sz w:val="20"/>
          <w:szCs w:val="20"/>
        </w:rPr>
        <w:t>）</w:t>
      </w:r>
    </w:p>
    <w:p w:rsidR="00F33EDE" w:rsidRDefault="002B682F" w:rsidP="00BA3856">
      <w:pPr>
        <w:ind w:leftChars="350" w:left="840"/>
        <w:jc w:val="both"/>
      </w:pPr>
      <w:r w:rsidRPr="00DA3BC7">
        <w:rPr>
          <w:rFonts w:hint="eastAsia"/>
        </w:rPr>
        <w:t>這雖可約現行說，而約阿賴耶識的</w:t>
      </w:r>
      <w:r w:rsidRPr="00F33EDE">
        <w:rPr>
          <w:rFonts w:hint="eastAsia"/>
          <w:b/>
          <w:u w:val="wave" w:color="C00000"/>
        </w:rPr>
        <w:t>種生現、現生種</w:t>
      </w:r>
      <w:r w:rsidRPr="00DA3BC7">
        <w:rPr>
          <w:rFonts w:hint="eastAsia"/>
        </w:rPr>
        <w:t>的種現相生，能說明三世的因果不斷。</w:t>
      </w:r>
    </w:p>
    <w:p w:rsidR="002B682F" w:rsidRPr="00DA3BC7" w:rsidRDefault="002B682F" w:rsidP="00BA3856">
      <w:pPr>
        <w:ind w:leftChars="350" w:left="840"/>
        <w:jc w:val="both"/>
        <w:rPr>
          <w:rFonts w:eastAsia="SimSun"/>
        </w:rPr>
      </w:pPr>
      <w:r w:rsidRPr="00DA3BC7">
        <w:rPr>
          <w:rFonts w:hint="eastAsia"/>
        </w:rPr>
        <w:t>然而憑著「</w:t>
      </w:r>
      <w:r w:rsidRPr="00C05E1C">
        <w:rPr>
          <w:rFonts w:ascii="標楷體" w:eastAsia="標楷體" w:hAnsi="標楷體" w:hint="eastAsia"/>
        </w:rPr>
        <w:t>恒轉</w:t>
      </w:r>
      <w:r w:rsidRPr="00DA3BC7">
        <w:rPr>
          <w:rFonts w:hint="eastAsia"/>
        </w:rPr>
        <w:t>」的阿賴耶，果真能成立因果的不斷嗎？</w:t>
      </w:r>
    </w:p>
    <w:p w:rsidR="002B682F" w:rsidRPr="00DA3BC7" w:rsidRDefault="002B682F" w:rsidP="00AE3920">
      <w:pPr>
        <w:spacing w:beforeLines="30"/>
        <w:ind w:leftChars="350" w:left="840"/>
        <w:jc w:val="both"/>
        <w:rPr>
          <w:rFonts w:eastAsia="SimSun"/>
          <w:b/>
          <w:sz w:val="20"/>
          <w:szCs w:val="20"/>
          <w:bdr w:val="single" w:sz="4" w:space="0" w:color="auto"/>
        </w:rPr>
      </w:pPr>
      <w:r w:rsidRPr="00100AC0">
        <w:rPr>
          <w:rFonts w:ascii="新細明體" w:hAnsi="新細明體" w:hint="eastAsia"/>
          <w:b/>
          <w:color w:val="FF0000"/>
          <w:sz w:val="20"/>
          <w:szCs w:val="20"/>
          <w:highlight w:val="yellow"/>
          <w:bdr w:val="single" w:sz="4" w:space="0" w:color="auto"/>
        </w:rPr>
        <w:t>（</w:t>
      </w:r>
      <w:r w:rsidR="00100AC0" w:rsidRPr="00100AC0">
        <w:rPr>
          <w:rFonts w:ascii="Times New Roman" w:hAnsi="Times New Roman" w:hint="eastAsia"/>
          <w:b/>
          <w:color w:val="FF0000"/>
          <w:sz w:val="20"/>
          <w:szCs w:val="20"/>
          <w:highlight w:val="yellow"/>
          <w:bdr w:val="single" w:sz="4" w:space="0" w:color="auto"/>
        </w:rPr>
        <w:t>B</w:t>
      </w:r>
      <w:r w:rsidRPr="00100AC0">
        <w:rPr>
          <w:rFonts w:ascii="新細明體" w:hAnsi="新細明體" w:hint="eastAsia"/>
          <w:b/>
          <w:color w:val="FF0000"/>
          <w:sz w:val="20"/>
          <w:szCs w:val="20"/>
          <w:highlight w:val="yellow"/>
          <w:bdr w:val="single" w:sz="4" w:space="0" w:color="auto"/>
        </w:rPr>
        <w:t>）</w:t>
      </w:r>
      <w:r w:rsidR="00100AC0" w:rsidRPr="00100AC0">
        <w:rPr>
          <w:rFonts w:ascii="新細明體" w:hAnsi="新細明體" w:hint="eastAsia"/>
          <w:b/>
          <w:color w:val="FF0000"/>
          <w:sz w:val="20"/>
          <w:szCs w:val="20"/>
          <w:highlight w:val="yellow"/>
          <w:bdr w:val="single" w:sz="4" w:space="0" w:color="auto"/>
        </w:rPr>
        <w:t>辨</w:t>
      </w:r>
      <w:r w:rsidRPr="00DA3BC7">
        <w:rPr>
          <w:rFonts w:ascii="新細明體" w:hAnsi="新細明體" w:hint="eastAsia"/>
          <w:b/>
          <w:sz w:val="20"/>
          <w:szCs w:val="20"/>
          <w:bdr w:val="single" w:sz="4" w:space="0" w:color="auto"/>
        </w:rPr>
        <w:t>破</w:t>
      </w:r>
      <w:r w:rsidRPr="00DA3BC7">
        <w:rPr>
          <w:rFonts w:ascii="Times Ext Roman" w:hAnsi="Times Ext Roman" w:cs="Times Ext Roman" w:hint="eastAsia"/>
          <w:sz w:val="20"/>
          <w:szCs w:val="20"/>
        </w:rPr>
        <w:t>（</w:t>
      </w:r>
      <w:r w:rsidRPr="00DA3BC7">
        <w:rPr>
          <w:rFonts w:ascii="Times New Roman" w:hAnsi="Times New Roman"/>
          <w:sz w:val="20"/>
          <w:szCs w:val="20"/>
        </w:rPr>
        <w:t>pp</w:t>
      </w:r>
      <w:r w:rsidRPr="00DA3BC7">
        <w:rPr>
          <w:sz w:val="20"/>
          <w:szCs w:val="20"/>
        </w:rPr>
        <w:t>.</w:t>
      </w:r>
      <w:r w:rsidRPr="00DA3BC7">
        <w:rPr>
          <w:rFonts w:ascii="Times New Roman" w:eastAsia="SimSun" w:hAnsi="Times New Roman"/>
          <w:sz w:val="20"/>
          <w:szCs w:val="20"/>
        </w:rPr>
        <w:t>106</w:t>
      </w:r>
      <w:r w:rsidRPr="00DA3BC7">
        <w:rPr>
          <w:sz w:val="20"/>
          <w:szCs w:val="20"/>
        </w:rPr>
        <w:t>-</w:t>
      </w:r>
      <w:r w:rsidRPr="00DA3BC7">
        <w:rPr>
          <w:rFonts w:ascii="Times New Roman" w:eastAsia="SimSun" w:hAnsi="Times New Roman"/>
          <w:sz w:val="20"/>
          <w:szCs w:val="20"/>
        </w:rPr>
        <w:t>108</w:t>
      </w:r>
      <w:r w:rsidRPr="00DA3BC7">
        <w:rPr>
          <w:rFonts w:ascii="Times Ext Roman" w:hAnsi="Times Ext Roman" w:cs="Times Ext Roman" w:hint="eastAsia"/>
          <w:sz w:val="20"/>
          <w:szCs w:val="20"/>
        </w:rPr>
        <w:t>）</w:t>
      </w:r>
    </w:p>
    <w:p w:rsidR="002B682F" w:rsidRPr="00DA3BC7" w:rsidRDefault="00100AC0" w:rsidP="00647C13">
      <w:pPr>
        <w:ind w:leftChars="400" w:left="960"/>
        <w:jc w:val="both"/>
        <w:rPr>
          <w:rFonts w:eastAsia="SimSun"/>
          <w:b/>
          <w:sz w:val="20"/>
          <w:szCs w:val="20"/>
          <w:bdr w:val="single" w:sz="4" w:space="0" w:color="auto"/>
        </w:rPr>
      </w:pPr>
      <w:r w:rsidRPr="00BA3856">
        <w:rPr>
          <w:rFonts w:ascii="Times New Roman" w:hAnsi="Times New Roman" w:hint="eastAsia"/>
          <w:b/>
          <w:color w:val="FF0000"/>
          <w:sz w:val="20"/>
          <w:szCs w:val="20"/>
          <w:highlight w:val="yellow"/>
          <w:bdr w:val="single" w:sz="4" w:space="0" w:color="auto"/>
        </w:rPr>
        <w:t>a</w:t>
      </w:r>
      <w:r w:rsidR="002B682F" w:rsidRPr="00BA3856">
        <w:rPr>
          <w:rFonts w:hint="eastAsia"/>
          <w:b/>
          <w:color w:val="FF0000"/>
          <w:sz w:val="20"/>
          <w:szCs w:val="20"/>
          <w:highlight w:val="yellow"/>
          <w:bdr w:val="single" w:sz="4" w:space="0" w:color="auto"/>
        </w:rPr>
        <w:t>、</w:t>
      </w:r>
      <w:r>
        <w:rPr>
          <w:rFonts w:hint="eastAsia"/>
          <w:b/>
          <w:sz w:val="20"/>
          <w:szCs w:val="20"/>
          <w:bdr w:val="single" w:sz="4" w:space="0" w:color="auto"/>
        </w:rPr>
        <w:t>破</w:t>
      </w:r>
      <w:r w:rsidR="002B682F" w:rsidRPr="00DA3BC7">
        <w:rPr>
          <w:rFonts w:hint="eastAsia"/>
          <w:b/>
          <w:sz w:val="20"/>
          <w:szCs w:val="20"/>
          <w:bdr w:val="single" w:sz="4" w:space="0" w:color="auto"/>
        </w:rPr>
        <w:t>唯識家之「三法同時說」</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106</w:t>
      </w:r>
      <w:r w:rsidR="002B682F" w:rsidRPr="00DA3BC7">
        <w:rPr>
          <w:rFonts w:ascii="Times Ext Roman" w:hAnsi="Times Ext Roman" w:cs="Times Ext Roman" w:hint="eastAsia"/>
          <w:sz w:val="20"/>
          <w:szCs w:val="20"/>
        </w:rPr>
        <w:t>）</w:t>
      </w:r>
    </w:p>
    <w:p w:rsidR="002B682F" w:rsidRPr="00DA3BC7" w:rsidRDefault="00100AC0" w:rsidP="00647C13">
      <w:pPr>
        <w:ind w:leftChars="450" w:left="1080"/>
        <w:jc w:val="both"/>
        <w:rPr>
          <w:rFonts w:eastAsia="SimSun"/>
          <w:b/>
          <w:sz w:val="20"/>
          <w:szCs w:val="20"/>
          <w:bdr w:val="single" w:sz="4" w:space="0" w:color="auto"/>
        </w:rPr>
      </w:pPr>
      <w:r>
        <w:rPr>
          <w:rFonts w:ascii="Times New Roman" w:hAnsi="Times New Roman" w:hint="eastAsia"/>
          <w:b/>
          <w:color w:val="FF0000"/>
          <w:sz w:val="20"/>
          <w:szCs w:val="20"/>
          <w:highlight w:val="yellow"/>
          <w:bdr w:val="single" w:sz="4" w:space="0" w:color="auto"/>
        </w:rPr>
        <w:t>（</w:t>
      </w:r>
      <w:r w:rsidRPr="00100AC0">
        <w:rPr>
          <w:rFonts w:ascii="Times New Roman" w:hAnsi="Times New Roman" w:hint="eastAsia"/>
          <w:b/>
          <w:color w:val="FF0000"/>
          <w:sz w:val="20"/>
          <w:szCs w:val="20"/>
          <w:highlight w:val="yellow"/>
          <w:bdr w:val="single" w:sz="4" w:space="0" w:color="auto"/>
        </w:rPr>
        <w:t>a</w:t>
      </w:r>
      <w:r>
        <w:rPr>
          <w:rFonts w:asciiTheme="minorEastAsia" w:eastAsiaTheme="minorEastAsia" w:hAnsiTheme="minorEastAsia" w:hint="eastAsia"/>
          <w:b/>
          <w:color w:val="FF0000"/>
          <w:sz w:val="20"/>
          <w:szCs w:val="20"/>
          <w:highlight w:val="yellow"/>
          <w:bdr w:val="single" w:sz="4" w:space="0" w:color="auto"/>
        </w:rPr>
        <w:t>）</w:t>
      </w:r>
      <w:r w:rsidRPr="00100AC0">
        <w:rPr>
          <w:rFonts w:hint="eastAsia"/>
          <w:b/>
          <w:color w:val="FF0000"/>
          <w:sz w:val="20"/>
          <w:szCs w:val="20"/>
          <w:highlight w:val="yellow"/>
          <w:bdr w:val="single" w:sz="4" w:space="0" w:color="auto"/>
        </w:rPr>
        <w:t>明所宗</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eastAsia="SimSun" w:hAnsi="Times New Roman"/>
          <w:sz w:val="20"/>
          <w:szCs w:val="20"/>
        </w:rPr>
        <w:t>106</w:t>
      </w:r>
      <w:r w:rsidR="002B682F" w:rsidRPr="00DA3BC7">
        <w:rPr>
          <w:sz w:val="20"/>
          <w:szCs w:val="20"/>
        </w:rPr>
        <w:t>-</w:t>
      </w:r>
      <w:r w:rsidR="002B682F" w:rsidRPr="00DA3BC7">
        <w:rPr>
          <w:rFonts w:ascii="Times New Roman" w:eastAsia="SimSun" w:hAnsi="Times New Roman"/>
          <w:sz w:val="20"/>
          <w:szCs w:val="20"/>
        </w:rPr>
        <w:t>107</w:t>
      </w:r>
      <w:r w:rsidR="002B682F" w:rsidRPr="00DA3BC7">
        <w:rPr>
          <w:rFonts w:ascii="Times Ext Roman" w:hAnsi="Times Ext Roman" w:cs="Times Ext Roman" w:hint="eastAsia"/>
          <w:sz w:val="20"/>
          <w:szCs w:val="20"/>
        </w:rPr>
        <w:t>）</w:t>
      </w:r>
    </w:p>
    <w:p w:rsidR="002B682F" w:rsidRPr="00DA3BC7" w:rsidRDefault="002B682F" w:rsidP="00AE3920">
      <w:pPr>
        <w:spacing w:afterLines="10"/>
        <w:ind w:leftChars="450" w:left="1080"/>
        <w:jc w:val="both"/>
      </w:pPr>
      <w:r w:rsidRPr="00DA3BC7">
        <w:rPr>
          <w:rFonts w:hint="eastAsia"/>
        </w:rPr>
        <w:t>唯識者說：以恒轉阿賴耶為攝持，成立因果的三法同時說。</w:t>
      </w:r>
    </w:p>
    <w:p w:rsidR="002B682F" w:rsidRPr="00DA3BC7" w:rsidRDefault="002B682F" w:rsidP="00AE3920">
      <w:pPr>
        <w:spacing w:beforeLines="10" w:afterLines="10"/>
        <w:ind w:leftChars="450" w:left="1080"/>
        <w:jc w:val="both"/>
      </w:pPr>
      <w:r w:rsidRPr="00DA3BC7">
        <w:rPr>
          <w:rFonts w:hint="eastAsia"/>
        </w:rPr>
        <w:t>如眼識種子生滅生滅的相續流來，起眼識現行時，</w:t>
      </w:r>
      <w:r w:rsidRPr="00DA3BC7">
        <w:rPr>
          <w:rFonts w:hint="eastAsia"/>
          <w:b/>
        </w:rPr>
        <w:t>能生種子與所生現行，是同時的</w:t>
      </w:r>
      <w:r w:rsidRPr="00DA3BC7">
        <w:rPr>
          <w:rFonts w:hint="eastAsia"/>
        </w:rPr>
        <w:t>。</w:t>
      </w:r>
    </w:p>
    <w:p w:rsidR="002B682F" w:rsidRPr="00DA3BC7" w:rsidRDefault="002B682F" w:rsidP="00AE3920">
      <w:pPr>
        <w:spacing w:beforeLines="20"/>
        <w:ind w:leftChars="450" w:left="1080"/>
        <w:jc w:val="both"/>
      </w:pPr>
      <w:r w:rsidRPr="00DA3BC7">
        <w:rPr>
          <w:rFonts w:hint="eastAsia"/>
        </w:rPr>
        <w:t>眼識現行的剎那，同時又熏成眼識種子，</w:t>
      </w:r>
      <w:r w:rsidRPr="00DA3BC7">
        <w:rPr>
          <w:rFonts w:hint="eastAsia"/>
          <w:b/>
        </w:rPr>
        <w:t>能熏所熏也是同時的</w:t>
      </w:r>
      <w:r w:rsidRPr="00DA3BC7">
        <w:rPr>
          <w:rFonts w:hint="eastAsia"/>
        </w:rPr>
        <w:t>。</w:t>
      </w:r>
    </w:p>
    <w:p w:rsidR="002B682F" w:rsidRPr="00DA3BC7" w:rsidRDefault="002B682F" w:rsidP="00AE3920">
      <w:pPr>
        <w:spacing w:beforeLines="20"/>
        <w:ind w:leftChars="450" w:left="1080"/>
        <w:jc w:val="both"/>
      </w:pPr>
      <w:r w:rsidRPr="00DA3BC7">
        <w:rPr>
          <w:rFonts w:hint="eastAsia"/>
          <w:b/>
        </w:rPr>
        <w:lastRenderedPageBreak/>
        <w:t>從第一者的本種，生第二者的現行；依第二者的現行，又生第三者的新種</w:t>
      </w:r>
      <w:r w:rsidRPr="00DA3BC7">
        <w:rPr>
          <w:rFonts w:hint="eastAsia"/>
        </w:rPr>
        <w:t>。</w:t>
      </w:r>
    </w:p>
    <w:p w:rsidR="002B682F" w:rsidRPr="00DA3BC7" w:rsidRDefault="002B682F" w:rsidP="00AE3920">
      <w:pPr>
        <w:spacing w:beforeLines="20"/>
        <w:ind w:leftChars="450" w:left="1080"/>
        <w:jc w:val="both"/>
        <w:rPr>
          <w:rFonts w:eastAsia="SimSun"/>
          <w:spacing w:val="-8"/>
        </w:rPr>
      </w:pPr>
      <w:r w:rsidRPr="00DA3BC7">
        <w:rPr>
          <w:rFonts w:hint="eastAsia"/>
          <w:spacing w:val="-8"/>
        </w:rPr>
        <w:t>如說：「</w:t>
      </w:r>
      <w:r w:rsidRPr="00DA3BC7">
        <w:rPr>
          <w:rFonts w:ascii="標楷體" w:eastAsia="標楷體" w:hAnsi="標楷體" w:hint="eastAsia"/>
          <w:spacing w:val="-8"/>
        </w:rPr>
        <w:t>能熏識等從種生時，即能為因復熏成種，三法展轉，因果同時</w:t>
      </w:r>
      <w:r w:rsidRPr="00DA3BC7">
        <w:rPr>
          <w:rFonts w:hint="eastAsia"/>
          <w:spacing w:val="-8"/>
        </w:rPr>
        <w:t>。」</w:t>
      </w:r>
      <w:r w:rsidRPr="00DA3BC7">
        <w:rPr>
          <w:rStyle w:val="a6"/>
          <w:rFonts w:ascii="Times New Roman" w:hAnsi="Times New Roman"/>
          <w:spacing w:val="-8"/>
        </w:rPr>
        <w:footnoteReference w:id="502"/>
      </w:r>
    </w:p>
    <w:p w:rsidR="002B682F" w:rsidRPr="00DA3BC7" w:rsidRDefault="002B682F" w:rsidP="00AE3920">
      <w:pPr>
        <w:spacing w:beforeLines="30"/>
        <w:ind w:leftChars="450" w:left="1080"/>
        <w:jc w:val="both"/>
        <w:rPr>
          <w:rFonts w:eastAsia="SimSun"/>
          <w:b/>
          <w:sz w:val="20"/>
          <w:szCs w:val="20"/>
          <w:bdr w:val="single" w:sz="4" w:space="0" w:color="auto"/>
        </w:rPr>
      </w:pPr>
      <w:r w:rsidRPr="00C70F17">
        <w:rPr>
          <w:b/>
          <w:color w:val="FF0000"/>
          <w:sz w:val="20"/>
          <w:szCs w:val="20"/>
          <w:highlight w:val="yellow"/>
          <w:bdr w:val="single" w:sz="4" w:space="0" w:color="auto"/>
        </w:rPr>
        <w:t>（</w:t>
      </w:r>
      <w:r w:rsidR="00C70F17" w:rsidRPr="00C70F17">
        <w:rPr>
          <w:rFonts w:ascii="Times New Roman" w:hAnsi="Times New Roman" w:hint="eastAsia"/>
          <w:b/>
          <w:color w:val="FF0000"/>
          <w:sz w:val="20"/>
          <w:szCs w:val="20"/>
          <w:highlight w:val="yellow"/>
          <w:bdr w:val="single" w:sz="4" w:space="0" w:color="auto"/>
        </w:rPr>
        <w:t>b</w:t>
      </w:r>
      <w:r w:rsidRPr="00C70F17">
        <w:rPr>
          <w:b/>
          <w:color w:val="FF0000"/>
          <w:sz w:val="20"/>
          <w:szCs w:val="20"/>
          <w:highlight w:val="yellow"/>
          <w:bdr w:val="single" w:sz="4" w:space="0" w:color="auto"/>
        </w:rPr>
        <w:t>）</w:t>
      </w:r>
      <w:r w:rsidRPr="00DA3BC7">
        <w:rPr>
          <w:b/>
          <w:sz w:val="20"/>
          <w:szCs w:val="20"/>
          <w:bdr w:val="single" w:sz="4" w:space="0" w:color="auto"/>
        </w:rPr>
        <w:t>印順法</w:t>
      </w:r>
      <w:r w:rsidRPr="00C70F17">
        <w:rPr>
          <w:b/>
          <w:sz w:val="20"/>
          <w:szCs w:val="20"/>
          <w:highlight w:val="yellow"/>
          <w:bdr w:val="single" w:sz="4" w:space="0" w:color="auto"/>
        </w:rPr>
        <w:t>師</w:t>
      </w:r>
      <w:r w:rsidRPr="00C70F17">
        <w:rPr>
          <w:rFonts w:hint="eastAsia"/>
          <w:b/>
          <w:sz w:val="20"/>
          <w:szCs w:val="20"/>
          <w:highlight w:val="yellow"/>
          <w:bdr w:val="single" w:sz="4" w:space="0" w:color="auto"/>
        </w:rPr>
        <w:t>評</w:t>
      </w:r>
      <w:r w:rsidRPr="00DA3BC7">
        <w:rPr>
          <w:rFonts w:hint="eastAsia"/>
          <w:b/>
          <w:sz w:val="20"/>
          <w:szCs w:val="20"/>
          <w:bdr w:val="single" w:sz="4" w:space="0" w:color="auto"/>
        </w:rPr>
        <w:t>破</w:t>
      </w:r>
      <w:r w:rsidRPr="00DA3BC7">
        <w:rPr>
          <w:rFonts w:ascii="Times Ext Roman" w:hAnsi="Times Ext Roman" w:cs="Times Ext Roman" w:hint="eastAsia"/>
          <w:sz w:val="20"/>
          <w:szCs w:val="20"/>
        </w:rPr>
        <w:t>（</w:t>
      </w:r>
      <w:r w:rsidRPr="00DA3BC7">
        <w:rPr>
          <w:rFonts w:ascii="Times New Roman" w:hAnsi="Times New Roman"/>
          <w:sz w:val="20"/>
          <w:szCs w:val="20"/>
        </w:rPr>
        <w:t>p</w:t>
      </w:r>
      <w:r w:rsidRPr="00DA3BC7">
        <w:rPr>
          <w:sz w:val="20"/>
          <w:szCs w:val="20"/>
        </w:rPr>
        <w:t>.</w:t>
      </w:r>
      <w:r w:rsidRPr="00DA3BC7">
        <w:rPr>
          <w:rFonts w:ascii="Times New Roman" w:eastAsia="SimSun" w:hAnsi="Times New Roman"/>
          <w:sz w:val="20"/>
          <w:szCs w:val="20"/>
        </w:rPr>
        <w:t>10</w:t>
      </w:r>
      <w:r w:rsidRPr="00DA3BC7">
        <w:rPr>
          <w:rFonts w:ascii="Times New Roman" w:hAnsi="Times New Roman" w:hint="eastAsia"/>
          <w:sz w:val="20"/>
          <w:szCs w:val="20"/>
        </w:rPr>
        <w:t>7</w:t>
      </w:r>
      <w:r w:rsidRPr="00DA3BC7">
        <w:rPr>
          <w:rFonts w:ascii="Times Ext Roman" w:hAnsi="Times Ext Roman" w:cs="Times Ext Roman" w:hint="eastAsia"/>
          <w:sz w:val="20"/>
          <w:szCs w:val="20"/>
        </w:rPr>
        <w:t>）</w:t>
      </w:r>
    </w:p>
    <w:p w:rsidR="002B682F" w:rsidRPr="00DA3BC7" w:rsidRDefault="002B682F" w:rsidP="00647C13">
      <w:pPr>
        <w:ind w:leftChars="450" w:left="1080"/>
        <w:jc w:val="both"/>
      </w:pPr>
      <w:r w:rsidRPr="00DA3BC7">
        <w:rPr>
          <w:rFonts w:hint="eastAsia"/>
        </w:rPr>
        <w:t>這樣的三法同時，即唯識者的因緣說，而企圖以此建立因果不斷的。他想以蘆束、炬炷的同時因果說，成立他的因果前後相續說。本種即從前而來，意許過去因現在果的可能；新熏又能生後後，意許現在因未來果的可能。</w:t>
      </w:r>
    </w:p>
    <w:p w:rsidR="002B682F" w:rsidRPr="00DA3BC7" w:rsidRDefault="002B682F" w:rsidP="00AE3920">
      <w:pPr>
        <w:spacing w:beforeLines="20"/>
        <w:ind w:leftChars="450" w:left="1080"/>
        <w:jc w:val="both"/>
        <w:rPr>
          <w:rFonts w:eastAsia="SimSun"/>
        </w:rPr>
      </w:pPr>
      <w:r w:rsidRPr="00DA3BC7">
        <w:rPr>
          <w:rFonts w:hint="eastAsia"/>
        </w:rPr>
        <w:t>然而在這同時因果中，僅能成同時的相依因果，那裡能成立前後的相生因果？</w:t>
      </w:r>
      <w:r w:rsidRPr="00DA3BC7">
        <w:rPr>
          <w:rFonts w:hint="eastAsia"/>
          <w:b/>
        </w:rPr>
        <w:t>三法同時</w:t>
      </w:r>
      <w:r w:rsidRPr="00DA3BC7">
        <w:rPr>
          <w:rFonts w:hint="eastAsia"/>
        </w:rPr>
        <w:t>，想避免中斷的過失，結果是把因果的前後相續性取消了！</w:t>
      </w:r>
    </w:p>
    <w:p w:rsidR="002B682F" w:rsidRPr="00DA3BC7" w:rsidRDefault="00C70F17" w:rsidP="00AE3920">
      <w:pPr>
        <w:spacing w:beforeLines="30"/>
        <w:ind w:leftChars="400" w:left="960"/>
        <w:jc w:val="both"/>
        <w:rPr>
          <w:rFonts w:eastAsia="SimSun"/>
          <w:b/>
          <w:sz w:val="20"/>
          <w:szCs w:val="20"/>
          <w:bdr w:val="single" w:sz="4" w:space="0" w:color="auto"/>
        </w:rPr>
      </w:pPr>
      <w:r w:rsidRPr="00C70F17">
        <w:rPr>
          <w:rFonts w:ascii="Times New Roman" w:hAnsi="Times New Roman" w:hint="eastAsia"/>
          <w:b/>
          <w:color w:val="FF0000"/>
          <w:sz w:val="20"/>
          <w:szCs w:val="20"/>
          <w:highlight w:val="yellow"/>
          <w:bdr w:val="single" w:sz="4" w:space="0" w:color="auto"/>
        </w:rPr>
        <w:t>b</w:t>
      </w:r>
      <w:r w:rsidR="002B682F" w:rsidRPr="00C70F17">
        <w:rPr>
          <w:rFonts w:hint="eastAsia"/>
          <w:b/>
          <w:color w:val="FF0000"/>
          <w:sz w:val="20"/>
          <w:szCs w:val="20"/>
          <w:highlight w:val="yellow"/>
          <w:bdr w:val="single" w:sz="4" w:space="0" w:color="auto"/>
        </w:rPr>
        <w:t>、</w:t>
      </w:r>
      <w:r w:rsidRPr="00C70F17">
        <w:rPr>
          <w:rFonts w:hint="eastAsia"/>
          <w:b/>
          <w:color w:val="FF0000"/>
          <w:sz w:val="20"/>
          <w:szCs w:val="20"/>
          <w:highlight w:val="yellow"/>
          <w:bdr w:val="single" w:sz="4" w:space="0" w:color="auto"/>
        </w:rPr>
        <w:t>破</w:t>
      </w:r>
      <w:r w:rsidR="002B682F" w:rsidRPr="00DA3BC7">
        <w:rPr>
          <w:rFonts w:hint="eastAsia"/>
          <w:b/>
          <w:sz w:val="20"/>
          <w:szCs w:val="20"/>
          <w:bdr w:val="single" w:sz="4" w:space="0" w:color="auto"/>
        </w:rPr>
        <w:t>唯識家之「生滅同時說」</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eastAsia="SimSun" w:hAnsi="Times New Roman"/>
          <w:sz w:val="20"/>
          <w:szCs w:val="20"/>
        </w:rPr>
        <w:t>107</w:t>
      </w:r>
      <w:r w:rsidR="002B682F" w:rsidRPr="00DA3BC7">
        <w:rPr>
          <w:sz w:val="20"/>
          <w:szCs w:val="20"/>
        </w:rPr>
        <w:t>-</w:t>
      </w:r>
      <w:r w:rsidR="002B682F" w:rsidRPr="00DA3BC7">
        <w:rPr>
          <w:rFonts w:ascii="Times New Roman" w:eastAsia="SimSun" w:hAnsi="Times New Roman"/>
          <w:sz w:val="20"/>
          <w:szCs w:val="20"/>
        </w:rPr>
        <w:t>108</w:t>
      </w:r>
      <w:r w:rsidR="002B682F" w:rsidRPr="00DA3BC7">
        <w:rPr>
          <w:rFonts w:ascii="Times Ext Roman" w:hAnsi="Times Ext Roman" w:cs="Times Ext Roman" w:hint="eastAsia"/>
          <w:sz w:val="20"/>
          <w:szCs w:val="20"/>
        </w:rPr>
        <w:t>）</w:t>
      </w:r>
    </w:p>
    <w:p w:rsidR="002B682F" w:rsidRPr="00DA3BC7" w:rsidRDefault="002B682F" w:rsidP="00647C13">
      <w:pPr>
        <w:ind w:leftChars="450" w:left="1080"/>
        <w:jc w:val="both"/>
        <w:rPr>
          <w:rFonts w:eastAsia="SimSun"/>
          <w:sz w:val="20"/>
          <w:szCs w:val="20"/>
          <w:bdr w:val="single" w:sz="4" w:space="0" w:color="auto"/>
        </w:rPr>
      </w:pPr>
      <w:r w:rsidRPr="00C70F17">
        <w:rPr>
          <w:rFonts w:hint="eastAsia"/>
          <w:b/>
          <w:color w:val="FF0000"/>
          <w:sz w:val="20"/>
          <w:szCs w:val="20"/>
          <w:highlight w:val="yellow"/>
          <w:bdr w:val="single" w:sz="4" w:space="0" w:color="auto"/>
        </w:rPr>
        <w:t>（</w:t>
      </w:r>
      <w:r w:rsidR="00C70F17" w:rsidRPr="00C70F17">
        <w:rPr>
          <w:rFonts w:ascii="Times New Roman" w:hAnsi="Times New Roman" w:hint="eastAsia"/>
          <w:b/>
          <w:color w:val="FF0000"/>
          <w:sz w:val="20"/>
          <w:szCs w:val="20"/>
          <w:highlight w:val="yellow"/>
          <w:bdr w:val="single" w:sz="4" w:space="0" w:color="auto"/>
        </w:rPr>
        <w:t>a</w:t>
      </w:r>
      <w:r w:rsidRPr="00C70F17">
        <w:rPr>
          <w:rFonts w:hint="eastAsia"/>
          <w:b/>
          <w:color w:val="FF0000"/>
          <w:sz w:val="20"/>
          <w:szCs w:val="20"/>
          <w:highlight w:val="yellow"/>
          <w:bdr w:val="single" w:sz="4" w:space="0" w:color="auto"/>
        </w:rPr>
        <w:t>）</w:t>
      </w:r>
      <w:r w:rsidR="00C70F17" w:rsidRPr="00100AC0">
        <w:rPr>
          <w:rFonts w:hint="eastAsia"/>
          <w:b/>
          <w:color w:val="FF0000"/>
          <w:sz w:val="20"/>
          <w:szCs w:val="20"/>
          <w:highlight w:val="yellow"/>
          <w:bdr w:val="single" w:sz="4" w:space="0" w:color="auto"/>
        </w:rPr>
        <w:t>明所宗</w:t>
      </w:r>
      <w:r w:rsidRPr="00DA3BC7">
        <w:rPr>
          <w:rFonts w:ascii="Times Ext Roman" w:hAnsi="Times Ext Roman" w:cs="Times Ext Roman" w:hint="eastAsia"/>
          <w:sz w:val="20"/>
          <w:szCs w:val="20"/>
        </w:rPr>
        <w:t>（</w:t>
      </w:r>
      <w:r w:rsidRPr="00DA3BC7">
        <w:rPr>
          <w:rFonts w:ascii="Times New Roman" w:hAnsi="Times New Roman"/>
          <w:sz w:val="20"/>
          <w:szCs w:val="20"/>
        </w:rPr>
        <w:t>p</w:t>
      </w:r>
      <w:r w:rsidRPr="00DA3BC7">
        <w:rPr>
          <w:sz w:val="20"/>
          <w:szCs w:val="20"/>
        </w:rPr>
        <w:t>.</w:t>
      </w:r>
      <w:r w:rsidRPr="00DA3BC7">
        <w:rPr>
          <w:rFonts w:ascii="Times New Roman" w:eastAsia="SimSun" w:hAnsi="Times New Roman"/>
          <w:sz w:val="20"/>
          <w:szCs w:val="20"/>
        </w:rPr>
        <w:t>107</w:t>
      </w:r>
      <w:r w:rsidRPr="00DA3BC7">
        <w:rPr>
          <w:rFonts w:ascii="Times Ext Roman" w:hAnsi="Times Ext Roman" w:cs="Times Ext Roman" w:hint="eastAsia"/>
          <w:sz w:val="20"/>
          <w:szCs w:val="20"/>
        </w:rPr>
        <w:t>）</w:t>
      </w:r>
    </w:p>
    <w:p w:rsidR="002B682F" w:rsidRPr="00DA3BC7" w:rsidRDefault="002B682F" w:rsidP="00647C13">
      <w:pPr>
        <w:ind w:leftChars="450" w:left="1080"/>
        <w:jc w:val="both"/>
        <w:rPr>
          <w:rFonts w:eastAsia="SimSun"/>
        </w:rPr>
      </w:pPr>
      <w:r w:rsidRPr="00DA3BC7">
        <w:rPr>
          <w:rFonts w:hint="eastAsia"/>
        </w:rPr>
        <w:t>與此三法同時說相關的，唯識者還有生滅同時說，如說：「</w:t>
      </w:r>
      <w:r w:rsidRPr="00DA3BC7">
        <w:rPr>
          <w:rFonts w:ascii="標楷體" w:eastAsia="標楷體" w:hAnsi="標楷體" w:hint="eastAsia"/>
        </w:rPr>
        <w:t>前因滅位，後果即生，如稱兩頭，低昂時等。如是因果相續如流，何假去來方成非斷</w:t>
      </w:r>
      <w:r w:rsidRPr="00DA3BC7">
        <w:rPr>
          <w:rFonts w:hint="eastAsia"/>
        </w:rPr>
        <w:t>！」</w:t>
      </w:r>
      <w:r w:rsidRPr="00DA3BC7">
        <w:rPr>
          <w:rStyle w:val="a6"/>
          <w:rFonts w:ascii="Times New Roman" w:hAnsi="Times New Roman"/>
        </w:rPr>
        <w:footnoteReference w:id="503"/>
      </w:r>
    </w:p>
    <w:p w:rsidR="002B682F" w:rsidRPr="00DA3BC7" w:rsidRDefault="002B682F" w:rsidP="00AE3920">
      <w:pPr>
        <w:spacing w:beforeLines="30"/>
        <w:ind w:leftChars="450" w:left="1080"/>
        <w:jc w:val="both"/>
        <w:rPr>
          <w:rFonts w:eastAsia="SimSun"/>
          <w:b/>
          <w:sz w:val="20"/>
          <w:szCs w:val="20"/>
          <w:bdr w:val="single" w:sz="4" w:space="0" w:color="auto"/>
        </w:rPr>
      </w:pPr>
      <w:r w:rsidRPr="00C70F17">
        <w:rPr>
          <w:rFonts w:hint="eastAsia"/>
          <w:b/>
          <w:color w:val="FF0000"/>
          <w:sz w:val="20"/>
          <w:szCs w:val="20"/>
          <w:highlight w:val="yellow"/>
          <w:bdr w:val="single" w:sz="4" w:space="0" w:color="auto"/>
        </w:rPr>
        <w:lastRenderedPageBreak/>
        <w:t>（</w:t>
      </w:r>
      <w:r w:rsidR="00C70F17" w:rsidRPr="00C70F17">
        <w:rPr>
          <w:rFonts w:ascii="Times New Roman" w:hAnsi="Times New Roman" w:hint="eastAsia"/>
          <w:b/>
          <w:color w:val="FF0000"/>
          <w:sz w:val="20"/>
          <w:szCs w:val="20"/>
          <w:highlight w:val="yellow"/>
          <w:bdr w:val="single" w:sz="4" w:space="0" w:color="auto"/>
        </w:rPr>
        <w:t>b</w:t>
      </w:r>
      <w:r w:rsidRPr="00C70F17">
        <w:rPr>
          <w:rFonts w:hint="eastAsia"/>
          <w:b/>
          <w:color w:val="FF0000"/>
          <w:sz w:val="20"/>
          <w:szCs w:val="20"/>
          <w:highlight w:val="yellow"/>
          <w:bdr w:val="single" w:sz="4" w:space="0" w:color="auto"/>
        </w:rPr>
        <w:t>）</w:t>
      </w:r>
      <w:r w:rsidRPr="00DA3BC7">
        <w:rPr>
          <w:rFonts w:hint="eastAsia"/>
          <w:b/>
          <w:sz w:val="20"/>
          <w:szCs w:val="20"/>
          <w:bdr w:val="single" w:sz="4" w:space="0" w:color="auto"/>
        </w:rPr>
        <w:t>印順法師評破</w:t>
      </w:r>
      <w:r w:rsidR="00C70F17" w:rsidRPr="00DA3BC7">
        <w:rPr>
          <w:rFonts w:ascii="Times Ext Roman" w:hAnsi="Times Ext Roman" w:cs="Times Ext Roman" w:hint="eastAsia"/>
          <w:sz w:val="20"/>
          <w:szCs w:val="20"/>
        </w:rPr>
        <w:t>（</w:t>
      </w:r>
      <w:r w:rsidR="00C70F17" w:rsidRPr="00DA3BC7">
        <w:rPr>
          <w:rFonts w:ascii="Times New Roman" w:hAnsi="Times New Roman"/>
          <w:sz w:val="20"/>
          <w:szCs w:val="20"/>
        </w:rPr>
        <w:t>pp</w:t>
      </w:r>
      <w:r w:rsidR="00C70F17" w:rsidRPr="00DA3BC7">
        <w:rPr>
          <w:sz w:val="20"/>
          <w:szCs w:val="20"/>
        </w:rPr>
        <w:t>.</w:t>
      </w:r>
      <w:r w:rsidR="00C70F17" w:rsidRPr="00DA3BC7">
        <w:rPr>
          <w:rFonts w:ascii="Times New Roman" w:eastAsia="SimSun" w:hAnsi="Times New Roman"/>
          <w:sz w:val="20"/>
          <w:szCs w:val="20"/>
        </w:rPr>
        <w:t>107</w:t>
      </w:r>
      <w:r w:rsidR="00C70F17" w:rsidRPr="00DA3BC7">
        <w:rPr>
          <w:sz w:val="20"/>
          <w:szCs w:val="20"/>
        </w:rPr>
        <w:t>-</w:t>
      </w:r>
      <w:r w:rsidR="00C70F17" w:rsidRPr="00DA3BC7">
        <w:rPr>
          <w:rFonts w:ascii="Times New Roman" w:eastAsia="SimSun" w:hAnsi="Times New Roman"/>
          <w:sz w:val="20"/>
          <w:szCs w:val="20"/>
        </w:rPr>
        <w:t>108</w:t>
      </w:r>
      <w:r w:rsidR="00C70F17" w:rsidRPr="00DA3BC7">
        <w:rPr>
          <w:rFonts w:ascii="Times Ext Roman" w:hAnsi="Times Ext Roman" w:cs="Times Ext Roman" w:hint="eastAsia"/>
          <w:sz w:val="20"/>
          <w:szCs w:val="20"/>
        </w:rPr>
        <w:t>）</w:t>
      </w:r>
    </w:p>
    <w:p w:rsidR="002B682F" w:rsidRPr="00DA3BC7" w:rsidRDefault="002B682F" w:rsidP="00647C13">
      <w:pPr>
        <w:ind w:leftChars="450" w:left="1080"/>
        <w:jc w:val="both"/>
        <w:rPr>
          <w:rFonts w:eastAsia="SimSun"/>
        </w:rPr>
      </w:pPr>
      <w:r w:rsidRPr="00DA3BC7">
        <w:rPr>
          <w:rFonts w:hint="eastAsia"/>
        </w:rPr>
        <w:t>這到底是約三法同時說呢？約前種後種相續說呢？</w:t>
      </w:r>
    </w:p>
    <w:p w:rsidR="002B682F" w:rsidRDefault="002B682F" w:rsidP="00647C13">
      <w:pPr>
        <w:ind w:leftChars="450" w:left="1080"/>
        <w:jc w:val="both"/>
      </w:pPr>
      <w:r w:rsidRPr="00DA3BC7">
        <w:rPr>
          <w:rFonts w:hint="eastAsia"/>
          <w:b/>
        </w:rPr>
        <w:t>約三法同時說</w:t>
      </w:r>
      <w:r w:rsidRPr="00DA3BC7">
        <w:rPr>
          <w:rFonts w:hint="eastAsia"/>
        </w:rPr>
        <w:t>，因（本種）滅果（現行）生同時，即顯露出三法的不同時了。</w:t>
      </w:r>
    </w:p>
    <w:p w:rsidR="00647C13" w:rsidRPr="00DA3BC7" w:rsidRDefault="00647C13" w:rsidP="00647C13">
      <w:pPr>
        <w:ind w:leftChars="450" w:left="1080"/>
        <w:jc w:val="both"/>
        <w:rPr>
          <w:rFonts w:eastAsia="SimSun"/>
        </w:rPr>
      </w:pPr>
    </w:p>
    <w:p w:rsidR="002B682F" w:rsidRPr="00DA3BC7" w:rsidRDefault="002B682F" w:rsidP="00AE3920">
      <w:pPr>
        <w:spacing w:beforeLines="20"/>
        <w:ind w:leftChars="600" w:left="1440"/>
        <w:jc w:val="both"/>
      </w:pPr>
      <w:r w:rsidRPr="00DA3BC7">
        <w:rPr>
          <w:rFonts w:hint="eastAsia"/>
        </w:rPr>
        <w:t>本種滅──同時──現行生</w:t>
      </w:r>
    </w:p>
    <w:p w:rsidR="002B682F" w:rsidRPr="00DA3BC7" w:rsidRDefault="002B682F" w:rsidP="00AE3920">
      <w:pPr>
        <w:spacing w:beforeLines="30"/>
        <w:ind w:leftChars="600" w:left="1440"/>
        <w:jc w:val="both"/>
      </w:pPr>
      <w:r w:rsidRPr="00DA3BC7">
        <w:rPr>
          <w:rFonts w:hint="eastAsia"/>
        </w:rPr>
        <w:t xml:space="preserve">　　　　　　　　　　║</w:t>
      </w:r>
    </w:p>
    <w:p w:rsidR="002B682F" w:rsidRPr="00DA3BC7" w:rsidRDefault="002B682F" w:rsidP="00AE3920">
      <w:pPr>
        <w:spacing w:beforeLines="30"/>
        <w:ind w:leftChars="610" w:left="1464"/>
        <w:jc w:val="both"/>
      </w:pPr>
      <w:r w:rsidRPr="00DA3BC7">
        <w:rPr>
          <w:rFonts w:hint="eastAsia"/>
        </w:rPr>
        <w:t xml:space="preserve">　　　　　　　　　現行滅──同時──新種生</w:t>
      </w:r>
    </w:p>
    <w:p w:rsidR="002B682F" w:rsidRPr="00DA3BC7" w:rsidRDefault="002B682F" w:rsidP="00647C13">
      <w:pPr>
        <w:ind w:leftChars="450" w:left="1080"/>
        <w:jc w:val="both"/>
        <w:rPr>
          <w:rFonts w:eastAsia="SimSun"/>
        </w:rPr>
      </w:pPr>
      <w:r w:rsidRPr="00DA3BC7">
        <w:rPr>
          <w:rFonts w:hint="eastAsia"/>
        </w:rPr>
        <w:t>如</w:t>
      </w:r>
      <w:r w:rsidRPr="00DA3BC7">
        <w:rPr>
          <w:rFonts w:hint="eastAsia"/>
          <w:b/>
        </w:rPr>
        <w:t>約前種後種相續說</w:t>
      </w:r>
      <w:r w:rsidRPr="00DA3BC7">
        <w:rPr>
          <w:rFonts w:hint="eastAsia"/>
        </w:rPr>
        <w:t>，前種滅時即是後種生時。什麼是滅時？還是已滅？還是將滅而未滅？</w:t>
      </w:r>
    </w:p>
    <w:p w:rsidR="002B682F" w:rsidRPr="00DA3BC7" w:rsidRDefault="002B682F" w:rsidP="00647C13">
      <w:pPr>
        <w:ind w:leftChars="450" w:left="1080"/>
        <w:jc w:val="both"/>
        <w:rPr>
          <w:rFonts w:eastAsia="SimSun"/>
        </w:rPr>
      </w:pPr>
      <w:r w:rsidRPr="00DA3BC7">
        <w:rPr>
          <w:rFonts w:hint="eastAsia"/>
        </w:rPr>
        <w:t>假使</w:t>
      </w:r>
      <w:r w:rsidRPr="00DA3BC7">
        <w:rPr>
          <w:rFonts w:hint="eastAsia"/>
          <w:b/>
        </w:rPr>
        <w:t>將滅而未滅</w:t>
      </w:r>
      <w:r w:rsidRPr="00DA3BC7">
        <w:rPr>
          <w:rFonts w:hint="eastAsia"/>
        </w:rPr>
        <w:t>，那麼同時有兩種子了。</w:t>
      </w:r>
    </w:p>
    <w:p w:rsidR="002B682F" w:rsidRPr="00DA3BC7" w:rsidRDefault="002B682F" w:rsidP="00647C13">
      <w:pPr>
        <w:ind w:leftChars="450" w:left="1080"/>
        <w:jc w:val="both"/>
        <w:rPr>
          <w:rFonts w:eastAsia="SimSun"/>
        </w:rPr>
      </w:pPr>
      <w:r w:rsidRPr="00DA3BC7">
        <w:rPr>
          <w:rFonts w:hint="eastAsia"/>
        </w:rPr>
        <w:t>如</w:t>
      </w:r>
      <w:r w:rsidRPr="00DA3BC7">
        <w:rPr>
          <w:rFonts w:hint="eastAsia"/>
          <w:b/>
        </w:rPr>
        <w:t>已滅</w:t>
      </w:r>
      <w:r w:rsidRPr="00DA3BC7">
        <w:rPr>
          <w:rFonts w:hint="eastAsia"/>
        </w:rPr>
        <w:t>，滅了將什麼生後種？</w:t>
      </w:r>
    </w:p>
    <w:p w:rsidR="002B682F" w:rsidRPr="00DA3BC7" w:rsidRDefault="002B682F" w:rsidP="00647C13">
      <w:pPr>
        <w:ind w:leftChars="450" w:left="1080"/>
        <w:jc w:val="both"/>
        <w:rPr>
          <w:rFonts w:eastAsia="SimSun"/>
        </w:rPr>
      </w:pPr>
      <w:r w:rsidRPr="00DA3BC7">
        <w:rPr>
          <w:rFonts w:hint="eastAsia"/>
        </w:rPr>
        <w:t>唯識學者應該知道：離已滅、未滅，並沒有滅時存在！</w:t>
      </w:r>
    </w:p>
    <w:p w:rsidR="002B682F" w:rsidRPr="00DA3BC7" w:rsidRDefault="002B682F" w:rsidP="00647C13">
      <w:pPr>
        <w:ind w:leftChars="450" w:left="1080"/>
        <w:jc w:val="both"/>
      </w:pPr>
      <w:r w:rsidRPr="00DA3BC7">
        <w:rPr>
          <w:rFonts w:hint="eastAsia"/>
        </w:rPr>
        <w:t>所以，即使有阿賴耶為一切依止處，而推究賴耶種子與現行的因果說，如何能不墮斷滅！</w:t>
      </w:r>
    </w:p>
    <w:p w:rsidR="002B682F" w:rsidRPr="00DA3BC7" w:rsidRDefault="002B682F" w:rsidP="00AE3920">
      <w:pPr>
        <w:spacing w:beforeLines="50"/>
        <w:ind w:leftChars="150" w:left="360"/>
        <w:jc w:val="both"/>
        <w:rPr>
          <w:rFonts w:eastAsia="SimSun"/>
          <w:sz w:val="20"/>
          <w:szCs w:val="20"/>
          <w:bdr w:val="single" w:sz="4" w:space="0" w:color="auto"/>
        </w:rPr>
      </w:pPr>
      <w:r w:rsidRPr="00455E54">
        <w:rPr>
          <w:rFonts w:hint="eastAsia"/>
          <w:b/>
          <w:color w:val="FF0000"/>
          <w:sz w:val="20"/>
          <w:szCs w:val="20"/>
          <w:highlight w:val="yellow"/>
          <w:bdr w:val="single" w:sz="4" w:space="0" w:color="auto"/>
        </w:rPr>
        <w:t>（</w:t>
      </w:r>
      <w:r w:rsidR="00455E54" w:rsidRPr="00455E54">
        <w:rPr>
          <w:rFonts w:hint="eastAsia"/>
          <w:b/>
          <w:color w:val="FF0000"/>
          <w:sz w:val="20"/>
          <w:szCs w:val="20"/>
          <w:highlight w:val="yellow"/>
          <w:bdr w:val="single" w:sz="4" w:space="0" w:color="auto"/>
        </w:rPr>
        <w:t>三</w:t>
      </w:r>
      <w:r w:rsidRPr="00455E54">
        <w:rPr>
          <w:rFonts w:hint="eastAsia"/>
          <w:b/>
          <w:color w:val="FF0000"/>
          <w:sz w:val="20"/>
          <w:szCs w:val="20"/>
          <w:highlight w:val="yellow"/>
          <w:bdr w:val="single" w:sz="4" w:space="0" w:color="auto"/>
        </w:rPr>
        <w:t>）</w:t>
      </w:r>
      <w:r w:rsidRPr="00DA3BC7">
        <w:rPr>
          <w:rFonts w:hint="eastAsia"/>
          <w:b/>
          <w:sz w:val="20"/>
          <w:szCs w:val="20"/>
          <w:bdr w:val="single" w:sz="4" w:space="0" w:color="auto"/>
        </w:rPr>
        <w:t>小結</w:t>
      </w:r>
      <w:r w:rsidRPr="00DA3BC7">
        <w:rPr>
          <w:rFonts w:ascii="Times Ext Roman" w:hAnsi="Times Ext Roman" w:cs="Times Ext Roman" w:hint="eastAsia"/>
          <w:sz w:val="20"/>
          <w:szCs w:val="20"/>
        </w:rPr>
        <w:t>（</w:t>
      </w:r>
      <w:r w:rsidRPr="00DA3BC7">
        <w:rPr>
          <w:rFonts w:ascii="Times New Roman" w:hAnsi="Times New Roman" w:hint="eastAsia"/>
          <w:sz w:val="20"/>
          <w:szCs w:val="20"/>
        </w:rPr>
        <w:t>p</w:t>
      </w:r>
      <w:r w:rsidRPr="00DA3BC7">
        <w:rPr>
          <w:rFonts w:hint="eastAsia"/>
          <w:sz w:val="20"/>
          <w:szCs w:val="20"/>
        </w:rPr>
        <w:t>.</w:t>
      </w:r>
      <w:r w:rsidRPr="00DA3BC7">
        <w:rPr>
          <w:rFonts w:ascii="Times New Roman" w:eastAsia="SimSun" w:hAnsi="Times New Roman" w:hint="eastAsia"/>
          <w:sz w:val="20"/>
          <w:szCs w:val="20"/>
        </w:rPr>
        <w:t>108</w:t>
      </w:r>
      <w:r w:rsidRPr="00DA3BC7">
        <w:rPr>
          <w:rFonts w:ascii="Times Ext Roman" w:hAnsi="Times Ext Roman" w:cs="Times Ext Roman" w:hint="eastAsia"/>
          <w:sz w:val="20"/>
          <w:szCs w:val="20"/>
        </w:rPr>
        <w:t>）</w:t>
      </w:r>
    </w:p>
    <w:p w:rsidR="00455E54" w:rsidRDefault="002B682F" w:rsidP="00647C13">
      <w:pPr>
        <w:ind w:leftChars="150" w:left="360"/>
        <w:jc w:val="both"/>
      </w:pPr>
      <w:r w:rsidRPr="00DA3BC7">
        <w:rPr>
          <w:rFonts w:hint="eastAsia"/>
        </w:rPr>
        <w:t>《中論》裡關於破常斷的方法很多，</w:t>
      </w:r>
      <w:r w:rsidR="00455E54" w:rsidRPr="00455E54">
        <w:rPr>
          <w:rStyle w:val="a6"/>
          <w:rFonts w:ascii="Times New Roman" w:hAnsi="Times New Roman"/>
          <w:highlight w:val="yellow"/>
        </w:rPr>
        <w:footnoteReference w:id="504"/>
      </w:r>
      <w:r w:rsidRPr="00DA3BC7">
        <w:rPr>
          <w:rFonts w:hint="eastAsia"/>
        </w:rPr>
        <w:t>這裡用不著多講。</w:t>
      </w:r>
    </w:p>
    <w:p w:rsidR="002B682F" w:rsidRPr="00DA3BC7" w:rsidRDefault="002B682F" w:rsidP="00647C13">
      <w:pPr>
        <w:ind w:leftChars="150" w:left="360"/>
        <w:jc w:val="both"/>
        <w:rPr>
          <w:rFonts w:eastAsia="SimSun"/>
        </w:rPr>
      </w:pPr>
      <w:r w:rsidRPr="00DA3BC7">
        <w:rPr>
          <w:rFonts w:hint="eastAsia"/>
        </w:rPr>
        <w:lastRenderedPageBreak/>
        <w:t>總之，斷常的過失，是一切自性有者所不可避免的。離卻自性見，纔能正見緣起法，因果相續的不斷不常，纔能安立。</w:t>
      </w:r>
    </w:p>
    <w:p w:rsidR="002B682F" w:rsidRPr="00DA3BC7" w:rsidRDefault="00455E54" w:rsidP="00AE3920">
      <w:pPr>
        <w:spacing w:beforeLines="30"/>
        <w:ind w:leftChars="100" w:left="240"/>
        <w:jc w:val="both"/>
        <w:rPr>
          <w:rFonts w:eastAsia="SimSun"/>
          <w:b/>
          <w:bCs/>
          <w:sz w:val="20"/>
          <w:szCs w:val="20"/>
          <w:bdr w:val="single" w:sz="4" w:space="0" w:color="auto"/>
        </w:rPr>
      </w:pPr>
      <w:r w:rsidRPr="00455E54">
        <w:rPr>
          <w:rFonts w:hint="eastAsia"/>
          <w:b/>
          <w:bCs/>
          <w:color w:val="FF0000"/>
          <w:sz w:val="20"/>
          <w:szCs w:val="20"/>
          <w:highlight w:val="yellow"/>
          <w:bdr w:val="single" w:sz="4" w:space="0" w:color="auto"/>
        </w:rPr>
        <w:t>三</w:t>
      </w:r>
      <w:r w:rsidR="002B682F" w:rsidRPr="00DA3BC7">
        <w:rPr>
          <w:b/>
          <w:bCs/>
          <w:sz w:val="20"/>
          <w:szCs w:val="20"/>
          <w:bdr w:val="single" w:sz="4" w:space="0" w:color="auto"/>
        </w:rPr>
        <w:t>、</w:t>
      </w:r>
      <w:r w:rsidR="002B682F" w:rsidRPr="00DA3BC7">
        <w:rPr>
          <w:rFonts w:hint="eastAsia"/>
          <w:b/>
          <w:bCs/>
          <w:sz w:val="20"/>
          <w:szCs w:val="20"/>
          <w:bdr w:val="single" w:sz="4" w:space="0" w:color="auto"/>
        </w:rPr>
        <w:t>不一不異</w:t>
      </w:r>
      <w:r w:rsidR="002B682F" w:rsidRPr="00DA3BC7">
        <w:rPr>
          <w:rFonts w:ascii="Times Ext Roman" w:hAnsi="Times Ext Roman" w:cs="Times Ext Roman" w:hint="eastAsia"/>
          <w:sz w:val="20"/>
          <w:szCs w:val="20"/>
        </w:rPr>
        <w:t>（</w:t>
      </w:r>
      <w:r w:rsidR="002B682F" w:rsidRPr="00DA3BC7">
        <w:rPr>
          <w:rFonts w:ascii="Times New Roman" w:hAnsi="Times New Roman" w:hint="eastAsia"/>
          <w:sz w:val="20"/>
          <w:szCs w:val="20"/>
        </w:rPr>
        <w:t>pp</w:t>
      </w:r>
      <w:r w:rsidR="002B682F" w:rsidRPr="00DA3BC7">
        <w:rPr>
          <w:rFonts w:hint="eastAsia"/>
          <w:sz w:val="20"/>
          <w:szCs w:val="20"/>
        </w:rPr>
        <w:t>.</w:t>
      </w:r>
      <w:r w:rsidR="002B682F" w:rsidRPr="00DA3BC7">
        <w:rPr>
          <w:rFonts w:ascii="Times New Roman" w:eastAsia="SimSun" w:hAnsi="Times New Roman" w:hint="eastAsia"/>
          <w:sz w:val="20"/>
          <w:szCs w:val="20"/>
        </w:rPr>
        <w:t>108</w:t>
      </w:r>
      <w:r w:rsidR="002B682F" w:rsidRPr="00DA3BC7">
        <w:rPr>
          <w:rFonts w:hint="eastAsia"/>
          <w:sz w:val="20"/>
          <w:szCs w:val="20"/>
        </w:rPr>
        <w:t>-</w:t>
      </w:r>
      <w:r w:rsidR="002B682F" w:rsidRPr="00DA3BC7">
        <w:rPr>
          <w:rFonts w:ascii="Times New Roman" w:eastAsia="SimSun" w:hAnsi="Times New Roman" w:hint="eastAsia"/>
          <w:sz w:val="20"/>
          <w:szCs w:val="20"/>
        </w:rPr>
        <w:t>109</w:t>
      </w:r>
      <w:r w:rsidR="002B682F" w:rsidRPr="00DA3BC7">
        <w:rPr>
          <w:rFonts w:ascii="Times Ext Roman" w:hAnsi="Times Ext Roman" w:cs="Times Ext Roman" w:hint="eastAsia"/>
          <w:sz w:val="20"/>
          <w:szCs w:val="20"/>
        </w:rPr>
        <w:t>）</w:t>
      </w:r>
    </w:p>
    <w:p w:rsidR="002B682F" w:rsidRPr="00DA3BC7" w:rsidRDefault="002B682F" w:rsidP="00647C13">
      <w:pPr>
        <w:ind w:leftChars="150" w:left="360"/>
        <w:jc w:val="both"/>
        <w:rPr>
          <w:rFonts w:ascii="新細明體" w:eastAsia="SimSun" w:hAnsi="新細明體"/>
          <w:b/>
          <w:sz w:val="20"/>
          <w:szCs w:val="20"/>
          <w:bdr w:val="single" w:sz="4" w:space="0" w:color="auto"/>
        </w:rPr>
      </w:pPr>
      <w:r w:rsidRPr="00455E54">
        <w:rPr>
          <w:rFonts w:ascii="新細明體" w:hAnsi="新細明體" w:hint="eastAsia"/>
          <w:b/>
          <w:color w:val="FF0000"/>
          <w:sz w:val="20"/>
          <w:szCs w:val="20"/>
          <w:highlight w:val="yellow"/>
          <w:bdr w:val="single" w:sz="4" w:space="0" w:color="auto"/>
        </w:rPr>
        <w:t>（</w:t>
      </w:r>
      <w:r w:rsidR="00455E54" w:rsidRPr="00455E54">
        <w:rPr>
          <w:rFonts w:ascii="新細明體" w:hAnsi="新細明體" w:hint="eastAsia"/>
          <w:b/>
          <w:color w:val="FF0000"/>
          <w:sz w:val="20"/>
          <w:szCs w:val="20"/>
          <w:highlight w:val="yellow"/>
          <w:bdr w:val="single" w:sz="4" w:space="0" w:color="auto"/>
        </w:rPr>
        <w:t>一</w:t>
      </w:r>
      <w:r w:rsidRPr="00455E54">
        <w:rPr>
          <w:rFonts w:ascii="新細明體" w:hAnsi="新細明體" w:hint="eastAsia"/>
          <w:b/>
          <w:color w:val="FF0000"/>
          <w:sz w:val="20"/>
          <w:szCs w:val="20"/>
          <w:highlight w:val="yellow"/>
          <w:bdr w:val="single" w:sz="4" w:space="0" w:color="auto"/>
        </w:rPr>
        <w:t>）</w:t>
      </w:r>
      <w:r w:rsidRPr="00DA3BC7">
        <w:rPr>
          <w:rFonts w:ascii="新細明體" w:hAnsi="新細明體" w:hint="eastAsia"/>
          <w:b/>
          <w:sz w:val="20"/>
          <w:szCs w:val="20"/>
          <w:bdr w:val="single" w:sz="4" w:space="0" w:color="auto"/>
        </w:rPr>
        <w:t>《中論</w:t>
      </w:r>
      <w:r w:rsidRPr="00455E54">
        <w:rPr>
          <w:rFonts w:ascii="新細明體" w:hAnsi="新細明體" w:hint="eastAsia"/>
          <w:b/>
          <w:sz w:val="20"/>
          <w:szCs w:val="20"/>
          <w:highlight w:val="yellow"/>
          <w:bdr w:val="single" w:sz="4" w:space="0" w:color="auto"/>
        </w:rPr>
        <w:t>》重</w:t>
      </w:r>
      <w:r w:rsidRPr="00DA3BC7">
        <w:rPr>
          <w:rFonts w:ascii="新細明體" w:hAnsi="新細明體" w:hint="eastAsia"/>
          <w:b/>
          <w:sz w:val="20"/>
          <w:szCs w:val="20"/>
          <w:bdr w:val="single" w:sz="4" w:space="0" w:color="auto"/>
        </w:rPr>
        <w:t>於破</w:t>
      </w:r>
      <w:r w:rsidR="007F5D01">
        <w:rPr>
          <w:rFonts w:ascii="新細明體" w:hAnsi="新細明體" w:hint="eastAsia"/>
          <w:b/>
          <w:sz w:val="20"/>
          <w:szCs w:val="20"/>
          <w:bdr w:val="single" w:sz="4" w:space="0" w:color="auto"/>
        </w:rPr>
        <w:t>「</w:t>
      </w:r>
      <w:r w:rsidRPr="00DA3BC7">
        <w:rPr>
          <w:rFonts w:ascii="新細明體" w:hAnsi="新細明體" w:hint="eastAsia"/>
          <w:b/>
          <w:sz w:val="20"/>
          <w:szCs w:val="20"/>
          <w:bdr w:val="single" w:sz="4" w:space="0" w:color="auto"/>
        </w:rPr>
        <w:t>異</w:t>
      </w:r>
      <w:r w:rsidR="007F5D01">
        <w:rPr>
          <w:rFonts w:ascii="新細明體" w:hAnsi="新細明體" w:hint="eastAsia"/>
          <w:b/>
          <w:sz w:val="20"/>
          <w:szCs w:val="20"/>
          <w:bdr w:val="single" w:sz="4" w:space="0" w:color="auto"/>
        </w:rPr>
        <w:t>」</w:t>
      </w:r>
      <w:r w:rsidRPr="00DA3BC7">
        <w:rPr>
          <w:rFonts w:ascii="Times Ext Roman" w:hAnsi="Times Ext Roman" w:cs="Times Ext Roman" w:hint="eastAsia"/>
          <w:sz w:val="20"/>
          <w:szCs w:val="20"/>
        </w:rPr>
        <w:t>（</w:t>
      </w:r>
      <w:r w:rsidRPr="00DA3BC7">
        <w:rPr>
          <w:rFonts w:ascii="Times New Roman" w:hAnsi="Times New Roman" w:hint="eastAsia"/>
          <w:sz w:val="20"/>
          <w:szCs w:val="20"/>
        </w:rPr>
        <w:t>p</w:t>
      </w:r>
      <w:r w:rsidRPr="00DA3BC7">
        <w:rPr>
          <w:rFonts w:hint="eastAsia"/>
          <w:sz w:val="20"/>
          <w:szCs w:val="20"/>
        </w:rPr>
        <w:t>.</w:t>
      </w:r>
      <w:r w:rsidRPr="00DA3BC7">
        <w:rPr>
          <w:rFonts w:ascii="Times New Roman" w:eastAsia="SimSun" w:hAnsi="Times New Roman" w:hint="eastAsia"/>
          <w:sz w:val="20"/>
          <w:szCs w:val="20"/>
        </w:rPr>
        <w:t>108</w:t>
      </w:r>
      <w:r w:rsidRPr="00DA3BC7">
        <w:rPr>
          <w:rFonts w:ascii="Times Ext Roman" w:hAnsi="Times Ext Roman" w:cs="Times Ext Roman" w:hint="eastAsia"/>
          <w:sz w:val="20"/>
          <w:szCs w:val="20"/>
        </w:rPr>
        <w:t>）</w:t>
      </w:r>
    </w:p>
    <w:p w:rsidR="002B682F" w:rsidRPr="00DA3BC7" w:rsidRDefault="002B682F" w:rsidP="00647C13">
      <w:pPr>
        <w:ind w:leftChars="150" w:left="360"/>
        <w:jc w:val="both"/>
        <w:rPr>
          <w:rFonts w:eastAsia="SimSun"/>
        </w:rPr>
      </w:pPr>
      <w:r w:rsidRPr="00DA3BC7">
        <w:rPr>
          <w:rFonts w:hint="eastAsia"/>
        </w:rPr>
        <w:t>《中觀論》對於執一執異，特著重破異。</w:t>
      </w:r>
    </w:p>
    <w:p w:rsidR="002B682F" w:rsidRPr="00DA3BC7" w:rsidRDefault="002B682F" w:rsidP="00647C13">
      <w:pPr>
        <w:ind w:leftChars="150" w:left="360"/>
        <w:jc w:val="both"/>
        <w:rPr>
          <w:rFonts w:eastAsia="SimSun"/>
        </w:rPr>
      </w:pPr>
      <w:r w:rsidRPr="00DA3BC7">
        <w:rPr>
          <w:rFonts w:hint="eastAsia"/>
        </w:rPr>
        <w:t>一般的說來，佛法破斥外道多重於破一，因外道大抵皆立一其大無外</w:t>
      </w:r>
      <w:r w:rsidRPr="00DA3BC7">
        <w:rPr>
          <w:rStyle w:val="a6"/>
          <w:rFonts w:ascii="Times New Roman" w:hAnsi="Times New Roman"/>
        </w:rPr>
        <w:footnoteReference w:id="505"/>
      </w:r>
      <w:r w:rsidRPr="00DA3BC7">
        <w:rPr>
          <w:rFonts w:hint="eastAsia"/>
        </w:rPr>
        <w:t>的大一，如大梵、神我等。佛說諸法緣起，生滅不住，使人了知諸法無我。如說五蘊、十二處、十八界、十二支緣起等，重在破一。</w:t>
      </w:r>
    </w:p>
    <w:p w:rsidR="002B682F" w:rsidRPr="00DA3BC7" w:rsidRDefault="002B682F" w:rsidP="00647C13">
      <w:pPr>
        <w:ind w:leftChars="150" w:left="360"/>
        <w:jc w:val="both"/>
        <w:rPr>
          <w:rFonts w:eastAsia="SimSun"/>
        </w:rPr>
      </w:pPr>
      <w:r w:rsidRPr="00DA3BC7">
        <w:rPr>
          <w:rFonts w:hint="eastAsia"/>
        </w:rPr>
        <w:t>後因小乘學者不解佛法的善巧，以五蘊等雖求我性不可得，而蘊等諸法不無，每墮於多元實在論。聲聞者多執此差別諸法為實，故《中論》特重破異。</w:t>
      </w:r>
    </w:p>
    <w:p w:rsidR="00455E54" w:rsidRDefault="002B682F" w:rsidP="00647C13">
      <w:pPr>
        <w:ind w:leftChars="150" w:left="360"/>
        <w:jc w:val="both"/>
      </w:pPr>
      <w:r w:rsidRPr="00DA3BC7">
        <w:rPr>
          <w:rFonts w:hint="eastAsia"/>
        </w:rPr>
        <w:t>「青目釋」中，評學者不知佛意，故執五蘊、十二處、十八界等有自相，執有自性即自然的而流於執異。</w:t>
      </w:r>
    </w:p>
    <w:p w:rsidR="00455E54" w:rsidRPr="00DA3BC7" w:rsidRDefault="00455E54" w:rsidP="00AE3920">
      <w:pPr>
        <w:spacing w:beforeLines="50"/>
        <w:ind w:leftChars="150" w:left="360"/>
        <w:jc w:val="both"/>
        <w:rPr>
          <w:rFonts w:eastAsia="SimSun"/>
          <w:sz w:val="20"/>
          <w:szCs w:val="20"/>
          <w:bdr w:val="single" w:sz="4" w:space="0" w:color="auto"/>
        </w:rPr>
      </w:pPr>
      <w:r w:rsidRPr="00455E54">
        <w:rPr>
          <w:rFonts w:ascii="Times New Roman" w:hAnsi="Times New Roman" w:hint="eastAsia"/>
          <w:b/>
          <w:color w:val="FF0000"/>
          <w:sz w:val="20"/>
          <w:szCs w:val="20"/>
          <w:highlight w:val="yellow"/>
          <w:bdr w:val="single" w:sz="4" w:space="0" w:color="auto"/>
        </w:rPr>
        <w:t>（二）彰正理</w:t>
      </w:r>
      <w:r w:rsidRPr="00455E54">
        <w:rPr>
          <w:rFonts w:ascii="Times New Roman" w:hAnsi="Times New Roman" w:hint="eastAsia"/>
          <w:sz w:val="20"/>
          <w:szCs w:val="20"/>
        </w:rPr>
        <w:t>（</w:t>
      </w:r>
      <w:r>
        <w:rPr>
          <w:rFonts w:ascii="Times New Roman" w:hAnsi="Times New Roman" w:hint="eastAsia"/>
          <w:sz w:val="20"/>
          <w:szCs w:val="20"/>
        </w:rPr>
        <w:t>p</w:t>
      </w:r>
      <w:r w:rsidRPr="00455E54">
        <w:rPr>
          <w:rFonts w:ascii="Times New Roman" w:hAnsi="Times New Roman" w:hint="eastAsia"/>
          <w:sz w:val="20"/>
          <w:szCs w:val="20"/>
        </w:rPr>
        <w:t>p.</w:t>
      </w:r>
      <w:r w:rsidRPr="00455E54">
        <w:rPr>
          <w:rFonts w:ascii="Times New Roman" w:eastAsia="SimSun" w:hAnsi="Times New Roman" w:hint="eastAsia"/>
          <w:sz w:val="20"/>
          <w:szCs w:val="20"/>
        </w:rPr>
        <w:t>10</w:t>
      </w:r>
      <w:r w:rsidRPr="00455E54">
        <w:rPr>
          <w:rFonts w:ascii="Times New Roman" w:eastAsiaTheme="minorEastAsia" w:hAnsi="Times New Roman" w:hint="eastAsia"/>
          <w:sz w:val="20"/>
          <w:szCs w:val="20"/>
        </w:rPr>
        <w:t>9-110</w:t>
      </w:r>
      <w:r w:rsidRPr="00DA3BC7">
        <w:rPr>
          <w:rFonts w:ascii="Times Ext Roman" w:hAnsi="Times Ext Roman" w:cs="Times Ext Roman" w:hint="eastAsia"/>
          <w:sz w:val="20"/>
          <w:szCs w:val="20"/>
        </w:rPr>
        <w:t>）</w:t>
      </w:r>
    </w:p>
    <w:p w:rsidR="002B682F" w:rsidRPr="00DA3BC7" w:rsidRDefault="002B682F" w:rsidP="00647C13">
      <w:pPr>
        <w:ind w:leftChars="150" w:left="360"/>
        <w:jc w:val="both"/>
        <w:rPr>
          <w:rFonts w:eastAsia="SimSun"/>
        </w:rPr>
      </w:pPr>
      <w:r w:rsidRPr="00DA3BC7">
        <w:rPr>
          <w:rFonts w:hint="eastAsia"/>
          <w:b/>
        </w:rPr>
        <w:t>緣起法本是有無量差別的</w:t>
      </w:r>
      <w:r w:rsidRPr="00DA3BC7">
        <w:rPr>
          <w:rFonts w:hint="eastAsia"/>
        </w:rPr>
        <w:t>，</w:t>
      </w:r>
      <w:r w:rsidRPr="00DA3BC7">
        <w:rPr>
          <w:rFonts w:hint="eastAsia"/>
          <w:b/>
        </w:rPr>
        <w:t>雖有差別而非自性的差別。</w:t>
      </w:r>
    </w:p>
    <w:p w:rsidR="002B682F" w:rsidRPr="00DA3BC7" w:rsidRDefault="002B682F" w:rsidP="00AE3920">
      <w:pPr>
        <w:spacing w:beforeLines="20"/>
        <w:ind w:leftChars="150" w:left="360"/>
        <w:jc w:val="both"/>
      </w:pPr>
      <w:r w:rsidRPr="00DA3BC7">
        <w:rPr>
          <w:rFonts w:hint="eastAsia"/>
        </w:rPr>
        <w:t>《中論》為建立中道緣起，故（</w:t>
      </w:r>
      <w:r w:rsidRPr="00DA3BC7">
        <w:rPr>
          <w:rFonts w:ascii="新細明體" w:hAnsi="新細明體" w:hint="eastAsia"/>
        </w:rPr>
        <w:t>〈</w:t>
      </w:r>
      <w:r w:rsidR="00E25DC2" w:rsidRPr="00974230">
        <w:rPr>
          <w:rFonts w:ascii="Times New Roman" w:hAnsi="Times New Roman" w:hint="eastAsia"/>
          <w:shd w:val="pct15" w:color="auto" w:fill="FFFFFF"/>
        </w:rPr>
        <w:t>14</w:t>
      </w:r>
      <w:r w:rsidR="00E25DC2">
        <w:rPr>
          <w:rFonts w:ascii="新細明體" w:hAnsi="新細明體" w:hint="eastAsia"/>
        </w:rPr>
        <w:t xml:space="preserve"> </w:t>
      </w:r>
      <w:r w:rsidRPr="00DA3BC7">
        <w:rPr>
          <w:rFonts w:hint="eastAsia"/>
        </w:rPr>
        <w:t>觀合品</w:t>
      </w:r>
      <w:r w:rsidRPr="00DA3BC7">
        <w:rPr>
          <w:rFonts w:ascii="新細明體" w:hAnsi="新細明體" w:hint="eastAsia"/>
        </w:rPr>
        <w:t>〉</w:t>
      </w:r>
      <w:r w:rsidRPr="00DA3BC7">
        <w:rPr>
          <w:rFonts w:hint="eastAsia"/>
        </w:rPr>
        <w:t>）說：</w:t>
      </w:r>
      <w:r w:rsidRPr="00DA3BC7">
        <w:rPr>
          <w:rFonts w:ascii="標楷體" w:eastAsia="標楷體" w:hAnsi="標楷體" w:hint="eastAsia"/>
        </w:rPr>
        <w:t>「異因異有異，異離異無異，若法所因出，是法不異因</w:t>
      </w:r>
      <w:r w:rsidRPr="00DA3BC7">
        <w:rPr>
          <w:rFonts w:hint="eastAsia"/>
        </w:rPr>
        <w:t>。</w:t>
      </w:r>
      <w:r w:rsidRPr="00DA3BC7">
        <w:rPr>
          <w:rFonts w:ascii="標楷體" w:eastAsia="標楷體" w:hAnsi="標楷體" w:hint="eastAsia"/>
        </w:rPr>
        <w:t>」</w:t>
      </w:r>
      <w:r w:rsidRPr="00DA3BC7">
        <w:rPr>
          <w:rStyle w:val="a6"/>
          <w:rFonts w:ascii="Times New Roman" w:hAnsi="Times New Roman"/>
        </w:rPr>
        <w:footnoteReference w:id="506"/>
      </w:r>
    </w:p>
    <w:p w:rsidR="002B682F" w:rsidRPr="00DA3BC7" w:rsidRDefault="002B682F" w:rsidP="00AE3920">
      <w:pPr>
        <w:spacing w:beforeLines="20"/>
        <w:ind w:leftChars="150" w:left="360"/>
        <w:jc w:val="both"/>
        <w:rPr>
          <w:b/>
        </w:rPr>
      </w:pPr>
      <w:r w:rsidRPr="00DA3BC7">
        <w:rPr>
          <w:rFonts w:hint="eastAsia"/>
        </w:rPr>
        <w:lastRenderedPageBreak/>
        <w:t>異，即是差別，但</w:t>
      </w:r>
      <w:r w:rsidRPr="00DA3BC7">
        <w:rPr>
          <w:rFonts w:hint="eastAsia"/>
          <w:b/>
        </w:rPr>
        <w:t>差別不應是自成自有的（自己對自己）差別。</w:t>
      </w:r>
    </w:p>
    <w:p w:rsidR="002B682F" w:rsidRPr="00DA3BC7" w:rsidRDefault="002B682F" w:rsidP="00AE3920">
      <w:pPr>
        <w:spacing w:beforeLines="20"/>
        <w:ind w:leftChars="150" w:left="360"/>
        <w:jc w:val="both"/>
        <w:rPr>
          <w:rFonts w:eastAsia="SimSun"/>
          <w:b/>
        </w:rPr>
      </w:pPr>
      <w:r w:rsidRPr="00DA3BC7">
        <w:rPr>
          <w:rFonts w:hint="eastAsia"/>
        </w:rPr>
        <w:t>如油燈觀待電燈而稱差別，則油燈的所以差別，是由電燈而有的；離了電燈，此油燈的別相即無從說起。故油燈的別相，不是自性有的，是不離於電燈的關係；既不離所因待的電燈，即不能說絕對異於電燈，而</w:t>
      </w:r>
      <w:r w:rsidRPr="00DA3BC7">
        <w:rPr>
          <w:rFonts w:hint="eastAsia"/>
          <w:b/>
        </w:rPr>
        <w:t>不過是相待的差別。</w:t>
      </w:r>
    </w:p>
    <w:p w:rsidR="002B682F" w:rsidRPr="00DA3BC7" w:rsidRDefault="002B682F" w:rsidP="00AE3920">
      <w:pPr>
        <w:spacing w:beforeLines="20"/>
        <w:ind w:leftChars="150" w:left="360"/>
        <w:jc w:val="both"/>
      </w:pPr>
      <w:r w:rsidRPr="00DA3BC7">
        <w:rPr>
          <w:rFonts w:hint="eastAsia"/>
        </w:rPr>
        <w:t>所以，諸法的不同──</w:t>
      </w:r>
      <w:r w:rsidRPr="00DA3BC7">
        <w:rPr>
          <w:rFonts w:hint="eastAsia"/>
          <w:b/>
        </w:rPr>
        <w:t>差別相，不離所觀待的諸法</w:t>
      </w:r>
      <w:r w:rsidRPr="00DA3BC7">
        <w:rPr>
          <w:rFonts w:hint="eastAsia"/>
        </w:rPr>
        <w:t>；觀待諸法相而顯諸法的差別，即決沒有獨存的差別──異相。</w:t>
      </w:r>
    </w:p>
    <w:p w:rsidR="002B682F" w:rsidRPr="00DA3BC7" w:rsidRDefault="002B682F" w:rsidP="00AE3920">
      <w:pPr>
        <w:spacing w:beforeLines="20"/>
        <w:ind w:leftChars="150" w:left="360"/>
        <w:jc w:val="both"/>
      </w:pPr>
      <w:r w:rsidRPr="00DA3BC7">
        <w:rPr>
          <w:rFonts w:hint="eastAsia"/>
        </w:rPr>
        <w:t>如果說離所觀的差別者而有此差別可得，那離觀待尚無異相，要有一離觀待的一相，更是非緣起的、非現實的了。</w:t>
      </w:r>
    </w:p>
    <w:p w:rsidR="002B682F" w:rsidRPr="00DA3BC7" w:rsidRDefault="002B682F" w:rsidP="00AE3920">
      <w:pPr>
        <w:spacing w:beforeLines="20"/>
        <w:ind w:leftChars="150" w:left="360"/>
        <w:jc w:val="both"/>
        <w:rPr>
          <w:rFonts w:ascii="標楷體" w:eastAsia="SimSun" w:hAnsi="標楷體"/>
        </w:rPr>
      </w:pPr>
      <w:r w:rsidRPr="00DA3BC7">
        <w:rPr>
          <w:rFonts w:hint="eastAsia"/>
          <w:b/>
        </w:rPr>
        <w:t>在緣起法中了知其性自本空，不執自相，才有</w:t>
      </w:r>
      <w:r w:rsidRPr="00DA3BC7">
        <w:rPr>
          <w:rFonts w:ascii="新細明體" w:hAnsi="新細明體" w:hint="eastAsia"/>
          <w:b/>
        </w:rPr>
        <w:t>不一不異的一異可說。</w:t>
      </w:r>
    </w:p>
    <w:p w:rsidR="002B682F" w:rsidRPr="00DA3BC7" w:rsidRDefault="00455E54" w:rsidP="00AE3920">
      <w:pPr>
        <w:spacing w:beforeLines="30"/>
        <w:ind w:leftChars="100" w:left="240"/>
        <w:jc w:val="both"/>
        <w:rPr>
          <w:rFonts w:ascii="新細明體" w:hAnsi="新細明體"/>
          <w:b/>
          <w:sz w:val="20"/>
          <w:szCs w:val="20"/>
          <w:bdr w:val="single" w:sz="4" w:space="0" w:color="auto"/>
        </w:rPr>
      </w:pPr>
      <w:r w:rsidRPr="00455E54">
        <w:rPr>
          <w:rFonts w:ascii="新細明體" w:hAnsi="新細明體" w:hint="eastAsia"/>
          <w:b/>
          <w:color w:val="FF0000"/>
          <w:sz w:val="20"/>
          <w:szCs w:val="20"/>
          <w:highlight w:val="yellow"/>
          <w:bdr w:val="single" w:sz="4" w:space="0" w:color="auto"/>
        </w:rPr>
        <w:lastRenderedPageBreak/>
        <w:t>四</w:t>
      </w:r>
      <w:r w:rsidR="002B682F" w:rsidRPr="00DA3BC7">
        <w:rPr>
          <w:rFonts w:ascii="新細明體" w:hAnsi="新細明體" w:hint="eastAsia"/>
          <w:b/>
          <w:sz w:val="20"/>
          <w:szCs w:val="20"/>
          <w:bdr w:val="single" w:sz="4" w:space="0" w:color="auto"/>
        </w:rPr>
        <w:t>、不來不去</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110</w:t>
      </w:r>
      <w:r w:rsidR="002B682F" w:rsidRPr="00DA3BC7">
        <w:rPr>
          <w:rFonts w:ascii="Times Ext Roman" w:hAnsi="Times Ext Roman" w:cs="Times Ext Roman" w:hint="eastAsia"/>
          <w:sz w:val="20"/>
          <w:szCs w:val="20"/>
        </w:rPr>
        <w:t>）</w:t>
      </w:r>
    </w:p>
    <w:p w:rsidR="002B682F" w:rsidRPr="00DA3BC7" w:rsidRDefault="002B682F" w:rsidP="00647C13">
      <w:pPr>
        <w:ind w:leftChars="150" w:left="360"/>
        <w:jc w:val="both"/>
        <w:rPr>
          <w:rFonts w:ascii="新細明體" w:hAnsi="新細明體"/>
          <w:b/>
          <w:sz w:val="20"/>
          <w:szCs w:val="20"/>
          <w:bdr w:val="single" w:sz="4" w:space="0" w:color="auto"/>
        </w:rPr>
      </w:pPr>
      <w:r w:rsidRPr="00455E54">
        <w:rPr>
          <w:rFonts w:ascii="新細明體" w:hAnsi="新細明體" w:hint="eastAsia"/>
          <w:b/>
          <w:color w:val="FF0000"/>
          <w:sz w:val="20"/>
          <w:szCs w:val="20"/>
          <w:highlight w:val="yellow"/>
          <w:bdr w:val="single" w:sz="4" w:space="0" w:color="auto"/>
        </w:rPr>
        <w:t>（</w:t>
      </w:r>
      <w:r w:rsidR="00455E54" w:rsidRPr="00455E54">
        <w:rPr>
          <w:rFonts w:ascii="新細明體" w:hAnsi="新細明體" w:hint="eastAsia"/>
          <w:b/>
          <w:color w:val="FF0000"/>
          <w:sz w:val="20"/>
          <w:szCs w:val="20"/>
          <w:highlight w:val="yellow"/>
          <w:bdr w:val="single" w:sz="4" w:space="0" w:color="auto"/>
        </w:rPr>
        <w:t>一</w:t>
      </w:r>
      <w:r w:rsidRPr="00455E54">
        <w:rPr>
          <w:rFonts w:ascii="新細明體" w:hAnsi="新細明體" w:hint="eastAsia"/>
          <w:b/>
          <w:color w:val="FF0000"/>
          <w:sz w:val="20"/>
          <w:szCs w:val="20"/>
          <w:highlight w:val="yellow"/>
          <w:bdr w:val="single" w:sz="4" w:space="0" w:color="auto"/>
        </w:rPr>
        <w:t>）</w:t>
      </w:r>
      <w:r w:rsidR="00455E54" w:rsidRPr="00455E54">
        <w:rPr>
          <w:rFonts w:ascii="新細明體" w:hAnsi="新細明體" w:hint="eastAsia"/>
          <w:b/>
          <w:color w:val="FF0000"/>
          <w:sz w:val="20"/>
          <w:szCs w:val="20"/>
          <w:highlight w:val="yellow"/>
          <w:bdr w:val="single" w:sz="4" w:space="0" w:color="auto"/>
        </w:rPr>
        <w:t>略要</w:t>
      </w:r>
      <w:r w:rsidRPr="00DA3BC7">
        <w:rPr>
          <w:rFonts w:ascii="Times Ext Roman" w:hAnsi="Times Ext Roman" w:cs="Times Ext Roman" w:hint="eastAsia"/>
          <w:sz w:val="20"/>
          <w:szCs w:val="20"/>
        </w:rPr>
        <w:t>（</w:t>
      </w:r>
      <w:r w:rsidRPr="00DA3BC7">
        <w:rPr>
          <w:rFonts w:ascii="Times New Roman" w:hAnsi="Times New Roman"/>
          <w:sz w:val="20"/>
          <w:szCs w:val="20"/>
        </w:rPr>
        <w:t>p</w:t>
      </w:r>
      <w:r w:rsidRPr="00DA3BC7">
        <w:rPr>
          <w:sz w:val="20"/>
          <w:szCs w:val="20"/>
        </w:rPr>
        <w:t>.</w:t>
      </w:r>
      <w:r w:rsidRPr="00DA3BC7">
        <w:rPr>
          <w:rFonts w:ascii="Times New Roman" w:eastAsia="SimSun" w:hAnsi="Times New Roman"/>
          <w:sz w:val="20"/>
          <w:szCs w:val="20"/>
        </w:rPr>
        <w:t>110</w:t>
      </w:r>
      <w:r w:rsidRPr="00DA3BC7">
        <w:rPr>
          <w:rFonts w:ascii="Times Ext Roman" w:hAnsi="Times Ext Roman" w:cs="Times Ext Roman" w:hint="eastAsia"/>
          <w:sz w:val="20"/>
          <w:szCs w:val="20"/>
        </w:rPr>
        <w:t>）</w:t>
      </w:r>
    </w:p>
    <w:p w:rsidR="002B682F" w:rsidRPr="00DA3BC7" w:rsidRDefault="002B682F" w:rsidP="00AE3920">
      <w:pPr>
        <w:spacing w:afterLines="30"/>
        <w:ind w:leftChars="150" w:left="360"/>
        <w:jc w:val="both"/>
        <w:rPr>
          <w:rFonts w:eastAsia="SimSun"/>
        </w:rPr>
      </w:pPr>
      <w:r w:rsidRPr="00DA3BC7">
        <w:rPr>
          <w:rFonts w:hint="eastAsia"/>
        </w:rPr>
        <w:t>來去，偏在法的運動方面說。執來去相，如《中論》的〈</w:t>
      </w:r>
      <w:r w:rsidR="00241F2D" w:rsidRPr="00241F2D">
        <w:rPr>
          <w:rFonts w:ascii="Times New Roman" w:hAnsi="Times New Roman" w:hint="eastAsia"/>
          <w:shd w:val="pct15" w:color="auto" w:fill="FFFFFF"/>
        </w:rPr>
        <w:t>2</w:t>
      </w:r>
      <w:r w:rsidR="00241F2D">
        <w:rPr>
          <w:rFonts w:hint="eastAsia"/>
        </w:rPr>
        <w:t xml:space="preserve"> </w:t>
      </w:r>
      <w:r w:rsidRPr="00DA3BC7">
        <w:rPr>
          <w:rFonts w:hint="eastAsia"/>
        </w:rPr>
        <w:t>觀去來品〉</w:t>
      </w:r>
      <w:r w:rsidRPr="00DA3BC7">
        <w:rPr>
          <w:rStyle w:val="a6"/>
          <w:rFonts w:ascii="Times New Roman" w:hAnsi="Times New Roman"/>
        </w:rPr>
        <w:footnoteReference w:id="507"/>
      </w:r>
      <w:r w:rsidRPr="00DA3BC7">
        <w:rPr>
          <w:rFonts w:hint="eastAsia"/>
        </w:rPr>
        <w:t>中廣破。</w:t>
      </w:r>
    </w:p>
    <w:p w:rsidR="002B682F" w:rsidRPr="00DA3BC7" w:rsidRDefault="002B682F" w:rsidP="00AE3920">
      <w:pPr>
        <w:spacing w:beforeLines="30"/>
        <w:ind w:leftChars="150" w:left="360"/>
        <w:jc w:val="both"/>
        <w:rPr>
          <w:rFonts w:ascii="新細明體" w:hAnsi="新細明體"/>
          <w:b/>
          <w:sz w:val="20"/>
          <w:szCs w:val="20"/>
          <w:bdr w:val="single" w:sz="4" w:space="0" w:color="auto"/>
        </w:rPr>
      </w:pPr>
      <w:r w:rsidRPr="00455E54">
        <w:rPr>
          <w:rFonts w:ascii="新細明體" w:hAnsi="新細明體" w:hint="eastAsia"/>
          <w:b/>
          <w:color w:val="FF0000"/>
          <w:sz w:val="20"/>
          <w:szCs w:val="20"/>
          <w:highlight w:val="yellow"/>
          <w:bdr w:val="single" w:sz="4" w:space="0" w:color="auto"/>
        </w:rPr>
        <w:t>（</w:t>
      </w:r>
      <w:r w:rsidR="00455E54" w:rsidRPr="00455E54">
        <w:rPr>
          <w:rFonts w:ascii="新細明體" w:hAnsi="新細明體" w:hint="eastAsia"/>
          <w:b/>
          <w:color w:val="FF0000"/>
          <w:sz w:val="20"/>
          <w:szCs w:val="20"/>
          <w:highlight w:val="yellow"/>
          <w:bdr w:val="single" w:sz="4" w:space="0" w:color="auto"/>
        </w:rPr>
        <w:t>二</w:t>
      </w:r>
      <w:r w:rsidRPr="00455E54">
        <w:rPr>
          <w:rFonts w:ascii="新細明體" w:hAnsi="新細明體" w:hint="eastAsia"/>
          <w:b/>
          <w:color w:val="FF0000"/>
          <w:sz w:val="20"/>
          <w:szCs w:val="20"/>
          <w:highlight w:val="yellow"/>
          <w:bdr w:val="single" w:sz="4" w:space="0" w:color="auto"/>
        </w:rPr>
        <w:t>）</w:t>
      </w:r>
      <w:r w:rsidR="00455E54" w:rsidRPr="00455E54">
        <w:rPr>
          <w:rFonts w:ascii="新細明體" w:hAnsi="新細明體" w:hint="eastAsia"/>
          <w:b/>
          <w:color w:val="FF0000"/>
          <w:sz w:val="20"/>
          <w:szCs w:val="20"/>
          <w:highlight w:val="yellow"/>
          <w:bdr w:val="single" w:sz="4" w:space="0" w:color="auto"/>
        </w:rPr>
        <w:t>辨義</w:t>
      </w:r>
      <w:r w:rsidRPr="00DA3BC7">
        <w:rPr>
          <w:rFonts w:ascii="Times Ext Roman" w:hAnsi="Times Ext Roman" w:cs="Times Ext Roman" w:hint="eastAsia"/>
          <w:sz w:val="20"/>
          <w:szCs w:val="20"/>
        </w:rPr>
        <w:t>（</w:t>
      </w:r>
      <w:r w:rsidRPr="00DA3BC7">
        <w:rPr>
          <w:rFonts w:ascii="Times New Roman" w:hAnsi="Times New Roman"/>
          <w:sz w:val="20"/>
          <w:szCs w:val="20"/>
        </w:rPr>
        <w:t>p</w:t>
      </w:r>
      <w:r w:rsidRPr="00DA3BC7">
        <w:rPr>
          <w:sz w:val="20"/>
          <w:szCs w:val="20"/>
        </w:rPr>
        <w:t>.</w:t>
      </w:r>
      <w:r w:rsidRPr="00DA3BC7">
        <w:rPr>
          <w:rFonts w:ascii="Times New Roman" w:eastAsia="SimSun" w:hAnsi="Times New Roman"/>
          <w:sz w:val="20"/>
          <w:szCs w:val="20"/>
        </w:rPr>
        <w:t>110</w:t>
      </w:r>
      <w:r w:rsidRPr="00DA3BC7">
        <w:rPr>
          <w:rFonts w:ascii="Times Ext Roman" w:hAnsi="Times Ext Roman" w:cs="Times Ext Roman" w:hint="eastAsia"/>
          <w:sz w:val="20"/>
          <w:szCs w:val="20"/>
        </w:rPr>
        <w:t>）</w:t>
      </w:r>
    </w:p>
    <w:p w:rsidR="00455E54" w:rsidRPr="00DA3BC7" w:rsidRDefault="00455E54" w:rsidP="00647C13">
      <w:pPr>
        <w:ind w:leftChars="200" w:left="480"/>
        <w:jc w:val="both"/>
        <w:rPr>
          <w:rFonts w:ascii="新細明體" w:hAnsi="新細明體"/>
          <w:b/>
          <w:sz w:val="20"/>
          <w:szCs w:val="20"/>
          <w:bdr w:val="single" w:sz="4" w:space="0" w:color="auto"/>
        </w:rPr>
      </w:pPr>
      <w:r w:rsidRPr="00455E54">
        <w:rPr>
          <w:rFonts w:ascii="Times New Roman" w:hAnsi="Times New Roman" w:hint="eastAsia"/>
          <w:b/>
          <w:color w:val="FF0000"/>
          <w:sz w:val="20"/>
          <w:szCs w:val="20"/>
          <w:highlight w:val="yellow"/>
          <w:bdr w:val="single" w:sz="4" w:space="0" w:color="auto"/>
        </w:rPr>
        <w:t>1</w:t>
      </w:r>
      <w:r w:rsidRPr="00455E54">
        <w:rPr>
          <w:rFonts w:ascii="Times New Roman" w:hAnsi="Times New Roman" w:hint="eastAsia"/>
          <w:b/>
          <w:color w:val="FF0000"/>
          <w:sz w:val="20"/>
          <w:szCs w:val="20"/>
          <w:highlight w:val="yellow"/>
          <w:bdr w:val="single" w:sz="4" w:space="0" w:color="auto"/>
        </w:rPr>
        <w:t>、明「來去執見」</w:t>
      </w:r>
      <w:r w:rsidRPr="00DA3BC7">
        <w:rPr>
          <w:rFonts w:ascii="Times Ext Roman" w:hAnsi="Times Ext Roman" w:cs="Times Ext Roman" w:hint="eastAsia"/>
          <w:sz w:val="20"/>
          <w:szCs w:val="20"/>
        </w:rPr>
        <w:t>（</w:t>
      </w:r>
      <w:r w:rsidRPr="00DA3BC7">
        <w:rPr>
          <w:rFonts w:ascii="Times New Roman" w:hAnsi="Times New Roman"/>
          <w:sz w:val="20"/>
          <w:szCs w:val="20"/>
        </w:rPr>
        <w:t>p</w:t>
      </w:r>
      <w:r w:rsidRPr="00DA3BC7">
        <w:rPr>
          <w:sz w:val="20"/>
          <w:szCs w:val="20"/>
        </w:rPr>
        <w:t>.</w:t>
      </w:r>
      <w:r w:rsidRPr="00DA3BC7">
        <w:rPr>
          <w:rFonts w:ascii="Times New Roman" w:eastAsia="SimSun" w:hAnsi="Times New Roman"/>
          <w:sz w:val="20"/>
          <w:szCs w:val="20"/>
        </w:rPr>
        <w:t>110</w:t>
      </w:r>
      <w:r w:rsidRPr="00DA3BC7">
        <w:rPr>
          <w:rFonts w:ascii="Times Ext Roman" w:hAnsi="Times Ext Roman" w:cs="Times Ext Roman" w:hint="eastAsia"/>
          <w:sz w:val="20"/>
          <w:szCs w:val="20"/>
        </w:rPr>
        <w:t>）</w:t>
      </w:r>
    </w:p>
    <w:p w:rsidR="002B682F" w:rsidRPr="00DA3BC7" w:rsidRDefault="002B682F" w:rsidP="00647C13">
      <w:pPr>
        <w:ind w:leftChars="200" w:left="480"/>
        <w:jc w:val="both"/>
        <w:rPr>
          <w:rFonts w:eastAsia="SimSun"/>
        </w:rPr>
      </w:pPr>
      <w:r w:rsidRPr="00DA3BC7">
        <w:rPr>
          <w:rFonts w:hint="eastAsia"/>
        </w:rPr>
        <w:t>此運動相，若深究起來，極不容易了解。如依於空間的位置上說：從甲的那裡到乙的這裡，此在甲方曰去，在乙則曰來。但如執有自性，那麼從甲到乙的中間距離，從其丈尺寸分乃至追究到空間的點，此運動的性質即消失無餘。在此就在此，在彼就在彼，在這空間點既不能說有動相；積無量的空間點，自也不應有運動相，所以自性論者每每把一一法看成靜止的。每以為如電影：影片本是一張張的板定</w:t>
      </w:r>
      <w:r w:rsidRPr="00DA3BC7">
        <w:rPr>
          <w:rStyle w:val="a6"/>
          <w:rFonts w:ascii="Times New Roman" w:hAnsi="Times New Roman"/>
        </w:rPr>
        <w:footnoteReference w:id="508"/>
      </w:r>
      <w:r w:rsidRPr="00DA3BC7">
        <w:rPr>
          <w:rFonts w:hint="eastAsia"/>
        </w:rPr>
        <w:t>──不動物，經電力而似有動相，影片本身雖無有運動，但觀眾見為活動而非不動的。</w:t>
      </w:r>
    </w:p>
    <w:p w:rsidR="002B682F" w:rsidRPr="00DA3BC7" w:rsidRDefault="00455E54" w:rsidP="00AE3920">
      <w:pPr>
        <w:spacing w:beforeLines="30"/>
        <w:ind w:leftChars="200" w:left="480"/>
        <w:jc w:val="both"/>
        <w:rPr>
          <w:rFonts w:ascii="新細明體" w:hAnsi="新細明體"/>
          <w:b/>
          <w:sz w:val="20"/>
          <w:szCs w:val="20"/>
          <w:bdr w:val="single" w:sz="4" w:space="0" w:color="auto"/>
        </w:rPr>
      </w:pPr>
      <w:r w:rsidRPr="00455E54">
        <w:rPr>
          <w:rFonts w:ascii="Times New Roman" w:hAnsi="Times New Roman" w:hint="eastAsia"/>
          <w:b/>
          <w:color w:val="FF0000"/>
          <w:sz w:val="20"/>
          <w:szCs w:val="20"/>
          <w:highlight w:val="yellow"/>
          <w:bdr w:val="single" w:sz="4" w:space="0" w:color="auto"/>
        </w:rPr>
        <w:t>2</w:t>
      </w:r>
      <w:r w:rsidR="002B682F" w:rsidRPr="00455E54">
        <w:rPr>
          <w:rFonts w:ascii="Times New Roman" w:hAnsi="Times New Roman" w:hint="eastAsia"/>
          <w:b/>
          <w:color w:val="FF0000"/>
          <w:sz w:val="20"/>
          <w:szCs w:val="20"/>
          <w:highlight w:val="yellow"/>
          <w:bdr w:val="single" w:sz="4" w:space="0" w:color="auto"/>
        </w:rPr>
        <w:t>、</w:t>
      </w:r>
      <w:r w:rsidRPr="00455E54">
        <w:rPr>
          <w:rFonts w:ascii="Times New Roman" w:hAnsi="Times New Roman" w:hint="eastAsia"/>
          <w:b/>
          <w:color w:val="FF0000"/>
          <w:sz w:val="20"/>
          <w:szCs w:val="20"/>
          <w:highlight w:val="yellow"/>
          <w:bdr w:val="single" w:sz="4" w:space="0" w:color="auto"/>
        </w:rPr>
        <w:t>破執</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110</w:t>
      </w:r>
      <w:r w:rsidR="002B682F" w:rsidRPr="00DA3BC7">
        <w:rPr>
          <w:rFonts w:ascii="Times Ext Roman" w:hAnsi="Times Ext Roman" w:cs="Times Ext Roman" w:hint="eastAsia"/>
          <w:sz w:val="20"/>
          <w:szCs w:val="20"/>
        </w:rPr>
        <w:t>）</w:t>
      </w:r>
    </w:p>
    <w:p w:rsidR="002B682F" w:rsidRPr="00DA3BC7" w:rsidRDefault="002B682F" w:rsidP="00647C13">
      <w:pPr>
        <w:ind w:leftChars="200" w:left="480"/>
        <w:jc w:val="both"/>
        <w:rPr>
          <w:rFonts w:eastAsia="SimSun"/>
        </w:rPr>
      </w:pPr>
      <w:r w:rsidRPr="00DA3BC7">
        <w:rPr>
          <w:rFonts w:hint="eastAsia"/>
        </w:rPr>
        <w:t>中觀者依此而批評他們，使他們感到來去不可得。不但動不可得，而靜止也不可得，這在下章中再為提到。</w:t>
      </w:r>
      <w:r w:rsidR="00455E54" w:rsidRPr="00455E54">
        <w:rPr>
          <w:rStyle w:val="a6"/>
          <w:rFonts w:ascii="Times New Roman" w:hAnsi="Times New Roman"/>
          <w:highlight w:val="yellow"/>
        </w:rPr>
        <w:footnoteReference w:id="509"/>
      </w:r>
    </w:p>
    <w:p w:rsidR="002B682F" w:rsidRPr="00DA3BC7" w:rsidRDefault="00455E54" w:rsidP="00AE3920">
      <w:pPr>
        <w:spacing w:beforeLines="30"/>
        <w:jc w:val="both"/>
        <w:rPr>
          <w:rFonts w:ascii="新細明體" w:hAnsi="新細明體"/>
          <w:b/>
          <w:sz w:val="20"/>
          <w:szCs w:val="20"/>
          <w:bdr w:val="single" w:sz="4" w:space="0" w:color="auto"/>
        </w:rPr>
      </w:pPr>
      <w:r w:rsidRPr="00455E54">
        <w:rPr>
          <w:rFonts w:ascii="新細明體" w:hAnsi="新細明體" w:hint="eastAsia"/>
          <w:b/>
          <w:color w:val="FF0000"/>
          <w:sz w:val="20"/>
          <w:szCs w:val="20"/>
          <w:highlight w:val="yellow"/>
          <w:bdr w:val="single" w:sz="4" w:space="0" w:color="auto"/>
        </w:rPr>
        <w:t>參</w:t>
      </w:r>
      <w:r w:rsidR="002B682F" w:rsidRPr="00455E54">
        <w:rPr>
          <w:rFonts w:ascii="新細明體" w:hAnsi="新細明體" w:hint="eastAsia"/>
          <w:b/>
          <w:color w:val="FF0000"/>
          <w:sz w:val="20"/>
          <w:szCs w:val="20"/>
          <w:highlight w:val="yellow"/>
          <w:bdr w:val="single" w:sz="4" w:space="0" w:color="auto"/>
        </w:rPr>
        <w:t>、</w:t>
      </w:r>
      <w:r w:rsidRPr="00455E54">
        <w:rPr>
          <w:rFonts w:ascii="新細明體" w:hAnsi="新細明體" w:hint="eastAsia"/>
          <w:b/>
          <w:color w:val="FF0000"/>
          <w:sz w:val="20"/>
          <w:szCs w:val="20"/>
          <w:highlight w:val="yellow"/>
          <w:bdr w:val="single" w:sz="4" w:space="0" w:color="auto"/>
        </w:rPr>
        <w:t>「八不」除</w:t>
      </w:r>
      <w:r w:rsidR="002B682F" w:rsidRPr="00455E54">
        <w:rPr>
          <w:rFonts w:ascii="新細明體" w:hAnsi="新細明體" w:hint="eastAsia"/>
          <w:b/>
          <w:color w:val="FF0000"/>
          <w:sz w:val="20"/>
          <w:szCs w:val="20"/>
          <w:highlight w:val="yellow"/>
          <w:bdr w:val="single" w:sz="4" w:space="0" w:color="auto"/>
        </w:rPr>
        <w:t>執</w:t>
      </w:r>
      <w:r w:rsidRPr="00455E54">
        <w:rPr>
          <w:rFonts w:ascii="新細明體" w:hAnsi="新細明體" w:hint="eastAsia"/>
          <w:b/>
          <w:color w:val="FF0000"/>
          <w:sz w:val="20"/>
          <w:szCs w:val="20"/>
          <w:highlight w:val="yellow"/>
          <w:bdr w:val="single" w:sz="4" w:space="0" w:color="auto"/>
        </w:rPr>
        <w:t>戲論滅</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pp</w:t>
      </w:r>
      <w:r w:rsidR="002B682F" w:rsidRPr="00DA3BC7">
        <w:rPr>
          <w:sz w:val="20"/>
          <w:szCs w:val="20"/>
        </w:rPr>
        <w:t>.</w:t>
      </w:r>
      <w:r w:rsidR="002B682F" w:rsidRPr="00DA3BC7">
        <w:rPr>
          <w:rFonts w:ascii="Times New Roman" w:eastAsia="SimSun" w:hAnsi="Times New Roman"/>
          <w:sz w:val="20"/>
          <w:szCs w:val="20"/>
        </w:rPr>
        <w:t>110</w:t>
      </w:r>
      <w:r w:rsidR="002B682F" w:rsidRPr="00DA3BC7">
        <w:rPr>
          <w:sz w:val="20"/>
          <w:szCs w:val="20"/>
        </w:rPr>
        <w:t>-</w:t>
      </w:r>
      <w:r w:rsidR="002B682F" w:rsidRPr="00DA3BC7">
        <w:rPr>
          <w:rFonts w:ascii="Times New Roman" w:eastAsia="SimSun" w:hAnsi="Times New Roman"/>
          <w:sz w:val="20"/>
          <w:szCs w:val="20"/>
        </w:rPr>
        <w:t>111</w:t>
      </w:r>
      <w:r w:rsidR="002B682F" w:rsidRPr="00DA3BC7">
        <w:rPr>
          <w:rFonts w:ascii="Times Ext Roman" w:hAnsi="Times Ext Roman" w:cs="Times Ext Roman" w:hint="eastAsia"/>
          <w:sz w:val="20"/>
          <w:szCs w:val="20"/>
        </w:rPr>
        <w:t>）</w:t>
      </w:r>
    </w:p>
    <w:p w:rsidR="002B682F" w:rsidRPr="00DA3BC7" w:rsidRDefault="002B682F" w:rsidP="008E2BBC">
      <w:pPr>
        <w:ind w:leftChars="50" w:left="120"/>
        <w:jc w:val="both"/>
        <w:rPr>
          <w:rFonts w:ascii="新細明體" w:hAnsi="新細明體"/>
          <w:b/>
          <w:sz w:val="20"/>
          <w:szCs w:val="20"/>
          <w:bdr w:val="single" w:sz="4" w:space="0" w:color="auto"/>
        </w:rPr>
      </w:pPr>
      <w:r w:rsidRPr="00DA3BC7">
        <w:rPr>
          <w:rFonts w:ascii="新細明體" w:hAnsi="新細明體" w:hint="eastAsia"/>
          <w:b/>
          <w:sz w:val="20"/>
          <w:szCs w:val="20"/>
          <w:bdr w:val="single" w:sz="4" w:space="0" w:color="auto"/>
        </w:rPr>
        <w:t>（壹）</w:t>
      </w:r>
      <w:r w:rsidR="00455E54">
        <w:rPr>
          <w:rFonts w:ascii="新細明體" w:hAnsi="新細明體" w:hint="eastAsia"/>
          <w:b/>
          <w:color w:val="FF0000"/>
          <w:sz w:val="20"/>
          <w:szCs w:val="20"/>
          <w:highlight w:val="yellow"/>
          <w:bdr w:val="single" w:sz="4" w:space="0" w:color="auto"/>
        </w:rPr>
        <w:t>總明</w:t>
      </w:r>
      <w:r w:rsidRPr="00DA3BC7">
        <w:rPr>
          <w:rFonts w:ascii="Times Ext Roman" w:hAnsi="Times Ext Roman" w:cs="Times Ext Roman" w:hint="eastAsia"/>
          <w:sz w:val="20"/>
        </w:rPr>
        <w:t>（</w:t>
      </w:r>
      <w:r w:rsidRPr="00DA3BC7">
        <w:rPr>
          <w:rFonts w:ascii="Times New Roman" w:hAnsi="Times New Roman"/>
          <w:sz w:val="20"/>
        </w:rPr>
        <w:t>p</w:t>
      </w:r>
      <w:r w:rsidRPr="00DA3BC7">
        <w:rPr>
          <w:sz w:val="20"/>
        </w:rPr>
        <w:t>.</w:t>
      </w:r>
      <w:r w:rsidRPr="00DA3BC7">
        <w:rPr>
          <w:rFonts w:ascii="Times New Roman" w:eastAsia="SimSun" w:hAnsi="Times New Roman"/>
          <w:sz w:val="20"/>
        </w:rPr>
        <w:t>110</w:t>
      </w:r>
      <w:r w:rsidRPr="00DA3BC7">
        <w:rPr>
          <w:rFonts w:ascii="Times Ext Roman" w:hAnsi="Times Ext Roman" w:cs="Times Ext Roman" w:hint="eastAsia"/>
          <w:sz w:val="20"/>
        </w:rPr>
        <w:t>）</w:t>
      </w:r>
    </w:p>
    <w:p w:rsidR="002B682F" w:rsidRPr="00DA3BC7" w:rsidRDefault="002B682F" w:rsidP="008E2BBC">
      <w:pPr>
        <w:ind w:leftChars="50" w:left="120"/>
        <w:jc w:val="both"/>
        <w:rPr>
          <w:rFonts w:eastAsia="SimSun"/>
        </w:rPr>
      </w:pPr>
      <w:r w:rsidRPr="00DA3BC7">
        <w:rPr>
          <w:rFonts w:hint="eastAsia"/>
        </w:rPr>
        <w:t>上來所講的八不，要在破除眾生的自性執。諸法的自性本空，沒有自性的生滅、斷常、一異、去來；故《中論》約自性不可得義，遍破一切自性生滅的執著。</w:t>
      </w:r>
    </w:p>
    <w:p w:rsidR="002B682F" w:rsidRPr="00DA3BC7" w:rsidRDefault="002B682F" w:rsidP="00AE3920">
      <w:pPr>
        <w:spacing w:beforeLines="30"/>
        <w:ind w:leftChars="50" w:left="120"/>
        <w:jc w:val="both"/>
        <w:rPr>
          <w:rFonts w:ascii="新細明體" w:hAnsi="新細明體"/>
          <w:b/>
          <w:sz w:val="20"/>
          <w:szCs w:val="20"/>
          <w:bdr w:val="single" w:sz="4" w:space="0" w:color="auto"/>
        </w:rPr>
      </w:pPr>
      <w:r w:rsidRPr="00DA3BC7">
        <w:rPr>
          <w:rFonts w:ascii="新細明體" w:hAnsi="新細明體" w:hint="eastAsia"/>
          <w:b/>
          <w:sz w:val="20"/>
          <w:szCs w:val="20"/>
          <w:bdr w:val="single" w:sz="4" w:space="0" w:color="auto"/>
        </w:rPr>
        <w:t>（貳）</w:t>
      </w:r>
      <w:r w:rsidR="00455E54">
        <w:rPr>
          <w:rFonts w:ascii="新細明體" w:hAnsi="新細明體" w:hint="eastAsia"/>
          <w:b/>
          <w:color w:val="FF0000"/>
          <w:sz w:val="20"/>
          <w:szCs w:val="20"/>
          <w:highlight w:val="yellow"/>
          <w:bdr w:val="single" w:sz="4" w:space="0" w:color="auto"/>
        </w:rPr>
        <w:t>別述</w:t>
      </w:r>
      <w:r w:rsidRPr="00DA3BC7">
        <w:rPr>
          <w:rFonts w:ascii="Times Ext Roman" w:hAnsi="Times Ext Roman" w:cs="Times Ext Roman" w:hint="eastAsia"/>
          <w:sz w:val="20"/>
          <w:szCs w:val="20"/>
        </w:rPr>
        <w:t>（</w:t>
      </w:r>
      <w:r w:rsidRPr="00DA3BC7">
        <w:rPr>
          <w:rFonts w:ascii="Times New Roman" w:hAnsi="Times New Roman"/>
          <w:sz w:val="20"/>
          <w:szCs w:val="20"/>
        </w:rPr>
        <w:t>pp</w:t>
      </w:r>
      <w:r w:rsidRPr="00DA3BC7">
        <w:rPr>
          <w:sz w:val="20"/>
          <w:szCs w:val="20"/>
        </w:rPr>
        <w:t>.</w:t>
      </w:r>
      <w:r w:rsidRPr="00DA3BC7">
        <w:rPr>
          <w:rFonts w:ascii="Times New Roman" w:eastAsia="SimSun" w:hAnsi="Times New Roman"/>
          <w:sz w:val="20"/>
          <w:szCs w:val="20"/>
        </w:rPr>
        <w:t>110</w:t>
      </w:r>
      <w:r w:rsidRPr="00DA3BC7">
        <w:rPr>
          <w:sz w:val="20"/>
          <w:szCs w:val="20"/>
        </w:rPr>
        <w:t>-</w:t>
      </w:r>
      <w:r w:rsidRPr="00DA3BC7">
        <w:rPr>
          <w:rFonts w:ascii="Times New Roman" w:eastAsia="SimSun" w:hAnsi="Times New Roman"/>
          <w:sz w:val="20"/>
          <w:szCs w:val="20"/>
        </w:rPr>
        <w:t>111</w:t>
      </w:r>
      <w:r w:rsidRPr="00DA3BC7">
        <w:rPr>
          <w:rFonts w:ascii="Times Ext Roman" w:hAnsi="Times Ext Roman" w:cs="Times Ext Roman" w:hint="eastAsia"/>
          <w:sz w:val="20"/>
          <w:szCs w:val="20"/>
        </w:rPr>
        <w:t>）</w:t>
      </w:r>
    </w:p>
    <w:p w:rsidR="00455E54" w:rsidRPr="00DA3BC7" w:rsidRDefault="00455E54" w:rsidP="00647C13">
      <w:pPr>
        <w:ind w:leftChars="100" w:left="240"/>
        <w:jc w:val="both"/>
        <w:rPr>
          <w:rFonts w:ascii="新細明體" w:hAnsi="新細明體"/>
          <w:b/>
          <w:sz w:val="20"/>
          <w:szCs w:val="20"/>
          <w:bdr w:val="single" w:sz="4" w:space="0" w:color="auto"/>
        </w:rPr>
      </w:pPr>
      <w:r w:rsidRPr="00455E54">
        <w:rPr>
          <w:rFonts w:ascii="新細明體" w:hAnsi="新細明體" w:hint="eastAsia"/>
          <w:b/>
          <w:color w:val="FF0000"/>
          <w:sz w:val="20"/>
          <w:szCs w:val="20"/>
          <w:highlight w:val="yellow"/>
          <w:bdr w:val="single" w:sz="4" w:space="0" w:color="auto"/>
        </w:rPr>
        <w:t>一、</w:t>
      </w:r>
      <w:r>
        <w:rPr>
          <w:rFonts w:ascii="新細明體" w:hAnsi="新細明體" w:hint="eastAsia"/>
          <w:b/>
          <w:color w:val="FF0000"/>
          <w:sz w:val="20"/>
          <w:szCs w:val="20"/>
          <w:highlight w:val="yellow"/>
          <w:bdr w:val="single" w:sz="4" w:space="0" w:color="auto"/>
        </w:rPr>
        <w:t>明所除之妄執</w:t>
      </w:r>
      <w:r w:rsidRPr="00DA3BC7">
        <w:rPr>
          <w:rFonts w:ascii="Times Ext Roman" w:hAnsi="Times Ext Roman" w:cs="Times Ext Roman" w:hint="eastAsia"/>
          <w:sz w:val="20"/>
          <w:szCs w:val="20"/>
        </w:rPr>
        <w:t>（</w:t>
      </w:r>
      <w:r w:rsidRPr="00DA3BC7">
        <w:rPr>
          <w:rFonts w:ascii="Times New Roman" w:hAnsi="Times New Roman"/>
          <w:sz w:val="20"/>
          <w:szCs w:val="20"/>
        </w:rPr>
        <w:t>pp</w:t>
      </w:r>
      <w:r w:rsidRPr="00DA3BC7">
        <w:rPr>
          <w:sz w:val="20"/>
          <w:szCs w:val="20"/>
        </w:rPr>
        <w:t>.</w:t>
      </w:r>
      <w:r w:rsidRPr="00DA3BC7">
        <w:rPr>
          <w:rFonts w:ascii="Times New Roman" w:eastAsia="SimSun" w:hAnsi="Times New Roman"/>
          <w:sz w:val="20"/>
          <w:szCs w:val="20"/>
        </w:rPr>
        <w:t>110</w:t>
      </w:r>
      <w:r w:rsidRPr="00DA3BC7">
        <w:rPr>
          <w:sz w:val="20"/>
          <w:szCs w:val="20"/>
        </w:rPr>
        <w:t>-</w:t>
      </w:r>
      <w:r w:rsidRPr="00DA3BC7">
        <w:rPr>
          <w:rFonts w:ascii="Times New Roman" w:eastAsia="SimSun" w:hAnsi="Times New Roman"/>
          <w:sz w:val="20"/>
          <w:szCs w:val="20"/>
        </w:rPr>
        <w:t>111</w:t>
      </w:r>
      <w:r w:rsidRPr="00DA3BC7">
        <w:rPr>
          <w:rFonts w:ascii="Times Ext Roman" w:hAnsi="Times Ext Roman" w:cs="Times Ext Roman" w:hint="eastAsia"/>
          <w:sz w:val="20"/>
          <w:szCs w:val="20"/>
        </w:rPr>
        <w:t>）</w:t>
      </w:r>
    </w:p>
    <w:p w:rsidR="00455E54" w:rsidRPr="00DA3BC7" w:rsidRDefault="00455E54" w:rsidP="00647C13">
      <w:pPr>
        <w:ind w:leftChars="150" w:left="360"/>
        <w:jc w:val="both"/>
        <w:rPr>
          <w:rFonts w:ascii="新細明體" w:hAnsi="新細明體"/>
          <w:b/>
          <w:sz w:val="20"/>
          <w:szCs w:val="20"/>
          <w:bdr w:val="single" w:sz="4" w:space="0" w:color="auto"/>
        </w:rPr>
      </w:pPr>
      <w:r w:rsidRPr="00455E54">
        <w:rPr>
          <w:rFonts w:ascii="新細明體" w:hAnsi="新細明體" w:hint="eastAsia"/>
          <w:b/>
          <w:color w:val="FF0000"/>
          <w:sz w:val="20"/>
          <w:szCs w:val="20"/>
          <w:highlight w:val="yellow"/>
          <w:bdr w:val="single" w:sz="4" w:space="0" w:color="auto"/>
        </w:rPr>
        <w:t>（一）同一妄執似異現</w:t>
      </w:r>
      <w:r w:rsidRPr="00DA3BC7">
        <w:rPr>
          <w:rFonts w:ascii="Times Ext Roman" w:hAnsi="Times Ext Roman" w:cs="Times Ext Roman" w:hint="eastAsia"/>
          <w:sz w:val="20"/>
          <w:szCs w:val="20"/>
        </w:rPr>
        <w:t>（</w:t>
      </w:r>
      <w:r w:rsidRPr="00DA3BC7">
        <w:rPr>
          <w:rFonts w:ascii="Times New Roman" w:hAnsi="Times New Roman"/>
          <w:sz w:val="20"/>
          <w:szCs w:val="20"/>
        </w:rPr>
        <w:t>pp</w:t>
      </w:r>
      <w:r w:rsidRPr="00DA3BC7">
        <w:rPr>
          <w:sz w:val="20"/>
          <w:szCs w:val="20"/>
        </w:rPr>
        <w:t>.</w:t>
      </w:r>
      <w:r w:rsidRPr="00DA3BC7">
        <w:rPr>
          <w:rFonts w:ascii="Times New Roman" w:eastAsia="SimSun" w:hAnsi="Times New Roman"/>
          <w:sz w:val="20"/>
          <w:szCs w:val="20"/>
        </w:rPr>
        <w:t>110</w:t>
      </w:r>
      <w:r w:rsidRPr="00DA3BC7">
        <w:rPr>
          <w:sz w:val="20"/>
          <w:szCs w:val="20"/>
        </w:rPr>
        <w:t>-</w:t>
      </w:r>
      <w:r w:rsidRPr="00DA3BC7">
        <w:rPr>
          <w:rFonts w:ascii="Times New Roman" w:eastAsia="SimSun" w:hAnsi="Times New Roman"/>
          <w:sz w:val="20"/>
          <w:szCs w:val="20"/>
        </w:rPr>
        <w:t>111</w:t>
      </w:r>
      <w:r w:rsidRPr="00DA3BC7">
        <w:rPr>
          <w:rFonts w:ascii="Times Ext Roman" w:hAnsi="Times Ext Roman" w:cs="Times Ext Roman" w:hint="eastAsia"/>
          <w:sz w:val="20"/>
          <w:szCs w:val="20"/>
        </w:rPr>
        <w:t>）</w:t>
      </w:r>
    </w:p>
    <w:p w:rsidR="002B682F" w:rsidRPr="00DA3BC7" w:rsidRDefault="002B682F" w:rsidP="00647C13">
      <w:pPr>
        <w:ind w:leftChars="150" w:left="360"/>
        <w:jc w:val="both"/>
        <w:rPr>
          <w:rFonts w:eastAsia="SimSun"/>
        </w:rPr>
      </w:pPr>
      <w:r w:rsidRPr="00DA3BC7">
        <w:rPr>
          <w:rFonts w:hint="eastAsia"/>
        </w:rPr>
        <w:t>世間一般人以及外道，有所得的聲聞行者</w:t>
      </w:r>
      <w:r w:rsidRPr="00DA3BC7">
        <w:rPr>
          <w:rFonts w:ascii="新細明體" w:hAnsi="新細明體" w:hint="eastAsia"/>
        </w:rPr>
        <w:t>、</w:t>
      </w:r>
      <w:r w:rsidRPr="00DA3BC7">
        <w:rPr>
          <w:rFonts w:hint="eastAsia"/>
        </w:rPr>
        <w:t>菩薩行者，不能體認一切法空，總執有實在性的法──從常識上的實在，到形而上的實在，不能超脫自性妄見。</w:t>
      </w:r>
    </w:p>
    <w:p w:rsidR="002B682F" w:rsidRPr="00DA3BC7" w:rsidRDefault="002B682F" w:rsidP="00AE3920">
      <w:pPr>
        <w:spacing w:beforeLines="20"/>
        <w:ind w:leftChars="150" w:left="360"/>
        <w:jc w:val="both"/>
        <w:rPr>
          <w:rFonts w:eastAsia="SimSun"/>
        </w:rPr>
      </w:pPr>
      <w:r w:rsidRPr="00DA3BC7">
        <w:rPr>
          <w:rFonts w:hint="eastAsia"/>
        </w:rPr>
        <w:lastRenderedPageBreak/>
        <w:t>此自性見，通過</w:t>
      </w:r>
      <w:r w:rsidRPr="00DA3BC7">
        <w:rPr>
          <w:rFonts w:hint="eastAsia"/>
          <w:b/>
        </w:rPr>
        <w:t>時間性</w:t>
      </w:r>
      <w:r w:rsidRPr="00DA3BC7">
        <w:rPr>
          <w:rFonts w:hint="eastAsia"/>
        </w:rPr>
        <w:t>，即有</w:t>
      </w:r>
      <w:r w:rsidRPr="00DA3BC7">
        <w:rPr>
          <w:rFonts w:hint="eastAsia"/>
          <w:b/>
        </w:rPr>
        <w:t>常見、斷見</w:t>
      </w:r>
      <w:r w:rsidRPr="00DA3BC7">
        <w:rPr>
          <w:rFonts w:hint="eastAsia"/>
        </w:rPr>
        <w:t>；</w:t>
      </w:r>
    </w:p>
    <w:p w:rsidR="002B682F" w:rsidRPr="00DA3BC7" w:rsidRDefault="002B682F" w:rsidP="00AE3920">
      <w:pPr>
        <w:spacing w:beforeLines="20"/>
        <w:ind w:leftChars="650" w:left="1560"/>
        <w:jc w:val="both"/>
        <w:rPr>
          <w:rFonts w:eastAsia="SimSun"/>
        </w:rPr>
      </w:pPr>
      <w:r w:rsidRPr="00DA3BC7">
        <w:rPr>
          <w:rFonts w:hint="eastAsia"/>
        </w:rPr>
        <w:t>通過</w:t>
      </w:r>
      <w:r w:rsidRPr="00DA3BC7">
        <w:rPr>
          <w:rFonts w:hint="eastAsia"/>
          <w:b/>
        </w:rPr>
        <w:t>空間性</w:t>
      </w:r>
      <w:r w:rsidRPr="00DA3BC7">
        <w:rPr>
          <w:rFonts w:hint="eastAsia"/>
        </w:rPr>
        <w:t>，則有</w:t>
      </w:r>
      <w:r w:rsidRPr="00DA3BC7">
        <w:rPr>
          <w:rFonts w:hint="eastAsia"/>
          <w:b/>
        </w:rPr>
        <w:t>一見、異見</w:t>
      </w:r>
      <w:r w:rsidRPr="00DA3BC7">
        <w:rPr>
          <w:rFonts w:hint="eastAsia"/>
        </w:rPr>
        <w:t>；</w:t>
      </w:r>
    </w:p>
    <w:p w:rsidR="002B682F" w:rsidRPr="00DA3BC7" w:rsidRDefault="002B682F" w:rsidP="00AE3920">
      <w:pPr>
        <w:spacing w:beforeLines="20"/>
        <w:ind w:leftChars="650" w:left="1560"/>
        <w:jc w:val="both"/>
        <w:rPr>
          <w:rFonts w:eastAsia="SimSun"/>
        </w:rPr>
      </w:pPr>
      <w:r w:rsidRPr="00DA3BC7">
        <w:rPr>
          <w:rFonts w:hint="eastAsia"/>
        </w:rPr>
        <w:t>在時空的</w:t>
      </w:r>
      <w:r w:rsidRPr="00DA3BC7">
        <w:rPr>
          <w:rFonts w:hint="eastAsia"/>
          <w:b/>
        </w:rPr>
        <w:t>運動</w:t>
      </w:r>
      <w:r w:rsidRPr="00DA3BC7">
        <w:rPr>
          <w:rFonts w:hint="eastAsia"/>
        </w:rPr>
        <w:t>上，則有</w:t>
      </w:r>
      <w:r w:rsidRPr="00DA3BC7">
        <w:rPr>
          <w:rFonts w:hint="eastAsia"/>
          <w:b/>
        </w:rPr>
        <w:t>來去執</w:t>
      </w:r>
      <w:r w:rsidRPr="00DA3BC7">
        <w:rPr>
          <w:rFonts w:hint="eastAsia"/>
        </w:rPr>
        <w:t>；</w:t>
      </w:r>
    </w:p>
    <w:p w:rsidR="002B682F" w:rsidRPr="00DA3BC7" w:rsidRDefault="002B682F" w:rsidP="00AE3920">
      <w:pPr>
        <w:spacing w:beforeLines="20"/>
        <w:ind w:leftChars="650" w:left="1560"/>
        <w:jc w:val="both"/>
        <w:rPr>
          <w:rFonts w:eastAsia="SimSun"/>
        </w:rPr>
      </w:pPr>
      <w:r w:rsidRPr="00DA3BC7">
        <w:rPr>
          <w:rFonts w:hint="eastAsia"/>
        </w:rPr>
        <w:t>在</w:t>
      </w:r>
      <w:r w:rsidRPr="00DA3BC7">
        <w:rPr>
          <w:rFonts w:hint="eastAsia"/>
          <w:b/>
        </w:rPr>
        <w:t>法的當體</w:t>
      </w:r>
      <w:r w:rsidRPr="00DA3BC7">
        <w:rPr>
          <w:rFonts w:hint="eastAsia"/>
        </w:rPr>
        <w:t>上，則有</w:t>
      </w:r>
      <w:r w:rsidRPr="00DA3BC7">
        <w:rPr>
          <w:rFonts w:hint="eastAsia"/>
          <w:b/>
        </w:rPr>
        <w:t>生滅執</w:t>
      </w:r>
      <w:r w:rsidRPr="00DA3BC7">
        <w:rPr>
          <w:rFonts w:hint="eastAsia"/>
        </w:rPr>
        <w:t>。</w:t>
      </w:r>
    </w:p>
    <w:p w:rsidR="002B682F" w:rsidRPr="00DA3BC7" w:rsidRDefault="002B682F" w:rsidP="00AE3920">
      <w:pPr>
        <w:spacing w:beforeLines="30"/>
        <w:ind w:leftChars="150" w:left="360"/>
        <w:jc w:val="both"/>
        <w:rPr>
          <w:rFonts w:eastAsia="SimSun"/>
          <w:b/>
          <w:sz w:val="20"/>
          <w:szCs w:val="20"/>
          <w:bdr w:val="single" w:sz="4" w:space="0" w:color="auto"/>
        </w:rPr>
      </w:pPr>
      <w:r w:rsidRPr="00455E54">
        <w:rPr>
          <w:rFonts w:ascii="新細明體" w:hAnsi="新細明體" w:hint="eastAsia"/>
          <w:b/>
          <w:color w:val="FF0000"/>
          <w:sz w:val="20"/>
          <w:szCs w:val="20"/>
          <w:highlight w:val="yellow"/>
          <w:bdr w:val="single" w:sz="4" w:space="0" w:color="auto"/>
        </w:rPr>
        <w:t>（</w:t>
      </w:r>
      <w:r w:rsidR="00455E54" w:rsidRPr="00455E54">
        <w:rPr>
          <w:rFonts w:hint="eastAsia"/>
          <w:b/>
          <w:color w:val="FF0000"/>
          <w:sz w:val="20"/>
          <w:szCs w:val="20"/>
          <w:highlight w:val="yellow"/>
          <w:bdr w:val="single" w:sz="4" w:space="0" w:color="auto"/>
        </w:rPr>
        <w:t>二</w:t>
      </w:r>
      <w:r w:rsidRPr="00455E54">
        <w:rPr>
          <w:rFonts w:ascii="新細明體" w:hAnsi="新細明體" w:hint="eastAsia"/>
          <w:b/>
          <w:color w:val="FF0000"/>
          <w:sz w:val="20"/>
          <w:szCs w:val="20"/>
          <w:highlight w:val="yellow"/>
          <w:bdr w:val="single" w:sz="4" w:space="0" w:color="auto"/>
        </w:rPr>
        <w:t>）</w:t>
      </w:r>
      <w:r w:rsidR="00455E54" w:rsidRPr="00455E54">
        <w:rPr>
          <w:rFonts w:hint="eastAsia"/>
          <w:b/>
          <w:color w:val="FF0000"/>
          <w:sz w:val="20"/>
          <w:szCs w:val="20"/>
          <w:highlight w:val="yellow"/>
          <w:bdr w:val="single" w:sz="4" w:space="0" w:color="auto"/>
        </w:rPr>
        <w:t>所</w:t>
      </w:r>
      <w:r w:rsidRPr="00455E54">
        <w:rPr>
          <w:rFonts w:hint="eastAsia"/>
          <w:b/>
          <w:color w:val="FF0000"/>
          <w:sz w:val="20"/>
          <w:szCs w:val="20"/>
          <w:highlight w:val="yellow"/>
          <w:bdr w:val="single" w:sz="4" w:space="0" w:color="auto"/>
        </w:rPr>
        <w:t>執</w:t>
      </w:r>
      <w:r w:rsidR="00455E54" w:rsidRPr="00455E54">
        <w:rPr>
          <w:rFonts w:hint="eastAsia"/>
          <w:b/>
          <w:color w:val="FF0000"/>
          <w:sz w:val="20"/>
          <w:szCs w:val="20"/>
          <w:highlight w:val="yellow"/>
          <w:bdr w:val="single" w:sz="4" w:space="0" w:color="auto"/>
        </w:rPr>
        <w:t>似別實同源</w:t>
      </w:r>
      <w:r w:rsidRPr="00DA3BC7">
        <w:rPr>
          <w:rFonts w:ascii="Times Ext Roman" w:hAnsi="Times Ext Roman" w:cs="Times Ext Roman" w:hint="eastAsia"/>
          <w:sz w:val="20"/>
          <w:szCs w:val="20"/>
        </w:rPr>
        <w:t>（</w:t>
      </w:r>
      <w:r w:rsidRPr="00DA3BC7">
        <w:rPr>
          <w:rFonts w:ascii="Times New Roman" w:hAnsi="Times New Roman"/>
          <w:sz w:val="20"/>
          <w:szCs w:val="20"/>
        </w:rPr>
        <w:t>p</w:t>
      </w:r>
      <w:r w:rsidRPr="00DA3BC7">
        <w:rPr>
          <w:sz w:val="20"/>
          <w:szCs w:val="20"/>
        </w:rPr>
        <w:t>.</w:t>
      </w:r>
      <w:r w:rsidRPr="00DA3BC7">
        <w:rPr>
          <w:rFonts w:ascii="Times New Roman" w:eastAsia="SimSun" w:hAnsi="Times New Roman"/>
          <w:sz w:val="20"/>
          <w:szCs w:val="20"/>
        </w:rPr>
        <w:t>111</w:t>
      </w:r>
      <w:r w:rsidRPr="00DA3BC7">
        <w:rPr>
          <w:rFonts w:ascii="Times Ext Roman" w:hAnsi="Times Ext Roman" w:cs="Times Ext Roman" w:hint="eastAsia"/>
          <w:sz w:val="20"/>
          <w:szCs w:val="20"/>
        </w:rPr>
        <w:t>）</w:t>
      </w:r>
    </w:p>
    <w:p w:rsidR="00C51692" w:rsidRDefault="00C51692" w:rsidP="00C51692">
      <w:pPr>
        <w:ind w:leftChars="150" w:left="360"/>
        <w:jc w:val="both"/>
      </w:pPr>
      <w:r w:rsidRPr="00DA3BC7">
        <w:rPr>
          <w:rFonts w:hint="eastAsia"/>
        </w:rPr>
        <w:t>其實八者的根源，同出於自性執。</w:t>
      </w:r>
    </w:p>
    <w:p w:rsidR="002B682F" w:rsidRPr="00DA3BC7" w:rsidRDefault="00455E54" w:rsidP="00702351">
      <w:pPr>
        <w:ind w:leftChars="200" w:left="480"/>
        <w:jc w:val="both"/>
        <w:rPr>
          <w:rFonts w:eastAsia="SimSun"/>
          <w:b/>
          <w:sz w:val="20"/>
          <w:szCs w:val="20"/>
          <w:bdr w:val="single" w:sz="4" w:space="0" w:color="auto"/>
        </w:rPr>
      </w:pPr>
      <w:r w:rsidRPr="00455E54">
        <w:rPr>
          <w:rFonts w:ascii="Times New Roman" w:hAnsi="Times New Roman" w:hint="eastAsia"/>
          <w:b/>
          <w:color w:val="FF0000"/>
          <w:sz w:val="20"/>
          <w:szCs w:val="20"/>
          <w:highlight w:val="yellow"/>
          <w:bdr w:val="single" w:sz="4" w:space="0" w:color="auto"/>
        </w:rPr>
        <w:t>1</w:t>
      </w:r>
      <w:r w:rsidRPr="00455E54">
        <w:rPr>
          <w:rFonts w:ascii="Times New Roman" w:hAnsi="Times New Roman" w:hint="eastAsia"/>
          <w:b/>
          <w:color w:val="FF0000"/>
          <w:sz w:val="20"/>
          <w:szCs w:val="20"/>
          <w:highlight w:val="yellow"/>
          <w:bdr w:val="single" w:sz="4" w:space="0" w:color="auto"/>
        </w:rPr>
        <w:t>、</w:t>
      </w:r>
      <w:r w:rsidR="002B682F" w:rsidRPr="00DA3BC7">
        <w:rPr>
          <w:rFonts w:hint="eastAsia"/>
          <w:b/>
          <w:sz w:val="20"/>
          <w:szCs w:val="20"/>
          <w:bdr w:val="single" w:sz="4" w:space="0" w:color="auto"/>
        </w:rPr>
        <w:t>以「常見、斷見」為例</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111</w:t>
      </w:r>
      <w:r w:rsidR="002B682F" w:rsidRPr="00DA3BC7">
        <w:rPr>
          <w:rFonts w:ascii="Times Ext Roman" w:hAnsi="Times Ext Roman" w:cs="Times Ext Roman" w:hint="eastAsia"/>
          <w:sz w:val="20"/>
          <w:szCs w:val="20"/>
        </w:rPr>
        <w:t>）</w:t>
      </w:r>
    </w:p>
    <w:p w:rsidR="002B682F" w:rsidRPr="00DA3BC7" w:rsidRDefault="002B682F" w:rsidP="00702351">
      <w:pPr>
        <w:ind w:leftChars="200" w:left="480"/>
        <w:jc w:val="both"/>
        <w:rPr>
          <w:rFonts w:eastAsia="SimSun"/>
        </w:rPr>
      </w:pPr>
      <w:r w:rsidRPr="00C51692">
        <w:rPr>
          <w:rFonts w:hint="eastAsia"/>
          <w:highlight w:val="yellow"/>
        </w:rPr>
        <w:t>如</w:t>
      </w:r>
      <w:r w:rsidRPr="00DA3BC7">
        <w:rPr>
          <w:rFonts w:hint="eastAsia"/>
        </w:rPr>
        <w:t>常見、斷見，看來似乎不同，實則妄執的根源是一。</w:t>
      </w:r>
    </w:p>
    <w:p w:rsidR="002B682F" w:rsidRPr="00DA3BC7" w:rsidRDefault="002B682F" w:rsidP="00AE3920">
      <w:pPr>
        <w:spacing w:beforeLines="20"/>
        <w:ind w:leftChars="200" w:left="480"/>
        <w:jc w:val="both"/>
        <w:rPr>
          <w:rFonts w:eastAsia="SimSun"/>
        </w:rPr>
      </w:pPr>
      <w:r w:rsidRPr="00DA3BC7">
        <w:rPr>
          <w:rFonts w:hint="eastAsia"/>
        </w:rPr>
        <w:t>如執為前後一樣是</w:t>
      </w:r>
      <w:r w:rsidRPr="00DA3BC7">
        <w:rPr>
          <w:rFonts w:hint="eastAsia"/>
          <w:b/>
        </w:rPr>
        <w:t>常執</w:t>
      </w:r>
      <w:r w:rsidRPr="00DA3BC7">
        <w:rPr>
          <w:rFonts w:hint="eastAsia"/>
        </w:rPr>
        <w:t>，執前後別異為</w:t>
      </w:r>
      <w:r w:rsidRPr="00DA3BC7">
        <w:rPr>
          <w:rFonts w:hint="eastAsia"/>
          <w:b/>
        </w:rPr>
        <w:t>斷執</w:t>
      </w:r>
      <w:r w:rsidRPr="00DA3BC7">
        <w:rPr>
          <w:rFonts w:hint="eastAsia"/>
        </w:rPr>
        <w:t>。</w:t>
      </w:r>
    </w:p>
    <w:p w:rsidR="002B682F" w:rsidRPr="00DA3BC7" w:rsidRDefault="002B682F" w:rsidP="00AE3920">
      <w:pPr>
        <w:spacing w:beforeLines="20"/>
        <w:ind w:leftChars="200" w:left="480"/>
        <w:jc w:val="both"/>
        <w:rPr>
          <w:rFonts w:eastAsia="SimSun"/>
        </w:rPr>
      </w:pPr>
      <w:r w:rsidRPr="00DA3BC7">
        <w:rPr>
          <w:rFonts w:hint="eastAsia"/>
          <w:b/>
        </w:rPr>
        <w:t>常執</w:t>
      </w:r>
      <w:r w:rsidRPr="00DA3BC7">
        <w:rPr>
          <w:rFonts w:hint="eastAsia"/>
        </w:rPr>
        <w:t>是以不變性為根源；</w:t>
      </w:r>
      <w:r w:rsidRPr="00DA3BC7">
        <w:rPr>
          <w:rFonts w:hint="eastAsia"/>
          <w:b/>
        </w:rPr>
        <w:t>斷執</w:t>
      </w:r>
      <w:r w:rsidRPr="00DA3BC7">
        <w:rPr>
          <w:rFonts w:hint="eastAsia"/>
        </w:rPr>
        <w:t>也還是以不變性為根源，前者是前者，後者是後者，前後即失卻聯繫。</w:t>
      </w:r>
    </w:p>
    <w:p w:rsidR="002B682F" w:rsidRPr="00DA3BC7" w:rsidRDefault="00455E54" w:rsidP="00AE3920">
      <w:pPr>
        <w:spacing w:beforeLines="30"/>
        <w:ind w:leftChars="200" w:left="480"/>
        <w:jc w:val="both"/>
        <w:rPr>
          <w:rFonts w:eastAsia="SimSun"/>
          <w:b/>
          <w:sz w:val="20"/>
          <w:szCs w:val="20"/>
          <w:bdr w:val="single" w:sz="4" w:space="0" w:color="auto"/>
        </w:rPr>
      </w:pPr>
      <w:r w:rsidRPr="00455E54">
        <w:rPr>
          <w:rFonts w:ascii="Times New Roman" w:eastAsiaTheme="minorEastAsia" w:hAnsi="Times New Roman" w:hint="eastAsia"/>
          <w:b/>
          <w:color w:val="FF0000"/>
          <w:sz w:val="20"/>
          <w:szCs w:val="20"/>
          <w:highlight w:val="yellow"/>
          <w:bdr w:val="single" w:sz="4" w:space="0" w:color="auto"/>
        </w:rPr>
        <w:t>2</w:t>
      </w:r>
      <w:r w:rsidRPr="00455E54">
        <w:rPr>
          <w:rFonts w:ascii="Times New Roman" w:eastAsiaTheme="minorEastAsia" w:hAnsi="Times New Roman" w:hint="eastAsia"/>
          <w:b/>
          <w:color w:val="FF0000"/>
          <w:sz w:val="20"/>
          <w:szCs w:val="20"/>
          <w:highlight w:val="yellow"/>
          <w:bdr w:val="single" w:sz="4" w:space="0" w:color="auto"/>
        </w:rPr>
        <w:t>、</w:t>
      </w:r>
      <w:r w:rsidR="002B682F" w:rsidRPr="00DA3BC7">
        <w:rPr>
          <w:rFonts w:hint="eastAsia"/>
          <w:b/>
          <w:sz w:val="20"/>
          <w:szCs w:val="20"/>
          <w:bdr w:val="single" w:sz="4" w:space="0" w:color="auto"/>
        </w:rPr>
        <w:t>以「一見、異見」為例</w:t>
      </w:r>
      <w:r w:rsidR="002B682F" w:rsidRPr="00DA3BC7">
        <w:rPr>
          <w:rFonts w:ascii="Times Ext Roman" w:hAnsi="Times Ext Roman" w:cs="Times Ext Roman" w:hint="eastAsia"/>
          <w:sz w:val="20"/>
          <w:szCs w:val="20"/>
        </w:rPr>
        <w:t>（</w:t>
      </w:r>
      <w:r w:rsidR="002B682F" w:rsidRPr="00DA3BC7">
        <w:rPr>
          <w:rFonts w:ascii="Times New Roman" w:hAnsi="Times New Roman"/>
          <w:sz w:val="20"/>
          <w:szCs w:val="20"/>
        </w:rPr>
        <w:t>p</w:t>
      </w:r>
      <w:r w:rsidR="002B682F" w:rsidRPr="00DA3BC7">
        <w:rPr>
          <w:sz w:val="20"/>
          <w:szCs w:val="20"/>
        </w:rPr>
        <w:t>.</w:t>
      </w:r>
      <w:r w:rsidR="002B682F" w:rsidRPr="00DA3BC7">
        <w:rPr>
          <w:rFonts w:ascii="Times New Roman" w:eastAsia="SimSun" w:hAnsi="Times New Roman"/>
          <w:sz w:val="20"/>
          <w:szCs w:val="20"/>
        </w:rPr>
        <w:t>111</w:t>
      </w:r>
      <w:r w:rsidR="002B682F" w:rsidRPr="00DA3BC7">
        <w:rPr>
          <w:rFonts w:ascii="Times Ext Roman" w:hAnsi="Times Ext Roman" w:cs="Times Ext Roman" w:hint="eastAsia"/>
          <w:sz w:val="20"/>
          <w:szCs w:val="20"/>
        </w:rPr>
        <w:t>）</w:t>
      </w:r>
    </w:p>
    <w:p w:rsidR="002B682F" w:rsidRPr="00DA3BC7" w:rsidRDefault="002B682F" w:rsidP="00702351">
      <w:pPr>
        <w:ind w:leftChars="200" w:left="480"/>
        <w:jc w:val="both"/>
        <w:rPr>
          <w:rFonts w:eastAsia="SimSun"/>
        </w:rPr>
      </w:pPr>
      <w:r w:rsidRPr="00DA3BC7">
        <w:rPr>
          <w:rFonts w:hint="eastAsia"/>
        </w:rPr>
        <w:t>又如一異也是這樣，</w:t>
      </w:r>
    </w:p>
    <w:p w:rsidR="002B682F" w:rsidRPr="00DA3BC7" w:rsidRDefault="002B682F" w:rsidP="00AE3920">
      <w:pPr>
        <w:spacing w:beforeLines="20"/>
        <w:ind w:leftChars="200" w:left="480"/>
        <w:jc w:val="both"/>
        <w:rPr>
          <w:rFonts w:eastAsia="SimSun"/>
        </w:rPr>
      </w:pPr>
      <w:r w:rsidRPr="00DA3BC7">
        <w:rPr>
          <w:rFonts w:hint="eastAsia"/>
        </w:rPr>
        <w:t>執此法是自性有的，不依他而有的，是</w:t>
      </w:r>
      <w:r w:rsidRPr="00DA3BC7">
        <w:rPr>
          <w:rFonts w:hint="eastAsia"/>
          <w:b/>
        </w:rPr>
        <w:t>執一</w:t>
      </w:r>
      <w:r w:rsidRPr="00DA3BC7">
        <w:rPr>
          <w:rFonts w:hint="eastAsia"/>
        </w:rPr>
        <w:t>；</w:t>
      </w:r>
    </w:p>
    <w:p w:rsidR="002B682F" w:rsidRPr="00DA3BC7" w:rsidRDefault="002B682F" w:rsidP="00AE3920">
      <w:pPr>
        <w:spacing w:beforeLines="20"/>
        <w:ind w:leftChars="200" w:left="480"/>
        <w:jc w:val="both"/>
      </w:pPr>
      <w:r w:rsidRPr="00DA3BC7">
        <w:rPr>
          <w:rFonts w:hint="eastAsia"/>
        </w:rPr>
        <w:t>自法是自性有的，他法也是自性有的，自他間毫無關係，即是</w:t>
      </w:r>
      <w:r w:rsidRPr="00DA3BC7">
        <w:rPr>
          <w:rFonts w:hint="eastAsia"/>
          <w:b/>
        </w:rPr>
        <w:t>執異</w:t>
      </w:r>
      <w:r w:rsidRPr="00DA3BC7">
        <w:rPr>
          <w:rFonts w:hint="eastAsia"/>
        </w:rPr>
        <w:t>。</w:t>
      </w:r>
    </w:p>
    <w:p w:rsidR="002B682F" w:rsidRPr="00DA3BC7" w:rsidRDefault="002B682F" w:rsidP="00AE3920">
      <w:pPr>
        <w:spacing w:beforeLines="20"/>
        <w:ind w:leftChars="200" w:left="480"/>
        <w:jc w:val="both"/>
        <w:rPr>
          <w:rFonts w:eastAsia="SimSun"/>
        </w:rPr>
      </w:pPr>
      <w:r w:rsidRPr="00DA3BC7">
        <w:rPr>
          <w:rFonts w:hint="eastAsia"/>
        </w:rPr>
        <w:t>執一、執異，可以說是</w:t>
      </w:r>
      <w:r w:rsidRPr="00DA3BC7">
        <w:rPr>
          <w:rFonts w:hint="eastAsia"/>
          <w:b/>
        </w:rPr>
        <w:t>同一錯誤的兩個方式</w:t>
      </w:r>
      <w:r w:rsidRPr="00DA3BC7">
        <w:rPr>
          <w:rFonts w:hint="eastAsia"/>
        </w:rPr>
        <w:t>。</w:t>
      </w:r>
    </w:p>
    <w:p w:rsidR="002B682F" w:rsidRPr="00DA3BC7" w:rsidRDefault="002B682F" w:rsidP="00AE3920">
      <w:pPr>
        <w:spacing w:beforeLines="30"/>
        <w:ind w:leftChars="100" w:left="240"/>
        <w:jc w:val="both"/>
        <w:rPr>
          <w:rFonts w:eastAsia="SimSun"/>
          <w:b/>
          <w:sz w:val="20"/>
          <w:szCs w:val="20"/>
          <w:bdr w:val="single" w:sz="4" w:space="0" w:color="auto"/>
        </w:rPr>
      </w:pPr>
      <w:r w:rsidRPr="00455E54">
        <w:rPr>
          <w:rFonts w:hint="eastAsia"/>
          <w:b/>
          <w:color w:val="FF0000"/>
          <w:sz w:val="20"/>
          <w:szCs w:val="20"/>
          <w:highlight w:val="yellow"/>
          <w:bdr w:val="single" w:sz="4" w:space="0" w:color="auto"/>
        </w:rPr>
        <w:t>二</w:t>
      </w:r>
      <w:r w:rsidRPr="00455E54">
        <w:rPr>
          <w:rFonts w:ascii="新細明體" w:hAnsi="新細明體" w:hint="eastAsia"/>
          <w:b/>
          <w:color w:val="FF0000"/>
          <w:sz w:val="20"/>
          <w:szCs w:val="20"/>
          <w:highlight w:val="yellow"/>
          <w:bdr w:val="single" w:sz="4" w:space="0" w:color="auto"/>
        </w:rPr>
        <w:t>、</w:t>
      </w:r>
      <w:r w:rsidR="00455E54" w:rsidRPr="00455E54">
        <w:rPr>
          <w:rFonts w:hint="eastAsia"/>
          <w:b/>
          <w:color w:val="FF0000"/>
          <w:sz w:val="20"/>
          <w:szCs w:val="20"/>
          <w:highlight w:val="yellow"/>
          <w:bdr w:val="single" w:sz="4" w:space="0" w:color="auto"/>
        </w:rPr>
        <w:t>示能破之勝益</w:t>
      </w:r>
      <w:r w:rsidRPr="00DA3BC7">
        <w:rPr>
          <w:rFonts w:ascii="Times Ext Roman" w:hAnsi="Times Ext Roman" w:cs="Times Ext Roman" w:hint="eastAsia"/>
          <w:sz w:val="20"/>
          <w:szCs w:val="20"/>
        </w:rPr>
        <w:t>（</w:t>
      </w:r>
      <w:r w:rsidRPr="00DA3BC7">
        <w:rPr>
          <w:rFonts w:ascii="Times New Roman" w:hAnsi="Times New Roman"/>
          <w:sz w:val="20"/>
          <w:szCs w:val="20"/>
        </w:rPr>
        <w:t>p</w:t>
      </w:r>
      <w:r w:rsidRPr="00DA3BC7">
        <w:rPr>
          <w:sz w:val="20"/>
          <w:szCs w:val="20"/>
        </w:rPr>
        <w:t>.</w:t>
      </w:r>
      <w:r w:rsidRPr="00DA3BC7">
        <w:rPr>
          <w:rFonts w:ascii="Times New Roman" w:eastAsia="SimSun" w:hAnsi="Times New Roman"/>
          <w:sz w:val="20"/>
          <w:szCs w:val="20"/>
        </w:rPr>
        <w:t>111</w:t>
      </w:r>
      <w:r w:rsidRPr="00DA3BC7">
        <w:rPr>
          <w:rFonts w:ascii="Times Ext Roman" w:hAnsi="Times Ext Roman" w:cs="Times Ext Roman" w:hint="eastAsia"/>
          <w:sz w:val="20"/>
          <w:szCs w:val="20"/>
        </w:rPr>
        <w:t>）</w:t>
      </w:r>
    </w:p>
    <w:p w:rsidR="002B682F" w:rsidRPr="00DA3BC7" w:rsidRDefault="002B682F" w:rsidP="00702351">
      <w:pPr>
        <w:ind w:leftChars="100" w:left="240"/>
        <w:jc w:val="both"/>
      </w:pPr>
      <w:r w:rsidRPr="00DA3BC7">
        <w:rPr>
          <w:rFonts w:hint="eastAsia"/>
        </w:rPr>
        <w:t>所以《中論》每以同一理由，而破相對各別的二執，如說：「</w:t>
      </w:r>
      <w:r w:rsidRPr="00DA3BC7">
        <w:rPr>
          <w:rFonts w:ascii="標楷體" w:eastAsia="標楷體" w:hAnsi="標楷體" w:hint="eastAsia"/>
        </w:rPr>
        <w:t>是法</w:t>
      </w:r>
      <w:r w:rsidRPr="00455E54">
        <w:rPr>
          <w:rFonts w:ascii="新細明體" w:hAnsi="新細明體" w:hint="eastAsia"/>
        </w:rPr>
        <w:t>（即此法一）</w:t>
      </w:r>
      <w:r w:rsidRPr="00DA3BC7">
        <w:rPr>
          <w:rFonts w:ascii="標楷體" w:eastAsia="標楷體" w:hAnsi="標楷體" w:hint="eastAsia"/>
        </w:rPr>
        <w:t>則無異，異法亦無異；如壯不作老，老亦不作老</w:t>
      </w:r>
      <w:r w:rsidRPr="00DA3BC7">
        <w:rPr>
          <w:rFonts w:hint="eastAsia"/>
        </w:rPr>
        <w:t>。」</w:t>
      </w:r>
      <w:r w:rsidRPr="00DA3BC7">
        <w:rPr>
          <w:rStyle w:val="a6"/>
          <w:rFonts w:ascii="Times New Roman" w:hAnsi="Times New Roman"/>
        </w:rPr>
        <w:footnoteReference w:id="510"/>
      </w:r>
    </w:p>
    <w:p w:rsidR="00455E54" w:rsidRPr="00DA3BC7" w:rsidRDefault="002B682F" w:rsidP="00702351">
      <w:pPr>
        <w:ind w:leftChars="100" w:left="240"/>
        <w:jc w:val="both"/>
        <w:rPr>
          <w:rFonts w:eastAsia="SimSun"/>
        </w:rPr>
      </w:pPr>
      <w:r w:rsidRPr="00DA3BC7">
        <w:rPr>
          <w:rFonts w:hint="eastAsia"/>
        </w:rPr>
        <w:lastRenderedPageBreak/>
        <w:t>所以，知諸法不一，也就知諸法不異；知諸法不常，也就知諸法不斷；不生不滅，不來不去，無不由此而得通達</w:t>
      </w:r>
      <w:r w:rsidR="00455E54" w:rsidRPr="00455E54">
        <w:rPr>
          <w:rFonts w:hint="eastAsia"/>
          <w:color w:val="FF0000"/>
          <w:highlight w:val="yellow"/>
        </w:rPr>
        <w:t>，</w:t>
      </w:r>
      <w:r w:rsidR="00455E54" w:rsidRPr="00455E54">
        <w:rPr>
          <w:rFonts w:hint="eastAsia"/>
          <w:highlight w:val="yellow"/>
        </w:rPr>
        <w:t>以</w:t>
      </w:r>
      <w:r w:rsidR="00455E54" w:rsidRPr="00DA3BC7">
        <w:rPr>
          <w:rFonts w:hint="eastAsia"/>
        </w:rPr>
        <w:t>生滅、常斷、一異、來去等的戲論根源，皆源於自性執。</w:t>
      </w:r>
    </w:p>
    <w:p w:rsidR="002B682F" w:rsidRPr="00DA3BC7" w:rsidRDefault="002B682F" w:rsidP="00AE3920">
      <w:pPr>
        <w:spacing w:beforeLines="20"/>
        <w:ind w:leftChars="100" w:left="240"/>
        <w:jc w:val="both"/>
      </w:pPr>
      <w:r w:rsidRPr="00DA3BC7">
        <w:rPr>
          <w:rFonts w:hint="eastAsia"/>
        </w:rPr>
        <w:t>自性，即於實有性而顯為</w:t>
      </w:r>
      <w:r w:rsidRPr="00DA3BC7">
        <w:rPr>
          <w:rFonts w:hint="eastAsia"/>
          <w:b/>
        </w:rPr>
        <w:t>自有性、不變性、不待他性</w:t>
      </w:r>
      <w:r w:rsidRPr="00DA3BC7">
        <w:rPr>
          <w:rFonts w:hint="eastAsia"/>
        </w:rPr>
        <w:t>。</w:t>
      </w:r>
    </w:p>
    <w:p w:rsidR="00AA120F" w:rsidRPr="00DA3BC7" w:rsidRDefault="004B40BB" w:rsidP="00AE3920">
      <w:pPr>
        <w:spacing w:beforeLines="20"/>
        <w:ind w:leftChars="100" w:left="240"/>
        <w:jc w:val="both"/>
        <w:sectPr w:rsidR="00AA120F" w:rsidRPr="00DA3BC7" w:rsidSect="00A5460F">
          <w:headerReference w:type="default" r:id="rId46"/>
          <w:footerReference w:type="default" r:id="rId47"/>
          <w:footnotePr>
            <w:numRestart w:val="eachSect"/>
          </w:footnotePr>
          <w:pgSz w:w="10773" w:h="14742" w:code="155"/>
          <w:pgMar w:top="1418" w:right="1418" w:bottom="1418" w:left="1418" w:header="851" w:footer="992" w:gutter="0"/>
          <w:cols w:space="425"/>
          <w:docGrid w:type="lines" w:linePitch="360"/>
        </w:sectPr>
      </w:pPr>
      <w:r w:rsidRPr="00DA3BC7">
        <w:rPr>
          <w:rFonts w:hint="eastAsia"/>
        </w:rPr>
        <w:t>此自性不可得，則一切戲論都息。</w:t>
      </w:r>
    </w:p>
    <w:p w:rsidR="00AA120F" w:rsidRPr="008F5909" w:rsidRDefault="00AA120F" w:rsidP="008E2BBC">
      <w:pPr>
        <w:pStyle w:val="1"/>
      </w:pPr>
      <w:bookmarkStart w:id="100" w:name="_Toc405499775"/>
      <w:r w:rsidRPr="008F5909">
        <w:lastRenderedPageBreak/>
        <w:t>第七章、有、時、空、動</w:t>
      </w:r>
      <w:bookmarkEnd w:id="100"/>
    </w:p>
    <w:p w:rsidR="00AA120F" w:rsidRPr="008F5909" w:rsidRDefault="00AA120F" w:rsidP="008E2BBC">
      <w:pPr>
        <w:pStyle w:val="2"/>
      </w:pPr>
      <w:bookmarkStart w:id="101" w:name="_Toc405499776"/>
      <w:r w:rsidRPr="008F5909">
        <w:t>第一節、有</w:t>
      </w:r>
      <w:r w:rsidRPr="008F5909">
        <w:rPr>
          <w:rFonts w:ascii="標楷體" w:hAnsi="標楷體"/>
        </w:rPr>
        <w:t>──</w:t>
      </w:r>
      <w:r w:rsidRPr="008F5909">
        <w:t>物、體、法</w:t>
      </w:r>
      <w:bookmarkEnd w:id="101"/>
    </w:p>
    <w:p w:rsidR="00AA120F" w:rsidRPr="00DA3BC7" w:rsidRDefault="00AA120F" w:rsidP="008E2BBC">
      <w:pPr>
        <w:jc w:val="center"/>
        <w:rPr>
          <w:rFonts w:ascii="Times New Roman" w:hAnsi="Times New Roman"/>
          <w:bCs/>
        </w:rPr>
      </w:pPr>
      <w:r w:rsidRPr="008F5909">
        <w:rPr>
          <w:rFonts w:ascii="Times New Roman" w:hAnsi="Times New Roman"/>
        </w:rPr>
        <w:t>（</w:t>
      </w:r>
      <w:r w:rsidRPr="008F5909">
        <w:rPr>
          <w:rFonts w:ascii="Times New Roman" w:hAnsi="Times New Roman"/>
        </w:rPr>
        <w:t>pp.113-117</w:t>
      </w:r>
      <w:r w:rsidRPr="008F5909">
        <w:rPr>
          <w:rFonts w:ascii="Times New Roman" w:hAnsi="Times New Roman"/>
          <w:bCs/>
        </w:rPr>
        <w:t>）</w:t>
      </w:r>
    </w:p>
    <w:p w:rsidR="00AA120F" w:rsidRPr="00DA3BC7" w:rsidRDefault="00AA120F" w:rsidP="008E2BBC">
      <w:pPr>
        <w:pStyle w:val="Author"/>
      </w:pPr>
    </w:p>
    <w:p w:rsidR="00AA120F" w:rsidRPr="00DA3BC7" w:rsidRDefault="00AA120F" w:rsidP="00AE3920">
      <w:pPr>
        <w:spacing w:beforeLines="50"/>
        <w:jc w:val="both"/>
        <w:rPr>
          <w:rFonts w:ascii="Times New Roman" w:hAnsi="Times New Roman"/>
          <w:b/>
          <w:sz w:val="20"/>
          <w:szCs w:val="20"/>
        </w:rPr>
      </w:pPr>
      <w:r w:rsidRPr="00DA3BC7">
        <w:rPr>
          <w:rFonts w:hint="eastAsia"/>
          <w:b/>
          <w:sz w:val="20"/>
          <w:szCs w:val="20"/>
          <w:bdr w:val="single" w:sz="4" w:space="0" w:color="auto"/>
        </w:rPr>
        <w:t>壹</w:t>
      </w:r>
      <w:r w:rsidRPr="00DA3BC7">
        <w:rPr>
          <w:b/>
          <w:sz w:val="20"/>
          <w:szCs w:val="20"/>
          <w:bdr w:val="single" w:sz="4" w:space="0" w:color="auto"/>
        </w:rPr>
        <w:t>、</w:t>
      </w:r>
      <w:r w:rsidR="00B02A18">
        <w:rPr>
          <w:rFonts w:hint="eastAsia"/>
          <w:b/>
          <w:color w:val="FF0000"/>
          <w:sz w:val="20"/>
          <w:szCs w:val="20"/>
          <w:highlight w:val="yellow"/>
          <w:bdr w:val="single" w:sz="4" w:space="0" w:color="auto"/>
        </w:rPr>
        <w:t>承前啟後：</w:t>
      </w:r>
      <w:r w:rsidRPr="00B02A18">
        <w:rPr>
          <w:b/>
          <w:color w:val="FF0000"/>
          <w:sz w:val="20"/>
          <w:szCs w:val="20"/>
          <w:highlight w:val="yellow"/>
          <w:bdr w:val="single" w:sz="4" w:space="0" w:color="auto"/>
        </w:rPr>
        <w:t>「有」</w:t>
      </w:r>
      <w:r w:rsidR="00B02A18" w:rsidRPr="00B02A18">
        <w:rPr>
          <w:rFonts w:hint="eastAsia"/>
          <w:b/>
          <w:color w:val="FF0000"/>
          <w:sz w:val="20"/>
          <w:szCs w:val="20"/>
          <w:highlight w:val="yellow"/>
          <w:bdr w:val="single" w:sz="4" w:space="0" w:color="auto"/>
        </w:rPr>
        <w:t>、</w:t>
      </w:r>
      <w:r w:rsidRPr="00B02A18">
        <w:rPr>
          <w:b/>
          <w:color w:val="FF0000"/>
          <w:sz w:val="20"/>
          <w:szCs w:val="20"/>
          <w:highlight w:val="yellow"/>
          <w:bdr w:val="single" w:sz="4" w:space="0" w:color="auto"/>
        </w:rPr>
        <w:t>「無」</w:t>
      </w:r>
      <w:r w:rsidR="00B02A18" w:rsidRPr="00B02A18">
        <w:rPr>
          <w:rFonts w:hint="eastAsia"/>
          <w:b/>
          <w:color w:val="FF0000"/>
          <w:sz w:val="20"/>
          <w:szCs w:val="20"/>
          <w:highlight w:val="yellow"/>
          <w:bdr w:val="single" w:sz="4" w:space="0" w:color="auto"/>
        </w:rPr>
        <w:t>之辨</w:t>
      </w:r>
      <w:r w:rsidRPr="00DA3BC7">
        <w:rPr>
          <w:rFonts w:ascii="Times New Roman" w:hAnsi="Times New Roman"/>
          <w:sz w:val="20"/>
          <w:szCs w:val="20"/>
        </w:rPr>
        <w:t>（</w:t>
      </w:r>
      <w:r w:rsidRPr="00DA3BC7">
        <w:rPr>
          <w:rFonts w:ascii="Times New Roman" w:hAnsi="Times New Roman"/>
          <w:sz w:val="20"/>
          <w:szCs w:val="20"/>
        </w:rPr>
        <w:t>pp.113-114</w:t>
      </w:r>
      <w:r w:rsidRPr="00DA3BC7">
        <w:rPr>
          <w:rFonts w:ascii="Times New Roman" w:hAnsi="Times New Roman"/>
          <w:sz w:val="20"/>
          <w:szCs w:val="20"/>
        </w:rPr>
        <w:t>）</w:t>
      </w:r>
    </w:p>
    <w:p w:rsidR="00AA120F" w:rsidRPr="00DA3BC7" w:rsidRDefault="00AA120F" w:rsidP="008E2BBC">
      <w:pPr>
        <w:ind w:leftChars="50" w:left="120"/>
        <w:jc w:val="both"/>
        <w:rPr>
          <w:rFonts w:ascii="Times New Roman" w:hAnsi="Times New Roman"/>
          <w:sz w:val="20"/>
          <w:szCs w:val="20"/>
          <w:bdr w:val="single" w:sz="4" w:space="0" w:color="auto"/>
        </w:rPr>
      </w:pPr>
      <w:r w:rsidRPr="00DA3BC7">
        <w:rPr>
          <w:b/>
          <w:sz w:val="20"/>
          <w:szCs w:val="20"/>
          <w:bdr w:val="single" w:sz="4" w:space="0" w:color="auto"/>
        </w:rPr>
        <w:t>（壹）</w:t>
      </w:r>
      <w:r w:rsidR="00B02A18" w:rsidRPr="00B02A18">
        <w:rPr>
          <w:rFonts w:hint="eastAsia"/>
          <w:b/>
          <w:color w:val="FF0000"/>
          <w:sz w:val="20"/>
          <w:szCs w:val="20"/>
          <w:highlight w:val="yellow"/>
          <w:bdr w:val="single" w:sz="4" w:space="0" w:color="auto"/>
        </w:rPr>
        <w:t>第</w:t>
      </w:r>
      <w:r w:rsidRPr="00B02A18">
        <w:rPr>
          <w:rFonts w:hint="eastAsia"/>
          <w:b/>
          <w:color w:val="FF0000"/>
          <w:sz w:val="20"/>
          <w:szCs w:val="20"/>
          <w:highlight w:val="yellow"/>
          <w:bdr w:val="single" w:sz="4" w:space="0" w:color="auto"/>
        </w:rPr>
        <w:t>一</w:t>
      </w:r>
      <w:r w:rsidR="00B02A18" w:rsidRPr="00B02A18">
        <w:rPr>
          <w:rFonts w:hint="eastAsia"/>
          <w:b/>
          <w:color w:val="FF0000"/>
          <w:sz w:val="20"/>
          <w:szCs w:val="20"/>
          <w:highlight w:val="yellow"/>
          <w:bdr w:val="single" w:sz="4" w:space="0" w:color="auto"/>
        </w:rPr>
        <w:t>說</w:t>
      </w:r>
      <w:r w:rsidRPr="00DA3BC7">
        <w:rPr>
          <w:rFonts w:ascii="Times New Roman" w:hAnsi="Times New Roman"/>
          <w:sz w:val="20"/>
          <w:szCs w:val="20"/>
        </w:rPr>
        <w:t>（</w:t>
      </w:r>
      <w:r w:rsidRPr="00DA3BC7">
        <w:rPr>
          <w:rFonts w:ascii="Times New Roman" w:hAnsi="Times New Roman"/>
          <w:sz w:val="20"/>
          <w:szCs w:val="20"/>
        </w:rPr>
        <w:t>p.113</w:t>
      </w:r>
      <w:r w:rsidRPr="00DA3BC7">
        <w:rPr>
          <w:rFonts w:ascii="Times New Roman" w:hAnsi="Times New Roman"/>
          <w:sz w:val="20"/>
          <w:szCs w:val="20"/>
        </w:rPr>
        <w:t>）</w:t>
      </w:r>
    </w:p>
    <w:p w:rsidR="008F5909" w:rsidRDefault="00B02A18" w:rsidP="00AE3920">
      <w:pPr>
        <w:spacing w:afterLines="10"/>
        <w:ind w:leftChars="100" w:left="240"/>
        <w:jc w:val="both"/>
        <w:rPr>
          <w:rFonts w:ascii="Times New Roman" w:hAnsi="Times New Roman"/>
          <w:sz w:val="20"/>
          <w:szCs w:val="20"/>
        </w:rPr>
      </w:pPr>
      <w:r w:rsidRPr="00DA3BC7">
        <w:rPr>
          <w:rFonts w:ascii="Times New Roman" w:hint="eastAsia"/>
          <w:b/>
          <w:sz w:val="20"/>
          <w:szCs w:val="20"/>
          <w:bdr w:val="single" w:sz="4" w:space="0" w:color="auto"/>
        </w:rPr>
        <w:t>一、</w:t>
      </w:r>
      <w:r>
        <w:rPr>
          <w:rFonts w:ascii="Times New Roman" w:hint="eastAsia"/>
          <w:b/>
          <w:color w:val="FF0000"/>
          <w:sz w:val="20"/>
          <w:szCs w:val="20"/>
          <w:highlight w:val="yellow"/>
          <w:bdr w:val="single" w:sz="4" w:space="0" w:color="auto"/>
        </w:rPr>
        <w:t>前</w:t>
      </w:r>
      <w:r w:rsidR="00BF6A13">
        <w:rPr>
          <w:rFonts w:ascii="Times New Roman" w:hint="eastAsia"/>
          <w:b/>
          <w:color w:val="FF0000"/>
          <w:sz w:val="20"/>
          <w:szCs w:val="20"/>
          <w:highlight w:val="yellow"/>
          <w:bdr w:val="single" w:sz="4" w:space="0" w:color="auto"/>
        </w:rPr>
        <w:t>章</w:t>
      </w:r>
      <w:r>
        <w:rPr>
          <w:rFonts w:ascii="Times New Roman" w:hint="eastAsia"/>
          <w:b/>
          <w:color w:val="FF0000"/>
          <w:sz w:val="20"/>
          <w:szCs w:val="20"/>
          <w:highlight w:val="yellow"/>
          <w:bdr w:val="single" w:sz="4" w:space="0" w:color="auto"/>
        </w:rPr>
        <w:t>之論</w:t>
      </w:r>
      <w:r w:rsidRPr="00DA3BC7">
        <w:rPr>
          <w:rFonts w:ascii="Times New Roman" w:hAnsi="Times New Roman"/>
          <w:sz w:val="20"/>
          <w:szCs w:val="20"/>
        </w:rPr>
        <w:t>（</w:t>
      </w:r>
      <w:r w:rsidRPr="00DA3BC7">
        <w:rPr>
          <w:rFonts w:ascii="Times New Roman" w:hAnsi="Times New Roman"/>
          <w:sz w:val="20"/>
          <w:szCs w:val="20"/>
        </w:rPr>
        <w:t>p.113</w:t>
      </w:r>
      <w:r w:rsidRPr="00DA3BC7">
        <w:rPr>
          <w:rFonts w:ascii="Times New Roman" w:hAnsi="Times New Roman"/>
          <w:sz w:val="20"/>
          <w:szCs w:val="20"/>
        </w:rPr>
        <w:t>）</w:t>
      </w:r>
    </w:p>
    <w:p w:rsidR="00AA120F" w:rsidRPr="00DA3BC7" w:rsidRDefault="00AA120F" w:rsidP="00AE3920">
      <w:pPr>
        <w:spacing w:afterLines="10"/>
        <w:ind w:leftChars="100" w:left="240"/>
        <w:jc w:val="both"/>
        <w:rPr>
          <w:rFonts w:ascii="Times New Roman" w:hAnsi="Times New Roman"/>
        </w:rPr>
      </w:pPr>
      <w:r w:rsidRPr="00DA3BC7">
        <w:rPr>
          <w:rFonts w:ascii="Times New Roman"/>
        </w:rPr>
        <w:t>在</w:t>
      </w:r>
      <w:r w:rsidRPr="00DA3BC7">
        <w:rPr>
          <w:rFonts w:ascii="新細明體" w:hAnsi="新細明體" w:hint="eastAsia"/>
        </w:rPr>
        <w:t>〈</w:t>
      </w:r>
      <w:r w:rsidRPr="00DA3BC7">
        <w:rPr>
          <w:rFonts w:ascii="Times New Roman"/>
        </w:rPr>
        <w:t>中道</w:t>
      </w:r>
      <w:r w:rsidRPr="00DA3BC7">
        <w:rPr>
          <w:rFonts w:hint="eastAsia"/>
        </w:rPr>
        <w:t>之</w:t>
      </w:r>
      <w:r w:rsidRPr="00DA3BC7">
        <w:rPr>
          <w:rFonts w:ascii="Times New Roman"/>
        </w:rPr>
        <w:t>方法論</w:t>
      </w:r>
      <w:r w:rsidRPr="00DA3BC7">
        <w:rPr>
          <w:rFonts w:ascii="新細明體" w:hAnsi="新細明體" w:hint="eastAsia"/>
        </w:rPr>
        <w:t>〉</w:t>
      </w:r>
      <w:r w:rsidRPr="00DA3BC7">
        <w:rPr>
          <w:rStyle w:val="a6"/>
          <w:rFonts w:ascii="Times New Roman" w:hAnsi="Times New Roman"/>
        </w:rPr>
        <w:footnoteReference w:id="511"/>
      </w:r>
      <w:r w:rsidRPr="00DA3BC7">
        <w:rPr>
          <w:rFonts w:ascii="Times New Roman"/>
        </w:rPr>
        <w:t>章</w:t>
      </w:r>
      <w:r w:rsidRPr="00DA3BC7">
        <w:rPr>
          <w:rFonts w:ascii="Times New Roman" w:hint="eastAsia"/>
        </w:rPr>
        <w:t>裡</w:t>
      </w:r>
      <w:r w:rsidRPr="00DA3BC7">
        <w:rPr>
          <w:rFonts w:ascii="Times New Roman"/>
        </w:rPr>
        <w:t>，曾經談到：中觀者與一般</w:t>
      </w:r>
      <w:r w:rsidRPr="00DA3BC7">
        <w:rPr>
          <w:rFonts w:ascii="Times New Roman" w:hint="eastAsia"/>
        </w:rPr>
        <w:t>人</w:t>
      </w:r>
      <w:r w:rsidRPr="00DA3BC7">
        <w:rPr>
          <w:rFonts w:ascii="Times New Roman"/>
        </w:rPr>
        <w:t>，對於「有」的看法，有一根本的不同。</w:t>
      </w:r>
    </w:p>
    <w:p w:rsidR="00AA120F" w:rsidRPr="00DA3BC7" w:rsidRDefault="00AA120F" w:rsidP="00AE3920">
      <w:pPr>
        <w:spacing w:beforeLines="20"/>
        <w:ind w:leftChars="100" w:left="240"/>
        <w:jc w:val="both"/>
        <w:rPr>
          <w:rFonts w:ascii="Times New Roman" w:hAnsi="Times New Roman"/>
        </w:rPr>
      </w:pPr>
      <w:r w:rsidRPr="00DA3BC7">
        <w:rPr>
          <w:rFonts w:ascii="Times New Roman"/>
          <w:b/>
        </w:rPr>
        <w:t>一般人</w:t>
      </w:r>
      <w:r w:rsidRPr="00DA3BC7">
        <w:rPr>
          <w:rFonts w:ascii="Times New Roman"/>
        </w:rPr>
        <w:t>以為</w:t>
      </w:r>
      <w:r w:rsidRPr="00DA3BC7">
        <w:rPr>
          <w:rFonts w:ascii="Times New Roman"/>
          <w:b/>
        </w:rPr>
        <w:t>有</w:t>
      </w:r>
      <w:r w:rsidRPr="00DA3BC7">
        <w:rPr>
          <w:rFonts w:ascii="Times New Roman"/>
        </w:rPr>
        <w:t>，就是</w:t>
      </w:r>
      <w:r w:rsidRPr="00DA3BC7">
        <w:rPr>
          <w:rFonts w:ascii="Times New Roman"/>
          <w:b/>
        </w:rPr>
        <w:t>自性有</w:t>
      </w:r>
      <w:r w:rsidRPr="00DA3BC7">
        <w:rPr>
          <w:rFonts w:ascii="Times New Roman"/>
        </w:rPr>
        <w:t>，或自體有，這由眾生的無始自性妄執而來。</w:t>
      </w:r>
    </w:p>
    <w:p w:rsidR="00AA120F" w:rsidRPr="00DA3BC7" w:rsidRDefault="00AA120F" w:rsidP="00AE3920">
      <w:pPr>
        <w:spacing w:beforeLines="20"/>
        <w:ind w:leftChars="100" w:left="240"/>
        <w:jc w:val="both"/>
        <w:rPr>
          <w:rFonts w:ascii="Times New Roman" w:hAnsi="Times New Roman"/>
        </w:rPr>
      </w:pPr>
      <w:r w:rsidRPr="00DA3BC7">
        <w:rPr>
          <w:rFonts w:ascii="Times New Roman"/>
          <w:b/>
        </w:rPr>
        <w:t>中觀者</w:t>
      </w:r>
      <w:r w:rsidRPr="00DA3BC7">
        <w:rPr>
          <w:rFonts w:ascii="Times New Roman"/>
        </w:rPr>
        <w:t>以為</w:t>
      </w:r>
      <w:r w:rsidRPr="00DA3BC7">
        <w:rPr>
          <w:rFonts w:ascii="Times New Roman"/>
          <w:b/>
        </w:rPr>
        <w:t>有</w:t>
      </w:r>
      <w:r w:rsidRPr="00DA3BC7">
        <w:rPr>
          <w:rFonts w:ascii="Times New Roman"/>
        </w:rPr>
        <w:t>，</w:t>
      </w:r>
      <w:r w:rsidRPr="008F5909">
        <w:rPr>
          <w:rFonts w:ascii="Times New Roman"/>
          <w:b/>
        </w:rPr>
        <w:t>決</w:t>
      </w:r>
      <w:r w:rsidRPr="00DA3BC7">
        <w:rPr>
          <w:rFonts w:ascii="Times New Roman"/>
          <w:b/>
        </w:rPr>
        <w:t>不是自性有</w:t>
      </w:r>
      <w:r w:rsidRPr="00DA3BC7">
        <w:rPr>
          <w:rFonts w:ascii="Times New Roman"/>
        </w:rPr>
        <w:t>；同時，無自性也不是都無，無自性是不礙其為有的。</w:t>
      </w:r>
    </w:p>
    <w:p w:rsidR="00AA120F" w:rsidRPr="00DA3BC7" w:rsidRDefault="00B02A18" w:rsidP="00AE3920">
      <w:pPr>
        <w:spacing w:afterLines="10"/>
        <w:ind w:leftChars="100" w:left="240"/>
        <w:jc w:val="both"/>
        <w:rPr>
          <w:rFonts w:ascii="Times New Roman"/>
          <w:b/>
          <w:sz w:val="20"/>
          <w:szCs w:val="20"/>
          <w:bdr w:val="single" w:sz="4" w:space="0" w:color="auto"/>
        </w:rPr>
      </w:pPr>
      <w:r w:rsidRPr="00B02A18">
        <w:rPr>
          <w:rFonts w:hint="eastAsia"/>
          <w:b/>
          <w:color w:val="FF0000"/>
          <w:sz w:val="20"/>
          <w:szCs w:val="20"/>
          <w:highlight w:val="yellow"/>
          <w:bdr w:val="single" w:sz="4" w:space="0" w:color="auto"/>
        </w:rPr>
        <w:t>二</w:t>
      </w:r>
      <w:r w:rsidR="00AA120F" w:rsidRPr="00B02A18">
        <w:rPr>
          <w:rFonts w:ascii="Times New Roman" w:hint="eastAsia"/>
          <w:b/>
          <w:color w:val="FF0000"/>
          <w:sz w:val="20"/>
          <w:szCs w:val="20"/>
          <w:highlight w:val="yellow"/>
          <w:bdr w:val="single" w:sz="4" w:space="0" w:color="auto"/>
        </w:rPr>
        <w:t>、月稱之說</w:t>
      </w:r>
      <w:r w:rsidR="00AA120F" w:rsidRPr="00DA3BC7">
        <w:rPr>
          <w:rFonts w:ascii="Times New Roman" w:hAnsi="Times New Roman"/>
          <w:sz w:val="20"/>
          <w:szCs w:val="20"/>
        </w:rPr>
        <w:t>（</w:t>
      </w:r>
      <w:r w:rsidR="00AA120F" w:rsidRPr="00DA3BC7">
        <w:rPr>
          <w:rFonts w:ascii="Times New Roman" w:hAnsi="Times New Roman"/>
          <w:sz w:val="20"/>
          <w:szCs w:val="20"/>
        </w:rPr>
        <w:t>p.113</w:t>
      </w:r>
      <w:r w:rsidR="00AA120F" w:rsidRPr="00DA3BC7">
        <w:rPr>
          <w:rFonts w:ascii="Times New Roman" w:hAnsi="Times New Roman"/>
          <w:sz w:val="20"/>
          <w:szCs w:val="20"/>
        </w:rPr>
        <w:t>）</w:t>
      </w:r>
    </w:p>
    <w:p w:rsidR="00AA120F" w:rsidRPr="00DA3BC7" w:rsidRDefault="00AA120F" w:rsidP="008F5909">
      <w:pPr>
        <w:ind w:leftChars="100" w:left="240"/>
        <w:jc w:val="both"/>
        <w:rPr>
          <w:rFonts w:ascii="Times New Roman"/>
        </w:rPr>
      </w:pPr>
      <w:r w:rsidRPr="00DA3BC7">
        <w:rPr>
          <w:rFonts w:ascii="Times New Roman"/>
        </w:rPr>
        <w:t>此理，月稱論師也曾如此說：即辨明「有與有性，無與無性」的差別。</w:t>
      </w:r>
      <w:r w:rsidRPr="00DA3BC7">
        <w:rPr>
          <w:rStyle w:val="a6"/>
          <w:rFonts w:ascii="Times New Roman" w:hAnsi="Times New Roman"/>
        </w:rPr>
        <w:footnoteReference w:id="512"/>
      </w:r>
    </w:p>
    <w:p w:rsidR="00AA120F" w:rsidRPr="00DA3BC7" w:rsidRDefault="00AA120F" w:rsidP="00AE3920">
      <w:pPr>
        <w:spacing w:beforeLines="20"/>
        <w:ind w:leftChars="100" w:left="240"/>
        <w:jc w:val="both"/>
        <w:rPr>
          <w:rFonts w:ascii="Times New Roman"/>
        </w:rPr>
      </w:pPr>
      <w:r w:rsidRPr="00DA3BC7">
        <w:rPr>
          <w:rFonts w:ascii="Times New Roman"/>
        </w:rPr>
        <w:lastRenderedPageBreak/>
        <w:t>存在的事理，可以說為</w:t>
      </w:r>
      <w:r w:rsidRPr="00DA3BC7">
        <w:rPr>
          <w:rFonts w:ascii="Times New Roman"/>
          <w:b/>
        </w:rPr>
        <w:t>有</w:t>
      </w:r>
      <w:r w:rsidRPr="00DA3BC7">
        <w:rPr>
          <w:rFonts w:ascii="Times New Roman"/>
        </w:rPr>
        <w:t>，然與</w:t>
      </w:r>
      <w:r w:rsidRPr="00DA3BC7">
        <w:rPr>
          <w:rFonts w:ascii="Times New Roman"/>
          <w:b/>
        </w:rPr>
        <w:t>有自性</w:t>
      </w:r>
      <w:r w:rsidRPr="00DA3BC7">
        <w:rPr>
          <w:rFonts w:ascii="Times New Roman"/>
        </w:rPr>
        <w:t>不同；</w:t>
      </w:r>
    </w:p>
    <w:p w:rsidR="00AA120F" w:rsidRPr="00DA3BC7" w:rsidRDefault="00AA120F" w:rsidP="00AE3920">
      <w:pPr>
        <w:spacing w:beforeLines="20"/>
        <w:ind w:leftChars="100" w:left="240"/>
        <w:jc w:val="both"/>
        <w:rPr>
          <w:rFonts w:ascii="Times New Roman"/>
        </w:rPr>
      </w:pPr>
      <w:r w:rsidRPr="00DA3BC7">
        <w:rPr>
          <w:rFonts w:ascii="Times New Roman"/>
          <w:b/>
        </w:rPr>
        <w:t>無性</w:t>
      </w:r>
      <w:r w:rsidRPr="00DA3BC7">
        <w:rPr>
          <w:rFonts w:ascii="Times New Roman"/>
        </w:rPr>
        <w:t>，是可以有的，與一切法</w:t>
      </w:r>
      <w:r w:rsidRPr="00DA3BC7">
        <w:rPr>
          <w:rFonts w:ascii="Times New Roman"/>
          <w:b/>
        </w:rPr>
        <w:t>都無</w:t>
      </w:r>
      <w:r w:rsidRPr="00DA3BC7">
        <w:rPr>
          <w:rFonts w:ascii="Times New Roman"/>
        </w:rPr>
        <w:t>的無不同。</w:t>
      </w:r>
    </w:p>
    <w:p w:rsidR="00AA120F" w:rsidRPr="00DA3BC7" w:rsidRDefault="00AA120F" w:rsidP="00AE3920">
      <w:pPr>
        <w:spacing w:beforeLines="20"/>
        <w:ind w:leftChars="100" w:left="240"/>
        <w:jc w:val="both"/>
        <w:rPr>
          <w:rFonts w:ascii="Times New Roman" w:hAnsi="Times New Roman"/>
        </w:rPr>
      </w:pPr>
      <w:r w:rsidRPr="00DA3BC7">
        <w:rPr>
          <w:rFonts w:ascii="Times New Roman"/>
          <w:b/>
        </w:rPr>
        <w:t>有</w:t>
      </w:r>
      <w:r w:rsidRPr="00DA3BC7">
        <w:rPr>
          <w:rFonts w:ascii="Times New Roman"/>
        </w:rPr>
        <w:t>與</w:t>
      </w:r>
      <w:r w:rsidRPr="00DA3BC7">
        <w:rPr>
          <w:rFonts w:ascii="Times New Roman"/>
          <w:b/>
        </w:rPr>
        <w:t>有性</w:t>
      </w:r>
      <w:r w:rsidRPr="00DA3BC7">
        <w:rPr>
          <w:rFonts w:ascii="Times New Roman"/>
        </w:rPr>
        <w:t>，</w:t>
      </w:r>
      <w:r w:rsidRPr="00DA3BC7">
        <w:rPr>
          <w:rFonts w:ascii="Times New Roman"/>
          <w:b/>
        </w:rPr>
        <w:t>無</w:t>
      </w:r>
      <w:r w:rsidRPr="00DA3BC7">
        <w:rPr>
          <w:rFonts w:ascii="Times New Roman"/>
        </w:rPr>
        <w:t>與</w:t>
      </w:r>
      <w:r w:rsidRPr="00DA3BC7">
        <w:rPr>
          <w:rFonts w:ascii="Times New Roman"/>
          <w:b/>
        </w:rPr>
        <w:t>無性</w:t>
      </w:r>
      <w:r w:rsidRPr="00DA3BC7">
        <w:rPr>
          <w:rFonts w:ascii="Times New Roman"/>
        </w:rPr>
        <w:t>，初學中觀者應該辨別。</w:t>
      </w:r>
    </w:p>
    <w:p w:rsidR="008F5909" w:rsidRDefault="00B02A18" w:rsidP="00AE3920">
      <w:pPr>
        <w:spacing w:beforeLines="30"/>
        <w:ind w:leftChars="50" w:left="120"/>
        <w:jc w:val="both"/>
        <w:rPr>
          <w:rFonts w:ascii="Times New Roman" w:hAnsi="Times New Roman"/>
          <w:sz w:val="20"/>
          <w:szCs w:val="20"/>
        </w:rPr>
      </w:pPr>
      <w:r w:rsidRPr="00B02A18">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貳</w:t>
      </w:r>
      <w:r w:rsidRPr="00B02A18">
        <w:rPr>
          <w:rFonts w:ascii="Times New Roman" w:hAnsi="Times New Roman" w:hint="eastAsia"/>
          <w:b/>
          <w:color w:val="FF0000"/>
          <w:sz w:val="20"/>
          <w:szCs w:val="20"/>
          <w:highlight w:val="yellow"/>
          <w:bdr w:val="single" w:sz="4" w:space="0" w:color="auto"/>
        </w:rPr>
        <w:t>）</w:t>
      </w:r>
      <w:r w:rsidRPr="00B02A18">
        <w:rPr>
          <w:rFonts w:hint="eastAsia"/>
          <w:b/>
          <w:color w:val="FF0000"/>
          <w:sz w:val="20"/>
          <w:szCs w:val="20"/>
          <w:highlight w:val="yellow"/>
          <w:bdr w:val="single" w:sz="4" w:space="0" w:color="auto"/>
        </w:rPr>
        <w:t>第二說：印順法師之辨</w:t>
      </w:r>
      <w:r w:rsidR="00AA120F" w:rsidRPr="00DA3BC7">
        <w:rPr>
          <w:rFonts w:ascii="Times New Roman" w:hAnsi="Times New Roman"/>
          <w:sz w:val="20"/>
          <w:szCs w:val="20"/>
        </w:rPr>
        <w:t>（</w:t>
      </w:r>
      <w:r w:rsidR="00AA120F" w:rsidRPr="00DA3BC7">
        <w:rPr>
          <w:rFonts w:ascii="Times New Roman" w:hAnsi="Times New Roman"/>
          <w:sz w:val="20"/>
          <w:szCs w:val="20"/>
        </w:rPr>
        <w:t>pp.113-114</w:t>
      </w:r>
      <w:r w:rsidR="00AA120F" w:rsidRPr="00DA3BC7">
        <w:rPr>
          <w:rFonts w:ascii="Times New Roman" w:hAnsi="Times New Roman"/>
          <w:sz w:val="20"/>
          <w:szCs w:val="20"/>
        </w:rPr>
        <w:t>）</w:t>
      </w:r>
    </w:p>
    <w:p w:rsidR="00AA120F" w:rsidRPr="00DA3BC7" w:rsidRDefault="00AA120F" w:rsidP="008F5909">
      <w:pPr>
        <w:ind w:leftChars="50" w:left="120"/>
        <w:jc w:val="both"/>
        <w:rPr>
          <w:rFonts w:ascii="Times New Roman" w:hAnsi="Times New Roman"/>
        </w:rPr>
      </w:pPr>
      <w:r w:rsidRPr="00DA3BC7">
        <w:rPr>
          <w:rFonts w:ascii="Times New Roman"/>
        </w:rPr>
        <w:t>其實，教典中不一定這樣劃分的。</w:t>
      </w:r>
    </w:p>
    <w:p w:rsidR="00AA120F" w:rsidRPr="00DA3BC7" w:rsidRDefault="00AA120F" w:rsidP="00AE3920">
      <w:pPr>
        <w:spacing w:beforeLines="20"/>
        <w:ind w:leftChars="50" w:left="120"/>
        <w:jc w:val="both"/>
        <w:rPr>
          <w:rFonts w:ascii="Times New Roman" w:hAnsi="Times New Roman"/>
        </w:rPr>
      </w:pPr>
      <w:r w:rsidRPr="00DA3BC7">
        <w:rPr>
          <w:rFonts w:ascii="Times New Roman"/>
        </w:rPr>
        <w:t>依</w:t>
      </w:r>
      <w:r w:rsidRPr="00DA3BC7">
        <w:rPr>
          <w:rFonts w:ascii="Times New Roman"/>
          <w:b/>
        </w:rPr>
        <w:t>中觀者</w:t>
      </w:r>
      <w:r w:rsidRPr="00DA3BC7">
        <w:rPr>
          <w:rFonts w:ascii="Times New Roman"/>
        </w:rPr>
        <w:t>說：</w:t>
      </w:r>
      <w:r w:rsidRPr="00DA3BC7">
        <w:rPr>
          <w:rFonts w:ascii="Times New Roman"/>
          <w:b/>
        </w:rPr>
        <w:t>有</w:t>
      </w:r>
      <w:r w:rsidRPr="00DA3BC7">
        <w:rPr>
          <w:rFonts w:ascii="Times New Roman"/>
        </w:rPr>
        <w:t>是</w:t>
      </w:r>
      <w:r w:rsidRPr="00DA3BC7">
        <w:rPr>
          <w:rFonts w:ascii="Times New Roman"/>
          <w:b/>
        </w:rPr>
        <w:t>無自性的有</w:t>
      </w:r>
      <w:r w:rsidRPr="00DA3BC7">
        <w:rPr>
          <w:rFonts w:ascii="Times New Roman"/>
        </w:rPr>
        <w:t>，自性即究極自性不可得。</w:t>
      </w:r>
    </w:p>
    <w:p w:rsidR="00AA120F" w:rsidRPr="00DA3BC7" w:rsidRDefault="00AA120F" w:rsidP="00AE3920">
      <w:pPr>
        <w:spacing w:beforeLines="20"/>
        <w:ind w:leftChars="50" w:left="120"/>
        <w:jc w:val="both"/>
        <w:rPr>
          <w:rFonts w:ascii="Times New Roman" w:hAnsi="Times New Roman"/>
        </w:rPr>
      </w:pPr>
      <w:r w:rsidRPr="00DA3BC7">
        <w:rPr>
          <w:rFonts w:ascii="Times New Roman"/>
        </w:rPr>
        <w:t>而</w:t>
      </w:r>
      <w:r w:rsidRPr="00DA3BC7">
        <w:rPr>
          <w:rFonts w:ascii="Times New Roman"/>
          <w:b/>
        </w:rPr>
        <w:t>一般人</w:t>
      </w:r>
      <w:r w:rsidRPr="00DA3BC7">
        <w:rPr>
          <w:rFonts w:ascii="Times New Roman"/>
        </w:rPr>
        <w:t>則以為</w:t>
      </w:r>
      <w:r w:rsidRPr="00DA3BC7">
        <w:rPr>
          <w:rFonts w:ascii="Times New Roman"/>
          <w:b/>
        </w:rPr>
        <w:t>有</w:t>
      </w:r>
      <w:r w:rsidRPr="00DA3BC7">
        <w:rPr>
          <w:rFonts w:ascii="Times New Roman"/>
        </w:rPr>
        <w:t>是</w:t>
      </w:r>
      <w:r w:rsidRPr="00DA3BC7">
        <w:rPr>
          <w:rFonts w:ascii="Times New Roman"/>
          <w:b/>
        </w:rPr>
        <w:t>必有自性</w:t>
      </w:r>
      <w:r w:rsidRPr="00DA3BC7">
        <w:rPr>
          <w:rFonts w:ascii="Times New Roman"/>
        </w:rPr>
        <w:t>的，自性即是實有可得的。</w:t>
      </w:r>
    </w:p>
    <w:p w:rsidR="00AA120F" w:rsidRPr="00DA3BC7" w:rsidRDefault="00AA120F" w:rsidP="00AE3920">
      <w:pPr>
        <w:spacing w:beforeLines="10"/>
        <w:ind w:leftChars="50" w:left="120"/>
        <w:jc w:val="both"/>
        <w:rPr>
          <w:rFonts w:ascii="Times New Roman" w:hAnsi="Times New Roman"/>
        </w:rPr>
      </w:pPr>
      <w:r w:rsidRPr="00DA3BC7">
        <w:rPr>
          <w:rFonts w:ascii="Times New Roman"/>
          <w:b/>
        </w:rPr>
        <w:t>中觀者</w:t>
      </w:r>
      <w:r w:rsidRPr="00DA3BC7">
        <w:rPr>
          <w:rFonts w:ascii="Times New Roman"/>
        </w:rPr>
        <w:t>說無，是</w:t>
      </w:r>
      <w:r w:rsidRPr="00DA3BC7">
        <w:rPr>
          <w:rFonts w:ascii="Times New Roman"/>
          <w:b/>
        </w:rPr>
        <w:t>異滅的無</w:t>
      </w:r>
      <w:r w:rsidRPr="00DA3BC7">
        <w:rPr>
          <w:rFonts w:ascii="Times New Roman"/>
        </w:rPr>
        <w:t>；</w:t>
      </w:r>
      <w:r w:rsidRPr="00DA3BC7">
        <w:rPr>
          <w:rFonts w:ascii="Times New Roman"/>
          <w:b/>
        </w:rPr>
        <w:t>無性</w:t>
      </w:r>
      <w:r w:rsidRPr="00DA3BC7">
        <w:rPr>
          <w:rFonts w:ascii="Times New Roman"/>
        </w:rPr>
        <w:t>即</w:t>
      </w:r>
      <w:r w:rsidRPr="00DA3BC7">
        <w:rPr>
          <w:rFonts w:ascii="Times New Roman"/>
          <w:b/>
        </w:rPr>
        <w:t>自性無</w:t>
      </w:r>
      <w:r w:rsidRPr="00DA3BC7">
        <w:rPr>
          <w:rFonts w:ascii="Times New Roman"/>
        </w:rPr>
        <w:t>。</w:t>
      </w:r>
    </w:p>
    <w:p w:rsidR="00AA120F" w:rsidRPr="00DA3BC7" w:rsidRDefault="00AA120F" w:rsidP="00AE3920">
      <w:pPr>
        <w:spacing w:beforeLines="20"/>
        <w:ind w:leftChars="50" w:left="120"/>
        <w:jc w:val="both"/>
        <w:rPr>
          <w:rFonts w:ascii="Times New Roman" w:hAnsi="Times New Roman"/>
        </w:rPr>
      </w:pPr>
      <w:r w:rsidRPr="00DA3BC7">
        <w:rPr>
          <w:rFonts w:ascii="Times New Roman"/>
        </w:rPr>
        <w:t>而</w:t>
      </w:r>
      <w:r w:rsidRPr="00DA3BC7">
        <w:rPr>
          <w:rFonts w:ascii="Times New Roman"/>
          <w:b/>
        </w:rPr>
        <w:t>一般人</w:t>
      </w:r>
      <w:r w:rsidRPr="00DA3BC7">
        <w:rPr>
          <w:rFonts w:ascii="Times New Roman"/>
        </w:rPr>
        <w:t>以為</w:t>
      </w:r>
      <w:r w:rsidRPr="00DA3BC7">
        <w:rPr>
          <w:rFonts w:ascii="Times New Roman"/>
          <w:b/>
        </w:rPr>
        <w:t>無性</w:t>
      </w:r>
      <w:r w:rsidRPr="00DA3BC7">
        <w:rPr>
          <w:rFonts w:ascii="Times New Roman"/>
        </w:rPr>
        <w:t>即是</w:t>
      </w:r>
      <w:r w:rsidRPr="00DA3BC7">
        <w:rPr>
          <w:rFonts w:ascii="Times New Roman"/>
          <w:b/>
        </w:rPr>
        <w:t>無</w:t>
      </w:r>
      <w:r w:rsidRPr="00DA3BC7">
        <w:rPr>
          <w:rFonts w:ascii="Times New Roman"/>
        </w:rPr>
        <w:t>，以為即是</w:t>
      </w:r>
      <w:r w:rsidR="008F5909">
        <w:rPr>
          <w:rFonts w:ascii="Times New Roman" w:hint="eastAsia"/>
          <w:b/>
        </w:rPr>
        <w:t>什</w:t>
      </w:r>
      <w:r w:rsidRPr="00DA3BC7">
        <w:rPr>
          <w:rFonts w:ascii="Times New Roman"/>
          <w:b/>
        </w:rPr>
        <w:t>麼都沒有</w:t>
      </w:r>
      <w:r w:rsidRPr="00DA3BC7">
        <w:rPr>
          <w:rFonts w:ascii="Times New Roman"/>
        </w:rPr>
        <w:t>。</w:t>
      </w:r>
    </w:p>
    <w:p w:rsidR="00AA120F" w:rsidRPr="00DA3BC7" w:rsidRDefault="00AA120F" w:rsidP="00AE3920">
      <w:pPr>
        <w:spacing w:beforeLines="30"/>
        <w:ind w:leftChars="50" w:left="120"/>
        <w:jc w:val="both"/>
        <w:rPr>
          <w:rFonts w:ascii="Times New Roman" w:hAnsi="Times New Roman"/>
          <w:sz w:val="20"/>
          <w:szCs w:val="20"/>
        </w:rPr>
      </w:pPr>
      <w:r w:rsidRPr="00B02A18">
        <w:rPr>
          <w:rFonts w:ascii="Times New Roman" w:hAnsi="Times New Roman" w:hint="eastAsia"/>
          <w:b/>
          <w:color w:val="FF0000"/>
          <w:sz w:val="20"/>
          <w:szCs w:val="20"/>
          <w:highlight w:val="yellow"/>
          <w:bdr w:val="single" w:sz="4" w:space="0" w:color="auto"/>
        </w:rPr>
        <w:t>（</w:t>
      </w:r>
      <w:r w:rsidR="00B02A18" w:rsidRPr="00B02A18">
        <w:rPr>
          <w:rFonts w:ascii="Times New Roman" w:hAnsi="Times New Roman" w:hint="eastAsia"/>
          <w:b/>
          <w:color w:val="FF0000"/>
          <w:sz w:val="20"/>
          <w:szCs w:val="20"/>
          <w:highlight w:val="yellow"/>
          <w:bdr w:val="single" w:sz="4" w:space="0" w:color="auto"/>
        </w:rPr>
        <w:t>參</w:t>
      </w:r>
      <w:r w:rsidRPr="00B02A18">
        <w:rPr>
          <w:rFonts w:ascii="Times New Roman" w:hAnsi="Times New Roman" w:hint="eastAsia"/>
          <w:b/>
          <w:color w:val="FF0000"/>
          <w:sz w:val="20"/>
          <w:szCs w:val="20"/>
          <w:highlight w:val="yellow"/>
          <w:bdr w:val="single" w:sz="4" w:space="0" w:color="auto"/>
        </w:rPr>
        <w:t>）</w:t>
      </w:r>
      <w:r w:rsidRPr="00DA3BC7">
        <w:rPr>
          <w:rFonts w:ascii="Times New Roman" w:hAnsi="Times New Roman" w:hint="eastAsia"/>
          <w:b/>
          <w:sz w:val="20"/>
          <w:szCs w:val="20"/>
          <w:bdr w:val="single" w:sz="4" w:space="0" w:color="auto"/>
        </w:rPr>
        <w:t>小結</w:t>
      </w:r>
      <w:r w:rsidRPr="00DA3BC7">
        <w:rPr>
          <w:rFonts w:ascii="Times New Roman" w:hAnsi="Times New Roman"/>
          <w:sz w:val="20"/>
          <w:szCs w:val="20"/>
        </w:rPr>
        <w:t>（</w:t>
      </w:r>
      <w:r w:rsidRPr="00DA3BC7">
        <w:rPr>
          <w:rFonts w:ascii="Times New Roman" w:hAnsi="Times New Roman"/>
          <w:sz w:val="20"/>
          <w:szCs w:val="20"/>
        </w:rPr>
        <w:t>p.114</w:t>
      </w:r>
      <w:r w:rsidRPr="00DA3BC7">
        <w:rPr>
          <w:rFonts w:ascii="Times New Roman" w:hAnsi="Times New Roman"/>
          <w:sz w:val="20"/>
          <w:szCs w:val="20"/>
        </w:rPr>
        <w:t>）</w:t>
      </w:r>
    </w:p>
    <w:p w:rsidR="00AA120F" w:rsidRPr="00DA3BC7" w:rsidRDefault="00AA120F" w:rsidP="008F5909">
      <w:pPr>
        <w:ind w:leftChars="50" w:left="120"/>
        <w:jc w:val="both"/>
        <w:rPr>
          <w:rFonts w:ascii="Times New Roman" w:hAnsi="Times New Roman"/>
        </w:rPr>
      </w:pPr>
      <w:r w:rsidRPr="00DA3BC7">
        <w:rPr>
          <w:rFonts w:ascii="Times New Roman"/>
        </w:rPr>
        <w:t>外人與中觀者，名字同而意解不同；月稱不過為不了解中觀者，方便的分別有與有性，無與無性的界說</w:t>
      </w:r>
      <w:r w:rsidRPr="00DA3BC7">
        <w:rPr>
          <w:rStyle w:val="a6"/>
          <w:rFonts w:ascii="Times New Roman" w:hAnsi="Times New Roman"/>
        </w:rPr>
        <w:footnoteReference w:id="513"/>
      </w:r>
      <w:r w:rsidRPr="00DA3BC7">
        <w:rPr>
          <w:rFonts w:ascii="Times New Roman"/>
        </w:rPr>
        <w:t>而已。</w:t>
      </w:r>
    </w:p>
    <w:p w:rsidR="00AA120F" w:rsidRPr="00DA3BC7" w:rsidRDefault="00AA120F" w:rsidP="00AE3920">
      <w:pPr>
        <w:spacing w:beforeLines="30"/>
        <w:jc w:val="both"/>
        <w:rPr>
          <w:rFonts w:hAnsi="Times New Roman"/>
          <w:b/>
          <w:sz w:val="20"/>
          <w:szCs w:val="20"/>
          <w:bdr w:val="single" w:sz="4" w:space="0" w:color="auto"/>
        </w:rPr>
      </w:pPr>
      <w:r w:rsidRPr="00DA3BC7">
        <w:rPr>
          <w:rFonts w:hint="eastAsia"/>
          <w:b/>
          <w:sz w:val="20"/>
          <w:szCs w:val="20"/>
          <w:bdr w:val="single" w:sz="4" w:space="0" w:color="auto"/>
        </w:rPr>
        <w:t>貳</w:t>
      </w:r>
      <w:r w:rsidRPr="00DA3BC7">
        <w:rPr>
          <w:b/>
          <w:sz w:val="20"/>
          <w:szCs w:val="20"/>
          <w:bdr w:val="single" w:sz="4" w:space="0" w:color="auto"/>
        </w:rPr>
        <w:t>、</w:t>
      </w:r>
      <w:r w:rsidR="00B02A18">
        <w:rPr>
          <w:rFonts w:hint="eastAsia"/>
          <w:b/>
          <w:color w:val="FF0000"/>
          <w:sz w:val="20"/>
          <w:szCs w:val="20"/>
          <w:highlight w:val="yellow"/>
          <w:bdr w:val="single" w:sz="4" w:space="0" w:color="auto"/>
        </w:rPr>
        <w:t>正說</w:t>
      </w:r>
      <w:r w:rsidRPr="00DA3BC7">
        <w:rPr>
          <w:rFonts w:ascii="Times New Roman" w:hAnsi="Times New Roman"/>
          <w:sz w:val="20"/>
          <w:szCs w:val="20"/>
        </w:rPr>
        <w:t>（</w:t>
      </w:r>
      <w:r w:rsidRPr="00DA3BC7">
        <w:rPr>
          <w:rFonts w:ascii="Times New Roman" w:hAnsi="Times New Roman"/>
          <w:sz w:val="20"/>
          <w:szCs w:val="20"/>
        </w:rPr>
        <w:t>p.114</w:t>
      </w:r>
      <w:r w:rsidRPr="00DA3BC7">
        <w:rPr>
          <w:rFonts w:ascii="Times New Roman" w:hAnsi="Times New Roman"/>
          <w:sz w:val="20"/>
          <w:szCs w:val="20"/>
        </w:rPr>
        <w:t>）</w:t>
      </w:r>
    </w:p>
    <w:p w:rsidR="00AA120F" w:rsidRDefault="00AA120F" w:rsidP="008E2BBC">
      <w:pPr>
        <w:ind w:leftChars="50" w:left="120"/>
        <w:jc w:val="both"/>
        <w:rPr>
          <w:rFonts w:ascii="Times New Roman" w:hAnsi="Times New Roman"/>
          <w:sz w:val="20"/>
          <w:szCs w:val="20"/>
        </w:rPr>
      </w:pPr>
      <w:r w:rsidRPr="00B02A18">
        <w:rPr>
          <w:b/>
          <w:color w:val="FF0000"/>
          <w:sz w:val="20"/>
          <w:szCs w:val="20"/>
          <w:highlight w:val="yellow"/>
          <w:bdr w:val="single" w:sz="4" w:space="0" w:color="auto"/>
        </w:rPr>
        <w:t>（壹）實</w:t>
      </w:r>
      <w:r w:rsidR="00B02A18" w:rsidRPr="00B02A18">
        <w:rPr>
          <w:rFonts w:hint="eastAsia"/>
          <w:b/>
          <w:color w:val="FF0000"/>
          <w:sz w:val="20"/>
          <w:szCs w:val="20"/>
          <w:highlight w:val="yellow"/>
          <w:bdr w:val="single" w:sz="4" w:space="0" w:color="auto"/>
        </w:rPr>
        <w:t>在</w:t>
      </w:r>
      <w:r w:rsidRPr="00B02A18">
        <w:rPr>
          <w:b/>
          <w:color w:val="FF0000"/>
          <w:sz w:val="20"/>
          <w:szCs w:val="20"/>
          <w:highlight w:val="yellow"/>
          <w:bdr w:val="single" w:sz="4" w:space="0" w:color="auto"/>
        </w:rPr>
        <w:t>論</w:t>
      </w:r>
      <w:r w:rsidR="00B02A18" w:rsidRPr="00B02A18">
        <w:rPr>
          <w:rFonts w:hint="eastAsia"/>
          <w:b/>
          <w:color w:val="FF0000"/>
          <w:sz w:val="20"/>
          <w:szCs w:val="20"/>
          <w:highlight w:val="yellow"/>
          <w:bdr w:val="single" w:sz="4" w:space="0" w:color="auto"/>
        </w:rPr>
        <w:t>的種類</w:t>
      </w:r>
      <w:r w:rsidRPr="00DA3BC7">
        <w:rPr>
          <w:rFonts w:ascii="Times New Roman" w:hAnsi="Times New Roman"/>
          <w:sz w:val="20"/>
          <w:szCs w:val="20"/>
        </w:rPr>
        <w:t>（</w:t>
      </w:r>
      <w:r w:rsidRPr="00DA3BC7">
        <w:rPr>
          <w:rFonts w:ascii="Times New Roman" w:hAnsi="Times New Roman"/>
          <w:sz w:val="20"/>
          <w:szCs w:val="20"/>
        </w:rPr>
        <w:t>p.114</w:t>
      </w:r>
      <w:r w:rsidRPr="00DA3BC7">
        <w:rPr>
          <w:rFonts w:ascii="Times New Roman" w:hAnsi="Times New Roman"/>
          <w:sz w:val="20"/>
          <w:szCs w:val="20"/>
        </w:rPr>
        <w:t>）</w:t>
      </w:r>
    </w:p>
    <w:p w:rsidR="00B02A18" w:rsidRPr="00B02A18" w:rsidRDefault="00B02A18" w:rsidP="00FD6EA7">
      <w:pPr>
        <w:ind w:leftChars="100" w:left="240"/>
        <w:jc w:val="both"/>
        <w:rPr>
          <w:rFonts w:hAnsi="Times New Roman"/>
          <w:b/>
          <w:color w:val="FF0000"/>
          <w:sz w:val="20"/>
          <w:szCs w:val="20"/>
          <w:highlight w:val="yellow"/>
          <w:bdr w:val="single" w:sz="4" w:space="0" w:color="auto"/>
        </w:rPr>
      </w:pPr>
      <w:r w:rsidRPr="00B02A18">
        <w:rPr>
          <w:rFonts w:hint="eastAsia"/>
          <w:b/>
          <w:color w:val="FF0000"/>
          <w:sz w:val="20"/>
          <w:szCs w:val="20"/>
          <w:highlight w:val="yellow"/>
          <w:bdr w:val="single" w:sz="4" w:space="0" w:color="auto"/>
        </w:rPr>
        <w:t>一、述要義</w:t>
      </w:r>
      <w:r w:rsidRPr="00DA3BC7">
        <w:rPr>
          <w:rFonts w:ascii="Times New Roman" w:hAnsi="Times New Roman"/>
          <w:sz w:val="20"/>
          <w:szCs w:val="20"/>
        </w:rPr>
        <w:t>（</w:t>
      </w:r>
      <w:r w:rsidRPr="00DA3BC7">
        <w:rPr>
          <w:rFonts w:ascii="Times New Roman" w:hAnsi="Times New Roman"/>
          <w:sz w:val="20"/>
          <w:szCs w:val="20"/>
        </w:rPr>
        <w:t>p.114</w:t>
      </w:r>
      <w:r w:rsidRPr="00DA3BC7">
        <w:rPr>
          <w:rFonts w:ascii="Times New Roman" w:hAnsi="Times New Roman"/>
          <w:sz w:val="20"/>
          <w:szCs w:val="20"/>
        </w:rPr>
        <w:t>）</w:t>
      </w:r>
    </w:p>
    <w:p w:rsidR="00AA120F" w:rsidRPr="00DA3BC7" w:rsidRDefault="00AA120F" w:rsidP="00FD6EA7">
      <w:pPr>
        <w:ind w:leftChars="100" w:left="240"/>
        <w:jc w:val="both"/>
        <w:rPr>
          <w:rFonts w:ascii="Times New Roman"/>
        </w:rPr>
      </w:pPr>
      <w:r w:rsidRPr="00DA3BC7">
        <w:rPr>
          <w:rFonts w:ascii="Times New Roman"/>
        </w:rPr>
        <w:t>今此所講的有，即一般人所說的「東西」、物；什譯的龍樹論，每譯之為法。</w:t>
      </w:r>
    </w:p>
    <w:p w:rsidR="00AA120F" w:rsidRPr="00DA3BC7" w:rsidRDefault="00AA120F" w:rsidP="00AE3920">
      <w:pPr>
        <w:spacing w:beforeLines="20"/>
        <w:ind w:leftChars="100" w:left="240"/>
        <w:jc w:val="both"/>
        <w:rPr>
          <w:rFonts w:ascii="Times New Roman" w:hAnsi="Times New Roman"/>
        </w:rPr>
      </w:pPr>
      <w:r w:rsidRPr="00DA3BC7">
        <w:rPr>
          <w:rFonts w:ascii="Times New Roman"/>
        </w:rPr>
        <w:t>此「有」，不論是事是理，一般人即以為是實有。</w:t>
      </w:r>
    </w:p>
    <w:p w:rsidR="00AA120F" w:rsidRPr="00DA3BC7" w:rsidRDefault="00AA120F" w:rsidP="00AE3920">
      <w:pPr>
        <w:spacing w:beforeLines="20"/>
        <w:ind w:leftChars="100" w:left="240"/>
        <w:jc w:val="both"/>
        <w:rPr>
          <w:rFonts w:ascii="Times New Roman" w:hAnsi="Times New Roman"/>
        </w:rPr>
      </w:pPr>
      <w:r w:rsidRPr="00DA3BC7">
        <w:rPr>
          <w:rFonts w:ascii="Times New Roman"/>
        </w:rPr>
        <w:t>中國稱之為物，物即代表一切存在或存在的。</w:t>
      </w:r>
      <w:r w:rsidRPr="00DA3BC7">
        <w:rPr>
          <w:rStyle w:val="a6"/>
          <w:rFonts w:ascii="Times New Roman" w:hAnsi="Times New Roman"/>
        </w:rPr>
        <w:footnoteReference w:id="514"/>
      </w:r>
    </w:p>
    <w:p w:rsidR="00AA120F" w:rsidRPr="00DA3BC7" w:rsidRDefault="00AA120F" w:rsidP="00AE3920">
      <w:pPr>
        <w:spacing w:beforeLines="20"/>
        <w:ind w:leftChars="100" w:left="240"/>
        <w:jc w:val="both"/>
        <w:rPr>
          <w:rFonts w:ascii="Times New Roman" w:hAnsi="Times New Roman"/>
        </w:rPr>
      </w:pPr>
      <w:r w:rsidRPr="00DA3BC7">
        <w:rPr>
          <w:rFonts w:ascii="Times New Roman"/>
        </w:rPr>
        <w:t>《易經》說：「</w:t>
      </w:r>
      <w:r w:rsidRPr="00DA3BC7">
        <w:rPr>
          <w:rFonts w:ascii="Times New Roman" w:eastAsia="標楷體" w:hAnsi="標楷體"/>
        </w:rPr>
        <w:t>方</w:t>
      </w:r>
      <w:r w:rsidRPr="00DA3BC7">
        <w:rPr>
          <w:rStyle w:val="a6"/>
          <w:rFonts w:ascii="Times New Roman" w:hAnsi="Times New Roman"/>
        </w:rPr>
        <w:footnoteReference w:id="515"/>
      </w:r>
      <w:r w:rsidRPr="00DA3BC7">
        <w:rPr>
          <w:rFonts w:ascii="Times New Roman" w:eastAsia="標楷體" w:hAnsi="標楷體"/>
        </w:rPr>
        <w:t>以類聚</w:t>
      </w:r>
      <w:r w:rsidRPr="00DA3BC7">
        <w:rPr>
          <w:rStyle w:val="a6"/>
          <w:rFonts w:ascii="Times New Roman" w:hAnsi="Times New Roman"/>
        </w:rPr>
        <w:footnoteReference w:id="516"/>
      </w:r>
      <w:r w:rsidRPr="00DA3BC7">
        <w:rPr>
          <w:rFonts w:ascii="Times New Roman" w:eastAsia="標楷體" w:hAnsi="標楷體"/>
        </w:rPr>
        <w:t>，物以群分</w:t>
      </w:r>
      <w:r w:rsidRPr="00DA3BC7">
        <w:rPr>
          <w:rFonts w:ascii="Times New Roman"/>
        </w:rPr>
        <w:t>。」</w:t>
      </w:r>
      <w:r w:rsidRPr="00DA3BC7">
        <w:rPr>
          <w:rStyle w:val="a6"/>
          <w:rFonts w:ascii="Times New Roman" w:hAnsi="Times New Roman"/>
        </w:rPr>
        <w:footnoteReference w:id="517"/>
      </w:r>
      <w:r w:rsidRPr="00DA3BC7">
        <w:rPr>
          <w:rFonts w:ascii="Times New Roman"/>
        </w:rPr>
        <w:t>就是說：在和合的群聚</w:t>
      </w:r>
      <w:r w:rsidRPr="00DA3BC7">
        <w:rPr>
          <w:rStyle w:val="a6"/>
          <w:rFonts w:ascii="Times New Roman" w:hAnsi="Times New Roman"/>
        </w:rPr>
        <w:footnoteReference w:id="518"/>
      </w:r>
      <w:r w:rsidRPr="00DA3BC7">
        <w:rPr>
          <w:rFonts w:ascii="Times New Roman"/>
        </w:rPr>
        <w:t>當中分</w:t>
      </w:r>
      <w:r w:rsidRPr="00DA3BC7">
        <w:rPr>
          <w:rFonts w:ascii="Times New Roman"/>
        </w:rPr>
        <w:lastRenderedPageBreak/>
        <w:t>別，其別別的個體</w:t>
      </w:r>
      <w:r w:rsidRPr="00DA3BC7">
        <w:rPr>
          <w:rFonts w:ascii="新細明體" w:hAnsi="新細明體"/>
        </w:rPr>
        <w:t>──</w:t>
      </w:r>
      <w:r w:rsidRPr="00DA3BC7">
        <w:rPr>
          <w:rFonts w:ascii="Times New Roman"/>
        </w:rPr>
        <w:t>自相，彼此各別的，即稱之為</w:t>
      </w:r>
      <w:r w:rsidRPr="00DA3BC7">
        <w:rPr>
          <w:rFonts w:ascii="Times New Roman"/>
          <w:b/>
        </w:rPr>
        <w:t>物</w:t>
      </w:r>
      <w:r w:rsidRPr="00DA3BC7">
        <w:rPr>
          <w:rFonts w:ascii="Times New Roman"/>
        </w:rPr>
        <w:t>，此就是一般所了解的</w:t>
      </w:r>
      <w:r w:rsidRPr="00DA3BC7">
        <w:rPr>
          <w:rFonts w:ascii="Times New Roman"/>
          <w:b/>
        </w:rPr>
        <w:t>東西</w:t>
      </w:r>
      <w:r w:rsidRPr="00DA3BC7">
        <w:rPr>
          <w:rFonts w:ascii="Times New Roman"/>
        </w:rPr>
        <w:t>。</w:t>
      </w:r>
    </w:p>
    <w:p w:rsidR="00AA120F" w:rsidRPr="00DA3BC7" w:rsidRDefault="00AA120F" w:rsidP="00FD6EA7">
      <w:pPr>
        <w:ind w:leftChars="100" w:left="240"/>
        <w:jc w:val="both"/>
        <w:rPr>
          <w:rFonts w:ascii="Times New Roman" w:hAnsi="Times New Roman"/>
        </w:rPr>
      </w:pPr>
      <w:r w:rsidRPr="00DA3BC7">
        <w:rPr>
          <w:rFonts w:ascii="Times New Roman"/>
        </w:rPr>
        <w:t>《中庸》說「</w:t>
      </w:r>
      <w:r w:rsidRPr="00DA3BC7">
        <w:rPr>
          <w:rFonts w:ascii="Times New Roman" w:eastAsia="標楷體" w:hAnsi="標楷體"/>
        </w:rPr>
        <w:t>不誠無物</w:t>
      </w:r>
      <w:r w:rsidRPr="00DA3BC7">
        <w:rPr>
          <w:rFonts w:ascii="Times New Roman"/>
        </w:rPr>
        <w:t>」</w:t>
      </w:r>
      <w:r w:rsidRPr="00DA3BC7">
        <w:rPr>
          <w:rFonts w:ascii="Times New Roman" w:hint="eastAsia"/>
        </w:rPr>
        <w:t>，</w:t>
      </w:r>
      <w:r w:rsidRPr="00DA3BC7">
        <w:rPr>
          <w:rFonts w:ascii="Times New Roman"/>
        </w:rPr>
        <w:t>又說：「</w:t>
      </w:r>
      <w:r w:rsidRPr="00DA3BC7">
        <w:rPr>
          <w:rFonts w:ascii="Times New Roman" w:eastAsia="標楷體" w:hAnsi="標楷體"/>
        </w:rPr>
        <w:t>誠者自成也</w:t>
      </w:r>
      <w:r w:rsidRPr="00DA3BC7">
        <w:rPr>
          <w:rFonts w:ascii="Times New Roman"/>
        </w:rPr>
        <w:t>」</w:t>
      </w:r>
      <w:r w:rsidR="00C51692" w:rsidRPr="00DA3BC7">
        <w:rPr>
          <w:rFonts w:ascii="Times New Roman"/>
        </w:rPr>
        <w:t>。</w:t>
      </w:r>
      <w:r w:rsidRPr="00DA3BC7">
        <w:rPr>
          <w:rStyle w:val="a6"/>
          <w:rFonts w:ascii="Times New Roman" w:hAnsi="Times New Roman"/>
        </w:rPr>
        <w:footnoteReference w:id="519"/>
      </w:r>
      <w:r w:rsidRPr="00DA3BC7">
        <w:rPr>
          <w:rFonts w:ascii="Times New Roman"/>
        </w:rPr>
        <w:t>誠即自有自成的自性，誠而後有物。誠是自有的物自體，如不誠，即沒有自有自成的實體，物即不成其為物。</w:t>
      </w:r>
    </w:p>
    <w:p w:rsidR="00AA120F" w:rsidRPr="00DA3BC7" w:rsidRDefault="00AA120F" w:rsidP="00AE3920">
      <w:pPr>
        <w:spacing w:beforeLines="20"/>
        <w:ind w:leftChars="100" w:left="240"/>
        <w:jc w:val="both"/>
        <w:rPr>
          <w:rFonts w:hAnsi="Times New Roman"/>
          <w:b/>
          <w:sz w:val="20"/>
          <w:szCs w:val="20"/>
          <w:bdr w:val="single" w:sz="4" w:space="0" w:color="auto"/>
        </w:rPr>
      </w:pPr>
      <w:r w:rsidRPr="00DA3BC7">
        <w:rPr>
          <w:rFonts w:ascii="Times New Roman"/>
        </w:rPr>
        <w:t>這種思想，即是中觀者所要徹底否定的自性論。</w:t>
      </w:r>
    </w:p>
    <w:p w:rsidR="00AA120F" w:rsidRPr="00DA3BC7" w:rsidRDefault="00AA120F" w:rsidP="00AE3920">
      <w:pPr>
        <w:spacing w:beforeLines="20"/>
        <w:ind w:leftChars="100" w:left="240"/>
        <w:jc w:val="both"/>
        <w:rPr>
          <w:rFonts w:ascii="Times New Roman" w:hAnsi="Times New Roman"/>
        </w:rPr>
      </w:pPr>
      <w:r w:rsidRPr="00DA3BC7">
        <w:rPr>
          <w:rFonts w:ascii="Times New Roman"/>
        </w:rPr>
        <w:t>總之，</w:t>
      </w:r>
      <w:r w:rsidRPr="00DA3BC7">
        <w:rPr>
          <w:rFonts w:ascii="Times New Roman"/>
          <w:b/>
        </w:rPr>
        <w:t>一般的常識</w:t>
      </w:r>
      <w:r w:rsidRPr="00DA3BC7">
        <w:rPr>
          <w:rFonts w:ascii="Times New Roman"/>
        </w:rPr>
        <w:t>與</w:t>
      </w:r>
      <w:r w:rsidRPr="00DA3BC7">
        <w:rPr>
          <w:rFonts w:ascii="Times New Roman"/>
          <w:b/>
        </w:rPr>
        <w:t>學者的知識</w:t>
      </w:r>
      <w:r w:rsidRPr="00DA3BC7">
        <w:rPr>
          <w:rFonts w:ascii="新細明體" w:hAnsi="新細明體"/>
        </w:rPr>
        <w:t>──</w:t>
      </w:r>
      <w:r w:rsidRPr="00DA3BC7">
        <w:rPr>
          <w:rFonts w:ascii="Times New Roman"/>
        </w:rPr>
        <w:t>不屬於淨智的</w:t>
      </w:r>
      <w:r w:rsidRPr="00DA3BC7">
        <w:rPr>
          <w:rFonts w:ascii="Times New Roman"/>
          <w:b/>
        </w:rPr>
        <w:t>神秘直覺</w:t>
      </w:r>
      <w:r w:rsidRPr="00DA3BC7">
        <w:rPr>
          <w:rFonts w:ascii="Times New Roman"/>
        </w:rPr>
        <w:t>也在內，都要求一自有自成的，此無論是</w:t>
      </w:r>
      <w:r w:rsidRPr="00DA3BC7">
        <w:rPr>
          <w:rFonts w:ascii="Times New Roman"/>
          <w:b/>
        </w:rPr>
        <w:t>素樸的實在論</w:t>
      </w:r>
      <w:r w:rsidRPr="00DA3BC7">
        <w:rPr>
          <w:rFonts w:ascii="Times New Roman"/>
        </w:rPr>
        <w:t>與</w:t>
      </w:r>
      <w:r w:rsidRPr="00DA3BC7">
        <w:rPr>
          <w:rFonts w:ascii="Times New Roman"/>
          <w:b/>
        </w:rPr>
        <w:t>形而上</w:t>
      </w:r>
      <w:r w:rsidRPr="00DA3BC7">
        <w:rPr>
          <w:rStyle w:val="a6"/>
          <w:rFonts w:ascii="Times New Roman" w:hAnsi="Times New Roman"/>
        </w:rPr>
        <w:footnoteReference w:id="520"/>
      </w:r>
      <w:r w:rsidRPr="00DA3BC7">
        <w:rPr>
          <w:rFonts w:ascii="Times New Roman"/>
          <w:b/>
        </w:rPr>
        <w:t>的實在論</w:t>
      </w:r>
      <w:r w:rsidRPr="00DA3BC7">
        <w:rPr>
          <w:rFonts w:ascii="Times New Roman"/>
        </w:rPr>
        <w:t>，但計為自有自成是一樣的。</w:t>
      </w:r>
    </w:p>
    <w:p w:rsidR="00AA120F" w:rsidRDefault="00B02A18" w:rsidP="00AE3920">
      <w:pPr>
        <w:spacing w:beforeLines="30"/>
        <w:ind w:leftChars="100" w:left="240"/>
        <w:jc w:val="both"/>
        <w:rPr>
          <w:rFonts w:ascii="Times New Roman" w:hAnsi="Times New Roman"/>
          <w:sz w:val="20"/>
          <w:szCs w:val="20"/>
        </w:rPr>
      </w:pPr>
      <w:r w:rsidRPr="00B02A18">
        <w:rPr>
          <w:rFonts w:hint="eastAsia"/>
          <w:b/>
          <w:color w:val="FF0000"/>
          <w:sz w:val="20"/>
          <w:szCs w:val="20"/>
          <w:highlight w:val="yellow"/>
          <w:bdr w:val="single" w:sz="4" w:space="0" w:color="auto"/>
        </w:rPr>
        <w:t>二、明類別</w:t>
      </w:r>
      <w:r w:rsidR="00AA120F" w:rsidRPr="00DA3BC7">
        <w:rPr>
          <w:rFonts w:ascii="Times New Roman" w:hAnsi="Times New Roman"/>
          <w:sz w:val="20"/>
          <w:szCs w:val="20"/>
        </w:rPr>
        <w:t>（</w:t>
      </w:r>
      <w:r w:rsidR="00AA120F" w:rsidRPr="00DA3BC7">
        <w:rPr>
          <w:rFonts w:ascii="Times New Roman" w:hAnsi="Times New Roman"/>
          <w:sz w:val="20"/>
          <w:szCs w:val="20"/>
        </w:rPr>
        <w:t>pp.114-11</w:t>
      </w:r>
      <w:r>
        <w:rPr>
          <w:rFonts w:ascii="Times New Roman" w:hAnsi="Times New Roman" w:hint="eastAsia"/>
          <w:sz w:val="20"/>
          <w:szCs w:val="20"/>
        </w:rPr>
        <w:t>6</w:t>
      </w:r>
      <w:r w:rsidR="00AA120F" w:rsidRPr="00DA3BC7">
        <w:rPr>
          <w:rFonts w:ascii="Times New Roman" w:hAnsi="Times New Roman"/>
          <w:sz w:val="20"/>
          <w:szCs w:val="20"/>
        </w:rPr>
        <w:t>）</w:t>
      </w:r>
    </w:p>
    <w:p w:rsidR="00B02A18" w:rsidRPr="00DA3BC7" w:rsidRDefault="00B02A18" w:rsidP="00FD6EA7">
      <w:pPr>
        <w:ind w:leftChars="150" w:left="360"/>
        <w:jc w:val="both"/>
        <w:rPr>
          <w:rFonts w:hAnsi="Times New Roman"/>
          <w:b/>
          <w:sz w:val="20"/>
          <w:szCs w:val="20"/>
        </w:rPr>
      </w:pPr>
      <w:r>
        <w:rPr>
          <w:rFonts w:hint="eastAsia"/>
          <w:b/>
          <w:color w:val="FF0000"/>
          <w:sz w:val="20"/>
          <w:szCs w:val="20"/>
          <w:highlight w:val="yellow"/>
          <w:bdr w:val="single" w:sz="4" w:space="0" w:color="auto"/>
        </w:rPr>
        <w:t>（一）素樸的實在論</w:t>
      </w:r>
      <w:r w:rsidRPr="00DA3BC7">
        <w:rPr>
          <w:rFonts w:ascii="Times New Roman" w:hAnsi="Times New Roman"/>
          <w:sz w:val="20"/>
          <w:szCs w:val="20"/>
        </w:rPr>
        <w:t>（</w:t>
      </w:r>
      <w:r w:rsidRPr="00DA3BC7">
        <w:rPr>
          <w:rFonts w:ascii="Times New Roman" w:hAnsi="Times New Roman"/>
          <w:sz w:val="20"/>
          <w:szCs w:val="20"/>
        </w:rPr>
        <w:t>pp.114-11</w:t>
      </w:r>
      <w:r>
        <w:rPr>
          <w:rFonts w:ascii="Times New Roman" w:hAnsi="Times New Roman" w:hint="eastAsia"/>
          <w:sz w:val="20"/>
          <w:szCs w:val="20"/>
        </w:rPr>
        <w:t>5</w:t>
      </w:r>
      <w:r w:rsidRPr="00DA3BC7">
        <w:rPr>
          <w:rFonts w:ascii="Times New Roman" w:hAnsi="Times New Roman"/>
          <w:sz w:val="20"/>
          <w:szCs w:val="20"/>
        </w:rPr>
        <w:t>）</w:t>
      </w:r>
    </w:p>
    <w:p w:rsidR="00AA120F" w:rsidRPr="00DA3BC7" w:rsidRDefault="00AA120F" w:rsidP="00FD6EA7">
      <w:pPr>
        <w:ind w:leftChars="150" w:left="360"/>
        <w:jc w:val="both"/>
        <w:rPr>
          <w:rFonts w:ascii="Times New Roman"/>
        </w:rPr>
      </w:pPr>
      <w:r w:rsidRPr="00DA3BC7">
        <w:rPr>
          <w:rFonts w:ascii="Times New Roman"/>
        </w:rPr>
        <w:lastRenderedPageBreak/>
        <w:t>前面曾經指出：</w:t>
      </w:r>
      <w:r w:rsidRPr="00C51692">
        <w:rPr>
          <w:rFonts w:ascii="Times New Roman"/>
          <w:b/>
          <w:u w:val="wave" w:color="C00000"/>
        </w:rPr>
        <w:t>有</w:t>
      </w:r>
      <w:r w:rsidRPr="00C51692">
        <w:rPr>
          <w:rFonts w:ascii="Times New Roman"/>
        </w:rPr>
        <w:t>是最普遍的概念</w:t>
      </w:r>
      <w:r w:rsidRPr="00DA3BC7">
        <w:rPr>
          <w:rFonts w:ascii="Times New Roman"/>
        </w:rPr>
        <w:t>，</w:t>
      </w:r>
      <w:r w:rsidR="00C51692" w:rsidRPr="00DA3BC7">
        <w:rPr>
          <w:rStyle w:val="a6"/>
          <w:rFonts w:ascii="Times New Roman" w:hAnsi="Times New Roman"/>
        </w:rPr>
        <w:footnoteReference w:id="521"/>
      </w:r>
      <w:r w:rsidRPr="00DA3BC7">
        <w:rPr>
          <w:rFonts w:ascii="Times New Roman"/>
        </w:rPr>
        <w:t>這種有強烈的實在性的感覺，是一般人認識上極為基本的。</w:t>
      </w:r>
    </w:p>
    <w:p w:rsidR="00AA120F" w:rsidRPr="00DA3BC7" w:rsidRDefault="00AA120F" w:rsidP="00AE3920">
      <w:pPr>
        <w:spacing w:beforeLines="20"/>
        <w:ind w:leftChars="150" w:left="360"/>
        <w:jc w:val="both"/>
        <w:rPr>
          <w:rFonts w:ascii="Times New Roman" w:hAnsi="Times New Roman"/>
        </w:rPr>
      </w:pPr>
      <w:r w:rsidRPr="00DA3BC7">
        <w:rPr>
          <w:rFonts w:ascii="Times New Roman"/>
        </w:rPr>
        <w:t>不說現代文明人，即使未開化的野蠻人，或是智識未開的幼孩，他們凡是感覺認識的，不曉得甚麼是假有（非中觀者的假有，也不會是正確的），凡所覺觸到的，都以為是真實存在的。</w:t>
      </w:r>
    </w:p>
    <w:p w:rsidR="00AA120F" w:rsidRPr="00DA3BC7" w:rsidRDefault="00AA120F" w:rsidP="00AE3920">
      <w:pPr>
        <w:spacing w:beforeLines="20"/>
        <w:ind w:leftChars="150" w:left="360"/>
        <w:jc w:val="both"/>
        <w:rPr>
          <w:rFonts w:ascii="Times New Roman" w:hAnsi="Times New Roman"/>
        </w:rPr>
      </w:pPr>
      <w:r w:rsidRPr="00DA3BC7">
        <w:rPr>
          <w:rFonts w:ascii="Times New Roman"/>
        </w:rPr>
        <w:t>小孩不知鏡裏影現的人是假有，於是望之發笑而以手去抓。</w:t>
      </w:r>
    </w:p>
    <w:p w:rsidR="00AA120F" w:rsidRPr="00DA3BC7" w:rsidRDefault="00AA120F" w:rsidP="00AE3920">
      <w:pPr>
        <w:spacing w:beforeLines="20"/>
        <w:ind w:leftChars="150" w:left="360"/>
        <w:jc w:val="both"/>
        <w:rPr>
          <w:rFonts w:ascii="Times New Roman" w:hAnsi="Times New Roman"/>
        </w:rPr>
      </w:pPr>
      <w:r w:rsidRPr="00DA3BC7">
        <w:rPr>
          <w:rFonts w:ascii="Times New Roman"/>
        </w:rPr>
        <w:t>野蠻人不知夢是虛妄不實，故以夢境為千真萬確的。</w:t>
      </w:r>
    </w:p>
    <w:p w:rsidR="00AA120F" w:rsidRPr="00DA3BC7" w:rsidRDefault="00AA120F" w:rsidP="00AE3920">
      <w:pPr>
        <w:spacing w:beforeLines="20"/>
        <w:ind w:leftChars="150" w:left="360"/>
        <w:jc w:val="both"/>
        <w:rPr>
          <w:rFonts w:ascii="Times New Roman" w:hAnsi="Times New Roman"/>
        </w:rPr>
      </w:pPr>
      <w:r w:rsidRPr="00DA3BC7">
        <w:rPr>
          <w:rFonts w:ascii="Times New Roman"/>
        </w:rPr>
        <w:t>這種認識上</w:t>
      </w:r>
      <w:r w:rsidRPr="00DA3BC7">
        <w:rPr>
          <w:rFonts w:ascii="Times New Roman"/>
          <w:b/>
        </w:rPr>
        <w:t>極普遍的自性感</w:t>
      </w:r>
      <w:r w:rsidRPr="00DA3BC7">
        <w:rPr>
          <w:rFonts w:ascii="Times New Roman"/>
        </w:rPr>
        <w:t>，</w:t>
      </w:r>
      <w:r w:rsidRPr="00DA3BC7">
        <w:rPr>
          <w:rFonts w:ascii="Times New Roman"/>
          <w:b/>
        </w:rPr>
        <w:t>從原始的、幼稚的，到宗教者與哲學者的神秘深玄</w:t>
      </w:r>
      <w:r w:rsidRPr="00DA3BC7">
        <w:rPr>
          <w:rStyle w:val="a6"/>
          <w:rFonts w:ascii="Times New Roman" w:hAnsi="Times New Roman"/>
        </w:rPr>
        <w:footnoteReference w:id="522"/>
      </w:r>
      <w:r w:rsidRPr="00DA3BC7">
        <w:rPr>
          <w:rFonts w:ascii="Times New Roman"/>
          <w:b/>
        </w:rPr>
        <w:t>的，一脈相通</w:t>
      </w:r>
      <w:r w:rsidRPr="00DA3BC7">
        <w:rPr>
          <w:rStyle w:val="a6"/>
          <w:rFonts w:ascii="Times New Roman" w:hAnsi="Times New Roman"/>
        </w:rPr>
        <w:footnoteReference w:id="523"/>
      </w:r>
      <w:r w:rsidRPr="00DA3BC7">
        <w:rPr>
          <w:rFonts w:ascii="Times New Roman"/>
          <w:b/>
        </w:rPr>
        <w:t>，真是「源遠流長</w:t>
      </w:r>
      <w:r w:rsidRPr="00DA3BC7">
        <w:rPr>
          <w:rStyle w:val="a6"/>
          <w:rFonts w:ascii="Times New Roman" w:hAnsi="Times New Roman"/>
        </w:rPr>
        <w:footnoteReference w:id="524"/>
      </w:r>
      <w:r w:rsidRPr="00DA3BC7">
        <w:rPr>
          <w:rFonts w:ascii="Times New Roman"/>
          <w:b/>
        </w:rPr>
        <w:t>」</w:t>
      </w:r>
      <w:r w:rsidRPr="00DA3BC7">
        <w:rPr>
          <w:rFonts w:ascii="Times New Roman"/>
        </w:rPr>
        <w:t>。</w:t>
      </w:r>
    </w:p>
    <w:p w:rsidR="00AA120F" w:rsidRPr="00DA3BC7" w:rsidRDefault="00AA120F" w:rsidP="00AE3920">
      <w:pPr>
        <w:spacing w:beforeLines="20"/>
        <w:ind w:leftChars="150" w:left="360"/>
        <w:jc w:val="both"/>
        <w:rPr>
          <w:rFonts w:ascii="Times New Roman" w:hAnsi="Times New Roman"/>
        </w:rPr>
      </w:pPr>
      <w:r w:rsidRPr="00DA3BC7">
        <w:rPr>
          <w:rFonts w:ascii="Times New Roman"/>
        </w:rPr>
        <w:t>依佛法說，不但小孩、野蠻人同有此種實在</w:t>
      </w:r>
      <w:r w:rsidRPr="00DA3BC7">
        <w:rPr>
          <w:rFonts w:ascii="新細明體" w:hAnsi="新細明體"/>
        </w:rPr>
        <w:t>──</w:t>
      </w:r>
      <w:r w:rsidRPr="00DA3BC7">
        <w:rPr>
          <w:rFonts w:ascii="Times New Roman"/>
        </w:rPr>
        <w:t>自性感，就是蟲、魚、鳥、獸乃至最下的動物，凡是能感受到甚麼而有精神的作用時，這種實在性的直感，也都是一樣的。當然，沒有人類意識上的明晰，更沒有形而上的實在論者那樣說得深玄！</w:t>
      </w:r>
    </w:p>
    <w:p w:rsidR="00AA120F" w:rsidRPr="00DA3BC7" w:rsidRDefault="00AA120F" w:rsidP="00AE3920">
      <w:pPr>
        <w:spacing w:beforeLines="30"/>
        <w:ind w:leftChars="150" w:left="360"/>
        <w:jc w:val="both"/>
        <w:rPr>
          <w:rFonts w:hAnsi="Times New Roman"/>
          <w:b/>
          <w:sz w:val="20"/>
          <w:szCs w:val="20"/>
          <w:bdr w:val="single" w:sz="4" w:space="0" w:color="auto"/>
        </w:rPr>
      </w:pPr>
      <w:r w:rsidRPr="00B02A18">
        <w:rPr>
          <w:b/>
          <w:color w:val="FF0000"/>
          <w:sz w:val="20"/>
          <w:szCs w:val="20"/>
          <w:highlight w:val="yellow"/>
          <w:bdr w:val="single" w:sz="4" w:space="0" w:color="auto"/>
        </w:rPr>
        <w:t>（</w:t>
      </w:r>
      <w:r w:rsidR="00B02A18" w:rsidRPr="00B02A18">
        <w:rPr>
          <w:rFonts w:hint="eastAsia"/>
          <w:b/>
          <w:color w:val="FF0000"/>
          <w:sz w:val="20"/>
          <w:szCs w:val="20"/>
          <w:highlight w:val="yellow"/>
          <w:bdr w:val="single" w:sz="4" w:space="0" w:color="auto"/>
        </w:rPr>
        <w:t>二</w:t>
      </w:r>
      <w:r w:rsidRPr="00B02A18">
        <w:rPr>
          <w:b/>
          <w:color w:val="FF0000"/>
          <w:sz w:val="20"/>
          <w:szCs w:val="20"/>
          <w:highlight w:val="yellow"/>
          <w:bdr w:val="single" w:sz="4" w:space="0" w:color="auto"/>
        </w:rPr>
        <w:t>）</w:t>
      </w:r>
      <w:r w:rsidR="00B02A18" w:rsidRPr="00B02A18">
        <w:rPr>
          <w:rFonts w:hint="eastAsia"/>
          <w:b/>
          <w:color w:val="FF0000"/>
          <w:sz w:val="20"/>
          <w:szCs w:val="20"/>
          <w:highlight w:val="yellow"/>
          <w:bdr w:val="single" w:sz="4" w:space="0" w:color="auto"/>
        </w:rPr>
        <w:t>形而上的</w:t>
      </w:r>
      <w:r w:rsidRPr="00B02A18">
        <w:rPr>
          <w:rFonts w:ascii="Times New Roman" w:hAnsi="Times New Roman"/>
          <w:b/>
          <w:color w:val="FF0000"/>
          <w:sz w:val="20"/>
          <w:szCs w:val="20"/>
          <w:highlight w:val="yellow"/>
          <w:bdr w:val="single" w:sz="4" w:space="0" w:color="auto"/>
        </w:rPr>
        <w:t>實</w:t>
      </w:r>
      <w:r w:rsidR="00B02A18" w:rsidRPr="00B02A18">
        <w:rPr>
          <w:rFonts w:ascii="Times New Roman" w:hAnsi="Times New Roman" w:hint="eastAsia"/>
          <w:b/>
          <w:color w:val="FF0000"/>
          <w:sz w:val="20"/>
          <w:szCs w:val="20"/>
          <w:highlight w:val="yellow"/>
          <w:bdr w:val="single" w:sz="4" w:space="0" w:color="auto"/>
        </w:rPr>
        <w:t>在論</w:t>
      </w:r>
      <w:r w:rsidRPr="00DA3BC7">
        <w:rPr>
          <w:rFonts w:ascii="Times New Roman" w:hAnsi="Times New Roman"/>
          <w:sz w:val="20"/>
          <w:szCs w:val="20"/>
        </w:rPr>
        <w:t>（</w:t>
      </w:r>
      <w:r w:rsidR="00B02A18">
        <w:rPr>
          <w:rFonts w:ascii="Times New Roman" w:hAnsi="Times New Roman"/>
          <w:sz w:val="20"/>
          <w:szCs w:val="20"/>
        </w:rPr>
        <w:t>p</w:t>
      </w:r>
      <w:r w:rsidRPr="00DA3BC7">
        <w:rPr>
          <w:rFonts w:ascii="Times New Roman" w:hAnsi="Times New Roman"/>
          <w:sz w:val="20"/>
          <w:szCs w:val="20"/>
        </w:rPr>
        <w:t>.115</w:t>
      </w:r>
      <w:r w:rsidRPr="00DA3BC7">
        <w:rPr>
          <w:rFonts w:ascii="Times New Roman" w:hAnsi="Times New Roman"/>
          <w:sz w:val="20"/>
          <w:szCs w:val="20"/>
        </w:rPr>
        <w:t>）</w:t>
      </w:r>
    </w:p>
    <w:p w:rsidR="00AA120F" w:rsidRPr="00DA3BC7" w:rsidRDefault="00AA120F" w:rsidP="00FD6EA7">
      <w:pPr>
        <w:ind w:leftChars="150" w:left="360"/>
        <w:jc w:val="both"/>
        <w:rPr>
          <w:rFonts w:ascii="Times New Roman" w:hAnsi="Times New Roman"/>
        </w:rPr>
      </w:pPr>
      <w:r w:rsidRPr="00DA3BC7">
        <w:rPr>
          <w:rFonts w:ascii="Times New Roman"/>
        </w:rPr>
        <w:t>人類，由於知識的增進，從幼年到成人，從野蠻到文明，在日常的經驗當中，漸漸的覺察到認識到的不一定是實在的。如麵餅可以充飢，而畫餅無論如何活像的，不能有此作用；夢見的人物，知道不是實有的情事。這在人們的認識上，就有了假有和實有的概念。</w:t>
      </w:r>
    </w:p>
    <w:p w:rsidR="00AA120F" w:rsidRPr="00DA3BC7" w:rsidRDefault="00AA120F" w:rsidP="00AE3920">
      <w:pPr>
        <w:spacing w:beforeLines="20"/>
        <w:ind w:leftChars="150" w:left="360"/>
        <w:jc w:val="both"/>
        <w:rPr>
          <w:b/>
        </w:rPr>
      </w:pPr>
      <w:r w:rsidRPr="00DA3BC7">
        <w:t>如薩婆多部等，說法有</w:t>
      </w:r>
      <w:r w:rsidRPr="00DA3BC7">
        <w:rPr>
          <w:b/>
        </w:rPr>
        <w:t>實有</w:t>
      </w:r>
      <w:r w:rsidRPr="00DA3BC7">
        <w:t>的和</w:t>
      </w:r>
      <w:r w:rsidRPr="00DA3BC7">
        <w:rPr>
          <w:b/>
        </w:rPr>
        <w:t>假有</w:t>
      </w:r>
      <w:r w:rsidRPr="00DA3BC7">
        <w:t>的。實有的，即覺得有充實內容，甚而想像為</w:t>
      </w:r>
      <w:r w:rsidRPr="00DA3BC7">
        <w:rPr>
          <w:b/>
        </w:rPr>
        <w:t>形而上的實在</w:t>
      </w:r>
      <w:r w:rsidRPr="00DA3BC7">
        <w:t>。</w:t>
      </w:r>
    </w:p>
    <w:p w:rsidR="00B02A18" w:rsidRPr="00DA3BC7" w:rsidRDefault="00B02A18" w:rsidP="00AE3920">
      <w:pPr>
        <w:spacing w:beforeLines="30"/>
        <w:ind w:leftChars="100" w:left="240"/>
        <w:jc w:val="both"/>
        <w:rPr>
          <w:rFonts w:hAnsi="Times New Roman"/>
          <w:b/>
          <w:sz w:val="20"/>
          <w:szCs w:val="20"/>
          <w:bdr w:val="single" w:sz="4" w:space="0" w:color="auto"/>
        </w:rPr>
      </w:pPr>
      <w:r>
        <w:rPr>
          <w:rFonts w:hint="eastAsia"/>
          <w:b/>
          <w:color w:val="FF0000"/>
          <w:sz w:val="20"/>
          <w:szCs w:val="20"/>
          <w:highlight w:val="yellow"/>
          <w:bdr w:val="single" w:sz="4" w:space="0" w:color="auto"/>
        </w:rPr>
        <w:t>三、顯同過</w:t>
      </w:r>
      <w:r w:rsidRPr="00DA3BC7">
        <w:rPr>
          <w:rFonts w:ascii="Times New Roman" w:hAnsi="Times New Roman"/>
          <w:sz w:val="20"/>
          <w:szCs w:val="20"/>
        </w:rPr>
        <w:t>（</w:t>
      </w:r>
      <w:r w:rsidRPr="00DA3BC7">
        <w:rPr>
          <w:rFonts w:ascii="Times New Roman" w:hAnsi="Times New Roman"/>
          <w:sz w:val="20"/>
          <w:szCs w:val="20"/>
        </w:rPr>
        <w:t>pp.115-116</w:t>
      </w:r>
      <w:r w:rsidRPr="00DA3BC7">
        <w:rPr>
          <w:rFonts w:ascii="Times New Roman" w:hAnsi="Times New Roman"/>
          <w:sz w:val="20"/>
          <w:szCs w:val="20"/>
        </w:rPr>
        <w:t>）</w:t>
      </w:r>
    </w:p>
    <w:p w:rsidR="00B02A18" w:rsidRPr="00DA3BC7" w:rsidRDefault="00B02A18" w:rsidP="00FD6EA7">
      <w:pPr>
        <w:ind w:leftChars="150" w:left="360"/>
        <w:jc w:val="both"/>
        <w:rPr>
          <w:rFonts w:hAnsi="Times New Roman"/>
          <w:b/>
          <w:sz w:val="20"/>
          <w:szCs w:val="20"/>
          <w:bdr w:val="single" w:sz="4" w:space="0" w:color="auto"/>
        </w:rPr>
      </w:pPr>
      <w:r w:rsidRPr="00B02A18">
        <w:rPr>
          <w:b/>
          <w:color w:val="FF0000"/>
          <w:sz w:val="20"/>
          <w:szCs w:val="20"/>
          <w:highlight w:val="yellow"/>
          <w:bdr w:val="single" w:sz="4" w:space="0" w:color="auto"/>
        </w:rPr>
        <w:t>（</w:t>
      </w:r>
      <w:r>
        <w:rPr>
          <w:rFonts w:hint="eastAsia"/>
          <w:b/>
          <w:color w:val="FF0000"/>
          <w:sz w:val="20"/>
          <w:szCs w:val="20"/>
          <w:highlight w:val="yellow"/>
          <w:bdr w:val="single" w:sz="4" w:space="0" w:color="auto"/>
        </w:rPr>
        <w:t>一</w:t>
      </w:r>
      <w:r w:rsidRPr="00B02A18">
        <w:rPr>
          <w:b/>
          <w:color w:val="FF0000"/>
          <w:sz w:val="20"/>
          <w:szCs w:val="20"/>
          <w:highlight w:val="yellow"/>
          <w:bdr w:val="single" w:sz="4" w:space="0" w:color="auto"/>
        </w:rPr>
        <w:t>）</w:t>
      </w:r>
      <w:r>
        <w:rPr>
          <w:rFonts w:hint="eastAsia"/>
          <w:b/>
          <w:color w:val="FF0000"/>
          <w:sz w:val="20"/>
          <w:szCs w:val="20"/>
          <w:highlight w:val="yellow"/>
          <w:bdr w:val="single" w:sz="4" w:space="0" w:color="auto"/>
        </w:rPr>
        <w:t>由了經驗而知假</w:t>
      </w:r>
      <w:r w:rsidRPr="00DA3BC7">
        <w:rPr>
          <w:rFonts w:ascii="Times New Roman" w:hAnsi="Times New Roman"/>
          <w:sz w:val="20"/>
          <w:szCs w:val="20"/>
        </w:rPr>
        <w:t>（</w:t>
      </w:r>
      <w:r w:rsidRPr="00DA3BC7">
        <w:rPr>
          <w:rFonts w:ascii="Times New Roman" w:hAnsi="Times New Roman"/>
          <w:sz w:val="20"/>
          <w:szCs w:val="20"/>
        </w:rPr>
        <w:t>pp.115-116</w:t>
      </w:r>
      <w:r w:rsidRPr="00DA3BC7">
        <w:rPr>
          <w:rFonts w:ascii="Times New Roman" w:hAnsi="Times New Roman"/>
          <w:sz w:val="20"/>
          <w:szCs w:val="20"/>
        </w:rPr>
        <w:t>）</w:t>
      </w:r>
    </w:p>
    <w:p w:rsidR="00AA120F" w:rsidRPr="00DA3BC7" w:rsidRDefault="00AA120F" w:rsidP="00FD6EA7">
      <w:pPr>
        <w:ind w:leftChars="150" w:left="360"/>
        <w:jc w:val="both"/>
        <w:rPr>
          <w:rFonts w:ascii="Times New Roman"/>
        </w:rPr>
      </w:pPr>
      <w:r w:rsidRPr="00DA3BC7">
        <w:rPr>
          <w:rFonts w:ascii="Times New Roman"/>
        </w:rPr>
        <w:t>但</w:t>
      </w:r>
      <w:r w:rsidRPr="00DA3BC7">
        <w:rPr>
          <w:rFonts w:ascii="Times New Roman"/>
          <w:b/>
        </w:rPr>
        <w:t>實有，不一定是可靠的，有的在經驗豐富，知識擴展後，即知道過去所認為實有的，不一定是實有的了</w:t>
      </w:r>
      <w:r w:rsidRPr="00DA3BC7">
        <w:rPr>
          <w:rFonts w:ascii="Times New Roman"/>
        </w:rPr>
        <w:t>。</w:t>
      </w:r>
    </w:p>
    <w:p w:rsidR="00AA120F" w:rsidRPr="00DA3BC7" w:rsidRDefault="00AA120F" w:rsidP="00AE3920">
      <w:pPr>
        <w:spacing w:beforeLines="20"/>
        <w:ind w:leftChars="150" w:left="360"/>
        <w:jc w:val="both"/>
        <w:rPr>
          <w:rFonts w:ascii="Times New Roman" w:hAnsi="Times New Roman"/>
        </w:rPr>
      </w:pPr>
      <w:r w:rsidRPr="00DA3BC7">
        <w:rPr>
          <w:rFonts w:ascii="Times New Roman"/>
        </w:rPr>
        <w:t>如青</w:t>
      </w:r>
      <w:r w:rsidRPr="00DA3BC7">
        <w:rPr>
          <w:rFonts w:ascii="Times New Roman" w:hint="eastAsia"/>
        </w:rPr>
        <w:t>、</w:t>
      </w:r>
      <w:r w:rsidRPr="00DA3BC7">
        <w:rPr>
          <w:rFonts w:ascii="Times New Roman"/>
        </w:rPr>
        <w:t>黃等</w:t>
      </w:r>
      <w:r w:rsidRPr="00DA3BC7">
        <w:rPr>
          <w:b/>
        </w:rPr>
        <w:t>顏色</w:t>
      </w:r>
      <w:r w:rsidRPr="00DA3BC7">
        <w:rPr>
          <w:rFonts w:ascii="Times New Roman"/>
        </w:rPr>
        <w:t>，似乎是千真萬確的，在科學者的探究，知道這是一些光</w:t>
      </w:r>
      <w:r w:rsidRPr="00DA3BC7">
        <w:rPr>
          <w:rFonts w:ascii="Times New Roman"/>
        </w:rPr>
        <w:lastRenderedPageBreak/>
        <w:t>波</w:t>
      </w:r>
      <w:r w:rsidRPr="00DA3BC7">
        <w:rPr>
          <w:rStyle w:val="a6"/>
          <w:rFonts w:ascii="Times New Roman" w:hAnsi="Times New Roman"/>
        </w:rPr>
        <w:footnoteReference w:id="525"/>
      </w:r>
      <w:r w:rsidRPr="00DA3BC7">
        <w:rPr>
          <w:rFonts w:ascii="Times New Roman"/>
        </w:rPr>
        <w:t>所假現的。</w:t>
      </w:r>
      <w:r w:rsidRPr="00DA3BC7">
        <w:rPr>
          <w:rFonts w:ascii="Times New Roman"/>
          <w:b/>
        </w:rPr>
        <w:t>依認識經驗的從淺而深，即漸漸的從實有而到達假有。</w:t>
      </w:r>
    </w:p>
    <w:p w:rsidR="00AA120F" w:rsidRPr="00DA3BC7" w:rsidRDefault="00AA120F" w:rsidP="00AE3920">
      <w:pPr>
        <w:spacing w:beforeLines="20"/>
        <w:ind w:leftChars="150" w:left="360"/>
        <w:jc w:val="both"/>
        <w:rPr>
          <w:rFonts w:ascii="Times New Roman" w:hAnsi="Times New Roman"/>
        </w:rPr>
      </w:pPr>
      <w:r w:rsidRPr="00DA3BC7">
        <w:rPr>
          <w:rFonts w:ascii="Times New Roman"/>
        </w:rPr>
        <w:t>像從前，總以為物質的根源，是不可析</w:t>
      </w:r>
      <w:r w:rsidRPr="00DA3BC7">
        <w:rPr>
          <w:rFonts w:ascii="Times New Roman" w:hint="eastAsia"/>
        </w:rPr>
        <w:t>、</w:t>
      </w:r>
      <w:r w:rsidRPr="00DA3BC7">
        <w:rPr>
          <w:rFonts w:ascii="Times New Roman"/>
        </w:rPr>
        <w:t>不可入的實體，現在纔漸漸地知道，即使是電子，也還是太陽系式而不是彈子式的。</w:t>
      </w:r>
    </w:p>
    <w:p w:rsidR="00AA120F" w:rsidRPr="00DA3BC7" w:rsidRDefault="00AA120F" w:rsidP="00AE3920">
      <w:pPr>
        <w:spacing w:beforeLines="30"/>
        <w:ind w:leftChars="150" w:left="360"/>
        <w:jc w:val="both"/>
        <w:rPr>
          <w:rFonts w:hAnsi="Times New Roman"/>
          <w:b/>
          <w:sz w:val="20"/>
          <w:szCs w:val="20"/>
          <w:bdr w:val="single" w:sz="4" w:space="0" w:color="auto"/>
        </w:rPr>
      </w:pPr>
      <w:r w:rsidRPr="00B02A18">
        <w:rPr>
          <w:b/>
          <w:color w:val="FF0000"/>
          <w:sz w:val="20"/>
          <w:szCs w:val="20"/>
          <w:highlight w:val="yellow"/>
          <w:bdr w:val="single" w:sz="4" w:space="0" w:color="auto"/>
        </w:rPr>
        <w:t>（</w:t>
      </w:r>
      <w:r w:rsidR="00B02A18" w:rsidRPr="00B02A18">
        <w:rPr>
          <w:rFonts w:hint="eastAsia"/>
          <w:b/>
          <w:color w:val="FF0000"/>
          <w:sz w:val="20"/>
          <w:szCs w:val="20"/>
          <w:highlight w:val="yellow"/>
          <w:bdr w:val="single" w:sz="4" w:space="0" w:color="auto"/>
        </w:rPr>
        <w:t>二</w:t>
      </w:r>
      <w:r w:rsidRPr="00B02A18">
        <w:rPr>
          <w:b/>
          <w:color w:val="FF0000"/>
          <w:sz w:val="20"/>
          <w:szCs w:val="20"/>
          <w:highlight w:val="yellow"/>
          <w:bdr w:val="single" w:sz="4" w:space="0" w:color="auto"/>
        </w:rPr>
        <w:t>）</w:t>
      </w:r>
      <w:r w:rsidR="00B02A18" w:rsidRPr="00B02A18">
        <w:rPr>
          <w:rFonts w:hint="eastAsia"/>
          <w:b/>
          <w:color w:val="FF0000"/>
          <w:sz w:val="20"/>
          <w:szCs w:val="20"/>
          <w:highlight w:val="yellow"/>
          <w:bdr w:val="single" w:sz="4" w:space="0" w:color="auto"/>
        </w:rPr>
        <w:t>雖或假有必依實</w:t>
      </w:r>
      <w:r w:rsidRPr="00DA3BC7">
        <w:rPr>
          <w:rFonts w:ascii="Times New Roman" w:hAnsi="Times New Roman"/>
          <w:sz w:val="20"/>
          <w:szCs w:val="20"/>
        </w:rPr>
        <w:t>（</w:t>
      </w:r>
      <w:r w:rsidRPr="00DA3BC7">
        <w:rPr>
          <w:rFonts w:ascii="Times New Roman" w:hAnsi="Times New Roman"/>
          <w:sz w:val="20"/>
          <w:szCs w:val="20"/>
        </w:rPr>
        <w:t>p.116</w:t>
      </w:r>
      <w:r w:rsidRPr="00DA3BC7">
        <w:rPr>
          <w:rFonts w:ascii="Times New Roman" w:hAnsi="Times New Roman"/>
          <w:sz w:val="20"/>
          <w:szCs w:val="20"/>
        </w:rPr>
        <w:t>）</w:t>
      </w:r>
    </w:p>
    <w:p w:rsidR="00AA120F" w:rsidRPr="00DA3BC7" w:rsidRDefault="00AA120F" w:rsidP="00FD6EA7">
      <w:pPr>
        <w:ind w:leftChars="150" w:left="360"/>
        <w:jc w:val="both"/>
        <w:rPr>
          <w:rFonts w:ascii="Times New Roman"/>
        </w:rPr>
      </w:pPr>
      <w:r w:rsidRPr="00DA3BC7">
        <w:rPr>
          <w:rFonts w:ascii="Times New Roman"/>
        </w:rPr>
        <w:t>然而常人為此無始來的實有妄見所迷惑，所以</w:t>
      </w:r>
      <w:r w:rsidRPr="00DA3BC7">
        <w:rPr>
          <w:rFonts w:ascii="Times New Roman"/>
          <w:b/>
        </w:rPr>
        <w:t>雖不斷地了達實在者成為假相，而終於覺得它內在的實有</w:t>
      </w:r>
      <w:r w:rsidRPr="00DA3BC7">
        <w:rPr>
          <w:rFonts w:ascii="Times New Roman"/>
        </w:rPr>
        <w:t>，構成</w:t>
      </w:r>
      <w:r w:rsidRPr="00DA3BC7">
        <w:rPr>
          <w:rFonts w:ascii="Times New Roman"/>
          <w:b/>
        </w:rPr>
        <w:t>假象</w:t>
      </w:r>
      <w:r w:rsidRPr="00DA3BC7">
        <w:rPr>
          <w:rStyle w:val="a6"/>
          <w:rFonts w:ascii="Times New Roman" w:hAnsi="Times New Roman"/>
        </w:rPr>
        <w:footnoteReference w:id="526"/>
      </w:r>
      <w:r w:rsidRPr="00DA3BC7">
        <w:rPr>
          <w:rFonts w:ascii="Times New Roman"/>
          <w:b/>
        </w:rPr>
        <w:t>與實質</w:t>
      </w:r>
      <w:r w:rsidRPr="00DA3BC7">
        <w:rPr>
          <w:rStyle w:val="a6"/>
          <w:rFonts w:ascii="Times New Roman" w:hAnsi="Times New Roman"/>
        </w:rPr>
        <w:footnoteReference w:id="527"/>
      </w:r>
      <w:r w:rsidR="00FB6A05">
        <w:rPr>
          <w:rFonts w:ascii="Times New Roman" w:hint="eastAsia"/>
          <w:color w:val="FF0000"/>
          <w:highlight w:val="yellow"/>
        </w:rPr>
        <w:t>、</w:t>
      </w:r>
      <w:r w:rsidRPr="00DA3BC7">
        <w:rPr>
          <w:rFonts w:ascii="Times New Roman"/>
          <w:b/>
        </w:rPr>
        <w:t>現象</w:t>
      </w:r>
      <w:r w:rsidRPr="00DA3BC7">
        <w:rPr>
          <w:rStyle w:val="a6"/>
          <w:rFonts w:ascii="Times New Roman" w:hAnsi="Times New Roman"/>
        </w:rPr>
        <w:footnoteReference w:id="528"/>
      </w:r>
      <w:r w:rsidRPr="00DA3BC7">
        <w:rPr>
          <w:rFonts w:ascii="Times New Roman"/>
          <w:b/>
        </w:rPr>
        <w:t>與本體</w:t>
      </w:r>
      <w:r w:rsidRPr="00DA3BC7">
        <w:rPr>
          <w:rStyle w:val="a6"/>
          <w:rFonts w:ascii="Times New Roman" w:hAnsi="Times New Roman"/>
        </w:rPr>
        <w:footnoteReference w:id="529"/>
      </w:r>
      <w:r w:rsidRPr="00DA3BC7">
        <w:rPr>
          <w:rFonts w:ascii="Times New Roman"/>
        </w:rPr>
        <w:t>等偏執。</w:t>
      </w:r>
    </w:p>
    <w:p w:rsidR="00AA120F" w:rsidRPr="00DA3BC7" w:rsidRDefault="00AA120F" w:rsidP="00AE3920">
      <w:pPr>
        <w:spacing w:beforeLines="20"/>
        <w:ind w:leftChars="150" w:left="360"/>
        <w:jc w:val="both"/>
        <w:rPr>
          <w:rFonts w:ascii="Times New Roman"/>
        </w:rPr>
      </w:pPr>
      <w:r w:rsidRPr="00DA3BC7">
        <w:rPr>
          <w:rFonts w:ascii="Times New Roman"/>
        </w:rPr>
        <w:t>每以為常識上所認識到的，不過是現象，現象不一定都是實有自體；而</w:t>
      </w:r>
      <w:r w:rsidRPr="00DA3BC7">
        <w:rPr>
          <w:rFonts w:ascii="Times New Roman"/>
          <w:b/>
        </w:rPr>
        <w:t>現象的背後或者內在，必有實在的本體在</w:t>
      </w:r>
      <w:r w:rsidRPr="00DA3BC7">
        <w:rPr>
          <w:rFonts w:ascii="Times New Roman"/>
        </w:rPr>
        <w:t>。</w:t>
      </w:r>
    </w:p>
    <w:p w:rsidR="00AA120F" w:rsidRPr="00DA3BC7" w:rsidRDefault="00AA120F" w:rsidP="00AE3920">
      <w:pPr>
        <w:spacing w:beforeLines="20"/>
        <w:ind w:leftChars="150" w:left="360"/>
        <w:jc w:val="both"/>
        <w:rPr>
          <w:rFonts w:ascii="Times New Roman" w:hAnsi="Times New Roman"/>
        </w:rPr>
      </w:pPr>
      <w:r w:rsidRPr="00DA3BC7">
        <w:rPr>
          <w:rFonts w:ascii="Times New Roman"/>
        </w:rPr>
        <w:t>即使說本體是不可知的，也還是要肯定此實在的實體，從素樸的常識的實在，到形而上的本體的實在，永遠的死在實有惡見之下。</w:t>
      </w:r>
    </w:p>
    <w:p w:rsidR="00AA120F" w:rsidRPr="00DA3BC7" w:rsidRDefault="00B02A18" w:rsidP="00AE3920">
      <w:pPr>
        <w:spacing w:beforeLines="30"/>
        <w:ind w:leftChars="50" w:left="120"/>
        <w:jc w:val="both"/>
        <w:rPr>
          <w:rFonts w:ascii="Times New Roman" w:hAnsi="Times New Roman"/>
          <w:b/>
          <w:sz w:val="20"/>
          <w:szCs w:val="20"/>
          <w:bdr w:val="single" w:sz="4" w:space="0" w:color="auto"/>
        </w:rPr>
      </w:pPr>
      <w:r w:rsidRPr="00B02A18">
        <w:rPr>
          <w:rFonts w:ascii="Times New Roman" w:hAnsi="Times New Roman"/>
          <w:b/>
          <w:color w:val="FF0000"/>
          <w:sz w:val="20"/>
          <w:szCs w:val="20"/>
          <w:highlight w:val="yellow"/>
          <w:bdr w:val="single" w:sz="4" w:space="0" w:color="auto"/>
        </w:rPr>
        <w:t>（</w:t>
      </w:r>
      <w:r w:rsidRPr="00B02A18">
        <w:rPr>
          <w:rFonts w:ascii="Times New Roman" w:hAnsi="Times New Roman" w:hint="eastAsia"/>
          <w:b/>
          <w:color w:val="FF0000"/>
          <w:sz w:val="20"/>
          <w:szCs w:val="20"/>
          <w:highlight w:val="yellow"/>
          <w:bdr w:val="single" w:sz="4" w:space="0" w:color="auto"/>
        </w:rPr>
        <w:t>貳</w:t>
      </w:r>
      <w:r w:rsidRPr="00B02A18">
        <w:rPr>
          <w:rFonts w:ascii="Times New Roman" w:hAnsi="Times New Roman"/>
          <w:b/>
          <w:color w:val="FF0000"/>
          <w:sz w:val="20"/>
          <w:szCs w:val="20"/>
          <w:highlight w:val="yellow"/>
          <w:bdr w:val="single" w:sz="4" w:space="0" w:color="auto"/>
        </w:rPr>
        <w:t>）</w:t>
      </w:r>
      <w:r w:rsidRPr="00B02A18">
        <w:rPr>
          <w:rFonts w:ascii="Times New Roman" w:hAnsi="Times New Roman" w:hint="eastAsia"/>
          <w:b/>
          <w:color w:val="FF0000"/>
          <w:sz w:val="20"/>
          <w:szCs w:val="20"/>
          <w:highlight w:val="yellow"/>
          <w:bdr w:val="single" w:sz="4" w:space="0" w:color="auto"/>
        </w:rPr>
        <w:t>實</w:t>
      </w:r>
      <w:r w:rsidR="00AA120F" w:rsidRPr="00B02A18">
        <w:rPr>
          <w:rFonts w:ascii="Times New Roman" w:hAnsi="Times New Roman"/>
          <w:b/>
          <w:color w:val="FF0000"/>
          <w:sz w:val="20"/>
          <w:szCs w:val="20"/>
          <w:highlight w:val="yellow"/>
          <w:bdr w:val="single" w:sz="4" w:space="0" w:color="auto"/>
        </w:rPr>
        <w:t>在</w:t>
      </w:r>
      <w:r w:rsidRPr="00B02A18">
        <w:rPr>
          <w:rFonts w:ascii="Times New Roman" w:hAnsi="Times New Roman" w:hint="eastAsia"/>
          <w:b/>
          <w:color w:val="FF0000"/>
          <w:sz w:val="20"/>
          <w:szCs w:val="20"/>
          <w:highlight w:val="yellow"/>
          <w:bdr w:val="single" w:sz="4" w:space="0" w:color="auto"/>
        </w:rPr>
        <w:t>論的探究</w:t>
      </w:r>
      <w:r w:rsidR="00AA120F" w:rsidRPr="00DA3BC7">
        <w:rPr>
          <w:rFonts w:ascii="Times New Roman" w:hAnsi="Times New Roman"/>
          <w:sz w:val="20"/>
          <w:szCs w:val="20"/>
        </w:rPr>
        <w:t>（</w:t>
      </w:r>
      <w:r w:rsidR="00AA120F" w:rsidRPr="00DA3BC7">
        <w:rPr>
          <w:rFonts w:ascii="Times New Roman" w:hAnsi="Times New Roman" w:hint="eastAsia"/>
          <w:sz w:val="20"/>
          <w:szCs w:val="20"/>
        </w:rPr>
        <w:t>p</w:t>
      </w:r>
      <w:r w:rsidR="00AA120F" w:rsidRPr="00DA3BC7">
        <w:rPr>
          <w:rFonts w:ascii="Times New Roman" w:hAnsi="Times New Roman"/>
          <w:sz w:val="20"/>
          <w:szCs w:val="20"/>
        </w:rPr>
        <w:t>p.116</w:t>
      </w:r>
      <w:r w:rsidR="00AA120F" w:rsidRPr="00DA3BC7">
        <w:rPr>
          <w:rFonts w:ascii="Times New Roman" w:hAnsi="Times New Roman" w:hint="eastAsia"/>
          <w:sz w:val="20"/>
          <w:szCs w:val="20"/>
        </w:rPr>
        <w:t>-117</w:t>
      </w:r>
      <w:r w:rsidR="00AA120F" w:rsidRPr="00DA3BC7">
        <w:rPr>
          <w:rFonts w:ascii="Times New Roman" w:hAnsi="Times New Roman"/>
          <w:sz w:val="20"/>
          <w:szCs w:val="20"/>
        </w:rPr>
        <w:t>）</w:t>
      </w:r>
    </w:p>
    <w:p w:rsidR="00AA120F" w:rsidRPr="00DA3BC7" w:rsidRDefault="00B02A18" w:rsidP="00FD6EA7">
      <w:pPr>
        <w:ind w:leftChars="100" w:left="240"/>
        <w:jc w:val="both"/>
        <w:rPr>
          <w:rFonts w:ascii="Times New Roman" w:hAnsi="Times New Roman"/>
          <w:b/>
          <w:sz w:val="20"/>
          <w:szCs w:val="20"/>
          <w:bdr w:val="single" w:sz="4" w:space="0" w:color="auto"/>
        </w:rPr>
      </w:pPr>
      <w:r w:rsidRPr="00B02A18">
        <w:rPr>
          <w:rFonts w:ascii="Times New Roman" w:hint="eastAsia"/>
          <w:b/>
          <w:color w:val="FF0000"/>
          <w:sz w:val="20"/>
          <w:szCs w:val="20"/>
          <w:highlight w:val="yellow"/>
          <w:bdr w:val="single" w:sz="4" w:space="0" w:color="auto"/>
        </w:rPr>
        <w:t>一、約「</w:t>
      </w:r>
      <w:r w:rsidR="00AA120F" w:rsidRPr="00B02A18">
        <w:rPr>
          <w:rFonts w:ascii="Times New Roman"/>
          <w:b/>
          <w:sz w:val="20"/>
          <w:szCs w:val="20"/>
          <w:bdr w:val="single" w:sz="4" w:space="0" w:color="auto"/>
        </w:rPr>
        <w:t>時間</w:t>
      </w:r>
      <w:r w:rsidRPr="00B02A18">
        <w:rPr>
          <w:rFonts w:ascii="Times New Roman" w:hint="eastAsia"/>
          <w:b/>
          <w:color w:val="FF0000"/>
          <w:sz w:val="20"/>
          <w:szCs w:val="20"/>
          <w:highlight w:val="yellow"/>
          <w:bdr w:val="single" w:sz="4" w:space="0" w:color="auto"/>
        </w:rPr>
        <w:t>」</w:t>
      </w:r>
      <w:r w:rsidR="00AA120F" w:rsidRPr="00B02A18">
        <w:rPr>
          <w:rFonts w:ascii="Times New Roman"/>
          <w:b/>
          <w:sz w:val="20"/>
          <w:szCs w:val="20"/>
          <w:highlight w:val="yellow"/>
          <w:bdr w:val="single" w:sz="4" w:space="0" w:color="auto"/>
        </w:rPr>
        <w:t>說</w:t>
      </w:r>
      <w:r w:rsidR="00AA120F" w:rsidRPr="00DA3BC7">
        <w:rPr>
          <w:rFonts w:ascii="Times New Roman" w:hAnsi="Times New Roman"/>
          <w:sz w:val="20"/>
          <w:szCs w:val="20"/>
        </w:rPr>
        <w:t>（</w:t>
      </w:r>
      <w:r w:rsidR="00AA120F" w:rsidRPr="00DA3BC7">
        <w:rPr>
          <w:rFonts w:ascii="Times New Roman" w:hAnsi="Times New Roman"/>
          <w:sz w:val="20"/>
          <w:szCs w:val="20"/>
        </w:rPr>
        <w:t>p.116</w:t>
      </w:r>
      <w:r w:rsidR="00AA120F" w:rsidRPr="00DA3BC7">
        <w:rPr>
          <w:rFonts w:ascii="Times New Roman" w:hAnsi="Times New Roman"/>
          <w:sz w:val="20"/>
          <w:szCs w:val="20"/>
        </w:rPr>
        <w:t>）</w:t>
      </w:r>
    </w:p>
    <w:p w:rsidR="00AA120F" w:rsidRPr="00DA3BC7" w:rsidRDefault="00AA120F" w:rsidP="00FD6EA7">
      <w:pPr>
        <w:ind w:leftChars="100" w:left="240"/>
        <w:jc w:val="both"/>
        <w:rPr>
          <w:rFonts w:ascii="Times New Roman" w:hAnsi="Times New Roman"/>
        </w:rPr>
      </w:pPr>
      <w:r w:rsidRPr="00DA3BC7">
        <w:rPr>
          <w:rFonts w:ascii="Times New Roman"/>
        </w:rPr>
        <w:t>從</w:t>
      </w:r>
      <w:r w:rsidRPr="00DA3BC7">
        <w:rPr>
          <w:rFonts w:ascii="Times New Roman"/>
          <w:b/>
        </w:rPr>
        <w:t>時間上</w:t>
      </w:r>
      <w:r w:rsidRPr="00DA3BC7">
        <w:rPr>
          <w:rFonts w:ascii="Times New Roman"/>
        </w:rPr>
        <w:t>說，即追求此實在的根元，即是物的本源性，如何從此本源而發現為萬有</w:t>
      </w:r>
      <w:r w:rsidRPr="00DA3BC7">
        <w:rPr>
          <w:rStyle w:val="a6"/>
          <w:rFonts w:ascii="Times New Roman" w:hAnsi="Times New Roman"/>
        </w:rPr>
        <w:footnoteReference w:id="530"/>
      </w:r>
      <w:r w:rsidRPr="00DA3BC7">
        <w:rPr>
          <w:rFonts w:ascii="Times New Roman"/>
        </w:rPr>
        <w:t>，如數論學者（發展論）的自性說。</w:t>
      </w:r>
      <w:r w:rsidRPr="00DA3BC7">
        <w:rPr>
          <w:rStyle w:val="a6"/>
          <w:rFonts w:ascii="Times New Roman" w:hAnsi="Times New Roman"/>
        </w:rPr>
        <w:footnoteReference w:id="531"/>
      </w:r>
    </w:p>
    <w:p w:rsidR="00AA120F" w:rsidRPr="00DA3BC7" w:rsidRDefault="00AA120F" w:rsidP="00AE3920">
      <w:pPr>
        <w:spacing w:beforeLines="30"/>
        <w:ind w:leftChars="100" w:left="240"/>
        <w:jc w:val="both"/>
        <w:rPr>
          <w:rFonts w:ascii="Times New Roman" w:hAnsi="Times New Roman"/>
          <w:b/>
          <w:sz w:val="20"/>
          <w:szCs w:val="20"/>
          <w:bdr w:val="single" w:sz="4" w:space="0" w:color="auto"/>
        </w:rPr>
      </w:pPr>
      <w:r w:rsidRPr="00B02A18">
        <w:rPr>
          <w:rFonts w:ascii="Times New Roman" w:hAnsi="Times New Roman" w:hint="eastAsia"/>
          <w:b/>
          <w:color w:val="FF0000"/>
          <w:sz w:val="20"/>
          <w:szCs w:val="20"/>
          <w:highlight w:val="yellow"/>
          <w:bdr w:val="single" w:sz="4" w:space="0" w:color="auto"/>
        </w:rPr>
        <w:t>二</w:t>
      </w:r>
      <w:r w:rsidR="00B02A18" w:rsidRPr="00B02A18">
        <w:rPr>
          <w:rFonts w:ascii="Times New Roman" w:hAnsi="Times New Roman" w:hint="eastAsia"/>
          <w:b/>
          <w:color w:val="FF0000"/>
          <w:sz w:val="20"/>
          <w:szCs w:val="20"/>
          <w:highlight w:val="yellow"/>
          <w:bdr w:val="single" w:sz="4" w:space="0" w:color="auto"/>
        </w:rPr>
        <w:t>、</w:t>
      </w:r>
      <w:r w:rsidR="00B02A18" w:rsidRPr="00B02A18">
        <w:rPr>
          <w:rFonts w:ascii="Times New Roman" w:hint="eastAsia"/>
          <w:b/>
          <w:color w:val="FF0000"/>
          <w:sz w:val="20"/>
          <w:szCs w:val="20"/>
          <w:highlight w:val="yellow"/>
          <w:bdr w:val="single" w:sz="4" w:space="0" w:color="auto"/>
        </w:rPr>
        <w:t>約「</w:t>
      </w:r>
      <w:r w:rsidRPr="00DA3BC7">
        <w:rPr>
          <w:rFonts w:ascii="Times New Roman"/>
          <w:b/>
          <w:sz w:val="20"/>
          <w:szCs w:val="20"/>
          <w:bdr w:val="single" w:sz="4" w:space="0" w:color="auto"/>
        </w:rPr>
        <w:t>空間</w:t>
      </w:r>
      <w:r w:rsidR="00B02A18" w:rsidRPr="00B02A18">
        <w:rPr>
          <w:rFonts w:ascii="Times New Roman" w:hint="eastAsia"/>
          <w:b/>
          <w:color w:val="FF0000"/>
          <w:sz w:val="20"/>
          <w:szCs w:val="20"/>
          <w:highlight w:val="yellow"/>
          <w:bdr w:val="single" w:sz="4" w:space="0" w:color="auto"/>
        </w:rPr>
        <w:t>」</w:t>
      </w:r>
      <w:r w:rsidR="00B02A18" w:rsidRPr="00B02A18">
        <w:rPr>
          <w:rFonts w:ascii="Times New Roman"/>
          <w:b/>
          <w:sz w:val="20"/>
          <w:szCs w:val="20"/>
          <w:highlight w:val="yellow"/>
          <w:bdr w:val="single" w:sz="4" w:space="0" w:color="auto"/>
        </w:rPr>
        <w:t>說</w:t>
      </w:r>
      <w:r w:rsidRPr="00DA3BC7">
        <w:rPr>
          <w:rFonts w:ascii="Times New Roman" w:hAnsi="Times New Roman"/>
          <w:sz w:val="20"/>
          <w:szCs w:val="20"/>
        </w:rPr>
        <w:t>（</w:t>
      </w:r>
      <w:r w:rsidRPr="00DA3BC7">
        <w:rPr>
          <w:rFonts w:ascii="Times New Roman" w:hAnsi="Times New Roman"/>
          <w:sz w:val="20"/>
          <w:szCs w:val="20"/>
        </w:rPr>
        <w:t>p.116</w:t>
      </w:r>
      <w:r w:rsidRPr="00DA3BC7">
        <w:rPr>
          <w:rFonts w:ascii="Times New Roman" w:hAnsi="Times New Roman"/>
          <w:sz w:val="20"/>
          <w:szCs w:val="20"/>
        </w:rPr>
        <w:t>）</w:t>
      </w:r>
    </w:p>
    <w:p w:rsidR="00AA120F" w:rsidRPr="00DA3BC7" w:rsidRDefault="00AA120F" w:rsidP="00FD6EA7">
      <w:pPr>
        <w:ind w:leftChars="100" w:left="240"/>
        <w:jc w:val="both"/>
        <w:rPr>
          <w:rFonts w:ascii="Times New Roman" w:hAnsi="Times New Roman"/>
        </w:rPr>
      </w:pPr>
      <w:r w:rsidRPr="00DA3BC7">
        <w:rPr>
          <w:rFonts w:ascii="Times New Roman"/>
        </w:rPr>
        <w:t>從</w:t>
      </w:r>
      <w:r w:rsidRPr="00DA3BC7">
        <w:rPr>
          <w:rFonts w:ascii="Times New Roman"/>
          <w:b/>
        </w:rPr>
        <w:t>空間上</w:t>
      </w:r>
      <w:r w:rsidRPr="00DA3BC7">
        <w:rPr>
          <w:rFonts w:ascii="Times New Roman"/>
        </w:rPr>
        <w:t>說，每分析到事物</w:t>
      </w:r>
      <w:r w:rsidRPr="00DA3BC7">
        <w:rPr>
          <w:rFonts w:ascii="新細明體" w:hAnsi="新細明體"/>
        </w:rPr>
        <w:t>──</w:t>
      </w:r>
      <w:r w:rsidRPr="00DA3BC7">
        <w:rPr>
          <w:rFonts w:ascii="Times New Roman"/>
        </w:rPr>
        <w:t>甚至事與理的不可分析的質素</w:t>
      </w:r>
      <w:r w:rsidRPr="00DA3BC7">
        <w:rPr>
          <w:rStyle w:val="a6"/>
          <w:rFonts w:ascii="Times New Roman" w:hAnsi="Times New Roman"/>
        </w:rPr>
        <w:footnoteReference w:id="532"/>
      </w:r>
      <w:r w:rsidRPr="00DA3BC7">
        <w:rPr>
          <w:rFonts w:ascii="Times New Roman"/>
        </w:rPr>
        <w:t>，以為一切世間的和合相續，都是從此實有的質素成的，如勝論學者（組織論）的六句說。</w:t>
      </w:r>
      <w:r w:rsidRPr="00DA3BC7">
        <w:rPr>
          <w:rStyle w:val="a6"/>
          <w:rFonts w:ascii="Times New Roman" w:hAnsi="Times New Roman"/>
        </w:rPr>
        <w:footnoteReference w:id="533"/>
      </w:r>
    </w:p>
    <w:p w:rsidR="00AA120F" w:rsidRPr="00DA3BC7" w:rsidRDefault="00AA120F" w:rsidP="00AE3920">
      <w:pPr>
        <w:spacing w:beforeLines="30"/>
        <w:ind w:leftChars="100" w:left="240"/>
        <w:jc w:val="both"/>
        <w:rPr>
          <w:rFonts w:ascii="Times New Roman" w:hAnsi="Times New Roman"/>
          <w:sz w:val="20"/>
          <w:szCs w:val="20"/>
        </w:rPr>
      </w:pPr>
      <w:r w:rsidRPr="00B02A18">
        <w:rPr>
          <w:rFonts w:ascii="Times New Roman" w:hAnsi="Times New Roman" w:hint="eastAsia"/>
          <w:b/>
          <w:color w:val="FF0000"/>
          <w:sz w:val="20"/>
          <w:szCs w:val="20"/>
          <w:highlight w:val="yellow"/>
          <w:bdr w:val="single" w:sz="4" w:space="0" w:color="auto"/>
        </w:rPr>
        <w:lastRenderedPageBreak/>
        <w:t>三</w:t>
      </w:r>
      <w:r w:rsidR="00B02A18" w:rsidRPr="00B02A18">
        <w:rPr>
          <w:rFonts w:ascii="Times New Roman" w:hAnsi="Times New Roman" w:hint="eastAsia"/>
          <w:b/>
          <w:color w:val="FF0000"/>
          <w:sz w:val="20"/>
          <w:szCs w:val="20"/>
          <w:highlight w:val="yellow"/>
          <w:bdr w:val="single" w:sz="4" w:space="0" w:color="auto"/>
        </w:rPr>
        <w:t>、約「</w:t>
      </w:r>
      <w:r w:rsidRPr="00DA3BC7">
        <w:rPr>
          <w:rFonts w:ascii="Times New Roman" w:hAnsi="Times New Roman" w:hint="eastAsia"/>
          <w:b/>
          <w:sz w:val="20"/>
          <w:szCs w:val="20"/>
          <w:bdr w:val="single" w:sz="4" w:space="0" w:color="auto"/>
        </w:rPr>
        <w:t>直</w:t>
      </w:r>
      <w:r w:rsidR="00B02A18" w:rsidRPr="00B02A18">
        <w:rPr>
          <w:rFonts w:ascii="Times New Roman" w:hAnsi="Times New Roman" w:hint="eastAsia"/>
          <w:b/>
          <w:color w:val="FF0000"/>
          <w:sz w:val="20"/>
          <w:szCs w:val="20"/>
          <w:highlight w:val="yellow"/>
          <w:bdr w:val="single" w:sz="4" w:space="0" w:color="auto"/>
        </w:rPr>
        <w:t>感」</w:t>
      </w:r>
      <w:r w:rsidRPr="00B77A8E">
        <w:rPr>
          <w:rFonts w:ascii="Times New Roman" w:hAnsi="Times New Roman"/>
          <w:b/>
          <w:sz w:val="20"/>
          <w:szCs w:val="20"/>
          <w:bdr w:val="single" w:sz="4" w:space="0" w:color="auto"/>
        </w:rPr>
        <w:t>說</w:t>
      </w:r>
      <w:r w:rsidRPr="00DA3BC7">
        <w:rPr>
          <w:rFonts w:ascii="Times New Roman" w:hAnsi="Times New Roman"/>
          <w:sz w:val="20"/>
          <w:szCs w:val="20"/>
        </w:rPr>
        <w:t>（</w:t>
      </w:r>
      <w:r w:rsidRPr="00DA3BC7">
        <w:rPr>
          <w:rFonts w:ascii="Times New Roman" w:hAnsi="Times New Roman" w:hint="eastAsia"/>
          <w:sz w:val="20"/>
          <w:szCs w:val="20"/>
        </w:rPr>
        <w:t>p</w:t>
      </w:r>
      <w:r w:rsidRPr="00DA3BC7">
        <w:rPr>
          <w:rFonts w:ascii="Times New Roman" w:hAnsi="Times New Roman"/>
          <w:sz w:val="20"/>
          <w:szCs w:val="20"/>
        </w:rPr>
        <w:t>p.116</w:t>
      </w:r>
      <w:r w:rsidRPr="00DA3BC7">
        <w:rPr>
          <w:rFonts w:ascii="Times New Roman" w:hAnsi="Times New Roman" w:hint="eastAsia"/>
          <w:sz w:val="20"/>
          <w:szCs w:val="20"/>
        </w:rPr>
        <w:t>-117</w:t>
      </w:r>
      <w:r w:rsidRPr="00DA3BC7">
        <w:rPr>
          <w:rFonts w:ascii="Times New Roman" w:hAnsi="Times New Roman"/>
          <w:sz w:val="20"/>
          <w:szCs w:val="20"/>
        </w:rPr>
        <w:t>）</w:t>
      </w:r>
    </w:p>
    <w:p w:rsidR="00AA120F" w:rsidRPr="00DA3BC7" w:rsidRDefault="00AA120F" w:rsidP="00FD6EA7">
      <w:pPr>
        <w:ind w:leftChars="100" w:left="240"/>
        <w:jc w:val="both"/>
        <w:rPr>
          <w:rFonts w:ascii="Times New Roman" w:hAnsi="Times New Roman"/>
        </w:rPr>
      </w:pPr>
      <w:r w:rsidRPr="00DA3BC7">
        <w:rPr>
          <w:rFonts w:ascii="Times New Roman"/>
        </w:rPr>
        <w:t>即使不從時空去考察，在直對諸法的認識上，也覺得現相內有本體的存在。</w:t>
      </w:r>
    </w:p>
    <w:p w:rsidR="00AA120F" w:rsidRPr="00DA3BC7" w:rsidRDefault="00AA120F" w:rsidP="00AE3920">
      <w:pPr>
        <w:spacing w:beforeLines="20"/>
        <w:ind w:leftChars="100" w:left="240"/>
        <w:jc w:val="both"/>
        <w:rPr>
          <w:rFonts w:ascii="Times New Roman" w:hAnsi="Times New Roman"/>
        </w:rPr>
      </w:pPr>
      <w:r w:rsidRPr="00DA3BC7">
        <w:rPr>
          <w:rFonts w:ascii="Times New Roman"/>
        </w:rPr>
        <w:t>歸根結底</w:t>
      </w:r>
      <w:r w:rsidRPr="00DA3BC7">
        <w:rPr>
          <w:rStyle w:val="a6"/>
          <w:rFonts w:ascii="Times New Roman" w:hAnsi="Times New Roman"/>
        </w:rPr>
        <w:footnoteReference w:id="534"/>
      </w:r>
      <w:r w:rsidRPr="00DA3BC7">
        <w:rPr>
          <w:rFonts w:ascii="Times New Roman"/>
        </w:rPr>
        <w:t>，這都是從自性</w:t>
      </w:r>
      <w:r w:rsidRPr="00DA3BC7">
        <w:rPr>
          <w:rFonts w:ascii="新細明體" w:hAnsi="新細明體"/>
        </w:rPr>
        <w:t>──</w:t>
      </w:r>
      <w:r w:rsidRPr="00DA3BC7">
        <w:rPr>
          <w:rFonts w:ascii="Times New Roman"/>
        </w:rPr>
        <w:t>有的計執而來</w:t>
      </w:r>
      <w:r w:rsidRPr="00DA3BC7">
        <w:rPr>
          <w:rFonts w:ascii="Times New Roman" w:hint="eastAsia"/>
        </w:rPr>
        <w:t>，</w:t>
      </w:r>
      <w:r w:rsidRPr="00DA3BC7">
        <w:rPr>
          <w:rFonts w:ascii="Times New Roman"/>
        </w:rPr>
        <w:t>都從此一度</w:t>
      </w:r>
      <w:r w:rsidRPr="00DA3BC7">
        <w:rPr>
          <w:rFonts w:ascii="新細明體" w:hAnsi="新細明體"/>
        </w:rPr>
        <w:t>──</w:t>
      </w:r>
      <w:r w:rsidRPr="00DA3BC7">
        <w:rPr>
          <w:rFonts w:ascii="Times New Roman"/>
        </w:rPr>
        <w:t>從</w:t>
      </w:r>
      <w:r w:rsidRPr="00DA3BC7">
        <w:rPr>
          <w:rFonts w:ascii="Times New Roman"/>
          <w:b/>
        </w:rPr>
        <w:t>現象</w:t>
      </w:r>
      <w:r w:rsidRPr="00DA3BC7">
        <w:rPr>
          <w:rFonts w:ascii="Times New Roman"/>
        </w:rPr>
        <w:t>直入</w:t>
      </w:r>
      <w:r w:rsidRPr="00DA3BC7">
        <w:rPr>
          <w:rFonts w:ascii="Times New Roman"/>
          <w:b/>
        </w:rPr>
        <w:t>內在的直感實在性</w:t>
      </w:r>
      <w:r w:rsidRPr="00DA3BC7">
        <w:rPr>
          <w:rFonts w:ascii="Times New Roman"/>
        </w:rPr>
        <w:t>而來。</w:t>
      </w:r>
    </w:p>
    <w:p w:rsidR="00AA120F" w:rsidRPr="00DA3BC7" w:rsidRDefault="00FC5046" w:rsidP="00AE3920">
      <w:pPr>
        <w:spacing w:beforeLines="30"/>
        <w:jc w:val="both"/>
        <w:rPr>
          <w:rFonts w:ascii="Times New Roman" w:hAnsi="Times New Roman"/>
          <w:sz w:val="20"/>
          <w:szCs w:val="20"/>
        </w:rPr>
      </w:pPr>
      <w:r w:rsidRPr="00DA3BC7">
        <w:rPr>
          <w:rFonts w:hint="eastAsia"/>
          <w:b/>
          <w:sz w:val="20"/>
          <w:szCs w:val="20"/>
          <w:bdr w:val="single" w:sz="4" w:space="0" w:color="auto"/>
        </w:rPr>
        <w:t>參</w:t>
      </w:r>
      <w:r w:rsidR="00AA120F" w:rsidRPr="00DA3BC7">
        <w:rPr>
          <w:b/>
          <w:sz w:val="20"/>
          <w:szCs w:val="20"/>
          <w:bdr w:val="single" w:sz="4" w:space="0" w:color="auto"/>
        </w:rPr>
        <w:t>、</w:t>
      </w:r>
      <w:r w:rsidR="00B77A8E">
        <w:rPr>
          <w:rFonts w:hint="eastAsia"/>
          <w:b/>
          <w:color w:val="FF0000"/>
          <w:sz w:val="20"/>
          <w:szCs w:val="20"/>
          <w:highlight w:val="yellow"/>
          <w:bdr w:val="single" w:sz="4" w:space="0" w:color="auto"/>
        </w:rPr>
        <w:t>歸結</w:t>
      </w:r>
      <w:r w:rsidR="00AA120F" w:rsidRPr="00DA3BC7">
        <w:rPr>
          <w:rFonts w:ascii="Times New Roman" w:hAnsi="Times New Roman"/>
          <w:sz w:val="20"/>
          <w:szCs w:val="20"/>
        </w:rPr>
        <w:t>（</w:t>
      </w:r>
      <w:r w:rsidR="00AA120F" w:rsidRPr="00DA3BC7">
        <w:rPr>
          <w:rFonts w:ascii="Times New Roman" w:hAnsi="Times New Roman"/>
          <w:sz w:val="20"/>
          <w:szCs w:val="20"/>
        </w:rPr>
        <w:t>p.117</w:t>
      </w:r>
      <w:r w:rsidR="00AA120F" w:rsidRPr="00DA3BC7">
        <w:rPr>
          <w:rFonts w:ascii="Times New Roman" w:hAnsi="Times New Roman"/>
          <w:sz w:val="20"/>
          <w:szCs w:val="20"/>
        </w:rPr>
        <w:t>）</w:t>
      </w:r>
    </w:p>
    <w:p w:rsidR="00AA120F" w:rsidRPr="00DA3BC7" w:rsidRDefault="00AA120F" w:rsidP="00AE3920">
      <w:pPr>
        <w:spacing w:afterLines="10"/>
        <w:ind w:leftChars="50" w:left="120"/>
        <w:jc w:val="both"/>
        <w:rPr>
          <w:rFonts w:hAnsi="Times New Roman"/>
          <w:b/>
          <w:sz w:val="20"/>
          <w:szCs w:val="20"/>
          <w:bdr w:val="single" w:sz="4" w:space="0" w:color="auto"/>
        </w:rPr>
      </w:pPr>
      <w:r w:rsidRPr="00DA3BC7">
        <w:rPr>
          <w:b/>
          <w:sz w:val="20"/>
          <w:szCs w:val="20"/>
          <w:bdr w:val="single" w:sz="4" w:space="0" w:color="auto"/>
        </w:rPr>
        <w:t>（壹）</w:t>
      </w:r>
      <w:r w:rsidRPr="00B77A8E">
        <w:rPr>
          <w:b/>
          <w:sz w:val="20"/>
          <w:szCs w:val="20"/>
          <w:highlight w:val="yellow"/>
          <w:bdr w:val="single" w:sz="4" w:space="0" w:color="auto"/>
        </w:rPr>
        <w:t>假</w:t>
      </w:r>
      <w:r w:rsidRPr="00DA3BC7">
        <w:rPr>
          <w:b/>
          <w:sz w:val="20"/>
          <w:szCs w:val="20"/>
          <w:bdr w:val="single" w:sz="4" w:space="0" w:color="auto"/>
        </w:rPr>
        <w:t>必依實</w:t>
      </w:r>
      <w:r w:rsidR="004567A6">
        <w:rPr>
          <w:rFonts w:hint="eastAsia"/>
          <w:b/>
          <w:sz w:val="20"/>
          <w:szCs w:val="20"/>
          <w:bdr w:val="single" w:sz="4" w:space="0" w:color="auto"/>
        </w:rPr>
        <w:t>，</w:t>
      </w:r>
      <w:r w:rsidR="00B77A8E">
        <w:rPr>
          <w:rFonts w:hint="eastAsia"/>
          <w:b/>
          <w:color w:val="FF0000"/>
          <w:sz w:val="20"/>
          <w:szCs w:val="20"/>
          <w:highlight w:val="yellow"/>
          <w:bdr w:val="single" w:sz="4" w:space="0" w:color="auto"/>
        </w:rPr>
        <w:t>著自性</w:t>
      </w:r>
      <w:r w:rsidRPr="00DA3BC7">
        <w:rPr>
          <w:rFonts w:ascii="Times New Roman" w:hAnsi="Times New Roman"/>
          <w:sz w:val="20"/>
          <w:szCs w:val="20"/>
        </w:rPr>
        <w:t>（</w:t>
      </w:r>
      <w:r w:rsidRPr="00DA3BC7">
        <w:rPr>
          <w:rFonts w:ascii="Times New Roman" w:hAnsi="Times New Roman"/>
          <w:sz w:val="20"/>
          <w:szCs w:val="20"/>
        </w:rPr>
        <w:t>p.117</w:t>
      </w:r>
      <w:r w:rsidRPr="00DA3BC7">
        <w:rPr>
          <w:rFonts w:ascii="Times New Roman" w:hAnsi="Times New Roman"/>
          <w:sz w:val="20"/>
          <w:szCs w:val="20"/>
        </w:rPr>
        <w:t>）</w:t>
      </w:r>
    </w:p>
    <w:p w:rsidR="00AA120F" w:rsidRPr="00DA3BC7" w:rsidRDefault="00AA120F" w:rsidP="008E2BBC">
      <w:pPr>
        <w:ind w:leftChars="50" w:left="120"/>
        <w:jc w:val="both"/>
        <w:rPr>
          <w:rFonts w:ascii="Times New Roman"/>
        </w:rPr>
      </w:pPr>
      <w:r w:rsidRPr="00DA3BC7">
        <w:rPr>
          <w:rFonts w:ascii="Times New Roman"/>
        </w:rPr>
        <w:t>此實在的直感，本於認識根源的缺陷性，成為人類</w:t>
      </w:r>
      <w:r w:rsidRPr="00DA3BC7">
        <w:rPr>
          <w:rFonts w:ascii="新細明體" w:hAnsi="新細明體"/>
        </w:rPr>
        <w:t>──</w:t>
      </w:r>
      <w:r w:rsidRPr="00DA3BC7">
        <w:rPr>
          <w:rFonts w:ascii="Times New Roman"/>
        </w:rPr>
        <w:t>眾生普遍牢不可破的成見。</w:t>
      </w:r>
    </w:p>
    <w:p w:rsidR="00AA120F" w:rsidRPr="00DA3BC7" w:rsidRDefault="00AA120F" w:rsidP="00AE3920">
      <w:pPr>
        <w:spacing w:beforeLines="20"/>
        <w:ind w:leftChars="50" w:left="120"/>
        <w:jc w:val="both"/>
        <w:rPr>
          <w:rFonts w:ascii="Times New Roman"/>
        </w:rPr>
      </w:pPr>
      <w:r w:rsidRPr="00DA3BC7">
        <w:rPr>
          <w:rFonts w:ascii="Times New Roman"/>
        </w:rPr>
        <w:t>雖因意識的經驗推比而漸漸的理解了些，而終於不能徹底掀翻，終於迷而不覺，而想像為「</w:t>
      </w:r>
      <w:r w:rsidRPr="00DA3BC7">
        <w:rPr>
          <w:rFonts w:ascii="Times New Roman"/>
          <w:b/>
        </w:rPr>
        <w:t>假必依實</w:t>
      </w:r>
      <w:r w:rsidRPr="00DA3BC7">
        <w:rPr>
          <w:rFonts w:ascii="Times New Roman"/>
        </w:rPr>
        <w:t>」，從</w:t>
      </w:r>
      <w:r w:rsidRPr="00DA3BC7">
        <w:rPr>
          <w:rFonts w:ascii="Times New Roman"/>
          <w:b/>
        </w:rPr>
        <w:t>認識的現象</w:t>
      </w:r>
      <w:r w:rsidRPr="00DA3BC7">
        <w:rPr>
          <w:rFonts w:ascii="Times New Roman"/>
        </w:rPr>
        <w:t>而</w:t>
      </w:r>
      <w:r w:rsidRPr="00DA3BC7">
        <w:rPr>
          <w:rFonts w:ascii="Times New Roman"/>
          <w:b/>
        </w:rPr>
        <w:t>直覺內在的真實</w:t>
      </w:r>
      <w:r w:rsidRPr="00DA3BC7">
        <w:rPr>
          <w:rFonts w:ascii="Times New Roman"/>
        </w:rPr>
        <w:t>。</w:t>
      </w:r>
    </w:p>
    <w:p w:rsidR="00AA120F" w:rsidRPr="00DA3BC7" w:rsidRDefault="00AA120F" w:rsidP="00AE3920">
      <w:pPr>
        <w:spacing w:beforeLines="20"/>
        <w:ind w:leftChars="50" w:left="120"/>
        <w:jc w:val="both"/>
        <w:rPr>
          <w:rFonts w:ascii="Times New Roman" w:hAnsi="Times New Roman"/>
        </w:rPr>
      </w:pPr>
      <w:r w:rsidRPr="00DA3BC7">
        <w:rPr>
          <w:rFonts w:ascii="Times New Roman"/>
        </w:rPr>
        <w:t>所以，不必是</w:t>
      </w:r>
      <w:r w:rsidRPr="00DA3BC7">
        <w:rPr>
          <w:rFonts w:ascii="Times New Roman"/>
          <w:b/>
        </w:rPr>
        <w:t>時間</w:t>
      </w:r>
      <w:r w:rsidRPr="00DA3BC7">
        <w:rPr>
          <w:rFonts w:ascii="Times New Roman"/>
        </w:rPr>
        <w:t>的</w:t>
      </w:r>
      <w:r w:rsidRPr="00DA3BC7">
        <w:rPr>
          <w:rFonts w:ascii="Times New Roman"/>
          <w:b/>
        </w:rPr>
        <w:t>始終尋求</w:t>
      </w:r>
      <w:r w:rsidRPr="00DA3BC7">
        <w:rPr>
          <w:rFonts w:ascii="Times New Roman"/>
        </w:rPr>
        <w:t>，也不必是</w:t>
      </w:r>
      <w:r w:rsidRPr="00DA3BC7">
        <w:rPr>
          <w:rFonts w:ascii="Times New Roman"/>
          <w:b/>
        </w:rPr>
        <w:t>空間</w:t>
      </w:r>
      <w:r w:rsidRPr="00DA3BC7">
        <w:rPr>
          <w:rFonts w:ascii="Times New Roman"/>
        </w:rPr>
        <w:t>的</w:t>
      </w:r>
      <w:r w:rsidRPr="00DA3BC7">
        <w:rPr>
          <w:rFonts w:ascii="Times New Roman"/>
          <w:b/>
        </w:rPr>
        <w:t>中邊分別</w:t>
      </w:r>
      <w:r w:rsidRPr="00DA3BC7">
        <w:rPr>
          <w:rFonts w:ascii="Times New Roman"/>
        </w:rPr>
        <w:t>，而不能不是</w:t>
      </w:r>
      <w:r w:rsidRPr="00DA3BC7">
        <w:rPr>
          <w:rFonts w:ascii="Times New Roman"/>
          <w:b/>
        </w:rPr>
        <w:t>直感內在實有</w:t>
      </w:r>
      <w:r w:rsidRPr="00DA3BC7">
        <w:rPr>
          <w:rFonts w:ascii="Times New Roman"/>
        </w:rPr>
        <w:t>的。</w:t>
      </w:r>
    </w:p>
    <w:p w:rsidR="00AA120F" w:rsidRPr="00DA3BC7" w:rsidRDefault="00AA120F" w:rsidP="00AE3920">
      <w:pPr>
        <w:spacing w:beforeLines="30"/>
        <w:ind w:leftChars="50" w:left="120"/>
        <w:jc w:val="both"/>
        <w:rPr>
          <w:rFonts w:hAnsi="Times New Roman"/>
          <w:b/>
          <w:sz w:val="20"/>
          <w:szCs w:val="20"/>
          <w:bdr w:val="single" w:sz="4" w:space="0" w:color="auto"/>
        </w:rPr>
      </w:pPr>
      <w:r w:rsidRPr="00DA3BC7">
        <w:rPr>
          <w:b/>
          <w:sz w:val="20"/>
          <w:szCs w:val="20"/>
          <w:bdr w:val="single" w:sz="4" w:space="0" w:color="auto"/>
        </w:rPr>
        <w:t>（貳）</w:t>
      </w:r>
      <w:r w:rsidRPr="00B77A8E">
        <w:rPr>
          <w:b/>
          <w:color w:val="FF0000"/>
          <w:sz w:val="20"/>
          <w:szCs w:val="20"/>
          <w:highlight w:val="yellow"/>
          <w:bdr w:val="single" w:sz="4" w:space="0" w:color="auto"/>
        </w:rPr>
        <w:t>性</w:t>
      </w:r>
      <w:r w:rsidR="00B77A8E" w:rsidRPr="00B77A8E">
        <w:rPr>
          <w:rFonts w:hint="eastAsia"/>
          <w:b/>
          <w:color w:val="FF0000"/>
          <w:sz w:val="20"/>
          <w:szCs w:val="20"/>
          <w:highlight w:val="yellow"/>
          <w:bdr w:val="single" w:sz="4" w:space="0" w:color="auto"/>
        </w:rPr>
        <w:t>空唯名</w:t>
      </w:r>
      <w:r w:rsidR="004567A6">
        <w:rPr>
          <w:rFonts w:hint="eastAsia"/>
          <w:b/>
          <w:color w:val="FF0000"/>
          <w:sz w:val="20"/>
          <w:szCs w:val="20"/>
          <w:highlight w:val="yellow"/>
          <w:bdr w:val="single" w:sz="4" w:space="0" w:color="auto"/>
        </w:rPr>
        <w:t>，</w:t>
      </w:r>
      <w:r w:rsidR="00B77A8E" w:rsidRPr="00B77A8E">
        <w:rPr>
          <w:rFonts w:hint="eastAsia"/>
          <w:b/>
          <w:color w:val="FF0000"/>
          <w:sz w:val="20"/>
          <w:szCs w:val="20"/>
          <w:highlight w:val="yellow"/>
          <w:bdr w:val="single" w:sz="4" w:space="0" w:color="auto"/>
        </w:rPr>
        <w:t>達</w:t>
      </w:r>
      <w:r w:rsidRPr="00DA3BC7">
        <w:rPr>
          <w:b/>
          <w:sz w:val="20"/>
          <w:szCs w:val="20"/>
          <w:bdr w:val="single" w:sz="4" w:space="0" w:color="auto"/>
        </w:rPr>
        <w:t>中</w:t>
      </w:r>
      <w:r w:rsidRPr="00B77A8E">
        <w:rPr>
          <w:b/>
          <w:sz w:val="20"/>
          <w:szCs w:val="20"/>
          <w:highlight w:val="yellow"/>
          <w:bdr w:val="single" w:sz="4" w:space="0" w:color="auto"/>
        </w:rPr>
        <w:t>道</w:t>
      </w:r>
      <w:r w:rsidRPr="00DA3BC7">
        <w:rPr>
          <w:rFonts w:ascii="Times New Roman" w:hAnsi="Times New Roman"/>
          <w:sz w:val="20"/>
          <w:szCs w:val="20"/>
        </w:rPr>
        <w:t>（</w:t>
      </w:r>
      <w:r w:rsidRPr="00DA3BC7">
        <w:rPr>
          <w:rFonts w:ascii="Times New Roman" w:hAnsi="Times New Roman"/>
          <w:sz w:val="20"/>
          <w:szCs w:val="20"/>
        </w:rPr>
        <w:t>p.117</w:t>
      </w:r>
      <w:r w:rsidRPr="00DA3BC7">
        <w:rPr>
          <w:rFonts w:ascii="Times New Roman" w:hAnsi="Times New Roman"/>
          <w:sz w:val="20"/>
          <w:szCs w:val="20"/>
        </w:rPr>
        <w:t>）</w:t>
      </w:r>
    </w:p>
    <w:p w:rsidR="00AA120F" w:rsidRPr="00DA3BC7" w:rsidRDefault="00AA120F" w:rsidP="008E2BBC">
      <w:pPr>
        <w:ind w:leftChars="50" w:left="120"/>
        <w:jc w:val="both"/>
        <w:rPr>
          <w:rFonts w:ascii="Times New Roman"/>
          <w:b/>
        </w:rPr>
        <w:sectPr w:rsidR="00AA120F" w:rsidRPr="00DA3BC7" w:rsidSect="00AA120F">
          <w:headerReference w:type="even" r:id="rId48"/>
          <w:headerReference w:type="default" r:id="rId49"/>
          <w:footnotePr>
            <w:numRestart w:val="eachSect"/>
          </w:footnotePr>
          <w:pgSz w:w="10773" w:h="14742" w:code="155"/>
          <w:pgMar w:top="1418" w:right="1418" w:bottom="1418" w:left="1418" w:header="851" w:footer="992" w:gutter="0"/>
          <w:cols w:space="425"/>
          <w:docGrid w:type="lines" w:linePitch="360"/>
        </w:sectPr>
      </w:pPr>
      <w:r w:rsidRPr="00DA3BC7">
        <w:rPr>
          <w:rFonts w:ascii="Times New Roman"/>
        </w:rPr>
        <w:t>唯有佛法，尋求此自性而極於不可得，徹了一切唯假名（也有能</w:t>
      </w:r>
      <w:r w:rsidRPr="00FB6A05">
        <w:rPr>
          <w:rFonts w:ascii="Times New Roman"/>
          <w:highlight w:val="yellow"/>
        </w:rPr>
        <w:t>依所</w:t>
      </w:r>
      <w:r w:rsidRPr="00DA3BC7">
        <w:rPr>
          <w:rFonts w:ascii="Times New Roman"/>
        </w:rPr>
        <w:t>依的層次）</w:t>
      </w:r>
      <w:r w:rsidR="00FB6A05">
        <w:rPr>
          <w:rFonts w:ascii="Times New Roman" w:hint="eastAsia"/>
          <w:color w:val="FF0000"/>
          <w:highlight w:val="yellow"/>
        </w:rPr>
        <w:t>、</w:t>
      </w:r>
      <w:r w:rsidRPr="00DA3BC7">
        <w:rPr>
          <w:rFonts w:ascii="Times New Roman"/>
        </w:rPr>
        <w:t>一切畢竟空，掃盡一切有情所同病的，也被人看作人同此心</w:t>
      </w:r>
      <w:r w:rsidRPr="00DA3BC7">
        <w:rPr>
          <w:rFonts w:ascii="Times New Roman" w:hint="eastAsia"/>
        </w:rPr>
        <w:t>、</w:t>
      </w:r>
      <w:r w:rsidRPr="00DA3BC7">
        <w:rPr>
          <w:rFonts w:ascii="Times New Roman"/>
        </w:rPr>
        <w:t>心同此理的戲論</w:t>
      </w:r>
      <w:r w:rsidRPr="00DA3BC7">
        <w:rPr>
          <w:rFonts w:ascii="新細明體" w:hAnsi="新細明體"/>
        </w:rPr>
        <w:t>──</w:t>
      </w:r>
      <w:r w:rsidRPr="00DA3BC7">
        <w:rPr>
          <w:rFonts w:ascii="Times New Roman"/>
        </w:rPr>
        <w:t>根本的自性妄執，</w:t>
      </w:r>
      <w:r w:rsidRPr="00DA3BC7">
        <w:rPr>
          <w:rFonts w:ascii="Times New Roman"/>
          <w:b/>
        </w:rPr>
        <w:t>徹底體證一切法的實相，即無自性而緣有</w:t>
      </w:r>
      <w:r w:rsidR="00FB6A05">
        <w:rPr>
          <w:rFonts w:ascii="Times New Roman" w:hint="eastAsia"/>
          <w:b/>
          <w:color w:val="FF0000"/>
          <w:highlight w:val="yellow"/>
        </w:rPr>
        <w:t>、</w:t>
      </w:r>
      <w:r w:rsidRPr="00DA3BC7">
        <w:rPr>
          <w:rFonts w:ascii="Times New Roman"/>
          <w:b/>
        </w:rPr>
        <w:t>緣有而無自性的中道。</w:t>
      </w:r>
    </w:p>
    <w:p w:rsidR="00AA120F" w:rsidRPr="00DA3BC7" w:rsidRDefault="00AA120F" w:rsidP="008E2BBC">
      <w:pPr>
        <w:pStyle w:val="1"/>
      </w:pPr>
      <w:bookmarkStart w:id="102" w:name="_Toc405499777"/>
      <w:r w:rsidRPr="00DA3BC7">
        <w:lastRenderedPageBreak/>
        <w:t>第七章、有、時、空、動</w:t>
      </w:r>
      <w:bookmarkEnd w:id="102"/>
    </w:p>
    <w:p w:rsidR="00AA120F" w:rsidRPr="00DA3BC7" w:rsidRDefault="00AA120F" w:rsidP="008E2BBC">
      <w:pPr>
        <w:pStyle w:val="2"/>
      </w:pPr>
      <w:bookmarkStart w:id="103" w:name="_Toc405499778"/>
      <w:r w:rsidRPr="00DA3BC7">
        <w:t>第二節、時間</w:t>
      </w:r>
      <w:bookmarkEnd w:id="103"/>
    </w:p>
    <w:p w:rsidR="00AA120F" w:rsidRPr="00DA3BC7" w:rsidRDefault="00AA120F" w:rsidP="00AE3920">
      <w:pPr>
        <w:spacing w:beforeLines="30"/>
        <w:jc w:val="center"/>
        <w:rPr>
          <w:rFonts w:ascii="Times New Roman" w:eastAsia="SimSun" w:hAnsi="Times New Roman"/>
        </w:rPr>
      </w:pPr>
      <w:r w:rsidRPr="00DA3BC7">
        <w:rPr>
          <w:rFonts w:ascii="Times New Roman" w:eastAsia="標楷體" w:hAnsi="Times New Roman"/>
        </w:rPr>
        <w:t>（</w:t>
      </w:r>
      <w:r w:rsidRPr="00DA3BC7">
        <w:rPr>
          <w:rFonts w:ascii="Times New Roman" w:eastAsia="標楷體" w:hAnsi="Times New Roman"/>
        </w:rPr>
        <w:t>pp.117-126</w:t>
      </w:r>
      <w:r w:rsidRPr="00DA3BC7">
        <w:rPr>
          <w:rFonts w:ascii="Times New Roman" w:eastAsia="標楷體" w:hAnsi="Times New Roman"/>
        </w:rPr>
        <w:t>）</w:t>
      </w:r>
    </w:p>
    <w:p w:rsidR="00AA120F" w:rsidRPr="00DA3BC7" w:rsidRDefault="00AA120F" w:rsidP="008E2BBC">
      <w:pPr>
        <w:pStyle w:val="Author"/>
      </w:pPr>
    </w:p>
    <w:p w:rsidR="00AA120F" w:rsidRPr="00DA3BC7" w:rsidRDefault="00AA120F" w:rsidP="00AE3920">
      <w:pPr>
        <w:spacing w:beforeLines="50"/>
        <w:jc w:val="both"/>
        <w:rPr>
          <w:rFonts w:ascii="Times New Roman" w:eastAsia="SimSun" w:hAnsi="Times New Roman"/>
          <w:sz w:val="20"/>
          <w:szCs w:val="20"/>
        </w:rPr>
      </w:pPr>
      <w:r w:rsidRPr="00DA3BC7">
        <w:rPr>
          <w:rFonts w:ascii="Times New Roman" w:hAnsi="Times New Roman" w:hint="eastAsia"/>
          <w:b/>
          <w:sz w:val="20"/>
          <w:szCs w:val="20"/>
          <w:bdr w:val="single" w:sz="4" w:space="0" w:color="auto"/>
        </w:rPr>
        <w:t>壹</w:t>
      </w:r>
      <w:r w:rsidRPr="00DA3BC7">
        <w:rPr>
          <w:rFonts w:ascii="Times New Roman" w:hAnsi="Times New Roman"/>
          <w:b/>
          <w:sz w:val="20"/>
          <w:szCs w:val="20"/>
          <w:bdr w:val="single" w:sz="4" w:space="0" w:color="auto"/>
        </w:rPr>
        <w:t>、</w:t>
      </w:r>
      <w:r w:rsidR="009B709F">
        <w:rPr>
          <w:rFonts w:ascii="Times New Roman" w:hint="eastAsia"/>
          <w:b/>
          <w:color w:val="FF0000"/>
          <w:sz w:val="20"/>
          <w:szCs w:val="20"/>
          <w:highlight w:val="yellow"/>
          <w:bdr w:val="single" w:sz="4" w:space="0" w:color="auto"/>
        </w:rPr>
        <w:t>導</w:t>
      </w:r>
      <w:r w:rsidR="00ED3E7D">
        <w:rPr>
          <w:rFonts w:ascii="Times New Roman" w:hint="eastAsia"/>
          <w:b/>
          <w:color w:val="FF0000"/>
          <w:sz w:val="20"/>
          <w:szCs w:val="20"/>
          <w:highlight w:val="yellow"/>
          <w:bdr w:val="single" w:sz="4" w:space="0" w:color="auto"/>
        </w:rPr>
        <w:t>言</w:t>
      </w:r>
      <w:r w:rsidRPr="00DA3BC7">
        <w:rPr>
          <w:rFonts w:ascii="Times New Roman" w:hAnsi="Times New Roman"/>
          <w:sz w:val="20"/>
          <w:szCs w:val="20"/>
        </w:rPr>
        <w:t>（</w:t>
      </w:r>
      <w:r w:rsidRPr="00DA3BC7">
        <w:rPr>
          <w:rFonts w:ascii="Times New Roman" w:hAnsi="Times New Roman"/>
          <w:sz w:val="20"/>
          <w:szCs w:val="20"/>
        </w:rPr>
        <w:t>p.117</w:t>
      </w:r>
      <w:r w:rsidRPr="00DA3BC7">
        <w:rPr>
          <w:rFonts w:ascii="Times New Roman" w:hAnsi="Times New Roman"/>
          <w:sz w:val="20"/>
          <w:szCs w:val="20"/>
        </w:rPr>
        <w:t>）</w:t>
      </w:r>
    </w:p>
    <w:p w:rsidR="00AA120F" w:rsidRPr="00DA3BC7" w:rsidRDefault="00AA120F" w:rsidP="00255D87">
      <w:pPr>
        <w:jc w:val="both"/>
        <w:rPr>
          <w:rFonts w:ascii="Times New Roman" w:hAnsi="Times New Roman"/>
        </w:rPr>
      </w:pPr>
      <w:r w:rsidRPr="00DA3BC7">
        <w:rPr>
          <w:rFonts w:ascii="Times New Roman"/>
        </w:rPr>
        <w:t>時間，普通以為這是頂</w:t>
      </w:r>
      <w:r w:rsidRPr="00DA3BC7">
        <w:rPr>
          <w:rStyle w:val="a6"/>
          <w:rFonts w:ascii="Times New Roman" w:hAnsi="Times New Roman"/>
        </w:rPr>
        <w:footnoteReference w:id="535"/>
      </w:r>
      <w:r w:rsidRPr="00DA3BC7">
        <w:rPr>
          <w:rFonts w:ascii="Times New Roman"/>
        </w:rPr>
        <w:t>明白的</w:t>
      </w:r>
      <w:r w:rsidRPr="00DA3BC7">
        <w:rPr>
          <w:rFonts w:ascii="Times New Roman" w:hint="eastAsia"/>
        </w:rPr>
        <w:t>一樁</w:t>
      </w:r>
      <w:r w:rsidRPr="00DA3BC7">
        <w:rPr>
          <w:rFonts w:ascii="Times New Roman"/>
        </w:rPr>
        <w:t>事，像長江大河般的滔滔</w:t>
      </w:r>
      <w:r w:rsidRPr="00DA3BC7">
        <w:rPr>
          <w:rStyle w:val="a6"/>
          <w:rFonts w:ascii="Times New Roman" w:hAnsi="Times New Roman"/>
        </w:rPr>
        <w:footnoteReference w:id="536"/>
      </w:r>
      <w:r w:rsidRPr="00DA3BC7">
        <w:rPr>
          <w:rFonts w:ascii="Times New Roman"/>
        </w:rPr>
        <w:t>流來。然而加以深究，即哲學家也不免焦心</w:t>
      </w:r>
      <w:r w:rsidRPr="00DA3BC7">
        <w:rPr>
          <w:rStyle w:val="a6"/>
          <w:rFonts w:ascii="Times New Roman" w:hAnsi="Times New Roman"/>
        </w:rPr>
        <w:footnoteReference w:id="537"/>
      </w:r>
      <w:r w:rsidRPr="00DA3BC7">
        <w:rPr>
          <w:rFonts w:ascii="Times New Roman"/>
        </w:rPr>
        <w:t>苦慮</w:t>
      </w:r>
      <w:r w:rsidRPr="00DA3BC7">
        <w:rPr>
          <w:rStyle w:val="a6"/>
          <w:rFonts w:ascii="Times New Roman" w:hAnsi="Times New Roman"/>
        </w:rPr>
        <w:footnoteReference w:id="538"/>
      </w:r>
      <w:r w:rsidRPr="00DA3BC7">
        <w:rPr>
          <w:rFonts w:ascii="Times New Roman" w:hint="eastAsia"/>
        </w:rPr>
        <w:t>、</w:t>
      </w:r>
      <w:r w:rsidRPr="00DA3BC7">
        <w:rPr>
          <w:rFonts w:ascii="Times New Roman"/>
        </w:rPr>
        <w:t>瞠目結舌</w:t>
      </w:r>
      <w:r w:rsidRPr="00DA3BC7">
        <w:rPr>
          <w:rStyle w:val="a6"/>
          <w:rFonts w:ascii="Times New Roman" w:hAnsi="Times New Roman"/>
        </w:rPr>
        <w:footnoteReference w:id="539"/>
      </w:r>
      <w:r w:rsidRPr="00DA3BC7">
        <w:rPr>
          <w:rFonts w:ascii="Times New Roman"/>
        </w:rPr>
        <w:t>，成了不易解答的難題。</w:t>
      </w:r>
    </w:p>
    <w:p w:rsidR="00ED3E7D" w:rsidRPr="00DA3BC7" w:rsidRDefault="00ED3E7D" w:rsidP="00AE3920">
      <w:pPr>
        <w:spacing w:beforeLines="30"/>
        <w:jc w:val="both"/>
        <w:rPr>
          <w:rFonts w:ascii="Times New Roman" w:eastAsia="SimSun" w:hAnsi="Times New Roman"/>
          <w:sz w:val="20"/>
          <w:szCs w:val="20"/>
        </w:rPr>
      </w:pPr>
      <w:r w:rsidRPr="00ED3E7D">
        <w:rPr>
          <w:rFonts w:ascii="Times New Roman" w:hAnsi="Times New Roman" w:hint="eastAsia"/>
          <w:b/>
          <w:color w:val="FF0000"/>
          <w:sz w:val="20"/>
          <w:szCs w:val="20"/>
          <w:highlight w:val="yellow"/>
          <w:bdr w:val="single" w:sz="4" w:space="0" w:color="auto"/>
        </w:rPr>
        <w:t>貳</w:t>
      </w:r>
      <w:r w:rsidRPr="00ED3E7D">
        <w:rPr>
          <w:rFonts w:ascii="Times New Roman" w:hAnsi="Times New Roman"/>
          <w:b/>
          <w:color w:val="FF0000"/>
          <w:sz w:val="20"/>
          <w:szCs w:val="20"/>
          <w:highlight w:val="yellow"/>
          <w:bdr w:val="single" w:sz="4" w:space="0" w:color="auto"/>
        </w:rPr>
        <w:t>、</w:t>
      </w:r>
      <w:r>
        <w:rPr>
          <w:rFonts w:ascii="Times New Roman" w:hint="eastAsia"/>
          <w:b/>
          <w:color w:val="FF0000"/>
          <w:sz w:val="20"/>
          <w:szCs w:val="20"/>
          <w:highlight w:val="yellow"/>
          <w:bdr w:val="single" w:sz="4" w:space="0" w:color="auto"/>
        </w:rPr>
        <w:t>對於「時間」的判攝</w:t>
      </w:r>
      <w:r w:rsidRPr="00DA3BC7">
        <w:rPr>
          <w:rFonts w:ascii="Times New Roman" w:hAnsi="Times New Roman"/>
          <w:sz w:val="20"/>
          <w:szCs w:val="20"/>
        </w:rPr>
        <w:t>（</w:t>
      </w:r>
      <w:r w:rsidRPr="00DA3BC7">
        <w:rPr>
          <w:rFonts w:ascii="Times New Roman" w:hAnsi="Times New Roman" w:hint="eastAsia"/>
          <w:sz w:val="20"/>
          <w:szCs w:val="20"/>
        </w:rPr>
        <w:t>p</w:t>
      </w:r>
      <w:r w:rsidRPr="00DA3BC7">
        <w:rPr>
          <w:rFonts w:ascii="Times New Roman" w:hAnsi="Times New Roman"/>
          <w:sz w:val="20"/>
          <w:szCs w:val="20"/>
        </w:rPr>
        <w:t>p.117-1</w:t>
      </w:r>
      <w:r>
        <w:rPr>
          <w:rFonts w:ascii="Times New Roman" w:hAnsi="Times New Roman" w:hint="eastAsia"/>
          <w:sz w:val="20"/>
          <w:szCs w:val="20"/>
        </w:rPr>
        <w:t>2</w:t>
      </w:r>
      <w:r w:rsidRPr="00DA3BC7">
        <w:rPr>
          <w:rFonts w:ascii="Times New Roman" w:hAnsi="Times New Roman"/>
          <w:sz w:val="20"/>
          <w:szCs w:val="20"/>
        </w:rPr>
        <w:t>1</w:t>
      </w:r>
      <w:r w:rsidRPr="00DA3BC7">
        <w:rPr>
          <w:rFonts w:ascii="Times New Roman" w:hAnsi="Times New Roman"/>
          <w:sz w:val="20"/>
          <w:szCs w:val="20"/>
        </w:rPr>
        <w:t>）</w:t>
      </w:r>
    </w:p>
    <w:p w:rsidR="00ED3E7D" w:rsidRPr="00DA3BC7" w:rsidRDefault="00ED3E7D" w:rsidP="00255D87">
      <w:pPr>
        <w:ind w:leftChars="50" w:left="120"/>
        <w:jc w:val="both"/>
        <w:rPr>
          <w:rFonts w:ascii="Times New Roman" w:eastAsia="SimSun"/>
          <w:sz w:val="20"/>
          <w:szCs w:val="20"/>
        </w:rPr>
      </w:pPr>
      <w:r w:rsidRPr="00ED3E7D">
        <w:rPr>
          <w:rFonts w:ascii="Times New Roman" w:hAnsi="Times New Roman"/>
          <w:b/>
          <w:color w:val="FF0000"/>
          <w:sz w:val="20"/>
          <w:szCs w:val="20"/>
          <w:highlight w:val="yellow"/>
          <w:bdr w:val="single" w:sz="4" w:space="0" w:color="auto"/>
        </w:rPr>
        <w:t>（</w:t>
      </w:r>
      <w:r w:rsidRPr="00ED3E7D">
        <w:rPr>
          <w:rFonts w:ascii="Times New Roman" w:hAnsi="Times New Roman" w:hint="eastAsia"/>
          <w:b/>
          <w:color w:val="FF0000"/>
          <w:sz w:val="20"/>
          <w:szCs w:val="20"/>
          <w:highlight w:val="yellow"/>
          <w:bdr w:val="single" w:sz="4" w:space="0" w:color="auto"/>
        </w:rPr>
        <w:t>壹</w:t>
      </w:r>
      <w:r w:rsidRPr="00ED3E7D">
        <w:rPr>
          <w:rFonts w:ascii="Times New Roman" w:hAnsi="Times New Roman"/>
          <w:b/>
          <w:color w:val="FF0000"/>
          <w:sz w:val="20"/>
          <w:szCs w:val="20"/>
          <w:highlight w:val="yellow"/>
          <w:bdr w:val="single" w:sz="4" w:space="0" w:color="auto"/>
        </w:rPr>
        <w:t>）</w:t>
      </w:r>
      <w:r w:rsidRPr="00ED3E7D">
        <w:rPr>
          <w:rFonts w:ascii="Times New Roman" w:hAnsi="Times New Roman" w:hint="eastAsia"/>
          <w:b/>
          <w:color w:val="FF0000"/>
          <w:sz w:val="20"/>
          <w:szCs w:val="20"/>
          <w:highlight w:val="yellow"/>
          <w:bdr w:val="single" w:sz="4" w:space="0" w:color="auto"/>
        </w:rPr>
        <w:t>釋尊對</w:t>
      </w:r>
      <w:r w:rsidRPr="00ED3E7D">
        <w:rPr>
          <w:rFonts w:ascii="Times New Roman"/>
          <w:b/>
          <w:color w:val="FF0000"/>
          <w:sz w:val="20"/>
          <w:szCs w:val="20"/>
          <w:highlight w:val="yellow"/>
          <w:bdr w:val="single" w:sz="4" w:space="0" w:color="auto"/>
        </w:rPr>
        <w:t>外</w:t>
      </w:r>
      <w:r w:rsidRPr="00ED3E7D">
        <w:rPr>
          <w:rFonts w:ascii="Times New Roman" w:hint="eastAsia"/>
          <w:b/>
          <w:color w:val="FF0000"/>
          <w:sz w:val="20"/>
          <w:szCs w:val="20"/>
          <w:highlight w:val="yellow"/>
          <w:bdr w:val="single" w:sz="4" w:space="0" w:color="auto"/>
        </w:rPr>
        <w:t>執的置答</w:t>
      </w:r>
      <w:r w:rsidRPr="00DA3BC7">
        <w:rPr>
          <w:rFonts w:ascii="Times New Roman" w:hAnsi="Times New Roman"/>
          <w:sz w:val="20"/>
          <w:szCs w:val="20"/>
        </w:rPr>
        <w:t>（</w:t>
      </w:r>
      <w:r w:rsidRPr="00DA3BC7">
        <w:rPr>
          <w:rFonts w:ascii="Times New Roman" w:hAnsi="Times New Roman" w:hint="eastAsia"/>
          <w:sz w:val="20"/>
          <w:szCs w:val="20"/>
        </w:rPr>
        <w:t>p</w:t>
      </w:r>
      <w:r w:rsidRPr="00DA3BC7">
        <w:rPr>
          <w:rFonts w:ascii="Times New Roman" w:hAnsi="Times New Roman"/>
          <w:sz w:val="20"/>
          <w:szCs w:val="20"/>
        </w:rPr>
        <w:t>p.117-118</w:t>
      </w:r>
      <w:r w:rsidRPr="00DA3BC7">
        <w:rPr>
          <w:rFonts w:ascii="Times New Roman" w:hAnsi="Times New Roman"/>
          <w:sz w:val="20"/>
          <w:szCs w:val="20"/>
        </w:rPr>
        <w:t>）</w:t>
      </w:r>
    </w:p>
    <w:p w:rsidR="00AA120F" w:rsidRPr="00DA3BC7" w:rsidRDefault="00AA120F" w:rsidP="00255D87">
      <w:pPr>
        <w:ind w:leftChars="50" w:left="120"/>
        <w:jc w:val="both"/>
        <w:rPr>
          <w:rFonts w:ascii="Times New Roman" w:hAnsi="Times New Roman"/>
        </w:rPr>
      </w:pPr>
      <w:r w:rsidRPr="00DA3BC7">
        <w:rPr>
          <w:rFonts w:ascii="Times New Roman"/>
        </w:rPr>
        <w:t>佛在世的時候，外道提出問題問佛：「</w:t>
      </w:r>
      <w:r w:rsidRPr="00DA3BC7">
        <w:rPr>
          <w:rFonts w:ascii="Times New Roman" w:eastAsia="標楷體" w:hAnsi="標楷體"/>
        </w:rPr>
        <w:t>我與世間常？我與世間無常？我與世間亦常亦無常？我與世間非常非無常？</w:t>
      </w:r>
      <w:r w:rsidRPr="00DA3BC7">
        <w:rPr>
          <w:rFonts w:ascii="Times New Roman"/>
        </w:rPr>
        <w:t>」</w:t>
      </w:r>
      <w:r w:rsidRPr="00DA3BC7">
        <w:rPr>
          <w:rStyle w:val="a6"/>
          <w:rFonts w:ascii="Times New Roman" w:hAnsi="Times New Roman"/>
        </w:rPr>
        <w:footnoteReference w:id="540"/>
      </w:r>
      <w:r w:rsidRPr="00DA3BC7">
        <w:rPr>
          <w:rFonts w:ascii="Times New Roman"/>
        </w:rPr>
        <w:t>此中所謂</w:t>
      </w:r>
      <w:r w:rsidRPr="00C51692">
        <w:rPr>
          <w:rFonts w:ascii="Times New Roman"/>
          <w:b/>
          <w:u w:val="wave" w:color="C00000"/>
        </w:rPr>
        <w:t>我</w:t>
      </w:r>
      <w:r w:rsidRPr="00DA3BC7">
        <w:rPr>
          <w:rFonts w:ascii="Times New Roman"/>
        </w:rPr>
        <w:t>與</w:t>
      </w:r>
      <w:r w:rsidRPr="00C51692">
        <w:rPr>
          <w:rFonts w:ascii="Times New Roman"/>
          <w:b/>
          <w:u w:val="wave" w:color="C00000"/>
        </w:rPr>
        <w:t>世間</w:t>
      </w:r>
      <w:r w:rsidRPr="00DA3BC7">
        <w:rPr>
          <w:rFonts w:ascii="Times New Roman"/>
        </w:rPr>
        <w:t>，即近代所說的</w:t>
      </w:r>
      <w:r w:rsidRPr="00C51692">
        <w:rPr>
          <w:rFonts w:ascii="Times New Roman"/>
          <w:b/>
          <w:u w:val="wave" w:color="C00000"/>
        </w:rPr>
        <w:t>人生</w:t>
      </w:r>
      <w:r w:rsidRPr="00DA3BC7">
        <w:rPr>
          <w:rFonts w:ascii="Times New Roman"/>
        </w:rPr>
        <w:t>與</w:t>
      </w:r>
      <w:r w:rsidRPr="00C51692">
        <w:rPr>
          <w:rFonts w:ascii="Times New Roman"/>
          <w:b/>
          <w:u w:val="wave" w:color="C00000"/>
        </w:rPr>
        <w:t>宇宙</w:t>
      </w:r>
      <w:r w:rsidRPr="00DA3BC7">
        <w:rPr>
          <w:rStyle w:val="a6"/>
          <w:rFonts w:ascii="Times New Roman" w:hAnsi="Times New Roman"/>
        </w:rPr>
        <w:footnoteReference w:id="541"/>
      </w:r>
      <w:r w:rsidRPr="00DA3BC7">
        <w:rPr>
          <w:rFonts w:ascii="Times New Roman"/>
        </w:rPr>
        <w:t>。</w:t>
      </w:r>
    </w:p>
    <w:p w:rsidR="00ED3E7D" w:rsidRDefault="00AA120F" w:rsidP="00255D87">
      <w:pPr>
        <w:ind w:leftChars="50" w:left="120"/>
        <w:jc w:val="both"/>
        <w:rPr>
          <w:rFonts w:ascii="Times New Roman"/>
        </w:rPr>
      </w:pPr>
      <w:r w:rsidRPr="00DA3BC7">
        <w:rPr>
          <w:rFonts w:ascii="Times New Roman"/>
        </w:rPr>
        <w:t>外道從時間的觀念中去看宇宙</w:t>
      </w:r>
      <w:r w:rsidR="00C51692" w:rsidRPr="00C51692">
        <w:rPr>
          <w:rFonts w:ascii="Times New Roman" w:hint="eastAsia"/>
          <w:color w:val="FF0000"/>
          <w:highlight w:val="yellow"/>
        </w:rPr>
        <w:t>、</w:t>
      </w:r>
      <w:r w:rsidRPr="00DA3BC7">
        <w:rPr>
          <w:rFonts w:ascii="Times New Roman"/>
        </w:rPr>
        <w:t>人生，因為不能理解時間，所以執是常住或是無常等。</w:t>
      </w:r>
    </w:p>
    <w:p w:rsidR="00AA120F" w:rsidRPr="00DA3BC7" w:rsidRDefault="00AA120F" w:rsidP="00255D87">
      <w:pPr>
        <w:ind w:leftChars="50" w:left="120"/>
        <w:jc w:val="both"/>
        <w:rPr>
          <w:rFonts w:ascii="Times New Roman" w:eastAsia="SimSun"/>
        </w:rPr>
      </w:pPr>
      <w:r w:rsidRPr="00DA3BC7">
        <w:rPr>
          <w:rFonts w:ascii="Times New Roman"/>
        </w:rPr>
        <w:t>佛對此等妄執戲論，一概置</w:t>
      </w:r>
      <w:r w:rsidRPr="00DA3BC7">
        <w:rPr>
          <w:rStyle w:val="a6"/>
          <w:rFonts w:ascii="Times New Roman" w:hAnsi="Times New Roman"/>
        </w:rPr>
        <w:footnoteReference w:id="542"/>
      </w:r>
      <w:r w:rsidRPr="00DA3BC7">
        <w:rPr>
          <w:rFonts w:ascii="Times New Roman"/>
        </w:rPr>
        <w:t>而不答。</w:t>
      </w:r>
    </w:p>
    <w:p w:rsidR="00AA120F" w:rsidRPr="00DA3BC7" w:rsidRDefault="00AA120F" w:rsidP="00AE3920">
      <w:pPr>
        <w:spacing w:beforeLines="30"/>
        <w:ind w:leftChars="50" w:left="120"/>
        <w:jc w:val="both"/>
        <w:rPr>
          <w:rFonts w:ascii="Times New Roman" w:eastAsia="SimSun"/>
          <w:b/>
          <w:sz w:val="20"/>
          <w:szCs w:val="20"/>
          <w:bdr w:val="single" w:sz="4" w:space="0" w:color="auto"/>
        </w:rPr>
      </w:pPr>
      <w:r w:rsidRPr="00DA3BC7">
        <w:rPr>
          <w:rFonts w:ascii="Times New Roman" w:hAnsi="Times New Roman"/>
          <w:b/>
          <w:sz w:val="20"/>
          <w:szCs w:val="20"/>
          <w:bdr w:val="single" w:sz="4" w:space="0" w:color="auto"/>
        </w:rPr>
        <w:t>（貳）</w:t>
      </w:r>
      <w:r w:rsidR="00ED3E7D" w:rsidRPr="00ED3E7D">
        <w:rPr>
          <w:rFonts w:ascii="Times New Roman" w:hAnsi="Times New Roman" w:hint="eastAsia"/>
          <w:b/>
          <w:color w:val="FF0000"/>
          <w:sz w:val="20"/>
          <w:szCs w:val="20"/>
          <w:highlight w:val="yellow"/>
          <w:bdr w:val="single" w:sz="4" w:space="0" w:color="auto"/>
        </w:rPr>
        <w:t>印度</w:t>
      </w:r>
      <w:r w:rsidRPr="00ED3E7D">
        <w:rPr>
          <w:rFonts w:ascii="Times New Roman"/>
          <w:b/>
          <w:color w:val="FF0000"/>
          <w:sz w:val="20"/>
          <w:szCs w:val="20"/>
          <w:highlight w:val="yellow"/>
          <w:bdr w:val="single" w:sz="4" w:space="0" w:color="auto"/>
        </w:rPr>
        <w:t>外道的觀</w:t>
      </w:r>
      <w:r w:rsidR="00ED3E7D" w:rsidRPr="00ED3E7D">
        <w:rPr>
          <w:rFonts w:ascii="Times New Roman" w:hint="eastAsia"/>
          <w:b/>
          <w:color w:val="FF0000"/>
          <w:sz w:val="20"/>
          <w:szCs w:val="20"/>
          <w:highlight w:val="yellow"/>
          <w:bdr w:val="single" w:sz="4" w:space="0" w:color="auto"/>
        </w:rPr>
        <w:t>點</w:t>
      </w:r>
      <w:r w:rsidRPr="00DA3BC7">
        <w:rPr>
          <w:rFonts w:ascii="Times New Roman" w:hAnsi="Times New Roman"/>
          <w:sz w:val="20"/>
          <w:szCs w:val="20"/>
        </w:rPr>
        <w:t>（</w:t>
      </w:r>
      <w:r w:rsidRPr="00DA3BC7">
        <w:rPr>
          <w:rFonts w:ascii="Times New Roman" w:hAnsi="Times New Roman"/>
          <w:sz w:val="20"/>
          <w:szCs w:val="20"/>
        </w:rPr>
        <w:t>p.11</w:t>
      </w:r>
      <w:r w:rsidRPr="00DA3BC7">
        <w:rPr>
          <w:rFonts w:ascii="Times New Roman" w:hAnsi="Times New Roman" w:hint="eastAsia"/>
          <w:sz w:val="20"/>
          <w:szCs w:val="20"/>
        </w:rPr>
        <w:t>8</w:t>
      </w:r>
      <w:r w:rsidRPr="00DA3BC7">
        <w:rPr>
          <w:rFonts w:ascii="Times New Roman" w:hAnsi="Times New Roman"/>
          <w:sz w:val="20"/>
          <w:szCs w:val="20"/>
        </w:rPr>
        <w:t>）</w:t>
      </w:r>
    </w:p>
    <w:p w:rsidR="00AA120F" w:rsidRPr="00DA3BC7" w:rsidRDefault="00AA120F" w:rsidP="008E2BBC">
      <w:pPr>
        <w:ind w:leftChars="100" w:left="240"/>
        <w:jc w:val="both"/>
        <w:rPr>
          <w:rFonts w:ascii="Times New Roman" w:eastAsia="SimSun"/>
          <w:sz w:val="20"/>
          <w:szCs w:val="20"/>
        </w:rPr>
      </w:pPr>
      <w:r w:rsidRPr="00DA3BC7">
        <w:rPr>
          <w:rFonts w:ascii="Times New Roman" w:hAnsi="Times New Roman"/>
          <w:b/>
          <w:sz w:val="20"/>
          <w:szCs w:val="20"/>
          <w:bdr w:val="single" w:sz="4" w:space="0" w:color="auto"/>
        </w:rPr>
        <w:t>一、</w:t>
      </w:r>
      <w:r w:rsidRPr="00DA3BC7">
        <w:rPr>
          <w:rFonts w:ascii="Times New Roman"/>
          <w:b/>
          <w:sz w:val="20"/>
          <w:szCs w:val="20"/>
          <w:bdr w:val="single" w:sz="4" w:space="0" w:color="auto"/>
        </w:rPr>
        <w:t>時論外道的時間觀</w:t>
      </w:r>
      <w:r w:rsidRPr="00DA3BC7">
        <w:rPr>
          <w:rFonts w:ascii="Times New Roman"/>
          <w:sz w:val="20"/>
          <w:szCs w:val="20"/>
        </w:rPr>
        <w:t>（</w:t>
      </w:r>
      <w:r w:rsidRPr="00DA3BC7">
        <w:rPr>
          <w:rFonts w:ascii="Times New Roman" w:hAnsi="Times New Roman"/>
          <w:sz w:val="20"/>
          <w:szCs w:val="20"/>
        </w:rPr>
        <w:t>p.118</w:t>
      </w:r>
      <w:r w:rsidRPr="00DA3BC7">
        <w:rPr>
          <w:rFonts w:ascii="Times New Roman"/>
          <w:sz w:val="20"/>
          <w:szCs w:val="20"/>
        </w:rPr>
        <w:t>）</w:t>
      </w:r>
    </w:p>
    <w:p w:rsidR="00AA120F" w:rsidRPr="00DA3BC7" w:rsidRDefault="00AA120F" w:rsidP="008E2BBC">
      <w:pPr>
        <w:ind w:leftChars="100" w:left="240"/>
        <w:jc w:val="both"/>
        <w:rPr>
          <w:rFonts w:ascii="Times New Roman" w:eastAsia="SimSun"/>
        </w:rPr>
      </w:pPr>
      <w:r w:rsidRPr="00DA3BC7">
        <w:rPr>
          <w:rFonts w:ascii="Times New Roman"/>
        </w:rPr>
        <w:t>從前，印度有時論外道</w:t>
      </w:r>
      <w:r w:rsidRPr="00DA3BC7">
        <w:rPr>
          <w:rStyle w:val="a6"/>
          <w:rFonts w:ascii="Times New Roman" w:hAnsi="Times New Roman"/>
        </w:rPr>
        <w:footnoteReference w:id="543"/>
      </w:r>
      <w:r w:rsidRPr="00DA3BC7">
        <w:rPr>
          <w:rFonts w:ascii="Times New Roman"/>
        </w:rPr>
        <w:t>，其中一派，以時間為一切法發生</w:t>
      </w:r>
      <w:r w:rsidRPr="00DA3BC7">
        <w:rPr>
          <w:rFonts w:ascii="Times New Roman" w:hint="eastAsia"/>
        </w:rPr>
        <w:t>、</w:t>
      </w:r>
      <w:r w:rsidRPr="00DA3BC7">
        <w:rPr>
          <w:rFonts w:ascii="Times New Roman"/>
        </w:rPr>
        <w:t>滅去的根本原</w:t>
      </w:r>
      <w:r w:rsidRPr="00DA3BC7">
        <w:rPr>
          <w:rFonts w:ascii="Times New Roman"/>
        </w:rPr>
        <w:lastRenderedPageBreak/>
        <w:t>因，為一切法的本體。</w:t>
      </w:r>
      <w:r w:rsidRPr="00DA3BC7">
        <w:rPr>
          <w:rStyle w:val="a6"/>
          <w:rFonts w:ascii="Times New Roman" w:hAnsi="Times New Roman"/>
        </w:rPr>
        <w:footnoteReference w:id="544"/>
      </w:r>
    </w:p>
    <w:p w:rsidR="00AA120F" w:rsidRPr="00DA3BC7" w:rsidRDefault="00AA120F" w:rsidP="00AE3920">
      <w:pPr>
        <w:spacing w:beforeLines="30"/>
        <w:ind w:leftChars="100" w:left="240"/>
        <w:jc w:val="both"/>
        <w:rPr>
          <w:rFonts w:ascii="Times New Roman" w:hAnsi="Times New Roman"/>
          <w:sz w:val="20"/>
          <w:szCs w:val="20"/>
        </w:rPr>
      </w:pPr>
      <w:r w:rsidRPr="00DA3BC7">
        <w:rPr>
          <w:rFonts w:ascii="Times New Roman" w:hAnsi="Times New Roman"/>
          <w:b/>
          <w:sz w:val="20"/>
          <w:szCs w:val="20"/>
          <w:bdr w:val="single" w:sz="4" w:space="0" w:color="auto"/>
        </w:rPr>
        <w:t>二、勝論師的時間觀</w:t>
      </w:r>
      <w:r w:rsidRPr="00DA3BC7">
        <w:rPr>
          <w:rFonts w:ascii="Times New Roman" w:hAnsi="Times New Roman"/>
          <w:sz w:val="20"/>
          <w:szCs w:val="20"/>
        </w:rPr>
        <w:t>（</w:t>
      </w:r>
      <w:r w:rsidRPr="00DA3BC7">
        <w:rPr>
          <w:rFonts w:ascii="Times New Roman" w:hAnsi="Times New Roman"/>
          <w:sz w:val="20"/>
          <w:szCs w:val="20"/>
        </w:rPr>
        <w:t>p.118</w:t>
      </w:r>
      <w:r w:rsidRPr="00DA3BC7">
        <w:rPr>
          <w:rFonts w:ascii="Times New Roman" w:hAnsi="Times New Roman"/>
          <w:sz w:val="20"/>
          <w:szCs w:val="20"/>
        </w:rPr>
        <w:t>）</w:t>
      </w:r>
    </w:p>
    <w:p w:rsidR="00AA120F" w:rsidRPr="00DA3BC7" w:rsidRDefault="00AA120F" w:rsidP="00AE3920">
      <w:pPr>
        <w:spacing w:beforeLines="10"/>
        <w:ind w:leftChars="100" w:left="240"/>
        <w:jc w:val="both"/>
        <w:rPr>
          <w:rFonts w:ascii="Times New Roman" w:hAnsi="Times New Roman"/>
        </w:rPr>
      </w:pPr>
      <w:r w:rsidRPr="00DA3BC7">
        <w:rPr>
          <w:rFonts w:ascii="Times New Roman"/>
        </w:rPr>
        <w:t>吠師釋迦</w:t>
      </w:r>
      <w:r w:rsidRPr="00ED3E7D">
        <w:rPr>
          <w:rFonts w:ascii="Times New Roman" w:hAnsi="Times New Roman"/>
          <w:sz w:val="22"/>
          <w:szCs w:val="22"/>
          <w:shd w:val="pct15" w:color="auto" w:fill="FFFFFF"/>
        </w:rPr>
        <w:t>（</w:t>
      </w:r>
      <w:r w:rsidR="00ED3E7D" w:rsidRPr="00ED3E7D">
        <w:rPr>
          <w:rFonts w:ascii="Times New Roman" w:hAnsi="Times New Roman" w:hint="eastAsia"/>
          <w:color w:val="FF0000"/>
          <w:sz w:val="22"/>
          <w:szCs w:val="22"/>
          <w:shd w:val="pct15" w:color="auto" w:fill="FFFFFF"/>
        </w:rPr>
        <w:t>V</w:t>
      </w:r>
      <w:r w:rsidRPr="00ED3E7D">
        <w:rPr>
          <w:rFonts w:ascii="Times New Roman" w:hAnsi="Times New Roman"/>
          <w:sz w:val="22"/>
          <w:szCs w:val="22"/>
          <w:shd w:val="pct15" w:color="auto" w:fill="FFFFFF"/>
        </w:rPr>
        <w:t>aiśeṣika</w:t>
      </w:r>
      <w:r w:rsidRPr="00ED3E7D">
        <w:rPr>
          <w:rFonts w:ascii="Times New Roman" w:hAnsi="Times New Roman"/>
          <w:sz w:val="22"/>
          <w:szCs w:val="22"/>
          <w:shd w:val="pct15" w:color="auto" w:fill="FFFFFF"/>
        </w:rPr>
        <w:t>）</w:t>
      </w:r>
      <w:r w:rsidRPr="00DA3BC7">
        <w:rPr>
          <w:rFonts w:ascii="新細明體" w:hAnsi="新細明體" w:hint="eastAsia"/>
        </w:rPr>
        <w:t>──</w:t>
      </w:r>
      <w:r w:rsidRPr="00DA3BC7">
        <w:rPr>
          <w:rFonts w:ascii="Times New Roman"/>
        </w:rPr>
        <w:t>勝論師在所立的六句義</w:t>
      </w:r>
      <w:r w:rsidRPr="00DA3BC7">
        <w:rPr>
          <w:rStyle w:val="a6"/>
          <w:rFonts w:ascii="Times New Roman" w:hAnsi="Times New Roman"/>
        </w:rPr>
        <w:footnoteReference w:id="545"/>
      </w:r>
      <w:r w:rsidRPr="00DA3BC7">
        <w:rPr>
          <w:rFonts w:ascii="Times New Roman"/>
        </w:rPr>
        <w:t>中，實句（九法）</w:t>
      </w:r>
      <w:r w:rsidRPr="00DA3BC7">
        <w:rPr>
          <w:rStyle w:val="a6"/>
          <w:rFonts w:ascii="Times New Roman" w:hAnsi="Times New Roman"/>
        </w:rPr>
        <w:footnoteReference w:id="546"/>
      </w:r>
      <w:r w:rsidRPr="00DA3BC7">
        <w:rPr>
          <w:rFonts w:ascii="Times New Roman"/>
        </w:rPr>
        <w:t>中有此時間的實法，看為組成世間的實在因素。</w:t>
      </w:r>
    </w:p>
    <w:p w:rsidR="00AA120F" w:rsidRPr="00DA3BC7" w:rsidRDefault="00AA120F" w:rsidP="00AE3920">
      <w:pPr>
        <w:spacing w:beforeLines="30"/>
        <w:ind w:leftChars="50" w:left="120"/>
        <w:jc w:val="both"/>
        <w:rPr>
          <w:rFonts w:ascii="Times New Roman" w:eastAsia="SimSun"/>
          <w:sz w:val="20"/>
          <w:szCs w:val="20"/>
        </w:rPr>
      </w:pPr>
      <w:r w:rsidRPr="00DA3BC7">
        <w:rPr>
          <w:rFonts w:ascii="Times New Roman" w:hAnsi="Times New Roman"/>
          <w:b/>
          <w:sz w:val="20"/>
          <w:szCs w:val="20"/>
          <w:bdr w:val="single" w:sz="4" w:space="0" w:color="auto"/>
        </w:rPr>
        <w:t>（</w:t>
      </w:r>
      <w:r w:rsidR="00FC5046" w:rsidRPr="00DA3BC7">
        <w:rPr>
          <w:rFonts w:ascii="Times New Roman" w:hAnsi="Times New Roman"/>
          <w:b/>
          <w:sz w:val="20"/>
          <w:szCs w:val="20"/>
          <w:bdr w:val="single" w:sz="4" w:space="0" w:color="auto"/>
        </w:rPr>
        <w:t>參</w:t>
      </w:r>
      <w:r w:rsidRPr="00DA3BC7">
        <w:rPr>
          <w:rFonts w:ascii="Times New Roman" w:hAnsi="Times New Roman"/>
          <w:b/>
          <w:sz w:val="20"/>
          <w:szCs w:val="20"/>
          <w:bdr w:val="single" w:sz="4" w:space="0" w:color="auto"/>
        </w:rPr>
        <w:t>）</w:t>
      </w:r>
      <w:r w:rsidRPr="00DA3BC7">
        <w:rPr>
          <w:rFonts w:ascii="Times New Roman"/>
          <w:b/>
          <w:sz w:val="20"/>
          <w:szCs w:val="20"/>
          <w:bdr w:val="single" w:sz="4" w:space="0" w:color="auto"/>
        </w:rPr>
        <w:t>佛教</w:t>
      </w:r>
      <w:r w:rsidR="005C2FCA" w:rsidRPr="005C2FCA">
        <w:rPr>
          <w:rFonts w:ascii="Times New Roman" w:hint="eastAsia"/>
          <w:b/>
          <w:color w:val="FF0000"/>
          <w:sz w:val="20"/>
          <w:szCs w:val="20"/>
          <w:highlight w:val="yellow"/>
          <w:bdr w:val="single" w:sz="4" w:space="0" w:color="auto"/>
        </w:rPr>
        <w:t>各期</w:t>
      </w:r>
      <w:r w:rsidRPr="00DA3BC7">
        <w:rPr>
          <w:rFonts w:ascii="Times New Roman"/>
          <w:b/>
          <w:sz w:val="20"/>
          <w:szCs w:val="20"/>
          <w:bdr w:val="single" w:sz="4" w:space="0" w:color="auto"/>
        </w:rPr>
        <w:t>的</w:t>
      </w:r>
      <w:r w:rsidR="00ED3E7D">
        <w:rPr>
          <w:rFonts w:ascii="Times New Roman" w:hint="eastAsia"/>
          <w:b/>
          <w:color w:val="FF0000"/>
          <w:sz w:val="20"/>
          <w:szCs w:val="20"/>
          <w:highlight w:val="yellow"/>
          <w:bdr w:val="single" w:sz="4" w:space="0" w:color="auto"/>
        </w:rPr>
        <w:t>主張</w:t>
      </w:r>
      <w:r w:rsidRPr="00DA3BC7">
        <w:rPr>
          <w:rFonts w:ascii="Times New Roman" w:hAnsi="Times New Roman"/>
          <w:sz w:val="20"/>
          <w:szCs w:val="20"/>
        </w:rPr>
        <w:t>（</w:t>
      </w:r>
      <w:r w:rsidRPr="00DA3BC7">
        <w:rPr>
          <w:rFonts w:ascii="Times New Roman" w:hAnsi="Times New Roman"/>
          <w:sz w:val="20"/>
          <w:szCs w:val="20"/>
        </w:rPr>
        <w:t>pp.118-119</w:t>
      </w:r>
      <w:r w:rsidRPr="00DA3BC7">
        <w:rPr>
          <w:rFonts w:ascii="Times New Roman" w:hAnsi="Times New Roman"/>
          <w:sz w:val="20"/>
          <w:szCs w:val="20"/>
        </w:rPr>
        <w:t>）</w:t>
      </w:r>
    </w:p>
    <w:p w:rsidR="00AA120F" w:rsidRPr="00DA3BC7" w:rsidRDefault="00AA120F" w:rsidP="00255D87">
      <w:pPr>
        <w:ind w:leftChars="100" w:left="240"/>
        <w:jc w:val="both"/>
        <w:rPr>
          <w:rFonts w:ascii="Times New Roman" w:eastAsia="SimSun"/>
          <w:sz w:val="20"/>
          <w:szCs w:val="20"/>
        </w:rPr>
      </w:pPr>
      <w:r w:rsidRPr="00DA3BC7">
        <w:rPr>
          <w:rFonts w:ascii="Times New Roman" w:hAnsi="Times New Roman"/>
          <w:b/>
          <w:sz w:val="20"/>
          <w:szCs w:val="20"/>
          <w:bdr w:val="single" w:sz="4" w:space="0" w:color="auto"/>
        </w:rPr>
        <w:t>一、</w:t>
      </w:r>
      <w:r w:rsidR="00ED3E7D" w:rsidRPr="00ED3E7D">
        <w:rPr>
          <w:rFonts w:ascii="Times New Roman" w:hAnsi="Times New Roman" w:hint="eastAsia"/>
          <w:b/>
          <w:color w:val="FF0000"/>
          <w:sz w:val="20"/>
          <w:szCs w:val="20"/>
          <w:highlight w:val="yellow"/>
          <w:bdr w:val="single" w:sz="4" w:space="0" w:color="auto"/>
        </w:rPr>
        <w:t>聖</w:t>
      </w:r>
      <w:r w:rsidRPr="00DA3BC7">
        <w:rPr>
          <w:rFonts w:ascii="Times New Roman" w:hAnsi="Times New Roman"/>
          <w:b/>
          <w:sz w:val="20"/>
          <w:szCs w:val="20"/>
          <w:bdr w:val="single" w:sz="4" w:space="0" w:color="auto"/>
        </w:rPr>
        <w:t>典中的</w:t>
      </w:r>
      <w:r w:rsidR="00ED3E7D" w:rsidRPr="00ED3E7D">
        <w:rPr>
          <w:rFonts w:ascii="Times New Roman" w:hAnsi="Times New Roman" w:hint="eastAsia"/>
          <w:b/>
          <w:color w:val="FF0000"/>
          <w:sz w:val="20"/>
          <w:szCs w:val="20"/>
          <w:highlight w:val="yellow"/>
          <w:bdr w:val="single" w:sz="4" w:space="0" w:color="auto"/>
        </w:rPr>
        <w:t>記載</w:t>
      </w:r>
      <w:r w:rsidRPr="00DA3BC7">
        <w:rPr>
          <w:rFonts w:ascii="Times New Roman" w:hAnsi="Times New Roman"/>
          <w:sz w:val="20"/>
          <w:szCs w:val="20"/>
        </w:rPr>
        <w:t>（</w:t>
      </w:r>
      <w:r w:rsidRPr="00DA3BC7">
        <w:rPr>
          <w:rFonts w:ascii="Times New Roman" w:hAnsi="Times New Roman"/>
          <w:sz w:val="20"/>
          <w:szCs w:val="20"/>
        </w:rPr>
        <w:t>p.118</w:t>
      </w:r>
      <w:r w:rsidRPr="00DA3BC7">
        <w:rPr>
          <w:rFonts w:ascii="Times New Roman" w:hAnsi="Times New Roman"/>
          <w:sz w:val="20"/>
          <w:szCs w:val="20"/>
        </w:rPr>
        <w:t>）</w:t>
      </w:r>
    </w:p>
    <w:p w:rsidR="00AA120F" w:rsidRPr="00DA3BC7" w:rsidRDefault="00AA120F" w:rsidP="00255D87">
      <w:pPr>
        <w:ind w:leftChars="100" w:left="240"/>
        <w:jc w:val="both"/>
        <w:rPr>
          <w:rFonts w:ascii="Times New Roman" w:eastAsia="SimSun"/>
        </w:rPr>
      </w:pPr>
      <w:r w:rsidRPr="00DA3BC7">
        <w:rPr>
          <w:rFonts w:ascii="Times New Roman"/>
        </w:rPr>
        <w:t>考之佛典，佛常說過去、未來、現在的三世說，但時間畢竟是什麼，不大正面的說到。</w:t>
      </w:r>
    </w:p>
    <w:p w:rsidR="00AA120F" w:rsidRPr="00DA3BC7" w:rsidRDefault="00AA120F" w:rsidP="00AE3920">
      <w:pPr>
        <w:spacing w:beforeLines="30"/>
        <w:ind w:leftChars="100" w:left="240"/>
        <w:jc w:val="both"/>
        <w:rPr>
          <w:rFonts w:ascii="Times New Roman" w:eastAsia="SimSun" w:hAnsi="Times New Roman"/>
          <w:sz w:val="20"/>
          <w:szCs w:val="20"/>
        </w:rPr>
      </w:pPr>
      <w:r w:rsidRPr="00DA3BC7">
        <w:rPr>
          <w:rFonts w:ascii="Times New Roman" w:hAnsi="Times New Roman"/>
          <w:b/>
          <w:sz w:val="20"/>
          <w:szCs w:val="20"/>
          <w:bdr w:val="single" w:sz="4" w:space="0" w:color="auto"/>
        </w:rPr>
        <w:t>二、</w:t>
      </w:r>
      <w:r w:rsidRPr="00DA3BC7">
        <w:rPr>
          <w:rFonts w:ascii="Times New Roman"/>
          <w:b/>
          <w:sz w:val="20"/>
          <w:szCs w:val="20"/>
          <w:bdr w:val="single" w:sz="4" w:space="0" w:color="auto"/>
        </w:rPr>
        <w:t>譬喻論者</w:t>
      </w:r>
      <w:r w:rsidRPr="00DA3BC7">
        <w:rPr>
          <w:rFonts w:ascii="Times New Roman" w:hint="eastAsia"/>
          <w:b/>
          <w:sz w:val="20"/>
          <w:szCs w:val="20"/>
          <w:bdr w:val="single" w:sz="4" w:space="0" w:color="auto"/>
        </w:rPr>
        <w:t>、</w:t>
      </w:r>
      <w:r w:rsidRPr="00DA3BC7">
        <w:rPr>
          <w:rFonts w:ascii="Times New Roman"/>
          <w:b/>
          <w:sz w:val="20"/>
          <w:szCs w:val="20"/>
          <w:bdr w:val="single" w:sz="4" w:space="0" w:color="auto"/>
        </w:rPr>
        <w:t>分別論者</w:t>
      </w:r>
      <w:r w:rsidRPr="00DA3BC7">
        <w:rPr>
          <w:rFonts w:ascii="Times New Roman" w:hint="eastAsia"/>
          <w:b/>
          <w:sz w:val="20"/>
          <w:szCs w:val="20"/>
          <w:bdr w:val="single" w:sz="4" w:space="0" w:color="auto"/>
        </w:rPr>
        <w:t>之</w:t>
      </w:r>
      <w:r w:rsidRPr="00DA3BC7">
        <w:rPr>
          <w:rFonts w:ascii="Times New Roman"/>
          <w:b/>
          <w:sz w:val="20"/>
          <w:szCs w:val="20"/>
          <w:bdr w:val="single" w:sz="4" w:space="0" w:color="auto"/>
        </w:rPr>
        <w:t>時間觀</w:t>
      </w:r>
      <w:r w:rsidRPr="00DA3BC7">
        <w:rPr>
          <w:rFonts w:ascii="Times New Roman" w:hAnsi="Times New Roman"/>
          <w:sz w:val="20"/>
          <w:szCs w:val="20"/>
        </w:rPr>
        <w:t>（</w:t>
      </w:r>
      <w:r w:rsidRPr="00DA3BC7">
        <w:rPr>
          <w:rFonts w:ascii="Times New Roman" w:hAnsi="Times New Roman"/>
          <w:sz w:val="20"/>
          <w:szCs w:val="20"/>
        </w:rPr>
        <w:t>p.118</w:t>
      </w:r>
      <w:r w:rsidRPr="00DA3BC7">
        <w:rPr>
          <w:rFonts w:ascii="Times New Roman" w:hAnsi="Times New Roman"/>
          <w:sz w:val="20"/>
          <w:szCs w:val="20"/>
        </w:rPr>
        <w:t>）</w:t>
      </w:r>
    </w:p>
    <w:p w:rsidR="00AA120F" w:rsidRPr="00DA3BC7" w:rsidRDefault="00AA120F" w:rsidP="00255D87">
      <w:pPr>
        <w:ind w:leftChars="100" w:left="240"/>
        <w:jc w:val="both"/>
        <w:rPr>
          <w:rFonts w:ascii="Times New Roman"/>
        </w:rPr>
      </w:pPr>
      <w:r w:rsidRPr="00DA3BC7">
        <w:rPr>
          <w:rFonts w:ascii="Times New Roman"/>
        </w:rPr>
        <w:t>譬喻論者、分別論者，才將時間看成實在的、常住的，如《</w:t>
      </w:r>
      <w:r w:rsidRPr="00DA3BC7">
        <w:rPr>
          <w:rFonts w:hint="eastAsia"/>
        </w:rPr>
        <w:t>大毘</w:t>
      </w:r>
      <w:r w:rsidRPr="00DA3BC7">
        <w:rPr>
          <w:rFonts w:ascii="Times New Roman"/>
        </w:rPr>
        <w:t>婆沙</w:t>
      </w:r>
      <w:r w:rsidRPr="00DA3BC7">
        <w:rPr>
          <w:rFonts w:hint="eastAsia"/>
        </w:rPr>
        <w:t>論</w:t>
      </w:r>
      <w:r w:rsidRPr="00DA3BC7">
        <w:rPr>
          <w:rFonts w:ascii="Times New Roman"/>
        </w:rPr>
        <w:t>》卷</w:t>
      </w:r>
      <w:r w:rsidR="00ED3E7D">
        <w:rPr>
          <w:rFonts w:ascii="Times New Roman" w:hint="eastAsia"/>
        </w:rPr>
        <w:t>76</w:t>
      </w:r>
      <w:r w:rsidRPr="00DA3BC7">
        <w:rPr>
          <w:rFonts w:ascii="Times New Roman"/>
        </w:rPr>
        <w:t>（又卷</w:t>
      </w:r>
      <w:r w:rsidR="00ED3E7D">
        <w:rPr>
          <w:rFonts w:ascii="Times New Roman" w:hint="eastAsia"/>
        </w:rPr>
        <w:t>135</w:t>
      </w:r>
      <w:r w:rsidRPr="00DA3BC7">
        <w:rPr>
          <w:rFonts w:ascii="Times New Roman"/>
        </w:rPr>
        <w:t>）</w:t>
      </w:r>
      <w:r w:rsidRPr="00DA3BC7">
        <w:rPr>
          <w:rStyle w:val="a6"/>
          <w:rFonts w:ascii="Times New Roman" w:hAnsi="Times New Roman"/>
        </w:rPr>
        <w:footnoteReference w:id="547"/>
      </w:r>
      <w:r w:rsidRPr="00DA3BC7">
        <w:rPr>
          <w:rFonts w:ascii="Times New Roman"/>
        </w:rPr>
        <w:t>說：「</w:t>
      </w:r>
      <w:r w:rsidRPr="00DA3BC7">
        <w:rPr>
          <w:rFonts w:ascii="Times New Roman" w:eastAsia="標楷體" w:hAnsi="標楷體"/>
        </w:rPr>
        <w:t>如譬喻者、分別論師，彼作是說：世體是常，行體無常；行</w:t>
      </w:r>
      <w:r w:rsidRPr="000C504E">
        <w:rPr>
          <w:rFonts w:ascii="新細明體" w:hAnsi="新細明體"/>
          <w:highlight w:val="yellow"/>
        </w:rPr>
        <w:t>（法）</w:t>
      </w:r>
      <w:r w:rsidRPr="00DA3BC7">
        <w:rPr>
          <w:rFonts w:ascii="Times New Roman" w:eastAsia="標楷體" w:hAnsi="標楷體"/>
        </w:rPr>
        <w:t>行世時，如器中果，從此器出，轉入彼器</w:t>
      </w:r>
      <w:r w:rsidRPr="00DA3BC7">
        <w:rPr>
          <w:rFonts w:ascii="Times New Roman"/>
        </w:rPr>
        <w:t>。」</w:t>
      </w:r>
      <w:r w:rsidRPr="00DA3BC7">
        <w:rPr>
          <w:rStyle w:val="a6"/>
          <w:rFonts w:ascii="Times New Roman" w:hAnsi="Times New Roman"/>
        </w:rPr>
        <w:footnoteReference w:id="548"/>
      </w:r>
    </w:p>
    <w:p w:rsidR="00AA120F" w:rsidRPr="00DA3BC7" w:rsidRDefault="00AA120F" w:rsidP="00AE3920">
      <w:pPr>
        <w:spacing w:beforeLines="20"/>
        <w:ind w:leftChars="100" w:left="240"/>
        <w:jc w:val="both"/>
        <w:rPr>
          <w:rFonts w:ascii="Times New Roman" w:hAnsi="Times New Roman"/>
        </w:rPr>
      </w:pPr>
      <w:r w:rsidRPr="00DA3BC7">
        <w:rPr>
          <w:rFonts w:ascii="Times New Roman"/>
        </w:rPr>
        <w:lastRenderedPageBreak/>
        <w:t>他把時間看成流變諸法</w:t>
      </w:r>
      <w:r w:rsidRPr="00DA3BC7">
        <w:rPr>
          <w:rFonts w:ascii="新細明體" w:hAnsi="新細明體"/>
        </w:rPr>
        <w:t>──</w:t>
      </w:r>
      <w:r w:rsidRPr="00DA3BC7">
        <w:rPr>
          <w:rFonts w:ascii="Times New Roman"/>
        </w:rPr>
        <w:t>行以外的恒常不變體，一切法的從生而住，從住而滅，都是流轉於恒常固定的時間格式中。</w:t>
      </w:r>
      <w:r w:rsidRPr="00DA3BC7">
        <w:rPr>
          <w:rStyle w:val="a6"/>
          <w:rFonts w:ascii="Times New Roman" w:hAnsi="Times New Roman"/>
        </w:rPr>
        <w:footnoteReference w:id="549"/>
      </w:r>
    </w:p>
    <w:p w:rsidR="00AA120F" w:rsidRPr="00DA3BC7" w:rsidRDefault="00AA120F" w:rsidP="00AE3920">
      <w:pPr>
        <w:spacing w:beforeLines="20"/>
        <w:ind w:leftChars="100" w:left="240"/>
        <w:jc w:val="both"/>
        <w:rPr>
          <w:rFonts w:ascii="Times New Roman" w:eastAsia="SimSun"/>
        </w:rPr>
      </w:pPr>
      <w:r w:rsidRPr="00DA3BC7">
        <w:rPr>
          <w:rFonts w:ascii="Times New Roman"/>
        </w:rPr>
        <w:t>這種說法，類似西洋哲學者客觀存在的絕對時間。把時間實體化，看作諸法活動的根據</w:t>
      </w:r>
      <w:r w:rsidRPr="00DA3BC7">
        <w:rPr>
          <w:rFonts w:ascii="Times New Roman" w:hint="eastAsia"/>
        </w:rPr>
        <w:t>，</w:t>
      </w:r>
      <w:r w:rsidRPr="00DA3BC7">
        <w:rPr>
          <w:rFonts w:ascii="Times New Roman"/>
        </w:rPr>
        <w:t>「如從此器轉入彼器」，不免有失佛意！</w:t>
      </w:r>
    </w:p>
    <w:p w:rsidR="001C60CE" w:rsidRDefault="00AA120F" w:rsidP="00AE3920">
      <w:pPr>
        <w:spacing w:beforeLines="30"/>
        <w:ind w:leftChars="100" w:left="240"/>
        <w:jc w:val="both"/>
        <w:rPr>
          <w:rFonts w:ascii="Times New Roman"/>
          <w:sz w:val="20"/>
          <w:szCs w:val="20"/>
        </w:rPr>
      </w:pPr>
      <w:r w:rsidRPr="00DA3BC7">
        <w:rPr>
          <w:rFonts w:ascii="Times New Roman" w:eastAsia="SimSun" w:hAnsi="Times New Roman"/>
          <w:b/>
          <w:sz w:val="20"/>
          <w:szCs w:val="20"/>
          <w:bdr w:val="single" w:sz="4" w:space="0" w:color="auto"/>
        </w:rPr>
        <w:t>三</w:t>
      </w:r>
      <w:r w:rsidR="001C60CE">
        <w:rPr>
          <w:rFonts w:asciiTheme="minorEastAsia" w:eastAsiaTheme="minorEastAsia" w:hAnsiTheme="minorEastAsia" w:hint="eastAsia"/>
          <w:b/>
          <w:color w:val="FF0000"/>
          <w:sz w:val="20"/>
          <w:szCs w:val="20"/>
          <w:highlight w:val="yellow"/>
          <w:bdr w:val="single" w:sz="4" w:space="0" w:color="auto"/>
        </w:rPr>
        <w:t>、</w:t>
      </w:r>
      <w:r w:rsidRPr="00DA3BC7">
        <w:rPr>
          <w:rFonts w:ascii="Times New Roman"/>
          <w:b/>
          <w:sz w:val="20"/>
          <w:szCs w:val="20"/>
          <w:bdr w:val="single" w:sz="4" w:space="0" w:color="auto"/>
        </w:rPr>
        <w:t>中觀家的時間觀</w:t>
      </w:r>
      <w:r w:rsidRPr="00DA3BC7">
        <w:rPr>
          <w:rFonts w:ascii="Times New Roman"/>
          <w:sz w:val="20"/>
          <w:szCs w:val="20"/>
        </w:rPr>
        <w:t>（</w:t>
      </w:r>
      <w:r w:rsidRPr="00DA3BC7">
        <w:rPr>
          <w:rFonts w:ascii="Times New Roman" w:hAnsi="Times New Roman"/>
          <w:sz w:val="20"/>
          <w:szCs w:val="20"/>
        </w:rPr>
        <w:t>p.119</w:t>
      </w:r>
      <w:r w:rsidRPr="00DA3BC7">
        <w:rPr>
          <w:rFonts w:ascii="Times New Roman"/>
          <w:sz w:val="20"/>
          <w:szCs w:val="20"/>
        </w:rPr>
        <w:t>）</w:t>
      </w:r>
    </w:p>
    <w:p w:rsidR="00AA120F" w:rsidRPr="00DA3BC7" w:rsidRDefault="001C60CE" w:rsidP="00255D87">
      <w:pPr>
        <w:ind w:leftChars="100" w:left="240"/>
        <w:jc w:val="both"/>
        <w:rPr>
          <w:rFonts w:ascii="Times New Roman" w:eastAsia="SimSun" w:hAnsi="Times New Roman"/>
          <w:b/>
          <w:sz w:val="20"/>
          <w:szCs w:val="20"/>
        </w:rPr>
      </w:pPr>
      <w:r w:rsidRPr="00DA3BC7">
        <w:rPr>
          <w:rFonts w:ascii="Times New Roman"/>
        </w:rPr>
        <w:t>依中觀的見地來看：</w:t>
      </w:r>
    </w:p>
    <w:p w:rsidR="001C60CE" w:rsidRDefault="00AA120F" w:rsidP="00AE3920">
      <w:pPr>
        <w:spacing w:beforeLines="30"/>
        <w:ind w:leftChars="150" w:left="360"/>
        <w:jc w:val="both"/>
        <w:rPr>
          <w:rFonts w:ascii="Times New Roman" w:hAnsi="Times New Roman"/>
          <w:b/>
          <w:color w:val="FF0000"/>
          <w:sz w:val="20"/>
          <w:szCs w:val="20"/>
          <w:bdr w:val="single" w:sz="4" w:space="0" w:color="auto"/>
        </w:rPr>
      </w:pPr>
      <w:r w:rsidRPr="001C60CE">
        <w:rPr>
          <w:rFonts w:ascii="Times New Roman" w:hAnsi="Times New Roman"/>
          <w:b/>
          <w:color w:val="FF0000"/>
          <w:sz w:val="20"/>
          <w:szCs w:val="20"/>
          <w:highlight w:val="yellow"/>
          <w:bdr w:val="single" w:sz="4" w:space="0" w:color="auto"/>
        </w:rPr>
        <w:t>（一）</w:t>
      </w:r>
      <w:r w:rsidR="001C60CE" w:rsidRPr="001C60CE">
        <w:rPr>
          <w:rFonts w:ascii="Times New Roman" w:hAnsi="Times New Roman" w:hint="eastAsia"/>
          <w:b/>
          <w:color w:val="FF0000"/>
          <w:sz w:val="20"/>
          <w:szCs w:val="20"/>
          <w:highlight w:val="yellow"/>
          <w:bdr w:val="single" w:sz="4" w:space="0" w:color="auto"/>
        </w:rPr>
        <w:t>時間的特性</w:t>
      </w:r>
      <w:r w:rsidR="001C60CE">
        <w:rPr>
          <w:rFonts w:ascii="Times New Roman" w:hAnsi="Times New Roman" w:hint="eastAsia"/>
          <w:b/>
          <w:color w:val="FF0000"/>
          <w:sz w:val="20"/>
          <w:szCs w:val="20"/>
          <w:highlight w:val="yellow"/>
          <w:bdr w:val="single" w:sz="4" w:space="0" w:color="auto"/>
        </w:rPr>
        <w:t>──約</w:t>
      </w:r>
      <w:r w:rsidR="000404C7">
        <w:rPr>
          <w:rFonts w:ascii="Times New Roman" w:hAnsi="Times New Roman" w:hint="eastAsia"/>
          <w:b/>
          <w:color w:val="FF0000"/>
          <w:sz w:val="20"/>
          <w:szCs w:val="20"/>
          <w:highlight w:val="yellow"/>
          <w:bdr w:val="single" w:sz="4" w:space="0" w:color="auto"/>
        </w:rPr>
        <w:t>「</w:t>
      </w:r>
      <w:r w:rsidR="001C60CE">
        <w:rPr>
          <w:rFonts w:ascii="Times New Roman" w:hAnsi="Times New Roman" w:hint="eastAsia"/>
          <w:b/>
          <w:color w:val="FF0000"/>
          <w:sz w:val="20"/>
          <w:szCs w:val="20"/>
          <w:highlight w:val="yellow"/>
          <w:bdr w:val="single" w:sz="4" w:space="0" w:color="auto"/>
        </w:rPr>
        <w:t>事</w:t>
      </w:r>
      <w:r w:rsidR="000404C7">
        <w:rPr>
          <w:rFonts w:ascii="Times New Roman" w:hAnsi="Times New Roman" w:hint="eastAsia"/>
          <w:b/>
          <w:color w:val="FF0000"/>
          <w:sz w:val="20"/>
          <w:szCs w:val="20"/>
          <w:highlight w:val="yellow"/>
          <w:bdr w:val="single" w:sz="4" w:space="0" w:color="auto"/>
        </w:rPr>
        <w:t>」</w:t>
      </w:r>
      <w:r w:rsidR="001C60CE">
        <w:rPr>
          <w:rFonts w:ascii="Times New Roman" w:hAnsi="Times New Roman" w:hint="eastAsia"/>
          <w:b/>
          <w:color w:val="FF0000"/>
          <w:sz w:val="20"/>
          <w:szCs w:val="20"/>
          <w:highlight w:val="yellow"/>
          <w:bdr w:val="single" w:sz="4" w:space="0" w:color="auto"/>
        </w:rPr>
        <w:t>明</w:t>
      </w:r>
      <w:r w:rsidR="000404C7">
        <w:rPr>
          <w:rFonts w:ascii="Times New Roman" w:hAnsi="Times New Roman" w:hint="eastAsia"/>
          <w:b/>
          <w:color w:val="FF0000"/>
          <w:sz w:val="20"/>
          <w:szCs w:val="20"/>
          <w:highlight w:val="yellow"/>
          <w:bdr w:val="single" w:sz="4" w:space="0" w:color="auto"/>
        </w:rPr>
        <w:t>「</w:t>
      </w:r>
      <w:r w:rsidR="001C60CE">
        <w:rPr>
          <w:rFonts w:ascii="Times New Roman" w:hAnsi="Times New Roman" w:hint="eastAsia"/>
          <w:b/>
          <w:color w:val="FF0000"/>
          <w:sz w:val="20"/>
          <w:szCs w:val="20"/>
          <w:highlight w:val="yellow"/>
          <w:bdr w:val="single" w:sz="4" w:space="0" w:color="auto"/>
        </w:rPr>
        <w:t>理</w:t>
      </w:r>
      <w:r w:rsidR="000404C7">
        <w:rPr>
          <w:rFonts w:ascii="Times New Roman" w:hAnsi="Times New Roman" w:hint="eastAsia"/>
          <w:b/>
          <w:color w:val="FF0000"/>
          <w:sz w:val="20"/>
          <w:szCs w:val="20"/>
          <w:highlight w:val="yellow"/>
          <w:bdr w:val="single" w:sz="4" w:space="0" w:color="auto"/>
        </w:rPr>
        <w:t>」</w:t>
      </w:r>
      <w:r w:rsidR="001C60CE" w:rsidRPr="00DA3BC7">
        <w:rPr>
          <w:rFonts w:ascii="Times New Roman"/>
          <w:sz w:val="20"/>
          <w:szCs w:val="20"/>
        </w:rPr>
        <w:t>（</w:t>
      </w:r>
      <w:r w:rsidR="001C60CE" w:rsidRPr="00DA3BC7">
        <w:rPr>
          <w:rFonts w:ascii="Times New Roman" w:hAnsi="Times New Roman"/>
          <w:sz w:val="20"/>
          <w:szCs w:val="20"/>
        </w:rPr>
        <w:t>p.119</w:t>
      </w:r>
      <w:r w:rsidR="001C60CE" w:rsidRPr="00DA3BC7">
        <w:rPr>
          <w:rFonts w:ascii="Times New Roman"/>
          <w:sz w:val="20"/>
          <w:szCs w:val="20"/>
        </w:rPr>
        <w:t>）</w:t>
      </w:r>
    </w:p>
    <w:p w:rsidR="00AA120F" w:rsidRPr="00DA3BC7" w:rsidRDefault="001C60CE" w:rsidP="002E5DD4">
      <w:pPr>
        <w:ind w:leftChars="200" w:left="480"/>
        <w:jc w:val="both"/>
        <w:rPr>
          <w:rFonts w:ascii="Times New Roman" w:eastAsia="SimSun"/>
          <w:sz w:val="20"/>
          <w:szCs w:val="20"/>
        </w:rPr>
      </w:pPr>
      <w:r w:rsidRPr="001C60CE">
        <w:rPr>
          <w:rFonts w:ascii="Times New Roman" w:hint="eastAsia"/>
          <w:b/>
          <w:color w:val="FF0000"/>
          <w:sz w:val="20"/>
          <w:szCs w:val="20"/>
          <w:highlight w:val="yellow"/>
          <w:bdr w:val="single" w:sz="4" w:space="0" w:color="auto"/>
        </w:rPr>
        <w:t>1</w:t>
      </w:r>
      <w:r w:rsidRPr="001C60CE">
        <w:rPr>
          <w:rFonts w:ascii="Times New Roman" w:hint="eastAsia"/>
          <w:b/>
          <w:color w:val="FF0000"/>
          <w:sz w:val="20"/>
          <w:szCs w:val="20"/>
          <w:highlight w:val="yellow"/>
          <w:bdr w:val="single" w:sz="4" w:space="0" w:color="auto"/>
        </w:rPr>
        <w:t>、</w:t>
      </w:r>
      <w:r w:rsidR="00AA120F" w:rsidRPr="001C60CE">
        <w:rPr>
          <w:rFonts w:ascii="Times New Roman"/>
          <w:b/>
          <w:color w:val="FF0000"/>
          <w:sz w:val="20"/>
          <w:szCs w:val="20"/>
          <w:highlight w:val="yellow"/>
          <w:bdr w:val="single" w:sz="4" w:space="0" w:color="auto"/>
        </w:rPr>
        <w:t>依</w:t>
      </w:r>
      <w:r w:rsidR="000404C7">
        <w:rPr>
          <w:rFonts w:ascii="Times New Roman" w:hAnsi="Times New Roman" w:hint="eastAsia"/>
          <w:b/>
          <w:color w:val="FF0000"/>
          <w:sz w:val="20"/>
          <w:szCs w:val="20"/>
          <w:highlight w:val="yellow"/>
          <w:bdr w:val="single" w:sz="4" w:space="0" w:color="auto"/>
        </w:rPr>
        <w:t>「</w:t>
      </w:r>
      <w:r w:rsidR="00AA120F" w:rsidRPr="001C60CE">
        <w:rPr>
          <w:rFonts w:ascii="Times New Roman"/>
          <w:b/>
          <w:color w:val="FF0000"/>
          <w:sz w:val="20"/>
          <w:szCs w:val="20"/>
          <w:highlight w:val="yellow"/>
          <w:bdr w:val="single" w:sz="4" w:space="0" w:color="auto"/>
        </w:rPr>
        <w:t>法體</w:t>
      </w:r>
      <w:r w:rsidR="000404C7">
        <w:rPr>
          <w:rFonts w:ascii="Times New Roman" w:hAnsi="Times New Roman" w:hint="eastAsia"/>
          <w:b/>
          <w:color w:val="FF0000"/>
          <w:sz w:val="20"/>
          <w:szCs w:val="20"/>
          <w:highlight w:val="yellow"/>
          <w:bdr w:val="single" w:sz="4" w:space="0" w:color="auto"/>
        </w:rPr>
        <w:t>」</w:t>
      </w:r>
      <w:r w:rsidR="00AA120F" w:rsidRPr="001C60CE">
        <w:rPr>
          <w:rFonts w:ascii="Times New Roman"/>
          <w:b/>
          <w:color w:val="FF0000"/>
          <w:sz w:val="20"/>
          <w:szCs w:val="20"/>
          <w:highlight w:val="yellow"/>
          <w:bdr w:val="single" w:sz="4" w:space="0" w:color="auto"/>
        </w:rPr>
        <w:t>而示</w:t>
      </w:r>
      <w:r w:rsidR="000404C7">
        <w:rPr>
          <w:rFonts w:ascii="Times New Roman" w:hAnsi="Times New Roman" w:hint="eastAsia"/>
          <w:b/>
          <w:color w:val="FF0000"/>
          <w:sz w:val="20"/>
          <w:szCs w:val="20"/>
          <w:highlight w:val="yellow"/>
          <w:bdr w:val="single" w:sz="4" w:space="0" w:color="auto"/>
        </w:rPr>
        <w:t>「</w:t>
      </w:r>
      <w:r w:rsidRPr="001C60CE">
        <w:rPr>
          <w:rFonts w:ascii="Times New Roman" w:hint="eastAsia"/>
          <w:b/>
          <w:color w:val="FF0000"/>
          <w:sz w:val="20"/>
          <w:szCs w:val="20"/>
          <w:highlight w:val="yellow"/>
          <w:bdr w:val="single" w:sz="4" w:space="0" w:color="auto"/>
        </w:rPr>
        <w:t>前後</w:t>
      </w:r>
      <w:r w:rsidR="00AA120F" w:rsidRPr="001C60CE">
        <w:rPr>
          <w:rFonts w:ascii="Times New Roman"/>
          <w:b/>
          <w:color w:val="FF0000"/>
          <w:sz w:val="20"/>
          <w:szCs w:val="20"/>
          <w:highlight w:val="yellow"/>
          <w:bdr w:val="single" w:sz="4" w:space="0" w:color="auto"/>
        </w:rPr>
        <w:t>相</w:t>
      </w:r>
      <w:r w:rsidR="000404C7">
        <w:rPr>
          <w:rFonts w:ascii="Times New Roman" w:hAnsi="Times New Roman" w:hint="eastAsia"/>
          <w:b/>
          <w:color w:val="FF0000"/>
          <w:sz w:val="20"/>
          <w:szCs w:val="20"/>
          <w:highlight w:val="yellow"/>
          <w:bdr w:val="single" w:sz="4" w:space="0" w:color="auto"/>
        </w:rPr>
        <w:t>」</w:t>
      </w:r>
      <w:r w:rsidR="00AA120F" w:rsidRPr="00DA3BC7">
        <w:rPr>
          <w:rFonts w:ascii="Times New Roman"/>
          <w:sz w:val="20"/>
          <w:szCs w:val="20"/>
        </w:rPr>
        <w:t>（</w:t>
      </w:r>
      <w:r w:rsidR="00AA120F" w:rsidRPr="00DA3BC7">
        <w:rPr>
          <w:rFonts w:ascii="Times New Roman" w:hAnsi="Times New Roman"/>
          <w:sz w:val="20"/>
          <w:szCs w:val="20"/>
        </w:rPr>
        <w:t>p.119</w:t>
      </w:r>
      <w:r w:rsidR="00AA120F" w:rsidRPr="00DA3BC7">
        <w:rPr>
          <w:rFonts w:ascii="Times New Roman"/>
          <w:sz w:val="20"/>
          <w:szCs w:val="20"/>
        </w:rPr>
        <w:t>）</w:t>
      </w:r>
    </w:p>
    <w:p w:rsidR="00AA120F" w:rsidRPr="00DA3BC7" w:rsidRDefault="00AA120F" w:rsidP="002E5DD4">
      <w:pPr>
        <w:ind w:leftChars="200" w:left="480"/>
        <w:jc w:val="both"/>
        <w:rPr>
          <w:rFonts w:ascii="Times New Roman"/>
        </w:rPr>
      </w:pPr>
      <w:r w:rsidRPr="00DA3BC7">
        <w:rPr>
          <w:rFonts w:ascii="Times New Roman"/>
        </w:rPr>
        <w:t>時間是不能離開存在</w:t>
      </w:r>
      <w:r w:rsidRPr="00DA3BC7">
        <w:rPr>
          <w:rFonts w:ascii="新細明體" w:hAnsi="新細明體"/>
        </w:rPr>
        <w:t>──</w:t>
      </w:r>
      <w:r w:rsidRPr="00DA3BC7">
        <w:rPr>
          <w:rFonts w:ascii="Times New Roman"/>
        </w:rPr>
        <w:t>法而有的，離開具體的存在而想像有常住不變的時間實體，是不對的。如《中論》</w:t>
      </w:r>
      <w:r w:rsidR="00C36A92">
        <w:rPr>
          <w:rFonts w:ascii="Times New Roman" w:hint="eastAsia"/>
        </w:rPr>
        <w:t>〈</w:t>
      </w:r>
      <w:r w:rsidR="00C36A92" w:rsidRPr="00C36A92">
        <w:rPr>
          <w:rFonts w:ascii="Times New Roman" w:hint="eastAsia"/>
          <w:shd w:val="pct15" w:color="auto" w:fill="FFFFFF"/>
        </w:rPr>
        <w:t>19</w:t>
      </w:r>
      <w:r w:rsidR="00C36A92">
        <w:rPr>
          <w:rFonts w:ascii="Times New Roman" w:hint="eastAsia"/>
        </w:rPr>
        <w:t xml:space="preserve"> </w:t>
      </w:r>
      <w:r w:rsidR="00C36A92" w:rsidRPr="00DA3BC7">
        <w:rPr>
          <w:rFonts w:ascii="Times New Roman"/>
        </w:rPr>
        <w:t>觀時品</w:t>
      </w:r>
      <w:r w:rsidR="00C36A92">
        <w:rPr>
          <w:rFonts w:ascii="Times New Roman" w:hint="eastAsia"/>
        </w:rPr>
        <w:t>〉</w:t>
      </w:r>
      <w:r w:rsidRPr="00DA3BC7">
        <w:rPr>
          <w:rFonts w:ascii="Times New Roman"/>
        </w:rPr>
        <w:t>說：「</w:t>
      </w:r>
      <w:r w:rsidRPr="00DA3BC7">
        <w:rPr>
          <w:rFonts w:ascii="Times New Roman" w:eastAsia="標楷體" w:hAnsi="標楷體"/>
        </w:rPr>
        <w:t>因物故有時，離物何有時？</w:t>
      </w:r>
      <w:r w:rsidRPr="00DA3BC7">
        <w:rPr>
          <w:rFonts w:ascii="Times New Roman"/>
        </w:rPr>
        <w:t>」</w:t>
      </w:r>
      <w:r w:rsidRPr="00DA3BC7">
        <w:rPr>
          <w:rStyle w:val="a6"/>
          <w:rFonts w:ascii="Times New Roman" w:hAnsi="Times New Roman"/>
        </w:rPr>
        <w:footnoteReference w:id="550"/>
      </w:r>
    </w:p>
    <w:p w:rsidR="00AA120F" w:rsidRPr="00DA3BC7" w:rsidRDefault="00AA120F" w:rsidP="00AE3920">
      <w:pPr>
        <w:spacing w:beforeLines="20"/>
        <w:ind w:leftChars="200" w:left="480"/>
        <w:jc w:val="both"/>
        <w:rPr>
          <w:rFonts w:ascii="Times New Roman"/>
        </w:rPr>
      </w:pPr>
      <w:r w:rsidRPr="00DA3BC7">
        <w:rPr>
          <w:rFonts w:ascii="Times New Roman"/>
        </w:rPr>
        <w:lastRenderedPageBreak/>
        <w:t>故時間不過依諸法活動因果流變所幻現的形態；有法的因果流行，即有時間的現象。</w:t>
      </w:r>
    </w:p>
    <w:p w:rsidR="00AA120F" w:rsidRPr="00DA3BC7" w:rsidRDefault="00AA120F" w:rsidP="00AE3920">
      <w:pPr>
        <w:spacing w:beforeLines="20"/>
        <w:ind w:leftChars="200" w:left="480"/>
        <w:jc w:val="both"/>
        <w:rPr>
          <w:rFonts w:ascii="Times New Roman"/>
        </w:rPr>
      </w:pPr>
      <w:r w:rsidRPr="00DA3BC7">
        <w:rPr>
          <w:rFonts w:ascii="Times New Roman"/>
        </w:rPr>
        <w:t>時間的特性，即是幻似前後相。一切法不出因果，法之所以有，必有其因；由因生起的，勢必又影響於未來。故任何一法，都有承前啟後，包含過去</w:t>
      </w:r>
      <w:r w:rsidRPr="00DA3BC7">
        <w:rPr>
          <w:rFonts w:ascii="Times New Roman" w:hint="eastAsia"/>
        </w:rPr>
        <w:t>、</w:t>
      </w:r>
      <w:r w:rsidRPr="00DA3BC7">
        <w:rPr>
          <w:rFonts w:ascii="Times New Roman"/>
        </w:rPr>
        <w:t>引發未來的性質。</w:t>
      </w:r>
    </w:p>
    <w:p w:rsidR="001C60CE" w:rsidRDefault="00AA120F" w:rsidP="00AE3920">
      <w:pPr>
        <w:spacing w:beforeLines="20"/>
        <w:ind w:leftChars="200" w:left="480"/>
        <w:jc w:val="both"/>
        <w:rPr>
          <w:rFonts w:ascii="Times New Roman"/>
        </w:rPr>
      </w:pPr>
      <w:r w:rsidRPr="00DA3BC7">
        <w:rPr>
          <w:rFonts w:ascii="Times New Roman"/>
        </w:rPr>
        <w:t>也就是說，即一一法的因果流行，必然的現為前後延續的時間相。</w:t>
      </w:r>
    </w:p>
    <w:p w:rsidR="00AA120F" w:rsidRPr="00DA3BC7" w:rsidRDefault="00AA120F" w:rsidP="00AE3920">
      <w:pPr>
        <w:spacing w:beforeLines="20"/>
        <w:ind w:leftChars="200" w:left="480"/>
        <w:jc w:val="both"/>
        <w:rPr>
          <w:rFonts w:ascii="Times New Roman" w:eastAsia="SimSun" w:hAnsi="Times New Roman"/>
          <w:b/>
          <w:sz w:val="20"/>
          <w:szCs w:val="20"/>
        </w:rPr>
      </w:pPr>
      <w:r w:rsidRPr="00DA3BC7">
        <w:rPr>
          <w:rFonts w:ascii="Times New Roman"/>
        </w:rPr>
        <w:t>若離開存在的法，而想像常住真實的時間相，那是由於想像而實不可得的。</w:t>
      </w:r>
    </w:p>
    <w:p w:rsidR="00AA120F" w:rsidRPr="00DA3BC7" w:rsidRDefault="001C60CE" w:rsidP="00AE3920">
      <w:pPr>
        <w:spacing w:beforeLines="30"/>
        <w:ind w:leftChars="200" w:left="480"/>
        <w:jc w:val="both"/>
        <w:rPr>
          <w:rFonts w:ascii="Times New Roman" w:eastAsia="SimSun"/>
          <w:sz w:val="20"/>
          <w:szCs w:val="20"/>
        </w:rPr>
      </w:pPr>
      <w:r w:rsidRPr="001C60CE">
        <w:rPr>
          <w:rFonts w:ascii="Times New Roman" w:hAnsi="Times New Roman" w:hint="eastAsia"/>
          <w:b/>
          <w:color w:val="FF0000"/>
          <w:sz w:val="20"/>
          <w:szCs w:val="20"/>
          <w:highlight w:val="yellow"/>
          <w:bdr w:val="single" w:sz="4" w:space="0" w:color="auto"/>
        </w:rPr>
        <w:t>2</w:t>
      </w:r>
      <w:r w:rsidRPr="001C60CE">
        <w:rPr>
          <w:rFonts w:ascii="Times New Roman" w:hAnsi="Times New Roman" w:hint="eastAsia"/>
          <w:b/>
          <w:color w:val="FF0000"/>
          <w:sz w:val="20"/>
          <w:szCs w:val="20"/>
          <w:highlight w:val="yellow"/>
          <w:bdr w:val="single" w:sz="4" w:space="0" w:color="auto"/>
        </w:rPr>
        <w:t>、</w:t>
      </w:r>
      <w:r w:rsidR="00AA120F" w:rsidRPr="001C60CE">
        <w:rPr>
          <w:rFonts w:ascii="Times New Roman"/>
          <w:b/>
          <w:color w:val="FF0000"/>
          <w:sz w:val="20"/>
          <w:szCs w:val="20"/>
          <w:highlight w:val="yellow"/>
          <w:bdr w:val="single" w:sz="4" w:space="0" w:color="auto"/>
        </w:rPr>
        <w:t>依</w:t>
      </w:r>
      <w:r w:rsidR="000404C7" w:rsidRPr="001C60CE">
        <w:rPr>
          <w:rFonts w:ascii="Times New Roman" w:hint="eastAsia"/>
          <w:b/>
          <w:color w:val="FF0000"/>
          <w:sz w:val="20"/>
          <w:szCs w:val="20"/>
          <w:highlight w:val="yellow"/>
          <w:bdr w:val="single" w:sz="4" w:space="0" w:color="auto"/>
        </w:rPr>
        <w:t>「</w:t>
      </w:r>
      <w:r w:rsidRPr="001C60CE">
        <w:rPr>
          <w:rFonts w:ascii="Times New Roman" w:hint="eastAsia"/>
          <w:b/>
          <w:color w:val="FF0000"/>
          <w:sz w:val="20"/>
          <w:szCs w:val="20"/>
          <w:highlight w:val="yellow"/>
          <w:bdr w:val="single" w:sz="4" w:space="0" w:color="auto"/>
        </w:rPr>
        <w:t>法用</w:t>
      </w:r>
      <w:r w:rsidR="000404C7" w:rsidRPr="001C60CE">
        <w:rPr>
          <w:rFonts w:ascii="Times New Roman" w:hint="eastAsia"/>
          <w:b/>
          <w:color w:val="FF0000"/>
          <w:sz w:val="20"/>
          <w:szCs w:val="20"/>
          <w:highlight w:val="yellow"/>
          <w:bdr w:val="single" w:sz="4" w:space="0" w:color="auto"/>
        </w:rPr>
        <w:t>」</w:t>
      </w:r>
      <w:r w:rsidR="00AA120F" w:rsidRPr="001C60CE">
        <w:rPr>
          <w:rFonts w:ascii="Times New Roman"/>
          <w:b/>
          <w:color w:val="FF0000"/>
          <w:sz w:val="20"/>
          <w:szCs w:val="20"/>
          <w:highlight w:val="yellow"/>
          <w:bdr w:val="single" w:sz="4" w:space="0" w:color="auto"/>
        </w:rPr>
        <w:t>而示</w:t>
      </w:r>
      <w:r w:rsidR="000404C7" w:rsidRPr="001C60CE">
        <w:rPr>
          <w:rFonts w:ascii="Times New Roman" w:hint="eastAsia"/>
          <w:b/>
          <w:color w:val="FF0000"/>
          <w:sz w:val="20"/>
          <w:szCs w:val="20"/>
          <w:highlight w:val="yellow"/>
          <w:bdr w:val="single" w:sz="4" w:space="0" w:color="auto"/>
        </w:rPr>
        <w:t>「</w:t>
      </w:r>
      <w:r w:rsidRPr="001C60CE">
        <w:rPr>
          <w:rFonts w:ascii="Times New Roman" w:hint="eastAsia"/>
          <w:b/>
          <w:color w:val="FF0000"/>
          <w:sz w:val="20"/>
          <w:szCs w:val="20"/>
          <w:highlight w:val="yellow"/>
          <w:bdr w:val="single" w:sz="4" w:space="0" w:color="auto"/>
        </w:rPr>
        <w:t>變動</w:t>
      </w:r>
      <w:r w:rsidR="00AA120F" w:rsidRPr="001C60CE">
        <w:rPr>
          <w:rFonts w:ascii="Times New Roman"/>
          <w:b/>
          <w:color w:val="FF0000"/>
          <w:sz w:val="20"/>
          <w:szCs w:val="20"/>
          <w:highlight w:val="yellow"/>
          <w:bdr w:val="single" w:sz="4" w:space="0" w:color="auto"/>
        </w:rPr>
        <w:t>相</w:t>
      </w:r>
      <w:r w:rsidR="000404C7" w:rsidRPr="001C60CE">
        <w:rPr>
          <w:rFonts w:ascii="Times New Roman" w:hint="eastAsia"/>
          <w:b/>
          <w:color w:val="FF0000"/>
          <w:sz w:val="20"/>
          <w:szCs w:val="20"/>
          <w:highlight w:val="yellow"/>
          <w:bdr w:val="single" w:sz="4" w:space="0" w:color="auto"/>
        </w:rPr>
        <w:t>」</w:t>
      </w:r>
      <w:r w:rsidR="00AA120F" w:rsidRPr="00DA3BC7">
        <w:rPr>
          <w:rFonts w:ascii="Times New Roman"/>
          <w:sz w:val="20"/>
          <w:szCs w:val="20"/>
        </w:rPr>
        <w:t>（</w:t>
      </w:r>
      <w:r w:rsidR="00AA120F" w:rsidRPr="00DA3BC7">
        <w:rPr>
          <w:rFonts w:ascii="Times New Roman" w:hAnsi="Times New Roman"/>
          <w:sz w:val="20"/>
          <w:szCs w:val="20"/>
        </w:rPr>
        <w:t>p.119</w:t>
      </w:r>
      <w:r w:rsidR="00AA120F" w:rsidRPr="00DA3BC7">
        <w:rPr>
          <w:rFonts w:ascii="Times New Roman"/>
          <w:sz w:val="20"/>
          <w:szCs w:val="20"/>
        </w:rPr>
        <w:t>）</w:t>
      </w:r>
    </w:p>
    <w:p w:rsidR="00AA120F" w:rsidRPr="00DA3BC7" w:rsidRDefault="00AA120F" w:rsidP="00AE3920">
      <w:pPr>
        <w:spacing w:afterLines="30"/>
        <w:ind w:leftChars="200" w:left="480"/>
        <w:jc w:val="both"/>
        <w:rPr>
          <w:rFonts w:ascii="Times New Roman" w:hAnsi="Times New Roman"/>
        </w:rPr>
      </w:pPr>
      <w:r w:rsidRPr="00DA3BC7">
        <w:rPr>
          <w:rFonts w:ascii="Times New Roman"/>
        </w:rPr>
        <w:t>又，時間的特性是有變動相的，因為諸行</w:t>
      </w:r>
      <w:r w:rsidRPr="00DA3BC7">
        <w:rPr>
          <w:rFonts w:ascii="新細明體" w:hAnsi="新細明體"/>
        </w:rPr>
        <w:t>──</w:t>
      </w:r>
      <w:r w:rsidRPr="00DA3BC7">
        <w:rPr>
          <w:rFonts w:ascii="Times New Roman"/>
        </w:rPr>
        <w:t>一切法都在</w:t>
      </w:r>
      <w:r w:rsidRPr="00DA3BC7">
        <w:rPr>
          <w:rFonts w:ascii="Times New Roman" w:hAnsi="Times New Roman"/>
        </w:rPr>
        <w:t>息息</w:t>
      </w:r>
      <w:r w:rsidRPr="00DA3BC7">
        <w:rPr>
          <w:rStyle w:val="a6"/>
          <w:rFonts w:ascii="Times New Roman" w:hAnsi="Times New Roman"/>
        </w:rPr>
        <w:footnoteReference w:id="551"/>
      </w:r>
      <w:r w:rsidRPr="00DA3BC7">
        <w:rPr>
          <w:rFonts w:ascii="Times New Roman" w:hAnsi="Times New Roman"/>
        </w:rPr>
        <w:t>流變</w:t>
      </w:r>
      <w:r w:rsidRPr="00DA3BC7">
        <w:rPr>
          <w:rStyle w:val="a6"/>
          <w:rFonts w:ascii="Times New Roman" w:hAnsi="Times New Roman"/>
        </w:rPr>
        <w:footnoteReference w:id="552"/>
      </w:r>
      <w:r w:rsidRPr="00DA3BC7">
        <w:rPr>
          <w:rFonts w:ascii="Times New Roman"/>
        </w:rPr>
        <w:t>的運行著，即在此息息流變的活動中，現出時間的特徵。《中論》</w:t>
      </w:r>
      <w:r w:rsidR="00C36A92">
        <w:rPr>
          <w:rFonts w:ascii="Times New Roman" w:hint="eastAsia"/>
        </w:rPr>
        <w:t>〈</w:t>
      </w:r>
      <w:r w:rsidR="00C36A92" w:rsidRPr="00C36A92">
        <w:rPr>
          <w:rFonts w:ascii="Times New Roman" w:hint="eastAsia"/>
          <w:shd w:val="pct15" w:color="auto" w:fill="FFFFFF"/>
        </w:rPr>
        <w:t>2</w:t>
      </w:r>
      <w:r w:rsidR="00C36A92">
        <w:rPr>
          <w:rFonts w:ascii="Times New Roman" w:hint="eastAsia"/>
        </w:rPr>
        <w:t xml:space="preserve"> </w:t>
      </w:r>
      <w:r w:rsidR="00C36A92" w:rsidRPr="00DA3BC7">
        <w:rPr>
          <w:rFonts w:ascii="Times New Roman"/>
        </w:rPr>
        <w:t>觀去來品</w:t>
      </w:r>
      <w:r w:rsidR="00C36A92">
        <w:rPr>
          <w:rFonts w:ascii="Times New Roman" w:hint="eastAsia"/>
        </w:rPr>
        <w:t>〉</w:t>
      </w:r>
      <w:r w:rsidRPr="00DA3BC7">
        <w:rPr>
          <w:rFonts w:ascii="Times New Roman"/>
        </w:rPr>
        <w:t>說：「</w:t>
      </w:r>
      <w:r w:rsidRPr="00DA3BC7">
        <w:rPr>
          <w:rFonts w:ascii="Times New Roman" w:eastAsia="標楷體" w:hAnsi="標楷體"/>
        </w:rPr>
        <w:t>若離於去法，去時不可得</w:t>
      </w:r>
      <w:r w:rsidRPr="00DA3BC7">
        <w:rPr>
          <w:rFonts w:ascii="Times New Roman"/>
        </w:rPr>
        <w:t>」</w:t>
      </w:r>
      <w:r w:rsidRPr="00DA3BC7">
        <w:rPr>
          <w:rStyle w:val="a6"/>
          <w:rFonts w:ascii="Times New Roman" w:hAnsi="Times New Roman"/>
        </w:rPr>
        <w:footnoteReference w:id="553"/>
      </w:r>
      <w:r w:rsidRPr="00DA3BC7">
        <w:rPr>
          <w:rFonts w:ascii="Times New Roman" w:hAnsi="Times New Roman"/>
        </w:rPr>
        <w:t>。</w:t>
      </w:r>
      <w:r w:rsidRPr="00DA3BC7">
        <w:rPr>
          <w:rFonts w:ascii="Times New Roman"/>
        </w:rPr>
        <w:t>去，就是運動的一種，離了運動的去，去的時間也就不可說了。</w:t>
      </w:r>
    </w:p>
    <w:p w:rsidR="00AA120F" w:rsidRPr="00DA3BC7" w:rsidRDefault="00AA120F" w:rsidP="00AE3920">
      <w:pPr>
        <w:spacing w:afterLines="30"/>
        <w:ind w:leftChars="200" w:left="480"/>
        <w:jc w:val="both"/>
        <w:rPr>
          <w:rFonts w:ascii="Times New Roman" w:hAnsi="Times New Roman"/>
        </w:rPr>
      </w:pPr>
      <w:r w:rsidRPr="00DA3BC7">
        <w:rPr>
          <w:rFonts w:ascii="Times New Roman"/>
        </w:rPr>
        <w:t>前者是說：</w:t>
      </w:r>
      <w:r w:rsidRPr="00DA3BC7">
        <w:rPr>
          <w:rFonts w:ascii="Times New Roman"/>
          <w:b/>
        </w:rPr>
        <w:t>因存在的</w:t>
      </w:r>
      <w:r w:rsidRPr="00DA3BC7">
        <w:rPr>
          <w:rFonts w:ascii="新細明體" w:hAnsi="新細明體"/>
          <w:b/>
        </w:rPr>
        <w:t>──</w:t>
      </w:r>
      <w:r w:rsidRPr="00DA3BC7">
        <w:rPr>
          <w:rFonts w:ascii="Times New Roman"/>
          <w:b/>
        </w:rPr>
        <w:t>法體而示現時間相，今此依運動而顯示時間相。</w:t>
      </w:r>
      <w:r w:rsidRPr="00DA3BC7">
        <w:rPr>
          <w:rFonts w:ascii="Times New Roman"/>
        </w:rPr>
        <w:t>然而這不過是分別的考察，法體與法用是不相離（也是不相即）的，所以也即是依那存在的運動而有時間。</w:t>
      </w:r>
    </w:p>
    <w:p w:rsidR="00AA120F" w:rsidRPr="00DA3BC7" w:rsidRDefault="001C60CE" w:rsidP="00AE3920">
      <w:pPr>
        <w:spacing w:beforeLines="30"/>
        <w:ind w:leftChars="150" w:left="360"/>
        <w:jc w:val="both"/>
        <w:rPr>
          <w:rFonts w:ascii="Times New Roman" w:eastAsia="SimSun"/>
          <w:sz w:val="20"/>
          <w:szCs w:val="20"/>
        </w:rPr>
      </w:pPr>
      <w:r w:rsidRPr="001C60CE">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二</w:t>
      </w:r>
      <w:r w:rsidRPr="001C60CE">
        <w:rPr>
          <w:rFonts w:ascii="Times New Roman" w:hAnsi="Times New Roman"/>
          <w:b/>
          <w:color w:val="FF0000"/>
          <w:sz w:val="20"/>
          <w:szCs w:val="20"/>
          <w:highlight w:val="yellow"/>
          <w:bdr w:val="single" w:sz="4" w:space="0" w:color="auto"/>
        </w:rPr>
        <w:t>）</w:t>
      </w:r>
      <w:r w:rsidR="00AA120F" w:rsidRPr="00DA3BC7">
        <w:rPr>
          <w:rFonts w:ascii="Times New Roman"/>
          <w:b/>
          <w:sz w:val="20"/>
          <w:szCs w:val="20"/>
          <w:bdr w:val="single" w:sz="4" w:space="0" w:color="auto"/>
        </w:rPr>
        <w:t>時間之施設</w:t>
      </w:r>
      <w:r w:rsidRPr="001C60CE">
        <w:rPr>
          <w:rFonts w:ascii="Times New Roman" w:hint="eastAsia"/>
          <w:b/>
          <w:color w:val="FF0000"/>
          <w:sz w:val="20"/>
          <w:szCs w:val="20"/>
          <w:highlight w:val="yellow"/>
          <w:bdr w:val="single" w:sz="4" w:space="0" w:color="auto"/>
        </w:rPr>
        <w:t>──依</w:t>
      </w:r>
      <w:r w:rsidR="000404C7" w:rsidRPr="001C60CE">
        <w:rPr>
          <w:rFonts w:ascii="Times New Roman" w:hint="eastAsia"/>
          <w:b/>
          <w:color w:val="FF0000"/>
          <w:sz w:val="20"/>
          <w:szCs w:val="20"/>
          <w:highlight w:val="yellow"/>
          <w:bdr w:val="single" w:sz="4" w:space="0" w:color="auto"/>
        </w:rPr>
        <w:t>「</w:t>
      </w:r>
      <w:r w:rsidRPr="001C60CE">
        <w:rPr>
          <w:rFonts w:ascii="Times New Roman" w:hint="eastAsia"/>
          <w:b/>
          <w:color w:val="FF0000"/>
          <w:sz w:val="20"/>
          <w:szCs w:val="20"/>
          <w:highlight w:val="yellow"/>
          <w:bdr w:val="single" w:sz="4" w:space="0" w:color="auto"/>
        </w:rPr>
        <w:t>理</w:t>
      </w:r>
      <w:r w:rsidR="000404C7" w:rsidRPr="001C60CE">
        <w:rPr>
          <w:rFonts w:ascii="Times New Roman" w:hint="eastAsia"/>
          <w:b/>
          <w:color w:val="FF0000"/>
          <w:sz w:val="20"/>
          <w:szCs w:val="20"/>
          <w:highlight w:val="yellow"/>
          <w:bdr w:val="single" w:sz="4" w:space="0" w:color="auto"/>
        </w:rPr>
        <w:t>」</w:t>
      </w:r>
      <w:r w:rsidRPr="001C60CE">
        <w:rPr>
          <w:rFonts w:ascii="Times New Roman" w:hint="eastAsia"/>
          <w:b/>
          <w:color w:val="FF0000"/>
          <w:sz w:val="20"/>
          <w:szCs w:val="20"/>
          <w:highlight w:val="yellow"/>
          <w:bdr w:val="single" w:sz="4" w:space="0" w:color="auto"/>
        </w:rPr>
        <w:t>辨</w:t>
      </w:r>
      <w:r w:rsidR="000404C7" w:rsidRPr="001C60CE">
        <w:rPr>
          <w:rFonts w:ascii="Times New Roman" w:hint="eastAsia"/>
          <w:b/>
          <w:color w:val="FF0000"/>
          <w:sz w:val="20"/>
          <w:szCs w:val="20"/>
          <w:highlight w:val="yellow"/>
          <w:bdr w:val="single" w:sz="4" w:space="0" w:color="auto"/>
        </w:rPr>
        <w:t>「</w:t>
      </w:r>
      <w:r w:rsidRPr="001C60CE">
        <w:rPr>
          <w:rFonts w:ascii="Times New Roman" w:hint="eastAsia"/>
          <w:b/>
          <w:color w:val="FF0000"/>
          <w:sz w:val="20"/>
          <w:szCs w:val="20"/>
          <w:highlight w:val="yellow"/>
          <w:bdr w:val="single" w:sz="4" w:space="0" w:color="auto"/>
        </w:rPr>
        <w:t>事</w:t>
      </w:r>
      <w:r w:rsidR="000404C7" w:rsidRPr="001C60CE">
        <w:rPr>
          <w:rFonts w:ascii="Times New Roman" w:hint="eastAsia"/>
          <w:b/>
          <w:color w:val="FF0000"/>
          <w:sz w:val="20"/>
          <w:szCs w:val="20"/>
          <w:highlight w:val="yellow"/>
          <w:bdr w:val="single" w:sz="4" w:space="0" w:color="auto"/>
        </w:rPr>
        <w:t>」</w:t>
      </w:r>
      <w:r w:rsidR="00AA120F" w:rsidRPr="00DA3BC7">
        <w:rPr>
          <w:rFonts w:ascii="Times New Roman"/>
          <w:sz w:val="20"/>
          <w:szCs w:val="20"/>
        </w:rPr>
        <w:t>（</w:t>
      </w:r>
      <w:r w:rsidR="00AA120F" w:rsidRPr="00DA3BC7">
        <w:rPr>
          <w:rFonts w:ascii="Times New Roman" w:hAnsi="Times New Roman"/>
          <w:sz w:val="20"/>
          <w:szCs w:val="20"/>
        </w:rPr>
        <w:t>p.120</w:t>
      </w:r>
      <w:r w:rsidR="00AA120F" w:rsidRPr="00DA3BC7">
        <w:rPr>
          <w:rFonts w:ascii="Times New Roman"/>
          <w:sz w:val="20"/>
          <w:szCs w:val="20"/>
        </w:rPr>
        <w:t>）</w:t>
      </w:r>
    </w:p>
    <w:p w:rsidR="001C60CE" w:rsidRPr="001C60CE" w:rsidRDefault="001C60CE" w:rsidP="002E5DD4">
      <w:pPr>
        <w:ind w:leftChars="200" w:left="480"/>
        <w:jc w:val="both"/>
        <w:rPr>
          <w:rFonts w:ascii="Times New Roman"/>
          <w:b/>
          <w:color w:val="FF0000"/>
          <w:sz w:val="20"/>
          <w:szCs w:val="20"/>
          <w:highlight w:val="yellow"/>
          <w:bdr w:val="single" w:sz="4" w:space="0" w:color="auto"/>
        </w:rPr>
      </w:pPr>
      <w:r w:rsidRPr="001C60CE">
        <w:rPr>
          <w:rFonts w:ascii="Times New Roman" w:hint="eastAsia"/>
          <w:b/>
          <w:color w:val="FF0000"/>
          <w:sz w:val="20"/>
          <w:szCs w:val="20"/>
          <w:highlight w:val="yellow"/>
          <w:bdr w:val="single" w:sz="4" w:space="0" w:color="auto"/>
        </w:rPr>
        <w:t>1</w:t>
      </w:r>
      <w:r w:rsidRPr="001C60CE">
        <w:rPr>
          <w:rFonts w:ascii="Times New Roman" w:hint="eastAsia"/>
          <w:b/>
          <w:color w:val="FF0000"/>
          <w:sz w:val="20"/>
          <w:szCs w:val="20"/>
          <w:highlight w:val="yellow"/>
          <w:bdr w:val="single" w:sz="4" w:space="0" w:color="auto"/>
        </w:rPr>
        <w:t>、明「觀待之標的」</w:t>
      </w:r>
      <w:r w:rsidRPr="00DA3BC7">
        <w:rPr>
          <w:rFonts w:ascii="Times New Roman" w:hAnsi="Times New Roman"/>
          <w:sz w:val="20"/>
          <w:szCs w:val="20"/>
        </w:rPr>
        <w:t>（</w:t>
      </w:r>
      <w:r w:rsidRPr="00DA3BC7">
        <w:rPr>
          <w:rFonts w:ascii="Times New Roman" w:hAnsi="Times New Roman"/>
          <w:sz w:val="20"/>
          <w:szCs w:val="20"/>
        </w:rPr>
        <w:t>p.120</w:t>
      </w:r>
      <w:r w:rsidRPr="00DA3BC7">
        <w:rPr>
          <w:rFonts w:ascii="Times New Roman" w:hAnsi="Times New Roman"/>
          <w:sz w:val="20"/>
          <w:szCs w:val="20"/>
        </w:rPr>
        <w:t>）</w:t>
      </w:r>
    </w:p>
    <w:p w:rsidR="00AA120F" w:rsidRPr="00DA3BC7" w:rsidRDefault="001C60CE" w:rsidP="002E5DD4">
      <w:pPr>
        <w:ind w:leftChars="250" w:left="600"/>
        <w:jc w:val="both"/>
        <w:rPr>
          <w:rFonts w:ascii="Times New Roman" w:eastAsia="SimSun"/>
          <w:sz w:val="20"/>
          <w:szCs w:val="20"/>
        </w:rPr>
      </w:pPr>
      <w:r w:rsidRPr="001C60CE">
        <w:rPr>
          <w:rFonts w:ascii="Times New Roman" w:hint="eastAsia"/>
          <w:b/>
          <w:color w:val="FF0000"/>
          <w:sz w:val="20"/>
          <w:szCs w:val="20"/>
          <w:highlight w:val="yellow"/>
          <w:bdr w:val="single" w:sz="4" w:space="0" w:color="auto"/>
        </w:rPr>
        <w:t>（</w:t>
      </w:r>
      <w:r w:rsidRPr="001C60CE">
        <w:rPr>
          <w:rFonts w:ascii="Times New Roman" w:hint="eastAsia"/>
          <w:b/>
          <w:color w:val="FF0000"/>
          <w:sz w:val="20"/>
          <w:szCs w:val="20"/>
          <w:highlight w:val="yellow"/>
          <w:bdr w:val="single" w:sz="4" w:space="0" w:color="auto"/>
        </w:rPr>
        <w:t>1</w:t>
      </w:r>
      <w:r w:rsidRPr="001C60CE">
        <w:rPr>
          <w:rFonts w:ascii="Times New Roman" w:hint="eastAsia"/>
          <w:b/>
          <w:color w:val="FF0000"/>
          <w:sz w:val="20"/>
          <w:szCs w:val="20"/>
          <w:highlight w:val="yellow"/>
          <w:bdr w:val="single" w:sz="4" w:space="0" w:color="auto"/>
        </w:rPr>
        <w:t>）</w:t>
      </w:r>
      <w:r w:rsidR="00AA120F" w:rsidRPr="001C60CE">
        <w:rPr>
          <w:rFonts w:ascii="Times New Roman"/>
          <w:b/>
          <w:color w:val="FF0000"/>
          <w:sz w:val="20"/>
          <w:szCs w:val="20"/>
          <w:highlight w:val="yellow"/>
          <w:bdr w:val="single" w:sz="4" w:space="0" w:color="auto"/>
        </w:rPr>
        <w:t>依</w:t>
      </w:r>
      <w:r w:rsidRPr="001C60CE">
        <w:rPr>
          <w:rFonts w:ascii="Times New Roman" w:hint="eastAsia"/>
          <w:b/>
          <w:color w:val="FF0000"/>
          <w:sz w:val="20"/>
          <w:szCs w:val="20"/>
          <w:highlight w:val="yellow"/>
          <w:bdr w:val="single" w:sz="4" w:space="0" w:color="auto"/>
        </w:rPr>
        <w:t>「</w:t>
      </w:r>
      <w:r w:rsidR="00AA120F" w:rsidRPr="001C60CE">
        <w:rPr>
          <w:rFonts w:ascii="Times New Roman"/>
          <w:b/>
          <w:color w:val="FF0000"/>
          <w:sz w:val="20"/>
          <w:szCs w:val="20"/>
          <w:highlight w:val="yellow"/>
          <w:bdr w:val="single" w:sz="4" w:space="0" w:color="auto"/>
        </w:rPr>
        <w:t>自然</w:t>
      </w:r>
      <w:r w:rsidRPr="001C60CE">
        <w:rPr>
          <w:rFonts w:ascii="Times New Roman" w:hint="eastAsia"/>
          <w:b/>
          <w:color w:val="FF0000"/>
          <w:sz w:val="20"/>
          <w:szCs w:val="20"/>
          <w:highlight w:val="yellow"/>
          <w:bdr w:val="single" w:sz="4" w:space="0" w:color="auto"/>
        </w:rPr>
        <w:t>物</w:t>
      </w:r>
      <w:r>
        <w:rPr>
          <w:rFonts w:ascii="Times New Roman" w:hint="eastAsia"/>
          <w:b/>
          <w:color w:val="FF0000"/>
          <w:sz w:val="20"/>
          <w:szCs w:val="20"/>
          <w:highlight w:val="yellow"/>
          <w:bdr w:val="single" w:sz="4" w:space="0" w:color="auto"/>
        </w:rPr>
        <w:t>體</w:t>
      </w:r>
      <w:r w:rsidRPr="001C60CE">
        <w:rPr>
          <w:rFonts w:ascii="Times New Roman" w:hint="eastAsia"/>
          <w:b/>
          <w:color w:val="FF0000"/>
          <w:sz w:val="20"/>
          <w:szCs w:val="20"/>
          <w:highlight w:val="yellow"/>
          <w:bdr w:val="single" w:sz="4" w:space="0" w:color="auto"/>
        </w:rPr>
        <w:t>」</w:t>
      </w:r>
      <w:r w:rsidR="00AA120F" w:rsidRPr="00DA3BC7">
        <w:rPr>
          <w:rFonts w:ascii="Times New Roman" w:hAnsi="Times New Roman"/>
          <w:sz w:val="20"/>
          <w:szCs w:val="20"/>
        </w:rPr>
        <w:t>（</w:t>
      </w:r>
      <w:r w:rsidR="00AA120F" w:rsidRPr="00DA3BC7">
        <w:rPr>
          <w:rFonts w:ascii="Times New Roman" w:hAnsi="Times New Roman"/>
          <w:sz w:val="20"/>
          <w:szCs w:val="20"/>
        </w:rPr>
        <w:t>p.120</w:t>
      </w:r>
      <w:r w:rsidR="00AA120F" w:rsidRPr="00DA3BC7">
        <w:rPr>
          <w:rFonts w:ascii="Times New Roman" w:hAnsi="Times New Roman"/>
          <w:sz w:val="20"/>
          <w:szCs w:val="20"/>
        </w:rPr>
        <w:t>）</w:t>
      </w:r>
    </w:p>
    <w:p w:rsidR="00AA120F" w:rsidRPr="00DA3BC7" w:rsidRDefault="00AA120F" w:rsidP="002E5DD4">
      <w:pPr>
        <w:ind w:leftChars="250" w:left="600"/>
        <w:jc w:val="both"/>
        <w:rPr>
          <w:rFonts w:ascii="Times New Roman"/>
        </w:rPr>
      </w:pPr>
      <w:r w:rsidRPr="00DA3BC7">
        <w:rPr>
          <w:rFonts w:ascii="Times New Roman"/>
        </w:rPr>
        <w:t>不離存在的運動而有時間相，所以依於法的體、用無限差別，時間相也</w:t>
      </w:r>
      <w:r w:rsidRPr="00DA3BC7">
        <w:rPr>
          <w:rFonts w:ascii="Times New Roman"/>
        </w:rPr>
        <w:lastRenderedPageBreak/>
        <w:t>不是一體的。</w:t>
      </w:r>
    </w:p>
    <w:p w:rsidR="00AA120F" w:rsidRPr="00DA3BC7" w:rsidRDefault="00AA120F" w:rsidP="00AE3920">
      <w:pPr>
        <w:spacing w:beforeLines="30"/>
        <w:ind w:leftChars="250" w:left="600"/>
        <w:jc w:val="both"/>
        <w:rPr>
          <w:rFonts w:ascii="Times New Roman" w:hAnsi="Times New Roman"/>
        </w:rPr>
      </w:pPr>
      <w:r w:rsidRPr="00DA3BC7">
        <w:rPr>
          <w:rFonts w:ascii="Times New Roman"/>
        </w:rPr>
        <w:t>如我們所說的一天、一月、一年，都是根據某一存在的轉動而說的。如依地球繞日一周而說為一年，月球繞地球一周而說為一月，地球自轉一周為一日。</w:t>
      </w:r>
      <w:r w:rsidRPr="00DA3BC7">
        <w:rPr>
          <w:rFonts w:ascii="Times New Roman"/>
          <w:b/>
        </w:rPr>
        <w:t>這種依照存在的運動形相而成的時間，可以說是自然的。</w:t>
      </w:r>
    </w:p>
    <w:p w:rsidR="00AA120F" w:rsidRPr="001C60CE" w:rsidRDefault="001C60CE" w:rsidP="00AE3920">
      <w:pPr>
        <w:spacing w:beforeLines="30"/>
        <w:ind w:leftChars="250" w:left="600"/>
        <w:jc w:val="both"/>
        <w:rPr>
          <w:rFonts w:ascii="Times New Roman" w:eastAsiaTheme="minorEastAsia"/>
          <w:sz w:val="20"/>
          <w:szCs w:val="20"/>
        </w:rPr>
      </w:pPr>
      <w:r w:rsidRPr="001C60CE">
        <w:rPr>
          <w:rFonts w:ascii="Times New Roman" w:hint="eastAsia"/>
          <w:b/>
          <w:color w:val="FF0000"/>
          <w:sz w:val="20"/>
          <w:szCs w:val="20"/>
          <w:highlight w:val="yellow"/>
          <w:bdr w:val="single" w:sz="4" w:space="0" w:color="auto"/>
        </w:rPr>
        <w:t>（</w:t>
      </w:r>
      <w:r>
        <w:rPr>
          <w:rFonts w:ascii="Times New Roman" w:hint="eastAsia"/>
          <w:b/>
          <w:color w:val="FF0000"/>
          <w:sz w:val="20"/>
          <w:szCs w:val="20"/>
          <w:highlight w:val="yellow"/>
          <w:bdr w:val="single" w:sz="4" w:space="0" w:color="auto"/>
        </w:rPr>
        <w:t>2</w:t>
      </w:r>
      <w:r w:rsidRPr="001C60CE">
        <w:rPr>
          <w:rFonts w:ascii="Times New Roman" w:hint="eastAsia"/>
          <w:b/>
          <w:color w:val="FF0000"/>
          <w:sz w:val="20"/>
          <w:szCs w:val="20"/>
          <w:highlight w:val="yellow"/>
          <w:bdr w:val="single" w:sz="4" w:space="0" w:color="auto"/>
        </w:rPr>
        <w:t>）</w:t>
      </w:r>
      <w:r w:rsidRPr="001C60CE">
        <w:rPr>
          <w:rFonts w:ascii="Times New Roman"/>
          <w:b/>
          <w:color w:val="FF0000"/>
          <w:sz w:val="20"/>
          <w:szCs w:val="20"/>
          <w:highlight w:val="yellow"/>
          <w:bdr w:val="single" w:sz="4" w:space="0" w:color="auto"/>
        </w:rPr>
        <w:t>依</w:t>
      </w:r>
      <w:r w:rsidRPr="001C60CE">
        <w:rPr>
          <w:rFonts w:ascii="Times New Roman" w:hint="eastAsia"/>
          <w:b/>
          <w:color w:val="FF0000"/>
          <w:sz w:val="20"/>
          <w:szCs w:val="20"/>
          <w:highlight w:val="yellow"/>
          <w:bdr w:val="single" w:sz="4" w:space="0" w:color="auto"/>
        </w:rPr>
        <w:t>「</w:t>
      </w:r>
      <w:r>
        <w:rPr>
          <w:rFonts w:ascii="Times New Roman" w:hint="eastAsia"/>
          <w:b/>
          <w:color w:val="FF0000"/>
          <w:sz w:val="20"/>
          <w:szCs w:val="20"/>
          <w:highlight w:val="yellow"/>
          <w:bdr w:val="single" w:sz="4" w:space="0" w:color="auto"/>
        </w:rPr>
        <w:t>人類習俗</w:t>
      </w:r>
      <w:r w:rsidRPr="001C60CE">
        <w:rPr>
          <w:rFonts w:ascii="Times New Roman" w:hint="eastAsia"/>
          <w:b/>
          <w:color w:val="FF0000"/>
          <w:sz w:val="20"/>
          <w:szCs w:val="20"/>
          <w:highlight w:val="yellow"/>
          <w:bdr w:val="single" w:sz="4" w:space="0" w:color="auto"/>
        </w:rPr>
        <w:t>」</w:t>
      </w:r>
      <w:r w:rsidRPr="00DA3BC7">
        <w:rPr>
          <w:rFonts w:ascii="Times New Roman" w:hAnsi="Times New Roman"/>
          <w:sz w:val="20"/>
          <w:szCs w:val="20"/>
        </w:rPr>
        <w:t>（</w:t>
      </w:r>
      <w:r w:rsidRPr="00DA3BC7">
        <w:rPr>
          <w:rFonts w:ascii="Times New Roman" w:hAnsi="Times New Roman"/>
          <w:sz w:val="20"/>
          <w:szCs w:val="20"/>
        </w:rPr>
        <w:t>p.120</w:t>
      </w:r>
      <w:r w:rsidRPr="00DA3BC7">
        <w:rPr>
          <w:rFonts w:ascii="Times New Roman" w:hAnsi="Times New Roman"/>
          <w:sz w:val="20"/>
          <w:szCs w:val="20"/>
        </w:rPr>
        <w:t>）</w:t>
      </w:r>
    </w:p>
    <w:p w:rsidR="00AA120F" w:rsidRPr="00DA3BC7" w:rsidRDefault="00AA120F" w:rsidP="002E5DD4">
      <w:pPr>
        <w:ind w:leftChars="250" w:left="600"/>
        <w:jc w:val="both"/>
        <w:rPr>
          <w:rFonts w:ascii="Times New Roman"/>
        </w:rPr>
      </w:pPr>
      <w:r w:rsidRPr="00DA3BC7">
        <w:rPr>
          <w:rFonts w:ascii="Times New Roman"/>
        </w:rPr>
        <w:t>而一日分為二十四小時，一小時為六十分等，這都是人類為了計算而假設的。</w:t>
      </w:r>
    </w:p>
    <w:p w:rsidR="00AA120F" w:rsidRPr="00DA3BC7" w:rsidRDefault="00AA120F" w:rsidP="00AE3920">
      <w:pPr>
        <w:spacing w:beforeLines="20"/>
        <w:ind w:leftChars="250" w:left="600"/>
        <w:jc w:val="both"/>
        <w:rPr>
          <w:rFonts w:ascii="Times New Roman" w:eastAsia="SimSun"/>
        </w:rPr>
      </w:pPr>
      <w:r w:rsidRPr="00644245">
        <w:rPr>
          <w:rFonts w:ascii="Times New Roman"/>
          <w:b/>
        </w:rPr>
        <w:t>人</w:t>
      </w:r>
      <w:r w:rsidRPr="00DA3BC7">
        <w:rPr>
          <w:rFonts w:ascii="Times New Roman"/>
          <w:b/>
        </w:rPr>
        <w:t>類假設的時間，可以隨時隨處因風俗習慣而不同</w:t>
      </w:r>
      <w:r w:rsidRPr="00DA3BC7">
        <w:rPr>
          <w:rFonts w:ascii="Times New Roman"/>
        </w:rPr>
        <w:t>，如現在說一天二十四小時，中國古時只說十二時</w:t>
      </w:r>
      <w:r w:rsidRPr="00DA3BC7">
        <w:rPr>
          <w:rStyle w:val="a6"/>
          <w:rFonts w:ascii="Times New Roman" w:hAnsi="Times New Roman"/>
        </w:rPr>
        <w:footnoteReference w:id="554"/>
      </w:r>
      <w:r w:rsidRPr="00DA3BC7">
        <w:rPr>
          <w:rFonts w:ascii="Times New Roman"/>
        </w:rPr>
        <w:t>，印度則說一天有六時</w:t>
      </w:r>
      <w:r w:rsidRPr="00DA3BC7">
        <w:rPr>
          <w:rStyle w:val="a6"/>
          <w:rFonts w:ascii="Times New Roman" w:hAnsi="Times New Roman"/>
        </w:rPr>
        <w:footnoteReference w:id="555"/>
      </w:r>
      <w:r w:rsidRPr="00DA3BC7">
        <w:rPr>
          <w:rFonts w:ascii="Times New Roman"/>
        </w:rPr>
        <w:t>。</w:t>
      </w:r>
    </w:p>
    <w:p w:rsidR="00AA120F" w:rsidRPr="00DA3BC7" w:rsidRDefault="00AA120F" w:rsidP="00AE3920">
      <w:pPr>
        <w:spacing w:beforeLines="20"/>
        <w:ind w:leftChars="250" w:left="600"/>
        <w:jc w:val="both"/>
        <w:rPr>
          <w:rFonts w:ascii="Times New Roman"/>
        </w:rPr>
      </w:pPr>
      <w:r w:rsidRPr="00DA3BC7">
        <w:rPr>
          <w:rFonts w:ascii="Times New Roman"/>
        </w:rPr>
        <w:t>而自然的時間，即隨所依存在的運動而安立，在共同的所依（如地球繞日）前，即有一種共同性。</w:t>
      </w:r>
    </w:p>
    <w:p w:rsidR="00AA120F" w:rsidRPr="00DA3BC7" w:rsidRDefault="00AA120F" w:rsidP="00AE3920">
      <w:pPr>
        <w:spacing w:beforeLines="20"/>
        <w:ind w:leftChars="250" w:left="600"/>
        <w:jc w:val="both"/>
        <w:rPr>
          <w:rFonts w:ascii="Times New Roman" w:eastAsia="SimSun"/>
        </w:rPr>
      </w:pPr>
      <w:r w:rsidRPr="00DA3BC7">
        <w:rPr>
          <w:rFonts w:ascii="Times New Roman"/>
        </w:rPr>
        <w:t>但世人每依習慣的方便而有所改動，如佛經說「</w:t>
      </w:r>
      <w:r w:rsidRPr="00DA3BC7">
        <w:rPr>
          <w:rFonts w:ascii="Times New Roman" w:eastAsia="標楷體" w:hAnsi="標楷體"/>
        </w:rPr>
        <w:t>世間月</w:t>
      </w:r>
      <w:r w:rsidRPr="00DA3BC7">
        <w:rPr>
          <w:rFonts w:ascii="Times New Roman"/>
        </w:rPr>
        <w:t>」</w:t>
      </w:r>
      <w:r w:rsidRPr="00DA3BC7">
        <w:rPr>
          <w:rStyle w:val="a6"/>
          <w:rFonts w:ascii="Times New Roman" w:hAnsi="Times New Roman"/>
        </w:rPr>
        <w:footnoteReference w:id="556"/>
      </w:r>
      <w:r w:rsidRPr="00DA3BC7">
        <w:rPr>
          <w:rFonts w:ascii="Times New Roman"/>
        </w:rPr>
        <w:t>為三十日</w:t>
      </w:r>
      <w:r w:rsidRPr="00DA3BC7">
        <w:rPr>
          <w:rFonts w:ascii="Times New Roman" w:hint="eastAsia"/>
        </w:rPr>
        <w:t>，</w:t>
      </w:r>
      <w:r w:rsidRPr="00DA3BC7">
        <w:rPr>
          <w:rFonts w:ascii="Times New Roman"/>
        </w:rPr>
        <w:t>而以三百六十五日為一年等。</w:t>
      </w:r>
    </w:p>
    <w:p w:rsidR="001C60CE" w:rsidRPr="001C60CE" w:rsidRDefault="001C60CE" w:rsidP="00AE3920">
      <w:pPr>
        <w:spacing w:beforeLines="30"/>
        <w:ind w:leftChars="250" w:left="600"/>
        <w:jc w:val="both"/>
        <w:rPr>
          <w:rFonts w:ascii="Times New Roman" w:eastAsiaTheme="minorEastAsia"/>
          <w:sz w:val="20"/>
          <w:szCs w:val="20"/>
        </w:rPr>
      </w:pPr>
      <w:r w:rsidRPr="001C60CE">
        <w:rPr>
          <w:rFonts w:ascii="Times New Roman" w:hint="eastAsia"/>
          <w:b/>
          <w:color w:val="FF0000"/>
          <w:sz w:val="20"/>
          <w:szCs w:val="20"/>
          <w:highlight w:val="yellow"/>
          <w:bdr w:val="single" w:sz="4" w:space="0" w:color="auto"/>
        </w:rPr>
        <w:t>（</w:t>
      </w:r>
      <w:r>
        <w:rPr>
          <w:rFonts w:ascii="Times New Roman" w:hint="eastAsia"/>
          <w:b/>
          <w:color w:val="FF0000"/>
          <w:sz w:val="20"/>
          <w:szCs w:val="20"/>
          <w:highlight w:val="yellow"/>
          <w:bdr w:val="single" w:sz="4" w:space="0" w:color="auto"/>
        </w:rPr>
        <w:t>3</w:t>
      </w:r>
      <w:r w:rsidRPr="001C60CE">
        <w:rPr>
          <w:rFonts w:ascii="Times New Roman" w:hint="eastAsia"/>
          <w:b/>
          <w:color w:val="FF0000"/>
          <w:sz w:val="20"/>
          <w:szCs w:val="20"/>
          <w:highlight w:val="yellow"/>
          <w:bdr w:val="single" w:sz="4" w:space="0" w:color="auto"/>
        </w:rPr>
        <w:t>）</w:t>
      </w:r>
      <w:r w:rsidRPr="001C60CE">
        <w:rPr>
          <w:rFonts w:ascii="Times New Roman"/>
          <w:b/>
          <w:color w:val="FF0000"/>
          <w:sz w:val="20"/>
          <w:szCs w:val="20"/>
          <w:highlight w:val="yellow"/>
          <w:bdr w:val="single" w:sz="4" w:space="0" w:color="auto"/>
        </w:rPr>
        <w:t>依</w:t>
      </w:r>
      <w:r w:rsidRPr="001C60CE">
        <w:rPr>
          <w:rFonts w:ascii="Times New Roman" w:hint="eastAsia"/>
          <w:b/>
          <w:color w:val="FF0000"/>
          <w:sz w:val="20"/>
          <w:szCs w:val="20"/>
          <w:highlight w:val="yellow"/>
          <w:bdr w:val="single" w:sz="4" w:space="0" w:color="auto"/>
        </w:rPr>
        <w:t>「</w:t>
      </w:r>
      <w:r>
        <w:rPr>
          <w:rFonts w:ascii="Times New Roman" w:hint="eastAsia"/>
          <w:b/>
          <w:color w:val="FF0000"/>
          <w:sz w:val="20"/>
          <w:szCs w:val="20"/>
          <w:highlight w:val="yellow"/>
          <w:bdr w:val="single" w:sz="4" w:space="0" w:color="auto"/>
        </w:rPr>
        <w:t>佛教法典</w:t>
      </w:r>
      <w:r w:rsidRPr="001C60CE">
        <w:rPr>
          <w:rFonts w:ascii="Times New Roman" w:hint="eastAsia"/>
          <w:b/>
          <w:color w:val="FF0000"/>
          <w:sz w:val="20"/>
          <w:szCs w:val="20"/>
          <w:highlight w:val="yellow"/>
          <w:bdr w:val="single" w:sz="4" w:space="0" w:color="auto"/>
        </w:rPr>
        <w:t>」</w:t>
      </w:r>
      <w:r w:rsidRPr="00DA3BC7">
        <w:rPr>
          <w:rFonts w:ascii="Times New Roman" w:hAnsi="Times New Roman"/>
          <w:sz w:val="20"/>
          <w:szCs w:val="20"/>
        </w:rPr>
        <w:t>（</w:t>
      </w:r>
      <w:r w:rsidRPr="00DA3BC7">
        <w:rPr>
          <w:rFonts w:ascii="Times New Roman" w:hAnsi="Times New Roman"/>
          <w:sz w:val="20"/>
          <w:szCs w:val="20"/>
        </w:rPr>
        <w:t>p.120</w:t>
      </w:r>
      <w:r w:rsidRPr="00DA3BC7">
        <w:rPr>
          <w:rFonts w:ascii="Times New Roman" w:hAnsi="Times New Roman"/>
          <w:sz w:val="20"/>
          <w:szCs w:val="20"/>
        </w:rPr>
        <w:t>）</w:t>
      </w:r>
    </w:p>
    <w:p w:rsidR="00AA120F" w:rsidRPr="00DA3BC7" w:rsidRDefault="00AA120F" w:rsidP="002E5DD4">
      <w:pPr>
        <w:ind w:leftChars="250" w:left="600"/>
        <w:jc w:val="both"/>
        <w:rPr>
          <w:rFonts w:ascii="Times New Roman"/>
        </w:rPr>
      </w:pPr>
      <w:r w:rsidRPr="00DA3BC7">
        <w:rPr>
          <w:rFonts w:ascii="Times New Roman"/>
        </w:rPr>
        <w:t>佛法中說時間，如大劫、中劫、小劫</w:t>
      </w:r>
      <w:r w:rsidRPr="00DA3BC7">
        <w:rPr>
          <w:rStyle w:val="a6"/>
          <w:rFonts w:ascii="Times New Roman" w:hAnsi="Times New Roman"/>
        </w:rPr>
        <w:footnoteReference w:id="557"/>
      </w:r>
      <w:r w:rsidRPr="00DA3BC7">
        <w:rPr>
          <w:rFonts w:ascii="Times New Roman"/>
        </w:rPr>
        <w:t>等，即依</w:t>
      </w:r>
      <w:r w:rsidRPr="00DA3BC7">
        <w:rPr>
          <w:rFonts w:ascii="Times New Roman"/>
          <w:b/>
        </w:rPr>
        <w:t>世界的災患與成壞而施</w:t>
      </w:r>
      <w:r w:rsidRPr="00DA3BC7">
        <w:rPr>
          <w:rFonts w:ascii="Times New Roman"/>
          <w:b/>
        </w:rPr>
        <w:lastRenderedPageBreak/>
        <w:t>設</w:t>
      </w:r>
      <w:r w:rsidRPr="00DA3BC7">
        <w:rPr>
          <w:rFonts w:ascii="Times New Roman"/>
        </w:rPr>
        <w:t>的；</w:t>
      </w:r>
    </w:p>
    <w:p w:rsidR="00AA120F" w:rsidRPr="00DA3BC7" w:rsidRDefault="00AA120F" w:rsidP="00AE3920">
      <w:pPr>
        <w:spacing w:beforeLines="20"/>
        <w:ind w:leftChars="250" w:left="600"/>
        <w:jc w:val="both"/>
        <w:rPr>
          <w:rFonts w:ascii="Times New Roman" w:hAnsi="Times New Roman"/>
        </w:rPr>
      </w:pPr>
      <w:r w:rsidRPr="00DA3BC7">
        <w:rPr>
          <w:rFonts w:ascii="Times New Roman"/>
        </w:rPr>
        <w:t>短暫的時間，</w:t>
      </w:r>
      <w:r w:rsidRPr="00DA3BC7">
        <w:rPr>
          <w:rFonts w:ascii="Times New Roman"/>
          <w:b/>
        </w:rPr>
        <w:t>約心行的變動說</w:t>
      </w:r>
      <w:r w:rsidRPr="00DA3BC7">
        <w:rPr>
          <w:rFonts w:ascii="Times New Roman"/>
        </w:rPr>
        <w:t>，所以稱為一念、一剎那。</w:t>
      </w:r>
    </w:p>
    <w:p w:rsidR="00AA120F" w:rsidRPr="00DA3BC7" w:rsidRDefault="001C60CE" w:rsidP="00AE3920">
      <w:pPr>
        <w:spacing w:beforeLines="30"/>
        <w:ind w:leftChars="200" w:left="480"/>
        <w:jc w:val="both"/>
        <w:rPr>
          <w:rFonts w:ascii="Times New Roman" w:eastAsia="SimSun"/>
          <w:sz w:val="20"/>
          <w:szCs w:val="20"/>
        </w:rPr>
      </w:pPr>
      <w:r w:rsidRPr="001C60CE">
        <w:rPr>
          <w:rFonts w:ascii="Times New Roman" w:hAnsi="Times New Roman" w:hint="eastAsia"/>
          <w:b/>
          <w:color w:val="FF0000"/>
          <w:sz w:val="20"/>
          <w:szCs w:val="20"/>
          <w:highlight w:val="yellow"/>
          <w:bdr w:val="single" w:sz="4" w:space="0" w:color="auto"/>
        </w:rPr>
        <w:t>2</w:t>
      </w:r>
      <w:r w:rsidR="00AA120F" w:rsidRPr="001C60CE">
        <w:rPr>
          <w:rFonts w:ascii="Times New Roman" w:hAnsi="Times New Roman"/>
          <w:b/>
          <w:color w:val="FF0000"/>
          <w:sz w:val="20"/>
          <w:szCs w:val="20"/>
          <w:highlight w:val="yellow"/>
          <w:bdr w:val="single" w:sz="4" w:space="0" w:color="auto"/>
        </w:rPr>
        <w:t>、</w:t>
      </w:r>
      <w:r w:rsidRPr="001C60CE">
        <w:rPr>
          <w:rFonts w:ascii="Times New Roman" w:hint="eastAsia"/>
          <w:b/>
          <w:color w:val="FF0000"/>
          <w:sz w:val="20"/>
          <w:szCs w:val="20"/>
          <w:highlight w:val="yellow"/>
          <w:bdr w:val="single" w:sz="4" w:space="0" w:color="auto"/>
        </w:rPr>
        <w:t>論「</w:t>
      </w:r>
      <w:r w:rsidR="00AA120F" w:rsidRPr="001C60CE">
        <w:rPr>
          <w:rFonts w:ascii="Times New Roman"/>
          <w:b/>
          <w:color w:val="FF0000"/>
          <w:sz w:val="20"/>
          <w:szCs w:val="20"/>
          <w:highlight w:val="yellow"/>
          <w:bdr w:val="single" w:sz="4" w:space="0" w:color="auto"/>
        </w:rPr>
        <w:t>時間</w:t>
      </w:r>
      <w:r w:rsidRPr="001C60CE">
        <w:rPr>
          <w:rFonts w:ascii="Times New Roman" w:hint="eastAsia"/>
          <w:b/>
          <w:color w:val="FF0000"/>
          <w:sz w:val="20"/>
          <w:szCs w:val="20"/>
          <w:highlight w:val="yellow"/>
          <w:bdr w:val="single" w:sz="4" w:space="0" w:color="auto"/>
        </w:rPr>
        <w:t>幻</w:t>
      </w:r>
      <w:r w:rsidR="00AA120F" w:rsidRPr="001C60CE">
        <w:rPr>
          <w:rFonts w:ascii="Times New Roman"/>
          <w:b/>
          <w:color w:val="FF0000"/>
          <w:sz w:val="20"/>
          <w:szCs w:val="20"/>
          <w:highlight w:val="yellow"/>
          <w:bdr w:val="single" w:sz="4" w:space="0" w:color="auto"/>
        </w:rPr>
        <w:t>相</w:t>
      </w:r>
      <w:r w:rsidRPr="001C60CE">
        <w:rPr>
          <w:rFonts w:ascii="Times New Roman" w:hint="eastAsia"/>
          <w:b/>
          <w:color w:val="FF0000"/>
          <w:sz w:val="20"/>
          <w:szCs w:val="20"/>
          <w:highlight w:val="yellow"/>
          <w:bdr w:val="single" w:sz="4" w:space="0" w:color="auto"/>
        </w:rPr>
        <w:t>」</w:t>
      </w:r>
      <w:r w:rsidR="00AA120F" w:rsidRPr="00DA3BC7">
        <w:rPr>
          <w:rFonts w:ascii="Times New Roman"/>
          <w:sz w:val="20"/>
          <w:szCs w:val="20"/>
        </w:rPr>
        <w:t>（</w:t>
      </w:r>
      <w:r w:rsidR="00AA120F" w:rsidRPr="00DA3BC7">
        <w:rPr>
          <w:rFonts w:ascii="Times New Roman" w:hAnsi="Times New Roman"/>
          <w:sz w:val="20"/>
          <w:szCs w:val="20"/>
        </w:rPr>
        <w:t>pp.120-122</w:t>
      </w:r>
      <w:r w:rsidR="00AA120F" w:rsidRPr="00DA3BC7">
        <w:rPr>
          <w:rFonts w:ascii="Times New Roman"/>
          <w:sz w:val="20"/>
          <w:szCs w:val="20"/>
        </w:rPr>
        <w:t>）</w:t>
      </w:r>
    </w:p>
    <w:p w:rsidR="00AA120F" w:rsidRPr="00DA3BC7" w:rsidRDefault="00AA120F" w:rsidP="002E5DD4">
      <w:pPr>
        <w:ind w:leftChars="250" w:left="600"/>
        <w:jc w:val="both"/>
        <w:rPr>
          <w:rFonts w:ascii="Times New Roman" w:eastAsia="SimSun" w:hAnsi="Times New Roman"/>
          <w:sz w:val="20"/>
          <w:szCs w:val="20"/>
        </w:rPr>
      </w:pPr>
      <w:r w:rsidRPr="001C60CE">
        <w:rPr>
          <w:rFonts w:ascii="Times New Roman" w:hAnsi="Times New Roman"/>
          <w:b/>
          <w:color w:val="FF0000"/>
          <w:sz w:val="20"/>
          <w:szCs w:val="20"/>
          <w:highlight w:val="yellow"/>
          <w:bdr w:val="single" w:sz="4" w:space="0" w:color="auto"/>
        </w:rPr>
        <w:t>（</w:t>
      </w:r>
      <w:r w:rsidR="001C60CE" w:rsidRPr="001C60CE">
        <w:rPr>
          <w:rFonts w:ascii="Times New Roman" w:hAnsi="Times New Roman" w:hint="eastAsia"/>
          <w:b/>
          <w:color w:val="FF0000"/>
          <w:sz w:val="20"/>
          <w:szCs w:val="20"/>
          <w:highlight w:val="yellow"/>
          <w:bdr w:val="single" w:sz="4" w:space="0" w:color="auto"/>
        </w:rPr>
        <w:t>1</w:t>
      </w:r>
      <w:r w:rsidRPr="001C60CE">
        <w:rPr>
          <w:rFonts w:ascii="Times New Roman" w:hAnsi="Times New Roman"/>
          <w:b/>
          <w:color w:val="FF0000"/>
          <w:sz w:val="20"/>
          <w:szCs w:val="20"/>
          <w:highlight w:val="yellow"/>
          <w:bdr w:val="single" w:sz="4" w:space="0" w:color="auto"/>
        </w:rPr>
        <w:t>）</w:t>
      </w:r>
      <w:r w:rsidRPr="00DA3BC7">
        <w:rPr>
          <w:rFonts w:ascii="Times New Roman"/>
          <w:b/>
          <w:sz w:val="20"/>
          <w:szCs w:val="20"/>
          <w:bdr w:val="single" w:sz="4" w:space="0" w:color="auto"/>
        </w:rPr>
        <w:t>沒有其小無內的剎那</w:t>
      </w:r>
      <w:r w:rsidRPr="00DA3BC7">
        <w:rPr>
          <w:rFonts w:ascii="Times New Roman" w:hAnsi="Times New Roman"/>
          <w:sz w:val="20"/>
          <w:szCs w:val="20"/>
        </w:rPr>
        <w:t>（</w:t>
      </w:r>
      <w:r w:rsidRPr="00DA3BC7">
        <w:rPr>
          <w:rFonts w:ascii="Times New Roman" w:hAnsi="Times New Roman"/>
          <w:sz w:val="20"/>
          <w:szCs w:val="20"/>
        </w:rPr>
        <w:t>pp.120-121</w:t>
      </w:r>
      <w:r w:rsidRPr="00DA3BC7">
        <w:rPr>
          <w:rFonts w:ascii="Times New Roman" w:hAnsi="Times New Roman"/>
          <w:sz w:val="20"/>
          <w:szCs w:val="20"/>
        </w:rPr>
        <w:t>）</w:t>
      </w:r>
    </w:p>
    <w:p w:rsidR="00AA120F" w:rsidRPr="00DA3BC7" w:rsidRDefault="00AA120F" w:rsidP="002E5DD4">
      <w:pPr>
        <w:ind w:leftChars="250" w:left="600"/>
        <w:jc w:val="both"/>
        <w:rPr>
          <w:rFonts w:ascii="Times New Roman"/>
        </w:rPr>
      </w:pPr>
      <w:r w:rsidRPr="00DA3BC7">
        <w:rPr>
          <w:rFonts w:ascii="Times New Roman"/>
        </w:rPr>
        <w:t>依存在的變動而有時間相，依自心而推論存在變動的極點而說為剎那，但並非有其小無內的剎那量。唯有自性論者，才會想像依剎那剎那的累積而成延續的時間。</w:t>
      </w:r>
    </w:p>
    <w:p w:rsidR="00AA120F" w:rsidRPr="00DA3BC7" w:rsidRDefault="00AA120F" w:rsidP="00AE3920">
      <w:pPr>
        <w:spacing w:beforeLines="20"/>
        <w:ind w:leftChars="250" w:left="600"/>
        <w:jc w:val="both"/>
        <w:rPr>
          <w:rFonts w:ascii="Times New Roman" w:hAnsi="Times New Roman"/>
        </w:rPr>
      </w:pPr>
      <w:r w:rsidRPr="00DA3BC7">
        <w:rPr>
          <w:rFonts w:ascii="Times New Roman"/>
        </w:rPr>
        <w:t>存在的變動為我們所知道的，即大有延緩或迅速的區別。</w:t>
      </w:r>
    </w:p>
    <w:p w:rsidR="00AA120F" w:rsidRPr="00DA3BC7" w:rsidRDefault="00AA120F" w:rsidP="00AE3920">
      <w:pPr>
        <w:spacing w:beforeLines="20"/>
        <w:ind w:leftChars="250" w:left="600"/>
        <w:jc w:val="both"/>
        <w:rPr>
          <w:rFonts w:ascii="Times New Roman" w:eastAsia="SimSun" w:hAnsi="Times New Roman"/>
        </w:rPr>
      </w:pPr>
      <w:r w:rsidRPr="00DA3BC7">
        <w:rPr>
          <w:rFonts w:ascii="Times New Roman"/>
        </w:rPr>
        <w:t>舉例說：假定於</w:t>
      </w:r>
      <w:r w:rsidRPr="00DA3BC7">
        <w:rPr>
          <w:rFonts w:ascii="新細明體" w:hAnsi="新細明體" w:hint="eastAsia"/>
        </w:rPr>
        <w:t>（</w:t>
      </w:r>
      <w:r w:rsidRPr="00DA3BC7">
        <w:rPr>
          <w:rFonts w:ascii="Times New Roman"/>
        </w:rPr>
        <w:t>我們所知的</w:t>
      </w:r>
      <w:r w:rsidRPr="00DA3BC7">
        <w:rPr>
          <w:rFonts w:ascii="Times New Roman" w:hint="eastAsia"/>
        </w:rPr>
        <w:t>）</w:t>
      </w:r>
      <w:r w:rsidRPr="00DA3BC7">
        <w:rPr>
          <w:rFonts w:ascii="Times New Roman"/>
        </w:rPr>
        <w:t>一小時內，瀑流</w:t>
      </w:r>
      <w:r w:rsidRPr="00DA3BC7">
        <w:rPr>
          <w:rStyle w:val="a6"/>
          <w:rFonts w:ascii="Times New Roman" w:hAnsi="Times New Roman"/>
        </w:rPr>
        <w:footnoteReference w:id="558"/>
      </w:r>
      <w:r w:rsidRPr="00DA3BC7">
        <w:rPr>
          <w:rFonts w:ascii="Times New Roman"/>
        </w:rPr>
        <w:t>的流速為平流</w:t>
      </w:r>
      <w:r w:rsidRPr="00DA3BC7">
        <w:rPr>
          <w:rStyle w:val="a6"/>
          <w:rFonts w:ascii="Times New Roman" w:hAnsi="Times New Roman"/>
        </w:rPr>
        <w:footnoteReference w:id="559"/>
      </w:r>
      <w:r w:rsidRPr="00DA3BC7">
        <w:rPr>
          <w:rFonts w:ascii="Times New Roman" w:hAnsi="Times New Roman"/>
        </w:rPr>
        <w:t>的流速的多少倍，依運動而有時間，所以瀑流的時間必長，平流的時間必短。</w:t>
      </w:r>
    </w:p>
    <w:p w:rsidR="00AA120F" w:rsidRPr="00DA3BC7" w:rsidRDefault="00AA120F" w:rsidP="00AE3920">
      <w:pPr>
        <w:spacing w:beforeLines="20"/>
        <w:ind w:leftChars="250" w:left="600"/>
        <w:jc w:val="both"/>
        <w:rPr>
          <w:rFonts w:ascii="Times New Roman" w:hAnsi="Times New Roman"/>
        </w:rPr>
      </w:pPr>
      <w:r w:rsidRPr="00DA3BC7">
        <w:rPr>
          <w:rFonts w:ascii="Times New Roman" w:hAnsi="Times New Roman"/>
        </w:rPr>
        <w:t>好在瀑流與平流沒有自覺，否則或許會說：平水方</w:t>
      </w:r>
      <w:r w:rsidRPr="00DA3BC7">
        <w:rPr>
          <w:rStyle w:val="a6"/>
          <w:rFonts w:ascii="Times New Roman" w:hAnsi="Times New Roman"/>
        </w:rPr>
        <w:footnoteReference w:id="560"/>
      </w:r>
      <w:r w:rsidRPr="00DA3BC7">
        <w:rPr>
          <w:rFonts w:ascii="Times New Roman" w:hAnsi="Times New Roman"/>
        </w:rPr>
        <w:t>七日，瀑流一千年。</w:t>
      </w:r>
    </w:p>
    <w:p w:rsidR="00AA120F" w:rsidRPr="00DA3BC7" w:rsidRDefault="00AA120F" w:rsidP="00AE3920">
      <w:pPr>
        <w:spacing w:beforeLines="20"/>
        <w:ind w:leftChars="250" w:left="600"/>
        <w:jc w:val="both"/>
        <w:rPr>
          <w:rFonts w:ascii="Times New Roman" w:hAnsi="Times New Roman"/>
        </w:rPr>
      </w:pPr>
      <w:r w:rsidRPr="00DA3BC7">
        <w:rPr>
          <w:rFonts w:ascii="Times New Roman" w:hAnsi="Times New Roman"/>
        </w:rPr>
        <w:t>時間依存在的運動而顯現，所以此以為極長，彼不妨以為極短。所以佛法中說：一念與無量劫，相攝相入</w:t>
      </w:r>
      <w:r w:rsidRPr="00DA3BC7">
        <w:rPr>
          <w:rStyle w:val="a6"/>
          <w:rFonts w:ascii="Times New Roman" w:hAnsi="Times New Roman"/>
        </w:rPr>
        <w:footnoteReference w:id="561"/>
      </w:r>
      <w:r w:rsidRPr="00DA3BC7">
        <w:rPr>
          <w:rFonts w:ascii="Times New Roman" w:hAnsi="Times New Roman"/>
        </w:rPr>
        <w:t>。</w:t>
      </w:r>
    </w:p>
    <w:p w:rsidR="00AA120F" w:rsidRPr="00DA3BC7" w:rsidRDefault="00AA120F" w:rsidP="00AE3920">
      <w:pPr>
        <w:spacing w:beforeLines="30"/>
        <w:ind w:leftChars="250" w:left="600"/>
        <w:jc w:val="both"/>
        <w:rPr>
          <w:rFonts w:ascii="Times New Roman" w:eastAsia="SimSun" w:hAnsi="Times New Roman"/>
          <w:sz w:val="20"/>
          <w:szCs w:val="20"/>
        </w:rPr>
      </w:pPr>
      <w:r w:rsidRPr="001C60CE">
        <w:rPr>
          <w:rFonts w:ascii="Times New Roman" w:hAnsi="Times New Roman"/>
          <w:b/>
          <w:color w:val="FF0000"/>
          <w:sz w:val="20"/>
          <w:szCs w:val="20"/>
          <w:highlight w:val="yellow"/>
          <w:bdr w:val="single" w:sz="4" w:space="0" w:color="auto"/>
        </w:rPr>
        <w:t>（</w:t>
      </w:r>
      <w:r w:rsidR="001C60CE" w:rsidRPr="001C60CE">
        <w:rPr>
          <w:rFonts w:ascii="Times New Roman" w:hAnsi="Times New Roman" w:hint="eastAsia"/>
          <w:b/>
          <w:color w:val="FF0000"/>
          <w:sz w:val="20"/>
          <w:szCs w:val="20"/>
          <w:highlight w:val="yellow"/>
          <w:bdr w:val="single" w:sz="4" w:space="0" w:color="auto"/>
        </w:rPr>
        <w:t>2</w:t>
      </w:r>
      <w:r w:rsidRPr="001C60CE">
        <w:rPr>
          <w:rFonts w:ascii="Times New Roman" w:hAnsi="Times New Roman"/>
          <w:b/>
          <w:color w:val="FF0000"/>
          <w:sz w:val="20"/>
          <w:szCs w:val="20"/>
          <w:highlight w:val="yellow"/>
          <w:bdr w:val="single" w:sz="4" w:space="0" w:color="auto"/>
        </w:rPr>
        <w:t>）</w:t>
      </w:r>
      <w:r w:rsidRPr="00DA3BC7">
        <w:rPr>
          <w:rFonts w:ascii="Times New Roman" w:hAnsi="Times New Roman"/>
          <w:b/>
          <w:sz w:val="20"/>
          <w:szCs w:val="20"/>
          <w:bdr w:val="single" w:sz="4" w:space="0" w:color="auto"/>
        </w:rPr>
        <w:t>沒有其大無外的大全</w:t>
      </w:r>
      <w:r w:rsidRPr="00DA3BC7">
        <w:rPr>
          <w:rFonts w:ascii="Times New Roman" w:hAnsi="Times New Roman"/>
          <w:sz w:val="20"/>
          <w:szCs w:val="20"/>
        </w:rPr>
        <w:t>（</w:t>
      </w:r>
      <w:r w:rsidRPr="00DA3BC7">
        <w:rPr>
          <w:rFonts w:ascii="Times New Roman" w:hAnsi="Times New Roman"/>
          <w:sz w:val="20"/>
          <w:szCs w:val="20"/>
        </w:rPr>
        <w:t>p.121</w:t>
      </w:r>
      <w:r w:rsidRPr="00DA3BC7">
        <w:rPr>
          <w:rFonts w:ascii="Times New Roman" w:hAnsi="Times New Roman"/>
          <w:sz w:val="20"/>
          <w:szCs w:val="20"/>
        </w:rPr>
        <w:t>）</w:t>
      </w:r>
    </w:p>
    <w:p w:rsidR="00AA120F" w:rsidRPr="00DA3BC7" w:rsidRDefault="00AA120F" w:rsidP="002E5DD4">
      <w:pPr>
        <w:ind w:leftChars="250" w:left="600"/>
        <w:jc w:val="both"/>
        <w:rPr>
          <w:rFonts w:ascii="Times New Roman" w:hAnsi="Times New Roman"/>
        </w:rPr>
      </w:pPr>
      <w:r w:rsidRPr="00DA3BC7">
        <w:rPr>
          <w:rFonts w:ascii="Times New Roman" w:hAnsi="Times New Roman"/>
        </w:rPr>
        <w:t>時間，因所依一切法的動變而幻現，所以說為各別的時間。但一切法是緣起的存在，是相關相依的，所以世間每依待於一運動形相較安定而顯著者</w:t>
      </w:r>
      <w:r w:rsidRPr="00DA3BC7">
        <w:rPr>
          <w:rFonts w:ascii="新細明體" w:hAnsi="新細明體"/>
        </w:rPr>
        <w:t>──</w:t>
      </w:r>
      <w:r w:rsidRPr="00DA3BC7">
        <w:rPr>
          <w:rFonts w:ascii="Times New Roman" w:hAnsi="Times New Roman"/>
        </w:rPr>
        <w:t>如日、如地球，依它運動的形態而安立時間，因而可以彼此推算。有了共認的時間標準，即儘管此各各的時間不同，而可以比較，互知長短。</w:t>
      </w:r>
    </w:p>
    <w:p w:rsidR="00AA120F" w:rsidRPr="00DA3BC7" w:rsidRDefault="00AA120F" w:rsidP="00AE3920">
      <w:pPr>
        <w:spacing w:beforeLines="20"/>
        <w:ind w:leftChars="250" w:left="600"/>
        <w:jc w:val="both"/>
        <w:rPr>
          <w:rFonts w:ascii="Times New Roman" w:hAnsi="Times New Roman"/>
        </w:rPr>
      </w:pPr>
      <w:r w:rsidRPr="00DA3BC7">
        <w:rPr>
          <w:rFonts w:ascii="Times New Roman" w:hAnsi="Times New Roman"/>
        </w:rPr>
        <w:t>有了此共同的時間標準，在世俗事件上，即不應妄說即長即短，否則即是破壞世間。就是佛，也不能不隨順世間而說。</w:t>
      </w:r>
    </w:p>
    <w:p w:rsidR="00AA120F" w:rsidRPr="00DA3BC7" w:rsidRDefault="00AA120F" w:rsidP="00AE3920">
      <w:pPr>
        <w:spacing w:beforeLines="20"/>
        <w:ind w:leftChars="250" w:left="600"/>
        <w:jc w:val="both"/>
        <w:rPr>
          <w:rFonts w:ascii="Times New Roman" w:eastAsia="SimSun" w:hAnsi="Times New Roman"/>
          <w:b/>
          <w:sz w:val="20"/>
          <w:szCs w:val="20"/>
        </w:rPr>
      </w:pPr>
      <w:r w:rsidRPr="00DA3BC7">
        <w:rPr>
          <w:rFonts w:ascii="Times New Roman" w:hAnsi="Times New Roman"/>
        </w:rPr>
        <w:t>然而一切是緣起的，緣起法即不能無所依待的；所以雖概括的說一切一切，而到底沒有其大無外的大全</w:t>
      </w:r>
      <w:r w:rsidRPr="00DA3BC7">
        <w:rPr>
          <w:rStyle w:val="a6"/>
          <w:rFonts w:ascii="Times New Roman" w:hAnsi="Times New Roman"/>
        </w:rPr>
        <w:footnoteReference w:id="562"/>
      </w:r>
      <w:r w:rsidRPr="00DA3BC7">
        <w:rPr>
          <w:rFonts w:ascii="Times New Roman" w:hAnsi="Times New Roman"/>
        </w:rPr>
        <w:t>，也即不能建立絕對的標準時間。唯</w:t>
      </w:r>
      <w:r w:rsidRPr="00DA3BC7">
        <w:rPr>
          <w:rFonts w:ascii="Times New Roman" w:hAnsi="Times New Roman"/>
        </w:rPr>
        <w:lastRenderedPageBreak/>
        <w:t>有自性論者，還在幻想著！</w:t>
      </w:r>
    </w:p>
    <w:p w:rsidR="00AA120F" w:rsidRPr="00DA3BC7" w:rsidRDefault="001C60CE" w:rsidP="00AE3920">
      <w:pPr>
        <w:spacing w:beforeLines="30"/>
        <w:jc w:val="both"/>
        <w:rPr>
          <w:rFonts w:ascii="Times New Roman" w:hAnsi="Times New Roman"/>
          <w:sz w:val="20"/>
          <w:szCs w:val="20"/>
        </w:rPr>
      </w:pPr>
      <w:r>
        <w:rPr>
          <w:rFonts w:ascii="Times New Roman" w:hAnsi="Times New Roman" w:hint="eastAsia"/>
          <w:b/>
          <w:color w:val="FF0000"/>
          <w:sz w:val="20"/>
          <w:szCs w:val="20"/>
          <w:highlight w:val="yellow"/>
          <w:bdr w:val="single" w:sz="4" w:space="0" w:color="auto"/>
        </w:rPr>
        <w:t>參</w:t>
      </w:r>
      <w:r>
        <w:rPr>
          <w:rFonts w:ascii="Times New Roman" w:hAnsi="Times New Roman"/>
          <w:b/>
          <w:sz w:val="20"/>
          <w:szCs w:val="20"/>
          <w:bdr w:val="single" w:sz="4" w:space="0" w:color="auto"/>
        </w:rPr>
        <w:t>、佛</w:t>
      </w:r>
      <w:r w:rsidRPr="001C60CE">
        <w:rPr>
          <w:rFonts w:ascii="Times New Roman" w:hAnsi="Times New Roman"/>
          <w:b/>
          <w:sz w:val="20"/>
          <w:szCs w:val="20"/>
          <w:highlight w:val="yellow"/>
          <w:bdr w:val="single" w:sz="4" w:space="0" w:color="auto"/>
        </w:rPr>
        <w:t>教</w:t>
      </w:r>
      <w:r w:rsidR="00AA120F" w:rsidRPr="001C60CE">
        <w:rPr>
          <w:rFonts w:ascii="Times New Roman" w:hAnsi="Times New Roman"/>
          <w:b/>
          <w:sz w:val="20"/>
          <w:szCs w:val="20"/>
          <w:highlight w:val="yellow"/>
          <w:bdr w:val="single" w:sz="4" w:space="0" w:color="auto"/>
        </w:rPr>
        <w:t>學</w:t>
      </w:r>
      <w:r w:rsidR="00AA120F" w:rsidRPr="00DA3BC7">
        <w:rPr>
          <w:rFonts w:ascii="Times New Roman" w:hAnsi="Times New Roman"/>
          <w:b/>
          <w:sz w:val="20"/>
          <w:szCs w:val="20"/>
          <w:bdr w:val="single" w:sz="4" w:space="0" w:color="auto"/>
        </w:rPr>
        <w:t>派之三世</w:t>
      </w:r>
      <w:r w:rsidRPr="001C60CE">
        <w:rPr>
          <w:rFonts w:ascii="Times New Roman" w:hAnsi="Times New Roman" w:hint="eastAsia"/>
          <w:b/>
          <w:color w:val="FF0000"/>
          <w:sz w:val="20"/>
          <w:szCs w:val="20"/>
          <w:highlight w:val="yellow"/>
          <w:bdr w:val="single" w:sz="4" w:space="0" w:color="auto"/>
        </w:rPr>
        <w:t>假實</w:t>
      </w:r>
      <w:r w:rsidR="00AA120F" w:rsidRPr="00DA3BC7">
        <w:rPr>
          <w:rFonts w:ascii="Times New Roman" w:hAnsi="Times New Roman"/>
          <w:b/>
          <w:sz w:val="20"/>
          <w:szCs w:val="20"/>
          <w:bdr w:val="single" w:sz="4" w:space="0" w:color="auto"/>
        </w:rPr>
        <w:t>觀</w:t>
      </w:r>
      <w:r w:rsidR="00AA120F" w:rsidRPr="00DA3BC7">
        <w:rPr>
          <w:rFonts w:ascii="Times New Roman" w:hAnsi="Times New Roman"/>
          <w:sz w:val="20"/>
          <w:szCs w:val="20"/>
        </w:rPr>
        <w:t>（</w:t>
      </w:r>
      <w:r w:rsidR="00AA120F" w:rsidRPr="00DA3BC7">
        <w:rPr>
          <w:rFonts w:ascii="Times New Roman" w:hAnsi="Times New Roman"/>
          <w:sz w:val="20"/>
          <w:szCs w:val="20"/>
        </w:rPr>
        <w:t>pp.122-123</w:t>
      </w:r>
      <w:r w:rsidR="00AA120F" w:rsidRPr="00DA3BC7">
        <w:rPr>
          <w:rFonts w:ascii="Times New Roman" w:hAnsi="Times New Roman"/>
          <w:sz w:val="20"/>
          <w:szCs w:val="20"/>
        </w:rPr>
        <w:t>）</w:t>
      </w:r>
    </w:p>
    <w:p w:rsidR="00AA120F" w:rsidRPr="00DA3BC7" w:rsidRDefault="00AA120F" w:rsidP="008E2BBC">
      <w:pPr>
        <w:ind w:leftChars="50" w:left="120"/>
        <w:jc w:val="both"/>
        <w:rPr>
          <w:rFonts w:ascii="Times New Roman" w:hAnsi="Times New Roman"/>
          <w:bdr w:val="single" w:sz="4" w:space="0" w:color="auto"/>
        </w:rPr>
      </w:pPr>
      <w:r w:rsidRPr="00DA3BC7">
        <w:rPr>
          <w:rFonts w:ascii="Times New Roman" w:hAnsi="Times New Roman"/>
          <w:b/>
          <w:sz w:val="20"/>
          <w:szCs w:val="20"/>
          <w:bdr w:val="single" w:sz="4" w:space="0" w:color="auto"/>
        </w:rPr>
        <w:t>（壹）</w:t>
      </w:r>
      <w:r w:rsidRPr="00DA3BC7">
        <w:rPr>
          <w:rFonts w:ascii="Times New Roman" w:hAnsi="Times New Roman"/>
          <w:b/>
          <w:bCs/>
          <w:sz w:val="20"/>
          <w:szCs w:val="20"/>
          <w:bdr w:val="single" w:sz="4" w:space="0" w:color="auto"/>
        </w:rPr>
        <w:t>現在實有論者</w:t>
      </w:r>
      <w:r w:rsidR="00697809" w:rsidRPr="00697809">
        <w:rPr>
          <w:rFonts w:ascii="Times New Roman" w:hAnsi="Times New Roman" w:hint="eastAsia"/>
          <w:b/>
          <w:bCs/>
          <w:color w:val="FF0000"/>
          <w:sz w:val="20"/>
          <w:szCs w:val="20"/>
          <w:highlight w:val="yellow"/>
          <w:bdr w:val="single" w:sz="4" w:space="0" w:color="auto"/>
        </w:rPr>
        <w:t>之見</w:t>
      </w:r>
      <w:r w:rsidRPr="00DA3BC7">
        <w:rPr>
          <w:rStyle w:val="a6"/>
          <w:rFonts w:ascii="Times New Roman" w:hAnsi="Times New Roman"/>
          <w:bCs/>
        </w:rPr>
        <w:footnoteReference w:id="563"/>
      </w:r>
      <w:r w:rsidRPr="00DA3BC7">
        <w:rPr>
          <w:rFonts w:ascii="Times New Roman" w:hAnsi="Times New Roman"/>
          <w:sz w:val="20"/>
          <w:szCs w:val="20"/>
        </w:rPr>
        <w:t>（</w:t>
      </w:r>
      <w:r w:rsidRPr="00DA3BC7">
        <w:rPr>
          <w:rFonts w:ascii="Times New Roman" w:hAnsi="Times New Roman"/>
          <w:sz w:val="20"/>
          <w:szCs w:val="20"/>
        </w:rPr>
        <w:t>p.12</w:t>
      </w:r>
      <w:r w:rsidRPr="00DA3BC7">
        <w:rPr>
          <w:rFonts w:ascii="Times New Roman" w:hAnsi="Times New Roman" w:hint="eastAsia"/>
          <w:sz w:val="20"/>
          <w:szCs w:val="20"/>
        </w:rPr>
        <w:t>2</w:t>
      </w:r>
      <w:r w:rsidRPr="00DA3BC7">
        <w:rPr>
          <w:rFonts w:ascii="Times New Roman" w:hAnsi="Times New Roman"/>
          <w:sz w:val="20"/>
          <w:szCs w:val="20"/>
        </w:rPr>
        <w:t>）</w:t>
      </w:r>
    </w:p>
    <w:p w:rsidR="00AA120F" w:rsidRPr="00DA3BC7" w:rsidRDefault="00AA120F" w:rsidP="008E2BBC">
      <w:pPr>
        <w:ind w:leftChars="50" w:left="120"/>
        <w:jc w:val="both"/>
        <w:rPr>
          <w:rFonts w:ascii="Times New Roman" w:hAnsi="Times New Roman"/>
        </w:rPr>
      </w:pPr>
      <w:r w:rsidRPr="00DA3BC7">
        <w:rPr>
          <w:rFonts w:ascii="Times New Roman" w:hAnsi="Times New Roman"/>
        </w:rPr>
        <w:t>佛法中，現在實有者說：過去、未來是依現在而安立的。他們是以當下的剎那現在為實有的，依現在的因果諸行，對古名今，對今名古，對現在說過去</w:t>
      </w:r>
      <w:r w:rsidRPr="00DA3BC7">
        <w:rPr>
          <w:rFonts w:ascii="Times New Roman" w:hAnsi="Times New Roman" w:hint="eastAsia"/>
        </w:rPr>
        <w:t>、</w:t>
      </w:r>
      <w:r w:rsidRPr="00DA3BC7">
        <w:rPr>
          <w:rFonts w:ascii="Times New Roman" w:hAnsi="Times New Roman"/>
        </w:rPr>
        <w:t>未來。離了現在，即無所謂過去</w:t>
      </w:r>
      <w:r w:rsidRPr="00DA3BC7">
        <w:rPr>
          <w:rFonts w:ascii="Times New Roman" w:hAnsi="Times New Roman" w:hint="eastAsia"/>
        </w:rPr>
        <w:t>、</w:t>
      </w:r>
      <w:r w:rsidRPr="00DA3BC7">
        <w:rPr>
          <w:rFonts w:ascii="Times New Roman" w:hAnsi="Times New Roman"/>
        </w:rPr>
        <w:t>未來。</w:t>
      </w:r>
    </w:p>
    <w:p w:rsidR="00AA120F" w:rsidRPr="00DA3BC7" w:rsidRDefault="00AA120F" w:rsidP="00AE3920">
      <w:pPr>
        <w:spacing w:beforeLines="20"/>
        <w:ind w:leftChars="50" w:left="120"/>
        <w:jc w:val="both"/>
        <w:rPr>
          <w:rFonts w:ascii="Times New Roman" w:eastAsia="SimSun" w:hAnsi="Times New Roman"/>
        </w:rPr>
      </w:pPr>
      <w:r w:rsidRPr="00DA3BC7">
        <w:rPr>
          <w:rFonts w:ascii="Times New Roman" w:hAnsi="Times New Roman"/>
        </w:rPr>
        <w:t>這也有它的相對意義：例如考古學家，因現在掘得出土之物，能考知其多少年代</w:t>
      </w:r>
      <w:r w:rsidRPr="00DA3BC7">
        <w:rPr>
          <w:rFonts w:ascii="Times New Roman" w:hAnsi="Times New Roman" w:hint="eastAsia"/>
        </w:rPr>
        <w:t>以</w:t>
      </w:r>
      <w:r w:rsidRPr="00DA3BC7">
        <w:rPr>
          <w:rFonts w:ascii="Times New Roman" w:hAnsi="Times New Roman"/>
        </w:rPr>
        <w:t>及從前如何如何，沒有此，過去即無從說起。故離了現在，就不能理解過去，並無真實的過去。</w:t>
      </w:r>
    </w:p>
    <w:p w:rsidR="00AA120F" w:rsidRPr="00DA3BC7" w:rsidRDefault="00AA120F" w:rsidP="00AE3920">
      <w:pPr>
        <w:spacing w:beforeLines="30"/>
        <w:ind w:leftChars="50" w:left="120"/>
        <w:jc w:val="both"/>
        <w:rPr>
          <w:rFonts w:ascii="Times New Roman" w:hAnsi="Times New Roman"/>
          <w:b/>
          <w:sz w:val="20"/>
          <w:szCs w:val="20"/>
          <w:bdr w:val="single" w:sz="4" w:space="0" w:color="auto"/>
        </w:rPr>
      </w:pPr>
      <w:r w:rsidRPr="00DA3BC7">
        <w:rPr>
          <w:rFonts w:ascii="Times New Roman" w:hAnsi="Times New Roman"/>
          <w:b/>
          <w:sz w:val="20"/>
          <w:szCs w:val="20"/>
          <w:bdr w:val="single" w:sz="4" w:space="0" w:color="auto"/>
        </w:rPr>
        <w:t>（貳）三世實有論者</w:t>
      </w:r>
      <w:r w:rsidR="00697809" w:rsidRPr="00697809">
        <w:rPr>
          <w:rFonts w:ascii="Times New Roman" w:hAnsi="Times New Roman" w:hint="eastAsia"/>
          <w:b/>
          <w:bCs/>
          <w:color w:val="FF0000"/>
          <w:sz w:val="20"/>
          <w:szCs w:val="20"/>
          <w:highlight w:val="yellow"/>
          <w:bdr w:val="single" w:sz="4" w:space="0" w:color="auto"/>
        </w:rPr>
        <w:t>之見</w:t>
      </w:r>
      <w:r w:rsidRPr="00DA3BC7">
        <w:rPr>
          <w:rFonts w:ascii="Times New Roman" w:hAnsi="Times New Roman"/>
          <w:sz w:val="20"/>
          <w:szCs w:val="20"/>
        </w:rPr>
        <w:t>（</w:t>
      </w:r>
      <w:r w:rsidRPr="00DA3BC7">
        <w:rPr>
          <w:rFonts w:ascii="Times New Roman" w:hAnsi="Times New Roman"/>
          <w:sz w:val="20"/>
          <w:szCs w:val="20"/>
        </w:rPr>
        <w:t>p.12</w:t>
      </w:r>
      <w:r w:rsidRPr="00DA3BC7">
        <w:rPr>
          <w:rFonts w:ascii="Times New Roman" w:hAnsi="Times New Roman" w:hint="eastAsia"/>
          <w:sz w:val="20"/>
          <w:szCs w:val="20"/>
        </w:rPr>
        <w:t>2</w:t>
      </w:r>
      <w:r w:rsidRPr="00DA3BC7">
        <w:rPr>
          <w:rFonts w:ascii="Times New Roman" w:hAnsi="Times New Roman"/>
          <w:sz w:val="20"/>
          <w:szCs w:val="20"/>
        </w:rPr>
        <w:t>）</w:t>
      </w:r>
    </w:p>
    <w:p w:rsidR="00AA120F" w:rsidRPr="00DA3BC7" w:rsidRDefault="00AA120F" w:rsidP="008E2BBC">
      <w:pPr>
        <w:ind w:leftChars="50" w:left="120"/>
        <w:jc w:val="both"/>
        <w:rPr>
          <w:rFonts w:ascii="Times New Roman" w:hAnsi="Times New Roman"/>
        </w:rPr>
      </w:pPr>
      <w:r w:rsidRPr="00DA3BC7">
        <w:rPr>
          <w:rFonts w:ascii="Times New Roman" w:hAnsi="Times New Roman"/>
        </w:rPr>
        <w:t>三世實有論者</w:t>
      </w:r>
      <w:r w:rsidR="008F0A7A" w:rsidRPr="00697809">
        <w:rPr>
          <w:rFonts w:ascii="新細明體" w:hAnsi="新細明體" w:hint="eastAsia"/>
        </w:rPr>
        <w:t>──</w:t>
      </w:r>
      <w:r w:rsidRPr="00DA3BC7">
        <w:rPr>
          <w:rFonts w:ascii="Times New Roman" w:hAnsi="Times New Roman"/>
        </w:rPr>
        <w:t>薩婆多部，把三世分得清清楚楚</w:t>
      </w:r>
      <w:r w:rsidRPr="00DA3BC7">
        <w:rPr>
          <w:rFonts w:ascii="Times New Roman" w:hAnsi="Times New Roman" w:hint="eastAsia"/>
        </w:rPr>
        <w:t>：</w:t>
      </w:r>
      <w:r w:rsidRPr="00DA3BC7">
        <w:rPr>
          <w:rFonts w:ascii="Times New Roman" w:hAnsi="Times New Roman"/>
        </w:rPr>
        <w:t>過去是存在的，不是現在</w:t>
      </w:r>
      <w:r w:rsidRPr="00DA3BC7">
        <w:rPr>
          <w:rFonts w:ascii="新細明體" w:hAnsi="新細明體" w:hint="eastAsia"/>
        </w:rPr>
        <w:t>、</w:t>
      </w:r>
      <w:r w:rsidRPr="00DA3BC7">
        <w:rPr>
          <w:rFonts w:ascii="Times New Roman" w:hAnsi="Times New Roman"/>
        </w:rPr>
        <w:t>未來；現在不是過去</w:t>
      </w:r>
      <w:r w:rsidRPr="00DA3BC7">
        <w:rPr>
          <w:rFonts w:ascii="新細明體" w:hAnsi="新細明體" w:hint="eastAsia"/>
        </w:rPr>
        <w:t>、</w:t>
      </w:r>
      <w:r w:rsidRPr="00DA3BC7">
        <w:rPr>
          <w:rFonts w:ascii="Times New Roman" w:hAnsi="Times New Roman"/>
        </w:rPr>
        <w:t>未來</w:t>
      </w:r>
      <w:r w:rsidR="00697809">
        <w:rPr>
          <w:rFonts w:ascii="Times New Roman" w:hAnsi="Times New Roman" w:hint="eastAsia"/>
          <w:color w:val="FF0000"/>
          <w:highlight w:val="yellow"/>
        </w:rPr>
        <w:t>；</w:t>
      </w:r>
      <w:r w:rsidRPr="00DA3BC7">
        <w:rPr>
          <w:rFonts w:ascii="Times New Roman" w:hAnsi="Times New Roman"/>
        </w:rPr>
        <w:t>未來也是存在的，不是過去</w:t>
      </w:r>
      <w:r w:rsidRPr="00DA3BC7">
        <w:rPr>
          <w:rFonts w:ascii="新細明體" w:hAnsi="新細明體" w:hint="eastAsia"/>
        </w:rPr>
        <w:t>、</w:t>
      </w:r>
      <w:r w:rsidRPr="00DA3BC7">
        <w:rPr>
          <w:rFonts w:ascii="Times New Roman" w:hAnsi="Times New Roman"/>
        </w:rPr>
        <w:t>現在。</w:t>
      </w:r>
    </w:p>
    <w:p w:rsidR="00AA120F" w:rsidRPr="00DA3BC7" w:rsidRDefault="00AA120F" w:rsidP="00AE3920">
      <w:pPr>
        <w:spacing w:beforeLines="30"/>
        <w:ind w:leftChars="50" w:left="120"/>
        <w:jc w:val="both"/>
        <w:rPr>
          <w:rFonts w:ascii="Times New Roman" w:hAnsi="Times New Roman"/>
          <w:b/>
          <w:sz w:val="20"/>
          <w:szCs w:val="20"/>
        </w:rPr>
      </w:pPr>
      <w:r w:rsidRPr="00DA3BC7">
        <w:rPr>
          <w:rFonts w:ascii="Times New Roman" w:hAnsi="Times New Roman"/>
          <w:b/>
          <w:sz w:val="20"/>
          <w:szCs w:val="20"/>
          <w:bdr w:val="single" w:sz="4" w:space="0" w:color="auto"/>
        </w:rPr>
        <w:t>（</w:t>
      </w:r>
      <w:r w:rsidR="00FC5046" w:rsidRPr="00DA3BC7">
        <w:rPr>
          <w:rFonts w:ascii="Times New Roman" w:hAnsi="Times New Roman"/>
          <w:b/>
          <w:sz w:val="20"/>
          <w:szCs w:val="20"/>
          <w:bdr w:val="single" w:sz="4" w:space="0" w:color="auto"/>
        </w:rPr>
        <w:t>參</w:t>
      </w:r>
      <w:r w:rsidRPr="00DA3BC7">
        <w:rPr>
          <w:rFonts w:ascii="Times New Roman" w:hAnsi="Times New Roman"/>
          <w:b/>
          <w:sz w:val="20"/>
          <w:szCs w:val="20"/>
          <w:bdr w:val="single" w:sz="4" w:space="0" w:color="auto"/>
        </w:rPr>
        <w:t>）唯識家</w:t>
      </w:r>
      <w:r w:rsidR="00697809" w:rsidRPr="00697809">
        <w:rPr>
          <w:rFonts w:ascii="Times New Roman" w:hAnsi="Times New Roman" w:hint="eastAsia"/>
          <w:b/>
          <w:bCs/>
          <w:color w:val="FF0000"/>
          <w:sz w:val="20"/>
          <w:szCs w:val="20"/>
          <w:highlight w:val="yellow"/>
          <w:bdr w:val="single" w:sz="4" w:space="0" w:color="auto"/>
        </w:rPr>
        <w:t>之見</w:t>
      </w:r>
      <w:r w:rsidR="00697809" w:rsidRPr="00697809">
        <w:rPr>
          <w:rFonts w:ascii="Times New Roman" w:hAnsi="Times New Roman" w:hint="eastAsia"/>
          <w:b/>
          <w:color w:val="FF0000"/>
          <w:sz w:val="20"/>
          <w:szCs w:val="20"/>
          <w:highlight w:val="yellow"/>
          <w:bdr w:val="single" w:sz="4" w:space="0" w:color="auto"/>
        </w:rPr>
        <w:t>（</w:t>
      </w:r>
      <w:r w:rsidRPr="00DA3BC7">
        <w:rPr>
          <w:rFonts w:ascii="Times New Roman" w:hAnsi="Times New Roman"/>
          <w:b/>
          <w:sz w:val="20"/>
          <w:szCs w:val="20"/>
          <w:bdr w:val="single" w:sz="4" w:space="0" w:color="auto"/>
        </w:rPr>
        <w:t>現在實有</w:t>
      </w:r>
      <w:r w:rsidR="00697809" w:rsidRPr="00697809">
        <w:rPr>
          <w:rFonts w:ascii="Times New Roman" w:hAnsi="Times New Roman" w:hint="eastAsia"/>
          <w:b/>
          <w:color w:val="FF0000"/>
          <w:sz w:val="20"/>
          <w:szCs w:val="20"/>
          <w:highlight w:val="yellow"/>
          <w:bdr w:val="single" w:sz="4" w:space="0" w:color="auto"/>
        </w:rPr>
        <w:t>）</w:t>
      </w:r>
      <w:r w:rsidRPr="00DA3BC7">
        <w:rPr>
          <w:rFonts w:ascii="Times New Roman" w:hAnsi="Times New Roman"/>
          <w:sz w:val="20"/>
          <w:szCs w:val="20"/>
        </w:rPr>
        <w:t>（</w:t>
      </w:r>
      <w:r w:rsidRPr="00DA3BC7">
        <w:rPr>
          <w:rFonts w:ascii="Times New Roman" w:hAnsi="Times New Roman"/>
          <w:sz w:val="20"/>
          <w:szCs w:val="20"/>
        </w:rPr>
        <w:t>p.12</w:t>
      </w:r>
      <w:r w:rsidRPr="00DA3BC7">
        <w:rPr>
          <w:rFonts w:ascii="Times New Roman" w:hAnsi="Times New Roman" w:hint="eastAsia"/>
          <w:sz w:val="20"/>
          <w:szCs w:val="20"/>
        </w:rPr>
        <w:t>2</w:t>
      </w:r>
      <w:r w:rsidRPr="00DA3BC7">
        <w:rPr>
          <w:rFonts w:ascii="Times New Roman" w:hAnsi="Times New Roman"/>
          <w:sz w:val="20"/>
          <w:szCs w:val="20"/>
        </w:rPr>
        <w:t>）</w:t>
      </w:r>
    </w:p>
    <w:p w:rsidR="00AA120F" w:rsidRPr="00DA3BC7" w:rsidRDefault="00AA120F" w:rsidP="008E2BBC">
      <w:pPr>
        <w:ind w:leftChars="50" w:left="120"/>
        <w:jc w:val="both"/>
        <w:rPr>
          <w:rFonts w:ascii="Times New Roman" w:hAnsi="Times New Roman"/>
        </w:rPr>
      </w:pPr>
      <w:r w:rsidRPr="00DA3BC7">
        <w:rPr>
          <w:rFonts w:ascii="Times New Roman" w:hAnsi="Times New Roman"/>
        </w:rPr>
        <w:t>唯識家也是現在實有者，所以只知觀待現在而說過去</w:t>
      </w:r>
      <w:r w:rsidRPr="00DA3BC7">
        <w:rPr>
          <w:rFonts w:ascii="新細明體" w:hAnsi="新細明體" w:hint="eastAsia"/>
        </w:rPr>
        <w:t>、</w:t>
      </w:r>
      <w:r w:rsidRPr="00DA3BC7">
        <w:rPr>
          <w:rFonts w:ascii="Times New Roman" w:hAnsi="Times New Roman"/>
        </w:rPr>
        <w:t>未來，而不知觀待過去</w:t>
      </w:r>
      <w:r w:rsidRPr="00DA3BC7">
        <w:rPr>
          <w:rFonts w:ascii="新細明體" w:hAnsi="新細明體" w:hint="eastAsia"/>
        </w:rPr>
        <w:t>、</w:t>
      </w:r>
      <w:r w:rsidRPr="00DA3BC7">
        <w:rPr>
          <w:rFonts w:ascii="Times New Roman" w:hAnsi="Times New Roman"/>
        </w:rPr>
        <w:t>未來而說現在。</w:t>
      </w:r>
    </w:p>
    <w:p w:rsidR="00AA120F" w:rsidRPr="00DA3BC7" w:rsidRDefault="00AA120F" w:rsidP="00AE3920">
      <w:pPr>
        <w:spacing w:beforeLines="30"/>
        <w:ind w:leftChars="50" w:left="120"/>
        <w:jc w:val="both"/>
        <w:rPr>
          <w:rFonts w:ascii="Times New Roman" w:eastAsia="SimSun" w:hAnsi="Times New Roman"/>
          <w:b/>
          <w:sz w:val="20"/>
          <w:szCs w:val="20"/>
        </w:rPr>
      </w:pPr>
      <w:r w:rsidRPr="00DA3BC7">
        <w:rPr>
          <w:rFonts w:ascii="Times New Roman" w:hAnsi="Times New Roman"/>
          <w:b/>
          <w:sz w:val="20"/>
          <w:szCs w:val="20"/>
          <w:bdr w:val="single" w:sz="4" w:space="0" w:color="auto"/>
        </w:rPr>
        <w:t>（肆）中觀家</w:t>
      </w:r>
      <w:r w:rsidR="00697809" w:rsidRPr="00697809">
        <w:rPr>
          <w:rFonts w:ascii="Times New Roman" w:hAnsi="Times New Roman" w:hint="eastAsia"/>
          <w:b/>
          <w:bCs/>
          <w:color w:val="FF0000"/>
          <w:sz w:val="20"/>
          <w:szCs w:val="20"/>
          <w:highlight w:val="yellow"/>
          <w:bdr w:val="single" w:sz="4" w:space="0" w:color="auto"/>
        </w:rPr>
        <w:t>之見</w:t>
      </w:r>
      <w:r w:rsidR="00697809" w:rsidRPr="00697809">
        <w:rPr>
          <w:rFonts w:ascii="Times New Roman" w:hAnsi="Times New Roman" w:hint="eastAsia"/>
          <w:b/>
          <w:color w:val="FF0000"/>
          <w:sz w:val="20"/>
          <w:szCs w:val="20"/>
          <w:highlight w:val="yellow"/>
          <w:bdr w:val="single" w:sz="4" w:space="0" w:color="auto"/>
        </w:rPr>
        <w:t>──</w:t>
      </w:r>
      <w:r w:rsidRPr="00DA3BC7">
        <w:rPr>
          <w:rFonts w:ascii="Times New Roman" w:hAnsi="Times New Roman" w:hint="eastAsia"/>
          <w:b/>
          <w:sz w:val="20"/>
          <w:szCs w:val="20"/>
          <w:bdr w:val="single" w:sz="4" w:space="0" w:color="auto"/>
        </w:rPr>
        <w:t>三世幻有</w:t>
      </w:r>
      <w:r w:rsidRPr="00DA3BC7">
        <w:rPr>
          <w:rFonts w:ascii="Times New Roman" w:hAnsi="Times New Roman"/>
          <w:sz w:val="20"/>
          <w:szCs w:val="20"/>
        </w:rPr>
        <w:t>（</w:t>
      </w:r>
      <w:r w:rsidRPr="00DA3BC7">
        <w:rPr>
          <w:rFonts w:ascii="Times New Roman" w:hAnsi="Times New Roman" w:hint="eastAsia"/>
          <w:sz w:val="20"/>
          <w:szCs w:val="20"/>
        </w:rPr>
        <w:t>p</w:t>
      </w:r>
      <w:r w:rsidRPr="00DA3BC7">
        <w:rPr>
          <w:rFonts w:ascii="Times New Roman" w:hAnsi="Times New Roman"/>
          <w:sz w:val="20"/>
          <w:szCs w:val="20"/>
        </w:rPr>
        <w:t>p.12</w:t>
      </w:r>
      <w:r w:rsidRPr="00DA3BC7">
        <w:rPr>
          <w:rFonts w:ascii="Times New Roman" w:hAnsi="Times New Roman" w:hint="eastAsia"/>
          <w:sz w:val="20"/>
          <w:szCs w:val="20"/>
        </w:rPr>
        <w:t>2-123</w:t>
      </w:r>
      <w:r w:rsidRPr="00DA3BC7">
        <w:rPr>
          <w:rFonts w:ascii="Times New Roman" w:hAnsi="Times New Roman"/>
          <w:sz w:val="20"/>
          <w:szCs w:val="20"/>
        </w:rPr>
        <w:t>）</w:t>
      </w:r>
    </w:p>
    <w:p w:rsidR="00AA120F" w:rsidRPr="00DA3BC7" w:rsidRDefault="00AA120F" w:rsidP="00C36A92">
      <w:pPr>
        <w:ind w:leftChars="50" w:left="120"/>
        <w:rPr>
          <w:rFonts w:ascii="Times New Roman" w:eastAsia="SimSun" w:hAnsi="Times New Roman"/>
        </w:rPr>
      </w:pPr>
      <w:r w:rsidRPr="00DA3BC7">
        <w:rPr>
          <w:rFonts w:ascii="Times New Roman" w:hAnsi="Times New Roman"/>
        </w:rPr>
        <w:t>《中論》</w:t>
      </w:r>
      <w:r w:rsidR="00C36A92">
        <w:rPr>
          <w:rFonts w:ascii="Times New Roman" w:hAnsi="Times New Roman" w:hint="eastAsia"/>
        </w:rPr>
        <w:t>〈</w:t>
      </w:r>
      <w:r w:rsidR="00C36A92" w:rsidRPr="00C36A92">
        <w:rPr>
          <w:rFonts w:ascii="Times New Roman" w:hAnsi="Times New Roman" w:hint="eastAsia"/>
          <w:shd w:val="pct15" w:color="auto" w:fill="FFFFFF"/>
        </w:rPr>
        <w:t>2</w:t>
      </w:r>
      <w:r w:rsidR="00C36A92">
        <w:rPr>
          <w:rFonts w:ascii="Times New Roman" w:hAnsi="Times New Roman" w:hint="eastAsia"/>
        </w:rPr>
        <w:t xml:space="preserve"> </w:t>
      </w:r>
      <w:r w:rsidR="00C36A92" w:rsidRPr="00DA3BC7">
        <w:rPr>
          <w:rFonts w:ascii="Times New Roman" w:hAnsi="Times New Roman"/>
        </w:rPr>
        <w:t>觀去來品</w:t>
      </w:r>
      <w:r w:rsidR="00C36A92">
        <w:rPr>
          <w:rFonts w:ascii="Times New Roman" w:hAnsi="Times New Roman" w:hint="eastAsia"/>
        </w:rPr>
        <w:t>〉</w:t>
      </w:r>
      <w:r w:rsidRPr="00DA3BC7">
        <w:rPr>
          <w:rFonts w:ascii="Times New Roman" w:hAnsi="Times New Roman"/>
        </w:rPr>
        <w:t>說：「</w:t>
      </w:r>
      <w:r w:rsidRPr="00DA3BC7">
        <w:rPr>
          <w:rFonts w:ascii="Times New Roman" w:eastAsia="標楷體" w:hAnsi="Times New Roman"/>
        </w:rPr>
        <w:t>離已去未去，去時亦無去</w:t>
      </w:r>
      <w:r w:rsidRPr="00DA3BC7">
        <w:rPr>
          <w:rFonts w:ascii="Times New Roman" w:hAnsi="Times New Roman"/>
        </w:rPr>
        <w:t>。」</w:t>
      </w:r>
      <w:r w:rsidRPr="00DA3BC7">
        <w:rPr>
          <w:rStyle w:val="a6"/>
          <w:rFonts w:ascii="Times New Roman" w:hAnsi="Times New Roman"/>
        </w:rPr>
        <w:footnoteReference w:id="564"/>
      </w:r>
      <w:r w:rsidRPr="00DA3BC7">
        <w:rPr>
          <w:rFonts w:ascii="Times New Roman" w:hAnsi="Times New Roman"/>
        </w:rPr>
        <w:t>去時，即正去</w:t>
      </w:r>
      <w:r w:rsidRPr="00DA3BC7">
        <w:rPr>
          <w:rFonts w:ascii="Times New Roman" w:hAnsi="Times New Roman"/>
        </w:rPr>
        <w:lastRenderedPageBreak/>
        <w:t>的現在，離了已去與未去</w:t>
      </w:r>
      <w:r w:rsidRPr="00DA3BC7">
        <w:rPr>
          <w:rFonts w:ascii="Times New Roman" w:hAnsi="Times New Roman" w:hint="eastAsia"/>
        </w:rPr>
        <w:t>，</w:t>
      </w:r>
      <w:r w:rsidRPr="00DA3BC7">
        <w:rPr>
          <w:rFonts w:ascii="Times New Roman" w:hAnsi="Times New Roman"/>
        </w:rPr>
        <w:t>是不可得的，此即顯示中觀與唯識的不同。</w:t>
      </w:r>
    </w:p>
    <w:p w:rsidR="00AA120F" w:rsidRPr="00DA3BC7" w:rsidRDefault="00AA120F" w:rsidP="00AE3920">
      <w:pPr>
        <w:spacing w:beforeLines="20" w:afterLines="30"/>
        <w:ind w:leftChars="50" w:left="120"/>
        <w:jc w:val="both"/>
        <w:rPr>
          <w:rFonts w:ascii="Times New Roman" w:eastAsia="SimSun" w:hAnsi="Times New Roman"/>
        </w:rPr>
      </w:pPr>
      <w:r w:rsidRPr="00DA3BC7">
        <w:rPr>
          <w:rFonts w:ascii="Times New Roman" w:hAnsi="Times New Roman"/>
        </w:rPr>
        <w:lastRenderedPageBreak/>
        <w:t>中觀者說：過未是觀待現在而有的；同時，現在是觀待過未而有的。</w:t>
      </w:r>
    </w:p>
    <w:p w:rsidR="00AA120F" w:rsidRPr="00DA3BC7" w:rsidRDefault="00AA120F" w:rsidP="00AE3920">
      <w:pPr>
        <w:spacing w:beforeLines="20" w:afterLines="30"/>
        <w:ind w:leftChars="50" w:left="120"/>
        <w:jc w:val="both"/>
        <w:rPr>
          <w:rFonts w:ascii="Times New Roman" w:hAnsi="Times New Roman"/>
        </w:rPr>
      </w:pPr>
      <w:r w:rsidRPr="00DA3BC7">
        <w:rPr>
          <w:rFonts w:ascii="Times New Roman" w:hAnsi="Times New Roman"/>
        </w:rPr>
        <w:t>今試問常人：何者為</w:t>
      </w:r>
      <w:r w:rsidRPr="00335C9D">
        <w:rPr>
          <w:rFonts w:ascii="Times New Roman" w:hAnsi="Times New Roman"/>
          <w:shd w:val="pct15" w:color="auto" w:fill="FFFFFF"/>
        </w:rPr>
        <w:t>「</w:t>
      </w:r>
      <w:r w:rsidRPr="00DA3BC7">
        <w:rPr>
          <w:rFonts w:ascii="Times New Roman" w:hAnsi="Times New Roman"/>
        </w:rPr>
        <w:t>現在</w:t>
      </w:r>
      <w:r w:rsidRPr="00335C9D">
        <w:rPr>
          <w:rFonts w:ascii="Times New Roman" w:hAnsi="Times New Roman"/>
          <w:shd w:val="pct15" w:color="auto" w:fill="FFFFFF"/>
        </w:rPr>
        <w:t>」</w:t>
      </w:r>
      <w:r w:rsidRPr="00DA3BC7">
        <w:rPr>
          <w:rFonts w:ascii="Times New Roman" w:hAnsi="Times New Roman"/>
        </w:rPr>
        <w:t>？恐很難得到解答。如說「現在」是上午九點鐘；或說</w:t>
      </w:r>
      <w:r w:rsidR="00335C9D" w:rsidRPr="00335C9D">
        <w:rPr>
          <w:rFonts w:ascii="Times New Roman" w:hAnsi="Times New Roman"/>
          <w:shd w:val="pct15" w:color="auto" w:fill="FFFFFF"/>
        </w:rPr>
        <w:t>「</w:t>
      </w:r>
      <w:r w:rsidRPr="00DA3BC7">
        <w:rPr>
          <w:rFonts w:ascii="Times New Roman" w:hAnsi="Times New Roman"/>
        </w:rPr>
        <w:t>現在</w:t>
      </w:r>
      <w:r w:rsidR="00335C9D" w:rsidRPr="00335C9D">
        <w:rPr>
          <w:rFonts w:ascii="Times New Roman" w:hAnsi="Times New Roman"/>
          <w:shd w:val="pct15" w:color="auto" w:fill="FFFFFF"/>
        </w:rPr>
        <w:t>」</w:t>
      </w:r>
      <w:r w:rsidRPr="00DA3BC7">
        <w:rPr>
          <w:rFonts w:ascii="Times New Roman" w:hAnsi="Times New Roman"/>
        </w:rPr>
        <w:t>是求學時代，這</w:t>
      </w:r>
      <w:r w:rsidR="00335C9D" w:rsidRPr="00335C9D">
        <w:rPr>
          <w:rFonts w:ascii="Times New Roman" w:hAnsi="Times New Roman"/>
          <w:shd w:val="pct15" w:color="auto" w:fill="FFFFFF"/>
        </w:rPr>
        <w:t>「</w:t>
      </w:r>
      <w:r w:rsidR="00335C9D" w:rsidRPr="00DA3BC7">
        <w:rPr>
          <w:rFonts w:ascii="Times New Roman" w:hAnsi="Times New Roman"/>
        </w:rPr>
        <w:t>現在</w:t>
      </w:r>
      <w:r w:rsidR="00335C9D" w:rsidRPr="00335C9D">
        <w:rPr>
          <w:rFonts w:ascii="Times New Roman" w:hAnsi="Times New Roman"/>
          <w:shd w:val="pct15" w:color="auto" w:fill="FFFFFF"/>
        </w:rPr>
        <w:t>」</w:t>
      </w:r>
      <w:r w:rsidRPr="00DA3BC7">
        <w:rPr>
          <w:rFonts w:ascii="Times New Roman" w:hAnsi="Times New Roman"/>
        </w:rPr>
        <w:t>即可包括一</w:t>
      </w:r>
      <w:r w:rsidRPr="00DA3BC7">
        <w:rPr>
          <w:rFonts w:ascii="Times New Roman" w:hAnsi="Times New Roman" w:hint="eastAsia"/>
        </w:rPr>
        <w:t>、</w:t>
      </w:r>
      <w:r w:rsidRPr="00DA3BC7">
        <w:rPr>
          <w:rFonts w:ascii="Times New Roman" w:hAnsi="Times New Roman"/>
        </w:rPr>
        <w:t>二十年；若說「現在」是二十世紀，這「現在」可包括更多的年代了！</w:t>
      </w:r>
    </w:p>
    <w:p w:rsidR="00AA120F" w:rsidRPr="00DA3BC7" w:rsidRDefault="00AA120F" w:rsidP="00AE3920">
      <w:pPr>
        <w:spacing w:beforeLines="20"/>
        <w:ind w:leftChars="50" w:left="120"/>
        <w:jc w:val="both"/>
        <w:rPr>
          <w:rFonts w:ascii="Times New Roman" w:hAnsi="Times New Roman"/>
        </w:rPr>
      </w:pPr>
      <w:r w:rsidRPr="00DA3BC7">
        <w:rPr>
          <w:rFonts w:ascii="Times New Roman" w:hAnsi="Times New Roman"/>
        </w:rPr>
        <w:t>故若沒有過去</w:t>
      </w:r>
      <w:r w:rsidRPr="00DA3BC7">
        <w:rPr>
          <w:rFonts w:ascii="Times New Roman" w:hAnsi="Times New Roman" w:hint="eastAsia"/>
        </w:rPr>
        <w:t>、</w:t>
      </w:r>
      <w:r w:rsidRPr="00DA3BC7">
        <w:rPr>
          <w:rFonts w:ascii="Times New Roman" w:hAnsi="Times New Roman"/>
        </w:rPr>
        <w:t>未來，也就沒有現在，所以</w:t>
      </w:r>
      <w:r w:rsidRPr="00DA3BC7">
        <w:rPr>
          <w:rFonts w:ascii="Times New Roman" w:hAnsi="Times New Roman"/>
          <w:b/>
        </w:rPr>
        <w:t>時間不是現在實有而過未假有。</w:t>
      </w:r>
    </w:p>
    <w:p w:rsidR="00AA120F" w:rsidRPr="00DA3BC7" w:rsidRDefault="00AA120F" w:rsidP="00AE3920">
      <w:pPr>
        <w:spacing w:beforeLines="20" w:afterLines="30"/>
        <w:ind w:leftChars="50" w:left="120"/>
        <w:jc w:val="both"/>
        <w:rPr>
          <w:rFonts w:ascii="Times New Roman" w:eastAsia="SimSun" w:hAnsi="Times New Roman"/>
        </w:rPr>
      </w:pPr>
      <w:r w:rsidRPr="00DA3BC7">
        <w:rPr>
          <w:rFonts w:ascii="Times New Roman" w:hAnsi="Times New Roman"/>
        </w:rPr>
        <w:t>離了現在，過去</w:t>
      </w:r>
      <w:r w:rsidRPr="00DA3BC7">
        <w:rPr>
          <w:rFonts w:ascii="Times New Roman" w:hAnsi="Times New Roman" w:hint="eastAsia"/>
        </w:rPr>
        <w:t>、</w:t>
      </w:r>
      <w:r w:rsidRPr="00DA3BC7">
        <w:rPr>
          <w:rFonts w:ascii="Times New Roman" w:hAnsi="Times New Roman"/>
        </w:rPr>
        <w:t>未來也就不可說，所以</w:t>
      </w:r>
      <w:r w:rsidRPr="00DA3BC7">
        <w:rPr>
          <w:rFonts w:ascii="Times New Roman" w:hAnsi="Times New Roman"/>
          <w:b/>
        </w:rPr>
        <w:t>時間也不是三世實有</w:t>
      </w:r>
      <w:r w:rsidRPr="00DA3BC7">
        <w:rPr>
          <w:rFonts w:ascii="Times New Roman" w:hAnsi="Times New Roman"/>
        </w:rPr>
        <w:t>的。</w:t>
      </w:r>
    </w:p>
    <w:p w:rsidR="00AA120F" w:rsidRPr="00DA3BC7" w:rsidRDefault="00697809" w:rsidP="00AE3920">
      <w:pPr>
        <w:spacing w:beforeLines="30"/>
        <w:jc w:val="both"/>
        <w:rPr>
          <w:rFonts w:ascii="Times New Roman" w:eastAsia="SimSun" w:hAnsi="Times New Roman"/>
          <w:sz w:val="20"/>
          <w:szCs w:val="20"/>
        </w:rPr>
      </w:pPr>
      <w:r>
        <w:rPr>
          <w:rFonts w:ascii="Times New Roman" w:hAnsi="Times New Roman" w:hint="eastAsia"/>
          <w:b/>
          <w:color w:val="FF0000"/>
          <w:sz w:val="20"/>
          <w:szCs w:val="20"/>
          <w:highlight w:val="yellow"/>
          <w:bdr w:val="single" w:sz="4" w:space="0" w:color="auto"/>
        </w:rPr>
        <w:t>肆</w:t>
      </w:r>
      <w:r w:rsidR="00AA120F" w:rsidRPr="00697809">
        <w:rPr>
          <w:rFonts w:ascii="Times New Roman" w:hAnsi="Times New Roman"/>
          <w:b/>
          <w:color w:val="FF0000"/>
          <w:sz w:val="20"/>
          <w:szCs w:val="20"/>
          <w:highlight w:val="yellow"/>
          <w:bdr w:val="single" w:sz="4" w:space="0" w:color="auto"/>
        </w:rPr>
        <w:t>、</w:t>
      </w:r>
      <w:r w:rsidRPr="00697809">
        <w:rPr>
          <w:rFonts w:ascii="Times New Roman" w:hAnsi="Times New Roman" w:hint="eastAsia"/>
          <w:b/>
          <w:color w:val="FF0000"/>
          <w:sz w:val="20"/>
          <w:szCs w:val="20"/>
          <w:highlight w:val="yellow"/>
          <w:bdr w:val="single" w:sz="4" w:space="0" w:color="auto"/>
        </w:rPr>
        <w:t>辨「</w:t>
      </w:r>
      <w:r w:rsidR="00AA120F" w:rsidRPr="00697809">
        <w:rPr>
          <w:rFonts w:ascii="Times New Roman" w:hAnsi="Times New Roman"/>
          <w:b/>
          <w:color w:val="FF0000"/>
          <w:sz w:val="20"/>
          <w:szCs w:val="20"/>
          <w:highlight w:val="yellow"/>
          <w:bdr w:val="single" w:sz="4" w:space="0" w:color="auto"/>
        </w:rPr>
        <w:t>時間</w:t>
      </w:r>
      <w:r w:rsidRPr="00697809">
        <w:rPr>
          <w:rFonts w:ascii="Times New Roman" w:hAnsi="Times New Roman" w:hint="eastAsia"/>
          <w:b/>
          <w:color w:val="FF0000"/>
          <w:sz w:val="20"/>
          <w:szCs w:val="20"/>
          <w:highlight w:val="yellow"/>
          <w:bdr w:val="single" w:sz="4" w:space="0" w:color="auto"/>
        </w:rPr>
        <w:t>的始終」</w:t>
      </w:r>
      <w:r w:rsidR="00AA120F" w:rsidRPr="00DA3BC7">
        <w:rPr>
          <w:rFonts w:ascii="Times New Roman" w:hAnsi="Times New Roman"/>
          <w:sz w:val="20"/>
          <w:szCs w:val="20"/>
        </w:rPr>
        <w:t>（</w:t>
      </w:r>
      <w:r w:rsidR="00AA120F" w:rsidRPr="00DA3BC7">
        <w:rPr>
          <w:rFonts w:ascii="Times New Roman" w:hAnsi="Times New Roman"/>
          <w:sz w:val="20"/>
          <w:szCs w:val="20"/>
        </w:rPr>
        <w:t>pp.12</w:t>
      </w:r>
      <w:r w:rsidR="00AA120F" w:rsidRPr="00DA3BC7">
        <w:rPr>
          <w:rFonts w:ascii="Times New Roman" w:eastAsia="SimSun" w:hAnsi="Times New Roman"/>
          <w:sz w:val="20"/>
          <w:szCs w:val="20"/>
        </w:rPr>
        <w:t>3</w:t>
      </w:r>
      <w:r w:rsidR="00AA120F" w:rsidRPr="00DA3BC7">
        <w:rPr>
          <w:rFonts w:ascii="Times New Roman" w:hAnsi="Times New Roman"/>
          <w:sz w:val="20"/>
          <w:szCs w:val="20"/>
        </w:rPr>
        <w:t>-12</w:t>
      </w:r>
      <w:r w:rsidRPr="00697809">
        <w:rPr>
          <w:rFonts w:ascii="Times New Roman" w:eastAsiaTheme="minorEastAsia" w:hAnsi="Times New Roman" w:hint="eastAsia"/>
          <w:sz w:val="20"/>
          <w:szCs w:val="20"/>
        </w:rPr>
        <w:t>6</w:t>
      </w:r>
      <w:r w:rsidR="00AA120F" w:rsidRPr="00DA3BC7">
        <w:rPr>
          <w:rFonts w:ascii="Times New Roman" w:hAnsi="Times New Roman"/>
          <w:sz w:val="20"/>
          <w:szCs w:val="20"/>
        </w:rPr>
        <w:t>）</w:t>
      </w:r>
    </w:p>
    <w:p w:rsidR="00AA120F" w:rsidRPr="00DA3BC7" w:rsidRDefault="00AA120F" w:rsidP="002E5DD4">
      <w:pPr>
        <w:ind w:leftChars="50" w:left="120"/>
        <w:jc w:val="both"/>
        <w:rPr>
          <w:rFonts w:ascii="Times New Roman" w:eastAsia="SimSun" w:hAnsi="Times New Roman"/>
          <w:b/>
          <w:sz w:val="20"/>
          <w:szCs w:val="20"/>
          <w:bdr w:val="single" w:sz="4" w:space="0" w:color="auto"/>
        </w:rPr>
      </w:pPr>
      <w:r w:rsidRPr="00697809">
        <w:rPr>
          <w:rFonts w:ascii="Times New Roman" w:hAnsi="Times New Roman"/>
          <w:b/>
          <w:color w:val="FF0000"/>
          <w:sz w:val="20"/>
          <w:szCs w:val="20"/>
          <w:highlight w:val="yellow"/>
          <w:bdr w:val="single" w:sz="4" w:space="0" w:color="auto"/>
        </w:rPr>
        <w:t>（壹）</w:t>
      </w:r>
      <w:r w:rsidR="00697809" w:rsidRPr="00697809">
        <w:rPr>
          <w:rFonts w:ascii="Times New Roman" w:hAnsi="Times New Roman" w:hint="eastAsia"/>
          <w:b/>
          <w:color w:val="FF0000"/>
          <w:sz w:val="20"/>
          <w:szCs w:val="20"/>
          <w:highlight w:val="yellow"/>
          <w:bdr w:val="single" w:sz="4" w:space="0" w:color="auto"/>
        </w:rPr>
        <w:t>概明</w:t>
      </w:r>
      <w:r w:rsidRPr="00DA3BC7">
        <w:rPr>
          <w:rFonts w:ascii="Times New Roman" w:hAnsi="Times New Roman"/>
          <w:sz w:val="20"/>
          <w:szCs w:val="20"/>
        </w:rPr>
        <w:t>（</w:t>
      </w:r>
      <w:r w:rsidRPr="00DA3BC7">
        <w:rPr>
          <w:rFonts w:ascii="Times New Roman" w:hAnsi="Times New Roman"/>
          <w:sz w:val="20"/>
          <w:szCs w:val="20"/>
        </w:rPr>
        <w:t>p.12</w:t>
      </w:r>
      <w:r w:rsidRPr="00DA3BC7">
        <w:rPr>
          <w:rFonts w:ascii="Times New Roman" w:eastAsia="SimSun" w:hAnsi="Times New Roman"/>
          <w:sz w:val="20"/>
          <w:szCs w:val="20"/>
        </w:rPr>
        <w:t>3</w:t>
      </w:r>
      <w:r w:rsidRPr="00DA3BC7">
        <w:rPr>
          <w:rFonts w:ascii="Times New Roman" w:hAnsi="Times New Roman"/>
          <w:sz w:val="20"/>
          <w:szCs w:val="20"/>
        </w:rPr>
        <w:t>）</w:t>
      </w:r>
    </w:p>
    <w:p w:rsidR="00AA120F" w:rsidRPr="00DA3BC7" w:rsidRDefault="00AA120F" w:rsidP="002E5DD4">
      <w:pPr>
        <w:ind w:leftChars="50" w:left="120"/>
        <w:jc w:val="both"/>
        <w:rPr>
          <w:rFonts w:ascii="Times New Roman" w:eastAsia="SimSun" w:hAnsi="Times New Roman"/>
        </w:rPr>
      </w:pPr>
      <w:r w:rsidRPr="00DA3BC7">
        <w:rPr>
          <w:rFonts w:ascii="Times New Roman" w:hAnsi="Times New Roman"/>
        </w:rPr>
        <w:t>我們覺有時間的前後延續相，以當下的現在而見有前後，即此前後相而說為現在。由於諸法的息息流變，使人發見時間的三世觀。在此，更顯出緣起的深妙。</w:t>
      </w:r>
    </w:p>
    <w:p w:rsidR="00AA120F" w:rsidRPr="00DA3BC7" w:rsidRDefault="00AA120F" w:rsidP="002E5DD4">
      <w:pPr>
        <w:ind w:leftChars="50" w:left="120"/>
        <w:jc w:val="both"/>
        <w:rPr>
          <w:rFonts w:ascii="Times New Roman" w:hAnsi="Times New Roman"/>
        </w:rPr>
      </w:pPr>
      <w:r w:rsidRPr="00DA3BC7">
        <w:rPr>
          <w:rFonts w:ascii="Times New Roman" w:hAnsi="Times New Roman"/>
        </w:rPr>
        <w:t>凡世間的（存在）一切，都是幻現為前後相的；但同時，也可說世間一切，都是沒有前後相的。因為，如以前後的延續相為真實有自性，那麼前即應更有前的，前前復前前，永遠找不出一個元</w:t>
      </w:r>
      <w:r w:rsidRPr="00DA3BC7">
        <w:rPr>
          <w:rStyle w:val="a6"/>
          <w:rFonts w:ascii="Times New Roman" w:hAnsi="Times New Roman"/>
        </w:rPr>
        <w:footnoteReference w:id="565"/>
      </w:r>
      <w:r w:rsidRPr="00DA3BC7">
        <w:rPr>
          <w:rFonts w:ascii="Times New Roman" w:hAnsi="Times New Roman"/>
        </w:rPr>
        <w:t>始</w:t>
      </w:r>
      <w:r w:rsidRPr="00DA3BC7">
        <w:rPr>
          <w:rStyle w:val="a6"/>
          <w:rFonts w:ascii="Times New Roman" w:hAnsi="Times New Roman"/>
        </w:rPr>
        <w:footnoteReference w:id="566"/>
      </w:r>
      <w:r w:rsidRPr="00DA3BC7">
        <w:rPr>
          <w:rFonts w:ascii="Times New Roman" w:hAnsi="Times New Roman"/>
        </w:rPr>
        <w:t>的極限來！即使找出原始</w:t>
      </w:r>
      <w:r w:rsidRPr="00DA3BC7">
        <w:rPr>
          <w:rStyle w:val="a6"/>
          <w:rFonts w:ascii="Times New Roman" w:hAnsi="Times New Roman"/>
        </w:rPr>
        <w:footnoteReference w:id="567"/>
      </w:r>
      <w:r w:rsidRPr="00DA3BC7">
        <w:rPr>
          <w:rFonts w:ascii="Times New Roman" w:hAnsi="Times New Roman"/>
        </w:rPr>
        <w:t>的邊沿</w:t>
      </w:r>
      <w:r w:rsidRPr="00DA3BC7">
        <w:rPr>
          <w:rStyle w:val="a6"/>
          <w:rFonts w:ascii="Times New Roman" w:hAnsi="Times New Roman"/>
        </w:rPr>
        <w:footnoteReference w:id="568"/>
      </w:r>
      <w:r w:rsidRPr="00DA3BC7">
        <w:rPr>
          <w:rFonts w:ascii="Times New Roman" w:hAnsi="Times New Roman"/>
        </w:rPr>
        <w:t>，這原始的已不是時間相了！</w:t>
      </w:r>
    </w:p>
    <w:p w:rsidR="00AA120F" w:rsidRPr="00DA3BC7" w:rsidRDefault="00AA120F" w:rsidP="00AE3920">
      <w:pPr>
        <w:spacing w:beforeLines="20"/>
        <w:ind w:leftChars="50" w:left="120"/>
        <w:jc w:val="both"/>
        <w:rPr>
          <w:rFonts w:ascii="Times New Roman" w:hAnsi="Times New Roman"/>
        </w:rPr>
      </w:pPr>
      <w:r w:rsidRPr="00DA3BC7">
        <w:rPr>
          <w:rFonts w:ascii="Times New Roman" w:hAnsi="Times New Roman"/>
        </w:rPr>
        <w:t>時間必然現為前後相的，今既為原始而更沒有前相，那就不成為時間，也必不成其為存在了。</w:t>
      </w:r>
    </w:p>
    <w:p w:rsidR="00AA120F" w:rsidRPr="00DA3BC7" w:rsidRDefault="00AA120F" w:rsidP="00AE3920">
      <w:pPr>
        <w:spacing w:beforeLines="20"/>
        <w:ind w:leftChars="50" w:left="120"/>
        <w:jc w:val="both"/>
        <w:rPr>
          <w:rFonts w:ascii="Times New Roman" w:hAnsi="Times New Roman"/>
        </w:rPr>
      </w:pPr>
      <w:r w:rsidRPr="00DA3BC7">
        <w:rPr>
          <w:rFonts w:ascii="Times New Roman" w:hAnsi="Times New Roman"/>
        </w:rPr>
        <w:t>有前即是無前；照樣的，有後，結果是無後。因此，佛說眾生流轉生死以來，「</w:t>
      </w:r>
      <w:r w:rsidRPr="00DA3BC7">
        <w:rPr>
          <w:rFonts w:ascii="Times New Roman" w:eastAsia="標楷體" w:hAnsi="Times New Roman"/>
        </w:rPr>
        <w:t>本際不可得</w:t>
      </w:r>
      <w:r w:rsidRPr="00DA3BC7">
        <w:rPr>
          <w:rFonts w:ascii="Times New Roman" w:hAnsi="Times New Roman"/>
        </w:rPr>
        <w:t>」。</w:t>
      </w:r>
      <w:r w:rsidRPr="00DA3BC7">
        <w:rPr>
          <w:rStyle w:val="a6"/>
          <w:rFonts w:ascii="Times New Roman" w:hAnsi="Times New Roman"/>
        </w:rPr>
        <w:footnoteReference w:id="569"/>
      </w:r>
      <w:r w:rsidRPr="00DA3BC7">
        <w:rPr>
          <w:rFonts w:ascii="Times New Roman" w:hAnsi="Times New Roman"/>
        </w:rPr>
        <w:t>本際，即是原始的時間邊限，這邊限是不可得的。若說有此本際，即等於取消了時間。</w:t>
      </w:r>
    </w:p>
    <w:p w:rsidR="00AA120F" w:rsidRPr="00DA3BC7" w:rsidRDefault="00AA120F" w:rsidP="00AE3920">
      <w:pPr>
        <w:spacing w:beforeLines="30"/>
        <w:ind w:leftChars="50" w:left="120"/>
        <w:jc w:val="both"/>
        <w:rPr>
          <w:rFonts w:ascii="Times New Roman" w:hAnsi="Times New Roman"/>
          <w:sz w:val="20"/>
          <w:szCs w:val="20"/>
          <w:bdr w:val="single" w:sz="4" w:space="0" w:color="auto"/>
        </w:rPr>
      </w:pPr>
      <w:r w:rsidRPr="00644245">
        <w:rPr>
          <w:rFonts w:ascii="Times New Roman" w:hAnsi="Times New Roman"/>
          <w:b/>
          <w:color w:val="FF0000"/>
          <w:sz w:val="20"/>
          <w:szCs w:val="20"/>
          <w:highlight w:val="yellow"/>
          <w:bdr w:val="single" w:sz="4" w:space="0" w:color="auto"/>
        </w:rPr>
        <w:t>（貳）</w:t>
      </w:r>
      <w:r w:rsidR="00697809">
        <w:rPr>
          <w:rFonts w:ascii="Times New Roman" w:hAnsi="Times New Roman" w:hint="eastAsia"/>
          <w:b/>
          <w:color w:val="FF0000"/>
          <w:sz w:val="20"/>
          <w:szCs w:val="20"/>
          <w:highlight w:val="yellow"/>
          <w:bdr w:val="single" w:sz="4" w:space="0" w:color="auto"/>
        </w:rPr>
        <w:t>詳究</w:t>
      </w:r>
      <w:r w:rsidRPr="00DA3BC7">
        <w:rPr>
          <w:rFonts w:ascii="Times New Roman" w:hAnsi="Times New Roman"/>
          <w:sz w:val="20"/>
          <w:szCs w:val="20"/>
        </w:rPr>
        <w:t>（</w:t>
      </w:r>
      <w:r w:rsidRPr="00DA3BC7">
        <w:rPr>
          <w:rFonts w:ascii="Times New Roman" w:hAnsi="Times New Roman"/>
          <w:sz w:val="20"/>
          <w:szCs w:val="20"/>
        </w:rPr>
        <w:t>pp.12</w:t>
      </w:r>
      <w:r w:rsidRPr="00DA3BC7">
        <w:rPr>
          <w:rFonts w:ascii="Times New Roman" w:eastAsia="SimSun" w:hAnsi="Times New Roman"/>
          <w:sz w:val="20"/>
          <w:szCs w:val="20"/>
        </w:rPr>
        <w:t>3</w:t>
      </w:r>
      <w:r w:rsidRPr="00DA3BC7">
        <w:rPr>
          <w:rFonts w:ascii="Times New Roman" w:hAnsi="Times New Roman"/>
          <w:sz w:val="20"/>
          <w:szCs w:val="20"/>
        </w:rPr>
        <w:t>-12</w:t>
      </w:r>
      <w:r w:rsidR="00697809" w:rsidRPr="00697809">
        <w:rPr>
          <w:rFonts w:ascii="Times New Roman" w:eastAsiaTheme="minorEastAsia" w:hAnsi="Times New Roman" w:hint="eastAsia"/>
          <w:sz w:val="20"/>
          <w:szCs w:val="20"/>
        </w:rPr>
        <w:t>6</w:t>
      </w:r>
      <w:r w:rsidRPr="00DA3BC7">
        <w:rPr>
          <w:rFonts w:ascii="Times New Roman" w:hAnsi="Times New Roman"/>
          <w:sz w:val="20"/>
          <w:szCs w:val="20"/>
        </w:rPr>
        <w:t>）</w:t>
      </w:r>
    </w:p>
    <w:p w:rsidR="00AA120F" w:rsidRPr="00DA3BC7" w:rsidRDefault="00AA120F" w:rsidP="008E2BBC">
      <w:pPr>
        <w:ind w:leftChars="100" w:left="240"/>
        <w:jc w:val="both"/>
        <w:rPr>
          <w:rFonts w:ascii="Times New Roman" w:eastAsia="SimSun" w:hAnsi="Times New Roman"/>
          <w:b/>
          <w:sz w:val="20"/>
          <w:szCs w:val="20"/>
          <w:bdr w:val="single" w:sz="4" w:space="0" w:color="auto"/>
        </w:rPr>
      </w:pPr>
      <w:r w:rsidRPr="00697809">
        <w:rPr>
          <w:rFonts w:ascii="新細明體" w:hAnsi="新細明體"/>
          <w:b/>
          <w:color w:val="FF0000"/>
          <w:sz w:val="20"/>
          <w:szCs w:val="20"/>
          <w:highlight w:val="yellow"/>
          <w:bdr w:val="single" w:sz="4" w:space="0" w:color="auto"/>
        </w:rPr>
        <w:lastRenderedPageBreak/>
        <w:t>一、</w:t>
      </w:r>
      <w:r w:rsidR="00697809">
        <w:rPr>
          <w:rFonts w:ascii="新細明體" w:hAnsi="新細明體" w:hint="eastAsia"/>
          <w:b/>
          <w:color w:val="FF0000"/>
          <w:sz w:val="20"/>
          <w:szCs w:val="20"/>
          <w:highlight w:val="yellow"/>
          <w:bdr w:val="single" w:sz="4" w:space="0" w:color="auto"/>
        </w:rPr>
        <w:t>破異執</w:t>
      </w:r>
      <w:r w:rsidRPr="00DA3BC7">
        <w:rPr>
          <w:rFonts w:ascii="Times New Roman" w:hAnsi="Times New Roman"/>
          <w:sz w:val="20"/>
          <w:szCs w:val="20"/>
        </w:rPr>
        <w:t>（</w:t>
      </w:r>
      <w:r w:rsidRPr="00DA3BC7">
        <w:rPr>
          <w:rFonts w:ascii="Times New Roman" w:hAnsi="Times New Roman"/>
          <w:sz w:val="20"/>
          <w:szCs w:val="20"/>
        </w:rPr>
        <w:t>pp.12</w:t>
      </w:r>
      <w:r w:rsidRPr="00DA3BC7">
        <w:rPr>
          <w:rFonts w:ascii="Times New Roman" w:eastAsia="SimSun" w:hAnsi="Times New Roman"/>
          <w:sz w:val="20"/>
          <w:szCs w:val="20"/>
        </w:rPr>
        <w:t>3</w:t>
      </w:r>
      <w:r w:rsidRPr="00DA3BC7">
        <w:rPr>
          <w:rFonts w:ascii="Times New Roman" w:hAnsi="Times New Roman"/>
          <w:sz w:val="20"/>
          <w:szCs w:val="20"/>
        </w:rPr>
        <w:t>-12</w:t>
      </w:r>
      <w:r w:rsidR="00697809" w:rsidRPr="00697809">
        <w:rPr>
          <w:rFonts w:ascii="Times New Roman" w:eastAsiaTheme="minorEastAsia" w:hAnsi="Times New Roman" w:hint="eastAsia"/>
          <w:sz w:val="20"/>
          <w:szCs w:val="20"/>
        </w:rPr>
        <w:t>5</w:t>
      </w:r>
      <w:r w:rsidRPr="00DA3BC7">
        <w:rPr>
          <w:rFonts w:ascii="Times New Roman" w:hAnsi="Times New Roman"/>
          <w:sz w:val="20"/>
          <w:szCs w:val="20"/>
        </w:rPr>
        <w:t>）</w:t>
      </w:r>
    </w:p>
    <w:p w:rsidR="00697809" w:rsidRDefault="00697809" w:rsidP="002E5DD4">
      <w:pPr>
        <w:ind w:leftChars="150" w:left="360"/>
        <w:jc w:val="both"/>
        <w:rPr>
          <w:rFonts w:ascii="Times New Roman" w:hAnsi="Times New Roman"/>
          <w:sz w:val="20"/>
          <w:szCs w:val="20"/>
        </w:rPr>
      </w:pPr>
      <w:r w:rsidRPr="00697809">
        <w:rPr>
          <w:rFonts w:ascii="Times New Roman" w:hAnsi="Times New Roman"/>
          <w:b/>
          <w:color w:val="FF0000"/>
          <w:sz w:val="20"/>
          <w:szCs w:val="20"/>
          <w:highlight w:val="yellow"/>
          <w:bdr w:val="single" w:sz="4" w:space="0" w:color="auto"/>
        </w:rPr>
        <w:t>（</w:t>
      </w:r>
      <w:r w:rsidRPr="00697809">
        <w:rPr>
          <w:rFonts w:ascii="新細明體" w:hAnsi="新細明體"/>
          <w:b/>
          <w:color w:val="FF0000"/>
          <w:sz w:val="20"/>
          <w:szCs w:val="20"/>
          <w:highlight w:val="yellow"/>
          <w:bdr w:val="single" w:sz="4" w:space="0" w:color="auto"/>
        </w:rPr>
        <w:t>一</w:t>
      </w:r>
      <w:r w:rsidRPr="00697809">
        <w:rPr>
          <w:rFonts w:ascii="Times New Roman" w:hAnsi="Times New Roman"/>
          <w:b/>
          <w:color w:val="FF0000"/>
          <w:sz w:val="20"/>
          <w:szCs w:val="20"/>
          <w:highlight w:val="yellow"/>
          <w:bdr w:val="single" w:sz="4" w:space="0" w:color="auto"/>
        </w:rPr>
        <w:t>）</w:t>
      </w:r>
      <w:r>
        <w:rPr>
          <w:rFonts w:ascii="新細明體" w:hAnsi="新細明體" w:hint="eastAsia"/>
          <w:b/>
          <w:color w:val="FF0000"/>
          <w:sz w:val="20"/>
          <w:szCs w:val="20"/>
          <w:highlight w:val="yellow"/>
          <w:bdr w:val="single" w:sz="4" w:space="0" w:color="auto"/>
        </w:rPr>
        <w:t>述外學之見</w:t>
      </w:r>
      <w:r w:rsidRPr="00DA3BC7">
        <w:rPr>
          <w:rFonts w:ascii="Times New Roman" w:hAnsi="Times New Roman"/>
          <w:sz w:val="20"/>
          <w:szCs w:val="20"/>
        </w:rPr>
        <w:t>（</w:t>
      </w:r>
      <w:r w:rsidRPr="00DA3BC7">
        <w:rPr>
          <w:rFonts w:ascii="Times New Roman" w:hAnsi="Times New Roman"/>
          <w:sz w:val="20"/>
          <w:szCs w:val="20"/>
        </w:rPr>
        <w:t>pp.12</w:t>
      </w:r>
      <w:r w:rsidRPr="00DA3BC7">
        <w:rPr>
          <w:rFonts w:ascii="Times New Roman" w:eastAsia="SimSun" w:hAnsi="Times New Roman"/>
          <w:sz w:val="20"/>
          <w:szCs w:val="20"/>
        </w:rPr>
        <w:t>3</w:t>
      </w:r>
      <w:r w:rsidRPr="00DA3BC7">
        <w:rPr>
          <w:rFonts w:ascii="Times New Roman" w:hAnsi="Times New Roman"/>
          <w:sz w:val="20"/>
          <w:szCs w:val="20"/>
        </w:rPr>
        <w:t>-12</w:t>
      </w:r>
      <w:r w:rsidRPr="00DA3BC7">
        <w:rPr>
          <w:rFonts w:ascii="Times New Roman" w:eastAsia="SimSun" w:hAnsi="Times New Roman"/>
          <w:sz w:val="20"/>
          <w:szCs w:val="20"/>
        </w:rPr>
        <w:t>4</w:t>
      </w:r>
      <w:r w:rsidRPr="00DA3BC7">
        <w:rPr>
          <w:rFonts w:ascii="Times New Roman" w:hAnsi="Times New Roman"/>
          <w:sz w:val="20"/>
          <w:szCs w:val="20"/>
        </w:rPr>
        <w:t>）</w:t>
      </w:r>
    </w:p>
    <w:p w:rsidR="00697809" w:rsidRPr="00DA3BC7" w:rsidRDefault="00697809" w:rsidP="002E5DD4">
      <w:pPr>
        <w:ind w:leftChars="200" w:left="480"/>
        <w:jc w:val="both"/>
        <w:rPr>
          <w:rFonts w:ascii="Times New Roman" w:eastAsia="SimSun" w:hAnsi="Times New Roman"/>
          <w:b/>
          <w:sz w:val="20"/>
          <w:szCs w:val="20"/>
          <w:bdr w:val="single" w:sz="4" w:space="0" w:color="auto"/>
        </w:rPr>
      </w:pPr>
      <w:r w:rsidRPr="00697809">
        <w:rPr>
          <w:rFonts w:ascii="Times New Roman" w:hAnsi="Times New Roman" w:hint="eastAsia"/>
          <w:b/>
          <w:color w:val="FF0000"/>
          <w:sz w:val="20"/>
          <w:szCs w:val="20"/>
          <w:highlight w:val="yellow"/>
          <w:bdr w:val="single" w:sz="4" w:space="0" w:color="auto"/>
        </w:rPr>
        <w:t>1</w:t>
      </w:r>
      <w:r w:rsidRPr="00697809">
        <w:rPr>
          <w:rFonts w:ascii="新細明體" w:hAnsi="新細明體"/>
          <w:b/>
          <w:color w:val="FF0000"/>
          <w:sz w:val="20"/>
          <w:szCs w:val="20"/>
          <w:highlight w:val="yellow"/>
          <w:bdr w:val="single" w:sz="4" w:space="0" w:color="auto"/>
        </w:rPr>
        <w:t>、</w:t>
      </w:r>
      <w:r>
        <w:rPr>
          <w:rFonts w:ascii="新細明體" w:hAnsi="新細明體" w:hint="eastAsia"/>
          <w:b/>
          <w:color w:val="FF0000"/>
          <w:sz w:val="20"/>
          <w:szCs w:val="20"/>
          <w:highlight w:val="yellow"/>
          <w:bdr w:val="single" w:sz="4" w:space="0" w:color="auto"/>
        </w:rPr>
        <w:t>神論者之說</w:t>
      </w:r>
      <w:r w:rsidRPr="00DA3BC7">
        <w:rPr>
          <w:rFonts w:ascii="Times New Roman" w:hAnsi="Times New Roman"/>
          <w:sz w:val="20"/>
          <w:szCs w:val="20"/>
        </w:rPr>
        <w:t>（</w:t>
      </w:r>
      <w:r w:rsidRPr="00DA3BC7">
        <w:rPr>
          <w:rFonts w:ascii="Times New Roman" w:hAnsi="Times New Roman"/>
          <w:sz w:val="20"/>
          <w:szCs w:val="20"/>
        </w:rPr>
        <w:t>pp.12</w:t>
      </w:r>
      <w:r w:rsidRPr="00DA3BC7">
        <w:rPr>
          <w:rFonts w:ascii="Times New Roman" w:eastAsia="SimSun" w:hAnsi="Times New Roman"/>
          <w:sz w:val="20"/>
          <w:szCs w:val="20"/>
        </w:rPr>
        <w:t>3</w:t>
      </w:r>
      <w:r w:rsidRPr="00DA3BC7">
        <w:rPr>
          <w:rFonts w:ascii="Times New Roman" w:hAnsi="Times New Roman"/>
          <w:sz w:val="20"/>
          <w:szCs w:val="20"/>
        </w:rPr>
        <w:t>-12</w:t>
      </w:r>
      <w:r w:rsidRPr="00DA3BC7">
        <w:rPr>
          <w:rFonts w:ascii="Times New Roman" w:eastAsia="SimSun" w:hAnsi="Times New Roman"/>
          <w:sz w:val="20"/>
          <w:szCs w:val="20"/>
        </w:rPr>
        <w:t>4</w:t>
      </w:r>
      <w:r w:rsidRPr="00DA3BC7">
        <w:rPr>
          <w:rFonts w:ascii="Times New Roman" w:hAnsi="Times New Roman"/>
          <w:sz w:val="20"/>
          <w:szCs w:val="20"/>
        </w:rPr>
        <w:t>）</w:t>
      </w:r>
    </w:p>
    <w:p w:rsidR="00AA120F" w:rsidRPr="00DA3BC7" w:rsidRDefault="00AA120F" w:rsidP="002E5DD4">
      <w:pPr>
        <w:ind w:leftChars="200" w:left="480"/>
        <w:jc w:val="both"/>
        <w:rPr>
          <w:rFonts w:ascii="Times New Roman" w:hAnsi="Times New Roman"/>
        </w:rPr>
      </w:pPr>
      <w:r w:rsidRPr="00DA3BC7">
        <w:rPr>
          <w:rFonts w:ascii="Times New Roman" w:hAnsi="Times New Roman"/>
        </w:rPr>
        <w:t>一般宗教、哲學者，在此即感到困難，於是推想為上帝創造萬物，以為有上帝為一切法的生起因，困難就沒有了。</w:t>
      </w:r>
    </w:p>
    <w:p w:rsidR="00AA120F" w:rsidRPr="00DA3BC7" w:rsidRDefault="00AA120F" w:rsidP="00AE3920">
      <w:pPr>
        <w:spacing w:beforeLines="20"/>
        <w:ind w:leftChars="200" w:left="480"/>
        <w:jc w:val="both"/>
        <w:rPr>
          <w:rFonts w:ascii="Times New Roman" w:eastAsia="SimSun" w:hAnsi="Times New Roman"/>
        </w:rPr>
      </w:pPr>
      <w:r w:rsidRPr="00DA3BC7">
        <w:rPr>
          <w:rFonts w:ascii="Times New Roman" w:hAnsi="Times New Roman"/>
        </w:rPr>
        <w:t>但推求到上帝，上帝就成了無始無終的！說上帝創造一切，而上帝則不由他造。</w:t>
      </w:r>
    </w:p>
    <w:p w:rsidR="00AA120F" w:rsidRPr="00DA3BC7" w:rsidRDefault="00697809" w:rsidP="00AE3920">
      <w:pPr>
        <w:spacing w:beforeLines="30"/>
        <w:ind w:leftChars="200" w:left="480"/>
        <w:jc w:val="both"/>
        <w:rPr>
          <w:rFonts w:ascii="Times New Roman" w:eastAsia="SimSun" w:hAnsi="Times New Roman"/>
          <w:b/>
          <w:sz w:val="20"/>
          <w:szCs w:val="20"/>
          <w:bdr w:val="single" w:sz="4" w:space="0" w:color="auto"/>
        </w:rPr>
      </w:pPr>
      <w:r w:rsidRPr="00697809">
        <w:rPr>
          <w:rFonts w:ascii="Times New Roman" w:hAnsi="Times New Roman" w:hint="eastAsia"/>
          <w:b/>
          <w:color w:val="FF0000"/>
          <w:sz w:val="20"/>
          <w:szCs w:val="20"/>
          <w:highlight w:val="yellow"/>
          <w:bdr w:val="single" w:sz="4" w:space="0" w:color="auto"/>
        </w:rPr>
        <w:t>2</w:t>
      </w:r>
      <w:r w:rsidR="00AA120F" w:rsidRPr="00697809">
        <w:rPr>
          <w:rFonts w:ascii="Times New Roman" w:hAnsi="Times New Roman"/>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印度數論師</w:t>
      </w:r>
      <w:r w:rsidRPr="00697809">
        <w:rPr>
          <w:rFonts w:ascii="Times New Roman" w:hAnsi="Times New Roman" w:hint="eastAsia"/>
          <w:b/>
          <w:color w:val="FF0000"/>
          <w:sz w:val="20"/>
          <w:szCs w:val="20"/>
          <w:highlight w:val="yellow"/>
          <w:bdr w:val="single" w:sz="4" w:space="0" w:color="auto"/>
        </w:rPr>
        <w:t>及中國</w:t>
      </w:r>
      <w:r w:rsidRPr="00697809">
        <w:rPr>
          <w:rFonts w:ascii="Times New Roman" w:hAnsi="Times New Roman"/>
          <w:b/>
          <w:color w:val="FF0000"/>
          <w:sz w:val="20"/>
          <w:szCs w:val="20"/>
          <w:highlight w:val="yellow"/>
          <w:bdr w:val="single" w:sz="4" w:space="0" w:color="auto"/>
        </w:rPr>
        <w:t>老子</w:t>
      </w:r>
      <w:r>
        <w:rPr>
          <w:rFonts w:ascii="Times New Roman" w:hAnsi="Times New Roman" w:hint="eastAsia"/>
          <w:b/>
          <w:color w:val="FF0000"/>
          <w:sz w:val="20"/>
          <w:szCs w:val="20"/>
          <w:highlight w:val="yellow"/>
          <w:bdr w:val="single" w:sz="4" w:space="0" w:color="auto"/>
        </w:rPr>
        <w:t>之說</w:t>
      </w:r>
      <w:r w:rsidR="00AA120F" w:rsidRPr="00DA3BC7">
        <w:rPr>
          <w:rFonts w:ascii="Times New Roman" w:hAnsi="Times New Roman"/>
          <w:sz w:val="20"/>
          <w:szCs w:val="20"/>
        </w:rPr>
        <w:t>（</w:t>
      </w:r>
      <w:r w:rsidR="00AA120F" w:rsidRPr="00DA3BC7">
        <w:rPr>
          <w:rFonts w:ascii="Times New Roman" w:hAnsi="Times New Roman"/>
          <w:sz w:val="20"/>
          <w:szCs w:val="20"/>
        </w:rPr>
        <w:t>p.12</w:t>
      </w:r>
      <w:r w:rsidR="00AA120F" w:rsidRPr="00DA3BC7">
        <w:rPr>
          <w:rFonts w:ascii="Times New Roman" w:hAnsi="Times New Roman" w:hint="eastAsia"/>
          <w:sz w:val="20"/>
          <w:szCs w:val="20"/>
        </w:rPr>
        <w:t>4</w:t>
      </w:r>
      <w:r w:rsidR="00AA120F" w:rsidRPr="00DA3BC7">
        <w:rPr>
          <w:rFonts w:ascii="Times New Roman" w:hAnsi="Times New Roman"/>
          <w:sz w:val="20"/>
          <w:szCs w:val="20"/>
        </w:rPr>
        <w:t>）</w:t>
      </w:r>
    </w:p>
    <w:p w:rsidR="00AA120F" w:rsidRPr="00DA3BC7" w:rsidRDefault="00AA120F" w:rsidP="002E5DD4">
      <w:pPr>
        <w:ind w:leftChars="200" w:left="480"/>
        <w:jc w:val="both"/>
        <w:rPr>
          <w:rFonts w:ascii="Times New Roman" w:eastAsia="SimSun" w:hAnsi="Times New Roman"/>
        </w:rPr>
      </w:pPr>
      <w:r w:rsidRPr="00DA3BC7">
        <w:rPr>
          <w:rFonts w:ascii="Times New Roman" w:hAnsi="Times New Roman"/>
        </w:rPr>
        <w:t>印度數論師的自性，又名冥性</w:t>
      </w:r>
      <w:r w:rsidRPr="00DA3BC7">
        <w:rPr>
          <w:rStyle w:val="a6"/>
          <w:rFonts w:ascii="Times New Roman" w:hAnsi="Times New Roman"/>
        </w:rPr>
        <w:footnoteReference w:id="570"/>
      </w:r>
      <w:r w:rsidRPr="00DA3BC7">
        <w:rPr>
          <w:rFonts w:ascii="Times New Roman" w:hAnsi="Times New Roman"/>
        </w:rPr>
        <w:t>，即推求萬有的本源性質，以為杳杳</w:t>
      </w:r>
      <w:r w:rsidRPr="00DA3BC7">
        <w:rPr>
          <w:rStyle w:val="a6"/>
          <w:rFonts w:ascii="Times New Roman" w:hAnsi="Times New Roman"/>
        </w:rPr>
        <w:footnoteReference w:id="571"/>
      </w:r>
      <w:r w:rsidRPr="00DA3BC7">
        <w:rPr>
          <w:rFonts w:ascii="Times New Roman" w:hAnsi="Times New Roman"/>
        </w:rPr>
        <w:t>冥冥</w:t>
      </w:r>
      <w:r w:rsidRPr="00DA3BC7">
        <w:rPr>
          <w:rStyle w:val="a6"/>
          <w:rFonts w:ascii="Times New Roman" w:hAnsi="Times New Roman"/>
        </w:rPr>
        <w:footnoteReference w:id="572"/>
      </w:r>
      <w:r w:rsidRPr="00DA3BC7">
        <w:rPr>
          <w:rFonts w:ascii="Times New Roman" w:hAnsi="Times New Roman"/>
        </w:rPr>
        <w:t>不可形狀</w:t>
      </w:r>
      <w:r w:rsidRPr="00DA3BC7">
        <w:rPr>
          <w:rStyle w:val="a6"/>
          <w:rFonts w:ascii="Times New Roman" w:hAnsi="Times New Roman"/>
        </w:rPr>
        <w:footnoteReference w:id="573"/>
      </w:r>
      <w:r w:rsidRPr="00DA3BC7">
        <w:rPr>
          <w:rFonts w:ascii="Times New Roman" w:hAnsi="Times New Roman"/>
        </w:rPr>
        <w:t>，有此勝性，由此冥性而開展為一切。</w:t>
      </w:r>
    </w:p>
    <w:p w:rsidR="00AA120F" w:rsidRPr="00DA3BC7" w:rsidRDefault="00AA120F" w:rsidP="002E5DD4">
      <w:pPr>
        <w:tabs>
          <w:tab w:val="left" w:pos="426"/>
        </w:tabs>
        <w:ind w:leftChars="200" w:left="480"/>
        <w:jc w:val="both"/>
        <w:rPr>
          <w:rFonts w:ascii="Times New Roman" w:hAnsi="Times New Roman"/>
        </w:rPr>
      </w:pPr>
      <w:r w:rsidRPr="00DA3BC7">
        <w:rPr>
          <w:rFonts w:ascii="Times New Roman" w:hAnsi="Times New Roman"/>
        </w:rPr>
        <w:t>老子的「</w:t>
      </w:r>
      <w:r w:rsidRPr="00DA3BC7">
        <w:rPr>
          <w:rFonts w:ascii="Times New Roman" w:eastAsia="標楷體" w:hAnsi="Times New Roman"/>
        </w:rPr>
        <w:t>杳杳冥冥，其中有精</w:t>
      </w:r>
      <w:r w:rsidRPr="00DA3BC7">
        <w:rPr>
          <w:rStyle w:val="a6"/>
          <w:rFonts w:ascii="Times New Roman" w:hAnsi="Times New Roman"/>
        </w:rPr>
        <w:footnoteReference w:id="574"/>
      </w:r>
      <w:r w:rsidRPr="00DA3BC7">
        <w:rPr>
          <w:rFonts w:ascii="Times New Roman" w:eastAsia="標楷體" w:hAnsi="Times New Roman"/>
        </w:rPr>
        <w:t>；恍恍惚惚</w:t>
      </w:r>
      <w:r w:rsidRPr="00DA3BC7">
        <w:rPr>
          <w:rStyle w:val="a6"/>
          <w:rFonts w:ascii="Times New Roman" w:hAnsi="Times New Roman"/>
        </w:rPr>
        <w:footnoteReference w:id="575"/>
      </w:r>
      <w:r w:rsidRPr="00DA3BC7">
        <w:rPr>
          <w:rFonts w:ascii="Times New Roman" w:eastAsia="標楷體" w:hAnsi="Times New Roman"/>
        </w:rPr>
        <w:t>，其中有物</w:t>
      </w:r>
      <w:r w:rsidRPr="00DA3BC7">
        <w:rPr>
          <w:rFonts w:ascii="Times New Roman" w:hAnsi="Times New Roman"/>
        </w:rPr>
        <w:t>」，</w:t>
      </w:r>
      <w:r w:rsidRPr="00DA3BC7">
        <w:rPr>
          <w:rStyle w:val="a6"/>
          <w:rFonts w:ascii="Times New Roman" w:hAnsi="Times New Roman"/>
        </w:rPr>
        <w:footnoteReference w:id="576"/>
      </w:r>
      <w:r w:rsidRPr="00DA3BC7">
        <w:rPr>
          <w:rFonts w:ascii="Times New Roman" w:hAnsi="Times New Roman"/>
        </w:rPr>
        <w:t>亦由此意見</w:t>
      </w:r>
      <w:r w:rsidRPr="00DA3BC7">
        <w:rPr>
          <w:rFonts w:ascii="Times New Roman" w:hAnsi="Times New Roman"/>
        </w:rPr>
        <w:lastRenderedPageBreak/>
        <w:t>而來。</w:t>
      </w:r>
      <w:r w:rsidRPr="00DA3BC7">
        <w:rPr>
          <w:rStyle w:val="a6"/>
          <w:rFonts w:ascii="Times New Roman" w:hAnsi="Times New Roman"/>
        </w:rPr>
        <w:footnoteReference w:id="577"/>
      </w:r>
    </w:p>
    <w:p w:rsidR="00AA120F" w:rsidRPr="00DA3BC7" w:rsidRDefault="00697809" w:rsidP="00AE3920">
      <w:pPr>
        <w:spacing w:beforeLines="30"/>
        <w:ind w:leftChars="200" w:left="480"/>
        <w:jc w:val="both"/>
        <w:rPr>
          <w:rFonts w:ascii="Times New Roman" w:eastAsia="SimSun" w:hAnsi="Times New Roman"/>
          <w:b/>
          <w:sz w:val="20"/>
          <w:szCs w:val="20"/>
          <w:bdr w:val="single" w:sz="4" w:space="0" w:color="auto"/>
        </w:rPr>
      </w:pPr>
      <w:r w:rsidRPr="00697809">
        <w:rPr>
          <w:rFonts w:ascii="Times New Roman" w:hAnsi="Times New Roman" w:hint="eastAsia"/>
          <w:b/>
          <w:color w:val="FF0000"/>
          <w:sz w:val="20"/>
          <w:szCs w:val="20"/>
          <w:highlight w:val="yellow"/>
          <w:bdr w:val="single" w:sz="4" w:space="0" w:color="auto"/>
        </w:rPr>
        <w:t>3</w:t>
      </w:r>
      <w:r w:rsidR="00AA120F" w:rsidRPr="00697809">
        <w:rPr>
          <w:rFonts w:ascii="Times New Roman" w:hAnsi="Times New Roman"/>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近代的學者</w:t>
      </w:r>
      <w:r w:rsidRPr="00697809">
        <w:rPr>
          <w:rFonts w:ascii="Times New Roman" w:hAnsi="Times New Roman" w:hint="eastAsia"/>
          <w:b/>
          <w:color w:val="FF0000"/>
          <w:sz w:val="20"/>
          <w:szCs w:val="20"/>
          <w:highlight w:val="yellow"/>
          <w:bdr w:val="single" w:sz="4" w:space="0" w:color="auto"/>
        </w:rPr>
        <w:t>的</w:t>
      </w:r>
      <w:r w:rsidR="00AA120F" w:rsidRPr="00DA3BC7">
        <w:rPr>
          <w:rFonts w:ascii="Times New Roman" w:hAnsi="Times New Roman"/>
          <w:b/>
          <w:sz w:val="20"/>
          <w:szCs w:val="20"/>
          <w:bdr w:val="single" w:sz="4" w:space="0" w:color="auto"/>
        </w:rPr>
        <w:t>主</w:t>
      </w:r>
      <w:r w:rsidR="00AA120F" w:rsidRPr="00697809">
        <w:rPr>
          <w:rFonts w:ascii="Times New Roman" w:hAnsi="Times New Roman"/>
          <w:b/>
          <w:sz w:val="20"/>
          <w:szCs w:val="20"/>
          <w:highlight w:val="yellow"/>
          <w:bdr w:val="single" w:sz="4" w:space="0" w:color="auto"/>
        </w:rPr>
        <w:t>張</w:t>
      </w:r>
      <w:r w:rsidR="00AA120F" w:rsidRPr="00DA3BC7">
        <w:rPr>
          <w:rFonts w:ascii="Times New Roman" w:hAnsi="Times New Roman"/>
          <w:sz w:val="20"/>
          <w:szCs w:val="20"/>
        </w:rPr>
        <w:t>（</w:t>
      </w:r>
      <w:r w:rsidR="00AA120F" w:rsidRPr="00DA3BC7">
        <w:rPr>
          <w:rFonts w:ascii="Times New Roman" w:hAnsi="Times New Roman"/>
          <w:sz w:val="20"/>
          <w:szCs w:val="20"/>
        </w:rPr>
        <w:t>p.12</w:t>
      </w:r>
      <w:r w:rsidR="00AA120F" w:rsidRPr="00DA3BC7">
        <w:rPr>
          <w:rFonts w:ascii="Times New Roman" w:hAnsi="Times New Roman" w:hint="eastAsia"/>
          <w:sz w:val="20"/>
          <w:szCs w:val="20"/>
        </w:rPr>
        <w:t>4</w:t>
      </w:r>
      <w:r w:rsidR="00AA120F" w:rsidRPr="00DA3BC7">
        <w:rPr>
          <w:rFonts w:ascii="Times New Roman" w:hAnsi="Times New Roman"/>
          <w:sz w:val="20"/>
          <w:szCs w:val="20"/>
        </w:rPr>
        <w:t>）</w:t>
      </w:r>
    </w:p>
    <w:p w:rsidR="00AA120F" w:rsidRPr="00DA3BC7" w:rsidRDefault="00AA120F" w:rsidP="002E5DD4">
      <w:pPr>
        <w:ind w:leftChars="200" w:left="480"/>
        <w:jc w:val="both"/>
        <w:rPr>
          <w:rFonts w:ascii="Times New Roman" w:eastAsia="SimSun" w:hAnsi="Times New Roman"/>
          <w:bdr w:val="single" w:sz="4" w:space="0" w:color="auto"/>
        </w:rPr>
      </w:pPr>
      <w:r w:rsidRPr="00DA3BC7">
        <w:rPr>
          <w:rFonts w:ascii="Times New Roman" w:hAnsi="Times New Roman"/>
        </w:rPr>
        <w:t>又如近代的學者，說一切進化而來。如照著由前前進化而來，而推溯</w:t>
      </w:r>
      <w:r w:rsidRPr="00DA3BC7">
        <w:rPr>
          <w:rStyle w:val="a6"/>
          <w:rFonts w:ascii="Times New Roman" w:hAnsi="Times New Roman"/>
        </w:rPr>
        <w:footnoteReference w:id="578"/>
      </w:r>
      <w:r w:rsidRPr="00DA3BC7">
        <w:rPr>
          <w:rFonts w:ascii="Times New Roman" w:hAnsi="Times New Roman"/>
        </w:rPr>
        <w:t>到原始物質從何而來，即不能答覆。好在站在科學的立場，無須答覆。</w:t>
      </w:r>
    </w:p>
    <w:p w:rsidR="00697809" w:rsidRDefault="00AA120F" w:rsidP="00AE3920">
      <w:pPr>
        <w:spacing w:beforeLines="30"/>
        <w:ind w:leftChars="150" w:left="360"/>
        <w:jc w:val="both"/>
        <w:rPr>
          <w:rFonts w:ascii="Times New Roman" w:hAnsi="Times New Roman"/>
          <w:b/>
          <w:color w:val="FF0000"/>
          <w:sz w:val="20"/>
          <w:szCs w:val="20"/>
          <w:bdr w:val="single" w:sz="4" w:space="0" w:color="auto"/>
        </w:rPr>
      </w:pPr>
      <w:r w:rsidRPr="00697809">
        <w:rPr>
          <w:rFonts w:ascii="Times New Roman" w:hAnsi="Times New Roman"/>
          <w:b/>
          <w:color w:val="FF0000"/>
          <w:sz w:val="20"/>
          <w:szCs w:val="20"/>
          <w:highlight w:val="yellow"/>
          <w:bdr w:val="single" w:sz="4" w:space="0" w:color="auto"/>
        </w:rPr>
        <w:t>（</w:t>
      </w:r>
      <w:r w:rsidR="00697809" w:rsidRPr="00697809">
        <w:rPr>
          <w:rFonts w:ascii="Times New Roman" w:hAnsi="Times New Roman" w:hint="eastAsia"/>
          <w:b/>
          <w:color w:val="FF0000"/>
          <w:sz w:val="20"/>
          <w:szCs w:val="20"/>
          <w:highlight w:val="yellow"/>
          <w:bdr w:val="single" w:sz="4" w:space="0" w:color="auto"/>
        </w:rPr>
        <w:t>二</w:t>
      </w:r>
      <w:r w:rsidRPr="00697809">
        <w:rPr>
          <w:rFonts w:ascii="Times New Roman" w:hAnsi="Times New Roman"/>
          <w:b/>
          <w:color w:val="FF0000"/>
          <w:sz w:val="20"/>
          <w:szCs w:val="20"/>
          <w:highlight w:val="yellow"/>
          <w:bdr w:val="single" w:sz="4" w:space="0" w:color="auto"/>
        </w:rPr>
        <w:t>）</w:t>
      </w:r>
      <w:r w:rsidR="00697809">
        <w:rPr>
          <w:rFonts w:ascii="Times New Roman" w:hAnsi="Times New Roman" w:hint="eastAsia"/>
          <w:b/>
          <w:color w:val="FF0000"/>
          <w:sz w:val="20"/>
          <w:szCs w:val="20"/>
          <w:highlight w:val="yellow"/>
          <w:bdr w:val="single" w:sz="4" w:space="0" w:color="auto"/>
        </w:rPr>
        <w:t>顯「執性之過」</w:t>
      </w:r>
      <w:r w:rsidR="00697809" w:rsidRPr="00DA3BC7">
        <w:rPr>
          <w:rFonts w:ascii="Times New Roman" w:hAnsi="Times New Roman"/>
          <w:sz w:val="20"/>
          <w:szCs w:val="20"/>
        </w:rPr>
        <w:t>（</w:t>
      </w:r>
      <w:r w:rsidR="00697809" w:rsidRPr="00DA3BC7">
        <w:rPr>
          <w:rFonts w:ascii="Times New Roman" w:hAnsi="Times New Roman"/>
          <w:sz w:val="20"/>
          <w:szCs w:val="20"/>
        </w:rPr>
        <w:t>pp.12</w:t>
      </w:r>
      <w:r w:rsidR="00697809" w:rsidRPr="00DA3BC7">
        <w:rPr>
          <w:rFonts w:ascii="Times New Roman" w:eastAsia="SimSun" w:hAnsi="Times New Roman"/>
          <w:sz w:val="20"/>
          <w:szCs w:val="20"/>
        </w:rPr>
        <w:t>4</w:t>
      </w:r>
      <w:r w:rsidR="00697809" w:rsidRPr="00697809">
        <w:rPr>
          <w:rFonts w:ascii="Times New Roman" w:eastAsiaTheme="minorEastAsia" w:hAnsi="Times New Roman" w:hint="eastAsia"/>
          <w:sz w:val="20"/>
          <w:szCs w:val="20"/>
        </w:rPr>
        <w:t>-125</w:t>
      </w:r>
      <w:r w:rsidR="00697809" w:rsidRPr="00DA3BC7">
        <w:rPr>
          <w:rFonts w:ascii="Times New Roman" w:hAnsi="Times New Roman"/>
          <w:sz w:val="20"/>
          <w:szCs w:val="20"/>
        </w:rPr>
        <w:t>）</w:t>
      </w:r>
    </w:p>
    <w:p w:rsidR="00AA120F" w:rsidRPr="00DA3BC7" w:rsidRDefault="00697809" w:rsidP="002E5DD4">
      <w:pPr>
        <w:ind w:leftChars="200" w:left="480"/>
        <w:jc w:val="both"/>
        <w:rPr>
          <w:rFonts w:ascii="Times New Roman" w:eastAsia="SimSun" w:hAnsi="Times New Roman"/>
          <w:sz w:val="20"/>
          <w:szCs w:val="20"/>
          <w:bdr w:val="single" w:sz="4" w:space="0" w:color="auto"/>
        </w:rPr>
      </w:pPr>
      <w:r>
        <w:rPr>
          <w:rFonts w:ascii="Times New Roman" w:hAnsi="Times New Roman" w:hint="eastAsia"/>
          <w:b/>
          <w:color w:val="FF0000"/>
          <w:sz w:val="20"/>
          <w:szCs w:val="20"/>
          <w:highlight w:val="yellow"/>
          <w:bdr w:val="single" w:sz="4" w:space="0" w:color="auto"/>
        </w:rPr>
        <w:t>1</w:t>
      </w:r>
      <w:r>
        <w:rPr>
          <w:rFonts w:ascii="Times New Roman" w:hAnsi="Times New Roman" w:hint="eastAsia"/>
          <w:b/>
          <w:color w:val="FF0000"/>
          <w:sz w:val="20"/>
          <w:szCs w:val="20"/>
          <w:highlight w:val="yellow"/>
          <w:bdr w:val="single" w:sz="4" w:space="0" w:color="auto"/>
        </w:rPr>
        <w:t>、總明</w:t>
      </w:r>
      <w:r w:rsidR="00644245">
        <w:rPr>
          <w:rFonts w:ascii="Times New Roman" w:hAnsi="Times New Roman" w:hint="eastAsia"/>
          <w:b/>
          <w:color w:val="FF0000"/>
          <w:sz w:val="20"/>
          <w:szCs w:val="20"/>
          <w:highlight w:val="yellow"/>
          <w:bdr w:val="single" w:sz="4" w:space="0" w:color="auto"/>
        </w:rPr>
        <w:t>──彰正理示過非</w:t>
      </w:r>
      <w:r w:rsidR="00AA120F" w:rsidRPr="00DA3BC7">
        <w:rPr>
          <w:rFonts w:ascii="Times New Roman" w:hAnsi="Times New Roman"/>
          <w:sz w:val="20"/>
          <w:szCs w:val="20"/>
        </w:rPr>
        <w:t>（</w:t>
      </w:r>
      <w:r w:rsidR="00AA120F" w:rsidRPr="00DA3BC7">
        <w:rPr>
          <w:rFonts w:ascii="Times New Roman" w:hAnsi="Times New Roman"/>
          <w:sz w:val="20"/>
          <w:szCs w:val="20"/>
        </w:rPr>
        <w:t>p.12</w:t>
      </w:r>
      <w:r w:rsidR="00AA120F" w:rsidRPr="00DA3BC7">
        <w:rPr>
          <w:rFonts w:ascii="Times New Roman" w:eastAsia="SimSun" w:hAnsi="Times New Roman"/>
          <w:sz w:val="20"/>
          <w:szCs w:val="20"/>
        </w:rPr>
        <w:t>4</w:t>
      </w:r>
      <w:r w:rsidR="00AA120F" w:rsidRPr="00DA3BC7">
        <w:rPr>
          <w:rFonts w:ascii="Times New Roman" w:hAnsi="Times New Roman"/>
          <w:sz w:val="20"/>
          <w:szCs w:val="20"/>
        </w:rPr>
        <w:t>）</w:t>
      </w:r>
    </w:p>
    <w:p w:rsidR="00AA120F" w:rsidRPr="00DA3BC7" w:rsidRDefault="00AA120F" w:rsidP="002E5DD4">
      <w:pPr>
        <w:ind w:leftChars="200" w:left="480"/>
        <w:jc w:val="both"/>
        <w:rPr>
          <w:rFonts w:ascii="Times New Roman" w:hAnsi="Times New Roman"/>
        </w:rPr>
      </w:pPr>
      <w:r w:rsidRPr="00DA3BC7">
        <w:rPr>
          <w:rFonts w:ascii="Times New Roman" w:hAnsi="Times New Roman"/>
        </w:rPr>
        <w:t>要知一切法似現為時間的延續相，而實自性不可得，僅能從相依相待的世俗觀去了解它。心與境是相應的</w:t>
      </w:r>
      <w:r w:rsidRPr="00DA3BC7">
        <w:rPr>
          <w:rFonts w:ascii="新細明體" w:hAnsi="新細明體"/>
        </w:rPr>
        <w:t>──</w:t>
      </w:r>
      <w:r w:rsidRPr="00DA3BC7">
        <w:rPr>
          <w:rFonts w:ascii="Times New Roman" w:hAnsi="Times New Roman"/>
        </w:rPr>
        <w:t>而且是自識</w:t>
      </w:r>
      <w:r w:rsidRPr="00DA3BC7">
        <w:rPr>
          <w:rFonts w:ascii="Times New Roman" w:hAnsi="Times New Roman" w:hint="eastAsia"/>
        </w:rPr>
        <w:t>、</w:t>
      </w:r>
      <w:r w:rsidRPr="00DA3BC7">
        <w:rPr>
          <w:rFonts w:ascii="Times New Roman" w:hAnsi="Times New Roman"/>
        </w:rPr>
        <w:t>他識展轉</w:t>
      </w:r>
      <w:r w:rsidRPr="00DA3BC7">
        <w:rPr>
          <w:rStyle w:val="a6"/>
          <w:rFonts w:ascii="Times New Roman" w:hAnsi="Times New Roman"/>
        </w:rPr>
        <w:footnoteReference w:id="579"/>
      </w:r>
      <w:r w:rsidRPr="00DA3BC7">
        <w:rPr>
          <w:rFonts w:ascii="Times New Roman" w:hAnsi="Times New Roman"/>
        </w:rPr>
        <w:t>相資</w:t>
      </w:r>
      <w:r w:rsidRPr="00DA3BC7">
        <w:rPr>
          <w:rStyle w:val="a6"/>
          <w:rFonts w:ascii="Times New Roman" w:hAnsi="Times New Roman"/>
        </w:rPr>
        <w:footnoteReference w:id="580"/>
      </w:r>
      <w:r w:rsidRPr="00DA3BC7">
        <w:rPr>
          <w:rFonts w:ascii="Times New Roman" w:hAnsi="Times New Roman"/>
        </w:rPr>
        <w:t>的，如函</w:t>
      </w:r>
      <w:r w:rsidRPr="00DA3BC7">
        <w:rPr>
          <w:rStyle w:val="a6"/>
          <w:rFonts w:ascii="Times New Roman" w:hAnsi="Times New Roman"/>
        </w:rPr>
        <w:footnoteReference w:id="581"/>
      </w:r>
      <w:r w:rsidRPr="00DA3BC7">
        <w:rPr>
          <w:rFonts w:ascii="Times New Roman" w:hAnsi="Times New Roman"/>
        </w:rPr>
        <w:t>小蓋</w:t>
      </w:r>
      <w:r w:rsidRPr="00DA3BC7">
        <w:rPr>
          <w:rStyle w:val="a6"/>
          <w:rFonts w:ascii="Times New Roman" w:hAnsi="Times New Roman"/>
        </w:rPr>
        <w:footnoteReference w:id="582"/>
      </w:r>
      <w:r w:rsidRPr="00DA3BC7">
        <w:rPr>
          <w:rFonts w:ascii="Times New Roman" w:hAnsi="Times New Roman"/>
        </w:rPr>
        <w:t>也小，函大蓋也大；</w:t>
      </w:r>
      <w:r w:rsidRPr="00DA3BC7">
        <w:rPr>
          <w:rStyle w:val="a6"/>
          <w:rFonts w:ascii="Times New Roman" w:hAnsi="Times New Roman"/>
        </w:rPr>
        <w:footnoteReference w:id="583"/>
      </w:r>
      <w:r w:rsidRPr="00DA3BC7">
        <w:rPr>
          <w:rFonts w:ascii="Times New Roman" w:hAnsi="Times New Roman"/>
        </w:rPr>
        <w:t>認識到那裏，那裏即是一切；觀察前後到那裏，那裏即是始終。</w:t>
      </w:r>
    </w:p>
    <w:p w:rsidR="00AA120F" w:rsidRPr="00DA3BC7" w:rsidRDefault="00AA120F" w:rsidP="00AE3920">
      <w:pPr>
        <w:spacing w:beforeLines="20"/>
        <w:ind w:leftChars="200" w:left="480"/>
        <w:jc w:val="both"/>
        <w:rPr>
          <w:rFonts w:ascii="Times New Roman" w:hAnsi="Times New Roman"/>
        </w:rPr>
      </w:pPr>
      <w:r w:rsidRPr="00DA3BC7">
        <w:rPr>
          <w:rFonts w:ascii="Times New Roman" w:hAnsi="Times New Roman"/>
        </w:rPr>
        <w:lastRenderedPageBreak/>
        <w:t>緣起法依名言而成立，但並不由此而落入唯心，下面還要說。</w:t>
      </w:r>
      <w:r w:rsidRPr="00DA3BC7">
        <w:rPr>
          <w:rStyle w:val="a6"/>
          <w:rFonts w:ascii="Times New Roman" w:hAnsi="Times New Roman"/>
        </w:rPr>
        <w:footnoteReference w:id="584"/>
      </w:r>
      <w:r w:rsidRPr="00DA3BC7">
        <w:rPr>
          <w:rFonts w:ascii="Times New Roman" w:hAnsi="Times New Roman"/>
        </w:rPr>
        <w:t>不應為自性見拘礙</w:t>
      </w:r>
      <w:r w:rsidRPr="00DA3BC7">
        <w:rPr>
          <w:rStyle w:val="a6"/>
          <w:rFonts w:ascii="Times New Roman" w:hAnsi="Times New Roman"/>
        </w:rPr>
        <w:footnoteReference w:id="585"/>
      </w:r>
      <w:r w:rsidRPr="00DA3BC7">
        <w:rPr>
          <w:rFonts w:ascii="Times New Roman" w:hAnsi="Times New Roman"/>
        </w:rPr>
        <w:t>，非求出時間的始終不可。無論是執著有始，或推求不到原始而執著無始，都是邪見。佛法，只是即現實而如實知之而已！</w:t>
      </w:r>
    </w:p>
    <w:p w:rsidR="00AA120F" w:rsidRPr="00DA3BC7" w:rsidRDefault="00AA120F" w:rsidP="00AE3920">
      <w:pPr>
        <w:spacing w:beforeLines="20"/>
        <w:ind w:leftChars="200" w:left="480"/>
        <w:jc w:val="both"/>
        <w:rPr>
          <w:rFonts w:ascii="Times New Roman" w:eastAsia="SimSun" w:hAnsi="Times New Roman"/>
        </w:rPr>
      </w:pPr>
      <w:r w:rsidRPr="00DA3BC7">
        <w:rPr>
          <w:rFonts w:ascii="Times New Roman" w:hAnsi="Times New Roman"/>
        </w:rPr>
        <w:t>凡是緣起的存在，必有時間相，有時間相才是緣起的存在。時間是緣起的，是如幻的，是世俗不無的；但若作為實有性而追求時間的究極始終，那就完全錯了。</w:t>
      </w:r>
    </w:p>
    <w:p w:rsidR="00AA120F" w:rsidRPr="00DA3BC7" w:rsidRDefault="00697809" w:rsidP="00AE3920">
      <w:pPr>
        <w:spacing w:beforeLines="30"/>
        <w:ind w:leftChars="200" w:left="622" w:hangingChars="71" w:hanging="142"/>
        <w:jc w:val="both"/>
        <w:rPr>
          <w:rFonts w:ascii="Times New Roman" w:eastAsia="SimSun" w:hAnsi="Times New Roman"/>
          <w:sz w:val="20"/>
          <w:szCs w:val="20"/>
        </w:rPr>
      </w:pPr>
      <w:r w:rsidRPr="00697809">
        <w:rPr>
          <w:rFonts w:ascii="Times New Roman" w:hAnsi="Times New Roman" w:hint="eastAsia"/>
          <w:b/>
          <w:color w:val="FF0000"/>
          <w:sz w:val="20"/>
          <w:szCs w:val="20"/>
          <w:highlight w:val="yellow"/>
          <w:bdr w:val="single" w:sz="4" w:space="0" w:color="auto"/>
        </w:rPr>
        <w:t>2</w:t>
      </w:r>
      <w:r w:rsidR="00AA120F" w:rsidRPr="00697809">
        <w:rPr>
          <w:rFonts w:ascii="Times New Roman" w:hAnsi="Times New Roman"/>
          <w:b/>
          <w:color w:val="FF0000"/>
          <w:sz w:val="20"/>
          <w:szCs w:val="20"/>
          <w:highlight w:val="yellow"/>
          <w:bdr w:val="single" w:sz="4" w:space="0" w:color="auto"/>
        </w:rPr>
        <w:t>、</w:t>
      </w:r>
      <w:r w:rsidRPr="00697809">
        <w:rPr>
          <w:rFonts w:ascii="Times New Roman" w:hAnsi="Times New Roman" w:hint="eastAsia"/>
          <w:b/>
          <w:color w:val="FF0000"/>
          <w:sz w:val="20"/>
          <w:szCs w:val="20"/>
          <w:highlight w:val="yellow"/>
          <w:bdr w:val="single" w:sz="4" w:space="0" w:color="auto"/>
        </w:rPr>
        <w:t>別釋</w:t>
      </w:r>
      <w:r w:rsidR="00AA120F" w:rsidRPr="00DA3BC7">
        <w:rPr>
          <w:rFonts w:ascii="Times New Roman" w:hAnsi="Times New Roman"/>
          <w:sz w:val="20"/>
          <w:szCs w:val="20"/>
        </w:rPr>
        <w:t>（</w:t>
      </w:r>
      <w:r w:rsidR="00AA120F" w:rsidRPr="00DA3BC7">
        <w:rPr>
          <w:rFonts w:ascii="Times New Roman" w:hAnsi="Times New Roman"/>
          <w:sz w:val="20"/>
          <w:szCs w:val="20"/>
        </w:rPr>
        <w:t>pp.12</w:t>
      </w:r>
      <w:r w:rsidR="00AA120F" w:rsidRPr="00DA3BC7">
        <w:rPr>
          <w:rFonts w:ascii="Times New Roman" w:hAnsi="Times New Roman" w:hint="eastAsia"/>
          <w:sz w:val="20"/>
          <w:szCs w:val="20"/>
        </w:rPr>
        <w:t>4</w:t>
      </w:r>
      <w:r w:rsidR="00AA120F" w:rsidRPr="00DA3BC7">
        <w:rPr>
          <w:rFonts w:ascii="Times New Roman" w:hAnsi="Times New Roman"/>
          <w:sz w:val="20"/>
          <w:szCs w:val="20"/>
        </w:rPr>
        <w:t>-12</w:t>
      </w:r>
      <w:r w:rsidR="00AA120F" w:rsidRPr="00DA3BC7">
        <w:rPr>
          <w:rFonts w:ascii="Times New Roman" w:eastAsia="SimSun" w:hAnsi="Times New Roman"/>
          <w:sz w:val="20"/>
          <w:szCs w:val="20"/>
        </w:rPr>
        <w:t>6</w:t>
      </w:r>
      <w:r w:rsidR="00AA120F" w:rsidRPr="00DA3BC7">
        <w:rPr>
          <w:rFonts w:ascii="Times New Roman" w:hAnsi="Times New Roman"/>
          <w:sz w:val="20"/>
          <w:szCs w:val="20"/>
        </w:rPr>
        <w:t>）</w:t>
      </w:r>
    </w:p>
    <w:p w:rsidR="00AA120F" w:rsidRPr="00DA3BC7" w:rsidRDefault="00AA120F" w:rsidP="002E5DD4">
      <w:pPr>
        <w:ind w:leftChars="250" w:left="600"/>
        <w:jc w:val="both"/>
        <w:rPr>
          <w:rFonts w:ascii="Times New Roman" w:eastAsia="SimSun" w:hAnsi="Times New Roman"/>
          <w:sz w:val="20"/>
          <w:szCs w:val="20"/>
          <w:bdr w:val="single" w:sz="4" w:space="0" w:color="auto"/>
        </w:rPr>
      </w:pPr>
      <w:r w:rsidRPr="00697809">
        <w:rPr>
          <w:rFonts w:ascii="Times New Roman" w:hAnsi="Times New Roman"/>
          <w:b/>
          <w:color w:val="FF0000"/>
          <w:sz w:val="20"/>
          <w:szCs w:val="20"/>
          <w:highlight w:val="yellow"/>
          <w:bdr w:val="single" w:sz="4" w:space="0" w:color="auto"/>
        </w:rPr>
        <w:t>（</w:t>
      </w:r>
      <w:r w:rsidR="00697809" w:rsidRPr="00697809">
        <w:rPr>
          <w:rFonts w:ascii="Times New Roman" w:hAnsi="Times New Roman" w:hint="eastAsia"/>
          <w:b/>
          <w:color w:val="FF0000"/>
          <w:sz w:val="20"/>
          <w:szCs w:val="20"/>
          <w:highlight w:val="yellow"/>
          <w:bdr w:val="single" w:sz="4" w:space="0" w:color="auto"/>
        </w:rPr>
        <w:t>1</w:t>
      </w:r>
      <w:r w:rsidRPr="00697809">
        <w:rPr>
          <w:rFonts w:ascii="Times New Roman" w:hAnsi="Times New Roman"/>
          <w:b/>
          <w:color w:val="FF0000"/>
          <w:sz w:val="20"/>
          <w:szCs w:val="20"/>
          <w:highlight w:val="yellow"/>
          <w:bdr w:val="single" w:sz="4" w:space="0" w:color="auto"/>
        </w:rPr>
        <w:t>）</w:t>
      </w:r>
      <w:r w:rsidR="00697809" w:rsidRPr="00697809">
        <w:rPr>
          <w:rFonts w:ascii="Times New Roman" w:hAnsi="Times New Roman" w:hint="eastAsia"/>
          <w:b/>
          <w:color w:val="FF0000"/>
          <w:sz w:val="20"/>
          <w:szCs w:val="20"/>
          <w:highlight w:val="yellow"/>
          <w:bdr w:val="single" w:sz="4" w:space="0" w:color="auto"/>
        </w:rPr>
        <w:t>執「法內本體」</w:t>
      </w:r>
      <w:r w:rsidRPr="00DA3BC7">
        <w:rPr>
          <w:rFonts w:ascii="Times New Roman" w:hAnsi="Times New Roman"/>
          <w:sz w:val="20"/>
          <w:szCs w:val="20"/>
        </w:rPr>
        <w:t>（</w:t>
      </w:r>
      <w:r w:rsidRPr="00DA3BC7">
        <w:rPr>
          <w:rFonts w:ascii="Times New Roman" w:hAnsi="Times New Roman" w:hint="eastAsia"/>
          <w:sz w:val="20"/>
          <w:szCs w:val="20"/>
        </w:rPr>
        <w:t>p</w:t>
      </w:r>
      <w:r w:rsidRPr="00DA3BC7">
        <w:rPr>
          <w:rFonts w:ascii="Times New Roman" w:hAnsi="Times New Roman"/>
          <w:sz w:val="20"/>
          <w:szCs w:val="20"/>
        </w:rPr>
        <w:t>p.12</w:t>
      </w:r>
      <w:r w:rsidRPr="00DA3BC7">
        <w:rPr>
          <w:rFonts w:ascii="Times New Roman" w:hAnsi="Times New Roman" w:hint="eastAsia"/>
          <w:sz w:val="20"/>
          <w:szCs w:val="20"/>
        </w:rPr>
        <w:t>4-12</w:t>
      </w:r>
      <w:r w:rsidRPr="00DA3BC7">
        <w:rPr>
          <w:rFonts w:ascii="Times New Roman" w:eastAsia="SimSun" w:hAnsi="Times New Roman"/>
          <w:sz w:val="20"/>
          <w:szCs w:val="20"/>
        </w:rPr>
        <w:t>5</w:t>
      </w:r>
      <w:r w:rsidRPr="00DA3BC7">
        <w:rPr>
          <w:rFonts w:ascii="Times New Roman" w:hAnsi="Times New Roman"/>
          <w:sz w:val="20"/>
          <w:szCs w:val="20"/>
        </w:rPr>
        <w:t>）</w:t>
      </w:r>
    </w:p>
    <w:p w:rsidR="00AA120F" w:rsidRPr="00DA3BC7" w:rsidRDefault="00AA120F" w:rsidP="002E5DD4">
      <w:pPr>
        <w:ind w:leftChars="250" w:left="600"/>
        <w:jc w:val="both"/>
        <w:rPr>
          <w:rFonts w:ascii="Times New Roman" w:hAnsi="Times New Roman"/>
        </w:rPr>
      </w:pPr>
      <w:r w:rsidRPr="00DA3BC7">
        <w:rPr>
          <w:rFonts w:ascii="Times New Roman" w:hAnsi="Times New Roman"/>
          <w:b/>
        </w:rPr>
        <w:t>存在法</w:t>
      </w:r>
      <w:r w:rsidRPr="00DA3BC7">
        <w:rPr>
          <w:rFonts w:ascii="Times New Roman" w:hAnsi="Times New Roman"/>
        </w:rPr>
        <w:t>是如幻的，唯其幻現實在相，所以每被人們設想它的</w:t>
      </w:r>
      <w:r w:rsidRPr="00DA3BC7">
        <w:rPr>
          <w:rFonts w:ascii="Times New Roman" w:hAnsi="Times New Roman"/>
          <w:b/>
        </w:rPr>
        <w:t>內在真實自性</w:t>
      </w:r>
      <w:r w:rsidRPr="00DA3BC7">
        <w:rPr>
          <w:rFonts w:ascii="Times New Roman" w:hAnsi="Times New Roman"/>
        </w:rPr>
        <w:t>即</w:t>
      </w:r>
      <w:r w:rsidRPr="00DA3BC7">
        <w:rPr>
          <w:rFonts w:ascii="Times New Roman" w:hAnsi="Times New Roman"/>
          <w:b/>
        </w:rPr>
        <w:t>本體</w:t>
      </w:r>
      <w:r w:rsidRPr="00DA3BC7">
        <w:rPr>
          <w:rFonts w:ascii="Times New Roman" w:hAnsi="Times New Roman"/>
        </w:rPr>
        <w:t>。</w:t>
      </w:r>
    </w:p>
    <w:p w:rsidR="00644245" w:rsidRPr="00DA3BC7" w:rsidRDefault="00644245" w:rsidP="00AE3920">
      <w:pPr>
        <w:spacing w:beforeLines="30"/>
        <w:ind w:leftChars="250" w:left="742" w:hangingChars="71" w:hanging="142"/>
        <w:jc w:val="both"/>
        <w:rPr>
          <w:rFonts w:ascii="Times New Roman" w:eastAsia="SimSun" w:hAnsi="Times New Roman"/>
          <w:sz w:val="20"/>
          <w:szCs w:val="20"/>
        </w:rPr>
      </w:pPr>
      <w:r w:rsidRPr="00697809">
        <w:rPr>
          <w:rFonts w:ascii="Times New Roman" w:hAnsi="Times New Roman"/>
          <w:b/>
          <w:color w:val="FF0000"/>
          <w:sz w:val="20"/>
          <w:szCs w:val="20"/>
          <w:highlight w:val="yellow"/>
          <w:bdr w:val="single" w:sz="4" w:space="0" w:color="auto"/>
        </w:rPr>
        <w:t>（</w:t>
      </w:r>
      <w:r w:rsidRPr="00697809">
        <w:rPr>
          <w:rFonts w:ascii="Times New Roman" w:hAnsi="Times New Roman" w:hint="eastAsia"/>
          <w:b/>
          <w:color w:val="FF0000"/>
          <w:sz w:val="20"/>
          <w:szCs w:val="20"/>
          <w:highlight w:val="yellow"/>
          <w:bdr w:val="single" w:sz="4" w:space="0" w:color="auto"/>
        </w:rPr>
        <w:t>2</w:t>
      </w:r>
      <w:r w:rsidRPr="00697809">
        <w:rPr>
          <w:rFonts w:ascii="Times New Roman" w:hAnsi="Times New Roman"/>
          <w:b/>
          <w:color w:val="FF0000"/>
          <w:sz w:val="20"/>
          <w:szCs w:val="20"/>
          <w:highlight w:val="yellow"/>
          <w:bdr w:val="single" w:sz="4" w:space="0" w:color="auto"/>
        </w:rPr>
        <w:t>）</w:t>
      </w:r>
      <w:r w:rsidRPr="00697809">
        <w:rPr>
          <w:rFonts w:ascii="Times New Roman" w:hAnsi="Times New Roman" w:hint="eastAsia"/>
          <w:b/>
          <w:color w:val="FF0000"/>
          <w:sz w:val="20"/>
          <w:szCs w:val="20"/>
          <w:highlight w:val="yellow"/>
          <w:bdr w:val="single" w:sz="4" w:space="0" w:color="auto"/>
        </w:rPr>
        <w:t>執「</w:t>
      </w:r>
      <w:r>
        <w:rPr>
          <w:rFonts w:ascii="Times New Roman" w:hAnsi="Times New Roman" w:hint="eastAsia"/>
          <w:b/>
          <w:color w:val="FF0000"/>
          <w:sz w:val="20"/>
          <w:szCs w:val="20"/>
          <w:highlight w:val="yellow"/>
          <w:bdr w:val="single" w:sz="4" w:space="0" w:color="auto"/>
        </w:rPr>
        <w:t>時現前後</w:t>
      </w:r>
      <w:r w:rsidRPr="00697809">
        <w:rPr>
          <w:rFonts w:ascii="Times New Roman" w:hAnsi="Times New Roman" w:hint="eastAsia"/>
          <w:b/>
          <w:color w:val="FF0000"/>
          <w:sz w:val="20"/>
          <w:szCs w:val="20"/>
          <w:highlight w:val="yellow"/>
          <w:bdr w:val="single" w:sz="4" w:space="0" w:color="auto"/>
        </w:rPr>
        <w:t>」</w:t>
      </w:r>
      <w:r w:rsidRPr="00DA3BC7">
        <w:rPr>
          <w:rFonts w:ascii="Times New Roman" w:hAnsi="Times New Roman"/>
          <w:sz w:val="20"/>
          <w:szCs w:val="20"/>
        </w:rPr>
        <w:t>（</w:t>
      </w:r>
      <w:r w:rsidRPr="00DA3BC7">
        <w:rPr>
          <w:rFonts w:ascii="Times New Roman" w:hAnsi="Times New Roman"/>
          <w:sz w:val="20"/>
          <w:szCs w:val="20"/>
        </w:rPr>
        <w:t>p.12</w:t>
      </w:r>
      <w:r>
        <w:rPr>
          <w:rFonts w:ascii="Times New Roman" w:hAnsi="Times New Roman" w:hint="eastAsia"/>
          <w:sz w:val="20"/>
          <w:szCs w:val="20"/>
        </w:rPr>
        <w:t>5</w:t>
      </w:r>
      <w:r w:rsidRPr="00DA3BC7">
        <w:rPr>
          <w:rFonts w:ascii="Times New Roman" w:hAnsi="Times New Roman"/>
          <w:sz w:val="20"/>
          <w:szCs w:val="20"/>
        </w:rPr>
        <w:t>）</w:t>
      </w:r>
    </w:p>
    <w:p w:rsidR="00AA120F" w:rsidRPr="00DA3BC7" w:rsidRDefault="00AA120F" w:rsidP="002E5DD4">
      <w:pPr>
        <w:ind w:leftChars="250" w:left="600"/>
        <w:jc w:val="both"/>
        <w:rPr>
          <w:rFonts w:ascii="Times New Roman" w:hAnsi="Times New Roman"/>
        </w:rPr>
      </w:pPr>
      <w:r w:rsidRPr="00DA3BC7">
        <w:rPr>
          <w:rFonts w:ascii="Times New Roman" w:hAnsi="Times New Roman"/>
        </w:rPr>
        <w:t>但</w:t>
      </w:r>
      <w:r w:rsidRPr="00DA3BC7">
        <w:rPr>
          <w:rFonts w:ascii="Times New Roman" w:hAnsi="Times New Roman"/>
          <w:b/>
        </w:rPr>
        <w:t>時間的幻相</w:t>
      </w:r>
      <w:r w:rsidRPr="00DA3BC7">
        <w:rPr>
          <w:rFonts w:ascii="Times New Roman" w:hAnsi="Times New Roman"/>
        </w:rPr>
        <w:t>不同，時間是向兩端展開的，也即是前後延續的。雖然，在前的也有被看為在後的，在後的也有被看為在前的，常是錯亂的；但在個人的認識上，它的前後延續相極為分明，不能倒亂。</w:t>
      </w:r>
    </w:p>
    <w:p w:rsidR="00AA120F" w:rsidRPr="00DA3BC7" w:rsidRDefault="00AE3920" w:rsidP="00AE3920">
      <w:pPr>
        <w:spacing w:beforeLines="20"/>
        <w:ind w:leftChars="250" w:left="600"/>
        <w:jc w:val="both"/>
        <w:rPr>
          <w:rFonts w:ascii="Times New Roman" w:hAnsi="Times New Roman"/>
        </w:rPr>
      </w:pPr>
      <w:r w:rsidRPr="00AE3920">
        <w:rPr>
          <w:noProof/>
        </w:rPr>
        <w:pict>
          <v:shape id="手繪多邊形 28" o:spid="_x0000_s2054" style="position:absolute;left:0;text-align:left;margin-left:69.4pt;margin-top:27.4pt;width:37.1pt;height:7.75pt;rotation:-613651fd;z-index:2516720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middle" coordsize="946164,160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" path="m,27459v10583,6350,21284,12509,31750,19050c38222,50554,43785,56203,50800,59209v7847,3363,51499,11570,57150,12700c112412,71630,208933,78876,234950,52859v4733,-4733,4233,-12700,6350,-19050c239925,28310,238168,-9075,215900,2059v-5987,2993,-4233,12700,-6350,19050c211667,29576,211570,38932,215900,46509v4455,7797,11578,14069,19050,19050c240770,69439,275551,77104,279400,78259v12822,3847,38100,12700,38100,12700c349250,88842,381775,91897,412750,84609v7429,-1748,9600,-12076,12700,-19050c430887,53326,438150,27459,438150,27459,431800,23226,426673,15706,419100,14759v-10710,-1339,-25008,-2078,-31750,6350c381898,27924,391302,38118,393700,46509v3408,11930,8743,29854,19050,38100c417977,88790,425450,88842,431800,90959v6350,4233,12035,9694,19050,12700c462906,108826,505755,114926,514350,116359v29633,-4233,62126,687,88900,-12700c615224,97672,615950,65559,615950,65559,607483,61326,599413,56183,590550,52859,582378,49795,567910,38230,565150,46509v-20346,61039,-5221,59643,25400,69850c596900,120592,602585,126053,609600,129059v44018,18865,158784,287,165100,c777791,124423,796671,99722,793750,90959,790910,82440,781050,78259,774700,71909v-6350,4233,-14282,6741,-19050,12700c747183,95192,747183,112126,755650,122709v4768,5959,12035,9694,19050,12700c782722,138847,791741,139251,800100,141759v67994,20398,9345,9824,101600,19050c948245,154160,946150,169426,946150,148109e" filled="f">
            <v:path arrowok="t" o:connecttype="custom" o:connectlocs="0,10287;7874,17423;12597,22181;26770,26939;58264,19802;59838,12665;53540,771;51965,7908;53540,17423;58264,24560;69286,29317;78734,34075;102355,31696;105504,24560;108654,10287;103930,5529;96056,7908;97631,17423;102355,31696;107079,34075;111803,38833;127550,43590;149596,38833;152745,24560;146447,19802;140148,17423;146447,43590;151171,48348;192112,48348;196837,34075;192112,26939;187389,31696;187389,45969;192112,50727;198411,53106;223607,60242;234629,55485" o:connectangles="0,0,0,0,0,0,0,0,0,0,0,0,0,0,0,0,0,0,0,0,0,0,0,0,0,0,0,0,0,0,0,0,0,0,0,0,0"/>
          </v:shape>
        </w:pict>
      </w:r>
      <w:r w:rsidRPr="00AE3920">
        <w:rPr>
          <w:noProof/>
        </w:rPr>
        <w:pict>
          <v:shape id="手繪多邊形 27" o:spid="_x0000_s2055" style="position:absolute;left:0;text-align:left;margin-left:321.85pt;margin-top:11.4pt;width:37.5pt;height:3.55pt;rotation:180;flip:y;z-index:2516710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margin;v-text-anchor:middle" coordsize="1242803,953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" path="m,c43391,33866,86783,67733,127000,69850v40217,2117,75142,-59267,114300,-57150c280458,14817,321733,81492,361950,82550v40217,1058,81492,-62442,120650,-63500c521758,17992,555625,76200,596900,76200v41275,,93133,-58208,133350,-57150c770467,20108,795867,82550,838200,82550v42333,,102658,-65617,146050,-63500c1027642,21167,1058333,92075,1098550,95250v40217,3175,103717,-47625,127000,-57150c1248833,28575,1243541,33337,1238250,38100e" filled="f">
            <v:path arrowok="t" o:connecttype="custom" o:connectlocs="0,0;18650,15603;35434,2837;53151,18440;70868,4256;87653,17021;107235,4256;123087,18440;144534,4256;161319,21277;179969,8511;181833,8511" o:connectangles="0,0,0,0,0,0,0,0,0,0,0,0"/>
          </v:shape>
        </w:pict>
      </w:r>
      <w:r w:rsidR="00AA120F" w:rsidRPr="00DA3BC7">
        <w:rPr>
          <w:rFonts w:ascii="Times New Roman" w:hAnsi="Times New Roman"/>
        </w:rPr>
        <w:t>因此，無論是把時間看成是直線的</w:t>
      </w:r>
      <w:r w:rsidR="00AA120F" w:rsidRPr="00DA3BC7">
        <w:rPr>
          <w:rFonts w:ascii="Times New Roman" w:eastAsia="SimSun" w:hAnsi="Times New Roman" w:hint="eastAsia"/>
          <w:spacing w:val="-4"/>
          <w:w w:val="150"/>
        </w:rPr>
        <w:t>─</w:t>
      </w:r>
      <w:r w:rsidR="00AA120F" w:rsidRPr="00DA3BC7">
        <w:rPr>
          <w:rFonts w:ascii="Times New Roman" w:eastAsia="SimSun" w:hAnsi="Times New Roman" w:hint="eastAsia"/>
          <w:w w:val="150"/>
        </w:rPr>
        <w:t>─</w:t>
      </w:r>
      <w:r w:rsidR="00AA120F" w:rsidRPr="00DA3BC7">
        <w:rPr>
          <w:rFonts w:ascii="Times New Roman" w:hAnsi="Times New Roman"/>
        </w:rPr>
        <w:t>，或曲折形的</w:t>
      </w:r>
      <w:r w:rsidR="00AA120F" w:rsidRPr="00DA3BC7">
        <w:rPr>
          <w:rFonts w:ascii="Times New Roman" w:eastAsia="SimSun" w:hAnsi="Times New Roman" w:hint="eastAsia"/>
        </w:rPr>
        <w:t xml:space="preserve">　　　</w:t>
      </w:r>
      <w:r w:rsidR="00AA120F" w:rsidRPr="00DA3BC7">
        <w:rPr>
          <w:rFonts w:ascii="Times New Roman" w:hAnsi="Times New Roman" w:hint="eastAsia"/>
        </w:rPr>
        <w:t xml:space="preserve"> </w:t>
      </w:r>
      <w:r w:rsidR="00AA120F" w:rsidRPr="00DA3BC7">
        <w:rPr>
          <w:rFonts w:ascii="Times New Roman" w:hAnsi="Times New Roman"/>
        </w:rPr>
        <w:t xml:space="preserve">，或螺旋形的　　　</w:t>
      </w:r>
      <w:r w:rsidR="00AA120F" w:rsidRPr="00DA3BC7">
        <w:rPr>
          <w:rFonts w:ascii="Times New Roman" w:hAnsi="Times New Roman" w:hint="eastAsia"/>
        </w:rPr>
        <w:t xml:space="preserve"> </w:t>
      </w:r>
      <w:r w:rsidR="00AA120F" w:rsidRPr="00DA3BC7">
        <w:rPr>
          <w:rFonts w:ascii="Times New Roman" w:hAnsi="Times New Roman"/>
        </w:rPr>
        <w:t>，這都是依法的活動樣式而想像如此的時間，但同樣是露出向前與向後的延續相，而成為時間的矛盾所在。</w:t>
      </w:r>
    </w:p>
    <w:p w:rsidR="00AA120F" w:rsidRPr="00DA3BC7" w:rsidRDefault="000404C7" w:rsidP="00AE3920">
      <w:pPr>
        <w:spacing w:beforeLines="30"/>
        <w:ind w:leftChars="100" w:left="240"/>
        <w:jc w:val="both"/>
        <w:rPr>
          <w:rFonts w:ascii="Times New Roman" w:hAnsi="Times New Roman"/>
          <w:sz w:val="20"/>
          <w:szCs w:val="20"/>
          <w:bdr w:val="single" w:sz="4" w:space="0" w:color="auto"/>
        </w:rPr>
      </w:pPr>
      <w:r>
        <w:rPr>
          <w:rFonts w:ascii="Times New Roman" w:hAnsi="Times New Roman"/>
          <w:b/>
          <w:color w:val="FF0000"/>
          <w:sz w:val="20"/>
          <w:szCs w:val="20"/>
          <w:highlight w:val="yellow"/>
          <w:bdr w:val="single" w:sz="4" w:space="0" w:color="auto"/>
        </w:rPr>
        <w:br w:type="column"/>
      </w:r>
      <w:r w:rsidR="00644245">
        <w:rPr>
          <w:rFonts w:ascii="Times New Roman" w:hAnsi="Times New Roman" w:hint="eastAsia"/>
          <w:b/>
          <w:color w:val="FF0000"/>
          <w:sz w:val="20"/>
          <w:szCs w:val="20"/>
          <w:highlight w:val="yellow"/>
          <w:bdr w:val="single" w:sz="4" w:space="0" w:color="auto"/>
        </w:rPr>
        <w:lastRenderedPageBreak/>
        <w:t>二、彰正理</w:t>
      </w:r>
      <w:r w:rsidR="00AA120F" w:rsidRPr="00DA3BC7">
        <w:rPr>
          <w:rFonts w:ascii="Times New Roman" w:hAnsi="Times New Roman"/>
          <w:sz w:val="20"/>
          <w:szCs w:val="20"/>
        </w:rPr>
        <w:t>（</w:t>
      </w:r>
      <w:r w:rsidR="00AA120F" w:rsidRPr="00DA3BC7">
        <w:rPr>
          <w:rFonts w:ascii="Times New Roman" w:hAnsi="Times New Roman"/>
          <w:sz w:val="20"/>
          <w:szCs w:val="20"/>
        </w:rPr>
        <w:t>p.12</w:t>
      </w:r>
      <w:r w:rsidR="00AA120F" w:rsidRPr="00DA3BC7">
        <w:rPr>
          <w:rFonts w:ascii="Times New Roman" w:eastAsia="SimSun" w:hAnsi="Times New Roman"/>
          <w:sz w:val="20"/>
          <w:szCs w:val="20"/>
        </w:rPr>
        <w:t>5</w:t>
      </w:r>
      <w:r w:rsidR="00AA120F" w:rsidRPr="00DA3BC7">
        <w:rPr>
          <w:rFonts w:ascii="Times New Roman" w:hAnsi="Times New Roman"/>
          <w:sz w:val="20"/>
          <w:szCs w:val="20"/>
        </w:rPr>
        <w:t>）</w:t>
      </w:r>
    </w:p>
    <w:p w:rsidR="00AA120F" w:rsidRPr="00DA3BC7" w:rsidRDefault="00AA120F" w:rsidP="002E5DD4">
      <w:pPr>
        <w:ind w:leftChars="100" w:left="240"/>
        <w:jc w:val="both"/>
        <w:rPr>
          <w:rFonts w:ascii="Times New Roman" w:eastAsia="SimSun" w:hAnsi="Times New Roman"/>
        </w:rPr>
      </w:pPr>
      <w:r w:rsidRPr="00DA3BC7">
        <w:rPr>
          <w:rFonts w:ascii="Times New Roman" w:hAnsi="Times New Roman"/>
        </w:rPr>
        <w:t>佛悟緣起的虛妄無實，說緣起「如環</w:t>
      </w:r>
      <w:r w:rsidRPr="00DA3BC7">
        <w:rPr>
          <w:rStyle w:val="a6"/>
          <w:rFonts w:ascii="Times New Roman" w:hAnsi="Times New Roman"/>
        </w:rPr>
        <w:footnoteReference w:id="586"/>
      </w:r>
      <w:r w:rsidRPr="00DA3BC7">
        <w:rPr>
          <w:rFonts w:ascii="Times New Roman" w:hAnsi="Times New Roman"/>
        </w:rPr>
        <w:t>之無端</w:t>
      </w:r>
      <w:r w:rsidRPr="00DA3BC7">
        <w:rPr>
          <w:rStyle w:val="a6"/>
          <w:rFonts w:ascii="Times New Roman" w:hAnsi="Times New Roman"/>
        </w:rPr>
        <w:footnoteReference w:id="587"/>
      </w:r>
      <w:r w:rsidRPr="00DA3BC7">
        <w:rPr>
          <w:rFonts w:ascii="Times New Roman" w:hAnsi="Times New Roman"/>
        </w:rPr>
        <w:t>」，</w:t>
      </w:r>
      <w:r w:rsidR="00D211A0">
        <w:rPr>
          <w:rStyle w:val="a6"/>
          <w:rFonts w:ascii="Times New Roman" w:hAnsi="Times New Roman"/>
        </w:rPr>
        <w:footnoteReference w:id="588"/>
      </w:r>
      <w:r w:rsidRPr="00DA3BC7">
        <w:rPr>
          <w:rFonts w:ascii="Times New Roman" w:hAnsi="Times New Roman"/>
        </w:rPr>
        <w:t>即形容隨向兩面看都有前後可尋，而到底是始終不可得。</w:t>
      </w:r>
      <w:r w:rsidR="003B754E">
        <w:rPr>
          <w:rStyle w:val="a6"/>
          <w:rFonts w:ascii="Times New Roman" w:hAnsi="Times New Roman"/>
        </w:rPr>
        <w:footnoteReference w:id="589"/>
      </w:r>
    </w:p>
    <w:p w:rsidR="00AA120F" w:rsidRPr="00DA3BC7" w:rsidRDefault="00AA120F" w:rsidP="00AE3920">
      <w:pPr>
        <w:spacing w:beforeLines="20"/>
        <w:ind w:leftChars="100" w:left="240"/>
        <w:jc w:val="both"/>
        <w:rPr>
          <w:rFonts w:ascii="Times New Roman" w:hAnsi="Times New Roman"/>
        </w:rPr>
      </w:pPr>
      <w:r w:rsidRPr="00DA3BC7">
        <w:rPr>
          <w:rFonts w:ascii="Times New Roman" w:hAnsi="Times New Roman"/>
        </w:rPr>
        <w:t>從時間的前後幻相看：諸法的生、住、滅</w:t>
      </w:r>
      <w:r w:rsidRPr="00DA3BC7">
        <w:rPr>
          <w:rFonts w:ascii="Times New Roman" w:hAnsi="Times New Roman" w:hint="eastAsia"/>
        </w:rPr>
        <w:t>，</w:t>
      </w:r>
      <w:r w:rsidRPr="00DA3BC7">
        <w:rPr>
          <w:rFonts w:ascii="Times New Roman" w:hAnsi="Times New Roman"/>
        </w:rPr>
        <w:t>有情的生、老、死</w:t>
      </w:r>
      <w:r w:rsidRPr="00DA3BC7">
        <w:rPr>
          <w:rFonts w:ascii="Times New Roman" w:hAnsi="Times New Roman" w:hint="eastAsia"/>
        </w:rPr>
        <w:t>，</w:t>
      </w:r>
      <w:r w:rsidRPr="00DA3BC7">
        <w:rPr>
          <w:rFonts w:ascii="Times New Roman" w:hAnsi="Times New Roman"/>
        </w:rPr>
        <w:t>器界的成、住、壞，都是有前後相的。一切在如此的周而復始</w:t>
      </w:r>
      <w:r w:rsidRPr="00DA3BC7">
        <w:rPr>
          <w:rStyle w:val="a6"/>
          <w:rFonts w:ascii="Times New Roman" w:hAnsi="Times New Roman"/>
        </w:rPr>
        <w:footnoteReference w:id="590"/>
      </w:r>
      <w:r w:rsidRPr="00DA3BC7">
        <w:rPr>
          <w:rFonts w:ascii="Times New Roman" w:hAnsi="Times New Roman"/>
        </w:rPr>
        <w:t>地無限演變著</w:t>
      </w:r>
      <w:r w:rsidRPr="00DA3BC7">
        <w:rPr>
          <w:rFonts w:ascii="Times New Roman" w:hAnsi="Times New Roman" w:hint="eastAsia"/>
        </w:rPr>
        <w:t>，</w:t>
      </w:r>
      <w:r w:rsidRPr="00DA3BC7">
        <w:rPr>
          <w:rFonts w:ascii="Times New Roman" w:hAnsi="Times New Roman"/>
        </w:rPr>
        <w:t>不說是旋形的，而說是如環的，問題在</w:t>
      </w:r>
      <w:r w:rsidRPr="00DA3BC7">
        <w:rPr>
          <w:rFonts w:ascii="Times New Roman" w:hAnsi="Times New Roman"/>
          <w:b/>
        </w:rPr>
        <w:t>似有始終而始終不可得，並不是說後起者即是前者的再現</w:t>
      </w:r>
      <w:r w:rsidRPr="00DA3BC7">
        <w:rPr>
          <w:rFonts w:ascii="Times New Roman" w:hAnsi="Times New Roman"/>
        </w:rPr>
        <w:t>。</w:t>
      </w:r>
    </w:p>
    <w:p w:rsidR="00644245" w:rsidRDefault="00AA120F" w:rsidP="00AE3920">
      <w:pPr>
        <w:spacing w:beforeLines="20"/>
        <w:ind w:leftChars="100" w:left="240"/>
        <w:jc w:val="both"/>
        <w:rPr>
          <w:rFonts w:ascii="Times New Roman" w:hAnsi="Times New Roman"/>
        </w:rPr>
      </w:pPr>
      <w:r w:rsidRPr="00DA3BC7">
        <w:rPr>
          <w:rFonts w:ascii="Times New Roman" w:hAnsi="Times New Roman"/>
        </w:rPr>
        <w:t>諸行無常，雖一切不失，而</w:t>
      </w:r>
      <w:r w:rsidRPr="00DA3BC7">
        <w:rPr>
          <w:rFonts w:ascii="Times New Roman" w:hAnsi="Times New Roman"/>
          <w:b/>
        </w:rPr>
        <w:t>一切是新新不住的流行，不是過去的復活</w:t>
      </w:r>
      <w:r w:rsidRPr="00DA3BC7">
        <w:rPr>
          <w:rFonts w:ascii="Times New Roman" w:hAnsi="Times New Roman"/>
        </w:rPr>
        <w:t>。從如環無端的任何一點去看，都是前後延續的。</w:t>
      </w:r>
      <w:r w:rsidRPr="00644245">
        <w:rPr>
          <w:rFonts w:ascii="Times New Roman" w:hAnsi="Times New Roman"/>
          <w:highlight w:val="yellow"/>
        </w:rPr>
        <w:t>成</w:t>
      </w:r>
      <w:r w:rsidRPr="00DA3BC7">
        <w:rPr>
          <w:rFonts w:ascii="Times New Roman" w:hAnsi="Times New Roman"/>
        </w:rPr>
        <w:t>、住、壞</w:t>
      </w:r>
      <w:r w:rsidRPr="00DA3BC7">
        <w:rPr>
          <w:rFonts w:ascii="Times New Roman" w:hAnsi="Times New Roman" w:hint="eastAsia"/>
        </w:rPr>
        <w:t>，</w:t>
      </w:r>
      <w:r w:rsidRPr="00DA3BC7">
        <w:rPr>
          <w:rFonts w:ascii="Times New Roman" w:hAnsi="Times New Roman"/>
        </w:rPr>
        <w:t>生、老、死</w:t>
      </w:r>
      <w:r w:rsidRPr="00DA3BC7">
        <w:rPr>
          <w:rFonts w:ascii="Times New Roman" w:hAnsi="Times New Roman" w:hint="eastAsia"/>
        </w:rPr>
        <w:t>，</w:t>
      </w:r>
      <w:r w:rsidRPr="00DA3BC7">
        <w:rPr>
          <w:rFonts w:ascii="Times New Roman" w:hAnsi="Times New Roman"/>
        </w:rPr>
        <w:t>生、住、滅，乃至說增劫</w:t>
      </w:r>
      <w:r w:rsidR="00644245" w:rsidRPr="00644245">
        <w:rPr>
          <w:rFonts w:ascii="新細明體" w:hAnsi="新細明體" w:hint="eastAsia"/>
          <w:color w:val="FF0000"/>
          <w:highlight w:val="yellow"/>
        </w:rPr>
        <w:t>（</w:t>
      </w:r>
      <w:r w:rsidRPr="00DA3BC7">
        <w:rPr>
          <w:rFonts w:ascii="Times New Roman" w:hAnsi="Times New Roman"/>
        </w:rPr>
        <w:t>進步的時代</w:t>
      </w:r>
      <w:r w:rsidR="00644245" w:rsidRPr="00644245">
        <w:rPr>
          <w:rFonts w:ascii="Times New Roman" w:hAnsi="Times New Roman" w:hint="eastAsia"/>
          <w:color w:val="FF0000"/>
          <w:highlight w:val="yellow"/>
        </w:rPr>
        <w:t>）、</w:t>
      </w:r>
      <w:r w:rsidRPr="00DA3BC7">
        <w:rPr>
          <w:rFonts w:ascii="Times New Roman" w:hAnsi="Times New Roman"/>
        </w:rPr>
        <w:t>減劫</w:t>
      </w:r>
      <w:r w:rsidR="00644245" w:rsidRPr="00644245">
        <w:rPr>
          <w:rFonts w:ascii="新細明體" w:hAnsi="新細明體" w:hint="eastAsia"/>
          <w:color w:val="FF0000"/>
          <w:highlight w:val="yellow"/>
        </w:rPr>
        <w:t>（</w:t>
      </w:r>
      <w:r w:rsidRPr="00DA3BC7">
        <w:rPr>
          <w:rFonts w:ascii="Times New Roman" w:hAnsi="Times New Roman"/>
        </w:rPr>
        <w:t>沒落的時代</w:t>
      </w:r>
      <w:r w:rsidR="00644245" w:rsidRPr="00644245">
        <w:rPr>
          <w:rFonts w:ascii="Times New Roman" w:hAnsi="Times New Roman" w:hint="eastAsia"/>
          <w:color w:val="FF0000"/>
          <w:highlight w:val="yellow"/>
        </w:rPr>
        <w:t>）</w:t>
      </w:r>
      <w:r w:rsidRPr="00DA3BC7">
        <w:rPr>
          <w:rFonts w:ascii="Times New Roman" w:hAnsi="Times New Roman"/>
        </w:rPr>
        <w:t>，</w:t>
      </w:r>
      <w:r w:rsidRPr="00DA3BC7">
        <w:rPr>
          <w:rStyle w:val="a6"/>
          <w:rFonts w:ascii="Times New Roman" w:hAnsi="Times New Roman"/>
        </w:rPr>
        <w:footnoteReference w:id="591"/>
      </w:r>
      <w:r w:rsidRPr="00DA3BC7">
        <w:rPr>
          <w:rFonts w:ascii="Times New Roman" w:hAnsi="Times New Roman"/>
        </w:rPr>
        <w:t>這都不過是一切存在者在環形無前後中的前後動變不息。</w:t>
      </w:r>
    </w:p>
    <w:p w:rsidR="00644245" w:rsidRPr="00DA3BC7" w:rsidRDefault="00644245" w:rsidP="00AE3920">
      <w:pPr>
        <w:spacing w:beforeLines="30"/>
        <w:ind w:leftChars="100" w:left="240"/>
        <w:jc w:val="both"/>
        <w:rPr>
          <w:rFonts w:ascii="Times New Roman" w:hAnsi="Times New Roman"/>
          <w:sz w:val="20"/>
          <w:szCs w:val="20"/>
          <w:bdr w:val="single" w:sz="4" w:space="0" w:color="auto"/>
        </w:rPr>
      </w:pPr>
      <w:r w:rsidRPr="00644245">
        <w:rPr>
          <w:rFonts w:ascii="Times New Roman" w:hAnsi="Times New Roman" w:hint="eastAsia"/>
          <w:b/>
          <w:color w:val="FF0000"/>
          <w:sz w:val="20"/>
          <w:szCs w:val="20"/>
          <w:highlight w:val="yellow"/>
          <w:bdr w:val="single" w:sz="4" w:space="0" w:color="auto"/>
        </w:rPr>
        <w:t>三、嘆世倒</w:t>
      </w:r>
      <w:r w:rsidRPr="00DA3BC7">
        <w:rPr>
          <w:rFonts w:ascii="Times New Roman" w:hAnsi="Times New Roman"/>
          <w:sz w:val="20"/>
          <w:szCs w:val="20"/>
        </w:rPr>
        <w:t>（</w:t>
      </w:r>
      <w:r w:rsidRPr="00DA3BC7">
        <w:rPr>
          <w:rFonts w:ascii="Times New Roman" w:hAnsi="Times New Roman"/>
          <w:sz w:val="20"/>
          <w:szCs w:val="20"/>
        </w:rPr>
        <w:t>pp.12</w:t>
      </w:r>
      <w:r w:rsidRPr="00DA3BC7">
        <w:rPr>
          <w:rFonts w:ascii="Times New Roman" w:eastAsia="SimSun" w:hAnsi="Times New Roman"/>
          <w:sz w:val="20"/>
          <w:szCs w:val="20"/>
        </w:rPr>
        <w:t>5</w:t>
      </w:r>
      <w:r w:rsidRPr="00DA3BC7">
        <w:rPr>
          <w:rFonts w:ascii="Times New Roman" w:hAnsi="Times New Roman"/>
          <w:sz w:val="20"/>
          <w:szCs w:val="20"/>
        </w:rPr>
        <w:t>-12</w:t>
      </w:r>
      <w:r w:rsidRPr="00DA3BC7">
        <w:rPr>
          <w:rFonts w:ascii="Times New Roman" w:eastAsia="SimSun" w:hAnsi="Times New Roman"/>
          <w:sz w:val="20"/>
          <w:szCs w:val="20"/>
        </w:rPr>
        <w:t>6</w:t>
      </w:r>
      <w:r w:rsidRPr="00DA3BC7">
        <w:rPr>
          <w:rFonts w:ascii="Times New Roman" w:hAnsi="Times New Roman"/>
          <w:sz w:val="20"/>
          <w:szCs w:val="20"/>
        </w:rPr>
        <w:t>）</w:t>
      </w:r>
    </w:p>
    <w:p w:rsidR="00AA120F" w:rsidRPr="00DA3BC7" w:rsidRDefault="00AA120F" w:rsidP="002E5DD4">
      <w:pPr>
        <w:ind w:leftChars="100" w:left="240"/>
        <w:jc w:val="both"/>
        <w:rPr>
          <w:rFonts w:ascii="Times New Roman" w:hAnsi="Times New Roman"/>
        </w:rPr>
        <w:sectPr w:rsidR="00AA120F" w:rsidRPr="00DA3BC7" w:rsidSect="004F4714">
          <w:headerReference w:type="default" r:id="rId50"/>
          <w:footnotePr>
            <w:numRestart w:val="eachSect"/>
          </w:footnotePr>
          <w:pgSz w:w="10773" w:h="14742" w:code="155"/>
          <w:pgMar w:top="1418" w:right="1418" w:bottom="1418" w:left="1418" w:header="851" w:footer="992" w:gutter="0"/>
          <w:cols w:space="425"/>
          <w:docGrid w:type="lines" w:linePitch="360"/>
        </w:sectPr>
      </w:pPr>
      <w:r w:rsidRPr="00DA3BC7">
        <w:rPr>
          <w:rFonts w:ascii="Times New Roman" w:hAnsi="Times New Roman"/>
        </w:rPr>
        <w:t>世間的漫長，人命的短促，幻相的深微</w:t>
      </w:r>
      <w:r w:rsidRPr="00DA3BC7">
        <w:rPr>
          <w:rStyle w:val="a6"/>
          <w:rFonts w:ascii="Times New Roman" w:hAnsi="Times New Roman"/>
        </w:rPr>
        <w:footnoteReference w:id="592"/>
      </w:r>
      <w:r w:rsidRPr="00DA3BC7">
        <w:rPr>
          <w:rFonts w:ascii="Times New Roman" w:hAnsi="Times New Roman"/>
        </w:rPr>
        <w:t>，使我們不能知其如幻，不能適如其量的了解他，因而引起不少的倒見！</w:t>
      </w:r>
    </w:p>
    <w:p w:rsidR="00AA120F" w:rsidRPr="00DA3BC7" w:rsidRDefault="00AA120F" w:rsidP="008E2BBC">
      <w:pPr>
        <w:pStyle w:val="1"/>
      </w:pPr>
      <w:bookmarkStart w:id="104" w:name="_Toc405499779"/>
      <w:r w:rsidRPr="00DA3BC7">
        <w:lastRenderedPageBreak/>
        <w:t>第</w:t>
      </w:r>
      <w:r w:rsidRPr="00DA3BC7">
        <w:rPr>
          <w:rFonts w:hint="eastAsia"/>
        </w:rPr>
        <w:t>七章、</w:t>
      </w:r>
      <w:r w:rsidRPr="00DA3BC7">
        <w:t>有、時、空、動</w:t>
      </w:r>
      <w:bookmarkEnd w:id="104"/>
    </w:p>
    <w:p w:rsidR="00AA120F" w:rsidRPr="00DA3BC7" w:rsidRDefault="00AA120F" w:rsidP="008E2BBC">
      <w:pPr>
        <w:pStyle w:val="2"/>
      </w:pPr>
      <w:bookmarkStart w:id="105" w:name="_Toc405499780"/>
      <w:r w:rsidRPr="00DA3BC7">
        <w:rPr>
          <w:rFonts w:hint="eastAsia"/>
        </w:rPr>
        <w:t>第三節、空間</w:t>
      </w:r>
      <w:bookmarkEnd w:id="105"/>
    </w:p>
    <w:p w:rsidR="00AA120F" w:rsidRPr="00DA3BC7" w:rsidRDefault="00AA120F" w:rsidP="008E2BBC">
      <w:pPr>
        <w:jc w:val="center"/>
        <w:rPr>
          <w:rFonts w:ascii="Times New Roman" w:eastAsia="SimSun" w:hAnsi="Times New Roman"/>
        </w:rPr>
      </w:pPr>
      <w:r w:rsidRPr="00DA3BC7">
        <w:rPr>
          <w:rFonts w:ascii="Times New Roman" w:eastAsia="標楷體" w:hAnsi="Times New Roman" w:hint="eastAsia"/>
        </w:rPr>
        <w:t>（</w:t>
      </w:r>
      <w:r w:rsidRPr="00DA3BC7">
        <w:rPr>
          <w:rFonts w:ascii="Times New Roman" w:eastAsia="標楷體" w:hAnsi="Times New Roman"/>
        </w:rPr>
        <w:t>pp.126-131</w:t>
      </w:r>
      <w:r w:rsidRPr="00DA3BC7">
        <w:rPr>
          <w:rFonts w:ascii="Times New Roman" w:eastAsia="標楷體" w:hAnsi="Times New Roman" w:hint="eastAsia"/>
        </w:rPr>
        <w:t>）</w:t>
      </w:r>
    </w:p>
    <w:p w:rsidR="00AA120F" w:rsidRPr="00DA3BC7" w:rsidRDefault="00AA120F" w:rsidP="008E2BBC">
      <w:pPr>
        <w:pStyle w:val="Author"/>
      </w:pPr>
    </w:p>
    <w:p w:rsidR="00E50E9C" w:rsidRDefault="00E50E9C" w:rsidP="00AE3920">
      <w:pPr>
        <w:spacing w:beforeLines="50"/>
        <w:jc w:val="both"/>
        <w:rPr>
          <w:rFonts w:ascii="Times New Roman" w:hAnsi="Times New Roman"/>
        </w:rPr>
      </w:pPr>
      <w:r w:rsidRPr="00DA3BC7">
        <w:rPr>
          <w:rFonts w:ascii="Times New Roman" w:hAnsi="Times New Roman" w:hint="eastAsia"/>
        </w:rPr>
        <w:t>空間，所遭遇的困難，與時間差不多。</w:t>
      </w:r>
    </w:p>
    <w:p w:rsidR="00AA120F" w:rsidRPr="00DA3BC7" w:rsidRDefault="00AA120F" w:rsidP="00AE3920">
      <w:pPr>
        <w:spacing w:beforeLines="30"/>
        <w:jc w:val="both"/>
        <w:rPr>
          <w:rFonts w:ascii="Times New Roman" w:eastAsia="SimSun" w:hAnsi="Times New Roman"/>
          <w:sz w:val="20"/>
          <w:szCs w:val="20"/>
        </w:rPr>
      </w:pPr>
      <w:r w:rsidRPr="00DA3BC7">
        <w:rPr>
          <w:rFonts w:ascii="Times New Roman" w:hAnsi="Times New Roman" w:hint="eastAsia"/>
          <w:b/>
          <w:bCs/>
          <w:sz w:val="20"/>
          <w:szCs w:val="20"/>
          <w:bdr w:val="single" w:sz="4" w:space="0" w:color="auto"/>
        </w:rPr>
        <w:t>壹、各</w:t>
      </w:r>
      <w:r w:rsidRPr="00DA3BC7">
        <w:rPr>
          <w:rFonts w:hint="eastAsia"/>
          <w:b/>
          <w:sz w:val="20"/>
          <w:szCs w:val="20"/>
          <w:bdr w:val="single" w:sz="4" w:space="0" w:color="auto"/>
        </w:rPr>
        <w:t>學派</w:t>
      </w:r>
      <w:r w:rsidRPr="00DA3BC7">
        <w:rPr>
          <w:rFonts w:ascii="Times New Roman" w:hAnsi="Times New Roman" w:hint="eastAsia"/>
          <w:b/>
          <w:bCs/>
          <w:sz w:val="20"/>
          <w:szCs w:val="20"/>
          <w:bdr w:val="single" w:sz="4" w:space="0" w:color="auto"/>
        </w:rPr>
        <w:t>對「空間」之看法</w:t>
      </w:r>
      <w:r w:rsidRPr="00DA3BC7">
        <w:rPr>
          <w:rFonts w:ascii="Times New Roman" w:hAnsi="Times New Roman" w:hint="eastAsia"/>
          <w:sz w:val="20"/>
          <w:szCs w:val="20"/>
        </w:rPr>
        <w:t>（</w:t>
      </w:r>
      <w:r w:rsidRPr="00DA3BC7">
        <w:rPr>
          <w:rFonts w:ascii="Times New Roman" w:hAnsi="Times New Roman"/>
          <w:sz w:val="20"/>
          <w:szCs w:val="20"/>
        </w:rPr>
        <w:t>pp.126-128</w:t>
      </w:r>
      <w:r w:rsidRPr="00DA3BC7">
        <w:rPr>
          <w:rFonts w:ascii="Times New Roman" w:hAnsi="Times New Roman" w:hint="eastAsia"/>
          <w:sz w:val="20"/>
          <w:szCs w:val="20"/>
        </w:rPr>
        <w:t>）</w:t>
      </w:r>
    </w:p>
    <w:p w:rsidR="00AA120F" w:rsidRPr="00DA3BC7" w:rsidRDefault="00AA120F" w:rsidP="008E2BBC">
      <w:pPr>
        <w:ind w:leftChars="50" w:left="120"/>
        <w:jc w:val="both"/>
        <w:rPr>
          <w:rFonts w:ascii="Times New Roman" w:hAnsi="Times New Roman"/>
        </w:rPr>
      </w:pPr>
      <w:r w:rsidRPr="00DA3BC7">
        <w:rPr>
          <w:rFonts w:ascii="Times New Roman" w:hAnsi="Times New Roman" w:hint="eastAsia"/>
          <w:b/>
          <w:sz w:val="20"/>
          <w:szCs w:val="20"/>
          <w:bdr w:val="single" w:sz="4" w:space="0" w:color="auto"/>
        </w:rPr>
        <w:t>（壹）印度外道</w:t>
      </w:r>
      <w:r w:rsidRPr="00E50E9C">
        <w:rPr>
          <w:rFonts w:ascii="Times New Roman" w:hAnsi="Times New Roman" w:hint="eastAsia"/>
          <w:b/>
          <w:color w:val="FF0000"/>
          <w:sz w:val="20"/>
          <w:szCs w:val="20"/>
          <w:highlight w:val="yellow"/>
          <w:bdr w:val="single" w:sz="4" w:space="0" w:color="auto"/>
        </w:rPr>
        <w:t>的</w:t>
      </w:r>
      <w:r w:rsidR="00E50E9C" w:rsidRPr="00E50E9C">
        <w:rPr>
          <w:rFonts w:ascii="Times New Roman" w:hAnsi="Times New Roman" w:hint="eastAsia"/>
          <w:b/>
          <w:color w:val="FF0000"/>
          <w:sz w:val="20"/>
          <w:szCs w:val="20"/>
          <w:highlight w:val="yellow"/>
          <w:bdr w:val="single" w:sz="4" w:space="0" w:color="auto"/>
        </w:rPr>
        <w:t>主張</w:t>
      </w:r>
      <w:r w:rsidRPr="00DA3BC7">
        <w:rPr>
          <w:rFonts w:ascii="Times New Roman" w:hAnsi="Times New Roman" w:hint="eastAsia"/>
          <w:sz w:val="20"/>
          <w:szCs w:val="20"/>
        </w:rPr>
        <w:t>（</w:t>
      </w:r>
      <w:r w:rsidRPr="00DA3BC7">
        <w:rPr>
          <w:rFonts w:ascii="Times New Roman" w:hAnsi="Times New Roman"/>
          <w:sz w:val="20"/>
          <w:szCs w:val="20"/>
        </w:rPr>
        <w:t>p.126</w:t>
      </w:r>
      <w:r w:rsidRPr="00DA3BC7">
        <w:rPr>
          <w:rFonts w:ascii="Times New Roman" w:hAnsi="Times New Roman" w:hint="eastAsia"/>
          <w:sz w:val="20"/>
          <w:szCs w:val="20"/>
        </w:rPr>
        <w:t>）</w:t>
      </w:r>
    </w:p>
    <w:p w:rsidR="00AA120F" w:rsidRPr="00DA3BC7" w:rsidRDefault="00AA120F" w:rsidP="008E2BBC">
      <w:pPr>
        <w:ind w:leftChars="50" w:left="120"/>
        <w:jc w:val="both"/>
        <w:rPr>
          <w:rFonts w:ascii="Times New Roman" w:eastAsia="SimSun" w:hAnsi="Times New Roman"/>
        </w:rPr>
      </w:pPr>
      <w:r w:rsidRPr="00DA3BC7">
        <w:rPr>
          <w:rFonts w:ascii="Times New Roman" w:hAnsi="Times New Roman" w:hint="eastAsia"/>
        </w:rPr>
        <w:t>印度的外道，把空也看成實體的東西，他們將空與地、水、火、風合稱為五大，認此五大是組成宇宙萬象的五種原質。</w:t>
      </w:r>
      <w:r w:rsidRPr="00DA3BC7">
        <w:rPr>
          <w:rStyle w:val="a6"/>
          <w:rFonts w:ascii="Times New Roman" w:hAnsi="Times New Roman"/>
          <w:szCs w:val="23"/>
        </w:rPr>
        <w:footnoteReference w:id="593"/>
      </w:r>
    </w:p>
    <w:p w:rsidR="00AA120F" w:rsidRPr="00DA3BC7" w:rsidRDefault="00AA120F" w:rsidP="00AE3920">
      <w:pPr>
        <w:spacing w:beforeLines="30"/>
        <w:ind w:leftChars="50" w:left="120"/>
        <w:jc w:val="both"/>
        <w:rPr>
          <w:rFonts w:ascii="Times New Roman" w:hAnsi="Times New Roman"/>
        </w:rPr>
      </w:pPr>
      <w:r w:rsidRPr="00DA3BC7">
        <w:rPr>
          <w:rFonts w:ascii="Times New Roman" w:hAnsi="Times New Roman" w:hint="eastAsia"/>
          <w:b/>
          <w:sz w:val="20"/>
          <w:szCs w:val="20"/>
          <w:bdr w:val="single" w:sz="4" w:space="0" w:color="auto"/>
        </w:rPr>
        <w:t>（貳）</w:t>
      </w:r>
      <w:r w:rsidRPr="00E50E9C">
        <w:rPr>
          <w:rFonts w:ascii="Times New Roman" w:hAnsi="Times New Roman" w:hint="eastAsia"/>
          <w:b/>
          <w:color w:val="FF0000"/>
          <w:sz w:val="20"/>
          <w:szCs w:val="20"/>
          <w:highlight w:val="yellow"/>
          <w:bdr w:val="single" w:sz="4" w:space="0" w:color="auto"/>
        </w:rPr>
        <w:t>佛</w:t>
      </w:r>
      <w:r w:rsidR="00E50E9C" w:rsidRPr="00E50E9C">
        <w:rPr>
          <w:rFonts w:ascii="Times New Roman" w:hAnsi="Times New Roman" w:hint="eastAsia"/>
          <w:b/>
          <w:color w:val="FF0000"/>
          <w:sz w:val="20"/>
          <w:szCs w:val="20"/>
          <w:highlight w:val="yellow"/>
          <w:bdr w:val="single" w:sz="4" w:space="0" w:color="auto"/>
        </w:rPr>
        <w:t>教</w:t>
      </w:r>
      <w:r w:rsidRPr="00E50E9C">
        <w:rPr>
          <w:rFonts w:ascii="Times New Roman" w:hAnsi="Times New Roman" w:hint="eastAsia"/>
          <w:b/>
          <w:color w:val="FF0000"/>
          <w:sz w:val="20"/>
          <w:szCs w:val="20"/>
          <w:highlight w:val="yellow"/>
          <w:bdr w:val="single" w:sz="4" w:space="0" w:color="auto"/>
        </w:rPr>
        <w:t>的</w:t>
      </w:r>
      <w:r w:rsidR="00E50E9C" w:rsidRPr="00E50E9C">
        <w:rPr>
          <w:rFonts w:ascii="Times New Roman" w:hAnsi="Times New Roman" w:hint="eastAsia"/>
          <w:b/>
          <w:color w:val="FF0000"/>
          <w:sz w:val="20"/>
          <w:szCs w:val="20"/>
          <w:highlight w:val="yellow"/>
          <w:bdr w:val="single" w:sz="4" w:space="0" w:color="auto"/>
        </w:rPr>
        <w:t>觀點</w:t>
      </w:r>
      <w:r w:rsidRPr="00DA3BC7">
        <w:rPr>
          <w:rFonts w:ascii="Times New Roman" w:hAnsi="Times New Roman" w:hint="eastAsia"/>
          <w:sz w:val="20"/>
          <w:szCs w:val="20"/>
        </w:rPr>
        <w:t>（</w:t>
      </w:r>
      <w:r w:rsidRPr="00DA3BC7">
        <w:rPr>
          <w:rFonts w:ascii="Times New Roman" w:hAnsi="Times New Roman"/>
          <w:sz w:val="20"/>
          <w:szCs w:val="20"/>
        </w:rPr>
        <w:t>p.126</w:t>
      </w:r>
      <w:r w:rsidRPr="00DA3BC7">
        <w:rPr>
          <w:rFonts w:ascii="Times New Roman" w:hAnsi="Times New Roman" w:hint="eastAsia"/>
          <w:sz w:val="20"/>
          <w:szCs w:val="20"/>
        </w:rPr>
        <w:t>）</w:t>
      </w:r>
    </w:p>
    <w:p w:rsidR="00E50E9C" w:rsidRDefault="00E50E9C" w:rsidP="002E5DD4">
      <w:pPr>
        <w:ind w:leftChars="100" w:left="240"/>
        <w:jc w:val="both"/>
        <w:rPr>
          <w:rFonts w:ascii="Times New Roman" w:hAnsi="Times New Roman"/>
          <w:sz w:val="20"/>
          <w:szCs w:val="20"/>
        </w:rPr>
      </w:pPr>
      <w:r w:rsidRPr="00E50E9C">
        <w:rPr>
          <w:rFonts w:ascii="Times New Roman" w:hAnsi="Times New Roman" w:hint="eastAsia"/>
          <w:b/>
          <w:color w:val="FF0000"/>
          <w:sz w:val="20"/>
          <w:szCs w:val="20"/>
          <w:highlight w:val="yellow"/>
          <w:bdr w:val="single" w:sz="4" w:space="0" w:color="auto"/>
        </w:rPr>
        <w:t>一、概述</w:t>
      </w:r>
      <w:r w:rsidRPr="00DA3BC7">
        <w:rPr>
          <w:rFonts w:ascii="Times New Roman" w:hAnsi="Times New Roman" w:hint="eastAsia"/>
          <w:sz w:val="20"/>
          <w:szCs w:val="20"/>
        </w:rPr>
        <w:t>（</w:t>
      </w:r>
      <w:r w:rsidRPr="00DA3BC7">
        <w:rPr>
          <w:rFonts w:ascii="Times New Roman" w:hAnsi="Times New Roman"/>
          <w:sz w:val="20"/>
          <w:szCs w:val="20"/>
        </w:rPr>
        <w:t>p.126</w:t>
      </w:r>
      <w:r w:rsidRPr="00DA3BC7">
        <w:rPr>
          <w:rFonts w:ascii="Times New Roman" w:hAnsi="Times New Roman" w:hint="eastAsia"/>
          <w:sz w:val="20"/>
          <w:szCs w:val="20"/>
        </w:rPr>
        <w:t>）</w:t>
      </w:r>
    </w:p>
    <w:p w:rsidR="00AA120F" w:rsidRPr="00DA3BC7" w:rsidRDefault="00AA120F" w:rsidP="002E5DD4">
      <w:pPr>
        <w:ind w:leftChars="100" w:left="240"/>
        <w:jc w:val="both"/>
        <w:rPr>
          <w:rFonts w:ascii="Times New Roman" w:hAnsi="Times New Roman"/>
        </w:rPr>
      </w:pPr>
      <w:r w:rsidRPr="00DA3BC7">
        <w:rPr>
          <w:rFonts w:ascii="Times New Roman" w:hAnsi="Times New Roman" w:hint="eastAsia"/>
        </w:rPr>
        <w:t>這在佛法，少有這種見解的。即執諸法實有的</w:t>
      </w:r>
      <w:r w:rsidRPr="00DA3BC7">
        <w:rPr>
          <w:rFonts w:ascii="Times New Roman" w:hAnsi="Times New Roman" w:hint="eastAsia"/>
          <w:b/>
        </w:rPr>
        <w:t>犢子、上座</w:t>
      </w:r>
      <w:r w:rsidRPr="00DA3BC7">
        <w:rPr>
          <w:rFonts w:ascii="Times New Roman" w:hAnsi="Times New Roman" w:hint="eastAsia"/>
        </w:rPr>
        <w:t>等，也沒有把空看成是實體的。</w:t>
      </w:r>
    </w:p>
    <w:p w:rsidR="00AA120F" w:rsidRPr="00DA3BC7" w:rsidRDefault="00AA120F" w:rsidP="00AE3920">
      <w:pPr>
        <w:spacing w:beforeLines="20"/>
        <w:ind w:leftChars="100" w:left="240"/>
        <w:jc w:val="both"/>
        <w:rPr>
          <w:rFonts w:ascii="Times New Roman" w:eastAsia="SimSun" w:hAnsi="Times New Roman"/>
        </w:rPr>
      </w:pPr>
      <w:r w:rsidRPr="00DA3BC7">
        <w:rPr>
          <w:rFonts w:ascii="Times New Roman" w:hAnsi="Times New Roman" w:hint="eastAsia"/>
        </w:rPr>
        <w:t>佛經裏也常說到虛空，然所說的虛空，是眼所見的，也是身所觸的。這眼見、身觸的虛空，其性是無障礙的。</w:t>
      </w:r>
      <w:r w:rsidRPr="00DA3BC7">
        <w:rPr>
          <w:rStyle w:val="a6"/>
          <w:rFonts w:ascii="Times New Roman" w:hAnsi="Times New Roman"/>
          <w:szCs w:val="23"/>
        </w:rPr>
        <w:footnoteReference w:id="594"/>
      </w:r>
    </w:p>
    <w:p w:rsidR="00ED77A4" w:rsidRDefault="00ED77A4" w:rsidP="00AE3920">
      <w:pPr>
        <w:spacing w:beforeLines="30"/>
        <w:ind w:leftChars="100" w:left="240"/>
        <w:jc w:val="both"/>
        <w:rPr>
          <w:rFonts w:ascii="Times New Roman" w:hAnsi="Times New Roman"/>
          <w:b/>
          <w:color w:val="FF0000"/>
          <w:sz w:val="20"/>
          <w:szCs w:val="20"/>
          <w:bdr w:val="single" w:sz="4" w:space="0" w:color="auto"/>
        </w:rPr>
      </w:pPr>
      <w:r w:rsidRPr="00ED77A4">
        <w:rPr>
          <w:rFonts w:ascii="Times New Roman" w:hAnsi="Times New Roman" w:hint="eastAsia"/>
          <w:b/>
          <w:color w:val="FF0000"/>
          <w:sz w:val="20"/>
          <w:szCs w:val="20"/>
          <w:highlight w:val="yellow"/>
          <w:bdr w:val="single" w:sz="4" w:space="0" w:color="auto"/>
        </w:rPr>
        <w:lastRenderedPageBreak/>
        <w:t>二、別辨</w:t>
      </w:r>
      <w:r w:rsidRPr="00DA3BC7">
        <w:rPr>
          <w:rFonts w:ascii="Times New Roman" w:hAnsi="Times New Roman" w:hint="eastAsia"/>
          <w:sz w:val="20"/>
          <w:szCs w:val="20"/>
        </w:rPr>
        <w:t>（</w:t>
      </w:r>
      <w:r w:rsidRPr="00DA3BC7">
        <w:rPr>
          <w:rFonts w:ascii="Times New Roman" w:hAnsi="Times New Roman" w:hint="eastAsia"/>
          <w:sz w:val="20"/>
          <w:szCs w:val="20"/>
        </w:rPr>
        <w:t>p</w:t>
      </w:r>
      <w:r w:rsidRPr="00DA3BC7">
        <w:rPr>
          <w:rFonts w:ascii="Times New Roman" w:hAnsi="Times New Roman"/>
          <w:sz w:val="20"/>
          <w:szCs w:val="20"/>
        </w:rPr>
        <w:t>p.126-12</w:t>
      </w:r>
      <w:r>
        <w:rPr>
          <w:rFonts w:ascii="Times New Roman" w:hAnsi="Times New Roman" w:hint="eastAsia"/>
          <w:sz w:val="20"/>
          <w:szCs w:val="20"/>
        </w:rPr>
        <w:t>8</w:t>
      </w:r>
      <w:r w:rsidRPr="00DA3BC7">
        <w:rPr>
          <w:rFonts w:ascii="Times New Roman" w:hAnsi="Times New Roman" w:hint="eastAsia"/>
          <w:sz w:val="20"/>
          <w:szCs w:val="20"/>
        </w:rPr>
        <w:t>）</w:t>
      </w:r>
    </w:p>
    <w:p w:rsidR="00AA120F" w:rsidRDefault="00AA120F" w:rsidP="002E5DD4">
      <w:pPr>
        <w:ind w:leftChars="150" w:left="360"/>
        <w:jc w:val="both"/>
        <w:rPr>
          <w:rFonts w:ascii="Times New Roman" w:hAnsi="Times New Roman"/>
          <w:sz w:val="20"/>
          <w:szCs w:val="20"/>
        </w:rPr>
      </w:pPr>
      <w:r w:rsidRPr="00ED77A4">
        <w:rPr>
          <w:rFonts w:ascii="Times New Roman" w:hAnsi="Times New Roman" w:hint="eastAsia"/>
          <w:b/>
          <w:color w:val="FF0000"/>
          <w:sz w:val="20"/>
          <w:szCs w:val="20"/>
          <w:highlight w:val="yellow"/>
          <w:bdr w:val="single" w:sz="4" w:space="0" w:color="auto"/>
        </w:rPr>
        <w:t>（</w:t>
      </w:r>
      <w:r w:rsidR="00ED77A4" w:rsidRPr="00ED77A4">
        <w:rPr>
          <w:rFonts w:ascii="Times New Roman" w:hAnsi="Times New Roman" w:hint="eastAsia"/>
          <w:b/>
          <w:color w:val="FF0000"/>
          <w:sz w:val="20"/>
          <w:szCs w:val="20"/>
          <w:highlight w:val="yellow"/>
          <w:bdr w:val="single" w:sz="4" w:space="0" w:color="auto"/>
        </w:rPr>
        <w:t>一</w:t>
      </w:r>
      <w:r w:rsidRPr="00ED77A4">
        <w:rPr>
          <w:rFonts w:ascii="Times New Roman" w:hAnsi="Times New Roman" w:hint="eastAsia"/>
          <w:b/>
          <w:color w:val="FF0000"/>
          <w:sz w:val="20"/>
          <w:szCs w:val="20"/>
          <w:highlight w:val="yellow"/>
          <w:bdr w:val="single" w:sz="4" w:space="0" w:color="auto"/>
        </w:rPr>
        <w:t>）</w:t>
      </w:r>
      <w:r w:rsidR="00A9704C">
        <w:rPr>
          <w:rFonts w:ascii="Times New Roman" w:hAnsi="Times New Roman" w:hint="eastAsia"/>
          <w:b/>
          <w:color w:val="FF0000"/>
          <w:sz w:val="20"/>
          <w:szCs w:val="20"/>
          <w:highlight w:val="yellow"/>
          <w:bdr w:val="single" w:sz="4" w:space="0" w:color="auto"/>
        </w:rPr>
        <w:t>評「</w:t>
      </w:r>
      <w:r w:rsidR="00ED77A4" w:rsidRPr="00ED77A4">
        <w:rPr>
          <w:rFonts w:ascii="Times New Roman" w:hAnsi="Times New Roman" w:hint="eastAsia"/>
          <w:b/>
          <w:color w:val="FF0000"/>
          <w:sz w:val="20"/>
          <w:szCs w:val="20"/>
          <w:highlight w:val="yellow"/>
          <w:bdr w:val="single" w:sz="4" w:space="0" w:color="auto"/>
        </w:rPr>
        <w:t>有</w:t>
      </w:r>
      <w:r w:rsidRPr="00ED77A4">
        <w:rPr>
          <w:rFonts w:ascii="Times New Roman" w:hAnsi="Times New Roman" w:hint="eastAsia"/>
          <w:b/>
          <w:color w:val="FF0000"/>
          <w:sz w:val="20"/>
          <w:szCs w:val="20"/>
          <w:highlight w:val="yellow"/>
          <w:bdr w:val="single" w:sz="4" w:space="0" w:color="auto"/>
        </w:rPr>
        <w:t>部</w:t>
      </w:r>
      <w:r w:rsidR="00ED77A4" w:rsidRPr="00ED77A4">
        <w:rPr>
          <w:rFonts w:ascii="Times New Roman" w:hAnsi="Times New Roman" w:hint="eastAsia"/>
          <w:b/>
          <w:color w:val="FF0000"/>
          <w:sz w:val="20"/>
          <w:szCs w:val="20"/>
          <w:highlight w:val="yellow"/>
          <w:bdr w:val="single" w:sz="4" w:space="0" w:color="auto"/>
        </w:rPr>
        <w:t>說</w:t>
      </w:r>
      <w:r w:rsidR="00A9704C">
        <w:rPr>
          <w:rFonts w:ascii="Times New Roman" w:hAnsi="Times New Roman" w:hint="eastAsia"/>
          <w:b/>
          <w:color w:val="FF0000"/>
          <w:sz w:val="20"/>
          <w:szCs w:val="20"/>
          <w:highlight w:val="yellow"/>
          <w:bdr w:val="single" w:sz="4" w:space="0" w:color="auto"/>
        </w:rPr>
        <w:t>」</w:t>
      </w:r>
      <w:r w:rsidRPr="00DA3BC7">
        <w:rPr>
          <w:rFonts w:ascii="Times New Roman" w:hAnsi="Times New Roman" w:hint="eastAsia"/>
          <w:sz w:val="20"/>
          <w:szCs w:val="20"/>
        </w:rPr>
        <w:t>（</w:t>
      </w:r>
      <w:r w:rsidRPr="00DA3BC7">
        <w:rPr>
          <w:rFonts w:ascii="Times New Roman" w:hAnsi="Times New Roman" w:hint="eastAsia"/>
          <w:sz w:val="20"/>
          <w:szCs w:val="20"/>
        </w:rPr>
        <w:t>p</w:t>
      </w:r>
      <w:r w:rsidRPr="00DA3BC7">
        <w:rPr>
          <w:rFonts w:ascii="Times New Roman" w:hAnsi="Times New Roman"/>
          <w:sz w:val="20"/>
          <w:szCs w:val="20"/>
        </w:rPr>
        <w:t>p.126-127</w:t>
      </w:r>
      <w:r w:rsidRPr="00DA3BC7">
        <w:rPr>
          <w:rFonts w:ascii="Times New Roman" w:hAnsi="Times New Roman" w:hint="eastAsia"/>
          <w:sz w:val="20"/>
          <w:szCs w:val="20"/>
        </w:rPr>
        <w:t>）</w:t>
      </w:r>
    </w:p>
    <w:p w:rsidR="00ED77A4" w:rsidRPr="00DA3BC7" w:rsidRDefault="00ED77A4" w:rsidP="002E5DD4">
      <w:pPr>
        <w:ind w:leftChars="200" w:left="480"/>
        <w:jc w:val="both"/>
        <w:rPr>
          <w:rFonts w:ascii="Times New Roman" w:hAnsi="Times New Roman"/>
        </w:rPr>
      </w:pPr>
      <w:r>
        <w:rPr>
          <w:rFonts w:ascii="Times New Roman" w:hAnsi="Times New Roman" w:hint="eastAsia"/>
          <w:b/>
          <w:color w:val="FF0000"/>
          <w:sz w:val="20"/>
          <w:szCs w:val="20"/>
          <w:highlight w:val="yellow"/>
          <w:bdr w:val="single" w:sz="4" w:space="0" w:color="auto"/>
        </w:rPr>
        <w:t>1</w:t>
      </w:r>
      <w:r>
        <w:rPr>
          <w:rFonts w:ascii="Times New Roman" w:hAnsi="Times New Roman" w:hint="eastAsia"/>
          <w:b/>
          <w:color w:val="FF0000"/>
          <w:sz w:val="20"/>
          <w:szCs w:val="20"/>
          <w:highlight w:val="yellow"/>
          <w:bdr w:val="single" w:sz="4" w:space="0" w:color="auto"/>
        </w:rPr>
        <w:t>、敘義</w:t>
      </w:r>
      <w:r w:rsidRPr="00DA3BC7">
        <w:rPr>
          <w:rFonts w:ascii="Times New Roman" w:hAnsi="Times New Roman" w:hint="eastAsia"/>
          <w:sz w:val="20"/>
          <w:szCs w:val="20"/>
        </w:rPr>
        <w:t>（</w:t>
      </w:r>
      <w:r w:rsidRPr="00DA3BC7">
        <w:rPr>
          <w:rFonts w:ascii="Times New Roman" w:hAnsi="Times New Roman"/>
          <w:sz w:val="20"/>
          <w:szCs w:val="20"/>
        </w:rPr>
        <w:t>p.126</w:t>
      </w:r>
      <w:r w:rsidRPr="00DA3BC7">
        <w:rPr>
          <w:rFonts w:ascii="Times New Roman" w:hAnsi="Times New Roman" w:hint="eastAsia"/>
          <w:sz w:val="20"/>
          <w:szCs w:val="20"/>
        </w:rPr>
        <w:t>）</w:t>
      </w:r>
    </w:p>
    <w:p w:rsidR="00AA120F" w:rsidRPr="00DA3BC7" w:rsidRDefault="00AA120F" w:rsidP="002E5DD4">
      <w:pPr>
        <w:ind w:leftChars="200" w:left="480"/>
        <w:jc w:val="both"/>
        <w:rPr>
          <w:rFonts w:ascii="Times New Roman" w:hAnsi="Times New Roman"/>
          <w:szCs w:val="23"/>
        </w:rPr>
      </w:pPr>
      <w:r w:rsidRPr="00DA3BC7">
        <w:rPr>
          <w:rFonts w:ascii="Times New Roman" w:hAnsi="Times New Roman" w:hint="eastAsia"/>
          <w:szCs w:val="23"/>
        </w:rPr>
        <w:t>唯有薩婆多部，把空分為兩種：</w:t>
      </w:r>
      <w:r w:rsidRPr="00DA3BC7">
        <w:rPr>
          <w:rStyle w:val="a6"/>
          <w:rFonts w:ascii="Times New Roman" w:hAnsi="Times New Roman"/>
          <w:szCs w:val="23"/>
        </w:rPr>
        <w:footnoteReference w:id="595"/>
      </w:r>
    </w:p>
    <w:p w:rsidR="00AA120F" w:rsidRPr="00DA3BC7" w:rsidRDefault="00AA120F" w:rsidP="002E5DD4">
      <w:pPr>
        <w:ind w:leftChars="200" w:left="480"/>
        <w:jc w:val="both"/>
        <w:rPr>
          <w:rFonts w:ascii="Times New Roman" w:hAnsi="Times New Roman"/>
          <w:szCs w:val="23"/>
        </w:rPr>
      </w:pPr>
      <w:r w:rsidRPr="00DA3BC7">
        <w:rPr>
          <w:rFonts w:ascii="Times New Roman" w:hAnsi="Times New Roman" w:hint="eastAsia"/>
        </w:rPr>
        <w:t>有為有漏的</w:t>
      </w:r>
      <w:r w:rsidRPr="00DA3BC7">
        <w:rPr>
          <w:rFonts w:ascii="Times New Roman" w:hAnsi="Times New Roman" w:hint="eastAsia"/>
          <w:b/>
        </w:rPr>
        <w:t>虛空</w:t>
      </w:r>
      <w:r w:rsidRPr="00DA3BC7">
        <w:rPr>
          <w:rFonts w:ascii="Times New Roman" w:hAnsi="Times New Roman" w:hint="eastAsia"/>
        </w:rPr>
        <w:t>，即上</w:t>
      </w:r>
      <w:r w:rsidRPr="00DA3BC7">
        <w:rPr>
          <w:rFonts w:ascii="Times New Roman" w:hAnsi="Times New Roman" w:hint="eastAsia"/>
          <w:szCs w:val="23"/>
        </w:rPr>
        <w:t>來所說的眼見（身觸）的虛空。</w:t>
      </w:r>
      <w:r w:rsidRPr="00DA3BC7">
        <w:rPr>
          <w:rStyle w:val="a6"/>
          <w:rFonts w:ascii="Times New Roman" w:hAnsi="Times New Roman"/>
          <w:szCs w:val="23"/>
        </w:rPr>
        <w:footnoteReference w:id="596"/>
      </w:r>
    </w:p>
    <w:p w:rsidR="00AA120F" w:rsidRPr="00DA3BC7" w:rsidRDefault="00AA120F" w:rsidP="002E5DD4">
      <w:pPr>
        <w:ind w:leftChars="200" w:left="480"/>
        <w:jc w:val="both"/>
        <w:rPr>
          <w:rFonts w:ascii="Times New Roman" w:hAnsi="Times New Roman"/>
          <w:szCs w:val="23"/>
        </w:rPr>
      </w:pPr>
      <w:r w:rsidRPr="00DA3BC7">
        <w:rPr>
          <w:rFonts w:ascii="Times New Roman" w:hAnsi="Times New Roman" w:hint="eastAsia"/>
          <w:b/>
          <w:szCs w:val="23"/>
        </w:rPr>
        <w:t>虛空無為</w:t>
      </w:r>
      <w:r w:rsidRPr="00DA3BC7">
        <w:rPr>
          <w:rFonts w:ascii="Times New Roman" w:hAnsi="Times New Roman" w:hint="eastAsia"/>
          <w:szCs w:val="23"/>
        </w:rPr>
        <w:t>，此是不生滅法。如</w:t>
      </w:r>
      <w:r w:rsidR="00ED77A4" w:rsidRPr="00ED77A4">
        <w:rPr>
          <w:rFonts w:ascii="Times New Roman" w:hAnsi="Times New Roman" w:hint="eastAsia"/>
          <w:highlight w:val="yellow"/>
        </w:rPr>
        <w:t>（《俱舍論》卷</w:t>
      </w:r>
      <w:r w:rsidR="00ED77A4" w:rsidRPr="00ED77A4">
        <w:rPr>
          <w:rFonts w:ascii="Times New Roman" w:hAnsi="Times New Roman" w:hint="eastAsia"/>
          <w:highlight w:val="yellow"/>
        </w:rPr>
        <w:t>1</w:t>
      </w:r>
      <w:r w:rsidR="00ED77A4" w:rsidRPr="00ED77A4">
        <w:rPr>
          <w:rFonts w:ascii="Times New Roman" w:hAnsi="Times New Roman" w:hint="eastAsia"/>
          <w:highlight w:val="yellow"/>
        </w:rPr>
        <w:t>）</w:t>
      </w:r>
      <w:r w:rsidRPr="00DA3BC7">
        <w:rPr>
          <w:rFonts w:ascii="Times New Roman" w:hAnsi="Times New Roman" w:hint="eastAsia"/>
          <w:szCs w:val="23"/>
        </w:rPr>
        <w:t>說：「</w:t>
      </w:r>
      <w:r w:rsidRPr="00DA3BC7">
        <w:rPr>
          <w:rFonts w:ascii="Times New Roman" w:eastAsia="標楷體" w:hAnsi="Times New Roman" w:hint="eastAsia"/>
          <w:szCs w:val="23"/>
        </w:rPr>
        <w:t>虛空但以無礙為性，由無障故，色於中行</w:t>
      </w:r>
      <w:r w:rsidRPr="00DA3BC7">
        <w:rPr>
          <w:rFonts w:ascii="Times New Roman" w:hAnsi="Times New Roman" w:hint="eastAsia"/>
          <w:szCs w:val="23"/>
        </w:rPr>
        <w:t>。」</w:t>
      </w:r>
      <w:r w:rsidRPr="00DA3BC7">
        <w:rPr>
          <w:rStyle w:val="a6"/>
          <w:rFonts w:ascii="Times New Roman" w:hAnsi="Times New Roman"/>
          <w:szCs w:val="23"/>
        </w:rPr>
        <w:footnoteReference w:id="597"/>
      </w:r>
      <w:r w:rsidRPr="00DA3BC7">
        <w:rPr>
          <w:rFonts w:ascii="Times New Roman" w:hAnsi="Times New Roman" w:hint="eastAsia"/>
          <w:szCs w:val="23"/>
        </w:rPr>
        <w:t>一切色法──物質的起滅，皆依於虛空無為，虛空無為的無障礙性是遍於一切色法的，一切色法，由於無礙的虛空性才能起滅。這樣，虛空是普遍常恒而不變的無礙性了。</w:t>
      </w:r>
    </w:p>
    <w:p w:rsidR="00ED77A4" w:rsidRDefault="00ED77A4" w:rsidP="00AE3920">
      <w:pPr>
        <w:spacing w:beforeLines="30"/>
        <w:ind w:leftChars="200" w:left="480"/>
        <w:jc w:val="both"/>
        <w:rPr>
          <w:rFonts w:ascii="Times New Roman" w:hAnsi="Times New Roman"/>
          <w:b/>
          <w:color w:val="FF0000"/>
          <w:sz w:val="20"/>
          <w:szCs w:val="20"/>
          <w:bdr w:val="single" w:sz="4" w:space="0" w:color="auto"/>
        </w:rPr>
      </w:pPr>
      <w:r>
        <w:rPr>
          <w:rFonts w:ascii="Times New Roman" w:hAnsi="Times New Roman" w:hint="eastAsia"/>
          <w:b/>
          <w:color w:val="FF0000"/>
          <w:sz w:val="20"/>
          <w:szCs w:val="20"/>
          <w:highlight w:val="yellow"/>
          <w:bdr w:val="single" w:sz="4" w:space="0" w:color="auto"/>
        </w:rPr>
        <w:t>2</w:t>
      </w:r>
      <w:r w:rsidRPr="00ED77A4">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評判</w:t>
      </w:r>
      <w:r w:rsidRPr="00DA3BC7">
        <w:rPr>
          <w:rFonts w:ascii="Times New Roman" w:hAnsi="Times New Roman" w:hint="eastAsia"/>
          <w:sz w:val="20"/>
          <w:szCs w:val="20"/>
        </w:rPr>
        <w:t>（</w:t>
      </w:r>
      <w:r w:rsidRPr="00DA3BC7">
        <w:rPr>
          <w:rFonts w:ascii="Times New Roman" w:hAnsi="Times New Roman" w:hint="eastAsia"/>
          <w:sz w:val="20"/>
          <w:szCs w:val="20"/>
        </w:rPr>
        <w:t>p</w:t>
      </w:r>
      <w:r w:rsidRPr="00DA3BC7">
        <w:rPr>
          <w:rFonts w:ascii="Times New Roman" w:hAnsi="Times New Roman"/>
          <w:sz w:val="20"/>
          <w:szCs w:val="20"/>
        </w:rPr>
        <w:t>p.126-12</w:t>
      </w:r>
      <w:r>
        <w:rPr>
          <w:rFonts w:ascii="Times New Roman" w:hAnsi="Times New Roman" w:hint="eastAsia"/>
          <w:sz w:val="20"/>
          <w:szCs w:val="20"/>
        </w:rPr>
        <w:t>7</w:t>
      </w:r>
      <w:r w:rsidRPr="00DA3BC7">
        <w:rPr>
          <w:rFonts w:ascii="Times New Roman" w:hAnsi="Times New Roman" w:hint="eastAsia"/>
          <w:sz w:val="20"/>
          <w:szCs w:val="20"/>
        </w:rPr>
        <w:t>）</w:t>
      </w:r>
    </w:p>
    <w:p w:rsidR="00812788" w:rsidRDefault="00AA120F" w:rsidP="002E5DD4">
      <w:pPr>
        <w:ind w:leftChars="200" w:left="480"/>
        <w:jc w:val="both"/>
        <w:rPr>
          <w:rFonts w:ascii="Times New Roman" w:hAnsi="Times New Roman"/>
          <w:szCs w:val="23"/>
        </w:rPr>
      </w:pPr>
      <w:r w:rsidRPr="00DA3BC7">
        <w:rPr>
          <w:rFonts w:ascii="Times New Roman" w:hAnsi="Times New Roman" w:hint="eastAsia"/>
          <w:szCs w:val="23"/>
        </w:rPr>
        <w:t>薩婆多部這種理論，依於眼</w:t>
      </w:r>
      <w:r w:rsidRPr="00ED77A4">
        <w:rPr>
          <w:rFonts w:ascii="Times New Roman" w:hAnsi="Times New Roman" w:hint="eastAsia"/>
          <w:szCs w:val="23"/>
          <w:highlight w:val="yellow"/>
        </w:rPr>
        <w:t>見身</w:t>
      </w:r>
      <w:r w:rsidRPr="00DA3BC7">
        <w:rPr>
          <w:rFonts w:ascii="Times New Roman" w:hAnsi="Times New Roman" w:hint="eastAsia"/>
          <w:szCs w:val="23"/>
        </w:rPr>
        <w:t>觸的現實虛空而抽象化、理性化的。</w:t>
      </w:r>
    </w:p>
    <w:p w:rsidR="00AA120F" w:rsidRPr="00DA3BC7" w:rsidRDefault="00AA120F" w:rsidP="002E5DD4">
      <w:pPr>
        <w:ind w:leftChars="200" w:left="480"/>
        <w:jc w:val="both"/>
        <w:rPr>
          <w:rFonts w:ascii="Times New Roman" w:eastAsia="SimSun" w:hAnsi="Times New Roman"/>
          <w:szCs w:val="23"/>
        </w:rPr>
      </w:pPr>
      <w:r w:rsidRPr="00DA3BC7">
        <w:rPr>
          <w:rFonts w:ascii="Times New Roman" w:hAnsi="Times New Roman" w:hint="eastAsia"/>
          <w:szCs w:val="23"/>
        </w:rPr>
        <w:lastRenderedPageBreak/>
        <w:t>其實，離了眼見、身觸的虛空，是不會使吾人得到虛空之概念的。</w:t>
      </w:r>
    </w:p>
    <w:p w:rsidR="00AA120F" w:rsidRPr="00DA3BC7" w:rsidRDefault="00AA120F" w:rsidP="00AE3920">
      <w:pPr>
        <w:spacing w:beforeLines="30"/>
        <w:ind w:leftChars="150" w:left="360"/>
        <w:jc w:val="both"/>
        <w:rPr>
          <w:rFonts w:ascii="Times New Roman" w:hAnsi="Times New Roman"/>
          <w:szCs w:val="23"/>
        </w:rPr>
      </w:pPr>
      <w:r w:rsidRPr="00812788">
        <w:rPr>
          <w:rFonts w:ascii="Times New Roman" w:hAnsi="Times New Roman" w:hint="eastAsia"/>
          <w:b/>
          <w:color w:val="FF0000"/>
          <w:sz w:val="20"/>
          <w:szCs w:val="20"/>
          <w:highlight w:val="yellow"/>
          <w:bdr w:val="single" w:sz="4" w:space="0" w:color="auto"/>
        </w:rPr>
        <w:t>（</w:t>
      </w:r>
      <w:r w:rsidR="00812788" w:rsidRPr="00812788">
        <w:rPr>
          <w:rFonts w:ascii="Times New Roman" w:hAnsi="Times New Roman" w:hint="eastAsia"/>
          <w:b/>
          <w:color w:val="FF0000"/>
          <w:sz w:val="20"/>
          <w:szCs w:val="20"/>
          <w:highlight w:val="yellow"/>
          <w:bdr w:val="single" w:sz="4" w:space="0" w:color="auto"/>
        </w:rPr>
        <w:t>二</w:t>
      </w:r>
      <w:r w:rsidRPr="00812788">
        <w:rPr>
          <w:rFonts w:ascii="Times New Roman" w:hAnsi="Times New Roman" w:hint="eastAsia"/>
          <w:b/>
          <w:color w:val="FF0000"/>
          <w:sz w:val="20"/>
          <w:szCs w:val="20"/>
          <w:highlight w:val="yellow"/>
          <w:bdr w:val="single" w:sz="4" w:space="0" w:color="auto"/>
        </w:rPr>
        <w:t>）中觀</w:t>
      </w:r>
      <w:r w:rsidR="00812788" w:rsidRPr="00812788">
        <w:rPr>
          <w:rFonts w:ascii="Times New Roman" w:hAnsi="Times New Roman" w:hint="eastAsia"/>
          <w:b/>
          <w:color w:val="FF0000"/>
          <w:sz w:val="20"/>
          <w:szCs w:val="20"/>
          <w:highlight w:val="yellow"/>
          <w:bdr w:val="single" w:sz="4" w:space="0" w:color="auto"/>
        </w:rPr>
        <w:t>說</w:t>
      </w:r>
      <w:r w:rsidRPr="00DA3BC7">
        <w:rPr>
          <w:rFonts w:ascii="Times New Roman" w:hAnsi="Times New Roman" w:hint="eastAsia"/>
          <w:sz w:val="20"/>
          <w:szCs w:val="20"/>
        </w:rPr>
        <w:t>（</w:t>
      </w:r>
      <w:r w:rsidRPr="00DA3BC7">
        <w:rPr>
          <w:rFonts w:ascii="Times New Roman" w:hAnsi="Times New Roman" w:hint="eastAsia"/>
          <w:sz w:val="20"/>
          <w:szCs w:val="20"/>
        </w:rPr>
        <w:t>p</w:t>
      </w:r>
      <w:r w:rsidRPr="00DA3BC7">
        <w:rPr>
          <w:rFonts w:ascii="Times New Roman" w:hAnsi="Times New Roman"/>
          <w:sz w:val="20"/>
          <w:szCs w:val="20"/>
        </w:rPr>
        <w:t>p.12</w:t>
      </w:r>
      <w:r w:rsidRPr="00DA3BC7">
        <w:rPr>
          <w:rFonts w:ascii="Times New Roman" w:hAnsi="Times New Roman" w:hint="eastAsia"/>
          <w:sz w:val="20"/>
          <w:szCs w:val="20"/>
        </w:rPr>
        <w:t>7</w:t>
      </w:r>
      <w:r w:rsidRPr="00DA3BC7">
        <w:rPr>
          <w:rFonts w:ascii="Times New Roman" w:hAnsi="Times New Roman"/>
          <w:sz w:val="20"/>
          <w:szCs w:val="20"/>
        </w:rPr>
        <w:t>-128</w:t>
      </w:r>
      <w:r w:rsidRPr="00DA3BC7">
        <w:rPr>
          <w:rFonts w:ascii="Times New Roman" w:hAnsi="Times New Roman" w:hint="eastAsia"/>
          <w:sz w:val="20"/>
          <w:szCs w:val="20"/>
        </w:rPr>
        <w:t>）</w:t>
      </w:r>
    </w:p>
    <w:p w:rsidR="00AA120F" w:rsidRPr="00DA3BC7" w:rsidRDefault="00812788" w:rsidP="002E5DD4">
      <w:pPr>
        <w:ind w:leftChars="200" w:left="480"/>
        <w:jc w:val="both"/>
        <w:rPr>
          <w:rFonts w:ascii="Times New Roman" w:eastAsia="SimSun" w:hAnsi="Times New Roman"/>
          <w:b/>
        </w:rPr>
      </w:pPr>
      <w:r w:rsidRPr="00812788">
        <w:rPr>
          <w:rFonts w:ascii="Times New Roman" w:hAnsi="Times New Roman" w:hint="eastAsia"/>
          <w:b/>
          <w:color w:val="FF0000"/>
          <w:sz w:val="20"/>
          <w:szCs w:val="20"/>
          <w:highlight w:val="yellow"/>
          <w:bdr w:val="single" w:sz="4" w:space="0" w:color="auto"/>
        </w:rPr>
        <w:t>1</w:t>
      </w:r>
      <w:r w:rsidR="00AA120F" w:rsidRPr="00812788">
        <w:rPr>
          <w:rFonts w:ascii="Times New Roman" w:hAnsi="Times New Roman"/>
          <w:b/>
          <w:color w:val="FF0000"/>
          <w:sz w:val="20"/>
          <w:szCs w:val="20"/>
          <w:highlight w:val="yellow"/>
          <w:bdr w:val="single" w:sz="4" w:space="0" w:color="auto"/>
        </w:rPr>
        <w:t>、</w:t>
      </w:r>
      <w:r w:rsidRPr="00812788">
        <w:rPr>
          <w:rFonts w:ascii="Times New Roman" w:hAnsi="Times New Roman" w:hint="eastAsia"/>
          <w:b/>
          <w:color w:val="FF0000"/>
          <w:sz w:val="20"/>
          <w:szCs w:val="20"/>
          <w:highlight w:val="yellow"/>
          <w:bdr w:val="single" w:sz="4" w:space="0" w:color="auto"/>
        </w:rPr>
        <w:t>約「幻現之相」</w:t>
      </w:r>
      <w:r w:rsidR="00AA120F" w:rsidRPr="00DA3BC7">
        <w:rPr>
          <w:rFonts w:ascii="Times New Roman" w:hAnsi="Times New Roman" w:hint="eastAsia"/>
          <w:sz w:val="20"/>
          <w:szCs w:val="20"/>
        </w:rPr>
        <w:t>（</w:t>
      </w:r>
      <w:r w:rsidR="00AA120F" w:rsidRPr="00DA3BC7">
        <w:rPr>
          <w:rFonts w:ascii="Times New Roman" w:hAnsi="Times New Roman"/>
          <w:sz w:val="20"/>
          <w:szCs w:val="20"/>
        </w:rPr>
        <w:t>p.12</w:t>
      </w:r>
      <w:r w:rsidR="00AA120F" w:rsidRPr="00DA3BC7">
        <w:rPr>
          <w:rFonts w:ascii="Times New Roman" w:hAnsi="Times New Roman" w:hint="eastAsia"/>
          <w:sz w:val="20"/>
          <w:szCs w:val="20"/>
        </w:rPr>
        <w:t>7</w:t>
      </w:r>
      <w:r w:rsidR="00AA120F" w:rsidRPr="00DA3BC7">
        <w:rPr>
          <w:rFonts w:ascii="Times New Roman" w:hAnsi="Times New Roman" w:hint="eastAsia"/>
          <w:sz w:val="20"/>
          <w:szCs w:val="20"/>
        </w:rPr>
        <w:t>）</w:t>
      </w:r>
    </w:p>
    <w:p w:rsidR="00AA120F" w:rsidRPr="00DA3BC7" w:rsidRDefault="00AA120F" w:rsidP="002E5DD4">
      <w:pPr>
        <w:ind w:leftChars="200" w:left="480"/>
        <w:jc w:val="both"/>
        <w:rPr>
          <w:rFonts w:ascii="Times New Roman" w:hAnsi="Times New Roman"/>
        </w:rPr>
      </w:pPr>
      <w:r w:rsidRPr="00335C9D">
        <w:rPr>
          <w:rFonts w:ascii="Times New Roman" w:hAnsi="Times New Roman" w:hint="eastAsia"/>
          <w:b/>
          <w:u w:val="wave" w:color="C00000"/>
        </w:rPr>
        <w:t>時間</w:t>
      </w:r>
      <w:r w:rsidRPr="00DA3BC7">
        <w:rPr>
          <w:rFonts w:ascii="Times New Roman" w:hAnsi="Times New Roman" w:hint="eastAsia"/>
        </w:rPr>
        <w:t>，幻現為延續相，現為從未來到現在，從現在到過去的；或從過去到現在，從現在到未來的息息</w:t>
      </w:r>
      <w:r w:rsidRPr="00DA3BC7">
        <w:rPr>
          <w:rStyle w:val="a6"/>
          <w:rFonts w:ascii="Times New Roman" w:hAnsi="Times New Roman"/>
        </w:rPr>
        <w:footnoteReference w:id="598"/>
      </w:r>
      <w:r w:rsidRPr="00DA3BC7">
        <w:rPr>
          <w:rFonts w:ascii="Times New Roman" w:hAnsi="Times New Roman" w:hint="eastAsia"/>
        </w:rPr>
        <w:t>流變</w:t>
      </w:r>
      <w:r w:rsidRPr="00DA3BC7">
        <w:rPr>
          <w:rStyle w:val="a6"/>
          <w:rFonts w:ascii="Times New Roman" w:hAnsi="Times New Roman"/>
        </w:rPr>
        <w:footnoteReference w:id="599"/>
      </w:r>
      <w:r w:rsidRPr="00DA3BC7">
        <w:rPr>
          <w:rFonts w:ascii="Times New Roman" w:hAnsi="Times New Roman" w:hint="eastAsia"/>
        </w:rPr>
        <w:t>。</w:t>
      </w:r>
    </w:p>
    <w:p w:rsidR="00AA120F" w:rsidRPr="00DA3BC7" w:rsidRDefault="00AA120F" w:rsidP="00AE3920">
      <w:pPr>
        <w:spacing w:beforeLines="30"/>
        <w:ind w:leftChars="200" w:left="480"/>
        <w:jc w:val="both"/>
        <w:rPr>
          <w:rFonts w:ascii="Times New Roman" w:eastAsia="SimSun" w:hAnsi="Times New Roman"/>
        </w:rPr>
      </w:pPr>
      <w:r w:rsidRPr="00335C9D">
        <w:rPr>
          <w:rFonts w:ascii="Times New Roman" w:hAnsi="Times New Roman" w:hint="eastAsia"/>
          <w:b/>
          <w:u w:val="wave" w:color="C00000"/>
        </w:rPr>
        <w:t>虛空</w:t>
      </w:r>
      <w:r w:rsidRPr="00DA3BC7">
        <w:rPr>
          <w:rFonts w:ascii="Times New Roman" w:hAnsi="Times New Roman" w:hint="eastAsia"/>
        </w:rPr>
        <w:t>即不然，虛空的幻相，似乎是擁抱了一切，如器皿一樣的含容著一切，一切事物都在這無限擴展的空器中活動。所以，或以虛空為比喻，而稱虛空藏、虛空器的。</w:t>
      </w:r>
    </w:p>
    <w:p w:rsidR="00AA120F" w:rsidRPr="00DA3BC7" w:rsidRDefault="00016D77" w:rsidP="00AE3920">
      <w:pPr>
        <w:spacing w:beforeLines="30"/>
        <w:ind w:leftChars="200" w:left="480"/>
        <w:jc w:val="both"/>
        <w:rPr>
          <w:rFonts w:ascii="Times New Roman" w:eastAsia="SimSun" w:hAnsi="Times New Roman"/>
          <w:b/>
          <w:sz w:val="20"/>
          <w:szCs w:val="20"/>
          <w:bdr w:val="single" w:sz="4" w:space="0" w:color="auto"/>
        </w:rPr>
      </w:pPr>
      <w:r w:rsidRPr="00016D77">
        <w:rPr>
          <w:rFonts w:ascii="Times New Roman" w:hAnsi="Times New Roman" w:hint="eastAsia"/>
          <w:b/>
          <w:color w:val="FF0000"/>
          <w:sz w:val="20"/>
          <w:szCs w:val="20"/>
          <w:highlight w:val="yellow"/>
          <w:bdr w:val="single" w:sz="4" w:space="0" w:color="auto"/>
        </w:rPr>
        <w:t>2</w:t>
      </w:r>
      <w:r w:rsidR="00AA120F" w:rsidRPr="00016D77">
        <w:rPr>
          <w:rFonts w:ascii="Times New Roman" w:hAnsi="Times New Roman"/>
          <w:b/>
          <w:color w:val="FF0000"/>
          <w:sz w:val="20"/>
          <w:szCs w:val="20"/>
          <w:highlight w:val="yellow"/>
          <w:bdr w:val="single" w:sz="4" w:space="0" w:color="auto"/>
        </w:rPr>
        <w:t>、</w:t>
      </w:r>
      <w:r w:rsidRPr="00016D77">
        <w:rPr>
          <w:rFonts w:ascii="Times New Roman" w:hAnsi="Times New Roman" w:hint="eastAsia"/>
          <w:b/>
          <w:color w:val="FF0000"/>
          <w:sz w:val="20"/>
          <w:szCs w:val="20"/>
          <w:highlight w:val="yellow"/>
          <w:bdr w:val="single" w:sz="4" w:space="0" w:color="auto"/>
        </w:rPr>
        <w:t>明「真實之義」</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w:t>
      </w:r>
      <w:r w:rsidR="00AA120F" w:rsidRPr="00DA3BC7">
        <w:rPr>
          <w:rFonts w:ascii="Times New Roman" w:hAnsi="Times New Roman"/>
          <w:sz w:val="20"/>
          <w:szCs w:val="20"/>
        </w:rPr>
        <w:t>p.12</w:t>
      </w:r>
      <w:r w:rsidR="00AA120F" w:rsidRPr="00DA3BC7">
        <w:rPr>
          <w:rFonts w:ascii="Times New Roman" w:hAnsi="Times New Roman" w:hint="eastAsia"/>
          <w:sz w:val="20"/>
          <w:szCs w:val="20"/>
        </w:rPr>
        <w:t>7</w:t>
      </w:r>
      <w:r w:rsidR="00AA120F" w:rsidRPr="00DA3BC7">
        <w:rPr>
          <w:rFonts w:ascii="Times New Roman" w:hAnsi="Times New Roman"/>
          <w:sz w:val="20"/>
          <w:szCs w:val="20"/>
        </w:rPr>
        <w:t>-128</w:t>
      </w:r>
      <w:r w:rsidR="00AA120F" w:rsidRPr="00DA3BC7">
        <w:rPr>
          <w:rFonts w:ascii="Times New Roman" w:hAnsi="Times New Roman" w:hint="eastAsia"/>
          <w:sz w:val="20"/>
          <w:szCs w:val="20"/>
        </w:rPr>
        <w:t>）</w:t>
      </w:r>
    </w:p>
    <w:p w:rsidR="00AA120F" w:rsidRPr="00DA3BC7" w:rsidRDefault="00AA120F" w:rsidP="002E5DD4">
      <w:pPr>
        <w:ind w:leftChars="200" w:left="480"/>
        <w:jc w:val="both"/>
        <w:rPr>
          <w:rFonts w:ascii="Times New Roman" w:eastAsia="SimSun" w:hAnsi="Times New Roman"/>
        </w:rPr>
      </w:pPr>
      <w:r w:rsidRPr="00DA3BC7">
        <w:rPr>
          <w:rFonts w:ascii="Times New Roman" w:hAnsi="Times New Roman" w:hint="eastAsia"/>
        </w:rPr>
        <w:t>《中論》</w:t>
      </w:r>
      <w:r w:rsidR="00C36A92">
        <w:rPr>
          <w:rFonts w:ascii="Times New Roman" w:hAnsi="Times New Roman" w:hint="eastAsia"/>
        </w:rPr>
        <w:t>〈</w:t>
      </w:r>
      <w:r w:rsidR="00C36A92" w:rsidRPr="00C36A92">
        <w:rPr>
          <w:rFonts w:ascii="Times New Roman" w:hAnsi="Times New Roman" w:hint="eastAsia"/>
          <w:shd w:val="pct15" w:color="auto" w:fill="FFFFFF"/>
        </w:rPr>
        <w:t>5</w:t>
      </w:r>
      <w:r w:rsidR="00C36A92">
        <w:rPr>
          <w:rFonts w:ascii="Times New Roman" w:hAnsi="Times New Roman" w:hint="eastAsia"/>
        </w:rPr>
        <w:t xml:space="preserve"> </w:t>
      </w:r>
      <w:r w:rsidR="00C36A92" w:rsidRPr="00DA3BC7">
        <w:rPr>
          <w:rFonts w:ascii="Times New Roman" w:hAnsi="Times New Roman" w:hint="eastAsia"/>
        </w:rPr>
        <w:t>觀六種品</w:t>
      </w:r>
      <w:r w:rsidR="00C36A92">
        <w:rPr>
          <w:rFonts w:ascii="Times New Roman" w:hAnsi="Times New Roman" w:hint="eastAsia"/>
        </w:rPr>
        <w:t>〉</w:t>
      </w:r>
      <w:r w:rsidRPr="00DA3BC7">
        <w:rPr>
          <w:rFonts w:ascii="Times New Roman" w:hAnsi="Times New Roman" w:hint="eastAsia"/>
        </w:rPr>
        <w:t>，不許虛空是如此的：</w:t>
      </w:r>
    </w:p>
    <w:p w:rsidR="00016D77" w:rsidRDefault="00016D77" w:rsidP="00AE3920">
      <w:pPr>
        <w:pStyle w:val="a4"/>
        <w:spacing w:beforeLines="20"/>
        <w:jc w:val="both"/>
        <w:rPr>
          <w:rFonts w:ascii="Times New Roman" w:hAnsi="Times New Roman"/>
        </w:rPr>
      </w:pPr>
      <w:r w:rsidRPr="00016D77">
        <w:rPr>
          <w:rFonts w:ascii="新細明體" w:hAnsi="新細明體" w:hint="eastAsia"/>
          <w:b/>
          <w:color w:val="FF0000"/>
          <w:highlight w:val="yellow"/>
        </w:rPr>
        <w:t>一、</w:t>
      </w:r>
      <w:r w:rsidR="00AA120F" w:rsidRPr="00DA3BC7">
        <w:rPr>
          <w:rFonts w:ascii="Times New Roman" w:hAnsi="Times New Roman" w:hint="eastAsia"/>
          <w:b/>
        </w:rPr>
        <w:t>不許離存在的色法</w:t>
      </w:r>
      <w:r w:rsidR="00AA120F" w:rsidRPr="00DA3BC7">
        <w:rPr>
          <w:rFonts w:ascii="Times New Roman" w:hAnsi="Times New Roman" w:hint="eastAsia"/>
        </w:rPr>
        <w:t>：</w:t>
      </w:r>
    </w:p>
    <w:p w:rsidR="00016D77" w:rsidRDefault="00AA120F" w:rsidP="00016D77">
      <w:pPr>
        <w:pStyle w:val="a4"/>
        <w:ind w:leftChars="400" w:left="960"/>
        <w:jc w:val="both"/>
        <w:rPr>
          <w:rFonts w:ascii="Times New Roman" w:hAnsi="Times New Roman"/>
        </w:rPr>
      </w:pPr>
      <w:r w:rsidRPr="00DA3BC7">
        <w:rPr>
          <w:rFonts w:ascii="Times New Roman" w:hAnsi="Times New Roman" w:hint="eastAsia"/>
          <w:b/>
        </w:rPr>
        <w:t>虛空依色相而現起</w:t>
      </w:r>
      <w:r w:rsidRPr="00DA3BC7">
        <w:rPr>
          <w:rFonts w:ascii="Times New Roman" w:hAnsi="Times New Roman" w:hint="eastAsia"/>
        </w:rPr>
        <w:t>（心與色相為緣起，虛空相也與心有關），所以說：「</w:t>
      </w:r>
      <w:r w:rsidRPr="00DA3BC7">
        <w:rPr>
          <w:rFonts w:ascii="Times New Roman" w:eastAsia="標楷體" w:hAnsi="Times New Roman" w:hint="eastAsia"/>
        </w:rPr>
        <w:t>因色故有無色處，無色處名虛空相</w:t>
      </w:r>
      <w:r w:rsidRPr="00DA3BC7">
        <w:rPr>
          <w:rFonts w:ascii="Times New Roman" w:hAnsi="Times New Roman" w:hint="eastAsia"/>
        </w:rPr>
        <w:t>。」</w:t>
      </w:r>
      <w:r w:rsidRPr="00DA3BC7">
        <w:rPr>
          <w:rStyle w:val="a6"/>
          <w:rFonts w:ascii="Times New Roman" w:hAnsi="Times New Roman"/>
        </w:rPr>
        <w:footnoteReference w:id="600"/>
      </w:r>
    </w:p>
    <w:p w:rsidR="00016D77" w:rsidRDefault="00AA120F" w:rsidP="00016D77">
      <w:pPr>
        <w:pStyle w:val="a4"/>
        <w:ind w:leftChars="400" w:left="960"/>
        <w:jc w:val="both"/>
        <w:rPr>
          <w:rFonts w:ascii="Times New Roman" w:hAnsi="Times New Roman"/>
        </w:rPr>
      </w:pPr>
      <w:r w:rsidRPr="00DA3BC7">
        <w:rPr>
          <w:rFonts w:ascii="Times New Roman" w:hAnsi="Times New Roman" w:hint="eastAsia"/>
        </w:rPr>
        <w:t>這即是說：</w:t>
      </w:r>
      <w:r w:rsidRPr="00DA3BC7">
        <w:rPr>
          <w:rFonts w:ascii="Times New Roman" w:hAnsi="Times New Roman" w:hint="eastAsia"/>
          <w:b/>
        </w:rPr>
        <w:t>空相是不離存在而幻現的</w:t>
      </w:r>
      <w:r w:rsidRPr="00DA3BC7">
        <w:rPr>
          <w:rFonts w:ascii="Times New Roman" w:hAnsi="Times New Roman" w:hint="eastAsia"/>
        </w:rPr>
        <w:t>。如有物在此，等到此物壞而歸無，空相即現。又如物與物相待，知有虛空的間距。</w:t>
      </w:r>
    </w:p>
    <w:p w:rsidR="00016D77" w:rsidRDefault="00AA120F" w:rsidP="00016D77">
      <w:pPr>
        <w:pStyle w:val="a4"/>
        <w:ind w:leftChars="400" w:left="960"/>
        <w:jc w:val="both"/>
        <w:rPr>
          <w:rFonts w:ascii="Times New Roman" w:hAnsi="Times New Roman"/>
        </w:rPr>
      </w:pPr>
      <w:r w:rsidRPr="00DA3BC7">
        <w:rPr>
          <w:rFonts w:ascii="Times New Roman" w:hAnsi="Times New Roman" w:hint="eastAsia"/>
        </w:rPr>
        <w:t>又如身體（色）的運動，感到無色為礙（色是有礙相的）的虛空。</w:t>
      </w:r>
    </w:p>
    <w:p w:rsidR="00AA120F" w:rsidRPr="00016D77" w:rsidRDefault="00AA120F" w:rsidP="00016D77">
      <w:pPr>
        <w:pStyle w:val="a4"/>
        <w:ind w:leftChars="400" w:left="960"/>
        <w:jc w:val="both"/>
        <w:rPr>
          <w:rFonts w:ascii="Times New Roman" w:eastAsia="SimSun" w:hAnsi="Times New Roman"/>
          <w:b/>
          <w:color w:val="FF0000"/>
          <w:highlight w:val="yellow"/>
        </w:rPr>
      </w:pPr>
      <w:r w:rsidRPr="00DA3BC7">
        <w:rPr>
          <w:rFonts w:ascii="Times New Roman" w:hAnsi="Times New Roman" w:hint="eastAsia"/>
        </w:rPr>
        <w:t>所以離色而有的絕對普遍無相的虛空體，是沒有的。</w:t>
      </w:r>
    </w:p>
    <w:p w:rsidR="00016D77" w:rsidRDefault="00016D77" w:rsidP="00AE3920">
      <w:pPr>
        <w:pStyle w:val="a4"/>
        <w:spacing w:beforeLines="20"/>
        <w:jc w:val="both"/>
        <w:rPr>
          <w:rFonts w:ascii="Times New Roman" w:hAnsi="Times New Roman"/>
        </w:rPr>
      </w:pPr>
      <w:r w:rsidRPr="00016D77">
        <w:rPr>
          <w:rFonts w:ascii="Times New Roman" w:hAnsi="Times New Roman" w:hint="eastAsia"/>
          <w:b/>
          <w:color w:val="FF0000"/>
          <w:highlight w:val="yellow"/>
        </w:rPr>
        <w:t>二、</w:t>
      </w:r>
      <w:r w:rsidR="00AA120F" w:rsidRPr="00DA3BC7">
        <w:rPr>
          <w:rFonts w:ascii="Times New Roman" w:hAnsi="Times New Roman" w:hint="eastAsia"/>
          <w:b/>
        </w:rPr>
        <w:t>不許虛空是什麼都沒有</w:t>
      </w:r>
      <w:r>
        <w:rPr>
          <w:rFonts w:ascii="Times New Roman" w:hAnsi="Times New Roman" w:hint="eastAsia"/>
          <w:color w:val="FF0000"/>
          <w:highlight w:val="yellow"/>
        </w:rPr>
        <w:t>：</w:t>
      </w:r>
      <w:r w:rsidR="00AA120F" w:rsidRPr="00DA3BC7">
        <w:rPr>
          <w:rFonts w:ascii="Times New Roman" w:hAnsi="Times New Roman" w:hint="eastAsia"/>
        </w:rPr>
        <w:t>空是緣起幻現而有含容無礙的特性的。</w:t>
      </w:r>
    </w:p>
    <w:p w:rsidR="00016D77" w:rsidRDefault="00016D77" w:rsidP="00AE3920">
      <w:pPr>
        <w:pStyle w:val="a4"/>
        <w:spacing w:beforeLines="20"/>
        <w:jc w:val="both"/>
        <w:rPr>
          <w:rFonts w:ascii="Times New Roman" w:hAnsi="Times New Roman"/>
          <w:color w:val="FF0000"/>
        </w:rPr>
      </w:pPr>
      <w:r>
        <w:rPr>
          <w:rFonts w:ascii="Times New Roman" w:hAnsi="Times New Roman" w:hint="eastAsia"/>
          <w:b/>
          <w:color w:val="FF0000"/>
          <w:highlight w:val="yellow"/>
        </w:rPr>
        <w:t>三、</w:t>
      </w:r>
      <w:r w:rsidR="00AA120F" w:rsidRPr="00DA3BC7">
        <w:rPr>
          <w:rFonts w:ascii="Times New Roman" w:hAnsi="Times New Roman" w:hint="eastAsia"/>
          <w:b/>
        </w:rPr>
        <w:t>不許空是屬於知者心識的</w:t>
      </w:r>
      <w:r>
        <w:rPr>
          <w:rFonts w:ascii="Times New Roman" w:hAnsi="Times New Roman" w:hint="eastAsia"/>
          <w:b/>
          <w:color w:val="FF0000"/>
          <w:highlight w:val="yellow"/>
        </w:rPr>
        <w:t>什</w:t>
      </w:r>
      <w:r w:rsidR="00AA120F" w:rsidRPr="00DA3BC7">
        <w:rPr>
          <w:rFonts w:ascii="Times New Roman" w:hAnsi="Times New Roman" w:hint="eastAsia"/>
          <w:b/>
        </w:rPr>
        <w:t>麼</w:t>
      </w:r>
      <w:r>
        <w:rPr>
          <w:rFonts w:ascii="Times New Roman" w:hAnsi="Times New Roman" w:hint="eastAsia"/>
          <w:color w:val="FF0000"/>
          <w:highlight w:val="yellow"/>
        </w:rPr>
        <w:t>：</w:t>
      </w:r>
    </w:p>
    <w:p w:rsidR="00AA120F" w:rsidRPr="00DA3BC7" w:rsidRDefault="00AA120F" w:rsidP="00016D77">
      <w:pPr>
        <w:pStyle w:val="a4"/>
        <w:ind w:leftChars="400" w:left="960"/>
        <w:jc w:val="both"/>
        <w:rPr>
          <w:rFonts w:ascii="Times New Roman" w:eastAsia="SimSun" w:hAnsi="Times New Roman"/>
        </w:rPr>
      </w:pPr>
      <w:r w:rsidRPr="00DA3BC7">
        <w:rPr>
          <w:rFonts w:ascii="Times New Roman" w:hAnsi="Times New Roman" w:hint="eastAsia"/>
        </w:rPr>
        <w:t>西洋哲學就有把空間看成主觀先在的格式，係此主觀上本有的空間格式，這纔凡是所認識到的，沒有不具此空間相的。但依《中論》的見地：「</w:t>
      </w:r>
      <w:r w:rsidRPr="00DA3BC7">
        <w:rPr>
          <w:rFonts w:ascii="Times New Roman" w:eastAsia="標楷體" w:hAnsi="Times New Roman" w:hint="eastAsia"/>
        </w:rPr>
        <w:t>若使無有有，</w:t>
      </w:r>
      <w:r w:rsidRPr="00DA3BC7">
        <w:rPr>
          <w:rFonts w:ascii="標楷體" w:eastAsia="標楷體" w:hAnsi="標楷體" w:hint="eastAsia"/>
        </w:rPr>
        <w:t>云</w:t>
      </w:r>
      <w:r w:rsidRPr="00DA3BC7">
        <w:rPr>
          <w:rFonts w:ascii="Times New Roman" w:eastAsia="標楷體" w:hAnsi="Times New Roman" w:hint="eastAsia"/>
        </w:rPr>
        <w:t>何當有無？有無既已無，知有無者誰</w:t>
      </w:r>
      <w:r w:rsidRPr="00DA3BC7">
        <w:rPr>
          <w:rFonts w:ascii="Times New Roman" w:hAnsi="Times New Roman" w:hint="eastAsia"/>
        </w:rPr>
        <w:t>？」</w:t>
      </w:r>
      <w:r w:rsidRPr="00DA3BC7">
        <w:rPr>
          <w:rStyle w:val="a6"/>
          <w:rFonts w:ascii="Times New Roman" w:hAnsi="Times New Roman"/>
        </w:rPr>
        <w:footnoteReference w:id="601"/>
      </w:r>
      <w:r w:rsidRPr="00DA3BC7">
        <w:rPr>
          <w:rFonts w:ascii="Times New Roman" w:hAnsi="Times New Roman" w:hint="eastAsia"/>
        </w:rPr>
        <w:t>這是說：虛空不是離色法而實有別體；既不離色相，虛空也就不是</w:t>
      </w:r>
      <w:r w:rsidRPr="00DA3BC7">
        <w:rPr>
          <w:rFonts w:ascii="Times New Roman" w:hAnsi="Times New Roman" w:hint="eastAsia"/>
        </w:rPr>
        <w:lastRenderedPageBreak/>
        <w:t>什麼都沒有。</w:t>
      </w:r>
    </w:p>
    <w:p w:rsidR="00AA120F" w:rsidRPr="00DA3BC7" w:rsidRDefault="00AA120F" w:rsidP="00AE3920">
      <w:pPr>
        <w:spacing w:beforeLines="20"/>
        <w:ind w:leftChars="200" w:left="480"/>
        <w:jc w:val="both"/>
        <w:rPr>
          <w:rFonts w:ascii="Times New Roman" w:eastAsia="SimSun" w:hAnsi="Times New Roman"/>
        </w:rPr>
      </w:pPr>
      <w:r w:rsidRPr="00DA3BC7">
        <w:rPr>
          <w:rFonts w:ascii="Times New Roman" w:hAnsi="Times New Roman" w:hint="eastAsia"/>
        </w:rPr>
        <w:t>實有實無都不許，也不能說虛空是屬於知空是有是無的知者。</w:t>
      </w:r>
    </w:p>
    <w:p w:rsidR="00AA120F" w:rsidRPr="00DA3BC7" w:rsidRDefault="00AA120F" w:rsidP="00AE3920">
      <w:pPr>
        <w:spacing w:beforeLines="20"/>
        <w:ind w:leftChars="200" w:left="480"/>
        <w:jc w:val="both"/>
        <w:rPr>
          <w:rFonts w:ascii="Times New Roman" w:hAnsi="Times New Roman"/>
        </w:rPr>
      </w:pPr>
      <w:r w:rsidRPr="00DA3BC7">
        <w:rPr>
          <w:rFonts w:ascii="Times New Roman" w:hAnsi="Times New Roman" w:hint="eastAsia"/>
        </w:rPr>
        <w:t>不論是有還是無，如境相中毫無此意義，誰（心）知此是虛空呢！</w:t>
      </w:r>
    </w:p>
    <w:p w:rsidR="00AA120F" w:rsidRPr="00DA3BC7" w:rsidRDefault="00A275C0" w:rsidP="00AE3920">
      <w:pPr>
        <w:spacing w:beforeLines="30"/>
        <w:ind w:leftChars="200" w:left="480"/>
        <w:jc w:val="both"/>
        <w:rPr>
          <w:rFonts w:ascii="Times New Roman" w:hAnsi="Times New Roman"/>
          <w:b/>
          <w:sz w:val="20"/>
          <w:szCs w:val="20"/>
          <w:bdr w:val="single" w:sz="4" w:space="0" w:color="auto"/>
        </w:rPr>
      </w:pPr>
      <w:r w:rsidRPr="00A275C0">
        <w:rPr>
          <w:rFonts w:ascii="Times New Roman" w:hAnsi="Times New Roman" w:hint="eastAsia"/>
          <w:b/>
          <w:color w:val="FF0000"/>
          <w:sz w:val="20"/>
          <w:szCs w:val="20"/>
          <w:highlight w:val="yellow"/>
          <w:bdr w:val="single" w:sz="4" w:space="0" w:color="auto"/>
        </w:rPr>
        <w:t>3</w:t>
      </w:r>
      <w:r w:rsidRPr="00A275C0">
        <w:rPr>
          <w:rFonts w:ascii="Times New Roman" w:hAnsi="Times New Roman" w:hint="eastAsia"/>
          <w:b/>
          <w:color w:val="FF0000"/>
          <w:sz w:val="20"/>
          <w:szCs w:val="20"/>
          <w:highlight w:val="yellow"/>
          <w:bdr w:val="single" w:sz="4" w:space="0" w:color="auto"/>
        </w:rPr>
        <w:t>、歸結</w:t>
      </w:r>
      <w:r w:rsidR="00AA120F" w:rsidRPr="00DA3BC7">
        <w:rPr>
          <w:rFonts w:ascii="Times New Roman" w:hAnsi="Times New Roman" w:hint="eastAsia"/>
          <w:sz w:val="20"/>
          <w:szCs w:val="20"/>
        </w:rPr>
        <w:t>（</w:t>
      </w:r>
      <w:r w:rsidR="00AA120F" w:rsidRPr="00DA3BC7">
        <w:rPr>
          <w:rFonts w:ascii="Times New Roman" w:hAnsi="Times New Roman"/>
          <w:sz w:val="20"/>
          <w:szCs w:val="20"/>
        </w:rPr>
        <w:t>p.</w:t>
      </w:r>
      <w:r w:rsidR="00AA120F" w:rsidRPr="00DA3BC7">
        <w:rPr>
          <w:rFonts w:ascii="Times New Roman" w:hAnsi="Times New Roman" w:hint="eastAsia"/>
          <w:sz w:val="20"/>
          <w:szCs w:val="20"/>
        </w:rPr>
        <w:t>128</w:t>
      </w:r>
      <w:r w:rsidR="00AA120F" w:rsidRPr="00DA3BC7">
        <w:rPr>
          <w:rFonts w:ascii="Times New Roman" w:hAnsi="Times New Roman" w:hint="eastAsia"/>
          <w:sz w:val="20"/>
          <w:szCs w:val="20"/>
        </w:rPr>
        <w:t>）</w:t>
      </w:r>
    </w:p>
    <w:p w:rsidR="00AA120F" w:rsidRPr="00DA3BC7" w:rsidRDefault="00AA120F" w:rsidP="002E5DD4">
      <w:pPr>
        <w:ind w:leftChars="200" w:left="480"/>
        <w:jc w:val="both"/>
        <w:rPr>
          <w:rFonts w:ascii="Times New Roman" w:eastAsia="SimSun" w:hAnsi="Times New Roman"/>
        </w:rPr>
      </w:pPr>
      <w:r w:rsidRPr="00DA3BC7">
        <w:rPr>
          <w:rFonts w:ascii="Times New Roman" w:hAnsi="Times New Roman" w:hint="eastAsia"/>
        </w:rPr>
        <w:t>由此可知，</w:t>
      </w:r>
      <w:r w:rsidRPr="00335C9D">
        <w:rPr>
          <w:rFonts w:ascii="Times New Roman" w:hAnsi="Times New Roman" w:hint="eastAsia"/>
          <w:u w:val="wave" w:color="C00000"/>
        </w:rPr>
        <w:t>無相無礙的</w:t>
      </w:r>
      <w:r w:rsidRPr="00335C9D">
        <w:rPr>
          <w:rFonts w:ascii="Times New Roman" w:hAnsi="Times New Roman" w:hint="eastAsia"/>
          <w:b/>
          <w:u w:val="wave" w:color="C00000"/>
        </w:rPr>
        <w:t>虛空</w:t>
      </w:r>
      <w:r w:rsidRPr="00DA3BC7">
        <w:rPr>
          <w:rFonts w:ascii="Times New Roman" w:hAnsi="Times New Roman" w:hint="eastAsia"/>
        </w:rPr>
        <w:t>，是依</w:t>
      </w:r>
      <w:r w:rsidRPr="00335C9D">
        <w:rPr>
          <w:rFonts w:ascii="Times New Roman" w:hAnsi="Times New Roman" w:hint="eastAsia"/>
          <w:u w:val="wave" w:color="C00000"/>
        </w:rPr>
        <w:t>有相有礙的</w:t>
      </w:r>
      <w:r w:rsidRPr="00335C9D">
        <w:rPr>
          <w:rFonts w:ascii="Times New Roman" w:hAnsi="Times New Roman" w:hint="eastAsia"/>
          <w:b/>
          <w:u w:val="wave" w:color="C00000"/>
        </w:rPr>
        <w:t>存在法</w:t>
      </w:r>
      <w:r w:rsidRPr="00DA3BC7">
        <w:rPr>
          <w:rFonts w:ascii="Times New Roman" w:hAnsi="Times New Roman" w:hint="eastAsia"/>
        </w:rPr>
        <w:t>而幻現的。</w:t>
      </w:r>
    </w:p>
    <w:p w:rsidR="00AA120F" w:rsidRPr="00DA3BC7" w:rsidRDefault="00AA120F" w:rsidP="00AE3920">
      <w:pPr>
        <w:spacing w:beforeLines="20"/>
        <w:ind w:leftChars="200" w:left="480"/>
        <w:jc w:val="both"/>
        <w:rPr>
          <w:rFonts w:ascii="Times New Roman" w:hAnsi="Times New Roman"/>
        </w:rPr>
      </w:pPr>
      <w:r w:rsidRPr="00DA3BC7">
        <w:rPr>
          <w:rFonts w:ascii="Times New Roman" w:hAnsi="Times New Roman" w:hint="eastAsia"/>
        </w:rPr>
        <w:t>《中論》也這樣說：「</w:t>
      </w:r>
      <w:r w:rsidRPr="00DA3BC7">
        <w:rPr>
          <w:rFonts w:ascii="Times New Roman" w:eastAsia="標楷體" w:hAnsi="Times New Roman" w:hint="eastAsia"/>
        </w:rPr>
        <w:t>空即無相，無相不能離相，離相即非有</w:t>
      </w:r>
      <w:r w:rsidRPr="00DA3BC7">
        <w:rPr>
          <w:rFonts w:ascii="Times New Roman" w:hAnsi="Times New Roman" w:hint="eastAsia"/>
        </w:rPr>
        <w:t>。」</w:t>
      </w:r>
      <w:r w:rsidRPr="00DA3BC7">
        <w:rPr>
          <w:rStyle w:val="a6"/>
          <w:rFonts w:ascii="Times New Roman" w:hAnsi="Times New Roman"/>
        </w:rPr>
        <w:footnoteReference w:id="602"/>
      </w:r>
    </w:p>
    <w:p w:rsidR="00AA120F" w:rsidRPr="00DA3BC7" w:rsidRDefault="00AA120F" w:rsidP="00AE3920">
      <w:pPr>
        <w:spacing w:beforeLines="20"/>
        <w:ind w:leftChars="200" w:left="480"/>
        <w:jc w:val="both"/>
        <w:rPr>
          <w:rFonts w:ascii="Times New Roman" w:eastAsia="SimSun" w:hAnsi="Times New Roman"/>
        </w:rPr>
      </w:pPr>
      <w:r w:rsidRPr="00DA3BC7">
        <w:rPr>
          <w:rFonts w:ascii="Times New Roman" w:hAnsi="Times New Roman" w:hint="eastAsia"/>
        </w:rPr>
        <w:lastRenderedPageBreak/>
        <w:t>《大智度論》也曾說：「</w:t>
      </w:r>
      <w:r w:rsidRPr="00DA3BC7">
        <w:rPr>
          <w:rFonts w:ascii="Times New Roman" w:eastAsia="標楷體" w:hAnsi="Times New Roman" w:hint="eastAsia"/>
        </w:rPr>
        <w:t>空有集散</w:t>
      </w:r>
      <w:r w:rsidRPr="00DA3BC7">
        <w:rPr>
          <w:rFonts w:ascii="Times New Roman" w:hAnsi="Times New Roman" w:hint="eastAsia"/>
        </w:rPr>
        <w:t>。」</w:t>
      </w:r>
      <w:r w:rsidRPr="00DA3BC7">
        <w:rPr>
          <w:rStyle w:val="a6"/>
          <w:rFonts w:ascii="Times New Roman" w:hAnsi="Times New Roman"/>
        </w:rPr>
        <w:footnoteReference w:id="603"/>
      </w:r>
      <w:r w:rsidRPr="00DA3BC7">
        <w:rPr>
          <w:rFonts w:ascii="Times New Roman" w:hAnsi="Times New Roman" w:hint="eastAsia"/>
        </w:rPr>
        <w:t>虛空如何會集散？如一垛</w:t>
      </w:r>
      <w:r w:rsidRPr="00DA3BC7">
        <w:rPr>
          <w:rStyle w:val="a6"/>
          <w:rFonts w:ascii="Times New Roman" w:hAnsi="Times New Roman"/>
        </w:rPr>
        <w:footnoteReference w:id="604"/>
      </w:r>
      <w:r w:rsidRPr="00DA3BC7">
        <w:rPr>
          <w:rFonts w:ascii="Times New Roman" w:hAnsi="Times New Roman" w:hint="eastAsia"/>
        </w:rPr>
        <w:t>牆，破牆為洞，空相顯現，即是空集；若以物堵塞牆洞，空相不現，即是空散。虛空依於存在的有相而幻現，有集有散，所以空是緣起的，不能抽象的想為絕對不變的遍在！</w:t>
      </w:r>
    </w:p>
    <w:p w:rsidR="00AA120F" w:rsidRPr="00DA3BC7" w:rsidRDefault="00AA120F" w:rsidP="00AE3920">
      <w:pPr>
        <w:spacing w:beforeLines="30"/>
        <w:jc w:val="both"/>
        <w:rPr>
          <w:rFonts w:ascii="Times New Roman" w:eastAsia="SimSun" w:hAnsi="Times New Roman"/>
          <w:sz w:val="20"/>
          <w:szCs w:val="20"/>
        </w:rPr>
      </w:pPr>
      <w:r w:rsidRPr="00DA3BC7">
        <w:rPr>
          <w:rFonts w:ascii="Times New Roman" w:hAnsi="Times New Roman" w:hint="eastAsia"/>
          <w:b/>
          <w:sz w:val="20"/>
          <w:szCs w:val="20"/>
          <w:bdr w:val="single" w:sz="4" w:space="0" w:color="auto"/>
        </w:rPr>
        <w:t>貳、</w:t>
      </w:r>
      <w:r w:rsidR="007F6AC8" w:rsidRPr="007F6AC8">
        <w:rPr>
          <w:rFonts w:ascii="Times New Roman" w:hAnsi="Times New Roman" w:hint="eastAsia"/>
          <w:b/>
          <w:color w:val="FF0000"/>
          <w:sz w:val="20"/>
          <w:szCs w:val="20"/>
          <w:highlight w:val="yellow"/>
          <w:bdr w:val="single" w:sz="4" w:space="0" w:color="auto"/>
        </w:rPr>
        <w:t>「物相」、「</w:t>
      </w:r>
      <w:r w:rsidRPr="007F6AC8">
        <w:rPr>
          <w:rFonts w:ascii="Times New Roman" w:hAnsi="Times New Roman" w:hint="eastAsia"/>
          <w:b/>
          <w:color w:val="FF0000"/>
          <w:sz w:val="20"/>
          <w:szCs w:val="20"/>
          <w:highlight w:val="yellow"/>
          <w:bdr w:val="single" w:sz="4" w:space="0" w:color="auto"/>
        </w:rPr>
        <w:t>空相</w:t>
      </w:r>
      <w:r w:rsidR="007F6AC8" w:rsidRPr="007F6AC8">
        <w:rPr>
          <w:rFonts w:ascii="Times New Roman" w:hAnsi="Times New Roman" w:hint="eastAsia"/>
          <w:b/>
          <w:color w:val="FF0000"/>
          <w:sz w:val="20"/>
          <w:szCs w:val="20"/>
          <w:highlight w:val="yellow"/>
          <w:bdr w:val="single" w:sz="4" w:space="0" w:color="auto"/>
        </w:rPr>
        <w:t>」非即非離</w:t>
      </w:r>
      <w:r w:rsidRPr="00DA3BC7">
        <w:rPr>
          <w:rFonts w:ascii="Times New Roman" w:hAnsi="Times New Roman" w:hint="eastAsia"/>
          <w:sz w:val="20"/>
          <w:szCs w:val="20"/>
        </w:rPr>
        <w:t>（</w:t>
      </w:r>
      <w:r w:rsidRPr="00DA3BC7">
        <w:rPr>
          <w:rFonts w:ascii="Times New Roman" w:hAnsi="Times New Roman"/>
          <w:sz w:val="20"/>
          <w:szCs w:val="20"/>
        </w:rPr>
        <w:t>pp.128-129</w:t>
      </w:r>
      <w:r w:rsidRPr="00DA3BC7">
        <w:rPr>
          <w:rFonts w:ascii="Times New Roman" w:hAnsi="Times New Roman" w:hint="eastAsia"/>
          <w:sz w:val="20"/>
          <w:szCs w:val="20"/>
        </w:rPr>
        <w:t>）</w:t>
      </w:r>
    </w:p>
    <w:p w:rsidR="00AA120F" w:rsidRPr="00DA3BC7" w:rsidRDefault="00AA120F" w:rsidP="008E2BBC">
      <w:pPr>
        <w:jc w:val="both"/>
        <w:rPr>
          <w:rFonts w:ascii="Times New Roman" w:hAnsi="Times New Roman"/>
          <w:b/>
        </w:rPr>
      </w:pPr>
      <w:r w:rsidRPr="00DA3BC7">
        <w:rPr>
          <w:rFonts w:ascii="Times New Roman" w:hAnsi="Times New Roman" w:hint="eastAsia"/>
        </w:rPr>
        <w:lastRenderedPageBreak/>
        <w:t>色法（約世俗共許說）與虛空，不是隔別的，不是一體的；</w:t>
      </w:r>
      <w:r w:rsidRPr="00335C9D">
        <w:rPr>
          <w:rFonts w:ascii="Times New Roman" w:hAnsi="Times New Roman" w:hint="eastAsia"/>
          <w:u w:val="wave" w:color="C00000"/>
        </w:rPr>
        <w:t>沒有</w:t>
      </w:r>
      <w:r w:rsidRPr="00335C9D">
        <w:rPr>
          <w:rFonts w:ascii="Times New Roman" w:hAnsi="Times New Roman" w:hint="eastAsia"/>
          <w:b/>
          <w:u w:val="wave" w:color="C00000"/>
        </w:rPr>
        <w:t>有相</w:t>
      </w:r>
      <w:r w:rsidRPr="00335C9D">
        <w:rPr>
          <w:rFonts w:ascii="Times New Roman" w:hAnsi="Times New Roman" w:hint="eastAsia"/>
          <w:u w:val="wave" w:color="C00000"/>
        </w:rPr>
        <w:t>而能不是</w:t>
      </w:r>
      <w:r w:rsidRPr="00335C9D">
        <w:rPr>
          <w:rFonts w:ascii="Times New Roman" w:hAnsi="Times New Roman" w:hint="eastAsia"/>
          <w:b/>
          <w:u w:val="wave" w:color="C00000"/>
        </w:rPr>
        <w:t>無相</w:t>
      </w:r>
      <w:r w:rsidR="00FC005D" w:rsidRPr="00335C9D">
        <w:rPr>
          <w:rFonts w:ascii="Times New Roman" w:hAnsi="Times New Roman" w:hint="eastAsia"/>
          <w:u w:val="wave" w:color="C00000"/>
        </w:rPr>
        <w:t>的</w:t>
      </w:r>
      <w:r w:rsidR="00FC005D">
        <w:rPr>
          <w:rFonts w:ascii="Times New Roman" w:hAnsi="Times New Roman" w:hint="eastAsia"/>
        </w:rPr>
        <w:t>，</w:t>
      </w:r>
      <w:r w:rsidR="00FC005D" w:rsidRPr="00335C9D">
        <w:rPr>
          <w:rFonts w:ascii="Times New Roman" w:hAnsi="Times New Roman" w:hint="eastAsia"/>
          <w:u w:val="wave" w:color="C00000"/>
        </w:rPr>
        <w:t>也沒有</w:t>
      </w:r>
      <w:r w:rsidRPr="00335C9D">
        <w:rPr>
          <w:rFonts w:ascii="Times New Roman" w:hAnsi="Times New Roman" w:hint="eastAsia"/>
          <w:b/>
          <w:u w:val="wave" w:color="C00000"/>
        </w:rPr>
        <w:t>無相</w:t>
      </w:r>
      <w:r w:rsidRPr="00335C9D">
        <w:rPr>
          <w:rFonts w:ascii="Times New Roman" w:hAnsi="Times New Roman" w:hint="eastAsia"/>
          <w:u w:val="wave" w:color="C00000"/>
        </w:rPr>
        <w:t>而能離開有</w:t>
      </w:r>
      <w:r w:rsidRPr="00335C9D">
        <w:rPr>
          <w:rFonts w:ascii="Times New Roman" w:hAnsi="Times New Roman" w:hint="eastAsia"/>
          <w:b/>
          <w:u w:val="wave" w:color="C00000"/>
        </w:rPr>
        <w:t>相</w:t>
      </w:r>
      <w:r w:rsidRPr="00335C9D">
        <w:rPr>
          <w:rFonts w:ascii="Times New Roman" w:hAnsi="Times New Roman" w:hint="eastAsia"/>
          <w:u w:val="wave" w:color="C00000"/>
        </w:rPr>
        <w:t>的</w:t>
      </w:r>
      <w:r w:rsidRPr="00DA3BC7">
        <w:rPr>
          <w:rFonts w:ascii="Times New Roman" w:hAnsi="Times New Roman" w:hint="eastAsia"/>
        </w:rPr>
        <w:t>。</w:t>
      </w:r>
      <w:r w:rsidRPr="00335C9D">
        <w:rPr>
          <w:rFonts w:ascii="Times New Roman" w:hAnsi="Times New Roman" w:hint="eastAsia"/>
          <w:b/>
          <w:u w:val="wave" w:color="C00000"/>
        </w:rPr>
        <w:t>有相物</w:t>
      </w:r>
      <w:r w:rsidRPr="00335C9D">
        <w:rPr>
          <w:rFonts w:ascii="Times New Roman" w:hAnsi="Times New Roman" w:hint="eastAsia"/>
          <w:u w:val="wave" w:color="C00000"/>
        </w:rPr>
        <w:t>與</w:t>
      </w:r>
      <w:r w:rsidRPr="00335C9D">
        <w:rPr>
          <w:rFonts w:ascii="Times New Roman" w:hAnsi="Times New Roman" w:hint="eastAsia"/>
          <w:b/>
          <w:u w:val="wave" w:color="C00000"/>
        </w:rPr>
        <w:t>無相虛空界，</w:t>
      </w:r>
      <w:r w:rsidRPr="00335C9D">
        <w:rPr>
          <w:rFonts w:ascii="Times New Roman" w:hAnsi="Times New Roman" w:hint="eastAsia"/>
          <w:u w:val="wave" w:color="C00000"/>
        </w:rPr>
        <w:t>同是</w:t>
      </w:r>
      <w:r w:rsidRPr="00335C9D">
        <w:rPr>
          <w:rFonts w:ascii="Times New Roman" w:hAnsi="Times New Roman" w:hint="eastAsia"/>
          <w:b/>
          <w:u w:val="wave" w:color="C00000"/>
        </w:rPr>
        <w:t>緣起相依的幻在</w:t>
      </w:r>
      <w:r w:rsidRPr="00335C9D">
        <w:rPr>
          <w:rFonts w:ascii="Times New Roman" w:hAnsi="Times New Roman" w:hint="eastAsia"/>
        </w:rPr>
        <w:t>。</w:t>
      </w:r>
    </w:p>
    <w:p w:rsidR="00AA120F" w:rsidRPr="00DA3BC7" w:rsidRDefault="00AA120F" w:rsidP="00AE3920">
      <w:pPr>
        <w:spacing w:beforeLines="20"/>
        <w:jc w:val="both"/>
        <w:rPr>
          <w:rFonts w:ascii="Times New Roman" w:hAnsi="Times New Roman"/>
        </w:rPr>
      </w:pPr>
      <w:r w:rsidRPr="00DA3BC7">
        <w:rPr>
          <w:rFonts w:ascii="Times New Roman" w:hAnsi="Times New Roman" w:hint="eastAsia"/>
        </w:rPr>
        <w:t>有情，依佛說，即是「士夫</w:t>
      </w:r>
      <w:r w:rsidRPr="00DA3BC7">
        <w:rPr>
          <w:rStyle w:val="a6"/>
          <w:rFonts w:ascii="Times New Roman" w:hAnsi="Times New Roman"/>
        </w:rPr>
        <w:footnoteReference w:id="605"/>
      </w:r>
      <w:r w:rsidRPr="00DA3BC7">
        <w:rPr>
          <w:rFonts w:ascii="Times New Roman" w:hAnsi="Times New Roman" w:hint="eastAsia"/>
        </w:rPr>
        <w:t>六界」，</w:t>
      </w:r>
      <w:r w:rsidR="00AE6593" w:rsidRPr="00DA3BC7">
        <w:rPr>
          <w:rStyle w:val="a6"/>
          <w:rFonts w:ascii="Times New Roman" w:hAnsi="Times New Roman"/>
        </w:rPr>
        <w:footnoteReference w:id="606"/>
      </w:r>
      <w:r w:rsidRPr="00DA3BC7">
        <w:rPr>
          <w:rFonts w:ascii="Times New Roman" w:hAnsi="Times New Roman" w:hint="eastAsia"/>
        </w:rPr>
        <w:t>即物、空與心識的緣起。我們以為身體是堅密的，其實到處是無礙的，眼、耳、腠理</w:t>
      </w:r>
      <w:r w:rsidRPr="00DA3BC7">
        <w:rPr>
          <w:rStyle w:val="a6"/>
          <w:rFonts w:ascii="Times New Roman" w:hAnsi="Times New Roman"/>
        </w:rPr>
        <w:footnoteReference w:id="607"/>
      </w:r>
      <w:r w:rsidRPr="00DA3BC7">
        <w:rPr>
          <w:rFonts w:ascii="Times New Roman" w:hAnsi="Times New Roman" w:hint="eastAsia"/>
        </w:rPr>
        <w:t>等空，</w:t>
      </w:r>
      <w:r w:rsidRPr="00DA3BC7">
        <w:rPr>
          <w:rStyle w:val="a6"/>
          <w:rFonts w:ascii="Times New Roman" w:hAnsi="Times New Roman"/>
        </w:rPr>
        <w:footnoteReference w:id="608"/>
      </w:r>
      <w:r w:rsidRPr="00DA3BC7">
        <w:rPr>
          <w:rFonts w:ascii="Times New Roman" w:hAnsi="Times New Roman" w:hint="eastAsia"/>
        </w:rPr>
        <w:t>還是粗顯的呢！小到電子，也還是充滿空隙，物質是微乎其微。反之，如我們所見的虛空，其實儘多有微細的有相物。</w:t>
      </w:r>
    </w:p>
    <w:p w:rsidR="00AA120F" w:rsidRPr="00DA3BC7" w:rsidRDefault="00AA120F" w:rsidP="00AE3920">
      <w:pPr>
        <w:spacing w:beforeLines="20"/>
        <w:jc w:val="both"/>
        <w:rPr>
          <w:rFonts w:ascii="Times New Roman" w:hAnsi="Times New Roman"/>
        </w:rPr>
      </w:pPr>
      <w:r w:rsidRPr="00DA3BC7">
        <w:rPr>
          <w:rFonts w:ascii="Times New Roman" w:hAnsi="Times New Roman" w:hint="eastAsia"/>
        </w:rPr>
        <w:t>所以，</w:t>
      </w:r>
      <w:r w:rsidRPr="003E1F00">
        <w:rPr>
          <w:rFonts w:ascii="Times New Roman" w:hAnsi="Times New Roman" w:hint="eastAsia"/>
          <w:b/>
          <w:u w:val="wave" w:color="C00000"/>
        </w:rPr>
        <w:t>有相有礙</w:t>
      </w:r>
      <w:r w:rsidRPr="00DA3BC7">
        <w:rPr>
          <w:rFonts w:ascii="Times New Roman" w:hAnsi="Times New Roman" w:hint="eastAsia"/>
        </w:rPr>
        <w:t>與</w:t>
      </w:r>
      <w:r w:rsidRPr="003E1F00">
        <w:rPr>
          <w:rFonts w:ascii="Times New Roman" w:hAnsi="Times New Roman" w:hint="eastAsia"/>
          <w:b/>
          <w:u w:val="wave" w:color="C00000"/>
        </w:rPr>
        <w:t>無相無礙</w:t>
      </w:r>
      <w:r w:rsidRPr="00DA3BC7">
        <w:rPr>
          <w:rFonts w:ascii="Times New Roman" w:hAnsi="Times New Roman" w:hint="eastAsia"/>
        </w:rPr>
        <w:t>，</w:t>
      </w:r>
      <w:r w:rsidRPr="00DA3BC7">
        <w:rPr>
          <w:rFonts w:ascii="Times New Roman" w:hAnsi="Times New Roman" w:hint="eastAsia"/>
          <w:b/>
        </w:rPr>
        <w:t>相依相成</w:t>
      </w:r>
      <w:r w:rsidRPr="00FC005D">
        <w:rPr>
          <w:rFonts w:ascii="Times New Roman" w:hAnsi="Times New Roman" w:hint="eastAsia"/>
          <w:b/>
        </w:rPr>
        <w:t>而</w:t>
      </w:r>
      <w:r w:rsidRPr="00DA3BC7">
        <w:rPr>
          <w:rFonts w:ascii="Times New Roman" w:hAnsi="Times New Roman" w:hint="eastAsia"/>
          <w:b/>
        </w:rPr>
        <w:t>不離</w:t>
      </w:r>
      <w:r w:rsidRPr="00DA3BC7">
        <w:rPr>
          <w:rFonts w:ascii="Times New Roman" w:hAnsi="Times New Roman" w:hint="eastAsia"/>
        </w:rPr>
        <w:t>，</w:t>
      </w:r>
      <w:r w:rsidRPr="00DA3BC7">
        <w:rPr>
          <w:rFonts w:ascii="Times New Roman" w:hAnsi="Times New Roman" w:hint="eastAsia"/>
          <w:b/>
        </w:rPr>
        <w:t>相隱相顯</w:t>
      </w:r>
      <w:r w:rsidRPr="00FC005D">
        <w:rPr>
          <w:rFonts w:ascii="Times New Roman" w:hAnsi="Times New Roman" w:hint="eastAsia"/>
          <w:b/>
        </w:rPr>
        <w:t>而</w:t>
      </w:r>
      <w:r w:rsidRPr="00DA3BC7">
        <w:rPr>
          <w:rFonts w:ascii="Times New Roman" w:hAnsi="Times New Roman" w:hint="eastAsia"/>
          <w:b/>
        </w:rPr>
        <w:t>不即</w:t>
      </w:r>
      <w:r w:rsidRPr="00DA3BC7">
        <w:rPr>
          <w:rFonts w:ascii="Times New Roman" w:hAnsi="Times New Roman" w:hint="eastAsia"/>
        </w:rPr>
        <w:t>。</w:t>
      </w:r>
    </w:p>
    <w:p w:rsidR="00AA120F" w:rsidRPr="00DA3BC7" w:rsidRDefault="00AA120F" w:rsidP="00AE3920">
      <w:pPr>
        <w:spacing w:beforeLines="20"/>
        <w:jc w:val="both"/>
        <w:rPr>
          <w:rFonts w:ascii="Times New Roman" w:eastAsia="SimSun" w:hAnsi="Times New Roman"/>
        </w:rPr>
      </w:pPr>
      <w:r w:rsidRPr="00DA3BC7">
        <w:rPr>
          <w:rFonts w:ascii="Times New Roman" w:hAnsi="Times New Roman" w:hint="eastAsia"/>
        </w:rPr>
        <w:t>在我們不同的認識能力（如常眼與天眼</w:t>
      </w:r>
      <w:r w:rsidRPr="00DA3BC7">
        <w:rPr>
          <w:rStyle w:val="a6"/>
          <w:rFonts w:ascii="Times New Roman" w:hAnsi="Times New Roman"/>
        </w:rPr>
        <w:footnoteReference w:id="609"/>
      </w:r>
      <w:r w:rsidRPr="00DA3BC7">
        <w:rPr>
          <w:rFonts w:ascii="Times New Roman" w:hAnsi="Times New Roman" w:hint="eastAsia"/>
        </w:rPr>
        <w:t>）前，幻現為物相，幻現為虛空（這不是空性寂滅）。</w:t>
      </w:r>
    </w:p>
    <w:p w:rsidR="00AA120F" w:rsidRPr="00DA3BC7" w:rsidRDefault="00FC5046" w:rsidP="00AE3920">
      <w:pPr>
        <w:spacing w:beforeLines="30"/>
        <w:jc w:val="both"/>
        <w:rPr>
          <w:rFonts w:ascii="Times New Roman" w:hAnsi="Times New Roman"/>
          <w:sz w:val="20"/>
          <w:szCs w:val="20"/>
          <w:bdr w:val="single" w:sz="4" w:space="0" w:color="auto"/>
        </w:rPr>
      </w:pPr>
      <w:r w:rsidRPr="00DA3BC7">
        <w:rPr>
          <w:rFonts w:ascii="Times New Roman" w:hAnsi="Times New Roman" w:hint="eastAsia"/>
          <w:b/>
          <w:sz w:val="20"/>
          <w:szCs w:val="20"/>
          <w:bdr w:val="single" w:sz="4" w:space="0" w:color="auto"/>
        </w:rPr>
        <w:lastRenderedPageBreak/>
        <w:t>參</w:t>
      </w:r>
      <w:r w:rsidR="00AA120F" w:rsidRPr="00DA3BC7">
        <w:rPr>
          <w:rFonts w:ascii="Times New Roman" w:hAnsi="Times New Roman" w:hint="eastAsia"/>
          <w:b/>
          <w:sz w:val="20"/>
          <w:szCs w:val="20"/>
          <w:bdr w:val="single" w:sz="4" w:space="0" w:color="auto"/>
        </w:rPr>
        <w:t>、</w:t>
      </w:r>
      <w:r w:rsidR="00FC005D" w:rsidRPr="00FC005D">
        <w:rPr>
          <w:rFonts w:ascii="Times New Roman" w:hAnsi="Times New Roman" w:hint="eastAsia"/>
          <w:b/>
          <w:color w:val="FF0000"/>
          <w:sz w:val="20"/>
          <w:szCs w:val="20"/>
          <w:highlight w:val="yellow"/>
          <w:bdr w:val="single" w:sz="4" w:space="0" w:color="auto"/>
        </w:rPr>
        <w:t>辨「十四無記的世界觀」</w:t>
      </w:r>
      <w:r w:rsidR="00AA120F" w:rsidRPr="00DA3BC7">
        <w:rPr>
          <w:rFonts w:ascii="Times New Roman" w:hAnsi="Times New Roman" w:hint="eastAsia"/>
          <w:sz w:val="20"/>
          <w:szCs w:val="20"/>
        </w:rPr>
        <w:t>（</w:t>
      </w:r>
      <w:r w:rsidR="00AA120F" w:rsidRPr="00DA3BC7">
        <w:rPr>
          <w:rFonts w:ascii="Times New Roman" w:hAnsi="Times New Roman"/>
          <w:sz w:val="20"/>
          <w:szCs w:val="20"/>
        </w:rPr>
        <w:t>pp.129-13</w:t>
      </w:r>
      <w:r w:rsidR="00AA120F" w:rsidRPr="00DA3BC7">
        <w:rPr>
          <w:rFonts w:ascii="Times New Roman" w:hAnsi="Times New Roman" w:hint="eastAsia"/>
          <w:sz w:val="20"/>
          <w:szCs w:val="20"/>
        </w:rPr>
        <w:t>1</w:t>
      </w:r>
      <w:r w:rsidR="00AA120F" w:rsidRPr="00DA3BC7">
        <w:rPr>
          <w:rFonts w:ascii="Times New Roman" w:hAnsi="Times New Roman" w:hint="eastAsia"/>
          <w:sz w:val="20"/>
          <w:szCs w:val="20"/>
        </w:rPr>
        <w:t>）</w:t>
      </w:r>
    </w:p>
    <w:p w:rsidR="00AA120F" w:rsidRPr="00DA3BC7" w:rsidRDefault="00AA120F" w:rsidP="008E2BBC">
      <w:pPr>
        <w:ind w:leftChars="50" w:left="120"/>
        <w:jc w:val="both"/>
        <w:rPr>
          <w:rFonts w:ascii="Times New Roman" w:eastAsia="SimSun" w:hAnsi="Times New Roman"/>
          <w:b/>
          <w:sz w:val="20"/>
          <w:szCs w:val="20"/>
          <w:bdr w:val="single" w:sz="4" w:space="0" w:color="auto"/>
        </w:rPr>
      </w:pPr>
      <w:r w:rsidRPr="00DA3BC7">
        <w:rPr>
          <w:rFonts w:ascii="Times New Roman" w:hAnsi="Times New Roman" w:hint="eastAsia"/>
          <w:b/>
          <w:sz w:val="20"/>
          <w:szCs w:val="20"/>
          <w:bdr w:val="single" w:sz="4" w:space="0" w:color="auto"/>
        </w:rPr>
        <w:t>（壹）</w:t>
      </w:r>
      <w:r w:rsidR="00FC005D">
        <w:rPr>
          <w:rFonts w:ascii="Times New Roman" w:hAnsi="Times New Roman" w:hint="eastAsia"/>
          <w:b/>
          <w:color w:val="FF0000"/>
          <w:sz w:val="20"/>
          <w:szCs w:val="20"/>
          <w:highlight w:val="yellow"/>
          <w:bdr w:val="single" w:sz="4" w:space="0" w:color="auto"/>
        </w:rPr>
        <w:t>敘妄執</w:t>
      </w:r>
      <w:r w:rsidRPr="00DA3BC7">
        <w:rPr>
          <w:rFonts w:ascii="Times New Roman" w:hAnsi="Times New Roman" w:hint="eastAsia"/>
          <w:sz w:val="20"/>
          <w:szCs w:val="20"/>
        </w:rPr>
        <w:t>（</w:t>
      </w:r>
      <w:r w:rsidRPr="00DA3BC7">
        <w:rPr>
          <w:rFonts w:ascii="Times New Roman" w:hAnsi="Times New Roman"/>
          <w:sz w:val="20"/>
          <w:szCs w:val="20"/>
        </w:rPr>
        <w:t>p.12</w:t>
      </w:r>
      <w:r w:rsidRPr="00DA3BC7">
        <w:rPr>
          <w:rFonts w:ascii="Times New Roman" w:hAnsi="Times New Roman" w:hint="eastAsia"/>
          <w:sz w:val="20"/>
          <w:szCs w:val="20"/>
        </w:rPr>
        <w:t>9</w:t>
      </w:r>
      <w:r w:rsidRPr="00DA3BC7">
        <w:rPr>
          <w:rFonts w:ascii="Times New Roman" w:hAnsi="Times New Roman" w:hint="eastAsia"/>
          <w:sz w:val="20"/>
          <w:szCs w:val="20"/>
        </w:rPr>
        <w:t>）</w:t>
      </w:r>
    </w:p>
    <w:p w:rsidR="00AA120F" w:rsidRPr="00DA3BC7" w:rsidRDefault="00AA120F" w:rsidP="008E2BBC">
      <w:pPr>
        <w:ind w:leftChars="50" w:left="120"/>
        <w:jc w:val="both"/>
        <w:rPr>
          <w:rFonts w:ascii="Times New Roman" w:eastAsia="SimSun" w:hAnsi="Times New Roman"/>
        </w:rPr>
      </w:pPr>
      <w:r w:rsidRPr="003E1F00">
        <w:rPr>
          <w:rFonts w:ascii="Times New Roman" w:hAnsi="Times New Roman" w:hint="eastAsia"/>
          <w:u w:val="wave" w:color="C00000"/>
        </w:rPr>
        <w:t>不能離開</w:t>
      </w:r>
      <w:r w:rsidRPr="003E1F00">
        <w:rPr>
          <w:rFonts w:ascii="Times New Roman" w:hAnsi="Times New Roman" w:hint="eastAsia"/>
          <w:b/>
          <w:u w:val="wave" w:color="C00000"/>
        </w:rPr>
        <w:t>有相有礙的色法</w:t>
      </w:r>
      <w:r w:rsidRPr="003E1F00">
        <w:rPr>
          <w:rFonts w:ascii="Times New Roman" w:hAnsi="Times New Roman" w:hint="eastAsia"/>
          <w:u w:val="wave" w:color="C00000"/>
        </w:rPr>
        <w:t>，而有</w:t>
      </w:r>
      <w:r w:rsidRPr="003E1F00">
        <w:rPr>
          <w:rFonts w:ascii="Times New Roman" w:hAnsi="Times New Roman" w:hint="eastAsia"/>
          <w:b/>
          <w:u w:val="wave" w:color="C00000"/>
        </w:rPr>
        <w:t>無相無礙的虛空</w:t>
      </w:r>
      <w:r w:rsidRPr="00DA3BC7">
        <w:rPr>
          <w:rFonts w:ascii="Times New Roman" w:hAnsi="Times New Roman" w:hint="eastAsia"/>
        </w:rPr>
        <w:t>──</w:t>
      </w:r>
      <w:r w:rsidRPr="003E1F00">
        <w:rPr>
          <w:rFonts w:ascii="Times New Roman" w:hAnsi="Times New Roman" w:hint="eastAsia"/>
          <w:b/>
          <w:u w:val="wave" w:color="C00000"/>
        </w:rPr>
        <w:t>色法的容受者</w:t>
      </w:r>
      <w:r w:rsidRPr="00DA3BC7">
        <w:rPr>
          <w:rFonts w:ascii="Times New Roman" w:hAnsi="Times New Roman" w:hint="eastAsia"/>
        </w:rPr>
        <w:t>，但空相不即是色相。</w:t>
      </w:r>
    </w:p>
    <w:p w:rsidR="00FC005D" w:rsidRDefault="00AA120F" w:rsidP="00AE3920">
      <w:pPr>
        <w:spacing w:beforeLines="20"/>
        <w:ind w:leftChars="50" w:left="120"/>
        <w:jc w:val="both"/>
        <w:rPr>
          <w:rFonts w:ascii="Times New Roman" w:hAnsi="Times New Roman"/>
          <w:color w:val="FF0000"/>
        </w:rPr>
      </w:pPr>
      <w:r w:rsidRPr="00DA3BC7">
        <w:rPr>
          <w:rFonts w:ascii="Times New Roman" w:hAnsi="Times New Roman" w:hint="eastAsia"/>
        </w:rPr>
        <w:t>因色法的有相有分，而擬想虛空為器皿那樣的有量，可以區分空間為這裏、那裏的，固然不可通</w:t>
      </w:r>
      <w:r w:rsidR="00FC005D">
        <w:rPr>
          <w:rFonts w:ascii="Times New Roman" w:hAnsi="Times New Roman" w:hint="eastAsia"/>
          <w:color w:val="FF0000"/>
          <w:highlight w:val="yellow"/>
        </w:rPr>
        <w:t>；</w:t>
      </w:r>
    </w:p>
    <w:p w:rsidR="00AA120F" w:rsidRPr="00DA3BC7" w:rsidRDefault="00AA120F" w:rsidP="00AE3920">
      <w:pPr>
        <w:spacing w:beforeLines="20"/>
        <w:ind w:leftChars="50" w:left="120"/>
        <w:jc w:val="both"/>
        <w:rPr>
          <w:rFonts w:ascii="Times New Roman" w:eastAsia="SimSun" w:hAnsi="Times New Roman"/>
        </w:rPr>
      </w:pPr>
      <w:r w:rsidRPr="00DA3BC7">
        <w:rPr>
          <w:rFonts w:ascii="Times New Roman" w:hAnsi="Times New Roman" w:hint="eastAsia"/>
        </w:rPr>
        <w:t>即以虛空為無限的或不可析的整體，也還是自性見作祟</w:t>
      </w:r>
      <w:r w:rsidRPr="00DA3BC7">
        <w:rPr>
          <w:rStyle w:val="a6"/>
          <w:rFonts w:ascii="Times New Roman" w:hAnsi="Times New Roman"/>
        </w:rPr>
        <w:footnoteReference w:id="610"/>
      </w:r>
      <w:r w:rsidRPr="00DA3BC7">
        <w:rPr>
          <w:rFonts w:ascii="Times New Roman" w:hAnsi="Times New Roman" w:hint="eastAsia"/>
        </w:rPr>
        <w:t>，未能體會緣起的幻相。</w:t>
      </w:r>
    </w:p>
    <w:p w:rsidR="00AA120F" w:rsidRPr="00DA3BC7" w:rsidRDefault="00AA120F" w:rsidP="00AE3920">
      <w:pPr>
        <w:spacing w:beforeLines="20"/>
        <w:ind w:leftChars="50" w:left="120"/>
        <w:jc w:val="both"/>
        <w:rPr>
          <w:rFonts w:ascii="Times New Roman" w:eastAsia="SimSun" w:hAnsi="Times New Roman"/>
        </w:rPr>
      </w:pPr>
      <w:r w:rsidRPr="00DA3BC7">
        <w:rPr>
          <w:rFonts w:ascii="Times New Roman" w:hAnsi="Times New Roman" w:hint="eastAsia"/>
        </w:rPr>
        <w:t>從前，外道計「</w:t>
      </w:r>
      <w:r w:rsidRPr="00DA3BC7">
        <w:rPr>
          <w:rFonts w:ascii="標楷體" w:eastAsia="標楷體" w:hAnsi="標楷體" w:hint="eastAsia"/>
        </w:rPr>
        <w:t>我與世間有邊，我與世間無邊，我與世間亦有邊亦無邊，我與世間非有邊非無邊」</w:t>
      </w:r>
      <w:r w:rsidRPr="00DA3BC7">
        <w:rPr>
          <w:rFonts w:ascii="Times New Roman" w:hAnsi="Times New Roman" w:hint="eastAsia"/>
        </w:rPr>
        <w:t>；</w:t>
      </w:r>
      <w:r w:rsidR="007A6E3C" w:rsidRPr="00DA3BC7">
        <w:rPr>
          <w:rStyle w:val="a6"/>
          <w:rFonts w:ascii="Times New Roman" w:hAnsi="Times New Roman"/>
        </w:rPr>
        <w:footnoteReference w:id="611"/>
      </w:r>
      <w:r w:rsidRPr="00DA3BC7">
        <w:rPr>
          <w:rFonts w:ascii="Times New Roman" w:hAnsi="Times New Roman" w:hint="eastAsia"/>
        </w:rPr>
        <w:t>此即將宇宙</w:t>
      </w:r>
      <w:r w:rsidR="00150D1C" w:rsidRPr="00150D1C">
        <w:rPr>
          <w:rFonts w:ascii="Times New Roman" w:hAnsi="Times New Roman" w:hint="eastAsia"/>
          <w:color w:val="FF0000"/>
          <w:highlight w:val="yellow"/>
        </w:rPr>
        <w:t>、</w:t>
      </w:r>
      <w:r w:rsidRPr="00DA3BC7">
        <w:rPr>
          <w:rFonts w:ascii="Times New Roman" w:hAnsi="Times New Roman" w:hint="eastAsia"/>
        </w:rPr>
        <w:t>人生從空間的觀念中去推論它的有限與無限，即落戲論而為佛所不答。</w:t>
      </w:r>
      <w:r w:rsidRPr="00DA3BC7">
        <w:rPr>
          <w:rStyle w:val="a6"/>
          <w:rFonts w:ascii="Times New Roman" w:hAnsi="Times New Roman"/>
        </w:rPr>
        <w:footnoteReference w:id="612"/>
      </w:r>
    </w:p>
    <w:p w:rsidR="00AA120F" w:rsidRDefault="00AA120F" w:rsidP="00AE3920">
      <w:pPr>
        <w:spacing w:beforeLines="30"/>
        <w:ind w:leftChars="50" w:left="120"/>
        <w:jc w:val="both"/>
        <w:rPr>
          <w:rFonts w:ascii="Times New Roman" w:hAnsi="Times New Roman"/>
          <w:sz w:val="20"/>
          <w:szCs w:val="20"/>
        </w:rPr>
      </w:pPr>
      <w:r w:rsidRPr="00DA3BC7">
        <w:rPr>
          <w:rFonts w:ascii="Times New Roman" w:hAnsi="Times New Roman" w:hint="eastAsia"/>
          <w:b/>
          <w:sz w:val="20"/>
          <w:szCs w:val="20"/>
          <w:bdr w:val="single" w:sz="4" w:space="0" w:color="auto"/>
        </w:rPr>
        <w:t>（貳）</w:t>
      </w:r>
      <w:r w:rsidR="00FC005D">
        <w:rPr>
          <w:rFonts w:ascii="Times New Roman" w:hAnsi="Times New Roman" w:hint="eastAsia"/>
          <w:b/>
          <w:color w:val="FF0000"/>
          <w:sz w:val="20"/>
          <w:szCs w:val="20"/>
          <w:highlight w:val="yellow"/>
          <w:bdr w:val="single" w:sz="4" w:space="0" w:color="auto"/>
        </w:rPr>
        <w:t>明正理</w:t>
      </w:r>
      <w:r w:rsidRPr="00DA3BC7">
        <w:rPr>
          <w:rFonts w:ascii="Times New Roman" w:hAnsi="Times New Roman" w:hint="eastAsia"/>
          <w:sz w:val="20"/>
          <w:szCs w:val="20"/>
        </w:rPr>
        <w:t>（</w:t>
      </w:r>
      <w:r w:rsidRPr="00DA3BC7">
        <w:rPr>
          <w:rFonts w:ascii="Times New Roman" w:hAnsi="Times New Roman" w:hint="eastAsia"/>
          <w:sz w:val="20"/>
          <w:szCs w:val="20"/>
        </w:rPr>
        <w:t>p</w:t>
      </w:r>
      <w:r w:rsidRPr="00DA3BC7">
        <w:rPr>
          <w:rFonts w:ascii="Times New Roman" w:hAnsi="Times New Roman"/>
          <w:sz w:val="20"/>
          <w:szCs w:val="20"/>
        </w:rPr>
        <w:t>p.12</w:t>
      </w:r>
      <w:r w:rsidRPr="00DA3BC7">
        <w:rPr>
          <w:rFonts w:ascii="Times New Roman" w:hAnsi="Times New Roman" w:hint="eastAsia"/>
          <w:sz w:val="20"/>
          <w:szCs w:val="20"/>
        </w:rPr>
        <w:t>9-130</w:t>
      </w:r>
      <w:r w:rsidRPr="00DA3BC7">
        <w:rPr>
          <w:rFonts w:ascii="Times New Roman" w:hAnsi="Times New Roman" w:hint="eastAsia"/>
          <w:sz w:val="20"/>
          <w:szCs w:val="20"/>
        </w:rPr>
        <w:t>）</w:t>
      </w:r>
    </w:p>
    <w:p w:rsidR="00FC005D" w:rsidRDefault="00FC005D" w:rsidP="002E5DD4">
      <w:pPr>
        <w:ind w:leftChars="100" w:left="240"/>
        <w:jc w:val="both"/>
        <w:rPr>
          <w:rFonts w:ascii="Times New Roman" w:hAnsi="Times New Roman"/>
          <w:sz w:val="20"/>
          <w:szCs w:val="20"/>
        </w:rPr>
      </w:pPr>
      <w:r w:rsidRPr="00FC005D">
        <w:rPr>
          <w:rFonts w:ascii="Times New Roman" w:hAnsi="Times New Roman" w:hint="eastAsia"/>
          <w:b/>
          <w:color w:val="FF0000"/>
          <w:sz w:val="20"/>
          <w:szCs w:val="20"/>
          <w:highlight w:val="yellow"/>
          <w:bdr w:val="single" w:sz="4" w:space="0" w:color="auto"/>
        </w:rPr>
        <w:t>一、辨「空間相」</w:t>
      </w:r>
      <w:r w:rsidRPr="00DA3BC7">
        <w:rPr>
          <w:rFonts w:ascii="Times New Roman" w:hAnsi="Times New Roman" w:hint="eastAsia"/>
          <w:sz w:val="20"/>
          <w:szCs w:val="20"/>
        </w:rPr>
        <w:t>（</w:t>
      </w:r>
      <w:r w:rsidRPr="00DA3BC7">
        <w:rPr>
          <w:rFonts w:ascii="Times New Roman" w:hAnsi="Times New Roman" w:hint="eastAsia"/>
          <w:sz w:val="20"/>
          <w:szCs w:val="20"/>
        </w:rPr>
        <w:t>p</w:t>
      </w:r>
      <w:r w:rsidRPr="00DA3BC7">
        <w:rPr>
          <w:rFonts w:ascii="Times New Roman" w:hAnsi="Times New Roman"/>
          <w:sz w:val="20"/>
          <w:szCs w:val="20"/>
        </w:rPr>
        <w:t>p.12</w:t>
      </w:r>
      <w:r w:rsidRPr="00DA3BC7">
        <w:rPr>
          <w:rFonts w:ascii="Times New Roman" w:hAnsi="Times New Roman" w:hint="eastAsia"/>
          <w:sz w:val="20"/>
          <w:szCs w:val="20"/>
        </w:rPr>
        <w:t>9-130</w:t>
      </w:r>
      <w:r w:rsidRPr="00DA3BC7">
        <w:rPr>
          <w:rFonts w:ascii="Times New Roman" w:hAnsi="Times New Roman" w:hint="eastAsia"/>
          <w:sz w:val="20"/>
          <w:szCs w:val="20"/>
        </w:rPr>
        <w:t>）</w:t>
      </w:r>
    </w:p>
    <w:p w:rsidR="00FC005D" w:rsidRPr="00FC005D" w:rsidRDefault="00FC005D" w:rsidP="002E5DD4">
      <w:pPr>
        <w:ind w:leftChars="150" w:left="360"/>
        <w:jc w:val="both"/>
        <w:rPr>
          <w:rFonts w:ascii="Times New Roman" w:hAnsi="Times New Roman"/>
          <w:b/>
          <w:color w:val="FF0000"/>
          <w:sz w:val="20"/>
          <w:szCs w:val="20"/>
          <w:highlight w:val="yellow"/>
          <w:bdr w:val="single" w:sz="4" w:space="0" w:color="auto"/>
        </w:rPr>
      </w:pPr>
      <w:r w:rsidRPr="00FC005D">
        <w:rPr>
          <w:rFonts w:ascii="Times New Roman" w:hAnsi="Times New Roman" w:hint="eastAsia"/>
          <w:b/>
          <w:color w:val="FF0000"/>
          <w:sz w:val="20"/>
          <w:szCs w:val="20"/>
          <w:highlight w:val="yellow"/>
          <w:bdr w:val="single" w:sz="4" w:space="0" w:color="auto"/>
        </w:rPr>
        <w:t>（一）邊際不可得</w:t>
      </w:r>
      <w:r w:rsidRPr="00DA3BC7">
        <w:rPr>
          <w:rFonts w:ascii="Times New Roman" w:hAnsi="Times New Roman" w:hint="eastAsia"/>
          <w:sz w:val="20"/>
          <w:szCs w:val="20"/>
        </w:rPr>
        <w:t>（</w:t>
      </w:r>
      <w:r w:rsidRPr="00DA3BC7">
        <w:rPr>
          <w:rFonts w:ascii="Times New Roman" w:hAnsi="Times New Roman" w:hint="eastAsia"/>
          <w:sz w:val="20"/>
          <w:szCs w:val="20"/>
        </w:rPr>
        <w:t>p</w:t>
      </w:r>
      <w:r w:rsidRPr="00DA3BC7">
        <w:rPr>
          <w:rFonts w:ascii="Times New Roman" w:hAnsi="Times New Roman"/>
          <w:sz w:val="20"/>
          <w:szCs w:val="20"/>
        </w:rPr>
        <w:t>p.12</w:t>
      </w:r>
      <w:r w:rsidRPr="00DA3BC7">
        <w:rPr>
          <w:rFonts w:ascii="Times New Roman" w:hAnsi="Times New Roman" w:hint="eastAsia"/>
          <w:sz w:val="20"/>
          <w:szCs w:val="20"/>
        </w:rPr>
        <w:t>9-130</w:t>
      </w:r>
      <w:r w:rsidRPr="00DA3BC7">
        <w:rPr>
          <w:rFonts w:ascii="Times New Roman" w:hAnsi="Times New Roman" w:hint="eastAsia"/>
          <w:sz w:val="20"/>
          <w:szCs w:val="20"/>
        </w:rPr>
        <w:t>）</w:t>
      </w:r>
    </w:p>
    <w:p w:rsidR="00AA120F" w:rsidRPr="00DA3BC7" w:rsidRDefault="00AA120F" w:rsidP="002E5DD4">
      <w:pPr>
        <w:ind w:leftChars="150" w:left="360"/>
        <w:jc w:val="both"/>
        <w:rPr>
          <w:rFonts w:ascii="Times New Roman" w:hAnsi="Times New Roman"/>
        </w:rPr>
      </w:pPr>
      <w:r w:rsidRPr="00DA3BC7">
        <w:rPr>
          <w:rFonts w:ascii="Times New Roman" w:hAnsi="Times New Roman" w:hint="eastAsia"/>
        </w:rPr>
        <w:t>於此，從空界含容色法而色法佔有空間去看，色法是立體的，有三度的。凡是現有體積的，就都有縱的、橫的、豎的三度，依佛法說即有六方。</w:t>
      </w:r>
    </w:p>
    <w:p w:rsidR="00FC005D" w:rsidRDefault="00AA120F" w:rsidP="00AE3920">
      <w:pPr>
        <w:spacing w:beforeLines="20"/>
        <w:ind w:leftChars="150" w:left="360"/>
        <w:jc w:val="both"/>
        <w:rPr>
          <w:rFonts w:ascii="Times New Roman" w:hAnsi="Times New Roman"/>
        </w:rPr>
      </w:pPr>
      <w:r w:rsidRPr="00DA3BC7">
        <w:rPr>
          <w:rFonts w:ascii="Times New Roman" w:hAnsi="Times New Roman" w:hint="eastAsia"/>
        </w:rPr>
        <w:lastRenderedPageBreak/>
        <w:t>此與時間不同，</w:t>
      </w:r>
      <w:r w:rsidRPr="00DA3BC7">
        <w:rPr>
          <w:rFonts w:ascii="Times New Roman" w:hAnsi="Times New Roman" w:hint="eastAsia"/>
          <w:b/>
        </w:rPr>
        <w:t>時間</w:t>
      </w:r>
      <w:r w:rsidRPr="00DA3BC7">
        <w:rPr>
          <w:rFonts w:ascii="Times New Roman" w:hAnsi="Times New Roman" w:hint="eastAsia"/>
        </w:rPr>
        <w:t>現為</w:t>
      </w:r>
      <w:r w:rsidRPr="00DA3BC7">
        <w:rPr>
          <w:rFonts w:ascii="Times New Roman" w:hAnsi="Times New Roman" w:hint="eastAsia"/>
          <w:b/>
        </w:rPr>
        <w:t>前後的延續相</w:t>
      </w:r>
      <w:r w:rsidRPr="00DA3BC7">
        <w:rPr>
          <w:rFonts w:ascii="Times New Roman" w:hAnsi="Times New Roman" w:hint="eastAsia"/>
        </w:rPr>
        <w:t>，</w:t>
      </w:r>
      <w:r w:rsidRPr="00DA3BC7">
        <w:rPr>
          <w:rFonts w:ascii="Times New Roman" w:hAnsi="Times New Roman" w:hint="eastAsia"/>
          <w:b/>
        </w:rPr>
        <w:t>空間</w:t>
      </w:r>
      <w:r w:rsidRPr="00DA3BC7">
        <w:rPr>
          <w:rFonts w:ascii="Times New Roman" w:hAnsi="Times New Roman" w:hint="eastAsia"/>
        </w:rPr>
        <w:t>現為</w:t>
      </w:r>
      <w:r w:rsidRPr="00DA3BC7">
        <w:rPr>
          <w:rFonts w:ascii="Times New Roman" w:hAnsi="Times New Roman" w:hint="eastAsia"/>
          <w:b/>
        </w:rPr>
        <w:t>六方的擴展相</w:t>
      </w:r>
      <w:r w:rsidRPr="00DA3BC7">
        <w:rPr>
          <w:rFonts w:ascii="Times New Roman" w:hAnsi="Times New Roman" w:hint="eastAsia"/>
        </w:rPr>
        <w:t>。由於認識的片面性，每想像為平面的分佈。凡有三度或六方相的，即有邊的，此色法的邊際，依空相而顯，而此空即是無相，即是邊際不可得。有相有礙的色法是有邊，色法的邊即是無相的邊際不可得。</w:t>
      </w:r>
    </w:p>
    <w:p w:rsidR="00AA120F" w:rsidRPr="00DA3BC7" w:rsidRDefault="00AA120F" w:rsidP="00AE3920">
      <w:pPr>
        <w:spacing w:beforeLines="20"/>
        <w:ind w:leftChars="150" w:left="360"/>
        <w:jc w:val="both"/>
        <w:rPr>
          <w:rFonts w:ascii="Times New Roman" w:hAnsi="Times New Roman"/>
          <w:b/>
        </w:rPr>
      </w:pPr>
      <w:r w:rsidRPr="00DA3BC7">
        <w:rPr>
          <w:rFonts w:ascii="Times New Roman" w:hAnsi="Times New Roman" w:hint="eastAsia"/>
          <w:b/>
        </w:rPr>
        <w:t>如執無相無礙的空界是無邊的，即成戲論，無相有什麼邊與無邊！經說虛空無邊，如無始一樣，否則有邊無邊都是邪見。</w:t>
      </w:r>
      <w:r w:rsidRPr="00DA3BC7">
        <w:rPr>
          <w:rStyle w:val="a6"/>
          <w:rFonts w:ascii="Times New Roman" w:hAnsi="Times New Roman"/>
        </w:rPr>
        <w:footnoteReference w:id="613"/>
      </w:r>
    </w:p>
    <w:p w:rsidR="00AA120F" w:rsidRPr="00DA3BC7" w:rsidRDefault="00AA120F" w:rsidP="00AE3920">
      <w:pPr>
        <w:spacing w:beforeLines="30"/>
        <w:ind w:leftChars="150" w:left="360"/>
        <w:jc w:val="both"/>
        <w:rPr>
          <w:rFonts w:ascii="Times New Roman" w:eastAsia="SimSun" w:hAnsi="Times New Roman"/>
          <w:b/>
          <w:sz w:val="20"/>
          <w:szCs w:val="20"/>
        </w:rPr>
      </w:pPr>
      <w:r w:rsidRPr="00FC005D">
        <w:rPr>
          <w:rFonts w:ascii="Times New Roman" w:hAnsi="Times New Roman" w:hint="eastAsia"/>
          <w:b/>
          <w:color w:val="FF0000"/>
          <w:sz w:val="20"/>
          <w:szCs w:val="20"/>
          <w:highlight w:val="yellow"/>
          <w:bdr w:val="single" w:sz="4" w:space="0" w:color="auto"/>
        </w:rPr>
        <w:t>（</w:t>
      </w:r>
      <w:r w:rsidR="00FC005D" w:rsidRPr="00FC005D">
        <w:rPr>
          <w:rFonts w:ascii="Times New Roman" w:hAnsi="Times New Roman" w:hint="eastAsia"/>
          <w:b/>
          <w:color w:val="FF0000"/>
          <w:sz w:val="20"/>
          <w:szCs w:val="20"/>
          <w:highlight w:val="yellow"/>
          <w:bdr w:val="single" w:sz="4" w:space="0" w:color="auto"/>
        </w:rPr>
        <w:t>二</w:t>
      </w:r>
      <w:r w:rsidRPr="00FC005D">
        <w:rPr>
          <w:rFonts w:ascii="Times New Roman" w:hAnsi="Times New Roman" w:hint="eastAsia"/>
          <w:b/>
          <w:color w:val="FF0000"/>
          <w:sz w:val="20"/>
          <w:szCs w:val="20"/>
          <w:highlight w:val="yellow"/>
          <w:bdr w:val="single" w:sz="4" w:space="0" w:color="auto"/>
        </w:rPr>
        <w:t>）</w:t>
      </w:r>
      <w:r w:rsidR="00FC005D" w:rsidRPr="00FC005D">
        <w:rPr>
          <w:rFonts w:ascii="Times New Roman" w:hAnsi="Times New Roman" w:hint="eastAsia"/>
          <w:b/>
          <w:color w:val="FF0000"/>
          <w:sz w:val="20"/>
          <w:szCs w:val="20"/>
          <w:highlight w:val="yellow"/>
          <w:bdr w:val="single" w:sz="4" w:space="0" w:color="auto"/>
        </w:rPr>
        <w:t>依「</w:t>
      </w:r>
      <w:r w:rsidRPr="00FC005D">
        <w:rPr>
          <w:rFonts w:ascii="Times New Roman" w:hAnsi="Times New Roman" w:hint="eastAsia"/>
          <w:b/>
          <w:color w:val="FF0000"/>
          <w:sz w:val="20"/>
          <w:szCs w:val="20"/>
          <w:highlight w:val="yellow"/>
          <w:bdr w:val="single" w:sz="4" w:space="0" w:color="auto"/>
        </w:rPr>
        <w:t>有</w:t>
      </w:r>
      <w:r w:rsidR="00FC005D" w:rsidRPr="00FC005D">
        <w:rPr>
          <w:rFonts w:ascii="Times New Roman" w:hAnsi="Times New Roman" w:hint="eastAsia"/>
          <w:b/>
          <w:color w:val="FF0000"/>
          <w:sz w:val="20"/>
          <w:szCs w:val="20"/>
          <w:highlight w:val="yellow"/>
          <w:bdr w:val="single" w:sz="4" w:space="0" w:color="auto"/>
        </w:rPr>
        <w:t>」幻現「空」</w:t>
      </w:r>
      <w:r w:rsidRPr="00DA3BC7">
        <w:rPr>
          <w:rFonts w:ascii="Times New Roman" w:hAnsi="Times New Roman" w:hint="eastAsia"/>
          <w:sz w:val="20"/>
          <w:szCs w:val="20"/>
        </w:rPr>
        <w:t>（</w:t>
      </w:r>
      <w:r w:rsidRPr="00DA3BC7">
        <w:rPr>
          <w:rFonts w:ascii="Times New Roman" w:hAnsi="Times New Roman"/>
          <w:sz w:val="20"/>
          <w:szCs w:val="20"/>
        </w:rPr>
        <w:t>p.1</w:t>
      </w:r>
      <w:r w:rsidRPr="00DA3BC7">
        <w:rPr>
          <w:rFonts w:ascii="Times New Roman" w:hAnsi="Times New Roman" w:hint="eastAsia"/>
          <w:sz w:val="20"/>
          <w:szCs w:val="20"/>
        </w:rPr>
        <w:t>30</w:t>
      </w:r>
      <w:r w:rsidRPr="00DA3BC7">
        <w:rPr>
          <w:rFonts w:ascii="Times New Roman" w:hAnsi="Times New Roman" w:hint="eastAsia"/>
          <w:sz w:val="20"/>
          <w:szCs w:val="20"/>
        </w:rPr>
        <w:t>）</w:t>
      </w:r>
    </w:p>
    <w:p w:rsidR="00AA120F" w:rsidRPr="00DA3BC7" w:rsidRDefault="00AA120F" w:rsidP="002E5DD4">
      <w:pPr>
        <w:ind w:leftChars="150" w:left="360"/>
        <w:jc w:val="both"/>
        <w:rPr>
          <w:rFonts w:ascii="Times New Roman" w:hAnsi="Times New Roman"/>
        </w:rPr>
      </w:pPr>
      <w:r w:rsidRPr="00DA3BC7">
        <w:rPr>
          <w:rFonts w:ascii="Times New Roman" w:hAnsi="Times New Roman" w:hint="eastAsia"/>
        </w:rPr>
        <w:t>常人以色相去擬議空相，看成實有自體，於是乎說：筆在桌上，桌在地上，地在空上。把空界實體化，那應請問他們：虛空在何處？</w:t>
      </w:r>
    </w:p>
    <w:p w:rsidR="00AA120F" w:rsidRPr="00DA3BC7" w:rsidRDefault="00AA120F" w:rsidP="00AE3920">
      <w:pPr>
        <w:spacing w:beforeLines="20"/>
        <w:ind w:leftChars="150" w:left="360"/>
        <w:jc w:val="both"/>
        <w:rPr>
          <w:rFonts w:ascii="Times New Roman" w:hAnsi="Times New Roman"/>
        </w:rPr>
      </w:pPr>
      <w:r w:rsidRPr="00DA3BC7">
        <w:rPr>
          <w:rFonts w:ascii="Times New Roman" w:hAnsi="Times New Roman" w:hint="eastAsia"/>
        </w:rPr>
        <w:t>故</w:t>
      </w:r>
      <w:r w:rsidRPr="00DA3BC7">
        <w:rPr>
          <w:rFonts w:ascii="Times New Roman" w:hAnsi="Times New Roman" w:hint="eastAsia"/>
          <w:b/>
        </w:rPr>
        <w:t>凡有相的存在，即現為無相的虛空；離有相的有邊限的事物，則無虛空</w:t>
      </w:r>
      <w:r w:rsidRPr="00DA3BC7">
        <w:rPr>
          <w:rFonts w:ascii="Times New Roman" w:hAnsi="Times New Roman" w:hint="eastAsia"/>
        </w:rPr>
        <w:t>，故空是存在法的又一特相。</w:t>
      </w:r>
    </w:p>
    <w:p w:rsidR="00FC005D" w:rsidRDefault="00FC005D" w:rsidP="00AE3920">
      <w:pPr>
        <w:spacing w:beforeLines="30"/>
        <w:ind w:leftChars="100" w:left="240"/>
        <w:jc w:val="both"/>
        <w:rPr>
          <w:rFonts w:ascii="Times New Roman" w:hAnsi="Times New Roman"/>
          <w:b/>
          <w:color w:val="FF0000"/>
          <w:sz w:val="20"/>
          <w:szCs w:val="20"/>
          <w:bdr w:val="single" w:sz="4" w:space="0" w:color="auto"/>
        </w:rPr>
      </w:pPr>
      <w:r w:rsidRPr="00FC005D">
        <w:rPr>
          <w:rFonts w:ascii="Times New Roman" w:hAnsi="Times New Roman" w:hint="eastAsia"/>
          <w:b/>
          <w:color w:val="FF0000"/>
          <w:sz w:val="20"/>
          <w:szCs w:val="20"/>
          <w:highlight w:val="yellow"/>
          <w:bdr w:val="single" w:sz="4" w:space="0" w:color="auto"/>
        </w:rPr>
        <w:t>二、辨「色相」</w:t>
      </w:r>
      <w:r w:rsidRPr="00DA3BC7">
        <w:rPr>
          <w:rFonts w:ascii="Times New Roman" w:hAnsi="Times New Roman" w:hint="eastAsia"/>
          <w:sz w:val="20"/>
          <w:szCs w:val="20"/>
        </w:rPr>
        <w:t>（</w:t>
      </w:r>
      <w:r w:rsidRPr="00DA3BC7">
        <w:rPr>
          <w:rFonts w:ascii="Times New Roman" w:hAnsi="Times New Roman"/>
          <w:sz w:val="20"/>
          <w:szCs w:val="20"/>
        </w:rPr>
        <w:t>p</w:t>
      </w:r>
      <w:r w:rsidRPr="00DA3BC7">
        <w:rPr>
          <w:rFonts w:ascii="Times New Roman" w:hAnsi="Times New Roman" w:hint="eastAsia"/>
          <w:sz w:val="20"/>
          <w:szCs w:val="20"/>
        </w:rPr>
        <w:t>p</w:t>
      </w:r>
      <w:r w:rsidRPr="00DA3BC7">
        <w:rPr>
          <w:rFonts w:ascii="Times New Roman" w:hAnsi="Times New Roman"/>
          <w:sz w:val="20"/>
          <w:szCs w:val="20"/>
        </w:rPr>
        <w:t>.1</w:t>
      </w:r>
      <w:r w:rsidRPr="00DA3BC7">
        <w:rPr>
          <w:rFonts w:ascii="Times New Roman" w:hAnsi="Times New Roman" w:hint="eastAsia"/>
          <w:sz w:val="20"/>
          <w:szCs w:val="20"/>
        </w:rPr>
        <w:t>30-131</w:t>
      </w:r>
      <w:r w:rsidRPr="00DA3BC7">
        <w:rPr>
          <w:rFonts w:ascii="Times New Roman" w:hAnsi="Times New Roman" w:hint="eastAsia"/>
          <w:sz w:val="20"/>
          <w:szCs w:val="20"/>
        </w:rPr>
        <w:t>）</w:t>
      </w:r>
    </w:p>
    <w:p w:rsidR="00AA120F" w:rsidRPr="00DA3BC7" w:rsidRDefault="00AA120F" w:rsidP="002E5DD4">
      <w:pPr>
        <w:ind w:leftChars="150" w:left="360"/>
        <w:jc w:val="both"/>
        <w:rPr>
          <w:rFonts w:ascii="Times New Roman" w:eastAsia="SimSun" w:hAnsi="Times New Roman"/>
          <w:b/>
          <w:sz w:val="20"/>
          <w:szCs w:val="20"/>
          <w:bdr w:val="single" w:sz="4" w:space="0" w:color="auto"/>
        </w:rPr>
      </w:pPr>
      <w:r w:rsidRPr="00FC005D">
        <w:rPr>
          <w:rFonts w:ascii="Times New Roman" w:hAnsi="Times New Roman" w:hint="eastAsia"/>
          <w:b/>
          <w:color w:val="FF0000"/>
          <w:sz w:val="20"/>
          <w:szCs w:val="20"/>
          <w:highlight w:val="yellow"/>
          <w:bdr w:val="single" w:sz="4" w:space="0" w:color="auto"/>
        </w:rPr>
        <w:t>（</w:t>
      </w:r>
      <w:r w:rsidR="00FC005D" w:rsidRPr="00FC005D">
        <w:rPr>
          <w:rFonts w:ascii="Times New Roman" w:hAnsi="Times New Roman" w:hint="eastAsia"/>
          <w:b/>
          <w:color w:val="FF0000"/>
          <w:sz w:val="20"/>
          <w:szCs w:val="20"/>
          <w:highlight w:val="yellow"/>
          <w:bdr w:val="single" w:sz="4" w:space="0" w:color="auto"/>
        </w:rPr>
        <w:t>一</w:t>
      </w:r>
      <w:r w:rsidRPr="00FC005D">
        <w:rPr>
          <w:rFonts w:ascii="Times New Roman" w:hAnsi="Times New Roman" w:hint="eastAsia"/>
          <w:b/>
          <w:color w:val="FF0000"/>
          <w:sz w:val="20"/>
          <w:szCs w:val="20"/>
          <w:highlight w:val="yellow"/>
          <w:bdr w:val="single" w:sz="4" w:space="0" w:color="auto"/>
        </w:rPr>
        <w:t>）</w:t>
      </w:r>
      <w:r w:rsidR="00FC005D" w:rsidRPr="00FC005D">
        <w:rPr>
          <w:rFonts w:ascii="Times New Roman" w:hAnsi="Times New Roman" w:hint="eastAsia"/>
          <w:b/>
          <w:color w:val="FF0000"/>
          <w:sz w:val="20"/>
          <w:szCs w:val="20"/>
          <w:highlight w:val="yellow"/>
          <w:bdr w:val="single" w:sz="4" w:space="0" w:color="auto"/>
        </w:rPr>
        <w:t>「有邊」、「無邊」相待成</w:t>
      </w:r>
      <w:r w:rsidRPr="00DA3BC7">
        <w:rPr>
          <w:rFonts w:ascii="Times New Roman" w:hAnsi="Times New Roman" w:hint="eastAsia"/>
          <w:sz w:val="20"/>
          <w:szCs w:val="20"/>
        </w:rPr>
        <w:t>（</w:t>
      </w:r>
      <w:r w:rsidRPr="00DA3BC7">
        <w:rPr>
          <w:rFonts w:ascii="Times New Roman" w:hAnsi="Times New Roman" w:hint="eastAsia"/>
          <w:sz w:val="20"/>
          <w:szCs w:val="20"/>
        </w:rPr>
        <w:t>p</w:t>
      </w:r>
      <w:r w:rsidRPr="00DA3BC7">
        <w:rPr>
          <w:rFonts w:ascii="Times New Roman" w:hAnsi="Times New Roman"/>
          <w:sz w:val="20"/>
          <w:szCs w:val="20"/>
        </w:rPr>
        <w:t>.1</w:t>
      </w:r>
      <w:r w:rsidRPr="00DA3BC7">
        <w:rPr>
          <w:rFonts w:ascii="Times New Roman" w:hAnsi="Times New Roman" w:hint="eastAsia"/>
          <w:sz w:val="20"/>
          <w:szCs w:val="20"/>
        </w:rPr>
        <w:t>30</w:t>
      </w:r>
      <w:r w:rsidRPr="00DA3BC7">
        <w:rPr>
          <w:rFonts w:ascii="Times New Roman" w:hAnsi="Times New Roman" w:hint="eastAsia"/>
          <w:sz w:val="20"/>
          <w:szCs w:val="20"/>
        </w:rPr>
        <w:t>）</w:t>
      </w:r>
    </w:p>
    <w:p w:rsidR="00AA120F" w:rsidRPr="00DA3BC7" w:rsidRDefault="00AA120F" w:rsidP="002E5DD4">
      <w:pPr>
        <w:ind w:leftChars="150" w:left="360"/>
        <w:jc w:val="both"/>
        <w:rPr>
          <w:rFonts w:ascii="Times New Roman" w:eastAsia="SimSun" w:hAnsi="Times New Roman"/>
        </w:rPr>
      </w:pPr>
      <w:r w:rsidRPr="00DA3BC7">
        <w:rPr>
          <w:rFonts w:ascii="Times New Roman" w:hAnsi="Times New Roman" w:hint="eastAsia"/>
        </w:rPr>
        <w:t>不但</w:t>
      </w:r>
      <w:r w:rsidRPr="00DA3BC7">
        <w:rPr>
          <w:rFonts w:ascii="Times New Roman" w:hAnsi="Times New Roman" w:hint="eastAsia"/>
          <w:b/>
        </w:rPr>
        <w:t>空</w:t>
      </w:r>
      <w:r w:rsidRPr="00DA3BC7">
        <w:rPr>
          <w:rFonts w:ascii="Times New Roman" w:hAnsi="Times New Roman" w:hint="eastAsia"/>
        </w:rPr>
        <w:t>是如此，即如</w:t>
      </w:r>
      <w:r w:rsidRPr="00DA3BC7">
        <w:rPr>
          <w:rFonts w:ascii="Times New Roman" w:hAnsi="Times New Roman" w:hint="eastAsia"/>
          <w:b/>
        </w:rPr>
        <w:t>色法</w:t>
      </w:r>
      <w:r w:rsidRPr="00DA3BC7">
        <w:rPr>
          <w:rFonts w:ascii="Times New Roman" w:hAnsi="Times New Roman" w:hint="eastAsia"/>
        </w:rPr>
        <w:t>，每一個體，現為有相有邊的，如望於他聚，即從此（假定以此為中心）而擴展到彼，有邊還成無邊。如認識界的漸次擴大，空間中的存在──向十方也不斷擴大。從前的一切──如古人所說的天下，現在僅是一小部分，極渺小的部分了。</w:t>
      </w:r>
    </w:p>
    <w:p w:rsidR="00FC005D" w:rsidRDefault="00FC005D" w:rsidP="00AE3920">
      <w:pPr>
        <w:spacing w:beforeLines="30"/>
        <w:ind w:leftChars="150" w:left="360"/>
        <w:jc w:val="both"/>
        <w:rPr>
          <w:rFonts w:ascii="Times New Roman" w:hAnsi="Times New Roman"/>
          <w:sz w:val="20"/>
          <w:szCs w:val="20"/>
        </w:rPr>
      </w:pPr>
      <w:r w:rsidRPr="00FC005D">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二</w:t>
      </w:r>
      <w:r w:rsidRPr="00FC005D">
        <w:rPr>
          <w:rFonts w:ascii="Times New Roman" w:hAnsi="Times New Roman" w:hint="eastAsia"/>
          <w:b/>
          <w:color w:val="FF0000"/>
          <w:sz w:val="20"/>
          <w:szCs w:val="20"/>
          <w:highlight w:val="yellow"/>
          <w:bdr w:val="single" w:sz="4" w:space="0" w:color="auto"/>
        </w:rPr>
        <w:t>）「有限」、「無限」不可得</w:t>
      </w:r>
      <w:r w:rsidRPr="00DA3BC7">
        <w:rPr>
          <w:rFonts w:ascii="Times New Roman" w:hAnsi="Times New Roman" w:hint="eastAsia"/>
          <w:sz w:val="20"/>
          <w:szCs w:val="20"/>
        </w:rPr>
        <w:t>（</w:t>
      </w:r>
      <w:r w:rsidRPr="00DA3BC7">
        <w:rPr>
          <w:rFonts w:ascii="Times New Roman" w:hAnsi="Times New Roman"/>
          <w:sz w:val="20"/>
          <w:szCs w:val="20"/>
        </w:rPr>
        <w:t>p</w:t>
      </w:r>
      <w:r w:rsidRPr="00DA3BC7">
        <w:rPr>
          <w:rFonts w:ascii="Times New Roman" w:hAnsi="Times New Roman" w:hint="eastAsia"/>
          <w:sz w:val="20"/>
          <w:szCs w:val="20"/>
        </w:rPr>
        <w:t>p</w:t>
      </w:r>
      <w:r w:rsidRPr="00DA3BC7">
        <w:rPr>
          <w:rFonts w:ascii="Times New Roman" w:hAnsi="Times New Roman"/>
          <w:sz w:val="20"/>
          <w:szCs w:val="20"/>
        </w:rPr>
        <w:t>.1</w:t>
      </w:r>
      <w:r w:rsidRPr="00DA3BC7">
        <w:rPr>
          <w:rFonts w:ascii="Times New Roman" w:hAnsi="Times New Roman" w:hint="eastAsia"/>
          <w:sz w:val="20"/>
          <w:szCs w:val="20"/>
        </w:rPr>
        <w:t>30-131</w:t>
      </w:r>
      <w:r w:rsidRPr="00DA3BC7">
        <w:rPr>
          <w:rFonts w:ascii="Times New Roman" w:hAnsi="Times New Roman" w:hint="eastAsia"/>
          <w:sz w:val="20"/>
          <w:szCs w:val="20"/>
        </w:rPr>
        <w:t>）</w:t>
      </w:r>
    </w:p>
    <w:p w:rsidR="00AA120F" w:rsidRPr="00DA3BC7" w:rsidRDefault="00AA120F" w:rsidP="002E5DD4">
      <w:pPr>
        <w:ind w:leftChars="150" w:left="360"/>
        <w:jc w:val="both"/>
        <w:rPr>
          <w:rFonts w:ascii="Times New Roman" w:hAnsi="Times New Roman"/>
        </w:rPr>
      </w:pPr>
      <w:r w:rsidRPr="00DA3BC7">
        <w:rPr>
          <w:rFonts w:ascii="Times New Roman" w:hAnsi="Times New Roman" w:hint="eastAsia"/>
          <w:b/>
        </w:rPr>
        <w:t>緣起色法的幻現六方相，</w:t>
      </w:r>
      <w:r w:rsidRPr="00DA3BC7">
        <w:rPr>
          <w:rFonts w:ascii="Times New Roman" w:hAnsi="Times New Roman" w:hint="eastAsia"/>
        </w:rPr>
        <w:t>是虛誑似現而不可據為真實的；</w:t>
      </w:r>
      <w:r w:rsidRPr="00DA3BC7">
        <w:rPr>
          <w:rFonts w:ascii="Times New Roman" w:hAnsi="Times New Roman" w:hint="eastAsia"/>
          <w:b/>
        </w:rPr>
        <w:t>如以為真實而想推求究竟，</w:t>
      </w:r>
      <w:r w:rsidRPr="00DA3BC7">
        <w:rPr>
          <w:rFonts w:ascii="Times New Roman" w:hAnsi="Times New Roman" w:hint="eastAsia"/>
        </w:rPr>
        <w:t>那麼</w:t>
      </w:r>
      <w:r w:rsidRPr="00DA3BC7">
        <w:rPr>
          <w:rFonts w:ascii="Times New Roman" w:hAnsi="Times New Roman" w:hint="eastAsia"/>
          <w:b/>
        </w:rPr>
        <w:t>有限與無限都不可得。</w:t>
      </w:r>
    </w:p>
    <w:p w:rsidR="00AA120F" w:rsidRPr="00DA3BC7" w:rsidRDefault="00AA120F" w:rsidP="00AE3920">
      <w:pPr>
        <w:spacing w:beforeLines="20"/>
        <w:ind w:leftChars="150" w:left="360"/>
        <w:jc w:val="both"/>
        <w:rPr>
          <w:rFonts w:ascii="Times New Roman" w:hAnsi="Times New Roman"/>
        </w:rPr>
      </w:pPr>
      <w:r w:rsidRPr="00DA3BC7">
        <w:rPr>
          <w:rFonts w:ascii="Times New Roman" w:hAnsi="Times New Roman" w:hint="eastAsia"/>
        </w:rPr>
        <w:t>因為，範</w:t>
      </w:r>
      <w:r w:rsidRPr="00DA3BC7">
        <w:rPr>
          <w:rStyle w:val="a6"/>
          <w:rFonts w:ascii="Times New Roman" w:hAnsi="Times New Roman"/>
        </w:rPr>
        <w:footnoteReference w:id="614"/>
      </w:r>
      <w:r w:rsidRPr="00DA3BC7">
        <w:rPr>
          <w:rFonts w:ascii="Times New Roman" w:hAnsi="Times New Roman" w:hint="eastAsia"/>
        </w:rPr>
        <w:t>成定型的限相──如國與國界限，必是待他的；其大無外</w:t>
      </w:r>
      <w:r w:rsidRPr="00DA3BC7">
        <w:rPr>
          <w:rStyle w:val="a6"/>
          <w:rFonts w:ascii="Times New Roman" w:hAnsi="Times New Roman"/>
        </w:rPr>
        <w:footnoteReference w:id="615"/>
      </w:r>
      <w:r w:rsidRPr="00DA3BC7">
        <w:rPr>
          <w:rFonts w:ascii="Times New Roman" w:hAnsi="Times New Roman" w:hint="eastAsia"/>
        </w:rPr>
        <w:t>，不過是神的別名。</w:t>
      </w:r>
      <w:r w:rsidRPr="00FC005D">
        <w:rPr>
          <w:rFonts w:ascii="Times New Roman" w:hAnsi="Times New Roman" w:hint="eastAsia"/>
          <w:highlight w:val="yellow"/>
        </w:rPr>
        <w:t>所</w:t>
      </w:r>
      <w:r w:rsidRPr="00DA3BC7">
        <w:rPr>
          <w:rFonts w:ascii="Times New Roman" w:hAnsi="Times New Roman" w:hint="eastAsia"/>
        </w:rPr>
        <w:t>以，如以為此是極限，此限即不成其為限。反之，如</w:t>
      </w:r>
      <w:r w:rsidRPr="00DA3BC7">
        <w:rPr>
          <w:rFonts w:ascii="Times New Roman" w:hAnsi="Times New Roman" w:hint="eastAsia"/>
        </w:rPr>
        <w:lastRenderedPageBreak/>
        <w:t>以為世界無盡，而從色法的形成個體去說，色法是不能無限的。</w:t>
      </w:r>
    </w:p>
    <w:p w:rsidR="00AA120F" w:rsidRPr="00DA3BC7" w:rsidRDefault="00AA120F" w:rsidP="00AE3920">
      <w:pPr>
        <w:spacing w:beforeLines="20"/>
        <w:ind w:leftChars="150" w:left="360"/>
        <w:jc w:val="both"/>
        <w:rPr>
          <w:rFonts w:ascii="Times New Roman" w:eastAsia="SimSun" w:hAnsi="Times New Roman"/>
        </w:rPr>
      </w:pPr>
      <w:r w:rsidRPr="00DA3BC7">
        <w:rPr>
          <w:rFonts w:ascii="Times New Roman" w:hAnsi="Times New Roman" w:hint="eastAsia"/>
        </w:rPr>
        <w:t>有限與無限，世界在誑惑我們！</w:t>
      </w:r>
    </w:p>
    <w:p w:rsidR="00AA120F" w:rsidRPr="00DA3BC7" w:rsidRDefault="00AA120F" w:rsidP="00AE3920">
      <w:pPr>
        <w:spacing w:beforeLines="30"/>
        <w:jc w:val="both"/>
        <w:rPr>
          <w:rFonts w:ascii="Times New Roman" w:hAnsi="Times New Roman"/>
          <w:sz w:val="20"/>
          <w:szCs w:val="20"/>
          <w:bdr w:val="single" w:sz="4" w:space="0" w:color="auto"/>
        </w:rPr>
      </w:pPr>
      <w:r w:rsidRPr="00DA3BC7">
        <w:rPr>
          <w:rFonts w:ascii="Times New Roman" w:hAnsi="Times New Roman" w:hint="eastAsia"/>
          <w:b/>
          <w:sz w:val="20"/>
          <w:szCs w:val="20"/>
          <w:bdr w:val="single" w:sz="4" w:space="0" w:color="auto"/>
        </w:rPr>
        <w:t>肆、</w:t>
      </w:r>
      <w:r w:rsidR="00FC005D">
        <w:rPr>
          <w:rFonts w:ascii="Times New Roman" w:hAnsi="Times New Roman" w:hint="eastAsia"/>
          <w:b/>
          <w:color w:val="FF0000"/>
          <w:sz w:val="20"/>
          <w:szCs w:val="20"/>
          <w:highlight w:val="yellow"/>
          <w:bdr w:val="single" w:sz="4" w:space="0" w:color="auto"/>
        </w:rPr>
        <w:t>總結</w:t>
      </w:r>
      <w:r w:rsidRPr="00DA3BC7">
        <w:rPr>
          <w:rFonts w:ascii="Times New Roman" w:hAnsi="Times New Roman" w:hint="eastAsia"/>
          <w:sz w:val="20"/>
          <w:szCs w:val="20"/>
        </w:rPr>
        <w:t>（</w:t>
      </w:r>
      <w:r w:rsidRPr="00DA3BC7">
        <w:rPr>
          <w:rFonts w:ascii="Times New Roman" w:hAnsi="Times New Roman"/>
          <w:sz w:val="20"/>
          <w:szCs w:val="20"/>
        </w:rPr>
        <w:t>p.131</w:t>
      </w:r>
      <w:r w:rsidRPr="00DA3BC7">
        <w:rPr>
          <w:rFonts w:ascii="Times New Roman" w:hAnsi="Times New Roman" w:hint="eastAsia"/>
          <w:sz w:val="20"/>
          <w:szCs w:val="20"/>
        </w:rPr>
        <w:t>）</w:t>
      </w:r>
    </w:p>
    <w:p w:rsidR="00AA120F" w:rsidRPr="00DA3BC7" w:rsidRDefault="00AA120F" w:rsidP="008E2BBC">
      <w:pPr>
        <w:ind w:leftChars="50" w:left="120"/>
        <w:jc w:val="both"/>
        <w:rPr>
          <w:rFonts w:ascii="Times New Roman" w:eastAsia="SimSun" w:hAnsi="Times New Roman"/>
          <w:b/>
          <w:sz w:val="20"/>
          <w:szCs w:val="20"/>
        </w:rPr>
      </w:pPr>
      <w:r w:rsidRPr="00DA3BC7">
        <w:rPr>
          <w:rFonts w:ascii="Times New Roman" w:hAnsi="Times New Roman" w:hint="eastAsia"/>
          <w:b/>
          <w:sz w:val="20"/>
          <w:szCs w:val="20"/>
          <w:bdr w:val="single" w:sz="4" w:space="0" w:color="auto"/>
        </w:rPr>
        <w:t>（壹）</w:t>
      </w:r>
      <w:r w:rsidR="00FC005D" w:rsidRPr="00FC005D">
        <w:rPr>
          <w:rFonts w:ascii="Times New Roman" w:hAnsi="Times New Roman" w:hint="eastAsia"/>
          <w:b/>
          <w:color w:val="FF0000"/>
          <w:sz w:val="20"/>
          <w:szCs w:val="20"/>
          <w:highlight w:val="yellow"/>
          <w:bdr w:val="single" w:sz="4" w:space="0" w:color="auto"/>
        </w:rPr>
        <w:t>破「色法之極微」</w:t>
      </w:r>
      <w:r w:rsidRPr="00DA3BC7">
        <w:rPr>
          <w:rFonts w:ascii="Times New Roman" w:hAnsi="Times New Roman" w:hint="eastAsia"/>
          <w:sz w:val="20"/>
          <w:szCs w:val="20"/>
        </w:rPr>
        <w:t>（</w:t>
      </w:r>
      <w:r w:rsidRPr="00DA3BC7">
        <w:rPr>
          <w:rFonts w:ascii="Times New Roman" w:hAnsi="Times New Roman"/>
          <w:sz w:val="20"/>
          <w:szCs w:val="20"/>
        </w:rPr>
        <w:t>p.1</w:t>
      </w:r>
      <w:r w:rsidRPr="00DA3BC7">
        <w:rPr>
          <w:rFonts w:ascii="Times New Roman" w:hAnsi="Times New Roman" w:hint="eastAsia"/>
          <w:sz w:val="20"/>
          <w:szCs w:val="20"/>
        </w:rPr>
        <w:t>31</w:t>
      </w:r>
      <w:r w:rsidRPr="00DA3BC7">
        <w:rPr>
          <w:rFonts w:ascii="Times New Roman" w:hAnsi="Times New Roman" w:hint="eastAsia"/>
          <w:sz w:val="20"/>
          <w:szCs w:val="20"/>
        </w:rPr>
        <w:t>）</w:t>
      </w:r>
    </w:p>
    <w:p w:rsidR="00AA120F" w:rsidRPr="00DA3BC7" w:rsidRDefault="00AA120F" w:rsidP="008E2BBC">
      <w:pPr>
        <w:ind w:leftChars="50" w:left="120"/>
        <w:jc w:val="both"/>
        <w:rPr>
          <w:rFonts w:ascii="Times New Roman" w:eastAsia="SimSun" w:hAnsi="Times New Roman"/>
        </w:rPr>
      </w:pPr>
      <w:r w:rsidRPr="00DA3BC7">
        <w:rPr>
          <w:rFonts w:ascii="Times New Roman" w:hAnsi="Times New Roman" w:hint="eastAsia"/>
        </w:rPr>
        <w:t>空間中的存在者，現為六方相，可以分析的，但最後如以為真實的，希望分析質素而找出有相有礙而不可再分析的究竟原質，即成大錯！故極微論者，至此難通！以不可再分析的鄰虛塵</w:t>
      </w:r>
      <w:r w:rsidRPr="00DA3BC7">
        <w:rPr>
          <w:rStyle w:val="a6"/>
          <w:rFonts w:ascii="Times New Roman" w:hAnsi="Times New Roman"/>
        </w:rPr>
        <w:footnoteReference w:id="616"/>
      </w:r>
      <w:r w:rsidRPr="00DA3BC7">
        <w:rPr>
          <w:rFonts w:ascii="Times New Roman" w:hAnsi="Times New Roman" w:hint="eastAsia"/>
        </w:rPr>
        <w:t>，若仍可分，即非極微；若不可分，即失去方分</w:t>
      </w:r>
      <w:r w:rsidRPr="00DA3BC7">
        <w:rPr>
          <w:rStyle w:val="a6"/>
          <w:rFonts w:ascii="Times New Roman" w:hAnsi="Times New Roman"/>
        </w:rPr>
        <w:footnoteReference w:id="617"/>
      </w:r>
      <w:r w:rsidRPr="00DA3BC7">
        <w:rPr>
          <w:rFonts w:ascii="Times New Roman" w:hAnsi="Times New Roman" w:hint="eastAsia"/>
        </w:rPr>
        <w:t>相而不成其為物質。</w:t>
      </w:r>
      <w:r w:rsidRPr="00DA3BC7">
        <w:rPr>
          <w:rStyle w:val="a6"/>
          <w:rFonts w:ascii="Times New Roman" w:hAnsi="Times New Roman"/>
        </w:rPr>
        <w:footnoteReference w:id="618"/>
      </w:r>
    </w:p>
    <w:p w:rsidR="00AA120F" w:rsidRPr="00DA3BC7" w:rsidRDefault="00AA120F" w:rsidP="00AE3920">
      <w:pPr>
        <w:spacing w:beforeLines="30"/>
        <w:ind w:leftChars="50" w:left="120"/>
        <w:jc w:val="both"/>
        <w:rPr>
          <w:rFonts w:ascii="Times New Roman" w:hAnsi="Times New Roman"/>
          <w:b/>
          <w:sz w:val="20"/>
          <w:szCs w:val="20"/>
          <w:bdr w:val="single" w:sz="4" w:space="0" w:color="auto"/>
        </w:rPr>
      </w:pPr>
      <w:r w:rsidRPr="00DA3BC7">
        <w:rPr>
          <w:rFonts w:ascii="Times New Roman" w:hAnsi="Times New Roman" w:hint="eastAsia"/>
          <w:b/>
          <w:sz w:val="20"/>
          <w:szCs w:val="20"/>
          <w:bdr w:val="single" w:sz="4" w:space="0" w:color="auto"/>
        </w:rPr>
        <w:t>（貳）</w:t>
      </w:r>
      <w:r w:rsidR="00FC005D" w:rsidRPr="00FC005D">
        <w:rPr>
          <w:rFonts w:ascii="Times New Roman" w:hAnsi="Times New Roman" w:hint="eastAsia"/>
          <w:b/>
          <w:color w:val="FF0000"/>
          <w:sz w:val="20"/>
          <w:szCs w:val="20"/>
          <w:highlight w:val="yellow"/>
          <w:bdr w:val="single" w:sz="4" w:space="0" w:color="auto"/>
        </w:rPr>
        <w:t>破「</w:t>
      </w:r>
      <w:r w:rsidR="00FC005D">
        <w:rPr>
          <w:rFonts w:ascii="Times New Roman" w:hAnsi="Times New Roman" w:hint="eastAsia"/>
          <w:b/>
          <w:color w:val="FF0000"/>
          <w:sz w:val="20"/>
          <w:szCs w:val="20"/>
          <w:highlight w:val="yellow"/>
          <w:bdr w:val="single" w:sz="4" w:space="0" w:color="auto"/>
        </w:rPr>
        <w:t>物空</w:t>
      </w:r>
      <w:r w:rsidR="00FC005D" w:rsidRPr="00FC005D">
        <w:rPr>
          <w:rFonts w:ascii="Times New Roman" w:hAnsi="Times New Roman" w:hint="eastAsia"/>
          <w:b/>
          <w:color w:val="FF0000"/>
          <w:sz w:val="20"/>
          <w:szCs w:val="20"/>
          <w:highlight w:val="yellow"/>
          <w:bdr w:val="single" w:sz="4" w:space="0" w:color="auto"/>
        </w:rPr>
        <w:t>之</w:t>
      </w:r>
      <w:r w:rsidR="00FC005D">
        <w:rPr>
          <w:rFonts w:ascii="Times New Roman" w:hAnsi="Times New Roman" w:hint="eastAsia"/>
          <w:b/>
          <w:color w:val="FF0000"/>
          <w:sz w:val="20"/>
          <w:szCs w:val="20"/>
          <w:highlight w:val="yellow"/>
          <w:bdr w:val="single" w:sz="4" w:space="0" w:color="auto"/>
        </w:rPr>
        <w:t>倒見</w:t>
      </w:r>
      <w:r w:rsidR="00FC005D" w:rsidRPr="00FC005D">
        <w:rPr>
          <w:rFonts w:ascii="Times New Roman" w:hAnsi="Times New Roman" w:hint="eastAsia"/>
          <w:b/>
          <w:color w:val="FF0000"/>
          <w:sz w:val="20"/>
          <w:szCs w:val="20"/>
          <w:highlight w:val="yellow"/>
          <w:bdr w:val="single" w:sz="4" w:space="0" w:color="auto"/>
        </w:rPr>
        <w:t>」</w:t>
      </w:r>
      <w:r w:rsidRPr="00DA3BC7">
        <w:rPr>
          <w:rFonts w:ascii="Times New Roman" w:hAnsi="Times New Roman" w:hint="eastAsia"/>
          <w:sz w:val="20"/>
          <w:szCs w:val="20"/>
        </w:rPr>
        <w:t>（</w:t>
      </w:r>
      <w:r w:rsidRPr="00DA3BC7">
        <w:rPr>
          <w:rFonts w:ascii="Times New Roman" w:hAnsi="Times New Roman"/>
          <w:sz w:val="20"/>
          <w:szCs w:val="20"/>
        </w:rPr>
        <w:t>p.1</w:t>
      </w:r>
      <w:r w:rsidRPr="00DA3BC7">
        <w:rPr>
          <w:rFonts w:ascii="Times New Roman" w:hAnsi="Times New Roman" w:hint="eastAsia"/>
          <w:sz w:val="20"/>
          <w:szCs w:val="20"/>
        </w:rPr>
        <w:t>31</w:t>
      </w:r>
      <w:r w:rsidRPr="00DA3BC7">
        <w:rPr>
          <w:rFonts w:ascii="Times New Roman" w:hAnsi="Times New Roman" w:hint="eastAsia"/>
          <w:sz w:val="20"/>
          <w:szCs w:val="20"/>
        </w:rPr>
        <w:t>）</w:t>
      </w:r>
    </w:p>
    <w:p w:rsidR="00AA120F" w:rsidRPr="00DA3BC7" w:rsidRDefault="00AA120F" w:rsidP="008E2BBC">
      <w:pPr>
        <w:ind w:leftChars="50" w:left="120"/>
        <w:jc w:val="both"/>
        <w:rPr>
          <w:rFonts w:ascii="Times New Roman" w:hAnsi="Times New Roman"/>
        </w:rPr>
      </w:pPr>
      <w:r w:rsidRPr="00DA3BC7">
        <w:rPr>
          <w:rFonts w:ascii="Times New Roman" w:hAnsi="Times New Roman" w:hint="eastAsia"/>
        </w:rPr>
        <w:lastRenderedPageBreak/>
        <w:t>存在者如幻如化，現為空間的無相，似乎空界擁抱一切而一切佔空間而存在。</w:t>
      </w:r>
    </w:p>
    <w:p w:rsidR="00AA120F" w:rsidRPr="00DA3BC7" w:rsidRDefault="00AA120F" w:rsidP="00AE3920">
      <w:pPr>
        <w:spacing w:beforeLines="20"/>
        <w:ind w:leftChars="50" w:left="120"/>
        <w:jc w:val="both"/>
        <w:rPr>
          <w:rFonts w:ascii="Times New Roman" w:hAnsi="Times New Roman"/>
        </w:rPr>
      </w:pPr>
      <w:r w:rsidRPr="00DA3BC7">
        <w:rPr>
          <w:rFonts w:ascii="Times New Roman" w:hAnsi="Times New Roman" w:hint="eastAsia"/>
        </w:rPr>
        <w:t>但從</w:t>
      </w:r>
      <w:r w:rsidRPr="00DA3BC7">
        <w:rPr>
          <w:rFonts w:ascii="Times New Roman" w:hAnsi="Times New Roman" w:hint="eastAsia"/>
          <w:b/>
        </w:rPr>
        <w:t>外延</w:t>
      </w:r>
      <w:r w:rsidRPr="00DA3BC7">
        <w:rPr>
          <w:rFonts w:ascii="Times New Roman" w:hAnsi="Times New Roman" w:hint="eastAsia"/>
        </w:rPr>
        <w:t>而</w:t>
      </w:r>
      <w:r w:rsidRPr="00DA3BC7">
        <w:rPr>
          <w:rFonts w:ascii="Times New Roman" w:hAnsi="Times New Roman" w:hint="eastAsia"/>
          <w:b/>
        </w:rPr>
        <w:t>擴展</w:t>
      </w:r>
      <w:r w:rsidRPr="00DA3BC7">
        <w:rPr>
          <w:rFonts w:ascii="Times New Roman" w:hAnsi="Times New Roman" w:hint="eastAsia"/>
        </w:rPr>
        <w:t>去看，世間</w:t>
      </w:r>
      <w:r w:rsidRPr="00DA3BC7">
        <w:rPr>
          <w:rFonts w:ascii="Times New Roman" w:hAnsi="Times New Roman" w:hint="eastAsia"/>
          <w:b/>
        </w:rPr>
        <w:t>非有邊與無邊</w:t>
      </w:r>
      <w:r w:rsidRPr="00DA3BC7">
        <w:rPr>
          <w:rFonts w:ascii="Times New Roman" w:hAnsi="Times New Roman" w:hint="eastAsia"/>
        </w:rPr>
        <w:t>的。</w:t>
      </w:r>
    </w:p>
    <w:p w:rsidR="00AA120F" w:rsidRPr="00DA3BC7" w:rsidRDefault="00AA120F" w:rsidP="00AE3920">
      <w:pPr>
        <w:spacing w:beforeLines="20"/>
        <w:ind w:leftChars="50" w:left="120"/>
        <w:jc w:val="both"/>
        <w:rPr>
          <w:rFonts w:ascii="Times New Roman" w:hAnsi="Times New Roman"/>
        </w:rPr>
      </w:pPr>
      <w:r w:rsidRPr="00DA3BC7">
        <w:rPr>
          <w:rFonts w:ascii="Times New Roman" w:hAnsi="Times New Roman" w:hint="eastAsia"/>
        </w:rPr>
        <w:t>從</w:t>
      </w:r>
      <w:r w:rsidRPr="00DA3BC7">
        <w:rPr>
          <w:rFonts w:ascii="Times New Roman" w:hAnsi="Times New Roman" w:hint="eastAsia"/>
          <w:b/>
        </w:rPr>
        <w:t>內含</w:t>
      </w:r>
      <w:r w:rsidRPr="00DA3BC7">
        <w:rPr>
          <w:rFonts w:ascii="Times New Roman" w:hAnsi="Times New Roman" w:hint="eastAsia"/>
        </w:rPr>
        <w:t>而</w:t>
      </w:r>
      <w:r w:rsidRPr="00DA3BC7">
        <w:rPr>
          <w:rFonts w:ascii="Times New Roman" w:hAnsi="Times New Roman" w:hint="eastAsia"/>
          <w:b/>
        </w:rPr>
        <w:t>分析</w:t>
      </w:r>
      <w:r w:rsidRPr="00DA3BC7">
        <w:rPr>
          <w:rFonts w:ascii="Times New Roman" w:hAnsi="Times New Roman" w:hint="eastAsia"/>
        </w:rPr>
        <w:t>去看，</w:t>
      </w:r>
      <w:r w:rsidRPr="00DA3BC7">
        <w:rPr>
          <w:rFonts w:ascii="Times New Roman" w:hAnsi="Times New Roman" w:hint="eastAsia"/>
          <w:b/>
        </w:rPr>
        <w:t>有分與無分</w:t>
      </w:r>
      <w:r w:rsidRPr="00DA3BC7">
        <w:rPr>
          <w:rFonts w:ascii="Times New Roman" w:hAnsi="Times New Roman" w:hint="eastAsia"/>
        </w:rPr>
        <w:t>是</w:t>
      </w:r>
      <w:r w:rsidRPr="00DA3BC7">
        <w:rPr>
          <w:rFonts w:ascii="Times New Roman" w:hAnsi="Times New Roman" w:hint="eastAsia"/>
          <w:b/>
        </w:rPr>
        <w:t>不可能</w:t>
      </w:r>
      <w:r w:rsidRPr="00DA3BC7">
        <w:rPr>
          <w:rFonts w:ascii="Times New Roman" w:hAnsi="Times New Roman" w:hint="eastAsia"/>
        </w:rPr>
        <w:t>的。</w:t>
      </w:r>
    </w:p>
    <w:p w:rsidR="00AA120F" w:rsidRPr="00DA3BC7" w:rsidRDefault="00AA120F" w:rsidP="00AE3920">
      <w:pPr>
        <w:spacing w:beforeLines="20"/>
        <w:ind w:leftChars="50" w:left="120"/>
        <w:jc w:val="both"/>
        <w:rPr>
          <w:rFonts w:ascii="Times New Roman" w:hAnsi="Times New Roman"/>
        </w:rPr>
        <w:sectPr w:rsidR="00AA120F" w:rsidRPr="00DA3BC7" w:rsidSect="004F4714">
          <w:headerReference w:type="default" r:id="rId51"/>
          <w:footnotePr>
            <w:numRestart w:val="eachSect"/>
          </w:footnotePr>
          <w:pgSz w:w="10773" w:h="14742" w:code="155"/>
          <w:pgMar w:top="1418" w:right="1418" w:bottom="1418" w:left="1418" w:header="851" w:footer="992" w:gutter="0"/>
          <w:cols w:space="425"/>
          <w:docGrid w:type="lines" w:linePitch="360"/>
        </w:sectPr>
      </w:pPr>
      <w:r w:rsidRPr="00DA3BC7">
        <w:rPr>
          <w:rFonts w:ascii="Times New Roman" w:hAnsi="Times New Roman" w:hint="eastAsia"/>
        </w:rPr>
        <w:t>因眾生的有見深厚，總是從自性見的妄見擬議，不是以為有</w:t>
      </w:r>
      <w:r w:rsidRPr="00DA3BC7">
        <w:rPr>
          <w:rFonts w:ascii="Times New Roman" w:hAnsi="Times New Roman" w:hint="eastAsia"/>
          <w:b/>
        </w:rPr>
        <w:t>小一的原質</w:t>
      </w:r>
      <w:r w:rsidRPr="00DA3BC7">
        <w:rPr>
          <w:rFonts w:ascii="Times New Roman" w:hAnsi="Times New Roman" w:hint="eastAsia"/>
        </w:rPr>
        <w:t>，即以為有</w:t>
      </w:r>
      <w:r w:rsidRPr="00DA3BC7">
        <w:rPr>
          <w:rFonts w:ascii="Times New Roman" w:hAnsi="Times New Roman" w:hint="eastAsia"/>
          <w:b/>
        </w:rPr>
        <w:t>大一的總體</w:t>
      </w:r>
      <w:r w:rsidRPr="00DA3BC7">
        <w:rPr>
          <w:rFonts w:ascii="Times New Roman" w:hAnsi="Times New Roman" w:hint="eastAsia"/>
        </w:rPr>
        <w:t>。否則，</w:t>
      </w:r>
      <w:r w:rsidRPr="00DA3BC7">
        <w:rPr>
          <w:rFonts w:ascii="Times New Roman" w:hAnsi="Times New Roman" w:hint="eastAsia"/>
          <w:b/>
        </w:rPr>
        <w:t>擴而復擴之為無邊</w:t>
      </w:r>
      <w:r w:rsidRPr="00DA3BC7">
        <w:rPr>
          <w:rFonts w:ascii="Times New Roman" w:hAnsi="Times New Roman" w:hint="eastAsia"/>
        </w:rPr>
        <w:t>，</w:t>
      </w:r>
      <w:r w:rsidRPr="00DA3BC7">
        <w:rPr>
          <w:rFonts w:ascii="Times New Roman" w:hAnsi="Times New Roman" w:hint="eastAsia"/>
          <w:b/>
        </w:rPr>
        <w:t>析而又析之為有分</w:t>
      </w:r>
      <w:r w:rsidRPr="00DA3BC7">
        <w:rPr>
          <w:rFonts w:ascii="Times New Roman" w:hAnsi="Times New Roman" w:hint="eastAsia"/>
        </w:rPr>
        <w:t>，永久陷於一與異的倒見中！</w:t>
      </w:r>
    </w:p>
    <w:p w:rsidR="00AA120F" w:rsidRPr="00DA3BC7" w:rsidRDefault="00AA120F" w:rsidP="008E2BBC">
      <w:pPr>
        <w:pStyle w:val="1"/>
      </w:pPr>
      <w:bookmarkStart w:id="106" w:name="_Toc405499781"/>
      <w:r w:rsidRPr="00DA3BC7">
        <w:lastRenderedPageBreak/>
        <w:t>第七章、有</w:t>
      </w:r>
      <w:r w:rsidRPr="00DA3BC7">
        <w:rPr>
          <w:rFonts w:hint="eastAsia"/>
        </w:rPr>
        <w:t>、</w:t>
      </w:r>
      <w:r w:rsidRPr="00DA3BC7">
        <w:t>時</w:t>
      </w:r>
      <w:r w:rsidRPr="00DA3BC7">
        <w:rPr>
          <w:rFonts w:hint="eastAsia"/>
        </w:rPr>
        <w:t>、</w:t>
      </w:r>
      <w:r w:rsidRPr="00DA3BC7">
        <w:t>空</w:t>
      </w:r>
      <w:r w:rsidRPr="00DA3BC7">
        <w:rPr>
          <w:rFonts w:hint="eastAsia"/>
        </w:rPr>
        <w:t>、</w:t>
      </w:r>
      <w:r w:rsidRPr="00DA3BC7">
        <w:t>動</w:t>
      </w:r>
      <w:bookmarkEnd w:id="106"/>
    </w:p>
    <w:p w:rsidR="00AA120F" w:rsidRPr="00DA3BC7" w:rsidRDefault="00AA120F" w:rsidP="008E2BBC">
      <w:pPr>
        <w:pStyle w:val="2"/>
      </w:pPr>
      <w:bookmarkStart w:id="107" w:name="_Toc405499782"/>
      <w:r w:rsidRPr="00DA3BC7">
        <w:t>第四節、行</w:t>
      </w:r>
      <w:r w:rsidRPr="00DA3BC7">
        <w:rPr>
          <w:rFonts w:ascii="標楷體" w:hAnsi="標楷體"/>
        </w:rPr>
        <w:t>──</w:t>
      </w:r>
      <w:r w:rsidRPr="00DA3BC7">
        <w:t>變</w:t>
      </w:r>
      <w:r w:rsidRPr="00DA3BC7">
        <w:rPr>
          <w:rFonts w:hint="eastAsia"/>
        </w:rPr>
        <w:t>動、</w:t>
      </w:r>
      <w:r w:rsidRPr="00DA3BC7">
        <w:t>運</w:t>
      </w:r>
      <w:r w:rsidRPr="00DA3BC7">
        <w:rPr>
          <w:rFonts w:hint="eastAsia"/>
        </w:rPr>
        <w:t>動</w:t>
      </w:r>
      <w:bookmarkEnd w:id="107"/>
    </w:p>
    <w:p w:rsidR="00AA120F" w:rsidRPr="00DA3BC7" w:rsidRDefault="00AA120F" w:rsidP="008E2BBC">
      <w:pPr>
        <w:jc w:val="center"/>
        <w:rPr>
          <w:rFonts w:eastAsia="標楷體"/>
        </w:rPr>
      </w:pPr>
      <w:r w:rsidRPr="00DA3BC7">
        <w:rPr>
          <w:rFonts w:eastAsia="標楷體" w:hAnsi="標楷體"/>
          <w:bCs/>
        </w:rPr>
        <w:t>（</w:t>
      </w:r>
      <w:r w:rsidRPr="00DA3BC7">
        <w:rPr>
          <w:rFonts w:ascii="Times New Roman" w:eastAsia="標楷體" w:hAnsi="Times New Roman"/>
          <w:bCs/>
        </w:rPr>
        <w:t>pp</w:t>
      </w:r>
      <w:r w:rsidRPr="00DA3BC7">
        <w:rPr>
          <w:rFonts w:eastAsia="標楷體"/>
          <w:bCs/>
        </w:rPr>
        <w:t>.</w:t>
      </w:r>
      <w:r w:rsidRPr="00DA3BC7">
        <w:rPr>
          <w:rFonts w:ascii="Times New Roman" w:eastAsia="標楷體" w:hAnsi="Times New Roman"/>
          <w:bCs/>
        </w:rPr>
        <w:t>131</w:t>
      </w:r>
      <w:r w:rsidRPr="00DA3BC7">
        <w:rPr>
          <w:rFonts w:eastAsia="標楷體"/>
          <w:bCs/>
        </w:rPr>
        <w:t>-</w:t>
      </w:r>
      <w:r w:rsidRPr="00DA3BC7">
        <w:rPr>
          <w:rFonts w:ascii="Times New Roman" w:eastAsia="標楷體" w:hAnsi="Times New Roman"/>
          <w:bCs/>
        </w:rPr>
        <w:t>14</w:t>
      </w:r>
      <w:r w:rsidRPr="00DA3BC7">
        <w:rPr>
          <w:rFonts w:ascii="Times New Roman" w:eastAsia="標楷體" w:hAnsi="Times New Roman" w:hint="eastAsia"/>
          <w:bCs/>
        </w:rPr>
        <w:t>1</w:t>
      </w:r>
      <w:r w:rsidRPr="00DA3BC7">
        <w:rPr>
          <w:rFonts w:eastAsia="標楷體" w:hAnsi="標楷體"/>
          <w:bCs/>
        </w:rPr>
        <w:t>）</w:t>
      </w:r>
    </w:p>
    <w:p w:rsidR="00AA120F" w:rsidRPr="00DA3BC7" w:rsidRDefault="00AA120F" w:rsidP="008E2BBC">
      <w:pPr>
        <w:pStyle w:val="Author"/>
      </w:pPr>
    </w:p>
    <w:p w:rsidR="00AA120F" w:rsidRPr="00DA3BC7" w:rsidRDefault="00AA120F" w:rsidP="00AE3920">
      <w:pPr>
        <w:spacing w:beforeLines="50"/>
        <w:jc w:val="both"/>
        <w:rPr>
          <w:rFonts w:hAnsi="新細明體"/>
          <w:sz w:val="20"/>
          <w:szCs w:val="20"/>
        </w:rPr>
      </w:pPr>
      <w:r w:rsidRPr="00DA3BC7">
        <w:rPr>
          <w:rFonts w:hAnsi="新細明體" w:hint="eastAsia"/>
          <w:b/>
          <w:sz w:val="20"/>
          <w:szCs w:val="20"/>
          <w:bdr w:val="single" w:sz="4" w:space="0" w:color="auto"/>
        </w:rPr>
        <w:t>壹</w:t>
      </w:r>
      <w:r w:rsidRPr="00DA3BC7">
        <w:rPr>
          <w:rFonts w:hAnsi="新細明體"/>
          <w:b/>
          <w:sz w:val="20"/>
          <w:szCs w:val="20"/>
          <w:bdr w:val="single" w:sz="4" w:space="0" w:color="auto"/>
        </w:rPr>
        <w:t>、</w:t>
      </w:r>
      <w:r w:rsidR="009B709F" w:rsidRPr="009B709F">
        <w:rPr>
          <w:rFonts w:hAnsi="新細明體" w:hint="eastAsia"/>
          <w:b/>
          <w:color w:val="FF0000"/>
          <w:sz w:val="20"/>
          <w:szCs w:val="20"/>
          <w:highlight w:val="yellow"/>
          <w:bdr w:val="single" w:sz="4" w:space="0" w:color="auto"/>
        </w:rPr>
        <w:t>導</w:t>
      </w:r>
      <w:r w:rsidR="00C41F21">
        <w:rPr>
          <w:rFonts w:hAnsi="新細明體" w:hint="eastAsia"/>
          <w:b/>
          <w:color w:val="FF0000"/>
          <w:sz w:val="20"/>
          <w:szCs w:val="20"/>
          <w:highlight w:val="yellow"/>
          <w:bdr w:val="single" w:sz="4" w:space="0" w:color="auto"/>
        </w:rPr>
        <w:t>言</w:t>
      </w:r>
      <w:r w:rsidRPr="00DA3BC7">
        <w:rPr>
          <w:rFonts w:hAnsi="新細明體"/>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131</w:t>
      </w:r>
      <w:r w:rsidRPr="00DA3BC7">
        <w:rPr>
          <w:sz w:val="20"/>
          <w:szCs w:val="20"/>
        </w:rPr>
        <w:t>-</w:t>
      </w:r>
      <w:r w:rsidRPr="00DA3BC7">
        <w:rPr>
          <w:rFonts w:ascii="Times New Roman" w:hAnsi="Times New Roman"/>
          <w:sz w:val="20"/>
          <w:szCs w:val="20"/>
        </w:rPr>
        <w:t>132</w:t>
      </w:r>
      <w:r w:rsidRPr="00DA3BC7">
        <w:rPr>
          <w:rFonts w:hAnsi="新細明體"/>
          <w:sz w:val="20"/>
          <w:szCs w:val="20"/>
        </w:rPr>
        <w:t>）</w:t>
      </w:r>
    </w:p>
    <w:p w:rsidR="00AA120F" w:rsidRPr="00DA3BC7" w:rsidRDefault="00AA120F" w:rsidP="008E2BBC">
      <w:pPr>
        <w:ind w:leftChars="50" w:left="120"/>
        <w:jc w:val="both"/>
        <w:rPr>
          <w:rFonts w:hAnsi="新細明體"/>
          <w:b/>
          <w:sz w:val="20"/>
          <w:szCs w:val="20"/>
          <w:bdr w:val="single" w:sz="4" w:space="0" w:color="auto"/>
        </w:rPr>
      </w:pPr>
      <w:r w:rsidRPr="00DA3BC7">
        <w:rPr>
          <w:rFonts w:hAnsi="新細明體"/>
          <w:b/>
          <w:sz w:val="20"/>
          <w:szCs w:val="20"/>
          <w:bdr w:val="single" w:sz="4" w:space="0" w:color="auto"/>
        </w:rPr>
        <w:t>（壹）</w:t>
      </w:r>
      <w:r w:rsidR="00C41F21" w:rsidRPr="00C41F21">
        <w:rPr>
          <w:rFonts w:hAnsi="新細明體" w:hint="eastAsia"/>
          <w:b/>
          <w:color w:val="FF0000"/>
          <w:sz w:val="20"/>
          <w:szCs w:val="20"/>
          <w:highlight w:val="yellow"/>
          <w:bdr w:val="single" w:sz="4" w:space="0" w:color="auto"/>
        </w:rPr>
        <w:t>釋名：「行」──來去之動相</w:t>
      </w:r>
      <w:r w:rsidR="00903175" w:rsidRPr="00DA3BC7">
        <w:rPr>
          <w:rFonts w:hAnsi="新細明體"/>
          <w:sz w:val="20"/>
          <w:szCs w:val="20"/>
        </w:rPr>
        <w:t>（</w:t>
      </w:r>
      <w:r w:rsidR="00903175" w:rsidRPr="00DA3BC7">
        <w:rPr>
          <w:rFonts w:ascii="Times New Roman" w:hAnsi="Times New Roman"/>
          <w:sz w:val="20"/>
          <w:szCs w:val="20"/>
        </w:rPr>
        <w:t>pp</w:t>
      </w:r>
      <w:r w:rsidR="00903175" w:rsidRPr="00DA3BC7">
        <w:rPr>
          <w:sz w:val="20"/>
          <w:szCs w:val="20"/>
        </w:rPr>
        <w:t>.</w:t>
      </w:r>
      <w:r w:rsidR="00903175" w:rsidRPr="00DA3BC7">
        <w:rPr>
          <w:rFonts w:ascii="Times New Roman" w:hAnsi="Times New Roman"/>
          <w:sz w:val="20"/>
          <w:szCs w:val="20"/>
        </w:rPr>
        <w:t>131</w:t>
      </w:r>
      <w:r w:rsidR="00903175" w:rsidRPr="00DA3BC7">
        <w:rPr>
          <w:sz w:val="20"/>
          <w:szCs w:val="20"/>
        </w:rPr>
        <w:t>-</w:t>
      </w:r>
      <w:r w:rsidR="00903175" w:rsidRPr="00DA3BC7">
        <w:rPr>
          <w:rFonts w:ascii="Times New Roman" w:hAnsi="Times New Roman"/>
          <w:sz w:val="20"/>
          <w:szCs w:val="20"/>
        </w:rPr>
        <w:t>132</w:t>
      </w:r>
      <w:r w:rsidR="00903175" w:rsidRPr="00DA3BC7">
        <w:rPr>
          <w:rFonts w:hAnsi="新細明體"/>
          <w:sz w:val="20"/>
          <w:szCs w:val="20"/>
        </w:rPr>
        <w:t>）</w:t>
      </w:r>
    </w:p>
    <w:p w:rsidR="00AA120F" w:rsidRPr="00DA3BC7" w:rsidRDefault="00AA120F" w:rsidP="008E2BBC">
      <w:pPr>
        <w:ind w:leftChars="50" w:left="120"/>
        <w:jc w:val="both"/>
        <w:rPr>
          <w:rFonts w:hAnsi="新細明體"/>
          <w:sz w:val="20"/>
          <w:szCs w:val="20"/>
        </w:rPr>
      </w:pPr>
      <w:r w:rsidRPr="00DA3BC7">
        <w:t>佛法講到運動，都以「行」做代表。「行」是諸法的流行</w:t>
      </w:r>
      <w:r w:rsidRPr="00DA3BC7">
        <w:rPr>
          <w:rStyle w:val="a6"/>
          <w:rFonts w:ascii="Times New Roman" w:hAnsi="Times New Roman"/>
        </w:rPr>
        <w:footnoteReference w:id="619"/>
      </w:r>
      <w:r w:rsidRPr="00DA3BC7">
        <w:t>、運動或變動的。現在約來</w:t>
      </w:r>
      <w:r w:rsidRPr="00DA3BC7">
        <w:rPr>
          <w:rFonts w:hAnsi="新細明體"/>
        </w:rPr>
        <w:t>去說，就是運動的一種形相。</w:t>
      </w:r>
    </w:p>
    <w:p w:rsidR="00C41F21" w:rsidRDefault="00AA120F" w:rsidP="00AE3920">
      <w:pPr>
        <w:spacing w:beforeLines="30"/>
        <w:ind w:leftChars="50" w:left="120"/>
        <w:jc w:val="both"/>
        <w:rPr>
          <w:rFonts w:hAnsi="新細明體"/>
          <w:b/>
          <w:color w:val="FF0000"/>
          <w:sz w:val="20"/>
          <w:szCs w:val="20"/>
          <w:bdr w:val="single" w:sz="4" w:space="0" w:color="auto"/>
        </w:rPr>
      </w:pPr>
      <w:r w:rsidRPr="00DA3BC7">
        <w:rPr>
          <w:rFonts w:hAnsi="新細明體"/>
          <w:b/>
          <w:sz w:val="20"/>
          <w:szCs w:val="20"/>
          <w:bdr w:val="single" w:sz="4" w:space="0" w:color="auto"/>
        </w:rPr>
        <w:t>（貳）</w:t>
      </w:r>
      <w:r w:rsidR="00C41F21" w:rsidRPr="00C41F21">
        <w:rPr>
          <w:rFonts w:hAnsi="新細明體" w:hint="eastAsia"/>
          <w:b/>
          <w:color w:val="FF0000"/>
          <w:sz w:val="20"/>
          <w:szCs w:val="20"/>
          <w:highlight w:val="yellow"/>
          <w:bdr w:val="single" w:sz="4" w:space="0" w:color="auto"/>
        </w:rPr>
        <w:t>明宗：二諦說</w:t>
      </w:r>
      <w:r w:rsidR="00C41F21" w:rsidRPr="00DA3BC7">
        <w:rPr>
          <w:rFonts w:hAnsi="新細明體"/>
          <w:sz w:val="20"/>
          <w:szCs w:val="20"/>
        </w:rPr>
        <w:t>（</w:t>
      </w:r>
      <w:r w:rsidR="00C41F21" w:rsidRPr="00DA3BC7">
        <w:rPr>
          <w:rFonts w:ascii="Times New Roman" w:hAnsi="Times New Roman"/>
          <w:sz w:val="20"/>
          <w:szCs w:val="20"/>
        </w:rPr>
        <w:t>p</w:t>
      </w:r>
      <w:r w:rsidR="00C41F21" w:rsidRPr="00DA3BC7">
        <w:rPr>
          <w:sz w:val="20"/>
          <w:szCs w:val="20"/>
        </w:rPr>
        <w:t>.</w:t>
      </w:r>
      <w:r w:rsidR="00C41F21" w:rsidRPr="00DA3BC7">
        <w:rPr>
          <w:rFonts w:ascii="Times New Roman" w:hAnsi="Times New Roman"/>
          <w:sz w:val="20"/>
          <w:szCs w:val="20"/>
        </w:rPr>
        <w:t>132</w:t>
      </w:r>
      <w:r w:rsidR="00C41F21" w:rsidRPr="00DA3BC7">
        <w:rPr>
          <w:rFonts w:hAnsi="新細明體"/>
          <w:sz w:val="20"/>
          <w:szCs w:val="20"/>
        </w:rPr>
        <w:t>）</w:t>
      </w:r>
    </w:p>
    <w:p w:rsidR="00AA120F" w:rsidRPr="00DA3BC7" w:rsidRDefault="00C41F21" w:rsidP="002E5DD4">
      <w:pPr>
        <w:ind w:leftChars="100" w:left="240"/>
        <w:jc w:val="both"/>
        <w:rPr>
          <w:rFonts w:hAnsi="新細明體"/>
          <w:sz w:val="20"/>
          <w:szCs w:val="20"/>
        </w:rPr>
      </w:pPr>
      <w:r w:rsidRPr="00C41F21">
        <w:rPr>
          <w:rFonts w:hAnsi="新細明體" w:hint="eastAsia"/>
          <w:b/>
          <w:color w:val="FF0000"/>
          <w:sz w:val="20"/>
          <w:szCs w:val="20"/>
          <w:highlight w:val="yellow"/>
          <w:bdr w:val="single" w:sz="4" w:space="0" w:color="auto"/>
        </w:rPr>
        <w:t>一、勝義之不來不去</w:t>
      </w:r>
      <w:r w:rsidR="00AA120F" w:rsidRPr="00DA3BC7">
        <w:rPr>
          <w:rFonts w:hAnsi="新細明體"/>
          <w:sz w:val="20"/>
          <w:szCs w:val="20"/>
        </w:rPr>
        <w:t>（</w:t>
      </w:r>
      <w:r w:rsidR="00AA120F" w:rsidRPr="00DA3BC7">
        <w:rPr>
          <w:rFonts w:ascii="Times New Roman" w:hAnsi="Times New Roman"/>
          <w:sz w:val="20"/>
          <w:szCs w:val="20"/>
        </w:rPr>
        <w:t>p</w:t>
      </w:r>
      <w:r w:rsidR="00AA120F" w:rsidRPr="00DA3BC7">
        <w:rPr>
          <w:sz w:val="20"/>
          <w:szCs w:val="20"/>
        </w:rPr>
        <w:t>.</w:t>
      </w:r>
      <w:r w:rsidR="00AA120F" w:rsidRPr="00DA3BC7">
        <w:rPr>
          <w:rFonts w:ascii="Times New Roman" w:hAnsi="Times New Roman"/>
          <w:sz w:val="20"/>
          <w:szCs w:val="20"/>
        </w:rPr>
        <w:t>132</w:t>
      </w:r>
      <w:r w:rsidR="00AA120F" w:rsidRPr="00DA3BC7">
        <w:rPr>
          <w:rFonts w:hAnsi="新細明體"/>
          <w:sz w:val="20"/>
          <w:szCs w:val="20"/>
        </w:rPr>
        <w:t>）</w:t>
      </w:r>
    </w:p>
    <w:p w:rsidR="00AA120F" w:rsidRPr="00DA3BC7" w:rsidRDefault="00C41F21" w:rsidP="002E5DD4">
      <w:pPr>
        <w:ind w:leftChars="100" w:left="240"/>
        <w:jc w:val="both"/>
        <w:rPr>
          <w:rFonts w:hAnsi="新細明體"/>
        </w:rPr>
      </w:pPr>
      <w:r w:rsidRPr="00C41F21">
        <w:rPr>
          <w:rFonts w:hAnsi="新細明體"/>
          <w:highlight w:val="yellow"/>
        </w:rPr>
        <w:t>但</w:t>
      </w:r>
      <w:r w:rsidRPr="00DA3BC7">
        <w:rPr>
          <w:rFonts w:hAnsi="新細明體"/>
        </w:rPr>
        <w:t>說有來有去，常是為佛所呵斥的。</w:t>
      </w:r>
      <w:r w:rsidR="00AA120F" w:rsidRPr="00DA3BC7">
        <w:rPr>
          <w:rFonts w:hAnsi="新細明體"/>
        </w:rPr>
        <w:t>外道問佛：「</w:t>
      </w:r>
      <w:r w:rsidR="00AA120F" w:rsidRPr="00DA3BC7">
        <w:rPr>
          <w:rFonts w:ascii="標楷體" w:eastAsia="標楷體" w:hAnsi="標楷體"/>
        </w:rPr>
        <w:t>死後去，死後不去，死後亦去亦不去，死後非去非不去</w:t>
      </w:r>
      <w:r w:rsidR="00AA120F" w:rsidRPr="00DA3BC7">
        <w:rPr>
          <w:rFonts w:hAnsi="新細明體"/>
        </w:rPr>
        <w:t>？」佛皆不答。</w:t>
      </w:r>
      <w:r w:rsidR="00AA120F" w:rsidRPr="00DA3BC7">
        <w:rPr>
          <w:rStyle w:val="a6"/>
          <w:rFonts w:ascii="Times New Roman" w:hAnsi="Times New Roman"/>
        </w:rPr>
        <w:footnoteReference w:id="620"/>
      </w:r>
    </w:p>
    <w:p w:rsidR="00AA120F" w:rsidRPr="00DA3BC7" w:rsidRDefault="00AA120F" w:rsidP="00AE3920">
      <w:pPr>
        <w:spacing w:beforeLines="20"/>
        <w:ind w:leftChars="100" w:left="240"/>
        <w:jc w:val="both"/>
        <w:rPr>
          <w:rFonts w:hAnsi="新細明體"/>
        </w:rPr>
      </w:pPr>
      <w:r w:rsidRPr="00DA3BC7">
        <w:rPr>
          <w:rFonts w:hAnsi="新細明體"/>
        </w:rPr>
        <w:t>《勝義空經》說：「</w:t>
      </w:r>
      <w:r w:rsidRPr="00DA3BC7">
        <w:rPr>
          <w:rFonts w:ascii="標楷體" w:eastAsia="標楷體" w:hAnsi="標楷體" w:hint="eastAsia"/>
        </w:rPr>
        <w:t>眼生時無有來處，滅時無有去處。</w:t>
      </w:r>
      <w:r w:rsidRPr="00DA3BC7">
        <w:rPr>
          <w:rFonts w:hAnsi="新細明體"/>
        </w:rPr>
        <w:t>」因為，一般人說到來去，即以為有個從此至彼或從前至後的東西。這種觀念，就是對諸法緣起的流行，不能如實了知所引起的錯誤。</w:t>
      </w:r>
    </w:p>
    <w:p w:rsidR="00AA120F" w:rsidRPr="00DA3BC7" w:rsidRDefault="00AA120F" w:rsidP="00AE3920">
      <w:pPr>
        <w:spacing w:beforeLines="20"/>
        <w:ind w:leftChars="100" w:left="240"/>
        <w:jc w:val="both"/>
        <w:rPr>
          <w:rFonts w:hAnsi="新細明體"/>
        </w:rPr>
      </w:pPr>
      <w:r w:rsidRPr="00DA3BC7">
        <w:rPr>
          <w:rFonts w:hAnsi="新細明體"/>
        </w:rPr>
        <w:t>佛所以不答外道死後去不去者，以其所說的</w:t>
      </w:r>
      <w:r w:rsidRPr="00DA3BC7">
        <w:rPr>
          <w:rFonts w:hAnsi="新細明體"/>
          <w:b/>
        </w:rPr>
        <w:t>神我</w:t>
      </w:r>
      <w:r w:rsidRPr="00DA3BC7">
        <w:rPr>
          <w:rFonts w:hAnsi="新細明體"/>
        </w:rPr>
        <w:t>尚且不可得，去與不去更無從談起。</w:t>
      </w:r>
    </w:p>
    <w:p w:rsidR="00AA120F" w:rsidRPr="00DA3BC7" w:rsidRDefault="00AA120F" w:rsidP="00AE3920">
      <w:pPr>
        <w:spacing w:beforeLines="20"/>
        <w:ind w:leftChars="100" w:left="240"/>
        <w:jc w:val="both"/>
      </w:pPr>
      <w:r w:rsidRPr="00DA3BC7">
        <w:rPr>
          <w:rFonts w:hAnsi="新細明體"/>
        </w:rPr>
        <w:lastRenderedPageBreak/>
        <w:t>但佛也明</w:t>
      </w:r>
      <w:r w:rsidRPr="00DA3BC7">
        <w:rPr>
          <w:rFonts w:hAnsi="新細明體"/>
          <w:b/>
        </w:rPr>
        <w:t>法</w:t>
      </w:r>
      <w:r w:rsidRPr="00DA3BC7">
        <w:rPr>
          <w:rFonts w:hAnsi="新細明體"/>
        </w:rPr>
        <w:t>的不來不去，如《勝義空經》所說。</w:t>
      </w:r>
      <w:r w:rsidR="00C41F21" w:rsidRPr="00C41F21">
        <w:rPr>
          <w:rStyle w:val="a6"/>
          <w:rFonts w:ascii="Times New Roman" w:hAnsi="Times New Roman"/>
          <w:highlight w:val="yellow"/>
        </w:rPr>
        <w:footnoteReference w:id="621"/>
      </w:r>
    </w:p>
    <w:p w:rsidR="00AA120F" w:rsidRPr="00DA3BC7" w:rsidRDefault="00C41F21" w:rsidP="00AE3920">
      <w:pPr>
        <w:spacing w:beforeLines="30"/>
        <w:ind w:leftChars="100" w:left="240"/>
        <w:jc w:val="both"/>
        <w:rPr>
          <w:b/>
        </w:rPr>
      </w:pPr>
      <w:r>
        <w:rPr>
          <w:rFonts w:hAnsi="新細明體" w:hint="eastAsia"/>
          <w:b/>
          <w:color w:val="FF0000"/>
          <w:sz w:val="20"/>
          <w:szCs w:val="20"/>
          <w:highlight w:val="yellow"/>
          <w:bdr w:val="single" w:sz="4" w:space="0" w:color="auto"/>
        </w:rPr>
        <w:t>二</w:t>
      </w:r>
      <w:r w:rsidRPr="00C41F21">
        <w:rPr>
          <w:rFonts w:hAnsi="新細明體" w:hint="eastAsia"/>
          <w:b/>
          <w:color w:val="FF0000"/>
          <w:sz w:val="20"/>
          <w:szCs w:val="20"/>
          <w:highlight w:val="yellow"/>
          <w:bdr w:val="single" w:sz="4" w:space="0" w:color="auto"/>
        </w:rPr>
        <w:t>、</w:t>
      </w:r>
      <w:r>
        <w:rPr>
          <w:rFonts w:hAnsi="新細明體" w:hint="eastAsia"/>
          <w:b/>
          <w:color w:val="FF0000"/>
          <w:sz w:val="20"/>
          <w:szCs w:val="20"/>
          <w:highlight w:val="yellow"/>
          <w:bdr w:val="single" w:sz="4" w:space="0" w:color="auto"/>
        </w:rPr>
        <w:t>世俗</w:t>
      </w:r>
      <w:r w:rsidRPr="00C41F21">
        <w:rPr>
          <w:rFonts w:hAnsi="新細明體" w:hint="eastAsia"/>
          <w:b/>
          <w:color w:val="FF0000"/>
          <w:sz w:val="20"/>
          <w:szCs w:val="20"/>
          <w:highlight w:val="yellow"/>
          <w:bdr w:val="single" w:sz="4" w:space="0" w:color="auto"/>
        </w:rPr>
        <w:t>之</w:t>
      </w:r>
      <w:r>
        <w:rPr>
          <w:rFonts w:hAnsi="新細明體" w:hint="eastAsia"/>
          <w:b/>
          <w:color w:val="FF0000"/>
          <w:sz w:val="20"/>
          <w:szCs w:val="20"/>
          <w:highlight w:val="yellow"/>
          <w:bdr w:val="single" w:sz="4" w:space="0" w:color="auto"/>
        </w:rPr>
        <w:t>如幻</w:t>
      </w:r>
      <w:r w:rsidRPr="00C41F21">
        <w:rPr>
          <w:rFonts w:hAnsi="新細明體" w:hint="eastAsia"/>
          <w:b/>
          <w:color w:val="FF0000"/>
          <w:sz w:val="20"/>
          <w:szCs w:val="20"/>
          <w:highlight w:val="yellow"/>
          <w:bdr w:val="single" w:sz="4" w:space="0" w:color="auto"/>
        </w:rPr>
        <w:t>來去</w:t>
      </w:r>
      <w:r w:rsidR="00AA120F" w:rsidRPr="00DA3BC7">
        <w:rPr>
          <w:rFonts w:hAnsi="新細明體"/>
          <w:sz w:val="20"/>
          <w:szCs w:val="20"/>
        </w:rPr>
        <w:t>（</w:t>
      </w:r>
      <w:r w:rsidR="00AA120F" w:rsidRPr="00DA3BC7">
        <w:rPr>
          <w:rFonts w:ascii="Times New Roman" w:hAnsi="Times New Roman"/>
          <w:sz w:val="20"/>
          <w:szCs w:val="20"/>
        </w:rPr>
        <w:t>p</w:t>
      </w:r>
      <w:r w:rsidR="00AA120F" w:rsidRPr="00DA3BC7">
        <w:rPr>
          <w:sz w:val="20"/>
          <w:szCs w:val="20"/>
        </w:rPr>
        <w:t>.</w:t>
      </w:r>
      <w:r w:rsidR="00AA120F" w:rsidRPr="00DA3BC7">
        <w:rPr>
          <w:rFonts w:ascii="Times New Roman" w:hAnsi="Times New Roman"/>
          <w:sz w:val="20"/>
          <w:szCs w:val="20"/>
        </w:rPr>
        <w:t>132</w:t>
      </w:r>
      <w:r w:rsidR="00AA120F" w:rsidRPr="00DA3BC7">
        <w:rPr>
          <w:rFonts w:hAnsi="新細明體"/>
          <w:sz w:val="20"/>
          <w:szCs w:val="20"/>
        </w:rPr>
        <w:t>）</w:t>
      </w:r>
    </w:p>
    <w:p w:rsidR="00AA120F" w:rsidRPr="00DA3BC7" w:rsidRDefault="00AA120F" w:rsidP="002E5DD4">
      <w:pPr>
        <w:ind w:leftChars="100" w:left="240"/>
        <w:jc w:val="both"/>
        <w:rPr>
          <w:rFonts w:hAnsi="新細明體"/>
        </w:rPr>
      </w:pPr>
      <w:r w:rsidRPr="00DA3BC7">
        <w:t>然佛法並非不可說來去，如說「</w:t>
      </w:r>
      <w:r w:rsidRPr="00DA3BC7">
        <w:rPr>
          <w:rFonts w:ascii="標楷體" w:eastAsia="標楷體" w:hAnsi="標楷體"/>
        </w:rPr>
        <w:t>從無始生死以來</w:t>
      </w:r>
      <w:r w:rsidRPr="00DA3BC7">
        <w:t>」</w:t>
      </w:r>
      <w:r w:rsidR="007A6E3C" w:rsidRPr="00DA3BC7">
        <w:rPr>
          <w:rStyle w:val="a6"/>
          <w:rFonts w:ascii="Times New Roman" w:hAnsi="Times New Roman"/>
        </w:rPr>
        <w:footnoteReference w:id="622"/>
      </w:r>
      <w:r w:rsidRPr="00DA3BC7">
        <w:t>，或說「</w:t>
      </w:r>
      <w:r w:rsidRPr="00DA3BC7">
        <w:rPr>
          <w:rFonts w:ascii="標楷體" w:eastAsia="標楷體" w:hAnsi="標楷體"/>
        </w:rPr>
        <w:t>來王舍城</w:t>
      </w:r>
      <w:r w:rsidRPr="00DA3BC7">
        <w:t>」</w:t>
      </w:r>
      <w:r w:rsidR="007A6E3C" w:rsidRPr="00DA3BC7">
        <w:rPr>
          <w:rStyle w:val="a6"/>
          <w:rFonts w:ascii="Times New Roman" w:hAnsi="Times New Roman"/>
        </w:rPr>
        <w:footnoteReference w:id="623"/>
      </w:r>
      <w:r w:rsidRPr="00DA3BC7">
        <w:t>。不過不如自</w:t>
      </w:r>
      <w:r w:rsidRPr="00DA3BC7">
        <w:rPr>
          <w:rFonts w:hAnsi="新細明體"/>
        </w:rPr>
        <w:t>性執所見的來去，是不來相而來，不去相而去的。</w:t>
      </w:r>
    </w:p>
    <w:p w:rsidR="00AA120F" w:rsidRPr="00DA3BC7" w:rsidRDefault="00AA120F" w:rsidP="00AE3920">
      <w:pPr>
        <w:spacing w:beforeLines="20"/>
        <w:ind w:leftChars="100" w:left="240"/>
        <w:jc w:val="both"/>
      </w:pPr>
      <w:r w:rsidRPr="00DA3BC7">
        <w:rPr>
          <w:rFonts w:hAnsi="新細明體"/>
        </w:rPr>
        <w:t>佛以生滅說明流行、運動，如觀生滅無常時說「</w:t>
      </w:r>
      <w:r w:rsidRPr="00DA3BC7">
        <w:rPr>
          <w:rFonts w:ascii="標楷體" w:eastAsia="標楷體" w:hAnsi="標楷體"/>
        </w:rPr>
        <w:t>觀諸法如流水</w:t>
      </w:r>
      <w:r w:rsidRPr="00DA3BC7">
        <w:rPr>
          <w:rFonts w:ascii="標楷體" w:eastAsia="標楷體" w:hAnsi="標楷體" w:hint="eastAsia"/>
        </w:rPr>
        <w:t>、</w:t>
      </w:r>
      <w:r w:rsidRPr="00DA3BC7">
        <w:rPr>
          <w:rFonts w:ascii="標楷體" w:eastAsia="標楷體" w:hAnsi="標楷體"/>
        </w:rPr>
        <w:t>燈焰</w:t>
      </w:r>
      <w:r w:rsidRPr="00DA3BC7">
        <w:rPr>
          <w:rFonts w:hAnsi="新細明體"/>
        </w:rPr>
        <w:t>」；</w:t>
      </w:r>
      <w:r w:rsidR="007A6E3C" w:rsidRPr="00DA3BC7">
        <w:rPr>
          <w:rStyle w:val="a6"/>
          <w:rFonts w:ascii="Times New Roman" w:hAnsi="Times New Roman"/>
        </w:rPr>
        <w:footnoteReference w:id="624"/>
      </w:r>
      <w:r w:rsidRPr="00DA3BC7">
        <w:rPr>
          <w:rFonts w:hAnsi="新細明體"/>
        </w:rPr>
        <w:t>流水與燈焰，是剎那不住的，時時變動的，所以是無常的諸行。</w:t>
      </w:r>
    </w:p>
    <w:p w:rsidR="00AA120F" w:rsidRPr="00DA3BC7" w:rsidRDefault="00AA120F" w:rsidP="00AE3920">
      <w:pPr>
        <w:spacing w:beforeLines="30"/>
        <w:jc w:val="both"/>
      </w:pPr>
      <w:r w:rsidRPr="00DA3BC7">
        <w:rPr>
          <w:rFonts w:hAnsi="新細明體" w:hint="eastAsia"/>
          <w:b/>
          <w:sz w:val="20"/>
          <w:szCs w:val="20"/>
          <w:bdr w:val="single" w:sz="4" w:space="0" w:color="auto"/>
        </w:rPr>
        <w:t>貳</w:t>
      </w:r>
      <w:r w:rsidRPr="00DA3BC7">
        <w:rPr>
          <w:rFonts w:hAnsi="新細明體"/>
          <w:b/>
          <w:sz w:val="20"/>
          <w:szCs w:val="20"/>
          <w:bdr w:val="single" w:sz="4" w:space="0" w:color="auto"/>
        </w:rPr>
        <w:t>、</w:t>
      </w:r>
      <w:r w:rsidR="00C41F21">
        <w:rPr>
          <w:rFonts w:hAnsi="新細明體" w:hint="eastAsia"/>
          <w:b/>
          <w:color w:val="FF0000"/>
          <w:sz w:val="20"/>
          <w:szCs w:val="20"/>
          <w:highlight w:val="yellow"/>
          <w:bdr w:val="single" w:sz="4" w:space="0" w:color="auto"/>
        </w:rPr>
        <w:t>詳究</w:t>
      </w:r>
      <w:r w:rsidRPr="00DA3BC7">
        <w:rPr>
          <w:rFonts w:hAnsi="新細明體"/>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132</w:t>
      </w:r>
      <w:r w:rsidRPr="00DA3BC7">
        <w:rPr>
          <w:sz w:val="20"/>
          <w:szCs w:val="20"/>
        </w:rPr>
        <w:t>-</w:t>
      </w:r>
      <w:r w:rsidRPr="00DA3BC7">
        <w:rPr>
          <w:rFonts w:ascii="Times New Roman" w:hAnsi="Times New Roman"/>
          <w:sz w:val="20"/>
          <w:szCs w:val="20"/>
        </w:rPr>
        <w:t>137</w:t>
      </w:r>
      <w:r w:rsidRPr="00DA3BC7">
        <w:rPr>
          <w:rFonts w:hAnsi="新細明體"/>
          <w:sz w:val="20"/>
          <w:szCs w:val="20"/>
        </w:rPr>
        <w:t>）</w:t>
      </w:r>
    </w:p>
    <w:p w:rsidR="00AA120F" w:rsidRPr="00DA3BC7" w:rsidRDefault="00AA120F" w:rsidP="008E2BBC">
      <w:pPr>
        <w:ind w:leftChars="50" w:left="120"/>
        <w:jc w:val="both"/>
      </w:pPr>
      <w:r w:rsidRPr="00DA3BC7">
        <w:rPr>
          <w:rFonts w:hAnsi="新細明體"/>
          <w:b/>
          <w:sz w:val="20"/>
          <w:szCs w:val="20"/>
          <w:bdr w:val="single" w:sz="4" w:space="0" w:color="auto"/>
        </w:rPr>
        <w:t>（壹）</w:t>
      </w:r>
      <w:r w:rsidR="00C41F21" w:rsidRPr="00C41F21">
        <w:rPr>
          <w:rFonts w:hAnsi="新細明體" w:hint="eastAsia"/>
          <w:b/>
          <w:color w:val="FF0000"/>
          <w:sz w:val="20"/>
          <w:szCs w:val="20"/>
          <w:highlight w:val="yellow"/>
          <w:bdr w:val="single" w:sz="4" w:space="0" w:color="auto"/>
        </w:rPr>
        <w:t>約「俗諦」辨「</w:t>
      </w:r>
      <w:r w:rsidR="00C41F21" w:rsidRPr="00C41F21">
        <w:rPr>
          <w:rFonts w:hAnsi="新細明體"/>
          <w:b/>
          <w:color w:val="FF0000"/>
          <w:sz w:val="20"/>
          <w:szCs w:val="20"/>
          <w:highlight w:val="yellow"/>
          <w:bdr w:val="single" w:sz="4" w:space="0" w:color="auto"/>
        </w:rPr>
        <w:t>運動的粗顯相</w:t>
      </w:r>
      <w:r w:rsidRPr="00C41F21">
        <w:rPr>
          <w:rFonts w:hAnsi="新細明體"/>
          <w:b/>
          <w:color w:val="FF0000"/>
          <w:sz w:val="20"/>
          <w:szCs w:val="20"/>
          <w:highlight w:val="yellow"/>
          <w:bdr w:val="single" w:sz="4" w:space="0" w:color="auto"/>
        </w:rPr>
        <w:t>」</w:t>
      </w:r>
      <w:r w:rsidRPr="00DA3BC7">
        <w:rPr>
          <w:rFonts w:hAnsi="新細明體"/>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132</w:t>
      </w:r>
      <w:r w:rsidRPr="00DA3BC7">
        <w:rPr>
          <w:sz w:val="20"/>
          <w:szCs w:val="20"/>
        </w:rPr>
        <w:t>-</w:t>
      </w:r>
      <w:r w:rsidRPr="00DA3BC7">
        <w:rPr>
          <w:rFonts w:ascii="Times New Roman" w:hAnsi="Times New Roman"/>
          <w:sz w:val="20"/>
          <w:szCs w:val="20"/>
        </w:rPr>
        <w:t>13</w:t>
      </w:r>
      <w:r w:rsidR="00C41F21">
        <w:rPr>
          <w:rFonts w:ascii="Times New Roman" w:hAnsi="Times New Roman" w:hint="eastAsia"/>
          <w:sz w:val="20"/>
          <w:szCs w:val="20"/>
        </w:rPr>
        <w:t>7</w:t>
      </w:r>
      <w:r w:rsidRPr="00DA3BC7">
        <w:rPr>
          <w:rFonts w:hAnsi="新細明體"/>
          <w:sz w:val="20"/>
          <w:szCs w:val="20"/>
        </w:rPr>
        <w:t>）</w:t>
      </w:r>
    </w:p>
    <w:p w:rsidR="00AA120F" w:rsidRPr="00DA3BC7" w:rsidRDefault="00AA120F" w:rsidP="008E2BBC">
      <w:pPr>
        <w:ind w:leftChars="100" w:left="240"/>
        <w:jc w:val="both"/>
        <w:rPr>
          <w:rFonts w:ascii="新細明體" w:hAnsi="新細明體"/>
          <w:b/>
          <w:sz w:val="20"/>
          <w:szCs w:val="20"/>
          <w:bdr w:val="single" w:sz="4" w:space="0" w:color="auto"/>
        </w:rPr>
      </w:pPr>
      <w:r w:rsidRPr="00DA3BC7">
        <w:rPr>
          <w:rFonts w:ascii="新細明體" w:hAnsi="新細明體" w:hint="eastAsia"/>
          <w:b/>
          <w:sz w:val="20"/>
          <w:szCs w:val="20"/>
          <w:bdr w:val="single" w:sz="4" w:space="0" w:color="auto"/>
        </w:rPr>
        <w:lastRenderedPageBreak/>
        <w:t>一、</w:t>
      </w:r>
      <w:r w:rsidRPr="00C41F21">
        <w:rPr>
          <w:rFonts w:ascii="新細明體" w:hAnsi="新細明體" w:hint="eastAsia"/>
          <w:b/>
          <w:color w:val="FF0000"/>
          <w:sz w:val="20"/>
          <w:szCs w:val="20"/>
          <w:highlight w:val="yellow"/>
          <w:bdr w:val="single" w:sz="4" w:space="0" w:color="auto"/>
        </w:rPr>
        <w:t>標</w:t>
      </w:r>
      <w:r w:rsidR="00C41F21" w:rsidRPr="00C41F21">
        <w:rPr>
          <w:rFonts w:ascii="新細明體" w:hAnsi="新細明體" w:hint="eastAsia"/>
          <w:b/>
          <w:color w:val="FF0000"/>
          <w:sz w:val="20"/>
          <w:szCs w:val="20"/>
          <w:highlight w:val="yellow"/>
          <w:bdr w:val="single" w:sz="4" w:space="0" w:color="auto"/>
        </w:rPr>
        <w:t>義</w:t>
      </w:r>
      <w:r w:rsidRPr="00DA3BC7">
        <w:rPr>
          <w:rFonts w:hAnsi="新細明體"/>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132</w:t>
      </w:r>
      <w:r w:rsidRPr="00DA3BC7">
        <w:rPr>
          <w:rFonts w:hAnsi="新細明體"/>
          <w:sz w:val="20"/>
          <w:szCs w:val="20"/>
        </w:rPr>
        <w:t>）</w:t>
      </w:r>
    </w:p>
    <w:p w:rsidR="00C41F21" w:rsidRDefault="00AA120F" w:rsidP="008E2BBC">
      <w:pPr>
        <w:ind w:leftChars="100" w:left="240"/>
        <w:jc w:val="both"/>
        <w:rPr>
          <w:rFonts w:ascii="新細明體" w:hAnsi="新細明體"/>
        </w:rPr>
      </w:pPr>
      <w:r w:rsidRPr="00DA3BC7">
        <w:rPr>
          <w:rFonts w:ascii="新細明體" w:hAnsi="新細明體" w:hint="eastAsia"/>
        </w:rPr>
        <w:t>先從粗顯的來去，也即是從世俗諦的來去加以考察。</w:t>
      </w:r>
    </w:p>
    <w:p w:rsidR="00C41F21" w:rsidRDefault="00C41F21" w:rsidP="00AE3920">
      <w:pPr>
        <w:spacing w:beforeLines="30"/>
        <w:ind w:leftChars="100" w:left="240"/>
        <w:jc w:val="both"/>
        <w:rPr>
          <w:rFonts w:hAnsi="新細明體"/>
          <w:sz w:val="20"/>
          <w:szCs w:val="20"/>
        </w:rPr>
      </w:pPr>
      <w:r>
        <w:rPr>
          <w:rFonts w:hAnsi="新細明體" w:hint="eastAsia"/>
          <w:b/>
          <w:sz w:val="20"/>
          <w:szCs w:val="20"/>
          <w:bdr w:val="single" w:sz="4" w:space="0" w:color="auto"/>
        </w:rPr>
        <w:t>二</w:t>
      </w:r>
      <w:r w:rsidRPr="00DA3BC7">
        <w:rPr>
          <w:rFonts w:hAnsi="新細明體"/>
          <w:b/>
          <w:sz w:val="20"/>
          <w:szCs w:val="20"/>
          <w:bdr w:val="single" w:sz="4" w:space="0" w:color="auto"/>
        </w:rPr>
        <w:t>、</w:t>
      </w:r>
      <w:r>
        <w:rPr>
          <w:rFonts w:hAnsi="新細明體" w:hint="eastAsia"/>
          <w:b/>
          <w:color w:val="FF0000"/>
          <w:sz w:val="20"/>
          <w:szCs w:val="20"/>
          <w:highlight w:val="yellow"/>
          <w:bdr w:val="single" w:sz="4" w:space="0" w:color="auto"/>
        </w:rPr>
        <w:t>闡明</w:t>
      </w:r>
      <w:r w:rsidRPr="00DA3BC7">
        <w:rPr>
          <w:rFonts w:hAnsi="新細明體"/>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132</w:t>
      </w:r>
      <w:r w:rsidRPr="00DA3BC7">
        <w:rPr>
          <w:sz w:val="20"/>
          <w:szCs w:val="20"/>
        </w:rPr>
        <w:t>-</w:t>
      </w:r>
      <w:r w:rsidRPr="00DA3BC7">
        <w:rPr>
          <w:rFonts w:ascii="Times New Roman" w:hAnsi="Times New Roman"/>
          <w:sz w:val="20"/>
          <w:szCs w:val="20"/>
        </w:rPr>
        <w:t>137</w:t>
      </w:r>
      <w:r w:rsidRPr="00DA3BC7">
        <w:rPr>
          <w:rFonts w:hAnsi="新細明體"/>
          <w:sz w:val="20"/>
          <w:szCs w:val="20"/>
        </w:rPr>
        <w:t>）</w:t>
      </w:r>
    </w:p>
    <w:p w:rsidR="00C41F21" w:rsidRPr="00DA3BC7" w:rsidRDefault="00C41F21" w:rsidP="002E5DD4">
      <w:pPr>
        <w:ind w:leftChars="150" w:left="360"/>
        <w:jc w:val="both"/>
      </w:pPr>
      <w:r w:rsidRPr="00C41F21">
        <w:rPr>
          <w:rFonts w:hAnsi="新細明體"/>
          <w:b/>
          <w:color w:val="FF0000"/>
          <w:sz w:val="20"/>
          <w:szCs w:val="20"/>
          <w:highlight w:val="yellow"/>
          <w:bdr w:val="single" w:sz="4" w:space="0" w:color="auto"/>
        </w:rPr>
        <w:t>（</w:t>
      </w:r>
      <w:r w:rsidRPr="00C41F21">
        <w:rPr>
          <w:rFonts w:hAnsi="新細明體" w:hint="eastAsia"/>
          <w:b/>
          <w:color w:val="FF0000"/>
          <w:sz w:val="20"/>
          <w:szCs w:val="20"/>
          <w:highlight w:val="yellow"/>
          <w:bdr w:val="single" w:sz="4" w:space="0" w:color="auto"/>
        </w:rPr>
        <w:t>一</w:t>
      </w:r>
      <w:r w:rsidRPr="00C41F21">
        <w:rPr>
          <w:rFonts w:hAnsi="新細明體"/>
          <w:b/>
          <w:color w:val="FF0000"/>
          <w:sz w:val="20"/>
          <w:szCs w:val="20"/>
          <w:highlight w:val="yellow"/>
          <w:bdr w:val="single" w:sz="4" w:space="0" w:color="auto"/>
        </w:rPr>
        <w:t>）</w:t>
      </w:r>
      <w:r>
        <w:rPr>
          <w:rFonts w:hAnsi="新細明體" w:hint="eastAsia"/>
          <w:b/>
          <w:color w:val="FF0000"/>
          <w:sz w:val="20"/>
          <w:szCs w:val="20"/>
          <w:highlight w:val="yellow"/>
          <w:bdr w:val="single" w:sz="4" w:space="0" w:color="auto"/>
        </w:rPr>
        <w:t>引述誤解</w:t>
      </w:r>
      <w:r w:rsidRPr="00DA3BC7">
        <w:rPr>
          <w:rFonts w:hAnsi="新細明體"/>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132</w:t>
      </w:r>
      <w:r w:rsidRPr="00DA3BC7">
        <w:rPr>
          <w:rFonts w:hAnsi="新細明體"/>
          <w:sz w:val="20"/>
          <w:szCs w:val="20"/>
        </w:rPr>
        <w:t>）</w:t>
      </w:r>
    </w:p>
    <w:p w:rsidR="00AA120F" w:rsidRPr="00DA3BC7" w:rsidRDefault="00AA120F" w:rsidP="002E5DD4">
      <w:pPr>
        <w:ind w:leftChars="150" w:left="360"/>
        <w:jc w:val="both"/>
        <w:rPr>
          <w:rFonts w:ascii="新細明體" w:hAnsi="新細明體"/>
        </w:rPr>
      </w:pPr>
      <w:r w:rsidRPr="00DA3BC7">
        <w:rPr>
          <w:rFonts w:ascii="新細明體" w:hAnsi="新細明體" w:hint="eastAsia"/>
        </w:rPr>
        <w:t>有人以為《中論》</w:t>
      </w:r>
      <w:r w:rsidR="005E0670">
        <w:rPr>
          <w:rFonts w:ascii="Times New Roman" w:hAnsi="Times New Roman" w:hint="eastAsia"/>
        </w:rPr>
        <w:t>〈</w:t>
      </w:r>
      <w:r w:rsidR="005E0670" w:rsidRPr="005E0670">
        <w:rPr>
          <w:rFonts w:ascii="Times New Roman" w:hAnsi="Times New Roman" w:hint="eastAsia"/>
          <w:shd w:val="pct15" w:color="auto" w:fill="FFFFFF"/>
        </w:rPr>
        <w:t>2</w:t>
      </w:r>
      <w:r w:rsidR="005E0670">
        <w:rPr>
          <w:rFonts w:ascii="Times New Roman" w:hAnsi="Times New Roman" w:hint="eastAsia"/>
        </w:rPr>
        <w:t xml:space="preserve"> </w:t>
      </w:r>
      <w:r w:rsidR="005E0670" w:rsidRPr="00DA3BC7">
        <w:rPr>
          <w:rFonts w:ascii="新細明體" w:hAnsi="新細明體" w:hint="eastAsia"/>
        </w:rPr>
        <w:t>觀去來品</w:t>
      </w:r>
      <w:r w:rsidR="005E0670">
        <w:rPr>
          <w:rFonts w:ascii="Times New Roman" w:hAnsi="Times New Roman" w:hint="eastAsia"/>
        </w:rPr>
        <w:t>〉</w:t>
      </w:r>
      <w:r w:rsidRPr="00DA3BC7">
        <w:rPr>
          <w:rFonts w:ascii="新細明體" w:hAnsi="新細明體" w:hint="eastAsia"/>
        </w:rPr>
        <w:t>中廣破去來，中觀者是主張一切法不動的，那是大大的錯誤！</w:t>
      </w:r>
    </w:p>
    <w:p w:rsidR="00AA120F" w:rsidRPr="00DA3BC7" w:rsidRDefault="00AA120F" w:rsidP="00AE3920">
      <w:pPr>
        <w:spacing w:beforeLines="30"/>
        <w:ind w:leftChars="150" w:left="360"/>
        <w:jc w:val="both"/>
        <w:rPr>
          <w:b/>
        </w:rPr>
      </w:pPr>
      <w:r w:rsidRPr="00C41F21">
        <w:rPr>
          <w:rFonts w:hAnsi="新細明體" w:hint="eastAsia"/>
          <w:b/>
          <w:color w:val="FF0000"/>
          <w:sz w:val="20"/>
          <w:szCs w:val="20"/>
          <w:highlight w:val="yellow"/>
          <w:bdr w:val="single" w:sz="4" w:space="0" w:color="auto"/>
        </w:rPr>
        <w:t>（</w:t>
      </w:r>
      <w:r w:rsidR="00C41F21" w:rsidRPr="00C41F21">
        <w:rPr>
          <w:rFonts w:hAnsi="新細明體" w:hint="eastAsia"/>
          <w:b/>
          <w:color w:val="FF0000"/>
          <w:sz w:val="20"/>
          <w:szCs w:val="20"/>
          <w:highlight w:val="yellow"/>
          <w:bdr w:val="single" w:sz="4" w:space="0" w:color="auto"/>
        </w:rPr>
        <w:t>二</w:t>
      </w:r>
      <w:r w:rsidRPr="00C41F21">
        <w:rPr>
          <w:rFonts w:hAnsi="新細明體" w:hint="eastAsia"/>
          <w:b/>
          <w:color w:val="FF0000"/>
          <w:sz w:val="20"/>
          <w:szCs w:val="20"/>
          <w:highlight w:val="yellow"/>
          <w:bdr w:val="single" w:sz="4" w:space="0" w:color="auto"/>
        </w:rPr>
        <w:t>）</w:t>
      </w:r>
      <w:r w:rsidR="00C41F21" w:rsidRPr="00C41F21">
        <w:rPr>
          <w:rFonts w:hAnsi="新細明體" w:hint="eastAsia"/>
          <w:b/>
          <w:color w:val="FF0000"/>
          <w:sz w:val="20"/>
          <w:szCs w:val="20"/>
          <w:highlight w:val="yellow"/>
          <w:bdr w:val="single" w:sz="4" w:space="0" w:color="auto"/>
        </w:rPr>
        <w:t>出過破謬</w:t>
      </w:r>
      <w:r w:rsidR="00C41F21" w:rsidRPr="00DA3BC7">
        <w:rPr>
          <w:rFonts w:hAnsi="新細明體"/>
          <w:sz w:val="20"/>
          <w:szCs w:val="20"/>
        </w:rPr>
        <w:t>（</w:t>
      </w:r>
      <w:r w:rsidR="00C41F21" w:rsidRPr="00DA3BC7">
        <w:rPr>
          <w:rFonts w:ascii="Times New Roman" w:hAnsi="Times New Roman"/>
          <w:sz w:val="20"/>
          <w:szCs w:val="20"/>
        </w:rPr>
        <w:t>pp</w:t>
      </w:r>
      <w:r w:rsidR="00C41F21" w:rsidRPr="00DA3BC7">
        <w:rPr>
          <w:sz w:val="20"/>
          <w:szCs w:val="20"/>
        </w:rPr>
        <w:t>.</w:t>
      </w:r>
      <w:r w:rsidR="00C41F21" w:rsidRPr="00DA3BC7">
        <w:rPr>
          <w:rFonts w:ascii="Times New Roman" w:hAnsi="Times New Roman"/>
          <w:sz w:val="20"/>
          <w:szCs w:val="20"/>
        </w:rPr>
        <w:t>132</w:t>
      </w:r>
      <w:r w:rsidR="00C41F21" w:rsidRPr="00DA3BC7">
        <w:rPr>
          <w:sz w:val="20"/>
          <w:szCs w:val="20"/>
        </w:rPr>
        <w:t>-</w:t>
      </w:r>
      <w:r w:rsidR="00C41F21" w:rsidRPr="00DA3BC7">
        <w:rPr>
          <w:rFonts w:ascii="Times New Roman" w:hAnsi="Times New Roman"/>
          <w:sz w:val="20"/>
          <w:szCs w:val="20"/>
        </w:rPr>
        <w:t>133</w:t>
      </w:r>
      <w:r w:rsidR="00C41F21" w:rsidRPr="00DA3BC7">
        <w:rPr>
          <w:rFonts w:hAnsi="新細明體"/>
          <w:sz w:val="20"/>
          <w:szCs w:val="20"/>
        </w:rPr>
        <w:t>）</w:t>
      </w:r>
    </w:p>
    <w:p w:rsidR="00C41F21" w:rsidRPr="00DA3BC7" w:rsidRDefault="00C41F21" w:rsidP="002E5DD4">
      <w:pPr>
        <w:ind w:leftChars="200" w:left="480"/>
        <w:jc w:val="both"/>
      </w:pPr>
      <w:r w:rsidRPr="00C41F21">
        <w:rPr>
          <w:rFonts w:ascii="Times New Roman" w:hAnsi="Times New Roman" w:hint="eastAsia"/>
          <w:b/>
          <w:color w:val="FF0000"/>
          <w:sz w:val="20"/>
          <w:szCs w:val="20"/>
          <w:highlight w:val="yellow"/>
          <w:bdr w:val="single" w:sz="4" w:space="0" w:color="auto"/>
        </w:rPr>
        <w:t>1</w:t>
      </w:r>
      <w:r w:rsidRPr="00C41F21">
        <w:rPr>
          <w:rFonts w:ascii="Times New Roman" w:hAnsi="Times New Roman" w:hint="eastAsia"/>
          <w:b/>
          <w:color w:val="FF0000"/>
          <w:sz w:val="20"/>
          <w:szCs w:val="20"/>
          <w:highlight w:val="yellow"/>
          <w:bdr w:val="single" w:sz="4" w:space="0" w:color="auto"/>
        </w:rPr>
        <w:t>、</w:t>
      </w:r>
      <w:r>
        <w:rPr>
          <w:rFonts w:hAnsi="新細明體" w:hint="eastAsia"/>
          <w:b/>
          <w:color w:val="FF0000"/>
          <w:sz w:val="20"/>
          <w:szCs w:val="20"/>
          <w:highlight w:val="yellow"/>
          <w:bdr w:val="single" w:sz="4" w:space="0" w:color="auto"/>
        </w:rPr>
        <w:t>略舉外論</w:t>
      </w:r>
      <w:r w:rsidRPr="00DA3BC7">
        <w:rPr>
          <w:rFonts w:hAnsi="新細明體"/>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132</w:t>
      </w:r>
      <w:r w:rsidRPr="00DA3BC7">
        <w:rPr>
          <w:rFonts w:hAnsi="新細明體"/>
          <w:sz w:val="20"/>
          <w:szCs w:val="20"/>
        </w:rPr>
        <w:t>）</w:t>
      </w:r>
    </w:p>
    <w:p w:rsidR="00C41F21" w:rsidRDefault="00AA120F" w:rsidP="002E5DD4">
      <w:pPr>
        <w:ind w:leftChars="200" w:left="480"/>
        <w:jc w:val="both"/>
        <w:rPr>
          <w:rFonts w:hAnsi="新細明體"/>
        </w:rPr>
      </w:pPr>
      <w:r w:rsidRPr="00DA3BC7">
        <w:rPr>
          <w:rFonts w:hAnsi="新細明體"/>
        </w:rPr>
        <w:t>如人的來去、出入、伸臂、舉趾</w:t>
      </w:r>
      <w:r w:rsidRPr="00DA3BC7">
        <w:rPr>
          <w:rStyle w:val="a6"/>
          <w:rFonts w:ascii="Times New Roman" w:hAnsi="Times New Roman"/>
        </w:rPr>
        <w:footnoteReference w:id="625"/>
      </w:r>
      <w:r w:rsidRPr="00DA3BC7">
        <w:rPr>
          <w:rFonts w:hAnsi="新細明體"/>
        </w:rPr>
        <w:t>、揚眉、瞬目</w:t>
      </w:r>
      <w:r w:rsidRPr="00DA3BC7">
        <w:rPr>
          <w:rStyle w:val="a6"/>
          <w:rFonts w:ascii="Times New Roman" w:hAnsi="Times New Roman"/>
        </w:rPr>
        <w:footnoteReference w:id="626"/>
      </w:r>
      <w:r w:rsidRPr="00DA3BC7">
        <w:rPr>
          <w:rFonts w:hAnsi="新細明體"/>
        </w:rPr>
        <w:t>，都是動變的一種。</w:t>
      </w:r>
    </w:p>
    <w:p w:rsidR="00AA120F" w:rsidRPr="00DA3BC7" w:rsidRDefault="00AA120F" w:rsidP="002E5DD4">
      <w:pPr>
        <w:ind w:leftChars="200" w:left="480"/>
        <w:jc w:val="both"/>
        <w:rPr>
          <w:b/>
        </w:rPr>
      </w:pPr>
      <w:r w:rsidRPr="00DA3BC7">
        <w:t>薩婆多部以此為表色</w:t>
      </w:r>
      <w:r w:rsidRPr="00DA3BC7">
        <w:rPr>
          <w:rStyle w:val="a6"/>
          <w:rFonts w:ascii="Times New Roman" w:hAnsi="Times New Roman"/>
        </w:rPr>
        <w:footnoteReference w:id="627"/>
      </w:r>
      <w:r w:rsidRPr="00DA3BC7">
        <w:t>，以此為能表顯吾人內心的物質形態。</w:t>
      </w:r>
    </w:p>
    <w:p w:rsidR="00AA120F" w:rsidRPr="00DA3BC7" w:rsidRDefault="00AA120F" w:rsidP="002E5DD4">
      <w:pPr>
        <w:ind w:leftChars="200" w:left="480"/>
        <w:jc w:val="both"/>
        <w:rPr>
          <w:b/>
        </w:rPr>
      </w:pPr>
      <w:r w:rsidRPr="00DA3BC7">
        <w:t>正量部學者，即以此等為「動」。</w:t>
      </w:r>
      <w:r w:rsidRPr="00DA3BC7">
        <w:rPr>
          <w:rStyle w:val="a6"/>
          <w:rFonts w:ascii="Times New Roman" w:hAnsi="Times New Roman"/>
        </w:rPr>
        <w:footnoteReference w:id="628"/>
      </w:r>
    </w:p>
    <w:p w:rsidR="00AA120F" w:rsidRPr="00DA3BC7" w:rsidRDefault="00AA120F" w:rsidP="002E5DD4">
      <w:pPr>
        <w:ind w:leftChars="200" w:left="480"/>
        <w:jc w:val="both"/>
      </w:pPr>
      <w:r w:rsidRPr="00DA3BC7">
        <w:rPr>
          <w:rFonts w:hAnsi="新細明體"/>
        </w:rPr>
        <w:t>唯識者曾破斥曰：「</w:t>
      </w:r>
      <w:r w:rsidRPr="00DA3BC7">
        <w:rPr>
          <w:rFonts w:eastAsia="標楷體" w:hAnsi="標楷體"/>
        </w:rPr>
        <w:t>纔生即滅，無動義故</w:t>
      </w:r>
      <w:r w:rsidRPr="00DA3BC7">
        <w:rPr>
          <w:rFonts w:hAnsi="新細明體"/>
        </w:rPr>
        <w:t>。」</w:t>
      </w:r>
      <w:r w:rsidRPr="00DA3BC7">
        <w:rPr>
          <w:rStyle w:val="a6"/>
          <w:rFonts w:ascii="Times New Roman" w:hAnsi="Times New Roman"/>
        </w:rPr>
        <w:footnoteReference w:id="629"/>
      </w:r>
      <w:r w:rsidRPr="00DA3BC7">
        <w:rPr>
          <w:rFonts w:hAnsi="新細明體"/>
        </w:rPr>
        <w:t>因為，動必是從此至彼，從前至後的，</w:t>
      </w:r>
      <w:r w:rsidRPr="00DA3BC7">
        <w:rPr>
          <w:rFonts w:ascii="新細明體" w:hAnsi="新細明體"/>
        </w:rPr>
        <w:t>但這在時間的、空間的極點，是不能成其動義的。所以唯識者以為</w:t>
      </w:r>
      <w:r w:rsidRPr="00DA3BC7">
        <w:rPr>
          <w:rFonts w:ascii="新細明體" w:hAnsi="新細明體" w:hint="eastAsia"/>
        </w:rPr>
        <w:t>：</w:t>
      </w:r>
      <w:r w:rsidRPr="00DA3BC7">
        <w:rPr>
          <w:rFonts w:ascii="新細明體" w:hAnsi="新細明體"/>
        </w:rPr>
        <w:t>色相的運動，乃內心中的似現，在心剎那剎那的相續變上，</w:t>
      </w:r>
      <w:r w:rsidRPr="00DA3BC7">
        <w:rPr>
          <w:rFonts w:ascii="新細明體" w:hAnsi="新細明體"/>
        </w:rPr>
        <w:lastRenderedPageBreak/>
        <w:t>似有從此至彼的相，稱之為動，實是唯識所現的。</w:t>
      </w:r>
    </w:p>
    <w:p w:rsidR="00AA120F" w:rsidRPr="00DA3BC7" w:rsidRDefault="00C41F21" w:rsidP="00AE3920">
      <w:pPr>
        <w:spacing w:beforeLines="30"/>
        <w:ind w:leftChars="200" w:left="480"/>
        <w:jc w:val="both"/>
        <w:rPr>
          <w:b/>
        </w:rPr>
      </w:pPr>
      <w:r w:rsidRPr="00C41F21">
        <w:rPr>
          <w:rFonts w:ascii="Times New Roman" w:hAnsi="Times New Roman" w:hint="eastAsia"/>
          <w:b/>
          <w:color w:val="FF0000"/>
          <w:sz w:val="20"/>
          <w:szCs w:val="20"/>
          <w:highlight w:val="yellow"/>
          <w:bdr w:val="single" w:sz="4" w:space="0" w:color="auto"/>
        </w:rPr>
        <w:t>2</w:t>
      </w:r>
      <w:r w:rsidRPr="00C41F21">
        <w:rPr>
          <w:rFonts w:ascii="Times New Roman" w:hAnsi="Times New Roman" w:hint="eastAsia"/>
          <w:b/>
          <w:color w:val="FF0000"/>
          <w:sz w:val="20"/>
          <w:szCs w:val="20"/>
          <w:highlight w:val="yellow"/>
          <w:bdr w:val="single" w:sz="4" w:space="0" w:color="auto"/>
        </w:rPr>
        <w:t>、總破過非</w:t>
      </w:r>
      <w:r w:rsidR="00AA120F" w:rsidRPr="00DA3BC7">
        <w:rPr>
          <w:rFonts w:hAnsi="新細明體"/>
          <w:sz w:val="20"/>
          <w:szCs w:val="20"/>
        </w:rPr>
        <w:t>（</w:t>
      </w:r>
      <w:r w:rsidR="00C1289A" w:rsidRPr="00DA3BC7">
        <w:rPr>
          <w:rFonts w:ascii="Times New Roman" w:hAnsi="Times New Roman"/>
          <w:sz w:val="20"/>
          <w:szCs w:val="20"/>
        </w:rPr>
        <w:t>p</w:t>
      </w:r>
      <w:r w:rsidR="00AA120F" w:rsidRPr="00DA3BC7">
        <w:rPr>
          <w:rFonts w:ascii="Times New Roman" w:hAnsi="Times New Roman"/>
          <w:sz w:val="20"/>
          <w:szCs w:val="20"/>
        </w:rPr>
        <w:t>p</w:t>
      </w:r>
      <w:r w:rsidR="00AA120F" w:rsidRPr="00DA3BC7">
        <w:rPr>
          <w:sz w:val="20"/>
          <w:szCs w:val="20"/>
        </w:rPr>
        <w:t>.</w:t>
      </w:r>
      <w:r w:rsidR="00AA120F" w:rsidRPr="00DA3BC7">
        <w:rPr>
          <w:rFonts w:ascii="Times New Roman" w:hAnsi="Times New Roman"/>
          <w:sz w:val="20"/>
          <w:szCs w:val="20"/>
        </w:rPr>
        <w:t>13</w:t>
      </w:r>
      <w:r w:rsidR="00AA120F" w:rsidRPr="00DA3BC7">
        <w:rPr>
          <w:rFonts w:ascii="Times New Roman" w:hAnsi="Times New Roman" w:hint="eastAsia"/>
          <w:sz w:val="20"/>
          <w:szCs w:val="20"/>
        </w:rPr>
        <w:t>3</w:t>
      </w:r>
      <w:r w:rsidR="00C1289A">
        <w:rPr>
          <w:rFonts w:ascii="Times New Roman" w:hAnsi="Times New Roman" w:hint="eastAsia"/>
          <w:sz w:val="20"/>
          <w:szCs w:val="20"/>
        </w:rPr>
        <w:t>-135</w:t>
      </w:r>
      <w:r w:rsidR="00AA120F" w:rsidRPr="00DA3BC7">
        <w:rPr>
          <w:rFonts w:hAnsi="新細明體"/>
          <w:sz w:val="20"/>
          <w:szCs w:val="20"/>
        </w:rPr>
        <w:t>）</w:t>
      </w:r>
    </w:p>
    <w:p w:rsidR="00C41F21" w:rsidRPr="00DA3BC7" w:rsidRDefault="00C41F21" w:rsidP="002E5DD4">
      <w:pPr>
        <w:ind w:leftChars="250" w:left="600"/>
        <w:jc w:val="both"/>
      </w:pPr>
      <w:r w:rsidRPr="00C41F21">
        <w:rPr>
          <w:rFonts w:hAnsi="新細明體"/>
          <w:b/>
          <w:color w:val="FF0000"/>
          <w:sz w:val="20"/>
          <w:szCs w:val="20"/>
          <w:highlight w:val="yellow"/>
          <w:bdr w:val="single" w:sz="4" w:space="0" w:color="auto"/>
        </w:rPr>
        <w:t>（</w:t>
      </w:r>
      <w:r w:rsidRPr="00C41F21">
        <w:rPr>
          <w:rFonts w:ascii="Times New Roman" w:hAnsi="Times New Roman" w:hint="eastAsia"/>
          <w:b/>
          <w:color w:val="FF0000"/>
          <w:sz w:val="20"/>
          <w:szCs w:val="20"/>
          <w:highlight w:val="yellow"/>
          <w:bdr w:val="single" w:sz="4" w:space="0" w:color="auto"/>
        </w:rPr>
        <w:t>1</w:t>
      </w:r>
      <w:r w:rsidRPr="00C41F21">
        <w:rPr>
          <w:rFonts w:hAnsi="新細明體"/>
          <w:b/>
          <w:color w:val="FF0000"/>
          <w:sz w:val="20"/>
          <w:szCs w:val="20"/>
          <w:highlight w:val="yellow"/>
          <w:bdr w:val="single" w:sz="4" w:space="0" w:color="auto"/>
        </w:rPr>
        <w:t>）</w:t>
      </w:r>
      <w:r>
        <w:rPr>
          <w:rFonts w:hAnsi="新細明體" w:hint="eastAsia"/>
          <w:b/>
          <w:color w:val="FF0000"/>
          <w:sz w:val="20"/>
          <w:szCs w:val="20"/>
          <w:highlight w:val="yellow"/>
          <w:bdr w:val="single" w:sz="4" w:space="0" w:color="auto"/>
        </w:rPr>
        <w:t>破「感官理性之妄見</w:t>
      </w:r>
      <w:r w:rsidR="00C1289A">
        <w:rPr>
          <w:rFonts w:hAnsi="新細明體" w:hint="eastAsia"/>
          <w:b/>
          <w:color w:val="FF0000"/>
          <w:sz w:val="20"/>
          <w:szCs w:val="20"/>
          <w:highlight w:val="yellow"/>
          <w:bdr w:val="single" w:sz="4" w:space="0" w:color="auto"/>
        </w:rPr>
        <w:t>」</w:t>
      </w:r>
      <w:r w:rsidRPr="00DA3BC7">
        <w:rPr>
          <w:rFonts w:hAnsi="新細明體"/>
          <w:sz w:val="20"/>
          <w:szCs w:val="20"/>
        </w:rPr>
        <w:t>（</w:t>
      </w:r>
      <w:r w:rsidR="00C1289A" w:rsidRPr="00DA3BC7">
        <w:rPr>
          <w:rFonts w:ascii="Times New Roman" w:hAnsi="Times New Roman"/>
          <w:sz w:val="20"/>
          <w:szCs w:val="20"/>
        </w:rPr>
        <w:t>p</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13</w:t>
      </w:r>
      <w:r>
        <w:rPr>
          <w:rFonts w:ascii="Times New Roman" w:hAnsi="Times New Roman" w:hint="eastAsia"/>
          <w:sz w:val="20"/>
          <w:szCs w:val="20"/>
        </w:rPr>
        <w:t>3</w:t>
      </w:r>
      <w:r w:rsidR="00C1289A">
        <w:rPr>
          <w:rFonts w:ascii="Times New Roman" w:hAnsi="Times New Roman" w:hint="eastAsia"/>
          <w:sz w:val="20"/>
          <w:szCs w:val="20"/>
        </w:rPr>
        <w:t>-134</w:t>
      </w:r>
      <w:r w:rsidRPr="00DA3BC7">
        <w:rPr>
          <w:rFonts w:hAnsi="新細明體"/>
          <w:sz w:val="20"/>
          <w:szCs w:val="20"/>
        </w:rPr>
        <w:t>）</w:t>
      </w:r>
    </w:p>
    <w:p w:rsidR="00C41F21" w:rsidRPr="00DA3BC7" w:rsidRDefault="00C41F21" w:rsidP="002E5DD4">
      <w:pPr>
        <w:ind w:leftChars="300" w:left="720"/>
        <w:jc w:val="both"/>
      </w:pPr>
      <w:r>
        <w:rPr>
          <w:rFonts w:ascii="Times New Roman" w:hAnsi="Times New Roman" w:hint="eastAsia"/>
          <w:b/>
          <w:color w:val="FF0000"/>
          <w:sz w:val="20"/>
          <w:szCs w:val="20"/>
          <w:highlight w:val="yellow"/>
          <w:bdr w:val="single" w:sz="4" w:space="0" w:color="auto"/>
        </w:rPr>
        <w:t>A</w:t>
      </w:r>
      <w:r w:rsidRPr="00C41F21">
        <w:rPr>
          <w:rFonts w:ascii="Times New Roman" w:hAnsi="Times New Roman" w:hint="eastAsia"/>
          <w:b/>
          <w:color w:val="FF0000"/>
          <w:sz w:val="20"/>
          <w:szCs w:val="20"/>
          <w:highlight w:val="yellow"/>
          <w:bdr w:val="single" w:sz="4" w:space="0" w:color="auto"/>
        </w:rPr>
        <w:t>、</w:t>
      </w:r>
      <w:r>
        <w:rPr>
          <w:rFonts w:hAnsi="新細明體" w:hint="eastAsia"/>
          <w:b/>
          <w:color w:val="FF0000"/>
          <w:sz w:val="20"/>
          <w:szCs w:val="20"/>
          <w:highlight w:val="yellow"/>
          <w:bdr w:val="single" w:sz="4" w:space="0" w:color="auto"/>
        </w:rPr>
        <w:t>外人的見解</w:t>
      </w:r>
      <w:r w:rsidRPr="00DA3BC7">
        <w:rPr>
          <w:rFonts w:hAnsi="新細明體"/>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13</w:t>
      </w:r>
      <w:r>
        <w:rPr>
          <w:rFonts w:ascii="Times New Roman" w:hAnsi="Times New Roman" w:hint="eastAsia"/>
          <w:sz w:val="20"/>
          <w:szCs w:val="20"/>
        </w:rPr>
        <w:t>3</w:t>
      </w:r>
      <w:r w:rsidRPr="00DA3BC7">
        <w:rPr>
          <w:rFonts w:hAnsi="新細明體"/>
          <w:sz w:val="20"/>
          <w:szCs w:val="20"/>
        </w:rPr>
        <w:t>）</w:t>
      </w:r>
    </w:p>
    <w:p w:rsidR="00AA120F" w:rsidRPr="00DA3BC7" w:rsidRDefault="00AA120F" w:rsidP="002E5DD4">
      <w:pPr>
        <w:ind w:leftChars="300" w:left="720"/>
        <w:jc w:val="both"/>
        <w:rPr>
          <w:rFonts w:hAnsi="新細明體"/>
        </w:rPr>
      </w:pPr>
      <w:r w:rsidRPr="00DA3BC7">
        <w:rPr>
          <w:rFonts w:hAnsi="新細明體"/>
        </w:rPr>
        <w:t>一般學者，每以為在人的</w:t>
      </w:r>
      <w:r w:rsidRPr="00DA3BC7">
        <w:rPr>
          <w:rFonts w:hAnsi="新細明體"/>
          <w:b/>
        </w:rPr>
        <w:t>感性</w:t>
      </w:r>
      <w:r w:rsidRPr="00DA3BC7">
        <w:rPr>
          <w:rFonts w:hAnsi="新細明體"/>
        </w:rPr>
        <w:t>上，一切是</w:t>
      </w:r>
      <w:r w:rsidRPr="00DA3BC7">
        <w:rPr>
          <w:rFonts w:hAnsi="新細明體"/>
          <w:b/>
        </w:rPr>
        <w:t>動</w:t>
      </w:r>
      <w:r w:rsidRPr="00DA3BC7">
        <w:rPr>
          <w:rFonts w:hAnsi="新細明體"/>
        </w:rPr>
        <w:t>的，此如眼、耳等所見</w:t>
      </w:r>
      <w:r w:rsidRPr="00DA3BC7">
        <w:rPr>
          <w:rFonts w:hAnsi="新細明體" w:hint="eastAsia"/>
        </w:rPr>
        <w:t>、</w:t>
      </w:r>
      <w:r w:rsidRPr="00DA3BC7">
        <w:rPr>
          <w:rFonts w:hAnsi="新細明體"/>
        </w:rPr>
        <w:t>所聽到的</w:t>
      </w:r>
      <w:r w:rsidRPr="00DA3BC7">
        <w:rPr>
          <w:rFonts w:hAnsi="新細明體" w:hint="eastAsia"/>
        </w:rPr>
        <w:t>；</w:t>
      </w:r>
      <w:r w:rsidRPr="00DA3BC7">
        <w:rPr>
          <w:rFonts w:hAnsi="新細明體"/>
        </w:rPr>
        <w:t>但在</w:t>
      </w:r>
      <w:r w:rsidRPr="00DA3BC7">
        <w:rPr>
          <w:rFonts w:hAnsi="新細明體"/>
          <w:b/>
        </w:rPr>
        <w:t>理性</w:t>
      </w:r>
      <w:r w:rsidRPr="00DA3BC7">
        <w:rPr>
          <w:rFonts w:hAnsi="新細明體"/>
        </w:rPr>
        <w:t>的思惟推比上，即是</w:t>
      </w:r>
      <w:r w:rsidRPr="00DA3BC7">
        <w:rPr>
          <w:rFonts w:hAnsi="新細明體"/>
          <w:b/>
        </w:rPr>
        <w:t>不動</w:t>
      </w:r>
      <w:r w:rsidRPr="00DA3BC7">
        <w:rPr>
          <w:rFonts w:hAnsi="新細明體"/>
        </w:rPr>
        <w:t>的了。</w:t>
      </w:r>
    </w:p>
    <w:p w:rsidR="00AA120F" w:rsidRPr="00DA3BC7" w:rsidRDefault="00AA120F" w:rsidP="00AE3920">
      <w:pPr>
        <w:spacing w:beforeLines="20"/>
        <w:ind w:leftChars="300" w:left="720"/>
        <w:jc w:val="both"/>
      </w:pPr>
      <w:r w:rsidRPr="00DA3BC7">
        <w:rPr>
          <w:rFonts w:hAnsi="新細明體"/>
        </w:rPr>
        <w:t>於是，</w:t>
      </w:r>
      <w:r w:rsidRPr="00DA3BC7">
        <w:rPr>
          <w:rFonts w:hAnsi="新細明體"/>
          <w:b/>
        </w:rPr>
        <w:t>重視感性</w:t>
      </w:r>
      <w:r w:rsidRPr="00DA3BC7">
        <w:rPr>
          <w:rFonts w:hAnsi="新細明體"/>
        </w:rPr>
        <w:t>的，即以為</w:t>
      </w:r>
      <w:r w:rsidRPr="00DA3BC7">
        <w:rPr>
          <w:rFonts w:hAnsi="新細明體"/>
          <w:b/>
        </w:rPr>
        <w:t>動</w:t>
      </w:r>
      <w:r w:rsidRPr="00DA3BC7">
        <w:rPr>
          <w:rFonts w:hAnsi="新細明體"/>
        </w:rPr>
        <w:t>是對的，不動不過是理性的抽象知識，是錯亂的</w:t>
      </w:r>
      <w:r w:rsidR="00C41F21" w:rsidRPr="00C41F21">
        <w:rPr>
          <w:rFonts w:hAnsi="新細明體" w:hint="eastAsia"/>
          <w:color w:val="FF0000"/>
          <w:highlight w:val="yellow"/>
        </w:rPr>
        <w:t>；</w:t>
      </w:r>
      <w:r w:rsidRPr="00DA3BC7">
        <w:rPr>
          <w:rFonts w:hAnsi="新細明體"/>
          <w:b/>
        </w:rPr>
        <w:t>重視理性</w:t>
      </w:r>
      <w:r w:rsidRPr="00DA3BC7">
        <w:rPr>
          <w:rFonts w:hAnsi="新細明體"/>
        </w:rPr>
        <w:t>的，以為一切的本體確是</w:t>
      </w:r>
      <w:r w:rsidRPr="00DA3BC7">
        <w:rPr>
          <w:rFonts w:hAnsi="新細明體"/>
          <w:b/>
        </w:rPr>
        <w:t>不動</w:t>
      </w:r>
      <w:r w:rsidRPr="00DA3BC7">
        <w:rPr>
          <w:rFonts w:hAnsi="新細明體"/>
        </w:rPr>
        <w:t>的，變動是感性的錯覺。</w:t>
      </w:r>
    </w:p>
    <w:p w:rsidR="00AA120F" w:rsidRPr="00DA3BC7" w:rsidRDefault="00C41F21" w:rsidP="00AE3920">
      <w:pPr>
        <w:spacing w:beforeLines="30"/>
        <w:ind w:leftChars="300" w:left="720"/>
        <w:jc w:val="both"/>
      </w:pPr>
      <w:r w:rsidRPr="00C1289A">
        <w:rPr>
          <w:rFonts w:ascii="Times New Roman" w:hAnsi="Times New Roman" w:hint="eastAsia"/>
          <w:b/>
          <w:color w:val="FF0000"/>
          <w:sz w:val="20"/>
          <w:szCs w:val="20"/>
          <w:highlight w:val="yellow"/>
          <w:bdr w:val="single" w:sz="4" w:space="0" w:color="auto"/>
        </w:rPr>
        <w:t>B</w:t>
      </w:r>
      <w:r w:rsidR="00AA120F" w:rsidRPr="00C1289A">
        <w:rPr>
          <w:rFonts w:hint="eastAsia"/>
          <w:b/>
          <w:color w:val="FF0000"/>
          <w:sz w:val="20"/>
          <w:szCs w:val="20"/>
          <w:highlight w:val="yellow"/>
          <w:bdr w:val="single" w:sz="4" w:space="0" w:color="auto"/>
        </w:rPr>
        <w:t>、</w:t>
      </w:r>
      <w:r w:rsidR="00C1289A">
        <w:rPr>
          <w:rFonts w:hint="eastAsia"/>
          <w:b/>
          <w:color w:val="FF0000"/>
          <w:sz w:val="20"/>
          <w:szCs w:val="20"/>
          <w:highlight w:val="yellow"/>
          <w:bdr w:val="single" w:sz="4" w:space="0" w:color="auto"/>
        </w:rPr>
        <w:t>印順法師的評難</w:t>
      </w:r>
      <w:r w:rsidR="00AA120F" w:rsidRPr="00DA3BC7">
        <w:rPr>
          <w:sz w:val="20"/>
          <w:szCs w:val="20"/>
        </w:rPr>
        <w:t>（</w:t>
      </w:r>
      <w:r w:rsidR="00AA120F" w:rsidRPr="00DA3BC7">
        <w:rPr>
          <w:rFonts w:ascii="Times New Roman" w:hAnsi="Times New Roman"/>
          <w:sz w:val="20"/>
          <w:szCs w:val="20"/>
        </w:rPr>
        <w:t>pp</w:t>
      </w:r>
      <w:r w:rsidR="00AA120F" w:rsidRPr="00DA3BC7">
        <w:rPr>
          <w:sz w:val="20"/>
          <w:szCs w:val="20"/>
        </w:rPr>
        <w:t>.</w:t>
      </w:r>
      <w:r w:rsidR="00AA120F" w:rsidRPr="00DA3BC7">
        <w:rPr>
          <w:rFonts w:ascii="Times New Roman" w:hAnsi="Times New Roman"/>
          <w:sz w:val="20"/>
          <w:szCs w:val="20"/>
        </w:rPr>
        <w:t>133</w:t>
      </w:r>
      <w:r w:rsidR="00AA120F" w:rsidRPr="00DA3BC7">
        <w:rPr>
          <w:sz w:val="20"/>
          <w:szCs w:val="20"/>
        </w:rPr>
        <w:t>-</w:t>
      </w:r>
      <w:r w:rsidR="00AA120F" w:rsidRPr="00DA3BC7">
        <w:rPr>
          <w:rFonts w:ascii="Times New Roman" w:hAnsi="Times New Roman"/>
          <w:sz w:val="20"/>
          <w:szCs w:val="20"/>
        </w:rPr>
        <w:t>13</w:t>
      </w:r>
      <w:r w:rsidR="00C1289A">
        <w:rPr>
          <w:rFonts w:ascii="Times New Roman" w:hAnsi="Times New Roman" w:hint="eastAsia"/>
          <w:sz w:val="20"/>
          <w:szCs w:val="20"/>
        </w:rPr>
        <w:t>4</w:t>
      </w:r>
      <w:r w:rsidR="00AA120F" w:rsidRPr="00DA3BC7">
        <w:rPr>
          <w:sz w:val="20"/>
          <w:szCs w:val="20"/>
        </w:rPr>
        <w:t>）</w:t>
      </w:r>
    </w:p>
    <w:p w:rsidR="00AA120F" w:rsidRPr="00DA3BC7" w:rsidRDefault="00AA120F" w:rsidP="002E5DD4">
      <w:pPr>
        <w:ind w:leftChars="300" w:left="720"/>
        <w:jc w:val="both"/>
        <w:rPr>
          <w:rFonts w:ascii="新細明體" w:hAnsi="新細明體"/>
        </w:rPr>
      </w:pPr>
      <w:r w:rsidRPr="00DA3BC7">
        <w:rPr>
          <w:rFonts w:ascii="新細明體" w:hAnsi="新細明體" w:hint="eastAsia"/>
        </w:rPr>
        <w:t>佛法即不同他們所說的：一切法依緣和合而幻現自性亂相，認識即以認識的無始自性執，緣彼自性亂相，</w:t>
      </w:r>
      <w:r w:rsidRPr="00DA3BC7">
        <w:rPr>
          <w:rFonts w:hAnsi="新細明體"/>
        </w:rPr>
        <w:t>於是能所交織</w:t>
      </w:r>
      <w:r w:rsidRPr="00DA3BC7">
        <w:rPr>
          <w:rStyle w:val="a6"/>
          <w:rFonts w:ascii="Times New Roman" w:hAnsi="Times New Roman"/>
        </w:rPr>
        <w:footnoteReference w:id="630"/>
      </w:r>
      <w:r w:rsidRPr="00DA3BC7">
        <w:rPr>
          <w:rFonts w:hAnsi="新細明體"/>
        </w:rPr>
        <w:t>，</w:t>
      </w:r>
      <w:r w:rsidRPr="00DA3BC7">
        <w:rPr>
          <w:rFonts w:ascii="新細明體" w:hAnsi="新細明體" w:hint="eastAsia"/>
        </w:rPr>
        <w:t>構成錯誤。在根識──即感性的直觀前境，不能理解緣起如幻，取實有自性相。因此，意識的思惟推比，雖了解為動的，而由於錯誤的自性見，到底推論所得的結果，也陷於不動的錯誤。</w:t>
      </w:r>
    </w:p>
    <w:p w:rsidR="00AA120F" w:rsidRPr="00DA3BC7" w:rsidRDefault="00AA120F" w:rsidP="00AE3920">
      <w:pPr>
        <w:spacing w:beforeLines="20"/>
        <w:ind w:leftChars="300" w:left="720"/>
        <w:jc w:val="both"/>
        <w:rPr>
          <w:rFonts w:ascii="新細明體" w:hAnsi="新細明體"/>
        </w:rPr>
      </w:pPr>
      <w:r w:rsidRPr="00DA3BC7">
        <w:rPr>
          <w:rFonts w:ascii="新細明體" w:hAnsi="新細明體" w:hint="eastAsia"/>
        </w:rPr>
        <w:t>因為一有自性妄見，如</w:t>
      </w:r>
      <w:r w:rsidRPr="00DA3BC7">
        <w:rPr>
          <w:rFonts w:ascii="新細明體" w:hAnsi="新細明體" w:hint="eastAsia"/>
          <w:b/>
        </w:rPr>
        <w:t>運動上</w:t>
      </w:r>
      <w:r w:rsidRPr="00DA3BC7">
        <w:rPr>
          <w:rFonts w:ascii="新細明體" w:hAnsi="新細明體" w:hint="eastAsia"/>
        </w:rPr>
        <w:t>的去來，</w:t>
      </w:r>
    </w:p>
    <w:p w:rsidR="00AA120F" w:rsidRPr="00DA3BC7" w:rsidRDefault="00AA120F" w:rsidP="00AE3920">
      <w:pPr>
        <w:spacing w:beforeLines="20"/>
        <w:ind w:leftChars="300" w:left="720"/>
        <w:jc w:val="both"/>
        <w:rPr>
          <w:rFonts w:ascii="新細明體" w:hAnsi="新細明體"/>
        </w:rPr>
      </w:pPr>
      <w:r w:rsidRPr="00DA3BC7">
        <w:rPr>
          <w:rFonts w:ascii="新細明體" w:hAnsi="新細明體" w:hint="eastAsia"/>
        </w:rPr>
        <w:t>在</w:t>
      </w:r>
      <w:r w:rsidRPr="00DA3BC7">
        <w:rPr>
          <w:rFonts w:ascii="新細明體" w:hAnsi="新細明體" w:hint="eastAsia"/>
          <w:b/>
        </w:rPr>
        <w:t>空間上</w:t>
      </w:r>
      <w:r w:rsidRPr="00DA3BC7">
        <w:rPr>
          <w:rFonts w:ascii="新細明體" w:hAnsi="新細明體" w:hint="eastAsia"/>
        </w:rPr>
        <w:t>將空間推析為一點一點的極微點，即不能成立動的去來相</w:t>
      </w:r>
      <w:r w:rsidR="00C1289A">
        <w:rPr>
          <w:rFonts w:ascii="新細明體" w:hAnsi="新細明體" w:hint="eastAsia"/>
          <w:color w:val="FF0000"/>
          <w:highlight w:val="yellow"/>
        </w:rPr>
        <w:t>；</w:t>
      </w:r>
    </w:p>
    <w:p w:rsidR="00AA120F" w:rsidRPr="00DA3BC7" w:rsidRDefault="00AA120F" w:rsidP="00AE3920">
      <w:pPr>
        <w:spacing w:beforeLines="20"/>
        <w:ind w:leftChars="300" w:left="720"/>
        <w:jc w:val="both"/>
        <w:rPr>
          <w:rFonts w:ascii="新細明體" w:hAnsi="新細明體"/>
        </w:rPr>
      </w:pPr>
      <w:r w:rsidRPr="00DA3BC7">
        <w:rPr>
          <w:rFonts w:ascii="新細明體" w:hAnsi="新細明體" w:hint="eastAsia"/>
        </w:rPr>
        <w:t>在</w:t>
      </w:r>
      <w:r w:rsidRPr="00DA3BC7">
        <w:rPr>
          <w:rFonts w:ascii="新細明體" w:hAnsi="新細明體" w:hint="eastAsia"/>
          <w:b/>
        </w:rPr>
        <w:t>時間上</w:t>
      </w:r>
      <w:r w:rsidRPr="00DA3BC7">
        <w:rPr>
          <w:rFonts w:ascii="新細明體" w:hAnsi="新細明體" w:hint="eastAsia"/>
        </w:rPr>
        <w:t>分析至最短的剎那點，前剎那不是後一剎那，前後各住自性，也無從建立運動。</w:t>
      </w:r>
    </w:p>
    <w:p w:rsidR="00AA120F" w:rsidRPr="00DA3BC7" w:rsidRDefault="00AA120F" w:rsidP="00AE3920">
      <w:pPr>
        <w:spacing w:beforeLines="20"/>
        <w:ind w:leftChars="300" w:left="720"/>
        <w:jc w:val="both"/>
      </w:pPr>
      <w:r w:rsidRPr="00DA3BC7">
        <w:rPr>
          <w:rFonts w:ascii="新細明體" w:hAnsi="新細明體" w:hint="eastAsia"/>
          <w:b/>
        </w:rPr>
        <w:t>空間</w:t>
      </w:r>
      <w:r w:rsidRPr="00DA3BC7">
        <w:rPr>
          <w:rFonts w:ascii="新細明體" w:hAnsi="新細明體" w:hint="eastAsia"/>
        </w:rPr>
        <w:t>的無方極微，</w:t>
      </w:r>
      <w:r w:rsidRPr="00DA3BC7">
        <w:rPr>
          <w:rFonts w:ascii="新細明體" w:hAnsi="新細明體" w:hint="eastAsia"/>
          <w:b/>
        </w:rPr>
        <w:t>時間</w:t>
      </w:r>
      <w:r w:rsidRPr="00DA3BC7">
        <w:rPr>
          <w:rFonts w:ascii="新細明體" w:hAnsi="新細明體" w:hint="eastAsia"/>
        </w:rPr>
        <w:t>上的無分剎那，都不過自性妄見的產物。</w:t>
      </w:r>
    </w:p>
    <w:p w:rsidR="00AA120F" w:rsidRPr="00DA3BC7" w:rsidRDefault="00AA120F" w:rsidP="002E5DD4">
      <w:pPr>
        <w:ind w:leftChars="300" w:left="720"/>
        <w:jc w:val="both"/>
        <w:rPr>
          <w:rFonts w:ascii="新細明體" w:hAnsi="新細明體"/>
        </w:rPr>
      </w:pPr>
      <w:r w:rsidRPr="00DA3BC7">
        <w:rPr>
          <w:rFonts w:ascii="新細明體" w:hAnsi="新細明體" w:hint="eastAsia"/>
        </w:rPr>
        <w:t>故有以為在時間、空間的每一點，即失運動相，是顛倒的</w:t>
      </w:r>
      <w:r w:rsidR="00C1289A">
        <w:rPr>
          <w:rFonts w:ascii="新細明體" w:hAnsi="新細明體" w:hint="eastAsia"/>
          <w:color w:val="FF0000"/>
          <w:highlight w:val="yellow"/>
        </w:rPr>
        <w:t>；</w:t>
      </w:r>
    </w:p>
    <w:p w:rsidR="00AA120F" w:rsidRPr="00DA3BC7" w:rsidRDefault="00AA120F" w:rsidP="00AE3920">
      <w:pPr>
        <w:spacing w:beforeLines="20"/>
        <w:ind w:leftChars="300" w:left="720"/>
        <w:jc w:val="both"/>
        <w:rPr>
          <w:rFonts w:ascii="新細明體" w:hAnsi="新細明體"/>
        </w:rPr>
      </w:pPr>
      <w:r w:rsidRPr="00DA3BC7">
        <w:rPr>
          <w:rFonts w:ascii="新細明體" w:hAnsi="新細明體" w:hint="eastAsia"/>
        </w:rPr>
        <w:t>不知無有</w:t>
      </w:r>
      <w:r w:rsidRPr="00DA3BC7">
        <w:rPr>
          <w:rFonts w:ascii="新細明體" w:hAnsi="新細明體" w:hint="eastAsia"/>
          <w:b/>
        </w:rPr>
        <w:t>空間的存在</w:t>
      </w:r>
      <w:r w:rsidRPr="00DA3BC7">
        <w:rPr>
          <w:rFonts w:ascii="新細明體" w:hAnsi="新細明體" w:hint="eastAsia"/>
        </w:rPr>
        <w:t>而不</w:t>
      </w:r>
      <w:r w:rsidRPr="00DA3BC7">
        <w:rPr>
          <w:rFonts w:ascii="新細明體" w:hAnsi="新細明體" w:hint="eastAsia"/>
          <w:b/>
        </w:rPr>
        <w:t>在此又在彼</w:t>
      </w:r>
      <w:r w:rsidRPr="00DA3BC7">
        <w:rPr>
          <w:rFonts w:ascii="新細明體" w:hAnsi="新細明體" w:hint="eastAsia"/>
        </w:rPr>
        <w:t>的──</w:t>
      </w:r>
      <w:r w:rsidRPr="00DA3BC7">
        <w:rPr>
          <w:rFonts w:hAnsi="新細明體"/>
        </w:rPr>
        <w:t>彼此即方分</w:t>
      </w:r>
      <w:r w:rsidRPr="00DA3BC7">
        <w:rPr>
          <w:rStyle w:val="a6"/>
          <w:rFonts w:ascii="Times New Roman" w:hAnsi="Times New Roman"/>
        </w:rPr>
        <w:footnoteReference w:id="631"/>
      </w:r>
      <w:r w:rsidRPr="00DA3BC7">
        <w:rPr>
          <w:rFonts w:hAnsi="新細明體"/>
        </w:rPr>
        <w:t>相</w:t>
      </w:r>
      <w:r w:rsidR="00C1289A">
        <w:rPr>
          <w:rFonts w:ascii="新細明體" w:hAnsi="新細明體" w:hint="eastAsia"/>
          <w:color w:val="FF0000"/>
          <w:highlight w:val="yellow"/>
        </w:rPr>
        <w:t>，</w:t>
      </w:r>
    </w:p>
    <w:p w:rsidR="00AA120F" w:rsidRPr="00DA3BC7" w:rsidRDefault="00AA120F" w:rsidP="00FC75B7">
      <w:pPr>
        <w:ind w:leftChars="500" w:left="1200"/>
        <w:jc w:val="both"/>
        <w:rPr>
          <w:rFonts w:ascii="新細明體" w:hAnsi="新細明體"/>
        </w:rPr>
      </w:pPr>
      <w:r w:rsidRPr="00DA3BC7">
        <w:rPr>
          <w:rFonts w:ascii="新細明體" w:hAnsi="新細明體" w:hint="eastAsia"/>
        </w:rPr>
        <w:t>無有</w:t>
      </w:r>
      <w:r w:rsidRPr="00DA3BC7">
        <w:rPr>
          <w:rFonts w:ascii="新細明體" w:hAnsi="新細明體" w:hint="eastAsia"/>
          <w:b/>
        </w:rPr>
        <w:t>時間的存在</w:t>
      </w:r>
      <w:r w:rsidRPr="00DA3BC7">
        <w:rPr>
          <w:rFonts w:ascii="新細明體" w:hAnsi="新細明體" w:hint="eastAsia"/>
        </w:rPr>
        <w:t>而沒</w:t>
      </w:r>
      <w:r w:rsidRPr="00DA3BC7">
        <w:rPr>
          <w:rFonts w:ascii="新細明體" w:hAnsi="新細明體" w:hint="eastAsia"/>
          <w:b/>
        </w:rPr>
        <w:t>有前後相</w:t>
      </w:r>
      <w:r w:rsidRPr="00DA3BC7">
        <w:rPr>
          <w:rFonts w:ascii="新細明體" w:hAnsi="新細明體" w:hint="eastAsia"/>
        </w:rPr>
        <w:t>的──前後即延續相。</w:t>
      </w:r>
    </w:p>
    <w:p w:rsidR="00AA120F" w:rsidRPr="00DA3BC7" w:rsidRDefault="00AA120F" w:rsidP="00AE3920">
      <w:pPr>
        <w:spacing w:beforeLines="20"/>
        <w:ind w:leftChars="300" w:left="720"/>
        <w:jc w:val="both"/>
      </w:pPr>
      <w:r w:rsidRPr="00DA3BC7">
        <w:rPr>
          <w:rFonts w:ascii="新細明體" w:hAnsi="新細明體" w:hint="eastAsia"/>
        </w:rPr>
        <w:t>以緣起如幻而觀一切時間中的運動，是無有不能成立的。</w:t>
      </w:r>
    </w:p>
    <w:p w:rsidR="00C1289A" w:rsidRPr="00DA3BC7" w:rsidRDefault="00C1289A" w:rsidP="00AE3920">
      <w:pPr>
        <w:spacing w:beforeLines="30"/>
        <w:ind w:leftChars="250" w:left="600"/>
        <w:jc w:val="both"/>
      </w:pPr>
      <w:r w:rsidRPr="00C41F21">
        <w:rPr>
          <w:rFonts w:hAnsi="新細明體"/>
          <w:b/>
          <w:color w:val="FF0000"/>
          <w:sz w:val="20"/>
          <w:szCs w:val="20"/>
          <w:highlight w:val="yellow"/>
          <w:bdr w:val="single" w:sz="4" w:space="0" w:color="auto"/>
        </w:rPr>
        <w:t>（</w:t>
      </w:r>
      <w:r w:rsidRPr="00C1289A">
        <w:rPr>
          <w:rFonts w:ascii="Times New Roman" w:hAnsi="Times New Roman" w:hint="eastAsia"/>
          <w:b/>
          <w:color w:val="FF0000"/>
          <w:sz w:val="20"/>
          <w:szCs w:val="20"/>
          <w:highlight w:val="yellow"/>
          <w:bdr w:val="single" w:sz="4" w:space="0" w:color="auto"/>
        </w:rPr>
        <w:t>2</w:t>
      </w:r>
      <w:r w:rsidRPr="00C41F21">
        <w:rPr>
          <w:rFonts w:hAnsi="新細明體"/>
          <w:b/>
          <w:color w:val="FF0000"/>
          <w:sz w:val="20"/>
          <w:szCs w:val="20"/>
          <w:highlight w:val="yellow"/>
          <w:bdr w:val="single" w:sz="4" w:space="0" w:color="auto"/>
        </w:rPr>
        <w:t>）</w:t>
      </w:r>
      <w:r>
        <w:rPr>
          <w:rFonts w:hAnsi="新細明體" w:hint="eastAsia"/>
          <w:b/>
          <w:color w:val="FF0000"/>
          <w:sz w:val="20"/>
          <w:szCs w:val="20"/>
          <w:highlight w:val="yellow"/>
          <w:bdr w:val="single" w:sz="4" w:space="0" w:color="auto"/>
        </w:rPr>
        <w:t>破「本體實住而現動」</w:t>
      </w:r>
      <w:r w:rsidRPr="00DA3BC7">
        <w:rPr>
          <w:rFonts w:hAnsi="新細明體"/>
          <w:sz w:val="20"/>
          <w:szCs w:val="20"/>
        </w:rPr>
        <w:t>（</w:t>
      </w:r>
      <w:r w:rsidRPr="00DA3BC7">
        <w:rPr>
          <w:rFonts w:ascii="Times New Roman" w:hAnsi="Times New Roman"/>
          <w:sz w:val="20"/>
          <w:szCs w:val="20"/>
        </w:rPr>
        <w:t>p</w:t>
      </w:r>
      <w:r w:rsidRPr="00DA3BC7">
        <w:rPr>
          <w:rFonts w:ascii="Times New Roman" w:hAnsi="Times New Roman" w:hint="eastAsia"/>
          <w:sz w:val="20"/>
          <w:szCs w:val="20"/>
        </w:rPr>
        <w:t>p</w:t>
      </w:r>
      <w:r w:rsidRPr="00DA3BC7">
        <w:rPr>
          <w:sz w:val="20"/>
          <w:szCs w:val="20"/>
        </w:rPr>
        <w:t>.</w:t>
      </w:r>
      <w:r w:rsidRPr="00DA3BC7">
        <w:rPr>
          <w:rFonts w:ascii="Times New Roman" w:hAnsi="Times New Roman"/>
          <w:sz w:val="20"/>
          <w:szCs w:val="20"/>
        </w:rPr>
        <w:t>13</w:t>
      </w:r>
      <w:r w:rsidRPr="00DA3BC7">
        <w:rPr>
          <w:rFonts w:ascii="Times New Roman" w:hAnsi="Times New Roman" w:hint="eastAsia"/>
          <w:sz w:val="20"/>
          <w:szCs w:val="20"/>
        </w:rPr>
        <w:t>4</w:t>
      </w:r>
      <w:r w:rsidRPr="00DA3BC7">
        <w:rPr>
          <w:rFonts w:hint="eastAsia"/>
          <w:sz w:val="20"/>
          <w:szCs w:val="20"/>
        </w:rPr>
        <w:t>-</w:t>
      </w:r>
      <w:r w:rsidRPr="00DA3BC7">
        <w:rPr>
          <w:rFonts w:ascii="Times New Roman" w:hAnsi="Times New Roman" w:hint="eastAsia"/>
          <w:sz w:val="20"/>
          <w:szCs w:val="20"/>
        </w:rPr>
        <w:t>135</w:t>
      </w:r>
      <w:r w:rsidRPr="00DA3BC7">
        <w:rPr>
          <w:rFonts w:hAnsi="新細明體"/>
          <w:sz w:val="20"/>
          <w:szCs w:val="20"/>
        </w:rPr>
        <w:t>）</w:t>
      </w:r>
    </w:p>
    <w:p w:rsidR="00AA120F" w:rsidRPr="00DA3BC7" w:rsidRDefault="00C1289A" w:rsidP="002E5DD4">
      <w:pPr>
        <w:ind w:leftChars="300" w:left="720"/>
        <w:jc w:val="both"/>
        <w:rPr>
          <w:b/>
        </w:rPr>
      </w:pPr>
      <w:r w:rsidRPr="00C1289A">
        <w:rPr>
          <w:rFonts w:ascii="Times New Roman" w:hAnsi="Times New Roman" w:hint="eastAsia"/>
          <w:b/>
          <w:color w:val="FF0000"/>
          <w:sz w:val="20"/>
          <w:szCs w:val="20"/>
          <w:highlight w:val="yellow"/>
          <w:bdr w:val="single" w:sz="4" w:space="0" w:color="auto"/>
        </w:rPr>
        <w:t>A</w:t>
      </w:r>
      <w:r w:rsidR="00AA120F" w:rsidRPr="00C1289A">
        <w:rPr>
          <w:rFonts w:hAnsi="新細明體" w:hint="eastAsia"/>
          <w:b/>
          <w:color w:val="FF0000"/>
          <w:sz w:val="20"/>
          <w:szCs w:val="20"/>
          <w:highlight w:val="yellow"/>
          <w:bdr w:val="single" w:sz="4" w:space="0" w:color="auto"/>
        </w:rPr>
        <w:t>、</w:t>
      </w:r>
      <w:r w:rsidR="00AA120F" w:rsidRPr="00DA3BC7">
        <w:rPr>
          <w:rFonts w:hAnsi="新細明體" w:hint="eastAsia"/>
          <w:b/>
          <w:sz w:val="20"/>
          <w:szCs w:val="20"/>
          <w:bdr w:val="single" w:sz="4" w:space="0" w:color="auto"/>
        </w:rPr>
        <w:t>外人的見解</w:t>
      </w:r>
      <w:r w:rsidR="00AA120F" w:rsidRPr="00DA3BC7">
        <w:rPr>
          <w:rFonts w:hAnsi="新細明體"/>
          <w:sz w:val="20"/>
          <w:szCs w:val="20"/>
        </w:rPr>
        <w:t>（</w:t>
      </w:r>
      <w:r w:rsidR="00AA120F" w:rsidRPr="00DA3BC7">
        <w:rPr>
          <w:rFonts w:ascii="Times New Roman" w:hAnsi="Times New Roman"/>
          <w:sz w:val="20"/>
          <w:szCs w:val="20"/>
        </w:rPr>
        <w:t>p</w:t>
      </w:r>
      <w:r w:rsidR="00AA120F" w:rsidRPr="00DA3BC7">
        <w:rPr>
          <w:sz w:val="20"/>
          <w:szCs w:val="20"/>
        </w:rPr>
        <w:t>.</w:t>
      </w:r>
      <w:r w:rsidR="00AA120F" w:rsidRPr="00DA3BC7">
        <w:rPr>
          <w:rFonts w:ascii="Times New Roman" w:hAnsi="Times New Roman"/>
          <w:sz w:val="20"/>
          <w:szCs w:val="20"/>
        </w:rPr>
        <w:t>13</w:t>
      </w:r>
      <w:r w:rsidR="00AA120F" w:rsidRPr="00DA3BC7">
        <w:rPr>
          <w:rFonts w:ascii="Times New Roman" w:hAnsi="Times New Roman" w:hint="eastAsia"/>
          <w:sz w:val="20"/>
          <w:szCs w:val="20"/>
        </w:rPr>
        <w:t>4</w:t>
      </w:r>
      <w:r w:rsidR="00AA120F" w:rsidRPr="00DA3BC7">
        <w:rPr>
          <w:rFonts w:hAnsi="新細明體"/>
          <w:sz w:val="20"/>
          <w:szCs w:val="20"/>
        </w:rPr>
        <w:t>）</w:t>
      </w:r>
    </w:p>
    <w:p w:rsidR="00AA120F" w:rsidRPr="00DA3BC7" w:rsidRDefault="00AA120F" w:rsidP="002E5DD4">
      <w:pPr>
        <w:ind w:leftChars="300" w:left="720"/>
        <w:jc w:val="both"/>
      </w:pPr>
      <w:r w:rsidRPr="00DA3BC7">
        <w:rPr>
          <w:rFonts w:ascii="新細明體" w:hAnsi="新細明體" w:hint="eastAsia"/>
        </w:rPr>
        <w:t>有的說：從甲到乙的運動，勢必先通過甲乙中間的丙；從甲至丙的中間，又須先通過甲丙中間的丁，從甲至丁又須先通過戊。這樣，由甲</w:t>
      </w:r>
      <w:r w:rsidRPr="00DA3BC7">
        <w:rPr>
          <w:rFonts w:ascii="新細明體" w:hAnsi="新細明體" w:hint="eastAsia"/>
        </w:rPr>
        <w:lastRenderedPageBreak/>
        <w:t>至乙中間實有無量的位數序</w:t>
      </w:r>
      <w:r w:rsidRPr="00DA3BC7">
        <w:rPr>
          <w:rFonts w:hAnsi="新細明體"/>
        </w:rPr>
        <w:t>列</w:t>
      </w:r>
      <w:r w:rsidRPr="00DA3BC7">
        <w:rPr>
          <w:rStyle w:val="a6"/>
          <w:rFonts w:ascii="Times New Roman" w:hAnsi="Times New Roman"/>
        </w:rPr>
        <w:footnoteReference w:id="632"/>
      </w:r>
      <w:r w:rsidRPr="00DA3BC7">
        <w:rPr>
          <w:rFonts w:hAnsi="新細明體"/>
        </w:rPr>
        <w:t>，</w:t>
      </w:r>
      <w:r w:rsidRPr="00DA3BC7">
        <w:rPr>
          <w:rFonts w:ascii="新細明體" w:hAnsi="新細明體" w:hint="eastAsia"/>
        </w:rPr>
        <w:t>即從甲至乙，永不能到達，即一切的運動不成。所以本體實是不動的，動不過是錯亂的現象。</w:t>
      </w:r>
    </w:p>
    <w:p w:rsidR="00AA120F" w:rsidRPr="00DA3BC7" w:rsidRDefault="00C1289A" w:rsidP="00AE3920">
      <w:pPr>
        <w:spacing w:beforeLines="30"/>
        <w:ind w:leftChars="300" w:left="720"/>
        <w:jc w:val="both"/>
        <w:rPr>
          <w:rFonts w:hAnsi="新細明體"/>
          <w:b/>
          <w:sz w:val="20"/>
          <w:szCs w:val="20"/>
          <w:bdr w:val="single" w:sz="4" w:space="0" w:color="auto"/>
        </w:rPr>
      </w:pPr>
      <w:r w:rsidRPr="00C1289A">
        <w:rPr>
          <w:rFonts w:ascii="Times New Roman" w:hAnsi="Times New Roman" w:hint="eastAsia"/>
          <w:b/>
          <w:color w:val="FF0000"/>
          <w:sz w:val="20"/>
          <w:szCs w:val="20"/>
          <w:highlight w:val="yellow"/>
          <w:bdr w:val="single" w:sz="4" w:space="0" w:color="auto"/>
        </w:rPr>
        <w:t>B</w:t>
      </w:r>
      <w:r w:rsidR="00AA120F" w:rsidRPr="00C1289A">
        <w:rPr>
          <w:rFonts w:hAnsi="新細明體" w:hint="eastAsia"/>
          <w:b/>
          <w:color w:val="FF0000"/>
          <w:sz w:val="20"/>
          <w:szCs w:val="20"/>
          <w:highlight w:val="yellow"/>
          <w:bdr w:val="single" w:sz="4" w:space="0" w:color="auto"/>
        </w:rPr>
        <w:t>、</w:t>
      </w:r>
      <w:r w:rsidR="00AA120F" w:rsidRPr="00DA3BC7">
        <w:rPr>
          <w:rFonts w:hAnsi="新細明體" w:hint="eastAsia"/>
          <w:b/>
          <w:sz w:val="20"/>
          <w:szCs w:val="20"/>
          <w:bdr w:val="single" w:sz="4" w:space="0" w:color="auto"/>
        </w:rPr>
        <w:t>印順法師評</w:t>
      </w:r>
      <w:r w:rsidR="00AA120F" w:rsidRPr="00DA3BC7">
        <w:rPr>
          <w:rFonts w:hAnsi="新細明體"/>
          <w:sz w:val="20"/>
          <w:szCs w:val="20"/>
        </w:rPr>
        <w:t>（</w:t>
      </w:r>
      <w:r w:rsidR="00AA120F" w:rsidRPr="00DA3BC7">
        <w:rPr>
          <w:rFonts w:ascii="Times New Roman" w:hAnsi="Times New Roman"/>
          <w:sz w:val="20"/>
          <w:szCs w:val="20"/>
        </w:rPr>
        <w:t>p</w:t>
      </w:r>
      <w:r w:rsidR="00AA120F" w:rsidRPr="00DA3BC7">
        <w:rPr>
          <w:rFonts w:ascii="Times New Roman" w:hAnsi="Times New Roman" w:hint="eastAsia"/>
          <w:sz w:val="20"/>
          <w:szCs w:val="20"/>
        </w:rPr>
        <w:t>p</w:t>
      </w:r>
      <w:r w:rsidR="00AA120F" w:rsidRPr="00DA3BC7">
        <w:rPr>
          <w:sz w:val="20"/>
          <w:szCs w:val="20"/>
        </w:rPr>
        <w:t>.</w:t>
      </w:r>
      <w:r w:rsidR="00AA120F" w:rsidRPr="00DA3BC7">
        <w:rPr>
          <w:rFonts w:ascii="Times New Roman" w:hAnsi="Times New Roman"/>
          <w:sz w:val="20"/>
          <w:szCs w:val="20"/>
        </w:rPr>
        <w:t>13</w:t>
      </w:r>
      <w:r w:rsidR="00AA120F" w:rsidRPr="00DA3BC7">
        <w:rPr>
          <w:rFonts w:ascii="Times New Roman" w:hAnsi="Times New Roman" w:hint="eastAsia"/>
          <w:sz w:val="20"/>
          <w:szCs w:val="20"/>
        </w:rPr>
        <w:t>4</w:t>
      </w:r>
      <w:r w:rsidR="00AA120F" w:rsidRPr="00DA3BC7">
        <w:rPr>
          <w:rFonts w:hint="eastAsia"/>
          <w:sz w:val="20"/>
          <w:szCs w:val="20"/>
        </w:rPr>
        <w:t>-</w:t>
      </w:r>
      <w:r w:rsidR="00AA120F" w:rsidRPr="00DA3BC7">
        <w:rPr>
          <w:rFonts w:ascii="Times New Roman" w:hAnsi="Times New Roman" w:hint="eastAsia"/>
          <w:sz w:val="20"/>
          <w:szCs w:val="20"/>
        </w:rPr>
        <w:t>135</w:t>
      </w:r>
      <w:r w:rsidR="00AA120F" w:rsidRPr="00DA3BC7">
        <w:rPr>
          <w:rFonts w:hAnsi="新細明體"/>
          <w:sz w:val="20"/>
          <w:szCs w:val="20"/>
        </w:rPr>
        <w:t>）</w:t>
      </w:r>
    </w:p>
    <w:p w:rsidR="00AA120F" w:rsidRPr="00DA3BC7" w:rsidRDefault="00AA120F" w:rsidP="002E5DD4">
      <w:pPr>
        <w:ind w:leftChars="300" w:left="720"/>
        <w:jc w:val="both"/>
        <w:rPr>
          <w:rFonts w:ascii="新細明體" w:hAnsi="新細明體"/>
        </w:rPr>
      </w:pPr>
      <w:r w:rsidRPr="00DA3BC7">
        <w:rPr>
          <w:rFonts w:ascii="新細明體" w:hAnsi="新細明體" w:hint="eastAsia"/>
        </w:rPr>
        <w:t>這是極端錯誤的！他為自性</w:t>
      </w:r>
      <w:r w:rsidRPr="00DA3BC7">
        <w:rPr>
          <w:rFonts w:hAnsi="新細明體"/>
        </w:rPr>
        <w:t>見所愚蔽</w:t>
      </w:r>
      <w:r w:rsidRPr="00DA3BC7">
        <w:rPr>
          <w:rStyle w:val="a6"/>
          <w:rFonts w:ascii="Times New Roman" w:hAnsi="Times New Roman"/>
        </w:rPr>
        <w:footnoteReference w:id="633"/>
      </w:r>
      <w:r w:rsidRPr="00DA3BC7">
        <w:rPr>
          <w:rFonts w:hAnsi="新細明體"/>
        </w:rPr>
        <w:t>，</w:t>
      </w:r>
      <w:r w:rsidRPr="00DA3BC7">
        <w:rPr>
          <w:rFonts w:ascii="新細明體" w:hAnsi="新細明體" w:hint="eastAsia"/>
        </w:rPr>
        <w:t>忽略了從甲至乙的運動者不是抽象的，本身是</w:t>
      </w:r>
      <w:r w:rsidRPr="00DA3BC7">
        <w:rPr>
          <w:rFonts w:ascii="新細明體" w:hAnsi="新細明體" w:hint="eastAsia"/>
          <w:b/>
        </w:rPr>
        <w:t>空間的活動者，是有體積的方分相</w:t>
      </w:r>
      <w:r w:rsidRPr="00DA3BC7">
        <w:rPr>
          <w:rFonts w:ascii="新細明體" w:hAnsi="新細明體" w:hint="eastAsia"/>
        </w:rPr>
        <w:t>；是</w:t>
      </w:r>
      <w:r w:rsidRPr="00DA3BC7">
        <w:rPr>
          <w:rFonts w:ascii="新細明體" w:hAnsi="新細明體" w:hint="eastAsia"/>
          <w:b/>
        </w:rPr>
        <w:t>時間的活動者，是有延續前後相</w:t>
      </w:r>
      <w:r w:rsidRPr="00DA3BC7">
        <w:rPr>
          <w:rFonts w:ascii="新細明體" w:hAnsi="新細明體" w:hint="eastAsia"/>
        </w:rPr>
        <w:t>的。從甲至乙的</w:t>
      </w:r>
      <w:r w:rsidRPr="00DA3BC7">
        <w:rPr>
          <w:rFonts w:ascii="新細明體" w:hAnsi="新細明體" w:hint="eastAsia"/>
          <w:b/>
        </w:rPr>
        <w:t>運動者，本身即佔有時間與空間，本身也是有無限位數序列的</w:t>
      </w:r>
      <w:r w:rsidRPr="00DA3BC7">
        <w:rPr>
          <w:rFonts w:ascii="新細明體" w:hAnsi="新細明體" w:hint="eastAsia"/>
        </w:rPr>
        <w:t>。</w:t>
      </w:r>
    </w:p>
    <w:p w:rsidR="00AA120F" w:rsidRPr="00DA3BC7" w:rsidRDefault="00AA120F" w:rsidP="00AE3920">
      <w:pPr>
        <w:spacing w:beforeLines="20"/>
        <w:ind w:leftChars="300" w:left="720"/>
        <w:jc w:val="both"/>
        <w:rPr>
          <w:rFonts w:ascii="新細明體" w:hAnsi="新細明體"/>
        </w:rPr>
      </w:pPr>
      <w:r w:rsidRPr="00DA3BC7">
        <w:rPr>
          <w:rFonts w:ascii="新細明體" w:hAnsi="新細明體" w:hint="eastAsia"/>
        </w:rPr>
        <w:t>這樣，甲與乙間的無限位數序列，與去者自身的無限位數序列相對消，即等於沒有。甲乙間的有限長度，與去者的有限長度相比算，則從此至彼，成為有限量的，有限量即可能達到。</w:t>
      </w:r>
    </w:p>
    <w:p w:rsidR="00AA120F" w:rsidRPr="00DA3BC7" w:rsidRDefault="00AA120F" w:rsidP="00AE3920">
      <w:pPr>
        <w:spacing w:beforeLines="20"/>
        <w:ind w:leftChars="300" w:left="720"/>
        <w:jc w:val="both"/>
        <w:rPr>
          <w:rFonts w:ascii="新細明體" w:hAnsi="新細明體"/>
        </w:rPr>
      </w:pPr>
      <w:r w:rsidRPr="00DA3BC7">
        <w:rPr>
          <w:rFonts w:ascii="新細明體" w:hAnsi="新細明體" w:hint="eastAsia"/>
        </w:rPr>
        <w:t>如我們在寬闊的公路上，遠處望去，好像那邊的路狹得多，等到過去用尺一量，仍是一樣的。路漸遠漸小，如把能量的尺放在那邊，再遠遠去看，也似乎狹小得多。但以狹尺量狹路，依舊可得如許寬度。路有錯亂的，尺也有錯亂相的，以錯亂衡錯亂，得到的是錯亂相的關</w:t>
      </w:r>
      <w:r w:rsidRPr="00DA3BC7">
        <w:rPr>
          <w:rFonts w:hAnsi="新細明體"/>
        </w:rPr>
        <w:t>係法則公例</w:t>
      </w:r>
      <w:r w:rsidRPr="00DA3BC7">
        <w:rPr>
          <w:rStyle w:val="a6"/>
          <w:rFonts w:ascii="Times New Roman" w:hAnsi="Times New Roman"/>
        </w:rPr>
        <w:footnoteReference w:id="634"/>
      </w:r>
      <w:r w:rsidRPr="00DA3BC7">
        <w:rPr>
          <w:rFonts w:hAnsi="新細明體"/>
        </w:rPr>
        <w:t>不</w:t>
      </w:r>
      <w:r w:rsidRPr="00DA3BC7">
        <w:rPr>
          <w:rFonts w:ascii="新細明體" w:hAnsi="新細明體" w:hint="eastAsia"/>
        </w:rPr>
        <w:t>亂。</w:t>
      </w:r>
    </w:p>
    <w:p w:rsidR="00AA120F" w:rsidRPr="00DA3BC7" w:rsidRDefault="00AA120F" w:rsidP="00AE3920">
      <w:pPr>
        <w:spacing w:beforeLines="20"/>
        <w:ind w:leftChars="300" w:left="720"/>
        <w:jc w:val="both"/>
      </w:pPr>
      <w:r w:rsidRPr="00DA3BC7">
        <w:rPr>
          <w:rFonts w:ascii="新細明體" w:hAnsi="新細明體" w:hint="eastAsia"/>
        </w:rPr>
        <w:t>時空的存在，幻為無限位數的序列，一切是現為在此又在彼的，忽略</w:t>
      </w:r>
      <w:r w:rsidRPr="00DA3BC7">
        <w:rPr>
          <w:rFonts w:ascii="新細明體" w:hAnsi="新細明體" w:hint="eastAsia"/>
          <w:b/>
        </w:rPr>
        <w:t>能動者的時空性</w:t>
      </w:r>
      <w:r w:rsidRPr="00DA3BC7">
        <w:rPr>
          <w:rFonts w:ascii="新細明體" w:hAnsi="新細明體" w:hint="eastAsia"/>
        </w:rPr>
        <w:t>與</w:t>
      </w:r>
      <w:r w:rsidRPr="00DA3BC7">
        <w:rPr>
          <w:rFonts w:ascii="新細明體" w:hAnsi="新細明體" w:hint="eastAsia"/>
          <w:b/>
        </w:rPr>
        <w:t>無限位數序列性</w:t>
      </w:r>
      <w:r w:rsidRPr="00DA3BC7">
        <w:rPr>
          <w:rFonts w:ascii="新細明體" w:hAnsi="新細明體" w:hint="eastAsia"/>
        </w:rPr>
        <w:t>，這才推論為是不能動的。</w:t>
      </w:r>
    </w:p>
    <w:p w:rsidR="00AA120F" w:rsidRPr="00DA3BC7" w:rsidRDefault="00AA120F" w:rsidP="00AE3920">
      <w:pPr>
        <w:spacing w:beforeLines="30"/>
        <w:ind w:leftChars="150" w:left="360"/>
        <w:jc w:val="both"/>
        <w:rPr>
          <w:sz w:val="20"/>
          <w:szCs w:val="20"/>
        </w:rPr>
      </w:pPr>
      <w:r w:rsidRPr="00993C01">
        <w:rPr>
          <w:rFonts w:hAnsi="新細明體" w:hint="eastAsia"/>
          <w:b/>
          <w:color w:val="FF0000"/>
          <w:sz w:val="20"/>
          <w:szCs w:val="20"/>
          <w:highlight w:val="yellow"/>
          <w:bdr w:val="single" w:sz="4" w:space="0" w:color="auto"/>
        </w:rPr>
        <w:t>（</w:t>
      </w:r>
      <w:r w:rsidR="00993C01" w:rsidRPr="00993C01">
        <w:rPr>
          <w:rFonts w:hAnsi="新細明體" w:hint="eastAsia"/>
          <w:b/>
          <w:color w:val="FF0000"/>
          <w:sz w:val="20"/>
          <w:szCs w:val="20"/>
          <w:highlight w:val="yellow"/>
          <w:bdr w:val="single" w:sz="4" w:space="0" w:color="auto"/>
        </w:rPr>
        <w:t>三</w:t>
      </w:r>
      <w:r w:rsidRPr="00993C01">
        <w:rPr>
          <w:rFonts w:hAnsi="新細明體" w:hint="eastAsia"/>
          <w:b/>
          <w:color w:val="FF0000"/>
          <w:sz w:val="20"/>
          <w:szCs w:val="20"/>
          <w:highlight w:val="yellow"/>
          <w:bdr w:val="single" w:sz="4" w:space="0" w:color="auto"/>
        </w:rPr>
        <w:t>）</w:t>
      </w:r>
      <w:r w:rsidR="00993C01" w:rsidRPr="00993C01">
        <w:rPr>
          <w:rFonts w:hAnsi="新細明體" w:hint="eastAsia"/>
          <w:b/>
          <w:color w:val="FF0000"/>
          <w:sz w:val="20"/>
          <w:szCs w:val="20"/>
          <w:highlight w:val="yellow"/>
          <w:bdr w:val="single" w:sz="4" w:space="0" w:color="auto"/>
        </w:rPr>
        <w:t>依論顯義</w:t>
      </w:r>
      <w:r w:rsidRPr="00DA3BC7">
        <w:rPr>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135</w:t>
      </w:r>
      <w:r w:rsidRPr="00DA3BC7">
        <w:rPr>
          <w:sz w:val="20"/>
          <w:szCs w:val="20"/>
        </w:rPr>
        <w:t>-</w:t>
      </w:r>
      <w:r w:rsidRPr="00DA3BC7">
        <w:rPr>
          <w:rFonts w:ascii="Times New Roman" w:hAnsi="Times New Roman"/>
          <w:sz w:val="20"/>
          <w:szCs w:val="20"/>
        </w:rPr>
        <w:t>136</w:t>
      </w:r>
      <w:r w:rsidRPr="00DA3BC7">
        <w:rPr>
          <w:sz w:val="20"/>
          <w:szCs w:val="20"/>
        </w:rPr>
        <w:t>）</w:t>
      </w:r>
    </w:p>
    <w:p w:rsidR="00AA120F" w:rsidRPr="00DA3BC7" w:rsidRDefault="00993C01" w:rsidP="002E5DD4">
      <w:pPr>
        <w:ind w:leftChars="200" w:left="480"/>
        <w:jc w:val="both"/>
        <w:rPr>
          <w:rFonts w:ascii="新細明體" w:hAnsi="新細明體"/>
          <w:b/>
        </w:rPr>
      </w:pPr>
      <w:r w:rsidRPr="00993C01">
        <w:rPr>
          <w:rFonts w:ascii="Times New Roman" w:hAnsi="Times New Roman" w:hint="eastAsia"/>
          <w:b/>
          <w:color w:val="FF0000"/>
          <w:sz w:val="20"/>
          <w:szCs w:val="20"/>
          <w:highlight w:val="yellow"/>
          <w:bdr w:val="single" w:sz="4" w:space="0" w:color="auto"/>
        </w:rPr>
        <w:t>1</w:t>
      </w:r>
      <w:r w:rsidR="00AA120F" w:rsidRPr="00993C01">
        <w:rPr>
          <w:rFonts w:hAnsi="新細明體"/>
          <w:b/>
          <w:color w:val="FF0000"/>
          <w:sz w:val="20"/>
          <w:szCs w:val="20"/>
          <w:highlight w:val="yellow"/>
          <w:bdr w:val="single" w:sz="4" w:space="0" w:color="auto"/>
        </w:rPr>
        <w:t>、</w:t>
      </w:r>
      <w:r w:rsidRPr="00993C01">
        <w:rPr>
          <w:rFonts w:hAnsi="新細明體" w:hint="eastAsia"/>
          <w:b/>
          <w:color w:val="FF0000"/>
          <w:sz w:val="20"/>
          <w:szCs w:val="20"/>
          <w:highlight w:val="yellow"/>
          <w:bdr w:val="single" w:sz="4" w:space="0" w:color="auto"/>
        </w:rPr>
        <w:t>舉《中論》</w:t>
      </w:r>
      <w:r w:rsidR="00976850">
        <w:rPr>
          <w:rFonts w:hAnsi="新細明體" w:hint="eastAsia"/>
          <w:b/>
          <w:color w:val="FF0000"/>
          <w:sz w:val="20"/>
          <w:szCs w:val="20"/>
          <w:highlight w:val="yellow"/>
          <w:bdr w:val="single" w:sz="4" w:space="0" w:color="auto"/>
        </w:rPr>
        <w:t>〈</w:t>
      </w:r>
      <w:r w:rsidR="00976850" w:rsidRPr="00993C01">
        <w:rPr>
          <w:rFonts w:hAnsi="新細明體" w:hint="eastAsia"/>
          <w:b/>
          <w:color w:val="FF0000"/>
          <w:sz w:val="20"/>
          <w:szCs w:val="20"/>
          <w:highlight w:val="yellow"/>
          <w:bdr w:val="single" w:sz="4" w:space="0" w:color="auto"/>
        </w:rPr>
        <w:t>觀縛解品</w:t>
      </w:r>
      <w:r w:rsidR="00976850">
        <w:rPr>
          <w:rFonts w:hAnsi="新細明體" w:hint="eastAsia"/>
          <w:b/>
          <w:color w:val="FF0000"/>
          <w:sz w:val="20"/>
          <w:szCs w:val="20"/>
          <w:highlight w:val="yellow"/>
          <w:bdr w:val="single" w:sz="4" w:space="0" w:color="auto"/>
        </w:rPr>
        <w:t>〉</w:t>
      </w:r>
      <w:r w:rsidRPr="00993C01">
        <w:rPr>
          <w:rFonts w:hAnsi="新細明體" w:hint="eastAsia"/>
          <w:b/>
          <w:color w:val="FF0000"/>
          <w:sz w:val="20"/>
          <w:szCs w:val="20"/>
          <w:highlight w:val="yellow"/>
          <w:bdr w:val="single" w:sz="4" w:space="0" w:color="auto"/>
        </w:rPr>
        <w:t>明</w:t>
      </w:r>
      <w:r w:rsidR="00AA120F" w:rsidRPr="00993C01">
        <w:rPr>
          <w:rFonts w:hAnsi="新細明體" w:hint="eastAsia"/>
          <w:b/>
          <w:color w:val="FF0000"/>
          <w:sz w:val="20"/>
          <w:szCs w:val="20"/>
          <w:highlight w:val="yellow"/>
          <w:bdr w:val="single" w:sz="4" w:space="0" w:color="auto"/>
        </w:rPr>
        <w:t>「輪迴</w:t>
      </w:r>
      <w:r w:rsidRPr="00993C01">
        <w:rPr>
          <w:rFonts w:hAnsi="新細明體" w:hint="eastAsia"/>
          <w:b/>
          <w:color w:val="FF0000"/>
          <w:sz w:val="20"/>
          <w:szCs w:val="20"/>
          <w:highlight w:val="yellow"/>
          <w:bdr w:val="single" w:sz="4" w:space="0" w:color="auto"/>
        </w:rPr>
        <w:t>」義</w:t>
      </w:r>
      <w:r w:rsidR="00903175" w:rsidRPr="00DA3BC7">
        <w:rPr>
          <w:rFonts w:hAnsi="新細明體"/>
          <w:sz w:val="20"/>
          <w:szCs w:val="20"/>
        </w:rPr>
        <w:t>（</w:t>
      </w:r>
      <w:r w:rsidR="00903175" w:rsidRPr="00DA3BC7">
        <w:rPr>
          <w:rFonts w:ascii="Times New Roman" w:hAnsi="Times New Roman"/>
          <w:sz w:val="20"/>
          <w:szCs w:val="20"/>
        </w:rPr>
        <w:t>p</w:t>
      </w:r>
      <w:r w:rsidR="00903175" w:rsidRPr="00DA3BC7">
        <w:rPr>
          <w:sz w:val="20"/>
          <w:szCs w:val="20"/>
        </w:rPr>
        <w:t>.</w:t>
      </w:r>
      <w:r w:rsidR="00903175" w:rsidRPr="00DA3BC7">
        <w:rPr>
          <w:rFonts w:ascii="Times New Roman" w:hAnsi="Times New Roman"/>
          <w:sz w:val="20"/>
          <w:szCs w:val="20"/>
        </w:rPr>
        <w:t>13</w:t>
      </w:r>
      <w:r w:rsidR="00903175" w:rsidRPr="00DA3BC7">
        <w:rPr>
          <w:rFonts w:ascii="Times New Roman" w:hAnsi="Times New Roman" w:hint="eastAsia"/>
          <w:sz w:val="20"/>
          <w:szCs w:val="20"/>
        </w:rPr>
        <w:t>5</w:t>
      </w:r>
      <w:r w:rsidR="00903175" w:rsidRPr="00DA3BC7">
        <w:rPr>
          <w:rFonts w:hAnsi="新細明體"/>
          <w:sz w:val="20"/>
          <w:szCs w:val="20"/>
        </w:rPr>
        <w:t>）</w:t>
      </w:r>
    </w:p>
    <w:p w:rsidR="00993C01" w:rsidRDefault="00AA120F" w:rsidP="002E5DD4">
      <w:pPr>
        <w:ind w:leftChars="200" w:left="480"/>
        <w:jc w:val="both"/>
        <w:rPr>
          <w:rFonts w:ascii="新細明體" w:hAnsi="新細明體"/>
        </w:rPr>
      </w:pPr>
      <w:r w:rsidRPr="00DA3BC7">
        <w:rPr>
          <w:rFonts w:ascii="新細明體" w:hAnsi="新細明體" w:hint="eastAsia"/>
        </w:rPr>
        <w:t>有人以《中觀論》不來不去，以為是成立諸法不動的，那是錯誤的。</w:t>
      </w:r>
    </w:p>
    <w:p w:rsidR="00993C01" w:rsidRDefault="00AA120F" w:rsidP="002E5DD4">
      <w:pPr>
        <w:ind w:leftChars="200" w:left="480"/>
        <w:jc w:val="both"/>
        <w:rPr>
          <w:rFonts w:hAnsi="新細明體"/>
        </w:rPr>
      </w:pPr>
      <w:r w:rsidRPr="00DA3BC7">
        <w:rPr>
          <w:rFonts w:ascii="新細明體" w:hAnsi="新細明體" w:hint="eastAsia"/>
        </w:rPr>
        <w:t>如《中論》</w:t>
      </w:r>
      <w:r w:rsidR="006B315B">
        <w:rPr>
          <w:rFonts w:ascii="Times New Roman" w:hAnsi="Times New Roman" w:hint="eastAsia"/>
        </w:rPr>
        <w:t>〈</w:t>
      </w:r>
      <w:r w:rsidR="006B315B" w:rsidRPr="006B315B">
        <w:rPr>
          <w:rFonts w:ascii="Times New Roman" w:hAnsi="Times New Roman" w:hint="eastAsia"/>
          <w:shd w:val="pct15" w:color="auto" w:fill="FFFFFF"/>
        </w:rPr>
        <w:t>16</w:t>
      </w:r>
      <w:r w:rsidR="006B315B">
        <w:rPr>
          <w:rFonts w:ascii="Times New Roman" w:hAnsi="Times New Roman" w:hint="eastAsia"/>
        </w:rPr>
        <w:t xml:space="preserve"> </w:t>
      </w:r>
      <w:r w:rsidR="006B315B" w:rsidRPr="00DA3BC7">
        <w:rPr>
          <w:rFonts w:ascii="新細明體" w:hAnsi="新細明體" w:hint="eastAsia"/>
        </w:rPr>
        <w:t>觀縛解品</w:t>
      </w:r>
      <w:r w:rsidR="006B315B">
        <w:rPr>
          <w:rFonts w:ascii="Times New Roman" w:hAnsi="Times New Roman" w:hint="eastAsia"/>
        </w:rPr>
        <w:t>〉</w:t>
      </w:r>
      <w:r w:rsidRPr="00DA3BC7">
        <w:rPr>
          <w:rFonts w:ascii="新細明體" w:hAnsi="新細明體" w:hint="eastAsia"/>
        </w:rPr>
        <w:t>說：「</w:t>
      </w:r>
      <w:r w:rsidRPr="00DA3BC7">
        <w:rPr>
          <w:rFonts w:ascii="標楷體" w:eastAsia="標楷體" w:hAnsi="標楷體" w:hint="eastAsia"/>
        </w:rPr>
        <w:t>諸行往來者，常不應往來，無常亦不應；眾生亦復然</w:t>
      </w:r>
      <w:r w:rsidRPr="00DA3BC7">
        <w:rPr>
          <w:rFonts w:hAnsi="新細明體"/>
        </w:rPr>
        <w:t>。」</w:t>
      </w:r>
      <w:r w:rsidRPr="00DA3BC7">
        <w:rPr>
          <w:rStyle w:val="a6"/>
          <w:rFonts w:ascii="Times New Roman" w:hAnsi="Times New Roman"/>
        </w:rPr>
        <w:footnoteReference w:id="635"/>
      </w:r>
    </w:p>
    <w:p w:rsidR="00AA120F" w:rsidRPr="00DA3BC7" w:rsidRDefault="00AA120F" w:rsidP="002E5DD4">
      <w:pPr>
        <w:ind w:leftChars="200" w:left="480"/>
        <w:jc w:val="both"/>
        <w:rPr>
          <w:rFonts w:ascii="新細明體" w:hAnsi="新細明體"/>
        </w:rPr>
      </w:pPr>
      <w:r w:rsidRPr="00993C01">
        <w:rPr>
          <w:rFonts w:hAnsi="新細明體"/>
          <w:highlight w:val="yellow"/>
        </w:rPr>
        <w:lastRenderedPageBreak/>
        <w:t>此</w:t>
      </w:r>
      <w:r w:rsidRPr="00DA3BC7">
        <w:rPr>
          <w:rFonts w:hAnsi="新細明體"/>
        </w:rPr>
        <w:t>中</w:t>
      </w:r>
      <w:r w:rsidRPr="00DA3BC7">
        <w:rPr>
          <w:rFonts w:ascii="新細明體" w:hAnsi="新細明體" w:hint="eastAsia"/>
        </w:rPr>
        <w:t>所說的往來，是流轉</w:t>
      </w:r>
      <w:r w:rsidR="00993C01" w:rsidRPr="00993C01">
        <w:rPr>
          <w:rFonts w:ascii="新細明體" w:hAnsi="新細明體" w:hint="eastAsia"/>
          <w:color w:val="FF0000"/>
          <w:highlight w:val="yellow"/>
        </w:rPr>
        <w:t>（</w:t>
      </w:r>
      <w:r w:rsidRPr="00DA3BC7">
        <w:rPr>
          <w:rFonts w:ascii="新細明體" w:hAnsi="新細明體" w:hint="eastAsia"/>
        </w:rPr>
        <w:t>即輪迴</w:t>
      </w:r>
      <w:r w:rsidR="00993C01" w:rsidRPr="00993C01">
        <w:rPr>
          <w:rFonts w:ascii="新細明體" w:hAnsi="新細明體" w:hint="eastAsia"/>
          <w:color w:val="FF0000"/>
          <w:highlight w:val="yellow"/>
        </w:rPr>
        <w:t>）</w:t>
      </w:r>
      <w:r w:rsidRPr="00DA3BC7">
        <w:rPr>
          <w:rFonts w:ascii="新細明體" w:hAnsi="新細明體" w:hint="eastAsia"/>
        </w:rPr>
        <w:t>的意思。</w:t>
      </w:r>
    </w:p>
    <w:p w:rsidR="00AA120F" w:rsidRPr="00DA3BC7" w:rsidRDefault="00AA120F" w:rsidP="002E5DD4">
      <w:pPr>
        <w:ind w:leftChars="200" w:left="480"/>
        <w:jc w:val="both"/>
        <w:rPr>
          <w:rFonts w:ascii="新細明體" w:hAnsi="新細明體"/>
        </w:rPr>
      </w:pPr>
      <w:r w:rsidRPr="00DA3BC7">
        <w:rPr>
          <w:rFonts w:ascii="新細明體" w:hAnsi="新細明體" w:hint="eastAsia"/>
        </w:rPr>
        <w:t>外道執有我輪迴諸趣，或執有實法可輪迴。</w:t>
      </w:r>
    </w:p>
    <w:p w:rsidR="00993C01" w:rsidRDefault="00AA120F" w:rsidP="002E5DD4">
      <w:pPr>
        <w:ind w:leftChars="200" w:left="1680" w:hangingChars="500" w:hanging="1200"/>
        <w:jc w:val="both"/>
        <w:rPr>
          <w:rFonts w:ascii="新細明體" w:hAnsi="新細明體"/>
        </w:rPr>
      </w:pPr>
      <w:r w:rsidRPr="00DA3BC7">
        <w:rPr>
          <w:rFonts w:ascii="新細明體" w:hAnsi="新細明體" w:hint="eastAsia"/>
        </w:rPr>
        <w:t>今中觀說：這樣的</w:t>
      </w:r>
      <w:r w:rsidRPr="00DA3BC7">
        <w:rPr>
          <w:rFonts w:ascii="新細明體" w:hAnsi="新細明體" w:hint="eastAsia"/>
          <w:b/>
        </w:rPr>
        <w:t>諸行無往來、眾生無往來</w:t>
      </w:r>
      <w:r w:rsidRPr="00DA3BC7">
        <w:rPr>
          <w:rFonts w:ascii="新細明體" w:hAnsi="新細明體" w:hint="eastAsia"/>
        </w:rPr>
        <w:t>，但並不是中觀者不許緣起我法的流轉。</w:t>
      </w:r>
    </w:p>
    <w:p w:rsidR="00AA120F" w:rsidRPr="00DA3BC7" w:rsidRDefault="00AA120F" w:rsidP="002E5DD4">
      <w:pPr>
        <w:ind w:leftChars="200" w:left="480"/>
        <w:jc w:val="both"/>
        <w:rPr>
          <w:rFonts w:ascii="新細明體" w:hAnsi="新細明體"/>
        </w:rPr>
      </w:pPr>
      <w:r w:rsidRPr="00DA3BC7">
        <w:rPr>
          <w:rFonts w:ascii="新細明體" w:hAnsi="新細明體" w:hint="eastAsia"/>
        </w:rPr>
        <w:t>執有自性者，以自性觀一切法的來去運動，即不能成立。</w:t>
      </w:r>
    </w:p>
    <w:p w:rsidR="00AA120F" w:rsidRPr="00DA3BC7" w:rsidRDefault="00AA120F" w:rsidP="00AE3920">
      <w:pPr>
        <w:spacing w:beforeLines="20"/>
        <w:ind w:leftChars="200" w:left="480"/>
        <w:jc w:val="both"/>
        <w:rPr>
          <w:rFonts w:ascii="新細明體" w:hAnsi="新細明體"/>
        </w:rPr>
      </w:pPr>
      <w:r w:rsidRPr="00DA3BC7">
        <w:rPr>
          <w:rFonts w:ascii="新細明體" w:hAnsi="新細明體" w:hint="eastAsia"/>
        </w:rPr>
        <w:t>以我與法若是</w:t>
      </w:r>
      <w:r w:rsidRPr="00DA3BC7">
        <w:rPr>
          <w:rFonts w:ascii="新細明體" w:hAnsi="新細明體" w:hint="eastAsia"/>
          <w:b/>
        </w:rPr>
        <w:t>常</w:t>
      </w:r>
      <w:r w:rsidRPr="00DA3BC7">
        <w:rPr>
          <w:rFonts w:ascii="新細明體" w:hAnsi="新細明體" w:hint="eastAsia"/>
        </w:rPr>
        <w:t>，常則永遠應如此，即不能成立輪迴。</w:t>
      </w:r>
    </w:p>
    <w:p w:rsidR="00AA120F" w:rsidRPr="00DA3BC7" w:rsidRDefault="00AA120F" w:rsidP="002E5DD4">
      <w:pPr>
        <w:ind w:leftChars="600" w:left="2640" w:hangingChars="500" w:hanging="1200"/>
        <w:jc w:val="both"/>
        <w:rPr>
          <w:rFonts w:ascii="新細明體" w:hAnsi="新細明體"/>
        </w:rPr>
      </w:pPr>
      <w:r w:rsidRPr="00993C01">
        <w:rPr>
          <w:rFonts w:ascii="新細明體" w:hAnsi="新細明體" w:hint="eastAsia"/>
          <w:highlight w:val="yellow"/>
        </w:rPr>
        <w:t>若</w:t>
      </w:r>
      <w:r w:rsidRPr="00DA3BC7">
        <w:rPr>
          <w:rFonts w:ascii="新細明體" w:hAnsi="新細明體" w:hint="eastAsia"/>
        </w:rPr>
        <w:t>謂</w:t>
      </w:r>
      <w:r w:rsidRPr="00DA3BC7">
        <w:rPr>
          <w:rFonts w:ascii="新細明體" w:hAnsi="新細明體" w:hint="eastAsia"/>
          <w:b/>
        </w:rPr>
        <w:t>無常</w:t>
      </w:r>
      <w:r w:rsidRPr="00DA3BC7">
        <w:rPr>
          <w:rFonts w:ascii="新細明體" w:hAnsi="新細明體" w:hint="eastAsia"/>
        </w:rPr>
        <w:t>，不了無常是說常性不可得，而以無常為實生實滅，那麼生不是滅，滅又不是生，前滅後生間中斷了，輪迴也不成。</w:t>
      </w:r>
    </w:p>
    <w:p w:rsidR="00AA120F" w:rsidRPr="00DA3BC7" w:rsidRDefault="00A6274B" w:rsidP="00AE3920">
      <w:pPr>
        <w:spacing w:beforeLines="30"/>
        <w:ind w:leftChars="200" w:left="480"/>
        <w:jc w:val="both"/>
        <w:rPr>
          <w:b/>
        </w:rPr>
      </w:pPr>
      <w:r w:rsidRPr="00A6274B">
        <w:rPr>
          <w:rFonts w:ascii="Times New Roman" w:hAnsi="Times New Roman" w:hint="eastAsia"/>
          <w:b/>
          <w:color w:val="FF0000"/>
          <w:sz w:val="20"/>
          <w:szCs w:val="20"/>
          <w:highlight w:val="yellow"/>
          <w:bdr w:val="single" w:sz="4" w:space="0" w:color="auto"/>
        </w:rPr>
        <w:t>2</w:t>
      </w:r>
      <w:r w:rsidRPr="00A6274B">
        <w:rPr>
          <w:rFonts w:ascii="Times New Roman" w:hAnsi="Times New Roman" w:hint="eastAsia"/>
          <w:b/>
          <w:color w:val="FF0000"/>
          <w:sz w:val="20"/>
          <w:szCs w:val="20"/>
          <w:highlight w:val="yellow"/>
          <w:bdr w:val="single" w:sz="4" w:space="0" w:color="auto"/>
        </w:rPr>
        <w:t>、舉</w:t>
      </w:r>
      <w:r w:rsidR="00AA120F" w:rsidRPr="00A6274B">
        <w:rPr>
          <w:rFonts w:ascii="Times New Roman" w:hAnsi="Times New Roman" w:hint="eastAsia"/>
          <w:b/>
          <w:color w:val="FF0000"/>
          <w:sz w:val="20"/>
          <w:szCs w:val="20"/>
          <w:highlight w:val="yellow"/>
          <w:bdr w:val="single" w:sz="4" w:space="0" w:color="auto"/>
        </w:rPr>
        <w:t>《中論》</w:t>
      </w:r>
      <w:r w:rsidR="00976850">
        <w:rPr>
          <w:rFonts w:ascii="Times New Roman" w:hAnsi="Times New Roman" w:hint="eastAsia"/>
          <w:b/>
          <w:color w:val="FF0000"/>
          <w:sz w:val="20"/>
          <w:szCs w:val="20"/>
          <w:highlight w:val="yellow"/>
          <w:bdr w:val="single" w:sz="4" w:space="0" w:color="auto"/>
        </w:rPr>
        <w:t>〈</w:t>
      </w:r>
      <w:r w:rsidR="00976850" w:rsidRPr="00A6274B">
        <w:rPr>
          <w:rFonts w:ascii="Times New Roman" w:hAnsi="Times New Roman" w:hint="eastAsia"/>
          <w:b/>
          <w:color w:val="FF0000"/>
          <w:sz w:val="20"/>
          <w:szCs w:val="20"/>
          <w:highlight w:val="yellow"/>
          <w:bdr w:val="single" w:sz="4" w:space="0" w:color="auto"/>
        </w:rPr>
        <w:t>觀去來品</w:t>
      </w:r>
      <w:r w:rsidR="00976850">
        <w:rPr>
          <w:rFonts w:ascii="Times New Roman" w:hAnsi="Times New Roman" w:hint="eastAsia"/>
          <w:b/>
          <w:color w:val="FF0000"/>
          <w:sz w:val="20"/>
          <w:szCs w:val="20"/>
          <w:highlight w:val="yellow"/>
          <w:bdr w:val="single" w:sz="4" w:space="0" w:color="auto"/>
        </w:rPr>
        <w:t>〉</w:t>
      </w:r>
      <w:r w:rsidRPr="00A6274B">
        <w:rPr>
          <w:rFonts w:ascii="Times New Roman" w:hAnsi="Times New Roman" w:hint="eastAsia"/>
          <w:b/>
          <w:color w:val="FF0000"/>
          <w:sz w:val="20"/>
          <w:szCs w:val="20"/>
          <w:highlight w:val="yellow"/>
          <w:bdr w:val="single" w:sz="4" w:space="0" w:color="auto"/>
        </w:rPr>
        <w:t>明</w:t>
      </w:r>
      <w:r w:rsidR="00AA120F" w:rsidRPr="00A6274B">
        <w:rPr>
          <w:rFonts w:ascii="Times New Roman" w:hAnsi="Times New Roman" w:hint="eastAsia"/>
          <w:b/>
          <w:color w:val="FF0000"/>
          <w:sz w:val="20"/>
          <w:szCs w:val="20"/>
          <w:highlight w:val="yellow"/>
          <w:bdr w:val="single" w:sz="4" w:space="0" w:color="auto"/>
        </w:rPr>
        <w:t>「去、住」</w:t>
      </w:r>
      <w:r w:rsidRPr="00A6274B">
        <w:rPr>
          <w:rFonts w:ascii="Times New Roman" w:hAnsi="Times New Roman" w:hint="eastAsia"/>
          <w:b/>
          <w:color w:val="FF0000"/>
          <w:sz w:val="20"/>
          <w:szCs w:val="20"/>
          <w:highlight w:val="yellow"/>
          <w:bdr w:val="single" w:sz="4" w:space="0" w:color="auto"/>
        </w:rPr>
        <w:t>義</w:t>
      </w:r>
      <w:r w:rsidR="00AA120F" w:rsidRPr="00DA3BC7">
        <w:rPr>
          <w:rFonts w:hint="eastAsia"/>
          <w:sz w:val="20"/>
          <w:szCs w:val="20"/>
        </w:rPr>
        <w:t>（</w:t>
      </w:r>
      <w:r w:rsidR="00AA120F" w:rsidRPr="00DA3BC7">
        <w:rPr>
          <w:rFonts w:ascii="Times New Roman" w:hAnsi="Times New Roman"/>
          <w:sz w:val="20"/>
          <w:szCs w:val="20"/>
        </w:rPr>
        <w:t>pp</w:t>
      </w:r>
      <w:r w:rsidR="00AA120F" w:rsidRPr="00DA3BC7">
        <w:rPr>
          <w:sz w:val="20"/>
          <w:szCs w:val="20"/>
        </w:rPr>
        <w:t>.</w:t>
      </w:r>
      <w:r w:rsidR="00AA120F" w:rsidRPr="00DA3BC7">
        <w:rPr>
          <w:rFonts w:ascii="Times New Roman" w:hAnsi="Times New Roman"/>
          <w:sz w:val="20"/>
          <w:szCs w:val="20"/>
        </w:rPr>
        <w:t>13</w:t>
      </w:r>
      <w:r w:rsidR="00AA120F" w:rsidRPr="00DA3BC7">
        <w:rPr>
          <w:rFonts w:ascii="Times New Roman" w:hAnsi="Times New Roman" w:hint="eastAsia"/>
          <w:sz w:val="20"/>
          <w:szCs w:val="20"/>
        </w:rPr>
        <w:t>5</w:t>
      </w:r>
      <w:r w:rsidR="00AA120F" w:rsidRPr="00DA3BC7">
        <w:rPr>
          <w:sz w:val="20"/>
          <w:szCs w:val="20"/>
        </w:rPr>
        <w:t>-</w:t>
      </w:r>
      <w:r w:rsidR="00AA120F" w:rsidRPr="00DA3BC7">
        <w:rPr>
          <w:rFonts w:ascii="Times New Roman" w:hAnsi="Times New Roman"/>
          <w:sz w:val="20"/>
          <w:szCs w:val="20"/>
        </w:rPr>
        <w:t>137</w:t>
      </w:r>
      <w:r w:rsidR="00AA120F" w:rsidRPr="00DA3BC7">
        <w:rPr>
          <w:rFonts w:hint="eastAsia"/>
          <w:sz w:val="20"/>
          <w:szCs w:val="20"/>
        </w:rPr>
        <w:t>）</w:t>
      </w:r>
    </w:p>
    <w:p w:rsidR="00AA120F" w:rsidRPr="00DA3BC7" w:rsidRDefault="00A6274B" w:rsidP="002E5DD4">
      <w:pPr>
        <w:ind w:leftChars="250" w:left="600"/>
        <w:jc w:val="both"/>
        <w:rPr>
          <w:rFonts w:ascii="新細明體" w:hAnsi="新細明體"/>
          <w:b/>
        </w:rPr>
      </w:pPr>
      <w:r w:rsidRPr="00A6274B">
        <w:rPr>
          <w:rFonts w:hAnsi="新細明體" w:hint="eastAsia"/>
          <w:b/>
          <w:color w:val="FF0000"/>
          <w:sz w:val="20"/>
          <w:szCs w:val="20"/>
          <w:highlight w:val="yellow"/>
          <w:bdr w:val="single" w:sz="4" w:space="0" w:color="auto"/>
        </w:rPr>
        <w:t>（</w:t>
      </w:r>
      <w:r w:rsidRPr="00A6274B">
        <w:rPr>
          <w:rFonts w:ascii="Times New Roman" w:hAnsi="Times New Roman" w:hint="eastAsia"/>
          <w:b/>
          <w:color w:val="FF0000"/>
          <w:sz w:val="20"/>
          <w:szCs w:val="20"/>
          <w:highlight w:val="yellow"/>
          <w:bdr w:val="single" w:sz="4" w:space="0" w:color="auto"/>
        </w:rPr>
        <w:t>1</w:t>
      </w:r>
      <w:r w:rsidRPr="00A6274B">
        <w:rPr>
          <w:rFonts w:hAnsi="新細明體" w:hint="eastAsia"/>
          <w:b/>
          <w:color w:val="FF0000"/>
          <w:sz w:val="20"/>
          <w:szCs w:val="20"/>
          <w:highlight w:val="yellow"/>
          <w:bdr w:val="single" w:sz="4" w:space="0" w:color="auto"/>
        </w:rPr>
        <w:t>）</w:t>
      </w:r>
      <w:r w:rsidR="00AA120F" w:rsidRPr="00DA3BC7">
        <w:rPr>
          <w:rFonts w:hint="eastAsia"/>
          <w:b/>
          <w:sz w:val="20"/>
          <w:szCs w:val="20"/>
          <w:bdr w:val="single" w:sz="4" w:space="0" w:color="auto"/>
        </w:rPr>
        <w:t>總說</w:t>
      </w:r>
      <w:r w:rsidR="00AA120F" w:rsidRPr="00DA3BC7">
        <w:rPr>
          <w:rFonts w:hint="eastAsia"/>
          <w:sz w:val="20"/>
          <w:szCs w:val="20"/>
        </w:rPr>
        <w:t>（</w:t>
      </w:r>
      <w:r w:rsidR="00AA120F" w:rsidRPr="00DA3BC7">
        <w:rPr>
          <w:rFonts w:ascii="Times New Roman" w:hAnsi="Times New Roman"/>
          <w:sz w:val="20"/>
          <w:szCs w:val="20"/>
        </w:rPr>
        <w:t>pp</w:t>
      </w:r>
      <w:r w:rsidR="00AA120F" w:rsidRPr="00DA3BC7">
        <w:rPr>
          <w:sz w:val="20"/>
          <w:szCs w:val="20"/>
        </w:rPr>
        <w:t>.</w:t>
      </w:r>
      <w:r w:rsidR="00AA120F" w:rsidRPr="00DA3BC7">
        <w:rPr>
          <w:rFonts w:ascii="Times New Roman" w:hAnsi="Times New Roman"/>
          <w:sz w:val="20"/>
          <w:szCs w:val="20"/>
        </w:rPr>
        <w:t>13</w:t>
      </w:r>
      <w:r w:rsidR="00AA120F" w:rsidRPr="00DA3BC7">
        <w:rPr>
          <w:rFonts w:ascii="Times New Roman" w:hAnsi="Times New Roman" w:hint="eastAsia"/>
          <w:sz w:val="20"/>
          <w:szCs w:val="20"/>
        </w:rPr>
        <w:t>5</w:t>
      </w:r>
      <w:r w:rsidR="00AA120F" w:rsidRPr="00DA3BC7">
        <w:rPr>
          <w:sz w:val="20"/>
          <w:szCs w:val="20"/>
        </w:rPr>
        <w:t>-</w:t>
      </w:r>
      <w:r w:rsidR="00AA120F" w:rsidRPr="00DA3BC7">
        <w:rPr>
          <w:rFonts w:ascii="Times New Roman" w:hAnsi="Times New Roman"/>
          <w:sz w:val="20"/>
          <w:szCs w:val="20"/>
        </w:rPr>
        <w:t>13</w:t>
      </w:r>
      <w:r w:rsidR="00AA120F" w:rsidRPr="00DA3BC7">
        <w:rPr>
          <w:rFonts w:ascii="Times New Roman" w:hAnsi="Times New Roman" w:hint="eastAsia"/>
          <w:sz w:val="20"/>
          <w:szCs w:val="20"/>
        </w:rPr>
        <w:t>6</w:t>
      </w:r>
      <w:r w:rsidR="00AA120F" w:rsidRPr="00DA3BC7">
        <w:rPr>
          <w:rFonts w:hint="eastAsia"/>
          <w:sz w:val="20"/>
          <w:szCs w:val="20"/>
        </w:rPr>
        <w:t>）</w:t>
      </w:r>
    </w:p>
    <w:p w:rsidR="00AA120F" w:rsidRPr="00DA3BC7" w:rsidRDefault="00AA120F" w:rsidP="002E5DD4">
      <w:pPr>
        <w:ind w:leftChars="250" w:left="600"/>
        <w:jc w:val="both"/>
        <w:rPr>
          <w:rFonts w:ascii="新細明體" w:hAnsi="新細明體"/>
        </w:rPr>
      </w:pPr>
      <w:r w:rsidRPr="00DA3BC7">
        <w:rPr>
          <w:rFonts w:ascii="新細明體" w:hAnsi="新細明體" w:hint="eastAsia"/>
        </w:rPr>
        <w:t>《中論》的〈</w:t>
      </w:r>
      <w:r w:rsidR="00670EFF" w:rsidRPr="00670EFF">
        <w:rPr>
          <w:rFonts w:ascii="Times New Roman" w:hAnsi="Times New Roman" w:hint="eastAsia"/>
          <w:shd w:val="pct15" w:color="auto" w:fill="FFFFFF"/>
        </w:rPr>
        <w:t>2</w:t>
      </w:r>
      <w:r w:rsidR="00670EFF">
        <w:rPr>
          <w:rFonts w:ascii="Times New Roman" w:hAnsi="Times New Roman" w:hint="eastAsia"/>
        </w:rPr>
        <w:t xml:space="preserve"> </w:t>
      </w:r>
      <w:r w:rsidRPr="00DA3BC7">
        <w:rPr>
          <w:rFonts w:ascii="新細明體" w:hAnsi="新細明體" w:hint="eastAsia"/>
        </w:rPr>
        <w:t>觀去來品〉，廣泛的以去來為例而研究運動相，不單說</w:t>
      </w:r>
      <w:r w:rsidRPr="00DA3BC7">
        <w:rPr>
          <w:rFonts w:ascii="新細明體" w:hAnsi="新細明體" w:hint="eastAsia"/>
          <w:b/>
        </w:rPr>
        <w:t>去</w:t>
      </w:r>
      <w:r w:rsidRPr="00DA3BC7">
        <w:rPr>
          <w:rFonts w:ascii="新細明體" w:hAnsi="新細明體" w:hint="eastAsia"/>
        </w:rPr>
        <w:t>，也曾討論到</w:t>
      </w:r>
      <w:r w:rsidRPr="00DA3BC7">
        <w:rPr>
          <w:rFonts w:ascii="新細明體" w:hAnsi="新細明體" w:hint="eastAsia"/>
          <w:b/>
        </w:rPr>
        <w:t>住</w:t>
      </w:r>
      <w:r w:rsidRPr="00DA3BC7">
        <w:rPr>
          <w:rFonts w:ascii="新細明體" w:hAnsi="新細明體" w:hint="eastAsia"/>
        </w:rPr>
        <w:t>。</w:t>
      </w:r>
      <w:r w:rsidRPr="00DA3BC7">
        <w:rPr>
          <w:rFonts w:ascii="新細明體" w:hAnsi="新細明體" w:hint="eastAsia"/>
          <w:b/>
        </w:rPr>
        <w:t>去</w:t>
      </w:r>
      <w:r w:rsidRPr="00DA3BC7">
        <w:rPr>
          <w:rFonts w:ascii="新細明體" w:hAnsi="新細明體" w:hint="eastAsia"/>
        </w:rPr>
        <w:t>是</w:t>
      </w:r>
      <w:r w:rsidRPr="00DA3BC7">
        <w:rPr>
          <w:rFonts w:ascii="新細明體" w:hAnsi="新細明體" w:hint="eastAsia"/>
          <w:b/>
        </w:rPr>
        <w:t>動相</w:t>
      </w:r>
      <w:r w:rsidRPr="00DA3BC7">
        <w:rPr>
          <w:rFonts w:ascii="新細明體" w:hAnsi="新細明體" w:hint="eastAsia"/>
        </w:rPr>
        <w:t>，</w:t>
      </w:r>
      <w:r w:rsidRPr="00DA3BC7">
        <w:rPr>
          <w:rFonts w:ascii="新細明體" w:hAnsi="新細明體" w:hint="eastAsia"/>
          <w:b/>
        </w:rPr>
        <w:t>住</w:t>
      </w:r>
      <w:r w:rsidRPr="00DA3BC7">
        <w:rPr>
          <w:rFonts w:ascii="新細明體" w:hAnsi="新細明體" w:hint="eastAsia"/>
        </w:rPr>
        <w:t>即是不動──</w:t>
      </w:r>
      <w:r w:rsidRPr="00DA3BC7">
        <w:rPr>
          <w:rFonts w:ascii="新細明體" w:hAnsi="新細明體" w:hint="eastAsia"/>
          <w:b/>
        </w:rPr>
        <w:t>靜相</w:t>
      </w:r>
      <w:r w:rsidRPr="00DA3BC7">
        <w:rPr>
          <w:rFonts w:ascii="新細明體" w:hAnsi="新細明體" w:hint="eastAsia"/>
        </w:rPr>
        <w:t>。靜與動，是運動的相對形象。</w:t>
      </w:r>
    </w:p>
    <w:p w:rsidR="00AA120F" w:rsidRPr="00DA3BC7" w:rsidRDefault="00A6274B" w:rsidP="00AE3920">
      <w:pPr>
        <w:spacing w:beforeLines="30"/>
        <w:ind w:leftChars="250" w:left="600"/>
        <w:jc w:val="both"/>
        <w:rPr>
          <w:rFonts w:hAnsi="新細明體"/>
          <w:b/>
          <w:sz w:val="20"/>
          <w:szCs w:val="20"/>
          <w:bdr w:val="single" w:sz="4" w:space="0" w:color="auto"/>
        </w:rPr>
      </w:pPr>
      <w:r w:rsidRPr="00A6274B">
        <w:rPr>
          <w:rFonts w:hAnsi="新細明體"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2</w:t>
      </w:r>
      <w:r w:rsidRPr="00A6274B">
        <w:rPr>
          <w:rFonts w:hAnsi="新細明體" w:hint="eastAsia"/>
          <w:b/>
          <w:color w:val="FF0000"/>
          <w:sz w:val="20"/>
          <w:szCs w:val="20"/>
          <w:highlight w:val="yellow"/>
          <w:bdr w:val="single" w:sz="4" w:space="0" w:color="auto"/>
        </w:rPr>
        <w:t>）</w:t>
      </w:r>
      <w:r w:rsidR="00AA120F" w:rsidRPr="00DA3BC7">
        <w:rPr>
          <w:rFonts w:hAnsi="新細明體" w:hint="eastAsia"/>
          <w:b/>
          <w:sz w:val="20"/>
          <w:szCs w:val="20"/>
          <w:bdr w:val="single" w:sz="4" w:space="0" w:color="auto"/>
        </w:rPr>
        <w:t>別論</w:t>
      </w:r>
      <w:r w:rsidR="00AA120F" w:rsidRPr="00DA3BC7">
        <w:rPr>
          <w:rFonts w:hAnsi="新細明體"/>
          <w:sz w:val="20"/>
          <w:szCs w:val="20"/>
        </w:rPr>
        <w:t>（</w:t>
      </w:r>
      <w:r w:rsidR="00AA120F" w:rsidRPr="00DA3BC7">
        <w:rPr>
          <w:rFonts w:ascii="Times New Roman" w:hAnsi="Times New Roman"/>
          <w:sz w:val="20"/>
          <w:szCs w:val="20"/>
        </w:rPr>
        <w:t>p</w:t>
      </w:r>
      <w:r w:rsidR="00AA120F" w:rsidRPr="00DA3BC7">
        <w:rPr>
          <w:sz w:val="20"/>
          <w:szCs w:val="20"/>
        </w:rPr>
        <w:t>.</w:t>
      </w:r>
      <w:r w:rsidR="00AA120F" w:rsidRPr="00DA3BC7">
        <w:rPr>
          <w:rFonts w:ascii="Times New Roman" w:hAnsi="Times New Roman"/>
          <w:sz w:val="20"/>
          <w:szCs w:val="20"/>
        </w:rPr>
        <w:t>13</w:t>
      </w:r>
      <w:r w:rsidR="00AA120F" w:rsidRPr="00DA3BC7">
        <w:rPr>
          <w:rFonts w:ascii="Times New Roman" w:hAnsi="Times New Roman" w:hint="eastAsia"/>
          <w:sz w:val="20"/>
          <w:szCs w:val="20"/>
        </w:rPr>
        <w:t>6</w:t>
      </w:r>
      <w:r w:rsidR="00AA120F" w:rsidRPr="00DA3BC7">
        <w:rPr>
          <w:rFonts w:hAnsi="新細明體"/>
          <w:sz w:val="20"/>
          <w:szCs w:val="20"/>
        </w:rPr>
        <w:t>）</w:t>
      </w:r>
    </w:p>
    <w:p w:rsidR="00AA120F" w:rsidRPr="00DA3BC7" w:rsidRDefault="00A6274B" w:rsidP="002E5DD4">
      <w:pPr>
        <w:ind w:leftChars="300" w:left="720"/>
        <w:jc w:val="both"/>
        <w:rPr>
          <w:rFonts w:hAnsi="新細明體"/>
          <w:b/>
          <w:sz w:val="20"/>
          <w:szCs w:val="20"/>
          <w:bdr w:val="single" w:sz="4" w:space="0" w:color="auto"/>
        </w:rPr>
      </w:pPr>
      <w:r w:rsidRPr="00A6274B">
        <w:rPr>
          <w:rFonts w:ascii="Times New Roman" w:hAnsi="Times New Roman" w:hint="eastAsia"/>
          <w:b/>
          <w:color w:val="FF0000"/>
          <w:sz w:val="20"/>
          <w:szCs w:val="20"/>
          <w:highlight w:val="yellow"/>
          <w:bdr w:val="single" w:sz="4" w:space="0" w:color="auto"/>
        </w:rPr>
        <w:t>A</w:t>
      </w:r>
      <w:r w:rsidRPr="00A6274B">
        <w:rPr>
          <w:b/>
          <w:color w:val="FF0000"/>
          <w:sz w:val="20"/>
          <w:szCs w:val="20"/>
          <w:highlight w:val="yellow"/>
          <w:bdr w:val="single" w:sz="4" w:space="0" w:color="auto"/>
        </w:rPr>
        <w:t>、</w:t>
      </w:r>
      <w:r w:rsidR="00AA120F" w:rsidRPr="00DA3BC7">
        <w:rPr>
          <w:rFonts w:hAnsi="新細明體" w:hint="eastAsia"/>
          <w:b/>
          <w:sz w:val="20"/>
          <w:szCs w:val="20"/>
          <w:bdr w:val="single" w:sz="4" w:space="0" w:color="auto"/>
        </w:rPr>
        <w:t>破「去」</w:t>
      </w:r>
      <w:r w:rsidR="00AA120F" w:rsidRPr="00DA3BC7">
        <w:rPr>
          <w:rFonts w:hAnsi="新細明體"/>
          <w:sz w:val="20"/>
          <w:szCs w:val="20"/>
        </w:rPr>
        <w:t>（</w:t>
      </w:r>
      <w:r w:rsidR="00AA120F" w:rsidRPr="00DA3BC7">
        <w:rPr>
          <w:rFonts w:ascii="Times New Roman" w:hAnsi="Times New Roman"/>
          <w:sz w:val="20"/>
          <w:szCs w:val="20"/>
        </w:rPr>
        <w:t>p</w:t>
      </w:r>
      <w:r w:rsidR="00AA120F" w:rsidRPr="00DA3BC7">
        <w:rPr>
          <w:sz w:val="20"/>
          <w:szCs w:val="20"/>
        </w:rPr>
        <w:t>.</w:t>
      </w:r>
      <w:r w:rsidR="00AA120F" w:rsidRPr="00DA3BC7">
        <w:rPr>
          <w:rFonts w:ascii="Times New Roman" w:hAnsi="Times New Roman"/>
          <w:sz w:val="20"/>
          <w:szCs w:val="20"/>
        </w:rPr>
        <w:t>13</w:t>
      </w:r>
      <w:r w:rsidR="00AA120F" w:rsidRPr="00DA3BC7">
        <w:rPr>
          <w:rFonts w:ascii="Times New Roman" w:hAnsi="Times New Roman" w:hint="eastAsia"/>
          <w:sz w:val="20"/>
          <w:szCs w:val="20"/>
        </w:rPr>
        <w:t>6</w:t>
      </w:r>
      <w:r w:rsidR="00AA120F" w:rsidRPr="00DA3BC7">
        <w:rPr>
          <w:rFonts w:hAnsi="新細明體"/>
          <w:sz w:val="20"/>
          <w:szCs w:val="20"/>
        </w:rPr>
        <w:t>）</w:t>
      </w:r>
    </w:p>
    <w:p w:rsidR="00AA120F" w:rsidRPr="00DA3BC7" w:rsidRDefault="00A6274B" w:rsidP="002E5DD4">
      <w:pPr>
        <w:ind w:leftChars="350" w:left="840"/>
        <w:jc w:val="both"/>
        <w:rPr>
          <w:rFonts w:ascii="新細明體" w:hAnsi="新細明體"/>
          <w:b/>
          <w:sz w:val="20"/>
          <w:szCs w:val="20"/>
          <w:bdr w:val="single" w:sz="4" w:space="0" w:color="auto"/>
        </w:rPr>
      </w:pPr>
      <w:r w:rsidRPr="00A6274B">
        <w:rPr>
          <w:rFonts w:hint="eastAsia"/>
          <w:b/>
          <w:color w:val="FF0000"/>
          <w:sz w:val="20"/>
          <w:szCs w:val="20"/>
          <w:highlight w:val="yellow"/>
          <w:bdr w:val="single" w:sz="4" w:space="0" w:color="auto"/>
        </w:rPr>
        <w:t>（</w:t>
      </w:r>
      <w:r w:rsidRPr="00A6274B">
        <w:rPr>
          <w:rFonts w:ascii="Times New Roman" w:hAnsi="Times New Roman" w:hint="eastAsia"/>
          <w:b/>
          <w:color w:val="FF0000"/>
          <w:sz w:val="20"/>
          <w:szCs w:val="20"/>
          <w:highlight w:val="yellow"/>
          <w:bdr w:val="single" w:sz="4" w:space="0" w:color="auto"/>
        </w:rPr>
        <w:t>A</w:t>
      </w:r>
      <w:r w:rsidRPr="00A6274B">
        <w:rPr>
          <w:rFonts w:hint="eastAsia"/>
          <w:b/>
          <w:color w:val="FF0000"/>
          <w:sz w:val="20"/>
          <w:szCs w:val="20"/>
          <w:highlight w:val="yellow"/>
          <w:bdr w:val="single" w:sz="4" w:space="0" w:color="auto"/>
        </w:rPr>
        <w:t>）</w:t>
      </w:r>
      <w:r w:rsidR="00AA120F" w:rsidRPr="00A6274B">
        <w:rPr>
          <w:rFonts w:ascii="新細明體" w:hAnsi="新細明體" w:hint="eastAsia"/>
          <w:b/>
          <w:color w:val="FF0000"/>
          <w:sz w:val="20"/>
          <w:szCs w:val="20"/>
          <w:highlight w:val="yellow"/>
          <w:bdr w:val="single" w:sz="4" w:space="0" w:color="auto"/>
        </w:rPr>
        <w:t>標</w:t>
      </w:r>
      <w:r w:rsidRPr="00A6274B">
        <w:rPr>
          <w:rFonts w:ascii="新細明體" w:hAnsi="新細明體" w:hint="eastAsia"/>
          <w:b/>
          <w:color w:val="FF0000"/>
          <w:sz w:val="20"/>
          <w:szCs w:val="20"/>
          <w:highlight w:val="yellow"/>
          <w:bdr w:val="single" w:sz="4" w:space="0" w:color="auto"/>
        </w:rPr>
        <w:t>舉</w:t>
      </w:r>
      <w:r w:rsidR="00AA120F" w:rsidRPr="00DA3BC7">
        <w:rPr>
          <w:rFonts w:hAnsi="新細明體"/>
          <w:sz w:val="20"/>
          <w:szCs w:val="20"/>
        </w:rPr>
        <w:t>（</w:t>
      </w:r>
      <w:r w:rsidR="00AA120F" w:rsidRPr="00DA3BC7">
        <w:rPr>
          <w:rFonts w:ascii="Times New Roman" w:hAnsi="Times New Roman"/>
          <w:sz w:val="20"/>
          <w:szCs w:val="20"/>
        </w:rPr>
        <w:t>p</w:t>
      </w:r>
      <w:r w:rsidR="00AA120F" w:rsidRPr="00DA3BC7">
        <w:rPr>
          <w:sz w:val="20"/>
          <w:szCs w:val="20"/>
        </w:rPr>
        <w:t>.</w:t>
      </w:r>
      <w:r w:rsidR="00AA120F" w:rsidRPr="00DA3BC7">
        <w:rPr>
          <w:rFonts w:ascii="Times New Roman" w:hAnsi="Times New Roman"/>
          <w:sz w:val="20"/>
          <w:szCs w:val="20"/>
        </w:rPr>
        <w:t>13</w:t>
      </w:r>
      <w:r w:rsidR="00AA120F" w:rsidRPr="00DA3BC7">
        <w:rPr>
          <w:rFonts w:ascii="Times New Roman" w:hAnsi="Times New Roman" w:hint="eastAsia"/>
          <w:sz w:val="20"/>
          <w:szCs w:val="20"/>
        </w:rPr>
        <w:t>6</w:t>
      </w:r>
      <w:r w:rsidR="00AA120F" w:rsidRPr="00DA3BC7">
        <w:rPr>
          <w:rFonts w:hAnsi="新細明體"/>
          <w:sz w:val="20"/>
          <w:szCs w:val="20"/>
        </w:rPr>
        <w:t>）</w:t>
      </w:r>
    </w:p>
    <w:p w:rsidR="00AA120F" w:rsidRPr="00DA3BC7" w:rsidRDefault="00AA120F" w:rsidP="002E5DD4">
      <w:pPr>
        <w:ind w:leftChars="350" w:left="840"/>
        <w:jc w:val="both"/>
      </w:pPr>
      <w:r w:rsidRPr="00DA3BC7">
        <w:rPr>
          <w:rFonts w:ascii="新細明體" w:hAnsi="新細明體" w:hint="eastAsia"/>
        </w:rPr>
        <w:t>觀去約四事廣破：</w:t>
      </w:r>
      <w:r w:rsidR="007A6E3C">
        <w:rPr>
          <w:rFonts w:ascii="新細明體" w:hAnsi="新細明體" w:hint="eastAsia"/>
        </w:rPr>
        <w:t>（</w:t>
      </w:r>
      <w:r w:rsidRPr="00DA3BC7">
        <w:rPr>
          <w:rFonts w:ascii="新細明體" w:hAnsi="新細明體" w:hint="eastAsia"/>
        </w:rPr>
        <w:t>一</w:t>
      </w:r>
      <w:r w:rsidR="007A6E3C">
        <w:rPr>
          <w:rFonts w:ascii="新細明體" w:hAnsi="新細明體" w:hint="eastAsia"/>
        </w:rPr>
        <w:t>）</w:t>
      </w:r>
      <w:r w:rsidRPr="00DA3BC7">
        <w:rPr>
          <w:rFonts w:ascii="新細明體" w:hAnsi="新細明體" w:hint="eastAsia"/>
        </w:rPr>
        <w:t>、去，</w:t>
      </w:r>
      <w:r w:rsidR="007A6E3C">
        <w:rPr>
          <w:rFonts w:ascii="新細明體" w:hAnsi="新細明體" w:hint="eastAsia"/>
        </w:rPr>
        <w:t>（</w:t>
      </w:r>
      <w:r w:rsidRPr="00DA3BC7">
        <w:rPr>
          <w:rFonts w:ascii="新細明體" w:hAnsi="新細明體" w:hint="eastAsia"/>
        </w:rPr>
        <w:t>二</w:t>
      </w:r>
      <w:r w:rsidR="007A6E3C">
        <w:rPr>
          <w:rFonts w:ascii="新細明體" w:hAnsi="新細明體" w:hint="eastAsia"/>
        </w:rPr>
        <w:t>）</w:t>
      </w:r>
      <w:r w:rsidRPr="00DA3BC7">
        <w:rPr>
          <w:rFonts w:ascii="新細明體" w:hAnsi="新細明體" w:hint="eastAsia"/>
        </w:rPr>
        <w:t>、去者，</w:t>
      </w:r>
      <w:r w:rsidR="007A6E3C">
        <w:rPr>
          <w:rFonts w:ascii="新細明體" w:hAnsi="新細明體" w:hint="eastAsia"/>
        </w:rPr>
        <w:t>（</w:t>
      </w:r>
      <w:r w:rsidRPr="00DA3BC7">
        <w:rPr>
          <w:rFonts w:ascii="新細明體" w:hAnsi="新細明體" w:hint="eastAsia"/>
        </w:rPr>
        <w:t>三</w:t>
      </w:r>
      <w:r w:rsidR="007A6E3C">
        <w:rPr>
          <w:rFonts w:ascii="新細明體" w:hAnsi="新細明體" w:hint="eastAsia"/>
        </w:rPr>
        <w:t>）</w:t>
      </w:r>
      <w:r w:rsidRPr="00DA3BC7">
        <w:rPr>
          <w:rFonts w:ascii="新細明體" w:hAnsi="新細明體" w:hint="eastAsia"/>
        </w:rPr>
        <w:t>、去時，</w:t>
      </w:r>
      <w:r w:rsidR="007A6E3C">
        <w:rPr>
          <w:rFonts w:ascii="新細明體" w:hAnsi="新細明體" w:hint="eastAsia"/>
        </w:rPr>
        <w:t>（</w:t>
      </w:r>
      <w:r w:rsidRPr="00DA3BC7">
        <w:rPr>
          <w:rFonts w:ascii="新細明體" w:hAnsi="新細明體" w:hint="eastAsia"/>
        </w:rPr>
        <w:t>四</w:t>
      </w:r>
      <w:r w:rsidR="007A6E3C">
        <w:rPr>
          <w:rFonts w:ascii="新細明體" w:hAnsi="新細明體" w:hint="eastAsia"/>
        </w:rPr>
        <w:t>）</w:t>
      </w:r>
      <w:r w:rsidRPr="00DA3BC7">
        <w:rPr>
          <w:rFonts w:ascii="新細明體" w:hAnsi="新細明體" w:hint="eastAsia"/>
        </w:rPr>
        <w:t>、</w:t>
      </w:r>
      <w:r w:rsidRPr="00DA3BC7">
        <w:rPr>
          <w:rFonts w:hAnsi="新細明體"/>
        </w:rPr>
        <w:t>去處</w:t>
      </w:r>
      <w:r w:rsidRPr="00DA3BC7">
        <w:t>。</w:t>
      </w:r>
      <w:r w:rsidRPr="00DA3BC7">
        <w:rPr>
          <w:rStyle w:val="a6"/>
          <w:rFonts w:ascii="Times New Roman" w:hAnsi="Times New Roman"/>
        </w:rPr>
        <w:footnoteReference w:id="636"/>
      </w:r>
    </w:p>
    <w:p w:rsidR="00AA120F" w:rsidRPr="00DA3BC7" w:rsidRDefault="00A6274B" w:rsidP="00AE3920">
      <w:pPr>
        <w:spacing w:beforeLines="30"/>
        <w:ind w:leftChars="350" w:left="840"/>
        <w:jc w:val="both"/>
        <w:rPr>
          <w:b/>
          <w:sz w:val="20"/>
          <w:szCs w:val="20"/>
          <w:bdr w:val="single" w:sz="4" w:space="0" w:color="auto"/>
        </w:rPr>
      </w:pPr>
      <w:r w:rsidRPr="00A6274B">
        <w:rPr>
          <w:rFonts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B</w:t>
      </w:r>
      <w:r w:rsidRPr="00A6274B">
        <w:rPr>
          <w:rFonts w:hint="eastAsia"/>
          <w:b/>
          <w:color w:val="FF0000"/>
          <w:sz w:val="20"/>
          <w:szCs w:val="20"/>
          <w:highlight w:val="yellow"/>
          <w:bdr w:val="single" w:sz="4" w:space="0" w:color="auto"/>
        </w:rPr>
        <w:t>）</w:t>
      </w:r>
      <w:r>
        <w:rPr>
          <w:rFonts w:hint="eastAsia"/>
          <w:b/>
          <w:color w:val="FF0000"/>
          <w:sz w:val="20"/>
          <w:szCs w:val="20"/>
          <w:highlight w:val="yellow"/>
          <w:bdr w:val="single" w:sz="4" w:space="0" w:color="auto"/>
        </w:rPr>
        <w:t>論</w:t>
      </w:r>
      <w:r w:rsidR="00AA120F" w:rsidRPr="00DA3BC7">
        <w:rPr>
          <w:b/>
          <w:sz w:val="20"/>
          <w:szCs w:val="20"/>
          <w:bdr w:val="single" w:sz="4" w:space="0" w:color="auto"/>
        </w:rPr>
        <w:t>破</w:t>
      </w:r>
      <w:r w:rsidR="00AA120F" w:rsidRPr="00DA3BC7">
        <w:rPr>
          <w:rFonts w:hAnsi="新細明體"/>
          <w:sz w:val="20"/>
          <w:szCs w:val="20"/>
        </w:rPr>
        <w:t>（</w:t>
      </w:r>
      <w:r w:rsidR="00AA120F" w:rsidRPr="00DA3BC7">
        <w:rPr>
          <w:rFonts w:ascii="Times New Roman" w:hAnsi="Times New Roman"/>
          <w:sz w:val="20"/>
          <w:szCs w:val="20"/>
        </w:rPr>
        <w:t>p</w:t>
      </w:r>
      <w:r w:rsidR="00AA120F" w:rsidRPr="00DA3BC7">
        <w:rPr>
          <w:sz w:val="20"/>
          <w:szCs w:val="20"/>
        </w:rPr>
        <w:t>.</w:t>
      </w:r>
      <w:r w:rsidR="00AA120F" w:rsidRPr="00DA3BC7">
        <w:rPr>
          <w:rFonts w:ascii="Times New Roman" w:hAnsi="Times New Roman"/>
          <w:sz w:val="20"/>
          <w:szCs w:val="20"/>
        </w:rPr>
        <w:t>13</w:t>
      </w:r>
      <w:r w:rsidR="00AA120F" w:rsidRPr="00DA3BC7">
        <w:rPr>
          <w:rFonts w:ascii="Times New Roman" w:hAnsi="Times New Roman" w:hint="eastAsia"/>
          <w:sz w:val="20"/>
          <w:szCs w:val="20"/>
        </w:rPr>
        <w:t>6</w:t>
      </w:r>
      <w:r w:rsidR="00AA120F" w:rsidRPr="00DA3BC7">
        <w:rPr>
          <w:rFonts w:hAnsi="新細明體"/>
          <w:sz w:val="20"/>
          <w:szCs w:val="20"/>
        </w:rPr>
        <w:t>）</w:t>
      </w:r>
    </w:p>
    <w:p w:rsidR="00AA120F" w:rsidRPr="00DA3BC7" w:rsidRDefault="00A6274B" w:rsidP="002E5DD4">
      <w:pPr>
        <w:ind w:leftChars="400" w:left="960"/>
        <w:jc w:val="both"/>
        <w:rPr>
          <w:b/>
          <w:sz w:val="20"/>
          <w:szCs w:val="20"/>
          <w:bdr w:val="single" w:sz="4" w:space="0" w:color="auto"/>
        </w:rPr>
      </w:pPr>
      <w:r w:rsidRPr="00A6274B">
        <w:rPr>
          <w:rFonts w:ascii="Times New Roman" w:hAnsi="Times New Roman" w:hint="eastAsia"/>
          <w:b/>
          <w:color w:val="FF0000"/>
          <w:sz w:val="20"/>
          <w:szCs w:val="20"/>
          <w:highlight w:val="yellow"/>
          <w:bdr w:val="single" w:sz="4" w:space="0" w:color="auto"/>
        </w:rPr>
        <w:t>a</w:t>
      </w:r>
      <w:r w:rsidRPr="00A6274B">
        <w:rPr>
          <w:b/>
          <w:color w:val="FF0000"/>
          <w:sz w:val="20"/>
          <w:szCs w:val="20"/>
          <w:highlight w:val="yellow"/>
          <w:bdr w:val="single" w:sz="4" w:space="0" w:color="auto"/>
        </w:rPr>
        <w:t>、</w:t>
      </w:r>
      <w:r w:rsidR="00AA120F" w:rsidRPr="00DA3BC7">
        <w:rPr>
          <w:rFonts w:hint="eastAsia"/>
          <w:b/>
          <w:sz w:val="20"/>
          <w:szCs w:val="20"/>
          <w:bdr w:val="single" w:sz="4" w:space="0" w:color="auto"/>
        </w:rPr>
        <w:t>破「去」與「去者」</w:t>
      </w:r>
      <w:r w:rsidR="00AA120F" w:rsidRPr="00DA3BC7">
        <w:rPr>
          <w:rFonts w:hAnsi="新細明體"/>
          <w:sz w:val="20"/>
          <w:szCs w:val="20"/>
        </w:rPr>
        <w:t>（</w:t>
      </w:r>
      <w:r w:rsidR="00AA120F" w:rsidRPr="00DA3BC7">
        <w:rPr>
          <w:rFonts w:ascii="Times New Roman" w:hAnsi="Times New Roman"/>
          <w:sz w:val="20"/>
          <w:szCs w:val="20"/>
        </w:rPr>
        <w:t>p</w:t>
      </w:r>
      <w:r w:rsidR="00AA120F" w:rsidRPr="00DA3BC7">
        <w:rPr>
          <w:sz w:val="20"/>
          <w:szCs w:val="20"/>
        </w:rPr>
        <w:t>.</w:t>
      </w:r>
      <w:r w:rsidR="00AA120F" w:rsidRPr="00DA3BC7">
        <w:rPr>
          <w:rFonts w:ascii="Times New Roman" w:hAnsi="Times New Roman"/>
          <w:sz w:val="20"/>
          <w:szCs w:val="20"/>
        </w:rPr>
        <w:t>13</w:t>
      </w:r>
      <w:r w:rsidR="00AA120F" w:rsidRPr="00DA3BC7">
        <w:rPr>
          <w:rFonts w:ascii="Times New Roman" w:hAnsi="Times New Roman" w:hint="eastAsia"/>
          <w:sz w:val="20"/>
          <w:szCs w:val="20"/>
        </w:rPr>
        <w:t>6</w:t>
      </w:r>
      <w:r w:rsidR="00AA120F" w:rsidRPr="00DA3BC7">
        <w:rPr>
          <w:rFonts w:hAnsi="新細明體"/>
          <w:sz w:val="20"/>
          <w:szCs w:val="20"/>
        </w:rPr>
        <w:t>）</w:t>
      </w:r>
    </w:p>
    <w:p w:rsidR="00AA120F" w:rsidRPr="00DA3BC7" w:rsidRDefault="00AA120F" w:rsidP="002E5DD4">
      <w:pPr>
        <w:ind w:leftChars="400" w:left="960"/>
        <w:jc w:val="both"/>
        <w:rPr>
          <w:rFonts w:ascii="新細明體" w:hAnsi="新細明體"/>
        </w:rPr>
      </w:pPr>
      <w:r w:rsidRPr="007A6E3C">
        <w:rPr>
          <w:rFonts w:ascii="新細明體" w:hAnsi="新細明體" w:hint="eastAsia"/>
          <w:b/>
          <w:u w:val="wave" w:color="C00000"/>
        </w:rPr>
        <w:t>去</w:t>
      </w:r>
      <w:r w:rsidRPr="00DA3BC7">
        <w:rPr>
          <w:rFonts w:ascii="新細明體" w:hAnsi="新細明體" w:hint="eastAsia"/>
        </w:rPr>
        <w:t>與</w:t>
      </w:r>
      <w:r w:rsidRPr="007A6E3C">
        <w:rPr>
          <w:rFonts w:ascii="新細明體" w:hAnsi="新細明體" w:hint="eastAsia"/>
          <w:b/>
          <w:u w:val="wave" w:color="C00000"/>
        </w:rPr>
        <w:t>去者</w:t>
      </w:r>
      <w:r w:rsidRPr="00DA3BC7">
        <w:rPr>
          <w:rFonts w:ascii="新細明體" w:hAnsi="新細明體" w:hint="eastAsia"/>
        </w:rPr>
        <w:t>，《中論》以</w:t>
      </w:r>
      <w:r w:rsidRPr="007A6E3C">
        <w:rPr>
          <w:rFonts w:ascii="新細明體" w:hAnsi="新細明體" w:hint="eastAsia"/>
          <w:b/>
          <w:u w:val="wave" w:color="C00000"/>
        </w:rPr>
        <w:t>一異</w:t>
      </w:r>
      <w:r w:rsidRPr="00DA3BC7">
        <w:rPr>
          <w:rFonts w:ascii="新細明體" w:hAnsi="新細明體" w:hint="eastAsia"/>
        </w:rPr>
        <w:t>的論法而研考</w:t>
      </w:r>
      <w:r w:rsidRPr="00DA3BC7">
        <w:rPr>
          <w:rStyle w:val="a6"/>
          <w:rFonts w:ascii="Times New Roman" w:hAnsi="Times New Roman"/>
        </w:rPr>
        <w:footnoteReference w:id="637"/>
      </w:r>
      <w:r w:rsidRPr="00DA3BC7">
        <w:rPr>
          <w:rFonts w:ascii="新細明體" w:hAnsi="新細明體" w:hint="eastAsia"/>
        </w:rPr>
        <w:t>之。</w:t>
      </w:r>
      <w:r w:rsidRPr="007A6E3C">
        <w:rPr>
          <w:rFonts w:ascii="新細明體" w:hAnsi="新細明體" w:hint="eastAsia"/>
          <w:b/>
          <w:u w:val="wave" w:color="C00000"/>
        </w:rPr>
        <w:t>去</w:t>
      </w:r>
      <w:r w:rsidRPr="00DA3BC7">
        <w:rPr>
          <w:rFonts w:ascii="新細明體" w:hAnsi="新細明體" w:hint="eastAsia"/>
        </w:rPr>
        <w:t>異</w:t>
      </w:r>
      <w:r w:rsidRPr="007A6E3C">
        <w:rPr>
          <w:rFonts w:ascii="新細明體" w:hAnsi="新細明體" w:hint="eastAsia"/>
          <w:b/>
          <w:u w:val="wave" w:color="C00000"/>
        </w:rPr>
        <w:t>去者</w:t>
      </w:r>
      <w:r w:rsidR="00A6274B">
        <w:rPr>
          <w:rFonts w:ascii="新細明體" w:hAnsi="新細明體" w:hint="eastAsia"/>
        </w:rPr>
        <w:t>，或</w:t>
      </w:r>
      <w:r w:rsidRPr="007A6E3C">
        <w:rPr>
          <w:rFonts w:ascii="新細明體" w:hAnsi="新細明體" w:hint="eastAsia"/>
          <w:b/>
          <w:u w:val="wave" w:color="C00000"/>
        </w:rPr>
        <w:t>去者</w:t>
      </w:r>
      <w:r w:rsidR="00A6274B">
        <w:rPr>
          <w:rFonts w:ascii="新細明體" w:hAnsi="新細明體" w:hint="eastAsia"/>
        </w:rPr>
        <w:t>即</w:t>
      </w:r>
      <w:r w:rsidRPr="007A6E3C">
        <w:rPr>
          <w:rFonts w:ascii="新細明體" w:hAnsi="新細明體" w:hint="eastAsia"/>
          <w:b/>
          <w:u w:val="wave" w:color="C00000"/>
        </w:rPr>
        <w:t>去</w:t>
      </w:r>
      <w:r w:rsidRPr="00DA3BC7">
        <w:rPr>
          <w:rFonts w:ascii="新細明體" w:hAnsi="新細明體" w:hint="eastAsia"/>
        </w:rPr>
        <w:t>，把</w:t>
      </w:r>
      <w:r w:rsidRPr="007A6E3C">
        <w:rPr>
          <w:rFonts w:ascii="新細明體" w:hAnsi="新細明體" w:hint="eastAsia"/>
          <w:b/>
          <w:u w:val="wave" w:color="C00000"/>
        </w:rPr>
        <w:t>存在的去者</w:t>
      </w:r>
      <w:r w:rsidRPr="00DA3BC7">
        <w:rPr>
          <w:rFonts w:ascii="新細明體" w:hAnsi="新細明體" w:hint="eastAsia"/>
        </w:rPr>
        <w:t>與</w:t>
      </w:r>
      <w:r w:rsidRPr="007A6E3C">
        <w:rPr>
          <w:rFonts w:ascii="新細明體" w:hAnsi="新細明體" w:hint="eastAsia"/>
          <w:b/>
          <w:u w:val="wave" w:color="C00000"/>
        </w:rPr>
        <w:t>運動的去</w:t>
      </w:r>
      <w:r w:rsidRPr="00A6274B">
        <w:rPr>
          <w:rFonts w:ascii="新細明體" w:hAnsi="新細明體" w:hint="eastAsia"/>
          <w:highlight w:val="yellow"/>
        </w:rPr>
        <w:t>看</w:t>
      </w:r>
      <w:r w:rsidRPr="00DA3BC7">
        <w:rPr>
          <w:rFonts w:ascii="新細明體" w:hAnsi="新細明體" w:hint="eastAsia"/>
        </w:rPr>
        <w:t>成一體或各別，都不能成立運動。</w:t>
      </w:r>
    </w:p>
    <w:p w:rsidR="00AA120F" w:rsidRPr="00DA3BC7" w:rsidRDefault="00AA120F" w:rsidP="00AE3920">
      <w:pPr>
        <w:spacing w:beforeLines="20"/>
        <w:ind w:leftChars="400" w:left="960"/>
        <w:jc w:val="both"/>
        <w:rPr>
          <w:rFonts w:ascii="新細明體" w:hAnsi="新細明體"/>
        </w:rPr>
      </w:pPr>
      <w:r w:rsidRPr="007A6E3C">
        <w:rPr>
          <w:rFonts w:ascii="新細明體" w:hAnsi="新細明體" w:hint="eastAsia"/>
          <w:b/>
          <w:u w:val="wave" w:color="C00000"/>
        </w:rPr>
        <w:t>去</w:t>
      </w:r>
      <w:r w:rsidRPr="00DA3BC7">
        <w:rPr>
          <w:rFonts w:ascii="新細明體" w:hAnsi="新細明體" w:hint="eastAsia"/>
        </w:rPr>
        <w:t>與</w:t>
      </w:r>
      <w:r w:rsidRPr="007A6E3C">
        <w:rPr>
          <w:rFonts w:ascii="新細明體" w:hAnsi="新細明體" w:hint="eastAsia"/>
          <w:b/>
          <w:u w:val="wave" w:color="C00000"/>
        </w:rPr>
        <w:t>去</w:t>
      </w:r>
      <w:r w:rsidR="007A6E3C">
        <w:rPr>
          <w:rFonts w:ascii="新細明體" w:hAnsi="新細明體" w:hint="eastAsia"/>
          <w:b/>
          <w:u w:val="wave" w:color="C00000"/>
        </w:rPr>
        <w:t>者</w:t>
      </w:r>
      <w:r w:rsidRPr="00DA3BC7">
        <w:rPr>
          <w:rFonts w:ascii="新細明體" w:hAnsi="新細明體" w:hint="eastAsia"/>
          <w:b/>
        </w:rPr>
        <w:t>異</w:t>
      </w:r>
      <w:r w:rsidRPr="00DA3BC7">
        <w:rPr>
          <w:rFonts w:ascii="新細明體" w:hAnsi="新細明體" w:hint="eastAsia"/>
        </w:rPr>
        <w:t>，那應該</w:t>
      </w:r>
      <w:r w:rsidR="007A6E3C">
        <w:rPr>
          <w:rFonts w:ascii="新細明體" w:hAnsi="新細明體" w:hint="eastAsia"/>
        </w:rPr>
        <w:t>離</w:t>
      </w:r>
      <w:r w:rsidRPr="007A6E3C">
        <w:rPr>
          <w:rFonts w:ascii="新細明體" w:hAnsi="新細明體" w:hint="eastAsia"/>
          <w:b/>
          <w:u w:val="wave" w:color="C00000"/>
        </w:rPr>
        <w:t>去者</w:t>
      </w:r>
      <w:r w:rsidRPr="00DA3BC7">
        <w:rPr>
          <w:rFonts w:ascii="新細明體" w:hAnsi="新細明體" w:hint="eastAsia"/>
        </w:rPr>
        <w:t>以外而有</w:t>
      </w:r>
      <w:r w:rsidRPr="007A6E3C">
        <w:rPr>
          <w:rFonts w:ascii="新細明體" w:hAnsi="新細明體" w:hint="eastAsia"/>
          <w:b/>
          <w:u w:val="wave" w:color="C00000"/>
        </w:rPr>
        <w:t>去</w:t>
      </w:r>
      <w:r w:rsidRPr="00DA3BC7">
        <w:rPr>
          <w:rFonts w:ascii="新細明體" w:hAnsi="新細明體" w:hint="eastAsia"/>
        </w:rPr>
        <w:t>了。</w:t>
      </w:r>
    </w:p>
    <w:p w:rsidR="00AA120F" w:rsidRPr="00DA3BC7" w:rsidRDefault="00AA120F" w:rsidP="002E5DD4">
      <w:pPr>
        <w:ind w:leftChars="400" w:left="960"/>
        <w:jc w:val="both"/>
        <w:rPr>
          <w:rFonts w:ascii="新細明體" w:hAnsi="新細明體"/>
        </w:rPr>
      </w:pPr>
      <w:r w:rsidRPr="00DA3BC7">
        <w:rPr>
          <w:rFonts w:ascii="新細明體" w:hAnsi="新細明體" w:hint="eastAsia"/>
        </w:rPr>
        <w:t>如</w:t>
      </w:r>
      <w:r w:rsidR="00A6274B" w:rsidRPr="007A6E3C">
        <w:rPr>
          <w:rFonts w:ascii="新細明體" w:hAnsi="新細明體" w:hint="eastAsia"/>
          <w:b/>
          <w:u w:val="wave" w:color="C00000"/>
        </w:rPr>
        <w:t>去</w:t>
      </w:r>
      <w:r w:rsidR="00A6274B">
        <w:rPr>
          <w:rFonts w:ascii="新細明體" w:hAnsi="新細明體" w:hint="eastAsia"/>
        </w:rPr>
        <w:t>與</w:t>
      </w:r>
      <w:r w:rsidRPr="007A6E3C">
        <w:rPr>
          <w:rFonts w:ascii="新細明體" w:hAnsi="新細明體" w:hint="eastAsia"/>
          <w:b/>
          <w:u w:val="wave" w:color="C00000"/>
        </w:rPr>
        <w:t>去者</w:t>
      </w:r>
      <w:r w:rsidRPr="00DA3BC7">
        <w:rPr>
          <w:rFonts w:ascii="新細明體" w:hAnsi="新細明體" w:hint="eastAsia"/>
          <w:b/>
        </w:rPr>
        <w:t>一</w:t>
      </w:r>
      <w:r w:rsidRPr="00DA3BC7">
        <w:rPr>
          <w:rFonts w:ascii="新細明體" w:hAnsi="新細明體" w:hint="eastAsia"/>
        </w:rPr>
        <w:t>，即壞體與用的相對差別相。</w:t>
      </w:r>
    </w:p>
    <w:p w:rsidR="00AA120F" w:rsidRPr="00DA3BC7" w:rsidRDefault="00AA120F" w:rsidP="00AE3920">
      <w:pPr>
        <w:spacing w:beforeLines="20"/>
        <w:ind w:leftChars="400" w:left="960"/>
        <w:jc w:val="both"/>
        <w:rPr>
          <w:rFonts w:ascii="新細明體" w:hAnsi="新細明體"/>
        </w:rPr>
      </w:pPr>
      <w:r w:rsidRPr="00DA3BC7">
        <w:rPr>
          <w:rFonts w:ascii="新細明體" w:hAnsi="新細明體" w:hint="eastAsia"/>
        </w:rPr>
        <w:t>一、異以外（自性論者，不是同一，就是各別），再沒有可說的了。</w:t>
      </w:r>
    </w:p>
    <w:p w:rsidR="00AA120F" w:rsidRPr="00DA3BC7" w:rsidRDefault="00A6274B" w:rsidP="00AE3920">
      <w:pPr>
        <w:spacing w:beforeLines="30"/>
        <w:ind w:leftChars="400" w:left="960"/>
        <w:jc w:val="both"/>
        <w:rPr>
          <w:b/>
          <w:sz w:val="20"/>
          <w:szCs w:val="20"/>
          <w:bdr w:val="single" w:sz="4" w:space="0" w:color="auto"/>
        </w:rPr>
      </w:pPr>
      <w:r w:rsidRPr="00A6274B">
        <w:rPr>
          <w:rFonts w:ascii="Times New Roman" w:hAnsi="Times New Roman" w:hint="eastAsia"/>
          <w:b/>
          <w:color w:val="FF0000"/>
          <w:sz w:val="20"/>
          <w:szCs w:val="20"/>
          <w:highlight w:val="yellow"/>
          <w:bdr w:val="single" w:sz="4" w:space="0" w:color="auto"/>
        </w:rPr>
        <w:lastRenderedPageBreak/>
        <w:t>b</w:t>
      </w:r>
      <w:r w:rsidRPr="00A6274B">
        <w:rPr>
          <w:rFonts w:hint="eastAsia"/>
          <w:b/>
          <w:color w:val="FF0000"/>
          <w:sz w:val="20"/>
          <w:szCs w:val="20"/>
          <w:highlight w:val="yellow"/>
          <w:bdr w:val="single" w:sz="4" w:space="0" w:color="auto"/>
        </w:rPr>
        <w:t>、</w:t>
      </w:r>
      <w:r w:rsidR="00AA120F" w:rsidRPr="00DA3BC7">
        <w:rPr>
          <w:b/>
          <w:sz w:val="20"/>
          <w:szCs w:val="20"/>
          <w:bdr w:val="single" w:sz="4" w:space="0" w:color="auto"/>
        </w:rPr>
        <w:t>破「去時」</w:t>
      </w:r>
      <w:r w:rsidR="00AA120F" w:rsidRPr="00DA3BC7">
        <w:rPr>
          <w:rFonts w:hAnsi="新細明體"/>
          <w:sz w:val="20"/>
          <w:szCs w:val="20"/>
        </w:rPr>
        <w:t>（</w:t>
      </w:r>
      <w:r w:rsidR="00AA120F" w:rsidRPr="00DA3BC7">
        <w:rPr>
          <w:rFonts w:ascii="Times New Roman" w:hAnsi="Times New Roman"/>
          <w:sz w:val="20"/>
          <w:szCs w:val="20"/>
        </w:rPr>
        <w:t>p</w:t>
      </w:r>
      <w:r w:rsidR="00AA120F" w:rsidRPr="00DA3BC7">
        <w:rPr>
          <w:sz w:val="20"/>
          <w:szCs w:val="20"/>
        </w:rPr>
        <w:t>.</w:t>
      </w:r>
      <w:r w:rsidR="00AA120F" w:rsidRPr="00DA3BC7">
        <w:rPr>
          <w:rFonts w:ascii="Times New Roman" w:hAnsi="Times New Roman"/>
          <w:sz w:val="20"/>
          <w:szCs w:val="20"/>
        </w:rPr>
        <w:t>13</w:t>
      </w:r>
      <w:r w:rsidR="00AA120F" w:rsidRPr="00DA3BC7">
        <w:rPr>
          <w:rFonts w:ascii="Times New Roman" w:hAnsi="Times New Roman" w:hint="eastAsia"/>
          <w:sz w:val="20"/>
          <w:szCs w:val="20"/>
        </w:rPr>
        <w:t>6</w:t>
      </w:r>
      <w:r w:rsidR="00AA120F" w:rsidRPr="00DA3BC7">
        <w:rPr>
          <w:rFonts w:hAnsi="新細明體"/>
          <w:sz w:val="20"/>
          <w:szCs w:val="20"/>
        </w:rPr>
        <w:t>）</w:t>
      </w:r>
    </w:p>
    <w:p w:rsidR="00AA120F" w:rsidRPr="00DA3BC7" w:rsidRDefault="00A6274B" w:rsidP="002E5DD4">
      <w:pPr>
        <w:ind w:leftChars="450" w:left="1080"/>
        <w:jc w:val="both"/>
        <w:rPr>
          <w:b/>
          <w:sz w:val="20"/>
          <w:szCs w:val="20"/>
          <w:bdr w:val="single" w:sz="4" w:space="0" w:color="auto"/>
        </w:rPr>
      </w:pPr>
      <w:r w:rsidRPr="00A6274B">
        <w:rPr>
          <w:rFonts w:hint="eastAsia"/>
          <w:b/>
          <w:color w:val="FF0000"/>
          <w:sz w:val="20"/>
          <w:szCs w:val="20"/>
          <w:highlight w:val="yellow"/>
          <w:bdr w:val="single" w:sz="4" w:space="0" w:color="auto"/>
        </w:rPr>
        <w:t>（</w:t>
      </w:r>
      <w:r w:rsidRPr="00A6274B">
        <w:rPr>
          <w:rFonts w:ascii="Times New Roman" w:hAnsi="Times New Roman" w:hint="eastAsia"/>
          <w:b/>
          <w:color w:val="FF0000"/>
          <w:sz w:val="20"/>
          <w:szCs w:val="20"/>
          <w:highlight w:val="yellow"/>
          <w:bdr w:val="single" w:sz="4" w:space="0" w:color="auto"/>
        </w:rPr>
        <w:t>a</w:t>
      </w:r>
      <w:r w:rsidRPr="00A6274B">
        <w:rPr>
          <w:rFonts w:hint="eastAsia"/>
          <w:b/>
          <w:color w:val="FF0000"/>
          <w:sz w:val="20"/>
          <w:szCs w:val="20"/>
          <w:highlight w:val="yellow"/>
          <w:bdr w:val="single" w:sz="4" w:space="0" w:color="auto"/>
        </w:rPr>
        <w:t>）</w:t>
      </w:r>
      <w:r w:rsidR="00AA120F" w:rsidRPr="00DA3BC7">
        <w:rPr>
          <w:rFonts w:hint="eastAsia"/>
          <w:b/>
          <w:sz w:val="20"/>
          <w:szCs w:val="20"/>
          <w:bdr w:val="single" w:sz="4" w:space="0" w:color="auto"/>
        </w:rPr>
        <w:t>破</w:t>
      </w:r>
      <w:r w:rsidRPr="00A6274B">
        <w:rPr>
          <w:b/>
          <w:color w:val="FF0000"/>
          <w:sz w:val="20"/>
          <w:szCs w:val="20"/>
          <w:highlight w:val="yellow"/>
          <w:bdr w:val="single" w:sz="4" w:space="0" w:color="auto"/>
        </w:rPr>
        <w:t>「</w:t>
      </w:r>
      <w:r w:rsidR="00AA120F" w:rsidRPr="00DA3BC7">
        <w:rPr>
          <w:rFonts w:hint="eastAsia"/>
          <w:b/>
          <w:sz w:val="20"/>
          <w:szCs w:val="20"/>
          <w:bdr w:val="single" w:sz="4" w:space="0" w:color="auto"/>
        </w:rPr>
        <w:t>已去、未去、正去</w:t>
      </w:r>
      <w:r w:rsidRPr="00A6274B">
        <w:rPr>
          <w:b/>
          <w:color w:val="FF0000"/>
          <w:sz w:val="20"/>
          <w:szCs w:val="20"/>
          <w:highlight w:val="yellow"/>
          <w:bdr w:val="single" w:sz="4" w:space="0" w:color="auto"/>
        </w:rPr>
        <w:t>」</w:t>
      </w:r>
      <w:r w:rsidR="00AA120F" w:rsidRPr="00DA3BC7">
        <w:rPr>
          <w:rFonts w:hAnsi="新細明體"/>
          <w:sz w:val="20"/>
          <w:szCs w:val="20"/>
        </w:rPr>
        <w:t>（</w:t>
      </w:r>
      <w:r w:rsidR="00AA120F" w:rsidRPr="00DA3BC7">
        <w:rPr>
          <w:rFonts w:ascii="Times New Roman" w:hAnsi="Times New Roman"/>
          <w:sz w:val="20"/>
          <w:szCs w:val="20"/>
        </w:rPr>
        <w:t>p</w:t>
      </w:r>
      <w:r w:rsidR="00AA120F" w:rsidRPr="00DA3BC7">
        <w:rPr>
          <w:sz w:val="20"/>
          <w:szCs w:val="20"/>
        </w:rPr>
        <w:t>.</w:t>
      </w:r>
      <w:r w:rsidR="00AA120F" w:rsidRPr="00DA3BC7">
        <w:rPr>
          <w:rFonts w:ascii="Times New Roman" w:hAnsi="Times New Roman"/>
          <w:sz w:val="20"/>
          <w:szCs w:val="20"/>
        </w:rPr>
        <w:t>13</w:t>
      </w:r>
      <w:r w:rsidR="00AA120F" w:rsidRPr="00DA3BC7">
        <w:rPr>
          <w:rFonts w:ascii="Times New Roman" w:hAnsi="Times New Roman" w:hint="eastAsia"/>
          <w:sz w:val="20"/>
          <w:szCs w:val="20"/>
        </w:rPr>
        <w:t>6</w:t>
      </w:r>
      <w:r w:rsidR="00AA120F" w:rsidRPr="00DA3BC7">
        <w:rPr>
          <w:rFonts w:hAnsi="新細明體"/>
          <w:sz w:val="20"/>
          <w:szCs w:val="20"/>
        </w:rPr>
        <w:t>）</w:t>
      </w:r>
    </w:p>
    <w:p w:rsidR="00AA120F" w:rsidRPr="00DA3BC7" w:rsidRDefault="00AA120F" w:rsidP="002E5DD4">
      <w:pPr>
        <w:ind w:leftChars="450" w:left="1080"/>
        <w:jc w:val="both"/>
        <w:rPr>
          <w:rFonts w:ascii="新細明體" w:hAnsi="新細明體"/>
          <w:strike/>
        </w:rPr>
      </w:pPr>
      <w:r w:rsidRPr="00DA3BC7">
        <w:rPr>
          <w:rFonts w:ascii="新細明體" w:hAnsi="新細明體" w:hint="eastAsia"/>
        </w:rPr>
        <w:t>又約</w:t>
      </w:r>
      <w:r w:rsidRPr="007A6E3C">
        <w:rPr>
          <w:rFonts w:ascii="新細明體" w:hAnsi="新細明體" w:hint="eastAsia"/>
          <w:b/>
          <w:u w:val="wave" w:color="C00000"/>
        </w:rPr>
        <w:t>去時</w:t>
      </w:r>
      <w:r w:rsidRPr="00DA3BC7">
        <w:rPr>
          <w:rFonts w:ascii="新細明體" w:hAnsi="新細明體" w:hint="eastAsia"/>
        </w:rPr>
        <w:t>考察去，除了用一異的方法外，又說：「</w:t>
      </w:r>
      <w:r w:rsidRPr="00DA3BC7">
        <w:rPr>
          <w:rFonts w:ascii="標楷體" w:eastAsia="標楷體" w:hAnsi="標楷體" w:hint="eastAsia"/>
        </w:rPr>
        <w:t>已去無有去，未去亦無去，離已去未去，去時亦無去</w:t>
      </w:r>
      <w:r w:rsidRPr="00DA3BC7">
        <w:rPr>
          <w:rFonts w:hAnsi="新細明體"/>
        </w:rPr>
        <w:t>。</w:t>
      </w:r>
      <w:r w:rsidRPr="00DA3BC7">
        <w:rPr>
          <w:rFonts w:ascii="新細明體" w:hAnsi="新細明體" w:hint="eastAsia"/>
        </w:rPr>
        <w:t>」</w:t>
      </w:r>
      <w:r w:rsidRPr="00DA3BC7">
        <w:rPr>
          <w:rFonts w:ascii="Times New Roman" w:hAnsi="Times New Roman"/>
          <w:vertAlign w:val="superscript"/>
        </w:rPr>
        <w:footnoteReference w:id="638"/>
      </w:r>
    </w:p>
    <w:p w:rsidR="00AA120F" w:rsidRPr="00DA3BC7" w:rsidRDefault="00A6274B" w:rsidP="00AE3920">
      <w:pPr>
        <w:spacing w:beforeLines="30"/>
        <w:ind w:leftChars="450" w:left="1080"/>
        <w:jc w:val="both"/>
        <w:rPr>
          <w:b/>
          <w:sz w:val="20"/>
          <w:szCs w:val="20"/>
          <w:bdr w:val="single" w:sz="4" w:space="0" w:color="auto"/>
        </w:rPr>
      </w:pPr>
      <w:r w:rsidRPr="00516DB9">
        <w:rPr>
          <w:rFonts w:ascii="Times New Roman" w:hAnsi="Times New Roman" w:hint="eastAsia"/>
          <w:b/>
          <w:color w:val="FF0000"/>
          <w:sz w:val="20"/>
          <w:szCs w:val="20"/>
          <w:highlight w:val="yellow"/>
          <w:bdr w:val="single" w:sz="4" w:space="0" w:color="auto"/>
        </w:rPr>
        <w:t>（</w:t>
      </w:r>
      <w:r w:rsidRPr="00516DB9">
        <w:rPr>
          <w:rFonts w:ascii="Times New Roman" w:hAnsi="Times New Roman" w:hint="eastAsia"/>
          <w:b/>
          <w:color w:val="FF0000"/>
          <w:sz w:val="20"/>
          <w:szCs w:val="20"/>
          <w:highlight w:val="yellow"/>
          <w:bdr w:val="single" w:sz="4" w:space="0" w:color="auto"/>
        </w:rPr>
        <w:t>b</w:t>
      </w:r>
      <w:r w:rsidRPr="00516DB9">
        <w:rPr>
          <w:rFonts w:hint="eastAsia"/>
          <w:b/>
          <w:color w:val="FF0000"/>
          <w:sz w:val="20"/>
          <w:szCs w:val="20"/>
          <w:highlight w:val="yellow"/>
          <w:bdr w:val="single" w:sz="4" w:space="0" w:color="auto"/>
        </w:rPr>
        <w:t>）</w:t>
      </w:r>
      <w:r w:rsidR="00AA120F" w:rsidRPr="00DA3BC7">
        <w:rPr>
          <w:rFonts w:hint="eastAsia"/>
          <w:b/>
          <w:sz w:val="20"/>
          <w:szCs w:val="20"/>
          <w:bdr w:val="single" w:sz="4" w:space="0" w:color="auto"/>
        </w:rPr>
        <w:t>兼破「發」</w:t>
      </w:r>
      <w:r w:rsidR="00AA120F" w:rsidRPr="00DA3BC7">
        <w:rPr>
          <w:rFonts w:hAnsi="新細明體"/>
          <w:sz w:val="20"/>
          <w:szCs w:val="20"/>
        </w:rPr>
        <w:t>（</w:t>
      </w:r>
      <w:r w:rsidR="00AA120F" w:rsidRPr="00DA3BC7">
        <w:rPr>
          <w:rFonts w:ascii="Times New Roman" w:hAnsi="Times New Roman"/>
          <w:sz w:val="20"/>
          <w:szCs w:val="20"/>
        </w:rPr>
        <w:t>p</w:t>
      </w:r>
      <w:r w:rsidR="00AA120F" w:rsidRPr="00DA3BC7">
        <w:rPr>
          <w:sz w:val="20"/>
          <w:szCs w:val="20"/>
        </w:rPr>
        <w:t>.</w:t>
      </w:r>
      <w:r w:rsidR="00AA120F" w:rsidRPr="00DA3BC7">
        <w:rPr>
          <w:rFonts w:ascii="Times New Roman" w:hAnsi="Times New Roman"/>
          <w:sz w:val="20"/>
          <w:szCs w:val="20"/>
        </w:rPr>
        <w:t>13</w:t>
      </w:r>
      <w:r w:rsidR="00AA120F" w:rsidRPr="00DA3BC7">
        <w:rPr>
          <w:rFonts w:ascii="Times New Roman" w:hAnsi="Times New Roman" w:hint="eastAsia"/>
          <w:sz w:val="20"/>
          <w:szCs w:val="20"/>
        </w:rPr>
        <w:t>6</w:t>
      </w:r>
      <w:r w:rsidR="00AA120F" w:rsidRPr="00DA3BC7">
        <w:rPr>
          <w:rFonts w:hAnsi="新細明體"/>
          <w:sz w:val="20"/>
          <w:szCs w:val="20"/>
        </w:rPr>
        <w:t>）</w:t>
      </w:r>
    </w:p>
    <w:p w:rsidR="00AA120F" w:rsidRPr="00DA3BC7" w:rsidRDefault="00AA120F" w:rsidP="002E5DD4">
      <w:pPr>
        <w:ind w:leftChars="450" w:left="1080"/>
        <w:jc w:val="both"/>
      </w:pPr>
      <w:r w:rsidRPr="00DA3BC7">
        <w:rPr>
          <w:rFonts w:ascii="新細明體" w:hAnsi="新細明體" w:hint="eastAsia"/>
        </w:rPr>
        <w:t>已去、未去、正去的去時，都不能成立自性的運動</w:t>
      </w:r>
      <w:r w:rsidR="00516DB9">
        <w:rPr>
          <w:rFonts w:ascii="新細明體" w:hAnsi="新細明體" w:hint="eastAsia"/>
          <w:color w:val="FF0000"/>
          <w:highlight w:val="yellow"/>
        </w:rPr>
        <w:t>，</w:t>
      </w:r>
      <w:r w:rsidRPr="00DA3BC7">
        <w:rPr>
          <w:rFonts w:ascii="新細明體" w:hAnsi="新細明體" w:hint="eastAsia"/>
        </w:rPr>
        <w:t>外人即轉計有</w:t>
      </w:r>
      <w:r w:rsidRPr="007A6E3C">
        <w:rPr>
          <w:rFonts w:ascii="新細明體" w:hAnsi="新細明體" w:hint="eastAsia"/>
          <w:b/>
          <w:u w:val="wave" w:color="C00000"/>
        </w:rPr>
        <w:t>發</w:t>
      </w:r>
      <w:r w:rsidR="00516DB9" w:rsidRPr="00516DB9">
        <w:rPr>
          <w:rFonts w:ascii="新細明體" w:hAnsi="新細明體" w:hint="eastAsia"/>
          <w:color w:val="FF0000"/>
          <w:highlight w:val="yellow"/>
        </w:rPr>
        <w:t>。</w:t>
      </w:r>
      <w:r w:rsidRPr="007A6E3C">
        <w:rPr>
          <w:rFonts w:ascii="新細明體" w:hAnsi="新細明體" w:hint="eastAsia"/>
          <w:b/>
          <w:u w:val="wave" w:color="C00000"/>
        </w:rPr>
        <w:t>發</w:t>
      </w:r>
      <w:r w:rsidR="007A6E3C" w:rsidRPr="007A6E3C">
        <w:rPr>
          <w:rFonts w:ascii="新細明體" w:hAnsi="新細明體" w:hint="eastAsia"/>
          <w:color w:val="FF0000"/>
          <w:highlight w:val="yellow"/>
        </w:rPr>
        <w:t>，</w:t>
      </w:r>
      <w:r w:rsidRPr="00DA3BC7">
        <w:rPr>
          <w:rFonts w:ascii="新細明體" w:hAnsi="新細明體" w:hint="eastAsia"/>
        </w:rPr>
        <w:t>即是動的開始，即從靜到動的開始。但有</w:t>
      </w:r>
      <w:r w:rsidRPr="007A6E3C">
        <w:rPr>
          <w:rFonts w:ascii="新細明體" w:hAnsi="新細明體" w:hint="eastAsia"/>
          <w:b/>
          <w:u w:val="wave" w:color="C00000"/>
        </w:rPr>
        <w:t>發</w:t>
      </w:r>
      <w:r w:rsidRPr="00DA3BC7">
        <w:rPr>
          <w:rFonts w:ascii="新細明體" w:hAnsi="新細明體" w:hint="eastAsia"/>
        </w:rPr>
        <w:t>即落時間相，三世求</w:t>
      </w:r>
      <w:r w:rsidRPr="007A6E3C">
        <w:rPr>
          <w:rFonts w:ascii="新細明體" w:hAnsi="新細明體" w:hint="eastAsia"/>
          <w:b/>
          <w:u w:val="wave" w:color="C00000"/>
        </w:rPr>
        <w:t>發</w:t>
      </w:r>
      <w:r w:rsidRPr="00DA3BC7">
        <w:rPr>
          <w:rFonts w:ascii="新細明體" w:hAnsi="新細明體" w:hint="eastAsia"/>
        </w:rPr>
        <w:t>也還是不可</w:t>
      </w:r>
      <w:r w:rsidRPr="00DA3BC7">
        <w:rPr>
          <w:rFonts w:hAnsi="新細明體"/>
        </w:rPr>
        <w:t>得。</w:t>
      </w:r>
      <w:r w:rsidRPr="00DA3BC7">
        <w:rPr>
          <w:rStyle w:val="a6"/>
          <w:rFonts w:ascii="Times New Roman" w:hAnsi="Times New Roman"/>
        </w:rPr>
        <w:footnoteReference w:id="639"/>
      </w:r>
    </w:p>
    <w:p w:rsidR="00AA120F" w:rsidRPr="00DA3BC7" w:rsidRDefault="00516DB9" w:rsidP="00AE3920">
      <w:pPr>
        <w:spacing w:beforeLines="30"/>
        <w:ind w:leftChars="400" w:left="960"/>
        <w:jc w:val="both"/>
        <w:rPr>
          <w:b/>
          <w:sz w:val="20"/>
          <w:szCs w:val="20"/>
          <w:bdr w:val="single" w:sz="4" w:space="0" w:color="auto"/>
        </w:rPr>
      </w:pPr>
      <w:r w:rsidRPr="00516DB9">
        <w:rPr>
          <w:rFonts w:ascii="Times New Roman" w:hAnsi="Times New Roman" w:hint="eastAsia"/>
          <w:b/>
          <w:color w:val="FF0000"/>
          <w:sz w:val="20"/>
          <w:szCs w:val="20"/>
          <w:highlight w:val="yellow"/>
          <w:bdr w:val="single" w:sz="4" w:space="0" w:color="auto"/>
        </w:rPr>
        <w:lastRenderedPageBreak/>
        <w:t>c</w:t>
      </w:r>
      <w:r w:rsidRPr="00516DB9">
        <w:rPr>
          <w:rFonts w:hint="eastAsia"/>
          <w:b/>
          <w:color w:val="FF0000"/>
          <w:sz w:val="20"/>
          <w:szCs w:val="20"/>
          <w:highlight w:val="yellow"/>
          <w:bdr w:val="single" w:sz="4" w:space="0" w:color="auto"/>
        </w:rPr>
        <w:t>、</w:t>
      </w:r>
      <w:r w:rsidR="00AA120F" w:rsidRPr="00DA3BC7">
        <w:rPr>
          <w:b/>
          <w:sz w:val="20"/>
          <w:szCs w:val="20"/>
          <w:bdr w:val="single" w:sz="4" w:space="0" w:color="auto"/>
        </w:rPr>
        <w:t>破「去處」</w:t>
      </w:r>
      <w:r w:rsidR="00AA120F" w:rsidRPr="00DA3BC7">
        <w:rPr>
          <w:rFonts w:hAnsi="新細明體"/>
          <w:sz w:val="20"/>
          <w:szCs w:val="20"/>
        </w:rPr>
        <w:t>（</w:t>
      </w:r>
      <w:r w:rsidR="00AA120F" w:rsidRPr="00DA3BC7">
        <w:rPr>
          <w:rFonts w:ascii="Times New Roman" w:hAnsi="Times New Roman"/>
          <w:sz w:val="20"/>
          <w:szCs w:val="20"/>
        </w:rPr>
        <w:t>p</w:t>
      </w:r>
      <w:r w:rsidR="00AA120F" w:rsidRPr="00DA3BC7">
        <w:rPr>
          <w:sz w:val="20"/>
          <w:szCs w:val="20"/>
        </w:rPr>
        <w:t>.</w:t>
      </w:r>
      <w:r w:rsidR="00AA120F" w:rsidRPr="00DA3BC7">
        <w:rPr>
          <w:rFonts w:ascii="Times New Roman" w:hAnsi="Times New Roman"/>
          <w:sz w:val="20"/>
          <w:szCs w:val="20"/>
        </w:rPr>
        <w:t>13</w:t>
      </w:r>
      <w:r w:rsidR="00AA120F" w:rsidRPr="00DA3BC7">
        <w:rPr>
          <w:rFonts w:ascii="Times New Roman" w:hAnsi="Times New Roman" w:hint="eastAsia"/>
          <w:sz w:val="20"/>
          <w:szCs w:val="20"/>
        </w:rPr>
        <w:t>6</w:t>
      </w:r>
      <w:r w:rsidR="00AA120F" w:rsidRPr="00DA3BC7">
        <w:rPr>
          <w:rFonts w:hAnsi="新細明體"/>
          <w:sz w:val="20"/>
          <w:szCs w:val="20"/>
        </w:rPr>
        <w:t>）</w:t>
      </w:r>
    </w:p>
    <w:p w:rsidR="00AA120F" w:rsidRPr="00DA3BC7" w:rsidRDefault="00AA120F" w:rsidP="002E5DD4">
      <w:pPr>
        <w:ind w:leftChars="400" w:left="960"/>
        <w:jc w:val="both"/>
        <w:rPr>
          <w:sz w:val="20"/>
          <w:szCs w:val="20"/>
          <w:bdr w:val="single" w:sz="4" w:space="0" w:color="auto"/>
        </w:rPr>
      </w:pPr>
      <w:r w:rsidRPr="00DA3BC7">
        <w:rPr>
          <w:rFonts w:ascii="新細明體" w:hAnsi="新細明體" w:hint="eastAsia"/>
        </w:rPr>
        <w:t>約</w:t>
      </w:r>
      <w:r w:rsidRPr="007A6E3C">
        <w:rPr>
          <w:rFonts w:ascii="新細明體" w:hAnsi="新細明體" w:hint="eastAsia"/>
          <w:b/>
          <w:u w:val="wave" w:color="C00000"/>
        </w:rPr>
        <w:t>去者</w:t>
      </w:r>
      <w:r w:rsidRPr="00DA3BC7">
        <w:rPr>
          <w:rFonts w:ascii="新細明體" w:hAnsi="新細明體" w:hint="eastAsia"/>
        </w:rPr>
        <w:t>、</w:t>
      </w:r>
      <w:r w:rsidRPr="007A6E3C">
        <w:rPr>
          <w:rFonts w:ascii="新細明體" w:hAnsi="新細明體" w:hint="eastAsia"/>
          <w:b/>
          <w:u w:val="wave" w:color="C00000"/>
        </w:rPr>
        <w:t>去時</w:t>
      </w:r>
      <w:r w:rsidRPr="00DA3BC7">
        <w:rPr>
          <w:rFonts w:ascii="新細明體" w:hAnsi="新細明體" w:hint="eastAsia"/>
        </w:rPr>
        <w:t>求去既不可得，</w:t>
      </w:r>
      <w:r w:rsidRPr="007A6E3C">
        <w:rPr>
          <w:rFonts w:ascii="新細明體" w:hAnsi="新細明體" w:hint="eastAsia"/>
          <w:b/>
          <w:u w:val="wave" w:color="C00000"/>
        </w:rPr>
        <w:t>去處</w:t>
      </w:r>
      <w:r w:rsidRPr="00DA3BC7">
        <w:rPr>
          <w:rFonts w:ascii="新細明體" w:hAnsi="新細明體" w:hint="eastAsia"/>
        </w:rPr>
        <w:t>求去亦不可得。</w:t>
      </w:r>
    </w:p>
    <w:p w:rsidR="00AA120F" w:rsidRPr="00DA3BC7" w:rsidRDefault="00516DB9" w:rsidP="00AE3920">
      <w:pPr>
        <w:spacing w:beforeLines="30"/>
        <w:ind w:leftChars="350" w:left="840"/>
        <w:jc w:val="both"/>
        <w:rPr>
          <w:b/>
          <w:sz w:val="20"/>
          <w:szCs w:val="20"/>
          <w:bdr w:val="single" w:sz="4" w:space="0" w:color="auto"/>
        </w:rPr>
      </w:pPr>
      <w:r w:rsidRPr="00516DB9">
        <w:rPr>
          <w:rFonts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C</w:t>
      </w:r>
      <w:r w:rsidRPr="00516DB9">
        <w:rPr>
          <w:rFonts w:hint="eastAsia"/>
          <w:b/>
          <w:color w:val="FF0000"/>
          <w:sz w:val="20"/>
          <w:szCs w:val="20"/>
          <w:highlight w:val="yellow"/>
          <w:bdr w:val="single" w:sz="4" w:space="0" w:color="auto"/>
        </w:rPr>
        <w:t>）</w:t>
      </w:r>
      <w:r w:rsidR="00AA120F" w:rsidRPr="00516DB9">
        <w:rPr>
          <w:rFonts w:hint="eastAsia"/>
          <w:b/>
          <w:sz w:val="20"/>
          <w:szCs w:val="20"/>
          <w:highlight w:val="yellow"/>
          <w:bdr w:val="single" w:sz="4" w:space="0" w:color="auto"/>
        </w:rPr>
        <w:t>結</w:t>
      </w:r>
      <w:r w:rsidRPr="00516DB9">
        <w:rPr>
          <w:rFonts w:hint="eastAsia"/>
          <w:b/>
          <w:color w:val="FF0000"/>
          <w:sz w:val="20"/>
          <w:szCs w:val="20"/>
          <w:highlight w:val="yellow"/>
          <w:bdr w:val="single" w:sz="4" w:space="0" w:color="auto"/>
        </w:rPr>
        <w:t>義</w:t>
      </w:r>
      <w:r w:rsidR="00AA120F" w:rsidRPr="00DA3BC7">
        <w:rPr>
          <w:rFonts w:hAnsi="新細明體"/>
          <w:sz w:val="20"/>
          <w:szCs w:val="20"/>
        </w:rPr>
        <w:t>（</w:t>
      </w:r>
      <w:r w:rsidR="00AA120F" w:rsidRPr="00DA3BC7">
        <w:rPr>
          <w:rFonts w:ascii="Times New Roman" w:hAnsi="Times New Roman"/>
          <w:sz w:val="20"/>
          <w:szCs w:val="20"/>
        </w:rPr>
        <w:t>p</w:t>
      </w:r>
      <w:r w:rsidR="00AA120F" w:rsidRPr="00DA3BC7">
        <w:rPr>
          <w:sz w:val="20"/>
          <w:szCs w:val="20"/>
        </w:rPr>
        <w:t>.</w:t>
      </w:r>
      <w:r w:rsidR="00AA120F" w:rsidRPr="00DA3BC7">
        <w:rPr>
          <w:rFonts w:ascii="Times New Roman" w:hAnsi="Times New Roman"/>
          <w:sz w:val="20"/>
          <w:szCs w:val="20"/>
        </w:rPr>
        <w:t>13</w:t>
      </w:r>
      <w:r w:rsidR="00AA120F" w:rsidRPr="00DA3BC7">
        <w:rPr>
          <w:rFonts w:ascii="Times New Roman" w:hAnsi="Times New Roman" w:hint="eastAsia"/>
          <w:sz w:val="20"/>
          <w:szCs w:val="20"/>
        </w:rPr>
        <w:t>6</w:t>
      </w:r>
      <w:r w:rsidR="00AA120F" w:rsidRPr="00DA3BC7">
        <w:rPr>
          <w:rFonts w:hAnsi="新細明體"/>
          <w:sz w:val="20"/>
          <w:szCs w:val="20"/>
        </w:rPr>
        <w:t>）</w:t>
      </w:r>
    </w:p>
    <w:p w:rsidR="00AA120F" w:rsidRPr="00DA3BC7" w:rsidRDefault="00AA120F" w:rsidP="002E5DD4">
      <w:pPr>
        <w:ind w:leftChars="350" w:left="840"/>
        <w:jc w:val="both"/>
        <w:rPr>
          <w:sz w:val="20"/>
          <w:szCs w:val="20"/>
          <w:bdr w:val="single" w:sz="4" w:space="0" w:color="auto"/>
        </w:rPr>
      </w:pPr>
      <w:r w:rsidRPr="00DA3BC7">
        <w:rPr>
          <w:rFonts w:ascii="新細明體" w:hAnsi="新細明體" w:hint="eastAsia"/>
        </w:rPr>
        <w:t>去等四法──即本章所辨四義，本是緣起法的幻相，是不相離而不相即的。外人於此四作自性觀，即必然落於運動的不可能了！</w:t>
      </w:r>
    </w:p>
    <w:p w:rsidR="00AA120F" w:rsidRPr="00DA3BC7" w:rsidRDefault="00516DB9" w:rsidP="00AE3920">
      <w:pPr>
        <w:spacing w:beforeLines="30"/>
        <w:ind w:leftChars="250" w:left="600"/>
        <w:jc w:val="both"/>
        <w:rPr>
          <w:rFonts w:ascii="新細明體" w:hAnsi="新細明體"/>
          <w:b/>
          <w:sz w:val="20"/>
          <w:szCs w:val="20"/>
          <w:bdr w:val="single" w:sz="4" w:space="0" w:color="auto"/>
        </w:rPr>
      </w:pPr>
      <w:r w:rsidRPr="00516DB9">
        <w:rPr>
          <w:rFonts w:ascii="Times New Roman" w:hAnsi="Times New Roman" w:hint="eastAsia"/>
          <w:b/>
          <w:color w:val="FF0000"/>
          <w:sz w:val="20"/>
          <w:szCs w:val="20"/>
          <w:highlight w:val="yellow"/>
          <w:bdr w:val="single" w:sz="4" w:space="0" w:color="auto"/>
        </w:rPr>
        <w:t>B</w:t>
      </w:r>
      <w:r w:rsidRPr="00516DB9">
        <w:rPr>
          <w:rFonts w:ascii="Times New Roman" w:hAnsi="Times New Roman" w:hint="eastAsia"/>
          <w:b/>
          <w:color w:val="FF0000"/>
          <w:sz w:val="20"/>
          <w:szCs w:val="20"/>
          <w:highlight w:val="yellow"/>
          <w:bdr w:val="single" w:sz="4" w:space="0" w:color="auto"/>
        </w:rPr>
        <w:t>、</w:t>
      </w:r>
      <w:r w:rsidR="00AA120F" w:rsidRPr="00DA3BC7">
        <w:rPr>
          <w:rFonts w:ascii="新細明體" w:hAnsi="新細明體" w:hint="eastAsia"/>
          <w:b/>
          <w:sz w:val="20"/>
          <w:szCs w:val="20"/>
          <w:bdr w:val="single" w:sz="4" w:space="0" w:color="auto"/>
        </w:rPr>
        <w:t>破「住」</w:t>
      </w:r>
      <w:r w:rsidR="00AA120F" w:rsidRPr="00DA3BC7">
        <w:rPr>
          <w:rFonts w:hAnsi="新細明體"/>
          <w:sz w:val="20"/>
          <w:szCs w:val="20"/>
        </w:rPr>
        <w:t>（</w:t>
      </w:r>
      <w:r w:rsidR="00AA120F" w:rsidRPr="00DA3BC7">
        <w:rPr>
          <w:rFonts w:ascii="Times New Roman" w:hAnsi="Times New Roman"/>
          <w:sz w:val="20"/>
          <w:szCs w:val="20"/>
        </w:rPr>
        <w:t>p</w:t>
      </w:r>
      <w:r w:rsidR="00AA120F" w:rsidRPr="00DA3BC7">
        <w:rPr>
          <w:sz w:val="20"/>
          <w:szCs w:val="20"/>
        </w:rPr>
        <w:t>.</w:t>
      </w:r>
      <w:r w:rsidR="00AA120F" w:rsidRPr="00DA3BC7">
        <w:rPr>
          <w:rFonts w:ascii="Times New Roman" w:hAnsi="Times New Roman"/>
          <w:sz w:val="20"/>
          <w:szCs w:val="20"/>
        </w:rPr>
        <w:t>13</w:t>
      </w:r>
      <w:r w:rsidR="00AA120F" w:rsidRPr="00DA3BC7">
        <w:rPr>
          <w:rFonts w:ascii="Times New Roman" w:hAnsi="Times New Roman" w:hint="eastAsia"/>
          <w:sz w:val="20"/>
          <w:szCs w:val="20"/>
        </w:rPr>
        <w:t>6</w:t>
      </w:r>
      <w:r w:rsidR="00AA120F" w:rsidRPr="00DA3BC7">
        <w:rPr>
          <w:rFonts w:hAnsi="新細明體"/>
          <w:sz w:val="20"/>
          <w:szCs w:val="20"/>
        </w:rPr>
        <w:t>）</w:t>
      </w:r>
    </w:p>
    <w:p w:rsidR="00AA120F" w:rsidRPr="00DA3BC7" w:rsidRDefault="00AA120F" w:rsidP="002E5DD4">
      <w:pPr>
        <w:ind w:leftChars="250" w:left="600"/>
        <w:jc w:val="both"/>
        <w:rPr>
          <w:rFonts w:ascii="新細明體" w:hAnsi="新細明體"/>
        </w:rPr>
      </w:pPr>
      <w:r w:rsidRPr="00DA3BC7">
        <w:rPr>
          <w:rFonts w:ascii="新細明體" w:hAnsi="新細明體" w:hint="eastAsia"/>
        </w:rPr>
        <w:t>龍樹又批評外人的</w:t>
      </w:r>
      <w:r w:rsidRPr="001A5A2B">
        <w:rPr>
          <w:rFonts w:ascii="新細明體" w:hAnsi="新細明體" w:hint="eastAsia"/>
          <w:b/>
          <w:u w:val="wave" w:color="C00000"/>
        </w:rPr>
        <w:t>住</w:t>
      </w:r>
      <w:r w:rsidRPr="00DA3BC7">
        <w:rPr>
          <w:rFonts w:ascii="新細明體" w:hAnsi="新細明體" w:hint="eastAsia"/>
        </w:rPr>
        <w:t>（即從動到靜的止息）：「</w:t>
      </w:r>
      <w:r w:rsidRPr="00DA3BC7">
        <w:rPr>
          <w:rFonts w:ascii="標楷體" w:eastAsia="標楷體" w:hAnsi="標楷體" w:hint="eastAsia"/>
        </w:rPr>
        <w:t>去未去無住，去時亦無住</w:t>
      </w:r>
      <w:r w:rsidRPr="00DA3BC7">
        <w:rPr>
          <w:rFonts w:ascii="新細明體" w:hAnsi="新細明體" w:hint="eastAsia"/>
        </w:rPr>
        <w:t>。」這說明了「</w:t>
      </w:r>
      <w:r w:rsidRPr="00DA3BC7">
        <w:rPr>
          <w:rFonts w:ascii="標楷體" w:eastAsia="標楷體" w:hAnsi="標楷體" w:hint="eastAsia"/>
        </w:rPr>
        <w:t>所有行止</w:t>
      </w:r>
      <w:r w:rsidRPr="00516DB9">
        <w:rPr>
          <w:rFonts w:ascii="新細明體" w:hAnsi="新細明體" w:hint="eastAsia"/>
        </w:rPr>
        <w:t>（住）</w:t>
      </w:r>
      <w:r w:rsidRPr="00DA3BC7">
        <w:rPr>
          <w:rFonts w:ascii="標楷體" w:eastAsia="標楷體" w:hAnsi="標楷體" w:hint="eastAsia"/>
        </w:rPr>
        <w:t>法，皆同於去義</w:t>
      </w:r>
      <w:r w:rsidRPr="00DA3BC7">
        <w:rPr>
          <w:rFonts w:ascii="新細明體" w:hAnsi="新細明體" w:hint="eastAsia"/>
        </w:rPr>
        <w:t>」</w:t>
      </w:r>
      <w:r w:rsidRPr="00DA3BC7">
        <w:rPr>
          <w:rStyle w:val="a6"/>
          <w:rFonts w:ascii="Times New Roman" w:hAnsi="Times New Roman"/>
        </w:rPr>
        <w:footnoteReference w:id="640"/>
      </w:r>
      <w:r w:rsidRPr="00DA3BC7">
        <w:rPr>
          <w:rFonts w:hAnsi="新細明體"/>
        </w:rPr>
        <w:t>，</w:t>
      </w:r>
      <w:r w:rsidRPr="00DA3BC7">
        <w:rPr>
          <w:rFonts w:ascii="新細明體" w:hAnsi="新細明體" w:hint="eastAsia"/>
        </w:rPr>
        <w:t>可以觀去的方法去觀</w:t>
      </w:r>
      <w:r w:rsidRPr="00DA3BC7">
        <w:rPr>
          <w:rFonts w:ascii="新細明體" w:hAnsi="新細明體" w:hint="eastAsia"/>
        </w:rPr>
        <w:lastRenderedPageBreak/>
        <w:t>住的。</w:t>
      </w:r>
    </w:p>
    <w:p w:rsidR="00AA120F" w:rsidRPr="00DA3BC7" w:rsidRDefault="00324187" w:rsidP="00AE3920">
      <w:pPr>
        <w:spacing w:beforeLines="30"/>
        <w:ind w:leftChars="250" w:left="600"/>
        <w:jc w:val="both"/>
        <w:rPr>
          <w:rFonts w:hAnsi="新細明體"/>
          <w:b/>
          <w:sz w:val="20"/>
          <w:szCs w:val="20"/>
          <w:bdr w:val="single" w:sz="4" w:space="0" w:color="auto"/>
        </w:rPr>
      </w:pPr>
      <w:r w:rsidRPr="00324187">
        <w:rPr>
          <w:rFonts w:ascii="Times New Roman" w:hAnsi="Times New Roman" w:hint="eastAsia"/>
          <w:b/>
          <w:color w:val="FF0000"/>
          <w:sz w:val="20"/>
          <w:szCs w:val="20"/>
          <w:highlight w:val="yellow"/>
          <w:bdr w:val="single" w:sz="4" w:space="0" w:color="auto"/>
        </w:rPr>
        <w:t>（</w:t>
      </w:r>
      <w:r w:rsidRPr="00324187">
        <w:rPr>
          <w:rFonts w:ascii="Times New Roman" w:hAnsi="Times New Roman" w:hint="eastAsia"/>
          <w:b/>
          <w:color w:val="FF0000"/>
          <w:sz w:val="20"/>
          <w:szCs w:val="20"/>
          <w:highlight w:val="yellow"/>
          <w:bdr w:val="single" w:sz="4" w:space="0" w:color="auto"/>
        </w:rPr>
        <w:t>3</w:t>
      </w:r>
      <w:r w:rsidRPr="00324187">
        <w:rPr>
          <w:rFonts w:ascii="Times New Roman" w:hAnsi="Times New Roman" w:hint="eastAsia"/>
          <w:b/>
          <w:color w:val="FF0000"/>
          <w:sz w:val="20"/>
          <w:szCs w:val="20"/>
          <w:highlight w:val="yellow"/>
          <w:bdr w:val="single" w:sz="4" w:space="0" w:color="auto"/>
        </w:rPr>
        <w:t>）</w:t>
      </w:r>
      <w:r w:rsidRPr="00324187">
        <w:rPr>
          <w:rFonts w:hAnsi="新細明體" w:hint="eastAsia"/>
          <w:b/>
          <w:color w:val="FF0000"/>
          <w:sz w:val="20"/>
          <w:szCs w:val="20"/>
          <w:highlight w:val="yellow"/>
          <w:bdr w:val="single" w:sz="4" w:space="0" w:color="auto"/>
        </w:rPr>
        <w:t>歸</w:t>
      </w:r>
      <w:r w:rsidR="00AA120F" w:rsidRPr="00324187">
        <w:rPr>
          <w:rFonts w:hAnsi="新細明體" w:hint="eastAsia"/>
          <w:b/>
          <w:sz w:val="20"/>
          <w:szCs w:val="20"/>
          <w:highlight w:val="yellow"/>
          <w:bdr w:val="single" w:sz="4" w:space="0" w:color="auto"/>
        </w:rPr>
        <w:t>結</w:t>
      </w:r>
      <w:r w:rsidR="00AA120F" w:rsidRPr="00DA3BC7">
        <w:rPr>
          <w:rFonts w:hAnsi="新細明體"/>
          <w:sz w:val="20"/>
          <w:szCs w:val="20"/>
        </w:rPr>
        <w:t>（</w:t>
      </w:r>
      <w:r w:rsidR="00AA120F" w:rsidRPr="00DA3BC7">
        <w:rPr>
          <w:rFonts w:ascii="Times New Roman" w:hAnsi="Times New Roman"/>
          <w:sz w:val="20"/>
          <w:szCs w:val="20"/>
        </w:rPr>
        <w:t>p</w:t>
      </w:r>
      <w:r w:rsidR="00AA120F" w:rsidRPr="00DA3BC7">
        <w:rPr>
          <w:rFonts w:ascii="Times New Roman" w:hAnsi="Times New Roman" w:hint="eastAsia"/>
          <w:sz w:val="20"/>
          <w:szCs w:val="20"/>
        </w:rPr>
        <w:t>p</w:t>
      </w:r>
      <w:r w:rsidR="00AA120F" w:rsidRPr="00DA3BC7">
        <w:rPr>
          <w:sz w:val="20"/>
          <w:szCs w:val="20"/>
        </w:rPr>
        <w:t>.</w:t>
      </w:r>
      <w:r w:rsidR="00AA120F" w:rsidRPr="00DA3BC7">
        <w:rPr>
          <w:rFonts w:ascii="Times New Roman" w:hAnsi="Times New Roman"/>
          <w:sz w:val="20"/>
          <w:szCs w:val="20"/>
        </w:rPr>
        <w:t>13</w:t>
      </w:r>
      <w:r w:rsidR="00AA120F" w:rsidRPr="00DA3BC7">
        <w:rPr>
          <w:rFonts w:ascii="Times New Roman" w:hAnsi="Times New Roman" w:hint="eastAsia"/>
          <w:sz w:val="20"/>
          <w:szCs w:val="20"/>
        </w:rPr>
        <w:t>6</w:t>
      </w:r>
      <w:r w:rsidR="00AA120F" w:rsidRPr="00DA3BC7">
        <w:rPr>
          <w:rFonts w:hint="eastAsia"/>
          <w:sz w:val="20"/>
          <w:szCs w:val="20"/>
        </w:rPr>
        <w:t>-</w:t>
      </w:r>
      <w:r w:rsidR="00AA120F" w:rsidRPr="00DA3BC7">
        <w:rPr>
          <w:rFonts w:ascii="Times New Roman" w:hAnsi="Times New Roman" w:hint="eastAsia"/>
          <w:sz w:val="20"/>
          <w:szCs w:val="20"/>
        </w:rPr>
        <w:t>137</w:t>
      </w:r>
      <w:r w:rsidR="00AA120F" w:rsidRPr="00DA3BC7">
        <w:rPr>
          <w:rFonts w:hAnsi="新細明體"/>
          <w:sz w:val="20"/>
          <w:szCs w:val="20"/>
        </w:rPr>
        <w:t>）</w:t>
      </w:r>
    </w:p>
    <w:p w:rsidR="00AA120F" w:rsidRPr="00DA3BC7" w:rsidRDefault="00AA120F" w:rsidP="002E5DD4">
      <w:pPr>
        <w:ind w:leftChars="250" w:left="600"/>
        <w:jc w:val="both"/>
        <w:rPr>
          <w:rFonts w:hAnsi="新細明體"/>
          <w:sz w:val="20"/>
          <w:szCs w:val="20"/>
          <w:bdr w:val="single" w:sz="4" w:space="0" w:color="auto"/>
        </w:rPr>
      </w:pPr>
      <w:r w:rsidRPr="001A5A2B">
        <w:rPr>
          <w:rFonts w:ascii="新細明體" w:hAnsi="新細明體" w:hint="eastAsia"/>
          <w:b/>
          <w:u w:val="wave" w:color="C00000"/>
        </w:rPr>
        <w:t>去</w:t>
      </w:r>
      <w:r w:rsidRPr="00DA3BC7">
        <w:rPr>
          <w:rFonts w:ascii="新細明體" w:hAnsi="新細明體" w:hint="eastAsia"/>
        </w:rPr>
        <w:t>與</w:t>
      </w:r>
      <w:r w:rsidRPr="001A5A2B">
        <w:rPr>
          <w:rFonts w:ascii="新細明體" w:hAnsi="新細明體" w:hint="eastAsia"/>
          <w:b/>
          <w:u w:val="wave" w:color="C00000"/>
        </w:rPr>
        <w:t>住</w:t>
      </w:r>
      <w:r w:rsidRPr="00DA3BC7">
        <w:rPr>
          <w:rFonts w:ascii="新細明體" w:hAnsi="新細明體" w:hint="eastAsia"/>
        </w:rPr>
        <w:t>，依中觀義：離</w:t>
      </w:r>
      <w:r w:rsidRPr="001A5A2B">
        <w:rPr>
          <w:rFonts w:ascii="新細明體" w:hAnsi="新細明體" w:hint="eastAsia"/>
          <w:b/>
          <w:u w:val="wave" w:color="C00000"/>
        </w:rPr>
        <w:t>去</w:t>
      </w:r>
      <w:r w:rsidRPr="00DA3BC7">
        <w:rPr>
          <w:rFonts w:ascii="新細明體" w:hAnsi="新細明體" w:hint="eastAsia"/>
        </w:rPr>
        <w:t>無</w:t>
      </w:r>
      <w:r w:rsidRPr="001A5A2B">
        <w:rPr>
          <w:rFonts w:ascii="新細明體" w:hAnsi="新細明體" w:hint="eastAsia"/>
          <w:b/>
          <w:u w:val="wave" w:color="C00000"/>
        </w:rPr>
        <w:t>住</w:t>
      </w:r>
      <w:r w:rsidRPr="00DA3BC7">
        <w:rPr>
          <w:rFonts w:ascii="新細明體" w:hAnsi="新細明體" w:hint="eastAsia"/>
        </w:rPr>
        <w:t>，離</w:t>
      </w:r>
      <w:r w:rsidRPr="001A5A2B">
        <w:rPr>
          <w:rFonts w:ascii="新細明體" w:hAnsi="新細明體" w:hint="eastAsia"/>
          <w:b/>
          <w:u w:val="wave" w:color="C00000"/>
        </w:rPr>
        <w:t>住</w:t>
      </w:r>
      <w:r w:rsidRPr="00DA3BC7">
        <w:rPr>
          <w:rFonts w:ascii="新細明體" w:hAnsi="新細明體" w:hint="eastAsia"/>
        </w:rPr>
        <w:t>無</w:t>
      </w:r>
      <w:r w:rsidRPr="001A5A2B">
        <w:rPr>
          <w:rFonts w:ascii="新細明體" w:hAnsi="新細明體" w:hint="eastAsia"/>
          <w:b/>
          <w:u w:val="wave" w:color="C00000"/>
        </w:rPr>
        <w:t>去</w:t>
      </w:r>
      <w:r w:rsidRPr="00DA3BC7">
        <w:rPr>
          <w:rFonts w:ascii="新細明體" w:hAnsi="新細明體" w:hint="eastAsia"/>
        </w:rPr>
        <w:t>。即離</w:t>
      </w:r>
      <w:r w:rsidRPr="00DA3BC7">
        <w:rPr>
          <w:rFonts w:ascii="新細明體" w:hAnsi="新細明體" w:hint="eastAsia"/>
          <w:b/>
        </w:rPr>
        <w:t>動</w:t>
      </w:r>
      <w:r w:rsidRPr="00DA3BC7">
        <w:rPr>
          <w:rFonts w:ascii="新細明體" w:hAnsi="新細明體" w:hint="eastAsia"/>
        </w:rPr>
        <w:t>沒有</w:t>
      </w:r>
      <w:r w:rsidRPr="00DA3BC7">
        <w:rPr>
          <w:rFonts w:ascii="新細明體" w:hAnsi="新細明體" w:hint="eastAsia"/>
          <w:b/>
        </w:rPr>
        <w:t>靜</w:t>
      </w:r>
      <w:r w:rsidRPr="00DA3BC7">
        <w:rPr>
          <w:rFonts w:ascii="新細明體" w:hAnsi="新細明體" w:hint="eastAsia"/>
        </w:rPr>
        <w:t>，離</w:t>
      </w:r>
      <w:r w:rsidRPr="00DA3BC7">
        <w:rPr>
          <w:rFonts w:ascii="新細明體" w:hAnsi="新細明體" w:hint="eastAsia"/>
          <w:b/>
        </w:rPr>
        <w:t>靜</w:t>
      </w:r>
      <w:r w:rsidRPr="00DA3BC7">
        <w:rPr>
          <w:rFonts w:ascii="新細明體" w:hAnsi="新細明體" w:hint="eastAsia"/>
        </w:rPr>
        <w:t>也沒有</w:t>
      </w:r>
      <w:r w:rsidRPr="00DA3BC7">
        <w:rPr>
          <w:rFonts w:ascii="新細明體" w:hAnsi="新細明體" w:hint="eastAsia"/>
          <w:b/>
        </w:rPr>
        <w:t>動</w:t>
      </w:r>
      <w:r w:rsidRPr="00DA3BC7">
        <w:rPr>
          <w:rFonts w:ascii="新細明體" w:hAnsi="新細明體" w:hint="eastAsia"/>
        </w:rPr>
        <w:t>。</w:t>
      </w:r>
      <w:r w:rsidRPr="001A5A2B">
        <w:rPr>
          <w:rFonts w:ascii="新細明體" w:hAnsi="新細明體" w:hint="eastAsia"/>
          <w:b/>
          <w:u w:val="wave" w:color="C00000"/>
        </w:rPr>
        <w:t>住</w:t>
      </w:r>
      <w:r w:rsidRPr="00DA3BC7">
        <w:rPr>
          <w:rFonts w:ascii="新細明體" w:hAnsi="新細明體" w:hint="eastAsia"/>
        </w:rPr>
        <w:t>與</w:t>
      </w:r>
      <w:r w:rsidRPr="001A5A2B">
        <w:rPr>
          <w:rFonts w:ascii="新細明體" w:hAnsi="新細明體" w:hint="eastAsia"/>
          <w:b/>
          <w:u w:val="wave" w:color="C00000"/>
        </w:rPr>
        <w:t>止</w:t>
      </w:r>
      <w:r w:rsidRPr="00DA3BC7">
        <w:rPr>
          <w:rFonts w:ascii="新細明體" w:hAnsi="新細明體" w:hint="eastAsia"/>
        </w:rPr>
        <w:t>，只是運動的相對傾向與必至的形相，同時成為運動的前</w:t>
      </w:r>
      <w:r w:rsidRPr="00DA3BC7">
        <w:rPr>
          <w:rFonts w:hint="eastAsia"/>
        </w:rPr>
        <w:t>提</w:t>
      </w:r>
      <w:r w:rsidRPr="00DA3BC7">
        <w:rPr>
          <w:rFonts w:ascii="新細明體" w:hAnsi="新細明體" w:hint="eastAsia"/>
        </w:rPr>
        <w:t>。緣起法是相反相成，相成而又相反的。</w:t>
      </w:r>
    </w:p>
    <w:p w:rsidR="00AA120F" w:rsidRPr="00DA3BC7" w:rsidRDefault="00324187" w:rsidP="00AE3920">
      <w:pPr>
        <w:spacing w:beforeLines="30"/>
        <w:ind w:leftChars="50" w:left="120"/>
        <w:jc w:val="both"/>
        <w:rPr>
          <w:rFonts w:ascii="新細明體" w:hAnsi="新細明體"/>
        </w:rPr>
      </w:pPr>
      <w:r w:rsidRPr="00324187">
        <w:rPr>
          <w:rFonts w:ascii="新細明體" w:hAnsi="新細明體" w:hint="eastAsia"/>
          <w:b/>
          <w:color w:val="FF0000"/>
          <w:sz w:val="20"/>
          <w:szCs w:val="20"/>
          <w:highlight w:val="yellow"/>
          <w:bdr w:val="single" w:sz="4" w:space="0" w:color="auto"/>
        </w:rPr>
        <w:t>（貳）</w:t>
      </w:r>
      <w:r w:rsidRPr="00324187">
        <w:rPr>
          <w:rFonts w:hint="eastAsia"/>
          <w:b/>
          <w:color w:val="FF0000"/>
          <w:sz w:val="20"/>
          <w:szCs w:val="20"/>
          <w:highlight w:val="yellow"/>
          <w:bdr w:val="single" w:sz="4" w:space="0" w:color="auto"/>
        </w:rPr>
        <w:t>明「運</w:t>
      </w:r>
      <w:r w:rsidR="00AA120F" w:rsidRPr="00324187">
        <w:rPr>
          <w:rFonts w:hint="eastAsia"/>
          <w:b/>
          <w:color w:val="FF0000"/>
          <w:sz w:val="20"/>
          <w:szCs w:val="20"/>
          <w:highlight w:val="yellow"/>
          <w:bdr w:val="single" w:sz="4" w:space="0" w:color="auto"/>
        </w:rPr>
        <w:t>動</w:t>
      </w:r>
      <w:r w:rsidRPr="00324187">
        <w:rPr>
          <w:rFonts w:hint="eastAsia"/>
          <w:b/>
          <w:color w:val="FF0000"/>
          <w:sz w:val="20"/>
          <w:szCs w:val="20"/>
          <w:highlight w:val="yellow"/>
          <w:bdr w:val="single" w:sz="4" w:space="0" w:color="auto"/>
        </w:rPr>
        <w:t>的深細</w:t>
      </w:r>
      <w:r w:rsidR="00AA120F" w:rsidRPr="00324187">
        <w:rPr>
          <w:rFonts w:hint="eastAsia"/>
          <w:b/>
          <w:color w:val="FF0000"/>
          <w:sz w:val="20"/>
          <w:szCs w:val="20"/>
          <w:highlight w:val="yellow"/>
          <w:bdr w:val="single" w:sz="4" w:space="0" w:color="auto"/>
        </w:rPr>
        <w:t>相</w:t>
      </w:r>
      <w:r w:rsidRPr="00324187">
        <w:rPr>
          <w:rFonts w:hint="eastAsia"/>
          <w:b/>
          <w:color w:val="FF0000"/>
          <w:sz w:val="20"/>
          <w:szCs w:val="20"/>
          <w:highlight w:val="yellow"/>
          <w:bdr w:val="single" w:sz="4" w:space="0" w:color="auto"/>
        </w:rPr>
        <w:t>」</w:t>
      </w:r>
      <w:r w:rsidR="00AA120F" w:rsidRPr="00DA3BC7">
        <w:rPr>
          <w:sz w:val="20"/>
          <w:szCs w:val="20"/>
        </w:rPr>
        <w:t>（</w:t>
      </w:r>
      <w:r w:rsidR="00AA120F" w:rsidRPr="00DA3BC7">
        <w:rPr>
          <w:rFonts w:ascii="Times New Roman" w:hAnsi="Times New Roman"/>
          <w:sz w:val="20"/>
          <w:szCs w:val="20"/>
        </w:rPr>
        <w:t>pp</w:t>
      </w:r>
      <w:r w:rsidR="00AA120F" w:rsidRPr="00DA3BC7">
        <w:rPr>
          <w:sz w:val="20"/>
          <w:szCs w:val="20"/>
        </w:rPr>
        <w:t>.</w:t>
      </w:r>
      <w:r w:rsidR="00AA120F" w:rsidRPr="00DA3BC7">
        <w:rPr>
          <w:rFonts w:ascii="Times New Roman" w:hAnsi="Times New Roman"/>
          <w:sz w:val="20"/>
          <w:szCs w:val="20"/>
        </w:rPr>
        <w:t>137</w:t>
      </w:r>
      <w:r w:rsidR="00AA120F" w:rsidRPr="00DA3BC7">
        <w:rPr>
          <w:sz w:val="20"/>
          <w:szCs w:val="20"/>
        </w:rPr>
        <w:t>-</w:t>
      </w:r>
      <w:r w:rsidR="00AA120F" w:rsidRPr="00DA3BC7">
        <w:rPr>
          <w:rFonts w:ascii="Times New Roman" w:hAnsi="Times New Roman"/>
          <w:sz w:val="20"/>
          <w:szCs w:val="20"/>
        </w:rPr>
        <w:t>138</w:t>
      </w:r>
      <w:r w:rsidR="00AA120F" w:rsidRPr="00DA3BC7">
        <w:rPr>
          <w:sz w:val="20"/>
          <w:szCs w:val="20"/>
        </w:rPr>
        <w:t>）</w:t>
      </w:r>
    </w:p>
    <w:p w:rsidR="00AA120F" w:rsidRPr="00DA3BC7" w:rsidRDefault="00324187" w:rsidP="002E5DD4">
      <w:pPr>
        <w:ind w:leftChars="100" w:left="240"/>
        <w:jc w:val="both"/>
        <w:rPr>
          <w:rFonts w:ascii="新細明體" w:hAnsi="新細明體"/>
          <w:b/>
          <w:sz w:val="20"/>
          <w:szCs w:val="20"/>
          <w:bdr w:val="single" w:sz="4" w:space="0" w:color="auto"/>
        </w:rPr>
      </w:pPr>
      <w:r w:rsidRPr="00324187">
        <w:rPr>
          <w:rFonts w:ascii="新細明體" w:hAnsi="新細明體" w:hint="eastAsia"/>
          <w:b/>
          <w:color w:val="FF0000"/>
          <w:sz w:val="20"/>
          <w:szCs w:val="20"/>
          <w:highlight w:val="yellow"/>
          <w:bdr w:val="single" w:sz="4" w:space="0" w:color="auto"/>
        </w:rPr>
        <w:t>一、承前啟後</w:t>
      </w:r>
      <w:r w:rsidR="00AA120F" w:rsidRPr="00DA3BC7">
        <w:rPr>
          <w:rFonts w:hAnsi="新細明體"/>
          <w:sz w:val="20"/>
          <w:szCs w:val="20"/>
        </w:rPr>
        <w:t>（</w:t>
      </w:r>
      <w:r w:rsidR="00AA120F" w:rsidRPr="00DA3BC7">
        <w:rPr>
          <w:rFonts w:ascii="Times New Roman" w:hAnsi="Times New Roman"/>
          <w:sz w:val="20"/>
          <w:szCs w:val="20"/>
        </w:rPr>
        <w:t>p</w:t>
      </w:r>
      <w:r w:rsidR="00AA120F" w:rsidRPr="00DA3BC7">
        <w:rPr>
          <w:sz w:val="20"/>
          <w:szCs w:val="20"/>
        </w:rPr>
        <w:t>.</w:t>
      </w:r>
      <w:r w:rsidR="00AA120F" w:rsidRPr="00DA3BC7">
        <w:rPr>
          <w:rFonts w:ascii="Times New Roman" w:hAnsi="Times New Roman"/>
          <w:sz w:val="20"/>
          <w:szCs w:val="20"/>
        </w:rPr>
        <w:t>13</w:t>
      </w:r>
      <w:r w:rsidR="00AA120F" w:rsidRPr="00DA3BC7">
        <w:rPr>
          <w:rFonts w:ascii="Times New Roman" w:hAnsi="Times New Roman" w:hint="eastAsia"/>
          <w:sz w:val="20"/>
          <w:szCs w:val="20"/>
        </w:rPr>
        <w:t>7</w:t>
      </w:r>
      <w:r w:rsidR="00AA120F" w:rsidRPr="00DA3BC7">
        <w:rPr>
          <w:rFonts w:hAnsi="新細明體"/>
          <w:sz w:val="20"/>
          <w:szCs w:val="20"/>
        </w:rPr>
        <w:t>）</w:t>
      </w:r>
    </w:p>
    <w:p w:rsidR="00AA120F" w:rsidRPr="00DA3BC7" w:rsidRDefault="00AA120F" w:rsidP="002E5DD4">
      <w:pPr>
        <w:ind w:leftChars="100" w:left="240"/>
        <w:jc w:val="both"/>
        <w:rPr>
          <w:rFonts w:ascii="新細明體" w:hAnsi="新細明體"/>
        </w:rPr>
      </w:pPr>
      <w:r w:rsidRPr="00DA3BC7">
        <w:rPr>
          <w:rFonts w:ascii="新細明體" w:hAnsi="新細明體" w:hint="eastAsia"/>
        </w:rPr>
        <w:t>以上約運動的粗顯相來說明，如以生滅破去來而顯示諸「行」的動相，那更甚深難解了！</w:t>
      </w:r>
    </w:p>
    <w:p w:rsidR="00340CB3" w:rsidRPr="00DA3BC7" w:rsidRDefault="00340CB3" w:rsidP="00AE3920">
      <w:pPr>
        <w:spacing w:beforeLines="30"/>
        <w:ind w:leftChars="100" w:left="240"/>
        <w:jc w:val="both"/>
        <w:rPr>
          <w:rFonts w:ascii="新細明體" w:hAnsi="新細明體"/>
        </w:rPr>
      </w:pPr>
      <w:r>
        <w:rPr>
          <w:rFonts w:ascii="新細明體" w:hAnsi="新細明體" w:hint="eastAsia"/>
          <w:b/>
          <w:color w:val="FF0000"/>
          <w:sz w:val="20"/>
          <w:szCs w:val="20"/>
          <w:highlight w:val="yellow"/>
          <w:bdr w:val="single" w:sz="4" w:space="0" w:color="auto"/>
        </w:rPr>
        <w:t>二、正</w:t>
      </w:r>
      <w:r w:rsidRPr="00324187">
        <w:rPr>
          <w:rFonts w:hint="eastAsia"/>
          <w:b/>
          <w:color w:val="FF0000"/>
          <w:sz w:val="20"/>
          <w:szCs w:val="20"/>
          <w:highlight w:val="yellow"/>
          <w:bdr w:val="single" w:sz="4" w:space="0" w:color="auto"/>
        </w:rPr>
        <w:t>明</w:t>
      </w:r>
      <w:r w:rsidRPr="00DA3BC7">
        <w:rPr>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137</w:t>
      </w:r>
      <w:r w:rsidRPr="00DA3BC7">
        <w:rPr>
          <w:sz w:val="20"/>
          <w:szCs w:val="20"/>
        </w:rPr>
        <w:t>-</w:t>
      </w:r>
      <w:r w:rsidRPr="00DA3BC7">
        <w:rPr>
          <w:rFonts w:ascii="Times New Roman" w:hAnsi="Times New Roman"/>
          <w:sz w:val="20"/>
          <w:szCs w:val="20"/>
        </w:rPr>
        <w:t>138</w:t>
      </w:r>
      <w:r w:rsidRPr="00DA3BC7">
        <w:rPr>
          <w:sz w:val="20"/>
          <w:szCs w:val="20"/>
        </w:rPr>
        <w:t>）</w:t>
      </w:r>
    </w:p>
    <w:p w:rsidR="00340CB3" w:rsidRPr="00DA3BC7" w:rsidRDefault="00340CB3" w:rsidP="002E5DD4">
      <w:pPr>
        <w:ind w:leftChars="150" w:left="360"/>
        <w:jc w:val="both"/>
        <w:rPr>
          <w:rFonts w:ascii="新細明體" w:hAnsi="新細明體"/>
          <w:b/>
          <w:sz w:val="20"/>
          <w:szCs w:val="20"/>
          <w:bdr w:val="single" w:sz="4" w:space="0" w:color="auto"/>
        </w:rPr>
      </w:pPr>
      <w:r w:rsidRPr="00324187">
        <w:rPr>
          <w:rFonts w:ascii="新細明體" w:hAnsi="新細明體" w:hint="eastAsia"/>
          <w:b/>
          <w:color w:val="FF0000"/>
          <w:sz w:val="20"/>
          <w:szCs w:val="20"/>
          <w:highlight w:val="yellow"/>
          <w:bdr w:val="single" w:sz="4" w:space="0" w:color="auto"/>
        </w:rPr>
        <w:t>（一）</w:t>
      </w:r>
      <w:r>
        <w:rPr>
          <w:rFonts w:ascii="新細明體" w:hAnsi="新細明體" w:hint="eastAsia"/>
          <w:b/>
          <w:color w:val="FF0000"/>
          <w:sz w:val="20"/>
          <w:szCs w:val="20"/>
          <w:highlight w:val="yellow"/>
          <w:bdr w:val="single" w:sz="4" w:space="0" w:color="auto"/>
        </w:rPr>
        <w:t>即生即滅之正觀</w:t>
      </w:r>
      <w:r w:rsidRPr="00DA3BC7">
        <w:rPr>
          <w:rFonts w:hAnsi="新細明體"/>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13</w:t>
      </w:r>
      <w:r w:rsidRPr="00DA3BC7">
        <w:rPr>
          <w:rFonts w:ascii="Times New Roman" w:hAnsi="Times New Roman" w:hint="eastAsia"/>
          <w:sz w:val="20"/>
          <w:szCs w:val="20"/>
        </w:rPr>
        <w:t>7</w:t>
      </w:r>
      <w:r w:rsidRPr="00DA3BC7">
        <w:rPr>
          <w:rFonts w:hAnsi="新細明體"/>
          <w:sz w:val="20"/>
          <w:szCs w:val="20"/>
        </w:rPr>
        <w:t>）</w:t>
      </w:r>
    </w:p>
    <w:p w:rsidR="00340CB3" w:rsidRPr="00DA3BC7" w:rsidRDefault="00340CB3" w:rsidP="002E5DD4">
      <w:pPr>
        <w:ind w:leftChars="200" w:left="480"/>
        <w:jc w:val="both"/>
        <w:rPr>
          <w:rFonts w:ascii="新細明體" w:hAnsi="新細明體"/>
          <w:b/>
          <w:sz w:val="20"/>
          <w:szCs w:val="20"/>
          <w:bdr w:val="single" w:sz="4" w:space="0" w:color="auto"/>
        </w:rPr>
      </w:pPr>
      <w:r w:rsidRPr="00340CB3">
        <w:rPr>
          <w:rFonts w:ascii="Times New Roman" w:hAnsi="Times New Roman" w:hint="eastAsia"/>
          <w:b/>
          <w:color w:val="FF0000"/>
          <w:sz w:val="20"/>
          <w:szCs w:val="20"/>
          <w:highlight w:val="yellow"/>
          <w:bdr w:val="single" w:sz="4" w:space="0" w:color="auto"/>
        </w:rPr>
        <w:t>1</w:t>
      </w:r>
      <w:r w:rsidRPr="00324187">
        <w:rPr>
          <w:rFonts w:ascii="新細明體" w:hAnsi="新細明體" w:hint="eastAsia"/>
          <w:b/>
          <w:color w:val="FF0000"/>
          <w:sz w:val="20"/>
          <w:szCs w:val="20"/>
          <w:highlight w:val="yellow"/>
          <w:bdr w:val="single" w:sz="4" w:space="0" w:color="auto"/>
        </w:rPr>
        <w:t>、</w:t>
      </w:r>
      <w:r>
        <w:rPr>
          <w:rFonts w:ascii="新細明體" w:hAnsi="新細明體" w:hint="eastAsia"/>
          <w:b/>
          <w:color w:val="FF0000"/>
          <w:sz w:val="20"/>
          <w:szCs w:val="20"/>
          <w:highlight w:val="yellow"/>
          <w:bdr w:val="single" w:sz="4" w:space="0" w:color="auto"/>
        </w:rPr>
        <w:t>依緣起而正觀</w:t>
      </w:r>
      <w:r w:rsidRPr="00DA3BC7">
        <w:rPr>
          <w:rFonts w:hAnsi="新細明體"/>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13</w:t>
      </w:r>
      <w:r w:rsidRPr="00DA3BC7">
        <w:rPr>
          <w:rFonts w:ascii="Times New Roman" w:hAnsi="Times New Roman" w:hint="eastAsia"/>
          <w:sz w:val="20"/>
          <w:szCs w:val="20"/>
        </w:rPr>
        <w:t>7</w:t>
      </w:r>
      <w:r w:rsidRPr="00DA3BC7">
        <w:rPr>
          <w:rFonts w:hAnsi="新細明體"/>
          <w:sz w:val="20"/>
          <w:szCs w:val="20"/>
        </w:rPr>
        <w:t>）</w:t>
      </w:r>
    </w:p>
    <w:p w:rsidR="00AA120F" w:rsidRPr="00DA3BC7" w:rsidRDefault="00AA120F" w:rsidP="002E5DD4">
      <w:pPr>
        <w:ind w:leftChars="200" w:left="480"/>
        <w:jc w:val="both"/>
        <w:rPr>
          <w:rFonts w:ascii="新細明體" w:hAnsi="新細明體"/>
          <w:b/>
        </w:rPr>
      </w:pPr>
      <w:r w:rsidRPr="00DA3BC7">
        <w:rPr>
          <w:rFonts w:ascii="新細明體" w:hAnsi="新細明體" w:hint="eastAsia"/>
        </w:rPr>
        <w:t>依緣起法顯示諸行的不住，最根本的即是「剎那生滅」。剎那是形容時間的最短者，剎那是即生即滅的，</w:t>
      </w:r>
      <w:r w:rsidRPr="00DA3BC7">
        <w:rPr>
          <w:rFonts w:ascii="新細明體" w:hAnsi="新細明體" w:hint="eastAsia"/>
          <w:b/>
        </w:rPr>
        <w:t>即生即滅為「行」──有為相，即動相</w:t>
      </w:r>
      <w:r w:rsidRPr="00DA3BC7">
        <w:rPr>
          <w:rFonts w:ascii="新細明體" w:hAnsi="新細明體" w:hint="eastAsia"/>
        </w:rPr>
        <w:t>。這即說明</w:t>
      </w:r>
      <w:r w:rsidRPr="00DA3BC7">
        <w:rPr>
          <w:rFonts w:ascii="新細明體" w:hAnsi="新細明體" w:hint="eastAsia"/>
          <w:b/>
        </w:rPr>
        <w:t>時相就是最短的，也是運動著的。</w:t>
      </w:r>
    </w:p>
    <w:p w:rsidR="00AA120F" w:rsidRPr="00DA3BC7" w:rsidRDefault="00AA120F" w:rsidP="00AE3920">
      <w:pPr>
        <w:spacing w:beforeLines="20"/>
        <w:ind w:leftChars="200" w:left="480"/>
        <w:jc w:val="both"/>
        <w:rPr>
          <w:rFonts w:ascii="新細明體" w:hAnsi="新細明體"/>
        </w:rPr>
      </w:pPr>
      <w:r w:rsidRPr="00DA3BC7">
        <w:rPr>
          <w:rFonts w:ascii="新細明體" w:hAnsi="新細明體" w:hint="eastAsia"/>
        </w:rPr>
        <w:t>動，即使極微而至暫的，也是現有時間相的。無有剎那的極量，</w:t>
      </w:r>
      <w:r w:rsidRPr="00DA3BC7">
        <w:rPr>
          <w:rFonts w:ascii="新細明體" w:hAnsi="新細明體" w:hint="eastAsia"/>
          <w:b/>
        </w:rPr>
        <w:t>剎那是即生即滅的時間相</w:t>
      </w:r>
      <w:r w:rsidRPr="00DA3BC7">
        <w:rPr>
          <w:rFonts w:ascii="新細明體" w:hAnsi="新細明體" w:hint="eastAsia"/>
        </w:rPr>
        <w:t>；</w:t>
      </w:r>
      <w:r w:rsidRPr="00DA3BC7">
        <w:rPr>
          <w:rFonts w:ascii="新細明體" w:hAnsi="新細明體" w:hint="eastAsia"/>
          <w:b/>
        </w:rPr>
        <w:t>即生即滅是剎那的動相</w:t>
      </w:r>
      <w:r w:rsidRPr="00DA3BC7">
        <w:rPr>
          <w:rFonts w:ascii="新細明體" w:hAnsi="新細明體" w:hint="eastAsia"/>
        </w:rPr>
        <w:t>，緣起法是如實如此的，剎那間生而即滅。</w:t>
      </w:r>
    </w:p>
    <w:p w:rsidR="00AA120F" w:rsidRPr="00DA3BC7" w:rsidRDefault="00340CB3" w:rsidP="00AE3920">
      <w:pPr>
        <w:spacing w:beforeLines="30"/>
        <w:ind w:leftChars="200" w:left="480"/>
        <w:jc w:val="both"/>
        <w:rPr>
          <w:rFonts w:ascii="新細明體" w:hAnsi="新細明體"/>
          <w:b/>
          <w:sz w:val="20"/>
          <w:szCs w:val="20"/>
        </w:rPr>
      </w:pPr>
      <w:r w:rsidRPr="00340CB3">
        <w:rPr>
          <w:rFonts w:ascii="Times New Roman" w:hAnsi="Times New Roman" w:hint="eastAsia"/>
          <w:b/>
          <w:color w:val="FF0000"/>
          <w:sz w:val="20"/>
          <w:szCs w:val="20"/>
          <w:highlight w:val="yellow"/>
          <w:bdr w:val="single" w:sz="4" w:space="0" w:color="auto"/>
        </w:rPr>
        <w:t>2</w:t>
      </w:r>
      <w:r w:rsidRPr="00340CB3">
        <w:rPr>
          <w:rFonts w:ascii="Times New Roman" w:hAnsi="Times New Roman" w:hint="eastAsia"/>
          <w:b/>
          <w:color w:val="FF0000"/>
          <w:sz w:val="20"/>
          <w:szCs w:val="20"/>
          <w:highlight w:val="yellow"/>
          <w:bdr w:val="single" w:sz="4" w:space="0" w:color="auto"/>
        </w:rPr>
        <w:t>、評「自性見者的錯誤」</w:t>
      </w:r>
      <w:r w:rsidR="00AA120F" w:rsidRPr="00DA3BC7">
        <w:rPr>
          <w:rFonts w:hAnsi="新細明體"/>
          <w:sz w:val="20"/>
          <w:szCs w:val="20"/>
        </w:rPr>
        <w:t>（</w:t>
      </w:r>
      <w:r w:rsidR="00AA120F" w:rsidRPr="00DA3BC7">
        <w:rPr>
          <w:rFonts w:ascii="Times New Roman" w:hAnsi="Times New Roman"/>
          <w:sz w:val="20"/>
          <w:szCs w:val="20"/>
        </w:rPr>
        <w:t>p</w:t>
      </w:r>
      <w:r w:rsidR="00AA120F" w:rsidRPr="00DA3BC7">
        <w:rPr>
          <w:sz w:val="20"/>
          <w:szCs w:val="20"/>
        </w:rPr>
        <w:t>.</w:t>
      </w:r>
      <w:r w:rsidR="00AA120F" w:rsidRPr="00DA3BC7">
        <w:rPr>
          <w:rFonts w:ascii="Times New Roman" w:hAnsi="Times New Roman"/>
          <w:sz w:val="20"/>
          <w:szCs w:val="20"/>
        </w:rPr>
        <w:t>13</w:t>
      </w:r>
      <w:r w:rsidR="00AA120F" w:rsidRPr="00DA3BC7">
        <w:rPr>
          <w:rFonts w:ascii="Times New Roman" w:hAnsi="Times New Roman" w:hint="eastAsia"/>
          <w:sz w:val="20"/>
          <w:szCs w:val="20"/>
        </w:rPr>
        <w:t>7</w:t>
      </w:r>
      <w:r w:rsidR="00AA120F" w:rsidRPr="00DA3BC7">
        <w:rPr>
          <w:rFonts w:hAnsi="新細明體"/>
          <w:sz w:val="20"/>
          <w:szCs w:val="20"/>
        </w:rPr>
        <w:t>）</w:t>
      </w:r>
    </w:p>
    <w:p w:rsidR="00AA120F" w:rsidRPr="00DA3BC7" w:rsidRDefault="00AA120F" w:rsidP="002E5DD4">
      <w:pPr>
        <w:ind w:leftChars="200" w:left="480"/>
        <w:jc w:val="both"/>
        <w:rPr>
          <w:rFonts w:ascii="新細明體" w:hAnsi="新細明體"/>
        </w:rPr>
      </w:pPr>
      <w:r w:rsidRPr="00DA3BC7">
        <w:rPr>
          <w:rFonts w:ascii="新細明體" w:hAnsi="新細明體" w:hint="eastAsia"/>
        </w:rPr>
        <w:t>如依自性見者看來，即不易懂得，總以為剎那是不能生而又即是滅的；如有生有滅，即不能是剎那的。</w:t>
      </w:r>
    </w:p>
    <w:p w:rsidR="00AA120F" w:rsidRPr="00DA3BC7" w:rsidRDefault="00AA120F" w:rsidP="00AE3920">
      <w:pPr>
        <w:spacing w:beforeLines="20"/>
        <w:ind w:leftChars="200" w:left="480"/>
        <w:jc w:val="both"/>
        <w:rPr>
          <w:rFonts w:ascii="新細明體" w:hAnsi="新細明體"/>
        </w:rPr>
      </w:pPr>
      <w:r w:rsidRPr="00DA3BC7">
        <w:rPr>
          <w:rFonts w:ascii="新細明體" w:hAnsi="新細明體" w:hint="eastAsia"/>
        </w:rPr>
        <w:lastRenderedPageBreak/>
        <w:t>但佛說諸行即生即滅，他們不敢反對，於是有所謂體同時而用前</w:t>
      </w:r>
      <w:r w:rsidRPr="00DA3BC7">
        <w:rPr>
          <w:rFonts w:hAnsi="新細明體"/>
        </w:rPr>
        <w:t>後的</w:t>
      </w:r>
      <w:r w:rsidRPr="00DA3BC7">
        <w:rPr>
          <w:rFonts w:ascii="新細明體" w:hAnsi="新細明體" w:hint="eastAsia"/>
        </w:rPr>
        <w:t>，</w:t>
      </w:r>
      <w:r w:rsidR="002968BA" w:rsidRPr="002968BA">
        <w:rPr>
          <w:rStyle w:val="a6"/>
          <w:rFonts w:ascii="Times New Roman" w:hAnsi="Times New Roman"/>
          <w:highlight w:val="yellow"/>
        </w:rPr>
        <w:footnoteReference w:id="641"/>
      </w:r>
      <w:r w:rsidRPr="00DA3BC7">
        <w:rPr>
          <w:rFonts w:ascii="新細明體" w:hAnsi="新細明體" w:hint="eastAsia"/>
        </w:rPr>
        <w:t>有所謂一剎那而有二</w:t>
      </w:r>
      <w:r w:rsidRPr="00DA3BC7">
        <w:rPr>
          <w:rFonts w:hAnsi="新細明體"/>
        </w:rPr>
        <w:t>時的</w:t>
      </w:r>
      <w:r w:rsidRPr="00DA3BC7">
        <w:rPr>
          <w:rFonts w:ascii="新細明體" w:hAnsi="新細明體" w:hint="eastAsia"/>
        </w:rPr>
        <w:t>。</w:t>
      </w:r>
      <w:r w:rsidR="002968BA" w:rsidRPr="002968BA">
        <w:rPr>
          <w:rStyle w:val="a6"/>
          <w:rFonts w:ascii="Times New Roman" w:hAnsi="Times New Roman"/>
          <w:highlight w:val="yellow"/>
        </w:rPr>
        <w:footnoteReference w:id="642"/>
      </w:r>
      <w:r w:rsidRPr="00DA3BC7">
        <w:rPr>
          <w:rFonts w:ascii="新細明體" w:hAnsi="新細明體" w:hint="eastAsia"/>
        </w:rPr>
        <w:t>不知剎那即生即滅乃緣起的幻相，幻相是那樣誑惑人而困惱人的！</w:t>
      </w:r>
    </w:p>
    <w:p w:rsidR="00AA120F" w:rsidRPr="00DA3BC7" w:rsidRDefault="00AA120F" w:rsidP="00AE3920">
      <w:pPr>
        <w:spacing w:beforeLines="30"/>
        <w:ind w:leftChars="150" w:left="360"/>
        <w:jc w:val="both"/>
        <w:rPr>
          <w:rFonts w:ascii="新細明體" w:hAnsi="新細明體"/>
          <w:b/>
          <w:sz w:val="20"/>
          <w:szCs w:val="20"/>
          <w:bdr w:val="single" w:sz="4" w:space="0" w:color="auto"/>
        </w:rPr>
      </w:pPr>
      <w:r w:rsidRPr="002968BA">
        <w:rPr>
          <w:rFonts w:ascii="新細明體" w:hAnsi="新細明體" w:hint="eastAsia"/>
          <w:b/>
          <w:color w:val="FF0000"/>
          <w:sz w:val="20"/>
          <w:szCs w:val="20"/>
          <w:highlight w:val="yellow"/>
          <w:bdr w:val="single" w:sz="4" w:space="0" w:color="auto"/>
        </w:rPr>
        <w:t>（</w:t>
      </w:r>
      <w:r w:rsidR="002968BA" w:rsidRPr="002968BA">
        <w:rPr>
          <w:rFonts w:ascii="新細明體" w:hAnsi="新細明體" w:hint="eastAsia"/>
          <w:b/>
          <w:color w:val="FF0000"/>
          <w:sz w:val="20"/>
          <w:szCs w:val="20"/>
          <w:highlight w:val="yellow"/>
          <w:bdr w:val="single" w:sz="4" w:space="0" w:color="auto"/>
        </w:rPr>
        <w:t>二</w:t>
      </w:r>
      <w:r w:rsidRPr="002968BA">
        <w:rPr>
          <w:rFonts w:ascii="新細明體" w:hAnsi="新細明體" w:hint="eastAsia"/>
          <w:b/>
          <w:color w:val="FF0000"/>
          <w:sz w:val="20"/>
          <w:szCs w:val="20"/>
          <w:highlight w:val="yellow"/>
          <w:bdr w:val="single" w:sz="4" w:space="0" w:color="auto"/>
        </w:rPr>
        <w:t>）幻現的生滅</w:t>
      </w:r>
      <w:r w:rsidR="002968BA" w:rsidRPr="002968BA">
        <w:rPr>
          <w:rFonts w:ascii="新細明體" w:hAnsi="新細明體" w:hint="eastAsia"/>
          <w:b/>
          <w:color w:val="FF0000"/>
          <w:sz w:val="20"/>
          <w:szCs w:val="20"/>
          <w:highlight w:val="yellow"/>
          <w:bdr w:val="single" w:sz="4" w:space="0" w:color="auto"/>
        </w:rPr>
        <w:t>之無性</w:t>
      </w:r>
      <w:r w:rsidRPr="00DA3BC7">
        <w:rPr>
          <w:rFonts w:hAnsi="新細明體"/>
          <w:sz w:val="20"/>
          <w:szCs w:val="20"/>
        </w:rPr>
        <w:t>（</w:t>
      </w:r>
      <w:r w:rsidRPr="00DA3BC7">
        <w:rPr>
          <w:rFonts w:ascii="Times New Roman" w:hAnsi="Times New Roman" w:hint="eastAsia"/>
          <w:sz w:val="20"/>
          <w:szCs w:val="20"/>
        </w:rPr>
        <w:t>p</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13</w:t>
      </w:r>
      <w:r w:rsidRPr="00DA3BC7">
        <w:rPr>
          <w:rFonts w:ascii="Times New Roman" w:hAnsi="Times New Roman" w:hint="eastAsia"/>
          <w:sz w:val="20"/>
          <w:szCs w:val="20"/>
        </w:rPr>
        <w:t>7</w:t>
      </w:r>
      <w:r w:rsidRPr="00DA3BC7">
        <w:rPr>
          <w:rFonts w:hint="eastAsia"/>
          <w:sz w:val="20"/>
          <w:szCs w:val="20"/>
        </w:rPr>
        <w:t>-</w:t>
      </w:r>
      <w:r w:rsidRPr="00DA3BC7">
        <w:rPr>
          <w:rFonts w:ascii="Times New Roman" w:hAnsi="Times New Roman" w:hint="eastAsia"/>
          <w:sz w:val="20"/>
          <w:szCs w:val="20"/>
        </w:rPr>
        <w:t>138</w:t>
      </w:r>
      <w:r w:rsidRPr="00DA3BC7">
        <w:rPr>
          <w:rFonts w:hAnsi="新細明體"/>
          <w:sz w:val="20"/>
          <w:szCs w:val="20"/>
        </w:rPr>
        <w:t>）</w:t>
      </w:r>
    </w:p>
    <w:p w:rsidR="00AA120F" w:rsidRPr="00DA3BC7" w:rsidRDefault="00AA120F" w:rsidP="002E5DD4">
      <w:pPr>
        <w:ind w:leftChars="150" w:left="360"/>
        <w:jc w:val="both"/>
        <w:rPr>
          <w:rFonts w:ascii="新細明體" w:hAnsi="新細明體"/>
        </w:rPr>
      </w:pPr>
      <w:r w:rsidRPr="00DA3BC7">
        <w:rPr>
          <w:rFonts w:ascii="新細明體" w:hAnsi="新細明體" w:hint="eastAsia"/>
        </w:rPr>
        <w:t>即緣起而觀自性，生滅相即不可得，緣起即空；但如幻的緣起，即生即滅的流行，宛然如此！</w:t>
      </w:r>
    </w:p>
    <w:p w:rsidR="00AA120F" w:rsidRPr="00DA3BC7" w:rsidRDefault="00AA120F" w:rsidP="002E5DD4">
      <w:pPr>
        <w:ind w:leftChars="150" w:left="360"/>
        <w:jc w:val="both"/>
        <w:rPr>
          <w:rFonts w:ascii="新細明體" w:hAnsi="新細明體"/>
        </w:rPr>
      </w:pPr>
      <w:r w:rsidRPr="00DA3BC7">
        <w:rPr>
          <w:rFonts w:ascii="新細明體" w:hAnsi="新細明體" w:hint="eastAsia"/>
        </w:rPr>
        <w:t>所以，佛法對宇宙萬象的觀察，是動的，這是有為的諸行。</w:t>
      </w:r>
    </w:p>
    <w:p w:rsidR="00AA120F" w:rsidRPr="00DA3BC7" w:rsidRDefault="00AA120F" w:rsidP="00AE3920">
      <w:pPr>
        <w:spacing w:beforeLines="20"/>
        <w:ind w:leftChars="150" w:left="360"/>
        <w:jc w:val="both"/>
        <w:rPr>
          <w:rFonts w:ascii="新細明體" w:hAnsi="新細明體"/>
        </w:rPr>
      </w:pPr>
      <w:r w:rsidRPr="00DA3BC7">
        <w:rPr>
          <w:rFonts w:ascii="新細明體" w:hAnsi="新細明體" w:hint="eastAsia"/>
        </w:rPr>
        <w:t>生是緣起幻現的生，不是有一實在的東西可生，即自性不生；</w:t>
      </w:r>
    </w:p>
    <w:p w:rsidR="00AA120F" w:rsidRPr="00DA3BC7" w:rsidRDefault="00AA120F" w:rsidP="002E5DD4">
      <w:pPr>
        <w:ind w:leftChars="150" w:left="360"/>
        <w:jc w:val="both"/>
        <w:rPr>
          <w:rFonts w:ascii="新細明體" w:hAnsi="新細明體"/>
        </w:rPr>
      </w:pPr>
      <w:r w:rsidRPr="00DA3BC7">
        <w:rPr>
          <w:rFonts w:ascii="新細明體" w:hAnsi="新細明體" w:hint="eastAsia"/>
        </w:rPr>
        <w:t>自性不生，則幻相滅也非有實物可滅。</w:t>
      </w:r>
    </w:p>
    <w:p w:rsidR="00AA120F" w:rsidRPr="00DA3BC7" w:rsidRDefault="00AA120F" w:rsidP="00AE3920">
      <w:pPr>
        <w:spacing w:beforeLines="20"/>
        <w:ind w:leftChars="150" w:left="360"/>
        <w:jc w:val="both"/>
        <w:rPr>
          <w:rFonts w:ascii="新細明體" w:hAnsi="新細明體"/>
        </w:rPr>
      </w:pPr>
      <w:r w:rsidRPr="00DA3BC7">
        <w:rPr>
          <w:rFonts w:ascii="新細明體" w:hAnsi="新細明體" w:hint="eastAsia"/>
        </w:rPr>
        <w:t>若從實有的生滅看，則落斷常。</w:t>
      </w:r>
    </w:p>
    <w:p w:rsidR="00AA120F" w:rsidRPr="00DA3BC7" w:rsidRDefault="002968BA" w:rsidP="00AE3920">
      <w:pPr>
        <w:spacing w:beforeLines="30"/>
        <w:jc w:val="both"/>
        <w:rPr>
          <w:rFonts w:ascii="新細明體" w:hAnsi="新細明體"/>
        </w:rPr>
      </w:pPr>
      <w:r w:rsidRPr="002968BA">
        <w:rPr>
          <w:rFonts w:hint="eastAsia"/>
          <w:b/>
          <w:color w:val="FF0000"/>
          <w:sz w:val="20"/>
          <w:szCs w:val="20"/>
          <w:highlight w:val="yellow"/>
          <w:bdr w:val="single" w:sz="4" w:space="0" w:color="auto"/>
        </w:rPr>
        <w:t>參</w:t>
      </w:r>
      <w:r w:rsidR="00AA120F" w:rsidRPr="002968BA">
        <w:rPr>
          <w:rFonts w:hint="eastAsia"/>
          <w:b/>
          <w:color w:val="FF0000"/>
          <w:sz w:val="20"/>
          <w:szCs w:val="20"/>
          <w:highlight w:val="yellow"/>
          <w:bdr w:val="single" w:sz="4" w:space="0" w:color="auto"/>
        </w:rPr>
        <w:t>、</w:t>
      </w:r>
      <w:r w:rsidRPr="002968BA">
        <w:rPr>
          <w:rFonts w:hint="eastAsia"/>
          <w:b/>
          <w:color w:val="FF0000"/>
          <w:sz w:val="20"/>
          <w:szCs w:val="20"/>
          <w:highlight w:val="yellow"/>
          <w:bdr w:val="single" w:sz="4" w:space="0" w:color="auto"/>
        </w:rPr>
        <w:t>辨疑</w:t>
      </w:r>
      <w:r w:rsidR="00AA120F" w:rsidRPr="00DA3BC7">
        <w:rPr>
          <w:rFonts w:hint="eastAsia"/>
          <w:sz w:val="20"/>
          <w:szCs w:val="20"/>
        </w:rPr>
        <w:t>（</w:t>
      </w:r>
      <w:r w:rsidR="00AA120F" w:rsidRPr="00DA3BC7">
        <w:rPr>
          <w:rFonts w:ascii="Times New Roman" w:hAnsi="Times New Roman"/>
          <w:sz w:val="20"/>
          <w:szCs w:val="20"/>
        </w:rPr>
        <w:t>pp</w:t>
      </w:r>
      <w:r w:rsidR="00AA120F" w:rsidRPr="00DA3BC7">
        <w:rPr>
          <w:sz w:val="20"/>
          <w:szCs w:val="20"/>
        </w:rPr>
        <w:t>.</w:t>
      </w:r>
      <w:r w:rsidR="00AA120F" w:rsidRPr="00DA3BC7">
        <w:rPr>
          <w:rFonts w:ascii="Times New Roman" w:hAnsi="Times New Roman"/>
          <w:sz w:val="20"/>
          <w:szCs w:val="20"/>
        </w:rPr>
        <w:t>138</w:t>
      </w:r>
      <w:r w:rsidR="00AA120F" w:rsidRPr="00DA3BC7">
        <w:rPr>
          <w:sz w:val="20"/>
          <w:szCs w:val="20"/>
        </w:rPr>
        <w:t>-</w:t>
      </w:r>
      <w:r w:rsidR="00AA120F" w:rsidRPr="00DA3BC7">
        <w:rPr>
          <w:rFonts w:ascii="Times New Roman" w:hAnsi="Times New Roman"/>
          <w:sz w:val="20"/>
          <w:szCs w:val="20"/>
        </w:rPr>
        <w:t>141</w:t>
      </w:r>
      <w:r w:rsidR="00AA120F" w:rsidRPr="00DA3BC7">
        <w:rPr>
          <w:rFonts w:hint="eastAsia"/>
          <w:sz w:val="20"/>
          <w:szCs w:val="20"/>
        </w:rPr>
        <w:t>）</w:t>
      </w:r>
    </w:p>
    <w:p w:rsidR="00AA120F" w:rsidRPr="00DA3BC7" w:rsidRDefault="00AA120F" w:rsidP="008E2BBC">
      <w:pPr>
        <w:ind w:leftChars="50" w:left="120"/>
        <w:jc w:val="both"/>
        <w:rPr>
          <w:b/>
          <w:sz w:val="20"/>
          <w:szCs w:val="20"/>
          <w:bdr w:val="single" w:sz="4" w:space="0" w:color="auto"/>
        </w:rPr>
      </w:pPr>
      <w:r w:rsidRPr="002968BA">
        <w:rPr>
          <w:rFonts w:hint="eastAsia"/>
          <w:b/>
          <w:color w:val="FF0000"/>
          <w:sz w:val="20"/>
          <w:szCs w:val="20"/>
          <w:highlight w:val="yellow"/>
          <w:bdr w:val="single" w:sz="4" w:space="0" w:color="auto"/>
        </w:rPr>
        <w:t>（壹）</w:t>
      </w:r>
      <w:r w:rsidR="002968BA" w:rsidRPr="002968BA">
        <w:rPr>
          <w:rFonts w:hint="eastAsia"/>
          <w:b/>
          <w:color w:val="FF0000"/>
          <w:sz w:val="20"/>
          <w:szCs w:val="20"/>
          <w:highlight w:val="yellow"/>
          <w:bdr w:val="single" w:sz="4" w:space="0" w:color="auto"/>
        </w:rPr>
        <w:t>舉經明</w:t>
      </w:r>
      <w:r w:rsidRPr="002968BA">
        <w:rPr>
          <w:rFonts w:hint="eastAsia"/>
          <w:b/>
          <w:color w:val="FF0000"/>
          <w:sz w:val="20"/>
          <w:szCs w:val="20"/>
          <w:highlight w:val="yellow"/>
          <w:bdr w:val="single" w:sz="4" w:space="0" w:color="auto"/>
        </w:rPr>
        <w:t>：諸</w:t>
      </w:r>
      <w:r w:rsidR="002968BA" w:rsidRPr="002968BA">
        <w:rPr>
          <w:rFonts w:hint="eastAsia"/>
          <w:b/>
          <w:color w:val="FF0000"/>
          <w:sz w:val="20"/>
          <w:szCs w:val="20"/>
          <w:highlight w:val="yellow"/>
          <w:bdr w:val="single" w:sz="4" w:space="0" w:color="auto"/>
        </w:rPr>
        <w:t>行</w:t>
      </w:r>
      <w:r w:rsidRPr="002968BA">
        <w:rPr>
          <w:rFonts w:hint="eastAsia"/>
          <w:b/>
          <w:color w:val="FF0000"/>
          <w:sz w:val="20"/>
          <w:szCs w:val="20"/>
          <w:highlight w:val="yellow"/>
          <w:bdr w:val="single" w:sz="4" w:space="0" w:color="auto"/>
        </w:rPr>
        <w:t>剎那生滅</w:t>
      </w:r>
      <w:r w:rsidR="002968BA" w:rsidRPr="002968BA">
        <w:rPr>
          <w:rFonts w:hint="eastAsia"/>
          <w:b/>
          <w:color w:val="FF0000"/>
          <w:sz w:val="20"/>
          <w:szCs w:val="20"/>
          <w:highlight w:val="yellow"/>
          <w:bdr w:val="single" w:sz="4" w:space="0" w:color="auto"/>
        </w:rPr>
        <w:t>而</w:t>
      </w:r>
      <w:r w:rsidRPr="002968BA">
        <w:rPr>
          <w:rFonts w:hint="eastAsia"/>
          <w:b/>
          <w:color w:val="FF0000"/>
          <w:sz w:val="20"/>
          <w:szCs w:val="20"/>
          <w:highlight w:val="yellow"/>
          <w:bdr w:val="single" w:sz="4" w:space="0" w:color="auto"/>
        </w:rPr>
        <w:t>不住</w:t>
      </w:r>
      <w:r w:rsidRPr="00DA3BC7">
        <w:rPr>
          <w:rFonts w:hAnsi="新細明體"/>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13</w:t>
      </w:r>
      <w:r w:rsidRPr="00DA3BC7">
        <w:rPr>
          <w:rFonts w:ascii="Times New Roman" w:hAnsi="Times New Roman" w:hint="eastAsia"/>
          <w:sz w:val="20"/>
          <w:szCs w:val="20"/>
        </w:rPr>
        <w:t>8</w:t>
      </w:r>
      <w:r w:rsidRPr="00DA3BC7">
        <w:rPr>
          <w:rFonts w:hAnsi="新細明體"/>
          <w:sz w:val="20"/>
          <w:szCs w:val="20"/>
        </w:rPr>
        <w:t>）</w:t>
      </w:r>
    </w:p>
    <w:p w:rsidR="00AA120F" w:rsidRPr="00DA3BC7" w:rsidRDefault="00AA120F" w:rsidP="008E2BBC">
      <w:pPr>
        <w:ind w:leftChars="50" w:left="120"/>
        <w:jc w:val="both"/>
      </w:pPr>
      <w:r w:rsidRPr="00DA3BC7">
        <w:rPr>
          <w:rFonts w:hAnsi="新細明體"/>
        </w:rPr>
        <w:lastRenderedPageBreak/>
        <w:t>經中說幻相的生滅為不住，喻如流水</w:t>
      </w:r>
      <w:r w:rsidRPr="00DA3BC7">
        <w:rPr>
          <w:rFonts w:hAnsi="新細明體" w:hint="eastAsia"/>
        </w:rPr>
        <w:t>、</w:t>
      </w:r>
      <w:r w:rsidRPr="00DA3BC7">
        <w:rPr>
          <w:rFonts w:hAnsi="新細明體"/>
        </w:rPr>
        <w:t>燈焰，這是約相續而顯內在生滅不住的</w:t>
      </w:r>
      <w:r w:rsidR="002968BA">
        <w:rPr>
          <w:rFonts w:hAnsi="新細明體" w:hint="eastAsia"/>
          <w:color w:val="FF0000"/>
          <w:highlight w:val="yellow"/>
        </w:rPr>
        <w:t>；</w:t>
      </w:r>
      <w:r w:rsidRPr="00DA3BC7">
        <w:rPr>
          <w:rFonts w:hAnsi="新細明體"/>
        </w:rPr>
        <w:t>又喻如石火</w:t>
      </w:r>
      <w:r w:rsidRPr="00DA3BC7">
        <w:rPr>
          <w:rStyle w:val="a6"/>
          <w:rFonts w:ascii="Times New Roman" w:hAnsi="Times New Roman"/>
        </w:rPr>
        <w:footnoteReference w:id="643"/>
      </w:r>
      <w:r w:rsidRPr="00DA3BC7">
        <w:rPr>
          <w:rFonts w:hAnsi="新細明體"/>
        </w:rPr>
        <w:t>電光</w:t>
      </w:r>
      <w:r w:rsidRPr="00DA3BC7">
        <w:rPr>
          <w:rStyle w:val="a6"/>
          <w:rFonts w:ascii="Times New Roman" w:hAnsi="Times New Roman"/>
        </w:rPr>
        <w:footnoteReference w:id="644"/>
      </w:r>
      <w:r w:rsidRPr="00DA3BC7">
        <w:rPr>
          <w:rFonts w:hAnsi="新細明體"/>
        </w:rPr>
        <w:t>，這形容其至極迅速。</w:t>
      </w:r>
    </w:p>
    <w:p w:rsidR="00AA120F" w:rsidRPr="00DA3BC7" w:rsidRDefault="00AA120F" w:rsidP="00AE3920">
      <w:pPr>
        <w:spacing w:beforeLines="30"/>
        <w:ind w:leftChars="50" w:left="120"/>
        <w:jc w:val="both"/>
        <w:rPr>
          <w:b/>
          <w:sz w:val="20"/>
          <w:szCs w:val="20"/>
          <w:bdr w:val="single" w:sz="4" w:space="0" w:color="auto"/>
        </w:rPr>
      </w:pPr>
      <w:r w:rsidRPr="00DA3BC7">
        <w:rPr>
          <w:rFonts w:hint="eastAsia"/>
          <w:b/>
          <w:sz w:val="20"/>
          <w:szCs w:val="20"/>
          <w:bdr w:val="single" w:sz="4" w:space="0" w:color="auto"/>
        </w:rPr>
        <w:t>（貳）</w:t>
      </w:r>
      <w:r w:rsidR="002968BA" w:rsidRPr="002968BA">
        <w:rPr>
          <w:rFonts w:hint="eastAsia"/>
          <w:b/>
          <w:color w:val="FF0000"/>
          <w:sz w:val="20"/>
          <w:szCs w:val="20"/>
          <w:highlight w:val="yellow"/>
          <w:bdr w:val="single" w:sz="4" w:space="0" w:color="auto"/>
        </w:rPr>
        <w:t>依義辨</w:t>
      </w:r>
      <w:r w:rsidRPr="00DA3BC7">
        <w:rPr>
          <w:rFonts w:hint="eastAsia"/>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138</w:t>
      </w:r>
      <w:r w:rsidRPr="00DA3BC7">
        <w:rPr>
          <w:sz w:val="20"/>
          <w:szCs w:val="20"/>
        </w:rPr>
        <w:t>-</w:t>
      </w:r>
      <w:r w:rsidRPr="00DA3BC7">
        <w:rPr>
          <w:rFonts w:ascii="Times New Roman" w:hAnsi="Times New Roman"/>
          <w:sz w:val="20"/>
          <w:szCs w:val="20"/>
        </w:rPr>
        <w:t>141</w:t>
      </w:r>
      <w:r w:rsidRPr="00DA3BC7">
        <w:rPr>
          <w:rFonts w:hint="eastAsia"/>
          <w:sz w:val="20"/>
          <w:szCs w:val="20"/>
        </w:rPr>
        <w:t>）</w:t>
      </w:r>
    </w:p>
    <w:p w:rsidR="002968BA" w:rsidRDefault="002968BA" w:rsidP="002E5DD4">
      <w:pPr>
        <w:ind w:leftChars="50" w:left="120"/>
        <w:jc w:val="both"/>
        <w:rPr>
          <w:rFonts w:hAnsi="新細明體"/>
        </w:rPr>
      </w:pPr>
      <w:r w:rsidRPr="002968BA">
        <w:rPr>
          <w:rFonts w:hAnsi="新細明體" w:hint="eastAsia"/>
          <w:highlight w:val="yellow"/>
        </w:rPr>
        <w:t>於</w:t>
      </w:r>
      <w:r>
        <w:rPr>
          <w:rFonts w:hAnsi="新細明體" w:hint="eastAsia"/>
        </w:rPr>
        <w:t>此，可有兩個問題來討論：</w:t>
      </w:r>
    </w:p>
    <w:p w:rsidR="00AA120F" w:rsidRDefault="00AA120F" w:rsidP="008E2BBC">
      <w:pPr>
        <w:ind w:leftChars="100" w:left="240"/>
        <w:jc w:val="both"/>
        <w:rPr>
          <w:rFonts w:hAnsi="新細明體"/>
          <w:sz w:val="20"/>
          <w:szCs w:val="20"/>
        </w:rPr>
      </w:pPr>
      <w:r w:rsidRPr="002968BA">
        <w:rPr>
          <w:rFonts w:hint="eastAsia"/>
          <w:b/>
          <w:color w:val="FF0000"/>
          <w:sz w:val="20"/>
          <w:szCs w:val="20"/>
          <w:highlight w:val="yellow"/>
          <w:bdr w:val="single" w:sz="4" w:space="0" w:color="auto"/>
        </w:rPr>
        <w:t>一、</w:t>
      </w:r>
      <w:r w:rsidR="002968BA" w:rsidRPr="002968BA">
        <w:rPr>
          <w:rFonts w:hint="eastAsia"/>
          <w:b/>
          <w:color w:val="FF0000"/>
          <w:sz w:val="20"/>
          <w:szCs w:val="20"/>
          <w:highlight w:val="yellow"/>
          <w:bdr w:val="single" w:sz="4" w:space="0" w:color="auto"/>
        </w:rPr>
        <w:t>辨「</w:t>
      </w:r>
      <w:r w:rsidRPr="002968BA">
        <w:rPr>
          <w:rFonts w:hint="eastAsia"/>
          <w:b/>
          <w:color w:val="FF0000"/>
          <w:sz w:val="20"/>
          <w:szCs w:val="20"/>
          <w:highlight w:val="yellow"/>
          <w:bdr w:val="single" w:sz="4" w:space="0" w:color="auto"/>
        </w:rPr>
        <w:t>過去行業</w:t>
      </w:r>
      <w:r w:rsidR="002968BA" w:rsidRPr="002968BA">
        <w:rPr>
          <w:rFonts w:hint="eastAsia"/>
          <w:b/>
          <w:color w:val="FF0000"/>
          <w:sz w:val="20"/>
          <w:szCs w:val="20"/>
          <w:highlight w:val="yellow"/>
          <w:bdr w:val="single" w:sz="4" w:space="0" w:color="auto"/>
        </w:rPr>
        <w:t>能感果」</w:t>
      </w:r>
      <w:r w:rsidRPr="00DA3BC7">
        <w:rPr>
          <w:rFonts w:hAnsi="新細明體"/>
          <w:sz w:val="20"/>
          <w:szCs w:val="20"/>
        </w:rPr>
        <w:t>（</w:t>
      </w:r>
      <w:r w:rsidRPr="00DA3BC7">
        <w:rPr>
          <w:rFonts w:ascii="Times New Roman" w:hAnsi="Times New Roman" w:hint="eastAsia"/>
          <w:sz w:val="20"/>
          <w:szCs w:val="20"/>
        </w:rPr>
        <w:t>p</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13</w:t>
      </w:r>
      <w:r w:rsidRPr="00DA3BC7">
        <w:rPr>
          <w:rFonts w:ascii="Times New Roman" w:hAnsi="Times New Roman" w:hint="eastAsia"/>
          <w:sz w:val="20"/>
          <w:szCs w:val="20"/>
        </w:rPr>
        <w:t>8</w:t>
      </w:r>
      <w:r w:rsidRPr="00DA3BC7">
        <w:rPr>
          <w:rFonts w:hint="eastAsia"/>
          <w:sz w:val="20"/>
          <w:szCs w:val="20"/>
        </w:rPr>
        <w:t>-</w:t>
      </w:r>
      <w:r w:rsidRPr="00DA3BC7">
        <w:rPr>
          <w:rFonts w:ascii="Times New Roman" w:hAnsi="Times New Roman" w:hint="eastAsia"/>
          <w:sz w:val="20"/>
          <w:szCs w:val="20"/>
        </w:rPr>
        <w:t>140</w:t>
      </w:r>
      <w:r w:rsidRPr="00DA3BC7">
        <w:rPr>
          <w:rFonts w:hAnsi="新細明體"/>
          <w:sz w:val="20"/>
          <w:szCs w:val="20"/>
        </w:rPr>
        <w:t>）</w:t>
      </w:r>
    </w:p>
    <w:p w:rsidR="002968BA" w:rsidRPr="00DA3BC7" w:rsidRDefault="002968BA" w:rsidP="002E5DD4">
      <w:pPr>
        <w:ind w:leftChars="150" w:left="360"/>
        <w:jc w:val="both"/>
        <w:rPr>
          <w:rFonts w:ascii="新細明體" w:hAnsi="新細明體"/>
          <w:b/>
          <w:sz w:val="20"/>
          <w:szCs w:val="20"/>
          <w:bdr w:val="single" w:sz="4" w:space="0" w:color="auto"/>
        </w:rPr>
      </w:pPr>
      <w:r w:rsidRPr="002968BA">
        <w:rPr>
          <w:rFonts w:hint="eastAsia"/>
          <w:b/>
          <w:color w:val="FF0000"/>
          <w:sz w:val="20"/>
          <w:szCs w:val="20"/>
          <w:highlight w:val="yellow"/>
          <w:bdr w:val="single" w:sz="4" w:space="0" w:color="auto"/>
        </w:rPr>
        <w:t>（一）提問</w:t>
      </w:r>
      <w:r w:rsidRPr="00DA3BC7">
        <w:rPr>
          <w:rFonts w:hAnsi="新細明體"/>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13</w:t>
      </w:r>
      <w:r w:rsidRPr="00DA3BC7">
        <w:rPr>
          <w:rFonts w:ascii="Times New Roman" w:hAnsi="Times New Roman" w:hint="eastAsia"/>
          <w:sz w:val="20"/>
          <w:szCs w:val="20"/>
        </w:rPr>
        <w:t>8</w:t>
      </w:r>
      <w:r w:rsidRPr="00DA3BC7">
        <w:rPr>
          <w:rFonts w:hAnsi="新細明體"/>
          <w:sz w:val="20"/>
          <w:szCs w:val="20"/>
        </w:rPr>
        <w:t>）</w:t>
      </w:r>
    </w:p>
    <w:p w:rsidR="00AA120F" w:rsidRPr="00DA3BC7" w:rsidRDefault="00AA120F" w:rsidP="002E5DD4">
      <w:pPr>
        <w:ind w:leftChars="150" w:left="360"/>
        <w:jc w:val="both"/>
        <w:rPr>
          <w:rFonts w:ascii="新細明體" w:hAnsi="新細明體"/>
        </w:rPr>
      </w:pPr>
      <w:r w:rsidRPr="00DA3BC7">
        <w:rPr>
          <w:rFonts w:ascii="新細明體" w:hAnsi="新細明體" w:hint="eastAsia"/>
        </w:rPr>
        <w:t>一、諸法剎那生滅，怎麼過去的行業經百千劫而不失？</w:t>
      </w:r>
    </w:p>
    <w:p w:rsidR="00AA120F" w:rsidRPr="00DA3BC7" w:rsidRDefault="002968BA" w:rsidP="00AE3920">
      <w:pPr>
        <w:spacing w:beforeLines="30"/>
        <w:ind w:leftChars="150" w:left="360"/>
        <w:jc w:val="both"/>
        <w:rPr>
          <w:b/>
          <w:sz w:val="20"/>
          <w:szCs w:val="20"/>
          <w:bdr w:val="single" w:sz="4" w:space="0" w:color="auto"/>
        </w:rPr>
      </w:pPr>
      <w:r w:rsidRPr="002968BA">
        <w:rPr>
          <w:rFonts w:hint="eastAsia"/>
          <w:b/>
          <w:color w:val="FF0000"/>
          <w:sz w:val="20"/>
          <w:szCs w:val="20"/>
          <w:highlight w:val="yellow"/>
          <w:bdr w:val="single" w:sz="4" w:space="0" w:color="auto"/>
        </w:rPr>
        <w:t>（</w:t>
      </w:r>
      <w:r>
        <w:rPr>
          <w:rFonts w:hint="eastAsia"/>
          <w:b/>
          <w:color w:val="FF0000"/>
          <w:sz w:val="20"/>
          <w:szCs w:val="20"/>
          <w:highlight w:val="yellow"/>
          <w:bdr w:val="single" w:sz="4" w:space="0" w:color="auto"/>
        </w:rPr>
        <w:t>二</w:t>
      </w:r>
      <w:r w:rsidRPr="002968BA">
        <w:rPr>
          <w:rFonts w:hint="eastAsia"/>
          <w:b/>
          <w:color w:val="FF0000"/>
          <w:sz w:val="20"/>
          <w:szCs w:val="20"/>
          <w:highlight w:val="yellow"/>
          <w:bdr w:val="single" w:sz="4" w:space="0" w:color="auto"/>
        </w:rPr>
        <w:t>）</w:t>
      </w:r>
      <w:r>
        <w:rPr>
          <w:rFonts w:hint="eastAsia"/>
          <w:b/>
          <w:color w:val="FF0000"/>
          <w:sz w:val="20"/>
          <w:szCs w:val="20"/>
          <w:highlight w:val="yellow"/>
          <w:bdr w:val="single" w:sz="4" w:space="0" w:color="auto"/>
        </w:rPr>
        <w:t>釋答</w:t>
      </w:r>
      <w:r w:rsidRPr="00DA3BC7">
        <w:rPr>
          <w:rFonts w:hAnsi="新細明體"/>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13</w:t>
      </w:r>
      <w:r w:rsidRPr="00DA3BC7">
        <w:rPr>
          <w:rFonts w:ascii="Times New Roman" w:hAnsi="Times New Roman" w:hint="eastAsia"/>
          <w:sz w:val="20"/>
          <w:szCs w:val="20"/>
        </w:rPr>
        <w:t>8</w:t>
      </w:r>
      <w:r>
        <w:rPr>
          <w:rFonts w:ascii="Times New Roman" w:hAnsi="Times New Roman" w:hint="eastAsia"/>
          <w:sz w:val="20"/>
          <w:szCs w:val="20"/>
        </w:rPr>
        <w:t>-140</w:t>
      </w:r>
      <w:r w:rsidRPr="00DA3BC7">
        <w:rPr>
          <w:rFonts w:hAnsi="新細明體"/>
          <w:sz w:val="20"/>
          <w:szCs w:val="20"/>
        </w:rPr>
        <w:t>）</w:t>
      </w:r>
      <w:r>
        <w:rPr>
          <w:rFonts w:hAnsi="新細明體"/>
          <w:sz w:val="20"/>
          <w:szCs w:val="20"/>
        </w:rPr>
        <w:tab/>
      </w:r>
    </w:p>
    <w:p w:rsidR="002968BA" w:rsidRDefault="002968BA" w:rsidP="002E5DD4">
      <w:pPr>
        <w:ind w:leftChars="200" w:left="480"/>
        <w:jc w:val="both"/>
        <w:rPr>
          <w:rFonts w:hAnsi="新細明體"/>
          <w:sz w:val="20"/>
          <w:szCs w:val="20"/>
        </w:rPr>
      </w:pPr>
      <w:r w:rsidRPr="002968BA">
        <w:rPr>
          <w:rFonts w:ascii="Times New Roman" w:hAnsi="Times New Roman" w:hint="eastAsia"/>
          <w:b/>
          <w:color w:val="FF0000"/>
          <w:sz w:val="20"/>
          <w:szCs w:val="20"/>
          <w:highlight w:val="yellow"/>
          <w:bdr w:val="single" w:sz="4" w:space="0" w:color="auto"/>
        </w:rPr>
        <w:t>1</w:t>
      </w:r>
      <w:r w:rsidRPr="002968BA">
        <w:rPr>
          <w:rFonts w:ascii="Times New Roman" w:hAnsi="Times New Roman" w:hint="eastAsia"/>
          <w:b/>
          <w:color w:val="FF0000"/>
          <w:sz w:val="20"/>
          <w:szCs w:val="20"/>
          <w:highlight w:val="yellow"/>
          <w:bdr w:val="single" w:sz="4" w:space="0" w:color="auto"/>
        </w:rPr>
        <w:t>、謬解</w:t>
      </w:r>
      <w:r w:rsidRPr="00DA3BC7">
        <w:rPr>
          <w:rFonts w:hAnsi="新細明體"/>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13</w:t>
      </w:r>
      <w:r w:rsidRPr="00DA3BC7">
        <w:rPr>
          <w:rFonts w:ascii="Times New Roman" w:hAnsi="Times New Roman" w:hint="eastAsia"/>
          <w:sz w:val="20"/>
          <w:szCs w:val="20"/>
        </w:rPr>
        <w:t>8</w:t>
      </w:r>
      <w:r w:rsidRPr="00DA3BC7">
        <w:rPr>
          <w:rFonts w:hAnsi="新細明體"/>
          <w:sz w:val="20"/>
          <w:szCs w:val="20"/>
        </w:rPr>
        <w:t>）</w:t>
      </w:r>
    </w:p>
    <w:p w:rsidR="00AA120F" w:rsidRPr="00DA3BC7" w:rsidRDefault="00AA120F" w:rsidP="002E5DD4">
      <w:pPr>
        <w:ind w:leftChars="200" w:left="480"/>
        <w:jc w:val="both"/>
        <w:rPr>
          <w:rFonts w:ascii="新細明體" w:hAnsi="新細明體"/>
        </w:rPr>
      </w:pPr>
      <w:r w:rsidRPr="00DA3BC7">
        <w:rPr>
          <w:rFonts w:ascii="新細明體" w:hAnsi="新細明體" w:hint="eastAsia"/>
        </w:rPr>
        <w:t>有人以滅為無，無了如何還能感果？</w:t>
      </w:r>
    </w:p>
    <w:p w:rsidR="00AA120F" w:rsidRPr="00DA3BC7" w:rsidRDefault="00AA120F" w:rsidP="002E5DD4">
      <w:pPr>
        <w:ind w:leftChars="200" w:left="480"/>
        <w:jc w:val="both"/>
        <w:rPr>
          <w:rFonts w:ascii="新細明體" w:hAnsi="新細明體"/>
        </w:rPr>
      </w:pPr>
      <w:r w:rsidRPr="00DA3BC7">
        <w:rPr>
          <w:rFonts w:ascii="新細明體" w:hAnsi="新細明體" w:hint="eastAsia"/>
        </w:rPr>
        <w:t>因此，有人以為滅後還是有，但有為甚麼名為滅？</w:t>
      </w:r>
    </w:p>
    <w:p w:rsidR="00AA120F" w:rsidRPr="00DA3BC7" w:rsidRDefault="002968BA" w:rsidP="00AE3920">
      <w:pPr>
        <w:spacing w:beforeLines="30"/>
        <w:ind w:leftChars="200" w:left="480"/>
        <w:jc w:val="both"/>
        <w:rPr>
          <w:b/>
          <w:sz w:val="20"/>
          <w:szCs w:val="20"/>
        </w:rPr>
      </w:pPr>
      <w:r w:rsidRPr="002968BA">
        <w:rPr>
          <w:rFonts w:ascii="Times New Roman" w:hAnsi="Times New Roman" w:hint="eastAsia"/>
          <w:b/>
          <w:color w:val="FF0000"/>
          <w:sz w:val="20"/>
          <w:szCs w:val="20"/>
          <w:highlight w:val="yellow"/>
          <w:bdr w:val="single" w:sz="4" w:space="0" w:color="auto"/>
        </w:rPr>
        <w:t>2</w:t>
      </w:r>
      <w:r w:rsidRPr="002968BA">
        <w:rPr>
          <w:rFonts w:hint="eastAsia"/>
          <w:b/>
          <w:color w:val="FF0000"/>
          <w:sz w:val="20"/>
          <w:szCs w:val="20"/>
          <w:highlight w:val="yellow"/>
          <w:bdr w:val="single" w:sz="4" w:space="0" w:color="auto"/>
        </w:rPr>
        <w:t>、正解</w:t>
      </w:r>
      <w:r w:rsidR="00AA120F" w:rsidRPr="00DA3BC7">
        <w:rPr>
          <w:rFonts w:hAnsi="新細明體"/>
          <w:sz w:val="20"/>
          <w:szCs w:val="20"/>
        </w:rPr>
        <w:t>（</w:t>
      </w:r>
      <w:r w:rsidR="00AA120F" w:rsidRPr="00DA3BC7">
        <w:rPr>
          <w:rFonts w:ascii="Times New Roman" w:hAnsi="Times New Roman" w:hint="eastAsia"/>
          <w:sz w:val="20"/>
          <w:szCs w:val="20"/>
        </w:rPr>
        <w:t>p</w:t>
      </w:r>
      <w:r w:rsidR="00AA120F" w:rsidRPr="00DA3BC7">
        <w:rPr>
          <w:rFonts w:ascii="Times New Roman" w:hAnsi="Times New Roman"/>
          <w:sz w:val="20"/>
          <w:szCs w:val="20"/>
        </w:rPr>
        <w:t>p</w:t>
      </w:r>
      <w:r w:rsidR="00AA120F" w:rsidRPr="00DA3BC7">
        <w:rPr>
          <w:sz w:val="20"/>
          <w:szCs w:val="20"/>
        </w:rPr>
        <w:t>.</w:t>
      </w:r>
      <w:r w:rsidR="00AA120F" w:rsidRPr="00DA3BC7">
        <w:rPr>
          <w:rFonts w:ascii="Times New Roman" w:hAnsi="Times New Roman"/>
          <w:sz w:val="20"/>
          <w:szCs w:val="20"/>
        </w:rPr>
        <w:t>13</w:t>
      </w:r>
      <w:r w:rsidR="00AA120F" w:rsidRPr="00DA3BC7">
        <w:rPr>
          <w:rFonts w:ascii="Times New Roman" w:hAnsi="Times New Roman" w:hint="eastAsia"/>
          <w:sz w:val="20"/>
          <w:szCs w:val="20"/>
        </w:rPr>
        <w:t>8</w:t>
      </w:r>
      <w:r w:rsidR="00AA120F" w:rsidRPr="00DA3BC7">
        <w:rPr>
          <w:rFonts w:hint="eastAsia"/>
          <w:sz w:val="20"/>
          <w:szCs w:val="20"/>
        </w:rPr>
        <w:t>-</w:t>
      </w:r>
      <w:r w:rsidR="00AA120F" w:rsidRPr="00DA3BC7">
        <w:rPr>
          <w:rFonts w:ascii="Times New Roman" w:hAnsi="Times New Roman" w:hint="eastAsia"/>
          <w:sz w:val="20"/>
          <w:szCs w:val="20"/>
        </w:rPr>
        <w:t>139</w:t>
      </w:r>
      <w:r w:rsidR="00AA120F" w:rsidRPr="00DA3BC7">
        <w:rPr>
          <w:rFonts w:hAnsi="新細明體"/>
          <w:sz w:val="20"/>
          <w:szCs w:val="20"/>
        </w:rPr>
        <w:t>）</w:t>
      </w:r>
    </w:p>
    <w:p w:rsidR="00AA120F" w:rsidRPr="00DA3BC7" w:rsidRDefault="002968BA" w:rsidP="002E5DD4">
      <w:pPr>
        <w:ind w:leftChars="250" w:left="600"/>
        <w:jc w:val="both"/>
        <w:rPr>
          <w:b/>
          <w:sz w:val="20"/>
          <w:szCs w:val="20"/>
          <w:bdr w:val="single" w:sz="4" w:space="0" w:color="auto"/>
        </w:rPr>
      </w:pPr>
      <w:r w:rsidRPr="002968BA">
        <w:rPr>
          <w:rFonts w:hint="eastAsia"/>
          <w:b/>
          <w:color w:val="FF0000"/>
          <w:sz w:val="20"/>
          <w:szCs w:val="20"/>
          <w:highlight w:val="yellow"/>
          <w:bdr w:val="single" w:sz="4" w:space="0" w:color="auto"/>
        </w:rPr>
        <w:t>（</w:t>
      </w:r>
      <w:r w:rsidRPr="002968BA">
        <w:rPr>
          <w:rFonts w:ascii="Times New Roman" w:hAnsi="Times New Roman" w:hint="eastAsia"/>
          <w:b/>
          <w:color w:val="FF0000"/>
          <w:sz w:val="20"/>
          <w:szCs w:val="20"/>
          <w:highlight w:val="yellow"/>
          <w:bdr w:val="single" w:sz="4" w:space="0" w:color="auto"/>
        </w:rPr>
        <w:t>1</w:t>
      </w:r>
      <w:r w:rsidRPr="002968BA">
        <w:rPr>
          <w:rFonts w:hint="eastAsia"/>
          <w:b/>
          <w:color w:val="FF0000"/>
          <w:sz w:val="20"/>
          <w:szCs w:val="20"/>
          <w:highlight w:val="yellow"/>
          <w:bdr w:val="single" w:sz="4" w:space="0" w:color="auto"/>
        </w:rPr>
        <w:t>）總要</w:t>
      </w:r>
      <w:r w:rsidR="00AA120F" w:rsidRPr="00DA3BC7">
        <w:rPr>
          <w:rFonts w:hAnsi="新細明體"/>
          <w:sz w:val="20"/>
          <w:szCs w:val="20"/>
        </w:rPr>
        <w:t>（</w:t>
      </w:r>
      <w:r w:rsidR="00AA120F" w:rsidRPr="00DA3BC7">
        <w:rPr>
          <w:rFonts w:ascii="Times New Roman" w:hAnsi="Times New Roman"/>
          <w:sz w:val="20"/>
          <w:szCs w:val="20"/>
        </w:rPr>
        <w:t>p</w:t>
      </w:r>
      <w:r w:rsidR="00AA120F" w:rsidRPr="00DA3BC7">
        <w:rPr>
          <w:sz w:val="20"/>
          <w:szCs w:val="20"/>
        </w:rPr>
        <w:t>.</w:t>
      </w:r>
      <w:r w:rsidR="00AA120F" w:rsidRPr="00DA3BC7">
        <w:rPr>
          <w:rFonts w:ascii="Times New Roman" w:hAnsi="Times New Roman" w:hint="eastAsia"/>
          <w:sz w:val="20"/>
          <w:szCs w:val="20"/>
        </w:rPr>
        <w:t>138</w:t>
      </w:r>
      <w:r w:rsidR="00AA120F" w:rsidRPr="00DA3BC7">
        <w:rPr>
          <w:rFonts w:hAnsi="新細明體"/>
          <w:sz w:val="20"/>
          <w:szCs w:val="20"/>
        </w:rPr>
        <w:t>）</w:t>
      </w:r>
    </w:p>
    <w:p w:rsidR="002968BA" w:rsidRPr="00DA3BC7" w:rsidRDefault="002968BA" w:rsidP="002E5DD4">
      <w:pPr>
        <w:ind w:leftChars="250" w:left="600"/>
        <w:jc w:val="both"/>
        <w:rPr>
          <w:rFonts w:ascii="新細明體" w:hAnsi="新細明體"/>
        </w:rPr>
      </w:pPr>
      <w:r w:rsidRPr="002968BA">
        <w:rPr>
          <w:rFonts w:ascii="新細明體" w:hAnsi="新細明體" w:hint="eastAsia"/>
          <w:highlight w:val="yellow"/>
        </w:rPr>
        <w:t>諸</w:t>
      </w:r>
      <w:r w:rsidRPr="00DA3BC7">
        <w:rPr>
          <w:rFonts w:ascii="新細明體" w:hAnsi="新細明體" w:hint="eastAsia"/>
        </w:rPr>
        <w:t>行才生即滅，究如何能使業不失？</w:t>
      </w:r>
    </w:p>
    <w:p w:rsidR="00AA120F" w:rsidRPr="00DA3BC7" w:rsidRDefault="00AA120F" w:rsidP="002E5DD4">
      <w:pPr>
        <w:ind w:leftChars="250" w:left="600"/>
        <w:jc w:val="both"/>
        <w:rPr>
          <w:rFonts w:ascii="新細明體" w:hAnsi="新細明體"/>
        </w:rPr>
      </w:pPr>
      <w:r w:rsidRPr="00DA3BC7">
        <w:rPr>
          <w:rFonts w:ascii="新細明體" w:hAnsi="新細明體" w:hint="eastAsia"/>
        </w:rPr>
        <w:t>這應該了解：沒有未來可離過去、現在而成立的。</w:t>
      </w:r>
    </w:p>
    <w:p w:rsidR="002968BA" w:rsidRDefault="002968BA" w:rsidP="00AE3920">
      <w:pPr>
        <w:spacing w:beforeLines="30"/>
        <w:ind w:leftChars="250" w:left="600"/>
        <w:jc w:val="both"/>
        <w:rPr>
          <w:rFonts w:hAnsi="新細明體"/>
          <w:sz w:val="20"/>
          <w:szCs w:val="20"/>
        </w:rPr>
      </w:pPr>
      <w:r w:rsidRPr="002968BA">
        <w:rPr>
          <w:rFonts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2</w:t>
      </w:r>
      <w:r w:rsidRPr="002968BA">
        <w:rPr>
          <w:rFonts w:hint="eastAsia"/>
          <w:b/>
          <w:color w:val="FF0000"/>
          <w:sz w:val="20"/>
          <w:szCs w:val="20"/>
          <w:highlight w:val="yellow"/>
          <w:bdr w:val="single" w:sz="4" w:space="0" w:color="auto"/>
        </w:rPr>
        <w:t>）</w:t>
      </w:r>
      <w:r>
        <w:rPr>
          <w:rFonts w:hint="eastAsia"/>
          <w:b/>
          <w:color w:val="FF0000"/>
          <w:sz w:val="20"/>
          <w:szCs w:val="20"/>
          <w:highlight w:val="yellow"/>
          <w:bdr w:val="single" w:sz="4" w:space="0" w:color="auto"/>
        </w:rPr>
        <w:t>詳釋</w:t>
      </w:r>
      <w:r w:rsidRPr="00DA3BC7">
        <w:rPr>
          <w:rFonts w:hAnsi="新細明體"/>
          <w:sz w:val="20"/>
          <w:szCs w:val="20"/>
        </w:rPr>
        <w:t>（</w:t>
      </w:r>
      <w:r w:rsidRPr="00DA3BC7">
        <w:rPr>
          <w:rFonts w:ascii="Times New Roman" w:hAnsi="Times New Roman" w:hint="eastAsia"/>
          <w:sz w:val="20"/>
          <w:szCs w:val="20"/>
        </w:rPr>
        <w:t>p</w:t>
      </w:r>
      <w:r w:rsidRPr="00DA3BC7">
        <w:rPr>
          <w:rFonts w:ascii="Times New Roman" w:hAnsi="Times New Roman"/>
          <w:sz w:val="20"/>
          <w:szCs w:val="20"/>
        </w:rPr>
        <w:t>p</w:t>
      </w:r>
      <w:r w:rsidRPr="00DA3BC7">
        <w:rPr>
          <w:sz w:val="20"/>
          <w:szCs w:val="20"/>
        </w:rPr>
        <w:t>.</w:t>
      </w:r>
      <w:r w:rsidRPr="00DA3BC7">
        <w:rPr>
          <w:rFonts w:ascii="Times New Roman" w:hAnsi="Times New Roman" w:hint="eastAsia"/>
          <w:sz w:val="20"/>
          <w:szCs w:val="20"/>
        </w:rPr>
        <w:t>138</w:t>
      </w:r>
      <w:r w:rsidRPr="00DA3BC7">
        <w:rPr>
          <w:rFonts w:hint="eastAsia"/>
          <w:sz w:val="20"/>
          <w:szCs w:val="20"/>
        </w:rPr>
        <w:t>-</w:t>
      </w:r>
      <w:r w:rsidRPr="00DA3BC7">
        <w:rPr>
          <w:rFonts w:ascii="Times New Roman" w:hAnsi="Times New Roman"/>
          <w:sz w:val="20"/>
          <w:szCs w:val="20"/>
        </w:rPr>
        <w:t>1</w:t>
      </w:r>
      <w:r w:rsidRPr="00DA3BC7">
        <w:rPr>
          <w:rFonts w:ascii="Times New Roman" w:hAnsi="Times New Roman" w:hint="eastAsia"/>
          <w:sz w:val="20"/>
          <w:szCs w:val="20"/>
        </w:rPr>
        <w:t>39</w:t>
      </w:r>
      <w:r w:rsidRPr="00DA3BC7">
        <w:rPr>
          <w:rFonts w:hAnsi="新細明體"/>
          <w:sz w:val="20"/>
          <w:szCs w:val="20"/>
        </w:rPr>
        <w:t>）</w:t>
      </w:r>
    </w:p>
    <w:p w:rsidR="00B011C4" w:rsidRDefault="00B011C4" w:rsidP="002E5DD4">
      <w:pPr>
        <w:ind w:leftChars="300" w:left="720"/>
        <w:jc w:val="both"/>
        <w:rPr>
          <w:b/>
          <w:color w:val="FF0000"/>
          <w:sz w:val="20"/>
          <w:szCs w:val="20"/>
          <w:bdr w:val="single" w:sz="4" w:space="0" w:color="auto"/>
        </w:rPr>
      </w:pPr>
      <w:r>
        <w:rPr>
          <w:rFonts w:ascii="Times New Roman" w:hAnsi="Times New Roman" w:hint="eastAsia"/>
          <w:b/>
          <w:color w:val="FF0000"/>
          <w:sz w:val="20"/>
          <w:szCs w:val="20"/>
          <w:highlight w:val="yellow"/>
          <w:bdr w:val="single" w:sz="4" w:space="0" w:color="auto"/>
        </w:rPr>
        <w:t>A</w:t>
      </w:r>
      <w:r w:rsidRPr="002968BA">
        <w:rPr>
          <w:rFonts w:hint="eastAsia"/>
          <w:b/>
          <w:color w:val="FF0000"/>
          <w:sz w:val="20"/>
          <w:szCs w:val="20"/>
          <w:highlight w:val="yellow"/>
          <w:bdr w:val="single" w:sz="4" w:space="0" w:color="auto"/>
        </w:rPr>
        <w:t>、正</w:t>
      </w:r>
      <w:r>
        <w:rPr>
          <w:rFonts w:hint="eastAsia"/>
          <w:b/>
          <w:color w:val="FF0000"/>
          <w:sz w:val="20"/>
          <w:szCs w:val="20"/>
          <w:highlight w:val="yellow"/>
          <w:bdr w:val="single" w:sz="4" w:space="0" w:color="auto"/>
        </w:rPr>
        <w:t>觀「滅」</w:t>
      </w:r>
      <w:r w:rsidRPr="00DA3BC7">
        <w:rPr>
          <w:rFonts w:hAnsi="新細明體"/>
          <w:sz w:val="20"/>
          <w:szCs w:val="20"/>
        </w:rPr>
        <w:t>（</w:t>
      </w:r>
      <w:r w:rsidRPr="00DA3BC7">
        <w:rPr>
          <w:rFonts w:ascii="Times New Roman" w:hAnsi="Times New Roman" w:hint="eastAsia"/>
          <w:sz w:val="20"/>
          <w:szCs w:val="20"/>
        </w:rPr>
        <w:t>p</w:t>
      </w:r>
      <w:r w:rsidRPr="00DA3BC7">
        <w:rPr>
          <w:rFonts w:ascii="Times New Roman" w:hAnsi="Times New Roman"/>
          <w:sz w:val="20"/>
          <w:szCs w:val="20"/>
        </w:rPr>
        <w:t>p</w:t>
      </w:r>
      <w:r w:rsidRPr="00DA3BC7">
        <w:rPr>
          <w:sz w:val="20"/>
          <w:szCs w:val="20"/>
        </w:rPr>
        <w:t>.</w:t>
      </w:r>
      <w:r w:rsidRPr="00DA3BC7">
        <w:rPr>
          <w:rFonts w:ascii="Times New Roman" w:hAnsi="Times New Roman" w:hint="eastAsia"/>
          <w:sz w:val="20"/>
          <w:szCs w:val="20"/>
        </w:rPr>
        <w:t>138</w:t>
      </w:r>
      <w:r w:rsidRPr="00DA3BC7">
        <w:rPr>
          <w:rFonts w:hint="eastAsia"/>
          <w:sz w:val="20"/>
          <w:szCs w:val="20"/>
        </w:rPr>
        <w:t>-</w:t>
      </w:r>
      <w:r w:rsidRPr="00DA3BC7">
        <w:rPr>
          <w:rFonts w:ascii="Times New Roman" w:hAnsi="Times New Roman"/>
          <w:sz w:val="20"/>
          <w:szCs w:val="20"/>
        </w:rPr>
        <w:t>1</w:t>
      </w:r>
      <w:r w:rsidRPr="00DA3BC7">
        <w:rPr>
          <w:rFonts w:ascii="Times New Roman" w:hAnsi="Times New Roman" w:hint="eastAsia"/>
          <w:sz w:val="20"/>
          <w:szCs w:val="20"/>
        </w:rPr>
        <w:t>39</w:t>
      </w:r>
      <w:r w:rsidRPr="00DA3BC7">
        <w:rPr>
          <w:rFonts w:hAnsi="新細明體"/>
          <w:sz w:val="20"/>
          <w:szCs w:val="20"/>
        </w:rPr>
        <w:t>）</w:t>
      </w:r>
    </w:p>
    <w:p w:rsidR="00B011C4" w:rsidRPr="00DA3BC7" w:rsidRDefault="00B011C4" w:rsidP="002E5DD4">
      <w:pPr>
        <w:ind w:leftChars="350" w:left="840"/>
        <w:jc w:val="both"/>
        <w:rPr>
          <w:b/>
          <w:sz w:val="20"/>
          <w:szCs w:val="20"/>
          <w:bdr w:val="single" w:sz="4" w:space="0" w:color="auto"/>
        </w:rPr>
      </w:pPr>
      <w:r w:rsidRPr="002968BA">
        <w:rPr>
          <w:rFonts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A</w:t>
      </w:r>
      <w:r w:rsidRPr="002968BA">
        <w:rPr>
          <w:rFonts w:hint="eastAsia"/>
          <w:b/>
          <w:color w:val="FF0000"/>
          <w:sz w:val="20"/>
          <w:szCs w:val="20"/>
          <w:highlight w:val="yellow"/>
          <w:bdr w:val="single" w:sz="4" w:space="0" w:color="auto"/>
        </w:rPr>
        <w:t>）</w:t>
      </w:r>
      <w:r>
        <w:rPr>
          <w:rFonts w:hint="eastAsia"/>
          <w:b/>
          <w:color w:val="FF0000"/>
          <w:sz w:val="20"/>
          <w:szCs w:val="20"/>
          <w:highlight w:val="yellow"/>
          <w:bdr w:val="single" w:sz="4" w:space="0" w:color="auto"/>
        </w:rPr>
        <w:t>緣起如幻之滅無</w:t>
      </w:r>
      <w:r w:rsidRPr="00DA3BC7">
        <w:rPr>
          <w:rFonts w:hAnsi="新細明體"/>
          <w:sz w:val="20"/>
          <w:szCs w:val="20"/>
        </w:rPr>
        <w:t>（</w:t>
      </w:r>
      <w:r w:rsidRPr="00DA3BC7">
        <w:rPr>
          <w:rFonts w:ascii="Times New Roman" w:hAnsi="Times New Roman" w:hint="eastAsia"/>
          <w:sz w:val="20"/>
          <w:szCs w:val="20"/>
        </w:rPr>
        <w:t>p</w:t>
      </w:r>
      <w:r w:rsidRPr="00DA3BC7">
        <w:rPr>
          <w:rFonts w:ascii="Times New Roman" w:hAnsi="Times New Roman"/>
          <w:sz w:val="20"/>
          <w:szCs w:val="20"/>
        </w:rPr>
        <w:t>p</w:t>
      </w:r>
      <w:r w:rsidRPr="00DA3BC7">
        <w:rPr>
          <w:sz w:val="20"/>
          <w:szCs w:val="20"/>
        </w:rPr>
        <w:t>.</w:t>
      </w:r>
      <w:r w:rsidRPr="00DA3BC7">
        <w:rPr>
          <w:rFonts w:ascii="Times New Roman" w:hAnsi="Times New Roman" w:hint="eastAsia"/>
          <w:sz w:val="20"/>
          <w:szCs w:val="20"/>
        </w:rPr>
        <w:t>138</w:t>
      </w:r>
      <w:r w:rsidRPr="00DA3BC7">
        <w:rPr>
          <w:rFonts w:hint="eastAsia"/>
          <w:sz w:val="20"/>
          <w:szCs w:val="20"/>
        </w:rPr>
        <w:t>-</w:t>
      </w:r>
      <w:r w:rsidRPr="00DA3BC7">
        <w:rPr>
          <w:rFonts w:ascii="Times New Roman" w:hAnsi="Times New Roman"/>
          <w:sz w:val="20"/>
          <w:szCs w:val="20"/>
        </w:rPr>
        <w:t>1</w:t>
      </w:r>
      <w:r w:rsidRPr="00DA3BC7">
        <w:rPr>
          <w:rFonts w:ascii="Times New Roman" w:hAnsi="Times New Roman" w:hint="eastAsia"/>
          <w:sz w:val="20"/>
          <w:szCs w:val="20"/>
        </w:rPr>
        <w:t>39</w:t>
      </w:r>
      <w:r w:rsidRPr="00DA3BC7">
        <w:rPr>
          <w:rFonts w:hAnsi="新細明體"/>
          <w:sz w:val="20"/>
          <w:szCs w:val="20"/>
        </w:rPr>
        <w:t>）</w:t>
      </w:r>
    </w:p>
    <w:p w:rsidR="00AA120F" w:rsidRPr="00DA3BC7" w:rsidRDefault="00AA120F" w:rsidP="002E5DD4">
      <w:pPr>
        <w:ind w:leftChars="350" w:left="840"/>
        <w:jc w:val="both"/>
        <w:rPr>
          <w:rFonts w:ascii="新細明體" w:hAnsi="新細明體"/>
        </w:rPr>
      </w:pPr>
      <w:r w:rsidRPr="00DA3BC7">
        <w:rPr>
          <w:rFonts w:ascii="新細明體" w:hAnsi="新細明體" w:hint="eastAsia"/>
        </w:rPr>
        <w:t>生是起有相，滅是還無相；此有與無，不是凡外的實有見、實無見。</w:t>
      </w:r>
    </w:p>
    <w:p w:rsidR="00AA120F" w:rsidRPr="00DA3BC7" w:rsidRDefault="00AA120F" w:rsidP="00AE3920">
      <w:pPr>
        <w:spacing w:beforeLines="20"/>
        <w:ind w:leftChars="350" w:left="840"/>
        <w:jc w:val="both"/>
        <w:rPr>
          <w:rFonts w:ascii="新細明體" w:hAnsi="新細明體"/>
        </w:rPr>
      </w:pPr>
      <w:r w:rsidRPr="001A5A2B">
        <w:rPr>
          <w:rFonts w:ascii="新細明體" w:hAnsi="新細明體" w:hint="eastAsia"/>
          <w:b/>
          <w:u w:val="wave" w:color="C00000"/>
        </w:rPr>
        <w:t>無</w:t>
      </w:r>
      <w:r w:rsidRPr="00DA3BC7">
        <w:rPr>
          <w:rFonts w:ascii="新細明體" w:hAnsi="新細明體" w:hint="eastAsia"/>
        </w:rPr>
        <w:t>是依</w:t>
      </w:r>
      <w:r w:rsidRPr="001A5A2B">
        <w:rPr>
          <w:rFonts w:ascii="新細明體" w:hAnsi="新細明體" w:hint="eastAsia"/>
          <w:b/>
          <w:u w:val="wave" w:color="C00000"/>
        </w:rPr>
        <w:t>有</w:t>
      </w:r>
      <w:r w:rsidRPr="00DA3BC7">
        <w:rPr>
          <w:rFonts w:ascii="新細明體" w:hAnsi="新細明體" w:hint="eastAsia"/>
        </w:rPr>
        <w:t>而幻現的，是</w:t>
      </w:r>
      <w:r w:rsidRPr="001A5A2B">
        <w:rPr>
          <w:rFonts w:ascii="新細明體" w:hAnsi="新細明體" w:hint="eastAsia"/>
          <w:b/>
          <w:u w:val="wave" w:color="C00000"/>
        </w:rPr>
        <w:t>有</w:t>
      </w:r>
      <w:r w:rsidRPr="00DA3BC7">
        <w:rPr>
          <w:rFonts w:ascii="新細明體" w:hAnsi="新細明體" w:hint="eastAsia"/>
        </w:rPr>
        <w:t>──</w:t>
      </w:r>
      <w:r w:rsidRPr="001A5A2B">
        <w:rPr>
          <w:rFonts w:ascii="新細明體" w:hAnsi="新細明體" w:hint="eastAsia"/>
          <w:b/>
          <w:u w:val="wave" w:color="C00000"/>
        </w:rPr>
        <w:t>存在</w:t>
      </w:r>
      <w:r w:rsidRPr="001A5A2B">
        <w:rPr>
          <w:rFonts w:ascii="新細明體" w:hAnsi="新細明體" w:hint="eastAsia"/>
        </w:rPr>
        <w:t>的</w:t>
      </w:r>
      <w:r w:rsidRPr="00DA3BC7">
        <w:rPr>
          <w:rFonts w:ascii="新細明體" w:hAnsi="新細明體" w:hint="eastAsia"/>
        </w:rPr>
        <w:t>矛盾性，即相反的幻相；如沒有</w:t>
      </w:r>
      <w:r w:rsidRPr="001A5A2B">
        <w:rPr>
          <w:rFonts w:ascii="新細明體" w:hAnsi="新細明體" w:hint="eastAsia"/>
          <w:b/>
          <w:u w:val="wave" w:color="C00000"/>
        </w:rPr>
        <w:t>存在</w:t>
      </w:r>
      <w:r w:rsidRPr="00DA3BC7">
        <w:rPr>
          <w:rFonts w:ascii="新細明體" w:hAnsi="新細明體" w:hint="eastAsia"/>
        </w:rPr>
        <w:t>──</w:t>
      </w:r>
      <w:r w:rsidRPr="001A5A2B">
        <w:rPr>
          <w:rFonts w:ascii="新細明體" w:hAnsi="新細明體" w:hint="eastAsia"/>
          <w:b/>
          <w:u w:val="wave" w:color="C00000"/>
        </w:rPr>
        <w:t>有</w:t>
      </w:r>
      <w:r w:rsidRPr="00DA3BC7">
        <w:rPr>
          <w:rFonts w:ascii="新細明體" w:hAnsi="新細明體" w:hint="eastAsia"/>
        </w:rPr>
        <w:t>，</w:t>
      </w:r>
      <w:r w:rsidRPr="001A5A2B">
        <w:rPr>
          <w:rFonts w:ascii="新細明體" w:hAnsi="新細明體" w:hint="eastAsia"/>
          <w:b/>
          <w:u w:val="wave" w:color="C00000"/>
        </w:rPr>
        <w:t>無</w:t>
      </w:r>
      <w:r w:rsidRPr="00DA3BC7">
        <w:rPr>
          <w:rFonts w:ascii="新細明體" w:hAnsi="新細明體" w:hint="eastAsia"/>
        </w:rPr>
        <w:t>即談不到，所以說：「</w:t>
      </w:r>
      <w:r w:rsidRPr="00DA3BC7">
        <w:rPr>
          <w:rFonts w:ascii="標楷體" w:eastAsia="標楷體" w:hAnsi="標楷體" w:hint="eastAsia"/>
        </w:rPr>
        <w:t>若使無有有，云何當有無</w:t>
      </w:r>
      <w:r w:rsidR="00B011C4" w:rsidRPr="00B011C4">
        <w:rPr>
          <w:rFonts w:ascii="新細明體" w:hAnsi="新細明體" w:hint="eastAsia"/>
          <w:color w:val="FF0000"/>
          <w:shd w:val="pct15" w:color="auto" w:fill="FFFFFF"/>
        </w:rPr>
        <w:t>？</w:t>
      </w:r>
      <w:r w:rsidRPr="00DA3BC7">
        <w:rPr>
          <w:rFonts w:ascii="新細明體" w:hAnsi="新細明體" w:hint="eastAsia"/>
        </w:rPr>
        <w:t>」</w:t>
      </w:r>
      <w:r w:rsidRPr="00DA3BC7">
        <w:rPr>
          <w:rStyle w:val="a6"/>
          <w:rFonts w:ascii="Times New Roman" w:hAnsi="Times New Roman"/>
        </w:rPr>
        <w:footnoteReference w:id="645"/>
      </w:r>
    </w:p>
    <w:p w:rsidR="00AA120F" w:rsidRPr="00DA3BC7" w:rsidRDefault="00AA120F" w:rsidP="00AE3920">
      <w:pPr>
        <w:spacing w:beforeLines="20"/>
        <w:ind w:leftChars="350" w:left="840"/>
        <w:jc w:val="both"/>
        <w:rPr>
          <w:rFonts w:ascii="新細明體" w:hAnsi="新細明體"/>
        </w:rPr>
      </w:pPr>
      <w:r w:rsidRPr="00DA3BC7">
        <w:rPr>
          <w:rFonts w:hAnsi="新細明體"/>
        </w:rPr>
        <w:lastRenderedPageBreak/>
        <w:t>離</w:t>
      </w:r>
      <w:r w:rsidRPr="001A5A2B">
        <w:rPr>
          <w:rFonts w:ascii="新細明體" w:hAnsi="新細明體"/>
          <w:b/>
          <w:u w:val="wave" w:color="C00000"/>
        </w:rPr>
        <w:t>有</w:t>
      </w:r>
      <w:r w:rsidRPr="00DA3BC7">
        <w:rPr>
          <w:rFonts w:ascii="新細明體" w:hAnsi="新細明體" w:hint="eastAsia"/>
        </w:rPr>
        <w:t>則無</w:t>
      </w:r>
      <w:r w:rsidRPr="001A5A2B">
        <w:rPr>
          <w:rFonts w:ascii="新細明體" w:hAnsi="新細明體" w:hint="eastAsia"/>
          <w:b/>
          <w:u w:val="wave" w:color="C00000"/>
        </w:rPr>
        <w:t>無</w:t>
      </w:r>
      <w:r w:rsidRPr="00DA3BC7">
        <w:rPr>
          <w:rFonts w:ascii="新細明體" w:hAnsi="新細明體" w:hint="eastAsia"/>
        </w:rPr>
        <w:t>，離</w:t>
      </w:r>
      <w:r w:rsidRPr="001A5A2B">
        <w:rPr>
          <w:rFonts w:ascii="新細明體" w:hAnsi="新細明體" w:hint="eastAsia"/>
          <w:b/>
          <w:u w:val="wave" w:color="C00000"/>
        </w:rPr>
        <w:t>生</w:t>
      </w:r>
      <w:r w:rsidRPr="00DA3BC7">
        <w:rPr>
          <w:rFonts w:ascii="新細明體" w:hAnsi="新細明體" w:hint="eastAsia"/>
        </w:rPr>
        <w:t>則無</w:t>
      </w:r>
      <w:r w:rsidRPr="001A5A2B">
        <w:rPr>
          <w:rFonts w:ascii="新細明體" w:hAnsi="新細明體" w:hint="eastAsia"/>
          <w:b/>
          <w:u w:val="wave" w:color="C00000"/>
        </w:rPr>
        <w:t>滅</w:t>
      </w:r>
      <w:r w:rsidRPr="00DA3BC7">
        <w:rPr>
          <w:rFonts w:ascii="新細明體" w:hAnsi="新細明體" w:hint="eastAsia"/>
        </w:rPr>
        <w:t>，</w:t>
      </w:r>
      <w:r w:rsidRPr="001A5A2B">
        <w:rPr>
          <w:rFonts w:ascii="新細明體" w:hAnsi="新細明體" w:hint="eastAsia"/>
          <w:b/>
          <w:u w:val="wave" w:color="C00000"/>
        </w:rPr>
        <w:t>滅</w:t>
      </w:r>
      <w:r w:rsidRPr="00DA3BC7">
        <w:rPr>
          <w:rFonts w:ascii="新細明體" w:hAnsi="新細明體" w:hint="eastAsia"/>
        </w:rPr>
        <w:t>並非灰斷</w:t>
      </w:r>
      <w:r w:rsidRPr="00DA3BC7">
        <w:rPr>
          <w:rStyle w:val="a6"/>
          <w:rFonts w:ascii="Times New Roman" w:hAnsi="Times New Roman"/>
        </w:rPr>
        <w:footnoteReference w:id="646"/>
      </w:r>
      <w:r w:rsidRPr="00DA3BC7">
        <w:rPr>
          <w:rFonts w:ascii="新細明體" w:hAnsi="新細明體" w:hint="eastAsia"/>
        </w:rPr>
        <w:t>的全無。</w:t>
      </w:r>
    </w:p>
    <w:p w:rsidR="00AA120F" w:rsidRPr="00DA3BC7" w:rsidRDefault="00AA120F" w:rsidP="002E5DD4">
      <w:pPr>
        <w:ind w:leftChars="350" w:left="840"/>
        <w:jc w:val="both"/>
        <w:rPr>
          <w:rFonts w:ascii="新細明體" w:hAnsi="新細明體"/>
        </w:rPr>
      </w:pPr>
      <w:r w:rsidRPr="00DA3BC7">
        <w:rPr>
          <w:rFonts w:ascii="新細明體" w:hAnsi="新細明體" w:hint="eastAsia"/>
        </w:rPr>
        <w:t>不了解此義，執無常有生有滅，即成邪見。</w:t>
      </w:r>
    </w:p>
    <w:p w:rsidR="00AA120F" w:rsidRPr="00DA3BC7" w:rsidRDefault="00AA120F" w:rsidP="00AE3920">
      <w:pPr>
        <w:spacing w:beforeLines="20"/>
        <w:ind w:leftChars="350" w:left="840"/>
        <w:jc w:val="both"/>
        <w:rPr>
          <w:rFonts w:ascii="新細明體" w:hAnsi="新細明體"/>
        </w:rPr>
      </w:pPr>
      <w:r w:rsidRPr="00DA3BC7">
        <w:rPr>
          <w:rFonts w:ascii="新細明體" w:hAnsi="新細明體" w:hint="eastAsia"/>
        </w:rPr>
        <w:t>《</w:t>
      </w:r>
      <w:r w:rsidRPr="00DA3BC7">
        <w:rPr>
          <w:rFonts w:hint="eastAsia"/>
        </w:rPr>
        <w:t>大</w:t>
      </w:r>
      <w:r w:rsidRPr="00DA3BC7">
        <w:rPr>
          <w:rFonts w:ascii="新細明體" w:hAnsi="新細明體" w:hint="eastAsia"/>
        </w:rPr>
        <w:t>智</w:t>
      </w:r>
      <w:r w:rsidRPr="00DA3BC7">
        <w:rPr>
          <w:rFonts w:hint="eastAsia"/>
        </w:rPr>
        <w:t>度</w:t>
      </w:r>
      <w:r w:rsidRPr="00DA3BC7">
        <w:rPr>
          <w:rFonts w:ascii="新細明體" w:hAnsi="新細明體" w:hint="eastAsia"/>
        </w:rPr>
        <w:t>論》卷</w:t>
      </w:r>
      <w:r w:rsidR="00B011C4" w:rsidRPr="00B011C4">
        <w:rPr>
          <w:rFonts w:ascii="Times New Roman" w:hAnsi="Times New Roman" w:hint="eastAsia"/>
        </w:rPr>
        <w:t>1</w:t>
      </w:r>
      <w:r w:rsidRPr="00DA3BC7">
        <w:rPr>
          <w:rFonts w:ascii="新細明體" w:hAnsi="新細明體" w:hint="eastAsia"/>
        </w:rPr>
        <w:t>說：「</w:t>
      </w:r>
      <w:r w:rsidRPr="00DA3BC7">
        <w:rPr>
          <w:rFonts w:ascii="標楷體" w:eastAsia="標楷體" w:hAnsi="標楷體" w:hint="eastAsia"/>
        </w:rPr>
        <w:t>若一切實性無常，則無行業報。何以故？無常名生滅失故。……如是則無行業。……以是故諸法非無常性</w:t>
      </w:r>
      <w:r w:rsidRPr="00DA3BC7">
        <w:rPr>
          <w:rFonts w:hAnsi="新細明體"/>
        </w:rPr>
        <w:t>。</w:t>
      </w:r>
      <w:r w:rsidRPr="00DA3BC7">
        <w:rPr>
          <w:rFonts w:ascii="新細明體" w:hAnsi="新細明體" w:hint="eastAsia"/>
        </w:rPr>
        <w:t>」</w:t>
      </w:r>
      <w:r w:rsidRPr="00DA3BC7">
        <w:rPr>
          <w:rStyle w:val="a6"/>
          <w:rFonts w:ascii="Times New Roman" w:hAnsi="Times New Roman"/>
        </w:rPr>
        <w:footnoteReference w:id="647"/>
      </w:r>
      <w:r w:rsidRPr="00DA3BC7">
        <w:rPr>
          <w:rFonts w:hAnsi="新細明體"/>
        </w:rPr>
        <w:t>但世俗的</w:t>
      </w:r>
      <w:r w:rsidRPr="00DA3BC7">
        <w:rPr>
          <w:rFonts w:ascii="新細明體" w:hAnsi="新細明體" w:hint="eastAsia"/>
        </w:rPr>
        <w:t>一切從因而果報，</w:t>
      </w:r>
      <w:r w:rsidRPr="00DA3BC7">
        <w:rPr>
          <w:rFonts w:hAnsi="新細明體"/>
        </w:rPr>
        <w:t>歷然</w:t>
      </w:r>
      <w:r w:rsidRPr="00DA3BC7">
        <w:rPr>
          <w:rStyle w:val="a6"/>
          <w:rFonts w:ascii="Times New Roman" w:hAnsi="Times New Roman"/>
        </w:rPr>
        <w:footnoteReference w:id="648"/>
      </w:r>
      <w:r w:rsidRPr="00DA3BC7">
        <w:rPr>
          <w:rFonts w:ascii="新細明體" w:hAnsi="新細明體" w:hint="eastAsia"/>
        </w:rPr>
        <w:t>而有，故無常相──生而即滅，有而還無，僅是世俗的。經中依生滅顯無常相，即依此言其常性不可得以顯示空寂，非有無常的實滅。</w:t>
      </w:r>
      <w:r w:rsidRPr="00DA3BC7">
        <w:rPr>
          <w:rFonts w:ascii="新細明體" w:hAnsi="新細明體" w:hint="eastAsia"/>
          <w:b/>
        </w:rPr>
        <w:t>滅與無，是緣起幻相的一姿態，非是都無、斷滅</w:t>
      </w:r>
      <w:r w:rsidRPr="00DA3BC7">
        <w:rPr>
          <w:rFonts w:ascii="新細明體" w:hAnsi="新細明體" w:hint="eastAsia"/>
        </w:rPr>
        <w:t>。</w:t>
      </w:r>
    </w:p>
    <w:p w:rsidR="00AA120F" w:rsidRPr="00DA3BC7" w:rsidRDefault="00AA120F" w:rsidP="00AE3920">
      <w:pPr>
        <w:spacing w:beforeLines="20"/>
        <w:ind w:leftChars="350" w:left="840"/>
        <w:jc w:val="both"/>
        <w:rPr>
          <w:rFonts w:ascii="新細明體" w:hAnsi="新細明體"/>
        </w:rPr>
      </w:pPr>
      <w:r w:rsidRPr="00DA3BC7">
        <w:rPr>
          <w:rFonts w:ascii="新細明體" w:hAnsi="新細明體" w:hint="eastAsia"/>
        </w:rPr>
        <w:t>滅與無，都不是沒有。如說：現在沒有抗日戰爭，這確是什麼也沒有了。</w:t>
      </w:r>
    </w:p>
    <w:p w:rsidR="00AA120F" w:rsidRPr="00DA3BC7" w:rsidRDefault="00AA120F" w:rsidP="002E5DD4">
      <w:pPr>
        <w:ind w:leftChars="350" w:left="840"/>
        <w:jc w:val="both"/>
        <w:rPr>
          <w:rFonts w:ascii="新細明體" w:hAnsi="新細明體"/>
        </w:rPr>
      </w:pPr>
      <w:r w:rsidRPr="00DA3BC7">
        <w:rPr>
          <w:rFonts w:ascii="新細明體" w:hAnsi="新細明體" w:hint="eastAsia"/>
        </w:rPr>
        <w:t>如說：抗日戰爭已過去，沒有了，但歷史曾有此抗日戰爭，此項戰爭的影響仍在。</w:t>
      </w:r>
    </w:p>
    <w:p w:rsidR="00AA120F" w:rsidRPr="00DA3BC7" w:rsidRDefault="00AA120F" w:rsidP="00AE3920">
      <w:pPr>
        <w:spacing w:beforeLines="20"/>
        <w:ind w:leftChars="350" w:left="840"/>
        <w:jc w:val="both"/>
        <w:rPr>
          <w:rFonts w:ascii="新細明體" w:hAnsi="新細明體"/>
        </w:rPr>
      </w:pPr>
      <w:r w:rsidRPr="00DA3BC7">
        <w:rPr>
          <w:rFonts w:ascii="新細明體" w:hAnsi="新細明體" w:hint="eastAsia"/>
        </w:rPr>
        <w:t>所以</w:t>
      </w:r>
      <w:r w:rsidRPr="00DA3BC7">
        <w:rPr>
          <w:rFonts w:ascii="新細明體" w:hAnsi="新細明體" w:hint="eastAsia"/>
          <w:b/>
        </w:rPr>
        <w:t>即生而即滅</w:t>
      </w:r>
      <w:r w:rsidR="00B011C4" w:rsidRPr="00B011C4">
        <w:rPr>
          <w:rFonts w:ascii="新細明體" w:hAnsi="新細明體" w:hint="eastAsia"/>
          <w:b/>
          <w:color w:val="FF0000"/>
          <w:highlight w:val="yellow"/>
        </w:rPr>
        <w:t>、</w:t>
      </w:r>
      <w:r w:rsidRPr="00DA3BC7">
        <w:rPr>
          <w:rFonts w:ascii="新細明體" w:hAnsi="新細明體" w:hint="eastAsia"/>
          <w:b/>
        </w:rPr>
        <w:t>有而還無，與都無、斷滅不同</w:t>
      </w:r>
      <w:r w:rsidRPr="00DA3BC7">
        <w:rPr>
          <w:rFonts w:ascii="新細明體" w:hAnsi="新細明體" w:hint="eastAsia"/>
        </w:rPr>
        <w:t>。</w:t>
      </w:r>
    </w:p>
    <w:p w:rsidR="00AA120F" w:rsidRPr="00DA3BC7" w:rsidRDefault="00AA120F" w:rsidP="002E5DD4">
      <w:pPr>
        <w:ind w:leftChars="350" w:left="840"/>
        <w:jc w:val="both"/>
        <w:rPr>
          <w:rFonts w:ascii="新細明體" w:hAnsi="新細明體"/>
        </w:rPr>
      </w:pPr>
      <w:r w:rsidRPr="00DA3BC7">
        <w:rPr>
          <w:rFonts w:ascii="新細明體" w:hAnsi="新細明體" w:hint="eastAsia"/>
        </w:rPr>
        <w:t>雖念念生滅</w:t>
      </w:r>
      <w:r w:rsidR="00B011C4" w:rsidRPr="00B011C4">
        <w:rPr>
          <w:rFonts w:ascii="新細明體" w:hAnsi="新細明體" w:hint="eastAsia"/>
          <w:b/>
          <w:color w:val="FF0000"/>
          <w:highlight w:val="yellow"/>
        </w:rPr>
        <w:t>、</w:t>
      </w:r>
      <w:r w:rsidRPr="00DA3BC7">
        <w:rPr>
          <w:rFonts w:ascii="新細明體" w:hAnsi="新細明體" w:hint="eastAsia"/>
        </w:rPr>
        <w:t>剎那不住如石火電光，</w:t>
      </w:r>
      <w:r w:rsidRPr="00DA3BC7">
        <w:rPr>
          <w:rFonts w:ascii="新細明體" w:hAnsi="新細明體" w:hint="eastAsia"/>
          <w:b/>
        </w:rPr>
        <w:t>過去行業已滅而能不失，予未來以作用</w:t>
      </w:r>
      <w:r w:rsidRPr="00DA3BC7">
        <w:rPr>
          <w:rFonts w:ascii="新細明體" w:hAnsi="新細明體" w:hint="eastAsia"/>
        </w:rPr>
        <w:t>。</w:t>
      </w:r>
    </w:p>
    <w:p w:rsidR="00AA120F" w:rsidRPr="00DA3BC7" w:rsidRDefault="00AA120F" w:rsidP="002E5DD4">
      <w:pPr>
        <w:ind w:leftChars="350" w:left="840"/>
        <w:jc w:val="both"/>
        <w:rPr>
          <w:rFonts w:ascii="新細明體" w:hAnsi="新細明體"/>
        </w:rPr>
      </w:pPr>
      <w:r w:rsidRPr="00DA3BC7">
        <w:rPr>
          <w:rFonts w:ascii="新細明體" w:hAnsi="新細明體" w:hint="eastAsia"/>
        </w:rPr>
        <w:t>月稱論師說：</w:t>
      </w:r>
      <w:r w:rsidRPr="001A5A2B">
        <w:rPr>
          <w:rFonts w:ascii="新細明體" w:hAnsi="新細明體" w:hint="eastAsia"/>
          <w:b/>
          <w:u w:val="wave" w:color="C00000"/>
        </w:rPr>
        <w:t>滅</w:t>
      </w:r>
      <w:r w:rsidRPr="00DA3BC7">
        <w:rPr>
          <w:rFonts w:ascii="新細明體" w:hAnsi="新細明體" w:hint="eastAsia"/>
        </w:rPr>
        <w:t>非無法，故業雖滅而仍感生死，不須阿賴耶</w:t>
      </w:r>
      <w:r w:rsidRPr="00DA3BC7">
        <w:rPr>
          <w:rFonts w:hAnsi="新細明體"/>
        </w:rPr>
        <w:t>持種</w:t>
      </w:r>
      <w:r w:rsidRPr="00DA3BC7">
        <w:rPr>
          <w:rStyle w:val="a6"/>
          <w:rFonts w:ascii="Times New Roman" w:hAnsi="Times New Roman"/>
        </w:rPr>
        <w:footnoteReference w:id="649"/>
      </w:r>
      <w:r w:rsidRPr="00DA3BC7">
        <w:rPr>
          <w:rFonts w:hAnsi="新細明體"/>
        </w:rPr>
        <w:t>（</w:t>
      </w:r>
      <w:r w:rsidRPr="00DA3BC7">
        <w:rPr>
          <w:rFonts w:ascii="新細明體" w:hAnsi="新細明體" w:hint="eastAsia"/>
        </w:rPr>
        <w:t>是</w:t>
      </w:r>
      <w:r w:rsidRPr="00DA3BC7">
        <w:rPr>
          <w:rFonts w:ascii="新細明體" w:hAnsi="新細明體" w:hint="eastAsia"/>
        </w:rPr>
        <w:lastRenderedPageBreak/>
        <w:t>否有賴耶，更當別論），即是此義。</w:t>
      </w:r>
    </w:p>
    <w:p w:rsidR="00AA120F" w:rsidRPr="00DA3BC7" w:rsidRDefault="00AA120F" w:rsidP="00AE3920">
      <w:pPr>
        <w:spacing w:beforeLines="20"/>
        <w:ind w:leftChars="350" w:left="840"/>
        <w:jc w:val="both"/>
        <w:rPr>
          <w:rFonts w:ascii="新細明體" w:hAnsi="新細明體"/>
        </w:rPr>
      </w:pPr>
      <w:r w:rsidRPr="00DA3BC7">
        <w:rPr>
          <w:rFonts w:ascii="新細明體" w:hAnsi="新細明體" w:hint="eastAsia"/>
          <w:b/>
        </w:rPr>
        <w:t>有</w:t>
      </w:r>
      <w:r w:rsidRPr="00DA3BC7">
        <w:rPr>
          <w:rFonts w:ascii="新細明體" w:hAnsi="新細明體" w:hint="eastAsia"/>
        </w:rPr>
        <w:t>而還</w:t>
      </w:r>
      <w:r w:rsidRPr="00DA3BC7">
        <w:rPr>
          <w:rFonts w:ascii="新細明體" w:hAnsi="新細明體" w:hint="eastAsia"/>
          <w:b/>
        </w:rPr>
        <w:t>無</w:t>
      </w:r>
      <w:r w:rsidRPr="00DA3BC7">
        <w:rPr>
          <w:rFonts w:ascii="新細明體" w:hAnsi="新細明體" w:hint="eastAsia"/>
        </w:rPr>
        <w:t>，才</w:t>
      </w:r>
      <w:r w:rsidRPr="00DA3BC7">
        <w:rPr>
          <w:rFonts w:ascii="新細明體" w:hAnsi="新細明體" w:hint="eastAsia"/>
          <w:b/>
        </w:rPr>
        <w:t>生</w:t>
      </w:r>
      <w:r w:rsidRPr="00DA3BC7">
        <w:rPr>
          <w:rFonts w:ascii="新細明體" w:hAnsi="新細明體" w:hint="eastAsia"/>
        </w:rPr>
        <w:t>即</w:t>
      </w:r>
      <w:r w:rsidRPr="00DA3BC7">
        <w:rPr>
          <w:rFonts w:ascii="新細明體" w:hAnsi="新細明體" w:hint="eastAsia"/>
          <w:b/>
        </w:rPr>
        <w:t>滅</w:t>
      </w:r>
      <w:r w:rsidRPr="00DA3BC7">
        <w:rPr>
          <w:rFonts w:ascii="新細明體" w:hAnsi="新細明體" w:hint="eastAsia"/>
        </w:rPr>
        <w:t>，是</w:t>
      </w:r>
      <w:r w:rsidRPr="00DA3BC7">
        <w:rPr>
          <w:rFonts w:ascii="新細明體" w:hAnsi="新細明體" w:hint="eastAsia"/>
          <w:b/>
        </w:rPr>
        <w:t>如幻緣起流行變動的全貌</w:t>
      </w:r>
      <w:r w:rsidRPr="00DA3BC7">
        <w:rPr>
          <w:rFonts w:ascii="新細明體" w:hAnsi="新細明體" w:hint="eastAsia"/>
        </w:rPr>
        <w:t>。</w:t>
      </w:r>
    </w:p>
    <w:p w:rsidR="00AA120F" w:rsidRPr="00DA3BC7" w:rsidRDefault="00AA120F" w:rsidP="002E5DD4">
      <w:pPr>
        <w:ind w:leftChars="350" w:left="840"/>
        <w:jc w:val="both"/>
        <w:rPr>
          <w:rFonts w:ascii="新細明體" w:hAnsi="新細明體"/>
        </w:rPr>
      </w:pPr>
      <w:r w:rsidRPr="001A5A2B">
        <w:rPr>
          <w:rFonts w:ascii="新細明體" w:hAnsi="新細明體" w:hint="eastAsia"/>
          <w:b/>
          <w:u w:val="wave" w:color="C00000"/>
        </w:rPr>
        <w:t>無</w:t>
      </w:r>
      <w:r w:rsidRPr="00DA3BC7">
        <w:rPr>
          <w:rFonts w:ascii="新細明體" w:hAnsi="新細明體" w:hint="eastAsia"/>
        </w:rPr>
        <w:t>與</w:t>
      </w:r>
      <w:r w:rsidRPr="001A5A2B">
        <w:rPr>
          <w:rFonts w:ascii="新細明體" w:hAnsi="新細明體" w:hint="eastAsia"/>
          <w:b/>
          <w:u w:val="wave" w:color="C00000"/>
        </w:rPr>
        <w:t>滅</w:t>
      </w:r>
      <w:r w:rsidRPr="00DA3BC7">
        <w:rPr>
          <w:rFonts w:ascii="新細明體" w:hAnsi="新細明體" w:hint="eastAsia"/>
        </w:rPr>
        <w:t>，不是沒有，這與自性論者所見，確有不同，但也決非自性的存在於過去。</w:t>
      </w:r>
    </w:p>
    <w:p w:rsidR="00AA120F" w:rsidRPr="00DA3BC7" w:rsidRDefault="00B07717" w:rsidP="00AE3920">
      <w:pPr>
        <w:spacing w:beforeLines="30"/>
        <w:ind w:leftChars="350" w:left="840"/>
        <w:jc w:val="both"/>
        <w:rPr>
          <w:b/>
          <w:sz w:val="20"/>
          <w:szCs w:val="20"/>
          <w:bdr w:val="single" w:sz="4" w:space="0" w:color="auto"/>
        </w:rPr>
      </w:pPr>
      <w:r>
        <w:rPr>
          <w:rFonts w:ascii="Times New Roman" w:hAnsi="Times New Roman" w:hint="eastAsia"/>
          <w:b/>
          <w:color w:val="FF0000"/>
          <w:sz w:val="20"/>
          <w:szCs w:val="20"/>
          <w:highlight w:val="yellow"/>
          <w:bdr w:val="single" w:sz="4" w:space="0" w:color="auto"/>
        </w:rPr>
        <w:t>（</w:t>
      </w:r>
      <w:r w:rsidRPr="00B07717">
        <w:rPr>
          <w:rFonts w:ascii="Times New Roman" w:hAnsi="Times New Roman" w:hint="eastAsia"/>
          <w:b/>
          <w:color w:val="FF0000"/>
          <w:sz w:val="20"/>
          <w:szCs w:val="20"/>
          <w:highlight w:val="yellow"/>
          <w:bdr w:val="single" w:sz="4" w:space="0" w:color="auto"/>
        </w:rPr>
        <w:t>B</w:t>
      </w:r>
      <w:r>
        <w:rPr>
          <w:rFonts w:hint="eastAsia"/>
          <w:b/>
          <w:color w:val="FF0000"/>
          <w:sz w:val="20"/>
          <w:szCs w:val="20"/>
          <w:highlight w:val="yellow"/>
          <w:bdr w:val="single" w:sz="4" w:space="0" w:color="auto"/>
        </w:rPr>
        <w:t>）</w:t>
      </w:r>
      <w:r w:rsidRPr="00B07717">
        <w:rPr>
          <w:rFonts w:hint="eastAsia"/>
          <w:b/>
          <w:color w:val="FF0000"/>
          <w:sz w:val="20"/>
          <w:szCs w:val="20"/>
          <w:highlight w:val="yellow"/>
          <w:bdr w:val="single" w:sz="4" w:space="0" w:color="auto"/>
        </w:rPr>
        <w:t>緣滅</w:t>
      </w:r>
      <w:r w:rsidR="00AA120F" w:rsidRPr="00B07717">
        <w:rPr>
          <w:rFonts w:hint="eastAsia"/>
          <w:b/>
          <w:color w:val="FF0000"/>
          <w:sz w:val="20"/>
          <w:szCs w:val="20"/>
          <w:highlight w:val="yellow"/>
          <w:bdr w:val="single" w:sz="4" w:space="0" w:color="auto"/>
        </w:rPr>
        <w:t>無常</w:t>
      </w:r>
      <w:r w:rsidR="00976850">
        <w:rPr>
          <w:rFonts w:hint="eastAsia"/>
          <w:b/>
          <w:color w:val="FF0000"/>
          <w:sz w:val="20"/>
          <w:szCs w:val="20"/>
          <w:highlight w:val="yellow"/>
          <w:bdr w:val="single" w:sz="4" w:space="0" w:color="auto"/>
        </w:rPr>
        <w:t>非</w:t>
      </w:r>
      <w:r w:rsidRPr="00B07717">
        <w:rPr>
          <w:rFonts w:hint="eastAsia"/>
          <w:b/>
          <w:color w:val="FF0000"/>
          <w:sz w:val="20"/>
          <w:szCs w:val="20"/>
          <w:highlight w:val="yellow"/>
          <w:bdr w:val="single" w:sz="4" w:space="0" w:color="auto"/>
        </w:rPr>
        <w:t>體寂</w:t>
      </w:r>
      <w:r w:rsidR="00AA120F" w:rsidRPr="00DA3BC7">
        <w:rPr>
          <w:rFonts w:hAnsi="新細明體"/>
          <w:sz w:val="20"/>
          <w:szCs w:val="20"/>
        </w:rPr>
        <w:t>（</w:t>
      </w:r>
      <w:r w:rsidR="00AA120F" w:rsidRPr="00DA3BC7">
        <w:rPr>
          <w:rFonts w:ascii="Times New Roman" w:hAnsi="Times New Roman"/>
          <w:sz w:val="20"/>
          <w:szCs w:val="20"/>
        </w:rPr>
        <w:t>p</w:t>
      </w:r>
      <w:r w:rsidR="00AA120F" w:rsidRPr="00DA3BC7">
        <w:rPr>
          <w:sz w:val="20"/>
          <w:szCs w:val="20"/>
        </w:rPr>
        <w:t>.</w:t>
      </w:r>
      <w:r w:rsidR="00AA120F" w:rsidRPr="00DA3BC7">
        <w:rPr>
          <w:rFonts w:ascii="Times New Roman" w:hAnsi="Times New Roman"/>
          <w:sz w:val="20"/>
          <w:szCs w:val="20"/>
        </w:rPr>
        <w:t>1</w:t>
      </w:r>
      <w:r w:rsidR="00AA120F" w:rsidRPr="00DA3BC7">
        <w:rPr>
          <w:rFonts w:ascii="Times New Roman" w:hAnsi="Times New Roman" w:hint="eastAsia"/>
          <w:sz w:val="20"/>
          <w:szCs w:val="20"/>
        </w:rPr>
        <w:t>39</w:t>
      </w:r>
      <w:r w:rsidR="00AA120F" w:rsidRPr="00DA3BC7">
        <w:rPr>
          <w:rFonts w:hAnsi="新細明體"/>
          <w:sz w:val="20"/>
          <w:szCs w:val="20"/>
        </w:rPr>
        <w:t>）</w:t>
      </w:r>
    </w:p>
    <w:p w:rsidR="00D805E9" w:rsidRDefault="00AA120F" w:rsidP="002E5DD4">
      <w:pPr>
        <w:ind w:leftChars="350" w:left="840"/>
        <w:jc w:val="both"/>
        <w:rPr>
          <w:rFonts w:ascii="新細明體" w:hAnsi="新細明體"/>
        </w:rPr>
      </w:pPr>
      <w:r w:rsidRPr="00DA3BC7">
        <w:rPr>
          <w:rFonts w:ascii="新細明體" w:hAnsi="新細明體" w:hint="eastAsia"/>
        </w:rPr>
        <w:t>又，此所謂</w:t>
      </w:r>
      <w:r w:rsidRPr="001A5A2B">
        <w:rPr>
          <w:rFonts w:ascii="新細明體" w:hAnsi="新細明體" w:hint="eastAsia"/>
          <w:b/>
          <w:u w:val="wave" w:color="C00000"/>
        </w:rPr>
        <w:t>滅</w:t>
      </w:r>
      <w:r w:rsidRPr="00DA3BC7">
        <w:rPr>
          <w:rFonts w:ascii="新細明體" w:hAnsi="新細明體" w:hint="eastAsia"/>
        </w:rPr>
        <w:t>，係指</w:t>
      </w:r>
      <w:r w:rsidRPr="00DA3BC7">
        <w:rPr>
          <w:rFonts w:ascii="新細明體" w:hAnsi="新細明體" w:hint="eastAsia"/>
          <w:b/>
        </w:rPr>
        <w:t>無常滅</w:t>
      </w:r>
      <w:r w:rsidRPr="00DA3BC7">
        <w:rPr>
          <w:rFonts w:ascii="新細明體" w:hAnsi="新細明體" w:hint="eastAsia"/>
        </w:rPr>
        <w:t>，與</w:t>
      </w:r>
      <w:r w:rsidRPr="00DA3BC7">
        <w:rPr>
          <w:rFonts w:ascii="新細明體" w:hAnsi="新細明體" w:hint="eastAsia"/>
          <w:b/>
        </w:rPr>
        <w:t>性空寂滅</w:t>
      </w:r>
      <w:r w:rsidRPr="00DA3BC7">
        <w:rPr>
          <w:rFonts w:ascii="新細明體" w:hAnsi="新細明體" w:hint="eastAsia"/>
        </w:rPr>
        <w:t>不同。無常滅是緣起的、有為的。如誤會這點，把它看成性空寂滅，這即會說</w:t>
      </w:r>
      <w:r w:rsidRPr="001A5A2B">
        <w:rPr>
          <w:rFonts w:ascii="新細明體" w:hAnsi="新細明體" w:hint="eastAsia"/>
          <w:b/>
          <w:u w:val="wave" w:color="C00000"/>
        </w:rPr>
        <w:t>滅</w:t>
      </w:r>
      <w:r w:rsidRPr="001A5A2B">
        <w:rPr>
          <w:rFonts w:ascii="新細明體" w:hAnsi="新細明體" w:hint="eastAsia"/>
          <w:u w:val="wave" w:color="C00000"/>
        </w:rPr>
        <w:t>即諸法歸於本體寂滅</w:t>
      </w:r>
      <w:r w:rsidRPr="00DA3BC7">
        <w:rPr>
          <w:rFonts w:ascii="新細明體" w:hAnsi="新細明體" w:hint="eastAsia"/>
        </w:rPr>
        <w:t>；又自然要說</w:t>
      </w:r>
      <w:r w:rsidRPr="001A5A2B">
        <w:rPr>
          <w:rFonts w:ascii="新細明體" w:hAnsi="新細明體" w:hint="eastAsia"/>
          <w:b/>
          <w:u w:val="wave" w:color="C00000"/>
        </w:rPr>
        <w:t>生</w:t>
      </w:r>
      <w:r w:rsidRPr="001A5A2B">
        <w:rPr>
          <w:rFonts w:ascii="新細明體" w:hAnsi="新細明體" w:hint="eastAsia"/>
          <w:u w:val="wave" w:color="C00000"/>
        </w:rPr>
        <w:t>是從寂滅本體起用</w:t>
      </w:r>
      <w:r w:rsidRPr="00DA3BC7">
        <w:rPr>
          <w:rFonts w:ascii="新細明體" w:hAnsi="新細明體" w:hint="eastAsia"/>
        </w:rPr>
        <w:t>，那是倒見了！</w:t>
      </w:r>
    </w:p>
    <w:p w:rsidR="00D805E9" w:rsidRPr="00DA3BC7" w:rsidRDefault="00D805E9" w:rsidP="00AE3920">
      <w:pPr>
        <w:spacing w:beforeLines="30"/>
        <w:ind w:leftChars="300" w:left="720"/>
        <w:jc w:val="both"/>
        <w:rPr>
          <w:b/>
          <w:sz w:val="20"/>
          <w:szCs w:val="20"/>
          <w:bdr w:val="single" w:sz="4" w:space="0" w:color="auto"/>
        </w:rPr>
      </w:pPr>
      <w:r w:rsidRPr="00B07717">
        <w:rPr>
          <w:rFonts w:ascii="Times New Roman" w:hAnsi="Times New Roman" w:hint="eastAsia"/>
          <w:b/>
          <w:color w:val="FF0000"/>
          <w:sz w:val="20"/>
          <w:szCs w:val="20"/>
          <w:highlight w:val="yellow"/>
          <w:bdr w:val="single" w:sz="4" w:space="0" w:color="auto"/>
        </w:rPr>
        <w:t>B</w:t>
      </w:r>
      <w:r>
        <w:rPr>
          <w:rFonts w:hint="eastAsia"/>
          <w:b/>
          <w:color w:val="FF0000"/>
          <w:sz w:val="20"/>
          <w:szCs w:val="20"/>
          <w:highlight w:val="yellow"/>
          <w:bdr w:val="single" w:sz="4" w:space="0" w:color="auto"/>
        </w:rPr>
        <w:t>、正觀「</w:t>
      </w:r>
      <w:r w:rsidRPr="00B07717">
        <w:rPr>
          <w:rFonts w:hint="eastAsia"/>
          <w:b/>
          <w:color w:val="FF0000"/>
          <w:sz w:val="20"/>
          <w:szCs w:val="20"/>
          <w:highlight w:val="yellow"/>
          <w:bdr w:val="single" w:sz="4" w:space="0" w:color="auto"/>
        </w:rPr>
        <w:t>緣</w:t>
      </w:r>
      <w:r>
        <w:rPr>
          <w:rFonts w:hint="eastAsia"/>
          <w:b/>
          <w:color w:val="FF0000"/>
          <w:sz w:val="20"/>
          <w:szCs w:val="20"/>
          <w:highlight w:val="yellow"/>
          <w:bdr w:val="single" w:sz="4" w:space="0" w:color="auto"/>
        </w:rPr>
        <w:t>生幻</w:t>
      </w:r>
      <w:r w:rsidRPr="00B07717">
        <w:rPr>
          <w:rFonts w:hint="eastAsia"/>
          <w:b/>
          <w:color w:val="FF0000"/>
          <w:sz w:val="20"/>
          <w:szCs w:val="20"/>
          <w:highlight w:val="yellow"/>
          <w:bdr w:val="single" w:sz="4" w:space="0" w:color="auto"/>
        </w:rPr>
        <w:t>滅</w:t>
      </w:r>
      <w:r>
        <w:rPr>
          <w:rFonts w:hint="eastAsia"/>
          <w:b/>
          <w:color w:val="FF0000"/>
          <w:sz w:val="20"/>
          <w:szCs w:val="20"/>
          <w:highlight w:val="yellow"/>
          <w:bdr w:val="single" w:sz="4" w:space="0" w:color="auto"/>
        </w:rPr>
        <w:t>」</w:t>
      </w:r>
      <w:r w:rsidRPr="00DA3BC7">
        <w:rPr>
          <w:rFonts w:hAnsi="新細明體"/>
          <w:sz w:val="20"/>
          <w:szCs w:val="20"/>
        </w:rPr>
        <w:t>（</w:t>
      </w:r>
      <w:r w:rsidRPr="00DA3BC7">
        <w:rPr>
          <w:rFonts w:ascii="Times New Roman" w:hAnsi="Times New Roman" w:hint="eastAsia"/>
          <w:sz w:val="20"/>
          <w:szCs w:val="20"/>
        </w:rPr>
        <w:t>p</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w:t>
      </w:r>
      <w:r w:rsidRPr="00DA3BC7">
        <w:rPr>
          <w:rFonts w:ascii="Times New Roman" w:hAnsi="Times New Roman" w:hint="eastAsia"/>
          <w:sz w:val="20"/>
          <w:szCs w:val="20"/>
        </w:rPr>
        <w:t>39</w:t>
      </w:r>
      <w:r w:rsidRPr="00DA3BC7">
        <w:rPr>
          <w:rFonts w:hint="eastAsia"/>
          <w:sz w:val="20"/>
          <w:szCs w:val="20"/>
        </w:rPr>
        <w:t>-</w:t>
      </w:r>
      <w:r w:rsidRPr="00DA3BC7">
        <w:rPr>
          <w:rFonts w:ascii="Times New Roman" w:hAnsi="Times New Roman" w:hint="eastAsia"/>
          <w:sz w:val="20"/>
          <w:szCs w:val="20"/>
        </w:rPr>
        <w:t>140</w:t>
      </w:r>
      <w:r w:rsidRPr="00DA3BC7">
        <w:rPr>
          <w:rFonts w:hAnsi="新細明體"/>
          <w:sz w:val="20"/>
          <w:szCs w:val="20"/>
        </w:rPr>
        <w:t>）</w:t>
      </w:r>
    </w:p>
    <w:p w:rsidR="00AA120F" w:rsidRPr="00DA3BC7" w:rsidRDefault="00AA120F" w:rsidP="002E5DD4">
      <w:pPr>
        <w:ind w:leftChars="300" w:left="720"/>
        <w:jc w:val="both"/>
        <w:rPr>
          <w:b/>
          <w:sz w:val="20"/>
          <w:szCs w:val="20"/>
          <w:bdr w:val="single" w:sz="4" w:space="0" w:color="auto"/>
        </w:rPr>
      </w:pPr>
      <w:r w:rsidRPr="00DA3BC7">
        <w:rPr>
          <w:rFonts w:ascii="新細明體" w:hAnsi="新細明體" w:hint="eastAsia"/>
        </w:rPr>
        <w:t>中觀者以</w:t>
      </w:r>
      <w:r w:rsidRPr="00DA3BC7">
        <w:rPr>
          <w:rFonts w:ascii="新細明體" w:hAnsi="新細明體" w:hint="eastAsia"/>
          <w:b/>
        </w:rPr>
        <w:t>無常滅</w:t>
      </w:r>
      <w:r w:rsidRPr="00DA3BC7">
        <w:rPr>
          <w:rFonts w:ascii="新細明體" w:hAnsi="新細明體" w:hint="eastAsia"/>
        </w:rPr>
        <w:t>為</w:t>
      </w:r>
      <w:r w:rsidRPr="00DA3BC7">
        <w:rPr>
          <w:rFonts w:ascii="新細明體" w:hAnsi="新細明體" w:hint="eastAsia"/>
          <w:b/>
        </w:rPr>
        <w:t>緣起的幻滅</w:t>
      </w:r>
      <w:r w:rsidRPr="00DA3BC7">
        <w:rPr>
          <w:rFonts w:ascii="新細明體" w:hAnsi="新細明體" w:hint="eastAsia"/>
        </w:rPr>
        <w:t>，</w:t>
      </w:r>
      <w:r w:rsidRPr="00DA3BC7">
        <w:rPr>
          <w:rFonts w:ascii="新細明體" w:hAnsi="新細明體" w:hint="eastAsia"/>
          <w:b/>
        </w:rPr>
        <w:t>幻滅非都無</w:t>
      </w:r>
      <w:r w:rsidRPr="00DA3BC7">
        <w:rPr>
          <w:rFonts w:ascii="新細明體" w:hAnsi="新細明體" w:hint="eastAsia"/>
        </w:rPr>
        <w:t>──</w:t>
      </w:r>
      <w:r w:rsidRPr="001A5A2B">
        <w:rPr>
          <w:rFonts w:ascii="新細明體" w:hAnsi="新細明體" w:hint="eastAsia"/>
          <w:b/>
        </w:rPr>
        <w:t>無見</w:t>
      </w:r>
      <w:r w:rsidRPr="00DA3BC7">
        <w:rPr>
          <w:rFonts w:ascii="新細明體" w:hAnsi="新細明體" w:hint="eastAsia"/>
        </w:rPr>
        <w:t>，</w:t>
      </w:r>
      <w:r w:rsidRPr="00DA3BC7">
        <w:rPr>
          <w:rFonts w:ascii="新細明體" w:hAnsi="新細明體" w:hint="eastAsia"/>
          <w:b/>
        </w:rPr>
        <w:t>則不失一切行業</w:t>
      </w:r>
      <w:r w:rsidRPr="00DA3BC7">
        <w:rPr>
          <w:rFonts w:ascii="新細明體" w:hAnsi="新細明體" w:hint="eastAsia"/>
        </w:rPr>
        <w:t>。</w:t>
      </w:r>
    </w:p>
    <w:p w:rsidR="00D805E9" w:rsidRDefault="00AA120F" w:rsidP="002E5DD4">
      <w:pPr>
        <w:ind w:leftChars="300" w:left="720"/>
        <w:jc w:val="both"/>
        <w:rPr>
          <w:rFonts w:ascii="新細明體" w:hAnsi="新細明體"/>
        </w:rPr>
      </w:pPr>
      <w:r w:rsidRPr="00DA3BC7">
        <w:rPr>
          <w:rFonts w:ascii="新細明體" w:hAnsi="新細明體" w:hint="eastAsia"/>
        </w:rPr>
        <w:t>這樣，從即生即滅的觀點說：</w:t>
      </w:r>
    </w:p>
    <w:p w:rsidR="00AA120F" w:rsidRPr="00DA3BC7" w:rsidRDefault="00AA120F" w:rsidP="002E5DD4">
      <w:pPr>
        <w:ind w:leftChars="300" w:left="720"/>
        <w:jc w:val="both"/>
        <w:rPr>
          <w:rFonts w:ascii="新細明體" w:hAnsi="新細明體"/>
        </w:rPr>
      </w:pPr>
      <w:r w:rsidRPr="00DA3BC7">
        <w:rPr>
          <w:rFonts w:ascii="新細明體" w:hAnsi="新細明體" w:hint="eastAsia"/>
        </w:rPr>
        <w:t>諸法是徹底的動、徹底的靜。</w:t>
      </w:r>
    </w:p>
    <w:p w:rsidR="00AA120F" w:rsidRPr="00DA3BC7" w:rsidRDefault="00AA120F" w:rsidP="002E5DD4">
      <w:pPr>
        <w:ind w:leftChars="300" w:left="720"/>
        <w:jc w:val="both"/>
        <w:rPr>
          <w:rFonts w:ascii="新細明體" w:hAnsi="新細明體"/>
        </w:rPr>
      </w:pPr>
      <w:r w:rsidRPr="00DA3BC7">
        <w:rPr>
          <w:rFonts w:ascii="新細明體" w:hAnsi="新細明體" w:hint="eastAsia"/>
        </w:rPr>
        <w:t>從生與有而觀之，即是動；</w:t>
      </w:r>
    </w:p>
    <w:p w:rsidR="00AA120F" w:rsidRPr="00DA3BC7" w:rsidRDefault="00AA120F" w:rsidP="002E5DD4">
      <w:pPr>
        <w:ind w:leftChars="300" w:left="720"/>
        <w:jc w:val="both"/>
        <w:rPr>
          <w:rFonts w:ascii="新細明體" w:hAnsi="新細明體"/>
        </w:rPr>
      </w:pPr>
      <w:r w:rsidRPr="00DA3BC7">
        <w:rPr>
          <w:rFonts w:ascii="新細明體" w:hAnsi="新細明體" w:hint="eastAsia"/>
        </w:rPr>
        <w:t>從滅與無而觀之，即是靜。</w:t>
      </w:r>
    </w:p>
    <w:p w:rsidR="00AA120F" w:rsidRPr="00DA3BC7" w:rsidRDefault="00AA120F" w:rsidP="002E5DD4">
      <w:pPr>
        <w:ind w:leftChars="300" w:left="720"/>
        <w:jc w:val="both"/>
        <w:rPr>
          <w:rFonts w:ascii="新細明體" w:hAnsi="新細明體"/>
        </w:rPr>
      </w:pPr>
      <w:r w:rsidRPr="00DA3BC7">
        <w:rPr>
          <w:rFonts w:ascii="新細明體" w:hAnsi="新細明體" w:hint="eastAsia"/>
        </w:rPr>
        <w:t>即生即滅，即有即無，即極動而極靜，即新新不住而法法不失，此是佛法的諸「行」觀、變動（當體即靜）觀。</w:t>
      </w:r>
    </w:p>
    <w:p w:rsidR="00AA120F" w:rsidRPr="00DA3BC7" w:rsidRDefault="00D805E9" w:rsidP="00AE3920">
      <w:pPr>
        <w:spacing w:beforeLines="30"/>
        <w:ind w:leftChars="150" w:left="360"/>
        <w:jc w:val="both"/>
        <w:rPr>
          <w:b/>
          <w:sz w:val="20"/>
          <w:szCs w:val="20"/>
          <w:bdr w:val="single" w:sz="4" w:space="0" w:color="auto"/>
        </w:rPr>
      </w:pPr>
      <w:r w:rsidRPr="00D805E9">
        <w:rPr>
          <w:rFonts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三</w:t>
      </w:r>
      <w:r w:rsidRPr="00D805E9">
        <w:rPr>
          <w:rFonts w:hint="eastAsia"/>
          <w:b/>
          <w:color w:val="FF0000"/>
          <w:sz w:val="20"/>
          <w:szCs w:val="20"/>
          <w:highlight w:val="yellow"/>
          <w:bdr w:val="single" w:sz="4" w:space="0" w:color="auto"/>
        </w:rPr>
        <w:t>）</w:t>
      </w:r>
      <w:r w:rsidRPr="00D805E9">
        <w:rPr>
          <w:rFonts w:ascii="Times New Roman" w:hAnsi="Times New Roman" w:hint="eastAsia"/>
          <w:b/>
          <w:color w:val="FF0000"/>
          <w:sz w:val="20"/>
          <w:szCs w:val="20"/>
          <w:highlight w:val="yellow"/>
          <w:bdr w:val="single" w:sz="4" w:space="0" w:color="auto"/>
        </w:rPr>
        <w:t>論過</w:t>
      </w:r>
      <w:r w:rsidR="00AA120F" w:rsidRPr="00DA3BC7">
        <w:rPr>
          <w:rFonts w:hAnsi="新細明體"/>
          <w:sz w:val="20"/>
          <w:szCs w:val="20"/>
        </w:rPr>
        <w:t>（</w:t>
      </w:r>
      <w:r w:rsidR="00AA120F" w:rsidRPr="00DA3BC7">
        <w:rPr>
          <w:rFonts w:ascii="Times New Roman" w:hAnsi="Times New Roman"/>
          <w:sz w:val="20"/>
          <w:szCs w:val="20"/>
        </w:rPr>
        <w:t>p</w:t>
      </w:r>
      <w:r w:rsidR="00AA120F" w:rsidRPr="00DA3BC7">
        <w:rPr>
          <w:sz w:val="20"/>
          <w:szCs w:val="20"/>
        </w:rPr>
        <w:t>.</w:t>
      </w:r>
      <w:r w:rsidR="00AA120F" w:rsidRPr="00DA3BC7">
        <w:rPr>
          <w:rFonts w:ascii="Times New Roman" w:hAnsi="Times New Roman"/>
          <w:sz w:val="20"/>
          <w:szCs w:val="20"/>
        </w:rPr>
        <w:t>1</w:t>
      </w:r>
      <w:r w:rsidR="00AA120F" w:rsidRPr="00DA3BC7">
        <w:rPr>
          <w:rFonts w:ascii="Times New Roman" w:hAnsi="Times New Roman" w:hint="eastAsia"/>
          <w:sz w:val="20"/>
          <w:szCs w:val="20"/>
        </w:rPr>
        <w:t>40</w:t>
      </w:r>
      <w:r w:rsidR="00AA120F" w:rsidRPr="00DA3BC7">
        <w:rPr>
          <w:rFonts w:hAnsi="新細明體"/>
          <w:sz w:val="20"/>
          <w:szCs w:val="20"/>
        </w:rPr>
        <w:t>）</w:t>
      </w:r>
    </w:p>
    <w:p w:rsidR="00AA120F" w:rsidRPr="00DA3BC7" w:rsidRDefault="00D805E9" w:rsidP="002E5DD4">
      <w:pPr>
        <w:ind w:leftChars="200" w:left="480"/>
        <w:jc w:val="both"/>
        <w:rPr>
          <w:b/>
          <w:sz w:val="20"/>
          <w:szCs w:val="20"/>
          <w:bdr w:val="single" w:sz="4" w:space="0" w:color="auto"/>
        </w:rPr>
      </w:pPr>
      <w:r>
        <w:rPr>
          <w:rFonts w:ascii="Times New Roman" w:hAnsi="Times New Roman" w:hint="eastAsia"/>
          <w:b/>
          <w:color w:val="FF0000"/>
          <w:sz w:val="20"/>
          <w:szCs w:val="20"/>
          <w:highlight w:val="yellow"/>
          <w:bdr w:val="single" w:sz="4" w:space="0" w:color="auto"/>
        </w:rPr>
        <w:t>1</w:t>
      </w:r>
      <w:r w:rsidRPr="00D805E9">
        <w:rPr>
          <w:rFonts w:ascii="Times New Roman" w:hAnsi="Times New Roman" w:hint="eastAsia"/>
          <w:b/>
          <w:color w:val="FF0000"/>
          <w:sz w:val="20"/>
          <w:szCs w:val="20"/>
          <w:highlight w:val="yellow"/>
          <w:bdr w:val="single" w:sz="4" w:space="0" w:color="auto"/>
        </w:rPr>
        <w:t>、舉古說</w:t>
      </w:r>
      <w:r w:rsidR="00AA120F" w:rsidRPr="00DA3BC7">
        <w:rPr>
          <w:rFonts w:hAnsi="新細明體"/>
          <w:sz w:val="20"/>
          <w:szCs w:val="20"/>
        </w:rPr>
        <w:t>（</w:t>
      </w:r>
      <w:r w:rsidR="00AA120F" w:rsidRPr="00DA3BC7">
        <w:rPr>
          <w:rFonts w:ascii="Times New Roman" w:hAnsi="Times New Roman"/>
          <w:sz w:val="20"/>
          <w:szCs w:val="20"/>
        </w:rPr>
        <w:t>p</w:t>
      </w:r>
      <w:r w:rsidR="00AA120F" w:rsidRPr="00DA3BC7">
        <w:rPr>
          <w:sz w:val="20"/>
          <w:szCs w:val="20"/>
        </w:rPr>
        <w:t>.</w:t>
      </w:r>
      <w:r w:rsidR="00AA120F" w:rsidRPr="00DA3BC7">
        <w:rPr>
          <w:rFonts w:ascii="Times New Roman" w:hAnsi="Times New Roman"/>
          <w:sz w:val="20"/>
          <w:szCs w:val="20"/>
        </w:rPr>
        <w:t>1</w:t>
      </w:r>
      <w:r w:rsidR="00AA120F" w:rsidRPr="00DA3BC7">
        <w:rPr>
          <w:rFonts w:ascii="Times New Roman" w:hAnsi="Times New Roman" w:hint="eastAsia"/>
          <w:sz w:val="20"/>
          <w:szCs w:val="20"/>
        </w:rPr>
        <w:t>40</w:t>
      </w:r>
      <w:r w:rsidR="00AA120F" w:rsidRPr="00DA3BC7">
        <w:rPr>
          <w:rFonts w:hAnsi="新細明體"/>
          <w:sz w:val="20"/>
          <w:szCs w:val="20"/>
        </w:rPr>
        <w:t>）</w:t>
      </w:r>
    </w:p>
    <w:p w:rsidR="00AA120F" w:rsidRPr="00DA3BC7" w:rsidRDefault="00AA120F" w:rsidP="002E5DD4">
      <w:pPr>
        <w:ind w:leftChars="200" w:left="480"/>
        <w:jc w:val="both"/>
        <w:rPr>
          <w:rFonts w:ascii="新細明體" w:hAnsi="新細明體"/>
        </w:rPr>
      </w:pPr>
      <w:r w:rsidRPr="00DA3BC7">
        <w:rPr>
          <w:rFonts w:ascii="新細明體" w:hAnsi="新細明體" w:hint="eastAsia"/>
        </w:rPr>
        <w:t>僧肇的《物不遷論》，約三世以觀一切，即動而靜；流行不斷為動，動而不失為</w:t>
      </w:r>
      <w:r w:rsidRPr="00DA3BC7">
        <w:rPr>
          <w:rFonts w:hAnsi="新細明體"/>
        </w:rPr>
        <w:t>靜</w:t>
      </w:r>
      <w:r w:rsidRPr="00DA3BC7">
        <w:rPr>
          <w:rStyle w:val="a6"/>
          <w:rFonts w:ascii="Times New Roman" w:hAnsi="Times New Roman"/>
        </w:rPr>
        <w:footnoteReference w:id="650"/>
      </w:r>
      <w:r w:rsidRPr="00DA3BC7">
        <w:rPr>
          <w:rFonts w:ascii="新細明體" w:hAnsi="新細明體" w:hint="eastAsia"/>
        </w:rPr>
        <w:t>，常與無常，僅是同一的不同看法。</w:t>
      </w:r>
    </w:p>
    <w:p w:rsidR="00AA120F" w:rsidRPr="00DA3BC7" w:rsidRDefault="00AA120F" w:rsidP="002E5DD4">
      <w:pPr>
        <w:ind w:leftChars="200" w:left="480"/>
        <w:jc w:val="both"/>
        <w:rPr>
          <w:rFonts w:ascii="新細明體" w:hAnsi="新細明體"/>
        </w:rPr>
      </w:pPr>
      <w:r w:rsidRPr="00DA3BC7">
        <w:rPr>
          <w:rFonts w:ascii="新細明體" w:hAnsi="新細明體" w:hint="eastAsia"/>
        </w:rPr>
        <w:lastRenderedPageBreak/>
        <w:t>以現在不到未來，所以</w:t>
      </w:r>
      <w:r w:rsidRPr="00DA3BC7">
        <w:rPr>
          <w:rFonts w:ascii="新細明體" w:hAnsi="新細明體" w:hint="eastAsia"/>
          <w:b/>
        </w:rPr>
        <w:t>不常</w:t>
      </w:r>
      <w:r w:rsidRPr="00DA3BC7">
        <w:rPr>
          <w:rFonts w:ascii="新細明體" w:hAnsi="新細明體" w:hint="eastAsia"/>
        </w:rPr>
        <w:t>；</w:t>
      </w:r>
    </w:p>
    <w:p w:rsidR="00AA120F" w:rsidRPr="00DA3BC7" w:rsidRDefault="00AA120F" w:rsidP="002E5DD4">
      <w:pPr>
        <w:ind w:leftChars="200" w:left="480"/>
        <w:jc w:val="both"/>
      </w:pPr>
      <w:r w:rsidRPr="00DA3BC7">
        <w:rPr>
          <w:rFonts w:ascii="新細明體" w:hAnsi="新細明體" w:hint="eastAsia"/>
        </w:rPr>
        <w:t>但過去在過去，不到現在、未來，豈非是</w:t>
      </w:r>
      <w:r w:rsidRPr="00DA3BC7">
        <w:rPr>
          <w:rFonts w:ascii="新細明體" w:hAnsi="新細明體" w:hint="eastAsia"/>
          <w:b/>
        </w:rPr>
        <w:t>常</w:t>
      </w:r>
      <w:r w:rsidRPr="00DA3BC7">
        <w:rPr>
          <w:rFonts w:hAnsi="新細明體"/>
        </w:rPr>
        <w:t>？</w:t>
      </w:r>
      <w:r w:rsidRPr="00DA3BC7">
        <w:rPr>
          <w:rStyle w:val="a6"/>
          <w:rFonts w:ascii="Times New Roman" w:hAnsi="Times New Roman"/>
        </w:rPr>
        <w:footnoteReference w:id="651"/>
      </w:r>
    </w:p>
    <w:p w:rsidR="00AA120F" w:rsidRPr="00DA3BC7" w:rsidRDefault="00AA120F" w:rsidP="002E5DD4">
      <w:pPr>
        <w:ind w:leftChars="200" w:left="480"/>
        <w:jc w:val="both"/>
        <w:rPr>
          <w:rFonts w:hAnsi="新細明體"/>
        </w:rPr>
      </w:pPr>
      <w:r w:rsidRPr="00DA3BC7">
        <w:rPr>
          <w:rFonts w:ascii="新細明體" w:hAnsi="新細明體" w:hint="eastAsia"/>
        </w:rPr>
        <w:t>東坡所說「</w:t>
      </w:r>
      <w:r w:rsidRPr="00DA3BC7">
        <w:rPr>
          <w:rFonts w:ascii="標楷體" w:eastAsia="標楷體" w:hAnsi="標楷體" w:hint="eastAsia"/>
        </w:rPr>
        <w:t>自其變者而觀之，則天地曾不能以一瞬；自其不變者而觀之，則物與我皆無盡也</w:t>
      </w:r>
      <w:r w:rsidRPr="00DA3BC7">
        <w:rPr>
          <w:rFonts w:ascii="新細明體" w:hAnsi="新細明體" w:hint="eastAsia"/>
        </w:rPr>
        <w:t>」</w:t>
      </w:r>
      <w:r w:rsidRPr="00DA3BC7">
        <w:rPr>
          <w:rStyle w:val="a6"/>
          <w:rFonts w:ascii="Times New Roman" w:hAnsi="Times New Roman"/>
        </w:rPr>
        <w:footnoteReference w:id="652"/>
      </w:r>
      <w:r w:rsidRPr="00DA3BC7">
        <w:rPr>
          <w:rFonts w:hAnsi="新細明體"/>
        </w:rPr>
        <w:t>，也是此義。</w:t>
      </w:r>
    </w:p>
    <w:p w:rsidR="00D805E9" w:rsidRPr="00DA3BC7" w:rsidRDefault="00D805E9" w:rsidP="00AE3920">
      <w:pPr>
        <w:spacing w:beforeLines="30"/>
        <w:ind w:leftChars="200" w:left="480"/>
        <w:jc w:val="both"/>
        <w:rPr>
          <w:b/>
          <w:sz w:val="20"/>
          <w:szCs w:val="20"/>
          <w:bdr w:val="single" w:sz="4" w:space="0" w:color="auto"/>
        </w:rPr>
      </w:pPr>
      <w:r w:rsidRPr="00D805E9">
        <w:rPr>
          <w:rFonts w:ascii="Times New Roman" w:hAnsi="Times New Roman" w:hint="eastAsia"/>
          <w:b/>
          <w:color w:val="FF0000"/>
          <w:sz w:val="20"/>
          <w:szCs w:val="20"/>
          <w:highlight w:val="yellow"/>
          <w:bdr w:val="single" w:sz="4" w:space="0" w:color="auto"/>
        </w:rPr>
        <w:t>2</w:t>
      </w:r>
      <w:r w:rsidRPr="00D805E9">
        <w:rPr>
          <w:rFonts w:ascii="Times New Roman" w:hAnsi="Times New Roman" w:hint="eastAsia"/>
          <w:b/>
          <w:color w:val="FF0000"/>
          <w:sz w:val="20"/>
          <w:szCs w:val="20"/>
          <w:highlight w:val="yellow"/>
          <w:bdr w:val="single" w:sz="4" w:space="0" w:color="auto"/>
        </w:rPr>
        <w:t>、</w:t>
      </w:r>
      <w:r w:rsidRPr="00D805E9">
        <w:rPr>
          <w:rFonts w:hint="eastAsia"/>
          <w:b/>
          <w:color w:val="FF0000"/>
          <w:sz w:val="20"/>
          <w:szCs w:val="20"/>
          <w:highlight w:val="yellow"/>
          <w:bdr w:val="single" w:sz="4" w:space="0" w:color="auto"/>
        </w:rPr>
        <w:t>印順法師評</w:t>
      </w:r>
      <w:r w:rsidRPr="00DA3BC7">
        <w:rPr>
          <w:rFonts w:hAnsi="新細明體"/>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w:t>
      </w:r>
      <w:r w:rsidRPr="00DA3BC7">
        <w:rPr>
          <w:rFonts w:ascii="Times New Roman" w:hAnsi="Times New Roman" w:hint="eastAsia"/>
          <w:sz w:val="20"/>
          <w:szCs w:val="20"/>
        </w:rPr>
        <w:t>40</w:t>
      </w:r>
      <w:r w:rsidRPr="00DA3BC7">
        <w:rPr>
          <w:rFonts w:hAnsi="新細明體"/>
          <w:sz w:val="20"/>
          <w:szCs w:val="20"/>
        </w:rPr>
        <w:t>）</w:t>
      </w:r>
    </w:p>
    <w:p w:rsidR="00AA120F" w:rsidRPr="00DA3BC7" w:rsidRDefault="00AA120F" w:rsidP="002E5DD4">
      <w:pPr>
        <w:ind w:leftChars="200" w:left="480"/>
        <w:jc w:val="both"/>
        <w:rPr>
          <w:rFonts w:hAnsi="新細明體"/>
        </w:rPr>
      </w:pPr>
      <w:r w:rsidRPr="00DA3BC7">
        <w:rPr>
          <w:rFonts w:hAnsi="新細明體"/>
        </w:rPr>
        <w:t>但稱之為常，且擬</w:t>
      </w:r>
      <w:r w:rsidRPr="00DA3BC7">
        <w:rPr>
          <w:rStyle w:val="a6"/>
          <w:rFonts w:ascii="Times New Roman" w:hAnsi="Times New Roman"/>
        </w:rPr>
        <w:footnoteReference w:id="653"/>
      </w:r>
      <w:r w:rsidRPr="00DA3BC7">
        <w:rPr>
          <w:rFonts w:hAnsi="新細明體"/>
        </w:rPr>
        <w:t>為法性常，即會落入從體起用的過失。</w:t>
      </w:r>
    </w:p>
    <w:p w:rsidR="00AA120F" w:rsidRPr="00DA3BC7" w:rsidRDefault="00AA120F" w:rsidP="00AE3920">
      <w:pPr>
        <w:spacing w:beforeLines="20"/>
        <w:ind w:leftChars="200" w:left="480"/>
        <w:jc w:val="both"/>
        <w:rPr>
          <w:rFonts w:ascii="新細明體" w:hAnsi="新細明體"/>
        </w:rPr>
      </w:pPr>
      <w:r w:rsidRPr="00DA3BC7">
        <w:rPr>
          <w:rFonts w:hAnsi="新細明體"/>
        </w:rPr>
        <w:t>而且，如不</w:t>
      </w:r>
      <w:r w:rsidRPr="00DA3BC7">
        <w:rPr>
          <w:rFonts w:hAnsi="新細明體"/>
          <w:b/>
        </w:rPr>
        <w:t>約緣起假名相待義以說</w:t>
      </w:r>
      <w:r w:rsidRPr="00DA3BC7">
        <w:rPr>
          <w:rFonts w:ascii="新細明體" w:hAnsi="新細明體"/>
          <w:b/>
        </w:rPr>
        <w:t>生滅</w:t>
      </w:r>
      <w:r w:rsidRPr="00DA3BC7">
        <w:rPr>
          <w:rFonts w:ascii="新細明體" w:hAnsi="新細明體"/>
        </w:rPr>
        <w:t>──肇公有</w:t>
      </w:r>
      <w:r w:rsidRPr="00DA3BC7">
        <w:rPr>
          <w:rFonts w:hAnsi="新細明體"/>
        </w:rPr>
        <w:t>假名空</w:t>
      </w:r>
      <w:r w:rsidRPr="00DA3BC7">
        <w:rPr>
          <w:rStyle w:val="a6"/>
          <w:rFonts w:ascii="Times New Roman" w:hAnsi="Times New Roman"/>
        </w:rPr>
        <w:footnoteReference w:id="654"/>
      </w:r>
      <w:r w:rsidRPr="00DA3BC7">
        <w:rPr>
          <w:rFonts w:hAnsi="新細明體"/>
        </w:rPr>
        <w:t>義，即又會</w:t>
      </w:r>
      <w:r w:rsidRPr="00DA3BC7">
        <w:rPr>
          <w:rFonts w:hAnsi="新細明體"/>
        </w:rPr>
        <w:lastRenderedPageBreak/>
        <w:t>與有部的三世各住自性義混同</w:t>
      </w:r>
      <w:r w:rsidRPr="00DA3BC7">
        <w:rPr>
          <w:rFonts w:hAnsi="新細明體" w:hint="eastAsia"/>
        </w:rPr>
        <w:t>。</w:t>
      </w:r>
      <w:r w:rsidRPr="00DA3BC7">
        <w:rPr>
          <w:rStyle w:val="a6"/>
          <w:rFonts w:ascii="Times New Roman" w:hAnsi="Times New Roman"/>
        </w:rPr>
        <w:footnoteReference w:id="655"/>
      </w:r>
    </w:p>
    <w:p w:rsidR="00AA120F" w:rsidRPr="00DA3BC7" w:rsidRDefault="00AA120F" w:rsidP="002E5DD4">
      <w:pPr>
        <w:ind w:leftChars="200" w:left="480"/>
        <w:jc w:val="both"/>
        <w:rPr>
          <w:rFonts w:ascii="新細明體" w:hAnsi="新細明體"/>
        </w:rPr>
      </w:pPr>
      <w:r w:rsidRPr="00DA3BC7">
        <w:rPr>
          <w:rFonts w:ascii="新細明體" w:hAnsi="新細明體" w:hint="eastAsia"/>
        </w:rPr>
        <w:t>望文生義的盲目修證者，有以「見鳥不見飛」</w:t>
      </w:r>
      <w:r w:rsidRPr="00DA3BC7">
        <w:rPr>
          <w:rStyle w:val="a6"/>
          <w:rFonts w:ascii="Times New Roman" w:hAnsi="Times New Roman"/>
        </w:rPr>
        <w:footnoteReference w:id="656"/>
      </w:r>
      <w:r w:rsidRPr="00DA3BC7">
        <w:rPr>
          <w:rFonts w:ascii="新細明體" w:hAnsi="新細明體" w:hint="eastAsia"/>
        </w:rPr>
        <w:t>為見道的，這誤解即動</w:t>
      </w:r>
      <w:r w:rsidRPr="00DA3BC7">
        <w:rPr>
          <w:rFonts w:ascii="新細明體" w:hAnsi="新細明體" w:hint="eastAsia"/>
        </w:rPr>
        <w:lastRenderedPageBreak/>
        <w:t>而靜的緣起如幻觀，以為親證法性寂滅了。</w:t>
      </w:r>
    </w:p>
    <w:p w:rsidR="00AA120F" w:rsidRPr="00DA3BC7" w:rsidRDefault="00AA120F" w:rsidP="00AE3920">
      <w:pPr>
        <w:spacing w:beforeLines="20"/>
        <w:ind w:leftChars="200" w:left="480"/>
        <w:jc w:val="both"/>
        <w:rPr>
          <w:rFonts w:ascii="新細明體" w:hAnsi="新細明體"/>
        </w:rPr>
      </w:pPr>
      <w:r w:rsidRPr="00DA3BC7">
        <w:rPr>
          <w:rFonts w:ascii="新細明體" w:hAnsi="新細明體" w:hint="eastAsia"/>
        </w:rPr>
        <w:t>依佛法說：見道乃體見法法寂滅無自性，那</w:t>
      </w:r>
      <w:r w:rsidR="001B3B3B">
        <w:rPr>
          <w:rFonts w:ascii="新細明體" w:hAnsi="新細明體" w:hint="eastAsia"/>
        </w:rPr>
        <w:t>裡</w:t>
      </w:r>
      <w:r w:rsidRPr="00DA3BC7">
        <w:rPr>
          <w:rFonts w:ascii="新細明體" w:hAnsi="新細明體" w:hint="eastAsia"/>
        </w:rPr>
        <w:t>是不見飛（動相）而見鳥。</w:t>
      </w:r>
    </w:p>
    <w:p w:rsidR="00AA120F" w:rsidRPr="00DA3BC7" w:rsidRDefault="00AA120F" w:rsidP="00AE3920">
      <w:pPr>
        <w:spacing w:beforeLines="20"/>
        <w:ind w:leftChars="200" w:left="480"/>
        <w:jc w:val="both"/>
        <w:rPr>
          <w:rFonts w:ascii="新細明體" w:hAnsi="新細明體"/>
        </w:rPr>
      </w:pPr>
      <w:r w:rsidRPr="00DA3BC7">
        <w:rPr>
          <w:rFonts w:ascii="新細明體" w:hAnsi="新細明體" w:hint="eastAsia"/>
        </w:rPr>
        <w:t>從即般若起方便智，那應了達</w:t>
      </w:r>
      <w:r w:rsidRPr="00DA3BC7">
        <w:rPr>
          <w:rFonts w:ascii="新細明體" w:hAnsi="新細明體" w:hint="eastAsia"/>
          <w:b/>
        </w:rPr>
        <w:t>無自性的──即生即滅的如幻行相</w:t>
      </w:r>
      <w:r w:rsidRPr="00DA3BC7">
        <w:rPr>
          <w:rFonts w:ascii="新細明體" w:hAnsi="新細明體" w:hint="eastAsia"/>
        </w:rPr>
        <w:t>，應該即法法不失而見鳥之飛動才對。</w:t>
      </w:r>
    </w:p>
    <w:p w:rsidR="00AA120F" w:rsidRPr="00DA3BC7" w:rsidRDefault="00AA120F" w:rsidP="00AE3920">
      <w:pPr>
        <w:spacing w:beforeLines="20"/>
        <w:ind w:leftChars="200" w:left="480"/>
        <w:jc w:val="both"/>
        <w:rPr>
          <w:rFonts w:ascii="新細明體" w:hAnsi="新細明體"/>
        </w:rPr>
      </w:pPr>
      <w:r w:rsidRPr="00DA3BC7">
        <w:rPr>
          <w:rFonts w:ascii="新細明體" w:hAnsi="新細明體" w:hint="eastAsia"/>
        </w:rPr>
        <w:t>故見鳥不見飛，不過是從自性妄見中幻起的神秘直覺，稱之為見到了神，倒是最恰當的！</w:t>
      </w:r>
    </w:p>
    <w:p w:rsidR="00AA120F" w:rsidRPr="00DA3BC7" w:rsidRDefault="00AA120F" w:rsidP="00AE3920">
      <w:pPr>
        <w:spacing w:beforeLines="30"/>
        <w:ind w:leftChars="100" w:left="240"/>
        <w:jc w:val="both"/>
        <w:rPr>
          <w:b/>
          <w:sz w:val="20"/>
          <w:szCs w:val="20"/>
          <w:bdr w:val="single" w:sz="4" w:space="0" w:color="auto"/>
        </w:rPr>
      </w:pPr>
      <w:r w:rsidRPr="00DA3BC7">
        <w:rPr>
          <w:rFonts w:hint="eastAsia"/>
          <w:b/>
          <w:sz w:val="20"/>
          <w:szCs w:val="20"/>
          <w:bdr w:val="single" w:sz="4" w:space="0" w:color="auto"/>
        </w:rPr>
        <w:t>二、</w:t>
      </w:r>
      <w:r w:rsidR="001B3B3B" w:rsidRPr="001B3B3B">
        <w:rPr>
          <w:rFonts w:hint="eastAsia"/>
          <w:b/>
          <w:color w:val="FF0000"/>
          <w:sz w:val="20"/>
          <w:szCs w:val="20"/>
          <w:highlight w:val="yellow"/>
          <w:bdr w:val="single" w:sz="4" w:space="0" w:color="auto"/>
        </w:rPr>
        <w:t>辨「</w:t>
      </w:r>
      <w:r w:rsidRPr="001B3B3B">
        <w:rPr>
          <w:rFonts w:hint="eastAsia"/>
          <w:b/>
          <w:color w:val="FF0000"/>
          <w:sz w:val="20"/>
          <w:szCs w:val="20"/>
          <w:highlight w:val="yellow"/>
          <w:bdr w:val="single" w:sz="4" w:space="0" w:color="auto"/>
        </w:rPr>
        <w:t>未來</w:t>
      </w:r>
      <w:r w:rsidR="001B3B3B" w:rsidRPr="001B3B3B">
        <w:rPr>
          <w:rFonts w:hint="eastAsia"/>
          <w:b/>
          <w:color w:val="FF0000"/>
          <w:sz w:val="20"/>
          <w:szCs w:val="20"/>
          <w:highlight w:val="yellow"/>
          <w:bdr w:val="single" w:sz="4" w:space="0" w:color="auto"/>
        </w:rPr>
        <w:t>諸行</w:t>
      </w:r>
      <w:r w:rsidRPr="001B3B3B">
        <w:rPr>
          <w:rFonts w:hint="eastAsia"/>
          <w:b/>
          <w:color w:val="FF0000"/>
          <w:sz w:val="20"/>
          <w:szCs w:val="20"/>
          <w:highlight w:val="yellow"/>
          <w:bdr w:val="single" w:sz="4" w:space="0" w:color="auto"/>
        </w:rPr>
        <w:t>能相續</w:t>
      </w:r>
      <w:r w:rsidR="001B3B3B" w:rsidRPr="001B3B3B">
        <w:rPr>
          <w:rFonts w:hint="eastAsia"/>
          <w:b/>
          <w:color w:val="FF0000"/>
          <w:sz w:val="20"/>
          <w:szCs w:val="20"/>
          <w:highlight w:val="yellow"/>
          <w:bdr w:val="single" w:sz="4" w:space="0" w:color="auto"/>
        </w:rPr>
        <w:t>」</w:t>
      </w:r>
      <w:r w:rsidRPr="00DA3BC7">
        <w:rPr>
          <w:rFonts w:hAnsi="新細明體"/>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w:t>
      </w:r>
      <w:r w:rsidRPr="00DA3BC7">
        <w:rPr>
          <w:rFonts w:ascii="Times New Roman" w:hAnsi="Times New Roman" w:hint="eastAsia"/>
          <w:sz w:val="20"/>
          <w:szCs w:val="20"/>
        </w:rPr>
        <w:t>41</w:t>
      </w:r>
      <w:r w:rsidRPr="00DA3BC7">
        <w:rPr>
          <w:rFonts w:hAnsi="新細明體"/>
          <w:sz w:val="20"/>
          <w:szCs w:val="20"/>
        </w:rPr>
        <w:t>）</w:t>
      </w:r>
    </w:p>
    <w:p w:rsidR="001B3B3B" w:rsidRDefault="00AA120F" w:rsidP="008E2BBC">
      <w:pPr>
        <w:ind w:leftChars="100" w:left="240"/>
        <w:jc w:val="both"/>
        <w:rPr>
          <w:rFonts w:ascii="新細明體" w:hAnsi="新細明體"/>
        </w:rPr>
      </w:pPr>
      <w:r w:rsidRPr="00DA3BC7">
        <w:rPr>
          <w:rFonts w:ascii="新細明體" w:hAnsi="新細明體" w:hint="eastAsia"/>
        </w:rPr>
        <w:t>二、剎那生滅，如何未來能新新生滅、相似相續？</w:t>
      </w:r>
    </w:p>
    <w:p w:rsidR="00AA120F" w:rsidRPr="00DA3BC7" w:rsidRDefault="00AA120F" w:rsidP="008E2BBC">
      <w:pPr>
        <w:ind w:leftChars="100" w:left="240"/>
        <w:jc w:val="both"/>
        <w:rPr>
          <w:rFonts w:hAnsi="新細明體"/>
        </w:rPr>
        <w:sectPr w:rsidR="00AA120F" w:rsidRPr="00DA3BC7" w:rsidSect="004F4714">
          <w:headerReference w:type="default" r:id="rId52"/>
          <w:footnotePr>
            <w:numRestart w:val="eachSect"/>
          </w:footnotePr>
          <w:pgSz w:w="10773" w:h="14742" w:code="155"/>
          <w:pgMar w:top="1418" w:right="1418" w:bottom="1418" w:left="1418" w:header="851" w:footer="992" w:gutter="0"/>
          <w:cols w:space="425"/>
          <w:docGrid w:type="lines" w:linePitch="360"/>
        </w:sectPr>
      </w:pPr>
      <w:r w:rsidRPr="001B3B3B">
        <w:rPr>
          <w:rFonts w:ascii="新細明體" w:hAnsi="新細明體" w:hint="eastAsia"/>
          <w:highlight w:val="yellow"/>
        </w:rPr>
        <w:t>這</w:t>
      </w:r>
      <w:r w:rsidRPr="00DA3BC7">
        <w:rPr>
          <w:rFonts w:ascii="新細明體" w:hAnsi="新細明體" w:hint="eastAsia"/>
        </w:rPr>
        <w:t>一問題，留待下章再為解</w:t>
      </w:r>
      <w:r w:rsidRPr="00DA3BC7">
        <w:rPr>
          <w:rFonts w:hAnsi="新細明體"/>
        </w:rPr>
        <w:t>說。</w:t>
      </w:r>
      <w:r w:rsidRPr="00DA3BC7">
        <w:rPr>
          <w:rStyle w:val="a6"/>
          <w:rFonts w:ascii="Times New Roman" w:hAnsi="Times New Roman"/>
        </w:rPr>
        <w:footnoteReference w:id="657"/>
      </w:r>
    </w:p>
    <w:p w:rsidR="00AA120F" w:rsidRPr="00DA3BC7" w:rsidRDefault="00AA120F" w:rsidP="008E2BBC">
      <w:pPr>
        <w:pStyle w:val="1"/>
      </w:pPr>
      <w:bookmarkStart w:id="108" w:name="_Toc405499783"/>
      <w:r w:rsidRPr="00DA3BC7">
        <w:rPr>
          <w:rFonts w:hint="eastAsia"/>
        </w:rPr>
        <w:lastRenderedPageBreak/>
        <w:t>第七章、有、時、空、動</w:t>
      </w:r>
      <w:bookmarkEnd w:id="108"/>
    </w:p>
    <w:p w:rsidR="00AA120F" w:rsidRPr="00DA3BC7" w:rsidRDefault="00AA120F" w:rsidP="008E2BBC">
      <w:pPr>
        <w:pStyle w:val="2"/>
      </w:pPr>
      <w:bookmarkStart w:id="109" w:name="_Toc405499784"/>
      <w:r w:rsidRPr="00DA3BC7">
        <w:t>第五節、無言之秘</w:t>
      </w:r>
      <w:bookmarkEnd w:id="109"/>
    </w:p>
    <w:p w:rsidR="00AA120F" w:rsidRPr="00DA3BC7" w:rsidRDefault="00AA120F" w:rsidP="008E2BBC">
      <w:pPr>
        <w:jc w:val="center"/>
        <w:rPr>
          <w:rFonts w:eastAsia="標楷體"/>
        </w:rPr>
      </w:pPr>
      <w:r w:rsidRPr="00DA3BC7">
        <w:rPr>
          <w:rFonts w:eastAsia="標楷體" w:hAnsi="標楷體"/>
          <w:bCs/>
        </w:rPr>
        <w:t>（</w:t>
      </w:r>
      <w:r w:rsidRPr="00DA3BC7">
        <w:rPr>
          <w:rFonts w:ascii="Times New Roman" w:eastAsia="標楷體" w:hAnsi="Times New Roman"/>
          <w:bCs/>
        </w:rPr>
        <w:t>pp</w:t>
      </w:r>
      <w:r w:rsidRPr="00DA3BC7">
        <w:rPr>
          <w:rFonts w:eastAsia="標楷體"/>
          <w:bCs/>
        </w:rPr>
        <w:t>.</w:t>
      </w:r>
      <w:r w:rsidRPr="00DA3BC7">
        <w:rPr>
          <w:rFonts w:ascii="Times New Roman" w:eastAsia="標楷體" w:hAnsi="Times New Roman"/>
          <w:bCs/>
        </w:rPr>
        <w:t>1</w:t>
      </w:r>
      <w:r w:rsidRPr="00DA3BC7">
        <w:rPr>
          <w:rFonts w:ascii="Times New Roman" w:eastAsia="標楷體" w:hAnsi="Times New Roman" w:hint="eastAsia"/>
          <w:bCs/>
        </w:rPr>
        <w:t>41</w:t>
      </w:r>
      <w:r w:rsidRPr="00DA3BC7">
        <w:rPr>
          <w:rFonts w:eastAsia="標楷體"/>
          <w:bCs/>
        </w:rPr>
        <w:t>-</w:t>
      </w:r>
      <w:r w:rsidRPr="00DA3BC7">
        <w:rPr>
          <w:rFonts w:ascii="Times New Roman" w:eastAsia="標楷體" w:hAnsi="Times New Roman"/>
          <w:bCs/>
        </w:rPr>
        <w:t>14</w:t>
      </w:r>
      <w:r w:rsidRPr="00DA3BC7">
        <w:rPr>
          <w:rFonts w:ascii="Times New Roman" w:eastAsia="標楷體" w:hAnsi="Times New Roman" w:hint="eastAsia"/>
          <w:bCs/>
        </w:rPr>
        <w:t>3</w:t>
      </w:r>
      <w:r w:rsidRPr="00DA3BC7">
        <w:rPr>
          <w:rFonts w:eastAsia="標楷體" w:hAnsi="標楷體"/>
          <w:bCs/>
        </w:rPr>
        <w:t>）</w:t>
      </w:r>
    </w:p>
    <w:p w:rsidR="00AA120F" w:rsidRPr="00DA3BC7" w:rsidRDefault="00AA120F" w:rsidP="00AE3920">
      <w:pPr>
        <w:spacing w:beforeLines="50"/>
        <w:jc w:val="both"/>
        <w:rPr>
          <w:rFonts w:hAnsi="新細明體"/>
          <w:b/>
          <w:sz w:val="20"/>
          <w:szCs w:val="20"/>
          <w:bdr w:val="single" w:sz="4" w:space="0" w:color="auto"/>
        </w:rPr>
      </w:pPr>
      <w:r w:rsidRPr="00DA3BC7">
        <w:rPr>
          <w:rFonts w:hAnsi="新細明體" w:hint="eastAsia"/>
          <w:b/>
          <w:sz w:val="20"/>
          <w:szCs w:val="20"/>
          <w:bdr w:val="single" w:sz="4" w:space="0" w:color="auto"/>
        </w:rPr>
        <w:t>壹、</w:t>
      </w:r>
      <w:r w:rsidR="004849F8">
        <w:rPr>
          <w:rFonts w:hAnsi="新細明體" w:hint="eastAsia"/>
          <w:b/>
          <w:color w:val="FF0000"/>
          <w:sz w:val="20"/>
          <w:szCs w:val="20"/>
          <w:highlight w:val="yellow"/>
          <w:bdr w:val="single" w:sz="4" w:space="0" w:color="auto"/>
        </w:rPr>
        <w:t>概述</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141</w:t>
      </w:r>
      <w:r w:rsidRPr="00DA3BC7">
        <w:rPr>
          <w:sz w:val="20"/>
          <w:szCs w:val="20"/>
        </w:rPr>
        <w:t>）</w:t>
      </w:r>
    </w:p>
    <w:p w:rsidR="00AA120F" w:rsidRPr="00DA3BC7" w:rsidRDefault="00AA120F" w:rsidP="002E5DD4">
      <w:pPr>
        <w:jc w:val="both"/>
      </w:pPr>
      <w:r w:rsidRPr="00DA3BC7">
        <w:rPr>
          <w:rFonts w:ascii="新細明體" w:hAnsi="新細明體" w:hint="eastAsia"/>
        </w:rPr>
        <w:t>外道問佛「</w:t>
      </w:r>
      <w:r w:rsidRPr="00DA3BC7">
        <w:rPr>
          <w:rFonts w:ascii="標楷體" w:eastAsia="標楷體" w:hAnsi="標楷體" w:hint="eastAsia"/>
        </w:rPr>
        <w:t>我與世間常，我與世間無常，我與世間亦常亦無常，我與世間非常非無常</w:t>
      </w:r>
      <w:r w:rsidRPr="00DA3BC7">
        <w:rPr>
          <w:rFonts w:ascii="新細明體" w:hAnsi="新細明體" w:hint="eastAsia"/>
        </w:rPr>
        <w:t>」等──有邊無邊、去與不去、一與異等十四不可記事，佛皆默然不</w:t>
      </w:r>
      <w:r w:rsidRPr="00DA3BC7">
        <w:rPr>
          <w:rFonts w:hAnsi="新細明體"/>
        </w:rPr>
        <w:t>答。</w:t>
      </w:r>
      <w:r w:rsidRPr="00DA3BC7">
        <w:rPr>
          <w:rStyle w:val="a6"/>
          <w:rFonts w:ascii="Times New Roman" w:hAnsi="Times New Roman"/>
        </w:rPr>
        <w:footnoteReference w:id="658"/>
      </w:r>
    </w:p>
    <w:p w:rsidR="00AA120F" w:rsidRPr="00DA3BC7" w:rsidRDefault="00AA120F" w:rsidP="002E5DD4">
      <w:pPr>
        <w:jc w:val="both"/>
        <w:rPr>
          <w:rFonts w:ascii="新細明體" w:hAnsi="新細明體"/>
        </w:rPr>
      </w:pPr>
      <w:r w:rsidRPr="00DA3BC7">
        <w:rPr>
          <w:rFonts w:ascii="新細明體" w:hAnsi="新細明體" w:hint="eastAsia"/>
        </w:rPr>
        <w:lastRenderedPageBreak/>
        <w:t>不但外道所問的神我根本沒有，而無從答起；外道兼問法，如所云「世間」，佛何以不答？佛的默然無言，實有甚深的意義！</w:t>
      </w:r>
    </w:p>
    <w:p w:rsidR="00AA120F" w:rsidRPr="00DA3BC7" w:rsidRDefault="00AA120F" w:rsidP="00AE3920">
      <w:pPr>
        <w:spacing w:beforeLines="20"/>
        <w:jc w:val="both"/>
        <w:rPr>
          <w:rFonts w:ascii="新細明體" w:hAnsi="新細明體"/>
        </w:rPr>
      </w:pPr>
      <w:r w:rsidRPr="00DA3BC7">
        <w:rPr>
          <w:rFonts w:ascii="新細明體" w:hAnsi="新細明體" w:hint="eastAsia"/>
        </w:rPr>
        <w:t>有人謂佛是實際的宗教家，不</w:t>
      </w:r>
      <w:r w:rsidRPr="00DA3BC7">
        <w:rPr>
          <w:rFonts w:hAnsi="新細明體"/>
        </w:rPr>
        <w:t>尚</w:t>
      </w:r>
      <w:r w:rsidRPr="00DA3BC7">
        <w:rPr>
          <w:rStyle w:val="a6"/>
          <w:rFonts w:ascii="Times New Roman" w:hAnsi="Times New Roman"/>
        </w:rPr>
        <w:footnoteReference w:id="659"/>
      </w:r>
      <w:r w:rsidRPr="00DA3BC7">
        <w:rPr>
          <w:rFonts w:hAnsi="新細明體"/>
        </w:rPr>
        <w:t>空</w:t>
      </w:r>
      <w:r w:rsidRPr="00DA3BC7">
        <w:rPr>
          <w:rFonts w:ascii="新細明體" w:hAnsi="新細明體" w:hint="eastAsia"/>
        </w:rPr>
        <w:t>談，所以不答。</w:t>
      </w:r>
    </w:p>
    <w:p w:rsidR="00AA120F" w:rsidRPr="00DA3BC7" w:rsidRDefault="00AA120F" w:rsidP="00AE3920">
      <w:pPr>
        <w:spacing w:beforeLines="20"/>
        <w:jc w:val="both"/>
        <w:rPr>
          <w:rFonts w:ascii="新細明體" w:hAnsi="新細明體"/>
        </w:rPr>
      </w:pPr>
      <w:r w:rsidRPr="00DA3BC7">
        <w:rPr>
          <w:rFonts w:ascii="新細明體" w:hAnsi="新細明體" w:hint="eastAsia"/>
        </w:rPr>
        <w:t>此說</w:t>
      </w:r>
      <w:r w:rsidRPr="00DA3BC7">
        <w:rPr>
          <w:rFonts w:hAnsi="新細明體"/>
        </w:rPr>
        <w:t>固</w:t>
      </w:r>
      <w:r w:rsidRPr="00DA3BC7">
        <w:rPr>
          <w:rStyle w:val="a6"/>
          <w:rFonts w:ascii="Times New Roman" w:hAnsi="Times New Roman"/>
        </w:rPr>
        <w:footnoteReference w:id="660"/>
      </w:r>
      <w:r w:rsidRPr="00DA3BC7">
        <w:rPr>
          <w:rFonts w:hAnsi="新細明體"/>
        </w:rPr>
        <w:t>也</w:t>
      </w:r>
      <w:r w:rsidRPr="00DA3BC7">
        <w:rPr>
          <w:rFonts w:ascii="新細明體" w:hAnsi="新細明體" w:hint="eastAsia"/>
        </w:rPr>
        <w:t>是有所見的，但佛不答的根本意趣，實因問者異見、異執、異信、異解，自起的分別妄執熏心，不達緣起的我法如幻，所以無從答起，也無用答覆。答覆它，不能信受，或者還要多興誹謗。</w:t>
      </w:r>
    </w:p>
    <w:p w:rsidR="0050521E" w:rsidRDefault="00AA120F" w:rsidP="00AE3920">
      <w:pPr>
        <w:spacing w:beforeLines="20"/>
        <w:jc w:val="both"/>
        <w:rPr>
          <w:rFonts w:ascii="新細明體" w:hAnsi="新細明體"/>
        </w:rPr>
      </w:pPr>
      <w:r w:rsidRPr="00DA3BC7">
        <w:rPr>
          <w:rFonts w:ascii="新細明體" w:hAnsi="新細明體" w:hint="eastAsia"/>
        </w:rPr>
        <w:t>佛陀應機說法，緣起性空的意義甚深，問者自性見深，答之不能令其領悟，不答則反可使其自省而自見所執的不當。</w:t>
      </w:r>
    </w:p>
    <w:p w:rsidR="00AA120F" w:rsidRPr="00DA3BC7" w:rsidRDefault="00AA120F" w:rsidP="00AE3920">
      <w:pPr>
        <w:spacing w:beforeLines="20"/>
        <w:jc w:val="both"/>
        <w:rPr>
          <w:rFonts w:ascii="新細明體" w:hAnsi="新細明體"/>
        </w:rPr>
      </w:pPr>
      <w:r w:rsidRPr="0050521E">
        <w:rPr>
          <w:rFonts w:ascii="新細明體" w:hAnsi="新細明體" w:hint="eastAsia"/>
          <w:b/>
          <w:highlight w:val="yellow"/>
        </w:rPr>
        <w:t>佛</w:t>
      </w:r>
      <w:r w:rsidRPr="00DA3BC7">
        <w:rPr>
          <w:rFonts w:ascii="新細明體" w:hAnsi="新細明體" w:hint="eastAsia"/>
          <w:b/>
        </w:rPr>
        <w:t>陀默然不應，即於無言中顯出緣起空寂的甚深義趣</w:t>
      </w:r>
      <w:r w:rsidRPr="00DA3BC7">
        <w:rPr>
          <w:rFonts w:ascii="新細明體" w:hAnsi="新細明體" w:hint="eastAsia"/>
        </w:rPr>
        <w:t>。</w:t>
      </w:r>
    </w:p>
    <w:p w:rsidR="00AA120F" w:rsidRPr="00DA3BC7" w:rsidRDefault="00AA120F" w:rsidP="00AE3920">
      <w:pPr>
        <w:spacing w:beforeLines="30"/>
        <w:jc w:val="both"/>
        <w:rPr>
          <w:rFonts w:ascii="新細明體" w:hAnsi="新細明體"/>
        </w:rPr>
      </w:pPr>
      <w:r w:rsidRPr="00DA3BC7">
        <w:rPr>
          <w:rFonts w:hAnsi="新細明體" w:hint="eastAsia"/>
          <w:b/>
          <w:sz w:val="20"/>
          <w:szCs w:val="20"/>
          <w:bdr w:val="single" w:sz="4" w:space="0" w:color="auto"/>
        </w:rPr>
        <w:t>貳、</w:t>
      </w:r>
      <w:r w:rsidR="0050521E">
        <w:rPr>
          <w:rFonts w:hAnsi="新細明體" w:hint="eastAsia"/>
          <w:b/>
          <w:color w:val="FF0000"/>
          <w:sz w:val="20"/>
          <w:szCs w:val="20"/>
          <w:highlight w:val="yellow"/>
          <w:bdr w:val="single" w:sz="4" w:space="0" w:color="auto"/>
        </w:rPr>
        <w:t>詳辨</w:t>
      </w:r>
      <w:r w:rsidRPr="00DA3BC7">
        <w:rPr>
          <w:sz w:val="20"/>
          <w:szCs w:val="20"/>
        </w:rPr>
        <w:t>（</w:t>
      </w:r>
      <w:r w:rsidRPr="00DA3BC7">
        <w:rPr>
          <w:rFonts w:ascii="Times New Roman" w:hAnsi="Times New Roman"/>
          <w:sz w:val="20"/>
          <w:szCs w:val="20"/>
        </w:rPr>
        <w:t>pp</w:t>
      </w:r>
      <w:r w:rsidRPr="00DA3BC7">
        <w:rPr>
          <w:sz w:val="20"/>
          <w:szCs w:val="20"/>
        </w:rPr>
        <w:t>.</w:t>
      </w:r>
      <w:r w:rsidRPr="00DA3BC7">
        <w:rPr>
          <w:rFonts w:ascii="Times New Roman" w:hAnsi="Times New Roman"/>
          <w:sz w:val="20"/>
          <w:szCs w:val="20"/>
        </w:rPr>
        <w:t>142</w:t>
      </w:r>
      <w:r w:rsidRPr="00DA3BC7">
        <w:rPr>
          <w:sz w:val="20"/>
          <w:szCs w:val="20"/>
        </w:rPr>
        <w:t>-</w:t>
      </w:r>
      <w:r w:rsidRPr="00DA3BC7">
        <w:rPr>
          <w:rFonts w:ascii="Times New Roman" w:hAnsi="Times New Roman"/>
          <w:sz w:val="20"/>
          <w:szCs w:val="20"/>
        </w:rPr>
        <w:t>143</w:t>
      </w:r>
      <w:r w:rsidRPr="00DA3BC7">
        <w:rPr>
          <w:sz w:val="20"/>
          <w:szCs w:val="20"/>
        </w:rPr>
        <w:t>）</w:t>
      </w:r>
    </w:p>
    <w:p w:rsidR="00AA120F" w:rsidRPr="00DA3BC7" w:rsidRDefault="00AA120F" w:rsidP="008E2BBC">
      <w:pPr>
        <w:ind w:leftChars="50" w:left="120"/>
        <w:jc w:val="both"/>
        <w:rPr>
          <w:b/>
          <w:sz w:val="20"/>
          <w:szCs w:val="20"/>
          <w:bdr w:val="single" w:sz="4" w:space="0" w:color="auto"/>
        </w:rPr>
      </w:pPr>
      <w:r w:rsidRPr="00DA3BC7">
        <w:rPr>
          <w:rFonts w:hint="eastAsia"/>
          <w:b/>
          <w:sz w:val="20"/>
          <w:szCs w:val="20"/>
          <w:bdr w:val="single" w:sz="4" w:space="0" w:color="auto"/>
        </w:rPr>
        <w:t>（壹）</w:t>
      </w:r>
      <w:r w:rsidR="0050521E" w:rsidRPr="0050521E">
        <w:rPr>
          <w:rFonts w:hint="eastAsia"/>
          <w:b/>
          <w:color w:val="FF0000"/>
          <w:sz w:val="20"/>
          <w:szCs w:val="20"/>
          <w:highlight w:val="yellow"/>
          <w:bdr w:val="single" w:sz="4" w:space="0" w:color="auto"/>
        </w:rPr>
        <w:t>「</w:t>
      </w:r>
      <w:r w:rsidRPr="0050521E">
        <w:rPr>
          <w:rFonts w:hint="eastAsia"/>
          <w:b/>
          <w:color w:val="FF0000"/>
          <w:sz w:val="20"/>
          <w:szCs w:val="20"/>
          <w:highlight w:val="yellow"/>
          <w:bdr w:val="single" w:sz="4" w:space="0" w:color="auto"/>
        </w:rPr>
        <w:t>緣起</w:t>
      </w:r>
      <w:r w:rsidR="0050521E" w:rsidRPr="0050521E">
        <w:rPr>
          <w:rFonts w:hint="eastAsia"/>
          <w:b/>
          <w:color w:val="FF0000"/>
          <w:sz w:val="20"/>
          <w:szCs w:val="20"/>
          <w:highlight w:val="yellow"/>
          <w:bdr w:val="single" w:sz="4" w:space="0" w:color="auto"/>
        </w:rPr>
        <w:t>」之深義</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14</w:t>
      </w:r>
      <w:r w:rsidRPr="00DA3BC7">
        <w:rPr>
          <w:rFonts w:ascii="Times New Roman" w:hAnsi="Times New Roman" w:hint="eastAsia"/>
          <w:sz w:val="20"/>
          <w:szCs w:val="20"/>
        </w:rPr>
        <w:t>2</w:t>
      </w:r>
      <w:r w:rsidRPr="00DA3BC7">
        <w:rPr>
          <w:sz w:val="20"/>
          <w:szCs w:val="20"/>
        </w:rPr>
        <w:t>）</w:t>
      </w:r>
    </w:p>
    <w:p w:rsidR="00AA120F" w:rsidRPr="00DA3BC7" w:rsidRDefault="00AA120F" w:rsidP="008E2BBC">
      <w:pPr>
        <w:ind w:leftChars="100" w:left="240"/>
        <w:jc w:val="both"/>
        <w:rPr>
          <w:b/>
          <w:sz w:val="20"/>
          <w:szCs w:val="20"/>
          <w:bdr w:val="single" w:sz="4" w:space="0" w:color="auto"/>
        </w:rPr>
      </w:pPr>
      <w:r w:rsidRPr="00DA3BC7">
        <w:rPr>
          <w:rFonts w:hint="eastAsia"/>
          <w:b/>
          <w:sz w:val="20"/>
          <w:szCs w:val="20"/>
          <w:bdr w:val="single" w:sz="4" w:space="0" w:color="auto"/>
        </w:rPr>
        <w:t>一</w:t>
      </w:r>
      <w:r w:rsidRPr="00DA3BC7">
        <w:rPr>
          <w:rFonts w:hAnsi="新細明體"/>
          <w:b/>
          <w:sz w:val="20"/>
          <w:szCs w:val="20"/>
          <w:bdr w:val="single" w:sz="4" w:space="0" w:color="auto"/>
        </w:rPr>
        <w:t>、</w:t>
      </w:r>
      <w:r w:rsidRPr="00DA3BC7">
        <w:rPr>
          <w:b/>
          <w:sz w:val="20"/>
          <w:szCs w:val="20"/>
          <w:bdr w:val="single" w:sz="4" w:space="0" w:color="auto"/>
        </w:rPr>
        <w:t>總說</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14</w:t>
      </w:r>
      <w:r w:rsidRPr="00DA3BC7">
        <w:rPr>
          <w:rFonts w:ascii="Times New Roman" w:hAnsi="Times New Roman" w:hint="eastAsia"/>
          <w:sz w:val="20"/>
          <w:szCs w:val="20"/>
        </w:rPr>
        <w:t>2</w:t>
      </w:r>
      <w:r w:rsidRPr="00DA3BC7">
        <w:rPr>
          <w:sz w:val="20"/>
          <w:szCs w:val="20"/>
        </w:rPr>
        <w:t>）</w:t>
      </w:r>
    </w:p>
    <w:p w:rsidR="00AA120F" w:rsidRPr="00DA3BC7" w:rsidRDefault="00AA120F" w:rsidP="008E2BBC">
      <w:pPr>
        <w:ind w:leftChars="100" w:left="240"/>
        <w:jc w:val="both"/>
      </w:pPr>
      <w:r w:rsidRPr="00DA3BC7">
        <w:rPr>
          <w:rFonts w:ascii="新細明體" w:hAnsi="新細明體" w:hint="eastAsia"/>
        </w:rPr>
        <w:lastRenderedPageBreak/>
        <w:t>一切是緣起如幻的，緣起是絕無自性，相依相待而似現矛盾之特性的。本章所說的</w:t>
      </w:r>
      <w:r w:rsidRPr="002F57EE">
        <w:rPr>
          <w:rFonts w:ascii="新細明體" w:hAnsi="新細明體" w:hint="eastAsia"/>
          <w:b/>
          <w:u w:val="wave" w:color="C00000"/>
        </w:rPr>
        <w:t>有</w:t>
      </w:r>
      <w:r w:rsidRPr="00DA3BC7">
        <w:rPr>
          <w:rFonts w:ascii="新細明體" w:hAnsi="新細明體" w:hint="eastAsia"/>
        </w:rPr>
        <w:t>、</w:t>
      </w:r>
      <w:r w:rsidRPr="002F57EE">
        <w:rPr>
          <w:rFonts w:ascii="新細明體" w:hAnsi="新細明體" w:hint="eastAsia"/>
          <w:b/>
          <w:u w:val="wave" w:color="C00000"/>
        </w:rPr>
        <w:t>時</w:t>
      </w:r>
      <w:r w:rsidRPr="00DA3BC7">
        <w:rPr>
          <w:rFonts w:ascii="新細明體" w:hAnsi="新細明體" w:hint="eastAsia"/>
        </w:rPr>
        <w:t>、</w:t>
      </w:r>
      <w:r w:rsidRPr="002F57EE">
        <w:rPr>
          <w:rFonts w:ascii="新細明體" w:hAnsi="新細明體" w:hint="eastAsia"/>
          <w:b/>
          <w:u w:val="wave" w:color="C00000"/>
        </w:rPr>
        <w:t>空</w:t>
      </w:r>
      <w:r w:rsidRPr="00DA3BC7">
        <w:rPr>
          <w:rFonts w:ascii="新細明體" w:hAnsi="新細明體" w:hint="eastAsia"/>
        </w:rPr>
        <w:t>、</w:t>
      </w:r>
      <w:r w:rsidRPr="002F57EE">
        <w:rPr>
          <w:rFonts w:ascii="新細明體" w:hAnsi="新細明體" w:hint="eastAsia"/>
          <w:b/>
          <w:u w:val="wave" w:color="C00000"/>
        </w:rPr>
        <w:t>行</w:t>
      </w:r>
      <w:r w:rsidRPr="00DA3BC7">
        <w:rPr>
          <w:rFonts w:ascii="新細明體" w:hAnsi="新細明體" w:hint="eastAsia"/>
        </w:rPr>
        <w:t>四者，都有此緣起法的共同性</w:t>
      </w:r>
      <w:r w:rsidRPr="00DA3BC7">
        <w:rPr>
          <w:rFonts w:hAnsi="新細明體"/>
        </w:rPr>
        <w:t>。</w:t>
      </w:r>
    </w:p>
    <w:p w:rsidR="00AA120F" w:rsidRPr="00DA3BC7" w:rsidRDefault="00AA120F" w:rsidP="00AE3920">
      <w:pPr>
        <w:spacing w:beforeLines="30"/>
        <w:ind w:leftChars="100" w:left="240"/>
        <w:jc w:val="both"/>
        <w:rPr>
          <w:rFonts w:hAnsi="新細明體"/>
          <w:b/>
          <w:sz w:val="20"/>
          <w:szCs w:val="20"/>
          <w:bdr w:val="single" w:sz="4" w:space="0" w:color="auto"/>
        </w:rPr>
      </w:pPr>
      <w:r w:rsidRPr="00DA3BC7">
        <w:rPr>
          <w:rFonts w:hint="eastAsia"/>
          <w:b/>
          <w:sz w:val="20"/>
          <w:szCs w:val="20"/>
          <w:bdr w:val="single" w:sz="4" w:space="0" w:color="auto"/>
        </w:rPr>
        <w:t>二</w:t>
      </w:r>
      <w:r w:rsidRPr="00DA3BC7">
        <w:rPr>
          <w:rFonts w:hAnsi="新細明體"/>
          <w:b/>
          <w:sz w:val="20"/>
          <w:szCs w:val="20"/>
          <w:bdr w:val="single" w:sz="4" w:space="0" w:color="auto"/>
        </w:rPr>
        <w:t>、</w:t>
      </w:r>
      <w:r w:rsidRPr="00DA3BC7">
        <w:rPr>
          <w:rFonts w:hAnsi="新細明體" w:hint="eastAsia"/>
          <w:b/>
          <w:sz w:val="20"/>
          <w:szCs w:val="20"/>
          <w:bdr w:val="single" w:sz="4" w:space="0" w:color="auto"/>
        </w:rPr>
        <w:t>別述</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14</w:t>
      </w:r>
      <w:r w:rsidRPr="00DA3BC7">
        <w:rPr>
          <w:rFonts w:ascii="Times New Roman" w:hAnsi="Times New Roman" w:hint="eastAsia"/>
          <w:sz w:val="20"/>
          <w:szCs w:val="20"/>
        </w:rPr>
        <w:t>2</w:t>
      </w:r>
      <w:r w:rsidRPr="00DA3BC7">
        <w:rPr>
          <w:sz w:val="20"/>
          <w:szCs w:val="20"/>
        </w:rPr>
        <w:t>）</w:t>
      </w:r>
    </w:p>
    <w:p w:rsidR="00AA120F" w:rsidRPr="00DA3BC7" w:rsidRDefault="00AA120F" w:rsidP="008E2BBC">
      <w:pPr>
        <w:ind w:leftChars="150" w:left="360"/>
        <w:jc w:val="both"/>
        <w:rPr>
          <w:b/>
          <w:sz w:val="20"/>
          <w:szCs w:val="20"/>
          <w:bdr w:val="single" w:sz="4" w:space="0" w:color="auto"/>
        </w:rPr>
      </w:pPr>
      <w:r w:rsidRPr="00DA3BC7">
        <w:rPr>
          <w:rFonts w:hAnsi="新細明體" w:hint="eastAsia"/>
          <w:b/>
          <w:sz w:val="20"/>
          <w:szCs w:val="20"/>
          <w:bdr w:val="single" w:sz="4" w:space="0" w:color="auto"/>
        </w:rPr>
        <w:t>（一）有</w:t>
      </w:r>
      <w:r w:rsidR="0050521E" w:rsidRPr="0050521E">
        <w:rPr>
          <w:rFonts w:hAnsi="新細明體" w:hint="eastAsia"/>
          <w:b/>
          <w:color w:val="FF0000"/>
          <w:sz w:val="20"/>
          <w:szCs w:val="20"/>
          <w:highlight w:val="yellow"/>
          <w:bdr w:val="single" w:sz="4" w:space="0" w:color="auto"/>
        </w:rPr>
        <w:t>──或一或異</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14</w:t>
      </w:r>
      <w:r w:rsidRPr="00DA3BC7">
        <w:rPr>
          <w:rFonts w:ascii="Times New Roman" w:hAnsi="Times New Roman" w:hint="eastAsia"/>
          <w:sz w:val="20"/>
          <w:szCs w:val="20"/>
        </w:rPr>
        <w:t>2</w:t>
      </w:r>
      <w:r w:rsidRPr="00DA3BC7">
        <w:rPr>
          <w:sz w:val="20"/>
          <w:szCs w:val="20"/>
        </w:rPr>
        <w:t>）</w:t>
      </w:r>
    </w:p>
    <w:p w:rsidR="00AA120F" w:rsidRPr="00DA3BC7" w:rsidRDefault="00AA120F" w:rsidP="008E2BBC">
      <w:pPr>
        <w:ind w:leftChars="150" w:left="360"/>
        <w:jc w:val="both"/>
        <w:rPr>
          <w:rFonts w:ascii="新細明體" w:hAnsi="新細明體"/>
        </w:rPr>
      </w:pPr>
      <w:r w:rsidRPr="00DA3BC7">
        <w:rPr>
          <w:rFonts w:ascii="新細明體" w:hAnsi="新細明體" w:hint="eastAsia"/>
        </w:rPr>
        <w:t>如一切法的存在──</w:t>
      </w:r>
      <w:r w:rsidRPr="00DA3BC7">
        <w:rPr>
          <w:rFonts w:ascii="新細明體" w:hAnsi="新細明體" w:hint="eastAsia"/>
          <w:b/>
        </w:rPr>
        <w:t>有</w:t>
      </w:r>
      <w:r w:rsidRPr="00DA3BC7">
        <w:rPr>
          <w:rFonts w:ascii="新細明體" w:hAnsi="新細明體" w:hint="eastAsia"/>
        </w:rPr>
        <w:t>，現似極其充實的樣子，眾生即執有實在性；即見為虛假，也要從虛假的內在求實在。但實在性終不可得，不可得即是實性，而存在──有不過是緣起如幻的假名有。</w:t>
      </w:r>
    </w:p>
    <w:p w:rsidR="00AA120F" w:rsidRPr="00DA3BC7" w:rsidRDefault="00AA120F" w:rsidP="00AE3920">
      <w:pPr>
        <w:spacing w:beforeLines="30"/>
        <w:ind w:leftChars="150" w:left="360"/>
        <w:jc w:val="both"/>
        <w:rPr>
          <w:b/>
          <w:sz w:val="20"/>
          <w:szCs w:val="20"/>
          <w:bdr w:val="single" w:sz="4" w:space="0" w:color="auto"/>
        </w:rPr>
      </w:pPr>
      <w:r w:rsidRPr="00DA3BC7">
        <w:rPr>
          <w:rFonts w:hAnsi="新細明體" w:hint="eastAsia"/>
          <w:b/>
          <w:sz w:val="20"/>
          <w:szCs w:val="20"/>
          <w:bdr w:val="single" w:sz="4" w:space="0" w:color="auto"/>
        </w:rPr>
        <w:t>（二）時間</w:t>
      </w:r>
      <w:r w:rsidR="0050521E" w:rsidRPr="0050521E">
        <w:rPr>
          <w:rFonts w:hAnsi="新細明體" w:hint="eastAsia"/>
          <w:b/>
          <w:color w:val="FF0000"/>
          <w:sz w:val="20"/>
          <w:szCs w:val="20"/>
          <w:highlight w:val="yellow"/>
          <w:bdr w:val="single" w:sz="4" w:space="0" w:color="auto"/>
        </w:rPr>
        <w:t>──或</w:t>
      </w:r>
      <w:r w:rsidR="0050521E">
        <w:rPr>
          <w:rFonts w:hAnsi="新細明體" w:hint="eastAsia"/>
          <w:b/>
          <w:color w:val="FF0000"/>
          <w:sz w:val="20"/>
          <w:szCs w:val="20"/>
          <w:highlight w:val="yellow"/>
          <w:bdr w:val="single" w:sz="4" w:space="0" w:color="auto"/>
        </w:rPr>
        <w:t>常</w:t>
      </w:r>
      <w:r w:rsidR="0050521E" w:rsidRPr="0050521E">
        <w:rPr>
          <w:rFonts w:hAnsi="新細明體" w:hint="eastAsia"/>
          <w:b/>
          <w:color w:val="FF0000"/>
          <w:sz w:val="20"/>
          <w:szCs w:val="20"/>
          <w:highlight w:val="yellow"/>
          <w:bdr w:val="single" w:sz="4" w:space="0" w:color="auto"/>
        </w:rPr>
        <w:t>或</w:t>
      </w:r>
      <w:r w:rsidR="0050521E">
        <w:rPr>
          <w:rFonts w:hAnsi="新細明體" w:hint="eastAsia"/>
          <w:b/>
          <w:color w:val="FF0000"/>
          <w:sz w:val="20"/>
          <w:szCs w:val="20"/>
          <w:highlight w:val="yellow"/>
          <w:bdr w:val="single" w:sz="4" w:space="0" w:color="auto"/>
        </w:rPr>
        <w:t>無常等</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14</w:t>
      </w:r>
      <w:r w:rsidRPr="00DA3BC7">
        <w:rPr>
          <w:rFonts w:ascii="Times New Roman" w:hAnsi="Times New Roman" w:hint="eastAsia"/>
          <w:sz w:val="20"/>
          <w:szCs w:val="20"/>
        </w:rPr>
        <w:t>2</w:t>
      </w:r>
      <w:r w:rsidRPr="00DA3BC7">
        <w:rPr>
          <w:sz w:val="20"/>
          <w:szCs w:val="20"/>
        </w:rPr>
        <w:t>）</w:t>
      </w:r>
    </w:p>
    <w:p w:rsidR="00AA120F" w:rsidRPr="00DA3BC7" w:rsidRDefault="00AA120F" w:rsidP="008E2BBC">
      <w:pPr>
        <w:ind w:leftChars="150" w:left="360"/>
        <w:jc w:val="both"/>
        <w:rPr>
          <w:rFonts w:ascii="新細明體" w:hAnsi="新細明體"/>
        </w:rPr>
      </w:pPr>
      <w:r w:rsidRPr="00DA3BC7">
        <w:rPr>
          <w:rFonts w:ascii="新細明體" w:hAnsi="新細明體" w:hint="eastAsia"/>
          <w:b/>
        </w:rPr>
        <w:t>時間</w:t>
      </w:r>
      <w:r w:rsidRPr="00DA3BC7">
        <w:rPr>
          <w:rFonts w:ascii="新細明體" w:hAnsi="新細明體" w:hint="eastAsia"/>
        </w:rPr>
        <w:t>，是緣起法幻現前後相，依眾生的自性見執有前後，而有始、無始都不通；以自性見而執有剎那實性，而剎那實性也即失去時間的形相──前後。這可見時相性空，觀待而有三世，似有始、終、中，而實是虛誑不實的。</w:t>
      </w:r>
    </w:p>
    <w:p w:rsidR="00AA120F" w:rsidRPr="00DA3BC7" w:rsidRDefault="00AA120F" w:rsidP="00AE3920">
      <w:pPr>
        <w:spacing w:beforeLines="30"/>
        <w:ind w:leftChars="150" w:left="360"/>
        <w:jc w:val="both"/>
        <w:rPr>
          <w:b/>
          <w:sz w:val="20"/>
          <w:szCs w:val="20"/>
          <w:bdr w:val="single" w:sz="4" w:space="0" w:color="auto"/>
        </w:rPr>
      </w:pPr>
      <w:r w:rsidRPr="00DA3BC7">
        <w:rPr>
          <w:rFonts w:hAnsi="新細明體" w:hint="eastAsia"/>
          <w:b/>
          <w:sz w:val="20"/>
          <w:szCs w:val="20"/>
          <w:bdr w:val="single" w:sz="4" w:space="0" w:color="auto"/>
        </w:rPr>
        <w:t>（三）空間</w:t>
      </w:r>
      <w:r w:rsidR="0050521E" w:rsidRPr="0050521E">
        <w:rPr>
          <w:rFonts w:hAnsi="新細明體" w:hint="eastAsia"/>
          <w:b/>
          <w:color w:val="FF0000"/>
          <w:sz w:val="20"/>
          <w:szCs w:val="20"/>
          <w:highlight w:val="yellow"/>
          <w:bdr w:val="single" w:sz="4" w:space="0" w:color="auto"/>
        </w:rPr>
        <w:t>──或</w:t>
      </w:r>
      <w:r w:rsidR="0050521E">
        <w:rPr>
          <w:rFonts w:hAnsi="新細明體" w:hint="eastAsia"/>
          <w:b/>
          <w:color w:val="FF0000"/>
          <w:sz w:val="20"/>
          <w:szCs w:val="20"/>
          <w:highlight w:val="yellow"/>
          <w:bdr w:val="single" w:sz="4" w:space="0" w:color="auto"/>
        </w:rPr>
        <w:t>有邊</w:t>
      </w:r>
      <w:r w:rsidR="0050521E" w:rsidRPr="0050521E">
        <w:rPr>
          <w:rFonts w:hAnsi="新細明體" w:hint="eastAsia"/>
          <w:b/>
          <w:color w:val="FF0000"/>
          <w:sz w:val="20"/>
          <w:szCs w:val="20"/>
          <w:highlight w:val="yellow"/>
          <w:bdr w:val="single" w:sz="4" w:space="0" w:color="auto"/>
        </w:rPr>
        <w:t>或</w:t>
      </w:r>
      <w:r w:rsidR="0050521E">
        <w:rPr>
          <w:rFonts w:hAnsi="新細明體" w:hint="eastAsia"/>
          <w:b/>
          <w:color w:val="FF0000"/>
          <w:sz w:val="20"/>
          <w:szCs w:val="20"/>
          <w:highlight w:val="yellow"/>
          <w:bdr w:val="single" w:sz="4" w:space="0" w:color="auto"/>
        </w:rPr>
        <w:t>無邊等</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14</w:t>
      </w:r>
      <w:r w:rsidRPr="00DA3BC7">
        <w:rPr>
          <w:rFonts w:ascii="Times New Roman" w:hAnsi="Times New Roman" w:hint="eastAsia"/>
          <w:sz w:val="20"/>
          <w:szCs w:val="20"/>
        </w:rPr>
        <w:t>2</w:t>
      </w:r>
      <w:r w:rsidRPr="00DA3BC7">
        <w:rPr>
          <w:sz w:val="20"/>
          <w:szCs w:val="20"/>
        </w:rPr>
        <w:t>）</w:t>
      </w:r>
    </w:p>
    <w:p w:rsidR="00AA120F" w:rsidRPr="00DA3BC7" w:rsidRDefault="00AA120F" w:rsidP="008E2BBC">
      <w:pPr>
        <w:ind w:leftChars="150" w:left="360"/>
        <w:jc w:val="both"/>
        <w:rPr>
          <w:rFonts w:ascii="新細明體" w:hAnsi="新細明體"/>
        </w:rPr>
      </w:pPr>
      <w:r w:rsidRPr="00DA3BC7">
        <w:rPr>
          <w:rFonts w:ascii="新細明體" w:hAnsi="新細明體" w:hint="eastAsia"/>
          <w:b/>
        </w:rPr>
        <w:t>空間</w:t>
      </w:r>
      <w:r w:rsidRPr="00DA3BC7">
        <w:rPr>
          <w:rFonts w:ascii="新細明體" w:hAnsi="新細明體" w:hint="eastAsia"/>
        </w:rPr>
        <w:t>，即緣起法幻現的六方擴展相。自性見者對此緣起幻現的空間相不能了知，依六方擴展相而或執有邊、或執無邊，有邊、無邊都不可能。執有自性見而推想佔有空間的極微點，而不知極微的實性──無彼此分，即失去佔有空間的特相。緣起幻相的中、邊，實是空無所有的虛誑。</w:t>
      </w:r>
    </w:p>
    <w:p w:rsidR="00AA120F" w:rsidRPr="00DA3BC7" w:rsidRDefault="00AA120F" w:rsidP="00AE3920">
      <w:pPr>
        <w:spacing w:beforeLines="30"/>
        <w:ind w:leftChars="150" w:left="360"/>
        <w:jc w:val="both"/>
        <w:rPr>
          <w:b/>
          <w:sz w:val="20"/>
          <w:szCs w:val="20"/>
          <w:bdr w:val="single" w:sz="4" w:space="0" w:color="auto"/>
        </w:rPr>
      </w:pPr>
      <w:r w:rsidRPr="00DA3BC7">
        <w:rPr>
          <w:rFonts w:hAnsi="新細明體" w:hint="eastAsia"/>
          <w:b/>
          <w:sz w:val="20"/>
          <w:szCs w:val="20"/>
          <w:bdr w:val="single" w:sz="4" w:space="0" w:color="auto"/>
        </w:rPr>
        <w:t>（四）行</w:t>
      </w:r>
      <w:r w:rsidR="0050521E" w:rsidRPr="0050521E">
        <w:rPr>
          <w:rFonts w:hAnsi="新細明體" w:hint="eastAsia"/>
          <w:b/>
          <w:color w:val="FF0000"/>
          <w:sz w:val="20"/>
          <w:szCs w:val="20"/>
          <w:highlight w:val="yellow"/>
          <w:bdr w:val="single" w:sz="4" w:space="0" w:color="auto"/>
        </w:rPr>
        <w:t>──或</w:t>
      </w:r>
      <w:r w:rsidR="0050521E">
        <w:rPr>
          <w:rFonts w:hAnsi="新細明體" w:hint="eastAsia"/>
          <w:b/>
          <w:color w:val="FF0000"/>
          <w:sz w:val="20"/>
          <w:szCs w:val="20"/>
          <w:highlight w:val="yellow"/>
          <w:bdr w:val="single" w:sz="4" w:space="0" w:color="auto"/>
        </w:rPr>
        <w:t>去</w:t>
      </w:r>
      <w:r w:rsidR="0050521E" w:rsidRPr="0050521E">
        <w:rPr>
          <w:rFonts w:hAnsi="新細明體" w:hint="eastAsia"/>
          <w:b/>
          <w:color w:val="FF0000"/>
          <w:sz w:val="20"/>
          <w:szCs w:val="20"/>
          <w:highlight w:val="yellow"/>
          <w:bdr w:val="single" w:sz="4" w:space="0" w:color="auto"/>
        </w:rPr>
        <w:t>或</w:t>
      </w:r>
      <w:r w:rsidR="0050521E">
        <w:rPr>
          <w:rFonts w:hAnsi="新細明體" w:hint="eastAsia"/>
          <w:b/>
          <w:color w:val="FF0000"/>
          <w:sz w:val="20"/>
          <w:szCs w:val="20"/>
          <w:highlight w:val="yellow"/>
          <w:bdr w:val="single" w:sz="4" w:space="0" w:color="auto"/>
        </w:rPr>
        <w:t>不去等</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14</w:t>
      </w:r>
      <w:r w:rsidRPr="00DA3BC7">
        <w:rPr>
          <w:rFonts w:ascii="Times New Roman" w:hAnsi="Times New Roman" w:hint="eastAsia"/>
          <w:sz w:val="20"/>
          <w:szCs w:val="20"/>
        </w:rPr>
        <w:t>2</w:t>
      </w:r>
      <w:r w:rsidRPr="00DA3BC7">
        <w:rPr>
          <w:sz w:val="20"/>
          <w:szCs w:val="20"/>
        </w:rPr>
        <w:t>）</w:t>
      </w:r>
    </w:p>
    <w:p w:rsidR="00AA120F" w:rsidRPr="00DA3BC7" w:rsidRDefault="00AA120F" w:rsidP="008E2BBC">
      <w:pPr>
        <w:ind w:leftChars="150" w:left="360"/>
        <w:jc w:val="both"/>
        <w:rPr>
          <w:rFonts w:ascii="新細明體" w:hAnsi="新細明體"/>
        </w:rPr>
      </w:pPr>
      <w:r w:rsidRPr="00DA3BC7">
        <w:rPr>
          <w:rFonts w:ascii="新細明體" w:hAnsi="新細明體" w:hint="eastAsia"/>
          <w:b/>
        </w:rPr>
        <w:t>行</w:t>
      </w:r>
      <w:r w:rsidRPr="00DA3BC7">
        <w:rPr>
          <w:rFonts w:ascii="新細明體" w:hAnsi="新細明體" w:hint="eastAsia"/>
        </w:rPr>
        <w:t>，即約存在者於時間、空間中所現起滅來去的動變相，若執有法的自性，此運動相即不能成立。</w:t>
      </w:r>
    </w:p>
    <w:p w:rsidR="00AA120F" w:rsidRPr="00DA3BC7" w:rsidRDefault="0050521E" w:rsidP="00AE3920">
      <w:pPr>
        <w:spacing w:beforeLines="30"/>
        <w:ind w:leftChars="100" w:left="240"/>
        <w:jc w:val="both"/>
        <w:rPr>
          <w:b/>
          <w:sz w:val="20"/>
          <w:szCs w:val="20"/>
          <w:bdr w:val="single" w:sz="4" w:space="0" w:color="auto"/>
        </w:rPr>
      </w:pPr>
      <w:r w:rsidRPr="0050521E">
        <w:rPr>
          <w:rFonts w:hint="eastAsia"/>
          <w:b/>
          <w:color w:val="FF0000"/>
          <w:sz w:val="20"/>
          <w:szCs w:val="20"/>
          <w:highlight w:val="yellow"/>
          <w:bdr w:val="single" w:sz="4" w:space="0" w:color="auto"/>
        </w:rPr>
        <w:t>三、釋因</w:t>
      </w:r>
      <w:r w:rsidR="00AA120F" w:rsidRPr="00DA3BC7">
        <w:rPr>
          <w:sz w:val="20"/>
          <w:szCs w:val="20"/>
        </w:rPr>
        <w:t>（</w:t>
      </w:r>
      <w:r w:rsidR="00AA120F" w:rsidRPr="00DA3BC7">
        <w:rPr>
          <w:rFonts w:ascii="Times New Roman" w:hAnsi="Times New Roman"/>
          <w:sz w:val="20"/>
          <w:szCs w:val="20"/>
        </w:rPr>
        <w:t>pp</w:t>
      </w:r>
      <w:r w:rsidR="00AA120F" w:rsidRPr="00DA3BC7">
        <w:rPr>
          <w:sz w:val="20"/>
          <w:szCs w:val="20"/>
        </w:rPr>
        <w:t>.</w:t>
      </w:r>
      <w:r w:rsidR="00AA120F" w:rsidRPr="00DA3BC7">
        <w:rPr>
          <w:rFonts w:ascii="Times New Roman" w:hAnsi="Times New Roman"/>
          <w:sz w:val="20"/>
          <w:szCs w:val="20"/>
        </w:rPr>
        <w:t>142</w:t>
      </w:r>
      <w:r w:rsidR="00AA120F" w:rsidRPr="00DA3BC7">
        <w:rPr>
          <w:sz w:val="20"/>
          <w:szCs w:val="20"/>
        </w:rPr>
        <w:t>-</w:t>
      </w:r>
      <w:r w:rsidR="00AA120F" w:rsidRPr="00DA3BC7">
        <w:rPr>
          <w:rFonts w:ascii="Times New Roman" w:hAnsi="Times New Roman"/>
          <w:sz w:val="20"/>
          <w:szCs w:val="20"/>
        </w:rPr>
        <w:t>143</w:t>
      </w:r>
      <w:r w:rsidR="00AA120F" w:rsidRPr="00DA3BC7">
        <w:rPr>
          <w:sz w:val="20"/>
          <w:szCs w:val="20"/>
        </w:rPr>
        <w:t>）</w:t>
      </w:r>
    </w:p>
    <w:p w:rsidR="00AA120F" w:rsidRPr="00DA3BC7" w:rsidRDefault="00AA120F" w:rsidP="002E5DD4">
      <w:pPr>
        <w:ind w:leftChars="100" w:left="240"/>
        <w:jc w:val="both"/>
        <w:rPr>
          <w:rFonts w:ascii="新細明體" w:hAnsi="新細明體"/>
          <w:sz w:val="20"/>
          <w:szCs w:val="20"/>
          <w:bdr w:val="single" w:sz="4" w:space="0" w:color="auto"/>
        </w:rPr>
      </w:pPr>
      <w:r w:rsidRPr="00DA3BC7">
        <w:rPr>
          <w:rFonts w:ascii="新細明體" w:hAnsi="新細明體" w:hint="eastAsia"/>
        </w:rPr>
        <w:t>有、時、空、行，為一切法最普遍的基本概念，離此即無從思想，無可論說。</w:t>
      </w:r>
    </w:p>
    <w:p w:rsidR="002F57EE" w:rsidRDefault="00AA120F" w:rsidP="002F57EE">
      <w:pPr>
        <w:ind w:leftChars="100" w:left="240"/>
        <w:jc w:val="both"/>
        <w:rPr>
          <w:rFonts w:ascii="新細明體" w:hAnsi="新細明體"/>
        </w:rPr>
      </w:pPr>
      <w:r w:rsidRPr="00DA3BC7">
        <w:rPr>
          <w:rFonts w:ascii="新細明體" w:hAnsi="新細明體" w:hint="eastAsia"/>
        </w:rPr>
        <w:t>而此同有虛誑的自性亂相，在自性見者，一切是不可通的。根本的困難，同源於</w:t>
      </w:r>
      <w:r w:rsidRPr="00DA3BC7">
        <w:rPr>
          <w:rFonts w:ascii="新細明體" w:hAnsi="新細明體" w:hint="eastAsia"/>
          <w:b/>
        </w:rPr>
        <w:t>緣起相依相待而有內在矛盾之特性</w:t>
      </w:r>
      <w:r w:rsidRPr="00DA3BC7">
        <w:rPr>
          <w:rFonts w:ascii="新細明體" w:hAnsi="新細明體" w:hint="eastAsia"/>
        </w:rPr>
        <w:t>。</w:t>
      </w:r>
    </w:p>
    <w:p w:rsidR="0050521E" w:rsidRDefault="00AA120F" w:rsidP="002F57EE">
      <w:pPr>
        <w:ind w:leftChars="100" w:left="240"/>
        <w:jc w:val="both"/>
        <w:rPr>
          <w:rFonts w:ascii="新細明體" w:hAnsi="新細明體"/>
        </w:rPr>
      </w:pPr>
      <w:r w:rsidRPr="006C6052">
        <w:rPr>
          <w:rFonts w:ascii="新細明體" w:hAnsi="新細明體" w:hint="eastAsia"/>
          <w:highlight w:val="yellow"/>
        </w:rPr>
        <w:t>眾</w:t>
      </w:r>
      <w:r w:rsidRPr="00DA3BC7">
        <w:rPr>
          <w:rFonts w:ascii="新細明體" w:hAnsi="新細明體" w:hint="eastAsia"/>
        </w:rPr>
        <w:t>生為無始以來的自性見所蔽，不但不能了達緣起的寂滅性，即於緣起的幻現，亦處處不通。</w:t>
      </w:r>
      <w:r w:rsidRPr="00525782">
        <w:rPr>
          <w:rFonts w:ascii="新細明體" w:hAnsi="新細明體" w:hint="eastAsia"/>
          <w:highlight w:val="yellow"/>
        </w:rPr>
        <w:t>佛</w:t>
      </w:r>
      <w:r w:rsidRPr="00DA3BC7">
        <w:rPr>
          <w:rFonts w:ascii="新細明體" w:hAnsi="新細明體" w:hint="eastAsia"/>
        </w:rPr>
        <w:t>告阿難：「</w:t>
      </w:r>
      <w:r w:rsidRPr="00DA3BC7">
        <w:rPr>
          <w:rFonts w:ascii="標楷體" w:eastAsia="標楷體" w:hAnsi="標楷體" w:hint="eastAsia"/>
        </w:rPr>
        <w:t>緣起甚深！</w:t>
      </w:r>
      <w:r w:rsidRPr="00DA3BC7">
        <w:rPr>
          <w:rFonts w:ascii="新細明體" w:hAnsi="新細明體" w:hint="eastAsia"/>
        </w:rPr>
        <w:t>」</w:t>
      </w:r>
      <w:r w:rsidRPr="00DA3BC7">
        <w:rPr>
          <w:rStyle w:val="a6"/>
          <w:rFonts w:ascii="Times New Roman" w:hAnsi="Times New Roman"/>
        </w:rPr>
        <w:footnoteReference w:id="661"/>
      </w:r>
      <w:r w:rsidRPr="00DA3BC7">
        <w:rPr>
          <w:rFonts w:ascii="新細明體" w:hAnsi="新細明體" w:hint="eastAsia"/>
        </w:rPr>
        <w:t>這如何能為分別自性妄執</w:t>
      </w:r>
      <w:r w:rsidRPr="00DA3BC7">
        <w:rPr>
          <w:rFonts w:ascii="新細明體" w:hAnsi="新細明體" w:hint="eastAsia"/>
        </w:rPr>
        <w:lastRenderedPageBreak/>
        <w:t>根深的外道解說呢！</w:t>
      </w:r>
    </w:p>
    <w:p w:rsidR="0050521E" w:rsidRPr="00DA3BC7" w:rsidRDefault="0050521E" w:rsidP="00AE3920">
      <w:pPr>
        <w:spacing w:beforeLines="30"/>
        <w:ind w:leftChars="50" w:left="120"/>
        <w:jc w:val="both"/>
        <w:rPr>
          <w:b/>
          <w:sz w:val="20"/>
          <w:szCs w:val="20"/>
          <w:bdr w:val="single" w:sz="4" w:space="0" w:color="auto"/>
        </w:rPr>
      </w:pPr>
      <w:r w:rsidRPr="0050521E">
        <w:rPr>
          <w:rFonts w:hAnsi="新細明體" w:hint="eastAsia"/>
          <w:b/>
          <w:color w:val="FF0000"/>
          <w:sz w:val="20"/>
          <w:szCs w:val="20"/>
          <w:highlight w:val="yellow"/>
          <w:bdr w:val="single" w:sz="4" w:space="0" w:color="auto"/>
        </w:rPr>
        <w:t>（貳）</w:t>
      </w:r>
      <w:r>
        <w:rPr>
          <w:rFonts w:hAnsi="新細明體" w:hint="eastAsia"/>
          <w:b/>
          <w:color w:val="FF0000"/>
          <w:sz w:val="20"/>
          <w:szCs w:val="20"/>
          <w:highlight w:val="yellow"/>
          <w:bdr w:val="single" w:sz="4" w:space="0" w:color="auto"/>
        </w:rPr>
        <w:t>「緣起性空」之深義</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14</w:t>
      </w:r>
      <w:r>
        <w:rPr>
          <w:rFonts w:ascii="Times New Roman" w:hAnsi="Times New Roman" w:hint="eastAsia"/>
          <w:sz w:val="20"/>
          <w:szCs w:val="20"/>
        </w:rPr>
        <w:t>3</w:t>
      </w:r>
      <w:r w:rsidRPr="00DA3BC7">
        <w:rPr>
          <w:sz w:val="20"/>
          <w:szCs w:val="20"/>
        </w:rPr>
        <w:t>）</w:t>
      </w:r>
    </w:p>
    <w:p w:rsidR="0050521E" w:rsidRDefault="00AA120F" w:rsidP="002E5DD4">
      <w:pPr>
        <w:ind w:leftChars="50" w:left="120"/>
        <w:jc w:val="both"/>
        <w:rPr>
          <w:rFonts w:ascii="新細明體" w:hAnsi="新細明體"/>
        </w:rPr>
      </w:pPr>
      <w:r w:rsidRPr="00DA3BC7">
        <w:rPr>
          <w:rFonts w:ascii="新細明體" w:hAnsi="新細明體" w:hint="eastAsia"/>
        </w:rPr>
        <w:t>外道問佛「</w:t>
      </w:r>
      <w:r w:rsidRPr="0050521E">
        <w:rPr>
          <w:rFonts w:ascii="標楷體" w:eastAsia="標楷體" w:hAnsi="標楷體" w:hint="eastAsia"/>
        </w:rPr>
        <w:t>苦自作耶</w:t>
      </w:r>
      <w:r w:rsidRPr="00DA3BC7">
        <w:rPr>
          <w:rFonts w:ascii="新細明體" w:hAnsi="新細明體" w:hint="eastAsia"/>
        </w:rPr>
        <w:t>」四句，佛一概不答。</w:t>
      </w:r>
      <w:r w:rsidRPr="00DA3BC7">
        <w:rPr>
          <w:rStyle w:val="a6"/>
          <w:rFonts w:ascii="Times New Roman" w:hAnsi="Times New Roman"/>
        </w:rPr>
        <w:footnoteReference w:id="662"/>
      </w:r>
      <w:r w:rsidRPr="00DA3BC7">
        <w:rPr>
          <w:rFonts w:ascii="新細明體" w:hAnsi="新細明體" w:hint="eastAsia"/>
        </w:rPr>
        <w:t>龍樹即解說為「</w:t>
      </w:r>
      <w:r w:rsidRPr="00DA3BC7">
        <w:rPr>
          <w:rFonts w:ascii="標楷體" w:eastAsia="標楷體" w:hAnsi="標楷體" w:hint="eastAsia"/>
        </w:rPr>
        <w:t>即是說空</w:t>
      </w:r>
      <w:r w:rsidRPr="00DA3BC7">
        <w:rPr>
          <w:rFonts w:ascii="新細明體" w:hAnsi="新細明體" w:hint="eastAsia"/>
        </w:rPr>
        <w:t>」；「</w:t>
      </w:r>
      <w:r w:rsidRPr="00DA3BC7">
        <w:rPr>
          <w:rFonts w:ascii="標楷體" w:eastAsia="標楷體" w:hAnsi="標楷體" w:hint="eastAsia"/>
        </w:rPr>
        <w:t>從眾因緣生，即是說空義</w:t>
      </w:r>
      <w:r w:rsidRPr="00DA3BC7">
        <w:rPr>
          <w:rFonts w:ascii="新細明體" w:hAnsi="新細明體" w:hint="eastAsia"/>
        </w:rPr>
        <w:t>」（《十二門論》</w:t>
      </w:r>
      <w:r w:rsidR="006C6052">
        <w:rPr>
          <w:rFonts w:ascii="新細明體" w:hAnsi="新細明體" w:hint="eastAsia"/>
        </w:rPr>
        <w:t>〈</w:t>
      </w:r>
      <w:r w:rsidR="006C6052" w:rsidRPr="00DA3BC7">
        <w:rPr>
          <w:rFonts w:ascii="新細明體" w:hAnsi="新細明體" w:hint="eastAsia"/>
        </w:rPr>
        <w:t>觀作者門</w:t>
      </w:r>
      <w:r w:rsidR="006C6052">
        <w:rPr>
          <w:rFonts w:ascii="新細明體" w:hAnsi="新細明體" w:hint="eastAsia"/>
        </w:rPr>
        <w:t>〉</w:t>
      </w:r>
      <w:r w:rsidRPr="00DA3BC7">
        <w:rPr>
          <w:rFonts w:ascii="新細明體" w:hAnsi="新細明體" w:hint="eastAsia"/>
        </w:rPr>
        <w:t>）</w:t>
      </w:r>
      <w:r w:rsidR="002F57EE" w:rsidRPr="00DA3BC7">
        <w:rPr>
          <w:rFonts w:ascii="新細明體" w:hAnsi="新細明體" w:hint="eastAsia"/>
        </w:rPr>
        <w:t>。</w:t>
      </w:r>
      <w:r w:rsidRPr="00DA3BC7">
        <w:rPr>
          <w:rStyle w:val="a6"/>
          <w:rFonts w:ascii="Times New Roman" w:hAnsi="Times New Roman"/>
        </w:rPr>
        <w:footnoteReference w:id="663"/>
      </w:r>
    </w:p>
    <w:p w:rsidR="0050521E" w:rsidRPr="00DA3BC7" w:rsidRDefault="0050521E" w:rsidP="00AE3920">
      <w:pPr>
        <w:spacing w:beforeLines="30"/>
        <w:ind w:leftChars="50" w:left="120"/>
        <w:jc w:val="both"/>
        <w:rPr>
          <w:b/>
          <w:sz w:val="20"/>
          <w:szCs w:val="20"/>
          <w:bdr w:val="single" w:sz="4" w:space="0" w:color="auto"/>
        </w:rPr>
      </w:pPr>
      <w:r w:rsidRPr="0050521E">
        <w:rPr>
          <w:rFonts w:hAnsi="新細明體" w:hint="eastAsia"/>
          <w:b/>
          <w:color w:val="FF0000"/>
          <w:sz w:val="20"/>
          <w:szCs w:val="20"/>
          <w:highlight w:val="yellow"/>
          <w:bdr w:val="single" w:sz="4" w:space="0" w:color="auto"/>
        </w:rPr>
        <w:t>（</w:t>
      </w:r>
      <w:r>
        <w:rPr>
          <w:rFonts w:hAnsi="新細明體" w:hint="eastAsia"/>
          <w:b/>
          <w:color w:val="FF0000"/>
          <w:sz w:val="20"/>
          <w:szCs w:val="20"/>
          <w:highlight w:val="yellow"/>
          <w:bdr w:val="single" w:sz="4" w:space="0" w:color="auto"/>
        </w:rPr>
        <w:t>參</w:t>
      </w:r>
      <w:r w:rsidRPr="0050521E">
        <w:rPr>
          <w:rFonts w:hAnsi="新細明體" w:hint="eastAsia"/>
          <w:b/>
          <w:color w:val="FF0000"/>
          <w:sz w:val="20"/>
          <w:szCs w:val="20"/>
          <w:highlight w:val="yellow"/>
          <w:bdr w:val="single" w:sz="4" w:space="0" w:color="auto"/>
        </w:rPr>
        <w:t>）</w:t>
      </w:r>
      <w:r>
        <w:rPr>
          <w:rFonts w:hAnsi="新細明體" w:hint="eastAsia"/>
          <w:b/>
          <w:color w:val="FF0000"/>
          <w:sz w:val="20"/>
          <w:szCs w:val="20"/>
          <w:highlight w:val="yellow"/>
          <w:bdr w:val="single" w:sz="4" w:space="0" w:color="auto"/>
        </w:rPr>
        <w:t>結歸意趣</w:t>
      </w:r>
      <w:r w:rsidRPr="00DA3BC7">
        <w:rPr>
          <w:sz w:val="20"/>
          <w:szCs w:val="20"/>
        </w:rPr>
        <w:t>（</w:t>
      </w:r>
      <w:r w:rsidRPr="00DA3BC7">
        <w:rPr>
          <w:rFonts w:ascii="Times New Roman" w:hAnsi="Times New Roman"/>
          <w:sz w:val="20"/>
          <w:szCs w:val="20"/>
        </w:rPr>
        <w:t>p</w:t>
      </w:r>
      <w:r w:rsidRPr="00DA3BC7">
        <w:rPr>
          <w:sz w:val="20"/>
          <w:szCs w:val="20"/>
        </w:rPr>
        <w:t>.</w:t>
      </w:r>
      <w:r w:rsidRPr="00DA3BC7">
        <w:rPr>
          <w:rFonts w:ascii="Times New Roman" w:hAnsi="Times New Roman"/>
          <w:sz w:val="20"/>
          <w:szCs w:val="20"/>
        </w:rPr>
        <w:t>14</w:t>
      </w:r>
      <w:r>
        <w:rPr>
          <w:rFonts w:ascii="Times New Roman" w:hAnsi="Times New Roman" w:hint="eastAsia"/>
          <w:sz w:val="20"/>
          <w:szCs w:val="20"/>
        </w:rPr>
        <w:t>3</w:t>
      </w:r>
      <w:r w:rsidRPr="00DA3BC7">
        <w:rPr>
          <w:sz w:val="20"/>
          <w:szCs w:val="20"/>
        </w:rPr>
        <w:t>）</w:t>
      </w:r>
    </w:p>
    <w:p w:rsidR="00AA120F" w:rsidRPr="00DA3BC7" w:rsidRDefault="00AA120F" w:rsidP="002E5DD4">
      <w:pPr>
        <w:ind w:leftChars="50" w:left="120"/>
        <w:jc w:val="both"/>
        <w:rPr>
          <w:rFonts w:ascii="新細明體" w:hAnsi="新細明體"/>
          <w:sz w:val="20"/>
          <w:szCs w:val="20"/>
          <w:bdr w:val="single" w:sz="4" w:space="0" w:color="auto"/>
        </w:rPr>
      </w:pPr>
      <w:r w:rsidRPr="0050521E">
        <w:rPr>
          <w:rFonts w:ascii="新細明體" w:hAnsi="新細明體" w:hint="eastAsia"/>
          <w:highlight w:val="yellow"/>
        </w:rPr>
        <w:t>如</w:t>
      </w:r>
      <w:r w:rsidRPr="00DA3BC7">
        <w:rPr>
          <w:rFonts w:ascii="新細明體" w:hAnsi="新細明體" w:hint="eastAsia"/>
        </w:rPr>
        <w:t>來的默然不答，意趣在此，這那裏是有所得的大小乘學者所知！</w:t>
      </w:r>
    </w:p>
    <w:p w:rsidR="00AA120F" w:rsidRPr="00DA3BC7" w:rsidRDefault="00FC5046" w:rsidP="00AE3920">
      <w:pPr>
        <w:spacing w:beforeLines="30"/>
        <w:jc w:val="both"/>
        <w:rPr>
          <w:rFonts w:ascii="新細明體" w:hAnsi="新細明體"/>
        </w:rPr>
      </w:pPr>
      <w:r w:rsidRPr="00DA3BC7">
        <w:rPr>
          <w:rFonts w:hAnsi="新細明體" w:hint="eastAsia"/>
          <w:b/>
          <w:sz w:val="20"/>
          <w:szCs w:val="20"/>
          <w:bdr w:val="single" w:sz="4" w:space="0" w:color="auto"/>
        </w:rPr>
        <w:t>參</w:t>
      </w:r>
      <w:r w:rsidR="00AA120F" w:rsidRPr="00DA3BC7">
        <w:rPr>
          <w:rFonts w:hAnsi="新細明體" w:hint="eastAsia"/>
          <w:b/>
          <w:sz w:val="20"/>
          <w:szCs w:val="20"/>
          <w:bdr w:val="single" w:sz="4" w:space="0" w:color="auto"/>
        </w:rPr>
        <w:t>、結</w:t>
      </w:r>
      <w:r w:rsidR="00AA120F" w:rsidRPr="0050521E">
        <w:rPr>
          <w:rFonts w:hAnsi="新細明體" w:hint="eastAsia"/>
          <w:b/>
          <w:sz w:val="20"/>
          <w:szCs w:val="20"/>
          <w:highlight w:val="yellow"/>
          <w:bdr w:val="single" w:sz="4" w:space="0" w:color="auto"/>
        </w:rPr>
        <w:t>說</w:t>
      </w:r>
      <w:r w:rsidR="00AA120F" w:rsidRPr="00DA3BC7">
        <w:rPr>
          <w:rFonts w:hint="eastAsia"/>
          <w:sz w:val="20"/>
          <w:szCs w:val="20"/>
        </w:rPr>
        <w:t>（</w:t>
      </w:r>
      <w:r w:rsidR="00AA120F" w:rsidRPr="00DA3BC7">
        <w:rPr>
          <w:rFonts w:ascii="Times New Roman" w:hAnsi="Times New Roman" w:hint="eastAsia"/>
          <w:sz w:val="20"/>
          <w:szCs w:val="20"/>
        </w:rPr>
        <w:t>p</w:t>
      </w:r>
      <w:r w:rsidR="00AA120F" w:rsidRPr="00DA3BC7">
        <w:rPr>
          <w:rFonts w:hint="eastAsia"/>
          <w:sz w:val="20"/>
          <w:szCs w:val="20"/>
        </w:rPr>
        <w:t>.</w:t>
      </w:r>
      <w:r w:rsidR="00AA120F" w:rsidRPr="00DA3BC7">
        <w:rPr>
          <w:rFonts w:ascii="Times New Roman" w:hAnsi="Times New Roman" w:hint="eastAsia"/>
          <w:sz w:val="20"/>
          <w:szCs w:val="20"/>
        </w:rPr>
        <w:t>143</w:t>
      </w:r>
      <w:r w:rsidR="00AA120F" w:rsidRPr="00DA3BC7">
        <w:rPr>
          <w:rFonts w:hint="eastAsia"/>
          <w:sz w:val="20"/>
          <w:szCs w:val="20"/>
        </w:rPr>
        <w:t>）</w:t>
      </w:r>
    </w:p>
    <w:p w:rsidR="00AA120F" w:rsidRPr="00DA3BC7" w:rsidRDefault="00AA120F" w:rsidP="008E2BBC">
      <w:pPr>
        <w:jc w:val="both"/>
        <w:rPr>
          <w:rFonts w:ascii="新細明體" w:hAnsi="新細明體"/>
        </w:rPr>
        <w:sectPr w:rsidR="00AA120F" w:rsidRPr="00DA3BC7" w:rsidSect="004F4714">
          <w:headerReference w:type="default" r:id="rId53"/>
          <w:footnotePr>
            <w:numRestart w:val="eachSect"/>
          </w:footnotePr>
          <w:pgSz w:w="10773" w:h="14742" w:code="155"/>
          <w:pgMar w:top="1418" w:right="1418" w:bottom="1418" w:left="1418" w:header="851" w:footer="992" w:gutter="0"/>
          <w:cols w:space="425"/>
          <w:docGrid w:type="lines" w:linePitch="360"/>
        </w:sectPr>
      </w:pPr>
      <w:r w:rsidRPr="00DA3BC7">
        <w:rPr>
          <w:rFonts w:ascii="新細明體" w:hAnsi="新細明體" w:hint="eastAsia"/>
        </w:rPr>
        <w:t>緣起甚深，緣起的本性寂滅甚深更甚深，所以體見畢竟空寂，了達緣起如幻，大不容易！在聞思學習時，即應把握自性空寂不可得，而幻現為緣起的相待</w:t>
      </w:r>
      <w:r w:rsidRPr="00DA3BC7">
        <w:rPr>
          <w:rFonts w:ascii="新細明體" w:hAnsi="新細明體" w:hint="eastAsia"/>
        </w:rPr>
        <w:lastRenderedPageBreak/>
        <w:t>義，</w:t>
      </w:r>
      <w:r w:rsidRPr="00DA3BC7">
        <w:t>庶</w:t>
      </w:r>
      <w:r w:rsidRPr="00DA3BC7">
        <w:rPr>
          <w:rStyle w:val="a6"/>
          <w:rFonts w:ascii="Times New Roman" w:hAnsi="Times New Roman"/>
        </w:rPr>
        <w:footnoteReference w:id="664"/>
      </w:r>
      <w:r w:rsidRPr="00DA3BC7">
        <w:t>可</w:t>
      </w:r>
      <w:r w:rsidRPr="00DA3BC7">
        <w:rPr>
          <w:rFonts w:ascii="新細明體" w:hAnsi="新細明體" w:hint="eastAsia"/>
        </w:rPr>
        <w:t>依此深入，不失中道。</w:t>
      </w:r>
    </w:p>
    <w:p w:rsidR="00AA120F" w:rsidRPr="00D41C1A" w:rsidRDefault="00AA120F" w:rsidP="008E2BBC">
      <w:pPr>
        <w:pStyle w:val="1"/>
      </w:pPr>
      <w:bookmarkStart w:id="110" w:name="_Toc405499785"/>
      <w:r w:rsidRPr="00D41C1A">
        <w:lastRenderedPageBreak/>
        <w:t>第</w:t>
      </w:r>
      <w:r w:rsidRPr="00D41C1A">
        <w:rPr>
          <w:rFonts w:hint="eastAsia"/>
        </w:rPr>
        <w:t>八</w:t>
      </w:r>
      <w:r w:rsidRPr="00D41C1A">
        <w:t>章</w:t>
      </w:r>
      <w:r w:rsidRPr="00D41C1A">
        <w:rPr>
          <w:rFonts w:hint="eastAsia"/>
        </w:rPr>
        <w:t>、中觀之諸法實相</w:t>
      </w:r>
      <w:bookmarkEnd w:id="110"/>
    </w:p>
    <w:p w:rsidR="00AA120F" w:rsidRPr="00D41C1A" w:rsidRDefault="00AA120F" w:rsidP="008E2BBC">
      <w:pPr>
        <w:pStyle w:val="2"/>
      </w:pPr>
      <w:bookmarkStart w:id="111" w:name="_Toc405499786"/>
      <w:r w:rsidRPr="00D41C1A">
        <w:t>第一節、</w:t>
      </w:r>
      <w:r w:rsidRPr="00D41C1A">
        <w:rPr>
          <w:rFonts w:hint="eastAsia"/>
        </w:rPr>
        <w:t>總說</w:t>
      </w:r>
      <w:bookmarkEnd w:id="111"/>
    </w:p>
    <w:p w:rsidR="00AA120F" w:rsidRPr="00DA3BC7" w:rsidRDefault="00AA120F" w:rsidP="008E2BBC">
      <w:pPr>
        <w:jc w:val="center"/>
        <w:rPr>
          <w:rFonts w:ascii="Times New Roman" w:eastAsia="標楷體" w:hAnsi="Times New Roman"/>
        </w:rPr>
      </w:pPr>
      <w:r w:rsidRPr="00D41C1A">
        <w:rPr>
          <w:rFonts w:ascii="Times New Roman" w:eastAsia="標楷體" w:hAnsi="Times New Roman"/>
        </w:rPr>
        <w:t>（</w:t>
      </w:r>
      <w:r w:rsidRPr="00D41C1A">
        <w:rPr>
          <w:rFonts w:ascii="Times New Roman" w:eastAsia="標楷體" w:hAnsi="Times New Roman"/>
        </w:rPr>
        <w:t>pp.1</w:t>
      </w:r>
      <w:r w:rsidRPr="00D41C1A">
        <w:rPr>
          <w:rFonts w:ascii="Times New Roman" w:eastAsia="標楷體" w:hAnsi="Times New Roman" w:hint="eastAsia"/>
        </w:rPr>
        <w:t>45</w:t>
      </w:r>
      <w:r w:rsidRPr="00D41C1A">
        <w:rPr>
          <w:rFonts w:ascii="Times New Roman" w:eastAsia="標楷體" w:hAnsi="Times New Roman"/>
        </w:rPr>
        <w:t>-1</w:t>
      </w:r>
      <w:r w:rsidRPr="00D41C1A">
        <w:rPr>
          <w:rFonts w:ascii="Times New Roman" w:eastAsia="標楷體" w:hAnsi="Times New Roman" w:hint="eastAsia"/>
        </w:rPr>
        <w:t>4</w:t>
      </w:r>
      <w:r w:rsidRPr="00D41C1A">
        <w:rPr>
          <w:rFonts w:ascii="Times New Roman" w:eastAsia="標楷體" w:hAnsi="Times New Roman"/>
        </w:rPr>
        <w:t>7</w:t>
      </w:r>
      <w:r w:rsidRPr="00D41C1A">
        <w:rPr>
          <w:rFonts w:ascii="Times New Roman" w:eastAsia="標楷體" w:hAnsi="Times New Roman"/>
        </w:rPr>
        <w:t>）</w:t>
      </w:r>
    </w:p>
    <w:p w:rsidR="00AA120F" w:rsidRPr="00DA3BC7" w:rsidRDefault="00AA120F" w:rsidP="008E2BBC">
      <w:pPr>
        <w:pStyle w:val="Author"/>
      </w:pPr>
    </w:p>
    <w:p w:rsidR="00AA120F" w:rsidRPr="00DA3BC7" w:rsidRDefault="00AA120F" w:rsidP="00AE3920">
      <w:pPr>
        <w:spacing w:beforeLines="50"/>
        <w:jc w:val="both"/>
        <w:rPr>
          <w:rFonts w:ascii="Times New Roman" w:hAnsi="Times New Roman"/>
          <w:b/>
          <w:sz w:val="20"/>
          <w:szCs w:val="20"/>
          <w:bdr w:val="single" w:sz="4" w:space="0" w:color="auto"/>
        </w:rPr>
      </w:pPr>
      <w:r w:rsidRPr="00DA3BC7">
        <w:rPr>
          <w:rFonts w:ascii="Times New Roman" w:hAnsi="Times New Roman" w:hint="eastAsia"/>
          <w:b/>
          <w:sz w:val="20"/>
          <w:szCs w:val="26"/>
          <w:bdr w:val="single" w:sz="4" w:space="0" w:color="auto"/>
        </w:rPr>
        <w:t>壹</w:t>
      </w:r>
      <w:r w:rsidRPr="00DA3BC7">
        <w:rPr>
          <w:rFonts w:ascii="Times New Roman" w:hAnsi="Times New Roman"/>
          <w:b/>
          <w:sz w:val="20"/>
          <w:szCs w:val="26"/>
          <w:bdr w:val="single" w:sz="4" w:space="0" w:color="auto"/>
        </w:rPr>
        <w:t>、</w:t>
      </w:r>
      <w:r w:rsidR="007450FC">
        <w:rPr>
          <w:rFonts w:ascii="Times New Roman" w:hAnsi="Times New Roman" w:hint="eastAsia"/>
          <w:b/>
          <w:bCs/>
          <w:color w:val="FF0000"/>
          <w:sz w:val="20"/>
          <w:szCs w:val="26"/>
          <w:highlight w:val="yellow"/>
          <w:bdr w:val="single" w:sz="4" w:space="0" w:color="auto"/>
        </w:rPr>
        <w:t>總要</w:t>
      </w:r>
      <w:r w:rsidRPr="00DA3BC7">
        <w:rPr>
          <w:rFonts w:ascii="Times New Roman" w:hAnsi="Times New Roman" w:hint="eastAsia"/>
          <w:sz w:val="20"/>
          <w:szCs w:val="26"/>
        </w:rPr>
        <w:t>（</w:t>
      </w:r>
      <w:r w:rsidRPr="00DA3BC7">
        <w:rPr>
          <w:rFonts w:ascii="Times New Roman" w:hAnsi="Times New Roman" w:hint="eastAsia"/>
          <w:sz w:val="20"/>
          <w:szCs w:val="26"/>
        </w:rPr>
        <w:t>p.145</w:t>
      </w:r>
      <w:r w:rsidRPr="00DA3BC7">
        <w:rPr>
          <w:rFonts w:ascii="Times New Roman" w:hAnsi="Times New Roman" w:hint="eastAsia"/>
          <w:sz w:val="20"/>
          <w:szCs w:val="26"/>
        </w:rPr>
        <w:t>）</w:t>
      </w:r>
    </w:p>
    <w:p w:rsidR="00AA120F" w:rsidRPr="00DA3BC7" w:rsidRDefault="00AA120F" w:rsidP="00000815">
      <w:pPr>
        <w:jc w:val="both"/>
      </w:pPr>
      <w:r w:rsidRPr="00DA3BC7">
        <w:rPr>
          <w:rFonts w:hint="eastAsia"/>
        </w:rPr>
        <w:t>法相，即諸法的相狀、義相與體相。欲於諸法得如實知，即應於諸法相作透徹的觀察。</w:t>
      </w:r>
    </w:p>
    <w:p w:rsidR="007450FC" w:rsidRPr="007450FC" w:rsidRDefault="007450FC" w:rsidP="00AE3920">
      <w:pPr>
        <w:tabs>
          <w:tab w:val="left" w:pos="5358"/>
        </w:tabs>
        <w:spacing w:beforeLines="30"/>
        <w:jc w:val="both"/>
        <w:rPr>
          <w:rFonts w:ascii="Times New Roman" w:hAnsi="Times New Roman"/>
          <w:b/>
          <w:color w:val="FF0000"/>
          <w:sz w:val="20"/>
          <w:szCs w:val="20"/>
          <w:highlight w:val="yellow"/>
          <w:bdr w:val="single" w:sz="4" w:space="0" w:color="auto"/>
        </w:rPr>
      </w:pPr>
      <w:r w:rsidRPr="007450FC">
        <w:rPr>
          <w:rFonts w:ascii="Times New Roman" w:hAnsi="Times New Roman" w:hint="eastAsia"/>
          <w:b/>
          <w:color w:val="FF0000"/>
          <w:sz w:val="20"/>
          <w:szCs w:val="20"/>
          <w:highlight w:val="yellow"/>
          <w:bdr w:val="single" w:sz="4" w:space="0" w:color="auto"/>
        </w:rPr>
        <w:t>貳、辨明</w:t>
      </w:r>
      <w:r w:rsidRPr="00DA3BC7">
        <w:rPr>
          <w:rFonts w:ascii="Times New Roman" w:hAnsi="Times New Roman" w:hint="eastAsia"/>
          <w:sz w:val="20"/>
          <w:szCs w:val="26"/>
        </w:rPr>
        <w:t>（</w:t>
      </w:r>
      <w:r>
        <w:rPr>
          <w:rFonts w:ascii="Times New Roman" w:hAnsi="Times New Roman" w:hint="eastAsia"/>
          <w:sz w:val="20"/>
          <w:szCs w:val="26"/>
        </w:rPr>
        <w:t>p</w:t>
      </w:r>
      <w:r w:rsidRPr="00DA3BC7">
        <w:rPr>
          <w:rFonts w:ascii="Times New Roman" w:hAnsi="Times New Roman" w:hint="eastAsia"/>
          <w:sz w:val="20"/>
          <w:szCs w:val="26"/>
        </w:rPr>
        <w:t>p.145</w:t>
      </w:r>
      <w:r>
        <w:rPr>
          <w:rFonts w:ascii="Times New Roman" w:hAnsi="Times New Roman" w:hint="eastAsia"/>
          <w:sz w:val="20"/>
          <w:szCs w:val="26"/>
        </w:rPr>
        <w:t>-147</w:t>
      </w:r>
      <w:r w:rsidRPr="00DA3BC7">
        <w:rPr>
          <w:rFonts w:ascii="Times New Roman" w:hAnsi="Times New Roman" w:hint="eastAsia"/>
          <w:sz w:val="20"/>
          <w:szCs w:val="26"/>
        </w:rPr>
        <w:t>）</w:t>
      </w:r>
    </w:p>
    <w:p w:rsidR="00AA120F" w:rsidRDefault="00AA120F" w:rsidP="00D41C1A">
      <w:pPr>
        <w:tabs>
          <w:tab w:val="left" w:pos="5358"/>
        </w:tabs>
        <w:ind w:leftChars="50" w:left="120"/>
        <w:jc w:val="both"/>
        <w:rPr>
          <w:rFonts w:ascii="Times New Roman" w:hAnsi="Times New Roman"/>
          <w:sz w:val="20"/>
          <w:szCs w:val="26"/>
        </w:rPr>
      </w:pPr>
      <w:r w:rsidRPr="007450FC">
        <w:rPr>
          <w:rFonts w:ascii="Times New Roman" w:hAnsi="Times New Roman"/>
          <w:b/>
          <w:color w:val="FF0000"/>
          <w:sz w:val="20"/>
          <w:szCs w:val="20"/>
          <w:highlight w:val="yellow"/>
          <w:bdr w:val="single" w:sz="4" w:space="0" w:color="auto"/>
        </w:rPr>
        <w:t>（</w:t>
      </w:r>
      <w:r w:rsidR="007450FC" w:rsidRPr="007450FC">
        <w:rPr>
          <w:rFonts w:ascii="Times New Roman" w:hAnsi="Times New Roman" w:hint="eastAsia"/>
          <w:b/>
          <w:color w:val="FF0000"/>
          <w:sz w:val="20"/>
          <w:szCs w:val="20"/>
          <w:highlight w:val="yellow"/>
          <w:bdr w:val="single" w:sz="4" w:space="0" w:color="auto"/>
        </w:rPr>
        <w:t>壹</w:t>
      </w:r>
      <w:r w:rsidRPr="007450FC">
        <w:rPr>
          <w:rFonts w:ascii="Times New Roman" w:hAnsi="Times New Roman"/>
          <w:b/>
          <w:color w:val="FF0000"/>
          <w:sz w:val="20"/>
          <w:szCs w:val="20"/>
          <w:highlight w:val="yellow"/>
          <w:bdr w:val="single" w:sz="4" w:space="0" w:color="auto"/>
        </w:rPr>
        <w:t>）</w:t>
      </w:r>
      <w:r w:rsidR="007450FC" w:rsidRPr="007450FC">
        <w:rPr>
          <w:rFonts w:ascii="Times New Roman" w:hAnsi="Times New Roman" w:hint="eastAsia"/>
          <w:b/>
          <w:color w:val="FF0000"/>
          <w:sz w:val="20"/>
          <w:szCs w:val="20"/>
          <w:highlight w:val="yellow"/>
          <w:bdr w:val="single" w:sz="4" w:space="0" w:color="auto"/>
        </w:rPr>
        <w:t>部派之說</w:t>
      </w:r>
      <w:r w:rsidRPr="00DA3BC7">
        <w:rPr>
          <w:rFonts w:ascii="Times New Roman" w:hAnsi="Times New Roman" w:hint="eastAsia"/>
          <w:sz w:val="20"/>
          <w:szCs w:val="26"/>
        </w:rPr>
        <w:t>（</w:t>
      </w:r>
      <w:r w:rsidRPr="00DA3BC7">
        <w:rPr>
          <w:rFonts w:ascii="Times New Roman" w:hAnsi="Times New Roman" w:hint="eastAsia"/>
          <w:sz w:val="20"/>
          <w:szCs w:val="26"/>
        </w:rPr>
        <w:t>p.145</w:t>
      </w:r>
      <w:r w:rsidRPr="00DA3BC7">
        <w:rPr>
          <w:rFonts w:ascii="Times New Roman" w:hAnsi="Times New Roman" w:hint="eastAsia"/>
          <w:sz w:val="20"/>
          <w:szCs w:val="26"/>
        </w:rPr>
        <w:t>）</w:t>
      </w:r>
    </w:p>
    <w:p w:rsidR="007450FC" w:rsidRPr="00DA3BC7" w:rsidRDefault="007450FC" w:rsidP="00D41C1A">
      <w:pPr>
        <w:tabs>
          <w:tab w:val="left" w:pos="5358"/>
        </w:tabs>
        <w:ind w:leftChars="100" w:left="24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一、「二相」說</w:t>
      </w:r>
      <w:r w:rsidRPr="00DA3BC7">
        <w:rPr>
          <w:rFonts w:ascii="Times New Roman" w:hAnsi="Times New Roman" w:hint="eastAsia"/>
          <w:sz w:val="20"/>
          <w:szCs w:val="26"/>
        </w:rPr>
        <w:t>（</w:t>
      </w:r>
      <w:r w:rsidRPr="00DA3BC7">
        <w:rPr>
          <w:rFonts w:ascii="Times New Roman" w:hAnsi="Times New Roman" w:hint="eastAsia"/>
          <w:sz w:val="20"/>
          <w:szCs w:val="26"/>
        </w:rPr>
        <w:t>p.145</w:t>
      </w:r>
      <w:r w:rsidRPr="00DA3BC7">
        <w:rPr>
          <w:rFonts w:ascii="Times New Roman" w:hAnsi="Times New Roman" w:hint="eastAsia"/>
          <w:sz w:val="20"/>
          <w:szCs w:val="26"/>
        </w:rPr>
        <w:t>）</w:t>
      </w:r>
    </w:p>
    <w:p w:rsidR="00AA120F" w:rsidRPr="00DA3BC7" w:rsidRDefault="00AA120F" w:rsidP="00D41C1A">
      <w:pPr>
        <w:ind w:leftChars="50" w:left="120"/>
        <w:jc w:val="both"/>
        <w:rPr>
          <w:rFonts w:ascii="Times New Roman" w:hAnsi="Times New Roman"/>
        </w:rPr>
      </w:pPr>
      <w:r w:rsidRPr="00DA3BC7">
        <w:rPr>
          <w:rFonts w:hint="eastAsia"/>
        </w:rPr>
        <w:t>阿毘曇，即是以智慧審觀諸法的自相、共相。如《阿毘曇心論》發端</w:t>
      </w:r>
      <w:r w:rsidRPr="00DA3BC7">
        <w:rPr>
          <w:rStyle w:val="a6"/>
          <w:rFonts w:ascii="Times New Roman" w:hAnsi="Times New Roman"/>
        </w:rPr>
        <w:footnoteReference w:id="665"/>
      </w:r>
      <w:r w:rsidRPr="00DA3BC7">
        <w:rPr>
          <w:rFonts w:ascii="Times New Roman" w:hAnsi="Times New Roman"/>
        </w:rPr>
        <w:t>就說：「</w:t>
      </w:r>
      <w:r w:rsidRPr="00DA3BC7">
        <w:rPr>
          <w:rFonts w:ascii="Times New Roman" w:eastAsia="標楷體" w:hAnsi="Times New Roman"/>
        </w:rPr>
        <w:t>能知諸法自相、共相，名為佛</w:t>
      </w:r>
      <w:r w:rsidRPr="00DA3BC7">
        <w:rPr>
          <w:rFonts w:ascii="Times New Roman" w:hAnsi="Times New Roman"/>
        </w:rPr>
        <w:t>。」</w:t>
      </w:r>
      <w:r w:rsidRPr="00DA3BC7">
        <w:rPr>
          <w:rStyle w:val="a6"/>
          <w:rFonts w:ascii="Times New Roman" w:hAnsi="Times New Roman"/>
        </w:rPr>
        <w:footnoteReference w:id="666"/>
      </w:r>
      <w:r w:rsidRPr="00DA3BC7">
        <w:rPr>
          <w:rFonts w:ascii="Times New Roman" w:hAnsi="Times New Roman"/>
        </w:rPr>
        <w:t>所以說佛有兩種智：</w:t>
      </w:r>
    </w:p>
    <w:p w:rsidR="00AA120F" w:rsidRPr="00DA3BC7" w:rsidRDefault="00AA120F" w:rsidP="00AE3920">
      <w:pPr>
        <w:spacing w:beforeLines="20"/>
        <w:ind w:leftChars="50" w:left="120"/>
        <w:jc w:val="both"/>
        <w:rPr>
          <w:rFonts w:ascii="Times New Roman" w:hAnsi="Times New Roman"/>
        </w:rPr>
      </w:pPr>
      <w:r w:rsidRPr="00DA3BC7">
        <w:rPr>
          <w:rFonts w:ascii="Times New Roman" w:hAnsi="Times New Roman"/>
        </w:rPr>
        <w:t>一、</w:t>
      </w:r>
      <w:r w:rsidRPr="00DA3BC7">
        <w:rPr>
          <w:rFonts w:ascii="Times New Roman" w:hAnsi="Times New Roman"/>
          <w:b/>
        </w:rPr>
        <w:t>總相智</w:t>
      </w:r>
      <w:r w:rsidRPr="00DA3BC7">
        <w:rPr>
          <w:rFonts w:ascii="Times New Roman" w:hAnsi="Times New Roman"/>
        </w:rPr>
        <w:t>，是</w:t>
      </w:r>
      <w:r w:rsidRPr="00DA3BC7">
        <w:rPr>
          <w:rFonts w:ascii="Times New Roman" w:hAnsi="Times New Roman"/>
          <w:b/>
        </w:rPr>
        <w:t>知諸法共相</w:t>
      </w:r>
      <w:r w:rsidRPr="00DA3BC7">
        <w:rPr>
          <w:rFonts w:ascii="Times New Roman" w:hAnsi="Times New Roman"/>
        </w:rPr>
        <w:t>的；</w:t>
      </w:r>
    </w:p>
    <w:p w:rsidR="00AA120F" w:rsidRPr="00DA3BC7" w:rsidRDefault="00AA120F" w:rsidP="00AE3920">
      <w:pPr>
        <w:spacing w:beforeLines="20"/>
        <w:ind w:leftChars="50" w:left="120"/>
        <w:jc w:val="both"/>
        <w:rPr>
          <w:rFonts w:ascii="Times New Roman" w:hAnsi="Times New Roman"/>
        </w:rPr>
      </w:pPr>
      <w:r w:rsidRPr="00DA3BC7">
        <w:rPr>
          <w:rFonts w:ascii="Times New Roman" w:hAnsi="Times New Roman"/>
        </w:rPr>
        <w:t>二、</w:t>
      </w:r>
      <w:r w:rsidRPr="00DA3BC7">
        <w:rPr>
          <w:rFonts w:ascii="Times New Roman" w:hAnsi="Times New Roman"/>
          <w:b/>
        </w:rPr>
        <w:t>別相智</w:t>
      </w:r>
      <w:r w:rsidRPr="00DA3BC7">
        <w:rPr>
          <w:rFonts w:ascii="Times New Roman" w:hAnsi="Times New Roman"/>
        </w:rPr>
        <w:t>，是</w:t>
      </w:r>
      <w:r w:rsidRPr="00DA3BC7">
        <w:rPr>
          <w:rFonts w:ascii="Times New Roman" w:hAnsi="Times New Roman"/>
          <w:b/>
        </w:rPr>
        <w:t>知諸法自相</w:t>
      </w:r>
      <w:r w:rsidRPr="00DA3BC7">
        <w:rPr>
          <w:rFonts w:ascii="Times New Roman" w:hAnsi="Times New Roman"/>
        </w:rPr>
        <w:t>的。</w:t>
      </w:r>
    </w:p>
    <w:p w:rsidR="00AA120F" w:rsidRPr="00DA3BC7" w:rsidRDefault="00AA120F" w:rsidP="00AE3920">
      <w:pPr>
        <w:spacing w:beforeLines="20"/>
        <w:ind w:leftChars="50" w:left="120"/>
        <w:jc w:val="both"/>
        <w:rPr>
          <w:rFonts w:ascii="Times New Roman" w:hAnsi="Times New Roman"/>
          <w:b/>
          <w:sz w:val="20"/>
          <w:szCs w:val="20"/>
          <w:bdr w:val="single" w:sz="4" w:space="0" w:color="auto"/>
        </w:rPr>
      </w:pPr>
      <w:r w:rsidRPr="00DA3BC7">
        <w:rPr>
          <w:rFonts w:ascii="Times New Roman" w:hAnsi="Times New Roman"/>
        </w:rPr>
        <w:t>佛弟子隨佛修學，於諸法作事理的深廣觀察，其後即成為論藏。所以說：阿毘達磨（論藏）</w:t>
      </w:r>
      <w:r w:rsidRPr="00DA3BC7">
        <w:rPr>
          <w:rFonts w:ascii="Times New Roman" w:hAnsi="Times New Roman"/>
          <w:b/>
        </w:rPr>
        <w:t>不違法相</w:t>
      </w:r>
      <w:r w:rsidRPr="00DA3BC7">
        <w:rPr>
          <w:rFonts w:ascii="Times New Roman" w:hAnsi="Times New Roman"/>
        </w:rPr>
        <w:t>，順法相而知其甚深廣大。</w:t>
      </w:r>
    </w:p>
    <w:p w:rsidR="007450FC" w:rsidRPr="00DA3BC7" w:rsidRDefault="007450FC" w:rsidP="00D41C1A">
      <w:pPr>
        <w:tabs>
          <w:tab w:val="left" w:pos="5358"/>
        </w:tabs>
        <w:ind w:leftChars="30" w:left="72"/>
        <w:jc w:val="both"/>
        <w:rPr>
          <w:rFonts w:ascii="Times New Roman" w:hAnsi="Times New Roman"/>
          <w:b/>
          <w:sz w:val="20"/>
          <w:szCs w:val="20"/>
          <w:bdr w:val="single" w:sz="4" w:space="0" w:color="auto"/>
        </w:rPr>
      </w:pPr>
      <w:r w:rsidRPr="007450FC">
        <w:rPr>
          <w:rFonts w:ascii="Times New Roman" w:hAnsi="Times New Roman" w:hint="eastAsia"/>
          <w:b/>
          <w:color w:val="FF0000"/>
          <w:sz w:val="20"/>
          <w:szCs w:val="20"/>
          <w:highlight w:val="yellow"/>
          <w:bdr w:val="single" w:sz="4" w:space="0" w:color="auto"/>
        </w:rPr>
        <w:t>二、「</w:t>
      </w:r>
      <w:r>
        <w:rPr>
          <w:rFonts w:ascii="Times New Roman" w:hAnsi="Times New Roman" w:hint="eastAsia"/>
          <w:b/>
          <w:color w:val="FF0000"/>
          <w:sz w:val="20"/>
          <w:szCs w:val="20"/>
          <w:highlight w:val="yellow"/>
          <w:bdr w:val="single" w:sz="4" w:space="0" w:color="auto"/>
        </w:rPr>
        <w:t>七相」說</w:t>
      </w:r>
      <w:r w:rsidRPr="00DA3BC7">
        <w:rPr>
          <w:rFonts w:ascii="Times New Roman" w:hAnsi="Times New Roman" w:hint="eastAsia"/>
          <w:sz w:val="20"/>
          <w:szCs w:val="26"/>
        </w:rPr>
        <w:t>（</w:t>
      </w:r>
      <w:r w:rsidRPr="00DA3BC7">
        <w:rPr>
          <w:rFonts w:ascii="Times New Roman" w:hAnsi="Times New Roman" w:hint="eastAsia"/>
          <w:sz w:val="20"/>
          <w:szCs w:val="26"/>
        </w:rPr>
        <w:t>p.145</w:t>
      </w:r>
      <w:r w:rsidRPr="00DA3BC7">
        <w:rPr>
          <w:rFonts w:ascii="Times New Roman" w:hAnsi="Times New Roman" w:hint="eastAsia"/>
          <w:sz w:val="20"/>
          <w:szCs w:val="26"/>
        </w:rPr>
        <w:t>）</w:t>
      </w:r>
    </w:p>
    <w:p w:rsidR="00AA120F" w:rsidRPr="00DA3BC7" w:rsidRDefault="00AA120F" w:rsidP="00D41C1A">
      <w:pPr>
        <w:ind w:leftChars="50" w:left="120"/>
        <w:jc w:val="both"/>
        <w:rPr>
          <w:rFonts w:ascii="Times New Roman" w:hAnsi="Times New Roman"/>
          <w:b/>
          <w:spacing w:val="-4"/>
          <w:sz w:val="20"/>
          <w:szCs w:val="20"/>
          <w:bdr w:val="single" w:sz="4" w:space="0" w:color="auto"/>
        </w:rPr>
      </w:pPr>
      <w:r w:rsidRPr="00DA3BC7">
        <w:rPr>
          <w:rFonts w:ascii="Times New Roman" w:hAnsi="Times New Roman"/>
          <w:spacing w:val="-4"/>
        </w:rPr>
        <w:t>從來學者</w:t>
      </w:r>
      <w:r w:rsidRPr="00DA3BC7">
        <w:rPr>
          <w:spacing w:val="-4"/>
        </w:rPr>
        <w:t>對於</w:t>
      </w:r>
      <w:r w:rsidRPr="00DA3BC7">
        <w:rPr>
          <w:rFonts w:ascii="Times New Roman" w:hAnsi="Times New Roman"/>
          <w:spacing w:val="-4"/>
        </w:rPr>
        <w:t>諸法的考察，主要的是自相、共相，此外即諸法的相應、不相應，相攝、不相攝，因相、緣相、果相，或加上成就、不成就，這都是法相。</w:t>
      </w:r>
      <w:r w:rsidRPr="00DA3BC7">
        <w:rPr>
          <w:rStyle w:val="a6"/>
          <w:rFonts w:ascii="Times New Roman" w:hAnsi="Times New Roman"/>
          <w:spacing w:val="-4"/>
        </w:rPr>
        <w:footnoteReference w:id="667"/>
      </w:r>
    </w:p>
    <w:p w:rsidR="00AA120F" w:rsidRPr="00DA3BC7" w:rsidRDefault="007450FC" w:rsidP="00AE3920">
      <w:pPr>
        <w:spacing w:beforeLines="30"/>
        <w:ind w:leftChars="50" w:left="120"/>
        <w:jc w:val="both"/>
        <w:rPr>
          <w:rFonts w:ascii="Times New Roman" w:hAnsi="Times New Roman"/>
          <w:b/>
          <w:sz w:val="20"/>
          <w:szCs w:val="26"/>
          <w:bdr w:val="single" w:sz="4" w:space="0" w:color="auto"/>
        </w:rPr>
      </w:pPr>
      <w:r w:rsidRPr="007450FC">
        <w:rPr>
          <w:rFonts w:ascii="Times New Roman" w:hAnsi="Times New Roman"/>
          <w:b/>
          <w:color w:val="FF0000"/>
          <w:sz w:val="20"/>
          <w:szCs w:val="20"/>
          <w:highlight w:val="yellow"/>
          <w:bdr w:val="single" w:sz="4" w:space="0" w:color="auto"/>
        </w:rPr>
        <w:lastRenderedPageBreak/>
        <w:t>（</w:t>
      </w:r>
      <w:r w:rsidRPr="007450FC">
        <w:rPr>
          <w:rFonts w:ascii="Times New Roman" w:hAnsi="Times New Roman" w:hint="eastAsia"/>
          <w:b/>
          <w:color w:val="FF0000"/>
          <w:sz w:val="20"/>
          <w:szCs w:val="26"/>
          <w:highlight w:val="yellow"/>
          <w:bdr w:val="single" w:sz="4" w:space="0" w:color="auto"/>
        </w:rPr>
        <w:t>貳</w:t>
      </w:r>
      <w:r w:rsidRPr="007450FC">
        <w:rPr>
          <w:rFonts w:ascii="Times New Roman" w:hAnsi="Times New Roman"/>
          <w:b/>
          <w:color w:val="FF0000"/>
          <w:sz w:val="20"/>
          <w:szCs w:val="20"/>
          <w:highlight w:val="yellow"/>
          <w:bdr w:val="single" w:sz="4" w:space="0" w:color="auto"/>
        </w:rPr>
        <w:t>）</w:t>
      </w:r>
      <w:r w:rsidR="00AA120F" w:rsidRPr="007450FC">
        <w:rPr>
          <w:rFonts w:ascii="Times New Roman" w:hAnsi="Times New Roman"/>
          <w:b/>
          <w:color w:val="FF0000"/>
          <w:sz w:val="20"/>
          <w:szCs w:val="26"/>
          <w:highlight w:val="yellow"/>
          <w:bdr w:val="single" w:sz="4" w:space="0" w:color="auto"/>
        </w:rPr>
        <w:t>大</w:t>
      </w:r>
      <w:r w:rsidRPr="007450FC">
        <w:rPr>
          <w:rFonts w:ascii="Times New Roman" w:hAnsi="Times New Roman" w:hint="eastAsia"/>
          <w:b/>
          <w:color w:val="FF0000"/>
          <w:sz w:val="20"/>
          <w:szCs w:val="26"/>
          <w:highlight w:val="yellow"/>
          <w:bdr w:val="single" w:sz="4" w:space="0" w:color="auto"/>
        </w:rPr>
        <w:t>乘之</w:t>
      </w:r>
      <w:r w:rsidR="00AA120F" w:rsidRPr="007450FC">
        <w:rPr>
          <w:rFonts w:ascii="Times New Roman" w:hAnsi="Times New Roman" w:hint="eastAsia"/>
          <w:b/>
          <w:color w:val="FF0000"/>
          <w:sz w:val="20"/>
          <w:szCs w:val="26"/>
          <w:highlight w:val="yellow"/>
          <w:bdr w:val="single" w:sz="4" w:space="0" w:color="auto"/>
        </w:rPr>
        <w:t>說</w:t>
      </w:r>
      <w:r w:rsidR="00AA120F" w:rsidRPr="00DA3BC7">
        <w:rPr>
          <w:rFonts w:ascii="Times New Roman" w:hAnsi="Times New Roman"/>
          <w:sz w:val="20"/>
          <w:szCs w:val="26"/>
        </w:rPr>
        <w:t>（</w:t>
      </w:r>
      <w:r w:rsidR="00AA120F" w:rsidRPr="00DA3BC7">
        <w:rPr>
          <w:rFonts w:ascii="Times New Roman" w:hAnsi="Times New Roman"/>
          <w:sz w:val="20"/>
          <w:szCs w:val="26"/>
        </w:rPr>
        <w:t>pp.</w:t>
      </w:r>
      <w:r w:rsidR="00AA120F" w:rsidRPr="00DA3BC7">
        <w:rPr>
          <w:rFonts w:ascii="Times New Roman" w:hAnsi="Times New Roman" w:hint="eastAsia"/>
          <w:sz w:val="20"/>
          <w:szCs w:val="26"/>
        </w:rPr>
        <w:t>145-146</w:t>
      </w:r>
      <w:r w:rsidR="00AA120F" w:rsidRPr="00DA3BC7">
        <w:rPr>
          <w:rFonts w:ascii="Times New Roman" w:hAnsi="Times New Roman"/>
          <w:sz w:val="20"/>
          <w:szCs w:val="26"/>
        </w:rPr>
        <w:t>）</w:t>
      </w:r>
    </w:p>
    <w:p w:rsidR="00AA120F" w:rsidRPr="00DA3BC7" w:rsidRDefault="007450FC" w:rsidP="00D41C1A">
      <w:pPr>
        <w:tabs>
          <w:tab w:val="left" w:pos="2428"/>
        </w:tabs>
        <w:ind w:leftChars="100" w:left="240"/>
        <w:jc w:val="both"/>
        <w:rPr>
          <w:rFonts w:ascii="Times New Roman" w:hAnsi="Times New Roman"/>
          <w:b/>
          <w:bCs/>
          <w:sz w:val="20"/>
          <w:szCs w:val="20"/>
          <w:bdr w:val="single" w:sz="4" w:space="0" w:color="auto"/>
        </w:rPr>
      </w:pPr>
      <w:r w:rsidRPr="007450FC">
        <w:rPr>
          <w:rFonts w:ascii="Times New Roman" w:hAnsi="Times New Roman" w:hint="eastAsia"/>
          <w:b/>
          <w:color w:val="FF0000"/>
          <w:sz w:val="20"/>
          <w:szCs w:val="26"/>
          <w:highlight w:val="yellow"/>
          <w:bdr w:val="single" w:sz="4" w:space="0" w:color="auto"/>
        </w:rPr>
        <w:t>一</w:t>
      </w:r>
      <w:r w:rsidRPr="007450FC">
        <w:rPr>
          <w:rFonts w:ascii="Times New Roman" w:hAnsi="Times New Roman"/>
          <w:b/>
          <w:color w:val="FF0000"/>
          <w:sz w:val="20"/>
          <w:szCs w:val="26"/>
          <w:highlight w:val="yellow"/>
          <w:bdr w:val="single" w:sz="4" w:space="0" w:color="auto"/>
        </w:rPr>
        <w:t>、</w:t>
      </w:r>
      <w:r w:rsidRPr="007450FC">
        <w:rPr>
          <w:rFonts w:ascii="Times New Roman" w:hAnsi="Times New Roman" w:hint="eastAsia"/>
          <w:b/>
          <w:color w:val="FF0000"/>
          <w:sz w:val="20"/>
          <w:szCs w:val="20"/>
          <w:highlight w:val="yellow"/>
          <w:bdr w:val="single" w:sz="4" w:space="0" w:color="auto"/>
        </w:rPr>
        <w:t>標舉</w:t>
      </w:r>
      <w:r>
        <w:rPr>
          <w:rFonts w:ascii="Times New Roman" w:hAnsi="Times New Roman" w:hint="eastAsia"/>
          <w:b/>
          <w:color w:val="FF0000"/>
          <w:sz w:val="20"/>
          <w:szCs w:val="20"/>
          <w:highlight w:val="yellow"/>
          <w:bdr w:val="single" w:sz="4" w:space="0" w:color="auto"/>
        </w:rPr>
        <w:t>：</w:t>
      </w:r>
      <w:r w:rsidR="00AA120F" w:rsidRPr="007450FC">
        <w:rPr>
          <w:rFonts w:ascii="Times New Roman" w:hAnsi="Times New Roman" w:hint="eastAsia"/>
          <w:b/>
          <w:bCs/>
          <w:color w:val="FF0000"/>
          <w:sz w:val="20"/>
          <w:szCs w:val="20"/>
          <w:highlight w:val="yellow"/>
          <w:bdr w:val="single" w:sz="4" w:space="0" w:color="auto"/>
        </w:rPr>
        <w:t>《法華經》</w:t>
      </w:r>
      <w:r w:rsidR="00AA120F" w:rsidRPr="007450FC">
        <w:rPr>
          <w:rFonts w:ascii="Times New Roman" w:hAnsi="Times New Roman" w:hint="eastAsia"/>
          <w:b/>
          <w:color w:val="FF0000"/>
          <w:sz w:val="20"/>
          <w:szCs w:val="26"/>
          <w:highlight w:val="yellow"/>
          <w:bdr w:val="single" w:sz="4" w:space="0" w:color="auto"/>
        </w:rPr>
        <w:t>的</w:t>
      </w:r>
      <w:r w:rsidRPr="007450FC">
        <w:rPr>
          <w:rFonts w:ascii="Times New Roman" w:hAnsi="Times New Roman" w:hint="eastAsia"/>
          <w:b/>
          <w:bCs/>
          <w:color w:val="FF0000"/>
          <w:sz w:val="20"/>
          <w:szCs w:val="26"/>
          <w:highlight w:val="yellow"/>
          <w:bdr w:val="single" w:sz="4" w:space="0" w:color="auto"/>
        </w:rPr>
        <w:t>十</w:t>
      </w:r>
      <w:r w:rsidR="00AA120F" w:rsidRPr="007450FC">
        <w:rPr>
          <w:rFonts w:ascii="Times New Roman" w:hAnsi="Times New Roman" w:hint="eastAsia"/>
          <w:b/>
          <w:bCs/>
          <w:color w:val="FF0000"/>
          <w:sz w:val="20"/>
          <w:szCs w:val="26"/>
          <w:highlight w:val="yellow"/>
          <w:bdr w:val="single" w:sz="4" w:space="0" w:color="auto"/>
        </w:rPr>
        <w:t>相</w:t>
      </w:r>
      <w:r w:rsidR="00AA120F" w:rsidRPr="00DA3BC7">
        <w:rPr>
          <w:rFonts w:ascii="Times New Roman" w:hAnsi="Times New Roman" w:hint="eastAsia"/>
          <w:bCs/>
          <w:sz w:val="20"/>
          <w:szCs w:val="26"/>
        </w:rPr>
        <w:t>（</w:t>
      </w:r>
      <w:r w:rsidR="00AA120F" w:rsidRPr="00DA3BC7">
        <w:rPr>
          <w:rFonts w:ascii="Times New Roman" w:hAnsi="Times New Roman" w:hint="eastAsia"/>
          <w:bCs/>
          <w:sz w:val="20"/>
          <w:szCs w:val="26"/>
        </w:rPr>
        <w:t>pp.145-146</w:t>
      </w:r>
      <w:r w:rsidR="00AA120F" w:rsidRPr="00DA3BC7">
        <w:rPr>
          <w:rFonts w:ascii="Times New Roman" w:hAnsi="Times New Roman" w:hint="eastAsia"/>
          <w:bCs/>
          <w:sz w:val="20"/>
          <w:szCs w:val="26"/>
        </w:rPr>
        <w:t>）</w:t>
      </w:r>
    </w:p>
    <w:p w:rsidR="00AA120F" w:rsidRPr="00DA3BC7" w:rsidRDefault="00AA120F" w:rsidP="00AE3920">
      <w:pPr>
        <w:spacing w:afterLines="30"/>
        <w:ind w:leftChars="100" w:left="240"/>
        <w:jc w:val="both"/>
        <w:rPr>
          <w:rFonts w:ascii="Times Ext Roman" w:hAnsi="Times Ext Roman" w:cs="Times Ext Roman"/>
          <w:bCs/>
        </w:rPr>
      </w:pPr>
      <w:r w:rsidRPr="00DA3BC7">
        <w:rPr>
          <w:rFonts w:ascii="Times Ext Roman" w:cs="Times Ext Roman"/>
          <w:bCs/>
        </w:rPr>
        <w:t>《法華經》說：「</w:t>
      </w:r>
      <w:r w:rsidRPr="00DA3BC7">
        <w:rPr>
          <w:rFonts w:ascii="Times Ext Roman" w:eastAsia="標楷體" w:hAnsi="標楷體" w:cs="Times Ext Roman"/>
          <w:bCs/>
        </w:rPr>
        <w:t>唯佛與佛乃能究盡諸法實相，所謂</w:t>
      </w:r>
      <w:r w:rsidRPr="00DA3BC7">
        <w:rPr>
          <w:rFonts w:ascii="標楷體" w:eastAsia="標楷體" w:hAnsi="標楷體" w:hint="eastAsia"/>
        </w:rPr>
        <w:t>諸法</w:t>
      </w:r>
      <w:r w:rsidRPr="00DA3BC7">
        <w:rPr>
          <w:rFonts w:ascii="Times Ext Roman" w:eastAsia="標楷體" w:hAnsi="標楷體" w:cs="Times Ext Roman"/>
          <w:bCs/>
        </w:rPr>
        <w:t>如是</w:t>
      </w:r>
      <w:r w:rsidRPr="00DA3BC7">
        <w:rPr>
          <w:rFonts w:ascii="標楷體" w:eastAsia="標楷體" w:hAnsi="標楷體" w:hint="eastAsia"/>
        </w:rPr>
        <w:t>相</w:t>
      </w:r>
      <w:r w:rsidRPr="00DA3BC7">
        <w:rPr>
          <w:rFonts w:ascii="Times Ext Roman" w:eastAsia="標楷體" w:hAnsi="標楷體" w:cs="Times Ext Roman"/>
          <w:bCs/>
        </w:rPr>
        <w:t>、如是</w:t>
      </w:r>
      <w:r w:rsidRPr="00DA3BC7">
        <w:rPr>
          <w:rFonts w:ascii="標楷體" w:eastAsia="標楷體" w:hAnsi="標楷體" w:hint="eastAsia"/>
        </w:rPr>
        <w:t>性</w:t>
      </w:r>
      <w:r w:rsidRPr="00DA3BC7">
        <w:rPr>
          <w:rFonts w:ascii="Times Ext Roman" w:eastAsia="標楷體" w:hAnsi="標楷體" w:cs="Times Ext Roman"/>
          <w:bCs/>
        </w:rPr>
        <w:t>、如是體、如是力、如是作、如是因、如是緣、如是果、如是報、如是本末究竟等</w:t>
      </w:r>
      <w:r w:rsidRPr="00DA3BC7">
        <w:rPr>
          <w:rFonts w:ascii="Times Ext Roman" w:cs="Times Ext Roman"/>
          <w:bCs/>
        </w:rPr>
        <w:t>。」</w:t>
      </w:r>
      <w:r w:rsidRPr="00DA3BC7">
        <w:rPr>
          <w:rStyle w:val="a6"/>
          <w:rFonts w:ascii="Times New Roman" w:hAnsi="Times New Roman" w:cs="Times Ext Roman"/>
          <w:bCs/>
        </w:rPr>
        <w:footnoteReference w:id="668"/>
      </w:r>
      <w:r w:rsidRPr="00DA3BC7">
        <w:rPr>
          <w:rFonts w:ascii="Times Ext Roman" w:cs="Times Ext Roman"/>
          <w:bCs/>
        </w:rPr>
        <w:t>就是說：佛才</w:t>
      </w:r>
      <w:r w:rsidRPr="00DA3BC7">
        <w:rPr>
          <w:rFonts w:ascii="Times Ext Roman" w:hAnsi="Times Ext Roman" w:cs="Times Ext Roman"/>
          <w:bCs/>
        </w:rPr>
        <w:t>能如實而知諸法的性、相、因、果等法相。</w:t>
      </w:r>
    </w:p>
    <w:p w:rsidR="007450FC" w:rsidRDefault="007450FC" w:rsidP="00AE3920">
      <w:pPr>
        <w:tabs>
          <w:tab w:val="left" w:pos="3382"/>
        </w:tabs>
        <w:spacing w:beforeLines="30"/>
        <w:ind w:leftChars="100" w:left="240"/>
        <w:jc w:val="both"/>
        <w:rPr>
          <w:rFonts w:ascii="Times New Roman" w:hAnsi="Times New Roman"/>
          <w:b/>
          <w:color w:val="FF0000"/>
          <w:sz w:val="20"/>
          <w:szCs w:val="20"/>
          <w:bdr w:val="single" w:sz="4" w:space="0" w:color="auto"/>
        </w:rPr>
      </w:pPr>
      <w:r w:rsidRPr="007450FC">
        <w:rPr>
          <w:rFonts w:ascii="Times New Roman" w:hAnsi="Times New Roman" w:hint="eastAsia"/>
          <w:b/>
          <w:color w:val="FF0000"/>
          <w:sz w:val="20"/>
          <w:szCs w:val="20"/>
          <w:highlight w:val="yellow"/>
          <w:bdr w:val="single" w:sz="4" w:space="0" w:color="auto"/>
        </w:rPr>
        <w:t>二、闡明</w:t>
      </w:r>
      <w:r w:rsidRPr="00DA3BC7">
        <w:rPr>
          <w:rFonts w:ascii="Times New Roman" w:hAnsi="Times New Roman" w:hint="eastAsia"/>
          <w:bCs/>
          <w:sz w:val="20"/>
          <w:szCs w:val="26"/>
        </w:rPr>
        <w:t>（</w:t>
      </w:r>
      <w:r w:rsidRPr="00DA3BC7">
        <w:rPr>
          <w:rFonts w:ascii="Times New Roman" w:hAnsi="Times New Roman" w:hint="eastAsia"/>
          <w:bCs/>
          <w:sz w:val="20"/>
          <w:szCs w:val="26"/>
        </w:rPr>
        <w:t>p.146</w:t>
      </w:r>
      <w:r w:rsidRPr="00DA3BC7">
        <w:rPr>
          <w:rFonts w:ascii="Times New Roman" w:hAnsi="Times New Roman" w:hint="eastAsia"/>
          <w:bCs/>
          <w:sz w:val="20"/>
          <w:szCs w:val="26"/>
        </w:rPr>
        <w:t>）</w:t>
      </w:r>
    </w:p>
    <w:p w:rsidR="007450FC" w:rsidRDefault="007450FC" w:rsidP="00D41C1A">
      <w:pPr>
        <w:ind w:leftChars="150" w:left="360"/>
        <w:jc w:val="both"/>
        <w:rPr>
          <w:rFonts w:ascii="Times New Roman" w:hAnsi="Times New Roman"/>
          <w:b/>
          <w:color w:val="FF0000"/>
          <w:sz w:val="20"/>
          <w:szCs w:val="20"/>
          <w:bdr w:val="single" w:sz="4" w:space="0" w:color="auto"/>
        </w:rPr>
      </w:pPr>
      <w:r w:rsidRPr="007450FC">
        <w:rPr>
          <w:rFonts w:ascii="Times New Roman" w:hAnsi="Times New Roman"/>
          <w:b/>
          <w:color w:val="FF0000"/>
          <w:sz w:val="20"/>
          <w:szCs w:val="20"/>
          <w:highlight w:val="yellow"/>
          <w:bdr w:val="single" w:sz="4" w:space="0" w:color="auto"/>
        </w:rPr>
        <w:t>（</w:t>
      </w:r>
      <w:r w:rsidRPr="007450FC">
        <w:rPr>
          <w:rFonts w:ascii="Times New Roman" w:hAnsi="Times New Roman" w:hint="eastAsia"/>
          <w:b/>
          <w:color w:val="FF0000"/>
          <w:sz w:val="20"/>
          <w:szCs w:val="20"/>
          <w:highlight w:val="yellow"/>
          <w:bdr w:val="single" w:sz="4" w:space="0" w:color="auto"/>
        </w:rPr>
        <w:t>一</w:t>
      </w:r>
      <w:r w:rsidRPr="007450FC">
        <w:rPr>
          <w:rFonts w:ascii="Times New Roman" w:hAnsi="Times New Roman"/>
          <w:b/>
          <w:color w:val="FF0000"/>
          <w:sz w:val="20"/>
          <w:szCs w:val="20"/>
          <w:highlight w:val="yellow"/>
          <w:bdr w:val="single" w:sz="4" w:space="0" w:color="auto"/>
        </w:rPr>
        <w:t>）</w:t>
      </w:r>
      <w:r w:rsidRPr="007450FC">
        <w:rPr>
          <w:rFonts w:ascii="Times New Roman" w:hAnsi="Times New Roman" w:hint="eastAsia"/>
          <w:b/>
          <w:color w:val="FF0000"/>
          <w:sz w:val="20"/>
          <w:szCs w:val="20"/>
          <w:highlight w:val="yellow"/>
          <w:bdr w:val="single" w:sz="4" w:space="0" w:color="auto"/>
        </w:rPr>
        <w:t>較異明源</w:t>
      </w:r>
      <w:r w:rsidRPr="00DA3BC7">
        <w:rPr>
          <w:rFonts w:ascii="Times New Roman" w:hAnsi="Times New Roman" w:hint="eastAsia"/>
          <w:bCs/>
          <w:sz w:val="20"/>
          <w:szCs w:val="26"/>
        </w:rPr>
        <w:t>（</w:t>
      </w:r>
      <w:r w:rsidRPr="00DA3BC7">
        <w:rPr>
          <w:rFonts w:ascii="Times New Roman" w:hAnsi="Times New Roman" w:hint="eastAsia"/>
          <w:bCs/>
          <w:sz w:val="20"/>
          <w:szCs w:val="26"/>
        </w:rPr>
        <w:t>p.146</w:t>
      </w:r>
      <w:r w:rsidRPr="00DA3BC7">
        <w:rPr>
          <w:rFonts w:ascii="Times New Roman" w:hAnsi="Times New Roman" w:hint="eastAsia"/>
          <w:bCs/>
          <w:sz w:val="20"/>
          <w:szCs w:val="26"/>
        </w:rPr>
        <w:t>）</w:t>
      </w:r>
    </w:p>
    <w:p w:rsidR="007450FC" w:rsidRPr="00DA3BC7" w:rsidRDefault="007450FC" w:rsidP="00D41C1A">
      <w:pPr>
        <w:tabs>
          <w:tab w:val="left" w:pos="2428"/>
        </w:tabs>
        <w:ind w:leftChars="200" w:left="480"/>
        <w:jc w:val="both"/>
        <w:rPr>
          <w:rFonts w:ascii="Times New Roman" w:hAnsi="Times New Roman"/>
          <w:bCs/>
          <w:sz w:val="20"/>
          <w:szCs w:val="20"/>
          <w:bdr w:val="single" w:sz="4" w:space="0" w:color="auto"/>
        </w:rPr>
      </w:pPr>
      <w:r>
        <w:rPr>
          <w:rFonts w:ascii="Times New Roman" w:hAnsi="Times New Roman" w:hint="eastAsia"/>
          <w:b/>
          <w:color w:val="FF0000"/>
          <w:sz w:val="20"/>
          <w:szCs w:val="20"/>
          <w:highlight w:val="yellow"/>
          <w:bdr w:val="single" w:sz="4" w:space="0" w:color="auto"/>
        </w:rPr>
        <w:t>1</w:t>
      </w:r>
      <w:r>
        <w:rPr>
          <w:rFonts w:ascii="Times New Roman" w:hAnsi="Times New Roman" w:hint="eastAsia"/>
          <w:b/>
          <w:color w:val="FF0000"/>
          <w:sz w:val="20"/>
          <w:szCs w:val="20"/>
          <w:highlight w:val="yellow"/>
          <w:bdr w:val="single" w:sz="4" w:space="0" w:color="auto"/>
        </w:rPr>
        <w:t>、明宗</w:t>
      </w:r>
      <w:r w:rsidRPr="00DA3BC7">
        <w:rPr>
          <w:rFonts w:ascii="Times New Roman" w:hAnsi="Times New Roman" w:hint="eastAsia"/>
          <w:bCs/>
          <w:sz w:val="20"/>
          <w:szCs w:val="26"/>
        </w:rPr>
        <w:t>（</w:t>
      </w:r>
      <w:r w:rsidRPr="00DA3BC7">
        <w:rPr>
          <w:rFonts w:ascii="Times New Roman" w:hAnsi="Times New Roman" w:hint="eastAsia"/>
          <w:bCs/>
          <w:sz w:val="20"/>
          <w:szCs w:val="26"/>
        </w:rPr>
        <w:t>p.146</w:t>
      </w:r>
      <w:r w:rsidRPr="00DA3BC7">
        <w:rPr>
          <w:rFonts w:ascii="Times New Roman" w:hAnsi="Times New Roman" w:hint="eastAsia"/>
          <w:bCs/>
          <w:sz w:val="20"/>
          <w:szCs w:val="26"/>
        </w:rPr>
        <w:t>）</w:t>
      </w:r>
    </w:p>
    <w:p w:rsidR="00AA120F" w:rsidRPr="00DA3BC7" w:rsidRDefault="00AA120F" w:rsidP="00AE3920">
      <w:pPr>
        <w:spacing w:afterLines="30"/>
        <w:ind w:leftChars="200" w:left="480"/>
        <w:jc w:val="both"/>
        <w:rPr>
          <w:rFonts w:ascii="Times Ext Roman" w:hAnsi="Times Ext Roman" w:cs="Times Ext Roman"/>
          <w:bCs/>
        </w:rPr>
      </w:pPr>
      <w:r w:rsidRPr="00DA3BC7">
        <w:rPr>
          <w:rFonts w:ascii="Times Ext Roman" w:hAnsi="Times Ext Roman" w:cs="Times Ext Roman"/>
          <w:bCs/>
        </w:rPr>
        <w:t>這十者，在世親的《法華經論》</w:t>
      </w:r>
      <w:r w:rsidRPr="00DA3BC7">
        <w:rPr>
          <w:rStyle w:val="a6"/>
          <w:rFonts w:ascii="Times New Roman" w:hAnsi="Times New Roman" w:cs="Times Ext Roman"/>
          <w:bCs/>
        </w:rPr>
        <w:footnoteReference w:id="669"/>
      </w:r>
      <w:r w:rsidRPr="00DA3BC7">
        <w:rPr>
          <w:rFonts w:ascii="Times Ext Roman" w:hAnsi="Times Ext Roman" w:cs="Times Ext Roman"/>
          <w:bCs/>
        </w:rPr>
        <w:t>和舊譯的《正法華經》</w:t>
      </w:r>
      <w:r w:rsidRPr="00DA3BC7">
        <w:rPr>
          <w:rStyle w:val="a6"/>
          <w:rFonts w:ascii="Times New Roman" w:hAnsi="Times New Roman" w:cs="Times Ext Roman"/>
          <w:bCs/>
        </w:rPr>
        <w:footnoteReference w:id="670"/>
      </w:r>
      <w:r w:rsidRPr="00DA3BC7">
        <w:rPr>
          <w:rFonts w:ascii="Times Ext Roman" w:hAnsi="Times Ext Roman" w:cs="Times Ext Roman"/>
          <w:bCs/>
        </w:rPr>
        <w:t>，都只說有六種。羅什法師的譯有十種，可能是根據的梵本不同。</w:t>
      </w:r>
    </w:p>
    <w:p w:rsidR="007450FC" w:rsidRDefault="007450FC" w:rsidP="00AE3920">
      <w:pPr>
        <w:tabs>
          <w:tab w:val="left" w:pos="3382"/>
        </w:tabs>
        <w:spacing w:beforeLines="30"/>
        <w:ind w:leftChars="200" w:left="480"/>
        <w:jc w:val="both"/>
        <w:rPr>
          <w:rFonts w:ascii="Times New Roman" w:hAnsi="Times New Roman"/>
          <w:b/>
          <w:color w:val="FF0000"/>
          <w:sz w:val="20"/>
          <w:szCs w:val="20"/>
          <w:bdr w:val="single" w:sz="4" w:space="0" w:color="auto"/>
        </w:rPr>
      </w:pPr>
      <w:r>
        <w:rPr>
          <w:rFonts w:ascii="Times New Roman" w:hAnsi="Times New Roman" w:hint="eastAsia"/>
          <w:b/>
          <w:color w:val="FF0000"/>
          <w:sz w:val="20"/>
          <w:szCs w:val="20"/>
          <w:highlight w:val="yellow"/>
          <w:bdr w:val="single" w:sz="4" w:space="0" w:color="auto"/>
        </w:rPr>
        <w:t>2</w:t>
      </w:r>
      <w:r w:rsidRPr="007450FC">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例證</w:t>
      </w:r>
      <w:r w:rsidRPr="00DA3BC7">
        <w:rPr>
          <w:rFonts w:ascii="Times New Roman" w:hAnsi="Times New Roman" w:hint="eastAsia"/>
          <w:bCs/>
          <w:sz w:val="20"/>
          <w:szCs w:val="26"/>
        </w:rPr>
        <w:t>（</w:t>
      </w:r>
      <w:r w:rsidRPr="00DA3BC7">
        <w:rPr>
          <w:rFonts w:ascii="Times New Roman" w:hAnsi="Times New Roman" w:hint="eastAsia"/>
          <w:bCs/>
          <w:sz w:val="20"/>
          <w:szCs w:val="26"/>
        </w:rPr>
        <w:t>p.146</w:t>
      </w:r>
      <w:r w:rsidRPr="00DA3BC7">
        <w:rPr>
          <w:rFonts w:ascii="Times New Roman" w:hAnsi="Times New Roman" w:hint="eastAsia"/>
          <w:bCs/>
          <w:sz w:val="20"/>
          <w:szCs w:val="26"/>
        </w:rPr>
        <w:t>）</w:t>
      </w:r>
    </w:p>
    <w:p w:rsidR="00AA120F" w:rsidRPr="00DA3BC7" w:rsidRDefault="00AA120F" w:rsidP="00AE3920">
      <w:pPr>
        <w:spacing w:afterLines="30"/>
        <w:ind w:leftChars="200" w:left="480"/>
        <w:jc w:val="both"/>
        <w:rPr>
          <w:rFonts w:ascii="Times New Roman" w:hAnsi="Times New Roman"/>
          <w:bCs/>
          <w:szCs w:val="23"/>
        </w:rPr>
      </w:pPr>
      <w:r w:rsidRPr="00DA3BC7">
        <w:rPr>
          <w:rFonts w:ascii="Times New Roman" w:hAnsi="Times New Roman" w:hint="eastAsia"/>
          <w:bCs/>
          <w:szCs w:val="23"/>
        </w:rPr>
        <w:t>這如龍樹《大智度論》卷</w:t>
      </w:r>
      <w:r w:rsidR="007450FC">
        <w:rPr>
          <w:rFonts w:ascii="Times New Roman" w:hAnsi="Times New Roman" w:hint="eastAsia"/>
          <w:bCs/>
          <w:szCs w:val="23"/>
        </w:rPr>
        <w:t>32</w:t>
      </w:r>
      <w:r w:rsidRPr="00DA3BC7">
        <w:rPr>
          <w:rFonts w:ascii="Times New Roman" w:hAnsi="Times New Roman" w:hint="eastAsia"/>
          <w:bCs/>
          <w:szCs w:val="23"/>
        </w:rPr>
        <w:t>說「</w:t>
      </w:r>
      <w:r w:rsidRPr="00DA3BC7">
        <w:rPr>
          <w:rFonts w:ascii="標楷體" w:eastAsia="標楷體" w:hAnsi="標楷體" w:hint="eastAsia"/>
          <w:bCs/>
          <w:szCs w:val="23"/>
        </w:rPr>
        <w:t>一一法有九種</w:t>
      </w:r>
      <w:r w:rsidRPr="00DA3BC7">
        <w:rPr>
          <w:rFonts w:ascii="Times New Roman" w:hAnsi="Times New Roman" w:hint="eastAsia"/>
          <w:bCs/>
          <w:szCs w:val="23"/>
        </w:rPr>
        <w:t>」，九種是：性、法（即相）、體、力、因、緣、果、限礙</w:t>
      </w:r>
      <w:r w:rsidRPr="00DA3BC7">
        <w:rPr>
          <w:rStyle w:val="a6"/>
          <w:rFonts w:ascii="Times New Roman" w:hAnsi="Times New Roman"/>
          <w:bCs/>
          <w:szCs w:val="23"/>
        </w:rPr>
        <w:footnoteReference w:id="671"/>
      </w:r>
      <w:r w:rsidRPr="00DA3BC7">
        <w:rPr>
          <w:rFonts w:ascii="Times New Roman" w:hAnsi="Times New Roman" w:hint="eastAsia"/>
          <w:bCs/>
          <w:szCs w:val="23"/>
        </w:rPr>
        <w:t>、開通</w:t>
      </w:r>
      <w:r w:rsidRPr="00DA3BC7">
        <w:rPr>
          <w:rStyle w:val="a6"/>
          <w:rFonts w:ascii="Times New Roman" w:hAnsi="Times New Roman"/>
          <w:bCs/>
          <w:szCs w:val="23"/>
        </w:rPr>
        <w:footnoteReference w:id="672"/>
      </w:r>
      <w:r w:rsidRPr="00DA3BC7">
        <w:rPr>
          <w:rFonts w:ascii="Times New Roman" w:hAnsi="Times New Roman" w:hint="eastAsia"/>
          <w:bCs/>
          <w:szCs w:val="23"/>
        </w:rPr>
        <w:t>方便。</w:t>
      </w:r>
      <w:r w:rsidRPr="00DA3BC7">
        <w:rPr>
          <w:rFonts w:ascii="Times New Roman" w:hAnsi="Times New Roman"/>
          <w:bCs/>
          <w:vertAlign w:val="superscript"/>
        </w:rPr>
        <w:footnoteReference w:id="673"/>
      </w:r>
    </w:p>
    <w:p w:rsidR="00AA120F" w:rsidRPr="00DA3BC7" w:rsidRDefault="00AA120F" w:rsidP="00AE3920">
      <w:pPr>
        <w:spacing w:beforeLines="20"/>
        <w:ind w:leftChars="200" w:left="480"/>
        <w:jc w:val="both"/>
        <w:rPr>
          <w:rFonts w:ascii="Times New Roman" w:hAnsi="Times New Roman"/>
          <w:bCs/>
          <w:szCs w:val="23"/>
        </w:rPr>
      </w:pPr>
      <w:r w:rsidRPr="00DA3BC7">
        <w:rPr>
          <w:rFonts w:ascii="Times New Roman" w:hAnsi="Times New Roman" w:hint="eastAsia"/>
          <w:bCs/>
          <w:szCs w:val="23"/>
        </w:rPr>
        <w:lastRenderedPageBreak/>
        <w:t>卷</w:t>
      </w:r>
      <w:r w:rsidR="00C803C9">
        <w:rPr>
          <w:rFonts w:ascii="Times New Roman" w:hAnsi="Times New Roman" w:hint="eastAsia"/>
          <w:bCs/>
          <w:szCs w:val="23"/>
        </w:rPr>
        <w:t>33</w:t>
      </w:r>
      <w:r w:rsidRPr="00DA3BC7">
        <w:rPr>
          <w:rFonts w:ascii="Times New Roman" w:hAnsi="Times New Roman" w:hint="eastAsia"/>
          <w:bCs/>
          <w:szCs w:val="23"/>
        </w:rPr>
        <w:t>說到：業、力、所作、因、緣、果、報，凡七相。</w:t>
      </w:r>
      <w:r w:rsidRPr="00DA3BC7">
        <w:rPr>
          <w:rFonts w:ascii="Times New Roman" w:hAnsi="Times New Roman"/>
          <w:bCs/>
          <w:vertAlign w:val="superscript"/>
        </w:rPr>
        <w:footnoteReference w:id="674"/>
      </w:r>
    </w:p>
    <w:p w:rsidR="00AA120F" w:rsidRPr="00DA3BC7" w:rsidRDefault="00AA120F" w:rsidP="00AE3920">
      <w:pPr>
        <w:spacing w:beforeLines="20"/>
        <w:ind w:leftChars="200" w:left="480"/>
        <w:jc w:val="both"/>
        <w:rPr>
          <w:rFonts w:ascii="Times New Roman" w:hAnsi="Times New Roman"/>
          <w:bCs/>
          <w:szCs w:val="23"/>
        </w:rPr>
      </w:pPr>
      <w:r w:rsidRPr="00DA3BC7">
        <w:rPr>
          <w:rFonts w:ascii="Times New Roman" w:hAnsi="Times New Roman" w:hint="eastAsia"/>
          <w:bCs/>
          <w:szCs w:val="23"/>
        </w:rPr>
        <w:t>卷</w:t>
      </w:r>
      <w:r w:rsidR="00C803C9">
        <w:rPr>
          <w:rFonts w:ascii="Times New Roman" w:hAnsi="Times New Roman" w:hint="eastAsia"/>
          <w:bCs/>
          <w:szCs w:val="23"/>
        </w:rPr>
        <w:t>27</w:t>
      </w:r>
      <w:r w:rsidRPr="00DA3BC7">
        <w:rPr>
          <w:rFonts w:ascii="Times New Roman" w:hAnsi="Times New Roman" w:hint="eastAsia"/>
          <w:bCs/>
          <w:szCs w:val="23"/>
        </w:rPr>
        <w:t>說到：性、相、力、因緣、果報、得、失，凡七相。</w:t>
      </w:r>
      <w:r w:rsidRPr="00DA3BC7">
        <w:rPr>
          <w:rFonts w:ascii="Times New Roman" w:hAnsi="Times New Roman"/>
          <w:bCs/>
          <w:vertAlign w:val="superscript"/>
        </w:rPr>
        <w:footnoteReference w:id="675"/>
      </w:r>
    </w:p>
    <w:p w:rsidR="00C803C9" w:rsidRPr="00DA3BC7" w:rsidRDefault="00C803C9" w:rsidP="00AE3920">
      <w:pPr>
        <w:spacing w:beforeLines="30"/>
        <w:ind w:leftChars="200" w:left="480"/>
        <w:jc w:val="both"/>
        <w:rPr>
          <w:rFonts w:ascii="Times New Roman" w:hAnsi="Times New Roman"/>
          <w:bCs/>
          <w:sz w:val="20"/>
          <w:szCs w:val="20"/>
          <w:bdr w:val="single" w:sz="4" w:space="0" w:color="auto"/>
        </w:rPr>
      </w:pPr>
      <w:r w:rsidRPr="00C803C9">
        <w:rPr>
          <w:rFonts w:ascii="Times New Roman" w:hAnsi="Times New Roman" w:hint="eastAsia"/>
          <w:b/>
          <w:color w:val="FF0000"/>
          <w:sz w:val="20"/>
          <w:szCs w:val="20"/>
          <w:highlight w:val="yellow"/>
          <w:bdr w:val="single" w:sz="4" w:space="0" w:color="auto"/>
        </w:rPr>
        <w:t>3</w:t>
      </w:r>
      <w:r w:rsidRPr="00C803C9">
        <w:rPr>
          <w:rFonts w:ascii="Times New Roman" w:hAnsi="Times New Roman" w:hint="eastAsia"/>
          <w:b/>
          <w:color w:val="FF0000"/>
          <w:sz w:val="20"/>
          <w:szCs w:val="20"/>
          <w:highlight w:val="yellow"/>
          <w:bdr w:val="single" w:sz="4" w:space="0" w:color="auto"/>
        </w:rPr>
        <w:t>、結義</w:t>
      </w:r>
      <w:r w:rsidRPr="00DA3BC7">
        <w:rPr>
          <w:rFonts w:ascii="Times New Roman" w:hAnsi="Times New Roman" w:hint="eastAsia"/>
          <w:bCs/>
          <w:sz w:val="20"/>
          <w:szCs w:val="26"/>
        </w:rPr>
        <w:t>（</w:t>
      </w:r>
      <w:r w:rsidRPr="00DA3BC7">
        <w:rPr>
          <w:rFonts w:ascii="Times New Roman" w:hAnsi="Times New Roman" w:hint="eastAsia"/>
          <w:bCs/>
          <w:sz w:val="20"/>
          <w:szCs w:val="26"/>
        </w:rPr>
        <w:t>p.146</w:t>
      </w:r>
      <w:r w:rsidRPr="00DA3BC7">
        <w:rPr>
          <w:rFonts w:ascii="Times New Roman" w:hAnsi="Times New Roman" w:hint="eastAsia"/>
          <w:bCs/>
          <w:sz w:val="20"/>
          <w:szCs w:val="26"/>
        </w:rPr>
        <w:t>）</w:t>
      </w:r>
    </w:p>
    <w:p w:rsidR="00C803C9" w:rsidRDefault="00AA120F" w:rsidP="00D41C1A">
      <w:pPr>
        <w:ind w:leftChars="200" w:left="480"/>
        <w:jc w:val="both"/>
        <w:rPr>
          <w:rFonts w:ascii="Times New Roman" w:hAnsi="Times New Roman"/>
          <w:bCs/>
          <w:szCs w:val="23"/>
        </w:rPr>
      </w:pPr>
      <w:r w:rsidRPr="00DA3BC7">
        <w:rPr>
          <w:rFonts w:ascii="Times New Roman" w:hAnsi="Times New Roman" w:hint="eastAsia"/>
          <w:bCs/>
          <w:szCs w:val="23"/>
        </w:rPr>
        <w:t>由此比類觀察，可知《法華經》的十相，實有所據。</w:t>
      </w:r>
    </w:p>
    <w:p w:rsidR="00AA120F" w:rsidRPr="00DA3BC7" w:rsidRDefault="00AA120F" w:rsidP="00AE3920">
      <w:pPr>
        <w:spacing w:beforeLines="30"/>
        <w:ind w:leftChars="150" w:left="360"/>
        <w:jc w:val="both"/>
        <w:rPr>
          <w:rFonts w:ascii="Times New Roman" w:hAnsi="Times New Roman"/>
          <w:bCs/>
          <w:sz w:val="20"/>
          <w:szCs w:val="20"/>
          <w:bdr w:val="single" w:sz="4" w:space="0" w:color="auto"/>
        </w:rPr>
      </w:pPr>
      <w:r w:rsidRPr="00C803C9">
        <w:rPr>
          <w:rFonts w:ascii="Times New Roman" w:hAnsi="Times New Roman"/>
          <w:b/>
          <w:color w:val="FF0000"/>
          <w:sz w:val="20"/>
          <w:szCs w:val="20"/>
          <w:highlight w:val="yellow"/>
          <w:bdr w:val="single" w:sz="4" w:space="0" w:color="auto"/>
        </w:rPr>
        <w:t>（</w:t>
      </w:r>
      <w:r w:rsidR="00C803C9" w:rsidRPr="00C803C9">
        <w:rPr>
          <w:rFonts w:ascii="Times New Roman" w:hAnsi="Times New Roman" w:hint="eastAsia"/>
          <w:b/>
          <w:color w:val="FF0000"/>
          <w:sz w:val="20"/>
          <w:szCs w:val="20"/>
          <w:highlight w:val="yellow"/>
          <w:bdr w:val="single" w:sz="4" w:space="0" w:color="auto"/>
        </w:rPr>
        <w:t>二</w:t>
      </w:r>
      <w:r w:rsidRPr="00C803C9">
        <w:rPr>
          <w:rFonts w:ascii="Times New Roman" w:hAnsi="Times New Roman"/>
          <w:b/>
          <w:color w:val="FF0000"/>
          <w:sz w:val="20"/>
          <w:szCs w:val="20"/>
          <w:highlight w:val="yellow"/>
          <w:bdr w:val="single" w:sz="4" w:space="0" w:color="auto"/>
        </w:rPr>
        <w:t>）</w:t>
      </w:r>
      <w:r w:rsidRPr="00DA3BC7">
        <w:rPr>
          <w:rFonts w:ascii="Times New Roman" w:hAnsi="Times New Roman" w:hint="eastAsia"/>
          <w:b/>
          <w:bCs/>
          <w:sz w:val="20"/>
          <w:szCs w:val="20"/>
          <w:bdr w:val="single" w:sz="4" w:space="0" w:color="auto"/>
        </w:rPr>
        <w:t>分</w:t>
      </w:r>
      <w:r w:rsidRPr="00C803C9">
        <w:rPr>
          <w:rFonts w:ascii="Times New Roman" w:hAnsi="Times New Roman" w:hint="eastAsia"/>
          <w:b/>
          <w:bCs/>
          <w:sz w:val="20"/>
          <w:szCs w:val="20"/>
          <w:highlight w:val="yellow"/>
          <w:bdr w:val="single" w:sz="4" w:space="0" w:color="auto"/>
        </w:rPr>
        <w:t>類觀</w:t>
      </w:r>
      <w:r w:rsidRPr="00DA3BC7">
        <w:rPr>
          <w:rFonts w:ascii="Times New Roman" w:hAnsi="Times New Roman" w:hint="eastAsia"/>
          <w:b/>
          <w:bCs/>
          <w:sz w:val="20"/>
          <w:szCs w:val="20"/>
          <w:bdr w:val="single" w:sz="4" w:space="0" w:color="auto"/>
        </w:rPr>
        <w:t>察</w:t>
      </w:r>
      <w:r w:rsidRPr="00DA3BC7">
        <w:rPr>
          <w:rFonts w:ascii="Times New Roman" w:hAnsi="Times New Roman" w:hint="eastAsia"/>
          <w:bCs/>
          <w:sz w:val="20"/>
          <w:szCs w:val="26"/>
        </w:rPr>
        <w:t>（</w:t>
      </w:r>
      <w:r w:rsidRPr="00DA3BC7">
        <w:rPr>
          <w:rFonts w:ascii="Times New Roman" w:hAnsi="Times New Roman" w:hint="eastAsia"/>
          <w:bCs/>
          <w:sz w:val="20"/>
          <w:szCs w:val="26"/>
        </w:rPr>
        <w:t>p.146</w:t>
      </w:r>
      <w:r w:rsidRPr="00DA3BC7">
        <w:rPr>
          <w:rFonts w:ascii="Times New Roman" w:hAnsi="Times New Roman" w:hint="eastAsia"/>
          <w:bCs/>
          <w:sz w:val="20"/>
          <w:szCs w:val="26"/>
        </w:rPr>
        <w:t>）</w:t>
      </w:r>
    </w:p>
    <w:p w:rsidR="00C803C9" w:rsidRPr="00DA3BC7" w:rsidRDefault="00C803C9" w:rsidP="00D41C1A">
      <w:pPr>
        <w:ind w:leftChars="200" w:left="480"/>
        <w:jc w:val="both"/>
        <w:rPr>
          <w:rFonts w:ascii="Times New Roman" w:hAnsi="Times New Roman"/>
          <w:bCs/>
          <w:sz w:val="20"/>
          <w:szCs w:val="20"/>
          <w:bdr w:val="single" w:sz="4" w:space="0" w:color="auto"/>
        </w:rPr>
      </w:pPr>
      <w:r>
        <w:rPr>
          <w:rFonts w:ascii="Times New Roman" w:hAnsi="Times New Roman" w:hint="eastAsia"/>
          <w:b/>
          <w:color w:val="FF0000"/>
          <w:sz w:val="20"/>
          <w:szCs w:val="20"/>
          <w:highlight w:val="yellow"/>
          <w:bdr w:val="single" w:sz="4" w:space="0" w:color="auto"/>
        </w:rPr>
        <w:t>1</w:t>
      </w:r>
      <w:r w:rsidRPr="00C803C9">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約「三類」辨</w:t>
      </w:r>
      <w:r w:rsidRPr="00DA3BC7">
        <w:rPr>
          <w:rFonts w:ascii="Times New Roman" w:hAnsi="Times New Roman" w:hint="eastAsia"/>
          <w:bCs/>
          <w:sz w:val="20"/>
          <w:szCs w:val="26"/>
        </w:rPr>
        <w:t>（</w:t>
      </w:r>
      <w:r w:rsidRPr="00DA3BC7">
        <w:rPr>
          <w:rFonts w:ascii="Times New Roman" w:hAnsi="Times New Roman" w:hint="eastAsia"/>
          <w:bCs/>
          <w:sz w:val="20"/>
          <w:szCs w:val="26"/>
        </w:rPr>
        <w:t>p.146</w:t>
      </w:r>
      <w:r w:rsidRPr="00DA3BC7">
        <w:rPr>
          <w:rFonts w:ascii="Times New Roman" w:hAnsi="Times New Roman" w:hint="eastAsia"/>
          <w:bCs/>
          <w:sz w:val="20"/>
          <w:szCs w:val="26"/>
        </w:rPr>
        <w:t>）</w:t>
      </w:r>
    </w:p>
    <w:p w:rsidR="00C803C9" w:rsidRPr="00DA3BC7" w:rsidRDefault="00C803C9" w:rsidP="00D41C1A">
      <w:pPr>
        <w:ind w:leftChars="200" w:left="480"/>
        <w:jc w:val="both"/>
        <w:rPr>
          <w:rFonts w:ascii="Times New Roman" w:hAnsi="Times New Roman"/>
          <w:bCs/>
          <w:szCs w:val="23"/>
        </w:rPr>
      </w:pPr>
      <w:r w:rsidRPr="00DA3BC7">
        <w:rPr>
          <w:rFonts w:ascii="Times New Roman" w:hAnsi="Times New Roman" w:hint="eastAsia"/>
          <w:bCs/>
          <w:szCs w:val="23"/>
        </w:rPr>
        <w:t>在印度，對於法相的觀察，就有多少差別的。</w:t>
      </w:r>
    </w:p>
    <w:p w:rsidR="00AA120F" w:rsidRPr="00DA3BC7" w:rsidRDefault="00AA120F" w:rsidP="00D41C1A">
      <w:pPr>
        <w:ind w:leftChars="200" w:left="480"/>
        <w:jc w:val="both"/>
        <w:rPr>
          <w:rFonts w:ascii="Times Ext Roman" w:hAnsi="Times Ext Roman" w:cs="Times Ext Roman"/>
          <w:b/>
          <w:bCs/>
          <w:sz w:val="20"/>
          <w:szCs w:val="20"/>
          <w:bdr w:val="single" w:sz="4" w:space="0" w:color="auto"/>
        </w:rPr>
      </w:pPr>
      <w:r w:rsidRPr="00DA3BC7">
        <w:rPr>
          <w:rFonts w:ascii="新細明體" w:hAnsi="新細明體" w:hint="eastAsia"/>
          <w:bCs/>
        </w:rPr>
        <w:t>這裏</w:t>
      </w:r>
      <w:r w:rsidRPr="00DA3BC7">
        <w:rPr>
          <w:rFonts w:ascii="Times Ext Roman" w:hAnsi="新細明體" w:cs="Times Ext Roman"/>
          <w:bCs/>
        </w:rPr>
        <w:t>，可以分三類來觀察：</w:t>
      </w:r>
    </w:p>
    <w:p w:rsidR="00AA120F" w:rsidRPr="00DA3BC7" w:rsidRDefault="00D41C1A" w:rsidP="00AE3920">
      <w:pPr>
        <w:spacing w:beforeLines="20"/>
        <w:ind w:leftChars="200" w:left="480"/>
        <w:jc w:val="both"/>
        <w:rPr>
          <w:rFonts w:ascii="Times Ext Roman" w:hAnsi="Times Ext Roman" w:cs="Times Ext Roman"/>
          <w:bCs/>
          <w:szCs w:val="23"/>
        </w:rPr>
      </w:pPr>
      <w:r>
        <w:rPr>
          <w:rFonts w:ascii="Times Ext Roman" w:hAnsi="Times Ext Roman" w:cs="Times Ext Roman" w:hint="eastAsia"/>
          <w:bCs/>
          <w:szCs w:val="23"/>
        </w:rPr>
        <w:t>（</w:t>
      </w:r>
      <w:r w:rsidR="00AA120F" w:rsidRPr="00DA3BC7">
        <w:rPr>
          <w:rFonts w:ascii="Times Ext Roman" w:hAnsi="Times Ext Roman" w:cs="Times Ext Roman" w:hint="eastAsia"/>
          <w:bCs/>
          <w:szCs w:val="23"/>
        </w:rPr>
        <w:t>一</w:t>
      </w:r>
      <w:r>
        <w:rPr>
          <w:rFonts w:ascii="Times Ext Roman" w:cs="Times Ext Roman" w:hint="eastAsia"/>
          <w:bCs/>
          <w:szCs w:val="23"/>
        </w:rPr>
        <w:t>）</w:t>
      </w:r>
      <w:r w:rsidR="00AA120F" w:rsidRPr="00DA3BC7">
        <w:rPr>
          <w:rFonts w:ascii="Times Ext Roman" w:cs="Times Ext Roman"/>
          <w:bCs/>
          <w:szCs w:val="23"/>
        </w:rPr>
        <w:t>性、相</w:t>
      </w:r>
      <w:r>
        <w:rPr>
          <w:rFonts w:ascii="Times Ext Roman" w:cs="Times Ext Roman" w:hint="eastAsia"/>
          <w:bCs/>
          <w:color w:val="FF0000"/>
          <w:szCs w:val="23"/>
          <w:highlight w:val="yellow"/>
        </w:rPr>
        <w:t>，</w:t>
      </w:r>
    </w:p>
    <w:p w:rsidR="00AA120F" w:rsidRPr="00D41C1A" w:rsidRDefault="00D41C1A" w:rsidP="00D41C1A">
      <w:pPr>
        <w:ind w:leftChars="200" w:left="480"/>
        <w:jc w:val="both"/>
        <w:rPr>
          <w:rFonts w:ascii="Times Ext Roman" w:hAnsi="Times Ext Roman" w:cs="Times Ext Roman"/>
          <w:bCs/>
          <w:color w:val="FF0000"/>
          <w:szCs w:val="23"/>
          <w:highlight w:val="yellow"/>
        </w:rPr>
      </w:pPr>
      <w:r>
        <w:rPr>
          <w:rFonts w:ascii="Times Ext Roman" w:hAnsi="Times Ext Roman" w:cs="Times Ext Roman" w:hint="eastAsia"/>
          <w:bCs/>
          <w:szCs w:val="23"/>
        </w:rPr>
        <w:t>（</w:t>
      </w:r>
      <w:r w:rsidR="00AA120F" w:rsidRPr="00DA3BC7">
        <w:rPr>
          <w:rFonts w:ascii="Times Ext Roman" w:hAnsi="Times Ext Roman" w:cs="Times Ext Roman" w:hint="eastAsia"/>
          <w:bCs/>
          <w:szCs w:val="23"/>
        </w:rPr>
        <w:t>二</w:t>
      </w:r>
      <w:r>
        <w:rPr>
          <w:rFonts w:ascii="Times Ext Roman" w:cs="Times Ext Roman" w:hint="eastAsia"/>
          <w:bCs/>
          <w:szCs w:val="23"/>
        </w:rPr>
        <w:t>）</w:t>
      </w:r>
      <w:r w:rsidR="00AA120F" w:rsidRPr="00DA3BC7">
        <w:rPr>
          <w:rFonts w:ascii="Times Ext Roman" w:cs="Times Ext Roman"/>
          <w:bCs/>
          <w:szCs w:val="23"/>
        </w:rPr>
        <w:t>體、力、作</w:t>
      </w:r>
      <w:r>
        <w:rPr>
          <w:rFonts w:ascii="Times Ext Roman" w:cs="Times Ext Roman" w:hint="eastAsia"/>
          <w:bCs/>
          <w:color w:val="FF0000"/>
          <w:szCs w:val="23"/>
          <w:highlight w:val="yellow"/>
        </w:rPr>
        <w:t>，</w:t>
      </w:r>
    </w:p>
    <w:p w:rsidR="00AA120F" w:rsidRPr="00DA3BC7" w:rsidRDefault="00D41C1A" w:rsidP="00D41C1A">
      <w:pPr>
        <w:ind w:leftChars="200" w:left="480"/>
        <w:jc w:val="both"/>
        <w:rPr>
          <w:rFonts w:ascii="Times New Roman" w:hAnsi="Times New Roman"/>
          <w:bCs/>
          <w:szCs w:val="23"/>
        </w:rPr>
      </w:pPr>
      <w:r>
        <w:rPr>
          <w:rFonts w:ascii="Times Ext Roman" w:hAnsi="Times Ext Roman" w:cs="Times Ext Roman" w:hint="eastAsia"/>
          <w:bCs/>
          <w:szCs w:val="23"/>
        </w:rPr>
        <w:t>（</w:t>
      </w:r>
      <w:r w:rsidR="00AA120F" w:rsidRPr="00DA3BC7">
        <w:rPr>
          <w:rFonts w:ascii="Times New Roman" w:hAnsi="Times New Roman"/>
          <w:bCs/>
          <w:szCs w:val="23"/>
        </w:rPr>
        <w:t>三</w:t>
      </w:r>
      <w:r>
        <w:rPr>
          <w:rFonts w:ascii="Times Ext Roman" w:cs="Times Ext Roman" w:hint="eastAsia"/>
          <w:bCs/>
          <w:szCs w:val="23"/>
        </w:rPr>
        <w:t>）</w:t>
      </w:r>
      <w:r w:rsidR="00AA120F" w:rsidRPr="00DA3BC7">
        <w:rPr>
          <w:rFonts w:ascii="Times New Roman" w:hAnsi="Times New Roman"/>
          <w:bCs/>
          <w:szCs w:val="23"/>
        </w:rPr>
        <w:t>因、緣、果、報。</w:t>
      </w:r>
    </w:p>
    <w:p w:rsidR="0077258A" w:rsidRPr="00DA3BC7" w:rsidRDefault="0077258A" w:rsidP="00AE3920">
      <w:pPr>
        <w:spacing w:beforeLines="30"/>
        <w:ind w:leftChars="200" w:left="480"/>
        <w:jc w:val="both"/>
        <w:rPr>
          <w:rFonts w:ascii="Times New Roman" w:hAnsi="Times New Roman"/>
          <w:bCs/>
          <w:sz w:val="20"/>
          <w:szCs w:val="20"/>
          <w:bdr w:val="single" w:sz="4" w:space="0" w:color="auto"/>
        </w:rPr>
      </w:pPr>
      <w:r>
        <w:rPr>
          <w:rFonts w:ascii="Times New Roman" w:hAnsi="Times New Roman" w:hint="eastAsia"/>
          <w:b/>
          <w:color w:val="FF0000"/>
          <w:sz w:val="20"/>
          <w:szCs w:val="20"/>
          <w:highlight w:val="yellow"/>
          <w:bdr w:val="single" w:sz="4" w:space="0" w:color="auto"/>
        </w:rPr>
        <w:t>2</w:t>
      </w:r>
      <w:r w:rsidRPr="00C803C9">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兼釋餘相</w:t>
      </w:r>
      <w:r w:rsidRPr="00DA3BC7">
        <w:rPr>
          <w:rFonts w:ascii="Times New Roman" w:hAnsi="Times New Roman" w:hint="eastAsia"/>
          <w:bCs/>
          <w:sz w:val="20"/>
          <w:szCs w:val="26"/>
        </w:rPr>
        <w:t>（</w:t>
      </w:r>
      <w:r w:rsidRPr="00DA3BC7">
        <w:rPr>
          <w:rFonts w:ascii="Times New Roman" w:hAnsi="Times New Roman" w:hint="eastAsia"/>
          <w:bCs/>
          <w:sz w:val="20"/>
          <w:szCs w:val="26"/>
        </w:rPr>
        <w:t>p.146</w:t>
      </w:r>
      <w:r w:rsidRPr="00DA3BC7">
        <w:rPr>
          <w:rFonts w:ascii="Times New Roman" w:hAnsi="Times New Roman" w:hint="eastAsia"/>
          <w:bCs/>
          <w:sz w:val="20"/>
          <w:szCs w:val="26"/>
        </w:rPr>
        <w:t>）</w:t>
      </w:r>
    </w:p>
    <w:p w:rsidR="0077258A" w:rsidRDefault="00AA120F" w:rsidP="00D41C1A">
      <w:pPr>
        <w:ind w:leftChars="200" w:left="480"/>
        <w:jc w:val="both"/>
        <w:rPr>
          <w:rFonts w:ascii="Times New Roman" w:hAnsi="Times New Roman"/>
          <w:bCs/>
          <w:szCs w:val="23"/>
        </w:rPr>
      </w:pPr>
      <w:r w:rsidRPr="00DA3BC7">
        <w:rPr>
          <w:rFonts w:ascii="Times New Roman" w:hAnsi="Times New Roman"/>
          <w:bCs/>
          <w:szCs w:val="23"/>
        </w:rPr>
        <w:t>三類以外，</w:t>
      </w:r>
    </w:p>
    <w:p w:rsidR="0077258A" w:rsidRDefault="00AA120F" w:rsidP="00D41C1A">
      <w:pPr>
        <w:ind w:leftChars="200" w:left="480"/>
        <w:jc w:val="both"/>
        <w:rPr>
          <w:rFonts w:ascii="Times New Roman" w:hAnsi="Times New Roman"/>
          <w:bCs/>
          <w:szCs w:val="23"/>
        </w:rPr>
      </w:pPr>
      <w:r w:rsidRPr="00EB72A3">
        <w:rPr>
          <w:rFonts w:ascii="Times New Roman" w:hAnsi="Times New Roman"/>
          <w:bCs/>
          <w:szCs w:val="23"/>
          <w:highlight w:val="yellow"/>
        </w:rPr>
        <w:t>《</w:t>
      </w:r>
      <w:r w:rsidRPr="00DA3BC7">
        <w:rPr>
          <w:rFonts w:ascii="Times New Roman" w:hAnsi="Times New Roman"/>
          <w:bCs/>
          <w:szCs w:val="23"/>
        </w:rPr>
        <w:t>法華經》有</w:t>
      </w:r>
      <w:r w:rsidRPr="00DA3BC7">
        <w:rPr>
          <w:rFonts w:ascii="Times New Roman" w:hAnsi="Times New Roman"/>
          <w:b/>
          <w:bCs/>
          <w:szCs w:val="23"/>
        </w:rPr>
        <w:t>本末究竟</w:t>
      </w:r>
      <w:r w:rsidRPr="00DA3BC7">
        <w:rPr>
          <w:rFonts w:ascii="Times New Roman" w:hAnsi="Times New Roman"/>
          <w:bCs/>
          <w:szCs w:val="23"/>
        </w:rPr>
        <w:t>，這是窮源竟委</w:t>
      </w:r>
      <w:r w:rsidRPr="00DA3BC7">
        <w:rPr>
          <w:rStyle w:val="a6"/>
          <w:rFonts w:ascii="Times New Roman" w:hAnsi="Times New Roman"/>
          <w:bCs/>
          <w:szCs w:val="23"/>
        </w:rPr>
        <w:footnoteReference w:id="676"/>
      </w:r>
      <w:r w:rsidRPr="00DA3BC7">
        <w:rPr>
          <w:rFonts w:ascii="Times New Roman" w:hAnsi="Times New Roman"/>
          <w:bCs/>
          <w:szCs w:val="23"/>
        </w:rPr>
        <w:t>的意思。</w:t>
      </w:r>
    </w:p>
    <w:p w:rsidR="0077258A" w:rsidRDefault="00AA120F" w:rsidP="00D41C1A">
      <w:pPr>
        <w:ind w:leftChars="200" w:left="480"/>
        <w:jc w:val="both"/>
        <w:rPr>
          <w:rFonts w:ascii="Times New Roman" w:hAnsi="Times New Roman"/>
          <w:bCs/>
          <w:szCs w:val="23"/>
        </w:rPr>
      </w:pPr>
      <w:r w:rsidRPr="00DA3BC7">
        <w:rPr>
          <w:rFonts w:ascii="Times New Roman" w:hAnsi="Times New Roman"/>
          <w:bCs/>
          <w:szCs w:val="23"/>
        </w:rPr>
        <w:t>《大智度論》卷</w:t>
      </w:r>
      <w:r w:rsidR="00C803C9">
        <w:rPr>
          <w:rFonts w:ascii="Times New Roman" w:hAnsi="Times New Roman" w:hint="eastAsia"/>
          <w:bCs/>
          <w:szCs w:val="23"/>
        </w:rPr>
        <w:t>32</w:t>
      </w:r>
      <w:r w:rsidRPr="00DA3BC7">
        <w:rPr>
          <w:rFonts w:ascii="Times New Roman" w:hAnsi="Times New Roman"/>
          <w:bCs/>
          <w:szCs w:val="23"/>
        </w:rPr>
        <w:t>有</w:t>
      </w:r>
      <w:r w:rsidRPr="00DA3BC7">
        <w:rPr>
          <w:rFonts w:ascii="Times New Roman" w:hAnsi="Times New Roman"/>
          <w:b/>
          <w:bCs/>
          <w:szCs w:val="23"/>
        </w:rPr>
        <w:t>限礙、開通方便</w:t>
      </w:r>
      <w:r w:rsidRPr="00DA3BC7">
        <w:rPr>
          <w:rFonts w:ascii="Times New Roman" w:hAnsi="Times New Roman"/>
          <w:bCs/>
          <w:szCs w:val="23"/>
        </w:rPr>
        <w:t>，與臺宗十法成乘</w:t>
      </w:r>
      <w:r w:rsidRPr="00DA3BC7">
        <w:rPr>
          <w:rStyle w:val="a6"/>
          <w:rFonts w:ascii="Times New Roman" w:hAnsi="Times New Roman"/>
          <w:bCs/>
          <w:szCs w:val="23"/>
        </w:rPr>
        <w:footnoteReference w:id="677"/>
      </w:r>
      <w:r w:rsidRPr="00DA3BC7">
        <w:rPr>
          <w:rFonts w:ascii="Times New Roman" w:hAnsi="Times New Roman"/>
          <w:bCs/>
          <w:szCs w:val="23"/>
        </w:rPr>
        <w:t>中的「通塞」</w:t>
      </w:r>
      <w:r w:rsidRPr="00DA3BC7">
        <w:rPr>
          <w:rStyle w:val="a6"/>
          <w:rFonts w:ascii="Times New Roman" w:hAnsi="Times New Roman"/>
          <w:bCs/>
          <w:szCs w:val="23"/>
        </w:rPr>
        <w:lastRenderedPageBreak/>
        <w:footnoteReference w:id="678"/>
      </w:r>
      <w:r w:rsidRPr="00DA3BC7">
        <w:rPr>
          <w:rFonts w:ascii="Times New Roman" w:hAnsi="Times New Roman"/>
          <w:bCs/>
          <w:szCs w:val="23"/>
        </w:rPr>
        <w:t>相近。</w:t>
      </w:r>
    </w:p>
    <w:p w:rsidR="00AA120F" w:rsidRPr="00DA3BC7" w:rsidRDefault="00AA120F" w:rsidP="00D41C1A">
      <w:pPr>
        <w:ind w:leftChars="200" w:left="480"/>
        <w:jc w:val="both"/>
        <w:rPr>
          <w:rFonts w:ascii="Times New Roman" w:hAnsi="Times New Roman"/>
          <w:bCs/>
          <w:szCs w:val="23"/>
        </w:rPr>
      </w:pPr>
      <w:r w:rsidRPr="00DA3BC7">
        <w:rPr>
          <w:rFonts w:ascii="Times New Roman" w:hAnsi="Times New Roman"/>
          <w:bCs/>
          <w:szCs w:val="23"/>
        </w:rPr>
        <w:t>《大智度論》卷</w:t>
      </w:r>
      <w:r w:rsidR="0077258A">
        <w:rPr>
          <w:rFonts w:ascii="Times New Roman" w:hAnsi="Times New Roman" w:hint="eastAsia"/>
          <w:bCs/>
          <w:szCs w:val="23"/>
        </w:rPr>
        <w:t>27</w:t>
      </w:r>
      <w:r w:rsidRPr="00DA3BC7">
        <w:rPr>
          <w:rFonts w:ascii="Times New Roman" w:hAnsi="Times New Roman"/>
          <w:bCs/>
          <w:szCs w:val="23"/>
        </w:rPr>
        <w:t>又多說得</w:t>
      </w:r>
      <w:r w:rsidRPr="00DA3BC7">
        <w:rPr>
          <w:rFonts w:ascii="Times New Roman" w:hAnsi="Times New Roman" w:hint="eastAsia"/>
          <w:bCs/>
          <w:szCs w:val="23"/>
        </w:rPr>
        <w:t>、</w:t>
      </w:r>
      <w:r w:rsidRPr="00DA3BC7">
        <w:rPr>
          <w:rFonts w:ascii="Times New Roman" w:hAnsi="Times New Roman"/>
          <w:bCs/>
          <w:szCs w:val="23"/>
        </w:rPr>
        <w:t>失二種。</w:t>
      </w:r>
    </w:p>
    <w:p w:rsidR="00AA120F" w:rsidRPr="00DA3BC7" w:rsidRDefault="0077258A" w:rsidP="00AE3920">
      <w:pPr>
        <w:spacing w:beforeLines="30"/>
        <w:ind w:leftChars="50" w:left="120"/>
        <w:jc w:val="both"/>
        <w:rPr>
          <w:rFonts w:ascii="Times New Roman" w:hAnsi="Times New Roman"/>
          <w:sz w:val="20"/>
          <w:szCs w:val="26"/>
        </w:rPr>
      </w:pPr>
      <w:r w:rsidRPr="0077258A">
        <w:rPr>
          <w:rFonts w:ascii="Times New Roman" w:hAnsi="Times New Roman" w:hint="eastAsia"/>
          <w:b/>
          <w:color w:val="FF0000"/>
          <w:sz w:val="20"/>
          <w:szCs w:val="26"/>
          <w:highlight w:val="yellow"/>
          <w:bdr w:val="single" w:sz="4" w:space="0" w:color="auto"/>
        </w:rPr>
        <w:t>（</w:t>
      </w:r>
      <w:r w:rsidR="00FC5046" w:rsidRPr="0077258A">
        <w:rPr>
          <w:rFonts w:ascii="Times New Roman" w:hAnsi="Times New Roman"/>
          <w:b/>
          <w:color w:val="FF0000"/>
          <w:sz w:val="20"/>
          <w:szCs w:val="26"/>
          <w:highlight w:val="yellow"/>
          <w:bdr w:val="single" w:sz="4" w:space="0" w:color="auto"/>
        </w:rPr>
        <w:t>參</w:t>
      </w:r>
      <w:r w:rsidRPr="0077258A">
        <w:rPr>
          <w:rFonts w:ascii="Times New Roman" w:hAnsi="Times New Roman" w:hint="eastAsia"/>
          <w:b/>
          <w:color w:val="FF0000"/>
          <w:sz w:val="20"/>
          <w:szCs w:val="26"/>
          <w:highlight w:val="yellow"/>
          <w:bdr w:val="single" w:sz="4" w:space="0" w:color="auto"/>
        </w:rPr>
        <w:t>）</w:t>
      </w:r>
      <w:r w:rsidRPr="0077258A">
        <w:rPr>
          <w:rFonts w:ascii="Times New Roman" w:hAnsi="Times New Roman" w:hint="eastAsia"/>
          <w:b/>
          <w:bCs/>
          <w:color w:val="FF0000"/>
          <w:sz w:val="20"/>
          <w:szCs w:val="26"/>
          <w:highlight w:val="yellow"/>
          <w:bdr w:val="single" w:sz="4" w:space="0" w:color="auto"/>
        </w:rPr>
        <w:t>「</w:t>
      </w:r>
      <w:r w:rsidRPr="0077258A">
        <w:rPr>
          <w:rFonts w:ascii="Times New Roman" w:hAnsi="Times New Roman"/>
          <w:b/>
          <w:bCs/>
          <w:color w:val="FF0000"/>
          <w:sz w:val="20"/>
          <w:szCs w:val="26"/>
          <w:highlight w:val="yellow"/>
          <w:bdr w:val="single" w:sz="4" w:space="0" w:color="auto"/>
        </w:rPr>
        <w:t>法</w:t>
      </w:r>
      <w:r w:rsidRPr="0077258A">
        <w:rPr>
          <w:rFonts w:ascii="Times New Roman" w:hAnsi="Times New Roman" w:hint="eastAsia"/>
          <w:b/>
          <w:bCs/>
          <w:color w:val="FF0000"/>
          <w:sz w:val="20"/>
          <w:szCs w:val="26"/>
          <w:highlight w:val="yellow"/>
          <w:bdr w:val="single" w:sz="4" w:space="0" w:color="auto"/>
        </w:rPr>
        <w:t>」、「</w:t>
      </w:r>
      <w:r w:rsidR="00AA120F" w:rsidRPr="0077258A">
        <w:rPr>
          <w:rFonts w:ascii="Times New Roman" w:hAnsi="Times New Roman" w:hint="eastAsia"/>
          <w:b/>
          <w:bCs/>
          <w:color w:val="FF0000"/>
          <w:sz w:val="20"/>
          <w:szCs w:val="26"/>
          <w:highlight w:val="yellow"/>
          <w:bdr w:val="single" w:sz="4" w:space="0" w:color="auto"/>
        </w:rPr>
        <w:t>相</w:t>
      </w:r>
      <w:r w:rsidRPr="0077258A">
        <w:rPr>
          <w:rFonts w:ascii="Times New Roman" w:hAnsi="Times New Roman" w:hint="eastAsia"/>
          <w:b/>
          <w:bCs/>
          <w:color w:val="FF0000"/>
          <w:sz w:val="20"/>
          <w:szCs w:val="26"/>
          <w:highlight w:val="yellow"/>
          <w:bdr w:val="single" w:sz="4" w:space="0" w:color="auto"/>
        </w:rPr>
        <w:t>」</w:t>
      </w:r>
      <w:r w:rsidR="00AA120F" w:rsidRPr="0077258A">
        <w:rPr>
          <w:rFonts w:ascii="Times New Roman" w:hAnsi="Times New Roman"/>
          <w:b/>
          <w:bCs/>
          <w:color w:val="FF0000"/>
          <w:sz w:val="20"/>
          <w:szCs w:val="26"/>
          <w:highlight w:val="yellow"/>
          <w:bdr w:val="single" w:sz="4" w:space="0" w:color="auto"/>
        </w:rPr>
        <w:t>的</w:t>
      </w:r>
      <w:r w:rsidRPr="0077258A">
        <w:rPr>
          <w:rFonts w:ascii="Times New Roman" w:hAnsi="Times New Roman" w:hint="eastAsia"/>
          <w:b/>
          <w:bCs/>
          <w:color w:val="FF0000"/>
          <w:sz w:val="20"/>
          <w:szCs w:val="26"/>
          <w:highlight w:val="yellow"/>
          <w:bdr w:val="single" w:sz="4" w:space="0" w:color="auto"/>
        </w:rPr>
        <w:t>關聯</w:t>
      </w:r>
      <w:r w:rsidR="00AA120F" w:rsidRPr="00DA3BC7">
        <w:rPr>
          <w:rFonts w:ascii="Times New Roman" w:hAnsi="Times New Roman"/>
          <w:sz w:val="20"/>
          <w:szCs w:val="26"/>
        </w:rPr>
        <w:t>（</w:t>
      </w:r>
      <w:r w:rsidR="00AA120F" w:rsidRPr="00DA3BC7">
        <w:rPr>
          <w:rFonts w:ascii="Times New Roman" w:hAnsi="Times New Roman" w:hint="eastAsia"/>
          <w:sz w:val="20"/>
          <w:szCs w:val="26"/>
        </w:rPr>
        <w:t>p</w:t>
      </w:r>
      <w:r w:rsidR="00AA120F" w:rsidRPr="00DA3BC7">
        <w:rPr>
          <w:rFonts w:ascii="Times New Roman" w:hAnsi="Times New Roman"/>
          <w:sz w:val="20"/>
          <w:szCs w:val="26"/>
        </w:rPr>
        <w:t>p.146</w:t>
      </w:r>
      <w:r w:rsidR="00AA120F" w:rsidRPr="00DA3BC7">
        <w:rPr>
          <w:rFonts w:ascii="Times New Roman" w:hAnsi="Times New Roman" w:hint="eastAsia"/>
          <w:sz w:val="20"/>
          <w:szCs w:val="26"/>
        </w:rPr>
        <w:t>-147</w:t>
      </w:r>
      <w:r w:rsidR="00AA120F" w:rsidRPr="00DA3BC7">
        <w:rPr>
          <w:rFonts w:ascii="Times New Roman" w:hAnsi="Times New Roman"/>
          <w:sz w:val="20"/>
          <w:szCs w:val="26"/>
        </w:rPr>
        <w:t>）</w:t>
      </w:r>
    </w:p>
    <w:p w:rsidR="0077258A" w:rsidRDefault="0077258A" w:rsidP="00D41C1A">
      <w:pPr>
        <w:ind w:leftChars="100" w:left="240"/>
        <w:jc w:val="both"/>
        <w:rPr>
          <w:rFonts w:ascii="Times New Roman" w:hAnsi="Times New Roman"/>
          <w:bCs/>
          <w:szCs w:val="23"/>
        </w:rPr>
      </w:pPr>
      <w:r w:rsidRPr="0077258A">
        <w:rPr>
          <w:rFonts w:ascii="Times New Roman" w:hAnsi="Times New Roman" w:hint="eastAsia"/>
          <w:b/>
          <w:bCs/>
          <w:color w:val="FF0000"/>
          <w:sz w:val="20"/>
          <w:szCs w:val="26"/>
          <w:highlight w:val="yellow"/>
          <w:bdr w:val="single" w:sz="4" w:space="0" w:color="auto"/>
        </w:rPr>
        <w:t>一、「相」</w:t>
      </w:r>
      <w:r>
        <w:rPr>
          <w:rFonts w:ascii="Times New Roman" w:hAnsi="Times New Roman" w:hint="eastAsia"/>
          <w:b/>
          <w:bCs/>
          <w:color w:val="FF0000"/>
          <w:sz w:val="20"/>
          <w:szCs w:val="26"/>
          <w:highlight w:val="yellow"/>
          <w:bdr w:val="single" w:sz="4" w:space="0" w:color="auto"/>
        </w:rPr>
        <w:t>不離</w:t>
      </w:r>
      <w:r w:rsidRPr="0077258A">
        <w:rPr>
          <w:rFonts w:ascii="Times New Roman" w:hAnsi="Times New Roman" w:hint="eastAsia"/>
          <w:b/>
          <w:bCs/>
          <w:color w:val="FF0000"/>
          <w:sz w:val="20"/>
          <w:szCs w:val="26"/>
          <w:highlight w:val="yellow"/>
          <w:bdr w:val="single" w:sz="4" w:space="0" w:color="auto"/>
        </w:rPr>
        <w:t>「</w:t>
      </w:r>
      <w:r w:rsidRPr="0077258A">
        <w:rPr>
          <w:rFonts w:ascii="Times New Roman" w:hAnsi="Times New Roman"/>
          <w:b/>
          <w:bCs/>
          <w:color w:val="FF0000"/>
          <w:sz w:val="20"/>
          <w:szCs w:val="26"/>
          <w:highlight w:val="yellow"/>
          <w:bdr w:val="single" w:sz="4" w:space="0" w:color="auto"/>
        </w:rPr>
        <w:t>法</w:t>
      </w:r>
      <w:r w:rsidRPr="0077258A">
        <w:rPr>
          <w:rFonts w:ascii="Times New Roman" w:hAnsi="Times New Roman" w:hint="eastAsia"/>
          <w:b/>
          <w:bCs/>
          <w:color w:val="FF0000"/>
          <w:sz w:val="20"/>
          <w:szCs w:val="26"/>
          <w:highlight w:val="yellow"/>
          <w:bdr w:val="single" w:sz="4" w:space="0" w:color="auto"/>
        </w:rPr>
        <w:t>」</w:t>
      </w:r>
      <w:r w:rsidRPr="00DA3BC7">
        <w:rPr>
          <w:rFonts w:ascii="Times New Roman" w:hAnsi="Times New Roman"/>
          <w:sz w:val="20"/>
          <w:szCs w:val="26"/>
        </w:rPr>
        <w:t>（</w:t>
      </w:r>
      <w:r w:rsidRPr="00DA3BC7">
        <w:rPr>
          <w:rFonts w:ascii="Times New Roman" w:hAnsi="Times New Roman"/>
          <w:sz w:val="20"/>
          <w:szCs w:val="26"/>
        </w:rPr>
        <w:t>p.</w:t>
      </w:r>
      <w:r>
        <w:rPr>
          <w:rFonts w:ascii="Times New Roman" w:hAnsi="Times New Roman" w:hint="eastAsia"/>
          <w:sz w:val="20"/>
          <w:szCs w:val="26"/>
        </w:rPr>
        <w:t>146</w:t>
      </w:r>
      <w:r w:rsidRPr="00DA3BC7">
        <w:rPr>
          <w:rFonts w:ascii="Times New Roman" w:hAnsi="Times New Roman"/>
          <w:sz w:val="20"/>
          <w:szCs w:val="26"/>
        </w:rPr>
        <w:t>）</w:t>
      </w:r>
    </w:p>
    <w:p w:rsidR="0077258A" w:rsidRDefault="00AA120F" w:rsidP="00D41C1A">
      <w:pPr>
        <w:ind w:leftChars="100" w:left="240"/>
        <w:jc w:val="both"/>
        <w:rPr>
          <w:rFonts w:ascii="Times New Roman" w:hAnsi="Times New Roman"/>
          <w:bCs/>
          <w:szCs w:val="23"/>
        </w:rPr>
      </w:pPr>
      <w:r w:rsidRPr="00DA3BC7">
        <w:rPr>
          <w:rFonts w:ascii="Times New Roman" w:hAnsi="Times New Roman"/>
          <w:bCs/>
          <w:szCs w:val="23"/>
        </w:rPr>
        <w:t>無論是說性、說相</w:t>
      </w:r>
      <w:r w:rsidRPr="00DA3BC7">
        <w:rPr>
          <w:rFonts w:ascii="Times New Roman" w:hAnsi="Times New Roman" w:hint="eastAsia"/>
          <w:bCs/>
          <w:szCs w:val="23"/>
        </w:rPr>
        <w:t>，</w:t>
      </w:r>
      <w:r w:rsidRPr="00DA3BC7">
        <w:rPr>
          <w:rFonts w:ascii="Times New Roman" w:hAnsi="Times New Roman"/>
          <w:bCs/>
          <w:szCs w:val="23"/>
        </w:rPr>
        <w:t>乃至因果，都是就某某法而作如是觀察的，離開了存在的事實，這些相都無從安立。古代阿毘曇論師，即是側重一一法上一一相之考察的。</w:t>
      </w:r>
    </w:p>
    <w:p w:rsidR="0077258A" w:rsidRPr="00DA3BC7" w:rsidRDefault="0077258A" w:rsidP="00AE3920">
      <w:pPr>
        <w:spacing w:beforeLines="30"/>
        <w:ind w:leftChars="100" w:left="240"/>
        <w:jc w:val="both"/>
        <w:rPr>
          <w:rFonts w:ascii="Times New Roman" w:hAnsi="Times New Roman"/>
          <w:sz w:val="20"/>
          <w:szCs w:val="26"/>
        </w:rPr>
      </w:pPr>
      <w:r>
        <w:rPr>
          <w:rFonts w:ascii="Times New Roman" w:hAnsi="Times New Roman" w:hint="eastAsia"/>
          <w:b/>
          <w:color w:val="FF0000"/>
          <w:sz w:val="20"/>
          <w:szCs w:val="26"/>
          <w:highlight w:val="yellow"/>
          <w:bdr w:val="single" w:sz="4" w:space="0" w:color="auto"/>
        </w:rPr>
        <w:t>二</w:t>
      </w:r>
      <w:r w:rsidRPr="0077258A">
        <w:rPr>
          <w:rFonts w:ascii="Times New Roman" w:hAnsi="Times New Roman"/>
          <w:b/>
          <w:color w:val="FF0000"/>
          <w:sz w:val="20"/>
          <w:szCs w:val="26"/>
          <w:highlight w:val="yellow"/>
          <w:bdr w:val="single" w:sz="4" w:space="0" w:color="auto"/>
        </w:rPr>
        <w:t>、</w:t>
      </w:r>
      <w:r w:rsidRPr="0077258A">
        <w:rPr>
          <w:rFonts w:ascii="Times New Roman" w:hAnsi="Times New Roman" w:hint="eastAsia"/>
          <w:b/>
          <w:bCs/>
          <w:color w:val="FF0000"/>
          <w:sz w:val="20"/>
          <w:szCs w:val="26"/>
          <w:highlight w:val="yellow"/>
          <w:bdr w:val="single" w:sz="4" w:space="0" w:color="auto"/>
        </w:rPr>
        <w:t>「相」</w:t>
      </w:r>
      <w:r>
        <w:rPr>
          <w:rFonts w:ascii="Times New Roman" w:hAnsi="Times New Roman" w:hint="eastAsia"/>
          <w:b/>
          <w:bCs/>
          <w:color w:val="FF0000"/>
          <w:sz w:val="20"/>
          <w:szCs w:val="26"/>
          <w:highlight w:val="yellow"/>
          <w:bdr w:val="single" w:sz="4" w:space="0" w:color="auto"/>
        </w:rPr>
        <w:t>通</w:t>
      </w:r>
      <w:r w:rsidRPr="0077258A">
        <w:rPr>
          <w:rFonts w:ascii="Times New Roman" w:hAnsi="Times New Roman" w:hint="eastAsia"/>
          <w:b/>
          <w:bCs/>
          <w:color w:val="FF0000"/>
          <w:sz w:val="20"/>
          <w:szCs w:val="26"/>
          <w:highlight w:val="yellow"/>
          <w:bdr w:val="single" w:sz="4" w:space="0" w:color="auto"/>
        </w:rPr>
        <w:t>「</w:t>
      </w:r>
      <w:r>
        <w:rPr>
          <w:rFonts w:ascii="Times New Roman" w:hAnsi="Times New Roman" w:hint="eastAsia"/>
          <w:b/>
          <w:bCs/>
          <w:color w:val="FF0000"/>
          <w:sz w:val="20"/>
          <w:szCs w:val="26"/>
          <w:highlight w:val="yellow"/>
          <w:bdr w:val="single" w:sz="4" w:space="0" w:color="auto"/>
        </w:rPr>
        <w:t>諸</w:t>
      </w:r>
      <w:r w:rsidRPr="0077258A">
        <w:rPr>
          <w:rFonts w:ascii="Times New Roman" w:hAnsi="Times New Roman"/>
          <w:b/>
          <w:bCs/>
          <w:color w:val="FF0000"/>
          <w:sz w:val="20"/>
          <w:szCs w:val="26"/>
          <w:highlight w:val="yellow"/>
          <w:bdr w:val="single" w:sz="4" w:space="0" w:color="auto"/>
        </w:rPr>
        <w:t>法</w:t>
      </w:r>
      <w:r w:rsidRPr="0077258A">
        <w:rPr>
          <w:rFonts w:ascii="Times New Roman" w:hAnsi="Times New Roman" w:hint="eastAsia"/>
          <w:b/>
          <w:bCs/>
          <w:color w:val="FF0000"/>
          <w:sz w:val="20"/>
          <w:szCs w:val="26"/>
          <w:highlight w:val="yellow"/>
          <w:bdr w:val="single" w:sz="4" w:space="0" w:color="auto"/>
        </w:rPr>
        <w:t>」</w:t>
      </w:r>
      <w:r w:rsidRPr="00DA3BC7">
        <w:rPr>
          <w:rFonts w:ascii="Times New Roman" w:hAnsi="Times New Roman"/>
          <w:sz w:val="20"/>
          <w:szCs w:val="26"/>
        </w:rPr>
        <w:t>（</w:t>
      </w:r>
      <w:r w:rsidRPr="00DA3BC7">
        <w:rPr>
          <w:rFonts w:ascii="Times New Roman" w:hAnsi="Times New Roman" w:hint="eastAsia"/>
          <w:sz w:val="20"/>
          <w:szCs w:val="26"/>
        </w:rPr>
        <w:t>p</w:t>
      </w:r>
      <w:r w:rsidRPr="00DA3BC7">
        <w:rPr>
          <w:rFonts w:ascii="Times New Roman" w:hAnsi="Times New Roman"/>
          <w:sz w:val="20"/>
          <w:szCs w:val="26"/>
        </w:rPr>
        <w:t>p.146</w:t>
      </w:r>
      <w:r w:rsidRPr="00DA3BC7">
        <w:rPr>
          <w:rFonts w:ascii="Times New Roman" w:hAnsi="Times New Roman" w:hint="eastAsia"/>
          <w:sz w:val="20"/>
          <w:szCs w:val="26"/>
        </w:rPr>
        <w:t>-147</w:t>
      </w:r>
      <w:r w:rsidRPr="00DA3BC7">
        <w:rPr>
          <w:rFonts w:ascii="Times New Roman" w:hAnsi="Times New Roman"/>
          <w:sz w:val="20"/>
          <w:szCs w:val="26"/>
        </w:rPr>
        <w:t>）</w:t>
      </w:r>
    </w:p>
    <w:p w:rsidR="0077258A" w:rsidRDefault="00AA120F" w:rsidP="00D41C1A">
      <w:pPr>
        <w:ind w:leftChars="100" w:left="240"/>
        <w:jc w:val="both"/>
        <w:rPr>
          <w:rFonts w:ascii="Times New Roman" w:hAnsi="Times New Roman"/>
          <w:bCs/>
          <w:szCs w:val="23"/>
        </w:rPr>
      </w:pPr>
      <w:r w:rsidRPr="00DA3BC7">
        <w:rPr>
          <w:rFonts w:ascii="Times New Roman" w:hAnsi="Times New Roman"/>
          <w:bCs/>
          <w:szCs w:val="23"/>
        </w:rPr>
        <w:t>然而這九相或十相，所以應作如此觀察者，即因為</w:t>
      </w:r>
      <w:r w:rsidRPr="00DA3BC7">
        <w:rPr>
          <w:rFonts w:ascii="Times New Roman" w:hAnsi="Times New Roman"/>
          <w:b/>
          <w:bCs/>
          <w:szCs w:val="23"/>
        </w:rPr>
        <w:t>這些是法法所共有的，</w:t>
      </w:r>
      <w:r w:rsidRPr="00DA3BC7">
        <w:rPr>
          <w:rFonts w:ascii="Times New Roman" w:hAnsi="Times New Roman"/>
          <w:b/>
          <w:bCs/>
          <w:szCs w:val="23"/>
        </w:rPr>
        <w:lastRenderedPageBreak/>
        <w:t>存在於時空而變動不居</w:t>
      </w:r>
      <w:r w:rsidRPr="00DA3BC7">
        <w:rPr>
          <w:rStyle w:val="a6"/>
          <w:rFonts w:ascii="Times New Roman" w:hAnsi="Times New Roman"/>
          <w:bCs/>
          <w:szCs w:val="23"/>
        </w:rPr>
        <w:footnoteReference w:id="679"/>
      </w:r>
      <w:r w:rsidRPr="00DA3BC7">
        <w:rPr>
          <w:rFonts w:ascii="Times New Roman" w:hAnsi="Times New Roman"/>
          <w:b/>
          <w:bCs/>
          <w:szCs w:val="23"/>
        </w:rPr>
        <w:t>者，必然具備這些，所以這些即是諸法共通的法則</w:t>
      </w:r>
      <w:r w:rsidRPr="00DA3BC7">
        <w:rPr>
          <w:rFonts w:ascii="Times New Roman" w:hAnsi="Times New Roman"/>
          <w:bCs/>
          <w:szCs w:val="23"/>
        </w:rPr>
        <w:t>。</w:t>
      </w:r>
    </w:p>
    <w:p w:rsidR="0077258A" w:rsidRPr="00DA3BC7" w:rsidRDefault="0077258A" w:rsidP="00AE3920">
      <w:pPr>
        <w:spacing w:beforeLines="30"/>
        <w:jc w:val="both"/>
        <w:rPr>
          <w:rFonts w:ascii="Times New Roman" w:hAnsi="Times New Roman"/>
          <w:sz w:val="20"/>
          <w:szCs w:val="26"/>
        </w:rPr>
      </w:pPr>
      <w:r w:rsidRPr="0077258A">
        <w:rPr>
          <w:rFonts w:ascii="Times New Roman" w:hAnsi="Times New Roman"/>
          <w:b/>
          <w:color w:val="FF0000"/>
          <w:sz w:val="20"/>
          <w:szCs w:val="26"/>
          <w:highlight w:val="yellow"/>
          <w:bdr w:val="single" w:sz="4" w:space="0" w:color="auto"/>
        </w:rPr>
        <w:t>參、</w:t>
      </w:r>
      <w:r w:rsidRPr="0077258A">
        <w:rPr>
          <w:rFonts w:ascii="Times New Roman" w:hAnsi="Times New Roman"/>
          <w:b/>
          <w:bCs/>
          <w:color w:val="FF0000"/>
          <w:sz w:val="20"/>
          <w:szCs w:val="26"/>
          <w:highlight w:val="yellow"/>
          <w:bdr w:val="single" w:sz="4" w:space="0" w:color="auto"/>
        </w:rPr>
        <w:t>結</w:t>
      </w:r>
      <w:r w:rsidRPr="0077258A">
        <w:rPr>
          <w:rFonts w:ascii="Times New Roman" w:hAnsi="Times New Roman" w:hint="eastAsia"/>
          <w:b/>
          <w:bCs/>
          <w:color w:val="FF0000"/>
          <w:sz w:val="20"/>
          <w:szCs w:val="26"/>
          <w:highlight w:val="yellow"/>
          <w:bdr w:val="single" w:sz="4" w:space="0" w:color="auto"/>
        </w:rPr>
        <w:t>前啟後</w:t>
      </w:r>
      <w:r w:rsidRPr="00DA3BC7">
        <w:rPr>
          <w:rFonts w:ascii="Times New Roman" w:hAnsi="Times New Roman"/>
          <w:sz w:val="20"/>
          <w:szCs w:val="26"/>
        </w:rPr>
        <w:t>（</w:t>
      </w:r>
      <w:r w:rsidRPr="00DA3BC7">
        <w:rPr>
          <w:rFonts w:ascii="Times New Roman" w:hAnsi="Times New Roman"/>
          <w:sz w:val="20"/>
          <w:szCs w:val="26"/>
        </w:rPr>
        <w:t>p.</w:t>
      </w:r>
      <w:r w:rsidRPr="00DA3BC7">
        <w:rPr>
          <w:rFonts w:ascii="Times New Roman" w:hAnsi="Times New Roman" w:hint="eastAsia"/>
          <w:sz w:val="20"/>
          <w:szCs w:val="26"/>
        </w:rPr>
        <w:t>147</w:t>
      </w:r>
      <w:r w:rsidRPr="00DA3BC7">
        <w:rPr>
          <w:rFonts w:ascii="Times New Roman" w:hAnsi="Times New Roman"/>
          <w:sz w:val="20"/>
          <w:szCs w:val="26"/>
        </w:rPr>
        <w:t>）</w:t>
      </w:r>
    </w:p>
    <w:p w:rsidR="00AA120F" w:rsidRDefault="00AA120F" w:rsidP="008E2BBC">
      <w:pPr>
        <w:jc w:val="both"/>
        <w:rPr>
          <w:rFonts w:ascii="Times New Roman" w:hAnsi="Times New Roman"/>
          <w:bCs/>
          <w:szCs w:val="23"/>
        </w:rPr>
      </w:pPr>
      <w:r w:rsidRPr="00DA3BC7">
        <w:rPr>
          <w:rFonts w:ascii="Times New Roman" w:hAnsi="Times New Roman"/>
          <w:bCs/>
          <w:szCs w:val="23"/>
        </w:rPr>
        <w:t>現在即從這諸法的法則去說明，當然，佛所了知的，不僅是此共通的法則而已！</w:t>
      </w:r>
    </w:p>
    <w:p w:rsidR="00140F1C" w:rsidRDefault="00140F1C" w:rsidP="008E2BBC">
      <w:pPr>
        <w:jc w:val="both"/>
        <w:rPr>
          <w:rFonts w:ascii="Times New Roman" w:hAnsi="Times New Roman"/>
          <w:bCs/>
          <w:szCs w:val="23"/>
        </w:rPr>
      </w:pPr>
    </w:p>
    <w:p w:rsidR="00140F1C" w:rsidRPr="00DA3BC7" w:rsidRDefault="00140F1C" w:rsidP="008E2BBC">
      <w:pPr>
        <w:jc w:val="both"/>
        <w:rPr>
          <w:rFonts w:ascii="Times New Roman" w:hAnsi="Times New Roman"/>
          <w:bCs/>
          <w:szCs w:val="23"/>
        </w:rPr>
      </w:pPr>
    </w:p>
    <w:p w:rsidR="00AA120F" w:rsidRPr="00DA3BC7" w:rsidRDefault="00AA120F" w:rsidP="00AE3920">
      <w:pPr>
        <w:spacing w:beforeLines="100"/>
        <w:jc w:val="both"/>
        <w:rPr>
          <w:rFonts w:ascii="Times New Roman" w:hAnsi="Times New Roman"/>
        </w:rPr>
      </w:pPr>
      <w:r w:rsidRPr="00DA3BC7">
        <w:rPr>
          <w:rFonts w:ascii="Times New Roman" w:hAnsi="Times New Roman" w:hint="eastAsia"/>
          <w:b/>
        </w:rPr>
        <w:t>附錄：</w:t>
      </w:r>
      <w:r w:rsidRPr="00DA3BC7">
        <w:rPr>
          <w:rFonts w:ascii="Times New Roman" w:hAnsi="Times New Roman" w:hint="eastAsia"/>
        </w:rPr>
        <w:t>印順法師，</w:t>
      </w:r>
      <w:r w:rsidR="007450FC" w:rsidRPr="007450FC">
        <w:rPr>
          <w:rFonts w:ascii="Times New Roman" w:hAnsi="Times New Roman" w:hint="eastAsia"/>
          <w:color w:val="FF0000"/>
          <w:highlight w:val="yellow"/>
        </w:rPr>
        <w:t>〈《大智度論》之作者及其翻譯〉，</w:t>
      </w:r>
      <w:r w:rsidRPr="00DA3BC7">
        <w:rPr>
          <w:rFonts w:ascii="Times New Roman" w:hAnsi="Times New Roman" w:hint="eastAsia"/>
        </w:rPr>
        <w:t>《永光集》，</w:t>
      </w:r>
      <w:r w:rsidRPr="00DA3BC7">
        <w:rPr>
          <w:rFonts w:ascii="Times New Roman" w:hAnsi="Times New Roman" w:hint="eastAsia"/>
        </w:rPr>
        <w:t>pp.59-60</w:t>
      </w:r>
      <w:r w:rsidRPr="00DA3BC7">
        <w:rPr>
          <w:rFonts w:ascii="Times New Roman" w:hAnsi="Times New Roman" w:hint="eastAsia"/>
        </w:rPr>
        <w:t>：</w:t>
      </w:r>
    </w:p>
    <w:p w:rsidR="00AA120F" w:rsidRPr="00DA3BC7" w:rsidRDefault="00AA120F" w:rsidP="008E2BBC">
      <w:pPr>
        <w:jc w:val="both"/>
        <w:rPr>
          <w:rFonts w:ascii="Times New Roman" w:hAnsi="Times New Roman"/>
        </w:rPr>
      </w:pPr>
      <w:r w:rsidRPr="00DA3BC7">
        <w:rPr>
          <w:rFonts w:ascii="Times New Roman" w:hAnsi="Times New Roman" w:hint="eastAsia"/>
        </w:rPr>
        <w:t>《大智度論》卷</w:t>
      </w:r>
      <w:r w:rsidRPr="00DA3BC7">
        <w:rPr>
          <w:rFonts w:ascii="Times New Roman" w:hAnsi="Times New Roman" w:hint="eastAsia"/>
        </w:rPr>
        <w:t>32</w:t>
      </w:r>
      <w:r w:rsidRPr="00DA3BC7">
        <w:rPr>
          <w:rFonts w:ascii="Times New Roman" w:hAnsi="Times New Roman" w:hint="eastAsia"/>
        </w:rPr>
        <w:t>（大正</w:t>
      </w:r>
      <w:r w:rsidR="007450FC">
        <w:rPr>
          <w:rFonts w:ascii="Times New Roman" w:hAnsi="Times New Roman" w:hint="eastAsia"/>
        </w:rPr>
        <w:t>25</w:t>
      </w:r>
      <w:r w:rsidR="007450FC">
        <w:rPr>
          <w:rFonts w:ascii="Times New Roman" w:hAnsi="Times New Roman" w:hint="eastAsia"/>
        </w:rPr>
        <w:t>，</w:t>
      </w:r>
      <w:r w:rsidR="007450FC">
        <w:rPr>
          <w:rFonts w:ascii="Times New Roman" w:hAnsi="Times New Roman" w:hint="eastAsia"/>
        </w:rPr>
        <w:t>298c</w:t>
      </w:r>
      <w:r w:rsidRPr="00DA3BC7">
        <w:rPr>
          <w:rFonts w:ascii="Times New Roman" w:hAnsi="Times New Roman" w:hint="eastAsia"/>
        </w:rPr>
        <w:t>）說：</w:t>
      </w:r>
    </w:p>
    <w:p w:rsidR="00AA120F" w:rsidRPr="00DA3BC7" w:rsidRDefault="00AA120F" w:rsidP="00AE3920">
      <w:pPr>
        <w:spacing w:beforeLines="20"/>
        <w:ind w:leftChars="200" w:left="480"/>
        <w:jc w:val="both"/>
        <w:rPr>
          <w:rFonts w:ascii="Times New Roman" w:hAnsi="Times New Roman"/>
        </w:rPr>
      </w:pPr>
      <w:r w:rsidRPr="00DA3BC7">
        <w:rPr>
          <w:rFonts w:ascii="Times New Roman" w:hAnsi="Times New Roman" w:hint="eastAsia"/>
        </w:rPr>
        <w:t>「</w:t>
      </w:r>
      <w:r w:rsidRPr="00DA3BC7">
        <w:rPr>
          <w:rFonts w:ascii="標楷體" w:eastAsia="標楷體" w:hAnsi="標楷體" w:hint="eastAsia"/>
        </w:rPr>
        <w:t>一一法有九種：一者有體，二者各各有法，……三者諸法各有力，……四者諸法各自有因，五者諸法各自有緣，六者諸法各自有果，七者諸法各自有性，八者諸法各有限礙，九者諸法各各有開通方便。</w:t>
      </w:r>
      <w:r w:rsidRPr="00DA3BC7">
        <w:rPr>
          <w:rFonts w:ascii="Times New Roman" w:hAnsi="Times New Roman" w:hint="eastAsia"/>
        </w:rPr>
        <w:t>」</w:t>
      </w:r>
    </w:p>
    <w:p w:rsidR="00AA120F" w:rsidRDefault="00AA120F" w:rsidP="00AE3920">
      <w:pPr>
        <w:spacing w:beforeLines="20" w:afterLines="20"/>
        <w:jc w:val="both"/>
        <w:rPr>
          <w:rFonts w:ascii="Times New Roman" w:hAnsi="Times New Roman"/>
        </w:rPr>
      </w:pPr>
      <w:r w:rsidRPr="00DA3BC7">
        <w:rPr>
          <w:rFonts w:ascii="Times New Roman" w:hAnsi="Times New Roman" w:hint="eastAsia"/>
        </w:rPr>
        <w:t>此下並說明一一法之九事，有下如、中如與上如。</w:t>
      </w:r>
      <w:r w:rsidRPr="00DA3BC7">
        <w:rPr>
          <w:rStyle w:val="a6"/>
          <w:rFonts w:ascii="Times New Roman" w:hAnsi="Times New Roman"/>
        </w:rPr>
        <w:footnoteReference w:id="680"/>
      </w:r>
      <w:r w:rsidRPr="00DA3BC7">
        <w:rPr>
          <w:rFonts w:ascii="Times New Roman" w:hAnsi="Times New Roman" w:hint="eastAsia"/>
        </w:rPr>
        <w:t>這九事，在《大智度論》卷</w:t>
      </w:r>
      <w:r w:rsidR="007450FC">
        <w:rPr>
          <w:rFonts w:ascii="Times New Roman" w:hAnsi="Times New Roman" w:hint="eastAsia"/>
        </w:rPr>
        <w:t>33</w:t>
      </w:r>
      <w:r w:rsidRPr="00DA3BC7">
        <w:rPr>
          <w:rFonts w:ascii="Times New Roman" w:hAnsi="Times New Roman" w:hint="eastAsia"/>
        </w:rPr>
        <w:t>、卷</w:t>
      </w:r>
      <w:r w:rsidR="007450FC">
        <w:rPr>
          <w:rFonts w:ascii="Times New Roman" w:hAnsi="Times New Roman" w:hint="eastAsia"/>
        </w:rPr>
        <w:t>27</w:t>
      </w:r>
      <w:r w:rsidRPr="00DA3BC7">
        <w:rPr>
          <w:rFonts w:ascii="Times New Roman" w:hAnsi="Times New Roman" w:hint="eastAsia"/>
        </w:rPr>
        <w:t>又各有一文，與《妙法蓮華經》的「十如是」，大致相近。茲列表如下：</w:t>
      </w:r>
    </w:p>
    <w:p w:rsidR="00140F1C" w:rsidRDefault="00140F1C" w:rsidP="00AE3920">
      <w:pPr>
        <w:spacing w:beforeLines="20" w:afterLines="20"/>
        <w:jc w:val="both"/>
        <w:rPr>
          <w:rFonts w:ascii="Times New Roman" w:hAnsi="Times New Roman"/>
        </w:rPr>
      </w:pPr>
    </w:p>
    <w:p w:rsidR="00140F1C" w:rsidRDefault="00140F1C" w:rsidP="00AE3920">
      <w:pPr>
        <w:spacing w:beforeLines="20" w:afterLines="20"/>
        <w:jc w:val="both"/>
        <w:rPr>
          <w:rFonts w:ascii="Times New Roman" w:hAnsi="Times New Roman"/>
        </w:rPr>
      </w:pPr>
    </w:p>
    <w:p w:rsidR="00140F1C" w:rsidRDefault="00140F1C" w:rsidP="00AE3920">
      <w:pPr>
        <w:spacing w:beforeLines="20" w:afterLines="20"/>
        <w:jc w:val="both"/>
        <w:rPr>
          <w:rFonts w:ascii="Times New Roman" w:hAnsi="Times New Roman"/>
        </w:rPr>
      </w:pPr>
    </w:p>
    <w:p w:rsidR="00140F1C" w:rsidRDefault="00140F1C" w:rsidP="00AE3920">
      <w:pPr>
        <w:spacing w:beforeLines="20" w:afterLines="20"/>
        <w:jc w:val="both"/>
        <w:rPr>
          <w:rFonts w:ascii="Times New Roman" w:hAnsi="Times New Roman"/>
        </w:rPr>
      </w:pPr>
    </w:p>
    <w:p w:rsidR="00140F1C" w:rsidRDefault="00140F1C" w:rsidP="00AE3920">
      <w:pPr>
        <w:spacing w:beforeLines="20" w:afterLines="20"/>
        <w:jc w:val="both"/>
        <w:rPr>
          <w:rFonts w:ascii="Times New Roman" w:hAnsi="Times New Roman"/>
        </w:rPr>
      </w:pPr>
    </w:p>
    <w:p w:rsidR="00140F1C" w:rsidRPr="00DA3BC7" w:rsidRDefault="00140F1C" w:rsidP="00AE3920">
      <w:pPr>
        <w:spacing w:beforeLines="20" w:afterLines="20"/>
        <w:jc w:val="both"/>
        <w:rPr>
          <w:rFonts w:ascii="Times New Roman" w:hAnsi="Times New Roman"/>
        </w:rPr>
      </w:pP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tblPr>
      <w:tblGrid>
        <w:gridCol w:w="1668"/>
        <w:gridCol w:w="481"/>
        <w:gridCol w:w="481"/>
        <w:gridCol w:w="481"/>
        <w:gridCol w:w="481"/>
        <w:gridCol w:w="481"/>
        <w:gridCol w:w="481"/>
        <w:gridCol w:w="481"/>
        <w:gridCol w:w="481"/>
        <w:gridCol w:w="481"/>
        <w:gridCol w:w="481"/>
        <w:gridCol w:w="481"/>
        <w:gridCol w:w="481"/>
        <w:gridCol w:w="748"/>
      </w:tblGrid>
      <w:tr w:rsidR="00AA120F" w:rsidRPr="00DA3BC7" w:rsidTr="004F4714">
        <w:trPr>
          <w:cantSplit/>
          <w:trHeight w:val="845"/>
        </w:trPr>
        <w:tc>
          <w:tcPr>
            <w:tcW w:w="1668" w:type="dxa"/>
            <w:shd w:val="clear" w:color="auto" w:fill="auto"/>
          </w:tcPr>
          <w:p w:rsidR="00AA120F" w:rsidRPr="00DA3BC7" w:rsidRDefault="00AA120F" w:rsidP="008E2BBC">
            <w:pPr>
              <w:jc w:val="center"/>
              <w:rPr>
                <w:rFonts w:ascii="Times New Roman" w:hAnsi="Times New Roman"/>
              </w:rPr>
            </w:pPr>
            <w:r w:rsidRPr="00DA3BC7">
              <w:rPr>
                <w:rFonts w:ascii="Times New Roman" w:hAnsi="Times New Roman"/>
              </w:rPr>
              <w:t>《法華經》</w:t>
            </w:r>
            <w:r w:rsidRPr="00DA3BC7">
              <w:rPr>
                <w:rFonts w:ascii="Times New Roman" w:hAnsi="Times New Roman"/>
              </w:rPr>
              <w:br/>
            </w:r>
            <w:r w:rsidRPr="00DA3BC7">
              <w:rPr>
                <w:rFonts w:ascii="Times New Roman" w:hAnsi="Times New Roman"/>
              </w:rPr>
              <w:t>卷</w:t>
            </w:r>
            <w:r w:rsidRPr="00DA3BC7">
              <w:rPr>
                <w:rFonts w:ascii="Times New Roman" w:hAnsi="Times New Roman"/>
              </w:rPr>
              <w:t>1</w:t>
            </w:r>
          </w:p>
          <w:p w:rsidR="00AA120F" w:rsidRPr="00DA3BC7" w:rsidRDefault="00AA120F" w:rsidP="008E2BBC">
            <w:pPr>
              <w:jc w:val="center"/>
              <w:rPr>
                <w:rFonts w:ascii="Times New Roman" w:hAnsi="Times New Roman"/>
              </w:rPr>
            </w:pPr>
            <w:r w:rsidRPr="00DA3BC7">
              <w:rPr>
                <w:rFonts w:ascii="標楷體" w:eastAsia="標楷體" w:hAnsi="標楷體"/>
              </w:rPr>
              <w:t>（</w:t>
            </w:r>
            <w:r w:rsidRPr="00DA3BC7">
              <w:rPr>
                <w:rFonts w:ascii="Times New Roman" w:hAnsi="Times New Roman"/>
              </w:rPr>
              <w:t>十種相</w:t>
            </w:r>
            <w:r w:rsidRPr="00DA3BC7">
              <w:rPr>
                <w:rFonts w:ascii="標楷體" w:eastAsia="標楷體" w:hAnsi="標楷體"/>
              </w:rPr>
              <w:t>）</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1</w:t>
            </w:r>
            <w:r w:rsidRPr="00DA3BC7">
              <w:rPr>
                <w:rFonts w:ascii="Times New Roman" w:hAnsi="Times New Roman"/>
              </w:rPr>
              <w:t>相</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2</w:t>
            </w:r>
            <w:r w:rsidRPr="00DA3BC7">
              <w:rPr>
                <w:rFonts w:ascii="Times New Roman" w:hAnsi="Times New Roman"/>
              </w:rPr>
              <w:t>性</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3</w:t>
            </w:r>
            <w:r w:rsidRPr="00DA3BC7">
              <w:rPr>
                <w:rFonts w:ascii="Times New Roman" w:hAnsi="Times New Roman"/>
              </w:rPr>
              <w:t>體</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4</w:t>
            </w:r>
            <w:r w:rsidRPr="00DA3BC7">
              <w:rPr>
                <w:rFonts w:ascii="Times New Roman" w:hAnsi="Times New Roman"/>
              </w:rPr>
              <w:t>力</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5</w:t>
            </w:r>
            <w:r w:rsidRPr="00DA3BC7">
              <w:rPr>
                <w:rFonts w:ascii="Times New Roman" w:hAnsi="Times New Roman"/>
              </w:rPr>
              <w:t>作</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6</w:t>
            </w:r>
            <w:r w:rsidRPr="00DA3BC7">
              <w:rPr>
                <w:rFonts w:ascii="Times New Roman" w:hAnsi="Times New Roman"/>
              </w:rPr>
              <w:t>因</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7</w:t>
            </w:r>
            <w:r w:rsidRPr="00DA3BC7">
              <w:rPr>
                <w:rFonts w:ascii="Times New Roman" w:hAnsi="Times New Roman"/>
              </w:rPr>
              <w:t>緣</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8</w:t>
            </w:r>
            <w:r w:rsidRPr="00DA3BC7">
              <w:rPr>
                <w:rFonts w:ascii="Times New Roman" w:hAnsi="Times New Roman"/>
              </w:rPr>
              <w:t>果</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9</w:t>
            </w:r>
            <w:r w:rsidRPr="00DA3BC7">
              <w:rPr>
                <w:rFonts w:ascii="Times New Roman" w:hAnsi="Times New Roman"/>
              </w:rPr>
              <w:t>報</w:t>
            </w:r>
          </w:p>
        </w:tc>
        <w:tc>
          <w:tcPr>
            <w:tcW w:w="962" w:type="dxa"/>
            <w:gridSpan w:val="2"/>
            <w:shd w:val="clear" w:color="auto" w:fill="auto"/>
          </w:tcPr>
          <w:p w:rsidR="00AA120F" w:rsidRPr="00DA3BC7" w:rsidRDefault="00AA120F" w:rsidP="008E2BBC">
            <w:pPr>
              <w:jc w:val="center"/>
              <w:rPr>
                <w:rFonts w:ascii="Times New Roman" w:hAnsi="Times New Roman"/>
              </w:rPr>
            </w:pPr>
            <w:r w:rsidRPr="00DA3BC7">
              <w:rPr>
                <w:rFonts w:ascii="Times New Roman" w:hAnsi="Times New Roman" w:hint="eastAsia"/>
              </w:rPr>
              <w:t>10</w:t>
            </w:r>
          </w:p>
          <w:p w:rsidR="00AA120F" w:rsidRPr="00DA3BC7" w:rsidRDefault="00AA120F" w:rsidP="008E2BBC">
            <w:pPr>
              <w:jc w:val="center"/>
              <w:rPr>
                <w:rFonts w:ascii="Times New Roman" w:hAnsi="Times New Roman"/>
              </w:rPr>
            </w:pPr>
            <w:r w:rsidRPr="00DA3BC7">
              <w:rPr>
                <w:rFonts w:ascii="Times New Roman" w:hAnsi="Times New Roman"/>
              </w:rPr>
              <w:t>本末</w:t>
            </w:r>
          </w:p>
          <w:p w:rsidR="00AA120F" w:rsidRPr="00DA3BC7" w:rsidRDefault="00AA120F" w:rsidP="008E2BBC">
            <w:pPr>
              <w:jc w:val="center"/>
              <w:rPr>
                <w:rFonts w:ascii="Times New Roman" w:hAnsi="Times New Roman"/>
              </w:rPr>
            </w:pPr>
            <w:r w:rsidRPr="00DA3BC7">
              <w:rPr>
                <w:rFonts w:ascii="Times New Roman" w:hAnsi="Times New Roman"/>
              </w:rPr>
              <w:t>究竟</w:t>
            </w:r>
          </w:p>
        </w:tc>
        <w:tc>
          <w:tcPr>
            <w:tcW w:w="1229" w:type="dxa"/>
            <w:gridSpan w:val="2"/>
            <w:shd w:val="clear" w:color="auto" w:fill="auto"/>
            <w:textDirection w:val="tbRlV"/>
            <w:vAlign w:val="bottom"/>
          </w:tcPr>
          <w:p w:rsidR="00AA120F" w:rsidRPr="00DA3BC7" w:rsidRDefault="00AA120F" w:rsidP="008E2BBC">
            <w:pPr>
              <w:jc w:val="center"/>
              <w:rPr>
                <w:rFonts w:ascii="Times New Roman" w:hAnsi="Times New Roman"/>
              </w:rPr>
            </w:pPr>
          </w:p>
        </w:tc>
      </w:tr>
      <w:tr w:rsidR="00AA120F" w:rsidRPr="00DA3BC7" w:rsidTr="004F4714">
        <w:trPr>
          <w:cantSplit/>
          <w:trHeight w:val="916"/>
        </w:trPr>
        <w:tc>
          <w:tcPr>
            <w:tcW w:w="1668" w:type="dxa"/>
            <w:shd w:val="clear" w:color="auto" w:fill="auto"/>
          </w:tcPr>
          <w:p w:rsidR="00AA120F" w:rsidRPr="00DA3BC7" w:rsidRDefault="00AA120F" w:rsidP="008E2BBC">
            <w:pPr>
              <w:jc w:val="center"/>
              <w:rPr>
                <w:rFonts w:ascii="Times New Roman" w:hAnsi="Times New Roman"/>
              </w:rPr>
            </w:pPr>
            <w:r w:rsidRPr="00DA3BC7">
              <w:rPr>
                <w:rFonts w:ascii="Times New Roman" w:hAnsi="Times New Roman"/>
              </w:rPr>
              <w:t>《大智度論》</w:t>
            </w:r>
            <w:r w:rsidRPr="00DA3BC7">
              <w:rPr>
                <w:rFonts w:ascii="Times New Roman" w:hAnsi="Times New Roman"/>
              </w:rPr>
              <w:br/>
            </w:r>
            <w:r w:rsidRPr="00DA3BC7">
              <w:rPr>
                <w:rFonts w:ascii="Times New Roman" w:hAnsi="Times New Roman"/>
              </w:rPr>
              <w:t>卷</w:t>
            </w:r>
            <w:r w:rsidRPr="00DA3BC7">
              <w:rPr>
                <w:rFonts w:ascii="Times New Roman" w:hAnsi="Times New Roman"/>
              </w:rPr>
              <w:t>32</w:t>
            </w:r>
            <w:r w:rsidRPr="00DA3BC7">
              <w:rPr>
                <w:rFonts w:ascii="Times New Roman" w:hAnsi="Times New Roman"/>
              </w:rPr>
              <w:br/>
            </w:r>
            <w:r w:rsidRPr="00DA3BC7">
              <w:rPr>
                <w:rFonts w:ascii="標楷體" w:eastAsia="標楷體" w:hAnsi="標楷體"/>
              </w:rPr>
              <w:t>（</w:t>
            </w:r>
            <w:r w:rsidRPr="00DA3BC7">
              <w:rPr>
                <w:rFonts w:ascii="Times New Roman" w:hAnsi="Times New Roman"/>
              </w:rPr>
              <w:t>九種相</w:t>
            </w:r>
            <w:r w:rsidRPr="00DA3BC7">
              <w:rPr>
                <w:rFonts w:ascii="標楷體" w:eastAsia="標楷體" w:hAnsi="標楷體"/>
              </w:rPr>
              <w:t>）</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2</w:t>
            </w:r>
            <w:r w:rsidRPr="00DA3BC7">
              <w:rPr>
                <w:rFonts w:ascii="Times New Roman" w:hAnsi="Times New Roman"/>
              </w:rPr>
              <w:t>法</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7</w:t>
            </w:r>
            <w:r w:rsidRPr="00DA3BC7">
              <w:rPr>
                <w:rFonts w:ascii="Times New Roman" w:hAnsi="Times New Roman"/>
              </w:rPr>
              <w:t>性</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1</w:t>
            </w:r>
            <w:r w:rsidRPr="00DA3BC7">
              <w:rPr>
                <w:rFonts w:ascii="Times New Roman" w:hAnsi="Times New Roman"/>
              </w:rPr>
              <w:t>體</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3</w:t>
            </w:r>
            <w:r w:rsidRPr="00DA3BC7">
              <w:rPr>
                <w:rFonts w:ascii="Times New Roman" w:hAnsi="Times New Roman"/>
              </w:rPr>
              <w:t>力</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4</w:t>
            </w:r>
            <w:r w:rsidRPr="00DA3BC7">
              <w:rPr>
                <w:rFonts w:ascii="Times New Roman" w:hAnsi="Times New Roman"/>
              </w:rPr>
              <w:t>因</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5</w:t>
            </w:r>
            <w:r w:rsidRPr="00DA3BC7">
              <w:rPr>
                <w:rFonts w:ascii="Times New Roman" w:hAnsi="Times New Roman"/>
              </w:rPr>
              <w:t>緣</w:t>
            </w:r>
          </w:p>
        </w:tc>
        <w:tc>
          <w:tcPr>
            <w:tcW w:w="962" w:type="dxa"/>
            <w:gridSpan w:val="2"/>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6</w:t>
            </w:r>
            <w:r w:rsidRPr="00DA3BC7">
              <w:rPr>
                <w:rFonts w:ascii="Times New Roman" w:hAnsi="Times New Roman"/>
              </w:rPr>
              <w:t>果</w:t>
            </w:r>
          </w:p>
        </w:tc>
        <w:tc>
          <w:tcPr>
            <w:tcW w:w="962" w:type="dxa"/>
            <w:gridSpan w:val="2"/>
            <w:shd w:val="clear" w:color="auto" w:fill="auto"/>
            <w:textDirection w:val="tbRlV"/>
            <w:vAlign w:val="bottom"/>
          </w:tcPr>
          <w:p w:rsidR="00AA120F" w:rsidRPr="00DA3BC7" w:rsidRDefault="00AA120F" w:rsidP="008E2BBC">
            <w:pPr>
              <w:jc w:val="center"/>
              <w:rPr>
                <w:rFonts w:ascii="Times New Roman" w:hAnsi="Times New Roman"/>
              </w:rPr>
            </w:pPr>
          </w:p>
        </w:tc>
        <w:tc>
          <w:tcPr>
            <w:tcW w:w="481" w:type="dxa"/>
            <w:shd w:val="clear" w:color="auto" w:fill="auto"/>
            <w:textDirection w:val="tbRlV"/>
            <w:vAlign w:val="bottom"/>
          </w:tcPr>
          <w:p w:rsidR="00AA120F" w:rsidRPr="00DA3BC7" w:rsidRDefault="00AA120F" w:rsidP="008E2BBC">
            <w:pPr>
              <w:jc w:val="center"/>
              <w:rPr>
                <w:rFonts w:ascii="Times New Roman" w:hAnsi="Times New Roman"/>
              </w:rPr>
            </w:pPr>
            <w:r w:rsidRPr="00DA3BC7">
              <w:rPr>
                <w:rFonts w:ascii="Times New Roman" w:hAnsi="Times New Roman"/>
                <w:eastAsianLayout w:id="740135680" w:vert="1" w:vertCompress="1"/>
              </w:rPr>
              <w:t>8</w:t>
            </w:r>
            <w:r w:rsidRPr="00DA3BC7">
              <w:rPr>
                <w:rFonts w:ascii="Times New Roman" w:hAnsi="Times New Roman"/>
              </w:rPr>
              <w:t>限礙</w:t>
            </w:r>
          </w:p>
        </w:tc>
        <w:tc>
          <w:tcPr>
            <w:tcW w:w="748" w:type="dxa"/>
            <w:shd w:val="clear" w:color="auto" w:fill="auto"/>
            <w:tcMar>
              <w:left w:w="57" w:type="dxa"/>
              <w:right w:w="57" w:type="dxa"/>
            </w:tcMar>
            <w:textDirection w:val="tbRlV"/>
            <w:vAlign w:val="bottom"/>
          </w:tcPr>
          <w:p w:rsidR="00AA120F" w:rsidRPr="00DA3BC7" w:rsidRDefault="00AA120F" w:rsidP="008E2BBC">
            <w:pPr>
              <w:jc w:val="center"/>
              <w:rPr>
                <w:rFonts w:ascii="Times New Roman" w:hAnsi="Times New Roman"/>
              </w:rPr>
            </w:pPr>
            <w:r w:rsidRPr="00DA3BC7">
              <w:rPr>
                <w:rFonts w:ascii="Times New Roman" w:hAnsi="Times New Roman"/>
                <w:eastAsianLayout w:id="740135680" w:vert="1" w:vertCompress="1"/>
              </w:rPr>
              <w:t>9</w:t>
            </w:r>
            <w:r w:rsidRPr="00DA3BC7">
              <w:rPr>
                <w:rFonts w:ascii="Times New Roman" w:hAnsi="Times New Roman"/>
              </w:rPr>
              <w:t>開通方便</w:t>
            </w:r>
          </w:p>
        </w:tc>
      </w:tr>
      <w:tr w:rsidR="00AA120F" w:rsidRPr="00DA3BC7" w:rsidTr="004F4714">
        <w:trPr>
          <w:cantSplit/>
          <w:trHeight w:val="847"/>
        </w:trPr>
        <w:tc>
          <w:tcPr>
            <w:tcW w:w="1668" w:type="dxa"/>
            <w:shd w:val="clear" w:color="auto" w:fill="auto"/>
          </w:tcPr>
          <w:p w:rsidR="00AA120F" w:rsidRPr="00DA3BC7" w:rsidRDefault="00AA120F" w:rsidP="008E2BBC">
            <w:pPr>
              <w:jc w:val="center"/>
              <w:rPr>
                <w:rFonts w:ascii="Times New Roman" w:hAnsi="Times New Roman"/>
              </w:rPr>
            </w:pPr>
            <w:r w:rsidRPr="00DA3BC7">
              <w:rPr>
                <w:rFonts w:ascii="Times New Roman" w:hAnsi="Times New Roman"/>
              </w:rPr>
              <w:t>《大智度論》</w:t>
            </w:r>
            <w:r w:rsidRPr="00DA3BC7">
              <w:rPr>
                <w:rFonts w:ascii="Times New Roman" w:hAnsi="Times New Roman"/>
              </w:rPr>
              <w:br/>
            </w:r>
            <w:r w:rsidRPr="00DA3BC7">
              <w:rPr>
                <w:rFonts w:ascii="Times New Roman" w:hAnsi="Times New Roman"/>
              </w:rPr>
              <w:t>卷</w:t>
            </w:r>
            <w:r w:rsidRPr="00DA3BC7">
              <w:rPr>
                <w:rFonts w:ascii="Times New Roman" w:hAnsi="Times New Roman"/>
              </w:rPr>
              <w:t>33</w:t>
            </w:r>
            <w:r w:rsidRPr="00DA3BC7">
              <w:rPr>
                <w:rFonts w:ascii="Times New Roman" w:hAnsi="Times New Roman"/>
              </w:rPr>
              <w:br/>
            </w:r>
            <w:r w:rsidRPr="00DA3BC7">
              <w:rPr>
                <w:rFonts w:ascii="標楷體" w:eastAsia="標楷體" w:hAnsi="標楷體"/>
              </w:rPr>
              <w:t>（</w:t>
            </w:r>
            <w:r w:rsidRPr="00DA3BC7">
              <w:rPr>
                <w:rFonts w:ascii="Times New Roman" w:hAnsi="Times New Roman"/>
              </w:rPr>
              <w:t>七種相）</w:t>
            </w:r>
          </w:p>
        </w:tc>
        <w:tc>
          <w:tcPr>
            <w:tcW w:w="962" w:type="dxa"/>
            <w:gridSpan w:val="2"/>
            <w:shd w:val="clear" w:color="auto" w:fill="auto"/>
            <w:textDirection w:val="tbRlV"/>
            <w:vAlign w:val="bottom"/>
          </w:tcPr>
          <w:p w:rsidR="00AA120F" w:rsidRPr="00DA3BC7" w:rsidRDefault="00AA120F" w:rsidP="008E2BBC">
            <w:pPr>
              <w:jc w:val="center"/>
              <w:rPr>
                <w:rFonts w:ascii="Times New Roman" w:hAnsi="Times New Roman"/>
              </w:rPr>
            </w:pP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1</w:t>
            </w:r>
            <w:r w:rsidRPr="00DA3BC7">
              <w:rPr>
                <w:rFonts w:ascii="Times New Roman" w:hAnsi="Times New Roman"/>
              </w:rPr>
              <w:t>業</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3</w:t>
            </w:r>
            <w:r w:rsidRPr="00DA3BC7">
              <w:rPr>
                <w:rFonts w:ascii="Times New Roman" w:hAnsi="Times New Roman"/>
              </w:rPr>
              <w:t>力</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2</w:t>
            </w:r>
            <w:r w:rsidRPr="00DA3BC7">
              <w:rPr>
                <w:rFonts w:ascii="Times New Roman" w:hAnsi="Times New Roman"/>
              </w:rPr>
              <w:t>所作</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4</w:t>
            </w:r>
            <w:r w:rsidRPr="00DA3BC7">
              <w:rPr>
                <w:rFonts w:ascii="Times New Roman" w:hAnsi="Times New Roman"/>
              </w:rPr>
              <w:t>因</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5</w:t>
            </w:r>
            <w:r w:rsidRPr="00DA3BC7">
              <w:rPr>
                <w:rFonts w:ascii="Times New Roman" w:hAnsi="Times New Roman"/>
              </w:rPr>
              <w:t>緣</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6</w:t>
            </w:r>
            <w:r w:rsidRPr="00DA3BC7">
              <w:rPr>
                <w:rFonts w:ascii="Times New Roman" w:hAnsi="Times New Roman"/>
              </w:rPr>
              <w:t>果</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7</w:t>
            </w:r>
            <w:r w:rsidRPr="00DA3BC7">
              <w:rPr>
                <w:rFonts w:ascii="Times New Roman" w:hAnsi="Times New Roman"/>
              </w:rPr>
              <w:t>報</w:t>
            </w:r>
          </w:p>
        </w:tc>
        <w:tc>
          <w:tcPr>
            <w:tcW w:w="962" w:type="dxa"/>
            <w:gridSpan w:val="2"/>
            <w:shd w:val="clear" w:color="auto" w:fill="auto"/>
            <w:textDirection w:val="tbRlV"/>
            <w:vAlign w:val="bottom"/>
          </w:tcPr>
          <w:p w:rsidR="00AA120F" w:rsidRPr="00DA3BC7" w:rsidRDefault="00AA120F" w:rsidP="008E2BBC">
            <w:pPr>
              <w:jc w:val="center"/>
              <w:rPr>
                <w:rFonts w:ascii="Times New Roman" w:hAnsi="Times New Roman"/>
              </w:rPr>
            </w:pPr>
          </w:p>
        </w:tc>
        <w:tc>
          <w:tcPr>
            <w:tcW w:w="1229" w:type="dxa"/>
            <w:gridSpan w:val="2"/>
            <w:shd w:val="clear" w:color="auto" w:fill="auto"/>
            <w:textDirection w:val="tbRlV"/>
            <w:vAlign w:val="bottom"/>
          </w:tcPr>
          <w:p w:rsidR="00AA120F" w:rsidRPr="00DA3BC7" w:rsidRDefault="00AA120F" w:rsidP="008E2BBC">
            <w:pPr>
              <w:jc w:val="center"/>
              <w:rPr>
                <w:rFonts w:ascii="Times New Roman" w:hAnsi="Times New Roman"/>
              </w:rPr>
            </w:pPr>
          </w:p>
        </w:tc>
      </w:tr>
      <w:tr w:rsidR="00AA120F" w:rsidRPr="00DA3BC7" w:rsidTr="004F4714">
        <w:trPr>
          <w:cantSplit/>
          <w:trHeight w:val="777"/>
        </w:trPr>
        <w:tc>
          <w:tcPr>
            <w:tcW w:w="1668" w:type="dxa"/>
            <w:shd w:val="clear" w:color="auto" w:fill="auto"/>
          </w:tcPr>
          <w:p w:rsidR="00AA120F" w:rsidRPr="00DA3BC7" w:rsidRDefault="00AA120F" w:rsidP="008E2BBC">
            <w:pPr>
              <w:jc w:val="center"/>
              <w:rPr>
                <w:rFonts w:ascii="Times New Roman" w:hAnsi="Times New Roman"/>
              </w:rPr>
            </w:pPr>
            <w:r w:rsidRPr="00DA3BC7">
              <w:rPr>
                <w:rFonts w:ascii="Times New Roman" w:hAnsi="Times New Roman"/>
              </w:rPr>
              <w:t>《大智度論》</w:t>
            </w:r>
            <w:r w:rsidRPr="00DA3BC7">
              <w:rPr>
                <w:rFonts w:ascii="Times New Roman" w:hAnsi="Times New Roman"/>
              </w:rPr>
              <w:br/>
            </w:r>
            <w:r w:rsidRPr="00DA3BC7">
              <w:rPr>
                <w:rFonts w:ascii="Times New Roman" w:hAnsi="Times New Roman"/>
              </w:rPr>
              <w:t>卷</w:t>
            </w:r>
            <w:r w:rsidRPr="00DA3BC7">
              <w:rPr>
                <w:rFonts w:ascii="Times New Roman" w:hAnsi="Times New Roman"/>
              </w:rPr>
              <w:t>27</w:t>
            </w:r>
            <w:r w:rsidRPr="00DA3BC7">
              <w:rPr>
                <w:rFonts w:ascii="Times New Roman" w:hAnsi="Times New Roman"/>
              </w:rPr>
              <w:br/>
            </w:r>
            <w:r w:rsidRPr="00DA3BC7">
              <w:rPr>
                <w:rFonts w:ascii="標楷體" w:eastAsia="標楷體" w:hAnsi="標楷體"/>
              </w:rPr>
              <w:t>（</w:t>
            </w:r>
            <w:r w:rsidRPr="00DA3BC7">
              <w:rPr>
                <w:rFonts w:ascii="Times New Roman" w:hAnsi="Times New Roman"/>
              </w:rPr>
              <w:t>七種相</w:t>
            </w:r>
            <w:r w:rsidRPr="00DA3BC7">
              <w:rPr>
                <w:rFonts w:ascii="標楷體" w:eastAsia="標楷體" w:hAnsi="標楷體"/>
              </w:rPr>
              <w:t>）</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1</w:t>
            </w:r>
            <w:r w:rsidRPr="00DA3BC7">
              <w:rPr>
                <w:rFonts w:ascii="Times New Roman" w:hAnsi="Times New Roman"/>
              </w:rPr>
              <w:t>相</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5</w:t>
            </w:r>
            <w:r w:rsidRPr="00DA3BC7">
              <w:rPr>
                <w:rFonts w:ascii="Times New Roman" w:hAnsi="Times New Roman"/>
              </w:rPr>
              <w:t>性</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2</w:t>
            </w:r>
            <w:r w:rsidRPr="00DA3BC7">
              <w:rPr>
                <w:rFonts w:ascii="Times New Roman" w:hAnsi="Times New Roman"/>
              </w:rPr>
              <w:t>力</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p>
        </w:tc>
        <w:tc>
          <w:tcPr>
            <w:tcW w:w="962" w:type="dxa"/>
            <w:gridSpan w:val="2"/>
            <w:shd w:val="clear" w:color="auto" w:fill="auto"/>
          </w:tcPr>
          <w:p w:rsidR="00AA120F" w:rsidRPr="00DA3BC7" w:rsidRDefault="00AA120F" w:rsidP="008E2BBC">
            <w:pPr>
              <w:jc w:val="center"/>
              <w:rPr>
                <w:rFonts w:ascii="Times New Roman" w:hAnsi="Times New Roman"/>
              </w:rPr>
            </w:pPr>
            <w:r w:rsidRPr="00DA3BC7">
              <w:rPr>
                <w:rFonts w:ascii="Times New Roman" w:hAnsi="Times New Roman" w:hint="eastAsia"/>
              </w:rPr>
              <w:t>3</w:t>
            </w:r>
          </w:p>
          <w:p w:rsidR="00AA120F" w:rsidRPr="00DA3BC7" w:rsidRDefault="00AA120F" w:rsidP="008E2BBC">
            <w:pPr>
              <w:jc w:val="center"/>
              <w:rPr>
                <w:rFonts w:ascii="Times New Roman" w:hAnsi="Times New Roman"/>
              </w:rPr>
            </w:pPr>
            <w:r w:rsidRPr="00DA3BC7">
              <w:rPr>
                <w:rFonts w:ascii="Times New Roman" w:hAnsi="Times New Roman"/>
              </w:rPr>
              <w:t>因</w:t>
            </w:r>
            <w:r w:rsidRPr="00DA3BC7">
              <w:rPr>
                <w:rFonts w:ascii="Times New Roman" w:hAnsi="Times New Roman" w:hint="eastAsia"/>
              </w:rPr>
              <w:t xml:space="preserve"> </w:t>
            </w:r>
            <w:r w:rsidRPr="00DA3BC7">
              <w:rPr>
                <w:rFonts w:ascii="Times New Roman" w:hAnsi="Times New Roman"/>
              </w:rPr>
              <w:t>緣</w:t>
            </w:r>
          </w:p>
        </w:tc>
        <w:tc>
          <w:tcPr>
            <w:tcW w:w="962" w:type="dxa"/>
            <w:gridSpan w:val="2"/>
            <w:shd w:val="clear" w:color="auto" w:fill="auto"/>
          </w:tcPr>
          <w:p w:rsidR="00AA120F" w:rsidRPr="00DA3BC7" w:rsidRDefault="00AA120F" w:rsidP="008E2BBC">
            <w:pPr>
              <w:jc w:val="center"/>
              <w:rPr>
                <w:rFonts w:ascii="Times New Roman" w:hAnsi="Times New Roman"/>
              </w:rPr>
            </w:pPr>
            <w:r w:rsidRPr="00DA3BC7">
              <w:rPr>
                <w:rFonts w:ascii="Times New Roman" w:hAnsi="Times New Roman"/>
              </w:rPr>
              <w:t>4</w:t>
            </w:r>
          </w:p>
          <w:p w:rsidR="00AA120F" w:rsidRPr="00DA3BC7" w:rsidRDefault="00AA120F" w:rsidP="008E2BBC">
            <w:pPr>
              <w:jc w:val="center"/>
              <w:rPr>
                <w:rFonts w:ascii="Times New Roman" w:hAnsi="Times New Roman"/>
              </w:rPr>
            </w:pPr>
            <w:r w:rsidRPr="00DA3BC7">
              <w:rPr>
                <w:rFonts w:ascii="Times New Roman" w:hAnsi="Times New Roman"/>
              </w:rPr>
              <w:t>果</w:t>
            </w:r>
            <w:r w:rsidRPr="00DA3BC7">
              <w:rPr>
                <w:rFonts w:ascii="Times New Roman" w:hAnsi="Times New Roman" w:hint="eastAsia"/>
              </w:rPr>
              <w:t xml:space="preserve"> </w:t>
            </w:r>
            <w:r w:rsidRPr="00DA3BC7">
              <w:rPr>
                <w:rFonts w:ascii="Times New Roman" w:hAnsi="Times New Roman"/>
              </w:rPr>
              <w:t>報</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6</w:t>
            </w:r>
            <w:r w:rsidRPr="00DA3BC7">
              <w:rPr>
                <w:rFonts w:ascii="Times New Roman" w:hAnsi="Times New Roman"/>
              </w:rPr>
              <w:t>得</w:t>
            </w:r>
          </w:p>
        </w:tc>
        <w:tc>
          <w:tcPr>
            <w:tcW w:w="481" w:type="dxa"/>
            <w:shd w:val="clear" w:color="auto" w:fill="auto"/>
            <w:textDirection w:val="tbRlV"/>
            <w:vAlign w:val="center"/>
          </w:tcPr>
          <w:p w:rsidR="00AA120F" w:rsidRPr="00DA3BC7" w:rsidRDefault="00AA120F" w:rsidP="008E2BBC">
            <w:pPr>
              <w:jc w:val="both"/>
              <w:rPr>
                <w:rFonts w:ascii="Times New Roman" w:hAnsi="Times New Roman"/>
              </w:rPr>
            </w:pPr>
            <w:r w:rsidRPr="00DA3BC7">
              <w:rPr>
                <w:rFonts w:ascii="Times New Roman" w:hAnsi="Times New Roman"/>
                <w:eastAsianLayout w:id="740135680" w:vert="1" w:vertCompress="1"/>
              </w:rPr>
              <w:t>7</w:t>
            </w:r>
            <w:r w:rsidRPr="00DA3BC7">
              <w:rPr>
                <w:rFonts w:ascii="Times New Roman" w:hAnsi="Times New Roman"/>
              </w:rPr>
              <w:t>失</w:t>
            </w:r>
          </w:p>
        </w:tc>
        <w:tc>
          <w:tcPr>
            <w:tcW w:w="1229" w:type="dxa"/>
            <w:gridSpan w:val="2"/>
            <w:shd w:val="clear" w:color="auto" w:fill="auto"/>
            <w:textDirection w:val="tbRlV"/>
            <w:vAlign w:val="center"/>
          </w:tcPr>
          <w:p w:rsidR="00AA120F" w:rsidRPr="00DA3BC7" w:rsidRDefault="00AA120F" w:rsidP="008E2BBC">
            <w:pPr>
              <w:jc w:val="both"/>
              <w:rPr>
                <w:rFonts w:ascii="Times New Roman" w:hAnsi="Times New Roman"/>
              </w:rPr>
            </w:pPr>
          </w:p>
        </w:tc>
      </w:tr>
    </w:tbl>
    <w:p w:rsidR="00AA120F" w:rsidRPr="00DA3BC7" w:rsidRDefault="00AA120F" w:rsidP="00AE3920">
      <w:pPr>
        <w:spacing w:beforeLines="20"/>
        <w:jc w:val="both"/>
        <w:rPr>
          <w:rFonts w:ascii="Times New Roman" w:hAnsi="Times New Roman"/>
        </w:rPr>
      </w:pPr>
      <w:r w:rsidRPr="00DA3BC7">
        <w:rPr>
          <w:rFonts w:ascii="Times New Roman" w:hAnsi="Times New Roman" w:hint="eastAsia"/>
        </w:rPr>
        <w:t>四說都有些差異，但大致相近。這可分為四類：</w:t>
      </w:r>
    </w:p>
    <w:p w:rsidR="00AA120F" w:rsidRPr="00DA3BC7" w:rsidRDefault="00AA120F" w:rsidP="008E2BBC">
      <w:pPr>
        <w:ind w:leftChars="100" w:left="240"/>
        <w:jc w:val="both"/>
        <w:rPr>
          <w:rFonts w:ascii="Times New Roman" w:hAnsi="Times New Roman"/>
        </w:rPr>
      </w:pPr>
      <w:r w:rsidRPr="00DA3BC7">
        <w:rPr>
          <w:rFonts w:ascii="Times New Roman" w:hAnsi="Times New Roman" w:hint="eastAsia"/>
        </w:rPr>
        <w:t>一、性與相；</w:t>
      </w:r>
    </w:p>
    <w:p w:rsidR="00AA120F" w:rsidRPr="00DA3BC7" w:rsidRDefault="00AA120F" w:rsidP="008E2BBC">
      <w:pPr>
        <w:ind w:leftChars="100" w:left="240"/>
        <w:jc w:val="both"/>
        <w:rPr>
          <w:rFonts w:ascii="Times New Roman" w:hAnsi="Times New Roman"/>
        </w:rPr>
      </w:pPr>
      <w:r w:rsidRPr="00DA3BC7">
        <w:rPr>
          <w:rFonts w:ascii="Times New Roman" w:hAnsi="Times New Roman" w:hint="eastAsia"/>
        </w:rPr>
        <w:t>二、體，力，所作；</w:t>
      </w:r>
    </w:p>
    <w:p w:rsidR="00AA120F" w:rsidRPr="00DA3BC7" w:rsidRDefault="00AA120F" w:rsidP="008E2BBC">
      <w:pPr>
        <w:ind w:leftChars="100" w:left="240"/>
        <w:jc w:val="both"/>
        <w:rPr>
          <w:rFonts w:ascii="Times New Roman" w:hAnsi="Times New Roman"/>
        </w:rPr>
      </w:pPr>
      <w:r w:rsidRPr="00DA3BC7">
        <w:rPr>
          <w:rFonts w:ascii="Times New Roman" w:hAnsi="Times New Roman" w:hint="eastAsia"/>
        </w:rPr>
        <w:t>三、因，緣，果，報；</w:t>
      </w:r>
    </w:p>
    <w:p w:rsidR="00AA120F" w:rsidRPr="00DA3BC7" w:rsidRDefault="00AA120F" w:rsidP="008E2BBC">
      <w:pPr>
        <w:ind w:leftChars="100" w:left="240"/>
        <w:jc w:val="both"/>
        <w:rPr>
          <w:rFonts w:ascii="Times New Roman" w:hAnsi="Times New Roman"/>
        </w:rPr>
      </w:pPr>
      <w:r w:rsidRPr="00DA3BC7">
        <w:rPr>
          <w:rFonts w:ascii="Times New Roman" w:hAnsi="Times New Roman" w:hint="eastAsia"/>
        </w:rPr>
        <w:t>四、本末究竟，或作限礙、開通（即通、塞），或作得、失。</w:t>
      </w:r>
    </w:p>
    <w:p w:rsidR="00AA120F" w:rsidRPr="00DA3BC7" w:rsidRDefault="00AA120F" w:rsidP="00AE3920">
      <w:pPr>
        <w:spacing w:beforeLines="20"/>
        <w:jc w:val="both"/>
        <w:rPr>
          <w:rFonts w:ascii="Times New Roman" w:hAnsi="Times New Roman"/>
        </w:rPr>
        <w:sectPr w:rsidR="00AA120F" w:rsidRPr="00DA3BC7" w:rsidSect="004F4714">
          <w:headerReference w:type="even" r:id="rId54"/>
          <w:headerReference w:type="default" r:id="rId55"/>
          <w:footnotePr>
            <w:numRestart w:val="eachSect"/>
          </w:footnotePr>
          <w:pgSz w:w="10773" w:h="14742" w:code="155"/>
          <w:pgMar w:top="1418" w:right="1418" w:bottom="1418" w:left="1418" w:header="851" w:footer="992" w:gutter="0"/>
          <w:cols w:space="425"/>
          <w:docGrid w:type="lines" w:linePitch="360"/>
        </w:sectPr>
      </w:pPr>
      <w:r w:rsidRPr="00DA3BC7">
        <w:rPr>
          <w:rFonts w:ascii="Times New Roman" w:hAnsi="Times New Roman" w:hint="eastAsia"/>
        </w:rPr>
        <w:t>九事或十事，顯然有共通的淵源。</w:t>
      </w:r>
    </w:p>
    <w:p w:rsidR="00AA120F" w:rsidRPr="00DA3BC7" w:rsidRDefault="00AA120F" w:rsidP="008E2BBC">
      <w:pPr>
        <w:pStyle w:val="1"/>
      </w:pPr>
      <w:bookmarkStart w:id="114" w:name="_Toc405499787"/>
      <w:r w:rsidRPr="00DA3BC7">
        <w:lastRenderedPageBreak/>
        <w:t>第</w:t>
      </w:r>
      <w:r w:rsidRPr="00DA3BC7">
        <w:rPr>
          <w:rFonts w:hint="eastAsia"/>
        </w:rPr>
        <w:t>八</w:t>
      </w:r>
      <w:r w:rsidRPr="00DA3BC7">
        <w:t>章、</w:t>
      </w:r>
      <w:r w:rsidRPr="00DA3BC7">
        <w:rPr>
          <w:rFonts w:hint="eastAsia"/>
        </w:rPr>
        <w:t>中觀之諸法實相</w:t>
      </w:r>
      <w:bookmarkEnd w:id="114"/>
    </w:p>
    <w:p w:rsidR="00AA120F" w:rsidRPr="00DA3BC7" w:rsidRDefault="00AA120F" w:rsidP="008E2BBC">
      <w:pPr>
        <w:pStyle w:val="2"/>
      </w:pPr>
      <w:bookmarkStart w:id="115" w:name="_Toc405499788"/>
      <w:r w:rsidRPr="00DA3BC7">
        <w:t>第</w:t>
      </w:r>
      <w:r w:rsidRPr="00DA3BC7">
        <w:rPr>
          <w:rFonts w:hint="eastAsia"/>
        </w:rPr>
        <w:t>二</w:t>
      </w:r>
      <w:r w:rsidRPr="00DA3BC7">
        <w:t>節、</w:t>
      </w:r>
      <w:r w:rsidRPr="00DA3BC7">
        <w:rPr>
          <w:rFonts w:hint="eastAsia"/>
        </w:rPr>
        <w:t>性、相</w:t>
      </w:r>
      <w:bookmarkEnd w:id="115"/>
    </w:p>
    <w:p w:rsidR="00AA120F" w:rsidRPr="00DA3BC7" w:rsidRDefault="00AA120F" w:rsidP="008E2BBC">
      <w:pPr>
        <w:jc w:val="center"/>
        <w:rPr>
          <w:rFonts w:ascii="Times New Roman" w:eastAsia="標楷體" w:hAnsi="Times New Roman"/>
        </w:rPr>
      </w:pPr>
      <w:r w:rsidRPr="00DA3BC7">
        <w:rPr>
          <w:rFonts w:ascii="Times New Roman" w:eastAsia="標楷體" w:hAnsi="Times New Roman"/>
        </w:rPr>
        <w:t>（</w:t>
      </w:r>
      <w:r w:rsidRPr="00DA3BC7">
        <w:rPr>
          <w:rFonts w:ascii="Times New Roman" w:eastAsia="標楷體" w:hAnsi="Times New Roman"/>
        </w:rPr>
        <w:t>pp.1</w:t>
      </w:r>
      <w:r w:rsidRPr="00DA3BC7">
        <w:rPr>
          <w:rFonts w:ascii="Times New Roman" w:eastAsia="標楷體" w:hAnsi="Times New Roman" w:hint="eastAsia"/>
        </w:rPr>
        <w:t>47</w:t>
      </w:r>
      <w:r w:rsidRPr="00DA3BC7">
        <w:rPr>
          <w:rFonts w:ascii="Times New Roman" w:eastAsia="標楷體" w:hAnsi="Times New Roman"/>
        </w:rPr>
        <w:t>-1</w:t>
      </w:r>
      <w:r w:rsidRPr="00DA3BC7">
        <w:rPr>
          <w:rFonts w:ascii="Times New Roman" w:eastAsia="標楷體" w:hAnsi="Times New Roman" w:hint="eastAsia"/>
        </w:rPr>
        <w:t>62</w:t>
      </w:r>
      <w:r w:rsidRPr="00DA3BC7">
        <w:rPr>
          <w:rFonts w:ascii="Times New Roman" w:eastAsia="標楷體" w:hAnsi="Times New Roman"/>
        </w:rPr>
        <w:t>）</w:t>
      </w:r>
    </w:p>
    <w:p w:rsidR="00AA120F" w:rsidRPr="00DA3BC7" w:rsidRDefault="00AA120F" w:rsidP="008E2BBC">
      <w:pPr>
        <w:pStyle w:val="Author"/>
      </w:pPr>
    </w:p>
    <w:p w:rsidR="00AA120F" w:rsidRPr="00DA3BC7" w:rsidRDefault="00AA120F" w:rsidP="00AE3920">
      <w:pPr>
        <w:spacing w:beforeLines="50"/>
        <w:jc w:val="both"/>
        <w:rPr>
          <w:rFonts w:ascii="Times New Roman" w:hAnsi="Times New Roman"/>
          <w:b/>
          <w:sz w:val="20"/>
          <w:szCs w:val="26"/>
          <w:bdr w:val="single" w:sz="4" w:space="0" w:color="auto"/>
        </w:rPr>
      </w:pPr>
      <w:r w:rsidRPr="00DA3BC7">
        <w:rPr>
          <w:rFonts w:ascii="Times New Roman" w:hAnsi="Times New Roman" w:hint="eastAsia"/>
          <w:b/>
          <w:sz w:val="20"/>
          <w:szCs w:val="26"/>
          <w:bdr w:val="single" w:sz="4" w:space="0" w:color="auto"/>
        </w:rPr>
        <w:t>壹</w:t>
      </w:r>
      <w:r w:rsidRPr="00DA3BC7">
        <w:rPr>
          <w:rFonts w:ascii="Times New Roman" w:hAnsi="Times New Roman"/>
          <w:b/>
          <w:sz w:val="20"/>
          <w:szCs w:val="26"/>
          <w:bdr w:val="single" w:sz="4" w:space="0" w:color="auto"/>
        </w:rPr>
        <w:t>、</w:t>
      </w:r>
      <w:r w:rsidR="00A6163F">
        <w:rPr>
          <w:rFonts w:ascii="Times New Roman" w:hAnsi="Times New Roman" w:hint="eastAsia"/>
          <w:b/>
          <w:bCs/>
          <w:color w:val="FF0000"/>
          <w:sz w:val="20"/>
          <w:szCs w:val="26"/>
          <w:highlight w:val="yellow"/>
          <w:bdr w:val="single" w:sz="4" w:space="0" w:color="auto"/>
        </w:rPr>
        <w:t>概述</w:t>
      </w:r>
      <w:r w:rsidRPr="00DA3BC7">
        <w:rPr>
          <w:rFonts w:ascii="Times New Roman" w:hAnsi="Times New Roman" w:hint="eastAsia"/>
          <w:bCs/>
          <w:sz w:val="20"/>
          <w:szCs w:val="26"/>
        </w:rPr>
        <w:t>（</w:t>
      </w:r>
      <w:r w:rsidRPr="00DA3BC7">
        <w:rPr>
          <w:rFonts w:ascii="Times New Roman" w:hAnsi="Times New Roman" w:hint="eastAsia"/>
          <w:bCs/>
          <w:sz w:val="20"/>
          <w:szCs w:val="26"/>
        </w:rPr>
        <w:t>p.147</w:t>
      </w:r>
      <w:r w:rsidRPr="00DA3BC7">
        <w:rPr>
          <w:rFonts w:ascii="Times New Roman" w:hAnsi="Times New Roman" w:hint="eastAsia"/>
          <w:bCs/>
          <w:sz w:val="20"/>
          <w:szCs w:val="26"/>
        </w:rPr>
        <w:t>）</w:t>
      </w:r>
    </w:p>
    <w:p w:rsidR="00AA120F" w:rsidRPr="00DA3BC7" w:rsidRDefault="00AA120F" w:rsidP="00D41C1A">
      <w:pPr>
        <w:jc w:val="both"/>
        <w:rPr>
          <w:rFonts w:ascii="Times New Roman" w:hAnsi="Times New Roman"/>
        </w:rPr>
      </w:pPr>
      <w:r w:rsidRPr="00DA3BC7">
        <w:rPr>
          <w:rFonts w:ascii="Times New Roman" w:hAnsi="Times New Roman" w:hint="eastAsia"/>
        </w:rPr>
        <w:t>性、相二名，在佛法中是可以互用的。性可以名為相，相也可以名為性。</w:t>
      </w:r>
    </w:p>
    <w:p w:rsidR="00AA120F" w:rsidRPr="00DA3BC7" w:rsidRDefault="00AA120F" w:rsidP="00AE3920">
      <w:pPr>
        <w:spacing w:beforeLines="20"/>
        <w:jc w:val="both"/>
        <w:rPr>
          <w:rFonts w:ascii="Times New Roman" w:hAnsi="Times New Roman"/>
        </w:rPr>
      </w:pPr>
      <w:r w:rsidRPr="00DA3BC7">
        <w:rPr>
          <w:rFonts w:ascii="Times New Roman" w:hAnsi="Times New Roman" w:hint="eastAsia"/>
        </w:rPr>
        <w:t>如《大智度論》卷</w:t>
      </w:r>
      <w:r w:rsidR="00A6163F">
        <w:rPr>
          <w:rFonts w:ascii="Times New Roman" w:hAnsi="Times New Roman" w:hint="eastAsia"/>
        </w:rPr>
        <w:t>31</w:t>
      </w:r>
      <w:r w:rsidRPr="00DA3BC7">
        <w:rPr>
          <w:rFonts w:ascii="Times New Roman" w:hAnsi="Times New Roman" w:hint="eastAsia"/>
        </w:rPr>
        <w:t>說性有二種：</w:t>
      </w:r>
      <w:r w:rsidRPr="00DA3BC7">
        <w:rPr>
          <w:rFonts w:ascii="Times New Roman" w:hAnsi="Times New Roman" w:hint="eastAsia"/>
          <w:b/>
        </w:rPr>
        <w:t>總性、別性</w:t>
      </w:r>
      <w:r w:rsidRPr="00DA3BC7">
        <w:rPr>
          <w:rFonts w:ascii="Times New Roman" w:hAnsi="Times New Roman" w:hint="eastAsia"/>
        </w:rPr>
        <w:t>；又說相有二種：</w:t>
      </w:r>
      <w:r w:rsidRPr="00DA3BC7">
        <w:rPr>
          <w:rFonts w:ascii="Times New Roman" w:hAnsi="Times New Roman" w:hint="eastAsia"/>
          <w:b/>
        </w:rPr>
        <w:t>總相、別相</w:t>
      </w:r>
      <w:r w:rsidRPr="00DA3BC7">
        <w:rPr>
          <w:rFonts w:ascii="Times New Roman" w:hAnsi="Times New Roman" w:hint="eastAsia"/>
        </w:rPr>
        <w:t>。</w:t>
      </w:r>
      <w:r w:rsidRPr="00DA3BC7">
        <w:rPr>
          <w:rFonts w:ascii="Times New Roman" w:hAnsi="Times New Roman"/>
          <w:vertAlign w:val="superscript"/>
        </w:rPr>
        <w:footnoteReference w:id="681"/>
      </w:r>
      <w:r w:rsidRPr="00DA3BC7">
        <w:rPr>
          <w:rFonts w:ascii="Times New Roman" w:hAnsi="Times New Roman" w:hint="eastAsia"/>
        </w:rPr>
        <w:t>雖說性說相，而內容是同一的。</w:t>
      </w:r>
    </w:p>
    <w:p w:rsidR="00AA120F" w:rsidRPr="00DA3BC7" w:rsidRDefault="00AA120F" w:rsidP="00AE3920">
      <w:pPr>
        <w:spacing w:beforeLines="20"/>
        <w:jc w:val="both"/>
        <w:rPr>
          <w:rFonts w:ascii="Times New Roman" w:hAnsi="Times New Roman"/>
        </w:rPr>
      </w:pPr>
      <w:r w:rsidRPr="00DA3BC7">
        <w:rPr>
          <w:rFonts w:ascii="Times New Roman" w:hAnsi="Times New Roman" w:hint="eastAsia"/>
        </w:rPr>
        <w:t>如《解深密經》說</w:t>
      </w:r>
      <w:r w:rsidRPr="00DA3BC7">
        <w:rPr>
          <w:rFonts w:ascii="Times New Roman" w:hAnsi="Times New Roman" w:hint="eastAsia"/>
          <w:b/>
        </w:rPr>
        <w:t>遍計所執相、依他起相、圓成實相</w:t>
      </w:r>
      <w:r w:rsidRPr="00DA3BC7">
        <w:rPr>
          <w:rFonts w:ascii="Times New Roman" w:hAnsi="Times New Roman" w:hint="eastAsia"/>
        </w:rPr>
        <w:t>；</w:t>
      </w:r>
      <w:r w:rsidRPr="00DA3BC7">
        <w:rPr>
          <w:rFonts w:ascii="Times New Roman" w:hAnsi="Times New Roman"/>
          <w:vertAlign w:val="superscript"/>
        </w:rPr>
        <w:footnoteReference w:id="682"/>
      </w:r>
      <w:r w:rsidRPr="00DA3BC7">
        <w:rPr>
          <w:rFonts w:ascii="Times New Roman" w:hAnsi="Times New Roman" w:hint="eastAsia"/>
        </w:rPr>
        <w:t>而餘處則稱為</w:t>
      </w:r>
      <w:r w:rsidRPr="00DA3BC7">
        <w:rPr>
          <w:rFonts w:ascii="Times New Roman" w:hAnsi="Times New Roman" w:hint="eastAsia"/>
          <w:b/>
        </w:rPr>
        <w:t>遍計所執性、依他起性、圓成實性</w:t>
      </w:r>
      <w:r w:rsidRPr="00DA3BC7">
        <w:rPr>
          <w:rFonts w:ascii="Times New Roman" w:hAnsi="Times New Roman" w:hint="eastAsia"/>
        </w:rPr>
        <w:t>。</w:t>
      </w:r>
      <w:r w:rsidRPr="00DA3BC7">
        <w:rPr>
          <w:rFonts w:ascii="Times New Roman" w:hAnsi="Times New Roman"/>
          <w:vertAlign w:val="superscript"/>
        </w:rPr>
        <w:footnoteReference w:id="683"/>
      </w:r>
    </w:p>
    <w:p w:rsidR="00AA120F" w:rsidRPr="00DA3BC7" w:rsidRDefault="00AA120F" w:rsidP="00AE3920">
      <w:pPr>
        <w:spacing w:beforeLines="20"/>
        <w:jc w:val="both"/>
        <w:rPr>
          <w:rFonts w:ascii="Times New Roman" w:hAnsi="Times New Roman"/>
          <w:b/>
          <w:kern w:val="0"/>
          <w:sz w:val="23"/>
          <w:szCs w:val="23"/>
        </w:rPr>
      </w:pPr>
      <w:r w:rsidRPr="00DA3BC7">
        <w:rPr>
          <w:rFonts w:ascii="Times New Roman" w:hAnsi="Times New Roman" w:hint="eastAsia"/>
        </w:rPr>
        <w:t>故性</w:t>
      </w:r>
      <w:r w:rsidR="00A6163F" w:rsidRPr="00A6163F">
        <w:rPr>
          <w:rFonts w:ascii="Times New Roman" w:hAnsi="Times New Roman" w:hint="eastAsia"/>
          <w:color w:val="FF0000"/>
          <w:highlight w:val="yellow"/>
        </w:rPr>
        <w:t>、</w:t>
      </w:r>
      <w:r w:rsidRPr="00DA3BC7">
        <w:rPr>
          <w:rFonts w:ascii="Times New Roman" w:hAnsi="Times New Roman" w:hint="eastAsia"/>
        </w:rPr>
        <w:t>相不妨互用，如《大智度論》卷</w:t>
      </w:r>
      <w:r w:rsidR="00A6163F">
        <w:rPr>
          <w:rFonts w:ascii="Times New Roman" w:hAnsi="Times New Roman" w:hint="eastAsia"/>
        </w:rPr>
        <w:t>31</w:t>
      </w:r>
      <w:r w:rsidRPr="00DA3BC7">
        <w:rPr>
          <w:rFonts w:ascii="Times New Roman" w:hAnsi="Times New Roman" w:hint="eastAsia"/>
        </w:rPr>
        <w:t>說：「</w:t>
      </w:r>
      <w:r w:rsidRPr="00DA3BC7">
        <w:rPr>
          <w:rFonts w:ascii="標楷體" w:eastAsia="標楷體" w:hAnsi="標楷體" w:hint="eastAsia"/>
          <w:b/>
        </w:rPr>
        <w:t>性、相</w:t>
      </w:r>
      <w:r w:rsidRPr="00DA3BC7">
        <w:rPr>
          <w:rFonts w:ascii="標楷體" w:eastAsia="標楷體" w:hAnsi="標楷體" w:hint="eastAsia"/>
        </w:rPr>
        <w:t>有何等異？答曰：有人言：其實無異，名有差別</w:t>
      </w:r>
      <w:r w:rsidRPr="00DA3BC7">
        <w:rPr>
          <w:rFonts w:ascii="Times New Roman" w:hAnsi="Times New Roman" w:hint="eastAsia"/>
        </w:rPr>
        <w:t>。」</w:t>
      </w:r>
      <w:r w:rsidRPr="00DA3BC7">
        <w:rPr>
          <w:rFonts w:ascii="Times New Roman" w:hAnsi="Times New Roman"/>
          <w:vertAlign w:val="superscript"/>
        </w:rPr>
        <w:footnoteReference w:id="684"/>
      </w:r>
    </w:p>
    <w:p w:rsidR="00AA120F" w:rsidRPr="00DA3BC7" w:rsidRDefault="00AA120F" w:rsidP="00D41C1A">
      <w:pPr>
        <w:jc w:val="both"/>
        <w:rPr>
          <w:rFonts w:ascii="Times New Roman" w:hAnsi="Times New Roman"/>
        </w:rPr>
      </w:pPr>
      <w:r w:rsidRPr="00DA3BC7">
        <w:rPr>
          <w:rFonts w:ascii="Times New Roman" w:hAnsi="Times New Roman" w:hint="eastAsia"/>
        </w:rPr>
        <w:lastRenderedPageBreak/>
        <w:t>但若性、相合說在一起，則應該有他的不同含義，所以又「</w:t>
      </w:r>
      <w:r w:rsidRPr="00DA3BC7">
        <w:rPr>
          <w:rFonts w:ascii="標楷體" w:eastAsia="標楷體" w:hAnsi="標楷體" w:hint="eastAsia"/>
        </w:rPr>
        <w:t>有人言：性、相小有差別，</w:t>
      </w:r>
      <w:r w:rsidRPr="00DA3BC7">
        <w:rPr>
          <w:rFonts w:ascii="標楷體" w:eastAsia="標楷體" w:hAnsi="標楷體" w:hint="eastAsia"/>
          <w:b/>
        </w:rPr>
        <w:t>性言其體，相言可識</w:t>
      </w:r>
      <w:r w:rsidRPr="00DA3BC7">
        <w:rPr>
          <w:rFonts w:ascii="Times New Roman" w:hAnsi="Times New Roman" w:hint="eastAsia"/>
        </w:rPr>
        <w:t>。」</w:t>
      </w:r>
      <w:r w:rsidRPr="00DA3BC7">
        <w:rPr>
          <w:rFonts w:ascii="Times New Roman" w:hAnsi="Times New Roman"/>
          <w:vertAlign w:val="superscript"/>
        </w:rPr>
        <w:footnoteReference w:id="685"/>
      </w:r>
      <w:r w:rsidRPr="00DA3BC7">
        <w:rPr>
          <w:rFonts w:ascii="Times New Roman" w:hAnsi="Times New Roman" w:hint="eastAsia"/>
          <w:b/>
        </w:rPr>
        <w:t>性</w:t>
      </w:r>
      <w:r w:rsidRPr="00DA3BC7">
        <w:rPr>
          <w:rFonts w:ascii="Times New Roman" w:hAnsi="Times New Roman" w:hint="eastAsia"/>
        </w:rPr>
        <w:t>指</w:t>
      </w:r>
      <w:r w:rsidRPr="00DA3BC7">
        <w:rPr>
          <w:rFonts w:ascii="Times New Roman" w:hAnsi="Times New Roman" w:hint="eastAsia"/>
          <w:b/>
        </w:rPr>
        <w:t>諸法體性</w:t>
      </w:r>
      <w:r w:rsidRPr="00DA3BC7">
        <w:rPr>
          <w:rFonts w:ascii="Times New Roman" w:hAnsi="Times New Roman" w:hint="eastAsia"/>
        </w:rPr>
        <w:t>，</w:t>
      </w:r>
      <w:r w:rsidRPr="00DA3BC7">
        <w:rPr>
          <w:rFonts w:ascii="Times New Roman" w:hAnsi="Times New Roman" w:hint="eastAsia"/>
          <w:b/>
        </w:rPr>
        <w:t>相</w:t>
      </w:r>
      <w:r w:rsidRPr="00DA3BC7">
        <w:rPr>
          <w:rFonts w:ascii="Times New Roman" w:hAnsi="Times New Roman" w:hint="eastAsia"/>
        </w:rPr>
        <w:t>指</w:t>
      </w:r>
      <w:r w:rsidRPr="00DA3BC7">
        <w:rPr>
          <w:rFonts w:ascii="Times New Roman" w:hAnsi="Times New Roman" w:hint="eastAsia"/>
          <w:b/>
        </w:rPr>
        <w:t>諸法樣相</w:t>
      </w:r>
      <w:r w:rsidRPr="00DA3BC7">
        <w:rPr>
          <w:rFonts w:ascii="Times New Roman" w:hAnsi="Times New Roman" w:hint="eastAsia"/>
        </w:rPr>
        <w:t>。</w:t>
      </w:r>
    </w:p>
    <w:p w:rsidR="00AA120F" w:rsidRPr="00DA3BC7" w:rsidRDefault="00AA120F" w:rsidP="00AE3920">
      <w:pPr>
        <w:spacing w:beforeLines="20"/>
        <w:jc w:val="both"/>
        <w:rPr>
          <w:rFonts w:ascii="Times New Roman" w:hAnsi="Times New Roman"/>
        </w:rPr>
      </w:pPr>
      <w:r w:rsidRPr="00DA3BC7">
        <w:rPr>
          <w:rFonts w:ascii="Times New Roman" w:hAnsi="Times New Roman" w:hint="eastAsia"/>
        </w:rPr>
        <w:t>又依論說：</w:t>
      </w:r>
      <w:r w:rsidRPr="00DA3BC7">
        <w:rPr>
          <w:rFonts w:ascii="Times New Roman" w:hAnsi="Times New Roman" w:hint="eastAsia"/>
          <w:b/>
        </w:rPr>
        <w:t>體性</w:t>
      </w:r>
      <w:r w:rsidRPr="00DA3BC7">
        <w:rPr>
          <w:rFonts w:ascii="Times New Roman" w:hAnsi="Times New Roman" w:hint="eastAsia"/>
        </w:rPr>
        <w:t>是</w:t>
      </w:r>
      <w:r w:rsidRPr="00DA3BC7">
        <w:rPr>
          <w:rFonts w:ascii="Times New Roman" w:hAnsi="Times New Roman" w:hint="eastAsia"/>
          <w:b/>
        </w:rPr>
        <w:t>內在的</w:t>
      </w:r>
      <w:r w:rsidRPr="00DA3BC7">
        <w:rPr>
          <w:rFonts w:ascii="Times New Roman" w:hAnsi="Times New Roman" w:hint="eastAsia"/>
        </w:rPr>
        <w:t>，</w:t>
      </w:r>
      <w:r w:rsidRPr="00DA3BC7">
        <w:rPr>
          <w:rFonts w:ascii="Times New Roman" w:hAnsi="Times New Roman" w:hint="eastAsia"/>
          <w:b/>
        </w:rPr>
        <w:t>相貌</w:t>
      </w:r>
      <w:r w:rsidRPr="00DA3BC7">
        <w:rPr>
          <w:rFonts w:ascii="Times New Roman" w:hAnsi="Times New Roman" w:hint="eastAsia"/>
        </w:rPr>
        <w:t>是</w:t>
      </w:r>
      <w:r w:rsidRPr="00DA3BC7">
        <w:rPr>
          <w:rFonts w:ascii="Times New Roman" w:hAnsi="Times New Roman" w:hint="eastAsia"/>
          <w:b/>
        </w:rPr>
        <w:t>外現的</w:t>
      </w:r>
      <w:r w:rsidRPr="00DA3BC7">
        <w:rPr>
          <w:rFonts w:ascii="Times New Roman" w:hAnsi="Times New Roman" w:hint="eastAsia"/>
        </w:rPr>
        <w:t>；</w:t>
      </w:r>
    </w:p>
    <w:p w:rsidR="00AA120F" w:rsidRPr="00DA3BC7" w:rsidRDefault="00AA120F" w:rsidP="00AE3920">
      <w:pPr>
        <w:spacing w:beforeLines="20"/>
        <w:jc w:val="both"/>
        <w:rPr>
          <w:rFonts w:ascii="Times New Roman" w:hAnsi="Times New Roman"/>
        </w:rPr>
      </w:pPr>
      <w:r w:rsidRPr="00DA3BC7">
        <w:rPr>
          <w:rFonts w:ascii="Times New Roman" w:hAnsi="Times New Roman" w:hint="eastAsia"/>
        </w:rPr>
        <w:t>又</w:t>
      </w:r>
      <w:r w:rsidRPr="00DA3BC7">
        <w:rPr>
          <w:rFonts w:ascii="Times New Roman" w:hAnsi="Times New Roman" w:hint="eastAsia"/>
          <w:b/>
        </w:rPr>
        <w:t>性</w:t>
      </w:r>
      <w:r w:rsidRPr="00DA3BC7">
        <w:rPr>
          <w:rFonts w:ascii="Times New Roman" w:hAnsi="Times New Roman" w:hint="eastAsia"/>
        </w:rPr>
        <w:t>是</w:t>
      </w:r>
      <w:r w:rsidRPr="00DA3BC7">
        <w:rPr>
          <w:rFonts w:ascii="Times New Roman" w:hAnsi="Times New Roman" w:hint="eastAsia"/>
          <w:b/>
        </w:rPr>
        <w:t>久遠的、末後的</w:t>
      </w:r>
      <w:r w:rsidRPr="00DA3BC7">
        <w:rPr>
          <w:rFonts w:ascii="Times New Roman" w:hAnsi="Times New Roman" w:hint="eastAsia"/>
        </w:rPr>
        <w:t>；</w:t>
      </w:r>
      <w:r w:rsidRPr="00DA3BC7">
        <w:rPr>
          <w:rFonts w:ascii="Times New Roman" w:hAnsi="Times New Roman" w:hint="eastAsia"/>
          <w:b/>
        </w:rPr>
        <w:t>相</w:t>
      </w:r>
      <w:r w:rsidRPr="00DA3BC7">
        <w:rPr>
          <w:rFonts w:ascii="Times New Roman" w:hAnsi="Times New Roman" w:hint="eastAsia"/>
        </w:rPr>
        <w:t>是</w:t>
      </w:r>
      <w:r w:rsidRPr="00DA3BC7">
        <w:rPr>
          <w:rFonts w:ascii="Times New Roman" w:hAnsi="Times New Roman" w:hint="eastAsia"/>
          <w:b/>
        </w:rPr>
        <w:t>新近的、初起的</w:t>
      </w:r>
      <w:r w:rsidRPr="00DA3BC7">
        <w:rPr>
          <w:rFonts w:ascii="Times New Roman" w:hAnsi="Times New Roman" w:hint="eastAsia"/>
        </w:rPr>
        <w:t>。</w:t>
      </w:r>
    </w:p>
    <w:p w:rsidR="00AA120F" w:rsidRPr="00DA3BC7" w:rsidRDefault="00AA120F" w:rsidP="00AE3920">
      <w:pPr>
        <w:spacing w:beforeLines="30"/>
        <w:jc w:val="both"/>
        <w:rPr>
          <w:rFonts w:ascii="Times New Roman" w:hAnsi="Times New Roman"/>
          <w:b/>
          <w:sz w:val="20"/>
          <w:szCs w:val="26"/>
        </w:rPr>
      </w:pPr>
      <w:r w:rsidRPr="00DA3BC7">
        <w:rPr>
          <w:rFonts w:ascii="Times New Roman" w:hAnsi="Times New Roman" w:hint="eastAsia"/>
          <w:b/>
          <w:sz w:val="20"/>
          <w:szCs w:val="26"/>
          <w:bdr w:val="single" w:sz="4" w:space="0" w:color="auto"/>
        </w:rPr>
        <w:t>貳</w:t>
      </w:r>
      <w:r w:rsidRPr="00DA3BC7">
        <w:rPr>
          <w:rFonts w:ascii="Times New Roman" w:hAnsi="Times New Roman"/>
          <w:b/>
          <w:sz w:val="20"/>
          <w:szCs w:val="26"/>
          <w:bdr w:val="single" w:sz="4" w:space="0" w:color="auto"/>
        </w:rPr>
        <w:t>、</w:t>
      </w:r>
      <w:r w:rsidR="00A6163F" w:rsidRPr="00A6163F">
        <w:rPr>
          <w:rFonts w:ascii="Times New Roman" w:hAnsi="Times New Roman" w:hint="eastAsia"/>
          <w:b/>
          <w:color w:val="FF0000"/>
          <w:sz w:val="20"/>
          <w:szCs w:val="26"/>
          <w:highlight w:val="yellow"/>
          <w:bdr w:val="single" w:sz="4" w:space="0" w:color="auto"/>
        </w:rPr>
        <w:t>詳究：</w:t>
      </w:r>
      <w:r w:rsidRPr="00DA3BC7">
        <w:rPr>
          <w:rFonts w:ascii="Times New Roman" w:hAnsi="Times New Roman" w:hint="eastAsia"/>
          <w:b/>
          <w:sz w:val="20"/>
          <w:szCs w:val="26"/>
          <w:bdr w:val="single" w:sz="4" w:space="0" w:color="auto"/>
        </w:rPr>
        <w:t>約四類辨</w:t>
      </w:r>
      <w:r w:rsidR="00A6163F" w:rsidRPr="00A6163F">
        <w:rPr>
          <w:rFonts w:ascii="Times New Roman" w:hAnsi="Times New Roman" w:hint="eastAsia"/>
          <w:b/>
          <w:color w:val="FF0000"/>
          <w:sz w:val="20"/>
          <w:szCs w:val="26"/>
          <w:highlight w:val="yellow"/>
          <w:bdr w:val="single" w:sz="4" w:space="0" w:color="auto"/>
        </w:rPr>
        <w:t>「</w:t>
      </w:r>
      <w:r w:rsidRPr="00DA3BC7">
        <w:rPr>
          <w:rFonts w:ascii="Times New Roman" w:hAnsi="Times New Roman" w:hint="eastAsia"/>
          <w:b/>
          <w:bCs/>
          <w:sz w:val="20"/>
          <w:szCs w:val="26"/>
          <w:bdr w:val="single" w:sz="4" w:space="0" w:color="auto"/>
        </w:rPr>
        <w:t>性</w:t>
      </w:r>
      <w:r w:rsidR="00A6163F" w:rsidRPr="00A6163F">
        <w:rPr>
          <w:rFonts w:ascii="Times New Roman" w:hAnsi="Times New Roman" w:hint="eastAsia"/>
          <w:b/>
          <w:bCs/>
          <w:color w:val="FF0000"/>
          <w:sz w:val="20"/>
          <w:szCs w:val="26"/>
          <w:highlight w:val="yellow"/>
          <w:bdr w:val="single" w:sz="4" w:space="0" w:color="auto"/>
        </w:rPr>
        <w:t>、</w:t>
      </w:r>
      <w:r w:rsidRPr="00DA3BC7">
        <w:rPr>
          <w:rFonts w:ascii="Times New Roman" w:hAnsi="Times New Roman" w:hint="eastAsia"/>
          <w:b/>
          <w:bCs/>
          <w:sz w:val="20"/>
          <w:szCs w:val="26"/>
          <w:bdr w:val="single" w:sz="4" w:space="0" w:color="auto"/>
        </w:rPr>
        <w:t>相</w:t>
      </w:r>
      <w:r w:rsidR="00A6163F" w:rsidRPr="00A6163F">
        <w:rPr>
          <w:rFonts w:ascii="Times New Roman" w:hAnsi="Times New Roman" w:hint="eastAsia"/>
          <w:b/>
          <w:bCs/>
          <w:color w:val="FF0000"/>
          <w:sz w:val="20"/>
          <w:szCs w:val="26"/>
          <w:highlight w:val="yellow"/>
          <w:bdr w:val="single" w:sz="4" w:space="0" w:color="auto"/>
        </w:rPr>
        <w:t>」</w:t>
      </w:r>
      <w:r w:rsidRPr="00DA3BC7">
        <w:rPr>
          <w:rFonts w:ascii="Times New Roman" w:hAnsi="Times New Roman" w:hint="eastAsia"/>
          <w:sz w:val="20"/>
          <w:szCs w:val="26"/>
        </w:rPr>
        <w:t>（</w:t>
      </w:r>
      <w:r w:rsidRPr="00DA3BC7">
        <w:rPr>
          <w:rFonts w:ascii="Times New Roman" w:hAnsi="Times New Roman" w:hint="eastAsia"/>
          <w:sz w:val="20"/>
          <w:szCs w:val="26"/>
        </w:rPr>
        <w:t>pp.148-162</w:t>
      </w:r>
      <w:r w:rsidRPr="00DA3BC7">
        <w:rPr>
          <w:rFonts w:ascii="Times New Roman" w:hAnsi="Times New Roman" w:hint="eastAsia"/>
          <w:sz w:val="20"/>
          <w:szCs w:val="26"/>
        </w:rPr>
        <w:t>）</w:t>
      </w:r>
    </w:p>
    <w:p w:rsidR="00AA120F" w:rsidRPr="00DA3BC7" w:rsidRDefault="00AA120F" w:rsidP="00D41C1A">
      <w:pPr>
        <w:jc w:val="both"/>
        <w:rPr>
          <w:rFonts w:ascii="Times New Roman" w:hAnsi="Times New Roman"/>
        </w:rPr>
      </w:pPr>
      <w:r w:rsidRPr="00DA3BC7">
        <w:rPr>
          <w:rFonts w:ascii="Times New Roman" w:hAnsi="Times New Roman" w:hint="eastAsia"/>
        </w:rPr>
        <w:t>「性」、「相」兩相，含義極多，這裏且略辨四類：</w:t>
      </w:r>
    </w:p>
    <w:p w:rsidR="00AA120F" w:rsidRPr="00DA3BC7" w:rsidRDefault="00AA120F" w:rsidP="00AE3920">
      <w:pPr>
        <w:spacing w:beforeLines="30"/>
        <w:ind w:leftChars="50" w:left="120"/>
        <w:jc w:val="both"/>
        <w:rPr>
          <w:rFonts w:ascii="Times New Roman" w:hAnsi="Times New Roman"/>
          <w:b/>
          <w:bCs/>
          <w:sz w:val="20"/>
          <w:szCs w:val="20"/>
        </w:rPr>
      </w:pPr>
      <w:r w:rsidRPr="00DA3BC7">
        <w:rPr>
          <w:rFonts w:ascii="Times New Roman" w:hAnsi="Times New Roman"/>
          <w:b/>
          <w:sz w:val="20"/>
          <w:szCs w:val="20"/>
          <w:bdr w:val="single" w:sz="4" w:space="0" w:color="auto"/>
        </w:rPr>
        <w:t>（壹）</w:t>
      </w:r>
      <w:r w:rsidRPr="00DA3BC7">
        <w:rPr>
          <w:rFonts w:ascii="Times New Roman" w:hAnsi="Times New Roman" w:hint="eastAsia"/>
          <w:b/>
          <w:bCs/>
          <w:sz w:val="20"/>
          <w:szCs w:val="20"/>
          <w:bdr w:val="single" w:sz="4" w:space="0" w:color="auto"/>
        </w:rPr>
        <w:t>約</w:t>
      </w:r>
      <w:r w:rsidR="00A6163F" w:rsidRPr="00A6163F">
        <w:rPr>
          <w:rFonts w:ascii="Times New Roman" w:hAnsi="Times New Roman" w:hint="eastAsia"/>
          <w:b/>
          <w:bCs/>
          <w:color w:val="FF0000"/>
          <w:sz w:val="20"/>
          <w:szCs w:val="20"/>
          <w:highlight w:val="yellow"/>
          <w:bdr w:val="single" w:sz="4" w:space="0" w:color="auto"/>
        </w:rPr>
        <w:t>「</w:t>
      </w:r>
      <w:r w:rsidRPr="00DA3BC7">
        <w:rPr>
          <w:rFonts w:ascii="Times New Roman" w:hAnsi="Times New Roman" w:hint="eastAsia"/>
          <w:b/>
          <w:bCs/>
          <w:sz w:val="20"/>
          <w:szCs w:val="20"/>
          <w:bdr w:val="single" w:sz="4" w:space="0" w:color="auto"/>
        </w:rPr>
        <w:t>初</w:t>
      </w:r>
      <w:r w:rsidR="00ED3A72" w:rsidRPr="00ED3A72">
        <w:rPr>
          <w:rFonts w:ascii="Times New Roman" w:hAnsi="Times New Roman" w:hint="eastAsia"/>
          <w:b/>
          <w:bCs/>
          <w:color w:val="FF0000"/>
          <w:sz w:val="20"/>
          <w:szCs w:val="20"/>
          <w:highlight w:val="yellow"/>
          <w:bdr w:val="single" w:sz="4" w:space="0" w:color="auto"/>
        </w:rPr>
        <w:t>、</w:t>
      </w:r>
      <w:r w:rsidRPr="00DA3BC7">
        <w:rPr>
          <w:rFonts w:ascii="Times New Roman" w:hAnsi="Times New Roman" w:hint="eastAsia"/>
          <w:b/>
          <w:bCs/>
          <w:sz w:val="20"/>
          <w:szCs w:val="20"/>
          <w:bdr w:val="single" w:sz="4" w:space="0" w:color="auto"/>
        </w:rPr>
        <w:t>後（遠</w:t>
      </w:r>
      <w:r w:rsidR="00ED3A72" w:rsidRPr="00ED3A72">
        <w:rPr>
          <w:rFonts w:ascii="Times New Roman" w:hAnsi="Times New Roman" w:hint="eastAsia"/>
          <w:b/>
          <w:bCs/>
          <w:color w:val="FF0000"/>
          <w:sz w:val="20"/>
          <w:szCs w:val="20"/>
          <w:highlight w:val="yellow"/>
          <w:bdr w:val="single" w:sz="4" w:space="0" w:color="auto"/>
        </w:rPr>
        <w:t>、</w:t>
      </w:r>
      <w:r w:rsidRPr="00DA3BC7">
        <w:rPr>
          <w:rFonts w:ascii="Times New Roman" w:hAnsi="Times New Roman" w:hint="eastAsia"/>
          <w:b/>
          <w:bCs/>
          <w:sz w:val="20"/>
          <w:szCs w:val="20"/>
          <w:bdr w:val="single" w:sz="4" w:space="0" w:color="auto"/>
        </w:rPr>
        <w:t>近）</w:t>
      </w:r>
      <w:r w:rsidR="00A6163F" w:rsidRPr="00A6163F">
        <w:rPr>
          <w:rFonts w:ascii="Times New Roman" w:hAnsi="Times New Roman" w:hint="eastAsia"/>
          <w:b/>
          <w:bCs/>
          <w:color w:val="FF0000"/>
          <w:sz w:val="20"/>
          <w:szCs w:val="26"/>
          <w:highlight w:val="yellow"/>
          <w:bdr w:val="single" w:sz="4" w:space="0" w:color="auto"/>
        </w:rPr>
        <w:t>」</w:t>
      </w:r>
      <w:r w:rsidRPr="00DA3BC7">
        <w:rPr>
          <w:rFonts w:ascii="Times New Roman" w:hAnsi="Times New Roman" w:hint="eastAsia"/>
          <w:b/>
          <w:bCs/>
          <w:sz w:val="20"/>
          <w:szCs w:val="20"/>
          <w:bdr w:val="single" w:sz="4" w:space="0" w:color="auto"/>
        </w:rPr>
        <w:t>論</w:t>
      </w:r>
      <w:r w:rsidR="00A6163F" w:rsidRPr="00A6163F">
        <w:rPr>
          <w:rFonts w:ascii="Times New Roman" w:hAnsi="Times New Roman" w:hint="eastAsia"/>
          <w:b/>
          <w:color w:val="FF0000"/>
          <w:sz w:val="20"/>
          <w:szCs w:val="26"/>
          <w:highlight w:val="yellow"/>
          <w:bdr w:val="single" w:sz="4" w:space="0" w:color="auto"/>
        </w:rPr>
        <w:t>「</w:t>
      </w:r>
      <w:r w:rsidR="00A6163F" w:rsidRPr="00DA3BC7">
        <w:rPr>
          <w:rFonts w:ascii="Times New Roman" w:hAnsi="Times New Roman" w:hint="eastAsia"/>
          <w:b/>
          <w:bCs/>
          <w:sz w:val="20"/>
          <w:szCs w:val="26"/>
          <w:bdr w:val="single" w:sz="4" w:space="0" w:color="auto"/>
        </w:rPr>
        <w:t>性</w:t>
      </w:r>
      <w:r w:rsidR="00A6163F" w:rsidRPr="00A6163F">
        <w:rPr>
          <w:rFonts w:ascii="Times New Roman" w:hAnsi="Times New Roman" w:hint="eastAsia"/>
          <w:b/>
          <w:bCs/>
          <w:color w:val="FF0000"/>
          <w:sz w:val="20"/>
          <w:szCs w:val="26"/>
          <w:highlight w:val="yellow"/>
          <w:bdr w:val="single" w:sz="4" w:space="0" w:color="auto"/>
        </w:rPr>
        <w:t>、</w:t>
      </w:r>
      <w:r w:rsidR="00A6163F" w:rsidRPr="00DA3BC7">
        <w:rPr>
          <w:rFonts w:ascii="Times New Roman" w:hAnsi="Times New Roman" w:hint="eastAsia"/>
          <w:b/>
          <w:bCs/>
          <w:sz w:val="20"/>
          <w:szCs w:val="26"/>
          <w:bdr w:val="single" w:sz="4" w:space="0" w:color="auto"/>
        </w:rPr>
        <w:t>相</w:t>
      </w:r>
      <w:r w:rsidR="00A6163F" w:rsidRPr="00A6163F">
        <w:rPr>
          <w:rFonts w:ascii="Times New Roman" w:hAnsi="Times New Roman" w:hint="eastAsia"/>
          <w:b/>
          <w:bCs/>
          <w:color w:val="FF0000"/>
          <w:sz w:val="20"/>
          <w:szCs w:val="26"/>
          <w:highlight w:val="yellow"/>
          <w:bdr w:val="single" w:sz="4" w:space="0" w:color="auto"/>
        </w:rPr>
        <w:t>」</w:t>
      </w:r>
      <w:r w:rsidRPr="00DA3BC7">
        <w:rPr>
          <w:rFonts w:ascii="Times New Roman" w:hAnsi="Times New Roman" w:hint="eastAsia"/>
          <w:bCs/>
          <w:sz w:val="20"/>
          <w:szCs w:val="20"/>
        </w:rPr>
        <w:t>（</w:t>
      </w:r>
      <w:r w:rsidRPr="00DA3BC7">
        <w:rPr>
          <w:rFonts w:ascii="Times New Roman" w:hAnsi="Times New Roman" w:hint="eastAsia"/>
          <w:bCs/>
          <w:sz w:val="20"/>
          <w:szCs w:val="20"/>
        </w:rPr>
        <w:t>pp.148-150</w:t>
      </w:r>
      <w:r w:rsidRPr="00DA3BC7">
        <w:rPr>
          <w:rFonts w:ascii="Times New Roman" w:hAnsi="Times New Roman" w:hint="eastAsia"/>
          <w:bCs/>
          <w:sz w:val="20"/>
          <w:szCs w:val="20"/>
        </w:rPr>
        <w:t>）</w:t>
      </w:r>
    </w:p>
    <w:p w:rsidR="00AA120F" w:rsidRPr="00DA3BC7" w:rsidRDefault="00AA120F" w:rsidP="00D41C1A">
      <w:pPr>
        <w:ind w:leftChars="50" w:left="120"/>
        <w:jc w:val="both"/>
        <w:rPr>
          <w:rFonts w:ascii="Times New Roman" w:hAnsi="Times New Roman"/>
          <w:bCs/>
          <w:szCs w:val="20"/>
        </w:rPr>
      </w:pPr>
      <w:r w:rsidRPr="00DA3BC7">
        <w:rPr>
          <w:rFonts w:ascii="Times New Roman" w:hAnsi="Times New Roman" w:hint="eastAsia"/>
          <w:b/>
          <w:bCs/>
          <w:szCs w:val="20"/>
        </w:rPr>
        <w:t>一、約初後（遠近）論性相</w:t>
      </w:r>
      <w:r w:rsidRPr="00DA3BC7">
        <w:rPr>
          <w:rFonts w:ascii="Times New Roman" w:hAnsi="Times New Roman" w:hint="eastAsia"/>
          <w:bCs/>
          <w:szCs w:val="20"/>
        </w:rPr>
        <w:t>：</w:t>
      </w:r>
    </w:p>
    <w:p w:rsidR="00ED3A72" w:rsidRPr="00DA3BC7" w:rsidRDefault="00ED3A72" w:rsidP="00AE3920">
      <w:pPr>
        <w:spacing w:beforeLines="30"/>
        <w:ind w:leftChars="100" w:left="240"/>
        <w:jc w:val="both"/>
        <w:rPr>
          <w:rFonts w:ascii="Times New Roman" w:hAnsi="Times New Roman"/>
          <w:sz w:val="20"/>
          <w:szCs w:val="20"/>
        </w:rPr>
      </w:pPr>
      <w:r w:rsidRPr="00ED3A72">
        <w:rPr>
          <w:rFonts w:ascii="Times New Roman" w:hAnsi="Times New Roman" w:hint="eastAsia"/>
          <w:b/>
          <w:color w:val="FF0000"/>
          <w:sz w:val="20"/>
          <w:szCs w:val="20"/>
          <w:highlight w:val="yellow"/>
          <w:bdr w:val="single" w:sz="4" w:space="0" w:color="auto"/>
        </w:rPr>
        <w:t>一、</w:t>
      </w:r>
      <w:r w:rsidRPr="00A6163F">
        <w:rPr>
          <w:rFonts w:ascii="Times New Roman" w:hAnsi="Times New Roman" w:hint="eastAsia"/>
          <w:b/>
          <w:color w:val="FF0000"/>
          <w:sz w:val="20"/>
          <w:szCs w:val="20"/>
          <w:highlight w:val="yellow"/>
          <w:bdr w:val="single" w:sz="4" w:space="0" w:color="auto"/>
        </w:rPr>
        <w:t>明義：</w:t>
      </w:r>
      <w:r>
        <w:rPr>
          <w:rFonts w:ascii="Times New Roman" w:hAnsi="Times New Roman" w:hint="eastAsia"/>
          <w:b/>
          <w:color w:val="FF0000"/>
          <w:sz w:val="20"/>
          <w:szCs w:val="20"/>
          <w:highlight w:val="yellow"/>
          <w:bdr w:val="single" w:sz="4" w:space="0" w:color="auto"/>
        </w:rPr>
        <w:t>由「相」</w:t>
      </w:r>
      <w:r w:rsidRPr="00DA3BC7">
        <w:rPr>
          <w:rFonts w:ascii="新細明體" w:hAnsi="新細明體" w:hint="eastAsia"/>
          <w:b/>
          <w:sz w:val="20"/>
          <w:szCs w:val="20"/>
          <w:bdr w:val="single" w:sz="4" w:space="0" w:color="auto"/>
        </w:rPr>
        <w:t>積習</w:t>
      </w:r>
      <w:r w:rsidRPr="00A6163F">
        <w:rPr>
          <w:rFonts w:ascii="新細明體" w:hAnsi="新細明體" w:hint="eastAsia"/>
          <w:b/>
          <w:color w:val="FF0000"/>
          <w:sz w:val="20"/>
          <w:szCs w:val="20"/>
          <w:highlight w:val="yellow"/>
          <w:bdr w:val="single" w:sz="4" w:space="0" w:color="auto"/>
        </w:rPr>
        <w:t>而</w:t>
      </w:r>
      <w:r w:rsidRPr="00DA3BC7">
        <w:rPr>
          <w:rFonts w:ascii="新細明體" w:hAnsi="新細明體" w:hint="eastAsia"/>
          <w:b/>
          <w:sz w:val="20"/>
          <w:szCs w:val="20"/>
          <w:bdr w:val="single" w:sz="4" w:space="0" w:color="auto"/>
        </w:rPr>
        <w:t>成</w:t>
      </w:r>
      <w:r w:rsidRPr="00A6163F">
        <w:rPr>
          <w:rFonts w:ascii="Times New Roman" w:hAnsi="Times New Roman" w:hint="eastAsia"/>
          <w:b/>
          <w:color w:val="FF0000"/>
          <w:sz w:val="20"/>
          <w:szCs w:val="26"/>
          <w:highlight w:val="yellow"/>
          <w:bdr w:val="single" w:sz="4" w:space="0" w:color="auto"/>
        </w:rPr>
        <w:t>「</w:t>
      </w:r>
      <w:r w:rsidRPr="00DA3BC7">
        <w:rPr>
          <w:rFonts w:ascii="新細明體" w:hAnsi="新細明體" w:hint="eastAsia"/>
          <w:b/>
          <w:sz w:val="20"/>
          <w:szCs w:val="20"/>
          <w:bdr w:val="single" w:sz="4" w:space="0" w:color="auto"/>
        </w:rPr>
        <w:t>性</w:t>
      </w:r>
      <w:r w:rsidRPr="00A6163F">
        <w:rPr>
          <w:rFonts w:ascii="Times New Roman" w:hAnsi="Times New Roman" w:hint="eastAsia"/>
          <w:b/>
          <w:bCs/>
          <w:color w:val="FF0000"/>
          <w:sz w:val="20"/>
          <w:szCs w:val="26"/>
          <w:highlight w:val="yellow"/>
          <w:bdr w:val="single" w:sz="4" w:space="0" w:color="auto"/>
        </w:rPr>
        <w:t>」</w:t>
      </w:r>
      <w:r w:rsidRPr="00DA3BC7">
        <w:rPr>
          <w:rFonts w:ascii="Times New Roman" w:hAnsi="Times New Roman" w:hint="eastAsia"/>
          <w:sz w:val="20"/>
          <w:szCs w:val="20"/>
        </w:rPr>
        <w:t>（</w:t>
      </w:r>
      <w:r w:rsidRPr="00DA3BC7">
        <w:rPr>
          <w:rFonts w:ascii="Times New Roman" w:hAnsi="Times New Roman" w:hint="eastAsia"/>
          <w:sz w:val="20"/>
          <w:szCs w:val="20"/>
        </w:rPr>
        <w:t>pp.148-149</w:t>
      </w:r>
      <w:r w:rsidRPr="00DA3BC7">
        <w:rPr>
          <w:rFonts w:ascii="Times New Roman" w:hAnsi="Times New Roman" w:hint="eastAsia"/>
          <w:sz w:val="20"/>
          <w:szCs w:val="20"/>
        </w:rPr>
        <w:t>）</w:t>
      </w:r>
    </w:p>
    <w:p w:rsidR="00A6163F" w:rsidRPr="00DA3BC7" w:rsidRDefault="00A6163F" w:rsidP="00D41C1A">
      <w:pPr>
        <w:ind w:leftChars="150" w:left="360"/>
        <w:jc w:val="both"/>
        <w:rPr>
          <w:rFonts w:ascii="Times New Roman" w:hAnsi="Times New Roman"/>
          <w:b/>
          <w:bCs/>
          <w:sz w:val="20"/>
          <w:szCs w:val="20"/>
        </w:rPr>
      </w:pPr>
      <w:r w:rsidRPr="00A6163F">
        <w:rPr>
          <w:rFonts w:ascii="Times New Roman" w:hAnsi="Times New Roman"/>
          <w:b/>
          <w:color w:val="FF0000"/>
          <w:sz w:val="20"/>
          <w:szCs w:val="20"/>
          <w:highlight w:val="yellow"/>
          <w:bdr w:val="single" w:sz="4" w:space="0" w:color="auto"/>
        </w:rPr>
        <w:t>（</w:t>
      </w:r>
      <w:r w:rsidRPr="00A6163F">
        <w:rPr>
          <w:rFonts w:ascii="Times New Roman" w:hAnsi="Times New Roman" w:hint="eastAsia"/>
          <w:b/>
          <w:color w:val="FF0000"/>
          <w:sz w:val="20"/>
          <w:szCs w:val="20"/>
          <w:highlight w:val="yellow"/>
          <w:bdr w:val="single" w:sz="4" w:space="0" w:color="auto"/>
        </w:rPr>
        <w:t>一</w:t>
      </w:r>
      <w:r w:rsidRPr="00A6163F">
        <w:rPr>
          <w:rFonts w:ascii="Times New Roman" w:hAnsi="Times New Roman"/>
          <w:b/>
          <w:color w:val="FF0000"/>
          <w:sz w:val="20"/>
          <w:szCs w:val="20"/>
          <w:highlight w:val="yellow"/>
          <w:bdr w:val="single" w:sz="4" w:space="0" w:color="auto"/>
        </w:rPr>
        <w:t>）</w:t>
      </w:r>
      <w:r w:rsidRPr="00A6163F">
        <w:rPr>
          <w:rFonts w:ascii="Times New Roman" w:hAnsi="Times New Roman" w:hint="eastAsia"/>
          <w:b/>
          <w:bCs/>
          <w:color w:val="FF0000"/>
          <w:sz w:val="20"/>
          <w:szCs w:val="20"/>
          <w:highlight w:val="yellow"/>
          <w:bdr w:val="single" w:sz="4" w:space="0" w:color="auto"/>
        </w:rPr>
        <w:t>約「人</w:t>
      </w:r>
      <w:r w:rsidRPr="00A6163F">
        <w:rPr>
          <w:rFonts w:ascii="Times New Roman" w:hAnsi="Times New Roman" w:hint="eastAsia"/>
          <w:b/>
          <w:bCs/>
          <w:color w:val="FF0000"/>
          <w:sz w:val="20"/>
          <w:szCs w:val="26"/>
          <w:highlight w:val="yellow"/>
          <w:bdr w:val="single" w:sz="4" w:space="0" w:color="auto"/>
        </w:rPr>
        <w:t>」</w:t>
      </w:r>
      <w:r w:rsidRPr="00A6163F">
        <w:rPr>
          <w:rFonts w:ascii="Times New Roman" w:hAnsi="Times New Roman" w:hint="eastAsia"/>
          <w:b/>
          <w:bCs/>
          <w:color w:val="FF0000"/>
          <w:sz w:val="20"/>
          <w:szCs w:val="20"/>
          <w:highlight w:val="yellow"/>
          <w:bdr w:val="single" w:sz="4" w:space="0" w:color="auto"/>
        </w:rPr>
        <w:t>辨</w:t>
      </w:r>
      <w:r w:rsidRPr="00DA3BC7">
        <w:rPr>
          <w:rFonts w:ascii="Times New Roman" w:hAnsi="Times New Roman" w:hint="eastAsia"/>
          <w:bCs/>
          <w:sz w:val="20"/>
          <w:szCs w:val="20"/>
        </w:rPr>
        <w:t>（</w:t>
      </w:r>
      <w:r w:rsidRPr="00DA3BC7">
        <w:rPr>
          <w:rFonts w:ascii="Times New Roman" w:hAnsi="Times New Roman" w:hint="eastAsia"/>
          <w:bCs/>
          <w:sz w:val="20"/>
          <w:szCs w:val="20"/>
        </w:rPr>
        <w:t>p.148</w:t>
      </w:r>
      <w:r w:rsidRPr="00DA3BC7">
        <w:rPr>
          <w:rFonts w:ascii="Times New Roman" w:hAnsi="Times New Roman" w:hint="eastAsia"/>
          <w:bCs/>
          <w:sz w:val="20"/>
          <w:szCs w:val="20"/>
        </w:rPr>
        <w:t>）</w:t>
      </w:r>
    </w:p>
    <w:p w:rsidR="00AA120F" w:rsidRPr="00DA3BC7" w:rsidRDefault="00AA120F" w:rsidP="00D41C1A">
      <w:pPr>
        <w:ind w:leftChars="150" w:left="360"/>
        <w:jc w:val="both"/>
        <w:rPr>
          <w:rFonts w:ascii="Times New Roman" w:hAnsi="Times New Roman"/>
        </w:rPr>
      </w:pPr>
      <w:r w:rsidRPr="00DA3BC7">
        <w:rPr>
          <w:rFonts w:ascii="Times New Roman" w:hAnsi="Times New Roman" w:hint="eastAsia"/>
        </w:rPr>
        <w:t>《大智度論》卷</w:t>
      </w:r>
      <w:r w:rsidR="00A6163F">
        <w:rPr>
          <w:rFonts w:ascii="Times New Roman" w:hAnsi="Times New Roman" w:hint="eastAsia"/>
        </w:rPr>
        <w:t>67</w:t>
      </w:r>
      <w:r w:rsidRPr="00DA3BC7">
        <w:rPr>
          <w:rFonts w:ascii="Times New Roman" w:hAnsi="Times New Roman" w:hint="eastAsia"/>
        </w:rPr>
        <w:t>說：「</w:t>
      </w:r>
      <w:r w:rsidRPr="00DA3BC7">
        <w:rPr>
          <w:rFonts w:ascii="標楷體" w:eastAsia="標楷體" w:hAnsi="標楷體" w:hint="eastAsia"/>
        </w:rPr>
        <w:t>是</w:t>
      </w:r>
      <w:r w:rsidRPr="00DA3BC7">
        <w:rPr>
          <w:rFonts w:ascii="標楷體" w:eastAsia="標楷體" w:hAnsi="標楷體" w:hint="eastAsia"/>
          <w:b/>
        </w:rPr>
        <w:t>相</w:t>
      </w:r>
      <w:r w:rsidRPr="00DA3BC7">
        <w:rPr>
          <w:rFonts w:ascii="標楷體" w:eastAsia="標楷體" w:hAnsi="標楷體" w:hint="eastAsia"/>
        </w:rPr>
        <w:t>積習成</w:t>
      </w:r>
      <w:r w:rsidRPr="00DA3BC7">
        <w:rPr>
          <w:rFonts w:ascii="標楷體" w:eastAsia="標楷體" w:hAnsi="標楷體" w:hint="eastAsia"/>
          <w:b/>
        </w:rPr>
        <w:t>性</w:t>
      </w:r>
      <w:r w:rsidRPr="00DA3BC7">
        <w:rPr>
          <w:rFonts w:ascii="標楷體" w:eastAsia="標楷體" w:hAnsi="標楷體" w:hint="eastAsia"/>
        </w:rPr>
        <w:t>，譬如人瞋，日習不已，則成惡性</w:t>
      </w:r>
      <w:r w:rsidRPr="00DA3BC7">
        <w:rPr>
          <w:rFonts w:ascii="Times New Roman" w:hAnsi="Times New Roman" w:hint="eastAsia"/>
        </w:rPr>
        <w:t>。」</w:t>
      </w:r>
      <w:r w:rsidRPr="00DA3BC7">
        <w:rPr>
          <w:rFonts w:ascii="Times New Roman" w:hAnsi="Times New Roman"/>
          <w:vertAlign w:val="superscript"/>
        </w:rPr>
        <w:footnoteReference w:id="686"/>
      </w:r>
    </w:p>
    <w:p w:rsidR="00AA120F" w:rsidRPr="00DA3BC7" w:rsidRDefault="00AA120F" w:rsidP="00AE3920">
      <w:pPr>
        <w:spacing w:beforeLines="20"/>
        <w:ind w:leftChars="150" w:left="360"/>
        <w:jc w:val="both"/>
        <w:rPr>
          <w:rFonts w:ascii="Times New Roman" w:hAnsi="Times New Roman"/>
        </w:rPr>
      </w:pPr>
      <w:r w:rsidRPr="00DA3BC7">
        <w:rPr>
          <w:rFonts w:ascii="Times New Roman" w:hAnsi="Times New Roman" w:hint="eastAsia"/>
        </w:rPr>
        <w:t>我們的思想、行為，</w:t>
      </w:r>
      <w:r w:rsidRPr="00DA3BC7">
        <w:rPr>
          <w:rFonts w:ascii="Times New Roman" w:hAnsi="Times New Roman" w:hint="eastAsia"/>
          <w:b/>
        </w:rPr>
        <w:t>起初</w:t>
      </w:r>
      <w:r w:rsidRPr="00DA3BC7">
        <w:rPr>
          <w:rFonts w:ascii="Times New Roman" w:hAnsi="Times New Roman" w:hint="eastAsia"/>
        </w:rPr>
        <w:t>或善或惡，或貪或瞋，即是相。如不斷的起作，</w:t>
      </w:r>
      <w:r w:rsidRPr="00DA3BC7">
        <w:rPr>
          <w:rFonts w:ascii="Times New Roman" w:hAnsi="Times New Roman" w:hint="eastAsia"/>
          <w:b/>
        </w:rPr>
        <w:t>久後</w:t>
      </w:r>
      <w:r w:rsidRPr="00DA3BC7">
        <w:rPr>
          <w:rFonts w:ascii="Times New Roman" w:hAnsi="Times New Roman" w:hint="eastAsia"/>
        </w:rPr>
        <w:t>會積習成性。等到習以成性，常人不了，每以為本性如此。佛說眾生有貪性人、瞋性人、癡性人</w:t>
      </w:r>
      <w:r w:rsidRPr="00DA3BC7">
        <w:rPr>
          <w:rStyle w:val="a6"/>
          <w:rFonts w:ascii="Times New Roman" w:hAnsi="Times New Roman"/>
        </w:rPr>
        <w:footnoteReference w:id="687"/>
      </w:r>
      <w:r w:rsidRPr="00DA3BC7">
        <w:rPr>
          <w:rFonts w:ascii="Times New Roman" w:hAnsi="Times New Roman" w:hint="eastAsia"/>
        </w:rPr>
        <w:t>等，這都由久久積習而成性的，並非有定善</w:t>
      </w:r>
      <w:r w:rsidRPr="00DA3BC7">
        <w:rPr>
          <w:rFonts w:ascii="Times New Roman" w:hAnsi="Times New Roman" w:hint="eastAsia"/>
        </w:rPr>
        <w:lastRenderedPageBreak/>
        <w:t>定惡的本性。</w:t>
      </w:r>
    </w:p>
    <w:p w:rsidR="00AA120F" w:rsidRPr="00DA3BC7" w:rsidRDefault="00AA120F" w:rsidP="00AE3920">
      <w:pPr>
        <w:spacing w:beforeLines="20"/>
        <w:ind w:leftChars="150" w:left="360"/>
        <w:jc w:val="both"/>
        <w:rPr>
          <w:rFonts w:ascii="Times New Roman" w:hAnsi="Times New Roman"/>
        </w:rPr>
      </w:pPr>
      <w:r w:rsidRPr="00DA3BC7">
        <w:rPr>
          <w:rFonts w:ascii="Times New Roman" w:hAnsi="Times New Roman" w:hint="eastAsia"/>
        </w:rPr>
        <w:t>《大智度論》卷</w:t>
      </w:r>
      <w:r w:rsidR="00A6163F">
        <w:rPr>
          <w:rFonts w:ascii="Times New Roman" w:hAnsi="Times New Roman" w:hint="eastAsia"/>
        </w:rPr>
        <w:t>31</w:t>
      </w:r>
      <w:r w:rsidRPr="00DA3BC7">
        <w:rPr>
          <w:rFonts w:ascii="Times New Roman" w:hAnsi="Times New Roman" w:hint="eastAsia"/>
        </w:rPr>
        <w:t>說：「</w:t>
      </w:r>
      <w:r w:rsidRPr="00DA3BC7">
        <w:rPr>
          <w:rFonts w:ascii="標楷體" w:eastAsia="標楷體" w:hAnsi="標楷體" w:hint="eastAsia"/>
        </w:rPr>
        <w:t>如人喜作諸惡，故名為惡性；好集善事，故名為善性。如</w:t>
      </w:r>
      <w:r w:rsidRPr="00DA3BC7">
        <w:rPr>
          <w:rFonts w:ascii="標楷體" w:eastAsia="標楷體" w:hAnsi="標楷體" w:hint="eastAsia"/>
          <w:kern w:val="0"/>
        </w:rPr>
        <w:t>《</w:t>
      </w:r>
      <w:r w:rsidRPr="00DA3BC7">
        <w:rPr>
          <w:rFonts w:ascii="標楷體" w:eastAsia="標楷體" w:hAnsi="標楷體" w:hint="eastAsia"/>
        </w:rPr>
        <w:t>十力經</w:t>
      </w:r>
      <w:r w:rsidRPr="00DA3BC7">
        <w:rPr>
          <w:rFonts w:ascii="標楷體" w:eastAsia="標楷體" w:hAnsi="標楷體" w:hint="eastAsia"/>
          <w:kern w:val="0"/>
        </w:rPr>
        <w:t>》</w:t>
      </w:r>
      <w:r w:rsidRPr="00DA3BC7">
        <w:rPr>
          <w:rFonts w:ascii="標楷體" w:eastAsia="標楷體" w:hAnsi="標楷體" w:hint="eastAsia"/>
        </w:rPr>
        <w:t>中說</w:t>
      </w:r>
      <w:r w:rsidRPr="00DA3BC7">
        <w:rPr>
          <w:rFonts w:hint="eastAsia"/>
        </w:rPr>
        <w:t>：</w:t>
      </w:r>
      <w:r w:rsidRPr="00DA3BC7">
        <w:rPr>
          <w:rFonts w:ascii="標楷體" w:eastAsia="標楷體" w:hAnsi="標楷體" w:hint="eastAsia"/>
        </w:rPr>
        <w:t>『佛知世間種種性。』</w:t>
      </w:r>
      <w:r w:rsidRPr="00DA3BC7">
        <w:rPr>
          <w:rFonts w:ascii="Times New Roman" w:hAnsi="Times New Roman" w:hint="eastAsia"/>
        </w:rPr>
        <w:t>」</w:t>
      </w:r>
      <w:r w:rsidRPr="00DA3BC7">
        <w:rPr>
          <w:rFonts w:ascii="Times New Roman" w:hAnsi="Times New Roman"/>
          <w:vertAlign w:val="superscript"/>
        </w:rPr>
        <w:footnoteReference w:id="688"/>
      </w:r>
      <w:r w:rsidRPr="00DA3BC7">
        <w:rPr>
          <w:rFonts w:ascii="Times New Roman" w:hAnsi="Times New Roman" w:hint="eastAsia"/>
        </w:rPr>
        <w:t>佛以種種</w:t>
      </w:r>
      <w:r w:rsidRPr="002F0F4A">
        <w:rPr>
          <w:rFonts w:ascii="Times New Roman" w:hAnsi="Times New Roman" w:hint="eastAsia"/>
          <w:b/>
        </w:rPr>
        <w:t>界</w:t>
      </w:r>
      <w:r w:rsidRPr="00DA3BC7">
        <w:rPr>
          <w:rStyle w:val="a6"/>
          <w:rFonts w:ascii="Times New Roman" w:hAnsi="Times New Roman"/>
        </w:rPr>
        <w:footnoteReference w:id="689"/>
      </w:r>
      <w:r w:rsidRPr="00DA3BC7">
        <w:rPr>
          <w:rFonts w:ascii="Times New Roman" w:hAnsi="Times New Roman" w:hint="eastAsia"/>
        </w:rPr>
        <w:t>（即</w:t>
      </w:r>
      <w:r w:rsidRPr="002F0F4A">
        <w:rPr>
          <w:rFonts w:ascii="Times New Roman" w:hAnsi="Times New Roman" w:hint="eastAsia"/>
          <w:b/>
        </w:rPr>
        <w:t>性</w:t>
      </w:r>
      <w:r w:rsidRPr="00DA3BC7">
        <w:rPr>
          <w:rFonts w:ascii="Times New Roman" w:hAnsi="Times New Roman" w:hint="eastAsia"/>
        </w:rPr>
        <w:t>）</w:t>
      </w:r>
      <w:r w:rsidRPr="00DA3BC7">
        <w:rPr>
          <w:rFonts w:ascii="Times New Roman" w:hAnsi="Times New Roman" w:hint="eastAsia"/>
        </w:rPr>
        <w:lastRenderedPageBreak/>
        <w:t>智力，知眾生根性等不同。</w:t>
      </w:r>
    </w:p>
    <w:p w:rsidR="00A6163F" w:rsidRDefault="00AA120F" w:rsidP="00AE3920">
      <w:pPr>
        <w:spacing w:beforeLines="20"/>
        <w:ind w:leftChars="150" w:left="360"/>
        <w:jc w:val="both"/>
        <w:rPr>
          <w:rFonts w:ascii="Times New Roman" w:hAnsi="Times New Roman"/>
        </w:rPr>
      </w:pPr>
      <w:r w:rsidRPr="00DA3BC7">
        <w:rPr>
          <w:rFonts w:ascii="Times New Roman" w:hAnsi="Times New Roman" w:hint="eastAsia"/>
        </w:rPr>
        <w:t>俗謂「江山易改，稟性</w:t>
      </w:r>
      <w:r w:rsidRPr="00DA3BC7">
        <w:rPr>
          <w:rStyle w:val="a6"/>
          <w:rFonts w:ascii="Times New Roman" w:hAnsi="Times New Roman"/>
        </w:rPr>
        <w:footnoteReference w:id="690"/>
      </w:r>
      <w:r w:rsidRPr="00DA3BC7">
        <w:rPr>
          <w:rFonts w:ascii="Times New Roman" w:hAnsi="Times New Roman" w:hint="eastAsia"/>
        </w:rPr>
        <w:t>難移」，這不過是說習久成性，從串習</w:t>
      </w:r>
      <w:r w:rsidRPr="00DA3BC7">
        <w:rPr>
          <w:rStyle w:val="a6"/>
          <w:rFonts w:ascii="Times New Roman" w:hAnsi="Times New Roman"/>
        </w:rPr>
        <w:footnoteReference w:id="691"/>
      </w:r>
      <w:r w:rsidRPr="00DA3BC7">
        <w:rPr>
          <w:rFonts w:ascii="Times New Roman" w:hAnsi="Times New Roman" w:hint="eastAsia"/>
        </w:rPr>
        <w:t>而成為自然而然的，不容易改換而已。人生下來，受父母的教養和師友的熏陶、社會的影響不同，養成多少不同的性格；或是因為宿因善惡的潛力，或生理機能的差別，成為不同的性格、嗜慾</w:t>
      </w:r>
      <w:r w:rsidRPr="00DA3BC7">
        <w:rPr>
          <w:rStyle w:val="a6"/>
          <w:rFonts w:ascii="Times New Roman" w:hAnsi="Times New Roman"/>
        </w:rPr>
        <w:footnoteReference w:id="692"/>
      </w:r>
      <w:r w:rsidRPr="00DA3BC7">
        <w:rPr>
          <w:rFonts w:ascii="Times New Roman" w:hAnsi="Times New Roman" w:hint="eastAsia"/>
        </w:rPr>
        <w:t>等，這些都是積漸</w:t>
      </w:r>
      <w:r w:rsidRPr="00DA3BC7">
        <w:rPr>
          <w:rStyle w:val="a6"/>
          <w:rFonts w:ascii="Times New Roman" w:hAnsi="Times New Roman"/>
        </w:rPr>
        <w:footnoteReference w:id="693"/>
      </w:r>
      <w:r w:rsidRPr="00DA3BC7">
        <w:rPr>
          <w:rFonts w:ascii="Times New Roman" w:hAnsi="Times New Roman" w:hint="eastAsia"/>
        </w:rPr>
        <w:t>而成的。</w:t>
      </w:r>
    </w:p>
    <w:p w:rsidR="00A6163F" w:rsidRPr="00DA3BC7" w:rsidRDefault="00A6163F" w:rsidP="00AE3920">
      <w:pPr>
        <w:spacing w:beforeLines="30"/>
        <w:ind w:leftChars="150" w:left="360"/>
        <w:jc w:val="both"/>
        <w:rPr>
          <w:rFonts w:ascii="Times New Roman" w:hAnsi="Times New Roman"/>
          <w:b/>
          <w:bCs/>
          <w:sz w:val="20"/>
          <w:szCs w:val="20"/>
        </w:rPr>
      </w:pPr>
      <w:r w:rsidRPr="00A6163F">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二</w:t>
      </w:r>
      <w:r w:rsidRPr="00A6163F">
        <w:rPr>
          <w:rFonts w:ascii="Times New Roman" w:hAnsi="Times New Roman"/>
          <w:b/>
          <w:color w:val="FF0000"/>
          <w:sz w:val="20"/>
          <w:szCs w:val="20"/>
          <w:highlight w:val="yellow"/>
          <w:bdr w:val="single" w:sz="4" w:space="0" w:color="auto"/>
        </w:rPr>
        <w:t>）</w:t>
      </w:r>
      <w:r w:rsidRPr="00A6163F">
        <w:rPr>
          <w:rFonts w:ascii="Times New Roman" w:hAnsi="Times New Roman" w:hint="eastAsia"/>
          <w:b/>
          <w:bCs/>
          <w:color w:val="FF0000"/>
          <w:sz w:val="20"/>
          <w:szCs w:val="20"/>
          <w:highlight w:val="yellow"/>
          <w:bdr w:val="single" w:sz="4" w:space="0" w:color="auto"/>
        </w:rPr>
        <w:t>約「</w:t>
      </w:r>
      <w:r>
        <w:rPr>
          <w:rFonts w:ascii="Times New Roman" w:hAnsi="Times New Roman" w:hint="eastAsia"/>
          <w:b/>
          <w:bCs/>
          <w:color w:val="FF0000"/>
          <w:sz w:val="20"/>
          <w:szCs w:val="20"/>
          <w:highlight w:val="yellow"/>
          <w:bdr w:val="single" w:sz="4" w:space="0" w:color="auto"/>
        </w:rPr>
        <w:t>法</w:t>
      </w:r>
      <w:r w:rsidRPr="00A6163F">
        <w:rPr>
          <w:rFonts w:ascii="Times New Roman" w:hAnsi="Times New Roman" w:hint="eastAsia"/>
          <w:b/>
          <w:bCs/>
          <w:color w:val="FF0000"/>
          <w:sz w:val="20"/>
          <w:szCs w:val="26"/>
          <w:highlight w:val="yellow"/>
          <w:bdr w:val="single" w:sz="4" w:space="0" w:color="auto"/>
        </w:rPr>
        <w:t>」</w:t>
      </w:r>
      <w:r w:rsidRPr="00A6163F">
        <w:rPr>
          <w:rFonts w:ascii="Times New Roman" w:hAnsi="Times New Roman" w:hint="eastAsia"/>
          <w:b/>
          <w:bCs/>
          <w:color w:val="FF0000"/>
          <w:sz w:val="20"/>
          <w:szCs w:val="20"/>
          <w:highlight w:val="yellow"/>
          <w:bdr w:val="single" w:sz="4" w:space="0" w:color="auto"/>
        </w:rPr>
        <w:t>辨</w:t>
      </w:r>
      <w:r w:rsidRPr="00DA3BC7">
        <w:rPr>
          <w:rFonts w:ascii="Times New Roman" w:hAnsi="Times New Roman" w:hint="eastAsia"/>
          <w:sz w:val="20"/>
          <w:szCs w:val="20"/>
        </w:rPr>
        <w:t>（</w:t>
      </w:r>
      <w:r w:rsidRPr="00DA3BC7">
        <w:rPr>
          <w:rFonts w:ascii="Times New Roman" w:hAnsi="Times New Roman" w:hint="eastAsia"/>
          <w:sz w:val="20"/>
          <w:szCs w:val="20"/>
        </w:rPr>
        <w:t>pp.148-149</w:t>
      </w:r>
      <w:r w:rsidRPr="00DA3BC7">
        <w:rPr>
          <w:rFonts w:ascii="Times New Roman" w:hAnsi="Times New Roman" w:hint="eastAsia"/>
          <w:sz w:val="20"/>
          <w:szCs w:val="20"/>
        </w:rPr>
        <w:t>）</w:t>
      </w:r>
    </w:p>
    <w:p w:rsidR="00AA120F" w:rsidRPr="00DA3BC7" w:rsidRDefault="00AA120F" w:rsidP="00D41C1A">
      <w:pPr>
        <w:ind w:leftChars="150" w:left="360"/>
        <w:jc w:val="both"/>
        <w:rPr>
          <w:rFonts w:ascii="Times New Roman" w:hAnsi="Times New Roman"/>
          <w:sz w:val="20"/>
          <w:szCs w:val="20"/>
        </w:rPr>
      </w:pPr>
      <w:r w:rsidRPr="00DA3BC7">
        <w:rPr>
          <w:rFonts w:ascii="Times New Roman" w:hAnsi="Times New Roman" w:hint="eastAsia"/>
        </w:rPr>
        <w:t>不但</w:t>
      </w:r>
      <w:r w:rsidRPr="00DA3BC7">
        <w:rPr>
          <w:rFonts w:ascii="Times New Roman" w:hAnsi="Times New Roman" w:hint="eastAsia"/>
          <w:b/>
        </w:rPr>
        <w:t>人</w:t>
      </w:r>
      <w:r w:rsidRPr="00DA3BC7">
        <w:rPr>
          <w:rFonts w:ascii="Times New Roman" w:hAnsi="Times New Roman" w:hint="eastAsia"/>
        </w:rPr>
        <w:t>的性格如此，一切</w:t>
      </w:r>
      <w:r w:rsidRPr="00DA3BC7">
        <w:rPr>
          <w:rFonts w:ascii="Times New Roman" w:hAnsi="Times New Roman" w:hint="eastAsia"/>
          <w:b/>
        </w:rPr>
        <w:t>法</w:t>
      </w:r>
      <w:r w:rsidRPr="00DA3BC7">
        <w:rPr>
          <w:rFonts w:ascii="Times New Roman" w:hAnsi="Times New Roman" w:hint="eastAsia"/>
        </w:rPr>
        <w:t>也是如此的。因為一切法無不表現在時間中，依幻論幻，有時間相，即不無前前後後的相續性。前前的對於後後的有影響，即有熏習。</w:t>
      </w:r>
      <w:r w:rsidRPr="00DA3BC7">
        <w:rPr>
          <w:rFonts w:ascii="Times New Roman" w:hAnsi="Times New Roman" w:hint="eastAsia"/>
          <w:b/>
        </w:rPr>
        <w:t>相雖不即是性，但由不斷的起作，即由相的積習而成性。</w:t>
      </w:r>
      <w:r w:rsidRPr="00DA3BC7">
        <w:rPr>
          <w:rFonts w:ascii="Times New Roman" w:hAnsi="Times New Roman" w:hint="eastAsia"/>
        </w:rPr>
        <w:t>從微至著</w:t>
      </w:r>
      <w:r w:rsidRPr="00DA3BC7">
        <w:rPr>
          <w:rStyle w:val="a6"/>
          <w:rFonts w:ascii="Times New Roman" w:hAnsi="Times New Roman"/>
        </w:rPr>
        <w:footnoteReference w:id="694"/>
      </w:r>
      <w:r w:rsidRPr="00DA3BC7">
        <w:rPr>
          <w:rFonts w:ascii="Times New Roman" w:hAnsi="Times New Roman" w:hint="eastAsia"/>
        </w:rPr>
        <w:t>，從小到大，都有此由相而成性的意義。所以，性不是固定的、本然如此的。</w:t>
      </w:r>
    </w:p>
    <w:p w:rsidR="00AA120F" w:rsidRPr="00DA3BC7" w:rsidRDefault="00AA120F" w:rsidP="00AE3920">
      <w:pPr>
        <w:spacing w:beforeLines="30"/>
        <w:ind w:leftChars="100" w:left="240"/>
        <w:jc w:val="both"/>
        <w:rPr>
          <w:rFonts w:ascii="Times New Roman" w:hAnsi="Times New Roman"/>
          <w:b/>
          <w:sz w:val="20"/>
          <w:szCs w:val="20"/>
          <w:bdr w:val="single" w:sz="4" w:space="0" w:color="auto"/>
        </w:rPr>
      </w:pPr>
      <w:r w:rsidRPr="00DA3BC7">
        <w:rPr>
          <w:rFonts w:ascii="Times New Roman" w:hAnsi="Times New Roman" w:hint="eastAsia"/>
          <w:b/>
          <w:sz w:val="20"/>
          <w:szCs w:val="20"/>
          <w:bdr w:val="single" w:sz="4" w:space="0" w:color="auto"/>
        </w:rPr>
        <w:t>二、</w:t>
      </w:r>
      <w:r w:rsidR="00ED3A72" w:rsidRPr="00ED3A72">
        <w:rPr>
          <w:rFonts w:ascii="Times New Roman" w:hAnsi="Times New Roman" w:hint="eastAsia"/>
          <w:b/>
          <w:color w:val="FF0000"/>
          <w:sz w:val="20"/>
          <w:szCs w:val="20"/>
          <w:highlight w:val="yellow"/>
          <w:bdr w:val="single" w:sz="4" w:space="0" w:color="auto"/>
        </w:rPr>
        <w:t>舉證：無性待緣成凡聖</w:t>
      </w:r>
      <w:r w:rsidRPr="00DA3BC7">
        <w:rPr>
          <w:rFonts w:ascii="Times New Roman" w:hAnsi="Times New Roman" w:hint="eastAsia"/>
          <w:sz w:val="20"/>
          <w:szCs w:val="20"/>
        </w:rPr>
        <w:t>（</w:t>
      </w:r>
      <w:r w:rsidRPr="00DA3BC7">
        <w:rPr>
          <w:rFonts w:ascii="Times New Roman" w:hAnsi="Times New Roman" w:hint="eastAsia"/>
          <w:sz w:val="20"/>
          <w:szCs w:val="20"/>
        </w:rPr>
        <w:t>pp.149-150</w:t>
      </w:r>
      <w:r w:rsidRPr="00DA3BC7">
        <w:rPr>
          <w:rFonts w:ascii="Times New Roman" w:hAnsi="Times New Roman" w:hint="eastAsia"/>
          <w:sz w:val="20"/>
          <w:szCs w:val="20"/>
        </w:rPr>
        <w:t>）</w:t>
      </w:r>
    </w:p>
    <w:p w:rsidR="00ED3A72" w:rsidRPr="00DA3BC7" w:rsidRDefault="00ED3A72" w:rsidP="00D41C1A">
      <w:pPr>
        <w:ind w:leftChars="150" w:left="360"/>
        <w:jc w:val="both"/>
        <w:rPr>
          <w:rFonts w:ascii="Times New Roman" w:hAnsi="Times New Roman"/>
          <w:sz w:val="20"/>
          <w:szCs w:val="20"/>
        </w:rPr>
      </w:pPr>
      <w:r w:rsidRPr="00A6163F">
        <w:rPr>
          <w:rFonts w:ascii="Times New Roman" w:hAnsi="Times New Roman"/>
          <w:b/>
          <w:color w:val="FF0000"/>
          <w:sz w:val="20"/>
          <w:szCs w:val="20"/>
          <w:highlight w:val="yellow"/>
          <w:bdr w:val="single" w:sz="4" w:space="0" w:color="auto"/>
        </w:rPr>
        <w:t>（</w:t>
      </w:r>
      <w:r w:rsidRPr="00A6163F">
        <w:rPr>
          <w:rFonts w:ascii="Times New Roman" w:hAnsi="Times New Roman" w:hint="eastAsia"/>
          <w:b/>
          <w:color w:val="FF0000"/>
          <w:sz w:val="20"/>
          <w:szCs w:val="20"/>
          <w:highlight w:val="yellow"/>
          <w:bdr w:val="single" w:sz="4" w:space="0" w:color="auto"/>
        </w:rPr>
        <w:t>一</w:t>
      </w:r>
      <w:r w:rsidRPr="00A6163F">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述理</w:t>
      </w:r>
      <w:r w:rsidRPr="00DA3BC7">
        <w:rPr>
          <w:rFonts w:ascii="Times New Roman" w:hAnsi="Times New Roman" w:hint="eastAsia"/>
          <w:sz w:val="20"/>
          <w:szCs w:val="20"/>
        </w:rPr>
        <w:t>（</w:t>
      </w:r>
      <w:r w:rsidRPr="00DA3BC7">
        <w:rPr>
          <w:rFonts w:ascii="Times New Roman" w:hAnsi="Times New Roman" w:hint="eastAsia"/>
          <w:sz w:val="20"/>
          <w:szCs w:val="20"/>
        </w:rPr>
        <w:t>p.149</w:t>
      </w:r>
      <w:r w:rsidRPr="00DA3BC7">
        <w:rPr>
          <w:rFonts w:ascii="Times New Roman" w:hAnsi="Times New Roman" w:hint="eastAsia"/>
          <w:sz w:val="20"/>
          <w:szCs w:val="20"/>
        </w:rPr>
        <w:t>）</w:t>
      </w:r>
    </w:p>
    <w:p w:rsidR="00AA120F" w:rsidRPr="00DA3BC7" w:rsidRDefault="00AA120F" w:rsidP="00D41C1A">
      <w:pPr>
        <w:ind w:leftChars="150" w:left="360"/>
        <w:jc w:val="both"/>
        <w:rPr>
          <w:rFonts w:ascii="Times New Roman" w:hAnsi="Times New Roman"/>
          <w:b/>
          <w:sz w:val="20"/>
          <w:szCs w:val="20"/>
        </w:rPr>
      </w:pPr>
      <w:r w:rsidRPr="00DA3BC7">
        <w:rPr>
          <w:rFonts w:ascii="Times New Roman" w:hAnsi="Times New Roman" w:hint="eastAsia"/>
        </w:rPr>
        <w:t>依中觀說：人之流轉六趣，都因熏習的善惡而定其昇降的。凡夫如此，佛、菩薩等聖賢也如此，無不是由積漸而成。</w:t>
      </w:r>
    </w:p>
    <w:p w:rsidR="00AA120F" w:rsidRPr="00DA3BC7" w:rsidRDefault="00AA120F" w:rsidP="00AE3920">
      <w:pPr>
        <w:spacing w:beforeLines="20"/>
        <w:ind w:leftChars="150" w:left="360"/>
        <w:jc w:val="both"/>
        <w:rPr>
          <w:rFonts w:ascii="Times New Roman" w:hAnsi="Times New Roman"/>
        </w:rPr>
      </w:pPr>
      <w:r w:rsidRPr="00DA3BC7">
        <w:rPr>
          <w:rFonts w:ascii="Times New Roman" w:hAnsi="Times New Roman" w:hint="eastAsia"/>
          <w:b/>
        </w:rPr>
        <w:t>有人說：佛性人人本具</w:t>
      </w:r>
      <w:r w:rsidRPr="00DA3BC7">
        <w:rPr>
          <w:rFonts w:ascii="Times New Roman" w:hAnsi="Times New Roman" w:hint="eastAsia"/>
        </w:rPr>
        <w:t>；還有</w:t>
      </w:r>
      <w:r w:rsidRPr="00DA3BC7">
        <w:rPr>
          <w:rFonts w:ascii="Times New Roman" w:hAnsi="Times New Roman" w:hint="eastAsia"/>
          <w:b/>
        </w:rPr>
        <w:t>約無漏種子，說某些人有佛性，某些人無佛性</w:t>
      </w:r>
      <w:r w:rsidRPr="00DA3BC7">
        <w:rPr>
          <w:rFonts w:ascii="Times New Roman" w:hAnsi="Times New Roman" w:hint="eastAsia"/>
        </w:rPr>
        <w:t>。</w:t>
      </w:r>
      <w:r w:rsidRPr="00DA3BC7">
        <w:rPr>
          <w:rStyle w:val="a6"/>
          <w:rFonts w:ascii="Times New Roman" w:hAnsi="Times New Roman"/>
        </w:rPr>
        <w:footnoteReference w:id="695"/>
      </w:r>
    </w:p>
    <w:p w:rsidR="00AA120F" w:rsidRPr="00DA3BC7" w:rsidRDefault="00AA120F" w:rsidP="00AE3920">
      <w:pPr>
        <w:spacing w:beforeLines="20"/>
        <w:ind w:leftChars="150" w:left="360"/>
        <w:jc w:val="both"/>
        <w:rPr>
          <w:rFonts w:ascii="Times New Roman" w:hAnsi="Times New Roman"/>
        </w:rPr>
      </w:pPr>
      <w:r w:rsidRPr="00DA3BC7">
        <w:rPr>
          <w:rFonts w:ascii="Times New Roman" w:hAnsi="Times New Roman" w:hint="eastAsia"/>
        </w:rPr>
        <w:lastRenderedPageBreak/>
        <w:t>這都是因中有果論者。</w:t>
      </w:r>
    </w:p>
    <w:p w:rsidR="00ED3A72" w:rsidRDefault="00AA120F" w:rsidP="00AE3920">
      <w:pPr>
        <w:spacing w:beforeLines="20"/>
        <w:ind w:leftChars="150" w:left="360"/>
        <w:jc w:val="both"/>
        <w:rPr>
          <w:rFonts w:ascii="Times New Roman" w:hAnsi="Times New Roman"/>
        </w:rPr>
      </w:pPr>
      <w:r w:rsidRPr="00DA3BC7">
        <w:rPr>
          <w:rFonts w:ascii="Times New Roman" w:hAnsi="Times New Roman" w:hint="eastAsia"/>
          <w:b/>
        </w:rPr>
        <w:t>依中觀說：眾生沒有不可以成佛的，以眾生無決定性故。</w:t>
      </w:r>
      <w:r w:rsidRPr="00DA3BC7">
        <w:rPr>
          <w:rFonts w:ascii="Times New Roman" w:hAnsi="Times New Roman" w:hint="eastAsia"/>
        </w:rPr>
        <w:t>這是說生天、為人都沒有定性，都是由行業的積習而成。等到積習到成為必然之勢，也可以稱之為性，但沒有本來如此的定性。所以，遇善習善可昇天，遇惡習惡即墮地獄，乃至見佛聞法，積習熏修，可以成佛。</w:t>
      </w:r>
    </w:p>
    <w:p w:rsidR="00ED3A72" w:rsidRPr="00DA3BC7" w:rsidRDefault="00ED3A72" w:rsidP="00AE3920">
      <w:pPr>
        <w:spacing w:beforeLines="30"/>
        <w:ind w:leftChars="150" w:left="360"/>
        <w:jc w:val="both"/>
        <w:rPr>
          <w:rFonts w:ascii="Times New Roman" w:hAnsi="Times New Roman"/>
          <w:b/>
          <w:bCs/>
          <w:sz w:val="20"/>
          <w:szCs w:val="20"/>
        </w:rPr>
      </w:pPr>
      <w:r w:rsidRPr="00A6163F">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二</w:t>
      </w:r>
      <w:r w:rsidRPr="00A6163F">
        <w:rPr>
          <w:rFonts w:ascii="Times New Roman" w:hAnsi="Times New Roman"/>
          <w:b/>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釋論</w:t>
      </w:r>
      <w:r w:rsidRPr="00DA3BC7">
        <w:rPr>
          <w:rFonts w:ascii="Times New Roman" w:hAnsi="Times New Roman" w:hint="eastAsia"/>
          <w:sz w:val="20"/>
          <w:szCs w:val="20"/>
        </w:rPr>
        <w:t>（</w:t>
      </w:r>
      <w:r w:rsidRPr="00DA3BC7">
        <w:rPr>
          <w:rFonts w:ascii="Times New Roman" w:hAnsi="Times New Roman" w:hint="eastAsia"/>
          <w:sz w:val="20"/>
          <w:szCs w:val="20"/>
        </w:rPr>
        <w:t>pp.14</w:t>
      </w:r>
      <w:r>
        <w:rPr>
          <w:rFonts w:ascii="Times New Roman" w:hAnsi="Times New Roman" w:hint="eastAsia"/>
          <w:sz w:val="20"/>
          <w:szCs w:val="20"/>
        </w:rPr>
        <w:t>9</w:t>
      </w:r>
      <w:r w:rsidRPr="00DA3BC7">
        <w:rPr>
          <w:rFonts w:ascii="Times New Roman" w:hAnsi="Times New Roman" w:hint="eastAsia"/>
          <w:sz w:val="20"/>
          <w:szCs w:val="20"/>
        </w:rPr>
        <w:t>-1</w:t>
      </w:r>
      <w:r>
        <w:rPr>
          <w:rFonts w:ascii="Times New Roman" w:hAnsi="Times New Roman" w:hint="eastAsia"/>
          <w:sz w:val="20"/>
          <w:szCs w:val="20"/>
        </w:rPr>
        <w:t>50</w:t>
      </w:r>
      <w:r w:rsidRPr="00DA3BC7">
        <w:rPr>
          <w:rFonts w:ascii="Times New Roman" w:hAnsi="Times New Roman" w:hint="eastAsia"/>
          <w:sz w:val="20"/>
          <w:szCs w:val="20"/>
        </w:rPr>
        <w:t>）</w:t>
      </w:r>
    </w:p>
    <w:p w:rsidR="00ED3A72" w:rsidRDefault="00AA120F" w:rsidP="00D41C1A">
      <w:pPr>
        <w:ind w:leftChars="150" w:left="360"/>
        <w:jc w:val="both"/>
        <w:rPr>
          <w:rFonts w:ascii="Times New Roman" w:hAnsi="Times New Roman"/>
        </w:rPr>
      </w:pPr>
      <w:r w:rsidRPr="00DA3BC7">
        <w:rPr>
          <w:rFonts w:ascii="Times New Roman" w:hAnsi="Times New Roman" w:hint="eastAsia"/>
        </w:rPr>
        <w:t>《中論‧觀四諦品》說：「</w:t>
      </w:r>
      <w:r w:rsidRPr="00DA3BC7">
        <w:rPr>
          <w:rFonts w:ascii="標楷體" w:eastAsia="標楷體" w:hAnsi="標楷體" w:hint="eastAsia"/>
        </w:rPr>
        <w:t>雖復勤精進，修行菩提道，若先非佛性，不應得成佛</w:t>
      </w:r>
      <w:r w:rsidRPr="00DA3BC7">
        <w:rPr>
          <w:rFonts w:ascii="Times New Roman" w:hAnsi="Times New Roman" w:hint="eastAsia"/>
        </w:rPr>
        <w:t>。」</w:t>
      </w:r>
      <w:r w:rsidRPr="00DA3BC7">
        <w:rPr>
          <w:rFonts w:ascii="Times New Roman" w:hAnsi="Times New Roman"/>
          <w:vertAlign w:val="superscript"/>
        </w:rPr>
        <w:footnoteReference w:id="696"/>
      </w:r>
    </w:p>
    <w:p w:rsidR="00ED3A72" w:rsidRDefault="00AA120F" w:rsidP="00D41C1A">
      <w:pPr>
        <w:ind w:leftChars="150" w:left="360"/>
        <w:jc w:val="both"/>
        <w:rPr>
          <w:rFonts w:ascii="Times New Roman" w:hAnsi="Times New Roman"/>
        </w:rPr>
      </w:pPr>
      <w:r w:rsidRPr="00DA3BC7">
        <w:rPr>
          <w:rFonts w:ascii="Times New Roman" w:hAnsi="Times New Roman" w:hint="eastAsia"/>
        </w:rPr>
        <w:lastRenderedPageBreak/>
        <w:t>論中的意思是說：如執諸法實有，那就凡性、聖性兩不相干</w:t>
      </w:r>
      <w:r w:rsidRPr="00DA3BC7">
        <w:rPr>
          <w:rStyle w:val="a6"/>
          <w:rFonts w:ascii="Times New Roman" w:hAnsi="Times New Roman"/>
        </w:rPr>
        <w:footnoteReference w:id="697"/>
      </w:r>
      <w:r w:rsidRPr="00DA3BC7">
        <w:rPr>
          <w:rFonts w:ascii="Times New Roman" w:hAnsi="Times New Roman" w:hint="eastAsia"/>
        </w:rPr>
        <w:t>。那麼，眾生既都是凡夫性──異生性，不是聖性，沒有佛性，即使精進修行，也就沒有成佛的可能了！</w:t>
      </w:r>
      <w:r w:rsidRPr="00ED3A72">
        <w:rPr>
          <w:rFonts w:ascii="Times New Roman" w:hAnsi="Times New Roman" w:hint="eastAsia"/>
          <w:highlight w:val="yellow"/>
        </w:rPr>
        <w:t>其</w:t>
      </w:r>
      <w:r w:rsidRPr="00DA3BC7">
        <w:rPr>
          <w:rFonts w:ascii="Times New Roman" w:hAnsi="Times New Roman" w:hint="eastAsia"/>
        </w:rPr>
        <w:t>實不然，眾生雖是凡夫，以無凡夫的定性故，遇善緣而習善，發菩提心，修菩薩行，就可以久習成佛。</w:t>
      </w:r>
    </w:p>
    <w:p w:rsidR="00AA120F" w:rsidRPr="00DA3BC7" w:rsidRDefault="00AA120F" w:rsidP="00D41C1A">
      <w:pPr>
        <w:ind w:leftChars="150" w:left="360"/>
        <w:jc w:val="both"/>
        <w:rPr>
          <w:rFonts w:ascii="Times New Roman" w:hAnsi="Times New Roman"/>
        </w:rPr>
      </w:pPr>
      <w:r w:rsidRPr="00ED3A72">
        <w:rPr>
          <w:rFonts w:ascii="Times New Roman" w:hAnsi="Times New Roman" w:hint="eastAsia"/>
          <w:highlight w:val="yellow"/>
        </w:rPr>
        <w:t>《</w:t>
      </w:r>
      <w:r w:rsidRPr="00DA3BC7">
        <w:rPr>
          <w:rFonts w:ascii="Times New Roman" w:hAnsi="Times New Roman" w:hint="eastAsia"/>
        </w:rPr>
        <w:t>法華經》說「</w:t>
      </w:r>
      <w:r w:rsidRPr="00DA3BC7">
        <w:rPr>
          <w:rFonts w:ascii="標楷體" w:eastAsia="標楷體" w:hAnsi="標楷體" w:hint="eastAsia"/>
        </w:rPr>
        <w:t>知法常無性，佛種從緣起，是故說一乘</w:t>
      </w:r>
      <w:r w:rsidRPr="00DA3BC7">
        <w:rPr>
          <w:rFonts w:ascii="Times New Roman" w:hAnsi="Times New Roman" w:hint="eastAsia"/>
        </w:rPr>
        <w:t>」</w:t>
      </w:r>
      <w:r w:rsidRPr="00DA3BC7">
        <w:rPr>
          <w:rFonts w:ascii="Times New Roman" w:hAnsi="Times New Roman"/>
          <w:vertAlign w:val="superscript"/>
        </w:rPr>
        <w:footnoteReference w:id="698"/>
      </w:r>
      <w:r w:rsidRPr="00DA3BC7">
        <w:rPr>
          <w:rFonts w:ascii="Times New Roman" w:hAnsi="Times New Roman" w:hint="eastAsia"/>
        </w:rPr>
        <w:t>，也是此義。</w:t>
      </w:r>
    </w:p>
    <w:p w:rsidR="00AA120F" w:rsidRPr="00DA3BC7" w:rsidRDefault="00AA120F" w:rsidP="00AE3920">
      <w:pPr>
        <w:spacing w:beforeLines="20"/>
        <w:ind w:leftChars="150" w:left="360"/>
        <w:jc w:val="both"/>
        <w:rPr>
          <w:rFonts w:ascii="Times New Roman" w:hAnsi="Times New Roman"/>
        </w:rPr>
      </w:pPr>
      <w:r w:rsidRPr="00DA3BC7">
        <w:rPr>
          <w:rFonts w:ascii="Times New Roman" w:hAnsi="Times New Roman" w:hint="eastAsia"/>
        </w:rPr>
        <w:t>古德為佛性本有的教說所惑，顛倒解說，以為龍樹也是主張要先有佛性才可以成佛的。</w:t>
      </w:r>
    </w:p>
    <w:p w:rsidR="00ED3A72" w:rsidRDefault="00AA120F" w:rsidP="00AE3920">
      <w:pPr>
        <w:spacing w:beforeLines="20"/>
        <w:ind w:leftChars="150" w:left="360"/>
        <w:jc w:val="both"/>
        <w:rPr>
          <w:rFonts w:ascii="Times New Roman" w:hAnsi="Times New Roman"/>
          <w:b/>
        </w:rPr>
      </w:pPr>
      <w:r w:rsidRPr="00DA3BC7">
        <w:rPr>
          <w:rFonts w:ascii="Times New Roman" w:hAnsi="Times New Roman" w:hint="eastAsia"/>
        </w:rPr>
        <w:t>我</w:t>
      </w:r>
      <w:r w:rsidRPr="00ED3A72">
        <w:rPr>
          <w:rFonts w:ascii="Times New Roman" w:hAnsi="Times New Roman" w:hint="eastAsia"/>
          <w:sz w:val="22"/>
          <w:szCs w:val="22"/>
          <w:shd w:val="pct15" w:color="auto" w:fill="FFFFFF"/>
        </w:rPr>
        <w:t>（印順法師）</w:t>
      </w:r>
      <w:r w:rsidRPr="00DA3BC7">
        <w:rPr>
          <w:rFonts w:ascii="Times New Roman" w:hAnsi="Times New Roman" w:hint="eastAsia"/>
        </w:rPr>
        <w:t>早就懷疑，後來在北碚訪問藏譯，才知是古德的錯解，</w:t>
      </w:r>
      <w:r w:rsidRPr="00DA3BC7">
        <w:rPr>
          <w:rFonts w:ascii="Times New Roman" w:hAnsi="Times New Roman" w:hint="eastAsia"/>
          <w:b/>
        </w:rPr>
        <w:t>論文是龍樹評破薩婆多部固執實有性的。</w:t>
      </w:r>
    </w:p>
    <w:p w:rsidR="00ED3A72" w:rsidRPr="00DA3BC7" w:rsidRDefault="00ED3A72" w:rsidP="00AE3920">
      <w:pPr>
        <w:spacing w:beforeLines="30"/>
        <w:ind w:leftChars="100" w:left="24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三、歸結</w:t>
      </w:r>
      <w:r w:rsidRPr="00DA3BC7">
        <w:rPr>
          <w:rFonts w:ascii="Times New Roman" w:hAnsi="Times New Roman" w:hint="eastAsia"/>
          <w:sz w:val="20"/>
          <w:szCs w:val="20"/>
        </w:rPr>
        <w:t>（</w:t>
      </w:r>
      <w:r>
        <w:rPr>
          <w:rFonts w:ascii="Times New Roman" w:hAnsi="Times New Roman" w:hint="eastAsia"/>
          <w:sz w:val="20"/>
          <w:szCs w:val="20"/>
        </w:rPr>
        <w:t>p</w:t>
      </w:r>
      <w:r w:rsidRPr="00DA3BC7">
        <w:rPr>
          <w:rFonts w:ascii="Times New Roman" w:hAnsi="Times New Roman" w:hint="eastAsia"/>
          <w:sz w:val="20"/>
          <w:szCs w:val="20"/>
        </w:rPr>
        <w:t>.150</w:t>
      </w:r>
      <w:r w:rsidRPr="00DA3BC7">
        <w:rPr>
          <w:rFonts w:ascii="Times New Roman" w:hAnsi="Times New Roman" w:hint="eastAsia"/>
          <w:sz w:val="20"/>
          <w:szCs w:val="20"/>
        </w:rPr>
        <w:t>）</w:t>
      </w:r>
    </w:p>
    <w:p w:rsidR="00AA120F" w:rsidRPr="00DA3BC7" w:rsidRDefault="00AA120F" w:rsidP="00ED3A72">
      <w:pPr>
        <w:ind w:leftChars="100" w:left="240"/>
        <w:jc w:val="both"/>
        <w:rPr>
          <w:rFonts w:ascii="Times New Roman" w:hAnsi="Times New Roman"/>
        </w:rPr>
      </w:pPr>
      <w:r w:rsidRPr="00DA3BC7">
        <w:rPr>
          <w:rFonts w:ascii="Times New Roman" w:hAnsi="Times New Roman" w:hint="eastAsia"/>
        </w:rPr>
        <w:t>善性、惡性，無不從積久成性中來，無天生的彌勒，也沒有自然的釋迦。性，不過是緣起法中由於久久積習，漸成為強有力的作用，而有非此不可之勢。常人不知緣起，偏執自性有，所以將積漸成性為本性，或習性以外另立本性。</w:t>
      </w:r>
    </w:p>
    <w:p w:rsidR="00AA120F" w:rsidRPr="00DA3BC7" w:rsidRDefault="00AA120F" w:rsidP="00AE3920">
      <w:pPr>
        <w:spacing w:beforeLines="20"/>
        <w:ind w:leftChars="100" w:left="240"/>
        <w:jc w:val="both"/>
        <w:rPr>
          <w:rFonts w:ascii="Times New Roman" w:hAnsi="Times New Roman"/>
          <w:b/>
          <w:kern w:val="0"/>
          <w:sz w:val="23"/>
          <w:szCs w:val="23"/>
        </w:rPr>
      </w:pPr>
      <w:r w:rsidRPr="00DA3BC7">
        <w:rPr>
          <w:rFonts w:ascii="Times New Roman" w:hAnsi="Times New Roman" w:hint="eastAsia"/>
        </w:rPr>
        <w:t>性雖有自爾的、不變的意思，但不過是相對的，能在未遇特殊情況及未有另一積習成性時，可以維持此必然的性質及其傾向。</w:t>
      </w:r>
    </w:p>
    <w:p w:rsidR="00AA120F" w:rsidRPr="00DA3BC7" w:rsidRDefault="00AA120F" w:rsidP="00AE3920">
      <w:pPr>
        <w:spacing w:beforeLines="30"/>
        <w:ind w:leftChars="50" w:left="120"/>
        <w:jc w:val="both"/>
        <w:rPr>
          <w:rFonts w:ascii="Times New Roman" w:hAnsi="Times New Roman"/>
          <w:b/>
          <w:bCs/>
          <w:sz w:val="20"/>
          <w:szCs w:val="20"/>
        </w:rPr>
      </w:pPr>
      <w:r w:rsidRPr="00DA3BC7">
        <w:rPr>
          <w:rFonts w:ascii="Times New Roman" w:hAnsi="Times New Roman"/>
          <w:b/>
          <w:sz w:val="20"/>
          <w:szCs w:val="20"/>
          <w:bdr w:val="single" w:sz="4" w:space="0" w:color="auto"/>
        </w:rPr>
        <w:t>（貳）</w:t>
      </w:r>
      <w:r w:rsidRPr="00DA3BC7">
        <w:rPr>
          <w:rFonts w:ascii="Times New Roman" w:hAnsi="Times New Roman" w:hint="eastAsia"/>
          <w:b/>
          <w:bCs/>
          <w:sz w:val="20"/>
          <w:szCs w:val="20"/>
          <w:bdr w:val="single" w:sz="4" w:space="0" w:color="auto"/>
        </w:rPr>
        <w:t>約</w:t>
      </w:r>
      <w:r w:rsidR="00ED3A72" w:rsidRPr="00A6163F">
        <w:rPr>
          <w:rFonts w:ascii="Times New Roman" w:hAnsi="Times New Roman" w:hint="eastAsia"/>
          <w:b/>
          <w:bCs/>
          <w:color w:val="FF0000"/>
          <w:sz w:val="20"/>
          <w:szCs w:val="20"/>
          <w:highlight w:val="yellow"/>
          <w:bdr w:val="single" w:sz="4" w:space="0" w:color="auto"/>
        </w:rPr>
        <w:t>「</w:t>
      </w:r>
      <w:r w:rsidRPr="00DA3BC7">
        <w:rPr>
          <w:rFonts w:ascii="Times New Roman" w:hAnsi="Times New Roman" w:hint="eastAsia"/>
          <w:b/>
          <w:bCs/>
          <w:sz w:val="20"/>
          <w:szCs w:val="20"/>
          <w:bdr w:val="single" w:sz="4" w:space="0" w:color="auto"/>
        </w:rPr>
        <w:t>內</w:t>
      </w:r>
      <w:r w:rsidR="00ED3A72" w:rsidRPr="00ED3A72">
        <w:rPr>
          <w:rFonts w:ascii="Times New Roman" w:hAnsi="Times New Roman" w:hint="eastAsia"/>
          <w:b/>
          <w:bCs/>
          <w:color w:val="FF0000"/>
          <w:sz w:val="20"/>
          <w:szCs w:val="20"/>
          <w:highlight w:val="yellow"/>
          <w:bdr w:val="single" w:sz="4" w:space="0" w:color="auto"/>
        </w:rPr>
        <w:t>、</w:t>
      </w:r>
      <w:r w:rsidRPr="00DA3BC7">
        <w:rPr>
          <w:rFonts w:ascii="Times New Roman" w:hAnsi="Times New Roman" w:hint="eastAsia"/>
          <w:b/>
          <w:bCs/>
          <w:sz w:val="20"/>
          <w:szCs w:val="20"/>
          <w:bdr w:val="single" w:sz="4" w:space="0" w:color="auto"/>
        </w:rPr>
        <w:t>外</w:t>
      </w:r>
      <w:r w:rsidR="00ED3A72" w:rsidRPr="00A6163F">
        <w:rPr>
          <w:rFonts w:ascii="Times New Roman" w:hAnsi="Times New Roman" w:hint="eastAsia"/>
          <w:b/>
          <w:bCs/>
          <w:color w:val="FF0000"/>
          <w:sz w:val="20"/>
          <w:szCs w:val="26"/>
          <w:highlight w:val="yellow"/>
          <w:bdr w:val="single" w:sz="4" w:space="0" w:color="auto"/>
        </w:rPr>
        <w:t>」</w:t>
      </w:r>
      <w:r w:rsidR="00ED3A72" w:rsidRPr="00DA3BC7">
        <w:rPr>
          <w:rFonts w:ascii="Times New Roman" w:hAnsi="Times New Roman" w:hint="eastAsia"/>
          <w:b/>
          <w:bCs/>
          <w:sz w:val="20"/>
          <w:szCs w:val="20"/>
          <w:bdr w:val="single" w:sz="4" w:space="0" w:color="auto"/>
        </w:rPr>
        <w:t>論</w:t>
      </w:r>
      <w:r w:rsidR="00ED3A72" w:rsidRPr="00A6163F">
        <w:rPr>
          <w:rFonts w:ascii="Times New Roman" w:hAnsi="Times New Roman" w:hint="eastAsia"/>
          <w:b/>
          <w:color w:val="FF0000"/>
          <w:sz w:val="20"/>
          <w:szCs w:val="26"/>
          <w:highlight w:val="yellow"/>
          <w:bdr w:val="single" w:sz="4" w:space="0" w:color="auto"/>
        </w:rPr>
        <w:t>「</w:t>
      </w:r>
      <w:r w:rsidR="00ED3A72" w:rsidRPr="00DA3BC7">
        <w:rPr>
          <w:rFonts w:ascii="Times New Roman" w:hAnsi="Times New Roman" w:hint="eastAsia"/>
          <w:b/>
          <w:bCs/>
          <w:sz w:val="20"/>
          <w:szCs w:val="26"/>
          <w:bdr w:val="single" w:sz="4" w:space="0" w:color="auto"/>
        </w:rPr>
        <w:t>性</w:t>
      </w:r>
      <w:r w:rsidR="00ED3A72" w:rsidRPr="00A6163F">
        <w:rPr>
          <w:rFonts w:ascii="Times New Roman" w:hAnsi="Times New Roman" w:hint="eastAsia"/>
          <w:b/>
          <w:bCs/>
          <w:color w:val="FF0000"/>
          <w:sz w:val="20"/>
          <w:szCs w:val="26"/>
          <w:highlight w:val="yellow"/>
          <w:bdr w:val="single" w:sz="4" w:space="0" w:color="auto"/>
        </w:rPr>
        <w:t>、</w:t>
      </w:r>
      <w:r w:rsidR="00ED3A72" w:rsidRPr="00DA3BC7">
        <w:rPr>
          <w:rFonts w:ascii="Times New Roman" w:hAnsi="Times New Roman" w:hint="eastAsia"/>
          <w:b/>
          <w:bCs/>
          <w:sz w:val="20"/>
          <w:szCs w:val="26"/>
          <w:bdr w:val="single" w:sz="4" w:space="0" w:color="auto"/>
        </w:rPr>
        <w:t>相</w:t>
      </w:r>
      <w:r w:rsidR="00ED3A72" w:rsidRPr="00A6163F">
        <w:rPr>
          <w:rFonts w:ascii="Times New Roman" w:hAnsi="Times New Roman" w:hint="eastAsia"/>
          <w:b/>
          <w:bCs/>
          <w:color w:val="FF0000"/>
          <w:sz w:val="20"/>
          <w:szCs w:val="26"/>
          <w:highlight w:val="yellow"/>
          <w:bdr w:val="single" w:sz="4" w:space="0" w:color="auto"/>
        </w:rPr>
        <w:t>」</w:t>
      </w:r>
      <w:r w:rsidRPr="00DA3BC7">
        <w:rPr>
          <w:rFonts w:ascii="Times New Roman" w:hAnsi="Times New Roman" w:hint="eastAsia"/>
          <w:bCs/>
          <w:sz w:val="20"/>
          <w:szCs w:val="20"/>
        </w:rPr>
        <w:t>（</w:t>
      </w:r>
      <w:r w:rsidRPr="00DA3BC7">
        <w:rPr>
          <w:rFonts w:ascii="Times New Roman" w:hAnsi="Times New Roman" w:hint="eastAsia"/>
          <w:bCs/>
          <w:sz w:val="20"/>
          <w:szCs w:val="20"/>
        </w:rPr>
        <w:t>pp.150-151</w:t>
      </w:r>
      <w:r w:rsidRPr="00DA3BC7">
        <w:rPr>
          <w:rFonts w:ascii="Times New Roman" w:hAnsi="Times New Roman" w:hint="eastAsia"/>
          <w:bCs/>
          <w:sz w:val="20"/>
          <w:szCs w:val="20"/>
        </w:rPr>
        <w:t>）</w:t>
      </w:r>
    </w:p>
    <w:p w:rsidR="00AA120F" w:rsidRPr="00DA3BC7" w:rsidRDefault="00AA120F" w:rsidP="00D41C1A">
      <w:pPr>
        <w:ind w:leftChars="50" w:left="120"/>
        <w:jc w:val="both"/>
        <w:rPr>
          <w:rFonts w:ascii="Times New Roman" w:hAnsi="Times New Roman"/>
          <w:b/>
        </w:rPr>
      </w:pPr>
      <w:r w:rsidRPr="00DA3BC7">
        <w:rPr>
          <w:rFonts w:ascii="Times New Roman" w:hAnsi="Times New Roman" w:hint="eastAsia"/>
          <w:b/>
        </w:rPr>
        <w:t>二、約內外說性相：</w:t>
      </w:r>
    </w:p>
    <w:p w:rsidR="00ED3A72" w:rsidRDefault="00ED3A72" w:rsidP="00AE3920">
      <w:pPr>
        <w:spacing w:beforeLines="30"/>
        <w:ind w:leftChars="100" w:left="240"/>
        <w:jc w:val="both"/>
        <w:rPr>
          <w:rFonts w:ascii="Times New Roman" w:hAnsi="Times New Roman"/>
          <w:sz w:val="20"/>
          <w:szCs w:val="20"/>
        </w:rPr>
      </w:pPr>
      <w:r w:rsidRPr="00ED3A72">
        <w:rPr>
          <w:rFonts w:ascii="Times New Roman" w:hAnsi="Times New Roman" w:hint="eastAsia"/>
          <w:b/>
          <w:color w:val="FF0000"/>
          <w:sz w:val="20"/>
          <w:szCs w:val="20"/>
          <w:highlight w:val="yellow"/>
          <w:bdr w:val="single" w:sz="4" w:space="0" w:color="auto"/>
        </w:rPr>
        <w:t>一、</w:t>
      </w:r>
      <w:r w:rsidRPr="00A6163F">
        <w:rPr>
          <w:rFonts w:ascii="Times New Roman" w:hAnsi="Times New Roman" w:hint="eastAsia"/>
          <w:b/>
          <w:color w:val="FF0000"/>
          <w:sz w:val="20"/>
          <w:szCs w:val="20"/>
          <w:highlight w:val="yellow"/>
          <w:bdr w:val="single" w:sz="4" w:space="0" w:color="auto"/>
        </w:rPr>
        <w:t>明義</w:t>
      </w:r>
      <w:r w:rsidRPr="00DA3BC7">
        <w:rPr>
          <w:rFonts w:ascii="Times New Roman" w:hAnsi="Times New Roman" w:hint="eastAsia"/>
          <w:sz w:val="20"/>
          <w:szCs w:val="20"/>
        </w:rPr>
        <w:t>（</w:t>
      </w:r>
      <w:r w:rsidRPr="00DA3BC7">
        <w:rPr>
          <w:rFonts w:ascii="Times New Roman" w:hAnsi="Times New Roman" w:hint="eastAsia"/>
          <w:sz w:val="20"/>
          <w:szCs w:val="20"/>
        </w:rPr>
        <w:t>p.1</w:t>
      </w:r>
      <w:r>
        <w:rPr>
          <w:rFonts w:ascii="Times New Roman" w:hAnsi="Times New Roman" w:hint="eastAsia"/>
          <w:sz w:val="20"/>
          <w:szCs w:val="20"/>
        </w:rPr>
        <w:t>50</w:t>
      </w:r>
      <w:r w:rsidRPr="00DA3BC7">
        <w:rPr>
          <w:rFonts w:ascii="Times New Roman" w:hAnsi="Times New Roman" w:hint="eastAsia"/>
          <w:sz w:val="20"/>
          <w:szCs w:val="20"/>
        </w:rPr>
        <w:t>）</w:t>
      </w:r>
    </w:p>
    <w:p w:rsidR="00AA120F" w:rsidRPr="00DA3BC7" w:rsidRDefault="00AA120F" w:rsidP="00D41C1A">
      <w:pPr>
        <w:ind w:leftChars="100" w:left="240"/>
        <w:jc w:val="both"/>
        <w:rPr>
          <w:rFonts w:ascii="新細明體" w:hAnsi="Times New Roman"/>
        </w:rPr>
      </w:pPr>
      <w:r w:rsidRPr="00DA3BC7">
        <w:rPr>
          <w:rFonts w:ascii="Times New Roman" w:hAnsi="Times New Roman"/>
        </w:rPr>
        <w:t>《大</w:t>
      </w:r>
      <w:r w:rsidRPr="00DA3BC7">
        <w:rPr>
          <w:rFonts w:ascii="新細明體" w:hAnsi="Times New Roman" w:hint="eastAsia"/>
        </w:rPr>
        <w:t>智度論》卷</w:t>
      </w:r>
      <w:r w:rsidR="00ED3A72" w:rsidRPr="00ED3A72">
        <w:rPr>
          <w:rFonts w:ascii="Times New Roman" w:hAnsi="Times New Roman" w:hint="eastAsia"/>
        </w:rPr>
        <w:t>31</w:t>
      </w:r>
      <w:r w:rsidRPr="00DA3BC7">
        <w:rPr>
          <w:rFonts w:ascii="新細明體" w:hAnsi="Times New Roman" w:hint="eastAsia"/>
        </w:rPr>
        <w:t>說：「</w:t>
      </w:r>
      <w:r w:rsidRPr="00DA3BC7">
        <w:rPr>
          <w:rFonts w:ascii="標楷體" w:eastAsia="標楷體" w:hAnsi="標楷體" w:hint="eastAsia"/>
        </w:rPr>
        <w:t>相不定，從身出，性則言其實</w:t>
      </w:r>
      <w:r w:rsidRPr="00DA3BC7">
        <w:rPr>
          <w:rFonts w:ascii="新細明體" w:hAnsi="Times New Roman" w:hint="eastAsia"/>
        </w:rPr>
        <w:t>。</w:t>
      </w:r>
      <w:r w:rsidRPr="00DA3BC7">
        <w:rPr>
          <w:rFonts w:ascii="標楷體" w:eastAsia="標楷體" w:hAnsi="標楷體" w:hint="eastAsia"/>
        </w:rPr>
        <w:t>」</w:t>
      </w:r>
      <w:r w:rsidRPr="00DA3BC7">
        <w:rPr>
          <w:rFonts w:ascii="Times New Roman" w:hAnsi="Times New Roman"/>
          <w:vertAlign w:val="superscript"/>
        </w:rPr>
        <w:footnoteReference w:id="699"/>
      </w:r>
      <w:r w:rsidRPr="00DA3BC7">
        <w:rPr>
          <w:rFonts w:ascii="新細明體" w:hAnsi="Times New Roman" w:hint="eastAsia"/>
        </w:rPr>
        <w:t>相是從內而現於外的，是不一定符合於內在的，性纔是實際的。</w:t>
      </w:r>
      <w:r w:rsidRPr="00DA3BC7">
        <w:rPr>
          <w:rFonts w:ascii="Times New Roman" w:hAnsi="Times New Roman"/>
        </w:rPr>
        <w:t>佛常說「</w:t>
      </w:r>
      <w:r w:rsidRPr="00DA3BC7">
        <w:rPr>
          <w:rFonts w:ascii="Times New Roman" w:eastAsia="標楷體" w:hAnsi="Times New Roman"/>
        </w:rPr>
        <w:t>或有生似熟，或有熟似生</w:t>
      </w:r>
      <w:r w:rsidRPr="00DA3BC7">
        <w:rPr>
          <w:rFonts w:ascii="Times New Roman" w:hAnsi="Times New Roman"/>
        </w:rPr>
        <w:t>」</w:t>
      </w:r>
      <w:r w:rsidRPr="00DA3BC7">
        <w:rPr>
          <w:rFonts w:ascii="Times New Roman" w:hAnsi="Times New Roman" w:hint="eastAsia"/>
        </w:rPr>
        <w:t>，</w:t>
      </w:r>
      <w:r w:rsidR="002F0F4A" w:rsidRPr="00DA3BC7">
        <w:rPr>
          <w:rFonts w:ascii="Times New Roman" w:hAnsi="Times New Roman"/>
          <w:vertAlign w:val="superscript"/>
        </w:rPr>
        <w:footnoteReference w:id="700"/>
      </w:r>
      <w:r w:rsidRPr="00DA3BC7">
        <w:rPr>
          <w:rFonts w:ascii="新細明體" w:hAnsi="Times New Roman" w:hint="eastAsia"/>
        </w:rPr>
        <w:t>即是說內在的真實性，不一定與外表的形式相同，並且有</w:t>
      </w:r>
      <w:r w:rsidRPr="00DA3BC7">
        <w:rPr>
          <w:rFonts w:ascii="新細明體" w:hAnsi="Times New Roman" w:hint="eastAsia"/>
        </w:rPr>
        <w:lastRenderedPageBreak/>
        <w:t>時是相反的。</w:t>
      </w:r>
    </w:p>
    <w:p w:rsidR="00ED3A72" w:rsidRPr="00DA3BC7" w:rsidRDefault="00ED3A72" w:rsidP="00AE3920">
      <w:pPr>
        <w:spacing w:beforeLines="30"/>
        <w:ind w:leftChars="100" w:left="240"/>
        <w:jc w:val="both"/>
        <w:rPr>
          <w:rFonts w:ascii="Times New Roman" w:hAnsi="Times New Roman"/>
          <w:b/>
          <w:sz w:val="20"/>
          <w:szCs w:val="20"/>
          <w:bdr w:val="single" w:sz="4" w:space="0" w:color="auto"/>
        </w:rPr>
      </w:pPr>
      <w:r w:rsidRPr="00ED3A72">
        <w:rPr>
          <w:rFonts w:ascii="Times New Roman" w:hAnsi="Times New Roman" w:hint="eastAsia"/>
          <w:b/>
          <w:color w:val="FF0000"/>
          <w:sz w:val="20"/>
          <w:szCs w:val="20"/>
          <w:highlight w:val="yellow"/>
          <w:bdr w:val="single" w:sz="4" w:space="0" w:color="auto"/>
        </w:rPr>
        <w:t>二、舉證</w:t>
      </w:r>
      <w:r w:rsidRPr="00DA3BC7">
        <w:rPr>
          <w:rFonts w:ascii="Times New Roman" w:hAnsi="Times New Roman" w:hint="eastAsia"/>
          <w:sz w:val="20"/>
          <w:szCs w:val="20"/>
        </w:rPr>
        <w:t>（</w:t>
      </w:r>
      <w:r w:rsidRPr="00DA3BC7">
        <w:rPr>
          <w:rFonts w:ascii="Times New Roman" w:hAnsi="Times New Roman" w:hint="eastAsia"/>
          <w:sz w:val="20"/>
          <w:szCs w:val="20"/>
        </w:rPr>
        <w:t>pp.1</w:t>
      </w:r>
      <w:r>
        <w:rPr>
          <w:rFonts w:ascii="Times New Roman" w:hAnsi="Times New Roman" w:hint="eastAsia"/>
          <w:sz w:val="20"/>
          <w:szCs w:val="20"/>
        </w:rPr>
        <w:t>50</w:t>
      </w:r>
      <w:r w:rsidRPr="00DA3BC7">
        <w:rPr>
          <w:rFonts w:ascii="Times New Roman" w:hAnsi="Times New Roman" w:hint="eastAsia"/>
          <w:sz w:val="20"/>
          <w:szCs w:val="20"/>
        </w:rPr>
        <w:t>-15</w:t>
      </w:r>
      <w:r>
        <w:rPr>
          <w:rFonts w:ascii="Times New Roman" w:hAnsi="Times New Roman" w:hint="eastAsia"/>
          <w:sz w:val="20"/>
          <w:szCs w:val="20"/>
        </w:rPr>
        <w:t>1</w:t>
      </w:r>
      <w:r w:rsidRPr="00DA3BC7">
        <w:rPr>
          <w:rFonts w:ascii="Times New Roman" w:hAnsi="Times New Roman" w:hint="eastAsia"/>
          <w:sz w:val="20"/>
          <w:szCs w:val="20"/>
        </w:rPr>
        <w:t>）</w:t>
      </w:r>
    </w:p>
    <w:p w:rsidR="00AA120F" w:rsidRPr="00DA3BC7" w:rsidRDefault="00AA120F" w:rsidP="00D41C1A">
      <w:pPr>
        <w:ind w:leftChars="100" w:left="240"/>
        <w:jc w:val="both"/>
        <w:rPr>
          <w:rFonts w:ascii="Times New Roman" w:hAnsi="Times New Roman"/>
        </w:rPr>
      </w:pPr>
      <w:r w:rsidRPr="00DA3BC7">
        <w:rPr>
          <w:rFonts w:ascii="新細明體" w:hAnsi="Times New Roman" w:hint="eastAsia"/>
        </w:rPr>
        <w:t>《大智度論》卷</w:t>
      </w:r>
      <w:r w:rsidR="00ED3A72" w:rsidRPr="00ED3A72">
        <w:rPr>
          <w:rFonts w:ascii="Times New Roman" w:hAnsi="Times New Roman" w:hint="eastAsia"/>
        </w:rPr>
        <w:t>31</w:t>
      </w:r>
      <w:r w:rsidRPr="00DA3BC7">
        <w:rPr>
          <w:rFonts w:ascii="新細明體" w:hAnsi="Times New Roman" w:hint="eastAsia"/>
        </w:rPr>
        <w:t>舉喻說：「</w:t>
      </w:r>
      <w:r w:rsidRPr="00DA3BC7">
        <w:rPr>
          <w:rFonts w:ascii="標楷體" w:eastAsia="標楷體" w:hAnsi="標楷體" w:hint="eastAsia"/>
        </w:rPr>
        <w:t>如見黃色</w:t>
      </w:r>
      <w:r w:rsidRPr="00DA3BC7">
        <w:rPr>
          <w:rFonts w:ascii="標楷體" w:eastAsia="標楷體" w:hAnsi="標楷體" w:hint="eastAsia"/>
          <w:kern w:val="0"/>
        </w:rPr>
        <w:t>為</w:t>
      </w:r>
      <w:r w:rsidRPr="00DA3BC7">
        <w:rPr>
          <w:rFonts w:ascii="標楷體" w:eastAsia="標楷體" w:hAnsi="標楷體" w:hint="eastAsia"/>
        </w:rPr>
        <w:t>金相，而內是銅……。如人恭敬供養時，似是善人，是為</w:t>
      </w:r>
      <w:r w:rsidRPr="00DA3BC7">
        <w:rPr>
          <w:rFonts w:ascii="Times New Roman" w:eastAsia="標楷體" w:hAnsi="Times New Roman"/>
        </w:rPr>
        <w:t>相；罵詈</w:t>
      </w:r>
      <w:r w:rsidRPr="00DA3BC7">
        <w:rPr>
          <w:rStyle w:val="a6"/>
          <w:rFonts w:ascii="Times New Roman" w:hAnsi="Times New Roman"/>
        </w:rPr>
        <w:footnoteReference w:id="701"/>
      </w:r>
      <w:r w:rsidRPr="00DA3BC7">
        <w:rPr>
          <w:rFonts w:ascii="Times New Roman" w:eastAsia="標楷體" w:hAnsi="Times New Roman"/>
        </w:rPr>
        <w:t>毀辱</w:t>
      </w:r>
      <w:r w:rsidRPr="00DA3BC7">
        <w:rPr>
          <w:rStyle w:val="a6"/>
          <w:rFonts w:ascii="Times New Roman" w:hAnsi="Times New Roman"/>
        </w:rPr>
        <w:footnoteReference w:id="702"/>
      </w:r>
      <w:r w:rsidRPr="00DA3BC7">
        <w:rPr>
          <w:rFonts w:ascii="Times New Roman" w:eastAsia="標楷體" w:hAnsi="Times New Roman"/>
        </w:rPr>
        <w:t>，忿然</w:t>
      </w:r>
      <w:r w:rsidRPr="00DA3BC7">
        <w:rPr>
          <w:rStyle w:val="a6"/>
          <w:rFonts w:ascii="Times New Roman" w:hAnsi="Times New Roman"/>
        </w:rPr>
        <w:footnoteReference w:id="703"/>
      </w:r>
      <w:r w:rsidRPr="00DA3BC7">
        <w:rPr>
          <w:rFonts w:ascii="Times New Roman" w:eastAsia="標楷體" w:hAnsi="Times New Roman"/>
        </w:rPr>
        <w:t>瞋恚，便是其性</w:t>
      </w:r>
      <w:r w:rsidRPr="00DA3BC7">
        <w:rPr>
          <w:rFonts w:ascii="Times New Roman" w:hAnsi="Times New Roman"/>
        </w:rPr>
        <w:t>。」</w:t>
      </w:r>
      <w:r w:rsidRPr="00DA3BC7">
        <w:rPr>
          <w:rFonts w:ascii="Times New Roman" w:hAnsi="Times New Roman"/>
          <w:vertAlign w:val="superscript"/>
        </w:rPr>
        <w:footnoteReference w:id="704"/>
      </w:r>
      <w:r w:rsidRPr="00DA3BC7">
        <w:rPr>
          <w:rFonts w:ascii="Times New Roman" w:hAnsi="Times New Roman"/>
        </w:rPr>
        <w:t>論中的故事是說：有主婦常常供養恭敬，被人稱讚為性情好。女婢為試驗她是否真正性善，早上儘</w:t>
      </w:r>
      <w:r w:rsidRPr="00DA3BC7">
        <w:rPr>
          <w:rStyle w:val="a6"/>
          <w:rFonts w:ascii="Times New Roman" w:hAnsi="Times New Roman"/>
        </w:rPr>
        <w:footnoteReference w:id="705"/>
      </w:r>
      <w:r w:rsidRPr="00DA3BC7">
        <w:rPr>
          <w:rFonts w:ascii="Times New Roman" w:hAnsi="Times New Roman"/>
        </w:rPr>
        <w:t>睡，主婦雖呼也不起；起後也不作事，到吃飯時，主婦喚來用膳</w:t>
      </w:r>
      <w:r w:rsidRPr="00DA3BC7">
        <w:rPr>
          <w:rStyle w:val="a6"/>
          <w:rFonts w:ascii="Times New Roman" w:hAnsi="Times New Roman"/>
        </w:rPr>
        <w:footnoteReference w:id="706"/>
      </w:r>
      <w:r w:rsidRPr="00DA3BC7">
        <w:rPr>
          <w:rFonts w:ascii="Times New Roman" w:hAnsi="Times New Roman"/>
        </w:rPr>
        <w:t>，她還嫌飯菜沒有作好。主婦實在忍不得了，大發雷霆</w:t>
      </w:r>
      <w:r w:rsidRPr="00DA3BC7">
        <w:rPr>
          <w:rStyle w:val="a6"/>
          <w:rFonts w:ascii="Times New Roman" w:hAnsi="Times New Roman"/>
        </w:rPr>
        <w:footnoteReference w:id="707"/>
      </w:r>
      <w:r w:rsidRPr="00DA3BC7">
        <w:rPr>
          <w:rFonts w:ascii="Times New Roman" w:hAnsi="Times New Roman"/>
        </w:rPr>
        <w:t>，瞋忿斥罵。這時，兇惡的性情完全暴露出來。</w:t>
      </w:r>
    </w:p>
    <w:p w:rsidR="00AA120F" w:rsidRPr="00DA3BC7" w:rsidRDefault="00AA120F" w:rsidP="00AE3920">
      <w:pPr>
        <w:spacing w:beforeLines="20"/>
        <w:ind w:leftChars="100" w:left="240"/>
        <w:jc w:val="both"/>
        <w:rPr>
          <w:rFonts w:ascii="新細明體" w:hAnsi="Times New Roman"/>
        </w:rPr>
      </w:pPr>
      <w:r w:rsidRPr="00DA3BC7">
        <w:rPr>
          <w:rFonts w:ascii="Times New Roman" w:hAnsi="Times New Roman"/>
        </w:rPr>
        <w:lastRenderedPageBreak/>
        <w:t>由此可知，外現的善，可能是表示內在的善，確是「</w:t>
      </w:r>
      <w:r w:rsidRPr="00DA3BC7">
        <w:rPr>
          <w:rFonts w:ascii="Times New Roman" w:eastAsia="標楷體" w:hAnsi="Times New Roman"/>
        </w:rPr>
        <w:t>誠於中，形於外</w:t>
      </w:r>
      <w:r w:rsidRPr="00DA3BC7">
        <w:rPr>
          <w:rFonts w:ascii="Times New Roman" w:hAnsi="Times New Roman"/>
        </w:rPr>
        <w:t>」</w:t>
      </w:r>
      <w:r w:rsidRPr="00DA3BC7">
        <w:rPr>
          <w:rStyle w:val="a6"/>
          <w:rFonts w:ascii="Times New Roman" w:hAnsi="Times New Roman"/>
        </w:rPr>
        <w:footnoteReference w:id="708"/>
      </w:r>
      <w:r w:rsidRPr="00DA3BC7">
        <w:rPr>
          <w:rFonts w:ascii="Times New Roman" w:hAnsi="Times New Roman"/>
        </w:rPr>
        <w:t>，表裏一致，性相一如的，</w:t>
      </w:r>
      <w:r w:rsidRPr="00DA3BC7">
        <w:rPr>
          <w:rFonts w:ascii="新細明體" w:hAnsi="Times New Roman" w:hint="eastAsia"/>
        </w:rPr>
        <w:t>但也可能是假充</w:t>
      </w:r>
      <w:r w:rsidRPr="00DA3BC7">
        <w:rPr>
          <w:rStyle w:val="a6"/>
          <w:rFonts w:ascii="Times New Roman" w:hAnsi="Times New Roman"/>
        </w:rPr>
        <w:footnoteReference w:id="709"/>
      </w:r>
      <w:r w:rsidRPr="00DA3BC7">
        <w:rPr>
          <w:rFonts w:ascii="新細明體" w:hAnsi="Times New Roman" w:hint="eastAsia"/>
        </w:rPr>
        <w:t>善人的。</w:t>
      </w:r>
    </w:p>
    <w:p w:rsidR="00AA120F" w:rsidRPr="00DA3BC7" w:rsidRDefault="00AA120F" w:rsidP="00AE3920">
      <w:pPr>
        <w:spacing w:beforeLines="20"/>
        <w:ind w:leftChars="100" w:left="240"/>
        <w:jc w:val="both"/>
        <w:rPr>
          <w:rFonts w:ascii="新細明體" w:hAnsi="Times New Roman"/>
        </w:rPr>
      </w:pPr>
      <w:r w:rsidRPr="00DA3BC7">
        <w:rPr>
          <w:rFonts w:ascii="Times New Roman" w:hAnsi="Times New Roman" w:hint="eastAsia"/>
        </w:rPr>
        <w:t>如佛呵提婆達多，雖外現忿怒相而內懷慈悲。</w:t>
      </w:r>
      <w:r w:rsidRPr="00DA3BC7">
        <w:rPr>
          <w:rStyle w:val="a6"/>
          <w:rFonts w:ascii="Times New Roman" w:hAnsi="Times New Roman"/>
        </w:rPr>
        <w:footnoteReference w:id="710"/>
      </w:r>
      <w:r w:rsidRPr="00DA3BC7">
        <w:rPr>
          <w:rFonts w:ascii="Times New Roman" w:hAnsi="Times New Roman" w:hint="eastAsia"/>
        </w:rPr>
        <w:t>內性與外相，可能不一致，非審細的考察不知。佛有種種界智力</w:t>
      </w:r>
      <w:r w:rsidRPr="00DA3BC7">
        <w:rPr>
          <w:rFonts w:ascii="Times New Roman" w:hAnsi="Times New Roman"/>
          <w:vertAlign w:val="superscript"/>
        </w:rPr>
        <w:footnoteReference w:id="711"/>
      </w:r>
      <w:r w:rsidRPr="00DA3BC7">
        <w:rPr>
          <w:rFonts w:ascii="Times New Roman" w:hAnsi="Times New Roman" w:hint="eastAsia"/>
        </w:rPr>
        <w:t>，才能深見他的內性而教導他，如化央掘摩羅</w:t>
      </w:r>
      <w:r w:rsidRPr="00DA3BC7">
        <w:rPr>
          <w:rStyle w:val="a6"/>
          <w:rFonts w:ascii="Times New Roman" w:hAnsi="Times New Roman"/>
        </w:rPr>
        <w:footnoteReference w:id="712"/>
      </w:r>
      <w:r w:rsidRPr="00DA3BC7">
        <w:rPr>
          <w:rFonts w:ascii="Times New Roman" w:hAnsi="Times New Roman" w:hint="eastAsia"/>
        </w:rPr>
        <w:t>等。</w:t>
      </w:r>
    </w:p>
    <w:p w:rsidR="00AA120F" w:rsidRPr="00DA3BC7" w:rsidRDefault="00AA120F" w:rsidP="00AE3920">
      <w:pPr>
        <w:spacing w:beforeLines="30"/>
        <w:ind w:leftChars="50" w:left="120"/>
        <w:jc w:val="both"/>
        <w:rPr>
          <w:rFonts w:ascii="Times New Roman" w:hAnsi="Times New Roman"/>
          <w:bCs/>
          <w:sz w:val="20"/>
          <w:szCs w:val="20"/>
        </w:rPr>
      </w:pPr>
      <w:r w:rsidRPr="00DA3BC7">
        <w:rPr>
          <w:rFonts w:ascii="Times New Roman" w:hAnsi="Times New Roman"/>
          <w:b/>
          <w:sz w:val="20"/>
          <w:szCs w:val="20"/>
          <w:bdr w:val="single" w:sz="4" w:space="0" w:color="auto"/>
        </w:rPr>
        <w:t>（</w:t>
      </w:r>
      <w:r w:rsidR="00FC5046" w:rsidRPr="00DA3BC7">
        <w:rPr>
          <w:rFonts w:ascii="Times New Roman" w:hAnsi="Times New Roman"/>
          <w:b/>
          <w:sz w:val="20"/>
          <w:szCs w:val="20"/>
          <w:bdr w:val="single" w:sz="4" w:space="0" w:color="auto"/>
        </w:rPr>
        <w:t>參</w:t>
      </w:r>
      <w:r w:rsidRPr="00DA3BC7">
        <w:rPr>
          <w:rFonts w:ascii="Times New Roman" w:hAnsi="Times New Roman"/>
          <w:b/>
          <w:sz w:val="20"/>
          <w:szCs w:val="20"/>
          <w:bdr w:val="single" w:sz="4" w:space="0" w:color="auto"/>
        </w:rPr>
        <w:t>）</w:t>
      </w:r>
      <w:r w:rsidRPr="00DA3BC7">
        <w:rPr>
          <w:rFonts w:ascii="Times New Roman" w:hAnsi="Times New Roman" w:hint="eastAsia"/>
          <w:b/>
          <w:bCs/>
          <w:sz w:val="20"/>
          <w:szCs w:val="20"/>
          <w:bdr w:val="single" w:sz="4" w:space="0" w:color="auto"/>
        </w:rPr>
        <w:t>約</w:t>
      </w:r>
      <w:r w:rsidR="00DF0359" w:rsidRPr="00A6163F">
        <w:rPr>
          <w:rFonts w:ascii="Times New Roman" w:hAnsi="Times New Roman" w:hint="eastAsia"/>
          <w:b/>
          <w:bCs/>
          <w:color w:val="FF0000"/>
          <w:sz w:val="20"/>
          <w:szCs w:val="20"/>
          <w:highlight w:val="yellow"/>
          <w:bdr w:val="single" w:sz="4" w:space="0" w:color="auto"/>
        </w:rPr>
        <w:t>「</w:t>
      </w:r>
      <w:r w:rsidRPr="00DA3BC7">
        <w:rPr>
          <w:rFonts w:ascii="Times New Roman" w:hAnsi="Times New Roman" w:hint="eastAsia"/>
          <w:b/>
          <w:bCs/>
          <w:sz w:val="20"/>
          <w:szCs w:val="20"/>
          <w:bdr w:val="single" w:sz="4" w:space="0" w:color="auto"/>
        </w:rPr>
        <w:t>通</w:t>
      </w:r>
      <w:r w:rsidR="00DF0359" w:rsidRPr="00ED3A72">
        <w:rPr>
          <w:rFonts w:ascii="Times New Roman" w:hAnsi="Times New Roman" w:hint="eastAsia"/>
          <w:b/>
          <w:bCs/>
          <w:color w:val="FF0000"/>
          <w:sz w:val="20"/>
          <w:szCs w:val="20"/>
          <w:highlight w:val="yellow"/>
          <w:bdr w:val="single" w:sz="4" w:space="0" w:color="auto"/>
        </w:rPr>
        <w:t>、</w:t>
      </w:r>
      <w:r w:rsidRPr="00DA3BC7">
        <w:rPr>
          <w:rFonts w:ascii="Times New Roman" w:hAnsi="Times New Roman" w:hint="eastAsia"/>
          <w:b/>
          <w:bCs/>
          <w:sz w:val="20"/>
          <w:szCs w:val="20"/>
          <w:bdr w:val="single" w:sz="4" w:space="0" w:color="auto"/>
        </w:rPr>
        <w:t>別</w:t>
      </w:r>
      <w:r w:rsidR="00DF0359" w:rsidRPr="00A6163F">
        <w:rPr>
          <w:rFonts w:ascii="Times New Roman" w:hAnsi="Times New Roman" w:hint="eastAsia"/>
          <w:b/>
          <w:bCs/>
          <w:color w:val="FF0000"/>
          <w:sz w:val="20"/>
          <w:szCs w:val="26"/>
          <w:highlight w:val="yellow"/>
          <w:bdr w:val="single" w:sz="4" w:space="0" w:color="auto"/>
        </w:rPr>
        <w:t>」</w:t>
      </w:r>
      <w:r w:rsidRPr="00DA3BC7">
        <w:rPr>
          <w:rFonts w:ascii="Times New Roman" w:hAnsi="Times New Roman" w:hint="eastAsia"/>
          <w:b/>
          <w:bCs/>
          <w:sz w:val="20"/>
          <w:szCs w:val="20"/>
          <w:bdr w:val="single" w:sz="4" w:space="0" w:color="auto"/>
        </w:rPr>
        <w:t>說</w:t>
      </w:r>
      <w:r w:rsidR="00DF0359" w:rsidRPr="00A6163F">
        <w:rPr>
          <w:rFonts w:ascii="Times New Roman" w:hAnsi="Times New Roman" w:hint="eastAsia"/>
          <w:b/>
          <w:color w:val="FF0000"/>
          <w:sz w:val="20"/>
          <w:szCs w:val="26"/>
          <w:highlight w:val="yellow"/>
          <w:bdr w:val="single" w:sz="4" w:space="0" w:color="auto"/>
        </w:rPr>
        <w:t>「</w:t>
      </w:r>
      <w:r w:rsidR="00DF0359" w:rsidRPr="00DA3BC7">
        <w:rPr>
          <w:rFonts w:ascii="Times New Roman" w:hAnsi="Times New Roman" w:hint="eastAsia"/>
          <w:b/>
          <w:bCs/>
          <w:sz w:val="20"/>
          <w:szCs w:val="26"/>
          <w:bdr w:val="single" w:sz="4" w:space="0" w:color="auto"/>
        </w:rPr>
        <w:t>性</w:t>
      </w:r>
      <w:r w:rsidR="00DF0359" w:rsidRPr="00A6163F">
        <w:rPr>
          <w:rFonts w:ascii="Times New Roman" w:hAnsi="Times New Roman" w:hint="eastAsia"/>
          <w:b/>
          <w:bCs/>
          <w:color w:val="FF0000"/>
          <w:sz w:val="20"/>
          <w:szCs w:val="26"/>
          <w:highlight w:val="yellow"/>
          <w:bdr w:val="single" w:sz="4" w:space="0" w:color="auto"/>
        </w:rPr>
        <w:t>、</w:t>
      </w:r>
      <w:r w:rsidR="00DF0359" w:rsidRPr="00DA3BC7">
        <w:rPr>
          <w:rFonts w:ascii="Times New Roman" w:hAnsi="Times New Roman" w:hint="eastAsia"/>
          <w:b/>
          <w:bCs/>
          <w:sz w:val="20"/>
          <w:szCs w:val="26"/>
          <w:bdr w:val="single" w:sz="4" w:space="0" w:color="auto"/>
        </w:rPr>
        <w:t>相</w:t>
      </w:r>
      <w:r w:rsidR="00DF0359" w:rsidRPr="00A6163F">
        <w:rPr>
          <w:rFonts w:ascii="Times New Roman" w:hAnsi="Times New Roman" w:hint="eastAsia"/>
          <w:b/>
          <w:bCs/>
          <w:color w:val="FF0000"/>
          <w:sz w:val="20"/>
          <w:szCs w:val="26"/>
          <w:highlight w:val="yellow"/>
          <w:bdr w:val="single" w:sz="4" w:space="0" w:color="auto"/>
        </w:rPr>
        <w:t>」</w:t>
      </w:r>
      <w:r w:rsidRPr="00DA3BC7">
        <w:rPr>
          <w:rFonts w:ascii="Times New Roman" w:hAnsi="Times New Roman" w:hint="eastAsia"/>
          <w:bCs/>
          <w:sz w:val="20"/>
          <w:szCs w:val="20"/>
        </w:rPr>
        <w:t>（</w:t>
      </w:r>
      <w:r w:rsidRPr="00DA3BC7">
        <w:rPr>
          <w:rFonts w:ascii="Times New Roman" w:hAnsi="Times New Roman" w:hint="eastAsia"/>
          <w:bCs/>
          <w:sz w:val="20"/>
          <w:szCs w:val="20"/>
        </w:rPr>
        <w:t>pp.151-154</w:t>
      </w:r>
      <w:r w:rsidRPr="00DA3BC7">
        <w:rPr>
          <w:rFonts w:ascii="Times New Roman" w:hAnsi="Times New Roman" w:hint="eastAsia"/>
          <w:bCs/>
          <w:sz w:val="20"/>
          <w:szCs w:val="20"/>
        </w:rPr>
        <w:t>）</w:t>
      </w:r>
    </w:p>
    <w:p w:rsidR="00AA120F" w:rsidRPr="00DA3BC7" w:rsidRDefault="00AA120F" w:rsidP="00D41C1A">
      <w:pPr>
        <w:ind w:leftChars="50" w:left="120"/>
        <w:jc w:val="both"/>
        <w:rPr>
          <w:rFonts w:ascii="Times New Roman" w:hAnsi="Times New Roman"/>
          <w:b/>
          <w:bCs/>
          <w:szCs w:val="20"/>
        </w:rPr>
      </w:pPr>
      <w:r w:rsidRPr="00DA3BC7">
        <w:rPr>
          <w:rFonts w:ascii="Times New Roman" w:hAnsi="Times New Roman" w:hint="eastAsia"/>
          <w:b/>
          <w:bCs/>
          <w:szCs w:val="20"/>
        </w:rPr>
        <w:t>三、約通別說性相：</w:t>
      </w:r>
    </w:p>
    <w:p w:rsidR="00DF0359" w:rsidRDefault="00DF0359" w:rsidP="00AE3920">
      <w:pPr>
        <w:spacing w:beforeLines="30"/>
        <w:ind w:leftChars="100" w:left="240"/>
        <w:jc w:val="both"/>
        <w:rPr>
          <w:rFonts w:ascii="Times New Roman" w:hAnsi="Times New Roman"/>
          <w:sz w:val="20"/>
          <w:szCs w:val="20"/>
        </w:rPr>
      </w:pPr>
      <w:r w:rsidRPr="00ED3A72">
        <w:rPr>
          <w:rFonts w:ascii="Times New Roman" w:hAnsi="Times New Roman" w:hint="eastAsia"/>
          <w:b/>
          <w:color w:val="FF0000"/>
          <w:sz w:val="20"/>
          <w:szCs w:val="20"/>
          <w:highlight w:val="yellow"/>
          <w:bdr w:val="single" w:sz="4" w:space="0" w:color="auto"/>
        </w:rPr>
        <w:t>一、</w:t>
      </w:r>
      <w:r w:rsidRPr="00A6163F">
        <w:rPr>
          <w:rFonts w:ascii="Times New Roman" w:hAnsi="Times New Roman" w:hint="eastAsia"/>
          <w:b/>
          <w:color w:val="FF0000"/>
          <w:sz w:val="20"/>
          <w:szCs w:val="20"/>
          <w:highlight w:val="yellow"/>
          <w:bdr w:val="single" w:sz="4" w:space="0" w:color="auto"/>
        </w:rPr>
        <w:t>明義</w:t>
      </w:r>
      <w:r w:rsidRPr="00DA3BC7">
        <w:rPr>
          <w:rFonts w:ascii="Times New Roman" w:hAnsi="Times New Roman" w:hint="eastAsia"/>
          <w:sz w:val="20"/>
          <w:szCs w:val="20"/>
        </w:rPr>
        <w:t>（</w:t>
      </w:r>
      <w:r w:rsidRPr="00DA3BC7">
        <w:rPr>
          <w:rFonts w:ascii="Times New Roman" w:hAnsi="Times New Roman" w:hint="eastAsia"/>
          <w:sz w:val="20"/>
          <w:szCs w:val="20"/>
        </w:rPr>
        <w:t>p.151</w:t>
      </w:r>
      <w:r w:rsidRPr="00DA3BC7">
        <w:rPr>
          <w:rFonts w:ascii="Times New Roman" w:hAnsi="Times New Roman" w:hint="eastAsia"/>
          <w:sz w:val="20"/>
          <w:szCs w:val="20"/>
        </w:rPr>
        <w:t>）</w:t>
      </w:r>
    </w:p>
    <w:p w:rsidR="00AA120F" w:rsidRPr="00DA3BC7" w:rsidRDefault="00AA120F" w:rsidP="00D41C1A">
      <w:pPr>
        <w:ind w:leftChars="100" w:left="240"/>
        <w:jc w:val="both"/>
        <w:rPr>
          <w:rFonts w:ascii="Times New Roman" w:hAnsi="Times New Roman"/>
        </w:rPr>
      </w:pPr>
      <w:r w:rsidRPr="00DA3BC7">
        <w:rPr>
          <w:rFonts w:ascii="Times New Roman" w:hAnsi="Times New Roman" w:hint="eastAsia"/>
        </w:rPr>
        <w:t>佛法中常說為自相、共相；《大智度論》名為總相、別相，總性、別性。此</w:t>
      </w:r>
      <w:r w:rsidRPr="00DA3BC7">
        <w:rPr>
          <w:rFonts w:ascii="Times New Roman" w:hAnsi="Times New Roman" w:hint="eastAsia"/>
          <w:b/>
        </w:rPr>
        <w:t>總</w:t>
      </w:r>
      <w:r w:rsidRPr="00DA3BC7">
        <w:rPr>
          <w:rFonts w:ascii="Times New Roman" w:hAnsi="Times New Roman" w:hint="eastAsia"/>
        </w:rPr>
        <w:t>與</w:t>
      </w:r>
      <w:r w:rsidRPr="00DA3BC7">
        <w:rPr>
          <w:rFonts w:ascii="Times New Roman" w:hAnsi="Times New Roman" w:hint="eastAsia"/>
          <w:b/>
        </w:rPr>
        <w:t>別</w:t>
      </w:r>
      <w:r w:rsidRPr="00DA3BC7">
        <w:rPr>
          <w:rFonts w:ascii="Times New Roman" w:hAnsi="Times New Roman" w:hint="eastAsia"/>
        </w:rPr>
        <w:t>，依《大智度論》卷</w:t>
      </w:r>
      <w:r w:rsidR="00DF0359">
        <w:rPr>
          <w:rFonts w:ascii="Times New Roman" w:hAnsi="Times New Roman" w:hint="eastAsia"/>
        </w:rPr>
        <w:t>67</w:t>
      </w:r>
      <w:r w:rsidRPr="00DA3BC7">
        <w:rPr>
          <w:rFonts w:ascii="Times New Roman" w:hAnsi="Times New Roman" w:hint="eastAsia"/>
        </w:rPr>
        <w:t>說，即名為</w:t>
      </w:r>
      <w:r w:rsidRPr="00DA3BC7">
        <w:rPr>
          <w:rFonts w:ascii="Times New Roman" w:hAnsi="Times New Roman" w:hint="eastAsia"/>
          <w:b/>
        </w:rPr>
        <w:t>相</w:t>
      </w:r>
      <w:r w:rsidRPr="00DA3BC7">
        <w:rPr>
          <w:rFonts w:ascii="Times New Roman" w:hAnsi="Times New Roman" w:hint="eastAsia"/>
        </w:rPr>
        <w:t>與</w:t>
      </w:r>
      <w:r w:rsidRPr="00DA3BC7">
        <w:rPr>
          <w:rFonts w:ascii="Times New Roman" w:hAnsi="Times New Roman" w:hint="eastAsia"/>
          <w:b/>
        </w:rPr>
        <w:t>性</w:t>
      </w:r>
      <w:r w:rsidRPr="00DA3BC7">
        <w:rPr>
          <w:rFonts w:ascii="Times New Roman" w:hAnsi="Times New Roman" w:hint="eastAsia"/>
        </w:rPr>
        <w:t>，即</w:t>
      </w:r>
      <w:r w:rsidRPr="00DA3BC7">
        <w:rPr>
          <w:rFonts w:ascii="Times New Roman" w:hAnsi="Times New Roman" w:hint="eastAsia"/>
          <w:b/>
        </w:rPr>
        <w:t>諸法的共通性為相，</w:t>
      </w:r>
      <w:r w:rsidRPr="00DA3BC7">
        <w:rPr>
          <w:rFonts w:ascii="Times New Roman" w:hAnsi="Times New Roman" w:hint="eastAsia"/>
          <w:b/>
        </w:rPr>
        <w:lastRenderedPageBreak/>
        <w:t>不共的名為性</w:t>
      </w:r>
      <w:r w:rsidRPr="00DA3BC7">
        <w:rPr>
          <w:rFonts w:ascii="Times New Roman" w:hAnsi="Times New Roman" w:hint="eastAsia"/>
        </w:rPr>
        <w:t>。</w:t>
      </w:r>
      <w:r w:rsidRPr="00DA3BC7">
        <w:rPr>
          <w:rFonts w:ascii="Times New Roman" w:hAnsi="Times New Roman"/>
          <w:vertAlign w:val="superscript"/>
        </w:rPr>
        <w:footnoteReference w:id="713"/>
      </w:r>
    </w:p>
    <w:p w:rsidR="00AA120F" w:rsidRPr="00DA3BC7" w:rsidRDefault="00AA120F" w:rsidP="00AE3920">
      <w:pPr>
        <w:spacing w:beforeLines="20"/>
        <w:ind w:leftChars="100" w:left="240"/>
        <w:jc w:val="both"/>
        <w:rPr>
          <w:rFonts w:ascii="Times New Roman" w:hAnsi="Times New Roman"/>
        </w:rPr>
      </w:pPr>
      <w:r w:rsidRPr="00DA3BC7">
        <w:rPr>
          <w:rFonts w:ascii="Times New Roman" w:hAnsi="Times New Roman" w:hint="eastAsia"/>
        </w:rPr>
        <w:t>《大智度論》卷</w:t>
      </w:r>
      <w:r w:rsidR="00DF0359">
        <w:rPr>
          <w:rFonts w:ascii="Times New Roman" w:hAnsi="Times New Roman" w:hint="eastAsia"/>
        </w:rPr>
        <w:t>31</w:t>
      </w:r>
      <w:r w:rsidRPr="00DA3BC7">
        <w:rPr>
          <w:rFonts w:ascii="Times New Roman" w:hAnsi="Times New Roman" w:hint="eastAsia"/>
        </w:rPr>
        <w:t>說：「</w:t>
      </w:r>
      <w:r w:rsidRPr="00DA3BC7">
        <w:rPr>
          <w:rFonts w:ascii="標楷體" w:eastAsia="標楷體" w:hAnsi="標楷體" w:hint="eastAsia"/>
        </w:rPr>
        <w:t>總相者，如無常等。別相者，諸法雖皆無常而各有別相，地為堅相，火為熱相</w:t>
      </w:r>
      <w:r w:rsidRPr="00DA3BC7">
        <w:rPr>
          <w:rFonts w:ascii="Times New Roman" w:hAnsi="Times New Roman" w:hint="eastAsia"/>
        </w:rPr>
        <w:t>。」</w:t>
      </w:r>
      <w:r w:rsidRPr="00DA3BC7">
        <w:rPr>
          <w:rFonts w:ascii="Times New Roman" w:hAnsi="Times New Roman"/>
          <w:vertAlign w:val="superscript"/>
        </w:rPr>
        <w:footnoteReference w:id="714"/>
      </w:r>
    </w:p>
    <w:p w:rsidR="00AA120F" w:rsidRPr="00DA3BC7" w:rsidRDefault="00AA120F" w:rsidP="00AE3920">
      <w:pPr>
        <w:spacing w:beforeLines="20"/>
        <w:ind w:leftChars="100" w:left="240"/>
        <w:jc w:val="both"/>
        <w:rPr>
          <w:rFonts w:ascii="Times New Roman" w:hAnsi="Times New Roman"/>
        </w:rPr>
      </w:pPr>
      <w:r w:rsidRPr="00DA3BC7">
        <w:rPr>
          <w:rFonts w:ascii="Times New Roman" w:hAnsi="Times New Roman" w:hint="eastAsia"/>
        </w:rPr>
        <w:t>此說無常等，是諸法</w:t>
      </w:r>
      <w:r w:rsidRPr="00DA3BC7">
        <w:rPr>
          <w:rFonts w:ascii="Times New Roman" w:hAnsi="Times New Roman" w:hint="eastAsia"/>
          <w:b/>
        </w:rPr>
        <w:t>共相</w:t>
      </w:r>
      <w:r w:rsidRPr="00DA3BC7">
        <w:rPr>
          <w:rFonts w:ascii="Times New Roman" w:hAnsi="Times New Roman" w:hint="eastAsia"/>
        </w:rPr>
        <w:t>；</w:t>
      </w:r>
    </w:p>
    <w:p w:rsidR="00FD74B9" w:rsidRDefault="00AA120F" w:rsidP="00D41C1A">
      <w:pPr>
        <w:ind w:leftChars="100" w:left="240"/>
        <w:jc w:val="both"/>
        <w:rPr>
          <w:rFonts w:ascii="Times New Roman" w:hAnsi="Times New Roman"/>
        </w:rPr>
      </w:pPr>
      <w:r w:rsidRPr="00DA3BC7">
        <w:rPr>
          <w:rFonts w:ascii="Times New Roman" w:hAnsi="Times New Roman" w:hint="eastAsia"/>
        </w:rPr>
        <w:t>地堅相、火熱相，乃至色變礙相，受領納相等，即是</w:t>
      </w:r>
      <w:r w:rsidRPr="00DA3BC7">
        <w:rPr>
          <w:rFonts w:ascii="Times New Roman" w:hAnsi="Times New Roman" w:hint="eastAsia"/>
          <w:b/>
        </w:rPr>
        <w:t>自相</w:t>
      </w:r>
      <w:r w:rsidRPr="00DA3BC7">
        <w:rPr>
          <w:rFonts w:ascii="Times New Roman" w:hAnsi="Times New Roman" w:hint="eastAsia"/>
        </w:rPr>
        <w:t>。</w:t>
      </w:r>
    </w:p>
    <w:p w:rsidR="00FD74B9" w:rsidRDefault="00FD74B9" w:rsidP="00AE3920">
      <w:pPr>
        <w:spacing w:beforeLines="30"/>
        <w:ind w:leftChars="100" w:left="240"/>
        <w:jc w:val="both"/>
        <w:rPr>
          <w:rFonts w:ascii="Times New Roman" w:hAnsi="Times New Roman"/>
          <w:sz w:val="20"/>
          <w:szCs w:val="20"/>
        </w:rPr>
      </w:pPr>
      <w:r w:rsidRPr="00FD74B9">
        <w:rPr>
          <w:rFonts w:ascii="Times New Roman" w:hAnsi="Times New Roman" w:hint="eastAsia"/>
          <w:b/>
          <w:color w:val="FF0000"/>
          <w:sz w:val="20"/>
          <w:szCs w:val="20"/>
          <w:highlight w:val="yellow"/>
          <w:bdr w:val="single" w:sz="4" w:space="0" w:color="auto"/>
        </w:rPr>
        <w:t>二、</w:t>
      </w:r>
      <w:r w:rsidR="008B4B04">
        <w:rPr>
          <w:rFonts w:ascii="Times New Roman" w:hAnsi="Times New Roman" w:hint="eastAsia"/>
          <w:b/>
          <w:color w:val="FF0000"/>
          <w:sz w:val="20"/>
          <w:szCs w:val="20"/>
          <w:highlight w:val="yellow"/>
          <w:bdr w:val="single" w:sz="4" w:space="0" w:color="auto"/>
        </w:rPr>
        <w:t>抉</w:t>
      </w:r>
      <w:r>
        <w:rPr>
          <w:rFonts w:ascii="Times New Roman" w:hAnsi="Times New Roman" w:hint="eastAsia"/>
          <w:b/>
          <w:color w:val="FF0000"/>
          <w:sz w:val="20"/>
          <w:szCs w:val="20"/>
          <w:highlight w:val="yellow"/>
          <w:bdr w:val="single" w:sz="4" w:space="0" w:color="auto"/>
        </w:rPr>
        <w:t>擇</w:t>
      </w:r>
      <w:r w:rsidRPr="00DA3BC7">
        <w:rPr>
          <w:rFonts w:ascii="Times New Roman" w:hAnsi="Times New Roman" w:hint="eastAsia"/>
          <w:sz w:val="20"/>
          <w:szCs w:val="20"/>
        </w:rPr>
        <w:t>（</w:t>
      </w:r>
      <w:r w:rsidRPr="00DA3BC7">
        <w:rPr>
          <w:rFonts w:ascii="Times New Roman" w:hAnsi="Times New Roman" w:hint="eastAsia"/>
          <w:sz w:val="20"/>
          <w:szCs w:val="20"/>
        </w:rPr>
        <w:t>pp.149-15</w:t>
      </w:r>
      <w:r>
        <w:rPr>
          <w:rFonts w:ascii="Times New Roman" w:hAnsi="Times New Roman" w:hint="eastAsia"/>
          <w:sz w:val="20"/>
          <w:szCs w:val="20"/>
        </w:rPr>
        <w:t>4</w:t>
      </w:r>
      <w:r w:rsidRPr="00DA3BC7">
        <w:rPr>
          <w:rFonts w:ascii="Times New Roman" w:hAnsi="Times New Roman" w:hint="eastAsia"/>
          <w:sz w:val="20"/>
          <w:szCs w:val="20"/>
        </w:rPr>
        <w:t>）</w:t>
      </w:r>
    </w:p>
    <w:p w:rsidR="00FD74B9" w:rsidRDefault="00FD74B9" w:rsidP="00D41C1A">
      <w:pPr>
        <w:ind w:leftChars="150" w:left="360"/>
        <w:jc w:val="both"/>
        <w:rPr>
          <w:rFonts w:ascii="Times New Roman" w:hAnsi="Times New Roman"/>
          <w:sz w:val="20"/>
          <w:szCs w:val="20"/>
        </w:rPr>
      </w:pPr>
      <w:r w:rsidRPr="00A6163F">
        <w:rPr>
          <w:rFonts w:ascii="Times New Roman" w:hAnsi="Times New Roman"/>
          <w:b/>
          <w:color w:val="FF0000"/>
          <w:sz w:val="20"/>
          <w:szCs w:val="20"/>
          <w:highlight w:val="yellow"/>
          <w:bdr w:val="single" w:sz="4" w:space="0" w:color="auto"/>
        </w:rPr>
        <w:t>（</w:t>
      </w:r>
      <w:r w:rsidRPr="00A6163F">
        <w:rPr>
          <w:rFonts w:ascii="Times New Roman" w:hAnsi="Times New Roman" w:hint="eastAsia"/>
          <w:b/>
          <w:color w:val="FF0000"/>
          <w:sz w:val="20"/>
          <w:szCs w:val="20"/>
          <w:highlight w:val="yellow"/>
          <w:bdr w:val="single" w:sz="4" w:space="0" w:color="auto"/>
        </w:rPr>
        <w:t>一</w:t>
      </w:r>
      <w:r w:rsidRPr="00A6163F">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辨「自相」</w:t>
      </w:r>
      <w:r w:rsidRPr="00DA3BC7">
        <w:rPr>
          <w:rFonts w:ascii="Times New Roman" w:hAnsi="Times New Roman" w:hint="eastAsia"/>
          <w:sz w:val="20"/>
          <w:szCs w:val="20"/>
        </w:rPr>
        <w:t>（</w:t>
      </w:r>
      <w:r w:rsidRPr="00DA3BC7">
        <w:rPr>
          <w:rFonts w:ascii="Times New Roman" w:hAnsi="Times New Roman" w:hint="eastAsia"/>
          <w:sz w:val="20"/>
          <w:szCs w:val="20"/>
        </w:rPr>
        <w:t>pp.149</w:t>
      </w:r>
      <w:r>
        <w:rPr>
          <w:rFonts w:ascii="Times New Roman" w:hAnsi="Times New Roman" w:hint="eastAsia"/>
          <w:sz w:val="20"/>
          <w:szCs w:val="20"/>
        </w:rPr>
        <w:t>-153</w:t>
      </w:r>
      <w:r w:rsidRPr="00DA3BC7">
        <w:rPr>
          <w:rFonts w:ascii="Times New Roman" w:hAnsi="Times New Roman" w:hint="eastAsia"/>
          <w:sz w:val="20"/>
          <w:szCs w:val="20"/>
        </w:rPr>
        <w:t>）</w:t>
      </w:r>
    </w:p>
    <w:p w:rsidR="00FD74B9" w:rsidRPr="00DA3BC7" w:rsidRDefault="00FD74B9" w:rsidP="00D41C1A">
      <w:pPr>
        <w:ind w:leftChars="200" w:left="480"/>
        <w:jc w:val="both"/>
        <w:rPr>
          <w:rFonts w:ascii="Times New Roman" w:hAnsi="Times New Roman"/>
          <w:sz w:val="20"/>
          <w:szCs w:val="20"/>
        </w:rPr>
      </w:pPr>
      <w:r>
        <w:rPr>
          <w:rFonts w:ascii="Times New Roman" w:hAnsi="Times New Roman" w:hint="eastAsia"/>
          <w:b/>
          <w:color w:val="FF0000"/>
          <w:sz w:val="20"/>
          <w:szCs w:val="20"/>
          <w:highlight w:val="yellow"/>
          <w:bdr w:val="single" w:sz="4" w:space="0" w:color="auto"/>
        </w:rPr>
        <w:t>1</w:t>
      </w:r>
      <w:r>
        <w:rPr>
          <w:rFonts w:ascii="Times New Roman" w:hAnsi="Times New Roman" w:hint="eastAsia"/>
          <w:b/>
          <w:color w:val="FF0000"/>
          <w:sz w:val="20"/>
          <w:szCs w:val="20"/>
          <w:highlight w:val="yellow"/>
          <w:bdr w:val="single" w:sz="4" w:space="0" w:color="auto"/>
        </w:rPr>
        <w:t>、部派論師之說</w:t>
      </w:r>
      <w:r w:rsidRPr="00DA3BC7">
        <w:rPr>
          <w:rFonts w:ascii="Times New Roman" w:hAnsi="Times New Roman" w:hint="eastAsia"/>
          <w:sz w:val="20"/>
          <w:szCs w:val="20"/>
        </w:rPr>
        <w:t>（</w:t>
      </w:r>
      <w:r w:rsidRPr="00DA3BC7">
        <w:rPr>
          <w:rFonts w:ascii="Times New Roman" w:hAnsi="Times New Roman" w:hint="eastAsia"/>
          <w:sz w:val="20"/>
          <w:szCs w:val="20"/>
        </w:rPr>
        <w:t>pp.149</w:t>
      </w:r>
      <w:r>
        <w:rPr>
          <w:rFonts w:ascii="Times New Roman" w:hAnsi="Times New Roman" w:hint="eastAsia"/>
          <w:sz w:val="20"/>
          <w:szCs w:val="20"/>
        </w:rPr>
        <w:t>-152</w:t>
      </w:r>
      <w:r w:rsidRPr="00DA3BC7">
        <w:rPr>
          <w:rFonts w:ascii="Times New Roman" w:hAnsi="Times New Roman" w:hint="eastAsia"/>
          <w:sz w:val="20"/>
          <w:szCs w:val="20"/>
        </w:rPr>
        <w:t>）</w:t>
      </w:r>
    </w:p>
    <w:p w:rsidR="00AA120F" w:rsidRPr="00DA3BC7" w:rsidRDefault="00AA120F" w:rsidP="00D41C1A">
      <w:pPr>
        <w:ind w:leftChars="200" w:left="480"/>
        <w:jc w:val="both"/>
        <w:rPr>
          <w:rFonts w:ascii="Times New Roman" w:hAnsi="Times New Roman"/>
        </w:rPr>
      </w:pPr>
      <w:r w:rsidRPr="00DA3BC7">
        <w:rPr>
          <w:rFonts w:ascii="Times New Roman" w:hAnsi="Times New Roman" w:hint="eastAsia"/>
        </w:rPr>
        <w:t>地以堅為相，這是論師從假有的分析所得到的結論。如析色法為地、水等和合而成，地是極微的存在，無論如何分析，也不會失卻</w:t>
      </w:r>
      <w:r w:rsidRPr="00DA3BC7">
        <w:rPr>
          <w:rStyle w:val="a6"/>
          <w:rFonts w:ascii="Times New Roman" w:hAnsi="Times New Roman"/>
        </w:rPr>
        <w:footnoteReference w:id="715"/>
      </w:r>
      <w:r w:rsidRPr="00DA3BC7">
        <w:rPr>
          <w:rFonts w:ascii="Times New Roman" w:hAnsi="Times New Roman" w:hint="eastAsia"/>
        </w:rPr>
        <w:t>（卷</w:t>
      </w:r>
      <w:r w:rsidR="002F0F4A">
        <w:rPr>
          <w:rFonts w:ascii="Times New Roman" w:hAnsi="Times New Roman" w:hint="eastAsia"/>
        </w:rPr>
        <w:t>67</w:t>
      </w:r>
      <w:r w:rsidRPr="00DA3BC7">
        <w:rPr>
          <w:rFonts w:ascii="Times New Roman" w:hAnsi="Times New Roman" w:hint="eastAsia"/>
        </w:rPr>
        <w:t>稱之為常法）</w:t>
      </w:r>
      <w:r w:rsidRPr="00DA3BC7">
        <w:rPr>
          <w:rFonts w:ascii="Times New Roman" w:hAnsi="Times New Roman"/>
          <w:vertAlign w:val="superscript"/>
        </w:rPr>
        <w:footnoteReference w:id="716"/>
      </w:r>
      <w:r w:rsidRPr="00DA3BC7">
        <w:rPr>
          <w:rFonts w:ascii="Times New Roman" w:hAnsi="Times New Roman" w:hint="eastAsia"/>
        </w:rPr>
        <w:t>堅的特性；此堅的特殊性，唯屬於地而不屬於別的，所以是地的自相。</w:t>
      </w:r>
    </w:p>
    <w:p w:rsidR="00AA120F" w:rsidRPr="00DA3BC7" w:rsidRDefault="00AA120F" w:rsidP="00AE3920">
      <w:pPr>
        <w:spacing w:beforeLines="20"/>
        <w:ind w:leftChars="200" w:left="480"/>
        <w:jc w:val="both"/>
        <w:rPr>
          <w:rFonts w:ascii="Times New Roman" w:hAnsi="Times New Roman"/>
        </w:rPr>
      </w:pPr>
      <w:r w:rsidRPr="00DA3BC7">
        <w:rPr>
          <w:rFonts w:ascii="Times New Roman" w:hAnsi="Times New Roman" w:hint="eastAsia"/>
        </w:rPr>
        <w:t>又如眼根以見為性，有見即知有眼，眼以見為特性，此性不通他法，故名自性。</w:t>
      </w:r>
    </w:p>
    <w:p w:rsidR="00AA120F" w:rsidRPr="00DA3BC7" w:rsidRDefault="00AA120F" w:rsidP="00D41C1A">
      <w:pPr>
        <w:ind w:leftChars="200" w:left="480"/>
        <w:jc w:val="both"/>
        <w:rPr>
          <w:rFonts w:ascii="Times New Roman" w:hAnsi="Times New Roman"/>
          <w:b/>
          <w:sz w:val="20"/>
          <w:szCs w:val="20"/>
        </w:rPr>
      </w:pPr>
      <w:r w:rsidRPr="00DA3BC7">
        <w:rPr>
          <w:rFonts w:hint="eastAsia"/>
          <w:b/>
        </w:rPr>
        <w:t>這種自相──特性，都被看作自性有的。</w:t>
      </w:r>
    </w:p>
    <w:p w:rsidR="00FD74B9" w:rsidRDefault="00FD74B9" w:rsidP="00AE3920">
      <w:pPr>
        <w:spacing w:beforeLines="30"/>
        <w:ind w:leftChars="200" w:left="48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2</w:t>
      </w:r>
      <w:r w:rsidRPr="00FD74B9">
        <w:rPr>
          <w:rFonts w:ascii="Times New Roman" w:hAnsi="Times New Roman" w:hint="eastAsia"/>
          <w:b/>
          <w:color w:val="FF0000"/>
          <w:sz w:val="20"/>
          <w:szCs w:val="20"/>
          <w:highlight w:val="yellow"/>
          <w:bdr w:val="single" w:sz="4" w:space="0" w:color="auto"/>
        </w:rPr>
        <w:t>、中觀之正義</w:t>
      </w:r>
      <w:r w:rsidRPr="00DA3BC7">
        <w:rPr>
          <w:rFonts w:ascii="Times New Roman" w:hAnsi="Times New Roman" w:hint="eastAsia"/>
          <w:sz w:val="20"/>
          <w:szCs w:val="20"/>
        </w:rPr>
        <w:t>（</w:t>
      </w:r>
      <w:r w:rsidRPr="00DA3BC7">
        <w:rPr>
          <w:rFonts w:ascii="Times New Roman" w:hAnsi="Times New Roman" w:hint="eastAsia"/>
          <w:sz w:val="20"/>
          <w:szCs w:val="20"/>
        </w:rPr>
        <w:t>pp.152-153</w:t>
      </w:r>
      <w:r w:rsidRPr="00DA3BC7">
        <w:rPr>
          <w:rFonts w:ascii="Times New Roman" w:hAnsi="Times New Roman" w:hint="eastAsia"/>
          <w:sz w:val="20"/>
          <w:szCs w:val="20"/>
        </w:rPr>
        <w:t>）</w:t>
      </w:r>
    </w:p>
    <w:p w:rsidR="00AA120F" w:rsidRPr="00DA3BC7" w:rsidRDefault="00FD74B9" w:rsidP="00D41C1A">
      <w:pPr>
        <w:ind w:leftChars="250" w:left="600"/>
        <w:jc w:val="both"/>
        <w:rPr>
          <w:rFonts w:ascii="Times New Roman" w:hAnsi="Times New Roman"/>
          <w:b/>
          <w:sz w:val="20"/>
          <w:szCs w:val="20"/>
          <w:bdr w:val="single" w:sz="4" w:space="0" w:color="auto"/>
        </w:rPr>
      </w:pPr>
      <w:r w:rsidRPr="00FD74B9">
        <w:rPr>
          <w:rFonts w:ascii="Times New Roman" w:hAnsi="Times New Roman" w:hint="eastAsia"/>
          <w:b/>
          <w:color w:val="FF0000"/>
          <w:sz w:val="20"/>
          <w:szCs w:val="20"/>
          <w:highlight w:val="yellow"/>
          <w:bdr w:val="single" w:sz="4" w:space="0" w:color="auto"/>
        </w:rPr>
        <w:lastRenderedPageBreak/>
        <w:t>（</w:t>
      </w:r>
      <w:r>
        <w:rPr>
          <w:rFonts w:ascii="Times New Roman" w:hAnsi="Times New Roman" w:hint="eastAsia"/>
          <w:b/>
          <w:color w:val="FF0000"/>
          <w:sz w:val="20"/>
          <w:szCs w:val="20"/>
          <w:highlight w:val="yellow"/>
          <w:bdr w:val="single" w:sz="4" w:space="0" w:color="auto"/>
        </w:rPr>
        <w:t>1</w:t>
      </w:r>
      <w:r w:rsidRPr="00FD74B9">
        <w:rPr>
          <w:rFonts w:ascii="Times New Roman" w:hAnsi="Times New Roman" w:hint="eastAsia"/>
          <w:b/>
          <w:color w:val="FF0000"/>
          <w:sz w:val="20"/>
          <w:szCs w:val="20"/>
          <w:highlight w:val="yellow"/>
          <w:bdr w:val="single" w:sz="4" w:space="0" w:color="auto"/>
        </w:rPr>
        <w:t>）依緣破實性</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pp.152-153</w:t>
      </w:r>
      <w:r w:rsidR="00AA120F" w:rsidRPr="00DA3BC7">
        <w:rPr>
          <w:rFonts w:ascii="Times New Roman" w:hAnsi="Times New Roman" w:hint="eastAsia"/>
          <w:sz w:val="20"/>
          <w:szCs w:val="20"/>
        </w:rPr>
        <w:t>）</w:t>
      </w:r>
    </w:p>
    <w:p w:rsidR="00AA120F" w:rsidRPr="00DA3BC7" w:rsidRDefault="00AA120F" w:rsidP="00D41C1A">
      <w:pPr>
        <w:ind w:leftChars="250" w:left="600"/>
        <w:jc w:val="both"/>
        <w:rPr>
          <w:rFonts w:ascii="Times New Roman" w:hAnsi="Times New Roman"/>
        </w:rPr>
      </w:pPr>
      <w:r w:rsidRPr="00DA3BC7">
        <w:rPr>
          <w:rFonts w:ascii="Times New Roman" w:hAnsi="Times New Roman" w:hint="eastAsia"/>
        </w:rPr>
        <w:t>實則，從極小的到極廣大的，一切緣起法各有它特殊的性質或性能，但這是從緣起法中顯出他的主要特徵，並非除此以外沒有別的性質，也不是此一特殊性質是可以獨特存在的。中觀者說：眼以見為性，這是可以這樣說的。但若說見性為不失自相的，即非中觀者所許。</w:t>
      </w:r>
    </w:p>
    <w:p w:rsidR="00AA120F" w:rsidRPr="00DA3BC7" w:rsidRDefault="00AA120F" w:rsidP="00AE3920">
      <w:pPr>
        <w:spacing w:beforeLines="20"/>
        <w:ind w:leftChars="250" w:left="600"/>
        <w:jc w:val="both"/>
        <w:rPr>
          <w:rFonts w:ascii="Times New Roman" w:hAnsi="Times New Roman"/>
        </w:rPr>
      </w:pPr>
      <w:r w:rsidRPr="00DA3BC7">
        <w:rPr>
          <w:rFonts w:ascii="Times New Roman" w:hAnsi="Times New Roman" w:hint="eastAsia"/>
        </w:rPr>
        <w:t>《大智度論》卷</w:t>
      </w:r>
      <w:r w:rsidR="0073450B">
        <w:rPr>
          <w:rFonts w:ascii="Times New Roman" w:hAnsi="Times New Roman" w:hint="eastAsia"/>
        </w:rPr>
        <w:t>31</w:t>
      </w:r>
      <w:r w:rsidRPr="00DA3BC7">
        <w:rPr>
          <w:rFonts w:ascii="Times New Roman" w:hAnsi="Times New Roman" w:hint="eastAsia"/>
        </w:rPr>
        <w:t>評云：「</w:t>
      </w:r>
      <w:r w:rsidRPr="00DA3BC7">
        <w:rPr>
          <w:rFonts w:ascii="標楷體" w:eastAsia="標楷體" w:hAnsi="標楷體" w:hint="eastAsia"/>
        </w:rPr>
        <w:t>火能燒，造色能照，二法和合故名為火……，云何言熱是火性？復次，熱性從眾緣生</w:t>
      </w:r>
      <w:r w:rsidRPr="00DA3BC7">
        <w:rPr>
          <w:rFonts w:ascii="Times New Roman" w:hAnsi="Times New Roman" w:hint="eastAsia"/>
        </w:rPr>
        <w:t>。」</w:t>
      </w:r>
      <w:r w:rsidRPr="00DA3BC7">
        <w:rPr>
          <w:rFonts w:ascii="Times New Roman" w:hAnsi="Times New Roman"/>
          <w:vertAlign w:val="superscript"/>
        </w:rPr>
        <w:footnoteReference w:id="717"/>
      </w:r>
    </w:p>
    <w:p w:rsidR="00AA120F" w:rsidRPr="00DA3BC7" w:rsidRDefault="00AA120F" w:rsidP="00AE3920">
      <w:pPr>
        <w:spacing w:beforeLines="20"/>
        <w:ind w:leftChars="250" w:left="600"/>
        <w:jc w:val="both"/>
        <w:rPr>
          <w:rFonts w:ascii="Times New Roman" w:hAnsi="Times New Roman"/>
        </w:rPr>
      </w:pPr>
      <w:r w:rsidRPr="00DA3BC7">
        <w:rPr>
          <w:rFonts w:ascii="Times New Roman" w:hAnsi="Times New Roman" w:hint="eastAsia"/>
        </w:rPr>
        <w:t>此說緣起法不單是一性的，如火不但是以熱為性，火發光即能照，燒物即成燒，</w:t>
      </w:r>
      <w:r w:rsidRPr="00DA3BC7">
        <w:rPr>
          <w:rFonts w:ascii="Times New Roman" w:hAnsi="Times New Roman" w:hint="eastAsia"/>
          <w:b/>
        </w:rPr>
        <w:t>照</w:t>
      </w:r>
      <w:r w:rsidRPr="00DA3BC7">
        <w:rPr>
          <w:rFonts w:ascii="Times New Roman" w:hAnsi="Times New Roman" w:hint="eastAsia"/>
        </w:rPr>
        <w:t>與</w:t>
      </w:r>
      <w:r w:rsidRPr="00DA3BC7">
        <w:rPr>
          <w:rFonts w:ascii="Times New Roman" w:hAnsi="Times New Roman" w:hint="eastAsia"/>
          <w:b/>
        </w:rPr>
        <w:t>燒</w:t>
      </w:r>
      <w:r w:rsidRPr="00DA3BC7">
        <w:rPr>
          <w:rFonts w:ascii="Times New Roman" w:hAnsi="Times New Roman" w:hint="eastAsia"/>
        </w:rPr>
        <w:t>都可以說是火的特性，何獨執熱為火性呢？</w:t>
      </w:r>
    </w:p>
    <w:p w:rsidR="00AA120F" w:rsidRPr="00DA3BC7" w:rsidRDefault="00AA120F" w:rsidP="00AE3920">
      <w:pPr>
        <w:spacing w:beforeLines="20"/>
        <w:ind w:leftChars="250" w:left="600"/>
        <w:jc w:val="both"/>
        <w:rPr>
          <w:rFonts w:ascii="Times New Roman" w:hAnsi="Times New Roman"/>
        </w:rPr>
      </w:pPr>
      <w:r w:rsidRPr="00DA3BC7">
        <w:rPr>
          <w:rFonts w:ascii="Times New Roman" w:hAnsi="Times New Roman" w:hint="eastAsia"/>
        </w:rPr>
        <w:t>當知</w:t>
      </w:r>
      <w:r w:rsidRPr="00DA3BC7">
        <w:rPr>
          <w:rFonts w:ascii="Times New Roman" w:hAnsi="Times New Roman" w:hint="eastAsia"/>
          <w:b/>
        </w:rPr>
        <w:t>緣起法是依存於眾多關係的，它和合似一，而有極其複雜的內容。不過為了記</w:t>
      </w:r>
      <w:r w:rsidRPr="00DA3BC7">
        <w:rPr>
          <w:rStyle w:val="a6"/>
          <w:rFonts w:ascii="Times New Roman" w:hAnsi="Times New Roman"/>
        </w:rPr>
        <w:footnoteReference w:id="718"/>
      </w:r>
      <w:r w:rsidRPr="00DA3BC7">
        <w:rPr>
          <w:rFonts w:ascii="Times New Roman" w:hAnsi="Times New Roman" w:hint="eastAsia"/>
          <w:b/>
        </w:rPr>
        <w:t>別，在眾多的關係性質中，把那主要的、明顯的特徵，隨從世俗立名，標立為某法的自性，哪裏可以想像為自性存在的。</w:t>
      </w:r>
    </w:p>
    <w:p w:rsidR="00AA120F" w:rsidRPr="00DA3BC7" w:rsidRDefault="00AA120F" w:rsidP="00AE3920">
      <w:pPr>
        <w:spacing w:beforeLines="20"/>
        <w:ind w:leftChars="250" w:left="600"/>
        <w:jc w:val="both"/>
        <w:rPr>
          <w:rFonts w:ascii="Times New Roman" w:hAnsi="Times New Roman"/>
        </w:rPr>
      </w:pPr>
      <w:r w:rsidRPr="00DA3BC7">
        <w:rPr>
          <w:rFonts w:ascii="Times New Roman" w:hAnsi="Times New Roman" w:hint="eastAsia"/>
        </w:rPr>
        <w:t>《中論》在破眼以見為性──自相時說：「</w:t>
      </w:r>
      <w:r w:rsidRPr="00DA3BC7">
        <w:rPr>
          <w:rFonts w:ascii="標楷體" w:eastAsia="標楷體" w:hAnsi="標楷體" w:hint="eastAsia"/>
        </w:rPr>
        <w:t>見若未見時，則不名為見，而言見能見，是事則不然</w:t>
      </w:r>
      <w:r w:rsidRPr="00DA3BC7">
        <w:rPr>
          <w:rFonts w:ascii="Times New Roman" w:hAnsi="Times New Roman" w:hint="eastAsia"/>
        </w:rPr>
        <w:t>。」</w:t>
      </w:r>
      <w:r w:rsidRPr="00DA3BC7">
        <w:rPr>
          <w:rFonts w:ascii="Times New Roman" w:hAnsi="Times New Roman"/>
          <w:vertAlign w:val="superscript"/>
        </w:rPr>
        <w:footnoteReference w:id="719"/>
      </w:r>
      <w:r w:rsidRPr="00DA3BC7">
        <w:rPr>
          <w:rFonts w:ascii="Times New Roman" w:hAnsi="Times New Roman" w:hint="eastAsia"/>
        </w:rPr>
        <w:t>眼之所以能見，必依對象、光線、空間、</w:t>
      </w:r>
      <w:r w:rsidRPr="00DA3BC7">
        <w:rPr>
          <w:rFonts w:ascii="Times New Roman" w:hAnsi="Times New Roman" w:hint="eastAsia"/>
        </w:rPr>
        <w:lastRenderedPageBreak/>
        <w:t>意識等緣，方成其見事，不能定說見為眼之自性與眾緣無關。如眼定以見為性，閉目時何以無所見？這豈不又應以不見為性嗎？因此，可知見非眼之自性，非獨存的自性。</w:t>
      </w:r>
    </w:p>
    <w:p w:rsidR="00AA120F" w:rsidRPr="00DA3BC7" w:rsidRDefault="00AA120F" w:rsidP="00AE3920">
      <w:pPr>
        <w:spacing w:beforeLines="30"/>
        <w:ind w:leftChars="250" w:left="600"/>
        <w:jc w:val="both"/>
        <w:rPr>
          <w:rFonts w:ascii="新細明體" w:hAnsi="新細明體"/>
          <w:b/>
          <w:sz w:val="20"/>
          <w:szCs w:val="20"/>
          <w:bdr w:val="single" w:sz="4" w:space="0" w:color="auto"/>
        </w:rPr>
      </w:pPr>
      <w:r w:rsidRPr="0073450B">
        <w:rPr>
          <w:rFonts w:ascii="Times New Roman" w:hAnsi="Times New Roman" w:hint="eastAsia"/>
          <w:b/>
          <w:color w:val="FF0000"/>
          <w:sz w:val="20"/>
          <w:szCs w:val="20"/>
          <w:highlight w:val="yellow"/>
          <w:bdr w:val="single" w:sz="4" w:space="0" w:color="auto"/>
        </w:rPr>
        <w:t>（</w:t>
      </w:r>
      <w:r w:rsidR="0073450B" w:rsidRPr="0073450B">
        <w:rPr>
          <w:rFonts w:ascii="Times New Roman" w:hAnsi="Times New Roman" w:hint="eastAsia"/>
          <w:b/>
          <w:color w:val="FF0000"/>
          <w:sz w:val="20"/>
          <w:szCs w:val="20"/>
          <w:highlight w:val="yellow"/>
          <w:bdr w:val="single" w:sz="4" w:space="0" w:color="auto"/>
        </w:rPr>
        <w:t>2</w:t>
      </w:r>
      <w:r w:rsidRPr="0073450B">
        <w:rPr>
          <w:rFonts w:ascii="Times New Roman" w:hAnsi="Times New Roman" w:hint="eastAsia"/>
          <w:b/>
          <w:color w:val="FF0000"/>
          <w:sz w:val="20"/>
          <w:szCs w:val="20"/>
          <w:highlight w:val="yellow"/>
          <w:bdr w:val="single" w:sz="4" w:space="0" w:color="auto"/>
        </w:rPr>
        <w:t>）</w:t>
      </w:r>
      <w:r w:rsidR="0073450B" w:rsidRPr="0073450B">
        <w:rPr>
          <w:rFonts w:ascii="Times New Roman" w:hAnsi="Times New Roman" w:hint="eastAsia"/>
          <w:b/>
          <w:color w:val="FF0000"/>
          <w:sz w:val="20"/>
          <w:szCs w:val="20"/>
          <w:highlight w:val="yellow"/>
          <w:bdr w:val="single" w:sz="4" w:space="0" w:color="auto"/>
        </w:rPr>
        <w:t>約俗成別性</w:t>
      </w:r>
      <w:r w:rsidRPr="00DA3BC7">
        <w:rPr>
          <w:rFonts w:ascii="Times New Roman" w:hAnsi="Times New Roman" w:hint="eastAsia"/>
          <w:sz w:val="20"/>
          <w:szCs w:val="20"/>
        </w:rPr>
        <w:t>（</w:t>
      </w:r>
      <w:r w:rsidRPr="00DA3BC7">
        <w:rPr>
          <w:rFonts w:ascii="Times New Roman" w:hAnsi="Times New Roman" w:hint="eastAsia"/>
          <w:sz w:val="20"/>
          <w:szCs w:val="20"/>
        </w:rPr>
        <w:t>p.153</w:t>
      </w:r>
      <w:r w:rsidRPr="00DA3BC7">
        <w:rPr>
          <w:rFonts w:ascii="Times New Roman" w:hAnsi="Times New Roman" w:hint="eastAsia"/>
          <w:sz w:val="20"/>
          <w:szCs w:val="20"/>
        </w:rPr>
        <w:t>）</w:t>
      </w:r>
    </w:p>
    <w:p w:rsidR="00AA120F" w:rsidRPr="00DA3BC7" w:rsidRDefault="00AA120F" w:rsidP="00D41C1A">
      <w:pPr>
        <w:ind w:leftChars="250" w:left="600"/>
        <w:jc w:val="both"/>
        <w:rPr>
          <w:rFonts w:ascii="Times New Roman" w:hAnsi="Times New Roman"/>
        </w:rPr>
      </w:pPr>
      <w:r w:rsidRPr="00DA3BC7">
        <w:rPr>
          <w:rFonts w:ascii="Times New Roman" w:hAnsi="Times New Roman" w:hint="eastAsia"/>
        </w:rPr>
        <w:t>但</w:t>
      </w:r>
      <w:r w:rsidRPr="00DA3BC7">
        <w:rPr>
          <w:rFonts w:ascii="Times New Roman" w:hAnsi="Times New Roman" w:hint="eastAsia"/>
          <w:b/>
        </w:rPr>
        <w:t>中觀者</w:t>
      </w:r>
      <w:r w:rsidRPr="00DA3BC7">
        <w:rPr>
          <w:rFonts w:ascii="Times New Roman" w:hAnsi="Times New Roman" w:hint="eastAsia"/>
        </w:rPr>
        <w:t>在世俗諦中，非不承認有相對的特性。如</w:t>
      </w:r>
      <w:r w:rsidRPr="007C72AD">
        <w:rPr>
          <w:rFonts w:ascii="Times New Roman" w:hAnsi="Times New Roman" w:hint="eastAsia"/>
          <w:u w:val="wave" w:color="C00000"/>
        </w:rPr>
        <w:t>根</w:t>
      </w:r>
      <w:r w:rsidRPr="00DA3BC7">
        <w:rPr>
          <w:rFonts w:ascii="Times New Roman" w:hAnsi="Times New Roman" w:hint="eastAsia"/>
        </w:rPr>
        <w:t>、</w:t>
      </w:r>
      <w:r w:rsidRPr="007C72AD">
        <w:rPr>
          <w:rFonts w:ascii="Times New Roman" w:hAnsi="Times New Roman" w:hint="eastAsia"/>
          <w:u w:val="wave" w:color="C00000"/>
        </w:rPr>
        <w:t>塵</w:t>
      </w:r>
      <w:r w:rsidRPr="00DA3BC7">
        <w:rPr>
          <w:rFonts w:ascii="Times New Roman" w:hAnsi="Times New Roman" w:hint="eastAsia"/>
        </w:rPr>
        <w:t>、</w:t>
      </w:r>
      <w:r w:rsidRPr="007C72AD">
        <w:rPr>
          <w:rFonts w:ascii="Times New Roman" w:hAnsi="Times New Roman" w:hint="eastAsia"/>
          <w:u w:val="wave" w:color="C00000"/>
        </w:rPr>
        <w:t>識</w:t>
      </w:r>
      <w:r w:rsidRPr="00DA3BC7">
        <w:rPr>
          <w:rFonts w:ascii="Times New Roman" w:hAnsi="Times New Roman" w:hint="eastAsia"/>
        </w:rPr>
        <w:t>三法（主要的因緣）合時有見事，缺一則不成為見，見是緣起的作用。</w:t>
      </w:r>
    </w:p>
    <w:p w:rsidR="0073450B" w:rsidRDefault="00AA120F" w:rsidP="00AE3920">
      <w:pPr>
        <w:spacing w:beforeLines="20"/>
        <w:ind w:leftChars="250" w:left="600"/>
        <w:jc w:val="both"/>
        <w:rPr>
          <w:rFonts w:ascii="Times New Roman" w:hAnsi="Times New Roman"/>
        </w:rPr>
      </w:pPr>
      <w:r w:rsidRPr="00DA3BC7">
        <w:rPr>
          <w:rFonts w:ascii="Times New Roman" w:hAnsi="Times New Roman" w:hint="eastAsia"/>
        </w:rPr>
        <w:t>然而，從主要的、特勝的觀點說：見後而分別，這是識的──其實分別</w:t>
      </w:r>
      <w:r w:rsidRPr="00DA3BC7">
        <w:rPr>
          <w:rFonts w:ascii="Times New Roman" w:hAnsi="Times New Roman" w:hint="eastAsia"/>
        </w:rPr>
        <w:lastRenderedPageBreak/>
        <w:t>也是緣起的自性；</w:t>
      </w:r>
      <w:r w:rsidRPr="00DA3BC7">
        <w:rPr>
          <w:rFonts w:ascii="Times New Roman" w:hAnsi="Times New Roman" w:hint="eastAsia"/>
          <w:b/>
        </w:rPr>
        <w:t>所見所了</w:t>
      </w:r>
      <w:r w:rsidRPr="00DA3BC7">
        <w:rPr>
          <w:rFonts w:ascii="Times New Roman" w:hAnsi="Times New Roman" w:hint="eastAsia"/>
        </w:rPr>
        <w:t>的山水人物所以如此，可以說是對象──</w:t>
      </w:r>
      <w:r w:rsidRPr="00DA3BC7">
        <w:rPr>
          <w:rFonts w:ascii="Times New Roman" w:hAnsi="Times New Roman" w:hint="eastAsia"/>
          <w:b/>
        </w:rPr>
        <w:t>色的自性</w:t>
      </w:r>
      <w:r w:rsidRPr="00DA3BC7">
        <w:rPr>
          <w:rFonts w:ascii="Times New Roman" w:hAnsi="Times New Roman" w:hint="eastAsia"/>
        </w:rPr>
        <w:t>。</w:t>
      </w:r>
      <w:r w:rsidRPr="00DA3BC7">
        <w:rPr>
          <w:rFonts w:ascii="Times New Roman" w:hAnsi="Times New Roman" w:hint="eastAsia"/>
          <w:b/>
        </w:rPr>
        <w:t>能見色</w:t>
      </w:r>
      <w:r w:rsidRPr="00DA3BC7">
        <w:rPr>
          <w:rFonts w:ascii="Times New Roman" w:hAnsi="Times New Roman" w:hint="eastAsia"/>
        </w:rPr>
        <w:t>而能引起了別，這可以說</w:t>
      </w:r>
      <w:r w:rsidRPr="00DA3BC7">
        <w:rPr>
          <w:rFonts w:ascii="Times New Roman" w:hAnsi="Times New Roman" w:hint="eastAsia"/>
          <w:b/>
        </w:rPr>
        <w:t>眼的自性</w:t>
      </w:r>
      <w:r w:rsidRPr="00DA3BC7">
        <w:rPr>
          <w:rFonts w:ascii="Times New Roman" w:hAnsi="Times New Roman" w:hint="eastAsia"/>
        </w:rPr>
        <w:t>。這樣的</w:t>
      </w:r>
      <w:r w:rsidRPr="00DA3BC7">
        <w:rPr>
          <w:rFonts w:ascii="Times New Roman" w:hAnsi="Times New Roman" w:hint="eastAsia"/>
          <w:b/>
        </w:rPr>
        <w:t>相對的自性</w:t>
      </w:r>
      <w:r w:rsidRPr="00DA3BC7">
        <w:rPr>
          <w:rFonts w:ascii="Times New Roman" w:hAnsi="Times New Roman" w:hint="eastAsia"/>
        </w:rPr>
        <w:t>，是緣起的，是極無自性的。</w:t>
      </w:r>
    </w:p>
    <w:p w:rsidR="0073450B" w:rsidRDefault="0073450B" w:rsidP="00AE3920">
      <w:pPr>
        <w:spacing w:beforeLines="30"/>
        <w:ind w:leftChars="150" w:left="360"/>
        <w:jc w:val="both"/>
        <w:rPr>
          <w:rFonts w:ascii="Times New Roman" w:hAnsi="Times New Roman"/>
          <w:sz w:val="20"/>
          <w:szCs w:val="20"/>
        </w:rPr>
      </w:pPr>
      <w:r w:rsidRPr="00A6163F">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二</w:t>
      </w:r>
      <w:r w:rsidRPr="00A6163F">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辨「共相」</w:t>
      </w:r>
      <w:r w:rsidRPr="00DA3BC7">
        <w:rPr>
          <w:rFonts w:ascii="Times New Roman" w:hAnsi="Times New Roman" w:hint="eastAsia"/>
          <w:sz w:val="20"/>
          <w:szCs w:val="20"/>
        </w:rPr>
        <w:t>（</w:t>
      </w:r>
      <w:r w:rsidRPr="00DA3BC7">
        <w:rPr>
          <w:rFonts w:ascii="Times New Roman" w:hAnsi="Times New Roman" w:hint="eastAsia"/>
          <w:sz w:val="20"/>
          <w:szCs w:val="20"/>
        </w:rPr>
        <w:t>pp.1</w:t>
      </w:r>
      <w:r>
        <w:rPr>
          <w:rFonts w:ascii="Times New Roman" w:hAnsi="Times New Roman" w:hint="eastAsia"/>
          <w:sz w:val="20"/>
          <w:szCs w:val="20"/>
        </w:rPr>
        <w:t>53-154</w:t>
      </w:r>
      <w:r w:rsidRPr="00DA3BC7">
        <w:rPr>
          <w:rFonts w:ascii="Times New Roman" w:hAnsi="Times New Roman" w:hint="eastAsia"/>
          <w:sz w:val="20"/>
          <w:szCs w:val="20"/>
        </w:rPr>
        <w:t>）</w:t>
      </w:r>
    </w:p>
    <w:p w:rsidR="0073450B" w:rsidRDefault="0073450B" w:rsidP="00D41C1A">
      <w:pPr>
        <w:ind w:leftChars="150" w:left="360"/>
        <w:jc w:val="both"/>
        <w:rPr>
          <w:rFonts w:ascii="Times New Roman" w:hAnsi="Times New Roman"/>
          <w:b/>
          <w:color w:val="FF0000"/>
          <w:sz w:val="20"/>
          <w:szCs w:val="20"/>
          <w:highlight w:val="yellow"/>
          <w:bdr w:val="single" w:sz="4" w:space="0" w:color="auto"/>
        </w:rPr>
      </w:pPr>
      <w:r w:rsidRPr="00DA3BC7">
        <w:rPr>
          <w:rFonts w:ascii="Times New Roman" w:hAnsi="Times New Roman" w:hint="eastAsia"/>
          <w:b/>
        </w:rPr>
        <w:t>自性</w:t>
      </w:r>
      <w:r w:rsidRPr="00DA3BC7">
        <w:rPr>
          <w:rFonts w:ascii="Times New Roman" w:hAnsi="Times New Roman" w:hint="eastAsia"/>
        </w:rPr>
        <w:t>既指</w:t>
      </w:r>
      <w:r w:rsidRPr="00DA3BC7">
        <w:rPr>
          <w:rFonts w:ascii="Times New Roman" w:hAnsi="Times New Roman" w:hint="eastAsia"/>
          <w:b/>
        </w:rPr>
        <w:t>一一法的特性</w:t>
      </w:r>
      <w:r w:rsidRPr="00DA3BC7">
        <w:rPr>
          <w:rFonts w:ascii="Times New Roman" w:hAnsi="Times New Roman" w:hint="eastAsia"/>
        </w:rPr>
        <w:t>，</w:t>
      </w:r>
      <w:r w:rsidRPr="00DA3BC7">
        <w:rPr>
          <w:rFonts w:ascii="Times New Roman" w:hAnsi="Times New Roman" w:hint="eastAsia"/>
          <w:b/>
        </w:rPr>
        <w:t>共相</w:t>
      </w:r>
      <w:r w:rsidRPr="00DA3BC7">
        <w:rPr>
          <w:rFonts w:ascii="Times New Roman" w:hAnsi="Times New Roman" w:hint="eastAsia"/>
        </w:rPr>
        <w:t>即指</w:t>
      </w:r>
      <w:r w:rsidRPr="00DA3BC7">
        <w:rPr>
          <w:rFonts w:ascii="Times New Roman" w:hAnsi="Times New Roman" w:hint="eastAsia"/>
          <w:b/>
        </w:rPr>
        <w:t>一一法上所共通的</w:t>
      </w:r>
      <w:r w:rsidRPr="00DA3BC7">
        <w:rPr>
          <w:rFonts w:ascii="Times New Roman" w:hAnsi="Times New Roman" w:hint="eastAsia"/>
        </w:rPr>
        <w:t>。如說無常，不僅此燈是無常，一切有為法莫不是無常的，即通於生滅的諸行。無常如是，無我也如是。</w:t>
      </w:r>
    </w:p>
    <w:p w:rsidR="00AA120F" w:rsidRPr="00DA3BC7" w:rsidRDefault="0073450B" w:rsidP="00AE3920">
      <w:pPr>
        <w:spacing w:beforeLines="30"/>
        <w:ind w:leftChars="200" w:left="480"/>
        <w:jc w:val="both"/>
        <w:rPr>
          <w:rFonts w:ascii="新細明體" w:hAnsi="新細明體"/>
          <w:b/>
          <w:sz w:val="20"/>
          <w:szCs w:val="20"/>
          <w:bdr w:val="single" w:sz="4" w:space="0" w:color="auto"/>
        </w:rPr>
      </w:pPr>
      <w:r>
        <w:rPr>
          <w:rFonts w:ascii="Times New Roman" w:hAnsi="Times New Roman" w:hint="eastAsia"/>
          <w:b/>
          <w:color w:val="FF0000"/>
          <w:sz w:val="20"/>
          <w:szCs w:val="20"/>
          <w:highlight w:val="yellow"/>
          <w:bdr w:val="single" w:sz="4" w:space="0" w:color="auto"/>
        </w:rPr>
        <w:t>1</w:t>
      </w:r>
      <w:r>
        <w:rPr>
          <w:rFonts w:ascii="Times New Roman" w:hAnsi="Times New Roman" w:hint="eastAsia"/>
          <w:b/>
          <w:color w:val="FF0000"/>
          <w:sz w:val="20"/>
          <w:szCs w:val="20"/>
          <w:highlight w:val="yellow"/>
          <w:bdr w:val="single" w:sz="4" w:space="0" w:color="auto"/>
        </w:rPr>
        <w:t>、部派論師之說</w:t>
      </w:r>
      <w:r w:rsidRPr="00DA3BC7">
        <w:rPr>
          <w:rFonts w:ascii="Times New Roman" w:hAnsi="Times New Roman" w:hint="eastAsia"/>
          <w:sz w:val="20"/>
          <w:szCs w:val="20"/>
        </w:rPr>
        <w:t>（</w:t>
      </w:r>
      <w:r w:rsidRPr="00DA3BC7">
        <w:rPr>
          <w:rFonts w:ascii="Times New Roman" w:hAnsi="Times New Roman" w:hint="eastAsia"/>
          <w:sz w:val="20"/>
          <w:szCs w:val="20"/>
        </w:rPr>
        <w:t>pp.1</w:t>
      </w:r>
      <w:r>
        <w:rPr>
          <w:rFonts w:ascii="Times New Roman" w:hAnsi="Times New Roman" w:hint="eastAsia"/>
          <w:sz w:val="20"/>
          <w:szCs w:val="20"/>
        </w:rPr>
        <w:t>53-154</w:t>
      </w:r>
      <w:r w:rsidRPr="00DA3BC7">
        <w:rPr>
          <w:rFonts w:ascii="Times New Roman" w:hAnsi="Times New Roman" w:hint="eastAsia"/>
          <w:sz w:val="20"/>
          <w:szCs w:val="20"/>
        </w:rPr>
        <w:t>）</w:t>
      </w:r>
    </w:p>
    <w:p w:rsidR="00AA120F" w:rsidRPr="00DA3BC7" w:rsidRDefault="00AA120F" w:rsidP="00D41C1A">
      <w:pPr>
        <w:ind w:leftChars="200" w:left="480"/>
        <w:jc w:val="both"/>
        <w:rPr>
          <w:rFonts w:ascii="Times New Roman" w:hAnsi="Times New Roman"/>
        </w:rPr>
      </w:pPr>
      <w:r w:rsidRPr="00DA3BC7">
        <w:rPr>
          <w:rFonts w:ascii="Times New Roman" w:hAnsi="Times New Roman" w:hint="eastAsia"/>
          <w:b/>
        </w:rPr>
        <w:t>阿毘曇論師的解說</w:t>
      </w:r>
      <w:r w:rsidRPr="00DA3BC7">
        <w:rPr>
          <w:rFonts w:ascii="Times New Roman" w:hAnsi="Times New Roman" w:hint="eastAsia"/>
        </w:rPr>
        <w:t>：</w:t>
      </w:r>
    </w:p>
    <w:p w:rsidR="00AA120F" w:rsidRPr="00DA3BC7" w:rsidRDefault="00AA120F" w:rsidP="00D41C1A">
      <w:pPr>
        <w:ind w:leftChars="200" w:left="480"/>
        <w:jc w:val="both"/>
        <w:rPr>
          <w:rFonts w:ascii="Times New Roman" w:hAnsi="Times New Roman"/>
        </w:rPr>
      </w:pPr>
      <w:r w:rsidRPr="00DA3BC7">
        <w:rPr>
          <w:rFonts w:ascii="Times New Roman" w:hAnsi="Times New Roman" w:hint="eastAsia"/>
        </w:rPr>
        <w:t>一一法的特殊性，不失自相的，名為</w:t>
      </w:r>
      <w:r w:rsidRPr="00DA3BC7">
        <w:rPr>
          <w:rFonts w:ascii="Times New Roman" w:hAnsi="Times New Roman" w:hint="eastAsia"/>
          <w:b/>
        </w:rPr>
        <w:t>自性</w:t>
      </w:r>
      <w:r w:rsidRPr="00DA3BC7">
        <w:rPr>
          <w:rFonts w:ascii="Times New Roman" w:hAnsi="Times New Roman" w:hint="eastAsia"/>
        </w:rPr>
        <w:t>；</w:t>
      </w:r>
    </w:p>
    <w:p w:rsidR="00AA120F" w:rsidRPr="00DA3BC7" w:rsidRDefault="00AA120F" w:rsidP="00D41C1A">
      <w:pPr>
        <w:ind w:leftChars="200" w:left="480"/>
        <w:jc w:val="both"/>
        <w:rPr>
          <w:rFonts w:ascii="Times New Roman" w:hAnsi="Times New Roman"/>
        </w:rPr>
      </w:pPr>
      <w:r w:rsidRPr="00DA3BC7">
        <w:rPr>
          <w:rFonts w:ascii="Times New Roman" w:hAnsi="Times New Roman" w:hint="eastAsia"/>
        </w:rPr>
        <w:t>在觀察時，可適用而遍通到一切法（或一部分），立名為</w:t>
      </w:r>
      <w:r w:rsidRPr="00DA3BC7">
        <w:rPr>
          <w:rFonts w:ascii="Times New Roman" w:hAnsi="Times New Roman" w:hint="eastAsia"/>
          <w:b/>
        </w:rPr>
        <w:t>共相</w:t>
      </w:r>
      <w:r w:rsidRPr="00DA3BC7">
        <w:rPr>
          <w:rFonts w:ascii="Times New Roman" w:hAnsi="Times New Roman" w:hint="eastAsia"/>
        </w:rPr>
        <w:t>。如可</w:t>
      </w:r>
      <w:r w:rsidRPr="007C72AD">
        <w:rPr>
          <w:rFonts w:ascii="Times New Roman" w:hAnsi="Times New Roman" w:hint="eastAsia"/>
          <w:highlight w:val="yellow"/>
        </w:rPr>
        <w:t>見不</w:t>
      </w:r>
      <w:r w:rsidRPr="00DA3BC7">
        <w:rPr>
          <w:rFonts w:ascii="Times New Roman" w:hAnsi="Times New Roman" w:hint="eastAsia"/>
        </w:rPr>
        <w:t>可見</w:t>
      </w:r>
      <w:r w:rsidR="007C72AD">
        <w:rPr>
          <w:rFonts w:ascii="Times New Roman" w:hAnsi="Times New Roman" w:hint="eastAsia"/>
          <w:color w:val="FF0000"/>
          <w:highlight w:val="yellow"/>
        </w:rPr>
        <w:t>、</w:t>
      </w:r>
      <w:r w:rsidRPr="00DA3BC7">
        <w:rPr>
          <w:rFonts w:ascii="Times New Roman" w:hAnsi="Times New Roman" w:hint="eastAsia"/>
        </w:rPr>
        <w:t>有</w:t>
      </w:r>
      <w:r w:rsidRPr="007C72AD">
        <w:rPr>
          <w:rFonts w:ascii="Times New Roman" w:hAnsi="Times New Roman" w:hint="eastAsia"/>
          <w:highlight w:val="yellow"/>
        </w:rPr>
        <w:t>對無</w:t>
      </w:r>
      <w:r w:rsidRPr="00DA3BC7">
        <w:rPr>
          <w:rFonts w:ascii="Times New Roman" w:hAnsi="Times New Roman" w:hint="eastAsia"/>
        </w:rPr>
        <w:t>對</w:t>
      </w:r>
      <w:r w:rsidR="007C72AD">
        <w:rPr>
          <w:rFonts w:ascii="Times New Roman" w:hAnsi="Times New Roman" w:hint="eastAsia"/>
          <w:color w:val="FF0000"/>
          <w:highlight w:val="yellow"/>
        </w:rPr>
        <w:t>、</w:t>
      </w:r>
      <w:r w:rsidRPr="00DA3BC7">
        <w:rPr>
          <w:rFonts w:ascii="Times New Roman" w:hAnsi="Times New Roman" w:hint="eastAsia"/>
        </w:rPr>
        <w:t>有</w:t>
      </w:r>
      <w:r w:rsidRPr="007C72AD">
        <w:rPr>
          <w:rFonts w:ascii="Times New Roman" w:hAnsi="Times New Roman" w:hint="eastAsia"/>
          <w:highlight w:val="yellow"/>
        </w:rPr>
        <w:t>漏無</w:t>
      </w:r>
      <w:r w:rsidRPr="00DA3BC7">
        <w:rPr>
          <w:rFonts w:ascii="Times New Roman" w:hAnsi="Times New Roman" w:hint="eastAsia"/>
        </w:rPr>
        <w:t>漏</w:t>
      </w:r>
      <w:r w:rsidR="007C72AD">
        <w:rPr>
          <w:rFonts w:ascii="Times New Roman" w:hAnsi="Times New Roman" w:hint="eastAsia"/>
          <w:color w:val="FF0000"/>
          <w:highlight w:val="yellow"/>
        </w:rPr>
        <w:t>、</w:t>
      </w:r>
      <w:r w:rsidRPr="00DA3BC7">
        <w:rPr>
          <w:rFonts w:ascii="Times New Roman" w:hAnsi="Times New Roman" w:hint="eastAsia"/>
        </w:rPr>
        <w:t>有</w:t>
      </w:r>
      <w:r w:rsidRPr="007C72AD">
        <w:rPr>
          <w:rFonts w:ascii="Times New Roman" w:hAnsi="Times New Roman" w:hint="eastAsia"/>
          <w:highlight w:val="yellow"/>
        </w:rPr>
        <w:t>為無</w:t>
      </w:r>
      <w:r w:rsidRPr="00DA3BC7">
        <w:rPr>
          <w:rFonts w:ascii="Times New Roman" w:hAnsi="Times New Roman" w:hint="eastAsia"/>
        </w:rPr>
        <w:t>為等，皆是共相。</w:t>
      </w:r>
    </w:p>
    <w:p w:rsidR="00AA120F" w:rsidRPr="00DA3BC7" w:rsidRDefault="00AA120F" w:rsidP="00AE3920">
      <w:pPr>
        <w:spacing w:beforeLines="20"/>
        <w:ind w:leftChars="200" w:left="480"/>
        <w:jc w:val="both"/>
        <w:rPr>
          <w:rFonts w:ascii="Times New Roman" w:hAnsi="Times New Roman"/>
        </w:rPr>
      </w:pPr>
      <w:r w:rsidRPr="00DA3BC7">
        <w:rPr>
          <w:rFonts w:ascii="Times New Roman" w:hAnsi="Times New Roman" w:hint="eastAsia"/>
        </w:rPr>
        <w:t>《品類足論》</w:t>
      </w:r>
      <w:r w:rsidR="007C0FB1">
        <w:rPr>
          <w:rFonts w:ascii="Times New Roman" w:hAnsi="Times New Roman" w:hint="eastAsia"/>
        </w:rPr>
        <w:t>〈</w:t>
      </w:r>
      <w:r w:rsidR="007C0FB1" w:rsidRPr="00DA3BC7">
        <w:rPr>
          <w:rFonts w:hint="eastAsia"/>
          <w:kern w:val="0"/>
        </w:rPr>
        <w:t>辯</w:t>
      </w:r>
      <w:r w:rsidR="007C0FB1" w:rsidRPr="00DA3BC7">
        <w:rPr>
          <w:rFonts w:ascii="Times New Roman" w:hAnsi="Times New Roman" w:hint="eastAsia"/>
        </w:rPr>
        <w:t>千問品</w:t>
      </w:r>
      <w:r w:rsidR="007C0FB1">
        <w:rPr>
          <w:rFonts w:ascii="Times New Roman" w:hAnsi="Times New Roman" w:hint="eastAsia"/>
        </w:rPr>
        <w:t>〉</w:t>
      </w:r>
      <w:r w:rsidRPr="00DA3BC7">
        <w:rPr>
          <w:rFonts w:ascii="Times New Roman" w:hAnsi="Times New Roman"/>
          <w:vertAlign w:val="superscript"/>
        </w:rPr>
        <w:footnoteReference w:id="720"/>
      </w:r>
      <w:r w:rsidRPr="00DA3BC7">
        <w:rPr>
          <w:rFonts w:ascii="Times New Roman" w:hAnsi="Times New Roman" w:hint="eastAsia"/>
        </w:rPr>
        <w:t>中，列有二十個論題，每個論題都以五十種問答，即是共相的觀察。論中的諸門分別，也是共相觀。在許多共相中，如諸行無常、諸法無我等，尤為佛弟子重視的共相，因為觀此才能得解脫。</w:t>
      </w:r>
    </w:p>
    <w:p w:rsidR="00AA120F" w:rsidRPr="00DA3BC7" w:rsidRDefault="0073450B" w:rsidP="00AE3920">
      <w:pPr>
        <w:spacing w:beforeLines="30"/>
        <w:ind w:leftChars="200" w:left="480"/>
        <w:jc w:val="both"/>
        <w:rPr>
          <w:rFonts w:ascii="新細明體" w:hAnsi="新細明體"/>
          <w:sz w:val="20"/>
          <w:szCs w:val="20"/>
          <w:bdr w:val="single" w:sz="4" w:space="0" w:color="auto"/>
        </w:rPr>
      </w:pPr>
      <w:r w:rsidRPr="0073450B">
        <w:rPr>
          <w:rFonts w:ascii="Times New Roman" w:hAnsi="Times New Roman" w:hint="eastAsia"/>
          <w:b/>
          <w:color w:val="FF0000"/>
          <w:sz w:val="20"/>
          <w:szCs w:val="20"/>
          <w:highlight w:val="yellow"/>
          <w:bdr w:val="single" w:sz="4" w:space="0" w:color="auto"/>
        </w:rPr>
        <w:t>2</w:t>
      </w:r>
      <w:r w:rsidR="00AA120F" w:rsidRPr="0073450B">
        <w:rPr>
          <w:rFonts w:ascii="Times New Roman" w:hAnsi="Times New Roman" w:hint="eastAsia"/>
          <w:b/>
          <w:color w:val="FF0000"/>
          <w:sz w:val="20"/>
          <w:szCs w:val="20"/>
          <w:highlight w:val="yellow"/>
          <w:bdr w:val="single" w:sz="4" w:space="0" w:color="auto"/>
        </w:rPr>
        <w:t>、</w:t>
      </w:r>
      <w:r w:rsidR="00AA120F" w:rsidRPr="00DA3BC7">
        <w:rPr>
          <w:rFonts w:ascii="新細明體" w:hAnsi="新細明體" w:hint="eastAsia"/>
          <w:b/>
          <w:sz w:val="20"/>
          <w:szCs w:val="20"/>
          <w:bdr w:val="single" w:sz="4" w:space="0" w:color="auto"/>
        </w:rPr>
        <w:t>西洋人之看法</w:t>
      </w:r>
      <w:r w:rsidR="00AA120F" w:rsidRPr="00DA3BC7">
        <w:rPr>
          <w:rFonts w:ascii="Times New Roman" w:hAnsi="Times New Roman"/>
          <w:sz w:val="20"/>
          <w:szCs w:val="20"/>
        </w:rPr>
        <w:t>（</w:t>
      </w:r>
      <w:r w:rsidR="00AA120F" w:rsidRPr="00DA3BC7">
        <w:rPr>
          <w:rFonts w:ascii="Times New Roman" w:hAnsi="Times New Roman"/>
          <w:sz w:val="20"/>
          <w:szCs w:val="20"/>
        </w:rPr>
        <w:t>p.154</w:t>
      </w:r>
      <w:r w:rsidR="00AA120F" w:rsidRPr="00DA3BC7">
        <w:rPr>
          <w:rFonts w:ascii="Times New Roman" w:hAnsi="Times New Roman"/>
          <w:sz w:val="20"/>
          <w:szCs w:val="20"/>
        </w:rPr>
        <w:t>）</w:t>
      </w:r>
    </w:p>
    <w:p w:rsidR="00AA120F" w:rsidRPr="00DA3BC7" w:rsidRDefault="00AA120F" w:rsidP="00D41C1A">
      <w:pPr>
        <w:ind w:leftChars="200" w:left="480"/>
        <w:jc w:val="both"/>
        <w:rPr>
          <w:rFonts w:ascii="新細明體" w:hAnsi="新細明體"/>
        </w:rPr>
      </w:pPr>
      <w:r w:rsidRPr="00DA3BC7">
        <w:rPr>
          <w:rFonts w:ascii="新細明體" w:hAnsi="新細明體" w:hint="eastAsia"/>
        </w:rPr>
        <w:t>此「共相」，西人曾有二種說法：</w:t>
      </w:r>
    </w:p>
    <w:p w:rsidR="00AA120F" w:rsidRPr="00DA3BC7" w:rsidRDefault="00AA120F" w:rsidP="00D41C1A">
      <w:pPr>
        <w:ind w:leftChars="200" w:left="480"/>
        <w:jc w:val="both"/>
        <w:rPr>
          <w:rFonts w:ascii="新細明體" w:hAnsi="新細明體"/>
        </w:rPr>
      </w:pPr>
      <w:r w:rsidRPr="00DA3BC7">
        <w:rPr>
          <w:rFonts w:ascii="新細明體" w:hAnsi="新細明體" w:hint="eastAsia"/>
        </w:rPr>
        <w:t>有以為共相並沒有共相之為物，僅是</w:t>
      </w:r>
      <w:r w:rsidRPr="00DA3BC7">
        <w:rPr>
          <w:rFonts w:ascii="新細明體" w:hAnsi="新細明體" w:hint="eastAsia"/>
          <w:b/>
        </w:rPr>
        <w:t>抽象的、意識上概括</w:t>
      </w:r>
      <w:r w:rsidRPr="00DA3BC7">
        <w:rPr>
          <w:rStyle w:val="a6"/>
          <w:rFonts w:ascii="Times New Roman" w:hAnsi="Times New Roman"/>
        </w:rPr>
        <w:footnoteReference w:id="721"/>
      </w:r>
      <w:r w:rsidRPr="00DA3BC7">
        <w:rPr>
          <w:rFonts w:ascii="新細明體" w:hAnsi="新細明體" w:hint="eastAsia"/>
          <w:b/>
        </w:rPr>
        <w:t>的類概念</w:t>
      </w:r>
      <w:r w:rsidRPr="00DA3BC7">
        <w:rPr>
          <w:rFonts w:ascii="新細明體" w:hAnsi="新細明體" w:hint="eastAsia"/>
        </w:rPr>
        <w:t>。</w:t>
      </w:r>
    </w:p>
    <w:p w:rsidR="00AA120F" w:rsidRPr="00DA3BC7" w:rsidRDefault="00AA120F" w:rsidP="00D41C1A">
      <w:pPr>
        <w:ind w:leftChars="200" w:left="480"/>
        <w:jc w:val="both"/>
        <w:rPr>
          <w:rFonts w:ascii="新細明體" w:hAnsi="新細明體"/>
        </w:rPr>
      </w:pPr>
      <w:r w:rsidRPr="00DA3BC7">
        <w:rPr>
          <w:rFonts w:ascii="新細明體" w:hAnsi="新細明體" w:hint="eastAsia"/>
        </w:rPr>
        <w:t>有以為這是</w:t>
      </w:r>
      <w:r w:rsidRPr="00DA3BC7">
        <w:rPr>
          <w:rFonts w:ascii="新細明體" w:hAnsi="新細明體" w:hint="eastAsia"/>
          <w:b/>
        </w:rPr>
        <w:t>諸法的理型，比具體的確實</w:t>
      </w:r>
      <w:r w:rsidRPr="00DA3BC7">
        <w:rPr>
          <w:rFonts w:ascii="新細明體" w:hAnsi="新細明體" w:hint="eastAsia"/>
        </w:rPr>
        <w:t>，具體的即依據此理型而實現的。</w:t>
      </w:r>
    </w:p>
    <w:p w:rsidR="00AA120F" w:rsidRPr="00DA3BC7" w:rsidRDefault="0073450B" w:rsidP="00AE3920">
      <w:pPr>
        <w:spacing w:beforeLines="30"/>
        <w:ind w:leftChars="200" w:left="480"/>
        <w:jc w:val="both"/>
        <w:rPr>
          <w:rFonts w:ascii="新細明體" w:hAnsi="新細明體"/>
          <w:b/>
          <w:sz w:val="20"/>
          <w:szCs w:val="20"/>
          <w:bdr w:val="single" w:sz="4" w:space="0" w:color="auto"/>
        </w:rPr>
      </w:pPr>
      <w:r w:rsidRPr="0073450B">
        <w:rPr>
          <w:rFonts w:ascii="Times New Roman" w:hAnsi="Times New Roman" w:hint="eastAsia"/>
          <w:b/>
          <w:color w:val="FF0000"/>
          <w:sz w:val="20"/>
          <w:szCs w:val="20"/>
          <w:highlight w:val="yellow"/>
          <w:bdr w:val="single" w:sz="4" w:space="0" w:color="auto"/>
        </w:rPr>
        <w:t>3</w:t>
      </w:r>
      <w:r w:rsidRPr="0073450B">
        <w:rPr>
          <w:rFonts w:ascii="Times New Roman" w:hAnsi="Times New Roman" w:hint="eastAsia"/>
          <w:b/>
          <w:color w:val="FF0000"/>
          <w:sz w:val="20"/>
          <w:szCs w:val="20"/>
          <w:highlight w:val="yellow"/>
          <w:bdr w:val="single" w:sz="4" w:space="0" w:color="auto"/>
        </w:rPr>
        <w:t>、</w:t>
      </w:r>
      <w:r w:rsidR="00AA120F" w:rsidRPr="0073450B">
        <w:rPr>
          <w:rFonts w:ascii="新細明體" w:hAnsi="新細明體" w:hint="eastAsia"/>
          <w:b/>
          <w:color w:val="FF0000"/>
          <w:sz w:val="20"/>
          <w:szCs w:val="20"/>
          <w:highlight w:val="yellow"/>
          <w:bdr w:val="single" w:sz="4" w:space="0" w:color="auto"/>
        </w:rPr>
        <w:t>佛</w:t>
      </w:r>
      <w:r w:rsidRPr="0073450B">
        <w:rPr>
          <w:rFonts w:ascii="新細明體" w:hAnsi="新細明體" w:hint="eastAsia"/>
          <w:b/>
          <w:color w:val="FF0000"/>
          <w:sz w:val="20"/>
          <w:szCs w:val="20"/>
          <w:highlight w:val="yellow"/>
          <w:bdr w:val="single" w:sz="4" w:space="0" w:color="auto"/>
        </w:rPr>
        <w:t>法</w:t>
      </w:r>
      <w:r w:rsidR="00AA120F" w:rsidRPr="0073450B">
        <w:rPr>
          <w:rFonts w:ascii="新細明體" w:hAnsi="新細明體" w:hint="eastAsia"/>
          <w:b/>
          <w:color w:val="FF0000"/>
          <w:sz w:val="20"/>
          <w:szCs w:val="20"/>
          <w:highlight w:val="yellow"/>
          <w:bdr w:val="single" w:sz="4" w:space="0" w:color="auto"/>
        </w:rPr>
        <w:t>之</w:t>
      </w:r>
      <w:r w:rsidRPr="0073450B">
        <w:rPr>
          <w:rFonts w:ascii="新細明體" w:hAnsi="新細明體" w:hint="eastAsia"/>
          <w:b/>
          <w:color w:val="FF0000"/>
          <w:sz w:val="20"/>
          <w:szCs w:val="20"/>
          <w:highlight w:val="yellow"/>
          <w:bdr w:val="single" w:sz="4" w:space="0" w:color="auto"/>
        </w:rPr>
        <w:t>正觀</w:t>
      </w:r>
      <w:r w:rsidR="00AA120F" w:rsidRPr="00DA3BC7">
        <w:rPr>
          <w:rFonts w:ascii="Times New Roman" w:hAnsi="Times New Roman"/>
          <w:sz w:val="20"/>
          <w:szCs w:val="20"/>
        </w:rPr>
        <w:t>（</w:t>
      </w:r>
      <w:r w:rsidR="00AA120F" w:rsidRPr="00DA3BC7">
        <w:rPr>
          <w:rFonts w:ascii="Times New Roman" w:hAnsi="Times New Roman"/>
          <w:sz w:val="20"/>
          <w:szCs w:val="20"/>
        </w:rPr>
        <w:t>p.154</w:t>
      </w:r>
      <w:r w:rsidR="00AA120F" w:rsidRPr="00DA3BC7">
        <w:rPr>
          <w:rFonts w:ascii="Times New Roman" w:hAnsi="Times New Roman"/>
          <w:sz w:val="20"/>
          <w:szCs w:val="20"/>
        </w:rPr>
        <w:t>）</w:t>
      </w:r>
    </w:p>
    <w:p w:rsidR="0073450B" w:rsidRDefault="00AA120F" w:rsidP="00D41C1A">
      <w:pPr>
        <w:ind w:leftChars="200" w:left="480"/>
        <w:jc w:val="both"/>
        <w:rPr>
          <w:rFonts w:ascii="新細明體" w:hAnsi="新細明體"/>
        </w:rPr>
      </w:pPr>
      <w:r w:rsidRPr="00DA3BC7">
        <w:rPr>
          <w:rFonts w:ascii="新細明體" w:hAnsi="新細明體" w:hint="eastAsia"/>
        </w:rPr>
        <w:t>依佛法說：</w:t>
      </w:r>
    </w:p>
    <w:p w:rsidR="0073450B" w:rsidRDefault="0073450B" w:rsidP="00D41C1A">
      <w:pPr>
        <w:ind w:leftChars="250" w:left="600"/>
        <w:jc w:val="both"/>
        <w:rPr>
          <w:rFonts w:ascii="Times New Roman" w:hAnsi="Times New Roman"/>
          <w:sz w:val="20"/>
          <w:szCs w:val="20"/>
        </w:rPr>
      </w:pPr>
      <w:r w:rsidRPr="00A6163F">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1</w:t>
      </w:r>
      <w:r w:rsidRPr="00A6163F">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依「二諦」明</w:t>
      </w:r>
      <w:r w:rsidRPr="00DA3BC7">
        <w:rPr>
          <w:rFonts w:ascii="Times New Roman" w:hAnsi="Times New Roman" w:hint="eastAsia"/>
          <w:sz w:val="20"/>
          <w:szCs w:val="20"/>
        </w:rPr>
        <w:t>（</w:t>
      </w:r>
      <w:r w:rsidRPr="00DA3BC7">
        <w:rPr>
          <w:rFonts w:ascii="Times New Roman" w:hAnsi="Times New Roman" w:hint="eastAsia"/>
          <w:sz w:val="20"/>
          <w:szCs w:val="20"/>
        </w:rPr>
        <w:t>p.1</w:t>
      </w:r>
      <w:r>
        <w:rPr>
          <w:rFonts w:ascii="Times New Roman" w:hAnsi="Times New Roman" w:hint="eastAsia"/>
          <w:sz w:val="20"/>
          <w:szCs w:val="20"/>
        </w:rPr>
        <w:t>5</w:t>
      </w:r>
      <w:r w:rsidRPr="00DA3BC7">
        <w:rPr>
          <w:rFonts w:ascii="Times New Roman" w:hAnsi="Times New Roman" w:hint="eastAsia"/>
          <w:sz w:val="20"/>
          <w:szCs w:val="20"/>
        </w:rPr>
        <w:t>4</w:t>
      </w:r>
      <w:r w:rsidRPr="00DA3BC7">
        <w:rPr>
          <w:rFonts w:ascii="Times New Roman" w:hAnsi="Times New Roman" w:hint="eastAsia"/>
          <w:sz w:val="20"/>
          <w:szCs w:val="20"/>
        </w:rPr>
        <w:t>）</w:t>
      </w:r>
    </w:p>
    <w:p w:rsidR="0073450B" w:rsidRDefault="0073450B" w:rsidP="00D41C1A">
      <w:pPr>
        <w:ind w:leftChars="300" w:left="720"/>
        <w:jc w:val="both"/>
        <w:rPr>
          <w:rFonts w:ascii="Times New Roman" w:hAnsi="Times New Roman"/>
          <w:sz w:val="20"/>
          <w:szCs w:val="20"/>
        </w:rPr>
      </w:pPr>
      <w:r w:rsidRPr="0073450B">
        <w:rPr>
          <w:rFonts w:ascii="Times New Roman" w:hAnsi="Times New Roman" w:hint="eastAsia"/>
          <w:b/>
          <w:color w:val="FF0000"/>
          <w:sz w:val="20"/>
          <w:szCs w:val="20"/>
          <w:highlight w:val="yellow"/>
          <w:bdr w:val="single" w:sz="4" w:space="0" w:color="auto"/>
        </w:rPr>
        <w:t>A</w:t>
      </w:r>
      <w:r w:rsidRPr="0073450B">
        <w:rPr>
          <w:rFonts w:ascii="Times New Roman" w:hAnsi="Times New Roman" w:hint="eastAsia"/>
          <w:b/>
          <w:color w:val="FF0000"/>
          <w:sz w:val="20"/>
          <w:szCs w:val="20"/>
          <w:highlight w:val="yellow"/>
          <w:bdr w:val="single" w:sz="4" w:space="0" w:color="auto"/>
        </w:rPr>
        <w:t>、約「勝義諦」</w:t>
      </w:r>
      <w:r w:rsidR="008E1E6F" w:rsidRPr="00DA3BC7">
        <w:rPr>
          <w:rFonts w:ascii="Times New Roman" w:hAnsi="Times New Roman" w:hint="eastAsia"/>
          <w:sz w:val="20"/>
          <w:szCs w:val="20"/>
        </w:rPr>
        <w:t>（</w:t>
      </w:r>
      <w:r w:rsidR="008E1E6F" w:rsidRPr="00DA3BC7">
        <w:rPr>
          <w:rFonts w:ascii="Times New Roman" w:hAnsi="Times New Roman" w:hint="eastAsia"/>
          <w:sz w:val="20"/>
          <w:szCs w:val="20"/>
        </w:rPr>
        <w:t>p.1</w:t>
      </w:r>
      <w:r w:rsidR="008E1E6F">
        <w:rPr>
          <w:rFonts w:ascii="Times New Roman" w:hAnsi="Times New Roman" w:hint="eastAsia"/>
          <w:sz w:val="20"/>
          <w:szCs w:val="20"/>
        </w:rPr>
        <w:t>5</w:t>
      </w:r>
      <w:r w:rsidR="008E1E6F" w:rsidRPr="00DA3BC7">
        <w:rPr>
          <w:rFonts w:ascii="Times New Roman" w:hAnsi="Times New Roman" w:hint="eastAsia"/>
          <w:sz w:val="20"/>
          <w:szCs w:val="20"/>
        </w:rPr>
        <w:t>4</w:t>
      </w:r>
      <w:r w:rsidR="008E1E6F" w:rsidRPr="00DA3BC7">
        <w:rPr>
          <w:rFonts w:ascii="Times New Roman" w:hAnsi="Times New Roman" w:hint="eastAsia"/>
          <w:sz w:val="20"/>
          <w:szCs w:val="20"/>
        </w:rPr>
        <w:t>）</w:t>
      </w:r>
    </w:p>
    <w:p w:rsidR="008E1E6F" w:rsidRPr="0073450B" w:rsidRDefault="008E1E6F" w:rsidP="00D41C1A">
      <w:pPr>
        <w:ind w:leftChars="350" w:left="840"/>
        <w:jc w:val="both"/>
        <w:rPr>
          <w:rFonts w:ascii="Times New Roman" w:hAnsi="Times New Roman"/>
          <w:b/>
          <w:color w:val="FF0000"/>
          <w:sz w:val="20"/>
          <w:szCs w:val="20"/>
          <w:highlight w:val="yellow"/>
          <w:bdr w:val="single" w:sz="4" w:space="0" w:color="auto"/>
        </w:rPr>
      </w:pPr>
      <w:r>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A</w:t>
      </w:r>
      <w:r>
        <w:rPr>
          <w:rFonts w:ascii="Times New Roman" w:hAnsi="Times New Roman" w:hint="eastAsia"/>
          <w:b/>
          <w:color w:val="FF0000"/>
          <w:sz w:val="20"/>
          <w:szCs w:val="20"/>
          <w:highlight w:val="yellow"/>
          <w:bdr w:val="single" w:sz="4" w:space="0" w:color="auto"/>
        </w:rPr>
        <w:t>）明理</w:t>
      </w:r>
      <w:r w:rsidRPr="00DA3BC7">
        <w:rPr>
          <w:rFonts w:ascii="Times New Roman" w:hAnsi="Times New Roman" w:hint="eastAsia"/>
          <w:sz w:val="20"/>
          <w:szCs w:val="20"/>
        </w:rPr>
        <w:t>（</w:t>
      </w:r>
      <w:r w:rsidRPr="00DA3BC7">
        <w:rPr>
          <w:rFonts w:ascii="Times New Roman" w:hAnsi="Times New Roman" w:hint="eastAsia"/>
          <w:sz w:val="20"/>
          <w:szCs w:val="20"/>
        </w:rPr>
        <w:t>p.1</w:t>
      </w:r>
      <w:r>
        <w:rPr>
          <w:rFonts w:ascii="Times New Roman" w:hAnsi="Times New Roman" w:hint="eastAsia"/>
          <w:sz w:val="20"/>
          <w:szCs w:val="20"/>
        </w:rPr>
        <w:t>5</w:t>
      </w:r>
      <w:r w:rsidRPr="00DA3BC7">
        <w:rPr>
          <w:rFonts w:ascii="Times New Roman" w:hAnsi="Times New Roman" w:hint="eastAsia"/>
          <w:sz w:val="20"/>
          <w:szCs w:val="20"/>
        </w:rPr>
        <w:t>4</w:t>
      </w:r>
      <w:r w:rsidRPr="00DA3BC7">
        <w:rPr>
          <w:rFonts w:ascii="Times New Roman" w:hAnsi="Times New Roman" w:hint="eastAsia"/>
          <w:sz w:val="20"/>
          <w:szCs w:val="20"/>
        </w:rPr>
        <w:t>）</w:t>
      </w:r>
    </w:p>
    <w:p w:rsidR="00AA120F" w:rsidRPr="00DA3BC7" w:rsidRDefault="00AA120F" w:rsidP="00D41C1A">
      <w:pPr>
        <w:ind w:leftChars="350" w:left="840"/>
        <w:jc w:val="both"/>
        <w:rPr>
          <w:rFonts w:ascii="新細明體" w:hAnsi="新細明體"/>
          <w:b/>
        </w:rPr>
      </w:pPr>
      <w:r w:rsidRPr="00DA3BC7">
        <w:rPr>
          <w:rFonts w:ascii="新細明體" w:hAnsi="新細明體" w:hint="eastAsia"/>
          <w:b/>
        </w:rPr>
        <w:t>共相</w:t>
      </w:r>
      <w:r w:rsidRPr="00DA3BC7">
        <w:rPr>
          <w:rFonts w:ascii="新細明體" w:hAnsi="新細明體" w:hint="eastAsia"/>
        </w:rPr>
        <w:t>約遍通一切法說，而它即是一一法的，也可說為</w:t>
      </w:r>
      <w:r w:rsidRPr="00DA3BC7">
        <w:rPr>
          <w:rFonts w:ascii="新細明體" w:hAnsi="新細明體" w:hint="eastAsia"/>
          <w:b/>
        </w:rPr>
        <w:t>自性</w:t>
      </w:r>
      <w:r w:rsidRPr="00DA3BC7">
        <w:rPr>
          <w:rFonts w:ascii="新細明體" w:hAnsi="新細明體" w:hint="eastAsia"/>
        </w:rPr>
        <w:t>。</w:t>
      </w:r>
      <w:r w:rsidRPr="00DA3BC7">
        <w:rPr>
          <w:rFonts w:ascii="新細明體" w:hAnsi="新細明體" w:hint="eastAsia"/>
          <w:b/>
        </w:rPr>
        <w:t>究極的、遍一切一味的共相，即空相，空是法法如此而平等普遍的，不是可以局限為某一法的。</w:t>
      </w:r>
    </w:p>
    <w:p w:rsidR="00AA120F" w:rsidRPr="00DA3BC7" w:rsidRDefault="00AA120F" w:rsidP="00D41C1A">
      <w:pPr>
        <w:ind w:leftChars="350" w:left="840"/>
        <w:jc w:val="both"/>
        <w:rPr>
          <w:rFonts w:ascii="新細明體" w:hAnsi="新細明體"/>
        </w:rPr>
      </w:pPr>
      <w:r w:rsidRPr="00DA3BC7">
        <w:rPr>
          <w:rFonts w:ascii="新細明體" w:hAnsi="新細明體" w:hint="eastAsia"/>
        </w:rPr>
        <w:t>佛弟子真能於一法而悟入此平等空性，即於一一法無不通達，因為是</w:t>
      </w:r>
      <w:r w:rsidRPr="00DA3BC7">
        <w:rPr>
          <w:rFonts w:ascii="新細明體" w:hAnsi="新細明體" w:hint="eastAsia"/>
        </w:rPr>
        <w:lastRenderedPageBreak/>
        <w:t>無二無別的。</w:t>
      </w:r>
    </w:p>
    <w:p w:rsidR="008E1E6F" w:rsidRDefault="00AA120F" w:rsidP="00AE3920">
      <w:pPr>
        <w:spacing w:beforeLines="20"/>
        <w:ind w:leftChars="350" w:left="840"/>
        <w:jc w:val="both"/>
        <w:rPr>
          <w:rFonts w:ascii="新細明體" w:hAnsi="新細明體"/>
        </w:rPr>
      </w:pPr>
      <w:r w:rsidRPr="00DA3BC7">
        <w:rPr>
          <w:rFonts w:ascii="新細明體" w:hAnsi="新細明體" w:hint="eastAsia"/>
          <w:b/>
        </w:rPr>
        <w:t>空性即一切法的實相，即一一法的究極真理，並非離別別的諸法而有共通遍在之一體的。</w:t>
      </w:r>
      <w:r w:rsidRPr="00DA3BC7">
        <w:rPr>
          <w:rFonts w:ascii="新細明體" w:hAnsi="新細明體" w:hint="eastAsia"/>
        </w:rPr>
        <w:t>無二無別而不礙此無限差別的，所以不妨說為色自性、聲自性等。</w:t>
      </w:r>
    </w:p>
    <w:p w:rsidR="008E1E6F" w:rsidRPr="0073450B" w:rsidRDefault="008E1E6F" w:rsidP="00AE3920">
      <w:pPr>
        <w:spacing w:beforeLines="30"/>
        <w:ind w:leftChars="350" w:left="840"/>
        <w:jc w:val="both"/>
        <w:rPr>
          <w:rFonts w:ascii="Times New Roman" w:hAnsi="Times New Roman"/>
          <w:b/>
          <w:color w:val="FF0000"/>
          <w:sz w:val="20"/>
          <w:szCs w:val="20"/>
          <w:highlight w:val="yellow"/>
          <w:bdr w:val="single" w:sz="4" w:space="0" w:color="auto"/>
        </w:rPr>
      </w:pPr>
      <w:r>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B</w:t>
      </w:r>
      <w:r>
        <w:rPr>
          <w:rFonts w:ascii="Times New Roman" w:hAnsi="Times New Roman" w:hint="eastAsia"/>
          <w:b/>
          <w:color w:val="FF0000"/>
          <w:sz w:val="20"/>
          <w:szCs w:val="20"/>
          <w:highlight w:val="yellow"/>
          <w:bdr w:val="single" w:sz="4" w:space="0" w:color="auto"/>
        </w:rPr>
        <w:t>）舉喻</w:t>
      </w:r>
      <w:r w:rsidRPr="00DA3BC7">
        <w:rPr>
          <w:rFonts w:ascii="Times New Roman" w:hAnsi="Times New Roman" w:hint="eastAsia"/>
          <w:sz w:val="20"/>
          <w:szCs w:val="20"/>
        </w:rPr>
        <w:t>（</w:t>
      </w:r>
      <w:r w:rsidRPr="00DA3BC7">
        <w:rPr>
          <w:rFonts w:ascii="Times New Roman" w:hAnsi="Times New Roman" w:hint="eastAsia"/>
          <w:sz w:val="20"/>
          <w:szCs w:val="20"/>
        </w:rPr>
        <w:t>p.1</w:t>
      </w:r>
      <w:r>
        <w:rPr>
          <w:rFonts w:ascii="Times New Roman" w:hAnsi="Times New Roman" w:hint="eastAsia"/>
          <w:sz w:val="20"/>
          <w:szCs w:val="20"/>
        </w:rPr>
        <w:t>5</w:t>
      </w:r>
      <w:r w:rsidRPr="00DA3BC7">
        <w:rPr>
          <w:rFonts w:ascii="Times New Roman" w:hAnsi="Times New Roman" w:hint="eastAsia"/>
          <w:sz w:val="20"/>
          <w:szCs w:val="20"/>
        </w:rPr>
        <w:t>4</w:t>
      </w:r>
      <w:r w:rsidRPr="00DA3BC7">
        <w:rPr>
          <w:rFonts w:ascii="Times New Roman" w:hAnsi="Times New Roman" w:hint="eastAsia"/>
          <w:sz w:val="20"/>
          <w:szCs w:val="20"/>
        </w:rPr>
        <w:t>）</w:t>
      </w:r>
    </w:p>
    <w:p w:rsidR="008E1E6F" w:rsidRDefault="00AA120F" w:rsidP="00D41C1A">
      <w:pPr>
        <w:ind w:leftChars="350" w:left="840"/>
        <w:jc w:val="both"/>
        <w:rPr>
          <w:rFonts w:ascii="新細明體" w:hAnsi="新細明體"/>
        </w:rPr>
      </w:pPr>
      <w:r w:rsidRPr="00DA3BC7">
        <w:rPr>
          <w:rFonts w:ascii="新細明體" w:hAnsi="新細明體" w:hint="eastAsia"/>
        </w:rPr>
        <w:t>如世間的虛空，遍一切處，既於方器見方空，圓器見圓空，不離開方圓而別有虛空；而虛空無礙無別，也不即是方圓。</w:t>
      </w:r>
    </w:p>
    <w:p w:rsidR="008E1E6F" w:rsidRPr="0073450B" w:rsidRDefault="008E1E6F" w:rsidP="00AE3920">
      <w:pPr>
        <w:spacing w:beforeLines="30"/>
        <w:ind w:leftChars="350" w:left="840"/>
        <w:jc w:val="both"/>
        <w:rPr>
          <w:rFonts w:ascii="Times New Roman" w:hAnsi="Times New Roman"/>
          <w:b/>
          <w:color w:val="FF0000"/>
          <w:sz w:val="20"/>
          <w:szCs w:val="20"/>
          <w:highlight w:val="yellow"/>
          <w:bdr w:val="single" w:sz="4" w:space="0" w:color="auto"/>
        </w:rPr>
      </w:pPr>
      <w:r>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C</w:t>
      </w:r>
      <w:r>
        <w:rPr>
          <w:rFonts w:ascii="Times New Roman" w:hAnsi="Times New Roman" w:hint="eastAsia"/>
          <w:b/>
          <w:color w:val="FF0000"/>
          <w:sz w:val="20"/>
          <w:szCs w:val="20"/>
          <w:highlight w:val="yellow"/>
          <w:bdr w:val="single" w:sz="4" w:space="0" w:color="auto"/>
        </w:rPr>
        <w:t>）合法</w:t>
      </w:r>
      <w:r w:rsidRPr="00DA3BC7">
        <w:rPr>
          <w:rFonts w:ascii="Times New Roman" w:hAnsi="Times New Roman" w:hint="eastAsia"/>
          <w:sz w:val="20"/>
          <w:szCs w:val="20"/>
        </w:rPr>
        <w:t>（</w:t>
      </w:r>
      <w:r w:rsidRPr="00DA3BC7">
        <w:rPr>
          <w:rFonts w:ascii="Times New Roman" w:hAnsi="Times New Roman" w:hint="eastAsia"/>
          <w:sz w:val="20"/>
          <w:szCs w:val="20"/>
        </w:rPr>
        <w:t>p.1</w:t>
      </w:r>
      <w:r>
        <w:rPr>
          <w:rFonts w:ascii="Times New Roman" w:hAnsi="Times New Roman" w:hint="eastAsia"/>
          <w:sz w:val="20"/>
          <w:szCs w:val="20"/>
        </w:rPr>
        <w:t>5</w:t>
      </w:r>
      <w:r w:rsidRPr="00DA3BC7">
        <w:rPr>
          <w:rFonts w:ascii="Times New Roman" w:hAnsi="Times New Roman" w:hint="eastAsia"/>
          <w:sz w:val="20"/>
          <w:szCs w:val="20"/>
        </w:rPr>
        <w:t>4</w:t>
      </w:r>
      <w:r w:rsidRPr="00DA3BC7">
        <w:rPr>
          <w:rFonts w:ascii="Times New Roman" w:hAnsi="Times New Roman" w:hint="eastAsia"/>
          <w:sz w:val="20"/>
          <w:szCs w:val="20"/>
        </w:rPr>
        <w:t>）</w:t>
      </w:r>
    </w:p>
    <w:p w:rsidR="008E1E6F" w:rsidRDefault="00AA120F" w:rsidP="00D41C1A">
      <w:pPr>
        <w:ind w:leftChars="350" w:left="840"/>
        <w:jc w:val="both"/>
        <w:rPr>
          <w:rFonts w:ascii="新細明體" w:hAnsi="新細明體"/>
          <w:b/>
        </w:rPr>
      </w:pPr>
      <w:r w:rsidRPr="00DA3BC7">
        <w:rPr>
          <w:rFonts w:ascii="新細明體" w:hAnsi="新細明體" w:hint="eastAsia"/>
        </w:rPr>
        <w:t>依此以觀共相，即知</w:t>
      </w:r>
      <w:r w:rsidRPr="00DA3BC7">
        <w:rPr>
          <w:rFonts w:ascii="新細明體" w:hAnsi="新細明體" w:hint="eastAsia"/>
          <w:b/>
        </w:rPr>
        <w:t>共相</w:t>
      </w:r>
      <w:r w:rsidRPr="00DA3BC7">
        <w:rPr>
          <w:rFonts w:ascii="新細明體" w:hAnsi="新細明體" w:hint="eastAsia"/>
        </w:rPr>
        <w:t>為</w:t>
      </w:r>
      <w:r w:rsidRPr="00DA3BC7">
        <w:rPr>
          <w:rFonts w:ascii="新細明體" w:hAnsi="新細明體" w:hint="eastAsia"/>
          <w:b/>
        </w:rPr>
        <w:t>不離自性，而不即是自性的。</w:t>
      </w:r>
    </w:p>
    <w:p w:rsidR="008E1E6F" w:rsidRDefault="008E1E6F" w:rsidP="00AE3920">
      <w:pPr>
        <w:spacing w:beforeLines="30"/>
        <w:ind w:leftChars="300" w:left="720"/>
        <w:jc w:val="both"/>
        <w:rPr>
          <w:rFonts w:ascii="Times New Roman" w:hAnsi="Times New Roman"/>
          <w:sz w:val="20"/>
          <w:szCs w:val="20"/>
        </w:rPr>
      </w:pPr>
      <w:r>
        <w:rPr>
          <w:rFonts w:ascii="Times New Roman" w:hAnsi="Times New Roman" w:hint="eastAsia"/>
          <w:b/>
          <w:color w:val="FF0000"/>
          <w:sz w:val="20"/>
          <w:szCs w:val="20"/>
          <w:highlight w:val="yellow"/>
          <w:bdr w:val="single" w:sz="4" w:space="0" w:color="auto"/>
        </w:rPr>
        <w:t>B</w:t>
      </w:r>
      <w:r w:rsidRPr="0073450B">
        <w:rPr>
          <w:rFonts w:ascii="Times New Roman" w:hAnsi="Times New Roman" w:hint="eastAsia"/>
          <w:b/>
          <w:color w:val="FF0000"/>
          <w:sz w:val="20"/>
          <w:szCs w:val="20"/>
          <w:highlight w:val="yellow"/>
          <w:bdr w:val="single" w:sz="4" w:space="0" w:color="auto"/>
        </w:rPr>
        <w:t>、約「</w:t>
      </w:r>
      <w:r>
        <w:rPr>
          <w:rFonts w:ascii="Times New Roman" w:hAnsi="Times New Roman" w:hint="eastAsia"/>
          <w:b/>
          <w:color w:val="FF0000"/>
          <w:sz w:val="20"/>
          <w:szCs w:val="20"/>
          <w:highlight w:val="yellow"/>
          <w:bdr w:val="single" w:sz="4" w:space="0" w:color="auto"/>
        </w:rPr>
        <w:t>世俗</w:t>
      </w:r>
      <w:r w:rsidRPr="0073450B">
        <w:rPr>
          <w:rFonts w:ascii="Times New Roman" w:hAnsi="Times New Roman" w:hint="eastAsia"/>
          <w:b/>
          <w:color w:val="FF0000"/>
          <w:sz w:val="20"/>
          <w:szCs w:val="20"/>
          <w:highlight w:val="yellow"/>
          <w:bdr w:val="single" w:sz="4" w:space="0" w:color="auto"/>
        </w:rPr>
        <w:t>諦」</w:t>
      </w:r>
      <w:r w:rsidRPr="00DA3BC7">
        <w:rPr>
          <w:rFonts w:ascii="Times New Roman" w:hAnsi="Times New Roman" w:hint="eastAsia"/>
          <w:sz w:val="20"/>
          <w:szCs w:val="20"/>
        </w:rPr>
        <w:t>（</w:t>
      </w:r>
      <w:r w:rsidRPr="00DA3BC7">
        <w:rPr>
          <w:rFonts w:ascii="Times New Roman" w:hAnsi="Times New Roman" w:hint="eastAsia"/>
          <w:sz w:val="20"/>
          <w:szCs w:val="20"/>
        </w:rPr>
        <w:t>p.1</w:t>
      </w:r>
      <w:r>
        <w:rPr>
          <w:rFonts w:ascii="Times New Roman" w:hAnsi="Times New Roman" w:hint="eastAsia"/>
          <w:sz w:val="20"/>
          <w:szCs w:val="20"/>
        </w:rPr>
        <w:t>5</w:t>
      </w:r>
      <w:r w:rsidRPr="00DA3BC7">
        <w:rPr>
          <w:rFonts w:ascii="Times New Roman" w:hAnsi="Times New Roman" w:hint="eastAsia"/>
          <w:sz w:val="20"/>
          <w:szCs w:val="20"/>
        </w:rPr>
        <w:t>4</w:t>
      </w:r>
      <w:r w:rsidRPr="00DA3BC7">
        <w:rPr>
          <w:rFonts w:ascii="Times New Roman" w:hAnsi="Times New Roman" w:hint="eastAsia"/>
          <w:sz w:val="20"/>
          <w:szCs w:val="20"/>
        </w:rPr>
        <w:t>）</w:t>
      </w:r>
    </w:p>
    <w:p w:rsidR="008E1E6F" w:rsidRDefault="00AA120F" w:rsidP="00D41C1A">
      <w:pPr>
        <w:ind w:leftChars="300" w:left="720"/>
        <w:jc w:val="both"/>
        <w:rPr>
          <w:rFonts w:ascii="新細明體" w:hAnsi="新細明體"/>
        </w:rPr>
      </w:pPr>
      <w:r w:rsidRPr="00DA3BC7">
        <w:rPr>
          <w:rFonts w:ascii="新細明體" w:hAnsi="新細明體" w:hint="eastAsia"/>
        </w:rPr>
        <w:t>從世諦法相的立場去觀察</w:t>
      </w:r>
      <w:r w:rsidRPr="00DA3BC7">
        <w:rPr>
          <w:rFonts w:ascii="新細明體" w:hAnsi="新細明體" w:hint="eastAsia"/>
          <w:b/>
        </w:rPr>
        <w:t>共相</w:t>
      </w:r>
      <w:r w:rsidRPr="00DA3BC7">
        <w:rPr>
          <w:rFonts w:ascii="新細明體" w:hAnsi="新細明體" w:hint="eastAsia"/>
        </w:rPr>
        <w:t>──共通的法則公式等，即是緣起，不可說一，不可說異。</w:t>
      </w:r>
    </w:p>
    <w:p w:rsidR="008E1E6F" w:rsidRPr="00DA3BC7" w:rsidRDefault="008E1E6F" w:rsidP="00AE3920">
      <w:pPr>
        <w:spacing w:beforeLines="30"/>
        <w:ind w:leftChars="250" w:left="600"/>
        <w:jc w:val="both"/>
        <w:rPr>
          <w:rFonts w:ascii="新細明體" w:hAnsi="新細明體"/>
          <w:b/>
          <w:sz w:val="20"/>
          <w:szCs w:val="20"/>
          <w:bdr w:val="single" w:sz="4" w:space="0" w:color="auto"/>
        </w:rPr>
      </w:pPr>
      <w:r>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2</w:t>
      </w:r>
      <w:r>
        <w:rPr>
          <w:rFonts w:ascii="Times New Roman" w:hAnsi="Times New Roman" w:hint="eastAsia"/>
          <w:b/>
          <w:color w:val="FF0000"/>
          <w:sz w:val="20"/>
          <w:szCs w:val="20"/>
          <w:highlight w:val="yellow"/>
          <w:bdr w:val="single" w:sz="4" w:space="0" w:color="auto"/>
        </w:rPr>
        <w:t>）簡別是非</w:t>
      </w:r>
      <w:r w:rsidRPr="00DA3BC7">
        <w:rPr>
          <w:rFonts w:ascii="Times New Roman" w:hAnsi="Times New Roman"/>
          <w:sz w:val="20"/>
          <w:szCs w:val="20"/>
        </w:rPr>
        <w:t>（</w:t>
      </w:r>
      <w:r w:rsidRPr="00DA3BC7">
        <w:rPr>
          <w:rFonts w:ascii="Times New Roman" w:hAnsi="Times New Roman"/>
          <w:sz w:val="20"/>
          <w:szCs w:val="20"/>
        </w:rPr>
        <w:t>p.154</w:t>
      </w:r>
      <w:r w:rsidRPr="00DA3BC7">
        <w:rPr>
          <w:rFonts w:ascii="Times New Roman" w:hAnsi="Times New Roman"/>
          <w:sz w:val="20"/>
          <w:szCs w:val="20"/>
        </w:rPr>
        <w:t>）</w:t>
      </w:r>
    </w:p>
    <w:p w:rsidR="00AA120F" w:rsidRPr="00DA3BC7" w:rsidRDefault="00AA120F" w:rsidP="00D41C1A">
      <w:pPr>
        <w:ind w:leftChars="250" w:left="600"/>
        <w:jc w:val="both"/>
        <w:rPr>
          <w:rFonts w:ascii="新細明體" w:hAnsi="新細明體"/>
          <w:b/>
        </w:rPr>
      </w:pPr>
      <w:r w:rsidRPr="00DA3BC7">
        <w:rPr>
          <w:rFonts w:ascii="新細明體" w:hAnsi="新細明體" w:hint="eastAsia"/>
          <w:b/>
        </w:rPr>
        <w:t>不但不是意識概括的抽象產物，也不是隱蔽於諸法之後或超越於諸法之上的什麼東西。</w:t>
      </w:r>
    </w:p>
    <w:p w:rsidR="00AA120F" w:rsidRPr="00DA3BC7" w:rsidRDefault="00AA120F" w:rsidP="00AE3920">
      <w:pPr>
        <w:spacing w:beforeLines="30"/>
        <w:ind w:leftChars="50" w:left="120"/>
        <w:jc w:val="both"/>
        <w:rPr>
          <w:rFonts w:ascii="Times New Roman" w:hAnsi="Times New Roman"/>
          <w:bCs/>
          <w:sz w:val="20"/>
          <w:szCs w:val="20"/>
        </w:rPr>
      </w:pPr>
      <w:r w:rsidRPr="00DA3BC7">
        <w:rPr>
          <w:rFonts w:ascii="Times New Roman" w:hAnsi="Times New Roman"/>
          <w:b/>
          <w:sz w:val="20"/>
          <w:szCs w:val="20"/>
          <w:bdr w:val="single" w:sz="4" w:space="0" w:color="auto"/>
        </w:rPr>
        <w:t>（肆）</w:t>
      </w:r>
      <w:r w:rsidRPr="00DA3BC7">
        <w:rPr>
          <w:rFonts w:ascii="Times New Roman" w:hAnsi="Times New Roman" w:hint="eastAsia"/>
          <w:b/>
          <w:bCs/>
          <w:sz w:val="20"/>
          <w:szCs w:val="20"/>
          <w:bdr w:val="single" w:sz="4" w:space="0" w:color="auto"/>
        </w:rPr>
        <w:t>約</w:t>
      </w:r>
      <w:r w:rsidR="00A731D5" w:rsidRPr="0073450B">
        <w:rPr>
          <w:rFonts w:ascii="Times New Roman" w:hAnsi="Times New Roman" w:hint="eastAsia"/>
          <w:b/>
          <w:color w:val="FF0000"/>
          <w:sz w:val="20"/>
          <w:szCs w:val="20"/>
          <w:highlight w:val="yellow"/>
          <w:bdr w:val="single" w:sz="4" w:space="0" w:color="auto"/>
        </w:rPr>
        <w:t>「</w:t>
      </w:r>
      <w:r w:rsidRPr="00DA3BC7">
        <w:rPr>
          <w:rFonts w:ascii="Times New Roman" w:hAnsi="Times New Roman" w:hint="eastAsia"/>
          <w:b/>
          <w:bCs/>
          <w:sz w:val="20"/>
          <w:szCs w:val="20"/>
          <w:bdr w:val="single" w:sz="4" w:space="0" w:color="auto"/>
        </w:rPr>
        <w:t>名（相）</w:t>
      </w:r>
      <w:r w:rsidR="00A731D5" w:rsidRPr="00A731D5">
        <w:rPr>
          <w:rFonts w:ascii="Times New Roman" w:hAnsi="Times New Roman" w:hint="eastAsia"/>
          <w:b/>
          <w:bCs/>
          <w:color w:val="FF0000"/>
          <w:sz w:val="20"/>
          <w:szCs w:val="20"/>
          <w:highlight w:val="yellow"/>
          <w:bdr w:val="single" w:sz="4" w:space="0" w:color="auto"/>
        </w:rPr>
        <w:t>、</w:t>
      </w:r>
      <w:r w:rsidRPr="00DA3BC7">
        <w:rPr>
          <w:rFonts w:ascii="Times New Roman" w:hAnsi="Times New Roman" w:hint="eastAsia"/>
          <w:b/>
          <w:bCs/>
          <w:sz w:val="20"/>
          <w:szCs w:val="20"/>
          <w:bdr w:val="single" w:sz="4" w:space="0" w:color="auto"/>
        </w:rPr>
        <w:t>實</w:t>
      </w:r>
      <w:r w:rsidR="00A731D5" w:rsidRPr="0073450B">
        <w:rPr>
          <w:rFonts w:ascii="Times New Roman" w:hAnsi="Times New Roman" w:hint="eastAsia"/>
          <w:b/>
          <w:color w:val="FF0000"/>
          <w:sz w:val="20"/>
          <w:szCs w:val="20"/>
          <w:highlight w:val="yellow"/>
          <w:bdr w:val="single" w:sz="4" w:space="0" w:color="auto"/>
        </w:rPr>
        <w:t>」</w:t>
      </w:r>
      <w:r w:rsidRPr="00DA3BC7">
        <w:rPr>
          <w:rFonts w:ascii="Times New Roman" w:hAnsi="Times New Roman" w:hint="eastAsia"/>
          <w:b/>
          <w:bCs/>
          <w:sz w:val="20"/>
          <w:szCs w:val="20"/>
          <w:bdr w:val="single" w:sz="4" w:space="0" w:color="auto"/>
        </w:rPr>
        <w:t>說</w:t>
      </w:r>
      <w:r w:rsidR="00A731D5" w:rsidRPr="0073450B">
        <w:rPr>
          <w:rFonts w:ascii="Times New Roman" w:hAnsi="Times New Roman" w:hint="eastAsia"/>
          <w:b/>
          <w:color w:val="FF0000"/>
          <w:sz w:val="20"/>
          <w:szCs w:val="20"/>
          <w:highlight w:val="yellow"/>
          <w:bdr w:val="single" w:sz="4" w:space="0" w:color="auto"/>
        </w:rPr>
        <w:t>「</w:t>
      </w:r>
      <w:r w:rsidRPr="00DA3BC7">
        <w:rPr>
          <w:rFonts w:ascii="Times New Roman" w:hAnsi="Times New Roman" w:hint="eastAsia"/>
          <w:b/>
          <w:bCs/>
          <w:sz w:val="20"/>
          <w:szCs w:val="20"/>
          <w:bdr w:val="single" w:sz="4" w:space="0" w:color="auto"/>
        </w:rPr>
        <w:t>性</w:t>
      </w:r>
      <w:r w:rsidR="00A731D5">
        <w:rPr>
          <w:rFonts w:ascii="Times New Roman" w:hAnsi="Times New Roman" w:hint="eastAsia"/>
          <w:b/>
          <w:color w:val="FF0000"/>
          <w:sz w:val="20"/>
          <w:szCs w:val="20"/>
          <w:highlight w:val="yellow"/>
          <w:bdr w:val="single" w:sz="4" w:space="0" w:color="auto"/>
        </w:rPr>
        <w:t>、</w:t>
      </w:r>
      <w:r w:rsidRPr="00DA3BC7">
        <w:rPr>
          <w:rFonts w:ascii="Times New Roman" w:hAnsi="Times New Roman" w:hint="eastAsia"/>
          <w:b/>
          <w:bCs/>
          <w:sz w:val="20"/>
          <w:szCs w:val="20"/>
          <w:bdr w:val="single" w:sz="4" w:space="0" w:color="auto"/>
        </w:rPr>
        <w:t>相</w:t>
      </w:r>
      <w:r w:rsidR="00A731D5" w:rsidRPr="0073450B">
        <w:rPr>
          <w:rFonts w:ascii="Times New Roman" w:hAnsi="Times New Roman" w:hint="eastAsia"/>
          <w:b/>
          <w:color w:val="FF0000"/>
          <w:sz w:val="20"/>
          <w:szCs w:val="20"/>
          <w:highlight w:val="yellow"/>
          <w:bdr w:val="single" w:sz="4" w:space="0" w:color="auto"/>
        </w:rPr>
        <w:t>」</w:t>
      </w:r>
      <w:r w:rsidRPr="00DA3BC7">
        <w:rPr>
          <w:rFonts w:ascii="Times New Roman" w:hAnsi="Times New Roman" w:hint="eastAsia"/>
          <w:sz w:val="20"/>
          <w:szCs w:val="20"/>
        </w:rPr>
        <w:t>（</w:t>
      </w:r>
      <w:r w:rsidRPr="00DA3BC7">
        <w:rPr>
          <w:rFonts w:ascii="Times New Roman" w:hAnsi="Times New Roman" w:hint="eastAsia"/>
          <w:sz w:val="20"/>
          <w:szCs w:val="20"/>
        </w:rPr>
        <w:t>pp.155-162</w:t>
      </w:r>
      <w:r w:rsidRPr="00DA3BC7">
        <w:rPr>
          <w:rFonts w:ascii="Times New Roman" w:hAnsi="Times New Roman" w:hint="eastAsia"/>
          <w:sz w:val="20"/>
          <w:szCs w:val="20"/>
        </w:rPr>
        <w:t>）</w:t>
      </w:r>
    </w:p>
    <w:p w:rsidR="00A731D5" w:rsidRPr="00DA3BC7" w:rsidRDefault="00A731D5" w:rsidP="00D41C1A">
      <w:pPr>
        <w:ind w:leftChars="50" w:left="120"/>
        <w:jc w:val="both"/>
        <w:rPr>
          <w:rFonts w:ascii="Times New Roman" w:hAnsi="Times New Roman"/>
        </w:rPr>
      </w:pPr>
      <w:r w:rsidRPr="00DA3BC7">
        <w:rPr>
          <w:rFonts w:ascii="Times New Roman" w:hAnsi="Times New Roman" w:hint="eastAsia"/>
          <w:b/>
        </w:rPr>
        <w:t>四、約名（相）實說性相</w:t>
      </w:r>
      <w:r w:rsidRPr="00DA3BC7">
        <w:rPr>
          <w:rFonts w:ascii="Times New Roman" w:hAnsi="Times New Roman" w:hint="eastAsia"/>
        </w:rPr>
        <w:t>：</w:t>
      </w:r>
    </w:p>
    <w:p w:rsidR="00AA120F" w:rsidRPr="00DA3BC7" w:rsidRDefault="00AA120F" w:rsidP="008E2BBC">
      <w:pPr>
        <w:ind w:leftChars="100" w:left="240"/>
        <w:jc w:val="both"/>
        <w:rPr>
          <w:rFonts w:ascii="Times New Roman" w:hAnsi="Times New Roman"/>
          <w:b/>
          <w:bCs/>
          <w:sz w:val="20"/>
          <w:szCs w:val="26"/>
        </w:rPr>
      </w:pPr>
      <w:r w:rsidRPr="00DA3BC7">
        <w:rPr>
          <w:rFonts w:ascii="Times New Roman" w:hAnsi="Times New Roman" w:hint="eastAsia"/>
          <w:b/>
          <w:sz w:val="20"/>
          <w:szCs w:val="26"/>
          <w:bdr w:val="single" w:sz="4" w:space="0" w:color="auto"/>
        </w:rPr>
        <w:t>一、</w:t>
      </w:r>
      <w:r w:rsidR="00A731D5">
        <w:rPr>
          <w:rFonts w:ascii="Times New Roman" w:hAnsi="Times New Roman" w:hint="eastAsia"/>
          <w:b/>
          <w:bCs/>
          <w:color w:val="FF0000"/>
          <w:sz w:val="20"/>
          <w:szCs w:val="26"/>
          <w:highlight w:val="yellow"/>
          <w:bdr w:val="single" w:sz="4" w:space="0" w:color="auto"/>
        </w:rPr>
        <w:t>正辨法義</w:t>
      </w:r>
      <w:r w:rsidRPr="00DA3BC7">
        <w:rPr>
          <w:rFonts w:ascii="Times New Roman" w:hAnsi="Times New Roman" w:hint="eastAsia"/>
          <w:bCs/>
          <w:sz w:val="20"/>
          <w:szCs w:val="26"/>
        </w:rPr>
        <w:t>（</w:t>
      </w:r>
      <w:r w:rsidRPr="00DA3BC7">
        <w:rPr>
          <w:rFonts w:ascii="Times New Roman" w:hAnsi="Times New Roman" w:hint="eastAsia"/>
          <w:bCs/>
          <w:sz w:val="20"/>
          <w:szCs w:val="26"/>
        </w:rPr>
        <w:t>pp.155-158</w:t>
      </w:r>
      <w:r w:rsidRPr="00DA3BC7">
        <w:rPr>
          <w:rFonts w:ascii="Times New Roman" w:hAnsi="Times New Roman" w:hint="eastAsia"/>
          <w:bCs/>
          <w:sz w:val="20"/>
          <w:szCs w:val="26"/>
        </w:rPr>
        <w:t>）</w:t>
      </w:r>
    </w:p>
    <w:p w:rsidR="00AA120F" w:rsidRPr="00DA3BC7" w:rsidRDefault="00AA120F" w:rsidP="00AE3920">
      <w:pPr>
        <w:spacing w:afterLines="10"/>
        <w:ind w:leftChars="150" w:left="360"/>
        <w:jc w:val="both"/>
        <w:rPr>
          <w:rFonts w:ascii="Times New Roman" w:hAnsi="Times New Roman"/>
          <w:sz w:val="20"/>
          <w:szCs w:val="26"/>
          <w:bdr w:val="single" w:sz="4" w:space="0" w:color="auto"/>
        </w:rPr>
      </w:pPr>
      <w:r w:rsidRPr="00DA3BC7">
        <w:rPr>
          <w:rFonts w:ascii="Times New Roman" w:hAnsi="Times New Roman" w:hint="eastAsia"/>
          <w:b/>
          <w:bCs/>
          <w:sz w:val="20"/>
          <w:szCs w:val="26"/>
          <w:bdr w:val="single" w:sz="4" w:space="0" w:color="auto"/>
        </w:rPr>
        <w:t>（一）</w:t>
      </w:r>
      <w:r w:rsidR="00A731D5">
        <w:rPr>
          <w:rFonts w:ascii="Times New Roman" w:hAnsi="Times New Roman" w:hint="eastAsia"/>
          <w:b/>
          <w:color w:val="FF0000"/>
          <w:sz w:val="20"/>
          <w:szCs w:val="20"/>
          <w:highlight w:val="yellow"/>
          <w:bdr w:val="single" w:sz="4" w:space="0" w:color="auto"/>
        </w:rPr>
        <w:t>略述</w:t>
      </w:r>
      <w:r w:rsidRPr="00DA3BC7">
        <w:rPr>
          <w:rFonts w:ascii="Times New Roman" w:hAnsi="Times New Roman" w:hint="eastAsia"/>
          <w:bCs/>
          <w:sz w:val="20"/>
          <w:szCs w:val="26"/>
        </w:rPr>
        <w:t>（</w:t>
      </w:r>
      <w:r w:rsidRPr="00DA3BC7">
        <w:rPr>
          <w:rFonts w:ascii="Times New Roman" w:hAnsi="Times New Roman" w:hint="eastAsia"/>
          <w:bCs/>
          <w:sz w:val="20"/>
          <w:szCs w:val="26"/>
        </w:rPr>
        <w:t>p.155</w:t>
      </w:r>
      <w:r w:rsidRPr="00DA3BC7">
        <w:rPr>
          <w:rFonts w:ascii="Times New Roman" w:hAnsi="Times New Roman" w:hint="eastAsia"/>
          <w:bCs/>
          <w:sz w:val="20"/>
          <w:szCs w:val="26"/>
        </w:rPr>
        <w:t>）</w:t>
      </w:r>
    </w:p>
    <w:p w:rsidR="00AA120F" w:rsidRPr="00DA3BC7" w:rsidRDefault="00AA120F" w:rsidP="00AE3920">
      <w:pPr>
        <w:spacing w:beforeLines="20"/>
        <w:ind w:leftChars="160" w:left="384"/>
        <w:jc w:val="both"/>
        <w:rPr>
          <w:rFonts w:ascii="Times New Roman" w:hAnsi="Times New Roman"/>
        </w:rPr>
      </w:pPr>
      <w:r w:rsidRPr="00DA3BC7">
        <w:rPr>
          <w:rFonts w:ascii="Times New Roman" w:hAnsi="Times New Roman" w:hint="eastAsia"/>
        </w:rPr>
        <w:t>《大智度論》卷</w:t>
      </w:r>
      <w:r w:rsidR="00A731D5">
        <w:rPr>
          <w:rFonts w:ascii="Times New Roman" w:hAnsi="Times New Roman" w:hint="eastAsia"/>
        </w:rPr>
        <w:t>51</w:t>
      </w:r>
      <w:r w:rsidRPr="00DA3BC7">
        <w:rPr>
          <w:rFonts w:ascii="Times New Roman" w:hAnsi="Times New Roman" w:hint="eastAsia"/>
        </w:rPr>
        <w:t>說：「</w:t>
      </w:r>
      <w:r w:rsidRPr="00DA3BC7">
        <w:rPr>
          <w:rFonts w:ascii="Times New Roman" w:eastAsia="標楷體" w:hAnsi="Times New Roman" w:hint="eastAsia"/>
        </w:rPr>
        <w:t>此性深妙，云何可知？以色</w:t>
      </w:r>
      <w:r w:rsidRPr="00A731D5">
        <w:rPr>
          <w:rFonts w:ascii="新細明體" w:hAnsi="新細明體" w:hint="eastAsia"/>
        </w:rPr>
        <w:t>（等）</w:t>
      </w:r>
      <w:r w:rsidRPr="00DA3BC7">
        <w:rPr>
          <w:rFonts w:ascii="Times New Roman" w:eastAsia="標楷體" w:hAnsi="Times New Roman" w:hint="eastAsia"/>
        </w:rPr>
        <w:t>相</w:t>
      </w:r>
      <w:r w:rsidRPr="00DA3BC7">
        <w:rPr>
          <w:rFonts w:ascii="標楷體" w:eastAsia="標楷體" w:hAnsi="標楷體" w:hint="eastAsia"/>
          <w:kern w:val="0"/>
        </w:rPr>
        <w:t>力故</w:t>
      </w:r>
      <w:r w:rsidRPr="00DA3BC7">
        <w:rPr>
          <w:rFonts w:ascii="Times New Roman" w:eastAsia="標楷體" w:hAnsi="Times New Roman" w:hint="eastAsia"/>
        </w:rPr>
        <w:t>可知</w:t>
      </w:r>
      <w:r w:rsidRPr="00DA3BC7">
        <w:rPr>
          <w:rFonts w:ascii="Times New Roman" w:hAnsi="Times New Roman" w:hint="eastAsia"/>
        </w:rPr>
        <w:t>。」</w:t>
      </w:r>
      <w:r w:rsidRPr="00DA3BC7">
        <w:rPr>
          <w:rFonts w:ascii="Times New Roman" w:hAnsi="Times New Roman"/>
          <w:vertAlign w:val="superscript"/>
        </w:rPr>
        <w:footnoteReference w:id="722"/>
      </w:r>
      <w:r w:rsidRPr="00DA3BC7">
        <w:rPr>
          <w:rFonts w:ascii="Times New Roman" w:hAnsi="Times New Roman" w:hint="eastAsia"/>
        </w:rPr>
        <w:t>此即</w:t>
      </w:r>
      <w:r w:rsidRPr="00DA3BC7">
        <w:rPr>
          <w:rFonts w:ascii="Times New Roman" w:hAnsi="Times New Roman" w:hint="eastAsia"/>
          <w:b/>
        </w:rPr>
        <w:t>藉相以知性</w:t>
      </w:r>
      <w:r w:rsidRPr="00DA3BC7">
        <w:rPr>
          <w:rFonts w:ascii="Times New Roman" w:hAnsi="Times New Roman" w:hint="eastAsia"/>
        </w:rPr>
        <w:t>。</w:t>
      </w:r>
    </w:p>
    <w:p w:rsidR="00AA120F" w:rsidRPr="00DA3BC7" w:rsidRDefault="00AA120F" w:rsidP="00AE3920">
      <w:pPr>
        <w:spacing w:beforeLines="20"/>
        <w:ind w:leftChars="160" w:left="384"/>
        <w:jc w:val="both"/>
        <w:rPr>
          <w:rFonts w:ascii="Times New Roman" w:hAnsi="Times New Roman"/>
        </w:rPr>
      </w:pPr>
      <w:r w:rsidRPr="008E123E">
        <w:rPr>
          <w:rFonts w:ascii="Times New Roman" w:hAnsi="Times New Roman" w:hint="eastAsia"/>
          <w:b/>
          <w:u w:val="wave" w:color="C00000"/>
        </w:rPr>
        <w:t>相</w:t>
      </w:r>
      <w:r w:rsidRPr="00DA3BC7">
        <w:rPr>
          <w:rFonts w:ascii="Times New Roman" w:hAnsi="Times New Roman" w:hint="eastAsia"/>
        </w:rPr>
        <w:t>指能知某之所以是某者，如見了扮角</w:t>
      </w:r>
      <w:r w:rsidRPr="00DA3BC7">
        <w:rPr>
          <w:rStyle w:val="a6"/>
          <w:rFonts w:ascii="Times New Roman" w:hAnsi="Times New Roman"/>
        </w:rPr>
        <w:footnoteReference w:id="723"/>
      </w:r>
      <w:r w:rsidRPr="00DA3BC7">
        <w:rPr>
          <w:rFonts w:ascii="Times New Roman" w:hAnsi="Times New Roman" w:hint="eastAsia"/>
        </w:rPr>
        <w:t>的臉譜</w:t>
      </w:r>
      <w:r w:rsidRPr="00DA3BC7">
        <w:rPr>
          <w:rStyle w:val="a6"/>
          <w:rFonts w:ascii="Times New Roman" w:hAnsi="Times New Roman"/>
        </w:rPr>
        <w:footnoteReference w:id="724"/>
      </w:r>
      <w:r w:rsidRPr="00DA3BC7">
        <w:rPr>
          <w:rFonts w:ascii="Times New Roman" w:hAnsi="Times New Roman" w:hint="eastAsia"/>
        </w:rPr>
        <w:t>和服裝，就知道他是誰。</w:t>
      </w:r>
    </w:p>
    <w:p w:rsidR="00AA120F" w:rsidRPr="00DA3BC7" w:rsidRDefault="00AA120F" w:rsidP="00AE3920">
      <w:pPr>
        <w:spacing w:beforeLines="20"/>
        <w:ind w:leftChars="160" w:left="384"/>
        <w:jc w:val="both"/>
        <w:rPr>
          <w:rFonts w:ascii="Times New Roman" w:hAnsi="Times New Roman"/>
        </w:rPr>
      </w:pPr>
      <w:r w:rsidRPr="008E123E">
        <w:rPr>
          <w:rFonts w:ascii="Times New Roman" w:hAnsi="Times New Roman" w:hint="eastAsia"/>
          <w:b/>
          <w:u w:val="wave" w:color="C00000"/>
        </w:rPr>
        <w:lastRenderedPageBreak/>
        <w:t>性</w:t>
      </w:r>
      <w:r w:rsidRPr="00DA3BC7">
        <w:rPr>
          <w:rFonts w:ascii="Times New Roman" w:hAnsi="Times New Roman" w:hint="eastAsia"/>
        </w:rPr>
        <w:t>即一切法之自體，本是離</w:t>
      </w:r>
      <w:r w:rsidRPr="008E123E">
        <w:rPr>
          <w:rFonts w:ascii="Times New Roman" w:hAnsi="Times New Roman" w:hint="eastAsia"/>
          <w:b/>
          <w:u w:val="wave" w:color="C00000"/>
        </w:rPr>
        <w:t>名</w:t>
      </w:r>
      <w:r w:rsidRPr="00DA3BC7">
        <w:rPr>
          <w:rFonts w:ascii="Times New Roman" w:hAnsi="Times New Roman" w:hint="eastAsia"/>
        </w:rPr>
        <w:t>絕</w:t>
      </w:r>
      <w:r w:rsidRPr="008E123E">
        <w:rPr>
          <w:rFonts w:ascii="Times New Roman" w:hAnsi="Times New Roman" w:hint="eastAsia"/>
          <w:b/>
          <w:u w:val="wave" w:color="C00000"/>
        </w:rPr>
        <w:t>相</w:t>
      </w:r>
      <w:r w:rsidRPr="00DA3BC7">
        <w:rPr>
          <w:rFonts w:ascii="Times New Roman" w:hAnsi="Times New Roman" w:hint="eastAsia"/>
        </w:rPr>
        <w:t>──不但</w:t>
      </w:r>
      <w:r w:rsidRPr="00DA3BC7">
        <w:rPr>
          <w:rFonts w:ascii="Times New Roman" w:hAnsi="Times New Roman" w:hint="eastAsia"/>
          <w:b/>
        </w:rPr>
        <w:t>理性</w:t>
      </w:r>
      <w:r w:rsidRPr="00DA3BC7">
        <w:rPr>
          <w:rFonts w:ascii="Times New Roman" w:hAnsi="Times New Roman" w:hint="eastAsia"/>
        </w:rPr>
        <w:t>絕</w:t>
      </w:r>
      <w:r w:rsidRPr="008E123E">
        <w:rPr>
          <w:rFonts w:ascii="Times New Roman" w:hAnsi="Times New Roman" w:hint="eastAsia"/>
          <w:b/>
          <w:u w:val="wave" w:color="C00000"/>
        </w:rPr>
        <w:t>相</w:t>
      </w:r>
      <w:r w:rsidRPr="00DA3BC7">
        <w:rPr>
          <w:rFonts w:ascii="Times New Roman" w:hAnsi="Times New Roman" w:hint="eastAsia"/>
        </w:rPr>
        <w:t>，</w:t>
      </w:r>
      <w:r w:rsidRPr="00DA3BC7">
        <w:rPr>
          <w:rFonts w:ascii="Times New Roman" w:hAnsi="Times New Roman" w:hint="eastAsia"/>
          <w:b/>
        </w:rPr>
        <w:t>事性</w:t>
      </w:r>
      <w:r w:rsidRPr="00DA3BC7">
        <w:rPr>
          <w:rFonts w:ascii="Times New Roman" w:hAnsi="Times New Roman" w:hint="eastAsia"/>
        </w:rPr>
        <w:t>也不如</w:t>
      </w:r>
      <w:r w:rsidRPr="008E123E">
        <w:rPr>
          <w:rFonts w:ascii="Times New Roman" w:hAnsi="Times New Roman" w:hint="eastAsia"/>
          <w:b/>
          <w:u w:val="wave" w:color="C00000"/>
        </w:rPr>
        <w:t>名相</w:t>
      </w:r>
      <w:r w:rsidRPr="00DA3BC7">
        <w:rPr>
          <w:rFonts w:ascii="Times New Roman" w:hAnsi="Times New Roman" w:hint="eastAsia"/>
        </w:rPr>
        <w:t>所表現而即為如此的，非語文意想（符號）所能表達的。但所以知有</w:t>
      </w:r>
      <w:r w:rsidRPr="008E123E">
        <w:rPr>
          <w:rFonts w:ascii="Times New Roman" w:hAnsi="Times New Roman" w:hint="eastAsia"/>
          <w:b/>
          <w:u w:val="wave" w:color="C00000"/>
        </w:rPr>
        <w:t>法性</w:t>
      </w:r>
      <w:r w:rsidR="00A731D5">
        <w:rPr>
          <w:rFonts w:ascii="Times New Roman" w:hAnsi="Times New Roman" w:hint="eastAsia"/>
        </w:rPr>
        <w:t>，不能不依</w:t>
      </w:r>
      <w:r w:rsidRPr="006E67C3">
        <w:rPr>
          <w:rFonts w:ascii="Times New Roman" w:hAnsi="Times New Roman" w:hint="eastAsia"/>
          <w:u w:val="wave" w:color="C00000"/>
        </w:rPr>
        <w:t>語</w:t>
      </w:r>
      <w:r w:rsidRPr="006E67C3">
        <w:rPr>
          <w:rFonts w:ascii="Times New Roman" w:hAnsi="Times New Roman" w:hint="eastAsia"/>
          <w:highlight w:val="yellow"/>
          <w:u w:val="wave" w:color="C00000"/>
        </w:rPr>
        <w:t>文意</w:t>
      </w:r>
      <w:r w:rsidRPr="006E67C3">
        <w:rPr>
          <w:rFonts w:ascii="Times New Roman" w:hAnsi="Times New Roman" w:hint="eastAsia"/>
          <w:u w:val="wave" w:color="C00000"/>
        </w:rPr>
        <w:t>識的所了</w:t>
      </w:r>
      <w:r w:rsidRPr="008E123E">
        <w:rPr>
          <w:rFonts w:ascii="Times New Roman" w:hAnsi="Times New Roman" w:hint="eastAsia"/>
          <w:b/>
          <w:u w:val="wave" w:color="C00000"/>
        </w:rPr>
        <w:t>相</w:t>
      </w:r>
      <w:r w:rsidRPr="00A731D5">
        <w:rPr>
          <w:rFonts w:ascii="Times New Roman" w:hAnsi="Times New Roman" w:hint="eastAsia"/>
          <w:highlight w:val="yellow"/>
        </w:rPr>
        <w:t>而</w:t>
      </w:r>
      <w:r w:rsidRPr="00DA3BC7">
        <w:rPr>
          <w:rFonts w:ascii="Times New Roman" w:hAnsi="Times New Roman" w:hint="eastAsia"/>
        </w:rPr>
        <w:t>顯出它的實性。</w:t>
      </w:r>
    </w:p>
    <w:p w:rsidR="00AA120F" w:rsidRPr="00DA3BC7" w:rsidRDefault="00AA120F" w:rsidP="00AE3920">
      <w:pPr>
        <w:spacing w:beforeLines="20"/>
        <w:ind w:leftChars="160" w:left="384"/>
        <w:jc w:val="both"/>
        <w:rPr>
          <w:rFonts w:ascii="Times New Roman" w:hAnsi="Times New Roman"/>
        </w:rPr>
      </w:pPr>
      <w:r w:rsidRPr="00DA3BC7">
        <w:rPr>
          <w:rFonts w:ascii="Times New Roman" w:hAnsi="Times New Roman" w:hint="eastAsia"/>
        </w:rPr>
        <w:t>此與認識論有關，為佛法重要論題之一。</w:t>
      </w:r>
    </w:p>
    <w:p w:rsidR="00AA120F" w:rsidRPr="00DA3BC7" w:rsidRDefault="00AA120F" w:rsidP="00AE3920">
      <w:pPr>
        <w:spacing w:beforeLines="30"/>
        <w:ind w:leftChars="150" w:left="360"/>
        <w:jc w:val="both"/>
        <w:rPr>
          <w:rFonts w:ascii="Times New Roman" w:hAnsi="Times New Roman"/>
          <w:sz w:val="20"/>
          <w:szCs w:val="26"/>
          <w:bdr w:val="single" w:sz="4" w:space="0" w:color="auto"/>
        </w:rPr>
      </w:pPr>
      <w:r w:rsidRPr="00DA3BC7">
        <w:rPr>
          <w:rFonts w:ascii="Times New Roman" w:hAnsi="Times New Roman" w:hint="eastAsia"/>
          <w:b/>
          <w:bCs/>
          <w:sz w:val="20"/>
          <w:szCs w:val="26"/>
          <w:bdr w:val="single" w:sz="4" w:space="0" w:color="auto"/>
        </w:rPr>
        <w:t>（二）</w:t>
      </w:r>
      <w:r w:rsidR="00A731D5">
        <w:rPr>
          <w:rFonts w:ascii="Times New Roman" w:hAnsi="Times New Roman" w:hint="eastAsia"/>
          <w:b/>
          <w:bCs/>
          <w:color w:val="FF0000"/>
          <w:sz w:val="20"/>
          <w:szCs w:val="20"/>
          <w:highlight w:val="yellow"/>
          <w:bdr w:val="single" w:sz="4" w:space="0" w:color="auto"/>
        </w:rPr>
        <w:t>詳明</w:t>
      </w:r>
      <w:r w:rsidRPr="00DA3BC7">
        <w:rPr>
          <w:rFonts w:ascii="Times New Roman" w:hAnsi="Times New Roman" w:hint="eastAsia"/>
          <w:bCs/>
          <w:sz w:val="20"/>
          <w:szCs w:val="20"/>
        </w:rPr>
        <w:t>（</w:t>
      </w:r>
      <w:r w:rsidRPr="00DA3BC7">
        <w:rPr>
          <w:rFonts w:ascii="Times New Roman" w:hAnsi="Times New Roman" w:hint="eastAsia"/>
          <w:bCs/>
          <w:sz w:val="20"/>
          <w:szCs w:val="20"/>
        </w:rPr>
        <w:t>pp.155-158</w:t>
      </w:r>
      <w:r w:rsidRPr="00DA3BC7">
        <w:rPr>
          <w:rFonts w:ascii="Times New Roman" w:hAnsi="Times New Roman" w:hint="eastAsia"/>
          <w:bCs/>
          <w:sz w:val="20"/>
          <w:szCs w:val="20"/>
        </w:rPr>
        <w:t>）</w:t>
      </w:r>
    </w:p>
    <w:p w:rsidR="00AA120F" w:rsidRPr="00DA3BC7" w:rsidRDefault="00AA120F" w:rsidP="00D41C1A">
      <w:pPr>
        <w:ind w:leftChars="150" w:left="360"/>
        <w:jc w:val="both"/>
        <w:rPr>
          <w:rFonts w:ascii="Times New Roman" w:hAnsi="Times New Roman"/>
          <w:b/>
          <w:sz w:val="20"/>
          <w:szCs w:val="26"/>
        </w:rPr>
      </w:pPr>
      <w:r w:rsidRPr="00DA3BC7">
        <w:rPr>
          <w:rFonts w:hint="eastAsia"/>
          <w:bCs/>
        </w:rPr>
        <w:t>此更可分為二層去說：</w:t>
      </w:r>
    </w:p>
    <w:p w:rsidR="00AA120F" w:rsidRPr="00DA3BC7" w:rsidRDefault="00AA120F" w:rsidP="00AE3920">
      <w:pPr>
        <w:spacing w:beforeLines="30"/>
        <w:ind w:leftChars="200" w:left="480"/>
        <w:jc w:val="both"/>
        <w:rPr>
          <w:rFonts w:ascii="Times New Roman" w:hAnsi="Times New Roman"/>
          <w:b/>
          <w:bCs/>
          <w:sz w:val="20"/>
          <w:szCs w:val="20"/>
        </w:rPr>
      </w:pPr>
      <w:r w:rsidRPr="00DA3BC7">
        <w:rPr>
          <w:rFonts w:ascii="Times New Roman" w:hAnsi="Times New Roman" w:hint="eastAsia"/>
          <w:b/>
          <w:bCs/>
          <w:sz w:val="20"/>
          <w:szCs w:val="20"/>
          <w:bdr w:val="single" w:sz="4" w:space="0" w:color="auto"/>
        </w:rPr>
        <w:t>1</w:t>
      </w:r>
      <w:r w:rsidRPr="00DA3BC7">
        <w:rPr>
          <w:rFonts w:ascii="Times New Roman" w:hAnsi="Times New Roman" w:hint="eastAsia"/>
          <w:b/>
          <w:bCs/>
          <w:sz w:val="20"/>
          <w:szCs w:val="20"/>
          <w:bdr w:val="single" w:sz="4" w:space="0" w:color="auto"/>
        </w:rPr>
        <w:t>、「相」與「可相」（所相）</w:t>
      </w:r>
      <w:r w:rsidRPr="00DA3BC7">
        <w:rPr>
          <w:rFonts w:ascii="Times New Roman" w:hAnsi="Times New Roman" w:hint="eastAsia"/>
          <w:bCs/>
          <w:sz w:val="20"/>
          <w:szCs w:val="20"/>
        </w:rPr>
        <w:t>（</w:t>
      </w:r>
      <w:r w:rsidRPr="00DA3BC7">
        <w:rPr>
          <w:rFonts w:ascii="Times New Roman" w:hAnsi="Times New Roman" w:hint="eastAsia"/>
          <w:bCs/>
          <w:sz w:val="20"/>
          <w:szCs w:val="20"/>
        </w:rPr>
        <w:t>pp.155-157</w:t>
      </w:r>
      <w:r w:rsidRPr="00DA3BC7">
        <w:rPr>
          <w:rFonts w:ascii="Times New Roman" w:hAnsi="Times New Roman" w:hint="eastAsia"/>
          <w:bCs/>
          <w:sz w:val="20"/>
          <w:szCs w:val="20"/>
        </w:rPr>
        <w:t>）</w:t>
      </w:r>
    </w:p>
    <w:p w:rsidR="00AA120F" w:rsidRPr="00DA3BC7" w:rsidRDefault="00AA120F" w:rsidP="008E2BBC">
      <w:pPr>
        <w:ind w:leftChars="250" w:left="600"/>
        <w:jc w:val="both"/>
        <w:rPr>
          <w:rFonts w:ascii="Times New Roman" w:hAnsi="Times New Roman"/>
          <w:b/>
          <w:bCs/>
          <w:sz w:val="20"/>
          <w:szCs w:val="20"/>
          <w:bdr w:val="single" w:sz="4" w:space="0" w:color="auto"/>
        </w:rPr>
      </w:pPr>
      <w:r w:rsidRPr="00DA3BC7">
        <w:rPr>
          <w:rFonts w:ascii="Times New Roman" w:hAnsi="Times New Roman" w:hint="eastAsia"/>
          <w:b/>
          <w:bCs/>
          <w:sz w:val="20"/>
          <w:szCs w:val="20"/>
          <w:bdr w:val="single" w:sz="4" w:space="0" w:color="auto"/>
        </w:rPr>
        <w:t>（</w:t>
      </w:r>
      <w:r w:rsidRPr="00DA3BC7">
        <w:rPr>
          <w:rFonts w:ascii="Times New Roman" w:hAnsi="Times New Roman" w:hint="eastAsia"/>
          <w:b/>
          <w:bCs/>
          <w:sz w:val="20"/>
          <w:szCs w:val="20"/>
          <w:bdr w:val="single" w:sz="4" w:space="0" w:color="auto"/>
        </w:rPr>
        <w:t>1</w:t>
      </w:r>
      <w:r w:rsidRPr="00DA3BC7">
        <w:rPr>
          <w:rFonts w:ascii="Times New Roman" w:hAnsi="Times New Roman" w:hint="eastAsia"/>
          <w:b/>
          <w:bCs/>
          <w:sz w:val="20"/>
          <w:szCs w:val="20"/>
          <w:bdr w:val="single" w:sz="4" w:space="0" w:color="auto"/>
        </w:rPr>
        <w:t>）</w:t>
      </w:r>
      <w:r w:rsidR="00A731D5" w:rsidRPr="00A731D5">
        <w:rPr>
          <w:rFonts w:ascii="Times New Roman" w:hAnsi="Times New Roman" w:hint="eastAsia"/>
          <w:b/>
          <w:bCs/>
          <w:color w:val="FF0000"/>
          <w:sz w:val="20"/>
          <w:szCs w:val="20"/>
          <w:highlight w:val="yellow"/>
          <w:bdr w:val="single" w:sz="4" w:space="0" w:color="auto"/>
        </w:rPr>
        <w:t>現量：</w:t>
      </w:r>
      <w:r w:rsidRPr="00DA3BC7">
        <w:rPr>
          <w:rFonts w:ascii="Times New Roman" w:hAnsi="Times New Roman" w:hint="eastAsia"/>
          <w:b/>
          <w:bCs/>
          <w:sz w:val="20"/>
          <w:szCs w:val="20"/>
          <w:bdr w:val="single" w:sz="4" w:space="0" w:color="auto"/>
        </w:rPr>
        <w:t>約「存在」與「樣相</w:t>
      </w:r>
      <w:r w:rsidRPr="00A731D5">
        <w:rPr>
          <w:rFonts w:ascii="Times New Roman" w:hAnsi="Times New Roman" w:hint="eastAsia"/>
          <w:b/>
          <w:bCs/>
          <w:sz w:val="20"/>
          <w:szCs w:val="20"/>
          <w:highlight w:val="yellow"/>
          <w:bdr w:val="single" w:sz="4" w:space="0" w:color="auto"/>
        </w:rPr>
        <w:t>」</w:t>
      </w:r>
      <w:r w:rsidRPr="00DA3BC7">
        <w:rPr>
          <w:rFonts w:ascii="Times New Roman" w:hAnsi="Times New Roman" w:hint="eastAsia"/>
          <w:bCs/>
          <w:sz w:val="20"/>
          <w:szCs w:val="20"/>
        </w:rPr>
        <w:t>（</w:t>
      </w:r>
      <w:r w:rsidRPr="00DA3BC7">
        <w:rPr>
          <w:rFonts w:ascii="Times New Roman" w:hAnsi="Times New Roman" w:hint="eastAsia"/>
          <w:bCs/>
          <w:sz w:val="20"/>
          <w:szCs w:val="20"/>
        </w:rPr>
        <w:t>pp.155-156</w:t>
      </w:r>
      <w:r w:rsidRPr="00DA3BC7">
        <w:rPr>
          <w:rFonts w:ascii="Times New Roman" w:hAnsi="Times New Roman" w:hint="eastAsia"/>
          <w:bCs/>
          <w:sz w:val="20"/>
          <w:szCs w:val="20"/>
        </w:rPr>
        <w:t>）</w:t>
      </w:r>
    </w:p>
    <w:p w:rsidR="00AA120F" w:rsidRPr="00DA3BC7" w:rsidRDefault="00AA120F" w:rsidP="00D41C1A">
      <w:pPr>
        <w:ind w:leftChars="300" w:left="720"/>
        <w:jc w:val="both"/>
        <w:rPr>
          <w:rFonts w:ascii="Times New Roman" w:hAnsi="Times New Roman"/>
          <w:b/>
          <w:bCs/>
          <w:sz w:val="20"/>
          <w:szCs w:val="20"/>
          <w:bdr w:val="single" w:sz="4" w:space="0" w:color="auto"/>
        </w:rPr>
      </w:pPr>
      <w:r w:rsidRPr="00DA3BC7">
        <w:rPr>
          <w:rFonts w:ascii="Times New Roman" w:hAnsi="Times New Roman" w:hint="eastAsia"/>
          <w:b/>
          <w:bCs/>
          <w:sz w:val="20"/>
          <w:szCs w:val="20"/>
          <w:bdr w:val="single" w:sz="4" w:space="0" w:color="auto"/>
        </w:rPr>
        <w:t>A</w:t>
      </w:r>
      <w:r w:rsidRPr="00DA3BC7">
        <w:rPr>
          <w:rFonts w:ascii="Times New Roman" w:hAnsi="Times New Roman" w:hint="eastAsia"/>
          <w:b/>
          <w:bCs/>
          <w:sz w:val="20"/>
          <w:szCs w:val="20"/>
          <w:bdr w:val="single" w:sz="4" w:space="0" w:color="auto"/>
        </w:rPr>
        <w:t>、</w:t>
      </w:r>
      <w:r w:rsidR="00A731D5">
        <w:rPr>
          <w:rFonts w:ascii="Times New Roman" w:hAnsi="Times New Roman" w:hint="eastAsia"/>
          <w:b/>
          <w:bCs/>
          <w:color w:val="FF0000"/>
          <w:sz w:val="20"/>
          <w:szCs w:val="20"/>
          <w:highlight w:val="yellow"/>
          <w:bdr w:val="single" w:sz="4" w:space="0" w:color="auto"/>
        </w:rPr>
        <w:t>明義</w:t>
      </w:r>
      <w:r w:rsidRPr="00DA3BC7">
        <w:rPr>
          <w:rFonts w:ascii="Times New Roman" w:hAnsi="Times New Roman" w:hint="eastAsia"/>
          <w:bCs/>
          <w:sz w:val="20"/>
          <w:szCs w:val="20"/>
        </w:rPr>
        <w:t>（</w:t>
      </w:r>
      <w:r w:rsidRPr="00DA3BC7">
        <w:rPr>
          <w:rFonts w:ascii="Times New Roman" w:hAnsi="Times New Roman" w:hint="eastAsia"/>
          <w:bCs/>
          <w:sz w:val="20"/>
          <w:szCs w:val="20"/>
        </w:rPr>
        <w:t>p.155</w:t>
      </w:r>
      <w:r w:rsidRPr="00DA3BC7">
        <w:rPr>
          <w:rFonts w:ascii="Times New Roman" w:hAnsi="Times New Roman" w:hint="eastAsia"/>
          <w:bCs/>
          <w:sz w:val="20"/>
          <w:szCs w:val="20"/>
        </w:rPr>
        <w:t>）</w:t>
      </w:r>
    </w:p>
    <w:p w:rsidR="00AA120F" w:rsidRPr="00DA3BC7" w:rsidRDefault="00AA120F" w:rsidP="00D41C1A">
      <w:pPr>
        <w:ind w:leftChars="300" w:left="720"/>
        <w:jc w:val="both"/>
        <w:rPr>
          <w:rFonts w:ascii="Times New Roman" w:hAnsi="Times New Roman"/>
          <w:bCs/>
        </w:rPr>
      </w:pPr>
      <w:r w:rsidRPr="00DA3BC7">
        <w:rPr>
          <w:rFonts w:ascii="Times New Roman" w:hAnsi="Times New Roman" w:hint="eastAsia"/>
          <w:bCs/>
        </w:rPr>
        <w:t>一、即</w:t>
      </w:r>
      <w:r w:rsidRPr="006E67C3">
        <w:rPr>
          <w:rFonts w:ascii="Times New Roman" w:hAnsi="Times New Roman" w:hint="eastAsia"/>
          <w:b/>
          <w:u w:val="wave" w:color="C00000"/>
        </w:rPr>
        <w:t>相</w:t>
      </w:r>
      <w:r w:rsidRPr="006E67C3">
        <w:rPr>
          <w:rFonts w:ascii="Times New Roman" w:hAnsi="Times New Roman" w:hint="eastAsia"/>
          <w:bCs/>
        </w:rPr>
        <w:t>與</w:t>
      </w:r>
      <w:r w:rsidRPr="006E67C3">
        <w:rPr>
          <w:rFonts w:ascii="Times New Roman" w:hAnsi="Times New Roman" w:hint="eastAsia"/>
          <w:b/>
          <w:u w:val="wave" w:color="C00000"/>
        </w:rPr>
        <w:t>可相</w:t>
      </w:r>
      <w:r w:rsidRPr="00DA3BC7">
        <w:rPr>
          <w:rFonts w:ascii="Times New Roman" w:hAnsi="Times New Roman" w:hint="eastAsia"/>
          <w:bCs/>
        </w:rPr>
        <w:t>，約一一事物的</w:t>
      </w:r>
      <w:r w:rsidRPr="00DA3BC7">
        <w:rPr>
          <w:rFonts w:ascii="Times New Roman" w:hAnsi="Times New Roman" w:hint="eastAsia"/>
          <w:b/>
          <w:bCs/>
        </w:rPr>
        <w:t>藉相知性</w:t>
      </w:r>
      <w:r w:rsidRPr="00DA3BC7">
        <w:rPr>
          <w:rFonts w:ascii="Times New Roman" w:hAnsi="Times New Roman" w:hint="eastAsia"/>
          <w:bCs/>
        </w:rPr>
        <w:t>說。事事物物──</w:t>
      </w:r>
      <w:r w:rsidRPr="006E67C3">
        <w:rPr>
          <w:rFonts w:ascii="Times New Roman" w:hAnsi="Times New Roman" w:hint="eastAsia"/>
          <w:b/>
          <w:u w:val="wave" w:color="C00000"/>
        </w:rPr>
        <w:t>性</w:t>
      </w:r>
      <w:r w:rsidRPr="00DA3BC7">
        <w:rPr>
          <w:rFonts w:ascii="Times New Roman" w:hAnsi="Times New Roman" w:hint="eastAsia"/>
          <w:bCs/>
        </w:rPr>
        <w:t>的所以確定他是有，即由於有某種相為我們所知的。</w:t>
      </w:r>
    </w:p>
    <w:p w:rsidR="00AA120F" w:rsidRPr="00DA3BC7" w:rsidRDefault="00AA120F" w:rsidP="00AE3920">
      <w:pPr>
        <w:spacing w:beforeLines="20"/>
        <w:ind w:leftChars="300" w:left="720"/>
        <w:jc w:val="both"/>
        <w:rPr>
          <w:rFonts w:ascii="Times New Roman" w:hAnsi="Times New Roman"/>
          <w:bCs/>
        </w:rPr>
      </w:pPr>
      <w:r w:rsidRPr="006E67C3">
        <w:rPr>
          <w:rFonts w:ascii="Times New Roman" w:hAnsi="Times New Roman" w:hint="eastAsia"/>
          <w:b/>
          <w:u w:val="wave" w:color="C00000"/>
        </w:rPr>
        <w:t>相</w:t>
      </w:r>
      <w:r w:rsidRPr="00DA3BC7">
        <w:rPr>
          <w:rFonts w:ascii="Times New Roman" w:hAnsi="Times New Roman" w:hint="eastAsia"/>
          <w:bCs/>
        </w:rPr>
        <w:t>有表示此法自性的作用，是</w:t>
      </w:r>
      <w:r w:rsidRPr="00DA3BC7">
        <w:rPr>
          <w:rFonts w:ascii="Times New Roman" w:hAnsi="Times New Roman" w:hint="eastAsia"/>
          <w:b/>
          <w:bCs/>
        </w:rPr>
        <w:t>能相</w:t>
      </w:r>
      <w:r w:rsidRPr="00DA3BC7">
        <w:rPr>
          <w:rFonts w:ascii="Times New Roman" w:hAnsi="Times New Roman" w:hint="eastAsia"/>
          <w:bCs/>
        </w:rPr>
        <w:t>。</w:t>
      </w:r>
    </w:p>
    <w:p w:rsidR="00AA120F" w:rsidRPr="00DA3BC7" w:rsidRDefault="00AA120F" w:rsidP="00AE3920">
      <w:pPr>
        <w:spacing w:afterLines="30"/>
        <w:ind w:leftChars="300" w:left="720"/>
        <w:jc w:val="both"/>
        <w:rPr>
          <w:rFonts w:ascii="Times New Roman" w:hAnsi="Times New Roman"/>
          <w:bCs/>
        </w:rPr>
      </w:pPr>
      <w:r w:rsidRPr="006E67C3">
        <w:rPr>
          <w:rFonts w:ascii="Times New Roman" w:hAnsi="Times New Roman" w:hint="eastAsia"/>
          <w:b/>
          <w:u w:val="wave" w:color="C00000"/>
        </w:rPr>
        <w:t>性</w:t>
      </w:r>
      <w:r w:rsidRPr="00DA3BC7">
        <w:rPr>
          <w:rFonts w:ascii="Times New Roman" w:hAnsi="Times New Roman" w:hint="eastAsia"/>
          <w:bCs/>
        </w:rPr>
        <w:t>即是</w:t>
      </w:r>
      <w:r w:rsidRPr="00DA3BC7">
        <w:rPr>
          <w:rFonts w:ascii="Times New Roman" w:hAnsi="Times New Roman" w:hint="eastAsia"/>
          <w:b/>
          <w:bCs/>
        </w:rPr>
        <w:t>可（所）相</w:t>
      </w:r>
      <w:r w:rsidRPr="00DA3BC7">
        <w:rPr>
          <w:rFonts w:ascii="Times New Roman" w:hAnsi="Times New Roman" w:hint="eastAsia"/>
          <w:bCs/>
        </w:rPr>
        <w:t>。</w:t>
      </w:r>
    </w:p>
    <w:p w:rsidR="00AA120F" w:rsidRPr="00DA3BC7" w:rsidRDefault="00AA120F" w:rsidP="00AE3920">
      <w:pPr>
        <w:spacing w:beforeLines="20"/>
        <w:ind w:leftChars="300" w:left="720"/>
        <w:jc w:val="both"/>
        <w:rPr>
          <w:rFonts w:ascii="Times New Roman" w:hAnsi="Times New Roman"/>
          <w:bCs/>
        </w:rPr>
      </w:pPr>
      <w:r w:rsidRPr="00DA3BC7">
        <w:rPr>
          <w:rFonts w:ascii="Times New Roman" w:hAnsi="Times New Roman" w:hint="eastAsia"/>
          <w:bCs/>
        </w:rPr>
        <w:t>我們藉此相的表示，得以了知此法是有的，而且是不同餘法的。所以，凡是存在的，即不能不是有相的，《中論》說：「</w:t>
      </w:r>
      <w:r w:rsidRPr="00DA3BC7">
        <w:rPr>
          <w:rFonts w:ascii="標楷體" w:eastAsia="標楷體" w:hAnsi="標楷體" w:hint="eastAsia"/>
          <w:bCs/>
        </w:rPr>
        <w:t>是無相之法，一切處無有</w:t>
      </w:r>
      <w:r w:rsidRPr="00DA3BC7">
        <w:rPr>
          <w:rFonts w:ascii="Times New Roman" w:hAnsi="Times New Roman" w:hint="eastAsia"/>
          <w:bCs/>
        </w:rPr>
        <w:t>。」</w:t>
      </w:r>
      <w:r w:rsidRPr="00DA3BC7">
        <w:rPr>
          <w:rFonts w:ascii="Times New Roman" w:hAnsi="Times New Roman"/>
          <w:bCs/>
          <w:vertAlign w:val="superscript"/>
        </w:rPr>
        <w:footnoteReference w:id="725"/>
      </w:r>
    </w:p>
    <w:p w:rsidR="00AA120F" w:rsidRPr="00DA3BC7" w:rsidRDefault="00AA120F" w:rsidP="00D41C1A">
      <w:pPr>
        <w:ind w:leftChars="300" w:left="720"/>
        <w:jc w:val="both"/>
        <w:rPr>
          <w:rFonts w:ascii="Times New Roman" w:hAnsi="Times New Roman"/>
          <w:b/>
          <w:bCs/>
          <w:sz w:val="20"/>
          <w:szCs w:val="20"/>
          <w:bdr w:val="single" w:sz="4" w:space="0" w:color="auto"/>
        </w:rPr>
      </w:pPr>
      <w:r w:rsidRPr="00DA3BC7">
        <w:rPr>
          <w:rFonts w:ascii="Times New Roman" w:hAnsi="Times New Roman" w:hint="eastAsia"/>
          <w:b/>
          <w:bCs/>
          <w:sz w:val="20"/>
          <w:szCs w:val="20"/>
          <w:bdr w:val="single" w:sz="4" w:space="0" w:color="auto"/>
        </w:rPr>
        <w:t>B</w:t>
      </w:r>
      <w:r w:rsidRPr="00DA3BC7">
        <w:rPr>
          <w:rFonts w:ascii="Times New Roman" w:hAnsi="Times New Roman" w:hint="eastAsia"/>
          <w:b/>
          <w:bCs/>
          <w:sz w:val="20"/>
          <w:szCs w:val="20"/>
          <w:bdr w:val="single" w:sz="4" w:space="0" w:color="auto"/>
        </w:rPr>
        <w:t>、</w:t>
      </w:r>
      <w:r w:rsidR="00A731D5">
        <w:rPr>
          <w:rFonts w:ascii="Times New Roman" w:hAnsi="Times New Roman" w:hint="eastAsia"/>
          <w:b/>
          <w:bCs/>
          <w:color w:val="FF0000"/>
          <w:sz w:val="20"/>
          <w:szCs w:val="20"/>
          <w:highlight w:val="yellow"/>
          <w:bdr w:val="single" w:sz="4" w:space="0" w:color="auto"/>
        </w:rPr>
        <w:t>簡非</w:t>
      </w:r>
      <w:r w:rsidRPr="00DA3BC7">
        <w:rPr>
          <w:rFonts w:ascii="Times New Roman" w:hAnsi="Times New Roman" w:hint="eastAsia"/>
          <w:bCs/>
          <w:sz w:val="20"/>
          <w:szCs w:val="20"/>
        </w:rPr>
        <w:t>（</w:t>
      </w:r>
      <w:r w:rsidRPr="00DA3BC7">
        <w:rPr>
          <w:rFonts w:ascii="Times New Roman" w:hAnsi="Times New Roman" w:hint="eastAsia"/>
          <w:bCs/>
          <w:sz w:val="20"/>
          <w:szCs w:val="20"/>
        </w:rPr>
        <w:t>pp.155-156</w:t>
      </w:r>
      <w:r w:rsidRPr="00DA3BC7">
        <w:rPr>
          <w:rFonts w:ascii="Times New Roman" w:hAnsi="Times New Roman" w:hint="eastAsia"/>
          <w:bCs/>
          <w:sz w:val="20"/>
          <w:szCs w:val="20"/>
        </w:rPr>
        <w:t>）</w:t>
      </w:r>
    </w:p>
    <w:p w:rsidR="00AA120F" w:rsidRPr="00DA3BC7" w:rsidRDefault="00AA120F" w:rsidP="00D41C1A">
      <w:pPr>
        <w:ind w:leftChars="300" w:left="720"/>
        <w:jc w:val="both"/>
        <w:rPr>
          <w:rFonts w:ascii="Times New Roman" w:hAnsi="Times New Roman"/>
        </w:rPr>
      </w:pPr>
      <w:r w:rsidRPr="00DA3BC7">
        <w:rPr>
          <w:rFonts w:ascii="Times New Roman" w:hAnsi="Times New Roman" w:hint="eastAsia"/>
        </w:rPr>
        <w:t>在常人的自性妄見中，於相及可相，不能了解為緣起的，於是</w:t>
      </w:r>
      <w:r w:rsidR="00A731D5">
        <w:rPr>
          <w:rFonts w:ascii="Times New Roman" w:hAnsi="Times New Roman" w:hint="eastAsia"/>
          <w:b/>
        </w:rPr>
        <w:t>有執為是</w:t>
      </w:r>
      <w:r w:rsidR="00A731D5" w:rsidRPr="006E67C3">
        <w:rPr>
          <w:rFonts w:ascii="Times New Roman" w:hAnsi="Times New Roman" w:hint="eastAsia"/>
          <w:b/>
          <w:u w:val="wave" w:color="C00000"/>
        </w:rPr>
        <w:t>一</w:t>
      </w:r>
      <w:r w:rsidRPr="00DA3BC7">
        <w:rPr>
          <w:rFonts w:ascii="Times New Roman" w:hAnsi="Times New Roman" w:hint="eastAsia"/>
          <w:b/>
        </w:rPr>
        <w:t>的</w:t>
      </w:r>
      <w:r w:rsidRPr="00DA3BC7">
        <w:rPr>
          <w:rFonts w:ascii="Times New Roman" w:hAnsi="Times New Roman" w:hint="eastAsia"/>
        </w:rPr>
        <w:t>，</w:t>
      </w:r>
      <w:r w:rsidRPr="00DA3BC7">
        <w:rPr>
          <w:rFonts w:ascii="Times New Roman" w:hAnsi="Times New Roman" w:hint="eastAsia"/>
          <w:b/>
        </w:rPr>
        <w:t>也有執為是</w:t>
      </w:r>
      <w:r w:rsidRPr="006E67C3">
        <w:rPr>
          <w:rFonts w:ascii="Times New Roman" w:hAnsi="Times New Roman" w:hint="eastAsia"/>
          <w:b/>
          <w:u w:val="wave" w:color="C00000"/>
        </w:rPr>
        <w:t>異</w:t>
      </w:r>
      <w:r w:rsidRPr="00DA3BC7">
        <w:rPr>
          <w:rFonts w:ascii="Times New Roman" w:hAnsi="Times New Roman" w:hint="eastAsia"/>
          <w:b/>
        </w:rPr>
        <w:t>的</w:t>
      </w:r>
      <w:r w:rsidRPr="00DA3BC7">
        <w:rPr>
          <w:rFonts w:ascii="Times New Roman" w:hAnsi="Times New Roman" w:hint="eastAsia"/>
        </w:rPr>
        <w:t>。</w:t>
      </w:r>
    </w:p>
    <w:p w:rsidR="00AA120F" w:rsidRPr="00DA3BC7" w:rsidRDefault="00AA120F" w:rsidP="00AE3920">
      <w:pPr>
        <w:spacing w:beforeLines="20"/>
        <w:ind w:leftChars="300" w:left="720"/>
        <w:jc w:val="both"/>
        <w:rPr>
          <w:rFonts w:ascii="Times New Roman" w:hAnsi="Times New Roman"/>
        </w:rPr>
      </w:pPr>
      <w:r w:rsidRPr="00DA3BC7">
        <w:rPr>
          <w:rFonts w:ascii="Times New Roman" w:hAnsi="Times New Roman" w:hint="eastAsia"/>
        </w:rPr>
        <w:t>執</w:t>
      </w:r>
      <w:r w:rsidRPr="00DA3BC7">
        <w:rPr>
          <w:rFonts w:ascii="Times New Roman" w:hAnsi="Times New Roman" w:hint="eastAsia"/>
          <w:b/>
        </w:rPr>
        <w:t>一</w:t>
      </w:r>
      <w:r w:rsidRPr="00DA3BC7">
        <w:rPr>
          <w:rFonts w:ascii="Times New Roman" w:hAnsi="Times New Roman" w:hint="eastAsia"/>
        </w:rPr>
        <w:t>者，以為</w:t>
      </w:r>
      <w:r w:rsidRPr="006E67C3">
        <w:rPr>
          <w:rFonts w:ascii="Times New Roman" w:hAnsi="Times New Roman" w:hint="eastAsia"/>
          <w:b/>
          <w:u w:val="wave" w:color="C00000"/>
        </w:rPr>
        <w:t>相</w:t>
      </w:r>
      <w:r w:rsidRPr="00DA3BC7">
        <w:rPr>
          <w:rFonts w:ascii="Times New Roman" w:hAnsi="Times New Roman" w:hint="eastAsia"/>
        </w:rPr>
        <w:t>與</w:t>
      </w:r>
      <w:r w:rsidRPr="006E67C3">
        <w:rPr>
          <w:rFonts w:ascii="Times New Roman" w:hAnsi="Times New Roman" w:hint="eastAsia"/>
          <w:b/>
          <w:u w:val="wave" w:color="C00000"/>
        </w:rPr>
        <w:t>可相</w:t>
      </w:r>
      <w:r w:rsidRPr="00DA3BC7">
        <w:rPr>
          <w:rFonts w:ascii="Times New Roman" w:hAnsi="Times New Roman" w:hint="eastAsia"/>
        </w:rPr>
        <w:t>一體；</w:t>
      </w:r>
    </w:p>
    <w:p w:rsidR="00AA120F" w:rsidRPr="00DA3BC7" w:rsidRDefault="00AA120F" w:rsidP="00D41C1A">
      <w:pPr>
        <w:ind w:leftChars="300" w:left="720"/>
        <w:jc w:val="both"/>
        <w:rPr>
          <w:rFonts w:ascii="Times New Roman" w:hAnsi="Times New Roman"/>
        </w:rPr>
      </w:pPr>
      <w:r w:rsidRPr="00DA3BC7">
        <w:rPr>
          <w:rFonts w:ascii="Times New Roman" w:hAnsi="Times New Roman" w:hint="eastAsia"/>
        </w:rPr>
        <w:t>執</w:t>
      </w:r>
      <w:r w:rsidRPr="00DA3BC7">
        <w:rPr>
          <w:rFonts w:ascii="Times New Roman" w:hAnsi="Times New Roman" w:hint="eastAsia"/>
          <w:b/>
        </w:rPr>
        <w:t>異</w:t>
      </w:r>
      <w:r w:rsidRPr="00DA3BC7">
        <w:rPr>
          <w:rFonts w:ascii="Times New Roman" w:hAnsi="Times New Roman" w:hint="eastAsia"/>
        </w:rPr>
        <w:t>者，以為體性、形相各有自性，如勝論師執「實」是體，「德」是相。</w:t>
      </w:r>
      <w:r w:rsidRPr="00DA3BC7">
        <w:rPr>
          <w:rStyle w:val="a6"/>
          <w:rFonts w:ascii="Times New Roman" w:hAnsi="Times New Roman"/>
        </w:rPr>
        <w:footnoteReference w:id="726"/>
      </w:r>
    </w:p>
    <w:p w:rsidR="00AA120F" w:rsidRPr="00DA3BC7" w:rsidRDefault="00AA120F" w:rsidP="00AE3920">
      <w:pPr>
        <w:spacing w:beforeLines="20"/>
        <w:ind w:leftChars="300" w:left="720"/>
        <w:jc w:val="both"/>
        <w:rPr>
          <w:rFonts w:ascii="Times New Roman" w:hAnsi="Times New Roman"/>
        </w:rPr>
      </w:pPr>
      <w:r w:rsidRPr="00DA3BC7">
        <w:rPr>
          <w:rFonts w:ascii="Times New Roman" w:hAnsi="Times New Roman" w:hint="eastAsia"/>
        </w:rPr>
        <w:t>這在佛法裏，批評的地方很多，《中論》</w:t>
      </w:r>
      <w:r w:rsidR="00567ED6">
        <w:rPr>
          <w:rFonts w:ascii="Times New Roman" w:hAnsi="Times New Roman" w:hint="eastAsia"/>
        </w:rPr>
        <w:t>〈</w:t>
      </w:r>
      <w:r w:rsidR="00567ED6" w:rsidRPr="00567ED6">
        <w:rPr>
          <w:rFonts w:ascii="Times New Roman" w:hAnsi="Times New Roman" w:hint="eastAsia"/>
          <w:shd w:val="pct15" w:color="auto" w:fill="FFFFFF"/>
        </w:rPr>
        <w:t>5</w:t>
      </w:r>
      <w:r w:rsidR="00567ED6">
        <w:rPr>
          <w:rFonts w:ascii="Times New Roman" w:hAnsi="Times New Roman" w:hint="eastAsia"/>
        </w:rPr>
        <w:t xml:space="preserve"> </w:t>
      </w:r>
      <w:r w:rsidR="00567ED6" w:rsidRPr="00DA3BC7">
        <w:rPr>
          <w:rFonts w:ascii="Times New Roman" w:hAnsi="Times New Roman" w:hint="eastAsia"/>
        </w:rPr>
        <w:t>觀六種品</w:t>
      </w:r>
      <w:r w:rsidR="00567ED6">
        <w:rPr>
          <w:rFonts w:ascii="Times New Roman" w:hAnsi="Times New Roman" w:hint="eastAsia"/>
        </w:rPr>
        <w:t>〉〉</w:t>
      </w:r>
      <w:r w:rsidRPr="00DA3BC7">
        <w:rPr>
          <w:rFonts w:ascii="Times New Roman" w:hAnsi="Times New Roman" w:hint="eastAsia"/>
        </w:rPr>
        <w:t>，和《十二門</w:t>
      </w:r>
      <w:r w:rsidRPr="00DA3BC7">
        <w:rPr>
          <w:rFonts w:ascii="Times New Roman" w:hAnsi="Times New Roman" w:hint="eastAsia"/>
        </w:rPr>
        <w:lastRenderedPageBreak/>
        <w:t>論》〈觀有相無相門〉、〈觀一異門〉等，都曾論評過。</w:t>
      </w:r>
      <w:r w:rsidR="00A731D5" w:rsidRPr="00A731D5">
        <w:rPr>
          <w:rStyle w:val="a6"/>
          <w:rFonts w:ascii="Times New Roman" w:hAnsi="Times New Roman"/>
          <w:color w:val="FF0000"/>
          <w:highlight w:val="yellow"/>
        </w:rPr>
        <w:footnoteReference w:id="727"/>
      </w:r>
    </w:p>
    <w:p w:rsidR="00AA120F" w:rsidRPr="00DA3BC7" w:rsidRDefault="00995F89" w:rsidP="00AE3920">
      <w:pPr>
        <w:spacing w:beforeLines="30"/>
        <w:ind w:leftChars="300" w:left="720"/>
        <w:jc w:val="both"/>
        <w:rPr>
          <w:rFonts w:ascii="Times New Roman" w:hAnsi="Times New Roman"/>
        </w:rPr>
      </w:pPr>
      <w:r w:rsidRPr="00995F89">
        <w:rPr>
          <w:rFonts w:ascii="Times New Roman" w:hAnsi="Times New Roman" w:hint="eastAsia"/>
          <w:b/>
          <w:color w:val="FF0000"/>
          <w:sz w:val="20"/>
          <w:szCs w:val="20"/>
          <w:highlight w:val="yellow"/>
          <w:bdr w:val="single" w:sz="4" w:space="0" w:color="auto"/>
        </w:rPr>
        <w:t>C</w:t>
      </w:r>
      <w:r w:rsidRPr="00995F89">
        <w:rPr>
          <w:rFonts w:ascii="Times New Roman" w:hAnsi="Times New Roman" w:hint="eastAsia"/>
          <w:b/>
          <w:color w:val="FF0000"/>
          <w:sz w:val="20"/>
          <w:szCs w:val="20"/>
          <w:highlight w:val="yellow"/>
          <w:bdr w:val="single" w:sz="4" w:space="0" w:color="auto"/>
        </w:rPr>
        <w:t>、顯正</w:t>
      </w:r>
      <w:r w:rsidR="00AA120F" w:rsidRPr="00DA3BC7">
        <w:rPr>
          <w:rFonts w:ascii="Times New Roman" w:hAnsi="Times New Roman" w:hint="eastAsia"/>
          <w:bCs/>
          <w:sz w:val="20"/>
          <w:szCs w:val="20"/>
        </w:rPr>
        <w:t>（</w:t>
      </w:r>
      <w:r w:rsidR="00AA120F" w:rsidRPr="00DA3BC7">
        <w:rPr>
          <w:rFonts w:ascii="Times New Roman" w:hAnsi="Times New Roman" w:hint="eastAsia"/>
          <w:bCs/>
          <w:sz w:val="20"/>
          <w:szCs w:val="20"/>
        </w:rPr>
        <w:t>p.156</w:t>
      </w:r>
      <w:r w:rsidR="00AA120F" w:rsidRPr="00DA3BC7">
        <w:rPr>
          <w:rFonts w:ascii="Times New Roman" w:hAnsi="Times New Roman" w:hint="eastAsia"/>
          <w:bCs/>
          <w:sz w:val="20"/>
          <w:szCs w:val="20"/>
        </w:rPr>
        <w:t>）</w:t>
      </w:r>
    </w:p>
    <w:p w:rsidR="00AA120F" w:rsidRPr="00DA3BC7" w:rsidRDefault="00AA120F" w:rsidP="00D41C1A">
      <w:pPr>
        <w:ind w:leftChars="300" w:left="720"/>
        <w:jc w:val="both"/>
        <w:rPr>
          <w:rFonts w:ascii="Times New Roman" w:hAnsi="Times New Roman"/>
        </w:rPr>
      </w:pPr>
      <w:r w:rsidRPr="00DA3BC7">
        <w:rPr>
          <w:rFonts w:ascii="Times New Roman" w:hAnsi="Times New Roman" w:hint="eastAsia"/>
        </w:rPr>
        <w:t>本來，諸法是離</w:t>
      </w:r>
      <w:r w:rsidRPr="006E67C3">
        <w:rPr>
          <w:rFonts w:ascii="Times New Roman" w:hAnsi="Times New Roman" w:hint="eastAsia"/>
          <w:b/>
          <w:u w:val="wave" w:color="C00000"/>
        </w:rPr>
        <w:t>相</w:t>
      </w:r>
      <w:r w:rsidR="00995F89">
        <w:rPr>
          <w:rFonts w:ascii="Times New Roman" w:hAnsi="Times New Roman" w:hint="eastAsia"/>
        </w:rPr>
        <w:t>無</w:t>
      </w:r>
      <w:r w:rsidR="00995F89" w:rsidRPr="006E67C3">
        <w:rPr>
          <w:rFonts w:ascii="Times New Roman" w:hAnsi="Times New Roman" w:hint="eastAsia"/>
          <w:b/>
          <w:u w:val="wave" w:color="C00000"/>
        </w:rPr>
        <w:t>可相</w:t>
      </w:r>
      <w:r w:rsidR="00995F89">
        <w:rPr>
          <w:rFonts w:ascii="Times New Roman" w:hAnsi="Times New Roman" w:hint="eastAsia"/>
        </w:rPr>
        <w:t>，離</w:t>
      </w:r>
      <w:r w:rsidR="00995F89" w:rsidRPr="006E67C3">
        <w:rPr>
          <w:rFonts w:ascii="Times New Roman" w:hAnsi="Times New Roman" w:hint="eastAsia"/>
          <w:b/>
          <w:u w:val="wave" w:color="C00000"/>
        </w:rPr>
        <w:t>可相</w:t>
      </w:r>
      <w:r w:rsidR="00995F89">
        <w:rPr>
          <w:rFonts w:ascii="Times New Roman" w:hAnsi="Times New Roman" w:hint="eastAsia"/>
        </w:rPr>
        <w:t>無</w:t>
      </w:r>
      <w:r w:rsidR="00995F89" w:rsidRPr="006E67C3">
        <w:rPr>
          <w:rFonts w:ascii="Times New Roman" w:hAnsi="Times New Roman" w:hint="eastAsia"/>
          <w:b/>
          <w:u w:val="wave" w:color="C00000"/>
        </w:rPr>
        <w:t>相</w:t>
      </w:r>
      <w:r w:rsidRPr="00DA3BC7">
        <w:rPr>
          <w:rFonts w:ascii="Times New Roman" w:hAnsi="Times New Roman" w:hint="eastAsia"/>
        </w:rPr>
        <w:t>的。如長頷</w:t>
      </w:r>
      <w:r w:rsidRPr="00DA3BC7">
        <w:rPr>
          <w:rStyle w:val="a6"/>
          <w:rFonts w:ascii="Times New Roman" w:hAnsi="Times New Roman"/>
        </w:rPr>
        <w:footnoteReference w:id="728"/>
      </w:r>
      <w:r w:rsidRPr="00DA3BC7">
        <w:rPr>
          <w:rFonts w:ascii="Times New Roman" w:hAnsi="Times New Roman" w:hint="eastAsia"/>
        </w:rPr>
        <w:t>、兩角等為牛相，我們唯從此等相而知有牛，離此角等相外無別牛體，有牛也必定有此等牛相。所以，計執為各別有性的，純粹是抽象的、割裂的。</w:t>
      </w:r>
    </w:p>
    <w:p w:rsidR="00AA120F" w:rsidRPr="00DA3BC7" w:rsidRDefault="00AA120F" w:rsidP="00AE3920">
      <w:pPr>
        <w:spacing w:beforeLines="20"/>
        <w:ind w:leftChars="300" w:left="720"/>
        <w:jc w:val="both"/>
        <w:rPr>
          <w:rFonts w:ascii="Times New Roman" w:hAnsi="Times New Roman"/>
        </w:rPr>
      </w:pPr>
      <w:r w:rsidRPr="00DA3BC7">
        <w:rPr>
          <w:rFonts w:ascii="Times New Roman" w:hAnsi="Times New Roman" w:hint="eastAsia"/>
        </w:rPr>
        <w:t>但</w:t>
      </w:r>
      <w:r w:rsidRPr="006E67C3">
        <w:rPr>
          <w:rFonts w:ascii="Times New Roman" w:hAnsi="Times New Roman" w:hint="eastAsia"/>
          <w:b/>
          <w:u w:val="wave" w:color="C00000"/>
        </w:rPr>
        <w:t>相</w:t>
      </w:r>
      <w:r w:rsidRPr="00DA3BC7">
        <w:rPr>
          <w:rFonts w:ascii="Times New Roman" w:hAnsi="Times New Roman" w:hint="eastAsia"/>
        </w:rPr>
        <w:t>也不即是</w:t>
      </w:r>
      <w:r w:rsidRPr="006E67C3">
        <w:rPr>
          <w:rFonts w:ascii="Times New Roman" w:hAnsi="Times New Roman" w:hint="eastAsia"/>
          <w:b/>
          <w:u w:val="wave" w:color="C00000"/>
        </w:rPr>
        <w:t>可相</w:t>
      </w:r>
      <w:r w:rsidRPr="00DA3BC7">
        <w:rPr>
          <w:rFonts w:ascii="Times New Roman" w:hAnsi="Times New Roman" w:hint="eastAsia"/>
        </w:rPr>
        <w:t>，</w:t>
      </w:r>
    </w:p>
    <w:p w:rsidR="00AA120F" w:rsidRPr="00DA3BC7" w:rsidRDefault="00AA120F" w:rsidP="00D41C1A">
      <w:pPr>
        <w:ind w:leftChars="300" w:left="720"/>
        <w:jc w:val="both"/>
        <w:rPr>
          <w:rFonts w:ascii="Times New Roman" w:hAnsi="Times New Roman"/>
        </w:rPr>
      </w:pPr>
      <w:r w:rsidRPr="00DA3BC7">
        <w:rPr>
          <w:rFonts w:ascii="Times New Roman" w:hAnsi="Times New Roman" w:hint="eastAsia"/>
        </w:rPr>
        <w:t>以</w:t>
      </w:r>
      <w:r w:rsidRPr="006E67C3">
        <w:rPr>
          <w:rFonts w:ascii="Times New Roman" w:hAnsi="Times New Roman" w:hint="eastAsia"/>
          <w:b/>
          <w:u w:val="wave" w:color="C00000"/>
        </w:rPr>
        <w:t>可相</w:t>
      </w:r>
      <w:r w:rsidRPr="00DA3BC7">
        <w:rPr>
          <w:rFonts w:ascii="Times New Roman" w:hAnsi="Times New Roman" w:hint="eastAsia"/>
        </w:rPr>
        <w:t>是</w:t>
      </w:r>
      <w:r w:rsidRPr="00DA3BC7">
        <w:rPr>
          <w:rFonts w:ascii="Times New Roman" w:hAnsi="Times New Roman" w:hint="eastAsia"/>
          <w:b/>
        </w:rPr>
        <w:t>緣起幻現的存在合一性</w:t>
      </w:r>
      <w:r w:rsidRPr="00DA3BC7">
        <w:rPr>
          <w:rFonts w:ascii="Times New Roman" w:hAnsi="Times New Roman" w:hint="eastAsia"/>
        </w:rPr>
        <w:t>，</w:t>
      </w:r>
    </w:p>
    <w:p w:rsidR="00AA120F" w:rsidRPr="00DA3BC7" w:rsidRDefault="00AA120F" w:rsidP="00D41C1A">
      <w:pPr>
        <w:ind w:leftChars="300" w:left="720"/>
        <w:jc w:val="both"/>
        <w:rPr>
          <w:rFonts w:ascii="Times New Roman" w:hAnsi="Times New Roman"/>
        </w:rPr>
      </w:pPr>
      <w:r w:rsidRPr="00DA3BC7">
        <w:rPr>
          <w:rFonts w:ascii="Times New Roman" w:hAnsi="Times New Roman" w:hint="eastAsia"/>
        </w:rPr>
        <w:t>而</w:t>
      </w:r>
      <w:r w:rsidRPr="00DA3BC7">
        <w:rPr>
          <w:rFonts w:ascii="Times New Roman" w:hAnsi="Times New Roman" w:hint="eastAsia"/>
          <w:b/>
        </w:rPr>
        <w:t>在緣起和合所有的種種差別</w:t>
      </w:r>
      <w:r w:rsidRPr="00DA3BC7">
        <w:rPr>
          <w:rFonts w:ascii="Times New Roman" w:hAnsi="Times New Roman" w:hint="eastAsia"/>
        </w:rPr>
        <w:t>即是</w:t>
      </w:r>
      <w:r w:rsidRPr="006E67C3">
        <w:rPr>
          <w:rFonts w:ascii="Times New Roman" w:hAnsi="Times New Roman" w:hint="eastAsia"/>
          <w:b/>
          <w:u w:val="wave" w:color="C00000"/>
        </w:rPr>
        <w:t>相</w:t>
      </w:r>
      <w:r w:rsidRPr="00DA3BC7">
        <w:rPr>
          <w:rFonts w:ascii="Times New Roman" w:hAnsi="Times New Roman" w:hint="eastAsia"/>
        </w:rPr>
        <w:t>。</w:t>
      </w:r>
    </w:p>
    <w:p w:rsidR="00AA120F" w:rsidRPr="00DA3BC7" w:rsidRDefault="00AA120F" w:rsidP="00AE3920">
      <w:pPr>
        <w:spacing w:beforeLines="20"/>
        <w:ind w:leftChars="300" w:left="720"/>
        <w:jc w:val="both"/>
        <w:rPr>
          <w:rFonts w:ascii="Times New Roman" w:hAnsi="Times New Roman"/>
        </w:rPr>
      </w:pPr>
      <w:r w:rsidRPr="00DA3BC7">
        <w:rPr>
          <w:rFonts w:ascii="Times New Roman" w:hAnsi="Times New Roman" w:hint="eastAsia"/>
        </w:rPr>
        <w:t>我們的認識，根識──感覺是依根而別別了知的，如</w:t>
      </w:r>
      <w:r w:rsidRPr="00DA3BC7">
        <w:rPr>
          <w:rFonts w:ascii="Times New Roman" w:hAnsi="Times New Roman" w:hint="eastAsia"/>
          <w:b/>
        </w:rPr>
        <w:t>眼</w:t>
      </w:r>
      <w:r w:rsidRPr="00DA3BC7">
        <w:rPr>
          <w:rFonts w:ascii="Times New Roman" w:hAnsi="Times New Roman" w:hint="eastAsia"/>
        </w:rPr>
        <w:t>見它的色相、形態，</w:t>
      </w:r>
      <w:r w:rsidRPr="00DA3BC7">
        <w:rPr>
          <w:rFonts w:ascii="Times New Roman" w:hAnsi="Times New Roman" w:hint="eastAsia"/>
          <w:b/>
        </w:rPr>
        <w:t>身</w:t>
      </w:r>
      <w:r w:rsidRPr="00DA3BC7">
        <w:rPr>
          <w:rFonts w:ascii="Times New Roman" w:hAnsi="Times New Roman" w:hint="eastAsia"/>
        </w:rPr>
        <w:t>觸它的堅軟冷暖，</w:t>
      </w:r>
      <w:r w:rsidRPr="00DA3BC7">
        <w:rPr>
          <w:rFonts w:ascii="Times New Roman" w:hAnsi="Times New Roman" w:hint="eastAsia"/>
          <w:b/>
        </w:rPr>
        <w:t>耳</w:t>
      </w:r>
      <w:r w:rsidRPr="00DA3BC7">
        <w:rPr>
          <w:rFonts w:ascii="Times New Roman" w:hAnsi="Times New Roman" w:hint="eastAsia"/>
        </w:rPr>
        <w:t>聽它的音聲等；是直見現前的，是僅見外表的，是各別的。</w:t>
      </w:r>
    </w:p>
    <w:p w:rsidR="00AA120F" w:rsidRPr="00DA3BC7" w:rsidRDefault="00AA120F" w:rsidP="00AE3920">
      <w:pPr>
        <w:spacing w:beforeLines="20"/>
        <w:ind w:leftChars="300" w:left="720"/>
        <w:jc w:val="both"/>
        <w:rPr>
          <w:rFonts w:ascii="Times New Roman" w:hAnsi="Times New Roman"/>
        </w:rPr>
      </w:pPr>
      <w:r w:rsidRPr="00DA3BC7">
        <w:rPr>
          <w:rFonts w:ascii="Times New Roman" w:hAnsi="Times New Roman" w:hint="eastAsia"/>
        </w:rPr>
        <w:t>在</w:t>
      </w:r>
      <w:r w:rsidRPr="00DA3BC7">
        <w:rPr>
          <w:rFonts w:ascii="Times New Roman" w:hAnsi="Times New Roman" w:hint="eastAsia"/>
          <w:b/>
        </w:rPr>
        <w:t>意識</w:t>
      </w:r>
      <w:r w:rsidRPr="00DA3BC7">
        <w:rPr>
          <w:rFonts w:ascii="Times New Roman" w:hAnsi="Times New Roman" w:hint="eastAsia"/>
        </w:rPr>
        <w:t>中，才獲得一整體的、有內容的「牛」的認識，於是乎有所謂相與可相。</w:t>
      </w:r>
    </w:p>
    <w:p w:rsidR="00AA120F" w:rsidRPr="00DA3BC7" w:rsidRDefault="00AA120F" w:rsidP="00AE3920">
      <w:pPr>
        <w:spacing w:beforeLines="20"/>
        <w:ind w:leftChars="300" w:left="720"/>
        <w:jc w:val="both"/>
        <w:rPr>
          <w:rFonts w:ascii="Times New Roman" w:hAnsi="Times New Roman"/>
        </w:rPr>
      </w:pPr>
      <w:r w:rsidRPr="00DA3BC7">
        <w:rPr>
          <w:rFonts w:ascii="Times New Roman" w:hAnsi="Times New Roman" w:hint="eastAsia"/>
        </w:rPr>
        <w:t>無論在認識上、對象上，常人不能了達緣起，不是把它看成</w:t>
      </w:r>
      <w:r w:rsidRPr="00DA3BC7">
        <w:rPr>
          <w:rFonts w:ascii="Times New Roman" w:hAnsi="Times New Roman" w:hint="eastAsia"/>
          <w:b/>
        </w:rPr>
        <w:t>一體</w:t>
      </w:r>
      <w:r w:rsidRPr="00DA3BC7">
        <w:rPr>
          <w:rFonts w:ascii="Times New Roman" w:hAnsi="Times New Roman" w:hint="eastAsia"/>
        </w:rPr>
        <w:t>，便是</w:t>
      </w:r>
      <w:r w:rsidRPr="006E67C3">
        <w:rPr>
          <w:rFonts w:ascii="Times New Roman" w:hAnsi="Times New Roman" w:hint="eastAsia"/>
          <w:b/>
          <w:u w:val="wave" w:color="C00000"/>
        </w:rPr>
        <w:t>相</w:t>
      </w:r>
      <w:r w:rsidRPr="00DA3BC7">
        <w:rPr>
          <w:rFonts w:ascii="Times New Roman" w:hAnsi="Times New Roman" w:hint="eastAsia"/>
        </w:rPr>
        <w:t>與</w:t>
      </w:r>
      <w:r w:rsidRPr="006E67C3">
        <w:rPr>
          <w:rFonts w:ascii="Times New Roman" w:hAnsi="Times New Roman" w:hint="eastAsia"/>
          <w:b/>
          <w:u w:val="wave" w:color="C00000"/>
        </w:rPr>
        <w:t>可相</w:t>
      </w:r>
      <w:r w:rsidRPr="00DA3BC7">
        <w:rPr>
          <w:rFonts w:ascii="Times New Roman" w:hAnsi="Times New Roman" w:hint="eastAsia"/>
        </w:rPr>
        <w:t>的</w:t>
      </w:r>
      <w:r w:rsidRPr="00DA3BC7">
        <w:rPr>
          <w:rFonts w:ascii="Times New Roman" w:hAnsi="Times New Roman" w:hint="eastAsia"/>
          <w:b/>
        </w:rPr>
        <w:t>別立</w:t>
      </w:r>
      <w:r w:rsidRPr="00DA3BC7">
        <w:rPr>
          <w:rFonts w:ascii="Times New Roman" w:hAnsi="Times New Roman" w:hint="eastAsia"/>
        </w:rPr>
        <w:t>。自性見就是那樣的！</w:t>
      </w:r>
    </w:p>
    <w:p w:rsidR="00AA120F" w:rsidRPr="00DA3BC7" w:rsidRDefault="00995F89" w:rsidP="00AE3920">
      <w:pPr>
        <w:spacing w:beforeLines="30"/>
        <w:ind w:leftChars="300" w:left="720"/>
        <w:jc w:val="both"/>
        <w:rPr>
          <w:rFonts w:ascii="Times New Roman" w:hAnsi="Times New Roman"/>
          <w:b/>
          <w:bCs/>
          <w:sz w:val="20"/>
          <w:szCs w:val="20"/>
          <w:bdr w:val="single" w:sz="4" w:space="0" w:color="auto"/>
        </w:rPr>
      </w:pPr>
      <w:r w:rsidRPr="00995F89">
        <w:rPr>
          <w:rFonts w:ascii="Times New Roman" w:hAnsi="Times New Roman" w:hint="eastAsia"/>
          <w:b/>
          <w:bCs/>
          <w:color w:val="FF0000"/>
          <w:sz w:val="20"/>
          <w:szCs w:val="20"/>
          <w:highlight w:val="yellow"/>
          <w:bdr w:val="single" w:sz="4" w:space="0" w:color="auto"/>
        </w:rPr>
        <w:t>D</w:t>
      </w:r>
      <w:r w:rsidR="00AA120F" w:rsidRPr="00DA3BC7">
        <w:rPr>
          <w:rFonts w:ascii="Times New Roman" w:hAnsi="Times New Roman" w:hint="eastAsia"/>
          <w:b/>
          <w:bCs/>
          <w:sz w:val="20"/>
          <w:szCs w:val="20"/>
          <w:bdr w:val="single" w:sz="4" w:space="0" w:color="auto"/>
        </w:rPr>
        <w:t>、結</w:t>
      </w:r>
      <w:r w:rsidRPr="00995F89">
        <w:rPr>
          <w:rFonts w:ascii="Times New Roman" w:hAnsi="Times New Roman" w:hint="eastAsia"/>
          <w:b/>
          <w:bCs/>
          <w:color w:val="FF0000"/>
          <w:sz w:val="20"/>
          <w:szCs w:val="20"/>
          <w:highlight w:val="yellow"/>
          <w:bdr w:val="single" w:sz="4" w:space="0" w:color="auto"/>
        </w:rPr>
        <w:t>說</w:t>
      </w:r>
      <w:r w:rsidR="00AA120F" w:rsidRPr="00DA3BC7">
        <w:rPr>
          <w:rFonts w:ascii="Times New Roman" w:hAnsi="Times New Roman" w:hint="eastAsia"/>
          <w:bCs/>
          <w:sz w:val="20"/>
          <w:szCs w:val="20"/>
        </w:rPr>
        <w:t>（</w:t>
      </w:r>
      <w:r w:rsidR="00AA120F" w:rsidRPr="00DA3BC7">
        <w:rPr>
          <w:rFonts w:ascii="Times New Roman" w:hAnsi="Times New Roman" w:hint="eastAsia"/>
          <w:bCs/>
          <w:sz w:val="20"/>
          <w:szCs w:val="20"/>
        </w:rPr>
        <w:t>p.156</w:t>
      </w:r>
      <w:r w:rsidR="00AA120F" w:rsidRPr="00DA3BC7">
        <w:rPr>
          <w:rFonts w:ascii="Times New Roman" w:hAnsi="Times New Roman" w:hint="eastAsia"/>
          <w:bCs/>
          <w:sz w:val="20"/>
          <w:szCs w:val="20"/>
        </w:rPr>
        <w:t>）</w:t>
      </w:r>
    </w:p>
    <w:p w:rsidR="00AA120F" w:rsidRPr="00DA3BC7" w:rsidRDefault="00AA120F" w:rsidP="00D41C1A">
      <w:pPr>
        <w:ind w:leftChars="300" w:left="720"/>
        <w:jc w:val="both"/>
        <w:rPr>
          <w:rFonts w:ascii="Times New Roman" w:hAnsi="Times New Roman"/>
        </w:rPr>
      </w:pPr>
      <w:r w:rsidRPr="00DA3BC7">
        <w:rPr>
          <w:rFonts w:ascii="Times New Roman" w:hAnsi="Times New Roman" w:hint="eastAsia"/>
        </w:rPr>
        <w:t>此上所說因</w:t>
      </w:r>
      <w:r w:rsidRPr="006E67C3">
        <w:rPr>
          <w:rFonts w:ascii="Times New Roman" w:hAnsi="Times New Roman" w:hint="eastAsia"/>
          <w:b/>
          <w:u w:val="wave" w:color="C00000"/>
        </w:rPr>
        <w:t>相</w:t>
      </w:r>
      <w:r w:rsidRPr="00DA3BC7">
        <w:rPr>
          <w:rFonts w:ascii="Times New Roman" w:hAnsi="Times New Roman" w:hint="eastAsia"/>
        </w:rPr>
        <w:t>而知</w:t>
      </w:r>
      <w:r w:rsidRPr="006E67C3">
        <w:rPr>
          <w:rFonts w:ascii="Times New Roman" w:hAnsi="Times New Roman" w:hint="eastAsia"/>
          <w:b/>
          <w:u w:val="wave" w:color="C00000"/>
        </w:rPr>
        <w:t>性</w:t>
      </w:r>
      <w:r w:rsidRPr="00DA3BC7">
        <w:rPr>
          <w:rFonts w:ascii="Times New Roman" w:hAnsi="Times New Roman" w:hint="eastAsia"/>
        </w:rPr>
        <w:t>──</w:t>
      </w:r>
      <w:r w:rsidRPr="006E67C3">
        <w:rPr>
          <w:rFonts w:ascii="Times New Roman" w:hAnsi="Times New Roman" w:hint="eastAsia"/>
          <w:b/>
          <w:u w:val="wave" w:color="C00000"/>
        </w:rPr>
        <w:t>可相</w:t>
      </w:r>
      <w:r w:rsidRPr="00DA3BC7">
        <w:rPr>
          <w:rFonts w:ascii="Times New Roman" w:hAnsi="Times New Roman" w:hint="eastAsia"/>
        </w:rPr>
        <w:t>，即約</w:t>
      </w:r>
      <w:r w:rsidRPr="006E67C3">
        <w:rPr>
          <w:rFonts w:ascii="Times New Roman" w:hAnsi="Times New Roman" w:hint="eastAsia"/>
          <w:b/>
          <w:u w:val="wave" w:color="C00000"/>
        </w:rPr>
        <w:t>存在</w:t>
      </w:r>
      <w:r w:rsidRPr="006E67C3">
        <w:rPr>
          <w:rFonts w:ascii="Times New Roman" w:hAnsi="Times New Roman" w:hint="eastAsia"/>
        </w:rPr>
        <w:t>與</w:t>
      </w:r>
      <w:r w:rsidRPr="006E67C3">
        <w:rPr>
          <w:rFonts w:ascii="Times New Roman" w:hAnsi="Times New Roman" w:hint="eastAsia"/>
          <w:b/>
          <w:u w:val="wave" w:color="C00000"/>
        </w:rPr>
        <w:t>樣相</w:t>
      </w:r>
      <w:r w:rsidRPr="00DA3BC7">
        <w:rPr>
          <w:rFonts w:ascii="Times New Roman" w:hAnsi="Times New Roman" w:hint="eastAsia"/>
        </w:rPr>
        <w:t>說。</w:t>
      </w:r>
    </w:p>
    <w:p w:rsidR="00AA120F" w:rsidRPr="00DA3BC7" w:rsidRDefault="00AA120F" w:rsidP="00AE3920">
      <w:pPr>
        <w:spacing w:beforeLines="30"/>
        <w:ind w:leftChars="250" w:left="600"/>
        <w:jc w:val="both"/>
        <w:rPr>
          <w:rFonts w:ascii="Times New Roman" w:hAnsi="Times New Roman"/>
          <w:b/>
          <w:sz w:val="20"/>
          <w:szCs w:val="20"/>
          <w:bdr w:val="single" w:sz="4" w:space="0" w:color="auto"/>
        </w:rPr>
      </w:pPr>
      <w:r w:rsidRPr="00DA3BC7">
        <w:rPr>
          <w:rFonts w:ascii="Times New Roman" w:hAnsi="Times New Roman" w:hint="eastAsia"/>
          <w:b/>
          <w:sz w:val="20"/>
          <w:szCs w:val="20"/>
          <w:bdr w:val="single" w:sz="4" w:space="0" w:color="auto"/>
        </w:rPr>
        <w:t>（</w:t>
      </w:r>
      <w:r w:rsidRPr="00DA3BC7">
        <w:rPr>
          <w:rFonts w:ascii="Times New Roman" w:hAnsi="Times New Roman" w:hint="eastAsia"/>
          <w:b/>
          <w:sz w:val="20"/>
          <w:szCs w:val="20"/>
          <w:bdr w:val="single" w:sz="4" w:space="0" w:color="auto"/>
        </w:rPr>
        <w:t>2</w:t>
      </w:r>
      <w:r w:rsidRPr="00DA3BC7">
        <w:rPr>
          <w:rFonts w:ascii="Times New Roman" w:hAnsi="Times New Roman" w:hint="eastAsia"/>
          <w:b/>
          <w:sz w:val="20"/>
          <w:szCs w:val="20"/>
          <w:bdr w:val="single" w:sz="4" w:space="0" w:color="auto"/>
        </w:rPr>
        <w:t>）</w:t>
      </w:r>
      <w:r w:rsidR="00995F89" w:rsidRPr="00995F89">
        <w:rPr>
          <w:rFonts w:ascii="Times New Roman" w:hAnsi="Times New Roman" w:hint="eastAsia"/>
          <w:b/>
          <w:color w:val="FF0000"/>
          <w:sz w:val="20"/>
          <w:szCs w:val="20"/>
          <w:highlight w:val="yellow"/>
          <w:bdr w:val="single" w:sz="4" w:space="0" w:color="auto"/>
        </w:rPr>
        <w:t>比量：</w:t>
      </w:r>
      <w:r w:rsidR="00995F89">
        <w:rPr>
          <w:rFonts w:ascii="Times New Roman" w:hAnsi="Times New Roman" w:hint="eastAsia"/>
          <w:b/>
          <w:color w:val="FF0000"/>
          <w:sz w:val="20"/>
          <w:szCs w:val="20"/>
          <w:highlight w:val="yellow"/>
          <w:bdr w:val="single" w:sz="4" w:space="0" w:color="auto"/>
        </w:rPr>
        <w:t>約「存在」與</w:t>
      </w:r>
      <w:r w:rsidRPr="00DA3BC7">
        <w:rPr>
          <w:rFonts w:ascii="Times New Roman" w:hAnsi="Times New Roman" w:hint="eastAsia"/>
          <w:b/>
          <w:sz w:val="20"/>
          <w:szCs w:val="20"/>
          <w:bdr w:val="single" w:sz="4" w:space="0" w:color="auto"/>
        </w:rPr>
        <w:t>「</w:t>
      </w:r>
      <w:r w:rsidRPr="00DA3BC7">
        <w:rPr>
          <w:rFonts w:ascii="Times New Roman" w:hAnsi="Times New Roman" w:hint="eastAsia"/>
          <w:b/>
          <w:bCs/>
          <w:sz w:val="20"/>
          <w:szCs w:val="20"/>
          <w:bdr w:val="single" w:sz="4" w:space="0" w:color="auto"/>
        </w:rPr>
        <w:t>標相</w:t>
      </w:r>
      <w:r w:rsidRPr="00995F89">
        <w:rPr>
          <w:rFonts w:ascii="Times New Roman" w:hAnsi="Times New Roman" w:hint="eastAsia"/>
          <w:b/>
          <w:bCs/>
          <w:sz w:val="20"/>
          <w:szCs w:val="20"/>
          <w:highlight w:val="yellow"/>
          <w:bdr w:val="single" w:sz="4" w:space="0" w:color="auto"/>
        </w:rPr>
        <w:t>」</w:t>
      </w:r>
      <w:r w:rsidRPr="00DA3BC7">
        <w:rPr>
          <w:rFonts w:ascii="Times New Roman" w:hAnsi="Times New Roman" w:hint="eastAsia"/>
          <w:bCs/>
          <w:sz w:val="20"/>
          <w:szCs w:val="20"/>
        </w:rPr>
        <w:t>（</w:t>
      </w:r>
      <w:r w:rsidRPr="00DA3BC7">
        <w:rPr>
          <w:rFonts w:ascii="Times New Roman" w:hAnsi="Times New Roman" w:hint="eastAsia"/>
          <w:bCs/>
          <w:sz w:val="20"/>
          <w:szCs w:val="20"/>
        </w:rPr>
        <w:t>pp.156-157</w:t>
      </w:r>
      <w:r w:rsidRPr="00DA3BC7">
        <w:rPr>
          <w:rFonts w:ascii="Times New Roman" w:hAnsi="Times New Roman" w:hint="eastAsia"/>
          <w:bCs/>
          <w:sz w:val="20"/>
          <w:szCs w:val="20"/>
        </w:rPr>
        <w:t>）</w:t>
      </w:r>
    </w:p>
    <w:p w:rsidR="00AA120F" w:rsidRPr="00DA3BC7" w:rsidRDefault="00AA120F" w:rsidP="00D41C1A">
      <w:pPr>
        <w:ind w:leftChars="260" w:left="624"/>
        <w:jc w:val="both"/>
        <w:rPr>
          <w:rFonts w:ascii="Times New Roman" w:hAnsi="Times New Roman"/>
        </w:rPr>
      </w:pPr>
      <w:r w:rsidRPr="00DA3BC7">
        <w:rPr>
          <w:rFonts w:ascii="Times New Roman" w:hAnsi="Times New Roman" w:hint="eastAsia"/>
        </w:rPr>
        <w:t>佛法中更有所謂</w:t>
      </w:r>
      <w:r w:rsidRPr="00DA3BC7">
        <w:rPr>
          <w:rFonts w:ascii="Times New Roman" w:hAnsi="Times New Roman" w:hint="eastAsia"/>
          <w:b/>
        </w:rPr>
        <w:t>「標相」</w:t>
      </w:r>
      <w:r w:rsidRPr="00DA3BC7">
        <w:rPr>
          <w:rStyle w:val="a6"/>
          <w:rFonts w:ascii="Times New Roman" w:hAnsi="Times New Roman"/>
        </w:rPr>
        <w:footnoteReference w:id="729"/>
      </w:r>
      <w:r w:rsidRPr="00DA3BC7">
        <w:rPr>
          <w:rFonts w:ascii="Times New Roman" w:hAnsi="Times New Roman" w:hint="eastAsia"/>
        </w:rPr>
        <w:t>，也是可以</w:t>
      </w:r>
      <w:r w:rsidRPr="00DA3BC7">
        <w:rPr>
          <w:rFonts w:ascii="Times New Roman" w:hAnsi="Times New Roman" w:hint="eastAsia"/>
          <w:b/>
        </w:rPr>
        <w:t>藉此而知</w:t>
      </w:r>
      <w:r w:rsidRPr="006E67C3">
        <w:rPr>
          <w:rFonts w:ascii="Times New Roman" w:hAnsi="Times New Roman" w:hint="eastAsia"/>
          <w:b/>
          <w:u w:val="wave" w:color="C00000"/>
        </w:rPr>
        <w:t>性</w:t>
      </w:r>
      <w:r w:rsidRPr="00DA3BC7">
        <w:rPr>
          <w:rFonts w:ascii="Times New Roman" w:hAnsi="Times New Roman" w:hint="eastAsia"/>
        </w:rPr>
        <w:t>的，但這是</w:t>
      </w:r>
      <w:r w:rsidRPr="00DA3BC7">
        <w:rPr>
          <w:rFonts w:ascii="Times New Roman" w:hAnsi="Times New Roman" w:hint="eastAsia"/>
          <w:b/>
        </w:rPr>
        <w:t>依於比量的推比而知</w:t>
      </w:r>
      <w:r w:rsidRPr="00DA3BC7">
        <w:rPr>
          <w:rFonts w:ascii="Times New Roman" w:hAnsi="Times New Roman" w:hint="eastAsia"/>
        </w:rPr>
        <w:t>，</w:t>
      </w:r>
      <w:r w:rsidRPr="006E67C3">
        <w:rPr>
          <w:rFonts w:ascii="Times New Roman" w:hAnsi="Times New Roman" w:hint="eastAsia"/>
          <w:b/>
          <w:u w:val="wave" w:color="C00000"/>
        </w:rPr>
        <w:t>相</w:t>
      </w:r>
      <w:r w:rsidRPr="00DA3BC7">
        <w:rPr>
          <w:rFonts w:ascii="Times New Roman" w:hAnsi="Times New Roman" w:hint="eastAsia"/>
        </w:rPr>
        <w:t>與</w:t>
      </w:r>
      <w:r w:rsidRPr="006E67C3">
        <w:rPr>
          <w:rFonts w:ascii="Times New Roman" w:hAnsi="Times New Roman" w:hint="eastAsia"/>
          <w:b/>
          <w:u w:val="wave" w:color="C00000"/>
        </w:rPr>
        <w:t>可相</w:t>
      </w:r>
      <w:r w:rsidRPr="00DA3BC7">
        <w:rPr>
          <w:rFonts w:ascii="Times New Roman" w:hAnsi="Times New Roman" w:hint="eastAsia"/>
        </w:rPr>
        <w:t>間的關係，絕為鬆懈。</w:t>
      </w:r>
    </w:p>
    <w:p w:rsidR="00AA120F" w:rsidRPr="00DA3BC7" w:rsidRDefault="00AA120F" w:rsidP="00AE3920">
      <w:pPr>
        <w:spacing w:beforeLines="20"/>
        <w:ind w:leftChars="260" w:left="624"/>
        <w:jc w:val="both"/>
        <w:rPr>
          <w:rFonts w:ascii="Times New Roman" w:hAnsi="Times New Roman"/>
        </w:rPr>
      </w:pPr>
      <w:r w:rsidRPr="00DA3BC7">
        <w:rPr>
          <w:rFonts w:ascii="Times New Roman" w:hAnsi="Times New Roman" w:hint="eastAsia"/>
        </w:rPr>
        <w:t>如見招牌知有酒店，但也有酒店而不置此招牌者。又如見煙知火，煙為火相，但無煙還是可以有火的。所以《大智度論》卷</w:t>
      </w:r>
      <w:r w:rsidR="00142DED">
        <w:rPr>
          <w:rFonts w:ascii="Times New Roman" w:hAnsi="Times New Roman" w:hint="eastAsia"/>
        </w:rPr>
        <w:t>67</w:t>
      </w:r>
      <w:r w:rsidRPr="00DA3BC7">
        <w:rPr>
          <w:rFonts w:ascii="Times New Roman" w:hAnsi="Times New Roman" w:hint="eastAsia"/>
        </w:rPr>
        <w:t>說：「</w:t>
      </w:r>
      <w:r w:rsidRPr="00DA3BC7">
        <w:rPr>
          <w:rFonts w:ascii="標楷體" w:eastAsia="標楷體" w:hAnsi="標楷體" w:hint="eastAsia"/>
        </w:rPr>
        <w:t>如見</w:t>
      </w:r>
      <w:r w:rsidRPr="00DA3BC7">
        <w:rPr>
          <w:rFonts w:ascii="標楷體" w:eastAsia="標楷體" w:hAnsi="標楷體" w:hint="eastAsia"/>
        </w:rPr>
        <w:lastRenderedPageBreak/>
        <w:t>煙知火，煙是火相而非火也</w:t>
      </w:r>
      <w:r w:rsidRPr="00DA3BC7">
        <w:rPr>
          <w:rFonts w:ascii="Times New Roman" w:hAnsi="Times New Roman" w:hint="eastAsia"/>
        </w:rPr>
        <w:t>。」</w:t>
      </w:r>
      <w:r w:rsidRPr="00DA3BC7">
        <w:rPr>
          <w:rFonts w:ascii="Times New Roman" w:hAnsi="Times New Roman"/>
          <w:vertAlign w:val="superscript"/>
        </w:rPr>
        <w:footnoteReference w:id="730"/>
      </w:r>
    </w:p>
    <w:p w:rsidR="00AA120F" w:rsidRPr="00DA3BC7" w:rsidRDefault="00AA120F" w:rsidP="00AE3920">
      <w:pPr>
        <w:spacing w:beforeLines="20"/>
        <w:ind w:leftChars="260" w:left="624"/>
        <w:jc w:val="both"/>
        <w:rPr>
          <w:rFonts w:ascii="Times New Roman" w:hAnsi="Times New Roman"/>
        </w:rPr>
      </w:pPr>
      <w:r w:rsidRPr="00DA3BC7">
        <w:rPr>
          <w:rFonts w:ascii="Times New Roman" w:hAnsi="Times New Roman" w:hint="eastAsia"/>
        </w:rPr>
        <w:t>故約相對而分別說：如以</w:t>
      </w:r>
      <w:r w:rsidRPr="00DA3BC7">
        <w:rPr>
          <w:rFonts w:ascii="Times New Roman" w:hAnsi="Times New Roman" w:hint="eastAsia"/>
          <w:b/>
        </w:rPr>
        <w:t>堅相</w:t>
      </w:r>
      <w:r w:rsidRPr="00DA3BC7">
        <w:rPr>
          <w:rFonts w:ascii="Times New Roman" w:hAnsi="Times New Roman" w:hint="eastAsia"/>
        </w:rPr>
        <w:t>而顯</w:t>
      </w:r>
      <w:r w:rsidRPr="00DA3BC7">
        <w:rPr>
          <w:rFonts w:ascii="Times New Roman" w:hAnsi="Times New Roman" w:hint="eastAsia"/>
          <w:b/>
        </w:rPr>
        <w:t>地性</w:t>
      </w:r>
      <w:r w:rsidRPr="00DA3BC7">
        <w:rPr>
          <w:rFonts w:ascii="Times New Roman" w:hAnsi="Times New Roman" w:hint="eastAsia"/>
        </w:rPr>
        <w:t>，可假說堅即是地的；以煙為火相，煙不即是火的。</w:t>
      </w:r>
    </w:p>
    <w:p w:rsidR="00AA120F" w:rsidRPr="00DA3BC7" w:rsidRDefault="00F00A0C" w:rsidP="00AE3920">
      <w:pPr>
        <w:spacing w:beforeLines="20"/>
        <w:ind w:leftChars="260" w:left="624"/>
        <w:jc w:val="both"/>
        <w:rPr>
          <w:rFonts w:ascii="Times New Roman" w:hAnsi="Times New Roman"/>
        </w:rPr>
      </w:pPr>
      <w:r>
        <w:rPr>
          <w:rFonts w:ascii="Times New Roman" w:hAnsi="Times New Roman" w:hint="eastAsia"/>
        </w:rPr>
        <w:t>在</w:t>
      </w:r>
      <w:r w:rsidRPr="006E67C3">
        <w:rPr>
          <w:rFonts w:ascii="Times New Roman" w:hAnsi="Times New Roman" w:hint="eastAsia"/>
          <w:b/>
          <w:u w:val="wave" w:color="C00000"/>
        </w:rPr>
        <w:t>相</w:t>
      </w:r>
      <w:r>
        <w:rPr>
          <w:rFonts w:ascii="Times New Roman" w:hAnsi="Times New Roman" w:hint="eastAsia"/>
        </w:rPr>
        <w:t>與</w:t>
      </w:r>
      <w:r w:rsidRPr="006E67C3">
        <w:rPr>
          <w:rFonts w:ascii="Times New Roman" w:hAnsi="Times New Roman" w:hint="eastAsia"/>
          <w:b/>
          <w:u w:val="wave" w:color="C00000"/>
        </w:rPr>
        <w:t>可相</w:t>
      </w:r>
      <w:r w:rsidR="00AA120F" w:rsidRPr="00DA3BC7">
        <w:rPr>
          <w:rFonts w:ascii="Times New Roman" w:hAnsi="Times New Roman" w:hint="eastAsia"/>
        </w:rPr>
        <w:t>的不一不異中，有此似一似異的二者。</w:t>
      </w:r>
    </w:p>
    <w:p w:rsidR="00AA120F" w:rsidRPr="00DA3BC7" w:rsidRDefault="00AA120F" w:rsidP="00AE3920">
      <w:pPr>
        <w:spacing w:beforeLines="30"/>
        <w:ind w:leftChars="200" w:left="480"/>
        <w:jc w:val="both"/>
        <w:rPr>
          <w:rFonts w:ascii="Times New Roman" w:hAnsi="Times New Roman"/>
          <w:sz w:val="20"/>
          <w:szCs w:val="20"/>
        </w:rPr>
      </w:pPr>
      <w:r w:rsidRPr="00DA3BC7">
        <w:rPr>
          <w:rFonts w:ascii="Times New Roman" w:hAnsi="Times New Roman" w:hint="eastAsia"/>
          <w:b/>
          <w:bCs/>
          <w:sz w:val="20"/>
          <w:szCs w:val="20"/>
          <w:bdr w:val="single" w:sz="4" w:space="0" w:color="auto"/>
        </w:rPr>
        <w:t>2</w:t>
      </w:r>
      <w:r w:rsidRPr="00DA3BC7">
        <w:rPr>
          <w:rFonts w:ascii="Times New Roman" w:hAnsi="Times New Roman" w:hint="eastAsia"/>
          <w:b/>
          <w:bCs/>
          <w:sz w:val="20"/>
          <w:szCs w:val="20"/>
          <w:bdr w:val="single" w:sz="4" w:space="0" w:color="auto"/>
        </w:rPr>
        <w:t>、「事相」與「理性」</w:t>
      </w:r>
      <w:r w:rsidRPr="00DA3BC7">
        <w:rPr>
          <w:rFonts w:ascii="Times New Roman" w:hAnsi="Times New Roman" w:hint="eastAsia"/>
          <w:sz w:val="20"/>
          <w:szCs w:val="20"/>
        </w:rPr>
        <w:t>（</w:t>
      </w:r>
      <w:r w:rsidRPr="00DA3BC7">
        <w:rPr>
          <w:rFonts w:ascii="Times New Roman" w:hAnsi="Times New Roman" w:hint="eastAsia"/>
          <w:sz w:val="20"/>
          <w:szCs w:val="20"/>
        </w:rPr>
        <w:t>pp.157-158</w:t>
      </w:r>
      <w:r w:rsidRPr="00DA3BC7">
        <w:rPr>
          <w:rFonts w:ascii="Times New Roman" w:hAnsi="Times New Roman" w:hint="eastAsia"/>
          <w:sz w:val="20"/>
          <w:szCs w:val="20"/>
        </w:rPr>
        <w:t>）</w:t>
      </w:r>
    </w:p>
    <w:p w:rsidR="00AA120F" w:rsidRPr="00DA3BC7" w:rsidRDefault="00AA120F" w:rsidP="00D41C1A">
      <w:pPr>
        <w:ind w:leftChars="200" w:left="480"/>
        <w:jc w:val="both"/>
        <w:rPr>
          <w:rFonts w:ascii="新細明體" w:hAnsi="新細明體"/>
          <w:bCs/>
        </w:rPr>
      </w:pPr>
      <w:r w:rsidRPr="00DA3BC7">
        <w:rPr>
          <w:rFonts w:ascii="新細明體" w:hAnsi="新細明體" w:hint="eastAsia"/>
          <w:bCs/>
        </w:rPr>
        <w:t>二、即</w:t>
      </w:r>
      <w:r w:rsidRPr="00DA3BC7">
        <w:rPr>
          <w:rFonts w:ascii="新細明體" w:hAnsi="新細明體" w:hint="eastAsia"/>
          <w:b/>
          <w:bCs/>
        </w:rPr>
        <w:t>事相與理性</w:t>
      </w:r>
      <w:r w:rsidRPr="00DA3BC7">
        <w:rPr>
          <w:rFonts w:ascii="新細明體" w:hAnsi="新細明體" w:hint="eastAsia"/>
          <w:bCs/>
        </w:rPr>
        <w:t>：</w:t>
      </w:r>
    </w:p>
    <w:p w:rsidR="00622F11" w:rsidRDefault="00622F11" w:rsidP="00AE3920">
      <w:pPr>
        <w:spacing w:beforeLines="30"/>
        <w:ind w:leftChars="250" w:left="600"/>
        <w:jc w:val="both"/>
        <w:rPr>
          <w:rFonts w:ascii="Times New Roman" w:hAnsi="Times New Roman"/>
          <w:sz w:val="20"/>
          <w:szCs w:val="20"/>
        </w:rPr>
      </w:pPr>
      <w:r w:rsidRPr="00622F11">
        <w:rPr>
          <w:rFonts w:ascii="Times New Roman" w:hAnsi="Times New Roman"/>
          <w:b/>
          <w:color w:val="FF0000"/>
          <w:sz w:val="20"/>
          <w:szCs w:val="20"/>
          <w:highlight w:val="yellow"/>
          <w:bdr w:val="single" w:sz="4" w:space="0" w:color="auto"/>
        </w:rPr>
        <w:t>（</w:t>
      </w:r>
      <w:r w:rsidRPr="00622F11">
        <w:rPr>
          <w:rFonts w:ascii="Times New Roman" w:hAnsi="Times New Roman"/>
          <w:b/>
          <w:color w:val="FF0000"/>
          <w:sz w:val="20"/>
          <w:szCs w:val="20"/>
          <w:highlight w:val="yellow"/>
          <w:bdr w:val="single" w:sz="4" w:space="0" w:color="auto"/>
        </w:rPr>
        <w:t>1</w:t>
      </w:r>
      <w:r w:rsidRPr="00622F11">
        <w:rPr>
          <w:rFonts w:ascii="Times New Roman" w:hAnsi="Times New Roman"/>
          <w:b/>
          <w:color w:val="FF0000"/>
          <w:sz w:val="20"/>
          <w:szCs w:val="20"/>
          <w:highlight w:val="yellow"/>
          <w:bdr w:val="single" w:sz="4" w:space="0" w:color="auto"/>
        </w:rPr>
        <w:t>）</w:t>
      </w:r>
      <w:r w:rsidRPr="00622F11">
        <w:rPr>
          <w:rFonts w:ascii="Times New Roman" w:hAnsi="Times New Roman" w:hint="eastAsia"/>
          <w:b/>
          <w:bCs/>
          <w:color w:val="FF0000"/>
          <w:sz w:val="20"/>
          <w:szCs w:val="20"/>
          <w:highlight w:val="yellow"/>
          <w:bdr w:val="single" w:sz="4" w:space="0" w:color="auto"/>
        </w:rPr>
        <w:t>明</w:t>
      </w:r>
      <w:r>
        <w:rPr>
          <w:rFonts w:ascii="Times New Roman" w:hAnsi="Times New Roman" w:hint="eastAsia"/>
          <w:b/>
          <w:bCs/>
          <w:color w:val="FF0000"/>
          <w:sz w:val="20"/>
          <w:szCs w:val="20"/>
          <w:highlight w:val="yellow"/>
          <w:bdr w:val="single" w:sz="4" w:space="0" w:color="auto"/>
        </w:rPr>
        <w:t>義</w:t>
      </w:r>
      <w:r w:rsidRPr="00DA3BC7">
        <w:rPr>
          <w:rFonts w:ascii="Times New Roman" w:hAnsi="Times New Roman" w:hint="eastAsia"/>
          <w:sz w:val="20"/>
          <w:szCs w:val="20"/>
        </w:rPr>
        <w:t>（</w:t>
      </w:r>
      <w:r w:rsidRPr="00DA3BC7">
        <w:rPr>
          <w:rFonts w:ascii="Times New Roman" w:hAnsi="Times New Roman" w:hint="eastAsia"/>
          <w:sz w:val="20"/>
          <w:szCs w:val="20"/>
        </w:rPr>
        <w:t>p.157</w:t>
      </w:r>
      <w:r w:rsidRPr="00DA3BC7">
        <w:rPr>
          <w:rFonts w:ascii="Times New Roman" w:hAnsi="Times New Roman" w:hint="eastAsia"/>
          <w:sz w:val="20"/>
          <w:szCs w:val="20"/>
        </w:rPr>
        <w:t>）</w:t>
      </w:r>
    </w:p>
    <w:p w:rsidR="00AA120F" w:rsidRPr="00DA3BC7" w:rsidRDefault="00AA120F" w:rsidP="00D41C1A">
      <w:pPr>
        <w:ind w:leftChars="250" w:left="600"/>
        <w:jc w:val="both"/>
        <w:rPr>
          <w:rFonts w:ascii="Times New Roman" w:hAnsi="Times New Roman"/>
        </w:rPr>
      </w:pPr>
      <w:r w:rsidRPr="00DA3BC7">
        <w:rPr>
          <w:rFonts w:ascii="Times New Roman" w:hAnsi="Times New Roman" w:hint="eastAsia"/>
        </w:rPr>
        <w:t>《大智度論》卷</w:t>
      </w:r>
      <w:r w:rsidR="00622F11">
        <w:rPr>
          <w:rFonts w:ascii="Times New Roman" w:hAnsi="Times New Roman" w:hint="eastAsia"/>
        </w:rPr>
        <w:t>46</w:t>
      </w:r>
      <w:r w:rsidRPr="00DA3BC7">
        <w:rPr>
          <w:rFonts w:ascii="Times New Roman" w:hAnsi="Times New Roman" w:hint="eastAsia"/>
        </w:rPr>
        <w:t>說：「</w:t>
      </w:r>
      <w:r w:rsidRPr="00DA3BC7">
        <w:rPr>
          <w:rFonts w:ascii="標楷體" w:eastAsia="標楷體" w:hAnsi="標楷體" w:hint="eastAsia"/>
        </w:rPr>
        <w:t>若有為法性，若無為法性，是性非聲聞、辟支佛作，非佛所作，亦非餘人所作</w:t>
      </w:r>
      <w:r w:rsidRPr="00DA3BC7">
        <w:rPr>
          <w:rFonts w:ascii="Times New Roman" w:hAnsi="Times New Roman" w:hint="eastAsia"/>
        </w:rPr>
        <w:t>。」</w:t>
      </w:r>
      <w:r w:rsidRPr="00DA3BC7">
        <w:rPr>
          <w:rFonts w:ascii="Times New Roman" w:hAnsi="Times New Roman"/>
          <w:vertAlign w:val="superscript"/>
        </w:rPr>
        <w:footnoteReference w:id="731"/>
      </w:r>
    </w:p>
    <w:p w:rsidR="00AA120F" w:rsidRPr="00DA3BC7" w:rsidRDefault="00AA120F" w:rsidP="00AE3920">
      <w:pPr>
        <w:spacing w:beforeLines="20"/>
        <w:ind w:leftChars="250" w:left="600"/>
        <w:jc w:val="both"/>
        <w:rPr>
          <w:rFonts w:ascii="Times New Roman" w:hAnsi="Times New Roman"/>
        </w:rPr>
      </w:pPr>
      <w:r w:rsidRPr="00DA3BC7">
        <w:rPr>
          <w:rFonts w:ascii="Times New Roman" w:hAnsi="Times New Roman" w:hint="eastAsia"/>
          <w:b/>
        </w:rPr>
        <w:t>有為法性</w:t>
      </w:r>
      <w:r w:rsidRPr="00DA3BC7">
        <w:rPr>
          <w:rFonts w:ascii="Times New Roman" w:hAnsi="Times New Roman" w:hint="eastAsia"/>
        </w:rPr>
        <w:t>即</w:t>
      </w:r>
      <w:r w:rsidRPr="00DA3BC7">
        <w:rPr>
          <w:rFonts w:ascii="Times New Roman" w:hAnsi="Times New Roman" w:hint="eastAsia"/>
          <w:b/>
        </w:rPr>
        <w:t>無常性</w:t>
      </w:r>
      <w:r w:rsidRPr="00DA3BC7">
        <w:rPr>
          <w:rFonts w:ascii="Times New Roman" w:hAnsi="Times New Roman" w:hint="eastAsia"/>
        </w:rPr>
        <w:t>，一切有為法法爾如是；</w:t>
      </w:r>
    </w:p>
    <w:p w:rsidR="00AA120F" w:rsidRPr="00DA3BC7" w:rsidRDefault="00AA120F" w:rsidP="00D41C1A">
      <w:pPr>
        <w:ind w:leftChars="250" w:left="600"/>
        <w:jc w:val="both"/>
        <w:rPr>
          <w:rFonts w:ascii="Times New Roman" w:hAnsi="Times New Roman"/>
        </w:rPr>
      </w:pPr>
      <w:r w:rsidRPr="00DA3BC7">
        <w:rPr>
          <w:rFonts w:ascii="Times New Roman" w:hAnsi="Times New Roman" w:hint="eastAsia"/>
          <w:b/>
        </w:rPr>
        <w:t>無為法性</w:t>
      </w:r>
      <w:r w:rsidRPr="00DA3BC7">
        <w:rPr>
          <w:rFonts w:ascii="Times New Roman" w:hAnsi="Times New Roman" w:hint="eastAsia"/>
        </w:rPr>
        <w:t>即</w:t>
      </w:r>
      <w:r w:rsidRPr="00DA3BC7">
        <w:rPr>
          <w:rFonts w:ascii="Times New Roman" w:hAnsi="Times New Roman" w:hint="eastAsia"/>
          <w:b/>
        </w:rPr>
        <w:t>寂滅性</w:t>
      </w:r>
      <w:r w:rsidRPr="00DA3BC7">
        <w:rPr>
          <w:rFonts w:ascii="Times New Roman" w:hAnsi="Times New Roman" w:hint="eastAsia"/>
        </w:rPr>
        <w:t>。</w:t>
      </w:r>
    </w:p>
    <w:p w:rsidR="00AA120F" w:rsidRPr="00DA3BC7" w:rsidRDefault="00AA120F" w:rsidP="00AE3920">
      <w:pPr>
        <w:spacing w:beforeLines="20"/>
        <w:ind w:leftChars="250" w:left="600"/>
        <w:jc w:val="both"/>
        <w:rPr>
          <w:rFonts w:ascii="Times New Roman" w:hAnsi="Times New Roman"/>
        </w:rPr>
      </w:pPr>
      <w:r w:rsidRPr="00DA3BC7">
        <w:rPr>
          <w:rFonts w:ascii="Times New Roman" w:hAnsi="Times New Roman" w:hint="eastAsia"/>
        </w:rPr>
        <w:t>此有為、無為的</w:t>
      </w:r>
      <w:r w:rsidRPr="00DA3BC7">
        <w:rPr>
          <w:rFonts w:ascii="Times New Roman" w:hAnsi="Times New Roman" w:hint="eastAsia"/>
          <w:b/>
        </w:rPr>
        <w:t>常遍法性，也可說藉相而知</w:t>
      </w:r>
      <w:r w:rsidRPr="00DA3BC7">
        <w:rPr>
          <w:rFonts w:ascii="Times New Roman" w:hAnsi="Times New Roman" w:hint="eastAsia"/>
        </w:rPr>
        <w:t>。</w:t>
      </w:r>
    </w:p>
    <w:p w:rsidR="00AA120F" w:rsidRPr="00DA3BC7" w:rsidRDefault="00AA120F" w:rsidP="00AE3920">
      <w:pPr>
        <w:spacing w:beforeLines="20"/>
        <w:ind w:leftChars="250" w:left="600"/>
        <w:jc w:val="both"/>
        <w:rPr>
          <w:rFonts w:ascii="Times New Roman" w:hAnsi="Times New Roman"/>
        </w:rPr>
      </w:pPr>
      <w:r w:rsidRPr="00DA3BC7">
        <w:rPr>
          <w:rFonts w:ascii="Times New Roman" w:hAnsi="Times New Roman" w:hint="eastAsia"/>
        </w:rPr>
        <w:t>凡有為法，有生、住、滅的三種相，此三相是遍通一切有為法的，眾生見此生滅的現象，即知一切是有為（行）性的，即依現見的</w:t>
      </w:r>
      <w:r w:rsidRPr="00DA3BC7">
        <w:rPr>
          <w:rFonts w:ascii="Times New Roman" w:hAnsi="Times New Roman" w:hint="eastAsia"/>
          <w:b/>
        </w:rPr>
        <w:t>生滅相</w:t>
      </w:r>
      <w:r w:rsidRPr="00DA3BC7">
        <w:rPr>
          <w:rFonts w:ascii="Times New Roman" w:hAnsi="Times New Roman" w:hint="eastAsia"/>
        </w:rPr>
        <w:t>而知</w:t>
      </w:r>
      <w:r w:rsidRPr="00DA3BC7">
        <w:rPr>
          <w:rFonts w:ascii="Times New Roman" w:hAnsi="Times New Roman" w:hint="eastAsia"/>
          <w:b/>
        </w:rPr>
        <w:t>無常性</w:t>
      </w:r>
      <w:r w:rsidRPr="00DA3BC7">
        <w:rPr>
          <w:rFonts w:ascii="Times New Roman" w:hAnsi="Times New Roman" w:hint="eastAsia"/>
        </w:rPr>
        <w:t>；依</w:t>
      </w:r>
      <w:r w:rsidRPr="00DA3BC7">
        <w:rPr>
          <w:rFonts w:ascii="Times New Roman" w:hAnsi="Times New Roman" w:hint="eastAsia"/>
          <w:b/>
        </w:rPr>
        <w:t>不生不滅相</w:t>
      </w:r>
      <w:r w:rsidRPr="00DA3BC7">
        <w:rPr>
          <w:rFonts w:ascii="Times New Roman" w:hAnsi="Times New Roman" w:hint="eastAsia"/>
        </w:rPr>
        <w:t>而知</w:t>
      </w:r>
      <w:r w:rsidRPr="00DA3BC7">
        <w:rPr>
          <w:rFonts w:ascii="Times New Roman" w:hAnsi="Times New Roman" w:hint="eastAsia"/>
          <w:b/>
        </w:rPr>
        <w:t>寂滅性</w:t>
      </w:r>
      <w:r w:rsidRPr="00DA3BC7">
        <w:rPr>
          <w:rFonts w:ascii="Times New Roman" w:hAnsi="Times New Roman" w:hint="eastAsia"/>
        </w:rPr>
        <w:t>。</w:t>
      </w:r>
    </w:p>
    <w:p w:rsidR="00AA120F" w:rsidRPr="00DA3BC7" w:rsidRDefault="00AA120F" w:rsidP="00D41C1A">
      <w:pPr>
        <w:ind w:leftChars="250" w:left="600"/>
        <w:jc w:val="both"/>
        <w:rPr>
          <w:rFonts w:ascii="Times New Roman" w:hAnsi="Times New Roman"/>
        </w:rPr>
      </w:pPr>
      <w:r w:rsidRPr="00DA3BC7">
        <w:rPr>
          <w:rFonts w:ascii="Times New Roman" w:hAnsi="Times New Roman" w:hint="eastAsia"/>
        </w:rPr>
        <w:t>如依緣起法的相依相待而知無自性，</w:t>
      </w:r>
      <w:r w:rsidR="00622F11">
        <w:rPr>
          <w:rFonts w:ascii="Times New Roman" w:hAnsi="Times New Roman" w:hint="eastAsia"/>
          <w:b/>
        </w:rPr>
        <w:t>從別別的表面的</w:t>
      </w:r>
      <w:r w:rsidR="00622F11" w:rsidRPr="006E67C3">
        <w:rPr>
          <w:rFonts w:ascii="Times New Roman" w:hAnsi="Times New Roman" w:hint="eastAsia"/>
          <w:b/>
          <w:u w:val="wave" w:color="C00000"/>
        </w:rPr>
        <w:t>事相</w:t>
      </w:r>
      <w:r w:rsidR="00622F11">
        <w:rPr>
          <w:rFonts w:ascii="Times New Roman" w:hAnsi="Times New Roman" w:hint="eastAsia"/>
          <w:b/>
        </w:rPr>
        <w:t>，悟解到遍通的、法爾的、深刻的</w:t>
      </w:r>
      <w:r w:rsidRPr="006E67C3">
        <w:rPr>
          <w:rFonts w:ascii="Times New Roman" w:hAnsi="Times New Roman" w:hint="eastAsia"/>
          <w:b/>
          <w:u w:val="wave" w:color="C00000"/>
        </w:rPr>
        <w:t>理性</w:t>
      </w:r>
      <w:r w:rsidRPr="00DA3BC7">
        <w:rPr>
          <w:rFonts w:ascii="Times New Roman" w:hAnsi="Times New Roman" w:hint="eastAsia"/>
        </w:rPr>
        <w:t>，這是</w:t>
      </w:r>
      <w:r w:rsidRPr="00DA3BC7">
        <w:rPr>
          <w:rFonts w:ascii="Times New Roman" w:hAnsi="Times New Roman" w:hint="eastAsia"/>
          <w:b/>
        </w:rPr>
        <w:t>以</w:t>
      </w:r>
      <w:r w:rsidRPr="006E67C3">
        <w:rPr>
          <w:rFonts w:ascii="Times New Roman" w:hAnsi="Times New Roman" w:hint="eastAsia"/>
          <w:b/>
          <w:u w:val="wave" w:color="C00000"/>
        </w:rPr>
        <w:t>相</w:t>
      </w:r>
      <w:r w:rsidRPr="00DA3BC7">
        <w:rPr>
          <w:rFonts w:ascii="Times New Roman" w:hAnsi="Times New Roman" w:hint="eastAsia"/>
          <w:b/>
        </w:rPr>
        <w:t>知</w:t>
      </w:r>
      <w:r w:rsidRPr="006E67C3">
        <w:rPr>
          <w:rFonts w:ascii="Times New Roman" w:hAnsi="Times New Roman" w:hint="eastAsia"/>
          <w:b/>
          <w:u w:val="wave" w:color="C00000"/>
        </w:rPr>
        <w:t>性</w:t>
      </w:r>
      <w:r w:rsidRPr="00DA3BC7">
        <w:rPr>
          <w:rFonts w:ascii="Times New Roman" w:hAnsi="Times New Roman" w:hint="eastAsia"/>
        </w:rPr>
        <w:t>的又一義。</w:t>
      </w:r>
    </w:p>
    <w:p w:rsidR="00AA120F" w:rsidRPr="00DA3BC7" w:rsidRDefault="00AA120F" w:rsidP="00D41C1A">
      <w:pPr>
        <w:ind w:leftChars="250" w:left="600"/>
        <w:jc w:val="both"/>
        <w:rPr>
          <w:rFonts w:ascii="Times New Roman" w:hAnsi="Times New Roman"/>
        </w:rPr>
      </w:pPr>
      <w:r w:rsidRPr="00DA3BC7">
        <w:rPr>
          <w:rFonts w:ascii="Times New Roman" w:hAnsi="Times New Roman" w:hint="eastAsia"/>
        </w:rPr>
        <w:t>此如《大智度論》卷</w:t>
      </w:r>
      <w:r w:rsidR="00622F11">
        <w:rPr>
          <w:rFonts w:ascii="Times New Roman" w:hAnsi="Times New Roman" w:hint="eastAsia"/>
        </w:rPr>
        <w:t>31</w:t>
      </w:r>
      <w:r w:rsidRPr="00DA3BC7">
        <w:rPr>
          <w:rFonts w:ascii="Times New Roman" w:hAnsi="Times New Roman" w:hint="eastAsia"/>
        </w:rPr>
        <w:t>說：「</w:t>
      </w:r>
      <w:r w:rsidRPr="00DA3BC7">
        <w:rPr>
          <w:rFonts w:ascii="標楷體" w:eastAsia="標楷體" w:hAnsi="標楷體" w:hint="eastAsia"/>
        </w:rPr>
        <w:t>有為性三相：生、住、滅。無為性亦三相：不生、不住、不滅</w:t>
      </w:r>
      <w:r w:rsidRPr="00DA3BC7">
        <w:rPr>
          <w:rFonts w:ascii="Times New Roman" w:hAnsi="Times New Roman" w:hint="eastAsia"/>
        </w:rPr>
        <w:t>。」</w:t>
      </w:r>
      <w:r w:rsidRPr="00DA3BC7">
        <w:rPr>
          <w:rFonts w:ascii="Times New Roman" w:hAnsi="Times New Roman"/>
          <w:vertAlign w:val="superscript"/>
        </w:rPr>
        <w:footnoteReference w:id="732"/>
      </w:r>
    </w:p>
    <w:p w:rsidR="00AA120F" w:rsidRPr="00DA3BC7" w:rsidRDefault="00AA120F" w:rsidP="00AE3920">
      <w:pPr>
        <w:spacing w:beforeLines="30"/>
        <w:ind w:leftChars="250" w:left="600"/>
        <w:jc w:val="both"/>
        <w:rPr>
          <w:rFonts w:ascii="Times New Roman" w:hAnsi="Times New Roman"/>
          <w:b/>
          <w:bCs/>
          <w:sz w:val="20"/>
          <w:szCs w:val="20"/>
          <w:bdr w:val="single" w:sz="4" w:space="0" w:color="auto"/>
        </w:rPr>
      </w:pPr>
      <w:r w:rsidRPr="00622F11">
        <w:rPr>
          <w:rFonts w:ascii="Times New Roman" w:hAnsi="Times New Roman" w:hint="eastAsia"/>
          <w:b/>
          <w:bCs/>
          <w:color w:val="FF0000"/>
          <w:sz w:val="20"/>
          <w:szCs w:val="20"/>
          <w:highlight w:val="yellow"/>
          <w:bdr w:val="single" w:sz="4" w:space="0" w:color="auto"/>
        </w:rPr>
        <w:t>（</w:t>
      </w:r>
      <w:r w:rsidR="00622F11" w:rsidRPr="00622F11">
        <w:rPr>
          <w:rFonts w:ascii="Times New Roman" w:hAnsi="Times New Roman" w:hint="eastAsia"/>
          <w:b/>
          <w:bCs/>
          <w:color w:val="FF0000"/>
          <w:sz w:val="20"/>
          <w:szCs w:val="20"/>
          <w:highlight w:val="yellow"/>
          <w:bdr w:val="single" w:sz="4" w:space="0" w:color="auto"/>
        </w:rPr>
        <w:t>2</w:t>
      </w:r>
      <w:r w:rsidRPr="00622F11">
        <w:rPr>
          <w:rFonts w:ascii="Times New Roman" w:hAnsi="Times New Roman" w:hint="eastAsia"/>
          <w:b/>
          <w:bCs/>
          <w:color w:val="FF0000"/>
          <w:sz w:val="20"/>
          <w:szCs w:val="20"/>
          <w:highlight w:val="yellow"/>
          <w:bdr w:val="single" w:sz="4" w:space="0" w:color="auto"/>
        </w:rPr>
        <w:t>）</w:t>
      </w:r>
      <w:r w:rsidR="00622F11" w:rsidRPr="00622F11">
        <w:rPr>
          <w:rFonts w:ascii="Times New Roman" w:hAnsi="Times New Roman" w:hint="eastAsia"/>
          <w:b/>
          <w:bCs/>
          <w:color w:val="FF0000"/>
          <w:sz w:val="20"/>
          <w:szCs w:val="20"/>
          <w:highlight w:val="yellow"/>
          <w:bdr w:val="single" w:sz="4" w:space="0" w:color="auto"/>
        </w:rPr>
        <w:t>特辨「</w:t>
      </w:r>
      <w:r w:rsidRPr="00DA3BC7">
        <w:rPr>
          <w:rFonts w:ascii="Times New Roman" w:hAnsi="Times New Roman" w:hint="eastAsia"/>
          <w:b/>
          <w:bCs/>
          <w:sz w:val="20"/>
          <w:szCs w:val="20"/>
          <w:bdr w:val="single" w:sz="4" w:space="0" w:color="auto"/>
        </w:rPr>
        <w:t>無為法性</w:t>
      </w:r>
      <w:r w:rsidRPr="00622F11">
        <w:rPr>
          <w:rFonts w:ascii="Times New Roman" w:hAnsi="Times New Roman" w:hint="eastAsia"/>
          <w:b/>
          <w:bCs/>
          <w:color w:val="FF0000"/>
          <w:sz w:val="20"/>
          <w:szCs w:val="20"/>
          <w:highlight w:val="yellow"/>
          <w:bdr w:val="single" w:sz="4" w:space="0" w:color="auto"/>
        </w:rPr>
        <w:t>」</w:t>
      </w:r>
      <w:r w:rsidRPr="00DA3BC7">
        <w:rPr>
          <w:rFonts w:ascii="Times New Roman" w:hAnsi="Times New Roman" w:hint="eastAsia"/>
          <w:sz w:val="20"/>
          <w:szCs w:val="20"/>
        </w:rPr>
        <w:t>（</w:t>
      </w:r>
      <w:r w:rsidRPr="00DA3BC7">
        <w:rPr>
          <w:rFonts w:ascii="Times New Roman" w:hAnsi="Times New Roman" w:hint="eastAsia"/>
          <w:sz w:val="20"/>
          <w:szCs w:val="20"/>
        </w:rPr>
        <w:t>pp.157-158</w:t>
      </w:r>
      <w:r w:rsidRPr="00DA3BC7">
        <w:rPr>
          <w:rFonts w:ascii="Times New Roman" w:hAnsi="Times New Roman" w:hint="eastAsia"/>
          <w:sz w:val="20"/>
          <w:szCs w:val="20"/>
        </w:rPr>
        <w:t>）</w:t>
      </w:r>
    </w:p>
    <w:p w:rsidR="00622F11" w:rsidRDefault="00AA120F" w:rsidP="00D41C1A">
      <w:pPr>
        <w:ind w:leftChars="250" w:left="600"/>
        <w:jc w:val="both"/>
        <w:rPr>
          <w:rFonts w:ascii="Times New Roman" w:hAnsi="Times New Roman"/>
        </w:rPr>
      </w:pPr>
      <w:r w:rsidRPr="00DA3BC7">
        <w:rPr>
          <w:rFonts w:ascii="Times New Roman" w:hAnsi="Times New Roman" w:hint="eastAsia"/>
        </w:rPr>
        <w:lastRenderedPageBreak/>
        <w:t>關於無為法性，從本性寂滅說，</w:t>
      </w:r>
      <w:r w:rsidRPr="006E67C3">
        <w:rPr>
          <w:rFonts w:ascii="Times New Roman" w:hAnsi="Times New Roman" w:hint="eastAsia"/>
          <w:b/>
          <w:u w:val="wave" w:color="C00000"/>
        </w:rPr>
        <w:t>相</w:t>
      </w:r>
      <w:r w:rsidRPr="00DA3BC7">
        <w:rPr>
          <w:rFonts w:ascii="Times New Roman" w:hAnsi="Times New Roman" w:hint="eastAsia"/>
        </w:rPr>
        <w:t>與</w:t>
      </w:r>
      <w:r w:rsidRPr="006E67C3">
        <w:rPr>
          <w:rFonts w:ascii="Times New Roman" w:hAnsi="Times New Roman" w:hint="eastAsia"/>
          <w:b/>
          <w:u w:val="wave" w:color="C00000"/>
        </w:rPr>
        <w:t>性</w:t>
      </w:r>
      <w:r w:rsidRPr="00DA3BC7">
        <w:rPr>
          <w:rFonts w:ascii="Times New Roman" w:hAnsi="Times New Roman" w:hint="eastAsia"/>
        </w:rPr>
        <w:t>即</w:t>
      </w:r>
      <w:r w:rsidRPr="006E67C3">
        <w:rPr>
          <w:rFonts w:ascii="Times New Roman" w:hAnsi="Times New Roman" w:hint="eastAsia"/>
          <w:b/>
          <w:u w:val="wave" w:color="C00000"/>
        </w:rPr>
        <w:t>現相</w:t>
      </w:r>
      <w:r w:rsidRPr="00DA3BC7">
        <w:rPr>
          <w:rFonts w:ascii="Times New Roman" w:hAnsi="Times New Roman" w:hint="eastAsia"/>
        </w:rPr>
        <w:t>與</w:t>
      </w:r>
      <w:r w:rsidRPr="006E67C3">
        <w:rPr>
          <w:rFonts w:ascii="Times New Roman" w:hAnsi="Times New Roman" w:hint="eastAsia"/>
          <w:b/>
          <w:u w:val="wave" w:color="C00000"/>
        </w:rPr>
        <w:t>空性</w:t>
      </w:r>
      <w:r w:rsidRPr="00DA3BC7">
        <w:rPr>
          <w:rFonts w:ascii="Times New Roman" w:hAnsi="Times New Roman" w:hint="eastAsia"/>
        </w:rPr>
        <w:t>。</w:t>
      </w:r>
    </w:p>
    <w:p w:rsidR="00AA120F" w:rsidRPr="00DA3BC7" w:rsidRDefault="00AA120F" w:rsidP="00D41C1A">
      <w:pPr>
        <w:ind w:leftChars="250" w:left="600"/>
        <w:jc w:val="both"/>
        <w:rPr>
          <w:rFonts w:ascii="Times New Roman" w:hAnsi="Times New Roman"/>
        </w:rPr>
      </w:pPr>
      <w:r w:rsidRPr="00622F11">
        <w:rPr>
          <w:rFonts w:ascii="Times New Roman" w:hAnsi="Times New Roman" w:hint="eastAsia"/>
          <w:highlight w:val="yellow"/>
        </w:rPr>
        <w:t>如</w:t>
      </w:r>
      <w:r w:rsidRPr="00DA3BC7">
        <w:rPr>
          <w:rFonts w:ascii="Times New Roman" w:hAnsi="Times New Roman" w:hint="eastAsia"/>
        </w:rPr>
        <w:t>《大智度論》卷</w:t>
      </w:r>
      <w:r w:rsidR="00622F11">
        <w:rPr>
          <w:rFonts w:ascii="Times New Roman" w:hAnsi="Times New Roman" w:hint="eastAsia"/>
        </w:rPr>
        <w:t>51</w:t>
      </w:r>
      <w:r w:rsidRPr="00DA3BC7">
        <w:rPr>
          <w:rFonts w:ascii="Times New Roman" w:hAnsi="Times New Roman" w:hint="eastAsia"/>
        </w:rPr>
        <w:t>說：「</w:t>
      </w:r>
      <w:r w:rsidRPr="00DA3BC7">
        <w:rPr>
          <w:rFonts w:ascii="標楷體" w:eastAsia="標楷體" w:hAnsi="標楷體" w:hint="eastAsia"/>
        </w:rPr>
        <w:t>諸佛觀色相畢竟清淨空……，性自爾故</w:t>
      </w:r>
      <w:r w:rsidRPr="00DA3BC7">
        <w:rPr>
          <w:rFonts w:ascii="Times New Roman" w:hAnsi="Times New Roman" w:hint="eastAsia"/>
        </w:rPr>
        <w:t>。」</w:t>
      </w:r>
      <w:r w:rsidRPr="00DA3BC7">
        <w:rPr>
          <w:rFonts w:ascii="Times New Roman" w:hAnsi="Times New Roman"/>
          <w:vertAlign w:val="superscript"/>
        </w:rPr>
        <w:footnoteReference w:id="733"/>
      </w:r>
      <w:r w:rsidRPr="00DA3BC7">
        <w:rPr>
          <w:rFonts w:ascii="Times New Roman" w:hAnsi="Times New Roman" w:hint="eastAsia"/>
        </w:rPr>
        <w:t>佛觀一切法畢竟空，即是於緣起的現相上而通達之。</w:t>
      </w:r>
      <w:r w:rsidRPr="00DA3BC7">
        <w:rPr>
          <w:rFonts w:ascii="Times New Roman" w:hAnsi="Times New Roman" w:hint="eastAsia"/>
          <w:b/>
        </w:rPr>
        <w:t>所悟入的空性，非由觀之使空，是從本以來法爾如此的</w:t>
      </w:r>
      <w:r w:rsidRPr="00DA3BC7">
        <w:rPr>
          <w:rFonts w:ascii="Times New Roman" w:hAnsi="Times New Roman" w:hint="eastAsia"/>
        </w:rPr>
        <w:t>，所以說「</w:t>
      </w:r>
      <w:r w:rsidRPr="00DA3BC7">
        <w:rPr>
          <w:rFonts w:ascii="Times New Roman" w:eastAsia="標楷體" w:hAnsi="Times New Roman" w:hint="eastAsia"/>
        </w:rPr>
        <w:t>性自爾故</w:t>
      </w:r>
      <w:r w:rsidRPr="00DA3BC7">
        <w:rPr>
          <w:rFonts w:ascii="Times New Roman" w:hAnsi="Times New Roman" w:hint="eastAsia"/>
        </w:rPr>
        <w:t>」。</w:t>
      </w:r>
    </w:p>
    <w:p w:rsidR="00AA120F" w:rsidRPr="00DA3BC7" w:rsidRDefault="00AA120F" w:rsidP="00D41C1A">
      <w:pPr>
        <w:ind w:leftChars="250" w:left="600"/>
        <w:jc w:val="both"/>
        <w:rPr>
          <w:rFonts w:ascii="Times New Roman" w:hAnsi="Times New Roman"/>
        </w:rPr>
      </w:pPr>
      <w:r w:rsidRPr="00DA3BC7">
        <w:rPr>
          <w:rFonts w:ascii="Times New Roman" w:hAnsi="Times New Roman" w:hint="eastAsia"/>
        </w:rPr>
        <w:t>所以佛所說</w:t>
      </w:r>
      <w:r w:rsidRPr="00DA3BC7">
        <w:rPr>
          <w:rFonts w:ascii="Times New Roman" w:hAnsi="Times New Roman" w:hint="eastAsia"/>
          <w:b/>
        </w:rPr>
        <w:t>法性空寂</w:t>
      </w:r>
      <w:r w:rsidRPr="00DA3BC7">
        <w:rPr>
          <w:rFonts w:ascii="Times New Roman" w:hAnsi="Times New Roman" w:hint="eastAsia"/>
        </w:rPr>
        <w:t>，並非玄學式的本體論，而是從</w:t>
      </w:r>
      <w:r w:rsidRPr="00DA3BC7">
        <w:rPr>
          <w:rFonts w:ascii="Times New Roman" w:hAnsi="Times New Roman" w:hint="eastAsia"/>
          <w:b/>
        </w:rPr>
        <w:t>現實事相</w:t>
      </w:r>
      <w:r w:rsidRPr="00DA3BC7">
        <w:rPr>
          <w:rFonts w:ascii="Times New Roman" w:hAnsi="Times New Roman" w:hint="eastAsia"/>
        </w:rPr>
        <w:t>中去深觀而契會的。</w:t>
      </w:r>
      <w:r w:rsidRPr="00DA3BC7">
        <w:rPr>
          <w:rFonts w:ascii="Times New Roman" w:hAnsi="Times New Roman" w:hint="eastAsia"/>
          <w:b/>
        </w:rPr>
        <w:t>性之所以是空的，即由</w:t>
      </w:r>
      <w:r w:rsidRPr="006E67C3">
        <w:rPr>
          <w:rFonts w:ascii="Times New Roman" w:hAnsi="Times New Roman" w:hint="eastAsia"/>
          <w:b/>
          <w:u w:val="wave" w:color="C00000"/>
        </w:rPr>
        <w:t>相的緣起性</w:t>
      </w:r>
      <w:r w:rsidRPr="00DA3BC7">
        <w:rPr>
          <w:rFonts w:ascii="Times New Roman" w:hAnsi="Times New Roman" w:hint="eastAsia"/>
        </w:rPr>
        <w:t>，</w:t>
      </w:r>
      <w:r w:rsidR="00622F11">
        <w:rPr>
          <w:rFonts w:ascii="Times New Roman" w:hAnsi="Times New Roman" w:hint="eastAsia"/>
          <w:b/>
        </w:rPr>
        <w:t>唯有緣起才能顯出</w:t>
      </w:r>
      <w:r w:rsidR="00622F11" w:rsidRPr="006E67C3">
        <w:rPr>
          <w:rFonts w:ascii="Times New Roman" w:hAnsi="Times New Roman" w:hint="eastAsia"/>
          <w:b/>
          <w:u w:val="wave" w:color="C00000"/>
        </w:rPr>
        <w:t>空寂性</w:t>
      </w:r>
      <w:r w:rsidRPr="00DA3BC7">
        <w:rPr>
          <w:rFonts w:ascii="Times New Roman" w:hAnsi="Times New Roman" w:hint="eastAsia"/>
          <w:b/>
        </w:rPr>
        <w:t>，</w:t>
      </w:r>
      <w:r w:rsidRPr="00DA3BC7">
        <w:rPr>
          <w:rFonts w:ascii="Times New Roman" w:hAnsi="Times New Roman" w:hint="eastAsia"/>
        </w:rPr>
        <w:t>這</w:t>
      </w:r>
      <w:r w:rsidR="00622F11">
        <w:rPr>
          <w:rFonts w:ascii="Times New Roman" w:hAnsi="Times New Roman" w:hint="eastAsia"/>
          <w:b/>
        </w:rPr>
        <w:t>從</w:t>
      </w:r>
      <w:r w:rsidR="00622F11" w:rsidRPr="006E67C3">
        <w:rPr>
          <w:rFonts w:ascii="Times New Roman" w:hAnsi="Times New Roman" w:hint="eastAsia"/>
          <w:b/>
          <w:u w:val="wave" w:color="C00000"/>
        </w:rPr>
        <w:t>別別事相</w:t>
      </w:r>
      <w:r w:rsidR="00622F11">
        <w:rPr>
          <w:rFonts w:ascii="Times New Roman" w:hAnsi="Times New Roman" w:hint="eastAsia"/>
          <w:b/>
        </w:rPr>
        <w:t>以見事理之</w:t>
      </w:r>
      <w:r w:rsidR="00622F11" w:rsidRPr="006E67C3">
        <w:rPr>
          <w:rFonts w:ascii="Times New Roman" w:hAnsi="Times New Roman" w:hint="eastAsia"/>
          <w:b/>
          <w:u w:val="wave" w:color="C00000"/>
        </w:rPr>
        <w:t>法性</w:t>
      </w:r>
      <w:r w:rsidR="00622F11">
        <w:rPr>
          <w:rFonts w:ascii="Times New Roman" w:hAnsi="Times New Roman" w:hint="eastAsia"/>
          <w:b/>
        </w:rPr>
        <w:t>，由</w:t>
      </w:r>
      <w:r w:rsidR="00622F11" w:rsidRPr="006E67C3">
        <w:rPr>
          <w:rFonts w:ascii="Times New Roman" w:hAnsi="Times New Roman" w:hint="eastAsia"/>
          <w:b/>
          <w:u w:val="wave" w:color="C00000"/>
        </w:rPr>
        <w:t>一切現有</w:t>
      </w:r>
      <w:r w:rsidR="00622F11">
        <w:rPr>
          <w:rFonts w:ascii="Times New Roman" w:hAnsi="Times New Roman" w:hint="eastAsia"/>
          <w:b/>
        </w:rPr>
        <w:t>以達</w:t>
      </w:r>
      <w:r w:rsidRPr="006E67C3">
        <w:rPr>
          <w:rFonts w:ascii="Times New Roman" w:hAnsi="Times New Roman" w:hint="eastAsia"/>
          <w:b/>
          <w:u w:val="wave" w:color="C00000"/>
        </w:rPr>
        <w:t>畢竟空性</w:t>
      </w:r>
      <w:r w:rsidRPr="00DA3BC7">
        <w:rPr>
          <w:rFonts w:ascii="Times New Roman" w:hAnsi="Times New Roman" w:hint="eastAsia"/>
        </w:rPr>
        <w:t>，比之「</w:t>
      </w:r>
      <w:r w:rsidRPr="006E67C3">
        <w:rPr>
          <w:rFonts w:ascii="Times New Roman" w:hAnsi="Times New Roman" w:hint="eastAsia"/>
          <w:b/>
          <w:u w:val="wave" w:color="C00000"/>
        </w:rPr>
        <w:t>相</w:t>
      </w:r>
      <w:r w:rsidRPr="00DA3BC7">
        <w:rPr>
          <w:rFonts w:ascii="Times New Roman" w:hAnsi="Times New Roman" w:hint="eastAsia"/>
        </w:rPr>
        <w:t>與</w:t>
      </w:r>
      <w:r w:rsidRPr="006E67C3">
        <w:rPr>
          <w:rFonts w:ascii="Times New Roman" w:hAnsi="Times New Roman" w:hint="eastAsia"/>
          <w:b/>
          <w:u w:val="wave" w:color="C00000"/>
        </w:rPr>
        <w:t>可相</w:t>
      </w:r>
      <w:r w:rsidRPr="00DA3BC7">
        <w:rPr>
          <w:rFonts w:ascii="Times New Roman" w:hAnsi="Times New Roman" w:hint="eastAsia"/>
        </w:rPr>
        <w:t>」，是更深入了！</w:t>
      </w:r>
    </w:p>
    <w:p w:rsidR="00AA120F" w:rsidRPr="00DA3BC7" w:rsidRDefault="00AA120F" w:rsidP="00AE3920">
      <w:pPr>
        <w:spacing w:beforeLines="30"/>
        <w:ind w:leftChars="100" w:left="240"/>
        <w:jc w:val="both"/>
        <w:rPr>
          <w:rFonts w:ascii="Times New Roman" w:hAnsi="Times New Roman"/>
          <w:b/>
          <w:sz w:val="20"/>
        </w:rPr>
      </w:pPr>
      <w:r w:rsidRPr="00DA3BC7">
        <w:rPr>
          <w:rFonts w:ascii="Times New Roman" w:hAnsi="Times New Roman" w:hint="eastAsia"/>
          <w:b/>
          <w:sz w:val="20"/>
          <w:szCs w:val="26"/>
          <w:bdr w:val="single" w:sz="4" w:space="0" w:color="auto"/>
        </w:rPr>
        <w:t>二、</w:t>
      </w:r>
      <w:r w:rsidR="00F5771E" w:rsidRPr="00F5771E">
        <w:rPr>
          <w:rFonts w:ascii="Times New Roman" w:hAnsi="Times New Roman" w:hint="eastAsia"/>
          <w:b/>
          <w:color w:val="FF0000"/>
          <w:sz w:val="20"/>
          <w:szCs w:val="26"/>
          <w:highlight w:val="yellow"/>
          <w:bdr w:val="single" w:sz="4" w:space="0" w:color="auto"/>
        </w:rPr>
        <w:t>簡別立宗</w:t>
      </w:r>
      <w:r w:rsidRPr="00DA3BC7">
        <w:rPr>
          <w:rFonts w:ascii="Times New Roman" w:hAnsi="Times New Roman" w:hint="eastAsia"/>
          <w:bCs/>
          <w:sz w:val="20"/>
          <w:szCs w:val="26"/>
        </w:rPr>
        <w:t>（</w:t>
      </w:r>
      <w:r w:rsidRPr="00DA3BC7">
        <w:rPr>
          <w:rFonts w:ascii="Times New Roman" w:hAnsi="Times New Roman" w:hint="eastAsia"/>
          <w:bCs/>
          <w:sz w:val="20"/>
          <w:szCs w:val="26"/>
        </w:rPr>
        <w:t>pp.158-162</w:t>
      </w:r>
      <w:r w:rsidRPr="00DA3BC7">
        <w:rPr>
          <w:rFonts w:ascii="Times New Roman" w:hAnsi="Times New Roman" w:hint="eastAsia"/>
          <w:bCs/>
          <w:sz w:val="20"/>
          <w:szCs w:val="26"/>
        </w:rPr>
        <w:t>）</w:t>
      </w:r>
    </w:p>
    <w:p w:rsidR="00AA120F" w:rsidRPr="00DA3BC7" w:rsidRDefault="00AA120F" w:rsidP="008E2BBC">
      <w:pPr>
        <w:ind w:leftChars="150" w:left="360"/>
        <w:jc w:val="both"/>
        <w:rPr>
          <w:rFonts w:ascii="Times New Roman" w:hAnsi="Times New Roman"/>
          <w:b/>
          <w:sz w:val="20"/>
          <w:szCs w:val="20"/>
          <w:bdr w:val="single" w:sz="4" w:space="0" w:color="auto"/>
        </w:rPr>
      </w:pPr>
      <w:r w:rsidRPr="00DA3BC7">
        <w:rPr>
          <w:rFonts w:ascii="Times New Roman" w:hAnsi="Times New Roman" w:hint="eastAsia"/>
          <w:b/>
          <w:sz w:val="20"/>
          <w:szCs w:val="20"/>
          <w:bdr w:val="single" w:sz="4" w:space="0" w:color="auto"/>
        </w:rPr>
        <w:t>（一）</w:t>
      </w:r>
      <w:r w:rsidR="00F5771E" w:rsidRPr="00F5771E">
        <w:rPr>
          <w:rFonts w:ascii="Times New Roman" w:hAnsi="Times New Roman" w:hint="eastAsia"/>
          <w:b/>
          <w:color w:val="FF0000"/>
          <w:sz w:val="20"/>
          <w:szCs w:val="20"/>
          <w:highlight w:val="yellow"/>
          <w:bdr w:val="single" w:sz="4" w:space="0" w:color="auto"/>
        </w:rPr>
        <w:t>舉論題</w:t>
      </w:r>
      <w:r w:rsidRPr="00DA3BC7">
        <w:rPr>
          <w:rFonts w:ascii="Times New Roman" w:hAnsi="Times New Roman" w:hint="eastAsia"/>
          <w:bCs/>
          <w:sz w:val="20"/>
          <w:szCs w:val="26"/>
        </w:rPr>
        <w:t>（</w:t>
      </w:r>
      <w:r w:rsidRPr="00DA3BC7">
        <w:rPr>
          <w:rFonts w:ascii="Times New Roman" w:hAnsi="Times New Roman" w:hint="eastAsia"/>
          <w:bCs/>
          <w:sz w:val="20"/>
          <w:szCs w:val="26"/>
        </w:rPr>
        <w:t>p.158</w:t>
      </w:r>
      <w:r w:rsidRPr="00DA3BC7">
        <w:rPr>
          <w:rFonts w:ascii="Times New Roman" w:hAnsi="Times New Roman" w:hint="eastAsia"/>
          <w:bCs/>
          <w:sz w:val="20"/>
          <w:szCs w:val="26"/>
        </w:rPr>
        <w:t>）</w:t>
      </w:r>
    </w:p>
    <w:p w:rsidR="00F5771E" w:rsidRDefault="00AA120F" w:rsidP="008E2BBC">
      <w:pPr>
        <w:ind w:leftChars="160" w:left="384"/>
        <w:jc w:val="both"/>
        <w:rPr>
          <w:bCs/>
        </w:rPr>
      </w:pPr>
      <w:r w:rsidRPr="00DA3BC7">
        <w:rPr>
          <w:rFonts w:hint="eastAsia"/>
          <w:bCs/>
        </w:rPr>
        <w:t>此有一大論題，即「此性深妙，以相可知」。</w:t>
      </w:r>
    </w:p>
    <w:p w:rsidR="00F5771E" w:rsidRDefault="00F5771E" w:rsidP="00AE3920">
      <w:pPr>
        <w:spacing w:beforeLines="30"/>
        <w:ind w:leftChars="150" w:left="360"/>
        <w:jc w:val="both"/>
        <w:rPr>
          <w:rFonts w:ascii="Times New Roman" w:hAnsi="Times New Roman"/>
          <w:b/>
          <w:color w:val="FF0000"/>
          <w:sz w:val="20"/>
          <w:szCs w:val="20"/>
          <w:highlight w:val="yellow"/>
          <w:bdr w:val="single" w:sz="4" w:space="0" w:color="auto"/>
        </w:rPr>
      </w:pPr>
      <w:r w:rsidRPr="00F5771E">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二</w:t>
      </w:r>
      <w:r w:rsidRPr="00F5771E">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述宗見</w:t>
      </w:r>
      <w:r w:rsidRPr="00DA3BC7">
        <w:rPr>
          <w:rFonts w:ascii="Times New Roman" w:hAnsi="Times New Roman" w:hint="eastAsia"/>
          <w:bCs/>
          <w:sz w:val="20"/>
          <w:szCs w:val="26"/>
        </w:rPr>
        <w:t>（</w:t>
      </w:r>
      <w:r w:rsidRPr="00DA3BC7">
        <w:rPr>
          <w:rFonts w:ascii="Times New Roman" w:hAnsi="Times New Roman" w:hint="eastAsia"/>
          <w:bCs/>
          <w:sz w:val="20"/>
          <w:szCs w:val="26"/>
        </w:rPr>
        <w:t>pp.158-159</w:t>
      </w:r>
      <w:r w:rsidRPr="00DA3BC7">
        <w:rPr>
          <w:rFonts w:ascii="Times New Roman" w:hAnsi="Times New Roman" w:hint="eastAsia"/>
          <w:bCs/>
          <w:sz w:val="20"/>
          <w:szCs w:val="26"/>
        </w:rPr>
        <w:t>）</w:t>
      </w:r>
    </w:p>
    <w:p w:rsidR="00F5771E" w:rsidRPr="00DA3BC7" w:rsidRDefault="00F5771E" w:rsidP="00D41C1A">
      <w:pPr>
        <w:ind w:leftChars="200" w:left="48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1</w:t>
      </w:r>
      <w:r>
        <w:rPr>
          <w:rFonts w:ascii="Times New Roman" w:hAnsi="Times New Roman" w:hint="eastAsia"/>
          <w:b/>
          <w:color w:val="FF0000"/>
          <w:sz w:val="20"/>
          <w:szCs w:val="20"/>
          <w:highlight w:val="yellow"/>
          <w:bdr w:val="single" w:sz="4" w:space="0" w:color="auto"/>
        </w:rPr>
        <w:t>、明異說</w:t>
      </w:r>
      <w:r w:rsidRPr="00DA3BC7">
        <w:rPr>
          <w:rFonts w:ascii="Times New Roman" w:hAnsi="Times New Roman" w:hint="eastAsia"/>
          <w:bCs/>
          <w:sz w:val="20"/>
          <w:szCs w:val="26"/>
        </w:rPr>
        <w:t>（</w:t>
      </w:r>
      <w:r w:rsidRPr="00DA3BC7">
        <w:rPr>
          <w:rFonts w:ascii="Times New Roman" w:hAnsi="Times New Roman" w:hint="eastAsia"/>
          <w:bCs/>
          <w:sz w:val="20"/>
          <w:szCs w:val="26"/>
        </w:rPr>
        <w:t>pp.158-159</w:t>
      </w:r>
      <w:r w:rsidRPr="00DA3BC7">
        <w:rPr>
          <w:rFonts w:ascii="Times New Roman" w:hAnsi="Times New Roman" w:hint="eastAsia"/>
          <w:bCs/>
          <w:sz w:val="20"/>
          <w:szCs w:val="26"/>
        </w:rPr>
        <w:t>）</w:t>
      </w:r>
    </w:p>
    <w:p w:rsidR="00AA120F" w:rsidRPr="00DA3BC7" w:rsidRDefault="00AA120F" w:rsidP="00D41C1A">
      <w:pPr>
        <w:ind w:leftChars="200" w:left="480"/>
        <w:jc w:val="both"/>
        <w:rPr>
          <w:bCs/>
          <w:dstrike/>
          <w:szCs w:val="18"/>
        </w:rPr>
      </w:pPr>
      <w:r w:rsidRPr="00DA3BC7">
        <w:rPr>
          <w:rFonts w:hint="eastAsia"/>
          <w:bCs/>
        </w:rPr>
        <w:t>於此，有兩大派的不同：</w:t>
      </w:r>
    </w:p>
    <w:p w:rsidR="00AA120F" w:rsidRPr="00DA3BC7" w:rsidRDefault="00F5771E" w:rsidP="00AE3920">
      <w:pPr>
        <w:spacing w:beforeLines="30"/>
        <w:ind w:leftChars="250" w:left="600"/>
        <w:jc w:val="both"/>
        <w:rPr>
          <w:rFonts w:ascii="Times New Roman" w:hAnsi="Times New Roman"/>
          <w:b/>
          <w:sz w:val="20"/>
          <w:szCs w:val="20"/>
          <w:bdr w:val="single" w:sz="4" w:space="0" w:color="auto"/>
        </w:rPr>
      </w:pPr>
      <w:r w:rsidRPr="00F5771E">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1</w:t>
      </w:r>
      <w:r w:rsidRPr="00F5771E">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hint="eastAsia"/>
          <w:b/>
          <w:bCs/>
          <w:sz w:val="20"/>
          <w:szCs w:val="20"/>
          <w:bdr w:val="single" w:sz="4" w:space="0" w:color="auto"/>
        </w:rPr>
        <w:t>實在論</w:t>
      </w:r>
      <w:r w:rsidR="00AA120F" w:rsidRPr="00F5771E">
        <w:rPr>
          <w:rFonts w:ascii="Times New Roman" w:hAnsi="Times New Roman" w:hint="eastAsia"/>
          <w:b/>
          <w:bCs/>
          <w:sz w:val="20"/>
          <w:szCs w:val="20"/>
          <w:highlight w:val="yellow"/>
          <w:bdr w:val="single" w:sz="4" w:space="0" w:color="auto"/>
        </w:rPr>
        <w:t>者</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pp.158-159</w:t>
      </w:r>
      <w:r w:rsidR="00AA120F" w:rsidRPr="00DA3BC7">
        <w:rPr>
          <w:rFonts w:ascii="Times New Roman" w:hAnsi="Times New Roman" w:hint="eastAsia"/>
          <w:sz w:val="20"/>
          <w:szCs w:val="20"/>
        </w:rPr>
        <w:t>）</w:t>
      </w:r>
    </w:p>
    <w:p w:rsidR="00AA120F" w:rsidRPr="00DA3BC7" w:rsidRDefault="00AA120F" w:rsidP="00D41C1A">
      <w:pPr>
        <w:ind w:leftChars="250" w:left="600"/>
        <w:jc w:val="both"/>
        <w:rPr>
          <w:rFonts w:ascii="Times New Roman" w:hAnsi="Times New Roman"/>
        </w:rPr>
      </w:pPr>
      <w:r w:rsidRPr="00DA3BC7">
        <w:rPr>
          <w:rFonts w:ascii="Times New Roman" w:hAnsi="Times New Roman" w:hint="eastAsia"/>
        </w:rPr>
        <w:t>一、實在論者──如薩婆多部等，以為</w:t>
      </w:r>
      <w:r w:rsidRPr="00DA3BC7">
        <w:rPr>
          <w:rFonts w:ascii="Times New Roman" w:hAnsi="Times New Roman" w:hint="eastAsia"/>
          <w:b/>
        </w:rPr>
        <w:t>心識有顯了對象的作用</w:t>
      </w:r>
      <w:r w:rsidRPr="00DA3BC7">
        <w:rPr>
          <w:rFonts w:ascii="Times New Roman" w:hAnsi="Times New Roman" w:hint="eastAsia"/>
        </w:rPr>
        <w:t>；凡是可知者，即是存在者。在識的了境上，總名與總相，即概念的類名</w:t>
      </w:r>
      <w:r w:rsidRPr="00DA3BC7">
        <w:rPr>
          <w:rStyle w:val="a6"/>
          <w:rFonts w:ascii="Times New Roman" w:hAnsi="Times New Roman"/>
        </w:rPr>
        <w:footnoteReference w:id="734"/>
      </w:r>
      <w:r w:rsidRPr="00DA3BC7">
        <w:rPr>
          <w:rFonts w:ascii="Times New Roman" w:hAnsi="Times New Roman" w:hint="eastAsia"/>
        </w:rPr>
        <w:t>與意義，雖不是對象（性）自身，而由此能詮能顯以了得</w:t>
      </w:r>
      <w:r w:rsidRPr="00DA3BC7">
        <w:rPr>
          <w:rStyle w:val="a6"/>
          <w:rFonts w:ascii="Times New Roman" w:hAnsi="Times New Roman"/>
        </w:rPr>
        <w:footnoteReference w:id="735"/>
      </w:r>
      <w:r w:rsidRPr="00DA3BC7">
        <w:rPr>
          <w:rFonts w:ascii="Times New Roman" w:hAnsi="Times New Roman" w:hint="eastAsia"/>
        </w:rPr>
        <w:t>客觀的法性。名言──名句文、心識，有指向對象、顯了對象的作用。</w:t>
      </w:r>
      <w:r w:rsidRPr="00DA3BC7">
        <w:rPr>
          <w:rFonts w:ascii="Times New Roman" w:hAnsi="Times New Roman" w:hint="eastAsia"/>
          <w:b/>
        </w:rPr>
        <w:t>他們以為：凡是所知的，皆是有的；如不是有的，即不能成為所知的</w:t>
      </w:r>
      <w:r w:rsidRPr="00DA3BC7">
        <w:rPr>
          <w:rFonts w:ascii="Times New Roman" w:hAnsi="Times New Roman" w:hint="eastAsia"/>
        </w:rPr>
        <w:t>。</w:t>
      </w:r>
    </w:p>
    <w:p w:rsidR="00AA120F" w:rsidRPr="00DA3BC7" w:rsidRDefault="00AA120F" w:rsidP="00AE3920">
      <w:pPr>
        <w:spacing w:beforeLines="20"/>
        <w:ind w:leftChars="250" w:left="600"/>
        <w:jc w:val="both"/>
        <w:rPr>
          <w:rFonts w:ascii="Times New Roman" w:hAnsi="Times New Roman"/>
        </w:rPr>
      </w:pPr>
      <w:r w:rsidRPr="00DA3BC7">
        <w:rPr>
          <w:rFonts w:ascii="Times New Roman" w:hAnsi="Times New Roman" w:hint="eastAsia"/>
        </w:rPr>
        <w:t>佛說六識必由根、境為緣而生，無境即不能成為認識。如薩婆多部說：過去、未來皆是實有；若問何以知是有的，即說：以可知故。有的，才</w:t>
      </w:r>
      <w:r w:rsidRPr="00DA3BC7">
        <w:rPr>
          <w:rFonts w:ascii="Times New Roman" w:hAnsi="Times New Roman" w:hint="eastAsia"/>
        </w:rPr>
        <w:lastRenderedPageBreak/>
        <w:t>成為可知的。不但一般的是有而可知，連夢中所見的，也以為是有的，不過錯亂而已。</w:t>
      </w:r>
      <w:r w:rsidR="004D33C6" w:rsidRPr="004D33C6">
        <w:rPr>
          <w:rStyle w:val="a6"/>
          <w:rFonts w:ascii="Times New Roman" w:hAnsi="Times New Roman"/>
          <w:color w:val="FF0000"/>
          <w:highlight w:val="yellow"/>
        </w:rPr>
        <w:footnoteReference w:id="736"/>
      </w:r>
    </w:p>
    <w:p w:rsidR="00AA120F" w:rsidRPr="00DA3BC7" w:rsidRDefault="00F5771E" w:rsidP="00AE3920">
      <w:pPr>
        <w:spacing w:beforeLines="30"/>
        <w:ind w:leftChars="250" w:left="600"/>
        <w:jc w:val="both"/>
        <w:rPr>
          <w:rFonts w:ascii="Times New Roman" w:hAnsi="Times New Roman"/>
          <w:b/>
          <w:sz w:val="20"/>
          <w:szCs w:val="20"/>
          <w:bdr w:val="single" w:sz="4" w:space="0" w:color="auto"/>
        </w:rPr>
      </w:pPr>
      <w:r w:rsidRPr="00F5771E">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2</w:t>
      </w:r>
      <w:r w:rsidRPr="00F5771E">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hint="eastAsia"/>
          <w:b/>
          <w:bCs/>
          <w:sz w:val="20"/>
          <w:szCs w:val="20"/>
          <w:bdr w:val="single" w:sz="4" w:space="0" w:color="auto"/>
        </w:rPr>
        <w:t>唯心論</w:t>
      </w:r>
      <w:r w:rsidR="00AA120F" w:rsidRPr="00F5771E">
        <w:rPr>
          <w:rFonts w:ascii="Times New Roman" w:hAnsi="Times New Roman" w:hint="eastAsia"/>
          <w:b/>
          <w:bCs/>
          <w:sz w:val="20"/>
          <w:szCs w:val="20"/>
          <w:highlight w:val="yellow"/>
          <w:bdr w:val="single" w:sz="4" w:space="0" w:color="auto"/>
        </w:rPr>
        <w:t>者</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p.159</w:t>
      </w:r>
      <w:r w:rsidR="00AA120F" w:rsidRPr="00DA3BC7">
        <w:rPr>
          <w:rFonts w:ascii="Times New Roman" w:hAnsi="Times New Roman" w:hint="eastAsia"/>
          <w:sz w:val="20"/>
          <w:szCs w:val="20"/>
        </w:rPr>
        <w:t>）</w:t>
      </w:r>
    </w:p>
    <w:p w:rsidR="00AA120F" w:rsidRPr="00DA3BC7" w:rsidRDefault="00AA120F" w:rsidP="00D41C1A">
      <w:pPr>
        <w:ind w:leftChars="250" w:left="600"/>
        <w:jc w:val="both"/>
      </w:pPr>
      <w:r w:rsidRPr="00DA3BC7">
        <w:rPr>
          <w:rFonts w:hint="eastAsia"/>
          <w:b/>
        </w:rPr>
        <w:t>二、唯心論者說：凡是有的，必是依心識而存在的</w:t>
      </w:r>
      <w:r w:rsidRPr="00DA3BC7">
        <w:rPr>
          <w:rFonts w:hint="eastAsia"/>
        </w:rPr>
        <w:t>。一切不過是自心所幻現的，是自心所涵攝的，是自心表象的客觀化──物化。我們所知道的，不出於心識名言。這即是必由心識的</w:t>
      </w:r>
      <w:r w:rsidRPr="00DA3BC7">
        <w:rPr>
          <w:rFonts w:hint="eastAsia"/>
          <w:b/>
        </w:rPr>
        <w:t>了相而知性</w:t>
      </w:r>
      <w:r w:rsidRPr="00DA3BC7">
        <w:rPr>
          <w:rFonts w:hint="eastAsia"/>
        </w:rPr>
        <w:t>，被解說為並無心外的存在。所以，「</w:t>
      </w:r>
      <w:r w:rsidRPr="009A34C1">
        <w:rPr>
          <w:rFonts w:ascii="標楷體" w:eastAsia="標楷體" w:hAnsi="標楷體" w:hint="eastAsia"/>
        </w:rPr>
        <w:t>若人識得心，大地無寸土</w:t>
      </w:r>
      <w:r w:rsidRPr="00DA3BC7">
        <w:rPr>
          <w:rFonts w:hint="eastAsia"/>
        </w:rPr>
        <w:t>」</w:t>
      </w:r>
      <w:r w:rsidRPr="00DA3BC7">
        <w:rPr>
          <w:rFonts w:ascii="Times New Roman" w:hAnsi="Times New Roman"/>
        </w:rPr>
        <w:t>。</w:t>
      </w:r>
      <w:r w:rsidR="006E67C3" w:rsidRPr="00DA3BC7">
        <w:rPr>
          <w:rStyle w:val="a6"/>
          <w:rFonts w:ascii="Times New Roman" w:hAnsi="Times New Roman"/>
        </w:rPr>
        <w:footnoteReference w:id="737"/>
      </w:r>
    </w:p>
    <w:p w:rsidR="00F5771E" w:rsidRDefault="00F5771E" w:rsidP="00AE3920">
      <w:pPr>
        <w:spacing w:beforeLines="30"/>
        <w:ind w:leftChars="200" w:left="480"/>
        <w:jc w:val="both"/>
        <w:rPr>
          <w:rFonts w:ascii="Times New Roman" w:hAnsi="Times New Roman"/>
          <w:b/>
          <w:sz w:val="20"/>
          <w:szCs w:val="20"/>
          <w:bdr w:val="single" w:sz="4" w:space="0" w:color="auto"/>
        </w:rPr>
      </w:pPr>
      <w:r w:rsidRPr="00F5771E">
        <w:rPr>
          <w:rFonts w:ascii="Times New Roman" w:hAnsi="Times New Roman" w:hint="eastAsia"/>
          <w:b/>
          <w:color w:val="FF0000"/>
          <w:sz w:val="20"/>
          <w:szCs w:val="20"/>
          <w:highlight w:val="yellow"/>
          <w:bdr w:val="single" w:sz="4" w:space="0" w:color="auto"/>
        </w:rPr>
        <w:t>2</w:t>
      </w:r>
      <w:r w:rsidRPr="00F5771E">
        <w:rPr>
          <w:rFonts w:ascii="Times New Roman" w:hAnsi="Times New Roman" w:hint="eastAsia"/>
          <w:b/>
          <w:color w:val="FF0000"/>
          <w:sz w:val="20"/>
          <w:szCs w:val="20"/>
          <w:highlight w:val="yellow"/>
          <w:bdr w:val="single" w:sz="4" w:space="0" w:color="auto"/>
        </w:rPr>
        <w:t>、敘正理</w:t>
      </w:r>
      <w:r w:rsidRPr="00DA3BC7">
        <w:rPr>
          <w:rFonts w:ascii="Times New Roman" w:hAnsi="Times New Roman" w:hint="eastAsia"/>
          <w:sz w:val="20"/>
          <w:szCs w:val="20"/>
        </w:rPr>
        <w:t>（</w:t>
      </w:r>
      <w:r w:rsidRPr="00DA3BC7">
        <w:rPr>
          <w:rFonts w:ascii="Times New Roman" w:hAnsi="Times New Roman" w:hint="eastAsia"/>
          <w:sz w:val="20"/>
          <w:szCs w:val="20"/>
        </w:rPr>
        <w:t>pp.159-162</w:t>
      </w:r>
      <w:r w:rsidRPr="00DA3BC7">
        <w:rPr>
          <w:rFonts w:ascii="Times New Roman" w:hAnsi="Times New Roman" w:hint="eastAsia"/>
          <w:sz w:val="20"/>
          <w:szCs w:val="20"/>
        </w:rPr>
        <w:t>）</w:t>
      </w:r>
    </w:p>
    <w:p w:rsidR="00AA120F" w:rsidRPr="00DA3BC7" w:rsidRDefault="00AA120F" w:rsidP="00D41C1A">
      <w:pPr>
        <w:ind w:leftChars="250" w:left="600"/>
        <w:jc w:val="both"/>
        <w:rPr>
          <w:rFonts w:ascii="Times New Roman" w:hAnsi="Times New Roman"/>
          <w:b/>
          <w:bCs/>
          <w:sz w:val="20"/>
          <w:szCs w:val="20"/>
          <w:bdr w:val="single" w:sz="4" w:space="0" w:color="auto"/>
        </w:rPr>
      </w:pPr>
      <w:r w:rsidRPr="00F5771E">
        <w:rPr>
          <w:rFonts w:ascii="Times New Roman" w:hAnsi="Times New Roman" w:hint="eastAsia"/>
          <w:b/>
          <w:color w:val="FF0000"/>
          <w:sz w:val="20"/>
          <w:szCs w:val="20"/>
          <w:highlight w:val="yellow"/>
          <w:bdr w:val="single" w:sz="4" w:space="0" w:color="auto"/>
        </w:rPr>
        <w:t>（</w:t>
      </w:r>
      <w:r w:rsidR="00F5771E" w:rsidRPr="00F5771E">
        <w:rPr>
          <w:rFonts w:ascii="Times New Roman" w:hAnsi="Times New Roman" w:hint="eastAsia"/>
          <w:b/>
          <w:color w:val="FF0000"/>
          <w:sz w:val="20"/>
          <w:szCs w:val="20"/>
          <w:highlight w:val="yellow"/>
          <w:bdr w:val="single" w:sz="4" w:space="0" w:color="auto"/>
        </w:rPr>
        <w:t>1</w:t>
      </w:r>
      <w:r w:rsidRPr="00F5771E">
        <w:rPr>
          <w:rFonts w:ascii="Times New Roman" w:hAnsi="Times New Roman" w:hint="eastAsia"/>
          <w:b/>
          <w:color w:val="FF0000"/>
          <w:sz w:val="20"/>
          <w:szCs w:val="20"/>
          <w:highlight w:val="yellow"/>
          <w:bdr w:val="single" w:sz="4" w:space="0" w:color="auto"/>
        </w:rPr>
        <w:t>）</w:t>
      </w:r>
      <w:r w:rsidR="00F5771E" w:rsidRPr="00F5771E">
        <w:rPr>
          <w:rFonts w:ascii="Times New Roman" w:hAnsi="Times New Roman" w:hint="eastAsia"/>
          <w:b/>
          <w:bCs/>
          <w:color w:val="FF0000"/>
          <w:sz w:val="20"/>
          <w:szCs w:val="20"/>
          <w:highlight w:val="yellow"/>
          <w:bdr w:val="single" w:sz="4" w:space="0" w:color="auto"/>
        </w:rPr>
        <w:t>簡別</w:t>
      </w:r>
      <w:r w:rsidRPr="00DA3BC7">
        <w:rPr>
          <w:rFonts w:ascii="Times New Roman" w:hAnsi="Times New Roman" w:hint="eastAsia"/>
          <w:sz w:val="20"/>
          <w:szCs w:val="20"/>
        </w:rPr>
        <w:t>（</w:t>
      </w:r>
      <w:r w:rsidRPr="00DA3BC7">
        <w:rPr>
          <w:rFonts w:ascii="Times New Roman" w:hAnsi="Times New Roman" w:hint="eastAsia"/>
          <w:sz w:val="20"/>
          <w:szCs w:val="20"/>
        </w:rPr>
        <w:t>pp.159-162</w:t>
      </w:r>
      <w:r w:rsidRPr="00DA3BC7">
        <w:rPr>
          <w:rFonts w:ascii="Times New Roman" w:hAnsi="Times New Roman" w:hint="eastAsia"/>
          <w:sz w:val="20"/>
          <w:szCs w:val="20"/>
        </w:rPr>
        <w:t>）</w:t>
      </w:r>
    </w:p>
    <w:p w:rsidR="00AA120F" w:rsidRPr="00DA3BC7" w:rsidRDefault="00F5771E" w:rsidP="00D41C1A">
      <w:pPr>
        <w:ind w:leftChars="300" w:left="720"/>
        <w:jc w:val="both"/>
        <w:rPr>
          <w:rFonts w:ascii="新細明體" w:hAnsi="新細明體"/>
          <w:b/>
          <w:bCs/>
          <w:sz w:val="20"/>
          <w:szCs w:val="20"/>
          <w:bdr w:val="single" w:sz="4" w:space="0" w:color="auto"/>
        </w:rPr>
      </w:pPr>
      <w:r w:rsidRPr="00F5771E">
        <w:rPr>
          <w:rFonts w:ascii="Times New Roman" w:hAnsi="Times New Roman" w:hint="eastAsia"/>
          <w:b/>
          <w:bCs/>
          <w:color w:val="FF0000"/>
          <w:sz w:val="20"/>
          <w:szCs w:val="20"/>
          <w:highlight w:val="yellow"/>
          <w:bdr w:val="single" w:sz="4" w:space="0" w:color="auto"/>
        </w:rPr>
        <w:t>A</w:t>
      </w:r>
      <w:r w:rsidR="009B709F">
        <w:rPr>
          <w:rFonts w:ascii="Times New Roman" w:hAnsi="Times New Roman" w:hint="eastAsia"/>
          <w:b/>
          <w:bCs/>
          <w:color w:val="FF0000"/>
          <w:sz w:val="20"/>
          <w:szCs w:val="20"/>
          <w:highlight w:val="yellow"/>
          <w:bdr w:val="single" w:sz="4" w:space="0" w:color="auto"/>
        </w:rPr>
        <w:t>、總略</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p.159</w:t>
      </w:r>
      <w:r w:rsidR="00AA120F" w:rsidRPr="00DA3BC7">
        <w:rPr>
          <w:rFonts w:ascii="Times New Roman" w:hAnsi="Times New Roman" w:hint="eastAsia"/>
          <w:sz w:val="20"/>
          <w:szCs w:val="20"/>
        </w:rPr>
        <w:t>）</w:t>
      </w:r>
    </w:p>
    <w:p w:rsidR="00F5771E" w:rsidRDefault="00AA120F" w:rsidP="00D41C1A">
      <w:pPr>
        <w:pStyle w:val="a4"/>
        <w:ind w:leftChars="300" w:left="720"/>
        <w:jc w:val="both"/>
        <w:rPr>
          <w:rFonts w:ascii="Times New Roman" w:hAnsi="Times New Roman"/>
        </w:rPr>
      </w:pPr>
      <w:r w:rsidRPr="00DA3BC7">
        <w:rPr>
          <w:rFonts w:ascii="Times New Roman" w:hAnsi="Times New Roman" w:hint="eastAsia"/>
        </w:rPr>
        <w:t>中觀者從緣起觀的立場，即不作此等說。</w:t>
      </w:r>
    </w:p>
    <w:p w:rsidR="00F5771E" w:rsidRDefault="00F5771E" w:rsidP="00AE3920">
      <w:pPr>
        <w:pStyle w:val="a4"/>
        <w:spacing w:beforeLines="30"/>
        <w:ind w:leftChars="300" w:left="720"/>
        <w:jc w:val="both"/>
        <w:rPr>
          <w:rFonts w:ascii="Times New Roman" w:hAnsi="Times New Roman"/>
          <w:b/>
          <w:bCs/>
          <w:color w:val="FF0000"/>
          <w:sz w:val="20"/>
          <w:szCs w:val="20"/>
          <w:bdr w:val="single" w:sz="4" w:space="0" w:color="auto"/>
        </w:rPr>
      </w:pPr>
      <w:r>
        <w:rPr>
          <w:rFonts w:ascii="Times New Roman" w:hAnsi="Times New Roman" w:hint="eastAsia"/>
          <w:b/>
          <w:bCs/>
          <w:color w:val="FF0000"/>
          <w:sz w:val="20"/>
          <w:szCs w:val="20"/>
          <w:highlight w:val="yellow"/>
          <w:bdr w:val="single" w:sz="4" w:space="0" w:color="auto"/>
        </w:rPr>
        <w:t>B</w:t>
      </w:r>
      <w:r w:rsidRPr="00F5771E">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遣非</w:t>
      </w:r>
      <w:r w:rsidRPr="00DA3BC7">
        <w:rPr>
          <w:rFonts w:ascii="Times New Roman" w:hAnsi="Times New Roman" w:hint="eastAsia"/>
          <w:sz w:val="20"/>
          <w:szCs w:val="20"/>
        </w:rPr>
        <w:t>（</w:t>
      </w:r>
      <w:r w:rsidRPr="00DA3BC7">
        <w:rPr>
          <w:rFonts w:ascii="Times New Roman" w:hAnsi="Times New Roman" w:hint="eastAsia"/>
          <w:sz w:val="20"/>
          <w:szCs w:val="20"/>
        </w:rPr>
        <w:t>p.159</w:t>
      </w:r>
      <w:r w:rsidRPr="00DA3BC7">
        <w:rPr>
          <w:rFonts w:ascii="Times New Roman" w:hAnsi="Times New Roman" w:hint="eastAsia"/>
          <w:sz w:val="20"/>
          <w:szCs w:val="20"/>
        </w:rPr>
        <w:t>）</w:t>
      </w:r>
    </w:p>
    <w:p w:rsidR="00F5771E" w:rsidRDefault="00AA120F" w:rsidP="00D41C1A">
      <w:pPr>
        <w:pStyle w:val="a4"/>
        <w:ind w:leftChars="300" w:left="720"/>
        <w:jc w:val="both"/>
        <w:rPr>
          <w:rFonts w:ascii="Times New Roman" w:hAnsi="Times New Roman"/>
        </w:rPr>
      </w:pPr>
      <w:r w:rsidRPr="00DA3BC7">
        <w:rPr>
          <w:rFonts w:ascii="Times New Roman" w:hAnsi="Times New Roman" w:hint="eastAsia"/>
        </w:rPr>
        <w:t>有人引《大智度論》卷</w:t>
      </w:r>
      <w:r w:rsidR="00F5771E">
        <w:rPr>
          <w:rFonts w:ascii="Times New Roman" w:hAnsi="Times New Roman" w:hint="eastAsia"/>
        </w:rPr>
        <w:t>15</w:t>
      </w:r>
      <w:r w:rsidRPr="00DA3BC7">
        <w:rPr>
          <w:rFonts w:ascii="Times New Roman" w:hAnsi="Times New Roman" w:hint="eastAsia"/>
        </w:rPr>
        <w:t>所說「</w:t>
      </w:r>
      <w:r w:rsidRPr="00DA3BC7">
        <w:rPr>
          <w:rFonts w:ascii="標楷體" w:eastAsia="標楷體" w:hAnsi="標楷體" w:hint="eastAsia"/>
        </w:rPr>
        <w:t>若諸法實有，不應以心識故知有；若以心識故有，是則非有</w:t>
      </w:r>
      <w:r w:rsidRPr="00DA3BC7">
        <w:rPr>
          <w:rFonts w:ascii="Times New Roman" w:hAnsi="Times New Roman" w:hint="eastAsia"/>
        </w:rPr>
        <w:t>」</w:t>
      </w:r>
      <w:r w:rsidRPr="00DA3BC7">
        <w:rPr>
          <w:rFonts w:ascii="Times New Roman" w:hAnsi="Times New Roman"/>
          <w:vertAlign w:val="superscript"/>
        </w:rPr>
        <w:footnoteReference w:id="738"/>
      </w:r>
      <w:r w:rsidRPr="00DA3BC7">
        <w:rPr>
          <w:rFonts w:ascii="Times New Roman" w:hAnsi="Times New Roman" w:hint="eastAsia"/>
        </w:rPr>
        <w:t>，以為空宗所說與唯識者的見解一樣。</w:t>
      </w:r>
    </w:p>
    <w:p w:rsidR="00AA120F" w:rsidRPr="00DA3BC7" w:rsidRDefault="00AA120F" w:rsidP="00D41C1A">
      <w:pPr>
        <w:pStyle w:val="a4"/>
        <w:ind w:leftChars="300" w:left="720"/>
        <w:jc w:val="both"/>
        <w:rPr>
          <w:rFonts w:ascii="Times New Roman" w:hAnsi="Times New Roman"/>
        </w:rPr>
      </w:pPr>
      <w:r w:rsidRPr="00F5771E">
        <w:rPr>
          <w:rFonts w:ascii="Times New Roman" w:hAnsi="Times New Roman" w:hint="eastAsia"/>
          <w:highlight w:val="yellow"/>
        </w:rPr>
        <w:t>不</w:t>
      </w:r>
      <w:r w:rsidRPr="00DA3BC7">
        <w:rPr>
          <w:rFonts w:ascii="Times New Roman" w:hAnsi="Times New Roman" w:hint="eastAsia"/>
        </w:rPr>
        <w:t>知原文接著說「</w:t>
      </w:r>
      <w:r w:rsidRPr="00DA3BC7">
        <w:rPr>
          <w:rFonts w:ascii="標楷體" w:eastAsia="標楷體" w:hAnsi="標楷體" w:hint="eastAsia"/>
        </w:rPr>
        <w:t>地堅相，以身根、身識知故有</w:t>
      </w:r>
      <w:r w:rsidRPr="00DA3BC7">
        <w:rPr>
          <w:rFonts w:ascii="Times New Roman" w:hAnsi="Times New Roman" w:hint="eastAsia"/>
        </w:rPr>
        <w:t>。」</w:t>
      </w:r>
      <w:r w:rsidRPr="00F5771E">
        <w:rPr>
          <w:rFonts w:ascii="Times New Roman" w:hAnsi="Times New Roman" w:hint="eastAsia"/>
          <w:b/>
          <w:highlight w:val="yellow"/>
        </w:rPr>
        <w:t>龍</w:t>
      </w:r>
      <w:r w:rsidRPr="00DA3BC7">
        <w:rPr>
          <w:rFonts w:ascii="Times New Roman" w:hAnsi="Times New Roman" w:hint="eastAsia"/>
          <w:b/>
        </w:rPr>
        <w:t>樹不但以心識故知有，也以根──生理機構──故知有</w:t>
      </w:r>
      <w:r w:rsidRPr="00DA3BC7">
        <w:rPr>
          <w:rFonts w:ascii="Times New Roman" w:hAnsi="Times New Roman" w:hint="eastAsia"/>
        </w:rPr>
        <w:t>。即使說依心故知有，也只是三空</w:t>
      </w:r>
      <w:r w:rsidRPr="00DA3BC7">
        <w:rPr>
          <w:rStyle w:val="a6"/>
          <w:rFonts w:ascii="Times New Roman" w:hAnsi="Times New Roman"/>
        </w:rPr>
        <w:footnoteReference w:id="739"/>
      </w:r>
      <w:r w:rsidRPr="00DA3BC7">
        <w:rPr>
          <w:rFonts w:ascii="Times New Roman" w:hAnsi="Times New Roman" w:hint="eastAsia"/>
        </w:rPr>
        <w:t>中的觀空，非自性空正宗。</w:t>
      </w:r>
    </w:p>
    <w:p w:rsidR="00AA120F" w:rsidRPr="00DA3BC7" w:rsidRDefault="00F5771E" w:rsidP="00D41C1A">
      <w:pPr>
        <w:ind w:leftChars="300" w:left="720"/>
        <w:jc w:val="both"/>
        <w:rPr>
          <w:rFonts w:ascii="Times New Roman" w:hAnsi="Times New Roman"/>
          <w:bCs/>
          <w:sz w:val="20"/>
          <w:szCs w:val="20"/>
          <w:bdr w:val="single" w:sz="4" w:space="0" w:color="auto"/>
        </w:rPr>
      </w:pPr>
      <w:r w:rsidRPr="00F5771E">
        <w:rPr>
          <w:rFonts w:ascii="Times New Roman" w:hAnsi="Times New Roman" w:hint="eastAsia"/>
          <w:b/>
          <w:bCs/>
          <w:color w:val="FF0000"/>
          <w:sz w:val="20"/>
          <w:szCs w:val="20"/>
          <w:highlight w:val="yellow"/>
          <w:bdr w:val="single" w:sz="4" w:space="0" w:color="auto"/>
        </w:rPr>
        <w:lastRenderedPageBreak/>
        <w:t>C</w:t>
      </w:r>
      <w:r w:rsidRPr="00F5771E">
        <w:rPr>
          <w:rFonts w:ascii="Times New Roman" w:hAnsi="Times New Roman" w:hint="eastAsia"/>
          <w:b/>
          <w:bCs/>
          <w:color w:val="FF0000"/>
          <w:sz w:val="20"/>
          <w:szCs w:val="20"/>
          <w:highlight w:val="yellow"/>
          <w:bdr w:val="single" w:sz="4" w:space="0" w:color="auto"/>
        </w:rPr>
        <w:t>、釋由</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pp.159-160</w:t>
      </w:r>
      <w:r w:rsidR="00AA120F" w:rsidRPr="00DA3BC7">
        <w:rPr>
          <w:rFonts w:ascii="Times New Roman" w:hAnsi="Times New Roman" w:hint="eastAsia"/>
          <w:sz w:val="20"/>
          <w:szCs w:val="20"/>
        </w:rPr>
        <w:t>）</w:t>
      </w:r>
    </w:p>
    <w:p w:rsidR="00F5771E" w:rsidRPr="00DA3BC7" w:rsidRDefault="00F5771E" w:rsidP="00D41C1A">
      <w:pPr>
        <w:ind w:leftChars="350" w:left="840"/>
        <w:jc w:val="both"/>
        <w:rPr>
          <w:rFonts w:ascii="Times New Roman" w:hAnsi="Times New Roman"/>
          <w:b/>
          <w:bCs/>
          <w:sz w:val="20"/>
          <w:szCs w:val="20"/>
          <w:bdr w:val="single" w:sz="4" w:space="0" w:color="auto"/>
        </w:rPr>
      </w:pPr>
      <w:r w:rsidRPr="00F5771E">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A</w:t>
      </w:r>
      <w:r w:rsidRPr="00F5771E">
        <w:rPr>
          <w:rFonts w:ascii="Times New Roman" w:hAnsi="Times New Roman" w:hint="eastAsia"/>
          <w:b/>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標顯正義</w:t>
      </w:r>
      <w:r w:rsidRPr="00DA3BC7">
        <w:rPr>
          <w:rFonts w:ascii="Times New Roman" w:hAnsi="Times New Roman" w:hint="eastAsia"/>
          <w:sz w:val="20"/>
          <w:szCs w:val="20"/>
        </w:rPr>
        <w:t>（</w:t>
      </w:r>
      <w:r w:rsidRPr="00DA3BC7">
        <w:rPr>
          <w:rFonts w:ascii="Times New Roman" w:hAnsi="Times New Roman" w:hint="eastAsia"/>
          <w:sz w:val="20"/>
          <w:szCs w:val="20"/>
        </w:rPr>
        <w:t>pp.159-16</w:t>
      </w:r>
      <w:r>
        <w:rPr>
          <w:rFonts w:ascii="Times New Roman" w:hAnsi="Times New Roman" w:hint="eastAsia"/>
          <w:sz w:val="20"/>
          <w:szCs w:val="20"/>
        </w:rPr>
        <w:t>0</w:t>
      </w:r>
      <w:r w:rsidRPr="00DA3BC7">
        <w:rPr>
          <w:rFonts w:ascii="Times New Roman" w:hAnsi="Times New Roman" w:hint="eastAsia"/>
          <w:sz w:val="20"/>
          <w:szCs w:val="20"/>
        </w:rPr>
        <w:t>）</w:t>
      </w:r>
    </w:p>
    <w:p w:rsidR="00AA120F" w:rsidRPr="00DA3BC7" w:rsidRDefault="00AA120F" w:rsidP="00D41C1A">
      <w:pPr>
        <w:pStyle w:val="a4"/>
        <w:ind w:leftChars="350" w:left="840"/>
        <w:jc w:val="both"/>
        <w:rPr>
          <w:rFonts w:ascii="Times New Roman" w:hAnsi="Times New Roman"/>
        </w:rPr>
      </w:pPr>
      <w:r w:rsidRPr="00DA3BC7">
        <w:rPr>
          <w:rFonts w:ascii="Times New Roman" w:hAnsi="Times New Roman" w:hint="eastAsia"/>
        </w:rPr>
        <w:t>應該知道「</w:t>
      </w:r>
      <w:r w:rsidRPr="00DA3BC7">
        <w:rPr>
          <w:rFonts w:ascii="標楷體" w:eastAsia="標楷體" w:hAnsi="標楷體" w:hint="eastAsia"/>
        </w:rPr>
        <w:t>以心識故有，是則非有</w:t>
      </w:r>
      <w:r w:rsidRPr="00DA3BC7">
        <w:rPr>
          <w:rFonts w:ascii="Times New Roman" w:hAnsi="Times New Roman" w:hint="eastAsia"/>
        </w:rPr>
        <w:t>」，這是正確的，但不是唯識的。</w:t>
      </w:r>
    </w:p>
    <w:p w:rsidR="00AA120F" w:rsidRPr="00DA3BC7" w:rsidRDefault="00AA120F" w:rsidP="00AE3920">
      <w:pPr>
        <w:widowControl/>
        <w:spacing w:beforeLines="20"/>
        <w:ind w:leftChars="350" w:left="840"/>
        <w:jc w:val="both"/>
        <w:rPr>
          <w:rFonts w:ascii="Times New Roman" w:hAnsi="Times New Roman"/>
        </w:rPr>
      </w:pPr>
      <w:r w:rsidRPr="00DA3BC7">
        <w:rPr>
          <w:rFonts w:ascii="Times New Roman" w:hAnsi="Times New Roman" w:hint="eastAsia"/>
        </w:rPr>
        <w:t>因為</w:t>
      </w:r>
      <w:r w:rsidRPr="00DA3BC7">
        <w:rPr>
          <w:rFonts w:ascii="Times New Roman" w:hAnsi="Times New Roman" w:hint="eastAsia"/>
          <w:b/>
        </w:rPr>
        <w:t>中觀者顯示諸法的存在，是「因果系」的</w:t>
      </w:r>
      <w:r w:rsidRPr="00DA3BC7">
        <w:rPr>
          <w:rFonts w:ascii="Times New Roman" w:hAnsi="Times New Roman" w:hint="eastAsia"/>
        </w:rPr>
        <w:t>：依因果緣起以說明它是</w:t>
      </w:r>
      <w:r w:rsidRPr="00DA3BC7">
        <w:rPr>
          <w:rFonts w:ascii="Times New Roman" w:hAnsi="Times New Roman" w:hint="eastAsia"/>
          <w:b/>
        </w:rPr>
        <w:t>有</w:t>
      </w:r>
      <w:r w:rsidRPr="00DA3BC7">
        <w:rPr>
          <w:rFonts w:ascii="Times New Roman" w:hAnsi="Times New Roman" w:hint="eastAsia"/>
        </w:rPr>
        <w:t>，也依因果緣起說明它的</w:t>
      </w:r>
      <w:r w:rsidRPr="00DA3BC7">
        <w:rPr>
          <w:rFonts w:ascii="Times New Roman" w:hAnsi="Times New Roman" w:hint="eastAsia"/>
          <w:b/>
        </w:rPr>
        <w:t>自性空</w:t>
      </w:r>
      <w:r w:rsidRPr="00DA3BC7">
        <w:rPr>
          <w:rFonts w:ascii="Times New Roman" w:hAnsi="Times New Roman" w:hint="eastAsia"/>
        </w:rPr>
        <w:t>。</w:t>
      </w:r>
    </w:p>
    <w:p w:rsidR="00AA120F" w:rsidRPr="00DA3BC7" w:rsidRDefault="00AA120F" w:rsidP="00AE3920">
      <w:pPr>
        <w:widowControl/>
        <w:spacing w:beforeLines="20"/>
        <w:ind w:leftChars="350" w:left="840"/>
        <w:jc w:val="both"/>
        <w:rPr>
          <w:rFonts w:ascii="Times New Roman" w:hAnsi="Times New Roman"/>
        </w:rPr>
      </w:pPr>
      <w:r w:rsidRPr="00DA3BC7">
        <w:rPr>
          <w:rFonts w:ascii="Times New Roman" w:hAnsi="Times New Roman" w:hint="eastAsia"/>
          <w:b/>
        </w:rPr>
        <w:t>能知所知的「能所系」，也是緣起（所緣緣）</w:t>
      </w:r>
      <w:r w:rsidRPr="00DA3BC7">
        <w:rPr>
          <w:rStyle w:val="a6"/>
          <w:rFonts w:ascii="Times New Roman" w:hAnsi="Times New Roman"/>
        </w:rPr>
        <w:footnoteReference w:id="740"/>
      </w:r>
      <w:r w:rsidRPr="00DA3BC7">
        <w:rPr>
          <w:rFonts w:ascii="Times New Roman" w:hAnsi="Times New Roman" w:hint="eastAsia"/>
          <w:b/>
        </w:rPr>
        <w:t>的內容之一，但在中觀者論及諸法因緣生時，不一定含攝「能所系」在內。</w:t>
      </w:r>
      <w:r w:rsidRPr="00DA3BC7">
        <w:rPr>
          <w:rFonts w:ascii="Times New Roman" w:hAnsi="Times New Roman" w:hint="eastAsia"/>
        </w:rPr>
        <w:t>《中論》等現在，不難考見</w:t>
      </w:r>
      <w:r w:rsidRPr="00DA3BC7">
        <w:rPr>
          <w:rStyle w:val="a6"/>
          <w:rFonts w:ascii="Times New Roman" w:hAnsi="Times New Roman"/>
        </w:rPr>
        <w:footnoteReference w:id="741"/>
      </w:r>
      <w:r w:rsidRPr="00DA3BC7">
        <w:rPr>
          <w:rFonts w:ascii="Times New Roman" w:hAnsi="Times New Roman" w:hint="eastAsia"/>
        </w:rPr>
        <w:t>。所以，</w:t>
      </w:r>
      <w:r w:rsidRPr="006E67C3">
        <w:rPr>
          <w:rFonts w:ascii="Times New Roman" w:hAnsi="Times New Roman" w:hint="eastAsia"/>
          <w:highlight w:val="yellow"/>
        </w:rPr>
        <w:t>即沒</w:t>
      </w:r>
      <w:r w:rsidRPr="00DA3BC7">
        <w:rPr>
          <w:rFonts w:ascii="Times New Roman" w:hAnsi="Times New Roman" w:hint="eastAsia"/>
        </w:rPr>
        <w:t>有能所關係，它也還是可以存在的，因為除了心識，其餘的無限關係，並未消失。</w:t>
      </w:r>
    </w:p>
    <w:p w:rsidR="00F5771E" w:rsidRDefault="00AA120F" w:rsidP="00AE3920">
      <w:pPr>
        <w:widowControl/>
        <w:spacing w:beforeLines="20"/>
        <w:ind w:leftChars="350" w:left="840"/>
        <w:jc w:val="both"/>
        <w:rPr>
          <w:rFonts w:ascii="Times New Roman" w:hAnsi="Times New Roman"/>
        </w:rPr>
      </w:pPr>
      <w:r w:rsidRPr="00DA3BC7">
        <w:rPr>
          <w:rFonts w:ascii="Times New Roman" w:hAnsi="Times New Roman" w:hint="eastAsia"/>
        </w:rPr>
        <w:t>故有一重要意義，即</w:t>
      </w:r>
      <w:r w:rsidRPr="00DA3BC7">
        <w:rPr>
          <w:rFonts w:ascii="Times New Roman" w:hAnsi="Times New Roman" w:hint="eastAsia"/>
          <w:b/>
        </w:rPr>
        <w:t>凡是有的，必是可知的；但不知的，並不即是沒有，除非是永不能知的</w:t>
      </w:r>
      <w:r w:rsidRPr="00DA3BC7">
        <w:rPr>
          <w:rFonts w:ascii="Times New Roman" w:hAnsi="Times New Roman" w:hint="eastAsia"/>
        </w:rPr>
        <w:t>。</w:t>
      </w:r>
    </w:p>
    <w:p w:rsidR="00F5771E" w:rsidRPr="00DA3BC7" w:rsidRDefault="00F5771E" w:rsidP="00AE3920">
      <w:pPr>
        <w:spacing w:beforeLines="30"/>
        <w:ind w:leftChars="350" w:left="840"/>
        <w:jc w:val="both"/>
        <w:rPr>
          <w:rFonts w:ascii="Times New Roman" w:hAnsi="Times New Roman"/>
          <w:b/>
          <w:bCs/>
          <w:sz w:val="20"/>
          <w:szCs w:val="20"/>
          <w:bdr w:val="single" w:sz="4" w:space="0" w:color="auto"/>
        </w:rPr>
      </w:pPr>
      <w:r w:rsidRPr="00F5771E">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B</w:t>
      </w:r>
      <w:r w:rsidRPr="00F5771E">
        <w:rPr>
          <w:rFonts w:ascii="Times New Roman" w:hAnsi="Times New Roman" w:hint="eastAsia"/>
          <w:b/>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舉例證成</w:t>
      </w:r>
      <w:r w:rsidRPr="00DA3BC7">
        <w:rPr>
          <w:rFonts w:ascii="Times New Roman" w:hAnsi="Times New Roman" w:hint="eastAsia"/>
          <w:sz w:val="20"/>
          <w:szCs w:val="20"/>
        </w:rPr>
        <w:t>（</w:t>
      </w:r>
      <w:r w:rsidRPr="00DA3BC7">
        <w:rPr>
          <w:rFonts w:ascii="Times New Roman" w:hAnsi="Times New Roman" w:hint="eastAsia"/>
          <w:sz w:val="20"/>
          <w:szCs w:val="20"/>
        </w:rPr>
        <w:t>p.16</w:t>
      </w:r>
      <w:r>
        <w:rPr>
          <w:rFonts w:ascii="Times New Roman" w:hAnsi="Times New Roman" w:hint="eastAsia"/>
          <w:sz w:val="20"/>
          <w:szCs w:val="20"/>
        </w:rPr>
        <w:t>0</w:t>
      </w:r>
      <w:r w:rsidRPr="00DA3BC7">
        <w:rPr>
          <w:rFonts w:ascii="Times New Roman" w:hAnsi="Times New Roman" w:hint="eastAsia"/>
          <w:sz w:val="20"/>
          <w:szCs w:val="20"/>
        </w:rPr>
        <w:t>）</w:t>
      </w:r>
    </w:p>
    <w:p w:rsidR="00F5771E" w:rsidRDefault="00AA120F" w:rsidP="00D41C1A">
      <w:pPr>
        <w:pStyle w:val="a4"/>
        <w:ind w:leftChars="350" w:left="840"/>
        <w:jc w:val="both"/>
        <w:rPr>
          <w:rFonts w:ascii="Times New Roman" w:hAnsi="Times New Roman"/>
          <w:b/>
        </w:rPr>
      </w:pPr>
      <w:r w:rsidRPr="00DA3BC7">
        <w:rPr>
          <w:rFonts w:ascii="Times New Roman" w:hAnsi="Times New Roman" w:hint="eastAsia"/>
        </w:rPr>
        <w:t>世間許多微細的東西，古人不知，平常人也不知，但由顯微鏡的助力而知，這不能說是因知而後有的。如遙遠的星球，常人不知，以望遠鏡相助而知。</w:t>
      </w:r>
      <w:r w:rsidRPr="00DA3BC7">
        <w:rPr>
          <w:rFonts w:ascii="Times New Roman" w:hAnsi="Times New Roman" w:hint="eastAsia"/>
          <w:b/>
        </w:rPr>
        <w:t>自然是相依相關的運行不息，這決不依心識的了知而有。</w:t>
      </w:r>
    </w:p>
    <w:p w:rsidR="00F5771E" w:rsidRPr="00DA3BC7" w:rsidRDefault="00F5771E" w:rsidP="00AE3920">
      <w:pPr>
        <w:spacing w:beforeLines="30"/>
        <w:ind w:leftChars="350" w:left="840"/>
        <w:jc w:val="both"/>
        <w:rPr>
          <w:rFonts w:ascii="Times New Roman" w:hAnsi="Times New Roman"/>
          <w:b/>
          <w:bCs/>
          <w:sz w:val="20"/>
          <w:szCs w:val="20"/>
          <w:bdr w:val="single" w:sz="4" w:space="0" w:color="auto"/>
        </w:rPr>
      </w:pPr>
      <w:r w:rsidRPr="00F5771E">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C</w:t>
      </w:r>
      <w:r w:rsidRPr="00F5771E">
        <w:rPr>
          <w:rFonts w:ascii="Times New Roman" w:hAnsi="Times New Roman" w:hint="eastAsia"/>
          <w:b/>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歸述正說</w:t>
      </w:r>
      <w:r w:rsidRPr="00DA3BC7">
        <w:rPr>
          <w:rFonts w:ascii="Times New Roman" w:hAnsi="Times New Roman" w:hint="eastAsia"/>
          <w:sz w:val="20"/>
          <w:szCs w:val="20"/>
        </w:rPr>
        <w:t>（</w:t>
      </w:r>
      <w:r w:rsidRPr="00DA3BC7">
        <w:rPr>
          <w:rFonts w:ascii="Times New Roman" w:hAnsi="Times New Roman" w:hint="eastAsia"/>
          <w:sz w:val="20"/>
          <w:szCs w:val="20"/>
        </w:rPr>
        <w:t>p.16</w:t>
      </w:r>
      <w:r>
        <w:rPr>
          <w:rFonts w:ascii="Times New Roman" w:hAnsi="Times New Roman" w:hint="eastAsia"/>
          <w:sz w:val="20"/>
          <w:szCs w:val="20"/>
        </w:rPr>
        <w:t>0</w:t>
      </w:r>
      <w:r w:rsidRPr="00DA3BC7">
        <w:rPr>
          <w:rFonts w:ascii="Times New Roman" w:hAnsi="Times New Roman" w:hint="eastAsia"/>
          <w:sz w:val="20"/>
          <w:szCs w:val="20"/>
        </w:rPr>
        <w:t>）</w:t>
      </w:r>
    </w:p>
    <w:p w:rsidR="00AA120F" w:rsidRPr="00DA3BC7" w:rsidRDefault="00AA120F" w:rsidP="00D41C1A">
      <w:pPr>
        <w:pStyle w:val="a4"/>
        <w:ind w:leftChars="350" w:left="840"/>
        <w:jc w:val="both"/>
        <w:rPr>
          <w:rFonts w:ascii="Times New Roman" w:hAnsi="Times New Roman"/>
          <w:b/>
        </w:rPr>
      </w:pPr>
      <w:r w:rsidRPr="00DA3BC7">
        <w:rPr>
          <w:rFonts w:ascii="Times New Roman" w:hAnsi="Times New Roman" w:hint="eastAsia"/>
        </w:rPr>
        <w:lastRenderedPageBreak/>
        <w:t>一切是緣起相依的存在，即一切為因果的幻網；</w:t>
      </w:r>
      <w:r w:rsidRPr="00DA3BC7">
        <w:rPr>
          <w:rFonts w:ascii="Times New Roman" w:hAnsi="Times New Roman" w:hint="eastAsia"/>
          <w:b/>
        </w:rPr>
        <w:t>能知、所知的關係，即為因果系中的一環</w:t>
      </w:r>
      <w:r w:rsidRPr="00DA3BC7">
        <w:rPr>
          <w:rFonts w:ascii="Times New Roman" w:hAnsi="Times New Roman" w:hint="eastAsia"/>
        </w:rPr>
        <w:t>。</w:t>
      </w:r>
      <w:r w:rsidRPr="00DA3BC7">
        <w:rPr>
          <w:rFonts w:ascii="Times New Roman" w:hAnsi="Times New Roman" w:hint="eastAsia"/>
          <w:b/>
        </w:rPr>
        <w:t>因果系不限於心境──物的系絡，</w:t>
      </w:r>
      <w:r w:rsidRPr="00DA3BC7">
        <w:rPr>
          <w:rFonts w:ascii="Times New Roman" w:hAnsi="Times New Roman" w:hint="eastAsia"/>
        </w:rPr>
        <w:t>所以</w:t>
      </w:r>
      <w:r w:rsidRPr="00DA3BC7">
        <w:rPr>
          <w:rFonts w:ascii="Times New Roman" w:hAnsi="Times New Roman" w:hint="eastAsia"/>
          <w:b/>
        </w:rPr>
        <w:t>諸法在沒有構成認識的能所系時，在因果系中雖還不知是如何存在的，但不能說是沒有的。</w:t>
      </w:r>
    </w:p>
    <w:p w:rsidR="00AA120F" w:rsidRPr="00DA3BC7" w:rsidRDefault="00AA120F" w:rsidP="00AE3920">
      <w:pPr>
        <w:widowControl/>
        <w:spacing w:beforeLines="20"/>
        <w:ind w:leftChars="350" w:left="840"/>
        <w:jc w:val="both"/>
        <w:rPr>
          <w:rFonts w:ascii="Times New Roman" w:hAnsi="Times New Roman"/>
        </w:rPr>
      </w:pPr>
      <w:r w:rsidRPr="00DA3BC7">
        <w:rPr>
          <w:rFonts w:ascii="Times New Roman" w:hAnsi="Times New Roman" w:hint="eastAsia"/>
        </w:rPr>
        <w:t>等到心隨境起，境逐</w:t>
      </w:r>
      <w:r w:rsidRPr="00DA3BC7">
        <w:rPr>
          <w:rStyle w:val="a6"/>
          <w:rFonts w:ascii="Times New Roman" w:hAnsi="Times New Roman"/>
        </w:rPr>
        <w:footnoteReference w:id="742"/>
      </w:r>
      <w:r w:rsidRPr="00DA3BC7">
        <w:rPr>
          <w:rFonts w:ascii="Times New Roman" w:hAnsi="Times New Roman" w:hint="eastAsia"/>
        </w:rPr>
        <w:t>心生，構成能所系的知識，則心境幻現，知道它是如何的，而且即此</w:t>
      </w:r>
      <w:r w:rsidRPr="00DA3BC7">
        <w:rPr>
          <w:rFonts w:ascii="Times New Roman" w:hAnsi="Times New Roman" w:hint="eastAsia"/>
          <w:b/>
        </w:rPr>
        <w:t>所識相</w:t>
      </w:r>
      <w:r w:rsidRPr="00DA3BC7">
        <w:rPr>
          <w:rFonts w:ascii="Times New Roman" w:hAnsi="Times New Roman" w:hint="eastAsia"/>
        </w:rPr>
        <w:t>而確定它是有</w:t>
      </w:r>
      <w:r w:rsidRPr="00DA3BC7">
        <w:rPr>
          <w:rFonts w:ascii="Times New Roman" w:hAnsi="Times New Roman" w:hint="eastAsia"/>
          <w:b/>
        </w:rPr>
        <w:t>性</w:t>
      </w:r>
      <w:r w:rsidRPr="00DA3BC7">
        <w:rPr>
          <w:rFonts w:ascii="Times New Roman" w:hAnsi="Times New Roman" w:hint="eastAsia"/>
        </w:rPr>
        <w:t>──</w:t>
      </w:r>
      <w:r w:rsidRPr="00DA3BC7">
        <w:rPr>
          <w:rFonts w:ascii="Times New Roman" w:hAnsi="Times New Roman" w:hint="eastAsia"/>
          <w:b/>
        </w:rPr>
        <w:t>存在的</w:t>
      </w:r>
      <w:r w:rsidRPr="00DA3BC7">
        <w:rPr>
          <w:rFonts w:ascii="Times New Roman" w:hAnsi="Times New Roman" w:hint="eastAsia"/>
        </w:rPr>
        <w:t>。</w:t>
      </w:r>
    </w:p>
    <w:p w:rsidR="00AA120F" w:rsidRPr="00DA3BC7" w:rsidRDefault="00F5771E" w:rsidP="00AE3920">
      <w:pPr>
        <w:spacing w:beforeLines="30"/>
        <w:ind w:leftChars="300" w:left="720"/>
        <w:jc w:val="both"/>
        <w:rPr>
          <w:rFonts w:ascii="Times New Roman" w:hAnsi="Times New Roman"/>
          <w:b/>
        </w:rPr>
      </w:pPr>
      <w:r w:rsidRPr="00F5771E">
        <w:rPr>
          <w:rFonts w:ascii="Times New Roman" w:hAnsi="Times New Roman" w:hint="eastAsia"/>
          <w:b/>
          <w:bCs/>
          <w:color w:val="FF0000"/>
          <w:sz w:val="20"/>
          <w:szCs w:val="20"/>
          <w:highlight w:val="yellow"/>
          <w:bdr w:val="single" w:sz="4" w:space="0" w:color="auto"/>
        </w:rPr>
        <w:t>D</w:t>
      </w:r>
      <w:r w:rsidRPr="00F5771E">
        <w:rPr>
          <w:rFonts w:ascii="Times New Roman" w:hAnsi="Times New Roman" w:hint="eastAsia"/>
          <w:b/>
          <w:bCs/>
          <w:color w:val="FF0000"/>
          <w:sz w:val="20"/>
          <w:szCs w:val="20"/>
          <w:highlight w:val="yellow"/>
          <w:bdr w:val="single" w:sz="4" w:space="0" w:color="auto"/>
        </w:rPr>
        <w:t>、較異</w:t>
      </w:r>
      <w:r w:rsidR="00AA120F" w:rsidRPr="00DA3BC7">
        <w:rPr>
          <w:rFonts w:ascii="Times New Roman" w:hAnsi="Times New Roman" w:hint="eastAsia"/>
          <w:bCs/>
          <w:sz w:val="20"/>
          <w:szCs w:val="20"/>
        </w:rPr>
        <w:t>（</w:t>
      </w:r>
      <w:r w:rsidR="00AA120F" w:rsidRPr="00DA3BC7">
        <w:rPr>
          <w:rFonts w:ascii="Times New Roman" w:hAnsi="Times New Roman" w:hint="eastAsia"/>
          <w:bCs/>
          <w:sz w:val="20"/>
          <w:szCs w:val="20"/>
        </w:rPr>
        <w:t>pp.160-161</w:t>
      </w:r>
      <w:r w:rsidR="00AA120F" w:rsidRPr="00DA3BC7">
        <w:rPr>
          <w:rFonts w:ascii="Times New Roman" w:hAnsi="Times New Roman" w:hint="eastAsia"/>
          <w:bCs/>
          <w:sz w:val="20"/>
          <w:szCs w:val="20"/>
        </w:rPr>
        <w:t>）</w:t>
      </w:r>
    </w:p>
    <w:p w:rsidR="00AA120F" w:rsidRPr="00DA3BC7" w:rsidRDefault="00AA120F" w:rsidP="00D41C1A">
      <w:pPr>
        <w:widowControl/>
        <w:ind w:leftChars="300" w:left="720"/>
        <w:jc w:val="both"/>
        <w:rPr>
          <w:rFonts w:ascii="Times New Roman" w:hAnsi="Times New Roman"/>
        </w:rPr>
      </w:pPr>
      <w:r w:rsidRPr="00DA3BC7">
        <w:rPr>
          <w:rFonts w:ascii="Times New Roman" w:hAnsi="Times New Roman" w:hint="eastAsia"/>
          <w:b/>
        </w:rPr>
        <w:t>能所系的存在，不像實在論者</w:t>
      </w:r>
      <w:r w:rsidRPr="00DA3BC7">
        <w:rPr>
          <w:rFonts w:ascii="Times New Roman" w:hAnsi="Times New Roman" w:hint="eastAsia"/>
        </w:rPr>
        <w:t>那樣以為僅是顯了因果系的如何存在，而是由於能所關涉而現為如此的存在。</w:t>
      </w:r>
    </w:p>
    <w:p w:rsidR="00AA120F" w:rsidRPr="00DA3BC7" w:rsidRDefault="00AA120F" w:rsidP="00AE3920">
      <w:pPr>
        <w:widowControl/>
        <w:spacing w:beforeLines="20"/>
        <w:ind w:leftChars="300" w:left="720"/>
        <w:jc w:val="both"/>
        <w:rPr>
          <w:rFonts w:ascii="Times New Roman" w:hAnsi="Times New Roman"/>
          <w:b/>
        </w:rPr>
      </w:pPr>
      <w:r w:rsidRPr="00DA3BC7">
        <w:rPr>
          <w:rFonts w:ascii="Times New Roman" w:hAnsi="Times New Roman" w:hint="eastAsia"/>
        </w:rPr>
        <w:t>所以，中觀者世俗諦安立──施設諸法為有，不即是客觀實在性的如此而有，這與心識、根身有莫大關係，尤其不能離意識的名言而存在。若離開心識名言，即不能知它是如此如此而有的</w:t>
      </w:r>
      <w:r w:rsidR="00F5771E" w:rsidRPr="00F5771E">
        <w:rPr>
          <w:rFonts w:ascii="Times New Roman" w:hAnsi="Times New Roman" w:hint="eastAsia"/>
          <w:color w:val="FF0000"/>
          <w:highlight w:val="yellow"/>
        </w:rPr>
        <w:t>；</w:t>
      </w:r>
      <w:r w:rsidRPr="00DA3BC7">
        <w:rPr>
          <w:rFonts w:ascii="Times New Roman" w:hAnsi="Times New Roman" w:hint="eastAsia"/>
          <w:b/>
        </w:rPr>
        <w:t>但依於心識，不即是主觀的心識，所以與唯識者所見不同。</w:t>
      </w:r>
    </w:p>
    <w:p w:rsidR="00F5771E" w:rsidRDefault="00F5771E" w:rsidP="00AE3920">
      <w:pPr>
        <w:spacing w:beforeLines="30"/>
        <w:ind w:leftChars="250" w:left="600"/>
        <w:jc w:val="both"/>
        <w:rPr>
          <w:rFonts w:ascii="Times New Roman" w:hAnsi="Times New Roman"/>
          <w:b/>
          <w:bCs/>
          <w:color w:val="FF0000"/>
          <w:sz w:val="20"/>
          <w:szCs w:val="20"/>
          <w:highlight w:val="yellow"/>
          <w:bdr w:val="single" w:sz="4" w:space="0" w:color="auto"/>
        </w:rPr>
      </w:pPr>
      <w:r w:rsidRPr="00F5771E">
        <w:rPr>
          <w:rFonts w:ascii="Times New Roman" w:hAnsi="Times New Roman" w:hint="eastAsia"/>
          <w:b/>
          <w:bCs/>
          <w:color w:val="FF0000"/>
          <w:sz w:val="20"/>
          <w:szCs w:val="20"/>
          <w:highlight w:val="yellow"/>
          <w:bdr w:val="single" w:sz="4" w:space="0" w:color="auto"/>
        </w:rPr>
        <w:t>（</w:t>
      </w:r>
      <w:r w:rsidR="00AA120F" w:rsidRPr="00F5771E">
        <w:rPr>
          <w:rFonts w:ascii="Times New Roman" w:hAnsi="Times New Roman" w:hint="eastAsia"/>
          <w:b/>
          <w:bCs/>
          <w:color w:val="FF0000"/>
          <w:sz w:val="20"/>
          <w:szCs w:val="20"/>
          <w:highlight w:val="yellow"/>
          <w:bdr w:val="single" w:sz="4" w:space="0" w:color="auto"/>
        </w:rPr>
        <w:t>2</w:t>
      </w:r>
      <w:r w:rsidRPr="00F5771E">
        <w:rPr>
          <w:rFonts w:ascii="Times New Roman" w:hAnsi="Times New Roman" w:hint="eastAsia"/>
          <w:b/>
          <w:bCs/>
          <w:color w:val="FF0000"/>
          <w:sz w:val="20"/>
          <w:szCs w:val="20"/>
          <w:highlight w:val="yellow"/>
          <w:bdr w:val="single" w:sz="4" w:space="0" w:color="auto"/>
        </w:rPr>
        <w:t>）明宗</w:t>
      </w:r>
      <w:r w:rsidRPr="00DA3BC7">
        <w:rPr>
          <w:rFonts w:ascii="Times New Roman" w:hAnsi="Times New Roman" w:hint="eastAsia"/>
          <w:bCs/>
          <w:sz w:val="20"/>
          <w:szCs w:val="20"/>
        </w:rPr>
        <w:t>（</w:t>
      </w:r>
      <w:r w:rsidRPr="00DA3BC7">
        <w:rPr>
          <w:rFonts w:ascii="Times New Roman" w:hAnsi="Times New Roman" w:hint="eastAsia"/>
          <w:bCs/>
          <w:sz w:val="20"/>
          <w:szCs w:val="20"/>
        </w:rPr>
        <w:t>pp.16</w:t>
      </w:r>
      <w:r>
        <w:rPr>
          <w:rFonts w:ascii="Times New Roman" w:hAnsi="Times New Roman" w:hint="eastAsia"/>
          <w:bCs/>
          <w:sz w:val="20"/>
          <w:szCs w:val="20"/>
        </w:rPr>
        <w:t>1</w:t>
      </w:r>
      <w:r w:rsidRPr="00DA3BC7">
        <w:rPr>
          <w:rFonts w:ascii="Times New Roman" w:hAnsi="Times New Roman" w:hint="eastAsia"/>
          <w:bCs/>
          <w:sz w:val="20"/>
          <w:szCs w:val="20"/>
        </w:rPr>
        <w:t>-16</w:t>
      </w:r>
      <w:r>
        <w:rPr>
          <w:rFonts w:ascii="Times New Roman" w:hAnsi="Times New Roman" w:hint="eastAsia"/>
          <w:bCs/>
          <w:sz w:val="20"/>
          <w:szCs w:val="20"/>
        </w:rPr>
        <w:t>2</w:t>
      </w:r>
      <w:r w:rsidRPr="00DA3BC7">
        <w:rPr>
          <w:rFonts w:ascii="Times New Roman" w:hAnsi="Times New Roman" w:hint="eastAsia"/>
          <w:bCs/>
          <w:sz w:val="20"/>
          <w:szCs w:val="20"/>
        </w:rPr>
        <w:t>）</w:t>
      </w:r>
    </w:p>
    <w:p w:rsidR="00AA120F" w:rsidRPr="00DA3BC7" w:rsidRDefault="00F5771E" w:rsidP="00E54CE2">
      <w:pPr>
        <w:tabs>
          <w:tab w:val="left" w:pos="3288"/>
        </w:tabs>
        <w:ind w:leftChars="300" w:left="720"/>
        <w:jc w:val="both"/>
        <w:rPr>
          <w:rFonts w:ascii="Times New Roman" w:hAnsi="Times New Roman"/>
          <w:b/>
        </w:rPr>
      </w:pPr>
      <w:r w:rsidRPr="00F5771E">
        <w:rPr>
          <w:rFonts w:ascii="Times New Roman" w:hAnsi="Times New Roman" w:hint="eastAsia"/>
          <w:b/>
          <w:bCs/>
          <w:color w:val="FF0000"/>
          <w:sz w:val="20"/>
          <w:szCs w:val="20"/>
          <w:highlight w:val="yellow"/>
          <w:bdr w:val="single" w:sz="4" w:space="0" w:color="auto"/>
        </w:rPr>
        <w:t>A</w:t>
      </w:r>
      <w:r w:rsidR="00AA120F" w:rsidRPr="00F5771E">
        <w:rPr>
          <w:rFonts w:ascii="Times New Roman" w:hAnsi="Times New Roman" w:hint="eastAsia"/>
          <w:b/>
          <w:bCs/>
          <w:color w:val="FF0000"/>
          <w:sz w:val="20"/>
          <w:szCs w:val="20"/>
          <w:highlight w:val="yellow"/>
          <w:bdr w:val="single" w:sz="4" w:space="0" w:color="auto"/>
        </w:rPr>
        <w:t>、</w:t>
      </w:r>
      <w:r w:rsidRPr="00F5771E">
        <w:rPr>
          <w:rFonts w:ascii="Times New Roman" w:hAnsi="Times New Roman" w:hint="eastAsia"/>
          <w:b/>
          <w:bCs/>
          <w:color w:val="FF0000"/>
          <w:sz w:val="20"/>
          <w:szCs w:val="20"/>
          <w:highlight w:val="yellow"/>
          <w:bdr w:val="single" w:sz="4" w:space="0" w:color="auto"/>
        </w:rPr>
        <w:t>幻有非真</w:t>
      </w:r>
      <w:r w:rsidR="00AA120F" w:rsidRPr="00DA3BC7">
        <w:rPr>
          <w:rFonts w:ascii="Times New Roman" w:hAnsi="Times New Roman" w:hint="eastAsia"/>
          <w:bCs/>
          <w:sz w:val="20"/>
          <w:szCs w:val="20"/>
        </w:rPr>
        <w:t>（</w:t>
      </w:r>
      <w:r w:rsidR="00AA120F" w:rsidRPr="00DA3BC7">
        <w:rPr>
          <w:rFonts w:ascii="Times New Roman" w:hAnsi="Times New Roman" w:hint="eastAsia"/>
          <w:bCs/>
          <w:sz w:val="20"/>
          <w:szCs w:val="20"/>
        </w:rPr>
        <w:t>pp.161</w:t>
      </w:r>
      <w:r w:rsidR="00AA120F" w:rsidRPr="00DA3BC7">
        <w:rPr>
          <w:rFonts w:ascii="Times New Roman" w:hAnsi="Times New Roman" w:hint="eastAsia"/>
          <w:bCs/>
          <w:sz w:val="20"/>
          <w:szCs w:val="20"/>
        </w:rPr>
        <w:t>）</w:t>
      </w:r>
      <w:r w:rsidR="00E54CE2">
        <w:rPr>
          <w:rFonts w:ascii="Times New Roman" w:hAnsi="Times New Roman"/>
          <w:bCs/>
          <w:sz w:val="20"/>
          <w:szCs w:val="20"/>
        </w:rPr>
        <w:tab/>
      </w:r>
    </w:p>
    <w:p w:rsidR="00AA120F" w:rsidRPr="00DA3BC7" w:rsidRDefault="007416A3" w:rsidP="00D41C1A">
      <w:pPr>
        <w:ind w:leftChars="300" w:left="720"/>
        <w:jc w:val="both"/>
        <w:rPr>
          <w:rFonts w:ascii="Times New Roman" w:hAnsi="Times New Roman"/>
        </w:rPr>
      </w:pPr>
      <w:r>
        <w:rPr>
          <w:rFonts w:ascii="Times New Roman" w:hAnsi="Times New Roman" w:hint="eastAsia"/>
        </w:rPr>
        <w:t>所認識的是</w:t>
      </w:r>
      <w:r w:rsidRPr="006E67C3">
        <w:rPr>
          <w:rFonts w:ascii="Times New Roman" w:hAnsi="Times New Roman" w:hint="eastAsia"/>
          <w:b/>
          <w:u w:val="wave" w:color="C00000"/>
        </w:rPr>
        <w:t>因果</w:t>
      </w:r>
      <w:r>
        <w:rPr>
          <w:rFonts w:ascii="Times New Roman" w:hAnsi="Times New Roman" w:hint="eastAsia"/>
        </w:rPr>
        <w:t>、</w:t>
      </w:r>
      <w:r w:rsidRPr="006E67C3">
        <w:rPr>
          <w:rFonts w:ascii="Times New Roman" w:hAnsi="Times New Roman" w:hint="eastAsia"/>
          <w:b/>
          <w:u w:val="wave" w:color="C00000"/>
        </w:rPr>
        <w:t>能所</w:t>
      </w:r>
      <w:r w:rsidR="00AA120F" w:rsidRPr="00DA3BC7">
        <w:rPr>
          <w:rFonts w:ascii="Times New Roman" w:hAnsi="Times New Roman" w:hint="eastAsia"/>
        </w:rPr>
        <w:t>相依相涉的幻相，</w:t>
      </w:r>
    </w:p>
    <w:p w:rsidR="00AA120F" w:rsidRPr="00DA3BC7" w:rsidRDefault="00AA120F" w:rsidP="00D41C1A">
      <w:pPr>
        <w:ind w:leftChars="300" w:left="720"/>
        <w:jc w:val="both"/>
        <w:rPr>
          <w:rFonts w:ascii="Times New Roman" w:hAnsi="Times New Roman"/>
        </w:rPr>
      </w:pPr>
      <w:r w:rsidRPr="00DA3BC7">
        <w:rPr>
          <w:rFonts w:ascii="Times New Roman" w:hAnsi="Times New Roman" w:hint="eastAsia"/>
        </w:rPr>
        <w:t>離開</w:t>
      </w:r>
      <w:r w:rsidR="007416A3" w:rsidRPr="006E67C3">
        <w:rPr>
          <w:rFonts w:ascii="Times New Roman" w:hAnsi="Times New Roman" w:hint="eastAsia"/>
          <w:b/>
          <w:u w:val="wave" w:color="C00000"/>
        </w:rPr>
        <w:t>能所系</w:t>
      </w:r>
      <w:r w:rsidRPr="00DA3BC7">
        <w:rPr>
          <w:rFonts w:ascii="Times New Roman" w:hAnsi="Times New Roman" w:hint="eastAsia"/>
        </w:rPr>
        <w:t>即不會如此的，</w:t>
      </w:r>
    </w:p>
    <w:p w:rsidR="00AA120F" w:rsidRPr="00DA3BC7" w:rsidRDefault="007416A3" w:rsidP="00D41C1A">
      <w:pPr>
        <w:ind w:leftChars="300" w:left="720"/>
        <w:jc w:val="both"/>
        <w:rPr>
          <w:rFonts w:ascii="Times New Roman" w:hAnsi="Times New Roman"/>
        </w:rPr>
      </w:pPr>
      <w:r>
        <w:rPr>
          <w:rFonts w:ascii="Times New Roman" w:hAnsi="Times New Roman" w:hint="eastAsia"/>
        </w:rPr>
        <w:t>離開</w:t>
      </w:r>
      <w:r w:rsidRPr="006E67C3">
        <w:rPr>
          <w:rFonts w:ascii="Times New Roman" w:hAnsi="Times New Roman" w:hint="eastAsia"/>
          <w:b/>
          <w:u w:val="wave" w:color="C00000"/>
        </w:rPr>
        <w:t>因果系</w:t>
      </w:r>
      <w:r w:rsidR="00AA120F" w:rsidRPr="00DA3BC7">
        <w:rPr>
          <w:rFonts w:ascii="Times New Roman" w:hAnsi="Times New Roman" w:hint="eastAsia"/>
        </w:rPr>
        <w:t>也不會如此的，</w:t>
      </w:r>
    </w:p>
    <w:p w:rsidR="00AA120F" w:rsidRPr="00DA3BC7" w:rsidRDefault="007416A3" w:rsidP="00D41C1A">
      <w:pPr>
        <w:ind w:leftChars="300" w:left="720"/>
        <w:jc w:val="both"/>
        <w:rPr>
          <w:rFonts w:ascii="Times New Roman" w:hAnsi="Times New Roman"/>
          <w:b/>
        </w:rPr>
      </w:pPr>
      <w:r>
        <w:rPr>
          <w:rFonts w:ascii="Times New Roman" w:hAnsi="Times New Roman" w:hint="eastAsia"/>
          <w:b/>
        </w:rPr>
        <w:t>極無自性而為緣起──</w:t>
      </w:r>
      <w:r w:rsidRPr="006E67C3">
        <w:rPr>
          <w:rFonts w:ascii="Times New Roman" w:hAnsi="Times New Roman" w:hint="eastAsia"/>
          <w:b/>
          <w:u w:val="wave" w:color="C00000"/>
        </w:rPr>
        <w:t>因果</w:t>
      </w:r>
      <w:r w:rsidR="00AA120F" w:rsidRPr="00DA3BC7">
        <w:rPr>
          <w:rFonts w:ascii="Times New Roman" w:hAnsi="Times New Roman" w:hint="eastAsia"/>
          <w:b/>
        </w:rPr>
        <w:t>、</w:t>
      </w:r>
      <w:r w:rsidR="00AA120F" w:rsidRPr="006E67C3">
        <w:rPr>
          <w:rFonts w:ascii="Times New Roman" w:hAnsi="Times New Roman" w:hint="eastAsia"/>
          <w:b/>
          <w:u w:val="wave" w:color="C00000"/>
        </w:rPr>
        <w:t>能所</w:t>
      </w:r>
      <w:r w:rsidR="00AA120F" w:rsidRPr="00DA3BC7">
        <w:rPr>
          <w:rFonts w:ascii="Times New Roman" w:hAnsi="Times New Roman" w:hint="eastAsia"/>
          <w:b/>
        </w:rPr>
        <w:t>交織的存在。</w:t>
      </w:r>
    </w:p>
    <w:p w:rsidR="00AA120F" w:rsidRPr="00DA3BC7" w:rsidRDefault="00AA120F" w:rsidP="00AE3920">
      <w:pPr>
        <w:spacing w:beforeLines="20"/>
        <w:ind w:leftChars="300" w:left="720"/>
        <w:jc w:val="both"/>
        <w:rPr>
          <w:rFonts w:ascii="Times New Roman" w:hAnsi="Times New Roman"/>
        </w:rPr>
      </w:pPr>
      <w:r w:rsidRPr="00DA3BC7">
        <w:rPr>
          <w:rFonts w:ascii="Times New Roman" w:hAnsi="Times New Roman" w:hint="eastAsia"/>
        </w:rPr>
        <w:t>依於</w:t>
      </w:r>
      <w:r w:rsidRPr="00DA3BC7">
        <w:rPr>
          <w:rFonts w:ascii="Times New Roman" w:hAnsi="Times New Roman" w:hint="eastAsia"/>
          <w:b/>
        </w:rPr>
        <w:t>能所系（含攝著因果系）的「境相」</w:t>
      </w:r>
      <w:r w:rsidRPr="00DA3BC7">
        <w:rPr>
          <w:rFonts w:ascii="Times New Roman" w:hAnsi="Times New Roman" w:hint="eastAsia"/>
        </w:rPr>
        <w:t>，此相不即是緣起法性；</w:t>
      </w:r>
    </w:p>
    <w:p w:rsidR="00AA120F" w:rsidRPr="00DA3BC7" w:rsidRDefault="00AA120F" w:rsidP="00D41C1A">
      <w:pPr>
        <w:ind w:leftChars="300" w:left="720"/>
        <w:jc w:val="both"/>
        <w:rPr>
          <w:rFonts w:ascii="Times New Roman" w:hAnsi="Times New Roman"/>
        </w:rPr>
      </w:pPr>
      <w:r w:rsidRPr="00DA3BC7">
        <w:rPr>
          <w:rFonts w:ascii="Times New Roman" w:hAnsi="Times New Roman" w:hint="eastAsia"/>
        </w:rPr>
        <w:t>就是</w:t>
      </w:r>
      <w:r w:rsidRPr="00DA3BC7">
        <w:rPr>
          <w:rFonts w:ascii="Times New Roman" w:hAnsi="Times New Roman" w:hint="eastAsia"/>
          <w:b/>
        </w:rPr>
        <w:t>因果系的「事相」</w:t>
      </w:r>
      <w:r w:rsidRPr="00DA3BC7">
        <w:rPr>
          <w:rFonts w:ascii="Times New Roman" w:hAnsi="Times New Roman" w:hint="eastAsia"/>
        </w:rPr>
        <w:t>，也不即是緣起法性。</w:t>
      </w:r>
    </w:p>
    <w:p w:rsidR="00AA120F" w:rsidRPr="00DA3BC7" w:rsidRDefault="00AA120F" w:rsidP="00D41C1A">
      <w:pPr>
        <w:ind w:leftChars="300" w:left="720"/>
        <w:jc w:val="both"/>
        <w:rPr>
          <w:rFonts w:ascii="Times New Roman" w:hAnsi="Times New Roman"/>
        </w:rPr>
      </w:pPr>
      <w:r w:rsidRPr="00DA3BC7">
        <w:rPr>
          <w:rFonts w:ascii="Times New Roman" w:hAnsi="Times New Roman" w:hint="eastAsia"/>
        </w:rPr>
        <w:t>這都不過</w:t>
      </w:r>
      <w:r w:rsidRPr="00DA3BC7">
        <w:rPr>
          <w:rFonts w:ascii="Times New Roman" w:hAnsi="Times New Roman" w:hint="eastAsia"/>
          <w:b/>
        </w:rPr>
        <w:t>緣起幻相</w:t>
      </w:r>
      <w:r w:rsidRPr="00DA3BC7">
        <w:rPr>
          <w:rFonts w:ascii="Times New Roman" w:hAnsi="Times New Roman" w:hint="eastAsia"/>
        </w:rPr>
        <w:t>，所以經上說：</w:t>
      </w:r>
      <w:r w:rsidRPr="00DA3BC7">
        <w:rPr>
          <w:rFonts w:ascii="標楷體" w:eastAsia="標楷體" w:hAnsi="標楷體" w:hint="eastAsia"/>
        </w:rPr>
        <w:t>「諸法無所有，如是有，如是無所有，是事不知，名為無明。</w:t>
      </w:r>
      <w:r w:rsidRPr="00DA3BC7">
        <w:rPr>
          <w:rFonts w:ascii="Times New Roman" w:hAnsi="Times New Roman" w:hint="eastAsia"/>
        </w:rPr>
        <w:t>」</w:t>
      </w:r>
      <w:r w:rsidRPr="00DA3BC7">
        <w:rPr>
          <w:rFonts w:ascii="Times New Roman" w:hAnsi="Times New Roman"/>
          <w:vertAlign w:val="superscript"/>
        </w:rPr>
        <w:footnoteReference w:id="743"/>
      </w:r>
    </w:p>
    <w:p w:rsidR="00AA120F" w:rsidRPr="00DA3BC7" w:rsidRDefault="00AA120F" w:rsidP="00AE3920">
      <w:pPr>
        <w:spacing w:beforeLines="30"/>
        <w:ind w:leftChars="300" w:left="720"/>
        <w:jc w:val="both"/>
        <w:rPr>
          <w:rFonts w:ascii="Times New Roman" w:hAnsi="Times New Roman"/>
          <w:b/>
          <w:sz w:val="20"/>
          <w:szCs w:val="20"/>
          <w:bdr w:val="single" w:sz="4" w:space="0" w:color="auto"/>
        </w:rPr>
      </w:pPr>
      <w:r w:rsidRPr="00DA3BC7">
        <w:rPr>
          <w:rFonts w:ascii="Times New Roman" w:hAnsi="Times New Roman" w:hint="eastAsia"/>
          <w:b/>
          <w:bCs/>
          <w:sz w:val="20"/>
          <w:szCs w:val="20"/>
          <w:bdr w:val="single" w:sz="4" w:space="0" w:color="auto"/>
        </w:rPr>
        <w:lastRenderedPageBreak/>
        <w:t>B</w:t>
      </w:r>
      <w:r w:rsidRPr="00DA3BC7">
        <w:rPr>
          <w:rFonts w:ascii="Times New Roman" w:hAnsi="Times New Roman" w:hint="eastAsia"/>
          <w:b/>
          <w:bCs/>
          <w:sz w:val="20"/>
          <w:szCs w:val="20"/>
          <w:bdr w:val="single" w:sz="4" w:space="0" w:color="auto"/>
        </w:rPr>
        <w:t>、</w:t>
      </w:r>
      <w:r w:rsidR="007416A3">
        <w:rPr>
          <w:rFonts w:ascii="Times New Roman" w:hAnsi="Times New Roman" w:hint="eastAsia"/>
          <w:b/>
          <w:bCs/>
          <w:color w:val="FF0000"/>
          <w:sz w:val="20"/>
          <w:szCs w:val="20"/>
          <w:highlight w:val="yellow"/>
          <w:bdr w:val="single" w:sz="4" w:space="0" w:color="auto"/>
        </w:rPr>
        <w:t>執妄非實</w:t>
      </w:r>
      <w:r w:rsidRPr="00DA3BC7">
        <w:rPr>
          <w:rFonts w:ascii="Times New Roman" w:hAnsi="Times New Roman" w:hint="eastAsia"/>
          <w:bCs/>
          <w:sz w:val="20"/>
          <w:szCs w:val="20"/>
        </w:rPr>
        <w:t>（</w:t>
      </w:r>
      <w:r w:rsidRPr="00DA3BC7">
        <w:rPr>
          <w:rFonts w:ascii="Times New Roman" w:hAnsi="Times New Roman" w:hint="eastAsia"/>
          <w:bCs/>
          <w:sz w:val="20"/>
          <w:szCs w:val="20"/>
        </w:rPr>
        <w:t>pp.</w:t>
      </w:r>
      <w:r w:rsidRPr="00DA3BC7">
        <w:rPr>
          <w:rFonts w:ascii="Times New Roman" w:hAnsi="Times New Roman" w:hint="eastAsia"/>
          <w:bCs/>
          <w:sz w:val="20"/>
          <w:szCs w:val="26"/>
        </w:rPr>
        <w:t>161-162</w:t>
      </w:r>
      <w:r w:rsidRPr="00DA3BC7">
        <w:rPr>
          <w:rFonts w:ascii="Times New Roman" w:hAnsi="Times New Roman" w:hint="eastAsia"/>
          <w:bCs/>
          <w:sz w:val="20"/>
          <w:szCs w:val="20"/>
        </w:rPr>
        <w:t>）</w:t>
      </w:r>
    </w:p>
    <w:p w:rsidR="00AA120F" w:rsidRPr="00DA3BC7" w:rsidRDefault="00AA120F" w:rsidP="00D41C1A">
      <w:pPr>
        <w:ind w:leftChars="300" w:left="720"/>
        <w:jc w:val="both"/>
        <w:rPr>
          <w:rFonts w:ascii="Times New Roman" w:hAnsi="Times New Roman"/>
        </w:rPr>
      </w:pPr>
      <w:r w:rsidRPr="00DA3BC7">
        <w:rPr>
          <w:rFonts w:ascii="Times New Roman" w:hAnsi="Times New Roman" w:hint="eastAsia"/>
        </w:rPr>
        <w:t>妄執為法性即如此如此有，不過自性妄執而已。</w:t>
      </w:r>
    </w:p>
    <w:p w:rsidR="00AA120F" w:rsidRPr="00DA3BC7" w:rsidRDefault="00AA120F" w:rsidP="00D41C1A">
      <w:pPr>
        <w:ind w:leftChars="300" w:left="720"/>
        <w:jc w:val="both"/>
        <w:rPr>
          <w:rFonts w:ascii="Times New Roman" w:hAnsi="Times New Roman"/>
        </w:rPr>
      </w:pPr>
      <w:r w:rsidRPr="00DA3BC7">
        <w:rPr>
          <w:rFonts w:ascii="Times New Roman" w:hAnsi="Times New Roman" w:hint="eastAsia"/>
        </w:rPr>
        <w:t>從</w:t>
      </w:r>
      <w:r w:rsidRPr="00DA3BC7">
        <w:rPr>
          <w:rFonts w:ascii="Times New Roman" w:hAnsi="Times New Roman" w:hint="eastAsia"/>
          <w:b/>
        </w:rPr>
        <w:t>如幻的緣起事相</w:t>
      </w:r>
      <w:r w:rsidRPr="00DA3BC7">
        <w:rPr>
          <w:rFonts w:ascii="Times New Roman" w:hAnsi="Times New Roman" w:hint="eastAsia"/>
        </w:rPr>
        <w:t>而論，都只是相對的現實，而不足為</w:t>
      </w:r>
      <w:r w:rsidRPr="00DA3BC7">
        <w:rPr>
          <w:rFonts w:ascii="Times New Roman" w:hAnsi="Times New Roman" w:hint="eastAsia"/>
          <w:b/>
        </w:rPr>
        <w:t>究竟的真實──性</w:t>
      </w:r>
      <w:r w:rsidRPr="00DA3BC7">
        <w:rPr>
          <w:rFonts w:ascii="Times New Roman" w:hAnsi="Times New Roman" w:hint="eastAsia"/>
        </w:rPr>
        <w:t>。</w:t>
      </w:r>
    </w:p>
    <w:p w:rsidR="00AA120F" w:rsidRPr="00DA3BC7" w:rsidRDefault="00AA120F" w:rsidP="00AE3920">
      <w:pPr>
        <w:spacing w:beforeLines="20"/>
        <w:ind w:leftChars="300" w:left="720"/>
        <w:jc w:val="both"/>
        <w:rPr>
          <w:rFonts w:ascii="Times New Roman" w:hAnsi="Times New Roman"/>
        </w:rPr>
      </w:pPr>
      <w:r w:rsidRPr="00DA3BC7">
        <w:rPr>
          <w:rFonts w:ascii="Times New Roman" w:hAnsi="Times New Roman" w:hint="eastAsia"/>
        </w:rPr>
        <w:t>這可以略舉二義：</w:t>
      </w:r>
    </w:p>
    <w:p w:rsidR="007416A3" w:rsidRDefault="007416A3" w:rsidP="00D41C1A">
      <w:pPr>
        <w:ind w:leftChars="300" w:left="720"/>
        <w:jc w:val="both"/>
        <w:rPr>
          <w:rFonts w:ascii="Times New Roman" w:hAnsi="Times New Roman"/>
          <w:b/>
        </w:rPr>
      </w:pPr>
      <w:r>
        <w:rPr>
          <w:rFonts w:ascii="Times New Roman" w:hAnsi="Times New Roman" w:hint="eastAsia"/>
          <w:b/>
        </w:rPr>
        <w:t>一、業果如幻之隨類別</w:t>
      </w:r>
      <w:r w:rsidR="00AA120F" w:rsidRPr="00DA3BC7">
        <w:rPr>
          <w:rFonts w:ascii="Times New Roman" w:hAnsi="Times New Roman" w:hint="eastAsia"/>
          <w:b/>
        </w:rPr>
        <w:t>識相對性：</w:t>
      </w:r>
    </w:p>
    <w:p w:rsidR="00AA120F" w:rsidRPr="00DA3BC7" w:rsidRDefault="00AA120F" w:rsidP="00D41C1A">
      <w:pPr>
        <w:ind w:leftChars="500" w:left="1200"/>
        <w:jc w:val="both"/>
        <w:rPr>
          <w:rFonts w:ascii="Times New Roman" w:hAnsi="Times New Roman"/>
        </w:rPr>
      </w:pPr>
      <w:r w:rsidRPr="00DA3BC7">
        <w:rPr>
          <w:rFonts w:ascii="Times New Roman" w:hAnsi="Times New Roman" w:hint="eastAsia"/>
        </w:rPr>
        <w:t>例如人的認識與旁生等的認識不必同，因眾生的業力不同，所感果報不同，形成一類一類的眾生。從</w:t>
      </w:r>
      <w:r w:rsidRPr="00DA3BC7">
        <w:rPr>
          <w:rFonts w:ascii="Times New Roman" w:hAnsi="Times New Roman" w:hint="eastAsia"/>
          <w:b/>
        </w:rPr>
        <w:t>各類業感六根而發識</w:t>
      </w:r>
      <w:r w:rsidRPr="00DA3BC7">
        <w:rPr>
          <w:rFonts w:ascii="Times New Roman" w:hAnsi="Times New Roman" w:hint="eastAsia"/>
        </w:rPr>
        <w:t>，所幻見而了知的法相，也就不能相同。在各自類中，可以安立為各各的真實；而總論眾生所見，即不過是相對的真實。</w:t>
      </w:r>
    </w:p>
    <w:p w:rsidR="007416A3" w:rsidRDefault="00AA120F" w:rsidP="00D41C1A">
      <w:pPr>
        <w:ind w:leftChars="300" w:left="720"/>
        <w:jc w:val="both"/>
        <w:rPr>
          <w:rFonts w:ascii="Times New Roman" w:hAnsi="Times New Roman"/>
          <w:b/>
        </w:rPr>
      </w:pPr>
      <w:r w:rsidRPr="00DA3BC7">
        <w:rPr>
          <w:rFonts w:ascii="Times New Roman" w:hAnsi="Times New Roman" w:hint="eastAsia"/>
          <w:b/>
        </w:rPr>
        <w:t>二、</w:t>
      </w:r>
      <w:r w:rsidR="007416A3">
        <w:rPr>
          <w:rFonts w:ascii="Times New Roman" w:hAnsi="Times New Roman" w:hint="eastAsia"/>
          <w:b/>
        </w:rPr>
        <w:t>心境如幻之隨智別</w:t>
      </w:r>
      <w:r w:rsidRPr="00DA3BC7">
        <w:rPr>
          <w:rFonts w:ascii="Times New Roman" w:hAnsi="Times New Roman" w:hint="eastAsia"/>
          <w:b/>
        </w:rPr>
        <w:t>識相對性：</w:t>
      </w:r>
    </w:p>
    <w:p w:rsidR="00AA120F" w:rsidRPr="00DA3BC7" w:rsidRDefault="00AA120F" w:rsidP="00D41C1A">
      <w:pPr>
        <w:ind w:leftChars="500" w:left="1200"/>
        <w:jc w:val="both"/>
        <w:rPr>
          <w:rFonts w:ascii="Times New Roman" w:hAnsi="Times New Roman"/>
        </w:rPr>
      </w:pPr>
      <w:r w:rsidRPr="00DA3BC7">
        <w:rPr>
          <w:rFonts w:ascii="Times New Roman" w:hAnsi="Times New Roman" w:hint="eastAsia"/>
        </w:rPr>
        <w:t>即使同樣是人，由於根識的大體一致，似乎可以發見諸法的真實。但小孩所見者與大人所見不一致，原始人類所知的世界與近代人類所知的世界也大大不同。由於</w:t>
      </w:r>
      <w:r w:rsidRPr="00DA3BC7">
        <w:rPr>
          <w:rFonts w:ascii="Times New Roman" w:hAnsi="Times New Roman" w:hint="eastAsia"/>
          <w:b/>
        </w:rPr>
        <w:t>智力的增進</w:t>
      </w:r>
      <w:r w:rsidRPr="00DA3BC7">
        <w:rPr>
          <w:rFonts w:ascii="Times New Roman" w:hAnsi="Times New Roman" w:hint="eastAsia"/>
        </w:rPr>
        <w:t>，不斷的改變，不斷的修正，不斷的深刻，不斷的擴大；過去看為絕對真實的，不是被廢棄，便是被修正，什麼也不是絕對的真實性。</w:t>
      </w:r>
    </w:p>
    <w:p w:rsidR="007416A3" w:rsidRDefault="00AA120F" w:rsidP="00D41C1A">
      <w:pPr>
        <w:ind w:leftChars="300" w:left="720"/>
        <w:jc w:val="both"/>
        <w:rPr>
          <w:rFonts w:ascii="Times New Roman" w:hAnsi="Times New Roman"/>
        </w:rPr>
      </w:pPr>
      <w:r w:rsidRPr="00DA3BC7">
        <w:rPr>
          <w:rFonts w:ascii="Times New Roman" w:hAnsi="Times New Roman" w:hint="eastAsia"/>
        </w:rPr>
        <w:t>陷於自性見之中，不能徹底掀翻過來，是再也不能體會究竟法性的。</w:t>
      </w:r>
    </w:p>
    <w:p w:rsidR="007416A3" w:rsidRDefault="007416A3" w:rsidP="00AE3920">
      <w:pPr>
        <w:spacing w:beforeLines="30"/>
        <w:ind w:leftChars="300" w:left="720"/>
        <w:jc w:val="both"/>
        <w:rPr>
          <w:rFonts w:ascii="Times New Roman" w:hAnsi="Times New Roman"/>
          <w:bCs/>
          <w:sz w:val="20"/>
          <w:szCs w:val="26"/>
        </w:rPr>
      </w:pPr>
      <w:r w:rsidRPr="007416A3">
        <w:rPr>
          <w:rFonts w:ascii="Times New Roman" w:hAnsi="Times New Roman" w:hint="eastAsia"/>
          <w:b/>
          <w:color w:val="FF0000"/>
          <w:sz w:val="20"/>
          <w:szCs w:val="20"/>
          <w:highlight w:val="yellow"/>
          <w:bdr w:val="single" w:sz="4" w:space="0" w:color="auto"/>
        </w:rPr>
        <w:t>C</w:t>
      </w:r>
      <w:r w:rsidRPr="007416A3">
        <w:rPr>
          <w:rFonts w:ascii="Times New Roman" w:hAnsi="Times New Roman" w:hint="eastAsia"/>
          <w:b/>
          <w:color w:val="FF0000"/>
          <w:sz w:val="20"/>
          <w:szCs w:val="20"/>
          <w:highlight w:val="yellow"/>
          <w:bdr w:val="single" w:sz="4" w:space="0" w:color="auto"/>
        </w:rPr>
        <w:t>、除妄證如</w:t>
      </w:r>
      <w:r w:rsidRPr="00DA3BC7">
        <w:rPr>
          <w:rFonts w:ascii="Times New Roman" w:hAnsi="Times New Roman" w:hint="eastAsia"/>
          <w:bCs/>
          <w:sz w:val="20"/>
          <w:szCs w:val="26"/>
        </w:rPr>
        <w:t>（</w:t>
      </w:r>
      <w:r w:rsidRPr="00DA3BC7">
        <w:rPr>
          <w:rFonts w:ascii="Times New Roman" w:hAnsi="Times New Roman" w:hint="eastAsia"/>
          <w:bCs/>
          <w:sz w:val="20"/>
          <w:szCs w:val="26"/>
        </w:rPr>
        <w:t>p.162</w:t>
      </w:r>
      <w:r w:rsidRPr="00DA3BC7">
        <w:rPr>
          <w:rFonts w:ascii="Times New Roman" w:hAnsi="Times New Roman" w:hint="eastAsia"/>
          <w:bCs/>
          <w:sz w:val="20"/>
          <w:szCs w:val="26"/>
        </w:rPr>
        <w:t>）</w:t>
      </w:r>
    </w:p>
    <w:p w:rsidR="00AA120F" w:rsidRPr="00DA3BC7" w:rsidRDefault="00AA120F" w:rsidP="00D41C1A">
      <w:pPr>
        <w:ind w:leftChars="300" w:left="720"/>
        <w:jc w:val="both"/>
        <w:rPr>
          <w:rFonts w:ascii="Times New Roman" w:hAnsi="Times New Roman"/>
          <w:b/>
        </w:rPr>
      </w:pPr>
      <w:r w:rsidRPr="00DA3BC7">
        <w:rPr>
          <w:rFonts w:ascii="Times New Roman" w:hAnsi="Times New Roman" w:hint="eastAsia"/>
          <w:b/>
        </w:rPr>
        <w:t>唯有從聞思修中，掃除自性妄執，聖者才能在相對的一一相上，體現諸法絕對的畢竟空性</w:t>
      </w:r>
      <w:r w:rsidRPr="00DA3BC7">
        <w:rPr>
          <w:rFonts w:ascii="Times New Roman" w:hAnsi="Times New Roman" w:hint="eastAsia"/>
        </w:rPr>
        <w:t>，特別是「唯佛乃能究盡諸法實相」。</w:t>
      </w:r>
    </w:p>
    <w:p w:rsidR="00AA120F" w:rsidRPr="00DA3BC7" w:rsidRDefault="00AA120F" w:rsidP="000E6FB9">
      <w:pPr>
        <w:ind w:leftChars="300" w:left="720"/>
        <w:jc w:val="both"/>
        <w:rPr>
          <w:rFonts w:ascii="Times New Roman" w:hAnsi="Times New Roman"/>
        </w:rPr>
      </w:pPr>
      <w:r w:rsidRPr="00DA3BC7">
        <w:rPr>
          <w:rFonts w:ascii="Times New Roman" w:hAnsi="Times New Roman" w:hint="eastAsia"/>
        </w:rPr>
        <w:t>所以未能徹證真如以前，不能通達諸法的真實性，都不過理解一些相對的現實、相對的真理。</w:t>
      </w:r>
    </w:p>
    <w:p w:rsidR="00AA120F" w:rsidRPr="00DA3BC7" w:rsidRDefault="00AA120F" w:rsidP="000E6FB9">
      <w:pPr>
        <w:ind w:leftChars="300" w:left="720"/>
        <w:jc w:val="both"/>
        <w:rPr>
          <w:rFonts w:ascii="Times New Roman" w:hAnsi="Times New Roman"/>
        </w:rPr>
      </w:pPr>
      <w:r w:rsidRPr="00DA3BC7">
        <w:rPr>
          <w:rFonts w:ascii="Times New Roman" w:hAnsi="Times New Roman" w:hint="eastAsia"/>
        </w:rPr>
        <w:t>必由引發無漏般若，證諸法的如實性，才能與諸佛一鼻孔出氣，平等平等，無二無別，究竟究竟。</w:t>
      </w:r>
    </w:p>
    <w:p w:rsidR="000E6FB9" w:rsidRDefault="00AA120F" w:rsidP="00AE3920">
      <w:pPr>
        <w:spacing w:beforeLines="20"/>
        <w:ind w:leftChars="300" w:left="720"/>
        <w:jc w:val="both"/>
      </w:pPr>
      <w:r w:rsidRPr="00DA3BC7">
        <w:rPr>
          <w:rFonts w:hint="eastAsia"/>
        </w:rPr>
        <w:t>從修學的過程，可以說：</w:t>
      </w:r>
    </w:p>
    <w:p w:rsidR="00AA120F" w:rsidRPr="00DA3BC7" w:rsidRDefault="00AA120F" w:rsidP="000E6FB9">
      <w:pPr>
        <w:ind w:leftChars="300" w:left="720"/>
        <w:jc w:val="both"/>
      </w:pPr>
      <w:r w:rsidRPr="00DA3BC7">
        <w:rPr>
          <w:rFonts w:hint="eastAsia"/>
        </w:rPr>
        <w:t>藉</w:t>
      </w:r>
      <w:r w:rsidRPr="004C01DC">
        <w:rPr>
          <w:rFonts w:hint="eastAsia"/>
          <w:b/>
          <w:u w:val="wave" w:color="C00000"/>
        </w:rPr>
        <w:t>緣起幻相</w:t>
      </w:r>
      <w:r w:rsidRPr="00DA3BC7">
        <w:rPr>
          <w:rFonts w:hint="eastAsia"/>
        </w:rPr>
        <w:t>以</w:t>
      </w:r>
      <w:r w:rsidRPr="007416A3">
        <w:rPr>
          <w:rFonts w:hint="eastAsia"/>
        </w:rPr>
        <w:t>悟入</w:t>
      </w:r>
      <w:r w:rsidRPr="004C01DC">
        <w:rPr>
          <w:rFonts w:hint="eastAsia"/>
          <w:b/>
          <w:u w:val="wave" w:color="C00000"/>
        </w:rPr>
        <w:t>法性</w:t>
      </w:r>
      <w:r w:rsidRPr="00DA3BC7">
        <w:rPr>
          <w:rFonts w:hint="eastAsia"/>
        </w:rPr>
        <w:t>。但這還是</w:t>
      </w:r>
      <w:r w:rsidRPr="004C01DC">
        <w:rPr>
          <w:rFonts w:hint="eastAsia"/>
          <w:b/>
          <w:u w:val="wave" w:color="C00000"/>
        </w:rPr>
        <w:t>加行觀</w:t>
      </w:r>
      <w:r w:rsidRPr="00DA3BC7">
        <w:rPr>
          <w:rFonts w:hint="eastAsia"/>
        </w:rPr>
        <w:t>中的二諦觀察，由</w:t>
      </w:r>
      <w:r w:rsidRPr="004C01DC">
        <w:rPr>
          <w:rFonts w:hint="eastAsia"/>
          <w:b/>
          <w:u w:val="wave" w:color="C00000"/>
        </w:rPr>
        <w:t>世俗</w:t>
      </w:r>
      <w:r w:rsidRPr="00DA3BC7">
        <w:rPr>
          <w:rFonts w:hint="eastAsia"/>
        </w:rPr>
        <w:t>入</w:t>
      </w:r>
      <w:r w:rsidRPr="004C01DC">
        <w:rPr>
          <w:rFonts w:hint="eastAsia"/>
          <w:b/>
          <w:u w:val="wave" w:color="C00000"/>
        </w:rPr>
        <w:t>勝義</w:t>
      </w:r>
      <w:r w:rsidR="008D49D1">
        <w:rPr>
          <w:rFonts w:hint="eastAsia"/>
          <w:color w:val="FF0000"/>
          <w:highlight w:val="yellow"/>
        </w:rPr>
        <w:t>。</w:t>
      </w:r>
    </w:p>
    <w:p w:rsidR="00AA120F" w:rsidRPr="00DA3BC7" w:rsidRDefault="00AA120F" w:rsidP="00AE3920">
      <w:pPr>
        <w:spacing w:afterLines="30"/>
        <w:ind w:leftChars="300" w:left="720"/>
        <w:jc w:val="both"/>
        <w:sectPr w:rsidR="00AA120F" w:rsidRPr="00DA3BC7" w:rsidSect="004F4714">
          <w:headerReference w:type="default" r:id="rId56"/>
          <w:footnotePr>
            <w:numRestart w:val="eachSect"/>
          </w:footnotePr>
          <w:pgSz w:w="10773" w:h="14742" w:code="155"/>
          <w:pgMar w:top="1418" w:right="1418" w:bottom="1418" w:left="1418" w:header="851" w:footer="992" w:gutter="0"/>
          <w:cols w:space="425"/>
          <w:docGrid w:type="lines" w:linePitch="360"/>
        </w:sectPr>
      </w:pPr>
      <w:r w:rsidRPr="00DA3BC7">
        <w:rPr>
          <w:rFonts w:hint="eastAsia"/>
        </w:rPr>
        <w:lastRenderedPageBreak/>
        <w:t>真能通達諸法實性，那時無能無所，不因不果，即一切因果能所而離一切因果、能所相，不可安立，所以說「</w:t>
      </w:r>
      <w:r w:rsidRPr="00DA3BC7">
        <w:rPr>
          <w:rFonts w:ascii="標楷體" w:eastAsia="標楷體" w:hAnsi="標楷體" w:hint="eastAsia"/>
        </w:rPr>
        <w:t>凡所有相，皆是虛妄，若見諸相非相，則見如來</w:t>
      </w:r>
      <w:r w:rsidRPr="00DA3BC7">
        <w:rPr>
          <w:rFonts w:hint="eastAsia"/>
        </w:rPr>
        <w:t>」</w:t>
      </w:r>
      <w:r w:rsidRPr="00DA3BC7">
        <w:rPr>
          <w:rFonts w:ascii="Times New Roman" w:hAnsi="Times New Roman"/>
          <w:vertAlign w:val="superscript"/>
        </w:rPr>
        <w:footnoteReference w:id="744"/>
      </w:r>
      <w:r w:rsidRPr="00DA3BC7">
        <w:rPr>
          <w:rFonts w:hint="eastAsia"/>
        </w:rPr>
        <w:t>──即諸法</w:t>
      </w:r>
      <w:r w:rsidRPr="000E6FB9">
        <w:rPr>
          <w:rFonts w:hint="eastAsia"/>
          <w:b/>
          <w:u w:val="wave" w:color="C00000"/>
        </w:rPr>
        <w:t>如</w:t>
      </w:r>
      <w:r w:rsidRPr="00DA3BC7">
        <w:rPr>
          <w:rFonts w:hint="eastAsia"/>
        </w:rPr>
        <w:t>義。</w:t>
      </w:r>
    </w:p>
    <w:p w:rsidR="00AA120F" w:rsidRPr="00DA3BC7" w:rsidRDefault="00AA120F" w:rsidP="008E2BBC">
      <w:pPr>
        <w:pStyle w:val="1"/>
      </w:pPr>
      <w:bookmarkStart w:id="118" w:name="_Toc405499789"/>
      <w:r w:rsidRPr="00DA3BC7">
        <w:lastRenderedPageBreak/>
        <w:t>第</w:t>
      </w:r>
      <w:r w:rsidRPr="00DA3BC7">
        <w:rPr>
          <w:rFonts w:hint="eastAsia"/>
        </w:rPr>
        <w:t>八</w:t>
      </w:r>
      <w:r w:rsidRPr="00DA3BC7">
        <w:t>章、</w:t>
      </w:r>
      <w:r w:rsidRPr="00DA3BC7">
        <w:rPr>
          <w:rFonts w:hint="eastAsia"/>
        </w:rPr>
        <w:t>中觀之諸法實相</w:t>
      </w:r>
      <w:bookmarkEnd w:id="118"/>
    </w:p>
    <w:p w:rsidR="00AA120F" w:rsidRPr="00DA3BC7" w:rsidRDefault="00AA120F" w:rsidP="008E2BBC">
      <w:pPr>
        <w:pStyle w:val="2"/>
      </w:pPr>
      <w:bookmarkStart w:id="119" w:name="_Toc405499790"/>
      <w:r w:rsidRPr="00DA3BC7">
        <w:t>第</w:t>
      </w:r>
      <w:r w:rsidRPr="00DA3BC7">
        <w:rPr>
          <w:rFonts w:hint="eastAsia"/>
        </w:rPr>
        <w:t>三</w:t>
      </w:r>
      <w:r w:rsidRPr="00DA3BC7">
        <w:t>節、</w:t>
      </w:r>
      <w:r w:rsidRPr="00DA3BC7">
        <w:rPr>
          <w:rFonts w:hint="eastAsia"/>
        </w:rPr>
        <w:t>體、作、力</w:t>
      </w:r>
      <w:bookmarkEnd w:id="119"/>
    </w:p>
    <w:p w:rsidR="00AA120F" w:rsidRPr="00DA3BC7" w:rsidRDefault="00AA120F" w:rsidP="008E2BBC">
      <w:pPr>
        <w:jc w:val="center"/>
      </w:pPr>
      <w:r w:rsidRPr="00DA3BC7">
        <w:t>（</w:t>
      </w:r>
      <w:r w:rsidRPr="00DA3BC7">
        <w:rPr>
          <w:rFonts w:ascii="Times New Roman" w:hAnsi="Times New Roman"/>
        </w:rPr>
        <w:t>pp</w:t>
      </w:r>
      <w:r w:rsidRPr="00DA3BC7">
        <w:t>.</w:t>
      </w:r>
      <w:r w:rsidRPr="00DA3BC7">
        <w:rPr>
          <w:rFonts w:ascii="Times New Roman" w:hAnsi="Times New Roman"/>
        </w:rPr>
        <w:t>1</w:t>
      </w:r>
      <w:r w:rsidRPr="00DA3BC7">
        <w:rPr>
          <w:rFonts w:ascii="Times New Roman" w:hAnsi="Times New Roman" w:hint="eastAsia"/>
        </w:rPr>
        <w:t>62</w:t>
      </w:r>
      <w:r w:rsidRPr="00DA3BC7">
        <w:t>-</w:t>
      </w:r>
      <w:r w:rsidRPr="00DA3BC7">
        <w:rPr>
          <w:rFonts w:ascii="Times New Roman" w:hAnsi="Times New Roman"/>
        </w:rPr>
        <w:t>1</w:t>
      </w:r>
      <w:r w:rsidRPr="00DA3BC7">
        <w:rPr>
          <w:rFonts w:ascii="Times New Roman" w:hAnsi="Times New Roman" w:hint="eastAsia"/>
        </w:rPr>
        <w:t>66</w:t>
      </w:r>
      <w:r w:rsidRPr="00DA3BC7">
        <w:t>）</w:t>
      </w:r>
    </w:p>
    <w:p w:rsidR="00AA120F" w:rsidRPr="00DA3BC7" w:rsidRDefault="00AA120F" w:rsidP="008E2BBC">
      <w:pPr>
        <w:pStyle w:val="Author"/>
      </w:pPr>
    </w:p>
    <w:p w:rsidR="00AA120F" w:rsidRPr="00DA3BC7" w:rsidRDefault="00AA120F" w:rsidP="00AE3920">
      <w:pPr>
        <w:spacing w:beforeLines="50"/>
        <w:jc w:val="both"/>
        <w:rPr>
          <w:rFonts w:ascii="Times New Roman" w:hAnsi="Times New Roman"/>
          <w:bCs/>
          <w:sz w:val="20"/>
          <w:szCs w:val="26"/>
        </w:rPr>
      </w:pPr>
      <w:r w:rsidRPr="00DA3BC7">
        <w:rPr>
          <w:rFonts w:ascii="Times New Roman" w:hAnsi="Times New Roman" w:hint="eastAsia"/>
          <w:b/>
          <w:sz w:val="20"/>
          <w:szCs w:val="26"/>
          <w:bdr w:val="single" w:sz="4" w:space="0" w:color="auto"/>
        </w:rPr>
        <w:t>壹</w:t>
      </w:r>
      <w:r w:rsidRPr="00DA3BC7">
        <w:rPr>
          <w:rFonts w:ascii="Times New Roman" w:hAnsi="Times New Roman"/>
          <w:b/>
          <w:sz w:val="20"/>
          <w:szCs w:val="26"/>
          <w:bdr w:val="single" w:sz="4" w:space="0" w:color="auto"/>
        </w:rPr>
        <w:t>、</w:t>
      </w:r>
      <w:r w:rsidR="00E165BC">
        <w:rPr>
          <w:rFonts w:ascii="Times New Roman" w:hAnsi="Times New Roman" w:hint="eastAsia"/>
          <w:b/>
          <w:bCs/>
          <w:color w:val="FF0000"/>
          <w:sz w:val="20"/>
          <w:szCs w:val="26"/>
          <w:highlight w:val="yellow"/>
          <w:bdr w:val="single" w:sz="4" w:space="0" w:color="auto"/>
        </w:rPr>
        <w:t>論異同</w:t>
      </w:r>
      <w:r w:rsidRPr="00DA3BC7">
        <w:rPr>
          <w:rFonts w:ascii="Times New Roman" w:hAnsi="Times New Roman" w:hint="eastAsia"/>
          <w:bCs/>
          <w:sz w:val="20"/>
          <w:szCs w:val="26"/>
        </w:rPr>
        <w:t>（</w:t>
      </w:r>
      <w:r w:rsidRPr="00DA3BC7">
        <w:rPr>
          <w:rFonts w:ascii="Times New Roman" w:hAnsi="Times New Roman" w:hint="eastAsia"/>
          <w:bCs/>
          <w:sz w:val="20"/>
          <w:szCs w:val="26"/>
        </w:rPr>
        <w:t>p.163</w:t>
      </w:r>
      <w:r w:rsidRPr="00DA3BC7">
        <w:rPr>
          <w:rFonts w:ascii="Times New Roman" w:hAnsi="Times New Roman" w:hint="eastAsia"/>
          <w:bCs/>
          <w:sz w:val="20"/>
          <w:szCs w:val="26"/>
        </w:rPr>
        <w:t>）</w:t>
      </w:r>
    </w:p>
    <w:p w:rsidR="00AA120F" w:rsidRDefault="00AA120F" w:rsidP="008E2BBC">
      <w:pPr>
        <w:ind w:leftChars="50" w:left="120"/>
        <w:jc w:val="both"/>
        <w:rPr>
          <w:rFonts w:ascii="Times New Roman" w:hAnsi="Times New Roman"/>
          <w:bCs/>
          <w:sz w:val="20"/>
          <w:szCs w:val="20"/>
        </w:rPr>
      </w:pPr>
      <w:r w:rsidRPr="00DA3BC7">
        <w:rPr>
          <w:rFonts w:ascii="Times New Roman" w:hAnsi="Times New Roman"/>
          <w:b/>
          <w:sz w:val="20"/>
          <w:szCs w:val="20"/>
          <w:bdr w:val="single" w:sz="4" w:space="0" w:color="auto"/>
        </w:rPr>
        <w:t>（壹）</w:t>
      </w:r>
      <w:r w:rsidR="00E165BC" w:rsidRPr="00E165BC">
        <w:rPr>
          <w:rFonts w:ascii="Times New Roman" w:hAnsi="Times New Roman" w:hint="eastAsia"/>
          <w:b/>
          <w:color w:val="FF0000"/>
          <w:sz w:val="20"/>
          <w:szCs w:val="20"/>
          <w:highlight w:val="yellow"/>
          <w:bdr w:val="single" w:sz="4" w:space="0" w:color="auto"/>
        </w:rPr>
        <w:t>辨「</w:t>
      </w:r>
      <w:r w:rsidRPr="00E165BC">
        <w:rPr>
          <w:rFonts w:ascii="Times New Roman" w:hAnsi="Times New Roman" w:hint="eastAsia"/>
          <w:b/>
          <w:bCs/>
          <w:color w:val="FF0000"/>
          <w:sz w:val="20"/>
          <w:szCs w:val="20"/>
          <w:highlight w:val="yellow"/>
          <w:bdr w:val="single" w:sz="4" w:space="0" w:color="auto"/>
        </w:rPr>
        <w:t>體</w:t>
      </w:r>
      <w:r w:rsidR="00E165BC" w:rsidRPr="00E165BC">
        <w:rPr>
          <w:rFonts w:ascii="Times New Roman" w:hAnsi="Times New Roman" w:hint="eastAsia"/>
          <w:b/>
          <w:bCs/>
          <w:color w:val="FF0000"/>
          <w:sz w:val="20"/>
          <w:szCs w:val="20"/>
          <w:highlight w:val="yellow"/>
          <w:bdr w:val="single" w:sz="4" w:space="0" w:color="auto"/>
        </w:rPr>
        <w:t>」</w:t>
      </w:r>
      <w:r w:rsidRPr="00DA3BC7">
        <w:rPr>
          <w:rFonts w:ascii="Times New Roman" w:hAnsi="Times New Roman" w:hint="eastAsia"/>
          <w:bCs/>
          <w:sz w:val="20"/>
          <w:szCs w:val="20"/>
        </w:rPr>
        <w:t>（</w:t>
      </w:r>
      <w:r w:rsidRPr="00DA3BC7">
        <w:rPr>
          <w:rFonts w:ascii="Times New Roman" w:hAnsi="Times New Roman" w:hint="eastAsia"/>
          <w:bCs/>
          <w:sz w:val="20"/>
          <w:szCs w:val="20"/>
        </w:rPr>
        <w:t>p.163</w:t>
      </w:r>
      <w:r w:rsidRPr="00DA3BC7">
        <w:rPr>
          <w:rFonts w:ascii="Times New Roman" w:hAnsi="Times New Roman" w:hint="eastAsia"/>
          <w:bCs/>
          <w:sz w:val="20"/>
          <w:szCs w:val="20"/>
        </w:rPr>
        <w:t>）</w:t>
      </w:r>
    </w:p>
    <w:p w:rsidR="00E165BC" w:rsidRPr="00E165BC" w:rsidRDefault="00E165BC" w:rsidP="006D7B07">
      <w:pPr>
        <w:ind w:leftChars="100" w:left="240"/>
        <w:jc w:val="both"/>
        <w:rPr>
          <w:rFonts w:ascii="Times New Roman" w:hAnsi="Times New Roman"/>
          <w:b/>
          <w:bCs/>
          <w:color w:val="FF0000"/>
          <w:sz w:val="20"/>
          <w:szCs w:val="20"/>
          <w:highlight w:val="yellow"/>
        </w:rPr>
      </w:pPr>
      <w:r w:rsidRPr="00E165BC">
        <w:rPr>
          <w:rFonts w:ascii="Times New Roman" w:hAnsi="Times New Roman" w:hint="eastAsia"/>
          <w:b/>
          <w:color w:val="FF0000"/>
          <w:sz w:val="20"/>
          <w:szCs w:val="20"/>
          <w:highlight w:val="yellow"/>
          <w:bdr w:val="single" w:sz="4" w:space="0" w:color="auto"/>
        </w:rPr>
        <w:t>一、標舉</w:t>
      </w:r>
      <w:r w:rsidRPr="00DA3BC7">
        <w:rPr>
          <w:rFonts w:ascii="Times New Roman" w:hAnsi="Times New Roman" w:hint="eastAsia"/>
          <w:bCs/>
          <w:sz w:val="20"/>
          <w:szCs w:val="20"/>
        </w:rPr>
        <w:t>（</w:t>
      </w:r>
      <w:r w:rsidRPr="00DA3BC7">
        <w:rPr>
          <w:rFonts w:ascii="Times New Roman" w:hAnsi="Times New Roman" w:hint="eastAsia"/>
          <w:bCs/>
          <w:sz w:val="20"/>
          <w:szCs w:val="20"/>
        </w:rPr>
        <w:t>p.163</w:t>
      </w:r>
      <w:r w:rsidRPr="00DA3BC7">
        <w:rPr>
          <w:rFonts w:ascii="Times New Roman" w:hAnsi="Times New Roman" w:hint="eastAsia"/>
          <w:bCs/>
          <w:sz w:val="20"/>
          <w:szCs w:val="20"/>
        </w:rPr>
        <w:t>）</w:t>
      </w:r>
    </w:p>
    <w:p w:rsidR="00AA120F" w:rsidRPr="00DA3BC7" w:rsidRDefault="00AA120F" w:rsidP="006D7B07">
      <w:pPr>
        <w:ind w:leftChars="100" w:left="240"/>
        <w:jc w:val="both"/>
        <w:rPr>
          <w:rFonts w:ascii="Times New Roman" w:hAnsi="Times New Roman"/>
          <w:b/>
          <w:sz w:val="20"/>
          <w:szCs w:val="26"/>
        </w:rPr>
      </w:pPr>
      <w:r w:rsidRPr="00DA3BC7">
        <w:rPr>
          <w:rFonts w:ascii="新細明體" w:hAnsi="新細明體" w:hint="eastAsia"/>
          <w:b/>
          <w:bCs/>
        </w:rPr>
        <w:t>體</w:t>
      </w:r>
      <w:r w:rsidRPr="00DA3BC7">
        <w:rPr>
          <w:rFonts w:ascii="新細明體" w:hAnsi="新細明體" w:hint="eastAsia"/>
          <w:bCs/>
        </w:rPr>
        <w:t>，對</w:t>
      </w:r>
      <w:r w:rsidRPr="00DA3BC7">
        <w:rPr>
          <w:rFonts w:ascii="新細明體" w:hAnsi="新細明體" w:hint="eastAsia"/>
          <w:b/>
          <w:bCs/>
        </w:rPr>
        <w:t>用</w:t>
      </w:r>
      <w:r w:rsidRPr="00DA3BC7">
        <w:rPr>
          <w:rFonts w:ascii="新細明體" w:hAnsi="新細明體" w:hint="eastAsia"/>
          <w:bCs/>
        </w:rPr>
        <w:t>而說。</w:t>
      </w:r>
    </w:p>
    <w:p w:rsidR="00E165BC" w:rsidRPr="00DA3BC7" w:rsidRDefault="00E165BC" w:rsidP="00AE3920">
      <w:pPr>
        <w:spacing w:beforeLines="30"/>
        <w:ind w:leftChars="100" w:left="240"/>
        <w:jc w:val="both"/>
        <w:rPr>
          <w:rFonts w:ascii="Times New Roman" w:hAnsi="Times New Roman"/>
          <w:b/>
          <w:bCs/>
          <w:sz w:val="20"/>
          <w:szCs w:val="20"/>
        </w:rPr>
      </w:pPr>
      <w:r>
        <w:rPr>
          <w:rFonts w:ascii="Times New Roman" w:hAnsi="Times New Roman" w:hint="eastAsia"/>
          <w:b/>
          <w:color w:val="FF0000"/>
          <w:sz w:val="20"/>
          <w:szCs w:val="20"/>
          <w:highlight w:val="yellow"/>
          <w:bdr w:val="single" w:sz="4" w:space="0" w:color="auto"/>
        </w:rPr>
        <w:t>二、釋義</w:t>
      </w:r>
      <w:r w:rsidRPr="00DA3BC7">
        <w:rPr>
          <w:rFonts w:ascii="Times New Roman" w:hAnsi="Times New Roman" w:hint="eastAsia"/>
          <w:bCs/>
          <w:sz w:val="20"/>
          <w:szCs w:val="20"/>
        </w:rPr>
        <w:t>（</w:t>
      </w:r>
      <w:r w:rsidRPr="00DA3BC7">
        <w:rPr>
          <w:rFonts w:ascii="Times New Roman" w:hAnsi="Times New Roman" w:hint="eastAsia"/>
          <w:bCs/>
          <w:sz w:val="20"/>
          <w:szCs w:val="20"/>
        </w:rPr>
        <w:t>p.163</w:t>
      </w:r>
      <w:r w:rsidRPr="00DA3BC7">
        <w:rPr>
          <w:rFonts w:ascii="Times New Roman" w:hAnsi="Times New Roman" w:hint="eastAsia"/>
          <w:bCs/>
          <w:sz w:val="20"/>
          <w:szCs w:val="20"/>
        </w:rPr>
        <w:t>）</w:t>
      </w:r>
    </w:p>
    <w:p w:rsidR="00E165BC" w:rsidRDefault="00AA120F" w:rsidP="006D7B07">
      <w:pPr>
        <w:ind w:leftChars="100" w:left="240"/>
        <w:jc w:val="both"/>
        <w:rPr>
          <w:rFonts w:ascii="Times New Roman" w:hAnsi="Times New Roman"/>
        </w:rPr>
      </w:pPr>
      <w:r w:rsidRPr="00C309AC">
        <w:rPr>
          <w:rFonts w:ascii="Times New Roman" w:hAnsi="Times New Roman" w:hint="eastAsia"/>
          <w:b/>
          <w:u w:val="wave" w:color="C00000"/>
        </w:rPr>
        <w:t>體</w:t>
      </w:r>
      <w:r w:rsidRPr="00DA3BC7">
        <w:rPr>
          <w:rFonts w:ascii="Times New Roman" w:hAnsi="Times New Roman" w:hint="eastAsia"/>
        </w:rPr>
        <w:t>與</w:t>
      </w:r>
      <w:r w:rsidRPr="00C309AC">
        <w:rPr>
          <w:rFonts w:ascii="Times New Roman" w:hAnsi="Times New Roman" w:hint="eastAsia"/>
          <w:b/>
          <w:u w:val="wave" w:color="C00000"/>
        </w:rPr>
        <w:t>性</w:t>
      </w:r>
      <w:r w:rsidRPr="00DA3BC7">
        <w:rPr>
          <w:rFonts w:ascii="Times New Roman" w:hAnsi="Times New Roman" w:hint="eastAsia"/>
        </w:rPr>
        <w:t>，中國學者向來看作同一的，但佛法中不盡如此。</w:t>
      </w:r>
    </w:p>
    <w:p w:rsidR="00AA120F" w:rsidRPr="00DA3BC7" w:rsidRDefault="00AA120F" w:rsidP="006D7B07">
      <w:pPr>
        <w:ind w:leftChars="100" w:left="240"/>
        <w:jc w:val="both"/>
        <w:rPr>
          <w:rFonts w:ascii="Times New Roman" w:hAnsi="Times New Roman"/>
          <w:b/>
          <w:kern w:val="0"/>
          <w:sz w:val="23"/>
          <w:szCs w:val="23"/>
        </w:rPr>
      </w:pPr>
      <w:r w:rsidRPr="00C309AC">
        <w:rPr>
          <w:rFonts w:ascii="Times New Roman" w:hAnsi="Times New Roman" w:hint="eastAsia"/>
          <w:b/>
          <w:highlight w:val="yellow"/>
          <w:u w:val="wave" w:color="C00000"/>
        </w:rPr>
        <w:t>體</w:t>
      </w:r>
      <w:r w:rsidRPr="00DA3BC7">
        <w:rPr>
          <w:rFonts w:ascii="Times New Roman" w:hAnsi="Times New Roman" w:hint="eastAsia"/>
        </w:rPr>
        <w:t>與</w:t>
      </w:r>
      <w:r w:rsidRPr="00C309AC">
        <w:rPr>
          <w:rFonts w:ascii="Times New Roman" w:hAnsi="Times New Roman" w:hint="eastAsia"/>
          <w:b/>
          <w:u w:val="wave" w:color="C00000"/>
        </w:rPr>
        <w:t>性</w:t>
      </w:r>
      <w:r w:rsidRPr="00DA3BC7">
        <w:rPr>
          <w:rFonts w:ascii="Times New Roman" w:hAnsi="Times New Roman" w:hint="eastAsia"/>
        </w:rPr>
        <w:t>也有不同，如《俱舍論》說：「</w:t>
      </w:r>
      <w:r w:rsidRPr="00DA3BC7">
        <w:rPr>
          <w:rFonts w:ascii="標楷體" w:eastAsia="標楷體" w:hAnsi="標楷體" w:hint="eastAsia"/>
        </w:rPr>
        <w:t>許法體恒有，而說性非常</w:t>
      </w:r>
      <w:r w:rsidRPr="00DA3BC7">
        <w:rPr>
          <w:rFonts w:ascii="Times New Roman" w:hAnsi="Times New Roman" w:hint="eastAsia"/>
        </w:rPr>
        <w:t>。」</w:t>
      </w:r>
      <w:r w:rsidRPr="00DA3BC7">
        <w:rPr>
          <w:rFonts w:ascii="Times New Roman" w:hAnsi="Times New Roman"/>
          <w:vertAlign w:val="superscript"/>
        </w:rPr>
        <w:footnoteReference w:id="745"/>
      </w:r>
      <w:r w:rsidRPr="00C309AC">
        <w:rPr>
          <w:rFonts w:ascii="Times New Roman" w:hAnsi="Times New Roman" w:hint="eastAsia"/>
          <w:b/>
          <w:u w:val="wave" w:color="C00000"/>
        </w:rPr>
        <w:t>性</w:t>
      </w:r>
      <w:r w:rsidRPr="00DA3BC7">
        <w:rPr>
          <w:rFonts w:ascii="Times New Roman" w:hAnsi="Times New Roman" w:hint="eastAsia"/>
        </w:rPr>
        <w:t>可以作</w:t>
      </w:r>
      <w:r w:rsidRPr="00DA3BC7">
        <w:rPr>
          <w:rFonts w:ascii="Times New Roman" w:hAnsi="Times New Roman" w:hint="eastAsia"/>
          <w:b/>
        </w:rPr>
        <w:t>性質</w:t>
      </w:r>
      <w:r w:rsidRPr="00DA3BC7">
        <w:rPr>
          <w:rFonts w:ascii="Times New Roman" w:hAnsi="Times New Roman" w:hint="eastAsia"/>
        </w:rPr>
        <w:t>等說，如說無常性、無我性等，即與</w:t>
      </w:r>
      <w:r w:rsidRPr="00C309AC">
        <w:rPr>
          <w:rFonts w:ascii="Times New Roman" w:hAnsi="Times New Roman" w:hint="eastAsia"/>
          <w:b/>
          <w:u w:val="wave" w:color="C00000"/>
        </w:rPr>
        <w:t>法體</w:t>
      </w:r>
      <w:r w:rsidRPr="00DA3BC7">
        <w:rPr>
          <w:rFonts w:ascii="Times New Roman" w:hAnsi="Times New Roman" w:hint="eastAsia"/>
        </w:rPr>
        <w:t>不同。</w:t>
      </w:r>
    </w:p>
    <w:p w:rsidR="00AA120F" w:rsidRPr="00DA3BC7" w:rsidRDefault="00AA120F" w:rsidP="00AE3920">
      <w:pPr>
        <w:spacing w:beforeLines="20"/>
        <w:ind w:leftChars="100" w:left="240"/>
        <w:jc w:val="both"/>
        <w:rPr>
          <w:rFonts w:ascii="Times New Roman" w:hAnsi="Times New Roman"/>
        </w:rPr>
      </w:pPr>
      <w:r w:rsidRPr="00C309AC">
        <w:rPr>
          <w:rFonts w:ascii="Times New Roman" w:hAnsi="Times New Roman" w:hint="eastAsia"/>
          <w:b/>
          <w:u w:val="wave" w:color="C00000"/>
        </w:rPr>
        <w:t>體</w:t>
      </w:r>
      <w:r w:rsidRPr="00DA3BC7">
        <w:rPr>
          <w:rFonts w:hint="eastAsia"/>
        </w:rPr>
        <w:t>與</w:t>
      </w:r>
      <w:r w:rsidRPr="00C309AC">
        <w:rPr>
          <w:rFonts w:ascii="Times New Roman" w:hAnsi="Times New Roman" w:hint="eastAsia"/>
          <w:b/>
          <w:u w:val="wave" w:color="C00000"/>
        </w:rPr>
        <w:t>性</w:t>
      </w:r>
      <w:r w:rsidRPr="00DA3BC7">
        <w:rPr>
          <w:rFonts w:hint="eastAsia"/>
        </w:rPr>
        <w:t>也有同一的，如薩婆多部說諸</w:t>
      </w:r>
      <w:r w:rsidRPr="00DA3BC7">
        <w:rPr>
          <w:rFonts w:ascii="Times New Roman" w:hAnsi="Times New Roman"/>
        </w:rPr>
        <w:t>法各住自性，</w:t>
      </w:r>
      <w:r w:rsidRPr="00C309AC">
        <w:rPr>
          <w:rFonts w:ascii="Times New Roman" w:hAnsi="Times New Roman"/>
          <w:b/>
          <w:u w:val="wave" w:color="C00000"/>
        </w:rPr>
        <w:t>自體</w:t>
      </w:r>
      <w:r w:rsidRPr="00DA3BC7">
        <w:rPr>
          <w:rFonts w:ascii="Times New Roman" w:hAnsi="Times New Roman"/>
        </w:rPr>
        <w:t>也即</w:t>
      </w:r>
      <w:r w:rsidRPr="00C309AC">
        <w:rPr>
          <w:rFonts w:ascii="Times New Roman" w:hAnsi="Times New Roman"/>
          <w:b/>
          <w:u w:val="wave" w:color="C00000"/>
        </w:rPr>
        <w:t>自性</w:t>
      </w:r>
      <w:r w:rsidRPr="00DA3BC7">
        <w:rPr>
          <w:rFonts w:ascii="Times New Roman" w:hAnsi="Times New Roman"/>
        </w:rPr>
        <w:t>的異名。</w:t>
      </w:r>
      <w:r w:rsidRPr="00DA3BC7">
        <w:rPr>
          <w:rStyle w:val="a6"/>
          <w:rFonts w:ascii="Times New Roman" w:hAnsi="Times New Roman"/>
        </w:rPr>
        <w:footnoteReference w:id="746"/>
      </w:r>
    </w:p>
    <w:p w:rsidR="00AA120F" w:rsidRPr="00DA3BC7" w:rsidRDefault="00AA120F" w:rsidP="00AE3920">
      <w:pPr>
        <w:spacing w:beforeLines="20"/>
        <w:ind w:leftChars="100" w:left="240"/>
        <w:jc w:val="both"/>
        <w:rPr>
          <w:rFonts w:ascii="Times New Roman" w:hAnsi="Times New Roman"/>
        </w:rPr>
      </w:pPr>
      <w:r w:rsidRPr="00DA3BC7">
        <w:rPr>
          <w:rFonts w:ascii="Times New Roman" w:hAnsi="Times New Roman"/>
        </w:rPr>
        <w:t>然薩婆多部的自性，指一一法的終極質素說，與說宇宙大全</w:t>
      </w:r>
      <w:r w:rsidRPr="00DA3BC7">
        <w:rPr>
          <w:rStyle w:val="a6"/>
          <w:rFonts w:ascii="Times New Roman" w:hAnsi="Times New Roman"/>
        </w:rPr>
        <w:footnoteReference w:id="747"/>
      </w:r>
      <w:r w:rsidRPr="00DA3BC7">
        <w:rPr>
          <w:rFonts w:ascii="Times New Roman" w:hAnsi="Times New Roman"/>
        </w:rPr>
        <w:t>的實體不同。</w:t>
      </w:r>
    </w:p>
    <w:p w:rsidR="00AA120F" w:rsidRPr="00DA3BC7" w:rsidRDefault="00AA120F" w:rsidP="00AE3920">
      <w:pPr>
        <w:spacing w:beforeLines="20"/>
        <w:ind w:leftChars="100" w:left="240"/>
        <w:jc w:val="both"/>
        <w:rPr>
          <w:rFonts w:ascii="Times New Roman" w:hAnsi="Times New Roman"/>
        </w:rPr>
      </w:pPr>
      <w:r w:rsidRPr="00DA3BC7">
        <w:rPr>
          <w:rFonts w:ascii="Times New Roman" w:hAnsi="Times New Roman" w:hint="eastAsia"/>
        </w:rPr>
        <w:t>總之，</w:t>
      </w:r>
      <w:r w:rsidRPr="00C309AC">
        <w:rPr>
          <w:rFonts w:ascii="Times New Roman" w:hAnsi="Times New Roman" w:hint="eastAsia"/>
        </w:rPr>
        <w:t>佛法說</w:t>
      </w:r>
      <w:r w:rsidRPr="00C309AC">
        <w:rPr>
          <w:rFonts w:ascii="Times New Roman" w:hAnsi="Times New Roman" w:hint="eastAsia"/>
          <w:b/>
          <w:u w:val="wave" w:color="C00000"/>
        </w:rPr>
        <w:t>體</w:t>
      </w:r>
      <w:r w:rsidRPr="00C309AC">
        <w:rPr>
          <w:rFonts w:ascii="Times New Roman" w:hAnsi="Times New Roman" w:hint="eastAsia"/>
        </w:rPr>
        <w:t>，指</w:t>
      </w:r>
      <w:r w:rsidRPr="00C309AC">
        <w:rPr>
          <w:rFonts w:hint="eastAsia"/>
        </w:rPr>
        <w:t>一一</w:t>
      </w:r>
      <w:r w:rsidRPr="00DA3BC7">
        <w:rPr>
          <w:rFonts w:ascii="Times New Roman" w:hAnsi="Times New Roman" w:hint="eastAsia"/>
          <w:b/>
        </w:rPr>
        <w:t>法的自體說</w:t>
      </w:r>
      <w:r w:rsidRPr="00DA3BC7">
        <w:rPr>
          <w:rFonts w:ascii="Times New Roman" w:hAnsi="Times New Roman" w:hint="eastAsia"/>
        </w:rPr>
        <w:t>，不作真如、法性等說；</w:t>
      </w:r>
      <w:r w:rsidRPr="00DA3BC7">
        <w:rPr>
          <w:rFonts w:ascii="Times New Roman" w:hAnsi="Times New Roman"/>
        </w:rPr>
        <w:t>真如十二名</w:t>
      </w:r>
      <w:r w:rsidRPr="00DA3BC7">
        <w:rPr>
          <w:rFonts w:ascii="Times New Roman" w:hAnsi="Times New Roman"/>
          <w:vertAlign w:val="superscript"/>
        </w:rPr>
        <w:footnoteReference w:id="748"/>
      </w:r>
      <w:r w:rsidRPr="00DA3BC7">
        <w:rPr>
          <w:rFonts w:ascii="Times New Roman" w:hAnsi="Times New Roman"/>
        </w:rPr>
        <w:lastRenderedPageBreak/>
        <w:t>中，沒有稱為</w:t>
      </w:r>
      <w:r w:rsidRPr="00C309AC">
        <w:rPr>
          <w:rFonts w:ascii="Times New Roman" w:hAnsi="Times New Roman"/>
          <w:b/>
          <w:u w:val="wave" w:color="C00000"/>
        </w:rPr>
        <w:t>體</w:t>
      </w:r>
      <w:r w:rsidRPr="00DA3BC7">
        <w:rPr>
          <w:rFonts w:ascii="Times New Roman" w:hAnsi="Times New Roman"/>
        </w:rPr>
        <w:t>的。現存的龍樹論裏，也沒有以</w:t>
      </w:r>
      <w:r w:rsidRPr="00C309AC">
        <w:rPr>
          <w:rFonts w:ascii="Times New Roman" w:hAnsi="Times New Roman"/>
          <w:b/>
          <w:u w:val="wave" w:color="C00000"/>
        </w:rPr>
        <w:t>體</w:t>
      </w:r>
      <w:r w:rsidRPr="00DA3BC7">
        <w:rPr>
          <w:rFonts w:ascii="Times New Roman" w:hAnsi="Times New Roman"/>
        </w:rPr>
        <w:t>為本體、本性的。</w:t>
      </w:r>
      <w:r w:rsidRPr="00DA3BC7">
        <w:rPr>
          <w:rStyle w:val="a6"/>
          <w:rFonts w:ascii="Times New Roman" w:hAnsi="Times New Roman"/>
        </w:rPr>
        <w:footnoteReference w:id="749"/>
      </w:r>
    </w:p>
    <w:p w:rsidR="00AA120F" w:rsidRPr="00DA3BC7" w:rsidRDefault="00E165BC" w:rsidP="00AE3920">
      <w:pPr>
        <w:spacing w:beforeLines="30"/>
        <w:ind w:leftChars="50" w:left="120"/>
        <w:jc w:val="both"/>
        <w:rPr>
          <w:rFonts w:ascii="Times New Roman" w:hAnsi="Times New Roman"/>
          <w:b/>
          <w:bCs/>
          <w:sz w:val="20"/>
          <w:szCs w:val="26"/>
        </w:rPr>
      </w:pPr>
      <w:r w:rsidRPr="00E165BC">
        <w:rPr>
          <w:rFonts w:ascii="Times New Roman" w:hAnsi="Times New Roman" w:hint="eastAsia"/>
          <w:b/>
          <w:color w:val="FF0000"/>
          <w:sz w:val="20"/>
          <w:szCs w:val="20"/>
          <w:highlight w:val="yellow"/>
          <w:bdr w:val="single" w:sz="4" w:space="0" w:color="auto"/>
        </w:rPr>
        <w:t>（</w:t>
      </w:r>
      <w:r w:rsidRPr="00E165BC">
        <w:rPr>
          <w:rFonts w:ascii="Times New Roman" w:hAnsi="Times New Roman" w:hint="eastAsia"/>
          <w:b/>
          <w:color w:val="FF0000"/>
          <w:sz w:val="20"/>
          <w:szCs w:val="26"/>
          <w:highlight w:val="yellow"/>
          <w:bdr w:val="single" w:sz="4" w:space="0" w:color="auto"/>
        </w:rPr>
        <w:t>貳</w:t>
      </w:r>
      <w:r w:rsidRPr="00E165BC">
        <w:rPr>
          <w:rFonts w:ascii="Times New Roman" w:hAnsi="Times New Roman" w:hint="eastAsia"/>
          <w:b/>
          <w:color w:val="FF0000"/>
          <w:sz w:val="20"/>
          <w:szCs w:val="20"/>
          <w:highlight w:val="yellow"/>
          <w:bdr w:val="single" w:sz="4" w:space="0" w:color="auto"/>
        </w:rPr>
        <w:t>）依《中論》</w:t>
      </w:r>
      <w:r w:rsidR="00E54CE2">
        <w:rPr>
          <w:rFonts w:ascii="Times New Roman" w:hAnsi="Times New Roman" w:hint="eastAsia"/>
          <w:b/>
          <w:color w:val="FF0000"/>
          <w:sz w:val="20"/>
          <w:szCs w:val="20"/>
          <w:highlight w:val="yellow"/>
          <w:bdr w:val="single" w:sz="4" w:space="0" w:color="auto"/>
        </w:rPr>
        <w:t>〈</w:t>
      </w:r>
      <w:r w:rsidR="00E54CE2" w:rsidRPr="00E165BC">
        <w:rPr>
          <w:rFonts w:ascii="Times New Roman" w:hAnsi="Times New Roman" w:hint="eastAsia"/>
          <w:b/>
          <w:color w:val="FF0000"/>
          <w:sz w:val="20"/>
          <w:szCs w:val="20"/>
          <w:highlight w:val="yellow"/>
          <w:bdr w:val="single" w:sz="4" w:space="0" w:color="auto"/>
        </w:rPr>
        <w:t>青目釋</w:t>
      </w:r>
      <w:r w:rsidR="00E54CE2">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廣</w:t>
      </w:r>
      <w:r w:rsidRPr="00E165BC">
        <w:rPr>
          <w:rFonts w:ascii="Times New Roman" w:hAnsi="Times New Roman" w:hint="eastAsia"/>
          <w:b/>
          <w:bCs/>
          <w:color w:val="FF0000"/>
          <w:sz w:val="20"/>
          <w:szCs w:val="26"/>
          <w:highlight w:val="yellow"/>
          <w:bdr w:val="single" w:sz="4" w:space="0" w:color="auto"/>
        </w:rPr>
        <w:t>明</w:t>
      </w:r>
      <w:r w:rsidR="00AA120F" w:rsidRPr="00DA3BC7">
        <w:rPr>
          <w:rFonts w:ascii="Times New Roman" w:hAnsi="Times New Roman" w:hint="eastAsia"/>
          <w:sz w:val="20"/>
          <w:szCs w:val="26"/>
        </w:rPr>
        <w:t>（</w:t>
      </w:r>
      <w:r w:rsidR="00AA120F" w:rsidRPr="00DA3BC7">
        <w:rPr>
          <w:rFonts w:ascii="Times New Roman" w:hAnsi="Times New Roman" w:hint="eastAsia"/>
          <w:sz w:val="20"/>
          <w:szCs w:val="26"/>
        </w:rPr>
        <w:t>pp.</w:t>
      </w:r>
      <w:r w:rsidR="00AA120F" w:rsidRPr="00DA3BC7">
        <w:rPr>
          <w:rFonts w:ascii="Times New Roman" w:hAnsi="Times New Roman" w:hint="eastAsia"/>
          <w:bCs/>
          <w:sz w:val="20"/>
          <w:szCs w:val="26"/>
        </w:rPr>
        <w:t>163-164</w:t>
      </w:r>
      <w:r w:rsidR="00AA120F" w:rsidRPr="00DA3BC7">
        <w:rPr>
          <w:rFonts w:ascii="Times New Roman" w:hAnsi="Times New Roman" w:hint="eastAsia"/>
          <w:sz w:val="20"/>
          <w:szCs w:val="26"/>
        </w:rPr>
        <w:t>）</w:t>
      </w:r>
    </w:p>
    <w:p w:rsidR="00AA120F" w:rsidRPr="00DA3BC7" w:rsidRDefault="00E165BC" w:rsidP="006D7B07">
      <w:pPr>
        <w:ind w:leftChars="100" w:left="240"/>
        <w:jc w:val="both"/>
        <w:rPr>
          <w:rFonts w:ascii="Times New Roman" w:hAnsi="Times New Roman"/>
          <w:sz w:val="20"/>
          <w:szCs w:val="20"/>
          <w:bdr w:val="single" w:sz="4" w:space="0" w:color="auto"/>
        </w:rPr>
      </w:pPr>
      <w:r w:rsidRPr="00E165BC">
        <w:rPr>
          <w:rFonts w:ascii="Times New Roman" w:hAnsi="Times New Roman" w:hint="eastAsia"/>
          <w:b/>
          <w:color w:val="FF0000"/>
          <w:sz w:val="20"/>
          <w:szCs w:val="26"/>
          <w:highlight w:val="yellow"/>
          <w:bdr w:val="single" w:sz="4" w:space="0" w:color="auto"/>
        </w:rPr>
        <w:t>一</w:t>
      </w:r>
      <w:r w:rsidRPr="00E165BC">
        <w:rPr>
          <w:rFonts w:ascii="Times New Roman" w:hAnsi="Times New Roman"/>
          <w:b/>
          <w:color w:val="FF0000"/>
          <w:sz w:val="20"/>
          <w:szCs w:val="26"/>
          <w:highlight w:val="yellow"/>
          <w:bdr w:val="single" w:sz="4" w:space="0" w:color="auto"/>
        </w:rPr>
        <w:t>、</w:t>
      </w:r>
      <w:r w:rsidRPr="00E165BC">
        <w:rPr>
          <w:rFonts w:ascii="Times New Roman" w:hAnsi="Times New Roman" w:hint="eastAsia"/>
          <w:b/>
          <w:color w:val="FF0000"/>
          <w:sz w:val="20"/>
          <w:szCs w:val="20"/>
          <w:highlight w:val="yellow"/>
          <w:bdr w:val="single" w:sz="4" w:space="0" w:color="auto"/>
        </w:rPr>
        <w:t>引文</w:t>
      </w:r>
      <w:r w:rsidR="00AA120F" w:rsidRPr="00DA3BC7">
        <w:rPr>
          <w:rFonts w:ascii="Times New Roman" w:hAnsi="Times New Roman" w:hint="eastAsia"/>
          <w:sz w:val="20"/>
          <w:szCs w:val="26"/>
        </w:rPr>
        <w:t>（</w:t>
      </w:r>
      <w:r w:rsidR="00AA120F" w:rsidRPr="00DA3BC7">
        <w:rPr>
          <w:rFonts w:ascii="Times New Roman" w:hAnsi="Times New Roman" w:hint="eastAsia"/>
          <w:sz w:val="20"/>
          <w:szCs w:val="26"/>
        </w:rPr>
        <w:t>p.</w:t>
      </w:r>
      <w:r w:rsidR="00AA120F" w:rsidRPr="00DA3BC7">
        <w:rPr>
          <w:rFonts w:ascii="Times New Roman" w:hAnsi="Times New Roman" w:hint="eastAsia"/>
          <w:bCs/>
          <w:sz w:val="20"/>
          <w:szCs w:val="26"/>
        </w:rPr>
        <w:t>163</w:t>
      </w:r>
      <w:r w:rsidR="00AA120F" w:rsidRPr="00DA3BC7">
        <w:rPr>
          <w:rFonts w:ascii="Times New Roman" w:hAnsi="Times New Roman" w:hint="eastAsia"/>
          <w:sz w:val="20"/>
          <w:szCs w:val="26"/>
        </w:rPr>
        <w:t>）</w:t>
      </w:r>
    </w:p>
    <w:p w:rsidR="00E165BC" w:rsidRDefault="00AA120F" w:rsidP="006D7B07">
      <w:pPr>
        <w:ind w:leftChars="100" w:left="240"/>
        <w:jc w:val="both"/>
        <w:rPr>
          <w:rFonts w:ascii="Times New Roman" w:hAnsi="Times New Roman"/>
          <w:bCs/>
        </w:rPr>
      </w:pPr>
      <w:r w:rsidRPr="00DA3BC7">
        <w:rPr>
          <w:rFonts w:ascii="Times New Roman" w:hAnsi="Times New Roman" w:hint="eastAsia"/>
          <w:bCs/>
        </w:rPr>
        <w:t>此中，</w:t>
      </w:r>
      <w:r w:rsidRPr="00DA3BC7">
        <w:rPr>
          <w:rFonts w:ascii="Times New Roman" w:hAnsi="Times New Roman" w:hint="eastAsia"/>
          <w:b/>
          <w:bCs/>
        </w:rPr>
        <w:t>體、作、力</w:t>
      </w:r>
      <w:r w:rsidRPr="00DA3BC7">
        <w:rPr>
          <w:rFonts w:ascii="Times New Roman" w:hAnsi="Times New Roman" w:hint="eastAsia"/>
          <w:bCs/>
        </w:rPr>
        <w:t>三者合起來說，別處也不曾見到。</w:t>
      </w:r>
    </w:p>
    <w:p w:rsidR="00AA120F" w:rsidRPr="00DA3BC7" w:rsidRDefault="00AA120F" w:rsidP="006D7B07">
      <w:pPr>
        <w:ind w:leftChars="100" w:left="240"/>
        <w:jc w:val="both"/>
        <w:rPr>
          <w:rFonts w:ascii="Times New Roman" w:hAnsi="Times New Roman"/>
          <w:b/>
          <w:sz w:val="20"/>
          <w:szCs w:val="26"/>
          <w:bdr w:val="single" w:sz="4" w:space="0" w:color="auto"/>
        </w:rPr>
      </w:pPr>
      <w:r w:rsidRPr="00E165BC">
        <w:rPr>
          <w:rFonts w:ascii="Times New Roman" w:hAnsi="Times New Roman" w:hint="eastAsia"/>
          <w:bCs/>
          <w:highlight w:val="yellow"/>
        </w:rPr>
        <w:t>然</w:t>
      </w:r>
      <w:r w:rsidRPr="00DA3BC7">
        <w:rPr>
          <w:rFonts w:ascii="Times New Roman" w:hAnsi="Times New Roman" w:hint="eastAsia"/>
          <w:bCs/>
        </w:rPr>
        <w:t>在《中論》</w:t>
      </w:r>
      <w:r w:rsidR="00AC1C38">
        <w:rPr>
          <w:rFonts w:ascii="Times New Roman" w:hAnsi="Times New Roman" w:hint="eastAsia"/>
        </w:rPr>
        <w:t>〈</w:t>
      </w:r>
      <w:r w:rsidR="00AC1C38" w:rsidRPr="00AC1C38">
        <w:rPr>
          <w:rFonts w:ascii="Times New Roman" w:hAnsi="Times New Roman" w:hint="eastAsia"/>
          <w:shd w:val="pct15" w:color="auto" w:fill="FFFFFF"/>
        </w:rPr>
        <w:t>8</w:t>
      </w:r>
      <w:r w:rsidR="00AC1C38">
        <w:rPr>
          <w:rFonts w:ascii="Times New Roman" w:hAnsi="Times New Roman" w:hint="eastAsia"/>
        </w:rPr>
        <w:t xml:space="preserve"> </w:t>
      </w:r>
      <w:r w:rsidR="00AC1C38" w:rsidRPr="00DA3BC7">
        <w:rPr>
          <w:rFonts w:ascii="Times New Roman" w:hAnsi="Times New Roman" w:hint="eastAsia"/>
          <w:bCs/>
        </w:rPr>
        <w:t>觀作作者品</w:t>
      </w:r>
      <w:r w:rsidR="00AC1C38">
        <w:rPr>
          <w:rFonts w:ascii="Times New Roman" w:hAnsi="Times New Roman" w:hint="eastAsia"/>
        </w:rPr>
        <w:t>〉</w:t>
      </w:r>
      <w:r w:rsidRPr="00DA3BC7">
        <w:rPr>
          <w:rFonts w:ascii="Times New Roman" w:hAnsi="Times New Roman" w:hint="eastAsia"/>
          <w:bCs/>
        </w:rPr>
        <w:t>中有大同的詞句</w:t>
      </w:r>
      <w:r w:rsidR="00E165BC">
        <w:rPr>
          <w:rFonts w:ascii="Times New Roman" w:hAnsi="Times New Roman" w:hint="eastAsia"/>
          <w:bCs/>
          <w:color w:val="FF0000"/>
          <w:highlight w:val="yellow"/>
        </w:rPr>
        <w:t>，</w:t>
      </w:r>
      <w:r w:rsidRPr="00DA3BC7">
        <w:rPr>
          <w:rFonts w:ascii="Times New Roman" w:hAnsi="Times New Roman" w:hint="eastAsia"/>
          <w:bCs/>
        </w:rPr>
        <w:t>有作如是說：「</w:t>
      </w:r>
      <w:r w:rsidRPr="00DA3BC7">
        <w:rPr>
          <w:rFonts w:ascii="標楷體" w:eastAsia="標楷體" w:hAnsi="標楷體" w:hint="eastAsia"/>
          <w:bCs/>
        </w:rPr>
        <w:t>現有</w:t>
      </w:r>
      <w:r w:rsidRPr="00DA3BC7">
        <w:rPr>
          <w:rFonts w:ascii="標楷體" w:eastAsia="標楷體" w:hAnsi="標楷體" w:hint="eastAsia"/>
          <w:b/>
          <w:bCs/>
        </w:rPr>
        <w:t>作</w:t>
      </w:r>
      <w:r w:rsidRPr="00DA3BC7">
        <w:rPr>
          <w:rFonts w:ascii="標楷體" w:eastAsia="標楷體" w:hAnsi="標楷體" w:hint="eastAsia"/>
          <w:bCs/>
        </w:rPr>
        <w:t>，有</w:t>
      </w:r>
      <w:r w:rsidRPr="00DA3BC7">
        <w:rPr>
          <w:rFonts w:ascii="標楷體" w:eastAsia="標楷體" w:hAnsi="標楷體" w:hint="eastAsia"/>
          <w:b/>
          <w:bCs/>
        </w:rPr>
        <w:t>作者</w:t>
      </w:r>
      <w:r w:rsidRPr="00DA3BC7">
        <w:rPr>
          <w:rFonts w:ascii="標楷體" w:eastAsia="標楷體" w:hAnsi="標楷體" w:hint="eastAsia"/>
          <w:bCs/>
        </w:rPr>
        <w:t>，有</w:t>
      </w:r>
      <w:r w:rsidRPr="00DA3BC7">
        <w:rPr>
          <w:rFonts w:ascii="標楷體" w:eastAsia="標楷體" w:hAnsi="標楷體" w:hint="eastAsia"/>
          <w:b/>
          <w:bCs/>
        </w:rPr>
        <w:t>所用作法</w:t>
      </w:r>
      <w:r w:rsidR="005C68C9" w:rsidRPr="00DA3BC7">
        <w:rPr>
          <w:rFonts w:ascii="標楷體" w:eastAsia="標楷體" w:hAnsi="標楷體" w:hint="eastAsia"/>
          <w:bCs/>
        </w:rPr>
        <w:t>。</w:t>
      </w:r>
      <w:r w:rsidRPr="00DA3BC7">
        <w:rPr>
          <w:rFonts w:ascii="Times New Roman" w:hAnsi="Times New Roman" w:hint="eastAsia"/>
          <w:bCs/>
        </w:rPr>
        <w:t>」</w:t>
      </w:r>
      <w:r w:rsidRPr="00DA3BC7">
        <w:rPr>
          <w:rFonts w:ascii="Times New Roman" w:hAnsi="Times New Roman"/>
          <w:bCs/>
          <w:vertAlign w:val="superscript"/>
        </w:rPr>
        <w:footnoteReference w:id="750"/>
      </w:r>
    </w:p>
    <w:p w:rsidR="00AA120F" w:rsidRPr="00E165BC" w:rsidRDefault="00E165BC" w:rsidP="00AE3920">
      <w:pPr>
        <w:spacing w:beforeLines="30"/>
        <w:ind w:leftChars="100" w:left="240"/>
        <w:jc w:val="both"/>
        <w:rPr>
          <w:rFonts w:ascii="Times New Roman" w:hAnsi="Times New Roman"/>
          <w:b/>
          <w:color w:val="FF0000"/>
          <w:sz w:val="20"/>
          <w:szCs w:val="20"/>
          <w:highlight w:val="yellow"/>
          <w:bdr w:val="single" w:sz="4" w:space="0" w:color="auto"/>
        </w:rPr>
      </w:pPr>
      <w:r>
        <w:rPr>
          <w:rFonts w:ascii="Times New Roman" w:hAnsi="Times New Roman" w:hint="eastAsia"/>
          <w:b/>
          <w:color w:val="FF0000"/>
          <w:sz w:val="20"/>
          <w:szCs w:val="20"/>
          <w:highlight w:val="yellow"/>
          <w:bdr w:val="single" w:sz="4" w:space="0" w:color="auto"/>
        </w:rPr>
        <w:t>二、</w:t>
      </w:r>
      <w:r w:rsidR="00AA120F" w:rsidRPr="00DA3BC7">
        <w:rPr>
          <w:rFonts w:ascii="Times New Roman" w:hAnsi="Times New Roman" w:hint="eastAsia"/>
          <w:b/>
          <w:sz w:val="20"/>
          <w:szCs w:val="20"/>
          <w:bdr w:val="single" w:sz="4" w:space="0" w:color="auto"/>
        </w:rPr>
        <w:t>述</w:t>
      </w:r>
      <w:r w:rsidRPr="00E165BC">
        <w:rPr>
          <w:rFonts w:ascii="Times New Roman" w:hAnsi="Times New Roman" w:hint="eastAsia"/>
          <w:b/>
          <w:color w:val="FF0000"/>
          <w:sz w:val="20"/>
          <w:szCs w:val="20"/>
          <w:highlight w:val="yellow"/>
          <w:bdr w:val="single" w:sz="4" w:space="0" w:color="auto"/>
        </w:rPr>
        <w:t>義</w:t>
      </w:r>
      <w:r w:rsidR="00AA120F" w:rsidRPr="00DA3BC7">
        <w:rPr>
          <w:rFonts w:ascii="Times New Roman" w:hAnsi="Times New Roman" w:hint="eastAsia"/>
          <w:sz w:val="20"/>
          <w:szCs w:val="26"/>
        </w:rPr>
        <w:t>（</w:t>
      </w:r>
      <w:r w:rsidR="00AA120F" w:rsidRPr="00DA3BC7">
        <w:rPr>
          <w:rFonts w:ascii="Times New Roman" w:hAnsi="Times New Roman" w:hint="eastAsia"/>
          <w:sz w:val="20"/>
          <w:szCs w:val="26"/>
        </w:rPr>
        <w:t>pp.</w:t>
      </w:r>
      <w:r w:rsidR="00AA120F" w:rsidRPr="00DA3BC7">
        <w:rPr>
          <w:rFonts w:ascii="Times New Roman" w:hAnsi="Times New Roman" w:hint="eastAsia"/>
          <w:bCs/>
          <w:sz w:val="20"/>
          <w:szCs w:val="26"/>
        </w:rPr>
        <w:t>163-164</w:t>
      </w:r>
      <w:r w:rsidR="00AA120F" w:rsidRPr="00DA3BC7">
        <w:rPr>
          <w:rFonts w:ascii="Times New Roman" w:hAnsi="Times New Roman" w:hint="eastAsia"/>
          <w:sz w:val="20"/>
          <w:szCs w:val="26"/>
        </w:rPr>
        <w:t>）</w:t>
      </w:r>
    </w:p>
    <w:p w:rsidR="00AA120F" w:rsidRPr="00DA3BC7" w:rsidRDefault="00E165BC" w:rsidP="006D7B07">
      <w:pPr>
        <w:ind w:leftChars="150" w:left="360"/>
        <w:jc w:val="both"/>
        <w:rPr>
          <w:rFonts w:ascii="Times New Roman" w:hAnsi="Times New Roman"/>
          <w:b/>
          <w:bCs/>
          <w:sz w:val="20"/>
          <w:szCs w:val="20"/>
          <w:bdr w:val="single" w:sz="4" w:space="0" w:color="auto"/>
        </w:rPr>
      </w:pPr>
      <w:r w:rsidRPr="00E165BC">
        <w:rPr>
          <w:rFonts w:ascii="Times New Roman" w:hAnsi="Times New Roman" w:hint="eastAsia"/>
          <w:b/>
          <w:bCs/>
          <w:color w:val="FF0000"/>
          <w:sz w:val="20"/>
          <w:szCs w:val="20"/>
          <w:highlight w:val="yellow"/>
          <w:bdr w:val="single" w:sz="4" w:space="0" w:color="auto"/>
        </w:rPr>
        <w:t>（</w:t>
      </w:r>
      <w:r w:rsidR="00AA120F" w:rsidRPr="00E165BC">
        <w:rPr>
          <w:rFonts w:ascii="Times New Roman" w:hAnsi="Times New Roman" w:hint="eastAsia"/>
          <w:b/>
          <w:color w:val="FF0000"/>
          <w:sz w:val="20"/>
          <w:szCs w:val="20"/>
          <w:highlight w:val="yellow"/>
          <w:bdr w:val="single" w:sz="4" w:space="0" w:color="auto"/>
        </w:rPr>
        <w:t>一</w:t>
      </w:r>
      <w:r w:rsidRPr="00E165BC">
        <w:rPr>
          <w:rFonts w:ascii="Times New Roman" w:hAnsi="Times New Roman" w:hint="eastAsia"/>
          <w:b/>
          <w:bCs/>
          <w:color w:val="FF0000"/>
          <w:sz w:val="20"/>
          <w:szCs w:val="20"/>
          <w:highlight w:val="yellow"/>
          <w:bdr w:val="single" w:sz="4" w:space="0" w:color="auto"/>
        </w:rPr>
        <w:t>）</w:t>
      </w:r>
      <w:r w:rsidR="00AA120F" w:rsidRPr="00DA3BC7">
        <w:rPr>
          <w:rFonts w:ascii="Times New Roman" w:hAnsi="Times New Roman" w:hint="eastAsia"/>
          <w:b/>
          <w:bCs/>
          <w:sz w:val="20"/>
          <w:szCs w:val="20"/>
          <w:bdr w:val="single" w:sz="4" w:space="0" w:color="auto"/>
        </w:rPr>
        <w:t>作（業）</w:t>
      </w:r>
      <w:r w:rsidR="00AA120F" w:rsidRPr="00DA3BC7">
        <w:rPr>
          <w:rFonts w:ascii="Times New Roman" w:hAnsi="Times New Roman" w:hint="eastAsia"/>
          <w:sz w:val="20"/>
          <w:szCs w:val="26"/>
        </w:rPr>
        <w:t>（</w:t>
      </w:r>
      <w:r w:rsidR="00AA120F" w:rsidRPr="00DA3BC7">
        <w:rPr>
          <w:rFonts w:ascii="Times New Roman" w:hAnsi="Times New Roman" w:hint="eastAsia"/>
          <w:sz w:val="20"/>
          <w:szCs w:val="26"/>
        </w:rPr>
        <w:t>p.</w:t>
      </w:r>
      <w:r w:rsidR="00AA120F" w:rsidRPr="00DA3BC7">
        <w:rPr>
          <w:rFonts w:ascii="Times New Roman" w:hAnsi="Times New Roman" w:hint="eastAsia"/>
          <w:bCs/>
          <w:sz w:val="20"/>
          <w:szCs w:val="26"/>
        </w:rPr>
        <w:t>163</w:t>
      </w:r>
      <w:r w:rsidR="00AA120F" w:rsidRPr="00DA3BC7">
        <w:rPr>
          <w:rFonts w:ascii="Times New Roman" w:hAnsi="Times New Roman" w:hint="eastAsia"/>
          <w:sz w:val="20"/>
          <w:szCs w:val="26"/>
        </w:rPr>
        <w:t>）</w:t>
      </w:r>
    </w:p>
    <w:p w:rsidR="00AA120F" w:rsidRPr="00DA3BC7" w:rsidRDefault="00AA120F" w:rsidP="006D7B07">
      <w:pPr>
        <w:ind w:leftChars="150" w:left="360"/>
        <w:jc w:val="both"/>
        <w:rPr>
          <w:rFonts w:ascii="Times New Roman" w:hAnsi="Times New Roman"/>
          <w:bCs/>
        </w:rPr>
      </w:pPr>
      <w:r w:rsidRPr="00DA3BC7">
        <w:rPr>
          <w:rFonts w:ascii="Times New Roman" w:hAnsi="Times New Roman" w:hint="eastAsia"/>
          <w:bCs/>
        </w:rPr>
        <w:t>此中所說的</w:t>
      </w:r>
      <w:r w:rsidRPr="00C309AC">
        <w:rPr>
          <w:rFonts w:ascii="標楷體" w:eastAsia="標楷體" w:hAnsi="標楷體" w:hint="eastAsia"/>
          <w:b/>
          <w:u w:val="wave" w:color="C00000"/>
        </w:rPr>
        <w:t>作</w:t>
      </w:r>
      <w:r w:rsidRPr="00DA3BC7">
        <w:rPr>
          <w:rFonts w:ascii="Times New Roman" w:hAnsi="Times New Roman" w:hint="eastAsia"/>
          <w:bCs/>
        </w:rPr>
        <w:t>，即佛典常用的「羯磨」（</w:t>
      </w:r>
      <w:r w:rsidRPr="00DA3BC7">
        <w:rPr>
          <w:rFonts w:ascii="Times New Roman" w:hAnsi="Times New Roman" w:hint="eastAsia"/>
          <w:bCs/>
        </w:rPr>
        <w:t>karma</w:t>
      </w:r>
      <w:r w:rsidRPr="00DA3BC7">
        <w:rPr>
          <w:rFonts w:ascii="Times New Roman" w:hAnsi="Times New Roman" w:hint="eastAsia"/>
          <w:bCs/>
        </w:rPr>
        <w:t>），即是</w:t>
      </w:r>
      <w:r w:rsidRPr="005545B6">
        <w:rPr>
          <w:rFonts w:ascii="Times New Roman" w:hAnsi="Times New Roman" w:hint="eastAsia"/>
          <w:b/>
          <w:bCs/>
          <w:u w:val="wave" w:color="C00000"/>
        </w:rPr>
        <w:t>業</w:t>
      </w:r>
      <w:r w:rsidRPr="00DA3BC7">
        <w:rPr>
          <w:rFonts w:ascii="Times New Roman" w:hAnsi="Times New Roman" w:hint="eastAsia"/>
          <w:bCs/>
        </w:rPr>
        <w:t>。</w:t>
      </w:r>
    </w:p>
    <w:p w:rsidR="00AA120F" w:rsidRPr="00DA3BC7" w:rsidRDefault="00E165BC" w:rsidP="00AE3920">
      <w:pPr>
        <w:spacing w:beforeLines="30"/>
        <w:ind w:leftChars="150" w:left="360"/>
        <w:jc w:val="both"/>
        <w:rPr>
          <w:rFonts w:ascii="Times New Roman" w:hAnsi="Times New Roman"/>
          <w:bCs/>
          <w:sz w:val="20"/>
          <w:szCs w:val="20"/>
          <w:bdr w:val="single" w:sz="4" w:space="0" w:color="auto"/>
        </w:rPr>
      </w:pPr>
      <w:r w:rsidRPr="00E165BC">
        <w:rPr>
          <w:rFonts w:ascii="Times New Roman" w:hAnsi="Times New Roman" w:hint="eastAsia"/>
          <w:b/>
          <w:bCs/>
          <w:color w:val="FF0000"/>
          <w:sz w:val="20"/>
          <w:szCs w:val="20"/>
          <w:highlight w:val="yellow"/>
          <w:bdr w:val="single" w:sz="4" w:space="0" w:color="auto"/>
        </w:rPr>
        <w:t>（</w:t>
      </w:r>
      <w:r w:rsidRPr="00E165BC">
        <w:rPr>
          <w:rFonts w:ascii="Times New Roman" w:hAnsi="Times New Roman" w:hint="eastAsia"/>
          <w:b/>
          <w:color w:val="FF0000"/>
          <w:sz w:val="20"/>
          <w:szCs w:val="20"/>
          <w:highlight w:val="yellow"/>
          <w:bdr w:val="single" w:sz="4" w:space="0" w:color="auto"/>
        </w:rPr>
        <w:t>二</w:t>
      </w:r>
      <w:r w:rsidRPr="00E165BC">
        <w:rPr>
          <w:rFonts w:ascii="Times New Roman" w:hAnsi="Times New Roman" w:hint="eastAsia"/>
          <w:b/>
          <w:bCs/>
          <w:color w:val="FF0000"/>
          <w:sz w:val="20"/>
          <w:szCs w:val="20"/>
          <w:highlight w:val="yellow"/>
          <w:bdr w:val="single" w:sz="4" w:space="0" w:color="auto"/>
        </w:rPr>
        <w:t>）</w:t>
      </w:r>
      <w:r w:rsidR="00AA120F" w:rsidRPr="00DA3BC7">
        <w:rPr>
          <w:rFonts w:ascii="Times New Roman" w:hAnsi="Times New Roman" w:hint="eastAsia"/>
          <w:b/>
          <w:bCs/>
          <w:sz w:val="20"/>
          <w:szCs w:val="20"/>
          <w:bdr w:val="single" w:sz="4" w:space="0" w:color="auto"/>
        </w:rPr>
        <w:t>作者（體）</w:t>
      </w:r>
      <w:r w:rsidRPr="00DA3BC7">
        <w:rPr>
          <w:rFonts w:ascii="Times New Roman" w:hAnsi="Times New Roman" w:hint="eastAsia"/>
          <w:sz w:val="20"/>
          <w:szCs w:val="26"/>
        </w:rPr>
        <w:t>（</w:t>
      </w:r>
      <w:r w:rsidRPr="00DA3BC7">
        <w:rPr>
          <w:rFonts w:ascii="Times New Roman" w:hAnsi="Times New Roman" w:hint="eastAsia"/>
          <w:sz w:val="20"/>
          <w:szCs w:val="26"/>
        </w:rPr>
        <w:t>pp.</w:t>
      </w:r>
      <w:r w:rsidRPr="00DA3BC7">
        <w:rPr>
          <w:rFonts w:ascii="Times New Roman" w:hAnsi="Times New Roman" w:hint="eastAsia"/>
          <w:bCs/>
          <w:sz w:val="20"/>
          <w:szCs w:val="26"/>
        </w:rPr>
        <w:t>163-164</w:t>
      </w:r>
      <w:r w:rsidRPr="00DA3BC7">
        <w:rPr>
          <w:rFonts w:ascii="Times New Roman" w:hAnsi="Times New Roman" w:hint="eastAsia"/>
          <w:sz w:val="20"/>
          <w:szCs w:val="26"/>
        </w:rPr>
        <w:t>）</w:t>
      </w:r>
    </w:p>
    <w:p w:rsidR="00AA120F" w:rsidRPr="00DA3BC7" w:rsidRDefault="00AA120F" w:rsidP="006D7B07">
      <w:pPr>
        <w:ind w:leftChars="150" w:left="360"/>
        <w:jc w:val="both"/>
        <w:rPr>
          <w:rFonts w:ascii="Times New Roman" w:hAnsi="Times New Roman"/>
          <w:bCs/>
        </w:rPr>
      </w:pPr>
      <w:r w:rsidRPr="00C309AC">
        <w:rPr>
          <w:rFonts w:ascii="標楷體" w:eastAsia="標楷體" w:hAnsi="標楷體" w:hint="eastAsia"/>
          <w:b/>
          <w:u w:val="wave" w:color="C00000"/>
        </w:rPr>
        <w:t>作者</w:t>
      </w:r>
      <w:r w:rsidRPr="00DA3BC7">
        <w:rPr>
          <w:rFonts w:ascii="Times New Roman" w:hAnsi="Times New Roman" w:hint="eastAsia"/>
          <w:bCs/>
        </w:rPr>
        <w:t>（</w:t>
      </w:r>
      <w:r w:rsidRPr="00DA3BC7">
        <w:rPr>
          <w:rFonts w:ascii="Times New Roman" w:hAnsi="Times New Roman"/>
          <w:bCs/>
        </w:rPr>
        <w:t>kāraka</w:t>
      </w:r>
      <w:r w:rsidRPr="00DA3BC7">
        <w:rPr>
          <w:rFonts w:ascii="Times New Roman" w:hAnsi="Times New Roman" w:hint="eastAsia"/>
          <w:bCs/>
        </w:rPr>
        <w:t>），</w:t>
      </w:r>
      <w:r w:rsidRPr="00DA3BC7">
        <w:rPr>
          <w:rFonts w:ascii="Times New Roman" w:hAnsi="Times New Roman" w:hint="eastAsia"/>
        </w:rPr>
        <w:t>即能起作</w:t>
      </w:r>
      <w:r w:rsidRPr="00C309AC">
        <w:rPr>
          <w:rFonts w:ascii="新細明體" w:hAnsi="新細明體" w:hint="eastAsia"/>
        </w:rPr>
        <w:t>用</w:t>
      </w:r>
      <w:r w:rsidRPr="00C309AC">
        <w:rPr>
          <w:rFonts w:ascii="新細明體" w:hAnsi="新細明體" w:hint="eastAsia"/>
          <w:bCs/>
        </w:rPr>
        <w:t>的</w:t>
      </w:r>
      <w:r w:rsidRPr="00C309AC">
        <w:rPr>
          <w:rFonts w:ascii="新細明體" w:hAnsi="新細明體" w:hint="eastAsia"/>
          <w:b/>
          <w:u w:val="wave" w:color="C00000"/>
        </w:rPr>
        <w:t>假我</w:t>
      </w:r>
      <w:r w:rsidRPr="00C309AC">
        <w:rPr>
          <w:rFonts w:ascii="新細明體" w:hAnsi="新細明體" w:hint="eastAsia"/>
          <w:bCs/>
        </w:rPr>
        <w:t>或</w:t>
      </w:r>
      <w:r w:rsidRPr="00C309AC">
        <w:rPr>
          <w:rFonts w:ascii="新細明體" w:hAnsi="新細明體" w:hint="eastAsia"/>
          <w:b/>
          <w:u w:val="wave" w:color="C00000"/>
        </w:rPr>
        <w:t>法</w:t>
      </w:r>
      <w:r w:rsidRPr="00DA3BC7">
        <w:rPr>
          <w:rFonts w:ascii="Times New Roman" w:hAnsi="Times New Roman" w:hint="eastAsia"/>
          <w:bCs/>
        </w:rPr>
        <w:t>。</w:t>
      </w:r>
    </w:p>
    <w:p w:rsidR="00AA120F" w:rsidRPr="00DA3BC7" w:rsidRDefault="00AA120F" w:rsidP="00AE3920">
      <w:pPr>
        <w:spacing w:beforeLines="20"/>
        <w:ind w:leftChars="150" w:left="360"/>
        <w:jc w:val="both"/>
        <w:rPr>
          <w:rFonts w:ascii="Times New Roman" w:hAnsi="Times New Roman"/>
          <w:bCs/>
        </w:rPr>
      </w:pPr>
      <w:r w:rsidRPr="00DA3BC7">
        <w:rPr>
          <w:rFonts w:ascii="Times New Roman" w:hAnsi="Times New Roman" w:hint="eastAsia"/>
          <w:bCs/>
        </w:rPr>
        <w:t>如外道以世間一切作業歸於神，以神為作者，或以自我為作者等。</w:t>
      </w:r>
    </w:p>
    <w:p w:rsidR="00AA120F" w:rsidRPr="00DA3BC7" w:rsidRDefault="00AA120F" w:rsidP="00AE3920">
      <w:pPr>
        <w:spacing w:beforeLines="20"/>
        <w:ind w:leftChars="150" w:left="360"/>
        <w:jc w:val="both"/>
        <w:rPr>
          <w:rFonts w:ascii="Times New Roman" w:hAnsi="Times New Roman"/>
          <w:bCs/>
        </w:rPr>
      </w:pPr>
      <w:r w:rsidRPr="00DA3BC7">
        <w:rPr>
          <w:rFonts w:ascii="Times New Roman" w:hAnsi="Times New Roman" w:hint="eastAsia"/>
          <w:b/>
          <w:bCs/>
        </w:rPr>
        <w:lastRenderedPageBreak/>
        <w:t>佛法雖可說有作者，但這不過是順俗假說，並無真實的作者</w:t>
      </w:r>
      <w:r w:rsidRPr="00DA3BC7">
        <w:rPr>
          <w:rFonts w:ascii="Times New Roman" w:hAnsi="Times New Roman" w:hint="eastAsia"/>
          <w:bCs/>
        </w:rPr>
        <w:t>。如說眼能見，見是眼之用，即假名眼為見者。故此處所說</w:t>
      </w:r>
      <w:r w:rsidRPr="00C309AC">
        <w:rPr>
          <w:rFonts w:ascii="Times New Roman" w:hAnsi="Times New Roman" w:hint="eastAsia"/>
          <w:b/>
          <w:u w:val="wave" w:color="C00000"/>
        </w:rPr>
        <w:t>作者</w:t>
      </w:r>
      <w:r w:rsidRPr="00DA3BC7">
        <w:rPr>
          <w:rFonts w:ascii="Times New Roman" w:hAnsi="Times New Roman" w:hint="eastAsia"/>
          <w:bCs/>
        </w:rPr>
        <w:t>，與</w:t>
      </w:r>
      <w:r w:rsidR="00E165BC" w:rsidRPr="00C309AC">
        <w:rPr>
          <w:rFonts w:ascii="Times New Roman" w:hAnsi="Times New Roman" w:hint="eastAsia"/>
          <w:b/>
          <w:bCs/>
          <w:u w:val="wave" w:color="C00000"/>
        </w:rPr>
        <w:t>體</w:t>
      </w:r>
      <w:r w:rsidRPr="00DA3BC7">
        <w:rPr>
          <w:rFonts w:ascii="Times New Roman" w:hAnsi="Times New Roman" w:hint="eastAsia"/>
          <w:bCs/>
        </w:rPr>
        <w:t>義相當。</w:t>
      </w:r>
    </w:p>
    <w:p w:rsidR="00AA120F" w:rsidRPr="00DA3BC7" w:rsidRDefault="00AA120F" w:rsidP="00AE3920">
      <w:pPr>
        <w:spacing w:beforeLines="20"/>
        <w:ind w:leftChars="150" w:left="360"/>
        <w:jc w:val="both"/>
        <w:rPr>
          <w:rFonts w:ascii="Times New Roman" w:hAnsi="Times New Roman"/>
        </w:rPr>
      </w:pPr>
      <w:r w:rsidRPr="00DA3BC7">
        <w:rPr>
          <w:rFonts w:ascii="Times New Roman" w:hAnsi="Times New Roman" w:hint="eastAsia"/>
        </w:rPr>
        <w:t>依《順正理論》卷</w:t>
      </w:r>
      <w:r w:rsidR="00E165BC">
        <w:rPr>
          <w:rFonts w:ascii="Times New Roman" w:hAnsi="Times New Roman" w:hint="eastAsia"/>
        </w:rPr>
        <w:t>3</w:t>
      </w:r>
      <w:r w:rsidRPr="00DA3BC7">
        <w:rPr>
          <w:rFonts w:ascii="Times New Roman" w:hAnsi="Times New Roman" w:hint="eastAsia"/>
        </w:rPr>
        <w:t>解</w:t>
      </w:r>
      <w:r w:rsidRPr="00C309AC">
        <w:rPr>
          <w:rFonts w:ascii="Times New Roman" w:hAnsi="Times New Roman" w:hint="eastAsia"/>
          <w:b/>
          <w:u w:val="wave" w:color="C00000"/>
        </w:rPr>
        <w:t>作者</w:t>
      </w:r>
      <w:r w:rsidRPr="00DA3BC7">
        <w:rPr>
          <w:rFonts w:ascii="Times New Roman" w:hAnsi="Times New Roman" w:hint="eastAsia"/>
        </w:rPr>
        <w:t>有二家：</w:t>
      </w:r>
    </w:p>
    <w:p w:rsidR="00E165BC" w:rsidRDefault="00AA120F" w:rsidP="006D7B07">
      <w:pPr>
        <w:ind w:leftChars="150" w:left="360"/>
        <w:jc w:val="both"/>
        <w:rPr>
          <w:rFonts w:ascii="Times New Roman" w:hAnsi="Times New Roman"/>
        </w:rPr>
      </w:pPr>
      <w:r w:rsidRPr="00DA3BC7">
        <w:rPr>
          <w:rFonts w:ascii="Times New Roman" w:hAnsi="Times New Roman" w:hint="eastAsia"/>
        </w:rPr>
        <w:t>一、約一一法的自性──</w:t>
      </w:r>
      <w:r w:rsidRPr="00DA3BC7">
        <w:rPr>
          <w:rFonts w:ascii="Times New Roman" w:hAnsi="Times New Roman" w:hint="eastAsia"/>
          <w:b/>
        </w:rPr>
        <w:t>法性</w:t>
      </w:r>
      <w:r w:rsidRPr="00C309AC">
        <w:rPr>
          <w:rFonts w:ascii="Times New Roman" w:hAnsi="Times New Roman" w:hint="eastAsia"/>
        </w:rPr>
        <w:t>說</w:t>
      </w:r>
      <w:r w:rsidRPr="00DA3BC7">
        <w:rPr>
          <w:rFonts w:ascii="Times New Roman" w:hAnsi="Times New Roman" w:hint="eastAsia"/>
        </w:rPr>
        <w:t>。</w:t>
      </w:r>
    </w:p>
    <w:p w:rsidR="00AA120F" w:rsidRPr="00DA3BC7" w:rsidRDefault="00AA120F" w:rsidP="006D7B07">
      <w:pPr>
        <w:ind w:leftChars="150" w:left="360"/>
        <w:jc w:val="both"/>
        <w:rPr>
          <w:rFonts w:ascii="Times New Roman" w:hAnsi="Times New Roman"/>
        </w:rPr>
      </w:pPr>
      <w:r w:rsidRPr="00DA3BC7">
        <w:rPr>
          <w:rFonts w:ascii="Times New Roman" w:hAnsi="Times New Roman" w:hint="eastAsia"/>
        </w:rPr>
        <w:t>二、約因緣和合相續的</w:t>
      </w:r>
      <w:r w:rsidRPr="00DA3BC7">
        <w:rPr>
          <w:rFonts w:ascii="Times New Roman" w:hAnsi="Times New Roman" w:hint="eastAsia"/>
          <w:b/>
        </w:rPr>
        <w:t>假名</w:t>
      </w:r>
      <w:r w:rsidRPr="00C309AC">
        <w:rPr>
          <w:rFonts w:ascii="Times New Roman" w:hAnsi="Times New Roman" w:hint="eastAsia"/>
        </w:rPr>
        <w:t>說</w:t>
      </w:r>
      <w:r w:rsidRPr="00DA3BC7">
        <w:rPr>
          <w:rFonts w:ascii="Times New Roman" w:hAnsi="Times New Roman" w:hint="eastAsia"/>
        </w:rPr>
        <w:t>。</w:t>
      </w:r>
      <w:r w:rsidR="00E165BC" w:rsidRPr="00E165BC">
        <w:rPr>
          <w:rFonts w:ascii="Times New Roman" w:hAnsi="Times New Roman"/>
          <w:highlight w:val="yellow"/>
          <w:vertAlign w:val="superscript"/>
        </w:rPr>
        <w:footnoteReference w:id="751"/>
      </w:r>
    </w:p>
    <w:p w:rsidR="00AA120F" w:rsidRPr="00DA3BC7" w:rsidRDefault="00AA120F" w:rsidP="00AE3920">
      <w:pPr>
        <w:spacing w:beforeLines="20"/>
        <w:ind w:leftChars="150" w:left="360"/>
        <w:jc w:val="both"/>
        <w:rPr>
          <w:rFonts w:ascii="Times New Roman" w:hAnsi="Times New Roman"/>
        </w:rPr>
      </w:pPr>
      <w:r w:rsidRPr="00DA3BC7">
        <w:rPr>
          <w:rFonts w:ascii="Times New Roman" w:hAnsi="Times New Roman" w:hint="eastAsia"/>
        </w:rPr>
        <w:t>依</w:t>
      </w:r>
      <w:r w:rsidRPr="00DA3BC7">
        <w:rPr>
          <w:rFonts w:ascii="Times New Roman" w:hAnsi="Times New Roman" w:hint="eastAsia"/>
          <w:b/>
        </w:rPr>
        <w:t>中觀</w:t>
      </w:r>
      <w:r w:rsidRPr="00DA3BC7">
        <w:rPr>
          <w:rFonts w:ascii="Times New Roman" w:hAnsi="Times New Roman" w:hint="eastAsia"/>
        </w:rPr>
        <w:t>說：離眾緣和合，無有別存的作者，即別存的作用也沒有；</w:t>
      </w:r>
      <w:r w:rsidRPr="00DA3BC7">
        <w:rPr>
          <w:rFonts w:ascii="Times New Roman" w:hAnsi="Times New Roman" w:hint="eastAsia"/>
          <w:b/>
        </w:rPr>
        <w:t>作者</w:t>
      </w:r>
      <w:r w:rsidRPr="00DA3BC7">
        <w:rPr>
          <w:rFonts w:ascii="Times New Roman" w:hAnsi="Times New Roman" w:hint="eastAsia"/>
        </w:rPr>
        <w:t>與</w:t>
      </w:r>
      <w:r w:rsidRPr="00DA3BC7">
        <w:rPr>
          <w:rFonts w:ascii="Times New Roman" w:hAnsi="Times New Roman" w:hint="eastAsia"/>
          <w:b/>
        </w:rPr>
        <w:t>作用</w:t>
      </w:r>
      <w:r w:rsidRPr="00DA3BC7">
        <w:rPr>
          <w:rFonts w:ascii="Times New Roman" w:hAnsi="Times New Roman" w:hint="eastAsia"/>
        </w:rPr>
        <w:t>，皆不過依緣和合的假有。如《華嚴經》說：「</w:t>
      </w:r>
      <w:r w:rsidRPr="00DA3BC7">
        <w:rPr>
          <w:rFonts w:ascii="標楷體" w:eastAsia="標楷體" w:hAnsi="標楷體" w:hint="eastAsia"/>
        </w:rPr>
        <w:t>諸法無作用，亦無有體性</w:t>
      </w:r>
      <w:r w:rsidRPr="00DA3BC7">
        <w:rPr>
          <w:rFonts w:ascii="Times New Roman" w:hAnsi="Times New Roman" w:hint="eastAsia"/>
        </w:rPr>
        <w:t>。」</w:t>
      </w:r>
      <w:r w:rsidRPr="00DA3BC7">
        <w:rPr>
          <w:rFonts w:ascii="Times New Roman" w:hAnsi="Times New Roman"/>
          <w:vertAlign w:val="superscript"/>
        </w:rPr>
        <w:footnoteReference w:id="752"/>
      </w:r>
      <w:r w:rsidRPr="00DA3BC7">
        <w:rPr>
          <w:rFonts w:ascii="Times New Roman" w:hAnsi="Times New Roman" w:hint="eastAsia"/>
        </w:rPr>
        <w:t>由此，</w:t>
      </w:r>
      <w:r w:rsidRPr="00E165BC">
        <w:rPr>
          <w:rFonts w:ascii="Times New Roman" w:hAnsi="Times New Roman" w:hint="eastAsia"/>
          <w:b/>
        </w:rPr>
        <w:t>體</w:t>
      </w:r>
      <w:r w:rsidRPr="00DA3BC7">
        <w:rPr>
          <w:rFonts w:ascii="Times New Roman" w:hAnsi="Times New Roman" w:hint="eastAsia"/>
        </w:rPr>
        <w:t>──</w:t>
      </w:r>
      <w:r w:rsidRPr="00DA3BC7">
        <w:rPr>
          <w:rFonts w:ascii="Times New Roman" w:hAnsi="Times New Roman" w:hint="eastAsia"/>
          <w:b/>
        </w:rPr>
        <w:t>作者</w:t>
      </w:r>
      <w:r w:rsidRPr="00DA3BC7">
        <w:rPr>
          <w:rFonts w:ascii="Times New Roman" w:hAnsi="Times New Roman" w:hint="eastAsia"/>
        </w:rPr>
        <w:t>與</w:t>
      </w:r>
      <w:r w:rsidRPr="00DA3BC7">
        <w:rPr>
          <w:rFonts w:ascii="Times New Roman" w:hAnsi="Times New Roman" w:hint="eastAsia"/>
          <w:b/>
        </w:rPr>
        <w:t>作用</w:t>
      </w:r>
      <w:r w:rsidRPr="00DA3BC7">
        <w:rPr>
          <w:rFonts w:ascii="Times New Roman" w:hAnsi="Times New Roman" w:hint="eastAsia"/>
        </w:rPr>
        <w:t>，都約緣起假名說。</w:t>
      </w:r>
    </w:p>
    <w:p w:rsidR="00AA120F" w:rsidRPr="00DA3BC7" w:rsidRDefault="00E165BC" w:rsidP="00AE3920">
      <w:pPr>
        <w:spacing w:beforeLines="30"/>
        <w:ind w:leftChars="150" w:left="360"/>
        <w:jc w:val="both"/>
        <w:rPr>
          <w:rFonts w:ascii="Times New Roman" w:hAnsi="Times New Roman"/>
          <w:b/>
          <w:bCs/>
          <w:sz w:val="20"/>
          <w:szCs w:val="26"/>
        </w:rPr>
      </w:pPr>
      <w:r w:rsidRPr="00E165BC">
        <w:rPr>
          <w:rFonts w:ascii="Times New Roman" w:hAnsi="Times New Roman" w:hint="eastAsia"/>
          <w:b/>
          <w:bCs/>
          <w:color w:val="FF0000"/>
          <w:sz w:val="20"/>
          <w:szCs w:val="20"/>
          <w:highlight w:val="yellow"/>
          <w:bdr w:val="single" w:sz="4" w:space="0" w:color="auto"/>
        </w:rPr>
        <w:t>（</w:t>
      </w:r>
      <w:r w:rsidR="00AA120F" w:rsidRPr="00E165BC">
        <w:rPr>
          <w:rFonts w:ascii="Times New Roman" w:hAnsi="Times New Roman" w:hint="eastAsia"/>
          <w:b/>
          <w:color w:val="FF0000"/>
          <w:sz w:val="20"/>
          <w:szCs w:val="20"/>
          <w:highlight w:val="yellow"/>
          <w:bdr w:val="single" w:sz="4" w:space="0" w:color="auto"/>
        </w:rPr>
        <w:t>三</w:t>
      </w:r>
      <w:r w:rsidRPr="00E165BC">
        <w:rPr>
          <w:rFonts w:ascii="Times New Roman" w:hAnsi="Times New Roman" w:hint="eastAsia"/>
          <w:b/>
          <w:bCs/>
          <w:color w:val="FF0000"/>
          <w:sz w:val="20"/>
          <w:szCs w:val="20"/>
          <w:highlight w:val="yellow"/>
          <w:bdr w:val="single" w:sz="4" w:space="0" w:color="auto"/>
        </w:rPr>
        <w:t>）</w:t>
      </w:r>
      <w:r w:rsidR="00AA120F" w:rsidRPr="00E165BC">
        <w:rPr>
          <w:rFonts w:ascii="Times New Roman" w:hAnsi="Times New Roman" w:hint="eastAsia"/>
          <w:b/>
          <w:bCs/>
          <w:sz w:val="20"/>
          <w:szCs w:val="20"/>
          <w:highlight w:val="yellow"/>
          <w:bdr w:val="single" w:sz="4" w:space="0" w:color="auto"/>
        </w:rPr>
        <w:t>作</w:t>
      </w:r>
      <w:r w:rsidR="00AA120F" w:rsidRPr="00DA3BC7">
        <w:rPr>
          <w:rFonts w:ascii="Times New Roman" w:hAnsi="Times New Roman" w:hint="eastAsia"/>
          <w:b/>
          <w:bCs/>
          <w:sz w:val="20"/>
          <w:szCs w:val="20"/>
          <w:bdr w:val="single" w:sz="4" w:space="0" w:color="auto"/>
        </w:rPr>
        <w:t>法（力）</w:t>
      </w:r>
      <w:r w:rsidR="00AA120F" w:rsidRPr="00DA3BC7">
        <w:rPr>
          <w:rFonts w:ascii="Times New Roman" w:hAnsi="Times New Roman" w:hint="eastAsia"/>
          <w:sz w:val="20"/>
          <w:szCs w:val="26"/>
        </w:rPr>
        <w:t>（</w:t>
      </w:r>
      <w:r w:rsidR="00AA120F" w:rsidRPr="00DA3BC7">
        <w:rPr>
          <w:rFonts w:ascii="Times New Roman" w:hAnsi="Times New Roman" w:hint="eastAsia"/>
          <w:sz w:val="20"/>
          <w:szCs w:val="26"/>
        </w:rPr>
        <w:t>p.</w:t>
      </w:r>
      <w:r w:rsidR="00AA120F" w:rsidRPr="00DA3BC7">
        <w:rPr>
          <w:rFonts w:ascii="Times New Roman" w:hAnsi="Times New Roman" w:hint="eastAsia"/>
          <w:bCs/>
          <w:sz w:val="20"/>
          <w:szCs w:val="26"/>
        </w:rPr>
        <w:t>164</w:t>
      </w:r>
      <w:r w:rsidR="00AA120F" w:rsidRPr="00DA3BC7">
        <w:rPr>
          <w:rFonts w:ascii="Times New Roman" w:hAnsi="Times New Roman" w:hint="eastAsia"/>
          <w:sz w:val="20"/>
          <w:szCs w:val="26"/>
        </w:rPr>
        <w:t>）</w:t>
      </w:r>
    </w:p>
    <w:p w:rsidR="00AA120F" w:rsidRPr="00DA3BC7" w:rsidRDefault="00AA120F" w:rsidP="006D7B07">
      <w:pPr>
        <w:ind w:leftChars="150" w:left="360"/>
        <w:jc w:val="both"/>
        <w:rPr>
          <w:rFonts w:ascii="新細明體" w:hAnsi="新細明體"/>
        </w:rPr>
      </w:pPr>
      <w:r w:rsidRPr="00DA3BC7">
        <w:rPr>
          <w:rFonts w:ascii="Times New Roman" w:hAnsi="Times New Roman" w:hint="eastAsia"/>
        </w:rPr>
        <w:t>《中論》三名中的「</w:t>
      </w:r>
      <w:r w:rsidRPr="00E165BC">
        <w:rPr>
          <w:rFonts w:ascii="標楷體" w:eastAsia="標楷體" w:hAnsi="標楷體" w:hint="eastAsia"/>
        </w:rPr>
        <w:t>作法</w:t>
      </w:r>
      <w:r w:rsidRPr="00DA3BC7">
        <w:rPr>
          <w:rFonts w:ascii="Times New Roman" w:hAnsi="Times New Roman" w:hint="eastAsia"/>
        </w:rPr>
        <w:t>」，羅什每置一「</w:t>
      </w:r>
      <w:r w:rsidRPr="00E165BC">
        <w:rPr>
          <w:rFonts w:ascii="標楷體" w:eastAsia="標楷體" w:hAnsi="標楷體" w:hint="eastAsia"/>
        </w:rPr>
        <w:t>所</w:t>
      </w:r>
      <w:r w:rsidRPr="00DA3BC7">
        <w:rPr>
          <w:rFonts w:ascii="Times New Roman" w:hAnsi="Times New Roman" w:hint="eastAsia"/>
        </w:rPr>
        <w:t>」字，如：「</w:t>
      </w:r>
      <w:r w:rsidRPr="00DA3BC7">
        <w:rPr>
          <w:rFonts w:ascii="標楷體" w:eastAsia="標楷體" w:hAnsi="標楷體" w:hint="eastAsia"/>
        </w:rPr>
        <w:t>諸可有所作」</w:t>
      </w:r>
      <w:r w:rsidRPr="00DA3BC7">
        <w:rPr>
          <w:rFonts w:ascii="Times New Roman" w:hAnsi="Times New Roman"/>
          <w:vertAlign w:val="superscript"/>
        </w:rPr>
        <w:footnoteReference w:id="753"/>
      </w:r>
      <w:r w:rsidRPr="00DA3BC7">
        <w:rPr>
          <w:rFonts w:ascii="標楷體" w:eastAsia="標楷體" w:hAnsi="標楷體" w:hint="eastAsia"/>
        </w:rPr>
        <w:t>、</w:t>
      </w:r>
      <w:r w:rsidRPr="00DA3BC7">
        <w:rPr>
          <w:rFonts w:ascii="標楷體" w:eastAsia="標楷體" w:hAnsi="標楷體" w:hint="eastAsia"/>
        </w:rPr>
        <w:lastRenderedPageBreak/>
        <w:t>「無所用作法」</w:t>
      </w:r>
      <w:r w:rsidRPr="00DA3BC7">
        <w:rPr>
          <w:rFonts w:ascii="Times New Roman" w:hAnsi="Times New Roman"/>
          <w:vertAlign w:val="superscript"/>
        </w:rPr>
        <w:footnoteReference w:id="754"/>
      </w:r>
      <w:r w:rsidRPr="00DA3BC7">
        <w:rPr>
          <w:rFonts w:ascii="Times New Roman" w:hAnsi="Times New Roman" w:hint="eastAsia"/>
        </w:rPr>
        <w:t>，原語為</w:t>
      </w:r>
      <w:r w:rsidRPr="00DA3BC7">
        <w:rPr>
          <w:rFonts w:ascii="Times New Roman" w:hAnsi="Times New Roman"/>
        </w:rPr>
        <w:t>kriyā</w:t>
      </w:r>
      <w:r w:rsidRPr="00DA3BC7">
        <w:rPr>
          <w:rFonts w:ascii="Times New Roman" w:hAnsi="Times New Roman" w:hint="eastAsia"/>
        </w:rPr>
        <w:t>，</w:t>
      </w:r>
      <w:r w:rsidRPr="00DA3BC7">
        <w:rPr>
          <w:rFonts w:ascii="新細明體" w:hAnsi="新細明體" w:hint="eastAsia"/>
        </w:rPr>
        <w:t>指所有的</w:t>
      </w:r>
      <w:r w:rsidRPr="00C309AC">
        <w:rPr>
          <w:rFonts w:ascii="新細明體" w:hAnsi="新細明體" w:hint="eastAsia"/>
          <w:b/>
          <w:u w:val="wave" w:color="C00000"/>
        </w:rPr>
        <w:t>作用</w:t>
      </w:r>
      <w:r w:rsidRPr="00DA3BC7">
        <w:rPr>
          <w:rFonts w:ascii="新細明體" w:hAnsi="新細明體" w:hint="eastAsia"/>
        </w:rPr>
        <w:t>或</w:t>
      </w:r>
      <w:r w:rsidRPr="00C309AC">
        <w:rPr>
          <w:rFonts w:ascii="新細明體" w:hAnsi="新細明體" w:hint="eastAsia"/>
          <w:b/>
          <w:u w:val="wave" w:color="C00000"/>
        </w:rPr>
        <w:t>力用</w:t>
      </w:r>
      <w:r w:rsidRPr="00DA3BC7">
        <w:rPr>
          <w:rFonts w:ascii="新細明體" w:hAnsi="新細明體" w:hint="eastAsia"/>
        </w:rPr>
        <w:t>言。</w:t>
      </w:r>
      <w:r w:rsidRPr="00C309AC">
        <w:rPr>
          <w:rFonts w:ascii="新細明體" w:hAnsi="新細明體" w:hint="eastAsia"/>
          <w:b/>
          <w:u w:val="wave" w:color="C00000"/>
        </w:rPr>
        <w:t>作</w:t>
      </w:r>
      <w:r w:rsidRPr="00DA3BC7">
        <w:rPr>
          <w:rFonts w:ascii="新細明體" w:hAnsi="新細明體" w:hint="eastAsia"/>
        </w:rPr>
        <w:t>即運動，所以或譯為</w:t>
      </w:r>
      <w:r w:rsidRPr="00C309AC">
        <w:rPr>
          <w:rFonts w:ascii="新細明體" w:hAnsi="新細明體" w:hint="eastAsia"/>
          <w:b/>
          <w:u w:val="wave" w:color="C00000"/>
        </w:rPr>
        <w:t>力</w:t>
      </w:r>
      <w:r w:rsidRPr="00DA3BC7">
        <w:rPr>
          <w:rFonts w:ascii="新細明體" w:hAnsi="新細明體" w:hint="eastAsia"/>
        </w:rPr>
        <w:t>、</w:t>
      </w:r>
      <w:r w:rsidRPr="00C309AC">
        <w:rPr>
          <w:rFonts w:ascii="新細明體" w:hAnsi="新細明體" w:hint="eastAsia"/>
          <w:b/>
          <w:u w:val="wave" w:color="C00000"/>
        </w:rPr>
        <w:t>用</w:t>
      </w:r>
      <w:r w:rsidRPr="00DA3BC7">
        <w:rPr>
          <w:rFonts w:ascii="新細明體" w:hAnsi="新細明體" w:hint="eastAsia"/>
        </w:rPr>
        <w:t>、</w:t>
      </w:r>
      <w:r w:rsidRPr="00C309AC">
        <w:rPr>
          <w:rFonts w:ascii="新細明體" w:hAnsi="新細明體" w:hint="eastAsia"/>
          <w:b/>
          <w:u w:val="wave" w:color="C00000"/>
        </w:rPr>
        <w:t>作用</w:t>
      </w:r>
      <w:r w:rsidRPr="00DA3BC7">
        <w:rPr>
          <w:rFonts w:ascii="新細明體" w:hAnsi="新細明體" w:hint="eastAsia"/>
        </w:rPr>
        <w:t>等。</w:t>
      </w:r>
    </w:p>
    <w:p w:rsidR="00AA120F" w:rsidRPr="00DA3BC7" w:rsidRDefault="00AA120F" w:rsidP="00AE3920">
      <w:pPr>
        <w:spacing w:beforeLines="30"/>
        <w:ind w:leftChars="50" w:left="120"/>
        <w:jc w:val="both"/>
        <w:rPr>
          <w:rFonts w:ascii="Times New Roman" w:hAnsi="Times New Roman"/>
        </w:rPr>
      </w:pPr>
      <w:r w:rsidRPr="00DA3BC7">
        <w:rPr>
          <w:rFonts w:ascii="Times New Roman" w:hAnsi="Times New Roman" w:hint="eastAsia"/>
          <w:b/>
          <w:bCs/>
          <w:sz w:val="20"/>
          <w:szCs w:val="20"/>
          <w:bdr w:val="single" w:sz="4" w:space="0" w:color="auto"/>
        </w:rPr>
        <w:t>（</w:t>
      </w:r>
      <w:r w:rsidR="00FC5046" w:rsidRPr="00DA3BC7">
        <w:rPr>
          <w:rFonts w:ascii="Times New Roman" w:hAnsi="Times New Roman" w:hint="eastAsia"/>
          <w:b/>
          <w:bCs/>
          <w:sz w:val="20"/>
          <w:szCs w:val="20"/>
          <w:bdr w:val="single" w:sz="4" w:space="0" w:color="auto"/>
        </w:rPr>
        <w:t>參</w:t>
      </w:r>
      <w:r w:rsidRPr="00DA3BC7">
        <w:rPr>
          <w:rFonts w:ascii="Times New Roman" w:hAnsi="Times New Roman" w:hint="eastAsia"/>
          <w:b/>
          <w:bCs/>
          <w:sz w:val="20"/>
          <w:szCs w:val="20"/>
          <w:bdr w:val="single" w:sz="4" w:space="0" w:color="auto"/>
        </w:rPr>
        <w:t>）「作者、作（業）、作法」與「體、作、用」之關係</w:t>
      </w:r>
      <w:r w:rsidRPr="00DA3BC7">
        <w:rPr>
          <w:rFonts w:ascii="Times New Roman" w:hAnsi="Times New Roman" w:hint="eastAsia"/>
          <w:sz w:val="20"/>
          <w:szCs w:val="26"/>
        </w:rPr>
        <w:t>（</w:t>
      </w:r>
      <w:r w:rsidRPr="00DA3BC7">
        <w:rPr>
          <w:rFonts w:ascii="Times New Roman" w:hAnsi="Times New Roman" w:hint="eastAsia"/>
          <w:sz w:val="20"/>
          <w:szCs w:val="26"/>
        </w:rPr>
        <w:t>p.</w:t>
      </w:r>
      <w:r w:rsidRPr="00DA3BC7">
        <w:rPr>
          <w:rFonts w:ascii="Times New Roman" w:hAnsi="Times New Roman" w:hint="eastAsia"/>
          <w:bCs/>
          <w:sz w:val="20"/>
          <w:szCs w:val="26"/>
        </w:rPr>
        <w:t>164</w:t>
      </w:r>
      <w:r w:rsidRPr="00DA3BC7">
        <w:rPr>
          <w:rFonts w:ascii="Times New Roman" w:hAnsi="Times New Roman" w:hint="eastAsia"/>
          <w:sz w:val="20"/>
          <w:szCs w:val="26"/>
        </w:rPr>
        <w:t>）</w:t>
      </w:r>
    </w:p>
    <w:p w:rsidR="00AA120F" w:rsidRPr="00DA3BC7" w:rsidRDefault="00AA120F" w:rsidP="006D7B07">
      <w:pPr>
        <w:ind w:leftChars="60" w:left="144"/>
        <w:jc w:val="both"/>
        <w:rPr>
          <w:rFonts w:ascii="新細明體" w:hAnsi="新細明體"/>
        </w:rPr>
      </w:pPr>
      <w:r w:rsidRPr="00DA3BC7">
        <w:rPr>
          <w:rFonts w:ascii="新細明體" w:hAnsi="新細明體" w:hint="eastAsia"/>
        </w:rPr>
        <w:t>這樣，今以論的</w:t>
      </w:r>
      <w:r w:rsidRPr="00C309AC">
        <w:rPr>
          <w:rFonts w:ascii="新細明體" w:hAnsi="新細明體" w:hint="eastAsia"/>
          <w:b/>
          <w:u w:val="wave" w:color="C00000"/>
        </w:rPr>
        <w:t>作</w:t>
      </w:r>
      <w:r w:rsidRPr="00DA3BC7">
        <w:rPr>
          <w:rFonts w:ascii="新細明體" w:hAnsi="新細明體" w:hint="eastAsia"/>
        </w:rPr>
        <w:t>（業）、</w:t>
      </w:r>
      <w:r w:rsidRPr="00C309AC">
        <w:rPr>
          <w:rFonts w:ascii="新細明體" w:hAnsi="新細明體" w:hint="eastAsia"/>
          <w:b/>
          <w:u w:val="wave" w:color="C00000"/>
        </w:rPr>
        <w:t>作者</w:t>
      </w:r>
      <w:r w:rsidR="00E165BC">
        <w:rPr>
          <w:rFonts w:ascii="新細明體" w:hAnsi="新細明體" w:hint="eastAsia"/>
        </w:rPr>
        <w:t>、</w:t>
      </w:r>
      <w:r w:rsidRPr="00C309AC">
        <w:rPr>
          <w:rFonts w:ascii="新細明體" w:hAnsi="新細明體" w:hint="eastAsia"/>
          <w:b/>
          <w:u w:val="wave" w:color="C00000"/>
        </w:rPr>
        <w:t>作法</w:t>
      </w:r>
      <w:r w:rsidRPr="00DA3BC7">
        <w:rPr>
          <w:rFonts w:ascii="新細明體" w:hAnsi="新細明體" w:hint="eastAsia"/>
        </w:rPr>
        <w:t>，配合於</w:t>
      </w:r>
      <w:r w:rsidRPr="00C309AC">
        <w:rPr>
          <w:rFonts w:ascii="新細明體" w:hAnsi="新細明體" w:hint="eastAsia"/>
          <w:b/>
          <w:u w:val="wave" w:color="C00000"/>
        </w:rPr>
        <w:t>體</w:t>
      </w:r>
      <w:r w:rsidRPr="00DA3BC7">
        <w:rPr>
          <w:rFonts w:ascii="新細明體" w:hAnsi="新細明體" w:hint="eastAsia"/>
        </w:rPr>
        <w:t>、</w:t>
      </w:r>
      <w:r w:rsidRPr="00C309AC">
        <w:rPr>
          <w:rFonts w:ascii="新細明體" w:hAnsi="新細明體" w:hint="eastAsia"/>
          <w:b/>
          <w:u w:val="wave" w:color="C00000"/>
        </w:rPr>
        <w:t>作</w:t>
      </w:r>
      <w:r w:rsidRPr="00DA3BC7">
        <w:rPr>
          <w:rFonts w:ascii="新細明體" w:hAnsi="新細明體" w:hint="eastAsia"/>
        </w:rPr>
        <w:t>、</w:t>
      </w:r>
      <w:r w:rsidRPr="00C309AC">
        <w:rPr>
          <w:rFonts w:ascii="新細明體" w:hAnsi="新細明體" w:hint="eastAsia"/>
          <w:b/>
          <w:u w:val="wave" w:color="C00000"/>
        </w:rPr>
        <w:t>用</w:t>
      </w:r>
      <w:r w:rsidRPr="00DA3BC7">
        <w:rPr>
          <w:rFonts w:ascii="新細明體" w:hAnsi="新細明體" w:hint="eastAsia"/>
        </w:rPr>
        <w:t>三者，即是：</w:t>
      </w:r>
    </w:p>
    <w:p w:rsidR="00AA120F" w:rsidRPr="00DA3BC7" w:rsidRDefault="00AA120F" w:rsidP="006D7B07">
      <w:pPr>
        <w:ind w:leftChars="150" w:left="360"/>
        <w:jc w:val="both"/>
        <w:rPr>
          <w:rFonts w:ascii="Times New Roman" w:hAnsi="Times New Roman"/>
        </w:rPr>
      </w:pPr>
      <w:r w:rsidRPr="00C309AC">
        <w:rPr>
          <w:rFonts w:ascii="新細明體" w:hAnsi="新細明體" w:hint="eastAsia"/>
          <w:b/>
          <w:u w:val="wave" w:color="C00000"/>
        </w:rPr>
        <w:t>體</w:t>
      </w:r>
      <w:r w:rsidRPr="00DA3BC7">
        <w:rPr>
          <w:rFonts w:ascii="Times New Roman" w:hAnsi="Times New Roman" w:hint="eastAsia"/>
        </w:rPr>
        <w:t>即</w:t>
      </w:r>
      <w:r w:rsidRPr="00C309AC">
        <w:rPr>
          <w:rFonts w:ascii="新細明體" w:hAnsi="新細明體" w:hint="eastAsia"/>
          <w:b/>
          <w:u w:val="wave" w:color="C00000"/>
        </w:rPr>
        <w:t>作者</w:t>
      </w:r>
      <w:r w:rsidRPr="00DA3BC7">
        <w:rPr>
          <w:rFonts w:ascii="Times New Roman" w:hAnsi="Times New Roman" w:hint="eastAsia"/>
        </w:rPr>
        <w:t>，</w:t>
      </w:r>
    </w:p>
    <w:p w:rsidR="00AA120F" w:rsidRPr="00DA3BC7" w:rsidRDefault="00AA120F" w:rsidP="006D7B07">
      <w:pPr>
        <w:ind w:leftChars="150" w:left="360"/>
        <w:jc w:val="both"/>
        <w:rPr>
          <w:rFonts w:ascii="Times New Roman" w:hAnsi="Times New Roman"/>
        </w:rPr>
      </w:pPr>
      <w:r w:rsidRPr="00C309AC">
        <w:rPr>
          <w:rFonts w:ascii="新細明體" w:hAnsi="新細明體" w:hint="eastAsia"/>
          <w:b/>
          <w:u w:val="wave" w:color="C00000"/>
        </w:rPr>
        <w:t>作</w:t>
      </w:r>
      <w:r w:rsidRPr="00DA3BC7">
        <w:rPr>
          <w:rFonts w:ascii="Times New Roman" w:hAnsi="Times New Roman" w:hint="eastAsia"/>
        </w:rPr>
        <w:t>即是（</w:t>
      </w:r>
      <w:r w:rsidRPr="00C309AC">
        <w:rPr>
          <w:rFonts w:ascii="新細明體" w:hAnsi="新細明體" w:hint="eastAsia"/>
          <w:b/>
          <w:u w:val="wave" w:color="C00000"/>
        </w:rPr>
        <w:t>作</w:t>
      </w:r>
      <w:r w:rsidRPr="00DA3BC7">
        <w:rPr>
          <w:rFonts w:ascii="Times New Roman" w:hAnsi="Times New Roman" w:hint="eastAsia"/>
        </w:rPr>
        <w:t>）</w:t>
      </w:r>
      <w:r w:rsidRPr="00C309AC">
        <w:rPr>
          <w:rFonts w:ascii="新細明體" w:hAnsi="新細明體" w:hint="eastAsia"/>
          <w:b/>
          <w:u w:val="wave" w:color="C00000"/>
        </w:rPr>
        <w:t>業</w:t>
      </w:r>
      <w:r w:rsidR="00E165BC" w:rsidRPr="00E165BC">
        <w:rPr>
          <w:rStyle w:val="a6"/>
          <w:rFonts w:ascii="Times New Roman" w:hAnsi="Times New Roman"/>
          <w:color w:val="FF0000"/>
          <w:highlight w:val="yellow"/>
        </w:rPr>
        <w:footnoteReference w:id="755"/>
      </w:r>
      <w:r w:rsidRPr="00DA3BC7">
        <w:rPr>
          <w:rFonts w:ascii="Times New Roman" w:hAnsi="Times New Roman" w:hint="eastAsia"/>
        </w:rPr>
        <w:t>，</w:t>
      </w:r>
    </w:p>
    <w:p w:rsidR="00AA120F" w:rsidRPr="00DA3BC7" w:rsidRDefault="00AA120F" w:rsidP="006D7B07">
      <w:pPr>
        <w:ind w:leftChars="150" w:left="360"/>
        <w:jc w:val="both"/>
        <w:rPr>
          <w:rFonts w:ascii="Times New Roman" w:hAnsi="Times New Roman"/>
        </w:rPr>
      </w:pPr>
      <w:r w:rsidRPr="00C309AC">
        <w:rPr>
          <w:rFonts w:ascii="新細明體" w:hAnsi="新細明體" w:hint="eastAsia"/>
          <w:b/>
          <w:u w:val="wave" w:color="C00000"/>
        </w:rPr>
        <w:t>力</w:t>
      </w:r>
      <w:r w:rsidR="00E165BC" w:rsidRPr="00E165BC">
        <w:rPr>
          <w:rStyle w:val="a6"/>
          <w:rFonts w:ascii="Times New Roman" w:hAnsi="Times New Roman"/>
          <w:color w:val="FF0000"/>
          <w:highlight w:val="yellow"/>
        </w:rPr>
        <w:footnoteReference w:id="756"/>
      </w:r>
      <w:r w:rsidRPr="00DA3BC7">
        <w:rPr>
          <w:rFonts w:ascii="Times New Roman" w:hAnsi="Times New Roman" w:hint="eastAsia"/>
        </w:rPr>
        <w:t>即</w:t>
      </w:r>
      <w:r w:rsidRPr="00C309AC">
        <w:rPr>
          <w:rFonts w:ascii="新細明體" w:hAnsi="新細明體" w:hint="eastAsia"/>
          <w:b/>
          <w:u w:val="wave" w:color="C00000"/>
        </w:rPr>
        <w:t>作用</w:t>
      </w:r>
      <w:r w:rsidRPr="00DA3BC7">
        <w:rPr>
          <w:rStyle w:val="a6"/>
          <w:rFonts w:ascii="Times New Roman" w:hAnsi="Times New Roman"/>
        </w:rPr>
        <w:footnoteReference w:id="757"/>
      </w:r>
      <w:r w:rsidRPr="00DA3BC7">
        <w:rPr>
          <w:rFonts w:ascii="Times New Roman" w:hAnsi="Times New Roman" w:hint="eastAsia"/>
        </w:rPr>
        <w:t>，</w:t>
      </w:r>
    </w:p>
    <w:p w:rsidR="00AA120F" w:rsidRPr="00DA3BC7" w:rsidRDefault="00AA120F" w:rsidP="00AE3920">
      <w:pPr>
        <w:spacing w:beforeLines="20"/>
        <w:ind w:left="50"/>
        <w:jc w:val="both"/>
        <w:rPr>
          <w:rFonts w:ascii="Times New Roman" w:hAnsi="Times New Roman"/>
        </w:rPr>
      </w:pPr>
      <w:r w:rsidRPr="00DA3BC7">
        <w:rPr>
          <w:rFonts w:ascii="Times New Roman" w:hAnsi="Times New Roman" w:hint="eastAsia"/>
        </w:rPr>
        <w:t>如將</w:t>
      </w:r>
      <w:r w:rsidRPr="00C309AC">
        <w:rPr>
          <w:rFonts w:ascii="新細明體" w:hAnsi="新細明體" w:hint="eastAsia"/>
          <w:b/>
          <w:u w:val="wave" w:color="C00000"/>
        </w:rPr>
        <w:t>作</w:t>
      </w:r>
      <w:r w:rsidRPr="00DA3BC7">
        <w:rPr>
          <w:rFonts w:ascii="Times New Roman" w:hAnsi="Times New Roman" w:hint="eastAsia"/>
        </w:rPr>
        <w:t>與</w:t>
      </w:r>
      <w:r w:rsidRPr="00C309AC">
        <w:rPr>
          <w:rFonts w:ascii="新細明體" w:hAnsi="新細明體" w:hint="eastAsia"/>
          <w:b/>
          <w:u w:val="wave" w:color="C00000"/>
        </w:rPr>
        <w:t>作法</w:t>
      </w:r>
      <w:r w:rsidRPr="00DA3BC7">
        <w:rPr>
          <w:rFonts w:ascii="Times New Roman" w:hAnsi="Times New Roman" w:hint="eastAsia"/>
        </w:rPr>
        <w:t>合名為「</w:t>
      </w:r>
      <w:r w:rsidRPr="00C309AC">
        <w:rPr>
          <w:rFonts w:ascii="新細明體" w:hAnsi="新細明體" w:hint="eastAsia"/>
          <w:b/>
          <w:u w:val="wave" w:color="C00000"/>
        </w:rPr>
        <w:t>用</w:t>
      </w:r>
      <w:r w:rsidRPr="00DA3BC7">
        <w:rPr>
          <w:rFonts w:ascii="Times New Roman" w:hAnsi="Times New Roman" w:hint="eastAsia"/>
        </w:rPr>
        <w:t>」，即成為</w:t>
      </w:r>
      <w:r w:rsidRPr="00C309AC">
        <w:rPr>
          <w:rFonts w:ascii="新細明體" w:hAnsi="新細明體" w:hint="eastAsia"/>
          <w:b/>
          <w:u w:val="wave" w:color="C00000"/>
        </w:rPr>
        <w:t>體</w:t>
      </w:r>
      <w:r w:rsidRPr="00DA3BC7">
        <w:rPr>
          <w:rFonts w:ascii="Times New Roman" w:hAnsi="Times New Roman" w:hint="eastAsia"/>
        </w:rPr>
        <w:t>與</w:t>
      </w:r>
      <w:r w:rsidRPr="00C309AC">
        <w:rPr>
          <w:rFonts w:ascii="新細明體" w:hAnsi="新細明體" w:hint="eastAsia"/>
          <w:b/>
          <w:u w:val="wave" w:color="C00000"/>
        </w:rPr>
        <w:t>用</w:t>
      </w:r>
      <w:r w:rsidRPr="00DA3BC7">
        <w:rPr>
          <w:rFonts w:ascii="Times New Roman" w:hAnsi="Times New Roman" w:hint="eastAsia"/>
        </w:rPr>
        <w:t>。</w:t>
      </w:r>
    </w:p>
    <w:p w:rsidR="00AA120F" w:rsidRPr="00DA3BC7" w:rsidRDefault="00F5721E" w:rsidP="00AE3920">
      <w:pPr>
        <w:spacing w:beforeLines="30"/>
        <w:jc w:val="both"/>
        <w:rPr>
          <w:rFonts w:ascii="Times New Roman" w:hAnsi="Times New Roman"/>
          <w:b/>
          <w:bCs/>
          <w:sz w:val="20"/>
          <w:szCs w:val="26"/>
          <w:bdr w:val="single" w:sz="4" w:space="0" w:color="auto"/>
        </w:rPr>
      </w:pPr>
      <w:r>
        <w:rPr>
          <w:rFonts w:ascii="Times New Roman" w:hAnsi="Times New Roman" w:hint="eastAsia"/>
          <w:b/>
          <w:color w:val="FF0000"/>
          <w:sz w:val="20"/>
          <w:szCs w:val="26"/>
          <w:highlight w:val="yellow"/>
          <w:bdr w:val="single" w:sz="4" w:space="0" w:color="auto"/>
        </w:rPr>
        <w:t>貳</w:t>
      </w:r>
      <w:r w:rsidR="00AA120F" w:rsidRPr="00DA3BC7">
        <w:rPr>
          <w:rFonts w:ascii="Times New Roman" w:hAnsi="Times New Roman" w:hint="eastAsia"/>
          <w:b/>
          <w:sz w:val="20"/>
          <w:szCs w:val="26"/>
          <w:bdr w:val="single" w:sz="4" w:space="0" w:color="auto"/>
        </w:rPr>
        <w:t>、</w:t>
      </w:r>
      <w:r w:rsidRPr="00F5721E">
        <w:rPr>
          <w:rFonts w:ascii="Times New Roman" w:hAnsi="Times New Roman" w:hint="eastAsia"/>
          <w:b/>
          <w:color w:val="FF0000"/>
          <w:sz w:val="20"/>
          <w:szCs w:val="26"/>
          <w:highlight w:val="yellow"/>
          <w:bdr w:val="single" w:sz="4" w:space="0" w:color="auto"/>
        </w:rPr>
        <w:t>辨差別──</w:t>
      </w:r>
      <w:r w:rsidR="00AA120F" w:rsidRPr="00DA3BC7">
        <w:rPr>
          <w:rFonts w:ascii="Times New Roman" w:hAnsi="Times New Roman" w:hint="eastAsia"/>
          <w:b/>
          <w:bCs/>
          <w:sz w:val="20"/>
          <w:szCs w:val="26"/>
          <w:bdr w:val="single" w:sz="4" w:space="0" w:color="auto"/>
        </w:rPr>
        <w:t>「體、用」與「性、相」</w:t>
      </w:r>
      <w:r w:rsidR="00AA120F" w:rsidRPr="00DA3BC7">
        <w:rPr>
          <w:rFonts w:ascii="Times New Roman" w:hAnsi="Times New Roman" w:hint="eastAsia"/>
          <w:bCs/>
          <w:sz w:val="20"/>
          <w:szCs w:val="26"/>
        </w:rPr>
        <w:t>（</w:t>
      </w:r>
      <w:r w:rsidR="00AA120F" w:rsidRPr="00DA3BC7">
        <w:rPr>
          <w:rFonts w:ascii="Times New Roman" w:hAnsi="Times New Roman" w:hint="eastAsia"/>
          <w:bCs/>
          <w:sz w:val="20"/>
          <w:szCs w:val="26"/>
        </w:rPr>
        <w:t>p.164</w:t>
      </w:r>
      <w:r w:rsidR="00AA120F" w:rsidRPr="00DA3BC7">
        <w:rPr>
          <w:rFonts w:ascii="Times New Roman" w:hAnsi="Times New Roman" w:hint="eastAsia"/>
          <w:bCs/>
          <w:sz w:val="20"/>
          <w:szCs w:val="26"/>
        </w:rPr>
        <w:t>）</w:t>
      </w:r>
    </w:p>
    <w:p w:rsidR="00AA120F" w:rsidRDefault="00AA120F" w:rsidP="008E2BBC">
      <w:pPr>
        <w:ind w:leftChars="50" w:left="120"/>
        <w:jc w:val="both"/>
        <w:rPr>
          <w:rFonts w:ascii="Times New Roman" w:hAnsi="Times New Roman"/>
          <w:sz w:val="20"/>
          <w:szCs w:val="26"/>
        </w:rPr>
      </w:pPr>
      <w:r w:rsidRPr="00DA3BC7">
        <w:rPr>
          <w:rFonts w:ascii="Times New Roman" w:hAnsi="Times New Roman"/>
          <w:b/>
          <w:sz w:val="20"/>
          <w:szCs w:val="20"/>
          <w:bdr w:val="single" w:sz="4" w:space="0" w:color="auto"/>
        </w:rPr>
        <w:t>（壹）</w:t>
      </w:r>
      <w:r w:rsidR="00F5721E" w:rsidRPr="00F5721E">
        <w:rPr>
          <w:rFonts w:ascii="Times New Roman" w:hAnsi="Times New Roman" w:hint="eastAsia"/>
          <w:b/>
          <w:color w:val="FF0000"/>
          <w:sz w:val="20"/>
          <w:szCs w:val="20"/>
          <w:highlight w:val="yellow"/>
          <w:bdr w:val="single" w:sz="4" w:space="0" w:color="auto"/>
        </w:rPr>
        <w:t>約</w:t>
      </w:r>
      <w:r w:rsidR="00F5721E" w:rsidRPr="00F5721E">
        <w:rPr>
          <w:rFonts w:ascii="Times New Roman" w:hAnsi="Times New Roman" w:hint="eastAsia"/>
          <w:b/>
          <w:bCs/>
          <w:color w:val="FF0000"/>
          <w:sz w:val="20"/>
          <w:szCs w:val="26"/>
          <w:highlight w:val="yellow"/>
          <w:bdr w:val="single" w:sz="4" w:space="0" w:color="auto"/>
        </w:rPr>
        <w:t>「體、用」說</w:t>
      </w:r>
      <w:r w:rsidRPr="00DA3BC7">
        <w:rPr>
          <w:rFonts w:ascii="Times New Roman" w:hAnsi="Times New Roman" w:hint="eastAsia"/>
          <w:sz w:val="20"/>
          <w:szCs w:val="26"/>
        </w:rPr>
        <w:t>（</w:t>
      </w:r>
      <w:r w:rsidRPr="00DA3BC7">
        <w:rPr>
          <w:rFonts w:ascii="Times New Roman" w:hAnsi="Times New Roman" w:hint="eastAsia"/>
          <w:sz w:val="20"/>
          <w:szCs w:val="26"/>
        </w:rPr>
        <w:t>p.</w:t>
      </w:r>
      <w:r w:rsidRPr="00DA3BC7">
        <w:rPr>
          <w:rFonts w:ascii="Times New Roman" w:hAnsi="Times New Roman" w:hint="eastAsia"/>
          <w:bCs/>
          <w:sz w:val="20"/>
          <w:szCs w:val="26"/>
        </w:rPr>
        <w:t>164</w:t>
      </w:r>
      <w:r w:rsidRPr="00DA3BC7">
        <w:rPr>
          <w:rFonts w:ascii="Times New Roman" w:hAnsi="Times New Roman" w:hint="eastAsia"/>
          <w:sz w:val="20"/>
          <w:szCs w:val="26"/>
        </w:rPr>
        <w:t>）</w:t>
      </w:r>
    </w:p>
    <w:p w:rsidR="00F5721E" w:rsidRDefault="00F5721E" w:rsidP="006D7B07">
      <w:pPr>
        <w:ind w:leftChars="100" w:left="240"/>
        <w:jc w:val="both"/>
        <w:rPr>
          <w:rFonts w:ascii="Times New Roman" w:hAnsi="Times New Roman"/>
          <w:sz w:val="20"/>
          <w:szCs w:val="26"/>
        </w:rPr>
      </w:pPr>
      <w:r w:rsidRPr="00F5721E">
        <w:rPr>
          <w:rFonts w:ascii="Times New Roman" w:hAnsi="Times New Roman" w:hint="eastAsia"/>
          <w:b/>
          <w:color w:val="FF0000"/>
          <w:sz w:val="20"/>
          <w:szCs w:val="20"/>
          <w:highlight w:val="yellow"/>
          <w:bdr w:val="single" w:sz="4" w:space="0" w:color="auto"/>
        </w:rPr>
        <w:t>一、辨「相、用」的差別</w:t>
      </w:r>
      <w:r w:rsidRPr="00DA3BC7">
        <w:rPr>
          <w:rFonts w:ascii="Times New Roman" w:hAnsi="Times New Roman" w:hint="eastAsia"/>
          <w:sz w:val="20"/>
          <w:szCs w:val="26"/>
        </w:rPr>
        <w:t>（</w:t>
      </w:r>
      <w:r w:rsidRPr="00DA3BC7">
        <w:rPr>
          <w:rFonts w:ascii="Times New Roman" w:hAnsi="Times New Roman" w:hint="eastAsia"/>
          <w:sz w:val="20"/>
          <w:szCs w:val="26"/>
        </w:rPr>
        <w:t>p.</w:t>
      </w:r>
      <w:r w:rsidRPr="00DA3BC7">
        <w:rPr>
          <w:rFonts w:ascii="Times New Roman" w:hAnsi="Times New Roman" w:hint="eastAsia"/>
          <w:bCs/>
          <w:sz w:val="20"/>
          <w:szCs w:val="26"/>
        </w:rPr>
        <w:t>164</w:t>
      </w:r>
      <w:r w:rsidRPr="00DA3BC7">
        <w:rPr>
          <w:rFonts w:ascii="Times New Roman" w:hAnsi="Times New Roman" w:hint="eastAsia"/>
          <w:sz w:val="20"/>
          <w:szCs w:val="26"/>
        </w:rPr>
        <w:t>）</w:t>
      </w:r>
    </w:p>
    <w:p w:rsidR="00F5721E" w:rsidRPr="00F5721E" w:rsidRDefault="00F5721E" w:rsidP="006D7B07">
      <w:pPr>
        <w:ind w:leftChars="150" w:left="360"/>
        <w:jc w:val="both"/>
        <w:rPr>
          <w:rFonts w:ascii="Times New Roman" w:hAnsi="Times New Roman"/>
          <w:b/>
          <w:color w:val="FF0000"/>
          <w:sz w:val="20"/>
          <w:szCs w:val="20"/>
          <w:highlight w:val="yellow"/>
          <w:bdr w:val="single" w:sz="4" w:space="0" w:color="auto"/>
        </w:rPr>
      </w:pPr>
      <w:r w:rsidRPr="00F5721E">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一</w:t>
      </w:r>
      <w:r w:rsidRPr="00F5721E">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總標</w:t>
      </w:r>
      <w:r w:rsidRPr="00DA3BC7">
        <w:rPr>
          <w:rFonts w:ascii="Times New Roman" w:hAnsi="Times New Roman" w:hint="eastAsia"/>
          <w:sz w:val="20"/>
          <w:szCs w:val="26"/>
        </w:rPr>
        <w:t>（</w:t>
      </w:r>
      <w:r w:rsidRPr="00DA3BC7">
        <w:rPr>
          <w:rFonts w:ascii="Times New Roman" w:hAnsi="Times New Roman" w:hint="eastAsia"/>
          <w:sz w:val="20"/>
          <w:szCs w:val="26"/>
        </w:rPr>
        <w:t>p.</w:t>
      </w:r>
      <w:r w:rsidRPr="00DA3BC7">
        <w:rPr>
          <w:rFonts w:ascii="Times New Roman" w:hAnsi="Times New Roman" w:hint="eastAsia"/>
          <w:bCs/>
          <w:sz w:val="20"/>
          <w:szCs w:val="26"/>
        </w:rPr>
        <w:t>164</w:t>
      </w:r>
      <w:r w:rsidRPr="00DA3BC7">
        <w:rPr>
          <w:rFonts w:ascii="Times New Roman" w:hAnsi="Times New Roman" w:hint="eastAsia"/>
          <w:sz w:val="20"/>
          <w:szCs w:val="26"/>
        </w:rPr>
        <w:t>）</w:t>
      </w:r>
    </w:p>
    <w:p w:rsidR="00AA120F" w:rsidRPr="00DA3BC7" w:rsidRDefault="00AA120F" w:rsidP="006D7B07">
      <w:pPr>
        <w:ind w:leftChars="150" w:left="360"/>
        <w:jc w:val="both"/>
        <w:rPr>
          <w:rFonts w:ascii="Times New Roman" w:hAnsi="Times New Roman"/>
        </w:rPr>
      </w:pPr>
      <w:r w:rsidRPr="00DA3BC7">
        <w:rPr>
          <w:rFonts w:hint="eastAsia"/>
        </w:rPr>
        <w:t>體用與性相不同：</w:t>
      </w:r>
    </w:p>
    <w:p w:rsidR="00F5721E" w:rsidRDefault="00F5721E" w:rsidP="00AE3920">
      <w:pPr>
        <w:spacing w:beforeLines="30"/>
        <w:ind w:leftChars="150" w:left="360"/>
        <w:jc w:val="both"/>
        <w:rPr>
          <w:rFonts w:ascii="Times New Roman" w:hAnsi="Times New Roman"/>
          <w:b/>
          <w:color w:val="FF0000"/>
          <w:sz w:val="20"/>
          <w:szCs w:val="26"/>
          <w:bdr w:val="single" w:sz="4" w:space="0" w:color="auto"/>
        </w:rPr>
      </w:pPr>
      <w:r w:rsidRPr="00F5721E">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二</w:t>
      </w:r>
      <w:r w:rsidRPr="00F5721E">
        <w:rPr>
          <w:rFonts w:ascii="Times New Roman" w:hAnsi="Times New Roman"/>
          <w:b/>
          <w:color w:val="FF0000"/>
          <w:sz w:val="20"/>
          <w:szCs w:val="20"/>
          <w:highlight w:val="yellow"/>
          <w:bdr w:val="single" w:sz="4" w:space="0" w:color="auto"/>
        </w:rPr>
        <w:t>）</w:t>
      </w:r>
      <w:r w:rsidRPr="00F5721E">
        <w:rPr>
          <w:rFonts w:ascii="Times New Roman" w:hAnsi="Times New Roman" w:hint="eastAsia"/>
          <w:b/>
          <w:color w:val="FF0000"/>
          <w:sz w:val="20"/>
          <w:szCs w:val="26"/>
          <w:highlight w:val="yellow"/>
          <w:bdr w:val="single" w:sz="4" w:space="0" w:color="auto"/>
        </w:rPr>
        <w:t>別</w:t>
      </w:r>
      <w:r>
        <w:rPr>
          <w:rFonts w:ascii="Times New Roman" w:hAnsi="Times New Roman" w:hint="eastAsia"/>
          <w:b/>
          <w:color w:val="FF0000"/>
          <w:sz w:val="20"/>
          <w:szCs w:val="26"/>
          <w:highlight w:val="yellow"/>
          <w:bdr w:val="single" w:sz="4" w:space="0" w:color="auto"/>
        </w:rPr>
        <w:t>釋</w:t>
      </w:r>
      <w:r w:rsidRPr="00DA3BC7">
        <w:rPr>
          <w:rFonts w:ascii="Times New Roman" w:hAnsi="Times New Roman" w:hint="eastAsia"/>
          <w:sz w:val="20"/>
          <w:szCs w:val="26"/>
        </w:rPr>
        <w:t>（</w:t>
      </w:r>
      <w:r w:rsidRPr="00DA3BC7">
        <w:rPr>
          <w:rFonts w:ascii="Times New Roman" w:hAnsi="Times New Roman" w:hint="eastAsia"/>
          <w:sz w:val="20"/>
          <w:szCs w:val="26"/>
        </w:rPr>
        <w:t>p.</w:t>
      </w:r>
      <w:r w:rsidRPr="00DA3BC7">
        <w:rPr>
          <w:rFonts w:ascii="Times New Roman" w:hAnsi="Times New Roman" w:hint="eastAsia"/>
          <w:bCs/>
          <w:sz w:val="20"/>
          <w:szCs w:val="26"/>
        </w:rPr>
        <w:t>164</w:t>
      </w:r>
      <w:r w:rsidRPr="00DA3BC7">
        <w:rPr>
          <w:rFonts w:ascii="Times New Roman" w:hAnsi="Times New Roman" w:hint="eastAsia"/>
          <w:sz w:val="20"/>
          <w:szCs w:val="26"/>
        </w:rPr>
        <w:t>）</w:t>
      </w:r>
    </w:p>
    <w:p w:rsidR="00F5721E" w:rsidRPr="00DA3BC7" w:rsidRDefault="00F5721E" w:rsidP="006D7B07">
      <w:pPr>
        <w:ind w:leftChars="200" w:left="480"/>
        <w:jc w:val="both"/>
        <w:rPr>
          <w:rFonts w:ascii="Times New Roman" w:hAnsi="Times New Roman"/>
          <w:b/>
          <w:bCs/>
          <w:sz w:val="20"/>
          <w:szCs w:val="26"/>
          <w:bdr w:val="single" w:sz="4" w:space="0" w:color="auto"/>
        </w:rPr>
      </w:pPr>
      <w:r w:rsidRPr="00F5721E">
        <w:rPr>
          <w:rFonts w:ascii="Times New Roman" w:hAnsi="Times New Roman" w:hint="eastAsia"/>
          <w:b/>
          <w:bCs/>
          <w:color w:val="FF0000"/>
          <w:sz w:val="20"/>
          <w:szCs w:val="26"/>
          <w:highlight w:val="yellow"/>
          <w:bdr w:val="single" w:sz="4" w:space="0" w:color="auto"/>
        </w:rPr>
        <w:t>1</w:t>
      </w:r>
      <w:r w:rsidRPr="00F5721E">
        <w:rPr>
          <w:rFonts w:ascii="Times New Roman" w:hAnsi="Times New Roman" w:hint="eastAsia"/>
          <w:b/>
          <w:bCs/>
          <w:color w:val="FF0000"/>
          <w:sz w:val="20"/>
          <w:szCs w:val="26"/>
          <w:highlight w:val="yellow"/>
          <w:bdr w:val="single" w:sz="4" w:space="0" w:color="auto"/>
        </w:rPr>
        <w:t>、「性、相」義</w:t>
      </w:r>
      <w:r w:rsidRPr="00DA3BC7">
        <w:rPr>
          <w:rFonts w:ascii="Times New Roman" w:hAnsi="Times New Roman" w:hint="eastAsia"/>
          <w:bCs/>
          <w:sz w:val="20"/>
          <w:szCs w:val="26"/>
        </w:rPr>
        <w:t>（</w:t>
      </w:r>
      <w:r w:rsidRPr="00DA3BC7">
        <w:rPr>
          <w:rFonts w:ascii="Times New Roman" w:hAnsi="Times New Roman" w:hint="eastAsia"/>
          <w:bCs/>
          <w:sz w:val="20"/>
          <w:szCs w:val="26"/>
        </w:rPr>
        <w:t>p.164</w:t>
      </w:r>
      <w:r w:rsidRPr="00DA3BC7">
        <w:rPr>
          <w:rFonts w:ascii="Times New Roman" w:hAnsi="Times New Roman" w:hint="eastAsia"/>
          <w:bCs/>
          <w:sz w:val="20"/>
          <w:szCs w:val="26"/>
        </w:rPr>
        <w:t>）</w:t>
      </w:r>
    </w:p>
    <w:p w:rsidR="00AA120F" w:rsidRPr="00DA3BC7" w:rsidRDefault="00AA120F" w:rsidP="006D7B07">
      <w:pPr>
        <w:ind w:leftChars="200" w:left="480"/>
        <w:jc w:val="both"/>
        <w:rPr>
          <w:rFonts w:ascii="Times New Roman" w:hAnsi="Times New Roman"/>
        </w:rPr>
      </w:pPr>
      <w:r w:rsidRPr="005545B6">
        <w:rPr>
          <w:rFonts w:ascii="Times New Roman" w:hAnsi="Times New Roman" w:hint="eastAsia"/>
          <w:b/>
          <w:u w:val="wave" w:color="C00000"/>
        </w:rPr>
        <w:t>相</w:t>
      </w:r>
      <w:r w:rsidRPr="00DA3BC7">
        <w:rPr>
          <w:rFonts w:ascii="Times New Roman" w:hAnsi="Times New Roman" w:hint="eastAsia"/>
          <w:b/>
        </w:rPr>
        <w:t>是「形</w:t>
      </w:r>
      <w:r w:rsidRPr="00DA3BC7">
        <w:rPr>
          <w:rStyle w:val="a6"/>
          <w:rFonts w:ascii="Times New Roman" w:hAnsi="Times New Roman"/>
        </w:rPr>
        <w:footnoteReference w:id="758"/>
      </w:r>
      <w:r w:rsidRPr="00DA3BC7">
        <w:rPr>
          <w:rFonts w:ascii="Times New Roman" w:hAnsi="Times New Roman" w:hint="eastAsia"/>
          <w:b/>
        </w:rPr>
        <w:t>他以顯自」</w:t>
      </w:r>
      <w:r w:rsidRPr="00DA3BC7">
        <w:rPr>
          <w:rFonts w:ascii="Times New Roman" w:hAnsi="Times New Roman" w:hint="eastAsia"/>
        </w:rPr>
        <w:t>的；如說白色，白即不同於黑，有不同於其他的</w:t>
      </w:r>
      <w:r w:rsidRPr="00DA3BC7">
        <w:rPr>
          <w:rFonts w:ascii="Times New Roman" w:hAnsi="Times New Roman" w:hint="eastAsia"/>
        </w:rPr>
        <w:lastRenderedPageBreak/>
        <w:t>特相，知道此法是什麼。凡所認識的，必有與他不同的特殊形態，依不同他法而知是此法而不是彼法，即因此</w:t>
      </w:r>
      <w:r w:rsidRPr="005545B6">
        <w:rPr>
          <w:rFonts w:ascii="Times New Roman" w:hAnsi="Times New Roman" w:hint="eastAsia"/>
          <w:b/>
          <w:u w:val="wave" w:color="C00000"/>
        </w:rPr>
        <w:t>相</w:t>
      </w:r>
      <w:r w:rsidRPr="00DA3BC7">
        <w:rPr>
          <w:rFonts w:ascii="Times New Roman" w:hAnsi="Times New Roman" w:hint="eastAsia"/>
        </w:rPr>
        <w:t>而知某法</w:t>
      </w:r>
      <w:r w:rsidRPr="005545B6">
        <w:rPr>
          <w:rFonts w:ascii="Times New Roman" w:hAnsi="Times New Roman" w:hint="eastAsia"/>
          <w:b/>
          <w:u w:val="wave" w:color="C00000"/>
        </w:rPr>
        <w:t>體性</w:t>
      </w:r>
      <w:r w:rsidRPr="00DA3BC7">
        <w:rPr>
          <w:rFonts w:ascii="Times New Roman" w:hAnsi="Times New Roman" w:hint="eastAsia"/>
        </w:rPr>
        <w:t>，這是</w:t>
      </w:r>
      <w:r w:rsidRPr="005545B6">
        <w:rPr>
          <w:rFonts w:ascii="Times New Roman" w:hAnsi="Times New Roman" w:hint="eastAsia"/>
          <w:b/>
          <w:u w:val="wave" w:color="C00000"/>
        </w:rPr>
        <w:t>性</w:t>
      </w:r>
      <w:r w:rsidRPr="00DA3BC7">
        <w:rPr>
          <w:rFonts w:ascii="Times New Roman" w:hAnsi="Times New Roman" w:hint="eastAsia"/>
        </w:rPr>
        <w:t>與</w:t>
      </w:r>
      <w:r w:rsidRPr="005545B6">
        <w:rPr>
          <w:rFonts w:ascii="Times New Roman" w:hAnsi="Times New Roman" w:hint="eastAsia"/>
          <w:b/>
          <w:u w:val="wave" w:color="C00000"/>
        </w:rPr>
        <w:t>相</w:t>
      </w:r>
      <w:r w:rsidRPr="00DA3BC7">
        <w:rPr>
          <w:rFonts w:ascii="Times New Roman" w:hAnsi="Times New Roman" w:hint="eastAsia"/>
        </w:rPr>
        <w:t>的主要意義。</w:t>
      </w:r>
    </w:p>
    <w:p w:rsidR="00AA120F" w:rsidRPr="00DA3BC7" w:rsidRDefault="00F5721E" w:rsidP="00AE3920">
      <w:pPr>
        <w:spacing w:beforeLines="30"/>
        <w:ind w:leftChars="200" w:left="480"/>
        <w:jc w:val="both"/>
        <w:rPr>
          <w:rFonts w:ascii="Times New Roman" w:hAnsi="Times New Roman"/>
          <w:b/>
          <w:sz w:val="20"/>
          <w:szCs w:val="20"/>
          <w:bdr w:val="single" w:sz="4" w:space="0" w:color="auto"/>
        </w:rPr>
      </w:pPr>
      <w:r w:rsidRPr="00F5721E">
        <w:rPr>
          <w:rFonts w:ascii="Times New Roman" w:hAnsi="Times New Roman" w:hint="eastAsia"/>
          <w:b/>
          <w:color w:val="FF0000"/>
          <w:sz w:val="20"/>
          <w:szCs w:val="20"/>
          <w:highlight w:val="yellow"/>
          <w:bdr w:val="single" w:sz="4" w:space="0" w:color="auto"/>
        </w:rPr>
        <w:t>2</w:t>
      </w:r>
      <w:r w:rsidRPr="00F5721E">
        <w:rPr>
          <w:rFonts w:ascii="Times New Roman" w:hAnsi="Times New Roman" w:hint="eastAsia"/>
          <w:b/>
          <w:color w:val="FF0000"/>
          <w:sz w:val="20"/>
          <w:szCs w:val="20"/>
          <w:highlight w:val="yellow"/>
          <w:bdr w:val="single" w:sz="4" w:space="0" w:color="auto"/>
        </w:rPr>
        <w:t>、「</w:t>
      </w:r>
      <w:r w:rsidR="00AA120F" w:rsidRPr="00F5721E">
        <w:rPr>
          <w:rFonts w:ascii="Times New Roman" w:hAnsi="Times New Roman" w:hint="eastAsia"/>
          <w:b/>
          <w:color w:val="FF0000"/>
          <w:sz w:val="20"/>
          <w:szCs w:val="20"/>
          <w:highlight w:val="yellow"/>
          <w:bdr w:val="single" w:sz="4" w:space="0" w:color="auto"/>
        </w:rPr>
        <w:t>體、用</w:t>
      </w:r>
      <w:r w:rsidRPr="00F5721E">
        <w:rPr>
          <w:rFonts w:ascii="Times New Roman" w:hAnsi="Times New Roman" w:hint="eastAsia"/>
          <w:b/>
          <w:bCs/>
          <w:color w:val="FF0000"/>
          <w:sz w:val="20"/>
          <w:szCs w:val="26"/>
          <w:highlight w:val="yellow"/>
          <w:bdr w:val="single" w:sz="4" w:space="0" w:color="auto"/>
        </w:rPr>
        <w:t>」義</w:t>
      </w:r>
      <w:r w:rsidR="00AA120F" w:rsidRPr="00DA3BC7">
        <w:rPr>
          <w:rFonts w:ascii="Times New Roman" w:hAnsi="Times New Roman" w:hint="eastAsia"/>
          <w:sz w:val="20"/>
          <w:szCs w:val="26"/>
        </w:rPr>
        <w:t>（</w:t>
      </w:r>
      <w:r w:rsidR="00AA120F" w:rsidRPr="00DA3BC7">
        <w:rPr>
          <w:rFonts w:ascii="Times New Roman" w:hAnsi="Times New Roman" w:hint="eastAsia"/>
          <w:sz w:val="20"/>
          <w:szCs w:val="26"/>
        </w:rPr>
        <w:t>p.</w:t>
      </w:r>
      <w:r w:rsidR="00AA120F" w:rsidRPr="00DA3BC7">
        <w:rPr>
          <w:rFonts w:ascii="Times New Roman" w:hAnsi="Times New Roman" w:hint="eastAsia"/>
          <w:bCs/>
          <w:sz w:val="20"/>
          <w:szCs w:val="26"/>
        </w:rPr>
        <w:t>164</w:t>
      </w:r>
      <w:r w:rsidR="00AA120F" w:rsidRPr="00DA3BC7">
        <w:rPr>
          <w:rFonts w:ascii="Times New Roman" w:hAnsi="Times New Roman" w:hint="eastAsia"/>
          <w:sz w:val="20"/>
          <w:szCs w:val="26"/>
        </w:rPr>
        <w:t>）</w:t>
      </w:r>
    </w:p>
    <w:p w:rsidR="00F5721E" w:rsidRDefault="00AA120F" w:rsidP="006D7B07">
      <w:pPr>
        <w:ind w:leftChars="200" w:left="480"/>
        <w:jc w:val="both"/>
        <w:rPr>
          <w:rFonts w:ascii="Times New Roman" w:hAnsi="Times New Roman"/>
        </w:rPr>
      </w:pPr>
      <w:r w:rsidRPr="005545B6">
        <w:rPr>
          <w:rFonts w:ascii="Times New Roman" w:hAnsi="Times New Roman" w:hint="eastAsia"/>
          <w:b/>
          <w:u w:val="wave" w:color="C00000"/>
        </w:rPr>
        <w:t>體</w:t>
      </w:r>
      <w:r w:rsidRPr="00DA3BC7">
        <w:rPr>
          <w:rFonts w:ascii="Times New Roman" w:hAnsi="Times New Roman" w:hint="eastAsia"/>
        </w:rPr>
        <w:t>與</w:t>
      </w:r>
      <w:r w:rsidRPr="005545B6">
        <w:rPr>
          <w:rFonts w:ascii="Times New Roman" w:hAnsi="Times New Roman" w:hint="eastAsia"/>
          <w:b/>
          <w:u w:val="wave" w:color="C00000"/>
        </w:rPr>
        <w:t>用</w:t>
      </w:r>
      <w:r w:rsidRPr="00DA3BC7">
        <w:rPr>
          <w:rFonts w:ascii="Times New Roman" w:hAnsi="Times New Roman" w:hint="eastAsia"/>
        </w:rPr>
        <w:t>即不同，</w:t>
      </w:r>
      <w:r w:rsidRPr="005545B6">
        <w:rPr>
          <w:rFonts w:ascii="Times New Roman" w:hAnsi="Times New Roman" w:hint="eastAsia"/>
          <w:b/>
          <w:u w:val="wave" w:color="C00000"/>
        </w:rPr>
        <w:t>用</w:t>
      </w:r>
      <w:r w:rsidRPr="005545B6">
        <w:rPr>
          <w:rFonts w:ascii="Times New Roman" w:hAnsi="Times New Roman" w:hint="eastAsia"/>
        </w:rPr>
        <w:t>指</w:t>
      </w:r>
      <w:r w:rsidRPr="00DA3BC7">
        <w:rPr>
          <w:rFonts w:ascii="Times New Roman" w:hAnsi="Times New Roman" w:hint="eastAsia"/>
          <w:b/>
        </w:rPr>
        <w:t>法體的活動</w:t>
      </w:r>
      <w:r w:rsidRPr="00DA3BC7">
        <w:rPr>
          <w:rFonts w:ascii="Times New Roman" w:hAnsi="Times New Roman" w:hint="eastAsia"/>
        </w:rPr>
        <w:t>（此用不同於彼用，也可以稱為</w:t>
      </w:r>
      <w:r w:rsidRPr="005545B6">
        <w:rPr>
          <w:rFonts w:ascii="Times New Roman" w:hAnsi="Times New Roman" w:hint="eastAsia"/>
          <w:b/>
          <w:u w:val="wave" w:color="C00000"/>
        </w:rPr>
        <w:t>相</w:t>
      </w:r>
      <w:r w:rsidRPr="00DA3BC7">
        <w:rPr>
          <w:rFonts w:ascii="Times New Roman" w:hAnsi="Times New Roman" w:hint="eastAsia"/>
        </w:rPr>
        <w:t>的，</w:t>
      </w:r>
      <w:r w:rsidRPr="005545B6">
        <w:rPr>
          <w:rFonts w:ascii="Times New Roman" w:hAnsi="Times New Roman" w:hint="eastAsia"/>
          <w:b/>
          <w:u w:val="wave" w:color="C00000"/>
        </w:rPr>
        <w:t>相</w:t>
      </w:r>
      <w:r w:rsidRPr="00DA3BC7">
        <w:rPr>
          <w:rFonts w:ascii="Times New Roman" w:hAnsi="Times New Roman" w:hint="eastAsia"/>
        </w:rPr>
        <w:t>廣而</w:t>
      </w:r>
      <w:r w:rsidRPr="005545B6">
        <w:rPr>
          <w:rFonts w:ascii="Times New Roman" w:hAnsi="Times New Roman" w:hint="eastAsia"/>
          <w:b/>
          <w:u w:val="wave" w:color="C00000"/>
        </w:rPr>
        <w:t>用</w:t>
      </w:r>
      <w:r w:rsidRPr="00DA3BC7">
        <w:rPr>
          <w:rFonts w:ascii="Times New Roman" w:hAnsi="Times New Roman" w:hint="eastAsia"/>
        </w:rPr>
        <w:t>狹），也與他法有關，但不同</w:t>
      </w:r>
      <w:r w:rsidRPr="005545B6">
        <w:rPr>
          <w:rFonts w:ascii="Times New Roman" w:hAnsi="Times New Roman" w:hint="eastAsia"/>
          <w:b/>
          <w:u w:val="wave" w:color="C00000"/>
        </w:rPr>
        <w:t>相</w:t>
      </w:r>
      <w:r w:rsidRPr="00DA3BC7">
        <w:rPr>
          <w:rFonts w:ascii="Times New Roman" w:hAnsi="Times New Roman" w:hint="eastAsia"/>
        </w:rPr>
        <w:t>的以特殊形態而顯出自己，</w:t>
      </w:r>
      <w:r w:rsidRPr="005545B6">
        <w:rPr>
          <w:rFonts w:ascii="Times New Roman" w:hAnsi="Times New Roman" w:hint="eastAsia"/>
          <w:b/>
          <w:u w:val="wave" w:color="C00000"/>
        </w:rPr>
        <w:t>用</w:t>
      </w:r>
      <w:r w:rsidRPr="00DA3BC7">
        <w:rPr>
          <w:rFonts w:ascii="Times New Roman" w:hAnsi="Times New Roman" w:hint="eastAsia"/>
        </w:rPr>
        <w:t>是從此法可與他法以影響，從</w:t>
      </w:r>
      <w:r w:rsidRPr="00DA3BC7">
        <w:rPr>
          <w:rFonts w:ascii="Times New Roman" w:hAnsi="Times New Roman" w:hint="eastAsia"/>
          <w:b/>
        </w:rPr>
        <w:t>影響於他而顯出此法的作用</w:t>
      </w:r>
      <w:r w:rsidRPr="00DA3BC7">
        <w:rPr>
          <w:rFonts w:ascii="Times New Roman" w:hAnsi="Times New Roman" w:hint="eastAsia"/>
        </w:rPr>
        <w:t>。</w:t>
      </w:r>
    </w:p>
    <w:p w:rsidR="00F5721E" w:rsidRDefault="00F5721E" w:rsidP="00AE3920">
      <w:pPr>
        <w:spacing w:beforeLines="30"/>
        <w:ind w:leftChars="150" w:left="360"/>
        <w:jc w:val="both"/>
        <w:rPr>
          <w:rFonts w:ascii="Times New Roman" w:hAnsi="Times New Roman"/>
          <w:b/>
          <w:color w:val="FF0000"/>
          <w:sz w:val="20"/>
          <w:szCs w:val="20"/>
          <w:highlight w:val="yellow"/>
          <w:bdr w:val="single" w:sz="4" w:space="0" w:color="auto"/>
        </w:rPr>
      </w:pPr>
      <w:r w:rsidRPr="00F5721E">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三</w:t>
      </w:r>
      <w:r w:rsidRPr="00F5721E">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論異</w:t>
      </w:r>
      <w:r w:rsidRPr="00DA3BC7">
        <w:rPr>
          <w:rFonts w:ascii="Times New Roman" w:hAnsi="Times New Roman" w:hint="eastAsia"/>
          <w:bCs/>
          <w:sz w:val="20"/>
          <w:szCs w:val="26"/>
        </w:rPr>
        <w:t>（</w:t>
      </w:r>
      <w:r w:rsidRPr="00DA3BC7">
        <w:rPr>
          <w:rFonts w:ascii="Times New Roman" w:hAnsi="Times New Roman" w:hint="eastAsia"/>
          <w:bCs/>
          <w:sz w:val="20"/>
          <w:szCs w:val="26"/>
        </w:rPr>
        <w:t>pp.164-165</w:t>
      </w:r>
      <w:r w:rsidRPr="00DA3BC7">
        <w:rPr>
          <w:rFonts w:ascii="Times New Roman" w:hAnsi="Times New Roman" w:hint="eastAsia"/>
          <w:bCs/>
          <w:sz w:val="20"/>
          <w:szCs w:val="26"/>
        </w:rPr>
        <w:t>）</w:t>
      </w:r>
    </w:p>
    <w:p w:rsidR="00F5721E" w:rsidRPr="00DA3BC7" w:rsidRDefault="00F5721E" w:rsidP="006D7B07">
      <w:pPr>
        <w:ind w:leftChars="200" w:left="48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1</w:t>
      </w:r>
      <w:r w:rsidRPr="00F5721E">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結示前義</w:t>
      </w:r>
      <w:r w:rsidRPr="00DA3BC7">
        <w:rPr>
          <w:rFonts w:ascii="Times New Roman" w:hAnsi="Times New Roman" w:hint="eastAsia"/>
          <w:sz w:val="20"/>
          <w:szCs w:val="26"/>
        </w:rPr>
        <w:t>（</w:t>
      </w:r>
      <w:r w:rsidRPr="00DA3BC7">
        <w:rPr>
          <w:rFonts w:ascii="Times New Roman" w:hAnsi="Times New Roman" w:hint="eastAsia"/>
          <w:sz w:val="20"/>
          <w:szCs w:val="26"/>
        </w:rPr>
        <w:t>p.</w:t>
      </w:r>
      <w:r w:rsidRPr="00DA3BC7">
        <w:rPr>
          <w:rFonts w:ascii="Times New Roman" w:hAnsi="Times New Roman" w:hint="eastAsia"/>
          <w:bCs/>
          <w:sz w:val="20"/>
          <w:szCs w:val="26"/>
        </w:rPr>
        <w:t>164</w:t>
      </w:r>
      <w:r w:rsidRPr="00DA3BC7">
        <w:rPr>
          <w:rFonts w:ascii="Times New Roman" w:hAnsi="Times New Roman" w:hint="eastAsia"/>
          <w:sz w:val="20"/>
          <w:szCs w:val="26"/>
        </w:rPr>
        <w:t>）</w:t>
      </w:r>
    </w:p>
    <w:p w:rsidR="00AA120F" w:rsidRPr="00DA3BC7" w:rsidRDefault="00AA120F" w:rsidP="006D7B07">
      <w:pPr>
        <w:ind w:leftChars="200" w:left="480"/>
        <w:jc w:val="both"/>
        <w:rPr>
          <w:rFonts w:ascii="Times New Roman" w:hAnsi="Times New Roman"/>
          <w:b/>
        </w:rPr>
      </w:pPr>
      <w:r w:rsidRPr="00DA3BC7">
        <w:rPr>
          <w:rFonts w:ascii="Times New Roman" w:hAnsi="Times New Roman" w:hint="eastAsia"/>
          <w:b/>
        </w:rPr>
        <w:t>所以</w:t>
      </w:r>
      <w:r w:rsidRPr="005545B6">
        <w:rPr>
          <w:rFonts w:ascii="Times New Roman" w:hAnsi="Times New Roman" w:hint="eastAsia"/>
          <w:b/>
          <w:u w:val="wave" w:color="C00000"/>
        </w:rPr>
        <w:t>相</w:t>
      </w:r>
      <w:r w:rsidRPr="00DA3BC7">
        <w:rPr>
          <w:rFonts w:ascii="Times New Roman" w:hAnsi="Times New Roman" w:hint="eastAsia"/>
          <w:b/>
        </w:rPr>
        <w:t>是靜態，</w:t>
      </w:r>
      <w:r w:rsidRPr="005545B6">
        <w:rPr>
          <w:rFonts w:ascii="Times New Roman" w:hAnsi="Times New Roman" w:hint="eastAsia"/>
          <w:b/>
          <w:u w:val="wave" w:color="C00000"/>
        </w:rPr>
        <w:t>用</w:t>
      </w:r>
      <w:r w:rsidRPr="00DA3BC7">
        <w:rPr>
          <w:rFonts w:ascii="Times New Roman" w:hAnsi="Times New Roman" w:hint="eastAsia"/>
          <w:b/>
        </w:rPr>
        <w:t>是動態，</w:t>
      </w:r>
      <w:r w:rsidRPr="005545B6">
        <w:rPr>
          <w:rFonts w:ascii="Times New Roman" w:hAnsi="Times New Roman" w:hint="eastAsia"/>
          <w:b/>
          <w:u w:val="wave" w:color="C00000"/>
        </w:rPr>
        <w:t>用</w:t>
      </w:r>
      <w:r w:rsidRPr="00DA3BC7">
        <w:rPr>
          <w:rFonts w:ascii="Times New Roman" w:hAnsi="Times New Roman" w:hint="eastAsia"/>
          <w:b/>
        </w:rPr>
        <w:t>即與因果有關。</w:t>
      </w:r>
    </w:p>
    <w:p w:rsidR="00AA120F" w:rsidRPr="00DA3BC7" w:rsidRDefault="00F5721E" w:rsidP="00AE3920">
      <w:pPr>
        <w:spacing w:beforeLines="30"/>
        <w:ind w:leftChars="200" w:left="480"/>
        <w:jc w:val="both"/>
        <w:rPr>
          <w:rFonts w:ascii="Times New Roman" w:hAnsi="Times New Roman"/>
          <w:b/>
          <w:sz w:val="20"/>
        </w:rPr>
      </w:pPr>
      <w:r w:rsidRPr="00F5721E">
        <w:rPr>
          <w:rFonts w:ascii="Times New Roman" w:hAnsi="Times New Roman" w:hint="eastAsia"/>
          <w:b/>
          <w:color w:val="FF0000"/>
          <w:sz w:val="20"/>
          <w:szCs w:val="26"/>
          <w:highlight w:val="yellow"/>
          <w:bdr w:val="single" w:sz="4" w:space="0" w:color="auto"/>
        </w:rPr>
        <w:t>2</w:t>
      </w:r>
      <w:r w:rsidR="00AA120F" w:rsidRPr="00F5721E">
        <w:rPr>
          <w:rFonts w:ascii="Times New Roman" w:hAnsi="Times New Roman"/>
          <w:b/>
          <w:color w:val="FF0000"/>
          <w:sz w:val="20"/>
          <w:szCs w:val="26"/>
          <w:highlight w:val="yellow"/>
          <w:bdr w:val="single" w:sz="4" w:space="0" w:color="auto"/>
        </w:rPr>
        <w:t>、</w:t>
      </w:r>
      <w:r w:rsidRPr="00F5721E">
        <w:rPr>
          <w:rFonts w:ascii="Times New Roman" w:hAnsi="Times New Roman" w:hint="eastAsia"/>
          <w:b/>
          <w:bCs/>
          <w:color w:val="FF0000"/>
          <w:sz w:val="20"/>
          <w:szCs w:val="26"/>
          <w:highlight w:val="yellow"/>
          <w:bdr w:val="single" w:sz="4" w:space="0" w:color="auto"/>
        </w:rPr>
        <w:t>引</w:t>
      </w:r>
      <w:r w:rsidR="00B63731">
        <w:rPr>
          <w:rFonts w:ascii="Times New Roman" w:hAnsi="Times New Roman" w:hint="eastAsia"/>
          <w:b/>
          <w:bCs/>
          <w:color w:val="FF0000"/>
          <w:sz w:val="20"/>
          <w:szCs w:val="26"/>
          <w:highlight w:val="yellow"/>
          <w:bdr w:val="single" w:sz="4" w:space="0" w:color="auto"/>
        </w:rPr>
        <w:t>證</w:t>
      </w:r>
      <w:r w:rsidRPr="00F5721E">
        <w:rPr>
          <w:rFonts w:ascii="Times New Roman" w:hAnsi="Times New Roman" w:hint="eastAsia"/>
          <w:b/>
          <w:bCs/>
          <w:color w:val="FF0000"/>
          <w:sz w:val="20"/>
          <w:szCs w:val="26"/>
          <w:highlight w:val="yellow"/>
          <w:bdr w:val="single" w:sz="4" w:space="0" w:color="auto"/>
        </w:rPr>
        <w:t>明理</w:t>
      </w:r>
      <w:r w:rsidR="00AA120F" w:rsidRPr="00DA3BC7">
        <w:rPr>
          <w:rFonts w:ascii="Times New Roman" w:hAnsi="Times New Roman" w:hint="eastAsia"/>
          <w:bCs/>
          <w:sz w:val="20"/>
          <w:szCs w:val="26"/>
        </w:rPr>
        <w:t>（</w:t>
      </w:r>
      <w:r w:rsidR="00AA120F" w:rsidRPr="00DA3BC7">
        <w:rPr>
          <w:rFonts w:ascii="Times New Roman" w:hAnsi="Times New Roman" w:hint="eastAsia"/>
          <w:bCs/>
          <w:sz w:val="20"/>
          <w:szCs w:val="26"/>
        </w:rPr>
        <w:t>pp.164-165</w:t>
      </w:r>
      <w:r w:rsidR="00AA120F" w:rsidRPr="00DA3BC7">
        <w:rPr>
          <w:rFonts w:ascii="Times New Roman" w:hAnsi="Times New Roman" w:hint="eastAsia"/>
          <w:bCs/>
          <w:sz w:val="20"/>
          <w:szCs w:val="26"/>
        </w:rPr>
        <w:t>）</w:t>
      </w:r>
    </w:p>
    <w:p w:rsidR="00AA120F" w:rsidRPr="00DA3BC7" w:rsidRDefault="00AA120F" w:rsidP="006D7B07">
      <w:pPr>
        <w:ind w:leftChars="200" w:left="480"/>
        <w:jc w:val="both"/>
      </w:pPr>
      <w:r w:rsidRPr="00DA3BC7">
        <w:rPr>
          <w:rFonts w:hint="eastAsia"/>
        </w:rPr>
        <w:t>《中論》說「</w:t>
      </w:r>
      <w:r w:rsidRPr="00DA3BC7">
        <w:rPr>
          <w:rFonts w:ascii="標楷體" w:eastAsia="標楷體" w:hAnsi="標楷體" w:hint="eastAsia"/>
        </w:rPr>
        <w:t>現有作、有作者、有所用作法，三事和合故有果報</w:t>
      </w:r>
      <w:r w:rsidRPr="00DA3BC7">
        <w:rPr>
          <w:rFonts w:hint="eastAsia"/>
        </w:rPr>
        <w:t>」</w:t>
      </w:r>
      <w:r w:rsidRPr="00DA3BC7">
        <w:rPr>
          <w:rFonts w:ascii="Times New Roman" w:hAnsi="Times New Roman"/>
        </w:rPr>
        <w:t>，</w:t>
      </w:r>
      <w:r w:rsidRPr="00DA3BC7">
        <w:rPr>
          <w:rStyle w:val="a6"/>
          <w:rFonts w:ascii="Times New Roman" w:hAnsi="Times New Roman"/>
        </w:rPr>
        <w:footnoteReference w:id="759"/>
      </w:r>
      <w:r w:rsidRPr="00DA3BC7">
        <w:rPr>
          <w:rFonts w:ascii="Times New Roman" w:hAnsi="Times New Roman"/>
        </w:rPr>
        <w:t>可</w:t>
      </w:r>
      <w:r w:rsidRPr="00DA3BC7">
        <w:rPr>
          <w:rFonts w:hint="eastAsia"/>
        </w:rPr>
        <w:t>知即依法的作用而知有因果。因為，</w:t>
      </w:r>
      <w:r w:rsidRPr="00DA3BC7">
        <w:rPr>
          <w:rFonts w:hint="eastAsia"/>
          <w:b/>
        </w:rPr>
        <w:t>凡是存在的──法體，必有作用</w:t>
      </w:r>
      <w:r w:rsidRPr="00DA3BC7">
        <w:rPr>
          <w:rFonts w:hint="eastAsia"/>
        </w:rPr>
        <w:t>；有</w:t>
      </w:r>
      <w:r w:rsidRPr="005545B6">
        <w:rPr>
          <w:rFonts w:ascii="Times New Roman" w:hAnsi="Times New Roman" w:hint="eastAsia"/>
          <w:b/>
          <w:u w:val="wave" w:color="C00000"/>
        </w:rPr>
        <w:t>用</w:t>
      </w:r>
      <w:r w:rsidRPr="00DA3BC7">
        <w:rPr>
          <w:rFonts w:hint="eastAsia"/>
        </w:rPr>
        <w:t>，決非自性的，必然地關涉於他法而成立的，即由作用關係於他法，說為因果。</w:t>
      </w:r>
    </w:p>
    <w:p w:rsidR="00AA120F" w:rsidRPr="00DA3BC7" w:rsidRDefault="005545B6" w:rsidP="00AE3920">
      <w:pPr>
        <w:spacing w:beforeLines="20"/>
        <w:ind w:leftChars="200" w:left="480"/>
        <w:jc w:val="both"/>
        <w:rPr>
          <w:rFonts w:ascii="Times New Roman" w:hAnsi="Times New Roman"/>
        </w:rPr>
      </w:pPr>
      <w:r>
        <w:rPr>
          <w:rFonts w:ascii="Times New Roman" w:hAnsi="Times New Roman" w:hint="eastAsia"/>
        </w:rPr>
        <w:t>對於</w:t>
      </w:r>
      <w:r w:rsidR="00AA120F" w:rsidRPr="005545B6">
        <w:rPr>
          <w:rFonts w:ascii="Times New Roman" w:hAnsi="Times New Roman" w:hint="eastAsia"/>
          <w:b/>
          <w:u w:val="wave" w:color="C00000"/>
        </w:rPr>
        <w:t>作用</w:t>
      </w:r>
      <w:r w:rsidR="00AA120F" w:rsidRPr="00DA3BC7">
        <w:rPr>
          <w:rFonts w:ascii="Times New Roman" w:hAnsi="Times New Roman" w:hint="eastAsia"/>
        </w:rPr>
        <w:t>，《順正理論》卷</w:t>
      </w:r>
      <w:r w:rsidR="00AA120F" w:rsidRPr="00DA3BC7">
        <w:rPr>
          <w:rFonts w:ascii="Times New Roman" w:hAnsi="Times New Roman" w:hint="eastAsia"/>
        </w:rPr>
        <w:t>52</w:t>
      </w:r>
      <w:r w:rsidR="00AA120F" w:rsidRPr="00DA3BC7">
        <w:rPr>
          <w:rFonts w:ascii="Times New Roman" w:hAnsi="Times New Roman" w:hint="eastAsia"/>
        </w:rPr>
        <w:t>有二種釋：</w:t>
      </w:r>
    </w:p>
    <w:p w:rsidR="00AA120F" w:rsidRPr="00DA3BC7" w:rsidRDefault="00AA120F" w:rsidP="006D7B07">
      <w:pPr>
        <w:ind w:leftChars="200" w:left="480"/>
        <w:jc w:val="both"/>
        <w:rPr>
          <w:rFonts w:ascii="Times New Roman" w:hAnsi="Times New Roman"/>
        </w:rPr>
      </w:pPr>
      <w:r w:rsidRPr="00DA3BC7">
        <w:rPr>
          <w:rFonts w:ascii="Times New Roman" w:hAnsi="Times New Roman" w:hint="eastAsia"/>
        </w:rPr>
        <w:t>一、約正現在的</w:t>
      </w:r>
      <w:r w:rsidR="00F5721E">
        <w:rPr>
          <w:rFonts w:ascii="Times New Roman" w:hAnsi="Times New Roman" w:hint="eastAsia"/>
          <w:color w:val="FF0000"/>
          <w:highlight w:val="yellow"/>
        </w:rPr>
        <w:t>，</w:t>
      </w:r>
      <w:r w:rsidRPr="00DA3BC7">
        <w:rPr>
          <w:rFonts w:ascii="Times New Roman" w:hAnsi="Times New Roman" w:hint="eastAsia"/>
        </w:rPr>
        <w:t>名為</w:t>
      </w:r>
      <w:r w:rsidRPr="005545B6">
        <w:rPr>
          <w:rFonts w:ascii="Times New Roman" w:hAnsi="Times New Roman" w:hint="eastAsia"/>
          <w:b/>
          <w:u w:val="wave" w:color="C00000"/>
        </w:rPr>
        <w:t>作用</w:t>
      </w:r>
      <w:r w:rsidRPr="00DA3BC7">
        <w:rPr>
          <w:rFonts w:ascii="Times New Roman" w:hAnsi="Times New Roman" w:hint="eastAsia"/>
        </w:rPr>
        <w:t>。</w:t>
      </w:r>
    </w:p>
    <w:p w:rsidR="00AA120F" w:rsidRPr="00DA3BC7" w:rsidRDefault="00AA120F" w:rsidP="006D7B07">
      <w:pPr>
        <w:ind w:leftChars="200" w:left="480"/>
        <w:jc w:val="both"/>
        <w:rPr>
          <w:rFonts w:ascii="Times New Roman" w:hAnsi="Times New Roman"/>
        </w:rPr>
      </w:pPr>
      <w:r w:rsidRPr="00DA3BC7">
        <w:rPr>
          <w:rFonts w:ascii="Times New Roman" w:hAnsi="Times New Roman" w:hint="eastAsia"/>
        </w:rPr>
        <w:t>二、約過去、未來</w:t>
      </w:r>
      <w:r w:rsidR="00F5721E" w:rsidRPr="00F5721E">
        <w:rPr>
          <w:rFonts w:ascii="Times New Roman" w:hAnsi="Times New Roman" w:hint="eastAsia"/>
          <w:color w:val="FF0000"/>
          <w:highlight w:val="yellow"/>
        </w:rPr>
        <w:t>──</w:t>
      </w:r>
      <w:r w:rsidRPr="00DA3BC7">
        <w:rPr>
          <w:rFonts w:ascii="Times New Roman" w:hAnsi="Times New Roman" w:hint="eastAsia"/>
        </w:rPr>
        <w:t>不現在前所有力用，即名為</w:t>
      </w:r>
      <w:r w:rsidRPr="005545B6">
        <w:rPr>
          <w:rFonts w:ascii="Times New Roman" w:hAnsi="Times New Roman" w:hint="eastAsia"/>
          <w:b/>
          <w:u w:val="wave" w:color="C00000"/>
        </w:rPr>
        <w:t>功能</w:t>
      </w:r>
      <w:r w:rsidR="005545B6" w:rsidRPr="00DA3BC7">
        <w:rPr>
          <w:rFonts w:ascii="Times New Roman" w:hAnsi="Times New Roman" w:hint="eastAsia"/>
        </w:rPr>
        <w:t>。</w:t>
      </w:r>
      <w:r w:rsidRPr="00DA3BC7">
        <w:rPr>
          <w:rFonts w:ascii="Times New Roman" w:hAnsi="Times New Roman"/>
          <w:vertAlign w:val="superscript"/>
        </w:rPr>
        <w:footnoteReference w:id="760"/>
      </w:r>
    </w:p>
    <w:p w:rsidR="00AA120F" w:rsidRPr="00DA3BC7" w:rsidRDefault="00B63731" w:rsidP="00AE3920">
      <w:pPr>
        <w:spacing w:beforeLines="30"/>
        <w:ind w:leftChars="100" w:left="240"/>
        <w:jc w:val="both"/>
        <w:rPr>
          <w:rFonts w:ascii="Times New Roman" w:hAnsi="Times New Roman"/>
          <w:b/>
          <w:sz w:val="20"/>
          <w:szCs w:val="20"/>
          <w:bdr w:val="single" w:sz="4" w:space="0" w:color="auto"/>
        </w:rPr>
      </w:pPr>
      <w:r w:rsidRPr="00B63731">
        <w:rPr>
          <w:rFonts w:ascii="Times New Roman" w:hAnsi="Times New Roman" w:hint="eastAsia"/>
          <w:b/>
          <w:color w:val="FF0000"/>
          <w:sz w:val="20"/>
          <w:szCs w:val="20"/>
          <w:highlight w:val="yellow"/>
          <w:bdr w:val="single" w:sz="4" w:space="0" w:color="auto"/>
        </w:rPr>
        <w:lastRenderedPageBreak/>
        <w:t>二、明「</w:t>
      </w:r>
      <w:r w:rsidR="00AA120F" w:rsidRPr="00B63731">
        <w:rPr>
          <w:rFonts w:ascii="Times New Roman" w:hAnsi="Times New Roman" w:hint="eastAsia"/>
          <w:b/>
          <w:bCs/>
          <w:color w:val="FF0000"/>
          <w:sz w:val="20"/>
          <w:szCs w:val="20"/>
          <w:highlight w:val="yellow"/>
          <w:bdr w:val="single" w:sz="4" w:space="0" w:color="auto"/>
        </w:rPr>
        <w:t>體</w:t>
      </w:r>
      <w:r w:rsidRPr="00B63731">
        <w:rPr>
          <w:rFonts w:ascii="Times New Roman" w:hAnsi="Times New Roman" w:hint="eastAsia"/>
          <w:b/>
          <w:bCs/>
          <w:color w:val="FF0000"/>
          <w:sz w:val="20"/>
          <w:szCs w:val="20"/>
          <w:highlight w:val="yellow"/>
          <w:bdr w:val="single" w:sz="4" w:space="0" w:color="auto"/>
        </w:rPr>
        <w:t>」、</w:t>
      </w:r>
      <w:r w:rsidRPr="00B63731">
        <w:rPr>
          <w:rFonts w:ascii="Times New Roman" w:hAnsi="Times New Roman" w:hint="eastAsia"/>
          <w:b/>
          <w:color w:val="FF0000"/>
          <w:sz w:val="20"/>
          <w:szCs w:val="20"/>
          <w:highlight w:val="yellow"/>
          <w:bdr w:val="single" w:sz="4" w:space="0" w:color="auto"/>
        </w:rPr>
        <w:t>「</w:t>
      </w:r>
      <w:r w:rsidR="00AA120F" w:rsidRPr="00B63731">
        <w:rPr>
          <w:rFonts w:ascii="Times New Roman" w:hAnsi="Times New Roman" w:hint="eastAsia"/>
          <w:b/>
          <w:bCs/>
          <w:color w:val="FF0000"/>
          <w:sz w:val="20"/>
          <w:szCs w:val="20"/>
          <w:highlight w:val="yellow"/>
          <w:bdr w:val="single" w:sz="4" w:space="0" w:color="auto"/>
        </w:rPr>
        <w:t>用</w:t>
      </w:r>
      <w:r w:rsidRPr="00B63731">
        <w:rPr>
          <w:rFonts w:ascii="Times New Roman" w:hAnsi="Times New Roman" w:hint="eastAsia"/>
          <w:b/>
          <w:bCs/>
          <w:color w:val="FF0000"/>
          <w:sz w:val="20"/>
          <w:szCs w:val="20"/>
          <w:highlight w:val="yellow"/>
          <w:bdr w:val="single" w:sz="4" w:space="0" w:color="auto"/>
        </w:rPr>
        <w:t>」的關係──</w:t>
      </w:r>
      <w:r w:rsidR="00AA120F" w:rsidRPr="00DA3BC7">
        <w:rPr>
          <w:rFonts w:ascii="Times New Roman" w:hAnsi="Times New Roman" w:hint="eastAsia"/>
          <w:b/>
          <w:bCs/>
          <w:sz w:val="20"/>
          <w:szCs w:val="20"/>
          <w:bdr w:val="single" w:sz="4" w:space="0" w:color="auto"/>
        </w:rPr>
        <w:t>不一不異</w:t>
      </w:r>
      <w:r w:rsidR="00AA120F" w:rsidRPr="00DA3BC7">
        <w:rPr>
          <w:rFonts w:ascii="Times New Roman" w:hAnsi="Times New Roman" w:hint="eastAsia"/>
          <w:bCs/>
          <w:sz w:val="20"/>
          <w:szCs w:val="26"/>
        </w:rPr>
        <w:t>（</w:t>
      </w:r>
      <w:r w:rsidR="00AA120F" w:rsidRPr="00DA3BC7">
        <w:rPr>
          <w:rFonts w:ascii="Times New Roman" w:hAnsi="Times New Roman" w:hint="eastAsia"/>
          <w:bCs/>
          <w:sz w:val="20"/>
          <w:szCs w:val="26"/>
        </w:rPr>
        <w:t>p.165</w:t>
      </w:r>
      <w:r w:rsidR="00AA120F" w:rsidRPr="00DA3BC7">
        <w:rPr>
          <w:rFonts w:ascii="Times New Roman" w:hAnsi="Times New Roman" w:hint="eastAsia"/>
          <w:bCs/>
          <w:sz w:val="20"/>
          <w:szCs w:val="26"/>
        </w:rPr>
        <w:t>）</w:t>
      </w:r>
    </w:p>
    <w:p w:rsidR="00AA120F" w:rsidRPr="00DA3BC7" w:rsidRDefault="00AA120F" w:rsidP="006D7B07">
      <w:pPr>
        <w:ind w:leftChars="100" w:left="240"/>
        <w:jc w:val="both"/>
        <w:rPr>
          <w:rFonts w:ascii="Times New Roman" w:hAnsi="Times New Roman"/>
        </w:rPr>
      </w:pPr>
      <w:r w:rsidRPr="00DA3BC7">
        <w:rPr>
          <w:rFonts w:ascii="Times New Roman" w:hAnsi="Times New Roman" w:hint="eastAsia"/>
        </w:rPr>
        <w:t>體與用，依佛法說，是不一不異的。</w:t>
      </w:r>
    </w:p>
    <w:p w:rsidR="00AA120F" w:rsidRPr="00DA3BC7" w:rsidRDefault="00AA120F" w:rsidP="00AE3920">
      <w:pPr>
        <w:spacing w:beforeLines="20"/>
        <w:ind w:leftChars="100" w:left="240"/>
        <w:jc w:val="both"/>
        <w:rPr>
          <w:rFonts w:ascii="Times New Roman" w:hAnsi="Times New Roman"/>
        </w:rPr>
      </w:pPr>
      <w:r w:rsidRPr="00DA3BC7">
        <w:rPr>
          <w:rFonts w:ascii="Times New Roman" w:hAnsi="Times New Roman" w:hint="eastAsia"/>
        </w:rPr>
        <w:t>如從眾緣和合而成的，即是</w:t>
      </w:r>
      <w:r w:rsidRPr="005545B6">
        <w:rPr>
          <w:rFonts w:ascii="Times New Roman" w:hAnsi="Times New Roman" w:hint="eastAsia"/>
          <w:b/>
          <w:u w:val="wave" w:color="C00000"/>
        </w:rPr>
        <w:t>體</w:t>
      </w:r>
      <w:r w:rsidRPr="005545B6">
        <w:rPr>
          <w:rFonts w:ascii="Times New Roman" w:hAnsi="Times New Roman" w:hint="eastAsia"/>
        </w:rPr>
        <w:t>，指</w:t>
      </w:r>
      <w:r w:rsidRPr="00DA3BC7">
        <w:rPr>
          <w:rFonts w:ascii="Times New Roman" w:hAnsi="Times New Roman" w:hint="eastAsia"/>
          <w:b/>
        </w:rPr>
        <w:t>緣起和合性的總體</w:t>
      </w:r>
      <w:r w:rsidRPr="00DA3BC7">
        <w:rPr>
          <w:rFonts w:ascii="Times New Roman" w:hAnsi="Times New Roman" w:hint="eastAsia"/>
        </w:rPr>
        <w:t>；</w:t>
      </w:r>
    </w:p>
    <w:p w:rsidR="00AA120F" w:rsidRPr="00DA3BC7" w:rsidRDefault="00AA120F" w:rsidP="00AE3920">
      <w:pPr>
        <w:spacing w:afterLines="30"/>
        <w:ind w:leftChars="100" w:left="240"/>
        <w:jc w:val="both"/>
        <w:rPr>
          <w:rFonts w:ascii="Times New Roman" w:hAnsi="Times New Roman"/>
        </w:rPr>
      </w:pPr>
      <w:r w:rsidRPr="005545B6">
        <w:rPr>
          <w:rFonts w:ascii="Times New Roman" w:hAnsi="Times New Roman" w:hint="eastAsia"/>
          <w:b/>
          <w:u w:val="wave" w:color="C00000"/>
        </w:rPr>
        <w:t>用</w:t>
      </w:r>
      <w:r w:rsidRPr="00DA3BC7">
        <w:rPr>
          <w:rFonts w:ascii="Times New Roman" w:hAnsi="Times New Roman" w:hint="eastAsia"/>
        </w:rPr>
        <w:t>即</w:t>
      </w:r>
      <w:r w:rsidRPr="00DA3BC7">
        <w:rPr>
          <w:rFonts w:ascii="Times New Roman" w:hAnsi="Times New Roman" w:hint="eastAsia"/>
          <w:b/>
        </w:rPr>
        <w:t>和合性上所起的種種作用</w:t>
      </w:r>
      <w:r w:rsidRPr="00DA3BC7">
        <w:rPr>
          <w:rFonts w:ascii="Times New Roman" w:hAnsi="Times New Roman" w:hint="eastAsia"/>
        </w:rPr>
        <w:t>。</w:t>
      </w:r>
    </w:p>
    <w:p w:rsidR="00AA120F" w:rsidRPr="00DA3BC7" w:rsidRDefault="00AA120F" w:rsidP="00AE3920">
      <w:pPr>
        <w:spacing w:beforeLines="20"/>
        <w:ind w:leftChars="100" w:left="240"/>
        <w:jc w:val="both"/>
        <w:rPr>
          <w:rFonts w:ascii="Times New Roman" w:hAnsi="Times New Roman"/>
        </w:rPr>
      </w:pPr>
      <w:r w:rsidRPr="005545B6">
        <w:rPr>
          <w:rFonts w:ascii="Times New Roman" w:hAnsi="Times New Roman" w:hint="eastAsia"/>
          <w:b/>
          <w:u w:val="wave" w:color="C00000"/>
        </w:rPr>
        <w:t>體</w:t>
      </w:r>
      <w:r w:rsidRPr="00DA3BC7">
        <w:rPr>
          <w:rFonts w:hint="eastAsia"/>
          <w:b/>
        </w:rPr>
        <w:t>與</w:t>
      </w:r>
      <w:r w:rsidRPr="005545B6">
        <w:rPr>
          <w:rFonts w:ascii="Times New Roman" w:hAnsi="Times New Roman" w:hint="eastAsia"/>
          <w:b/>
          <w:u w:val="wave" w:color="C00000"/>
        </w:rPr>
        <w:t>用</w:t>
      </w:r>
      <w:r w:rsidRPr="00DA3BC7">
        <w:rPr>
          <w:rFonts w:hint="eastAsia"/>
          <w:b/>
        </w:rPr>
        <w:t>是不可以相離的，但也不即是一。</w:t>
      </w:r>
    </w:p>
    <w:p w:rsidR="00AA120F" w:rsidRPr="00DA3BC7" w:rsidRDefault="00AA120F" w:rsidP="006D7B07">
      <w:pPr>
        <w:ind w:leftChars="100" w:left="240"/>
        <w:jc w:val="both"/>
        <w:rPr>
          <w:rFonts w:ascii="Times New Roman" w:hAnsi="Times New Roman"/>
        </w:rPr>
      </w:pPr>
      <w:r w:rsidRPr="005545B6">
        <w:rPr>
          <w:rFonts w:ascii="Times New Roman" w:hAnsi="Times New Roman" w:hint="eastAsia"/>
          <w:b/>
          <w:u w:val="wave" w:color="C00000"/>
        </w:rPr>
        <w:t>作者</w:t>
      </w:r>
      <w:r w:rsidRPr="005545B6">
        <w:rPr>
          <w:rFonts w:ascii="Times New Roman" w:hAnsi="Times New Roman" w:hint="eastAsia"/>
        </w:rPr>
        <w:t>與</w:t>
      </w:r>
      <w:r w:rsidRPr="005545B6">
        <w:rPr>
          <w:rFonts w:ascii="Times New Roman" w:hAnsi="Times New Roman" w:hint="eastAsia"/>
          <w:b/>
          <w:u w:val="wave" w:color="C00000"/>
        </w:rPr>
        <w:t>作業</w:t>
      </w:r>
      <w:r w:rsidRPr="00DA3BC7">
        <w:rPr>
          <w:rFonts w:ascii="Times New Roman" w:hAnsi="Times New Roman" w:hint="eastAsia"/>
          <w:b/>
        </w:rPr>
        <w:t>，</w:t>
      </w:r>
      <w:r w:rsidRPr="005545B6">
        <w:rPr>
          <w:rFonts w:ascii="Times New Roman" w:hAnsi="Times New Roman" w:hint="eastAsia"/>
        </w:rPr>
        <w:t>即</w:t>
      </w:r>
      <w:r w:rsidRPr="005545B6">
        <w:rPr>
          <w:rFonts w:ascii="Times New Roman" w:hAnsi="Times New Roman" w:hint="eastAsia"/>
          <w:b/>
          <w:u w:val="wave" w:color="C00000"/>
        </w:rPr>
        <w:t>體</w:t>
      </w:r>
      <w:r w:rsidRPr="005545B6">
        <w:rPr>
          <w:rFonts w:ascii="Times New Roman" w:hAnsi="Times New Roman" w:hint="eastAsia"/>
        </w:rPr>
        <w:t>與</w:t>
      </w:r>
      <w:r w:rsidRPr="005545B6">
        <w:rPr>
          <w:rFonts w:ascii="Times New Roman" w:hAnsi="Times New Roman" w:hint="eastAsia"/>
          <w:b/>
          <w:u w:val="wave" w:color="C00000"/>
        </w:rPr>
        <w:t>用</w:t>
      </w:r>
      <w:r w:rsidRPr="005545B6">
        <w:rPr>
          <w:rFonts w:ascii="Times New Roman" w:hAnsi="Times New Roman" w:hint="eastAsia"/>
        </w:rPr>
        <w:t>的關係</w:t>
      </w:r>
      <w:r w:rsidRPr="00DA3BC7">
        <w:rPr>
          <w:rFonts w:ascii="Times New Roman" w:hAnsi="Times New Roman" w:hint="eastAsia"/>
        </w:rPr>
        <w:t>，如《中論》</w:t>
      </w:r>
      <w:r w:rsidR="00CE19D3">
        <w:rPr>
          <w:rFonts w:ascii="Times New Roman" w:hAnsi="Times New Roman" w:hint="eastAsia"/>
        </w:rPr>
        <w:t>〈</w:t>
      </w:r>
      <w:r w:rsidR="00CE19D3" w:rsidRPr="00AC1C38">
        <w:rPr>
          <w:rFonts w:ascii="Times New Roman" w:hAnsi="Times New Roman" w:hint="eastAsia"/>
          <w:shd w:val="pct15" w:color="auto" w:fill="FFFFFF"/>
        </w:rPr>
        <w:t>8</w:t>
      </w:r>
      <w:r w:rsidR="00CE19D3">
        <w:rPr>
          <w:rFonts w:ascii="Times New Roman" w:hAnsi="Times New Roman" w:hint="eastAsia"/>
        </w:rPr>
        <w:t xml:space="preserve"> </w:t>
      </w:r>
      <w:r w:rsidR="00CE19D3" w:rsidRPr="00CE19D3">
        <w:rPr>
          <w:rFonts w:ascii="Times New Roman" w:hAnsi="Times New Roman" w:hint="eastAsia"/>
          <w:bCs/>
          <w:shd w:val="pct15" w:color="auto" w:fill="FFFFFF"/>
        </w:rPr>
        <w:t>觀</w:t>
      </w:r>
      <w:r w:rsidR="00CE19D3" w:rsidRPr="00DA3BC7">
        <w:rPr>
          <w:rFonts w:ascii="Times New Roman" w:hAnsi="Times New Roman" w:hint="eastAsia"/>
          <w:bCs/>
        </w:rPr>
        <w:t>作作者品</w:t>
      </w:r>
      <w:r w:rsidR="00CE19D3">
        <w:rPr>
          <w:rFonts w:ascii="Times New Roman" w:hAnsi="Times New Roman" w:hint="eastAsia"/>
        </w:rPr>
        <w:t>〉</w:t>
      </w:r>
      <w:r w:rsidRPr="00DA3BC7">
        <w:rPr>
          <w:rFonts w:ascii="Times New Roman" w:hAnsi="Times New Roman" w:hint="eastAsia"/>
        </w:rPr>
        <w:t>說：「</w:t>
      </w:r>
      <w:r w:rsidRPr="00DA3BC7">
        <w:rPr>
          <w:rFonts w:ascii="標楷體" w:eastAsia="標楷體" w:hAnsi="標楷體" w:hint="eastAsia"/>
        </w:rPr>
        <w:t>因業有作者，因作者有業，成業義如是，更無有餘事</w:t>
      </w:r>
      <w:r w:rsidRPr="00DA3BC7">
        <w:rPr>
          <w:rFonts w:ascii="Times New Roman" w:hAnsi="Times New Roman" w:hint="eastAsia"/>
        </w:rPr>
        <w:t>。」</w:t>
      </w:r>
      <w:r w:rsidRPr="00DA3BC7">
        <w:rPr>
          <w:rFonts w:ascii="Times New Roman" w:hAnsi="Times New Roman"/>
          <w:vertAlign w:val="superscript"/>
        </w:rPr>
        <w:footnoteReference w:id="761"/>
      </w:r>
    </w:p>
    <w:p w:rsidR="00AA120F" w:rsidRPr="00DA3BC7" w:rsidRDefault="00AA120F" w:rsidP="00AE3920">
      <w:pPr>
        <w:spacing w:beforeLines="20"/>
        <w:ind w:leftChars="100" w:left="240"/>
        <w:jc w:val="both"/>
        <w:rPr>
          <w:rFonts w:ascii="Times New Roman" w:hAnsi="Times New Roman"/>
        </w:rPr>
      </w:pPr>
      <w:r w:rsidRPr="00DA3BC7">
        <w:rPr>
          <w:rFonts w:ascii="Times New Roman" w:hAnsi="Times New Roman" w:hint="eastAsia"/>
        </w:rPr>
        <w:t>作者的動作，即指</w:t>
      </w:r>
      <w:r w:rsidRPr="00DA3BC7">
        <w:rPr>
          <w:rFonts w:ascii="Times New Roman" w:hAnsi="Times New Roman" w:hint="eastAsia"/>
          <w:b/>
        </w:rPr>
        <w:t>事業</w:t>
      </w:r>
      <w:r w:rsidRPr="00DA3BC7">
        <w:rPr>
          <w:rFonts w:ascii="Times New Roman" w:hAnsi="Times New Roman" w:hint="eastAsia"/>
        </w:rPr>
        <w:t>。常人每引起錯覺，以為另有一物名為業，作者是作者，業是業；論頌正破此以作者非業，而成為別於作者之業的。由作者而作業，故應作者不離作業。</w:t>
      </w:r>
    </w:p>
    <w:p w:rsidR="00AA120F" w:rsidRPr="00DA3BC7" w:rsidRDefault="00AA120F" w:rsidP="00AE3920">
      <w:pPr>
        <w:spacing w:beforeLines="20"/>
        <w:ind w:leftChars="100" w:left="240"/>
        <w:jc w:val="both"/>
        <w:rPr>
          <w:rFonts w:ascii="Times New Roman" w:hAnsi="Times New Roman"/>
        </w:rPr>
      </w:pPr>
      <w:r w:rsidRPr="005545B6">
        <w:rPr>
          <w:rFonts w:ascii="Times New Roman" w:hAnsi="Times New Roman" w:hint="eastAsia"/>
          <w:b/>
          <w:u w:val="wave" w:color="C00000"/>
        </w:rPr>
        <w:t>業</w:t>
      </w:r>
      <w:r w:rsidRPr="00DA3BC7">
        <w:rPr>
          <w:rFonts w:ascii="Times New Roman" w:hAnsi="Times New Roman" w:hint="eastAsia"/>
        </w:rPr>
        <w:t>義有寬有狹：</w:t>
      </w:r>
    </w:p>
    <w:p w:rsidR="00AA120F" w:rsidRPr="00DA3BC7" w:rsidRDefault="00AA120F" w:rsidP="006D7B07">
      <w:pPr>
        <w:ind w:leftChars="100" w:left="240"/>
        <w:jc w:val="both"/>
        <w:rPr>
          <w:rFonts w:ascii="Times New Roman" w:hAnsi="Times New Roman"/>
        </w:rPr>
      </w:pPr>
      <w:r w:rsidRPr="005545B6">
        <w:rPr>
          <w:rFonts w:ascii="Times New Roman" w:hAnsi="Times New Roman" w:hint="eastAsia"/>
          <w:highlight w:val="yellow"/>
        </w:rPr>
        <w:t>狹即</w:t>
      </w:r>
      <w:r w:rsidRPr="00DA3BC7">
        <w:rPr>
          <w:rFonts w:ascii="Times New Roman" w:hAnsi="Times New Roman" w:hint="eastAsia"/>
        </w:rPr>
        <w:t>吾人造善業、惡業，名之為業；</w:t>
      </w:r>
    </w:p>
    <w:p w:rsidR="00AA120F" w:rsidRPr="00DA3BC7" w:rsidRDefault="00AA120F" w:rsidP="006D7B07">
      <w:pPr>
        <w:ind w:leftChars="100" w:left="240"/>
        <w:jc w:val="both"/>
        <w:rPr>
          <w:rFonts w:ascii="Times New Roman" w:hAnsi="Times New Roman"/>
        </w:rPr>
      </w:pPr>
      <w:r w:rsidRPr="005545B6">
        <w:rPr>
          <w:rFonts w:ascii="Times New Roman" w:hAnsi="Times New Roman" w:hint="eastAsia"/>
          <w:highlight w:val="yellow"/>
        </w:rPr>
        <w:t>寬則</w:t>
      </w:r>
      <w:r w:rsidRPr="00DA3BC7">
        <w:rPr>
          <w:rFonts w:ascii="Times New Roman" w:hAnsi="Times New Roman" w:hint="eastAsia"/>
        </w:rPr>
        <w:t>舉凡眼見、耳聞、鳥飛、花落等無不是業。</w:t>
      </w:r>
    </w:p>
    <w:p w:rsidR="00AA120F" w:rsidRPr="00DA3BC7" w:rsidRDefault="00AA120F" w:rsidP="00AE3920">
      <w:pPr>
        <w:spacing w:beforeLines="20"/>
        <w:ind w:leftChars="100" w:left="240"/>
        <w:jc w:val="both"/>
        <w:rPr>
          <w:rFonts w:ascii="Times New Roman" w:hAnsi="Times New Roman"/>
          <w:b/>
        </w:rPr>
      </w:pPr>
      <w:r w:rsidRPr="00DA3BC7">
        <w:rPr>
          <w:rFonts w:ascii="Times New Roman" w:hAnsi="Times New Roman" w:hint="eastAsia"/>
        </w:rPr>
        <w:t>凡是</w:t>
      </w:r>
      <w:r w:rsidRPr="005545B6">
        <w:rPr>
          <w:rFonts w:ascii="Times New Roman" w:hAnsi="Times New Roman" w:hint="eastAsia"/>
          <w:b/>
          <w:u w:val="wave" w:color="C00000"/>
        </w:rPr>
        <w:t>作者</w:t>
      </w:r>
      <w:r w:rsidRPr="00DA3BC7">
        <w:rPr>
          <w:rFonts w:ascii="Times New Roman" w:hAnsi="Times New Roman" w:hint="eastAsia"/>
        </w:rPr>
        <w:t>即有</w:t>
      </w:r>
      <w:r w:rsidRPr="005545B6">
        <w:rPr>
          <w:rFonts w:ascii="Times New Roman" w:hAnsi="Times New Roman" w:hint="eastAsia"/>
          <w:b/>
          <w:u w:val="wave" w:color="C00000"/>
        </w:rPr>
        <w:t>業</w:t>
      </w:r>
      <w:r w:rsidRPr="00DA3BC7">
        <w:rPr>
          <w:rFonts w:ascii="Times New Roman" w:hAnsi="Times New Roman" w:hint="eastAsia"/>
        </w:rPr>
        <w:t>，有</w:t>
      </w:r>
      <w:r w:rsidRPr="005545B6">
        <w:rPr>
          <w:rFonts w:ascii="Times New Roman" w:hAnsi="Times New Roman" w:hint="eastAsia"/>
          <w:b/>
          <w:u w:val="wave" w:color="C00000"/>
        </w:rPr>
        <w:t>業</w:t>
      </w:r>
      <w:r w:rsidRPr="00DA3BC7">
        <w:rPr>
          <w:rFonts w:ascii="Times New Roman" w:hAnsi="Times New Roman" w:hint="eastAsia"/>
        </w:rPr>
        <w:t>必有</w:t>
      </w:r>
      <w:r w:rsidRPr="005545B6">
        <w:rPr>
          <w:rFonts w:ascii="Times New Roman" w:hAnsi="Times New Roman" w:hint="eastAsia"/>
          <w:b/>
          <w:u w:val="wave" w:color="C00000"/>
        </w:rPr>
        <w:t>作者</w:t>
      </w:r>
      <w:r w:rsidRPr="00DA3BC7">
        <w:rPr>
          <w:rFonts w:ascii="Times New Roman" w:hAnsi="Times New Roman" w:hint="eastAsia"/>
        </w:rPr>
        <w:t>，</w:t>
      </w:r>
      <w:r w:rsidRPr="005545B6">
        <w:rPr>
          <w:rFonts w:ascii="Times New Roman" w:hAnsi="Times New Roman" w:hint="eastAsia"/>
          <w:b/>
          <w:u w:val="wave" w:color="C00000"/>
        </w:rPr>
        <w:t>作者</w:t>
      </w:r>
      <w:r w:rsidRPr="00DA3BC7">
        <w:rPr>
          <w:rFonts w:ascii="Times New Roman" w:hAnsi="Times New Roman" w:hint="eastAsia"/>
          <w:b/>
        </w:rPr>
        <w:t>與</w:t>
      </w:r>
      <w:r w:rsidR="00B63731" w:rsidRPr="005545B6">
        <w:rPr>
          <w:rFonts w:ascii="Times New Roman" w:hAnsi="Times New Roman" w:hint="eastAsia"/>
          <w:b/>
          <w:u w:val="wave" w:color="C00000"/>
        </w:rPr>
        <w:t>業</w:t>
      </w:r>
      <w:r w:rsidRPr="00DA3BC7">
        <w:rPr>
          <w:rFonts w:ascii="Times New Roman" w:hAnsi="Times New Roman" w:hint="eastAsia"/>
          <w:b/>
        </w:rPr>
        <w:t>是不一不異的。</w:t>
      </w:r>
    </w:p>
    <w:p w:rsidR="00AA120F" w:rsidRPr="00DA3BC7" w:rsidRDefault="00B63731" w:rsidP="00AE3920">
      <w:pPr>
        <w:spacing w:beforeLines="30"/>
        <w:ind w:leftChars="50" w:left="120"/>
        <w:jc w:val="both"/>
        <w:rPr>
          <w:rFonts w:ascii="Times New Roman" w:hAnsi="Times New Roman"/>
          <w:sz w:val="20"/>
        </w:rPr>
      </w:pPr>
      <w:r w:rsidRPr="00B63731">
        <w:rPr>
          <w:rFonts w:ascii="Times New Roman" w:hAnsi="Times New Roman"/>
          <w:b/>
          <w:color w:val="FF0000"/>
          <w:sz w:val="20"/>
          <w:szCs w:val="20"/>
          <w:highlight w:val="yellow"/>
          <w:bdr w:val="single" w:sz="4" w:space="0" w:color="auto"/>
        </w:rPr>
        <w:t>（</w:t>
      </w:r>
      <w:r w:rsidRPr="00B63731">
        <w:rPr>
          <w:rFonts w:ascii="Times New Roman" w:hAnsi="Times New Roman" w:hint="eastAsia"/>
          <w:b/>
          <w:color w:val="FF0000"/>
          <w:sz w:val="20"/>
          <w:szCs w:val="20"/>
          <w:highlight w:val="yellow"/>
          <w:bdr w:val="single" w:sz="4" w:space="0" w:color="auto"/>
        </w:rPr>
        <w:t>貳</w:t>
      </w:r>
      <w:r w:rsidRPr="00B63731">
        <w:rPr>
          <w:rFonts w:ascii="Times New Roman" w:hAnsi="Times New Roman"/>
          <w:b/>
          <w:color w:val="FF0000"/>
          <w:sz w:val="20"/>
          <w:szCs w:val="20"/>
          <w:highlight w:val="yellow"/>
          <w:bdr w:val="single" w:sz="4" w:space="0" w:color="auto"/>
        </w:rPr>
        <w:t>）</w:t>
      </w:r>
      <w:r w:rsidRPr="00B63731">
        <w:rPr>
          <w:rFonts w:ascii="Times New Roman" w:hAnsi="Times New Roman" w:hint="eastAsia"/>
          <w:b/>
          <w:color w:val="FF0000"/>
          <w:sz w:val="20"/>
          <w:szCs w:val="20"/>
          <w:highlight w:val="yellow"/>
          <w:bdr w:val="single" w:sz="4" w:space="0" w:color="auto"/>
        </w:rPr>
        <w:t>約</w:t>
      </w:r>
      <w:r w:rsidR="00AA120F" w:rsidRPr="00B63731">
        <w:rPr>
          <w:rFonts w:ascii="Times New Roman" w:hAnsi="Times New Roman" w:hint="eastAsia"/>
          <w:b/>
          <w:bCs/>
          <w:color w:val="FF0000"/>
          <w:sz w:val="20"/>
          <w:szCs w:val="26"/>
          <w:highlight w:val="yellow"/>
          <w:bdr w:val="single" w:sz="4" w:space="0" w:color="auto"/>
        </w:rPr>
        <w:t>「作」</w:t>
      </w:r>
      <w:r w:rsidRPr="00B63731">
        <w:rPr>
          <w:rFonts w:ascii="Times New Roman" w:hAnsi="Times New Roman" w:hint="eastAsia"/>
          <w:b/>
          <w:bCs/>
          <w:color w:val="FF0000"/>
          <w:sz w:val="20"/>
          <w:szCs w:val="26"/>
          <w:highlight w:val="yellow"/>
          <w:bdr w:val="single" w:sz="4" w:space="0" w:color="auto"/>
        </w:rPr>
        <w:t>、</w:t>
      </w:r>
      <w:r w:rsidR="00AA120F" w:rsidRPr="00B63731">
        <w:rPr>
          <w:rFonts w:ascii="Times New Roman" w:hAnsi="Times New Roman" w:hint="eastAsia"/>
          <w:b/>
          <w:bCs/>
          <w:color w:val="FF0000"/>
          <w:sz w:val="20"/>
          <w:szCs w:val="26"/>
          <w:highlight w:val="yellow"/>
          <w:bdr w:val="single" w:sz="4" w:space="0" w:color="auto"/>
        </w:rPr>
        <w:t>「力」</w:t>
      </w:r>
      <w:r w:rsidRPr="00B63731">
        <w:rPr>
          <w:rFonts w:ascii="Times New Roman" w:hAnsi="Times New Roman" w:hint="eastAsia"/>
          <w:b/>
          <w:bCs/>
          <w:color w:val="FF0000"/>
          <w:sz w:val="20"/>
          <w:szCs w:val="26"/>
          <w:highlight w:val="yellow"/>
          <w:bdr w:val="single" w:sz="4" w:space="0" w:color="auto"/>
        </w:rPr>
        <w:t>說</w:t>
      </w:r>
      <w:r w:rsidR="00AA120F" w:rsidRPr="00DA3BC7">
        <w:rPr>
          <w:rFonts w:ascii="Times New Roman" w:hAnsi="Times New Roman" w:hint="eastAsia"/>
          <w:bCs/>
          <w:sz w:val="20"/>
          <w:szCs w:val="26"/>
        </w:rPr>
        <w:t>（</w:t>
      </w:r>
      <w:r w:rsidR="00AA120F" w:rsidRPr="00DA3BC7">
        <w:rPr>
          <w:rFonts w:ascii="Times New Roman" w:hAnsi="Times New Roman" w:hint="eastAsia"/>
          <w:bCs/>
          <w:sz w:val="20"/>
          <w:szCs w:val="26"/>
        </w:rPr>
        <w:t>pp.165-166</w:t>
      </w:r>
      <w:r w:rsidR="00AA120F" w:rsidRPr="00DA3BC7">
        <w:rPr>
          <w:rFonts w:ascii="Times New Roman" w:hAnsi="Times New Roman" w:hint="eastAsia"/>
          <w:bCs/>
          <w:sz w:val="20"/>
          <w:szCs w:val="26"/>
        </w:rPr>
        <w:t>）</w:t>
      </w:r>
    </w:p>
    <w:p w:rsidR="00AA120F" w:rsidRPr="00DA3BC7" w:rsidRDefault="00B63731" w:rsidP="006D7B07">
      <w:pPr>
        <w:ind w:leftChars="100" w:left="240"/>
        <w:jc w:val="both"/>
        <w:rPr>
          <w:rFonts w:ascii="Times New Roman" w:hAnsi="Times New Roman"/>
          <w:b/>
          <w:bCs/>
          <w:sz w:val="20"/>
          <w:szCs w:val="20"/>
          <w:bdr w:val="single" w:sz="4" w:space="0" w:color="auto"/>
        </w:rPr>
      </w:pPr>
      <w:r w:rsidRPr="00B63731">
        <w:rPr>
          <w:rFonts w:ascii="Times New Roman" w:hAnsi="Times New Roman" w:hint="eastAsia"/>
          <w:b/>
          <w:color w:val="FF0000"/>
          <w:sz w:val="20"/>
          <w:szCs w:val="26"/>
          <w:highlight w:val="yellow"/>
          <w:bdr w:val="single" w:sz="4" w:space="0" w:color="auto"/>
        </w:rPr>
        <w:t>一</w:t>
      </w:r>
      <w:r w:rsidRPr="00B63731">
        <w:rPr>
          <w:rFonts w:ascii="Times New Roman" w:hAnsi="Times New Roman"/>
          <w:b/>
          <w:color w:val="FF0000"/>
          <w:sz w:val="20"/>
          <w:szCs w:val="26"/>
          <w:highlight w:val="yellow"/>
          <w:bdr w:val="single" w:sz="4" w:space="0" w:color="auto"/>
        </w:rPr>
        <w:t>、</w:t>
      </w:r>
      <w:r w:rsidRPr="00B63731">
        <w:rPr>
          <w:rFonts w:ascii="Times New Roman" w:hAnsi="Times New Roman" w:hint="eastAsia"/>
          <w:b/>
          <w:bCs/>
          <w:color w:val="FF0000"/>
          <w:sz w:val="20"/>
          <w:szCs w:val="20"/>
          <w:highlight w:val="yellow"/>
          <w:bdr w:val="single" w:sz="4" w:space="0" w:color="auto"/>
        </w:rPr>
        <w:t>設問</w:t>
      </w:r>
      <w:r w:rsidR="00AA120F" w:rsidRPr="00DA3BC7">
        <w:rPr>
          <w:rFonts w:ascii="Times New Roman" w:hAnsi="Times New Roman" w:hint="eastAsia"/>
          <w:bCs/>
          <w:sz w:val="20"/>
          <w:szCs w:val="26"/>
        </w:rPr>
        <w:t>（</w:t>
      </w:r>
      <w:r w:rsidR="00AA120F" w:rsidRPr="00DA3BC7">
        <w:rPr>
          <w:rFonts w:ascii="Times New Roman" w:hAnsi="Times New Roman" w:hint="eastAsia"/>
          <w:bCs/>
          <w:sz w:val="20"/>
          <w:szCs w:val="26"/>
        </w:rPr>
        <w:t>p.16</w:t>
      </w:r>
      <w:r>
        <w:rPr>
          <w:rFonts w:ascii="Times New Roman" w:hAnsi="Times New Roman" w:hint="eastAsia"/>
          <w:bCs/>
          <w:sz w:val="20"/>
          <w:szCs w:val="26"/>
        </w:rPr>
        <w:t>5</w:t>
      </w:r>
      <w:r w:rsidR="00AA120F" w:rsidRPr="00DA3BC7">
        <w:rPr>
          <w:rFonts w:ascii="Times New Roman" w:hAnsi="Times New Roman" w:hint="eastAsia"/>
          <w:bCs/>
          <w:sz w:val="20"/>
          <w:szCs w:val="26"/>
        </w:rPr>
        <w:t>）</w:t>
      </w:r>
    </w:p>
    <w:p w:rsidR="00B63731" w:rsidRDefault="00AA120F" w:rsidP="006D7B07">
      <w:pPr>
        <w:ind w:leftChars="100" w:left="240"/>
        <w:jc w:val="both"/>
      </w:pPr>
      <w:r w:rsidRPr="005545B6">
        <w:rPr>
          <w:rFonts w:ascii="Times New Roman" w:hAnsi="Times New Roman" w:hint="eastAsia"/>
          <w:b/>
          <w:u w:val="wave" w:color="C00000"/>
        </w:rPr>
        <w:t>作</w:t>
      </w:r>
      <w:r w:rsidR="005545B6">
        <w:rPr>
          <w:rFonts w:hint="eastAsia"/>
        </w:rPr>
        <w:t>、</w:t>
      </w:r>
      <w:r w:rsidRPr="005545B6">
        <w:rPr>
          <w:rFonts w:ascii="Times New Roman" w:hAnsi="Times New Roman" w:hint="eastAsia"/>
          <w:b/>
          <w:u w:val="wave" w:color="C00000"/>
        </w:rPr>
        <w:t>力</w:t>
      </w:r>
      <w:r w:rsidR="005545B6">
        <w:rPr>
          <w:rFonts w:hint="eastAsia"/>
        </w:rPr>
        <w:t>雖可以總名為</w:t>
      </w:r>
      <w:r w:rsidRPr="005545B6">
        <w:rPr>
          <w:rFonts w:ascii="Times New Roman" w:hAnsi="Times New Roman" w:hint="eastAsia"/>
          <w:b/>
          <w:u w:val="wave" w:color="C00000"/>
        </w:rPr>
        <w:t>用</w:t>
      </w:r>
      <w:r w:rsidR="005545B6">
        <w:rPr>
          <w:rFonts w:hint="eastAsia"/>
        </w:rPr>
        <w:t>，然</w:t>
      </w:r>
      <w:r w:rsidRPr="005545B6">
        <w:rPr>
          <w:rFonts w:ascii="Times New Roman" w:hAnsi="Times New Roman" w:hint="eastAsia"/>
          <w:b/>
          <w:u w:val="wave" w:color="C00000"/>
        </w:rPr>
        <w:t>作</w:t>
      </w:r>
      <w:r w:rsidR="005545B6">
        <w:rPr>
          <w:rFonts w:hint="eastAsia"/>
        </w:rPr>
        <w:t>與</w:t>
      </w:r>
      <w:r w:rsidRPr="005545B6">
        <w:rPr>
          <w:rFonts w:ascii="Times New Roman" w:hAnsi="Times New Roman" w:hint="eastAsia"/>
          <w:b/>
          <w:u w:val="wave" w:color="C00000"/>
        </w:rPr>
        <w:t>力</w:t>
      </w:r>
      <w:r w:rsidRPr="00DA3BC7">
        <w:rPr>
          <w:rFonts w:hint="eastAsia"/>
        </w:rPr>
        <w:t>別說，到底有什麼意義？</w:t>
      </w:r>
    </w:p>
    <w:p w:rsidR="00B63731" w:rsidRPr="00DA3BC7" w:rsidRDefault="00B63731" w:rsidP="00AE3920">
      <w:pPr>
        <w:spacing w:beforeLines="30"/>
        <w:ind w:leftChars="100" w:left="240"/>
        <w:jc w:val="both"/>
        <w:rPr>
          <w:rFonts w:ascii="Times New Roman" w:hAnsi="Times New Roman"/>
          <w:b/>
          <w:bCs/>
          <w:sz w:val="20"/>
          <w:szCs w:val="20"/>
          <w:bdr w:val="single" w:sz="4" w:space="0" w:color="auto"/>
        </w:rPr>
      </w:pPr>
      <w:r>
        <w:rPr>
          <w:rFonts w:ascii="Times New Roman" w:hAnsi="Times New Roman" w:hint="eastAsia"/>
          <w:b/>
          <w:color w:val="FF0000"/>
          <w:sz w:val="20"/>
          <w:szCs w:val="26"/>
          <w:highlight w:val="yellow"/>
          <w:bdr w:val="single" w:sz="4" w:space="0" w:color="auto"/>
        </w:rPr>
        <w:t>二</w:t>
      </w:r>
      <w:r w:rsidRPr="00B63731">
        <w:rPr>
          <w:rFonts w:ascii="Times New Roman" w:hAnsi="Times New Roman"/>
          <w:b/>
          <w:color w:val="FF0000"/>
          <w:sz w:val="20"/>
          <w:szCs w:val="26"/>
          <w:highlight w:val="yellow"/>
          <w:bdr w:val="single" w:sz="4" w:space="0" w:color="auto"/>
        </w:rPr>
        <w:t>、</w:t>
      </w:r>
      <w:r>
        <w:rPr>
          <w:rFonts w:ascii="Times New Roman" w:hAnsi="Times New Roman" w:hint="eastAsia"/>
          <w:b/>
          <w:bCs/>
          <w:color w:val="FF0000"/>
          <w:sz w:val="20"/>
          <w:szCs w:val="20"/>
          <w:highlight w:val="yellow"/>
          <w:bdr w:val="single" w:sz="4" w:space="0" w:color="auto"/>
        </w:rPr>
        <w:t>釋答</w:t>
      </w:r>
      <w:r w:rsidRPr="00DA3BC7">
        <w:rPr>
          <w:rFonts w:ascii="Times New Roman" w:hAnsi="Times New Roman" w:hint="eastAsia"/>
          <w:bCs/>
          <w:sz w:val="20"/>
          <w:szCs w:val="26"/>
        </w:rPr>
        <w:t>（</w:t>
      </w:r>
      <w:r w:rsidRPr="00DA3BC7">
        <w:rPr>
          <w:rFonts w:ascii="Times New Roman" w:hAnsi="Times New Roman" w:hint="eastAsia"/>
          <w:bCs/>
          <w:sz w:val="20"/>
          <w:szCs w:val="26"/>
        </w:rPr>
        <w:t>pp.165-166</w:t>
      </w:r>
      <w:r w:rsidRPr="00DA3BC7">
        <w:rPr>
          <w:rFonts w:ascii="Times New Roman" w:hAnsi="Times New Roman" w:hint="eastAsia"/>
          <w:bCs/>
          <w:sz w:val="20"/>
          <w:szCs w:val="26"/>
        </w:rPr>
        <w:t>）</w:t>
      </w:r>
    </w:p>
    <w:p w:rsidR="00B63731" w:rsidRPr="00DA3BC7" w:rsidRDefault="00B63731" w:rsidP="006D7B07">
      <w:pPr>
        <w:ind w:leftChars="150" w:left="360"/>
        <w:jc w:val="both"/>
        <w:rPr>
          <w:rFonts w:ascii="Times New Roman" w:hAnsi="Times New Roman"/>
          <w:b/>
          <w:bCs/>
          <w:sz w:val="20"/>
          <w:szCs w:val="20"/>
          <w:bdr w:val="single" w:sz="4" w:space="0" w:color="auto"/>
        </w:rPr>
      </w:pPr>
      <w:r>
        <w:rPr>
          <w:rFonts w:ascii="Times New Roman" w:hAnsi="Times New Roman" w:hint="eastAsia"/>
          <w:b/>
          <w:color w:val="FF0000"/>
          <w:sz w:val="20"/>
          <w:szCs w:val="26"/>
          <w:highlight w:val="yellow"/>
          <w:bdr w:val="single" w:sz="4" w:space="0" w:color="auto"/>
        </w:rPr>
        <w:t>（</w:t>
      </w:r>
      <w:r w:rsidRPr="00B63731">
        <w:rPr>
          <w:rFonts w:ascii="Times New Roman" w:hAnsi="Times New Roman" w:hint="eastAsia"/>
          <w:b/>
          <w:color w:val="FF0000"/>
          <w:sz w:val="20"/>
          <w:szCs w:val="26"/>
          <w:highlight w:val="yellow"/>
          <w:bdr w:val="single" w:sz="4" w:space="0" w:color="auto"/>
        </w:rPr>
        <w:t>一</w:t>
      </w:r>
      <w:r>
        <w:rPr>
          <w:rFonts w:ascii="Times New Roman" w:hAnsi="Times New Roman" w:hint="eastAsia"/>
          <w:b/>
          <w:color w:val="FF0000"/>
          <w:sz w:val="20"/>
          <w:szCs w:val="26"/>
          <w:highlight w:val="yellow"/>
          <w:bdr w:val="single" w:sz="4" w:space="0" w:color="auto"/>
        </w:rPr>
        <w:t>）辨義</w:t>
      </w:r>
      <w:r w:rsidRPr="00DA3BC7">
        <w:rPr>
          <w:rFonts w:ascii="Times New Roman" w:hAnsi="Times New Roman" w:hint="eastAsia"/>
          <w:bCs/>
          <w:sz w:val="20"/>
          <w:szCs w:val="26"/>
        </w:rPr>
        <w:t>（</w:t>
      </w:r>
      <w:r w:rsidRPr="00DA3BC7">
        <w:rPr>
          <w:rFonts w:ascii="Times New Roman" w:hAnsi="Times New Roman" w:hint="eastAsia"/>
          <w:bCs/>
          <w:sz w:val="20"/>
          <w:szCs w:val="26"/>
        </w:rPr>
        <w:t>pp.165-166</w:t>
      </w:r>
      <w:r w:rsidRPr="00DA3BC7">
        <w:rPr>
          <w:rFonts w:ascii="Times New Roman" w:hAnsi="Times New Roman" w:hint="eastAsia"/>
          <w:bCs/>
          <w:sz w:val="20"/>
          <w:szCs w:val="26"/>
        </w:rPr>
        <w:t>）</w:t>
      </w:r>
    </w:p>
    <w:p w:rsidR="00AA120F" w:rsidRPr="00DA3BC7" w:rsidRDefault="00AA120F" w:rsidP="006D7B07">
      <w:pPr>
        <w:ind w:leftChars="150" w:left="360"/>
        <w:jc w:val="both"/>
        <w:rPr>
          <w:rFonts w:ascii="Times New Roman" w:hAnsi="Times New Roman"/>
        </w:rPr>
      </w:pPr>
      <w:r w:rsidRPr="00DA3BC7">
        <w:rPr>
          <w:rFonts w:ascii="Times New Roman"/>
        </w:rPr>
        <w:t>約</w:t>
      </w:r>
      <w:r w:rsidRPr="000F0B41">
        <w:rPr>
          <w:rFonts w:ascii="Times New Roman" w:hAnsi="Times New Roman"/>
          <w:b/>
          <w:u w:val="wave" w:color="C00000"/>
        </w:rPr>
        <w:t>法的現在作用</w:t>
      </w:r>
      <w:r w:rsidRPr="00DA3BC7">
        <w:rPr>
          <w:rFonts w:ascii="Times New Roman"/>
        </w:rPr>
        <w:t>說，二者是無差別的。因為</w:t>
      </w:r>
      <w:r w:rsidRPr="000F0B41">
        <w:rPr>
          <w:rFonts w:ascii="Times New Roman" w:hAnsi="Times New Roman"/>
          <w:b/>
          <w:u w:val="wave" w:color="C00000"/>
        </w:rPr>
        <w:t>法</w:t>
      </w:r>
      <w:r w:rsidRPr="00DA3BC7">
        <w:rPr>
          <w:rFonts w:ascii="Times New Roman"/>
        </w:rPr>
        <w:t>必有</w:t>
      </w:r>
      <w:r w:rsidRPr="000F0B41">
        <w:rPr>
          <w:rFonts w:ascii="Times New Roman" w:hAnsi="Times New Roman"/>
          <w:b/>
          <w:u w:val="wave" w:color="C00000"/>
        </w:rPr>
        <w:t>用</w:t>
      </w:r>
      <w:r w:rsidRPr="00DA3BC7">
        <w:rPr>
          <w:rFonts w:ascii="Times New Roman"/>
        </w:rPr>
        <w:t>，</w:t>
      </w:r>
      <w:r w:rsidRPr="000F0B41">
        <w:rPr>
          <w:rFonts w:ascii="Times New Roman" w:hAnsi="Times New Roman"/>
          <w:b/>
          <w:u w:val="wave" w:color="C00000"/>
        </w:rPr>
        <w:t>用</w:t>
      </w:r>
      <w:r w:rsidRPr="00DA3BC7">
        <w:rPr>
          <w:rFonts w:ascii="Times New Roman"/>
        </w:rPr>
        <w:t>即是</w:t>
      </w:r>
      <w:r w:rsidRPr="000F0B41">
        <w:rPr>
          <w:rFonts w:ascii="Times New Roman" w:hAnsi="Times New Roman"/>
          <w:b/>
          <w:u w:val="wave" w:color="C00000"/>
        </w:rPr>
        <w:t>力</w:t>
      </w:r>
      <w:r w:rsidRPr="00DA3BC7">
        <w:rPr>
          <w:rFonts w:ascii="Times New Roman"/>
        </w:rPr>
        <w:t>，也即是</w:t>
      </w:r>
      <w:r w:rsidRPr="00DA3BC7">
        <w:rPr>
          <w:rFonts w:ascii="Times New Roman"/>
        </w:rPr>
        <w:lastRenderedPageBreak/>
        <w:t>活動，活動即是</w:t>
      </w:r>
      <w:r w:rsidRPr="000F0B41">
        <w:rPr>
          <w:rFonts w:ascii="Times New Roman" w:hAnsi="Times New Roman"/>
          <w:b/>
          <w:u w:val="wave" w:color="C00000"/>
        </w:rPr>
        <w:t>業</w:t>
      </w:r>
      <w:r w:rsidRPr="00201FD3">
        <w:rPr>
          <w:rFonts w:ascii="Times New Roman" w:hAnsi="Times New Roman"/>
          <w:sz w:val="20"/>
          <w:szCs w:val="20"/>
          <w:shd w:val="pct15" w:color="auto" w:fill="FFFFFF"/>
        </w:rPr>
        <w:t>（作）</w:t>
      </w:r>
      <w:r w:rsidRPr="00DA3BC7">
        <w:rPr>
          <w:rFonts w:ascii="Times New Roman"/>
        </w:rPr>
        <w:t>。</w:t>
      </w:r>
    </w:p>
    <w:p w:rsidR="00AA120F" w:rsidRPr="00DA3BC7" w:rsidRDefault="00AA120F" w:rsidP="00AE3920">
      <w:pPr>
        <w:spacing w:beforeLines="20"/>
        <w:ind w:leftChars="150" w:left="360"/>
        <w:jc w:val="both"/>
        <w:rPr>
          <w:rFonts w:ascii="Times New Roman" w:hAnsi="Times New Roman"/>
        </w:rPr>
      </w:pPr>
      <w:r w:rsidRPr="00DA3BC7">
        <w:rPr>
          <w:rFonts w:ascii="Times New Roman"/>
        </w:rPr>
        <w:t>但</w:t>
      </w:r>
      <w:r w:rsidRPr="000F0B41">
        <w:rPr>
          <w:rFonts w:ascii="Times New Roman" w:hAnsi="Times New Roman"/>
          <w:b/>
          <w:u w:val="wave" w:color="C00000"/>
        </w:rPr>
        <w:t>作用</w:t>
      </w:r>
      <w:r w:rsidRPr="00201FD3">
        <w:rPr>
          <w:rFonts w:ascii="Times New Roman" w:hAnsi="Times New Roman"/>
          <w:sz w:val="20"/>
          <w:szCs w:val="20"/>
          <w:shd w:val="pct15" w:color="auto" w:fill="FFFFFF"/>
        </w:rPr>
        <w:t>（力）</w:t>
      </w:r>
      <w:r w:rsidRPr="00DA3BC7">
        <w:rPr>
          <w:rFonts w:ascii="Times New Roman"/>
          <w:b/>
        </w:rPr>
        <w:t>，專在</w:t>
      </w:r>
      <w:r w:rsidR="00B63731" w:rsidRPr="000F0B41">
        <w:rPr>
          <w:rFonts w:ascii="Times New Roman" w:hAnsi="Times New Roman"/>
          <w:b/>
          <w:u w:val="wave" w:color="C00000"/>
        </w:rPr>
        <w:t>當前的動作</w:t>
      </w:r>
      <w:r w:rsidRPr="00DA3BC7">
        <w:rPr>
          <w:rFonts w:ascii="Times New Roman"/>
          <w:b/>
        </w:rPr>
        <w:t>說</w:t>
      </w:r>
      <w:r w:rsidRPr="00DA3BC7">
        <w:rPr>
          <w:rFonts w:ascii="Times New Roman"/>
        </w:rPr>
        <w:t>；</w:t>
      </w:r>
    </w:p>
    <w:p w:rsidR="00201FD3" w:rsidRDefault="00AA120F" w:rsidP="006D7B07">
      <w:pPr>
        <w:ind w:leftChars="250" w:left="600"/>
        <w:jc w:val="both"/>
        <w:rPr>
          <w:rFonts w:ascii="Times New Roman"/>
        </w:rPr>
      </w:pPr>
      <w:r w:rsidRPr="000F0B41">
        <w:rPr>
          <w:rFonts w:ascii="Times New Roman" w:hAnsi="Times New Roman"/>
          <w:b/>
          <w:u w:val="wave" w:color="C00000"/>
        </w:rPr>
        <w:t>業</w:t>
      </w:r>
      <w:r w:rsidRPr="00201FD3">
        <w:rPr>
          <w:rFonts w:ascii="Times New Roman" w:hAnsi="Times New Roman"/>
          <w:sz w:val="20"/>
          <w:szCs w:val="20"/>
          <w:shd w:val="pct15" w:color="auto" w:fill="FFFFFF"/>
        </w:rPr>
        <w:t>（作）</w:t>
      </w:r>
      <w:r w:rsidRPr="00DA3BC7">
        <w:rPr>
          <w:rFonts w:ascii="Times New Roman"/>
        </w:rPr>
        <w:t>卻動詞而名詞化的，即</w:t>
      </w:r>
      <w:r w:rsidRPr="000F0B41">
        <w:rPr>
          <w:rFonts w:ascii="Times New Roman" w:hAnsi="Times New Roman"/>
          <w:b/>
          <w:u w:val="wave" w:color="C00000"/>
        </w:rPr>
        <w:t>通於過去、未來</w:t>
      </w:r>
      <w:r w:rsidRPr="00DA3BC7">
        <w:rPr>
          <w:rFonts w:ascii="Times New Roman"/>
        </w:rPr>
        <w:t>。</w:t>
      </w:r>
    </w:p>
    <w:p w:rsidR="00201FD3" w:rsidRPr="00DA3BC7" w:rsidRDefault="00201FD3" w:rsidP="00AE3920">
      <w:pPr>
        <w:spacing w:beforeLines="30"/>
        <w:ind w:leftChars="150" w:left="360"/>
        <w:jc w:val="both"/>
        <w:rPr>
          <w:rFonts w:ascii="Times New Roman" w:hAnsi="Times New Roman"/>
          <w:b/>
          <w:bCs/>
          <w:sz w:val="20"/>
          <w:szCs w:val="20"/>
          <w:bdr w:val="single" w:sz="4" w:space="0" w:color="auto"/>
        </w:rPr>
      </w:pPr>
      <w:r>
        <w:rPr>
          <w:rFonts w:ascii="Times New Roman" w:hAnsi="Times New Roman" w:hint="eastAsia"/>
          <w:b/>
          <w:color w:val="FF0000"/>
          <w:sz w:val="20"/>
          <w:szCs w:val="26"/>
          <w:highlight w:val="yellow"/>
          <w:bdr w:val="single" w:sz="4" w:space="0" w:color="auto"/>
        </w:rPr>
        <w:t>（二）</w:t>
      </w:r>
      <w:r>
        <w:rPr>
          <w:rFonts w:ascii="Times New Roman" w:hAnsi="Times New Roman" w:hint="eastAsia"/>
          <w:b/>
          <w:bCs/>
          <w:color w:val="FF0000"/>
          <w:sz w:val="20"/>
          <w:szCs w:val="20"/>
          <w:highlight w:val="yellow"/>
          <w:bdr w:val="single" w:sz="4" w:space="0" w:color="auto"/>
        </w:rPr>
        <w:t>舉例</w:t>
      </w:r>
      <w:r w:rsidRPr="00DA3BC7">
        <w:rPr>
          <w:rFonts w:ascii="Times New Roman" w:hAnsi="Times New Roman" w:hint="eastAsia"/>
          <w:bCs/>
          <w:sz w:val="20"/>
          <w:szCs w:val="26"/>
        </w:rPr>
        <w:t>（</w:t>
      </w:r>
      <w:r w:rsidRPr="00DA3BC7">
        <w:rPr>
          <w:rFonts w:ascii="Times New Roman" w:hAnsi="Times New Roman" w:hint="eastAsia"/>
          <w:bCs/>
          <w:sz w:val="20"/>
          <w:szCs w:val="26"/>
        </w:rPr>
        <w:t>p.166</w:t>
      </w:r>
      <w:r w:rsidRPr="00DA3BC7">
        <w:rPr>
          <w:rFonts w:ascii="Times New Roman" w:hAnsi="Times New Roman" w:hint="eastAsia"/>
          <w:bCs/>
          <w:sz w:val="20"/>
          <w:szCs w:val="26"/>
        </w:rPr>
        <w:t>）</w:t>
      </w:r>
    </w:p>
    <w:p w:rsidR="00201FD3" w:rsidRDefault="00AA120F" w:rsidP="006D7B07">
      <w:pPr>
        <w:ind w:leftChars="150" w:left="360"/>
        <w:jc w:val="both"/>
        <w:rPr>
          <w:rFonts w:ascii="Times New Roman"/>
        </w:rPr>
      </w:pPr>
      <w:r w:rsidRPr="00DA3BC7">
        <w:rPr>
          <w:rFonts w:ascii="Times New Roman"/>
        </w:rPr>
        <w:t>如眼見的見，是一種動作，然見也可能作為一件事情。</w:t>
      </w:r>
    </w:p>
    <w:p w:rsidR="00AA120F" w:rsidRPr="00DA3BC7" w:rsidRDefault="00AA120F" w:rsidP="006D7B07">
      <w:pPr>
        <w:ind w:leftChars="150" w:left="360"/>
        <w:jc w:val="both"/>
        <w:rPr>
          <w:rFonts w:ascii="Times New Roman"/>
        </w:rPr>
      </w:pPr>
      <w:r w:rsidRPr="00DA3BC7">
        <w:rPr>
          <w:rFonts w:ascii="Times New Roman"/>
        </w:rPr>
        <w:t>如說人作善業、惡業，此即依人的身心活動而顯業相，業即動作之義。依動作名業，業作了，剎那滅後即應沒有，然法法不失，勢用仍在。剎那滅入過去，不像現在那樣有明顯的活動，即動作的潛在</w:t>
      </w:r>
      <w:r w:rsidRPr="00DA3BC7">
        <w:rPr>
          <w:rFonts w:ascii="新細明體" w:hAnsi="新細明體"/>
        </w:rPr>
        <w:t>──</w:t>
      </w:r>
      <w:r w:rsidRPr="00DA3BC7">
        <w:rPr>
          <w:rFonts w:ascii="Times New Roman"/>
        </w:rPr>
        <w:t>過去化</w:t>
      </w:r>
      <w:r w:rsidRPr="00DA3BC7">
        <w:rPr>
          <w:rFonts w:ascii="Times New Roman" w:hint="eastAsia"/>
        </w:rPr>
        <w:t>；</w:t>
      </w:r>
      <w:r w:rsidRPr="00DA3BC7">
        <w:rPr>
          <w:rFonts w:ascii="Times New Roman"/>
        </w:rPr>
        <w:t>在名言上，即動詞的名詞化。</w:t>
      </w:r>
      <w:r w:rsidRPr="00DA3BC7">
        <w:rPr>
          <w:rStyle w:val="a6"/>
          <w:rFonts w:ascii="Times New Roman" w:hAnsi="Times New Roman"/>
        </w:rPr>
        <w:footnoteReference w:id="762"/>
      </w:r>
    </w:p>
    <w:p w:rsidR="00AA120F" w:rsidRPr="00DA3BC7" w:rsidRDefault="00AA120F" w:rsidP="00AE3920">
      <w:pPr>
        <w:spacing w:beforeLines="30"/>
        <w:ind w:leftChars="150" w:left="360"/>
        <w:jc w:val="both"/>
        <w:rPr>
          <w:rFonts w:ascii="Times New Roman" w:hAnsi="Times New Roman"/>
          <w:b/>
          <w:sz w:val="20"/>
          <w:szCs w:val="20"/>
          <w:bdr w:val="single" w:sz="4" w:space="0" w:color="auto"/>
        </w:rPr>
      </w:pPr>
      <w:r w:rsidRPr="00201FD3">
        <w:rPr>
          <w:rFonts w:ascii="Times New Roman" w:hAnsi="Times New Roman"/>
          <w:b/>
          <w:color w:val="FF0000"/>
          <w:sz w:val="20"/>
          <w:szCs w:val="20"/>
          <w:highlight w:val="yellow"/>
          <w:bdr w:val="single" w:sz="4" w:space="0" w:color="auto"/>
        </w:rPr>
        <w:t>（</w:t>
      </w:r>
      <w:r w:rsidR="00201FD3" w:rsidRPr="00201FD3">
        <w:rPr>
          <w:rFonts w:ascii="Times New Roman" w:hAnsi="Times New Roman" w:hint="eastAsia"/>
          <w:b/>
          <w:color w:val="FF0000"/>
          <w:sz w:val="20"/>
          <w:szCs w:val="20"/>
          <w:highlight w:val="yellow"/>
          <w:bdr w:val="single" w:sz="4" w:space="0" w:color="auto"/>
        </w:rPr>
        <w:t>三</w:t>
      </w:r>
      <w:r w:rsidRPr="00201FD3">
        <w:rPr>
          <w:rFonts w:ascii="Times New Roman" w:hAnsi="Times New Roman"/>
          <w:b/>
          <w:color w:val="FF0000"/>
          <w:sz w:val="20"/>
          <w:szCs w:val="20"/>
          <w:highlight w:val="yellow"/>
          <w:bdr w:val="single" w:sz="4" w:space="0" w:color="auto"/>
        </w:rPr>
        <w:t>）</w:t>
      </w:r>
      <w:r w:rsidR="00201FD3" w:rsidRPr="00201FD3">
        <w:rPr>
          <w:rFonts w:ascii="Times New Roman" w:hAnsi="Times New Roman" w:hint="eastAsia"/>
          <w:b/>
          <w:color w:val="FF0000"/>
          <w:sz w:val="20"/>
          <w:szCs w:val="20"/>
          <w:highlight w:val="yellow"/>
          <w:bdr w:val="single" w:sz="4" w:space="0" w:color="auto"/>
        </w:rPr>
        <w:t>結示</w:t>
      </w:r>
      <w:r w:rsidRPr="00DA3BC7">
        <w:rPr>
          <w:rFonts w:ascii="Times New Roman" w:hAnsi="Times New Roman" w:hint="eastAsia"/>
          <w:bCs/>
          <w:sz w:val="20"/>
          <w:szCs w:val="26"/>
        </w:rPr>
        <w:t>（</w:t>
      </w:r>
      <w:r w:rsidRPr="00DA3BC7">
        <w:rPr>
          <w:rFonts w:ascii="Times New Roman" w:hAnsi="Times New Roman" w:hint="eastAsia"/>
          <w:bCs/>
          <w:sz w:val="20"/>
          <w:szCs w:val="26"/>
        </w:rPr>
        <w:t>p.166</w:t>
      </w:r>
      <w:r w:rsidRPr="00DA3BC7">
        <w:rPr>
          <w:rFonts w:ascii="Times New Roman" w:hAnsi="Times New Roman" w:hint="eastAsia"/>
          <w:bCs/>
          <w:sz w:val="20"/>
          <w:szCs w:val="26"/>
        </w:rPr>
        <w:t>）</w:t>
      </w:r>
    </w:p>
    <w:p w:rsidR="00AA120F" w:rsidRPr="00DA3BC7" w:rsidRDefault="00AA120F" w:rsidP="006D7B07">
      <w:pPr>
        <w:ind w:leftChars="150" w:left="360"/>
        <w:jc w:val="both"/>
        <w:rPr>
          <w:rFonts w:ascii="Times New Roman" w:hAnsi="Times New Roman"/>
        </w:rPr>
      </w:pPr>
      <w:r w:rsidRPr="00DA3BC7">
        <w:rPr>
          <w:rFonts w:ascii="Times New Roman" w:hAnsi="Times New Roman" w:hint="eastAsia"/>
        </w:rPr>
        <w:t>所以依</w:t>
      </w:r>
      <w:r w:rsidRPr="000F0B41">
        <w:rPr>
          <w:rFonts w:ascii="Times New Roman" w:hAnsi="Times New Roman" w:hint="eastAsia"/>
          <w:b/>
          <w:u w:val="wave" w:color="C00000"/>
        </w:rPr>
        <w:t>作用</w:t>
      </w:r>
      <w:r w:rsidRPr="00201FD3">
        <w:rPr>
          <w:rFonts w:ascii="Times New Roman" w:hAnsi="Times New Roman" w:hint="eastAsia"/>
          <w:sz w:val="20"/>
          <w:szCs w:val="20"/>
          <w:shd w:val="pct15" w:color="auto" w:fill="FFFFFF"/>
        </w:rPr>
        <w:t>（力）</w:t>
      </w:r>
      <w:r w:rsidRPr="00DA3BC7">
        <w:rPr>
          <w:rFonts w:ascii="Times New Roman" w:hAnsi="Times New Roman" w:hint="eastAsia"/>
        </w:rPr>
        <w:t>和</w:t>
      </w:r>
      <w:r w:rsidRPr="000F0B41">
        <w:rPr>
          <w:rFonts w:ascii="Times New Roman" w:hAnsi="Times New Roman" w:hint="eastAsia"/>
          <w:b/>
          <w:u w:val="wave" w:color="C00000"/>
        </w:rPr>
        <w:t>業</w:t>
      </w:r>
      <w:r w:rsidRPr="00201FD3">
        <w:rPr>
          <w:rFonts w:ascii="Times New Roman" w:hAnsi="Times New Roman" w:hint="eastAsia"/>
          <w:sz w:val="20"/>
          <w:szCs w:val="20"/>
          <w:shd w:val="pct15" w:color="auto" w:fill="FFFFFF"/>
        </w:rPr>
        <w:t>（作）</w:t>
      </w:r>
      <w:r w:rsidRPr="00DA3BC7">
        <w:rPr>
          <w:rFonts w:ascii="Times New Roman" w:hAnsi="Times New Roman" w:hint="eastAsia"/>
        </w:rPr>
        <w:t>的字義去解說，事業的</w:t>
      </w:r>
      <w:r w:rsidRPr="000F0B41">
        <w:rPr>
          <w:rFonts w:ascii="Times New Roman" w:hAnsi="Times New Roman" w:hint="eastAsia"/>
          <w:b/>
          <w:u w:val="wave" w:color="C00000"/>
        </w:rPr>
        <w:t>業</w:t>
      </w:r>
      <w:r w:rsidRPr="00201FD3">
        <w:rPr>
          <w:rFonts w:ascii="Times New Roman" w:hAnsi="Times New Roman" w:hint="eastAsia"/>
          <w:sz w:val="20"/>
          <w:szCs w:val="20"/>
          <w:shd w:val="pct15" w:color="auto" w:fill="FFFFFF"/>
        </w:rPr>
        <w:t>（作）</w:t>
      </w:r>
      <w:r w:rsidRPr="00DA3BC7">
        <w:rPr>
          <w:rFonts w:ascii="Times New Roman" w:hAnsi="Times New Roman" w:hint="eastAsia"/>
        </w:rPr>
        <w:t>與作用的</w:t>
      </w:r>
      <w:r w:rsidRPr="000F0B41">
        <w:rPr>
          <w:rFonts w:ascii="Times New Roman" w:hAnsi="Times New Roman" w:hint="eastAsia"/>
          <w:b/>
          <w:u w:val="wave" w:color="C00000"/>
        </w:rPr>
        <w:t>用</w:t>
      </w:r>
      <w:r w:rsidRPr="00DA3BC7">
        <w:rPr>
          <w:rFonts w:ascii="Times New Roman" w:hAnsi="Times New Roman" w:hint="eastAsia"/>
        </w:rPr>
        <w:t>可以作如是觀：</w:t>
      </w:r>
    </w:p>
    <w:p w:rsidR="00AA120F" w:rsidRPr="00DA3BC7" w:rsidRDefault="00AA120F" w:rsidP="00AE3920">
      <w:pPr>
        <w:spacing w:beforeLines="20"/>
        <w:ind w:leftChars="150" w:left="360"/>
        <w:jc w:val="both"/>
        <w:rPr>
          <w:rFonts w:ascii="Times New Roman" w:hAnsi="Times New Roman"/>
        </w:rPr>
      </w:pPr>
      <w:r w:rsidRPr="00DA3BC7">
        <w:rPr>
          <w:rFonts w:ascii="Times New Roman" w:hAnsi="Times New Roman" w:hint="eastAsia"/>
        </w:rPr>
        <w:t>對</w:t>
      </w:r>
      <w:r w:rsidRPr="000F0B41">
        <w:rPr>
          <w:rFonts w:ascii="Times New Roman" w:hAnsi="Times New Roman" w:hint="eastAsia"/>
          <w:b/>
          <w:u w:val="wave" w:color="C00000"/>
        </w:rPr>
        <w:t>現在當前的法體</w:t>
      </w:r>
      <w:r w:rsidRPr="00DA3BC7">
        <w:rPr>
          <w:rFonts w:ascii="Times New Roman" w:hAnsi="Times New Roman" w:hint="eastAsia"/>
        </w:rPr>
        <w:t>，名為</w:t>
      </w:r>
      <w:r w:rsidRPr="000F0B41">
        <w:rPr>
          <w:rFonts w:ascii="Times New Roman" w:hAnsi="Times New Roman" w:hint="eastAsia"/>
          <w:b/>
          <w:u w:val="wave" w:color="C00000"/>
        </w:rPr>
        <w:t>用</w:t>
      </w:r>
      <w:r w:rsidRPr="00DA3BC7">
        <w:rPr>
          <w:rFonts w:ascii="Times New Roman" w:hAnsi="Times New Roman" w:hint="eastAsia"/>
        </w:rPr>
        <w:t>或</w:t>
      </w:r>
      <w:r w:rsidRPr="000F0B41">
        <w:rPr>
          <w:rFonts w:ascii="Times New Roman" w:hAnsi="Times New Roman" w:hint="eastAsia"/>
          <w:b/>
          <w:u w:val="wave" w:color="C00000"/>
        </w:rPr>
        <w:t>作用</w:t>
      </w:r>
      <w:r w:rsidR="00201FD3">
        <w:rPr>
          <w:rFonts w:ascii="Times New Roman" w:hAnsi="Times New Roman" w:hint="eastAsia"/>
        </w:rPr>
        <w:t>，亦可名</w:t>
      </w:r>
      <w:r w:rsidRPr="000F0B41">
        <w:rPr>
          <w:rFonts w:ascii="Times New Roman" w:hAnsi="Times New Roman" w:hint="eastAsia"/>
          <w:b/>
          <w:u w:val="wave" w:color="C00000"/>
        </w:rPr>
        <w:t>業</w:t>
      </w:r>
      <w:r w:rsidRPr="00DA3BC7">
        <w:rPr>
          <w:rFonts w:ascii="Times New Roman" w:hAnsi="Times New Roman" w:hint="eastAsia"/>
        </w:rPr>
        <w:t>。</w:t>
      </w:r>
    </w:p>
    <w:p w:rsidR="00AA120F" w:rsidRPr="00DA3BC7" w:rsidRDefault="00AA120F" w:rsidP="00AE3920">
      <w:pPr>
        <w:spacing w:afterLines="30"/>
        <w:ind w:leftChars="150" w:left="360"/>
        <w:jc w:val="both"/>
        <w:rPr>
          <w:rFonts w:ascii="Times New Roman" w:hAnsi="Times New Roman"/>
        </w:rPr>
      </w:pPr>
      <w:r w:rsidRPr="00DA3BC7">
        <w:rPr>
          <w:rFonts w:ascii="Times New Roman" w:hAnsi="Times New Roman" w:hint="eastAsia"/>
        </w:rPr>
        <w:t>對</w:t>
      </w:r>
      <w:r w:rsidRPr="000F0B41">
        <w:rPr>
          <w:rFonts w:ascii="Times New Roman" w:hAnsi="Times New Roman" w:hint="eastAsia"/>
          <w:b/>
          <w:u w:val="wave" w:color="C00000"/>
        </w:rPr>
        <w:t>剎那滅後的法</w:t>
      </w:r>
      <w:r w:rsidRPr="00DA3BC7">
        <w:rPr>
          <w:rFonts w:ascii="Times New Roman" w:hAnsi="Times New Roman" w:hint="eastAsia"/>
          <w:b/>
        </w:rPr>
        <w:t>──</w:t>
      </w:r>
      <w:r w:rsidRPr="000F0B41">
        <w:rPr>
          <w:rFonts w:ascii="Times New Roman" w:hAnsi="Times New Roman" w:hint="eastAsia"/>
          <w:b/>
          <w:u w:val="wave" w:color="C00000"/>
        </w:rPr>
        <w:t>作者</w:t>
      </w:r>
      <w:r w:rsidRPr="00DA3BC7">
        <w:rPr>
          <w:rFonts w:ascii="Times New Roman" w:hAnsi="Times New Roman" w:hint="eastAsia"/>
        </w:rPr>
        <w:t>，即特名之為</w:t>
      </w:r>
      <w:r w:rsidRPr="000F0B41">
        <w:rPr>
          <w:rFonts w:ascii="Times New Roman" w:hAnsi="Times New Roman" w:hint="eastAsia"/>
          <w:b/>
          <w:u w:val="wave" w:color="C00000"/>
        </w:rPr>
        <w:t>業</w:t>
      </w:r>
      <w:r w:rsidRPr="00DA3BC7">
        <w:rPr>
          <w:rFonts w:ascii="Times New Roman" w:hAnsi="Times New Roman" w:hint="eastAsia"/>
        </w:rPr>
        <w:t>了。</w:t>
      </w:r>
    </w:p>
    <w:p w:rsidR="00AA120F" w:rsidRPr="00DA3BC7" w:rsidRDefault="00201FD3" w:rsidP="000F0B41">
      <w:pPr>
        <w:ind w:leftChars="150" w:left="360"/>
        <w:jc w:val="both"/>
        <w:rPr>
          <w:rFonts w:ascii="Times New Roman" w:hAnsi="Times New Roman"/>
        </w:rPr>
      </w:pPr>
      <w:r>
        <w:rPr>
          <w:rFonts w:ascii="Times New Roman" w:hAnsi="Times New Roman" w:hint="eastAsia"/>
        </w:rPr>
        <w:t>《順正理論》</w:t>
      </w:r>
      <w:r w:rsidRPr="000F0B41">
        <w:rPr>
          <w:rFonts w:ascii="Times New Roman" w:hAnsi="Times New Roman" w:hint="eastAsia"/>
          <w:b/>
          <w:u w:val="wave" w:color="C00000"/>
        </w:rPr>
        <w:t>作用</w:t>
      </w:r>
      <w:r>
        <w:rPr>
          <w:rFonts w:ascii="Times New Roman" w:hAnsi="Times New Roman" w:hint="eastAsia"/>
        </w:rPr>
        <w:t>與</w:t>
      </w:r>
      <w:r w:rsidRPr="000F0B41">
        <w:rPr>
          <w:rFonts w:ascii="Times New Roman" w:hAnsi="Times New Roman" w:hint="eastAsia"/>
          <w:b/>
          <w:u w:val="wave" w:color="C00000"/>
        </w:rPr>
        <w:t>功能</w:t>
      </w:r>
      <w:r w:rsidR="00AA120F" w:rsidRPr="00DA3BC7">
        <w:rPr>
          <w:rFonts w:ascii="Times New Roman" w:hAnsi="Times New Roman" w:hint="eastAsia"/>
        </w:rPr>
        <w:t>的分別，意義也大概相同。</w:t>
      </w:r>
    </w:p>
    <w:p w:rsidR="00AA120F" w:rsidRPr="00DA3BC7" w:rsidRDefault="00DD439D" w:rsidP="00AE3920">
      <w:pPr>
        <w:spacing w:beforeLines="30"/>
        <w:jc w:val="both"/>
        <w:rPr>
          <w:rFonts w:ascii="Times New Roman" w:hAnsi="Times New Roman"/>
        </w:rPr>
      </w:pPr>
      <w:r w:rsidRPr="00DD439D">
        <w:rPr>
          <w:rFonts w:ascii="Times New Roman" w:hAnsi="Times New Roman" w:hint="eastAsia"/>
          <w:b/>
          <w:color w:val="FF0000"/>
          <w:sz w:val="20"/>
          <w:szCs w:val="26"/>
          <w:highlight w:val="yellow"/>
          <w:bdr w:val="single" w:sz="4" w:space="0" w:color="auto"/>
        </w:rPr>
        <w:t>參</w:t>
      </w:r>
      <w:r w:rsidR="00AA120F" w:rsidRPr="00DD439D">
        <w:rPr>
          <w:rFonts w:ascii="Times New Roman" w:hAnsi="Times New Roman"/>
          <w:b/>
          <w:color w:val="FF0000"/>
          <w:sz w:val="20"/>
          <w:szCs w:val="26"/>
          <w:highlight w:val="yellow"/>
          <w:bdr w:val="single" w:sz="4" w:space="0" w:color="auto"/>
        </w:rPr>
        <w:t>、</w:t>
      </w:r>
      <w:r w:rsidRPr="00DD439D">
        <w:rPr>
          <w:rFonts w:ascii="Times New Roman" w:hAnsi="Times New Roman" w:hint="eastAsia"/>
          <w:b/>
          <w:color w:val="FF0000"/>
          <w:sz w:val="20"/>
          <w:szCs w:val="26"/>
          <w:highlight w:val="yellow"/>
          <w:bdr w:val="single" w:sz="4" w:space="0" w:color="auto"/>
        </w:rPr>
        <w:t>總結成</w:t>
      </w:r>
      <w:r w:rsidR="00AA120F" w:rsidRPr="00DA3BC7">
        <w:rPr>
          <w:rFonts w:ascii="Times New Roman" w:hAnsi="Times New Roman" w:hint="eastAsia"/>
          <w:bCs/>
          <w:sz w:val="20"/>
          <w:szCs w:val="26"/>
        </w:rPr>
        <w:t>（</w:t>
      </w:r>
      <w:r w:rsidR="00AA120F" w:rsidRPr="00DA3BC7">
        <w:rPr>
          <w:rFonts w:ascii="Times New Roman" w:hAnsi="Times New Roman" w:hint="eastAsia"/>
          <w:bCs/>
          <w:sz w:val="20"/>
          <w:szCs w:val="26"/>
        </w:rPr>
        <w:t>p.166</w:t>
      </w:r>
      <w:r w:rsidR="00AA120F" w:rsidRPr="00DA3BC7">
        <w:rPr>
          <w:rFonts w:ascii="Times New Roman" w:hAnsi="Times New Roman" w:hint="eastAsia"/>
          <w:bCs/>
          <w:sz w:val="20"/>
          <w:szCs w:val="26"/>
        </w:rPr>
        <w:t>）</w:t>
      </w:r>
    </w:p>
    <w:p w:rsidR="00AA120F" w:rsidRPr="00DA3BC7" w:rsidRDefault="00AA120F" w:rsidP="008E2BBC">
      <w:pPr>
        <w:ind w:leftChars="10" w:left="24"/>
        <w:jc w:val="both"/>
        <w:rPr>
          <w:rFonts w:ascii="Times New Roman" w:hAnsi="Times New Roman"/>
        </w:rPr>
        <w:sectPr w:rsidR="00AA120F" w:rsidRPr="00DA3BC7" w:rsidSect="004F4714">
          <w:headerReference w:type="default" r:id="rId57"/>
          <w:footnotePr>
            <w:numRestart w:val="eachSect"/>
          </w:footnotePr>
          <w:pgSz w:w="10773" w:h="14742" w:code="155"/>
          <w:pgMar w:top="1418" w:right="1418" w:bottom="1418" w:left="1418" w:header="851" w:footer="992" w:gutter="0"/>
          <w:cols w:space="425"/>
          <w:docGrid w:type="lines" w:linePitch="360"/>
        </w:sectPr>
      </w:pPr>
      <w:r w:rsidRPr="000F0B41">
        <w:rPr>
          <w:rFonts w:ascii="Times New Roman" w:hAnsi="Times New Roman" w:hint="eastAsia"/>
          <w:b/>
          <w:u w:val="wave" w:color="C00000"/>
        </w:rPr>
        <w:t>體</w:t>
      </w:r>
      <w:r w:rsidRPr="00DA3BC7">
        <w:rPr>
          <w:rFonts w:ascii="Times New Roman" w:hAnsi="Times New Roman" w:hint="eastAsia"/>
        </w:rPr>
        <w:t>、</w:t>
      </w:r>
      <w:r w:rsidRPr="000F0B41">
        <w:rPr>
          <w:rFonts w:ascii="Times New Roman" w:hAnsi="Times New Roman" w:hint="eastAsia"/>
          <w:b/>
          <w:u w:val="wave" w:color="C00000"/>
        </w:rPr>
        <w:t>用</w:t>
      </w:r>
      <w:r w:rsidRPr="00DA3BC7">
        <w:rPr>
          <w:rFonts w:ascii="Times New Roman" w:hAnsi="Times New Roman" w:hint="eastAsia"/>
        </w:rPr>
        <w:t>、</w:t>
      </w:r>
      <w:r w:rsidRPr="000F0B41">
        <w:rPr>
          <w:rFonts w:ascii="Times New Roman" w:hAnsi="Times New Roman" w:hint="eastAsia"/>
          <w:b/>
          <w:u w:val="wave" w:color="C00000"/>
        </w:rPr>
        <w:t>業</w:t>
      </w:r>
      <w:r w:rsidRPr="00DA3BC7">
        <w:rPr>
          <w:rFonts w:ascii="Times New Roman" w:hAnsi="Times New Roman" w:hint="eastAsia"/>
        </w:rPr>
        <w:t>，無不如幻，約世俗名言說，可有如是的相對差別。</w:t>
      </w:r>
    </w:p>
    <w:p w:rsidR="00AA120F" w:rsidRPr="00DA3BC7" w:rsidRDefault="00AA120F" w:rsidP="008E2BBC">
      <w:pPr>
        <w:pStyle w:val="1"/>
      </w:pPr>
      <w:bookmarkStart w:id="120" w:name="_Toc405499791"/>
      <w:r w:rsidRPr="00DA3BC7">
        <w:lastRenderedPageBreak/>
        <w:t>第</w:t>
      </w:r>
      <w:r w:rsidRPr="00DA3BC7">
        <w:rPr>
          <w:rFonts w:hint="eastAsia"/>
        </w:rPr>
        <w:t>八</w:t>
      </w:r>
      <w:r w:rsidRPr="00DA3BC7">
        <w:t>章</w:t>
      </w:r>
      <w:r w:rsidRPr="00DA3BC7">
        <w:rPr>
          <w:rFonts w:hint="eastAsia"/>
        </w:rPr>
        <w:t>、中觀之諸法實相</w:t>
      </w:r>
      <w:bookmarkEnd w:id="120"/>
    </w:p>
    <w:p w:rsidR="00AA120F" w:rsidRPr="00DA3BC7" w:rsidRDefault="00AA120F" w:rsidP="008E2BBC">
      <w:pPr>
        <w:pStyle w:val="2"/>
      </w:pPr>
      <w:bookmarkStart w:id="121" w:name="_Toc405499792"/>
      <w:r w:rsidRPr="00DA3BC7">
        <w:t>第</w:t>
      </w:r>
      <w:r w:rsidRPr="00DA3BC7">
        <w:rPr>
          <w:rFonts w:hint="eastAsia"/>
        </w:rPr>
        <w:t>四</w:t>
      </w:r>
      <w:r w:rsidRPr="00DA3BC7">
        <w:t>節</w:t>
      </w:r>
      <w:r w:rsidRPr="00DA3BC7">
        <w:rPr>
          <w:rFonts w:hint="eastAsia"/>
        </w:rPr>
        <w:t>、因、緣、果、報</w:t>
      </w:r>
      <w:bookmarkEnd w:id="121"/>
    </w:p>
    <w:p w:rsidR="00AA120F" w:rsidRPr="00DA3BC7" w:rsidRDefault="00AA120F" w:rsidP="008E2BBC">
      <w:pPr>
        <w:jc w:val="center"/>
      </w:pPr>
      <w:r w:rsidRPr="00DA3BC7">
        <w:t>（</w:t>
      </w:r>
      <w:r w:rsidRPr="00DA3BC7">
        <w:rPr>
          <w:rFonts w:ascii="Times New Roman" w:hAnsi="Times New Roman"/>
        </w:rPr>
        <w:t>pp</w:t>
      </w:r>
      <w:r w:rsidRPr="00DA3BC7">
        <w:t>.</w:t>
      </w:r>
      <w:r w:rsidRPr="00DA3BC7">
        <w:rPr>
          <w:rFonts w:ascii="Times New Roman" w:hAnsi="Times New Roman"/>
        </w:rPr>
        <w:t>1</w:t>
      </w:r>
      <w:r w:rsidRPr="00DA3BC7">
        <w:rPr>
          <w:rFonts w:ascii="Times New Roman" w:hAnsi="Times New Roman" w:hint="eastAsia"/>
        </w:rPr>
        <w:t>66</w:t>
      </w:r>
      <w:r w:rsidRPr="00DA3BC7">
        <w:t>-</w:t>
      </w:r>
      <w:r w:rsidRPr="00DA3BC7">
        <w:rPr>
          <w:rFonts w:ascii="Times New Roman" w:hAnsi="Times New Roman"/>
        </w:rPr>
        <w:t>1</w:t>
      </w:r>
      <w:r w:rsidRPr="00DA3BC7">
        <w:rPr>
          <w:rFonts w:ascii="Times New Roman" w:hAnsi="Times New Roman" w:hint="eastAsia"/>
        </w:rPr>
        <w:t>80</w:t>
      </w:r>
      <w:r w:rsidRPr="00DA3BC7">
        <w:t>）</w:t>
      </w:r>
    </w:p>
    <w:p w:rsidR="00AA120F" w:rsidRPr="00DA3BC7" w:rsidRDefault="00AA120F" w:rsidP="008E2BBC">
      <w:pPr>
        <w:pStyle w:val="Author"/>
      </w:pPr>
    </w:p>
    <w:p w:rsidR="00AA120F" w:rsidRPr="00DA3BC7" w:rsidRDefault="00AA120F" w:rsidP="00AE3920">
      <w:pPr>
        <w:spacing w:beforeLines="50"/>
        <w:jc w:val="both"/>
        <w:rPr>
          <w:rFonts w:ascii="Times New Roman" w:hAnsi="Times New Roman"/>
          <w:b/>
          <w:sz w:val="20"/>
          <w:szCs w:val="26"/>
        </w:rPr>
      </w:pPr>
      <w:r w:rsidRPr="00355735">
        <w:rPr>
          <w:rFonts w:ascii="Times New Roman" w:hAnsi="Times New Roman" w:hint="eastAsia"/>
          <w:b/>
          <w:color w:val="FF0000"/>
          <w:sz w:val="20"/>
          <w:szCs w:val="26"/>
          <w:highlight w:val="yellow"/>
          <w:bdr w:val="single" w:sz="4" w:space="0" w:color="auto"/>
        </w:rPr>
        <w:t>壹</w:t>
      </w:r>
      <w:r w:rsidRPr="00355735">
        <w:rPr>
          <w:rFonts w:ascii="Times New Roman" w:hAnsi="Times New Roman"/>
          <w:b/>
          <w:color w:val="FF0000"/>
          <w:sz w:val="20"/>
          <w:szCs w:val="26"/>
          <w:highlight w:val="yellow"/>
          <w:bdr w:val="single" w:sz="4" w:space="0" w:color="auto"/>
        </w:rPr>
        <w:t>、</w:t>
      </w:r>
      <w:r w:rsidR="00355735" w:rsidRPr="00355735">
        <w:rPr>
          <w:rFonts w:ascii="Times New Roman" w:hAnsi="Times New Roman" w:hint="eastAsia"/>
          <w:b/>
          <w:color w:val="FF0000"/>
          <w:sz w:val="20"/>
          <w:szCs w:val="26"/>
          <w:highlight w:val="yellow"/>
          <w:bdr w:val="single" w:sz="4" w:space="0" w:color="auto"/>
        </w:rPr>
        <w:t>概述名義</w:t>
      </w:r>
      <w:r w:rsidRPr="00DA3BC7">
        <w:rPr>
          <w:rFonts w:ascii="Times New Roman" w:hAnsi="Times New Roman" w:hint="eastAsia"/>
          <w:bCs/>
          <w:sz w:val="20"/>
          <w:szCs w:val="26"/>
        </w:rPr>
        <w:t>（</w:t>
      </w:r>
      <w:r w:rsidRPr="00DA3BC7">
        <w:rPr>
          <w:rFonts w:ascii="Times New Roman" w:hAnsi="Times New Roman" w:hint="eastAsia"/>
          <w:bCs/>
          <w:sz w:val="20"/>
          <w:szCs w:val="26"/>
        </w:rPr>
        <w:t>pp.</w:t>
      </w:r>
      <w:r w:rsidRPr="00DA3BC7">
        <w:rPr>
          <w:rFonts w:ascii="Times New Roman" w:hAnsi="Times New Roman"/>
          <w:bCs/>
          <w:sz w:val="20"/>
          <w:szCs w:val="26"/>
        </w:rPr>
        <w:t>1</w:t>
      </w:r>
      <w:r w:rsidRPr="00DA3BC7">
        <w:rPr>
          <w:rFonts w:ascii="Times New Roman" w:hAnsi="Times New Roman" w:hint="eastAsia"/>
          <w:bCs/>
          <w:sz w:val="20"/>
          <w:szCs w:val="26"/>
        </w:rPr>
        <w:t>66</w:t>
      </w:r>
      <w:r w:rsidRPr="00DA3BC7">
        <w:rPr>
          <w:rFonts w:ascii="Times New Roman" w:hAnsi="Times New Roman"/>
          <w:bCs/>
          <w:sz w:val="20"/>
          <w:szCs w:val="26"/>
        </w:rPr>
        <w:t>-</w:t>
      </w:r>
      <w:r w:rsidRPr="00DA3BC7">
        <w:rPr>
          <w:rFonts w:ascii="Times New Roman" w:hAnsi="Times New Roman" w:hint="eastAsia"/>
          <w:bCs/>
          <w:sz w:val="20"/>
          <w:szCs w:val="26"/>
        </w:rPr>
        <w:t>16</w:t>
      </w:r>
      <w:r w:rsidR="00E11437">
        <w:rPr>
          <w:rFonts w:ascii="Times New Roman" w:hAnsi="Times New Roman" w:hint="eastAsia"/>
          <w:bCs/>
          <w:sz w:val="20"/>
          <w:szCs w:val="26"/>
        </w:rPr>
        <w:t>8</w:t>
      </w:r>
      <w:r w:rsidRPr="00DA3BC7">
        <w:rPr>
          <w:rFonts w:ascii="Times New Roman" w:hAnsi="Times New Roman" w:hint="eastAsia"/>
          <w:bCs/>
          <w:sz w:val="20"/>
          <w:szCs w:val="26"/>
        </w:rPr>
        <w:t>）</w:t>
      </w:r>
    </w:p>
    <w:p w:rsidR="00AA120F" w:rsidRDefault="00AA120F" w:rsidP="008E2BBC">
      <w:pPr>
        <w:ind w:leftChars="50" w:left="120"/>
        <w:jc w:val="both"/>
        <w:rPr>
          <w:rFonts w:ascii="Times New Roman" w:hAnsi="Times New Roman"/>
          <w:bCs/>
          <w:sz w:val="20"/>
          <w:szCs w:val="26"/>
        </w:rPr>
      </w:pPr>
      <w:r w:rsidRPr="00355735">
        <w:rPr>
          <w:rFonts w:ascii="Times New Roman" w:hAnsi="Times New Roman"/>
          <w:b/>
          <w:color w:val="FF0000"/>
          <w:sz w:val="20"/>
          <w:szCs w:val="20"/>
          <w:highlight w:val="yellow"/>
          <w:bdr w:val="single" w:sz="4" w:space="0" w:color="auto"/>
        </w:rPr>
        <w:t>（壹）</w:t>
      </w:r>
      <w:r w:rsidR="00355735" w:rsidRPr="00DA3BC7">
        <w:rPr>
          <w:rFonts w:ascii="Times New Roman" w:hAnsi="Times New Roman" w:hint="eastAsia"/>
          <w:b/>
          <w:bCs/>
          <w:sz w:val="20"/>
          <w:szCs w:val="26"/>
          <w:bdr w:val="single" w:sz="4" w:space="0" w:color="auto"/>
        </w:rPr>
        <w:t>「因」與「緣」</w:t>
      </w:r>
      <w:r w:rsidR="004B5001" w:rsidRPr="00DA3BC7">
        <w:rPr>
          <w:rFonts w:ascii="Times New Roman" w:hAnsi="Times New Roman" w:hint="eastAsia"/>
          <w:bCs/>
          <w:sz w:val="20"/>
          <w:szCs w:val="26"/>
        </w:rPr>
        <w:t>（</w:t>
      </w:r>
      <w:r w:rsidR="004B5001" w:rsidRPr="00DA3BC7">
        <w:rPr>
          <w:rFonts w:ascii="Times New Roman" w:hAnsi="Times New Roman" w:hint="eastAsia"/>
          <w:bCs/>
          <w:sz w:val="20"/>
          <w:szCs w:val="26"/>
        </w:rPr>
        <w:t>pp.</w:t>
      </w:r>
      <w:r w:rsidR="004B5001" w:rsidRPr="00DA3BC7">
        <w:rPr>
          <w:rFonts w:ascii="Times New Roman" w:hAnsi="Times New Roman"/>
          <w:bCs/>
          <w:sz w:val="20"/>
          <w:szCs w:val="26"/>
        </w:rPr>
        <w:t>1</w:t>
      </w:r>
      <w:r w:rsidR="004B5001" w:rsidRPr="00DA3BC7">
        <w:rPr>
          <w:rFonts w:ascii="Times New Roman" w:hAnsi="Times New Roman" w:hint="eastAsia"/>
          <w:bCs/>
          <w:sz w:val="20"/>
          <w:szCs w:val="26"/>
        </w:rPr>
        <w:t>66</w:t>
      </w:r>
      <w:r w:rsidR="004B5001" w:rsidRPr="00DA3BC7">
        <w:rPr>
          <w:rFonts w:ascii="Times New Roman" w:hAnsi="Times New Roman"/>
          <w:bCs/>
          <w:sz w:val="20"/>
          <w:szCs w:val="26"/>
        </w:rPr>
        <w:t>-</w:t>
      </w:r>
      <w:r w:rsidR="004B5001" w:rsidRPr="00DA3BC7">
        <w:rPr>
          <w:rFonts w:ascii="Times New Roman" w:hAnsi="Times New Roman" w:hint="eastAsia"/>
          <w:bCs/>
          <w:sz w:val="20"/>
          <w:szCs w:val="26"/>
        </w:rPr>
        <w:t>167</w:t>
      </w:r>
      <w:r w:rsidR="004B5001" w:rsidRPr="00DA3BC7">
        <w:rPr>
          <w:rFonts w:ascii="Times New Roman" w:hAnsi="Times New Roman" w:hint="eastAsia"/>
          <w:bCs/>
          <w:sz w:val="20"/>
          <w:szCs w:val="26"/>
        </w:rPr>
        <w:t>）</w:t>
      </w:r>
    </w:p>
    <w:p w:rsidR="00355735" w:rsidRPr="00DA3BC7" w:rsidRDefault="00355735" w:rsidP="00BC15C0">
      <w:pPr>
        <w:ind w:leftChars="100" w:left="240"/>
        <w:jc w:val="both"/>
        <w:rPr>
          <w:rFonts w:ascii="Times New Roman" w:hAnsi="Times New Roman"/>
          <w:b/>
          <w:bCs/>
          <w:sz w:val="20"/>
          <w:szCs w:val="20"/>
        </w:rPr>
      </w:pPr>
      <w:r>
        <w:rPr>
          <w:rFonts w:ascii="Times New Roman" w:hAnsi="Times New Roman" w:hint="eastAsia"/>
          <w:b/>
          <w:color w:val="FF0000"/>
          <w:sz w:val="20"/>
          <w:szCs w:val="20"/>
          <w:highlight w:val="yellow"/>
          <w:bdr w:val="single" w:sz="4" w:space="0" w:color="auto"/>
        </w:rPr>
        <w:t>一、明同</w:t>
      </w:r>
    </w:p>
    <w:p w:rsidR="00AA120F" w:rsidRPr="00DA3BC7" w:rsidRDefault="00AA120F" w:rsidP="00AE3920">
      <w:pPr>
        <w:spacing w:afterLines="50"/>
        <w:ind w:leftChars="100" w:left="240"/>
        <w:jc w:val="both"/>
        <w:rPr>
          <w:rFonts w:ascii="Times New Roman" w:hAnsi="Times New Roman"/>
          <w:b/>
          <w:kern w:val="0"/>
          <w:sz w:val="23"/>
          <w:szCs w:val="23"/>
        </w:rPr>
      </w:pPr>
      <w:r w:rsidRPr="00DA3BC7">
        <w:rPr>
          <w:rFonts w:ascii="Times New Roman" w:hAnsi="Times New Roman" w:hint="eastAsia"/>
        </w:rPr>
        <w:t>先說</w:t>
      </w:r>
      <w:r w:rsidRPr="000D4CAA">
        <w:rPr>
          <w:rFonts w:ascii="Times New Roman" w:hAnsi="Times New Roman" w:hint="eastAsia"/>
          <w:b/>
          <w:u w:val="wave" w:color="C00000"/>
        </w:rPr>
        <w:t>因</w:t>
      </w:r>
      <w:r w:rsidRPr="00DA3BC7">
        <w:rPr>
          <w:rFonts w:ascii="Times New Roman" w:hAnsi="Times New Roman" w:hint="eastAsia"/>
        </w:rPr>
        <w:t>與</w:t>
      </w:r>
      <w:r w:rsidRPr="000D4CAA">
        <w:rPr>
          <w:rFonts w:ascii="Times New Roman" w:hAnsi="Times New Roman" w:hint="eastAsia"/>
          <w:b/>
          <w:u w:val="wave" w:color="C00000"/>
        </w:rPr>
        <w:t>緣</w:t>
      </w:r>
      <w:r w:rsidRPr="00DA3BC7">
        <w:rPr>
          <w:rFonts w:ascii="Times New Roman" w:hAnsi="Times New Roman" w:hint="eastAsia"/>
        </w:rPr>
        <w:t>，梵語雖是兩個字，但在《阿含經》裏，常常聯用，似乎沒有什麼不同。如說「</w:t>
      </w:r>
      <w:r w:rsidRPr="00DA3BC7">
        <w:rPr>
          <w:rFonts w:ascii="標楷體" w:eastAsia="標楷體" w:hAnsi="標楷體" w:hint="eastAsia"/>
        </w:rPr>
        <w:t>二因二緣，生於正見</w:t>
      </w:r>
      <w:r w:rsidRPr="00DA3BC7">
        <w:rPr>
          <w:rFonts w:ascii="Times New Roman" w:hAnsi="Times New Roman" w:hint="eastAsia"/>
        </w:rPr>
        <w:t>」</w:t>
      </w:r>
      <w:r w:rsidRPr="00DA3BC7">
        <w:rPr>
          <w:rFonts w:ascii="Times New Roman" w:hAnsi="Times New Roman"/>
          <w:vertAlign w:val="superscript"/>
        </w:rPr>
        <w:footnoteReference w:id="763"/>
      </w:r>
      <w:r w:rsidRPr="00DA3BC7">
        <w:rPr>
          <w:rFonts w:ascii="Times New Roman" w:hAnsi="Times New Roman" w:hint="eastAsia"/>
        </w:rPr>
        <w:t>，二因二緣，即是</w:t>
      </w:r>
      <w:r w:rsidRPr="000D4CAA">
        <w:rPr>
          <w:rFonts w:ascii="Times New Roman" w:hAnsi="Times New Roman" w:hint="eastAsia"/>
          <w:b/>
          <w:u w:val="wave" w:color="C00000"/>
        </w:rPr>
        <w:t>多聞熏習</w:t>
      </w:r>
      <w:r w:rsidRPr="00DA3BC7">
        <w:rPr>
          <w:rFonts w:ascii="Times New Roman" w:hAnsi="Times New Roman" w:hint="eastAsia"/>
        </w:rPr>
        <w:t>與</w:t>
      </w:r>
      <w:r w:rsidRPr="000D4CAA">
        <w:rPr>
          <w:rFonts w:ascii="Times New Roman" w:hAnsi="Times New Roman" w:hint="eastAsia"/>
          <w:b/>
          <w:u w:val="wave" w:color="C00000"/>
        </w:rPr>
        <w:t>如理思惟</w:t>
      </w:r>
      <w:r w:rsidRPr="00DA3BC7">
        <w:rPr>
          <w:rFonts w:ascii="Times New Roman" w:hAnsi="Times New Roman" w:hint="eastAsia"/>
        </w:rPr>
        <w:t>二者。由此觀之，</w:t>
      </w:r>
      <w:r w:rsidRPr="000D4CAA">
        <w:rPr>
          <w:rFonts w:ascii="Times New Roman" w:hAnsi="Times New Roman" w:hint="eastAsia"/>
          <w:b/>
          <w:u w:val="wave" w:color="C00000"/>
        </w:rPr>
        <w:t>因</w:t>
      </w:r>
      <w:r w:rsidRPr="00DA3BC7">
        <w:rPr>
          <w:rFonts w:ascii="Times New Roman" w:hAnsi="Times New Roman" w:hint="eastAsia"/>
        </w:rPr>
        <w:t>與</w:t>
      </w:r>
      <w:r w:rsidRPr="000D4CAA">
        <w:rPr>
          <w:rFonts w:ascii="Times New Roman" w:hAnsi="Times New Roman" w:hint="eastAsia"/>
          <w:b/>
          <w:u w:val="wave" w:color="C00000"/>
        </w:rPr>
        <w:t>緣</w:t>
      </w:r>
      <w:r w:rsidRPr="00DA3BC7">
        <w:rPr>
          <w:rFonts w:ascii="Times New Roman" w:hAnsi="Times New Roman" w:hint="eastAsia"/>
        </w:rPr>
        <w:t>不能說定有差別。</w:t>
      </w:r>
    </w:p>
    <w:p w:rsidR="00AA120F" w:rsidRPr="00DA3BC7" w:rsidRDefault="00355735" w:rsidP="00AE3920">
      <w:pPr>
        <w:spacing w:beforeLines="30"/>
        <w:ind w:leftChars="100" w:left="240"/>
        <w:jc w:val="both"/>
        <w:rPr>
          <w:rFonts w:ascii="Times New Roman" w:hAnsi="Times New Roman"/>
          <w:b/>
          <w:bCs/>
          <w:sz w:val="20"/>
          <w:szCs w:val="20"/>
          <w:bdr w:val="single" w:sz="4" w:space="0" w:color="auto"/>
        </w:rPr>
      </w:pPr>
      <w:r w:rsidRPr="00355735">
        <w:rPr>
          <w:rFonts w:ascii="Times New Roman" w:hAnsi="Times New Roman" w:hint="eastAsia"/>
          <w:b/>
          <w:bCs/>
          <w:color w:val="FF0000"/>
          <w:sz w:val="20"/>
          <w:szCs w:val="20"/>
          <w:highlight w:val="yellow"/>
          <w:bdr w:val="single" w:sz="4" w:space="0" w:color="auto"/>
        </w:rPr>
        <w:t>二、顯異</w:t>
      </w:r>
      <w:r w:rsidR="00AA120F" w:rsidRPr="00DA3BC7">
        <w:rPr>
          <w:rFonts w:ascii="Times New Roman" w:hAnsi="Times New Roman" w:hint="eastAsia"/>
          <w:bCs/>
          <w:sz w:val="20"/>
          <w:szCs w:val="26"/>
        </w:rPr>
        <w:t>（</w:t>
      </w:r>
      <w:r w:rsidR="00AA120F" w:rsidRPr="00DA3BC7">
        <w:rPr>
          <w:rFonts w:ascii="Times New Roman" w:hAnsi="Times New Roman" w:hint="eastAsia"/>
          <w:bCs/>
          <w:sz w:val="20"/>
          <w:szCs w:val="26"/>
        </w:rPr>
        <w:t>p.167</w:t>
      </w:r>
      <w:r w:rsidR="00AA120F" w:rsidRPr="00DA3BC7">
        <w:rPr>
          <w:rFonts w:ascii="Times New Roman" w:hAnsi="Times New Roman" w:hint="eastAsia"/>
          <w:bCs/>
          <w:sz w:val="20"/>
          <w:szCs w:val="26"/>
        </w:rPr>
        <w:t>）</w:t>
      </w:r>
    </w:p>
    <w:p w:rsidR="00AA120F" w:rsidRPr="00DA3BC7" w:rsidRDefault="00355735" w:rsidP="00BC15C0">
      <w:pPr>
        <w:ind w:leftChars="150" w:left="360"/>
        <w:jc w:val="both"/>
        <w:rPr>
          <w:rFonts w:ascii="Times New Roman" w:hAnsi="Times New Roman"/>
          <w:b/>
        </w:rPr>
      </w:pPr>
      <w:r w:rsidRPr="00355735">
        <w:rPr>
          <w:rFonts w:ascii="Times New Roman" w:hAnsi="Times New Roman"/>
          <w:b/>
          <w:color w:val="FF0000"/>
          <w:sz w:val="20"/>
          <w:szCs w:val="20"/>
          <w:highlight w:val="yellow"/>
          <w:bdr w:val="single" w:sz="4" w:space="0" w:color="auto"/>
        </w:rPr>
        <w:t>（</w:t>
      </w:r>
      <w:r w:rsidRPr="00355735">
        <w:rPr>
          <w:rFonts w:ascii="Times New Roman" w:hAnsi="Times New Roman" w:hint="eastAsia"/>
          <w:b/>
          <w:color w:val="FF0000"/>
          <w:sz w:val="20"/>
          <w:szCs w:val="20"/>
          <w:highlight w:val="yellow"/>
          <w:bdr w:val="single" w:sz="4" w:space="0" w:color="auto"/>
        </w:rPr>
        <w:t>一</w:t>
      </w:r>
      <w:r w:rsidRPr="00355735">
        <w:rPr>
          <w:rFonts w:ascii="Times New Roman" w:hAnsi="Times New Roman"/>
          <w:b/>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約「</w:t>
      </w:r>
      <w:r w:rsidR="00AA120F" w:rsidRPr="00DA3BC7">
        <w:rPr>
          <w:rFonts w:ascii="Times New Roman" w:hAnsi="Times New Roman" w:hint="eastAsia"/>
          <w:b/>
          <w:bCs/>
          <w:sz w:val="20"/>
          <w:szCs w:val="20"/>
          <w:bdr w:val="single" w:sz="4" w:space="0" w:color="auto"/>
        </w:rPr>
        <w:t>使用的習慣</w:t>
      </w:r>
      <w:r w:rsidRPr="00355735">
        <w:rPr>
          <w:rFonts w:ascii="Times New Roman" w:hAnsi="Times New Roman" w:hint="eastAsia"/>
          <w:b/>
          <w:bCs/>
          <w:color w:val="FF0000"/>
          <w:sz w:val="20"/>
          <w:szCs w:val="20"/>
          <w:highlight w:val="yellow"/>
          <w:bdr w:val="single" w:sz="4" w:space="0" w:color="auto"/>
        </w:rPr>
        <w:t>」辨</w:t>
      </w:r>
      <w:r w:rsidR="00AA120F" w:rsidRPr="00DA3BC7">
        <w:rPr>
          <w:rFonts w:ascii="Times New Roman" w:hAnsi="Times New Roman" w:hint="eastAsia"/>
          <w:bCs/>
          <w:sz w:val="20"/>
          <w:szCs w:val="26"/>
        </w:rPr>
        <w:t>（</w:t>
      </w:r>
      <w:r w:rsidR="00AA120F" w:rsidRPr="00DA3BC7">
        <w:rPr>
          <w:rFonts w:ascii="Times New Roman" w:hAnsi="Times New Roman" w:hint="eastAsia"/>
          <w:bCs/>
          <w:sz w:val="20"/>
          <w:szCs w:val="26"/>
        </w:rPr>
        <w:t>p.167</w:t>
      </w:r>
      <w:r w:rsidR="00AA120F" w:rsidRPr="00DA3BC7">
        <w:rPr>
          <w:rFonts w:ascii="Times New Roman" w:hAnsi="Times New Roman" w:hint="eastAsia"/>
          <w:bCs/>
          <w:sz w:val="20"/>
          <w:szCs w:val="26"/>
        </w:rPr>
        <w:t>）</w:t>
      </w:r>
    </w:p>
    <w:p w:rsidR="00AA120F" w:rsidRPr="00DA3BC7" w:rsidRDefault="00AA120F" w:rsidP="00BC15C0">
      <w:pPr>
        <w:ind w:leftChars="150" w:left="360"/>
        <w:jc w:val="both"/>
        <w:rPr>
          <w:rFonts w:ascii="Times New Roman" w:hAnsi="Times New Roman"/>
        </w:rPr>
      </w:pPr>
      <w:r w:rsidRPr="00DA3BC7">
        <w:rPr>
          <w:rFonts w:ascii="Times New Roman" w:hAnsi="Times New Roman" w:hint="eastAsia"/>
        </w:rPr>
        <w:t>但從文字使用的習慣去考察，也可以說因與緣有一些差別。如處處說為</w:t>
      </w:r>
      <w:r w:rsidRPr="000D4CAA">
        <w:rPr>
          <w:rFonts w:ascii="Times New Roman" w:hAnsi="Times New Roman" w:hint="eastAsia"/>
          <w:b/>
          <w:u w:val="wave" w:color="C00000"/>
        </w:rPr>
        <w:t>因果</w:t>
      </w:r>
      <w:r w:rsidRPr="00DA3BC7">
        <w:rPr>
          <w:rFonts w:ascii="Times New Roman" w:hAnsi="Times New Roman" w:hint="eastAsia"/>
        </w:rPr>
        <w:t>，而不說為</w:t>
      </w:r>
      <w:r w:rsidRPr="000D4CAA">
        <w:rPr>
          <w:rFonts w:ascii="Times New Roman" w:hAnsi="Times New Roman" w:hint="eastAsia"/>
          <w:b/>
          <w:u w:val="wave" w:color="C00000"/>
        </w:rPr>
        <w:t>緣果</w:t>
      </w:r>
      <w:r w:rsidRPr="00DA3BC7">
        <w:rPr>
          <w:rFonts w:ascii="Times New Roman" w:hAnsi="Times New Roman" w:hint="eastAsia"/>
        </w:rPr>
        <w:t>。又只見名為</w:t>
      </w:r>
      <w:r w:rsidRPr="000D4CAA">
        <w:rPr>
          <w:rFonts w:ascii="Times New Roman" w:hAnsi="Times New Roman" w:hint="eastAsia"/>
          <w:b/>
          <w:u w:val="wave" w:color="C00000"/>
        </w:rPr>
        <w:t>緣起法</w:t>
      </w:r>
      <w:r w:rsidRPr="00DA3BC7">
        <w:rPr>
          <w:rFonts w:ascii="Times New Roman" w:hAnsi="Times New Roman" w:hint="eastAsia"/>
        </w:rPr>
        <w:t>、</w:t>
      </w:r>
      <w:r w:rsidRPr="000D4CAA">
        <w:rPr>
          <w:rFonts w:ascii="Times New Roman" w:hAnsi="Times New Roman" w:hint="eastAsia"/>
          <w:b/>
          <w:u w:val="wave" w:color="C00000"/>
        </w:rPr>
        <w:t>緣生法</w:t>
      </w:r>
      <w:r w:rsidRPr="00DA3BC7">
        <w:rPr>
          <w:rFonts w:ascii="Times New Roman" w:hAnsi="Times New Roman" w:hint="eastAsia"/>
        </w:rPr>
        <w:t>，不曾見名為</w:t>
      </w:r>
      <w:r w:rsidRPr="000D4CAA">
        <w:rPr>
          <w:rFonts w:ascii="Times New Roman" w:hAnsi="Times New Roman" w:hint="eastAsia"/>
          <w:b/>
          <w:u w:val="wave" w:color="C00000"/>
        </w:rPr>
        <w:t>因起法</w:t>
      </w:r>
      <w:r w:rsidRPr="00DA3BC7">
        <w:rPr>
          <w:rFonts w:ascii="Times New Roman" w:hAnsi="Times New Roman" w:hint="eastAsia"/>
        </w:rPr>
        <w:t>、</w:t>
      </w:r>
      <w:r w:rsidRPr="000D4CAA">
        <w:rPr>
          <w:rFonts w:ascii="Times New Roman" w:hAnsi="Times New Roman" w:hint="eastAsia"/>
          <w:b/>
          <w:u w:val="wave" w:color="C00000"/>
        </w:rPr>
        <w:t>因生法</w:t>
      </w:r>
      <w:r w:rsidRPr="00DA3BC7">
        <w:rPr>
          <w:rFonts w:ascii="Times New Roman" w:hAnsi="Times New Roman" w:hint="eastAsia"/>
        </w:rPr>
        <w:t>。</w:t>
      </w:r>
    </w:p>
    <w:p w:rsidR="00AA120F" w:rsidRPr="00DA3BC7" w:rsidRDefault="00AA120F" w:rsidP="00AE3920">
      <w:pPr>
        <w:spacing w:beforeLines="20"/>
        <w:ind w:leftChars="150" w:left="360"/>
        <w:jc w:val="both"/>
        <w:rPr>
          <w:rFonts w:ascii="Times New Roman" w:hAnsi="Times New Roman"/>
        </w:rPr>
      </w:pPr>
      <w:r w:rsidRPr="00DA3BC7">
        <w:rPr>
          <w:rFonts w:ascii="Times New Roman" w:hAnsi="Times New Roman" w:hint="eastAsia"/>
        </w:rPr>
        <w:t>由此名字的應用不同，可以看作：</w:t>
      </w:r>
    </w:p>
    <w:p w:rsidR="00AA120F" w:rsidRPr="00DA3BC7" w:rsidRDefault="00AA120F" w:rsidP="00BC15C0">
      <w:pPr>
        <w:ind w:leftChars="150" w:left="360"/>
        <w:jc w:val="both"/>
        <w:rPr>
          <w:rFonts w:ascii="Times New Roman" w:hAnsi="Times New Roman"/>
        </w:rPr>
      </w:pPr>
      <w:r w:rsidRPr="000D4CAA">
        <w:rPr>
          <w:rFonts w:ascii="Times New Roman" w:hAnsi="Times New Roman" w:hint="eastAsia"/>
          <w:b/>
          <w:u w:val="wave" w:color="C00000"/>
        </w:rPr>
        <w:t>緣</w:t>
      </w:r>
      <w:r w:rsidRPr="00DA3BC7">
        <w:rPr>
          <w:rFonts w:ascii="Times New Roman" w:hAnsi="Times New Roman" w:hint="eastAsia"/>
        </w:rPr>
        <w:t>約</w:t>
      </w:r>
      <w:r w:rsidRPr="00DA3BC7">
        <w:rPr>
          <w:rFonts w:ascii="Times New Roman" w:hAnsi="Times New Roman" w:hint="eastAsia"/>
          <w:b/>
        </w:rPr>
        <w:t>法的力用</w:t>
      </w:r>
      <w:r w:rsidRPr="00DA3BC7">
        <w:rPr>
          <w:rFonts w:ascii="Times New Roman" w:hAnsi="Times New Roman" w:hint="eastAsia"/>
        </w:rPr>
        <w:t>說──古人解說為「</w:t>
      </w:r>
      <w:r w:rsidRPr="00355735">
        <w:rPr>
          <w:rFonts w:ascii="標楷體" w:eastAsia="標楷體" w:hAnsi="標楷體" w:hint="eastAsia"/>
        </w:rPr>
        <w:t>有力能生</w:t>
      </w:r>
      <w:r w:rsidRPr="00DA3BC7">
        <w:rPr>
          <w:rFonts w:ascii="Times New Roman" w:hAnsi="Times New Roman" w:hint="eastAsia"/>
        </w:rPr>
        <w:t>」，</w:t>
      </w:r>
      <w:r w:rsidR="00355735" w:rsidRPr="00355735">
        <w:rPr>
          <w:rFonts w:ascii="Times New Roman" w:hAnsi="Times New Roman"/>
          <w:color w:val="FF0000"/>
          <w:highlight w:val="yellow"/>
          <w:vertAlign w:val="superscript"/>
        </w:rPr>
        <w:footnoteReference w:id="764"/>
      </w:r>
      <w:r w:rsidRPr="00DA3BC7">
        <w:rPr>
          <w:rFonts w:ascii="Times New Roman" w:hAnsi="Times New Roman" w:hint="eastAsia"/>
        </w:rPr>
        <w:t>凡此法於彼法可有作用，即名之為</w:t>
      </w:r>
      <w:r w:rsidRPr="000D4CAA">
        <w:rPr>
          <w:rFonts w:ascii="Times New Roman" w:hAnsi="Times New Roman" w:hint="eastAsia"/>
          <w:b/>
          <w:u w:val="wave" w:color="C00000"/>
        </w:rPr>
        <w:t>緣</w:t>
      </w:r>
      <w:r w:rsidRPr="00DA3BC7">
        <w:rPr>
          <w:rFonts w:ascii="Times New Roman" w:hAnsi="Times New Roman" w:hint="eastAsia"/>
        </w:rPr>
        <w:t>。</w:t>
      </w:r>
    </w:p>
    <w:p w:rsidR="00AA120F" w:rsidRPr="00DA3BC7" w:rsidRDefault="00AA120F" w:rsidP="00BC15C0">
      <w:pPr>
        <w:ind w:leftChars="150" w:left="360"/>
        <w:jc w:val="both"/>
        <w:rPr>
          <w:rFonts w:ascii="Times New Roman" w:hAnsi="Times New Roman"/>
        </w:rPr>
      </w:pPr>
      <w:r w:rsidRPr="000D4CAA">
        <w:rPr>
          <w:rFonts w:ascii="Times New Roman" w:hAnsi="Times New Roman" w:hint="eastAsia"/>
          <w:b/>
          <w:u w:val="wave" w:color="C00000"/>
        </w:rPr>
        <w:t>因</w:t>
      </w:r>
      <w:r w:rsidR="00355735">
        <w:rPr>
          <w:rFonts w:ascii="Times New Roman" w:hAnsi="Times New Roman" w:hint="eastAsia"/>
          <w:color w:val="FF0000"/>
          <w:highlight w:val="yellow"/>
        </w:rPr>
        <w:t>則</w:t>
      </w:r>
      <w:r w:rsidRPr="00DA3BC7">
        <w:rPr>
          <w:rFonts w:ascii="Times New Roman" w:hAnsi="Times New Roman" w:hint="eastAsia"/>
        </w:rPr>
        <w:t>約</w:t>
      </w:r>
      <w:r w:rsidRPr="00DA3BC7">
        <w:rPr>
          <w:rFonts w:ascii="Times New Roman" w:hAnsi="Times New Roman" w:hint="eastAsia"/>
          <w:b/>
        </w:rPr>
        <w:t>法的性質</w:t>
      </w:r>
      <w:r w:rsidRPr="00DA3BC7">
        <w:rPr>
          <w:rFonts w:ascii="Times New Roman" w:hAnsi="Times New Roman" w:hint="eastAsia"/>
        </w:rPr>
        <w:t>說，如世間有種種差別，各有相生相依的關係不同，即成各各的因果系。</w:t>
      </w:r>
    </w:p>
    <w:p w:rsidR="00AA120F" w:rsidRPr="00DA3BC7" w:rsidRDefault="00AA120F" w:rsidP="00AE3920">
      <w:pPr>
        <w:spacing w:beforeLines="20"/>
        <w:ind w:leftChars="150" w:left="1188" w:hangingChars="345" w:hanging="828"/>
        <w:jc w:val="both"/>
        <w:rPr>
          <w:rFonts w:ascii="新細明體" w:hAnsi="新細明體"/>
          <w:bCs/>
        </w:rPr>
      </w:pPr>
      <w:r w:rsidRPr="00DA3BC7">
        <w:rPr>
          <w:rFonts w:ascii="新細明體" w:hAnsi="新細明體" w:hint="eastAsia"/>
          <w:bCs/>
        </w:rPr>
        <w:t>所以</w:t>
      </w:r>
      <w:r w:rsidRPr="000D4CAA">
        <w:rPr>
          <w:rFonts w:ascii="Times New Roman" w:hAnsi="Times New Roman" w:hint="eastAsia"/>
          <w:b/>
          <w:u w:val="wave" w:color="C00000"/>
        </w:rPr>
        <w:t>因</w:t>
      </w:r>
      <w:r w:rsidRPr="00DA3BC7">
        <w:rPr>
          <w:rFonts w:ascii="新細明體" w:hAnsi="新細明體" w:hint="eastAsia"/>
          <w:bCs/>
        </w:rPr>
        <w:t>有顯示</w:t>
      </w:r>
      <w:r w:rsidRPr="00DA3BC7">
        <w:rPr>
          <w:rFonts w:ascii="新細明體" w:hAnsi="新細明體" w:hint="eastAsia"/>
          <w:b/>
          <w:bCs/>
        </w:rPr>
        <w:t>法體</w:t>
      </w:r>
      <w:r w:rsidRPr="00DA3BC7">
        <w:rPr>
          <w:rFonts w:ascii="新細明體" w:hAnsi="新細明體" w:hint="eastAsia"/>
          <w:bCs/>
        </w:rPr>
        <w:t>的性質，</w:t>
      </w:r>
      <w:r w:rsidRPr="000D4CAA">
        <w:rPr>
          <w:rFonts w:ascii="Times New Roman" w:hAnsi="Times New Roman" w:hint="eastAsia"/>
          <w:b/>
          <w:u w:val="wave" w:color="C00000"/>
        </w:rPr>
        <w:t>緣</w:t>
      </w:r>
      <w:r w:rsidRPr="00DA3BC7">
        <w:rPr>
          <w:rFonts w:ascii="新細明體" w:hAnsi="新細明體" w:hint="eastAsia"/>
          <w:bCs/>
        </w:rPr>
        <w:t>從</w:t>
      </w:r>
      <w:r w:rsidRPr="00DA3BC7">
        <w:rPr>
          <w:rFonts w:ascii="新細明體" w:hAnsi="新細明體" w:hint="eastAsia"/>
          <w:b/>
          <w:bCs/>
        </w:rPr>
        <w:t>力用</w:t>
      </w:r>
      <w:r w:rsidRPr="00DA3BC7">
        <w:rPr>
          <w:rFonts w:ascii="新細明體" w:hAnsi="新細明體" w:hint="eastAsia"/>
          <w:bCs/>
        </w:rPr>
        <w:t>而得名。</w:t>
      </w:r>
    </w:p>
    <w:p w:rsidR="00AA120F" w:rsidRPr="00DA3BC7" w:rsidRDefault="00355735" w:rsidP="00AE3920">
      <w:pPr>
        <w:spacing w:beforeLines="20"/>
        <w:ind w:leftChars="150" w:left="360"/>
        <w:jc w:val="both"/>
        <w:rPr>
          <w:rFonts w:ascii="Times New Roman" w:hAnsi="Times New Roman"/>
        </w:rPr>
      </w:pPr>
      <w:r w:rsidRPr="00355735">
        <w:rPr>
          <w:rFonts w:ascii="Times New Roman" w:hAnsi="Times New Roman"/>
          <w:b/>
          <w:color w:val="FF0000"/>
          <w:sz w:val="20"/>
          <w:szCs w:val="20"/>
          <w:highlight w:val="yellow"/>
          <w:bdr w:val="single" w:sz="4" w:space="0" w:color="auto"/>
        </w:rPr>
        <w:t>（</w:t>
      </w:r>
      <w:r w:rsidR="00AA120F" w:rsidRPr="00355735">
        <w:rPr>
          <w:rFonts w:ascii="Times New Roman" w:hAnsi="Times New Roman" w:hint="eastAsia"/>
          <w:b/>
          <w:bCs/>
          <w:color w:val="FF0000"/>
          <w:sz w:val="20"/>
          <w:szCs w:val="20"/>
          <w:highlight w:val="yellow"/>
          <w:bdr w:val="single" w:sz="4" w:space="0" w:color="auto"/>
        </w:rPr>
        <w:t>二</w:t>
      </w:r>
      <w:r w:rsidRPr="00355735">
        <w:rPr>
          <w:rFonts w:ascii="Times New Roman" w:hAnsi="Times New Roman"/>
          <w:b/>
          <w:color w:val="FF0000"/>
          <w:sz w:val="20"/>
          <w:szCs w:val="20"/>
          <w:highlight w:val="yellow"/>
          <w:bdr w:val="single" w:sz="4" w:space="0" w:color="auto"/>
        </w:rPr>
        <w:t>）</w:t>
      </w:r>
      <w:r w:rsidR="00AA120F" w:rsidRPr="00DA3BC7">
        <w:rPr>
          <w:rFonts w:ascii="Times New Roman" w:hAnsi="Times New Roman" w:hint="eastAsia"/>
          <w:b/>
          <w:bCs/>
          <w:sz w:val="20"/>
          <w:szCs w:val="20"/>
          <w:bdr w:val="single" w:sz="4" w:space="0" w:color="auto"/>
        </w:rPr>
        <w:t>依</w:t>
      </w:r>
      <w:r w:rsidRPr="00355735">
        <w:rPr>
          <w:rFonts w:ascii="Times New Roman" w:hAnsi="Times New Roman" w:hint="eastAsia"/>
          <w:b/>
          <w:bCs/>
          <w:color w:val="FF0000"/>
          <w:sz w:val="20"/>
          <w:szCs w:val="20"/>
          <w:highlight w:val="yellow"/>
          <w:bdr w:val="single" w:sz="4" w:space="0" w:color="auto"/>
        </w:rPr>
        <w:t>「</w:t>
      </w:r>
      <w:r w:rsidR="00AA120F" w:rsidRPr="00DA3BC7">
        <w:rPr>
          <w:rFonts w:ascii="Times New Roman" w:hAnsi="Times New Roman" w:hint="eastAsia"/>
          <w:b/>
          <w:bCs/>
          <w:sz w:val="20"/>
          <w:szCs w:val="20"/>
          <w:bdr w:val="single" w:sz="4" w:space="0" w:color="auto"/>
        </w:rPr>
        <w:t>梵文</w:t>
      </w:r>
      <w:r>
        <w:rPr>
          <w:rFonts w:ascii="Times New Roman" w:hAnsi="Times New Roman" w:hint="eastAsia"/>
          <w:b/>
          <w:bCs/>
          <w:color w:val="FF0000"/>
          <w:sz w:val="20"/>
          <w:szCs w:val="20"/>
          <w:highlight w:val="yellow"/>
          <w:bdr w:val="single" w:sz="4" w:space="0" w:color="auto"/>
        </w:rPr>
        <w:t>解讀」辨</w:t>
      </w:r>
      <w:r w:rsidR="00AA120F" w:rsidRPr="00DA3BC7">
        <w:rPr>
          <w:rFonts w:ascii="Times New Roman" w:hAnsi="Times New Roman" w:hint="eastAsia"/>
          <w:bCs/>
          <w:sz w:val="20"/>
          <w:szCs w:val="26"/>
        </w:rPr>
        <w:t>（</w:t>
      </w:r>
      <w:r w:rsidR="00AA120F" w:rsidRPr="00DA3BC7">
        <w:rPr>
          <w:rFonts w:ascii="Times New Roman" w:hAnsi="Times New Roman" w:hint="eastAsia"/>
          <w:bCs/>
          <w:sz w:val="20"/>
          <w:szCs w:val="26"/>
        </w:rPr>
        <w:t>p.167</w:t>
      </w:r>
      <w:r w:rsidR="00AA120F" w:rsidRPr="00DA3BC7">
        <w:rPr>
          <w:rFonts w:ascii="Times New Roman" w:hAnsi="Times New Roman" w:hint="eastAsia"/>
          <w:bCs/>
          <w:sz w:val="20"/>
          <w:szCs w:val="26"/>
        </w:rPr>
        <w:t>）</w:t>
      </w:r>
    </w:p>
    <w:p w:rsidR="00AA120F" w:rsidRPr="00DA3BC7" w:rsidRDefault="00AA120F" w:rsidP="00BC15C0">
      <w:pPr>
        <w:ind w:leftChars="150" w:left="360"/>
        <w:jc w:val="both"/>
        <w:rPr>
          <w:rFonts w:ascii="Times New Roman" w:hAnsi="Times New Roman"/>
        </w:rPr>
      </w:pPr>
      <w:r w:rsidRPr="00DA3BC7">
        <w:rPr>
          <w:rFonts w:ascii="Times New Roman" w:hAnsi="Times New Roman" w:hint="eastAsia"/>
        </w:rPr>
        <w:t>還有，依梵文的《中論》考察，羅什所譯的因緣，原文略有三種不同：</w:t>
      </w:r>
    </w:p>
    <w:p w:rsidR="00AA120F" w:rsidRPr="00DA3BC7" w:rsidRDefault="00AA120F" w:rsidP="00BC15C0">
      <w:pPr>
        <w:ind w:leftChars="150" w:left="360"/>
        <w:jc w:val="both"/>
        <w:rPr>
          <w:rFonts w:ascii="Times New Roman" w:hAnsi="Times New Roman"/>
        </w:rPr>
      </w:pPr>
      <w:r w:rsidRPr="00DA3BC7">
        <w:rPr>
          <w:rFonts w:ascii="Times New Roman" w:hAnsi="Times New Roman" w:hint="eastAsia"/>
        </w:rPr>
        <w:t>（一）</w:t>
      </w:r>
      <w:r w:rsidR="00355735">
        <w:rPr>
          <w:rFonts w:ascii="Times New Roman" w:hAnsi="Times New Roman" w:hint="eastAsia"/>
        </w:rPr>
        <w:t>、</w:t>
      </w:r>
      <w:r w:rsidRPr="00DA3BC7">
        <w:rPr>
          <w:rFonts w:ascii="Times New Roman" w:hAnsi="Times New Roman" w:hint="eastAsia"/>
        </w:rPr>
        <w:t>是</w:t>
      </w:r>
      <w:r w:rsidRPr="00DA3BC7">
        <w:rPr>
          <w:rFonts w:ascii="Times New Roman" w:hAnsi="Times New Roman" w:hint="eastAsia"/>
          <w:b/>
        </w:rPr>
        <w:t>緣起</w:t>
      </w:r>
      <w:r w:rsidRPr="00355735">
        <w:rPr>
          <w:rFonts w:ascii="Times New Roman" w:hAnsi="Times New Roman" w:hint="eastAsia"/>
          <w:shd w:val="pct15" w:color="auto" w:fill="FFFFFF"/>
        </w:rPr>
        <w:t>（</w:t>
      </w:r>
      <w:r w:rsidRPr="00355735">
        <w:rPr>
          <w:rFonts w:ascii="Times New Roman" w:hAnsi="Times New Roman" w:cs="Times Ext Roman"/>
          <w:shd w:val="pct15" w:color="auto" w:fill="FFFFFF"/>
        </w:rPr>
        <w:t>pratītya</w:t>
      </w:r>
      <w:r w:rsidRPr="00355735">
        <w:rPr>
          <w:rFonts w:ascii="Times Ext Roman" w:hAnsi="Times Ext Roman" w:cs="Times Ext Roman"/>
          <w:shd w:val="pct15" w:color="auto" w:fill="FFFFFF"/>
        </w:rPr>
        <w:t>-</w:t>
      </w:r>
      <w:r w:rsidRPr="00355735">
        <w:rPr>
          <w:rFonts w:ascii="Times New Roman" w:hAnsi="Times New Roman" w:cs="Times Ext Roman"/>
          <w:shd w:val="pct15" w:color="auto" w:fill="FFFFFF"/>
        </w:rPr>
        <w:t>samutp</w:t>
      </w:r>
      <w:r w:rsidRPr="00355735">
        <w:rPr>
          <w:rFonts w:ascii="Times New Roman" w:hAnsi="Times New Roman"/>
          <w:shd w:val="pct15" w:color="auto" w:fill="FFFFFF"/>
        </w:rPr>
        <w:t>ā</w:t>
      </w:r>
      <w:r w:rsidRPr="00355735">
        <w:rPr>
          <w:rFonts w:ascii="Times New Roman" w:hAnsi="Times New Roman" w:cs="Times Ext Roman"/>
          <w:shd w:val="pct15" w:color="auto" w:fill="FFFFFF"/>
        </w:rPr>
        <w:t>da</w:t>
      </w:r>
      <w:r w:rsidRPr="00355735">
        <w:rPr>
          <w:rFonts w:ascii="Times New Roman" w:hAnsi="Times New Roman" w:hint="eastAsia"/>
          <w:shd w:val="pct15" w:color="auto" w:fill="FFFFFF"/>
        </w:rPr>
        <w:t>）</w:t>
      </w:r>
      <w:r w:rsidRPr="00DA3BC7">
        <w:rPr>
          <w:rFonts w:ascii="Times New Roman" w:hAnsi="Times New Roman" w:hint="eastAsia"/>
        </w:rPr>
        <w:t>，</w:t>
      </w:r>
    </w:p>
    <w:p w:rsidR="00AA120F" w:rsidRPr="00DA3BC7" w:rsidRDefault="00AA120F" w:rsidP="00BC15C0">
      <w:pPr>
        <w:ind w:leftChars="150" w:left="360"/>
        <w:jc w:val="both"/>
        <w:rPr>
          <w:rFonts w:ascii="Times New Roman" w:hAnsi="Times New Roman"/>
        </w:rPr>
      </w:pPr>
      <w:r w:rsidRPr="00DA3BC7">
        <w:rPr>
          <w:rFonts w:ascii="Times New Roman" w:hAnsi="Times New Roman" w:hint="eastAsia"/>
        </w:rPr>
        <w:lastRenderedPageBreak/>
        <w:t>（二）</w:t>
      </w:r>
      <w:r w:rsidR="00355735">
        <w:rPr>
          <w:rFonts w:ascii="Times New Roman" w:hAnsi="Times New Roman" w:hint="eastAsia"/>
        </w:rPr>
        <w:t>、</w:t>
      </w:r>
      <w:r w:rsidRPr="00DA3BC7">
        <w:rPr>
          <w:rFonts w:ascii="Times New Roman" w:hAnsi="Times New Roman" w:hint="eastAsia"/>
        </w:rPr>
        <w:t>是四緣</w:t>
      </w:r>
      <w:r w:rsidRPr="00DA3BC7">
        <w:rPr>
          <w:rStyle w:val="a6"/>
          <w:rFonts w:ascii="Times New Roman" w:hAnsi="Times New Roman"/>
        </w:rPr>
        <w:footnoteReference w:id="765"/>
      </w:r>
      <w:r w:rsidRPr="00DA3BC7">
        <w:rPr>
          <w:rFonts w:ascii="Times New Roman" w:hAnsi="Times New Roman" w:hint="eastAsia"/>
        </w:rPr>
        <w:t>中的</w:t>
      </w:r>
      <w:r w:rsidRPr="00DA3BC7">
        <w:rPr>
          <w:rFonts w:ascii="Times New Roman" w:hAnsi="Times New Roman" w:hint="eastAsia"/>
          <w:b/>
        </w:rPr>
        <w:t>因緣</w:t>
      </w:r>
      <w:r w:rsidRPr="00355735">
        <w:rPr>
          <w:rFonts w:ascii="Times New Roman" w:hAnsi="Times New Roman" w:cs="Times Ext Roman" w:hint="eastAsia"/>
          <w:shd w:val="pct15" w:color="auto" w:fill="FFFFFF"/>
        </w:rPr>
        <w:t>（</w:t>
      </w:r>
      <w:r w:rsidRPr="00355735">
        <w:rPr>
          <w:rFonts w:ascii="Times New Roman" w:hAnsi="Times New Roman" w:cs="Times Ext Roman"/>
          <w:shd w:val="pct15" w:color="auto" w:fill="FFFFFF"/>
        </w:rPr>
        <w:t>hetu</w:t>
      </w:r>
      <w:r w:rsidRPr="00355735">
        <w:rPr>
          <w:rFonts w:ascii="Times New Roman" w:hAnsi="Times New Roman" w:cs="Times Ext Roman" w:hint="eastAsia"/>
          <w:shd w:val="pct15" w:color="auto" w:fill="FFFFFF"/>
        </w:rPr>
        <w:t>-</w:t>
      </w:r>
      <w:r w:rsidRPr="00355735">
        <w:rPr>
          <w:rFonts w:ascii="Times New Roman" w:hAnsi="Times New Roman" w:cs="Times Ext Roman"/>
          <w:shd w:val="pct15" w:color="auto" w:fill="FFFFFF"/>
        </w:rPr>
        <w:t>pratyaya</w:t>
      </w:r>
      <w:r w:rsidRPr="00355735">
        <w:rPr>
          <w:rFonts w:ascii="Times New Roman" w:hAnsi="Times New Roman" w:cs="Times Ext Roman" w:hint="eastAsia"/>
          <w:shd w:val="pct15" w:color="auto" w:fill="FFFFFF"/>
        </w:rPr>
        <w:t>）</w:t>
      </w:r>
      <w:r w:rsidRPr="00DA3BC7">
        <w:rPr>
          <w:rFonts w:ascii="Times New Roman" w:hAnsi="Times New Roman" w:hint="eastAsia"/>
        </w:rPr>
        <w:t>，</w:t>
      </w:r>
    </w:p>
    <w:p w:rsidR="00AA120F" w:rsidRPr="00DA3BC7" w:rsidRDefault="00AA120F" w:rsidP="00BC15C0">
      <w:pPr>
        <w:ind w:leftChars="150" w:left="360"/>
        <w:jc w:val="both"/>
        <w:rPr>
          <w:rFonts w:ascii="Times New Roman" w:hAnsi="Times New Roman"/>
        </w:rPr>
      </w:pPr>
      <w:r w:rsidRPr="00DA3BC7">
        <w:rPr>
          <w:rFonts w:ascii="Times New Roman" w:hAnsi="Times New Roman" w:hint="eastAsia"/>
        </w:rPr>
        <w:t>（三）</w:t>
      </w:r>
      <w:r w:rsidR="00355735">
        <w:rPr>
          <w:rFonts w:ascii="Times New Roman" w:hAnsi="Times New Roman" w:hint="eastAsia"/>
        </w:rPr>
        <w:t>、</w:t>
      </w:r>
      <w:r w:rsidRPr="00DA3BC7">
        <w:rPr>
          <w:rFonts w:ascii="Times New Roman" w:hAnsi="Times New Roman" w:hint="eastAsia"/>
        </w:rPr>
        <w:t>是</w:t>
      </w:r>
      <w:r w:rsidRPr="00DA3BC7">
        <w:rPr>
          <w:rFonts w:ascii="Times New Roman" w:hAnsi="Times New Roman" w:hint="eastAsia"/>
          <w:b/>
        </w:rPr>
        <w:t>因</w:t>
      </w:r>
      <w:r w:rsidRPr="00DA3BC7">
        <w:rPr>
          <w:rFonts w:ascii="Times New Roman" w:hAnsi="Times New Roman" w:hint="eastAsia"/>
        </w:rPr>
        <w:t>與</w:t>
      </w:r>
      <w:r w:rsidRPr="00DA3BC7">
        <w:rPr>
          <w:rFonts w:ascii="Times New Roman" w:hAnsi="Times New Roman" w:hint="eastAsia"/>
          <w:b/>
        </w:rPr>
        <w:t>緣</w:t>
      </w:r>
      <w:r w:rsidRPr="00355735">
        <w:rPr>
          <w:rFonts w:ascii="Times New Roman" w:hAnsi="Times New Roman" w:cs="Times Ext Roman" w:hint="eastAsia"/>
          <w:shd w:val="pct15" w:color="auto" w:fill="FFFFFF"/>
        </w:rPr>
        <w:t>（</w:t>
      </w:r>
      <w:r w:rsidRPr="00355735">
        <w:rPr>
          <w:rFonts w:ascii="Times New Roman" w:hAnsi="Times New Roman" w:cs="Times Ext Roman"/>
          <w:shd w:val="pct15" w:color="auto" w:fill="FFFFFF"/>
        </w:rPr>
        <w:t>het</w:t>
      </w:r>
      <w:r w:rsidRPr="00355735">
        <w:rPr>
          <w:rFonts w:ascii="Times New Roman" w:hAnsi="Times New Roman" w:cs="Times Ext Roman" w:hint="eastAsia"/>
          <w:shd w:val="pct15" w:color="auto" w:fill="FFFFFF"/>
        </w:rPr>
        <w:t>u</w:t>
      </w:r>
      <w:r w:rsidRPr="00355735">
        <w:rPr>
          <w:rFonts w:ascii="Times New Roman" w:hAnsi="Times New Roman" w:cs="Times Ext Roman"/>
          <w:shd w:val="pct15" w:color="auto" w:fill="FFFFFF"/>
        </w:rPr>
        <w:t>，</w:t>
      </w:r>
      <w:r w:rsidRPr="00355735">
        <w:rPr>
          <w:rFonts w:ascii="Times New Roman" w:hAnsi="Times New Roman" w:cs="Times Ext Roman"/>
          <w:shd w:val="pct15" w:color="auto" w:fill="FFFFFF"/>
        </w:rPr>
        <w:t>pratyaya</w:t>
      </w:r>
      <w:r w:rsidRPr="00355735">
        <w:rPr>
          <w:rFonts w:ascii="Times New Roman" w:hAnsi="Times New Roman" w:cs="Times Ext Roman" w:hint="eastAsia"/>
          <w:shd w:val="pct15" w:color="auto" w:fill="FFFFFF"/>
        </w:rPr>
        <w:t>）</w:t>
      </w:r>
      <w:r w:rsidRPr="00DA3BC7">
        <w:rPr>
          <w:rFonts w:ascii="Times New Roman" w:hAnsi="Times New Roman" w:hint="eastAsia"/>
        </w:rPr>
        <w:t>。</w:t>
      </w:r>
    </w:p>
    <w:p w:rsidR="00AA120F" w:rsidRPr="00DA3BC7" w:rsidRDefault="00AA120F" w:rsidP="00AE3920">
      <w:pPr>
        <w:spacing w:beforeLines="20"/>
        <w:ind w:leftChars="150" w:left="360"/>
        <w:jc w:val="both"/>
        <w:rPr>
          <w:rFonts w:ascii="Times New Roman" w:hAnsi="Times New Roman"/>
        </w:rPr>
      </w:pPr>
      <w:r w:rsidRPr="00DA3BC7">
        <w:rPr>
          <w:rFonts w:ascii="Times New Roman" w:hAnsi="Times New Roman" w:hint="eastAsia"/>
        </w:rPr>
        <w:t>因與緣的結合詞，在梵文中少有不同。梵文有一言、二言、多言。</w:t>
      </w:r>
    </w:p>
    <w:p w:rsidR="00AA120F" w:rsidRPr="00DA3BC7" w:rsidRDefault="00AA120F" w:rsidP="00AE3920">
      <w:pPr>
        <w:spacing w:beforeLines="20"/>
        <w:ind w:leftChars="150" w:left="360"/>
        <w:jc w:val="both"/>
        <w:rPr>
          <w:rFonts w:ascii="Times New Roman" w:hAnsi="Times New Roman"/>
        </w:rPr>
      </w:pPr>
      <w:r w:rsidRPr="00DA3BC7">
        <w:rPr>
          <w:rFonts w:ascii="Times New Roman" w:hAnsi="Times New Roman" w:hint="eastAsia"/>
        </w:rPr>
        <w:t>「</w:t>
      </w:r>
      <w:r w:rsidRPr="00DA3BC7">
        <w:rPr>
          <w:rFonts w:ascii="Times New Roman" w:hAnsi="Times New Roman" w:hint="eastAsia"/>
          <w:b/>
        </w:rPr>
        <w:t>因</w:t>
      </w:r>
      <w:r w:rsidRPr="00DA3BC7">
        <w:rPr>
          <w:rFonts w:ascii="Times New Roman" w:hAnsi="Times New Roman" w:hint="eastAsia"/>
        </w:rPr>
        <w:t>」字多用</w:t>
      </w:r>
      <w:r w:rsidRPr="00DA3BC7">
        <w:rPr>
          <w:rFonts w:ascii="Times New Roman" w:hAnsi="Times New Roman" w:hint="eastAsia"/>
          <w:b/>
        </w:rPr>
        <w:t>一言</w:t>
      </w:r>
      <w:r w:rsidRPr="00DA3BC7">
        <w:rPr>
          <w:rFonts w:ascii="Times New Roman" w:hAnsi="Times New Roman" w:hint="eastAsia"/>
        </w:rPr>
        <w:t>，即表示是</w:t>
      </w:r>
      <w:r w:rsidRPr="00DA3BC7">
        <w:rPr>
          <w:rFonts w:ascii="Times New Roman" w:hAnsi="Times New Roman" w:hint="eastAsia"/>
          <w:b/>
        </w:rPr>
        <w:t>單數</w:t>
      </w:r>
      <w:r w:rsidRPr="00DA3BC7">
        <w:rPr>
          <w:rFonts w:ascii="Times New Roman" w:hAnsi="Times New Roman" w:hint="eastAsia"/>
        </w:rPr>
        <w:t>的。</w:t>
      </w:r>
    </w:p>
    <w:p w:rsidR="00AA120F" w:rsidRPr="00DA3BC7" w:rsidRDefault="00AA120F" w:rsidP="00BC15C0">
      <w:pPr>
        <w:ind w:leftChars="150" w:left="360"/>
        <w:jc w:val="both"/>
        <w:rPr>
          <w:rFonts w:ascii="Times New Roman" w:hAnsi="Times New Roman"/>
        </w:rPr>
      </w:pPr>
      <w:r w:rsidRPr="00DA3BC7">
        <w:rPr>
          <w:rFonts w:ascii="Times New Roman" w:hAnsi="Times New Roman" w:hint="eastAsia"/>
        </w:rPr>
        <w:t>「</w:t>
      </w:r>
      <w:r w:rsidRPr="00DA3BC7">
        <w:rPr>
          <w:rFonts w:ascii="Times New Roman" w:hAnsi="Times New Roman" w:hint="eastAsia"/>
          <w:b/>
        </w:rPr>
        <w:t>緣</w:t>
      </w:r>
      <w:r w:rsidRPr="00DA3BC7">
        <w:rPr>
          <w:rFonts w:ascii="Times New Roman" w:hAnsi="Times New Roman" w:hint="eastAsia"/>
        </w:rPr>
        <w:t>」字用</w:t>
      </w:r>
      <w:r w:rsidRPr="00DA3BC7">
        <w:rPr>
          <w:rFonts w:ascii="Times New Roman" w:hAnsi="Times New Roman" w:hint="eastAsia"/>
          <w:b/>
        </w:rPr>
        <w:t>多言</w:t>
      </w:r>
      <w:r w:rsidRPr="00DA3BC7">
        <w:rPr>
          <w:rFonts w:ascii="Times New Roman" w:hAnsi="Times New Roman" w:hint="eastAsia"/>
        </w:rPr>
        <w:t>，即表示是</w:t>
      </w:r>
      <w:r w:rsidRPr="00DA3BC7">
        <w:rPr>
          <w:rFonts w:ascii="Times New Roman" w:hAnsi="Times New Roman" w:hint="eastAsia"/>
          <w:b/>
        </w:rPr>
        <w:t>複數</w:t>
      </w:r>
      <w:r w:rsidRPr="00DA3BC7">
        <w:rPr>
          <w:rFonts w:ascii="Times New Roman" w:hAnsi="Times New Roman" w:hint="eastAsia"/>
        </w:rPr>
        <w:t>的。</w:t>
      </w:r>
    </w:p>
    <w:p w:rsidR="00AA120F" w:rsidRPr="00DA3BC7" w:rsidRDefault="00AA120F" w:rsidP="00AE3920">
      <w:pPr>
        <w:spacing w:beforeLines="20"/>
        <w:ind w:leftChars="150" w:left="360"/>
        <w:jc w:val="both"/>
        <w:rPr>
          <w:rFonts w:ascii="Times New Roman" w:hAnsi="Times New Roman"/>
          <w:b/>
        </w:rPr>
      </w:pPr>
      <w:r w:rsidRPr="00DA3BC7">
        <w:rPr>
          <w:rFonts w:ascii="Times New Roman" w:hAnsi="Times New Roman" w:hint="eastAsia"/>
        </w:rPr>
        <w:t>可見</w:t>
      </w:r>
      <w:r w:rsidRPr="00DA3BC7">
        <w:rPr>
          <w:rFonts w:ascii="Times New Roman" w:hAnsi="Times New Roman" w:hint="eastAsia"/>
          <w:b/>
        </w:rPr>
        <w:t>緣是種種和一般的，因是主要的。</w:t>
      </w:r>
    </w:p>
    <w:p w:rsidR="00AA120F" w:rsidRPr="00DA3BC7" w:rsidRDefault="00AA120F" w:rsidP="00BC15C0">
      <w:pPr>
        <w:ind w:leftChars="150" w:left="360"/>
        <w:jc w:val="both"/>
        <w:rPr>
          <w:rFonts w:ascii="Times New Roman" w:hAnsi="Times New Roman"/>
          <w:b/>
        </w:rPr>
      </w:pPr>
      <w:r w:rsidRPr="00DA3BC7">
        <w:rPr>
          <w:rFonts w:ascii="Times New Roman" w:hAnsi="Times New Roman" w:hint="eastAsia"/>
        </w:rPr>
        <w:t>一法的成立，必依種種緣而成；在此種種緣中，</w:t>
      </w:r>
      <w:r w:rsidRPr="00DA3BC7">
        <w:rPr>
          <w:rFonts w:ascii="Times New Roman" w:hAnsi="Times New Roman" w:hint="eastAsia"/>
          <w:b/>
        </w:rPr>
        <w:t>最主要者名為因，一般者名為緣。</w:t>
      </w:r>
    </w:p>
    <w:p w:rsidR="00AA120F" w:rsidRPr="00355735" w:rsidRDefault="00355735" w:rsidP="00AE3920">
      <w:pPr>
        <w:spacing w:beforeLines="30"/>
        <w:ind w:leftChars="150" w:left="360"/>
        <w:jc w:val="both"/>
        <w:rPr>
          <w:rFonts w:ascii="Times New Roman" w:hAnsi="Times New Roman"/>
          <w:b/>
          <w:bCs/>
          <w:sz w:val="20"/>
          <w:szCs w:val="20"/>
          <w:bdr w:val="single" w:sz="4" w:space="0" w:color="auto"/>
        </w:rPr>
      </w:pPr>
      <w:r w:rsidRPr="00355735">
        <w:rPr>
          <w:rFonts w:ascii="Times New Roman" w:hAnsi="Times New Roman" w:hint="eastAsia"/>
          <w:b/>
          <w:bCs/>
          <w:color w:val="FF0000"/>
          <w:sz w:val="20"/>
          <w:szCs w:val="20"/>
          <w:highlight w:val="yellow"/>
          <w:bdr w:val="single" w:sz="4" w:space="0" w:color="auto"/>
        </w:rPr>
        <w:t>（</w:t>
      </w:r>
      <w:r w:rsidR="00AA120F" w:rsidRPr="00355735">
        <w:rPr>
          <w:rFonts w:ascii="Times New Roman" w:hAnsi="Times New Roman" w:hint="eastAsia"/>
          <w:b/>
          <w:bCs/>
          <w:color w:val="FF0000"/>
          <w:sz w:val="20"/>
          <w:szCs w:val="20"/>
          <w:highlight w:val="yellow"/>
          <w:bdr w:val="single" w:sz="4" w:space="0" w:color="auto"/>
        </w:rPr>
        <w:t>三</w:t>
      </w:r>
      <w:r w:rsidRPr="00355735">
        <w:rPr>
          <w:rFonts w:ascii="Times New Roman" w:hAnsi="Times New Roman" w:hint="eastAsia"/>
          <w:b/>
          <w:bCs/>
          <w:color w:val="FF0000"/>
          <w:sz w:val="20"/>
          <w:szCs w:val="20"/>
          <w:highlight w:val="yellow"/>
          <w:bdr w:val="single" w:sz="4" w:space="0" w:color="auto"/>
        </w:rPr>
        <w:t>）結義</w:t>
      </w:r>
      <w:r w:rsidR="00AA120F" w:rsidRPr="00DA3BC7">
        <w:rPr>
          <w:rFonts w:ascii="Times New Roman" w:hAnsi="Times New Roman" w:hint="eastAsia"/>
          <w:bCs/>
          <w:sz w:val="20"/>
          <w:szCs w:val="26"/>
        </w:rPr>
        <w:t>（</w:t>
      </w:r>
      <w:r w:rsidR="00AA120F" w:rsidRPr="00DA3BC7">
        <w:rPr>
          <w:rFonts w:ascii="Times New Roman" w:hAnsi="Times New Roman" w:hint="eastAsia"/>
          <w:bCs/>
          <w:sz w:val="20"/>
          <w:szCs w:val="26"/>
        </w:rPr>
        <w:t>p.167</w:t>
      </w:r>
      <w:r w:rsidR="00AA120F" w:rsidRPr="00DA3BC7">
        <w:rPr>
          <w:rFonts w:ascii="Times New Roman" w:hAnsi="Times New Roman" w:hint="eastAsia"/>
          <w:bCs/>
          <w:sz w:val="20"/>
          <w:szCs w:val="26"/>
        </w:rPr>
        <w:t>）</w:t>
      </w:r>
    </w:p>
    <w:p w:rsidR="00AA120F" w:rsidRPr="00DA3BC7" w:rsidRDefault="00AA120F" w:rsidP="00BC15C0">
      <w:pPr>
        <w:ind w:leftChars="150" w:left="360"/>
        <w:jc w:val="both"/>
        <w:rPr>
          <w:rFonts w:ascii="Times New Roman" w:hAnsi="Times New Roman"/>
        </w:rPr>
      </w:pPr>
      <w:r w:rsidRPr="00DA3BC7">
        <w:rPr>
          <w:rFonts w:ascii="Times New Roman" w:hAnsi="Times New Roman" w:hint="eastAsia"/>
        </w:rPr>
        <w:t>這樣，因與緣可作這樣的分別：</w:t>
      </w:r>
    </w:p>
    <w:p w:rsidR="00AA120F" w:rsidRPr="00DA3BC7" w:rsidRDefault="00AA120F" w:rsidP="00BC15C0">
      <w:pPr>
        <w:ind w:leftChars="150" w:left="360"/>
        <w:jc w:val="both"/>
        <w:rPr>
          <w:rFonts w:ascii="Times New Roman" w:hAnsi="Times New Roman"/>
        </w:rPr>
      </w:pPr>
      <w:r w:rsidRPr="00DA3BC7">
        <w:rPr>
          <w:rFonts w:ascii="Times New Roman" w:hAnsi="Times New Roman" w:hint="eastAsia"/>
          <w:b/>
        </w:rPr>
        <w:t>一、因</w:t>
      </w:r>
      <w:r w:rsidRPr="00DA3BC7">
        <w:rPr>
          <w:rFonts w:ascii="Times New Roman" w:hAnsi="Times New Roman" w:hint="eastAsia"/>
        </w:rPr>
        <w:t>顯</w:t>
      </w:r>
      <w:r w:rsidRPr="00DA3BC7">
        <w:rPr>
          <w:rFonts w:ascii="Times New Roman" w:hAnsi="Times New Roman" w:hint="eastAsia"/>
          <w:b/>
        </w:rPr>
        <w:t>體性</w:t>
      </w:r>
      <w:r w:rsidRPr="00DA3BC7">
        <w:rPr>
          <w:rFonts w:ascii="Times New Roman" w:hAnsi="Times New Roman" w:hint="eastAsia"/>
        </w:rPr>
        <w:t>，而</w:t>
      </w:r>
      <w:r w:rsidRPr="00DA3BC7">
        <w:rPr>
          <w:rFonts w:ascii="Times New Roman" w:hAnsi="Times New Roman" w:hint="eastAsia"/>
          <w:b/>
        </w:rPr>
        <w:t>緣</w:t>
      </w:r>
      <w:r w:rsidRPr="00DA3BC7">
        <w:rPr>
          <w:rFonts w:ascii="Times New Roman" w:hAnsi="Times New Roman" w:hint="eastAsia"/>
        </w:rPr>
        <w:t>明</w:t>
      </w:r>
      <w:r w:rsidRPr="00DA3BC7">
        <w:rPr>
          <w:rFonts w:ascii="Times New Roman" w:hAnsi="Times New Roman" w:hint="eastAsia"/>
          <w:b/>
        </w:rPr>
        <w:t>作用；</w:t>
      </w:r>
    </w:p>
    <w:p w:rsidR="00AA120F" w:rsidRPr="00DA3BC7" w:rsidRDefault="00AA120F" w:rsidP="00BC15C0">
      <w:pPr>
        <w:ind w:leftChars="150" w:left="360"/>
        <w:jc w:val="both"/>
        <w:rPr>
          <w:rFonts w:ascii="Times New Roman" w:hAnsi="Times New Roman"/>
        </w:rPr>
      </w:pPr>
      <w:r w:rsidRPr="00DA3BC7">
        <w:rPr>
          <w:rFonts w:ascii="Times New Roman" w:hAnsi="Times New Roman" w:hint="eastAsia"/>
          <w:b/>
        </w:rPr>
        <w:lastRenderedPageBreak/>
        <w:t>二、因</w:t>
      </w:r>
      <w:r w:rsidRPr="00DA3BC7">
        <w:rPr>
          <w:rFonts w:ascii="Times New Roman" w:hAnsi="Times New Roman" w:hint="eastAsia"/>
        </w:rPr>
        <w:t>為</w:t>
      </w:r>
      <w:r w:rsidRPr="00DA3BC7">
        <w:rPr>
          <w:rFonts w:ascii="Times New Roman" w:hAnsi="Times New Roman" w:hint="eastAsia"/>
          <w:b/>
        </w:rPr>
        <w:t>主要的</w:t>
      </w:r>
      <w:r w:rsidRPr="00DA3BC7">
        <w:rPr>
          <w:rFonts w:ascii="Times New Roman" w:hAnsi="Times New Roman" w:hint="eastAsia"/>
        </w:rPr>
        <w:t>，</w:t>
      </w:r>
      <w:r w:rsidRPr="00DA3BC7">
        <w:rPr>
          <w:rFonts w:ascii="Times New Roman" w:hAnsi="Times New Roman" w:hint="eastAsia"/>
          <w:b/>
        </w:rPr>
        <w:t>緣</w:t>
      </w:r>
      <w:r w:rsidRPr="00DA3BC7">
        <w:rPr>
          <w:rFonts w:ascii="Times New Roman" w:hAnsi="Times New Roman" w:hint="eastAsia"/>
        </w:rPr>
        <w:t>為</w:t>
      </w:r>
      <w:r w:rsidRPr="00DA3BC7">
        <w:rPr>
          <w:rFonts w:ascii="Times New Roman" w:hAnsi="Times New Roman" w:hint="eastAsia"/>
          <w:b/>
        </w:rPr>
        <w:t>一般的</w:t>
      </w:r>
      <w:r w:rsidRPr="00DA3BC7">
        <w:rPr>
          <w:rFonts w:ascii="Times New Roman" w:hAnsi="Times New Roman" w:hint="eastAsia"/>
        </w:rPr>
        <w:t>。</w:t>
      </w:r>
    </w:p>
    <w:p w:rsidR="00AA120F" w:rsidRPr="00DA3BC7" w:rsidRDefault="00355735" w:rsidP="00AE3920">
      <w:pPr>
        <w:spacing w:beforeLines="30"/>
        <w:ind w:leftChars="50" w:left="120"/>
        <w:jc w:val="both"/>
        <w:rPr>
          <w:rFonts w:ascii="Times New Roman" w:hAnsi="Times New Roman"/>
          <w:b/>
          <w:bCs/>
          <w:sz w:val="20"/>
          <w:szCs w:val="26"/>
        </w:rPr>
      </w:pPr>
      <w:r w:rsidRPr="00355735">
        <w:rPr>
          <w:rFonts w:ascii="Times New Roman" w:hAnsi="Times New Roman"/>
          <w:b/>
          <w:color w:val="FF0000"/>
          <w:sz w:val="20"/>
          <w:szCs w:val="20"/>
          <w:highlight w:val="yellow"/>
          <w:bdr w:val="single" w:sz="4" w:space="0" w:color="auto"/>
        </w:rPr>
        <w:t>（</w:t>
      </w:r>
      <w:r w:rsidRPr="00355735">
        <w:rPr>
          <w:rFonts w:ascii="Times New Roman" w:hAnsi="Times New Roman" w:hint="eastAsia"/>
          <w:b/>
          <w:color w:val="FF0000"/>
          <w:sz w:val="20"/>
          <w:szCs w:val="26"/>
          <w:highlight w:val="yellow"/>
          <w:bdr w:val="single" w:sz="4" w:space="0" w:color="auto"/>
        </w:rPr>
        <w:t>貳</w:t>
      </w:r>
      <w:r w:rsidRPr="00355735">
        <w:rPr>
          <w:rFonts w:ascii="Times New Roman" w:hAnsi="Times New Roman"/>
          <w:b/>
          <w:color w:val="FF0000"/>
          <w:sz w:val="20"/>
          <w:szCs w:val="20"/>
          <w:highlight w:val="yellow"/>
          <w:bdr w:val="single" w:sz="4" w:space="0" w:color="auto"/>
        </w:rPr>
        <w:t>）</w:t>
      </w:r>
      <w:r w:rsidR="00AA120F" w:rsidRPr="00DA3BC7">
        <w:rPr>
          <w:rFonts w:ascii="Times New Roman" w:hAnsi="Times New Roman" w:hint="eastAsia"/>
          <w:b/>
          <w:bCs/>
          <w:sz w:val="20"/>
          <w:szCs w:val="26"/>
          <w:bdr w:val="single" w:sz="4" w:space="0" w:color="auto"/>
        </w:rPr>
        <w:t>「果」與「報」</w:t>
      </w:r>
      <w:r w:rsidR="00AA120F" w:rsidRPr="00DA3BC7">
        <w:rPr>
          <w:rFonts w:ascii="Times New Roman" w:hAnsi="Times New Roman" w:hint="eastAsia"/>
          <w:bCs/>
          <w:sz w:val="20"/>
          <w:szCs w:val="26"/>
        </w:rPr>
        <w:t>（</w:t>
      </w:r>
      <w:r w:rsidR="00AA120F" w:rsidRPr="00DA3BC7">
        <w:rPr>
          <w:rFonts w:ascii="Times New Roman" w:hAnsi="Times New Roman" w:hint="eastAsia"/>
          <w:bCs/>
          <w:sz w:val="20"/>
          <w:szCs w:val="26"/>
        </w:rPr>
        <w:t>pp.167-168</w:t>
      </w:r>
      <w:r w:rsidR="00AA120F" w:rsidRPr="00DA3BC7">
        <w:rPr>
          <w:rFonts w:ascii="Times New Roman" w:hAnsi="Times New Roman" w:hint="eastAsia"/>
          <w:bCs/>
          <w:sz w:val="20"/>
          <w:szCs w:val="26"/>
        </w:rPr>
        <w:t>）</w:t>
      </w:r>
    </w:p>
    <w:p w:rsidR="00355735" w:rsidRPr="00DA3BC7" w:rsidRDefault="00355735" w:rsidP="00BC15C0">
      <w:pPr>
        <w:ind w:leftChars="50" w:left="120"/>
        <w:jc w:val="both"/>
        <w:rPr>
          <w:rFonts w:ascii="Times New Roman" w:hAnsi="Times New Roman"/>
          <w:b/>
          <w:sz w:val="20"/>
          <w:szCs w:val="26"/>
        </w:rPr>
      </w:pPr>
      <w:r w:rsidRPr="00DA3BC7">
        <w:rPr>
          <w:rFonts w:ascii="Times New Roman" w:hAnsi="Times New Roman" w:hint="eastAsia"/>
        </w:rPr>
        <w:t>論到</w:t>
      </w:r>
      <w:r w:rsidRPr="000D4CAA">
        <w:rPr>
          <w:rFonts w:ascii="Times New Roman" w:hAnsi="Times New Roman" w:hint="eastAsia"/>
          <w:b/>
          <w:u w:val="wave" w:color="C00000"/>
        </w:rPr>
        <w:t>果</w:t>
      </w:r>
      <w:r w:rsidRPr="00DA3BC7">
        <w:rPr>
          <w:rFonts w:ascii="Times New Roman" w:hAnsi="Times New Roman" w:hint="eastAsia"/>
        </w:rPr>
        <w:t>與</w:t>
      </w:r>
      <w:r w:rsidRPr="000D4CAA">
        <w:rPr>
          <w:rFonts w:ascii="Times New Roman" w:hAnsi="Times New Roman" w:hint="eastAsia"/>
          <w:b/>
          <w:u w:val="wave" w:color="C00000"/>
        </w:rPr>
        <w:t>報</w:t>
      </w:r>
      <w:r w:rsidRPr="00DA3BC7">
        <w:rPr>
          <w:rFonts w:ascii="Times New Roman" w:hAnsi="Times New Roman" w:hint="eastAsia"/>
        </w:rPr>
        <w:t>，</w:t>
      </w:r>
    </w:p>
    <w:p w:rsidR="00AA120F" w:rsidRPr="00DA3BC7" w:rsidRDefault="00355735" w:rsidP="00BC15C0">
      <w:pPr>
        <w:ind w:leftChars="100" w:left="240"/>
        <w:jc w:val="both"/>
        <w:rPr>
          <w:rFonts w:ascii="Times New Roman" w:hAnsi="Times New Roman"/>
          <w:b/>
          <w:bCs/>
          <w:sz w:val="20"/>
          <w:szCs w:val="20"/>
          <w:bdr w:val="single" w:sz="4" w:space="0" w:color="auto"/>
        </w:rPr>
      </w:pPr>
      <w:r w:rsidRPr="00355735">
        <w:rPr>
          <w:rFonts w:ascii="Times New Roman" w:hAnsi="Times New Roman" w:hint="eastAsia"/>
          <w:b/>
          <w:color w:val="FF0000"/>
          <w:sz w:val="20"/>
          <w:szCs w:val="20"/>
          <w:highlight w:val="yellow"/>
          <w:bdr w:val="single" w:sz="4" w:space="0" w:color="auto"/>
        </w:rPr>
        <w:t>一、對「因」稱為「</w:t>
      </w:r>
      <w:r w:rsidR="00AA120F" w:rsidRPr="00355735">
        <w:rPr>
          <w:rFonts w:ascii="Times New Roman" w:hAnsi="Times New Roman" w:hint="eastAsia"/>
          <w:b/>
          <w:bCs/>
          <w:sz w:val="20"/>
          <w:szCs w:val="20"/>
          <w:bdr w:val="single" w:sz="4" w:space="0" w:color="auto"/>
        </w:rPr>
        <w:t>果</w:t>
      </w:r>
      <w:r w:rsidRPr="00355735">
        <w:rPr>
          <w:rFonts w:ascii="Times New Roman" w:hAnsi="Times New Roman" w:hint="eastAsia"/>
          <w:b/>
          <w:bCs/>
          <w:color w:val="FF0000"/>
          <w:sz w:val="20"/>
          <w:szCs w:val="20"/>
          <w:highlight w:val="yellow"/>
          <w:bdr w:val="single" w:sz="4" w:space="0" w:color="auto"/>
        </w:rPr>
        <w:t>」</w:t>
      </w:r>
      <w:r w:rsidR="00AA120F" w:rsidRPr="00DA3BC7">
        <w:rPr>
          <w:rFonts w:ascii="Times New Roman" w:hAnsi="Times New Roman" w:hint="eastAsia"/>
          <w:bCs/>
          <w:sz w:val="20"/>
          <w:szCs w:val="26"/>
        </w:rPr>
        <w:t>（</w:t>
      </w:r>
      <w:r w:rsidR="00AA120F" w:rsidRPr="00DA3BC7">
        <w:rPr>
          <w:rFonts w:ascii="Times New Roman" w:hAnsi="Times New Roman" w:hint="eastAsia"/>
          <w:bCs/>
          <w:sz w:val="20"/>
          <w:szCs w:val="26"/>
        </w:rPr>
        <w:t>pp.167-168</w:t>
      </w:r>
      <w:r w:rsidR="00AA120F" w:rsidRPr="00DA3BC7">
        <w:rPr>
          <w:rFonts w:ascii="Times New Roman" w:hAnsi="Times New Roman" w:hint="eastAsia"/>
          <w:bCs/>
          <w:sz w:val="20"/>
          <w:szCs w:val="26"/>
        </w:rPr>
        <w:t>）</w:t>
      </w:r>
    </w:p>
    <w:p w:rsidR="00AA120F" w:rsidRPr="00DA3BC7" w:rsidRDefault="00AA120F" w:rsidP="00BC15C0">
      <w:pPr>
        <w:ind w:leftChars="100" w:left="240"/>
        <w:jc w:val="both"/>
        <w:rPr>
          <w:rFonts w:ascii="Times New Roman" w:hAnsi="Times New Roman"/>
          <w:bCs/>
        </w:rPr>
      </w:pPr>
      <w:r w:rsidRPr="00DA3BC7">
        <w:rPr>
          <w:rFonts w:ascii="Times New Roman" w:hAnsi="Times New Roman" w:hint="eastAsia"/>
          <w:bCs/>
        </w:rPr>
        <w:t>對因而說</w:t>
      </w:r>
      <w:r w:rsidRPr="000D4CAA">
        <w:rPr>
          <w:rFonts w:ascii="Times New Roman" w:hAnsi="Times New Roman" w:hint="eastAsia"/>
          <w:b/>
          <w:u w:val="wave" w:color="C00000"/>
        </w:rPr>
        <w:t>果</w:t>
      </w:r>
      <w:r w:rsidRPr="00DA3BC7">
        <w:rPr>
          <w:rFonts w:ascii="Times New Roman" w:hAnsi="Times New Roman" w:hint="eastAsia"/>
          <w:bCs/>
        </w:rPr>
        <w:t>，有某種因即得某種果。</w:t>
      </w:r>
    </w:p>
    <w:p w:rsidR="00AA120F" w:rsidRPr="00DA3BC7" w:rsidRDefault="00355735" w:rsidP="00AE3920">
      <w:pPr>
        <w:spacing w:beforeLines="30"/>
        <w:ind w:leftChars="100" w:left="240"/>
        <w:jc w:val="both"/>
        <w:rPr>
          <w:rFonts w:ascii="Times New Roman" w:hAnsi="Times New Roman"/>
          <w:b/>
          <w:bCs/>
          <w:sz w:val="20"/>
          <w:szCs w:val="20"/>
          <w:bdr w:val="single" w:sz="4" w:space="0" w:color="auto"/>
        </w:rPr>
      </w:pPr>
      <w:r>
        <w:rPr>
          <w:rFonts w:ascii="Times New Roman" w:hAnsi="Times New Roman" w:hint="eastAsia"/>
          <w:b/>
          <w:color w:val="FF0000"/>
          <w:sz w:val="20"/>
          <w:szCs w:val="20"/>
          <w:highlight w:val="yellow"/>
          <w:bdr w:val="single" w:sz="4" w:space="0" w:color="auto"/>
        </w:rPr>
        <w:t>二、有善惡性名為「</w:t>
      </w:r>
      <w:r w:rsidR="00AA120F" w:rsidRPr="00DA3BC7">
        <w:rPr>
          <w:rFonts w:ascii="Times New Roman" w:hAnsi="Times New Roman" w:hint="eastAsia"/>
          <w:b/>
          <w:sz w:val="20"/>
          <w:szCs w:val="20"/>
          <w:bdr w:val="single" w:sz="4" w:space="0" w:color="auto"/>
        </w:rPr>
        <w:t>報</w:t>
      </w:r>
      <w:r w:rsidRPr="00355735">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hint="eastAsia"/>
          <w:bCs/>
          <w:sz w:val="20"/>
          <w:szCs w:val="26"/>
        </w:rPr>
        <w:t>（</w:t>
      </w:r>
      <w:r w:rsidR="00AA120F" w:rsidRPr="00DA3BC7">
        <w:rPr>
          <w:rFonts w:ascii="Times New Roman" w:hAnsi="Times New Roman" w:hint="eastAsia"/>
          <w:bCs/>
          <w:sz w:val="20"/>
          <w:szCs w:val="26"/>
        </w:rPr>
        <w:t>p.168</w:t>
      </w:r>
      <w:r w:rsidR="00AA120F" w:rsidRPr="00DA3BC7">
        <w:rPr>
          <w:rFonts w:ascii="Times New Roman" w:hAnsi="Times New Roman" w:hint="eastAsia"/>
          <w:bCs/>
          <w:sz w:val="20"/>
          <w:szCs w:val="26"/>
        </w:rPr>
        <w:t>）</w:t>
      </w:r>
    </w:p>
    <w:p w:rsidR="00AA120F" w:rsidRPr="00DA3BC7" w:rsidRDefault="00AA120F" w:rsidP="00BC15C0">
      <w:pPr>
        <w:ind w:leftChars="100" w:left="240"/>
        <w:jc w:val="both"/>
      </w:pPr>
      <w:r w:rsidRPr="000D4CAA">
        <w:rPr>
          <w:rFonts w:ascii="Times New Roman" w:hAnsi="Times New Roman" w:hint="eastAsia"/>
          <w:b/>
          <w:u w:val="wave" w:color="C00000"/>
        </w:rPr>
        <w:t>報</w:t>
      </w:r>
      <w:r w:rsidRPr="00DA3BC7">
        <w:rPr>
          <w:rFonts w:hint="eastAsia"/>
        </w:rPr>
        <w:t>也是</w:t>
      </w:r>
      <w:r w:rsidRPr="000D4CAA">
        <w:rPr>
          <w:rFonts w:ascii="Times New Roman" w:hAnsi="Times New Roman" w:hint="eastAsia"/>
          <w:b/>
          <w:u w:val="wave" w:color="C00000"/>
        </w:rPr>
        <w:t>果</w:t>
      </w:r>
      <w:r w:rsidRPr="00DA3BC7">
        <w:rPr>
          <w:rFonts w:hint="eastAsia"/>
        </w:rPr>
        <w:t>，不過是果中的特別果</w:t>
      </w:r>
      <w:r w:rsidRPr="00DA3BC7">
        <w:rPr>
          <w:rStyle w:val="a6"/>
          <w:rFonts w:ascii="Times New Roman" w:hAnsi="Times New Roman"/>
        </w:rPr>
        <w:footnoteReference w:id="766"/>
      </w:r>
      <w:r w:rsidRPr="00DA3BC7">
        <w:rPr>
          <w:rFonts w:hint="eastAsia"/>
        </w:rPr>
        <w:t>。梵語</w:t>
      </w:r>
      <w:r w:rsidRPr="00DA3BC7">
        <w:rPr>
          <w:rFonts w:ascii="Times New Roman" w:hAnsi="Times New Roman" w:cs="Times Ext Roman"/>
        </w:rPr>
        <w:t>vip</w:t>
      </w:r>
      <w:r w:rsidRPr="00DA3BC7">
        <w:rPr>
          <w:rFonts w:ascii="Times New Roman" w:hAnsi="Times New Roman"/>
        </w:rPr>
        <w:t>ā</w:t>
      </w:r>
      <w:r w:rsidRPr="00DA3BC7">
        <w:rPr>
          <w:rFonts w:ascii="Times New Roman" w:hAnsi="Times New Roman" w:cs="Times Ext Roman"/>
        </w:rPr>
        <w:t>ka</w:t>
      </w:r>
      <w:r w:rsidRPr="00DA3BC7">
        <w:rPr>
          <w:rFonts w:hint="eastAsia"/>
        </w:rPr>
        <w:t>，奘師譯為</w:t>
      </w:r>
      <w:r w:rsidRPr="000D4CAA">
        <w:rPr>
          <w:rFonts w:ascii="Times New Roman" w:hAnsi="Times New Roman" w:hint="eastAsia"/>
          <w:b/>
          <w:u w:val="wave" w:color="C00000"/>
        </w:rPr>
        <w:t>異熟</w:t>
      </w:r>
      <w:r w:rsidRPr="00DA3BC7">
        <w:rPr>
          <w:rFonts w:hint="eastAsia"/>
        </w:rPr>
        <w:t>，</w:t>
      </w:r>
      <w:r w:rsidRPr="000D4CAA">
        <w:rPr>
          <w:rFonts w:ascii="Times New Roman" w:hAnsi="Times New Roman" w:hint="eastAsia"/>
          <w:b/>
          <w:u w:val="wave" w:color="C00000"/>
        </w:rPr>
        <w:t>報</w:t>
      </w:r>
      <w:r w:rsidRPr="00DA3BC7">
        <w:rPr>
          <w:rFonts w:hint="eastAsia"/>
        </w:rPr>
        <w:t>即</w:t>
      </w:r>
      <w:r w:rsidRPr="000D4CAA">
        <w:rPr>
          <w:rFonts w:ascii="Times New Roman" w:hAnsi="Times New Roman" w:hint="eastAsia"/>
          <w:b/>
          <w:u w:val="wave" w:color="C00000"/>
        </w:rPr>
        <w:t>異熟</w:t>
      </w:r>
      <w:r w:rsidRPr="00DA3BC7">
        <w:rPr>
          <w:rFonts w:hint="eastAsia"/>
        </w:rPr>
        <w:t>的古譯。</w:t>
      </w:r>
      <w:r w:rsidRPr="000D4CAA">
        <w:rPr>
          <w:rFonts w:ascii="Times New Roman" w:hAnsi="Times New Roman" w:hint="eastAsia"/>
          <w:b/>
          <w:u w:val="wave" w:color="C00000"/>
        </w:rPr>
        <w:t>異熟</w:t>
      </w:r>
      <w:r w:rsidRPr="00DA3BC7">
        <w:rPr>
          <w:rFonts w:hint="eastAsia"/>
        </w:rPr>
        <w:t>，即</w:t>
      </w:r>
      <w:r w:rsidRPr="00DA3BC7">
        <w:rPr>
          <w:rFonts w:hint="eastAsia"/>
          <w:b/>
        </w:rPr>
        <w:t>異類而熟，因是善惡，果為無記</w:t>
      </w:r>
      <w:r w:rsidRPr="00DA3BC7">
        <w:rPr>
          <w:rFonts w:hint="eastAsia"/>
        </w:rPr>
        <w:t>。</w:t>
      </w:r>
    </w:p>
    <w:p w:rsidR="00355735" w:rsidRDefault="00AA120F" w:rsidP="00AE3920">
      <w:pPr>
        <w:spacing w:beforeLines="20"/>
        <w:ind w:leftChars="100" w:left="240"/>
        <w:jc w:val="both"/>
      </w:pPr>
      <w:r w:rsidRPr="00DA3BC7">
        <w:rPr>
          <w:rFonts w:hint="eastAsia"/>
        </w:rPr>
        <w:t>但這如大眾部說善因感善果，惡因感惡果，即沒有異類的意義。</w:t>
      </w:r>
    </w:p>
    <w:p w:rsidR="00AA120F" w:rsidRPr="00DA3BC7" w:rsidRDefault="00AA120F" w:rsidP="00AE3920">
      <w:pPr>
        <w:spacing w:beforeLines="20"/>
        <w:ind w:leftChars="100" w:left="240"/>
        <w:jc w:val="both"/>
      </w:pPr>
      <w:r w:rsidRPr="00355735">
        <w:rPr>
          <w:rFonts w:hint="eastAsia"/>
          <w:highlight w:val="yellow"/>
        </w:rPr>
        <w:t>所</w:t>
      </w:r>
      <w:r w:rsidRPr="00DA3BC7">
        <w:rPr>
          <w:rFonts w:hint="eastAsia"/>
        </w:rPr>
        <w:t>以，</w:t>
      </w:r>
      <w:r w:rsidRPr="000D4CAA">
        <w:rPr>
          <w:rFonts w:ascii="Times New Roman" w:hAnsi="Times New Roman" w:hint="eastAsia"/>
          <w:b/>
          <w:u w:val="wave" w:color="C00000"/>
        </w:rPr>
        <w:t>異熟</w:t>
      </w:r>
      <w:r w:rsidRPr="00DA3BC7">
        <w:rPr>
          <w:rFonts w:hint="eastAsia"/>
        </w:rPr>
        <w:t>的本意，應為</w:t>
      </w:r>
      <w:r w:rsidRPr="000D4CAA">
        <w:rPr>
          <w:rFonts w:ascii="Times New Roman" w:hAnsi="Times New Roman" w:hint="eastAsia"/>
          <w:b/>
          <w:u w:val="wave" w:color="C00000"/>
        </w:rPr>
        <w:t>異時而熟</w:t>
      </w:r>
      <w:r w:rsidRPr="00DA3BC7">
        <w:rPr>
          <w:rFonts w:hint="eastAsia"/>
        </w:rPr>
        <w:t>，即過去的業因感今後善惡的結果。</w:t>
      </w:r>
      <w:r w:rsidRPr="00DA3BC7">
        <w:rPr>
          <w:rStyle w:val="a6"/>
          <w:rFonts w:ascii="Times New Roman" w:hAnsi="Times New Roman"/>
        </w:rPr>
        <w:footnoteReference w:id="767"/>
      </w:r>
    </w:p>
    <w:p w:rsidR="00AA120F" w:rsidRPr="00DA3BC7" w:rsidRDefault="00AA120F" w:rsidP="00AE3920">
      <w:pPr>
        <w:spacing w:beforeLines="20"/>
        <w:ind w:leftChars="100" w:left="240"/>
        <w:jc w:val="both"/>
        <w:rPr>
          <w:rFonts w:ascii="Times New Roman" w:hAnsi="Times New Roman"/>
          <w:b/>
          <w:bCs/>
          <w:sz w:val="20"/>
          <w:szCs w:val="20"/>
        </w:rPr>
      </w:pPr>
      <w:r w:rsidRPr="000D4CAA">
        <w:rPr>
          <w:rFonts w:ascii="Times New Roman" w:hAnsi="Times New Roman" w:hint="eastAsia"/>
          <w:b/>
          <w:u w:val="wave" w:color="C00000"/>
        </w:rPr>
        <w:t>報</w:t>
      </w:r>
      <w:r w:rsidRPr="00DA3BC7">
        <w:rPr>
          <w:rFonts w:hint="eastAsia"/>
        </w:rPr>
        <w:t>指</w:t>
      </w:r>
      <w:r w:rsidRPr="000D4CAA">
        <w:rPr>
          <w:rFonts w:ascii="Times New Roman" w:hAnsi="Times New Roman" w:hint="eastAsia"/>
          <w:b/>
          <w:u w:val="wave" w:color="C00000"/>
        </w:rPr>
        <w:t>果中有善惡性</w:t>
      </w:r>
      <w:r w:rsidRPr="00DA3BC7">
        <w:rPr>
          <w:rFonts w:hint="eastAsia"/>
        </w:rPr>
        <w:t>，與一般的因果不同。</w:t>
      </w:r>
    </w:p>
    <w:p w:rsidR="00AA120F" w:rsidRPr="00DA3BC7" w:rsidRDefault="00AA120F" w:rsidP="00AE3920">
      <w:pPr>
        <w:spacing w:afterLines="30"/>
        <w:ind w:leftChars="100" w:left="240"/>
        <w:jc w:val="both"/>
        <w:rPr>
          <w:rFonts w:ascii="Times New Roman" w:hAnsi="Times New Roman"/>
        </w:rPr>
      </w:pPr>
      <w:r w:rsidRPr="00DA3BC7">
        <w:rPr>
          <w:rFonts w:ascii="Times New Roman" w:hAnsi="Times New Roman" w:hint="eastAsia"/>
        </w:rPr>
        <w:t>佛法講因果，通明一切；約道德與不道德的果說，即名為</w:t>
      </w:r>
      <w:r w:rsidRPr="000D4CAA">
        <w:rPr>
          <w:rFonts w:ascii="Times New Roman" w:hAnsi="Times New Roman" w:hint="eastAsia"/>
          <w:b/>
          <w:u w:val="wave" w:color="C00000"/>
        </w:rPr>
        <w:t>報</w:t>
      </w:r>
      <w:r w:rsidRPr="00DA3BC7">
        <w:rPr>
          <w:rFonts w:ascii="Times New Roman" w:hAnsi="Times New Roman" w:hint="eastAsia"/>
        </w:rPr>
        <w:t>。</w:t>
      </w:r>
    </w:p>
    <w:p w:rsidR="00AA120F" w:rsidRPr="00DA3BC7" w:rsidRDefault="00355735" w:rsidP="00AE3920">
      <w:pPr>
        <w:spacing w:beforeLines="30"/>
        <w:ind w:leftChars="50" w:left="120"/>
        <w:jc w:val="both"/>
        <w:rPr>
          <w:rFonts w:ascii="Times New Roman" w:hAnsi="Times New Roman"/>
          <w:b/>
          <w:bCs/>
          <w:sz w:val="20"/>
          <w:szCs w:val="26"/>
          <w:bdr w:val="single" w:sz="4" w:space="0" w:color="auto"/>
        </w:rPr>
      </w:pPr>
      <w:r w:rsidRPr="00355735">
        <w:rPr>
          <w:rFonts w:ascii="Times New Roman" w:hAnsi="Times New Roman"/>
          <w:b/>
          <w:color w:val="FF0000"/>
          <w:sz w:val="20"/>
          <w:szCs w:val="20"/>
          <w:highlight w:val="yellow"/>
          <w:bdr w:val="single" w:sz="4" w:space="0" w:color="auto"/>
        </w:rPr>
        <w:lastRenderedPageBreak/>
        <w:t>（</w:t>
      </w:r>
      <w:r w:rsidRPr="00355735">
        <w:rPr>
          <w:rFonts w:ascii="Times New Roman" w:hAnsi="Times New Roman" w:hint="eastAsia"/>
          <w:b/>
          <w:bCs/>
          <w:color w:val="FF0000"/>
          <w:sz w:val="20"/>
          <w:szCs w:val="26"/>
          <w:highlight w:val="yellow"/>
          <w:bdr w:val="single" w:sz="4" w:space="0" w:color="auto"/>
        </w:rPr>
        <w:t>參</w:t>
      </w:r>
      <w:r w:rsidRPr="00355735">
        <w:rPr>
          <w:rFonts w:ascii="Times New Roman" w:hAnsi="Times New Roman"/>
          <w:b/>
          <w:color w:val="FF0000"/>
          <w:sz w:val="20"/>
          <w:szCs w:val="20"/>
          <w:highlight w:val="yellow"/>
          <w:bdr w:val="single" w:sz="4" w:space="0" w:color="auto"/>
        </w:rPr>
        <w:t>）</w:t>
      </w:r>
      <w:r w:rsidRPr="00355735">
        <w:rPr>
          <w:rFonts w:ascii="Times New Roman" w:hAnsi="Times New Roman" w:hint="eastAsia"/>
          <w:b/>
          <w:bCs/>
          <w:color w:val="FF0000"/>
          <w:sz w:val="20"/>
          <w:szCs w:val="26"/>
          <w:highlight w:val="yellow"/>
          <w:bdr w:val="single" w:sz="4" w:space="0" w:color="auto"/>
        </w:rPr>
        <w:t>結</w:t>
      </w:r>
      <w:r w:rsidR="00AA120F" w:rsidRPr="00355735">
        <w:rPr>
          <w:rFonts w:ascii="Times New Roman" w:hAnsi="Times New Roman" w:hint="eastAsia"/>
          <w:b/>
          <w:bCs/>
          <w:color w:val="FF0000"/>
          <w:sz w:val="20"/>
          <w:szCs w:val="26"/>
          <w:highlight w:val="yellow"/>
          <w:bdr w:val="single" w:sz="4" w:space="0" w:color="auto"/>
        </w:rPr>
        <w:t>說</w:t>
      </w:r>
      <w:r w:rsidR="00AA120F" w:rsidRPr="00DA3BC7">
        <w:rPr>
          <w:rFonts w:ascii="Times New Roman" w:hAnsi="Times New Roman" w:hint="eastAsia"/>
          <w:bCs/>
          <w:sz w:val="20"/>
          <w:szCs w:val="26"/>
        </w:rPr>
        <w:t>（</w:t>
      </w:r>
      <w:r w:rsidR="00AA120F" w:rsidRPr="00DA3BC7">
        <w:rPr>
          <w:rFonts w:ascii="Times New Roman" w:hAnsi="Times New Roman" w:hint="eastAsia"/>
          <w:bCs/>
          <w:sz w:val="20"/>
          <w:szCs w:val="26"/>
        </w:rPr>
        <w:t>p.168</w:t>
      </w:r>
      <w:r w:rsidR="00AA120F" w:rsidRPr="00DA3BC7">
        <w:rPr>
          <w:rFonts w:ascii="Times New Roman" w:hAnsi="Times New Roman" w:hint="eastAsia"/>
          <w:bCs/>
          <w:sz w:val="20"/>
          <w:szCs w:val="26"/>
        </w:rPr>
        <w:t>）</w:t>
      </w:r>
    </w:p>
    <w:p w:rsidR="00AA120F" w:rsidRPr="00DA3BC7" w:rsidRDefault="00AA120F" w:rsidP="00BC15C0">
      <w:pPr>
        <w:ind w:leftChars="50" w:left="120"/>
        <w:jc w:val="both"/>
        <w:rPr>
          <w:rFonts w:ascii="Times New Roman" w:hAnsi="Times New Roman"/>
          <w:b/>
          <w:sz w:val="20"/>
          <w:szCs w:val="20"/>
        </w:rPr>
      </w:pPr>
      <w:r w:rsidRPr="000D4CAA">
        <w:rPr>
          <w:rFonts w:ascii="Times New Roman" w:hAnsi="Times New Roman" w:hint="eastAsia"/>
          <w:b/>
          <w:u w:val="wave" w:color="C00000"/>
        </w:rPr>
        <w:t>因</w:t>
      </w:r>
      <w:r w:rsidRPr="00DA3BC7">
        <w:rPr>
          <w:rFonts w:ascii="Times New Roman" w:hAnsi="Times New Roman" w:hint="eastAsia"/>
        </w:rPr>
        <w:t>與</w:t>
      </w:r>
      <w:r w:rsidRPr="000D4CAA">
        <w:rPr>
          <w:rFonts w:ascii="Times New Roman" w:hAnsi="Times New Roman" w:hint="eastAsia"/>
          <w:b/>
          <w:u w:val="wave" w:color="C00000"/>
        </w:rPr>
        <w:t>緣</w:t>
      </w:r>
      <w:r w:rsidRPr="00DA3BC7">
        <w:rPr>
          <w:rFonts w:ascii="Times New Roman" w:hAnsi="Times New Roman" w:hint="eastAsia"/>
        </w:rPr>
        <w:t>、</w:t>
      </w:r>
      <w:r w:rsidRPr="000D4CAA">
        <w:rPr>
          <w:rFonts w:ascii="Times New Roman" w:hAnsi="Times New Roman" w:hint="eastAsia"/>
          <w:b/>
          <w:u w:val="wave" w:color="C00000"/>
        </w:rPr>
        <w:t>果</w:t>
      </w:r>
      <w:r w:rsidRPr="00DA3BC7">
        <w:rPr>
          <w:rFonts w:ascii="Times New Roman" w:hAnsi="Times New Roman" w:hint="eastAsia"/>
        </w:rPr>
        <w:t>與</w:t>
      </w:r>
      <w:r w:rsidRPr="000D4CAA">
        <w:rPr>
          <w:rFonts w:ascii="Times New Roman" w:hAnsi="Times New Roman" w:hint="eastAsia"/>
          <w:b/>
          <w:u w:val="wave" w:color="C00000"/>
        </w:rPr>
        <w:t>報</w:t>
      </w:r>
      <w:r w:rsidRPr="00DA3BC7">
        <w:rPr>
          <w:rFonts w:ascii="Times New Roman" w:hAnsi="Times New Roman" w:hint="eastAsia"/>
        </w:rPr>
        <w:t>，雖不無差別，如通泛的說，可總名</w:t>
      </w:r>
      <w:r w:rsidRPr="000D4CAA">
        <w:rPr>
          <w:rFonts w:ascii="Times New Roman" w:hAnsi="Times New Roman" w:hint="eastAsia"/>
          <w:b/>
          <w:u w:val="wave" w:color="C00000"/>
        </w:rPr>
        <w:t>因果</w:t>
      </w:r>
      <w:r w:rsidRPr="00DA3BC7">
        <w:rPr>
          <w:rFonts w:ascii="Times New Roman" w:hAnsi="Times New Roman" w:hint="eastAsia"/>
        </w:rPr>
        <w:t>。</w:t>
      </w:r>
    </w:p>
    <w:p w:rsidR="00AA120F" w:rsidRPr="00DA3BC7" w:rsidRDefault="00537B91" w:rsidP="00AE3920">
      <w:pPr>
        <w:spacing w:beforeLines="30"/>
        <w:jc w:val="both"/>
        <w:rPr>
          <w:rFonts w:ascii="Times New Roman" w:hAnsi="Times New Roman"/>
          <w:b/>
          <w:bCs/>
          <w:sz w:val="20"/>
          <w:szCs w:val="26"/>
        </w:rPr>
      </w:pPr>
      <w:r w:rsidRPr="00537B91">
        <w:rPr>
          <w:rFonts w:ascii="Times New Roman" w:hAnsi="Times New Roman" w:hint="eastAsia"/>
          <w:b/>
          <w:color w:val="FF0000"/>
          <w:sz w:val="20"/>
          <w:szCs w:val="26"/>
          <w:highlight w:val="yellow"/>
          <w:bdr w:val="single" w:sz="4" w:space="0" w:color="auto"/>
        </w:rPr>
        <w:t>貳</w:t>
      </w:r>
      <w:r w:rsidR="00AA120F" w:rsidRPr="00537B91">
        <w:rPr>
          <w:rFonts w:ascii="Times New Roman" w:hAnsi="Times New Roman" w:hint="eastAsia"/>
          <w:b/>
          <w:color w:val="FF0000"/>
          <w:sz w:val="20"/>
          <w:szCs w:val="26"/>
          <w:highlight w:val="yellow"/>
          <w:bdr w:val="single" w:sz="4" w:space="0" w:color="auto"/>
        </w:rPr>
        <w:t>、</w:t>
      </w:r>
      <w:r w:rsidRPr="00537B91">
        <w:rPr>
          <w:rFonts w:ascii="Times New Roman" w:hAnsi="Times New Roman" w:hint="eastAsia"/>
          <w:b/>
          <w:bCs/>
          <w:color w:val="FF0000"/>
          <w:sz w:val="20"/>
          <w:szCs w:val="26"/>
          <w:highlight w:val="yellow"/>
          <w:bdr w:val="single" w:sz="4" w:space="0" w:color="auto"/>
        </w:rPr>
        <w:t>敘</w:t>
      </w:r>
      <w:r w:rsidR="00F93F5B" w:rsidRPr="00537B91">
        <w:rPr>
          <w:rFonts w:ascii="Times New Roman" w:hAnsi="Times New Roman" w:hint="eastAsia"/>
          <w:b/>
          <w:color w:val="FF0000"/>
          <w:sz w:val="20"/>
          <w:szCs w:val="20"/>
          <w:highlight w:val="yellow"/>
          <w:bdr w:val="single" w:sz="4" w:space="0" w:color="auto"/>
        </w:rPr>
        <w:t>「</w:t>
      </w:r>
      <w:r w:rsidRPr="00537B91">
        <w:rPr>
          <w:rFonts w:ascii="Times New Roman" w:hAnsi="Times New Roman" w:hint="eastAsia"/>
          <w:b/>
          <w:bCs/>
          <w:color w:val="FF0000"/>
          <w:sz w:val="20"/>
          <w:szCs w:val="26"/>
          <w:highlight w:val="yellow"/>
          <w:bdr w:val="single" w:sz="4" w:space="0" w:color="auto"/>
        </w:rPr>
        <w:t>異解</w:t>
      </w:r>
      <w:r w:rsidR="00F93F5B" w:rsidRPr="00537B91">
        <w:rPr>
          <w:rFonts w:ascii="Times New Roman" w:hAnsi="Times New Roman" w:hint="eastAsia"/>
          <w:b/>
          <w:color w:val="FF0000"/>
          <w:sz w:val="20"/>
          <w:szCs w:val="20"/>
          <w:highlight w:val="yellow"/>
          <w:bdr w:val="single" w:sz="4" w:space="0" w:color="auto"/>
        </w:rPr>
        <w:t>」</w:t>
      </w:r>
      <w:r w:rsidRPr="00537B91">
        <w:rPr>
          <w:rFonts w:ascii="Times New Roman" w:hAnsi="Times New Roman" w:hint="eastAsia"/>
          <w:b/>
          <w:bCs/>
          <w:color w:val="FF0000"/>
          <w:sz w:val="20"/>
          <w:szCs w:val="26"/>
          <w:highlight w:val="yellow"/>
          <w:bdr w:val="single" w:sz="4" w:space="0" w:color="auto"/>
        </w:rPr>
        <w:t>以顯</w:t>
      </w:r>
      <w:r w:rsidR="00F93F5B" w:rsidRPr="00537B91">
        <w:rPr>
          <w:rFonts w:ascii="Times New Roman" w:hAnsi="Times New Roman" w:hint="eastAsia"/>
          <w:b/>
          <w:color w:val="FF0000"/>
          <w:sz w:val="20"/>
          <w:szCs w:val="20"/>
          <w:highlight w:val="yellow"/>
          <w:bdr w:val="single" w:sz="4" w:space="0" w:color="auto"/>
        </w:rPr>
        <w:t>「</w:t>
      </w:r>
      <w:r w:rsidRPr="00537B91">
        <w:rPr>
          <w:rFonts w:ascii="Times New Roman" w:hAnsi="Times New Roman" w:hint="eastAsia"/>
          <w:b/>
          <w:bCs/>
          <w:color w:val="FF0000"/>
          <w:sz w:val="20"/>
          <w:szCs w:val="26"/>
          <w:highlight w:val="yellow"/>
          <w:bdr w:val="single" w:sz="4" w:space="0" w:color="auto"/>
        </w:rPr>
        <w:t>中觀義</w:t>
      </w:r>
      <w:r w:rsidR="00F93F5B" w:rsidRPr="00537B91">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hint="eastAsia"/>
          <w:bCs/>
          <w:sz w:val="20"/>
          <w:szCs w:val="26"/>
        </w:rPr>
        <w:t>（</w:t>
      </w:r>
      <w:r w:rsidR="00AA120F" w:rsidRPr="00DA3BC7">
        <w:rPr>
          <w:rFonts w:ascii="Times New Roman" w:hAnsi="Times New Roman" w:hint="eastAsia"/>
          <w:bCs/>
          <w:sz w:val="20"/>
          <w:szCs w:val="26"/>
        </w:rPr>
        <w:t>pp.168-17</w:t>
      </w:r>
      <w:r>
        <w:rPr>
          <w:rFonts w:ascii="Times New Roman" w:hAnsi="Times New Roman" w:hint="eastAsia"/>
          <w:bCs/>
          <w:sz w:val="20"/>
          <w:szCs w:val="26"/>
        </w:rPr>
        <w:t>6</w:t>
      </w:r>
      <w:r w:rsidR="00AA120F" w:rsidRPr="00DA3BC7">
        <w:rPr>
          <w:rFonts w:ascii="Times New Roman" w:hAnsi="Times New Roman" w:hint="eastAsia"/>
          <w:bCs/>
          <w:sz w:val="20"/>
          <w:szCs w:val="26"/>
        </w:rPr>
        <w:t>）</w:t>
      </w:r>
    </w:p>
    <w:p w:rsidR="00537B91" w:rsidRPr="00537B91" w:rsidRDefault="00AA120F" w:rsidP="008E2BBC">
      <w:pPr>
        <w:ind w:leftChars="50" w:left="120"/>
        <w:jc w:val="both"/>
        <w:rPr>
          <w:rFonts w:ascii="Times New Roman" w:hAnsi="Times New Roman"/>
          <w:b/>
          <w:color w:val="FF0000"/>
          <w:sz w:val="20"/>
          <w:szCs w:val="20"/>
          <w:highlight w:val="yellow"/>
          <w:bdr w:val="single" w:sz="4" w:space="0" w:color="auto"/>
        </w:rPr>
      </w:pPr>
      <w:r w:rsidRPr="00537B91">
        <w:rPr>
          <w:rFonts w:ascii="Times New Roman" w:hAnsi="Times New Roman"/>
          <w:b/>
          <w:color w:val="FF0000"/>
          <w:sz w:val="20"/>
          <w:szCs w:val="20"/>
          <w:highlight w:val="yellow"/>
          <w:bdr w:val="single" w:sz="4" w:space="0" w:color="auto"/>
        </w:rPr>
        <w:t>（壹）</w:t>
      </w:r>
      <w:r w:rsidR="00537B91" w:rsidRPr="00537B91">
        <w:rPr>
          <w:rFonts w:ascii="Times New Roman" w:hAnsi="Times New Roman" w:hint="eastAsia"/>
          <w:b/>
          <w:color w:val="FF0000"/>
          <w:sz w:val="20"/>
          <w:szCs w:val="20"/>
          <w:highlight w:val="yellow"/>
          <w:bdr w:val="single" w:sz="4" w:space="0" w:color="auto"/>
        </w:rPr>
        <w:t>約「主從」辨「因緣」義</w:t>
      </w:r>
      <w:r w:rsidR="00537B91" w:rsidRPr="00DA3BC7">
        <w:rPr>
          <w:rFonts w:ascii="Times New Roman" w:hAnsi="Times New Roman" w:hint="eastAsia"/>
          <w:bCs/>
          <w:sz w:val="20"/>
          <w:szCs w:val="26"/>
        </w:rPr>
        <w:t>（</w:t>
      </w:r>
      <w:r w:rsidR="00537B91" w:rsidRPr="00DA3BC7">
        <w:rPr>
          <w:rFonts w:ascii="Times New Roman" w:hAnsi="Times New Roman" w:hint="eastAsia"/>
          <w:bCs/>
          <w:sz w:val="20"/>
          <w:szCs w:val="26"/>
        </w:rPr>
        <w:t>pp.168-171</w:t>
      </w:r>
      <w:r w:rsidR="00537B91" w:rsidRPr="00DA3BC7">
        <w:rPr>
          <w:rFonts w:ascii="Times New Roman" w:hAnsi="Times New Roman" w:hint="eastAsia"/>
          <w:bCs/>
          <w:sz w:val="20"/>
          <w:szCs w:val="26"/>
        </w:rPr>
        <w:t>）</w:t>
      </w:r>
    </w:p>
    <w:p w:rsidR="00537B91" w:rsidRDefault="00537B91" w:rsidP="00BC15C0">
      <w:pPr>
        <w:ind w:leftChars="100" w:left="240"/>
        <w:jc w:val="both"/>
        <w:rPr>
          <w:rFonts w:ascii="Times New Roman" w:hAnsi="Times New Roman"/>
          <w:b/>
          <w:bCs/>
          <w:color w:val="FF0000"/>
          <w:sz w:val="20"/>
          <w:szCs w:val="20"/>
          <w:bdr w:val="single" w:sz="4" w:space="0" w:color="auto"/>
        </w:rPr>
      </w:pPr>
      <w:r w:rsidRPr="00537B91">
        <w:rPr>
          <w:rFonts w:ascii="Times New Roman" w:hAnsi="Times New Roman" w:hint="eastAsia"/>
          <w:b/>
          <w:bCs/>
          <w:color w:val="FF0000"/>
          <w:sz w:val="20"/>
          <w:szCs w:val="20"/>
          <w:highlight w:val="yellow"/>
          <w:bdr w:val="single" w:sz="4" w:space="0" w:color="auto"/>
        </w:rPr>
        <w:t>一、</w:t>
      </w:r>
      <w:r>
        <w:rPr>
          <w:rFonts w:ascii="Times New Roman" w:hAnsi="Times New Roman" w:hint="eastAsia"/>
          <w:b/>
          <w:bCs/>
          <w:color w:val="FF0000"/>
          <w:sz w:val="20"/>
          <w:szCs w:val="20"/>
          <w:highlight w:val="yellow"/>
          <w:bdr w:val="single" w:sz="4" w:space="0" w:color="auto"/>
        </w:rPr>
        <w:t>獨尊</w:t>
      </w:r>
      <w:r w:rsidR="00F93F5B" w:rsidRPr="00537B91">
        <w:rPr>
          <w:rFonts w:ascii="Times New Roman" w:hAnsi="Times New Roman" w:hint="eastAsia"/>
          <w:b/>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因性</w:t>
      </w:r>
      <w:r w:rsidR="00F93F5B" w:rsidRPr="00537B91">
        <w:rPr>
          <w:rFonts w:ascii="Times New Roman" w:hAnsi="Times New Roman" w:hint="eastAsia"/>
          <w:b/>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之過</w:t>
      </w:r>
    </w:p>
    <w:p w:rsidR="00AA120F" w:rsidRPr="00DA3BC7" w:rsidRDefault="00537B91" w:rsidP="00466F61">
      <w:pPr>
        <w:ind w:leftChars="150" w:left="360"/>
        <w:jc w:val="both"/>
        <w:rPr>
          <w:rFonts w:ascii="Times New Roman" w:hAnsi="Times New Roman"/>
          <w:b/>
          <w:sz w:val="20"/>
          <w:szCs w:val="20"/>
          <w:bdr w:val="single" w:sz="4" w:space="0" w:color="auto"/>
        </w:rPr>
      </w:pPr>
      <w:r w:rsidRPr="00537B91">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一</w:t>
      </w:r>
      <w:r w:rsidRPr="00537B91">
        <w:rPr>
          <w:rFonts w:ascii="Times New Roman" w:hAnsi="Times New Roman"/>
          <w:b/>
          <w:color w:val="FF0000"/>
          <w:sz w:val="20"/>
          <w:szCs w:val="20"/>
          <w:highlight w:val="yellow"/>
          <w:bdr w:val="single" w:sz="4" w:space="0" w:color="auto"/>
        </w:rPr>
        <w:t>）</w:t>
      </w:r>
      <w:r w:rsidR="00AA120F" w:rsidRPr="00DA3BC7">
        <w:rPr>
          <w:rFonts w:ascii="Times New Roman" w:hAnsi="Times New Roman" w:hint="eastAsia"/>
          <w:b/>
          <w:sz w:val="20"/>
          <w:szCs w:val="20"/>
          <w:bdr w:val="single" w:sz="4" w:space="0" w:color="auto"/>
        </w:rPr>
        <w:t>唯識宗的因果說</w:t>
      </w:r>
      <w:r w:rsidR="00AA120F" w:rsidRPr="00DA3BC7">
        <w:rPr>
          <w:rFonts w:ascii="Times New Roman" w:hAnsi="Times New Roman" w:hint="eastAsia"/>
          <w:bCs/>
          <w:sz w:val="20"/>
          <w:szCs w:val="26"/>
        </w:rPr>
        <w:t>（</w:t>
      </w:r>
      <w:r w:rsidR="00AA120F" w:rsidRPr="00DA3BC7">
        <w:rPr>
          <w:rFonts w:ascii="Times New Roman" w:hAnsi="Times New Roman" w:hint="eastAsia"/>
          <w:bCs/>
          <w:sz w:val="20"/>
          <w:szCs w:val="26"/>
        </w:rPr>
        <w:t>pp.168-170</w:t>
      </w:r>
      <w:r w:rsidR="00AA120F" w:rsidRPr="00DA3BC7">
        <w:rPr>
          <w:rFonts w:ascii="Times New Roman" w:hAnsi="Times New Roman" w:hint="eastAsia"/>
          <w:bCs/>
          <w:sz w:val="20"/>
          <w:szCs w:val="26"/>
        </w:rPr>
        <w:t>）</w:t>
      </w:r>
    </w:p>
    <w:p w:rsidR="00AA120F" w:rsidRPr="00DA3BC7" w:rsidRDefault="00537B91" w:rsidP="00466F61">
      <w:pPr>
        <w:ind w:leftChars="200" w:left="480"/>
        <w:jc w:val="both"/>
        <w:rPr>
          <w:rFonts w:ascii="Times New Roman" w:hAnsi="Times New Roman"/>
          <w:b/>
          <w:bCs/>
          <w:sz w:val="20"/>
          <w:szCs w:val="26"/>
          <w:bdr w:val="single" w:sz="4" w:space="0" w:color="auto"/>
        </w:rPr>
      </w:pPr>
      <w:r w:rsidRPr="00537B91">
        <w:rPr>
          <w:rFonts w:ascii="Times New Roman" w:hAnsi="Times New Roman" w:hint="eastAsia"/>
          <w:b/>
          <w:bCs/>
          <w:color w:val="FF0000"/>
          <w:sz w:val="20"/>
          <w:szCs w:val="26"/>
          <w:highlight w:val="yellow"/>
          <w:bdr w:val="single" w:sz="4" w:space="0" w:color="auto"/>
        </w:rPr>
        <w:t>1</w:t>
      </w:r>
      <w:r w:rsidRPr="00537B91">
        <w:rPr>
          <w:rFonts w:ascii="Times New Roman" w:hAnsi="Times New Roman" w:hint="eastAsia"/>
          <w:b/>
          <w:bCs/>
          <w:color w:val="FF0000"/>
          <w:sz w:val="20"/>
          <w:szCs w:val="26"/>
          <w:highlight w:val="yellow"/>
          <w:bdr w:val="single" w:sz="4" w:space="0" w:color="auto"/>
        </w:rPr>
        <w:t>、概述</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p.168</w:t>
      </w:r>
      <w:r w:rsidR="00AA120F" w:rsidRPr="00DA3BC7">
        <w:rPr>
          <w:rFonts w:ascii="Times New Roman" w:hAnsi="Times New Roman" w:hint="eastAsia"/>
          <w:sz w:val="20"/>
          <w:szCs w:val="20"/>
        </w:rPr>
        <w:t>）</w:t>
      </w:r>
    </w:p>
    <w:p w:rsidR="00537B91" w:rsidRDefault="00AA120F" w:rsidP="00466F61">
      <w:pPr>
        <w:ind w:leftChars="200" w:left="480"/>
        <w:jc w:val="both"/>
        <w:rPr>
          <w:rFonts w:ascii="Times New Roman" w:hAnsi="Times New Roman"/>
        </w:rPr>
      </w:pPr>
      <w:r w:rsidRPr="000D4CAA">
        <w:rPr>
          <w:rFonts w:ascii="Times New Roman" w:hAnsi="Times New Roman" w:hint="eastAsia"/>
          <w:b/>
        </w:rPr>
        <w:t>唯識宗</w:t>
      </w:r>
      <w:r w:rsidRPr="00DA3BC7">
        <w:rPr>
          <w:rFonts w:ascii="Times New Roman" w:hAnsi="Times New Roman" w:hint="eastAsia"/>
        </w:rPr>
        <w:t>的因果說，著重在諸法的</w:t>
      </w:r>
      <w:r w:rsidRPr="00DA3BC7">
        <w:rPr>
          <w:rFonts w:ascii="Times New Roman" w:hAnsi="Times New Roman" w:hint="eastAsia"/>
          <w:b/>
        </w:rPr>
        <w:t>「自性緣起」</w:t>
      </w:r>
      <w:r w:rsidRPr="00DA3BC7">
        <w:rPr>
          <w:rFonts w:ascii="Times New Roman" w:hAnsi="Times New Roman" w:hint="eastAsia"/>
        </w:rPr>
        <w:t>。</w:t>
      </w:r>
      <w:r w:rsidR="000D4CAA" w:rsidRPr="00DA3BC7">
        <w:rPr>
          <w:rFonts w:ascii="Times New Roman" w:hAnsi="Times New Roman"/>
          <w:vertAlign w:val="superscript"/>
        </w:rPr>
        <w:footnoteReference w:id="768"/>
      </w:r>
      <w:r w:rsidRPr="00DA3BC7">
        <w:rPr>
          <w:rFonts w:ascii="Times New Roman" w:hAnsi="Times New Roman" w:hint="eastAsia"/>
        </w:rPr>
        <w:t>依唯識義說，眼識的生起，由於眼識的種子；</w:t>
      </w:r>
      <w:r w:rsidRPr="00DA3BC7">
        <w:rPr>
          <w:rFonts w:ascii="Times New Roman" w:hAnsi="Times New Roman" w:hint="eastAsia"/>
          <w:b/>
        </w:rPr>
        <w:t>眼識種子</w:t>
      </w:r>
      <w:r w:rsidRPr="00DA3BC7">
        <w:rPr>
          <w:rFonts w:ascii="Times New Roman" w:hAnsi="Times New Roman" w:hint="eastAsia"/>
        </w:rPr>
        <w:t>對眼識名</w:t>
      </w:r>
      <w:r w:rsidRPr="00DA3BC7">
        <w:rPr>
          <w:rFonts w:ascii="Times New Roman" w:hAnsi="Times New Roman" w:hint="eastAsia"/>
          <w:b/>
        </w:rPr>
        <w:t>因</w:t>
      </w:r>
      <w:r w:rsidRPr="00DA3BC7">
        <w:rPr>
          <w:rFonts w:ascii="Times New Roman" w:hAnsi="Times New Roman" w:hint="eastAsia"/>
        </w:rPr>
        <w:t>，其餘</w:t>
      </w:r>
      <w:r w:rsidRPr="00DA3BC7">
        <w:rPr>
          <w:rFonts w:ascii="Times New Roman" w:hAnsi="Times New Roman" w:hint="eastAsia"/>
          <w:b/>
        </w:rPr>
        <w:t>明、空等</w:t>
      </w:r>
      <w:r w:rsidRPr="00DA3BC7">
        <w:rPr>
          <w:rFonts w:ascii="Times New Roman" w:hAnsi="Times New Roman" w:hint="eastAsia"/>
        </w:rPr>
        <w:t>為</w:t>
      </w:r>
      <w:r w:rsidRPr="00DA3BC7">
        <w:rPr>
          <w:rFonts w:ascii="Times New Roman" w:hAnsi="Times New Roman" w:hint="eastAsia"/>
          <w:b/>
        </w:rPr>
        <w:t>緣</w:t>
      </w:r>
      <w:r w:rsidRPr="00DA3BC7">
        <w:rPr>
          <w:rFonts w:ascii="Times New Roman" w:hAnsi="Times New Roman" w:hint="eastAsia"/>
        </w:rPr>
        <w:t>。</w:t>
      </w:r>
    </w:p>
    <w:p w:rsidR="00537B91" w:rsidRPr="00DA3BC7" w:rsidRDefault="00537B91" w:rsidP="00AE3920">
      <w:pPr>
        <w:spacing w:beforeLines="30"/>
        <w:ind w:leftChars="200" w:left="480"/>
        <w:jc w:val="both"/>
        <w:rPr>
          <w:rFonts w:ascii="Times New Roman" w:hAnsi="Times New Roman"/>
          <w:b/>
          <w:bCs/>
          <w:sz w:val="20"/>
          <w:szCs w:val="26"/>
          <w:bdr w:val="single" w:sz="4" w:space="0" w:color="auto"/>
        </w:rPr>
      </w:pPr>
      <w:r>
        <w:rPr>
          <w:rFonts w:ascii="Times New Roman" w:hAnsi="Times New Roman" w:hint="eastAsia"/>
          <w:b/>
          <w:bCs/>
          <w:color w:val="FF0000"/>
          <w:sz w:val="20"/>
          <w:szCs w:val="26"/>
          <w:highlight w:val="yellow"/>
          <w:bdr w:val="single" w:sz="4" w:space="0" w:color="auto"/>
        </w:rPr>
        <w:t>2</w:t>
      </w:r>
      <w:r w:rsidRPr="00537B91">
        <w:rPr>
          <w:rFonts w:ascii="Times New Roman" w:hAnsi="Times New Roman" w:hint="eastAsia"/>
          <w:b/>
          <w:bCs/>
          <w:color w:val="FF0000"/>
          <w:sz w:val="20"/>
          <w:szCs w:val="26"/>
          <w:highlight w:val="yellow"/>
          <w:bdr w:val="single" w:sz="4" w:space="0" w:color="auto"/>
        </w:rPr>
        <w:t>、</w:t>
      </w:r>
      <w:r>
        <w:rPr>
          <w:rFonts w:ascii="Times New Roman" w:hAnsi="Times New Roman" w:hint="eastAsia"/>
          <w:b/>
          <w:bCs/>
          <w:color w:val="FF0000"/>
          <w:sz w:val="20"/>
          <w:szCs w:val="26"/>
          <w:highlight w:val="yellow"/>
          <w:bdr w:val="single" w:sz="4" w:space="0" w:color="auto"/>
        </w:rPr>
        <w:t>探源</w:t>
      </w:r>
      <w:r w:rsidRPr="00DA3BC7">
        <w:rPr>
          <w:rFonts w:ascii="Times New Roman" w:hAnsi="Times New Roman" w:hint="eastAsia"/>
          <w:sz w:val="20"/>
          <w:szCs w:val="20"/>
        </w:rPr>
        <w:t>（</w:t>
      </w:r>
      <w:r w:rsidRPr="00DA3BC7">
        <w:rPr>
          <w:rFonts w:ascii="Times New Roman" w:hAnsi="Times New Roman" w:hint="eastAsia"/>
          <w:sz w:val="20"/>
          <w:szCs w:val="20"/>
        </w:rPr>
        <w:t>pp.168</w:t>
      </w:r>
      <w:r>
        <w:rPr>
          <w:rFonts w:ascii="Times New Roman" w:hAnsi="Times New Roman" w:hint="eastAsia"/>
          <w:sz w:val="20"/>
          <w:szCs w:val="20"/>
        </w:rPr>
        <w:t>-169</w:t>
      </w:r>
      <w:r w:rsidRPr="00DA3BC7">
        <w:rPr>
          <w:rFonts w:ascii="Times New Roman" w:hAnsi="Times New Roman" w:hint="eastAsia"/>
          <w:sz w:val="20"/>
          <w:szCs w:val="20"/>
        </w:rPr>
        <w:t>）</w:t>
      </w:r>
    </w:p>
    <w:p w:rsidR="00AA120F" w:rsidRPr="00DA3BC7" w:rsidRDefault="00AA120F" w:rsidP="00466F61">
      <w:pPr>
        <w:ind w:leftChars="200" w:left="480"/>
        <w:jc w:val="both"/>
        <w:rPr>
          <w:rFonts w:ascii="Times New Roman" w:hAnsi="Times New Roman"/>
        </w:rPr>
      </w:pPr>
      <w:r w:rsidRPr="00DA3BC7">
        <w:rPr>
          <w:rFonts w:ascii="Times New Roman" w:hAnsi="Times New Roman" w:hint="eastAsia"/>
        </w:rPr>
        <w:t>這種自性緣起的因果論，主要的根據在一</w:t>
      </w:r>
      <w:r w:rsidRPr="00DA3BC7">
        <w:rPr>
          <w:rFonts w:ascii="Times New Roman" w:hAnsi="Times New Roman" w:hint="eastAsia"/>
          <w:b/>
        </w:rPr>
        <w:t>「界」</w:t>
      </w:r>
      <w:r w:rsidRPr="00DA3BC7">
        <w:rPr>
          <w:rFonts w:ascii="Times New Roman" w:hAnsi="Times New Roman"/>
          <w:vertAlign w:val="superscript"/>
        </w:rPr>
        <w:footnoteReference w:id="769"/>
      </w:r>
      <w:r w:rsidRPr="00DA3BC7">
        <w:rPr>
          <w:rFonts w:ascii="Times New Roman" w:hAnsi="Times New Roman" w:hint="eastAsia"/>
        </w:rPr>
        <w:t>字。</w:t>
      </w:r>
    </w:p>
    <w:p w:rsidR="00AA120F" w:rsidRPr="00DA3BC7" w:rsidRDefault="00AA120F" w:rsidP="00AE3920">
      <w:pPr>
        <w:spacing w:beforeLines="30"/>
        <w:ind w:leftChars="250" w:left="600"/>
        <w:jc w:val="both"/>
        <w:rPr>
          <w:rFonts w:ascii="Times New Roman" w:hAnsi="Times New Roman"/>
          <w:bCs/>
          <w:sz w:val="20"/>
          <w:szCs w:val="20"/>
          <w:bdr w:val="single" w:sz="4" w:space="0" w:color="auto"/>
        </w:rPr>
      </w:pPr>
      <w:r w:rsidRPr="00537B91">
        <w:rPr>
          <w:rFonts w:ascii="Times New Roman" w:hAnsi="Times New Roman" w:hint="eastAsia"/>
          <w:b/>
          <w:bCs/>
          <w:color w:val="FF0000"/>
          <w:sz w:val="20"/>
          <w:szCs w:val="20"/>
          <w:highlight w:val="yellow"/>
          <w:bdr w:val="single" w:sz="4" w:space="0" w:color="auto"/>
        </w:rPr>
        <w:t>（</w:t>
      </w:r>
      <w:r w:rsidR="00537B91" w:rsidRPr="00537B91">
        <w:rPr>
          <w:rFonts w:ascii="Times New Roman" w:hAnsi="Times New Roman" w:hint="eastAsia"/>
          <w:b/>
          <w:bCs/>
          <w:color w:val="FF0000"/>
          <w:sz w:val="20"/>
          <w:szCs w:val="20"/>
          <w:highlight w:val="yellow"/>
          <w:bdr w:val="single" w:sz="4" w:space="0" w:color="auto"/>
        </w:rPr>
        <w:t>1</w:t>
      </w:r>
      <w:r w:rsidRPr="00537B91">
        <w:rPr>
          <w:rFonts w:ascii="Times New Roman" w:hAnsi="Times New Roman" w:hint="eastAsia"/>
          <w:b/>
          <w:bCs/>
          <w:color w:val="FF0000"/>
          <w:sz w:val="20"/>
          <w:szCs w:val="20"/>
          <w:highlight w:val="yellow"/>
          <w:bdr w:val="single" w:sz="4" w:space="0" w:color="auto"/>
        </w:rPr>
        <w:t>）</w:t>
      </w:r>
      <w:r w:rsidR="00537B91" w:rsidRPr="00537B91">
        <w:rPr>
          <w:rFonts w:ascii="Times New Roman" w:hAnsi="Times New Roman" w:hint="eastAsia"/>
          <w:b/>
          <w:color w:val="FF0000"/>
          <w:sz w:val="20"/>
          <w:szCs w:val="20"/>
          <w:highlight w:val="yellow"/>
          <w:bdr w:val="single" w:sz="4" w:space="0" w:color="auto"/>
        </w:rPr>
        <w:t>約「字義」辨</w:t>
      </w:r>
      <w:r w:rsidRPr="00DA3BC7">
        <w:rPr>
          <w:rFonts w:ascii="Times New Roman" w:hAnsi="Times New Roman" w:hint="eastAsia"/>
          <w:sz w:val="20"/>
          <w:szCs w:val="20"/>
        </w:rPr>
        <w:t>（</w:t>
      </w:r>
      <w:r w:rsidRPr="00DA3BC7">
        <w:rPr>
          <w:rFonts w:ascii="Times New Roman" w:hAnsi="Times New Roman" w:hint="eastAsia"/>
          <w:sz w:val="20"/>
          <w:szCs w:val="20"/>
        </w:rPr>
        <w:t>p.168</w:t>
      </w:r>
      <w:r w:rsidRPr="00DA3BC7">
        <w:rPr>
          <w:rFonts w:ascii="Times New Roman" w:hAnsi="Times New Roman" w:hint="eastAsia"/>
          <w:sz w:val="20"/>
          <w:szCs w:val="20"/>
        </w:rPr>
        <w:t>）</w:t>
      </w:r>
    </w:p>
    <w:p w:rsidR="00AA120F" w:rsidRPr="00DA3BC7" w:rsidRDefault="00AA120F" w:rsidP="00AE3920">
      <w:pPr>
        <w:spacing w:afterLines="30"/>
        <w:ind w:leftChars="250" w:left="600"/>
        <w:jc w:val="both"/>
        <w:rPr>
          <w:rFonts w:ascii="Times New Roman" w:hAnsi="Times New Roman"/>
        </w:rPr>
      </w:pPr>
      <w:r w:rsidRPr="00DA3BC7">
        <w:rPr>
          <w:rFonts w:ascii="Times New Roman" w:hAnsi="Times New Roman" w:hint="eastAsia"/>
        </w:rPr>
        <w:t>「界」</w:t>
      </w:r>
      <w:r w:rsidRPr="00537B91">
        <w:rPr>
          <w:rFonts w:ascii="Times New Roman" w:hAnsi="Times New Roman" w:hint="eastAsia"/>
          <w:shd w:val="pct15" w:color="auto" w:fill="FFFFFF"/>
        </w:rPr>
        <w:t>（</w:t>
      </w:r>
      <w:r w:rsidRPr="00537B91">
        <w:rPr>
          <w:rFonts w:ascii="Times New Roman" w:hAnsi="Times New Roman" w:cs="Times Ext Roman"/>
          <w:shd w:val="pct15" w:color="auto" w:fill="FFFFFF"/>
        </w:rPr>
        <w:t>dh</w:t>
      </w:r>
      <w:r w:rsidRPr="00537B91">
        <w:rPr>
          <w:rFonts w:ascii="Times New Roman" w:hAnsi="Times New Roman"/>
          <w:shd w:val="pct15" w:color="auto" w:fill="FFFFFF"/>
        </w:rPr>
        <w:t>ā</w:t>
      </w:r>
      <w:r w:rsidRPr="00537B91">
        <w:rPr>
          <w:rFonts w:ascii="Times New Roman" w:hAnsi="Times New Roman" w:cs="Times Ext Roman"/>
          <w:shd w:val="pct15" w:color="auto" w:fill="FFFFFF"/>
        </w:rPr>
        <w:t>tu</w:t>
      </w:r>
      <w:r w:rsidRPr="00537B91">
        <w:rPr>
          <w:rFonts w:ascii="Times New Roman" w:hAnsi="Times New Roman" w:hint="eastAsia"/>
          <w:shd w:val="pct15" w:color="auto" w:fill="FFFFFF"/>
        </w:rPr>
        <w:t>）</w:t>
      </w:r>
      <w:r w:rsidRPr="00DA3BC7">
        <w:rPr>
          <w:rFonts w:ascii="Times New Roman" w:hAnsi="Times New Roman" w:hint="eastAsia"/>
        </w:rPr>
        <w:t>與「法」</w:t>
      </w:r>
      <w:r w:rsidRPr="00537B91">
        <w:rPr>
          <w:rFonts w:ascii="Times New Roman" w:hAnsi="Times New Roman" w:hint="eastAsia"/>
          <w:shd w:val="pct15" w:color="auto" w:fill="FFFFFF"/>
        </w:rPr>
        <w:t>（</w:t>
      </w:r>
      <w:r w:rsidRPr="00537B91">
        <w:rPr>
          <w:rFonts w:ascii="Times New Roman" w:hAnsi="Times New Roman" w:hint="eastAsia"/>
          <w:shd w:val="pct15" w:color="auto" w:fill="FFFFFF"/>
        </w:rPr>
        <w:t>dharma</w:t>
      </w:r>
      <w:r w:rsidRPr="00537B91">
        <w:rPr>
          <w:rFonts w:ascii="Times New Roman" w:hAnsi="Times New Roman" w:hint="eastAsia"/>
          <w:shd w:val="pct15" w:color="auto" w:fill="FFFFFF"/>
        </w:rPr>
        <w:t>）</w:t>
      </w:r>
      <w:r w:rsidRPr="00DA3BC7">
        <w:rPr>
          <w:rFonts w:ascii="Times New Roman" w:hAnsi="Times New Roman" w:hint="eastAsia"/>
        </w:rPr>
        <w:t>的語根</w:t>
      </w:r>
      <w:r w:rsidRPr="00DA3BC7">
        <w:rPr>
          <w:rFonts w:ascii="Times Ext Roman" w:hAnsi="Times Ext Roman" w:cs="Times Ext Roman"/>
        </w:rPr>
        <w:t>√</w:t>
      </w:r>
      <w:r w:rsidRPr="00DA3BC7">
        <w:rPr>
          <w:rFonts w:ascii="Times New Roman" w:hAnsi="Times New Roman" w:cs="Times Ext Roman"/>
        </w:rPr>
        <w:t>Dh</w:t>
      </w:r>
      <w:r w:rsidRPr="00DA3BC7">
        <w:rPr>
          <w:rFonts w:ascii="Times New Roman" w:hAnsi="Times New Roman"/>
        </w:rPr>
        <w:t>ṛ</w:t>
      </w:r>
      <w:r w:rsidRPr="00DA3BC7">
        <w:rPr>
          <w:rFonts w:ascii="Times New Roman" w:hAnsi="Times New Roman" w:hint="eastAsia"/>
        </w:rPr>
        <w:t>相同，有持義，有任持自相、不失不變義，所以</w:t>
      </w:r>
      <w:r w:rsidRPr="000D4CAA">
        <w:rPr>
          <w:rFonts w:ascii="Times New Roman" w:hAnsi="Times New Roman" w:hint="eastAsia"/>
          <w:b/>
          <w:u w:val="wave" w:color="C00000"/>
        </w:rPr>
        <w:t>十八界</w:t>
      </w:r>
      <w:r w:rsidRPr="00DA3BC7">
        <w:rPr>
          <w:rFonts w:ascii="Times New Roman" w:hAnsi="Times New Roman" w:hint="eastAsia"/>
        </w:rPr>
        <w:t>古譯有名為</w:t>
      </w:r>
      <w:r w:rsidRPr="000D4CAA">
        <w:rPr>
          <w:rFonts w:ascii="Times New Roman" w:hAnsi="Times New Roman" w:hint="eastAsia"/>
          <w:b/>
          <w:u w:val="wave" w:color="C00000"/>
        </w:rPr>
        <w:t>十八持</w:t>
      </w:r>
      <w:r w:rsidRPr="00DA3BC7">
        <w:rPr>
          <w:rFonts w:ascii="Times New Roman" w:hAnsi="Times New Roman" w:hint="eastAsia"/>
        </w:rPr>
        <w:t>的。</w:t>
      </w:r>
    </w:p>
    <w:p w:rsidR="00AA120F" w:rsidRPr="00DA3BC7" w:rsidRDefault="00AA120F" w:rsidP="00AE3920">
      <w:pPr>
        <w:spacing w:beforeLines="20"/>
        <w:ind w:leftChars="250" w:left="600"/>
        <w:jc w:val="both"/>
        <w:rPr>
          <w:rFonts w:ascii="Times New Roman" w:hAnsi="Times New Roman"/>
        </w:rPr>
      </w:pPr>
      <w:r w:rsidRPr="000D4CAA">
        <w:rPr>
          <w:rFonts w:ascii="Times New Roman" w:hAnsi="Times New Roman" w:hint="eastAsia"/>
          <w:b/>
          <w:u w:val="wave" w:color="C00000"/>
        </w:rPr>
        <w:t>持</w:t>
      </w:r>
      <w:r w:rsidRPr="00DA3BC7">
        <w:rPr>
          <w:rFonts w:ascii="Times New Roman" w:hAnsi="Times New Roman" w:hint="eastAsia"/>
        </w:rPr>
        <w:t>的意義，即保持特性，有決定如此的性質。一切法的差別，都是在這決定特性上去分別的。</w:t>
      </w:r>
    </w:p>
    <w:p w:rsidR="00537B91" w:rsidRDefault="00AA120F" w:rsidP="00AE3920">
      <w:pPr>
        <w:spacing w:beforeLines="30"/>
        <w:ind w:leftChars="250" w:left="600"/>
        <w:jc w:val="both"/>
        <w:rPr>
          <w:rFonts w:ascii="Times New Roman" w:hAnsi="Times New Roman"/>
          <w:b/>
          <w:color w:val="FF0000"/>
          <w:sz w:val="20"/>
          <w:szCs w:val="20"/>
          <w:bdr w:val="single" w:sz="4" w:space="0" w:color="auto"/>
        </w:rPr>
      </w:pPr>
      <w:r w:rsidRPr="00537B91">
        <w:rPr>
          <w:rFonts w:ascii="Times New Roman" w:hAnsi="Times New Roman" w:hint="eastAsia"/>
          <w:b/>
          <w:bCs/>
          <w:color w:val="FF0000"/>
          <w:sz w:val="20"/>
          <w:szCs w:val="20"/>
          <w:highlight w:val="yellow"/>
          <w:bdr w:val="single" w:sz="4" w:space="0" w:color="auto"/>
        </w:rPr>
        <w:t>（</w:t>
      </w:r>
      <w:r w:rsidR="00537B91" w:rsidRPr="00537B91">
        <w:rPr>
          <w:rFonts w:ascii="Times New Roman" w:hAnsi="Times New Roman" w:hint="eastAsia"/>
          <w:b/>
          <w:bCs/>
          <w:color w:val="FF0000"/>
          <w:sz w:val="20"/>
          <w:szCs w:val="20"/>
          <w:highlight w:val="yellow"/>
          <w:bdr w:val="single" w:sz="4" w:space="0" w:color="auto"/>
        </w:rPr>
        <w:t>2</w:t>
      </w:r>
      <w:r w:rsidRPr="00537B91">
        <w:rPr>
          <w:rFonts w:ascii="Times New Roman" w:hAnsi="Times New Roman" w:hint="eastAsia"/>
          <w:b/>
          <w:bCs/>
          <w:color w:val="FF0000"/>
          <w:sz w:val="20"/>
          <w:szCs w:val="20"/>
          <w:highlight w:val="yellow"/>
          <w:bdr w:val="single" w:sz="4" w:space="0" w:color="auto"/>
        </w:rPr>
        <w:t>）</w:t>
      </w:r>
      <w:r w:rsidR="00537B91">
        <w:rPr>
          <w:rFonts w:ascii="Times New Roman" w:hAnsi="Times New Roman" w:hint="eastAsia"/>
          <w:b/>
          <w:color w:val="FF0000"/>
          <w:sz w:val="20"/>
          <w:szCs w:val="20"/>
          <w:highlight w:val="yellow"/>
          <w:bdr w:val="single" w:sz="4" w:space="0" w:color="auto"/>
        </w:rPr>
        <w:t>從</w:t>
      </w:r>
      <w:r w:rsidR="00537B91" w:rsidRPr="00537B91">
        <w:rPr>
          <w:rFonts w:ascii="Times New Roman" w:hAnsi="Times New Roman" w:hint="eastAsia"/>
          <w:b/>
          <w:color w:val="FF0000"/>
          <w:sz w:val="20"/>
          <w:szCs w:val="20"/>
          <w:highlight w:val="yellow"/>
          <w:bdr w:val="single" w:sz="4" w:space="0" w:color="auto"/>
        </w:rPr>
        <w:t>「</w:t>
      </w:r>
      <w:r w:rsidR="00537B91">
        <w:rPr>
          <w:rFonts w:ascii="Times New Roman" w:hAnsi="Times New Roman" w:hint="eastAsia"/>
          <w:b/>
          <w:color w:val="FF0000"/>
          <w:sz w:val="20"/>
          <w:szCs w:val="20"/>
          <w:highlight w:val="yellow"/>
          <w:bdr w:val="single" w:sz="4" w:space="0" w:color="auto"/>
        </w:rPr>
        <w:t>教理</w:t>
      </w:r>
      <w:r w:rsidR="00537B91" w:rsidRPr="00537B91">
        <w:rPr>
          <w:rFonts w:ascii="Times New Roman" w:hAnsi="Times New Roman" w:hint="eastAsia"/>
          <w:b/>
          <w:color w:val="FF0000"/>
          <w:sz w:val="20"/>
          <w:szCs w:val="20"/>
          <w:highlight w:val="yellow"/>
          <w:bdr w:val="single" w:sz="4" w:space="0" w:color="auto"/>
        </w:rPr>
        <w:t>」</w:t>
      </w:r>
      <w:r w:rsidR="00537B91">
        <w:rPr>
          <w:rFonts w:ascii="Times New Roman" w:hAnsi="Times New Roman" w:hint="eastAsia"/>
          <w:b/>
          <w:color w:val="FF0000"/>
          <w:sz w:val="20"/>
          <w:szCs w:val="20"/>
          <w:highlight w:val="yellow"/>
          <w:bdr w:val="single" w:sz="4" w:space="0" w:color="auto"/>
        </w:rPr>
        <w:t>說</w:t>
      </w:r>
      <w:r w:rsidR="00537B91" w:rsidRPr="00DA3BC7">
        <w:rPr>
          <w:rFonts w:ascii="Times New Roman" w:hAnsi="Times New Roman" w:hint="eastAsia"/>
          <w:sz w:val="20"/>
          <w:szCs w:val="20"/>
        </w:rPr>
        <w:t>（</w:t>
      </w:r>
      <w:r w:rsidR="00537B91" w:rsidRPr="00DA3BC7">
        <w:rPr>
          <w:rFonts w:ascii="Times New Roman" w:hAnsi="Times New Roman" w:hint="eastAsia"/>
          <w:sz w:val="20"/>
          <w:szCs w:val="20"/>
        </w:rPr>
        <w:t>pp.168-169</w:t>
      </w:r>
      <w:r w:rsidR="00537B91" w:rsidRPr="00DA3BC7">
        <w:rPr>
          <w:rFonts w:ascii="Times New Roman" w:hAnsi="Times New Roman" w:hint="eastAsia"/>
          <w:sz w:val="20"/>
          <w:szCs w:val="20"/>
        </w:rPr>
        <w:t>）</w:t>
      </w:r>
    </w:p>
    <w:p w:rsidR="00AA120F" w:rsidRPr="00DA3BC7" w:rsidRDefault="00537B91" w:rsidP="00466F61">
      <w:pPr>
        <w:ind w:leftChars="300" w:left="720"/>
        <w:jc w:val="both"/>
        <w:rPr>
          <w:rFonts w:ascii="Times New Roman" w:hAnsi="Times New Roman"/>
          <w:bCs/>
          <w:sz w:val="20"/>
          <w:szCs w:val="20"/>
          <w:bdr w:val="single" w:sz="4" w:space="0" w:color="auto"/>
        </w:rPr>
      </w:pPr>
      <w:r w:rsidRPr="00537B91">
        <w:rPr>
          <w:rFonts w:ascii="Times New Roman" w:hAnsi="Times New Roman" w:hint="eastAsia"/>
          <w:b/>
          <w:bCs/>
          <w:color w:val="FF0000"/>
          <w:sz w:val="20"/>
          <w:szCs w:val="20"/>
          <w:highlight w:val="yellow"/>
          <w:bdr w:val="single" w:sz="4" w:space="0" w:color="auto"/>
        </w:rPr>
        <w:lastRenderedPageBreak/>
        <w:t>A</w:t>
      </w:r>
      <w:r w:rsidRPr="00537B91">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依</w:t>
      </w:r>
      <w:r w:rsidR="00E11437" w:rsidRPr="00E11437">
        <w:rPr>
          <w:rFonts w:ascii="Times New Roman" w:hAnsi="Times New Roman" w:hint="eastAsia"/>
          <w:b/>
          <w:bCs/>
          <w:color w:val="FF0000"/>
          <w:sz w:val="20"/>
          <w:szCs w:val="20"/>
          <w:highlight w:val="yellow"/>
          <w:bdr w:val="single" w:sz="4" w:space="0" w:color="auto"/>
        </w:rPr>
        <w:t>《</w:t>
      </w:r>
      <w:r w:rsidR="00AA120F" w:rsidRPr="00537B91">
        <w:rPr>
          <w:rFonts w:ascii="Times New Roman" w:hAnsi="Times New Roman" w:hint="eastAsia"/>
          <w:b/>
          <w:bCs/>
          <w:color w:val="FF0000"/>
          <w:sz w:val="20"/>
          <w:szCs w:val="20"/>
          <w:highlight w:val="yellow"/>
          <w:bdr w:val="single" w:sz="4" w:space="0" w:color="auto"/>
        </w:rPr>
        <w:t>阿含</w:t>
      </w:r>
      <w:r w:rsidR="00E11437" w:rsidRPr="00E11437">
        <w:rPr>
          <w:rFonts w:ascii="Times New Roman" w:hAnsi="Times New Roman" w:hint="eastAsia"/>
          <w:b/>
          <w:bCs/>
          <w:color w:val="FF0000"/>
          <w:sz w:val="20"/>
          <w:szCs w:val="20"/>
          <w:highlight w:val="yellow"/>
          <w:bdr w:val="single" w:sz="4" w:space="0" w:color="auto"/>
        </w:rPr>
        <w:t>》</w:t>
      </w:r>
      <w:r w:rsidRPr="00537B91">
        <w:rPr>
          <w:rFonts w:ascii="Times New Roman" w:hAnsi="Times New Roman" w:hint="eastAsia"/>
          <w:b/>
          <w:bCs/>
          <w:color w:val="FF0000"/>
          <w:sz w:val="20"/>
          <w:szCs w:val="20"/>
          <w:highlight w:val="yellow"/>
          <w:bdr w:val="single" w:sz="4" w:space="0" w:color="auto"/>
        </w:rPr>
        <w:t>教明</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pp.168-169</w:t>
      </w:r>
      <w:r w:rsidR="00AA120F" w:rsidRPr="00DA3BC7">
        <w:rPr>
          <w:rFonts w:ascii="Times New Roman" w:hAnsi="Times New Roman" w:hint="eastAsia"/>
          <w:sz w:val="20"/>
          <w:szCs w:val="20"/>
        </w:rPr>
        <w:t>）</w:t>
      </w:r>
    </w:p>
    <w:p w:rsidR="00537B91" w:rsidRDefault="00AA120F" w:rsidP="00466F61">
      <w:pPr>
        <w:ind w:leftChars="300" w:left="720"/>
        <w:jc w:val="both"/>
        <w:rPr>
          <w:rFonts w:ascii="Times New Roman" w:hAnsi="Times New Roman"/>
          <w:b/>
        </w:rPr>
      </w:pPr>
      <w:r w:rsidRPr="00DA3BC7">
        <w:rPr>
          <w:rFonts w:ascii="Times New Roman" w:hAnsi="Times New Roman" w:hint="eastAsia"/>
          <w:b/>
        </w:rPr>
        <w:t>在《阿含經》裏，</w:t>
      </w:r>
    </w:p>
    <w:p w:rsidR="00AA120F" w:rsidRPr="00DA3BC7" w:rsidRDefault="00AA120F" w:rsidP="00466F61">
      <w:pPr>
        <w:ind w:leftChars="300" w:left="720"/>
        <w:jc w:val="both"/>
        <w:rPr>
          <w:rFonts w:ascii="Times New Roman" w:hAnsi="Times New Roman"/>
        </w:rPr>
      </w:pPr>
      <w:r w:rsidRPr="00DA3BC7">
        <w:rPr>
          <w:rFonts w:ascii="Times New Roman" w:hAnsi="Times New Roman" w:hint="eastAsia"/>
          <w:b/>
        </w:rPr>
        <w:t>界是種類的意思</w:t>
      </w:r>
      <w:r w:rsidRPr="00DA3BC7">
        <w:rPr>
          <w:rFonts w:ascii="Times New Roman" w:hAnsi="Times New Roman" w:hint="eastAsia"/>
        </w:rPr>
        <w:t>，一類一類的法，即是一界一界的。</w:t>
      </w:r>
    </w:p>
    <w:p w:rsidR="00AA120F" w:rsidRPr="00DA3BC7" w:rsidRDefault="00AA120F" w:rsidP="00AE3920">
      <w:pPr>
        <w:spacing w:beforeLines="20"/>
        <w:ind w:leftChars="300" w:left="720"/>
        <w:jc w:val="both"/>
        <w:rPr>
          <w:rFonts w:ascii="Times New Roman" w:hAnsi="Times New Roman"/>
        </w:rPr>
      </w:pPr>
      <w:r w:rsidRPr="00DA3BC7">
        <w:rPr>
          <w:rFonts w:ascii="Times New Roman" w:hAnsi="Times New Roman" w:hint="eastAsia"/>
          <w:b/>
        </w:rPr>
        <w:t>種類</w:t>
      </w:r>
      <w:r w:rsidRPr="00DA3BC7">
        <w:rPr>
          <w:rFonts w:ascii="Times New Roman" w:hAnsi="Times New Roman" w:hint="eastAsia"/>
        </w:rPr>
        <w:t>，可從兩方面說：</w:t>
      </w:r>
    </w:p>
    <w:p w:rsidR="00AA120F" w:rsidRPr="00DA3BC7" w:rsidRDefault="00AA120F" w:rsidP="00466F61">
      <w:pPr>
        <w:ind w:leftChars="300" w:left="720"/>
        <w:jc w:val="both"/>
        <w:rPr>
          <w:rFonts w:ascii="Times New Roman" w:hAnsi="Times New Roman"/>
        </w:rPr>
      </w:pPr>
      <w:r w:rsidRPr="00DA3BC7">
        <w:rPr>
          <w:rFonts w:ascii="Times New Roman" w:hAnsi="Times New Roman" w:hint="eastAsia"/>
        </w:rPr>
        <w:t>如眼界，凡具有眼之特性的，皆眼界攝，由此義可</w:t>
      </w:r>
      <w:r w:rsidRPr="00DA3BC7">
        <w:rPr>
          <w:rFonts w:ascii="Times New Roman" w:hAnsi="Times New Roman" w:hint="eastAsia"/>
          <w:b/>
        </w:rPr>
        <w:t>類</w:t>
      </w:r>
      <w:r w:rsidRPr="00DA3BC7">
        <w:rPr>
          <w:rStyle w:val="a6"/>
          <w:rFonts w:ascii="Times New Roman" w:hAnsi="Times New Roman"/>
        </w:rPr>
        <w:footnoteReference w:id="770"/>
      </w:r>
      <w:r w:rsidRPr="00DA3BC7">
        <w:rPr>
          <w:rFonts w:ascii="Times New Roman" w:hAnsi="Times New Roman" w:hint="eastAsia"/>
          <w:b/>
        </w:rPr>
        <w:t>括</w:t>
      </w:r>
      <w:r w:rsidRPr="00DA3BC7">
        <w:rPr>
          <w:rStyle w:val="a6"/>
          <w:rFonts w:ascii="Times New Roman" w:hAnsi="Times New Roman"/>
        </w:rPr>
        <w:footnoteReference w:id="771"/>
      </w:r>
      <w:r w:rsidRPr="00DA3BC7">
        <w:rPr>
          <w:rFonts w:ascii="Times New Roman" w:hAnsi="Times New Roman" w:hint="eastAsia"/>
          <w:b/>
        </w:rPr>
        <w:t>一切眼</w:t>
      </w:r>
      <w:r w:rsidRPr="00DA3BC7">
        <w:rPr>
          <w:rFonts w:ascii="Times New Roman" w:hAnsi="Times New Roman" w:hint="eastAsia"/>
        </w:rPr>
        <w:t>。</w:t>
      </w:r>
    </w:p>
    <w:p w:rsidR="00AA120F" w:rsidRPr="00DA3BC7" w:rsidRDefault="00AA120F" w:rsidP="00466F61">
      <w:pPr>
        <w:ind w:leftChars="300" w:left="720"/>
        <w:jc w:val="both"/>
        <w:rPr>
          <w:rFonts w:ascii="Times New Roman" w:hAnsi="Times New Roman"/>
        </w:rPr>
      </w:pPr>
      <w:r w:rsidRPr="00DA3BC7">
        <w:rPr>
          <w:rFonts w:ascii="Times New Roman" w:hAnsi="Times New Roman" w:hint="eastAsia"/>
        </w:rPr>
        <w:t>又從眼界異於其他的耳界等，可顯示</w:t>
      </w:r>
      <w:r w:rsidRPr="00DA3BC7">
        <w:rPr>
          <w:rFonts w:ascii="Times New Roman" w:hAnsi="Times New Roman" w:hint="eastAsia"/>
          <w:b/>
        </w:rPr>
        <w:t>眼界的特殊</w:t>
      </w:r>
      <w:r w:rsidRPr="00DA3BC7">
        <w:rPr>
          <w:rFonts w:ascii="Times New Roman" w:hAnsi="Times New Roman" w:hint="eastAsia"/>
        </w:rPr>
        <w:t>。</w:t>
      </w:r>
    </w:p>
    <w:p w:rsidR="00AA120F" w:rsidRPr="00DA3BC7" w:rsidRDefault="00AA120F" w:rsidP="00AE3920">
      <w:pPr>
        <w:spacing w:beforeLines="20"/>
        <w:ind w:leftChars="300" w:left="720"/>
        <w:jc w:val="both"/>
        <w:rPr>
          <w:rFonts w:ascii="Times New Roman" w:hAnsi="Times New Roman"/>
          <w:b/>
        </w:rPr>
      </w:pPr>
      <w:r w:rsidRPr="00DA3BC7">
        <w:rPr>
          <w:rFonts w:ascii="Times New Roman" w:hAnsi="Times New Roman" w:hint="eastAsia"/>
          <w:b/>
        </w:rPr>
        <w:t>所以界義，一在表明類性，一在顯示別性。</w:t>
      </w:r>
    </w:p>
    <w:p w:rsidR="00537B91" w:rsidRDefault="00AA120F" w:rsidP="00466F61">
      <w:pPr>
        <w:ind w:leftChars="300" w:left="720"/>
        <w:jc w:val="both"/>
        <w:rPr>
          <w:rFonts w:ascii="Times New Roman" w:hAnsi="Times New Roman"/>
        </w:rPr>
      </w:pPr>
      <w:r w:rsidRPr="00DA3BC7">
        <w:rPr>
          <w:rFonts w:ascii="Times New Roman" w:hAnsi="Times New Roman" w:hint="eastAsia"/>
        </w:rPr>
        <w:t>約此意義，《阿含經》中說有無量無邊的界，如三界、四界、六界、十八界等。</w:t>
      </w:r>
      <w:r w:rsidRPr="00DA3BC7">
        <w:rPr>
          <w:rFonts w:ascii="Times New Roman" w:hAnsi="Times New Roman"/>
          <w:vertAlign w:val="superscript"/>
        </w:rPr>
        <w:footnoteReference w:id="772"/>
      </w:r>
    </w:p>
    <w:p w:rsidR="00AA120F" w:rsidRPr="00DA3BC7" w:rsidRDefault="00537B91" w:rsidP="00AE3920">
      <w:pPr>
        <w:spacing w:beforeLines="30"/>
        <w:ind w:leftChars="300" w:left="720"/>
        <w:jc w:val="both"/>
        <w:rPr>
          <w:rFonts w:ascii="Times New Roman" w:hAnsi="Times New Roman"/>
          <w:b/>
          <w:sz w:val="20"/>
          <w:szCs w:val="20"/>
        </w:rPr>
      </w:pPr>
      <w:r w:rsidRPr="00537B91">
        <w:rPr>
          <w:rFonts w:ascii="Times New Roman" w:hAnsi="Times New Roman" w:hint="eastAsia"/>
          <w:b/>
          <w:bCs/>
          <w:color w:val="FF0000"/>
          <w:sz w:val="20"/>
          <w:szCs w:val="20"/>
          <w:highlight w:val="yellow"/>
          <w:bdr w:val="single" w:sz="4" w:space="0" w:color="auto"/>
        </w:rPr>
        <w:t>B</w:t>
      </w:r>
      <w:r w:rsidRPr="00537B91">
        <w:rPr>
          <w:rFonts w:ascii="Times New Roman" w:hAnsi="Times New Roman" w:hint="eastAsia"/>
          <w:b/>
          <w:bCs/>
          <w:color w:val="FF0000"/>
          <w:sz w:val="20"/>
          <w:szCs w:val="20"/>
          <w:highlight w:val="yellow"/>
          <w:bdr w:val="single" w:sz="4" w:space="0" w:color="auto"/>
        </w:rPr>
        <w:t>、據</w:t>
      </w:r>
      <w:r w:rsidR="00AA120F" w:rsidRPr="00537B91">
        <w:rPr>
          <w:rFonts w:ascii="Times New Roman" w:hAnsi="Times New Roman" w:hint="eastAsia"/>
          <w:b/>
          <w:color w:val="FF0000"/>
          <w:sz w:val="20"/>
          <w:szCs w:val="20"/>
          <w:highlight w:val="yellow"/>
          <w:bdr w:val="single" w:sz="4" w:space="0" w:color="auto"/>
        </w:rPr>
        <w:t>有部</w:t>
      </w:r>
      <w:r w:rsidRPr="00537B91">
        <w:rPr>
          <w:rFonts w:ascii="Times New Roman" w:hAnsi="Times New Roman" w:hint="eastAsia"/>
          <w:b/>
          <w:color w:val="FF0000"/>
          <w:sz w:val="20"/>
          <w:szCs w:val="20"/>
          <w:highlight w:val="yellow"/>
          <w:bdr w:val="single" w:sz="4" w:space="0" w:color="auto"/>
        </w:rPr>
        <w:t>說</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p.169</w:t>
      </w:r>
      <w:r w:rsidR="00AA120F" w:rsidRPr="00DA3BC7">
        <w:rPr>
          <w:rFonts w:ascii="Times New Roman" w:hAnsi="Times New Roman" w:hint="eastAsia"/>
          <w:sz w:val="20"/>
          <w:szCs w:val="20"/>
        </w:rPr>
        <w:t>）</w:t>
      </w:r>
    </w:p>
    <w:p w:rsidR="00537B91" w:rsidRDefault="00537B91" w:rsidP="00466F61">
      <w:pPr>
        <w:ind w:leftChars="350" w:left="840"/>
        <w:jc w:val="both"/>
        <w:rPr>
          <w:rFonts w:ascii="Times New Roman" w:hAnsi="Times New Roman"/>
          <w:b/>
          <w:color w:val="FF0000"/>
          <w:sz w:val="20"/>
          <w:szCs w:val="20"/>
          <w:bdr w:val="single" w:sz="4" w:space="0" w:color="auto"/>
        </w:rPr>
      </w:pPr>
      <w:r w:rsidRPr="00537B91">
        <w:rPr>
          <w:rFonts w:ascii="Times New Roman" w:hAnsi="Times New Roman" w:hint="eastAsia"/>
          <w:b/>
          <w:bCs/>
          <w:color w:val="FF0000"/>
          <w:sz w:val="20"/>
          <w:szCs w:val="20"/>
          <w:highlight w:val="yellow"/>
          <w:bdr w:val="single" w:sz="4" w:space="0" w:color="auto"/>
        </w:rPr>
        <w:t>（</w:t>
      </w:r>
      <w:r w:rsidR="00051FE6">
        <w:rPr>
          <w:rFonts w:ascii="Times New Roman" w:hAnsi="Times New Roman" w:hint="eastAsia"/>
          <w:b/>
          <w:bCs/>
          <w:color w:val="FF0000"/>
          <w:sz w:val="20"/>
          <w:szCs w:val="20"/>
          <w:highlight w:val="yellow"/>
          <w:bdr w:val="single" w:sz="4" w:space="0" w:color="auto"/>
        </w:rPr>
        <w:t>A</w:t>
      </w:r>
      <w:r w:rsidRPr="00537B91">
        <w:rPr>
          <w:rFonts w:ascii="Times New Roman" w:hAnsi="Times New Roman" w:hint="eastAsia"/>
          <w:b/>
          <w:bCs/>
          <w:color w:val="FF0000"/>
          <w:sz w:val="20"/>
          <w:szCs w:val="20"/>
          <w:highlight w:val="yellow"/>
          <w:bdr w:val="single" w:sz="4" w:space="0" w:color="auto"/>
        </w:rPr>
        <w:t>）</w:t>
      </w:r>
      <w:r w:rsidR="00051FE6">
        <w:rPr>
          <w:rFonts w:ascii="Times New Roman" w:hAnsi="Times New Roman" w:hint="eastAsia"/>
          <w:b/>
          <w:color w:val="FF0000"/>
          <w:sz w:val="20"/>
          <w:szCs w:val="20"/>
          <w:highlight w:val="yellow"/>
          <w:bdr w:val="single" w:sz="4" w:space="0" w:color="auto"/>
        </w:rPr>
        <w:t>結前啟後</w:t>
      </w:r>
      <w:r w:rsidRPr="00DA3BC7">
        <w:rPr>
          <w:rFonts w:ascii="Times New Roman" w:hAnsi="Times New Roman" w:hint="eastAsia"/>
          <w:sz w:val="20"/>
          <w:szCs w:val="20"/>
        </w:rPr>
        <w:t>（</w:t>
      </w:r>
      <w:r w:rsidRPr="00DA3BC7">
        <w:rPr>
          <w:rFonts w:ascii="Times New Roman" w:hAnsi="Times New Roman" w:hint="eastAsia"/>
          <w:sz w:val="20"/>
          <w:szCs w:val="20"/>
        </w:rPr>
        <w:t>p.169</w:t>
      </w:r>
      <w:r w:rsidRPr="00DA3BC7">
        <w:rPr>
          <w:rFonts w:ascii="Times New Roman" w:hAnsi="Times New Roman" w:hint="eastAsia"/>
          <w:sz w:val="20"/>
          <w:szCs w:val="20"/>
        </w:rPr>
        <w:t>）</w:t>
      </w:r>
    </w:p>
    <w:p w:rsidR="00537B91" w:rsidRPr="00DA3BC7" w:rsidRDefault="00537B91" w:rsidP="00466F61">
      <w:pPr>
        <w:ind w:leftChars="350" w:left="840"/>
        <w:jc w:val="both"/>
        <w:rPr>
          <w:rFonts w:ascii="Times New Roman" w:hAnsi="Times New Roman"/>
        </w:rPr>
      </w:pPr>
      <w:r w:rsidRPr="00DA3BC7">
        <w:rPr>
          <w:rFonts w:ascii="Times New Roman" w:hAnsi="Times New Roman" w:hint="eastAsia"/>
        </w:rPr>
        <w:t>細究界字的意義，即是一類一類的，各自同其所同、異其所異的。</w:t>
      </w:r>
    </w:p>
    <w:p w:rsidR="00051FE6" w:rsidRDefault="00AA120F" w:rsidP="00466F61">
      <w:pPr>
        <w:ind w:leftChars="350" w:left="840"/>
        <w:jc w:val="both"/>
        <w:rPr>
          <w:rFonts w:ascii="Times New Roman" w:hAnsi="Times New Roman"/>
        </w:rPr>
      </w:pPr>
      <w:r w:rsidRPr="00DA3BC7">
        <w:rPr>
          <w:rFonts w:ascii="Times New Roman" w:hAnsi="Times New Roman" w:hint="eastAsia"/>
        </w:rPr>
        <w:t>從世間的現象說，世間實可以分成無量無邊的界。</w:t>
      </w:r>
    </w:p>
    <w:p w:rsidR="00051FE6" w:rsidRPr="00DA3BC7" w:rsidRDefault="00051FE6" w:rsidP="00AE3920">
      <w:pPr>
        <w:spacing w:beforeLines="30"/>
        <w:ind w:leftChars="350" w:left="840"/>
        <w:jc w:val="both"/>
        <w:rPr>
          <w:rFonts w:ascii="Times New Roman" w:hAnsi="Times New Roman"/>
          <w:b/>
          <w:sz w:val="20"/>
          <w:szCs w:val="20"/>
        </w:rPr>
      </w:pPr>
      <w:r w:rsidRPr="00537B91">
        <w:rPr>
          <w:rFonts w:ascii="Times New Roman" w:hAnsi="Times New Roman" w:hint="eastAsia"/>
          <w:b/>
          <w:bCs/>
          <w:color w:val="FF0000"/>
          <w:sz w:val="20"/>
          <w:szCs w:val="20"/>
          <w:highlight w:val="yellow"/>
          <w:bdr w:val="single" w:sz="4" w:space="0" w:color="auto"/>
        </w:rPr>
        <w:t>（</w:t>
      </w:r>
      <w:r w:rsidRPr="00537B91">
        <w:rPr>
          <w:rFonts w:ascii="Times New Roman" w:hAnsi="Times New Roman" w:hint="eastAsia"/>
          <w:b/>
          <w:bCs/>
          <w:color w:val="FF0000"/>
          <w:sz w:val="20"/>
          <w:szCs w:val="20"/>
          <w:highlight w:val="yellow"/>
          <w:bdr w:val="single" w:sz="4" w:space="0" w:color="auto"/>
        </w:rPr>
        <w:t>B</w:t>
      </w:r>
      <w:r w:rsidRPr="00537B91">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述義明失</w:t>
      </w:r>
      <w:r w:rsidRPr="00DA3BC7">
        <w:rPr>
          <w:rFonts w:ascii="Times New Roman" w:hAnsi="Times New Roman" w:hint="eastAsia"/>
          <w:sz w:val="20"/>
          <w:szCs w:val="20"/>
        </w:rPr>
        <w:t>（</w:t>
      </w:r>
      <w:r w:rsidRPr="00DA3BC7">
        <w:rPr>
          <w:rFonts w:ascii="Times New Roman" w:hAnsi="Times New Roman" w:hint="eastAsia"/>
          <w:sz w:val="20"/>
          <w:szCs w:val="20"/>
        </w:rPr>
        <w:t>p.169</w:t>
      </w:r>
      <w:r w:rsidRPr="00DA3BC7">
        <w:rPr>
          <w:rFonts w:ascii="Times New Roman" w:hAnsi="Times New Roman" w:hint="eastAsia"/>
          <w:sz w:val="20"/>
          <w:szCs w:val="20"/>
        </w:rPr>
        <w:t>）</w:t>
      </w:r>
    </w:p>
    <w:p w:rsidR="00AA120F" w:rsidRPr="00DA3BC7" w:rsidRDefault="00AA120F" w:rsidP="00466F61">
      <w:pPr>
        <w:ind w:leftChars="350" w:left="840"/>
        <w:jc w:val="both"/>
        <w:rPr>
          <w:rFonts w:ascii="Times New Roman" w:hAnsi="Times New Roman"/>
        </w:rPr>
      </w:pPr>
      <w:r w:rsidRPr="00DA3BC7">
        <w:rPr>
          <w:rFonts w:ascii="Times New Roman" w:hAnsi="Times New Roman" w:hint="eastAsia"/>
        </w:rPr>
        <w:t>西北印度的</w:t>
      </w:r>
      <w:r w:rsidRPr="00DA3BC7">
        <w:rPr>
          <w:rFonts w:ascii="Times New Roman" w:hAnsi="Times New Roman" w:hint="eastAsia"/>
          <w:b/>
        </w:rPr>
        <w:t>說一切有部</w:t>
      </w:r>
      <w:r w:rsidRPr="00DA3BC7">
        <w:rPr>
          <w:rFonts w:ascii="Times New Roman" w:hAnsi="Times New Roman" w:hint="eastAsia"/>
        </w:rPr>
        <w:t>，偏重於此（阿毘達磨以</w:t>
      </w:r>
      <w:r w:rsidRPr="00DA3BC7">
        <w:rPr>
          <w:rFonts w:ascii="新細明體" w:hAnsi="新細明體" w:hint="eastAsia"/>
        </w:rPr>
        <w:t>〈</w:t>
      </w:r>
      <w:r w:rsidRPr="00DA3BC7">
        <w:rPr>
          <w:rFonts w:hint="eastAsia"/>
        </w:rPr>
        <w:t>界品</w:t>
      </w:r>
      <w:r w:rsidRPr="00DA3BC7">
        <w:rPr>
          <w:rFonts w:ascii="新細明體" w:hAnsi="新細明體" w:hint="eastAsia"/>
        </w:rPr>
        <w:t>〉</w:t>
      </w:r>
      <w:r w:rsidRPr="00DA3BC7">
        <w:rPr>
          <w:rFonts w:ascii="Times New Roman" w:hAnsi="Times New Roman" w:hint="eastAsia"/>
        </w:rPr>
        <w:t>為首</w:t>
      </w:r>
      <w:r w:rsidRPr="00DA3BC7">
        <w:rPr>
          <w:rFonts w:ascii="Times New Roman" w:hAnsi="Times New Roman"/>
          <w:vertAlign w:val="superscript"/>
        </w:rPr>
        <w:footnoteReference w:id="773"/>
      </w:r>
      <w:r w:rsidRPr="00DA3BC7">
        <w:rPr>
          <w:rFonts w:ascii="Times New Roman" w:hAnsi="Times New Roman" w:hint="eastAsia"/>
        </w:rPr>
        <w:t>），即落入</w:t>
      </w:r>
      <w:r w:rsidRPr="00DA3BC7">
        <w:rPr>
          <w:rFonts w:ascii="Times New Roman" w:hAnsi="Times New Roman" w:hint="eastAsia"/>
          <w:b/>
        </w:rPr>
        <w:t>多元實在論</w:t>
      </w:r>
      <w:r w:rsidRPr="00DA3BC7">
        <w:rPr>
          <w:rFonts w:ascii="Times New Roman" w:hAnsi="Times New Roman" w:hint="eastAsia"/>
        </w:rPr>
        <w:t>。</w:t>
      </w:r>
    </w:p>
    <w:p w:rsidR="00AA120F" w:rsidRPr="00DA3BC7" w:rsidRDefault="00AA120F" w:rsidP="00AE3920">
      <w:pPr>
        <w:spacing w:beforeLines="20"/>
        <w:ind w:leftChars="350" w:left="840"/>
        <w:jc w:val="both"/>
        <w:rPr>
          <w:rFonts w:ascii="Times New Roman" w:hAnsi="Times New Roman"/>
          <w:b/>
          <w:sz w:val="20"/>
          <w:szCs w:val="20"/>
        </w:rPr>
      </w:pPr>
      <w:r w:rsidRPr="00DA3BC7">
        <w:rPr>
          <w:rFonts w:ascii="Times New Roman" w:hAnsi="Times New Roman" w:hint="eastAsia"/>
        </w:rPr>
        <w:t>他們以為事物析至不可再分的微質，即是法的自性，即界。各各事物都有此最極的質，故看一切法是各各安住自性的、不失自相的。</w:t>
      </w:r>
      <w:r w:rsidRPr="00DA3BC7">
        <w:rPr>
          <w:rFonts w:ascii="Times New Roman" w:hAnsi="Times New Roman" w:hint="eastAsia"/>
          <w:b/>
        </w:rPr>
        <w:t>他們雖也講因緣生，但覺得法的自性早就存在，生起是使它呈現到現在。</w:t>
      </w:r>
    </w:p>
    <w:p w:rsidR="00AA120F" w:rsidRPr="00DA3BC7" w:rsidRDefault="00051FE6" w:rsidP="00AE3920">
      <w:pPr>
        <w:spacing w:beforeLines="30"/>
        <w:ind w:leftChars="200" w:left="480"/>
        <w:jc w:val="both"/>
        <w:rPr>
          <w:rFonts w:ascii="Times New Roman" w:hAnsi="Times New Roman"/>
          <w:sz w:val="20"/>
          <w:szCs w:val="20"/>
        </w:rPr>
      </w:pPr>
      <w:r w:rsidRPr="00051FE6">
        <w:rPr>
          <w:rFonts w:ascii="Times New Roman" w:hAnsi="Times New Roman" w:hint="eastAsia"/>
          <w:b/>
          <w:bCs/>
          <w:color w:val="FF0000"/>
          <w:sz w:val="20"/>
          <w:szCs w:val="20"/>
          <w:highlight w:val="yellow"/>
          <w:bdr w:val="single" w:sz="4" w:space="0" w:color="auto"/>
        </w:rPr>
        <w:lastRenderedPageBreak/>
        <w:t>3</w:t>
      </w:r>
      <w:r w:rsidRPr="00051FE6">
        <w:rPr>
          <w:rFonts w:ascii="Times New Roman" w:hAnsi="Times New Roman" w:hint="eastAsia"/>
          <w:b/>
          <w:bCs/>
          <w:color w:val="FF0000"/>
          <w:sz w:val="20"/>
          <w:szCs w:val="20"/>
          <w:highlight w:val="yellow"/>
          <w:bdr w:val="single" w:sz="4" w:space="0" w:color="auto"/>
        </w:rPr>
        <w:t>、明宗</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pp.169-170</w:t>
      </w:r>
      <w:r w:rsidR="00AA120F" w:rsidRPr="00DA3BC7">
        <w:rPr>
          <w:rFonts w:ascii="Times New Roman" w:hAnsi="Times New Roman" w:hint="eastAsia"/>
          <w:sz w:val="20"/>
          <w:szCs w:val="20"/>
        </w:rPr>
        <w:t>）</w:t>
      </w:r>
    </w:p>
    <w:p w:rsidR="00AA120F" w:rsidRPr="00DA3BC7" w:rsidRDefault="00AA120F" w:rsidP="00466F61">
      <w:pPr>
        <w:ind w:leftChars="200" w:left="480"/>
        <w:jc w:val="both"/>
        <w:rPr>
          <w:rFonts w:ascii="Times New Roman" w:hAnsi="Times New Roman"/>
        </w:rPr>
      </w:pPr>
      <w:r w:rsidRPr="00DA3BC7">
        <w:rPr>
          <w:rFonts w:ascii="Times New Roman" w:hAnsi="Times New Roman" w:hint="eastAsia"/>
          <w:b/>
        </w:rPr>
        <w:t>經部師及唯識者</w:t>
      </w:r>
      <w:r w:rsidRPr="00DA3BC7">
        <w:rPr>
          <w:rFonts w:ascii="Times New Roman" w:hAnsi="Times New Roman" w:hint="eastAsia"/>
        </w:rPr>
        <w:t>，不同意這種三世實有論，但將法法的自性，修改為</w:t>
      </w:r>
      <w:r w:rsidRPr="00DA3BC7">
        <w:rPr>
          <w:rFonts w:ascii="Times New Roman" w:hAnsi="Times New Roman" w:hint="eastAsia"/>
          <w:b/>
        </w:rPr>
        <w:t>法法各有自種子──潛能</w:t>
      </w:r>
      <w:r w:rsidRPr="00DA3BC7">
        <w:rPr>
          <w:rFonts w:ascii="Times New Roman" w:hAnsi="Times New Roman" w:hint="eastAsia"/>
        </w:rPr>
        <w:t>，存儲於心識</w:t>
      </w:r>
      <w:r w:rsidR="00F93F5B" w:rsidRPr="00F93F5B">
        <w:rPr>
          <w:rStyle w:val="a6"/>
          <w:rFonts w:ascii="Times New Roman" w:hAnsi="Times New Roman"/>
          <w:color w:val="FF0000"/>
          <w:highlight w:val="yellow"/>
        </w:rPr>
        <w:footnoteReference w:id="774"/>
      </w:r>
      <w:r w:rsidRPr="00DA3BC7">
        <w:rPr>
          <w:rFonts w:ascii="Times New Roman" w:hAnsi="Times New Roman" w:hint="eastAsia"/>
        </w:rPr>
        <w:t>或賴耶識中；</w:t>
      </w:r>
      <w:r w:rsidRPr="00DA3BC7">
        <w:rPr>
          <w:rFonts w:ascii="Times New Roman" w:hAnsi="Times New Roman" w:hint="eastAsia"/>
          <w:b/>
        </w:rPr>
        <w:t>法的生起，即從潛在的自種子而現行</w:t>
      </w:r>
      <w:r w:rsidRPr="00DA3BC7">
        <w:rPr>
          <w:rFonts w:ascii="Times New Roman" w:hAnsi="Times New Roman" w:hint="eastAsia"/>
        </w:rPr>
        <w:t>。依</w:t>
      </w:r>
      <w:r w:rsidRPr="00DA3BC7">
        <w:rPr>
          <w:rFonts w:ascii="Times New Roman" w:hAnsi="Times New Roman" w:hint="eastAsia"/>
          <w:b/>
        </w:rPr>
        <w:t>經部師</w:t>
      </w:r>
      <w:r w:rsidRPr="00DA3BC7">
        <w:rPr>
          <w:rFonts w:ascii="Times New Roman" w:hAnsi="Times New Roman" w:hint="eastAsia"/>
        </w:rPr>
        <w:t>，</w:t>
      </w:r>
      <w:r w:rsidRPr="00DA3BC7">
        <w:rPr>
          <w:rFonts w:ascii="Times New Roman" w:hAnsi="Times New Roman" w:hint="eastAsia"/>
          <w:b/>
        </w:rPr>
        <w:t>種子</w:t>
      </w:r>
      <w:r w:rsidRPr="00DA3BC7">
        <w:rPr>
          <w:rFonts w:ascii="Times New Roman" w:hAnsi="Times New Roman" w:hint="eastAsia"/>
        </w:rPr>
        <w:t>即名為</w:t>
      </w:r>
      <w:r w:rsidRPr="00DA3BC7">
        <w:rPr>
          <w:rFonts w:ascii="Times New Roman" w:hAnsi="Times New Roman" w:hint="eastAsia"/>
          <w:b/>
        </w:rPr>
        <w:t>界</w:t>
      </w:r>
      <w:r w:rsidRPr="00DA3BC7">
        <w:rPr>
          <w:rFonts w:ascii="Times New Roman" w:hAnsi="Times New Roman" w:hint="eastAsia"/>
        </w:rPr>
        <w:t>；世親解釋為</w:t>
      </w:r>
      <w:r w:rsidRPr="00A640FC">
        <w:rPr>
          <w:rFonts w:ascii="Times New Roman" w:hAnsi="Times New Roman" w:hint="eastAsia"/>
          <w:b/>
          <w:u w:val="wave" w:color="C00000"/>
        </w:rPr>
        <w:t>種類</w:t>
      </w:r>
      <w:r w:rsidRPr="00A640FC">
        <w:rPr>
          <w:rFonts w:ascii="Times New Roman" w:hAnsi="Times New Roman" w:hint="eastAsia"/>
        </w:rPr>
        <w:t>與</w:t>
      </w:r>
      <w:r w:rsidRPr="00A640FC">
        <w:rPr>
          <w:rFonts w:ascii="Times New Roman" w:hAnsi="Times New Roman" w:hint="eastAsia"/>
          <w:b/>
          <w:u w:val="wave" w:color="C00000"/>
        </w:rPr>
        <w:t>種族</w:t>
      </w:r>
      <w:r w:rsidRPr="00DA3BC7">
        <w:rPr>
          <w:rFonts w:ascii="Times New Roman" w:hAnsi="Times New Roman" w:hint="eastAsia"/>
          <w:b/>
        </w:rPr>
        <w:t>──能生</w:t>
      </w:r>
      <w:r w:rsidRPr="00DA3BC7">
        <w:rPr>
          <w:rFonts w:ascii="Times New Roman" w:hAnsi="Times New Roman" w:hint="eastAsia"/>
        </w:rPr>
        <w:t>。</w:t>
      </w:r>
      <w:r w:rsidRPr="00DA3BC7">
        <w:rPr>
          <w:rFonts w:ascii="Times New Roman" w:hAnsi="Times New Roman"/>
          <w:vertAlign w:val="superscript"/>
        </w:rPr>
        <w:footnoteReference w:id="775"/>
      </w:r>
    </w:p>
    <w:p w:rsidR="00AA120F" w:rsidRPr="00DA3BC7" w:rsidRDefault="00AA120F" w:rsidP="00AE3920">
      <w:pPr>
        <w:spacing w:beforeLines="20"/>
        <w:ind w:leftChars="200" w:left="480"/>
        <w:jc w:val="both"/>
        <w:rPr>
          <w:rFonts w:ascii="Times New Roman" w:hAnsi="Times New Roman"/>
        </w:rPr>
      </w:pPr>
      <w:r w:rsidRPr="00DA3BC7">
        <w:rPr>
          <w:rFonts w:ascii="Times New Roman" w:hAnsi="Times New Roman" w:hint="eastAsia"/>
        </w:rPr>
        <w:t>《惡叉聚經》有「</w:t>
      </w:r>
      <w:r w:rsidRPr="00DA3BC7">
        <w:rPr>
          <w:rFonts w:ascii="標楷體" w:eastAsia="標楷體" w:hAnsi="標楷體" w:hint="eastAsia"/>
        </w:rPr>
        <w:t>眾生從無始來有種種界</w:t>
      </w:r>
      <w:r w:rsidRPr="00DA3BC7">
        <w:rPr>
          <w:rFonts w:ascii="Times New Roman" w:hAnsi="Times New Roman" w:hint="eastAsia"/>
        </w:rPr>
        <w:t>」</w:t>
      </w:r>
      <w:r w:rsidRPr="00DA3BC7">
        <w:rPr>
          <w:rFonts w:ascii="Times New Roman" w:hAnsi="Times New Roman"/>
          <w:vertAlign w:val="superscript"/>
        </w:rPr>
        <w:footnoteReference w:id="776"/>
      </w:r>
      <w:r w:rsidRPr="00DA3BC7">
        <w:rPr>
          <w:rFonts w:ascii="Times New Roman" w:hAnsi="Times New Roman" w:hint="eastAsia"/>
        </w:rPr>
        <w:t>句，種子論者就解說為眾</w:t>
      </w:r>
      <w:r w:rsidRPr="00DA3BC7">
        <w:rPr>
          <w:rFonts w:ascii="Times New Roman" w:hAnsi="Times New Roman" w:hint="eastAsia"/>
        </w:rPr>
        <w:lastRenderedPageBreak/>
        <w:t>生無始來有種種的種子，故說：「</w:t>
      </w:r>
      <w:r w:rsidRPr="00DA3BC7">
        <w:rPr>
          <w:rFonts w:ascii="標楷體" w:eastAsia="標楷體" w:hAnsi="標楷體" w:hint="eastAsia"/>
        </w:rPr>
        <w:t>無始時來界，一切法等依</w:t>
      </w:r>
      <w:r w:rsidRPr="00DA3BC7">
        <w:rPr>
          <w:rFonts w:ascii="Times New Roman" w:hAnsi="Times New Roman" w:hint="eastAsia"/>
        </w:rPr>
        <w:t>。」</w:t>
      </w:r>
      <w:r w:rsidRPr="00DA3BC7">
        <w:rPr>
          <w:rFonts w:ascii="Times New Roman" w:hAnsi="Times New Roman"/>
          <w:vertAlign w:val="superscript"/>
        </w:rPr>
        <w:footnoteReference w:id="777"/>
      </w:r>
    </w:p>
    <w:p w:rsidR="00051FE6" w:rsidRDefault="00051FE6" w:rsidP="00AE3920">
      <w:pPr>
        <w:spacing w:beforeLines="30"/>
        <w:ind w:leftChars="150" w:left="360"/>
        <w:jc w:val="both"/>
        <w:rPr>
          <w:rFonts w:ascii="Times New Roman" w:hAnsi="Times New Roman"/>
          <w:b/>
          <w:color w:val="FF0000"/>
          <w:sz w:val="20"/>
          <w:szCs w:val="20"/>
          <w:bdr w:val="single" w:sz="4" w:space="0" w:color="auto"/>
        </w:rPr>
      </w:pPr>
      <w:r w:rsidRPr="00537B91">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二</w:t>
      </w:r>
      <w:r w:rsidRPr="00537B91">
        <w:rPr>
          <w:rFonts w:ascii="Times New Roman" w:hAnsi="Times New Roman" w:hint="eastAsia"/>
          <w:b/>
          <w:bCs/>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印順法師評判</w:t>
      </w:r>
      <w:r w:rsidRPr="00DA3BC7">
        <w:rPr>
          <w:rFonts w:ascii="Times New Roman" w:hAnsi="Times New Roman" w:hint="eastAsia"/>
          <w:sz w:val="20"/>
          <w:szCs w:val="20"/>
        </w:rPr>
        <w:t>（</w:t>
      </w:r>
      <w:r w:rsidRPr="00DA3BC7">
        <w:rPr>
          <w:rFonts w:ascii="Times New Roman" w:hAnsi="Times New Roman" w:hint="eastAsia"/>
          <w:sz w:val="20"/>
          <w:szCs w:val="20"/>
        </w:rPr>
        <w:t>pp.16</w:t>
      </w:r>
      <w:r>
        <w:rPr>
          <w:rFonts w:ascii="Times New Roman" w:hAnsi="Times New Roman" w:hint="eastAsia"/>
          <w:sz w:val="20"/>
          <w:szCs w:val="20"/>
        </w:rPr>
        <w:t>9</w:t>
      </w:r>
      <w:r w:rsidRPr="00DA3BC7">
        <w:rPr>
          <w:rFonts w:ascii="Times New Roman" w:hAnsi="Times New Roman" w:hint="eastAsia"/>
          <w:sz w:val="20"/>
          <w:szCs w:val="20"/>
        </w:rPr>
        <w:t>-1</w:t>
      </w:r>
      <w:r>
        <w:rPr>
          <w:rFonts w:ascii="Times New Roman" w:hAnsi="Times New Roman" w:hint="eastAsia"/>
          <w:sz w:val="20"/>
          <w:szCs w:val="20"/>
        </w:rPr>
        <w:t>70</w:t>
      </w:r>
      <w:r w:rsidRPr="00DA3BC7">
        <w:rPr>
          <w:rFonts w:ascii="Times New Roman" w:hAnsi="Times New Roman" w:hint="eastAsia"/>
          <w:sz w:val="20"/>
          <w:szCs w:val="20"/>
        </w:rPr>
        <w:t>）</w:t>
      </w:r>
    </w:p>
    <w:p w:rsidR="00051FE6" w:rsidRPr="00DA3BC7" w:rsidRDefault="00051FE6" w:rsidP="00466F61">
      <w:pPr>
        <w:ind w:leftChars="200" w:left="480"/>
        <w:jc w:val="both"/>
        <w:rPr>
          <w:rFonts w:ascii="Times New Roman" w:hAnsi="Times New Roman"/>
          <w:bCs/>
          <w:sz w:val="20"/>
          <w:szCs w:val="20"/>
          <w:bdr w:val="single" w:sz="4" w:space="0" w:color="auto"/>
        </w:rPr>
      </w:pPr>
      <w:r>
        <w:rPr>
          <w:rFonts w:ascii="Times New Roman" w:hAnsi="Times New Roman" w:hint="eastAsia"/>
          <w:b/>
          <w:bCs/>
          <w:color w:val="FF0000"/>
          <w:sz w:val="20"/>
          <w:szCs w:val="20"/>
          <w:highlight w:val="yellow"/>
          <w:bdr w:val="single" w:sz="4" w:space="0" w:color="auto"/>
        </w:rPr>
        <w:t>1</w:t>
      </w:r>
      <w:r w:rsidRPr="00537B91">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釋其思想</w:t>
      </w:r>
      <w:r w:rsidRPr="00DA3BC7">
        <w:rPr>
          <w:rFonts w:ascii="Times New Roman" w:hAnsi="Times New Roman" w:hint="eastAsia"/>
          <w:sz w:val="20"/>
          <w:szCs w:val="20"/>
        </w:rPr>
        <w:t>（</w:t>
      </w:r>
      <w:r w:rsidRPr="00DA3BC7">
        <w:rPr>
          <w:rFonts w:ascii="Times New Roman" w:hAnsi="Times New Roman" w:hint="eastAsia"/>
          <w:sz w:val="20"/>
          <w:szCs w:val="20"/>
        </w:rPr>
        <w:t>pp.16</w:t>
      </w:r>
      <w:r>
        <w:rPr>
          <w:rFonts w:ascii="Times New Roman" w:hAnsi="Times New Roman" w:hint="eastAsia"/>
          <w:sz w:val="20"/>
          <w:szCs w:val="20"/>
        </w:rPr>
        <w:t>9</w:t>
      </w:r>
      <w:r w:rsidRPr="00DA3BC7">
        <w:rPr>
          <w:rFonts w:ascii="Times New Roman" w:hAnsi="Times New Roman" w:hint="eastAsia"/>
          <w:sz w:val="20"/>
          <w:szCs w:val="20"/>
        </w:rPr>
        <w:t>-1</w:t>
      </w:r>
      <w:r>
        <w:rPr>
          <w:rFonts w:ascii="Times New Roman" w:hAnsi="Times New Roman" w:hint="eastAsia"/>
          <w:sz w:val="20"/>
          <w:szCs w:val="20"/>
        </w:rPr>
        <w:t>70</w:t>
      </w:r>
      <w:r w:rsidRPr="00DA3BC7">
        <w:rPr>
          <w:rFonts w:ascii="Times New Roman" w:hAnsi="Times New Roman" w:hint="eastAsia"/>
          <w:sz w:val="20"/>
          <w:szCs w:val="20"/>
        </w:rPr>
        <w:t>）</w:t>
      </w:r>
    </w:p>
    <w:p w:rsidR="00AA120F" w:rsidRPr="00DA3BC7" w:rsidRDefault="00AA120F" w:rsidP="00466F61">
      <w:pPr>
        <w:ind w:leftChars="200" w:left="480"/>
        <w:jc w:val="both"/>
        <w:rPr>
          <w:rFonts w:ascii="Times New Roman" w:hAnsi="Times New Roman"/>
        </w:rPr>
      </w:pPr>
      <w:r w:rsidRPr="00A640FC">
        <w:rPr>
          <w:rFonts w:ascii="Times New Roman" w:hAnsi="Times New Roman" w:hint="eastAsia"/>
          <w:b/>
          <w:u w:val="wave" w:color="C00000"/>
        </w:rPr>
        <w:t>界</w:t>
      </w:r>
      <w:r w:rsidRPr="00A640FC">
        <w:rPr>
          <w:rFonts w:ascii="Times New Roman" w:hAnsi="Times New Roman" w:hint="eastAsia"/>
        </w:rPr>
        <w:t>字</w:t>
      </w:r>
      <w:r w:rsidRPr="00DA3BC7">
        <w:rPr>
          <w:rFonts w:ascii="Times New Roman" w:hAnsi="Times New Roman" w:hint="eastAsia"/>
          <w:b/>
        </w:rPr>
        <w:t>，本義為</w:t>
      </w:r>
      <w:r w:rsidRPr="00A640FC">
        <w:rPr>
          <w:rFonts w:ascii="Times New Roman" w:hAnsi="Times New Roman" w:hint="eastAsia"/>
          <w:b/>
          <w:u w:val="wave" w:color="C00000"/>
        </w:rPr>
        <w:t>種類</w:t>
      </w:r>
      <w:r w:rsidRPr="00DA3BC7">
        <w:rPr>
          <w:rFonts w:ascii="Times New Roman" w:hAnsi="Times New Roman" w:hint="eastAsia"/>
        </w:rPr>
        <w:t>，同類與別類，由於想像「自性不失」為實有的本來存在，從此本來存在而現行，即</w:t>
      </w:r>
      <w:r w:rsidRPr="00DA3BC7">
        <w:rPr>
          <w:rFonts w:ascii="Times New Roman" w:hAnsi="Times New Roman" w:hint="eastAsia"/>
          <w:b/>
        </w:rPr>
        <w:t>引申為</w:t>
      </w:r>
      <w:r w:rsidRPr="00A640FC">
        <w:rPr>
          <w:rFonts w:ascii="Times New Roman" w:hAnsi="Times New Roman" w:hint="eastAsia"/>
          <w:b/>
          <w:u w:val="wave" w:color="C00000"/>
        </w:rPr>
        <w:t>因</w:t>
      </w:r>
      <w:r w:rsidRPr="00DA3BC7">
        <w:rPr>
          <w:rFonts w:ascii="Times New Roman" w:hAnsi="Times New Roman" w:hint="eastAsia"/>
          <w:b/>
        </w:rPr>
        <w:t>義，</w:t>
      </w:r>
      <w:r w:rsidRPr="00DA3BC7">
        <w:rPr>
          <w:rFonts w:ascii="Times New Roman" w:hAnsi="Times New Roman" w:hint="eastAsia"/>
        </w:rPr>
        <w:t>所以說</w:t>
      </w:r>
      <w:r w:rsidRPr="00A640FC">
        <w:rPr>
          <w:rFonts w:ascii="Times New Roman" w:hAnsi="Times New Roman" w:hint="eastAsia"/>
          <w:b/>
          <w:u w:val="wave" w:color="C00000"/>
        </w:rPr>
        <w:t>界</w:t>
      </w:r>
      <w:r w:rsidRPr="00DA3BC7">
        <w:rPr>
          <w:rFonts w:ascii="Times New Roman" w:hAnsi="Times New Roman" w:hint="eastAsia"/>
          <w:b/>
        </w:rPr>
        <w:t>為</w:t>
      </w:r>
      <w:r w:rsidRPr="00A640FC">
        <w:rPr>
          <w:rFonts w:ascii="Times New Roman" w:hAnsi="Times New Roman" w:hint="eastAsia"/>
          <w:b/>
          <w:u w:val="wave" w:color="C00000"/>
        </w:rPr>
        <w:t>種族</w:t>
      </w:r>
      <w:r w:rsidRPr="00DA3BC7">
        <w:rPr>
          <w:rFonts w:ascii="Times New Roman" w:hAnsi="Times New Roman" w:hint="eastAsia"/>
          <w:b/>
        </w:rPr>
        <w:t>義，即成為眼從眼生</w:t>
      </w:r>
      <w:r w:rsidR="00051FE6">
        <w:rPr>
          <w:rFonts w:ascii="Times New Roman" w:hAnsi="Times New Roman" w:hint="eastAsia"/>
          <w:b/>
          <w:color w:val="FF0000"/>
          <w:highlight w:val="yellow"/>
        </w:rPr>
        <w:t>、</w:t>
      </w:r>
      <w:r w:rsidRPr="00DA3BC7">
        <w:rPr>
          <w:rFonts w:ascii="Times New Roman" w:hAnsi="Times New Roman" w:hint="eastAsia"/>
          <w:b/>
        </w:rPr>
        <w:t>耳從耳生的</w:t>
      </w:r>
      <w:r w:rsidRPr="00A640FC">
        <w:rPr>
          <w:rFonts w:ascii="Times New Roman" w:hAnsi="Times New Roman" w:hint="eastAsia"/>
          <w:b/>
          <w:u w:val="wave" w:color="C00000"/>
        </w:rPr>
        <w:t>自性緣起</w:t>
      </w:r>
      <w:r w:rsidRPr="00DA3BC7">
        <w:rPr>
          <w:rFonts w:ascii="Times New Roman" w:hAnsi="Times New Roman" w:hint="eastAsia"/>
        </w:rPr>
        <w:t>。</w:t>
      </w:r>
    </w:p>
    <w:p w:rsidR="00AA120F" w:rsidRPr="00DA3BC7" w:rsidRDefault="00051FE6" w:rsidP="00AE3920">
      <w:pPr>
        <w:spacing w:beforeLines="30"/>
        <w:ind w:leftChars="200" w:left="480"/>
        <w:jc w:val="both"/>
        <w:rPr>
          <w:rFonts w:ascii="Times New Roman" w:hAnsi="Times New Roman"/>
          <w:b/>
          <w:sz w:val="20"/>
          <w:szCs w:val="20"/>
        </w:rPr>
      </w:pPr>
      <w:r>
        <w:rPr>
          <w:rFonts w:ascii="Times New Roman" w:hAnsi="Times New Roman" w:hint="eastAsia"/>
          <w:b/>
          <w:bCs/>
          <w:color w:val="FF0000"/>
          <w:sz w:val="20"/>
          <w:szCs w:val="20"/>
          <w:highlight w:val="yellow"/>
          <w:bdr w:val="single" w:sz="4" w:space="0" w:color="auto"/>
        </w:rPr>
        <w:t>2</w:t>
      </w:r>
      <w:r>
        <w:rPr>
          <w:rFonts w:ascii="Times New Roman" w:hAnsi="Times New Roman" w:hint="eastAsia"/>
          <w:b/>
          <w:bCs/>
          <w:color w:val="FF0000"/>
          <w:sz w:val="20"/>
          <w:szCs w:val="20"/>
          <w:highlight w:val="yellow"/>
          <w:bdr w:val="single" w:sz="4" w:space="0" w:color="auto"/>
        </w:rPr>
        <w:t>、辨其過失</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p.170</w:t>
      </w:r>
      <w:r w:rsidR="00AA120F" w:rsidRPr="00DA3BC7">
        <w:rPr>
          <w:rFonts w:ascii="Times New Roman" w:hAnsi="Times New Roman" w:hint="eastAsia"/>
          <w:sz w:val="20"/>
          <w:szCs w:val="20"/>
        </w:rPr>
        <w:t>）</w:t>
      </w:r>
    </w:p>
    <w:p w:rsidR="00AA120F" w:rsidRPr="00DA3BC7" w:rsidRDefault="00AA120F" w:rsidP="00466F61">
      <w:pPr>
        <w:ind w:leftChars="200" w:left="480"/>
        <w:jc w:val="both"/>
        <w:rPr>
          <w:rFonts w:ascii="Times New Roman" w:hAnsi="Times New Roman"/>
        </w:rPr>
      </w:pPr>
      <w:r w:rsidRPr="00DA3BC7">
        <w:rPr>
          <w:rFonts w:ascii="Times New Roman" w:hAnsi="Times New Roman" w:hint="eastAsia"/>
        </w:rPr>
        <w:t>依中觀者說：不失自性，是相對的，法法皆是因緣的存在，離卻種種因緣不可得，決非具體而微</w:t>
      </w:r>
      <w:r w:rsidRPr="00DA3BC7">
        <w:rPr>
          <w:rStyle w:val="a6"/>
          <w:rFonts w:ascii="Times New Roman" w:hAnsi="Times New Roman"/>
        </w:rPr>
        <w:footnoteReference w:id="778"/>
      </w:r>
      <w:r w:rsidRPr="00DA3BC7">
        <w:rPr>
          <w:rFonts w:ascii="Times New Roman" w:hAnsi="Times New Roman" w:hint="eastAsia"/>
        </w:rPr>
        <w:t>的潛因的待緣顯現而已。</w:t>
      </w:r>
    </w:p>
    <w:p w:rsidR="00AA120F" w:rsidRPr="00DA3BC7" w:rsidRDefault="00AA120F" w:rsidP="00466F61">
      <w:pPr>
        <w:ind w:leftChars="200" w:left="480"/>
        <w:jc w:val="both"/>
        <w:rPr>
          <w:rFonts w:ascii="Times New Roman" w:hAnsi="Times New Roman"/>
        </w:rPr>
      </w:pPr>
      <w:r w:rsidRPr="00DA3BC7">
        <w:rPr>
          <w:rFonts w:ascii="Times New Roman" w:hAnsi="Times New Roman" w:hint="eastAsia"/>
        </w:rPr>
        <w:t>又，若看成</w:t>
      </w:r>
      <w:r w:rsidRPr="00DA3BC7">
        <w:rPr>
          <w:rFonts w:ascii="Times New Roman" w:hAnsi="Times New Roman" w:hint="eastAsia"/>
          <w:b/>
        </w:rPr>
        <w:t>各自有各自的種子</w:t>
      </w:r>
      <w:r w:rsidRPr="00DA3BC7">
        <w:rPr>
          <w:rFonts w:ascii="Times New Roman" w:hAnsi="Times New Roman" w:hint="eastAsia"/>
        </w:rPr>
        <w:t>，於是說</w:t>
      </w:r>
      <w:r w:rsidRPr="00DA3BC7">
        <w:rPr>
          <w:rFonts w:ascii="Times New Roman" w:hAnsi="Times New Roman" w:hint="eastAsia"/>
          <w:b/>
        </w:rPr>
        <w:t>有無量無邊的種子，生無量無邊現行</w:t>
      </w:r>
      <w:r w:rsidRPr="00DA3BC7">
        <w:rPr>
          <w:rFonts w:ascii="Times New Roman" w:hAnsi="Times New Roman" w:hint="eastAsia"/>
        </w:rPr>
        <w:t>，這與因緣說的精神也不大恰當。</w:t>
      </w:r>
    </w:p>
    <w:p w:rsidR="002F742C" w:rsidRDefault="00AA120F" w:rsidP="00AE3920">
      <w:pPr>
        <w:spacing w:beforeLines="30"/>
        <w:ind w:leftChars="200" w:left="480"/>
        <w:jc w:val="both"/>
        <w:rPr>
          <w:rFonts w:ascii="Times New Roman" w:hAnsi="Times New Roman"/>
        </w:rPr>
      </w:pPr>
      <w:r w:rsidRPr="00DA3BC7">
        <w:rPr>
          <w:rFonts w:ascii="Times New Roman" w:hAnsi="Times New Roman" w:hint="eastAsia"/>
        </w:rPr>
        <w:t>佛為什麼要說因緣生諸法？</w:t>
      </w:r>
    </w:p>
    <w:p w:rsidR="00660E8A" w:rsidRDefault="00AA120F" w:rsidP="00466F61">
      <w:pPr>
        <w:ind w:leftChars="200" w:left="480"/>
        <w:jc w:val="both"/>
        <w:rPr>
          <w:rFonts w:ascii="Times New Roman" w:hAnsi="Times New Roman"/>
        </w:rPr>
      </w:pPr>
      <w:r w:rsidRPr="00DA3BC7">
        <w:rPr>
          <w:rFonts w:ascii="Times New Roman" w:hAnsi="Times New Roman" w:hint="eastAsia"/>
        </w:rPr>
        <w:t>因為法既從因緣生，則在因緣生法的關係中，什麼不是固定的，可以改善其中的關係，使化惡為善，日進於善而離於惡。</w:t>
      </w:r>
    </w:p>
    <w:p w:rsidR="0053352C" w:rsidRDefault="00AA120F" w:rsidP="00466F61">
      <w:pPr>
        <w:ind w:leftChars="200" w:left="480"/>
        <w:jc w:val="both"/>
        <w:rPr>
          <w:rFonts w:ascii="Times New Roman" w:hAnsi="Times New Roman"/>
        </w:rPr>
      </w:pPr>
      <w:r w:rsidRPr="00DA3BC7">
        <w:rPr>
          <w:rFonts w:ascii="Times New Roman" w:hAnsi="Times New Roman" w:hint="eastAsia"/>
        </w:rPr>
        <w:t>若看成自性存在的、已有的，那不是化惡為善，不過消滅一些惡的，另外保存一些善的。</w:t>
      </w:r>
    </w:p>
    <w:p w:rsidR="00AA120F" w:rsidRPr="00DA3BC7" w:rsidRDefault="00AA120F" w:rsidP="00AE3920">
      <w:pPr>
        <w:spacing w:beforeLines="30"/>
        <w:ind w:leftChars="200" w:left="480"/>
        <w:jc w:val="both"/>
        <w:rPr>
          <w:rFonts w:ascii="Times New Roman" w:hAnsi="Times New Roman"/>
        </w:rPr>
      </w:pPr>
      <w:r w:rsidRPr="00DA3BC7">
        <w:rPr>
          <w:rFonts w:ascii="Times New Roman" w:hAnsi="Times New Roman" w:hint="eastAsia"/>
          <w:b/>
        </w:rPr>
        <w:t>唯識學的因果說</w:t>
      </w:r>
      <w:r w:rsidRPr="00DA3BC7">
        <w:rPr>
          <w:rFonts w:ascii="Times New Roman" w:hAnsi="Times New Roman" w:hint="eastAsia"/>
        </w:rPr>
        <w:t>，是很精細的，但沒有脫盡多元實在論的積習。</w:t>
      </w:r>
    </w:p>
    <w:p w:rsidR="00AA120F" w:rsidRPr="00DA3BC7" w:rsidRDefault="00660E8A" w:rsidP="00AE3920">
      <w:pPr>
        <w:spacing w:beforeLines="30"/>
        <w:ind w:leftChars="100" w:left="240"/>
        <w:jc w:val="both"/>
        <w:rPr>
          <w:rFonts w:ascii="Times New Roman" w:hAnsi="Times New Roman"/>
          <w:b/>
          <w:sz w:val="20"/>
          <w:szCs w:val="20"/>
        </w:rPr>
      </w:pPr>
      <w:r>
        <w:rPr>
          <w:rFonts w:ascii="Times New Roman" w:hAnsi="Times New Roman" w:hint="eastAsia"/>
          <w:b/>
          <w:bCs/>
          <w:color w:val="FF0000"/>
          <w:sz w:val="20"/>
          <w:szCs w:val="20"/>
          <w:highlight w:val="yellow"/>
          <w:bdr w:val="single" w:sz="4" w:space="0" w:color="auto"/>
        </w:rPr>
        <w:t>二</w:t>
      </w:r>
      <w:r w:rsidRPr="00660E8A">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偏重</w:t>
      </w:r>
      <w:r w:rsidR="00E11437">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緣性</w:t>
      </w:r>
      <w:r w:rsidR="00E11437">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之失</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pp.170-171</w:t>
      </w:r>
      <w:r w:rsidR="00AA120F" w:rsidRPr="00DA3BC7">
        <w:rPr>
          <w:rFonts w:ascii="Times New Roman" w:hAnsi="Times New Roman" w:hint="eastAsia"/>
          <w:sz w:val="20"/>
          <w:szCs w:val="20"/>
        </w:rPr>
        <w:t>）</w:t>
      </w:r>
    </w:p>
    <w:p w:rsidR="00AA120F" w:rsidRPr="00DA3BC7" w:rsidRDefault="00660E8A" w:rsidP="00466F61">
      <w:pPr>
        <w:ind w:leftChars="150" w:left="360"/>
        <w:jc w:val="both"/>
        <w:rPr>
          <w:rFonts w:ascii="Times New Roman" w:hAnsi="Times New Roman"/>
          <w:b/>
          <w:bCs/>
          <w:sz w:val="20"/>
          <w:szCs w:val="20"/>
        </w:rPr>
      </w:pPr>
      <w:r w:rsidRPr="00660E8A">
        <w:rPr>
          <w:rFonts w:ascii="Times New Roman" w:hAnsi="Times New Roman"/>
          <w:b/>
          <w:color w:val="FF0000"/>
          <w:sz w:val="20"/>
          <w:szCs w:val="20"/>
          <w:highlight w:val="yellow"/>
          <w:bdr w:val="single" w:sz="4" w:space="0" w:color="auto"/>
        </w:rPr>
        <w:t>（</w:t>
      </w:r>
      <w:r w:rsidRPr="00660E8A">
        <w:rPr>
          <w:rFonts w:ascii="Times New Roman" w:hAnsi="Times New Roman" w:hint="eastAsia"/>
          <w:b/>
          <w:color w:val="FF0000"/>
          <w:sz w:val="20"/>
          <w:szCs w:val="20"/>
          <w:highlight w:val="yellow"/>
          <w:bdr w:val="single" w:sz="4" w:space="0" w:color="auto"/>
        </w:rPr>
        <w:t>一</w:t>
      </w:r>
      <w:r w:rsidRPr="00660E8A">
        <w:rPr>
          <w:rFonts w:ascii="Times New Roman" w:hAnsi="Times New Roman"/>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華嚴宗的法界緣起</w:t>
      </w:r>
      <w:r w:rsidR="00AA120F" w:rsidRPr="00660E8A">
        <w:rPr>
          <w:rFonts w:ascii="Times New Roman" w:hAnsi="Times New Roman"/>
          <w:b/>
          <w:sz w:val="20"/>
          <w:szCs w:val="20"/>
          <w:highlight w:val="yellow"/>
          <w:bdr w:val="single" w:sz="4" w:space="0" w:color="auto"/>
        </w:rPr>
        <w:t>說</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p.170</w:t>
      </w:r>
      <w:r w:rsidR="00AA120F" w:rsidRPr="00DA3BC7">
        <w:rPr>
          <w:rFonts w:ascii="Times New Roman" w:hAnsi="Times New Roman" w:hint="eastAsia"/>
          <w:sz w:val="20"/>
          <w:szCs w:val="20"/>
        </w:rPr>
        <w:t>）</w:t>
      </w:r>
    </w:p>
    <w:p w:rsidR="00AA120F" w:rsidRPr="00DA3BC7" w:rsidRDefault="00AA120F" w:rsidP="00466F61">
      <w:pPr>
        <w:ind w:leftChars="150" w:left="360"/>
        <w:jc w:val="both"/>
        <w:rPr>
          <w:rFonts w:ascii="Times New Roman"/>
        </w:rPr>
      </w:pPr>
      <w:r w:rsidRPr="00DA3BC7">
        <w:rPr>
          <w:rFonts w:ascii="Times New Roman"/>
        </w:rPr>
        <w:t>華嚴宗的法界緣起說</w:t>
      </w:r>
      <w:r w:rsidRPr="00DA3BC7">
        <w:rPr>
          <w:rFonts w:ascii="新細明體" w:hAnsi="新細明體"/>
        </w:rPr>
        <w:t>──</w:t>
      </w:r>
      <w:r w:rsidRPr="00DA3BC7">
        <w:rPr>
          <w:rFonts w:ascii="Times New Roman"/>
        </w:rPr>
        <w:t>是增上緣的極端論，達到了一法之生起，其他一切的一切都為此法作緣；所以一法以一切法為緣，一切法亦以此一法為緣。</w:t>
      </w:r>
    </w:p>
    <w:p w:rsidR="00AA120F" w:rsidRPr="00DA3BC7" w:rsidRDefault="00AA120F" w:rsidP="00466F61">
      <w:pPr>
        <w:ind w:leftChars="150" w:left="360"/>
        <w:jc w:val="both"/>
        <w:rPr>
          <w:rFonts w:ascii="Times New Roman"/>
        </w:rPr>
      </w:pPr>
      <w:r w:rsidRPr="00DA3BC7">
        <w:rPr>
          <w:rFonts w:ascii="Times New Roman"/>
        </w:rPr>
        <w:lastRenderedPageBreak/>
        <w:t>唯識者所明的界，重在最極根本而又極小的；</w:t>
      </w:r>
    </w:p>
    <w:p w:rsidR="00AA120F" w:rsidRPr="00DA3BC7" w:rsidRDefault="00AA120F" w:rsidP="00466F61">
      <w:pPr>
        <w:ind w:leftChars="150" w:left="360"/>
        <w:jc w:val="both"/>
        <w:rPr>
          <w:rFonts w:ascii="Times New Roman" w:hAnsi="Times New Roman"/>
        </w:rPr>
      </w:pPr>
      <w:r w:rsidRPr="00DA3BC7">
        <w:rPr>
          <w:rFonts w:ascii="Times New Roman"/>
        </w:rPr>
        <w:t>華嚴者講界，是極寬泛而又廣大的。</w:t>
      </w:r>
    </w:p>
    <w:p w:rsidR="00AA120F" w:rsidRPr="00DA3BC7" w:rsidRDefault="00161864" w:rsidP="00AE3920">
      <w:pPr>
        <w:spacing w:beforeLines="30"/>
        <w:ind w:leftChars="150" w:left="360"/>
        <w:jc w:val="both"/>
        <w:rPr>
          <w:rFonts w:ascii="Times New Roman" w:hAnsi="Times New Roman"/>
          <w:b/>
          <w:bCs/>
          <w:sz w:val="20"/>
          <w:szCs w:val="20"/>
        </w:rPr>
      </w:pPr>
      <w:r w:rsidRPr="00660E8A">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二</w:t>
      </w:r>
      <w:r w:rsidRPr="00660E8A">
        <w:rPr>
          <w:rFonts w:ascii="Times New Roman" w:hAnsi="Times New Roman"/>
          <w:b/>
          <w:color w:val="FF0000"/>
          <w:sz w:val="20"/>
          <w:szCs w:val="20"/>
          <w:highlight w:val="yellow"/>
          <w:bdr w:val="single" w:sz="4" w:space="0" w:color="auto"/>
        </w:rPr>
        <w:t>）</w:t>
      </w:r>
      <w:r w:rsidR="00AA120F" w:rsidRPr="00DA3BC7">
        <w:rPr>
          <w:rFonts w:ascii="Times New Roman" w:hAnsi="Times New Roman" w:hint="eastAsia"/>
          <w:b/>
          <w:sz w:val="20"/>
          <w:szCs w:val="20"/>
          <w:bdr w:val="single" w:sz="4" w:space="0" w:color="auto"/>
        </w:rPr>
        <w:t>印順法師之評論</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pp.170-171</w:t>
      </w:r>
      <w:r w:rsidR="00AA120F" w:rsidRPr="00DA3BC7">
        <w:rPr>
          <w:rFonts w:ascii="Times New Roman" w:hAnsi="Times New Roman" w:hint="eastAsia"/>
          <w:sz w:val="20"/>
          <w:szCs w:val="20"/>
        </w:rPr>
        <w:t>）</w:t>
      </w:r>
    </w:p>
    <w:p w:rsidR="00AA120F" w:rsidRPr="00DA3BC7" w:rsidRDefault="00AA120F" w:rsidP="00466F61">
      <w:pPr>
        <w:ind w:leftChars="150" w:left="360"/>
        <w:jc w:val="both"/>
        <w:rPr>
          <w:rFonts w:ascii="Times New Roman"/>
        </w:rPr>
      </w:pPr>
      <w:r w:rsidRPr="00DA3BC7">
        <w:rPr>
          <w:rFonts w:ascii="Times New Roman"/>
        </w:rPr>
        <w:t>華嚴宗高談圓融，以一法可為一切法的緣，此一法即圓具一切法，一切法都無不遍在一切法中。</w:t>
      </w:r>
    </w:p>
    <w:p w:rsidR="00161864" w:rsidRDefault="00AA120F" w:rsidP="00AE3920">
      <w:pPr>
        <w:spacing w:beforeLines="20"/>
        <w:ind w:leftChars="150" w:left="360"/>
        <w:jc w:val="both"/>
        <w:rPr>
          <w:b/>
        </w:rPr>
      </w:pPr>
      <w:r w:rsidRPr="00DA3BC7">
        <w:rPr>
          <w:rFonts w:hint="eastAsia"/>
        </w:rPr>
        <w:t>但佛說因緣，那能這樣的寬泛</w:t>
      </w:r>
      <w:r w:rsidRPr="00DA3BC7">
        <w:rPr>
          <w:rStyle w:val="a6"/>
          <w:rFonts w:ascii="Times New Roman" w:hAnsi="Times New Roman"/>
        </w:rPr>
        <w:footnoteReference w:id="779"/>
      </w:r>
      <w:r w:rsidR="00161864">
        <w:rPr>
          <w:rFonts w:hint="eastAsia"/>
          <w:color w:val="FF0000"/>
          <w:highlight w:val="yellow"/>
        </w:rPr>
        <w:t>、</w:t>
      </w:r>
      <w:r w:rsidRPr="00DA3BC7">
        <w:rPr>
          <w:rFonts w:hint="eastAsia"/>
        </w:rPr>
        <w:t>不著邊際！</w:t>
      </w:r>
      <w:r w:rsidRPr="00DA3BC7">
        <w:rPr>
          <w:rFonts w:hint="eastAsia"/>
          <w:b/>
        </w:rPr>
        <w:t>因緣說的主要意義，在指出較主要的切近的因緣來，以便於把握事象的原因所在而予以改善。</w:t>
      </w:r>
    </w:p>
    <w:p w:rsidR="00AA120F" w:rsidRPr="00DA3BC7" w:rsidRDefault="00AA120F" w:rsidP="00466F61">
      <w:pPr>
        <w:ind w:leftChars="150" w:left="360"/>
        <w:jc w:val="both"/>
      </w:pPr>
      <w:r w:rsidRPr="00DA3BC7">
        <w:rPr>
          <w:rFonts w:hint="eastAsia"/>
        </w:rPr>
        <w:t>否則，一切是無量無邊，以一切一切為因緣，這使人從何下手而實踐呢？</w:t>
      </w:r>
    </w:p>
    <w:p w:rsidR="00AA120F" w:rsidRPr="00DA3BC7" w:rsidRDefault="00AA120F" w:rsidP="00AE3920">
      <w:pPr>
        <w:spacing w:beforeLines="20"/>
        <w:ind w:leftChars="150" w:left="360"/>
        <w:jc w:val="both"/>
      </w:pPr>
      <w:r w:rsidRPr="00DA3BC7">
        <w:rPr>
          <w:rFonts w:hint="eastAsia"/>
        </w:rPr>
        <w:t>故因緣論可不必講到那樣玄妙寬泛，除了某些主要的因緣外，其餘的一切雖間接有關，但在此法存在於此特定時空中，這一切的一切，並不是都與此法存在有必然關係，有些簡直有等於無。</w:t>
      </w:r>
    </w:p>
    <w:p w:rsidR="00AA120F" w:rsidRPr="00DA3BC7" w:rsidRDefault="00AA120F" w:rsidP="00AE3920">
      <w:pPr>
        <w:spacing w:beforeLines="20"/>
        <w:ind w:leftChars="150" w:left="360"/>
        <w:jc w:val="both"/>
      </w:pPr>
      <w:r w:rsidRPr="00DA3BC7">
        <w:rPr>
          <w:rFonts w:hint="eastAsia"/>
        </w:rPr>
        <w:t>有些學者，讚美圓融，於是主從不分</w:t>
      </w:r>
      <w:r w:rsidR="00161864" w:rsidRPr="00161864">
        <w:rPr>
          <w:rFonts w:hint="eastAsia"/>
          <w:color w:val="FF0000"/>
          <w:highlight w:val="yellow"/>
        </w:rPr>
        <w:t>、</w:t>
      </w:r>
      <w:r w:rsidRPr="00DA3BC7">
        <w:rPr>
          <w:rFonts w:hint="eastAsia"/>
        </w:rPr>
        <w:t>親疏不別，弄到一切染淨、迷悟、邪正都無法說明。故因緣</w:t>
      </w:r>
      <w:r w:rsidRPr="00161864">
        <w:rPr>
          <w:rFonts w:hint="eastAsia"/>
          <w:highlight w:val="yellow"/>
        </w:rPr>
        <w:t>論必</w:t>
      </w:r>
      <w:r w:rsidRPr="00DA3BC7">
        <w:rPr>
          <w:rFonts w:hint="eastAsia"/>
        </w:rPr>
        <w:t>須從何者為生法的</w:t>
      </w:r>
      <w:r w:rsidRPr="00DA3BC7">
        <w:rPr>
          <w:rFonts w:hint="eastAsia"/>
          <w:b/>
        </w:rPr>
        <w:t>主因</w:t>
      </w:r>
      <w:r w:rsidR="00161864" w:rsidRPr="00161864">
        <w:rPr>
          <w:rFonts w:hint="eastAsia"/>
          <w:color w:val="FF0000"/>
          <w:highlight w:val="yellow"/>
        </w:rPr>
        <w:t>、</w:t>
      </w:r>
      <w:r w:rsidRPr="00DA3BC7">
        <w:rPr>
          <w:rFonts w:hint="eastAsia"/>
        </w:rPr>
        <w:t>何者為生法的</w:t>
      </w:r>
      <w:r w:rsidRPr="00DA3BC7">
        <w:rPr>
          <w:rFonts w:hint="eastAsia"/>
          <w:b/>
        </w:rPr>
        <w:t>疏緣</w:t>
      </w:r>
      <w:r w:rsidRPr="00DA3BC7">
        <w:rPr>
          <w:rFonts w:hint="eastAsia"/>
        </w:rPr>
        <w:t>，以明因緣生法。</w:t>
      </w:r>
    </w:p>
    <w:p w:rsidR="00AA120F" w:rsidRPr="00DA3BC7" w:rsidRDefault="00161864" w:rsidP="008E2BBC">
      <w:pPr>
        <w:ind w:leftChars="100" w:left="240"/>
        <w:jc w:val="both"/>
        <w:rPr>
          <w:b/>
          <w:sz w:val="20"/>
          <w:szCs w:val="20"/>
          <w:bdr w:val="single" w:sz="4" w:space="0" w:color="auto"/>
        </w:rPr>
      </w:pPr>
      <w:r w:rsidRPr="00161864">
        <w:rPr>
          <w:rFonts w:ascii="Times New Roman" w:hAnsi="Times New Roman" w:hint="eastAsia"/>
          <w:b/>
          <w:color w:val="FF0000"/>
          <w:sz w:val="20"/>
          <w:szCs w:val="20"/>
          <w:highlight w:val="yellow"/>
          <w:bdr w:val="single" w:sz="4" w:space="0" w:color="auto"/>
        </w:rPr>
        <w:t>三</w:t>
      </w:r>
      <w:r w:rsidR="00AA120F" w:rsidRPr="00161864">
        <w:rPr>
          <w:rFonts w:hint="eastAsia"/>
          <w:b/>
          <w:color w:val="FF0000"/>
          <w:sz w:val="20"/>
          <w:szCs w:val="20"/>
          <w:highlight w:val="yellow"/>
          <w:bdr w:val="single" w:sz="4" w:space="0" w:color="auto"/>
        </w:rPr>
        <w:t>、</w:t>
      </w:r>
      <w:r w:rsidRPr="00161864">
        <w:rPr>
          <w:rFonts w:hint="eastAsia"/>
          <w:b/>
          <w:color w:val="FF0000"/>
          <w:sz w:val="20"/>
          <w:szCs w:val="20"/>
          <w:highlight w:val="yellow"/>
          <w:bdr w:val="single" w:sz="4" w:space="0" w:color="auto"/>
        </w:rPr>
        <w:t>結顯正義</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p.171</w:t>
      </w:r>
      <w:r w:rsidR="00AA120F" w:rsidRPr="00DA3BC7">
        <w:rPr>
          <w:rFonts w:ascii="Times New Roman" w:hAnsi="Times New Roman" w:hint="eastAsia"/>
          <w:sz w:val="20"/>
          <w:szCs w:val="20"/>
        </w:rPr>
        <w:t>）</w:t>
      </w:r>
    </w:p>
    <w:p w:rsidR="00AA120F" w:rsidRPr="00DA3BC7" w:rsidRDefault="00AA120F" w:rsidP="008E2BBC">
      <w:pPr>
        <w:ind w:leftChars="100" w:left="240"/>
        <w:jc w:val="both"/>
      </w:pPr>
      <w:r w:rsidRPr="00DA3BC7">
        <w:rPr>
          <w:rFonts w:hint="eastAsia"/>
          <w:b/>
        </w:rPr>
        <w:t>中觀者</w:t>
      </w:r>
      <w:r w:rsidRPr="00DA3BC7">
        <w:rPr>
          <w:rFonts w:hint="eastAsia"/>
        </w:rPr>
        <w:t>既不同法法各有自性的各從自種、其小無內的緣起</w:t>
      </w:r>
      <w:r w:rsidR="006A7D00" w:rsidRPr="006A7D00">
        <w:rPr>
          <w:rFonts w:hint="eastAsia"/>
          <w:color w:val="FF0000"/>
          <w:highlight w:val="yellow"/>
        </w:rPr>
        <w:t>，</w:t>
      </w:r>
    </w:p>
    <w:p w:rsidR="00AA120F" w:rsidRPr="00DA3BC7" w:rsidRDefault="00AA120F" w:rsidP="006A7D00">
      <w:pPr>
        <w:ind w:leftChars="410" w:left="984"/>
        <w:jc w:val="both"/>
      </w:pPr>
      <w:r w:rsidRPr="006A7D00">
        <w:rPr>
          <w:rFonts w:hint="eastAsia"/>
          <w:highlight w:val="yellow"/>
        </w:rPr>
        <w:t>也</w:t>
      </w:r>
      <w:r w:rsidRPr="00DA3BC7">
        <w:rPr>
          <w:rFonts w:hint="eastAsia"/>
        </w:rPr>
        <w:t>不同一切法皆入一法，一法待一切法、其大無外的緣起。</w:t>
      </w:r>
    </w:p>
    <w:p w:rsidR="00AA120F" w:rsidRPr="00DA3BC7" w:rsidRDefault="00AA120F" w:rsidP="008E2BBC">
      <w:pPr>
        <w:ind w:leftChars="100" w:left="240"/>
        <w:jc w:val="both"/>
      </w:pPr>
      <w:r w:rsidRPr="00DA3BC7">
        <w:rPr>
          <w:rFonts w:hint="eastAsia"/>
        </w:rPr>
        <w:t>唯有能知因果緣起的本義，</w:t>
      </w:r>
      <w:r w:rsidR="00161864">
        <w:rPr>
          <w:rFonts w:hint="eastAsia"/>
        </w:rPr>
        <w:t>才</w:t>
      </w:r>
      <w:r w:rsidRPr="00DA3BC7">
        <w:rPr>
          <w:rFonts w:hint="eastAsia"/>
        </w:rPr>
        <w:t>能於因緣生法中，得有進而改善因果系的下手處。</w:t>
      </w:r>
    </w:p>
    <w:p w:rsidR="00AA120F" w:rsidRPr="00DA3BC7" w:rsidRDefault="009B5935" w:rsidP="00AE3920">
      <w:pPr>
        <w:spacing w:beforeLines="30"/>
        <w:ind w:leftChars="50" w:left="120"/>
        <w:jc w:val="both"/>
        <w:rPr>
          <w:rFonts w:ascii="Times New Roman" w:hAnsi="Times New Roman"/>
          <w:b/>
          <w:bCs/>
          <w:sz w:val="20"/>
          <w:szCs w:val="26"/>
        </w:rPr>
      </w:pPr>
      <w:r w:rsidRPr="009B5935">
        <w:rPr>
          <w:rFonts w:ascii="新細明體" w:hAnsi="新細明體" w:hint="eastAsia"/>
          <w:b/>
          <w:bCs/>
          <w:color w:val="FF0000"/>
          <w:sz w:val="20"/>
          <w:szCs w:val="20"/>
          <w:highlight w:val="yellow"/>
          <w:bdr w:val="single" w:sz="4" w:space="0" w:color="auto"/>
        </w:rPr>
        <w:t>（</w:t>
      </w:r>
      <w:r>
        <w:rPr>
          <w:rFonts w:ascii="新細明體" w:hAnsi="新細明體" w:hint="eastAsia"/>
          <w:b/>
          <w:bCs/>
          <w:color w:val="FF0000"/>
          <w:sz w:val="20"/>
          <w:szCs w:val="20"/>
          <w:highlight w:val="yellow"/>
          <w:bdr w:val="single" w:sz="4" w:space="0" w:color="auto"/>
        </w:rPr>
        <w:t>貳</w:t>
      </w:r>
      <w:r w:rsidRPr="009B5935">
        <w:rPr>
          <w:rFonts w:ascii="新細明體" w:hAnsi="新細明體" w:hint="eastAsia"/>
          <w:b/>
          <w:bCs/>
          <w:color w:val="FF0000"/>
          <w:sz w:val="20"/>
          <w:szCs w:val="20"/>
          <w:highlight w:val="yellow"/>
          <w:bdr w:val="single" w:sz="4" w:space="0" w:color="auto"/>
        </w:rPr>
        <w:t>）依</w:t>
      </w:r>
      <w:r w:rsidRPr="009B5935">
        <w:rPr>
          <w:rFonts w:ascii="Times New Roman" w:hAnsi="Times New Roman" w:hint="eastAsia"/>
          <w:b/>
          <w:color w:val="FF0000"/>
          <w:sz w:val="20"/>
          <w:szCs w:val="26"/>
          <w:highlight w:val="yellow"/>
          <w:bdr w:val="single" w:sz="4" w:space="0" w:color="auto"/>
        </w:rPr>
        <w:t>「時態」論「因果」義</w:t>
      </w:r>
      <w:r w:rsidR="00AA120F" w:rsidRPr="00DA3BC7">
        <w:rPr>
          <w:rFonts w:ascii="Times New Roman" w:hAnsi="Times New Roman" w:hint="eastAsia"/>
          <w:bCs/>
          <w:sz w:val="20"/>
          <w:szCs w:val="26"/>
        </w:rPr>
        <w:t>（</w:t>
      </w:r>
      <w:r w:rsidR="006569BA">
        <w:rPr>
          <w:rFonts w:ascii="Times New Roman" w:hAnsi="Times New Roman" w:hint="eastAsia"/>
          <w:bCs/>
          <w:sz w:val="20"/>
          <w:szCs w:val="26"/>
        </w:rPr>
        <w:t>pp.171-176</w:t>
      </w:r>
      <w:r w:rsidR="00AA120F" w:rsidRPr="00DA3BC7">
        <w:rPr>
          <w:rFonts w:ascii="Times New Roman" w:hAnsi="Times New Roman" w:hint="eastAsia"/>
          <w:bCs/>
          <w:sz w:val="20"/>
          <w:szCs w:val="26"/>
        </w:rPr>
        <w:t>）</w:t>
      </w:r>
    </w:p>
    <w:p w:rsidR="009B5935" w:rsidRDefault="009B5935" w:rsidP="00466F61">
      <w:pPr>
        <w:ind w:leftChars="100" w:left="240"/>
        <w:jc w:val="both"/>
        <w:rPr>
          <w:rFonts w:ascii="新細明體" w:hAnsi="新細明體"/>
          <w:b/>
          <w:bCs/>
          <w:color w:val="FF0000"/>
          <w:sz w:val="20"/>
          <w:szCs w:val="20"/>
          <w:bdr w:val="single" w:sz="4" w:space="0" w:color="auto"/>
        </w:rPr>
      </w:pPr>
      <w:r w:rsidRPr="009B5935">
        <w:rPr>
          <w:rFonts w:ascii="新細明體" w:hAnsi="新細明體" w:hint="eastAsia"/>
          <w:b/>
          <w:bCs/>
          <w:color w:val="FF0000"/>
          <w:sz w:val="20"/>
          <w:szCs w:val="20"/>
          <w:highlight w:val="yellow"/>
          <w:bdr w:val="single" w:sz="4" w:space="0" w:color="auto"/>
        </w:rPr>
        <w:t>一、概述分類</w:t>
      </w:r>
      <w:r w:rsidR="006569BA" w:rsidRPr="00DA3BC7">
        <w:rPr>
          <w:rFonts w:ascii="Times New Roman" w:hAnsi="Times New Roman" w:hint="eastAsia"/>
          <w:bCs/>
          <w:sz w:val="20"/>
          <w:szCs w:val="26"/>
        </w:rPr>
        <w:t>（</w:t>
      </w:r>
      <w:r w:rsidR="006569BA" w:rsidRPr="00DA3BC7">
        <w:rPr>
          <w:rFonts w:ascii="Times New Roman" w:hAnsi="Times New Roman" w:hint="eastAsia"/>
          <w:bCs/>
          <w:sz w:val="20"/>
          <w:szCs w:val="26"/>
        </w:rPr>
        <w:t>pp.171-172</w:t>
      </w:r>
      <w:r w:rsidR="006569BA" w:rsidRPr="00DA3BC7">
        <w:rPr>
          <w:rFonts w:ascii="Times New Roman" w:hAnsi="Times New Roman" w:hint="eastAsia"/>
          <w:bCs/>
          <w:sz w:val="20"/>
          <w:szCs w:val="26"/>
        </w:rPr>
        <w:t>）</w:t>
      </w:r>
    </w:p>
    <w:p w:rsidR="00AA120F" w:rsidRPr="00DA3BC7" w:rsidRDefault="009B5935" w:rsidP="00466F61">
      <w:pPr>
        <w:ind w:leftChars="150" w:left="360"/>
        <w:jc w:val="both"/>
        <w:rPr>
          <w:rFonts w:ascii="新細明體" w:hAnsi="新細明體"/>
          <w:b/>
          <w:bCs/>
          <w:sz w:val="20"/>
          <w:szCs w:val="20"/>
          <w:bdr w:val="single" w:sz="4" w:space="0" w:color="auto"/>
        </w:rPr>
      </w:pPr>
      <w:r w:rsidRPr="009B5935">
        <w:rPr>
          <w:rFonts w:ascii="新細明體" w:hAnsi="新細明體" w:hint="eastAsia"/>
          <w:b/>
          <w:bCs/>
          <w:color w:val="FF0000"/>
          <w:sz w:val="20"/>
          <w:szCs w:val="20"/>
          <w:highlight w:val="yellow"/>
          <w:bdr w:val="single" w:sz="4" w:space="0" w:color="auto"/>
        </w:rPr>
        <w:t>（一）舉眾說</w:t>
      </w:r>
      <w:r w:rsidR="007E2773" w:rsidRPr="00DA3BC7">
        <w:rPr>
          <w:rFonts w:ascii="Times New Roman" w:hAnsi="Times New Roman" w:hint="eastAsia"/>
          <w:bCs/>
          <w:sz w:val="20"/>
          <w:szCs w:val="26"/>
        </w:rPr>
        <w:t>（</w:t>
      </w:r>
      <w:r w:rsidR="007E2773" w:rsidRPr="00DA3BC7">
        <w:rPr>
          <w:rFonts w:ascii="Times New Roman" w:hAnsi="Times New Roman" w:hint="eastAsia"/>
          <w:bCs/>
          <w:sz w:val="20"/>
          <w:szCs w:val="26"/>
        </w:rPr>
        <w:t>pp.171-172</w:t>
      </w:r>
      <w:r w:rsidR="007E2773" w:rsidRPr="00DA3BC7">
        <w:rPr>
          <w:rFonts w:ascii="Times New Roman" w:hAnsi="Times New Roman" w:hint="eastAsia"/>
          <w:bCs/>
          <w:sz w:val="20"/>
          <w:szCs w:val="26"/>
        </w:rPr>
        <w:t>）</w:t>
      </w:r>
    </w:p>
    <w:p w:rsidR="00AA120F" w:rsidRPr="00DA3BC7" w:rsidRDefault="00AA120F" w:rsidP="00466F61">
      <w:pPr>
        <w:ind w:leftChars="150" w:left="360"/>
        <w:jc w:val="both"/>
        <w:rPr>
          <w:rFonts w:ascii="Times New Roman" w:hAnsi="Times New Roman"/>
          <w:b/>
        </w:rPr>
      </w:pPr>
      <w:r w:rsidRPr="00DA3BC7">
        <w:rPr>
          <w:rFonts w:ascii="新細明體" w:hAnsi="新細明體" w:hint="eastAsia"/>
          <w:bCs/>
        </w:rPr>
        <w:t>因、緣、果、報，《增壹阿含經》裡講到</w:t>
      </w:r>
      <w:r w:rsidRPr="00DA3BC7">
        <w:rPr>
          <w:rFonts w:ascii="Times New Roman" w:hAnsi="Times New Roman"/>
          <w:bCs/>
        </w:rPr>
        <w:t>四緣，</w:t>
      </w:r>
      <w:r w:rsidRPr="00DA3BC7">
        <w:rPr>
          <w:rStyle w:val="a6"/>
          <w:rFonts w:ascii="Times New Roman" w:hAnsi="Times New Roman"/>
          <w:bCs/>
        </w:rPr>
        <w:footnoteReference w:id="780"/>
      </w:r>
      <w:r w:rsidRPr="00DA3BC7">
        <w:rPr>
          <w:rFonts w:ascii="Times New Roman" w:hAnsi="Times New Roman"/>
          <w:bCs/>
        </w:rPr>
        <w:t>迦旃延尼子創說六因。</w:t>
      </w:r>
      <w:r w:rsidRPr="00DA3BC7">
        <w:rPr>
          <w:rStyle w:val="a6"/>
          <w:rFonts w:ascii="Times New Roman" w:hAnsi="Times New Roman"/>
          <w:bCs/>
        </w:rPr>
        <w:footnoteReference w:id="781"/>
      </w:r>
      <w:r w:rsidRPr="00DA3BC7">
        <w:rPr>
          <w:rFonts w:ascii="Times New Roman" w:hAnsi="Times New Roman"/>
          <w:bCs/>
        </w:rPr>
        <w:lastRenderedPageBreak/>
        <w:t>各家的說</w:t>
      </w:r>
      <w:r w:rsidRPr="00DA3BC7">
        <w:rPr>
          <w:rFonts w:ascii="新細明體" w:hAnsi="新細明體" w:hint="eastAsia"/>
          <w:bCs/>
        </w:rPr>
        <w:t>法多不同：</w:t>
      </w:r>
    </w:p>
    <w:p w:rsidR="00AA120F" w:rsidRPr="00DA3BC7" w:rsidRDefault="00AA120F" w:rsidP="00466F61">
      <w:pPr>
        <w:ind w:leftChars="150" w:left="360"/>
        <w:jc w:val="both"/>
        <w:rPr>
          <w:rFonts w:ascii="Times New Roman" w:hAnsi="Times New Roman"/>
        </w:rPr>
      </w:pPr>
      <w:r w:rsidRPr="00DA3BC7">
        <w:rPr>
          <w:rFonts w:ascii="Times New Roman" w:hAnsi="Times New Roman" w:hint="eastAsia"/>
        </w:rPr>
        <w:t>像</w:t>
      </w:r>
      <w:r w:rsidRPr="00DA3BC7">
        <w:rPr>
          <w:rFonts w:ascii="Times New Roman"/>
        </w:rPr>
        <w:t>薩婆多部說有六因</w:t>
      </w:r>
      <w:r w:rsidRPr="00DA3BC7">
        <w:rPr>
          <w:rFonts w:ascii="Times New Roman" w:hint="eastAsia"/>
        </w:rPr>
        <w:t>，</w:t>
      </w:r>
      <w:r w:rsidRPr="00DA3BC7">
        <w:rPr>
          <w:rStyle w:val="a6"/>
          <w:rFonts w:ascii="Times New Roman" w:hAnsi="Times New Roman"/>
        </w:rPr>
        <w:footnoteReference w:id="782"/>
      </w:r>
      <w:r w:rsidRPr="00DA3BC7">
        <w:rPr>
          <w:rFonts w:ascii="Times New Roman"/>
        </w:rPr>
        <w:t>《舍利弗阿毘曇》說十種因</w:t>
      </w:r>
      <w:r w:rsidRPr="00DA3BC7">
        <w:rPr>
          <w:rFonts w:ascii="Times New Roman" w:hint="eastAsia"/>
        </w:rPr>
        <w:t>，</w:t>
      </w:r>
      <w:r w:rsidRPr="00DA3BC7">
        <w:rPr>
          <w:rStyle w:val="a6"/>
          <w:rFonts w:ascii="Times New Roman" w:hAnsi="Times New Roman"/>
        </w:rPr>
        <w:footnoteReference w:id="783"/>
      </w:r>
      <w:r w:rsidRPr="00DA3BC7">
        <w:rPr>
          <w:rFonts w:ascii="Times New Roman"/>
        </w:rPr>
        <w:t>《瑜伽</w:t>
      </w:r>
      <w:r w:rsidRPr="00DA3BC7">
        <w:rPr>
          <w:rFonts w:ascii="Times New Roman" w:hint="eastAsia"/>
        </w:rPr>
        <w:t>師地</w:t>
      </w:r>
      <w:r w:rsidRPr="00DA3BC7">
        <w:rPr>
          <w:rFonts w:ascii="Times New Roman"/>
        </w:rPr>
        <w:t>論》</w:t>
      </w:r>
      <w:r w:rsidRPr="00DA3BC7">
        <w:rPr>
          <w:rFonts w:ascii="Times New Roman"/>
        </w:rPr>
        <w:lastRenderedPageBreak/>
        <w:t>也說十因</w:t>
      </w:r>
      <w:r w:rsidRPr="00DA3BC7">
        <w:rPr>
          <w:rFonts w:ascii="Times New Roman" w:hint="eastAsia"/>
        </w:rPr>
        <w:t>，</w:t>
      </w:r>
      <w:r w:rsidRPr="00DA3BC7">
        <w:rPr>
          <w:rStyle w:val="a6"/>
          <w:rFonts w:ascii="Times New Roman" w:hAnsi="Times New Roman"/>
        </w:rPr>
        <w:footnoteReference w:id="784"/>
      </w:r>
      <w:r w:rsidRPr="00DA3BC7">
        <w:rPr>
          <w:rFonts w:ascii="Times New Roman"/>
        </w:rPr>
        <w:t>《成實論》說三種因</w:t>
      </w:r>
      <w:r w:rsidRPr="00DA3BC7">
        <w:rPr>
          <w:rFonts w:ascii="Times New Roman" w:hint="eastAsia"/>
        </w:rPr>
        <w:t>，</w:t>
      </w:r>
      <w:r w:rsidRPr="00DA3BC7">
        <w:rPr>
          <w:rStyle w:val="a6"/>
          <w:rFonts w:ascii="Times New Roman" w:hAnsi="Times New Roman"/>
        </w:rPr>
        <w:footnoteReference w:id="785"/>
      </w:r>
      <w:r w:rsidRPr="00DA3BC7">
        <w:rPr>
          <w:rFonts w:ascii="Times New Roman"/>
        </w:rPr>
        <w:t>《楞伽經》說六種因等。</w:t>
      </w:r>
      <w:r w:rsidRPr="00DA3BC7">
        <w:rPr>
          <w:rStyle w:val="a6"/>
          <w:rFonts w:ascii="Times New Roman" w:hAnsi="Times New Roman"/>
        </w:rPr>
        <w:footnoteReference w:id="786"/>
      </w:r>
    </w:p>
    <w:p w:rsidR="00AA120F" w:rsidRPr="007E2773" w:rsidRDefault="00AA120F" w:rsidP="00466F61">
      <w:pPr>
        <w:ind w:leftChars="150" w:left="360"/>
        <w:jc w:val="both"/>
        <w:rPr>
          <w:rFonts w:ascii="Times New Roman" w:hAnsi="Times New Roman"/>
        </w:rPr>
      </w:pPr>
      <w:r w:rsidRPr="00DA3BC7">
        <w:rPr>
          <w:rFonts w:ascii="新細明體" w:hAnsi="新細明體" w:hint="eastAsia"/>
          <w:bCs/>
        </w:rPr>
        <w:t>關於緣，如通常說的</w:t>
      </w:r>
      <w:r w:rsidRPr="00DA3BC7">
        <w:rPr>
          <w:rFonts w:ascii="Times New Roman" w:hAnsi="Times New Roman" w:hint="eastAsia"/>
        </w:rPr>
        <w:t>四緣，</w:t>
      </w:r>
      <w:r w:rsidRPr="00DA3BC7">
        <w:rPr>
          <w:rFonts w:ascii="Times New Roman" w:hAnsi="Times New Roman"/>
          <w:vertAlign w:val="superscript"/>
        </w:rPr>
        <w:footnoteReference w:id="787"/>
      </w:r>
      <w:r w:rsidRPr="00DA3BC7">
        <w:rPr>
          <w:rFonts w:ascii="Times New Roman" w:hAnsi="Times New Roman" w:hint="eastAsia"/>
        </w:rPr>
        <w:t>《舍利弗阿毘曇》說十緣，</w:t>
      </w:r>
      <w:r w:rsidRPr="00DA3BC7">
        <w:rPr>
          <w:rFonts w:ascii="Times New Roman" w:hAnsi="Times New Roman"/>
          <w:vertAlign w:val="superscript"/>
        </w:rPr>
        <w:footnoteReference w:id="788"/>
      </w:r>
      <w:r w:rsidRPr="00DA3BC7">
        <w:rPr>
          <w:rFonts w:ascii="Times New Roman" w:hAnsi="Times New Roman" w:hint="eastAsia"/>
        </w:rPr>
        <w:t>南傳的論中有</w:t>
      </w:r>
      <w:r w:rsidRPr="00DA3BC7">
        <w:rPr>
          <w:rFonts w:ascii="Times New Roman" w:hAnsi="Times New Roman" w:hint="eastAsia"/>
        </w:rPr>
        <w:lastRenderedPageBreak/>
        <w:t>明二十四緣的。</w:t>
      </w:r>
      <w:r w:rsidRPr="00DA3BC7">
        <w:rPr>
          <w:rFonts w:ascii="Times New Roman" w:hAnsi="Times New Roman"/>
          <w:vertAlign w:val="superscript"/>
        </w:rPr>
        <w:footnoteReference w:id="789"/>
      </w:r>
    </w:p>
    <w:p w:rsidR="00AA120F" w:rsidRPr="00DA3BC7" w:rsidRDefault="00AA120F" w:rsidP="00466F61">
      <w:pPr>
        <w:ind w:leftChars="150" w:left="360"/>
        <w:jc w:val="both"/>
        <w:rPr>
          <w:rFonts w:ascii="Times New Roman" w:hAnsi="Times New Roman"/>
          <w:kern w:val="0"/>
          <w:sz w:val="23"/>
          <w:szCs w:val="23"/>
        </w:rPr>
      </w:pPr>
      <w:r w:rsidRPr="00DA3BC7">
        <w:rPr>
          <w:rFonts w:ascii="Times New Roman" w:hAnsi="Times New Roman" w:hint="eastAsia"/>
        </w:rPr>
        <w:t>這些，都是見到因果方式的不同，而安立種種名稱的。</w:t>
      </w:r>
    </w:p>
    <w:p w:rsidR="00AA120F" w:rsidRPr="00DA3BC7" w:rsidRDefault="00AA120F" w:rsidP="00466F61">
      <w:pPr>
        <w:ind w:leftChars="150" w:left="360"/>
        <w:jc w:val="both"/>
        <w:rPr>
          <w:rFonts w:ascii="Times New Roman" w:hAnsi="Times New Roman"/>
          <w:b/>
          <w:bCs/>
          <w:sz w:val="20"/>
          <w:szCs w:val="20"/>
        </w:rPr>
      </w:pPr>
      <w:r w:rsidRPr="00B87DD2">
        <w:rPr>
          <w:rFonts w:ascii="Times New Roman" w:hAnsi="Times New Roman"/>
          <w:b/>
          <w:color w:val="FF0000"/>
          <w:sz w:val="20"/>
          <w:szCs w:val="20"/>
          <w:highlight w:val="yellow"/>
          <w:bdr w:val="single" w:sz="4" w:space="0" w:color="auto"/>
        </w:rPr>
        <w:t>（</w:t>
      </w:r>
      <w:r w:rsidR="00B87DD2" w:rsidRPr="00B87DD2">
        <w:rPr>
          <w:rFonts w:ascii="Times New Roman" w:hAnsi="Times New Roman" w:hint="eastAsia"/>
          <w:b/>
          <w:color w:val="FF0000"/>
          <w:sz w:val="20"/>
          <w:szCs w:val="20"/>
          <w:highlight w:val="yellow"/>
          <w:bdr w:val="single" w:sz="4" w:space="0" w:color="auto"/>
        </w:rPr>
        <w:t>二</w:t>
      </w:r>
      <w:r w:rsidRPr="00B87DD2">
        <w:rPr>
          <w:rFonts w:ascii="Times New Roman" w:hAnsi="Times New Roman"/>
          <w:b/>
          <w:color w:val="FF0000"/>
          <w:sz w:val="20"/>
          <w:szCs w:val="20"/>
          <w:highlight w:val="yellow"/>
          <w:bdr w:val="single" w:sz="4" w:space="0" w:color="auto"/>
        </w:rPr>
        <w:t>）</w:t>
      </w:r>
      <w:r w:rsidR="00B87DD2" w:rsidRPr="00B87DD2">
        <w:rPr>
          <w:rFonts w:ascii="Times New Roman" w:hAnsi="Times New Roman" w:hint="eastAsia"/>
          <w:b/>
          <w:bCs/>
          <w:color w:val="FF0000"/>
          <w:sz w:val="20"/>
          <w:szCs w:val="20"/>
          <w:highlight w:val="yellow"/>
          <w:bdr w:val="single" w:sz="4" w:space="0" w:color="auto"/>
        </w:rPr>
        <w:t>明類別</w:t>
      </w:r>
      <w:r w:rsidRPr="00DA3BC7">
        <w:rPr>
          <w:rFonts w:ascii="Times New Roman" w:hAnsi="Times New Roman" w:hint="eastAsia"/>
          <w:bCs/>
          <w:sz w:val="20"/>
          <w:szCs w:val="26"/>
        </w:rPr>
        <w:t>（</w:t>
      </w:r>
      <w:r w:rsidRPr="00DA3BC7">
        <w:rPr>
          <w:rFonts w:ascii="Times New Roman" w:hAnsi="Times New Roman" w:hint="eastAsia"/>
          <w:bCs/>
          <w:sz w:val="20"/>
          <w:szCs w:val="26"/>
        </w:rPr>
        <w:t>p.172</w:t>
      </w:r>
      <w:r w:rsidRPr="00DA3BC7">
        <w:rPr>
          <w:rFonts w:ascii="Times New Roman" w:hAnsi="Times New Roman" w:hint="eastAsia"/>
          <w:bCs/>
          <w:sz w:val="20"/>
          <w:szCs w:val="26"/>
        </w:rPr>
        <w:t>）</w:t>
      </w:r>
    </w:p>
    <w:p w:rsidR="00AA120F" w:rsidRPr="00DA3BC7" w:rsidRDefault="00AA120F" w:rsidP="00466F61">
      <w:pPr>
        <w:ind w:leftChars="150" w:left="360"/>
        <w:jc w:val="both"/>
      </w:pPr>
      <w:r w:rsidRPr="00DA3BC7">
        <w:rPr>
          <w:rFonts w:hint="eastAsia"/>
        </w:rPr>
        <w:t>因果，本來極為寬泛，凡有相互依存關係的，都可說是因果關係。</w:t>
      </w:r>
    </w:p>
    <w:p w:rsidR="00B87DD2" w:rsidRDefault="00AA120F" w:rsidP="00466F61">
      <w:pPr>
        <w:ind w:leftChars="150" w:left="840" w:hangingChars="200" w:hanging="480"/>
        <w:jc w:val="both"/>
        <w:rPr>
          <w:rFonts w:ascii="Times New Roman"/>
        </w:rPr>
      </w:pPr>
      <w:r w:rsidRPr="00DA3BC7">
        <w:rPr>
          <w:rFonts w:ascii="Times New Roman"/>
        </w:rPr>
        <w:t>例如母子，母是因，子為果</w:t>
      </w:r>
      <w:r w:rsidRPr="00DA3BC7">
        <w:rPr>
          <w:rFonts w:ascii="Times New Roman" w:hint="eastAsia"/>
        </w:rPr>
        <w:t>；</w:t>
      </w:r>
      <w:r w:rsidRPr="00DA3BC7">
        <w:rPr>
          <w:rFonts w:ascii="Times New Roman"/>
        </w:rPr>
        <w:t>子出胎後，可離開母體，甚至與之不再發生連繫。</w:t>
      </w:r>
    </w:p>
    <w:p w:rsidR="00B87DD2" w:rsidRDefault="00AA120F" w:rsidP="00466F61">
      <w:pPr>
        <w:ind w:leftChars="150" w:left="840" w:hangingChars="200" w:hanging="480"/>
        <w:jc w:val="both"/>
        <w:rPr>
          <w:rFonts w:ascii="Times New Roman"/>
        </w:rPr>
      </w:pPr>
      <w:r w:rsidRPr="00DA3BC7">
        <w:rPr>
          <w:rFonts w:ascii="Times New Roman"/>
        </w:rPr>
        <w:t>又如紗為因，布為果</w:t>
      </w:r>
      <w:r w:rsidRPr="00DA3BC7">
        <w:rPr>
          <w:rFonts w:ascii="Times New Roman" w:hint="eastAsia"/>
        </w:rPr>
        <w:t>；</w:t>
      </w:r>
      <w:r w:rsidRPr="00DA3BC7">
        <w:rPr>
          <w:rFonts w:ascii="Times New Roman"/>
        </w:rPr>
        <w:t>此即不同母子的因果關係，紗織成布，布即不能離紗而有，見布時亦可見紗。</w:t>
      </w:r>
    </w:p>
    <w:p w:rsidR="00AA120F" w:rsidRPr="00DA3BC7" w:rsidRDefault="00AA120F" w:rsidP="00466F61">
      <w:pPr>
        <w:ind w:leftChars="150" w:left="840" w:hangingChars="200" w:hanging="480"/>
        <w:jc w:val="both"/>
      </w:pPr>
      <w:r w:rsidRPr="00DA3BC7">
        <w:rPr>
          <w:rFonts w:ascii="Times New Roman"/>
        </w:rPr>
        <w:t>又如水是氫氧化合成</w:t>
      </w:r>
      <w:r w:rsidRPr="00DA3BC7">
        <w:rPr>
          <w:rFonts w:hint="eastAsia"/>
        </w:rPr>
        <w:t>的，但成了水以後，氫氧的性質形態，就不見了。</w:t>
      </w:r>
    </w:p>
    <w:p w:rsidR="00AA120F" w:rsidRPr="00DA3BC7" w:rsidRDefault="00AA120F" w:rsidP="00AE3920">
      <w:pPr>
        <w:spacing w:beforeLines="20"/>
        <w:ind w:leftChars="150" w:left="360"/>
        <w:jc w:val="both"/>
      </w:pPr>
      <w:r w:rsidRPr="00DA3BC7">
        <w:rPr>
          <w:rFonts w:hint="eastAsia"/>
        </w:rPr>
        <w:t>因果是可以有各式各樣不同形態的。</w:t>
      </w:r>
    </w:p>
    <w:p w:rsidR="00AA120F" w:rsidRPr="00DA3BC7" w:rsidRDefault="00B87DD2" w:rsidP="00AE3920">
      <w:pPr>
        <w:spacing w:beforeLines="30"/>
        <w:ind w:leftChars="100" w:left="240"/>
        <w:jc w:val="both"/>
      </w:pPr>
      <w:r w:rsidRPr="00B87DD2">
        <w:rPr>
          <w:rFonts w:ascii="Times New Roman" w:hAnsi="Times New Roman" w:hint="eastAsia"/>
          <w:b/>
          <w:color w:val="FF0000"/>
          <w:sz w:val="20"/>
          <w:szCs w:val="20"/>
          <w:highlight w:val="yellow"/>
          <w:bdr w:val="single" w:sz="4" w:space="0" w:color="auto"/>
        </w:rPr>
        <w:t>二、特明</w:t>
      </w:r>
      <w:r w:rsidR="00AA120F" w:rsidRPr="00DA3BC7">
        <w:rPr>
          <w:rFonts w:ascii="Times New Roman" w:hAnsi="Times New Roman" w:hint="eastAsia"/>
          <w:b/>
          <w:bCs/>
          <w:sz w:val="20"/>
          <w:szCs w:val="20"/>
          <w:bdr w:val="single" w:sz="4" w:space="0" w:color="auto"/>
        </w:rPr>
        <w:t>二種因果的形態</w:t>
      </w:r>
      <w:r w:rsidR="00AA120F" w:rsidRPr="00DA3BC7">
        <w:rPr>
          <w:rFonts w:ascii="Times New Roman" w:hAnsi="Times New Roman" w:hint="eastAsia"/>
          <w:bCs/>
          <w:sz w:val="20"/>
          <w:szCs w:val="20"/>
        </w:rPr>
        <w:t>（</w:t>
      </w:r>
      <w:r w:rsidR="00AA120F" w:rsidRPr="00DA3BC7">
        <w:rPr>
          <w:rFonts w:ascii="Times New Roman" w:hAnsi="Times New Roman" w:hint="eastAsia"/>
          <w:bCs/>
          <w:sz w:val="20"/>
          <w:szCs w:val="20"/>
        </w:rPr>
        <w:t>pp.172-175</w:t>
      </w:r>
      <w:r w:rsidR="00AA120F" w:rsidRPr="00DA3BC7">
        <w:rPr>
          <w:rFonts w:ascii="Times New Roman" w:hAnsi="Times New Roman" w:hint="eastAsia"/>
          <w:bCs/>
          <w:sz w:val="20"/>
          <w:szCs w:val="20"/>
        </w:rPr>
        <w:t>）</w:t>
      </w:r>
    </w:p>
    <w:p w:rsidR="00633296" w:rsidRDefault="00633296" w:rsidP="00466F61">
      <w:pPr>
        <w:ind w:leftChars="150" w:left="360"/>
        <w:jc w:val="both"/>
        <w:rPr>
          <w:rFonts w:ascii="Times New Roman" w:hAnsi="Times New Roman"/>
          <w:b/>
          <w:bCs/>
          <w:color w:val="FF0000"/>
          <w:sz w:val="20"/>
          <w:szCs w:val="20"/>
          <w:bdr w:val="single" w:sz="4" w:space="0" w:color="auto"/>
        </w:rPr>
      </w:pPr>
      <w:r w:rsidRPr="00633296">
        <w:rPr>
          <w:rFonts w:ascii="Times New Roman" w:hAnsi="Times New Roman" w:hint="eastAsia"/>
          <w:b/>
          <w:bCs/>
          <w:color w:val="FF0000"/>
          <w:sz w:val="20"/>
          <w:szCs w:val="20"/>
          <w:highlight w:val="yellow"/>
          <w:bdr w:val="single" w:sz="4" w:space="0" w:color="auto"/>
        </w:rPr>
        <w:t>（一）</w:t>
      </w:r>
      <w:r>
        <w:rPr>
          <w:rFonts w:ascii="Times New Roman" w:hAnsi="Times New Roman" w:hint="eastAsia"/>
          <w:b/>
          <w:bCs/>
          <w:color w:val="FF0000"/>
          <w:sz w:val="20"/>
          <w:szCs w:val="20"/>
          <w:highlight w:val="yellow"/>
          <w:bdr w:val="single" w:sz="4" w:space="0" w:color="auto"/>
        </w:rPr>
        <w:t>別敘</w:t>
      </w:r>
      <w:r w:rsidRPr="00DA3BC7">
        <w:rPr>
          <w:rFonts w:ascii="Times New Roman" w:hAnsi="Times New Roman" w:hint="eastAsia"/>
          <w:bCs/>
          <w:sz w:val="20"/>
          <w:szCs w:val="20"/>
        </w:rPr>
        <w:t>（</w:t>
      </w:r>
      <w:r w:rsidRPr="00DA3BC7">
        <w:rPr>
          <w:rFonts w:ascii="Times New Roman" w:hAnsi="Times New Roman" w:hint="eastAsia"/>
          <w:bCs/>
          <w:sz w:val="20"/>
          <w:szCs w:val="20"/>
        </w:rPr>
        <w:t>p.172</w:t>
      </w:r>
      <w:r w:rsidRPr="00DA3BC7">
        <w:rPr>
          <w:rFonts w:ascii="Times New Roman" w:hAnsi="Times New Roman" w:hint="eastAsia"/>
          <w:bCs/>
          <w:sz w:val="20"/>
          <w:szCs w:val="20"/>
        </w:rPr>
        <w:t>）</w:t>
      </w:r>
    </w:p>
    <w:p w:rsidR="00AA120F" w:rsidRPr="00DA3BC7" w:rsidRDefault="00AA120F" w:rsidP="00466F61">
      <w:pPr>
        <w:ind w:leftChars="150" w:left="360"/>
        <w:jc w:val="both"/>
      </w:pPr>
      <w:r w:rsidRPr="00DA3BC7">
        <w:rPr>
          <w:rFonts w:hint="eastAsia"/>
        </w:rPr>
        <w:t>因果的形態很複雜，現在略說二種：</w:t>
      </w:r>
    </w:p>
    <w:p w:rsidR="00633296" w:rsidRDefault="00633296" w:rsidP="00466F61">
      <w:pPr>
        <w:ind w:leftChars="200" w:left="480"/>
        <w:jc w:val="both"/>
        <w:rPr>
          <w:rFonts w:ascii="Times New Roman" w:hAnsi="Times New Roman"/>
          <w:bCs/>
          <w:sz w:val="20"/>
          <w:szCs w:val="20"/>
        </w:rPr>
      </w:pPr>
      <w:r>
        <w:rPr>
          <w:rFonts w:ascii="Times New Roman" w:hAnsi="Times New Roman" w:hint="eastAsia"/>
          <w:b/>
          <w:bCs/>
          <w:color w:val="FF0000"/>
          <w:sz w:val="20"/>
          <w:szCs w:val="20"/>
          <w:highlight w:val="yellow"/>
          <w:bdr w:val="single" w:sz="4" w:space="0" w:color="auto"/>
        </w:rPr>
        <w:t>1</w:t>
      </w:r>
      <w:r w:rsidR="00AA120F" w:rsidRPr="00633296">
        <w:rPr>
          <w:rFonts w:ascii="Times New Roman" w:hAnsi="Times New Roman" w:hint="eastAsia"/>
          <w:b/>
          <w:bCs/>
          <w:color w:val="FF0000"/>
          <w:sz w:val="20"/>
          <w:szCs w:val="20"/>
          <w:highlight w:val="yellow"/>
          <w:bdr w:val="single" w:sz="4" w:space="0" w:color="auto"/>
        </w:rPr>
        <w:t>、</w:t>
      </w:r>
      <w:r w:rsidR="00AA120F" w:rsidRPr="00DA3BC7">
        <w:rPr>
          <w:rFonts w:ascii="Times New Roman" w:hAnsi="Times New Roman" w:hint="eastAsia"/>
          <w:b/>
          <w:bCs/>
          <w:sz w:val="20"/>
          <w:szCs w:val="20"/>
          <w:bdr w:val="single" w:sz="4" w:space="0" w:color="auto"/>
        </w:rPr>
        <w:t>前後的因果：約</w:t>
      </w:r>
      <w:r w:rsidRPr="00633296">
        <w:rPr>
          <w:rFonts w:ascii="Times New Roman" w:hAnsi="Times New Roman" w:hint="eastAsia"/>
          <w:b/>
          <w:bCs/>
          <w:color w:val="FF0000"/>
          <w:sz w:val="20"/>
          <w:szCs w:val="20"/>
          <w:highlight w:val="yellow"/>
          <w:bdr w:val="single" w:sz="4" w:space="0" w:color="auto"/>
        </w:rPr>
        <w:t>「</w:t>
      </w:r>
      <w:r w:rsidR="00AA120F" w:rsidRPr="00DA3BC7">
        <w:rPr>
          <w:rFonts w:ascii="Times New Roman" w:hAnsi="Times New Roman" w:hint="eastAsia"/>
          <w:b/>
          <w:bCs/>
          <w:sz w:val="20"/>
          <w:szCs w:val="20"/>
          <w:bdr w:val="single" w:sz="4" w:space="0" w:color="auto"/>
        </w:rPr>
        <w:t>異時因果</w:t>
      </w:r>
      <w:r>
        <w:rPr>
          <w:rFonts w:ascii="Times New Roman" w:hAnsi="Times New Roman" w:hint="eastAsia"/>
          <w:b/>
          <w:bCs/>
          <w:color w:val="FF0000"/>
          <w:sz w:val="20"/>
          <w:szCs w:val="20"/>
          <w:highlight w:val="yellow"/>
          <w:bdr w:val="single" w:sz="4" w:space="0" w:color="auto"/>
        </w:rPr>
        <w:t>」</w:t>
      </w:r>
      <w:r w:rsidR="00AA120F" w:rsidRPr="00DA3BC7">
        <w:rPr>
          <w:rFonts w:ascii="Times New Roman" w:hAnsi="Times New Roman" w:hint="eastAsia"/>
          <w:b/>
          <w:bCs/>
          <w:sz w:val="20"/>
          <w:szCs w:val="20"/>
          <w:bdr w:val="single" w:sz="4" w:space="0" w:color="auto"/>
        </w:rPr>
        <w:t>說</w:t>
      </w:r>
      <w:r w:rsidR="00AA120F" w:rsidRPr="00DA3BC7">
        <w:rPr>
          <w:rFonts w:ascii="Times New Roman" w:hAnsi="Times New Roman" w:hint="eastAsia"/>
          <w:bCs/>
          <w:sz w:val="20"/>
          <w:szCs w:val="20"/>
        </w:rPr>
        <w:t>（</w:t>
      </w:r>
      <w:r w:rsidR="00AA120F" w:rsidRPr="00DA3BC7">
        <w:rPr>
          <w:rFonts w:ascii="Times New Roman" w:hAnsi="Times New Roman" w:hint="eastAsia"/>
          <w:bCs/>
          <w:sz w:val="20"/>
          <w:szCs w:val="20"/>
        </w:rPr>
        <w:t>p.172</w:t>
      </w:r>
      <w:r w:rsidR="00AA120F" w:rsidRPr="00DA3BC7">
        <w:rPr>
          <w:rFonts w:ascii="Times New Roman" w:hAnsi="Times New Roman" w:hint="eastAsia"/>
          <w:bCs/>
          <w:sz w:val="20"/>
          <w:szCs w:val="20"/>
        </w:rPr>
        <w:t>）</w:t>
      </w:r>
    </w:p>
    <w:p w:rsidR="00AA120F" w:rsidRPr="00DA3BC7" w:rsidRDefault="00633296" w:rsidP="00466F61">
      <w:pPr>
        <w:ind w:leftChars="250" w:left="600"/>
        <w:jc w:val="both"/>
        <w:rPr>
          <w:rFonts w:ascii="Times New Roman" w:hAnsi="Times New Roman"/>
          <w:b/>
          <w:bCs/>
          <w:sz w:val="20"/>
          <w:szCs w:val="20"/>
        </w:rPr>
      </w:pPr>
      <w:r w:rsidRPr="00633296">
        <w:rPr>
          <w:rFonts w:ascii="Times New Roman" w:hAnsi="Times New Roman" w:hint="eastAsia"/>
          <w:b/>
          <w:bCs/>
          <w:color w:val="FF0000"/>
          <w:sz w:val="20"/>
          <w:szCs w:val="20"/>
          <w:highlight w:val="yellow"/>
          <w:bdr w:val="single" w:sz="4" w:space="0" w:color="auto"/>
        </w:rPr>
        <w:t>（</w:t>
      </w:r>
      <w:r w:rsidRPr="00633296">
        <w:rPr>
          <w:rFonts w:ascii="Times New Roman" w:hAnsi="Times New Roman" w:hint="eastAsia"/>
          <w:b/>
          <w:bCs/>
          <w:color w:val="FF0000"/>
          <w:sz w:val="20"/>
          <w:szCs w:val="20"/>
          <w:highlight w:val="yellow"/>
          <w:bdr w:val="single" w:sz="4" w:space="0" w:color="auto"/>
        </w:rPr>
        <w:t>1</w:t>
      </w:r>
      <w:r w:rsidRPr="00633296">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概述</w:t>
      </w:r>
    </w:p>
    <w:p w:rsidR="00AA120F" w:rsidRPr="00DA3BC7" w:rsidRDefault="00AA120F" w:rsidP="00466F61">
      <w:pPr>
        <w:tabs>
          <w:tab w:val="left" w:pos="709"/>
        </w:tabs>
        <w:ind w:leftChars="250" w:left="600"/>
        <w:jc w:val="both"/>
        <w:rPr>
          <w:rFonts w:ascii="Times New Roman" w:hAnsi="Times New Roman"/>
          <w:b/>
          <w:bCs/>
          <w:bdr w:val="single" w:sz="4" w:space="0" w:color="auto"/>
        </w:rPr>
      </w:pPr>
      <w:r w:rsidRPr="00DA3BC7">
        <w:rPr>
          <w:rFonts w:ascii="Times New Roman" w:hAnsi="Times New Roman" w:hint="eastAsia"/>
          <w:b/>
          <w:bCs/>
        </w:rPr>
        <w:t>一、前後的因果</w:t>
      </w:r>
      <w:r w:rsidR="006F16DD">
        <w:rPr>
          <w:rFonts w:ascii="Times New Roman" w:hAnsi="Times New Roman" w:hint="eastAsia"/>
          <w:b/>
          <w:bCs/>
          <w:color w:val="FF0000"/>
          <w:highlight w:val="yellow"/>
        </w:rPr>
        <w:t>：</w:t>
      </w:r>
    </w:p>
    <w:p w:rsidR="00633296" w:rsidRDefault="00AA120F" w:rsidP="00AE3920">
      <w:pPr>
        <w:spacing w:beforeLines="30"/>
        <w:ind w:leftChars="250" w:left="600"/>
        <w:jc w:val="both"/>
        <w:rPr>
          <w:rFonts w:ascii="Times New Roman" w:hAnsi="Times New Roman"/>
          <w:b/>
          <w:bCs/>
          <w:color w:val="FF0000"/>
          <w:sz w:val="20"/>
          <w:szCs w:val="20"/>
          <w:bdr w:val="single" w:sz="4" w:space="0" w:color="auto"/>
        </w:rPr>
      </w:pPr>
      <w:r w:rsidRPr="00633296">
        <w:rPr>
          <w:rFonts w:ascii="Times New Roman" w:hAnsi="Times New Roman" w:hint="eastAsia"/>
          <w:b/>
          <w:bCs/>
          <w:color w:val="FF0000"/>
          <w:sz w:val="20"/>
          <w:szCs w:val="20"/>
          <w:highlight w:val="yellow"/>
          <w:bdr w:val="single" w:sz="4" w:space="0" w:color="auto"/>
        </w:rPr>
        <w:t>（</w:t>
      </w:r>
      <w:r w:rsidR="00633296" w:rsidRPr="00633296">
        <w:rPr>
          <w:rFonts w:ascii="Times New Roman" w:hAnsi="Times New Roman" w:hint="eastAsia"/>
          <w:b/>
          <w:bCs/>
          <w:color w:val="FF0000"/>
          <w:sz w:val="20"/>
          <w:szCs w:val="20"/>
          <w:highlight w:val="yellow"/>
          <w:bdr w:val="single" w:sz="4" w:space="0" w:color="auto"/>
        </w:rPr>
        <w:t>2</w:t>
      </w:r>
      <w:r w:rsidRPr="00633296">
        <w:rPr>
          <w:rFonts w:ascii="Times New Roman" w:hAnsi="Times New Roman" w:hint="eastAsia"/>
          <w:b/>
          <w:bCs/>
          <w:color w:val="FF0000"/>
          <w:sz w:val="20"/>
          <w:szCs w:val="20"/>
          <w:highlight w:val="yellow"/>
          <w:bdr w:val="single" w:sz="4" w:space="0" w:color="auto"/>
        </w:rPr>
        <w:t>）</w:t>
      </w:r>
      <w:r w:rsidR="00633296" w:rsidRPr="00633296">
        <w:rPr>
          <w:rFonts w:ascii="Times New Roman" w:hAnsi="Times New Roman" w:hint="eastAsia"/>
          <w:b/>
          <w:bCs/>
          <w:color w:val="FF0000"/>
          <w:sz w:val="20"/>
          <w:szCs w:val="20"/>
          <w:highlight w:val="yellow"/>
          <w:bdr w:val="single" w:sz="4" w:space="0" w:color="auto"/>
        </w:rPr>
        <w:t>詳辨</w:t>
      </w:r>
    </w:p>
    <w:p w:rsidR="00AA120F" w:rsidRPr="00DA3BC7" w:rsidRDefault="00633296" w:rsidP="00466F61">
      <w:pPr>
        <w:ind w:leftChars="300" w:left="720"/>
        <w:jc w:val="both"/>
        <w:rPr>
          <w:rFonts w:ascii="Times New Roman" w:hAnsi="Times New Roman"/>
        </w:rPr>
      </w:pPr>
      <w:r w:rsidRPr="00633296">
        <w:rPr>
          <w:rFonts w:ascii="Times New Roman" w:hAnsi="Times New Roman" w:hint="eastAsia"/>
          <w:b/>
          <w:bCs/>
          <w:color w:val="FF0000"/>
          <w:sz w:val="20"/>
          <w:szCs w:val="20"/>
          <w:highlight w:val="yellow"/>
          <w:bdr w:val="single" w:sz="4" w:space="0" w:color="auto"/>
        </w:rPr>
        <w:t>A</w:t>
      </w:r>
      <w:r w:rsidRPr="00633296">
        <w:rPr>
          <w:rFonts w:ascii="Times New Roman" w:hAnsi="Times New Roman" w:hint="eastAsia"/>
          <w:b/>
          <w:bCs/>
          <w:color w:val="FF0000"/>
          <w:sz w:val="20"/>
          <w:szCs w:val="20"/>
          <w:highlight w:val="yellow"/>
          <w:bdr w:val="single" w:sz="4" w:space="0" w:color="auto"/>
        </w:rPr>
        <w:t>、設</w:t>
      </w:r>
      <w:r w:rsidR="00AA120F" w:rsidRPr="00633296">
        <w:rPr>
          <w:rFonts w:ascii="Times New Roman" w:hAnsi="Times New Roman" w:hint="eastAsia"/>
          <w:b/>
          <w:bCs/>
          <w:color w:val="FF0000"/>
          <w:sz w:val="20"/>
          <w:szCs w:val="20"/>
          <w:highlight w:val="yellow"/>
          <w:bdr w:val="single" w:sz="4" w:space="0" w:color="auto"/>
        </w:rPr>
        <w:t>問</w:t>
      </w:r>
      <w:r w:rsidR="00AA120F" w:rsidRPr="00DA3BC7">
        <w:rPr>
          <w:rFonts w:ascii="Times New Roman" w:hAnsi="Times New Roman" w:hint="eastAsia"/>
          <w:bCs/>
          <w:sz w:val="20"/>
          <w:szCs w:val="20"/>
        </w:rPr>
        <w:t>（</w:t>
      </w:r>
      <w:r w:rsidR="00AA120F" w:rsidRPr="00DA3BC7">
        <w:rPr>
          <w:rFonts w:ascii="Times New Roman" w:hAnsi="Times New Roman" w:hint="eastAsia"/>
          <w:bCs/>
          <w:sz w:val="20"/>
          <w:szCs w:val="20"/>
        </w:rPr>
        <w:t>p.172</w:t>
      </w:r>
      <w:r w:rsidR="00AA120F" w:rsidRPr="00DA3BC7">
        <w:rPr>
          <w:rFonts w:ascii="Times New Roman" w:hAnsi="Times New Roman" w:hint="eastAsia"/>
          <w:bCs/>
          <w:sz w:val="20"/>
          <w:szCs w:val="20"/>
        </w:rPr>
        <w:t>）</w:t>
      </w:r>
    </w:p>
    <w:p w:rsidR="00AA120F" w:rsidRPr="00DA3BC7" w:rsidRDefault="00AA120F" w:rsidP="00466F61">
      <w:pPr>
        <w:tabs>
          <w:tab w:val="left" w:pos="709"/>
        </w:tabs>
        <w:ind w:leftChars="300" w:left="720"/>
        <w:jc w:val="both"/>
        <w:rPr>
          <w:rFonts w:ascii="Times New Roman" w:hAnsi="Times New Roman"/>
        </w:rPr>
      </w:pPr>
      <w:r w:rsidRPr="00DA3BC7">
        <w:rPr>
          <w:rFonts w:ascii="Times New Roman" w:hAnsi="Times New Roman"/>
        </w:rPr>
        <w:t>如修學佛法，漸次增進到成佛，但現在造成佛的因，而佛果要到很長</w:t>
      </w:r>
      <w:r w:rsidRPr="00DA3BC7">
        <w:rPr>
          <w:rFonts w:ascii="Times New Roman" w:hAnsi="Times New Roman"/>
        </w:rPr>
        <w:lastRenderedPageBreak/>
        <w:t>久的未來才能實現</w:t>
      </w:r>
      <w:r w:rsidRPr="00DA3BC7">
        <w:rPr>
          <w:rFonts w:ascii="Times New Roman" w:hAnsi="Times New Roman" w:hint="eastAsia"/>
        </w:rPr>
        <w:t>；</w:t>
      </w:r>
      <w:r w:rsidRPr="00DA3BC7">
        <w:rPr>
          <w:rFonts w:ascii="Times New Roman" w:hAnsi="Times New Roman"/>
        </w:rPr>
        <w:t>等到果實現時，因又早已過去了。這前後遙</w:t>
      </w:r>
      <w:r w:rsidRPr="00DA3BC7">
        <w:rPr>
          <w:rStyle w:val="a6"/>
          <w:rFonts w:ascii="Times New Roman" w:hAnsi="Times New Roman"/>
        </w:rPr>
        <w:footnoteReference w:id="790"/>
      </w:r>
      <w:r w:rsidRPr="00DA3BC7">
        <w:rPr>
          <w:rFonts w:ascii="Times New Roman" w:hAnsi="Times New Roman"/>
        </w:rPr>
        <w:t>隔</w:t>
      </w:r>
      <w:r w:rsidRPr="00DA3BC7">
        <w:rPr>
          <w:rStyle w:val="a6"/>
          <w:rFonts w:ascii="Times New Roman" w:hAnsi="Times New Roman"/>
        </w:rPr>
        <w:footnoteReference w:id="791"/>
      </w:r>
      <w:r w:rsidRPr="00DA3BC7">
        <w:rPr>
          <w:rFonts w:ascii="Times New Roman" w:hAnsi="Times New Roman"/>
        </w:rPr>
        <w:t>，怎能構成因果關係呢？</w:t>
      </w:r>
    </w:p>
    <w:p w:rsidR="00AA120F" w:rsidRPr="00DA3BC7" w:rsidRDefault="00AA120F" w:rsidP="00AE3920">
      <w:pPr>
        <w:tabs>
          <w:tab w:val="left" w:pos="709"/>
        </w:tabs>
        <w:spacing w:beforeLines="20"/>
        <w:ind w:leftChars="300" w:left="720"/>
        <w:jc w:val="both"/>
        <w:rPr>
          <w:rFonts w:ascii="Times New Roman" w:hAnsi="Times New Roman"/>
        </w:rPr>
      </w:pPr>
      <w:r w:rsidRPr="00DA3BC7">
        <w:rPr>
          <w:rFonts w:ascii="Times New Roman" w:hAnsi="Times New Roman"/>
        </w:rPr>
        <w:t>《大智度論》卷</w:t>
      </w:r>
      <w:r w:rsidR="00B87DD2">
        <w:rPr>
          <w:rFonts w:ascii="Times New Roman" w:hAnsi="Times New Roman" w:hint="eastAsia"/>
        </w:rPr>
        <w:t>54</w:t>
      </w:r>
      <w:r w:rsidRPr="00DA3BC7">
        <w:rPr>
          <w:rFonts w:ascii="Times New Roman" w:hAnsi="Times New Roman"/>
        </w:rPr>
        <w:t>說：「</w:t>
      </w:r>
      <w:r w:rsidRPr="00DA3BC7">
        <w:rPr>
          <w:rFonts w:ascii="標楷體" w:eastAsia="標楷體" w:hAnsi="標楷體" w:hint="eastAsia"/>
        </w:rPr>
        <w:t>菩薩</w:t>
      </w:r>
      <w:r w:rsidRPr="00DA3BC7">
        <w:rPr>
          <w:rFonts w:ascii="標楷體" w:eastAsia="標楷體" w:hAnsi="標楷體"/>
        </w:rPr>
        <w:t>初發意迴向與佛心作因緣，而初發意迴向時未有佛心，佛心中無初迴向心，雖無</w:t>
      </w:r>
      <w:r w:rsidRPr="00DA3BC7">
        <w:rPr>
          <w:rFonts w:ascii="標楷體" w:eastAsia="標楷體" w:hAnsi="標楷體" w:hint="eastAsia"/>
        </w:rPr>
        <w:t>，</w:t>
      </w:r>
      <w:r w:rsidRPr="00DA3BC7">
        <w:rPr>
          <w:rFonts w:ascii="標楷體" w:eastAsia="標楷體" w:hAnsi="標楷體"/>
        </w:rPr>
        <w:t>而能作因緣</w:t>
      </w:r>
      <w:r w:rsidRPr="00DA3BC7">
        <w:rPr>
          <w:rFonts w:ascii="Times New Roman" w:hAnsi="Times New Roman"/>
        </w:rPr>
        <w:t>。」</w:t>
      </w:r>
      <w:r w:rsidRPr="00DA3BC7">
        <w:rPr>
          <w:rFonts w:ascii="Times New Roman" w:hAnsi="Times New Roman"/>
          <w:vertAlign w:val="superscript"/>
        </w:rPr>
        <w:footnoteReference w:id="792"/>
      </w:r>
    </w:p>
    <w:p w:rsidR="00AA120F" w:rsidRPr="00DA3BC7" w:rsidRDefault="00AA120F" w:rsidP="00AE3920">
      <w:pPr>
        <w:tabs>
          <w:tab w:val="left" w:pos="709"/>
        </w:tabs>
        <w:spacing w:beforeLines="20"/>
        <w:ind w:leftChars="300" w:left="720"/>
        <w:jc w:val="both"/>
        <w:rPr>
          <w:rFonts w:ascii="Times New Roman" w:hAnsi="Times New Roman"/>
        </w:rPr>
      </w:pPr>
      <w:r w:rsidRPr="00DA3BC7">
        <w:rPr>
          <w:rFonts w:ascii="Times New Roman" w:hAnsi="Times New Roman" w:hint="eastAsia"/>
        </w:rPr>
        <w:t>或者以為因果二者非同時現在不能成為因果，迴向心與佛心，前後既遠遠的相隔，如何能成為因果？</w:t>
      </w:r>
    </w:p>
    <w:p w:rsidR="00AA120F" w:rsidRPr="00DA3BC7" w:rsidRDefault="00DE1E80" w:rsidP="00AE3920">
      <w:pPr>
        <w:spacing w:beforeLines="30"/>
        <w:ind w:leftChars="300" w:left="720"/>
        <w:jc w:val="both"/>
        <w:rPr>
          <w:rFonts w:ascii="Times New Roman" w:hAnsi="Times New Roman"/>
        </w:rPr>
      </w:pPr>
      <w:r w:rsidRPr="00DE1E80">
        <w:rPr>
          <w:rFonts w:ascii="Times New Roman" w:hAnsi="Times New Roman" w:hint="eastAsia"/>
          <w:b/>
          <w:bCs/>
          <w:color w:val="FF0000"/>
          <w:sz w:val="20"/>
          <w:szCs w:val="20"/>
          <w:highlight w:val="yellow"/>
          <w:bdr w:val="single" w:sz="4" w:space="0" w:color="auto"/>
        </w:rPr>
        <w:t>B</w:t>
      </w:r>
      <w:r w:rsidRPr="00DE1E80">
        <w:rPr>
          <w:rFonts w:ascii="Times New Roman" w:hAnsi="Times New Roman" w:hint="eastAsia"/>
          <w:b/>
          <w:bCs/>
          <w:color w:val="FF0000"/>
          <w:sz w:val="20"/>
          <w:szCs w:val="20"/>
          <w:highlight w:val="yellow"/>
          <w:bdr w:val="single" w:sz="4" w:space="0" w:color="auto"/>
        </w:rPr>
        <w:t>、解</w:t>
      </w:r>
      <w:r w:rsidR="00AA120F" w:rsidRPr="00DE1E80">
        <w:rPr>
          <w:rFonts w:ascii="Times New Roman" w:hAnsi="Times New Roman" w:hint="eastAsia"/>
          <w:b/>
          <w:bCs/>
          <w:color w:val="FF0000"/>
          <w:sz w:val="20"/>
          <w:szCs w:val="20"/>
          <w:highlight w:val="yellow"/>
          <w:bdr w:val="single" w:sz="4" w:space="0" w:color="auto"/>
        </w:rPr>
        <w:t>答</w:t>
      </w:r>
      <w:r w:rsidRPr="00DE1E80">
        <w:rPr>
          <w:rFonts w:ascii="Times New Roman" w:hAnsi="Times New Roman" w:hint="eastAsia"/>
          <w:b/>
          <w:bCs/>
          <w:color w:val="FF0000"/>
          <w:sz w:val="20"/>
          <w:szCs w:val="20"/>
          <w:highlight w:val="yellow"/>
          <w:bdr w:val="single" w:sz="4" w:space="0" w:color="auto"/>
        </w:rPr>
        <w:t>──龍樹約「二諦」釋</w:t>
      </w:r>
      <w:r w:rsidR="00AA120F" w:rsidRPr="00DA3BC7">
        <w:rPr>
          <w:rFonts w:ascii="Times New Roman" w:hAnsi="Times New Roman" w:hint="eastAsia"/>
          <w:bCs/>
          <w:sz w:val="20"/>
          <w:szCs w:val="20"/>
        </w:rPr>
        <w:t>（</w:t>
      </w:r>
      <w:r w:rsidR="00AA120F" w:rsidRPr="00DA3BC7">
        <w:rPr>
          <w:rFonts w:ascii="Times New Roman" w:hAnsi="Times New Roman" w:hint="eastAsia"/>
          <w:bCs/>
          <w:sz w:val="20"/>
          <w:szCs w:val="20"/>
        </w:rPr>
        <w:t>p.172</w:t>
      </w:r>
      <w:r w:rsidR="00AA120F" w:rsidRPr="00DA3BC7">
        <w:rPr>
          <w:rFonts w:ascii="Times New Roman" w:hAnsi="Times New Roman" w:hint="eastAsia"/>
          <w:bCs/>
          <w:sz w:val="20"/>
          <w:szCs w:val="20"/>
        </w:rPr>
        <w:t>）</w:t>
      </w:r>
    </w:p>
    <w:p w:rsidR="00AA120F" w:rsidRPr="00DA3BC7" w:rsidRDefault="00AA120F" w:rsidP="00466F61">
      <w:pPr>
        <w:ind w:leftChars="300" w:left="720"/>
        <w:jc w:val="both"/>
        <w:rPr>
          <w:rFonts w:ascii="Times New Roman" w:hAnsi="Times New Roman"/>
        </w:rPr>
      </w:pPr>
      <w:r w:rsidRPr="00DA3BC7">
        <w:rPr>
          <w:rFonts w:ascii="Times New Roman" w:hAnsi="Times New Roman" w:hint="eastAsia"/>
        </w:rPr>
        <w:t>龍樹約二義來解答：</w:t>
      </w:r>
    </w:p>
    <w:p w:rsidR="00AA120F" w:rsidRPr="00DA3BC7" w:rsidRDefault="00DE1E80" w:rsidP="00AE3920">
      <w:pPr>
        <w:spacing w:beforeLines="30"/>
        <w:ind w:leftChars="350" w:left="840"/>
        <w:jc w:val="both"/>
        <w:rPr>
          <w:rFonts w:ascii="Times New Roman" w:hAnsi="Times New Roman"/>
          <w:b/>
          <w:bCs/>
          <w:sz w:val="20"/>
          <w:szCs w:val="20"/>
        </w:rPr>
      </w:pPr>
      <w:r w:rsidRPr="00DE1E80">
        <w:rPr>
          <w:rFonts w:ascii="Times New Roman" w:hAnsi="Times New Roman" w:hint="eastAsia"/>
          <w:b/>
          <w:bCs/>
          <w:color w:val="FF0000"/>
          <w:sz w:val="20"/>
          <w:szCs w:val="20"/>
          <w:highlight w:val="yellow"/>
          <w:bdr w:val="single" w:sz="4" w:space="0" w:color="auto"/>
        </w:rPr>
        <w:t>（</w:t>
      </w:r>
      <w:r w:rsidRPr="00DE1E80">
        <w:rPr>
          <w:rFonts w:ascii="Times New Roman" w:hAnsi="Times New Roman" w:hint="eastAsia"/>
          <w:b/>
          <w:bCs/>
          <w:color w:val="FF0000"/>
          <w:sz w:val="20"/>
          <w:szCs w:val="20"/>
          <w:highlight w:val="yellow"/>
          <w:bdr w:val="single" w:sz="4" w:space="0" w:color="auto"/>
        </w:rPr>
        <w:t>A</w:t>
      </w:r>
      <w:r w:rsidRPr="00DE1E80">
        <w:rPr>
          <w:rFonts w:ascii="Times New Roman" w:hAnsi="Times New Roman" w:hint="eastAsia"/>
          <w:b/>
          <w:bCs/>
          <w:color w:val="FF0000"/>
          <w:sz w:val="20"/>
          <w:szCs w:val="20"/>
          <w:highlight w:val="yellow"/>
          <w:bdr w:val="single" w:sz="4" w:space="0" w:color="auto"/>
        </w:rPr>
        <w:t>）</w:t>
      </w:r>
      <w:r w:rsidR="00AA120F" w:rsidRPr="00DA3BC7">
        <w:rPr>
          <w:rFonts w:ascii="Times New Roman" w:hAnsi="Times New Roman" w:hint="eastAsia"/>
          <w:b/>
          <w:sz w:val="20"/>
          <w:szCs w:val="20"/>
          <w:bdr w:val="single" w:sz="4" w:space="0" w:color="auto"/>
        </w:rPr>
        <w:t>約</w:t>
      </w:r>
      <w:r w:rsidRPr="00DE1E80">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hint="eastAsia"/>
          <w:b/>
          <w:sz w:val="20"/>
          <w:szCs w:val="20"/>
          <w:bdr w:val="single" w:sz="4" w:space="0" w:color="auto"/>
        </w:rPr>
        <w:t>第一義諦</w:t>
      </w:r>
      <w:r>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hint="eastAsia"/>
          <w:b/>
          <w:sz w:val="20"/>
          <w:szCs w:val="20"/>
          <w:bdr w:val="single" w:sz="4" w:space="0" w:color="auto"/>
        </w:rPr>
        <w:t>說</w:t>
      </w:r>
      <w:r w:rsidR="00AA120F" w:rsidRPr="00DA3BC7">
        <w:rPr>
          <w:rFonts w:ascii="Times New Roman" w:hAnsi="Times New Roman" w:hint="eastAsia"/>
          <w:bCs/>
          <w:sz w:val="20"/>
          <w:szCs w:val="20"/>
        </w:rPr>
        <w:t>（</w:t>
      </w:r>
      <w:r w:rsidR="00AA120F" w:rsidRPr="00DA3BC7">
        <w:rPr>
          <w:rFonts w:ascii="Times New Roman" w:hAnsi="Times New Roman" w:hint="eastAsia"/>
          <w:bCs/>
          <w:sz w:val="20"/>
          <w:szCs w:val="20"/>
        </w:rPr>
        <w:t>pp.172-173</w:t>
      </w:r>
      <w:r w:rsidR="00AA120F" w:rsidRPr="00DA3BC7">
        <w:rPr>
          <w:rFonts w:ascii="Times New Roman" w:hAnsi="Times New Roman" w:hint="eastAsia"/>
          <w:bCs/>
          <w:sz w:val="20"/>
          <w:szCs w:val="20"/>
        </w:rPr>
        <w:t>）</w:t>
      </w:r>
    </w:p>
    <w:p w:rsidR="00AA120F" w:rsidRPr="00DA3BC7" w:rsidRDefault="00FD5D17" w:rsidP="00466F61">
      <w:pPr>
        <w:ind w:leftChars="350" w:left="840"/>
        <w:jc w:val="both"/>
        <w:rPr>
          <w:rFonts w:ascii="Times New Roman" w:hAnsi="Times New Roman"/>
        </w:rPr>
      </w:pPr>
      <w:r>
        <w:rPr>
          <w:rFonts w:ascii="Times New Roman" w:hAnsi="Times New Roman" w:hint="eastAsia"/>
        </w:rPr>
        <w:t>（</w:t>
      </w:r>
      <w:r w:rsidR="00AA120F" w:rsidRPr="00DA3BC7">
        <w:rPr>
          <w:rFonts w:ascii="Times New Roman" w:hAnsi="Times New Roman" w:hint="eastAsia"/>
        </w:rPr>
        <w:t>一</w:t>
      </w:r>
      <w:r>
        <w:rPr>
          <w:rFonts w:ascii="Times New Roman" w:hAnsi="Times New Roman" w:hint="eastAsia"/>
        </w:rPr>
        <w:t>）</w:t>
      </w:r>
      <w:r w:rsidR="00AA120F" w:rsidRPr="00DA3BC7">
        <w:rPr>
          <w:rFonts w:ascii="Times New Roman" w:hAnsi="Times New Roman" w:hint="eastAsia"/>
        </w:rPr>
        <w:t>、約</w:t>
      </w:r>
      <w:r w:rsidR="00AA120F" w:rsidRPr="00DA3BC7">
        <w:rPr>
          <w:rFonts w:ascii="Times New Roman" w:hAnsi="Times New Roman" w:hint="eastAsia"/>
          <w:b/>
        </w:rPr>
        <w:t>第一義諦</w:t>
      </w:r>
      <w:r w:rsidR="00AA120F" w:rsidRPr="00DA3BC7">
        <w:rPr>
          <w:rFonts w:ascii="Times New Roman" w:hAnsi="Times New Roman" w:hint="eastAsia"/>
        </w:rPr>
        <w:t>說：現在心、未來心，皆無自性，心雖有現在、未來等的緣起相而性自本空，在畢竟空寂中，心心無礙，無有差別。以此，現象雖前後各別，而實無礙於因果的成立。</w:t>
      </w:r>
      <w:r w:rsidR="00AA120F" w:rsidRPr="00DA3BC7">
        <w:rPr>
          <w:rFonts w:ascii="Times New Roman" w:hAnsi="Times New Roman"/>
          <w:vertAlign w:val="superscript"/>
        </w:rPr>
        <w:footnoteReference w:id="793"/>
      </w:r>
    </w:p>
    <w:p w:rsidR="00AA120F" w:rsidRPr="00DA3BC7" w:rsidRDefault="00DE1E80" w:rsidP="00AE3920">
      <w:pPr>
        <w:spacing w:beforeLines="30"/>
        <w:ind w:leftChars="350" w:left="840"/>
        <w:jc w:val="both"/>
        <w:rPr>
          <w:rFonts w:ascii="Times New Roman" w:hAnsi="Times New Roman"/>
          <w:b/>
          <w:bCs/>
          <w:sz w:val="20"/>
          <w:szCs w:val="20"/>
        </w:rPr>
      </w:pPr>
      <w:r w:rsidRPr="00DE1E80">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B</w:t>
      </w:r>
      <w:r w:rsidRPr="00DE1E80">
        <w:rPr>
          <w:rFonts w:ascii="Times New Roman" w:hAnsi="Times New Roman" w:hint="eastAsia"/>
          <w:b/>
          <w:bCs/>
          <w:color w:val="FF0000"/>
          <w:sz w:val="20"/>
          <w:szCs w:val="20"/>
          <w:highlight w:val="yellow"/>
          <w:bdr w:val="single" w:sz="4" w:space="0" w:color="auto"/>
        </w:rPr>
        <w:t>）</w:t>
      </w:r>
      <w:r w:rsidR="00AA120F" w:rsidRPr="00DA3BC7">
        <w:rPr>
          <w:rFonts w:ascii="Times New Roman" w:hAnsi="Times New Roman" w:hint="eastAsia"/>
          <w:b/>
          <w:sz w:val="20"/>
          <w:szCs w:val="20"/>
          <w:bdr w:val="single" w:sz="4" w:space="0" w:color="auto"/>
        </w:rPr>
        <w:t>約</w:t>
      </w:r>
      <w:r w:rsidRPr="00DE1E80">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hint="eastAsia"/>
          <w:b/>
          <w:sz w:val="20"/>
          <w:szCs w:val="20"/>
          <w:bdr w:val="single" w:sz="4" w:space="0" w:color="auto"/>
        </w:rPr>
        <w:t>世俗諦</w:t>
      </w:r>
      <w:r>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hint="eastAsia"/>
          <w:b/>
          <w:sz w:val="20"/>
          <w:szCs w:val="20"/>
          <w:bdr w:val="single" w:sz="4" w:space="0" w:color="auto"/>
        </w:rPr>
        <w:t>說</w:t>
      </w:r>
      <w:r w:rsidR="00AA120F" w:rsidRPr="00DA3BC7">
        <w:rPr>
          <w:rFonts w:ascii="Times New Roman" w:hAnsi="Times New Roman" w:hint="eastAsia"/>
          <w:bCs/>
          <w:sz w:val="20"/>
          <w:szCs w:val="20"/>
        </w:rPr>
        <w:t>（</w:t>
      </w:r>
      <w:r w:rsidR="00AA120F" w:rsidRPr="00DA3BC7">
        <w:rPr>
          <w:rFonts w:ascii="Times New Roman" w:hAnsi="Times New Roman" w:hint="eastAsia"/>
          <w:bCs/>
          <w:sz w:val="20"/>
          <w:szCs w:val="20"/>
        </w:rPr>
        <w:t>p.173</w:t>
      </w:r>
      <w:r w:rsidR="00AA120F" w:rsidRPr="00DA3BC7">
        <w:rPr>
          <w:rFonts w:ascii="Times New Roman" w:hAnsi="Times New Roman" w:hint="eastAsia"/>
          <w:bCs/>
          <w:sz w:val="20"/>
          <w:szCs w:val="20"/>
        </w:rPr>
        <w:t>）</w:t>
      </w:r>
    </w:p>
    <w:p w:rsidR="00FD5D17" w:rsidRDefault="00FD5D17" w:rsidP="00466F61">
      <w:pPr>
        <w:ind w:leftChars="350" w:left="840"/>
        <w:jc w:val="both"/>
        <w:rPr>
          <w:rFonts w:ascii="Times New Roman" w:hAnsi="Times New Roman"/>
        </w:rPr>
      </w:pPr>
      <w:r>
        <w:rPr>
          <w:rFonts w:ascii="Times New Roman" w:hAnsi="Times New Roman" w:hint="eastAsia"/>
        </w:rPr>
        <w:t>（</w:t>
      </w:r>
      <w:r w:rsidR="00AA120F" w:rsidRPr="00DA3BC7">
        <w:rPr>
          <w:rFonts w:ascii="Times New Roman" w:hAnsi="Times New Roman" w:hint="eastAsia"/>
        </w:rPr>
        <w:t>二</w:t>
      </w:r>
      <w:r>
        <w:rPr>
          <w:rFonts w:ascii="Times New Roman" w:hAnsi="Times New Roman" w:hint="eastAsia"/>
        </w:rPr>
        <w:t>）</w:t>
      </w:r>
      <w:r w:rsidR="00AA120F" w:rsidRPr="00DA3BC7">
        <w:rPr>
          <w:rFonts w:ascii="Times New Roman" w:hAnsi="Times New Roman" w:hint="eastAsia"/>
        </w:rPr>
        <w:t>、約</w:t>
      </w:r>
      <w:r w:rsidR="00AA120F" w:rsidRPr="00DA3BC7">
        <w:rPr>
          <w:rFonts w:ascii="Times New Roman" w:hAnsi="Times New Roman" w:hint="eastAsia"/>
          <w:b/>
        </w:rPr>
        <w:t>世俗諦</w:t>
      </w:r>
      <w:r w:rsidR="00AA120F" w:rsidRPr="00DA3BC7">
        <w:rPr>
          <w:rFonts w:ascii="Times New Roman" w:hAnsi="Times New Roman" w:hint="eastAsia"/>
        </w:rPr>
        <w:t>說：</w:t>
      </w:r>
    </w:p>
    <w:p w:rsidR="00FD5D17" w:rsidRPr="00FD5D17" w:rsidRDefault="00FD5D17" w:rsidP="00466F61">
      <w:pPr>
        <w:ind w:leftChars="400" w:left="960"/>
        <w:jc w:val="both"/>
        <w:rPr>
          <w:rFonts w:ascii="Times New Roman" w:hAnsi="Times New Roman"/>
          <w:b/>
          <w:bCs/>
          <w:color w:val="FF0000"/>
          <w:sz w:val="20"/>
          <w:szCs w:val="20"/>
          <w:highlight w:val="yellow"/>
          <w:bdr w:val="single" w:sz="4" w:space="0" w:color="auto"/>
        </w:rPr>
      </w:pPr>
      <w:r>
        <w:rPr>
          <w:rFonts w:ascii="Times New Roman" w:hAnsi="Times New Roman" w:hint="eastAsia"/>
          <w:b/>
          <w:bCs/>
          <w:color w:val="FF0000"/>
          <w:sz w:val="20"/>
          <w:szCs w:val="20"/>
          <w:highlight w:val="yellow"/>
          <w:bdr w:val="single" w:sz="4" w:space="0" w:color="auto"/>
        </w:rPr>
        <w:t>a</w:t>
      </w:r>
      <w:r w:rsidRPr="00FD5D17">
        <w:rPr>
          <w:rFonts w:ascii="Times New Roman" w:hAnsi="Times New Roman" w:hint="eastAsia"/>
          <w:b/>
          <w:bCs/>
          <w:color w:val="FF0000"/>
          <w:sz w:val="20"/>
          <w:szCs w:val="20"/>
          <w:highlight w:val="yellow"/>
          <w:bdr w:val="single" w:sz="4" w:space="0" w:color="auto"/>
        </w:rPr>
        <w:t>、引論文</w:t>
      </w:r>
      <w:r w:rsidRPr="00DA3BC7">
        <w:rPr>
          <w:rFonts w:ascii="Times New Roman" w:hAnsi="Times New Roman" w:hint="eastAsia"/>
          <w:bCs/>
          <w:sz w:val="20"/>
          <w:szCs w:val="20"/>
        </w:rPr>
        <w:t>（</w:t>
      </w:r>
      <w:r w:rsidRPr="00DA3BC7">
        <w:rPr>
          <w:rFonts w:ascii="Times New Roman" w:hAnsi="Times New Roman" w:hint="eastAsia"/>
          <w:bCs/>
          <w:sz w:val="20"/>
          <w:szCs w:val="20"/>
        </w:rPr>
        <w:t>p.173</w:t>
      </w:r>
      <w:r w:rsidRPr="00DA3BC7">
        <w:rPr>
          <w:rFonts w:ascii="Times New Roman" w:hAnsi="Times New Roman" w:hint="eastAsia"/>
          <w:bCs/>
          <w:sz w:val="20"/>
          <w:szCs w:val="20"/>
        </w:rPr>
        <w:t>）</w:t>
      </w:r>
    </w:p>
    <w:p w:rsidR="00FD5D17" w:rsidRDefault="00AA120F" w:rsidP="00466F61">
      <w:pPr>
        <w:ind w:leftChars="400" w:left="960"/>
        <w:jc w:val="both"/>
        <w:rPr>
          <w:rFonts w:ascii="標楷體" w:eastAsia="標楷體" w:hAnsi="標楷體"/>
        </w:rPr>
      </w:pPr>
      <w:r w:rsidRPr="00FD5D17">
        <w:rPr>
          <w:rFonts w:ascii="Times New Roman" w:hAnsi="Times New Roman" w:hint="eastAsia"/>
        </w:rPr>
        <w:t>如</w:t>
      </w:r>
      <w:r w:rsidRPr="00DA3BC7">
        <w:rPr>
          <w:rFonts w:ascii="Times New Roman" w:hAnsi="Times New Roman" w:hint="eastAsia"/>
        </w:rPr>
        <w:t>《大智度論》卷</w:t>
      </w:r>
      <w:r w:rsidR="00B87DD2">
        <w:rPr>
          <w:rFonts w:ascii="Times New Roman" w:hAnsi="Times New Roman" w:hint="eastAsia"/>
        </w:rPr>
        <w:t>75</w:t>
      </w:r>
      <w:r w:rsidRPr="00DA3BC7">
        <w:rPr>
          <w:rFonts w:ascii="Times New Roman" w:hAnsi="Times New Roman" w:hint="eastAsia"/>
        </w:rPr>
        <w:t>說：「</w:t>
      </w:r>
      <w:r w:rsidRPr="00DA3BC7">
        <w:rPr>
          <w:rFonts w:ascii="標楷體" w:eastAsia="標楷體" w:hAnsi="標楷體" w:hint="eastAsia"/>
        </w:rPr>
        <w:t>初心不至後心，後心不在初心，云何增益善根得無上道</w:t>
      </w:r>
      <w:r w:rsidRPr="00DA3BC7">
        <w:rPr>
          <w:rFonts w:ascii="Times New Roman" w:hAnsi="Times New Roman" w:hint="eastAsia"/>
        </w:rPr>
        <w:t>？」「</w:t>
      </w:r>
      <w:r w:rsidRPr="00DA3BC7">
        <w:rPr>
          <w:rFonts w:ascii="標楷體" w:eastAsia="標楷體" w:hAnsi="標楷體" w:hint="eastAsia"/>
        </w:rPr>
        <w:t>佛以現事譬喻答：如燈炷，非獨初焰燋，亦不離初焰；非獨後焰燋，亦不離後焰，而燈炷燋</w:t>
      </w:r>
      <w:r w:rsidRPr="00DA3BC7">
        <w:rPr>
          <w:rFonts w:ascii="Times New Roman" w:hAnsi="Times New Roman" w:hint="eastAsia"/>
        </w:rPr>
        <w:t>。</w:t>
      </w:r>
      <w:r w:rsidRPr="00DA3BC7">
        <w:rPr>
          <w:rFonts w:ascii="標楷體" w:eastAsia="標楷體" w:hAnsi="標楷體" w:hint="eastAsia"/>
        </w:rPr>
        <w:t>」</w:t>
      </w:r>
      <w:r w:rsidRPr="00DA3BC7">
        <w:rPr>
          <w:rFonts w:ascii="Times New Roman" w:hAnsi="Times New Roman"/>
          <w:vertAlign w:val="superscript"/>
        </w:rPr>
        <w:footnoteReference w:id="794"/>
      </w:r>
    </w:p>
    <w:p w:rsidR="00FD5D17" w:rsidRDefault="00FD5D17" w:rsidP="00AE3920">
      <w:pPr>
        <w:spacing w:beforeLines="30"/>
        <w:ind w:leftChars="400" w:left="960"/>
        <w:jc w:val="both"/>
        <w:rPr>
          <w:rFonts w:ascii="Times New Roman" w:hAnsi="Times New Roman"/>
          <w:b/>
          <w:bCs/>
          <w:color w:val="FF0000"/>
          <w:sz w:val="20"/>
          <w:szCs w:val="20"/>
          <w:bdr w:val="single" w:sz="4" w:space="0" w:color="auto"/>
        </w:rPr>
      </w:pPr>
      <w:r>
        <w:rPr>
          <w:rFonts w:ascii="Times New Roman" w:hAnsi="Times New Roman" w:hint="eastAsia"/>
          <w:b/>
          <w:bCs/>
          <w:color w:val="FF0000"/>
          <w:sz w:val="20"/>
          <w:szCs w:val="20"/>
          <w:highlight w:val="yellow"/>
          <w:bdr w:val="single" w:sz="4" w:space="0" w:color="auto"/>
        </w:rPr>
        <w:lastRenderedPageBreak/>
        <w:t>b</w:t>
      </w:r>
      <w:r w:rsidRPr="00FD5D17">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釋</w:t>
      </w:r>
      <w:r w:rsidRPr="00FD5D17">
        <w:rPr>
          <w:rFonts w:ascii="Times New Roman" w:hAnsi="Times New Roman" w:hint="eastAsia"/>
          <w:b/>
          <w:bCs/>
          <w:color w:val="FF0000"/>
          <w:sz w:val="20"/>
          <w:szCs w:val="20"/>
          <w:highlight w:val="yellow"/>
          <w:bdr w:val="single" w:sz="4" w:space="0" w:color="auto"/>
        </w:rPr>
        <w:t>論</w:t>
      </w:r>
      <w:r>
        <w:rPr>
          <w:rFonts w:ascii="Times New Roman" w:hAnsi="Times New Roman" w:hint="eastAsia"/>
          <w:b/>
          <w:bCs/>
          <w:color w:val="FF0000"/>
          <w:sz w:val="20"/>
          <w:szCs w:val="20"/>
          <w:highlight w:val="yellow"/>
          <w:bdr w:val="single" w:sz="4" w:space="0" w:color="auto"/>
        </w:rPr>
        <w:t>義</w:t>
      </w:r>
      <w:r w:rsidRPr="00DA3BC7">
        <w:rPr>
          <w:rFonts w:ascii="Times New Roman" w:hAnsi="Times New Roman" w:hint="eastAsia"/>
          <w:bCs/>
          <w:sz w:val="20"/>
          <w:szCs w:val="20"/>
        </w:rPr>
        <w:t>（</w:t>
      </w:r>
      <w:r w:rsidRPr="00DA3BC7">
        <w:rPr>
          <w:rFonts w:ascii="Times New Roman" w:hAnsi="Times New Roman" w:hint="eastAsia"/>
          <w:bCs/>
          <w:sz w:val="20"/>
          <w:szCs w:val="20"/>
        </w:rPr>
        <w:t>p.173</w:t>
      </w:r>
      <w:r w:rsidRPr="00DA3BC7">
        <w:rPr>
          <w:rFonts w:ascii="Times New Roman" w:hAnsi="Times New Roman" w:hint="eastAsia"/>
          <w:bCs/>
          <w:sz w:val="20"/>
          <w:szCs w:val="20"/>
        </w:rPr>
        <w:t>）</w:t>
      </w:r>
    </w:p>
    <w:p w:rsidR="00FD5D17" w:rsidRDefault="00FD5D17" w:rsidP="00466F61">
      <w:pPr>
        <w:ind w:leftChars="450" w:left="1080"/>
        <w:jc w:val="both"/>
        <w:rPr>
          <w:rFonts w:ascii="Times New Roman" w:hAnsi="Times New Roman"/>
          <w:b/>
          <w:bCs/>
          <w:color w:val="FF0000"/>
          <w:sz w:val="20"/>
          <w:szCs w:val="20"/>
          <w:bdr w:val="single" w:sz="4" w:space="0" w:color="auto"/>
        </w:rPr>
      </w:pPr>
      <w:r w:rsidRPr="00DE1E80">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a</w:t>
      </w:r>
      <w:r w:rsidRPr="00DE1E80">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解文</w:t>
      </w:r>
      <w:r w:rsidRPr="00DA3BC7">
        <w:rPr>
          <w:rFonts w:ascii="Times New Roman" w:hAnsi="Times New Roman" w:hint="eastAsia"/>
          <w:bCs/>
          <w:sz w:val="20"/>
          <w:szCs w:val="20"/>
        </w:rPr>
        <w:t>（</w:t>
      </w:r>
      <w:r w:rsidRPr="00DA3BC7">
        <w:rPr>
          <w:rFonts w:ascii="Times New Roman" w:hAnsi="Times New Roman" w:hint="eastAsia"/>
          <w:bCs/>
          <w:sz w:val="20"/>
          <w:szCs w:val="20"/>
        </w:rPr>
        <w:t>p.173</w:t>
      </w:r>
      <w:r w:rsidRPr="00DA3BC7">
        <w:rPr>
          <w:rFonts w:ascii="Times New Roman" w:hAnsi="Times New Roman" w:hint="eastAsia"/>
          <w:bCs/>
          <w:sz w:val="20"/>
          <w:szCs w:val="20"/>
        </w:rPr>
        <w:t>）</w:t>
      </w:r>
    </w:p>
    <w:p w:rsidR="00FD5D17" w:rsidRDefault="00AA120F" w:rsidP="00466F61">
      <w:pPr>
        <w:ind w:leftChars="450" w:left="1080"/>
        <w:jc w:val="both"/>
        <w:rPr>
          <w:rFonts w:ascii="Times New Roman" w:hAnsi="Times New Roman"/>
        </w:rPr>
      </w:pPr>
      <w:r w:rsidRPr="00FD5D17">
        <w:rPr>
          <w:rFonts w:ascii="Times New Roman" w:hAnsi="Times New Roman" w:hint="eastAsia"/>
        </w:rPr>
        <w:t>此</w:t>
      </w:r>
      <w:r w:rsidRPr="00DA3BC7">
        <w:rPr>
          <w:rFonts w:ascii="Times New Roman" w:hAnsi="Times New Roman" w:hint="eastAsia"/>
        </w:rPr>
        <w:t>中佛答修行為因，得成佛果，引燈炷作喻：燈炷之燋，非第一念發光時燋，亦非第二、第三……念發光時燋，而結果燈炷確是燋了。由此，炷之燋，不即是第一、第二、第三……念時燋，亦不離第一、第二、第三等念時燋。修行證果亦然，依前後因緣展轉增長，自可漸成佛果。一切前後間的關係，皆是不即此也不離此的；</w:t>
      </w:r>
      <w:r w:rsidRPr="00DA3BC7">
        <w:rPr>
          <w:rFonts w:ascii="Times New Roman" w:hAnsi="Times New Roman" w:hint="eastAsia"/>
          <w:b/>
        </w:rPr>
        <w:t>念念心剎那滅，而念念的功用力勢不失</w:t>
      </w:r>
      <w:r w:rsidRPr="00DA3BC7">
        <w:rPr>
          <w:rFonts w:ascii="Times New Roman" w:hAnsi="Times New Roman" w:hint="eastAsia"/>
        </w:rPr>
        <w:t>。</w:t>
      </w:r>
    </w:p>
    <w:p w:rsidR="00FD5D17" w:rsidRPr="00DA3BC7" w:rsidRDefault="00FD5D17" w:rsidP="00AE3920">
      <w:pPr>
        <w:spacing w:beforeLines="30"/>
        <w:ind w:leftChars="450" w:left="1080"/>
        <w:jc w:val="both"/>
        <w:rPr>
          <w:rFonts w:ascii="Times New Roman" w:hAnsi="Times New Roman"/>
          <w:b/>
          <w:bCs/>
          <w:sz w:val="20"/>
          <w:szCs w:val="20"/>
        </w:rPr>
      </w:pPr>
      <w:r w:rsidRPr="00DE1E80">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b</w:t>
      </w:r>
      <w:r w:rsidRPr="00DE1E80">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釋義</w:t>
      </w:r>
      <w:r w:rsidRPr="00DA3BC7">
        <w:rPr>
          <w:rFonts w:ascii="Times New Roman" w:hAnsi="Times New Roman" w:hint="eastAsia"/>
          <w:bCs/>
          <w:sz w:val="20"/>
          <w:szCs w:val="20"/>
        </w:rPr>
        <w:t>（</w:t>
      </w:r>
      <w:r w:rsidRPr="00DA3BC7">
        <w:rPr>
          <w:rFonts w:ascii="Times New Roman" w:hAnsi="Times New Roman" w:hint="eastAsia"/>
          <w:bCs/>
          <w:sz w:val="20"/>
          <w:szCs w:val="20"/>
        </w:rPr>
        <w:t>p.173</w:t>
      </w:r>
      <w:r w:rsidRPr="00DA3BC7">
        <w:rPr>
          <w:rFonts w:ascii="Times New Roman" w:hAnsi="Times New Roman" w:hint="eastAsia"/>
          <w:bCs/>
          <w:sz w:val="20"/>
          <w:szCs w:val="20"/>
        </w:rPr>
        <w:t>）</w:t>
      </w:r>
    </w:p>
    <w:p w:rsidR="00AA120F" w:rsidRPr="00DA3BC7" w:rsidRDefault="00AA120F" w:rsidP="00466F61">
      <w:pPr>
        <w:ind w:leftChars="450" w:left="1080"/>
        <w:jc w:val="both"/>
        <w:rPr>
          <w:rFonts w:ascii="Times New Roman" w:hAnsi="Times New Roman"/>
        </w:rPr>
      </w:pPr>
      <w:r w:rsidRPr="00DA3BC7">
        <w:rPr>
          <w:rFonts w:ascii="Times New Roman" w:hAnsi="Times New Roman" w:hint="eastAsia"/>
        </w:rPr>
        <w:t>此雖有類似唯識的熏習，然不許如唯識所說的種子各自存立，而是展轉增長、前後相待的業用不失。這樣，依佛法講因果，是前後勢用展轉增盛的，不可以現在的一點小善小惡而忽之，因為它積漸以久，勢用會強大起來而自得其果的。</w:t>
      </w:r>
    </w:p>
    <w:p w:rsidR="006F16DD" w:rsidRDefault="006F16DD" w:rsidP="00AE3920">
      <w:pPr>
        <w:spacing w:beforeLines="30"/>
        <w:ind w:leftChars="200" w:left="480"/>
        <w:jc w:val="both"/>
        <w:rPr>
          <w:rFonts w:ascii="Times New Roman" w:hAnsi="Times New Roman"/>
          <w:bCs/>
          <w:sz w:val="20"/>
          <w:szCs w:val="20"/>
        </w:rPr>
      </w:pPr>
      <w:r>
        <w:rPr>
          <w:rFonts w:ascii="Times New Roman" w:hAnsi="Times New Roman" w:hint="eastAsia"/>
          <w:b/>
          <w:bCs/>
          <w:color w:val="FF0000"/>
          <w:sz w:val="20"/>
          <w:szCs w:val="20"/>
          <w:highlight w:val="yellow"/>
          <w:bdr w:val="single" w:sz="4" w:space="0" w:color="auto"/>
        </w:rPr>
        <w:t>2</w:t>
      </w:r>
      <w:r w:rsidR="00AA120F" w:rsidRPr="006F16DD">
        <w:rPr>
          <w:rFonts w:ascii="Times New Roman" w:hAnsi="Times New Roman" w:hint="eastAsia"/>
          <w:b/>
          <w:bCs/>
          <w:color w:val="FF0000"/>
          <w:sz w:val="20"/>
          <w:szCs w:val="20"/>
          <w:highlight w:val="yellow"/>
          <w:bdr w:val="single" w:sz="4" w:space="0" w:color="auto"/>
        </w:rPr>
        <w:t>、</w:t>
      </w:r>
      <w:r w:rsidR="00AA120F" w:rsidRPr="00DA3BC7">
        <w:rPr>
          <w:rFonts w:ascii="Times New Roman" w:hAnsi="Times New Roman" w:hint="eastAsia"/>
          <w:b/>
          <w:bCs/>
          <w:sz w:val="20"/>
          <w:szCs w:val="20"/>
          <w:bdr w:val="single" w:sz="4" w:space="0" w:color="auto"/>
        </w:rPr>
        <w:t>和合的因果：約</w:t>
      </w:r>
      <w:r w:rsidRPr="006F16DD">
        <w:rPr>
          <w:rFonts w:ascii="Times New Roman" w:hAnsi="Times New Roman" w:hint="eastAsia"/>
          <w:b/>
          <w:bCs/>
          <w:color w:val="FF0000"/>
          <w:sz w:val="20"/>
          <w:szCs w:val="20"/>
          <w:highlight w:val="yellow"/>
          <w:bdr w:val="single" w:sz="4" w:space="0" w:color="auto"/>
        </w:rPr>
        <w:t>「</w:t>
      </w:r>
      <w:r w:rsidR="00AA120F" w:rsidRPr="00DA3BC7">
        <w:rPr>
          <w:rFonts w:ascii="Times New Roman" w:hAnsi="Times New Roman" w:hint="eastAsia"/>
          <w:b/>
          <w:bCs/>
          <w:sz w:val="20"/>
          <w:szCs w:val="20"/>
          <w:bdr w:val="single" w:sz="4" w:space="0" w:color="auto"/>
        </w:rPr>
        <w:t>同時因果</w:t>
      </w:r>
      <w:r>
        <w:rPr>
          <w:rFonts w:ascii="Times New Roman" w:hAnsi="Times New Roman" w:hint="eastAsia"/>
          <w:b/>
          <w:bCs/>
          <w:color w:val="FF0000"/>
          <w:sz w:val="20"/>
          <w:szCs w:val="20"/>
          <w:highlight w:val="yellow"/>
          <w:bdr w:val="single" w:sz="4" w:space="0" w:color="auto"/>
        </w:rPr>
        <w:t>」</w:t>
      </w:r>
      <w:r w:rsidR="00AA120F" w:rsidRPr="00DA3BC7">
        <w:rPr>
          <w:rFonts w:ascii="Times New Roman" w:hAnsi="Times New Roman" w:hint="eastAsia"/>
          <w:b/>
          <w:bCs/>
          <w:sz w:val="20"/>
          <w:szCs w:val="20"/>
          <w:bdr w:val="single" w:sz="4" w:space="0" w:color="auto"/>
        </w:rPr>
        <w:t>而說</w:t>
      </w:r>
      <w:r w:rsidR="00AA120F" w:rsidRPr="00DA3BC7">
        <w:rPr>
          <w:rFonts w:ascii="Times New Roman" w:hAnsi="Times New Roman" w:hint="eastAsia"/>
          <w:bCs/>
          <w:sz w:val="20"/>
          <w:szCs w:val="20"/>
        </w:rPr>
        <w:t>（</w:t>
      </w:r>
      <w:r w:rsidR="00AA120F" w:rsidRPr="00DA3BC7">
        <w:rPr>
          <w:rFonts w:ascii="Times New Roman" w:hAnsi="Times New Roman" w:hint="eastAsia"/>
          <w:bCs/>
          <w:sz w:val="20"/>
          <w:szCs w:val="20"/>
        </w:rPr>
        <w:t>pp.173-175</w:t>
      </w:r>
      <w:r w:rsidR="00AA120F" w:rsidRPr="00DA3BC7">
        <w:rPr>
          <w:rFonts w:ascii="Times New Roman" w:hAnsi="Times New Roman" w:hint="eastAsia"/>
          <w:bCs/>
          <w:sz w:val="20"/>
          <w:szCs w:val="20"/>
        </w:rPr>
        <w:t>）</w:t>
      </w:r>
    </w:p>
    <w:p w:rsidR="00AA120F" w:rsidRPr="006F16DD" w:rsidRDefault="006F16DD" w:rsidP="00466F61">
      <w:pPr>
        <w:ind w:leftChars="250" w:left="600"/>
        <w:jc w:val="both"/>
        <w:rPr>
          <w:rFonts w:ascii="Times New Roman" w:hAnsi="Times New Roman"/>
          <w:b/>
          <w:bCs/>
          <w:color w:val="FF0000"/>
          <w:sz w:val="20"/>
          <w:szCs w:val="20"/>
          <w:highlight w:val="yellow"/>
        </w:rPr>
      </w:pPr>
      <w:r w:rsidRPr="006F16DD">
        <w:rPr>
          <w:rFonts w:ascii="Times New Roman" w:hAnsi="Times New Roman" w:hint="eastAsia"/>
          <w:b/>
          <w:bCs/>
          <w:color w:val="FF0000"/>
          <w:sz w:val="20"/>
          <w:szCs w:val="20"/>
          <w:highlight w:val="yellow"/>
          <w:bdr w:val="single" w:sz="4" w:space="0" w:color="auto"/>
        </w:rPr>
        <w:t>（</w:t>
      </w:r>
      <w:r w:rsidRPr="006F16DD">
        <w:rPr>
          <w:rFonts w:ascii="Times New Roman" w:hAnsi="Times New Roman" w:hint="eastAsia"/>
          <w:b/>
          <w:bCs/>
          <w:color w:val="FF0000"/>
          <w:sz w:val="20"/>
          <w:szCs w:val="20"/>
          <w:highlight w:val="yellow"/>
          <w:bdr w:val="single" w:sz="4" w:space="0" w:color="auto"/>
        </w:rPr>
        <w:t>1</w:t>
      </w:r>
      <w:r w:rsidRPr="006F16DD">
        <w:rPr>
          <w:rFonts w:ascii="Times New Roman" w:hAnsi="Times New Roman" w:hint="eastAsia"/>
          <w:b/>
          <w:bCs/>
          <w:color w:val="FF0000"/>
          <w:sz w:val="20"/>
          <w:szCs w:val="20"/>
          <w:highlight w:val="yellow"/>
          <w:bdr w:val="single" w:sz="4" w:space="0" w:color="auto"/>
        </w:rPr>
        <w:t>）略標</w:t>
      </w:r>
      <w:r w:rsidRPr="00DA3BC7">
        <w:rPr>
          <w:rFonts w:ascii="Times New Roman" w:hAnsi="Times New Roman" w:hint="eastAsia"/>
          <w:bCs/>
          <w:sz w:val="20"/>
          <w:szCs w:val="20"/>
        </w:rPr>
        <w:t>（</w:t>
      </w:r>
      <w:r w:rsidRPr="00DA3BC7">
        <w:rPr>
          <w:rFonts w:ascii="Times New Roman" w:hAnsi="Times New Roman" w:hint="eastAsia"/>
          <w:bCs/>
          <w:sz w:val="20"/>
          <w:szCs w:val="20"/>
        </w:rPr>
        <w:t>p.173</w:t>
      </w:r>
      <w:r w:rsidRPr="00DA3BC7">
        <w:rPr>
          <w:rFonts w:ascii="Times New Roman" w:hAnsi="Times New Roman" w:hint="eastAsia"/>
          <w:bCs/>
          <w:sz w:val="20"/>
          <w:szCs w:val="20"/>
        </w:rPr>
        <w:t>）</w:t>
      </w:r>
    </w:p>
    <w:p w:rsidR="00AA120F" w:rsidRPr="00DA3BC7" w:rsidRDefault="00AA120F" w:rsidP="00466F61">
      <w:pPr>
        <w:ind w:leftChars="250" w:left="600"/>
        <w:jc w:val="both"/>
        <w:rPr>
          <w:rFonts w:ascii="Times New Roman" w:hAnsi="Times New Roman"/>
        </w:rPr>
      </w:pPr>
      <w:r w:rsidRPr="00DA3BC7">
        <w:rPr>
          <w:rFonts w:ascii="Times New Roman" w:hAnsi="Times New Roman" w:hint="eastAsia"/>
        </w:rPr>
        <w:t>二、和合的因果：</w:t>
      </w:r>
      <w:r w:rsidR="006A6D3C" w:rsidRPr="006A6D3C">
        <w:rPr>
          <w:rFonts w:ascii="Times New Roman" w:hAnsi="Times New Roman" w:hint="eastAsia"/>
          <w:highlight w:val="yellow"/>
        </w:rPr>
        <w:t>這</w:t>
      </w:r>
      <w:r w:rsidR="006A6D3C" w:rsidRPr="00DA3BC7">
        <w:rPr>
          <w:rFonts w:ascii="Times New Roman" w:hAnsi="Times New Roman" w:hint="eastAsia"/>
        </w:rPr>
        <w:t>是各學派所週知</w:t>
      </w:r>
      <w:r w:rsidR="006A6D3C" w:rsidRPr="00DA3BC7">
        <w:rPr>
          <w:rStyle w:val="a6"/>
          <w:rFonts w:ascii="Times New Roman" w:hAnsi="Times New Roman"/>
        </w:rPr>
        <w:footnoteReference w:id="795"/>
      </w:r>
      <w:r w:rsidR="006A6D3C" w:rsidRPr="00DA3BC7">
        <w:rPr>
          <w:rFonts w:ascii="Times New Roman" w:hAnsi="Times New Roman" w:hint="eastAsia"/>
        </w:rPr>
        <w:t>的。</w:t>
      </w:r>
    </w:p>
    <w:p w:rsidR="006F16DD" w:rsidRDefault="00AA120F" w:rsidP="00AE3920">
      <w:pPr>
        <w:spacing w:beforeLines="30"/>
        <w:ind w:leftChars="250" w:left="600"/>
        <w:jc w:val="both"/>
        <w:rPr>
          <w:rFonts w:ascii="Times New Roman" w:hAnsi="Times New Roman"/>
          <w:b/>
          <w:bCs/>
          <w:color w:val="FF0000"/>
          <w:sz w:val="20"/>
          <w:szCs w:val="20"/>
          <w:bdr w:val="single" w:sz="4" w:space="0" w:color="auto"/>
        </w:rPr>
      </w:pPr>
      <w:r w:rsidRPr="006F16DD">
        <w:rPr>
          <w:rFonts w:ascii="Times New Roman" w:hAnsi="Times New Roman" w:hint="eastAsia"/>
          <w:b/>
          <w:bCs/>
          <w:color w:val="FF0000"/>
          <w:sz w:val="20"/>
          <w:szCs w:val="20"/>
          <w:highlight w:val="yellow"/>
          <w:bdr w:val="single" w:sz="4" w:space="0" w:color="auto"/>
        </w:rPr>
        <w:t>（</w:t>
      </w:r>
      <w:r w:rsidR="006F16DD" w:rsidRPr="006F16DD">
        <w:rPr>
          <w:rFonts w:ascii="Times New Roman" w:hAnsi="Times New Roman" w:hint="eastAsia"/>
          <w:b/>
          <w:bCs/>
          <w:color w:val="FF0000"/>
          <w:sz w:val="20"/>
          <w:szCs w:val="20"/>
          <w:highlight w:val="yellow"/>
          <w:bdr w:val="single" w:sz="4" w:space="0" w:color="auto"/>
        </w:rPr>
        <w:t>2</w:t>
      </w:r>
      <w:r w:rsidRPr="006F16DD">
        <w:rPr>
          <w:rFonts w:ascii="Times New Roman" w:hAnsi="Times New Roman" w:hint="eastAsia"/>
          <w:b/>
          <w:bCs/>
          <w:color w:val="FF0000"/>
          <w:sz w:val="20"/>
          <w:szCs w:val="20"/>
          <w:highlight w:val="yellow"/>
          <w:bdr w:val="single" w:sz="4" w:space="0" w:color="auto"/>
        </w:rPr>
        <w:t>）</w:t>
      </w:r>
      <w:r w:rsidR="006F16DD" w:rsidRPr="006F16DD">
        <w:rPr>
          <w:rFonts w:ascii="Times New Roman" w:hAnsi="Times New Roman" w:hint="eastAsia"/>
          <w:b/>
          <w:bCs/>
          <w:color w:val="FF0000"/>
          <w:sz w:val="20"/>
          <w:szCs w:val="20"/>
          <w:highlight w:val="yellow"/>
          <w:bdr w:val="single" w:sz="4" w:space="0" w:color="auto"/>
        </w:rPr>
        <w:t>詳明</w:t>
      </w:r>
      <w:r w:rsidR="006F16DD" w:rsidRPr="00DA3BC7">
        <w:rPr>
          <w:rFonts w:ascii="Times New Roman" w:hAnsi="Times New Roman" w:hint="eastAsia"/>
          <w:bCs/>
          <w:sz w:val="20"/>
          <w:szCs w:val="20"/>
        </w:rPr>
        <w:t>（</w:t>
      </w:r>
      <w:r w:rsidR="006F16DD" w:rsidRPr="00DA3BC7">
        <w:rPr>
          <w:rFonts w:ascii="Times New Roman" w:hAnsi="Times New Roman" w:hint="eastAsia"/>
          <w:bCs/>
          <w:sz w:val="20"/>
          <w:szCs w:val="20"/>
        </w:rPr>
        <w:t>pp.173-174</w:t>
      </w:r>
      <w:r w:rsidR="006F16DD" w:rsidRPr="00DA3BC7">
        <w:rPr>
          <w:rFonts w:ascii="Times New Roman" w:hAnsi="Times New Roman" w:hint="eastAsia"/>
          <w:bCs/>
          <w:sz w:val="20"/>
          <w:szCs w:val="20"/>
        </w:rPr>
        <w:t>）</w:t>
      </w:r>
    </w:p>
    <w:p w:rsidR="00AA120F" w:rsidRDefault="006F16DD" w:rsidP="00466F61">
      <w:pPr>
        <w:ind w:leftChars="300" w:left="720"/>
        <w:jc w:val="both"/>
        <w:rPr>
          <w:rFonts w:ascii="Times New Roman" w:hAnsi="Times New Roman"/>
          <w:bCs/>
          <w:sz w:val="20"/>
          <w:szCs w:val="20"/>
        </w:rPr>
      </w:pPr>
      <w:r w:rsidRPr="006F16DD">
        <w:rPr>
          <w:rFonts w:ascii="Times New Roman" w:hAnsi="Times New Roman" w:hint="eastAsia"/>
          <w:b/>
          <w:bCs/>
          <w:color w:val="FF0000"/>
          <w:sz w:val="20"/>
          <w:szCs w:val="20"/>
          <w:highlight w:val="yellow"/>
          <w:bdr w:val="single" w:sz="4" w:space="0" w:color="auto"/>
        </w:rPr>
        <w:t>A</w:t>
      </w:r>
      <w:r w:rsidRPr="006F16DD">
        <w:rPr>
          <w:rFonts w:ascii="Times New Roman" w:hAnsi="Times New Roman" w:hint="eastAsia"/>
          <w:b/>
          <w:bCs/>
          <w:color w:val="FF0000"/>
          <w:sz w:val="20"/>
          <w:szCs w:val="20"/>
          <w:highlight w:val="yellow"/>
          <w:bdr w:val="single" w:sz="4" w:space="0" w:color="auto"/>
        </w:rPr>
        <w:t>、舉「事」說</w:t>
      </w:r>
      <w:r w:rsidR="00AA120F" w:rsidRPr="00DA3BC7">
        <w:rPr>
          <w:rFonts w:ascii="Times New Roman" w:hAnsi="Times New Roman" w:hint="eastAsia"/>
          <w:bCs/>
          <w:sz w:val="20"/>
          <w:szCs w:val="20"/>
        </w:rPr>
        <w:t>（</w:t>
      </w:r>
      <w:r w:rsidR="00AA120F" w:rsidRPr="00DA3BC7">
        <w:rPr>
          <w:rFonts w:ascii="Times New Roman" w:hAnsi="Times New Roman" w:hint="eastAsia"/>
          <w:bCs/>
          <w:sz w:val="20"/>
          <w:szCs w:val="20"/>
        </w:rPr>
        <w:t>pp.173-174</w:t>
      </w:r>
      <w:r w:rsidR="00AA120F" w:rsidRPr="00DA3BC7">
        <w:rPr>
          <w:rFonts w:ascii="Times New Roman" w:hAnsi="Times New Roman" w:hint="eastAsia"/>
          <w:bCs/>
          <w:sz w:val="20"/>
          <w:szCs w:val="20"/>
        </w:rPr>
        <w:t>）</w:t>
      </w:r>
    </w:p>
    <w:p w:rsidR="006F16DD" w:rsidRPr="00DA3BC7" w:rsidRDefault="006F16DD" w:rsidP="00466F61">
      <w:pPr>
        <w:ind w:leftChars="350" w:left="840"/>
        <w:jc w:val="both"/>
        <w:rPr>
          <w:rFonts w:ascii="Times New Roman" w:hAnsi="Times New Roman"/>
          <w:b/>
          <w:bCs/>
          <w:sz w:val="20"/>
          <w:szCs w:val="20"/>
        </w:rPr>
      </w:pPr>
      <w:r w:rsidRPr="006F16DD">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A</w:t>
      </w:r>
      <w:r w:rsidRPr="006F16DD">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以「世間物事」為例</w:t>
      </w:r>
      <w:r w:rsidR="00F83364" w:rsidRPr="00DA3BC7">
        <w:rPr>
          <w:rFonts w:ascii="Times New Roman" w:hAnsi="Times New Roman" w:hint="eastAsia"/>
          <w:bCs/>
          <w:sz w:val="20"/>
          <w:szCs w:val="20"/>
        </w:rPr>
        <w:t>（</w:t>
      </w:r>
      <w:r w:rsidR="00F83364" w:rsidRPr="00DA3BC7">
        <w:rPr>
          <w:rFonts w:ascii="Times New Roman" w:hAnsi="Times New Roman" w:hint="eastAsia"/>
          <w:bCs/>
          <w:sz w:val="20"/>
          <w:szCs w:val="20"/>
        </w:rPr>
        <w:t>pp.173-174</w:t>
      </w:r>
      <w:r w:rsidR="00F83364" w:rsidRPr="00DA3BC7">
        <w:rPr>
          <w:rFonts w:ascii="Times New Roman" w:hAnsi="Times New Roman" w:hint="eastAsia"/>
          <w:bCs/>
          <w:sz w:val="20"/>
          <w:szCs w:val="20"/>
        </w:rPr>
        <w:t>）</w:t>
      </w:r>
    </w:p>
    <w:p w:rsidR="006A6D3C" w:rsidRDefault="00AA120F" w:rsidP="00466F61">
      <w:pPr>
        <w:ind w:leftChars="350" w:left="840"/>
        <w:jc w:val="both"/>
        <w:rPr>
          <w:rFonts w:ascii="Times New Roman" w:hAnsi="Times New Roman"/>
        </w:rPr>
      </w:pPr>
      <w:r w:rsidRPr="00DA3BC7">
        <w:rPr>
          <w:rFonts w:ascii="Times New Roman" w:hAnsi="Times New Roman" w:hint="eastAsia"/>
        </w:rPr>
        <w:t>如房屋是以磚、瓦、木、石、人工等和合而成功，房屋是果，磚、瓦等即是因。在眾多的有關屋事的材料中，任何一物都不會現有房屋的</w:t>
      </w:r>
      <w:r w:rsidRPr="00DA3BC7">
        <w:rPr>
          <w:rFonts w:ascii="Times New Roman" w:hAnsi="Times New Roman" w:hint="eastAsia"/>
        </w:rPr>
        <w:lastRenderedPageBreak/>
        <w:t>形狀與作用，合堆在一起也不會有屋的形狀與作用；但經過各種材料的適當配合，即可有房屋的形狀、作用了。故磚、瓦等對於房屋的</w:t>
      </w:r>
      <w:r w:rsidRPr="00DA3BC7">
        <w:rPr>
          <w:rFonts w:ascii="Times New Roman" w:hAnsi="Times New Roman" w:hint="eastAsia"/>
          <w:b/>
        </w:rPr>
        <w:t>因果關係</w:t>
      </w:r>
      <w:r w:rsidRPr="00DA3BC7">
        <w:rPr>
          <w:rFonts w:ascii="Times New Roman" w:hAnsi="Times New Roman" w:hint="eastAsia"/>
        </w:rPr>
        <w:t>，也是</w:t>
      </w:r>
      <w:r w:rsidRPr="00DA3BC7">
        <w:rPr>
          <w:rFonts w:ascii="Times New Roman" w:hAnsi="Times New Roman" w:hint="eastAsia"/>
          <w:b/>
        </w:rPr>
        <w:t>不即不離</w:t>
      </w:r>
      <w:r w:rsidRPr="00DA3BC7">
        <w:rPr>
          <w:rFonts w:ascii="Times New Roman" w:hAnsi="Times New Roman" w:hint="eastAsia"/>
        </w:rPr>
        <w:t>的。</w:t>
      </w:r>
    </w:p>
    <w:p w:rsidR="00AA120F" w:rsidRPr="00DA3BC7" w:rsidRDefault="00AA120F" w:rsidP="00466F61">
      <w:pPr>
        <w:ind w:leftChars="350" w:left="840"/>
        <w:jc w:val="both"/>
        <w:rPr>
          <w:rFonts w:ascii="Times New Roman" w:hAnsi="Times New Roman"/>
        </w:rPr>
      </w:pPr>
      <w:r w:rsidRPr="00DA3BC7">
        <w:rPr>
          <w:rFonts w:ascii="Times New Roman" w:hAnsi="Times New Roman" w:hint="eastAsia"/>
        </w:rPr>
        <w:t>《大智度論》卷</w:t>
      </w:r>
      <w:r w:rsidR="006F16DD">
        <w:rPr>
          <w:rFonts w:ascii="Times New Roman" w:hAnsi="Times New Roman" w:hint="eastAsia"/>
        </w:rPr>
        <w:t>74</w:t>
      </w:r>
      <w:r w:rsidRPr="00DA3BC7">
        <w:rPr>
          <w:rFonts w:ascii="Times New Roman" w:hAnsi="Times New Roman" w:hint="eastAsia"/>
        </w:rPr>
        <w:t>說「</w:t>
      </w:r>
      <w:r w:rsidR="00F83364" w:rsidRPr="00F83364">
        <w:rPr>
          <w:rFonts w:ascii="標楷體" w:eastAsia="標楷體" w:hAnsi="標楷體" w:hint="eastAsia"/>
          <w:color w:val="FF0000"/>
          <w:highlight w:val="yellow"/>
        </w:rPr>
        <w:t>譬</w:t>
      </w:r>
      <w:r w:rsidRPr="00DA3BC7">
        <w:rPr>
          <w:rFonts w:ascii="標楷體" w:eastAsia="標楷體" w:hAnsi="標楷體" w:hint="eastAsia"/>
        </w:rPr>
        <w:t>如以泥為瓶，泥非即是瓶，不離泥有瓶，亦不得言無瓶</w:t>
      </w:r>
      <w:r w:rsidRPr="00DA3BC7">
        <w:rPr>
          <w:rFonts w:ascii="Times New Roman" w:hAnsi="Times New Roman" w:hint="eastAsia"/>
        </w:rPr>
        <w:t>」</w:t>
      </w:r>
      <w:r w:rsidRPr="00DA3BC7">
        <w:rPr>
          <w:rFonts w:ascii="Times New Roman" w:hAnsi="Times New Roman"/>
          <w:vertAlign w:val="superscript"/>
        </w:rPr>
        <w:footnoteReference w:id="796"/>
      </w:r>
      <w:r w:rsidRPr="00DA3BC7">
        <w:rPr>
          <w:rFonts w:ascii="Times New Roman" w:hAnsi="Times New Roman" w:hint="eastAsia"/>
        </w:rPr>
        <w:t>，即是此義。</w:t>
      </w:r>
    </w:p>
    <w:p w:rsidR="00AA120F" w:rsidRPr="00DA3BC7" w:rsidRDefault="006A6D3C" w:rsidP="00AE3920">
      <w:pPr>
        <w:spacing w:beforeLines="30"/>
        <w:ind w:leftChars="350" w:left="840"/>
        <w:jc w:val="both"/>
        <w:rPr>
          <w:rFonts w:ascii="Times New Roman" w:hAnsi="Times New Roman"/>
        </w:rPr>
      </w:pPr>
      <w:r w:rsidRPr="006A6D3C">
        <w:rPr>
          <w:rFonts w:ascii="Times New Roman" w:hAnsi="Times New Roman" w:hint="eastAsia"/>
          <w:b/>
          <w:bCs/>
          <w:color w:val="FF0000"/>
          <w:sz w:val="20"/>
          <w:szCs w:val="20"/>
          <w:highlight w:val="yellow"/>
          <w:bdr w:val="single" w:sz="4" w:space="0" w:color="auto"/>
        </w:rPr>
        <w:t>（</w:t>
      </w:r>
      <w:r w:rsidRPr="006A6D3C">
        <w:rPr>
          <w:rFonts w:ascii="Times New Roman" w:hAnsi="Times New Roman" w:hint="eastAsia"/>
          <w:b/>
          <w:bCs/>
          <w:color w:val="FF0000"/>
          <w:sz w:val="20"/>
          <w:szCs w:val="20"/>
          <w:highlight w:val="yellow"/>
          <w:bdr w:val="single" w:sz="4" w:space="0" w:color="auto"/>
        </w:rPr>
        <w:t>B</w:t>
      </w:r>
      <w:r w:rsidR="00AA120F" w:rsidRPr="006A6D3C">
        <w:rPr>
          <w:rFonts w:ascii="Times New Roman" w:hAnsi="Times New Roman" w:hint="eastAsia"/>
          <w:b/>
          <w:bCs/>
          <w:color w:val="FF0000"/>
          <w:sz w:val="20"/>
          <w:szCs w:val="20"/>
          <w:highlight w:val="yellow"/>
          <w:bdr w:val="single" w:sz="4" w:space="0" w:color="auto"/>
        </w:rPr>
        <w:t>）</w:t>
      </w:r>
      <w:r w:rsidR="00F83364">
        <w:rPr>
          <w:rFonts w:ascii="Times New Roman" w:hAnsi="Times New Roman" w:hint="eastAsia"/>
          <w:b/>
          <w:bCs/>
          <w:color w:val="FF0000"/>
          <w:sz w:val="20"/>
          <w:szCs w:val="20"/>
          <w:highlight w:val="yellow"/>
          <w:bdr w:val="single" w:sz="4" w:space="0" w:color="auto"/>
        </w:rPr>
        <w:t>以「有情我法」為例</w:t>
      </w:r>
      <w:r w:rsidR="00AA120F" w:rsidRPr="00DA3BC7">
        <w:rPr>
          <w:rFonts w:ascii="Times New Roman" w:hAnsi="Times New Roman" w:hint="eastAsia"/>
          <w:bCs/>
          <w:sz w:val="20"/>
          <w:szCs w:val="20"/>
        </w:rPr>
        <w:t>（</w:t>
      </w:r>
      <w:r w:rsidR="00AA120F" w:rsidRPr="00DA3BC7">
        <w:rPr>
          <w:rFonts w:ascii="Times New Roman" w:hAnsi="Times New Roman" w:hint="eastAsia"/>
          <w:bCs/>
          <w:sz w:val="20"/>
          <w:szCs w:val="20"/>
        </w:rPr>
        <w:t>p.174</w:t>
      </w:r>
      <w:r w:rsidR="00AA120F" w:rsidRPr="00DA3BC7">
        <w:rPr>
          <w:rFonts w:ascii="Times New Roman" w:hAnsi="Times New Roman" w:hint="eastAsia"/>
          <w:bCs/>
          <w:sz w:val="20"/>
          <w:szCs w:val="20"/>
        </w:rPr>
        <w:t>）</w:t>
      </w:r>
    </w:p>
    <w:p w:rsidR="006A6D3C" w:rsidRDefault="00CE19D3" w:rsidP="00466F61">
      <w:pPr>
        <w:ind w:leftChars="350" w:left="840"/>
        <w:jc w:val="both"/>
        <w:rPr>
          <w:rFonts w:ascii="Times New Roman" w:hAnsi="Times New Roman"/>
        </w:rPr>
      </w:pPr>
      <w:r>
        <w:rPr>
          <w:rFonts w:ascii="Times New Roman" w:hAnsi="Times New Roman" w:hint="eastAsia"/>
        </w:rPr>
        <w:t>又《中論</w:t>
      </w:r>
      <w:r w:rsidR="00AA120F" w:rsidRPr="00DA3BC7">
        <w:rPr>
          <w:rFonts w:ascii="Times New Roman" w:hAnsi="Times New Roman" w:hint="eastAsia"/>
        </w:rPr>
        <w:t>》</w:t>
      </w:r>
      <w:r>
        <w:rPr>
          <w:rFonts w:ascii="Times New Roman" w:hAnsi="Times New Roman" w:hint="eastAsia"/>
        </w:rPr>
        <w:t>〈</w:t>
      </w:r>
      <w:r w:rsidRPr="00CE19D3">
        <w:rPr>
          <w:rFonts w:ascii="Times New Roman" w:hAnsi="Times New Roman" w:hint="eastAsia"/>
          <w:shd w:val="pct15" w:color="auto" w:fill="FFFFFF"/>
        </w:rPr>
        <w:t>27</w:t>
      </w:r>
      <w:r>
        <w:rPr>
          <w:rFonts w:ascii="Times New Roman" w:hAnsi="Times New Roman" w:hint="eastAsia"/>
        </w:rPr>
        <w:t xml:space="preserve"> </w:t>
      </w:r>
      <w:r w:rsidRPr="00DA3BC7">
        <w:rPr>
          <w:rFonts w:ascii="Times New Roman" w:hAnsi="Times New Roman" w:hint="eastAsia"/>
        </w:rPr>
        <w:t>觀邪見品</w:t>
      </w:r>
      <w:r>
        <w:rPr>
          <w:rFonts w:ascii="Times New Roman" w:hAnsi="Times New Roman" w:hint="eastAsia"/>
        </w:rPr>
        <w:t>〉</w:t>
      </w:r>
      <w:r w:rsidR="00AA120F" w:rsidRPr="00DA3BC7">
        <w:rPr>
          <w:rFonts w:ascii="Times New Roman" w:hAnsi="Times New Roman" w:hint="eastAsia"/>
        </w:rPr>
        <w:t>說：「</w:t>
      </w:r>
      <w:r w:rsidR="00AA120F" w:rsidRPr="00DA3BC7">
        <w:rPr>
          <w:rFonts w:ascii="標楷體" w:eastAsia="標楷體" w:hAnsi="標楷體" w:hint="eastAsia"/>
        </w:rPr>
        <w:t>今我不離受</w:t>
      </w:r>
      <w:r w:rsidR="00AA120F" w:rsidRPr="006A6D3C">
        <w:rPr>
          <w:rFonts w:ascii="新細明體" w:hAnsi="新細明體" w:hint="eastAsia"/>
          <w:sz w:val="20"/>
          <w:szCs w:val="20"/>
        </w:rPr>
        <w:t>（取陰）</w:t>
      </w:r>
      <w:r w:rsidR="00AA120F" w:rsidRPr="00DA3BC7">
        <w:rPr>
          <w:rFonts w:ascii="標楷體" w:eastAsia="標楷體" w:hAnsi="標楷體" w:hint="eastAsia"/>
        </w:rPr>
        <w:t>，亦不但是受，非無受，非無，此即決定義</w:t>
      </w:r>
      <w:r w:rsidR="00AA120F" w:rsidRPr="00DA3BC7">
        <w:rPr>
          <w:rFonts w:ascii="Times New Roman" w:hAnsi="Times New Roman" w:hint="eastAsia"/>
        </w:rPr>
        <w:t>。」</w:t>
      </w:r>
      <w:r w:rsidR="00AA120F" w:rsidRPr="00DA3BC7">
        <w:rPr>
          <w:rFonts w:ascii="Times New Roman" w:hAnsi="Times New Roman"/>
          <w:vertAlign w:val="superscript"/>
        </w:rPr>
        <w:footnoteReference w:id="797"/>
      </w:r>
    </w:p>
    <w:p w:rsidR="00475063" w:rsidRDefault="00AA120F" w:rsidP="00466F61">
      <w:pPr>
        <w:ind w:leftChars="350" w:left="840"/>
        <w:jc w:val="both"/>
        <w:rPr>
          <w:rFonts w:ascii="Times New Roman" w:hAnsi="Times New Roman"/>
        </w:rPr>
      </w:pPr>
      <w:r w:rsidRPr="00DA3BC7">
        <w:rPr>
          <w:rFonts w:ascii="Times New Roman" w:hAnsi="Times New Roman" w:hint="eastAsia"/>
        </w:rPr>
        <w:lastRenderedPageBreak/>
        <w:t>處處經中都說無我，眾生所執之我，不過是五蘊和合的假相而已。</w:t>
      </w:r>
    </w:p>
    <w:p w:rsidR="00AA120F" w:rsidRPr="00DA3BC7" w:rsidRDefault="00AA120F" w:rsidP="00466F61">
      <w:pPr>
        <w:ind w:leftChars="350" w:left="840"/>
        <w:jc w:val="both"/>
        <w:rPr>
          <w:rFonts w:ascii="Times New Roman" w:hAnsi="Times New Roman"/>
        </w:rPr>
      </w:pPr>
      <w:r w:rsidRPr="00DA3BC7">
        <w:rPr>
          <w:rFonts w:ascii="Times New Roman" w:hAnsi="Times New Roman" w:hint="eastAsia"/>
        </w:rPr>
        <w:t>於是有人誤以我為色等五蘊實法所合成，我是無，而色等法可有。</w:t>
      </w:r>
    </w:p>
    <w:p w:rsidR="00AA120F" w:rsidRPr="00DA3BC7" w:rsidRDefault="00AA120F" w:rsidP="00AE3920">
      <w:pPr>
        <w:spacing w:beforeLines="20"/>
        <w:ind w:leftChars="350" w:left="840"/>
        <w:jc w:val="both"/>
        <w:rPr>
          <w:rFonts w:ascii="Times New Roman" w:hAnsi="Times New Roman"/>
        </w:rPr>
      </w:pPr>
      <w:r w:rsidRPr="00DA3BC7">
        <w:rPr>
          <w:rFonts w:ascii="Times New Roman" w:hAnsi="Times New Roman" w:hint="eastAsia"/>
        </w:rPr>
        <w:t>中觀者說：五蘊和合，實（自性）我雖無，如幻的假我可有。</w:t>
      </w:r>
      <w:r w:rsidRPr="00DA3BC7">
        <w:rPr>
          <w:rFonts w:ascii="Times New Roman" w:hAnsi="Times New Roman" w:hint="eastAsia"/>
          <w:b/>
        </w:rPr>
        <w:t>假，不是什麼都沒有，可有假我的作用起滅等</w:t>
      </w:r>
      <w:r w:rsidRPr="00DA3BC7">
        <w:rPr>
          <w:rFonts w:ascii="Times New Roman" w:hAnsi="Times New Roman" w:hint="eastAsia"/>
        </w:rPr>
        <w:t>。但</w:t>
      </w:r>
      <w:r w:rsidRPr="00DA3BC7">
        <w:rPr>
          <w:rFonts w:ascii="Times New Roman" w:hAnsi="Times New Roman" w:hint="eastAsia"/>
          <w:b/>
        </w:rPr>
        <w:t>依五蘊而成立，五蘊變化，我亦隨之變化；假我不即五蘊亦不離五蘊</w:t>
      </w:r>
      <w:r w:rsidRPr="00DA3BC7">
        <w:rPr>
          <w:rFonts w:ascii="Times New Roman" w:hAnsi="Times New Roman" w:hint="eastAsia"/>
        </w:rPr>
        <w:t>。</w:t>
      </w:r>
    </w:p>
    <w:p w:rsidR="00AA120F" w:rsidRPr="00DA3BC7" w:rsidRDefault="00AA120F" w:rsidP="00AE3920">
      <w:pPr>
        <w:spacing w:beforeLines="20"/>
        <w:ind w:leftChars="350" w:left="840"/>
        <w:jc w:val="both"/>
        <w:rPr>
          <w:rFonts w:ascii="Times New Roman" w:hAnsi="Times New Roman"/>
          <w:b/>
        </w:rPr>
      </w:pPr>
      <w:r w:rsidRPr="00DA3BC7">
        <w:rPr>
          <w:rFonts w:ascii="Times New Roman" w:hAnsi="Times New Roman" w:hint="eastAsia"/>
        </w:rPr>
        <w:t>頌文說「</w:t>
      </w:r>
      <w:r w:rsidRPr="00DA3BC7">
        <w:rPr>
          <w:rFonts w:ascii="標楷體" w:eastAsia="標楷體" w:hAnsi="標楷體" w:hint="eastAsia"/>
        </w:rPr>
        <w:t>非無，此即決定義</w:t>
      </w:r>
      <w:r w:rsidRPr="00DA3BC7">
        <w:rPr>
          <w:rFonts w:ascii="Times New Roman" w:hAnsi="Times New Roman" w:hint="eastAsia"/>
        </w:rPr>
        <w:t>」，</w:t>
      </w:r>
      <w:r w:rsidRPr="00DA3BC7">
        <w:rPr>
          <w:rFonts w:ascii="Times New Roman" w:hAnsi="Times New Roman" w:hint="eastAsia"/>
          <w:b/>
        </w:rPr>
        <w:t>在佛法的緣起因果法裡，我與法，雖中無實性可得，然非不可安立因果相，因果是決定如此的。</w:t>
      </w:r>
    </w:p>
    <w:p w:rsidR="00AA120F" w:rsidRPr="00DA3BC7" w:rsidRDefault="00475063" w:rsidP="00AE3920">
      <w:pPr>
        <w:spacing w:beforeLines="30"/>
        <w:ind w:leftChars="300" w:left="720"/>
        <w:jc w:val="both"/>
        <w:rPr>
          <w:rFonts w:ascii="Times New Roman" w:hAnsi="Times New Roman"/>
          <w:b/>
          <w:bCs/>
          <w:sz w:val="20"/>
          <w:szCs w:val="20"/>
          <w:bdr w:val="single" w:sz="4" w:space="0" w:color="auto"/>
        </w:rPr>
      </w:pPr>
      <w:r w:rsidRPr="00475063">
        <w:rPr>
          <w:rFonts w:ascii="Times New Roman" w:hAnsi="Times New Roman" w:hint="eastAsia"/>
          <w:b/>
          <w:bCs/>
          <w:color w:val="FF0000"/>
          <w:sz w:val="20"/>
          <w:szCs w:val="20"/>
          <w:highlight w:val="yellow"/>
          <w:bdr w:val="single" w:sz="4" w:space="0" w:color="auto"/>
        </w:rPr>
        <w:t>B</w:t>
      </w:r>
      <w:r w:rsidR="00466F61">
        <w:rPr>
          <w:rFonts w:ascii="Times New Roman" w:hAnsi="Times New Roman" w:hint="eastAsia"/>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約「理」釋</w:t>
      </w:r>
      <w:r w:rsidR="00AA120F" w:rsidRPr="00DA3BC7">
        <w:rPr>
          <w:rFonts w:ascii="Times New Roman" w:hAnsi="Times New Roman" w:hint="eastAsia"/>
          <w:bCs/>
          <w:sz w:val="20"/>
          <w:szCs w:val="20"/>
        </w:rPr>
        <w:t>（</w:t>
      </w:r>
      <w:r w:rsidR="00AA120F" w:rsidRPr="00DA3BC7">
        <w:rPr>
          <w:rFonts w:ascii="Times New Roman" w:hAnsi="Times New Roman" w:hint="eastAsia"/>
          <w:bCs/>
          <w:sz w:val="20"/>
          <w:szCs w:val="20"/>
        </w:rPr>
        <w:t>pp.174-175</w:t>
      </w:r>
      <w:r w:rsidR="00AA120F" w:rsidRPr="00DA3BC7">
        <w:rPr>
          <w:rFonts w:ascii="Times New Roman" w:hAnsi="Times New Roman" w:hint="eastAsia"/>
          <w:bCs/>
          <w:sz w:val="20"/>
          <w:szCs w:val="20"/>
        </w:rPr>
        <w:t>）</w:t>
      </w:r>
    </w:p>
    <w:p w:rsidR="00AA120F" w:rsidRPr="00DA3BC7" w:rsidRDefault="00AA120F" w:rsidP="00466F61">
      <w:pPr>
        <w:ind w:leftChars="300" w:left="720"/>
        <w:jc w:val="both"/>
        <w:rPr>
          <w:rFonts w:ascii="Times New Roman" w:hAnsi="Times New Roman"/>
          <w:bCs/>
        </w:rPr>
      </w:pPr>
      <w:r w:rsidRPr="00DA3BC7">
        <w:rPr>
          <w:rFonts w:ascii="Times New Roman" w:hAnsi="Times New Roman" w:hint="eastAsia"/>
          <w:bCs/>
        </w:rPr>
        <w:t>因緣和合生果，與算學的二數相加不同：一加一等於二，二與一和一的量相同，但在具體的因果事實上，就不是這樣了。五蘊和合為假我，假我不能視為五蘊的總和而已。</w:t>
      </w:r>
    </w:p>
    <w:p w:rsidR="00AA120F" w:rsidRPr="00DA3BC7" w:rsidRDefault="00AA120F" w:rsidP="00AE3920">
      <w:pPr>
        <w:spacing w:beforeLines="20"/>
        <w:ind w:leftChars="300" w:left="720"/>
        <w:jc w:val="both"/>
        <w:rPr>
          <w:rFonts w:ascii="Times New Roman" w:hAnsi="Times New Roman"/>
          <w:bCs/>
        </w:rPr>
      </w:pPr>
      <w:r w:rsidRPr="00DA3BC7">
        <w:rPr>
          <w:rFonts w:ascii="Times New Roman" w:hAnsi="Times New Roman" w:hint="eastAsia"/>
          <w:bCs/>
        </w:rPr>
        <w:t>此種假我，雖無實體可得，但此用確有與五蘊不同處。</w:t>
      </w:r>
    </w:p>
    <w:p w:rsidR="00AA120F" w:rsidRPr="00DA3BC7" w:rsidRDefault="00AA120F" w:rsidP="00AE3920">
      <w:pPr>
        <w:spacing w:beforeLines="20"/>
        <w:ind w:leftChars="300" w:left="720"/>
        <w:jc w:val="both"/>
        <w:rPr>
          <w:rFonts w:ascii="Times New Roman" w:hAnsi="Times New Roman"/>
          <w:bCs/>
        </w:rPr>
      </w:pPr>
      <w:r w:rsidRPr="00DA3BC7">
        <w:rPr>
          <w:rFonts w:ascii="Times New Roman" w:hAnsi="Times New Roman" w:hint="eastAsia"/>
          <w:bCs/>
        </w:rPr>
        <w:t>這如幾條直線，別別的散立，那不過是直線；如合成三角形或方形，即各有特性與作用，不能說三角形或方形即是幾條直線，但並不離直線而有。</w:t>
      </w:r>
    </w:p>
    <w:p w:rsidR="00AA120F" w:rsidRPr="00DA3BC7" w:rsidRDefault="00AA120F" w:rsidP="00AE3920">
      <w:pPr>
        <w:spacing w:beforeLines="20"/>
        <w:ind w:leftChars="300" w:left="720"/>
        <w:jc w:val="both"/>
        <w:rPr>
          <w:rFonts w:ascii="Times New Roman" w:hAnsi="Times New Roman"/>
          <w:bCs/>
        </w:rPr>
      </w:pPr>
      <w:r w:rsidRPr="00DA3BC7">
        <w:rPr>
          <w:rFonts w:ascii="Times New Roman" w:hAnsi="Times New Roman" w:hint="eastAsia"/>
          <w:bCs/>
        </w:rPr>
        <w:t>佛法的因緣生果也如此，</w:t>
      </w:r>
      <w:r w:rsidRPr="00DA3BC7">
        <w:rPr>
          <w:rFonts w:ascii="Times New Roman" w:hAnsi="Times New Roman" w:hint="eastAsia"/>
          <w:b/>
          <w:bCs/>
        </w:rPr>
        <w:t>果不即是因緣，亦不離因緣，這是中觀宗的因果特義</w:t>
      </w:r>
      <w:r w:rsidRPr="00DA3BC7">
        <w:rPr>
          <w:rFonts w:ascii="Times New Roman" w:hAnsi="Times New Roman" w:hint="eastAsia"/>
          <w:bCs/>
        </w:rPr>
        <w:t>。</w:t>
      </w:r>
    </w:p>
    <w:p w:rsidR="00AA120F" w:rsidRPr="00DA3BC7" w:rsidRDefault="00AA120F" w:rsidP="00AE3920">
      <w:pPr>
        <w:spacing w:beforeLines="20"/>
        <w:ind w:leftChars="300" w:left="720"/>
        <w:jc w:val="both"/>
        <w:rPr>
          <w:rFonts w:ascii="Times New Roman" w:hAnsi="Times New Roman"/>
          <w:bCs/>
        </w:rPr>
      </w:pPr>
      <w:r w:rsidRPr="00DA3BC7">
        <w:rPr>
          <w:rFonts w:ascii="Times New Roman" w:hAnsi="Times New Roman" w:hint="eastAsia"/>
          <w:b/>
          <w:bCs/>
        </w:rPr>
        <w:t>不離因緣</w:t>
      </w:r>
      <w:r w:rsidRPr="00DA3BC7">
        <w:rPr>
          <w:rFonts w:ascii="Times New Roman" w:hAnsi="Times New Roman" w:hint="eastAsia"/>
          <w:bCs/>
        </w:rPr>
        <w:t>，所以即因緣求不可得，離因緣求不可得，</w:t>
      </w:r>
      <w:r w:rsidRPr="00DA3BC7">
        <w:rPr>
          <w:rFonts w:ascii="Times New Roman" w:hAnsi="Times New Roman" w:hint="eastAsia"/>
          <w:b/>
          <w:bCs/>
        </w:rPr>
        <w:t>果的自性是決不可得的</w:t>
      </w:r>
      <w:r w:rsidRPr="00DA3BC7">
        <w:rPr>
          <w:rFonts w:ascii="Times New Roman" w:hAnsi="Times New Roman" w:hint="eastAsia"/>
          <w:bCs/>
        </w:rPr>
        <w:t>。</w:t>
      </w:r>
    </w:p>
    <w:p w:rsidR="00AA120F" w:rsidRPr="00DA3BC7" w:rsidRDefault="00AA120F" w:rsidP="00AE3920">
      <w:pPr>
        <w:spacing w:afterLines="50"/>
        <w:ind w:leftChars="300" w:left="720"/>
        <w:jc w:val="both"/>
        <w:rPr>
          <w:rFonts w:ascii="Times New Roman" w:hAnsi="Times New Roman"/>
          <w:bCs/>
        </w:rPr>
      </w:pPr>
      <w:r w:rsidRPr="00DA3BC7">
        <w:rPr>
          <w:rFonts w:ascii="Times New Roman" w:hAnsi="Times New Roman" w:hint="eastAsia"/>
          <w:b/>
          <w:bCs/>
        </w:rPr>
        <w:t>不即因緣</w:t>
      </w:r>
      <w:r w:rsidRPr="00DA3BC7">
        <w:rPr>
          <w:rFonts w:ascii="Times New Roman" w:hAnsi="Times New Roman" w:hint="eastAsia"/>
          <w:bCs/>
        </w:rPr>
        <w:t>，所以如幻的果事、用相宛然；甚至</w:t>
      </w:r>
      <w:r w:rsidRPr="00DA3BC7">
        <w:rPr>
          <w:rFonts w:ascii="Times New Roman" w:hAnsi="Times New Roman" w:hint="eastAsia"/>
          <w:b/>
          <w:bCs/>
        </w:rPr>
        <w:t>可約用相的特色，相對的假名為自性</w:t>
      </w:r>
      <w:r w:rsidRPr="00DA3BC7">
        <w:rPr>
          <w:rFonts w:ascii="Times New Roman" w:hAnsi="Times New Roman" w:hint="eastAsia"/>
          <w:bCs/>
        </w:rPr>
        <w:t>。</w:t>
      </w:r>
    </w:p>
    <w:p w:rsidR="00AA120F" w:rsidRPr="00DA3BC7" w:rsidRDefault="00475063" w:rsidP="00AE3920">
      <w:pPr>
        <w:spacing w:beforeLines="30"/>
        <w:ind w:leftChars="150" w:left="360"/>
        <w:jc w:val="both"/>
        <w:rPr>
          <w:rFonts w:ascii="Times New Roman" w:hAnsi="Times New Roman"/>
          <w:b/>
          <w:bCs/>
          <w:sz w:val="20"/>
          <w:szCs w:val="26"/>
        </w:rPr>
      </w:pPr>
      <w:r w:rsidRPr="00475063">
        <w:rPr>
          <w:rFonts w:ascii="Times New Roman" w:hAnsi="Times New Roman"/>
          <w:b/>
          <w:color w:val="FF0000"/>
          <w:sz w:val="20"/>
          <w:szCs w:val="20"/>
          <w:highlight w:val="yellow"/>
          <w:bdr w:val="single" w:sz="4" w:space="0" w:color="auto"/>
        </w:rPr>
        <w:t>（</w:t>
      </w:r>
      <w:r w:rsidRPr="00475063">
        <w:rPr>
          <w:rFonts w:ascii="Times New Roman" w:hAnsi="Times New Roman" w:hint="eastAsia"/>
          <w:b/>
          <w:color w:val="FF0000"/>
          <w:sz w:val="20"/>
          <w:szCs w:val="20"/>
          <w:highlight w:val="yellow"/>
          <w:bdr w:val="single" w:sz="4" w:space="0" w:color="auto"/>
        </w:rPr>
        <w:t>二</w:t>
      </w:r>
      <w:r w:rsidRPr="00475063">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合辨：因果之同異時態</w:t>
      </w:r>
      <w:r w:rsidR="00AA120F" w:rsidRPr="00DA3BC7">
        <w:rPr>
          <w:rFonts w:ascii="Times New Roman" w:hAnsi="Times New Roman" w:hint="eastAsia"/>
          <w:bCs/>
          <w:sz w:val="20"/>
          <w:szCs w:val="26"/>
        </w:rPr>
        <w:t>（</w:t>
      </w:r>
      <w:r w:rsidR="00AA120F" w:rsidRPr="00DA3BC7">
        <w:rPr>
          <w:rFonts w:ascii="Times New Roman" w:hAnsi="Times New Roman" w:hint="eastAsia"/>
          <w:bCs/>
          <w:sz w:val="20"/>
          <w:szCs w:val="26"/>
        </w:rPr>
        <w:t>pp.175-176</w:t>
      </w:r>
      <w:r w:rsidR="00AA120F" w:rsidRPr="00DA3BC7">
        <w:rPr>
          <w:rFonts w:ascii="Times New Roman" w:hAnsi="Times New Roman" w:hint="eastAsia"/>
          <w:bCs/>
          <w:sz w:val="20"/>
          <w:szCs w:val="26"/>
        </w:rPr>
        <w:t>）</w:t>
      </w:r>
    </w:p>
    <w:p w:rsidR="00AA120F" w:rsidRPr="00DA3BC7" w:rsidRDefault="00475063" w:rsidP="00466F61">
      <w:pPr>
        <w:ind w:leftChars="200" w:left="480"/>
        <w:jc w:val="both"/>
        <w:rPr>
          <w:rFonts w:ascii="Times New Roman" w:hAnsi="Times New Roman"/>
          <w:b/>
          <w:bCs/>
          <w:sz w:val="20"/>
          <w:szCs w:val="20"/>
          <w:bdr w:val="single" w:sz="4" w:space="0" w:color="auto"/>
        </w:rPr>
      </w:pPr>
      <w:r w:rsidRPr="00475063">
        <w:rPr>
          <w:rFonts w:ascii="Times New Roman" w:hAnsi="Times New Roman" w:hint="eastAsia"/>
          <w:b/>
          <w:bCs/>
          <w:color w:val="FF0000"/>
          <w:sz w:val="20"/>
          <w:szCs w:val="20"/>
          <w:highlight w:val="yellow"/>
          <w:bdr w:val="single" w:sz="4" w:space="0" w:color="auto"/>
        </w:rPr>
        <w:t>1</w:t>
      </w:r>
      <w:r w:rsidRPr="00475063">
        <w:rPr>
          <w:rFonts w:ascii="Times New Roman" w:hAnsi="Times New Roman" w:hint="eastAsia"/>
          <w:b/>
          <w:bCs/>
          <w:color w:val="FF0000"/>
          <w:sz w:val="20"/>
          <w:szCs w:val="20"/>
          <w:highlight w:val="yellow"/>
          <w:bdr w:val="single" w:sz="4" w:space="0" w:color="auto"/>
        </w:rPr>
        <w:t>、概述</w:t>
      </w:r>
      <w:r w:rsidR="00AA120F" w:rsidRPr="00DA3BC7">
        <w:rPr>
          <w:rFonts w:ascii="Times New Roman" w:hAnsi="Times New Roman" w:hint="eastAsia"/>
          <w:bCs/>
          <w:sz w:val="20"/>
          <w:szCs w:val="20"/>
        </w:rPr>
        <w:t>（</w:t>
      </w:r>
      <w:r w:rsidR="00AA120F" w:rsidRPr="00DA3BC7">
        <w:rPr>
          <w:rFonts w:ascii="Times New Roman" w:hAnsi="Times New Roman" w:hint="eastAsia"/>
          <w:bCs/>
          <w:sz w:val="20"/>
          <w:szCs w:val="20"/>
        </w:rPr>
        <w:t>p.175</w:t>
      </w:r>
      <w:r w:rsidR="00AA120F" w:rsidRPr="00DA3BC7">
        <w:rPr>
          <w:rFonts w:ascii="Times New Roman" w:hAnsi="Times New Roman" w:hint="eastAsia"/>
          <w:bCs/>
          <w:sz w:val="20"/>
          <w:szCs w:val="20"/>
        </w:rPr>
        <w:t>）</w:t>
      </w:r>
    </w:p>
    <w:p w:rsidR="00AA120F" w:rsidRPr="00DA3BC7" w:rsidRDefault="00AA120F" w:rsidP="00466F61">
      <w:pPr>
        <w:ind w:leftChars="200" w:left="480"/>
        <w:jc w:val="both"/>
      </w:pPr>
      <w:r w:rsidRPr="00DA3BC7">
        <w:rPr>
          <w:rFonts w:hint="eastAsia"/>
          <w:b/>
        </w:rPr>
        <w:lastRenderedPageBreak/>
        <w:t>前後性</w:t>
      </w:r>
      <w:r w:rsidRPr="00DA3BC7">
        <w:rPr>
          <w:rFonts w:hint="eastAsia"/>
        </w:rPr>
        <w:t>的因果，是約</w:t>
      </w:r>
      <w:r w:rsidRPr="00DA3BC7">
        <w:rPr>
          <w:rFonts w:hint="eastAsia"/>
          <w:b/>
        </w:rPr>
        <w:t>異時因果</w:t>
      </w:r>
      <w:r w:rsidRPr="00DA3BC7">
        <w:rPr>
          <w:rFonts w:hint="eastAsia"/>
        </w:rPr>
        <w:t>說的；</w:t>
      </w:r>
    </w:p>
    <w:p w:rsidR="00AA120F" w:rsidRPr="00DA3BC7" w:rsidRDefault="00AA120F" w:rsidP="00466F61">
      <w:pPr>
        <w:ind w:leftChars="200" w:left="480"/>
        <w:jc w:val="both"/>
      </w:pPr>
      <w:r w:rsidRPr="00DA3BC7">
        <w:rPr>
          <w:rFonts w:hint="eastAsia"/>
          <w:b/>
        </w:rPr>
        <w:t>和合性</w:t>
      </w:r>
      <w:r w:rsidRPr="00DA3BC7">
        <w:rPr>
          <w:rFonts w:hint="eastAsia"/>
        </w:rPr>
        <w:t>的因果，是約</w:t>
      </w:r>
      <w:r w:rsidRPr="00DA3BC7">
        <w:rPr>
          <w:rFonts w:hint="eastAsia"/>
          <w:b/>
        </w:rPr>
        <w:t>同時因果</w:t>
      </w:r>
      <w:r w:rsidRPr="00DA3BC7">
        <w:rPr>
          <w:rFonts w:hint="eastAsia"/>
        </w:rPr>
        <w:t>而說的。</w:t>
      </w:r>
    </w:p>
    <w:p w:rsidR="00475063" w:rsidRDefault="00475063" w:rsidP="00AE3920">
      <w:pPr>
        <w:spacing w:beforeLines="30"/>
        <w:ind w:leftChars="200" w:left="480"/>
        <w:jc w:val="both"/>
        <w:rPr>
          <w:rFonts w:ascii="Times New Roman" w:hAnsi="Times New Roman"/>
          <w:bCs/>
          <w:sz w:val="20"/>
          <w:szCs w:val="20"/>
        </w:rPr>
      </w:pPr>
      <w:r>
        <w:rPr>
          <w:rFonts w:ascii="Times New Roman" w:hAnsi="Times New Roman" w:hint="eastAsia"/>
          <w:b/>
          <w:color w:val="FF0000"/>
          <w:sz w:val="20"/>
          <w:szCs w:val="20"/>
          <w:highlight w:val="yellow"/>
          <w:bdr w:val="single" w:sz="4" w:space="0" w:color="auto"/>
        </w:rPr>
        <w:t>2</w:t>
      </w:r>
      <w:r>
        <w:rPr>
          <w:rFonts w:ascii="Times New Roman" w:hAnsi="Times New Roman" w:hint="eastAsia"/>
          <w:b/>
          <w:color w:val="FF0000"/>
          <w:sz w:val="20"/>
          <w:szCs w:val="20"/>
          <w:highlight w:val="yellow"/>
          <w:bdr w:val="single" w:sz="4" w:space="0" w:color="auto"/>
        </w:rPr>
        <w:t>、詳辨</w:t>
      </w:r>
      <w:r w:rsidR="00A45B7F" w:rsidRPr="00DA3BC7">
        <w:rPr>
          <w:rFonts w:ascii="Times New Roman" w:hAnsi="Times New Roman" w:hint="eastAsia"/>
          <w:bCs/>
          <w:sz w:val="20"/>
          <w:szCs w:val="20"/>
        </w:rPr>
        <w:t>（</w:t>
      </w:r>
      <w:r w:rsidR="00A45B7F" w:rsidRPr="00DA3BC7">
        <w:rPr>
          <w:rFonts w:ascii="Times New Roman" w:hAnsi="Times New Roman" w:hint="eastAsia"/>
          <w:bCs/>
          <w:sz w:val="20"/>
          <w:szCs w:val="20"/>
        </w:rPr>
        <w:t>pp.175-176</w:t>
      </w:r>
      <w:r w:rsidR="00A45B7F" w:rsidRPr="00DA3BC7">
        <w:rPr>
          <w:rFonts w:ascii="Times New Roman" w:hAnsi="Times New Roman" w:hint="eastAsia"/>
          <w:bCs/>
          <w:sz w:val="20"/>
          <w:szCs w:val="20"/>
        </w:rPr>
        <w:t>）</w:t>
      </w:r>
    </w:p>
    <w:p w:rsidR="00AA120F" w:rsidRPr="00475063" w:rsidRDefault="00475063" w:rsidP="00466F61">
      <w:pPr>
        <w:ind w:leftChars="250" w:left="600"/>
        <w:jc w:val="both"/>
        <w:rPr>
          <w:rFonts w:ascii="Times New Roman" w:hAnsi="Times New Roman"/>
          <w:b/>
          <w:bCs/>
          <w:color w:val="FF0000"/>
          <w:sz w:val="20"/>
          <w:szCs w:val="20"/>
          <w:highlight w:val="yellow"/>
          <w:bdr w:val="single" w:sz="4" w:space="0" w:color="auto"/>
        </w:rPr>
      </w:pPr>
      <w:r w:rsidRPr="00475063">
        <w:rPr>
          <w:rFonts w:ascii="Times New Roman" w:hAnsi="Times New Roman"/>
          <w:b/>
          <w:color w:val="FF0000"/>
          <w:sz w:val="20"/>
          <w:szCs w:val="20"/>
          <w:highlight w:val="yellow"/>
          <w:bdr w:val="single" w:sz="4" w:space="0" w:color="auto"/>
        </w:rPr>
        <w:t>（</w:t>
      </w:r>
      <w:r w:rsidRPr="00475063">
        <w:rPr>
          <w:rFonts w:ascii="Times New Roman" w:hAnsi="Times New Roman" w:hint="eastAsia"/>
          <w:b/>
          <w:color w:val="FF0000"/>
          <w:sz w:val="20"/>
          <w:szCs w:val="20"/>
          <w:highlight w:val="yellow"/>
          <w:bdr w:val="single" w:sz="4" w:space="0" w:color="auto"/>
        </w:rPr>
        <w:t>1</w:t>
      </w:r>
      <w:r w:rsidRPr="00475063">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部派之說</w:t>
      </w:r>
      <w:r w:rsidR="00A45B7F" w:rsidRPr="00DA3BC7">
        <w:rPr>
          <w:rFonts w:ascii="Times New Roman" w:hAnsi="Times New Roman" w:hint="eastAsia"/>
          <w:bCs/>
          <w:sz w:val="20"/>
          <w:szCs w:val="20"/>
        </w:rPr>
        <w:t>（</w:t>
      </w:r>
      <w:r w:rsidR="00A45B7F" w:rsidRPr="00DA3BC7">
        <w:rPr>
          <w:rFonts w:ascii="Times New Roman" w:hAnsi="Times New Roman" w:hint="eastAsia"/>
          <w:bCs/>
          <w:sz w:val="20"/>
          <w:szCs w:val="20"/>
        </w:rPr>
        <w:t>p.175</w:t>
      </w:r>
      <w:r w:rsidR="00A45B7F" w:rsidRPr="00DA3BC7">
        <w:rPr>
          <w:rFonts w:ascii="Times New Roman" w:hAnsi="Times New Roman" w:hint="eastAsia"/>
          <w:bCs/>
          <w:sz w:val="20"/>
          <w:szCs w:val="20"/>
        </w:rPr>
        <w:t>）</w:t>
      </w:r>
    </w:p>
    <w:p w:rsidR="00AA120F" w:rsidRPr="00DA3BC7" w:rsidRDefault="00AA120F" w:rsidP="00466F61">
      <w:pPr>
        <w:ind w:leftChars="250" w:left="600"/>
        <w:jc w:val="both"/>
      </w:pPr>
      <w:r w:rsidRPr="00DA3BC7">
        <w:rPr>
          <w:rFonts w:hint="eastAsia"/>
          <w:b/>
        </w:rPr>
        <w:t>薩婆多部</w:t>
      </w:r>
      <w:r w:rsidRPr="00DA3BC7">
        <w:rPr>
          <w:rFonts w:hint="eastAsia"/>
        </w:rPr>
        <w:t>講</w:t>
      </w:r>
      <w:r w:rsidRPr="00DA3BC7">
        <w:rPr>
          <w:rFonts w:hint="eastAsia"/>
          <w:b/>
        </w:rPr>
        <w:t>同時因果、異時因果</w:t>
      </w:r>
      <w:r w:rsidR="00475063">
        <w:rPr>
          <w:rFonts w:hint="eastAsia"/>
          <w:color w:val="FF0000"/>
          <w:highlight w:val="yellow"/>
        </w:rPr>
        <w:t>，</w:t>
      </w:r>
    </w:p>
    <w:p w:rsidR="00AA120F" w:rsidRPr="00DA3BC7" w:rsidRDefault="00AA120F" w:rsidP="00466F61">
      <w:pPr>
        <w:ind w:leftChars="250" w:left="600"/>
        <w:jc w:val="both"/>
      </w:pPr>
      <w:r w:rsidRPr="00DA3BC7">
        <w:rPr>
          <w:rFonts w:hint="eastAsia"/>
          <w:b/>
        </w:rPr>
        <w:t>經部</w:t>
      </w:r>
      <w:r w:rsidRPr="00DA3BC7">
        <w:rPr>
          <w:rFonts w:hint="eastAsia"/>
        </w:rPr>
        <w:t>但說以前引後，不說因果同時。</w:t>
      </w:r>
    </w:p>
    <w:p w:rsidR="00AA120F" w:rsidRPr="00DA3BC7" w:rsidRDefault="00AA120F" w:rsidP="00AE3920">
      <w:pPr>
        <w:spacing w:beforeLines="30"/>
        <w:ind w:leftChars="250" w:left="600"/>
        <w:jc w:val="both"/>
        <w:rPr>
          <w:rFonts w:ascii="Times New Roman" w:hAnsi="Times New Roman"/>
          <w:b/>
          <w:bCs/>
          <w:sz w:val="20"/>
          <w:szCs w:val="20"/>
          <w:bdr w:val="single" w:sz="4" w:space="0" w:color="auto"/>
        </w:rPr>
      </w:pPr>
      <w:r w:rsidRPr="00A45B7F">
        <w:rPr>
          <w:rFonts w:ascii="Times New Roman" w:hAnsi="Times New Roman"/>
          <w:b/>
          <w:color w:val="FF0000"/>
          <w:sz w:val="20"/>
          <w:szCs w:val="20"/>
          <w:highlight w:val="yellow"/>
          <w:bdr w:val="single" w:sz="4" w:space="0" w:color="auto"/>
        </w:rPr>
        <w:t>（</w:t>
      </w:r>
      <w:r w:rsidR="00475063" w:rsidRPr="00A45B7F">
        <w:rPr>
          <w:rFonts w:ascii="Times New Roman" w:hAnsi="Times New Roman" w:hint="eastAsia"/>
          <w:b/>
          <w:color w:val="FF0000"/>
          <w:sz w:val="20"/>
          <w:szCs w:val="20"/>
          <w:highlight w:val="yellow"/>
          <w:bdr w:val="single" w:sz="4" w:space="0" w:color="auto"/>
        </w:rPr>
        <w:t>2</w:t>
      </w:r>
      <w:r w:rsidRPr="00A45B7F">
        <w:rPr>
          <w:rFonts w:ascii="Times New Roman" w:hAnsi="Times New Roman"/>
          <w:b/>
          <w:color w:val="FF0000"/>
          <w:sz w:val="20"/>
          <w:szCs w:val="20"/>
          <w:highlight w:val="yellow"/>
          <w:bdr w:val="single" w:sz="4" w:space="0" w:color="auto"/>
        </w:rPr>
        <w:t>）</w:t>
      </w:r>
      <w:r w:rsidRPr="00DA3BC7">
        <w:rPr>
          <w:rFonts w:ascii="Times New Roman" w:hAnsi="Times New Roman" w:hint="eastAsia"/>
          <w:b/>
          <w:bCs/>
          <w:sz w:val="20"/>
          <w:szCs w:val="20"/>
          <w:bdr w:val="single" w:sz="4" w:space="0" w:color="auto"/>
        </w:rPr>
        <w:t>中觀</w:t>
      </w:r>
      <w:r w:rsidR="00A45B7F">
        <w:rPr>
          <w:rFonts w:ascii="Times New Roman" w:hAnsi="Times New Roman" w:hint="eastAsia"/>
          <w:b/>
          <w:color w:val="FF0000"/>
          <w:sz w:val="20"/>
          <w:szCs w:val="20"/>
          <w:highlight w:val="yellow"/>
          <w:bdr w:val="single" w:sz="4" w:space="0" w:color="auto"/>
        </w:rPr>
        <w:t>之說</w:t>
      </w:r>
      <w:r w:rsidRPr="00DA3BC7">
        <w:rPr>
          <w:rFonts w:ascii="Times New Roman" w:hAnsi="Times New Roman" w:hint="eastAsia"/>
          <w:bCs/>
          <w:sz w:val="20"/>
          <w:szCs w:val="20"/>
        </w:rPr>
        <w:t>（</w:t>
      </w:r>
      <w:r w:rsidRPr="00DA3BC7">
        <w:rPr>
          <w:rFonts w:ascii="Times New Roman" w:hAnsi="Times New Roman" w:hint="eastAsia"/>
          <w:bCs/>
          <w:sz w:val="20"/>
          <w:szCs w:val="20"/>
        </w:rPr>
        <w:t>p.175</w:t>
      </w:r>
      <w:r w:rsidRPr="00DA3BC7">
        <w:rPr>
          <w:rFonts w:ascii="Times New Roman" w:hAnsi="Times New Roman" w:hint="eastAsia"/>
          <w:bCs/>
          <w:sz w:val="20"/>
          <w:szCs w:val="20"/>
        </w:rPr>
        <w:t>）</w:t>
      </w:r>
    </w:p>
    <w:p w:rsidR="00AA120F" w:rsidRPr="00DA3BC7" w:rsidRDefault="00AA120F" w:rsidP="00466F61">
      <w:pPr>
        <w:ind w:leftChars="250" w:left="600"/>
        <w:jc w:val="both"/>
        <w:rPr>
          <w:rFonts w:ascii="Times New Roman" w:hAnsi="Times New Roman"/>
        </w:rPr>
      </w:pPr>
      <w:r w:rsidRPr="00DA3BC7">
        <w:rPr>
          <w:rFonts w:ascii="Times New Roman" w:hAnsi="Times New Roman" w:hint="eastAsia"/>
          <w:b/>
        </w:rPr>
        <w:t>中觀者</w:t>
      </w:r>
      <w:r w:rsidRPr="00DA3BC7">
        <w:rPr>
          <w:rFonts w:ascii="Times New Roman" w:hAnsi="Times New Roman" w:hint="eastAsia"/>
        </w:rPr>
        <w:t>依世俗諦說：凡是存在而可稱為因果的，必有能生所生、能起所起義，</w:t>
      </w:r>
      <w:r w:rsidRPr="00DA3BC7">
        <w:rPr>
          <w:rFonts w:ascii="Times New Roman" w:hAnsi="Times New Roman" w:hint="eastAsia"/>
          <w:b/>
        </w:rPr>
        <w:t>必有前後性</w:t>
      </w:r>
      <w:r w:rsidRPr="00DA3BC7">
        <w:rPr>
          <w:rFonts w:ascii="Times New Roman" w:hAnsi="Times New Roman" w:hint="eastAsia"/>
        </w:rPr>
        <w:t>；如同時，即如牛兩角，不能成立因果義。</w:t>
      </w:r>
    </w:p>
    <w:p w:rsidR="00AA120F" w:rsidRPr="00DA3BC7" w:rsidRDefault="00AA120F" w:rsidP="00AE3920">
      <w:pPr>
        <w:spacing w:beforeLines="20"/>
        <w:ind w:leftChars="250" w:left="600"/>
        <w:jc w:val="both"/>
        <w:rPr>
          <w:rFonts w:ascii="Times New Roman" w:hAnsi="Times New Roman"/>
        </w:rPr>
      </w:pPr>
      <w:r w:rsidRPr="00DA3BC7">
        <w:rPr>
          <w:rFonts w:ascii="Times New Roman" w:hAnsi="Times New Roman" w:hint="eastAsia"/>
        </w:rPr>
        <w:t>反之，凡可稱為因果的，因果必有相依關係；待果名因，待因名果，所以又</w:t>
      </w:r>
      <w:r w:rsidRPr="00DA3BC7">
        <w:rPr>
          <w:rFonts w:ascii="Times New Roman" w:hAnsi="Times New Roman" w:hint="eastAsia"/>
          <w:b/>
        </w:rPr>
        <w:t>必有和合的同時性</w:t>
      </w:r>
      <w:r w:rsidRPr="00DA3BC7">
        <w:rPr>
          <w:rFonts w:ascii="Times New Roman" w:hAnsi="Times New Roman" w:hint="eastAsia"/>
        </w:rPr>
        <w:t>。否則，有前因時無後果，有後果時無前因，彼此不相及，也不能成立因果義。</w:t>
      </w:r>
    </w:p>
    <w:p w:rsidR="00A45B7F" w:rsidRDefault="00AA120F" w:rsidP="00AE3920">
      <w:pPr>
        <w:spacing w:beforeLines="20"/>
        <w:ind w:leftChars="250" w:left="600"/>
        <w:jc w:val="both"/>
        <w:rPr>
          <w:rFonts w:ascii="Times New Roman" w:hAnsi="Times New Roman"/>
        </w:rPr>
      </w:pPr>
      <w:r w:rsidRPr="00DA3BC7">
        <w:rPr>
          <w:rFonts w:ascii="Times New Roman" w:hAnsi="Times New Roman" w:hint="eastAsia"/>
        </w:rPr>
        <w:t>所以從如幻因果說，因果本是不能這樣異時、同時的割裂開來的；時間必是向前後兩端申展而又前後不相離的。</w:t>
      </w:r>
    </w:p>
    <w:p w:rsidR="00A45B7F" w:rsidRPr="00DA3BC7" w:rsidRDefault="00A45B7F" w:rsidP="00AE3920">
      <w:pPr>
        <w:spacing w:beforeLines="30"/>
        <w:ind w:leftChars="250" w:left="600"/>
        <w:jc w:val="both"/>
        <w:rPr>
          <w:rFonts w:ascii="Times New Roman" w:hAnsi="Times New Roman"/>
          <w:b/>
          <w:bCs/>
          <w:sz w:val="20"/>
          <w:szCs w:val="20"/>
          <w:bdr w:val="single" w:sz="4" w:space="0" w:color="auto"/>
        </w:rPr>
      </w:pPr>
      <w:r w:rsidRPr="00A45B7F">
        <w:rPr>
          <w:rFonts w:ascii="Times New Roman" w:hAnsi="Times New Roman"/>
          <w:b/>
          <w:color w:val="FF0000"/>
          <w:sz w:val="20"/>
          <w:szCs w:val="20"/>
          <w:highlight w:val="yellow"/>
          <w:bdr w:val="single" w:sz="4" w:space="0" w:color="auto"/>
        </w:rPr>
        <w:t>（</w:t>
      </w:r>
      <w:r w:rsidRPr="00A45B7F">
        <w:rPr>
          <w:rFonts w:ascii="Times New Roman" w:hAnsi="Times New Roman" w:hint="eastAsia"/>
          <w:b/>
          <w:color w:val="FF0000"/>
          <w:sz w:val="20"/>
          <w:szCs w:val="20"/>
          <w:highlight w:val="yellow"/>
          <w:bdr w:val="single" w:sz="4" w:space="0" w:color="auto"/>
        </w:rPr>
        <w:t>3</w:t>
      </w:r>
      <w:r w:rsidRPr="00A45B7F">
        <w:rPr>
          <w:rFonts w:ascii="Times New Roman" w:hAnsi="Times New Roman"/>
          <w:b/>
          <w:color w:val="FF0000"/>
          <w:sz w:val="20"/>
          <w:szCs w:val="20"/>
          <w:highlight w:val="yellow"/>
          <w:bdr w:val="single" w:sz="4" w:space="0" w:color="auto"/>
        </w:rPr>
        <w:t>）</w:t>
      </w:r>
      <w:r w:rsidRPr="00A45B7F">
        <w:rPr>
          <w:rFonts w:ascii="Times New Roman" w:hAnsi="Times New Roman" w:hint="eastAsia"/>
          <w:b/>
          <w:bCs/>
          <w:color w:val="FF0000"/>
          <w:sz w:val="20"/>
          <w:szCs w:val="20"/>
          <w:highlight w:val="yellow"/>
          <w:bdr w:val="single" w:sz="4" w:space="0" w:color="auto"/>
        </w:rPr>
        <w:t>標示前義</w:t>
      </w:r>
      <w:r w:rsidRPr="00DA3BC7">
        <w:rPr>
          <w:rFonts w:ascii="Times New Roman" w:hAnsi="Times New Roman" w:hint="eastAsia"/>
          <w:bCs/>
          <w:sz w:val="20"/>
          <w:szCs w:val="20"/>
        </w:rPr>
        <w:t>（</w:t>
      </w:r>
      <w:r w:rsidRPr="00DA3BC7">
        <w:rPr>
          <w:rFonts w:ascii="Times New Roman" w:hAnsi="Times New Roman" w:hint="eastAsia"/>
          <w:bCs/>
          <w:sz w:val="20"/>
          <w:szCs w:val="20"/>
        </w:rPr>
        <w:t>pp.175-176</w:t>
      </w:r>
      <w:r w:rsidRPr="00DA3BC7">
        <w:rPr>
          <w:rFonts w:ascii="Times New Roman" w:hAnsi="Times New Roman" w:hint="eastAsia"/>
          <w:bCs/>
          <w:sz w:val="20"/>
          <w:szCs w:val="20"/>
        </w:rPr>
        <w:t>）</w:t>
      </w:r>
    </w:p>
    <w:p w:rsidR="00AA120F" w:rsidRPr="00DA3BC7" w:rsidRDefault="00AA120F" w:rsidP="00466F61">
      <w:pPr>
        <w:ind w:leftChars="250" w:left="600"/>
        <w:jc w:val="both"/>
        <w:rPr>
          <w:rFonts w:ascii="Times New Roman" w:hAnsi="Times New Roman"/>
        </w:rPr>
      </w:pPr>
      <w:r w:rsidRPr="00DA3BC7">
        <w:rPr>
          <w:rFonts w:ascii="Times New Roman" w:hAnsi="Times New Roman" w:hint="eastAsia"/>
          <w:b/>
        </w:rPr>
        <w:t>此處分別說此同時因果、異時因果，也不過從其相對的顯著的形態而加以分別罷了</w:t>
      </w:r>
      <w:r w:rsidRPr="00DA3BC7">
        <w:rPr>
          <w:rFonts w:ascii="Times New Roman" w:hAnsi="Times New Roman" w:hint="eastAsia"/>
        </w:rPr>
        <w:t>。</w:t>
      </w:r>
    </w:p>
    <w:p w:rsidR="00AA120F" w:rsidRPr="00DA3BC7" w:rsidRDefault="00AA120F" w:rsidP="00466F61">
      <w:pPr>
        <w:ind w:leftChars="250" w:left="600"/>
        <w:jc w:val="both"/>
        <w:rPr>
          <w:rFonts w:ascii="Times New Roman" w:hAnsi="Times New Roman"/>
          <w:bCs/>
        </w:rPr>
      </w:pPr>
      <w:r w:rsidRPr="00DA3BC7">
        <w:rPr>
          <w:rFonts w:ascii="Times New Roman" w:hAnsi="Times New Roman" w:hint="eastAsia"/>
          <w:bCs/>
        </w:rPr>
        <w:t>考佛所說的十二緣起，即統此異時、同時因果而有之。</w:t>
      </w:r>
    </w:p>
    <w:p w:rsidR="00AA120F" w:rsidRPr="00DA3BC7" w:rsidRDefault="00AA120F" w:rsidP="00AE3920">
      <w:pPr>
        <w:spacing w:beforeLines="20"/>
        <w:ind w:leftChars="250" w:left="600"/>
        <w:jc w:val="both"/>
        <w:rPr>
          <w:rFonts w:ascii="Times New Roman" w:hAnsi="Times New Roman"/>
          <w:bCs/>
        </w:rPr>
      </w:pPr>
      <w:r w:rsidRPr="00DA3BC7">
        <w:rPr>
          <w:rFonts w:ascii="Times New Roman" w:hAnsi="Times New Roman" w:hint="eastAsia"/>
          <w:bCs/>
        </w:rPr>
        <w:t>如無明緣行乃至生緣老死，無論說它是三世因果或二世因果，總是有它的</w:t>
      </w:r>
      <w:r w:rsidRPr="00DA3BC7">
        <w:rPr>
          <w:rFonts w:ascii="Times New Roman" w:hAnsi="Times New Roman" w:hint="eastAsia"/>
          <w:b/>
          <w:bCs/>
        </w:rPr>
        <w:t>前後性</w:t>
      </w:r>
      <w:r w:rsidRPr="00DA3BC7">
        <w:rPr>
          <w:rFonts w:ascii="Times New Roman" w:hAnsi="Times New Roman" w:hint="eastAsia"/>
          <w:bCs/>
        </w:rPr>
        <w:t>。</w:t>
      </w:r>
    </w:p>
    <w:p w:rsidR="00AA120F" w:rsidRPr="00DA3BC7" w:rsidRDefault="00AA120F" w:rsidP="00AE3920">
      <w:pPr>
        <w:spacing w:beforeLines="20"/>
        <w:ind w:leftChars="250" w:left="600"/>
        <w:jc w:val="both"/>
        <w:rPr>
          <w:rFonts w:ascii="Times New Roman" w:hAnsi="Times New Roman"/>
          <w:bCs/>
        </w:rPr>
      </w:pPr>
      <w:r w:rsidRPr="00DA3BC7">
        <w:rPr>
          <w:rFonts w:ascii="Times New Roman" w:hAnsi="Times New Roman" w:hint="eastAsia"/>
          <w:bCs/>
        </w:rPr>
        <w:t>如識緣名色，名色緣識；即是展轉為緣，「</w:t>
      </w:r>
      <w:r w:rsidRPr="00DA3BC7">
        <w:rPr>
          <w:rFonts w:ascii="標楷體" w:eastAsia="標楷體" w:hAnsi="標楷體" w:hint="eastAsia"/>
          <w:bCs/>
        </w:rPr>
        <w:t>猶如束蘆，相依而</w:t>
      </w:r>
      <w:r w:rsidRPr="00DA3BC7">
        <w:rPr>
          <w:rFonts w:ascii="標楷體" w:eastAsia="標楷體" w:hAnsi="標楷體" w:hint="eastAsia"/>
        </w:rPr>
        <w:t>轉</w:t>
      </w:r>
      <w:r w:rsidRPr="00DA3BC7">
        <w:rPr>
          <w:rFonts w:ascii="Times New Roman" w:hAnsi="Times New Roman" w:hint="eastAsia"/>
          <w:bCs/>
        </w:rPr>
        <w:t>」</w:t>
      </w:r>
      <w:r w:rsidRPr="00DA3BC7">
        <w:rPr>
          <w:rStyle w:val="a6"/>
          <w:rFonts w:ascii="Times New Roman" w:hAnsi="Times New Roman"/>
          <w:bCs/>
        </w:rPr>
        <w:footnoteReference w:id="798"/>
      </w:r>
      <w:r w:rsidRPr="00DA3BC7">
        <w:rPr>
          <w:rFonts w:ascii="Times New Roman" w:hAnsi="Times New Roman" w:hint="eastAsia"/>
          <w:bCs/>
        </w:rPr>
        <w:t>，即</w:t>
      </w:r>
      <w:r w:rsidRPr="00DA3BC7">
        <w:rPr>
          <w:rFonts w:ascii="Times New Roman" w:hAnsi="Times New Roman" w:hint="eastAsia"/>
          <w:b/>
          <w:bCs/>
        </w:rPr>
        <w:t>和合性的同時因果</w:t>
      </w:r>
      <w:r w:rsidRPr="00DA3BC7">
        <w:rPr>
          <w:rFonts w:ascii="Times New Roman" w:hAnsi="Times New Roman" w:hint="eastAsia"/>
          <w:bCs/>
        </w:rPr>
        <w:t>。</w:t>
      </w:r>
    </w:p>
    <w:p w:rsidR="00AA120F" w:rsidRPr="00DA3BC7" w:rsidRDefault="00AA120F" w:rsidP="00466F61">
      <w:pPr>
        <w:ind w:leftChars="250" w:left="600"/>
        <w:jc w:val="both"/>
        <w:rPr>
          <w:rFonts w:ascii="Times New Roman" w:hAnsi="Times New Roman"/>
          <w:bCs/>
        </w:rPr>
      </w:pPr>
      <w:r w:rsidRPr="00DA3BC7">
        <w:rPr>
          <w:rFonts w:ascii="Times New Roman" w:hAnsi="Times New Roman" w:hint="eastAsia"/>
          <w:bCs/>
        </w:rPr>
        <w:lastRenderedPageBreak/>
        <w:t>薩婆多部說十二緣起，每支都具有五蘊，</w:t>
      </w:r>
      <w:r w:rsidRPr="00DA3BC7">
        <w:rPr>
          <w:rStyle w:val="a6"/>
          <w:rFonts w:ascii="Times New Roman" w:hAnsi="Times New Roman"/>
          <w:bCs/>
        </w:rPr>
        <w:footnoteReference w:id="799"/>
      </w:r>
      <w:r w:rsidRPr="00DA3BC7">
        <w:rPr>
          <w:rFonts w:ascii="Times New Roman" w:hAnsi="Times New Roman" w:hint="eastAsia"/>
          <w:bCs/>
        </w:rPr>
        <w:t>即每支為和合聚，不過約顯現的特勝，說此是行、此是識等。</w:t>
      </w:r>
    </w:p>
    <w:p w:rsidR="00AA120F" w:rsidRPr="00DA3BC7" w:rsidRDefault="0043641F" w:rsidP="00AE3920">
      <w:pPr>
        <w:spacing w:beforeLines="30"/>
        <w:jc w:val="both"/>
        <w:rPr>
          <w:rFonts w:ascii="Times New Roman" w:hAnsi="Times New Roman"/>
          <w:b/>
          <w:bCs/>
          <w:sz w:val="20"/>
          <w:szCs w:val="26"/>
        </w:rPr>
      </w:pPr>
      <w:r w:rsidRPr="0043641F">
        <w:rPr>
          <w:rFonts w:ascii="Times New Roman" w:hAnsi="Times New Roman" w:hint="eastAsia"/>
          <w:b/>
          <w:bCs/>
          <w:color w:val="FF0000"/>
          <w:sz w:val="20"/>
          <w:szCs w:val="26"/>
          <w:highlight w:val="yellow"/>
          <w:bdr w:val="single" w:sz="4" w:space="0" w:color="auto"/>
        </w:rPr>
        <w:t>參、正明</w:t>
      </w:r>
      <w:r>
        <w:rPr>
          <w:rFonts w:ascii="Times New Roman" w:hAnsi="Times New Roman" w:hint="eastAsia"/>
          <w:b/>
          <w:bCs/>
          <w:color w:val="FF0000"/>
          <w:sz w:val="20"/>
          <w:szCs w:val="26"/>
          <w:highlight w:val="yellow"/>
          <w:bdr w:val="single" w:sz="4" w:space="0" w:color="auto"/>
        </w:rPr>
        <w:t>「</w:t>
      </w:r>
      <w:r w:rsidR="00AA120F" w:rsidRPr="0043641F">
        <w:rPr>
          <w:rFonts w:ascii="Times New Roman" w:hAnsi="Times New Roman" w:hint="eastAsia"/>
          <w:b/>
          <w:bCs/>
          <w:color w:val="FF0000"/>
          <w:sz w:val="20"/>
          <w:szCs w:val="26"/>
          <w:highlight w:val="yellow"/>
          <w:bdr w:val="single" w:sz="4" w:space="0" w:color="auto"/>
        </w:rPr>
        <w:t>中</w:t>
      </w:r>
      <w:r w:rsidRPr="0043641F">
        <w:rPr>
          <w:rFonts w:ascii="Times New Roman" w:hAnsi="Times New Roman" w:hint="eastAsia"/>
          <w:b/>
          <w:bCs/>
          <w:color w:val="FF0000"/>
          <w:sz w:val="20"/>
          <w:szCs w:val="26"/>
          <w:highlight w:val="yellow"/>
          <w:bdr w:val="single" w:sz="4" w:space="0" w:color="auto"/>
        </w:rPr>
        <w:t>觀之</w:t>
      </w:r>
      <w:r w:rsidR="00AA120F" w:rsidRPr="0043641F">
        <w:rPr>
          <w:rFonts w:ascii="Times New Roman" w:hAnsi="Times New Roman" w:hint="eastAsia"/>
          <w:b/>
          <w:bCs/>
          <w:color w:val="FF0000"/>
          <w:sz w:val="20"/>
          <w:szCs w:val="26"/>
          <w:highlight w:val="yellow"/>
          <w:bdr w:val="single" w:sz="4" w:space="0" w:color="auto"/>
        </w:rPr>
        <w:t>因果</w:t>
      </w:r>
      <w:r w:rsidRPr="0043641F">
        <w:rPr>
          <w:rFonts w:ascii="Times New Roman" w:hAnsi="Times New Roman" w:hint="eastAsia"/>
          <w:b/>
          <w:bCs/>
          <w:color w:val="FF0000"/>
          <w:sz w:val="20"/>
          <w:szCs w:val="26"/>
          <w:highlight w:val="yellow"/>
          <w:bdr w:val="single" w:sz="4" w:space="0" w:color="auto"/>
        </w:rPr>
        <w:t>義</w:t>
      </w:r>
      <w:r>
        <w:rPr>
          <w:rFonts w:ascii="Times New Roman" w:hAnsi="Times New Roman" w:hint="eastAsia"/>
          <w:b/>
          <w:bCs/>
          <w:color w:val="FF0000"/>
          <w:sz w:val="20"/>
          <w:szCs w:val="26"/>
          <w:highlight w:val="yellow"/>
          <w:bdr w:val="single" w:sz="4" w:space="0" w:color="auto"/>
        </w:rPr>
        <w:t>」</w:t>
      </w:r>
      <w:r w:rsidR="00AA120F" w:rsidRPr="00DA3BC7">
        <w:rPr>
          <w:rFonts w:ascii="Times New Roman" w:hAnsi="Times New Roman" w:hint="eastAsia"/>
          <w:bCs/>
          <w:sz w:val="20"/>
          <w:szCs w:val="26"/>
        </w:rPr>
        <w:t>（</w:t>
      </w:r>
      <w:r w:rsidR="00AA120F" w:rsidRPr="00DA3BC7">
        <w:rPr>
          <w:rFonts w:ascii="Times New Roman" w:hAnsi="Times New Roman" w:hint="eastAsia"/>
          <w:bCs/>
          <w:sz w:val="20"/>
          <w:szCs w:val="26"/>
        </w:rPr>
        <w:t>pp.176-178</w:t>
      </w:r>
      <w:r w:rsidR="00AA120F" w:rsidRPr="00DA3BC7">
        <w:rPr>
          <w:rFonts w:ascii="Times New Roman" w:hAnsi="Times New Roman" w:hint="eastAsia"/>
          <w:bCs/>
          <w:sz w:val="20"/>
          <w:szCs w:val="26"/>
        </w:rPr>
        <w:t>）</w:t>
      </w:r>
    </w:p>
    <w:p w:rsidR="00AA120F" w:rsidRPr="00DA3BC7" w:rsidRDefault="00AA120F" w:rsidP="008E2BBC">
      <w:pPr>
        <w:ind w:leftChars="50" w:left="120"/>
        <w:jc w:val="both"/>
        <w:rPr>
          <w:rFonts w:ascii="Times New Roman" w:hAnsi="Times New Roman"/>
          <w:b/>
          <w:bCs/>
          <w:sz w:val="20"/>
          <w:szCs w:val="20"/>
          <w:bdr w:val="single" w:sz="4" w:space="0" w:color="auto"/>
        </w:rPr>
      </w:pPr>
      <w:r w:rsidRPr="0043641F">
        <w:rPr>
          <w:rFonts w:ascii="Times New Roman" w:hAnsi="Times New Roman"/>
          <w:b/>
          <w:color w:val="FF0000"/>
          <w:sz w:val="20"/>
          <w:szCs w:val="20"/>
          <w:highlight w:val="yellow"/>
          <w:bdr w:val="single" w:sz="4" w:space="0" w:color="auto"/>
        </w:rPr>
        <w:t>（壹）</w:t>
      </w:r>
      <w:r w:rsidR="0043641F">
        <w:rPr>
          <w:rFonts w:ascii="Times New Roman" w:hAnsi="Times New Roman" w:hint="eastAsia"/>
          <w:b/>
          <w:bCs/>
          <w:color w:val="FF0000"/>
          <w:sz w:val="20"/>
          <w:szCs w:val="26"/>
          <w:highlight w:val="yellow"/>
          <w:bdr w:val="single" w:sz="4" w:space="0" w:color="auto"/>
        </w:rPr>
        <w:t>概述「</w:t>
      </w:r>
      <w:r w:rsidR="0043641F" w:rsidRPr="0043641F">
        <w:rPr>
          <w:rFonts w:ascii="Times New Roman" w:hAnsi="Times New Roman" w:hint="eastAsia"/>
          <w:b/>
          <w:bCs/>
          <w:color w:val="FF0000"/>
          <w:sz w:val="20"/>
          <w:szCs w:val="26"/>
          <w:highlight w:val="yellow"/>
          <w:bdr w:val="single" w:sz="4" w:space="0" w:color="auto"/>
        </w:rPr>
        <w:t>中觀之</w:t>
      </w:r>
      <w:r w:rsidR="0043641F">
        <w:rPr>
          <w:rFonts w:ascii="Times New Roman" w:hAnsi="Times New Roman" w:hint="eastAsia"/>
          <w:b/>
          <w:bCs/>
          <w:color w:val="FF0000"/>
          <w:sz w:val="20"/>
          <w:szCs w:val="26"/>
          <w:highlight w:val="yellow"/>
          <w:bdr w:val="single" w:sz="4" w:space="0" w:color="auto"/>
        </w:rPr>
        <w:t>正</w:t>
      </w:r>
      <w:r w:rsidR="0043641F" w:rsidRPr="0043641F">
        <w:rPr>
          <w:rFonts w:ascii="Times New Roman" w:hAnsi="Times New Roman" w:hint="eastAsia"/>
          <w:b/>
          <w:bCs/>
          <w:color w:val="FF0000"/>
          <w:sz w:val="20"/>
          <w:szCs w:val="26"/>
          <w:highlight w:val="yellow"/>
          <w:bdr w:val="single" w:sz="4" w:space="0" w:color="auto"/>
        </w:rPr>
        <w:t>義</w:t>
      </w:r>
      <w:r w:rsidR="0043641F">
        <w:rPr>
          <w:rFonts w:ascii="Times New Roman" w:hAnsi="Times New Roman" w:hint="eastAsia"/>
          <w:b/>
          <w:bCs/>
          <w:color w:val="FF0000"/>
          <w:sz w:val="20"/>
          <w:szCs w:val="26"/>
          <w:highlight w:val="yellow"/>
          <w:bdr w:val="single" w:sz="4" w:space="0" w:color="auto"/>
        </w:rPr>
        <w:t>」（兼破「自性緣起」）</w:t>
      </w:r>
      <w:r w:rsidRPr="00DA3BC7">
        <w:rPr>
          <w:rFonts w:ascii="Times New Roman" w:hAnsi="Times New Roman" w:hint="eastAsia"/>
          <w:bCs/>
          <w:sz w:val="20"/>
          <w:szCs w:val="20"/>
        </w:rPr>
        <w:t>（</w:t>
      </w:r>
      <w:r w:rsidRPr="00DA3BC7">
        <w:rPr>
          <w:rFonts w:ascii="Times New Roman" w:hAnsi="Times New Roman" w:hint="eastAsia"/>
          <w:bCs/>
          <w:sz w:val="20"/>
          <w:szCs w:val="20"/>
        </w:rPr>
        <w:t>p.176</w:t>
      </w:r>
      <w:r w:rsidRPr="00DA3BC7">
        <w:rPr>
          <w:rFonts w:ascii="Times New Roman" w:hAnsi="Times New Roman" w:hint="eastAsia"/>
          <w:bCs/>
          <w:sz w:val="20"/>
          <w:szCs w:val="20"/>
        </w:rPr>
        <w:t>）</w:t>
      </w:r>
    </w:p>
    <w:p w:rsidR="00AA120F" w:rsidRPr="00DA3BC7" w:rsidRDefault="00AA120F" w:rsidP="008E2BBC">
      <w:pPr>
        <w:ind w:leftChars="50" w:left="120"/>
        <w:jc w:val="both"/>
        <w:rPr>
          <w:rFonts w:ascii="Times New Roman" w:hAnsi="Times New Roman"/>
        </w:rPr>
      </w:pPr>
      <w:r w:rsidRPr="00DA3BC7">
        <w:rPr>
          <w:rFonts w:ascii="Times New Roman" w:hAnsi="Times New Roman" w:hint="eastAsia"/>
        </w:rPr>
        <w:t>佛法所說因果，其義極為深隱</w:t>
      </w:r>
      <w:r w:rsidRPr="00DA3BC7">
        <w:rPr>
          <w:rStyle w:val="a6"/>
          <w:rFonts w:ascii="Times New Roman" w:hAnsi="Times New Roman"/>
        </w:rPr>
        <w:footnoteReference w:id="800"/>
      </w:r>
      <w:r w:rsidRPr="00DA3BC7">
        <w:rPr>
          <w:rFonts w:ascii="Times New Roman" w:hAnsi="Times New Roman" w:hint="eastAsia"/>
        </w:rPr>
        <w:t>。</w:t>
      </w:r>
    </w:p>
    <w:p w:rsidR="00AA120F" w:rsidRPr="00DA3BC7" w:rsidRDefault="00AA120F" w:rsidP="00AE3920">
      <w:pPr>
        <w:spacing w:beforeLines="20"/>
        <w:ind w:leftChars="50" w:left="360" w:hangingChars="100" w:hanging="240"/>
        <w:jc w:val="both"/>
        <w:rPr>
          <w:rFonts w:ascii="Times New Roman" w:hAnsi="Times New Roman"/>
        </w:rPr>
      </w:pPr>
      <w:r w:rsidRPr="00DA3BC7">
        <w:rPr>
          <w:rFonts w:ascii="Times New Roman" w:hAnsi="Times New Roman" w:hint="eastAsia"/>
        </w:rPr>
        <w:t>如</w:t>
      </w:r>
      <w:r w:rsidRPr="00DA3BC7">
        <w:rPr>
          <w:rFonts w:ascii="Times New Roman" w:hAnsi="Times New Roman" w:hint="eastAsia"/>
          <w:b/>
        </w:rPr>
        <w:t>薩婆多部</w:t>
      </w:r>
      <w:r w:rsidRPr="00DA3BC7">
        <w:rPr>
          <w:rFonts w:ascii="Times New Roman" w:hAnsi="Times New Roman" w:hint="eastAsia"/>
        </w:rPr>
        <w:t>深究至極微細的原質</w:t>
      </w:r>
      <w:r w:rsidRPr="00DA3BC7">
        <w:rPr>
          <w:rStyle w:val="a6"/>
          <w:rFonts w:ascii="Times New Roman" w:hAnsi="Times New Roman"/>
        </w:rPr>
        <w:footnoteReference w:id="801"/>
      </w:r>
      <w:r w:rsidRPr="00DA3BC7">
        <w:rPr>
          <w:rFonts w:ascii="Times New Roman" w:hAnsi="Times New Roman" w:hint="eastAsia"/>
        </w:rPr>
        <w:t>，而說同時、異時的因果。如五蘊和合為我，以為此是假法，不是真實的因果。</w:t>
      </w:r>
    </w:p>
    <w:p w:rsidR="00AA120F" w:rsidRPr="00DA3BC7" w:rsidRDefault="00AA120F" w:rsidP="00AE3920">
      <w:pPr>
        <w:spacing w:beforeLines="20"/>
        <w:ind w:leftChars="150" w:left="360"/>
        <w:jc w:val="both"/>
        <w:rPr>
          <w:rFonts w:ascii="Times New Roman" w:hAnsi="Times New Roman"/>
        </w:rPr>
      </w:pPr>
      <w:r w:rsidRPr="00DA3BC7">
        <w:rPr>
          <w:rFonts w:ascii="Times New Roman" w:hAnsi="Times New Roman" w:hint="eastAsia"/>
          <w:b/>
        </w:rPr>
        <w:t>唯識者</w:t>
      </w:r>
      <w:r w:rsidRPr="00DA3BC7">
        <w:rPr>
          <w:rFonts w:ascii="Times New Roman" w:hAnsi="Times New Roman" w:hint="eastAsia"/>
        </w:rPr>
        <w:t>也說假法非因果。這與中觀者的因果義，絕然不同。</w:t>
      </w:r>
    </w:p>
    <w:p w:rsidR="00AA120F" w:rsidRPr="00DA3BC7" w:rsidRDefault="00AA120F" w:rsidP="00DB66B9">
      <w:pPr>
        <w:ind w:leftChars="50" w:left="1560" w:hangingChars="600" w:hanging="1440"/>
        <w:jc w:val="both"/>
        <w:rPr>
          <w:rFonts w:ascii="Times New Roman" w:hAnsi="Times New Roman"/>
        </w:rPr>
      </w:pPr>
      <w:r w:rsidRPr="00DA3BC7">
        <w:rPr>
          <w:rFonts w:ascii="Times New Roman" w:hAnsi="Times New Roman" w:hint="eastAsia"/>
        </w:rPr>
        <w:t>依</w:t>
      </w:r>
      <w:r w:rsidRPr="00DA3BC7">
        <w:rPr>
          <w:rFonts w:ascii="Times New Roman" w:hAnsi="Times New Roman" w:hint="eastAsia"/>
          <w:b/>
        </w:rPr>
        <w:t>中觀者</w:t>
      </w:r>
      <w:r w:rsidRPr="00DA3BC7">
        <w:rPr>
          <w:rFonts w:ascii="Times New Roman" w:hAnsi="Times New Roman" w:hint="eastAsia"/>
        </w:rPr>
        <w:t>說：假法才能成立因果，因為凡是</w:t>
      </w:r>
      <w:r w:rsidRPr="00DA3BC7">
        <w:rPr>
          <w:rFonts w:ascii="Times New Roman" w:hAnsi="Times New Roman" w:hint="eastAsia"/>
          <w:b/>
        </w:rPr>
        <w:t>因緣所成的法（也即是因果的關係）都是假法，假法即是無自性的，無自性才能安立因果幻相</w:t>
      </w:r>
      <w:r w:rsidRPr="00DA3BC7">
        <w:rPr>
          <w:rFonts w:ascii="Times New Roman" w:hAnsi="Times New Roman" w:hint="eastAsia"/>
        </w:rPr>
        <w:t>。有實性的因果義，依中觀者看，簡直是不通的，這如《中論》〈</w:t>
      </w:r>
      <w:r w:rsidRPr="00162D56">
        <w:rPr>
          <w:rFonts w:ascii="Times New Roman" w:hAnsi="Times New Roman" w:hint="eastAsia"/>
          <w:shd w:val="pct15" w:color="auto" w:fill="FFFFFF"/>
        </w:rPr>
        <w:t>1</w:t>
      </w:r>
      <w:r w:rsidRPr="00DA3BC7">
        <w:rPr>
          <w:rFonts w:ascii="Times New Roman" w:hAnsi="Times New Roman"/>
        </w:rPr>
        <w:t xml:space="preserve"> </w:t>
      </w:r>
      <w:r w:rsidRPr="00DA3BC7">
        <w:rPr>
          <w:rFonts w:ascii="Times New Roman" w:hAnsi="Times New Roman" w:hint="eastAsia"/>
        </w:rPr>
        <w:t>觀因緣品〉、〈</w:t>
      </w:r>
      <w:r w:rsidRPr="00162D56">
        <w:rPr>
          <w:rFonts w:ascii="Times New Roman" w:hAnsi="Times New Roman" w:hint="eastAsia"/>
          <w:shd w:val="pct15" w:color="auto" w:fill="FFFFFF"/>
        </w:rPr>
        <w:t>20</w:t>
      </w:r>
      <w:r w:rsidRPr="00DA3BC7">
        <w:rPr>
          <w:rFonts w:ascii="Times New Roman" w:hAnsi="Times New Roman"/>
        </w:rPr>
        <w:t xml:space="preserve"> </w:t>
      </w:r>
      <w:r w:rsidRPr="00DA3BC7">
        <w:rPr>
          <w:rFonts w:ascii="Times New Roman" w:hAnsi="Times New Roman" w:hint="eastAsia"/>
        </w:rPr>
        <w:t>觀因果品〉等所說。</w:t>
      </w:r>
      <w:r w:rsidR="00DB66B9" w:rsidRPr="00DB66B9">
        <w:rPr>
          <w:rStyle w:val="a6"/>
          <w:rFonts w:ascii="Times New Roman" w:hAnsi="Times New Roman"/>
          <w:highlight w:val="yellow"/>
        </w:rPr>
        <w:footnoteReference w:id="802"/>
      </w:r>
    </w:p>
    <w:p w:rsidR="00AA120F" w:rsidRPr="00DA3BC7" w:rsidRDefault="00AA120F" w:rsidP="00AE3920">
      <w:pPr>
        <w:spacing w:beforeLines="30"/>
        <w:ind w:leftChars="50" w:left="120"/>
        <w:jc w:val="both"/>
        <w:rPr>
          <w:rFonts w:ascii="Times New Roman" w:hAnsi="Times New Roman"/>
          <w:b/>
          <w:bCs/>
          <w:sz w:val="20"/>
          <w:szCs w:val="20"/>
        </w:rPr>
      </w:pPr>
      <w:r w:rsidRPr="00DB66B9">
        <w:rPr>
          <w:rFonts w:ascii="Times New Roman" w:hAnsi="Times New Roman"/>
          <w:b/>
          <w:color w:val="FF0000"/>
          <w:sz w:val="20"/>
          <w:szCs w:val="20"/>
          <w:highlight w:val="yellow"/>
          <w:bdr w:val="single" w:sz="4" w:space="0" w:color="auto"/>
        </w:rPr>
        <w:t>（</w:t>
      </w:r>
      <w:r w:rsidR="00DB66B9" w:rsidRPr="00DB66B9">
        <w:rPr>
          <w:rFonts w:ascii="Times New Roman" w:hAnsi="Times New Roman" w:hint="eastAsia"/>
          <w:b/>
          <w:color w:val="FF0000"/>
          <w:sz w:val="20"/>
          <w:szCs w:val="20"/>
          <w:highlight w:val="yellow"/>
          <w:bdr w:val="single" w:sz="4" w:space="0" w:color="auto"/>
        </w:rPr>
        <w:t>貳</w:t>
      </w:r>
      <w:r w:rsidRPr="00DB66B9">
        <w:rPr>
          <w:rFonts w:ascii="Times New Roman" w:hAnsi="Times New Roman"/>
          <w:b/>
          <w:color w:val="FF0000"/>
          <w:sz w:val="20"/>
          <w:szCs w:val="20"/>
          <w:highlight w:val="yellow"/>
          <w:bdr w:val="single" w:sz="4" w:space="0" w:color="auto"/>
        </w:rPr>
        <w:t>）</w:t>
      </w:r>
      <w:r w:rsidR="00DB66B9">
        <w:rPr>
          <w:rFonts w:ascii="Times New Roman" w:hAnsi="Times New Roman" w:hint="eastAsia"/>
          <w:b/>
          <w:color w:val="FF0000"/>
          <w:sz w:val="20"/>
          <w:szCs w:val="20"/>
          <w:highlight w:val="yellow"/>
          <w:bdr w:val="single" w:sz="4" w:space="0" w:color="auto"/>
        </w:rPr>
        <w:t>約「</w:t>
      </w:r>
      <w:r w:rsidRPr="00DA3BC7">
        <w:rPr>
          <w:rFonts w:ascii="Times New Roman" w:hAnsi="Times New Roman" w:hint="eastAsia"/>
          <w:b/>
          <w:bCs/>
          <w:sz w:val="20"/>
          <w:szCs w:val="20"/>
          <w:bdr w:val="single" w:sz="4" w:space="0" w:color="auto"/>
        </w:rPr>
        <w:t>《</w:t>
      </w:r>
      <w:r w:rsidRPr="00DA3BC7">
        <w:rPr>
          <w:rFonts w:ascii="Times New Roman" w:hAnsi="Times New Roman" w:hint="eastAsia"/>
          <w:b/>
          <w:sz w:val="20"/>
          <w:szCs w:val="20"/>
          <w:bdr w:val="single" w:sz="4" w:space="0" w:color="auto"/>
        </w:rPr>
        <w:t>般若</w:t>
      </w:r>
      <w:r w:rsidRPr="00DA3BC7">
        <w:rPr>
          <w:rFonts w:ascii="Times New Roman" w:hAnsi="Times New Roman" w:hint="eastAsia"/>
          <w:b/>
          <w:bCs/>
          <w:sz w:val="20"/>
          <w:szCs w:val="20"/>
          <w:bdr w:val="single" w:sz="4" w:space="0" w:color="auto"/>
        </w:rPr>
        <w:t>經》之三假</w:t>
      </w:r>
      <w:r w:rsidR="00DB66B9" w:rsidRPr="00DB66B9">
        <w:rPr>
          <w:rFonts w:ascii="Times New Roman" w:hAnsi="Times New Roman" w:hint="eastAsia"/>
          <w:b/>
          <w:bCs/>
          <w:color w:val="FF0000"/>
          <w:sz w:val="20"/>
          <w:szCs w:val="20"/>
          <w:highlight w:val="yellow"/>
          <w:bdr w:val="single" w:sz="4" w:space="0" w:color="auto"/>
        </w:rPr>
        <w:t>」明「因果相」</w:t>
      </w:r>
      <w:r w:rsidRPr="00DA3BC7">
        <w:rPr>
          <w:rFonts w:ascii="Times New Roman" w:hAnsi="Times New Roman" w:hint="eastAsia"/>
          <w:bCs/>
          <w:sz w:val="20"/>
          <w:szCs w:val="20"/>
        </w:rPr>
        <w:t>（</w:t>
      </w:r>
      <w:r w:rsidRPr="00DA3BC7">
        <w:rPr>
          <w:rFonts w:ascii="Times New Roman" w:hAnsi="Times New Roman" w:hint="eastAsia"/>
          <w:bCs/>
          <w:sz w:val="20"/>
          <w:szCs w:val="20"/>
        </w:rPr>
        <w:t>pp.176-178</w:t>
      </w:r>
      <w:r w:rsidRPr="00DA3BC7">
        <w:rPr>
          <w:rFonts w:ascii="Times New Roman" w:hAnsi="Times New Roman" w:hint="eastAsia"/>
          <w:bCs/>
          <w:sz w:val="20"/>
          <w:szCs w:val="20"/>
        </w:rPr>
        <w:t>）</w:t>
      </w:r>
    </w:p>
    <w:p w:rsidR="00AA120F" w:rsidRPr="00DA3BC7" w:rsidRDefault="00AA120F" w:rsidP="008E2BBC">
      <w:pPr>
        <w:ind w:leftChars="100" w:left="240"/>
        <w:jc w:val="both"/>
        <w:rPr>
          <w:rFonts w:ascii="Times New Roman" w:hAnsi="Times New Roman"/>
          <w:b/>
          <w:bCs/>
          <w:sz w:val="20"/>
          <w:szCs w:val="20"/>
          <w:bdr w:val="single" w:sz="4" w:space="0" w:color="auto"/>
        </w:rPr>
      </w:pPr>
      <w:r w:rsidRPr="00DA3BC7">
        <w:rPr>
          <w:rFonts w:ascii="Times New Roman" w:hAnsi="Times New Roman" w:hint="eastAsia"/>
          <w:b/>
          <w:bCs/>
          <w:sz w:val="20"/>
          <w:szCs w:val="20"/>
          <w:bdr w:val="single" w:sz="4" w:space="0" w:color="auto"/>
        </w:rPr>
        <w:t>一、總</w:t>
      </w:r>
      <w:r w:rsidRPr="00DB66B9">
        <w:rPr>
          <w:rFonts w:ascii="Times New Roman" w:hAnsi="Times New Roman" w:hint="eastAsia"/>
          <w:b/>
          <w:bCs/>
          <w:sz w:val="20"/>
          <w:szCs w:val="20"/>
          <w:highlight w:val="yellow"/>
          <w:bdr w:val="single" w:sz="4" w:space="0" w:color="auto"/>
        </w:rPr>
        <w:t>標</w:t>
      </w:r>
      <w:r w:rsidRPr="00DA3BC7">
        <w:rPr>
          <w:rFonts w:ascii="Times New Roman" w:hAnsi="Times New Roman" w:hint="eastAsia"/>
          <w:bCs/>
          <w:sz w:val="20"/>
          <w:szCs w:val="20"/>
        </w:rPr>
        <w:t>（</w:t>
      </w:r>
      <w:r w:rsidRPr="00DA3BC7">
        <w:rPr>
          <w:rFonts w:ascii="Times New Roman" w:hAnsi="Times New Roman" w:hint="eastAsia"/>
          <w:bCs/>
          <w:sz w:val="20"/>
          <w:szCs w:val="20"/>
        </w:rPr>
        <w:t>p.176</w:t>
      </w:r>
      <w:r w:rsidRPr="00DA3BC7">
        <w:rPr>
          <w:rFonts w:ascii="Times New Roman" w:hAnsi="Times New Roman" w:hint="eastAsia"/>
          <w:bCs/>
          <w:sz w:val="20"/>
          <w:szCs w:val="20"/>
        </w:rPr>
        <w:t>）</w:t>
      </w:r>
    </w:p>
    <w:p w:rsidR="00AA120F" w:rsidRPr="00DA3BC7" w:rsidRDefault="00AA120F" w:rsidP="008E2BBC">
      <w:pPr>
        <w:ind w:leftChars="100" w:left="240"/>
        <w:jc w:val="both"/>
        <w:rPr>
          <w:rFonts w:ascii="Times New Roman" w:hAnsi="Times New Roman"/>
        </w:rPr>
      </w:pPr>
      <w:r w:rsidRPr="00DA3BC7">
        <w:rPr>
          <w:rFonts w:ascii="Times New Roman" w:hAnsi="Times New Roman" w:hint="eastAsia"/>
        </w:rPr>
        <w:t>《般若經》</w:t>
      </w:r>
      <w:r w:rsidR="00162D56">
        <w:rPr>
          <w:rFonts w:ascii="Times New Roman" w:hAnsi="Times New Roman" w:hint="eastAsia"/>
        </w:rPr>
        <w:t>〈</w:t>
      </w:r>
      <w:r w:rsidR="00162D56" w:rsidRPr="00DA3BC7">
        <w:rPr>
          <w:rFonts w:ascii="Times New Roman" w:hAnsi="Times New Roman" w:hint="eastAsia"/>
        </w:rPr>
        <w:t>三假品</w:t>
      </w:r>
      <w:r w:rsidR="00162D56">
        <w:rPr>
          <w:rFonts w:ascii="Times New Roman" w:hAnsi="Times New Roman" w:hint="eastAsia"/>
        </w:rPr>
        <w:t>〉</w:t>
      </w:r>
      <w:r w:rsidRPr="00DA3BC7">
        <w:rPr>
          <w:rFonts w:ascii="Times New Roman" w:hAnsi="Times New Roman" w:hint="eastAsia"/>
        </w:rPr>
        <w:t>說三種假</w:t>
      </w:r>
      <w:r w:rsidRPr="00DA3BC7">
        <w:rPr>
          <w:rFonts w:ascii="Times New Roman" w:hAnsi="Times New Roman"/>
          <w:vertAlign w:val="superscript"/>
        </w:rPr>
        <w:footnoteReference w:id="803"/>
      </w:r>
      <w:r w:rsidRPr="00DA3BC7">
        <w:rPr>
          <w:rFonts w:ascii="Times New Roman" w:hAnsi="Times New Roman" w:hint="eastAsia"/>
        </w:rPr>
        <w:t>，依此三假可以看出三類不同的因果關係：</w:t>
      </w:r>
    </w:p>
    <w:p w:rsidR="00AA120F" w:rsidRPr="00DA3BC7" w:rsidRDefault="00AA120F" w:rsidP="00AE3920">
      <w:pPr>
        <w:spacing w:beforeLines="30"/>
        <w:ind w:leftChars="100" w:left="240"/>
        <w:jc w:val="both"/>
        <w:rPr>
          <w:rFonts w:ascii="Times New Roman" w:hAnsi="Times New Roman"/>
          <w:b/>
          <w:bCs/>
          <w:sz w:val="20"/>
          <w:szCs w:val="20"/>
          <w:bdr w:val="single" w:sz="4" w:space="0" w:color="auto"/>
        </w:rPr>
      </w:pPr>
      <w:r w:rsidRPr="00DA3BC7">
        <w:rPr>
          <w:rFonts w:ascii="Times New Roman" w:hAnsi="Times New Roman" w:hint="eastAsia"/>
          <w:b/>
          <w:bCs/>
          <w:sz w:val="20"/>
          <w:szCs w:val="20"/>
          <w:bdr w:val="single" w:sz="4" w:space="0" w:color="auto"/>
        </w:rPr>
        <w:lastRenderedPageBreak/>
        <w:t>二、別述</w:t>
      </w:r>
      <w:r w:rsidRPr="00DA3BC7">
        <w:rPr>
          <w:rFonts w:ascii="Times New Roman" w:hAnsi="Times New Roman" w:hint="eastAsia"/>
          <w:bCs/>
          <w:sz w:val="20"/>
          <w:szCs w:val="20"/>
        </w:rPr>
        <w:t>（</w:t>
      </w:r>
      <w:r w:rsidRPr="00DA3BC7">
        <w:rPr>
          <w:rFonts w:ascii="Times New Roman" w:hAnsi="Times New Roman" w:hint="eastAsia"/>
          <w:bCs/>
          <w:sz w:val="20"/>
          <w:szCs w:val="20"/>
        </w:rPr>
        <w:t>pp.176-178</w:t>
      </w:r>
      <w:r w:rsidRPr="00DA3BC7">
        <w:rPr>
          <w:rFonts w:ascii="Times New Roman" w:hAnsi="Times New Roman" w:hint="eastAsia"/>
          <w:bCs/>
          <w:sz w:val="20"/>
          <w:szCs w:val="20"/>
        </w:rPr>
        <w:t>）</w:t>
      </w:r>
    </w:p>
    <w:p w:rsidR="00AA120F" w:rsidRPr="00DA3BC7" w:rsidRDefault="00AA120F" w:rsidP="008E2BBC">
      <w:pPr>
        <w:spacing w:after="30"/>
        <w:ind w:leftChars="150" w:left="360"/>
        <w:jc w:val="both"/>
        <w:rPr>
          <w:rFonts w:ascii="Times New Roman" w:hAnsi="Times New Roman"/>
          <w:bCs/>
          <w:sz w:val="20"/>
          <w:szCs w:val="20"/>
        </w:rPr>
      </w:pPr>
      <w:r w:rsidRPr="00DA3BC7">
        <w:rPr>
          <w:rFonts w:ascii="Times New Roman" w:hAnsi="Times New Roman" w:hint="eastAsia"/>
          <w:b/>
          <w:bCs/>
          <w:sz w:val="20"/>
          <w:szCs w:val="20"/>
          <w:bdr w:val="single" w:sz="4" w:space="0" w:color="auto"/>
        </w:rPr>
        <w:t>（一）</w:t>
      </w:r>
      <w:r w:rsidRPr="00DA3BC7">
        <w:rPr>
          <w:rFonts w:ascii="Times New Roman" w:hAnsi="Times New Roman" w:hint="eastAsia"/>
          <w:b/>
          <w:sz w:val="20"/>
          <w:szCs w:val="20"/>
          <w:bdr w:val="single" w:sz="4" w:space="0" w:color="auto"/>
        </w:rPr>
        <w:t>名假</w:t>
      </w:r>
      <w:r w:rsidRPr="00DA3BC7">
        <w:rPr>
          <w:rFonts w:ascii="Times New Roman" w:hAnsi="Times New Roman" w:hint="eastAsia"/>
          <w:bCs/>
          <w:sz w:val="20"/>
          <w:szCs w:val="20"/>
        </w:rPr>
        <w:t>（</w:t>
      </w:r>
      <w:r w:rsidRPr="00DA3BC7">
        <w:rPr>
          <w:rFonts w:ascii="Times New Roman" w:hAnsi="Times New Roman" w:hint="eastAsia"/>
          <w:bCs/>
          <w:sz w:val="20"/>
          <w:szCs w:val="20"/>
        </w:rPr>
        <w:t>pp.176-177</w:t>
      </w:r>
      <w:r w:rsidRPr="00DA3BC7">
        <w:rPr>
          <w:rFonts w:ascii="Times New Roman" w:hAnsi="Times New Roman" w:hint="eastAsia"/>
          <w:bCs/>
          <w:sz w:val="20"/>
          <w:szCs w:val="20"/>
        </w:rPr>
        <w:t>）</w:t>
      </w:r>
    </w:p>
    <w:p w:rsidR="00AA120F" w:rsidRPr="00DA3BC7" w:rsidRDefault="00AA120F" w:rsidP="008E2BBC">
      <w:pPr>
        <w:ind w:leftChars="150" w:left="360"/>
        <w:jc w:val="both"/>
        <w:rPr>
          <w:rFonts w:ascii="Times New Roman" w:hAnsi="Times New Roman"/>
          <w:b/>
        </w:rPr>
      </w:pPr>
      <w:r w:rsidRPr="00DA3BC7">
        <w:rPr>
          <w:rFonts w:ascii="Times New Roman" w:hAnsi="Times New Roman" w:hint="eastAsia"/>
          <w:b/>
        </w:rPr>
        <w:t>一、名假。</w:t>
      </w:r>
    </w:p>
    <w:p w:rsidR="00AA120F" w:rsidRPr="00DA3BC7" w:rsidRDefault="00AA120F" w:rsidP="00AE3920">
      <w:pPr>
        <w:spacing w:beforeLines="20"/>
        <w:ind w:leftChars="150" w:left="360"/>
        <w:jc w:val="both"/>
        <w:rPr>
          <w:rFonts w:ascii="Times New Roman" w:hAnsi="Times New Roman"/>
        </w:rPr>
      </w:pPr>
      <w:r w:rsidRPr="00DA3BC7">
        <w:rPr>
          <w:rFonts w:ascii="Times New Roman" w:hAnsi="Times New Roman" w:hint="eastAsia"/>
        </w:rPr>
        <w:t>名即名稱，凡吾人所覺為如此如此的概念，或是說為什麼的名字，都是名假，此名假是約認識的關係說。因為心識中所現起的相，或是說出的名稱，雖大家可依此了解對象，然這是依名言觀待而假立的，名稱與法的體性並不一致。如說「火」，火不即是實火，所以不燒口，故名是假；但若喚「持火來」，而人不持水來，故火名也有世俗之用。</w:t>
      </w:r>
    </w:p>
    <w:p w:rsidR="00AA120F" w:rsidRPr="00DA3BC7" w:rsidRDefault="00AA120F" w:rsidP="00AE3920">
      <w:pPr>
        <w:spacing w:beforeLines="30"/>
        <w:ind w:leftChars="150" w:left="360"/>
        <w:jc w:val="both"/>
        <w:rPr>
          <w:rFonts w:ascii="Times New Roman" w:hAnsi="Times New Roman"/>
        </w:rPr>
      </w:pPr>
      <w:r w:rsidRPr="00DA3BC7">
        <w:rPr>
          <w:rFonts w:ascii="Times New Roman" w:hAnsi="Times New Roman" w:hint="eastAsia"/>
          <w:b/>
          <w:bCs/>
          <w:sz w:val="20"/>
          <w:szCs w:val="20"/>
          <w:bdr w:val="single" w:sz="4" w:space="0" w:color="auto"/>
        </w:rPr>
        <w:t>（二）</w:t>
      </w:r>
      <w:r w:rsidRPr="00DA3BC7">
        <w:rPr>
          <w:rFonts w:ascii="Times New Roman" w:hAnsi="Times New Roman" w:hint="eastAsia"/>
          <w:b/>
          <w:sz w:val="20"/>
          <w:szCs w:val="20"/>
          <w:bdr w:val="single" w:sz="4" w:space="0" w:color="auto"/>
        </w:rPr>
        <w:t>受假</w:t>
      </w:r>
      <w:r w:rsidRPr="00DA3BC7">
        <w:rPr>
          <w:rFonts w:ascii="新細明體" w:hAnsi="新細明體" w:hint="eastAsia"/>
          <w:b/>
          <w:sz w:val="20"/>
          <w:szCs w:val="20"/>
          <w:bdr w:val="single" w:sz="4" w:space="0" w:color="auto"/>
        </w:rPr>
        <w:t>（</w:t>
      </w:r>
      <w:r w:rsidRPr="00DA3BC7">
        <w:rPr>
          <w:rFonts w:ascii="Times New Roman" w:hAnsi="Times New Roman" w:hint="eastAsia"/>
          <w:b/>
          <w:sz w:val="20"/>
          <w:szCs w:val="20"/>
          <w:bdr w:val="single" w:sz="4" w:space="0" w:color="auto"/>
        </w:rPr>
        <w:t>取施設）</w:t>
      </w:r>
      <w:r w:rsidRPr="00DA3BC7">
        <w:rPr>
          <w:rFonts w:ascii="Times New Roman" w:hAnsi="Times New Roman" w:hint="eastAsia"/>
          <w:bCs/>
          <w:sz w:val="20"/>
          <w:szCs w:val="20"/>
        </w:rPr>
        <w:t>（</w:t>
      </w:r>
      <w:r w:rsidRPr="00DA3BC7">
        <w:rPr>
          <w:rFonts w:ascii="Times New Roman" w:hAnsi="Times New Roman" w:hint="eastAsia"/>
          <w:bCs/>
          <w:sz w:val="20"/>
          <w:szCs w:val="20"/>
        </w:rPr>
        <w:t>p.177</w:t>
      </w:r>
      <w:r w:rsidRPr="00DA3BC7">
        <w:rPr>
          <w:rFonts w:ascii="Times New Roman" w:hAnsi="Times New Roman" w:hint="eastAsia"/>
          <w:bCs/>
          <w:sz w:val="20"/>
          <w:szCs w:val="20"/>
        </w:rPr>
        <w:t>）</w:t>
      </w:r>
    </w:p>
    <w:p w:rsidR="00AA120F" w:rsidRPr="00DA3BC7" w:rsidRDefault="00AA120F" w:rsidP="008E2BBC">
      <w:pPr>
        <w:ind w:leftChars="150" w:left="360"/>
        <w:jc w:val="both"/>
        <w:rPr>
          <w:rFonts w:ascii="Times New Roman" w:hAnsi="Times New Roman"/>
          <w:b/>
        </w:rPr>
      </w:pPr>
      <w:r w:rsidRPr="00DA3BC7">
        <w:rPr>
          <w:rFonts w:ascii="Times New Roman" w:hAnsi="Times New Roman" w:hint="eastAsia"/>
          <w:b/>
        </w:rPr>
        <w:t>二、受假。</w:t>
      </w:r>
    </w:p>
    <w:p w:rsidR="00AA120F" w:rsidRPr="00DA3BC7" w:rsidRDefault="00AA120F" w:rsidP="00AE3920">
      <w:pPr>
        <w:spacing w:beforeLines="20"/>
        <w:ind w:leftChars="150" w:left="360"/>
        <w:jc w:val="both"/>
        <w:rPr>
          <w:rFonts w:ascii="Times New Roman" w:hAnsi="Times New Roman"/>
        </w:rPr>
      </w:pPr>
      <w:r w:rsidRPr="00DA3BC7">
        <w:rPr>
          <w:rFonts w:ascii="Times New Roman" w:hAnsi="Times New Roman" w:hint="eastAsia"/>
        </w:rPr>
        <w:t>受，梵文的原義，應譯為</w:t>
      </w:r>
      <w:r w:rsidRPr="00DA3BC7">
        <w:rPr>
          <w:rFonts w:ascii="Times New Roman" w:hAnsi="Times New Roman" w:hint="eastAsia"/>
          <w:b/>
        </w:rPr>
        <w:t>取</w:t>
      </w:r>
      <w:r w:rsidRPr="00DA3BC7">
        <w:rPr>
          <w:rFonts w:ascii="Times New Roman" w:hAnsi="Times New Roman" w:hint="eastAsia"/>
        </w:rPr>
        <w:t>；假，依梵文是</w:t>
      </w:r>
      <w:r w:rsidRPr="00DA3BC7">
        <w:rPr>
          <w:rFonts w:ascii="Times New Roman" w:hAnsi="Times New Roman" w:hint="eastAsia"/>
          <w:b/>
        </w:rPr>
        <w:t>施設安立</w:t>
      </w:r>
      <w:r w:rsidRPr="00DA3BC7">
        <w:rPr>
          <w:rFonts w:ascii="Times New Roman" w:hAnsi="Times New Roman" w:hint="eastAsia"/>
        </w:rPr>
        <w:t>義。</w:t>
      </w:r>
    </w:p>
    <w:p w:rsidR="00AA120F" w:rsidRPr="00DA3BC7" w:rsidRDefault="00AA120F" w:rsidP="00AE3920">
      <w:pPr>
        <w:spacing w:beforeLines="20"/>
        <w:ind w:leftChars="150" w:left="360"/>
        <w:jc w:val="both"/>
        <w:rPr>
          <w:rFonts w:ascii="Times New Roman" w:hAnsi="Times New Roman"/>
        </w:rPr>
      </w:pPr>
      <w:r w:rsidRPr="00DA3BC7">
        <w:rPr>
          <w:rFonts w:ascii="Times New Roman" w:hAnsi="Times New Roman" w:hint="eastAsia"/>
        </w:rPr>
        <w:t>《中論》「</w:t>
      </w:r>
      <w:r w:rsidRPr="00DA3BC7">
        <w:rPr>
          <w:rFonts w:ascii="標楷體" w:eastAsia="標楷體" w:hAnsi="標楷體" w:hint="eastAsia"/>
        </w:rPr>
        <w:t>亦為是假名</w:t>
      </w:r>
      <w:r w:rsidRPr="00DA3BC7">
        <w:rPr>
          <w:rFonts w:ascii="Times New Roman" w:hAnsi="Times New Roman" w:hint="eastAsia"/>
        </w:rPr>
        <w:t>」</w:t>
      </w:r>
      <w:r w:rsidRPr="00DA3BC7">
        <w:rPr>
          <w:rFonts w:ascii="Times New Roman" w:hAnsi="Times New Roman"/>
          <w:vertAlign w:val="superscript"/>
        </w:rPr>
        <w:footnoteReference w:id="804"/>
      </w:r>
      <w:r w:rsidRPr="00DA3BC7">
        <w:rPr>
          <w:rFonts w:ascii="Times New Roman" w:hAnsi="Times New Roman" w:hint="eastAsia"/>
        </w:rPr>
        <w:t>的假名，即是此</w:t>
      </w:r>
      <w:r w:rsidRPr="00DA3BC7">
        <w:rPr>
          <w:rFonts w:ascii="Times New Roman" w:hAnsi="Times New Roman" w:hint="eastAsia"/>
          <w:b/>
        </w:rPr>
        <w:t>「取施設」</w:t>
      </w:r>
      <w:r w:rsidRPr="00DA3BC7">
        <w:rPr>
          <w:rFonts w:ascii="Times New Roman" w:hAnsi="Times New Roman"/>
          <w:vertAlign w:val="superscript"/>
        </w:rPr>
        <w:footnoteReference w:id="805"/>
      </w:r>
      <w:r w:rsidRPr="00DA3BC7">
        <w:rPr>
          <w:rFonts w:ascii="Times New Roman" w:hAnsi="Times New Roman" w:hint="eastAsia"/>
        </w:rPr>
        <w:t>。取有攫</w:t>
      </w:r>
      <w:r w:rsidRPr="00DA3BC7">
        <w:rPr>
          <w:rStyle w:val="a6"/>
          <w:rFonts w:ascii="Times New Roman" w:hAnsi="Times New Roman"/>
        </w:rPr>
        <w:footnoteReference w:id="806"/>
      </w:r>
      <w:r w:rsidRPr="00DA3BC7">
        <w:rPr>
          <w:rFonts w:ascii="Times New Roman" w:hAnsi="Times New Roman" w:hint="eastAsia"/>
        </w:rPr>
        <w:t>而團攏</w:t>
      </w:r>
      <w:r w:rsidRPr="00DA3BC7">
        <w:rPr>
          <w:rStyle w:val="a6"/>
          <w:rFonts w:ascii="Times New Roman" w:hAnsi="Times New Roman"/>
        </w:rPr>
        <w:footnoteReference w:id="807"/>
      </w:r>
      <w:r w:rsidRPr="00DA3BC7">
        <w:rPr>
          <w:rFonts w:ascii="Times New Roman" w:hAnsi="Times New Roman" w:hint="eastAsia"/>
        </w:rPr>
        <w:lastRenderedPageBreak/>
        <w:t>的意義，如房屋是因種種瓦木所成，此房屋即是取假。</w:t>
      </w:r>
    </w:p>
    <w:p w:rsidR="00AA120F" w:rsidRPr="00DA3BC7" w:rsidRDefault="00AA120F" w:rsidP="00AE3920">
      <w:pPr>
        <w:spacing w:beforeLines="20"/>
        <w:ind w:leftChars="150" w:left="360"/>
        <w:jc w:val="both"/>
        <w:rPr>
          <w:rFonts w:ascii="Times New Roman" w:hAnsi="Times New Roman"/>
        </w:rPr>
      </w:pPr>
      <w:r w:rsidRPr="00DA3BC7">
        <w:rPr>
          <w:rFonts w:ascii="Times New Roman" w:hAnsi="Times New Roman" w:hint="eastAsia"/>
        </w:rPr>
        <w:t>常說的</w:t>
      </w:r>
      <w:r w:rsidRPr="00DA3BC7">
        <w:rPr>
          <w:rFonts w:ascii="Times New Roman" w:hAnsi="Times New Roman" w:hint="eastAsia"/>
          <w:b/>
        </w:rPr>
        <w:t>和合假</w:t>
      </w:r>
      <w:r w:rsidRPr="00DA3BC7">
        <w:rPr>
          <w:rFonts w:ascii="Times New Roman" w:hAnsi="Times New Roman" w:hint="eastAsia"/>
        </w:rPr>
        <w:t>，與此取假義同。依龍樹菩薩說，此取假中可分多少層。如人是皮骨筋肉等所成，故人是取假。隨取一骨、一皮，也各是眾緣所成，也是取假。故取假可從粗至細有許多層次。</w:t>
      </w:r>
    </w:p>
    <w:p w:rsidR="00AA120F" w:rsidRPr="00DA3BC7" w:rsidRDefault="00AA120F" w:rsidP="00AE3920">
      <w:pPr>
        <w:spacing w:beforeLines="20"/>
        <w:ind w:leftChars="150" w:left="360"/>
        <w:jc w:val="both"/>
        <w:rPr>
          <w:rFonts w:ascii="Times New Roman" w:hAnsi="Times New Roman"/>
          <w:b/>
        </w:rPr>
      </w:pPr>
      <w:r w:rsidRPr="00DA3BC7">
        <w:rPr>
          <w:rFonts w:ascii="Times New Roman" w:hAnsi="Times New Roman" w:hint="eastAsia"/>
          <w:b/>
        </w:rPr>
        <w:t>總之，凡以某些法為材質而和合為所成的他法，皆是取假。</w:t>
      </w:r>
    </w:p>
    <w:p w:rsidR="00AA120F" w:rsidRPr="00DA3BC7" w:rsidRDefault="00AA120F" w:rsidP="00AE3920">
      <w:pPr>
        <w:spacing w:beforeLines="30"/>
        <w:ind w:leftChars="150" w:left="360"/>
        <w:jc w:val="both"/>
        <w:rPr>
          <w:rFonts w:ascii="Times New Roman" w:hAnsi="Times New Roman"/>
          <w:b/>
          <w:sz w:val="20"/>
          <w:szCs w:val="20"/>
          <w:bdr w:val="single" w:sz="4" w:space="0" w:color="auto"/>
        </w:rPr>
      </w:pPr>
      <w:r w:rsidRPr="00DA3BC7">
        <w:rPr>
          <w:rFonts w:ascii="Times New Roman" w:hAnsi="Times New Roman" w:hint="eastAsia"/>
          <w:b/>
          <w:bCs/>
          <w:sz w:val="20"/>
          <w:szCs w:val="20"/>
          <w:bdr w:val="single" w:sz="4" w:space="0" w:color="auto"/>
        </w:rPr>
        <w:t>（三）</w:t>
      </w:r>
      <w:r w:rsidRPr="00DA3BC7">
        <w:rPr>
          <w:rFonts w:ascii="Times New Roman" w:hAnsi="Times New Roman" w:hint="eastAsia"/>
          <w:b/>
          <w:sz w:val="20"/>
          <w:szCs w:val="20"/>
          <w:bdr w:val="single" w:sz="4" w:space="0" w:color="auto"/>
        </w:rPr>
        <w:t>法假</w:t>
      </w:r>
      <w:r w:rsidRPr="00DA3BC7">
        <w:rPr>
          <w:rFonts w:ascii="新細明體" w:hAnsi="新細明體" w:hint="eastAsia"/>
          <w:b/>
          <w:sz w:val="20"/>
          <w:szCs w:val="20"/>
          <w:bdr w:val="single" w:sz="4" w:space="0" w:color="auto"/>
        </w:rPr>
        <w:t>（</w:t>
      </w:r>
      <w:r w:rsidRPr="00DA3BC7">
        <w:rPr>
          <w:rFonts w:ascii="Times New Roman" w:hAnsi="Times New Roman" w:hint="eastAsia"/>
          <w:b/>
          <w:sz w:val="20"/>
          <w:szCs w:val="20"/>
          <w:bdr w:val="single" w:sz="4" w:space="0" w:color="auto"/>
        </w:rPr>
        <w:t>法施設）</w:t>
      </w:r>
      <w:r w:rsidRPr="00DA3BC7">
        <w:rPr>
          <w:rFonts w:ascii="Times New Roman" w:hAnsi="Times New Roman" w:hint="eastAsia"/>
          <w:bCs/>
          <w:sz w:val="20"/>
          <w:szCs w:val="20"/>
        </w:rPr>
        <w:t>（</w:t>
      </w:r>
      <w:r w:rsidRPr="00DA3BC7">
        <w:rPr>
          <w:rFonts w:ascii="Times New Roman" w:hAnsi="Times New Roman" w:hint="eastAsia"/>
          <w:bCs/>
          <w:sz w:val="20"/>
          <w:szCs w:val="20"/>
        </w:rPr>
        <w:t>pp.177-178</w:t>
      </w:r>
      <w:r w:rsidRPr="00DA3BC7">
        <w:rPr>
          <w:rFonts w:ascii="Times New Roman" w:hAnsi="Times New Roman" w:hint="eastAsia"/>
          <w:bCs/>
          <w:sz w:val="20"/>
          <w:szCs w:val="20"/>
        </w:rPr>
        <w:t>）</w:t>
      </w:r>
    </w:p>
    <w:p w:rsidR="00AA120F" w:rsidRPr="00DA3BC7" w:rsidRDefault="00AA120F" w:rsidP="00466F61">
      <w:pPr>
        <w:ind w:leftChars="150" w:left="360"/>
        <w:jc w:val="both"/>
        <w:rPr>
          <w:rFonts w:ascii="Times New Roman" w:hAnsi="Times New Roman"/>
        </w:rPr>
      </w:pPr>
      <w:r w:rsidRPr="00DA3BC7">
        <w:rPr>
          <w:rFonts w:ascii="Times New Roman" w:hAnsi="Times New Roman" w:hint="eastAsia"/>
          <w:b/>
        </w:rPr>
        <w:t>三、法假，</w:t>
      </w:r>
      <w:r w:rsidRPr="00DA3BC7">
        <w:rPr>
          <w:rFonts w:ascii="Times New Roman" w:hAnsi="Times New Roman" w:hint="eastAsia"/>
        </w:rPr>
        <w:t>即是法施設義。</w:t>
      </w:r>
    </w:p>
    <w:p w:rsidR="00AA120F" w:rsidRPr="00DA3BC7" w:rsidRDefault="00AA120F" w:rsidP="00AE3920">
      <w:pPr>
        <w:spacing w:beforeLines="20"/>
        <w:ind w:leftChars="150" w:left="360"/>
        <w:jc w:val="both"/>
        <w:rPr>
          <w:rFonts w:ascii="Times New Roman" w:hAnsi="Times New Roman"/>
        </w:rPr>
      </w:pPr>
      <w:r w:rsidRPr="00DA3BC7">
        <w:rPr>
          <w:rFonts w:ascii="Times New Roman" w:hAnsi="Times New Roman" w:hint="eastAsia"/>
        </w:rPr>
        <w:t>此中的法，即等於薩婆多部所說各有自性的</w:t>
      </w:r>
      <w:r w:rsidRPr="00DA3BC7">
        <w:rPr>
          <w:rFonts w:ascii="Times New Roman" w:hAnsi="Times New Roman" w:hint="eastAsia"/>
          <w:b/>
        </w:rPr>
        <w:t>諸法</w:t>
      </w:r>
      <w:r w:rsidRPr="00DA3BC7">
        <w:rPr>
          <w:rFonts w:ascii="Times New Roman" w:hAnsi="Times New Roman" w:hint="eastAsia"/>
        </w:rPr>
        <w:t>。他們以為分析至最後，有其最終的實在，彼等指此</w:t>
      </w:r>
      <w:r w:rsidRPr="00DA3BC7">
        <w:rPr>
          <w:rFonts w:ascii="Times New Roman" w:hAnsi="Times New Roman" w:hint="eastAsia"/>
          <w:b/>
        </w:rPr>
        <w:t>最終的實在</w:t>
      </w:r>
      <w:r w:rsidRPr="00DA3BC7">
        <w:rPr>
          <w:rFonts w:ascii="Times New Roman" w:hAnsi="Times New Roman" w:hint="eastAsia"/>
        </w:rPr>
        <w:t>為</w:t>
      </w:r>
      <w:r w:rsidRPr="00DA3BC7">
        <w:rPr>
          <w:rFonts w:ascii="Times New Roman" w:hAnsi="Times New Roman" w:hint="eastAsia"/>
          <w:b/>
        </w:rPr>
        <w:t>實有</w:t>
      </w:r>
      <w:r w:rsidRPr="00DA3BC7">
        <w:rPr>
          <w:rFonts w:ascii="Times New Roman" w:hAnsi="Times New Roman" w:hint="eastAsia"/>
        </w:rPr>
        <w:t>，而以</w:t>
      </w:r>
      <w:r w:rsidRPr="00DA3BC7">
        <w:rPr>
          <w:rFonts w:ascii="Times New Roman" w:hAnsi="Times New Roman" w:hint="eastAsia"/>
          <w:b/>
        </w:rPr>
        <w:t>和合有</w:t>
      </w:r>
      <w:r w:rsidRPr="00217AF6">
        <w:rPr>
          <w:rFonts w:ascii="Times New Roman" w:hAnsi="Times New Roman" w:hint="eastAsia"/>
          <w:b/>
        </w:rPr>
        <w:t>者</w:t>
      </w:r>
      <w:r w:rsidRPr="00DA3BC7">
        <w:rPr>
          <w:rFonts w:ascii="Times New Roman" w:hAnsi="Times New Roman" w:hint="eastAsia"/>
        </w:rPr>
        <w:t>為</w:t>
      </w:r>
      <w:r w:rsidRPr="00DA3BC7">
        <w:rPr>
          <w:rFonts w:ascii="Times New Roman" w:hAnsi="Times New Roman" w:hint="eastAsia"/>
          <w:b/>
        </w:rPr>
        <w:t>假有</w:t>
      </w:r>
      <w:r w:rsidRPr="00DA3BC7">
        <w:rPr>
          <w:rFonts w:ascii="Times New Roman" w:hAnsi="Times New Roman" w:hint="eastAsia"/>
        </w:rPr>
        <w:t>。</w:t>
      </w:r>
    </w:p>
    <w:p w:rsidR="00DB66B9" w:rsidRDefault="00AA120F" w:rsidP="00AE3920">
      <w:pPr>
        <w:spacing w:beforeLines="20"/>
        <w:ind w:leftChars="150" w:left="360"/>
        <w:jc w:val="both"/>
        <w:rPr>
          <w:rFonts w:ascii="Times New Roman" w:hAnsi="Times New Roman"/>
        </w:rPr>
      </w:pPr>
      <w:r w:rsidRPr="00DA3BC7">
        <w:rPr>
          <w:rFonts w:ascii="Times New Roman" w:hAnsi="Times New Roman" w:hint="eastAsia"/>
        </w:rPr>
        <w:t>依《般若經》說，此實法即是法施設。這也是因緣所顯的假相，並非離因緣而存在。受假，如瓶、衣、軍、林、人我等，即常識所知的複合體，凡夫執為實有。法假，類於舊科學者分析所得的不可再分析的實質，一分小乘學者執此為實有。</w:t>
      </w:r>
    </w:p>
    <w:p w:rsidR="00DB66B9" w:rsidRDefault="00AA120F" w:rsidP="00AE3920">
      <w:pPr>
        <w:spacing w:beforeLines="20"/>
        <w:ind w:leftChars="150" w:left="360"/>
        <w:jc w:val="both"/>
        <w:rPr>
          <w:rFonts w:ascii="Times New Roman" w:hAnsi="Times New Roman"/>
        </w:rPr>
      </w:pPr>
      <w:r w:rsidRPr="00DA3BC7">
        <w:rPr>
          <w:rFonts w:ascii="Times New Roman" w:hAnsi="Times New Roman" w:hint="eastAsia"/>
        </w:rPr>
        <w:t>中觀者悟解為法假，近於近代科學者所知即電子也還是複合的組織的東西。依中觀者所見，沒有其小無內的小一──自性一，所以緣起法的基礎，決非某些實質的堆集。</w:t>
      </w:r>
    </w:p>
    <w:p w:rsidR="00AA120F" w:rsidRPr="00DA3BC7" w:rsidRDefault="00AA120F" w:rsidP="00AE3920">
      <w:pPr>
        <w:spacing w:beforeLines="20"/>
        <w:ind w:leftChars="150" w:left="360"/>
        <w:jc w:val="both"/>
        <w:rPr>
          <w:rFonts w:ascii="Times New Roman" w:hAnsi="Times New Roman"/>
        </w:rPr>
      </w:pPr>
      <w:r w:rsidRPr="00DB66B9">
        <w:rPr>
          <w:rFonts w:ascii="Times New Roman" w:hAnsi="Times New Roman" w:hint="eastAsia"/>
          <w:highlight w:val="yellow"/>
        </w:rPr>
        <w:t>但</w:t>
      </w:r>
      <w:r w:rsidRPr="00DA3BC7">
        <w:rPr>
          <w:rFonts w:ascii="Times New Roman" w:hAnsi="Times New Roman" w:hint="eastAsia"/>
        </w:rPr>
        <w:t>就現象而分別其相對的特性，《大智度論》曾分為五法：地、水、火、風、識。</w:t>
      </w:r>
      <w:r w:rsidRPr="00DA3BC7">
        <w:rPr>
          <w:rFonts w:ascii="Times New Roman" w:hAnsi="Times New Roman"/>
          <w:vertAlign w:val="superscript"/>
        </w:rPr>
        <w:footnoteReference w:id="808"/>
      </w:r>
      <w:r w:rsidRPr="00DB66B9">
        <w:rPr>
          <w:rFonts w:ascii="Times New Roman" w:hAnsi="Times New Roman" w:hint="eastAsia"/>
          <w:highlight w:val="yellow"/>
        </w:rPr>
        <w:t>佛</w:t>
      </w:r>
      <w:r w:rsidRPr="00DA3BC7">
        <w:rPr>
          <w:rFonts w:ascii="Times New Roman" w:hAnsi="Times New Roman" w:hint="eastAsia"/>
        </w:rPr>
        <w:t>於餘處說四大</w:t>
      </w:r>
      <w:r w:rsidRPr="00DA3BC7">
        <w:rPr>
          <w:rStyle w:val="a6"/>
          <w:rFonts w:ascii="Times New Roman" w:hAnsi="Times New Roman"/>
        </w:rPr>
        <w:footnoteReference w:id="809"/>
      </w:r>
      <w:r w:rsidRPr="00DA3BC7">
        <w:rPr>
          <w:rFonts w:ascii="Times New Roman" w:hAnsi="Times New Roman" w:hint="eastAsia"/>
        </w:rPr>
        <w:t>為能造，色等為所造，</w:t>
      </w:r>
      <w:r w:rsidRPr="00DA3BC7">
        <w:rPr>
          <w:rStyle w:val="a6"/>
          <w:rFonts w:ascii="Times New Roman" w:hAnsi="Times New Roman"/>
        </w:rPr>
        <w:footnoteReference w:id="810"/>
      </w:r>
      <w:r w:rsidRPr="00DA3BC7">
        <w:rPr>
          <w:rFonts w:ascii="Times New Roman" w:hAnsi="Times New Roman" w:hint="eastAsia"/>
        </w:rPr>
        <w:t>這是約物質方面說的。</w:t>
      </w:r>
      <w:r w:rsidRPr="00DA3BC7">
        <w:rPr>
          <w:rStyle w:val="a6"/>
          <w:rFonts w:ascii="Times New Roman" w:hAnsi="Times New Roman"/>
        </w:rPr>
        <w:lastRenderedPageBreak/>
        <w:footnoteReference w:id="811"/>
      </w:r>
      <w:r w:rsidRPr="00DA3BC7">
        <w:rPr>
          <w:rFonts w:ascii="Times New Roman" w:hAnsi="Times New Roman" w:hint="eastAsia"/>
        </w:rPr>
        <w:t>約精神說，則總名識，心所等即心識所有的作用。</w:t>
      </w:r>
    </w:p>
    <w:p w:rsidR="00AA120F" w:rsidRPr="00DA3BC7" w:rsidRDefault="00AA120F" w:rsidP="00466F61">
      <w:pPr>
        <w:ind w:leftChars="200" w:left="480"/>
        <w:jc w:val="both"/>
        <w:rPr>
          <w:rFonts w:ascii="Times New Roman" w:hAnsi="Times New Roman"/>
        </w:rPr>
      </w:pPr>
      <w:r w:rsidRPr="00DA3BC7">
        <w:rPr>
          <w:rFonts w:ascii="Times New Roman" w:hAnsi="Times New Roman" w:hint="eastAsia"/>
        </w:rPr>
        <w:t>此精神、物質的五法，可作為萬有的基礎，但此五者也是假施設的，即是法假。</w:t>
      </w:r>
    </w:p>
    <w:p w:rsidR="00466F61" w:rsidRPr="00DA3BC7" w:rsidRDefault="00466F61" w:rsidP="00AE3920">
      <w:pPr>
        <w:spacing w:beforeLines="30"/>
        <w:ind w:leftChars="100" w:left="240"/>
        <w:jc w:val="both"/>
        <w:rPr>
          <w:rFonts w:ascii="Times New Roman" w:hAnsi="Times New Roman"/>
          <w:b/>
          <w:bCs/>
          <w:sz w:val="20"/>
          <w:szCs w:val="20"/>
          <w:bdr w:val="single" w:sz="4" w:space="0" w:color="auto"/>
        </w:rPr>
      </w:pPr>
      <w:r w:rsidRPr="00466F61">
        <w:rPr>
          <w:rFonts w:ascii="Times New Roman" w:hAnsi="Times New Roman" w:hint="eastAsia"/>
          <w:b/>
          <w:bCs/>
          <w:color w:val="FF0000"/>
          <w:sz w:val="20"/>
          <w:szCs w:val="20"/>
          <w:highlight w:val="yellow"/>
          <w:bdr w:val="single" w:sz="4" w:space="0" w:color="auto"/>
        </w:rPr>
        <w:t>三、顯義</w:t>
      </w:r>
      <w:r w:rsidRPr="00DA3BC7">
        <w:rPr>
          <w:rFonts w:ascii="Times New Roman" w:hAnsi="Times New Roman" w:hint="eastAsia"/>
          <w:bCs/>
          <w:sz w:val="20"/>
          <w:szCs w:val="20"/>
        </w:rPr>
        <w:t>（</w:t>
      </w:r>
      <w:r w:rsidRPr="00DA3BC7">
        <w:rPr>
          <w:rFonts w:ascii="Times New Roman" w:hAnsi="Times New Roman" w:hint="eastAsia"/>
          <w:bCs/>
          <w:sz w:val="20"/>
          <w:szCs w:val="20"/>
        </w:rPr>
        <w:t>p.178</w:t>
      </w:r>
      <w:r w:rsidRPr="00DA3BC7">
        <w:rPr>
          <w:rFonts w:ascii="Times New Roman" w:hAnsi="Times New Roman" w:hint="eastAsia"/>
          <w:bCs/>
          <w:sz w:val="20"/>
          <w:szCs w:val="20"/>
        </w:rPr>
        <w:t>）</w:t>
      </w:r>
    </w:p>
    <w:p w:rsidR="00AA120F" w:rsidRPr="00DA3BC7" w:rsidRDefault="00AA120F" w:rsidP="00466F61">
      <w:pPr>
        <w:ind w:leftChars="100" w:left="240"/>
        <w:jc w:val="both"/>
        <w:rPr>
          <w:rFonts w:ascii="Times New Roman" w:hAnsi="Times New Roman"/>
        </w:rPr>
      </w:pPr>
      <w:r w:rsidRPr="00DA3BC7">
        <w:rPr>
          <w:rFonts w:ascii="Times New Roman" w:hAnsi="Times New Roman" w:hint="eastAsia"/>
        </w:rPr>
        <w:t>《大智度論》所明的三假，是顯示修行次第的，即由名假到受假，破受假而達法假，進破法假而通達畢竟空。</w:t>
      </w:r>
      <w:r w:rsidRPr="00DA3BC7">
        <w:rPr>
          <w:rFonts w:ascii="Times New Roman" w:hAnsi="Times New Roman"/>
          <w:vertAlign w:val="superscript"/>
        </w:rPr>
        <w:footnoteReference w:id="812"/>
      </w:r>
    </w:p>
    <w:p w:rsidR="00AA120F" w:rsidRPr="00DA3BC7" w:rsidRDefault="00AA120F" w:rsidP="00AE3920">
      <w:pPr>
        <w:spacing w:beforeLines="20"/>
        <w:ind w:leftChars="100" w:left="240"/>
        <w:jc w:val="both"/>
        <w:rPr>
          <w:rFonts w:ascii="Times New Roman" w:hAnsi="Times New Roman"/>
        </w:rPr>
      </w:pPr>
      <w:r w:rsidRPr="00DA3BC7">
        <w:rPr>
          <w:rFonts w:ascii="Times New Roman" w:hAnsi="Times New Roman" w:hint="eastAsia"/>
        </w:rPr>
        <w:t>依此因果假有義上，有從粗至細的不同安立，故因果可有種種的形態不同。</w:t>
      </w:r>
    </w:p>
    <w:p w:rsidR="00AA120F" w:rsidRPr="00DA3BC7" w:rsidRDefault="00DB66B9" w:rsidP="00AE3920">
      <w:pPr>
        <w:spacing w:beforeLines="30"/>
        <w:jc w:val="both"/>
        <w:rPr>
          <w:rFonts w:ascii="Times New Roman" w:hAnsi="Times New Roman"/>
          <w:b/>
          <w:bCs/>
          <w:sz w:val="20"/>
          <w:szCs w:val="26"/>
          <w:bdr w:val="single" w:sz="4" w:space="0" w:color="auto"/>
        </w:rPr>
      </w:pPr>
      <w:r>
        <w:rPr>
          <w:rFonts w:ascii="Times New Roman" w:hAnsi="Times New Roman" w:hint="eastAsia"/>
          <w:b/>
          <w:bCs/>
          <w:color w:val="FF0000"/>
          <w:sz w:val="20"/>
          <w:szCs w:val="26"/>
          <w:highlight w:val="yellow"/>
          <w:bdr w:val="single" w:sz="4" w:space="0" w:color="auto"/>
        </w:rPr>
        <w:t>肆、重論：辨「未來諸行能相續」</w:t>
      </w:r>
      <w:r w:rsidR="00AA120F" w:rsidRPr="00DA3BC7">
        <w:rPr>
          <w:rFonts w:ascii="Times New Roman" w:hAnsi="Times New Roman" w:hint="eastAsia"/>
          <w:bCs/>
          <w:sz w:val="20"/>
          <w:szCs w:val="26"/>
        </w:rPr>
        <w:t>（</w:t>
      </w:r>
      <w:r w:rsidR="00AA120F" w:rsidRPr="00DA3BC7">
        <w:rPr>
          <w:rFonts w:ascii="Times New Roman" w:hAnsi="Times New Roman" w:hint="eastAsia"/>
          <w:bCs/>
          <w:sz w:val="20"/>
          <w:szCs w:val="26"/>
        </w:rPr>
        <w:t>pp.178-180</w:t>
      </w:r>
      <w:r w:rsidR="00AA120F" w:rsidRPr="00DA3BC7">
        <w:rPr>
          <w:rFonts w:ascii="Times New Roman" w:hAnsi="Times New Roman" w:hint="eastAsia"/>
          <w:bCs/>
          <w:sz w:val="20"/>
          <w:szCs w:val="26"/>
        </w:rPr>
        <w:t>）</w:t>
      </w:r>
    </w:p>
    <w:p w:rsidR="00AA120F" w:rsidRPr="00DA3BC7" w:rsidRDefault="00AA120F" w:rsidP="008E2BBC">
      <w:pPr>
        <w:ind w:leftChars="50" w:left="120"/>
        <w:jc w:val="both"/>
        <w:rPr>
          <w:rFonts w:ascii="Times New Roman" w:hAnsi="Times New Roman"/>
          <w:b/>
          <w:sz w:val="20"/>
          <w:szCs w:val="20"/>
          <w:bdr w:val="single" w:sz="4" w:space="0" w:color="auto"/>
        </w:rPr>
      </w:pPr>
      <w:r w:rsidRPr="00DA3BC7">
        <w:rPr>
          <w:rFonts w:ascii="Times New Roman" w:hAnsi="Times New Roman"/>
          <w:b/>
          <w:sz w:val="20"/>
          <w:szCs w:val="20"/>
          <w:bdr w:val="single" w:sz="4" w:space="0" w:color="auto"/>
        </w:rPr>
        <w:t>（壹）</w:t>
      </w:r>
      <w:r w:rsidR="00DB66B9" w:rsidRPr="00DB66B9">
        <w:rPr>
          <w:rFonts w:ascii="Times New Roman" w:hAnsi="Times New Roman" w:hint="eastAsia"/>
          <w:b/>
          <w:color w:val="FF0000"/>
          <w:sz w:val="20"/>
          <w:szCs w:val="20"/>
          <w:highlight w:val="yellow"/>
          <w:bdr w:val="single" w:sz="4" w:space="0" w:color="auto"/>
        </w:rPr>
        <w:t>設</w:t>
      </w:r>
      <w:r w:rsidRPr="00DA3BC7">
        <w:rPr>
          <w:rFonts w:ascii="Times New Roman" w:hAnsi="Times New Roman" w:hint="eastAsia"/>
          <w:b/>
          <w:sz w:val="20"/>
          <w:szCs w:val="20"/>
          <w:bdr w:val="single" w:sz="4" w:space="0" w:color="auto"/>
        </w:rPr>
        <w:t>問</w:t>
      </w:r>
      <w:r w:rsidRPr="00DA3BC7">
        <w:rPr>
          <w:rFonts w:ascii="Times New Roman" w:hAnsi="Times New Roman" w:hint="eastAsia"/>
          <w:bCs/>
          <w:sz w:val="20"/>
          <w:szCs w:val="26"/>
        </w:rPr>
        <w:t>（</w:t>
      </w:r>
      <w:r w:rsidRPr="00DA3BC7">
        <w:rPr>
          <w:rFonts w:ascii="Times New Roman" w:hAnsi="Times New Roman" w:hint="eastAsia"/>
          <w:bCs/>
          <w:sz w:val="20"/>
          <w:szCs w:val="26"/>
        </w:rPr>
        <w:t>p.178</w:t>
      </w:r>
      <w:r w:rsidRPr="00DA3BC7">
        <w:rPr>
          <w:rFonts w:ascii="Times New Roman" w:hAnsi="Times New Roman" w:hint="eastAsia"/>
          <w:bCs/>
          <w:sz w:val="20"/>
          <w:szCs w:val="26"/>
        </w:rPr>
        <w:t>）</w:t>
      </w:r>
    </w:p>
    <w:p w:rsidR="00AA120F" w:rsidRPr="00DA3BC7" w:rsidRDefault="00AA120F" w:rsidP="008E2BBC">
      <w:pPr>
        <w:ind w:leftChars="50" w:left="120"/>
        <w:jc w:val="both"/>
        <w:rPr>
          <w:rFonts w:ascii="Times New Roman" w:hAnsi="Times New Roman"/>
        </w:rPr>
      </w:pPr>
      <w:r w:rsidRPr="00DA3BC7">
        <w:rPr>
          <w:rFonts w:ascii="Times New Roman" w:hAnsi="Times New Roman" w:hint="eastAsia"/>
        </w:rPr>
        <w:t>上章</w:t>
      </w:r>
      <w:r w:rsidRPr="00DA3BC7">
        <w:rPr>
          <w:rFonts w:ascii="Times New Roman" w:hAnsi="Times New Roman"/>
          <w:vertAlign w:val="superscript"/>
        </w:rPr>
        <w:footnoteReference w:id="813"/>
      </w:r>
      <w:r w:rsidRPr="00DA3BC7">
        <w:rPr>
          <w:rFonts w:ascii="Times New Roman" w:hAnsi="Times New Roman" w:hint="eastAsia"/>
        </w:rPr>
        <w:t>曾提到：一切法剎那滅，何以能一期相續？如「大地劫住」、「人生百</w:t>
      </w:r>
      <w:r w:rsidRPr="00DA3BC7">
        <w:rPr>
          <w:rFonts w:ascii="Times New Roman" w:hAnsi="Times New Roman" w:hint="eastAsia"/>
        </w:rPr>
        <w:lastRenderedPageBreak/>
        <w:t>歲」，雖知道他剎那不息的在變，而到底是一期相續了。</w:t>
      </w:r>
    </w:p>
    <w:p w:rsidR="00AA120F" w:rsidRPr="00DA3BC7" w:rsidRDefault="00AA120F" w:rsidP="00AE3920">
      <w:pPr>
        <w:spacing w:beforeLines="30"/>
        <w:ind w:leftChars="50" w:left="120"/>
        <w:jc w:val="both"/>
        <w:rPr>
          <w:rFonts w:ascii="Times New Roman" w:hAnsi="Times New Roman"/>
          <w:b/>
          <w:sz w:val="20"/>
          <w:szCs w:val="20"/>
          <w:bdr w:val="single" w:sz="4" w:space="0" w:color="auto"/>
        </w:rPr>
      </w:pPr>
      <w:r w:rsidRPr="00DA3BC7">
        <w:rPr>
          <w:rFonts w:ascii="Times New Roman" w:hAnsi="Times New Roman"/>
          <w:b/>
          <w:sz w:val="20"/>
          <w:szCs w:val="20"/>
          <w:bdr w:val="single" w:sz="4" w:space="0" w:color="auto"/>
        </w:rPr>
        <w:t>（</w:t>
      </w:r>
      <w:r w:rsidRPr="00DA3BC7">
        <w:rPr>
          <w:rFonts w:ascii="Times New Roman" w:hAnsi="Times New Roman" w:hint="eastAsia"/>
          <w:b/>
          <w:sz w:val="20"/>
          <w:szCs w:val="20"/>
          <w:bdr w:val="single" w:sz="4" w:space="0" w:color="auto"/>
        </w:rPr>
        <w:t>貳</w:t>
      </w:r>
      <w:r w:rsidRPr="00DA3BC7">
        <w:rPr>
          <w:rFonts w:ascii="Times New Roman" w:hAnsi="Times New Roman"/>
          <w:b/>
          <w:sz w:val="20"/>
          <w:szCs w:val="20"/>
          <w:bdr w:val="single" w:sz="4" w:space="0" w:color="auto"/>
        </w:rPr>
        <w:t>）</w:t>
      </w:r>
      <w:r w:rsidRPr="00DA3BC7">
        <w:rPr>
          <w:rFonts w:ascii="Times New Roman" w:hAnsi="Times New Roman" w:hint="eastAsia"/>
          <w:b/>
          <w:sz w:val="20"/>
          <w:szCs w:val="20"/>
          <w:bdr w:val="single" w:sz="4" w:space="0" w:color="auto"/>
        </w:rPr>
        <w:t>解答</w:t>
      </w:r>
      <w:r w:rsidRPr="00DA3BC7">
        <w:rPr>
          <w:rFonts w:ascii="Times New Roman" w:hAnsi="Times New Roman" w:hint="eastAsia"/>
          <w:bCs/>
          <w:sz w:val="20"/>
          <w:szCs w:val="26"/>
        </w:rPr>
        <w:t>（</w:t>
      </w:r>
      <w:r w:rsidRPr="00DA3BC7">
        <w:rPr>
          <w:rFonts w:ascii="Times New Roman" w:hAnsi="Times New Roman" w:hint="eastAsia"/>
          <w:bCs/>
          <w:sz w:val="20"/>
          <w:szCs w:val="26"/>
        </w:rPr>
        <w:t>pp.178-180</w:t>
      </w:r>
      <w:r w:rsidRPr="00DA3BC7">
        <w:rPr>
          <w:rFonts w:ascii="Times New Roman" w:hAnsi="Times New Roman" w:hint="eastAsia"/>
          <w:bCs/>
          <w:sz w:val="20"/>
          <w:szCs w:val="26"/>
        </w:rPr>
        <w:t>）</w:t>
      </w:r>
    </w:p>
    <w:p w:rsidR="00AA120F" w:rsidRPr="00DA3BC7" w:rsidRDefault="00AA120F" w:rsidP="008E2BBC">
      <w:pPr>
        <w:ind w:leftChars="100" w:left="240"/>
        <w:jc w:val="both"/>
        <w:rPr>
          <w:rFonts w:ascii="Times New Roman" w:hAnsi="Times New Roman"/>
          <w:b/>
          <w:sz w:val="20"/>
          <w:szCs w:val="20"/>
          <w:bdr w:val="single" w:sz="4" w:space="0" w:color="auto"/>
        </w:rPr>
      </w:pPr>
      <w:r w:rsidRPr="00DA3BC7">
        <w:rPr>
          <w:rFonts w:ascii="Times New Roman" w:hAnsi="Times New Roman" w:hint="eastAsia"/>
          <w:b/>
          <w:sz w:val="20"/>
          <w:szCs w:val="20"/>
          <w:bdr w:val="single" w:sz="4" w:space="0" w:color="auto"/>
        </w:rPr>
        <w:t>一、</w:t>
      </w:r>
      <w:r w:rsidR="00DB66B9">
        <w:rPr>
          <w:rFonts w:ascii="Times New Roman" w:hAnsi="Times New Roman" w:hint="eastAsia"/>
          <w:b/>
          <w:color w:val="FF0000"/>
          <w:sz w:val="20"/>
          <w:szCs w:val="20"/>
          <w:highlight w:val="yellow"/>
          <w:bdr w:val="single" w:sz="4" w:space="0" w:color="auto"/>
        </w:rPr>
        <w:t>總明理</w:t>
      </w:r>
      <w:r w:rsidRPr="00DA3BC7">
        <w:rPr>
          <w:rFonts w:ascii="Times New Roman" w:hAnsi="Times New Roman" w:hint="eastAsia"/>
          <w:bCs/>
          <w:sz w:val="20"/>
          <w:szCs w:val="26"/>
        </w:rPr>
        <w:t>（</w:t>
      </w:r>
      <w:r w:rsidRPr="00DA3BC7">
        <w:rPr>
          <w:rFonts w:ascii="Times New Roman" w:hAnsi="Times New Roman" w:hint="eastAsia"/>
          <w:bCs/>
          <w:sz w:val="20"/>
          <w:szCs w:val="26"/>
        </w:rPr>
        <w:t>pp.178-179</w:t>
      </w:r>
      <w:r w:rsidRPr="00DA3BC7">
        <w:rPr>
          <w:rFonts w:ascii="Times New Roman" w:hAnsi="Times New Roman" w:hint="eastAsia"/>
          <w:bCs/>
          <w:sz w:val="20"/>
          <w:szCs w:val="26"/>
        </w:rPr>
        <w:t>）</w:t>
      </w:r>
    </w:p>
    <w:p w:rsidR="00AA120F" w:rsidRPr="00DA3BC7" w:rsidRDefault="00AA120F" w:rsidP="008E2BBC">
      <w:pPr>
        <w:ind w:leftChars="100" w:left="240"/>
        <w:jc w:val="both"/>
        <w:rPr>
          <w:rFonts w:ascii="Times New Roman" w:hAnsi="Times New Roman"/>
        </w:rPr>
      </w:pPr>
      <w:r w:rsidRPr="00DA3BC7">
        <w:rPr>
          <w:rFonts w:ascii="Times New Roman" w:hAnsi="Times New Roman" w:hint="eastAsia"/>
        </w:rPr>
        <w:t>這應加以解說：</w:t>
      </w:r>
      <w:r w:rsidRPr="00DA3BC7">
        <w:rPr>
          <w:rFonts w:ascii="Times New Roman" w:hAnsi="Times New Roman" w:hint="eastAsia"/>
          <w:b/>
        </w:rPr>
        <w:t>凡是某一事態的存在與消失，無不由於因緣，確乎是「</w:t>
      </w:r>
      <w:r w:rsidRPr="00217AF6">
        <w:rPr>
          <w:rFonts w:ascii="標楷體" w:eastAsia="標楷體" w:hAnsi="標楷體" w:hint="eastAsia"/>
          <w:b/>
        </w:rPr>
        <w:t>此有故彼有</w:t>
      </w:r>
      <w:r w:rsidRPr="00DA3BC7">
        <w:rPr>
          <w:rFonts w:ascii="Times New Roman" w:hAnsi="Times New Roman" w:hint="eastAsia"/>
          <w:b/>
        </w:rPr>
        <w:t>」</w:t>
      </w:r>
      <w:r w:rsidR="00DB66B9" w:rsidRPr="00DB66B9">
        <w:rPr>
          <w:rFonts w:ascii="Times New Roman" w:hAnsi="Times New Roman" w:hint="eastAsia"/>
          <w:b/>
          <w:color w:val="FF0000"/>
          <w:shd w:val="pct15" w:color="auto" w:fill="FFFFFF"/>
        </w:rPr>
        <w:t>、</w:t>
      </w:r>
      <w:r w:rsidRPr="00DA3BC7">
        <w:rPr>
          <w:rFonts w:ascii="Times New Roman" w:hAnsi="Times New Roman" w:hint="eastAsia"/>
          <w:b/>
        </w:rPr>
        <w:t>「</w:t>
      </w:r>
      <w:r w:rsidRPr="00217AF6">
        <w:rPr>
          <w:rFonts w:ascii="標楷體" w:eastAsia="標楷體" w:hAnsi="標楷體" w:hint="eastAsia"/>
          <w:b/>
        </w:rPr>
        <w:t>此無故彼無</w:t>
      </w:r>
      <w:r w:rsidRPr="00DA3BC7">
        <w:rPr>
          <w:rFonts w:ascii="Times New Roman" w:hAnsi="Times New Roman" w:hint="eastAsia"/>
          <w:b/>
        </w:rPr>
        <w:t>」的。但因緣與果，有親疏的差別，有層次的差別。</w:t>
      </w:r>
      <w:r w:rsidRPr="00DA3BC7">
        <w:rPr>
          <w:rFonts w:ascii="Times New Roman" w:hAnsi="Times New Roman" w:hint="eastAsia"/>
        </w:rPr>
        <w:t>這是說：一法的存在與生起，是由極其複雜，甚至說以一切法為因緣而起，但</w:t>
      </w:r>
      <w:r w:rsidRPr="00DA3BC7">
        <w:rPr>
          <w:rFonts w:ascii="Times New Roman" w:hAnsi="Times New Roman" w:hint="eastAsia"/>
          <w:b/>
        </w:rPr>
        <w:t>在極複雜的因緣中，有主因與疏緣，總是由主因（也不是唯一的）限定其特相，由種種疏緣助成他，如引業、滿業</w:t>
      </w:r>
      <w:r w:rsidRPr="00DA3BC7">
        <w:rPr>
          <w:rStyle w:val="a6"/>
          <w:rFonts w:ascii="Times New Roman" w:hAnsi="Times New Roman"/>
        </w:rPr>
        <w:footnoteReference w:id="814"/>
      </w:r>
      <w:r w:rsidRPr="00DA3BC7">
        <w:rPr>
          <w:rFonts w:ascii="Times New Roman" w:hAnsi="Times New Roman" w:hint="eastAsia"/>
          <w:b/>
        </w:rPr>
        <w:t>之類。</w:t>
      </w:r>
      <w:r w:rsidRPr="00DA3BC7">
        <w:rPr>
          <w:rFonts w:ascii="Times New Roman" w:hAnsi="Times New Roman" w:hint="eastAsia"/>
        </w:rPr>
        <w:t>某法的存在，即由此親因疏緣和合的假有；只要因緣──實在是主因沒有大變動，那疏緣雖有些變動，或有或無，某法的存在，能延續下去。</w:t>
      </w:r>
    </w:p>
    <w:p w:rsidR="00AA120F" w:rsidRPr="00DA3BC7" w:rsidRDefault="00AA120F" w:rsidP="00AE3920">
      <w:pPr>
        <w:spacing w:beforeLines="20"/>
        <w:ind w:leftChars="100" w:left="240"/>
        <w:jc w:val="both"/>
        <w:rPr>
          <w:rFonts w:ascii="Times New Roman" w:hAnsi="Times New Roman"/>
        </w:rPr>
      </w:pPr>
      <w:r w:rsidRPr="00DA3BC7">
        <w:rPr>
          <w:rFonts w:ascii="Times New Roman" w:hAnsi="Times New Roman" w:hint="eastAsia"/>
        </w:rPr>
        <w:t>進一步，此主因與疏緣的存在，本身也由於因緣決定的，也是只要主因不變，即使疏緣有些變動，還是能一期相續的。</w:t>
      </w:r>
    </w:p>
    <w:p w:rsidR="00AA120F" w:rsidRPr="00DA3BC7" w:rsidRDefault="00AA120F" w:rsidP="008E2BBC">
      <w:pPr>
        <w:ind w:leftChars="100" w:left="240"/>
        <w:jc w:val="both"/>
        <w:rPr>
          <w:rFonts w:ascii="Times New Roman" w:hAnsi="Times New Roman"/>
        </w:rPr>
      </w:pPr>
      <w:r w:rsidRPr="00DA3BC7">
        <w:rPr>
          <w:rFonts w:ascii="Times New Roman" w:hAnsi="Times New Roman" w:hint="eastAsia"/>
        </w:rPr>
        <w:t>在這層層的因果網中，儘管是緣在變，因也在變，但在主因還能延續以前，果相能延續下去。如主因所依的主因變了；或疏緣的變化過大，影響主因的存在，由於主因的突變，那果相才不能延續原有形態而走上滅無之路。</w:t>
      </w:r>
    </w:p>
    <w:p w:rsidR="00AA120F" w:rsidRPr="00DA3BC7" w:rsidRDefault="00AA120F" w:rsidP="008E2BBC">
      <w:pPr>
        <w:ind w:leftChars="100" w:left="240"/>
        <w:jc w:val="both"/>
        <w:rPr>
          <w:rFonts w:ascii="Times New Roman" w:hAnsi="Times New Roman"/>
        </w:rPr>
      </w:pPr>
      <w:r w:rsidRPr="00DA3BC7">
        <w:rPr>
          <w:rFonts w:ascii="Times New Roman" w:hAnsi="Times New Roman" w:hint="eastAsia"/>
        </w:rPr>
        <w:t>延續不變，是相對的安定，實是剎那變動的。</w:t>
      </w:r>
    </w:p>
    <w:p w:rsidR="00AA120F" w:rsidRPr="00DA3BC7" w:rsidRDefault="00AA120F" w:rsidP="00AE3920">
      <w:pPr>
        <w:spacing w:beforeLines="20"/>
        <w:ind w:leftChars="100" w:left="240"/>
        <w:jc w:val="both"/>
        <w:rPr>
          <w:rFonts w:ascii="Times New Roman" w:hAnsi="Times New Roman"/>
        </w:rPr>
      </w:pPr>
      <w:r w:rsidRPr="00DA3BC7">
        <w:rPr>
          <w:rFonts w:ascii="Times New Roman" w:hAnsi="Times New Roman" w:hint="eastAsia"/>
        </w:rPr>
        <w:t>要知道：果事的幻相，依於因緣；因緣是無常的，依因緣而有者，即使是延續，實際也還是剎那變動的。</w:t>
      </w:r>
    </w:p>
    <w:p w:rsidR="00AA120F" w:rsidRPr="00DA3BC7" w:rsidRDefault="00AA120F" w:rsidP="00AE3920">
      <w:pPr>
        <w:spacing w:beforeLines="20"/>
        <w:ind w:leftChars="100" w:left="240"/>
        <w:jc w:val="both"/>
        <w:rPr>
          <w:rFonts w:ascii="Times New Roman" w:hAnsi="Times New Roman"/>
        </w:rPr>
      </w:pPr>
      <w:r w:rsidRPr="00DA3BC7">
        <w:rPr>
          <w:rFonts w:ascii="Times New Roman" w:hAnsi="Times New Roman" w:hint="eastAsia"/>
        </w:rPr>
        <w:t>因與緣，即使維持原有的形態，但主因與疏緣所依的主因與疏緣，層層推</w:t>
      </w:r>
      <w:r w:rsidRPr="00DA3BC7">
        <w:rPr>
          <w:rFonts w:ascii="Times New Roman" w:hAnsi="Times New Roman" w:hint="eastAsia"/>
        </w:rPr>
        <w:lastRenderedPageBreak/>
        <w:t>論，是不能一無所變的。</w:t>
      </w:r>
    </w:p>
    <w:p w:rsidR="00DB66B9" w:rsidRPr="00DA3BC7" w:rsidRDefault="00DB66B9" w:rsidP="00AE3920">
      <w:pPr>
        <w:spacing w:beforeLines="30"/>
        <w:ind w:leftChars="100" w:left="240"/>
        <w:jc w:val="both"/>
        <w:rPr>
          <w:rFonts w:ascii="Times New Roman" w:hAnsi="Times New Roman"/>
          <w:b/>
          <w:sz w:val="20"/>
          <w:szCs w:val="20"/>
          <w:bdr w:val="single" w:sz="4" w:space="0" w:color="auto"/>
        </w:rPr>
      </w:pPr>
      <w:r w:rsidRPr="00DB66B9">
        <w:rPr>
          <w:rFonts w:ascii="Times New Roman" w:hAnsi="Times New Roman" w:hint="eastAsia"/>
          <w:b/>
          <w:color w:val="FF0000"/>
          <w:sz w:val="20"/>
          <w:szCs w:val="20"/>
          <w:highlight w:val="yellow"/>
          <w:bdr w:val="single" w:sz="4" w:space="0" w:color="auto"/>
        </w:rPr>
        <w:t>二、舉事喻</w:t>
      </w:r>
      <w:r w:rsidRPr="00DA3BC7">
        <w:rPr>
          <w:rFonts w:ascii="Times New Roman" w:hAnsi="Times New Roman" w:hint="eastAsia"/>
          <w:bCs/>
          <w:sz w:val="20"/>
          <w:szCs w:val="26"/>
        </w:rPr>
        <w:t>（</w:t>
      </w:r>
      <w:r>
        <w:rPr>
          <w:rFonts w:ascii="Times New Roman" w:hAnsi="Times New Roman" w:hint="eastAsia"/>
          <w:bCs/>
          <w:sz w:val="20"/>
          <w:szCs w:val="26"/>
        </w:rPr>
        <w:t>pp.179</w:t>
      </w:r>
      <w:r w:rsidRPr="00DA3BC7">
        <w:rPr>
          <w:rFonts w:ascii="Times New Roman" w:hAnsi="Times New Roman" w:hint="eastAsia"/>
          <w:bCs/>
          <w:sz w:val="20"/>
          <w:szCs w:val="26"/>
        </w:rPr>
        <w:t>-180</w:t>
      </w:r>
      <w:r w:rsidRPr="00DA3BC7">
        <w:rPr>
          <w:rFonts w:ascii="Times New Roman" w:hAnsi="Times New Roman" w:hint="eastAsia"/>
          <w:bCs/>
          <w:sz w:val="20"/>
          <w:szCs w:val="26"/>
        </w:rPr>
        <w:t>）</w:t>
      </w:r>
    </w:p>
    <w:p w:rsidR="00AA120F" w:rsidRPr="00DA3BC7" w:rsidRDefault="00AA120F" w:rsidP="00466F61">
      <w:pPr>
        <w:ind w:leftChars="100" w:left="240"/>
        <w:jc w:val="both"/>
        <w:rPr>
          <w:rFonts w:ascii="Times New Roman" w:hAnsi="Times New Roman"/>
        </w:rPr>
      </w:pPr>
      <w:r w:rsidRPr="00DA3BC7">
        <w:rPr>
          <w:rFonts w:ascii="Times New Roman" w:hAnsi="Times New Roman" w:hint="eastAsia"/>
        </w:rPr>
        <w:t>例如：某法以甲因及乙、丙為緣。此甲因又以丁、戊為因，己、庚為緣；乙緣又以辛為因，壬、癸為緣；丙緣又以子、丑為因，寅、卯、辰為緣。</w:t>
      </w:r>
    </w:p>
    <w:p w:rsidR="00AA120F" w:rsidRPr="00DA3BC7" w:rsidRDefault="00AA120F" w:rsidP="00AE3920">
      <w:pPr>
        <w:spacing w:beforeLines="20"/>
        <w:ind w:leftChars="100" w:left="240"/>
        <w:jc w:val="both"/>
        <w:rPr>
          <w:rFonts w:ascii="Times New Roman" w:hAnsi="Times New Roman"/>
        </w:rPr>
      </w:pPr>
      <w:r w:rsidRPr="00DA3BC7">
        <w:rPr>
          <w:rFonts w:ascii="Times New Roman" w:hAnsi="Times New Roman" w:hint="eastAsia"/>
        </w:rPr>
        <w:t>假使第二剎那，甲因仍以丁、戊為因，而以己、巳為緣。那甲因雖以主因不變而維持原有的形態，而實則疏緣已漸變，依因緣而成的甲，與前剎那也不盡相同了。</w:t>
      </w:r>
    </w:p>
    <w:p w:rsidR="00AA120F" w:rsidRPr="00DA3BC7" w:rsidRDefault="00AA120F" w:rsidP="00AE3920">
      <w:pPr>
        <w:spacing w:beforeLines="20"/>
        <w:ind w:leftChars="100" w:left="240"/>
        <w:jc w:val="both"/>
        <w:rPr>
          <w:rFonts w:ascii="Times New Roman" w:hAnsi="Times New Roman"/>
        </w:rPr>
      </w:pPr>
      <w:r w:rsidRPr="00DA3BC7">
        <w:rPr>
          <w:rFonts w:ascii="Times New Roman" w:hAnsi="Times New Roman" w:hint="eastAsia"/>
        </w:rPr>
        <w:t>假定乙緣的主因變化，丙緣的主因未變，那麼，某法的疏緣，已僅是丙緣及新起的午、未為緣。</w:t>
      </w:r>
    </w:p>
    <w:p w:rsidR="00AA120F" w:rsidRPr="00DA3BC7" w:rsidRDefault="00AA120F" w:rsidP="00AE3920">
      <w:pPr>
        <w:spacing w:beforeLines="20"/>
        <w:ind w:leftChars="100" w:left="240"/>
        <w:jc w:val="both"/>
        <w:rPr>
          <w:rFonts w:ascii="Times New Roman" w:hAnsi="Times New Roman"/>
        </w:rPr>
      </w:pPr>
      <w:r w:rsidRPr="00DA3BC7">
        <w:rPr>
          <w:rFonts w:ascii="Times New Roman" w:hAnsi="Times New Roman" w:hint="eastAsia"/>
        </w:rPr>
        <w:t>此第二剎那的某法，甲因未變而實際也不盡同，乙緣消失，丙緣還在而有午緣、未緣的新起。此時，雖主因的甲大體仍舊，而某法能延續原有形態，而依甲因及丙、午、</w:t>
      </w:r>
      <w:r w:rsidRPr="00DA3BC7">
        <w:rPr>
          <w:rFonts w:hint="eastAsia"/>
        </w:rPr>
        <w:t>未</w:t>
      </w:r>
      <w:r w:rsidRPr="00DA3BC7">
        <w:rPr>
          <w:rFonts w:ascii="Times New Roman" w:hAnsi="Times New Roman" w:hint="eastAsia"/>
        </w:rPr>
        <w:t>緣所現的假相，剎那間已早不同前念了。</w:t>
      </w:r>
    </w:p>
    <w:p w:rsidR="00AA120F" w:rsidRPr="00DA3BC7" w:rsidRDefault="00DB66B9" w:rsidP="00AE3920">
      <w:pPr>
        <w:spacing w:beforeLines="30"/>
        <w:ind w:leftChars="100" w:left="240"/>
        <w:jc w:val="both"/>
        <w:rPr>
          <w:rFonts w:ascii="Times New Roman" w:hAnsi="Times New Roman"/>
          <w:b/>
          <w:sz w:val="20"/>
          <w:szCs w:val="20"/>
          <w:bdr w:val="single" w:sz="4" w:space="0" w:color="auto"/>
        </w:rPr>
      </w:pPr>
      <w:r w:rsidRPr="00DB66B9">
        <w:rPr>
          <w:rFonts w:ascii="Times New Roman" w:hAnsi="Times New Roman" w:hint="eastAsia"/>
          <w:b/>
          <w:color w:val="FF0000"/>
          <w:sz w:val="20"/>
          <w:szCs w:val="20"/>
          <w:highlight w:val="yellow"/>
          <w:bdr w:val="single" w:sz="4" w:space="0" w:color="auto"/>
        </w:rPr>
        <w:t>三</w:t>
      </w:r>
      <w:r w:rsidR="00AA120F" w:rsidRPr="00DB66B9">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歸宗趣</w:t>
      </w:r>
      <w:r w:rsidR="00AA120F" w:rsidRPr="00DA3BC7">
        <w:rPr>
          <w:rFonts w:ascii="Times New Roman" w:hAnsi="Times New Roman" w:hint="eastAsia"/>
          <w:bCs/>
          <w:sz w:val="20"/>
          <w:szCs w:val="26"/>
        </w:rPr>
        <w:t>（</w:t>
      </w:r>
      <w:r w:rsidR="00AA120F" w:rsidRPr="00DA3BC7">
        <w:rPr>
          <w:rFonts w:ascii="Times New Roman" w:hAnsi="Times New Roman" w:hint="eastAsia"/>
          <w:bCs/>
          <w:sz w:val="20"/>
          <w:szCs w:val="26"/>
        </w:rPr>
        <w:t>p.1</w:t>
      </w:r>
      <w:r>
        <w:rPr>
          <w:rFonts w:ascii="Times New Roman" w:hAnsi="Times New Roman" w:hint="eastAsia"/>
          <w:bCs/>
          <w:color w:val="FF0000"/>
          <w:sz w:val="20"/>
          <w:szCs w:val="26"/>
        </w:rPr>
        <w:t>80</w:t>
      </w:r>
      <w:r w:rsidR="00AA120F" w:rsidRPr="00DA3BC7">
        <w:rPr>
          <w:rFonts w:ascii="Times New Roman" w:hAnsi="Times New Roman" w:hint="eastAsia"/>
          <w:bCs/>
          <w:sz w:val="20"/>
          <w:szCs w:val="26"/>
        </w:rPr>
        <w:t>）</w:t>
      </w:r>
    </w:p>
    <w:p w:rsidR="00AA120F" w:rsidRPr="00DA3BC7" w:rsidRDefault="00AA120F" w:rsidP="00466F61">
      <w:pPr>
        <w:ind w:leftChars="100" w:left="240"/>
        <w:jc w:val="both"/>
        <w:rPr>
          <w:rFonts w:ascii="Times New Roman" w:hAnsi="Times New Roman"/>
        </w:rPr>
      </w:pPr>
      <w:r w:rsidRPr="00DA3BC7">
        <w:rPr>
          <w:rFonts w:ascii="Times New Roman" w:hAnsi="Times New Roman" w:hint="eastAsia"/>
        </w:rPr>
        <w:t>近人說</w:t>
      </w:r>
      <w:r w:rsidRPr="00DA3BC7">
        <w:rPr>
          <w:rFonts w:ascii="Times New Roman" w:hAnsi="Times New Roman" w:hint="eastAsia"/>
          <w:b/>
        </w:rPr>
        <w:t>質變</w:t>
      </w:r>
      <w:r w:rsidRPr="00DA3BC7">
        <w:rPr>
          <w:rStyle w:val="a6"/>
          <w:rFonts w:ascii="Times New Roman" w:hAnsi="Times New Roman"/>
        </w:rPr>
        <w:footnoteReference w:id="815"/>
      </w:r>
      <w:r w:rsidRPr="00DA3BC7">
        <w:rPr>
          <w:rFonts w:ascii="Times New Roman" w:hAnsi="Times New Roman" w:hint="eastAsia"/>
        </w:rPr>
        <w:t>與</w:t>
      </w:r>
      <w:r w:rsidRPr="00DA3BC7">
        <w:rPr>
          <w:rFonts w:ascii="Times New Roman" w:hAnsi="Times New Roman" w:hint="eastAsia"/>
          <w:b/>
        </w:rPr>
        <w:t>量變</w:t>
      </w:r>
      <w:r w:rsidRPr="00DA3BC7">
        <w:rPr>
          <w:rStyle w:val="a6"/>
          <w:rFonts w:ascii="Times New Roman" w:hAnsi="Times New Roman"/>
        </w:rPr>
        <w:footnoteReference w:id="816"/>
      </w:r>
      <w:r w:rsidRPr="00DA3BC7">
        <w:rPr>
          <w:rFonts w:ascii="Times New Roman" w:hAnsi="Times New Roman" w:hint="eastAsia"/>
        </w:rPr>
        <w:t>，即近於</w:t>
      </w:r>
      <w:r w:rsidRPr="00DA3BC7">
        <w:rPr>
          <w:rFonts w:ascii="Times New Roman" w:hAnsi="Times New Roman" w:hint="eastAsia"/>
          <w:b/>
        </w:rPr>
        <w:t>因變</w:t>
      </w:r>
      <w:r w:rsidRPr="00DA3BC7">
        <w:rPr>
          <w:rFonts w:ascii="Times New Roman" w:hAnsi="Times New Roman" w:hint="eastAsia"/>
        </w:rPr>
        <w:t>與</w:t>
      </w:r>
      <w:r w:rsidRPr="00DA3BC7">
        <w:rPr>
          <w:rFonts w:ascii="Times New Roman" w:hAnsi="Times New Roman" w:hint="eastAsia"/>
          <w:b/>
        </w:rPr>
        <w:t>緣變</w:t>
      </w:r>
      <w:r w:rsidRPr="00DA3BC7">
        <w:rPr>
          <w:rFonts w:ascii="Times New Roman" w:hAnsi="Times New Roman" w:hint="eastAsia"/>
        </w:rPr>
        <w:t>。</w:t>
      </w:r>
    </w:p>
    <w:p w:rsidR="00AA120F" w:rsidRPr="00DA3BC7" w:rsidRDefault="00AA120F" w:rsidP="00AE3920">
      <w:pPr>
        <w:spacing w:beforeLines="20"/>
        <w:ind w:leftChars="100" w:left="240"/>
        <w:jc w:val="both"/>
        <w:rPr>
          <w:rFonts w:ascii="Times New Roman" w:hAnsi="Times New Roman"/>
        </w:rPr>
      </w:pPr>
      <w:r w:rsidRPr="00DA3BC7">
        <w:rPr>
          <w:rFonts w:ascii="Times New Roman" w:hAnsi="Times New Roman" w:hint="eastAsia"/>
        </w:rPr>
        <w:t>然在剎那生滅的如幻觀中，因不變，或說依主因形成的特質不變，不過相對的假說，實則此因或質，也未嘗不在潛移變化中。</w:t>
      </w:r>
    </w:p>
    <w:p w:rsidR="00AA120F" w:rsidRPr="00DA3BC7" w:rsidRDefault="00AA120F" w:rsidP="00AE3920">
      <w:pPr>
        <w:spacing w:beforeLines="20"/>
        <w:ind w:leftChars="100" w:left="240"/>
        <w:jc w:val="both"/>
        <w:rPr>
          <w:rFonts w:ascii="Times New Roman" w:hAnsi="Times New Roman"/>
        </w:rPr>
      </w:pPr>
      <w:r w:rsidRPr="00DA3BC7">
        <w:rPr>
          <w:rFonts w:ascii="Times New Roman" w:hAnsi="Times New Roman" w:hint="eastAsia"/>
        </w:rPr>
        <w:t>由於主因疏緣不息的變，不離因緣而有果事，果相也不能不在剎那變化中。</w:t>
      </w:r>
    </w:p>
    <w:p w:rsidR="00AA120F" w:rsidRPr="00DA3BC7" w:rsidRDefault="00AA120F" w:rsidP="00AE3920">
      <w:pPr>
        <w:spacing w:beforeLines="20"/>
        <w:ind w:leftChars="100" w:left="240"/>
        <w:jc w:val="both"/>
        <w:rPr>
          <w:rFonts w:ascii="Times New Roman" w:hAnsi="Times New Roman"/>
        </w:rPr>
      </w:pPr>
      <w:r w:rsidRPr="00DA3BC7">
        <w:rPr>
          <w:rFonts w:ascii="Times New Roman" w:hAnsi="Times New Roman" w:hint="eastAsia"/>
        </w:rPr>
        <w:t>由於果相的不即因緣，所以</w:t>
      </w:r>
      <w:r w:rsidRPr="00DA3BC7">
        <w:rPr>
          <w:rFonts w:ascii="Times New Roman" w:hAnsi="Times New Roman" w:hint="eastAsia"/>
          <w:b/>
        </w:rPr>
        <w:t>在主因的相對安定下，果相能一期延續</w:t>
      </w:r>
      <w:r w:rsidRPr="00DA3BC7">
        <w:rPr>
          <w:rFonts w:ascii="Times New Roman" w:hAnsi="Times New Roman" w:hint="eastAsia"/>
        </w:rPr>
        <w:t>。</w:t>
      </w:r>
    </w:p>
    <w:p w:rsidR="00AA120F" w:rsidRPr="00DA3BC7" w:rsidRDefault="00AA120F" w:rsidP="00AE3920">
      <w:pPr>
        <w:spacing w:beforeLines="20"/>
        <w:ind w:leftChars="100" w:left="240"/>
        <w:jc w:val="both"/>
        <w:rPr>
          <w:rFonts w:ascii="Times New Roman" w:hAnsi="Times New Roman"/>
        </w:rPr>
        <w:sectPr w:rsidR="00AA120F" w:rsidRPr="00DA3BC7" w:rsidSect="004F4714">
          <w:headerReference w:type="default" r:id="rId58"/>
          <w:footnotePr>
            <w:numRestart w:val="eachSect"/>
          </w:footnotePr>
          <w:pgSz w:w="10773" w:h="14742" w:code="155"/>
          <w:pgMar w:top="1418" w:right="1418" w:bottom="1418" w:left="1418" w:header="851" w:footer="992" w:gutter="0"/>
          <w:cols w:space="425"/>
          <w:docGrid w:type="lines" w:linePitch="360"/>
        </w:sectPr>
      </w:pPr>
      <w:r w:rsidRPr="00DA3BC7">
        <w:rPr>
          <w:rFonts w:ascii="Times New Roman" w:hAnsi="Times New Roman" w:hint="eastAsia"/>
          <w:b/>
        </w:rPr>
        <w:t>剎那即滅</w:t>
      </w:r>
      <w:r w:rsidRPr="00DA3BC7">
        <w:rPr>
          <w:rFonts w:ascii="Times New Roman" w:hAnsi="Times New Roman" w:hint="eastAsia"/>
        </w:rPr>
        <w:t>與</w:t>
      </w:r>
      <w:r w:rsidRPr="00DA3BC7">
        <w:rPr>
          <w:rFonts w:ascii="Times New Roman" w:hAnsi="Times New Roman" w:hint="eastAsia"/>
          <w:b/>
        </w:rPr>
        <w:t>長時相續</w:t>
      </w:r>
      <w:r w:rsidRPr="00DA3BC7">
        <w:rPr>
          <w:rFonts w:ascii="Times New Roman" w:hAnsi="Times New Roman" w:hint="eastAsia"/>
        </w:rPr>
        <w:t>，</w:t>
      </w:r>
      <w:r w:rsidRPr="00DA3BC7">
        <w:rPr>
          <w:rFonts w:ascii="Times New Roman" w:hAnsi="Times New Roman" w:hint="eastAsia"/>
          <w:b/>
        </w:rPr>
        <w:t>毫無矛盾</w:t>
      </w:r>
      <w:r w:rsidRPr="00DA3BC7">
        <w:rPr>
          <w:rFonts w:ascii="Times New Roman" w:hAnsi="Times New Roman" w:hint="eastAsia"/>
        </w:rPr>
        <w:t>。也可以說：</w:t>
      </w:r>
      <w:r w:rsidRPr="00DA3BC7">
        <w:rPr>
          <w:rFonts w:ascii="Times New Roman" w:hAnsi="Times New Roman" w:hint="eastAsia"/>
          <w:b/>
        </w:rPr>
        <w:t>絕無自性所以剎那滅，不即因緣而幻相宛然所以能相續</w:t>
      </w:r>
      <w:r w:rsidRPr="00DA3BC7">
        <w:rPr>
          <w:rFonts w:ascii="Times New Roman" w:hAnsi="Times New Roman" w:hint="eastAsia"/>
        </w:rPr>
        <w:t>。</w:t>
      </w:r>
    </w:p>
    <w:p w:rsidR="00AA120F" w:rsidRPr="00DA3BC7" w:rsidRDefault="00AA120F" w:rsidP="008E2BBC">
      <w:pPr>
        <w:pStyle w:val="1"/>
      </w:pPr>
      <w:bookmarkStart w:id="122" w:name="_Toc405499793"/>
      <w:r w:rsidRPr="00DA3BC7">
        <w:rPr>
          <w:rFonts w:hint="eastAsia"/>
        </w:rPr>
        <w:lastRenderedPageBreak/>
        <w:t>第九章、現象與實性之中道</w:t>
      </w:r>
      <w:bookmarkEnd w:id="122"/>
    </w:p>
    <w:p w:rsidR="00AA120F" w:rsidRPr="00DA3BC7" w:rsidRDefault="00AA120F" w:rsidP="008E2BBC">
      <w:pPr>
        <w:pStyle w:val="2"/>
      </w:pPr>
      <w:bookmarkStart w:id="123" w:name="_Toc405499794"/>
      <w:r w:rsidRPr="00DA3BC7">
        <w:rPr>
          <w:rFonts w:hint="eastAsia"/>
        </w:rPr>
        <w:t>第一節、太過、不及、中道</w:t>
      </w:r>
      <w:bookmarkEnd w:id="123"/>
    </w:p>
    <w:p w:rsidR="00AA120F" w:rsidRPr="00DA3BC7" w:rsidRDefault="00AA120F" w:rsidP="008E2BBC">
      <w:pPr>
        <w:jc w:val="center"/>
      </w:pPr>
      <w:r w:rsidRPr="00DA3BC7">
        <w:t>（</w:t>
      </w:r>
      <w:r w:rsidRPr="00DA3BC7">
        <w:rPr>
          <w:rFonts w:ascii="Times New Roman" w:hAnsi="Times New Roman"/>
        </w:rPr>
        <w:t>pp</w:t>
      </w:r>
      <w:r w:rsidRPr="00DA3BC7">
        <w:t>.</w:t>
      </w:r>
      <w:r w:rsidRPr="00DA3BC7">
        <w:rPr>
          <w:rFonts w:ascii="Times New Roman" w:hAnsi="Times New Roman" w:hint="eastAsia"/>
        </w:rPr>
        <w:t>181</w:t>
      </w:r>
      <w:r w:rsidRPr="00DA3BC7">
        <w:t>-</w:t>
      </w:r>
      <w:r w:rsidRPr="00DA3BC7">
        <w:rPr>
          <w:rFonts w:ascii="Times New Roman" w:hAnsi="Times New Roman" w:hint="eastAsia"/>
        </w:rPr>
        <w:t>192</w:t>
      </w:r>
      <w:r w:rsidRPr="00DA3BC7">
        <w:t>）</w:t>
      </w:r>
    </w:p>
    <w:p w:rsidR="00AA120F" w:rsidRPr="00DA3BC7" w:rsidRDefault="00AA120F" w:rsidP="008E2BBC">
      <w:pPr>
        <w:pStyle w:val="Author"/>
      </w:pPr>
    </w:p>
    <w:p w:rsidR="00AA120F" w:rsidRPr="00DA3BC7" w:rsidRDefault="00AA120F" w:rsidP="00AE3920">
      <w:pPr>
        <w:spacing w:beforeLines="50"/>
        <w:jc w:val="both"/>
        <w:rPr>
          <w:rFonts w:ascii="Times Ext Roman" w:hAnsi="Times Ext Roman" w:cs="Times Ext Roman"/>
          <w:b/>
          <w:sz w:val="20"/>
          <w:bdr w:val="single" w:sz="4" w:space="0" w:color="auto"/>
        </w:rPr>
      </w:pPr>
      <w:r w:rsidRPr="00DA3BC7">
        <w:rPr>
          <w:rFonts w:ascii="Times Ext Roman" w:hAnsi="Times Ext Roman" w:cs="Times Ext Roman" w:hint="eastAsia"/>
          <w:b/>
          <w:sz w:val="20"/>
          <w:bdr w:val="single" w:sz="4" w:space="0" w:color="auto"/>
        </w:rPr>
        <w:t>壹</w:t>
      </w:r>
      <w:r w:rsidRPr="00DA3BC7">
        <w:rPr>
          <w:rFonts w:ascii="Times Ext Roman" w:hAnsi="Times Ext Roman" w:cs="Times Ext Roman"/>
          <w:b/>
          <w:sz w:val="20"/>
          <w:bdr w:val="single" w:sz="4" w:space="0" w:color="auto"/>
        </w:rPr>
        <w:t>、</w:t>
      </w:r>
      <w:r w:rsidR="009B709F" w:rsidRPr="009B709F">
        <w:rPr>
          <w:rFonts w:ascii="Times Ext Roman" w:hAnsi="Times Ext Roman" w:cs="Times Ext Roman" w:hint="eastAsia"/>
          <w:b/>
          <w:color w:val="FF0000"/>
          <w:sz w:val="20"/>
          <w:highlight w:val="yellow"/>
          <w:bdr w:val="single" w:sz="4" w:space="0" w:color="auto"/>
        </w:rPr>
        <w:t>導</w:t>
      </w:r>
      <w:r w:rsidR="00C73CA4">
        <w:rPr>
          <w:rFonts w:ascii="Times Ext Roman" w:hAnsi="Times Ext Roman" w:cs="Times Ext Roman" w:hint="eastAsia"/>
          <w:b/>
          <w:color w:val="FF0000"/>
          <w:sz w:val="20"/>
          <w:highlight w:val="yellow"/>
          <w:bdr w:val="single" w:sz="4" w:space="0" w:color="auto"/>
        </w:rPr>
        <w:t>言</w:t>
      </w:r>
      <w:r w:rsidRPr="00DA3BC7">
        <w:rPr>
          <w:rFonts w:ascii="Times Ext Roman" w:hAnsi="Times Ext Roman" w:cs="Times Ext Roman" w:hint="eastAsia"/>
          <w:sz w:val="20"/>
        </w:rPr>
        <w:t>（</w:t>
      </w:r>
      <w:r w:rsidRPr="00DA3BC7">
        <w:rPr>
          <w:rFonts w:ascii="Times New Roman" w:hAnsi="Times New Roman" w:cs="Times Ext Roman" w:hint="eastAsia"/>
          <w:sz w:val="20"/>
        </w:rPr>
        <w:t>p</w:t>
      </w:r>
      <w:r w:rsidRPr="00DA3BC7">
        <w:rPr>
          <w:rFonts w:ascii="Times Ext Roman" w:hAnsi="Times Ext Roman" w:cs="Times Ext Roman" w:hint="eastAsia"/>
          <w:sz w:val="20"/>
        </w:rPr>
        <w:t>.</w:t>
      </w:r>
      <w:r w:rsidRPr="00DA3BC7">
        <w:rPr>
          <w:rFonts w:ascii="Times New Roman" w:hAnsi="Times New Roman" w:cs="Times Ext Roman" w:hint="eastAsia"/>
          <w:sz w:val="20"/>
        </w:rPr>
        <w:t>181</w:t>
      </w:r>
      <w:r w:rsidRPr="00DA3BC7">
        <w:rPr>
          <w:rFonts w:ascii="Times Ext Roman" w:hAnsi="Times Ext Roman" w:cs="Times Ext Roman" w:hint="eastAsia"/>
          <w:sz w:val="20"/>
        </w:rPr>
        <w:t>）</w:t>
      </w:r>
    </w:p>
    <w:p w:rsidR="00C73CA4" w:rsidRDefault="00C73CA4" w:rsidP="00E45051">
      <w:pPr>
        <w:ind w:leftChars="50" w:left="120"/>
        <w:jc w:val="both"/>
        <w:rPr>
          <w:rFonts w:ascii="Times Ext Roman" w:hAnsi="Times Ext Roman" w:cs="Times Ext Roman"/>
          <w:sz w:val="20"/>
        </w:rPr>
      </w:pPr>
      <w:r w:rsidRPr="00C73CA4">
        <w:rPr>
          <w:rFonts w:ascii="Times Ext Roman" w:hAnsi="Times Ext Roman" w:cs="Times Ext Roman"/>
          <w:b/>
          <w:color w:val="FF0000"/>
          <w:sz w:val="20"/>
          <w:highlight w:val="yellow"/>
          <w:bdr w:val="single" w:sz="4" w:space="0" w:color="auto"/>
        </w:rPr>
        <w:t>（壹）</w:t>
      </w:r>
      <w:r w:rsidRPr="00C73CA4">
        <w:rPr>
          <w:rFonts w:ascii="Times Ext Roman" w:hAnsi="Times Ext Roman" w:cs="Times Ext Roman" w:hint="eastAsia"/>
          <w:b/>
          <w:color w:val="FF0000"/>
          <w:sz w:val="20"/>
          <w:highlight w:val="yellow"/>
          <w:bdr w:val="single" w:sz="4" w:space="0" w:color="auto"/>
        </w:rPr>
        <w:t>空有相成，偏則失</w:t>
      </w:r>
      <w:r w:rsidRPr="00DA3BC7">
        <w:rPr>
          <w:rFonts w:ascii="Times Ext Roman" w:hAnsi="Times Ext Roman" w:cs="Times Ext Roman" w:hint="eastAsia"/>
          <w:sz w:val="20"/>
        </w:rPr>
        <w:t>（</w:t>
      </w:r>
      <w:r w:rsidRPr="00DA3BC7">
        <w:rPr>
          <w:rFonts w:ascii="Times New Roman" w:hAnsi="Times New Roman" w:cs="Times Ext Roman" w:hint="eastAsia"/>
          <w:sz w:val="20"/>
        </w:rPr>
        <w:t>p</w:t>
      </w:r>
      <w:r w:rsidRPr="00DA3BC7">
        <w:rPr>
          <w:rFonts w:ascii="Times Ext Roman" w:hAnsi="Times Ext Roman" w:cs="Times Ext Roman" w:hint="eastAsia"/>
          <w:sz w:val="20"/>
        </w:rPr>
        <w:t>.</w:t>
      </w:r>
      <w:r w:rsidRPr="00DA3BC7">
        <w:rPr>
          <w:rFonts w:ascii="Times New Roman" w:hAnsi="Times New Roman" w:cs="Times Ext Roman" w:hint="eastAsia"/>
          <w:sz w:val="20"/>
        </w:rPr>
        <w:t>181</w:t>
      </w:r>
      <w:r w:rsidRPr="00DA3BC7">
        <w:rPr>
          <w:rFonts w:ascii="Times Ext Roman" w:hAnsi="Times Ext Roman" w:cs="Times Ext Roman" w:hint="eastAsia"/>
          <w:sz w:val="20"/>
        </w:rPr>
        <w:t>）</w:t>
      </w:r>
    </w:p>
    <w:p w:rsidR="00AA120F" w:rsidRPr="00DA3BC7" w:rsidRDefault="00AA120F" w:rsidP="00E45051">
      <w:pPr>
        <w:ind w:leftChars="50" w:left="120"/>
        <w:jc w:val="both"/>
      </w:pPr>
      <w:r w:rsidRPr="00DA3BC7">
        <w:rPr>
          <w:rFonts w:hint="eastAsia"/>
          <w:b/>
        </w:rPr>
        <w:t>緣起</w:t>
      </w:r>
      <w:r w:rsidRPr="00DA3BC7">
        <w:rPr>
          <w:rFonts w:hint="eastAsia"/>
        </w:rPr>
        <w:t>是側重於</w:t>
      </w:r>
      <w:r w:rsidRPr="00DA3BC7">
        <w:rPr>
          <w:rFonts w:hint="eastAsia"/>
          <w:b/>
        </w:rPr>
        <w:t>現象</w:t>
      </w:r>
      <w:r w:rsidRPr="00DA3BC7">
        <w:rPr>
          <w:rFonts w:hint="eastAsia"/>
        </w:rPr>
        <w:t>的，</w:t>
      </w:r>
      <w:r w:rsidRPr="00DA3BC7">
        <w:rPr>
          <w:rFonts w:hint="eastAsia"/>
          <w:b/>
        </w:rPr>
        <w:t>性空</w:t>
      </w:r>
      <w:r w:rsidRPr="00DA3BC7">
        <w:rPr>
          <w:rFonts w:hint="eastAsia"/>
        </w:rPr>
        <w:t>是側重於</w:t>
      </w:r>
      <w:r w:rsidRPr="00DA3BC7">
        <w:rPr>
          <w:rFonts w:hint="eastAsia"/>
          <w:b/>
        </w:rPr>
        <w:t>實相</w:t>
      </w:r>
      <w:r w:rsidRPr="00DA3BC7">
        <w:rPr>
          <w:rFonts w:hint="eastAsia"/>
        </w:rPr>
        <w:t>的、</w:t>
      </w:r>
      <w:r w:rsidRPr="00DA3BC7">
        <w:rPr>
          <w:rFonts w:hint="eastAsia"/>
          <w:b/>
        </w:rPr>
        <w:t>本性</w:t>
      </w:r>
      <w:r w:rsidRPr="00DA3BC7">
        <w:rPr>
          <w:rFonts w:hint="eastAsia"/>
        </w:rPr>
        <w:t>的。依佛法來看，現象與本性的中道，是甚深的。</w:t>
      </w:r>
    </w:p>
    <w:p w:rsidR="00AA120F" w:rsidRPr="00DA3BC7" w:rsidRDefault="00AA120F" w:rsidP="00AE3920">
      <w:pPr>
        <w:spacing w:beforeLines="20"/>
        <w:ind w:leftChars="50" w:left="120"/>
        <w:jc w:val="both"/>
      </w:pPr>
      <w:r w:rsidRPr="00DA3BC7">
        <w:rPr>
          <w:rFonts w:hint="eastAsia"/>
        </w:rPr>
        <w:t>佛法的說明</w:t>
      </w:r>
      <w:r w:rsidRPr="00DA3BC7">
        <w:rPr>
          <w:rFonts w:hint="eastAsia"/>
          <w:b/>
        </w:rPr>
        <w:t>諸法實相</w:t>
      </w:r>
      <w:r w:rsidRPr="00DA3BC7">
        <w:rPr>
          <w:rFonts w:hint="eastAsia"/>
        </w:rPr>
        <w:t>，以此相對的二門──</w:t>
      </w:r>
      <w:r w:rsidRPr="00DA3BC7">
        <w:rPr>
          <w:rFonts w:hint="eastAsia"/>
          <w:b/>
        </w:rPr>
        <w:t>緣起</w:t>
      </w:r>
      <w:r w:rsidRPr="00DA3BC7">
        <w:rPr>
          <w:rFonts w:hint="eastAsia"/>
        </w:rPr>
        <w:t>與</w:t>
      </w:r>
      <w:r w:rsidRPr="00DA3BC7">
        <w:rPr>
          <w:rFonts w:hint="eastAsia"/>
          <w:b/>
        </w:rPr>
        <w:t>性空</w:t>
      </w:r>
      <w:r w:rsidRPr="00DA3BC7">
        <w:rPr>
          <w:rFonts w:hint="eastAsia"/>
        </w:rPr>
        <w:t>為方便。從緣起明性空，依性空明緣起，如不能適中的恰到好處，即有</w:t>
      </w:r>
      <w:r w:rsidRPr="00DA3BC7">
        <w:rPr>
          <w:rFonts w:hint="eastAsia"/>
          <w:b/>
        </w:rPr>
        <w:t>太過</w:t>
      </w:r>
      <w:r w:rsidRPr="00DA3BC7">
        <w:rPr>
          <w:rFonts w:hint="eastAsia"/>
        </w:rPr>
        <w:t>與</w:t>
      </w:r>
      <w:r w:rsidRPr="00DA3BC7">
        <w:rPr>
          <w:rFonts w:hint="eastAsia"/>
          <w:b/>
        </w:rPr>
        <w:t>不及</w:t>
      </w:r>
      <w:r w:rsidRPr="00DA3BC7">
        <w:rPr>
          <w:rFonts w:hint="eastAsia"/>
        </w:rPr>
        <w:t>的誤解。</w:t>
      </w:r>
    </w:p>
    <w:p w:rsidR="00C73CA4" w:rsidRPr="00DA3BC7" w:rsidRDefault="00C73CA4" w:rsidP="00AE3920">
      <w:pPr>
        <w:spacing w:beforeLines="30"/>
        <w:ind w:leftChars="50" w:left="120"/>
        <w:jc w:val="both"/>
        <w:rPr>
          <w:rFonts w:ascii="Times Ext Roman" w:hAnsi="Times Ext Roman" w:cs="Times Ext Roman"/>
          <w:b/>
          <w:sz w:val="20"/>
          <w:bdr w:val="single" w:sz="4" w:space="0" w:color="auto"/>
        </w:rPr>
      </w:pPr>
      <w:r w:rsidRPr="00C73CA4">
        <w:rPr>
          <w:rFonts w:ascii="Times Ext Roman" w:hAnsi="Times Ext Roman" w:cs="Times Ext Roman"/>
          <w:b/>
          <w:color w:val="FF0000"/>
          <w:sz w:val="20"/>
          <w:highlight w:val="yellow"/>
          <w:bdr w:val="single" w:sz="4" w:space="0" w:color="auto"/>
        </w:rPr>
        <w:t>（</w:t>
      </w:r>
      <w:r w:rsidRPr="00C73CA4">
        <w:rPr>
          <w:rFonts w:ascii="Times Ext Roman" w:hAnsi="Times Ext Roman" w:cs="Times Ext Roman" w:hint="eastAsia"/>
          <w:b/>
          <w:color w:val="FF0000"/>
          <w:sz w:val="20"/>
          <w:highlight w:val="yellow"/>
          <w:bdr w:val="single" w:sz="4" w:space="0" w:color="auto"/>
        </w:rPr>
        <w:t>貳</w:t>
      </w:r>
      <w:r w:rsidRPr="00C73CA4">
        <w:rPr>
          <w:rFonts w:ascii="Times Ext Roman" w:hAnsi="Times Ext Roman" w:cs="Times Ext Roman"/>
          <w:b/>
          <w:color w:val="FF0000"/>
          <w:sz w:val="20"/>
          <w:highlight w:val="yellow"/>
          <w:bdr w:val="single" w:sz="4" w:space="0" w:color="auto"/>
        </w:rPr>
        <w:t>）</w:t>
      </w:r>
      <w:r w:rsidRPr="00C73CA4">
        <w:rPr>
          <w:rFonts w:ascii="Times Ext Roman" w:hAnsi="Times Ext Roman" w:cs="Times Ext Roman" w:hint="eastAsia"/>
          <w:b/>
          <w:color w:val="FF0000"/>
          <w:sz w:val="20"/>
          <w:highlight w:val="yellow"/>
          <w:bdr w:val="single" w:sz="4" w:space="0" w:color="auto"/>
        </w:rPr>
        <w:t>過與不及</w:t>
      </w:r>
      <w:r w:rsidR="00DE4B35">
        <w:rPr>
          <w:rFonts w:ascii="Times Ext Roman" w:hAnsi="Times Ext Roman" w:cs="Times Ext Roman" w:hint="eastAsia"/>
          <w:b/>
          <w:color w:val="FF0000"/>
          <w:sz w:val="20"/>
          <w:highlight w:val="yellow"/>
          <w:bdr w:val="single" w:sz="4" w:space="0" w:color="auto"/>
        </w:rPr>
        <w:t>，</w:t>
      </w:r>
      <w:r w:rsidRPr="00C73CA4">
        <w:rPr>
          <w:rFonts w:ascii="Times Ext Roman" w:hAnsi="Times Ext Roman" w:cs="Times Ext Roman" w:hint="eastAsia"/>
          <w:b/>
          <w:color w:val="FF0000"/>
          <w:sz w:val="20"/>
          <w:highlight w:val="yellow"/>
          <w:bdr w:val="single" w:sz="4" w:space="0" w:color="auto"/>
        </w:rPr>
        <w:t>失中道</w:t>
      </w:r>
      <w:r w:rsidRPr="00DA3BC7">
        <w:rPr>
          <w:rFonts w:ascii="Times Ext Roman" w:hAnsi="Times Ext Roman" w:cs="Times Ext Roman" w:hint="eastAsia"/>
          <w:sz w:val="20"/>
        </w:rPr>
        <w:t>（</w:t>
      </w:r>
      <w:r w:rsidRPr="00DA3BC7">
        <w:rPr>
          <w:rFonts w:ascii="Times New Roman" w:hAnsi="Times New Roman" w:cs="Times Ext Roman" w:hint="eastAsia"/>
          <w:sz w:val="20"/>
        </w:rPr>
        <w:t>p</w:t>
      </w:r>
      <w:r w:rsidRPr="00DA3BC7">
        <w:rPr>
          <w:rFonts w:ascii="Times Ext Roman" w:hAnsi="Times Ext Roman" w:cs="Times Ext Roman" w:hint="eastAsia"/>
          <w:sz w:val="20"/>
        </w:rPr>
        <w:t>.</w:t>
      </w:r>
      <w:r w:rsidRPr="00DA3BC7">
        <w:rPr>
          <w:rFonts w:ascii="Times New Roman" w:hAnsi="Times New Roman" w:cs="Times Ext Roman" w:hint="eastAsia"/>
          <w:sz w:val="20"/>
        </w:rPr>
        <w:t>181</w:t>
      </w:r>
      <w:r w:rsidRPr="00DA3BC7">
        <w:rPr>
          <w:rFonts w:ascii="Times Ext Roman" w:hAnsi="Times Ext Roman" w:cs="Times Ext Roman" w:hint="eastAsia"/>
          <w:sz w:val="20"/>
        </w:rPr>
        <w:t>）</w:t>
      </w:r>
    </w:p>
    <w:p w:rsidR="00AA120F" w:rsidRPr="00DA3BC7" w:rsidRDefault="00AA120F" w:rsidP="00E45051">
      <w:pPr>
        <w:ind w:leftChars="50" w:left="120"/>
        <w:jc w:val="both"/>
      </w:pPr>
      <w:r w:rsidRPr="00DA3BC7">
        <w:rPr>
          <w:rFonts w:hint="eastAsia"/>
        </w:rPr>
        <w:t>本來，佛法以內的各宗派，對於空有，都自以為見到了中道義；然在把握空有中道義的中觀者看來，各宗派所了解的中道，近於中道而多少還是不偏於此，即偏於彼，不是太過，便是不及。</w:t>
      </w:r>
    </w:p>
    <w:p w:rsidR="00AA120F" w:rsidRPr="00DA3BC7" w:rsidRDefault="00AA120F" w:rsidP="00AE3920">
      <w:pPr>
        <w:spacing w:beforeLines="30"/>
        <w:jc w:val="both"/>
        <w:rPr>
          <w:rFonts w:ascii="Times Ext Roman" w:hAnsi="Times Ext Roman" w:cs="Times Ext Roman"/>
          <w:b/>
          <w:sz w:val="20"/>
          <w:bdr w:val="single" w:sz="4" w:space="0" w:color="auto"/>
        </w:rPr>
      </w:pPr>
      <w:r w:rsidRPr="00DA3BC7">
        <w:rPr>
          <w:rFonts w:ascii="Times Ext Roman" w:hAnsi="Times Ext Roman" w:cs="Times Ext Roman" w:hint="eastAsia"/>
          <w:b/>
          <w:sz w:val="20"/>
          <w:bdr w:val="single" w:sz="4" w:space="0" w:color="auto"/>
        </w:rPr>
        <w:t>貳</w:t>
      </w:r>
      <w:r w:rsidRPr="00DA3BC7">
        <w:rPr>
          <w:rFonts w:ascii="Times Ext Roman" w:hAnsi="Times Ext Roman" w:cs="Times Ext Roman"/>
          <w:b/>
          <w:sz w:val="20"/>
          <w:bdr w:val="single" w:sz="4" w:space="0" w:color="auto"/>
        </w:rPr>
        <w:t>、</w:t>
      </w:r>
      <w:r w:rsidR="00C73CA4">
        <w:rPr>
          <w:rFonts w:ascii="Times Ext Roman" w:hAnsi="Times Ext Roman" w:cs="Times Ext Roman" w:hint="eastAsia"/>
          <w:b/>
          <w:color w:val="FF0000"/>
          <w:sz w:val="20"/>
          <w:highlight w:val="yellow"/>
          <w:bdr w:val="single" w:sz="4" w:space="0" w:color="auto"/>
        </w:rPr>
        <w:t>詳辨</w:t>
      </w:r>
      <w:r w:rsidRPr="00DA3BC7">
        <w:rPr>
          <w:rFonts w:ascii="Times Ext Roman" w:hAnsi="Times Ext Roman" w:cs="Times Ext Roman" w:hint="eastAsia"/>
          <w:sz w:val="20"/>
        </w:rPr>
        <w:t>（</w:t>
      </w:r>
      <w:r w:rsidRPr="00DA3BC7">
        <w:rPr>
          <w:rFonts w:ascii="Times New Roman" w:hAnsi="Times New Roman" w:cs="Times Ext Roman" w:hint="eastAsia"/>
          <w:sz w:val="20"/>
        </w:rPr>
        <w:t>pp</w:t>
      </w:r>
      <w:r w:rsidRPr="00DA3BC7">
        <w:rPr>
          <w:rFonts w:ascii="Times Ext Roman" w:hAnsi="Times Ext Roman" w:cs="Times Ext Roman" w:hint="eastAsia"/>
          <w:sz w:val="20"/>
        </w:rPr>
        <w:t>.</w:t>
      </w:r>
      <w:r w:rsidRPr="00DA3BC7">
        <w:rPr>
          <w:rFonts w:ascii="Times New Roman" w:hAnsi="Times New Roman" w:cs="Times Ext Roman" w:hint="eastAsia"/>
          <w:sz w:val="20"/>
        </w:rPr>
        <w:t>181</w:t>
      </w:r>
      <w:r w:rsidRPr="00DA3BC7">
        <w:rPr>
          <w:rFonts w:ascii="Times Ext Roman" w:hAnsi="Times Ext Roman" w:cs="Times Ext Roman" w:hint="eastAsia"/>
          <w:sz w:val="20"/>
        </w:rPr>
        <w:t>-</w:t>
      </w:r>
      <w:r w:rsidRPr="00DA3BC7">
        <w:rPr>
          <w:rFonts w:ascii="Times New Roman" w:hAnsi="Times New Roman" w:cs="Times Ext Roman" w:hint="eastAsia"/>
          <w:sz w:val="20"/>
        </w:rPr>
        <w:t>184</w:t>
      </w:r>
      <w:r w:rsidRPr="00DA3BC7">
        <w:rPr>
          <w:rFonts w:ascii="Times Ext Roman" w:hAnsi="Times Ext Roman" w:cs="Times Ext Roman" w:hint="eastAsia"/>
          <w:sz w:val="20"/>
        </w:rPr>
        <w:t>）</w:t>
      </w:r>
    </w:p>
    <w:p w:rsidR="00AA120F" w:rsidRDefault="00AA120F" w:rsidP="008E2BBC">
      <w:pPr>
        <w:ind w:leftChars="50" w:left="120"/>
        <w:jc w:val="both"/>
        <w:rPr>
          <w:rFonts w:ascii="Times Ext Roman" w:hAnsi="Times Ext Roman" w:cs="Times Ext Roman"/>
          <w:sz w:val="20"/>
        </w:rPr>
      </w:pPr>
      <w:r w:rsidRPr="00DA3BC7">
        <w:rPr>
          <w:rFonts w:ascii="Times Ext Roman" w:hAnsi="Times Ext Roman" w:cs="Times Ext Roman"/>
          <w:b/>
          <w:sz w:val="20"/>
          <w:bdr w:val="single" w:sz="4" w:space="0" w:color="auto"/>
        </w:rPr>
        <w:t>（壹）</w:t>
      </w:r>
      <w:r w:rsidRPr="00DA3BC7">
        <w:rPr>
          <w:rFonts w:ascii="Times Ext Roman" w:hAnsi="Times Ext Roman" w:cs="Times Ext Roman" w:hint="eastAsia"/>
          <w:b/>
          <w:sz w:val="20"/>
          <w:bdr w:val="single" w:sz="4" w:space="0" w:color="auto"/>
        </w:rPr>
        <w:t>漢傳般若三宗的傳說</w:t>
      </w:r>
      <w:r w:rsidRPr="00DA3BC7">
        <w:rPr>
          <w:rFonts w:ascii="Times Ext Roman" w:hAnsi="Times Ext Roman" w:cs="Times Ext Roman" w:hint="eastAsia"/>
          <w:sz w:val="20"/>
        </w:rPr>
        <w:t>（</w:t>
      </w:r>
      <w:r w:rsidRPr="00DA3BC7">
        <w:rPr>
          <w:rFonts w:ascii="Times New Roman" w:hAnsi="Times New Roman" w:cs="Times Ext Roman" w:hint="eastAsia"/>
          <w:sz w:val="20"/>
        </w:rPr>
        <w:t>pp</w:t>
      </w:r>
      <w:r w:rsidRPr="00DA3BC7">
        <w:rPr>
          <w:rFonts w:ascii="Times Ext Roman" w:hAnsi="Times Ext Roman" w:cs="Times Ext Roman" w:hint="eastAsia"/>
          <w:sz w:val="20"/>
        </w:rPr>
        <w:t>.</w:t>
      </w:r>
      <w:r w:rsidRPr="00DA3BC7">
        <w:rPr>
          <w:rFonts w:ascii="Times New Roman" w:hAnsi="Times New Roman" w:cs="Times Ext Roman" w:hint="eastAsia"/>
          <w:sz w:val="20"/>
        </w:rPr>
        <w:t>181</w:t>
      </w:r>
      <w:r w:rsidRPr="00DA3BC7">
        <w:rPr>
          <w:rFonts w:ascii="Times Ext Roman" w:hAnsi="Times Ext Roman" w:cs="Times Ext Roman" w:hint="eastAsia"/>
          <w:sz w:val="20"/>
        </w:rPr>
        <w:t>-</w:t>
      </w:r>
      <w:r w:rsidRPr="00DA3BC7">
        <w:rPr>
          <w:rFonts w:ascii="Times New Roman" w:hAnsi="Times New Roman" w:cs="Times Ext Roman" w:hint="eastAsia"/>
          <w:sz w:val="20"/>
        </w:rPr>
        <w:t>182</w:t>
      </w:r>
      <w:r w:rsidRPr="00DA3BC7">
        <w:rPr>
          <w:rFonts w:ascii="Times Ext Roman" w:hAnsi="Times Ext Roman" w:cs="Times Ext Roman" w:hint="eastAsia"/>
          <w:sz w:val="20"/>
        </w:rPr>
        <w:t>）</w:t>
      </w:r>
    </w:p>
    <w:p w:rsidR="00C73CA4" w:rsidRDefault="00C73CA4" w:rsidP="008E2BBC">
      <w:pPr>
        <w:ind w:leftChars="50" w:left="120"/>
        <w:jc w:val="both"/>
      </w:pPr>
      <w:r w:rsidRPr="00DA3BC7">
        <w:rPr>
          <w:rFonts w:hint="eastAsia"/>
        </w:rPr>
        <w:t>一、漢傳的般若三家：</w:t>
      </w:r>
    </w:p>
    <w:p w:rsidR="00C73CA4" w:rsidRPr="00C73CA4" w:rsidRDefault="00C73CA4" w:rsidP="00AE3920">
      <w:pPr>
        <w:spacing w:beforeLines="30"/>
        <w:ind w:leftChars="100" w:left="240"/>
        <w:jc w:val="both"/>
        <w:rPr>
          <w:rFonts w:ascii="Times Ext Roman" w:hAnsi="Times Ext Roman" w:cs="Times Ext Roman"/>
          <w:b/>
          <w:color w:val="FF0000"/>
          <w:sz w:val="20"/>
          <w:highlight w:val="yellow"/>
          <w:bdr w:val="single" w:sz="4" w:space="0" w:color="auto"/>
        </w:rPr>
      </w:pPr>
      <w:r w:rsidRPr="00C73CA4">
        <w:rPr>
          <w:rFonts w:ascii="Times Ext Roman" w:hAnsi="Times Ext Roman" w:cs="Times Ext Roman" w:hint="eastAsia"/>
          <w:b/>
          <w:color w:val="FF0000"/>
          <w:sz w:val="20"/>
          <w:highlight w:val="yellow"/>
          <w:bdr w:val="single" w:sz="4" w:space="0" w:color="auto"/>
        </w:rPr>
        <w:t>一、敘淵源</w:t>
      </w:r>
      <w:r w:rsidRPr="00DA3BC7">
        <w:rPr>
          <w:rFonts w:ascii="Times Ext Roman" w:hAnsi="Times Ext Roman" w:cs="Times Ext Roman" w:hint="eastAsia"/>
          <w:sz w:val="20"/>
        </w:rPr>
        <w:t>（</w:t>
      </w:r>
      <w:r w:rsidRPr="00DA3BC7">
        <w:rPr>
          <w:rFonts w:ascii="Times New Roman" w:hAnsi="Times New Roman" w:cs="Times Ext Roman" w:hint="eastAsia"/>
          <w:sz w:val="20"/>
        </w:rPr>
        <w:t>pp</w:t>
      </w:r>
      <w:r w:rsidRPr="00DA3BC7">
        <w:rPr>
          <w:rFonts w:ascii="Times Ext Roman" w:hAnsi="Times Ext Roman" w:cs="Times Ext Roman" w:hint="eastAsia"/>
          <w:sz w:val="20"/>
        </w:rPr>
        <w:t>.</w:t>
      </w:r>
      <w:r w:rsidRPr="00DA3BC7">
        <w:rPr>
          <w:rFonts w:ascii="Times New Roman" w:hAnsi="Times New Roman" w:cs="Times Ext Roman" w:hint="eastAsia"/>
          <w:sz w:val="20"/>
        </w:rPr>
        <w:t>181</w:t>
      </w:r>
      <w:r w:rsidRPr="00DA3BC7">
        <w:rPr>
          <w:rFonts w:ascii="Times Ext Roman" w:hAnsi="Times Ext Roman" w:cs="Times Ext Roman" w:hint="eastAsia"/>
          <w:sz w:val="20"/>
        </w:rPr>
        <w:t>-</w:t>
      </w:r>
      <w:r w:rsidRPr="00DA3BC7">
        <w:rPr>
          <w:rFonts w:ascii="Times New Roman" w:hAnsi="Times New Roman" w:cs="Times Ext Roman" w:hint="eastAsia"/>
          <w:sz w:val="20"/>
        </w:rPr>
        <w:t>18</w:t>
      </w:r>
      <w:r>
        <w:rPr>
          <w:rFonts w:ascii="Times New Roman" w:hAnsi="Times New Roman" w:cs="Times Ext Roman" w:hint="eastAsia"/>
          <w:sz w:val="20"/>
        </w:rPr>
        <w:t>2</w:t>
      </w:r>
      <w:r w:rsidRPr="00DA3BC7">
        <w:rPr>
          <w:rFonts w:ascii="Times Ext Roman" w:hAnsi="Times Ext Roman" w:cs="Times Ext Roman" w:hint="eastAsia"/>
          <w:sz w:val="20"/>
        </w:rPr>
        <w:t>）</w:t>
      </w:r>
    </w:p>
    <w:p w:rsidR="00AA120F" w:rsidRPr="00DA3BC7" w:rsidRDefault="00AA120F" w:rsidP="00E45051">
      <w:pPr>
        <w:ind w:leftChars="100" w:left="240"/>
        <w:jc w:val="both"/>
      </w:pPr>
      <w:r w:rsidRPr="00DA3BC7">
        <w:rPr>
          <w:rFonts w:hint="eastAsia"/>
        </w:rPr>
        <w:t>依中土所傳，對於二諦空假，有三宗的傳說。</w:t>
      </w:r>
    </w:p>
    <w:p w:rsidR="00C73CA4" w:rsidRDefault="00AA120F" w:rsidP="00AE3920">
      <w:pPr>
        <w:spacing w:beforeLines="20"/>
        <w:ind w:leftChars="100" w:left="240"/>
        <w:jc w:val="both"/>
      </w:pPr>
      <w:r w:rsidRPr="00DA3BC7">
        <w:rPr>
          <w:rFonts w:hint="eastAsia"/>
        </w:rPr>
        <w:t>齊智琳法師與隱士周顒倡導此三宗說。</w:t>
      </w:r>
      <w:r w:rsidRPr="00DA3BC7">
        <w:rPr>
          <w:rStyle w:val="a6"/>
          <w:rFonts w:ascii="Times New Roman" w:hAnsi="Times New Roman"/>
        </w:rPr>
        <w:footnoteReference w:id="817"/>
      </w:r>
      <w:r w:rsidRPr="00DA3BC7">
        <w:rPr>
          <w:rFonts w:hint="eastAsia"/>
        </w:rPr>
        <w:t>此三宗的思想，淵源甚早，如智琳</w:t>
      </w:r>
      <w:r w:rsidRPr="00DA3BC7">
        <w:rPr>
          <w:rFonts w:hint="eastAsia"/>
        </w:rPr>
        <w:lastRenderedPageBreak/>
        <w:t>與周顒的信中說：「</w:t>
      </w:r>
      <w:r w:rsidRPr="00DA3BC7">
        <w:rPr>
          <w:rFonts w:ascii="標楷體" w:eastAsia="標楷體" w:hAnsi="標楷體" w:hint="eastAsia"/>
        </w:rPr>
        <w:t>年少見長安耆老，多云關中高勝，乃舊有此說</w:t>
      </w:r>
      <w:r w:rsidRPr="00DA3BC7">
        <w:rPr>
          <w:rFonts w:hint="eastAsia"/>
        </w:rPr>
        <w:t>。」</w:t>
      </w:r>
      <w:r w:rsidRPr="00DA3BC7">
        <w:rPr>
          <w:rStyle w:val="a6"/>
          <w:rFonts w:ascii="Times New Roman" w:hAnsi="Times New Roman"/>
        </w:rPr>
        <w:footnoteReference w:id="818"/>
      </w:r>
      <w:r w:rsidRPr="00DA3BC7">
        <w:rPr>
          <w:rFonts w:hint="eastAsia"/>
        </w:rPr>
        <w:t>羅什法師來關中時，關中即有此三宗說。不過，傳到江東，要遲一些。</w:t>
      </w:r>
    </w:p>
    <w:p w:rsidR="00C73CA4" w:rsidRPr="00C73CA4" w:rsidRDefault="00C73CA4" w:rsidP="00AE3920">
      <w:pPr>
        <w:spacing w:beforeLines="30"/>
        <w:ind w:leftChars="100" w:left="240"/>
        <w:jc w:val="both"/>
        <w:rPr>
          <w:rFonts w:ascii="Times Ext Roman" w:hAnsi="Times Ext Roman" w:cs="Times Ext Roman"/>
          <w:b/>
          <w:color w:val="FF0000"/>
          <w:sz w:val="20"/>
          <w:highlight w:val="yellow"/>
          <w:bdr w:val="single" w:sz="4" w:space="0" w:color="auto"/>
        </w:rPr>
      </w:pPr>
      <w:r>
        <w:rPr>
          <w:rFonts w:ascii="Times Ext Roman" w:hAnsi="Times Ext Roman" w:cs="Times Ext Roman" w:hint="eastAsia"/>
          <w:b/>
          <w:color w:val="FF0000"/>
          <w:sz w:val="20"/>
          <w:highlight w:val="yellow"/>
          <w:bdr w:val="single" w:sz="4" w:space="0" w:color="auto"/>
        </w:rPr>
        <w:t>二</w:t>
      </w:r>
      <w:r w:rsidRPr="00C73CA4">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簡是非</w:t>
      </w:r>
      <w:r w:rsidRPr="00DA3BC7">
        <w:rPr>
          <w:rFonts w:ascii="Times Ext Roman" w:hAnsi="Times Ext Roman" w:cs="Times Ext Roman" w:hint="eastAsia"/>
          <w:sz w:val="20"/>
        </w:rPr>
        <w:t>（</w:t>
      </w:r>
      <w:r w:rsidRPr="00DA3BC7">
        <w:rPr>
          <w:rFonts w:ascii="Times New Roman" w:hAnsi="Times New Roman" w:cs="Times Ext Roman" w:hint="eastAsia"/>
          <w:sz w:val="20"/>
        </w:rPr>
        <w:t>p</w:t>
      </w:r>
      <w:r w:rsidRPr="00DA3BC7">
        <w:rPr>
          <w:rFonts w:ascii="Times Ext Roman" w:hAnsi="Times Ext Roman" w:cs="Times Ext Roman" w:hint="eastAsia"/>
          <w:sz w:val="20"/>
        </w:rPr>
        <w:t>.</w:t>
      </w:r>
      <w:r w:rsidRPr="00DA3BC7">
        <w:rPr>
          <w:rFonts w:ascii="Times New Roman" w:hAnsi="Times New Roman" w:cs="Times Ext Roman" w:hint="eastAsia"/>
          <w:sz w:val="20"/>
        </w:rPr>
        <w:t>18</w:t>
      </w:r>
      <w:r>
        <w:rPr>
          <w:rFonts w:ascii="Times New Roman" w:hAnsi="Times New Roman" w:cs="Times Ext Roman" w:hint="eastAsia"/>
          <w:sz w:val="20"/>
        </w:rPr>
        <w:t>2</w:t>
      </w:r>
      <w:r w:rsidRPr="00DA3BC7">
        <w:rPr>
          <w:rFonts w:ascii="Times Ext Roman" w:hAnsi="Times Ext Roman" w:cs="Times Ext Roman" w:hint="eastAsia"/>
          <w:sz w:val="20"/>
        </w:rPr>
        <w:t>）</w:t>
      </w:r>
    </w:p>
    <w:p w:rsidR="00C73CA4" w:rsidRDefault="00AA120F" w:rsidP="00E45051">
      <w:pPr>
        <w:ind w:leftChars="100" w:left="240"/>
        <w:jc w:val="both"/>
      </w:pPr>
      <w:r w:rsidRPr="00DA3BC7">
        <w:rPr>
          <w:rFonts w:hint="eastAsia"/>
        </w:rPr>
        <w:t>其中，一是究竟的，二說稍差一點，在佛法屬於不了義。</w:t>
      </w:r>
    </w:p>
    <w:p w:rsidR="00AA120F" w:rsidRPr="00DA3BC7" w:rsidRDefault="00AA120F" w:rsidP="00E45051">
      <w:pPr>
        <w:ind w:leftChars="100" w:left="240"/>
        <w:jc w:val="both"/>
      </w:pPr>
      <w:r w:rsidRPr="00DA3BC7">
        <w:rPr>
          <w:rFonts w:hint="eastAsia"/>
        </w:rPr>
        <w:t>周顒的三宗說：（一）以</w:t>
      </w:r>
      <w:r w:rsidRPr="00DA3BC7">
        <w:rPr>
          <w:rFonts w:hint="eastAsia"/>
          <w:b/>
        </w:rPr>
        <w:t>空假名</w:t>
      </w:r>
      <w:r w:rsidRPr="00DA3BC7">
        <w:rPr>
          <w:rFonts w:hint="eastAsia"/>
        </w:rPr>
        <w:t>破不空假名，</w:t>
      </w:r>
    </w:p>
    <w:p w:rsidR="00AA120F" w:rsidRPr="00DA3BC7" w:rsidRDefault="00AA120F" w:rsidP="00E45051">
      <w:pPr>
        <w:ind w:leftChars="750" w:left="1800"/>
        <w:jc w:val="both"/>
      </w:pPr>
      <w:r w:rsidRPr="00DA3BC7">
        <w:rPr>
          <w:rFonts w:hint="eastAsia"/>
        </w:rPr>
        <w:t>（二）以</w:t>
      </w:r>
      <w:r w:rsidRPr="00DA3BC7">
        <w:rPr>
          <w:rFonts w:hint="eastAsia"/>
          <w:b/>
        </w:rPr>
        <w:t>不空假名</w:t>
      </w:r>
      <w:r w:rsidRPr="00DA3BC7">
        <w:rPr>
          <w:rFonts w:hint="eastAsia"/>
        </w:rPr>
        <w:t>破空假名，</w:t>
      </w:r>
    </w:p>
    <w:p w:rsidR="00AA120F" w:rsidRPr="00DA3BC7" w:rsidRDefault="00AA120F" w:rsidP="00E45051">
      <w:pPr>
        <w:ind w:leftChars="750" w:left="1800"/>
        <w:jc w:val="both"/>
      </w:pPr>
      <w:r w:rsidRPr="00DA3BC7">
        <w:rPr>
          <w:rFonts w:hint="eastAsia"/>
        </w:rPr>
        <w:t>（三）以</w:t>
      </w:r>
      <w:r w:rsidRPr="00DA3BC7">
        <w:rPr>
          <w:rFonts w:hint="eastAsia"/>
          <w:b/>
        </w:rPr>
        <w:t>假名空</w:t>
      </w:r>
      <w:r w:rsidRPr="00DA3BC7">
        <w:rPr>
          <w:rFonts w:hint="eastAsia"/>
        </w:rPr>
        <w:t>雙破二者，為中道正義。</w:t>
      </w:r>
      <w:r w:rsidR="00C73CA4" w:rsidRPr="00C73CA4">
        <w:rPr>
          <w:rStyle w:val="a6"/>
          <w:rFonts w:ascii="Times New Roman" w:hAnsi="Times New Roman"/>
          <w:highlight w:val="yellow"/>
        </w:rPr>
        <w:footnoteReference w:id="819"/>
      </w:r>
    </w:p>
    <w:p w:rsidR="00AA120F" w:rsidRPr="00DA3BC7" w:rsidRDefault="00AA120F" w:rsidP="00AE3920">
      <w:pPr>
        <w:spacing w:beforeLines="20"/>
        <w:ind w:leftChars="100" w:left="240"/>
        <w:jc w:val="both"/>
      </w:pPr>
      <w:r w:rsidRPr="00DA3BC7">
        <w:rPr>
          <w:rFonts w:hint="eastAsia"/>
        </w:rPr>
        <w:t>後來三論宗，即常談此三宗。</w:t>
      </w:r>
      <w:r w:rsidRPr="00DA3BC7">
        <w:rPr>
          <w:rStyle w:val="a6"/>
          <w:rFonts w:ascii="Times New Roman" w:hAnsi="Times New Roman"/>
        </w:rPr>
        <w:footnoteReference w:id="820"/>
      </w:r>
    </w:p>
    <w:p w:rsidR="00AA120F" w:rsidRPr="00DA3BC7" w:rsidRDefault="00AA120F" w:rsidP="00AE3920">
      <w:pPr>
        <w:spacing w:beforeLines="30"/>
        <w:ind w:leftChars="100" w:left="240"/>
        <w:jc w:val="both"/>
        <w:rPr>
          <w:rFonts w:ascii="Times Ext Roman" w:hAnsi="Times Ext Roman" w:cs="Times Ext Roman"/>
          <w:b/>
          <w:sz w:val="20"/>
          <w:bdr w:val="single" w:sz="4" w:space="0" w:color="auto"/>
        </w:rPr>
      </w:pPr>
      <w:r w:rsidRPr="00C73CA4">
        <w:rPr>
          <w:rFonts w:ascii="Times Ext Roman" w:hAnsi="Times Ext Roman" w:cs="Times Ext Roman" w:hint="eastAsia"/>
          <w:b/>
          <w:color w:val="FF0000"/>
          <w:sz w:val="20"/>
          <w:highlight w:val="yellow"/>
          <w:bdr w:val="single" w:sz="4" w:space="0" w:color="auto"/>
        </w:rPr>
        <w:lastRenderedPageBreak/>
        <w:t>三</w:t>
      </w:r>
      <w:r w:rsidR="00C73CA4" w:rsidRPr="00C73CA4">
        <w:rPr>
          <w:rFonts w:ascii="Times Ext Roman" w:hAnsi="Times Ext Roman" w:cs="Times Ext Roman" w:hint="eastAsia"/>
          <w:b/>
          <w:color w:val="FF0000"/>
          <w:sz w:val="20"/>
          <w:highlight w:val="yellow"/>
          <w:bdr w:val="single" w:sz="4" w:space="0" w:color="auto"/>
        </w:rPr>
        <w:t>、辨</w:t>
      </w:r>
      <w:r w:rsidRPr="00C73CA4">
        <w:rPr>
          <w:rFonts w:ascii="Times Ext Roman" w:hAnsi="Times Ext Roman" w:cs="Times Ext Roman" w:hint="eastAsia"/>
          <w:b/>
          <w:color w:val="FF0000"/>
          <w:sz w:val="20"/>
          <w:highlight w:val="yellow"/>
          <w:bdr w:val="single" w:sz="4" w:space="0" w:color="auto"/>
        </w:rPr>
        <w:t>宗</w:t>
      </w:r>
      <w:r w:rsidR="00C73CA4" w:rsidRPr="00C73CA4">
        <w:rPr>
          <w:rFonts w:ascii="Times Ext Roman" w:hAnsi="Times Ext Roman" w:cs="Times Ext Roman" w:hint="eastAsia"/>
          <w:b/>
          <w:color w:val="FF0000"/>
          <w:sz w:val="20"/>
          <w:highlight w:val="yellow"/>
          <w:bdr w:val="single" w:sz="4" w:space="0" w:color="auto"/>
        </w:rPr>
        <w:t>義</w:t>
      </w:r>
      <w:r w:rsidRPr="00DA3BC7">
        <w:rPr>
          <w:rFonts w:ascii="Times Ext Roman" w:hAnsi="Times Ext Roman" w:cs="Times Ext Roman" w:hint="eastAsia"/>
          <w:sz w:val="20"/>
        </w:rPr>
        <w:t>（</w:t>
      </w:r>
      <w:r w:rsidRPr="00DA3BC7">
        <w:rPr>
          <w:rFonts w:ascii="Times New Roman" w:hAnsi="Times New Roman" w:cs="Times Ext Roman" w:hint="eastAsia"/>
          <w:sz w:val="20"/>
        </w:rPr>
        <w:t>pp</w:t>
      </w:r>
      <w:r w:rsidRPr="00DA3BC7">
        <w:rPr>
          <w:rFonts w:ascii="Times Ext Roman" w:hAnsi="Times Ext Roman" w:cs="Times Ext Roman" w:hint="eastAsia"/>
          <w:sz w:val="20"/>
        </w:rPr>
        <w:t>.</w:t>
      </w:r>
      <w:r w:rsidRPr="00DA3BC7">
        <w:rPr>
          <w:rFonts w:ascii="Times New Roman" w:hAnsi="Times New Roman" w:cs="Times Ext Roman" w:hint="eastAsia"/>
          <w:sz w:val="20"/>
        </w:rPr>
        <w:t>181</w:t>
      </w:r>
      <w:r w:rsidRPr="00DA3BC7">
        <w:rPr>
          <w:rFonts w:ascii="Times Ext Roman" w:hAnsi="Times Ext Roman" w:cs="Times Ext Roman" w:hint="eastAsia"/>
          <w:sz w:val="20"/>
        </w:rPr>
        <w:t>-</w:t>
      </w:r>
      <w:r w:rsidRPr="00DA3BC7">
        <w:rPr>
          <w:rFonts w:ascii="Times New Roman" w:hAnsi="Times New Roman" w:cs="Times Ext Roman" w:hint="eastAsia"/>
          <w:sz w:val="20"/>
        </w:rPr>
        <w:t>184</w:t>
      </w:r>
      <w:r w:rsidRPr="00DA3BC7">
        <w:rPr>
          <w:rFonts w:ascii="Times Ext Roman" w:hAnsi="Times Ext Roman" w:cs="Times Ext Roman" w:hint="eastAsia"/>
          <w:sz w:val="20"/>
        </w:rPr>
        <w:t>）</w:t>
      </w:r>
    </w:p>
    <w:p w:rsidR="00AA120F" w:rsidRPr="00DA3BC7" w:rsidRDefault="00C73CA4" w:rsidP="00E45051">
      <w:pPr>
        <w:ind w:leftChars="150" w:left="360"/>
        <w:jc w:val="both"/>
        <w:rPr>
          <w:rFonts w:ascii="Times Ext Roman" w:hAnsi="Times Ext Roman" w:cs="Times Ext Roman"/>
          <w:b/>
          <w:sz w:val="20"/>
          <w:bdr w:val="single" w:sz="4" w:space="0" w:color="auto"/>
        </w:rPr>
      </w:pPr>
      <w:r w:rsidRPr="00C73CA4">
        <w:rPr>
          <w:rFonts w:ascii="Times Ext Roman" w:hAnsi="Times Ext Roman" w:cs="Times Ext Roman" w:hint="eastAsia"/>
          <w:b/>
          <w:color w:val="FF0000"/>
          <w:sz w:val="20"/>
          <w:highlight w:val="yellow"/>
          <w:bdr w:val="single" w:sz="4" w:space="0" w:color="auto"/>
        </w:rPr>
        <w:t>（一）</w:t>
      </w:r>
      <w:r w:rsidR="00AA120F" w:rsidRPr="00DA3BC7">
        <w:rPr>
          <w:rFonts w:ascii="Times Ext Roman" w:hAnsi="Times Ext Roman" w:cs="Times Ext Roman" w:hint="eastAsia"/>
          <w:b/>
          <w:sz w:val="20"/>
          <w:bdr w:val="single" w:sz="4" w:space="0" w:color="auto"/>
        </w:rPr>
        <w:t>不空假名（不及</w:t>
      </w:r>
      <w:r w:rsidRPr="00C73CA4">
        <w:rPr>
          <w:rFonts w:ascii="Times Ext Roman" w:hAnsi="Times Ext Roman" w:cs="Times Ext Roman" w:hint="eastAsia"/>
          <w:b/>
          <w:color w:val="FF0000"/>
          <w:sz w:val="20"/>
          <w:highlight w:val="yellow"/>
          <w:bdr w:val="single" w:sz="4" w:space="0" w:color="auto"/>
        </w:rPr>
        <w:t>派</w:t>
      </w:r>
      <w:r w:rsidR="00AA120F" w:rsidRPr="00DA3BC7">
        <w:rPr>
          <w:rFonts w:ascii="Times Ext Roman" w:hAnsi="Times Ext Roman" w:cs="Times Ext Roman" w:hint="eastAsia"/>
          <w:b/>
          <w:sz w:val="20"/>
          <w:bdr w:val="single" w:sz="4" w:space="0" w:color="auto"/>
        </w:rPr>
        <w:t>）</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182</w:t>
      </w:r>
      <w:r w:rsidR="00AA120F" w:rsidRPr="00DA3BC7">
        <w:rPr>
          <w:rFonts w:ascii="Times Ext Roman" w:hAnsi="Times Ext Roman" w:cs="Times Ext Roman" w:hint="eastAsia"/>
          <w:sz w:val="20"/>
        </w:rPr>
        <w:t>）</w:t>
      </w:r>
    </w:p>
    <w:p w:rsidR="00C73CA4" w:rsidRDefault="00C73CA4" w:rsidP="00E45051">
      <w:pPr>
        <w:ind w:leftChars="150" w:left="360"/>
        <w:jc w:val="both"/>
      </w:pPr>
      <w:r w:rsidRPr="00DA3BC7">
        <w:rPr>
          <w:rFonts w:hint="eastAsia"/>
        </w:rPr>
        <w:t>「</w:t>
      </w:r>
      <w:r w:rsidRPr="00DA3BC7">
        <w:rPr>
          <w:rFonts w:hint="eastAsia"/>
          <w:b/>
        </w:rPr>
        <w:t>不空假名</w:t>
      </w:r>
      <w:r w:rsidRPr="00DA3BC7">
        <w:rPr>
          <w:rFonts w:hint="eastAsia"/>
        </w:rPr>
        <w:t>」：</w:t>
      </w:r>
    </w:p>
    <w:p w:rsidR="00AA120F" w:rsidRPr="00DA3BC7" w:rsidRDefault="00C73CA4" w:rsidP="00AE3920">
      <w:pPr>
        <w:spacing w:beforeLines="30"/>
        <w:ind w:leftChars="200" w:left="480"/>
        <w:jc w:val="both"/>
        <w:rPr>
          <w:rFonts w:ascii="Times Ext Roman" w:hAnsi="Times Ext Roman" w:cs="Times Ext Roman"/>
          <w:sz w:val="20"/>
          <w:bdr w:val="single" w:sz="4" w:space="0" w:color="auto"/>
        </w:rPr>
      </w:pPr>
      <w:r w:rsidRPr="00C73CA4">
        <w:rPr>
          <w:rFonts w:ascii="Times Ext Roman" w:hAnsi="Times Ext Roman" w:cs="Times Ext Roman" w:hint="eastAsia"/>
          <w:b/>
          <w:color w:val="FF0000"/>
          <w:sz w:val="20"/>
          <w:highlight w:val="yellow"/>
          <w:bdr w:val="single" w:sz="4" w:space="0" w:color="auto"/>
        </w:rPr>
        <w:t>1</w:t>
      </w:r>
      <w:r w:rsidRPr="00C73CA4">
        <w:rPr>
          <w:rFonts w:ascii="Times Ext Roman" w:hAnsi="Times Ext Roman" w:cs="Times Ext Roman" w:hint="eastAsia"/>
          <w:b/>
          <w:color w:val="FF0000"/>
          <w:sz w:val="20"/>
          <w:highlight w:val="yellow"/>
          <w:bdr w:val="single" w:sz="4" w:space="0" w:color="auto"/>
        </w:rPr>
        <w:t>、述</w:t>
      </w:r>
      <w:r w:rsidR="00F53DD8">
        <w:rPr>
          <w:rFonts w:ascii="Times Ext Roman" w:hAnsi="Times Ext Roman" w:cs="Times Ext Roman" w:hint="eastAsia"/>
          <w:b/>
          <w:color w:val="FF0000"/>
          <w:sz w:val="20"/>
          <w:highlight w:val="yellow"/>
          <w:bdr w:val="single" w:sz="4" w:space="0" w:color="auto"/>
        </w:rPr>
        <w:t>宗</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182</w:t>
      </w:r>
      <w:r w:rsidR="00AA120F" w:rsidRPr="00DA3BC7">
        <w:rPr>
          <w:rFonts w:ascii="Times Ext Roman" w:hAnsi="Times Ext Roman" w:cs="Times Ext Roman" w:hint="eastAsia"/>
          <w:sz w:val="20"/>
        </w:rPr>
        <w:t>）</w:t>
      </w:r>
    </w:p>
    <w:p w:rsidR="00AA120F" w:rsidRPr="00DA3BC7" w:rsidRDefault="00AA120F" w:rsidP="00E45051">
      <w:pPr>
        <w:ind w:leftChars="200" w:left="480"/>
        <w:jc w:val="both"/>
      </w:pPr>
      <w:r w:rsidRPr="00DA3BC7">
        <w:rPr>
          <w:rFonts w:hint="eastAsia"/>
        </w:rPr>
        <w:t>如《大乘玄論》說：「</w:t>
      </w:r>
      <w:r w:rsidRPr="00DA3BC7">
        <w:rPr>
          <w:rFonts w:ascii="標楷體" w:eastAsia="標楷體" w:hAnsi="標楷體" w:hint="eastAsia"/>
        </w:rPr>
        <w:t>不空假名者，但無性實，有假世諦，不可全無，如鼠嘍</w:t>
      </w:r>
      <w:r w:rsidRPr="00DA3BC7">
        <w:rPr>
          <w:rStyle w:val="a6"/>
          <w:rFonts w:ascii="Times New Roman" w:hAnsi="Times New Roman"/>
        </w:rPr>
        <w:footnoteReference w:id="821"/>
      </w:r>
      <w:r w:rsidRPr="00DA3BC7">
        <w:rPr>
          <w:rFonts w:ascii="標楷體" w:eastAsia="標楷體" w:hAnsi="標楷體" w:hint="eastAsia"/>
        </w:rPr>
        <w:t>栗</w:t>
      </w:r>
      <w:r w:rsidRPr="00DA3BC7">
        <w:rPr>
          <w:rFonts w:hint="eastAsia"/>
        </w:rPr>
        <w:t>。」</w:t>
      </w:r>
      <w:r w:rsidRPr="00DA3BC7">
        <w:rPr>
          <w:rStyle w:val="a6"/>
          <w:rFonts w:ascii="Times New Roman" w:hAnsi="Times New Roman"/>
        </w:rPr>
        <w:footnoteReference w:id="822"/>
      </w:r>
    </w:p>
    <w:p w:rsidR="00C73CA4" w:rsidRDefault="00AA120F" w:rsidP="00E45051">
      <w:pPr>
        <w:ind w:leftChars="200" w:left="480"/>
        <w:jc w:val="both"/>
      </w:pPr>
      <w:r w:rsidRPr="00DA3BC7">
        <w:rPr>
          <w:rFonts w:hint="eastAsia"/>
        </w:rPr>
        <w:t>此說：諸法從緣起，緣起無實性，所以名空，而假名是不空的。</w:t>
      </w:r>
      <w:r w:rsidRPr="00DA3BC7">
        <w:rPr>
          <w:rFonts w:hint="eastAsia"/>
          <w:b/>
        </w:rPr>
        <w:t>緣起無性名空是真諦，假名不空是俗諦</w:t>
      </w:r>
      <w:r w:rsidRPr="00DA3BC7">
        <w:rPr>
          <w:rFonts w:hint="eastAsia"/>
        </w:rPr>
        <w:t>。</w:t>
      </w:r>
    </w:p>
    <w:p w:rsidR="00C73CA4" w:rsidRPr="00DA3BC7" w:rsidRDefault="00F53DD8" w:rsidP="00AE3920">
      <w:pPr>
        <w:spacing w:beforeLines="30"/>
        <w:ind w:leftChars="200" w:left="480"/>
        <w:jc w:val="both"/>
        <w:rPr>
          <w:rFonts w:ascii="Times Ext Roman" w:hAnsi="Times Ext Roman" w:cs="Times Ext Roman"/>
          <w:sz w:val="20"/>
          <w:bdr w:val="single" w:sz="4" w:space="0" w:color="auto"/>
        </w:rPr>
      </w:pPr>
      <w:r>
        <w:rPr>
          <w:rFonts w:ascii="Times Ext Roman" w:hAnsi="Times Ext Roman" w:cs="Times Ext Roman" w:hint="eastAsia"/>
          <w:b/>
          <w:color w:val="FF0000"/>
          <w:sz w:val="20"/>
          <w:highlight w:val="yellow"/>
          <w:bdr w:val="single" w:sz="4" w:space="0" w:color="auto"/>
        </w:rPr>
        <w:t>2</w:t>
      </w:r>
      <w:r w:rsidR="00C73CA4" w:rsidRPr="00C73CA4">
        <w:rPr>
          <w:rFonts w:ascii="Times Ext Roman" w:hAnsi="Times Ext Roman" w:cs="Times Ext Roman" w:hint="eastAsia"/>
          <w:b/>
          <w:color w:val="FF0000"/>
          <w:sz w:val="20"/>
          <w:highlight w:val="yellow"/>
          <w:bdr w:val="single" w:sz="4" w:space="0" w:color="auto"/>
        </w:rPr>
        <w:t>、</w:t>
      </w:r>
      <w:r w:rsidR="00C73CA4">
        <w:rPr>
          <w:rFonts w:ascii="Times Ext Roman" w:hAnsi="Times Ext Roman" w:cs="Times Ext Roman" w:hint="eastAsia"/>
          <w:b/>
          <w:color w:val="FF0000"/>
          <w:sz w:val="20"/>
          <w:highlight w:val="yellow"/>
          <w:bdr w:val="single" w:sz="4" w:space="0" w:color="auto"/>
        </w:rPr>
        <w:t>評判</w:t>
      </w:r>
      <w:r w:rsidR="00C73CA4" w:rsidRPr="00DA3BC7">
        <w:rPr>
          <w:rFonts w:ascii="Times Ext Roman" w:hAnsi="Times Ext Roman" w:cs="Times Ext Roman" w:hint="eastAsia"/>
          <w:sz w:val="20"/>
        </w:rPr>
        <w:t>（</w:t>
      </w:r>
      <w:r w:rsidR="00C73CA4" w:rsidRPr="00DA3BC7">
        <w:rPr>
          <w:rFonts w:ascii="Times New Roman" w:hAnsi="Times New Roman" w:cs="Times Ext Roman" w:hint="eastAsia"/>
          <w:sz w:val="20"/>
        </w:rPr>
        <w:t>p</w:t>
      </w:r>
      <w:r w:rsidR="00C73CA4" w:rsidRPr="00DA3BC7">
        <w:rPr>
          <w:rFonts w:ascii="Times Ext Roman" w:hAnsi="Times Ext Roman" w:cs="Times Ext Roman" w:hint="eastAsia"/>
          <w:sz w:val="20"/>
        </w:rPr>
        <w:t>.</w:t>
      </w:r>
      <w:r w:rsidR="00C73CA4" w:rsidRPr="00DA3BC7">
        <w:rPr>
          <w:rFonts w:ascii="Times New Roman" w:hAnsi="Times New Roman" w:cs="Times Ext Roman" w:hint="eastAsia"/>
          <w:sz w:val="20"/>
        </w:rPr>
        <w:t>182</w:t>
      </w:r>
      <w:r w:rsidR="00C73CA4" w:rsidRPr="00DA3BC7">
        <w:rPr>
          <w:rFonts w:ascii="Times Ext Roman" w:hAnsi="Times Ext Roman" w:cs="Times Ext Roman" w:hint="eastAsia"/>
          <w:sz w:val="20"/>
        </w:rPr>
        <w:t>）</w:t>
      </w:r>
    </w:p>
    <w:p w:rsidR="00AA120F" w:rsidRPr="00DA3BC7" w:rsidRDefault="00AA120F" w:rsidP="00E45051">
      <w:pPr>
        <w:ind w:leftChars="200" w:left="480"/>
        <w:jc w:val="both"/>
        <w:rPr>
          <w:rFonts w:ascii="Times Ext Roman" w:hAnsi="Times Ext Roman" w:cs="Times Ext Roman"/>
          <w:sz w:val="20"/>
          <w:bdr w:val="single" w:sz="4" w:space="0" w:color="auto"/>
        </w:rPr>
      </w:pPr>
      <w:r w:rsidRPr="00DA3BC7">
        <w:rPr>
          <w:rFonts w:hint="eastAsia"/>
        </w:rPr>
        <w:t>此不空假名宗，古人比喻為如鼠嘍栗，他</w:t>
      </w:r>
      <w:r w:rsidRPr="00DA3BC7">
        <w:rPr>
          <w:rFonts w:hint="eastAsia"/>
          <w:b/>
        </w:rPr>
        <w:t>雖知無實性空，而猶存假名不空</w:t>
      </w:r>
      <w:r w:rsidRPr="00DA3BC7">
        <w:rPr>
          <w:rFonts w:hint="eastAsia"/>
        </w:rPr>
        <w:t>，如鼠食栗中仁</w:t>
      </w:r>
      <w:r w:rsidRPr="00DA3BC7">
        <w:rPr>
          <w:rStyle w:val="a6"/>
          <w:rFonts w:ascii="Times New Roman" w:hAnsi="Times New Roman"/>
        </w:rPr>
        <w:footnoteReference w:id="823"/>
      </w:r>
      <w:r w:rsidRPr="00DA3BC7">
        <w:rPr>
          <w:rFonts w:hint="eastAsia"/>
        </w:rPr>
        <w:t>盡而殼相還在。</w:t>
      </w:r>
      <w:r w:rsidRPr="00DA3BC7">
        <w:rPr>
          <w:rStyle w:val="a6"/>
          <w:rFonts w:ascii="Times New Roman" w:hAnsi="Times New Roman"/>
        </w:rPr>
        <w:footnoteReference w:id="824"/>
      </w:r>
    </w:p>
    <w:p w:rsidR="00C73CA4" w:rsidRDefault="00AA120F" w:rsidP="00E45051">
      <w:pPr>
        <w:ind w:leftChars="200" w:left="480"/>
        <w:jc w:val="both"/>
      </w:pPr>
      <w:r w:rsidRPr="00DA3BC7">
        <w:rPr>
          <w:rFonts w:hint="eastAsia"/>
        </w:rPr>
        <w:lastRenderedPageBreak/>
        <w:t>這因</w:t>
      </w:r>
      <w:r w:rsidRPr="00C73CA4">
        <w:rPr>
          <w:rFonts w:hint="eastAsia"/>
          <w:highlight w:val="yellow"/>
        </w:rPr>
        <w:t>為他</w:t>
      </w:r>
      <w:r w:rsidRPr="00DA3BC7">
        <w:rPr>
          <w:rFonts w:hint="eastAsia"/>
        </w:rPr>
        <w:t>們以為現象界不能</w:t>
      </w:r>
      <w:r w:rsidR="00C73CA4">
        <w:rPr>
          <w:rFonts w:hint="eastAsia"/>
        </w:rPr>
        <w:t>什</w:t>
      </w:r>
      <w:r w:rsidRPr="00DA3BC7">
        <w:rPr>
          <w:rFonts w:hint="eastAsia"/>
        </w:rPr>
        <w:t>麼都沒有，若一切皆無，則墮斷見邪見。</w:t>
      </w:r>
    </w:p>
    <w:p w:rsidR="00C73CA4" w:rsidRDefault="00AA120F" w:rsidP="00E45051">
      <w:pPr>
        <w:ind w:leftChars="200" w:left="480"/>
        <w:jc w:val="both"/>
      </w:pPr>
      <w:r w:rsidRPr="00DA3BC7">
        <w:rPr>
          <w:rFonts w:hint="eastAsia"/>
        </w:rPr>
        <w:t>這本是對的，但</w:t>
      </w:r>
      <w:r w:rsidRPr="00DA3BC7">
        <w:rPr>
          <w:rFonts w:hint="eastAsia"/>
          <w:b/>
        </w:rPr>
        <w:t>以為「若說有，即應當是不空」，這即不能與「空」相成而無礙，即不能恰當</w:t>
      </w:r>
      <w:r w:rsidRPr="00DA3BC7">
        <w:rPr>
          <w:rFonts w:hint="eastAsia"/>
        </w:rPr>
        <w:t>。</w:t>
      </w:r>
    </w:p>
    <w:p w:rsidR="00AA120F" w:rsidRPr="00DA3BC7" w:rsidRDefault="00AA120F" w:rsidP="00E45051">
      <w:pPr>
        <w:ind w:leftChars="200" w:left="480"/>
        <w:jc w:val="both"/>
        <w:rPr>
          <w:rFonts w:ascii="Times Ext Roman" w:hAnsi="Times Ext Roman" w:cs="Times Ext Roman"/>
          <w:sz w:val="20"/>
          <w:bdr w:val="single" w:sz="4" w:space="0" w:color="auto"/>
        </w:rPr>
      </w:pPr>
      <w:r w:rsidRPr="00DA3BC7">
        <w:rPr>
          <w:rFonts w:hint="eastAsia"/>
        </w:rPr>
        <w:t>主張假名不空，所以對於空義的了解還不夠，這是不及派。</w:t>
      </w:r>
    </w:p>
    <w:p w:rsidR="00AA120F" w:rsidRPr="00DA3BC7" w:rsidRDefault="00C73CA4" w:rsidP="00AE3920">
      <w:pPr>
        <w:spacing w:beforeLines="30"/>
        <w:ind w:leftChars="150" w:left="360"/>
        <w:jc w:val="both"/>
        <w:rPr>
          <w:rFonts w:ascii="Times Ext Roman" w:hAnsi="Times Ext Roman" w:cs="Times Ext Roman"/>
          <w:b/>
          <w:sz w:val="20"/>
          <w:bdr w:val="single" w:sz="4" w:space="0" w:color="auto"/>
        </w:rPr>
      </w:pPr>
      <w:r w:rsidRPr="00C73CA4">
        <w:rPr>
          <w:rFonts w:ascii="Times Ext Roman" w:hAnsi="Times Ext Roman" w:cs="Times Ext Roman" w:hint="eastAsia"/>
          <w:b/>
          <w:color w:val="FF0000"/>
          <w:sz w:val="20"/>
          <w:highlight w:val="yellow"/>
          <w:bdr w:val="single" w:sz="4" w:space="0" w:color="auto"/>
        </w:rPr>
        <w:t>（二）</w:t>
      </w:r>
      <w:r w:rsidR="00AA120F" w:rsidRPr="00DA3BC7">
        <w:rPr>
          <w:rFonts w:ascii="Times Ext Roman" w:hAnsi="Times Ext Roman" w:cs="Times Ext Roman" w:hint="eastAsia"/>
          <w:b/>
          <w:sz w:val="20"/>
          <w:bdr w:val="single" w:sz="4" w:space="0" w:color="auto"/>
        </w:rPr>
        <w:t>空假名（太過</w:t>
      </w:r>
      <w:r w:rsidRPr="00C73CA4">
        <w:rPr>
          <w:rFonts w:ascii="Times Ext Roman" w:hAnsi="Times Ext Roman" w:cs="Times Ext Roman" w:hint="eastAsia"/>
          <w:b/>
          <w:color w:val="FF0000"/>
          <w:sz w:val="20"/>
          <w:highlight w:val="yellow"/>
          <w:bdr w:val="single" w:sz="4" w:space="0" w:color="auto"/>
        </w:rPr>
        <w:t>派</w:t>
      </w:r>
      <w:r w:rsidR="00AA120F" w:rsidRPr="00DA3BC7">
        <w:rPr>
          <w:rFonts w:ascii="Times Ext Roman" w:hAnsi="Times Ext Roman" w:cs="Times Ext Roman" w:hint="eastAsia"/>
          <w:b/>
          <w:sz w:val="20"/>
          <w:bdr w:val="single" w:sz="4" w:space="0" w:color="auto"/>
        </w:rPr>
        <w:t>）</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182</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183</w:t>
      </w:r>
      <w:r w:rsidR="00AA120F" w:rsidRPr="00DA3BC7">
        <w:rPr>
          <w:rFonts w:ascii="Times Ext Roman" w:hAnsi="Times Ext Roman" w:cs="Times Ext Roman" w:hint="eastAsia"/>
          <w:sz w:val="20"/>
        </w:rPr>
        <w:t>）</w:t>
      </w:r>
    </w:p>
    <w:p w:rsidR="00C73CA4" w:rsidRDefault="00C73CA4" w:rsidP="00E45051">
      <w:pPr>
        <w:ind w:leftChars="150" w:left="360"/>
        <w:jc w:val="both"/>
      </w:pPr>
      <w:r w:rsidRPr="00DA3BC7">
        <w:rPr>
          <w:rFonts w:hint="eastAsia"/>
        </w:rPr>
        <w:t>「</w:t>
      </w:r>
      <w:r w:rsidRPr="00DA3BC7">
        <w:rPr>
          <w:rFonts w:hint="eastAsia"/>
          <w:b/>
        </w:rPr>
        <w:t>空假名</w:t>
      </w:r>
      <w:r w:rsidRPr="00DA3BC7">
        <w:rPr>
          <w:rFonts w:hint="eastAsia"/>
        </w:rPr>
        <w:t>」：</w:t>
      </w:r>
    </w:p>
    <w:p w:rsidR="00AA120F" w:rsidRPr="00DA3BC7" w:rsidRDefault="00C73CA4" w:rsidP="00E45051">
      <w:pPr>
        <w:ind w:leftChars="200" w:left="480"/>
        <w:jc w:val="both"/>
        <w:rPr>
          <w:rFonts w:ascii="Times Ext Roman" w:hAnsi="Times Ext Roman" w:cs="Times Ext Roman"/>
          <w:b/>
          <w:sz w:val="20"/>
          <w:bdr w:val="single" w:sz="4" w:space="0" w:color="auto"/>
        </w:rPr>
      </w:pPr>
      <w:r w:rsidRPr="00C73CA4">
        <w:rPr>
          <w:rFonts w:ascii="Times Ext Roman" w:hAnsi="Times Ext Roman" w:cs="Times Ext Roman" w:hint="eastAsia"/>
          <w:b/>
          <w:color w:val="FF0000"/>
          <w:sz w:val="20"/>
          <w:highlight w:val="yellow"/>
          <w:bdr w:val="single" w:sz="4" w:space="0" w:color="auto"/>
        </w:rPr>
        <w:t>1</w:t>
      </w:r>
      <w:r w:rsidRPr="00C73CA4">
        <w:rPr>
          <w:rFonts w:ascii="Times Ext Roman" w:hAnsi="Times Ext Roman" w:cs="Times Ext Roman" w:hint="eastAsia"/>
          <w:b/>
          <w:color w:val="FF0000"/>
          <w:sz w:val="20"/>
          <w:highlight w:val="yellow"/>
          <w:bdr w:val="single" w:sz="4" w:space="0" w:color="auto"/>
        </w:rPr>
        <w:t>、述</w:t>
      </w:r>
      <w:r w:rsidR="00AA120F" w:rsidRPr="00C73CA4">
        <w:rPr>
          <w:rFonts w:ascii="Times Ext Roman" w:hAnsi="Times Ext Roman" w:cs="Times Ext Roman" w:hint="eastAsia"/>
          <w:b/>
          <w:color w:val="FF0000"/>
          <w:sz w:val="20"/>
          <w:highlight w:val="yellow"/>
          <w:bdr w:val="single" w:sz="4" w:space="0" w:color="auto"/>
        </w:rPr>
        <w:t>宗</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182</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183</w:t>
      </w:r>
      <w:r w:rsidR="00AA120F" w:rsidRPr="00DA3BC7">
        <w:rPr>
          <w:rFonts w:ascii="Times Ext Roman" w:hAnsi="Times Ext Roman" w:cs="Times Ext Roman" w:hint="eastAsia"/>
          <w:sz w:val="20"/>
        </w:rPr>
        <w:t>）</w:t>
      </w:r>
    </w:p>
    <w:p w:rsidR="00C73CA4" w:rsidRDefault="00AA120F" w:rsidP="00E45051">
      <w:pPr>
        <w:ind w:leftChars="200" w:left="480"/>
        <w:jc w:val="both"/>
      </w:pPr>
      <w:r w:rsidRPr="00DA3BC7">
        <w:rPr>
          <w:rFonts w:hint="eastAsia"/>
        </w:rPr>
        <w:t>不空假名宗，空得不夠，此空假名宗又空得太過火了。</w:t>
      </w:r>
    </w:p>
    <w:p w:rsidR="00AA120F" w:rsidRPr="00DA3BC7" w:rsidRDefault="00AA120F" w:rsidP="00E45051">
      <w:pPr>
        <w:ind w:leftChars="200" w:left="480"/>
        <w:jc w:val="both"/>
      </w:pPr>
      <w:r w:rsidRPr="00DA3BC7">
        <w:rPr>
          <w:rFonts w:hint="eastAsia"/>
        </w:rPr>
        <w:t>此宗以為：</w:t>
      </w:r>
      <w:r w:rsidRPr="00DA3BC7">
        <w:rPr>
          <w:rFonts w:hint="eastAsia"/>
          <w:b/>
        </w:rPr>
        <w:t>從緣起法的假有義，以觀察因果、事相等，此屬俗諦</w:t>
      </w:r>
      <w:r w:rsidRPr="00DA3BC7">
        <w:rPr>
          <w:rFonts w:hint="eastAsia"/>
        </w:rPr>
        <w:t>；</w:t>
      </w:r>
      <w:r w:rsidRPr="00DA3BC7">
        <w:rPr>
          <w:rFonts w:hint="eastAsia"/>
          <w:b/>
        </w:rPr>
        <w:t>以真智去觀察，則緣起法無不皆空，即是真諦</w:t>
      </w:r>
      <w:r w:rsidRPr="00DA3BC7">
        <w:rPr>
          <w:rFonts w:hint="eastAsia"/>
        </w:rPr>
        <w:t>。</w:t>
      </w:r>
    </w:p>
    <w:p w:rsidR="00C73CA4" w:rsidRDefault="00AA120F" w:rsidP="00AE3920">
      <w:pPr>
        <w:spacing w:beforeLines="20"/>
        <w:ind w:leftChars="200" w:left="480"/>
        <w:jc w:val="both"/>
      </w:pPr>
      <w:r w:rsidRPr="00DA3BC7">
        <w:rPr>
          <w:rFonts w:hint="eastAsia"/>
        </w:rPr>
        <w:t>《大乘玄論》說：「</w:t>
      </w:r>
      <w:r w:rsidRPr="00DA3BC7">
        <w:rPr>
          <w:rFonts w:ascii="標楷體" w:eastAsia="標楷體" w:hAnsi="標楷體" w:hint="eastAsia"/>
        </w:rPr>
        <w:t>第二</w:t>
      </w:r>
      <w:r w:rsidR="00C73CA4" w:rsidRPr="00C73CA4">
        <w:rPr>
          <w:rFonts w:ascii="標楷體" w:eastAsia="標楷體" w:hAnsi="標楷體" w:hint="eastAsia"/>
          <w:color w:val="FF0000"/>
          <w:shd w:val="pct15" w:color="auto" w:fill="FFFFFF"/>
        </w:rPr>
        <w:t>、</w:t>
      </w:r>
      <w:r w:rsidRPr="00DA3BC7">
        <w:rPr>
          <w:rFonts w:ascii="標楷體" w:eastAsia="標楷體" w:hAnsi="標楷體" w:hint="eastAsia"/>
        </w:rPr>
        <w:t>空假名，謂此世諦舉</w:t>
      </w:r>
      <w:r w:rsidRPr="00DA3BC7">
        <w:rPr>
          <w:rStyle w:val="a6"/>
          <w:rFonts w:ascii="Times New Roman" w:hAnsi="Times New Roman"/>
        </w:rPr>
        <w:footnoteReference w:id="825"/>
      </w:r>
      <w:r w:rsidRPr="00DA3BC7">
        <w:rPr>
          <w:rFonts w:ascii="標楷體" w:eastAsia="標楷體" w:hAnsi="標楷體" w:hint="eastAsia"/>
        </w:rPr>
        <w:t>體不可得。若作假有觀，舉體世諦；作無觀之，舉體是真諦，如水中按瓜</w:t>
      </w:r>
      <w:r w:rsidRPr="00DA3BC7">
        <w:rPr>
          <w:rFonts w:hint="eastAsia"/>
        </w:rPr>
        <w:t>。」</w:t>
      </w:r>
      <w:r w:rsidRPr="00DA3BC7">
        <w:rPr>
          <w:rStyle w:val="a6"/>
          <w:rFonts w:ascii="Times New Roman" w:hAnsi="Times New Roman"/>
        </w:rPr>
        <w:footnoteReference w:id="826"/>
      </w:r>
      <w:r w:rsidRPr="00DA3BC7">
        <w:rPr>
          <w:rFonts w:hint="eastAsia"/>
        </w:rPr>
        <w:t>我們用手去按瓜入水，瓜隨手沈入水中；然手一出，瓜即浮起來。</w:t>
      </w:r>
    </w:p>
    <w:p w:rsidR="00AA120F" w:rsidRPr="00DA3BC7" w:rsidRDefault="00C73CA4" w:rsidP="00AE3920">
      <w:pPr>
        <w:spacing w:beforeLines="20"/>
        <w:ind w:leftChars="200" w:left="480"/>
        <w:jc w:val="both"/>
      </w:pPr>
      <w:r w:rsidRPr="00C73CA4">
        <w:rPr>
          <w:rFonts w:hint="eastAsia"/>
          <w:highlight w:val="yellow"/>
        </w:rPr>
        <w:t>此</w:t>
      </w:r>
      <w:r w:rsidRPr="00DA3BC7">
        <w:rPr>
          <w:rFonts w:hint="eastAsia"/>
        </w:rPr>
        <w:t>空假名者，以為空是連假名也要空掉的；空是能破析假有而不可得的。</w:t>
      </w:r>
    </w:p>
    <w:p w:rsidR="00AA120F" w:rsidRPr="00DA3BC7" w:rsidRDefault="00C73CA4" w:rsidP="00AE3920">
      <w:pPr>
        <w:spacing w:beforeLines="30"/>
        <w:ind w:leftChars="200" w:left="480"/>
        <w:jc w:val="both"/>
        <w:rPr>
          <w:rFonts w:ascii="Times Ext Roman" w:hAnsi="Times Ext Roman" w:cs="Times Ext Roman"/>
          <w:b/>
          <w:sz w:val="20"/>
          <w:bdr w:val="single" w:sz="4" w:space="0" w:color="auto"/>
        </w:rPr>
      </w:pPr>
      <w:r w:rsidRPr="00C73CA4">
        <w:rPr>
          <w:rFonts w:ascii="Times Ext Roman" w:hAnsi="Times Ext Roman" w:cs="Times Ext Roman" w:hint="eastAsia"/>
          <w:b/>
          <w:color w:val="FF0000"/>
          <w:sz w:val="20"/>
          <w:highlight w:val="yellow"/>
          <w:bdr w:val="single" w:sz="4" w:space="0" w:color="auto"/>
        </w:rPr>
        <w:t>2</w:t>
      </w:r>
      <w:r w:rsidRPr="00C73CA4">
        <w:rPr>
          <w:rFonts w:ascii="Times Ext Roman" w:hAnsi="Times Ext Roman" w:cs="Times Ext Roman" w:hint="eastAsia"/>
          <w:b/>
          <w:color w:val="FF0000"/>
          <w:sz w:val="20"/>
          <w:highlight w:val="yellow"/>
          <w:bdr w:val="single" w:sz="4" w:space="0" w:color="auto"/>
        </w:rPr>
        <w:t>、</w:t>
      </w:r>
      <w:r w:rsidR="00AA120F" w:rsidRPr="00C73CA4">
        <w:rPr>
          <w:rFonts w:ascii="Times Ext Roman" w:hAnsi="Times Ext Roman" w:cs="Times Ext Roman" w:hint="eastAsia"/>
          <w:b/>
          <w:color w:val="FF0000"/>
          <w:sz w:val="20"/>
          <w:highlight w:val="yellow"/>
          <w:bdr w:val="single" w:sz="4" w:space="0" w:color="auto"/>
        </w:rPr>
        <w:t>評</w:t>
      </w:r>
      <w:r w:rsidRPr="00C73CA4">
        <w:rPr>
          <w:rFonts w:ascii="Times Ext Roman" w:hAnsi="Times Ext Roman" w:cs="Times Ext Roman" w:hint="eastAsia"/>
          <w:b/>
          <w:color w:val="FF0000"/>
          <w:sz w:val="20"/>
          <w:highlight w:val="yellow"/>
          <w:bdr w:val="single" w:sz="4" w:space="0" w:color="auto"/>
        </w:rPr>
        <w:t>判</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183</w:t>
      </w:r>
      <w:r w:rsidR="00AA120F" w:rsidRPr="00DA3BC7">
        <w:rPr>
          <w:rFonts w:ascii="Times Ext Roman" w:hAnsi="Times Ext Roman" w:cs="Times Ext Roman" w:hint="eastAsia"/>
          <w:sz w:val="20"/>
        </w:rPr>
        <w:t>）</w:t>
      </w:r>
    </w:p>
    <w:p w:rsidR="00AA120F" w:rsidRPr="00DA3BC7" w:rsidRDefault="00AA120F" w:rsidP="00E45051">
      <w:pPr>
        <w:ind w:leftChars="200" w:left="480"/>
        <w:jc w:val="both"/>
      </w:pPr>
      <w:r w:rsidRPr="00DA3BC7">
        <w:rPr>
          <w:rFonts w:hint="eastAsia"/>
        </w:rPr>
        <w:t>此宗以為真諦空，能空破因緣假有，即空得太過了，也不能把握空有之中道。</w:t>
      </w:r>
    </w:p>
    <w:p w:rsidR="00AA120F" w:rsidRPr="00DA3BC7" w:rsidRDefault="00AA120F" w:rsidP="00AE3920">
      <w:pPr>
        <w:spacing w:beforeLines="20"/>
        <w:ind w:leftChars="200" w:left="480"/>
        <w:jc w:val="both"/>
      </w:pPr>
      <w:r w:rsidRPr="00DA3BC7">
        <w:rPr>
          <w:rFonts w:hint="eastAsia"/>
        </w:rPr>
        <w:t>他雖承認一切法空，但不能即空而善巧安立於有，成為得此無彼、得彼無此的二諦不相及，這是太過派。</w:t>
      </w:r>
    </w:p>
    <w:p w:rsidR="00AA120F" w:rsidRPr="00DA3BC7" w:rsidRDefault="00C73CA4" w:rsidP="00AE3920">
      <w:pPr>
        <w:spacing w:beforeLines="30"/>
        <w:ind w:leftChars="150" w:left="360"/>
        <w:jc w:val="both"/>
        <w:rPr>
          <w:rFonts w:ascii="Times Ext Roman" w:hAnsi="Times Ext Roman" w:cs="Times Ext Roman"/>
          <w:b/>
          <w:sz w:val="20"/>
          <w:bdr w:val="single" w:sz="4" w:space="0" w:color="auto"/>
        </w:rPr>
      </w:pPr>
      <w:r w:rsidRPr="00C73CA4">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三</w:t>
      </w:r>
      <w:r w:rsidRPr="00C73CA4">
        <w:rPr>
          <w:rFonts w:ascii="Times Ext Roman" w:hAnsi="Times Ext Roman" w:cs="Times Ext Roman" w:hint="eastAsia"/>
          <w:b/>
          <w:color w:val="FF0000"/>
          <w:sz w:val="20"/>
          <w:highlight w:val="yellow"/>
          <w:bdr w:val="single" w:sz="4" w:space="0" w:color="auto"/>
        </w:rPr>
        <w:t>）</w:t>
      </w:r>
      <w:r w:rsidR="00AA120F" w:rsidRPr="00DA3BC7">
        <w:rPr>
          <w:rFonts w:ascii="Times Ext Roman" w:hAnsi="Times Ext Roman" w:cs="Times Ext Roman" w:hint="eastAsia"/>
          <w:b/>
          <w:sz w:val="20"/>
          <w:bdr w:val="single" w:sz="4" w:space="0" w:color="auto"/>
        </w:rPr>
        <w:t>假名空（中道</w:t>
      </w:r>
      <w:r w:rsidRPr="00C73CA4">
        <w:rPr>
          <w:rFonts w:ascii="Times Ext Roman" w:hAnsi="Times Ext Roman" w:cs="Times Ext Roman" w:hint="eastAsia"/>
          <w:b/>
          <w:color w:val="FF0000"/>
          <w:sz w:val="20"/>
          <w:highlight w:val="yellow"/>
          <w:bdr w:val="single" w:sz="4" w:space="0" w:color="auto"/>
        </w:rPr>
        <w:t>義</w:t>
      </w:r>
      <w:r w:rsidR="00AA120F" w:rsidRPr="00DA3BC7">
        <w:rPr>
          <w:rFonts w:ascii="Times Ext Roman" w:hAnsi="Times Ext Roman" w:cs="Times Ext Roman" w:hint="eastAsia"/>
          <w:b/>
          <w:sz w:val="20"/>
          <w:bdr w:val="single" w:sz="4" w:space="0" w:color="auto"/>
        </w:rPr>
        <w:t>）</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183</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184</w:t>
      </w:r>
      <w:r w:rsidR="00AA120F" w:rsidRPr="00DA3BC7">
        <w:rPr>
          <w:rFonts w:ascii="Times Ext Roman" w:hAnsi="Times Ext Roman" w:cs="Times Ext Roman" w:hint="eastAsia"/>
          <w:sz w:val="20"/>
        </w:rPr>
        <w:t>）</w:t>
      </w:r>
    </w:p>
    <w:p w:rsidR="00C73CA4" w:rsidRDefault="00C73CA4" w:rsidP="008E2BBC">
      <w:pPr>
        <w:ind w:leftChars="150" w:left="360"/>
        <w:jc w:val="both"/>
      </w:pPr>
      <w:r w:rsidRPr="00DA3BC7">
        <w:rPr>
          <w:rFonts w:hint="eastAsia"/>
        </w:rPr>
        <w:t>「</w:t>
      </w:r>
      <w:r w:rsidRPr="00DA3BC7">
        <w:rPr>
          <w:rFonts w:hint="eastAsia"/>
          <w:b/>
        </w:rPr>
        <w:t>假名空</w:t>
      </w:r>
      <w:r w:rsidRPr="00DA3BC7">
        <w:rPr>
          <w:rFonts w:hint="eastAsia"/>
        </w:rPr>
        <w:t>」：</w:t>
      </w:r>
    </w:p>
    <w:p w:rsidR="00AA120F" w:rsidRPr="00DA3BC7" w:rsidRDefault="00C73CA4" w:rsidP="00AE3920">
      <w:pPr>
        <w:spacing w:beforeLines="30"/>
        <w:ind w:leftChars="200" w:left="480"/>
        <w:jc w:val="both"/>
        <w:rPr>
          <w:rFonts w:ascii="Times Ext Roman" w:hAnsi="Times Ext Roman" w:cs="Times Ext Roman"/>
          <w:b/>
          <w:sz w:val="20"/>
          <w:bdr w:val="single" w:sz="4" w:space="0" w:color="auto"/>
        </w:rPr>
      </w:pPr>
      <w:r w:rsidRPr="00C73CA4">
        <w:rPr>
          <w:rFonts w:ascii="Times Ext Roman" w:hAnsi="Times Ext Roman" w:cs="Times Ext Roman" w:hint="eastAsia"/>
          <w:b/>
          <w:color w:val="FF0000"/>
          <w:sz w:val="20"/>
          <w:highlight w:val="yellow"/>
          <w:bdr w:val="single" w:sz="4" w:space="0" w:color="auto"/>
        </w:rPr>
        <w:t>1</w:t>
      </w:r>
      <w:r w:rsidRPr="00C73CA4">
        <w:rPr>
          <w:rFonts w:ascii="Times Ext Roman" w:hAnsi="Times Ext Roman" w:cs="Times Ext Roman" w:hint="eastAsia"/>
          <w:b/>
          <w:color w:val="FF0000"/>
          <w:sz w:val="20"/>
          <w:highlight w:val="yellow"/>
          <w:bdr w:val="single" w:sz="4" w:space="0" w:color="auto"/>
        </w:rPr>
        <w:t>、述</w:t>
      </w:r>
      <w:r w:rsidR="00AA120F" w:rsidRPr="00C73CA4">
        <w:rPr>
          <w:rFonts w:ascii="Times Ext Roman" w:hAnsi="Times Ext Roman" w:cs="Times Ext Roman" w:hint="eastAsia"/>
          <w:b/>
          <w:color w:val="FF0000"/>
          <w:sz w:val="20"/>
          <w:highlight w:val="yellow"/>
          <w:bdr w:val="single" w:sz="4" w:space="0" w:color="auto"/>
        </w:rPr>
        <w:t>宗</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183</w:t>
      </w:r>
      <w:r w:rsidR="00AA120F" w:rsidRPr="00DA3BC7">
        <w:rPr>
          <w:rFonts w:ascii="Times Ext Roman" w:hAnsi="Times Ext Roman" w:cs="Times Ext Roman" w:hint="eastAsia"/>
          <w:sz w:val="20"/>
        </w:rPr>
        <w:t>）</w:t>
      </w:r>
    </w:p>
    <w:p w:rsidR="00C73CA4" w:rsidRDefault="00AA120F" w:rsidP="00E45051">
      <w:pPr>
        <w:ind w:leftChars="200" w:left="480"/>
        <w:jc w:val="both"/>
      </w:pPr>
      <w:r w:rsidRPr="00DA3BC7">
        <w:rPr>
          <w:rFonts w:hint="eastAsia"/>
        </w:rPr>
        <w:t>三論宗的正義是假名空，簡說為假空。</w:t>
      </w:r>
    </w:p>
    <w:p w:rsidR="00AA120F" w:rsidRPr="00DA3BC7" w:rsidRDefault="00AA120F" w:rsidP="00E45051">
      <w:pPr>
        <w:ind w:leftChars="200" w:left="480"/>
        <w:jc w:val="both"/>
      </w:pPr>
      <w:r w:rsidRPr="00DA3BC7">
        <w:rPr>
          <w:rFonts w:hint="eastAsia"/>
        </w:rPr>
        <w:t>緣起是假有法，假有即非真實性的，非真實有即是空。</w:t>
      </w:r>
    </w:p>
    <w:p w:rsidR="00AA120F" w:rsidRPr="00DA3BC7" w:rsidRDefault="00AA120F" w:rsidP="00AE3920">
      <w:pPr>
        <w:spacing w:beforeLines="20"/>
        <w:ind w:leftChars="200" w:left="480"/>
        <w:jc w:val="both"/>
      </w:pPr>
      <w:r w:rsidRPr="00DA3BC7">
        <w:rPr>
          <w:rFonts w:hint="eastAsia"/>
        </w:rPr>
        <w:lastRenderedPageBreak/>
        <w:t>假名宛然現處，無自性即是空，不是無緣起假名的，此</w:t>
      </w:r>
      <w:r w:rsidRPr="00DA3BC7">
        <w:rPr>
          <w:rFonts w:hint="eastAsia"/>
          <w:b/>
        </w:rPr>
        <w:t>與空假名不同</w:t>
      </w:r>
      <w:r w:rsidRPr="00DA3BC7">
        <w:rPr>
          <w:rFonts w:hint="eastAsia"/>
        </w:rPr>
        <w:t>。</w:t>
      </w:r>
    </w:p>
    <w:p w:rsidR="00AA120F" w:rsidRPr="00DA3BC7" w:rsidRDefault="00AA120F" w:rsidP="00AE3920">
      <w:pPr>
        <w:spacing w:beforeLines="20"/>
        <w:ind w:leftChars="200" w:left="480"/>
        <w:jc w:val="both"/>
      </w:pPr>
      <w:r w:rsidRPr="00DA3BC7">
        <w:rPr>
          <w:rFonts w:hint="eastAsia"/>
        </w:rPr>
        <w:t>空是即假名的，非離假名而別觀空，即假名非實有名空，故又</w:t>
      </w:r>
      <w:r w:rsidRPr="00DA3BC7">
        <w:rPr>
          <w:rFonts w:hint="eastAsia"/>
          <w:b/>
        </w:rPr>
        <w:t>與不空假名不同</w:t>
      </w:r>
      <w:r w:rsidRPr="00DA3BC7">
        <w:rPr>
          <w:rFonts w:hint="eastAsia"/>
        </w:rPr>
        <w:t>。</w:t>
      </w:r>
    </w:p>
    <w:p w:rsidR="00AA120F" w:rsidRPr="00DA3BC7" w:rsidRDefault="00AA120F" w:rsidP="00AE3920">
      <w:pPr>
        <w:spacing w:beforeLines="20"/>
        <w:ind w:leftChars="200" w:left="480"/>
        <w:jc w:val="both"/>
      </w:pPr>
      <w:r w:rsidRPr="00DA3BC7">
        <w:rPr>
          <w:rFonts w:hint="eastAsia"/>
        </w:rPr>
        <w:t>《大乘玄論》說：「</w:t>
      </w:r>
      <w:r w:rsidRPr="00DA3BC7">
        <w:rPr>
          <w:rFonts w:ascii="標楷體" w:eastAsia="標楷體" w:hAnsi="標楷體" w:hint="eastAsia"/>
        </w:rPr>
        <w:t>假空者，雖空而宛然假，雖假而宛然空，空有無礙</w:t>
      </w:r>
      <w:r w:rsidRPr="00DA3BC7">
        <w:rPr>
          <w:rFonts w:hint="eastAsia"/>
        </w:rPr>
        <w:t>。」</w:t>
      </w:r>
      <w:r w:rsidRPr="00DA3BC7">
        <w:rPr>
          <w:rStyle w:val="a6"/>
          <w:rFonts w:ascii="Times New Roman" w:hAnsi="Times New Roman"/>
          <w:spacing w:val="-2"/>
        </w:rPr>
        <w:footnoteReference w:id="827"/>
      </w:r>
      <w:r w:rsidRPr="00DA3BC7">
        <w:rPr>
          <w:rFonts w:hint="eastAsia"/>
        </w:rPr>
        <w:t>如此方可說為中道，古三論師取此為正義。</w:t>
      </w:r>
    </w:p>
    <w:p w:rsidR="00AA120F" w:rsidRPr="00DA3BC7" w:rsidRDefault="00C73CA4" w:rsidP="00E45051">
      <w:pPr>
        <w:ind w:leftChars="200" w:left="480"/>
        <w:jc w:val="both"/>
        <w:rPr>
          <w:rFonts w:ascii="Times Ext Roman" w:hAnsi="Times Ext Roman" w:cs="Times Ext Roman"/>
          <w:sz w:val="20"/>
          <w:bdr w:val="single" w:sz="4" w:space="0" w:color="auto"/>
        </w:rPr>
      </w:pPr>
      <w:r w:rsidRPr="00C73CA4">
        <w:rPr>
          <w:rFonts w:ascii="Times Ext Roman" w:hAnsi="Times Ext Roman" w:cs="Times Ext Roman" w:hint="eastAsia"/>
          <w:b/>
          <w:color w:val="FF0000"/>
          <w:sz w:val="20"/>
          <w:highlight w:val="yellow"/>
          <w:bdr w:val="single" w:sz="4" w:space="0" w:color="auto"/>
        </w:rPr>
        <w:t>2</w:t>
      </w:r>
      <w:r w:rsidR="00AA120F" w:rsidRPr="00C73CA4">
        <w:rPr>
          <w:rFonts w:ascii="Times Ext Roman" w:hAnsi="Times Ext Roman" w:cs="Times Ext Roman" w:hint="eastAsia"/>
          <w:b/>
          <w:color w:val="FF0000"/>
          <w:sz w:val="20"/>
          <w:highlight w:val="yellow"/>
          <w:bdr w:val="single" w:sz="4" w:space="0" w:color="auto"/>
        </w:rPr>
        <w:t>、</w:t>
      </w:r>
      <w:r w:rsidRPr="00C73CA4">
        <w:rPr>
          <w:rFonts w:ascii="Times Ext Roman" w:hAnsi="Times Ext Roman" w:cs="Times Ext Roman" w:hint="eastAsia"/>
          <w:b/>
          <w:color w:val="FF0000"/>
          <w:sz w:val="20"/>
          <w:highlight w:val="yellow"/>
          <w:bdr w:val="single" w:sz="4" w:space="0" w:color="auto"/>
        </w:rPr>
        <w:t>校量</w:t>
      </w:r>
      <w:r w:rsidRPr="00DA3BC7">
        <w:rPr>
          <w:rFonts w:ascii="Times Ext Roman" w:hAnsi="Times Ext Roman" w:cs="Times Ext Roman" w:hint="eastAsia"/>
          <w:sz w:val="20"/>
        </w:rPr>
        <w:t>（</w:t>
      </w:r>
      <w:r w:rsidRPr="00DA3BC7">
        <w:rPr>
          <w:rFonts w:ascii="Times New Roman" w:hAnsi="Times New Roman" w:cs="Times Ext Roman" w:hint="eastAsia"/>
          <w:sz w:val="20"/>
        </w:rPr>
        <w:t>pp</w:t>
      </w:r>
      <w:r w:rsidRPr="00DA3BC7">
        <w:rPr>
          <w:rFonts w:ascii="Times Ext Roman" w:hAnsi="Times Ext Roman" w:cs="Times Ext Roman" w:hint="eastAsia"/>
          <w:sz w:val="20"/>
        </w:rPr>
        <w:t>.</w:t>
      </w:r>
      <w:r w:rsidRPr="00DA3BC7">
        <w:rPr>
          <w:rFonts w:ascii="Times New Roman" w:hAnsi="Times New Roman" w:cs="Times Ext Roman" w:hint="eastAsia"/>
          <w:sz w:val="20"/>
        </w:rPr>
        <w:t>183</w:t>
      </w:r>
      <w:r w:rsidRPr="00DA3BC7">
        <w:rPr>
          <w:rFonts w:ascii="Times Ext Roman" w:hAnsi="Times Ext Roman" w:cs="Times Ext Roman" w:hint="eastAsia"/>
          <w:sz w:val="20"/>
        </w:rPr>
        <w:t>-</w:t>
      </w:r>
      <w:r w:rsidRPr="00DA3BC7">
        <w:rPr>
          <w:rFonts w:ascii="Times New Roman" w:hAnsi="Times New Roman" w:cs="Times Ext Roman" w:hint="eastAsia"/>
          <w:sz w:val="20"/>
        </w:rPr>
        <w:t>184</w:t>
      </w:r>
      <w:r w:rsidRPr="00DA3BC7">
        <w:rPr>
          <w:rFonts w:ascii="Times Ext Roman" w:hAnsi="Times Ext Roman" w:cs="Times Ext Roman" w:hint="eastAsia"/>
          <w:sz w:val="20"/>
        </w:rPr>
        <w:t>）</w:t>
      </w:r>
    </w:p>
    <w:p w:rsidR="00AA120F" w:rsidRPr="00DA3BC7" w:rsidRDefault="00AA120F" w:rsidP="00E45051">
      <w:pPr>
        <w:ind w:leftChars="200" w:left="480"/>
        <w:jc w:val="both"/>
      </w:pPr>
      <w:r w:rsidRPr="00DA3BC7">
        <w:rPr>
          <w:rFonts w:hint="eastAsia"/>
        </w:rPr>
        <w:t>此與天臺家的即有即空</w:t>
      </w:r>
      <w:r w:rsidRPr="00DA3BC7">
        <w:rPr>
          <w:rStyle w:val="a6"/>
          <w:rFonts w:ascii="Times New Roman" w:hAnsi="Times New Roman"/>
        </w:rPr>
        <w:footnoteReference w:id="828"/>
      </w:r>
      <w:r w:rsidRPr="00DA3BC7">
        <w:rPr>
          <w:rFonts w:hint="eastAsia"/>
        </w:rPr>
        <w:t>相近。</w:t>
      </w:r>
    </w:p>
    <w:p w:rsidR="00AA120F" w:rsidRPr="00DA3BC7" w:rsidRDefault="00AA120F" w:rsidP="00E45051">
      <w:pPr>
        <w:ind w:leftChars="200" w:left="480"/>
        <w:jc w:val="both"/>
      </w:pPr>
      <w:r w:rsidRPr="00DA3BC7">
        <w:rPr>
          <w:rFonts w:hint="eastAsia"/>
        </w:rPr>
        <w:t>《菩提道次第廣論》，西藏傳說龍樹學於勝義諦有二派：（一）極無所住，（二）現空如幻。</w:t>
      </w:r>
      <w:r w:rsidRPr="00DA3BC7">
        <w:rPr>
          <w:rStyle w:val="a6"/>
          <w:rFonts w:ascii="Times New Roman" w:hAnsi="Times New Roman"/>
          <w:spacing w:val="-2"/>
        </w:rPr>
        <w:footnoteReference w:id="829"/>
      </w:r>
    </w:p>
    <w:p w:rsidR="00C73CA4" w:rsidRDefault="00AA120F" w:rsidP="00AE3920">
      <w:pPr>
        <w:spacing w:beforeLines="20"/>
        <w:ind w:leftChars="200" w:left="480"/>
        <w:jc w:val="both"/>
      </w:pPr>
      <w:r w:rsidRPr="00DA3BC7">
        <w:rPr>
          <w:rFonts w:hint="eastAsia"/>
        </w:rPr>
        <w:t>《廣論》可以不承認有此二宗，但不能否認西藏從印度所傳，確曾有此說。</w:t>
      </w:r>
      <w:r w:rsidRPr="00DA3BC7">
        <w:rPr>
          <w:rFonts w:hint="eastAsia"/>
          <w:b/>
        </w:rPr>
        <w:t>即現即空、即空即現的現空無礙</w:t>
      </w:r>
      <w:r w:rsidRPr="00DA3BC7">
        <w:rPr>
          <w:rFonts w:hint="eastAsia"/>
        </w:rPr>
        <w:t>，實為淵源於龍樹學的</w:t>
      </w:r>
      <w:r w:rsidRPr="00C73CA4">
        <w:rPr>
          <w:rFonts w:hint="eastAsia"/>
          <w:highlight w:val="yellow"/>
        </w:rPr>
        <w:t>。</w:t>
      </w:r>
    </w:p>
    <w:p w:rsidR="00AA120F" w:rsidRPr="00DA3BC7" w:rsidRDefault="00C73CA4" w:rsidP="00AE3920">
      <w:pPr>
        <w:spacing w:beforeLines="20"/>
        <w:ind w:leftChars="200" w:left="480"/>
        <w:jc w:val="both"/>
      </w:pPr>
      <w:r w:rsidRPr="00C73CA4">
        <w:rPr>
          <w:rFonts w:hint="eastAsia"/>
          <w:highlight w:val="yellow"/>
        </w:rPr>
        <w:t>中</w:t>
      </w:r>
      <w:r w:rsidRPr="00DA3BC7">
        <w:rPr>
          <w:rFonts w:hint="eastAsia"/>
        </w:rPr>
        <w:t>土的三論宗，近於此宗。</w:t>
      </w:r>
    </w:p>
    <w:p w:rsidR="00AA120F" w:rsidRPr="00DA3BC7" w:rsidRDefault="00AA120F" w:rsidP="00AE3920">
      <w:pPr>
        <w:spacing w:beforeLines="30"/>
        <w:ind w:leftChars="200" w:left="480"/>
        <w:jc w:val="both"/>
        <w:rPr>
          <w:rFonts w:ascii="Times Ext Roman" w:hAnsi="Times Ext Roman" w:cs="Times Ext Roman"/>
          <w:sz w:val="20"/>
          <w:bdr w:val="single" w:sz="4" w:space="0" w:color="auto"/>
        </w:rPr>
      </w:pPr>
      <w:r w:rsidRPr="00C73CA4">
        <w:rPr>
          <w:rFonts w:ascii="Times New Roman" w:hAnsi="Times New Roman" w:cs="Times Ext Roman" w:hint="eastAsia"/>
          <w:b/>
          <w:color w:val="FF0000"/>
          <w:sz w:val="20"/>
          <w:highlight w:val="yellow"/>
          <w:bdr w:val="single" w:sz="4" w:space="0" w:color="auto"/>
        </w:rPr>
        <w:t>3</w:t>
      </w:r>
      <w:r w:rsidRPr="00C73CA4">
        <w:rPr>
          <w:rFonts w:ascii="Times Ext Roman" w:hAnsi="Times Ext Roman" w:cs="Times Ext Roman" w:hint="eastAsia"/>
          <w:b/>
          <w:color w:val="FF0000"/>
          <w:sz w:val="20"/>
          <w:highlight w:val="yellow"/>
          <w:bdr w:val="single" w:sz="4" w:space="0" w:color="auto"/>
        </w:rPr>
        <w:t>、</w:t>
      </w:r>
      <w:r w:rsidR="00C73CA4" w:rsidRPr="00C73CA4">
        <w:rPr>
          <w:rFonts w:ascii="Times Ext Roman" w:hAnsi="Times Ext Roman" w:cs="Times Ext Roman" w:hint="eastAsia"/>
          <w:b/>
          <w:color w:val="FF0000"/>
          <w:sz w:val="20"/>
          <w:highlight w:val="yellow"/>
          <w:bdr w:val="single" w:sz="4" w:space="0" w:color="auto"/>
        </w:rPr>
        <w:t>探源</w:t>
      </w:r>
      <w:r w:rsidRPr="00DA3BC7">
        <w:rPr>
          <w:rFonts w:ascii="Times Ext Roman" w:hAnsi="Times Ext Roman" w:cs="Times Ext Roman" w:hint="eastAsia"/>
          <w:sz w:val="20"/>
        </w:rPr>
        <w:t>（</w:t>
      </w:r>
      <w:r w:rsidRPr="00DA3BC7">
        <w:rPr>
          <w:rFonts w:ascii="Times New Roman" w:hAnsi="Times New Roman" w:cs="Times Ext Roman" w:hint="eastAsia"/>
          <w:sz w:val="20"/>
        </w:rPr>
        <w:t>p</w:t>
      </w:r>
      <w:r w:rsidRPr="00DA3BC7">
        <w:rPr>
          <w:rFonts w:ascii="Times Ext Roman" w:hAnsi="Times Ext Roman" w:cs="Times Ext Roman" w:hint="eastAsia"/>
          <w:sz w:val="20"/>
        </w:rPr>
        <w:t>.</w:t>
      </w:r>
      <w:r w:rsidRPr="00DA3BC7">
        <w:rPr>
          <w:rFonts w:ascii="Times New Roman" w:hAnsi="Times New Roman" w:cs="Times Ext Roman" w:hint="eastAsia"/>
          <w:sz w:val="20"/>
        </w:rPr>
        <w:t>184</w:t>
      </w:r>
      <w:r w:rsidRPr="00DA3BC7">
        <w:rPr>
          <w:rFonts w:ascii="Times Ext Roman" w:hAnsi="Times Ext Roman" w:cs="Times Ext Roman" w:hint="eastAsia"/>
          <w:sz w:val="20"/>
        </w:rPr>
        <w:t>）</w:t>
      </w:r>
    </w:p>
    <w:p w:rsidR="00AA120F" w:rsidRPr="00DA3BC7" w:rsidRDefault="00AA120F" w:rsidP="00E45051">
      <w:pPr>
        <w:ind w:leftChars="200" w:left="480"/>
        <w:jc w:val="both"/>
      </w:pPr>
      <w:r w:rsidRPr="00DA3BC7">
        <w:rPr>
          <w:rFonts w:hint="eastAsia"/>
        </w:rPr>
        <w:t>此種思想，乃循僧肇法師的《不真空論》而來：「</w:t>
      </w:r>
      <w:r w:rsidRPr="00DA3BC7">
        <w:rPr>
          <w:rFonts w:ascii="標楷體" w:eastAsia="標楷體" w:hAnsi="標楷體" w:hint="eastAsia"/>
        </w:rPr>
        <w:t>欲言其有，有非真生；欲言其無，事象既形。象形不即無，非真非實有，然則不真空義，顯於玆矣！故《放光》云：諸法假號不真，譬如幻化人，非無幻化人，幻化人非真人也</w:t>
      </w:r>
      <w:r w:rsidRPr="00DA3BC7">
        <w:rPr>
          <w:rFonts w:hint="eastAsia"/>
        </w:rPr>
        <w:t>。」</w:t>
      </w:r>
      <w:r w:rsidRPr="00DA3BC7">
        <w:rPr>
          <w:rStyle w:val="a6"/>
          <w:rFonts w:ascii="Times New Roman" w:hAnsi="Times New Roman"/>
        </w:rPr>
        <w:footnoteReference w:id="830"/>
      </w:r>
    </w:p>
    <w:p w:rsidR="00C73CA4" w:rsidRPr="00DA3BC7" w:rsidRDefault="00C73CA4" w:rsidP="00AE3920">
      <w:pPr>
        <w:spacing w:beforeLines="30"/>
        <w:ind w:leftChars="200" w:left="480"/>
        <w:jc w:val="both"/>
        <w:rPr>
          <w:rFonts w:ascii="Times Ext Roman" w:hAnsi="Times Ext Roman" w:cs="Times Ext Roman"/>
          <w:sz w:val="20"/>
          <w:bdr w:val="single" w:sz="4" w:space="0" w:color="auto"/>
        </w:rPr>
      </w:pPr>
      <w:r>
        <w:rPr>
          <w:rFonts w:ascii="Times New Roman" w:hAnsi="Times New Roman" w:cs="Times Ext Roman" w:hint="eastAsia"/>
          <w:b/>
          <w:color w:val="FF0000"/>
          <w:sz w:val="20"/>
          <w:highlight w:val="yellow"/>
          <w:bdr w:val="single" w:sz="4" w:space="0" w:color="auto"/>
        </w:rPr>
        <w:lastRenderedPageBreak/>
        <w:t>4</w:t>
      </w:r>
      <w:r w:rsidRPr="00C73CA4">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評判</w:t>
      </w:r>
      <w:r w:rsidRPr="00DA3BC7">
        <w:rPr>
          <w:rFonts w:ascii="Times Ext Roman" w:hAnsi="Times Ext Roman" w:cs="Times Ext Roman" w:hint="eastAsia"/>
          <w:sz w:val="20"/>
        </w:rPr>
        <w:t>（</w:t>
      </w:r>
      <w:r w:rsidRPr="00DA3BC7">
        <w:rPr>
          <w:rFonts w:ascii="Times New Roman" w:hAnsi="Times New Roman" w:cs="Times Ext Roman" w:hint="eastAsia"/>
          <w:sz w:val="20"/>
        </w:rPr>
        <w:t>p</w:t>
      </w:r>
      <w:r w:rsidRPr="00DA3BC7">
        <w:rPr>
          <w:rFonts w:ascii="Times Ext Roman" w:hAnsi="Times Ext Roman" w:cs="Times Ext Roman" w:hint="eastAsia"/>
          <w:sz w:val="20"/>
        </w:rPr>
        <w:t>.</w:t>
      </w:r>
      <w:r w:rsidRPr="00DA3BC7">
        <w:rPr>
          <w:rFonts w:ascii="Times New Roman" w:hAnsi="Times New Roman" w:cs="Times Ext Roman" w:hint="eastAsia"/>
          <w:sz w:val="20"/>
        </w:rPr>
        <w:t>184</w:t>
      </w:r>
      <w:r w:rsidRPr="00DA3BC7">
        <w:rPr>
          <w:rFonts w:ascii="Times Ext Roman" w:hAnsi="Times Ext Roman" w:cs="Times Ext Roman" w:hint="eastAsia"/>
          <w:sz w:val="20"/>
        </w:rPr>
        <w:t>）</w:t>
      </w:r>
    </w:p>
    <w:p w:rsidR="00AA120F" w:rsidRPr="00DA3BC7" w:rsidRDefault="00AA120F" w:rsidP="00E45051">
      <w:pPr>
        <w:ind w:leftChars="200" w:left="480"/>
        <w:jc w:val="both"/>
      </w:pPr>
      <w:r w:rsidRPr="00DA3BC7">
        <w:rPr>
          <w:rFonts w:hint="eastAsia"/>
        </w:rPr>
        <w:t>三論宗傳此為假名空，說一切法空故非不及；雖空而假有不壞，也不是太過，所以能得現象與實性的中道。</w:t>
      </w:r>
    </w:p>
    <w:p w:rsidR="00AA120F" w:rsidRPr="00DA3BC7" w:rsidRDefault="00C73CA4" w:rsidP="00AE3920">
      <w:pPr>
        <w:spacing w:beforeLines="30"/>
        <w:ind w:leftChars="50" w:left="120"/>
        <w:jc w:val="both"/>
        <w:rPr>
          <w:rFonts w:ascii="Times Ext Roman" w:hAnsi="Times Ext Roman" w:cs="Times Ext Roman"/>
          <w:b/>
          <w:sz w:val="20"/>
          <w:bdr w:val="single" w:sz="4" w:space="0" w:color="auto"/>
        </w:rPr>
      </w:pPr>
      <w:r w:rsidRPr="00C73CA4">
        <w:rPr>
          <w:rFonts w:ascii="Times Ext Roman" w:hAnsi="Times Ext Roman" w:cs="Times Ext Roman"/>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貳</w:t>
      </w:r>
      <w:r w:rsidRPr="00C73CA4">
        <w:rPr>
          <w:rFonts w:ascii="Times Ext Roman" w:hAnsi="Times Ext Roman" w:cs="Times Ext Roman"/>
          <w:b/>
          <w:color w:val="FF0000"/>
          <w:sz w:val="20"/>
          <w:highlight w:val="yellow"/>
          <w:bdr w:val="single" w:sz="4" w:space="0" w:color="auto"/>
        </w:rPr>
        <w:t>）</w:t>
      </w:r>
      <w:r w:rsidR="00AA120F" w:rsidRPr="00DA3BC7">
        <w:rPr>
          <w:rFonts w:ascii="Times Ext Roman" w:hAnsi="Times Ext Roman" w:cs="Times Ext Roman" w:hint="eastAsia"/>
          <w:b/>
          <w:sz w:val="20"/>
          <w:bdr w:val="single" w:sz="4" w:space="0" w:color="auto"/>
        </w:rPr>
        <w:t>藏傳的中觀三家</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184</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189</w:t>
      </w:r>
      <w:r w:rsidR="00AA120F" w:rsidRPr="00DA3BC7">
        <w:rPr>
          <w:rFonts w:ascii="Times Ext Roman" w:hAnsi="Times Ext Roman" w:cs="Times Ext Roman" w:hint="eastAsia"/>
          <w:sz w:val="20"/>
        </w:rPr>
        <w:t>）</w:t>
      </w:r>
    </w:p>
    <w:p w:rsidR="00AA120F" w:rsidRPr="00DA3BC7" w:rsidRDefault="00C73CA4" w:rsidP="00E45051">
      <w:pPr>
        <w:ind w:leftChars="100" w:left="240"/>
        <w:jc w:val="both"/>
        <w:rPr>
          <w:rFonts w:ascii="Times Ext Roman" w:hAnsi="Times Ext Roman" w:cs="Times Ext Roman"/>
          <w:sz w:val="20"/>
          <w:bdr w:val="single" w:sz="4" w:space="0" w:color="auto"/>
        </w:rPr>
      </w:pPr>
      <w:r>
        <w:rPr>
          <w:rFonts w:ascii="Times Ext Roman" w:hAnsi="Times Ext Roman" w:cs="Times Ext Roman" w:hint="eastAsia"/>
          <w:b/>
          <w:color w:val="FF0000"/>
          <w:sz w:val="20"/>
          <w:highlight w:val="yellow"/>
          <w:bdr w:val="single" w:sz="4" w:space="0" w:color="auto"/>
        </w:rPr>
        <w:t>一、</w:t>
      </w:r>
      <w:r w:rsidR="00AA120F" w:rsidRPr="00DA3BC7">
        <w:rPr>
          <w:rFonts w:ascii="Times Ext Roman" w:hAnsi="Times Ext Roman" w:cs="Times Ext Roman" w:hint="eastAsia"/>
          <w:b/>
          <w:sz w:val="20"/>
          <w:bdr w:val="single" w:sz="4" w:space="0" w:color="auto"/>
        </w:rPr>
        <w:t>略</w:t>
      </w:r>
      <w:r w:rsidR="00AA120F" w:rsidRPr="00C73CA4">
        <w:rPr>
          <w:rFonts w:ascii="Times Ext Roman" w:hAnsi="Times Ext Roman" w:cs="Times Ext Roman" w:hint="eastAsia"/>
          <w:b/>
          <w:sz w:val="20"/>
          <w:highlight w:val="yellow"/>
          <w:bdr w:val="single" w:sz="4" w:space="0" w:color="auto"/>
        </w:rPr>
        <w:t>標</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184</w:t>
      </w:r>
      <w:r w:rsidR="00AA120F" w:rsidRPr="00DA3BC7">
        <w:rPr>
          <w:rFonts w:ascii="Times Ext Roman" w:hAnsi="Times Ext Roman" w:cs="Times Ext Roman" w:hint="eastAsia"/>
          <w:sz w:val="20"/>
        </w:rPr>
        <w:t>）</w:t>
      </w:r>
    </w:p>
    <w:p w:rsidR="00AA120F" w:rsidRPr="00DA3BC7" w:rsidRDefault="00AA120F" w:rsidP="00E45051">
      <w:pPr>
        <w:ind w:leftChars="100" w:left="240"/>
        <w:jc w:val="both"/>
      </w:pPr>
      <w:r w:rsidRPr="00DA3BC7">
        <w:rPr>
          <w:rFonts w:hint="eastAsia"/>
        </w:rPr>
        <w:t>二、藏傳的中觀三家：《菩提道次第廣論》，抉擇中觀見，先破除太過與不及的兩派，然後確立自宗正見。</w:t>
      </w:r>
    </w:p>
    <w:p w:rsidR="00AA120F" w:rsidRPr="00DA3BC7" w:rsidRDefault="00C73CA4" w:rsidP="00AE3920">
      <w:pPr>
        <w:spacing w:beforeLines="30"/>
        <w:ind w:leftChars="100" w:left="240"/>
        <w:jc w:val="both"/>
        <w:rPr>
          <w:rFonts w:ascii="Times Ext Roman" w:hAnsi="Times Ext Roman" w:cs="Times Ext Roman"/>
          <w:b/>
          <w:sz w:val="20"/>
          <w:bdr w:val="single" w:sz="4" w:space="0" w:color="auto"/>
        </w:rPr>
      </w:pPr>
      <w:r>
        <w:rPr>
          <w:rFonts w:ascii="Times Ext Roman" w:hAnsi="Times Ext Roman" w:cs="Times Ext Roman" w:hint="eastAsia"/>
          <w:b/>
          <w:color w:val="FF0000"/>
          <w:sz w:val="20"/>
          <w:highlight w:val="yellow"/>
          <w:bdr w:val="single" w:sz="4" w:space="0" w:color="auto"/>
        </w:rPr>
        <w:t>二、</w:t>
      </w:r>
      <w:r w:rsidR="00AA120F" w:rsidRPr="00DA3BC7">
        <w:rPr>
          <w:rFonts w:ascii="Times Ext Roman" w:hAnsi="Times Ext Roman" w:cs="Times Ext Roman" w:hint="eastAsia"/>
          <w:b/>
          <w:sz w:val="20"/>
          <w:bdr w:val="single" w:sz="4" w:space="0" w:color="auto"/>
        </w:rPr>
        <w:t>別述</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184</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189</w:t>
      </w:r>
      <w:r w:rsidR="00AA120F" w:rsidRPr="00DA3BC7">
        <w:rPr>
          <w:rFonts w:ascii="Times Ext Roman" w:hAnsi="Times Ext Roman" w:cs="Times Ext Roman" w:hint="eastAsia"/>
          <w:sz w:val="20"/>
        </w:rPr>
        <w:t>）</w:t>
      </w:r>
    </w:p>
    <w:p w:rsidR="00AA120F" w:rsidRPr="00DA3BC7" w:rsidRDefault="00C73CA4" w:rsidP="00E45051">
      <w:pPr>
        <w:ind w:leftChars="150" w:left="360"/>
        <w:jc w:val="both"/>
        <w:rPr>
          <w:rFonts w:ascii="Times Ext Roman" w:hAnsi="Times Ext Roman" w:cs="Times Ext Roman"/>
          <w:b/>
          <w:sz w:val="20"/>
          <w:bdr w:val="single" w:sz="4" w:space="0" w:color="auto"/>
        </w:rPr>
      </w:pPr>
      <w:r w:rsidRPr="00C73CA4">
        <w:rPr>
          <w:rFonts w:ascii="Times Ext Roman" w:hAnsi="Times Ext Roman" w:cs="Times Ext Roman" w:hint="eastAsia"/>
          <w:b/>
          <w:color w:val="FF0000"/>
          <w:sz w:val="20"/>
          <w:highlight w:val="yellow"/>
          <w:bdr w:val="single" w:sz="4" w:space="0" w:color="auto"/>
        </w:rPr>
        <w:t>（一）</w:t>
      </w:r>
      <w:r w:rsidR="00AA120F" w:rsidRPr="00DA3BC7">
        <w:rPr>
          <w:rFonts w:ascii="Times Ext Roman" w:hAnsi="Times Ext Roman" w:cs="Times Ext Roman" w:hint="eastAsia"/>
          <w:b/>
          <w:sz w:val="20"/>
          <w:bdr w:val="single" w:sz="4" w:space="0" w:color="auto"/>
        </w:rPr>
        <w:t>太過派</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184</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186</w:t>
      </w:r>
      <w:r w:rsidR="00AA120F" w:rsidRPr="00DA3BC7">
        <w:rPr>
          <w:rFonts w:ascii="Times Ext Roman" w:hAnsi="Times Ext Roman" w:cs="Times Ext Roman" w:hint="eastAsia"/>
          <w:sz w:val="20"/>
        </w:rPr>
        <w:t>）</w:t>
      </w:r>
    </w:p>
    <w:p w:rsidR="00AA120F" w:rsidRPr="00DA3BC7" w:rsidRDefault="00C73CA4" w:rsidP="00E45051">
      <w:pPr>
        <w:ind w:leftChars="200" w:left="480"/>
        <w:jc w:val="both"/>
        <w:rPr>
          <w:rFonts w:ascii="Times Ext Roman" w:hAnsi="Times Ext Roman" w:cs="Times Ext Roman"/>
          <w:sz w:val="20"/>
          <w:bdr w:val="single" w:sz="4" w:space="0" w:color="auto"/>
        </w:rPr>
      </w:pPr>
      <w:r w:rsidRPr="00C73CA4">
        <w:rPr>
          <w:rFonts w:ascii="Times Ext Roman" w:hAnsi="Times Ext Roman" w:cs="Times Ext Roman" w:hint="eastAsia"/>
          <w:b/>
          <w:color w:val="FF0000"/>
          <w:sz w:val="20"/>
          <w:highlight w:val="yellow"/>
          <w:bdr w:val="single" w:sz="4" w:space="0" w:color="auto"/>
        </w:rPr>
        <w:t>1</w:t>
      </w:r>
      <w:r w:rsidRPr="00C73CA4">
        <w:rPr>
          <w:rFonts w:ascii="Times Ext Roman" w:hAnsi="Times Ext Roman" w:cs="Times Ext Roman" w:hint="eastAsia"/>
          <w:b/>
          <w:color w:val="FF0000"/>
          <w:sz w:val="20"/>
          <w:highlight w:val="yellow"/>
          <w:bdr w:val="single" w:sz="4" w:space="0" w:color="auto"/>
        </w:rPr>
        <w:t>、概說</w:t>
      </w:r>
      <w:r w:rsidR="00AA120F" w:rsidRPr="00C73CA4">
        <w:rPr>
          <w:rFonts w:ascii="Times Ext Roman" w:hAnsi="Times Ext Roman" w:cs="Times Ext Roman" w:hint="eastAsia"/>
          <w:b/>
          <w:color w:val="FF0000"/>
          <w:sz w:val="20"/>
          <w:highlight w:val="yellow"/>
          <w:bdr w:val="single" w:sz="4" w:space="0" w:color="auto"/>
        </w:rPr>
        <w:t>宗義</w:t>
      </w:r>
      <w:r w:rsidRPr="00C73CA4">
        <w:rPr>
          <w:rFonts w:ascii="Times Ext Roman" w:hAnsi="Times Ext Roman" w:cs="Times Ext Roman" w:hint="eastAsia"/>
          <w:b/>
          <w:color w:val="FF0000"/>
          <w:sz w:val="20"/>
          <w:highlight w:val="yellow"/>
          <w:bdr w:val="single" w:sz="4" w:space="0" w:color="auto"/>
        </w:rPr>
        <w:t>及偏失</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184</w:t>
      </w:r>
      <w:r w:rsidR="00AA120F" w:rsidRPr="00DA3BC7">
        <w:rPr>
          <w:rFonts w:ascii="Times Ext Roman" w:hAnsi="Times Ext Roman" w:cs="Times Ext Roman" w:hint="eastAsia"/>
          <w:sz w:val="20"/>
        </w:rPr>
        <w:t>）</w:t>
      </w:r>
    </w:p>
    <w:p w:rsidR="00E45051" w:rsidRDefault="00AA120F" w:rsidP="00E45051">
      <w:pPr>
        <w:ind w:leftChars="200" w:left="480"/>
        <w:jc w:val="both"/>
      </w:pPr>
      <w:r w:rsidRPr="00DA3BC7">
        <w:rPr>
          <w:rFonts w:hint="eastAsia"/>
        </w:rPr>
        <w:t>「太過派」：</w:t>
      </w:r>
    </w:p>
    <w:p w:rsidR="00AA120F" w:rsidRPr="00DA3BC7" w:rsidRDefault="00AA120F" w:rsidP="00E45051">
      <w:pPr>
        <w:ind w:leftChars="200" w:left="480"/>
        <w:jc w:val="both"/>
      </w:pPr>
      <w:r w:rsidRPr="00DA3BC7">
        <w:rPr>
          <w:rFonts w:hint="eastAsia"/>
        </w:rPr>
        <w:t>主張一切法性空，空能破一切法，從色乃至涅槃、菩提，無不能破。</w:t>
      </w:r>
    </w:p>
    <w:p w:rsidR="00AA120F" w:rsidRPr="00DA3BC7" w:rsidRDefault="00AA120F" w:rsidP="00E45051">
      <w:pPr>
        <w:ind w:leftChars="200" w:left="480"/>
        <w:jc w:val="both"/>
      </w:pPr>
      <w:r w:rsidRPr="00DA3BC7">
        <w:rPr>
          <w:rFonts w:hint="eastAsia"/>
        </w:rPr>
        <w:t>此為宗喀巴所不許。破壞緣起法，即是抹煞現象，是不正確的。</w:t>
      </w:r>
    </w:p>
    <w:p w:rsidR="00AA120F" w:rsidRPr="00DA3BC7" w:rsidRDefault="00C73CA4" w:rsidP="00AE3920">
      <w:pPr>
        <w:spacing w:beforeLines="30"/>
        <w:ind w:leftChars="200" w:left="480"/>
        <w:jc w:val="both"/>
        <w:rPr>
          <w:rFonts w:ascii="Times Ext Roman" w:hAnsi="Times Ext Roman" w:cs="Times Ext Roman"/>
          <w:sz w:val="20"/>
          <w:bdr w:val="single" w:sz="4" w:space="0" w:color="auto"/>
        </w:rPr>
      </w:pPr>
      <w:r>
        <w:rPr>
          <w:rFonts w:ascii="Times Ext Roman" w:hAnsi="Times Ext Roman" w:cs="Times Ext Roman" w:hint="eastAsia"/>
          <w:b/>
          <w:color w:val="FF0000"/>
          <w:sz w:val="20"/>
          <w:highlight w:val="yellow"/>
          <w:bdr w:val="single" w:sz="4" w:space="0" w:color="auto"/>
        </w:rPr>
        <w:t>2</w:t>
      </w:r>
      <w:r>
        <w:rPr>
          <w:rFonts w:ascii="Times Ext Roman" w:hAnsi="Times Ext Roman" w:cs="Times Ext Roman" w:hint="eastAsia"/>
          <w:b/>
          <w:color w:val="FF0000"/>
          <w:sz w:val="20"/>
          <w:highlight w:val="yellow"/>
          <w:bdr w:val="single" w:sz="4" w:space="0" w:color="auto"/>
        </w:rPr>
        <w:t>、詳究因</w:t>
      </w:r>
      <w:r w:rsidR="00AA120F" w:rsidRPr="00C73CA4">
        <w:rPr>
          <w:rFonts w:ascii="Times Ext Roman" w:hAnsi="Times Ext Roman" w:cs="Times Ext Roman" w:hint="eastAsia"/>
          <w:b/>
          <w:color w:val="FF0000"/>
          <w:sz w:val="20"/>
          <w:highlight w:val="yellow"/>
          <w:bdr w:val="single" w:sz="4" w:space="0" w:color="auto"/>
        </w:rPr>
        <w:t>由</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184</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185</w:t>
      </w:r>
      <w:r w:rsidR="00AA120F" w:rsidRPr="00DA3BC7">
        <w:rPr>
          <w:rFonts w:ascii="Times Ext Roman" w:hAnsi="Times Ext Roman" w:cs="Times Ext Roman" w:hint="eastAsia"/>
          <w:sz w:val="20"/>
        </w:rPr>
        <w:t>）</w:t>
      </w:r>
    </w:p>
    <w:p w:rsidR="00AA120F" w:rsidRPr="00DA3BC7" w:rsidRDefault="00AA120F" w:rsidP="00E45051">
      <w:pPr>
        <w:ind w:leftChars="200" w:left="480"/>
        <w:jc w:val="both"/>
      </w:pPr>
      <w:r w:rsidRPr="00DA3BC7">
        <w:rPr>
          <w:rFonts w:hint="eastAsia"/>
        </w:rPr>
        <w:lastRenderedPageBreak/>
        <w:t>但所以執空能破除一切法者，理由有四</w:t>
      </w:r>
      <w:r w:rsidRPr="00DA3BC7">
        <w:rPr>
          <w:rStyle w:val="a6"/>
          <w:rFonts w:ascii="Times New Roman" w:hAnsi="Times New Roman"/>
        </w:rPr>
        <w:footnoteReference w:id="831"/>
      </w:r>
      <w:r w:rsidRPr="00DA3BC7">
        <w:rPr>
          <w:rFonts w:hint="eastAsia"/>
        </w:rPr>
        <w:t>：</w:t>
      </w:r>
    </w:p>
    <w:p w:rsidR="00AA120F" w:rsidRDefault="00C73CA4" w:rsidP="00AE3920">
      <w:pPr>
        <w:spacing w:beforeLines="30"/>
        <w:ind w:leftChars="250" w:left="600"/>
        <w:jc w:val="both"/>
        <w:rPr>
          <w:rFonts w:ascii="Times Ext Roman" w:hAnsi="Times Ext Roman" w:cs="Times Ext Roman"/>
          <w:sz w:val="20"/>
        </w:rPr>
      </w:pPr>
      <w:r w:rsidRPr="00C73CA4">
        <w:rPr>
          <w:rFonts w:ascii="Times Ext Roman" w:hAnsi="Times Ext Roman" w:cs="Times Ext Roman" w:hint="eastAsia"/>
          <w:b/>
          <w:color w:val="FF0000"/>
          <w:sz w:val="20"/>
          <w:highlight w:val="yellow"/>
          <w:bdr w:val="single" w:sz="4" w:space="0" w:color="auto"/>
        </w:rPr>
        <w:t>（</w:t>
      </w:r>
      <w:r w:rsidRPr="00C73CA4">
        <w:rPr>
          <w:rFonts w:ascii="Times New Roman" w:hAnsi="Times New Roman" w:cs="Times Ext Roman" w:hint="eastAsia"/>
          <w:b/>
          <w:color w:val="FF0000"/>
          <w:sz w:val="20"/>
          <w:highlight w:val="yellow"/>
          <w:bdr w:val="single" w:sz="4" w:space="0" w:color="auto"/>
        </w:rPr>
        <w:t>1</w:t>
      </w:r>
      <w:r w:rsidRPr="00C73CA4">
        <w:rPr>
          <w:rFonts w:ascii="Times Ext Roman" w:hAnsi="Times Ext Roman" w:cs="Times Ext Roman" w:hint="eastAsia"/>
          <w:b/>
          <w:color w:val="FF0000"/>
          <w:sz w:val="20"/>
          <w:highlight w:val="yellow"/>
          <w:bdr w:val="single" w:sz="4" w:space="0" w:color="auto"/>
        </w:rPr>
        <w:t>）</w:t>
      </w:r>
      <w:r w:rsidRPr="00C73CA4">
        <w:rPr>
          <w:rFonts w:ascii="Times New Roman" w:hAnsi="Times New Roman" w:cs="Times Ext Roman" w:hint="eastAsia"/>
          <w:b/>
          <w:color w:val="FF0000"/>
          <w:sz w:val="20"/>
          <w:highlight w:val="yellow"/>
          <w:bdr w:val="single" w:sz="4" w:space="0" w:color="auto"/>
        </w:rPr>
        <w:t>評</w:t>
      </w:r>
      <w:r w:rsidR="00AA120F" w:rsidRPr="00C73CA4">
        <w:rPr>
          <w:rFonts w:ascii="Times Ext Roman" w:hAnsi="Times Ext Roman" w:cs="Times Ext Roman" w:hint="eastAsia"/>
          <w:b/>
          <w:color w:val="FF0000"/>
          <w:sz w:val="20"/>
          <w:highlight w:val="yellow"/>
          <w:bdr w:val="single" w:sz="4" w:space="0" w:color="auto"/>
        </w:rPr>
        <w:t>前</w:t>
      </w:r>
      <w:r w:rsidRPr="00C73CA4">
        <w:rPr>
          <w:rFonts w:ascii="Times Ext Roman" w:hAnsi="Times Ext Roman" w:cs="Times Ext Roman" w:hint="eastAsia"/>
          <w:b/>
          <w:color w:val="FF0000"/>
          <w:sz w:val="20"/>
          <w:highlight w:val="yellow"/>
          <w:bdr w:val="single" w:sz="4" w:space="0" w:color="auto"/>
        </w:rPr>
        <w:t>二</w:t>
      </w:r>
      <w:r w:rsidR="00AA120F" w:rsidRPr="00C73CA4">
        <w:rPr>
          <w:rFonts w:ascii="Times Ext Roman" w:hAnsi="Times Ext Roman" w:cs="Times Ext Roman" w:hint="eastAsia"/>
          <w:b/>
          <w:sz w:val="20"/>
          <w:bdr w:val="single" w:sz="4" w:space="0" w:color="auto"/>
        </w:rPr>
        <w:t>理由</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184</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185</w:t>
      </w:r>
      <w:r w:rsidR="00AA120F" w:rsidRPr="00DA3BC7">
        <w:rPr>
          <w:rFonts w:ascii="Times Ext Roman" w:hAnsi="Times Ext Roman" w:cs="Times Ext Roman" w:hint="eastAsia"/>
          <w:sz w:val="20"/>
        </w:rPr>
        <w:t>）</w:t>
      </w:r>
    </w:p>
    <w:p w:rsidR="00C73CA4" w:rsidRPr="00C73CA4" w:rsidRDefault="00C73CA4" w:rsidP="00E45051">
      <w:pPr>
        <w:ind w:leftChars="300" w:left="720"/>
        <w:jc w:val="both"/>
        <w:rPr>
          <w:rFonts w:ascii="Times New Roman" w:hAnsi="Times New Roman"/>
          <w:color w:val="FF0000"/>
          <w:sz w:val="20"/>
          <w:highlight w:val="yellow"/>
          <w:bdr w:val="single" w:sz="4" w:space="0" w:color="auto"/>
        </w:rPr>
      </w:pPr>
      <w:r w:rsidRPr="00C73CA4">
        <w:rPr>
          <w:rFonts w:ascii="Times New Roman" w:hAnsi="Times New Roman" w:hint="eastAsia"/>
          <w:b/>
          <w:color w:val="FF0000"/>
          <w:sz w:val="20"/>
          <w:highlight w:val="yellow"/>
          <w:bdr w:val="single" w:sz="4" w:space="0" w:color="auto"/>
        </w:rPr>
        <w:t>A</w:t>
      </w:r>
      <w:r w:rsidRPr="00C73CA4">
        <w:rPr>
          <w:rFonts w:ascii="Times New Roman" w:hAnsi="Times New Roman" w:hint="eastAsia"/>
          <w:b/>
          <w:color w:val="FF0000"/>
          <w:sz w:val="20"/>
          <w:highlight w:val="yellow"/>
          <w:bdr w:val="single" w:sz="4" w:space="0" w:color="auto"/>
        </w:rPr>
        <w:t>、闡述</w:t>
      </w:r>
      <w:r w:rsidRPr="00DA3BC7">
        <w:rPr>
          <w:rFonts w:ascii="Times Ext Roman" w:hAnsi="Times Ext Roman" w:cs="Times Ext Roman" w:hint="eastAsia"/>
          <w:sz w:val="20"/>
        </w:rPr>
        <w:t>（</w:t>
      </w:r>
      <w:r w:rsidRPr="00DA3BC7">
        <w:rPr>
          <w:rFonts w:ascii="Times New Roman" w:hAnsi="Times New Roman" w:cs="Times Ext Roman" w:hint="eastAsia"/>
          <w:sz w:val="20"/>
        </w:rPr>
        <w:t>p</w:t>
      </w:r>
      <w:r w:rsidRPr="00DA3BC7">
        <w:rPr>
          <w:rFonts w:ascii="Times Ext Roman" w:hAnsi="Times Ext Roman" w:cs="Times Ext Roman" w:hint="eastAsia"/>
          <w:sz w:val="20"/>
        </w:rPr>
        <w:t>.</w:t>
      </w:r>
      <w:r w:rsidRPr="00DA3BC7">
        <w:rPr>
          <w:rFonts w:ascii="Times New Roman" w:hAnsi="Times New Roman" w:cs="Times Ext Roman" w:hint="eastAsia"/>
          <w:sz w:val="20"/>
        </w:rPr>
        <w:t>184</w:t>
      </w:r>
      <w:r w:rsidRPr="00DA3BC7">
        <w:rPr>
          <w:rFonts w:ascii="Times Ext Roman" w:hAnsi="Times Ext Roman" w:cs="Times Ext Roman" w:hint="eastAsia"/>
          <w:sz w:val="20"/>
        </w:rPr>
        <w:t>-</w:t>
      </w:r>
      <w:r w:rsidRPr="00DA3BC7">
        <w:rPr>
          <w:rFonts w:ascii="Times New Roman" w:hAnsi="Times New Roman" w:cs="Times Ext Roman" w:hint="eastAsia"/>
          <w:sz w:val="20"/>
        </w:rPr>
        <w:t>185</w:t>
      </w:r>
      <w:r w:rsidRPr="00DA3BC7">
        <w:rPr>
          <w:rFonts w:ascii="Times Ext Roman" w:hAnsi="Times Ext Roman" w:cs="Times Ext Roman" w:hint="eastAsia"/>
          <w:sz w:val="20"/>
        </w:rPr>
        <w:t>）</w:t>
      </w:r>
    </w:p>
    <w:p w:rsidR="00AA120F" w:rsidRPr="00DA3BC7" w:rsidRDefault="00AA120F" w:rsidP="00E45051">
      <w:pPr>
        <w:ind w:leftChars="300" w:left="1440" w:hangingChars="300" w:hanging="720"/>
        <w:jc w:val="both"/>
      </w:pPr>
      <w:r w:rsidRPr="00DA3BC7">
        <w:rPr>
          <w:rFonts w:hint="eastAsia"/>
        </w:rPr>
        <w:t>（一）</w:t>
      </w:r>
      <w:r w:rsidRPr="00DA3BC7">
        <w:rPr>
          <w:rFonts w:hint="eastAsia"/>
          <w:spacing w:val="-2"/>
        </w:rPr>
        <w:t>一切法不外是自生、他生、共生、無因生；</w:t>
      </w:r>
      <w:r w:rsidRPr="00DA3BC7">
        <w:rPr>
          <w:rFonts w:hint="eastAsia"/>
          <w:b/>
          <w:spacing w:val="-2"/>
        </w:rPr>
        <w:t>四生既不可得，即一</w:t>
      </w:r>
      <w:r w:rsidRPr="00DA3BC7">
        <w:rPr>
          <w:rFonts w:hint="eastAsia"/>
          <w:b/>
        </w:rPr>
        <w:t>切法不能生。</w:t>
      </w:r>
    </w:p>
    <w:p w:rsidR="00AA120F" w:rsidRPr="00DA3BC7" w:rsidRDefault="00AA120F" w:rsidP="00AE3920">
      <w:pPr>
        <w:spacing w:beforeLines="20"/>
        <w:ind w:leftChars="300" w:left="1440" w:hangingChars="300" w:hanging="720"/>
        <w:jc w:val="both"/>
      </w:pPr>
      <w:r w:rsidRPr="00DA3BC7">
        <w:rPr>
          <w:rFonts w:hint="eastAsia"/>
        </w:rPr>
        <w:t>（二）</w:t>
      </w:r>
      <w:r w:rsidRPr="00DA3BC7">
        <w:rPr>
          <w:rFonts w:hint="eastAsia"/>
          <w:spacing w:val="-2"/>
        </w:rPr>
        <w:t>一切法不出有無等四句，龍樹菩薩廣破</w:t>
      </w:r>
      <w:r w:rsidRPr="00DA3BC7">
        <w:rPr>
          <w:rFonts w:hint="eastAsia"/>
          <w:b/>
          <w:spacing w:val="-2"/>
        </w:rPr>
        <w:t>四句都不可得，所以一切</w:t>
      </w:r>
      <w:r w:rsidRPr="00DA3BC7">
        <w:rPr>
          <w:rFonts w:hint="eastAsia"/>
          <w:b/>
        </w:rPr>
        <w:t>法畢竟不可得</w:t>
      </w:r>
      <w:r w:rsidRPr="00DA3BC7">
        <w:rPr>
          <w:rFonts w:hint="eastAsia"/>
        </w:rPr>
        <w:t>。</w:t>
      </w:r>
    </w:p>
    <w:p w:rsidR="00AA120F" w:rsidRPr="00DA3BC7" w:rsidRDefault="00C73CA4" w:rsidP="00AE3920">
      <w:pPr>
        <w:spacing w:beforeLines="30"/>
        <w:ind w:leftChars="300" w:left="720"/>
        <w:jc w:val="both"/>
        <w:rPr>
          <w:rFonts w:ascii="Times Ext Roman" w:hAnsi="Times Ext Roman" w:cs="Times Ext Roman"/>
          <w:sz w:val="20"/>
          <w:bdr w:val="single" w:sz="4" w:space="0" w:color="auto"/>
        </w:rPr>
      </w:pPr>
      <w:r w:rsidRPr="00C73CA4">
        <w:rPr>
          <w:rFonts w:ascii="Times Ext Roman" w:hAnsi="Times Ext Roman" w:cs="Times Ext Roman" w:hint="eastAsia"/>
          <w:b/>
          <w:color w:val="FF0000"/>
          <w:sz w:val="20"/>
          <w:highlight w:val="yellow"/>
          <w:bdr w:val="single" w:sz="4" w:space="0" w:color="auto"/>
        </w:rPr>
        <w:t>B</w:t>
      </w:r>
      <w:r w:rsidRPr="00C73CA4">
        <w:rPr>
          <w:rFonts w:ascii="Times Ext Roman" w:hAnsi="Times Ext Roman" w:cs="Times Ext Roman" w:hint="eastAsia"/>
          <w:b/>
          <w:color w:val="FF0000"/>
          <w:sz w:val="20"/>
          <w:highlight w:val="yellow"/>
          <w:bdr w:val="single" w:sz="4" w:space="0" w:color="auto"/>
        </w:rPr>
        <w:t>、</w:t>
      </w:r>
      <w:r w:rsidR="00AA120F" w:rsidRPr="00DA3BC7">
        <w:rPr>
          <w:rFonts w:ascii="Times Ext Roman" w:hAnsi="Times Ext Roman" w:cs="Times Ext Roman" w:hint="eastAsia"/>
          <w:b/>
          <w:sz w:val="20"/>
          <w:bdr w:val="single" w:sz="4" w:space="0" w:color="auto"/>
        </w:rPr>
        <w:t>印順法師的評論</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185</w:t>
      </w:r>
      <w:r w:rsidR="00AA120F" w:rsidRPr="00DA3BC7">
        <w:rPr>
          <w:rFonts w:ascii="Times Ext Roman" w:hAnsi="Times Ext Roman" w:cs="Times Ext Roman" w:hint="eastAsia"/>
          <w:sz w:val="20"/>
        </w:rPr>
        <w:t>）</w:t>
      </w:r>
    </w:p>
    <w:p w:rsidR="00AA120F" w:rsidRPr="00DA3BC7" w:rsidRDefault="00AA120F" w:rsidP="00E45051">
      <w:pPr>
        <w:ind w:leftChars="300" w:left="720"/>
        <w:jc w:val="both"/>
      </w:pPr>
      <w:r w:rsidRPr="00DA3BC7">
        <w:rPr>
          <w:rFonts w:hint="eastAsia"/>
        </w:rPr>
        <w:t>這兩個理由，由於他不能如實了解一切法空義，致有此種誤解。</w:t>
      </w:r>
    </w:p>
    <w:p w:rsidR="00C73CA4" w:rsidRDefault="00AA120F" w:rsidP="00AE3920">
      <w:pPr>
        <w:spacing w:beforeLines="20"/>
        <w:ind w:leftChars="300" w:left="720"/>
        <w:jc w:val="both"/>
      </w:pPr>
      <w:r w:rsidRPr="00DA3BC7">
        <w:rPr>
          <w:rFonts w:hint="eastAsia"/>
        </w:rPr>
        <w:t>空，本是空卻自性的。</w:t>
      </w:r>
    </w:p>
    <w:p w:rsidR="00AA120F" w:rsidRPr="00DA3BC7" w:rsidRDefault="00AA120F" w:rsidP="00AE3920">
      <w:pPr>
        <w:spacing w:beforeLines="20"/>
        <w:ind w:leftChars="300" w:left="720"/>
        <w:jc w:val="both"/>
      </w:pPr>
      <w:r w:rsidRPr="00DA3BC7">
        <w:rPr>
          <w:rFonts w:hint="eastAsia"/>
        </w:rPr>
        <w:t>破四生及四句等，是說假使諸法是有自性的，那麼諸法不是自生，即是他生；不是有，即是無等。</w:t>
      </w:r>
    </w:p>
    <w:p w:rsidR="00AA120F" w:rsidRPr="00DA3BC7" w:rsidRDefault="00AA120F" w:rsidP="00AE3920">
      <w:pPr>
        <w:spacing w:beforeLines="20"/>
        <w:ind w:leftChars="300" w:left="720"/>
        <w:jc w:val="both"/>
      </w:pPr>
      <w:r w:rsidRPr="00DA3BC7">
        <w:rPr>
          <w:rFonts w:hint="eastAsia"/>
        </w:rPr>
        <w:t>但龍樹論中</w:t>
      </w:r>
      <w:r w:rsidRPr="00DA3BC7">
        <w:rPr>
          <w:rFonts w:hint="eastAsia"/>
          <w:b/>
        </w:rPr>
        <w:t>破四生，即顯假名緣生</w:t>
      </w:r>
      <w:r w:rsidRPr="00DA3BC7">
        <w:rPr>
          <w:rFonts w:hint="eastAsia"/>
        </w:rPr>
        <w:t>，緣生是無自性的，故非破自性生的四生所能破。</w:t>
      </w:r>
    </w:p>
    <w:p w:rsidR="00AA120F" w:rsidRPr="00DA3BC7" w:rsidRDefault="00C73CA4" w:rsidP="00AE3920">
      <w:pPr>
        <w:spacing w:beforeLines="30"/>
        <w:ind w:leftChars="250" w:left="600"/>
        <w:jc w:val="both"/>
        <w:rPr>
          <w:rFonts w:ascii="Times Ext Roman" w:hAnsi="Times Ext Roman" w:cs="Times Ext Roman"/>
          <w:sz w:val="20"/>
          <w:bdr w:val="single" w:sz="4" w:space="0" w:color="auto"/>
        </w:rPr>
      </w:pPr>
      <w:r w:rsidRPr="00C73CA4">
        <w:rPr>
          <w:rFonts w:ascii="Times Ext Roman" w:hAnsi="Times Ext Roman" w:cs="Times Ext Roman" w:hint="eastAsia"/>
          <w:b/>
          <w:color w:val="FF0000"/>
          <w:sz w:val="20"/>
          <w:highlight w:val="yellow"/>
          <w:bdr w:val="single" w:sz="4" w:space="0" w:color="auto"/>
        </w:rPr>
        <w:t>（</w:t>
      </w:r>
      <w:r w:rsidRPr="00C73CA4">
        <w:rPr>
          <w:rFonts w:ascii="Times New Roman" w:hAnsi="Times New Roman" w:cs="Times Ext Roman" w:hint="eastAsia"/>
          <w:b/>
          <w:color w:val="FF0000"/>
          <w:sz w:val="20"/>
          <w:highlight w:val="yellow"/>
          <w:bdr w:val="single" w:sz="4" w:space="0" w:color="auto"/>
        </w:rPr>
        <w:t>2</w:t>
      </w:r>
      <w:r w:rsidRPr="00C73CA4">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評</w:t>
      </w:r>
      <w:r w:rsidR="00AA120F" w:rsidRPr="00C73CA4">
        <w:rPr>
          <w:rFonts w:ascii="Times Ext Roman" w:hAnsi="Times Ext Roman" w:cs="Times Ext Roman" w:hint="eastAsia"/>
          <w:b/>
          <w:color w:val="FF0000"/>
          <w:sz w:val="20"/>
          <w:highlight w:val="yellow"/>
          <w:bdr w:val="single" w:sz="4" w:space="0" w:color="auto"/>
        </w:rPr>
        <w:t>後</w:t>
      </w:r>
      <w:r>
        <w:rPr>
          <w:rFonts w:ascii="Times Ext Roman" w:hAnsi="Times Ext Roman" w:cs="Times Ext Roman" w:hint="eastAsia"/>
          <w:b/>
          <w:color w:val="FF0000"/>
          <w:sz w:val="20"/>
          <w:highlight w:val="yellow"/>
          <w:bdr w:val="single" w:sz="4" w:space="0" w:color="auto"/>
        </w:rPr>
        <w:t>二</w:t>
      </w:r>
      <w:r w:rsidR="00AA120F" w:rsidRPr="00DA3BC7">
        <w:rPr>
          <w:rFonts w:ascii="Times Ext Roman" w:hAnsi="Times Ext Roman" w:cs="Times Ext Roman" w:hint="eastAsia"/>
          <w:b/>
          <w:sz w:val="20"/>
          <w:bdr w:val="single" w:sz="4" w:space="0" w:color="auto"/>
        </w:rPr>
        <w:t>理由</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185</w:t>
      </w:r>
      <w:r w:rsidR="00AA120F" w:rsidRPr="00DA3BC7">
        <w:rPr>
          <w:rFonts w:ascii="Times Ext Roman" w:hAnsi="Times Ext Roman" w:cs="Times Ext Roman" w:hint="eastAsia"/>
          <w:sz w:val="20"/>
        </w:rPr>
        <w:t>）</w:t>
      </w:r>
    </w:p>
    <w:p w:rsidR="00AA120F" w:rsidRPr="00DA3BC7" w:rsidRDefault="00C73CA4" w:rsidP="00E45051">
      <w:pPr>
        <w:ind w:leftChars="300" w:left="720"/>
        <w:jc w:val="both"/>
        <w:rPr>
          <w:rFonts w:ascii="Times Ext Roman" w:hAnsi="Times Ext Roman" w:cs="Times Ext Roman"/>
          <w:sz w:val="20"/>
          <w:bdr w:val="single" w:sz="4" w:space="0" w:color="auto"/>
        </w:rPr>
      </w:pPr>
      <w:r>
        <w:rPr>
          <w:rFonts w:ascii="Times Ext Roman" w:hAnsi="Times Ext Roman" w:cs="Times Ext Roman" w:hint="eastAsia"/>
          <w:b/>
          <w:color w:val="FF0000"/>
          <w:sz w:val="20"/>
          <w:highlight w:val="yellow"/>
          <w:bdr w:val="single" w:sz="4" w:space="0" w:color="auto"/>
        </w:rPr>
        <w:t>A</w:t>
      </w:r>
      <w:r>
        <w:rPr>
          <w:rFonts w:ascii="Times Ext Roman" w:hAnsi="Times Ext Roman" w:cs="Times Ext Roman" w:hint="eastAsia"/>
          <w:b/>
          <w:color w:val="FF0000"/>
          <w:sz w:val="20"/>
          <w:highlight w:val="yellow"/>
          <w:bdr w:val="single" w:sz="4" w:space="0" w:color="auto"/>
        </w:rPr>
        <w:t>、闡述</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185</w:t>
      </w:r>
      <w:r w:rsidR="00AA120F" w:rsidRPr="00DA3BC7">
        <w:rPr>
          <w:rFonts w:ascii="Times Ext Roman" w:hAnsi="Times Ext Roman" w:cs="Times Ext Roman" w:hint="eastAsia"/>
          <w:sz w:val="20"/>
        </w:rPr>
        <w:t>）</w:t>
      </w:r>
    </w:p>
    <w:p w:rsidR="00AA120F" w:rsidRPr="00DA3BC7" w:rsidRDefault="00AA120F" w:rsidP="00E45051">
      <w:pPr>
        <w:ind w:leftChars="300" w:left="1440" w:hangingChars="300" w:hanging="720"/>
        <w:jc w:val="both"/>
      </w:pPr>
      <w:r w:rsidRPr="00DA3BC7">
        <w:rPr>
          <w:rFonts w:hint="eastAsia"/>
        </w:rPr>
        <w:t>（三）</w:t>
      </w:r>
      <w:r w:rsidRPr="00DA3BC7">
        <w:rPr>
          <w:rFonts w:hint="eastAsia"/>
          <w:spacing w:val="-2"/>
        </w:rPr>
        <w:t>觀察法空時，一切法是否能觀察得到？</w:t>
      </w:r>
      <w:r w:rsidRPr="00DA3BC7">
        <w:rPr>
          <w:rFonts w:hint="eastAsia"/>
          <w:b/>
          <w:spacing w:val="-2"/>
        </w:rPr>
        <w:t>在一切法空觀之下，無一</w:t>
      </w:r>
      <w:r w:rsidRPr="00DA3BC7">
        <w:rPr>
          <w:rFonts w:hint="eastAsia"/>
          <w:b/>
        </w:rPr>
        <w:t>法可得，所以能破一切法</w:t>
      </w:r>
      <w:r w:rsidRPr="00DA3BC7">
        <w:rPr>
          <w:rFonts w:hint="eastAsia"/>
        </w:rPr>
        <w:t>。</w:t>
      </w:r>
    </w:p>
    <w:p w:rsidR="00AA120F" w:rsidRPr="00DA3BC7" w:rsidRDefault="00AA120F" w:rsidP="00AE3920">
      <w:pPr>
        <w:spacing w:beforeLines="20"/>
        <w:ind w:leftChars="300" w:left="1440" w:hangingChars="300" w:hanging="720"/>
        <w:jc w:val="both"/>
      </w:pPr>
      <w:r w:rsidRPr="00DA3BC7">
        <w:rPr>
          <w:rFonts w:hint="eastAsia"/>
        </w:rPr>
        <w:t>（四）</w:t>
      </w:r>
      <w:r w:rsidRPr="00DA3BC7">
        <w:rPr>
          <w:rFonts w:hint="eastAsia"/>
          <w:spacing w:val="2"/>
        </w:rPr>
        <w:t>如以為有法不可破的，此不可破的一切法，是不是由量</w:t>
      </w:r>
      <w:r w:rsidRPr="00DA3BC7">
        <w:rPr>
          <w:rStyle w:val="a6"/>
          <w:rFonts w:ascii="Times New Roman" w:hAnsi="Times New Roman"/>
          <w:spacing w:val="2"/>
        </w:rPr>
        <w:footnoteReference w:id="832"/>
      </w:r>
      <w:r w:rsidRPr="00DA3BC7">
        <w:rPr>
          <w:rFonts w:hint="eastAsia"/>
          <w:spacing w:val="2"/>
        </w:rPr>
        <w:t>成立的</w:t>
      </w:r>
      <w:r w:rsidRPr="00DA3BC7">
        <w:rPr>
          <w:rFonts w:hint="eastAsia"/>
        </w:rPr>
        <w:t>？量，即正確的認識。對於所認識的能恰到好處而得之，此所得的是由量成立，可說為有。但經中說：「</w:t>
      </w:r>
      <w:r w:rsidRPr="00DA3BC7">
        <w:rPr>
          <w:rFonts w:ascii="標楷體" w:eastAsia="標楷體" w:hAnsi="標楷體" w:hint="eastAsia"/>
          <w:b/>
        </w:rPr>
        <w:t>眼耳等非量</w:t>
      </w:r>
      <w:r w:rsidRPr="00DA3BC7">
        <w:rPr>
          <w:rFonts w:hint="eastAsia"/>
        </w:rPr>
        <w:t>。」</w:t>
      </w:r>
      <w:r w:rsidRPr="00DA3BC7">
        <w:rPr>
          <w:rStyle w:val="a6"/>
          <w:rFonts w:ascii="Times New Roman" w:hAnsi="Times New Roman"/>
        </w:rPr>
        <w:footnoteReference w:id="833"/>
      </w:r>
      <w:r w:rsidRPr="00DA3BC7">
        <w:rPr>
          <w:rFonts w:hint="eastAsia"/>
        </w:rPr>
        <w:t>非量，即不是正確的認識，</w:t>
      </w:r>
      <w:r w:rsidRPr="00DA3BC7">
        <w:rPr>
          <w:rFonts w:hint="eastAsia"/>
          <w:b/>
        </w:rPr>
        <w:t>即六識所知的一切法，皆為不能由量成立的</w:t>
      </w:r>
      <w:r w:rsidRPr="00DA3BC7">
        <w:rPr>
          <w:rFonts w:hint="eastAsia"/>
        </w:rPr>
        <w:t>。</w:t>
      </w:r>
    </w:p>
    <w:p w:rsidR="00AA120F" w:rsidRPr="00DA3BC7" w:rsidRDefault="00C73CA4" w:rsidP="00AE3920">
      <w:pPr>
        <w:spacing w:beforeLines="30"/>
        <w:ind w:leftChars="300" w:left="720"/>
        <w:jc w:val="both"/>
        <w:rPr>
          <w:rFonts w:ascii="Times Ext Roman" w:hAnsi="Times Ext Roman" w:cs="Times Ext Roman"/>
          <w:sz w:val="20"/>
          <w:bdr w:val="single" w:sz="4" w:space="0" w:color="auto"/>
        </w:rPr>
      </w:pPr>
      <w:r>
        <w:rPr>
          <w:rFonts w:ascii="Times Ext Roman" w:hAnsi="Times Ext Roman" w:cs="Times Ext Roman" w:hint="eastAsia"/>
          <w:b/>
          <w:color w:val="FF0000"/>
          <w:sz w:val="20"/>
          <w:highlight w:val="yellow"/>
          <w:bdr w:val="single" w:sz="4" w:space="0" w:color="auto"/>
        </w:rPr>
        <w:lastRenderedPageBreak/>
        <w:t>B</w:t>
      </w:r>
      <w:r>
        <w:rPr>
          <w:rFonts w:ascii="Times Ext Roman" w:hAnsi="Times Ext Roman" w:cs="Times Ext Roman" w:hint="eastAsia"/>
          <w:b/>
          <w:color w:val="FF0000"/>
          <w:sz w:val="20"/>
          <w:highlight w:val="yellow"/>
          <w:bdr w:val="single" w:sz="4" w:space="0" w:color="auto"/>
        </w:rPr>
        <w:t>、</w:t>
      </w:r>
      <w:r w:rsidR="00AA120F" w:rsidRPr="00DA3BC7">
        <w:rPr>
          <w:rFonts w:ascii="Times Ext Roman" w:hAnsi="Times Ext Roman" w:cs="Times Ext Roman" w:hint="eastAsia"/>
          <w:b/>
          <w:sz w:val="20"/>
          <w:bdr w:val="single" w:sz="4" w:space="0" w:color="auto"/>
        </w:rPr>
        <w:t>印順法師的評論</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185</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186</w:t>
      </w:r>
      <w:r w:rsidR="00AA120F" w:rsidRPr="00DA3BC7">
        <w:rPr>
          <w:rFonts w:ascii="Times Ext Roman" w:hAnsi="Times Ext Roman" w:cs="Times Ext Roman" w:hint="eastAsia"/>
          <w:sz w:val="20"/>
        </w:rPr>
        <w:t>）</w:t>
      </w:r>
    </w:p>
    <w:p w:rsidR="00C73CA4" w:rsidRPr="00DA3BC7" w:rsidRDefault="00C73CA4" w:rsidP="00E45051">
      <w:pPr>
        <w:ind w:leftChars="350" w:left="840"/>
        <w:jc w:val="both"/>
        <w:rPr>
          <w:rFonts w:ascii="Times Ext Roman" w:hAnsi="Times Ext Roman" w:cs="Times Ext Roman"/>
          <w:sz w:val="20"/>
          <w:bdr w:val="single" w:sz="4" w:space="0" w:color="auto"/>
        </w:rPr>
      </w:pPr>
      <w:r>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A</w:t>
      </w:r>
      <w:r>
        <w:rPr>
          <w:rFonts w:ascii="Times Ext Roman" w:hAnsi="Times Ext Roman" w:cs="Times Ext Roman" w:hint="eastAsia"/>
          <w:b/>
          <w:color w:val="FF0000"/>
          <w:sz w:val="20"/>
          <w:highlight w:val="yellow"/>
          <w:bdr w:val="single" w:sz="4" w:space="0" w:color="auto"/>
        </w:rPr>
        <w:t>）明義</w:t>
      </w:r>
      <w:r w:rsidRPr="00DA3BC7">
        <w:rPr>
          <w:rFonts w:ascii="Times Ext Roman" w:hAnsi="Times Ext Roman" w:cs="Times Ext Roman" w:hint="eastAsia"/>
          <w:sz w:val="20"/>
        </w:rPr>
        <w:t>（</w:t>
      </w:r>
      <w:r w:rsidRPr="00DA3BC7">
        <w:rPr>
          <w:rFonts w:ascii="Times New Roman" w:hAnsi="Times New Roman" w:cs="Times Ext Roman" w:hint="eastAsia"/>
          <w:sz w:val="20"/>
        </w:rPr>
        <w:t>p</w:t>
      </w:r>
      <w:r w:rsidRPr="00DA3BC7">
        <w:rPr>
          <w:rFonts w:ascii="Times Ext Roman" w:hAnsi="Times Ext Roman" w:cs="Times Ext Roman" w:hint="eastAsia"/>
          <w:sz w:val="20"/>
        </w:rPr>
        <w:t>.</w:t>
      </w:r>
      <w:r w:rsidRPr="00DA3BC7">
        <w:rPr>
          <w:rFonts w:ascii="Times New Roman" w:hAnsi="Times New Roman" w:cs="Times Ext Roman" w:hint="eastAsia"/>
          <w:sz w:val="20"/>
        </w:rPr>
        <w:t>185</w:t>
      </w:r>
      <w:r w:rsidRPr="00DA3BC7">
        <w:rPr>
          <w:rFonts w:ascii="Times Ext Roman" w:hAnsi="Times Ext Roman" w:cs="Times Ext Roman" w:hint="eastAsia"/>
          <w:sz w:val="20"/>
        </w:rPr>
        <w:t>）</w:t>
      </w:r>
    </w:p>
    <w:p w:rsidR="00AA120F" w:rsidRPr="00DA3BC7" w:rsidRDefault="00AA120F" w:rsidP="00E45051">
      <w:pPr>
        <w:ind w:leftChars="350" w:left="840"/>
        <w:jc w:val="both"/>
      </w:pPr>
      <w:r w:rsidRPr="00DA3BC7">
        <w:rPr>
          <w:rFonts w:hint="eastAsia"/>
        </w:rPr>
        <w:t>此二種理由，約</w:t>
      </w:r>
      <w:r w:rsidRPr="00DA3BC7">
        <w:rPr>
          <w:rFonts w:hint="eastAsia"/>
          <w:b/>
        </w:rPr>
        <w:t>認識論</w:t>
      </w:r>
      <w:r w:rsidRPr="00DA3BC7">
        <w:rPr>
          <w:rFonts w:hint="eastAsia"/>
        </w:rPr>
        <w:t>說。中國所傳的中觀者，向來發明</w:t>
      </w:r>
      <w:r w:rsidRPr="00DA3BC7">
        <w:rPr>
          <w:rStyle w:val="a6"/>
          <w:rFonts w:ascii="Times New Roman" w:hAnsi="Times New Roman"/>
        </w:rPr>
        <w:footnoteReference w:id="834"/>
      </w:r>
      <w:r w:rsidRPr="00DA3BC7">
        <w:rPr>
          <w:rFonts w:hint="eastAsia"/>
        </w:rPr>
        <w:t>此義的不多。印度後期佛教，認識論特別發達，中觀者也重視起來。</w:t>
      </w:r>
    </w:p>
    <w:p w:rsidR="00C73CA4" w:rsidRDefault="00C73CA4" w:rsidP="00AE3920">
      <w:pPr>
        <w:spacing w:beforeLines="30"/>
        <w:ind w:leftChars="350" w:left="840"/>
        <w:jc w:val="both"/>
        <w:rPr>
          <w:rFonts w:ascii="Times New Roman" w:hAnsi="Times New Roman" w:cs="Times Ext Roman"/>
          <w:b/>
          <w:color w:val="FF0000"/>
          <w:sz w:val="20"/>
          <w:bdr w:val="single" w:sz="4" w:space="0" w:color="auto"/>
        </w:rPr>
      </w:pPr>
      <w:r w:rsidRPr="00C73CA4">
        <w:rPr>
          <w:rFonts w:ascii="Times Ext Roman" w:hAnsi="Times Ext Roman" w:cs="Times Ext Roman" w:hint="eastAsia"/>
          <w:b/>
          <w:color w:val="FF0000"/>
          <w:sz w:val="20"/>
          <w:highlight w:val="yellow"/>
          <w:bdr w:val="single" w:sz="4" w:space="0" w:color="auto"/>
        </w:rPr>
        <w:t>（</w:t>
      </w:r>
      <w:r w:rsidRPr="00C73CA4">
        <w:rPr>
          <w:rFonts w:ascii="Times Ext Roman" w:hAnsi="Times Ext Roman" w:cs="Times Ext Roman" w:hint="eastAsia"/>
          <w:b/>
          <w:color w:val="FF0000"/>
          <w:sz w:val="20"/>
          <w:highlight w:val="yellow"/>
          <w:bdr w:val="single" w:sz="4" w:space="0" w:color="auto"/>
        </w:rPr>
        <w:t>B</w:t>
      </w:r>
      <w:r w:rsidRPr="00C73CA4">
        <w:rPr>
          <w:rFonts w:ascii="Times Ext Roman" w:hAnsi="Times Ext Roman" w:cs="Times Ext Roman" w:hint="eastAsia"/>
          <w:b/>
          <w:color w:val="FF0000"/>
          <w:sz w:val="20"/>
          <w:highlight w:val="yellow"/>
          <w:bdr w:val="single" w:sz="4" w:space="0" w:color="auto"/>
        </w:rPr>
        <w:t>）</w:t>
      </w:r>
      <w:r w:rsidRPr="00C73CA4">
        <w:rPr>
          <w:rFonts w:ascii="Times New Roman" w:hAnsi="Times New Roman" w:cs="Times Ext Roman" w:hint="eastAsia"/>
          <w:b/>
          <w:color w:val="FF0000"/>
          <w:sz w:val="20"/>
          <w:highlight w:val="yellow"/>
          <w:bdr w:val="single" w:sz="4" w:space="0" w:color="auto"/>
        </w:rPr>
        <w:t>正破</w:t>
      </w:r>
      <w:r w:rsidRPr="00DA3BC7">
        <w:rPr>
          <w:rFonts w:ascii="Times Ext Roman" w:hAnsi="Times Ext Roman" w:cs="Times Ext Roman" w:hint="eastAsia"/>
          <w:sz w:val="20"/>
        </w:rPr>
        <w:t>（</w:t>
      </w:r>
      <w:r w:rsidRPr="00DA3BC7">
        <w:rPr>
          <w:rFonts w:ascii="Times New Roman" w:hAnsi="Times New Roman" w:cs="Times Ext Roman" w:hint="eastAsia"/>
          <w:sz w:val="20"/>
        </w:rPr>
        <w:t>pp</w:t>
      </w:r>
      <w:r w:rsidRPr="00DA3BC7">
        <w:rPr>
          <w:rFonts w:ascii="Times Ext Roman" w:hAnsi="Times Ext Roman" w:cs="Times Ext Roman" w:hint="eastAsia"/>
          <w:sz w:val="20"/>
        </w:rPr>
        <w:t>.</w:t>
      </w:r>
      <w:r w:rsidRPr="00DA3BC7">
        <w:rPr>
          <w:rFonts w:ascii="Times New Roman" w:hAnsi="Times New Roman" w:cs="Times Ext Roman" w:hint="eastAsia"/>
          <w:sz w:val="20"/>
        </w:rPr>
        <w:t>185</w:t>
      </w:r>
      <w:r w:rsidRPr="00DA3BC7">
        <w:rPr>
          <w:rFonts w:ascii="Times Ext Roman" w:hAnsi="Times Ext Roman" w:cs="Times Ext Roman" w:hint="eastAsia"/>
          <w:sz w:val="20"/>
        </w:rPr>
        <w:t>-</w:t>
      </w:r>
      <w:r w:rsidRPr="00DA3BC7">
        <w:rPr>
          <w:rFonts w:ascii="Times New Roman" w:hAnsi="Times New Roman" w:cs="Times Ext Roman" w:hint="eastAsia"/>
          <w:sz w:val="20"/>
        </w:rPr>
        <w:t>186</w:t>
      </w:r>
      <w:r w:rsidRPr="00DA3BC7">
        <w:rPr>
          <w:rFonts w:ascii="Times Ext Roman" w:hAnsi="Times Ext Roman" w:cs="Times Ext Roman" w:hint="eastAsia"/>
          <w:sz w:val="20"/>
        </w:rPr>
        <w:t>）</w:t>
      </w:r>
    </w:p>
    <w:p w:rsidR="00AA120F" w:rsidRPr="00DA3BC7" w:rsidRDefault="00C73CA4" w:rsidP="00E45051">
      <w:pPr>
        <w:ind w:leftChars="400" w:left="960"/>
        <w:jc w:val="both"/>
        <w:rPr>
          <w:rFonts w:ascii="Times Ext Roman" w:hAnsi="Times Ext Roman" w:cs="Times Ext Roman"/>
          <w:sz w:val="20"/>
          <w:bdr w:val="single" w:sz="4" w:space="0" w:color="auto"/>
        </w:rPr>
      </w:pPr>
      <w:r w:rsidRPr="00C73CA4">
        <w:rPr>
          <w:rFonts w:ascii="Times New Roman" w:hAnsi="Times New Roman" w:cs="Times Ext Roman" w:hint="eastAsia"/>
          <w:b/>
          <w:color w:val="FF0000"/>
          <w:sz w:val="20"/>
          <w:highlight w:val="yellow"/>
          <w:bdr w:val="single" w:sz="4" w:space="0" w:color="auto"/>
        </w:rPr>
        <w:t>a</w:t>
      </w:r>
      <w:r w:rsidR="00AA120F" w:rsidRPr="00C73CA4">
        <w:rPr>
          <w:rFonts w:ascii="Times Ext Roman" w:hAnsi="Times Ext Roman" w:cs="Times Ext Roman" w:hint="eastAsia"/>
          <w:b/>
          <w:color w:val="FF0000"/>
          <w:sz w:val="20"/>
          <w:highlight w:val="yellow"/>
          <w:bdr w:val="single" w:sz="4" w:space="0" w:color="auto"/>
        </w:rPr>
        <w:t>、</w:t>
      </w:r>
      <w:r w:rsidRPr="00C73CA4">
        <w:rPr>
          <w:rFonts w:ascii="Times Ext Roman" w:hAnsi="Times Ext Roman" w:cs="Times Ext Roman" w:hint="eastAsia"/>
          <w:b/>
          <w:color w:val="FF0000"/>
          <w:sz w:val="20"/>
          <w:highlight w:val="yellow"/>
          <w:bdr w:val="single" w:sz="4" w:space="0" w:color="auto"/>
        </w:rPr>
        <w:t>破</w:t>
      </w:r>
      <w:r w:rsidR="00AA120F" w:rsidRPr="00DA3BC7">
        <w:rPr>
          <w:rFonts w:ascii="Times Ext Roman" w:hAnsi="Times Ext Roman" w:cs="Times Ext Roman" w:hint="eastAsia"/>
          <w:b/>
          <w:sz w:val="20"/>
          <w:bdr w:val="single" w:sz="4" w:space="0" w:color="auto"/>
        </w:rPr>
        <w:t>第三個理由</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185</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186</w:t>
      </w:r>
      <w:r w:rsidR="00AA120F" w:rsidRPr="00DA3BC7">
        <w:rPr>
          <w:rFonts w:ascii="Times Ext Roman" w:hAnsi="Times Ext Roman" w:cs="Times Ext Roman" w:hint="eastAsia"/>
          <w:sz w:val="20"/>
        </w:rPr>
        <w:t>）</w:t>
      </w:r>
    </w:p>
    <w:p w:rsidR="00AA120F" w:rsidRPr="00DA3BC7" w:rsidRDefault="00AA120F" w:rsidP="00E45051">
      <w:pPr>
        <w:ind w:leftChars="400" w:left="960"/>
        <w:jc w:val="both"/>
      </w:pPr>
      <w:r w:rsidRPr="00DA3BC7">
        <w:rPr>
          <w:rFonts w:hint="eastAsia"/>
        </w:rPr>
        <w:t>觀一切法空時，不得一切法，即以為能破一切法，這是太過派的誤解。</w:t>
      </w:r>
    </w:p>
    <w:p w:rsidR="00AA120F" w:rsidRPr="00DA3BC7" w:rsidRDefault="00AA120F" w:rsidP="00E45051">
      <w:pPr>
        <w:ind w:leftChars="400" w:left="960"/>
        <w:jc w:val="both"/>
      </w:pPr>
      <w:r w:rsidRPr="00DA3BC7">
        <w:rPr>
          <w:rFonts w:hint="eastAsia"/>
        </w:rPr>
        <w:t>一切法空，是因觀自性不可得，即</w:t>
      </w:r>
      <w:r w:rsidRPr="00DA3BC7">
        <w:rPr>
          <w:rFonts w:hint="eastAsia"/>
          <w:b/>
        </w:rPr>
        <w:t>由自性不可得而說為空，非一切假名法也不可得。</w:t>
      </w:r>
    </w:p>
    <w:p w:rsidR="00EA1E7C" w:rsidRDefault="00AA120F" w:rsidP="00AE3920">
      <w:pPr>
        <w:spacing w:beforeLines="20"/>
        <w:ind w:leftChars="400" w:left="960"/>
        <w:jc w:val="both"/>
      </w:pPr>
      <w:r w:rsidRPr="00DA3BC7">
        <w:rPr>
          <w:rFonts w:hint="eastAsia"/>
        </w:rPr>
        <w:t>要知</w:t>
      </w:r>
      <w:r w:rsidRPr="00DA3BC7">
        <w:rPr>
          <w:rFonts w:hint="eastAsia"/>
          <w:b/>
        </w:rPr>
        <w:t>觀察到、觀察不到</w:t>
      </w:r>
      <w:r w:rsidRPr="00DA3BC7">
        <w:rPr>
          <w:rFonts w:hint="eastAsia"/>
        </w:rPr>
        <w:t>與</w:t>
      </w:r>
      <w:r w:rsidRPr="00DA3BC7">
        <w:rPr>
          <w:rFonts w:hint="eastAsia"/>
          <w:b/>
        </w:rPr>
        <w:t>破、不破</w:t>
      </w:r>
      <w:r w:rsidRPr="00DA3BC7">
        <w:rPr>
          <w:rFonts w:hint="eastAsia"/>
        </w:rPr>
        <w:t>不同。</w:t>
      </w:r>
    </w:p>
    <w:p w:rsidR="00AA120F" w:rsidRPr="00DA3BC7" w:rsidRDefault="00AA120F" w:rsidP="00AE3920">
      <w:pPr>
        <w:spacing w:beforeLines="20"/>
        <w:ind w:leftChars="400" w:left="960"/>
        <w:jc w:val="both"/>
      </w:pPr>
      <w:r w:rsidRPr="00EA1E7C">
        <w:rPr>
          <w:rFonts w:hint="eastAsia"/>
          <w:highlight w:val="yellow"/>
        </w:rPr>
        <w:t>如</w:t>
      </w:r>
      <w:r w:rsidRPr="00DA3BC7">
        <w:rPr>
          <w:rFonts w:hint="eastAsia"/>
        </w:rPr>
        <w:t>以甲為有，觀察甲而不得，此觀察不得即是破此有。</w:t>
      </w:r>
    </w:p>
    <w:p w:rsidR="00AA120F" w:rsidRPr="00DA3BC7" w:rsidRDefault="00AA120F" w:rsidP="00AE3920">
      <w:pPr>
        <w:spacing w:beforeLines="20"/>
        <w:ind w:leftChars="400" w:left="960"/>
        <w:jc w:val="both"/>
      </w:pPr>
      <w:r w:rsidRPr="00DA3BC7">
        <w:rPr>
          <w:rFonts w:hint="eastAsia"/>
        </w:rPr>
        <w:t>如不觀甲而觀乙，觀乙時雖不見甲，但不能說甲是沒有，不能說可破甲是有。</w:t>
      </w:r>
    </w:p>
    <w:p w:rsidR="00AA120F" w:rsidRPr="00DA3BC7" w:rsidRDefault="00AA120F" w:rsidP="00AE3920">
      <w:pPr>
        <w:spacing w:beforeLines="20"/>
        <w:ind w:leftChars="400" w:left="960"/>
        <w:jc w:val="both"/>
      </w:pPr>
      <w:r w:rsidRPr="00DA3BC7">
        <w:rPr>
          <w:rFonts w:hint="eastAsia"/>
        </w:rPr>
        <w:t>所以，觀自性不可得而說一切法空，不觀緣起假名為有，不能因此說「觀一切法空即能破緣起假名」。</w:t>
      </w:r>
    </w:p>
    <w:p w:rsidR="00AA120F" w:rsidRPr="00DA3BC7" w:rsidRDefault="00C73CA4" w:rsidP="00AE3920">
      <w:pPr>
        <w:spacing w:beforeLines="30"/>
        <w:ind w:leftChars="400" w:left="960"/>
        <w:jc w:val="both"/>
        <w:rPr>
          <w:rFonts w:ascii="Times Ext Roman" w:hAnsi="Times Ext Roman" w:cs="Times Ext Roman"/>
          <w:sz w:val="20"/>
          <w:bdr w:val="single" w:sz="4" w:space="0" w:color="auto"/>
        </w:rPr>
      </w:pPr>
      <w:r w:rsidRPr="00C73CA4">
        <w:rPr>
          <w:rFonts w:ascii="Times New Roman" w:hAnsi="Times New Roman" w:cs="Times Ext Roman" w:hint="eastAsia"/>
          <w:b/>
          <w:color w:val="FF0000"/>
          <w:sz w:val="20"/>
          <w:highlight w:val="yellow"/>
          <w:bdr w:val="single" w:sz="4" w:space="0" w:color="auto"/>
        </w:rPr>
        <w:t>b</w:t>
      </w:r>
      <w:r w:rsidR="00AA120F" w:rsidRPr="00C73CA4">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難</w:t>
      </w:r>
      <w:r w:rsidR="00AA120F" w:rsidRPr="00DA3BC7">
        <w:rPr>
          <w:rFonts w:ascii="Times Ext Roman" w:hAnsi="Times Ext Roman" w:cs="Times Ext Roman" w:hint="eastAsia"/>
          <w:b/>
          <w:sz w:val="20"/>
          <w:bdr w:val="single" w:sz="4" w:space="0" w:color="auto"/>
        </w:rPr>
        <w:t>第四個理由</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186</w:t>
      </w:r>
      <w:r w:rsidR="00AA120F" w:rsidRPr="00DA3BC7">
        <w:rPr>
          <w:rFonts w:ascii="Times Ext Roman" w:hAnsi="Times Ext Roman" w:cs="Times Ext Roman" w:hint="eastAsia"/>
          <w:sz w:val="20"/>
        </w:rPr>
        <w:t>）</w:t>
      </w:r>
    </w:p>
    <w:p w:rsidR="00AA120F" w:rsidRPr="00DA3BC7" w:rsidRDefault="00AA120F" w:rsidP="00E45051">
      <w:pPr>
        <w:ind w:leftChars="400" w:left="960"/>
        <w:jc w:val="both"/>
      </w:pPr>
      <w:r w:rsidRPr="00DA3BC7">
        <w:rPr>
          <w:rFonts w:hint="eastAsia"/>
        </w:rPr>
        <w:t>又，觀空屬於勝義慧，建立緣起屬名言識</w:t>
      </w:r>
      <w:r w:rsidRPr="00DA3BC7">
        <w:rPr>
          <w:rStyle w:val="a6"/>
          <w:rFonts w:ascii="Times New Roman" w:hAnsi="Times New Roman"/>
        </w:rPr>
        <w:footnoteReference w:id="835"/>
      </w:r>
      <w:r w:rsidRPr="00DA3BC7">
        <w:rPr>
          <w:rFonts w:hint="eastAsia"/>
        </w:rPr>
        <w:t>。</w:t>
      </w:r>
      <w:r w:rsidRPr="00DA3BC7">
        <w:rPr>
          <w:rFonts w:hint="eastAsia"/>
          <w:b/>
        </w:rPr>
        <w:t>依勝義智說眼等非量，但世俗緣起假名的一切法，依世俗名言量而假立的，還是可以依有漏的心識量而成立，不能因此而說一切不成立</w:t>
      </w:r>
      <w:r w:rsidRPr="00DA3BC7">
        <w:rPr>
          <w:rFonts w:hint="eastAsia"/>
        </w:rPr>
        <w:t>。</w:t>
      </w:r>
      <w:r w:rsidRPr="00DA3BC7">
        <w:rPr>
          <w:rStyle w:val="a6"/>
          <w:rFonts w:ascii="Times New Roman" w:hAnsi="Times New Roman"/>
        </w:rPr>
        <w:footnoteReference w:id="836"/>
      </w:r>
    </w:p>
    <w:p w:rsidR="00AA120F" w:rsidRPr="00DA3BC7" w:rsidRDefault="00C73CA4" w:rsidP="00AE3920">
      <w:pPr>
        <w:spacing w:beforeLines="30"/>
        <w:ind w:leftChars="200" w:left="480"/>
        <w:jc w:val="both"/>
        <w:rPr>
          <w:rFonts w:ascii="Times Ext Roman" w:hAnsi="Times Ext Roman" w:cs="Times Ext Roman"/>
          <w:b/>
          <w:sz w:val="20"/>
          <w:bdr w:val="single" w:sz="4" w:space="0" w:color="auto"/>
        </w:rPr>
      </w:pPr>
      <w:r>
        <w:rPr>
          <w:rFonts w:ascii="Times Ext Roman" w:hAnsi="Times Ext Roman" w:cs="Times Ext Roman" w:hint="eastAsia"/>
          <w:b/>
          <w:color w:val="FF0000"/>
          <w:sz w:val="20"/>
          <w:highlight w:val="yellow"/>
          <w:bdr w:val="single" w:sz="4" w:space="0" w:color="auto"/>
        </w:rPr>
        <w:lastRenderedPageBreak/>
        <w:t>3</w:t>
      </w:r>
      <w:r w:rsidR="00AA120F" w:rsidRPr="00C73CA4">
        <w:rPr>
          <w:rFonts w:ascii="Times Ext Roman" w:hAnsi="Times Ext Roman" w:cs="Times Ext Roman" w:hint="eastAsia"/>
          <w:b/>
          <w:color w:val="FF0000"/>
          <w:sz w:val="20"/>
          <w:highlight w:val="yellow"/>
          <w:bdr w:val="single" w:sz="4" w:space="0" w:color="auto"/>
        </w:rPr>
        <w:t>、</w:t>
      </w:r>
      <w:r w:rsidRPr="00C73CA4">
        <w:rPr>
          <w:rFonts w:ascii="Times Ext Roman" w:hAnsi="Times Ext Roman" w:cs="Times Ext Roman" w:hint="eastAsia"/>
          <w:b/>
          <w:color w:val="FF0000"/>
          <w:sz w:val="20"/>
          <w:highlight w:val="yellow"/>
          <w:bdr w:val="single" w:sz="4" w:space="0" w:color="auto"/>
        </w:rPr>
        <w:t>兼評</w:t>
      </w:r>
      <w:r w:rsidR="00AA120F" w:rsidRPr="00DA3BC7">
        <w:rPr>
          <w:rFonts w:ascii="Times Ext Roman" w:hAnsi="Times Ext Roman" w:cs="Times Ext Roman" w:hint="eastAsia"/>
          <w:b/>
          <w:sz w:val="20"/>
          <w:bdr w:val="single" w:sz="4" w:space="0" w:color="auto"/>
        </w:rPr>
        <w:t>《廣論》</w:t>
      </w:r>
      <w:r>
        <w:rPr>
          <w:rFonts w:ascii="Times Ext Roman" w:hAnsi="Times Ext Roman" w:cs="Times Ext Roman" w:hint="eastAsia"/>
          <w:b/>
          <w:color w:val="FF0000"/>
          <w:sz w:val="20"/>
          <w:highlight w:val="yellow"/>
          <w:bdr w:val="single" w:sz="4" w:space="0" w:color="auto"/>
        </w:rPr>
        <w:t>之見</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186</w:t>
      </w:r>
      <w:r w:rsidR="00AA120F" w:rsidRPr="00DA3BC7">
        <w:rPr>
          <w:rFonts w:ascii="Times Ext Roman" w:hAnsi="Times Ext Roman" w:cs="Times Ext Roman" w:hint="eastAsia"/>
          <w:sz w:val="20"/>
        </w:rPr>
        <w:t>）</w:t>
      </w:r>
    </w:p>
    <w:p w:rsidR="00C73CA4" w:rsidRDefault="00AA120F" w:rsidP="00E45051">
      <w:pPr>
        <w:ind w:leftChars="200" w:left="480"/>
        <w:jc w:val="both"/>
      </w:pPr>
      <w:r w:rsidRPr="00DA3BC7">
        <w:rPr>
          <w:rFonts w:hint="eastAsia"/>
        </w:rPr>
        <w:t>以一切法空為能破一切法，當然是誤解中觀義的</w:t>
      </w:r>
      <w:r w:rsidRPr="00DA3BC7">
        <w:rPr>
          <w:rFonts w:hint="eastAsia"/>
          <w:b/>
        </w:rPr>
        <w:t>太過者</w:t>
      </w:r>
      <w:r w:rsidRPr="00DA3BC7">
        <w:rPr>
          <w:rFonts w:hint="eastAsia"/>
        </w:rPr>
        <w:t>。</w:t>
      </w:r>
    </w:p>
    <w:p w:rsidR="00AA120F" w:rsidRPr="00DA3BC7" w:rsidRDefault="00AA120F" w:rsidP="00E45051">
      <w:pPr>
        <w:ind w:leftChars="200" w:left="480"/>
        <w:jc w:val="both"/>
      </w:pPr>
      <w:r w:rsidRPr="00DA3BC7">
        <w:rPr>
          <w:rFonts w:hint="eastAsia"/>
        </w:rPr>
        <w:t>但如《菩提道次第廣論》的自宗，</w:t>
      </w:r>
      <w:r w:rsidRPr="00DA3BC7">
        <w:rPr>
          <w:rFonts w:hint="eastAsia"/>
          <w:b/>
        </w:rPr>
        <w:t>從自性與緣起、勝義與世俗的差別立論，不得意</w:t>
      </w:r>
      <w:r w:rsidRPr="00DA3BC7">
        <w:rPr>
          <w:rStyle w:val="a6"/>
          <w:rFonts w:ascii="Times New Roman" w:hAnsi="Times New Roman"/>
        </w:rPr>
        <w:footnoteReference w:id="837"/>
      </w:r>
      <w:r w:rsidRPr="00DA3BC7">
        <w:rPr>
          <w:rFonts w:hint="eastAsia"/>
          <w:b/>
        </w:rPr>
        <w:t>者，或許會落於不空假名的窠臼</w:t>
      </w:r>
      <w:r w:rsidRPr="00DA3BC7">
        <w:rPr>
          <w:rStyle w:val="a6"/>
          <w:rFonts w:ascii="Times New Roman" w:hAnsi="Times New Roman"/>
        </w:rPr>
        <w:footnoteReference w:id="838"/>
      </w:r>
      <w:r w:rsidRPr="00DA3BC7">
        <w:rPr>
          <w:rFonts w:hint="eastAsia"/>
        </w:rPr>
        <w:t>！</w:t>
      </w:r>
    </w:p>
    <w:p w:rsidR="00AA120F" w:rsidRPr="00DA3BC7" w:rsidRDefault="00C80821" w:rsidP="00AE3920">
      <w:pPr>
        <w:spacing w:beforeLines="30"/>
        <w:ind w:leftChars="150" w:left="360"/>
        <w:jc w:val="both"/>
        <w:rPr>
          <w:rFonts w:ascii="Times Ext Roman" w:hAnsi="Times Ext Roman" w:cs="Times Ext Roman"/>
          <w:b/>
          <w:sz w:val="20"/>
          <w:bdr w:val="single" w:sz="4" w:space="0" w:color="auto"/>
        </w:rPr>
      </w:pPr>
      <w:r w:rsidRPr="00C80821">
        <w:rPr>
          <w:rFonts w:ascii="Times Ext Roman" w:hAnsi="Times Ext Roman" w:cs="Times Ext Roman" w:hint="eastAsia"/>
          <w:b/>
          <w:color w:val="FF0000"/>
          <w:sz w:val="20"/>
          <w:highlight w:val="yellow"/>
          <w:bdr w:val="single" w:sz="4" w:space="0" w:color="auto"/>
        </w:rPr>
        <w:t>（二）</w:t>
      </w:r>
      <w:r w:rsidR="00AA120F" w:rsidRPr="00DA3BC7">
        <w:rPr>
          <w:rFonts w:ascii="Times Ext Roman" w:hAnsi="Times Ext Roman" w:cs="Times Ext Roman" w:hint="eastAsia"/>
          <w:b/>
          <w:sz w:val="20"/>
          <w:bdr w:val="single" w:sz="4" w:space="0" w:color="auto"/>
        </w:rPr>
        <w:t>不及派</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186</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189</w:t>
      </w:r>
      <w:r w:rsidR="00AA120F" w:rsidRPr="00DA3BC7">
        <w:rPr>
          <w:rFonts w:ascii="Times Ext Roman" w:hAnsi="Times Ext Roman" w:cs="Times Ext Roman" w:hint="eastAsia"/>
          <w:sz w:val="20"/>
        </w:rPr>
        <w:t>）</w:t>
      </w:r>
    </w:p>
    <w:p w:rsidR="00AA120F" w:rsidRPr="00DA3BC7" w:rsidRDefault="00C80821" w:rsidP="00E45051">
      <w:pPr>
        <w:ind w:leftChars="200" w:left="480"/>
        <w:jc w:val="both"/>
        <w:rPr>
          <w:rFonts w:ascii="Times Ext Roman" w:hAnsi="Times Ext Roman" w:cs="Times Ext Roman"/>
          <w:b/>
          <w:sz w:val="20"/>
          <w:bdr w:val="single" w:sz="4" w:space="0" w:color="auto"/>
        </w:rPr>
      </w:pPr>
      <w:r w:rsidRPr="00C80821">
        <w:rPr>
          <w:rFonts w:ascii="Times Ext Roman" w:hAnsi="Times Ext Roman" w:cs="Times Ext Roman" w:hint="eastAsia"/>
          <w:b/>
          <w:color w:val="FF0000"/>
          <w:sz w:val="20"/>
          <w:highlight w:val="yellow"/>
          <w:bdr w:val="single" w:sz="4" w:space="0" w:color="auto"/>
        </w:rPr>
        <w:t>1</w:t>
      </w:r>
      <w:r w:rsidRPr="00C80821">
        <w:rPr>
          <w:rFonts w:ascii="Times Ext Roman" w:hAnsi="Times Ext Roman" w:cs="Times Ext Roman" w:hint="eastAsia"/>
          <w:b/>
          <w:color w:val="FF0000"/>
          <w:sz w:val="20"/>
          <w:highlight w:val="yellow"/>
          <w:bdr w:val="single" w:sz="4" w:space="0" w:color="auto"/>
        </w:rPr>
        <w:t>、述</w:t>
      </w:r>
      <w:r w:rsidR="00AA120F" w:rsidRPr="00C80821">
        <w:rPr>
          <w:rFonts w:ascii="Times Ext Roman" w:hAnsi="Times Ext Roman" w:cs="Times Ext Roman" w:hint="eastAsia"/>
          <w:b/>
          <w:color w:val="FF0000"/>
          <w:sz w:val="20"/>
          <w:highlight w:val="yellow"/>
          <w:bdr w:val="single" w:sz="4" w:space="0" w:color="auto"/>
        </w:rPr>
        <w:t>宗</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186</w:t>
      </w:r>
      <w:r w:rsidR="00AA120F" w:rsidRPr="00DA3BC7">
        <w:rPr>
          <w:rFonts w:ascii="Times Ext Roman" w:hAnsi="Times Ext Roman" w:cs="Times Ext Roman" w:hint="eastAsia"/>
          <w:sz w:val="20"/>
        </w:rPr>
        <w:t>）</w:t>
      </w:r>
    </w:p>
    <w:p w:rsidR="00E45051" w:rsidRDefault="00AA120F" w:rsidP="00E45051">
      <w:pPr>
        <w:ind w:leftChars="200" w:left="480"/>
        <w:jc w:val="both"/>
      </w:pPr>
      <w:r w:rsidRPr="00DA3BC7">
        <w:rPr>
          <w:rFonts w:hint="eastAsia"/>
        </w:rPr>
        <w:t>「不及派」：</w:t>
      </w:r>
    </w:p>
    <w:p w:rsidR="00E45051" w:rsidRDefault="00AA120F" w:rsidP="00E45051">
      <w:pPr>
        <w:ind w:leftChars="200" w:left="480"/>
        <w:jc w:val="both"/>
      </w:pPr>
      <w:r w:rsidRPr="00DA3BC7">
        <w:rPr>
          <w:rFonts w:hint="eastAsia"/>
        </w:rPr>
        <w:t>《菩提道次第廣論》中曾引述此派的解說。</w:t>
      </w:r>
    </w:p>
    <w:p w:rsidR="00AA120F" w:rsidRPr="00DA3BC7" w:rsidRDefault="00AA120F" w:rsidP="00E45051">
      <w:pPr>
        <w:ind w:leftChars="200" w:left="480"/>
        <w:jc w:val="both"/>
      </w:pPr>
      <w:r w:rsidRPr="00DA3BC7">
        <w:rPr>
          <w:rFonts w:hint="eastAsia"/>
        </w:rPr>
        <w:t>此派以為無</w:t>
      </w:r>
      <w:r w:rsidRPr="00DA3BC7">
        <w:rPr>
          <w:rFonts w:hint="eastAsia"/>
          <w:b/>
        </w:rPr>
        <w:t>自性</w:t>
      </w:r>
      <w:r w:rsidRPr="00DA3BC7">
        <w:rPr>
          <w:rFonts w:hint="eastAsia"/>
        </w:rPr>
        <w:t>空的</w:t>
      </w:r>
      <w:r w:rsidRPr="00DA3BC7">
        <w:rPr>
          <w:rFonts w:hint="eastAsia"/>
          <w:b/>
        </w:rPr>
        <w:t>自性</w:t>
      </w:r>
      <w:r w:rsidRPr="00DA3BC7">
        <w:rPr>
          <w:rFonts w:hint="eastAsia"/>
        </w:rPr>
        <w:t>，即所破的</w:t>
      </w:r>
      <w:r w:rsidRPr="00DA3BC7">
        <w:rPr>
          <w:rFonts w:hint="eastAsia"/>
          <w:b/>
        </w:rPr>
        <w:t>自性</w:t>
      </w:r>
      <w:r w:rsidRPr="00DA3BC7">
        <w:rPr>
          <w:rFonts w:hint="eastAsia"/>
        </w:rPr>
        <w:t>，含義有三差別：「</w:t>
      </w:r>
      <w:r w:rsidRPr="00DA3BC7">
        <w:rPr>
          <w:rFonts w:ascii="標楷體" w:eastAsia="標楷體" w:hAnsi="標楷體" w:hint="eastAsia"/>
        </w:rPr>
        <w:t>（一）非由因緣所生，（二）時位無變，（三）不待他立</w:t>
      </w:r>
      <w:r w:rsidR="005C68C9" w:rsidRPr="00DA3BC7">
        <w:rPr>
          <w:rFonts w:ascii="標楷體" w:eastAsia="標楷體" w:hAnsi="標楷體" w:hint="eastAsia"/>
        </w:rPr>
        <w:t>。</w:t>
      </w:r>
      <w:r w:rsidRPr="00DA3BC7">
        <w:rPr>
          <w:rFonts w:hint="eastAsia"/>
        </w:rPr>
        <w:t>」</w:t>
      </w:r>
      <w:r w:rsidRPr="00DA3BC7">
        <w:rPr>
          <w:rStyle w:val="a6"/>
          <w:rFonts w:ascii="Times New Roman" w:hAnsi="Times New Roman"/>
        </w:rPr>
        <w:footnoteReference w:id="839"/>
      </w:r>
    </w:p>
    <w:p w:rsidR="00AA120F" w:rsidRPr="00DA3BC7" w:rsidRDefault="00AA120F" w:rsidP="00AE3920">
      <w:pPr>
        <w:spacing w:beforeLines="20"/>
        <w:ind w:leftChars="200" w:left="480"/>
        <w:jc w:val="both"/>
      </w:pPr>
      <w:r w:rsidRPr="00DA3BC7">
        <w:rPr>
          <w:rFonts w:hint="eastAsia"/>
        </w:rPr>
        <w:t>觀一切法的自性不可得，即是破除於一切法上含此三種錯誤的自性見。依此觀察，可悟證勝義空性，得到解脫。</w:t>
      </w:r>
    </w:p>
    <w:p w:rsidR="00387CC6" w:rsidRDefault="00387CC6" w:rsidP="00AE3920">
      <w:pPr>
        <w:spacing w:beforeLines="30"/>
        <w:ind w:leftChars="200" w:left="480"/>
        <w:jc w:val="both"/>
        <w:rPr>
          <w:rFonts w:ascii="Times Ext Roman" w:hAnsi="Times Ext Roman" w:cs="Times Ext Roman"/>
          <w:b/>
          <w:color w:val="FF0000"/>
          <w:sz w:val="20"/>
          <w:bdr w:val="single" w:sz="4" w:space="0" w:color="auto"/>
        </w:rPr>
      </w:pPr>
      <w:r w:rsidRPr="00387CC6">
        <w:rPr>
          <w:rFonts w:ascii="Times New Roman" w:hAnsi="Times New Roman" w:cs="Times Ext Roman" w:hint="eastAsia"/>
          <w:b/>
          <w:color w:val="FF0000"/>
          <w:sz w:val="20"/>
          <w:highlight w:val="yellow"/>
          <w:bdr w:val="single" w:sz="4" w:space="0" w:color="auto"/>
        </w:rPr>
        <w:t>2</w:t>
      </w:r>
      <w:r w:rsidRPr="00387CC6">
        <w:rPr>
          <w:rFonts w:ascii="Times Ext Roman" w:hAnsi="Times Ext Roman" w:cs="Times Ext Roman" w:hint="eastAsia"/>
          <w:b/>
          <w:color w:val="FF0000"/>
          <w:sz w:val="20"/>
          <w:highlight w:val="yellow"/>
          <w:bdr w:val="single" w:sz="4" w:space="0" w:color="auto"/>
        </w:rPr>
        <w:t>、</w:t>
      </w:r>
      <w:r w:rsidR="008B4B04">
        <w:rPr>
          <w:rFonts w:ascii="Times Ext Roman" w:hAnsi="Times Ext Roman" w:cs="Times Ext Roman" w:hint="eastAsia"/>
          <w:b/>
          <w:color w:val="FF0000"/>
          <w:sz w:val="20"/>
          <w:highlight w:val="yellow"/>
          <w:bdr w:val="single" w:sz="4" w:space="0" w:color="auto"/>
        </w:rPr>
        <w:t>抉</w:t>
      </w:r>
      <w:r>
        <w:rPr>
          <w:rFonts w:ascii="Times Ext Roman" w:hAnsi="Times Ext Roman" w:cs="Times Ext Roman" w:hint="eastAsia"/>
          <w:b/>
          <w:color w:val="FF0000"/>
          <w:sz w:val="20"/>
          <w:highlight w:val="yellow"/>
          <w:bdr w:val="single" w:sz="4" w:space="0" w:color="auto"/>
        </w:rPr>
        <w:t>擇</w:t>
      </w:r>
    </w:p>
    <w:p w:rsidR="00AA120F" w:rsidRPr="00DA3BC7" w:rsidRDefault="00AA120F" w:rsidP="00E45051">
      <w:pPr>
        <w:ind w:leftChars="250" w:left="600"/>
        <w:jc w:val="both"/>
        <w:rPr>
          <w:rFonts w:ascii="Times Ext Roman" w:hAnsi="Times Ext Roman" w:cs="Times Ext Roman"/>
          <w:b/>
          <w:sz w:val="20"/>
          <w:bdr w:val="single" w:sz="4" w:space="0" w:color="auto"/>
        </w:rPr>
      </w:pPr>
      <w:r w:rsidRPr="00387CC6">
        <w:rPr>
          <w:rFonts w:ascii="Times Ext Roman" w:hAnsi="Times Ext Roman" w:cs="Times Ext Roman" w:hint="eastAsia"/>
          <w:b/>
          <w:color w:val="FF0000"/>
          <w:sz w:val="20"/>
          <w:highlight w:val="yellow"/>
          <w:bdr w:val="single" w:sz="4" w:space="0" w:color="auto"/>
        </w:rPr>
        <w:t>（</w:t>
      </w:r>
      <w:r w:rsidR="00387CC6" w:rsidRPr="00387CC6">
        <w:rPr>
          <w:rFonts w:ascii="Times Ext Roman" w:hAnsi="Times Ext Roman" w:cs="Times Ext Roman" w:hint="eastAsia"/>
          <w:b/>
          <w:color w:val="FF0000"/>
          <w:sz w:val="20"/>
          <w:highlight w:val="yellow"/>
          <w:bdr w:val="single" w:sz="4" w:space="0" w:color="auto"/>
        </w:rPr>
        <w:t>1</w:t>
      </w:r>
      <w:r w:rsidRPr="00387CC6">
        <w:rPr>
          <w:rFonts w:ascii="Times Ext Roman" w:hAnsi="Times Ext Roman" w:cs="Times Ext Roman" w:hint="eastAsia"/>
          <w:b/>
          <w:color w:val="FF0000"/>
          <w:sz w:val="20"/>
          <w:highlight w:val="yellow"/>
          <w:bdr w:val="single" w:sz="4" w:space="0" w:color="auto"/>
        </w:rPr>
        <w:t>）</w:t>
      </w:r>
      <w:r w:rsidRPr="00DA3BC7">
        <w:rPr>
          <w:rFonts w:ascii="Times Ext Roman" w:hAnsi="Times Ext Roman" w:cs="Times Ext Roman" w:hint="eastAsia"/>
          <w:b/>
          <w:sz w:val="20"/>
          <w:bdr w:val="single" w:sz="4" w:space="0" w:color="auto"/>
        </w:rPr>
        <w:t>宗喀巴對此派的批評</w:t>
      </w:r>
      <w:r w:rsidRPr="00DA3BC7">
        <w:rPr>
          <w:rFonts w:ascii="Times Ext Roman" w:hAnsi="Times Ext Roman" w:cs="Times Ext Roman" w:hint="eastAsia"/>
          <w:sz w:val="20"/>
        </w:rPr>
        <w:t>（</w:t>
      </w:r>
      <w:r w:rsidRPr="00DA3BC7">
        <w:rPr>
          <w:rFonts w:ascii="Times New Roman" w:hAnsi="Times New Roman" w:cs="Times Ext Roman" w:hint="eastAsia"/>
          <w:sz w:val="20"/>
        </w:rPr>
        <w:t>pp</w:t>
      </w:r>
      <w:r w:rsidRPr="00DA3BC7">
        <w:rPr>
          <w:rFonts w:ascii="Times Ext Roman" w:hAnsi="Times Ext Roman" w:cs="Times Ext Roman" w:hint="eastAsia"/>
          <w:sz w:val="20"/>
        </w:rPr>
        <w:t>.</w:t>
      </w:r>
      <w:r w:rsidRPr="00DA3BC7">
        <w:rPr>
          <w:rFonts w:ascii="Times New Roman" w:hAnsi="Times New Roman" w:cs="Times Ext Roman" w:hint="eastAsia"/>
          <w:sz w:val="20"/>
        </w:rPr>
        <w:t>186</w:t>
      </w:r>
      <w:r w:rsidRPr="00DA3BC7">
        <w:rPr>
          <w:rFonts w:ascii="Times Ext Roman" w:hAnsi="Times Ext Roman" w:cs="Times Ext Roman" w:hint="eastAsia"/>
          <w:sz w:val="20"/>
        </w:rPr>
        <w:t>-</w:t>
      </w:r>
      <w:r w:rsidRPr="00DA3BC7">
        <w:rPr>
          <w:rFonts w:ascii="Times New Roman" w:hAnsi="Times New Roman" w:cs="Times Ext Roman" w:hint="eastAsia"/>
          <w:sz w:val="20"/>
        </w:rPr>
        <w:t>187</w:t>
      </w:r>
      <w:r w:rsidRPr="00DA3BC7">
        <w:rPr>
          <w:rFonts w:ascii="Times Ext Roman" w:hAnsi="Times Ext Roman" w:cs="Times Ext Roman" w:hint="eastAsia"/>
          <w:sz w:val="20"/>
        </w:rPr>
        <w:t>）</w:t>
      </w:r>
    </w:p>
    <w:p w:rsidR="00AA120F" w:rsidRPr="00DA3BC7" w:rsidRDefault="00387CC6" w:rsidP="00E45051">
      <w:pPr>
        <w:ind w:leftChars="300" w:left="720"/>
        <w:jc w:val="both"/>
        <w:rPr>
          <w:rFonts w:ascii="Times Ext Roman" w:hAnsi="Times Ext Roman" w:cs="Times Ext Roman"/>
          <w:sz w:val="20"/>
          <w:bdr w:val="single" w:sz="4" w:space="0" w:color="auto"/>
        </w:rPr>
      </w:pPr>
      <w:r w:rsidRPr="00387CC6">
        <w:rPr>
          <w:rFonts w:ascii="Times New Roman" w:hAnsi="Times New Roman" w:cs="Times Ext Roman" w:hint="eastAsia"/>
          <w:b/>
          <w:color w:val="FF0000"/>
          <w:sz w:val="20"/>
          <w:highlight w:val="yellow"/>
          <w:bdr w:val="single" w:sz="4" w:space="0" w:color="auto"/>
        </w:rPr>
        <w:t>A</w:t>
      </w:r>
      <w:r>
        <w:rPr>
          <w:rFonts w:ascii="Times New Roman" w:hAnsi="Times New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難第一含義</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186</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187</w:t>
      </w:r>
      <w:r w:rsidR="00AA120F" w:rsidRPr="00DA3BC7">
        <w:rPr>
          <w:rFonts w:ascii="Times Ext Roman" w:hAnsi="Times Ext Roman" w:cs="Times Ext Roman" w:hint="eastAsia"/>
          <w:sz w:val="20"/>
        </w:rPr>
        <w:t>）</w:t>
      </w:r>
    </w:p>
    <w:p w:rsidR="00AA120F" w:rsidRPr="00DA3BC7" w:rsidRDefault="00AA120F" w:rsidP="00E45051">
      <w:pPr>
        <w:ind w:leftChars="300" w:left="720"/>
        <w:jc w:val="both"/>
      </w:pPr>
      <w:r w:rsidRPr="00DA3BC7">
        <w:rPr>
          <w:rFonts w:hint="eastAsia"/>
        </w:rPr>
        <w:t>宗喀巴評此為不及者，以為他所說的「</w:t>
      </w:r>
      <w:r w:rsidRPr="00DA3BC7">
        <w:rPr>
          <w:rFonts w:ascii="標楷體" w:eastAsia="標楷體" w:hAnsi="標楷體" w:hint="eastAsia"/>
        </w:rPr>
        <w:t>非由因緣所生</w:t>
      </w:r>
      <w:r w:rsidRPr="00DA3BC7">
        <w:rPr>
          <w:rFonts w:hint="eastAsia"/>
        </w:rPr>
        <w:t>」為不及，即沒有徹底破除微細的自性見。</w:t>
      </w:r>
    </w:p>
    <w:p w:rsidR="00AA120F" w:rsidRPr="00DA3BC7" w:rsidRDefault="00AA120F" w:rsidP="00AE3920">
      <w:pPr>
        <w:spacing w:beforeLines="20"/>
        <w:ind w:leftChars="300" w:left="720"/>
        <w:jc w:val="both"/>
      </w:pPr>
      <w:r w:rsidRPr="00DA3BC7">
        <w:rPr>
          <w:rFonts w:hint="eastAsia"/>
        </w:rPr>
        <w:t>佛法中無論是小乘、大乘，無不承認諸法是因緣所生。</w:t>
      </w:r>
      <w:r w:rsidRPr="00DA3BC7">
        <w:rPr>
          <w:rFonts w:hint="eastAsia"/>
          <w:b/>
        </w:rPr>
        <w:t>若觀一切法因緣生即可破除自性，那麼小乘各派也應該能破除自性！中觀者如何更對破小乘而明無自性</w:t>
      </w:r>
      <w:r w:rsidRPr="00DA3BC7">
        <w:rPr>
          <w:rFonts w:hint="eastAsia"/>
        </w:rPr>
        <w:t>？</w:t>
      </w:r>
    </w:p>
    <w:p w:rsidR="00AA120F" w:rsidRPr="00DA3BC7" w:rsidRDefault="00AA120F" w:rsidP="00AE3920">
      <w:pPr>
        <w:spacing w:beforeLines="20"/>
        <w:ind w:leftChars="300" w:left="720"/>
        <w:jc w:val="both"/>
      </w:pPr>
      <w:r w:rsidRPr="00DA3BC7">
        <w:rPr>
          <w:rFonts w:hint="eastAsia"/>
        </w:rPr>
        <w:t>可知</w:t>
      </w:r>
      <w:r w:rsidRPr="00DA3BC7">
        <w:rPr>
          <w:rFonts w:hint="eastAsia"/>
          <w:b/>
        </w:rPr>
        <w:t>觀察因緣所生，實並不能徹底的破除自性見</w:t>
      </w:r>
      <w:r w:rsidRPr="00DA3BC7">
        <w:rPr>
          <w:rFonts w:hint="eastAsia"/>
        </w:rPr>
        <w:t>、得到解脫。</w:t>
      </w:r>
    </w:p>
    <w:p w:rsidR="00AA120F" w:rsidRPr="00DA3BC7" w:rsidRDefault="00387CC6" w:rsidP="00AE3920">
      <w:pPr>
        <w:spacing w:beforeLines="30"/>
        <w:ind w:leftChars="300" w:left="720"/>
        <w:jc w:val="both"/>
        <w:rPr>
          <w:rFonts w:ascii="Times Ext Roman" w:hAnsi="Times Ext Roman" w:cs="Times Ext Roman"/>
          <w:sz w:val="20"/>
          <w:bdr w:val="single" w:sz="4" w:space="0" w:color="auto"/>
        </w:rPr>
      </w:pPr>
      <w:r>
        <w:rPr>
          <w:rFonts w:ascii="Times New Roman" w:hAnsi="Times New Roman" w:cs="Times Ext Roman" w:hint="eastAsia"/>
          <w:b/>
          <w:color w:val="FF0000"/>
          <w:sz w:val="20"/>
          <w:highlight w:val="yellow"/>
          <w:bdr w:val="single" w:sz="4" w:space="0" w:color="auto"/>
        </w:rPr>
        <w:lastRenderedPageBreak/>
        <w:t>B</w:t>
      </w:r>
      <w:r>
        <w:rPr>
          <w:rFonts w:ascii="Times New Roman" w:hAnsi="Times New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難後二含義</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187</w:t>
      </w:r>
      <w:r w:rsidR="00AA120F" w:rsidRPr="00DA3BC7">
        <w:rPr>
          <w:rFonts w:ascii="Times Ext Roman" w:hAnsi="Times Ext Roman" w:cs="Times Ext Roman" w:hint="eastAsia"/>
          <w:sz w:val="20"/>
        </w:rPr>
        <w:t>）</w:t>
      </w:r>
    </w:p>
    <w:p w:rsidR="00AA120F" w:rsidRPr="00DA3BC7" w:rsidRDefault="00AA120F" w:rsidP="00E45051">
      <w:pPr>
        <w:ind w:leftChars="300" w:left="720"/>
        <w:jc w:val="both"/>
      </w:pPr>
      <w:r w:rsidRPr="00DA3BC7">
        <w:rPr>
          <w:rFonts w:hint="eastAsia"/>
        </w:rPr>
        <w:t>「</w:t>
      </w:r>
      <w:r w:rsidRPr="00DA3BC7">
        <w:rPr>
          <w:rFonts w:ascii="標楷體" w:eastAsia="標楷體" w:hAnsi="標楷體" w:hint="eastAsia"/>
        </w:rPr>
        <w:t>不待他立</w:t>
      </w:r>
      <w:r w:rsidRPr="00DA3BC7">
        <w:rPr>
          <w:rFonts w:hint="eastAsia"/>
        </w:rPr>
        <w:t>」，即不待因緣生，這也是小乘各派所同說的，故此義亦不夠。</w:t>
      </w:r>
    </w:p>
    <w:p w:rsidR="00AA120F" w:rsidRPr="00DA3BC7" w:rsidRDefault="00AA120F" w:rsidP="00AE3920">
      <w:pPr>
        <w:spacing w:beforeLines="20"/>
        <w:ind w:leftChars="300" w:left="720"/>
        <w:jc w:val="both"/>
      </w:pPr>
      <w:r w:rsidRPr="00DA3BC7">
        <w:rPr>
          <w:rFonts w:ascii="標楷體" w:eastAsia="標楷體" w:hAnsi="標楷體" w:hint="eastAsia"/>
        </w:rPr>
        <w:t>不待他</w:t>
      </w:r>
      <w:r w:rsidRPr="00DA3BC7">
        <w:rPr>
          <w:rFonts w:hint="eastAsia"/>
        </w:rPr>
        <w:t>，即</w:t>
      </w:r>
      <w:r w:rsidRPr="00DA3BC7">
        <w:rPr>
          <w:rFonts w:hint="eastAsia"/>
          <w:b/>
        </w:rPr>
        <w:t>獨立性</w:t>
      </w:r>
      <w:r w:rsidRPr="00DA3BC7">
        <w:rPr>
          <w:rFonts w:hint="eastAsia"/>
        </w:rPr>
        <w:t>；</w:t>
      </w:r>
    </w:p>
    <w:p w:rsidR="00AA120F" w:rsidRPr="00DA3BC7" w:rsidRDefault="00AA120F" w:rsidP="00E45051">
      <w:pPr>
        <w:ind w:leftChars="300" w:left="720"/>
        <w:jc w:val="both"/>
      </w:pPr>
      <w:r w:rsidRPr="00DA3BC7">
        <w:rPr>
          <w:rFonts w:ascii="標楷體" w:eastAsia="標楷體" w:hAnsi="標楷體" w:hint="eastAsia"/>
        </w:rPr>
        <w:t>時位不變</w:t>
      </w:r>
      <w:r w:rsidRPr="00DA3BC7">
        <w:rPr>
          <w:rFonts w:hint="eastAsia"/>
        </w:rPr>
        <w:t>，即</w:t>
      </w:r>
      <w:r w:rsidRPr="00DA3BC7">
        <w:rPr>
          <w:rFonts w:hint="eastAsia"/>
          <w:b/>
        </w:rPr>
        <w:t>常住性</w:t>
      </w:r>
      <w:r w:rsidRPr="00DA3BC7">
        <w:rPr>
          <w:rFonts w:hint="eastAsia"/>
        </w:rPr>
        <w:t>。</w:t>
      </w:r>
    </w:p>
    <w:p w:rsidR="00AA120F" w:rsidRPr="00DA3BC7" w:rsidRDefault="00AA120F" w:rsidP="00AE3920">
      <w:pPr>
        <w:spacing w:beforeLines="20"/>
        <w:ind w:leftChars="300" w:left="720"/>
        <w:jc w:val="both"/>
      </w:pPr>
      <w:r w:rsidRPr="00DA3BC7">
        <w:rPr>
          <w:rFonts w:hint="eastAsia"/>
        </w:rPr>
        <w:t>常住、獨立，雖是自性的含義，然</w:t>
      </w:r>
      <w:r w:rsidRPr="00DA3BC7">
        <w:rPr>
          <w:rFonts w:hint="eastAsia"/>
          <w:b/>
        </w:rPr>
        <w:t>破除常住、獨立，並不即能通達諸法性空</w:t>
      </w:r>
      <w:r w:rsidRPr="00DA3BC7">
        <w:rPr>
          <w:rFonts w:hint="eastAsia"/>
        </w:rPr>
        <w:t>。如破除了</w:t>
      </w:r>
      <w:r w:rsidRPr="00DA3BC7">
        <w:rPr>
          <w:rFonts w:hint="eastAsia"/>
          <w:b/>
        </w:rPr>
        <w:t>外道</w:t>
      </w:r>
      <w:r w:rsidRPr="00DA3BC7">
        <w:rPr>
          <w:rFonts w:hint="eastAsia"/>
        </w:rPr>
        <w:t>的常我、</w:t>
      </w:r>
      <w:r w:rsidRPr="00DA3BC7">
        <w:rPr>
          <w:rFonts w:hint="eastAsia"/>
          <w:b/>
        </w:rPr>
        <w:t>小乘</w:t>
      </w:r>
      <w:r w:rsidRPr="00DA3BC7">
        <w:rPr>
          <w:rFonts w:hint="eastAsia"/>
        </w:rPr>
        <w:t>的無方極微</w:t>
      </w:r>
      <w:r w:rsidRPr="00DA3BC7">
        <w:rPr>
          <w:rStyle w:val="a6"/>
          <w:rFonts w:ascii="Times New Roman" w:hAnsi="Times New Roman"/>
        </w:rPr>
        <w:footnoteReference w:id="840"/>
      </w:r>
      <w:r w:rsidRPr="00DA3BC7">
        <w:rPr>
          <w:rFonts w:hint="eastAsia"/>
        </w:rPr>
        <w:t>等，不就能悟證法空</w:t>
      </w:r>
      <w:r w:rsidR="001A14D1">
        <w:rPr>
          <w:rFonts w:hint="eastAsia"/>
        </w:rPr>
        <w:t>。</w:t>
      </w:r>
    </w:p>
    <w:p w:rsidR="00387CC6" w:rsidRDefault="00AA120F" w:rsidP="00AE3920">
      <w:pPr>
        <w:spacing w:beforeLines="20"/>
        <w:ind w:leftChars="300" w:left="720"/>
        <w:jc w:val="both"/>
      </w:pPr>
      <w:r w:rsidRPr="00DA3BC7">
        <w:rPr>
          <w:rFonts w:hint="eastAsia"/>
        </w:rPr>
        <w:t>這分別妄執雖除，然生死的根本──俱生的自性見，並未破除。</w:t>
      </w:r>
    </w:p>
    <w:p w:rsidR="00387CC6" w:rsidRDefault="00387CC6" w:rsidP="00AE3920">
      <w:pPr>
        <w:spacing w:beforeLines="20"/>
        <w:ind w:leftChars="300" w:left="720"/>
        <w:jc w:val="both"/>
        <w:rPr>
          <w:rFonts w:ascii="Times Ext Roman" w:hAnsi="Times Ext Roman" w:cs="Times Ext Roman"/>
          <w:sz w:val="20"/>
        </w:rPr>
      </w:pPr>
      <w:r w:rsidRPr="00387CC6">
        <w:rPr>
          <w:rFonts w:ascii="Times Ext Roman" w:hAnsi="Times Ext Roman" w:cs="Times Ext Roman" w:hint="eastAsia"/>
          <w:b/>
          <w:color w:val="FF0000"/>
          <w:sz w:val="20"/>
          <w:highlight w:val="yellow"/>
          <w:bdr w:val="single" w:sz="4" w:space="0" w:color="auto"/>
        </w:rPr>
        <w:t>C</w:t>
      </w:r>
      <w:r w:rsidRPr="00387CC6">
        <w:rPr>
          <w:rFonts w:ascii="Times Ext Roman" w:hAnsi="Times Ext Roman" w:cs="Times Ext Roman" w:hint="eastAsia"/>
          <w:b/>
          <w:color w:val="FF0000"/>
          <w:sz w:val="20"/>
          <w:highlight w:val="yellow"/>
          <w:bdr w:val="single" w:sz="4" w:space="0" w:color="auto"/>
        </w:rPr>
        <w:t>、結成</w:t>
      </w:r>
      <w:r w:rsidRPr="00DA3BC7">
        <w:rPr>
          <w:rFonts w:ascii="Times Ext Roman" w:hAnsi="Times Ext Roman" w:cs="Times Ext Roman" w:hint="eastAsia"/>
          <w:sz w:val="20"/>
        </w:rPr>
        <w:t>（</w:t>
      </w:r>
      <w:r w:rsidRPr="00DA3BC7">
        <w:rPr>
          <w:rFonts w:ascii="Times New Roman" w:hAnsi="Times New Roman" w:cs="Times Ext Roman" w:hint="eastAsia"/>
          <w:sz w:val="20"/>
        </w:rPr>
        <w:t>pp</w:t>
      </w:r>
      <w:r w:rsidRPr="00DA3BC7">
        <w:rPr>
          <w:rFonts w:ascii="Times Ext Roman" w:hAnsi="Times Ext Roman" w:cs="Times Ext Roman" w:hint="eastAsia"/>
          <w:sz w:val="20"/>
        </w:rPr>
        <w:t>.</w:t>
      </w:r>
      <w:r w:rsidRPr="00DA3BC7">
        <w:rPr>
          <w:rFonts w:ascii="Times New Roman" w:hAnsi="Times New Roman" w:cs="Times Ext Roman" w:hint="eastAsia"/>
          <w:sz w:val="20"/>
        </w:rPr>
        <w:t>187</w:t>
      </w:r>
      <w:r w:rsidRPr="00DA3BC7">
        <w:rPr>
          <w:rFonts w:ascii="Times Ext Roman" w:hAnsi="Times Ext Roman" w:cs="Times Ext Roman" w:hint="eastAsia"/>
          <w:sz w:val="20"/>
        </w:rPr>
        <w:t>-</w:t>
      </w:r>
      <w:r w:rsidRPr="00DA3BC7">
        <w:rPr>
          <w:rFonts w:ascii="Times New Roman" w:hAnsi="Times New Roman" w:cs="Times Ext Roman" w:hint="eastAsia"/>
          <w:sz w:val="20"/>
        </w:rPr>
        <w:t>189</w:t>
      </w:r>
      <w:r w:rsidRPr="00DA3BC7">
        <w:rPr>
          <w:rFonts w:ascii="Times Ext Roman" w:hAnsi="Times Ext Roman" w:cs="Times Ext Roman" w:hint="eastAsia"/>
          <w:sz w:val="20"/>
        </w:rPr>
        <w:t>）</w:t>
      </w:r>
    </w:p>
    <w:p w:rsidR="00AA120F" w:rsidRPr="00DA3BC7" w:rsidRDefault="00AA120F" w:rsidP="00E45051">
      <w:pPr>
        <w:ind w:leftChars="300" w:left="720"/>
        <w:jc w:val="both"/>
      </w:pPr>
      <w:r w:rsidRPr="00DA3BC7">
        <w:rPr>
          <w:rFonts w:hint="eastAsia"/>
        </w:rPr>
        <w:t>這樣，宗喀巴以此為不及。</w:t>
      </w:r>
    </w:p>
    <w:p w:rsidR="00AA120F" w:rsidRPr="00DA3BC7" w:rsidRDefault="00AA120F" w:rsidP="00AE3920">
      <w:pPr>
        <w:spacing w:beforeLines="30"/>
        <w:ind w:leftChars="250" w:left="600"/>
        <w:jc w:val="both"/>
        <w:rPr>
          <w:rFonts w:ascii="Times Ext Roman" w:hAnsi="Times Ext Roman" w:cs="Times Ext Roman"/>
          <w:sz w:val="20"/>
          <w:bdr w:val="single" w:sz="4" w:space="0" w:color="auto"/>
        </w:rPr>
      </w:pPr>
      <w:r w:rsidRPr="00387CC6">
        <w:rPr>
          <w:rFonts w:ascii="Times Ext Roman" w:hAnsi="Times Ext Roman" w:cs="Times Ext Roman" w:hint="eastAsia"/>
          <w:b/>
          <w:color w:val="FF0000"/>
          <w:sz w:val="20"/>
          <w:highlight w:val="yellow"/>
          <w:bdr w:val="single" w:sz="4" w:space="0" w:color="auto"/>
        </w:rPr>
        <w:t>（</w:t>
      </w:r>
      <w:r w:rsidR="00387CC6" w:rsidRPr="00387CC6">
        <w:rPr>
          <w:rFonts w:ascii="Times Ext Roman" w:hAnsi="Times Ext Roman" w:cs="Times Ext Roman" w:hint="eastAsia"/>
          <w:b/>
          <w:color w:val="FF0000"/>
          <w:sz w:val="20"/>
          <w:highlight w:val="yellow"/>
          <w:bdr w:val="single" w:sz="4" w:space="0" w:color="auto"/>
        </w:rPr>
        <w:t>2</w:t>
      </w:r>
      <w:r w:rsidRPr="00387CC6">
        <w:rPr>
          <w:rFonts w:ascii="Times Ext Roman" w:hAnsi="Times Ext Roman" w:cs="Times Ext Roman" w:hint="eastAsia"/>
          <w:b/>
          <w:color w:val="FF0000"/>
          <w:sz w:val="20"/>
          <w:highlight w:val="yellow"/>
          <w:bdr w:val="single" w:sz="4" w:space="0" w:color="auto"/>
        </w:rPr>
        <w:t>）</w:t>
      </w:r>
      <w:r w:rsidRPr="00DA3BC7">
        <w:rPr>
          <w:rFonts w:ascii="Times Ext Roman" w:hAnsi="Times Ext Roman" w:cs="Times Ext Roman" w:hint="eastAsia"/>
          <w:b/>
          <w:sz w:val="20"/>
          <w:bdr w:val="single" w:sz="4" w:space="0" w:color="auto"/>
        </w:rPr>
        <w:t>印順法師評</w:t>
      </w:r>
      <w:r w:rsidRPr="00DA3BC7">
        <w:rPr>
          <w:rFonts w:ascii="Times Ext Roman" w:hAnsi="Times Ext Roman" w:cs="Times Ext Roman" w:hint="eastAsia"/>
          <w:sz w:val="20"/>
        </w:rPr>
        <w:t>（</w:t>
      </w:r>
      <w:r w:rsidRPr="00DA3BC7">
        <w:rPr>
          <w:rFonts w:ascii="Times New Roman" w:hAnsi="Times New Roman" w:cs="Times Ext Roman" w:hint="eastAsia"/>
          <w:sz w:val="20"/>
        </w:rPr>
        <w:t>pp</w:t>
      </w:r>
      <w:r w:rsidRPr="00DA3BC7">
        <w:rPr>
          <w:rFonts w:ascii="Times Ext Roman" w:hAnsi="Times Ext Roman" w:cs="Times Ext Roman" w:hint="eastAsia"/>
          <w:sz w:val="20"/>
        </w:rPr>
        <w:t>.</w:t>
      </w:r>
      <w:r w:rsidRPr="00DA3BC7">
        <w:rPr>
          <w:rFonts w:ascii="Times New Roman" w:hAnsi="Times New Roman" w:cs="Times Ext Roman" w:hint="eastAsia"/>
          <w:sz w:val="20"/>
        </w:rPr>
        <w:t>187</w:t>
      </w:r>
      <w:r w:rsidRPr="00DA3BC7">
        <w:rPr>
          <w:rFonts w:ascii="Times Ext Roman" w:hAnsi="Times Ext Roman" w:cs="Times Ext Roman" w:hint="eastAsia"/>
          <w:sz w:val="20"/>
        </w:rPr>
        <w:t>-</w:t>
      </w:r>
      <w:r w:rsidRPr="00DA3BC7">
        <w:rPr>
          <w:rFonts w:ascii="Times New Roman" w:hAnsi="Times New Roman" w:cs="Times Ext Roman" w:hint="eastAsia"/>
          <w:sz w:val="20"/>
        </w:rPr>
        <w:t>189</w:t>
      </w:r>
      <w:r w:rsidRPr="00DA3BC7">
        <w:rPr>
          <w:rFonts w:ascii="Times Ext Roman" w:hAnsi="Times Ext Roman" w:cs="Times Ext Roman" w:hint="eastAsia"/>
          <w:sz w:val="20"/>
        </w:rPr>
        <w:t>）</w:t>
      </w:r>
    </w:p>
    <w:p w:rsidR="00AA120F" w:rsidRPr="00DA3BC7" w:rsidRDefault="00387CC6" w:rsidP="00E45051">
      <w:pPr>
        <w:ind w:leftChars="300" w:left="720"/>
        <w:jc w:val="both"/>
        <w:rPr>
          <w:rFonts w:ascii="Times Ext Roman" w:hAnsi="Times Ext Roman" w:cs="Times Ext Roman"/>
          <w:b/>
          <w:sz w:val="20"/>
          <w:bdr w:val="single" w:sz="4" w:space="0" w:color="auto"/>
        </w:rPr>
      </w:pPr>
      <w:r w:rsidRPr="00387CC6">
        <w:rPr>
          <w:rFonts w:ascii="Times New Roman" w:hAnsi="Times New Roman" w:cs="Times Ext Roman" w:hint="eastAsia"/>
          <w:b/>
          <w:color w:val="FF0000"/>
          <w:sz w:val="20"/>
          <w:highlight w:val="yellow"/>
          <w:bdr w:val="single" w:sz="4" w:space="0" w:color="auto"/>
        </w:rPr>
        <w:t>A</w:t>
      </w:r>
      <w:r w:rsidR="00AA120F" w:rsidRPr="00387CC6">
        <w:rPr>
          <w:rFonts w:ascii="Times Ext Roman" w:hAnsi="Times Ext Roman" w:cs="Times Ext Roman" w:hint="eastAsia"/>
          <w:b/>
          <w:color w:val="FF0000"/>
          <w:sz w:val="20"/>
          <w:highlight w:val="yellow"/>
          <w:bdr w:val="single" w:sz="4" w:space="0" w:color="auto"/>
        </w:rPr>
        <w:t>、</w:t>
      </w:r>
      <w:r w:rsidRPr="00387CC6">
        <w:rPr>
          <w:rFonts w:ascii="Times Ext Roman" w:hAnsi="Times Ext Roman" w:cs="Times Ext Roman" w:hint="eastAsia"/>
          <w:b/>
          <w:color w:val="FF0000"/>
          <w:sz w:val="20"/>
          <w:highlight w:val="yellow"/>
          <w:bdr w:val="single" w:sz="4" w:space="0" w:color="auto"/>
        </w:rPr>
        <w:t>明「自性見」的義</w:t>
      </w:r>
      <w:r>
        <w:rPr>
          <w:rFonts w:ascii="Times Ext Roman" w:hAnsi="Times Ext Roman" w:cs="Times Ext Roman" w:hint="eastAsia"/>
          <w:b/>
          <w:color w:val="FF0000"/>
          <w:sz w:val="20"/>
          <w:highlight w:val="yellow"/>
          <w:bdr w:val="single" w:sz="4" w:space="0" w:color="auto"/>
        </w:rPr>
        <w:t>類</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187</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188</w:t>
      </w:r>
      <w:r w:rsidR="00AA120F" w:rsidRPr="00DA3BC7">
        <w:rPr>
          <w:rFonts w:ascii="Times Ext Roman" w:hAnsi="Times Ext Roman" w:cs="Times Ext Roman" w:hint="eastAsia"/>
          <w:sz w:val="20"/>
        </w:rPr>
        <w:t>）</w:t>
      </w:r>
    </w:p>
    <w:p w:rsidR="008244C6" w:rsidRDefault="00AA120F" w:rsidP="00E45051">
      <w:pPr>
        <w:ind w:leftChars="300" w:left="720"/>
        <w:jc w:val="both"/>
      </w:pPr>
      <w:r w:rsidRPr="00DA3BC7">
        <w:rPr>
          <w:rFonts w:hint="eastAsia"/>
        </w:rPr>
        <w:t>此宗自性的三義，與我上面所講的</w:t>
      </w:r>
      <w:r w:rsidRPr="00DA3BC7">
        <w:rPr>
          <w:rFonts w:hint="eastAsia"/>
          <w:b/>
        </w:rPr>
        <w:t>實有、不變、獨存</w:t>
      </w:r>
      <w:r w:rsidRPr="00DA3BC7">
        <w:rPr>
          <w:rFonts w:hint="eastAsia"/>
        </w:rPr>
        <w:t>的自性三義，大體相近。</w:t>
      </w:r>
      <w:r w:rsidRPr="00DA3BC7">
        <w:rPr>
          <w:rStyle w:val="a6"/>
          <w:rFonts w:ascii="Times New Roman" w:hAnsi="Times New Roman"/>
        </w:rPr>
        <w:footnoteReference w:id="841"/>
      </w:r>
    </w:p>
    <w:p w:rsidR="00AA120F" w:rsidRPr="00DA3BC7" w:rsidRDefault="00AA120F" w:rsidP="00E45051">
      <w:pPr>
        <w:ind w:leftChars="300" w:left="720"/>
        <w:jc w:val="both"/>
      </w:pPr>
      <w:r w:rsidRPr="00DA3BC7">
        <w:rPr>
          <w:rFonts w:hint="eastAsia"/>
        </w:rPr>
        <w:t>根本的自性見，即一般認識上所起的，不待推求而直感</w:t>
      </w:r>
      <w:r w:rsidRPr="00DA3BC7">
        <w:rPr>
          <w:rStyle w:val="a6"/>
          <w:rFonts w:ascii="Times New Roman" w:hAnsi="Times New Roman"/>
        </w:rPr>
        <w:footnoteReference w:id="842"/>
      </w:r>
      <w:r w:rsidRPr="00DA3BC7">
        <w:rPr>
          <w:rFonts w:hint="eastAsia"/>
        </w:rPr>
        <w:t>的</w:t>
      </w:r>
      <w:r w:rsidRPr="00DA3BC7">
        <w:rPr>
          <w:rFonts w:hint="eastAsia"/>
          <w:b/>
        </w:rPr>
        <w:t>實有</w:t>
      </w:r>
      <w:r w:rsidRPr="00DA3BC7">
        <w:rPr>
          <w:rFonts w:hint="eastAsia"/>
        </w:rPr>
        <w:t>感，</w:t>
      </w:r>
      <w:r w:rsidRPr="00DA3BC7">
        <w:rPr>
          <w:rFonts w:hint="eastAsia"/>
        </w:rPr>
        <w:lastRenderedPageBreak/>
        <w:t>含攝得</w:t>
      </w:r>
      <w:r w:rsidRPr="00DA3BC7">
        <w:rPr>
          <w:rFonts w:hint="eastAsia"/>
          <w:b/>
        </w:rPr>
        <w:t>不變性、獨存性</w:t>
      </w:r>
      <w:r w:rsidRPr="00DA3BC7">
        <w:rPr>
          <w:rFonts w:hint="eastAsia"/>
        </w:rPr>
        <w:t>。</w:t>
      </w:r>
    </w:p>
    <w:p w:rsidR="00AA120F" w:rsidRPr="00DA3BC7" w:rsidRDefault="00AA120F" w:rsidP="00AE3920">
      <w:pPr>
        <w:spacing w:beforeLines="20"/>
        <w:ind w:leftChars="300" w:left="720"/>
        <w:jc w:val="both"/>
      </w:pPr>
      <w:r w:rsidRPr="00DA3BC7">
        <w:rPr>
          <w:rFonts w:hint="eastAsia"/>
        </w:rPr>
        <w:t>一般所認識的，由於根、識的局限，直觀事物的實在時，不能知</w:t>
      </w:r>
      <w:r w:rsidRPr="00DA3BC7">
        <w:rPr>
          <w:rFonts w:hint="eastAsia"/>
          <w:b/>
        </w:rPr>
        <w:t>時間前後的似續性</w:t>
      </w:r>
      <w:r w:rsidRPr="00DA3BC7">
        <w:rPr>
          <w:rFonts w:hint="eastAsia"/>
        </w:rPr>
        <w:t>（過去與未來）、</w:t>
      </w:r>
      <w:r w:rsidRPr="00DA3BC7">
        <w:rPr>
          <w:rFonts w:hint="eastAsia"/>
          <w:b/>
        </w:rPr>
        <w:t>空間彼此的離合性</w:t>
      </w:r>
      <w:r w:rsidRPr="00DA3BC7">
        <w:rPr>
          <w:rFonts w:hint="eastAsia"/>
        </w:rPr>
        <w:t>，因此引生常住、獨存等錯覺。</w:t>
      </w:r>
    </w:p>
    <w:p w:rsidR="00AA120F" w:rsidRPr="00DA3BC7" w:rsidRDefault="00AA120F" w:rsidP="00AE3920">
      <w:pPr>
        <w:spacing w:beforeLines="20"/>
        <w:ind w:leftChars="300" w:left="720"/>
        <w:jc w:val="both"/>
      </w:pPr>
      <w:r w:rsidRPr="00DA3BC7">
        <w:rPr>
          <w:rFonts w:hint="eastAsia"/>
        </w:rPr>
        <w:t>雖經意識推比而有相當的了解，但每由事物生起的實在感而推論為獨存、不變性（分別執）。所以雖破此分別執的獨存與不變，未必即能破盡自性見。</w:t>
      </w:r>
      <w:r w:rsidRPr="00DA3BC7">
        <w:rPr>
          <w:rStyle w:val="a6"/>
          <w:rFonts w:ascii="Times New Roman" w:hAnsi="Times New Roman"/>
        </w:rPr>
        <w:footnoteReference w:id="843"/>
      </w:r>
    </w:p>
    <w:p w:rsidR="00AA120F" w:rsidRPr="00DA3BC7" w:rsidRDefault="00AA120F" w:rsidP="00AE3920">
      <w:pPr>
        <w:spacing w:beforeLines="20"/>
        <w:ind w:leftChars="300" w:left="720"/>
        <w:jc w:val="both"/>
      </w:pPr>
      <w:r w:rsidRPr="00DA3BC7">
        <w:rPr>
          <w:rFonts w:hint="eastAsia"/>
        </w:rPr>
        <w:t>但</w:t>
      </w:r>
      <w:r w:rsidRPr="00DA3BC7">
        <w:rPr>
          <w:rFonts w:hint="eastAsia"/>
          <w:b/>
        </w:rPr>
        <w:t>若欲了達緣起無自性</w:t>
      </w:r>
      <w:r w:rsidRPr="00DA3BC7">
        <w:rPr>
          <w:rFonts w:hint="eastAsia"/>
        </w:rPr>
        <w:t>，在意識的觀察中，</w:t>
      </w:r>
      <w:r w:rsidRPr="00DA3BC7">
        <w:rPr>
          <w:rFonts w:hint="eastAsia"/>
          <w:b/>
        </w:rPr>
        <w:t>仍需從三方面去觀察</w:t>
      </w:r>
      <w:r w:rsidRPr="00DA3BC7">
        <w:rPr>
          <w:rFonts w:hint="eastAsia"/>
        </w:rPr>
        <w:t>。</w:t>
      </w:r>
      <w:r w:rsidRPr="00DA3BC7">
        <w:rPr>
          <w:rFonts w:hint="eastAsia"/>
          <w:b/>
        </w:rPr>
        <w:t>如觀察到自性的根源──俱生自性見，三者實是不相離的</w:t>
      </w:r>
      <w:r w:rsidRPr="00DA3BC7">
        <w:rPr>
          <w:rFonts w:hint="eastAsia"/>
        </w:rPr>
        <w:t>。</w:t>
      </w:r>
    </w:p>
    <w:p w:rsidR="00AA120F" w:rsidRPr="00DA3BC7" w:rsidRDefault="008244C6" w:rsidP="00AE3920">
      <w:pPr>
        <w:spacing w:beforeLines="30"/>
        <w:ind w:leftChars="300" w:left="720"/>
        <w:jc w:val="both"/>
        <w:rPr>
          <w:rFonts w:ascii="Times Ext Roman" w:hAnsi="Times Ext Roman" w:cs="Times Ext Roman"/>
          <w:sz w:val="20"/>
          <w:bdr w:val="single" w:sz="4" w:space="0" w:color="auto"/>
        </w:rPr>
      </w:pPr>
      <w:r>
        <w:rPr>
          <w:rFonts w:ascii="Times New Roman" w:hAnsi="Times New Roman" w:cs="Times Ext Roman" w:hint="eastAsia"/>
          <w:b/>
          <w:color w:val="FF0000"/>
          <w:sz w:val="20"/>
          <w:highlight w:val="yellow"/>
          <w:bdr w:val="single" w:sz="4" w:space="0" w:color="auto"/>
        </w:rPr>
        <w:t>B</w:t>
      </w:r>
      <w:r w:rsidR="00AA120F" w:rsidRPr="008244C6">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難</w:t>
      </w:r>
      <w:r w:rsidR="00AA120F" w:rsidRPr="00DA3BC7">
        <w:rPr>
          <w:rFonts w:ascii="Times Ext Roman" w:hAnsi="Times Ext Roman" w:cs="Times Ext Roman" w:hint="eastAsia"/>
          <w:b/>
          <w:sz w:val="20"/>
          <w:bdr w:val="single" w:sz="4" w:space="0" w:color="auto"/>
        </w:rPr>
        <w:t>宗喀巴</w:t>
      </w:r>
      <w:r>
        <w:rPr>
          <w:rFonts w:ascii="Times Ext Roman" w:hAnsi="Times Ext Roman" w:cs="Times Ext Roman" w:hint="eastAsia"/>
          <w:b/>
          <w:color w:val="FF0000"/>
          <w:sz w:val="20"/>
          <w:highlight w:val="yellow"/>
          <w:bdr w:val="single" w:sz="4" w:space="0" w:color="auto"/>
        </w:rPr>
        <w:t>之過非</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188</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189</w:t>
      </w:r>
      <w:r w:rsidR="00AA120F" w:rsidRPr="00DA3BC7">
        <w:rPr>
          <w:rFonts w:ascii="Times Ext Roman" w:hAnsi="Times Ext Roman" w:cs="Times Ext Roman" w:hint="eastAsia"/>
          <w:sz w:val="20"/>
        </w:rPr>
        <w:t>）</w:t>
      </w:r>
    </w:p>
    <w:p w:rsidR="00AA120F" w:rsidRPr="00DA3BC7" w:rsidRDefault="00AA120F" w:rsidP="00E45051">
      <w:pPr>
        <w:ind w:leftChars="350" w:left="840"/>
        <w:jc w:val="both"/>
        <w:rPr>
          <w:rFonts w:ascii="Times Ext Roman" w:hAnsi="Times Ext Roman" w:cs="Times Ext Roman"/>
          <w:sz w:val="20"/>
          <w:bdr w:val="single" w:sz="4" w:space="0" w:color="auto"/>
        </w:rPr>
      </w:pPr>
      <w:r w:rsidRPr="008244C6">
        <w:rPr>
          <w:rFonts w:ascii="Times Ext Roman" w:hAnsi="Times Ext Roman" w:cs="Times Ext Roman" w:hint="eastAsia"/>
          <w:b/>
          <w:color w:val="FF0000"/>
          <w:sz w:val="20"/>
          <w:highlight w:val="yellow"/>
          <w:bdr w:val="single" w:sz="4" w:space="0" w:color="auto"/>
        </w:rPr>
        <w:t>（</w:t>
      </w:r>
      <w:r w:rsidR="008244C6" w:rsidRPr="008244C6">
        <w:rPr>
          <w:rFonts w:ascii="Times New Roman" w:hAnsi="Times New Roman" w:cs="Times Ext Roman" w:hint="eastAsia"/>
          <w:b/>
          <w:color w:val="FF0000"/>
          <w:sz w:val="20"/>
          <w:highlight w:val="yellow"/>
          <w:bdr w:val="single" w:sz="4" w:space="0" w:color="auto"/>
        </w:rPr>
        <w:t>A</w:t>
      </w:r>
      <w:r w:rsidRPr="008244C6">
        <w:rPr>
          <w:rFonts w:ascii="Times Ext Roman" w:hAnsi="Times Ext Roman" w:cs="Times Ext Roman" w:hint="eastAsia"/>
          <w:b/>
          <w:color w:val="FF0000"/>
          <w:sz w:val="20"/>
          <w:highlight w:val="yellow"/>
          <w:bdr w:val="single" w:sz="4" w:space="0" w:color="auto"/>
        </w:rPr>
        <w:t>）</w:t>
      </w:r>
      <w:r w:rsidR="008244C6" w:rsidRPr="008244C6">
        <w:rPr>
          <w:rFonts w:ascii="Times Ext Roman" w:hAnsi="Times Ext Roman" w:cs="Times Ext Roman" w:hint="eastAsia"/>
          <w:b/>
          <w:color w:val="FF0000"/>
          <w:sz w:val="20"/>
          <w:highlight w:val="yellow"/>
          <w:bdr w:val="single" w:sz="4" w:space="0" w:color="auto"/>
        </w:rPr>
        <w:t>總明</w:t>
      </w:r>
      <w:r w:rsidRPr="00DA3BC7">
        <w:rPr>
          <w:rFonts w:ascii="Times Ext Roman" w:hAnsi="Times Ext Roman" w:cs="Times Ext Roman" w:hint="eastAsia"/>
          <w:sz w:val="20"/>
        </w:rPr>
        <w:t>（</w:t>
      </w:r>
      <w:r w:rsidRPr="00DA3BC7">
        <w:rPr>
          <w:rFonts w:ascii="Times New Roman" w:hAnsi="Times New Roman" w:cs="Times Ext Roman" w:hint="eastAsia"/>
          <w:sz w:val="20"/>
        </w:rPr>
        <w:t>p</w:t>
      </w:r>
      <w:r w:rsidRPr="00DA3BC7">
        <w:rPr>
          <w:rFonts w:ascii="Times Ext Roman" w:hAnsi="Times Ext Roman" w:cs="Times Ext Roman" w:hint="eastAsia"/>
          <w:sz w:val="20"/>
        </w:rPr>
        <w:t>.</w:t>
      </w:r>
      <w:r w:rsidRPr="00DA3BC7">
        <w:rPr>
          <w:rFonts w:ascii="Times New Roman" w:hAnsi="Times New Roman" w:cs="Times Ext Roman" w:hint="eastAsia"/>
          <w:sz w:val="20"/>
        </w:rPr>
        <w:t>188</w:t>
      </w:r>
      <w:r w:rsidRPr="00DA3BC7">
        <w:rPr>
          <w:rFonts w:ascii="Times Ext Roman" w:hAnsi="Times Ext Roman" w:cs="Times Ext Roman" w:hint="eastAsia"/>
          <w:sz w:val="20"/>
        </w:rPr>
        <w:t>）</w:t>
      </w:r>
    </w:p>
    <w:p w:rsidR="008244C6" w:rsidRDefault="00AA120F" w:rsidP="00E45051">
      <w:pPr>
        <w:ind w:leftChars="350" w:left="840"/>
        <w:jc w:val="both"/>
      </w:pPr>
      <w:r w:rsidRPr="00DA3BC7">
        <w:rPr>
          <w:rFonts w:hint="eastAsia"/>
        </w:rPr>
        <w:t>這裡有需要考慮的，即</w:t>
      </w:r>
      <w:r w:rsidRPr="00475820">
        <w:rPr>
          <w:rFonts w:hint="eastAsia"/>
          <w:b/>
          <w:u w:val="wave" w:color="C00000"/>
        </w:rPr>
        <w:t>有自性者不是因緣生，因緣生者即無自性</w:t>
      </w:r>
      <w:r w:rsidR="00475820">
        <w:rPr>
          <w:rFonts w:hint="eastAsia"/>
          <w:color w:val="FF0000"/>
          <w:highlight w:val="yellow"/>
        </w:rPr>
        <w:t>。</w:t>
      </w:r>
      <w:r w:rsidRPr="00DA3BC7">
        <w:rPr>
          <w:rFonts w:hint="eastAsia"/>
        </w:rPr>
        <w:t>龍樹論中處處在說明，以</w:t>
      </w:r>
      <w:r w:rsidRPr="00475820">
        <w:rPr>
          <w:rFonts w:hint="eastAsia"/>
          <w:b/>
          <w:u w:val="wave" w:color="C00000"/>
        </w:rPr>
        <w:t>緣起</w:t>
      </w:r>
      <w:r w:rsidRPr="00DA3BC7">
        <w:rPr>
          <w:rFonts w:hint="eastAsia"/>
        </w:rPr>
        <w:t>為破除自性見的唯一理由。</w:t>
      </w:r>
      <w:r w:rsidRPr="00DA3BC7">
        <w:rPr>
          <w:rStyle w:val="a6"/>
          <w:rFonts w:ascii="Times New Roman" w:hAnsi="Times New Roman"/>
        </w:rPr>
        <w:footnoteReference w:id="844"/>
      </w:r>
    </w:p>
    <w:p w:rsidR="00AA120F" w:rsidRPr="00DA3BC7" w:rsidRDefault="008244C6" w:rsidP="00E45051">
      <w:pPr>
        <w:ind w:leftChars="350" w:left="840"/>
        <w:jc w:val="both"/>
        <w:rPr>
          <w:b/>
        </w:rPr>
      </w:pPr>
      <w:r w:rsidRPr="008244C6">
        <w:rPr>
          <w:rFonts w:hint="eastAsia"/>
          <w:b/>
          <w:highlight w:val="yellow"/>
        </w:rPr>
        <w:t>今</w:t>
      </w:r>
      <w:r w:rsidR="00AA120F" w:rsidRPr="00DA3BC7">
        <w:rPr>
          <w:rFonts w:hint="eastAsia"/>
          <w:b/>
        </w:rPr>
        <w:t>此派說</w:t>
      </w:r>
      <w:r w:rsidR="00AA120F" w:rsidRPr="00475820">
        <w:rPr>
          <w:rFonts w:hint="eastAsia"/>
          <w:b/>
          <w:u w:val="wave" w:color="C00000"/>
        </w:rPr>
        <w:t>自性為非因緣生</w:t>
      </w:r>
      <w:r w:rsidR="00AA120F" w:rsidRPr="00DA3BC7">
        <w:rPr>
          <w:rFonts w:hint="eastAsia"/>
          <w:b/>
        </w:rPr>
        <w:t>，宗喀巴以為不及，這顯然是不對的！</w:t>
      </w:r>
    </w:p>
    <w:p w:rsidR="00AA120F" w:rsidRPr="00DA3BC7" w:rsidRDefault="00AA120F" w:rsidP="00AE3920">
      <w:pPr>
        <w:spacing w:beforeLines="30"/>
        <w:ind w:leftChars="350" w:left="840"/>
        <w:jc w:val="both"/>
        <w:rPr>
          <w:rFonts w:ascii="Times Ext Roman" w:hAnsi="Times Ext Roman" w:cs="Times Ext Roman"/>
          <w:sz w:val="20"/>
          <w:bdr w:val="single" w:sz="4" w:space="0" w:color="auto"/>
        </w:rPr>
      </w:pPr>
      <w:r w:rsidRPr="008244C6">
        <w:rPr>
          <w:rFonts w:ascii="Times Ext Roman" w:hAnsi="Times Ext Roman" w:cs="Times Ext Roman" w:hint="eastAsia"/>
          <w:b/>
          <w:color w:val="FF0000"/>
          <w:sz w:val="20"/>
          <w:highlight w:val="yellow"/>
          <w:bdr w:val="single" w:sz="4" w:space="0" w:color="auto"/>
        </w:rPr>
        <w:lastRenderedPageBreak/>
        <w:t>（</w:t>
      </w:r>
      <w:r w:rsidR="008244C6" w:rsidRPr="008244C6">
        <w:rPr>
          <w:rFonts w:ascii="Times New Roman" w:hAnsi="Times New Roman" w:cs="Times Ext Roman" w:hint="eastAsia"/>
          <w:b/>
          <w:color w:val="FF0000"/>
          <w:sz w:val="20"/>
          <w:highlight w:val="yellow"/>
          <w:bdr w:val="single" w:sz="4" w:space="0" w:color="auto"/>
        </w:rPr>
        <w:t>B</w:t>
      </w:r>
      <w:r w:rsidRPr="008244C6">
        <w:rPr>
          <w:rFonts w:ascii="Times Ext Roman" w:hAnsi="Times Ext Roman" w:cs="Times Ext Roman" w:hint="eastAsia"/>
          <w:b/>
          <w:color w:val="FF0000"/>
          <w:sz w:val="20"/>
          <w:highlight w:val="yellow"/>
          <w:bdr w:val="single" w:sz="4" w:space="0" w:color="auto"/>
        </w:rPr>
        <w:t>）</w:t>
      </w:r>
      <w:r w:rsidR="008244C6">
        <w:rPr>
          <w:rFonts w:ascii="Times Ext Roman" w:hAnsi="Times Ext Roman" w:cs="Times Ext Roman" w:hint="eastAsia"/>
          <w:b/>
          <w:color w:val="FF0000"/>
          <w:sz w:val="20"/>
          <w:highlight w:val="yellow"/>
          <w:bdr w:val="single" w:sz="4" w:space="0" w:color="auto"/>
        </w:rPr>
        <w:t>別釋</w:t>
      </w:r>
      <w:r w:rsidRPr="00DA3BC7">
        <w:rPr>
          <w:rFonts w:ascii="Times Ext Roman" w:hAnsi="Times Ext Roman" w:cs="Times Ext Roman" w:hint="eastAsia"/>
          <w:sz w:val="20"/>
        </w:rPr>
        <w:t>（</w:t>
      </w:r>
      <w:r w:rsidRPr="00DA3BC7">
        <w:rPr>
          <w:rFonts w:ascii="Times New Roman" w:hAnsi="Times New Roman" w:cs="Times Ext Roman" w:hint="eastAsia"/>
          <w:sz w:val="20"/>
        </w:rPr>
        <w:t>p</w:t>
      </w:r>
      <w:r w:rsidRPr="00DA3BC7">
        <w:rPr>
          <w:rFonts w:ascii="Times Ext Roman" w:hAnsi="Times Ext Roman" w:cs="Times Ext Roman" w:hint="eastAsia"/>
          <w:sz w:val="20"/>
        </w:rPr>
        <w:t>.</w:t>
      </w:r>
      <w:r w:rsidRPr="00DA3BC7">
        <w:rPr>
          <w:rFonts w:ascii="Times New Roman" w:hAnsi="Times New Roman" w:cs="Times Ext Roman" w:hint="eastAsia"/>
          <w:sz w:val="20"/>
        </w:rPr>
        <w:t>188</w:t>
      </w:r>
      <w:r w:rsidRPr="00DA3BC7">
        <w:rPr>
          <w:rFonts w:ascii="Times Ext Roman" w:hAnsi="Times Ext Roman" w:cs="Times Ext Roman" w:hint="eastAsia"/>
          <w:sz w:val="20"/>
        </w:rPr>
        <w:t>）</w:t>
      </w:r>
    </w:p>
    <w:p w:rsidR="00AA120F" w:rsidRPr="00DA3BC7" w:rsidRDefault="00AA120F" w:rsidP="00E45051">
      <w:pPr>
        <w:ind w:leftChars="350" w:left="840"/>
        <w:jc w:val="both"/>
      </w:pPr>
      <w:r w:rsidRPr="00DA3BC7">
        <w:rPr>
          <w:rFonts w:hint="eastAsia"/>
        </w:rPr>
        <w:t>如未能圓滿通達因緣生義，那只能說他所通達的不圓滿，不能正見緣起的真義（如有部等雖也會說因緣生，而於內容不能徹底了解），故仍執諸法有自性；</w:t>
      </w:r>
      <w:r w:rsidRPr="008244C6">
        <w:rPr>
          <w:rFonts w:hint="eastAsia"/>
          <w:b/>
        </w:rPr>
        <w:t>決</w:t>
      </w:r>
      <w:r w:rsidRPr="00DA3BC7">
        <w:rPr>
          <w:rFonts w:hint="eastAsia"/>
          <w:b/>
        </w:rPr>
        <w:t>不能說</w:t>
      </w:r>
      <w:r w:rsidRPr="00DA3BC7">
        <w:rPr>
          <w:rFonts w:hint="eastAsia"/>
        </w:rPr>
        <w:t>觀察緣起不能破除自性、</w:t>
      </w:r>
      <w:r w:rsidR="008244C6">
        <w:rPr>
          <w:rFonts w:hint="eastAsia"/>
        </w:rPr>
        <w:t>「</w:t>
      </w:r>
      <w:r w:rsidRPr="00DA3BC7">
        <w:rPr>
          <w:rFonts w:hint="eastAsia"/>
        </w:rPr>
        <w:t>非因緣生</w:t>
      </w:r>
      <w:r w:rsidR="008244C6">
        <w:rPr>
          <w:rFonts w:hint="eastAsia"/>
        </w:rPr>
        <w:t>」</w:t>
      </w:r>
      <w:r w:rsidRPr="00DA3BC7">
        <w:rPr>
          <w:rFonts w:hint="eastAsia"/>
        </w:rPr>
        <w:t>不足以攝盡自性的全體。</w:t>
      </w:r>
    </w:p>
    <w:p w:rsidR="00AA120F" w:rsidRPr="00DA3BC7" w:rsidRDefault="00AA120F" w:rsidP="00AE3920">
      <w:pPr>
        <w:spacing w:beforeLines="20"/>
        <w:ind w:leftChars="350" w:left="840"/>
        <w:jc w:val="both"/>
      </w:pPr>
      <w:r w:rsidRPr="00DA3BC7">
        <w:rPr>
          <w:rFonts w:hint="eastAsia"/>
        </w:rPr>
        <w:t>佛陀說法，不但有名，也還有義。</w:t>
      </w:r>
      <w:r w:rsidRPr="00DA3BC7">
        <w:rPr>
          <w:rStyle w:val="a6"/>
          <w:rFonts w:ascii="Times New Roman" w:hAnsi="Times New Roman"/>
        </w:rPr>
        <w:footnoteReference w:id="845"/>
      </w:r>
      <w:r w:rsidRPr="00DA3BC7">
        <w:rPr>
          <w:rFonts w:hint="eastAsia"/>
        </w:rPr>
        <w:t>小乘各部學者，不能把握因緣生法的深義，故雖標緣起之名，但仍執有自性，不能適如其量的破除自性。這</w:t>
      </w:r>
      <w:r w:rsidRPr="00DA3BC7">
        <w:rPr>
          <w:rFonts w:hint="eastAsia"/>
          <w:b/>
        </w:rPr>
        <w:t>僅能說對於緣起的理解還不夠，不能說緣起不能破除自性的一切</w:t>
      </w:r>
      <w:r w:rsidRPr="00DA3BC7">
        <w:rPr>
          <w:rFonts w:hint="eastAsia"/>
        </w:rPr>
        <w:t>。</w:t>
      </w:r>
    </w:p>
    <w:p w:rsidR="00AA120F" w:rsidRPr="00DA3BC7" w:rsidRDefault="00AA120F" w:rsidP="00AE3920">
      <w:pPr>
        <w:spacing w:beforeLines="20"/>
        <w:ind w:leftChars="350" w:left="840"/>
        <w:jc w:val="both"/>
      </w:pPr>
      <w:r w:rsidRPr="00DA3BC7">
        <w:rPr>
          <w:rFonts w:hint="eastAsia"/>
        </w:rPr>
        <w:t>破除自性，唯有如實了解因緣所生；非因緣所生者，即是實在的、獨存的、不變的。俱生的、分別的，法執的、我執的，可以有種種，而非因緣生是同一的。</w:t>
      </w:r>
    </w:p>
    <w:p w:rsidR="008244C6" w:rsidRPr="00DA3BC7" w:rsidRDefault="008244C6" w:rsidP="00AE3920">
      <w:pPr>
        <w:spacing w:beforeLines="30"/>
        <w:ind w:leftChars="350" w:left="840"/>
        <w:jc w:val="both"/>
        <w:rPr>
          <w:rFonts w:ascii="Times Ext Roman" w:hAnsi="Times Ext Roman" w:cs="Times Ext Roman"/>
          <w:sz w:val="20"/>
          <w:bdr w:val="single" w:sz="4" w:space="0" w:color="auto"/>
        </w:rPr>
      </w:pPr>
      <w:r w:rsidRPr="008244C6">
        <w:rPr>
          <w:rFonts w:ascii="Times Ext Roman" w:hAnsi="Times Ext Roman" w:cs="Times Ext Roman" w:hint="eastAsia"/>
          <w:b/>
          <w:color w:val="FF0000"/>
          <w:sz w:val="20"/>
          <w:highlight w:val="yellow"/>
          <w:bdr w:val="single" w:sz="4" w:space="0" w:color="auto"/>
        </w:rPr>
        <w:t>（</w:t>
      </w:r>
      <w:r>
        <w:rPr>
          <w:rFonts w:ascii="Times New Roman" w:hAnsi="Times New Roman" w:cs="Times Ext Roman" w:hint="eastAsia"/>
          <w:b/>
          <w:color w:val="FF0000"/>
          <w:sz w:val="20"/>
          <w:highlight w:val="yellow"/>
          <w:bdr w:val="single" w:sz="4" w:space="0" w:color="auto"/>
        </w:rPr>
        <w:t>C</w:t>
      </w:r>
      <w:r w:rsidRPr="008244C6">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反詰</w:t>
      </w:r>
      <w:r w:rsidRPr="00DA3BC7">
        <w:rPr>
          <w:rFonts w:ascii="Times Ext Roman" w:hAnsi="Times Ext Roman" w:cs="Times Ext Roman" w:hint="eastAsia"/>
          <w:sz w:val="20"/>
        </w:rPr>
        <w:t>（</w:t>
      </w:r>
      <w:r w:rsidRPr="00DA3BC7">
        <w:rPr>
          <w:rFonts w:ascii="Times New Roman" w:hAnsi="Times New Roman" w:cs="Times Ext Roman" w:hint="eastAsia"/>
          <w:sz w:val="20"/>
        </w:rPr>
        <w:t>p</w:t>
      </w:r>
      <w:r w:rsidRPr="00DA3BC7">
        <w:rPr>
          <w:rFonts w:ascii="Times Ext Roman" w:hAnsi="Times Ext Roman" w:cs="Times Ext Roman" w:hint="eastAsia"/>
          <w:sz w:val="20"/>
        </w:rPr>
        <w:t>.</w:t>
      </w:r>
      <w:r w:rsidRPr="00DA3BC7">
        <w:rPr>
          <w:rFonts w:ascii="Times New Roman" w:hAnsi="Times New Roman" w:cs="Times Ext Roman" w:hint="eastAsia"/>
          <w:sz w:val="20"/>
        </w:rPr>
        <w:t>188</w:t>
      </w:r>
      <w:r w:rsidRPr="00DA3BC7">
        <w:rPr>
          <w:rFonts w:ascii="Times Ext Roman" w:hAnsi="Times Ext Roman" w:cs="Times Ext Roman" w:hint="eastAsia"/>
          <w:sz w:val="20"/>
        </w:rPr>
        <w:t>）</w:t>
      </w:r>
    </w:p>
    <w:p w:rsidR="00AA120F" w:rsidRPr="00DA3BC7" w:rsidRDefault="00AA120F" w:rsidP="00E45051">
      <w:pPr>
        <w:ind w:leftChars="350" w:left="840"/>
        <w:jc w:val="both"/>
      </w:pPr>
      <w:r w:rsidRPr="00DA3BC7">
        <w:rPr>
          <w:rFonts w:hint="eastAsia"/>
        </w:rPr>
        <w:t>如以此為不及，那麼一般學者說性空，如不能盡得性空的真義，性空也難道不能破執見嗎？如某些學者，自以為應成派而不能盡見月稱義，那麼應成派也就該不究竟了！</w:t>
      </w:r>
    </w:p>
    <w:p w:rsidR="00AA120F" w:rsidRPr="00DA3BC7" w:rsidRDefault="00AA120F" w:rsidP="00AE3920">
      <w:pPr>
        <w:spacing w:beforeLines="30"/>
        <w:ind w:leftChars="350" w:left="840"/>
        <w:jc w:val="both"/>
        <w:rPr>
          <w:rFonts w:ascii="Times Ext Roman" w:hAnsi="Times Ext Roman" w:cs="Times Ext Roman"/>
          <w:sz w:val="20"/>
          <w:bdr w:val="single" w:sz="4" w:space="0" w:color="auto"/>
        </w:rPr>
      </w:pPr>
      <w:r w:rsidRPr="008244C6">
        <w:rPr>
          <w:rFonts w:ascii="Times Ext Roman" w:hAnsi="Times Ext Roman" w:cs="Times Ext Roman" w:hint="eastAsia"/>
          <w:b/>
          <w:color w:val="FF0000"/>
          <w:sz w:val="20"/>
          <w:highlight w:val="yellow"/>
          <w:bdr w:val="single" w:sz="4" w:space="0" w:color="auto"/>
        </w:rPr>
        <w:t>（</w:t>
      </w:r>
      <w:r w:rsidR="008244C6">
        <w:rPr>
          <w:rFonts w:ascii="Times New Roman" w:hAnsi="Times New Roman" w:cs="Times Ext Roman" w:hint="eastAsia"/>
          <w:b/>
          <w:color w:val="FF0000"/>
          <w:sz w:val="20"/>
          <w:highlight w:val="yellow"/>
          <w:bdr w:val="single" w:sz="4" w:space="0" w:color="auto"/>
        </w:rPr>
        <w:t>D</w:t>
      </w:r>
      <w:r w:rsidRPr="008244C6">
        <w:rPr>
          <w:rFonts w:ascii="Times Ext Roman" w:hAnsi="Times Ext Roman" w:cs="Times Ext Roman" w:hint="eastAsia"/>
          <w:b/>
          <w:color w:val="FF0000"/>
          <w:sz w:val="20"/>
          <w:highlight w:val="yellow"/>
          <w:bdr w:val="single" w:sz="4" w:space="0" w:color="auto"/>
        </w:rPr>
        <w:t>）</w:t>
      </w:r>
      <w:r w:rsidR="008244C6">
        <w:rPr>
          <w:rFonts w:ascii="Times Ext Roman" w:hAnsi="Times Ext Roman" w:cs="Times Ext Roman" w:hint="eastAsia"/>
          <w:b/>
          <w:color w:val="FF0000"/>
          <w:sz w:val="20"/>
          <w:highlight w:val="yellow"/>
          <w:bdr w:val="single" w:sz="4" w:space="0" w:color="auto"/>
        </w:rPr>
        <w:t>歸結</w:t>
      </w:r>
      <w:r w:rsidRPr="00DA3BC7">
        <w:rPr>
          <w:rFonts w:ascii="Times Ext Roman" w:hAnsi="Times Ext Roman" w:cs="Times Ext Roman" w:hint="eastAsia"/>
          <w:sz w:val="20"/>
        </w:rPr>
        <w:t>（</w:t>
      </w:r>
      <w:r w:rsidRPr="00DA3BC7">
        <w:rPr>
          <w:rFonts w:ascii="Times New Roman" w:hAnsi="Times New Roman" w:cs="Times Ext Roman" w:hint="eastAsia"/>
          <w:sz w:val="20"/>
        </w:rPr>
        <w:t>pp</w:t>
      </w:r>
      <w:r w:rsidRPr="00DA3BC7">
        <w:rPr>
          <w:rFonts w:ascii="Times Ext Roman" w:hAnsi="Times Ext Roman" w:cs="Times Ext Roman" w:hint="eastAsia"/>
          <w:sz w:val="20"/>
        </w:rPr>
        <w:t>.</w:t>
      </w:r>
      <w:r w:rsidRPr="00DA3BC7">
        <w:rPr>
          <w:rFonts w:ascii="Times New Roman" w:hAnsi="Times New Roman" w:cs="Times Ext Roman" w:hint="eastAsia"/>
          <w:sz w:val="20"/>
        </w:rPr>
        <w:t>188</w:t>
      </w:r>
      <w:r w:rsidRPr="00DA3BC7">
        <w:rPr>
          <w:rFonts w:ascii="Times Ext Roman" w:hAnsi="Times Ext Roman" w:cs="Times Ext Roman" w:hint="eastAsia"/>
          <w:sz w:val="20"/>
        </w:rPr>
        <w:t>-</w:t>
      </w:r>
      <w:r w:rsidRPr="00DA3BC7">
        <w:rPr>
          <w:rFonts w:ascii="Times New Roman" w:hAnsi="Times New Roman" w:cs="Times Ext Roman" w:hint="eastAsia"/>
          <w:sz w:val="20"/>
        </w:rPr>
        <w:t>189</w:t>
      </w:r>
      <w:r w:rsidRPr="00DA3BC7">
        <w:rPr>
          <w:rFonts w:ascii="Times Ext Roman" w:hAnsi="Times Ext Roman" w:cs="Times Ext Roman" w:hint="eastAsia"/>
          <w:sz w:val="20"/>
        </w:rPr>
        <w:t>）</w:t>
      </w:r>
    </w:p>
    <w:p w:rsidR="00E45051" w:rsidRDefault="00AA120F" w:rsidP="00E45051">
      <w:pPr>
        <w:ind w:leftChars="350" w:left="840"/>
        <w:jc w:val="both"/>
      </w:pPr>
      <w:r w:rsidRPr="00DA3BC7">
        <w:rPr>
          <w:rFonts w:hint="eastAsia"/>
          <w:b/>
        </w:rPr>
        <w:t>佛說：</w:t>
      </w:r>
      <w:r w:rsidRPr="00475820">
        <w:rPr>
          <w:rFonts w:hint="eastAsia"/>
          <w:b/>
          <w:u w:val="wave" w:color="C00000"/>
        </w:rPr>
        <w:t>因緣生</w:t>
      </w:r>
      <w:r w:rsidRPr="00DA3BC7">
        <w:rPr>
          <w:rFonts w:hint="eastAsia"/>
          <w:b/>
        </w:rPr>
        <w:t>義為</w:t>
      </w:r>
      <w:r w:rsidRPr="00475820">
        <w:rPr>
          <w:rFonts w:hint="eastAsia"/>
          <w:b/>
          <w:u w:val="wave" w:color="C00000"/>
        </w:rPr>
        <w:t>通達無自性</w:t>
      </w:r>
      <w:r w:rsidRPr="00DA3BC7">
        <w:rPr>
          <w:rFonts w:hint="eastAsia"/>
          <w:b/>
        </w:rPr>
        <w:t>的唯一因</w:t>
      </w:r>
      <w:r w:rsidRPr="00DA3BC7">
        <w:rPr>
          <w:rFonts w:hint="eastAsia"/>
        </w:rPr>
        <w:t>。</w:t>
      </w:r>
    </w:p>
    <w:p w:rsidR="008244C6" w:rsidRDefault="00AA120F" w:rsidP="00E45051">
      <w:pPr>
        <w:ind w:leftChars="350" w:left="840"/>
        <w:jc w:val="both"/>
      </w:pPr>
      <w:r w:rsidRPr="00DA3BC7">
        <w:rPr>
          <w:rFonts w:hint="eastAsia"/>
        </w:rPr>
        <w:t>此宗三義，宗喀巴何以判之為不及？</w:t>
      </w:r>
    </w:p>
    <w:p w:rsidR="008244C6" w:rsidRPr="00DA3BC7" w:rsidRDefault="008244C6" w:rsidP="00AE3920">
      <w:pPr>
        <w:spacing w:beforeLines="30"/>
        <w:ind w:leftChars="300" w:left="720"/>
        <w:jc w:val="both"/>
        <w:rPr>
          <w:rFonts w:ascii="Times Ext Roman" w:hAnsi="Times Ext Roman" w:cs="Times Ext Roman"/>
          <w:sz w:val="20"/>
          <w:bdr w:val="single" w:sz="4" w:space="0" w:color="auto"/>
        </w:rPr>
      </w:pPr>
      <w:r>
        <w:rPr>
          <w:rFonts w:ascii="Times New Roman" w:hAnsi="Times New Roman" w:cs="Times Ext Roman" w:hint="eastAsia"/>
          <w:b/>
          <w:color w:val="FF0000"/>
          <w:sz w:val="20"/>
          <w:highlight w:val="yellow"/>
          <w:bdr w:val="single" w:sz="4" w:space="0" w:color="auto"/>
        </w:rPr>
        <w:t>C</w:t>
      </w:r>
      <w:r>
        <w:rPr>
          <w:rFonts w:ascii="Times Ext Roman" w:hAnsi="Times Ext Roman" w:cs="Times Ext Roman" w:hint="eastAsia"/>
          <w:b/>
          <w:color w:val="FF0000"/>
          <w:sz w:val="20"/>
          <w:highlight w:val="yellow"/>
          <w:bdr w:val="single" w:sz="4" w:space="0" w:color="auto"/>
        </w:rPr>
        <w:t>、舉「自續派」為不及者</w:t>
      </w:r>
      <w:r w:rsidRPr="00DA3BC7">
        <w:rPr>
          <w:rFonts w:ascii="Times Ext Roman" w:hAnsi="Times Ext Roman" w:cs="Times Ext Roman" w:hint="eastAsia"/>
          <w:sz w:val="20"/>
        </w:rPr>
        <w:t>（</w:t>
      </w:r>
      <w:r w:rsidRPr="00DA3BC7">
        <w:rPr>
          <w:rFonts w:ascii="Times New Roman" w:hAnsi="Times New Roman" w:cs="Times Ext Roman" w:hint="eastAsia"/>
          <w:sz w:val="20"/>
        </w:rPr>
        <w:t>p</w:t>
      </w:r>
      <w:r w:rsidRPr="00DA3BC7">
        <w:rPr>
          <w:rFonts w:ascii="Times Ext Roman" w:hAnsi="Times Ext Roman" w:cs="Times Ext Roman" w:hint="eastAsia"/>
          <w:sz w:val="20"/>
        </w:rPr>
        <w:t>.</w:t>
      </w:r>
      <w:r w:rsidRPr="00DA3BC7">
        <w:rPr>
          <w:rFonts w:ascii="Times New Roman" w:hAnsi="Times New Roman" w:cs="Times Ext Roman" w:hint="eastAsia"/>
          <w:sz w:val="20"/>
        </w:rPr>
        <w:t>18</w:t>
      </w:r>
      <w:r>
        <w:rPr>
          <w:rFonts w:ascii="Times New Roman" w:hAnsi="Times New Roman" w:cs="Times Ext Roman" w:hint="eastAsia"/>
          <w:sz w:val="20"/>
        </w:rPr>
        <w:t>9</w:t>
      </w:r>
      <w:r w:rsidRPr="00DA3BC7">
        <w:rPr>
          <w:rFonts w:ascii="Times Ext Roman" w:hAnsi="Times Ext Roman" w:cs="Times Ext Roman" w:hint="eastAsia"/>
          <w:sz w:val="20"/>
        </w:rPr>
        <w:t>）</w:t>
      </w:r>
    </w:p>
    <w:p w:rsidR="00AA120F" w:rsidRPr="00DA3BC7" w:rsidRDefault="00AA120F" w:rsidP="00E45051">
      <w:pPr>
        <w:ind w:leftChars="300" w:left="720"/>
        <w:jc w:val="both"/>
      </w:pPr>
      <w:r w:rsidRPr="008244C6">
        <w:rPr>
          <w:rFonts w:hint="eastAsia"/>
          <w:highlight w:val="yellow"/>
        </w:rPr>
        <w:t>依</w:t>
      </w:r>
      <w:r w:rsidRPr="00DA3BC7">
        <w:rPr>
          <w:rFonts w:hint="eastAsia"/>
        </w:rPr>
        <w:t>我看，若說不及，自續派倒可以充數。如清辨論師「</w:t>
      </w:r>
      <w:r w:rsidRPr="00DA3BC7">
        <w:rPr>
          <w:rFonts w:ascii="標楷體" w:eastAsia="標楷體" w:hAnsi="標楷體" w:hint="eastAsia"/>
        </w:rPr>
        <w:t>以勝義諦中一切法空，而世俗諦中許有自相</w:t>
      </w:r>
      <w:r w:rsidRPr="00DA3BC7">
        <w:rPr>
          <w:rFonts w:hint="eastAsia"/>
        </w:rPr>
        <w:t>」</w:t>
      </w:r>
      <w:r w:rsidRPr="00DA3BC7">
        <w:rPr>
          <w:rStyle w:val="a6"/>
          <w:rFonts w:ascii="Times New Roman" w:hAnsi="Times New Roman"/>
        </w:rPr>
        <w:footnoteReference w:id="846"/>
      </w:r>
      <w:r w:rsidRPr="00DA3BC7">
        <w:rPr>
          <w:rFonts w:hint="eastAsia"/>
        </w:rPr>
        <w:t>，即略近中土的不空假名宗</w:t>
      </w:r>
      <w:r w:rsidRPr="00DA3BC7">
        <w:rPr>
          <w:rStyle w:val="a6"/>
          <w:rFonts w:ascii="Times New Roman" w:hAnsi="Times New Roman"/>
        </w:rPr>
        <w:footnoteReference w:id="847"/>
      </w:r>
      <w:r w:rsidRPr="00DA3BC7">
        <w:rPr>
          <w:rFonts w:hint="eastAsia"/>
        </w:rPr>
        <w:t>。承認</w:t>
      </w:r>
      <w:r w:rsidRPr="00DA3BC7">
        <w:rPr>
          <w:rFonts w:hint="eastAsia"/>
        </w:rPr>
        <w:lastRenderedPageBreak/>
        <w:t>因緣所生法有自相，即於空無自性義不甚圓滿，需要更進一步去了解。</w:t>
      </w:r>
    </w:p>
    <w:p w:rsidR="00AA120F" w:rsidRPr="00DA3BC7" w:rsidRDefault="008244C6" w:rsidP="00AE3920">
      <w:pPr>
        <w:spacing w:beforeLines="30"/>
        <w:ind w:leftChars="150" w:left="360"/>
        <w:jc w:val="both"/>
        <w:rPr>
          <w:rFonts w:ascii="Times Ext Roman" w:hAnsi="Times Ext Roman" w:cs="Times Ext Roman"/>
          <w:b/>
          <w:sz w:val="20"/>
          <w:bdr w:val="single" w:sz="4" w:space="0" w:color="auto"/>
        </w:rPr>
      </w:pPr>
      <w:r w:rsidRPr="008244C6">
        <w:rPr>
          <w:rFonts w:ascii="Times Ext Roman" w:hAnsi="Times Ext Roman" w:cs="Times Ext Roman" w:hint="eastAsia"/>
          <w:b/>
          <w:color w:val="FF0000"/>
          <w:sz w:val="20"/>
          <w:highlight w:val="yellow"/>
          <w:bdr w:val="single" w:sz="4" w:space="0" w:color="auto"/>
        </w:rPr>
        <w:t>（</w:t>
      </w:r>
      <w:r w:rsidR="00AA120F" w:rsidRPr="008244C6">
        <w:rPr>
          <w:rFonts w:ascii="Times Ext Roman" w:hAnsi="Times Ext Roman" w:cs="Times Ext Roman" w:hint="eastAsia"/>
          <w:b/>
          <w:color w:val="FF0000"/>
          <w:sz w:val="20"/>
          <w:highlight w:val="yellow"/>
          <w:bdr w:val="single" w:sz="4" w:space="0" w:color="auto"/>
        </w:rPr>
        <w:t>三</w:t>
      </w:r>
      <w:r w:rsidRPr="008244C6">
        <w:rPr>
          <w:rFonts w:ascii="Times Ext Roman" w:hAnsi="Times Ext Roman" w:cs="Times Ext Roman" w:hint="eastAsia"/>
          <w:b/>
          <w:color w:val="FF0000"/>
          <w:sz w:val="20"/>
          <w:highlight w:val="yellow"/>
          <w:bdr w:val="single" w:sz="4" w:space="0" w:color="auto"/>
        </w:rPr>
        <w:t>）</w:t>
      </w:r>
      <w:r w:rsidR="00AA120F" w:rsidRPr="00DA3BC7">
        <w:rPr>
          <w:rFonts w:ascii="Times Ext Roman" w:hAnsi="Times Ext Roman" w:cs="Times Ext Roman" w:hint="eastAsia"/>
          <w:b/>
          <w:sz w:val="20"/>
          <w:bdr w:val="single" w:sz="4" w:space="0" w:color="auto"/>
        </w:rPr>
        <w:t>《廣論》</w:t>
      </w:r>
      <w:r w:rsidRPr="008244C6">
        <w:rPr>
          <w:rFonts w:ascii="Times Ext Roman" w:hAnsi="Times Ext Roman" w:cs="Times Ext Roman" w:hint="eastAsia"/>
          <w:b/>
          <w:color w:val="FF0000"/>
          <w:sz w:val="20"/>
          <w:highlight w:val="yellow"/>
          <w:bdr w:val="single" w:sz="4" w:space="0" w:color="auto"/>
        </w:rPr>
        <w:t>自宗</w:t>
      </w:r>
      <w:r w:rsidR="00AA120F" w:rsidRPr="008244C6">
        <w:rPr>
          <w:rFonts w:ascii="Times Ext Roman" w:hAnsi="Times Ext Roman" w:cs="Times Ext Roman" w:hint="eastAsia"/>
          <w:b/>
          <w:color w:val="FF0000"/>
          <w:sz w:val="20"/>
          <w:highlight w:val="yellow"/>
          <w:bdr w:val="single" w:sz="4" w:space="0" w:color="auto"/>
        </w:rPr>
        <w:t>的</w:t>
      </w:r>
      <w:r w:rsidR="00AA120F" w:rsidRPr="00DA3BC7">
        <w:rPr>
          <w:rFonts w:ascii="Times Ext Roman" w:hAnsi="Times Ext Roman" w:cs="Times Ext Roman" w:hint="eastAsia"/>
          <w:b/>
          <w:sz w:val="20"/>
          <w:bdr w:val="single" w:sz="4" w:space="0" w:color="auto"/>
        </w:rPr>
        <w:t>正見（中道）</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189</w:t>
      </w:r>
      <w:r w:rsidR="00AA120F" w:rsidRPr="00DA3BC7">
        <w:rPr>
          <w:rFonts w:ascii="Times Ext Roman" w:hAnsi="Times Ext Roman" w:cs="Times Ext Roman" w:hint="eastAsia"/>
          <w:sz w:val="20"/>
        </w:rPr>
        <w:t>）</w:t>
      </w:r>
    </w:p>
    <w:p w:rsidR="00AA120F" w:rsidRPr="00DA3BC7" w:rsidRDefault="00AA120F" w:rsidP="00E45051">
      <w:pPr>
        <w:ind w:leftChars="150" w:left="360"/>
        <w:jc w:val="both"/>
      </w:pPr>
      <w:r w:rsidRPr="00DA3BC7">
        <w:rPr>
          <w:rFonts w:hint="eastAsia"/>
        </w:rPr>
        <w:t>《菩提道次第廣論》中於破太過與不及後，提出自宗的正見，即是月稱論師的思想，稱為應成派。應成派以為：緣起法即是空的，空是不破壞緣起的。</w:t>
      </w:r>
    </w:p>
    <w:p w:rsidR="00AA120F" w:rsidRPr="00DA3BC7" w:rsidRDefault="00AA120F" w:rsidP="00AE3920">
      <w:pPr>
        <w:spacing w:beforeLines="20"/>
        <w:ind w:leftChars="150" w:left="360"/>
        <w:jc w:val="both"/>
      </w:pPr>
      <w:r w:rsidRPr="00DA3BC7">
        <w:rPr>
          <w:rFonts w:hint="eastAsia"/>
        </w:rPr>
        <w:t>承認一切法空，即假有法也不承認有自相，與自續派的</w:t>
      </w:r>
      <w:r w:rsidRPr="00DA3BC7">
        <w:rPr>
          <w:rFonts w:hint="eastAsia"/>
          <w:b/>
        </w:rPr>
        <w:t>不及</w:t>
      </w:r>
      <w:r w:rsidRPr="00DA3BC7">
        <w:rPr>
          <w:rFonts w:hint="eastAsia"/>
        </w:rPr>
        <w:t>不同；</w:t>
      </w:r>
    </w:p>
    <w:p w:rsidR="00AA120F" w:rsidRPr="00DA3BC7" w:rsidRDefault="00AA120F" w:rsidP="00AE3920">
      <w:pPr>
        <w:spacing w:beforeLines="20"/>
        <w:ind w:leftChars="150" w:left="360"/>
        <w:jc w:val="both"/>
      </w:pPr>
      <w:r w:rsidRPr="00DA3BC7">
        <w:rPr>
          <w:rFonts w:hint="eastAsia"/>
        </w:rPr>
        <w:t>雖承認一切法空而不許破緣起，故又與</w:t>
      </w:r>
      <w:r w:rsidRPr="00DA3BC7">
        <w:rPr>
          <w:rFonts w:hint="eastAsia"/>
          <w:b/>
        </w:rPr>
        <w:t>太過</w:t>
      </w:r>
      <w:r w:rsidRPr="00DA3BC7">
        <w:rPr>
          <w:rFonts w:hint="eastAsia"/>
        </w:rPr>
        <w:t>派不同。</w:t>
      </w:r>
    </w:p>
    <w:p w:rsidR="00AA120F" w:rsidRPr="00DA3BC7" w:rsidRDefault="008244C6" w:rsidP="00AE3920">
      <w:pPr>
        <w:spacing w:beforeLines="30"/>
        <w:ind w:leftChars="50" w:left="120"/>
        <w:jc w:val="both"/>
        <w:rPr>
          <w:rFonts w:ascii="Times Ext Roman" w:hAnsi="Times Ext Roman" w:cs="Times Ext Roman"/>
          <w:b/>
          <w:sz w:val="20"/>
          <w:bdr w:val="single" w:sz="4" w:space="0" w:color="auto"/>
        </w:rPr>
      </w:pPr>
      <w:r w:rsidRPr="008244C6">
        <w:rPr>
          <w:rFonts w:ascii="Times Ext Roman" w:hAnsi="Times Ext Roman" w:cs="Times Ext Roman"/>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參</w:t>
      </w:r>
      <w:r w:rsidRPr="008244C6">
        <w:rPr>
          <w:rFonts w:ascii="Times Ext Roman" w:hAnsi="Times Ext Roman" w:cs="Times Ext Roman"/>
          <w:b/>
          <w:color w:val="FF0000"/>
          <w:sz w:val="20"/>
          <w:highlight w:val="yellow"/>
          <w:bdr w:val="single" w:sz="4" w:space="0" w:color="auto"/>
        </w:rPr>
        <w:t>）</w:t>
      </w:r>
      <w:r w:rsidR="00AA120F" w:rsidRPr="00DA3BC7">
        <w:rPr>
          <w:rFonts w:ascii="Times Ext Roman" w:hAnsi="Times Ext Roman" w:cs="Times Ext Roman" w:hint="eastAsia"/>
          <w:b/>
          <w:sz w:val="20"/>
          <w:bdr w:val="single" w:sz="4" w:space="0" w:color="auto"/>
        </w:rPr>
        <w:t>印傳的大乘三家</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189</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192</w:t>
      </w:r>
      <w:r w:rsidR="00AA120F" w:rsidRPr="00DA3BC7">
        <w:rPr>
          <w:rFonts w:ascii="Times Ext Roman" w:hAnsi="Times Ext Roman" w:cs="Times Ext Roman" w:hint="eastAsia"/>
          <w:sz w:val="20"/>
        </w:rPr>
        <w:t>）</w:t>
      </w:r>
    </w:p>
    <w:p w:rsidR="00AA120F" w:rsidRPr="00DA3BC7" w:rsidRDefault="008244C6" w:rsidP="00E45051">
      <w:pPr>
        <w:ind w:leftChars="100" w:left="240"/>
        <w:jc w:val="both"/>
        <w:rPr>
          <w:rFonts w:ascii="Times Ext Roman" w:hAnsi="Times Ext Roman" w:cs="Times Ext Roman"/>
          <w:sz w:val="20"/>
          <w:bdr w:val="single" w:sz="4" w:space="0" w:color="auto"/>
        </w:rPr>
      </w:pPr>
      <w:r w:rsidRPr="008244C6">
        <w:rPr>
          <w:rFonts w:ascii="Times Ext Roman" w:hAnsi="Times Ext Roman" w:cs="Times Ext Roman" w:hint="eastAsia"/>
          <w:b/>
          <w:color w:val="FF0000"/>
          <w:sz w:val="20"/>
          <w:highlight w:val="yellow"/>
          <w:bdr w:val="single" w:sz="4" w:space="0" w:color="auto"/>
        </w:rPr>
        <w:t>一、</w:t>
      </w:r>
      <w:r>
        <w:rPr>
          <w:rFonts w:ascii="Times Ext Roman" w:hAnsi="Times Ext Roman" w:cs="Times Ext Roman" w:hint="eastAsia"/>
          <w:b/>
          <w:color w:val="FF0000"/>
          <w:sz w:val="20"/>
          <w:highlight w:val="yellow"/>
          <w:bdr w:val="single" w:sz="4" w:space="0" w:color="auto"/>
        </w:rPr>
        <w:t>舉名</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189</w:t>
      </w:r>
      <w:r w:rsidR="00AA120F" w:rsidRPr="00DA3BC7">
        <w:rPr>
          <w:rFonts w:ascii="Times Ext Roman" w:hAnsi="Times Ext Roman" w:cs="Times Ext Roman" w:hint="eastAsia"/>
          <w:sz w:val="20"/>
        </w:rPr>
        <w:t>）</w:t>
      </w:r>
    </w:p>
    <w:p w:rsidR="00AA120F" w:rsidRPr="00DA3BC7" w:rsidRDefault="00AA120F" w:rsidP="00E45051">
      <w:pPr>
        <w:ind w:leftChars="100" w:left="240"/>
        <w:jc w:val="both"/>
      </w:pPr>
      <w:r w:rsidRPr="00DA3BC7">
        <w:rPr>
          <w:rFonts w:hint="eastAsia"/>
        </w:rPr>
        <w:t>三、印傳之大乘三家：遮太過與不及而顯中道，可作多種說明，現在再略說印度的大乘三家。</w:t>
      </w:r>
    </w:p>
    <w:p w:rsidR="00AA120F" w:rsidRPr="00DA3BC7" w:rsidRDefault="00AA120F" w:rsidP="00AE3920">
      <w:pPr>
        <w:spacing w:beforeLines="20"/>
        <w:ind w:leftChars="100" w:left="240"/>
        <w:jc w:val="both"/>
      </w:pPr>
      <w:r w:rsidRPr="00DA3BC7">
        <w:rPr>
          <w:rFonts w:hint="eastAsia"/>
          <w:b/>
        </w:rPr>
        <w:t>太虛大師</w:t>
      </w:r>
      <w:r w:rsidRPr="00DA3BC7">
        <w:rPr>
          <w:rFonts w:hint="eastAsia"/>
        </w:rPr>
        <w:t>分大乘學為三</w:t>
      </w:r>
      <w:r w:rsidRPr="00DA3BC7">
        <w:rPr>
          <w:rFonts w:hint="eastAsia"/>
          <w:b/>
        </w:rPr>
        <w:t>：（一）法相唯識學，（二）法性空慧學，（三）法界圓覺學</w:t>
      </w:r>
      <w:r w:rsidRPr="00DA3BC7">
        <w:rPr>
          <w:rFonts w:hint="eastAsia"/>
        </w:rPr>
        <w:t>。</w:t>
      </w:r>
    </w:p>
    <w:p w:rsidR="00AA120F" w:rsidRPr="00DA3BC7" w:rsidRDefault="00AA120F" w:rsidP="00AE3920">
      <w:pPr>
        <w:spacing w:beforeLines="20"/>
        <w:ind w:leftChars="100" w:left="240"/>
        <w:jc w:val="both"/>
      </w:pPr>
      <w:r w:rsidRPr="00DA3BC7">
        <w:rPr>
          <w:rFonts w:hint="eastAsia"/>
          <w:b/>
        </w:rPr>
        <w:t>我</w:t>
      </w:r>
      <w:r w:rsidRPr="00DA3BC7">
        <w:rPr>
          <w:rFonts w:hint="eastAsia"/>
        </w:rPr>
        <w:t>在《印度之佛教》裡</w:t>
      </w:r>
      <w:r w:rsidRPr="00DA3BC7">
        <w:rPr>
          <w:rFonts w:hint="eastAsia"/>
          <w:b/>
        </w:rPr>
        <w:t>，</w:t>
      </w:r>
      <w:r w:rsidRPr="00DA3BC7">
        <w:rPr>
          <w:rFonts w:hint="eastAsia"/>
        </w:rPr>
        <w:t>稱之為</w:t>
      </w:r>
      <w:r w:rsidRPr="00DA3BC7">
        <w:rPr>
          <w:rFonts w:hint="eastAsia"/>
          <w:b/>
        </w:rPr>
        <w:t>虛妄唯識系、性空唯名系、真常唯心系</w:t>
      </w:r>
      <w:r w:rsidRPr="00DA3BC7">
        <w:rPr>
          <w:rFonts w:hint="eastAsia"/>
        </w:rPr>
        <w:t>。</w:t>
      </w:r>
    </w:p>
    <w:p w:rsidR="00AA120F" w:rsidRPr="00DA3BC7" w:rsidRDefault="00AA120F" w:rsidP="00AE3920">
      <w:pPr>
        <w:spacing w:beforeLines="20"/>
        <w:ind w:leftChars="100" w:left="240"/>
        <w:jc w:val="both"/>
      </w:pPr>
      <w:r w:rsidRPr="00DA3BC7">
        <w:rPr>
          <w:rFonts w:hint="eastAsia"/>
        </w:rPr>
        <w:t>此大乘三系，可從有空的關係上去分別。</w:t>
      </w:r>
    </w:p>
    <w:p w:rsidR="00AA120F" w:rsidRPr="00DA3BC7" w:rsidRDefault="008244C6" w:rsidP="00AE3920">
      <w:pPr>
        <w:spacing w:beforeLines="30"/>
        <w:ind w:leftChars="100" w:left="240"/>
        <w:jc w:val="both"/>
        <w:rPr>
          <w:rFonts w:ascii="Times Ext Roman" w:hAnsi="Times Ext Roman" w:cs="Times Ext Roman"/>
          <w:sz w:val="20"/>
          <w:bdr w:val="single" w:sz="4" w:space="0" w:color="auto"/>
        </w:rPr>
      </w:pPr>
      <w:r>
        <w:rPr>
          <w:rFonts w:ascii="Times Ext Roman" w:hAnsi="Times Ext Roman" w:cs="Times Ext Roman" w:hint="eastAsia"/>
          <w:b/>
          <w:color w:val="FF0000"/>
          <w:sz w:val="20"/>
          <w:highlight w:val="yellow"/>
          <w:bdr w:val="single" w:sz="4" w:space="0" w:color="auto"/>
        </w:rPr>
        <w:lastRenderedPageBreak/>
        <w:t>二、明宗</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189</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192</w:t>
      </w:r>
      <w:r w:rsidR="00AA120F" w:rsidRPr="00DA3BC7">
        <w:rPr>
          <w:rFonts w:ascii="Times Ext Roman" w:hAnsi="Times Ext Roman" w:cs="Times Ext Roman" w:hint="eastAsia"/>
          <w:sz w:val="20"/>
        </w:rPr>
        <w:t>）</w:t>
      </w:r>
    </w:p>
    <w:p w:rsidR="00AA120F" w:rsidRPr="00DA3BC7" w:rsidRDefault="008244C6" w:rsidP="00E45051">
      <w:pPr>
        <w:ind w:leftChars="150" w:left="360"/>
        <w:jc w:val="both"/>
        <w:rPr>
          <w:b/>
          <w:sz w:val="20"/>
          <w:szCs w:val="20"/>
          <w:bdr w:val="single" w:sz="4" w:space="0" w:color="auto"/>
        </w:rPr>
      </w:pPr>
      <w:r w:rsidRPr="008244C6">
        <w:rPr>
          <w:rFonts w:ascii="Times Ext Roman" w:hAnsi="Times Ext Roman" w:cs="Times Ext Roman" w:hint="eastAsia"/>
          <w:b/>
          <w:color w:val="FF0000"/>
          <w:sz w:val="20"/>
          <w:highlight w:val="yellow"/>
          <w:bdr w:val="single" w:sz="4" w:space="0" w:color="auto"/>
        </w:rPr>
        <w:t>（一）</w:t>
      </w:r>
      <w:r w:rsidR="00AA120F" w:rsidRPr="00DA3BC7">
        <w:rPr>
          <w:rFonts w:hint="eastAsia"/>
          <w:b/>
          <w:sz w:val="20"/>
          <w:szCs w:val="20"/>
          <w:bdr w:val="single" w:sz="4" w:space="0" w:color="auto"/>
        </w:rPr>
        <w:t>性空唯名系</w:t>
      </w:r>
      <w:r w:rsidRPr="008244C6">
        <w:rPr>
          <w:rFonts w:hint="eastAsia"/>
          <w:b/>
          <w:color w:val="FF0000"/>
          <w:sz w:val="20"/>
          <w:szCs w:val="20"/>
          <w:highlight w:val="yellow"/>
          <w:bdr w:val="single" w:sz="4" w:space="0" w:color="auto"/>
        </w:rPr>
        <w:t>（中道義）</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189</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190</w:t>
      </w:r>
      <w:r w:rsidR="00AA120F" w:rsidRPr="00DA3BC7">
        <w:rPr>
          <w:rFonts w:ascii="Times Ext Roman" w:hAnsi="Times Ext Roman" w:cs="Times Ext Roman" w:hint="eastAsia"/>
          <w:sz w:val="20"/>
        </w:rPr>
        <w:t>）</w:t>
      </w:r>
    </w:p>
    <w:p w:rsidR="00AA120F" w:rsidRPr="00DA3BC7" w:rsidRDefault="008244C6" w:rsidP="00AE3920">
      <w:pPr>
        <w:spacing w:afterLines="10"/>
        <w:ind w:leftChars="200" w:left="480"/>
        <w:jc w:val="both"/>
        <w:rPr>
          <w:rFonts w:ascii="Times Ext Roman" w:hAnsi="Times Ext Roman" w:cs="Times Ext Roman"/>
          <w:b/>
          <w:sz w:val="20"/>
          <w:bdr w:val="single" w:sz="4" w:space="0" w:color="auto"/>
        </w:rPr>
      </w:pPr>
      <w:r w:rsidRPr="008244C6">
        <w:rPr>
          <w:rFonts w:ascii="Times Ext Roman" w:hAnsi="Times Ext Roman" w:cs="Times Ext Roman" w:hint="eastAsia"/>
          <w:b/>
          <w:color w:val="FF0000"/>
          <w:sz w:val="20"/>
          <w:highlight w:val="yellow"/>
          <w:bdr w:val="single" w:sz="4" w:space="0" w:color="auto"/>
        </w:rPr>
        <w:t>1</w:t>
      </w:r>
      <w:r w:rsidRPr="008244C6">
        <w:rPr>
          <w:rFonts w:ascii="Times Ext Roman" w:hAnsi="Times Ext Roman" w:cs="Times Ext Roman" w:hint="eastAsia"/>
          <w:b/>
          <w:color w:val="FF0000"/>
          <w:sz w:val="20"/>
          <w:highlight w:val="yellow"/>
          <w:bdr w:val="single" w:sz="4" w:space="0" w:color="auto"/>
        </w:rPr>
        <w:t>、出宗義</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189</w:t>
      </w:r>
      <w:r w:rsidR="00AA120F" w:rsidRPr="00DA3BC7">
        <w:rPr>
          <w:rFonts w:ascii="Times Ext Roman" w:hAnsi="Times Ext Roman" w:cs="Times Ext Roman" w:hint="eastAsia"/>
          <w:sz w:val="20"/>
        </w:rPr>
        <w:t>）</w:t>
      </w:r>
    </w:p>
    <w:p w:rsidR="00AA120F" w:rsidRPr="00200AF9" w:rsidRDefault="00AA120F" w:rsidP="00E45051">
      <w:pPr>
        <w:ind w:leftChars="200" w:left="480"/>
        <w:jc w:val="both"/>
      </w:pPr>
      <w:r w:rsidRPr="00DA3BC7">
        <w:rPr>
          <w:rFonts w:hint="eastAsia"/>
        </w:rPr>
        <w:t>「性空者」所主張的：</w:t>
      </w:r>
      <w:r w:rsidRPr="00DA3BC7">
        <w:rPr>
          <w:rFonts w:hint="eastAsia"/>
          <w:b/>
        </w:rPr>
        <w:t>一切法畢竟空，於畢竟空中能成立緣起有</w:t>
      </w:r>
      <w:r w:rsidRPr="00DA3BC7">
        <w:rPr>
          <w:rFonts w:hint="eastAsia"/>
        </w:rPr>
        <w:t>，這是</w:t>
      </w:r>
      <w:r w:rsidRPr="00DA3BC7">
        <w:rPr>
          <w:rFonts w:hint="eastAsia"/>
          <w:b/>
        </w:rPr>
        <w:t>中觀宗的特色</w:t>
      </w:r>
      <w:r w:rsidRPr="00DA3BC7">
        <w:rPr>
          <w:rFonts w:hint="eastAsia"/>
        </w:rPr>
        <w:t>。這即是「</w:t>
      </w:r>
      <w:r w:rsidRPr="00DA3BC7">
        <w:rPr>
          <w:rFonts w:ascii="標楷體" w:eastAsia="標楷體" w:hAnsi="標楷體" w:hint="eastAsia"/>
        </w:rPr>
        <w:t>以有空義故，一切法得成</w:t>
      </w:r>
      <w:r w:rsidRPr="00DA3BC7">
        <w:rPr>
          <w:rFonts w:hint="eastAsia"/>
        </w:rPr>
        <w:t>」。</w:t>
      </w:r>
      <w:r w:rsidR="00200AF9" w:rsidRPr="00DA3BC7">
        <w:rPr>
          <w:rStyle w:val="a6"/>
          <w:rFonts w:ascii="Times New Roman" w:hAnsi="Times New Roman"/>
        </w:rPr>
        <w:footnoteReference w:id="848"/>
      </w:r>
    </w:p>
    <w:p w:rsidR="00AA120F" w:rsidRPr="00DA3BC7" w:rsidRDefault="008244C6" w:rsidP="00AE3920">
      <w:pPr>
        <w:spacing w:beforeLines="30"/>
        <w:ind w:leftChars="200" w:left="480"/>
        <w:jc w:val="both"/>
        <w:rPr>
          <w:rFonts w:ascii="Times Ext Roman" w:hAnsi="Times Ext Roman" w:cs="Times Ext Roman"/>
          <w:b/>
          <w:sz w:val="20"/>
          <w:bdr w:val="single" w:sz="4" w:space="0" w:color="auto"/>
        </w:rPr>
      </w:pPr>
      <w:r>
        <w:rPr>
          <w:rFonts w:ascii="Times Ext Roman" w:hAnsi="Times Ext Roman" w:cs="Times Ext Roman" w:hint="eastAsia"/>
          <w:b/>
          <w:color w:val="FF0000"/>
          <w:sz w:val="20"/>
          <w:highlight w:val="yellow"/>
          <w:bdr w:val="single" w:sz="4" w:space="0" w:color="auto"/>
        </w:rPr>
        <w:t>2</w:t>
      </w:r>
      <w:r>
        <w:rPr>
          <w:rFonts w:ascii="Times Ext Roman" w:hAnsi="Times Ext Roman" w:cs="Times Ext Roman" w:hint="eastAsia"/>
          <w:b/>
          <w:color w:val="FF0000"/>
          <w:sz w:val="20"/>
          <w:highlight w:val="yellow"/>
          <w:bdr w:val="single" w:sz="4" w:space="0" w:color="auto"/>
        </w:rPr>
        <w:t>、較異說</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189</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190</w:t>
      </w:r>
      <w:r w:rsidR="00AA120F" w:rsidRPr="00DA3BC7">
        <w:rPr>
          <w:rFonts w:ascii="Times Ext Roman" w:hAnsi="Times Ext Roman" w:cs="Times Ext Roman" w:hint="eastAsia"/>
          <w:sz w:val="20"/>
        </w:rPr>
        <w:t>）</w:t>
      </w:r>
    </w:p>
    <w:p w:rsidR="00AA120F" w:rsidRPr="00DA3BC7" w:rsidRDefault="00AA120F" w:rsidP="00E45051">
      <w:pPr>
        <w:ind w:leftChars="200" w:left="480"/>
        <w:jc w:val="both"/>
      </w:pPr>
      <w:r w:rsidRPr="00DA3BC7">
        <w:rPr>
          <w:rFonts w:hint="eastAsia"/>
        </w:rPr>
        <w:t>其他各派，以為若一切皆空了，豈不破壞緣起？故另立不空之有。</w:t>
      </w:r>
    </w:p>
    <w:p w:rsidR="008244C6" w:rsidRDefault="00AA120F" w:rsidP="00E45051">
      <w:pPr>
        <w:ind w:leftChars="200" w:left="480"/>
        <w:jc w:val="both"/>
      </w:pPr>
      <w:r w:rsidRPr="00DA3BC7">
        <w:rPr>
          <w:rFonts w:hint="eastAsia"/>
        </w:rPr>
        <w:t>而不知諸法之所以是畢竟空，就因為他是緣起有；因為諸法是緣起有，所以諸法是畢竟空。</w:t>
      </w:r>
    </w:p>
    <w:p w:rsidR="00AA120F" w:rsidRPr="00DA3BC7" w:rsidRDefault="00AA120F" w:rsidP="00E45051">
      <w:pPr>
        <w:ind w:leftChars="200" w:left="480"/>
        <w:jc w:val="both"/>
      </w:pPr>
      <w:r w:rsidRPr="00DA3BC7">
        <w:rPr>
          <w:rFonts w:hint="eastAsia"/>
        </w:rPr>
        <w:t>若真的了達緣起有，必能通達畢竟空；通達畢竟空，也必能知緣起有。</w:t>
      </w:r>
    </w:p>
    <w:p w:rsidR="00AA120F" w:rsidRPr="00DA3BC7" w:rsidRDefault="00AA120F" w:rsidP="00AE3920">
      <w:pPr>
        <w:spacing w:beforeLines="20"/>
        <w:ind w:leftChars="200" w:left="480"/>
        <w:jc w:val="both"/>
      </w:pPr>
      <w:r w:rsidRPr="00DA3BC7">
        <w:rPr>
          <w:rFonts w:hint="eastAsia"/>
          <w:b/>
        </w:rPr>
        <w:t>太過派執空</w:t>
      </w:r>
      <w:r w:rsidRPr="00DA3BC7">
        <w:rPr>
          <w:rFonts w:hint="eastAsia"/>
        </w:rPr>
        <w:t>，對緣起的應</w:t>
      </w:r>
      <w:r w:rsidRPr="00DA3BC7">
        <w:rPr>
          <w:rFonts w:hint="eastAsia"/>
          <w:b/>
        </w:rPr>
        <w:t>有</w:t>
      </w:r>
      <w:r w:rsidRPr="00DA3BC7">
        <w:rPr>
          <w:rFonts w:hint="eastAsia"/>
        </w:rPr>
        <w:t>者不能善巧的知其</w:t>
      </w:r>
      <w:r w:rsidRPr="00DA3BC7">
        <w:rPr>
          <w:rFonts w:hint="eastAsia"/>
          <w:b/>
        </w:rPr>
        <w:t>有</w:t>
      </w:r>
      <w:r w:rsidRPr="00DA3BC7">
        <w:rPr>
          <w:rFonts w:hint="eastAsia"/>
        </w:rPr>
        <w:t>；</w:t>
      </w:r>
    </w:p>
    <w:p w:rsidR="00AA120F" w:rsidRPr="00DA3BC7" w:rsidRDefault="00AA120F" w:rsidP="00E45051">
      <w:pPr>
        <w:ind w:leftChars="200" w:left="480"/>
        <w:jc w:val="both"/>
      </w:pPr>
      <w:r w:rsidRPr="00DA3BC7">
        <w:rPr>
          <w:rFonts w:hint="eastAsia"/>
          <w:b/>
        </w:rPr>
        <w:t>不及派執有</w:t>
      </w:r>
      <w:r w:rsidRPr="00DA3BC7">
        <w:rPr>
          <w:rFonts w:hint="eastAsia"/>
        </w:rPr>
        <w:t>，對於應</w:t>
      </w:r>
      <w:r w:rsidRPr="00DA3BC7">
        <w:rPr>
          <w:rFonts w:hint="eastAsia"/>
          <w:b/>
        </w:rPr>
        <w:t>空</w:t>
      </w:r>
      <w:r w:rsidRPr="00DA3BC7">
        <w:rPr>
          <w:rFonts w:hint="eastAsia"/>
        </w:rPr>
        <w:t>者又不能如實的知其</w:t>
      </w:r>
      <w:r w:rsidRPr="00DA3BC7">
        <w:rPr>
          <w:rFonts w:hint="eastAsia"/>
          <w:b/>
        </w:rPr>
        <w:t>空</w:t>
      </w:r>
      <w:r w:rsidRPr="00DA3BC7">
        <w:rPr>
          <w:rFonts w:hint="eastAsia"/>
        </w:rPr>
        <w:t>。</w:t>
      </w:r>
    </w:p>
    <w:p w:rsidR="00AA120F" w:rsidRPr="00DA3BC7" w:rsidRDefault="00AA120F" w:rsidP="00AE3920">
      <w:pPr>
        <w:spacing w:beforeLines="20"/>
        <w:ind w:leftChars="200" w:left="480"/>
        <w:jc w:val="both"/>
      </w:pPr>
      <w:r w:rsidRPr="00DA3BC7">
        <w:rPr>
          <w:rFonts w:hint="eastAsia"/>
          <w:b/>
        </w:rPr>
        <w:t>進一步</w:t>
      </w:r>
      <w:r w:rsidRPr="00DA3BC7">
        <w:rPr>
          <w:rFonts w:hint="eastAsia"/>
        </w:rPr>
        <w:t>說，對於</w:t>
      </w:r>
      <w:r w:rsidRPr="00DA3BC7">
        <w:rPr>
          <w:rFonts w:hint="eastAsia"/>
          <w:b/>
        </w:rPr>
        <w:t>有</w:t>
      </w:r>
      <w:r w:rsidRPr="00DA3BC7">
        <w:rPr>
          <w:rFonts w:hint="eastAsia"/>
        </w:rPr>
        <w:t>而不能善巧的知為</w:t>
      </w:r>
      <w:r w:rsidRPr="00DA3BC7">
        <w:rPr>
          <w:rFonts w:hint="eastAsia"/>
          <w:b/>
        </w:rPr>
        <w:t>有</w:t>
      </w:r>
      <w:r w:rsidRPr="00DA3BC7">
        <w:rPr>
          <w:rFonts w:hint="eastAsia"/>
        </w:rPr>
        <w:t>，則對於</w:t>
      </w:r>
      <w:r w:rsidRPr="00DA3BC7">
        <w:rPr>
          <w:rFonts w:hint="eastAsia"/>
          <w:b/>
        </w:rPr>
        <w:t>空</w:t>
      </w:r>
      <w:r w:rsidRPr="00DA3BC7">
        <w:rPr>
          <w:rFonts w:hint="eastAsia"/>
        </w:rPr>
        <w:t>也即不能善達其</w:t>
      </w:r>
      <w:r w:rsidRPr="00DA3BC7">
        <w:rPr>
          <w:rFonts w:hint="eastAsia"/>
          <w:b/>
        </w:rPr>
        <w:t>空</w:t>
      </w:r>
      <w:r w:rsidRPr="00DA3BC7">
        <w:rPr>
          <w:rFonts w:hint="eastAsia"/>
        </w:rPr>
        <w:t>。</w:t>
      </w:r>
    </w:p>
    <w:p w:rsidR="00AA120F" w:rsidRPr="00DA3BC7" w:rsidRDefault="00AA120F" w:rsidP="00E45051">
      <w:pPr>
        <w:ind w:leftChars="200" w:left="480"/>
        <w:jc w:val="both"/>
      </w:pPr>
      <w:r w:rsidRPr="00DA3BC7">
        <w:rPr>
          <w:rFonts w:hint="eastAsia"/>
          <w:b/>
        </w:rPr>
        <w:t>反之</w:t>
      </w:r>
      <w:r w:rsidRPr="00DA3BC7">
        <w:rPr>
          <w:rFonts w:hint="eastAsia"/>
        </w:rPr>
        <w:t>，對於</w:t>
      </w:r>
      <w:r w:rsidRPr="00DA3BC7">
        <w:rPr>
          <w:rFonts w:hint="eastAsia"/>
          <w:b/>
        </w:rPr>
        <w:t>空</w:t>
      </w:r>
      <w:r w:rsidRPr="00DA3BC7">
        <w:rPr>
          <w:rFonts w:hint="eastAsia"/>
        </w:rPr>
        <w:t>不能善巧的知其</w:t>
      </w:r>
      <w:r w:rsidRPr="00DA3BC7">
        <w:rPr>
          <w:rFonts w:hint="eastAsia"/>
          <w:b/>
        </w:rPr>
        <w:t>空</w:t>
      </w:r>
      <w:r w:rsidRPr="00DA3BC7">
        <w:rPr>
          <w:rFonts w:hint="eastAsia"/>
        </w:rPr>
        <w:t>，對於</w:t>
      </w:r>
      <w:r w:rsidRPr="00DA3BC7">
        <w:rPr>
          <w:rFonts w:hint="eastAsia"/>
          <w:b/>
        </w:rPr>
        <w:t>有</w:t>
      </w:r>
      <w:r w:rsidRPr="00DA3BC7">
        <w:rPr>
          <w:rFonts w:hint="eastAsia"/>
        </w:rPr>
        <w:t>也即不能善達其為</w:t>
      </w:r>
      <w:r w:rsidRPr="00DA3BC7">
        <w:rPr>
          <w:rFonts w:hint="eastAsia"/>
          <w:b/>
        </w:rPr>
        <w:t>有</w:t>
      </w:r>
      <w:r w:rsidRPr="00DA3BC7">
        <w:rPr>
          <w:rFonts w:hint="eastAsia"/>
        </w:rPr>
        <w:t>。</w:t>
      </w:r>
    </w:p>
    <w:p w:rsidR="00AA120F" w:rsidRPr="00DA3BC7" w:rsidRDefault="00AA120F" w:rsidP="00AE3920">
      <w:pPr>
        <w:spacing w:beforeLines="20"/>
        <w:ind w:leftChars="200" w:left="480"/>
        <w:jc w:val="both"/>
      </w:pPr>
      <w:r w:rsidRPr="00DA3BC7">
        <w:rPr>
          <w:rFonts w:hint="eastAsia"/>
          <w:b/>
        </w:rPr>
        <w:t>失空的即失有，失有的即失空</w:t>
      </w:r>
      <w:r w:rsidRPr="00DA3BC7">
        <w:rPr>
          <w:rFonts w:hint="eastAsia"/>
        </w:rPr>
        <w:t>。</w:t>
      </w:r>
    </w:p>
    <w:p w:rsidR="00AA120F" w:rsidRPr="00DA3BC7" w:rsidRDefault="008244C6" w:rsidP="00AE3920">
      <w:pPr>
        <w:spacing w:beforeLines="30"/>
        <w:ind w:leftChars="200" w:left="480"/>
        <w:jc w:val="both"/>
        <w:rPr>
          <w:rFonts w:ascii="Times Ext Roman" w:hAnsi="Times Ext Roman" w:cs="Times Ext Roman"/>
          <w:sz w:val="20"/>
        </w:rPr>
      </w:pPr>
      <w:r>
        <w:rPr>
          <w:rFonts w:ascii="Times Ext Roman" w:hAnsi="Times Ext Roman" w:cs="Times Ext Roman" w:hint="eastAsia"/>
          <w:b/>
          <w:color w:val="FF0000"/>
          <w:sz w:val="20"/>
          <w:highlight w:val="yellow"/>
          <w:bdr w:val="single" w:sz="4" w:space="0" w:color="auto"/>
        </w:rPr>
        <w:t>3</w:t>
      </w:r>
      <w:r>
        <w:rPr>
          <w:rFonts w:ascii="Times Ext Roman" w:hAnsi="Times Ext Roman" w:cs="Times Ext Roman" w:hint="eastAsia"/>
          <w:b/>
          <w:color w:val="FF0000"/>
          <w:sz w:val="20"/>
          <w:highlight w:val="yellow"/>
          <w:bdr w:val="single" w:sz="4" w:space="0" w:color="auto"/>
        </w:rPr>
        <w:t>、結正理</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190</w:t>
      </w:r>
      <w:r w:rsidR="00AA120F" w:rsidRPr="00DA3BC7">
        <w:rPr>
          <w:rFonts w:ascii="Times Ext Roman" w:hAnsi="Times Ext Roman" w:cs="Times Ext Roman" w:hint="eastAsia"/>
          <w:sz w:val="20"/>
        </w:rPr>
        <w:t>）</w:t>
      </w:r>
    </w:p>
    <w:p w:rsidR="00AA120F" w:rsidRPr="008244C6" w:rsidRDefault="00AA120F" w:rsidP="00E45051">
      <w:pPr>
        <w:ind w:leftChars="200" w:left="480"/>
        <w:jc w:val="both"/>
        <w:rPr>
          <w:b/>
          <w:color w:val="FF0000"/>
          <w:highlight w:val="yellow"/>
        </w:rPr>
      </w:pPr>
      <w:r w:rsidRPr="00DA3BC7">
        <w:rPr>
          <w:rFonts w:hint="eastAsia"/>
          <w:b/>
        </w:rPr>
        <w:t>中觀者空有善巧，一切空而不礙有，一切有而不礙空</w:t>
      </w:r>
      <w:r w:rsidRPr="00DA3BC7">
        <w:rPr>
          <w:rFonts w:hint="eastAsia"/>
        </w:rPr>
        <w:t>，這才是善取空者，也即是能善知有者！</w:t>
      </w:r>
    </w:p>
    <w:p w:rsidR="00AA120F" w:rsidRPr="00DA3BC7" w:rsidRDefault="008244C6" w:rsidP="00AE3920">
      <w:pPr>
        <w:spacing w:beforeLines="50"/>
        <w:ind w:leftChars="150" w:left="360"/>
        <w:jc w:val="both"/>
        <w:rPr>
          <w:b/>
          <w:sz w:val="20"/>
          <w:szCs w:val="20"/>
          <w:bdr w:val="single" w:sz="4" w:space="0" w:color="auto"/>
        </w:rPr>
      </w:pPr>
      <w:r w:rsidRPr="008244C6">
        <w:rPr>
          <w:rFonts w:hint="eastAsia"/>
          <w:b/>
          <w:color w:val="FF0000"/>
          <w:sz w:val="20"/>
          <w:szCs w:val="20"/>
          <w:highlight w:val="yellow"/>
          <w:bdr w:val="single" w:sz="4" w:space="0" w:color="auto"/>
        </w:rPr>
        <w:t>（</w:t>
      </w:r>
      <w:r w:rsidR="00AA120F" w:rsidRPr="008244C6">
        <w:rPr>
          <w:rFonts w:hint="eastAsia"/>
          <w:b/>
          <w:color w:val="FF0000"/>
          <w:sz w:val="20"/>
          <w:szCs w:val="20"/>
          <w:highlight w:val="yellow"/>
          <w:bdr w:val="single" w:sz="4" w:space="0" w:color="auto"/>
        </w:rPr>
        <w:t>二</w:t>
      </w:r>
      <w:r w:rsidRPr="008244C6">
        <w:rPr>
          <w:rFonts w:hint="eastAsia"/>
          <w:b/>
          <w:color w:val="FF0000"/>
          <w:sz w:val="20"/>
          <w:szCs w:val="20"/>
          <w:highlight w:val="yellow"/>
          <w:bdr w:val="single" w:sz="4" w:space="0" w:color="auto"/>
        </w:rPr>
        <w:t>）</w:t>
      </w:r>
      <w:r w:rsidR="00AA120F" w:rsidRPr="00DA3BC7">
        <w:rPr>
          <w:rFonts w:hint="eastAsia"/>
          <w:b/>
          <w:sz w:val="20"/>
          <w:szCs w:val="20"/>
          <w:bdr w:val="single" w:sz="4" w:space="0" w:color="auto"/>
        </w:rPr>
        <w:t>虛妄唯識</w:t>
      </w:r>
      <w:r w:rsidR="00AA120F" w:rsidRPr="008244C6">
        <w:rPr>
          <w:rFonts w:hint="eastAsia"/>
          <w:b/>
          <w:sz w:val="20"/>
          <w:szCs w:val="20"/>
          <w:highlight w:val="yellow"/>
          <w:bdr w:val="single" w:sz="4" w:space="0" w:color="auto"/>
        </w:rPr>
        <w:t>系</w:t>
      </w:r>
      <w:r w:rsidR="00AA120F" w:rsidRPr="008244C6">
        <w:rPr>
          <w:rFonts w:ascii="Times Ext Roman" w:hAnsi="Times Ext Roman" w:cs="Times Ext Roman" w:hint="eastAsia"/>
          <w:b/>
          <w:sz w:val="20"/>
          <w:highlight w:val="yellow"/>
          <w:bdr w:val="single" w:sz="4" w:space="0" w:color="auto"/>
        </w:rPr>
        <w:t>（</w:t>
      </w:r>
      <w:r w:rsidR="00AA120F" w:rsidRPr="00DA3BC7">
        <w:rPr>
          <w:rFonts w:ascii="Times Ext Roman" w:hAnsi="Times Ext Roman" w:cs="Times Ext Roman" w:hint="eastAsia"/>
          <w:b/>
          <w:sz w:val="20"/>
          <w:bdr w:val="single" w:sz="4" w:space="0" w:color="auto"/>
        </w:rPr>
        <w:t>不及派）</w:t>
      </w:r>
      <w:r w:rsidR="00AA120F" w:rsidRPr="00DA3BC7">
        <w:rPr>
          <w:rFonts w:hint="eastAsia"/>
          <w:sz w:val="20"/>
          <w:szCs w:val="22"/>
        </w:rPr>
        <w:t>（</w:t>
      </w:r>
      <w:r w:rsidR="00AA120F" w:rsidRPr="00DA3BC7">
        <w:rPr>
          <w:rFonts w:ascii="Times New Roman" w:hAnsi="Times New Roman" w:hint="eastAsia"/>
          <w:sz w:val="20"/>
          <w:szCs w:val="22"/>
        </w:rPr>
        <w:t>p</w:t>
      </w:r>
      <w:r w:rsidR="00AA120F" w:rsidRPr="00DA3BC7">
        <w:rPr>
          <w:rFonts w:hint="eastAsia"/>
          <w:sz w:val="20"/>
          <w:szCs w:val="22"/>
        </w:rPr>
        <w:t>.</w:t>
      </w:r>
      <w:r w:rsidR="00AA120F" w:rsidRPr="00DA3BC7">
        <w:rPr>
          <w:rFonts w:ascii="Times New Roman" w:hAnsi="Times New Roman" w:hint="eastAsia"/>
          <w:sz w:val="20"/>
          <w:szCs w:val="22"/>
        </w:rPr>
        <w:t>190</w:t>
      </w:r>
      <w:r w:rsidR="00AA120F" w:rsidRPr="00DA3BC7">
        <w:rPr>
          <w:rFonts w:hint="eastAsia"/>
          <w:sz w:val="20"/>
          <w:szCs w:val="22"/>
        </w:rPr>
        <w:t>）</w:t>
      </w:r>
    </w:p>
    <w:p w:rsidR="00AA120F" w:rsidRPr="00DA3BC7" w:rsidRDefault="00AA120F" w:rsidP="00E45051">
      <w:pPr>
        <w:ind w:leftChars="150" w:left="360"/>
        <w:jc w:val="both"/>
      </w:pPr>
      <w:r w:rsidRPr="00DA3BC7">
        <w:rPr>
          <w:rFonts w:hint="eastAsia"/>
        </w:rPr>
        <w:t>「</w:t>
      </w:r>
      <w:r w:rsidRPr="00DA3BC7">
        <w:rPr>
          <w:rFonts w:hint="eastAsia"/>
          <w:b/>
        </w:rPr>
        <w:t>唯識者</w:t>
      </w:r>
      <w:r w:rsidRPr="00DA3BC7">
        <w:rPr>
          <w:rFonts w:hint="eastAsia"/>
        </w:rPr>
        <w:t>」，可說是</w:t>
      </w:r>
      <w:r w:rsidRPr="00DA3BC7">
        <w:rPr>
          <w:rFonts w:hint="eastAsia"/>
          <w:b/>
        </w:rPr>
        <w:t>不空假名論師</w:t>
      </w:r>
      <w:r w:rsidRPr="00DA3BC7">
        <w:rPr>
          <w:rFonts w:hint="eastAsia"/>
        </w:rPr>
        <w:t>。</w:t>
      </w:r>
    </w:p>
    <w:p w:rsidR="00AA120F" w:rsidRPr="00DA3BC7" w:rsidRDefault="00AA120F" w:rsidP="00AE3920">
      <w:pPr>
        <w:spacing w:beforeLines="20"/>
        <w:ind w:leftChars="150" w:left="360"/>
        <w:jc w:val="both"/>
      </w:pPr>
      <w:r w:rsidRPr="00DA3BC7">
        <w:rPr>
          <w:rFonts w:hint="eastAsia"/>
        </w:rPr>
        <w:t>《瑜伽師地論》等反對一切法性空，以為如一切法空，即不能成立世出世間的一切法。</w:t>
      </w:r>
      <w:r w:rsidRPr="008244C6">
        <w:rPr>
          <w:rFonts w:hint="eastAsia"/>
          <w:highlight w:val="yellow"/>
        </w:rPr>
        <w:t>主</w:t>
      </w:r>
      <w:r w:rsidRPr="00DA3BC7">
        <w:rPr>
          <w:rFonts w:hint="eastAsia"/>
        </w:rPr>
        <w:t>張</w:t>
      </w:r>
      <w:r w:rsidRPr="00DA3BC7">
        <w:rPr>
          <w:rFonts w:hint="eastAsia"/>
          <w:b/>
        </w:rPr>
        <w:t>依實立假</w:t>
      </w:r>
      <w:r w:rsidRPr="00DA3BC7">
        <w:rPr>
          <w:rFonts w:hint="eastAsia"/>
        </w:rPr>
        <w:t>，以一切法空為不了義。以為一切緣起法是依他而有，是自相安立的，故因緣所生法不空。</w:t>
      </w:r>
    </w:p>
    <w:p w:rsidR="00AA120F" w:rsidRPr="00DA3BC7" w:rsidRDefault="00AA120F" w:rsidP="00AE3920">
      <w:pPr>
        <w:spacing w:beforeLines="20"/>
        <w:ind w:leftChars="150" w:left="360"/>
        <w:jc w:val="both"/>
      </w:pPr>
      <w:r w:rsidRPr="00DA3BC7">
        <w:rPr>
          <w:rFonts w:hint="eastAsia"/>
          <w:b/>
        </w:rPr>
        <w:t>依他起法不空，有自相，世間、出世間法才可依此而得建立</w:t>
      </w:r>
      <w:r w:rsidRPr="00DA3BC7">
        <w:rPr>
          <w:rFonts w:hint="eastAsia"/>
        </w:rPr>
        <w:t>，此是</w:t>
      </w:r>
      <w:r w:rsidRPr="00DA3BC7">
        <w:rPr>
          <w:rFonts w:hint="eastAsia"/>
          <w:b/>
        </w:rPr>
        <w:t>不空假名</w:t>
      </w:r>
      <w:r w:rsidRPr="00DA3BC7">
        <w:rPr>
          <w:rFonts w:hint="eastAsia"/>
        </w:rPr>
        <w:t>者的根本見解。</w:t>
      </w:r>
    </w:p>
    <w:p w:rsidR="00AA120F" w:rsidRPr="008244C6" w:rsidRDefault="008244C6" w:rsidP="00AE3920">
      <w:pPr>
        <w:spacing w:beforeLines="50"/>
        <w:ind w:leftChars="150" w:left="360"/>
        <w:jc w:val="both"/>
        <w:rPr>
          <w:b/>
          <w:color w:val="FF0000"/>
          <w:sz w:val="20"/>
          <w:szCs w:val="20"/>
          <w:highlight w:val="yellow"/>
          <w:bdr w:val="single" w:sz="4" w:space="0" w:color="auto"/>
        </w:rPr>
      </w:pPr>
      <w:r>
        <w:rPr>
          <w:rFonts w:hint="eastAsia"/>
          <w:b/>
          <w:color w:val="FF0000"/>
          <w:sz w:val="20"/>
          <w:szCs w:val="20"/>
          <w:highlight w:val="yellow"/>
          <w:bdr w:val="single" w:sz="4" w:space="0" w:color="auto"/>
        </w:rPr>
        <w:t>（</w:t>
      </w:r>
      <w:r w:rsidR="00AA120F" w:rsidRPr="008244C6">
        <w:rPr>
          <w:rFonts w:hint="eastAsia"/>
          <w:b/>
          <w:color w:val="FF0000"/>
          <w:sz w:val="20"/>
          <w:szCs w:val="20"/>
          <w:highlight w:val="yellow"/>
          <w:bdr w:val="single" w:sz="4" w:space="0" w:color="auto"/>
        </w:rPr>
        <w:t>三</w:t>
      </w:r>
      <w:r>
        <w:rPr>
          <w:rFonts w:hint="eastAsia"/>
          <w:b/>
          <w:color w:val="FF0000"/>
          <w:sz w:val="20"/>
          <w:szCs w:val="20"/>
          <w:highlight w:val="yellow"/>
          <w:bdr w:val="single" w:sz="4" w:space="0" w:color="auto"/>
        </w:rPr>
        <w:t>）</w:t>
      </w:r>
      <w:r w:rsidR="00AA120F" w:rsidRPr="008244C6">
        <w:rPr>
          <w:rFonts w:hint="eastAsia"/>
          <w:b/>
          <w:color w:val="FF0000"/>
          <w:sz w:val="20"/>
          <w:szCs w:val="20"/>
          <w:highlight w:val="yellow"/>
          <w:bdr w:val="single" w:sz="4" w:space="0" w:color="auto"/>
        </w:rPr>
        <w:t>真常唯心系（太過派）</w:t>
      </w:r>
      <w:r w:rsidR="00AA120F" w:rsidRPr="008244C6">
        <w:rPr>
          <w:rFonts w:ascii="Times New Roman" w:hAnsi="Times New Roman" w:hint="eastAsia"/>
          <w:sz w:val="20"/>
          <w:szCs w:val="22"/>
        </w:rPr>
        <w:t>（</w:t>
      </w:r>
      <w:r w:rsidR="00AA120F" w:rsidRPr="008244C6">
        <w:rPr>
          <w:rFonts w:ascii="Times New Roman" w:hAnsi="Times New Roman" w:hint="eastAsia"/>
          <w:sz w:val="20"/>
          <w:szCs w:val="22"/>
        </w:rPr>
        <w:t>pp.190-191</w:t>
      </w:r>
      <w:r w:rsidR="00AA120F" w:rsidRPr="008244C6">
        <w:rPr>
          <w:rFonts w:ascii="Times New Roman" w:hAnsi="Times New Roman" w:hint="eastAsia"/>
          <w:sz w:val="20"/>
          <w:szCs w:val="22"/>
        </w:rPr>
        <w:t>）</w:t>
      </w:r>
    </w:p>
    <w:p w:rsidR="00AA120F" w:rsidRPr="00DA3BC7" w:rsidRDefault="00C0247D" w:rsidP="00E45051">
      <w:pPr>
        <w:ind w:leftChars="200" w:left="480"/>
        <w:jc w:val="both"/>
        <w:rPr>
          <w:rFonts w:ascii="Times Ext Roman" w:hAnsi="Times Ext Roman" w:cs="Times Ext Roman"/>
          <w:b/>
          <w:sz w:val="20"/>
          <w:szCs w:val="20"/>
          <w:bdr w:val="single" w:sz="4" w:space="0" w:color="auto"/>
        </w:rPr>
      </w:pPr>
      <w:r>
        <w:rPr>
          <w:rFonts w:ascii="Times Ext Roman" w:hAnsi="Times Ext Roman" w:cs="Times Ext Roman" w:hint="eastAsia"/>
          <w:b/>
          <w:color w:val="FF0000"/>
          <w:sz w:val="20"/>
          <w:szCs w:val="20"/>
          <w:highlight w:val="yellow"/>
          <w:bdr w:val="single" w:sz="4" w:space="0" w:color="auto"/>
        </w:rPr>
        <w:t>1</w:t>
      </w:r>
      <w:r>
        <w:rPr>
          <w:rFonts w:ascii="Times Ext Roman" w:hAnsi="Times Ext Roman" w:cs="Times Ext Roman" w:hint="eastAsia"/>
          <w:b/>
          <w:color w:val="FF0000"/>
          <w:sz w:val="20"/>
          <w:szCs w:val="20"/>
          <w:highlight w:val="yellow"/>
          <w:bdr w:val="single" w:sz="4" w:space="0" w:color="auto"/>
        </w:rPr>
        <w:t>、出宗義</w:t>
      </w:r>
      <w:r w:rsidR="00AA120F" w:rsidRPr="00DA3BC7">
        <w:rPr>
          <w:rFonts w:hint="eastAsia"/>
          <w:sz w:val="20"/>
          <w:szCs w:val="22"/>
        </w:rPr>
        <w:t>（</w:t>
      </w:r>
      <w:r w:rsidR="00AA120F" w:rsidRPr="00DA3BC7">
        <w:rPr>
          <w:rFonts w:ascii="Times New Roman" w:hAnsi="Times New Roman" w:hint="eastAsia"/>
          <w:sz w:val="20"/>
          <w:szCs w:val="22"/>
        </w:rPr>
        <w:t>pp</w:t>
      </w:r>
      <w:r w:rsidR="00AA120F" w:rsidRPr="00DA3BC7">
        <w:rPr>
          <w:rFonts w:hint="eastAsia"/>
          <w:sz w:val="20"/>
          <w:szCs w:val="22"/>
        </w:rPr>
        <w:t>.</w:t>
      </w:r>
      <w:r w:rsidR="00AA120F" w:rsidRPr="00DA3BC7">
        <w:rPr>
          <w:rFonts w:ascii="Times New Roman" w:hAnsi="Times New Roman" w:hint="eastAsia"/>
          <w:sz w:val="20"/>
          <w:szCs w:val="22"/>
        </w:rPr>
        <w:t>190</w:t>
      </w:r>
      <w:r w:rsidR="00AA120F" w:rsidRPr="00DA3BC7">
        <w:rPr>
          <w:rFonts w:hint="eastAsia"/>
          <w:sz w:val="20"/>
          <w:szCs w:val="22"/>
        </w:rPr>
        <w:t>-</w:t>
      </w:r>
      <w:r w:rsidR="00AA120F" w:rsidRPr="00DA3BC7">
        <w:rPr>
          <w:rFonts w:ascii="Times New Roman" w:hAnsi="Times New Roman" w:hint="eastAsia"/>
          <w:sz w:val="20"/>
          <w:szCs w:val="22"/>
        </w:rPr>
        <w:t>191</w:t>
      </w:r>
      <w:r w:rsidR="00AA120F" w:rsidRPr="00DA3BC7">
        <w:rPr>
          <w:rFonts w:hint="eastAsia"/>
          <w:sz w:val="20"/>
          <w:szCs w:val="22"/>
        </w:rPr>
        <w:t>）</w:t>
      </w:r>
    </w:p>
    <w:p w:rsidR="00AA120F" w:rsidRPr="00DA3BC7" w:rsidRDefault="00AA120F" w:rsidP="00E45051">
      <w:pPr>
        <w:ind w:leftChars="200" w:left="480"/>
        <w:jc w:val="both"/>
      </w:pPr>
      <w:r w:rsidRPr="00DA3BC7">
        <w:rPr>
          <w:rFonts w:hint="eastAsia"/>
        </w:rPr>
        <w:lastRenderedPageBreak/>
        <w:t>「</w:t>
      </w:r>
      <w:r w:rsidRPr="00DA3BC7">
        <w:rPr>
          <w:rFonts w:hint="eastAsia"/>
          <w:b/>
        </w:rPr>
        <w:t>真常者</w:t>
      </w:r>
      <w:r w:rsidRPr="00DA3BC7">
        <w:rPr>
          <w:rFonts w:hint="eastAsia"/>
        </w:rPr>
        <w:t>」，自以為是「空過來的」。對於緣起的畢竟空，他們是承認的。但空了以後，卻轉出一個不空的，這即我所說的</w:t>
      </w:r>
      <w:r w:rsidRPr="00DA3BC7">
        <w:rPr>
          <w:rFonts w:hint="eastAsia"/>
          <w:b/>
        </w:rPr>
        <w:t>真常論</w:t>
      </w:r>
      <w:r w:rsidRPr="00DA3BC7">
        <w:rPr>
          <w:rFonts w:hint="eastAsia"/>
        </w:rPr>
        <w:t>者。</w:t>
      </w:r>
    </w:p>
    <w:p w:rsidR="00AA120F" w:rsidRPr="00DA3BC7" w:rsidRDefault="00AA120F" w:rsidP="00AE3920">
      <w:pPr>
        <w:spacing w:beforeLines="20"/>
        <w:ind w:leftChars="200" w:left="480"/>
        <w:jc w:val="both"/>
      </w:pPr>
      <w:r w:rsidRPr="00DA3BC7">
        <w:rPr>
          <w:rFonts w:hint="eastAsia"/>
        </w:rPr>
        <w:t>他們以為：空是與小乘所共同的，有些人止於觀空，以空為究竟，這是不圓滿的。頓根利智的大乘學者，從</w:t>
      </w:r>
      <w:r w:rsidRPr="00DA3BC7">
        <w:rPr>
          <w:rFonts w:hint="eastAsia"/>
          <w:b/>
        </w:rPr>
        <w:t>空</w:t>
      </w:r>
      <w:r w:rsidRPr="00DA3BC7">
        <w:rPr>
          <w:rFonts w:hint="eastAsia"/>
        </w:rPr>
        <w:t>透出去，能見</w:t>
      </w:r>
      <w:r w:rsidRPr="00DA3BC7">
        <w:rPr>
          <w:rFonts w:hint="eastAsia"/>
          <w:b/>
        </w:rPr>
        <w:t>不空</w:t>
      </w:r>
      <w:r w:rsidRPr="00DA3BC7">
        <w:rPr>
          <w:rFonts w:hint="eastAsia"/>
        </w:rPr>
        <w:t>──</w:t>
      </w:r>
      <w:r w:rsidRPr="00DA3BC7">
        <w:rPr>
          <w:rFonts w:hint="eastAsia"/>
          <w:b/>
        </w:rPr>
        <w:t>妙有</w:t>
      </w:r>
      <w:r w:rsidRPr="00DA3BC7">
        <w:rPr>
          <w:rFonts w:hint="eastAsia"/>
        </w:rPr>
        <w:t>。</w:t>
      </w:r>
    </w:p>
    <w:p w:rsidR="00AA120F" w:rsidRPr="00DA3BC7" w:rsidRDefault="00AA120F" w:rsidP="00AE3920">
      <w:pPr>
        <w:spacing w:beforeLines="20"/>
        <w:ind w:leftChars="200" w:left="480"/>
        <w:jc w:val="both"/>
      </w:pPr>
      <w:r w:rsidRPr="00DA3BC7">
        <w:rPr>
          <w:rFonts w:hint="eastAsia"/>
        </w:rPr>
        <w:t>《楞伽》</w:t>
      </w:r>
      <w:r w:rsidRPr="00DA3BC7">
        <w:rPr>
          <w:rStyle w:val="a6"/>
          <w:rFonts w:ascii="Times New Roman" w:hAnsi="Times New Roman"/>
        </w:rPr>
        <w:footnoteReference w:id="849"/>
      </w:r>
      <w:r w:rsidRPr="00DA3BC7">
        <w:rPr>
          <w:rFonts w:hint="eastAsia"/>
        </w:rPr>
        <w:t>、《勝鬘》</w:t>
      </w:r>
      <w:r w:rsidRPr="00DA3BC7">
        <w:rPr>
          <w:rStyle w:val="a6"/>
          <w:rFonts w:ascii="Times New Roman" w:hAnsi="Times New Roman"/>
        </w:rPr>
        <w:footnoteReference w:id="850"/>
      </w:r>
      <w:r w:rsidRPr="00DA3BC7">
        <w:rPr>
          <w:rFonts w:hint="eastAsia"/>
        </w:rPr>
        <w:t>、《起信》</w:t>
      </w:r>
      <w:r w:rsidRPr="00DA3BC7">
        <w:rPr>
          <w:rStyle w:val="a6"/>
          <w:rFonts w:ascii="Times New Roman" w:hAnsi="Times New Roman"/>
        </w:rPr>
        <w:footnoteReference w:id="851"/>
      </w:r>
      <w:r w:rsidRPr="00DA3BC7">
        <w:rPr>
          <w:rFonts w:hint="eastAsia"/>
        </w:rPr>
        <w:t>等經論，都是承認</w:t>
      </w:r>
      <w:r w:rsidRPr="00DA3BC7">
        <w:rPr>
          <w:rFonts w:hint="eastAsia"/>
          <w:b/>
        </w:rPr>
        <w:t>妄法無自性</w:t>
      </w:r>
      <w:r w:rsidRPr="00DA3BC7">
        <w:rPr>
          <w:rFonts w:hint="eastAsia"/>
        </w:rPr>
        <w:t>，但皆別立</w:t>
      </w:r>
      <w:r w:rsidRPr="00DA3BC7">
        <w:rPr>
          <w:rFonts w:hint="eastAsia"/>
          <w:b/>
        </w:rPr>
        <w:t>妙有</w:t>
      </w:r>
      <w:r w:rsidRPr="00DA3BC7">
        <w:rPr>
          <w:rFonts w:hint="eastAsia"/>
        </w:rPr>
        <w:t>的</w:t>
      </w:r>
      <w:r w:rsidRPr="00DA3BC7">
        <w:rPr>
          <w:rFonts w:hint="eastAsia"/>
          <w:b/>
        </w:rPr>
        <w:t>不空</w:t>
      </w:r>
      <w:r w:rsidRPr="00DA3BC7">
        <w:rPr>
          <w:rFonts w:hint="eastAsia"/>
        </w:rPr>
        <w:t>，以此為</w:t>
      </w:r>
      <w:r w:rsidRPr="00DA3BC7">
        <w:rPr>
          <w:rFonts w:hint="eastAsia"/>
          <w:b/>
        </w:rPr>
        <w:t>中道</w:t>
      </w:r>
      <w:r w:rsidRPr="00DA3BC7">
        <w:rPr>
          <w:rFonts w:hint="eastAsia"/>
        </w:rPr>
        <w:t>。</w:t>
      </w:r>
      <w:r w:rsidRPr="00DA3BC7">
        <w:rPr>
          <w:rStyle w:val="a6"/>
          <w:rFonts w:ascii="Times New Roman" w:hAnsi="Times New Roman"/>
        </w:rPr>
        <w:footnoteReference w:id="852"/>
      </w:r>
    </w:p>
    <w:p w:rsidR="00AA120F" w:rsidRPr="00DA3BC7" w:rsidRDefault="00C0247D" w:rsidP="00AE3920">
      <w:pPr>
        <w:spacing w:beforeLines="30"/>
        <w:ind w:leftChars="200" w:left="480"/>
        <w:jc w:val="both"/>
        <w:rPr>
          <w:rFonts w:ascii="Times Ext Roman" w:hAnsi="Times Ext Roman" w:cs="Times Ext Roman"/>
          <w:b/>
          <w:sz w:val="20"/>
          <w:bdr w:val="single" w:sz="4" w:space="0" w:color="auto"/>
        </w:rPr>
      </w:pPr>
      <w:r>
        <w:rPr>
          <w:rFonts w:ascii="Times Ext Roman" w:hAnsi="Times Ext Roman" w:cs="Times Ext Roman" w:hint="eastAsia"/>
          <w:b/>
          <w:color w:val="FF0000"/>
          <w:sz w:val="20"/>
          <w:highlight w:val="yellow"/>
          <w:bdr w:val="single" w:sz="4" w:space="0" w:color="auto"/>
        </w:rPr>
        <w:t>2</w:t>
      </w:r>
      <w:r>
        <w:rPr>
          <w:rFonts w:ascii="Times Ext Roman" w:hAnsi="Times Ext Roman" w:cs="Times Ext Roman" w:hint="eastAsia"/>
          <w:b/>
          <w:color w:val="FF0000"/>
          <w:sz w:val="20"/>
          <w:highlight w:val="yellow"/>
          <w:bdr w:val="single" w:sz="4" w:space="0" w:color="auto"/>
        </w:rPr>
        <w:t>、</w:t>
      </w:r>
      <w:r w:rsidR="00AA120F" w:rsidRPr="00C0247D">
        <w:rPr>
          <w:rFonts w:ascii="Times Ext Roman" w:hAnsi="Times Ext Roman" w:cs="Times Ext Roman" w:hint="eastAsia"/>
          <w:b/>
          <w:color w:val="FF0000"/>
          <w:sz w:val="20"/>
          <w:highlight w:val="yellow"/>
          <w:bdr w:val="single" w:sz="4" w:space="0" w:color="auto"/>
        </w:rPr>
        <w:t>評</w:t>
      </w:r>
      <w:r>
        <w:rPr>
          <w:rFonts w:ascii="Times Ext Roman" w:hAnsi="Times Ext Roman" w:cs="Times Ext Roman" w:hint="eastAsia"/>
          <w:b/>
          <w:color w:val="FF0000"/>
          <w:sz w:val="20"/>
          <w:highlight w:val="yellow"/>
          <w:bdr w:val="single" w:sz="4" w:space="0" w:color="auto"/>
        </w:rPr>
        <w:t>過失</w:t>
      </w:r>
      <w:r w:rsidR="00AA120F" w:rsidRPr="00DA3BC7">
        <w:rPr>
          <w:rFonts w:hint="eastAsia"/>
          <w:sz w:val="20"/>
          <w:szCs w:val="22"/>
        </w:rPr>
        <w:t>（</w:t>
      </w:r>
      <w:r w:rsidR="00AA120F" w:rsidRPr="00DA3BC7">
        <w:rPr>
          <w:rFonts w:ascii="Times New Roman" w:hAnsi="Times New Roman" w:hint="eastAsia"/>
          <w:sz w:val="20"/>
          <w:szCs w:val="22"/>
        </w:rPr>
        <w:t>pp</w:t>
      </w:r>
      <w:r w:rsidR="00AA120F" w:rsidRPr="00DA3BC7">
        <w:rPr>
          <w:rFonts w:hint="eastAsia"/>
          <w:sz w:val="20"/>
          <w:szCs w:val="22"/>
        </w:rPr>
        <w:t>.</w:t>
      </w:r>
      <w:r w:rsidR="00AA120F" w:rsidRPr="00DA3BC7">
        <w:rPr>
          <w:rFonts w:ascii="Times New Roman" w:hAnsi="Times New Roman" w:hint="eastAsia"/>
          <w:sz w:val="20"/>
          <w:szCs w:val="22"/>
        </w:rPr>
        <w:t>191</w:t>
      </w:r>
      <w:r w:rsidR="00AA120F" w:rsidRPr="00DA3BC7">
        <w:rPr>
          <w:rFonts w:hint="eastAsia"/>
          <w:sz w:val="20"/>
          <w:szCs w:val="22"/>
        </w:rPr>
        <w:t>-</w:t>
      </w:r>
      <w:r w:rsidR="00AA120F" w:rsidRPr="00DA3BC7">
        <w:rPr>
          <w:rFonts w:ascii="Times New Roman" w:hAnsi="Times New Roman" w:hint="eastAsia"/>
          <w:sz w:val="20"/>
          <w:szCs w:val="22"/>
        </w:rPr>
        <w:t>192</w:t>
      </w:r>
      <w:r w:rsidR="00AA120F" w:rsidRPr="00DA3BC7">
        <w:rPr>
          <w:rFonts w:hint="eastAsia"/>
          <w:sz w:val="20"/>
          <w:szCs w:val="22"/>
        </w:rPr>
        <w:t>）</w:t>
      </w:r>
    </w:p>
    <w:p w:rsidR="00AA120F" w:rsidRPr="00DA3BC7" w:rsidRDefault="00AA120F" w:rsidP="00E45051">
      <w:pPr>
        <w:ind w:leftChars="200" w:left="480"/>
        <w:jc w:val="both"/>
      </w:pPr>
      <w:r w:rsidRPr="00DA3BC7">
        <w:rPr>
          <w:rFonts w:hint="eastAsia"/>
        </w:rPr>
        <w:lastRenderedPageBreak/>
        <w:t>他</w:t>
      </w:r>
      <w:r w:rsidRPr="00C0247D">
        <w:rPr>
          <w:rFonts w:hint="eastAsia"/>
          <w:highlight w:val="yellow"/>
        </w:rPr>
        <w:t>們所</w:t>
      </w:r>
      <w:r w:rsidRPr="00DA3BC7">
        <w:rPr>
          <w:rFonts w:hint="eastAsia"/>
        </w:rPr>
        <w:t>講的</w:t>
      </w:r>
      <w:r w:rsidRPr="00DA3BC7">
        <w:rPr>
          <w:rFonts w:hint="eastAsia"/>
          <w:b/>
        </w:rPr>
        <w:t>不空</w:t>
      </w:r>
      <w:r w:rsidRPr="00DA3BC7">
        <w:rPr>
          <w:rFonts w:hint="eastAsia"/>
        </w:rPr>
        <w:t>，是在</w:t>
      </w:r>
      <w:r w:rsidRPr="00DA3BC7">
        <w:rPr>
          <w:rFonts w:hint="eastAsia"/>
          <w:b/>
        </w:rPr>
        <w:t>真如法性</w:t>
      </w:r>
      <w:r w:rsidRPr="00DA3BC7">
        <w:rPr>
          <w:rFonts w:hint="eastAsia"/>
        </w:rPr>
        <w:t>上講的，是</w:t>
      </w:r>
      <w:r w:rsidRPr="00DA3BC7">
        <w:rPr>
          <w:rFonts w:hint="eastAsia"/>
          <w:b/>
        </w:rPr>
        <w:t>形而上的本體論</w:t>
      </w:r>
      <w:r w:rsidRPr="00DA3BC7">
        <w:rPr>
          <w:rFonts w:hint="eastAsia"/>
        </w:rPr>
        <w:t>、</w:t>
      </w:r>
      <w:r w:rsidRPr="00DA3BC7">
        <w:rPr>
          <w:rFonts w:hint="eastAsia"/>
          <w:b/>
        </w:rPr>
        <w:t>神秘</w:t>
      </w:r>
      <w:r w:rsidRPr="00DA3BC7">
        <w:rPr>
          <w:rFonts w:hint="eastAsia"/>
        </w:rPr>
        <w:t>的</w:t>
      </w:r>
      <w:r w:rsidRPr="00DA3BC7">
        <w:rPr>
          <w:rFonts w:hint="eastAsia"/>
          <w:b/>
        </w:rPr>
        <w:t>實在論</w:t>
      </w:r>
      <w:r w:rsidRPr="00DA3BC7">
        <w:rPr>
          <w:rFonts w:hint="eastAsia"/>
        </w:rPr>
        <w:t>。</w:t>
      </w:r>
    </w:p>
    <w:p w:rsidR="00AA120F" w:rsidRPr="00DA3BC7" w:rsidRDefault="00AA120F" w:rsidP="00AE3920">
      <w:pPr>
        <w:spacing w:beforeLines="20"/>
        <w:ind w:leftChars="200" w:left="480"/>
        <w:jc w:val="both"/>
      </w:pPr>
      <w:r w:rsidRPr="00DA3BC7">
        <w:rPr>
          <w:rFonts w:hint="eastAsia"/>
          <w:b/>
        </w:rPr>
        <w:t>唯識家</w:t>
      </w:r>
      <w:r w:rsidRPr="00DA3BC7">
        <w:rPr>
          <w:rFonts w:hint="eastAsia"/>
        </w:rPr>
        <w:t>所說的</w:t>
      </w:r>
      <w:r w:rsidRPr="00DA3BC7">
        <w:rPr>
          <w:rFonts w:hint="eastAsia"/>
          <w:b/>
        </w:rPr>
        <w:t>有</w:t>
      </w:r>
      <w:r w:rsidRPr="00DA3BC7">
        <w:rPr>
          <w:rFonts w:hint="eastAsia"/>
        </w:rPr>
        <w:t>，側重於</w:t>
      </w:r>
      <w:r w:rsidRPr="00DA3BC7">
        <w:rPr>
          <w:rFonts w:hint="eastAsia"/>
          <w:b/>
        </w:rPr>
        <w:t>經驗</w:t>
      </w:r>
      <w:r w:rsidRPr="00DA3BC7">
        <w:rPr>
          <w:rFonts w:hint="eastAsia"/>
        </w:rPr>
        <w:t>的</w:t>
      </w:r>
      <w:r w:rsidRPr="00DA3BC7">
        <w:rPr>
          <w:rFonts w:hint="eastAsia"/>
          <w:b/>
        </w:rPr>
        <w:t>現象</w:t>
      </w:r>
      <w:r w:rsidRPr="00DA3BC7">
        <w:rPr>
          <w:rFonts w:hint="eastAsia"/>
        </w:rPr>
        <w:t>的，所以與中觀者諍</w:t>
      </w:r>
      <w:r w:rsidRPr="00DA3BC7">
        <w:rPr>
          <w:rFonts w:hint="eastAsia"/>
          <w:b/>
        </w:rPr>
        <w:t>依他不空</w:t>
      </w:r>
      <w:r w:rsidRPr="00DA3BC7">
        <w:rPr>
          <w:rFonts w:hint="eastAsia"/>
        </w:rPr>
        <w:t>。</w:t>
      </w:r>
    </w:p>
    <w:p w:rsidR="00AA120F" w:rsidRPr="00DA3BC7" w:rsidRDefault="00AA120F" w:rsidP="00AE3920">
      <w:pPr>
        <w:spacing w:beforeLines="20"/>
        <w:ind w:leftChars="200" w:left="480"/>
        <w:jc w:val="both"/>
      </w:pPr>
      <w:r w:rsidRPr="00DA3BC7">
        <w:rPr>
          <w:rFonts w:hint="eastAsia"/>
        </w:rPr>
        <w:t>這從</w:t>
      </w:r>
      <w:r w:rsidRPr="00DA3BC7">
        <w:rPr>
          <w:rFonts w:hint="eastAsia"/>
          <w:b/>
        </w:rPr>
        <w:t>空</w:t>
      </w:r>
      <w:r w:rsidRPr="00DA3BC7">
        <w:rPr>
          <w:rFonts w:hint="eastAsia"/>
        </w:rPr>
        <w:t>而悟證的</w:t>
      </w:r>
      <w:r w:rsidRPr="00DA3BC7">
        <w:rPr>
          <w:rFonts w:hint="eastAsia"/>
          <w:b/>
        </w:rPr>
        <w:t>不空</w:t>
      </w:r>
      <w:r w:rsidRPr="00DA3BC7">
        <w:rPr>
          <w:rFonts w:hint="eastAsia"/>
        </w:rPr>
        <w:t>──</w:t>
      </w:r>
      <w:r w:rsidRPr="00DA3BC7">
        <w:rPr>
          <w:rFonts w:hint="eastAsia"/>
          <w:b/>
        </w:rPr>
        <w:t>妙有</w:t>
      </w:r>
      <w:r w:rsidRPr="00DA3BC7">
        <w:rPr>
          <w:rFonts w:hint="eastAsia"/>
        </w:rPr>
        <w:t>，與</w:t>
      </w:r>
      <w:r w:rsidRPr="00DA3BC7">
        <w:rPr>
          <w:rFonts w:hint="eastAsia"/>
          <w:b/>
        </w:rPr>
        <w:t>中觀</w:t>
      </w:r>
      <w:r w:rsidRPr="00DA3BC7">
        <w:rPr>
          <w:rFonts w:hint="eastAsia"/>
        </w:rPr>
        <w:t>所說的</w:t>
      </w:r>
      <w:r w:rsidRPr="00DA3BC7">
        <w:rPr>
          <w:rFonts w:hint="eastAsia"/>
          <w:b/>
        </w:rPr>
        <w:t>緣起有</w:t>
      </w:r>
      <w:r w:rsidRPr="00DA3BC7">
        <w:rPr>
          <w:rFonts w:hint="eastAsia"/>
        </w:rPr>
        <w:t>不同。</w:t>
      </w:r>
    </w:p>
    <w:p w:rsidR="00AA120F" w:rsidRPr="00DA3BC7" w:rsidRDefault="00AA120F" w:rsidP="00E45051">
      <w:pPr>
        <w:ind w:leftChars="200" w:left="480"/>
        <w:jc w:val="both"/>
      </w:pPr>
      <w:r w:rsidRPr="00DA3BC7">
        <w:rPr>
          <w:rFonts w:hint="eastAsia"/>
          <w:b/>
        </w:rPr>
        <w:t>中觀</w:t>
      </w:r>
      <w:r w:rsidRPr="00DA3BC7">
        <w:rPr>
          <w:rFonts w:hint="eastAsia"/>
        </w:rPr>
        <w:t>的安立</w:t>
      </w:r>
      <w:r w:rsidRPr="00DA3BC7">
        <w:rPr>
          <w:rFonts w:hint="eastAsia"/>
          <w:b/>
        </w:rPr>
        <w:t>假名有</w:t>
      </w:r>
      <w:r w:rsidRPr="00DA3BC7">
        <w:rPr>
          <w:rFonts w:hint="eastAsia"/>
        </w:rPr>
        <w:t>，是依</w:t>
      </w:r>
      <w:r w:rsidRPr="00DA3BC7">
        <w:rPr>
          <w:rFonts w:hint="eastAsia"/>
          <w:b/>
        </w:rPr>
        <w:t>緣起法</w:t>
      </w:r>
      <w:r w:rsidRPr="00DA3BC7">
        <w:rPr>
          <w:rFonts w:hint="eastAsia"/>
        </w:rPr>
        <w:t>而施設的；</w:t>
      </w:r>
    </w:p>
    <w:p w:rsidR="00AA120F" w:rsidRPr="00DA3BC7" w:rsidRDefault="00AA120F" w:rsidP="00E45051">
      <w:pPr>
        <w:ind w:leftChars="200" w:left="480"/>
        <w:jc w:val="both"/>
      </w:pPr>
      <w:r w:rsidRPr="00DA3BC7">
        <w:rPr>
          <w:rFonts w:hint="eastAsia"/>
          <w:b/>
        </w:rPr>
        <w:t>不空妙有</w:t>
      </w:r>
      <w:r w:rsidRPr="00DA3BC7">
        <w:rPr>
          <w:rFonts w:hint="eastAsia"/>
        </w:rPr>
        <w:t>者，本質是破壞緣起法的，他們在</w:t>
      </w:r>
      <w:r w:rsidRPr="00DA3BC7">
        <w:rPr>
          <w:rFonts w:hint="eastAsia"/>
          <w:b/>
        </w:rPr>
        <w:t>形而上的本體上</w:t>
      </w:r>
      <w:r w:rsidRPr="00DA3BC7">
        <w:rPr>
          <w:rFonts w:hint="eastAsia"/>
        </w:rPr>
        <w:t>建立一切法。</w:t>
      </w:r>
    </w:p>
    <w:p w:rsidR="00AA120F" w:rsidRPr="00DA3BC7" w:rsidRDefault="00AA120F" w:rsidP="00AE3920">
      <w:pPr>
        <w:spacing w:beforeLines="20"/>
        <w:ind w:leftChars="200" w:left="480"/>
        <w:jc w:val="both"/>
      </w:pPr>
      <w:r w:rsidRPr="00DA3BC7">
        <w:rPr>
          <w:rFonts w:hint="eastAsia"/>
        </w:rPr>
        <w:t>迷真起妄</w:t>
      </w:r>
      <w:r w:rsidRPr="00DA3BC7">
        <w:rPr>
          <w:rStyle w:val="a6"/>
          <w:rFonts w:ascii="Times New Roman" w:hAnsi="Times New Roman"/>
        </w:rPr>
        <w:footnoteReference w:id="853"/>
      </w:r>
      <w:r w:rsidRPr="00DA3BC7">
        <w:rPr>
          <w:rFonts w:hint="eastAsia"/>
        </w:rPr>
        <w:t>，不變隨緣</w:t>
      </w:r>
      <w:r w:rsidRPr="00DA3BC7">
        <w:rPr>
          <w:rStyle w:val="a6"/>
          <w:rFonts w:ascii="Times New Roman" w:hAnsi="Times New Roman"/>
        </w:rPr>
        <w:footnoteReference w:id="854"/>
      </w:r>
      <w:r w:rsidRPr="00DA3BC7">
        <w:rPr>
          <w:rFonts w:hint="eastAsia"/>
        </w:rPr>
        <w:t>，破相顯性，都是此宗的妙論。</w:t>
      </w:r>
    </w:p>
    <w:p w:rsidR="00AA120F" w:rsidRPr="00DA3BC7" w:rsidRDefault="00AA120F" w:rsidP="00E45051">
      <w:pPr>
        <w:ind w:leftChars="200" w:left="480"/>
        <w:jc w:val="both"/>
      </w:pPr>
      <w:r w:rsidRPr="00DA3BC7">
        <w:rPr>
          <w:rFonts w:hint="eastAsia"/>
        </w:rPr>
        <w:t>所以要走此路者，以既</w:t>
      </w:r>
      <w:r w:rsidRPr="00C0247D">
        <w:rPr>
          <w:rFonts w:hint="eastAsia"/>
        </w:rPr>
        <w:t>承認</w:t>
      </w:r>
      <w:r w:rsidRPr="00DA3BC7">
        <w:rPr>
          <w:rFonts w:hint="eastAsia"/>
          <w:b/>
        </w:rPr>
        <w:t>緣起法空</w:t>
      </w:r>
      <w:r w:rsidRPr="00DA3BC7">
        <w:rPr>
          <w:rFonts w:hint="eastAsia"/>
        </w:rPr>
        <w:t>，即不能如</w:t>
      </w:r>
      <w:r w:rsidRPr="00DA3BC7">
        <w:rPr>
          <w:rFonts w:hint="eastAsia"/>
          <w:b/>
        </w:rPr>
        <w:t>唯識者立不空的緣起；</w:t>
      </w:r>
      <w:r w:rsidRPr="00C0247D">
        <w:rPr>
          <w:rFonts w:hint="eastAsia"/>
        </w:rPr>
        <w:t>以為</w:t>
      </w:r>
      <w:r w:rsidRPr="00DA3BC7">
        <w:rPr>
          <w:rFonts w:hint="eastAsia"/>
          <w:b/>
        </w:rPr>
        <w:t>空是破一切的</w:t>
      </w:r>
      <w:r w:rsidRPr="00DA3BC7">
        <w:rPr>
          <w:rFonts w:hint="eastAsia"/>
        </w:rPr>
        <w:t>，也不能如</w:t>
      </w:r>
      <w:r w:rsidRPr="00DA3BC7">
        <w:rPr>
          <w:rFonts w:hint="eastAsia"/>
          <w:b/>
        </w:rPr>
        <w:t>中觀者於即空的緣起成立如幻有</w:t>
      </w:r>
      <w:r w:rsidRPr="00DA3BC7">
        <w:rPr>
          <w:rFonts w:hint="eastAsia"/>
        </w:rPr>
        <w:t>。</w:t>
      </w:r>
    </w:p>
    <w:p w:rsidR="00AA120F" w:rsidRPr="00DA3BC7" w:rsidRDefault="00AA120F" w:rsidP="00E45051">
      <w:pPr>
        <w:ind w:leftChars="200" w:left="480"/>
        <w:jc w:val="both"/>
      </w:pPr>
      <w:r w:rsidRPr="00DA3BC7">
        <w:rPr>
          <w:rFonts w:hint="eastAsia"/>
        </w:rPr>
        <w:t>但事實上不能不建立，故不能不在自以為「空過來」後，於</w:t>
      </w:r>
      <w:r w:rsidRPr="00DA3BC7">
        <w:rPr>
          <w:rFonts w:hint="eastAsia"/>
          <w:b/>
        </w:rPr>
        <w:t>妙有的真如法性中成立一切法</w:t>
      </w:r>
      <w:r w:rsidRPr="00DA3BC7">
        <w:rPr>
          <w:rFonts w:hint="eastAsia"/>
        </w:rPr>
        <w:t>。</w:t>
      </w:r>
    </w:p>
    <w:p w:rsidR="00AA120F" w:rsidRPr="00DA3BC7" w:rsidRDefault="00AA120F" w:rsidP="00AE3920">
      <w:pPr>
        <w:spacing w:beforeLines="20"/>
        <w:ind w:leftChars="200" w:left="480"/>
        <w:jc w:val="both"/>
      </w:pPr>
      <w:r w:rsidRPr="00DA3BC7">
        <w:rPr>
          <w:rFonts w:hint="eastAsia"/>
        </w:rPr>
        <w:t>此派對於空，也還是了解得不夠。因為空而不得其中，太過了，以致無法成立一切；這才轉過身來，從</w:t>
      </w:r>
      <w:r w:rsidRPr="00DA3BC7">
        <w:rPr>
          <w:rFonts w:hint="eastAsia"/>
          <w:b/>
        </w:rPr>
        <w:t>妙有上安身立命，依舊是真實自性不空</w:t>
      </w:r>
      <w:r w:rsidRPr="00DA3BC7">
        <w:rPr>
          <w:rFonts w:hint="eastAsia"/>
        </w:rPr>
        <w:t>。</w:t>
      </w:r>
    </w:p>
    <w:p w:rsidR="00AA120F" w:rsidRPr="00DA3BC7" w:rsidRDefault="00C0247D" w:rsidP="00AE3920">
      <w:pPr>
        <w:spacing w:beforeLines="30"/>
        <w:ind w:leftChars="100" w:left="240"/>
        <w:jc w:val="both"/>
        <w:rPr>
          <w:rFonts w:ascii="Times Ext Roman" w:hAnsi="Times Ext Roman" w:cs="Times Ext Roman"/>
          <w:sz w:val="20"/>
          <w:bdr w:val="single" w:sz="4" w:space="0" w:color="auto"/>
        </w:rPr>
      </w:pPr>
      <w:r w:rsidRPr="00C0247D">
        <w:rPr>
          <w:rFonts w:ascii="Times Ext Roman" w:hAnsi="Times Ext Roman" w:cs="Times Ext Roman" w:hint="eastAsia"/>
          <w:b/>
          <w:color w:val="FF0000"/>
          <w:sz w:val="20"/>
          <w:highlight w:val="yellow"/>
          <w:bdr w:val="single" w:sz="4" w:space="0" w:color="auto"/>
        </w:rPr>
        <w:t>三、</w:t>
      </w:r>
      <w:r w:rsidR="00AA120F" w:rsidRPr="00C0247D">
        <w:rPr>
          <w:rFonts w:ascii="Times Ext Roman" w:hAnsi="Times Ext Roman" w:cs="Times Ext Roman" w:hint="eastAsia"/>
          <w:b/>
          <w:sz w:val="20"/>
          <w:highlight w:val="yellow"/>
          <w:bdr w:val="single" w:sz="4" w:space="0" w:color="auto"/>
        </w:rPr>
        <w:t>總</w:t>
      </w:r>
      <w:r w:rsidR="00AA120F" w:rsidRPr="00DA3BC7">
        <w:rPr>
          <w:rFonts w:ascii="Times Ext Roman" w:hAnsi="Times Ext Roman" w:cs="Times Ext Roman" w:hint="eastAsia"/>
          <w:b/>
          <w:sz w:val="20"/>
          <w:bdr w:val="single" w:sz="4" w:space="0" w:color="auto"/>
        </w:rPr>
        <w:t>評</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192</w:t>
      </w:r>
      <w:r w:rsidR="00AA120F" w:rsidRPr="00DA3BC7">
        <w:rPr>
          <w:rFonts w:ascii="Times Ext Roman" w:hAnsi="Times Ext Roman" w:cs="Times Ext Roman" w:hint="eastAsia"/>
          <w:sz w:val="20"/>
        </w:rPr>
        <w:t>）</w:t>
      </w:r>
    </w:p>
    <w:p w:rsidR="00AA120F" w:rsidRPr="00DA3BC7" w:rsidRDefault="00C0247D" w:rsidP="00E45051">
      <w:pPr>
        <w:ind w:leftChars="150" w:left="360"/>
        <w:jc w:val="both"/>
        <w:rPr>
          <w:rFonts w:ascii="Times Ext Roman" w:hAnsi="Times Ext Roman" w:cs="Times Ext Roman"/>
          <w:sz w:val="20"/>
          <w:bdr w:val="single" w:sz="4" w:space="0" w:color="auto"/>
        </w:rPr>
      </w:pPr>
      <w:r w:rsidRPr="00C0247D">
        <w:rPr>
          <w:rFonts w:ascii="Times Ext Roman" w:hAnsi="Times Ext Roman" w:cs="Times Ext Roman" w:hint="eastAsia"/>
          <w:b/>
          <w:color w:val="FF0000"/>
          <w:sz w:val="20"/>
          <w:highlight w:val="yellow"/>
          <w:bdr w:val="single" w:sz="4" w:space="0" w:color="auto"/>
        </w:rPr>
        <w:lastRenderedPageBreak/>
        <w:t>（一）</w:t>
      </w:r>
      <w:r>
        <w:rPr>
          <w:rFonts w:hint="eastAsia"/>
          <w:b/>
          <w:color w:val="FF0000"/>
          <w:sz w:val="20"/>
          <w:szCs w:val="20"/>
          <w:highlight w:val="yellow"/>
          <w:bdr w:val="single" w:sz="4" w:space="0" w:color="auto"/>
        </w:rPr>
        <w:t>辨大乘三系之得失</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p</w:t>
      </w:r>
      <w:r w:rsidR="00AA120F" w:rsidRPr="00DA3BC7">
        <w:rPr>
          <w:rFonts w:ascii="Times Ext Roman" w:hAnsi="Times Ext Roman" w:cs="Times Ext Roman" w:hint="eastAsia"/>
          <w:sz w:val="20"/>
        </w:rPr>
        <w:t>.</w:t>
      </w:r>
      <w:r w:rsidR="00AA120F" w:rsidRPr="00DA3BC7">
        <w:rPr>
          <w:rFonts w:ascii="Times New Roman" w:hAnsi="Times New Roman" w:cs="Times Ext Roman" w:hint="eastAsia"/>
          <w:sz w:val="20"/>
        </w:rPr>
        <w:t>192</w:t>
      </w:r>
      <w:r w:rsidR="00AA120F" w:rsidRPr="00DA3BC7">
        <w:rPr>
          <w:rFonts w:ascii="Times Ext Roman" w:hAnsi="Times Ext Roman" w:cs="Times Ext Roman" w:hint="eastAsia"/>
          <w:sz w:val="20"/>
        </w:rPr>
        <w:t>）</w:t>
      </w:r>
    </w:p>
    <w:p w:rsidR="00C0247D" w:rsidRDefault="00C0247D" w:rsidP="00E45051">
      <w:pPr>
        <w:ind w:leftChars="150" w:left="360"/>
        <w:jc w:val="both"/>
      </w:pPr>
      <w:r w:rsidRPr="00DA3BC7">
        <w:rPr>
          <w:rFonts w:hint="eastAsia"/>
        </w:rPr>
        <w:t>大乘的三家，</w:t>
      </w:r>
    </w:p>
    <w:p w:rsidR="00AA120F" w:rsidRPr="00DA3BC7" w:rsidRDefault="00AA120F" w:rsidP="00E45051">
      <w:pPr>
        <w:ind w:leftChars="150" w:left="360"/>
        <w:jc w:val="both"/>
      </w:pPr>
      <w:r w:rsidRPr="00DA3BC7">
        <w:rPr>
          <w:rFonts w:hint="eastAsia"/>
        </w:rPr>
        <w:t>法相唯識者是從不及派引發出來的，於諸法性空的了解不夠；</w:t>
      </w:r>
      <w:r w:rsidRPr="00DA3BC7">
        <w:rPr>
          <w:rFonts w:hint="eastAsia"/>
          <w:b/>
        </w:rPr>
        <w:t>失空即失有，</w:t>
      </w:r>
      <w:r w:rsidRPr="00DA3BC7">
        <w:rPr>
          <w:rFonts w:hint="eastAsia"/>
        </w:rPr>
        <w:t>所以不能不說</w:t>
      </w:r>
      <w:r w:rsidRPr="00DA3BC7">
        <w:rPr>
          <w:rFonts w:hint="eastAsia"/>
          <w:b/>
        </w:rPr>
        <w:t>自相有</w:t>
      </w:r>
      <w:r w:rsidRPr="00DA3BC7">
        <w:rPr>
          <w:rFonts w:hint="eastAsia"/>
        </w:rPr>
        <w:t>。</w:t>
      </w:r>
    </w:p>
    <w:p w:rsidR="00AA120F" w:rsidRPr="00DA3BC7" w:rsidRDefault="00AA120F" w:rsidP="00E45051">
      <w:pPr>
        <w:ind w:leftChars="150" w:left="360"/>
        <w:jc w:val="both"/>
      </w:pPr>
      <w:r w:rsidRPr="00DA3BC7">
        <w:rPr>
          <w:rFonts w:hint="eastAsia"/>
        </w:rPr>
        <w:t>真常唯心者是從</w:t>
      </w:r>
      <w:r w:rsidRPr="00DA3BC7">
        <w:rPr>
          <w:rFonts w:hint="eastAsia"/>
          <w:b/>
        </w:rPr>
        <w:t>太過派</w:t>
      </w:r>
      <w:r w:rsidRPr="00DA3BC7">
        <w:rPr>
          <w:rFonts w:hint="eastAsia"/>
        </w:rPr>
        <w:t>引發出來的，</w:t>
      </w:r>
      <w:r w:rsidRPr="00DA3BC7">
        <w:rPr>
          <w:rFonts w:hint="eastAsia"/>
          <w:b/>
        </w:rPr>
        <w:t>破壞緣起</w:t>
      </w:r>
      <w:r w:rsidRPr="00DA3BC7">
        <w:rPr>
          <w:rFonts w:hint="eastAsia"/>
        </w:rPr>
        <w:t>而另覓出路，是對於緣起有不夠了解，結果是</w:t>
      </w:r>
      <w:r w:rsidRPr="00DA3BC7">
        <w:rPr>
          <w:rFonts w:hint="eastAsia"/>
          <w:b/>
        </w:rPr>
        <w:t>失有也失空</w:t>
      </w:r>
      <w:r w:rsidRPr="00DA3BC7">
        <w:rPr>
          <w:rFonts w:hint="eastAsia"/>
        </w:rPr>
        <w:t>。</w:t>
      </w:r>
    </w:p>
    <w:p w:rsidR="00AA120F" w:rsidRPr="00DA3BC7" w:rsidRDefault="00AA120F" w:rsidP="00E45051">
      <w:pPr>
        <w:ind w:leftChars="150" w:left="360"/>
        <w:jc w:val="both"/>
      </w:pPr>
      <w:r w:rsidRPr="00DA3BC7">
        <w:rPr>
          <w:rFonts w:hint="eastAsia"/>
        </w:rPr>
        <w:t>這二派都是「</w:t>
      </w:r>
      <w:r w:rsidRPr="00DA3BC7">
        <w:rPr>
          <w:rFonts w:hint="eastAsia"/>
          <w:b/>
        </w:rPr>
        <w:t>依實立假</w:t>
      </w:r>
      <w:r w:rsidRPr="00DA3BC7">
        <w:rPr>
          <w:rFonts w:hint="eastAsia"/>
        </w:rPr>
        <w:t>」的，「</w:t>
      </w:r>
      <w:r w:rsidRPr="00DA3BC7">
        <w:rPr>
          <w:rFonts w:ascii="標楷體" w:eastAsia="標楷體" w:hAnsi="標楷體" w:hint="eastAsia"/>
        </w:rPr>
        <w:t>異法是空，異法不空</w:t>
      </w:r>
      <w:r w:rsidRPr="00DA3BC7">
        <w:rPr>
          <w:rFonts w:hint="eastAsia"/>
        </w:rPr>
        <w:t>」</w:t>
      </w:r>
      <w:r w:rsidRPr="00DA3BC7">
        <w:rPr>
          <w:rStyle w:val="a6"/>
          <w:rFonts w:ascii="Times New Roman" w:hAnsi="Times New Roman"/>
        </w:rPr>
        <w:footnoteReference w:id="855"/>
      </w:r>
      <w:r w:rsidRPr="00DA3BC7">
        <w:rPr>
          <w:rFonts w:hint="eastAsia"/>
        </w:rPr>
        <w:t>的。</w:t>
      </w:r>
      <w:r w:rsidRPr="00DA3BC7">
        <w:rPr>
          <w:rStyle w:val="a6"/>
          <w:rFonts w:ascii="Times New Roman" w:hAnsi="Times New Roman"/>
        </w:rPr>
        <w:footnoteReference w:id="856"/>
      </w:r>
    </w:p>
    <w:p w:rsidR="00AA120F" w:rsidRPr="00DA3BC7" w:rsidRDefault="00AA120F" w:rsidP="00E45051">
      <w:pPr>
        <w:ind w:leftChars="150" w:left="360"/>
        <w:jc w:val="both"/>
      </w:pPr>
      <w:r w:rsidRPr="00DA3BC7">
        <w:rPr>
          <w:rFonts w:hint="eastAsia"/>
        </w:rPr>
        <w:t>唯有</w:t>
      </w:r>
      <w:r w:rsidRPr="00DA3BC7">
        <w:rPr>
          <w:rFonts w:hint="eastAsia"/>
          <w:b/>
        </w:rPr>
        <w:t>中觀論者</w:t>
      </w:r>
      <w:r w:rsidRPr="00DA3BC7">
        <w:rPr>
          <w:rFonts w:hint="eastAsia"/>
        </w:rPr>
        <w:t>依緣起顯示</w:t>
      </w:r>
      <w:r w:rsidRPr="00DA3BC7">
        <w:rPr>
          <w:rFonts w:hint="eastAsia"/>
          <w:b/>
        </w:rPr>
        <w:t>性空</w:t>
      </w:r>
      <w:r w:rsidRPr="00DA3BC7">
        <w:rPr>
          <w:rFonts w:hint="eastAsia"/>
        </w:rPr>
        <w:t>，即空而不壞</w:t>
      </w:r>
      <w:r w:rsidRPr="00DA3BC7">
        <w:rPr>
          <w:rFonts w:hint="eastAsia"/>
          <w:b/>
        </w:rPr>
        <w:t>緣有</w:t>
      </w:r>
      <w:r w:rsidRPr="00DA3BC7">
        <w:rPr>
          <w:rFonts w:hint="eastAsia"/>
        </w:rPr>
        <w:t>，始能善巧</w:t>
      </w:r>
      <w:r w:rsidRPr="00DA3BC7">
        <w:rPr>
          <w:rFonts w:hint="eastAsia"/>
          <w:b/>
        </w:rPr>
        <w:t>中道</w:t>
      </w:r>
      <w:r w:rsidRPr="00DA3BC7">
        <w:rPr>
          <w:rFonts w:hint="eastAsia"/>
        </w:rPr>
        <w:t>。</w:t>
      </w:r>
    </w:p>
    <w:p w:rsidR="00C0247D" w:rsidRPr="00DA3BC7" w:rsidRDefault="00C0247D" w:rsidP="00AE3920">
      <w:pPr>
        <w:spacing w:beforeLines="30"/>
        <w:ind w:leftChars="150" w:left="360"/>
        <w:jc w:val="both"/>
        <w:rPr>
          <w:b/>
          <w:sz w:val="20"/>
          <w:szCs w:val="20"/>
          <w:bdr w:val="single" w:sz="4" w:space="0" w:color="auto"/>
        </w:rPr>
      </w:pPr>
      <w:r w:rsidRPr="00C0247D">
        <w:rPr>
          <w:rFonts w:hint="eastAsia"/>
          <w:b/>
          <w:color w:val="FF0000"/>
          <w:sz w:val="20"/>
          <w:szCs w:val="20"/>
          <w:highlight w:val="yellow"/>
          <w:bdr w:val="single" w:sz="4" w:space="0" w:color="auto"/>
        </w:rPr>
        <w:t>（二）</w:t>
      </w:r>
      <w:r>
        <w:rPr>
          <w:rFonts w:hint="eastAsia"/>
          <w:b/>
          <w:color w:val="FF0000"/>
          <w:sz w:val="20"/>
          <w:szCs w:val="20"/>
          <w:highlight w:val="yellow"/>
          <w:bdr w:val="single" w:sz="4" w:space="0" w:color="auto"/>
        </w:rPr>
        <w:t>兼論「天台宗義」</w:t>
      </w:r>
      <w:r w:rsidRPr="00DA3BC7">
        <w:rPr>
          <w:rFonts w:ascii="Times Ext Roman" w:hAnsi="Times Ext Roman" w:cs="Times Ext Roman" w:hint="eastAsia"/>
          <w:sz w:val="20"/>
        </w:rPr>
        <w:t>（</w:t>
      </w:r>
      <w:r w:rsidRPr="00DA3BC7">
        <w:rPr>
          <w:rFonts w:ascii="Times New Roman" w:hAnsi="Times New Roman" w:cs="Times Ext Roman" w:hint="eastAsia"/>
          <w:sz w:val="20"/>
        </w:rPr>
        <w:t>p</w:t>
      </w:r>
      <w:r w:rsidRPr="00DA3BC7">
        <w:rPr>
          <w:rFonts w:ascii="Times Ext Roman" w:hAnsi="Times Ext Roman" w:cs="Times Ext Roman" w:hint="eastAsia"/>
          <w:sz w:val="20"/>
        </w:rPr>
        <w:t>.</w:t>
      </w:r>
      <w:r w:rsidRPr="00DA3BC7">
        <w:rPr>
          <w:rFonts w:ascii="Times New Roman" w:hAnsi="Times New Roman" w:cs="Times Ext Roman" w:hint="eastAsia"/>
          <w:sz w:val="20"/>
        </w:rPr>
        <w:t>192</w:t>
      </w:r>
      <w:r w:rsidRPr="00DA3BC7">
        <w:rPr>
          <w:rFonts w:ascii="Times Ext Roman" w:hAnsi="Times Ext Roman" w:cs="Times Ext Roman" w:hint="eastAsia"/>
          <w:sz w:val="20"/>
        </w:rPr>
        <w:t>）</w:t>
      </w:r>
    </w:p>
    <w:p w:rsidR="00AA120F" w:rsidRPr="00DA3BC7" w:rsidRDefault="00AA120F" w:rsidP="00E45051">
      <w:pPr>
        <w:ind w:leftChars="150" w:left="360"/>
        <w:jc w:val="both"/>
        <w:sectPr w:rsidR="00AA120F" w:rsidRPr="00DA3BC7" w:rsidSect="004F4714">
          <w:headerReference w:type="even" r:id="rId59"/>
          <w:headerReference w:type="default" r:id="rId60"/>
          <w:footnotePr>
            <w:numRestart w:val="eachSect"/>
          </w:footnotePr>
          <w:pgSz w:w="10773" w:h="14742" w:code="155"/>
          <w:pgMar w:top="1418" w:right="1418" w:bottom="1418" w:left="1418" w:header="851" w:footer="992" w:gutter="0"/>
          <w:cols w:space="425"/>
          <w:docGrid w:type="lines" w:linePitch="360"/>
        </w:sectPr>
      </w:pPr>
      <w:r w:rsidRPr="00DA3BC7">
        <w:rPr>
          <w:rFonts w:hint="eastAsia"/>
        </w:rPr>
        <w:t>中土的天臺宗，從龍樹的思想而來，受時代思潮的影響，多少有妙有不空的氣息；但法法</w:t>
      </w:r>
      <w:r w:rsidRPr="00DA3BC7">
        <w:rPr>
          <w:rFonts w:hint="eastAsia"/>
          <w:b/>
        </w:rPr>
        <w:t>畢竟空</w:t>
      </w:r>
      <w:r w:rsidRPr="00DA3BC7">
        <w:rPr>
          <w:rFonts w:hint="eastAsia"/>
        </w:rPr>
        <w:t>，法法</w:t>
      </w:r>
      <w:r w:rsidRPr="00DA3BC7">
        <w:rPr>
          <w:rFonts w:hint="eastAsia"/>
          <w:b/>
        </w:rPr>
        <w:t>宛然有</w:t>
      </w:r>
      <w:r w:rsidRPr="00DA3BC7">
        <w:rPr>
          <w:rFonts w:hint="eastAsia"/>
        </w:rPr>
        <w:t>，較之他宗，仍與</w:t>
      </w:r>
      <w:r w:rsidRPr="00DA3BC7">
        <w:rPr>
          <w:rFonts w:hint="eastAsia"/>
          <w:b/>
        </w:rPr>
        <w:t>中觀</w:t>
      </w:r>
      <w:r w:rsidRPr="00DA3BC7">
        <w:rPr>
          <w:rFonts w:hint="eastAsia"/>
        </w:rPr>
        <w:t>義相近。</w:t>
      </w:r>
    </w:p>
    <w:p w:rsidR="00AA120F" w:rsidRPr="00DA3BC7" w:rsidRDefault="00AA120F" w:rsidP="008E2BBC">
      <w:pPr>
        <w:pStyle w:val="1"/>
      </w:pPr>
      <w:bookmarkStart w:id="125" w:name="_Toc405499795"/>
      <w:r w:rsidRPr="00DA3BC7">
        <w:rPr>
          <w:rFonts w:hint="eastAsia"/>
        </w:rPr>
        <w:lastRenderedPageBreak/>
        <w:t>第九章、現象與實性之中道</w:t>
      </w:r>
      <w:bookmarkEnd w:id="125"/>
    </w:p>
    <w:p w:rsidR="00AA120F" w:rsidRPr="00DA3BC7" w:rsidRDefault="00AA120F" w:rsidP="008E2BBC">
      <w:pPr>
        <w:pStyle w:val="2"/>
      </w:pPr>
      <w:bookmarkStart w:id="126" w:name="_Toc405499796"/>
      <w:r w:rsidRPr="00DA3BC7">
        <w:rPr>
          <w:rFonts w:hint="eastAsia"/>
        </w:rPr>
        <w:t>第二節、即、離、中道</w:t>
      </w:r>
      <w:bookmarkEnd w:id="126"/>
    </w:p>
    <w:p w:rsidR="00AA120F" w:rsidRPr="00DA3BC7" w:rsidRDefault="00AA120F" w:rsidP="008E2BBC">
      <w:pPr>
        <w:jc w:val="center"/>
      </w:pPr>
      <w:r w:rsidRPr="00DA3BC7">
        <w:t>（</w:t>
      </w:r>
      <w:r w:rsidRPr="00DA3BC7">
        <w:rPr>
          <w:rFonts w:ascii="Times New Roman" w:hAnsi="Times New Roman"/>
        </w:rPr>
        <w:t>pp</w:t>
      </w:r>
      <w:r w:rsidRPr="00DA3BC7">
        <w:t>.</w:t>
      </w:r>
      <w:r w:rsidRPr="00DA3BC7">
        <w:rPr>
          <w:rFonts w:ascii="Times New Roman" w:hAnsi="Times New Roman"/>
        </w:rPr>
        <w:t>192</w:t>
      </w:r>
      <w:r w:rsidRPr="00DA3BC7">
        <w:t>-</w:t>
      </w:r>
      <w:r w:rsidRPr="00DA3BC7">
        <w:rPr>
          <w:rFonts w:ascii="Times New Roman" w:hAnsi="Times New Roman"/>
        </w:rPr>
        <w:t>203</w:t>
      </w:r>
      <w:r w:rsidRPr="00DA3BC7">
        <w:t>）</w:t>
      </w:r>
    </w:p>
    <w:p w:rsidR="00AA120F" w:rsidRPr="00DA3BC7" w:rsidRDefault="00AA120F" w:rsidP="008E2BBC">
      <w:pPr>
        <w:pStyle w:val="Author"/>
      </w:pPr>
    </w:p>
    <w:p w:rsidR="00AA120F" w:rsidRPr="00DA3BC7" w:rsidRDefault="00AA120F" w:rsidP="00AE3920">
      <w:pPr>
        <w:spacing w:beforeLines="50"/>
        <w:jc w:val="both"/>
        <w:rPr>
          <w:rFonts w:ascii="Arial" w:eastAsia="SimSun" w:hAnsi="Arial" w:cs="Arial"/>
          <w:kern w:val="0"/>
        </w:rPr>
      </w:pPr>
      <w:r w:rsidRPr="00DA3BC7">
        <w:rPr>
          <w:rFonts w:ascii="新細明體" w:hAnsi="新細明體" w:cs="Times Ext Roman" w:hint="eastAsia"/>
          <w:b/>
          <w:sz w:val="20"/>
          <w:szCs w:val="20"/>
          <w:bdr w:val="single" w:sz="4" w:space="0" w:color="auto"/>
        </w:rPr>
        <w:t>壹、</w:t>
      </w:r>
      <w:r w:rsidR="00F86138">
        <w:rPr>
          <w:rFonts w:ascii="新細明體" w:hAnsi="新細明體" w:cs="Times Ext Roman" w:hint="eastAsia"/>
          <w:b/>
          <w:color w:val="FF0000"/>
          <w:sz w:val="20"/>
          <w:szCs w:val="20"/>
          <w:highlight w:val="yellow"/>
          <w:bdr w:val="single" w:sz="4" w:space="0" w:color="auto"/>
        </w:rPr>
        <w:t>開章引題</w:t>
      </w:r>
      <w:r w:rsidRPr="00DA3BC7">
        <w:rPr>
          <w:rFonts w:ascii="Times New Roman" w:hAnsi="Times New Roman" w:hint="eastAsia"/>
          <w:sz w:val="20"/>
          <w:szCs w:val="20"/>
        </w:rPr>
        <w:t>（</w:t>
      </w:r>
      <w:r w:rsidRPr="00DA3BC7">
        <w:rPr>
          <w:rFonts w:ascii="Times New Roman" w:hAnsi="Times New Roman" w:hint="eastAsia"/>
          <w:sz w:val="20"/>
          <w:szCs w:val="20"/>
        </w:rPr>
        <w:t>pp.</w:t>
      </w:r>
      <w:r w:rsidRPr="00DA3BC7">
        <w:rPr>
          <w:rFonts w:ascii="Times New Roman" w:eastAsia="SimSun" w:hAnsi="Times New Roman" w:hint="eastAsia"/>
          <w:sz w:val="20"/>
          <w:szCs w:val="20"/>
        </w:rPr>
        <w:t>192</w:t>
      </w:r>
      <w:r w:rsidRPr="00DA3BC7">
        <w:rPr>
          <w:rFonts w:ascii="Times New Roman" w:hAnsi="Times New Roman" w:hint="eastAsia"/>
          <w:sz w:val="20"/>
          <w:szCs w:val="20"/>
        </w:rPr>
        <w:t>-193</w:t>
      </w:r>
      <w:r w:rsidRPr="00DA3BC7">
        <w:rPr>
          <w:rFonts w:ascii="Times New Roman" w:hAnsi="Times New Roman" w:hint="eastAsia"/>
          <w:sz w:val="20"/>
          <w:szCs w:val="20"/>
        </w:rPr>
        <w:t>）</w:t>
      </w:r>
    </w:p>
    <w:p w:rsidR="00E45051" w:rsidRDefault="00F86138" w:rsidP="00E45051">
      <w:pPr>
        <w:ind w:leftChars="50" w:left="120"/>
        <w:jc w:val="both"/>
        <w:rPr>
          <w:rFonts w:ascii="Times New Roman" w:hAnsi="Times New Roman"/>
          <w:sz w:val="20"/>
          <w:szCs w:val="20"/>
        </w:rPr>
      </w:pPr>
      <w:r w:rsidRPr="00F86138">
        <w:rPr>
          <w:rFonts w:ascii="新細明體" w:hAnsi="新細明體" w:cs="Times Ext Roman" w:hint="eastAsia"/>
          <w:b/>
          <w:color w:val="FF0000"/>
          <w:sz w:val="20"/>
          <w:szCs w:val="20"/>
          <w:highlight w:val="yellow"/>
          <w:bdr w:val="single" w:sz="4" w:space="0" w:color="auto"/>
        </w:rPr>
        <w:t>（壹）</w:t>
      </w:r>
      <w:r>
        <w:rPr>
          <w:rFonts w:ascii="新細明體" w:hAnsi="新細明體" w:cs="Times Ext Roman" w:hint="eastAsia"/>
          <w:b/>
          <w:color w:val="FF0000"/>
          <w:sz w:val="20"/>
          <w:szCs w:val="20"/>
          <w:highlight w:val="yellow"/>
          <w:bdr w:val="single" w:sz="4" w:space="0" w:color="auto"/>
        </w:rPr>
        <w:t>敘前啟後</w:t>
      </w:r>
      <w:r w:rsidRPr="00DA3BC7">
        <w:rPr>
          <w:rFonts w:ascii="Times New Roman" w:hAnsi="Times New Roman" w:hint="eastAsia"/>
          <w:sz w:val="20"/>
          <w:szCs w:val="20"/>
        </w:rPr>
        <w:t>（</w:t>
      </w:r>
      <w:r w:rsidRPr="00DA3BC7">
        <w:rPr>
          <w:rFonts w:ascii="Times New Roman" w:hAnsi="Times New Roman" w:hint="eastAsia"/>
          <w:sz w:val="20"/>
          <w:szCs w:val="20"/>
        </w:rPr>
        <w:t>p.</w:t>
      </w:r>
      <w:r w:rsidRPr="00DA3BC7">
        <w:rPr>
          <w:rFonts w:ascii="Times New Roman" w:eastAsia="SimSun" w:hAnsi="Times New Roman" w:hint="eastAsia"/>
          <w:sz w:val="20"/>
          <w:szCs w:val="20"/>
        </w:rPr>
        <w:t>19</w:t>
      </w:r>
      <w:r w:rsidRPr="00F86138">
        <w:rPr>
          <w:rFonts w:ascii="Times New Roman" w:eastAsiaTheme="minorEastAsia" w:hAnsi="Times New Roman" w:hint="eastAsia"/>
          <w:sz w:val="20"/>
          <w:szCs w:val="20"/>
        </w:rPr>
        <w:t>2</w:t>
      </w:r>
      <w:r w:rsidRPr="00DA3BC7">
        <w:rPr>
          <w:rFonts w:ascii="Times New Roman" w:hAnsi="Times New Roman" w:hint="eastAsia"/>
          <w:sz w:val="20"/>
          <w:szCs w:val="20"/>
        </w:rPr>
        <w:t>）</w:t>
      </w:r>
    </w:p>
    <w:p w:rsidR="00AA120F" w:rsidRPr="00DA3BC7" w:rsidRDefault="00AA120F" w:rsidP="00E45051">
      <w:pPr>
        <w:ind w:leftChars="50" w:left="120"/>
        <w:jc w:val="both"/>
        <w:rPr>
          <w:rFonts w:ascii="Times New Roman" w:hAnsi="Times New Roman"/>
          <w:kern w:val="0"/>
        </w:rPr>
      </w:pPr>
      <w:r w:rsidRPr="009D0A5E">
        <w:rPr>
          <w:rFonts w:ascii="新細明體" w:hAnsi="新細明體" w:cs="Arial"/>
          <w:b/>
          <w:kern w:val="0"/>
          <w:u w:val="wave" w:color="C00000"/>
        </w:rPr>
        <w:t>太過</w:t>
      </w:r>
      <w:r w:rsidRPr="00DA3BC7">
        <w:rPr>
          <w:rFonts w:ascii="新細明體" w:hAnsi="新細明體" w:cs="Arial"/>
          <w:kern w:val="0"/>
        </w:rPr>
        <w:t>與</w:t>
      </w:r>
      <w:r w:rsidRPr="009D0A5E">
        <w:rPr>
          <w:rFonts w:ascii="新細明體" w:hAnsi="新細明體" w:cs="Arial"/>
          <w:b/>
          <w:kern w:val="0"/>
          <w:u w:val="wave" w:color="C00000"/>
        </w:rPr>
        <w:t>不及</w:t>
      </w:r>
      <w:r w:rsidRPr="00DA3BC7">
        <w:rPr>
          <w:rFonts w:ascii="新細明體" w:hAnsi="新細明體" w:cs="Arial"/>
          <w:kern w:val="0"/>
        </w:rPr>
        <w:t>，側重在</w:t>
      </w:r>
      <w:r w:rsidRPr="009D0A5E">
        <w:rPr>
          <w:rFonts w:ascii="新細明體" w:hAnsi="新細明體" w:cs="Arial"/>
          <w:kern w:val="0"/>
          <w:u w:val="wave" w:color="C00000"/>
        </w:rPr>
        <w:t>從</w:t>
      </w:r>
      <w:r w:rsidRPr="009D0A5E">
        <w:rPr>
          <w:rFonts w:ascii="新細明體" w:hAnsi="新細明體" w:cs="Arial"/>
          <w:b/>
          <w:kern w:val="0"/>
          <w:u w:val="wave" w:color="C00000"/>
        </w:rPr>
        <w:t>緣起</w:t>
      </w:r>
      <w:r w:rsidRPr="009D0A5E">
        <w:rPr>
          <w:rFonts w:ascii="新細明體" w:hAnsi="新細明體" w:cs="Arial"/>
          <w:kern w:val="0"/>
          <w:u w:val="wave" w:color="C00000"/>
        </w:rPr>
        <w:t>以明</w:t>
      </w:r>
      <w:r w:rsidRPr="009D0A5E">
        <w:rPr>
          <w:rFonts w:ascii="新細明體" w:hAnsi="新細明體" w:cs="Arial"/>
          <w:b/>
          <w:kern w:val="0"/>
          <w:u w:val="wave" w:color="C00000"/>
        </w:rPr>
        <w:t>空</w:t>
      </w:r>
      <w:r w:rsidRPr="00DA3BC7">
        <w:rPr>
          <w:rFonts w:ascii="新細明體" w:hAnsi="新細明體" w:cs="Arial"/>
          <w:kern w:val="0"/>
        </w:rPr>
        <w:t>，現在從</w:t>
      </w:r>
      <w:r w:rsidRPr="009D0A5E">
        <w:rPr>
          <w:rFonts w:ascii="新細明體" w:hAnsi="新細明體" w:cs="Arial"/>
          <w:b/>
          <w:kern w:val="0"/>
          <w:u w:val="wave" w:color="C00000"/>
        </w:rPr>
        <w:t>現象</w:t>
      </w:r>
      <w:r w:rsidRPr="009D0A5E">
        <w:rPr>
          <w:rFonts w:ascii="新細明體" w:hAnsi="新細明體" w:cs="Arial"/>
          <w:kern w:val="0"/>
          <w:u w:val="wave" w:color="C00000"/>
        </w:rPr>
        <w:t>與</w:t>
      </w:r>
      <w:r w:rsidRPr="009D0A5E">
        <w:rPr>
          <w:rFonts w:ascii="新細明體" w:hAnsi="新細明體" w:cs="Arial"/>
          <w:b/>
          <w:kern w:val="0"/>
          <w:u w:val="wave" w:color="C00000"/>
        </w:rPr>
        <w:t>本性</w:t>
      </w:r>
      <w:r w:rsidRPr="009D0A5E">
        <w:rPr>
          <w:rFonts w:ascii="新細明體" w:hAnsi="新細明體" w:cs="Arial"/>
          <w:kern w:val="0"/>
          <w:u w:val="wave" w:color="C00000"/>
        </w:rPr>
        <w:t>的綜</w:t>
      </w:r>
      <w:r w:rsidRPr="009D0A5E">
        <w:rPr>
          <w:rFonts w:ascii="Times New Roman" w:hAnsi="Times New Roman"/>
          <w:kern w:val="0"/>
          <w:u w:val="wave" w:color="C00000"/>
        </w:rPr>
        <w:t>貫</w:t>
      </w:r>
      <w:r w:rsidRPr="00DA3BC7">
        <w:rPr>
          <w:rFonts w:ascii="Times New Roman" w:hAnsi="Times New Roman"/>
          <w:kern w:val="0"/>
        </w:rPr>
        <w:t>來說。</w:t>
      </w:r>
      <w:r w:rsidRPr="00DA3BC7">
        <w:rPr>
          <w:rStyle w:val="a6"/>
          <w:rFonts w:ascii="Times New Roman" w:hAnsi="Times New Roman"/>
          <w:kern w:val="0"/>
        </w:rPr>
        <w:footnoteReference w:id="857"/>
      </w:r>
    </w:p>
    <w:p w:rsidR="00F86138" w:rsidRPr="00F86138" w:rsidRDefault="00F86138" w:rsidP="00AE3920">
      <w:pPr>
        <w:widowControl/>
        <w:spacing w:beforeLines="30"/>
        <w:ind w:leftChars="50" w:left="120"/>
        <w:jc w:val="both"/>
        <w:rPr>
          <w:rFonts w:ascii="新細明體" w:hAnsi="新細明體" w:cs="Times Ext Roman"/>
          <w:b/>
          <w:color w:val="FF0000"/>
          <w:sz w:val="20"/>
          <w:szCs w:val="20"/>
          <w:highlight w:val="yellow"/>
          <w:bdr w:val="single" w:sz="4" w:space="0" w:color="auto"/>
        </w:rPr>
      </w:pPr>
      <w:r w:rsidRPr="00F86138">
        <w:rPr>
          <w:rFonts w:ascii="新細明體" w:hAnsi="新細明體" w:cs="Times Ext Roman" w:hint="eastAsia"/>
          <w:b/>
          <w:color w:val="FF0000"/>
          <w:sz w:val="20"/>
          <w:szCs w:val="20"/>
          <w:highlight w:val="yellow"/>
          <w:bdr w:val="single" w:sz="4" w:space="0" w:color="auto"/>
        </w:rPr>
        <w:t>（貳）</w:t>
      </w:r>
      <w:r>
        <w:rPr>
          <w:rFonts w:ascii="新細明體" w:hAnsi="新細明體" w:cs="Times Ext Roman" w:hint="eastAsia"/>
          <w:b/>
          <w:color w:val="FF0000"/>
          <w:sz w:val="20"/>
          <w:szCs w:val="20"/>
          <w:highlight w:val="yellow"/>
          <w:bdr w:val="single" w:sz="4" w:space="0" w:color="auto"/>
        </w:rPr>
        <w:t>標舉議題</w:t>
      </w:r>
      <w:r w:rsidRPr="00DA3BC7">
        <w:rPr>
          <w:rFonts w:ascii="Times New Roman" w:hAnsi="Times New Roman" w:hint="eastAsia"/>
          <w:sz w:val="20"/>
          <w:szCs w:val="20"/>
        </w:rPr>
        <w:t>（</w:t>
      </w:r>
      <w:r w:rsidRPr="00DA3BC7">
        <w:rPr>
          <w:rFonts w:ascii="Times New Roman" w:hAnsi="Times New Roman" w:hint="eastAsia"/>
          <w:sz w:val="20"/>
          <w:szCs w:val="20"/>
        </w:rPr>
        <w:t>pp.</w:t>
      </w:r>
      <w:r w:rsidRPr="00DA3BC7">
        <w:rPr>
          <w:rFonts w:ascii="Times New Roman" w:eastAsia="SimSun" w:hAnsi="Times New Roman" w:hint="eastAsia"/>
          <w:sz w:val="20"/>
          <w:szCs w:val="20"/>
        </w:rPr>
        <w:t>192</w:t>
      </w:r>
      <w:r w:rsidRPr="00DA3BC7">
        <w:rPr>
          <w:rFonts w:ascii="Times New Roman" w:hAnsi="Times New Roman" w:hint="eastAsia"/>
          <w:sz w:val="20"/>
          <w:szCs w:val="20"/>
        </w:rPr>
        <w:t>-193</w:t>
      </w:r>
      <w:r w:rsidRPr="00DA3BC7">
        <w:rPr>
          <w:rFonts w:ascii="Times New Roman" w:hAnsi="Times New Roman" w:hint="eastAsia"/>
          <w:sz w:val="20"/>
          <w:szCs w:val="20"/>
        </w:rPr>
        <w:t>）</w:t>
      </w:r>
    </w:p>
    <w:p w:rsidR="00AA120F" w:rsidRPr="00DA3BC7" w:rsidRDefault="00AA120F" w:rsidP="00E45051">
      <w:pPr>
        <w:widowControl/>
        <w:ind w:leftChars="50" w:left="120"/>
        <w:jc w:val="both"/>
        <w:rPr>
          <w:rFonts w:ascii="Times New Roman" w:hAnsi="Times New Roman"/>
          <w:kern w:val="0"/>
        </w:rPr>
      </w:pPr>
      <w:r w:rsidRPr="009D0A5E">
        <w:rPr>
          <w:rFonts w:ascii="新細明體" w:hAnsi="新細明體" w:cs="Arial"/>
          <w:b/>
          <w:kern w:val="0"/>
        </w:rPr>
        <w:t>現象</w:t>
      </w:r>
      <w:r w:rsidRPr="00DA3BC7">
        <w:rPr>
          <w:rFonts w:ascii="新細明體" w:hAnsi="新細明體" w:cs="Arial"/>
          <w:kern w:val="0"/>
        </w:rPr>
        <w:t>與</w:t>
      </w:r>
      <w:r w:rsidRPr="009D0A5E">
        <w:rPr>
          <w:rFonts w:ascii="新細明體" w:hAnsi="新細明體" w:cs="Arial"/>
          <w:b/>
          <w:kern w:val="0"/>
        </w:rPr>
        <w:t>本性</w:t>
      </w:r>
      <w:r w:rsidRPr="00DA3BC7">
        <w:rPr>
          <w:rFonts w:ascii="新細明體" w:hAnsi="新細明體" w:cs="Arial"/>
          <w:kern w:val="0"/>
        </w:rPr>
        <w:t>，關涉的方面很廣</w:t>
      </w:r>
      <w:r w:rsidRPr="00DA3BC7">
        <w:rPr>
          <w:rFonts w:ascii="新細明體" w:hAnsi="新細明體" w:cs="Arial" w:hint="eastAsia"/>
          <w:kern w:val="0"/>
        </w:rPr>
        <w:t>，</w:t>
      </w:r>
      <w:r w:rsidRPr="00DA3BC7">
        <w:rPr>
          <w:rFonts w:ascii="新細明體" w:hAnsi="新細明體" w:cs="Arial"/>
          <w:kern w:val="0"/>
        </w:rPr>
        <w:t>如外道以及一般哲學上的</w:t>
      </w:r>
      <w:r w:rsidRPr="00DA3BC7">
        <w:rPr>
          <w:rFonts w:ascii="新細明體" w:hAnsi="新細明體" w:cs="Arial"/>
          <w:b/>
          <w:kern w:val="0"/>
        </w:rPr>
        <w:t>本體</w:t>
      </w:r>
      <w:r w:rsidRPr="009D0A5E">
        <w:rPr>
          <w:rFonts w:ascii="新細明體" w:hAnsi="新細明體" w:cs="Arial"/>
          <w:kern w:val="0"/>
        </w:rPr>
        <w:t>與</w:t>
      </w:r>
      <w:r w:rsidRPr="00DA3BC7">
        <w:rPr>
          <w:rFonts w:ascii="新細明體" w:hAnsi="新細明體" w:cs="Arial"/>
          <w:b/>
          <w:kern w:val="0"/>
        </w:rPr>
        <w:t>現象</w:t>
      </w:r>
      <w:r w:rsidRPr="00DA3BC7">
        <w:rPr>
          <w:rFonts w:ascii="新細明體" w:hAnsi="新細明體" w:cs="Arial"/>
          <w:kern w:val="0"/>
        </w:rPr>
        <w:t>、</w:t>
      </w:r>
      <w:r w:rsidRPr="00DA3BC7">
        <w:rPr>
          <w:rFonts w:ascii="新細明體" w:hAnsi="新細明體" w:cs="Arial"/>
          <w:b/>
          <w:kern w:val="0"/>
        </w:rPr>
        <w:t>實在</w:t>
      </w:r>
      <w:r w:rsidRPr="009D0A5E">
        <w:rPr>
          <w:rFonts w:ascii="新細明體" w:hAnsi="新細明體" w:cs="Arial"/>
          <w:kern w:val="0"/>
        </w:rPr>
        <w:t>與</w:t>
      </w:r>
      <w:r w:rsidRPr="00DA3BC7">
        <w:rPr>
          <w:rFonts w:ascii="新細明體" w:hAnsi="新細明體" w:cs="Arial"/>
          <w:b/>
          <w:kern w:val="0"/>
        </w:rPr>
        <w:t>假相</w:t>
      </w:r>
      <w:r w:rsidRPr="00DA3BC7">
        <w:rPr>
          <w:rFonts w:ascii="新細明體" w:hAnsi="新細明體" w:cs="Arial"/>
          <w:kern w:val="0"/>
        </w:rPr>
        <w:t>等，都可說與此論題有關</w:t>
      </w:r>
      <w:r w:rsidRPr="00DA3BC7">
        <w:rPr>
          <w:rFonts w:ascii="Times New Roman" w:hAnsi="Times New Roman"/>
          <w:kern w:val="0"/>
        </w:rPr>
        <w:t>。</w:t>
      </w:r>
    </w:p>
    <w:p w:rsidR="00AA120F" w:rsidRPr="00DA3BC7" w:rsidRDefault="00AA120F" w:rsidP="00AE3920">
      <w:pPr>
        <w:widowControl/>
        <w:spacing w:beforeLines="20"/>
        <w:ind w:leftChars="50" w:left="120"/>
        <w:jc w:val="both"/>
        <w:rPr>
          <w:rFonts w:ascii="新細明體" w:eastAsia="SimSun" w:hAnsi="新細明體" w:cs="Arial"/>
          <w:kern w:val="0"/>
        </w:rPr>
      </w:pPr>
      <w:r w:rsidRPr="00DA3BC7">
        <w:rPr>
          <w:rFonts w:ascii="新細明體" w:hAnsi="新細明體" w:cs="Arial"/>
          <w:kern w:val="0"/>
        </w:rPr>
        <w:t>對於現實的宇宙、人生，要能把握到它的究竟真相，無論是</w:t>
      </w:r>
      <w:r w:rsidRPr="00DA3BC7">
        <w:rPr>
          <w:rFonts w:ascii="新細明體" w:hAnsi="新細明體" w:cs="Arial"/>
          <w:b/>
          <w:kern w:val="0"/>
        </w:rPr>
        <w:t>說明上、悟證上</w:t>
      </w:r>
      <w:r w:rsidRPr="00DA3BC7">
        <w:rPr>
          <w:rFonts w:ascii="新細明體" w:hAnsi="新細明體" w:cs="Arial"/>
          <w:kern w:val="0"/>
        </w:rPr>
        <w:t>，都不能不分別，但又不能分成判然</w:t>
      </w:r>
      <w:r w:rsidRPr="00DA3BC7">
        <w:rPr>
          <w:rStyle w:val="a6"/>
          <w:rFonts w:ascii="Times New Roman" w:hAnsi="Times New Roman"/>
          <w:kern w:val="0"/>
        </w:rPr>
        <w:footnoteReference w:id="858"/>
      </w:r>
      <w:r w:rsidRPr="00DA3BC7">
        <w:rPr>
          <w:rFonts w:ascii="新細明體" w:hAnsi="新細明體" w:cs="Arial"/>
          <w:kern w:val="0"/>
        </w:rPr>
        <w:t>的兩截。</w:t>
      </w:r>
    </w:p>
    <w:p w:rsidR="00AA120F" w:rsidRPr="00DA3BC7" w:rsidRDefault="00AA120F" w:rsidP="00AE3920">
      <w:pPr>
        <w:widowControl/>
        <w:spacing w:beforeLines="20"/>
        <w:ind w:leftChars="50" w:left="120"/>
        <w:jc w:val="both"/>
        <w:rPr>
          <w:rFonts w:ascii="新細明體" w:hAnsi="新細明體" w:cs="Arial"/>
          <w:kern w:val="0"/>
        </w:rPr>
      </w:pPr>
      <w:r w:rsidRPr="00DA3BC7">
        <w:rPr>
          <w:rFonts w:ascii="新細明體" w:hAnsi="新細明體" w:cs="Arial"/>
          <w:kern w:val="0"/>
        </w:rPr>
        <w:t>從相對的差別說明中，此現象與本性，或緣起與性空，此兩者的關係究竟怎樣？</w:t>
      </w:r>
      <w:r w:rsidR="00F86138" w:rsidRPr="00F86138">
        <w:rPr>
          <w:rFonts w:ascii="新細明體" w:hAnsi="新細明體" w:cs="Arial"/>
          <w:kern w:val="0"/>
          <w:highlight w:val="yellow"/>
        </w:rPr>
        <w:t>現</w:t>
      </w:r>
      <w:r w:rsidR="00F86138" w:rsidRPr="00DA3BC7">
        <w:rPr>
          <w:rFonts w:ascii="新細明體" w:hAnsi="新細明體" w:cs="Arial"/>
          <w:kern w:val="0"/>
        </w:rPr>
        <w:t>象在本性之外</w:t>
      </w:r>
      <w:r w:rsidR="00F86138" w:rsidRPr="00DA3BC7">
        <w:rPr>
          <w:rFonts w:ascii="新細明體" w:hAnsi="新細明體" w:cs="Arial" w:hint="eastAsia"/>
          <w:kern w:val="0"/>
        </w:rPr>
        <w:t>？</w:t>
      </w:r>
      <w:r w:rsidR="00F86138" w:rsidRPr="00DA3BC7">
        <w:rPr>
          <w:rFonts w:ascii="新細明體" w:hAnsi="新細明體" w:cs="Arial"/>
          <w:kern w:val="0"/>
        </w:rPr>
        <w:t>還是在本性之中？</w:t>
      </w:r>
    </w:p>
    <w:p w:rsidR="00AA120F" w:rsidRPr="00DA3BC7" w:rsidRDefault="00AA120F" w:rsidP="00AE3920">
      <w:pPr>
        <w:widowControl/>
        <w:spacing w:beforeLines="20"/>
        <w:ind w:leftChars="50" w:left="120"/>
        <w:jc w:val="both"/>
        <w:rPr>
          <w:rFonts w:ascii="新細明體" w:eastAsia="SimSun" w:hAnsi="新細明體" w:cs="Arial"/>
          <w:kern w:val="0"/>
        </w:rPr>
      </w:pPr>
      <w:r w:rsidRPr="00DA3BC7">
        <w:rPr>
          <w:rFonts w:ascii="新細明體" w:hAnsi="新細明體" w:cs="Arial"/>
          <w:kern w:val="0"/>
        </w:rPr>
        <w:t>此一問題，在佛教、神教與哲學上，有多種見解的不同。</w:t>
      </w:r>
    </w:p>
    <w:p w:rsidR="00AA120F" w:rsidRPr="00DA3BC7" w:rsidRDefault="00AA120F" w:rsidP="00AE3920">
      <w:pPr>
        <w:widowControl/>
        <w:spacing w:beforeLines="30"/>
        <w:jc w:val="both"/>
        <w:rPr>
          <w:rFonts w:ascii="Arial" w:eastAsia="SimSun" w:hAnsi="Arial" w:cs="Arial"/>
          <w:kern w:val="0"/>
        </w:rPr>
      </w:pPr>
      <w:r w:rsidRPr="00F86138">
        <w:rPr>
          <w:rFonts w:ascii="新細明體" w:hAnsi="新細明體" w:cs="Times Ext Roman" w:hint="eastAsia"/>
          <w:b/>
          <w:color w:val="FF0000"/>
          <w:sz w:val="20"/>
          <w:szCs w:val="20"/>
          <w:highlight w:val="yellow"/>
          <w:bdr w:val="single" w:sz="4" w:space="0" w:color="auto"/>
        </w:rPr>
        <w:t>貳、</w:t>
      </w:r>
      <w:r w:rsidR="00F86138" w:rsidRPr="00F86138">
        <w:rPr>
          <w:rFonts w:ascii="新細明體" w:hAnsi="新細明體" w:cs="Times Ext Roman" w:hint="eastAsia"/>
          <w:b/>
          <w:color w:val="FF0000"/>
          <w:sz w:val="20"/>
          <w:szCs w:val="20"/>
          <w:highlight w:val="yellow"/>
          <w:bdr w:val="single" w:sz="4" w:space="0" w:color="auto"/>
        </w:rPr>
        <w:t>依義詳辨</w:t>
      </w:r>
      <w:r w:rsidRPr="00DA3BC7">
        <w:rPr>
          <w:rFonts w:ascii="Times New Roman" w:hAnsi="Times New Roman" w:hint="eastAsia"/>
          <w:sz w:val="20"/>
          <w:szCs w:val="20"/>
        </w:rPr>
        <w:t>（</w:t>
      </w:r>
      <w:r w:rsidRPr="00DA3BC7">
        <w:rPr>
          <w:rFonts w:ascii="Times New Roman" w:hAnsi="Times New Roman" w:hint="eastAsia"/>
          <w:sz w:val="20"/>
          <w:szCs w:val="20"/>
        </w:rPr>
        <w:t>pp.</w:t>
      </w:r>
      <w:r w:rsidRPr="00DA3BC7">
        <w:rPr>
          <w:rFonts w:ascii="Times New Roman" w:eastAsia="SimSun" w:hAnsi="Times New Roman" w:hint="eastAsia"/>
          <w:sz w:val="20"/>
          <w:szCs w:val="20"/>
        </w:rPr>
        <w:t>193</w:t>
      </w:r>
      <w:r w:rsidRPr="00DA3BC7">
        <w:rPr>
          <w:rFonts w:ascii="Times New Roman" w:hAnsi="Times New Roman" w:hint="eastAsia"/>
          <w:sz w:val="20"/>
          <w:szCs w:val="20"/>
        </w:rPr>
        <w:t>-</w:t>
      </w:r>
      <w:r w:rsidR="00F86138">
        <w:rPr>
          <w:rFonts w:ascii="Times New Roman" w:hAnsi="Times New Roman" w:hint="eastAsia"/>
          <w:sz w:val="20"/>
          <w:szCs w:val="20"/>
        </w:rPr>
        <w:t>203</w:t>
      </w:r>
      <w:r w:rsidRPr="00DA3BC7">
        <w:rPr>
          <w:rFonts w:ascii="Times New Roman" w:hAnsi="Times New Roman" w:hint="eastAsia"/>
          <w:sz w:val="20"/>
          <w:szCs w:val="20"/>
        </w:rPr>
        <w:t>）</w:t>
      </w:r>
    </w:p>
    <w:p w:rsidR="00AA120F" w:rsidRDefault="00AA120F" w:rsidP="008E2BBC">
      <w:pPr>
        <w:ind w:leftChars="50" w:left="120"/>
        <w:jc w:val="both"/>
        <w:rPr>
          <w:rFonts w:ascii="Times New Roman" w:hAnsi="Times New Roman"/>
          <w:sz w:val="20"/>
          <w:szCs w:val="20"/>
        </w:rPr>
      </w:pPr>
      <w:r w:rsidRPr="00F86138">
        <w:rPr>
          <w:rFonts w:ascii="新細明體" w:hAnsi="新細明體" w:cs="Times Ext Roman" w:hint="eastAsia"/>
          <w:b/>
          <w:color w:val="FF0000"/>
          <w:sz w:val="20"/>
          <w:szCs w:val="20"/>
          <w:highlight w:val="yellow"/>
          <w:bdr w:val="single" w:sz="4" w:space="0" w:color="auto"/>
        </w:rPr>
        <w:t>（壹）</w:t>
      </w:r>
      <w:r w:rsidR="00F86138">
        <w:rPr>
          <w:rFonts w:ascii="新細明體" w:hAnsi="新細明體" w:cs="Times Ext Roman" w:hint="eastAsia"/>
          <w:b/>
          <w:color w:val="FF0000"/>
          <w:sz w:val="20"/>
          <w:szCs w:val="20"/>
          <w:highlight w:val="yellow"/>
          <w:bdr w:val="single" w:sz="4" w:space="0" w:color="auto"/>
        </w:rPr>
        <w:t>直顯正義</w:t>
      </w:r>
      <w:r w:rsidR="00DE4B35" w:rsidRPr="00DA3BC7">
        <w:rPr>
          <w:rFonts w:ascii="Times New Roman" w:hAnsi="Times New Roman" w:hint="eastAsia"/>
          <w:sz w:val="20"/>
          <w:szCs w:val="20"/>
        </w:rPr>
        <w:t>（</w:t>
      </w:r>
      <w:r w:rsidR="00DE4B35" w:rsidRPr="00DA3BC7">
        <w:rPr>
          <w:rFonts w:ascii="Times New Roman" w:hAnsi="Times New Roman" w:hint="eastAsia"/>
          <w:sz w:val="20"/>
          <w:szCs w:val="20"/>
        </w:rPr>
        <w:t>pp.</w:t>
      </w:r>
      <w:r w:rsidR="00DE4B35" w:rsidRPr="00DA3BC7">
        <w:rPr>
          <w:rFonts w:ascii="Times New Roman" w:eastAsia="SimSun" w:hAnsi="Times New Roman" w:hint="eastAsia"/>
          <w:sz w:val="20"/>
          <w:szCs w:val="20"/>
        </w:rPr>
        <w:t>193</w:t>
      </w:r>
      <w:r w:rsidR="00DE4B35" w:rsidRPr="00DA3BC7">
        <w:rPr>
          <w:rFonts w:ascii="Times New Roman" w:hAnsi="Times New Roman" w:hint="eastAsia"/>
          <w:sz w:val="20"/>
          <w:szCs w:val="20"/>
        </w:rPr>
        <w:t>-19</w:t>
      </w:r>
      <w:r w:rsidR="00DE4B35">
        <w:rPr>
          <w:rFonts w:ascii="Times New Roman" w:hAnsi="Times New Roman" w:hint="eastAsia"/>
          <w:sz w:val="20"/>
          <w:szCs w:val="20"/>
        </w:rPr>
        <w:t>5</w:t>
      </w:r>
      <w:r w:rsidR="00DE4B35" w:rsidRPr="00DA3BC7">
        <w:rPr>
          <w:rFonts w:ascii="Times New Roman" w:hAnsi="Times New Roman" w:hint="eastAsia"/>
          <w:sz w:val="20"/>
          <w:szCs w:val="20"/>
        </w:rPr>
        <w:t>）</w:t>
      </w:r>
    </w:p>
    <w:p w:rsidR="00F86138" w:rsidRPr="00F86138" w:rsidRDefault="00F86138" w:rsidP="00E45051">
      <w:pPr>
        <w:ind w:leftChars="100" w:left="240"/>
        <w:jc w:val="both"/>
        <w:rPr>
          <w:rFonts w:ascii="新細明體" w:hAnsi="新細明體" w:cs="Times Ext Roman"/>
          <w:b/>
          <w:color w:val="FF0000"/>
          <w:sz w:val="20"/>
          <w:szCs w:val="20"/>
          <w:highlight w:val="yellow"/>
          <w:bdr w:val="single" w:sz="4" w:space="0" w:color="auto"/>
        </w:rPr>
      </w:pPr>
      <w:r w:rsidRPr="00F86138">
        <w:rPr>
          <w:rFonts w:ascii="新細明體" w:hAnsi="新細明體" w:cs="Times Ext Roman" w:hint="eastAsia"/>
          <w:b/>
          <w:color w:val="FF0000"/>
          <w:sz w:val="20"/>
          <w:szCs w:val="20"/>
          <w:highlight w:val="yellow"/>
          <w:bdr w:val="single" w:sz="4" w:space="0" w:color="auto"/>
        </w:rPr>
        <w:t>一、正述</w:t>
      </w:r>
      <w:r w:rsidR="00DE4B35" w:rsidRPr="00DA3BC7">
        <w:rPr>
          <w:rFonts w:ascii="Times New Roman" w:hAnsi="Times New Roman" w:hint="eastAsia"/>
          <w:sz w:val="20"/>
          <w:szCs w:val="20"/>
        </w:rPr>
        <w:t>（</w:t>
      </w:r>
      <w:r w:rsidR="00DE4B35" w:rsidRPr="00DA3BC7">
        <w:rPr>
          <w:rFonts w:ascii="Times New Roman" w:hAnsi="Times New Roman" w:hint="eastAsia"/>
          <w:sz w:val="20"/>
          <w:szCs w:val="20"/>
        </w:rPr>
        <w:t>p.</w:t>
      </w:r>
      <w:r w:rsidR="00DE4B35" w:rsidRPr="00DA3BC7">
        <w:rPr>
          <w:rFonts w:ascii="Times New Roman" w:eastAsia="SimSun" w:hAnsi="Times New Roman" w:hint="eastAsia"/>
          <w:sz w:val="20"/>
          <w:szCs w:val="20"/>
        </w:rPr>
        <w:t>193</w:t>
      </w:r>
      <w:r w:rsidR="00DE4B35" w:rsidRPr="00DA3BC7">
        <w:rPr>
          <w:rFonts w:ascii="Times New Roman" w:hAnsi="Times New Roman" w:hint="eastAsia"/>
          <w:sz w:val="20"/>
          <w:szCs w:val="20"/>
        </w:rPr>
        <w:t>）</w:t>
      </w:r>
    </w:p>
    <w:p w:rsidR="00AA120F" w:rsidRPr="00DA3BC7" w:rsidRDefault="00AA120F" w:rsidP="00E45051">
      <w:pPr>
        <w:widowControl/>
        <w:ind w:leftChars="100" w:left="240"/>
        <w:jc w:val="both"/>
        <w:rPr>
          <w:rFonts w:ascii="新細明體" w:hAnsi="新細明體" w:cs="Arial"/>
          <w:kern w:val="0"/>
        </w:rPr>
      </w:pPr>
      <w:r w:rsidRPr="009D0A5E">
        <w:rPr>
          <w:rFonts w:ascii="新細明體" w:hAnsi="新細明體" w:cs="Arial"/>
          <w:b/>
          <w:kern w:val="0"/>
        </w:rPr>
        <w:t>中觀家</w:t>
      </w:r>
      <w:r w:rsidRPr="00DA3BC7">
        <w:rPr>
          <w:rFonts w:ascii="新細明體" w:hAnsi="新細明體" w:cs="Arial"/>
          <w:kern w:val="0"/>
        </w:rPr>
        <w:t>對現象與本性，發揮其不即不離的中道義。</w:t>
      </w:r>
    </w:p>
    <w:p w:rsidR="00AA120F" w:rsidRPr="00DA3BC7" w:rsidRDefault="00F86138" w:rsidP="00AE3920">
      <w:pPr>
        <w:widowControl/>
        <w:spacing w:beforeLines="30"/>
        <w:ind w:leftChars="100" w:left="240"/>
        <w:jc w:val="both"/>
        <w:rPr>
          <w:rFonts w:ascii="新細明體" w:hAnsi="新細明體" w:cs="Times Ext Roman"/>
          <w:b/>
          <w:sz w:val="20"/>
          <w:szCs w:val="20"/>
          <w:bdr w:val="single" w:sz="4" w:space="0" w:color="auto"/>
        </w:rPr>
      </w:pPr>
      <w:r w:rsidRPr="00F86138">
        <w:rPr>
          <w:rFonts w:ascii="新細明體" w:hAnsi="新細明體" w:cs="Times Ext Roman" w:hint="eastAsia"/>
          <w:b/>
          <w:color w:val="FF0000"/>
          <w:sz w:val="20"/>
          <w:szCs w:val="20"/>
          <w:highlight w:val="yellow"/>
          <w:bdr w:val="single" w:sz="4" w:space="0" w:color="auto"/>
        </w:rPr>
        <w:t>二</w:t>
      </w:r>
      <w:r w:rsidR="00AA120F" w:rsidRPr="00F86138">
        <w:rPr>
          <w:rFonts w:ascii="新細明體" w:hAnsi="新細明體" w:cs="Times Ext Roman" w:hint="eastAsia"/>
          <w:b/>
          <w:color w:val="FF0000"/>
          <w:sz w:val="20"/>
          <w:szCs w:val="20"/>
          <w:highlight w:val="yellow"/>
          <w:bdr w:val="single" w:sz="4" w:space="0" w:color="auto"/>
        </w:rPr>
        <w:t>、</w:t>
      </w:r>
      <w:r w:rsidRPr="00F86138">
        <w:rPr>
          <w:rFonts w:ascii="新細明體" w:hAnsi="新細明體" w:cs="Times Ext Roman" w:hint="eastAsia"/>
          <w:b/>
          <w:color w:val="FF0000"/>
          <w:sz w:val="20"/>
          <w:szCs w:val="20"/>
          <w:highlight w:val="yellow"/>
          <w:bdr w:val="single" w:sz="4" w:space="0" w:color="auto"/>
        </w:rPr>
        <w:t>約「</w:t>
      </w:r>
      <w:r w:rsidR="008103AC">
        <w:rPr>
          <w:rFonts w:ascii="新細明體" w:hAnsi="新細明體" w:cs="Times Ext Roman" w:hint="eastAsia"/>
          <w:b/>
          <w:color w:val="FF0000"/>
          <w:sz w:val="20"/>
          <w:szCs w:val="20"/>
          <w:highlight w:val="yellow"/>
          <w:bdr w:val="single" w:sz="4" w:space="0" w:color="auto"/>
        </w:rPr>
        <w:t>時代</w:t>
      </w:r>
      <w:r w:rsidRPr="00F86138">
        <w:rPr>
          <w:rFonts w:ascii="新細明體" w:hAnsi="新細明體" w:cs="Times Ext Roman" w:hint="eastAsia"/>
          <w:b/>
          <w:color w:val="FF0000"/>
          <w:sz w:val="20"/>
          <w:szCs w:val="20"/>
          <w:highlight w:val="yellow"/>
          <w:bdr w:val="single" w:sz="4" w:space="0" w:color="auto"/>
        </w:rPr>
        <w:t>思潮」論</w:t>
      </w:r>
      <w:r w:rsidRPr="00DA3BC7">
        <w:rPr>
          <w:rFonts w:ascii="Times New Roman" w:hAnsi="Times New Roman" w:hint="eastAsia"/>
          <w:sz w:val="20"/>
          <w:szCs w:val="20"/>
        </w:rPr>
        <w:t>（</w:t>
      </w:r>
      <w:r w:rsidRPr="00DA3BC7">
        <w:rPr>
          <w:rFonts w:ascii="Times New Roman" w:hAnsi="Times New Roman" w:hint="eastAsia"/>
          <w:sz w:val="20"/>
          <w:szCs w:val="20"/>
        </w:rPr>
        <w:t>pp.</w:t>
      </w:r>
      <w:r w:rsidRPr="00DA3BC7">
        <w:rPr>
          <w:rFonts w:ascii="Times New Roman" w:eastAsia="SimSun" w:hAnsi="Times New Roman" w:hint="eastAsia"/>
          <w:sz w:val="20"/>
          <w:szCs w:val="20"/>
        </w:rPr>
        <w:t>193</w:t>
      </w:r>
      <w:r w:rsidRPr="00DA3BC7">
        <w:rPr>
          <w:rFonts w:ascii="Times New Roman" w:hAnsi="Times New Roman" w:hint="eastAsia"/>
          <w:sz w:val="20"/>
          <w:szCs w:val="20"/>
        </w:rPr>
        <w:t>-19</w:t>
      </w:r>
      <w:r>
        <w:rPr>
          <w:rFonts w:ascii="Times New Roman" w:hAnsi="Times New Roman" w:hint="eastAsia"/>
          <w:sz w:val="20"/>
          <w:szCs w:val="20"/>
        </w:rPr>
        <w:t>5</w:t>
      </w:r>
      <w:r w:rsidRPr="00DA3BC7">
        <w:rPr>
          <w:rFonts w:ascii="Times New Roman" w:hAnsi="Times New Roman" w:hint="eastAsia"/>
          <w:sz w:val="20"/>
          <w:szCs w:val="20"/>
        </w:rPr>
        <w:t>）</w:t>
      </w:r>
    </w:p>
    <w:p w:rsidR="00F86138" w:rsidRDefault="00F86138" w:rsidP="00E45051">
      <w:pPr>
        <w:ind w:leftChars="150" w:left="360"/>
        <w:jc w:val="both"/>
        <w:rPr>
          <w:rFonts w:ascii="Times New Roman" w:hAnsi="Times New Roman"/>
          <w:sz w:val="20"/>
          <w:szCs w:val="20"/>
        </w:rPr>
      </w:pPr>
      <w:r w:rsidRPr="00F86138">
        <w:rPr>
          <w:rFonts w:ascii="新細明體" w:hAnsi="新細明體" w:cs="Times Ext Roman" w:hint="eastAsia"/>
          <w:b/>
          <w:color w:val="FF0000"/>
          <w:sz w:val="20"/>
          <w:szCs w:val="20"/>
          <w:highlight w:val="yellow"/>
          <w:bdr w:val="single" w:sz="4" w:space="0" w:color="auto"/>
        </w:rPr>
        <w:t>（</w:t>
      </w:r>
      <w:r>
        <w:rPr>
          <w:rFonts w:ascii="新細明體" w:hAnsi="新細明體" w:cs="Times Ext Roman" w:hint="eastAsia"/>
          <w:b/>
          <w:color w:val="FF0000"/>
          <w:sz w:val="20"/>
          <w:szCs w:val="20"/>
          <w:highlight w:val="yellow"/>
          <w:bdr w:val="single" w:sz="4" w:space="0" w:color="auto"/>
        </w:rPr>
        <w:t>一</w:t>
      </w:r>
      <w:r w:rsidRPr="00F86138">
        <w:rPr>
          <w:rFonts w:ascii="新細明體" w:hAnsi="新細明體" w:cs="Times Ext Roman" w:hint="eastAsia"/>
          <w:b/>
          <w:color w:val="FF0000"/>
          <w:sz w:val="20"/>
          <w:szCs w:val="20"/>
          <w:highlight w:val="yellow"/>
          <w:bdr w:val="single" w:sz="4" w:space="0" w:color="auto"/>
        </w:rPr>
        <w:t>）</w:t>
      </w:r>
      <w:r>
        <w:rPr>
          <w:rFonts w:ascii="新細明體" w:hAnsi="新細明體" w:cs="Times Ext Roman" w:hint="eastAsia"/>
          <w:b/>
          <w:color w:val="FF0000"/>
          <w:sz w:val="20"/>
          <w:szCs w:val="20"/>
          <w:highlight w:val="yellow"/>
          <w:bdr w:val="single" w:sz="4" w:space="0" w:color="auto"/>
        </w:rPr>
        <w:t>敘</w:t>
      </w:r>
      <w:r w:rsidR="008103AC">
        <w:rPr>
          <w:rFonts w:ascii="新細明體" w:hAnsi="新細明體" w:cs="Times Ext Roman" w:hint="eastAsia"/>
          <w:b/>
          <w:color w:val="FF0000"/>
          <w:sz w:val="20"/>
          <w:szCs w:val="20"/>
          <w:highlight w:val="yellow"/>
          <w:bdr w:val="single" w:sz="4" w:space="0" w:color="auto"/>
        </w:rPr>
        <w:t>事</w:t>
      </w:r>
      <w:r w:rsidRPr="00DA3BC7">
        <w:rPr>
          <w:rFonts w:ascii="Times New Roman" w:hAnsi="Times New Roman" w:hint="eastAsia"/>
          <w:sz w:val="20"/>
          <w:szCs w:val="20"/>
        </w:rPr>
        <w:t>（</w:t>
      </w:r>
      <w:r w:rsidRPr="00DA3BC7">
        <w:rPr>
          <w:rFonts w:ascii="Times New Roman" w:hAnsi="Times New Roman" w:hint="eastAsia"/>
          <w:sz w:val="20"/>
          <w:szCs w:val="20"/>
        </w:rPr>
        <w:t>p.</w:t>
      </w:r>
      <w:r w:rsidRPr="00DA3BC7">
        <w:rPr>
          <w:rFonts w:ascii="Times New Roman" w:eastAsia="SimSun" w:hAnsi="Times New Roman" w:hint="eastAsia"/>
          <w:sz w:val="20"/>
          <w:szCs w:val="20"/>
        </w:rPr>
        <w:t>193</w:t>
      </w:r>
      <w:r w:rsidRPr="00DA3BC7">
        <w:rPr>
          <w:rFonts w:ascii="Times New Roman" w:hAnsi="Times New Roman" w:hint="eastAsia"/>
          <w:sz w:val="20"/>
          <w:szCs w:val="20"/>
        </w:rPr>
        <w:t>）</w:t>
      </w:r>
    </w:p>
    <w:p w:rsidR="00F86138" w:rsidRPr="00F86138" w:rsidRDefault="00F86138" w:rsidP="00E45051">
      <w:pPr>
        <w:ind w:leftChars="200" w:left="480"/>
        <w:jc w:val="both"/>
        <w:rPr>
          <w:rFonts w:ascii="Times New Roman" w:hAnsi="Times New Roman"/>
          <w:b/>
          <w:color w:val="FF0000"/>
          <w:sz w:val="20"/>
          <w:szCs w:val="20"/>
        </w:rPr>
      </w:pPr>
      <w:r w:rsidRPr="00F86138">
        <w:rPr>
          <w:rFonts w:ascii="Times New Roman" w:hAnsi="Times New Roman" w:hint="eastAsia"/>
          <w:b/>
          <w:color w:val="FF0000"/>
          <w:sz w:val="20"/>
          <w:szCs w:val="20"/>
          <w:highlight w:val="yellow"/>
          <w:bdr w:val="single" w:sz="4" w:space="0" w:color="auto"/>
        </w:rPr>
        <w:t>1</w:t>
      </w:r>
      <w:r w:rsidRPr="00F86138">
        <w:rPr>
          <w:rFonts w:ascii="Times New Roman" w:hAnsi="Times New Roman" w:hint="eastAsia"/>
          <w:b/>
          <w:color w:val="FF0000"/>
          <w:sz w:val="20"/>
          <w:szCs w:val="20"/>
          <w:highlight w:val="yellow"/>
          <w:bdr w:val="single" w:sz="4" w:space="0" w:color="auto"/>
        </w:rPr>
        <w:t>、根本佛教之說</w:t>
      </w:r>
      <w:r w:rsidRPr="00DA3BC7">
        <w:rPr>
          <w:rFonts w:ascii="Times New Roman" w:hAnsi="Times New Roman" w:hint="eastAsia"/>
          <w:sz w:val="20"/>
          <w:szCs w:val="20"/>
        </w:rPr>
        <w:t>（</w:t>
      </w:r>
      <w:r w:rsidRPr="00DA3BC7">
        <w:rPr>
          <w:rFonts w:ascii="Times New Roman" w:hAnsi="Times New Roman" w:hint="eastAsia"/>
          <w:sz w:val="20"/>
          <w:szCs w:val="20"/>
        </w:rPr>
        <w:t>p.</w:t>
      </w:r>
      <w:r w:rsidRPr="00DA3BC7">
        <w:rPr>
          <w:rFonts w:ascii="Times New Roman" w:eastAsia="SimSun" w:hAnsi="Times New Roman" w:hint="eastAsia"/>
          <w:sz w:val="20"/>
          <w:szCs w:val="20"/>
        </w:rPr>
        <w:t>193</w:t>
      </w:r>
      <w:r w:rsidRPr="00DA3BC7">
        <w:rPr>
          <w:rFonts w:ascii="Times New Roman" w:hAnsi="Times New Roman" w:hint="eastAsia"/>
          <w:sz w:val="20"/>
          <w:szCs w:val="20"/>
        </w:rPr>
        <w:t>）</w:t>
      </w:r>
    </w:p>
    <w:p w:rsidR="00F86138" w:rsidRDefault="00AA120F" w:rsidP="00E45051">
      <w:pPr>
        <w:widowControl/>
        <w:ind w:leftChars="200" w:left="480"/>
        <w:jc w:val="both"/>
        <w:rPr>
          <w:rFonts w:ascii="新細明體" w:hAnsi="新細明體" w:cs="Arial"/>
          <w:kern w:val="0"/>
        </w:rPr>
      </w:pPr>
      <w:r w:rsidRPr="00DA3BC7">
        <w:rPr>
          <w:rFonts w:ascii="新細明體" w:hAnsi="新細明體" w:cs="Arial"/>
          <w:kern w:val="0"/>
        </w:rPr>
        <w:t>釋迦佛在世時，外道的主要者為婆羅門</w:t>
      </w:r>
      <w:r w:rsidRPr="00DA3BC7">
        <w:rPr>
          <w:rFonts w:ascii="新細明體" w:hAnsi="新細明體" w:cs="Arial" w:hint="eastAsia"/>
          <w:kern w:val="0"/>
        </w:rPr>
        <w:t>。</w:t>
      </w:r>
      <w:r w:rsidRPr="00DA3BC7">
        <w:rPr>
          <w:rFonts w:ascii="新細明體" w:hAnsi="新細明體" w:cs="Arial"/>
          <w:kern w:val="0"/>
        </w:rPr>
        <w:t>婆羅門教的基本思想是本體論</w:t>
      </w:r>
      <w:r w:rsidRPr="00DA3BC7">
        <w:rPr>
          <w:rStyle w:val="a6"/>
          <w:rFonts w:ascii="Times New Roman" w:hAnsi="Times New Roman"/>
          <w:kern w:val="0"/>
        </w:rPr>
        <w:footnoteReference w:id="859"/>
      </w:r>
      <w:r w:rsidRPr="00DA3BC7">
        <w:rPr>
          <w:rFonts w:ascii="新細明體" w:hAnsi="新細明體" w:cs="Arial"/>
          <w:kern w:val="0"/>
        </w:rPr>
        <w:t>的</w:t>
      </w:r>
      <w:r w:rsidRPr="00DA3BC7">
        <w:rPr>
          <w:rFonts w:ascii="新細明體" w:hAnsi="新細明體" w:cs="Arial" w:hint="eastAsia"/>
          <w:kern w:val="0"/>
        </w:rPr>
        <w:t>、</w:t>
      </w:r>
      <w:r w:rsidRPr="00DA3BC7">
        <w:rPr>
          <w:rFonts w:ascii="新細明體" w:hAnsi="新細明體" w:cs="Arial"/>
          <w:kern w:val="0"/>
        </w:rPr>
        <w:t>一元論的</w:t>
      </w:r>
      <w:r w:rsidRPr="00DA3BC7">
        <w:rPr>
          <w:rFonts w:ascii="新細明體" w:hAnsi="新細明體" w:cs="Arial" w:hint="eastAsia"/>
          <w:kern w:val="0"/>
        </w:rPr>
        <w:t>，</w:t>
      </w:r>
      <w:r w:rsidRPr="00DA3BC7">
        <w:rPr>
          <w:rFonts w:ascii="新細明體" w:hAnsi="新細明體" w:cs="Arial"/>
          <w:kern w:val="0"/>
        </w:rPr>
        <w:t>以為宇宙與人生是唯一本體──梵或我等的顯現，把自我看為真實、常住、不變、妙樂的。</w:t>
      </w:r>
    </w:p>
    <w:p w:rsidR="00AA120F" w:rsidRPr="00DA3BC7" w:rsidRDefault="00AA120F" w:rsidP="00E45051">
      <w:pPr>
        <w:widowControl/>
        <w:ind w:leftChars="200" w:left="480"/>
        <w:jc w:val="both"/>
        <w:rPr>
          <w:rFonts w:ascii="新細明體" w:eastAsia="SimSun" w:hAnsi="新細明體" w:cs="Arial"/>
          <w:kern w:val="0"/>
        </w:rPr>
      </w:pPr>
      <w:r w:rsidRPr="00F86138">
        <w:rPr>
          <w:rFonts w:ascii="新細明體" w:hAnsi="新細明體" w:cs="Arial"/>
          <w:kern w:val="0"/>
          <w:highlight w:val="yellow"/>
        </w:rPr>
        <w:lastRenderedPageBreak/>
        <w:t>佛</w:t>
      </w:r>
      <w:r w:rsidRPr="00DA3BC7">
        <w:rPr>
          <w:rFonts w:ascii="新細明體" w:hAnsi="新細明體" w:cs="Arial"/>
          <w:kern w:val="0"/>
        </w:rPr>
        <w:t>法為破除此種思想，故特重於分析、否定。</w:t>
      </w:r>
    </w:p>
    <w:p w:rsidR="00AA120F" w:rsidRPr="00DA3BC7" w:rsidRDefault="00AA120F" w:rsidP="00E45051">
      <w:pPr>
        <w:widowControl/>
        <w:ind w:leftChars="200" w:left="480"/>
        <w:jc w:val="both"/>
        <w:rPr>
          <w:rFonts w:ascii="新細明體" w:eastAsia="SimSun" w:hAnsi="新細明體" w:cs="Arial"/>
          <w:kern w:val="0"/>
        </w:rPr>
      </w:pPr>
      <w:r w:rsidRPr="00DA3BC7">
        <w:rPr>
          <w:rFonts w:ascii="新細明體" w:hAnsi="新細明體" w:cs="Arial"/>
          <w:kern w:val="0"/>
        </w:rPr>
        <w:t>如說五蘊、十二入、十八界等</w:t>
      </w:r>
      <w:r w:rsidRPr="00DA3BC7">
        <w:rPr>
          <w:rFonts w:ascii="新細明體" w:hAnsi="新細明體" w:cs="Arial" w:hint="eastAsia"/>
          <w:kern w:val="0"/>
        </w:rPr>
        <w:t>，</w:t>
      </w:r>
      <w:r w:rsidRPr="00DA3BC7">
        <w:rPr>
          <w:rFonts w:ascii="新細明體" w:hAnsi="新細明體" w:cs="Arial"/>
          <w:kern w:val="0"/>
        </w:rPr>
        <w:t>是分析的</w:t>
      </w:r>
      <w:r w:rsidRPr="00DA3BC7">
        <w:rPr>
          <w:rFonts w:ascii="新細明體" w:hAnsi="新細明體" w:cs="Arial" w:hint="eastAsia"/>
          <w:kern w:val="0"/>
        </w:rPr>
        <w:t>；</w:t>
      </w:r>
      <w:r w:rsidRPr="00DA3BC7">
        <w:rPr>
          <w:rFonts w:ascii="新細明體" w:hAnsi="新細明體" w:cs="Arial"/>
          <w:kern w:val="0"/>
        </w:rPr>
        <w:t>說無常、無我、無生等</w:t>
      </w:r>
      <w:r w:rsidRPr="00DA3BC7">
        <w:rPr>
          <w:rFonts w:ascii="新細明體" w:hAnsi="新細明體" w:cs="Arial" w:hint="eastAsia"/>
          <w:kern w:val="0"/>
        </w:rPr>
        <w:t>，</w:t>
      </w:r>
      <w:r w:rsidRPr="00DA3BC7">
        <w:rPr>
          <w:rFonts w:ascii="新細明體" w:hAnsi="新細明體" w:cs="Arial"/>
          <w:kern w:val="0"/>
        </w:rPr>
        <w:t>是否定的。此是初期佛法的特色。</w:t>
      </w:r>
    </w:p>
    <w:p w:rsidR="00AA120F" w:rsidRPr="00DA3BC7" w:rsidRDefault="00AA120F" w:rsidP="00AE3920">
      <w:pPr>
        <w:widowControl/>
        <w:spacing w:beforeLines="20"/>
        <w:ind w:leftChars="200" w:left="480"/>
        <w:jc w:val="both"/>
        <w:rPr>
          <w:rFonts w:ascii="新細明體" w:eastAsia="SimSun" w:hAnsi="新細明體" w:cs="Arial"/>
          <w:kern w:val="0"/>
        </w:rPr>
      </w:pPr>
      <w:r w:rsidRPr="00DA3BC7">
        <w:rPr>
          <w:rFonts w:ascii="新細明體" w:hAnsi="新細明體" w:cs="Arial"/>
          <w:kern w:val="0"/>
        </w:rPr>
        <w:t>佛教的根本教義，是</w:t>
      </w:r>
      <w:r w:rsidRPr="00DA3BC7">
        <w:rPr>
          <w:rFonts w:ascii="新細明體" w:hAnsi="新細明體" w:cs="Arial"/>
          <w:b/>
          <w:kern w:val="0"/>
        </w:rPr>
        <w:t>用差別分析以破一</w:t>
      </w:r>
      <w:r w:rsidRPr="00DA3BC7">
        <w:rPr>
          <w:rFonts w:ascii="新細明體" w:hAnsi="新細明體" w:cs="Arial"/>
          <w:kern w:val="0"/>
        </w:rPr>
        <w:t>，</w:t>
      </w:r>
      <w:r w:rsidRPr="00DA3BC7">
        <w:rPr>
          <w:rFonts w:ascii="新細明體" w:hAnsi="新細明體" w:cs="Arial"/>
          <w:b/>
          <w:kern w:val="0"/>
        </w:rPr>
        <w:t>以無我等否定以破真實</w:t>
      </w:r>
      <w:r w:rsidRPr="00DA3BC7">
        <w:rPr>
          <w:rFonts w:ascii="新細明體" w:hAnsi="新細明體" w:cs="Arial"/>
          <w:kern w:val="0"/>
        </w:rPr>
        <w:t>。</w:t>
      </w:r>
    </w:p>
    <w:p w:rsidR="00AA120F" w:rsidRPr="00DA3BC7" w:rsidRDefault="00F86138" w:rsidP="00AE3920">
      <w:pPr>
        <w:widowControl/>
        <w:spacing w:beforeLines="30"/>
        <w:ind w:leftChars="200" w:left="480"/>
        <w:jc w:val="both"/>
        <w:rPr>
          <w:rFonts w:ascii="Times New Roman" w:hAnsi="Times New Roman"/>
          <w:b/>
          <w:sz w:val="20"/>
          <w:szCs w:val="20"/>
          <w:bdr w:val="single" w:sz="4" w:space="0" w:color="auto"/>
        </w:rPr>
      </w:pPr>
      <w:r w:rsidRPr="00F86138">
        <w:rPr>
          <w:rFonts w:ascii="Times New Roman" w:hAnsi="Times New Roman" w:hint="eastAsia"/>
          <w:b/>
          <w:color w:val="FF0000"/>
          <w:sz w:val="20"/>
          <w:szCs w:val="20"/>
          <w:highlight w:val="yellow"/>
          <w:bdr w:val="single" w:sz="4" w:space="0" w:color="auto"/>
        </w:rPr>
        <w:t>2</w:t>
      </w:r>
      <w:r w:rsidRPr="00F86138">
        <w:rPr>
          <w:rFonts w:ascii="Times New Roman" w:hAnsi="Times New Roman" w:hint="eastAsia"/>
          <w:b/>
          <w:color w:val="FF0000"/>
          <w:sz w:val="20"/>
          <w:szCs w:val="20"/>
          <w:highlight w:val="yellow"/>
          <w:bdr w:val="single" w:sz="4" w:space="0" w:color="auto"/>
        </w:rPr>
        <w:t>、</w:t>
      </w:r>
      <w:r w:rsidR="00AA120F" w:rsidRPr="00DA3BC7">
        <w:rPr>
          <w:rFonts w:ascii="新細明體" w:hAnsi="新細明體" w:cs="Times Ext Roman" w:hint="eastAsia"/>
          <w:b/>
          <w:sz w:val="20"/>
          <w:szCs w:val="20"/>
          <w:bdr w:val="single" w:sz="4" w:space="0" w:color="auto"/>
        </w:rPr>
        <w:t>部派佛教</w:t>
      </w:r>
      <w:r>
        <w:rPr>
          <w:rFonts w:ascii="新細明體" w:hAnsi="新細明體" w:cs="Times Ext Roman" w:hint="eastAsia"/>
          <w:b/>
          <w:color w:val="FF0000"/>
          <w:sz w:val="20"/>
          <w:szCs w:val="20"/>
          <w:highlight w:val="yellow"/>
          <w:bdr w:val="single" w:sz="4" w:space="0" w:color="auto"/>
        </w:rPr>
        <w:t>之說</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w:t>
      </w:r>
      <w:r w:rsidR="00AA120F" w:rsidRPr="00DA3BC7">
        <w:rPr>
          <w:rFonts w:ascii="Times New Roman" w:eastAsia="SimSun" w:hAnsi="Times New Roman" w:hint="eastAsia"/>
          <w:sz w:val="20"/>
          <w:szCs w:val="20"/>
        </w:rPr>
        <w:t>193</w:t>
      </w:r>
      <w:r w:rsidR="00AA120F" w:rsidRPr="00DA3BC7">
        <w:rPr>
          <w:rFonts w:ascii="Times New Roman" w:hAnsi="Times New Roman" w:hint="eastAsia"/>
          <w:sz w:val="20"/>
          <w:szCs w:val="20"/>
        </w:rPr>
        <w:t>）</w:t>
      </w:r>
    </w:p>
    <w:p w:rsidR="00AA120F" w:rsidRPr="00DA3BC7" w:rsidRDefault="00AA120F" w:rsidP="00E45051">
      <w:pPr>
        <w:widowControl/>
        <w:ind w:leftChars="200" w:left="480"/>
        <w:jc w:val="both"/>
        <w:rPr>
          <w:rFonts w:ascii="新細明體" w:eastAsia="SimSun" w:hAnsi="新細明體" w:cs="Arial"/>
          <w:kern w:val="0"/>
        </w:rPr>
      </w:pPr>
      <w:r w:rsidRPr="00DA3BC7">
        <w:rPr>
          <w:rFonts w:ascii="新細明體" w:hAnsi="新細明體" w:cs="Arial"/>
          <w:kern w:val="0"/>
        </w:rPr>
        <w:t>後來的佛教學者，有的不得佛意，執有差別之事相，對於世間出世間</w:t>
      </w:r>
      <w:r w:rsidRPr="00DA3BC7">
        <w:rPr>
          <w:rFonts w:ascii="新細明體" w:hAnsi="新細明體" w:cs="Arial" w:hint="eastAsia"/>
          <w:kern w:val="0"/>
        </w:rPr>
        <w:t>、</w:t>
      </w:r>
      <w:r w:rsidRPr="00DA3BC7">
        <w:rPr>
          <w:rFonts w:ascii="新細明體" w:hAnsi="新細明體" w:cs="Arial"/>
          <w:kern w:val="0"/>
        </w:rPr>
        <w:t>生死涅槃等，從</w:t>
      </w:r>
      <w:r w:rsidRPr="00DA3BC7">
        <w:rPr>
          <w:rFonts w:ascii="新細明體" w:hAnsi="新細明體" w:cs="Arial"/>
          <w:b/>
          <w:kern w:val="0"/>
        </w:rPr>
        <w:t>差別中求諸法的決定相</w:t>
      </w:r>
      <w:r w:rsidRPr="00DA3BC7">
        <w:rPr>
          <w:rFonts w:ascii="新細明體" w:hAnsi="新細明體" w:cs="Arial"/>
          <w:kern w:val="0"/>
        </w:rPr>
        <w:t>。</w:t>
      </w:r>
    </w:p>
    <w:p w:rsidR="00AA120F" w:rsidRPr="00DA3BC7" w:rsidRDefault="00F86138" w:rsidP="00AE3920">
      <w:pPr>
        <w:widowControl/>
        <w:spacing w:beforeLines="30"/>
        <w:ind w:leftChars="200" w:left="480"/>
        <w:jc w:val="both"/>
        <w:rPr>
          <w:rFonts w:ascii="新細明體" w:hAnsi="新細明體" w:cs="Times Ext Roman"/>
          <w:b/>
          <w:sz w:val="20"/>
          <w:szCs w:val="20"/>
          <w:bdr w:val="single" w:sz="4" w:space="0" w:color="auto"/>
        </w:rPr>
      </w:pPr>
      <w:r w:rsidRPr="00F86138">
        <w:rPr>
          <w:rFonts w:ascii="Times New Roman" w:hAnsi="Times New Roman" w:hint="eastAsia"/>
          <w:b/>
          <w:color w:val="FF0000"/>
          <w:sz w:val="20"/>
          <w:szCs w:val="20"/>
          <w:highlight w:val="yellow"/>
          <w:bdr w:val="single" w:sz="4" w:space="0" w:color="auto"/>
        </w:rPr>
        <w:t>3</w:t>
      </w:r>
      <w:r w:rsidRPr="00F86138">
        <w:rPr>
          <w:rFonts w:ascii="Times New Roman" w:hAnsi="Times New Roman" w:hint="eastAsia"/>
          <w:b/>
          <w:color w:val="FF0000"/>
          <w:sz w:val="20"/>
          <w:szCs w:val="20"/>
          <w:highlight w:val="yellow"/>
          <w:bdr w:val="single" w:sz="4" w:space="0" w:color="auto"/>
        </w:rPr>
        <w:t>、</w:t>
      </w:r>
      <w:r w:rsidR="00AA120F" w:rsidRPr="00DA3BC7">
        <w:rPr>
          <w:rFonts w:ascii="新細明體" w:hAnsi="新細明體" w:cs="Times Ext Roman"/>
          <w:b/>
          <w:sz w:val="20"/>
          <w:szCs w:val="20"/>
          <w:bdr w:val="single" w:sz="4" w:space="0" w:color="auto"/>
        </w:rPr>
        <w:t>大乘佛教</w:t>
      </w:r>
      <w:r>
        <w:rPr>
          <w:rFonts w:ascii="新細明體" w:hAnsi="新細明體" w:cs="Times Ext Roman" w:hint="eastAsia"/>
          <w:b/>
          <w:color w:val="FF0000"/>
          <w:sz w:val="20"/>
          <w:szCs w:val="20"/>
          <w:highlight w:val="yellow"/>
          <w:bdr w:val="single" w:sz="4" w:space="0" w:color="auto"/>
        </w:rPr>
        <w:t>之說</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w:t>
      </w:r>
      <w:r w:rsidR="00AA120F" w:rsidRPr="00DA3BC7">
        <w:rPr>
          <w:rFonts w:ascii="Times New Roman" w:eastAsia="SimSun" w:hAnsi="Times New Roman" w:hint="eastAsia"/>
          <w:sz w:val="20"/>
          <w:szCs w:val="20"/>
        </w:rPr>
        <w:t>193</w:t>
      </w:r>
      <w:r w:rsidR="00AA120F" w:rsidRPr="00DA3BC7">
        <w:rPr>
          <w:rFonts w:ascii="Times New Roman" w:hAnsi="Times New Roman" w:hint="eastAsia"/>
          <w:sz w:val="20"/>
          <w:szCs w:val="20"/>
        </w:rPr>
        <w:t>）</w:t>
      </w:r>
    </w:p>
    <w:p w:rsidR="008103AC" w:rsidRDefault="00AA120F" w:rsidP="00E45051">
      <w:pPr>
        <w:widowControl/>
        <w:ind w:leftChars="200" w:left="480"/>
        <w:jc w:val="both"/>
        <w:rPr>
          <w:rFonts w:ascii="新細明體" w:hAnsi="新細明體" w:cs="Arial"/>
          <w:kern w:val="0"/>
        </w:rPr>
      </w:pPr>
      <w:r w:rsidRPr="00DA3BC7">
        <w:rPr>
          <w:rFonts w:ascii="新細明體" w:hAnsi="新細明體" w:cs="Arial"/>
          <w:kern w:val="0"/>
        </w:rPr>
        <w:t>到了大乘佛教，特色即從</w:t>
      </w:r>
      <w:r w:rsidRPr="009D0A5E">
        <w:rPr>
          <w:rFonts w:ascii="新細明體" w:hAnsi="新細明體" w:cs="Arial"/>
          <w:b/>
          <w:kern w:val="0"/>
          <w:u w:val="wave" w:color="C00000"/>
        </w:rPr>
        <w:t>本性的平等一味</w:t>
      </w:r>
      <w:r w:rsidRPr="00DA3BC7">
        <w:rPr>
          <w:rFonts w:ascii="新細明體" w:hAnsi="新細明體" w:cs="Arial"/>
          <w:kern w:val="0"/>
        </w:rPr>
        <w:t>上，評破小乘的</w:t>
      </w:r>
      <w:r w:rsidRPr="009D0A5E">
        <w:rPr>
          <w:rFonts w:ascii="新細明體" w:hAnsi="新細明體" w:cs="Arial"/>
          <w:b/>
          <w:kern w:val="0"/>
          <w:u w:val="wave" w:color="C00000"/>
        </w:rPr>
        <w:t>各各自性差別</w:t>
      </w:r>
      <w:r w:rsidRPr="00DA3BC7">
        <w:rPr>
          <w:rFonts w:ascii="新細明體" w:hAnsi="新細明體" w:cs="Arial"/>
          <w:kern w:val="0"/>
        </w:rPr>
        <w:t>，說明</w:t>
      </w:r>
      <w:r w:rsidRPr="00DA3BC7">
        <w:rPr>
          <w:rFonts w:ascii="新細明體" w:hAnsi="新細明體" w:cs="Arial"/>
          <w:b/>
          <w:kern w:val="0"/>
        </w:rPr>
        <w:t>真如法性普遍而平等</w:t>
      </w:r>
      <w:r w:rsidRPr="00DA3BC7">
        <w:rPr>
          <w:rFonts w:ascii="新細明體" w:hAnsi="新細明體" w:cs="Arial"/>
          <w:kern w:val="0"/>
        </w:rPr>
        <w:t>。</w:t>
      </w:r>
    </w:p>
    <w:p w:rsidR="00AA120F" w:rsidRPr="00DA3BC7" w:rsidRDefault="00AA120F" w:rsidP="00E45051">
      <w:pPr>
        <w:widowControl/>
        <w:ind w:leftChars="200" w:left="480"/>
        <w:jc w:val="both"/>
        <w:rPr>
          <w:rFonts w:ascii="新細明體" w:hAnsi="新細明體" w:cs="Arial"/>
          <w:kern w:val="0"/>
        </w:rPr>
      </w:pPr>
      <w:r w:rsidRPr="008103AC">
        <w:rPr>
          <w:rFonts w:ascii="新細明體" w:hAnsi="新細明體" w:cs="Arial"/>
          <w:kern w:val="0"/>
          <w:highlight w:val="yellow"/>
        </w:rPr>
        <w:t>因</w:t>
      </w:r>
      <w:r w:rsidRPr="00DA3BC7">
        <w:rPr>
          <w:rFonts w:ascii="新細明體" w:hAnsi="新細明體" w:cs="Arial"/>
          <w:kern w:val="0"/>
        </w:rPr>
        <w:t>此，大乘佛法又極容易被誤解而轉計到本體論、唯一實在論去。</w:t>
      </w:r>
    </w:p>
    <w:p w:rsidR="00AA120F" w:rsidRPr="00DA3BC7" w:rsidRDefault="00AA120F" w:rsidP="00AE3920">
      <w:pPr>
        <w:widowControl/>
        <w:spacing w:beforeLines="30"/>
        <w:ind w:leftChars="150" w:left="360"/>
        <w:jc w:val="both"/>
        <w:rPr>
          <w:rFonts w:ascii="新細明體" w:hAnsi="新細明體" w:cs="Times Ext Roman"/>
          <w:b/>
          <w:sz w:val="20"/>
          <w:szCs w:val="20"/>
          <w:bdr w:val="single" w:sz="4" w:space="0" w:color="auto"/>
        </w:rPr>
      </w:pPr>
      <w:r w:rsidRPr="00F86138">
        <w:rPr>
          <w:rFonts w:ascii="新細明體" w:hAnsi="新細明體" w:cs="Times Ext Roman" w:hint="eastAsia"/>
          <w:b/>
          <w:color w:val="FF0000"/>
          <w:sz w:val="20"/>
          <w:szCs w:val="20"/>
          <w:highlight w:val="yellow"/>
          <w:bdr w:val="single" w:sz="4" w:space="0" w:color="auto"/>
        </w:rPr>
        <w:t>（</w:t>
      </w:r>
      <w:r w:rsidR="00F86138" w:rsidRPr="00F86138">
        <w:rPr>
          <w:rFonts w:ascii="新細明體" w:hAnsi="新細明體" w:cs="Times Ext Roman" w:hint="eastAsia"/>
          <w:b/>
          <w:color w:val="FF0000"/>
          <w:sz w:val="20"/>
          <w:szCs w:val="20"/>
          <w:highlight w:val="yellow"/>
          <w:bdr w:val="single" w:sz="4" w:space="0" w:color="auto"/>
        </w:rPr>
        <w:t>二</w:t>
      </w:r>
      <w:r w:rsidRPr="00F86138">
        <w:rPr>
          <w:rFonts w:ascii="新細明體" w:hAnsi="新細明體" w:cs="Times Ext Roman" w:hint="eastAsia"/>
          <w:b/>
          <w:color w:val="FF0000"/>
          <w:sz w:val="20"/>
          <w:szCs w:val="20"/>
          <w:highlight w:val="yellow"/>
          <w:bdr w:val="single" w:sz="4" w:space="0" w:color="auto"/>
        </w:rPr>
        <w:t>）</w:t>
      </w:r>
      <w:r w:rsidR="008103AC">
        <w:rPr>
          <w:rFonts w:ascii="新細明體" w:hAnsi="新細明體" w:cs="Times Ext Roman" w:hint="eastAsia"/>
          <w:b/>
          <w:color w:val="FF0000"/>
          <w:sz w:val="20"/>
          <w:szCs w:val="20"/>
          <w:highlight w:val="yellow"/>
          <w:bdr w:val="single" w:sz="4" w:space="0" w:color="auto"/>
        </w:rPr>
        <w:t>闡明</w:t>
      </w:r>
      <w:r w:rsidRPr="00DA3BC7">
        <w:rPr>
          <w:rFonts w:ascii="Times New Roman" w:hAnsi="Times New Roman" w:hint="eastAsia"/>
          <w:sz w:val="20"/>
          <w:szCs w:val="20"/>
        </w:rPr>
        <w:t>（</w:t>
      </w:r>
      <w:r w:rsidRPr="00DA3BC7">
        <w:rPr>
          <w:rFonts w:ascii="Times New Roman" w:hAnsi="Times New Roman" w:hint="eastAsia"/>
          <w:sz w:val="20"/>
          <w:szCs w:val="20"/>
        </w:rPr>
        <w:t>pp.</w:t>
      </w:r>
      <w:r w:rsidRPr="00DA3BC7">
        <w:rPr>
          <w:rFonts w:ascii="Times New Roman" w:eastAsia="SimSun" w:hAnsi="Times New Roman" w:hint="eastAsia"/>
          <w:sz w:val="20"/>
          <w:szCs w:val="20"/>
        </w:rPr>
        <w:t>193</w:t>
      </w:r>
      <w:r w:rsidRPr="00DA3BC7">
        <w:rPr>
          <w:rFonts w:ascii="Times New Roman" w:hAnsi="Times New Roman"/>
          <w:sz w:val="20"/>
          <w:szCs w:val="20"/>
        </w:rPr>
        <w:t>-</w:t>
      </w:r>
      <w:r w:rsidRPr="00DA3BC7">
        <w:rPr>
          <w:rFonts w:ascii="Times New Roman" w:eastAsia="SimSun" w:hAnsi="Times New Roman" w:hint="eastAsia"/>
          <w:sz w:val="20"/>
          <w:szCs w:val="20"/>
        </w:rPr>
        <w:t>194</w:t>
      </w:r>
      <w:r w:rsidRPr="00DA3BC7">
        <w:rPr>
          <w:rFonts w:ascii="Times New Roman" w:hAnsi="Times New Roman" w:hint="eastAsia"/>
          <w:sz w:val="20"/>
          <w:szCs w:val="20"/>
        </w:rPr>
        <w:t>）</w:t>
      </w:r>
    </w:p>
    <w:p w:rsidR="00AA120F" w:rsidRPr="00DA3BC7" w:rsidRDefault="00F86138" w:rsidP="00E45051">
      <w:pPr>
        <w:widowControl/>
        <w:ind w:leftChars="200" w:left="480"/>
        <w:jc w:val="both"/>
        <w:rPr>
          <w:rFonts w:ascii="新細明體" w:hAnsi="新細明體" w:cs="Times Ext Roman"/>
          <w:b/>
          <w:sz w:val="20"/>
          <w:szCs w:val="20"/>
          <w:bdr w:val="single" w:sz="4" w:space="0" w:color="auto"/>
        </w:rPr>
      </w:pPr>
      <w:r w:rsidRPr="00F86138">
        <w:rPr>
          <w:rFonts w:ascii="Times New Roman" w:hAnsi="Times New Roman" w:hint="eastAsia"/>
          <w:b/>
          <w:color w:val="FF0000"/>
          <w:sz w:val="20"/>
          <w:szCs w:val="20"/>
          <w:highlight w:val="yellow"/>
          <w:bdr w:val="single" w:sz="4" w:space="0" w:color="auto"/>
        </w:rPr>
        <w:t>1</w:t>
      </w:r>
      <w:r w:rsidR="00AA120F" w:rsidRPr="00F86138">
        <w:rPr>
          <w:rFonts w:ascii="Times New Roman" w:hAnsi="Times New Roman"/>
          <w:b/>
          <w:color w:val="FF0000"/>
          <w:sz w:val="20"/>
          <w:szCs w:val="20"/>
          <w:highlight w:val="yellow"/>
          <w:bdr w:val="single" w:sz="4" w:space="0" w:color="auto"/>
        </w:rPr>
        <w:t>、</w:t>
      </w:r>
      <w:r w:rsidRPr="00F86138">
        <w:rPr>
          <w:rFonts w:ascii="新細明體" w:hAnsi="新細明體" w:cs="Times Ext Roman" w:hint="eastAsia"/>
          <w:b/>
          <w:color w:val="FF0000"/>
          <w:sz w:val="20"/>
          <w:szCs w:val="20"/>
          <w:highlight w:val="yellow"/>
          <w:bdr w:val="single" w:sz="4" w:space="0" w:color="auto"/>
        </w:rPr>
        <w:t>辨「</w:t>
      </w:r>
      <w:r w:rsidR="00AA120F" w:rsidRPr="00F86138">
        <w:rPr>
          <w:rFonts w:ascii="新細明體" w:hAnsi="新細明體" w:cs="Times Ext Roman" w:hint="eastAsia"/>
          <w:b/>
          <w:color w:val="FF0000"/>
          <w:sz w:val="20"/>
          <w:szCs w:val="20"/>
          <w:highlight w:val="yellow"/>
          <w:bdr w:val="single" w:sz="4" w:space="0" w:color="auto"/>
        </w:rPr>
        <w:t>教法</w:t>
      </w:r>
      <w:r w:rsidRPr="00F86138">
        <w:rPr>
          <w:rFonts w:ascii="新細明體" w:hAnsi="新細明體" w:cs="Times Ext Roman" w:hint="eastAsia"/>
          <w:b/>
          <w:color w:val="FF0000"/>
          <w:sz w:val="20"/>
          <w:szCs w:val="20"/>
          <w:highlight w:val="yellow"/>
          <w:bdr w:val="single" w:sz="4" w:space="0" w:color="auto"/>
        </w:rPr>
        <w:t>之傾向」</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pp.</w:t>
      </w:r>
      <w:r w:rsidR="00AA120F" w:rsidRPr="00DA3BC7">
        <w:rPr>
          <w:rFonts w:ascii="Times New Roman" w:eastAsia="SimSun" w:hAnsi="Times New Roman" w:hint="eastAsia"/>
          <w:sz w:val="20"/>
          <w:szCs w:val="20"/>
        </w:rPr>
        <w:t>193</w:t>
      </w:r>
      <w:r w:rsidR="00AA120F" w:rsidRPr="00DA3BC7">
        <w:rPr>
          <w:rFonts w:ascii="Times New Roman" w:hAnsi="Times New Roman"/>
          <w:sz w:val="20"/>
          <w:szCs w:val="20"/>
        </w:rPr>
        <w:t>-</w:t>
      </w:r>
      <w:r w:rsidR="00AA120F" w:rsidRPr="00DA3BC7">
        <w:rPr>
          <w:rFonts w:ascii="Times New Roman" w:eastAsia="SimSun" w:hAnsi="Times New Roman" w:hint="eastAsia"/>
          <w:sz w:val="20"/>
          <w:szCs w:val="20"/>
        </w:rPr>
        <w:t>194</w:t>
      </w:r>
      <w:r w:rsidR="00AA120F" w:rsidRPr="00DA3BC7">
        <w:rPr>
          <w:rFonts w:ascii="Times New Roman" w:hAnsi="Times New Roman" w:hint="eastAsia"/>
          <w:sz w:val="20"/>
          <w:szCs w:val="20"/>
        </w:rPr>
        <w:t>）</w:t>
      </w:r>
    </w:p>
    <w:p w:rsidR="00AA120F" w:rsidRPr="00DA3BC7" w:rsidRDefault="00AA120F" w:rsidP="00E45051">
      <w:pPr>
        <w:widowControl/>
        <w:ind w:leftChars="200" w:left="480"/>
        <w:jc w:val="both"/>
        <w:rPr>
          <w:rFonts w:ascii="新細明體" w:eastAsia="SimSun" w:hAnsi="新細明體" w:cs="Arial"/>
          <w:kern w:val="0"/>
        </w:rPr>
      </w:pPr>
      <w:r w:rsidRPr="00DA3BC7">
        <w:rPr>
          <w:rFonts w:ascii="新細明體" w:hAnsi="新細明體" w:cs="Arial"/>
          <w:kern w:val="0"/>
        </w:rPr>
        <w:t>其實，</w:t>
      </w:r>
      <w:r w:rsidRPr="00DA3BC7">
        <w:rPr>
          <w:rFonts w:ascii="新細明體" w:hAnsi="新細明體" w:cs="Arial"/>
          <w:b/>
          <w:kern w:val="0"/>
        </w:rPr>
        <w:t>聲聞佛教破除常、一、我、實在</w:t>
      </w:r>
      <w:r w:rsidRPr="00DA3BC7">
        <w:rPr>
          <w:rFonts w:ascii="新細明體" w:hAnsi="新細明體" w:cs="Arial"/>
          <w:kern w:val="0"/>
        </w:rPr>
        <w:t>，而所證並不落於種種的差別。</w:t>
      </w:r>
    </w:p>
    <w:p w:rsidR="00AA120F" w:rsidRPr="00DA3BC7" w:rsidRDefault="00AA120F" w:rsidP="00AE3920">
      <w:pPr>
        <w:widowControl/>
        <w:spacing w:beforeLines="20"/>
        <w:ind w:leftChars="500" w:left="1200"/>
        <w:jc w:val="both"/>
        <w:rPr>
          <w:rFonts w:ascii="新細明體" w:eastAsia="SimSun" w:hAnsi="新細明體" w:cs="Arial"/>
          <w:kern w:val="0"/>
        </w:rPr>
      </w:pPr>
      <w:r w:rsidRPr="00DA3BC7">
        <w:rPr>
          <w:rFonts w:ascii="新細明體" w:hAnsi="新細明體" w:cs="Arial"/>
          <w:b/>
          <w:kern w:val="0"/>
        </w:rPr>
        <w:t>大乘佛法</w:t>
      </w:r>
      <w:r w:rsidRPr="00DA3BC7">
        <w:rPr>
          <w:rFonts w:ascii="新細明體" w:hAnsi="新細明體" w:cs="Arial"/>
          <w:kern w:val="0"/>
        </w:rPr>
        <w:t>發揮平等普遍的空性，悟入不二法門，是</w:t>
      </w:r>
      <w:r w:rsidRPr="00DA3BC7">
        <w:rPr>
          <w:rFonts w:ascii="新細明體" w:hAnsi="新細明體" w:cs="Arial"/>
          <w:b/>
          <w:kern w:val="0"/>
        </w:rPr>
        <w:t>「破二不著一」</w:t>
      </w:r>
      <w:r w:rsidR="004E1634" w:rsidRPr="004E1634">
        <w:rPr>
          <w:rStyle w:val="a6"/>
          <w:rFonts w:ascii="Times New Roman" w:hAnsi="Times New Roman"/>
          <w:color w:val="FF0000"/>
          <w:kern w:val="0"/>
          <w:highlight w:val="yellow"/>
        </w:rPr>
        <w:footnoteReference w:id="860"/>
      </w:r>
      <w:r w:rsidRPr="00DA3BC7">
        <w:rPr>
          <w:rFonts w:ascii="新細明體" w:hAnsi="新細明體" w:cs="Arial"/>
          <w:kern w:val="0"/>
        </w:rPr>
        <w:t>的，也並不落於唯一、本體的倒見。</w:t>
      </w:r>
    </w:p>
    <w:p w:rsidR="00AA120F" w:rsidRPr="00DA3BC7" w:rsidRDefault="00AA120F" w:rsidP="00AE3920">
      <w:pPr>
        <w:widowControl/>
        <w:spacing w:beforeLines="20"/>
        <w:ind w:leftChars="200" w:left="480"/>
        <w:jc w:val="both"/>
        <w:rPr>
          <w:rFonts w:ascii="新細明體" w:hAnsi="新細明體" w:cs="Arial"/>
          <w:kern w:val="0"/>
        </w:rPr>
      </w:pPr>
      <w:r w:rsidRPr="00DA3BC7">
        <w:rPr>
          <w:rFonts w:ascii="新細明體" w:hAnsi="新細明體" w:cs="Arial"/>
          <w:kern w:val="0"/>
        </w:rPr>
        <w:t>這二者，在說明上：前者重在差別的異，後者重在本性的一。</w:t>
      </w:r>
    </w:p>
    <w:p w:rsidR="00AA120F" w:rsidRPr="00DA3BC7" w:rsidRDefault="00F86138" w:rsidP="00AE3920">
      <w:pPr>
        <w:widowControl/>
        <w:spacing w:beforeLines="30"/>
        <w:ind w:leftChars="200" w:left="480"/>
        <w:jc w:val="both"/>
        <w:rPr>
          <w:rFonts w:ascii="Times New Roman" w:hAnsi="Times New Roman"/>
          <w:b/>
          <w:sz w:val="20"/>
          <w:szCs w:val="20"/>
          <w:bdr w:val="single" w:sz="4" w:space="0" w:color="auto"/>
        </w:rPr>
      </w:pPr>
      <w:r w:rsidRPr="00F86138">
        <w:rPr>
          <w:rFonts w:ascii="Times New Roman" w:hAnsi="Times New Roman" w:hint="eastAsia"/>
          <w:b/>
          <w:color w:val="FF0000"/>
          <w:sz w:val="20"/>
          <w:szCs w:val="20"/>
          <w:highlight w:val="yellow"/>
          <w:bdr w:val="single" w:sz="4" w:space="0" w:color="auto"/>
        </w:rPr>
        <w:t>2</w:t>
      </w:r>
      <w:r w:rsidR="00AA120F" w:rsidRPr="00F86138">
        <w:rPr>
          <w:rFonts w:ascii="新細明體" w:hAnsi="新細明體" w:hint="eastAsia"/>
          <w:b/>
          <w:color w:val="FF0000"/>
          <w:sz w:val="20"/>
          <w:szCs w:val="20"/>
          <w:highlight w:val="yellow"/>
          <w:bdr w:val="single" w:sz="4" w:space="0" w:color="auto"/>
        </w:rPr>
        <w:t>、</w:t>
      </w:r>
      <w:r w:rsidRPr="00F86138">
        <w:rPr>
          <w:rFonts w:ascii="新細明體" w:hAnsi="新細明體" w:cs="Times Ext Roman" w:hint="eastAsia"/>
          <w:b/>
          <w:color w:val="FF0000"/>
          <w:sz w:val="20"/>
          <w:szCs w:val="20"/>
          <w:highlight w:val="yellow"/>
          <w:bdr w:val="single" w:sz="4" w:space="0" w:color="auto"/>
        </w:rPr>
        <w:t>顯</w:t>
      </w:r>
      <w:r w:rsidR="00AA120F" w:rsidRPr="00F86138">
        <w:rPr>
          <w:rFonts w:ascii="新細明體" w:hAnsi="新細明體" w:cs="Times Ext Roman" w:hint="eastAsia"/>
          <w:b/>
          <w:color w:val="FF0000"/>
          <w:sz w:val="20"/>
          <w:szCs w:val="20"/>
          <w:highlight w:val="yellow"/>
          <w:bdr w:val="single" w:sz="4" w:space="0" w:color="auto"/>
        </w:rPr>
        <w:t>「</w:t>
      </w:r>
      <w:r w:rsidRPr="00F86138">
        <w:rPr>
          <w:rFonts w:ascii="新細明體" w:hAnsi="新細明體" w:cs="Times Ext Roman" w:hint="eastAsia"/>
          <w:b/>
          <w:color w:val="FF0000"/>
          <w:sz w:val="20"/>
          <w:szCs w:val="20"/>
          <w:highlight w:val="yellow"/>
          <w:bdr w:val="single" w:sz="4" w:space="0" w:color="auto"/>
        </w:rPr>
        <w:t>義理之正觀</w:t>
      </w:r>
      <w:r w:rsidR="00AA120F" w:rsidRPr="00F86138">
        <w:rPr>
          <w:rFonts w:ascii="新細明體" w:hAnsi="新細明體" w:cs="Times Ext Roman" w:hint="eastAsia"/>
          <w:b/>
          <w:color w:val="FF0000"/>
          <w:sz w:val="20"/>
          <w:szCs w:val="20"/>
          <w:highlight w:val="yellow"/>
          <w:bdr w:val="single" w:sz="4" w:space="0" w:color="auto"/>
        </w:rPr>
        <w:t>」</w:t>
      </w:r>
      <w:r w:rsidR="00AA120F" w:rsidRPr="00DA3BC7">
        <w:rPr>
          <w:rFonts w:ascii="Times New Roman" w:hAnsi="Times New Roman"/>
          <w:sz w:val="20"/>
          <w:szCs w:val="20"/>
        </w:rPr>
        <w:t>（</w:t>
      </w:r>
      <w:r w:rsidR="00AA120F" w:rsidRPr="00DA3BC7">
        <w:rPr>
          <w:rFonts w:ascii="Times New Roman" w:hAnsi="Times New Roman"/>
          <w:sz w:val="20"/>
          <w:szCs w:val="20"/>
        </w:rPr>
        <w:t>p.194</w:t>
      </w:r>
      <w:r w:rsidR="00AA120F" w:rsidRPr="00DA3BC7">
        <w:rPr>
          <w:rFonts w:ascii="Times New Roman" w:hAnsi="Times New Roman"/>
          <w:sz w:val="20"/>
          <w:szCs w:val="20"/>
        </w:rPr>
        <w:t>）</w:t>
      </w:r>
    </w:p>
    <w:p w:rsidR="004E1634" w:rsidRDefault="004E1634" w:rsidP="00E45051">
      <w:pPr>
        <w:widowControl/>
        <w:ind w:leftChars="250" w:left="600"/>
        <w:jc w:val="both"/>
        <w:rPr>
          <w:rFonts w:ascii="新細明體" w:hAnsi="新細明體" w:cs="Times Ext Roman"/>
          <w:b/>
          <w:color w:val="FF0000"/>
          <w:sz w:val="20"/>
          <w:szCs w:val="20"/>
          <w:bdr w:val="single" w:sz="4" w:space="0" w:color="auto"/>
        </w:rPr>
      </w:pPr>
      <w:r w:rsidRPr="00F86138">
        <w:rPr>
          <w:rFonts w:ascii="新細明體" w:hAnsi="新細明體" w:cs="Times Ext Roman" w:hint="eastAsia"/>
          <w:b/>
          <w:color w:val="FF0000"/>
          <w:sz w:val="20"/>
          <w:szCs w:val="20"/>
          <w:highlight w:val="yellow"/>
          <w:bdr w:val="single" w:sz="4" w:space="0" w:color="auto"/>
        </w:rPr>
        <w:t>（</w:t>
      </w:r>
      <w:r w:rsidRPr="004E1634">
        <w:rPr>
          <w:rFonts w:ascii="Times New Roman" w:hAnsi="Times New Roman" w:hint="eastAsia"/>
          <w:b/>
          <w:color w:val="FF0000"/>
          <w:sz w:val="20"/>
          <w:szCs w:val="20"/>
          <w:highlight w:val="yellow"/>
          <w:bdr w:val="single" w:sz="4" w:space="0" w:color="auto"/>
        </w:rPr>
        <w:t>1</w:t>
      </w:r>
      <w:r w:rsidRPr="00F86138">
        <w:rPr>
          <w:rFonts w:ascii="新細明體" w:hAnsi="新細明體" w:cs="Times Ext Roman" w:hint="eastAsia"/>
          <w:b/>
          <w:color w:val="FF0000"/>
          <w:sz w:val="20"/>
          <w:szCs w:val="20"/>
          <w:highlight w:val="yellow"/>
          <w:bdr w:val="single" w:sz="4" w:space="0" w:color="auto"/>
        </w:rPr>
        <w:t>）</w:t>
      </w:r>
      <w:r>
        <w:rPr>
          <w:rFonts w:ascii="新細明體" w:hAnsi="新細明體" w:cs="Times Ext Roman" w:hint="eastAsia"/>
          <w:b/>
          <w:color w:val="FF0000"/>
          <w:sz w:val="20"/>
          <w:szCs w:val="20"/>
          <w:highlight w:val="yellow"/>
          <w:bdr w:val="single" w:sz="4" w:space="0" w:color="auto"/>
        </w:rPr>
        <w:t>不墮偏執</w:t>
      </w:r>
      <w:r w:rsidR="00DE4B35">
        <w:rPr>
          <w:rFonts w:ascii="新細明體" w:hAnsi="新細明體" w:cs="Times Ext Roman" w:hint="eastAsia"/>
          <w:b/>
          <w:color w:val="FF0000"/>
          <w:sz w:val="20"/>
          <w:szCs w:val="20"/>
          <w:highlight w:val="yellow"/>
          <w:bdr w:val="single" w:sz="4" w:space="0" w:color="auto"/>
        </w:rPr>
        <w:t>，</w:t>
      </w:r>
      <w:r>
        <w:rPr>
          <w:rFonts w:ascii="新細明體" w:hAnsi="新細明體" w:cs="Times Ext Roman" w:hint="eastAsia"/>
          <w:b/>
          <w:color w:val="FF0000"/>
          <w:sz w:val="20"/>
          <w:szCs w:val="20"/>
          <w:highlight w:val="yellow"/>
          <w:bdr w:val="single" w:sz="4" w:space="0" w:color="auto"/>
        </w:rPr>
        <w:t>知方便</w:t>
      </w:r>
      <w:r w:rsidRPr="00DA3BC7">
        <w:rPr>
          <w:rFonts w:ascii="Times New Roman" w:hAnsi="Times New Roman"/>
          <w:sz w:val="20"/>
          <w:szCs w:val="20"/>
        </w:rPr>
        <w:t>（</w:t>
      </w:r>
      <w:r w:rsidRPr="00DA3BC7">
        <w:rPr>
          <w:rFonts w:ascii="Times New Roman" w:hAnsi="Times New Roman"/>
          <w:sz w:val="20"/>
          <w:szCs w:val="20"/>
        </w:rPr>
        <w:t>p.194</w:t>
      </w:r>
      <w:r w:rsidRPr="00DA3BC7">
        <w:rPr>
          <w:rFonts w:ascii="Times New Roman" w:hAnsi="Times New Roman"/>
          <w:sz w:val="20"/>
          <w:szCs w:val="20"/>
        </w:rPr>
        <w:t>）</w:t>
      </w:r>
    </w:p>
    <w:p w:rsidR="00AA120F" w:rsidRPr="00DA3BC7" w:rsidRDefault="00AA120F" w:rsidP="00E45051">
      <w:pPr>
        <w:widowControl/>
        <w:ind w:leftChars="250" w:left="600"/>
        <w:jc w:val="both"/>
        <w:rPr>
          <w:rFonts w:ascii="新細明體" w:hAnsi="新細明體" w:cs="Arial"/>
          <w:kern w:val="0"/>
        </w:rPr>
      </w:pPr>
      <w:r w:rsidRPr="00DA3BC7">
        <w:rPr>
          <w:rFonts w:ascii="新細明體" w:hAnsi="新細明體" w:cs="Arial"/>
          <w:kern w:val="0"/>
        </w:rPr>
        <w:t>確實的說來，</w:t>
      </w:r>
    </w:p>
    <w:p w:rsidR="00AA120F" w:rsidRPr="00DA3BC7" w:rsidRDefault="00AA120F" w:rsidP="00E45051">
      <w:pPr>
        <w:widowControl/>
        <w:ind w:leftChars="250" w:left="600"/>
        <w:jc w:val="both"/>
        <w:rPr>
          <w:rFonts w:ascii="新細明體" w:hAnsi="新細明體" w:cs="Arial"/>
          <w:kern w:val="0"/>
        </w:rPr>
      </w:pPr>
      <w:r w:rsidRPr="00DA3BC7">
        <w:rPr>
          <w:rFonts w:ascii="新細明體" w:hAnsi="新細明體" w:cs="Arial"/>
          <w:b/>
          <w:kern w:val="0"/>
        </w:rPr>
        <w:t>說差別</w:t>
      </w:r>
      <w:r w:rsidRPr="00DA3BC7">
        <w:rPr>
          <w:rFonts w:ascii="新細明體" w:hAnsi="新細明體" w:cs="Arial"/>
          <w:kern w:val="0"/>
        </w:rPr>
        <w:t>，是以此為方便，說明</w:t>
      </w:r>
      <w:r w:rsidRPr="00DA3BC7">
        <w:rPr>
          <w:rFonts w:ascii="新細明體" w:hAnsi="新細明體" w:cs="Arial"/>
          <w:b/>
          <w:kern w:val="0"/>
        </w:rPr>
        <w:t>現象不即本體</w:t>
      </w:r>
      <w:r w:rsidRPr="00DA3BC7">
        <w:rPr>
          <w:rFonts w:ascii="新細明體" w:hAnsi="新細明體" w:cs="Arial"/>
          <w:kern w:val="0"/>
        </w:rPr>
        <w:t>而</w:t>
      </w:r>
      <w:r w:rsidRPr="00DA3BC7">
        <w:rPr>
          <w:rFonts w:ascii="新細明體" w:hAnsi="新細明體" w:cs="Arial"/>
          <w:b/>
          <w:kern w:val="0"/>
        </w:rPr>
        <w:t>不可一</w:t>
      </w:r>
      <w:r w:rsidRPr="00DA3BC7">
        <w:rPr>
          <w:rFonts w:ascii="新細明體" w:hAnsi="新細明體" w:cs="Arial" w:hint="eastAsia"/>
          <w:kern w:val="0"/>
        </w:rPr>
        <w:t>；</w:t>
      </w:r>
    </w:p>
    <w:p w:rsidR="00AA120F" w:rsidRPr="00DA3BC7" w:rsidRDefault="00AA120F" w:rsidP="00E45051">
      <w:pPr>
        <w:widowControl/>
        <w:ind w:leftChars="250" w:left="600"/>
        <w:jc w:val="both"/>
        <w:rPr>
          <w:rFonts w:ascii="新細明體" w:eastAsia="SimSun" w:hAnsi="新細明體" w:cs="Arial"/>
          <w:kern w:val="0"/>
        </w:rPr>
      </w:pPr>
      <w:r w:rsidRPr="00DA3BC7">
        <w:rPr>
          <w:rFonts w:ascii="新細明體" w:hAnsi="新細明體" w:cs="Arial"/>
          <w:b/>
          <w:kern w:val="0"/>
        </w:rPr>
        <w:t>說平等一味</w:t>
      </w:r>
      <w:r w:rsidRPr="00DA3BC7">
        <w:rPr>
          <w:rFonts w:ascii="新細明體" w:hAnsi="新細明體" w:cs="Arial"/>
          <w:kern w:val="0"/>
        </w:rPr>
        <w:t>，是以此為方便，說明</w:t>
      </w:r>
      <w:r w:rsidRPr="00DA3BC7">
        <w:rPr>
          <w:rFonts w:ascii="新細明體" w:hAnsi="新細明體" w:cs="Arial"/>
          <w:b/>
          <w:kern w:val="0"/>
        </w:rPr>
        <w:t>現象不離本體</w:t>
      </w:r>
      <w:r w:rsidRPr="00DA3BC7">
        <w:rPr>
          <w:rFonts w:ascii="新細明體" w:hAnsi="新細明體" w:cs="Arial"/>
          <w:kern w:val="0"/>
        </w:rPr>
        <w:t>而</w:t>
      </w:r>
      <w:r w:rsidRPr="00DA3BC7">
        <w:rPr>
          <w:rFonts w:ascii="新細明體" w:hAnsi="新細明體" w:cs="Arial"/>
          <w:b/>
          <w:kern w:val="0"/>
        </w:rPr>
        <w:t>不可異</w:t>
      </w:r>
      <w:r w:rsidRPr="00DA3BC7">
        <w:rPr>
          <w:rFonts w:ascii="新細明體" w:hAnsi="新細明體" w:cs="Arial"/>
          <w:kern w:val="0"/>
        </w:rPr>
        <w:t>。</w:t>
      </w:r>
    </w:p>
    <w:p w:rsidR="00AA120F" w:rsidRPr="00DA3BC7" w:rsidRDefault="00AA120F" w:rsidP="00AE3920">
      <w:pPr>
        <w:widowControl/>
        <w:spacing w:beforeLines="20"/>
        <w:ind w:leftChars="250" w:left="600"/>
        <w:jc w:val="both"/>
        <w:rPr>
          <w:rFonts w:ascii="新細明體" w:hAnsi="新細明體" w:cs="Arial"/>
          <w:kern w:val="0"/>
        </w:rPr>
      </w:pPr>
      <w:r w:rsidRPr="00DA3BC7">
        <w:rPr>
          <w:rFonts w:ascii="新細明體" w:hAnsi="新細明體" w:cs="Arial"/>
          <w:kern w:val="0"/>
        </w:rPr>
        <w:t>若能真的把握到佛法實義，則知佛法是「</w:t>
      </w:r>
      <w:r w:rsidRPr="004E1634">
        <w:rPr>
          <w:rFonts w:ascii="標楷體" w:eastAsia="標楷體" w:hAnsi="標楷體" w:cs="Arial"/>
          <w:kern w:val="0"/>
        </w:rPr>
        <w:t>但以假名說</w:t>
      </w:r>
      <w:r w:rsidRPr="00DA3BC7">
        <w:rPr>
          <w:rFonts w:ascii="新細明體" w:hAnsi="新細明體" w:cs="Arial"/>
          <w:kern w:val="0"/>
        </w:rPr>
        <w:t>」</w:t>
      </w:r>
      <w:r w:rsidR="004E1634" w:rsidRPr="004E1634">
        <w:rPr>
          <w:rStyle w:val="a6"/>
          <w:rFonts w:ascii="Times New Roman" w:hAnsi="Times New Roman"/>
          <w:color w:val="FF0000"/>
          <w:kern w:val="0"/>
          <w:highlight w:val="yellow"/>
        </w:rPr>
        <w:footnoteReference w:id="861"/>
      </w:r>
      <w:r w:rsidRPr="00DA3BC7">
        <w:rPr>
          <w:rFonts w:ascii="新細明體" w:hAnsi="新細明體" w:cs="Arial"/>
          <w:kern w:val="0"/>
        </w:rPr>
        <w:t>，是說明實相的方便，不可偏執。</w:t>
      </w:r>
    </w:p>
    <w:p w:rsidR="00AA120F" w:rsidRPr="00DA3BC7" w:rsidRDefault="00AA120F" w:rsidP="00E45051">
      <w:pPr>
        <w:widowControl/>
        <w:ind w:leftChars="250" w:left="600"/>
        <w:jc w:val="both"/>
        <w:rPr>
          <w:rFonts w:ascii="新細明體" w:hAnsi="新細明體" w:cs="Arial"/>
          <w:kern w:val="0"/>
        </w:rPr>
      </w:pPr>
      <w:r w:rsidRPr="00DA3BC7">
        <w:rPr>
          <w:rFonts w:ascii="新細明體" w:hAnsi="新細明體" w:cs="Arial"/>
          <w:kern w:val="0"/>
        </w:rPr>
        <w:lastRenderedPageBreak/>
        <w:t>經中論色、談空，不應起</w:t>
      </w:r>
      <w:r w:rsidRPr="00DA3BC7">
        <w:rPr>
          <w:rFonts w:ascii="新細明體" w:hAnsi="新細明體" w:cs="Arial"/>
          <w:b/>
          <w:kern w:val="0"/>
        </w:rPr>
        <w:t>差別見</w:t>
      </w:r>
      <w:r w:rsidRPr="00DA3BC7">
        <w:rPr>
          <w:rFonts w:ascii="新細明體" w:hAnsi="新細明體" w:cs="Arial"/>
          <w:kern w:val="0"/>
        </w:rPr>
        <w:t>；經中說色即是空、空即是色，也不應起</w:t>
      </w:r>
      <w:r w:rsidRPr="00DA3BC7">
        <w:rPr>
          <w:rFonts w:ascii="新細明體" w:hAnsi="新細明體" w:cs="Arial"/>
          <w:b/>
          <w:kern w:val="0"/>
        </w:rPr>
        <w:t>一體見</w:t>
      </w:r>
      <w:r w:rsidRPr="00DA3BC7">
        <w:rPr>
          <w:rFonts w:ascii="新細明體" w:hAnsi="新細明體" w:cs="Arial"/>
          <w:kern w:val="0"/>
        </w:rPr>
        <w:t>。</w:t>
      </w:r>
    </w:p>
    <w:p w:rsidR="00AA120F" w:rsidRPr="00DA3BC7" w:rsidRDefault="00137E31" w:rsidP="00AE3920">
      <w:pPr>
        <w:widowControl/>
        <w:spacing w:beforeLines="30"/>
        <w:ind w:leftChars="250" w:left="600"/>
        <w:jc w:val="both"/>
        <w:rPr>
          <w:rFonts w:ascii="Times New Roman" w:hAnsi="Times New Roman"/>
          <w:b/>
          <w:sz w:val="20"/>
          <w:szCs w:val="20"/>
          <w:bdr w:val="single" w:sz="4" w:space="0" w:color="auto"/>
        </w:rPr>
      </w:pPr>
      <w:r w:rsidRPr="00137E31">
        <w:rPr>
          <w:rFonts w:ascii="Times New Roman" w:hAnsi="Times New Roman" w:hint="eastAsia"/>
          <w:b/>
          <w:color w:val="FF0000"/>
          <w:sz w:val="20"/>
          <w:szCs w:val="20"/>
          <w:highlight w:val="yellow"/>
          <w:bdr w:val="single" w:sz="4" w:space="0" w:color="auto"/>
        </w:rPr>
        <w:t>（</w:t>
      </w:r>
      <w:r w:rsidRPr="00137E31">
        <w:rPr>
          <w:rFonts w:ascii="Times New Roman" w:hAnsi="Times New Roman" w:hint="eastAsia"/>
          <w:b/>
          <w:color w:val="FF0000"/>
          <w:sz w:val="20"/>
          <w:szCs w:val="20"/>
          <w:highlight w:val="yellow"/>
          <w:bdr w:val="single" w:sz="4" w:space="0" w:color="auto"/>
        </w:rPr>
        <w:t>2</w:t>
      </w:r>
      <w:r w:rsidRPr="00137E31">
        <w:rPr>
          <w:rFonts w:ascii="Times New Roman" w:hAnsi="Times New Roman" w:hint="eastAsia"/>
          <w:b/>
          <w:color w:val="FF0000"/>
          <w:sz w:val="20"/>
          <w:szCs w:val="20"/>
          <w:highlight w:val="yellow"/>
          <w:bdr w:val="single" w:sz="4" w:space="0" w:color="auto"/>
        </w:rPr>
        <w:t>）融貫空有</w:t>
      </w:r>
      <w:r w:rsidR="00DE4B35">
        <w:rPr>
          <w:rFonts w:ascii="Times New Roman" w:hAnsi="Times New Roman" w:hint="eastAsia"/>
          <w:b/>
          <w:color w:val="FF0000"/>
          <w:sz w:val="20"/>
          <w:szCs w:val="20"/>
          <w:highlight w:val="yellow"/>
          <w:bdr w:val="single" w:sz="4" w:space="0" w:color="auto"/>
        </w:rPr>
        <w:t>，</w:t>
      </w:r>
      <w:r w:rsidRPr="00137E31">
        <w:rPr>
          <w:rFonts w:ascii="Times New Roman" w:hAnsi="Times New Roman" w:hint="eastAsia"/>
          <w:b/>
          <w:color w:val="FF0000"/>
          <w:sz w:val="20"/>
          <w:szCs w:val="20"/>
          <w:highlight w:val="yellow"/>
          <w:bdr w:val="single" w:sz="4" w:space="0" w:color="auto"/>
        </w:rPr>
        <w:t>達中道</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w:t>
      </w:r>
      <w:r w:rsidR="00AA120F" w:rsidRPr="00DA3BC7">
        <w:rPr>
          <w:rFonts w:ascii="Times New Roman" w:eastAsia="SimSun" w:hAnsi="Times New Roman" w:hint="eastAsia"/>
          <w:sz w:val="20"/>
          <w:szCs w:val="20"/>
        </w:rPr>
        <w:t>194</w:t>
      </w:r>
      <w:r w:rsidR="00AA120F" w:rsidRPr="00DA3BC7">
        <w:rPr>
          <w:rFonts w:ascii="Times New Roman" w:hAnsi="Times New Roman" w:hint="eastAsia"/>
          <w:sz w:val="20"/>
          <w:szCs w:val="20"/>
        </w:rPr>
        <w:t>）</w:t>
      </w:r>
    </w:p>
    <w:p w:rsidR="00AA120F" w:rsidRPr="00DA3BC7" w:rsidRDefault="00AA120F" w:rsidP="00E45051">
      <w:pPr>
        <w:widowControl/>
        <w:ind w:leftChars="250" w:left="600"/>
        <w:jc w:val="both"/>
        <w:rPr>
          <w:rFonts w:ascii="新細明體" w:eastAsia="SimSun" w:hAnsi="新細明體" w:cs="Arial"/>
          <w:kern w:val="0"/>
        </w:rPr>
      </w:pPr>
      <w:r w:rsidRPr="00DA3BC7">
        <w:rPr>
          <w:rFonts w:ascii="新細明體" w:hAnsi="新細明體" w:cs="Arial"/>
          <w:kern w:val="0"/>
        </w:rPr>
        <w:t>緣起與本性，應知為不著於相即相離的中道。此是學佛者應有的基本理解，否則為言辭所拘縛，與世間學者的說即說離一樣。</w:t>
      </w:r>
    </w:p>
    <w:p w:rsidR="00AA120F" w:rsidRPr="00DA3BC7" w:rsidRDefault="00137E31" w:rsidP="00AE3920">
      <w:pPr>
        <w:widowControl/>
        <w:spacing w:beforeLines="30"/>
        <w:ind w:leftChars="200" w:left="480"/>
        <w:jc w:val="both"/>
        <w:rPr>
          <w:rFonts w:ascii="Arial" w:eastAsia="SimSun" w:hAnsi="Arial" w:cs="Arial"/>
          <w:b/>
          <w:kern w:val="0"/>
        </w:rPr>
      </w:pPr>
      <w:r w:rsidRPr="00137E31">
        <w:rPr>
          <w:rFonts w:ascii="Times New Roman" w:hAnsi="Times New Roman" w:hint="eastAsia"/>
          <w:b/>
          <w:color w:val="FF0000"/>
          <w:sz w:val="20"/>
          <w:szCs w:val="20"/>
          <w:highlight w:val="yellow"/>
          <w:bdr w:val="single" w:sz="4" w:space="0" w:color="auto"/>
        </w:rPr>
        <w:t>3</w:t>
      </w:r>
      <w:r w:rsidR="00AA120F" w:rsidRPr="00137E31">
        <w:rPr>
          <w:rFonts w:ascii="Times New Roman" w:hAnsi="Times New Roman" w:hint="eastAsia"/>
          <w:b/>
          <w:color w:val="FF0000"/>
          <w:sz w:val="20"/>
          <w:szCs w:val="20"/>
          <w:highlight w:val="yellow"/>
          <w:bdr w:val="single" w:sz="4" w:space="0" w:color="auto"/>
        </w:rPr>
        <w:t>、</w:t>
      </w:r>
      <w:r w:rsidRPr="00137E31">
        <w:rPr>
          <w:rFonts w:ascii="Times New Roman" w:hAnsi="Times New Roman" w:hint="eastAsia"/>
          <w:b/>
          <w:color w:val="FF0000"/>
          <w:sz w:val="20"/>
          <w:szCs w:val="20"/>
          <w:highlight w:val="yellow"/>
          <w:bdr w:val="single" w:sz="4" w:space="0" w:color="auto"/>
        </w:rPr>
        <w:t>引天台宗之教觀</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pp.</w:t>
      </w:r>
      <w:r w:rsidR="00AA120F" w:rsidRPr="00DA3BC7">
        <w:rPr>
          <w:rFonts w:ascii="Times New Roman" w:eastAsia="SimSun" w:hAnsi="Times New Roman" w:hint="eastAsia"/>
          <w:sz w:val="20"/>
          <w:szCs w:val="20"/>
        </w:rPr>
        <w:t>194</w:t>
      </w:r>
      <w:r w:rsidR="00AA120F" w:rsidRPr="00DA3BC7">
        <w:rPr>
          <w:rFonts w:ascii="Times New Roman" w:hAnsi="Times New Roman"/>
          <w:sz w:val="20"/>
          <w:szCs w:val="20"/>
        </w:rPr>
        <w:t>-</w:t>
      </w:r>
      <w:r w:rsidR="00AA120F" w:rsidRPr="00DA3BC7">
        <w:rPr>
          <w:rFonts w:ascii="Times New Roman" w:eastAsia="SimSun" w:hAnsi="Times New Roman" w:hint="eastAsia"/>
          <w:sz w:val="20"/>
          <w:szCs w:val="20"/>
        </w:rPr>
        <w:t>195</w:t>
      </w:r>
      <w:r w:rsidR="00AA120F" w:rsidRPr="00DA3BC7">
        <w:rPr>
          <w:rFonts w:ascii="Times New Roman" w:hAnsi="Times New Roman" w:hint="eastAsia"/>
          <w:sz w:val="20"/>
          <w:szCs w:val="20"/>
        </w:rPr>
        <w:t>）</w:t>
      </w:r>
    </w:p>
    <w:p w:rsidR="00AA120F" w:rsidRPr="00DA3BC7" w:rsidRDefault="00AA120F" w:rsidP="00E45051">
      <w:pPr>
        <w:widowControl/>
        <w:ind w:leftChars="250" w:left="600"/>
        <w:jc w:val="both"/>
        <w:rPr>
          <w:rFonts w:ascii="新細明體" w:hAnsi="新細明體" w:cs="Times Ext Roman"/>
          <w:b/>
          <w:sz w:val="20"/>
          <w:szCs w:val="20"/>
          <w:bdr w:val="single" w:sz="4" w:space="0" w:color="auto"/>
        </w:rPr>
      </w:pPr>
      <w:r w:rsidRPr="00137E31">
        <w:rPr>
          <w:rFonts w:ascii="新細明體" w:hAnsi="新細明體" w:cs="Times Ext Roman" w:hint="eastAsia"/>
          <w:b/>
          <w:color w:val="FF0000"/>
          <w:sz w:val="20"/>
          <w:szCs w:val="20"/>
          <w:highlight w:val="yellow"/>
          <w:bdr w:val="single" w:sz="4" w:space="0" w:color="auto"/>
        </w:rPr>
        <w:t>（</w:t>
      </w:r>
      <w:r w:rsidR="00137E31" w:rsidRPr="00137E31">
        <w:rPr>
          <w:rFonts w:ascii="Times New Roman" w:hAnsi="Times New Roman" w:hint="eastAsia"/>
          <w:b/>
          <w:color w:val="FF0000"/>
          <w:sz w:val="20"/>
          <w:szCs w:val="20"/>
          <w:highlight w:val="yellow"/>
          <w:bdr w:val="single" w:sz="4" w:space="0" w:color="auto"/>
        </w:rPr>
        <w:t>1</w:t>
      </w:r>
      <w:r w:rsidRPr="00137E31">
        <w:rPr>
          <w:rFonts w:ascii="新細明體" w:hAnsi="新細明體" w:cs="Times Ext Roman" w:hint="eastAsia"/>
          <w:b/>
          <w:color w:val="FF0000"/>
          <w:sz w:val="20"/>
          <w:szCs w:val="20"/>
          <w:highlight w:val="yellow"/>
          <w:bdr w:val="single" w:sz="4" w:space="0" w:color="auto"/>
        </w:rPr>
        <w:t>）</w:t>
      </w:r>
      <w:r w:rsidRPr="00DA3BC7">
        <w:rPr>
          <w:rFonts w:ascii="新細明體" w:hAnsi="新細明體" w:cs="Times Ext Roman" w:hint="eastAsia"/>
          <w:b/>
          <w:sz w:val="20"/>
          <w:szCs w:val="20"/>
          <w:bdr w:val="single" w:sz="4" w:space="0" w:color="auto"/>
        </w:rPr>
        <w:t>約</w:t>
      </w:r>
      <w:r w:rsidR="00137E31" w:rsidRPr="00137E31">
        <w:rPr>
          <w:rFonts w:ascii="新細明體" w:hAnsi="新細明體" w:cs="Times Ext Roman" w:hint="eastAsia"/>
          <w:b/>
          <w:color w:val="FF0000"/>
          <w:sz w:val="20"/>
          <w:szCs w:val="20"/>
          <w:highlight w:val="yellow"/>
          <w:bdr w:val="single" w:sz="4" w:space="0" w:color="auto"/>
        </w:rPr>
        <w:t>「</w:t>
      </w:r>
      <w:r w:rsidRPr="00DA3BC7">
        <w:rPr>
          <w:rFonts w:ascii="新細明體" w:hAnsi="新細明體" w:cs="Times Ext Roman" w:hint="eastAsia"/>
          <w:b/>
          <w:sz w:val="20"/>
          <w:szCs w:val="20"/>
          <w:bdr w:val="single" w:sz="4" w:space="0" w:color="auto"/>
        </w:rPr>
        <w:t>安立言教</w:t>
      </w:r>
      <w:r w:rsidR="00137E31" w:rsidRPr="00137E31">
        <w:rPr>
          <w:rFonts w:ascii="新細明體" w:hAnsi="新細明體" w:cs="Times Ext Roman" w:hint="eastAsia"/>
          <w:b/>
          <w:color w:val="FF0000"/>
          <w:sz w:val="20"/>
          <w:szCs w:val="20"/>
          <w:highlight w:val="yellow"/>
          <w:bdr w:val="single" w:sz="4" w:space="0" w:color="auto"/>
        </w:rPr>
        <w:t>」</w:t>
      </w:r>
      <w:r w:rsidRPr="00137E31">
        <w:rPr>
          <w:rFonts w:ascii="新細明體" w:hAnsi="新細明體" w:cs="Times Ext Roman" w:hint="eastAsia"/>
          <w:b/>
          <w:sz w:val="20"/>
          <w:szCs w:val="20"/>
          <w:highlight w:val="yellow"/>
          <w:bdr w:val="single" w:sz="4" w:space="0" w:color="auto"/>
        </w:rPr>
        <w:t>說</w:t>
      </w:r>
      <w:r w:rsidRPr="00DA3BC7">
        <w:rPr>
          <w:rFonts w:ascii="Times New Roman" w:hAnsi="Times New Roman" w:hint="eastAsia"/>
          <w:sz w:val="20"/>
          <w:szCs w:val="20"/>
        </w:rPr>
        <w:t>（</w:t>
      </w:r>
      <w:r w:rsidRPr="00DA3BC7">
        <w:rPr>
          <w:rFonts w:ascii="Times New Roman" w:hAnsi="Times New Roman" w:hint="eastAsia"/>
          <w:sz w:val="20"/>
          <w:szCs w:val="20"/>
        </w:rPr>
        <w:t>pp.</w:t>
      </w:r>
      <w:r w:rsidRPr="00DA3BC7">
        <w:rPr>
          <w:rFonts w:ascii="Times New Roman" w:eastAsia="SimSun" w:hAnsi="Times New Roman" w:hint="eastAsia"/>
          <w:sz w:val="20"/>
          <w:szCs w:val="20"/>
        </w:rPr>
        <w:t>194</w:t>
      </w:r>
      <w:r w:rsidRPr="00DA3BC7">
        <w:rPr>
          <w:rFonts w:ascii="Times New Roman" w:hAnsi="Times New Roman"/>
          <w:sz w:val="20"/>
          <w:szCs w:val="20"/>
        </w:rPr>
        <w:t>-</w:t>
      </w:r>
      <w:r w:rsidRPr="00DA3BC7">
        <w:rPr>
          <w:rFonts w:ascii="Times New Roman" w:eastAsia="SimSun" w:hAnsi="Times New Roman" w:hint="eastAsia"/>
          <w:sz w:val="20"/>
          <w:szCs w:val="20"/>
        </w:rPr>
        <w:t>195</w:t>
      </w:r>
      <w:r w:rsidRPr="00DA3BC7">
        <w:rPr>
          <w:rFonts w:ascii="Times New Roman" w:hAnsi="Times New Roman" w:hint="eastAsia"/>
          <w:sz w:val="20"/>
          <w:szCs w:val="20"/>
        </w:rPr>
        <w:t>）</w:t>
      </w:r>
    </w:p>
    <w:p w:rsidR="00AA120F" w:rsidRPr="00DA3BC7" w:rsidRDefault="00AA120F" w:rsidP="00E45051">
      <w:pPr>
        <w:widowControl/>
        <w:ind w:leftChars="250" w:left="600"/>
        <w:jc w:val="both"/>
        <w:rPr>
          <w:rFonts w:ascii="新細明體" w:eastAsia="SimSun" w:hAnsi="新細明體" w:cs="Arial"/>
          <w:kern w:val="0"/>
        </w:rPr>
      </w:pPr>
      <w:r w:rsidRPr="00DA3BC7">
        <w:rPr>
          <w:rFonts w:ascii="新細明體" w:hAnsi="新細明體" w:cs="Arial"/>
          <w:kern w:val="0"/>
        </w:rPr>
        <w:t>關於現象與本性的即離，天臺學者說得明白。</w:t>
      </w:r>
    </w:p>
    <w:p w:rsidR="00AA120F" w:rsidRPr="00DA3BC7" w:rsidRDefault="00AA120F" w:rsidP="00AE3920">
      <w:pPr>
        <w:widowControl/>
        <w:spacing w:beforeLines="20"/>
        <w:ind w:leftChars="250" w:left="600"/>
        <w:jc w:val="both"/>
        <w:rPr>
          <w:rFonts w:ascii="新細明體" w:eastAsia="SimSun" w:hAnsi="新細明體" w:cs="Arial"/>
          <w:kern w:val="0"/>
        </w:rPr>
      </w:pPr>
      <w:r w:rsidRPr="00DA3BC7">
        <w:rPr>
          <w:rFonts w:ascii="新細明體" w:hAnsi="新細明體" w:cs="Arial"/>
          <w:kern w:val="0"/>
        </w:rPr>
        <w:t>臺宗判四教：藏、通、別、圓</w:t>
      </w:r>
      <w:r w:rsidRPr="00DA3BC7">
        <w:rPr>
          <w:rFonts w:ascii="新細明體" w:hAnsi="新細明體" w:cs="Arial" w:hint="eastAsia"/>
          <w:kern w:val="0"/>
        </w:rPr>
        <w:t>，</w:t>
      </w:r>
      <w:r w:rsidRPr="00DA3BC7">
        <w:rPr>
          <w:rFonts w:ascii="新細明體" w:hAnsi="新細明體" w:cs="Arial"/>
          <w:kern w:val="0"/>
        </w:rPr>
        <w:t>四教對於</w:t>
      </w:r>
      <w:r w:rsidRPr="00DA3BC7">
        <w:rPr>
          <w:rFonts w:ascii="新細明體" w:hAnsi="新細明體" w:cs="Arial" w:hint="eastAsia"/>
          <w:kern w:val="0"/>
        </w:rPr>
        <w:t>「</w:t>
      </w:r>
      <w:r w:rsidRPr="00DA3BC7">
        <w:rPr>
          <w:rFonts w:ascii="新細明體" w:hAnsi="新細明體" w:cs="Arial"/>
          <w:kern w:val="0"/>
        </w:rPr>
        <w:t>世俗</w:t>
      </w:r>
      <w:r w:rsidRPr="00DA3BC7">
        <w:rPr>
          <w:rFonts w:ascii="新細明體" w:hAnsi="新細明體" w:cs="Arial"/>
          <w:b/>
          <w:kern w:val="0"/>
        </w:rPr>
        <w:t>相</w:t>
      </w:r>
      <w:r w:rsidRPr="00DA3BC7">
        <w:rPr>
          <w:rFonts w:ascii="新細明體" w:hAnsi="新細明體" w:cs="Arial" w:hint="eastAsia"/>
          <w:kern w:val="0"/>
        </w:rPr>
        <w:t>」</w:t>
      </w:r>
      <w:r w:rsidRPr="00DA3BC7">
        <w:rPr>
          <w:rFonts w:ascii="新細明體" w:hAnsi="新細明體" w:cs="Arial"/>
          <w:kern w:val="0"/>
        </w:rPr>
        <w:t>與</w:t>
      </w:r>
      <w:r w:rsidRPr="00DA3BC7">
        <w:rPr>
          <w:rFonts w:ascii="新細明體" w:hAnsi="新細明體" w:cs="Arial" w:hint="eastAsia"/>
          <w:kern w:val="0"/>
        </w:rPr>
        <w:t>「</w:t>
      </w:r>
      <w:r w:rsidRPr="00DA3BC7">
        <w:rPr>
          <w:rFonts w:ascii="新細明體" w:hAnsi="新細明體" w:cs="Arial"/>
          <w:kern w:val="0"/>
        </w:rPr>
        <w:t>勝義</w:t>
      </w:r>
      <w:r w:rsidRPr="00DA3BC7">
        <w:rPr>
          <w:rFonts w:ascii="新細明體" w:hAnsi="新細明體" w:cs="Arial"/>
          <w:b/>
          <w:kern w:val="0"/>
        </w:rPr>
        <w:t>性</w:t>
      </w:r>
      <w:r w:rsidRPr="00DA3BC7">
        <w:rPr>
          <w:rFonts w:ascii="新細明體" w:hAnsi="新細明體" w:cs="Arial" w:hint="eastAsia"/>
          <w:kern w:val="0"/>
        </w:rPr>
        <w:t>」</w:t>
      </w:r>
      <w:r w:rsidRPr="00DA3BC7">
        <w:rPr>
          <w:rFonts w:ascii="新細明體" w:hAnsi="新細明體" w:cs="Arial"/>
          <w:kern w:val="0"/>
        </w:rPr>
        <w:t>的說明，即離不同。</w:t>
      </w:r>
    </w:p>
    <w:p w:rsidR="00AA120F" w:rsidRPr="00DA3BC7" w:rsidRDefault="00AA120F" w:rsidP="00AE3920">
      <w:pPr>
        <w:widowControl/>
        <w:spacing w:beforeLines="20"/>
        <w:ind w:leftChars="250" w:left="1801" w:hangingChars="500" w:hanging="1201"/>
        <w:jc w:val="both"/>
        <w:rPr>
          <w:rFonts w:ascii="新細明體" w:eastAsia="SimSun" w:hAnsi="新細明體" w:cs="Arial"/>
          <w:kern w:val="0"/>
        </w:rPr>
      </w:pPr>
      <w:r w:rsidRPr="00DA3BC7">
        <w:rPr>
          <w:rFonts w:ascii="新細明體" w:hAnsi="新細明體" w:cs="Arial"/>
          <w:b/>
          <w:kern w:val="0"/>
        </w:rPr>
        <w:t>三藏教</w:t>
      </w:r>
      <w:r w:rsidRPr="00DA3BC7">
        <w:rPr>
          <w:rFonts w:ascii="新細明體" w:hAnsi="新細明體" w:cs="Arial"/>
          <w:kern w:val="0"/>
        </w:rPr>
        <w:t>──主要為小乘學者，對於現象與本性</w:t>
      </w:r>
      <w:r w:rsidRPr="00DA3BC7">
        <w:rPr>
          <w:rFonts w:ascii="新細明體" w:hAnsi="新細明體" w:cs="Arial" w:hint="eastAsia"/>
          <w:kern w:val="0"/>
        </w:rPr>
        <w:t>、</w:t>
      </w:r>
      <w:r w:rsidRPr="00DA3BC7">
        <w:rPr>
          <w:rFonts w:ascii="新細明體" w:hAnsi="新細明體" w:cs="Arial"/>
          <w:kern w:val="0"/>
        </w:rPr>
        <w:t>生死與涅槃</w:t>
      </w:r>
      <w:r w:rsidRPr="00DA3BC7">
        <w:rPr>
          <w:rFonts w:ascii="新細明體" w:hAnsi="新細明體" w:cs="Arial" w:hint="eastAsia"/>
          <w:kern w:val="0"/>
        </w:rPr>
        <w:t>、</w:t>
      </w:r>
      <w:r w:rsidRPr="00DA3BC7">
        <w:rPr>
          <w:rFonts w:ascii="新細明體" w:hAnsi="新細明體" w:cs="Arial"/>
          <w:kern w:val="0"/>
        </w:rPr>
        <w:t>世俗與勝義，主張是</w:t>
      </w:r>
      <w:r w:rsidRPr="00DA3BC7">
        <w:rPr>
          <w:rFonts w:ascii="新細明體" w:hAnsi="新細明體" w:cs="Arial"/>
          <w:b/>
          <w:kern w:val="0"/>
        </w:rPr>
        <w:t>差別</w:t>
      </w:r>
      <w:r w:rsidRPr="00DA3BC7">
        <w:rPr>
          <w:rFonts w:ascii="新細明體" w:hAnsi="新細明體" w:cs="Arial"/>
          <w:kern w:val="0"/>
        </w:rPr>
        <w:t>的。</w:t>
      </w:r>
    </w:p>
    <w:p w:rsidR="00AA120F" w:rsidRPr="00DA3BC7" w:rsidRDefault="00AA120F" w:rsidP="00AE3920">
      <w:pPr>
        <w:widowControl/>
        <w:spacing w:beforeLines="20"/>
        <w:ind w:leftChars="250" w:left="600"/>
        <w:jc w:val="both"/>
        <w:rPr>
          <w:rFonts w:ascii="新細明體" w:eastAsia="SimSun" w:hAnsi="新細明體" w:cs="Arial"/>
          <w:kern w:val="0"/>
        </w:rPr>
      </w:pPr>
      <w:r w:rsidRPr="00DA3BC7">
        <w:rPr>
          <w:rFonts w:ascii="新細明體" w:hAnsi="新細明體" w:cs="Arial"/>
          <w:b/>
          <w:kern w:val="0"/>
        </w:rPr>
        <w:t>通教</w:t>
      </w:r>
      <w:r w:rsidRPr="00DA3BC7">
        <w:rPr>
          <w:rFonts w:ascii="新細明體" w:hAnsi="新細明體" w:cs="Arial"/>
          <w:kern w:val="0"/>
        </w:rPr>
        <w:t>則主張即色而空</w:t>
      </w:r>
      <w:r w:rsidRPr="00DA3BC7">
        <w:rPr>
          <w:rFonts w:ascii="新細明體" w:hAnsi="新細明體" w:cs="Arial" w:hint="eastAsia"/>
          <w:kern w:val="0"/>
        </w:rPr>
        <w:t>、</w:t>
      </w:r>
      <w:r w:rsidRPr="00DA3BC7">
        <w:rPr>
          <w:rFonts w:ascii="新細明體" w:hAnsi="新細明體" w:cs="Arial"/>
          <w:kern w:val="0"/>
        </w:rPr>
        <w:t>即生死為涅槃，主緣起與本性是</w:t>
      </w:r>
      <w:r w:rsidRPr="00DA3BC7">
        <w:rPr>
          <w:rFonts w:ascii="新細明體" w:hAnsi="新細明體" w:cs="Arial"/>
          <w:b/>
          <w:kern w:val="0"/>
        </w:rPr>
        <w:t>相即</w:t>
      </w:r>
      <w:r w:rsidRPr="00DA3BC7">
        <w:rPr>
          <w:rFonts w:ascii="新細明體" w:hAnsi="新細明體" w:cs="Arial"/>
          <w:kern w:val="0"/>
        </w:rPr>
        <w:t>的。</w:t>
      </w:r>
    </w:p>
    <w:p w:rsidR="00AA120F" w:rsidRPr="00DA3BC7" w:rsidRDefault="00AA120F" w:rsidP="00AE3920">
      <w:pPr>
        <w:widowControl/>
        <w:spacing w:beforeLines="20"/>
        <w:ind w:leftChars="250" w:left="600"/>
        <w:jc w:val="both"/>
        <w:rPr>
          <w:rFonts w:ascii="新細明體" w:eastAsia="SimSun" w:hAnsi="新細明體" w:cs="Arial"/>
          <w:kern w:val="0"/>
        </w:rPr>
      </w:pPr>
      <w:r w:rsidRPr="00DA3BC7">
        <w:rPr>
          <w:rFonts w:ascii="新細明體" w:hAnsi="新細明體" w:cs="Arial"/>
          <w:b/>
          <w:kern w:val="0"/>
        </w:rPr>
        <w:t>別教</w:t>
      </w:r>
      <w:r w:rsidRPr="00DA3BC7">
        <w:rPr>
          <w:rFonts w:ascii="新細明體" w:hAnsi="新細明體" w:cs="Arial"/>
          <w:kern w:val="0"/>
        </w:rPr>
        <w:t>進而講三諦</w:t>
      </w:r>
      <w:r w:rsidRPr="00DA3BC7">
        <w:rPr>
          <w:rFonts w:hint="eastAsia"/>
        </w:rPr>
        <w:t>──</w:t>
      </w:r>
      <w:r w:rsidRPr="00DA3BC7">
        <w:rPr>
          <w:rFonts w:ascii="新細明體" w:hAnsi="新細明體" w:cs="Arial"/>
          <w:kern w:val="0"/>
        </w:rPr>
        <w:t>俗諦、真諦、中諦，也是主張</w:t>
      </w:r>
      <w:r w:rsidRPr="00DA3BC7">
        <w:rPr>
          <w:rFonts w:ascii="新細明體" w:hAnsi="新細明體" w:cs="Arial"/>
          <w:b/>
          <w:kern w:val="0"/>
        </w:rPr>
        <w:t>差別</w:t>
      </w:r>
      <w:r w:rsidRPr="00DA3BC7">
        <w:rPr>
          <w:rFonts w:ascii="新細明體" w:hAnsi="新細明體" w:cs="Arial"/>
          <w:kern w:val="0"/>
        </w:rPr>
        <w:t>的。</w:t>
      </w:r>
    </w:p>
    <w:p w:rsidR="00AA120F" w:rsidRPr="00DA3BC7" w:rsidRDefault="00AA120F" w:rsidP="00AE3920">
      <w:pPr>
        <w:widowControl/>
        <w:spacing w:beforeLines="20"/>
        <w:ind w:leftChars="250" w:left="600"/>
        <w:jc w:val="both"/>
        <w:rPr>
          <w:rFonts w:ascii="新細明體" w:eastAsia="SimSun" w:hAnsi="新細明體" w:cs="Arial"/>
          <w:kern w:val="0"/>
        </w:rPr>
      </w:pPr>
      <w:r w:rsidRPr="00DA3BC7">
        <w:rPr>
          <w:rFonts w:ascii="新細明體" w:hAnsi="新細明體" w:cs="Arial"/>
          <w:b/>
          <w:kern w:val="0"/>
        </w:rPr>
        <w:t>圓教</w:t>
      </w:r>
      <w:r w:rsidRPr="00DA3BC7">
        <w:rPr>
          <w:rFonts w:ascii="新細明體" w:hAnsi="新細明體" w:cs="Arial"/>
          <w:kern w:val="0"/>
        </w:rPr>
        <w:t>則即俗、即真、即中，三諦是</w:t>
      </w:r>
      <w:r w:rsidRPr="00DA3BC7">
        <w:rPr>
          <w:rFonts w:ascii="新細明體" w:hAnsi="新細明體" w:cs="Arial"/>
          <w:b/>
          <w:kern w:val="0"/>
        </w:rPr>
        <w:t>融即</w:t>
      </w:r>
      <w:r w:rsidRPr="00DA3BC7">
        <w:rPr>
          <w:rFonts w:ascii="新細明體" w:hAnsi="新細明體" w:cs="Arial"/>
          <w:kern w:val="0"/>
        </w:rPr>
        <w:t>的。</w:t>
      </w:r>
    </w:p>
    <w:p w:rsidR="00AA120F" w:rsidRPr="00DA3BC7" w:rsidRDefault="00AA120F" w:rsidP="00AE3920">
      <w:pPr>
        <w:widowControl/>
        <w:spacing w:beforeLines="20"/>
        <w:ind w:leftChars="250" w:left="600"/>
        <w:jc w:val="both"/>
        <w:rPr>
          <w:rFonts w:ascii="新細明體" w:hAnsi="新細明體" w:cs="Arial"/>
          <w:kern w:val="0"/>
        </w:rPr>
      </w:pPr>
      <w:r w:rsidRPr="00DA3BC7">
        <w:rPr>
          <w:rFonts w:ascii="新細明體" w:hAnsi="新細明體" w:cs="Arial"/>
          <w:kern w:val="0"/>
        </w:rPr>
        <w:t>由此觀之，在佛法說明</w:t>
      </w:r>
      <w:r w:rsidRPr="00375D10">
        <w:rPr>
          <w:rFonts w:ascii="新細明體" w:hAnsi="新細明體" w:cs="Arial"/>
          <w:b/>
          <w:kern w:val="0"/>
          <w:u w:val="wave" w:color="C00000"/>
        </w:rPr>
        <w:t>緣起</w:t>
      </w:r>
      <w:r w:rsidRPr="00DA3BC7">
        <w:rPr>
          <w:rFonts w:ascii="新細明體" w:hAnsi="新細明體" w:cs="Arial"/>
          <w:kern w:val="0"/>
        </w:rPr>
        <w:t>與</w:t>
      </w:r>
      <w:r w:rsidRPr="00375D10">
        <w:rPr>
          <w:rFonts w:ascii="新細明體" w:hAnsi="新細明體" w:cs="Arial"/>
          <w:b/>
          <w:kern w:val="0"/>
          <w:u w:val="wave" w:color="C00000"/>
        </w:rPr>
        <w:t>本性</w:t>
      </w:r>
      <w:r w:rsidRPr="00DA3BC7">
        <w:rPr>
          <w:rFonts w:ascii="新細明體" w:hAnsi="新細明體" w:cs="Arial"/>
          <w:kern w:val="0"/>
        </w:rPr>
        <w:t>時，可說是：不是</w:t>
      </w:r>
      <w:r w:rsidRPr="00375D10">
        <w:rPr>
          <w:rFonts w:ascii="新細明體" w:hAnsi="新細明體" w:cs="Arial"/>
          <w:b/>
          <w:kern w:val="0"/>
          <w:u w:val="wave" w:color="C00000"/>
        </w:rPr>
        <w:t>即</w:t>
      </w:r>
      <w:r w:rsidRPr="00DA3BC7">
        <w:rPr>
          <w:rFonts w:ascii="新細明體" w:hAnsi="新細明體" w:cs="Arial"/>
          <w:kern w:val="0"/>
        </w:rPr>
        <w:t>就是</w:t>
      </w:r>
      <w:r w:rsidRPr="00375D10">
        <w:rPr>
          <w:rFonts w:ascii="新細明體" w:hAnsi="新細明體" w:cs="Arial"/>
          <w:b/>
          <w:kern w:val="0"/>
          <w:u w:val="wave" w:color="C00000"/>
        </w:rPr>
        <w:t>別</w:t>
      </w:r>
      <w:r w:rsidRPr="00DA3BC7">
        <w:rPr>
          <w:rFonts w:ascii="新細明體" w:hAnsi="新細明體" w:cs="Arial"/>
          <w:kern w:val="0"/>
        </w:rPr>
        <w:t>，不是</w:t>
      </w:r>
      <w:r w:rsidRPr="00375D10">
        <w:rPr>
          <w:rFonts w:ascii="新細明體" w:hAnsi="新細明體" w:cs="Arial"/>
          <w:b/>
          <w:kern w:val="0"/>
          <w:u w:val="wave" w:color="C00000"/>
        </w:rPr>
        <w:t>別</w:t>
      </w:r>
      <w:r w:rsidRPr="00DA3BC7">
        <w:rPr>
          <w:rFonts w:ascii="新細明體" w:hAnsi="新細明體" w:cs="Arial"/>
          <w:kern w:val="0"/>
        </w:rPr>
        <w:t>就是</w:t>
      </w:r>
      <w:r w:rsidRPr="00375D10">
        <w:rPr>
          <w:rFonts w:ascii="新細明體" w:hAnsi="新細明體" w:cs="Arial"/>
          <w:b/>
          <w:kern w:val="0"/>
          <w:u w:val="wave" w:color="C00000"/>
        </w:rPr>
        <w:t>即</w:t>
      </w:r>
      <w:r w:rsidRPr="00DA3BC7">
        <w:rPr>
          <w:rFonts w:ascii="新細明體" w:hAnsi="新細明體" w:cs="Arial" w:hint="eastAsia"/>
          <w:kern w:val="0"/>
        </w:rPr>
        <w:t>。</w:t>
      </w:r>
      <w:r w:rsidRPr="00DA3BC7">
        <w:rPr>
          <w:rFonts w:ascii="新細明體" w:hAnsi="新細明體" w:cs="Arial"/>
          <w:kern w:val="0"/>
        </w:rPr>
        <w:t>說明的方便，每似乎有所偏重，而</w:t>
      </w:r>
      <w:r w:rsidRPr="00375D10">
        <w:rPr>
          <w:rFonts w:ascii="新細明體" w:hAnsi="新細明體" w:cs="Arial"/>
          <w:kern w:val="0"/>
          <w:u w:val="wave" w:color="C00000"/>
        </w:rPr>
        <w:t>實不可執</w:t>
      </w:r>
      <w:r w:rsidRPr="00375D10">
        <w:rPr>
          <w:rFonts w:ascii="新細明體" w:hAnsi="新細明體" w:cs="Arial"/>
          <w:b/>
          <w:kern w:val="0"/>
          <w:u w:val="wave" w:color="C00000"/>
        </w:rPr>
        <w:t>即</w:t>
      </w:r>
      <w:r w:rsidRPr="00375D10">
        <w:rPr>
          <w:rFonts w:ascii="新細明體" w:hAnsi="新細明體" w:cs="Arial" w:hint="eastAsia"/>
          <w:kern w:val="0"/>
          <w:u w:val="wave" w:color="C00000"/>
        </w:rPr>
        <w:t>、</w:t>
      </w:r>
      <w:r w:rsidRPr="00375D10">
        <w:rPr>
          <w:rFonts w:ascii="新細明體" w:hAnsi="新細明體" w:cs="Arial"/>
          <w:kern w:val="0"/>
          <w:u w:val="wave" w:color="C00000"/>
        </w:rPr>
        <w:t>執</w:t>
      </w:r>
      <w:r w:rsidRPr="00375D10">
        <w:rPr>
          <w:rFonts w:ascii="新細明體" w:hAnsi="新細明體" w:cs="Arial"/>
          <w:b/>
          <w:kern w:val="0"/>
          <w:u w:val="wave" w:color="C00000"/>
        </w:rPr>
        <w:t>別</w:t>
      </w:r>
      <w:r w:rsidRPr="00DA3BC7">
        <w:rPr>
          <w:rFonts w:ascii="新細明體" w:hAnsi="新細明體" w:cs="Arial"/>
          <w:kern w:val="0"/>
        </w:rPr>
        <w:t>。</w:t>
      </w:r>
    </w:p>
    <w:p w:rsidR="00AA120F" w:rsidRPr="00DA3BC7" w:rsidRDefault="00AA120F" w:rsidP="00AE3920">
      <w:pPr>
        <w:widowControl/>
        <w:spacing w:beforeLines="30"/>
        <w:ind w:leftChars="250" w:left="600"/>
        <w:jc w:val="both"/>
        <w:rPr>
          <w:rFonts w:ascii="Times New Roman" w:eastAsia="SimSun" w:hAnsi="Times New Roman"/>
          <w:sz w:val="20"/>
          <w:szCs w:val="20"/>
        </w:rPr>
      </w:pPr>
      <w:r w:rsidRPr="00520B7E">
        <w:rPr>
          <w:rFonts w:ascii="新細明體" w:hAnsi="新細明體" w:cs="Times Ext Roman" w:hint="eastAsia"/>
          <w:b/>
          <w:color w:val="FF0000"/>
          <w:sz w:val="20"/>
          <w:szCs w:val="20"/>
          <w:highlight w:val="yellow"/>
          <w:bdr w:val="single" w:sz="4" w:space="0" w:color="auto"/>
        </w:rPr>
        <w:t>（</w:t>
      </w:r>
      <w:r w:rsidR="00520B7E" w:rsidRPr="00520B7E">
        <w:rPr>
          <w:rFonts w:ascii="Times New Roman" w:hAnsi="Times New Roman" w:hint="eastAsia"/>
          <w:b/>
          <w:color w:val="FF0000"/>
          <w:sz w:val="20"/>
          <w:szCs w:val="20"/>
          <w:highlight w:val="yellow"/>
          <w:bdr w:val="single" w:sz="4" w:space="0" w:color="auto"/>
        </w:rPr>
        <w:t>2</w:t>
      </w:r>
      <w:r w:rsidRPr="00520B7E">
        <w:rPr>
          <w:rFonts w:ascii="新細明體" w:hAnsi="新細明體" w:cs="Times Ext Roman" w:hint="eastAsia"/>
          <w:b/>
          <w:color w:val="FF0000"/>
          <w:sz w:val="20"/>
          <w:szCs w:val="20"/>
          <w:highlight w:val="yellow"/>
          <w:bdr w:val="single" w:sz="4" w:space="0" w:color="auto"/>
        </w:rPr>
        <w:t>）</w:t>
      </w:r>
      <w:r w:rsidRPr="00DA3BC7">
        <w:rPr>
          <w:rFonts w:ascii="新細明體" w:hAnsi="新細明體" w:cs="Times Ext Roman" w:hint="eastAsia"/>
          <w:b/>
          <w:sz w:val="20"/>
          <w:szCs w:val="20"/>
          <w:bdr w:val="single" w:sz="4" w:space="0" w:color="auto"/>
        </w:rPr>
        <w:t>約</w:t>
      </w:r>
      <w:r w:rsidR="00520B7E" w:rsidRPr="00520B7E">
        <w:rPr>
          <w:rFonts w:ascii="新細明體" w:hAnsi="新細明體" w:cs="Times Ext Roman" w:hint="eastAsia"/>
          <w:b/>
          <w:color w:val="FF0000"/>
          <w:sz w:val="20"/>
          <w:szCs w:val="20"/>
          <w:highlight w:val="yellow"/>
          <w:bdr w:val="single" w:sz="4" w:space="0" w:color="auto"/>
        </w:rPr>
        <w:t>「</w:t>
      </w:r>
      <w:r w:rsidRPr="00DA3BC7">
        <w:rPr>
          <w:rFonts w:ascii="新細明體" w:hAnsi="新細明體" w:cs="Times Ext Roman" w:hint="eastAsia"/>
          <w:b/>
          <w:sz w:val="20"/>
          <w:szCs w:val="20"/>
          <w:bdr w:val="single" w:sz="4" w:space="0" w:color="auto"/>
        </w:rPr>
        <w:t>修行體悟</w:t>
      </w:r>
      <w:r w:rsidR="00520B7E" w:rsidRPr="00520B7E">
        <w:rPr>
          <w:rFonts w:ascii="新細明體" w:hAnsi="新細明體" w:cs="Times Ext Roman" w:hint="eastAsia"/>
          <w:b/>
          <w:color w:val="FF0000"/>
          <w:sz w:val="20"/>
          <w:szCs w:val="20"/>
          <w:highlight w:val="yellow"/>
          <w:bdr w:val="single" w:sz="4" w:space="0" w:color="auto"/>
        </w:rPr>
        <w:t>」</w:t>
      </w:r>
      <w:r w:rsidRPr="00DA3BC7">
        <w:rPr>
          <w:rFonts w:ascii="新細明體" w:hAnsi="新細明體" w:cs="Times Ext Roman" w:hint="eastAsia"/>
          <w:b/>
          <w:sz w:val="20"/>
          <w:szCs w:val="20"/>
          <w:bdr w:val="single" w:sz="4" w:space="0" w:color="auto"/>
        </w:rPr>
        <w:t>說</w:t>
      </w:r>
      <w:r w:rsidRPr="00DA3BC7">
        <w:rPr>
          <w:rFonts w:ascii="Times New Roman" w:hAnsi="Times New Roman" w:hint="eastAsia"/>
          <w:sz w:val="20"/>
          <w:szCs w:val="20"/>
        </w:rPr>
        <w:t>（</w:t>
      </w:r>
      <w:r w:rsidRPr="00DA3BC7">
        <w:rPr>
          <w:rFonts w:ascii="Times New Roman" w:hAnsi="Times New Roman" w:hint="eastAsia"/>
          <w:sz w:val="20"/>
          <w:szCs w:val="20"/>
        </w:rPr>
        <w:t>p.</w:t>
      </w:r>
      <w:r w:rsidRPr="00DA3BC7">
        <w:rPr>
          <w:rFonts w:ascii="Times New Roman" w:eastAsia="SimSun" w:hAnsi="Times New Roman" w:hint="eastAsia"/>
          <w:sz w:val="20"/>
          <w:szCs w:val="20"/>
        </w:rPr>
        <w:t>195</w:t>
      </w:r>
      <w:r w:rsidRPr="00DA3BC7">
        <w:rPr>
          <w:rFonts w:ascii="Times New Roman" w:hAnsi="Times New Roman" w:hint="eastAsia"/>
          <w:sz w:val="20"/>
          <w:szCs w:val="20"/>
        </w:rPr>
        <w:t>）</w:t>
      </w:r>
    </w:p>
    <w:p w:rsidR="00AA120F" w:rsidRPr="00DA3BC7" w:rsidRDefault="00520B7E" w:rsidP="00E45051">
      <w:pPr>
        <w:widowControl/>
        <w:ind w:leftChars="300" w:left="720"/>
        <w:jc w:val="both"/>
        <w:rPr>
          <w:rFonts w:ascii="新細明體" w:eastAsia="SimSun" w:hAnsi="新細明體" w:cs="Arial"/>
          <w:kern w:val="0"/>
        </w:rPr>
      </w:pPr>
      <w:r w:rsidRPr="00520B7E">
        <w:rPr>
          <w:rFonts w:ascii="Times New Roman" w:hAnsi="Times New Roman" w:hint="eastAsia"/>
          <w:b/>
          <w:color w:val="FF0000"/>
          <w:sz w:val="20"/>
          <w:szCs w:val="20"/>
          <w:highlight w:val="yellow"/>
          <w:bdr w:val="single" w:sz="4" w:space="0" w:color="auto"/>
        </w:rPr>
        <w:t>A</w:t>
      </w:r>
      <w:r w:rsidR="00AA120F" w:rsidRPr="00520B7E">
        <w:rPr>
          <w:rFonts w:ascii="新細明體" w:hAnsi="新細明體" w:hint="eastAsia"/>
          <w:b/>
          <w:color w:val="FF0000"/>
          <w:sz w:val="20"/>
          <w:szCs w:val="20"/>
          <w:highlight w:val="yellow"/>
          <w:bdr w:val="single" w:sz="4" w:space="0" w:color="auto"/>
        </w:rPr>
        <w:t>、</w:t>
      </w:r>
      <w:r w:rsidRPr="00520B7E">
        <w:rPr>
          <w:rFonts w:ascii="新細明體" w:hAnsi="新細明體" w:hint="eastAsia"/>
          <w:b/>
          <w:color w:val="FF0000"/>
          <w:sz w:val="20"/>
          <w:szCs w:val="20"/>
          <w:highlight w:val="yellow"/>
          <w:bdr w:val="single" w:sz="4" w:space="0" w:color="auto"/>
        </w:rPr>
        <w:t>明宗見</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w:t>
      </w:r>
      <w:r w:rsidR="00AA120F" w:rsidRPr="00DA3BC7">
        <w:rPr>
          <w:rFonts w:ascii="Times New Roman" w:eastAsia="SimSun" w:hAnsi="Times New Roman" w:hint="eastAsia"/>
          <w:sz w:val="20"/>
          <w:szCs w:val="20"/>
        </w:rPr>
        <w:t>195</w:t>
      </w:r>
      <w:r w:rsidR="00AA120F" w:rsidRPr="00DA3BC7">
        <w:rPr>
          <w:rFonts w:ascii="Times New Roman" w:hAnsi="Times New Roman" w:hint="eastAsia"/>
          <w:sz w:val="20"/>
          <w:szCs w:val="20"/>
        </w:rPr>
        <w:t>）</w:t>
      </w:r>
    </w:p>
    <w:p w:rsidR="00AA120F" w:rsidRPr="00DA3BC7" w:rsidRDefault="00137E31" w:rsidP="00E45051">
      <w:pPr>
        <w:widowControl/>
        <w:ind w:leftChars="300" w:left="720"/>
        <w:jc w:val="both"/>
        <w:rPr>
          <w:rFonts w:ascii="新細明體" w:eastAsia="SimSun" w:hAnsi="新細明體" w:cs="Arial"/>
          <w:kern w:val="0"/>
        </w:rPr>
      </w:pPr>
      <w:r w:rsidRPr="00137E31">
        <w:rPr>
          <w:rFonts w:ascii="新細明體" w:hAnsi="新細明體" w:cs="Arial"/>
          <w:kern w:val="0"/>
          <w:highlight w:val="yellow"/>
        </w:rPr>
        <w:t>但</w:t>
      </w:r>
      <w:r w:rsidRPr="00DA3BC7">
        <w:rPr>
          <w:rFonts w:ascii="新細明體" w:hAnsi="新細明體" w:cs="Arial"/>
          <w:kern w:val="0"/>
        </w:rPr>
        <w:t>此約安立言教說</w:t>
      </w:r>
      <w:r>
        <w:rPr>
          <w:rFonts w:ascii="新細明體" w:hAnsi="新細明體" w:cs="Arial" w:hint="eastAsia"/>
          <w:color w:val="FF0000"/>
          <w:kern w:val="0"/>
          <w:highlight w:val="yellow"/>
        </w:rPr>
        <w:t>，</w:t>
      </w:r>
      <w:r w:rsidR="00AA120F" w:rsidRPr="00DA3BC7">
        <w:rPr>
          <w:rFonts w:ascii="新細明體" w:hAnsi="新細明體" w:cs="Arial"/>
          <w:kern w:val="0"/>
        </w:rPr>
        <w:t>若就修行體悟說，這只有二類：一、悟真諦，二、悟中諦。</w:t>
      </w:r>
    </w:p>
    <w:p w:rsidR="00AA120F" w:rsidRPr="00DA3BC7" w:rsidRDefault="00AA120F" w:rsidP="00AE3920">
      <w:pPr>
        <w:widowControl/>
        <w:spacing w:beforeLines="20"/>
        <w:ind w:leftChars="300" w:left="720"/>
        <w:jc w:val="both"/>
        <w:rPr>
          <w:rFonts w:ascii="Times New Roman" w:eastAsia="SimSun" w:hAnsi="Times New Roman"/>
          <w:kern w:val="0"/>
        </w:rPr>
      </w:pPr>
      <w:r w:rsidRPr="00DA3BC7">
        <w:rPr>
          <w:rFonts w:ascii="新細明體" w:hAnsi="新細明體" w:cs="Arial"/>
          <w:b/>
          <w:kern w:val="0"/>
        </w:rPr>
        <w:t>悟真諦</w:t>
      </w:r>
      <w:r w:rsidRPr="00DA3BC7">
        <w:rPr>
          <w:rFonts w:ascii="新細明體" w:hAnsi="新細明體" w:cs="Arial"/>
          <w:kern w:val="0"/>
        </w:rPr>
        <w:t>是：體悟第一義諦時，一切差別現象皆不顯現，唯有平等</w:t>
      </w:r>
      <w:r w:rsidRPr="00DA3BC7">
        <w:rPr>
          <w:rFonts w:ascii="Times New Roman" w:hAnsi="Times New Roman"/>
          <w:kern w:val="0"/>
        </w:rPr>
        <w:t>一味之理，是名但</w:t>
      </w:r>
      <w:r w:rsidRPr="00DA3BC7">
        <w:rPr>
          <w:rStyle w:val="a6"/>
          <w:rFonts w:ascii="Times New Roman" w:hAnsi="Times New Roman"/>
          <w:kern w:val="0"/>
        </w:rPr>
        <w:footnoteReference w:id="862"/>
      </w:r>
      <w:r w:rsidRPr="00DA3BC7">
        <w:rPr>
          <w:rFonts w:ascii="Times New Roman" w:hAnsi="Times New Roman"/>
          <w:kern w:val="0"/>
        </w:rPr>
        <w:t>空、偏真。</w:t>
      </w:r>
    </w:p>
    <w:p w:rsidR="00AA120F" w:rsidRPr="00DA3BC7" w:rsidRDefault="00AA120F" w:rsidP="00AE3920">
      <w:pPr>
        <w:widowControl/>
        <w:spacing w:beforeLines="20"/>
        <w:ind w:leftChars="300" w:left="720"/>
        <w:jc w:val="both"/>
        <w:rPr>
          <w:rFonts w:ascii="Times New Roman" w:hAnsi="Times New Roman"/>
          <w:b/>
          <w:sz w:val="20"/>
          <w:szCs w:val="20"/>
          <w:bdr w:val="single" w:sz="4" w:space="0" w:color="auto"/>
        </w:rPr>
      </w:pPr>
      <w:r w:rsidRPr="00DA3BC7">
        <w:rPr>
          <w:rFonts w:ascii="Times New Roman" w:hAnsi="Times New Roman"/>
          <w:b/>
          <w:kern w:val="0"/>
        </w:rPr>
        <w:t>悟中諦</w:t>
      </w:r>
      <w:r w:rsidRPr="00DA3BC7">
        <w:rPr>
          <w:rFonts w:ascii="Times New Roman" w:hAnsi="Times New Roman"/>
          <w:kern w:val="0"/>
        </w:rPr>
        <w:t>是：悟得理性平等一如，而當下即是差別宛然</w:t>
      </w:r>
      <w:r w:rsidRPr="00DA3BC7">
        <w:rPr>
          <w:rStyle w:val="a6"/>
          <w:rFonts w:ascii="Times New Roman" w:hAnsi="Times New Roman"/>
          <w:kern w:val="0"/>
        </w:rPr>
        <w:footnoteReference w:id="863"/>
      </w:r>
      <w:r w:rsidRPr="00DA3BC7">
        <w:rPr>
          <w:rFonts w:ascii="Times New Roman" w:hAnsi="Times New Roman"/>
          <w:kern w:val="0"/>
        </w:rPr>
        <w:t>的現象；現象差別宛然，而當下即是寂滅平等。</w:t>
      </w:r>
    </w:p>
    <w:p w:rsidR="00AA120F" w:rsidRPr="00DA3BC7" w:rsidRDefault="00520B7E" w:rsidP="00AE3920">
      <w:pPr>
        <w:widowControl/>
        <w:spacing w:beforeLines="30"/>
        <w:ind w:leftChars="300" w:left="720"/>
        <w:jc w:val="both"/>
        <w:rPr>
          <w:rFonts w:ascii="新細明體" w:hAnsi="新細明體" w:cs="Times Ext Roman"/>
          <w:b/>
          <w:sz w:val="20"/>
          <w:szCs w:val="20"/>
          <w:bdr w:val="single" w:sz="4" w:space="0" w:color="auto"/>
        </w:rPr>
      </w:pPr>
      <w:r w:rsidRPr="00520B7E">
        <w:rPr>
          <w:rFonts w:ascii="Times New Roman" w:hAnsi="Times New Roman" w:hint="eastAsia"/>
          <w:b/>
          <w:color w:val="FF0000"/>
          <w:sz w:val="20"/>
          <w:szCs w:val="20"/>
          <w:highlight w:val="yellow"/>
          <w:bdr w:val="single" w:sz="4" w:space="0" w:color="auto"/>
        </w:rPr>
        <w:t>B</w:t>
      </w:r>
      <w:r w:rsidR="00AA120F" w:rsidRPr="00520B7E">
        <w:rPr>
          <w:rFonts w:ascii="Times New Roman" w:hAnsi="Times New Roman" w:hint="eastAsia"/>
          <w:b/>
          <w:color w:val="FF0000"/>
          <w:sz w:val="20"/>
          <w:szCs w:val="20"/>
          <w:highlight w:val="yellow"/>
          <w:bdr w:val="single" w:sz="4" w:space="0" w:color="auto"/>
        </w:rPr>
        <w:t>、</w:t>
      </w:r>
      <w:r w:rsidRPr="00520B7E">
        <w:rPr>
          <w:rFonts w:ascii="Times New Roman" w:hAnsi="Times New Roman" w:hint="eastAsia"/>
          <w:b/>
          <w:color w:val="FF0000"/>
          <w:sz w:val="20"/>
          <w:szCs w:val="20"/>
          <w:highlight w:val="yellow"/>
          <w:bdr w:val="single" w:sz="4" w:space="0" w:color="auto"/>
        </w:rPr>
        <w:t>釋</w:t>
      </w:r>
      <w:r w:rsidR="00AA120F" w:rsidRPr="00520B7E">
        <w:rPr>
          <w:rFonts w:ascii="Times New Roman" w:hAnsi="Times New Roman"/>
          <w:b/>
          <w:color w:val="FF0000"/>
          <w:sz w:val="20"/>
          <w:szCs w:val="20"/>
          <w:highlight w:val="yellow"/>
          <w:bdr w:val="single" w:sz="4" w:space="0" w:color="auto"/>
        </w:rPr>
        <w:t>悟</w:t>
      </w:r>
      <w:r w:rsidRPr="00520B7E">
        <w:rPr>
          <w:rFonts w:ascii="Times New Roman" w:hAnsi="Times New Roman" w:hint="eastAsia"/>
          <w:b/>
          <w:color w:val="FF0000"/>
          <w:sz w:val="20"/>
          <w:szCs w:val="20"/>
          <w:highlight w:val="yellow"/>
          <w:bdr w:val="single" w:sz="4" w:space="0" w:color="auto"/>
        </w:rPr>
        <w:t>實</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w:t>
      </w:r>
      <w:r w:rsidR="00AA120F" w:rsidRPr="00DA3BC7">
        <w:rPr>
          <w:rFonts w:ascii="Times New Roman" w:eastAsia="SimSun" w:hAnsi="Times New Roman" w:hint="eastAsia"/>
          <w:sz w:val="20"/>
          <w:szCs w:val="20"/>
        </w:rPr>
        <w:t>195</w:t>
      </w:r>
      <w:r w:rsidR="00AA120F" w:rsidRPr="00DA3BC7">
        <w:rPr>
          <w:rFonts w:ascii="Times New Roman" w:hAnsi="Times New Roman" w:hint="eastAsia"/>
          <w:sz w:val="20"/>
          <w:szCs w:val="20"/>
        </w:rPr>
        <w:t>）</w:t>
      </w:r>
    </w:p>
    <w:p w:rsidR="00520B7E" w:rsidRPr="00DA3BC7" w:rsidRDefault="00520B7E" w:rsidP="00E45051">
      <w:pPr>
        <w:widowControl/>
        <w:ind w:leftChars="350" w:left="840"/>
        <w:jc w:val="both"/>
        <w:rPr>
          <w:rFonts w:ascii="新細明體" w:hAnsi="新細明體" w:cs="Times Ext Roman"/>
          <w:b/>
          <w:sz w:val="20"/>
          <w:szCs w:val="20"/>
          <w:bdr w:val="single" w:sz="4" w:space="0" w:color="auto"/>
        </w:rPr>
      </w:pPr>
      <w:r w:rsidRPr="00520B7E">
        <w:rPr>
          <w:rFonts w:ascii="新細明體" w:hAnsi="新細明體" w:cs="Times Ext Roman" w:hint="eastAsia"/>
          <w:b/>
          <w:color w:val="FF0000"/>
          <w:sz w:val="20"/>
          <w:szCs w:val="20"/>
          <w:highlight w:val="yellow"/>
          <w:bdr w:val="single" w:sz="4" w:space="0" w:color="auto"/>
        </w:rPr>
        <w:t>（</w:t>
      </w:r>
      <w:r w:rsidRPr="00520B7E">
        <w:rPr>
          <w:rFonts w:ascii="Times New Roman" w:hAnsi="Times New Roman" w:hint="eastAsia"/>
          <w:b/>
          <w:color w:val="FF0000"/>
          <w:sz w:val="20"/>
          <w:szCs w:val="20"/>
          <w:highlight w:val="yellow"/>
          <w:bdr w:val="single" w:sz="4" w:space="0" w:color="auto"/>
        </w:rPr>
        <w:t>A</w:t>
      </w:r>
      <w:r w:rsidRPr="00520B7E">
        <w:rPr>
          <w:rFonts w:ascii="新細明體" w:hAnsi="新細明體" w:cs="Times Ext Roman" w:hint="eastAsia"/>
          <w:b/>
          <w:color w:val="FF0000"/>
          <w:sz w:val="20"/>
          <w:szCs w:val="20"/>
          <w:highlight w:val="yellow"/>
          <w:bdr w:val="single" w:sz="4" w:space="0" w:color="auto"/>
        </w:rPr>
        <w:t>）依方便明「悟境」</w:t>
      </w:r>
      <w:r w:rsidRPr="00DA3BC7">
        <w:rPr>
          <w:rFonts w:ascii="Times New Roman" w:hAnsi="Times New Roman" w:hint="eastAsia"/>
          <w:sz w:val="20"/>
          <w:szCs w:val="20"/>
        </w:rPr>
        <w:t>（</w:t>
      </w:r>
      <w:r w:rsidRPr="00DA3BC7">
        <w:rPr>
          <w:rFonts w:ascii="Times New Roman" w:hAnsi="Times New Roman" w:hint="eastAsia"/>
          <w:sz w:val="20"/>
          <w:szCs w:val="20"/>
        </w:rPr>
        <w:t>p.</w:t>
      </w:r>
      <w:r w:rsidRPr="00DA3BC7">
        <w:rPr>
          <w:rFonts w:ascii="Times New Roman" w:eastAsia="SimSun" w:hAnsi="Times New Roman" w:hint="eastAsia"/>
          <w:sz w:val="20"/>
          <w:szCs w:val="20"/>
        </w:rPr>
        <w:t>195</w:t>
      </w:r>
      <w:r w:rsidRPr="00DA3BC7">
        <w:rPr>
          <w:rFonts w:ascii="Times New Roman" w:hAnsi="Times New Roman" w:hint="eastAsia"/>
          <w:sz w:val="20"/>
          <w:szCs w:val="20"/>
        </w:rPr>
        <w:t>）</w:t>
      </w:r>
    </w:p>
    <w:p w:rsidR="00AA120F" w:rsidRPr="00DA3BC7" w:rsidRDefault="00AA120F" w:rsidP="00E45051">
      <w:pPr>
        <w:widowControl/>
        <w:ind w:leftChars="350" w:left="840"/>
        <w:jc w:val="both"/>
        <w:rPr>
          <w:rFonts w:ascii="新細明體" w:hAnsi="新細明體" w:cs="Arial"/>
          <w:kern w:val="0"/>
        </w:rPr>
      </w:pPr>
      <w:r w:rsidRPr="00DA3BC7">
        <w:rPr>
          <w:rFonts w:ascii="新細明體" w:hAnsi="新細明體" w:cs="Arial"/>
          <w:kern w:val="0"/>
        </w:rPr>
        <w:lastRenderedPageBreak/>
        <w:t>真理，從智慧的體證說，不外悟</w:t>
      </w:r>
      <w:r w:rsidRPr="00DA3BC7">
        <w:rPr>
          <w:rFonts w:ascii="新細明體" w:hAnsi="新細明體" w:cs="Arial"/>
          <w:b/>
          <w:kern w:val="0"/>
        </w:rPr>
        <w:t>偏真與圓中</w:t>
      </w:r>
      <w:r w:rsidRPr="00DA3BC7">
        <w:rPr>
          <w:rFonts w:ascii="新細明體" w:hAnsi="新細明體" w:cs="Arial"/>
          <w:kern w:val="0"/>
        </w:rPr>
        <w:t>。</w:t>
      </w:r>
      <w:r w:rsidRPr="00DA3BC7">
        <w:rPr>
          <w:rStyle w:val="a6"/>
          <w:rFonts w:ascii="Times New Roman" w:hAnsi="Times New Roman"/>
          <w:kern w:val="0"/>
        </w:rPr>
        <w:footnoteReference w:id="864"/>
      </w:r>
    </w:p>
    <w:p w:rsidR="00AA120F" w:rsidRPr="00DA3BC7" w:rsidRDefault="00AA120F" w:rsidP="00E45051">
      <w:pPr>
        <w:widowControl/>
        <w:ind w:leftChars="350" w:left="840"/>
        <w:jc w:val="both"/>
        <w:rPr>
          <w:rFonts w:ascii="新細明體" w:eastAsia="SimSun" w:hAnsi="新細明體" w:cs="Arial"/>
          <w:kern w:val="0"/>
        </w:rPr>
      </w:pPr>
      <w:r w:rsidRPr="00DA3BC7">
        <w:rPr>
          <w:rFonts w:ascii="新細明體" w:hAnsi="新細明體" w:cs="Arial"/>
          <w:kern w:val="0"/>
        </w:rPr>
        <w:t>中</w:t>
      </w:r>
      <w:r w:rsidRPr="00DA3BC7">
        <w:rPr>
          <w:rFonts w:ascii="新細明體" w:hAnsi="新細明體" w:cs="Arial" w:hint="eastAsia"/>
          <w:kern w:val="0"/>
        </w:rPr>
        <w:t>，</w:t>
      </w:r>
      <w:r w:rsidRPr="00DA3BC7">
        <w:rPr>
          <w:rFonts w:ascii="新細明體" w:hAnsi="新細明體" w:cs="Arial"/>
          <w:kern w:val="0"/>
        </w:rPr>
        <w:t>即是統一切法，即假</w:t>
      </w:r>
      <w:r w:rsidRPr="00DA3BC7">
        <w:rPr>
          <w:rFonts w:ascii="新細明體" w:hAnsi="新細明體" w:cs="Arial" w:hint="eastAsia"/>
          <w:kern w:val="0"/>
        </w:rPr>
        <w:t>、</w:t>
      </w:r>
      <w:r w:rsidRPr="00DA3BC7">
        <w:rPr>
          <w:rFonts w:ascii="新細明體" w:hAnsi="新細明體" w:cs="Arial"/>
          <w:kern w:val="0"/>
        </w:rPr>
        <w:t>即空而即中的。</w:t>
      </w:r>
    </w:p>
    <w:p w:rsidR="00AA120F" w:rsidRPr="00DA3BC7" w:rsidRDefault="00AA120F" w:rsidP="00E45051">
      <w:pPr>
        <w:widowControl/>
        <w:ind w:leftChars="350" w:left="840"/>
        <w:jc w:val="both"/>
        <w:rPr>
          <w:rFonts w:ascii="新細明體" w:hAnsi="新細明體" w:cs="Arial"/>
          <w:kern w:val="0"/>
        </w:rPr>
      </w:pPr>
      <w:r w:rsidRPr="00DA3BC7">
        <w:rPr>
          <w:rFonts w:ascii="新細明體" w:hAnsi="新細明體" w:cs="Arial"/>
          <w:kern w:val="0"/>
        </w:rPr>
        <w:t>臺宗的說明，不一定與其他的宗派相同，但確有其意義。</w:t>
      </w:r>
    </w:p>
    <w:p w:rsidR="00AA120F" w:rsidRPr="00DA3BC7" w:rsidRDefault="00AA120F" w:rsidP="00E45051">
      <w:pPr>
        <w:widowControl/>
        <w:ind w:leftChars="350" w:left="840"/>
        <w:jc w:val="both"/>
        <w:rPr>
          <w:rFonts w:ascii="新細明體" w:hAnsi="新細明體" w:cs="Arial"/>
          <w:kern w:val="0"/>
        </w:rPr>
      </w:pPr>
      <w:r w:rsidRPr="00DA3BC7">
        <w:rPr>
          <w:rFonts w:ascii="新細明體" w:hAnsi="新細明體" w:cs="Arial"/>
          <w:kern w:val="0"/>
        </w:rPr>
        <w:t>悟</w:t>
      </w:r>
      <w:r w:rsidRPr="00DA3BC7">
        <w:rPr>
          <w:rFonts w:ascii="新細明體" w:hAnsi="新細明體" w:cs="Arial"/>
          <w:b/>
          <w:kern w:val="0"/>
        </w:rPr>
        <w:t>偏真</w:t>
      </w:r>
      <w:r w:rsidRPr="00DA3BC7">
        <w:rPr>
          <w:rFonts w:ascii="新細明體" w:hAnsi="新細明體" w:cs="Arial"/>
          <w:kern w:val="0"/>
        </w:rPr>
        <w:t>，現象與本性是</w:t>
      </w:r>
      <w:r w:rsidRPr="00DA3BC7">
        <w:rPr>
          <w:rFonts w:ascii="新細明體" w:hAnsi="新細明體" w:cs="Arial"/>
          <w:b/>
          <w:kern w:val="0"/>
        </w:rPr>
        <w:t>不相即</w:t>
      </w:r>
      <w:r w:rsidRPr="00DA3BC7">
        <w:rPr>
          <w:rFonts w:ascii="新細明體" w:hAnsi="新細明體" w:cs="Arial"/>
          <w:kern w:val="0"/>
        </w:rPr>
        <w:t>的；</w:t>
      </w:r>
    </w:p>
    <w:p w:rsidR="00AA120F" w:rsidRPr="00DA3BC7" w:rsidRDefault="00AA120F" w:rsidP="00E45051">
      <w:pPr>
        <w:widowControl/>
        <w:ind w:leftChars="350" w:left="840"/>
        <w:jc w:val="both"/>
        <w:rPr>
          <w:rFonts w:ascii="新細明體" w:eastAsia="SimSun" w:hAnsi="新細明體" w:cs="Arial"/>
          <w:kern w:val="0"/>
        </w:rPr>
      </w:pPr>
      <w:r w:rsidRPr="00DA3BC7">
        <w:rPr>
          <w:rFonts w:ascii="新細明體" w:hAnsi="新細明體" w:cs="Arial"/>
          <w:kern w:val="0"/>
        </w:rPr>
        <w:t>悟</w:t>
      </w:r>
      <w:r w:rsidRPr="00DA3BC7">
        <w:rPr>
          <w:rFonts w:ascii="新細明體" w:hAnsi="新細明體" w:cs="Arial"/>
          <w:b/>
          <w:kern w:val="0"/>
        </w:rPr>
        <w:t>圓中</w:t>
      </w:r>
      <w:r w:rsidRPr="00DA3BC7">
        <w:rPr>
          <w:rFonts w:ascii="新細明體" w:hAnsi="新細明體" w:cs="Arial"/>
          <w:kern w:val="0"/>
        </w:rPr>
        <w:t>，假與空是</w:t>
      </w:r>
      <w:r w:rsidRPr="00DA3BC7">
        <w:rPr>
          <w:rFonts w:ascii="新細明體" w:hAnsi="新細明體" w:cs="Arial"/>
          <w:b/>
          <w:kern w:val="0"/>
        </w:rPr>
        <w:t>相即</w:t>
      </w:r>
      <w:r w:rsidRPr="00DA3BC7">
        <w:rPr>
          <w:rFonts w:ascii="新細明體" w:hAnsi="新細明體" w:cs="Arial"/>
          <w:kern w:val="0"/>
        </w:rPr>
        <w:t>的。</w:t>
      </w:r>
    </w:p>
    <w:p w:rsidR="00520B7E" w:rsidRDefault="00520B7E" w:rsidP="00AE3920">
      <w:pPr>
        <w:widowControl/>
        <w:spacing w:beforeLines="20"/>
        <w:ind w:leftChars="350" w:left="840"/>
        <w:jc w:val="both"/>
        <w:rPr>
          <w:rFonts w:ascii="新細明體" w:hAnsi="新細明體" w:cs="Times Ext Roman"/>
          <w:b/>
          <w:color w:val="FF0000"/>
          <w:sz w:val="20"/>
          <w:szCs w:val="20"/>
          <w:bdr w:val="single" w:sz="4" w:space="0" w:color="auto"/>
        </w:rPr>
      </w:pPr>
      <w:r w:rsidRPr="00520B7E">
        <w:rPr>
          <w:rFonts w:ascii="新細明體" w:hAnsi="新細明體" w:cs="Times Ext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B</w:t>
      </w:r>
      <w:r w:rsidRPr="00520B7E">
        <w:rPr>
          <w:rFonts w:ascii="新細明體" w:hAnsi="新細明體" w:cs="Times Ext Roman" w:hint="eastAsia"/>
          <w:b/>
          <w:color w:val="FF0000"/>
          <w:sz w:val="20"/>
          <w:szCs w:val="20"/>
          <w:highlight w:val="yellow"/>
          <w:bdr w:val="single" w:sz="4" w:space="0" w:color="auto"/>
        </w:rPr>
        <w:t>）</w:t>
      </w:r>
      <w:r>
        <w:rPr>
          <w:rFonts w:ascii="新細明體" w:hAnsi="新細明體" w:cs="Times Ext Roman" w:hint="eastAsia"/>
          <w:b/>
          <w:color w:val="FF0000"/>
          <w:sz w:val="20"/>
          <w:szCs w:val="20"/>
          <w:highlight w:val="yellow"/>
          <w:bdr w:val="single" w:sz="4" w:space="0" w:color="auto"/>
        </w:rPr>
        <w:t>顯如實之體悟</w:t>
      </w:r>
      <w:r w:rsidRPr="00DA3BC7">
        <w:rPr>
          <w:rFonts w:ascii="Times New Roman" w:hAnsi="Times New Roman" w:hint="eastAsia"/>
          <w:sz w:val="20"/>
          <w:szCs w:val="20"/>
        </w:rPr>
        <w:t>（</w:t>
      </w:r>
      <w:r w:rsidRPr="00DA3BC7">
        <w:rPr>
          <w:rFonts w:ascii="Times New Roman" w:hAnsi="Times New Roman" w:hint="eastAsia"/>
          <w:sz w:val="20"/>
          <w:szCs w:val="20"/>
        </w:rPr>
        <w:t>p.</w:t>
      </w:r>
      <w:r w:rsidRPr="00DA3BC7">
        <w:rPr>
          <w:rFonts w:ascii="Times New Roman" w:eastAsia="SimSun" w:hAnsi="Times New Roman" w:hint="eastAsia"/>
          <w:sz w:val="20"/>
          <w:szCs w:val="20"/>
        </w:rPr>
        <w:t>195</w:t>
      </w:r>
      <w:r w:rsidRPr="00DA3BC7">
        <w:rPr>
          <w:rFonts w:ascii="Times New Roman" w:hAnsi="Times New Roman" w:hint="eastAsia"/>
          <w:sz w:val="20"/>
          <w:szCs w:val="20"/>
        </w:rPr>
        <w:t>）</w:t>
      </w:r>
    </w:p>
    <w:p w:rsidR="00AA120F" w:rsidRPr="00DA3BC7" w:rsidRDefault="00AA120F" w:rsidP="00E45051">
      <w:pPr>
        <w:widowControl/>
        <w:ind w:leftChars="350" w:left="840"/>
        <w:jc w:val="both"/>
        <w:rPr>
          <w:rFonts w:ascii="新細明體" w:eastAsia="SimSun" w:hAnsi="新細明體" w:cs="Arial"/>
          <w:kern w:val="0"/>
        </w:rPr>
      </w:pPr>
      <w:r w:rsidRPr="00DA3BC7">
        <w:rPr>
          <w:rFonts w:ascii="新細明體" w:hAnsi="新細明體" w:cs="Arial"/>
          <w:kern w:val="0"/>
        </w:rPr>
        <w:t>但這是從悟境而方便說明的，</w:t>
      </w:r>
      <w:r w:rsidRPr="00BC5E25">
        <w:rPr>
          <w:rFonts w:ascii="新細明體" w:hAnsi="新細明體" w:cs="Arial"/>
          <w:kern w:val="0"/>
          <w:u w:val="wave" w:color="C00000"/>
        </w:rPr>
        <w:t>在如實的悟證時，決不執取為是</w:t>
      </w:r>
      <w:r w:rsidRPr="00BC5E25">
        <w:rPr>
          <w:rFonts w:ascii="新細明體" w:hAnsi="新細明體" w:cs="Arial"/>
          <w:b/>
          <w:kern w:val="0"/>
          <w:u w:val="wave" w:color="C00000"/>
        </w:rPr>
        <w:t>即</w:t>
      </w:r>
      <w:r w:rsidRPr="00BC5E25">
        <w:rPr>
          <w:rFonts w:ascii="新細明體" w:hAnsi="新細明體" w:cs="Arial" w:hint="eastAsia"/>
          <w:kern w:val="0"/>
          <w:u w:val="wave" w:color="C00000"/>
        </w:rPr>
        <w:t>、</w:t>
      </w:r>
      <w:r w:rsidRPr="00BC5E25">
        <w:rPr>
          <w:rFonts w:ascii="新細明體" w:hAnsi="新細明體" w:cs="Arial"/>
          <w:kern w:val="0"/>
          <w:u w:val="wave" w:color="C00000"/>
        </w:rPr>
        <w:t>是</w:t>
      </w:r>
      <w:r w:rsidRPr="00BC5E25">
        <w:rPr>
          <w:rFonts w:ascii="新細明體" w:hAnsi="新細明體" w:cs="Arial"/>
          <w:b/>
          <w:kern w:val="0"/>
          <w:u w:val="wave" w:color="C00000"/>
        </w:rPr>
        <w:t>離</w:t>
      </w:r>
      <w:r w:rsidRPr="00BC5E25">
        <w:rPr>
          <w:rFonts w:ascii="新細明體" w:hAnsi="新細明體" w:cs="Arial"/>
          <w:kern w:val="0"/>
          <w:u w:val="wave" w:color="C00000"/>
        </w:rPr>
        <w:t>的</w:t>
      </w:r>
      <w:r w:rsidRPr="00DA3BC7">
        <w:rPr>
          <w:rFonts w:ascii="新細明體" w:hAnsi="新細明體" w:cs="Arial"/>
          <w:kern w:val="0"/>
        </w:rPr>
        <w:t>。</w:t>
      </w:r>
    </w:p>
    <w:p w:rsidR="00AA120F" w:rsidRPr="00DA3BC7" w:rsidRDefault="00520B7E" w:rsidP="00AE3920">
      <w:pPr>
        <w:widowControl/>
        <w:spacing w:beforeLines="50"/>
        <w:ind w:leftChars="50" w:left="120"/>
        <w:jc w:val="both"/>
        <w:rPr>
          <w:rFonts w:ascii="Arial" w:eastAsia="SimSun" w:hAnsi="Arial" w:cs="Arial"/>
          <w:b/>
          <w:kern w:val="0"/>
        </w:rPr>
      </w:pPr>
      <w:r w:rsidRPr="00520B7E">
        <w:rPr>
          <w:rFonts w:ascii="新細明體" w:hAnsi="新細明體" w:cs="Times Ext Roman" w:hint="eastAsia"/>
          <w:b/>
          <w:color w:val="FF0000"/>
          <w:sz w:val="20"/>
          <w:szCs w:val="20"/>
          <w:highlight w:val="yellow"/>
          <w:bdr w:val="single" w:sz="4" w:space="0" w:color="auto"/>
        </w:rPr>
        <w:t>（</w:t>
      </w:r>
      <w:r>
        <w:rPr>
          <w:rFonts w:ascii="新細明體" w:hAnsi="新細明體" w:cs="Times Ext Roman" w:hint="eastAsia"/>
          <w:b/>
          <w:color w:val="FF0000"/>
          <w:sz w:val="20"/>
          <w:szCs w:val="20"/>
          <w:highlight w:val="yellow"/>
          <w:bdr w:val="single" w:sz="4" w:space="0" w:color="auto"/>
        </w:rPr>
        <w:t>貳</w:t>
      </w:r>
      <w:r w:rsidRPr="00520B7E">
        <w:rPr>
          <w:rFonts w:ascii="新細明體" w:hAnsi="新細明體" w:cs="Times Ext Roman" w:hint="eastAsia"/>
          <w:b/>
          <w:color w:val="FF0000"/>
          <w:sz w:val="20"/>
          <w:szCs w:val="20"/>
          <w:highlight w:val="yellow"/>
          <w:bdr w:val="single" w:sz="4" w:space="0" w:color="auto"/>
        </w:rPr>
        <w:t>）</w:t>
      </w:r>
      <w:r w:rsidR="00AA120F" w:rsidRPr="00DA3BC7">
        <w:rPr>
          <w:rFonts w:ascii="新細明體" w:hAnsi="新細明體" w:cs="Times Ext Roman" w:hint="eastAsia"/>
          <w:b/>
          <w:sz w:val="20"/>
          <w:szCs w:val="20"/>
          <w:bdr w:val="single" w:sz="4" w:space="0" w:color="auto"/>
        </w:rPr>
        <w:t>從大乘佛教各宗看「即、離、中道」</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pp.</w:t>
      </w:r>
      <w:r w:rsidR="00AA120F" w:rsidRPr="00DA3BC7">
        <w:rPr>
          <w:rFonts w:ascii="Times New Roman" w:eastAsia="SimSun" w:hAnsi="Times New Roman" w:hint="eastAsia"/>
          <w:sz w:val="20"/>
          <w:szCs w:val="20"/>
        </w:rPr>
        <w:t>195</w:t>
      </w:r>
      <w:r w:rsidR="00AA120F" w:rsidRPr="00DA3BC7">
        <w:rPr>
          <w:rFonts w:ascii="Times New Roman" w:hAnsi="Times New Roman"/>
          <w:sz w:val="20"/>
          <w:szCs w:val="20"/>
        </w:rPr>
        <w:t>-</w:t>
      </w:r>
      <w:r w:rsidR="00AA120F" w:rsidRPr="00DA3BC7">
        <w:rPr>
          <w:rFonts w:ascii="Times New Roman" w:hAnsi="Times New Roman" w:hint="eastAsia"/>
          <w:sz w:val="20"/>
          <w:szCs w:val="20"/>
        </w:rPr>
        <w:t>200</w:t>
      </w:r>
      <w:r w:rsidR="00AA120F" w:rsidRPr="00DA3BC7">
        <w:rPr>
          <w:rFonts w:ascii="Times New Roman" w:hAnsi="Times New Roman" w:hint="eastAsia"/>
          <w:sz w:val="20"/>
          <w:szCs w:val="20"/>
        </w:rPr>
        <w:t>）</w:t>
      </w:r>
    </w:p>
    <w:p w:rsidR="00AA120F" w:rsidRPr="00DA3BC7" w:rsidRDefault="00520B7E" w:rsidP="00E45051">
      <w:pPr>
        <w:widowControl/>
        <w:ind w:leftChars="100" w:left="240"/>
        <w:jc w:val="both"/>
        <w:rPr>
          <w:rFonts w:ascii="新細明體" w:hAnsi="新細明體" w:cs="Times Ext Roman"/>
          <w:b/>
          <w:sz w:val="20"/>
          <w:szCs w:val="20"/>
          <w:bdr w:val="single" w:sz="4" w:space="0" w:color="auto"/>
        </w:rPr>
      </w:pPr>
      <w:r w:rsidRPr="00520B7E">
        <w:rPr>
          <w:rFonts w:ascii="新細明體" w:hAnsi="新細明體" w:cs="Times Ext Roman" w:hint="eastAsia"/>
          <w:b/>
          <w:color w:val="FF0000"/>
          <w:sz w:val="20"/>
          <w:szCs w:val="20"/>
          <w:highlight w:val="yellow"/>
          <w:bdr w:val="single" w:sz="4" w:space="0" w:color="auto"/>
        </w:rPr>
        <w:t>一、概說</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w:t>
      </w:r>
      <w:r w:rsidR="00AA120F" w:rsidRPr="00DA3BC7">
        <w:rPr>
          <w:rFonts w:ascii="Times New Roman" w:eastAsia="SimSun" w:hAnsi="Times New Roman" w:hint="eastAsia"/>
          <w:sz w:val="20"/>
          <w:szCs w:val="20"/>
        </w:rPr>
        <w:t>195</w:t>
      </w:r>
      <w:r w:rsidR="00AA120F" w:rsidRPr="00DA3BC7">
        <w:rPr>
          <w:rFonts w:ascii="Times New Roman" w:hAnsi="Times New Roman" w:hint="eastAsia"/>
          <w:sz w:val="20"/>
          <w:szCs w:val="20"/>
        </w:rPr>
        <w:t>）</w:t>
      </w:r>
    </w:p>
    <w:p w:rsidR="00AA120F" w:rsidRPr="00DA3BC7" w:rsidRDefault="00AA120F" w:rsidP="00E45051">
      <w:pPr>
        <w:widowControl/>
        <w:ind w:leftChars="100" w:left="240"/>
        <w:jc w:val="both"/>
        <w:rPr>
          <w:rFonts w:ascii="新細明體" w:eastAsia="SimSun" w:hAnsi="新細明體" w:cs="Arial"/>
          <w:kern w:val="0"/>
        </w:rPr>
      </w:pPr>
      <w:r w:rsidRPr="00DA3BC7">
        <w:rPr>
          <w:rFonts w:ascii="新細明體" w:hAnsi="新細明體" w:cs="Arial"/>
          <w:kern w:val="0"/>
        </w:rPr>
        <w:t>從言教安立上講，各宗派關於緣起與性空的建立，是否善巧，是否易於使人誤會而落於二邊，不無可以評論。</w:t>
      </w:r>
    </w:p>
    <w:p w:rsidR="00AA120F" w:rsidRPr="00DA3BC7" w:rsidRDefault="00AA120F" w:rsidP="00AE3920">
      <w:pPr>
        <w:widowControl/>
        <w:spacing w:beforeLines="20"/>
        <w:ind w:leftChars="100" w:left="240"/>
        <w:jc w:val="both"/>
        <w:rPr>
          <w:rFonts w:ascii="新細明體" w:eastAsia="SimSun" w:hAnsi="新細明體" w:cs="Arial"/>
          <w:kern w:val="0"/>
        </w:rPr>
      </w:pPr>
      <w:r w:rsidRPr="00DA3BC7">
        <w:rPr>
          <w:rFonts w:ascii="新細明體" w:hAnsi="新細明體" w:cs="Arial"/>
          <w:kern w:val="0"/>
        </w:rPr>
        <w:t>現舉大乘佛教為例：原則的說，凡是大乘佛法，都是談二諦的，都以二諦為不即不離的。唯識、中觀、天臺、賢首，都這樣說。</w:t>
      </w:r>
    </w:p>
    <w:p w:rsidR="00AA120F" w:rsidRPr="00DA3BC7" w:rsidRDefault="00AA120F" w:rsidP="00AE3920">
      <w:pPr>
        <w:widowControl/>
        <w:spacing w:beforeLines="20"/>
        <w:ind w:leftChars="100" w:left="240"/>
        <w:jc w:val="both"/>
        <w:rPr>
          <w:rFonts w:ascii="新細明體" w:eastAsia="SimSun" w:hAnsi="新細明體" w:cs="Arial"/>
          <w:kern w:val="0"/>
        </w:rPr>
      </w:pPr>
      <w:r w:rsidRPr="00DA3BC7">
        <w:rPr>
          <w:rFonts w:ascii="新細明體" w:hAnsi="新細明體" w:cs="Arial"/>
          <w:kern w:val="0"/>
        </w:rPr>
        <w:t>如細探各宗安立的言教，即知各宗或不免偏重。</w:t>
      </w:r>
    </w:p>
    <w:p w:rsidR="00520B7E" w:rsidRDefault="00520B7E" w:rsidP="00AE3920">
      <w:pPr>
        <w:widowControl/>
        <w:spacing w:beforeLines="30"/>
        <w:ind w:leftChars="100" w:left="240"/>
        <w:jc w:val="both"/>
        <w:rPr>
          <w:rFonts w:ascii="新細明體" w:hAnsi="新細明體" w:cs="Times Ext Roman"/>
          <w:b/>
          <w:color w:val="FF0000"/>
          <w:sz w:val="20"/>
          <w:szCs w:val="20"/>
          <w:bdr w:val="single" w:sz="4" w:space="0" w:color="auto"/>
        </w:rPr>
      </w:pPr>
      <w:r w:rsidRPr="00520B7E">
        <w:rPr>
          <w:rFonts w:ascii="Times New Roman" w:hAnsi="Times New Roman" w:hint="eastAsia"/>
          <w:b/>
          <w:color w:val="FF0000"/>
          <w:sz w:val="20"/>
          <w:szCs w:val="20"/>
          <w:highlight w:val="yellow"/>
          <w:bdr w:val="single" w:sz="4" w:space="0" w:color="auto"/>
        </w:rPr>
        <w:t>二、詳究</w:t>
      </w:r>
      <w:r w:rsidRPr="00520B7E">
        <w:rPr>
          <w:rFonts w:ascii="Times New Roman" w:hAnsi="Times New Roman" w:hint="eastAsia"/>
          <w:sz w:val="20"/>
          <w:szCs w:val="20"/>
        </w:rPr>
        <w:t>（</w:t>
      </w:r>
      <w:r w:rsidRPr="00520B7E">
        <w:rPr>
          <w:rFonts w:ascii="Times New Roman" w:hAnsi="Times New Roman" w:hint="eastAsia"/>
          <w:sz w:val="20"/>
          <w:szCs w:val="20"/>
        </w:rPr>
        <w:t>pp.</w:t>
      </w:r>
      <w:r w:rsidRPr="00520B7E">
        <w:rPr>
          <w:rFonts w:ascii="Times New Roman" w:eastAsia="SimSun" w:hAnsi="Times New Roman" w:hint="eastAsia"/>
          <w:sz w:val="20"/>
          <w:szCs w:val="20"/>
        </w:rPr>
        <w:t>195</w:t>
      </w:r>
      <w:r w:rsidRPr="00520B7E">
        <w:rPr>
          <w:rFonts w:ascii="Times New Roman" w:hAnsi="Times New Roman"/>
          <w:sz w:val="20"/>
          <w:szCs w:val="20"/>
        </w:rPr>
        <w:t>-</w:t>
      </w:r>
      <w:r w:rsidRPr="00520B7E">
        <w:rPr>
          <w:rFonts w:ascii="Times New Roman" w:eastAsiaTheme="minorEastAsia" w:hAnsi="Times New Roman" w:hint="eastAsia"/>
          <w:sz w:val="20"/>
          <w:szCs w:val="20"/>
        </w:rPr>
        <w:t>203</w:t>
      </w:r>
      <w:r w:rsidRPr="00DA3BC7">
        <w:rPr>
          <w:rFonts w:ascii="Times New Roman" w:hAnsi="Times New Roman" w:hint="eastAsia"/>
          <w:sz w:val="20"/>
          <w:szCs w:val="20"/>
        </w:rPr>
        <w:t>）</w:t>
      </w:r>
    </w:p>
    <w:p w:rsidR="00520B7E" w:rsidRPr="00520B7E" w:rsidRDefault="00AA120F" w:rsidP="00E45051">
      <w:pPr>
        <w:widowControl/>
        <w:ind w:leftChars="150" w:left="360"/>
        <w:jc w:val="both"/>
        <w:rPr>
          <w:rFonts w:ascii="新細明體" w:hAnsi="新細明體" w:cs="Times Ext Roman"/>
          <w:b/>
          <w:color w:val="FF0000"/>
          <w:sz w:val="20"/>
          <w:szCs w:val="20"/>
          <w:highlight w:val="yellow"/>
          <w:bdr w:val="single" w:sz="4" w:space="0" w:color="auto"/>
        </w:rPr>
      </w:pPr>
      <w:r w:rsidRPr="00520B7E">
        <w:rPr>
          <w:rFonts w:ascii="新細明體" w:hAnsi="新細明體" w:cs="Times Ext Roman" w:hint="eastAsia"/>
          <w:b/>
          <w:color w:val="FF0000"/>
          <w:sz w:val="20"/>
          <w:szCs w:val="20"/>
          <w:highlight w:val="yellow"/>
          <w:bdr w:val="single" w:sz="4" w:space="0" w:color="auto"/>
        </w:rPr>
        <w:t>（</w:t>
      </w:r>
      <w:r w:rsidR="00520B7E" w:rsidRPr="00520B7E">
        <w:rPr>
          <w:rFonts w:ascii="新細明體" w:hAnsi="新細明體" w:cs="Times Ext Roman" w:hint="eastAsia"/>
          <w:b/>
          <w:color w:val="FF0000"/>
          <w:sz w:val="20"/>
          <w:szCs w:val="20"/>
          <w:highlight w:val="yellow"/>
          <w:bdr w:val="single" w:sz="4" w:space="0" w:color="auto"/>
        </w:rPr>
        <w:t>一</w:t>
      </w:r>
      <w:r w:rsidRPr="00520B7E">
        <w:rPr>
          <w:rFonts w:ascii="新細明體" w:hAnsi="新細明體" w:cs="Times Ext Roman" w:hint="eastAsia"/>
          <w:b/>
          <w:color w:val="FF0000"/>
          <w:sz w:val="20"/>
          <w:szCs w:val="20"/>
          <w:highlight w:val="yellow"/>
          <w:bdr w:val="single" w:sz="4" w:space="0" w:color="auto"/>
        </w:rPr>
        <w:t>）</w:t>
      </w:r>
      <w:r w:rsidR="00520B7E" w:rsidRPr="00520B7E">
        <w:rPr>
          <w:rFonts w:ascii="新細明體" w:hAnsi="新細明體" w:cs="Times Ext Roman" w:hint="eastAsia"/>
          <w:b/>
          <w:color w:val="FF0000"/>
          <w:sz w:val="20"/>
          <w:szCs w:val="20"/>
          <w:highlight w:val="yellow"/>
          <w:bdr w:val="single" w:sz="4" w:space="0" w:color="auto"/>
        </w:rPr>
        <w:t>闡述諸家的主張</w:t>
      </w:r>
      <w:r w:rsidR="00520B7E" w:rsidRPr="00520B7E">
        <w:rPr>
          <w:rFonts w:ascii="Times New Roman" w:hAnsi="Times New Roman" w:hint="eastAsia"/>
          <w:sz w:val="20"/>
          <w:szCs w:val="20"/>
        </w:rPr>
        <w:t>（</w:t>
      </w:r>
      <w:r w:rsidR="00520B7E" w:rsidRPr="00520B7E">
        <w:rPr>
          <w:rFonts w:ascii="Times New Roman" w:hAnsi="Times New Roman" w:hint="eastAsia"/>
          <w:sz w:val="20"/>
          <w:szCs w:val="20"/>
        </w:rPr>
        <w:t>pp.</w:t>
      </w:r>
      <w:r w:rsidR="00520B7E" w:rsidRPr="00520B7E">
        <w:rPr>
          <w:rFonts w:ascii="Times New Roman" w:eastAsia="SimSun" w:hAnsi="Times New Roman" w:hint="eastAsia"/>
          <w:sz w:val="20"/>
          <w:szCs w:val="20"/>
        </w:rPr>
        <w:t>195</w:t>
      </w:r>
      <w:r w:rsidR="00520B7E" w:rsidRPr="00520B7E">
        <w:rPr>
          <w:rFonts w:ascii="Times New Roman" w:hAnsi="Times New Roman"/>
          <w:sz w:val="20"/>
          <w:szCs w:val="20"/>
        </w:rPr>
        <w:t>-</w:t>
      </w:r>
      <w:r w:rsidR="00520B7E" w:rsidRPr="00520B7E">
        <w:rPr>
          <w:rFonts w:ascii="Times New Roman" w:eastAsiaTheme="minorEastAsia" w:hAnsi="Times New Roman" w:hint="eastAsia"/>
          <w:sz w:val="20"/>
          <w:szCs w:val="20"/>
        </w:rPr>
        <w:t>20</w:t>
      </w:r>
      <w:r w:rsidR="00520B7E">
        <w:rPr>
          <w:rFonts w:ascii="Times New Roman" w:eastAsiaTheme="minorEastAsia" w:hAnsi="Times New Roman" w:hint="eastAsia"/>
          <w:sz w:val="20"/>
          <w:szCs w:val="20"/>
        </w:rPr>
        <w:t>0</w:t>
      </w:r>
      <w:r w:rsidR="00520B7E" w:rsidRPr="00DA3BC7">
        <w:rPr>
          <w:rFonts w:ascii="Times New Roman" w:hAnsi="Times New Roman" w:hint="eastAsia"/>
          <w:sz w:val="20"/>
          <w:szCs w:val="20"/>
        </w:rPr>
        <w:t>）</w:t>
      </w:r>
    </w:p>
    <w:p w:rsidR="00AA120F" w:rsidRPr="00DA3BC7" w:rsidRDefault="00520B7E" w:rsidP="004729A2">
      <w:pPr>
        <w:widowControl/>
        <w:ind w:leftChars="200" w:left="480"/>
        <w:jc w:val="both"/>
        <w:rPr>
          <w:rFonts w:ascii="新細明體" w:hAnsi="新細明體" w:cs="Times Ext Roman"/>
          <w:b/>
          <w:sz w:val="20"/>
          <w:szCs w:val="20"/>
          <w:bdr w:val="single" w:sz="4" w:space="0" w:color="auto"/>
        </w:rPr>
      </w:pPr>
      <w:r w:rsidRPr="00520B7E">
        <w:rPr>
          <w:rFonts w:ascii="Times New Roman" w:hAnsi="Times New Roman" w:hint="eastAsia"/>
          <w:b/>
          <w:color w:val="FF0000"/>
          <w:sz w:val="20"/>
          <w:szCs w:val="20"/>
          <w:highlight w:val="yellow"/>
          <w:bdr w:val="single" w:sz="4" w:space="0" w:color="auto"/>
        </w:rPr>
        <w:t>1</w:t>
      </w:r>
      <w:r>
        <w:rPr>
          <w:rFonts w:ascii="Times New Roman" w:hAnsi="Times New Roman" w:hint="eastAsia"/>
          <w:b/>
          <w:color w:val="FF0000"/>
          <w:sz w:val="20"/>
          <w:szCs w:val="20"/>
          <w:highlight w:val="yellow"/>
          <w:bdr w:val="single" w:sz="4" w:space="0" w:color="auto"/>
        </w:rPr>
        <w:t>、</w:t>
      </w:r>
      <w:r w:rsidR="00AA120F" w:rsidRPr="00520B7E">
        <w:rPr>
          <w:rFonts w:ascii="新細明體" w:hAnsi="新細明體" w:cs="Times Ext Roman" w:hint="eastAsia"/>
          <w:b/>
          <w:color w:val="FF0000"/>
          <w:sz w:val="20"/>
          <w:szCs w:val="20"/>
          <w:highlight w:val="yellow"/>
          <w:bdr w:val="single" w:sz="4" w:space="0" w:color="auto"/>
        </w:rPr>
        <w:t>唯識家</w:t>
      </w:r>
      <w:r>
        <w:rPr>
          <w:rFonts w:ascii="新細明體" w:hAnsi="新細明體" w:cs="Times Ext Roman" w:hint="eastAsia"/>
          <w:b/>
          <w:color w:val="FF0000"/>
          <w:sz w:val="20"/>
          <w:szCs w:val="20"/>
          <w:highlight w:val="yellow"/>
          <w:bdr w:val="single" w:sz="4" w:space="0" w:color="auto"/>
        </w:rPr>
        <w:t>之說</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pp.</w:t>
      </w:r>
      <w:r w:rsidR="00AA120F" w:rsidRPr="00DA3BC7">
        <w:rPr>
          <w:rFonts w:ascii="Times New Roman" w:eastAsia="SimSun" w:hAnsi="Times New Roman" w:hint="eastAsia"/>
          <w:sz w:val="20"/>
          <w:szCs w:val="20"/>
        </w:rPr>
        <w:t>195</w:t>
      </w:r>
      <w:r w:rsidR="00AA120F" w:rsidRPr="00DA3BC7">
        <w:rPr>
          <w:rFonts w:ascii="Times New Roman" w:hAnsi="Times New Roman"/>
          <w:sz w:val="20"/>
          <w:szCs w:val="20"/>
        </w:rPr>
        <w:t>-</w:t>
      </w:r>
      <w:r w:rsidR="00AA120F" w:rsidRPr="00DA3BC7">
        <w:rPr>
          <w:rFonts w:ascii="Times New Roman" w:eastAsia="SimSun" w:hAnsi="Times New Roman" w:hint="eastAsia"/>
          <w:sz w:val="20"/>
          <w:szCs w:val="20"/>
        </w:rPr>
        <w:t>196</w:t>
      </w:r>
      <w:r w:rsidR="00AA120F" w:rsidRPr="00DA3BC7">
        <w:rPr>
          <w:rFonts w:ascii="Times New Roman" w:hAnsi="Times New Roman" w:hint="eastAsia"/>
          <w:sz w:val="20"/>
          <w:szCs w:val="20"/>
        </w:rPr>
        <w:t>）</w:t>
      </w:r>
    </w:p>
    <w:p w:rsidR="00E45051" w:rsidRDefault="00E45051" w:rsidP="00E45051">
      <w:pPr>
        <w:widowControl/>
        <w:ind w:leftChars="250" w:left="600"/>
        <w:jc w:val="both"/>
        <w:rPr>
          <w:rFonts w:ascii="新細明體" w:hAnsi="新細明體" w:cs="Times Ext Roman"/>
          <w:b/>
          <w:color w:val="FF0000"/>
          <w:sz w:val="20"/>
          <w:szCs w:val="20"/>
          <w:bdr w:val="single" w:sz="4" w:space="0" w:color="auto"/>
        </w:rPr>
      </w:pPr>
      <w:r w:rsidRPr="00AD0C81">
        <w:rPr>
          <w:rFonts w:ascii="新細明體" w:hAnsi="新細明體" w:cs="Times Ext Roman" w:hint="eastAsia"/>
          <w:b/>
          <w:color w:val="FF0000"/>
          <w:sz w:val="20"/>
          <w:szCs w:val="20"/>
          <w:highlight w:val="yellow"/>
          <w:bdr w:val="single" w:sz="4" w:space="0" w:color="auto"/>
        </w:rPr>
        <w:t>（</w:t>
      </w:r>
      <w:r w:rsidRPr="00AD0C81">
        <w:rPr>
          <w:rFonts w:ascii="Times New Roman" w:hAnsi="Times New Roman" w:hint="eastAsia"/>
          <w:b/>
          <w:color w:val="FF0000"/>
          <w:sz w:val="20"/>
          <w:szCs w:val="20"/>
          <w:highlight w:val="yellow"/>
          <w:bdr w:val="single" w:sz="4" w:space="0" w:color="auto"/>
        </w:rPr>
        <w:t>1</w:t>
      </w:r>
      <w:r w:rsidRPr="00AD0C81">
        <w:rPr>
          <w:rFonts w:ascii="新細明體" w:hAnsi="新細明體" w:cs="Times Ext Roman" w:hint="eastAsia"/>
          <w:b/>
          <w:color w:val="FF0000"/>
          <w:sz w:val="20"/>
          <w:szCs w:val="20"/>
          <w:highlight w:val="yellow"/>
          <w:bdr w:val="single" w:sz="4" w:space="0" w:color="auto"/>
        </w:rPr>
        <w:t>）明宗</w:t>
      </w:r>
      <w:r w:rsidR="004729A2" w:rsidRPr="00DA3BC7">
        <w:rPr>
          <w:rFonts w:ascii="Times New Roman" w:hAnsi="Times New Roman" w:hint="eastAsia"/>
          <w:sz w:val="20"/>
          <w:szCs w:val="20"/>
        </w:rPr>
        <w:t>（</w:t>
      </w:r>
      <w:r w:rsidR="004729A2" w:rsidRPr="00DA3BC7">
        <w:rPr>
          <w:rFonts w:ascii="Times New Roman" w:hAnsi="Times New Roman" w:hint="eastAsia"/>
          <w:sz w:val="20"/>
          <w:szCs w:val="20"/>
        </w:rPr>
        <w:t>pp.</w:t>
      </w:r>
      <w:r w:rsidR="004729A2" w:rsidRPr="00DA3BC7">
        <w:rPr>
          <w:rFonts w:ascii="Times New Roman" w:eastAsia="SimSun" w:hAnsi="Times New Roman" w:hint="eastAsia"/>
          <w:sz w:val="20"/>
          <w:szCs w:val="20"/>
        </w:rPr>
        <w:t>195</w:t>
      </w:r>
      <w:r w:rsidR="004729A2" w:rsidRPr="00DA3BC7">
        <w:rPr>
          <w:rFonts w:ascii="Times New Roman" w:hAnsi="Times New Roman"/>
          <w:sz w:val="20"/>
          <w:szCs w:val="20"/>
        </w:rPr>
        <w:t>-</w:t>
      </w:r>
      <w:r w:rsidR="004729A2" w:rsidRPr="00DA3BC7">
        <w:rPr>
          <w:rFonts w:ascii="Times New Roman" w:eastAsia="SimSun" w:hAnsi="Times New Roman" w:hint="eastAsia"/>
          <w:sz w:val="20"/>
          <w:szCs w:val="20"/>
        </w:rPr>
        <w:t>196</w:t>
      </w:r>
      <w:r w:rsidR="004729A2" w:rsidRPr="00DA3BC7">
        <w:rPr>
          <w:rFonts w:ascii="Times New Roman" w:hAnsi="Times New Roman" w:hint="eastAsia"/>
          <w:sz w:val="20"/>
          <w:szCs w:val="20"/>
        </w:rPr>
        <w:t>）</w:t>
      </w:r>
    </w:p>
    <w:p w:rsidR="00AA120F" w:rsidRPr="00B24F33" w:rsidRDefault="00AA120F" w:rsidP="00E45051">
      <w:pPr>
        <w:widowControl/>
        <w:ind w:leftChars="250" w:left="600"/>
        <w:jc w:val="both"/>
        <w:rPr>
          <w:rFonts w:ascii="新細明體" w:hAnsi="新細明體" w:cs="Arial"/>
          <w:kern w:val="0"/>
        </w:rPr>
      </w:pPr>
      <w:r w:rsidRPr="00DA3BC7">
        <w:rPr>
          <w:rFonts w:ascii="新細明體" w:hAnsi="新細明體" w:cs="Arial"/>
          <w:kern w:val="0"/>
        </w:rPr>
        <w:lastRenderedPageBreak/>
        <w:t>唯識家重在差別，如歐陽竟無</w:t>
      </w:r>
      <w:r w:rsidRPr="00DA3BC7">
        <w:rPr>
          <w:rFonts w:ascii="新細明體" w:hAnsi="新細明體" w:cs="Arial" w:hint="eastAsia"/>
          <w:kern w:val="0"/>
        </w:rPr>
        <w:t>《</w:t>
      </w:r>
      <w:r w:rsidRPr="00DA3BC7">
        <w:rPr>
          <w:rFonts w:ascii="新細明體" w:hAnsi="新細明體" w:cs="Arial"/>
          <w:kern w:val="0"/>
        </w:rPr>
        <w:t>唯識抉擇談</w:t>
      </w:r>
      <w:r w:rsidRPr="00DA3BC7">
        <w:rPr>
          <w:rFonts w:ascii="新細明體" w:hAnsi="新細明體" w:cs="Arial" w:hint="eastAsia"/>
          <w:kern w:val="0"/>
        </w:rPr>
        <w:t>》</w:t>
      </w:r>
      <w:r w:rsidRPr="00DA3BC7">
        <w:rPr>
          <w:rFonts w:ascii="新細明體" w:hAnsi="新細明體" w:cs="Arial"/>
          <w:kern w:val="0"/>
        </w:rPr>
        <w:t>說：</w:t>
      </w:r>
      <w:r w:rsidRPr="00B24F33">
        <w:rPr>
          <w:rFonts w:ascii="新細明體" w:hAnsi="新細明體" w:cs="Arial"/>
          <w:kern w:val="0"/>
        </w:rPr>
        <w:t>唯識抉擇二諦詳世俗，抉擇二智詳後得</w:t>
      </w:r>
      <w:r w:rsidR="005C68C9" w:rsidRPr="00B24F33">
        <w:rPr>
          <w:rFonts w:ascii="新細明體" w:hAnsi="新細明體" w:cs="Arial" w:hint="eastAsia"/>
          <w:kern w:val="0"/>
          <w:szCs w:val="22"/>
        </w:rPr>
        <w:t>。</w:t>
      </w:r>
      <w:r w:rsidR="00BC5E25" w:rsidRPr="00DA3BC7">
        <w:rPr>
          <w:rStyle w:val="a6"/>
          <w:rFonts w:ascii="Times New Roman" w:hAnsi="Times New Roman"/>
          <w:kern w:val="0"/>
        </w:rPr>
        <w:footnoteReference w:id="865"/>
      </w:r>
    </w:p>
    <w:p w:rsidR="00AA120F" w:rsidRPr="00DA3BC7" w:rsidRDefault="00AA120F" w:rsidP="00AE3920">
      <w:pPr>
        <w:widowControl/>
        <w:spacing w:beforeLines="20"/>
        <w:ind w:leftChars="250" w:left="600"/>
        <w:jc w:val="both"/>
        <w:rPr>
          <w:rFonts w:ascii="新細明體" w:eastAsia="SimSun" w:hAnsi="新細明體" w:cs="Arial"/>
          <w:kern w:val="0"/>
        </w:rPr>
      </w:pPr>
      <w:r w:rsidRPr="00DA3BC7">
        <w:rPr>
          <w:rFonts w:ascii="新細明體" w:hAnsi="新細明體" w:cs="Arial"/>
          <w:kern w:val="0"/>
        </w:rPr>
        <w:t>側重是可以的，但因偏重於世俗、後得智，所以在說明上即不免傾向於差別，作出差別的理論。</w:t>
      </w:r>
    </w:p>
    <w:p w:rsidR="00AA120F" w:rsidRPr="00DA3BC7" w:rsidRDefault="00B24F33" w:rsidP="00AE3920">
      <w:pPr>
        <w:widowControl/>
        <w:spacing w:beforeLines="30"/>
        <w:ind w:leftChars="250" w:left="600"/>
        <w:jc w:val="both"/>
        <w:rPr>
          <w:rFonts w:ascii="新細明體" w:hAnsi="新細明體" w:cs="Times Ext Roman"/>
          <w:b/>
          <w:sz w:val="20"/>
          <w:szCs w:val="20"/>
          <w:bdr w:val="single" w:sz="4" w:space="0" w:color="auto"/>
        </w:rPr>
      </w:pPr>
      <w:r w:rsidRPr="00B24F33">
        <w:rPr>
          <w:rFonts w:ascii="Times New Roman" w:hAnsi="Times New Roman" w:hint="eastAsia"/>
          <w:b/>
          <w:color w:val="FF0000"/>
          <w:sz w:val="20"/>
          <w:szCs w:val="20"/>
          <w:highlight w:val="yellow"/>
          <w:bdr w:val="single" w:sz="4" w:space="0" w:color="auto"/>
        </w:rPr>
        <w:t>（</w:t>
      </w:r>
      <w:r w:rsidRPr="00B24F33">
        <w:rPr>
          <w:rFonts w:ascii="Times New Roman" w:hAnsi="Times New Roman" w:hint="eastAsia"/>
          <w:b/>
          <w:color w:val="FF0000"/>
          <w:sz w:val="20"/>
          <w:szCs w:val="20"/>
          <w:highlight w:val="yellow"/>
          <w:bdr w:val="single" w:sz="4" w:space="0" w:color="auto"/>
        </w:rPr>
        <w:t>2</w:t>
      </w:r>
      <w:r w:rsidRPr="00B24F33">
        <w:rPr>
          <w:rFonts w:ascii="Times New Roman" w:hAnsi="Times New Roman" w:hint="eastAsia"/>
          <w:b/>
          <w:color w:val="FF0000"/>
          <w:sz w:val="20"/>
          <w:szCs w:val="20"/>
          <w:highlight w:val="yellow"/>
          <w:bdr w:val="single" w:sz="4" w:space="0" w:color="auto"/>
        </w:rPr>
        <w:t>）舉例</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w:t>
      </w:r>
      <w:r w:rsidR="00AA120F" w:rsidRPr="00DA3BC7">
        <w:rPr>
          <w:rFonts w:ascii="Times New Roman" w:eastAsia="SimSun" w:hAnsi="Times New Roman" w:hint="eastAsia"/>
          <w:sz w:val="20"/>
          <w:szCs w:val="20"/>
        </w:rPr>
        <w:t>196</w:t>
      </w:r>
      <w:r w:rsidR="00AA120F" w:rsidRPr="00DA3BC7">
        <w:rPr>
          <w:rFonts w:ascii="Times New Roman" w:hAnsi="Times New Roman" w:hint="eastAsia"/>
          <w:sz w:val="20"/>
          <w:szCs w:val="20"/>
        </w:rPr>
        <w:t>）</w:t>
      </w:r>
    </w:p>
    <w:p w:rsidR="00AA120F" w:rsidRPr="00DA3BC7" w:rsidRDefault="00AA120F" w:rsidP="00E45051">
      <w:pPr>
        <w:widowControl/>
        <w:ind w:leftChars="250" w:left="600"/>
        <w:jc w:val="both"/>
        <w:rPr>
          <w:rFonts w:ascii="新細明體" w:eastAsia="SimSun" w:hAnsi="新細明體" w:cs="Arial"/>
          <w:kern w:val="0"/>
        </w:rPr>
      </w:pPr>
      <w:r w:rsidRPr="00DA3BC7">
        <w:rPr>
          <w:rFonts w:ascii="新細明體" w:hAnsi="新細明體" w:cs="Arial"/>
          <w:kern w:val="0"/>
        </w:rPr>
        <w:t>如說圓成實與依他起是不一不異的；而依他起是有生滅的，圓成實是無生滅的；依他起可說種現熏生</w:t>
      </w:r>
      <w:r w:rsidRPr="00DA3BC7">
        <w:rPr>
          <w:rStyle w:val="a6"/>
          <w:rFonts w:ascii="Times New Roman" w:hAnsi="Times New Roman"/>
        </w:rPr>
        <w:footnoteReference w:id="866"/>
      </w:r>
      <w:r w:rsidRPr="00DA3BC7">
        <w:rPr>
          <w:rFonts w:ascii="新細明體" w:hAnsi="新細明體" w:cs="Arial"/>
          <w:kern w:val="0"/>
        </w:rPr>
        <w:t>，圓成實即不能說。</w:t>
      </w:r>
    </w:p>
    <w:p w:rsidR="00AA120F" w:rsidRPr="00DA3BC7" w:rsidRDefault="00AA120F" w:rsidP="00AE3920">
      <w:pPr>
        <w:widowControl/>
        <w:spacing w:beforeLines="20"/>
        <w:ind w:leftChars="250" w:left="600"/>
        <w:jc w:val="both"/>
        <w:rPr>
          <w:rFonts w:ascii="新細明體" w:eastAsia="SimSun" w:hAnsi="新細明體" w:cs="Arial"/>
          <w:kern w:val="0"/>
        </w:rPr>
      </w:pPr>
      <w:r w:rsidRPr="00DA3BC7">
        <w:rPr>
          <w:rFonts w:ascii="新細明體" w:hAnsi="新細明體" w:cs="Arial"/>
          <w:kern w:val="0"/>
        </w:rPr>
        <w:lastRenderedPageBreak/>
        <w:t>在安立染淨諸法時，側重於依他起，圓成實好像與依他起的現象界毫不相關似的。</w:t>
      </w:r>
    </w:p>
    <w:p w:rsidR="00AA120F" w:rsidRPr="00DA3BC7" w:rsidRDefault="00AA120F" w:rsidP="00E45051">
      <w:pPr>
        <w:widowControl/>
        <w:ind w:leftChars="250" w:left="600"/>
        <w:jc w:val="both"/>
        <w:rPr>
          <w:rFonts w:ascii="新細明體" w:hAnsi="新細明體" w:cs="Arial"/>
          <w:kern w:val="0"/>
        </w:rPr>
      </w:pPr>
      <w:r w:rsidRPr="00DA3BC7">
        <w:rPr>
          <w:rFonts w:ascii="新細明體" w:hAnsi="新細明體" w:cs="Arial"/>
          <w:kern w:val="0"/>
        </w:rPr>
        <w:t>因此，有些學者對唯識家的說法不能滿意。</w:t>
      </w:r>
    </w:p>
    <w:p w:rsidR="00AA120F" w:rsidRPr="00DA3BC7" w:rsidRDefault="00AA120F" w:rsidP="00E45051">
      <w:pPr>
        <w:widowControl/>
        <w:ind w:leftChars="250" w:left="600"/>
        <w:jc w:val="both"/>
        <w:rPr>
          <w:rFonts w:ascii="新細明體" w:hAnsi="新細明體" w:cs="Arial"/>
          <w:kern w:val="0"/>
        </w:rPr>
      </w:pPr>
      <w:r w:rsidRPr="00DA3BC7">
        <w:rPr>
          <w:rFonts w:ascii="新細明體" w:hAnsi="新細明體" w:cs="Arial"/>
          <w:kern w:val="0"/>
        </w:rPr>
        <w:t>依他是無常的，圓成實是常的；</w:t>
      </w:r>
    </w:p>
    <w:p w:rsidR="00AA120F" w:rsidRPr="00DA3BC7" w:rsidRDefault="00AA120F" w:rsidP="00E45051">
      <w:pPr>
        <w:widowControl/>
        <w:ind w:leftChars="250" w:left="600"/>
        <w:jc w:val="both"/>
        <w:rPr>
          <w:rFonts w:ascii="新細明體" w:eastAsia="SimSun" w:hAnsi="新細明體" w:cs="Arial"/>
          <w:kern w:val="0"/>
        </w:rPr>
      </w:pPr>
      <w:r w:rsidRPr="00DA3BC7">
        <w:rPr>
          <w:rFonts w:ascii="新細明體" w:hAnsi="新細明體" w:cs="Arial"/>
          <w:kern w:val="0"/>
        </w:rPr>
        <w:t>依他是差別、生滅的，而圓成實則是無差別、不生滅的。</w:t>
      </w:r>
    </w:p>
    <w:p w:rsidR="00B24F33" w:rsidRPr="00B24F33" w:rsidRDefault="00B24F33" w:rsidP="00AE3920">
      <w:pPr>
        <w:widowControl/>
        <w:spacing w:beforeLines="30"/>
        <w:ind w:leftChars="250" w:left="600"/>
        <w:jc w:val="both"/>
        <w:rPr>
          <w:rFonts w:ascii="Times New Roman" w:hAnsi="Times New Roman"/>
          <w:b/>
          <w:color w:val="FF0000"/>
          <w:sz w:val="20"/>
          <w:szCs w:val="20"/>
          <w:highlight w:val="yellow"/>
          <w:bdr w:val="single" w:sz="4" w:space="0" w:color="auto"/>
        </w:rPr>
      </w:pPr>
      <w:r w:rsidRPr="00B24F33">
        <w:rPr>
          <w:rFonts w:ascii="Times New Roman" w:hAnsi="Times New Roman" w:hint="eastAsia"/>
          <w:b/>
          <w:color w:val="FF0000"/>
          <w:sz w:val="20"/>
          <w:szCs w:val="20"/>
          <w:highlight w:val="yellow"/>
          <w:bdr w:val="single" w:sz="4" w:space="0" w:color="auto"/>
        </w:rPr>
        <w:t>（</w:t>
      </w:r>
      <w:r w:rsidRPr="00B24F33">
        <w:rPr>
          <w:rFonts w:ascii="Times New Roman" w:hAnsi="Times New Roman" w:hint="eastAsia"/>
          <w:b/>
          <w:color w:val="FF0000"/>
          <w:sz w:val="20"/>
          <w:szCs w:val="20"/>
          <w:highlight w:val="yellow"/>
          <w:bdr w:val="single" w:sz="4" w:space="0" w:color="auto"/>
        </w:rPr>
        <w:t>3</w:t>
      </w:r>
      <w:r w:rsidRPr="00B24F33">
        <w:rPr>
          <w:rFonts w:ascii="Times New Roman" w:hAnsi="Times New Roman" w:hint="eastAsia"/>
          <w:b/>
          <w:color w:val="FF0000"/>
          <w:sz w:val="20"/>
          <w:szCs w:val="20"/>
          <w:highlight w:val="yellow"/>
          <w:bdr w:val="single" w:sz="4" w:space="0" w:color="auto"/>
        </w:rPr>
        <w:t>）評判</w:t>
      </w:r>
    </w:p>
    <w:p w:rsidR="00AA120F" w:rsidRPr="00DA3BC7" w:rsidRDefault="00AA120F" w:rsidP="00E45051">
      <w:pPr>
        <w:widowControl/>
        <w:ind w:leftChars="250" w:left="600"/>
        <w:jc w:val="both"/>
        <w:rPr>
          <w:rFonts w:ascii="新細明體" w:eastAsia="SimSun" w:hAnsi="新細明體" w:cs="Arial"/>
          <w:kern w:val="0"/>
        </w:rPr>
      </w:pPr>
      <w:r w:rsidRPr="00DA3BC7">
        <w:rPr>
          <w:rFonts w:ascii="新細明體" w:hAnsi="新細明體" w:cs="Arial"/>
          <w:kern w:val="0"/>
        </w:rPr>
        <w:t>唯識者雖說依他與圓成不離，到底使人覺得他的依他與圓成僅是不相離而已，而實是差別的。</w:t>
      </w:r>
    </w:p>
    <w:p w:rsidR="00AA120F" w:rsidRPr="00DA3BC7" w:rsidRDefault="00AA120F" w:rsidP="00AE3920">
      <w:pPr>
        <w:widowControl/>
        <w:spacing w:beforeLines="20"/>
        <w:ind w:leftChars="250" w:left="600"/>
        <w:jc w:val="both"/>
        <w:rPr>
          <w:rFonts w:ascii="新細明體" w:hAnsi="新細明體" w:cs="Arial"/>
          <w:kern w:val="0"/>
        </w:rPr>
      </w:pPr>
      <w:r w:rsidRPr="00DA3BC7">
        <w:rPr>
          <w:rFonts w:ascii="新細明體" w:hAnsi="新細明體" w:cs="Arial"/>
          <w:kern w:val="0"/>
        </w:rPr>
        <w:t>從依他起上遠離遍計執，即悟圓成實，依他與圓成可說是不離的。</w:t>
      </w:r>
    </w:p>
    <w:p w:rsidR="00AA120F" w:rsidRPr="00DA3BC7" w:rsidRDefault="00AA120F" w:rsidP="00E45051">
      <w:pPr>
        <w:widowControl/>
        <w:ind w:leftChars="250" w:left="600"/>
        <w:jc w:val="both"/>
        <w:rPr>
          <w:rFonts w:ascii="新細明體" w:eastAsia="SimSun" w:hAnsi="新細明體" w:cs="Arial"/>
          <w:kern w:val="0"/>
        </w:rPr>
      </w:pPr>
      <w:r w:rsidRPr="00DA3BC7">
        <w:rPr>
          <w:rFonts w:ascii="新細明體" w:hAnsi="新細明體" w:cs="Arial"/>
          <w:kern w:val="0"/>
        </w:rPr>
        <w:t>但反轉來，從圓成實到依他起，則竟然不能看出有任何關係，所以有人覺得唯識不夠融即。</w:t>
      </w:r>
    </w:p>
    <w:p w:rsidR="00AA120F" w:rsidRPr="00DA3BC7" w:rsidRDefault="00AA120F" w:rsidP="00E45051">
      <w:pPr>
        <w:widowControl/>
        <w:ind w:leftChars="250" w:left="600"/>
        <w:jc w:val="both"/>
        <w:rPr>
          <w:rFonts w:ascii="新細明體" w:eastAsia="SimSun" w:hAnsi="新細明體" w:cs="Arial"/>
          <w:b/>
          <w:kern w:val="0"/>
        </w:rPr>
      </w:pPr>
      <w:r w:rsidRPr="00DA3BC7">
        <w:rPr>
          <w:rFonts w:ascii="新細明體" w:hAnsi="新細明體" w:cs="Arial"/>
          <w:b/>
          <w:kern w:val="0"/>
        </w:rPr>
        <w:t>依唯識家的見道證真說，本側重於偏真；在言教的安立上，又重於世俗法相，所以結果是不免偏於差別。</w:t>
      </w:r>
    </w:p>
    <w:p w:rsidR="00AA120F" w:rsidRPr="00DA3BC7" w:rsidRDefault="00AA120F" w:rsidP="00AE3920">
      <w:pPr>
        <w:widowControl/>
        <w:spacing w:beforeLines="20"/>
        <w:ind w:leftChars="250" w:left="600"/>
        <w:jc w:val="both"/>
        <w:rPr>
          <w:rFonts w:ascii="新細明體" w:hAnsi="新細明體" w:cs="Arial"/>
          <w:b/>
          <w:kern w:val="0"/>
        </w:rPr>
      </w:pPr>
      <w:r w:rsidRPr="00DA3BC7">
        <w:rPr>
          <w:rFonts w:ascii="新細明體" w:hAnsi="新細明體" w:cs="Arial"/>
          <w:kern w:val="0"/>
        </w:rPr>
        <w:t>有人批評它</w:t>
      </w:r>
      <w:r w:rsidRPr="00DA3BC7">
        <w:rPr>
          <w:rFonts w:ascii="新細明體" w:hAnsi="新細明體" w:cs="Arial" w:hint="eastAsia"/>
          <w:kern w:val="0"/>
        </w:rPr>
        <w:t>：</w:t>
      </w:r>
      <w:r w:rsidRPr="00DA3BC7">
        <w:rPr>
          <w:rFonts w:ascii="新細明體" w:hAnsi="新細明體" w:cs="Arial"/>
          <w:kern w:val="0"/>
        </w:rPr>
        <w:t>這是</w:t>
      </w:r>
      <w:r w:rsidRPr="00DA3BC7">
        <w:rPr>
          <w:rFonts w:ascii="新細明體" w:hAnsi="新細明體" w:cs="Arial"/>
          <w:b/>
          <w:kern w:val="0"/>
        </w:rPr>
        <w:t>偏以現象的差別觀，說明現象與本性。</w:t>
      </w:r>
    </w:p>
    <w:p w:rsidR="00AA120F" w:rsidRPr="00DA3BC7" w:rsidRDefault="00AD0C81" w:rsidP="00AE3920">
      <w:pPr>
        <w:widowControl/>
        <w:spacing w:beforeLines="30"/>
        <w:ind w:leftChars="200" w:left="480"/>
        <w:jc w:val="both"/>
        <w:rPr>
          <w:rFonts w:ascii="新細明體" w:hAnsi="新細明體" w:cs="Times Ext Roman"/>
          <w:b/>
          <w:sz w:val="20"/>
          <w:szCs w:val="20"/>
          <w:bdr w:val="single" w:sz="4" w:space="0" w:color="auto"/>
        </w:rPr>
      </w:pPr>
      <w:r w:rsidRPr="00AD0C81">
        <w:rPr>
          <w:rFonts w:ascii="Times New Roman" w:hAnsi="Times New Roman" w:hint="eastAsia"/>
          <w:b/>
          <w:color w:val="FF0000"/>
          <w:sz w:val="20"/>
          <w:szCs w:val="20"/>
          <w:highlight w:val="yellow"/>
          <w:bdr w:val="single" w:sz="4" w:space="0" w:color="auto"/>
        </w:rPr>
        <w:t>2</w:t>
      </w:r>
      <w:r w:rsidRPr="00AD0C81">
        <w:rPr>
          <w:rFonts w:ascii="Times New Roman" w:hAnsi="Times New Roman"/>
          <w:b/>
          <w:color w:val="FF0000"/>
          <w:sz w:val="20"/>
          <w:szCs w:val="20"/>
          <w:highlight w:val="yellow"/>
          <w:bdr w:val="single" w:sz="4" w:space="0" w:color="auto"/>
        </w:rPr>
        <w:t>、</w:t>
      </w:r>
      <w:r w:rsidR="00AA120F" w:rsidRPr="00DA3BC7">
        <w:rPr>
          <w:rFonts w:ascii="新細明體" w:hAnsi="新細明體" w:cs="Times Ext Roman"/>
          <w:b/>
          <w:sz w:val="20"/>
          <w:szCs w:val="20"/>
          <w:bdr w:val="single" w:sz="4" w:space="0" w:color="auto"/>
        </w:rPr>
        <w:t>賢首家</w:t>
      </w:r>
      <w:r w:rsidR="00AA120F" w:rsidRPr="00DA3BC7">
        <w:rPr>
          <w:rFonts w:ascii="新細明體" w:hAnsi="新細明體" w:cs="Times Ext Roman" w:hint="eastAsia"/>
          <w:b/>
          <w:sz w:val="20"/>
          <w:szCs w:val="20"/>
          <w:bdr w:val="single" w:sz="4" w:space="0" w:color="auto"/>
        </w:rPr>
        <w:t>、</w:t>
      </w:r>
      <w:r w:rsidR="00AA120F" w:rsidRPr="00DA3BC7">
        <w:rPr>
          <w:rFonts w:ascii="新細明體" w:hAnsi="新細明體" w:cs="Times Ext Roman"/>
          <w:b/>
          <w:sz w:val="20"/>
          <w:szCs w:val="20"/>
          <w:bdr w:val="single" w:sz="4" w:space="0" w:color="auto"/>
        </w:rPr>
        <w:t>天臺宗</w:t>
      </w:r>
      <w:r w:rsidR="00AA120F" w:rsidRPr="00DA3BC7">
        <w:rPr>
          <w:rFonts w:ascii="新細明體" w:hAnsi="新細明體" w:cs="Times Ext Roman" w:hint="eastAsia"/>
          <w:b/>
          <w:sz w:val="20"/>
          <w:szCs w:val="20"/>
          <w:bdr w:val="single" w:sz="4" w:space="0" w:color="auto"/>
        </w:rPr>
        <w:t>、襌宗：重平等</w:t>
      </w:r>
      <w:r w:rsidR="00AA120F" w:rsidRPr="00DA3BC7">
        <w:rPr>
          <w:rStyle w:val="a6"/>
          <w:rFonts w:ascii="Times New Roman" w:hAnsi="Times New Roman"/>
        </w:rPr>
        <w:footnoteReference w:id="867"/>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pp.</w:t>
      </w:r>
      <w:r w:rsidR="00AA120F" w:rsidRPr="00DA3BC7">
        <w:rPr>
          <w:rFonts w:ascii="Times New Roman" w:eastAsia="SimSun" w:hAnsi="Times New Roman" w:hint="eastAsia"/>
          <w:sz w:val="20"/>
          <w:szCs w:val="20"/>
        </w:rPr>
        <w:t>19</w:t>
      </w:r>
      <w:r w:rsidR="00AA120F" w:rsidRPr="00DA3BC7">
        <w:rPr>
          <w:rFonts w:ascii="Times New Roman" w:hAnsi="Times New Roman" w:hint="eastAsia"/>
          <w:sz w:val="20"/>
          <w:szCs w:val="20"/>
        </w:rPr>
        <w:t>6</w:t>
      </w:r>
      <w:r w:rsidR="00AA120F" w:rsidRPr="00DA3BC7">
        <w:rPr>
          <w:rFonts w:ascii="Times New Roman" w:eastAsia="SimSun" w:hAnsi="Times New Roman"/>
          <w:sz w:val="20"/>
          <w:szCs w:val="20"/>
        </w:rPr>
        <w:t>-</w:t>
      </w:r>
      <w:r w:rsidR="00AA120F" w:rsidRPr="00DA3BC7">
        <w:rPr>
          <w:rFonts w:ascii="Times New Roman" w:hAnsi="Times New Roman" w:hint="eastAsia"/>
          <w:sz w:val="20"/>
          <w:szCs w:val="20"/>
        </w:rPr>
        <w:t>198</w:t>
      </w:r>
      <w:r w:rsidR="00AA120F" w:rsidRPr="00DA3BC7">
        <w:rPr>
          <w:rFonts w:ascii="Times New Roman" w:hAnsi="Times New Roman" w:hint="eastAsia"/>
          <w:sz w:val="20"/>
          <w:szCs w:val="20"/>
        </w:rPr>
        <w:t>）</w:t>
      </w:r>
    </w:p>
    <w:p w:rsidR="00AA120F" w:rsidRDefault="00AD0C81" w:rsidP="004729A2">
      <w:pPr>
        <w:ind w:leftChars="250" w:left="600"/>
        <w:jc w:val="both"/>
        <w:rPr>
          <w:rFonts w:ascii="Times New Roman" w:hAnsi="Times New Roman"/>
          <w:sz w:val="20"/>
          <w:szCs w:val="20"/>
        </w:rPr>
      </w:pPr>
      <w:r w:rsidRPr="00AD0C81">
        <w:rPr>
          <w:rFonts w:ascii="新細明體" w:hAnsi="新細明體" w:cs="Times Ext Roman" w:hint="eastAsia"/>
          <w:b/>
          <w:color w:val="FF0000"/>
          <w:sz w:val="20"/>
          <w:szCs w:val="20"/>
          <w:highlight w:val="yellow"/>
          <w:bdr w:val="single" w:sz="4" w:space="0" w:color="auto"/>
        </w:rPr>
        <w:t>（</w:t>
      </w:r>
      <w:r w:rsidRPr="00AD0C81">
        <w:rPr>
          <w:rFonts w:ascii="Times New Roman" w:hAnsi="Times New Roman" w:hint="eastAsia"/>
          <w:b/>
          <w:color w:val="FF0000"/>
          <w:sz w:val="20"/>
          <w:szCs w:val="20"/>
          <w:highlight w:val="yellow"/>
          <w:bdr w:val="single" w:sz="4" w:space="0" w:color="auto"/>
        </w:rPr>
        <w:t>1</w:t>
      </w:r>
      <w:r w:rsidRPr="00AD0C81">
        <w:rPr>
          <w:rFonts w:ascii="新細明體" w:hAnsi="新細明體" w:cs="Times Ext Roman" w:hint="eastAsia"/>
          <w:b/>
          <w:color w:val="FF0000"/>
          <w:sz w:val="20"/>
          <w:szCs w:val="20"/>
          <w:highlight w:val="yellow"/>
          <w:bdr w:val="single" w:sz="4" w:space="0" w:color="auto"/>
        </w:rPr>
        <w:t>）明宗</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pp.</w:t>
      </w:r>
      <w:r w:rsidR="00AA120F" w:rsidRPr="00DA3BC7">
        <w:rPr>
          <w:rFonts w:ascii="Times New Roman" w:eastAsia="SimSun" w:hAnsi="Times New Roman" w:hint="eastAsia"/>
          <w:sz w:val="20"/>
          <w:szCs w:val="20"/>
        </w:rPr>
        <w:t>196</w:t>
      </w:r>
      <w:r w:rsidR="00AA120F" w:rsidRPr="00DA3BC7">
        <w:rPr>
          <w:rFonts w:ascii="Times New Roman" w:eastAsia="SimSun" w:hAnsi="Times New Roman"/>
          <w:sz w:val="20"/>
          <w:szCs w:val="20"/>
        </w:rPr>
        <w:t>-</w:t>
      </w:r>
      <w:r w:rsidR="00AA120F" w:rsidRPr="00DA3BC7">
        <w:rPr>
          <w:rFonts w:ascii="Times New Roman" w:eastAsia="SimSun" w:hAnsi="Times New Roman" w:hint="eastAsia"/>
          <w:sz w:val="20"/>
          <w:szCs w:val="20"/>
        </w:rPr>
        <w:t>197</w:t>
      </w:r>
      <w:r w:rsidR="00AA120F" w:rsidRPr="00DA3BC7">
        <w:rPr>
          <w:rFonts w:ascii="Times New Roman" w:hAnsi="Times New Roman" w:hint="eastAsia"/>
          <w:sz w:val="20"/>
          <w:szCs w:val="20"/>
        </w:rPr>
        <w:t>）</w:t>
      </w:r>
    </w:p>
    <w:p w:rsidR="00AD0C81" w:rsidRPr="00AD0C81" w:rsidRDefault="00AD0C81" w:rsidP="004729A2">
      <w:pPr>
        <w:ind w:leftChars="300" w:left="720"/>
        <w:jc w:val="both"/>
        <w:rPr>
          <w:rFonts w:ascii="Times New Roman" w:hAnsi="Times New Roman"/>
          <w:sz w:val="20"/>
          <w:szCs w:val="20"/>
          <w:bdr w:val="single" w:sz="4" w:space="0" w:color="auto"/>
        </w:rPr>
      </w:pPr>
      <w:r w:rsidRPr="00AD0C81">
        <w:rPr>
          <w:rFonts w:ascii="Times New Roman" w:hAnsi="Times New Roman" w:hint="eastAsia"/>
          <w:b/>
          <w:color w:val="FF0000"/>
          <w:sz w:val="20"/>
          <w:szCs w:val="20"/>
          <w:highlight w:val="yellow"/>
          <w:bdr w:val="single" w:sz="4" w:space="0" w:color="auto"/>
        </w:rPr>
        <w:t>A</w:t>
      </w:r>
      <w:r w:rsidRPr="00AD0C81">
        <w:rPr>
          <w:rFonts w:ascii="Times New Roman" w:hAnsi="Times New Roman" w:hint="eastAsia"/>
          <w:b/>
          <w:color w:val="FF0000"/>
          <w:sz w:val="20"/>
          <w:szCs w:val="20"/>
          <w:highlight w:val="yellow"/>
          <w:bdr w:val="single" w:sz="4" w:space="0" w:color="auto"/>
        </w:rPr>
        <w:t>、約</w:t>
      </w:r>
      <w:r>
        <w:rPr>
          <w:rFonts w:ascii="Times New Roman" w:hAnsi="Times New Roman" w:hint="eastAsia"/>
          <w:b/>
          <w:color w:val="FF0000"/>
          <w:sz w:val="20"/>
          <w:szCs w:val="20"/>
          <w:highlight w:val="yellow"/>
          <w:bdr w:val="single" w:sz="4" w:space="0" w:color="auto"/>
        </w:rPr>
        <w:t>「</w:t>
      </w:r>
      <w:r w:rsidRPr="00AD0C81">
        <w:rPr>
          <w:rFonts w:ascii="Times New Roman" w:hAnsi="Times New Roman" w:hint="eastAsia"/>
          <w:b/>
          <w:color w:val="FF0000"/>
          <w:sz w:val="20"/>
          <w:szCs w:val="20"/>
          <w:highlight w:val="yellow"/>
          <w:bdr w:val="single" w:sz="4" w:space="0" w:color="auto"/>
        </w:rPr>
        <w:t>理</w:t>
      </w:r>
      <w:r>
        <w:rPr>
          <w:rFonts w:ascii="Times New Roman" w:hAnsi="Times New Roman" w:hint="eastAsia"/>
          <w:b/>
          <w:color w:val="FF0000"/>
          <w:sz w:val="20"/>
          <w:szCs w:val="20"/>
          <w:highlight w:val="yellow"/>
          <w:bdr w:val="single" w:sz="4" w:space="0" w:color="auto"/>
        </w:rPr>
        <w:t>」</w:t>
      </w:r>
      <w:r w:rsidRPr="00DA3BC7">
        <w:rPr>
          <w:rFonts w:ascii="Times New Roman" w:hAnsi="Times New Roman" w:hint="eastAsia"/>
          <w:sz w:val="20"/>
          <w:szCs w:val="20"/>
        </w:rPr>
        <w:t>（</w:t>
      </w:r>
      <w:r w:rsidRPr="00DA3BC7">
        <w:rPr>
          <w:rFonts w:ascii="Times New Roman" w:hAnsi="Times New Roman" w:hint="eastAsia"/>
          <w:sz w:val="20"/>
          <w:szCs w:val="20"/>
        </w:rPr>
        <w:t>pp.</w:t>
      </w:r>
      <w:r w:rsidRPr="00DA3BC7">
        <w:rPr>
          <w:rFonts w:ascii="Times New Roman" w:eastAsia="SimSun" w:hAnsi="Times New Roman" w:hint="eastAsia"/>
          <w:sz w:val="20"/>
          <w:szCs w:val="20"/>
        </w:rPr>
        <w:t>196</w:t>
      </w:r>
      <w:r w:rsidRPr="00DA3BC7">
        <w:rPr>
          <w:rFonts w:ascii="Times New Roman" w:eastAsia="SimSun" w:hAnsi="Times New Roman"/>
          <w:sz w:val="20"/>
          <w:szCs w:val="20"/>
        </w:rPr>
        <w:t>-</w:t>
      </w:r>
      <w:r w:rsidRPr="00DA3BC7">
        <w:rPr>
          <w:rFonts w:ascii="Times New Roman" w:eastAsia="SimSun" w:hAnsi="Times New Roman" w:hint="eastAsia"/>
          <w:sz w:val="20"/>
          <w:szCs w:val="20"/>
        </w:rPr>
        <w:t>197</w:t>
      </w:r>
      <w:r w:rsidRPr="00DA3BC7">
        <w:rPr>
          <w:rFonts w:ascii="Times New Roman" w:hAnsi="Times New Roman" w:hint="eastAsia"/>
          <w:sz w:val="20"/>
          <w:szCs w:val="20"/>
        </w:rPr>
        <w:t>）</w:t>
      </w:r>
    </w:p>
    <w:p w:rsidR="00AD0C81" w:rsidRDefault="00AA120F" w:rsidP="004729A2">
      <w:pPr>
        <w:ind w:leftChars="300" w:left="720"/>
        <w:jc w:val="both"/>
        <w:rPr>
          <w:rFonts w:ascii="新細明體" w:hAnsi="新細明體" w:cs="Arial"/>
          <w:kern w:val="0"/>
        </w:rPr>
      </w:pPr>
      <w:r w:rsidRPr="00DA3BC7">
        <w:rPr>
          <w:rFonts w:ascii="新細明體" w:hAnsi="新細明體" w:cs="Arial"/>
          <w:kern w:val="0"/>
        </w:rPr>
        <w:t>如賢首家</w:t>
      </w:r>
      <w:r w:rsidRPr="00BC5E25">
        <w:rPr>
          <w:rFonts w:ascii="新細明體" w:hAnsi="新細明體" w:cs="Arial" w:hint="eastAsia"/>
          <w:kern w:val="0"/>
          <w:shd w:val="pct15" w:color="auto" w:fill="FFFFFF"/>
        </w:rPr>
        <w:t>、</w:t>
      </w:r>
      <w:r w:rsidRPr="00DA3BC7">
        <w:rPr>
          <w:rFonts w:ascii="新細明體" w:hAnsi="新細明體" w:cs="Arial" w:hint="eastAsia"/>
          <w:kern w:val="0"/>
        </w:rPr>
        <w:t>《</w:t>
      </w:r>
      <w:r w:rsidRPr="00DA3BC7">
        <w:rPr>
          <w:rFonts w:ascii="新細明體" w:hAnsi="新細明體" w:cs="Arial"/>
          <w:kern w:val="0"/>
        </w:rPr>
        <w:t>起信論</w:t>
      </w:r>
      <w:r w:rsidRPr="00DA3BC7">
        <w:rPr>
          <w:rFonts w:ascii="新細明體" w:hAnsi="新細明體" w:cs="Arial" w:hint="eastAsia"/>
          <w:kern w:val="0"/>
        </w:rPr>
        <w:t>》</w:t>
      </w:r>
      <w:r w:rsidRPr="00DA3BC7">
        <w:rPr>
          <w:rFonts w:ascii="新細明體" w:hAnsi="新細明體" w:cs="Arial"/>
          <w:kern w:val="0"/>
        </w:rPr>
        <w:t>等也主張不即不離──天臺宗義也略近於此。</w:t>
      </w:r>
    </w:p>
    <w:p w:rsidR="00AD0C81" w:rsidRDefault="00AA120F" w:rsidP="004729A2">
      <w:pPr>
        <w:ind w:leftChars="300" w:left="720"/>
        <w:jc w:val="both"/>
        <w:rPr>
          <w:rFonts w:ascii="新細明體" w:hAnsi="新細明體" w:cs="Arial"/>
          <w:kern w:val="0"/>
        </w:rPr>
      </w:pPr>
      <w:r w:rsidRPr="00DA3BC7">
        <w:rPr>
          <w:rFonts w:ascii="新細明體" w:hAnsi="新細明體" w:cs="Arial"/>
          <w:kern w:val="0"/>
        </w:rPr>
        <w:t>但它實是</w:t>
      </w:r>
      <w:r w:rsidRPr="00DA3BC7">
        <w:rPr>
          <w:rFonts w:ascii="新細明體" w:hAnsi="新細明體" w:cs="Arial"/>
          <w:b/>
          <w:kern w:val="0"/>
        </w:rPr>
        <w:t>側重在平等一如無差別</w:t>
      </w:r>
      <w:r w:rsidRPr="00DA3BC7">
        <w:rPr>
          <w:rFonts w:ascii="新細明體" w:hAnsi="新細明體" w:cs="Arial"/>
          <w:kern w:val="0"/>
        </w:rPr>
        <w:t>的，故說舉妄即真</w:t>
      </w:r>
      <w:r w:rsidRPr="00DA3BC7">
        <w:rPr>
          <w:rStyle w:val="a6"/>
          <w:rFonts w:ascii="Times New Roman" w:hAnsi="Times New Roman"/>
          <w:kern w:val="0"/>
        </w:rPr>
        <w:footnoteReference w:id="868"/>
      </w:r>
      <w:r w:rsidRPr="00DA3BC7">
        <w:rPr>
          <w:rFonts w:ascii="新細明體" w:hAnsi="新細明體" w:cs="Arial"/>
          <w:kern w:val="0"/>
        </w:rPr>
        <w:t>，全事即理</w:t>
      </w:r>
      <w:r w:rsidRPr="00DA3BC7">
        <w:rPr>
          <w:rStyle w:val="a6"/>
          <w:rFonts w:ascii="Times New Roman" w:hAnsi="Times New Roman"/>
          <w:kern w:val="0"/>
        </w:rPr>
        <w:footnoteReference w:id="869"/>
      </w:r>
      <w:r w:rsidRPr="00DA3BC7">
        <w:rPr>
          <w:rFonts w:ascii="新細明體" w:hAnsi="新細明體" w:cs="Arial"/>
          <w:kern w:val="0"/>
        </w:rPr>
        <w:t>，一</w:t>
      </w:r>
      <w:r w:rsidRPr="00DA3BC7">
        <w:rPr>
          <w:rFonts w:ascii="新細明體" w:hAnsi="新細明體" w:cs="Arial"/>
          <w:kern w:val="0"/>
        </w:rPr>
        <w:lastRenderedPageBreak/>
        <w:t>切現象或虛妄事相皆即是本來寂滅的</w:t>
      </w:r>
      <w:r w:rsidR="00AD0C81">
        <w:rPr>
          <w:rFonts w:ascii="新細明體" w:hAnsi="新細明體" w:cs="Arial" w:hint="eastAsia"/>
          <w:color w:val="FF0000"/>
          <w:kern w:val="0"/>
          <w:highlight w:val="yellow"/>
        </w:rPr>
        <w:t>；</w:t>
      </w:r>
      <w:r w:rsidRPr="00AD0C81">
        <w:rPr>
          <w:rFonts w:ascii="新細明體" w:hAnsi="新細明體" w:cs="Arial"/>
          <w:kern w:val="0"/>
          <w:highlight w:val="yellow"/>
        </w:rPr>
        <w:t>反</w:t>
      </w:r>
      <w:r w:rsidRPr="00DA3BC7">
        <w:rPr>
          <w:rFonts w:ascii="新細明體" w:hAnsi="新細明體" w:cs="Arial"/>
          <w:kern w:val="0"/>
        </w:rPr>
        <w:t>過來，從真起妄，全理為事，以一切為真如的發顯。</w:t>
      </w:r>
    </w:p>
    <w:p w:rsidR="00AA120F" w:rsidRPr="00DA3BC7" w:rsidRDefault="00AA120F" w:rsidP="004729A2">
      <w:pPr>
        <w:ind w:leftChars="300" w:left="720"/>
        <w:jc w:val="both"/>
        <w:rPr>
          <w:rFonts w:ascii="新細明體" w:hAnsi="新細明體" w:cs="Arial"/>
          <w:kern w:val="0"/>
        </w:rPr>
      </w:pPr>
      <w:r w:rsidRPr="00DA3BC7">
        <w:rPr>
          <w:rFonts w:ascii="新細明體" w:hAnsi="新細明體" w:cs="Arial"/>
          <w:kern w:val="0"/>
        </w:rPr>
        <w:t>從</w:t>
      </w:r>
      <w:r w:rsidRPr="00DA3BC7">
        <w:rPr>
          <w:rFonts w:ascii="新細明體" w:hAnsi="新細明體" w:cs="Arial"/>
          <w:b/>
          <w:kern w:val="0"/>
        </w:rPr>
        <w:t>本性</w:t>
      </w:r>
      <w:r w:rsidRPr="00DA3BC7">
        <w:rPr>
          <w:rFonts w:ascii="新細明體" w:hAnsi="新細明體" w:cs="Arial"/>
          <w:kern w:val="0"/>
        </w:rPr>
        <w:t>現起一切</w:t>
      </w:r>
      <w:r w:rsidRPr="00DA3BC7">
        <w:rPr>
          <w:rFonts w:ascii="新細明體" w:hAnsi="新細明體" w:cs="Arial"/>
          <w:b/>
          <w:kern w:val="0"/>
        </w:rPr>
        <w:t>現象</w:t>
      </w:r>
      <w:r w:rsidRPr="00DA3BC7">
        <w:rPr>
          <w:rFonts w:ascii="新細明體" w:hAnsi="新細明體" w:cs="Arial"/>
          <w:kern w:val="0"/>
        </w:rPr>
        <w:t>，即</w:t>
      </w:r>
      <w:r w:rsidRPr="00DA3BC7">
        <w:rPr>
          <w:rFonts w:ascii="新細明體" w:hAnsi="新細明體" w:cs="Arial"/>
          <w:b/>
          <w:kern w:val="0"/>
        </w:rPr>
        <w:t>性起法門</w:t>
      </w:r>
      <w:r w:rsidRPr="00DA3BC7">
        <w:rPr>
          <w:rFonts w:ascii="新細明體" w:hAnsi="新細明體" w:cs="Arial"/>
          <w:kern w:val="0"/>
        </w:rPr>
        <w:t>，</w:t>
      </w:r>
      <w:r w:rsidR="00BC5E25" w:rsidRPr="00DA3BC7">
        <w:rPr>
          <w:rStyle w:val="a6"/>
          <w:rFonts w:ascii="Times New Roman" w:hAnsi="Times New Roman"/>
          <w:kern w:val="0"/>
        </w:rPr>
        <w:footnoteReference w:id="870"/>
      </w:r>
      <w:r w:rsidRPr="00DA3BC7">
        <w:rPr>
          <w:rFonts w:ascii="新細明體" w:hAnsi="新細明體" w:cs="Arial"/>
          <w:kern w:val="0"/>
        </w:rPr>
        <w:t>這是唯識學者所不談的。</w:t>
      </w:r>
    </w:p>
    <w:p w:rsidR="00AA120F" w:rsidRPr="00DA3BC7" w:rsidRDefault="00AA120F" w:rsidP="00AE3920">
      <w:pPr>
        <w:widowControl/>
        <w:spacing w:beforeLines="20"/>
        <w:ind w:leftChars="300" w:left="720"/>
        <w:jc w:val="both"/>
        <w:rPr>
          <w:rFonts w:ascii="新細明體" w:eastAsia="SimSun" w:hAnsi="新細明體" w:cs="Arial"/>
          <w:kern w:val="0"/>
        </w:rPr>
      </w:pPr>
      <w:r w:rsidRPr="00DA3BC7">
        <w:rPr>
          <w:rFonts w:ascii="新細明體" w:hAnsi="新細明體" w:cs="Arial"/>
          <w:b/>
          <w:kern w:val="0"/>
        </w:rPr>
        <w:t>禪宗六祖</w:t>
      </w:r>
      <w:r w:rsidRPr="00DA3BC7">
        <w:rPr>
          <w:rFonts w:ascii="新細明體" w:hAnsi="新細明體" w:cs="Arial"/>
          <w:kern w:val="0"/>
        </w:rPr>
        <w:t>也曾說：</w:t>
      </w:r>
      <w:r w:rsidRPr="00DA3BC7">
        <w:rPr>
          <w:rFonts w:ascii="標楷體" w:eastAsia="標楷體" w:hAnsi="標楷體" w:cs="Arial"/>
          <w:kern w:val="0"/>
        </w:rPr>
        <w:t>「何期</w:t>
      </w:r>
      <w:r w:rsidRPr="00DA3BC7">
        <w:rPr>
          <w:rStyle w:val="a6"/>
          <w:rFonts w:ascii="Times New Roman" w:hAnsi="Times New Roman"/>
          <w:kern w:val="0"/>
        </w:rPr>
        <w:footnoteReference w:id="871"/>
      </w:r>
      <w:r w:rsidRPr="00DA3BC7">
        <w:rPr>
          <w:rFonts w:ascii="標楷體" w:eastAsia="標楷體" w:hAnsi="標楷體" w:cs="Arial"/>
          <w:kern w:val="0"/>
        </w:rPr>
        <w:t>自性能生萬法</w:t>
      </w:r>
      <w:r w:rsidRPr="00DA3BC7">
        <w:rPr>
          <w:rFonts w:ascii="新細明體" w:hAnsi="新細明體" w:cs="Arial"/>
          <w:kern w:val="0"/>
        </w:rPr>
        <w:t>。</w:t>
      </w:r>
      <w:r w:rsidRPr="00DA3BC7">
        <w:rPr>
          <w:rFonts w:ascii="標楷體" w:eastAsia="標楷體" w:hAnsi="標楷體" w:cs="Arial"/>
          <w:kern w:val="0"/>
        </w:rPr>
        <w:t>」</w:t>
      </w:r>
      <w:r w:rsidRPr="00DA3BC7">
        <w:rPr>
          <w:rStyle w:val="a6"/>
          <w:rFonts w:ascii="Times New Roman" w:hAnsi="Times New Roman"/>
          <w:kern w:val="0"/>
        </w:rPr>
        <w:footnoteReference w:id="872"/>
      </w:r>
      <w:r w:rsidRPr="00DA3BC7">
        <w:rPr>
          <w:rFonts w:ascii="新細明體" w:hAnsi="新細明體" w:cs="Arial"/>
          <w:kern w:val="0"/>
        </w:rPr>
        <w:t>這是說：</w:t>
      </w:r>
      <w:r w:rsidRPr="00DA3BC7">
        <w:rPr>
          <w:rFonts w:ascii="新細明體" w:hAnsi="新細明體" w:cs="Arial"/>
          <w:b/>
          <w:kern w:val="0"/>
        </w:rPr>
        <w:t>本性與現象，二者是不可分的</w:t>
      </w:r>
      <w:r w:rsidRPr="00DA3BC7">
        <w:rPr>
          <w:rFonts w:ascii="新細明體" w:hAnsi="新細明體" w:cs="Arial"/>
          <w:kern w:val="0"/>
        </w:rPr>
        <w:t>，</w:t>
      </w:r>
      <w:r w:rsidRPr="00DA3BC7">
        <w:rPr>
          <w:rFonts w:ascii="新細明體" w:hAnsi="新細明體" w:cs="Arial"/>
          <w:b/>
          <w:kern w:val="0"/>
        </w:rPr>
        <w:t>現象</w:t>
      </w:r>
      <w:r w:rsidRPr="00DA3BC7">
        <w:rPr>
          <w:rFonts w:ascii="新細明體" w:hAnsi="新細明體" w:cs="Arial"/>
          <w:kern w:val="0"/>
        </w:rPr>
        <w:t>是</w:t>
      </w:r>
      <w:r w:rsidRPr="00DA3BC7">
        <w:rPr>
          <w:rFonts w:ascii="新細明體" w:hAnsi="新細明體" w:cs="Arial"/>
          <w:b/>
          <w:kern w:val="0"/>
        </w:rPr>
        <w:t>本性</w:t>
      </w:r>
      <w:r w:rsidRPr="00DA3BC7">
        <w:rPr>
          <w:rFonts w:ascii="新細明體" w:hAnsi="新細明體" w:cs="Arial"/>
          <w:kern w:val="0"/>
        </w:rPr>
        <w:t>所</w:t>
      </w:r>
      <w:r w:rsidRPr="00DA3BC7">
        <w:rPr>
          <w:rFonts w:ascii="新細明體" w:hAnsi="新細明體" w:cs="Arial"/>
          <w:b/>
          <w:kern w:val="0"/>
        </w:rPr>
        <w:t>顯現、所生起</w:t>
      </w:r>
      <w:r w:rsidRPr="00DA3BC7">
        <w:rPr>
          <w:rFonts w:ascii="新細明體" w:hAnsi="新細明體" w:cs="Arial"/>
          <w:kern w:val="0"/>
        </w:rPr>
        <w:t>的。這種說法，在一般的哲學界也極為流行。</w:t>
      </w:r>
    </w:p>
    <w:p w:rsidR="00AA120F" w:rsidRPr="00DA3BC7" w:rsidRDefault="00AD0C81" w:rsidP="00AE3920">
      <w:pPr>
        <w:widowControl/>
        <w:spacing w:beforeLines="30"/>
        <w:ind w:leftChars="300" w:left="720"/>
        <w:jc w:val="both"/>
        <w:rPr>
          <w:rFonts w:ascii="Times New Roman" w:hAnsi="Times New Roman"/>
          <w:b/>
          <w:sz w:val="20"/>
          <w:szCs w:val="20"/>
          <w:bdr w:val="single" w:sz="4" w:space="0" w:color="auto"/>
        </w:rPr>
      </w:pPr>
      <w:r w:rsidRPr="00AD0C81">
        <w:rPr>
          <w:rFonts w:ascii="Times New Roman" w:hAnsi="Times New Roman" w:hint="eastAsia"/>
          <w:b/>
          <w:color w:val="FF0000"/>
          <w:sz w:val="20"/>
          <w:szCs w:val="20"/>
          <w:highlight w:val="yellow"/>
          <w:bdr w:val="single" w:sz="4" w:space="0" w:color="auto"/>
        </w:rPr>
        <w:t>B</w:t>
      </w:r>
      <w:r w:rsidR="00AA120F" w:rsidRPr="00AD0C81">
        <w:rPr>
          <w:rFonts w:ascii="新細明體" w:hAnsi="新細明體" w:hint="eastAsia"/>
          <w:b/>
          <w:color w:val="FF0000"/>
          <w:sz w:val="20"/>
          <w:szCs w:val="20"/>
          <w:highlight w:val="yellow"/>
          <w:bdr w:val="single" w:sz="4" w:space="0" w:color="auto"/>
        </w:rPr>
        <w:t>、</w:t>
      </w:r>
      <w:r w:rsidRPr="00AD0C81">
        <w:rPr>
          <w:rFonts w:ascii="Times New Roman" w:hAnsi="Times New Roman" w:hint="eastAsia"/>
          <w:b/>
          <w:color w:val="FF0000"/>
          <w:sz w:val="20"/>
          <w:szCs w:val="20"/>
          <w:highlight w:val="yellow"/>
          <w:bdr w:val="single" w:sz="4" w:space="0" w:color="auto"/>
        </w:rPr>
        <w:t>約</w:t>
      </w:r>
      <w:r w:rsidR="00AA120F" w:rsidRPr="00AD0C81">
        <w:rPr>
          <w:rFonts w:ascii="Times New Roman" w:hAnsi="Times New Roman"/>
          <w:b/>
          <w:color w:val="FF0000"/>
          <w:sz w:val="20"/>
          <w:szCs w:val="20"/>
          <w:highlight w:val="yellow"/>
          <w:bdr w:val="single" w:sz="4" w:space="0" w:color="auto"/>
        </w:rPr>
        <w:t>「事」</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w:t>
      </w:r>
      <w:r w:rsidR="00AA120F" w:rsidRPr="00DA3BC7">
        <w:rPr>
          <w:rFonts w:ascii="Times New Roman" w:eastAsia="SimSun" w:hAnsi="Times New Roman" w:hint="eastAsia"/>
          <w:sz w:val="20"/>
          <w:szCs w:val="20"/>
        </w:rPr>
        <w:t>197</w:t>
      </w:r>
      <w:r w:rsidR="00AA120F" w:rsidRPr="00DA3BC7">
        <w:rPr>
          <w:rFonts w:ascii="Times New Roman" w:hAnsi="Times New Roman" w:hint="eastAsia"/>
          <w:sz w:val="20"/>
          <w:szCs w:val="20"/>
        </w:rPr>
        <w:t>）</w:t>
      </w:r>
    </w:p>
    <w:p w:rsidR="00BC5E25" w:rsidRDefault="00AA120F" w:rsidP="004729A2">
      <w:pPr>
        <w:widowControl/>
        <w:ind w:leftChars="300" w:left="720"/>
        <w:jc w:val="both"/>
        <w:rPr>
          <w:rFonts w:ascii="新細明體" w:hAnsi="新細明體" w:cs="Arial"/>
          <w:kern w:val="0"/>
        </w:rPr>
      </w:pPr>
      <w:r w:rsidRPr="00DA3BC7">
        <w:rPr>
          <w:rFonts w:ascii="新細明體" w:hAnsi="新細明體" w:cs="Arial"/>
          <w:kern w:val="0"/>
        </w:rPr>
        <w:t>賢首家等側重於真如平等，故安立的教理，不但</w:t>
      </w:r>
      <w:r w:rsidRPr="00BC5E25">
        <w:rPr>
          <w:rFonts w:ascii="新細明體" w:hAnsi="新細明體" w:cs="Arial"/>
          <w:b/>
          <w:kern w:val="0"/>
          <w:u w:val="wave" w:color="C00000"/>
        </w:rPr>
        <w:t>真俗</w:t>
      </w:r>
      <w:r w:rsidRPr="00DA3BC7">
        <w:rPr>
          <w:rFonts w:ascii="新細明體" w:hAnsi="新細明體" w:cs="Arial"/>
          <w:kern w:val="0"/>
        </w:rPr>
        <w:t>是</w:t>
      </w:r>
      <w:r w:rsidRPr="00BC5E25">
        <w:rPr>
          <w:rFonts w:ascii="新細明體" w:hAnsi="新細明體" w:cs="Arial"/>
          <w:b/>
          <w:kern w:val="0"/>
        </w:rPr>
        <w:t>相即</w:t>
      </w:r>
      <w:r w:rsidRPr="00DA3BC7">
        <w:rPr>
          <w:rFonts w:ascii="新細明體" w:hAnsi="新細明體" w:cs="Arial"/>
          <w:kern w:val="0"/>
        </w:rPr>
        <w:t>的，就是</w:t>
      </w:r>
      <w:r w:rsidRPr="00BC5E25">
        <w:rPr>
          <w:rFonts w:ascii="新細明體" w:hAnsi="新細明體" w:cs="Arial"/>
          <w:b/>
          <w:kern w:val="0"/>
          <w:u w:val="wave" w:color="C00000"/>
        </w:rPr>
        <w:t>俗諦中的事相</w:t>
      </w:r>
      <w:r w:rsidRPr="00DA3BC7">
        <w:rPr>
          <w:rFonts w:ascii="新細明體" w:hAnsi="新細明體" w:cs="Arial"/>
          <w:kern w:val="0"/>
        </w:rPr>
        <w:t>也是</w:t>
      </w:r>
      <w:r w:rsidRPr="00BC5E25">
        <w:rPr>
          <w:rFonts w:ascii="新細明體" w:hAnsi="新細明體" w:cs="Arial"/>
          <w:b/>
          <w:kern w:val="0"/>
        </w:rPr>
        <w:t>相即</w:t>
      </w:r>
      <w:r w:rsidRPr="00DA3BC7">
        <w:rPr>
          <w:rFonts w:ascii="新細明體" w:hAnsi="新細明體" w:cs="Arial"/>
          <w:kern w:val="0"/>
        </w:rPr>
        <w:t>的。</w:t>
      </w:r>
    </w:p>
    <w:p w:rsidR="00BC5E25" w:rsidRDefault="00AA120F" w:rsidP="004729A2">
      <w:pPr>
        <w:widowControl/>
        <w:ind w:leftChars="300" w:left="720"/>
        <w:jc w:val="both"/>
        <w:rPr>
          <w:rFonts w:ascii="新細明體" w:hAnsi="新細明體" w:cs="Arial"/>
          <w:kern w:val="0"/>
        </w:rPr>
      </w:pPr>
      <w:r w:rsidRPr="00BC5E25">
        <w:rPr>
          <w:rFonts w:ascii="新細明體" w:hAnsi="新細明體" w:cs="Arial"/>
          <w:kern w:val="0"/>
        </w:rPr>
        <w:t>即</w:t>
      </w:r>
      <w:r w:rsidRPr="00DA3BC7">
        <w:rPr>
          <w:rFonts w:ascii="新細明體" w:hAnsi="新細明體" w:cs="Arial"/>
          <w:kern w:val="0"/>
        </w:rPr>
        <w:t>俗而真</w:t>
      </w:r>
      <w:r w:rsidRPr="00DA3BC7">
        <w:rPr>
          <w:rFonts w:ascii="新細明體" w:hAnsi="新細明體" w:cs="Arial" w:hint="eastAsia"/>
          <w:kern w:val="0"/>
        </w:rPr>
        <w:t>、</w:t>
      </w:r>
      <w:r w:rsidRPr="00DA3BC7">
        <w:rPr>
          <w:rFonts w:ascii="新細明體" w:hAnsi="新細明體" w:cs="Arial"/>
          <w:kern w:val="0"/>
        </w:rPr>
        <w:t>即真而俗，在賢首宗還不過是「理事無礙」，還不是融即思想的頂點。</w:t>
      </w:r>
    </w:p>
    <w:p w:rsidR="00AA120F" w:rsidRPr="00DA3BC7" w:rsidRDefault="00AA120F" w:rsidP="004729A2">
      <w:pPr>
        <w:widowControl/>
        <w:ind w:leftChars="300" w:left="720"/>
        <w:jc w:val="both"/>
        <w:rPr>
          <w:rFonts w:ascii="新細明體" w:eastAsia="SimSun" w:hAnsi="新細明體" w:cs="Arial"/>
          <w:kern w:val="0"/>
        </w:rPr>
      </w:pPr>
      <w:r w:rsidRPr="00DA3BC7">
        <w:rPr>
          <w:rFonts w:ascii="新細明體" w:hAnsi="新細明體" w:cs="Arial"/>
          <w:kern w:val="0"/>
        </w:rPr>
        <w:t>究竟的「事事無礙」，</w:t>
      </w:r>
      <w:r w:rsidRPr="00DA3BC7">
        <w:rPr>
          <w:rFonts w:ascii="新細明體" w:hAnsi="新細明體" w:cs="Arial"/>
          <w:b/>
          <w:kern w:val="0"/>
        </w:rPr>
        <w:t>不但是</w:t>
      </w:r>
      <w:r w:rsidRPr="00BC5E25">
        <w:rPr>
          <w:rFonts w:ascii="新細明體" w:hAnsi="新細明體" w:cs="Arial"/>
          <w:b/>
          <w:kern w:val="0"/>
          <w:u w:val="wave" w:color="C00000"/>
        </w:rPr>
        <w:t>理事</w:t>
      </w:r>
      <w:r w:rsidRPr="00DA3BC7">
        <w:rPr>
          <w:rFonts w:ascii="新細明體" w:hAnsi="新細明體" w:cs="Arial"/>
          <w:b/>
          <w:kern w:val="0"/>
        </w:rPr>
        <w:t>相即，</w:t>
      </w:r>
      <w:r w:rsidRPr="00BC5E25">
        <w:rPr>
          <w:rFonts w:ascii="新細明體" w:hAnsi="新細明體" w:cs="Arial"/>
          <w:b/>
          <w:kern w:val="0"/>
          <w:u w:val="wave" w:color="C00000"/>
        </w:rPr>
        <w:t>事相</w:t>
      </w:r>
      <w:r w:rsidRPr="00DA3BC7">
        <w:rPr>
          <w:rFonts w:ascii="新細明體" w:hAnsi="新細明體" w:cs="Arial"/>
          <w:b/>
          <w:kern w:val="0"/>
        </w:rPr>
        <w:t>與</w:t>
      </w:r>
      <w:r w:rsidRPr="00BC5E25">
        <w:rPr>
          <w:rFonts w:ascii="新細明體" w:hAnsi="新細明體" w:cs="Arial"/>
          <w:b/>
          <w:kern w:val="0"/>
          <w:u w:val="wave" w:color="C00000"/>
        </w:rPr>
        <w:t>事相</w:t>
      </w:r>
      <w:r w:rsidRPr="00DA3BC7">
        <w:rPr>
          <w:rFonts w:ascii="新細明體" w:hAnsi="新細明體" w:cs="Arial"/>
          <w:b/>
          <w:kern w:val="0"/>
        </w:rPr>
        <w:t>也是相即</w:t>
      </w:r>
      <w:r w:rsidRPr="00DA3BC7">
        <w:rPr>
          <w:rFonts w:ascii="新細明體" w:hAnsi="新細明體" w:cs="Arial"/>
          <w:kern w:val="0"/>
        </w:rPr>
        <w:t>的。</w:t>
      </w:r>
    </w:p>
    <w:p w:rsidR="00AA120F" w:rsidRPr="00DA3BC7" w:rsidRDefault="00AA120F" w:rsidP="004729A2">
      <w:pPr>
        <w:widowControl/>
        <w:ind w:leftChars="300" w:left="720"/>
        <w:jc w:val="both"/>
        <w:rPr>
          <w:rFonts w:ascii="新細明體" w:eastAsia="SimSun" w:hAnsi="新細明體" w:cs="Arial"/>
          <w:kern w:val="0"/>
        </w:rPr>
      </w:pPr>
      <w:r w:rsidRPr="00DA3BC7">
        <w:rPr>
          <w:rFonts w:ascii="新細明體" w:hAnsi="新細明體" w:cs="Arial"/>
          <w:kern w:val="0"/>
        </w:rPr>
        <w:t>如天臺宗的性具法門</w:t>
      </w:r>
      <w:r w:rsidRPr="00DA3BC7">
        <w:rPr>
          <w:rStyle w:val="a6"/>
          <w:rFonts w:ascii="Times New Roman" w:hAnsi="Times New Roman"/>
          <w:kern w:val="0"/>
        </w:rPr>
        <w:footnoteReference w:id="873"/>
      </w:r>
      <w:r w:rsidRPr="00DA3BC7">
        <w:rPr>
          <w:rFonts w:ascii="新細明體" w:hAnsi="新細明體" w:cs="Arial"/>
          <w:kern w:val="0"/>
        </w:rPr>
        <w:t>，以為十法界一一各具十法界</w:t>
      </w:r>
      <w:r w:rsidRPr="00DA3BC7">
        <w:rPr>
          <w:rStyle w:val="a6"/>
          <w:rFonts w:ascii="Times New Roman" w:hAnsi="Times New Roman"/>
          <w:kern w:val="0"/>
        </w:rPr>
        <w:footnoteReference w:id="874"/>
      </w:r>
      <w:r w:rsidRPr="00DA3BC7">
        <w:rPr>
          <w:rFonts w:ascii="新細明體" w:hAnsi="新細明體" w:cs="Arial"/>
          <w:kern w:val="0"/>
        </w:rPr>
        <w:t>。一法界即性具而成為事造</w:t>
      </w:r>
      <w:r w:rsidRPr="00DA3BC7">
        <w:rPr>
          <w:rStyle w:val="a6"/>
          <w:rFonts w:ascii="Times New Roman" w:hAnsi="Times New Roman"/>
          <w:kern w:val="0"/>
        </w:rPr>
        <w:footnoteReference w:id="875"/>
      </w:r>
      <w:r w:rsidRPr="00DA3BC7">
        <w:rPr>
          <w:rFonts w:ascii="新細明體" w:hAnsi="新細明體" w:cs="Arial"/>
          <w:kern w:val="0"/>
        </w:rPr>
        <w:t>時，餘九界不過隱而未現，而九界也即不離此一界。這樣，一法攝於一切法中，一切法又攝於一法中，等於在因論與遍因論。</w:t>
      </w:r>
    </w:p>
    <w:p w:rsidR="00AA120F" w:rsidRPr="00DA3BC7" w:rsidRDefault="004070BE" w:rsidP="00AE3920">
      <w:pPr>
        <w:widowControl/>
        <w:spacing w:beforeLines="30"/>
        <w:ind w:leftChars="250" w:left="600"/>
        <w:jc w:val="both"/>
        <w:rPr>
          <w:rFonts w:ascii="Times New Roman" w:eastAsia="SimSun" w:hAnsi="Times New Roman"/>
          <w:b/>
          <w:sz w:val="20"/>
          <w:szCs w:val="20"/>
          <w:bdr w:val="single" w:sz="4" w:space="0" w:color="auto"/>
        </w:rPr>
      </w:pPr>
      <w:r w:rsidRPr="004070BE">
        <w:rPr>
          <w:rFonts w:ascii="Times New Roman" w:hAnsi="Times New Roman" w:hint="eastAsia"/>
          <w:b/>
          <w:color w:val="FF0000"/>
          <w:sz w:val="20"/>
          <w:szCs w:val="20"/>
          <w:highlight w:val="yellow"/>
          <w:bdr w:val="single" w:sz="4" w:space="0" w:color="auto"/>
        </w:rPr>
        <w:lastRenderedPageBreak/>
        <w:t>（</w:t>
      </w:r>
      <w:r w:rsidRPr="004070BE">
        <w:rPr>
          <w:rFonts w:ascii="Times New Roman" w:hAnsi="Times New Roman" w:hint="eastAsia"/>
          <w:b/>
          <w:color w:val="FF0000"/>
          <w:sz w:val="20"/>
          <w:szCs w:val="20"/>
          <w:highlight w:val="yellow"/>
          <w:bdr w:val="single" w:sz="4" w:space="0" w:color="auto"/>
        </w:rPr>
        <w:t>2</w:t>
      </w:r>
      <w:r w:rsidRPr="004070BE">
        <w:rPr>
          <w:rFonts w:ascii="Times New Roman" w:hAnsi="Times New Roman" w:hint="eastAsia"/>
          <w:b/>
          <w:color w:val="FF0000"/>
          <w:sz w:val="20"/>
          <w:szCs w:val="20"/>
          <w:highlight w:val="yellow"/>
          <w:bdr w:val="single" w:sz="4" w:space="0" w:color="auto"/>
        </w:rPr>
        <w:t>）</w:t>
      </w:r>
      <w:r w:rsidRPr="004070BE">
        <w:rPr>
          <w:rFonts w:ascii="新細明體" w:hAnsi="新細明體" w:hint="eastAsia"/>
          <w:b/>
          <w:color w:val="FF0000"/>
          <w:sz w:val="20"/>
          <w:szCs w:val="20"/>
          <w:highlight w:val="yellow"/>
          <w:bdr w:val="single" w:sz="4" w:space="0" w:color="auto"/>
        </w:rPr>
        <w:t>評判</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w:t>
      </w:r>
      <w:r w:rsidR="00AA120F" w:rsidRPr="00DA3BC7">
        <w:rPr>
          <w:rFonts w:ascii="Times New Roman" w:eastAsia="SimSun" w:hAnsi="Times New Roman" w:hint="eastAsia"/>
          <w:sz w:val="20"/>
          <w:szCs w:val="20"/>
        </w:rPr>
        <w:t>197</w:t>
      </w:r>
      <w:r w:rsidR="00AA120F" w:rsidRPr="00DA3BC7">
        <w:rPr>
          <w:rFonts w:ascii="Times New Roman" w:hAnsi="Times New Roman" w:hint="eastAsia"/>
          <w:sz w:val="20"/>
          <w:szCs w:val="20"/>
        </w:rPr>
        <w:t>）</w:t>
      </w:r>
    </w:p>
    <w:p w:rsidR="00AA120F" w:rsidRPr="00DA3BC7" w:rsidRDefault="00AA120F" w:rsidP="004729A2">
      <w:pPr>
        <w:widowControl/>
        <w:ind w:leftChars="250" w:left="600"/>
        <w:jc w:val="both"/>
        <w:rPr>
          <w:rFonts w:ascii="新細明體" w:hAnsi="新細明體" w:cs="Arial"/>
          <w:kern w:val="0"/>
        </w:rPr>
      </w:pPr>
      <w:r w:rsidRPr="00DA3BC7">
        <w:rPr>
          <w:rFonts w:ascii="新細明體" w:hAnsi="新細明體" w:cs="Arial"/>
          <w:kern w:val="0"/>
        </w:rPr>
        <w:t>賢首家雖說</w:t>
      </w:r>
      <w:r w:rsidRPr="00DA3BC7">
        <w:rPr>
          <w:rFonts w:ascii="新細明體" w:hAnsi="新細明體" w:cs="Arial" w:hint="eastAsia"/>
          <w:kern w:val="0"/>
        </w:rPr>
        <w:t>「</w:t>
      </w:r>
      <w:r w:rsidRPr="00DA3BC7">
        <w:rPr>
          <w:rFonts w:ascii="新細明體" w:hAnsi="新細明體" w:cs="Arial"/>
          <w:kern w:val="0"/>
        </w:rPr>
        <w:t>圓融不礙行布</w:t>
      </w:r>
      <w:r w:rsidRPr="00DA3BC7">
        <w:rPr>
          <w:rStyle w:val="a6"/>
          <w:rFonts w:ascii="Times New Roman" w:hAnsi="Times New Roman"/>
          <w:kern w:val="0"/>
        </w:rPr>
        <w:footnoteReference w:id="876"/>
      </w:r>
      <w:r w:rsidRPr="00DA3BC7">
        <w:rPr>
          <w:rFonts w:ascii="新細明體" w:hAnsi="新細明體" w:cs="Arial"/>
          <w:kern w:val="0"/>
        </w:rPr>
        <w:t>，行布不礙圓融</w:t>
      </w:r>
      <w:r w:rsidRPr="00DA3BC7">
        <w:rPr>
          <w:rFonts w:ascii="新細明體" w:hAnsi="新細明體" w:cs="Arial" w:hint="eastAsia"/>
          <w:kern w:val="0"/>
        </w:rPr>
        <w:t>」</w:t>
      </w:r>
      <w:r w:rsidRPr="00DA3BC7">
        <w:rPr>
          <w:rStyle w:val="a6"/>
          <w:rFonts w:ascii="Times New Roman" w:hAnsi="Times New Roman"/>
          <w:kern w:val="0"/>
        </w:rPr>
        <w:footnoteReference w:id="877"/>
      </w:r>
      <w:r w:rsidRPr="00DA3BC7">
        <w:rPr>
          <w:rFonts w:ascii="新細明體" w:hAnsi="新細明體" w:cs="Arial"/>
          <w:kern w:val="0"/>
        </w:rPr>
        <w:t>，其實是偏於相即。</w:t>
      </w:r>
    </w:p>
    <w:p w:rsidR="00AA120F" w:rsidRPr="00DA3BC7" w:rsidRDefault="00AA120F" w:rsidP="004729A2">
      <w:pPr>
        <w:widowControl/>
        <w:ind w:leftChars="250" w:left="600"/>
        <w:jc w:val="both"/>
        <w:rPr>
          <w:rFonts w:ascii="新細明體" w:hAnsi="新細明體" w:cs="Arial"/>
          <w:kern w:val="0"/>
        </w:rPr>
      </w:pPr>
      <w:r w:rsidRPr="00DA3BC7">
        <w:rPr>
          <w:rFonts w:ascii="新細明體" w:hAnsi="新細明體" w:cs="Arial"/>
          <w:kern w:val="0"/>
        </w:rPr>
        <w:lastRenderedPageBreak/>
        <w:t>有人說：</w:t>
      </w:r>
      <w:r w:rsidRPr="00DA3BC7">
        <w:rPr>
          <w:rFonts w:ascii="新細明體" w:hAnsi="新細明體" w:cs="Arial"/>
          <w:b/>
          <w:kern w:val="0"/>
        </w:rPr>
        <w:t>這不過偏據理性的無別觀，而用於二諦關係的說明而已。</w:t>
      </w:r>
    </w:p>
    <w:p w:rsidR="00AA120F" w:rsidRPr="00DA3BC7" w:rsidRDefault="004070BE" w:rsidP="00AE3920">
      <w:pPr>
        <w:widowControl/>
        <w:spacing w:beforeLines="30"/>
        <w:ind w:leftChars="200" w:left="480"/>
        <w:jc w:val="both"/>
        <w:rPr>
          <w:rFonts w:ascii="新細明體" w:eastAsia="SimSun" w:hAnsi="新細明體" w:cs="Times Ext Roman"/>
          <w:b/>
          <w:sz w:val="20"/>
          <w:szCs w:val="20"/>
          <w:bdr w:val="single" w:sz="4" w:space="0" w:color="auto"/>
        </w:rPr>
      </w:pPr>
      <w:r w:rsidRPr="004070BE">
        <w:rPr>
          <w:rFonts w:ascii="Times New Roman" w:hAnsi="Times New Roman" w:hint="eastAsia"/>
          <w:b/>
          <w:color w:val="FF0000"/>
          <w:sz w:val="20"/>
          <w:szCs w:val="20"/>
          <w:highlight w:val="yellow"/>
          <w:bdr w:val="single" w:sz="4" w:space="0" w:color="auto"/>
        </w:rPr>
        <w:t>3</w:t>
      </w:r>
      <w:r w:rsidRPr="004070BE">
        <w:rPr>
          <w:rFonts w:ascii="Times New Roman" w:hAnsi="Times New Roman" w:hint="eastAsia"/>
          <w:b/>
          <w:color w:val="FF0000"/>
          <w:sz w:val="20"/>
          <w:szCs w:val="20"/>
          <w:highlight w:val="yellow"/>
          <w:bdr w:val="single" w:sz="4" w:space="0" w:color="auto"/>
        </w:rPr>
        <w:t>、</w:t>
      </w:r>
      <w:r w:rsidR="00AA120F" w:rsidRPr="004070BE">
        <w:rPr>
          <w:rFonts w:ascii="新細明體" w:hAnsi="新細明體" w:cs="Times Ext Roman" w:hint="eastAsia"/>
          <w:b/>
          <w:color w:val="FF0000"/>
          <w:sz w:val="20"/>
          <w:szCs w:val="20"/>
          <w:highlight w:val="yellow"/>
          <w:bdr w:val="single" w:sz="4" w:space="0" w:color="auto"/>
        </w:rPr>
        <w:t>中觀家</w:t>
      </w:r>
      <w:r w:rsidRPr="004070BE">
        <w:rPr>
          <w:rFonts w:ascii="新細明體" w:hAnsi="新細明體" w:cs="Times Ext Roman" w:hint="eastAsia"/>
          <w:b/>
          <w:color w:val="FF0000"/>
          <w:sz w:val="20"/>
          <w:szCs w:val="20"/>
          <w:highlight w:val="yellow"/>
          <w:bdr w:val="single" w:sz="4" w:space="0" w:color="auto"/>
        </w:rPr>
        <w:t>之說</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pp.</w:t>
      </w:r>
      <w:r w:rsidR="00AA120F" w:rsidRPr="00DA3BC7">
        <w:rPr>
          <w:rFonts w:ascii="Times New Roman" w:eastAsia="SimSun" w:hAnsi="Times New Roman" w:hint="eastAsia"/>
          <w:sz w:val="20"/>
          <w:szCs w:val="20"/>
        </w:rPr>
        <w:t>197</w:t>
      </w:r>
      <w:r w:rsidR="00AA120F" w:rsidRPr="00DA3BC7">
        <w:rPr>
          <w:rFonts w:ascii="Times New Roman" w:eastAsia="SimSun" w:hAnsi="Times New Roman"/>
          <w:sz w:val="20"/>
          <w:szCs w:val="20"/>
        </w:rPr>
        <w:t>-</w:t>
      </w:r>
      <w:r w:rsidR="00AA120F" w:rsidRPr="00DA3BC7">
        <w:rPr>
          <w:rFonts w:ascii="Times New Roman" w:hAnsi="Times New Roman" w:hint="eastAsia"/>
          <w:sz w:val="20"/>
          <w:szCs w:val="20"/>
        </w:rPr>
        <w:t>200</w:t>
      </w:r>
      <w:r w:rsidR="00AA120F" w:rsidRPr="00DA3BC7">
        <w:rPr>
          <w:rFonts w:ascii="Times New Roman" w:hAnsi="Times New Roman" w:hint="eastAsia"/>
          <w:sz w:val="20"/>
          <w:szCs w:val="20"/>
        </w:rPr>
        <w:t>）</w:t>
      </w:r>
    </w:p>
    <w:p w:rsidR="00AA120F" w:rsidRPr="00DA3BC7" w:rsidRDefault="004070BE" w:rsidP="004729A2">
      <w:pPr>
        <w:widowControl/>
        <w:ind w:leftChars="250" w:left="600"/>
        <w:jc w:val="both"/>
        <w:rPr>
          <w:rFonts w:ascii="Times New Roman" w:eastAsia="SimSun" w:hAnsi="Times New Roman"/>
          <w:b/>
          <w:sz w:val="20"/>
          <w:szCs w:val="20"/>
          <w:bdr w:val="single" w:sz="4" w:space="0" w:color="auto"/>
        </w:rPr>
      </w:pPr>
      <w:r w:rsidRPr="004070BE">
        <w:rPr>
          <w:rFonts w:ascii="Times New Roman" w:hAnsi="Times New Roman" w:hint="eastAsia"/>
          <w:b/>
          <w:color w:val="FF0000"/>
          <w:sz w:val="20"/>
          <w:szCs w:val="20"/>
          <w:highlight w:val="yellow"/>
          <w:bdr w:val="single" w:sz="4" w:space="0" w:color="auto"/>
        </w:rPr>
        <w:t>（</w:t>
      </w:r>
      <w:r w:rsidRPr="004070BE">
        <w:rPr>
          <w:rFonts w:ascii="Times New Roman" w:hAnsi="Times New Roman" w:hint="eastAsia"/>
          <w:b/>
          <w:color w:val="FF0000"/>
          <w:sz w:val="20"/>
          <w:szCs w:val="20"/>
          <w:highlight w:val="yellow"/>
          <w:bdr w:val="single" w:sz="4" w:space="0" w:color="auto"/>
        </w:rPr>
        <w:t>1</w:t>
      </w:r>
      <w:r w:rsidRPr="004070BE">
        <w:rPr>
          <w:rFonts w:ascii="Times New Roman" w:hAnsi="Times New Roman" w:hint="eastAsia"/>
          <w:b/>
          <w:color w:val="FF0000"/>
          <w:sz w:val="20"/>
          <w:szCs w:val="20"/>
          <w:highlight w:val="yellow"/>
          <w:bdr w:val="single" w:sz="4" w:space="0" w:color="auto"/>
        </w:rPr>
        <w:t>）評前義</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pp.</w:t>
      </w:r>
      <w:r w:rsidR="00AA120F" w:rsidRPr="00DA3BC7">
        <w:rPr>
          <w:rFonts w:ascii="Times New Roman" w:eastAsia="SimSun" w:hAnsi="Times New Roman" w:hint="eastAsia"/>
          <w:sz w:val="20"/>
          <w:szCs w:val="20"/>
        </w:rPr>
        <w:t>197</w:t>
      </w:r>
      <w:r w:rsidR="00AA120F" w:rsidRPr="00DA3BC7">
        <w:rPr>
          <w:rFonts w:ascii="Times New Roman" w:eastAsia="SimSun" w:hAnsi="Times New Roman"/>
          <w:sz w:val="20"/>
          <w:szCs w:val="20"/>
        </w:rPr>
        <w:t>-</w:t>
      </w:r>
      <w:r w:rsidR="00AA120F" w:rsidRPr="00DA3BC7">
        <w:rPr>
          <w:rFonts w:ascii="Times New Roman" w:eastAsia="SimSun" w:hAnsi="Times New Roman" w:hint="eastAsia"/>
          <w:sz w:val="20"/>
          <w:szCs w:val="20"/>
        </w:rPr>
        <w:t>198</w:t>
      </w:r>
      <w:r w:rsidR="00AA120F" w:rsidRPr="00DA3BC7">
        <w:rPr>
          <w:rFonts w:ascii="Times New Roman" w:hAnsi="Times New Roman" w:hint="eastAsia"/>
          <w:sz w:val="20"/>
          <w:szCs w:val="20"/>
        </w:rPr>
        <w:t>）</w:t>
      </w:r>
    </w:p>
    <w:p w:rsidR="00AA120F" w:rsidRPr="00DA3BC7" w:rsidRDefault="00AA120F" w:rsidP="004729A2">
      <w:pPr>
        <w:widowControl/>
        <w:ind w:leftChars="250" w:left="600"/>
        <w:jc w:val="both"/>
        <w:rPr>
          <w:rFonts w:ascii="新細明體" w:eastAsia="SimSun" w:hAnsi="新細明體" w:cs="Arial"/>
          <w:kern w:val="0"/>
        </w:rPr>
      </w:pPr>
      <w:r w:rsidRPr="00DA3BC7">
        <w:rPr>
          <w:rFonts w:ascii="新細明體" w:hAnsi="新細明體" w:cs="Arial"/>
          <w:kern w:val="0"/>
        </w:rPr>
        <w:t>以中觀宗的見解來批評，唯識偏重於差別事相，多明俗諦；天臺、賢首偏重於平等本性，多明真諦。</w:t>
      </w:r>
    </w:p>
    <w:p w:rsidR="00AA120F" w:rsidRPr="00DA3BC7" w:rsidRDefault="00AA120F" w:rsidP="00AE3920">
      <w:pPr>
        <w:widowControl/>
        <w:spacing w:beforeLines="20"/>
        <w:ind w:leftChars="250" w:left="600"/>
        <w:jc w:val="both"/>
        <w:rPr>
          <w:rFonts w:ascii="新細明體" w:hAnsi="新細明體" w:cs="Arial"/>
          <w:kern w:val="0"/>
        </w:rPr>
      </w:pPr>
      <w:r w:rsidRPr="00DA3BC7">
        <w:rPr>
          <w:rFonts w:ascii="新細明體" w:hAnsi="新細明體" w:cs="Arial"/>
          <w:kern w:val="0"/>
        </w:rPr>
        <w:t>唯識、天臺、賢首所建立的理論，高深廣大，當然不能看作荒謬</w:t>
      </w:r>
      <w:r w:rsidRPr="00DA3BC7">
        <w:rPr>
          <w:rStyle w:val="a6"/>
          <w:rFonts w:ascii="Times New Roman" w:hAnsi="Times New Roman"/>
          <w:kern w:val="0"/>
        </w:rPr>
        <w:footnoteReference w:id="878"/>
      </w:r>
      <w:r w:rsidRPr="00DA3BC7">
        <w:rPr>
          <w:rFonts w:ascii="新細明體" w:hAnsi="新細明體" w:cs="Arial"/>
          <w:kern w:val="0"/>
        </w:rPr>
        <w:t>不經</w:t>
      </w:r>
      <w:r w:rsidRPr="00DA3BC7">
        <w:rPr>
          <w:rStyle w:val="a6"/>
          <w:rFonts w:ascii="Times New Roman" w:hAnsi="Times New Roman"/>
          <w:kern w:val="0"/>
        </w:rPr>
        <w:footnoteReference w:id="879"/>
      </w:r>
      <w:r w:rsidRPr="00DA3BC7">
        <w:rPr>
          <w:rFonts w:ascii="新細明體" w:hAnsi="新細明體" w:cs="Arial"/>
          <w:kern w:val="0"/>
        </w:rPr>
        <w:t>的</w:t>
      </w:r>
      <w:r w:rsidRPr="00DA3BC7">
        <w:rPr>
          <w:rFonts w:ascii="新細明體" w:hAnsi="新細明體" w:cs="Arial" w:hint="eastAsia"/>
          <w:kern w:val="0"/>
        </w:rPr>
        <w:t>；</w:t>
      </w:r>
      <w:r w:rsidRPr="00DA3BC7">
        <w:rPr>
          <w:rFonts w:ascii="新細明體" w:hAnsi="新細明體" w:cs="Arial"/>
          <w:kern w:val="0"/>
        </w:rPr>
        <w:t>但佛依二諦說法，二諦不即不離而需要完滿的善巧二諦，即不能稍有所偏。若能正見二諦無礙的中道，則對於緣起與性空，才有正確了達的可能。如何把握二諦的不即不離，恰到好處？不偏於差別，也不偏於平等，這是修學中觀者所應該特別留意處。</w:t>
      </w:r>
    </w:p>
    <w:p w:rsidR="00AA120F" w:rsidRPr="00DA3BC7" w:rsidRDefault="004070BE" w:rsidP="00AE3920">
      <w:pPr>
        <w:widowControl/>
        <w:spacing w:beforeLines="30"/>
        <w:ind w:leftChars="250" w:left="600"/>
        <w:jc w:val="both"/>
        <w:rPr>
          <w:rFonts w:ascii="Times New Roman" w:hAnsi="Times New Roman"/>
          <w:kern w:val="0"/>
        </w:rPr>
      </w:pPr>
      <w:r w:rsidRPr="004070BE">
        <w:rPr>
          <w:rFonts w:ascii="Times New Roman" w:eastAsia="細明體" w:hAnsi="Times New Roman"/>
          <w:b/>
          <w:color w:val="FF0000"/>
          <w:sz w:val="20"/>
          <w:szCs w:val="20"/>
          <w:highlight w:val="yellow"/>
          <w:bdr w:val="single" w:sz="4" w:space="0" w:color="auto"/>
        </w:rPr>
        <w:t>（</w:t>
      </w:r>
      <w:r w:rsidRPr="004070BE">
        <w:rPr>
          <w:rFonts w:ascii="Times New Roman" w:eastAsia="細明體" w:hAnsi="Times New Roman" w:hint="eastAsia"/>
          <w:b/>
          <w:color w:val="FF0000"/>
          <w:sz w:val="20"/>
          <w:szCs w:val="20"/>
          <w:highlight w:val="yellow"/>
          <w:bdr w:val="single" w:sz="4" w:space="0" w:color="auto"/>
        </w:rPr>
        <w:t>2</w:t>
      </w:r>
      <w:r w:rsidRPr="004070BE">
        <w:rPr>
          <w:rFonts w:ascii="Times New Roman" w:eastAsia="細明體" w:hAnsi="Times New Roman"/>
          <w:b/>
          <w:color w:val="FF0000"/>
          <w:sz w:val="20"/>
          <w:szCs w:val="20"/>
          <w:highlight w:val="yellow"/>
          <w:bdr w:val="single" w:sz="4" w:space="0" w:color="auto"/>
        </w:rPr>
        <w:t>）</w:t>
      </w:r>
      <w:r w:rsidRPr="004070BE">
        <w:rPr>
          <w:rFonts w:ascii="新細明體" w:hAnsi="新細明體" w:hint="eastAsia"/>
          <w:b/>
          <w:color w:val="FF0000"/>
          <w:sz w:val="20"/>
          <w:szCs w:val="20"/>
          <w:highlight w:val="yellow"/>
          <w:bdr w:val="single" w:sz="4" w:space="0" w:color="auto"/>
        </w:rPr>
        <w:t>明自宗</w:t>
      </w:r>
      <w:r w:rsidR="00AA120F" w:rsidRPr="00DA3BC7">
        <w:rPr>
          <w:rFonts w:ascii="Times New Roman" w:hAnsi="Times New Roman"/>
          <w:sz w:val="20"/>
        </w:rPr>
        <w:t>（</w:t>
      </w:r>
      <w:r w:rsidR="00AA120F" w:rsidRPr="00DA3BC7">
        <w:rPr>
          <w:rFonts w:ascii="Times New Roman" w:hAnsi="Times New Roman"/>
          <w:sz w:val="20"/>
        </w:rPr>
        <w:t>pp.198-</w:t>
      </w:r>
      <w:r w:rsidR="00AA120F" w:rsidRPr="00DA3BC7">
        <w:rPr>
          <w:rFonts w:ascii="Times New Roman" w:hAnsi="Times New Roman" w:hint="eastAsia"/>
          <w:sz w:val="20"/>
        </w:rPr>
        <w:t>200</w:t>
      </w:r>
      <w:r w:rsidR="00AA120F" w:rsidRPr="00DA3BC7">
        <w:rPr>
          <w:rFonts w:ascii="Times New Roman" w:hAnsi="Times New Roman"/>
          <w:sz w:val="20"/>
        </w:rPr>
        <w:t>）</w:t>
      </w:r>
    </w:p>
    <w:p w:rsidR="00AA120F" w:rsidRPr="00DA3BC7" w:rsidRDefault="004070BE" w:rsidP="004729A2">
      <w:pPr>
        <w:widowControl/>
        <w:ind w:leftChars="300" w:left="720"/>
        <w:jc w:val="both"/>
        <w:rPr>
          <w:rFonts w:ascii="Times New Roman" w:eastAsia="SimSun" w:hAnsi="Times New Roman"/>
          <w:sz w:val="20"/>
          <w:szCs w:val="20"/>
        </w:rPr>
      </w:pPr>
      <w:r w:rsidRPr="004070BE">
        <w:rPr>
          <w:rFonts w:ascii="Times New Roman" w:eastAsia="細明體" w:hAnsi="Times New Roman" w:hint="eastAsia"/>
          <w:b/>
          <w:color w:val="FF0000"/>
          <w:sz w:val="20"/>
          <w:szCs w:val="20"/>
          <w:highlight w:val="yellow"/>
          <w:bdr w:val="single" w:sz="4" w:space="0" w:color="auto"/>
        </w:rPr>
        <w:t>A</w:t>
      </w:r>
      <w:r w:rsidRPr="004070BE">
        <w:rPr>
          <w:rFonts w:ascii="Times New Roman" w:eastAsia="細明體" w:hAnsi="Times New Roman" w:hint="eastAsia"/>
          <w:b/>
          <w:color w:val="FF0000"/>
          <w:sz w:val="20"/>
          <w:szCs w:val="20"/>
          <w:highlight w:val="yellow"/>
          <w:bdr w:val="single" w:sz="4" w:space="0" w:color="auto"/>
        </w:rPr>
        <w:t>、述理</w:t>
      </w:r>
      <w:r w:rsidR="00AA120F" w:rsidRPr="00DA3BC7">
        <w:rPr>
          <w:rFonts w:ascii="Times New Roman" w:hAnsi="Times New Roman"/>
          <w:sz w:val="20"/>
          <w:szCs w:val="20"/>
        </w:rPr>
        <w:t>（</w:t>
      </w:r>
      <w:r w:rsidR="00AA120F" w:rsidRPr="00DA3BC7">
        <w:rPr>
          <w:rFonts w:ascii="Times New Roman" w:hAnsi="Times New Roman"/>
          <w:sz w:val="20"/>
          <w:szCs w:val="20"/>
        </w:rPr>
        <w:t>p.198</w:t>
      </w:r>
      <w:r w:rsidR="00AA120F" w:rsidRPr="00DA3BC7">
        <w:rPr>
          <w:rFonts w:ascii="Times New Roman" w:hAnsi="Times New Roman"/>
          <w:sz w:val="20"/>
          <w:szCs w:val="20"/>
        </w:rPr>
        <w:t>）</w:t>
      </w:r>
    </w:p>
    <w:p w:rsidR="004070BE" w:rsidRDefault="004070BE" w:rsidP="004729A2">
      <w:pPr>
        <w:ind w:leftChars="350" w:left="840"/>
        <w:jc w:val="both"/>
        <w:rPr>
          <w:rFonts w:ascii="Times New Roman" w:hAnsi="Times New Roman"/>
          <w:b/>
          <w:color w:val="FF0000"/>
          <w:sz w:val="20"/>
          <w:szCs w:val="20"/>
          <w:bdr w:val="single" w:sz="4" w:space="0" w:color="auto"/>
        </w:rPr>
      </w:pPr>
      <w:r w:rsidRPr="004070BE">
        <w:rPr>
          <w:rFonts w:ascii="Times New Roman" w:hAnsi="Times New Roman"/>
          <w:b/>
          <w:color w:val="FF0000"/>
          <w:sz w:val="20"/>
          <w:szCs w:val="20"/>
          <w:highlight w:val="yellow"/>
          <w:bdr w:val="single" w:sz="4" w:space="0" w:color="auto"/>
        </w:rPr>
        <w:t>（</w:t>
      </w:r>
      <w:r w:rsidRPr="004070BE">
        <w:rPr>
          <w:rFonts w:ascii="Times New Roman" w:hAnsi="Times New Roman" w:hint="eastAsia"/>
          <w:b/>
          <w:color w:val="FF0000"/>
          <w:sz w:val="20"/>
          <w:szCs w:val="20"/>
          <w:highlight w:val="yellow"/>
          <w:bdr w:val="single" w:sz="4" w:space="0" w:color="auto"/>
        </w:rPr>
        <w:t>A</w:t>
      </w:r>
      <w:r w:rsidRPr="004070BE">
        <w:rPr>
          <w:rFonts w:ascii="Times New Roman" w:hAnsi="Times New Roman"/>
          <w:b/>
          <w:color w:val="FF0000"/>
          <w:sz w:val="20"/>
          <w:szCs w:val="20"/>
          <w:highlight w:val="yellow"/>
          <w:bdr w:val="single" w:sz="4" w:space="0" w:color="auto"/>
        </w:rPr>
        <w:t>）</w:t>
      </w:r>
      <w:r w:rsidRPr="004070BE">
        <w:rPr>
          <w:rFonts w:ascii="Times New Roman" w:hAnsi="Times New Roman" w:hint="eastAsia"/>
          <w:b/>
          <w:color w:val="FF0000"/>
          <w:sz w:val="20"/>
          <w:szCs w:val="20"/>
          <w:highlight w:val="yellow"/>
          <w:bdr w:val="single" w:sz="4" w:space="0" w:color="auto"/>
        </w:rPr>
        <w:t>諸法性空待緣起</w:t>
      </w:r>
      <w:r w:rsidRPr="00DA3BC7">
        <w:rPr>
          <w:rFonts w:ascii="Times New Roman" w:hAnsi="Times New Roman"/>
          <w:sz w:val="20"/>
          <w:szCs w:val="20"/>
        </w:rPr>
        <w:t>（</w:t>
      </w:r>
      <w:r w:rsidRPr="00DA3BC7">
        <w:rPr>
          <w:rFonts w:ascii="Times New Roman" w:hAnsi="Times New Roman"/>
          <w:sz w:val="20"/>
          <w:szCs w:val="20"/>
        </w:rPr>
        <w:t>p.198</w:t>
      </w:r>
      <w:r w:rsidRPr="00DA3BC7">
        <w:rPr>
          <w:rFonts w:ascii="Times New Roman" w:hAnsi="Times New Roman"/>
          <w:sz w:val="20"/>
          <w:szCs w:val="20"/>
        </w:rPr>
        <w:t>）</w:t>
      </w:r>
    </w:p>
    <w:p w:rsidR="00AA120F" w:rsidRPr="00DA3BC7" w:rsidRDefault="00AA120F" w:rsidP="004729A2">
      <w:pPr>
        <w:ind w:leftChars="350" w:left="840"/>
        <w:jc w:val="both"/>
        <w:rPr>
          <w:rFonts w:ascii="Times New Roman" w:hAnsi="Times New Roman"/>
        </w:rPr>
      </w:pPr>
      <w:r w:rsidRPr="00DA3BC7">
        <w:rPr>
          <w:rFonts w:ascii="Times New Roman" w:hAnsi="Times New Roman"/>
          <w:b/>
        </w:rPr>
        <w:t>中觀者</w:t>
      </w:r>
      <w:r w:rsidRPr="00DA3BC7">
        <w:rPr>
          <w:rFonts w:ascii="Times New Roman" w:hAnsi="Times New Roman"/>
        </w:rPr>
        <w:t>的二諦中道觀：</w:t>
      </w:r>
      <w:r w:rsidRPr="00DA3BC7">
        <w:rPr>
          <w:rFonts w:ascii="Times New Roman" w:hAnsi="Times New Roman"/>
          <w:b/>
        </w:rPr>
        <w:t>緣起即是性空</w:t>
      </w:r>
      <w:r w:rsidRPr="00DA3BC7">
        <w:rPr>
          <w:rFonts w:ascii="Times New Roman" w:hAnsi="Times New Roman"/>
        </w:rPr>
        <w:t>，因為諸法空無自性，所以是緣起法，要由眾緣而現前，這與唯識家不同。</w:t>
      </w:r>
    </w:p>
    <w:p w:rsidR="00200AF9" w:rsidRDefault="00AA120F" w:rsidP="00AE3920">
      <w:pPr>
        <w:spacing w:beforeLines="20"/>
        <w:ind w:leftChars="350" w:left="840"/>
        <w:jc w:val="both"/>
        <w:rPr>
          <w:rFonts w:ascii="Times New Roman" w:hAnsi="Times New Roman"/>
        </w:rPr>
      </w:pPr>
      <w:r w:rsidRPr="00DA3BC7">
        <w:rPr>
          <w:rFonts w:ascii="Times New Roman" w:hAnsi="Times New Roman"/>
          <w:b/>
        </w:rPr>
        <w:t>唯識學者</w:t>
      </w:r>
      <w:r w:rsidRPr="00DA3BC7">
        <w:rPr>
          <w:rFonts w:ascii="Times New Roman" w:hAnsi="Times New Roman"/>
        </w:rPr>
        <w:t>不能從圓成空性以指出空性與依他有何關聯，</w:t>
      </w:r>
    </w:p>
    <w:p w:rsidR="00AA120F" w:rsidRPr="00DA3BC7" w:rsidRDefault="00AA120F" w:rsidP="00200AF9">
      <w:pPr>
        <w:ind w:leftChars="350" w:left="840"/>
        <w:jc w:val="both"/>
        <w:rPr>
          <w:rFonts w:ascii="Times New Roman" w:hAnsi="Times New Roman"/>
          <w:b/>
        </w:rPr>
      </w:pPr>
      <w:r w:rsidRPr="00200AF9">
        <w:rPr>
          <w:rFonts w:ascii="Times New Roman" w:hAnsi="Times New Roman"/>
          <w:b/>
          <w:highlight w:val="yellow"/>
        </w:rPr>
        <w:t>中</w:t>
      </w:r>
      <w:r w:rsidRPr="00DA3BC7">
        <w:rPr>
          <w:rFonts w:ascii="Times New Roman" w:hAnsi="Times New Roman"/>
          <w:b/>
        </w:rPr>
        <w:t>觀</w:t>
      </w:r>
      <w:r w:rsidRPr="00DA3BC7">
        <w:rPr>
          <w:rFonts w:ascii="Times New Roman" w:hAnsi="Times New Roman"/>
        </w:rPr>
        <w:t>則說無自性與緣起相即相成，彼此有深切的關係</w:t>
      </w:r>
      <w:r w:rsidRPr="00DA3BC7">
        <w:rPr>
          <w:rFonts w:ascii="Times New Roman" w:hAnsi="Times New Roman"/>
          <w:b/>
        </w:rPr>
        <w:t>。「</w:t>
      </w:r>
      <w:r w:rsidRPr="00DA3BC7">
        <w:rPr>
          <w:rFonts w:ascii="標楷體" w:eastAsia="標楷體" w:hAnsi="標楷體"/>
          <w:b/>
        </w:rPr>
        <w:t>以有空義故，一切法得成</w:t>
      </w:r>
      <w:r w:rsidRPr="00DA3BC7">
        <w:rPr>
          <w:rFonts w:ascii="Times New Roman" w:hAnsi="Times New Roman"/>
          <w:b/>
        </w:rPr>
        <w:t>」，諸法本性空，即是現象之可能成為現象的所以</w:t>
      </w:r>
      <w:r w:rsidRPr="00DA3BC7">
        <w:rPr>
          <w:rStyle w:val="a6"/>
          <w:rFonts w:ascii="Times New Roman" w:hAnsi="Times New Roman"/>
        </w:rPr>
        <w:footnoteReference w:id="880"/>
      </w:r>
      <w:r w:rsidRPr="00DA3BC7">
        <w:rPr>
          <w:rFonts w:ascii="Times New Roman" w:hAnsi="Times New Roman"/>
          <w:b/>
        </w:rPr>
        <w:t>。</w:t>
      </w:r>
    </w:p>
    <w:p w:rsidR="00AA120F" w:rsidRPr="00DA3BC7" w:rsidRDefault="00AA120F" w:rsidP="00AE3920">
      <w:pPr>
        <w:spacing w:beforeLines="30"/>
        <w:ind w:leftChars="350" w:left="840"/>
        <w:jc w:val="both"/>
        <w:rPr>
          <w:rFonts w:ascii="Times New Roman" w:hAnsi="Times New Roman"/>
          <w:b/>
          <w:sz w:val="20"/>
          <w:szCs w:val="20"/>
          <w:bdr w:val="single" w:sz="4" w:space="0" w:color="auto"/>
        </w:rPr>
      </w:pPr>
      <w:r w:rsidRPr="004070BE">
        <w:rPr>
          <w:rFonts w:ascii="Times New Roman" w:hAnsi="Times New Roman"/>
          <w:b/>
          <w:color w:val="FF0000"/>
          <w:sz w:val="20"/>
          <w:szCs w:val="20"/>
          <w:highlight w:val="yellow"/>
          <w:bdr w:val="single" w:sz="4" w:space="0" w:color="auto"/>
        </w:rPr>
        <w:t>（</w:t>
      </w:r>
      <w:r w:rsidR="004070BE" w:rsidRPr="004070BE">
        <w:rPr>
          <w:rFonts w:ascii="Times New Roman" w:hAnsi="Times New Roman" w:hint="eastAsia"/>
          <w:b/>
          <w:color w:val="FF0000"/>
          <w:sz w:val="20"/>
          <w:szCs w:val="20"/>
          <w:highlight w:val="yellow"/>
          <w:bdr w:val="single" w:sz="4" w:space="0" w:color="auto"/>
        </w:rPr>
        <w:t>B</w:t>
      </w:r>
      <w:r w:rsidRPr="004070BE">
        <w:rPr>
          <w:rFonts w:ascii="Times New Roman" w:hAnsi="Times New Roman"/>
          <w:b/>
          <w:color w:val="FF0000"/>
          <w:sz w:val="20"/>
          <w:szCs w:val="20"/>
          <w:highlight w:val="yellow"/>
          <w:bdr w:val="single" w:sz="4" w:space="0" w:color="auto"/>
        </w:rPr>
        <w:t>）</w:t>
      </w:r>
      <w:r w:rsidR="004070BE" w:rsidRPr="004070BE">
        <w:rPr>
          <w:rFonts w:ascii="Times New Roman" w:hAnsi="Times New Roman" w:hint="eastAsia"/>
          <w:b/>
          <w:color w:val="FF0000"/>
          <w:sz w:val="20"/>
          <w:szCs w:val="20"/>
          <w:highlight w:val="yellow"/>
          <w:bdr w:val="single" w:sz="4" w:space="0" w:color="auto"/>
        </w:rPr>
        <w:t>諸法差別由緣現</w:t>
      </w:r>
      <w:r w:rsidRPr="00DA3BC7">
        <w:rPr>
          <w:rFonts w:ascii="Times New Roman" w:hAnsi="Times New Roman"/>
          <w:sz w:val="20"/>
          <w:szCs w:val="20"/>
        </w:rPr>
        <w:t>（</w:t>
      </w:r>
      <w:r w:rsidRPr="00DA3BC7">
        <w:rPr>
          <w:rFonts w:ascii="Times New Roman" w:hAnsi="Times New Roman"/>
          <w:sz w:val="20"/>
          <w:szCs w:val="20"/>
        </w:rPr>
        <w:t>p.198</w:t>
      </w:r>
      <w:r w:rsidRPr="00DA3BC7">
        <w:rPr>
          <w:rFonts w:ascii="Times New Roman" w:hAnsi="Times New Roman"/>
          <w:sz w:val="20"/>
          <w:szCs w:val="20"/>
        </w:rPr>
        <w:t>）</w:t>
      </w:r>
    </w:p>
    <w:p w:rsidR="00AA120F" w:rsidRPr="00DA3BC7" w:rsidRDefault="00AA120F" w:rsidP="004729A2">
      <w:pPr>
        <w:ind w:leftChars="350" w:left="840"/>
        <w:jc w:val="both"/>
        <w:rPr>
          <w:rFonts w:ascii="Times New Roman" w:hAnsi="Times New Roman"/>
        </w:rPr>
      </w:pPr>
      <w:r w:rsidRPr="00DA3BC7">
        <w:rPr>
          <w:rFonts w:ascii="Times New Roman" w:hAnsi="Times New Roman"/>
        </w:rPr>
        <w:t>然而現象之所以有無限差別，不是以此空性為精神或物質而後成為現象的差別。諸法是眾因緣相依相待而有的，</w:t>
      </w:r>
      <w:r w:rsidRPr="00DA3BC7">
        <w:rPr>
          <w:rFonts w:ascii="Times New Roman" w:hAnsi="Times New Roman"/>
          <w:b/>
        </w:rPr>
        <w:t>差別的現象，唯有在因緣法上安立，決不在性上說</w:t>
      </w:r>
      <w:r w:rsidRPr="00DA3BC7">
        <w:rPr>
          <w:rFonts w:ascii="Times New Roman" w:hAnsi="Times New Roman"/>
        </w:rPr>
        <w:t>。</w:t>
      </w:r>
    </w:p>
    <w:p w:rsidR="00AA120F" w:rsidRPr="00DA3BC7" w:rsidRDefault="00AA120F" w:rsidP="00AE3920">
      <w:pPr>
        <w:spacing w:beforeLines="20"/>
        <w:ind w:leftChars="350" w:left="840"/>
        <w:jc w:val="both"/>
        <w:rPr>
          <w:rFonts w:ascii="Times New Roman" w:hAnsi="Times New Roman"/>
        </w:rPr>
      </w:pPr>
      <w:r w:rsidRPr="00DA3BC7">
        <w:rPr>
          <w:rFonts w:ascii="Times New Roman" w:hAnsi="Times New Roman"/>
        </w:rPr>
        <w:t>這與</w:t>
      </w:r>
      <w:r w:rsidRPr="00DA3BC7">
        <w:rPr>
          <w:rFonts w:ascii="Times New Roman" w:hAnsi="Times New Roman"/>
          <w:b/>
        </w:rPr>
        <w:t>自性能生萬法，一真法界</w:t>
      </w:r>
      <w:r w:rsidRPr="00DA3BC7">
        <w:rPr>
          <w:rStyle w:val="a6"/>
          <w:rFonts w:ascii="Times New Roman" w:hAnsi="Times New Roman"/>
        </w:rPr>
        <w:footnoteReference w:id="881"/>
      </w:r>
      <w:r w:rsidRPr="00DA3BC7">
        <w:rPr>
          <w:rFonts w:ascii="Times New Roman" w:hAnsi="Times New Roman"/>
          <w:b/>
        </w:rPr>
        <w:t>現起一切</w:t>
      </w:r>
      <w:r w:rsidRPr="00DA3BC7">
        <w:rPr>
          <w:rFonts w:ascii="Times New Roman" w:hAnsi="Times New Roman"/>
        </w:rPr>
        <w:t>的思想，根本不同。</w:t>
      </w:r>
    </w:p>
    <w:p w:rsidR="00AA120F" w:rsidRPr="00DA3BC7" w:rsidRDefault="004070BE" w:rsidP="00AE3920">
      <w:pPr>
        <w:spacing w:beforeLines="30"/>
        <w:ind w:leftChars="300" w:left="720"/>
        <w:jc w:val="both"/>
        <w:rPr>
          <w:rFonts w:ascii="Times New Roman" w:hAnsi="Times New Roman"/>
          <w:b/>
          <w:sz w:val="20"/>
          <w:szCs w:val="20"/>
          <w:bdr w:val="single" w:sz="4" w:space="0" w:color="auto"/>
        </w:rPr>
      </w:pPr>
      <w:r w:rsidRPr="004070BE">
        <w:rPr>
          <w:rFonts w:ascii="Times New Roman" w:hAnsi="Times New Roman" w:hint="eastAsia"/>
          <w:b/>
          <w:color w:val="FF0000"/>
          <w:sz w:val="20"/>
          <w:szCs w:val="20"/>
          <w:highlight w:val="yellow"/>
          <w:bdr w:val="single" w:sz="4" w:space="0" w:color="auto"/>
        </w:rPr>
        <w:lastRenderedPageBreak/>
        <w:t>B</w:t>
      </w:r>
      <w:r w:rsidR="00AA120F" w:rsidRPr="004070BE">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舉</w:t>
      </w:r>
      <w:r w:rsidR="00AA120F" w:rsidRPr="00DA3BC7">
        <w:rPr>
          <w:rFonts w:ascii="Times New Roman" w:hAnsi="Times New Roman"/>
          <w:b/>
          <w:sz w:val="20"/>
          <w:szCs w:val="20"/>
          <w:bdr w:val="single" w:sz="4" w:space="0" w:color="auto"/>
        </w:rPr>
        <w:t>喻</w:t>
      </w:r>
      <w:r w:rsidR="00AA120F" w:rsidRPr="00DA3BC7">
        <w:rPr>
          <w:rFonts w:ascii="Times New Roman" w:hAnsi="Times New Roman"/>
          <w:sz w:val="20"/>
          <w:szCs w:val="20"/>
        </w:rPr>
        <w:t>（</w:t>
      </w:r>
      <w:r w:rsidR="00AA120F" w:rsidRPr="00DA3BC7">
        <w:rPr>
          <w:rFonts w:ascii="Times New Roman" w:hAnsi="Times New Roman"/>
          <w:sz w:val="20"/>
          <w:szCs w:val="20"/>
        </w:rPr>
        <w:t>pp.198-199</w:t>
      </w:r>
      <w:r w:rsidR="00AA120F" w:rsidRPr="00DA3BC7">
        <w:rPr>
          <w:rFonts w:ascii="Times New Roman" w:hAnsi="Times New Roman"/>
          <w:sz w:val="20"/>
          <w:szCs w:val="20"/>
        </w:rPr>
        <w:t>）</w:t>
      </w:r>
    </w:p>
    <w:p w:rsidR="00AA120F" w:rsidRPr="00DA3BC7" w:rsidRDefault="00AA120F" w:rsidP="004729A2">
      <w:pPr>
        <w:ind w:leftChars="350" w:left="840"/>
        <w:jc w:val="both"/>
        <w:rPr>
          <w:rFonts w:ascii="Times New Roman" w:hAnsi="Times New Roman"/>
          <w:b/>
          <w:sz w:val="20"/>
          <w:szCs w:val="20"/>
          <w:bdr w:val="single" w:sz="4" w:space="0" w:color="auto"/>
        </w:rPr>
      </w:pPr>
      <w:r w:rsidRPr="004070BE">
        <w:rPr>
          <w:rFonts w:ascii="Times New Roman" w:hAnsi="Times New Roman"/>
          <w:b/>
          <w:color w:val="FF0000"/>
          <w:sz w:val="20"/>
          <w:szCs w:val="20"/>
          <w:highlight w:val="yellow"/>
          <w:bdr w:val="single" w:sz="4" w:space="0" w:color="auto"/>
        </w:rPr>
        <w:t>（</w:t>
      </w:r>
      <w:r w:rsidR="004070BE" w:rsidRPr="004070BE">
        <w:rPr>
          <w:rFonts w:ascii="Times New Roman" w:hAnsi="Times New Roman" w:hint="eastAsia"/>
          <w:b/>
          <w:color w:val="FF0000"/>
          <w:sz w:val="20"/>
          <w:szCs w:val="20"/>
          <w:highlight w:val="yellow"/>
          <w:bdr w:val="single" w:sz="4" w:space="0" w:color="auto"/>
        </w:rPr>
        <w:t>A</w:t>
      </w:r>
      <w:r w:rsidRPr="004070BE">
        <w:rPr>
          <w:rFonts w:ascii="Times New Roman" w:hAnsi="Times New Roman"/>
          <w:b/>
          <w:color w:val="FF0000"/>
          <w:sz w:val="20"/>
          <w:szCs w:val="20"/>
          <w:highlight w:val="yellow"/>
          <w:bdr w:val="single" w:sz="4" w:space="0" w:color="auto"/>
        </w:rPr>
        <w:t>）</w:t>
      </w:r>
      <w:r w:rsidRPr="00DA3BC7">
        <w:rPr>
          <w:rFonts w:ascii="Times New Roman" w:hAnsi="Times New Roman"/>
          <w:b/>
          <w:sz w:val="20"/>
          <w:szCs w:val="20"/>
          <w:bdr w:val="single" w:sz="4" w:space="0" w:color="auto"/>
        </w:rPr>
        <w:t>空地與房子喻</w:t>
      </w:r>
      <w:r w:rsidRPr="00DA3BC7">
        <w:rPr>
          <w:rFonts w:ascii="Times New Roman" w:hAnsi="Times New Roman"/>
          <w:sz w:val="20"/>
          <w:szCs w:val="20"/>
        </w:rPr>
        <w:t>（</w:t>
      </w:r>
      <w:r w:rsidRPr="00DA3BC7">
        <w:rPr>
          <w:rFonts w:ascii="Times New Roman" w:hAnsi="Times New Roman"/>
          <w:sz w:val="20"/>
          <w:szCs w:val="20"/>
        </w:rPr>
        <w:t>pp.198-199</w:t>
      </w:r>
      <w:r w:rsidRPr="00DA3BC7">
        <w:rPr>
          <w:rFonts w:ascii="Times New Roman" w:hAnsi="Times New Roman"/>
          <w:sz w:val="20"/>
          <w:szCs w:val="20"/>
        </w:rPr>
        <w:t>）</w:t>
      </w:r>
    </w:p>
    <w:p w:rsidR="00AA120F" w:rsidRPr="00DA3BC7" w:rsidRDefault="00AA120F" w:rsidP="004729A2">
      <w:pPr>
        <w:ind w:leftChars="350" w:left="840"/>
        <w:jc w:val="both"/>
        <w:rPr>
          <w:rFonts w:ascii="Times New Roman" w:hAnsi="Times New Roman"/>
        </w:rPr>
      </w:pPr>
      <w:r w:rsidRPr="00DA3BC7">
        <w:rPr>
          <w:rFonts w:ascii="Times New Roman" w:hAnsi="Times New Roman"/>
        </w:rPr>
        <w:t>如此處是空地，才可以造房子；這如法性本來空寂，所以有現象的可能一樣。但僅有空地，還不能就有房子出現，必需以磚、瓦、木、石、匠人、設計、工作，才能有事實的房子。所以，「</w:t>
      </w:r>
      <w:r w:rsidRPr="00DA3BC7">
        <w:rPr>
          <w:rFonts w:ascii="標楷體" w:eastAsia="標楷體" w:hAnsi="標楷體"/>
        </w:rPr>
        <w:t>以有空義故，一切法得成</w:t>
      </w:r>
      <w:r w:rsidRPr="00DA3BC7">
        <w:rPr>
          <w:rFonts w:ascii="Times New Roman" w:hAnsi="Times New Roman"/>
        </w:rPr>
        <w:t>」，這是從緣起本相以說明其可以成為現象；而所以成為如此現象，並不以空為能力、材料，</w:t>
      </w:r>
      <w:r w:rsidRPr="00DA3BC7">
        <w:rPr>
          <w:rFonts w:ascii="Times New Roman" w:hAnsi="Times New Roman" w:hint="eastAsia"/>
        </w:rPr>
        <w:t>不</w:t>
      </w:r>
      <w:r w:rsidRPr="00DA3BC7">
        <w:rPr>
          <w:rFonts w:ascii="Times New Roman" w:hAnsi="Times New Roman"/>
        </w:rPr>
        <w:t>以空為現出一切現象的根源。</w:t>
      </w:r>
    </w:p>
    <w:p w:rsidR="00AA120F" w:rsidRPr="00DA3BC7" w:rsidRDefault="00AA120F" w:rsidP="00AE3920">
      <w:pPr>
        <w:spacing w:beforeLines="30"/>
        <w:ind w:leftChars="350" w:left="840"/>
        <w:jc w:val="both"/>
        <w:rPr>
          <w:rFonts w:ascii="Times New Roman" w:hAnsi="Times New Roman"/>
          <w:b/>
          <w:sz w:val="20"/>
          <w:szCs w:val="20"/>
          <w:bdr w:val="single" w:sz="4" w:space="0" w:color="auto"/>
        </w:rPr>
      </w:pPr>
      <w:r w:rsidRPr="004070BE">
        <w:rPr>
          <w:rFonts w:ascii="Times New Roman" w:hAnsi="Times New Roman"/>
          <w:b/>
          <w:color w:val="FF0000"/>
          <w:sz w:val="20"/>
          <w:szCs w:val="20"/>
          <w:highlight w:val="yellow"/>
          <w:bdr w:val="single" w:sz="4" w:space="0" w:color="auto"/>
        </w:rPr>
        <w:t>（</w:t>
      </w:r>
      <w:r w:rsidR="004070BE" w:rsidRPr="004070BE">
        <w:rPr>
          <w:rFonts w:ascii="Times New Roman" w:hAnsi="Times New Roman" w:hint="eastAsia"/>
          <w:b/>
          <w:color w:val="FF0000"/>
          <w:sz w:val="20"/>
          <w:szCs w:val="20"/>
          <w:highlight w:val="yellow"/>
          <w:bdr w:val="single" w:sz="4" w:space="0" w:color="auto"/>
        </w:rPr>
        <w:t>B</w:t>
      </w:r>
      <w:r w:rsidRPr="004070BE">
        <w:rPr>
          <w:rFonts w:ascii="Times New Roman" w:hAnsi="Times New Roman"/>
          <w:b/>
          <w:color w:val="FF0000"/>
          <w:sz w:val="20"/>
          <w:szCs w:val="20"/>
          <w:highlight w:val="yellow"/>
          <w:bdr w:val="single" w:sz="4" w:space="0" w:color="auto"/>
        </w:rPr>
        <w:t>）</w:t>
      </w:r>
      <w:r w:rsidRPr="00DA3BC7">
        <w:rPr>
          <w:rFonts w:ascii="Times New Roman" w:hAnsi="Times New Roman"/>
          <w:b/>
          <w:sz w:val="20"/>
          <w:szCs w:val="20"/>
          <w:bdr w:val="single" w:sz="4" w:space="0" w:color="auto"/>
        </w:rPr>
        <w:t>明鏡與影像喻</w:t>
      </w:r>
      <w:r w:rsidRPr="00DA3BC7">
        <w:rPr>
          <w:rFonts w:ascii="Times New Roman" w:hAnsi="Times New Roman"/>
          <w:sz w:val="20"/>
          <w:szCs w:val="20"/>
        </w:rPr>
        <w:t>（</w:t>
      </w:r>
      <w:r w:rsidRPr="00DA3BC7">
        <w:rPr>
          <w:rFonts w:ascii="Times New Roman" w:hAnsi="Times New Roman"/>
          <w:sz w:val="20"/>
          <w:szCs w:val="20"/>
        </w:rPr>
        <w:t>p.19</w:t>
      </w:r>
      <w:r w:rsidRPr="00DA3BC7">
        <w:rPr>
          <w:rFonts w:ascii="Times New Roman" w:hAnsi="Times New Roman" w:hint="eastAsia"/>
          <w:sz w:val="20"/>
          <w:szCs w:val="20"/>
        </w:rPr>
        <w:t>9</w:t>
      </w:r>
      <w:r w:rsidRPr="00DA3BC7">
        <w:rPr>
          <w:rFonts w:ascii="Times New Roman" w:hAnsi="Times New Roman"/>
          <w:sz w:val="20"/>
          <w:szCs w:val="20"/>
        </w:rPr>
        <w:t>）</w:t>
      </w:r>
    </w:p>
    <w:p w:rsidR="00AA120F" w:rsidRPr="00DA3BC7" w:rsidRDefault="00AA120F" w:rsidP="004729A2">
      <w:pPr>
        <w:ind w:leftChars="350" w:left="840"/>
        <w:jc w:val="both"/>
        <w:rPr>
          <w:rFonts w:ascii="Times New Roman" w:hAnsi="Times New Roman"/>
        </w:rPr>
      </w:pPr>
      <w:r w:rsidRPr="00DA3BC7">
        <w:rPr>
          <w:rFonts w:ascii="Times New Roman" w:hAnsi="Times New Roman"/>
          <w:b/>
        </w:rPr>
        <w:t>性空與緣起，如鏡的明淨與影像一樣</w:t>
      </w:r>
      <w:r w:rsidRPr="00DA3BC7">
        <w:rPr>
          <w:rFonts w:ascii="Times New Roman" w:hAnsi="Times New Roman"/>
        </w:rPr>
        <w:t>，不明淨，即不能現一切影像；但不能說明淨即能有一切影像，影像還需有人、樹、花、物的因緣。於明淨中能現一切影像，可說影像就是明淨的</w:t>
      </w:r>
      <w:r w:rsidRPr="00DA3BC7">
        <w:rPr>
          <w:rFonts w:ascii="Times New Roman" w:hAnsi="Times New Roman" w:hint="eastAsia"/>
        </w:rPr>
        <w:t>；</w:t>
      </w:r>
      <w:r w:rsidRPr="00DA3BC7">
        <w:rPr>
          <w:rFonts w:ascii="Times New Roman" w:hAnsi="Times New Roman"/>
        </w:rPr>
        <w:t>影像現前時，也未曾不明淨。</w:t>
      </w:r>
    </w:p>
    <w:p w:rsidR="00AA120F" w:rsidRPr="00DA3BC7" w:rsidRDefault="00AA120F" w:rsidP="00AE3920">
      <w:pPr>
        <w:spacing w:beforeLines="20"/>
        <w:ind w:leftChars="350" w:left="840"/>
        <w:jc w:val="both"/>
        <w:rPr>
          <w:rFonts w:ascii="Times New Roman" w:hAnsi="Times New Roman"/>
        </w:rPr>
      </w:pPr>
      <w:r w:rsidRPr="00DA3BC7">
        <w:rPr>
          <w:rFonts w:ascii="Times New Roman" w:hAnsi="Times New Roman"/>
        </w:rPr>
        <w:t>從</w:t>
      </w:r>
      <w:r w:rsidRPr="00DA3BC7">
        <w:rPr>
          <w:rFonts w:ascii="Times New Roman" w:hAnsi="Times New Roman"/>
          <w:b/>
        </w:rPr>
        <w:t>明淨</w:t>
      </w:r>
      <w:r w:rsidRPr="00DA3BC7">
        <w:rPr>
          <w:rFonts w:ascii="Times New Roman" w:hAnsi="Times New Roman"/>
        </w:rPr>
        <w:t>說，這是</w:t>
      </w:r>
      <w:r w:rsidRPr="00DA3BC7">
        <w:rPr>
          <w:rFonts w:ascii="Times New Roman" w:hAnsi="Times New Roman"/>
          <w:b/>
        </w:rPr>
        <w:t>平等一如</w:t>
      </w:r>
      <w:r w:rsidRPr="00DA3BC7">
        <w:rPr>
          <w:rFonts w:ascii="Times New Roman" w:hAnsi="Times New Roman"/>
        </w:rPr>
        <w:t>的，有影像如此，無影像也如此。</w:t>
      </w:r>
    </w:p>
    <w:p w:rsidR="00AA120F" w:rsidRPr="00DA3BC7" w:rsidRDefault="00AA120F" w:rsidP="00AE3920">
      <w:pPr>
        <w:spacing w:beforeLines="20"/>
        <w:ind w:leftChars="350" w:left="840"/>
        <w:jc w:val="both"/>
        <w:rPr>
          <w:rFonts w:ascii="Times New Roman" w:hAnsi="Times New Roman"/>
        </w:rPr>
      </w:pPr>
      <w:r w:rsidRPr="00DA3BC7">
        <w:rPr>
          <w:rFonts w:ascii="Times New Roman" w:hAnsi="Times New Roman"/>
        </w:rPr>
        <w:t>但現起人等影像，必需明淨，而非但由明淨，不需人物等因緣；也決不因鏡的明淨平等，而所現的人物花草影像也無有差別。人物花草的影像如何，主要還是受人物花草的因緣關係而決定的。</w:t>
      </w:r>
    </w:p>
    <w:p w:rsidR="004070BE" w:rsidRPr="00DA3BC7" w:rsidRDefault="004070BE" w:rsidP="00AE3920">
      <w:pPr>
        <w:spacing w:beforeLines="30"/>
        <w:ind w:leftChars="300" w:left="72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C</w:t>
      </w:r>
      <w:r w:rsidRPr="004070BE">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合法</w:t>
      </w:r>
      <w:r w:rsidRPr="00DA3BC7">
        <w:rPr>
          <w:rFonts w:ascii="Times New Roman" w:hAnsi="Times New Roman"/>
          <w:sz w:val="20"/>
          <w:szCs w:val="20"/>
        </w:rPr>
        <w:t>（</w:t>
      </w:r>
      <w:r w:rsidRPr="00DA3BC7">
        <w:rPr>
          <w:rFonts w:ascii="Times New Roman" w:hAnsi="Times New Roman"/>
          <w:sz w:val="20"/>
          <w:szCs w:val="20"/>
        </w:rPr>
        <w:t>p.19</w:t>
      </w:r>
      <w:r w:rsidRPr="00DA3BC7">
        <w:rPr>
          <w:rFonts w:ascii="Times New Roman" w:hAnsi="Times New Roman" w:hint="eastAsia"/>
          <w:sz w:val="20"/>
          <w:szCs w:val="20"/>
        </w:rPr>
        <w:t>9</w:t>
      </w:r>
      <w:r w:rsidRPr="00DA3BC7">
        <w:rPr>
          <w:rFonts w:ascii="Times New Roman" w:hAnsi="Times New Roman"/>
          <w:sz w:val="20"/>
          <w:szCs w:val="20"/>
        </w:rPr>
        <w:t>）</w:t>
      </w:r>
    </w:p>
    <w:p w:rsidR="00AA120F" w:rsidRPr="00DA3BC7" w:rsidRDefault="00AA120F" w:rsidP="004729A2">
      <w:pPr>
        <w:ind w:leftChars="300" w:left="720"/>
        <w:jc w:val="both"/>
        <w:rPr>
          <w:rFonts w:ascii="Times New Roman" w:hAnsi="Times New Roman"/>
        </w:rPr>
      </w:pPr>
      <w:r w:rsidRPr="00DA3BC7">
        <w:rPr>
          <w:rFonts w:ascii="Times New Roman" w:hAnsi="Times New Roman"/>
        </w:rPr>
        <w:t>這樣，緣起與性空，</w:t>
      </w:r>
    </w:p>
    <w:p w:rsidR="00AA120F" w:rsidRPr="00DA3BC7" w:rsidRDefault="00AA120F" w:rsidP="004729A2">
      <w:pPr>
        <w:ind w:leftChars="300" w:left="720"/>
        <w:jc w:val="both"/>
        <w:rPr>
          <w:rFonts w:ascii="Times New Roman" w:hAnsi="Times New Roman"/>
        </w:rPr>
      </w:pPr>
      <w:r w:rsidRPr="00DA3BC7">
        <w:rPr>
          <w:rFonts w:ascii="Times New Roman" w:hAnsi="Times New Roman"/>
        </w:rPr>
        <w:t>從</w:t>
      </w:r>
      <w:r w:rsidRPr="00DA3BC7">
        <w:rPr>
          <w:rFonts w:ascii="Times New Roman" w:hAnsi="Times New Roman"/>
          <w:b/>
        </w:rPr>
        <w:t>性空</w:t>
      </w:r>
      <w:r w:rsidRPr="00DA3BC7">
        <w:rPr>
          <w:rFonts w:ascii="Times New Roman" w:hAnsi="Times New Roman"/>
        </w:rPr>
        <w:t>的方面看，是</w:t>
      </w:r>
      <w:r w:rsidRPr="00DA3BC7">
        <w:rPr>
          <w:rFonts w:ascii="Times New Roman" w:hAnsi="Times New Roman"/>
          <w:b/>
        </w:rPr>
        <w:t>平等平等的</w:t>
      </w:r>
      <w:r w:rsidRPr="00DA3BC7">
        <w:rPr>
          <w:rFonts w:ascii="Times New Roman" w:hAnsi="Times New Roman"/>
        </w:rPr>
        <w:t>，</w:t>
      </w:r>
      <w:r w:rsidRPr="00DA3BC7">
        <w:rPr>
          <w:rFonts w:ascii="Times New Roman" w:hAnsi="Times New Roman"/>
          <w:b/>
        </w:rPr>
        <w:t>種種差別現象不離此平等</w:t>
      </w:r>
      <w:r w:rsidRPr="00DA3BC7">
        <w:rPr>
          <w:rFonts w:ascii="Times New Roman" w:hAnsi="Times New Roman"/>
        </w:rPr>
        <w:t>；</w:t>
      </w:r>
    </w:p>
    <w:p w:rsidR="004729A2" w:rsidRDefault="00AA120F" w:rsidP="004729A2">
      <w:pPr>
        <w:ind w:leftChars="300" w:left="720"/>
        <w:jc w:val="both"/>
        <w:rPr>
          <w:rFonts w:ascii="Times New Roman" w:hAnsi="Times New Roman"/>
        </w:rPr>
      </w:pPr>
      <w:r w:rsidRPr="00DA3BC7">
        <w:rPr>
          <w:rFonts w:ascii="Times New Roman" w:hAnsi="Times New Roman"/>
        </w:rPr>
        <w:t>雖</w:t>
      </w:r>
      <w:r w:rsidRPr="00DA3BC7">
        <w:rPr>
          <w:rFonts w:ascii="Times New Roman" w:hAnsi="Times New Roman"/>
          <w:b/>
        </w:rPr>
        <w:t>不離平等</w:t>
      </w:r>
      <w:r w:rsidRPr="00DA3BC7">
        <w:rPr>
          <w:rFonts w:ascii="Times New Roman" w:hAnsi="Times New Roman"/>
        </w:rPr>
        <w:t>，然</w:t>
      </w:r>
      <w:r w:rsidRPr="00DA3BC7">
        <w:rPr>
          <w:rFonts w:ascii="Times New Roman" w:hAnsi="Times New Roman"/>
          <w:b/>
        </w:rPr>
        <w:t>差別相宛然不失</w:t>
      </w:r>
      <w:r w:rsidRPr="00DA3BC7">
        <w:rPr>
          <w:rFonts w:ascii="Times New Roman" w:hAnsi="Times New Roman"/>
        </w:rPr>
        <w:t>，並不因空性平等而諸法也就無差別。</w:t>
      </w:r>
    </w:p>
    <w:p w:rsidR="00AA120F" w:rsidRPr="00DA3BC7" w:rsidRDefault="00AA120F" w:rsidP="004729A2">
      <w:pPr>
        <w:ind w:leftChars="300" w:left="720"/>
        <w:jc w:val="both"/>
        <w:rPr>
          <w:rFonts w:ascii="Times New Roman" w:hAnsi="Times New Roman"/>
        </w:rPr>
      </w:pPr>
      <w:r w:rsidRPr="00DA3BC7">
        <w:rPr>
          <w:rFonts w:ascii="Times New Roman" w:hAnsi="Times New Roman"/>
        </w:rPr>
        <w:t>同時，也不因諸法差別而空性也差別。</w:t>
      </w:r>
    </w:p>
    <w:p w:rsidR="00AA120F" w:rsidRPr="00DA3BC7" w:rsidRDefault="00AA120F" w:rsidP="00AE3920">
      <w:pPr>
        <w:spacing w:beforeLines="30"/>
        <w:ind w:leftChars="250" w:left="600"/>
        <w:jc w:val="both"/>
        <w:rPr>
          <w:rFonts w:ascii="Times New Roman" w:hAnsi="Times New Roman"/>
        </w:rPr>
      </w:pPr>
      <w:r w:rsidRPr="00DE3965">
        <w:rPr>
          <w:rFonts w:ascii="Times New Roman" w:hAnsi="Times New Roman"/>
          <w:b/>
          <w:color w:val="FF0000"/>
          <w:sz w:val="20"/>
          <w:szCs w:val="20"/>
          <w:highlight w:val="yellow"/>
          <w:bdr w:val="single" w:sz="4" w:space="0" w:color="auto"/>
        </w:rPr>
        <w:t>（</w:t>
      </w:r>
      <w:r w:rsidR="00DE3965" w:rsidRPr="00DE3965">
        <w:rPr>
          <w:rFonts w:ascii="Times New Roman" w:hAnsi="Times New Roman" w:hint="eastAsia"/>
          <w:b/>
          <w:color w:val="FF0000"/>
          <w:sz w:val="20"/>
          <w:szCs w:val="20"/>
          <w:highlight w:val="yellow"/>
          <w:bdr w:val="single" w:sz="4" w:space="0" w:color="auto"/>
        </w:rPr>
        <w:t>3</w:t>
      </w:r>
      <w:r w:rsidRPr="00DE3965">
        <w:rPr>
          <w:rFonts w:ascii="Times New Roman" w:hAnsi="Times New Roman"/>
          <w:b/>
          <w:color w:val="FF0000"/>
          <w:sz w:val="20"/>
          <w:szCs w:val="20"/>
          <w:highlight w:val="yellow"/>
          <w:bdr w:val="single" w:sz="4" w:space="0" w:color="auto"/>
        </w:rPr>
        <w:t>）結</w:t>
      </w:r>
      <w:r w:rsidR="00DE3965" w:rsidRPr="00DE3965">
        <w:rPr>
          <w:rFonts w:ascii="Times New Roman" w:hAnsi="Times New Roman" w:hint="eastAsia"/>
          <w:b/>
          <w:color w:val="FF0000"/>
          <w:sz w:val="20"/>
          <w:szCs w:val="20"/>
          <w:highlight w:val="yellow"/>
          <w:bdr w:val="single" w:sz="4" w:space="0" w:color="auto"/>
        </w:rPr>
        <w:t>正理</w:t>
      </w:r>
      <w:r w:rsidRPr="00DA3BC7">
        <w:rPr>
          <w:rFonts w:ascii="Times New Roman" w:hAnsi="Times New Roman"/>
          <w:sz w:val="20"/>
          <w:szCs w:val="20"/>
        </w:rPr>
        <w:t>（</w:t>
      </w:r>
      <w:r w:rsidRPr="00DA3BC7">
        <w:rPr>
          <w:rFonts w:ascii="Times New Roman" w:hAnsi="Times New Roman" w:hint="eastAsia"/>
          <w:sz w:val="20"/>
          <w:szCs w:val="20"/>
        </w:rPr>
        <w:t>p</w:t>
      </w:r>
      <w:r w:rsidRPr="00DA3BC7">
        <w:rPr>
          <w:rFonts w:ascii="Times New Roman" w:hAnsi="Times New Roman"/>
          <w:sz w:val="20"/>
          <w:szCs w:val="20"/>
        </w:rPr>
        <w:t>p.19</w:t>
      </w:r>
      <w:r w:rsidRPr="00DA3BC7">
        <w:rPr>
          <w:rFonts w:ascii="Times New Roman" w:hAnsi="Times New Roman" w:hint="eastAsia"/>
          <w:sz w:val="20"/>
          <w:szCs w:val="20"/>
        </w:rPr>
        <w:t>9-200</w:t>
      </w:r>
      <w:r w:rsidRPr="00DA3BC7">
        <w:rPr>
          <w:rFonts w:ascii="Times New Roman" w:hAnsi="Times New Roman"/>
          <w:sz w:val="20"/>
          <w:szCs w:val="20"/>
        </w:rPr>
        <w:t>）</w:t>
      </w:r>
    </w:p>
    <w:p w:rsidR="00AA120F" w:rsidRPr="00DA3BC7" w:rsidRDefault="00AA120F" w:rsidP="004729A2">
      <w:pPr>
        <w:ind w:leftChars="250" w:left="600"/>
        <w:jc w:val="both"/>
        <w:rPr>
          <w:rFonts w:ascii="Times New Roman" w:hAnsi="Times New Roman"/>
        </w:rPr>
      </w:pPr>
      <w:r w:rsidRPr="00DA3BC7">
        <w:rPr>
          <w:rFonts w:ascii="Times New Roman" w:hAnsi="Times New Roman"/>
          <w:b/>
        </w:rPr>
        <w:t>中觀者</w:t>
      </w:r>
      <w:r w:rsidRPr="00DA3BC7">
        <w:rPr>
          <w:rFonts w:ascii="Times New Roman" w:hAnsi="Times New Roman"/>
        </w:rPr>
        <w:t>於性空與緣起的抉擇，</w:t>
      </w:r>
    </w:p>
    <w:p w:rsidR="00AA120F" w:rsidRPr="00DA3BC7" w:rsidRDefault="00AA120F" w:rsidP="00AE3920">
      <w:pPr>
        <w:spacing w:beforeLines="20"/>
        <w:ind w:leftChars="250" w:left="600"/>
        <w:jc w:val="both"/>
        <w:rPr>
          <w:rFonts w:ascii="Times New Roman" w:hAnsi="Times New Roman"/>
        </w:rPr>
      </w:pPr>
      <w:r w:rsidRPr="00DA3BC7">
        <w:rPr>
          <w:rFonts w:ascii="Times New Roman" w:hAnsi="Times New Roman"/>
        </w:rPr>
        <w:t>與</w:t>
      </w:r>
      <w:r w:rsidRPr="00DA3BC7">
        <w:rPr>
          <w:rFonts w:ascii="Times New Roman" w:hAnsi="Times New Roman"/>
          <w:b/>
        </w:rPr>
        <w:t>唯識家</w:t>
      </w:r>
      <w:r w:rsidRPr="00DA3BC7">
        <w:rPr>
          <w:rFonts w:ascii="Times New Roman" w:hAnsi="Times New Roman"/>
        </w:rPr>
        <w:t>不同</w:t>
      </w:r>
      <w:r w:rsidRPr="00DA3BC7">
        <w:rPr>
          <w:rFonts w:ascii="Times New Roman" w:hAnsi="Times New Roman" w:hint="eastAsia"/>
        </w:rPr>
        <w:t>，</w:t>
      </w:r>
      <w:r w:rsidRPr="00DA3BC7">
        <w:rPr>
          <w:rFonts w:ascii="Times New Roman" w:hAnsi="Times New Roman"/>
        </w:rPr>
        <w:t>即在「</w:t>
      </w:r>
      <w:r w:rsidRPr="00DA3BC7">
        <w:rPr>
          <w:rFonts w:ascii="標楷體" w:eastAsia="標楷體" w:hAnsi="標楷體"/>
          <w:b/>
        </w:rPr>
        <w:t>以有空義故，一切法得成</w:t>
      </w:r>
      <w:r w:rsidRPr="00DA3BC7">
        <w:rPr>
          <w:rFonts w:ascii="Times New Roman" w:hAnsi="Times New Roman"/>
        </w:rPr>
        <w:t>」</w:t>
      </w:r>
      <w:r w:rsidRPr="00DA3BC7">
        <w:rPr>
          <w:rFonts w:ascii="Times New Roman" w:hAnsi="Times New Roman" w:hint="eastAsia"/>
        </w:rPr>
        <w:t>；</w:t>
      </w:r>
    </w:p>
    <w:p w:rsidR="00AA120F" w:rsidRPr="00DA3BC7" w:rsidRDefault="00AA120F" w:rsidP="00AE3920">
      <w:pPr>
        <w:spacing w:beforeLines="20"/>
        <w:ind w:leftChars="250" w:left="600"/>
        <w:jc w:val="both"/>
        <w:rPr>
          <w:rFonts w:ascii="Times New Roman" w:hAnsi="Times New Roman"/>
        </w:rPr>
      </w:pPr>
      <w:r w:rsidRPr="00DA3BC7">
        <w:rPr>
          <w:rFonts w:ascii="Times New Roman" w:hAnsi="Times New Roman"/>
        </w:rPr>
        <w:t>與</w:t>
      </w:r>
      <w:r w:rsidRPr="00DA3BC7">
        <w:rPr>
          <w:rFonts w:ascii="Times New Roman" w:hAnsi="Times New Roman"/>
          <w:b/>
        </w:rPr>
        <w:t>天臺、賢首</w:t>
      </w:r>
      <w:r w:rsidRPr="00DA3BC7">
        <w:rPr>
          <w:rFonts w:ascii="Times New Roman" w:hAnsi="Times New Roman"/>
        </w:rPr>
        <w:t>不同處</w:t>
      </w:r>
      <w:r w:rsidRPr="00DA3BC7">
        <w:rPr>
          <w:rFonts w:ascii="Times New Roman" w:hAnsi="Times New Roman" w:hint="eastAsia"/>
        </w:rPr>
        <w:t>，</w:t>
      </w:r>
      <w:r w:rsidRPr="00DA3BC7">
        <w:rPr>
          <w:rFonts w:ascii="Times New Roman" w:hAnsi="Times New Roman"/>
          <w:b/>
        </w:rPr>
        <w:t>即一切為緣起法，由因緣生，非由空性生起一切或具足一切</w:t>
      </w:r>
      <w:r w:rsidRPr="00DA3BC7">
        <w:rPr>
          <w:rFonts w:ascii="Times New Roman" w:hAnsi="Times New Roman"/>
        </w:rPr>
        <w:t>。</w:t>
      </w:r>
    </w:p>
    <w:p w:rsidR="00AA120F" w:rsidRPr="00DA3BC7" w:rsidRDefault="00AA120F" w:rsidP="00AE3920">
      <w:pPr>
        <w:spacing w:beforeLines="20"/>
        <w:ind w:leftChars="250" w:left="600"/>
        <w:jc w:val="both"/>
        <w:rPr>
          <w:rFonts w:ascii="Times New Roman" w:hAnsi="Times New Roman"/>
        </w:rPr>
      </w:pPr>
      <w:r w:rsidRPr="00DA3BC7">
        <w:rPr>
          <w:rFonts w:ascii="Times New Roman" w:hAnsi="Times New Roman"/>
        </w:rPr>
        <w:t>然這裏要鄭重指出的，</w:t>
      </w:r>
      <w:r w:rsidRPr="00DA3BC7">
        <w:rPr>
          <w:rFonts w:ascii="Times New Roman" w:hAnsi="Times New Roman"/>
          <w:b/>
        </w:rPr>
        <w:t>性空即緣起本相，不應作形而上的實體看，也不應作原理而為諸法的依託看</w:t>
      </w:r>
      <w:r w:rsidRPr="00DA3BC7">
        <w:rPr>
          <w:rFonts w:ascii="Times New Roman" w:hAnsi="Times New Roman"/>
        </w:rPr>
        <w:t>；這是形上形下或理事差別者的擬想，而非</w:t>
      </w:r>
      <w:r w:rsidRPr="00DA3BC7">
        <w:rPr>
          <w:rFonts w:ascii="Times New Roman" w:hAnsi="Times New Roman"/>
        </w:rPr>
        <w:lastRenderedPageBreak/>
        <w:t>緣起性空的實相。</w:t>
      </w:r>
    </w:p>
    <w:p w:rsidR="00AA120F" w:rsidRPr="00DA3BC7" w:rsidRDefault="00DE3965" w:rsidP="00AE3920">
      <w:pPr>
        <w:spacing w:beforeLines="30"/>
        <w:ind w:leftChars="150" w:left="360"/>
        <w:jc w:val="both"/>
        <w:rPr>
          <w:rFonts w:ascii="Times New Roman" w:hAnsi="Times New Roman"/>
          <w:b/>
          <w:sz w:val="20"/>
          <w:szCs w:val="20"/>
        </w:rPr>
      </w:pPr>
      <w:r w:rsidRPr="00DE3965">
        <w:rPr>
          <w:rFonts w:ascii="Times New Roman" w:hAnsi="Times New Roman"/>
          <w:b/>
          <w:color w:val="FF0000"/>
          <w:sz w:val="20"/>
          <w:szCs w:val="20"/>
          <w:highlight w:val="yellow"/>
          <w:bdr w:val="single" w:sz="4" w:space="0" w:color="auto"/>
        </w:rPr>
        <w:t>（</w:t>
      </w:r>
      <w:r w:rsidRPr="00DE3965">
        <w:rPr>
          <w:rFonts w:ascii="Times New Roman" w:hAnsi="Times New Roman" w:hint="eastAsia"/>
          <w:b/>
          <w:color w:val="FF0000"/>
          <w:sz w:val="20"/>
          <w:szCs w:val="20"/>
          <w:highlight w:val="yellow"/>
          <w:bdr w:val="single" w:sz="4" w:space="0" w:color="auto"/>
        </w:rPr>
        <w:t>二</w:t>
      </w:r>
      <w:r w:rsidRPr="00DE3965">
        <w:rPr>
          <w:rFonts w:ascii="Times New Roman" w:hAnsi="Times New Roman"/>
          <w:b/>
          <w:color w:val="FF0000"/>
          <w:sz w:val="20"/>
          <w:szCs w:val="20"/>
          <w:highlight w:val="yellow"/>
          <w:bdr w:val="single" w:sz="4" w:space="0" w:color="auto"/>
        </w:rPr>
        <w:t>）</w:t>
      </w:r>
      <w:r w:rsidRPr="00DE3965">
        <w:rPr>
          <w:rFonts w:ascii="Times New Roman" w:hAnsi="Times New Roman" w:hint="eastAsia"/>
          <w:b/>
          <w:color w:val="FF0000"/>
          <w:sz w:val="20"/>
          <w:szCs w:val="20"/>
          <w:highlight w:val="yellow"/>
          <w:bdr w:val="single" w:sz="4" w:space="0" w:color="auto"/>
        </w:rPr>
        <w:t>開演佛法的中道</w:t>
      </w:r>
      <w:r w:rsidR="00AA120F" w:rsidRPr="00DA3BC7">
        <w:rPr>
          <w:rFonts w:ascii="Times New Roman" w:hAnsi="Times New Roman"/>
          <w:sz w:val="20"/>
          <w:szCs w:val="20"/>
        </w:rPr>
        <w:t>（</w:t>
      </w:r>
      <w:r w:rsidR="00AA120F" w:rsidRPr="00DA3BC7">
        <w:rPr>
          <w:rFonts w:ascii="Times New Roman" w:hAnsi="Times New Roman"/>
          <w:sz w:val="20"/>
          <w:szCs w:val="20"/>
        </w:rPr>
        <w:t>pp.200-20</w:t>
      </w:r>
      <w:r w:rsidR="00AA120F" w:rsidRPr="00DA3BC7">
        <w:rPr>
          <w:rFonts w:ascii="Times New Roman" w:hAnsi="Times New Roman" w:hint="eastAsia"/>
          <w:sz w:val="20"/>
          <w:szCs w:val="20"/>
        </w:rPr>
        <w:t>3</w:t>
      </w:r>
      <w:r w:rsidR="00AA120F" w:rsidRPr="00DA3BC7">
        <w:rPr>
          <w:rFonts w:ascii="Times New Roman" w:hAnsi="Times New Roman"/>
          <w:sz w:val="20"/>
          <w:szCs w:val="20"/>
        </w:rPr>
        <w:t>）</w:t>
      </w:r>
    </w:p>
    <w:p w:rsidR="00AA120F" w:rsidRDefault="00DE3965" w:rsidP="004729A2">
      <w:pPr>
        <w:ind w:leftChars="200" w:left="480"/>
        <w:jc w:val="both"/>
        <w:rPr>
          <w:rFonts w:ascii="Times New Roman" w:hAnsi="Times New Roman"/>
          <w:sz w:val="20"/>
          <w:szCs w:val="20"/>
        </w:rPr>
      </w:pPr>
      <w:r w:rsidRPr="00DE3965">
        <w:rPr>
          <w:rFonts w:ascii="Times New Roman" w:hAnsi="Times New Roman" w:hint="eastAsia"/>
          <w:b/>
          <w:color w:val="FF0000"/>
          <w:sz w:val="20"/>
          <w:szCs w:val="20"/>
          <w:highlight w:val="yellow"/>
          <w:bdr w:val="single" w:sz="4" w:space="0" w:color="auto"/>
        </w:rPr>
        <w:t>1</w:t>
      </w:r>
      <w:r w:rsidRPr="00DE3965">
        <w:rPr>
          <w:rFonts w:ascii="Times New Roman" w:hAnsi="Times New Roman" w:hint="eastAsia"/>
          <w:b/>
          <w:color w:val="FF0000"/>
          <w:sz w:val="20"/>
          <w:szCs w:val="20"/>
          <w:highlight w:val="yellow"/>
          <w:bdr w:val="single" w:sz="4" w:space="0" w:color="auto"/>
        </w:rPr>
        <w:t>、與本體論、唯心論的差異</w:t>
      </w:r>
      <w:r w:rsidR="00AA120F" w:rsidRPr="00DA3BC7">
        <w:rPr>
          <w:rFonts w:ascii="Times New Roman" w:hAnsi="Times New Roman"/>
          <w:sz w:val="20"/>
          <w:szCs w:val="20"/>
        </w:rPr>
        <w:t>（</w:t>
      </w:r>
      <w:r w:rsidR="00AA120F" w:rsidRPr="00DA3BC7">
        <w:rPr>
          <w:rFonts w:ascii="Times New Roman" w:hAnsi="Times New Roman"/>
          <w:sz w:val="20"/>
          <w:szCs w:val="20"/>
        </w:rPr>
        <w:t>p.200</w:t>
      </w:r>
      <w:r w:rsidR="00AA120F" w:rsidRPr="00DA3BC7">
        <w:rPr>
          <w:rFonts w:ascii="Times New Roman" w:hAnsi="Times New Roman"/>
          <w:sz w:val="20"/>
          <w:szCs w:val="20"/>
        </w:rPr>
        <w:t>）</w:t>
      </w:r>
    </w:p>
    <w:p w:rsidR="00DE3965" w:rsidRPr="00DA3BC7" w:rsidRDefault="00DE3965" w:rsidP="004729A2">
      <w:pPr>
        <w:ind w:leftChars="250" w:left="600"/>
        <w:jc w:val="both"/>
        <w:rPr>
          <w:rFonts w:ascii="Times New Roman" w:hAnsi="Times New Roman"/>
          <w:b/>
          <w:sz w:val="20"/>
          <w:szCs w:val="20"/>
        </w:rPr>
      </w:pPr>
      <w:r w:rsidRPr="00DE3965">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1</w:t>
      </w:r>
      <w:r w:rsidRPr="00DE3965">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敘佛教眾說</w:t>
      </w:r>
    </w:p>
    <w:p w:rsidR="00AA120F" w:rsidRPr="00DA3BC7" w:rsidRDefault="00AA120F" w:rsidP="004729A2">
      <w:pPr>
        <w:ind w:leftChars="250" w:left="600"/>
        <w:jc w:val="both"/>
        <w:rPr>
          <w:rFonts w:ascii="Times New Roman" w:hAnsi="Times New Roman"/>
        </w:rPr>
      </w:pPr>
      <w:r w:rsidRPr="00DA3BC7">
        <w:rPr>
          <w:rFonts w:ascii="Times New Roman" w:hAnsi="Times New Roman"/>
        </w:rPr>
        <w:t>佛法中所說的緣起、本性，與一般宗教及哲學是不同的。佛法的立場是</w:t>
      </w:r>
      <w:r w:rsidRPr="00DA3BC7">
        <w:rPr>
          <w:rFonts w:ascii="Times New Roman" w:hAnsi="Times New Roman"/>
          <w:b/>
        </w:rPr>
        <w:t>緣起論</w:t>
      </w:r>
      <w:r w:rsidRPr="00DA3BC7">
        <w:rPr>
          <w:rFonts w:ascii="Times New Roman" w:hAnsi="Times New Roman"/>
        </w:rPr>
        <w:t>，是</w:t>
      </w:r>
      <w:r w:rsidRPr="00DA3BC7">
        <w:rPr>
          <w:rFonts w:ascii="Times New Roman" w:hAnsi="Times New Roman"/>
          <w:b/>
        </w:rPr>
        <w:t>以因果緣起安立世出世間一切法的</w:t>
      </w:r>
      <w:r w:rsidRPr="00DA3BC7">
        <w:rPr>
          <w:rFonts w:ascii="Times New Roman" w:hAnsi="Times New Roman"/>
        </w:rPr>
        <w:t>。依此來說：</w:t>
      </w:r>
    </w:p>
    <w:p w:rsidR="00AA120F" w:rsidRPr="00DA3BC7" w:rsidRDefault="00AA120F" w:rsidP="00AE3920">
      <w:pPr>
        <w:spacing w:beforeLines="20"/>
        <w:ind w:leftChars="250" w:left="600"/>
        <w:jc w:val="both"/>
        <w:rPr>
          <w:rFonts w:ascii="Times New Roman" w:hAnsi="Times New Roman"/>
        </w:rPr>
      </w:pPr>
      <w:r w:rsidRPr="00DA3BC7">
        <w:rPr>
          <w:rFonts w:ascii="Times New Roman" w:hAnsi="Times New Roman"/>
          <w:b/>
        </w:rPr>
        <w:t>聲聞乘</w:t>
      </w:r>
      <w:r w:rsidRPr="00DA3BC7">
        <w:rPr>
          <w:rFonts w:ascii="Times New Roman" w:hAnsi="Times New Roman"/>
        </w:rPr>
        <w:t>說色心等因果緣起是對的，他並</w:t>
      </w:r>
      <w:r w:rsidRPr="00DA3BC7">
        <w:rPr>
          <w:rFonts w:ascii="Times New Roman" w:hAnsi="Times New Roman"/>
          <w:b/>
        </w:rPr>
        <w:t>不說因無為本體而有一切現象</w:t>
      </w:r>
      <w:r w:rsidRPr="00DA3BC7">
        <w:rPr>
          <w:rFonts w:ascii="Times New Roman" w:hAnsi="Times New Roman"/>
        </w:rPr>
        <w:t>。</w:t>
      </w:r>
      <w:r w:rsidRPr="00DA3BC7">
        <w:rPr>
          <w:rFonts w:ascii="Times New Roman" w:hAnsi="Times New Roman"/>
          <w:b/>
        </w:rPr>
        <w:t>中觀</w:t>
      </w:r>
      <w:r w:rsidRPr="00DA3BC7">
        <w:rPr>
          <w:rFonts w:ascii="Times New Roman" w:hAnsi="Times New Roman"/>
        </w:rPr>
        <w:t>與</w:t>
      </w:r>
      <w:r w:rsidRPr="00DA3BC7">
        <w:rPr>
          <w:rFonts w:ascii="Times New Roman" w:hAnsi="Times New Roman"/>
          <w:b/>
        </w:rPr>
        <w:t>唯識</w:t>
      </w:r>
      <w:r w:rsidRPr="00DA3BC7">
        <w:rPr>
          <w:rFonts w:ascii="Times New Roman" w:hAnsi="Times New Roman"/>
        </w:rPr>
        <w:t>，還能保持此種理論。</w:t>
      </w:r>
    </w:p>
    <w:p w:rsidR="00AA120F" w:rsidRPr="00DA3BC7" w:rsidRDefault="00AA120F" w:rsidP="00AE3920">
      <w:pPr>
        <w:spacing w:beforeLines="20"/>
        <w:ind w:leftChars="250" w:left="600"/>
        <w:jc w:val="both"/>
        <w:rPr>
          <w:rFonts w:ascii="Times New Roman" w:hAnsi="Times New Roman"/>
        </w:rPr>
      </w:pPr>
      <w:r w:rsidRPr="00DA3BC7">
        <w:rPr>
          <w:rFonts w:ascii="Times New Roman" w:hAnsi="Times New Roman"/>
          <w:b/>
        </w:rPr>
        <w:t>唯識者</w:t>
      </w:r>
      <w:r w:rsidRPr="00DA3BC7">
        <w:rPr>
          <w:rFonts w:ascii="Times New Roman" w:hAnsi="Times New Roman"/>
        </w:rPr>
        <w:t>說依阿賴耶種現相生</w:t>
      </w:r>
      <w:r w:rsidRPr="00DA3BC7">
        <w:rPr>
          <w:rStyle w:val="a6"/>
          <w:rFonts w:ascii="Times New Roman" w:hAnsi="Times New Roman"/>
        </w:rPr>
        <w:footnoteReference w:id="882"/>
      </w:r>
      <w:r w:rsidRPr="00DA3BC7">
        <w:rPr>
          <w:rFonts w:ascii="Times New Roman" w:hAnsi="Times New Roman"/>
        </w:rPr>
        <w:t>，是從現象方面說的。</w:t>
      </w:r>
    </w:p>
    <w:p w:rsidR="00AA120F" w:rsidRPr="00DA3BC7" w:rsidRDefault="00AA120F" w:rsidP="00AE3920">
      <w:pPr>
        <w:spacing w:beforeLines="20"/>
        <w:ind w:leftChars="250" w:left="600"/>
        <w:jc w:val="both"/>
        <w:rPr>
          <w:rFonts w:ascii="Times New Roman" w:hAnsi="Times New Roman"/>
        </w:rPr>
      </w:pPr>
      <w:r w:rsidRPr="00DA3BC7">
        <w:rPr>
          <w:rFonts w:ascii="Times New Roman" w:hAnsi="Times New Roman"/>
          <w:b/>
        </w:rPr>
        <w:t>中觀者</w:t>
      </w:r>
      <w:r w:rsidRPr="00DA3BC7">
        <w:rPr>
          <w:rFonts w:ascii="Times New Roman" w:hAnsi="Times New Roman"/>
        </w:rPr>
        <w:t>說「</w:t>
      </w:r>
      <w:r w:rsidRPr="00DA3BC7">
        <w:rPr>
          <w:rFonts w:ascii="標楷體" w:eastAsia="標楷體" w:hAnsi="標楷體"/>
        </w:rPr>
        <w:t>以有空義故，一切法得成</w:t>
      </w:r>
      <w:r w:rsidRPr="00DA3BC7">
        <w:rPr>
          <w:rFonts w:ascii="Times New Roman" w:hAnsi="Times New Roman"/>
        </w:rPr>
        <w:t>」，這是說明緣起的所以可能生起</w:t>
      </w:r>
      <w:r w:rsidRPr="00DA3BC7">
        <w:rPr>
          <w:rFonts w:ascii="Times New Roman" w:hAnsi="Times New Roman" w:hint="eastAsia"/>
        </w:rPr>
        <w:t>；</w:t>
      </w:r>
      <w:r w:rsidRPr="00DA3BC7">
        <w:rPr>
          <w:rFonts w:ascii="Times New Roman" w:hAnsi="Times New Roman"/>
        </w:rPr>
        <w:t>要說明現象差別，還在色心諸法的因緣上說。</w:t>
      </w:r>
    </w:p>
    <w:p w:rsidR="00AA120F" w:rsidRPr="00DA3BC7" w:rsidRDefault="00AA120F" w:rsidP="00AE3920">
      <w:pPr>
        <w:spacing w:beforeLines="30"/>
        <w:ind w:leftChars="250" w:left="600"/>
        <w:jc w:val="both"/>
        <w:rPr>
          <w:rFonts w:ascii="Times New Roman" w:hAnsi="Times New Roman"/>
          <w:b/>
          <w:sz w:val="20"/>
          <w:szCs w:val="20"/>
        </w:rPr>
      </w:pPr>
      <w:r w:rsidRPr="00DE3965">
        <w:rPr>
          <w:rFonts w:ascii="Times New Roman" w:hAnsi="Times New Roman"/>
          <w:b/>
          <w:color w:val="FF0000"/>
          <w:sz w:val="20"/>
          <w:szCs w:val="20"/>
          <w:highlight w:val="yellow"/>
          <w:bdr w:val="single" w:sz="4" w:space="0" w:color="auto"/>
        </w:rPr>
        <w:t>（</w:t>
      </w:r>
      <w:r w:rsidR="00DE3965" w:rsidRPr="00DE3965">
        <w:rPr>
          <w:rFonts w:ascii="Times New Roman" w:hAnsi="Times New Roman" w:hint="eastAsia"/>
          <w:b/>
          <w:color w:val="FF0000"/>
          <w:sz w:val="20"/>
          <w:szCs w:val="20"/>
          <w:highlight w:val="yellow"/>
          <w:bdr w:val="single" w:sz="4" w:space="0" w:color="auto"/>
        </w:rPr>
        <w:t>2</w:t>
      </w:r>
      <w:r w:rsidRPr="00DE3965">
        <w:rPr>
          <w:rFonts w:ascii="Times New Roman" w:hAnsi="Times New Roman"/>
          <w:b/>
          <w:color w:val="FF0000"/>
          <w:sz w:val="20"/>
          <w:szCs w:val="20"/>
          <w:highlight w:val="yellow"/>
          <w:bdr w:val="single" w:sz="4" w:space="0" w:color="auto"/>
        </w:rPr>
        <w:t>）</w:t>
      </w:r>
      <w:r w:rsidR="00DE3965" w:rsidRPr="00DE3965">
        <w:rPr>
          <w:rFonts w:ascii="Times New Roman" w:hAnsi="Times New Roman" w:hint="eastAsia"/>
          <w:b/>
          <w:color w:val="FF0000"/>
          <w:sz w:val="20"/>
          <w:szCs w:val="20"/>
          <w:highlight w:val="yellow"/>
          <w:bdr w:val="single" w:sz="4" w:space="0" w:color="auto"/>
        </w:rPr>
        <w:t>簡異學諸見</w:t>
      </w:r>
      <w:r w:rsidRPr="00DA3BC7">
        <w:rPr>
          <w:rFonts w:ascii="Times New Roman" w:hAnsi="Times New Roman"/>
          <w:sz w:val="20"/>
          <w:szCs w:val="20"/>
        </w:rPr>
        <w:t>（</w:t>
      </w:r>
      <w:r w:rsidRPr="00DA3BC7">
        <w:rPr>
          <w:rFonts w:ascii="Times New Roman" w:hAnsi="Times New Roman"/>
          <w:sz w:val="20"/>
          <w:szCs w:val="20"/>
        </w:rPr>
        <w:t>pp.200-201</w:t>
      </w:r>
      <w:r w:rsidRPr="00DA3BC7">
        <w:rPr>
          <w:rFonts w:ascii="Times New Roman" w:hAnsi="Times New Roman"/>
          <w:sz w:val="20"/>
          <w:szCs w:val="20"/>
        </w:rPr>
        <w:t>）</w:t>
      </w:r>
    </w:p>
    <w:p w:rsidR="00DE3965" w:rsidRDefault="00AA120F" w:rsidP="004729A2">
      <w:pPr>
        <w:widowControl/>
        <w:ind w:leftChars="250" w:left="600"/>
        <w:jc w:val="both"/>
        <w:rPr>
          <w:rFonts w:ascii="Times New Roman" w:hAnsi="Times New Roman"/>
        </w:rPr>
      </w:pPr>
      <w:r w:rsidRPr="00DA3BC7">
        <w:rPr>
          <w:rFonts w:ascii="Times New Roman" w:hAnsi="Times New Roman"/>
        </w:rPr>
        <w:t>佛法的不同於神學及玄學者，出發點是</w:t>
      </w:r>
      <w:r w:rsidRPr="00DA3BC7">
        <w:rPr>
          <w:rFonts w:ascii="Times New Roman" w:hAnsi="Times New Roman"/>
          <w:b/>
        </w:rPr>
        <w:t>現象</w:t>
      </w:r>
      <w:r w:rsidRPr="00DA3BC7">
        <w:rPr>
          <w:rFonts w:ascii="Times New Roman" w:hAnsi="Times New Roman"/>
        </w:rPr>
        <w:t>的、</w:t>
      </w:r>
      <w:r w:rsidRPr="00DA3BC7">
        <w:rPr>
          <w:rFonts w:ascii="Times New Roman" w:hAnsi="Times New Roman"/>
          <w:b/>
        </w:rPr>
        <w:t>經驗</w:t>
      </w:r>
      <w:r w:rsidRPr="00DA3BC7">
        <w:rPr>
          <w:rFonts w:ascii="Times New Roman" w:hAnsi="Times New Roman"/>
        </w:rPr>
        <w:t>的。</w:t>
      </w:r>
    </w:p>
    <w:p w:rsidR="00AA120F" w:rsidRPr="00DA3BC7" w:rsidRDefault="00AA120F" w:rsidP="004729A2">
      <w:pPr>
        <w:widowControl/>
        <w:ind w:leftChars="250" w:left="600"/>
        <w:jc w:val="both"/>
        <w:rPr>
          <w:rFonts w:ascii="Times New Roman" w:hAnsi="Times New Roman"/>
        </w:rPr>
      </w:pPr>
      <w:r w:rsidRPr="00DE3965">
        <w:rPr>
          <w:rFonts w:ascii="Times New Roman" w:hAnsi="Times New Roman"/>
          <w:highlight w:val="yellow"/>
        </w:rPr>
        <w:t>後</w:t>
      </w:r>
      <w:r w:rsidRPr="00DA3BC7">
        <w:rPr>
          <w:rFonts w:ascii="Times New Roman" w:hAnsi="Times New Roman"/>
        </w:rPr>
        <w:t>來，因為有偏重平等無差別的學者，以本性為諸法的真實本體，於是說諸法是本性顯現、生起。至此，與一般神學者、玄學者所談的本體起現象日漸混雜，與佛法的緣起中道日漸相反。</w:t>
      </w:r>
    </w:p>
    <w:p w:rsidR="00AA120F" w:rsidRPr="00DA3BC7" w:rsidRDefault="00AA120F" w:rsidP="00AE3920">
      <w:pPr>
        <w:widowControl/>
        <w:spacing w:beforeLines="20"/>
        <w:ind w:leftChars="250" w:left="600"/>
        <w:jc w:val="both"/>
        <w:rPr>
          <w:rFonts w:ascii="Times New Roman" w:hAnsi="Times New Roman"/>
        </w:rPr>
      </w:pPr>
      <w:r w:rsidRPr="00DA3BC7">
        <w:rPr>
          <w:rFonts w:ascii="Times New Roman" w:hAnsi="Times New Roman"/>
        </w:rPr>
        <w:t>大乘說</w:t>
      </w:r>
      <w:r w:rsidRPr="00200AF9">
        <w:rPr>
          <w:rFonts w:ascii="Times New Roman" w:hAnsi="Times New Roman"/>
          <w:b/>
          <w:u w:val="wave" w:color="C00000"/>
        </w:rPr>
        <w:t>緣起</w:t>
      </w:r>
      <w:r w:rsidRPr="00200AF9">
        <w:rPr>
          <w:rFonts w:ascii="Times New Roman" w:hAnsi="Times New Roman"/>
          <w:u w:val="wave" w:color="C00000"/>
        </w:rPr>
        <w:t>與</w:t>
      </w:r>
      <w:r w:rsidRPr="00200AF9">
        <w:rPr>
          <w:rFonts w:ascii="Times New Roman" w:hAnsi="Times New Roman"/>
          <w:b/>
          <w:u w:val="wave" w:color="C00000"/>
        </w:rPr>
        <w:t>性空</w:t>
      </w:r>
      <w:r w:rsidRPr="00200AF9">
        <w:rPr>
          <w:rFonts w:ascii="Times New Roman" w:hAnsi="Times New Roman"/>
          <w:u w:val="wave" w:color="C00000"/>
        </w:rPr>
        <w:t>不即不離</w:t>
      </w:r>
      <w:r w:rsidRPr="00DA3BC7">
        <w:rPr>
          <w:rFonts w:ascii="Times New Roman" w:hAnsi="Times New Roman"/>
        </w:rPr>
        <w:t>的，</w:t>
      </w:r>
      <w:r w:rsidRPr="00200AF9">
        <w:rPr>
          <w:rFonts w:ascii="Times New Roman" w:hAnsi="Times New Roman"/>
          <w:b/>
        </w:rPr>
        <w:t>中觀</w:t>
      </w:r>
      <w:r w:rsidRPr="00DA3BC7">
        <w:rPr>
          <w:rFonts w:ascii="Times New Roman" w:hAnsi="Times New Roman"/>
        </w:rPr>
        <w:t>與</w:t>
      </w:r>
      <w:r w:rsidRPr="00200AF9">
        <w:rPr>
          <w:rFonts w:ascii="Times New Roman" w:hAnsi="Times New Roman"/>
          <w:b/>
        </w:rPr>
        <w:t>唯識</w:t>
      </w:r>
      <w:r w:rsidRPr="00DA3BC7">
        <w:rPr>
          <w:rFonts w:ascii="Times New Roman" w:hAnsi="Times New Roman"/>
        </w:rPr>
        <w:t>，</w:t>
      </w:r>
      <w:r w:rsidRPr="00200AF9">
        <w:rPr>
          <w:rFonts w:ascii="Times New Roman" w:hAnsi="Times New Roman"/>
          <w:b/>
        </w:rPr>
        <w:t>都不許</w:t>
      </w:r>
      <w:r w:rsidRPr="00200AF9">
        <w:rPr>
          <w:rFonts w:ascii="Times New Roman" w:hAnsi="Times New Roman"/>
          <w:b/>
          <w:u w:val="wave" w:color="C00000"/>
        </w:rPr>
        <w:t>本性</w:t>
      </w:r>
      <w:r w:rsidRPr="00200AF9">
        <w:rPr>
          <w:rFonts w:ascii="Times New Roman" w:hAnsi="Times New Roman"/>
          <w:b/>
        </w:rPr>
        <w:t>可以生</w:t>
      </w:r>
      <w:r w:rsidRPr="00200AF9">
        <w:rPr>
          <w:rFonts w:ascii="Times New Roman" w:hAnsi="Times New Roman"/>
          <w:b/>
          <w:u w:val="wave" w:color="C00000"/>
        </w:rPr>
        <w:t>緣起</w:t>
      </w:r>
      <w:r w:rsidRPr="00200AF9">
        <w:rPr>
          <w:rFonts w:ascii="Times New Roman" w:hAnsi="Times New Roman"/>
          <w:b/>
        </w:rPr>
        <w:t>或轉變為</w:t>
      </w:r>
      <w:r w:rsidRPr="00200AF9">
        <w:rPr>
          <w:rFonts w:ascii="Times New Roman" w:hAnsi="Times New Roman"/>
          <w:b/>
          <w:u w:val="wave" w:color="C00000"/>
        </w:rPr>
        <w:t>緣起</w:t>
      </w:r>
      <w:r w:rsidRPr="00200AF9">
        <w:rPr>
          <w:rFonts w:ascii="Times New Roman" w:hAnsi="Times New Roman"/>
          <w:b/>
        </w:rPr>
        <w:t>的</w:t>
      </w:r>
      <w:r w:rsidRPr="00DA3BC7">
        <w:rPr>
          <w:rFonts w:ascii="Times New Roman" w:hAnsi="Times New Roman"/>
        </w:rPr>
        <w:t>。</w:t>
      </w:r>
      <w:r w:rsidRPr="00200AF9">
        <w:rPr>
          <w:rFonts w:ascii="Times New Roman" w:hAnsi="Times New Roman"/>
          <w:b/>
          <w:u w:val="wave" w:color="C00000"/>
        </w:rPr>
        <w:t>本性</w:t>
      </w:r>
      <w:r w:rsidRPr="00DA3BC7">
        <w:rPr>
          <w:rFonts w:ascii="Times New Roman" w:hAnsi="Times New Roman"/>
          <w:b/>
        </w:rPr>
        <w:t>，不是有甚麼實在的本體或能力</w:t>
      </w:r>
      <w:r w:rsidRPr="00DA3BC7">
        <w:rPr>
          <w:rFonts w:ascii="Times New Roman" w:hAnsi="Times New Roman"/>
        </w:rPr>
        <w:t>。</w:t>
      </w:r>
    </w:p>
    <w:p w:rsidR="00AA120F" w:rsidRPr="00DA3BC7" w:rsidRDefault="00AA120F" w:rsidP="00AE3920">
      <w:pPr>
        <w:widowControl/>
        <w:spacing w:beforeLines="20"/>
        <w:ind w:leftChars="250" w:left="600"/>
        <w:jc w:val="both"/>
        <w:rPr>
          <w:rFonts w:ascii="Times New Roman" w:hAnsi="Times New Roman"/>
        </w:rPr>
      </w:pPr>
      <w:r w:rsidRPr="00DA3BC7">
        <w:rPr>
          <w:rFonts w:ascii="Times New Roman" w:hAnsi="Times New Roman"/>
        </w:rPr>
        <w:t>佛法說色等一切法本性寂滅，使人即俗以顯真；真如寂滅不是什麼神秘不思議的實體，所以</w:t>
      </w:r>
      <w:r w:rsidRPr="00DA3BC7">
        <w:rPr>
          <w:rFonts w:ascii="Times New Roman" w:hAnsi="Times New Roman"/>
          <w:b/>
        </w:rPr>
        <w:t>從來不說從體起用</w:t>
      </w:r>
      <w:r w:rsidRPr="00DA3BC7">
        <w:rPr>
          <w:rFonts w:ascii="Times New Roman" w:hAnsi="Times New Roman"/>
        </w:rPr>
        <w:t>。如不能把握這點，則佛法必將與中國的儒道、印度的婆羅門、西洋哲學的本體論、唯心論者合流。</w:t>
      </w:r>
    </w:p>
    <w:p w:rsidR="00AA120F" w:rsidRPr="00DA3BC7" w:rsidRDefault="00AA120F" w:rsidP="00AE3920">
      <w:pPr>
        <w:spacing w:beforeLines="30"/>
        <w:ind w:leftChars="250" w:left="600"/>
        <w:jc w:val="both"/>
        <w:rPr>
          <w:rFonts w:ascii="Times New Roman" w:hAnsi="Times New Roman"/>
          <w:sz w:val="20"/>
          <w:szCs w:val="20"/>
        </w:rPr>
      </w:pPr>
      <w:r w:rsidRPr="00DE3965">
        <w:rPr>
          <w:rFonts w:ascii="Times New Roman" w:hAnsi="Times New Roman" w:hint="eastAsia"/>
          <w:b/>
          <w:color w:val="FF0000"/>
          <w:sz w:val="20"/>
          <w:szCs w:val="20"/>
          <w:highlight w:val="yellow"/>
          <w:bdr w:val="single" w:sz="4" w:space="0" w:color="auto"/>
        </w:rPr>
        <w:t>（</w:t>
      </w:r>
      <w:r w:rsidR="00DE3965" w:rsidRPr="00DE3965">
        <w:rPr>
          <w:rFonts w:ascii="Times New Roman" w:hAnsi="Times New Roman" w:hint="eastAsia"/>
          <w:b/>
          <w:color w:val="FF0000"/>
          <w:sz w:val="20"/>
          <w:szCs w:val="20"/>
          <w:highlight w:val="yellow"/>
          <w:bdr w:val="single" w:sz="4" w:space="0" w:color="auto"/>
        </w:rPr>
        <w:t>3</w:t>
      </w:r>
      <w:r w:rsidRPr="00DE3965">
        <w:rPr>
          <w:rFonts w:ascii="Times New Roman" w:hAnsi="Times New Roman" w:hint="eastAsia"/>
          <w:b/>
          <w:color w:val="FF0000"/>
          <w:sz w:val="20"/>
          <w:szCs w:val="20"/>
          <w:highlight w:val="yellow"/>
          <w:bdr w:val="single" w:sz="4" w:space="0" w:color="auto"/>
        </w:rPr>
        <w:t>）</w:t>
      </w:r>
      <w:r w:rsidRPr="00DE3965">
        <w:rPr>
          <w:rFonts w:ascii="Times New Roman" w:hAnsi="Times New Roman"/>
          <w:b/>
          <w:color w:val="FF0000"/>
          <w:sz w:val="20"/>
          <w:szCs w:val="20"/>
          <w:highlight w:val="yellow"/>
          <w:bdr w:val="single" w:sz="4" w:space="0" w:color="auto"/>
        </w:rPr>
        <w:t>評</w:t>
      </w:r>
      <w:r w:rsidR="00DE3965" w:rsidRPr="00DE3965">
        <w:rPr>
          <w:rFonts w:ascii="Times New Roman" w:hAnsi="Times New Roman" w:hint="eastAsia"/>
          <w:b/>
          <w:color w:val="FF0000"/>
          <w:sz w:val="20"/>
          <w:szCs w:val="20"/>
          <w:highlight w:val="yellow"/>
          <w:bdr w:val="single" w:sz="4" w:space="0" w:color="auto"/>
        </w:rPr>
        <w:t>外學謬見</w:t>
      </w:r>
      <w:r w:rsidRPr="00DA3BC7">
        <w:rPr>
          <w:rFonts w:ascii="Times New Roman" w:hAnsi="Times New Roman"/>
          <w:sz w:val="20"/>
          <w:szCs w:val="20"/>
        </w:rPr>
        <w:t>（</w:t>
      </w:r>
      <w:r w:rsidRPr="00DA3BC7">
        <w:rPr>
          <w:rFonts w:ascii="Times New Roman" w:hAnsi="Times New Roman"/>
          <w:sz w:val="20"/>
          <w:szCs w:val="20"/>
        </w:rPr>
        <w:t>pp.201-202</w:t>
      </w:r>
      <w:r w:rsidRPr="00DA3BC7">
        <w:rPr>
          <w:rFonts w:ascii="Times New Roman" w:hAnsi="Times New Roman"/>
          <w:sz w:val="20"/>
          <w:szCs w:val="20"/>
        </w:rPr>
        <w:t>）</w:t>
      </w:r>
    </w:p>
    <w:p w:rsidR="00AA120F" w:rsidRPr="00DA3BC7" w:rsidRDefault="00DE3965" w:rsidP="004729A2">
      <w:pPr>
        <w:ind w:leftChars="300" w:left="720"/>
        <w:jc w:val="both"/>
        <w:rPr>
          <w:rFonts w:ascii="Times New Roman" w:hAnsi="Times New Roman"/>
          <w:b/>
          <w:sz w:val="20"/>
          <w:szCs w:val="20"/>
        </w:rPr>
      </w:pPr>
      <w:r w:rsidRPr="00DE3965">
        <w:rPr>
          <w:rFonts w:ascii="Times New Roman" w:hAnsi="Times New Roman" w:hint="eastAsia"/>
          <w:b/>
          <w:color w:val="FF0000"/>
          <w:sz w:val="20"/>
          <w:szCs w:val="20"/>
          <w:highlight w:val="yellow"/>
          <w:bdr w:val="single" w:sz="4" w:space="0" w:color="auto"/>
        </w:rPr>
        <w:t>A</w:t>
      </w:r>
      <w:r w:rsidR="00AA120F" w:rsidRPr="00DE3965">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hint="eastAsia"/>
          <w:b/>
          <w:sz w:val="20"/>
          <w:szCs w:val="20"/>
          <w:bdr w:val="single" w:sz="4" w:space="0" w:color="auto"/>
        </w:rPr>
        <w:t>評</w:t>
      </w:r>
      <w:r w:rsidR="00AA120F" w:rsidRPr="00DA3BC7">
        <w:rPr>
          <w:rFonts w:ascii="Times New Roman" w:hAnsi="Times New Roman"/>
          <w:b/>
          <w:sz w:val="20"/>
          <w:szCs w:val="20"/>
          <w:bdr w:val="single" w:sz="4" w:space="0" w:color="auto"/>
        </w:rPr>
        <w:t>熊十力的《新唯識論》</w:t>
      </w:r>
      <w:r w:rsidRPr="00DE3965">
        <w:rPr>
          <w:rFonts w:ascii="Times New Roman" w:hAnsi="Times New Roman" w:hint="eastAsia"/>
          <w:b/>
          <w:color w:val="FF0000"/>
          <w:sz w:val="20"/>
          <w:szCs w:val="20"/>
          <w:highlight w:val="yellow"/>
          <w:bdr w:val="single" w:sz="4" w:space="0" w:color="auto"/>
        </w:rPr>
        <w:t>之誤</w:t>
      </w:r>
      <w:r w:rsidR="00AA120F" w:rsidRPr="00DA3BC7">
        <w:rPr>
          <w:rStyle w:val="a6"/>
          <w:rFonts w:ascii="Times New Roman" w:hAnsi="Times New Roman"/>
        </w:rPr>
        <w:footnoteReference w:id="883"/>
      </w:r>
      <w:r w:rsidR="00AA120F" w:rsidRPr="00DA3BC7">
        <w:rPr>
          <w:rFonts w:ascii="Times New Roman" w:hAnsi="Times New Roman"/>
          <w:sz w:val="20"/>
          <w:szCs w:val="20"/>
        </w:rPr>
        <w:t>（</w:t>
      </w:r>
      <w:r w:rsidR="00AA120F" w:rsidRPr="00DA3BC7">
        <w:rPr>
          <w:rFonts w:ascii="Times New Roman" w:hAnsi="Times New Roman"/>
          <w:sz w:val="20"/>
          <w:szCs w:val="20"/>
        </w:rPr>
        <w:t>p.20</w:t>
      </w:r>
      <w:r w:rsidR="00AA120F" w:rsidRPr="00DA3BC7">
        <w:rPr>
          <w:rFonts w:ascii="Times New Roman" w:hAnsi="Times New Roman" w:hint="eastAsia"/>
          <w:sz w:val="20"/>
          <w:szCs w:val="20"/>
        </w:rPr>
        <w:t>1</w:t>
      </w:r>
      <w:r w:rsidR="00AA120F" w:rsidRPr="00DA3BC7">
        <w:rPr>
          <w:rFonts w:ascii="Times New Roman" w:hAnsi="Times New Roman"/>
          <w:sz w:val="20"/>
          <w:szCs w:val="20"/>
        </w:rPr>
        <w:t>）</w:t>
      </w:r>
    </w:p>
    <w:p w:rsidR="007A486C" w:rsidRDefault="00AA120F" w:rsidP="004729A2">
      <w:pPr>
        <w:widowControl/>
        <w:ind w:leftChars="300" w:left="720"/>
        <w:jc w:val="both"/>
        <w:rPr>
          <w:rFonts w:ascii="Times New Roman" w:hAnsi="Times New Roman"/>
        </w:rPr>
      </w:pPr>
      <w:r w:rsidRPr="00DA3BC7">
        <w:rPr>
          <w:rFonts w:ascii="Times New Roman" w:hAnsi="Times New Roman"/>
        </w:rPr>
        <w:t>熊十力的《新唯識論》，對佛法的批評是：佛法說一切法即空空寂寂，而不能說空空寂寂即一切法。</w:t>
      </w:r>
      <w:r w:rsidRPr="00DA3BC7">
        <w:rPr>
          <w:rStyle w:val="a6"/>
          <w:rFonts w:ascii="Times New Roman" w:hAnsi="Times New Roman"/>
        </w:rPr>
        <w:footnoteReference w:id="884"/>
      </w:r>
    </w:p>
    <w:p w:rsidR="00AA120F" w:rsidRPr="00DA3BC7" w:rsidRDefault="00AA120F" w:rsidP="004729A2">
      <w:pPr>
        <w:widowControl/>
        <w:ind w:leftChars="300" w:left="720"/>
        <w:jc w:val="both"/>
        <w:rPr>
          <w:rFonts w:ascii="Times New Roman" w:hAnsi="Times New Roman"/>
          <w:dstrike/>
        </w:rPr>
      </w:pPr>
      <w:r w:rsidRPr="007A486C">
        <w:rPr>
          <w:rFonts w:ascii="Times New Roman" w:hAnsi="Times New Roman"/>
          <w:highlight w:val="yellow"/>
        </w:rPr>
        <w:lastRenderedPageBreak/>
        <w:t>熊</w:t>
      </w:r>
      <w:r w:rsidRPr="00DA3BC7">
        <w:rPr>
          <w:rFonts w:ascii="Times New Roman" w:hAnsi="Times New Roman"/>
        </w:rPr>
        <w:t>氏的意思，</w:t>
      </w:r>
      <w:r w:rsidRPr="00DA3BC7">
        <w:rPr>
          <w:rFonts w:ascii="Times New Roman" w:hAnsi="Times New Roman"/>
          <w:b/>
        </w:rPr>
        <w:t>佛法不能說由空空寂寂的本體而發現</w:t>
      </w:r>
      <w:r w:rsidRPr="00DA3BC7">
        <w:rPr>
          <w:rStyle w:val="a6"/>
          <w:rFonts w:ascii="Times New Roman" w:hAnsi="Times New Roman"/>
        </w:rPr>
        <w:footnoteReference w:id="885"/>
      </w:r>
      <w:r w:rsidRPr="00DA3BC7">
        <w:rPr>
          <w:rFonts w:ascii="Times New Roman" w:hAnsi="Times New Roman"/>
          <w:b/>
        </w:rPr>
        <w:t>為一切法，以此為佛法的缺點。</w:t>
      </w:r>
      <w:r w:rsidRPr="00DA3BC7">
        <w:rPr>
          <w:rStyle w:val="a6"/>
          <w:rFonts w:ascii="Times New Roman" w:hAnsi="Times New Roman"/>
        </w:rPr>
        <w:footnoteReference w:id="886"/>
      </w:r>
    </w:p>
    <w:p w:rsidR="00AA120F" w:rsidRPr="00DA3BC7" w:rsidRDefault="00AA120F" w:rsidP="004729A2">
      <w:pPr>
        <w:widowControl/>
        <w:ind w:leftChars="300" w:left="720"/>
        <w:jc w:val="both"/>
        <w:rPr>
          <w:rFonts w:ascii="Times New Roman" w:hAnsi="Times New Roman"/>
        </w:rPr>
      </w:pPr>
      <w:r w:rsidRPr="00DA3BC7">
        <w:rPr>
          <w:rFonts w:ascii="Times New Roman" w:hAnsi="Times New Roman"/>
        </w:rPr>
        <w:t>其實，佛法何嘗</w:t>
      </w:r>
      <w:r w:rsidRPr="00DA3BC7">
        <w:rPr>
          <w:rStyle w:val="a6"/>
          <w:rFonts w:ascii="Times New Roman" w:hAnsi="Times New Roman"/>
        </w:rPr>
        <w:footnoteReference w:id="887"/>
      </w:r>
      <w:r w:rsidRPr="00DA3BC7">
        <w:rPr>
          <w:rFonts w:ascii="Times New Roman" w:hAnsi="Times New Roman"/>
        </w:rPr>
        <w:t>不能說</w:t>
      </w:r>
      <w:r w:rsidRPr="00DA3BC7">
        <w:rPr>
          <w:rFonts w:ascii="Times New Roman" w:hAnsi="Times New Roman" w:hint="eastAsia"/>
        </w:rPr>
        <w:t>、</w:t>
      </w:r>
      <w:r w:rsidRPr="00DA3BC7">
        <w:rPr>
          <w:rFonts w:ascii="Times New Roman" w:hAnsi="Times New Roman"/>
        </w:rPr>
        <w:t>不會說，也還是說空寂即一切法，但含義不同，</w:t>
      </w:r>
      <w:r w:rsidRPr="00DA3BC7">
        <w:rPr>
          <w:rFonts w:ascii="Times New Roman" w:hAnsi="Times New Roman"/>
          <w:b/>
        </w:rPr>
        <w:t>不許從空寂體而現為一切</w:t>
      </w:r>
      <w:r w:rsidRPr="00DA3BC7">
        <w:rPr>
          <w:rFonts w:ascii="Times New Roman" w:hAnsi="Times New Roman"/>
        </w:rPr>
        <w:t>。</w:t>
      </w:r>
    </w:p>
    <w:p w:rsidR="00AA120F" w:rsidRPr="00DA3BC7" w:rsidRDefault="00DE3965" w:rsidP="00AE3920">
      <w:pPr>
        <w:spacing w:beforeLines="30"/>
        <w:ind w:leftChars="300" w:left="720"/>
        <w:jc w:val="both"/>
        <w:rPr>
          <w:rFonts w:ascii="Times New Roman" w:hAnsi="Times New Roman"/>
          <w:b/>
          <w:sz w:val="20"/>
          <w:szCs w:val="20"/>
        </w:rPr>
      </w:pPr>
      <w:r w:rsidRPr="00DE3965">
        <w:rPr>
          <w:rFonts w:ascii="Times New Roman" w:hAnsi="Times New Roman" w:hint="eastAsia"/>
          <w:b/>
          <w:color w:val="FF0000"/>
          <w:sz w:val="20"/>
          <w:szCs w:val="20"/>
          <w:highlight w:val="yellow"/>
          <w:bdr w:val="single" w:sz="4" w:space="0" w:color="auto"/>
        </w:rPr>
        <w:t>B</w:t>
      </w:r>
      <w:r w:rsidR="00AA120F" w:rsidRPr="00DE3965">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hint="eastAsia"/>
          <w:b/>
          <w:sz w:val="20"/>
          <w:szCs w:val="20"/>
          <w:bdr w:val="single" w:sz="4" w:space="0" w:color="auto"/>
        </w:rPr>
        <w:t>評</w:t>
      </w:r>
      <w:r w:rsidR="00AA120F" w:rsidRPr="00DA3BC7">
        <w:rPr>
          <w:rFonts w:ascii="Times New Roman" w:hAnsi="Times New Roman"/>
          <w:b/>
          <w:sz w:val="20"/>
          <w:szCs w:val="20"/>
          <w:bdr w:val="single" w:sz="4" w:space="0" w:color="auto"/>
        </w:rPr>
        <w:t>神教與玄學者</w:t>
      </w:r>
      <w:r w:rsidR="00AA120F" w:rsidRPr="00DA3BC7">
        <w:rPr>
          <w:rFonts w:ascii="Times New Roman" w:hAnsi="Times New Roman"/>
          <w:sz w:val="20"/>
          <w:szCs w:val="20"/>
        </w:rPr>
        <w:t>（</w:t>
      </w:r>
      <w:r w:rsidR="00AA120F" w:rsidRPr="00DA3BC7">
        <w:rPr>
          <w:rFonts w:ascii="Times New Roman" w:hAnsi="Times New Roman" w:hint="eastAsia"/>
          <w:sz w:val="20"/>
          <w:szCs w:val="20"/>
        </w:rPr>
        <w:t>p</w:t>
      </w:r>
      <w:r w:rsidR="00AA120F" w:rsidRPr="00DA3BC7">
        <w:rPr>
          <w:rFonts w:ascii="Times New Roman" w:hAnsi="Times New Roman"/>
          <w:sz w:val="20"/>
          <w:szCs w:val="20"/>
        </w:rPr>
        <w:t>p.20</w:t>
      </w:r>
      <w:r w:rsidR="00AA120F" w:rsidRPr="00DA3BC7">
        <w:rPr>
          <w:rFonts w:ascii="Times New Roman" w:hAnsi="Times New Roman" w:hint="eastAsia"/>
          <w:sz w:val="20"/>
          <w:szCs w:val="20"/>
        </w:rPr>
        <w:t>1-202</w:t>
      </w:r>
      <w:r w:rsidR="00AA120F" w:rsidRPr="00DA3BC7">
        <w:rPr>
          <w:rFonts w:ascii="Times New Roman" w:hAnsi="Times New Roman"/>
          <w:sz w:val="20"/>
          <w:szCs w:val="20"/>
        </w:rPr>
        <w:t>）</w:t>
      </w:r>
    </w:p>
    <w:p w:rsidR="00AA120F" w:rsidRPr="00DA3BC7" w:rsidRDefault="00AA120F" w:rsidP="004729A2">
      <w:pPr>
        <w:ind w:leftChars="350" w:left="840"/>
        <w:jc w:val="both"/>
        <w:rPr>
          <w:rFonts w:ascii="Times New Roman" w:hAnsi="Times New Roman"/>
          <w:b/>
          <w:sz w:val="20"/>
          <w:szCs w:val="20"/>
          <w:bdr w:val="single" w:sz="4" w:space="0" w:color="auto"/>
        </w:rPr>
      </w:pPr>
      <w:r w:rsidRPr="00DE3965">
        <w:rPr>
          <w:rFonts w:ascii="Times New Roman" w:hAnsi="Times New Roman" w:hint="eastAsia"/>
          <w:b/>
          <w:color w:val="FF0000"/>
          <w:sz w:val="20"/>
          <w:szCs w:val="20"/>
          <w:highlight w:val="yellow"/>
          <w:bdr w:val="single" w:sz="4" w:space="0" w:color="auto"/>
        </w:rPr>
        <w:t>（</w:t>
      </w:r>
      <w:r w:rsidR="00DE3965" w:rsidRPr="00DE3965">
        <w:rPr>
          <w:rFonts w:ascii="Times New Roman" w:hAnsi="Times New Roman" w:hint="eastAsia"/>
          <w:b/>
          <w:color w:val="FF0000"/>
          <w:sz w:val="20"/>
          <w:szCs w:val="20"/>
          <w:highlight w:val="yellow"/>
          <w:bdr w:val="single" w:sz="4" w:space="0" w:color="auto"/>
        </w:rPr>
        <w:t>A</w:t>
      </w:r>
      <w:r w:rsidRPr="00DE3965">
        <w:rPr>
          <w:rFonts w:ascii="Times New Roman" w:hAnsi="Times New Roman" w:hint="eastAsia"/>
          <w:b/>
          <w:color w:val="FF0000"/>
          <w:sz w:val="20"/>
          <w:szCs w:val="20"/>
          <w:highlight w:val="yellow"/>
          <w:bdr w:val="single" w:sz="4" w:space="0" w:color="auto"/>
        </w:rPr>
        <w:t>）</w:t>
      </w:r>
      <w:r w:rsidRPr="00DA3BC7">
        <w:rPr>
          <w:rFonts w:ascii="Times New Roman" w:hAnsi="Times New Roman"/>
          <w:b/>
          <w:sz w:val="20"/>
          <w:szCs w:val="20"/>
          <w:bdr w:val="single" w:sz="4" w:space="0" w:color="auto"/>
        </w:rPr>
        <w:t>神教與玄學者之主張</w:t>
      </w:r>
      <w:r w:rsidRPr="00DA3BC7">
        <w:rPr>
          <w:rFonts w:ascii="Times New Roman" w:hAnsi="Times New Roman"/>
          <w:sz w:val="20"/>
          <w:szCs w:val="20"/>
        </w:rPr>
        <w:t>（</w:t>
      </w:r>
      <w:r w:rsidRPr="00DA3BC7">
        <w:rPr>
          <w:rFonts w:ascii="Times New Roman" w:hAnsi="Times New Roman" w:hint="eastAsia"/>
          <w:sz w:val="20"/>
          <w:szCs w:val="20"/>
        </w:rPr>
        <w:t>p</w:t>
      </w:r>
      <w:r w:rsidRPr="00DA3BC7">
        <w:rPr>
          <w:rFonts w:ascii="Times New Roman" w:hAnsi="Times New Roman"/>
          <w:sz w:val="20"/>
          <w:szCs w:val="20"/>
        </w:rPr>
        <w:t>p.20</w:t>
      </w:r>
      <w:r w:rsidRPr="00DA3BC7">
        <w:rPr>
          <w:rFonts w:ascii="Times New Roman" w:hAnsi="Times New Roman" w:hint="eastAsia"/>
          <w:sz w:val="20"/>
          <w:szCs w:val="20"/>
        </w:rPr>
        <w:t>1-202</w:t>
      </w:r>
      <w:r w:rsidRPr="00DA3BC7">
        <w:rPr>
          <w:rFonts w:ascii="Times New Roman" w:hAnsi="Times New Roman"/>
          <w:sz w:val="20"/>
          <w:szCs w:val="20"/>
        </w:rPr>
        <w:t>）</w:t>
      </w:r>
    </w:p>
    <w:p w:rsidR="00AA120F" w:rsidRPr="00DA3BC7" w:rsidRDefault="00AA120F" w:rsidP="004729A2">
      <w:pPr>
        <w:ind w:leftChars="350" w:left="840"/>
        <w:jc w:val="both"/>
        <w:rPr>
          <w:rFonts w:ascii="Times New Roman" w:hAnsi="Times New Roman"/>
        </w:rPr>
      </w:pPr>
      <w:r w:rsidRPr="00DA3BC7">
        <w:rPr>
          <w:rFonts w:ascii="Times New Roman" w:hAnsi="Times New Roman"/>
        </w:rPr>
        <w:t>向來一般的神教與玄學者，對於宇宙人生的說明，有一個極基本的假定，即</w:t>
      </w:r>
      <w:r w:rsidRPr="00DA3BC7">
        <w:rPr>
          <w:rFonts w:ascii="Times New Roman" w:hAnsi="Times New Roman"/>
          <w:b/>
        </w:rPr>
        <w:t>以為必需從一實在的本體而發現為各式各樣的差別現象</w:t>
      </w:r>
      <w:r w:rsidRPr="00DA3BC7">
        <w:rPr>
          <w:rFonts w:ascii="Times New Roman" w:hAnsi="Times New Roman"/>
        </w:rPr>
        <w:t>。</w:t>
      </w:r>
    </w:p>
    <w:p w:rsidR="00AA120F" w:rsidRPr="00DA3BC7" w:rsidRDefault="00AA120F" w:rsidP="00AE3920">
      <w:pPr>
        <w:spacing w:beforeLines="20"/>
        <w:ind w:leftChars="350" w:left="840"/>
        <w:jc w:val="both"/>
        <w:rPr>
          <w:rFonts w:ascii="Times New Roman" w:hAnsi="Times New Roman"/>
        </w:rPr>
      </w:pPr>
      <w:r w:rsidRPr="00DA3BC7">
        <w:rPr>
          <w:rFonts w:ascii="Times New Roman" w:hAnsi="Times New Roman"/>
        </w:rPr>
        <w:t>如婆羅門教、猶太教、基督教、回教等，都主張在一切現象之上，有一能造的上帝之類</w:t>
      </w:r>
      <w:r w:rsidRPr="00DA3BC7">
        <w:rPr>
          <w:rFonts w:ascii="Times New Roman" w:hAnsi="Times New Roman" w:hint="eastAsia"/>
        </w:rPr>
        <w:t>。</w:t>
      </w:r>
      <w:r w:rsidRPr="00DA3BC7">
        <w:rPr>
          <w:rFonts w:ascii="Times New Roman" w:hAnsi="Times New Roman"/>
        </w:rPr>
        <w:t>這種思想，一般人極易於接受。因為</w:t>
      </w:r>
      <w:r w:rsidRPr="00DA3BC7">
        <w:rPr>
          <w:rFonts w:ascii="Times New Roman" w:hAnsi="Times New Roman"/>
          <w:b/>
        </w:rPr>
        <w:t>將一切法的究竟看成是實在性的，而實在性又是一切法的本源性</w:t>
      </w:r>
      <w:r w:rsidRPr="00DA3BC7">
        <w:rPr>
          <w:rFonts w:ascii="Times New Roman" w:hAnsi="Times New Roman"/>
        </w:rPr>
        <w:t>，於是擬人的</w:t>
      </w:r>
      <w:r w:rsidRPr="00DA3BC7">
        <w:rPr>
          <w:rFonts w:ascii="Times New Roman" w:hAnsi="Times New Roman"/>
          <w:b/>
        </w:rPr>
        <w:t>上帝創造萬有說</w:t>
      </w:r>
      <w:r w:rsidRPr="00DA3BC7">
        <w:rPr>
          <w:rFonts w:ascii="Times New Roman" w:hAnsi="Times New Roman"/>
        </w:rPr>
        <w:t>依之而生。</w:t>
      </w:r>
    </w:p>
    <w:p w:rsidR="00AA120F" w:rsidRPr="00DA3BC7" w:rsidRDefault="00AA120F" w:rsidP="004729A2">
      <w:pPr>
        <w:ind w:leftChars="350" w:left="840"/>
        <w:jc w:val="both"/>
        <w:rPr>
          <w:rFonts w:ascii="Times New Roman" w:hAnsi="Times New Roman"/>
        </w:rPr>
      </w:pPr>
      <w:r w:rsidRPr="00DA3BC7">
        <w:rPr>
          <w:rFonts w:ascii="Times New Roman" w:hAnsi="Times New Roman"/>
        </w:rPr>
        <w:t>後來的玄學者，雖不說上帝為宇宙的根元，而以為</w:t>
      </w:r>
      <w:r w:rsidRPr="00DA3BC7">
        <w:rPr>
          <w:rFonts w:ascii="Times New Roman" w:hAnsi="Times New Roman"/>
          <w:b/>
        </w:rPr>
        <w:t>有一實在的原理或本體</w:t>
      </w:r>
      <w:r w:rsidRPr="00DA3BC7">
        <w:rPr>
          <w:rFonts w:ascii="Times New Roman" w:hAnsi="Times New Roman" w:hint="eastAsia"/>
          <w:b/>
        </w:rPr>
        <w:t>；</w:t>
      </w:r>
      <w:r w:rsidRPr="00DA3BC7">
        <w:rPr>
          <w:rFonts w:ascii="Times New Roman" w:hAnsi="Times New Roman"/>
          <w:b/>
        </w:rPr>
        <w:t>由此實在的本體，產生一切現象，顯現一切現象</w:t>
      </w:r>
      <w:r w:rsidRPr="00DA3BC7">
        <w:rPr>
          <w:rFonts w:ascii="Times New Roman" w:hAnsi="Times New Roman"/>
        </w:rPr>
        <w:t>。他們的根本動機，即要在一切現象外，另找一個本體，或高高地在一切現象以上，或深深地在一切現象之後。他們的基本論題是：本體如何能發現為現象，本體與現象有何關係？</w:t>
      </w:r>
    </w:p>
    <w:p w:rsidR="00AA120F" w:rsidRPr="00DA3BC7" w:rsidRDefault="00AA120F" w:rsidP="004729A2">
      <w:pPr>
        <w:ind w:leftChars="350" w:left="840"/>
        <w:jc w:val="both"/>
        <w:rPr>
          <w:rFonts w:ascii="Times New Roman" w:hAnsi="Times New Roman"/>
        </w:rPr>
      </w:pPr>
      <w:r w:rsidRPr="00DA3BC7">
        <w:rPr>
          <w:rFonts w:ascii="Times New Roman" w:hAnsi="Times New Roman"/>
        </w:rPr>
        <w:t>某些玄學家覺得</w:t>
      </w:r>
      <w:r w:rsidRPr="00DA3BC7">
        <w:rPr>
          <w:rFonts w:ascii="Times New Roman" w:hAnsi="Times New Roman"/>
          <w:b/>
        </w:rPr>
        <w:t>本體不應離現象而存在</w:t>
      </w:r>
      <w:r w:rsidRPr="00DA3BC7">
        <w:rPr>
          <w:rFonts w:ascii="Times New Roman" w:hAnsi="Times New Roman"/>
        </w:rPr>
        <w:t>，於是想像一與上帝具有同等性能的</w:t>
      </w:r>
      <w:r w:rsidRPr="00DA3BC7">
        <w:rPr>
          <w:rFonts w:ascii="Times New Roman" w:hAnsi="Times New Roman"/>
          <w:b/>
        </w:rPr>
        <w:t>本體</w:t>
      </w:r>
      <w:r w:rsidRPr="00DA3BC7">
        <w:rPr>
          <w:rFonts w:ascii="Times New Roman" w:hAnsi="Times New Roman"/>
        </w:rPr>
        <w:t>，以此</w:t>
      </w:r>
      <w:r w:rsidRPr="00DA3BC7">
        <w:rPr>
          <w:rFonts w:ascii="Times New Roman" w:hAnsi="Times New Roman"/>
          <w:b/>
        </w:rPr>
        <w:t>本體可以生一切法，而本體即在一切法中</w:t>
      </w:r>
      <w:r w:rsidRPr="00DA3BC7">
        <w:rPr>
          <w:rFonts w:ascii="Times New Roman" w:hAnsi="Times New Roman"/>
        </w:rPr>
        <w:t>，成為汎神論</w:t>
      </w:r>
      <w:r w:rsidRPr="00DA3BC7">
        <w:rPr>
          <w:rStyle w:val="a6"/>
          <w:rFonts w:ascii="Times New Roman" w:hAnsi="Times New Roman"/>
        </w:rPr>
        <w:footnoteReference w:id="888"/>
      </w:r>
      <w:r w:rsidRPr="00DA3BC7">
        <w:rPr>
          <w:rFonts w:ascii="Times New Roman" w:hAnsi="Times New Roman"/>
        </w:rPr>
        <w:t>的、玄學的、實在論的。熊十力也說：舉</w:t>
      </w:r>
      <w:r w:rsidRPr="00DA3BC7">
        <w:rPr>
          <w:rStyle w:val="a6"/>
          <w:rFonts w:ascii="Times New Roman" w:hAnsi="Times New Roman"/>
        </w:rPr>
        <w:footnoteReference w:id="889"/>
      </w:r>
      <w:r w:rsidRPr="00DA3BC7">
        <w:rPr>
          <w:rFonts w:ascii="Times New Roman" w:hAnsi="Times New Roman"/>
        </w:rPr>
        <w:t>體即用，全用即體。</w:t>
      </w:r>
      <w:r w:rsidRPr="00DA3BC7">
        <w:rPr>
          <w:rStyle w:val="a6"/>
          <w:rFonts w:ascii="Times New Roman" w:hAnsi="Times New Roman"/>
        </w:rPr>
        <w:lastRenderedPageBreak/>
        <w:footnoteReference w:id="890"/>
      </w:r>
    </w:p>
    <w:p w:rsidR="00AA120F" w:rsidRPr="00DA3BC7" w:rsidRDefault="00AA120F" w:rsidP="00AE3920">
      <w:pPr>
        <w:spacing w:beforeLines="30"/>
        <w:ind w:leftChars="350" w:left="840"/>
        <w:jc w:val="both"/>
        <w:rPr>
          <w:rFonts w:ascii="Times New Roman" w:hAnsi="Times New Roman"/>
          <w:b/>
          <w:sz w:val="20"/>
          <w:szCs w:val="20"/>
        </w:rPr>
      </w:pPr>
      <w:r w:rsidRPr="00DE3965">
        <w:rPr>
          <w:rFonts w:ascii="Times New Roman" w:hAnsi="Times New Roman"/>
          <w:b/>
          <w:color w:val="FF0000"/>
          <w:sz w:val="20"/>
          <w:szCs w:val="20"/>
          <w:highlight w:val="yellow"/>
          <w:bdr w:val="single" w:sz="4" w:space="0" w:color="auto"/>
        </w:rPr>
        <w:t>（</w:t>
      </w:r>
      <w:r w:rsidR="00DE3965" w:rsidRPr="00DE3965">
        <w:rPr>
          <w:rFonts w:ascii="Times New Roman" w:hAnsi="Times New Roman" w:hint="eastAsia"/>
          <w:b/>
          <w:color w:val="FF0000"/>
          <w:sz w:val="20"/>
          <w:szCs w:val="20"/>
          <w:highlight w:val="yellow"/>
          <w:bdr w:val="single" w:sz="4" w:space="0" w:color="auto"/>
        </w:rPr>
        <w:t>B</w:t>
      </w:r>
      <w:r w:rsidRPr="00DE3965">
        <w:rPr>
          <w:rFonts w:ascii="Times New Roman" w:hAnsi="Times New Roman"/>
          <w:b/>
          <w:color w:val="FF0000"/>
          <w:sz w:val="20"/>
          <w:szCs w:val="20"/>
          <w:highlight w:val="yellow"/>
          <w:bdr w:val="single" w:sz="4" w:space="0" w:color="auto"/>
        </w:rPr>
        <w:t>）</w:t>
      </w:r>
      <w:r w:rsidRPr="00DA3BC7">
        <w:rPr>
          <w:rFonts w:ascii="Times New Roman" w:hAnsi="Times New Roman"/>
          <w:b/>
          <w:sz w:val="20"/>
          <w:szCs w:val="20"/>
          <w:bdr w:val="single" w:sz="4" w:space="0" w:color="auto"/>
        </w:rPr>
        <w:t>印順法師之評論</w:t>
      </w:r>
      <w:r w:rsidRPr="00DA3BC7">
        <w:rPr>
          <w:rFonts w:ascii="Times New Roman" w:hAnsi="Times New Roman"/>
          <w:sz w:val="20"/>
          <w:szCs w:val="20"/>
        </w:rPr>
        <w:t>（</w:t>
      </w:r>
      <w:r w:rsidRPr="00DA3BC7">
        <w:rPr>
          <w:rFonts w:ascii="Times New Roman" w:hAnsi="Times New Roman"/>
          <w:sz w:val="20"/>
          <w:szCs w:val="20"/>
        </w:rPr>
        <w:t>p.202</w:t>
      </w:r>
      <w:r w:rsidRPr="00DA3BC7">
        <w:rPr>
          <w:rFonts w:ascii="Times New Roman" w:hAnsi="Times New Roman"/>
          <w:sz w:val="20"/>
          <w:szCs w:val="20"/>
        </w:rPr>
        <w:t>）</w:t>
      </w:r>
    </w:p>
    <w:p w:rsidR="00AA120F" w:rsidRPr="00DA3BC7" w:rsidRDefault="00AA120F" w:rsidP="004729A2">
      <w:pPr>
        <w:ind w:leftChars="350" w:left="840"/>
        <w:jc w:val="both"/>
        <w:rPr>
          <w:rFonts w:ascii="Times New Roman" w:hAnsi="Times New Roman"/>
        </w:rPr>
      </w:pPr>
      <w:r w:rsidRPr="00DA3BC7">
        <w:rPr>
          <w:rFonts w:ascii="Times New Roman" w:hAnsi="Times New Roman"/>
        </w:rPr>
        <w:t>其實，如掃除本體生現象的根本假定</w:t>
      </w:r>
      <w:r w:rsidRPr="00DA3BC7">
        <w:rPr>
          <w:rFonts w:ascii="新細明體" w:hAnsi="新細明體" w:hint="eastAsia"/>
        </w:rPr>
        <w:t>、</w:t>
      </w:r>
      <w:r w:rsidRPr="00DA3BC7">
        <w:rPr>
          <w:rFonts w:ascii="Times New Roman" w:hAnsi="Times New Roman"/>
        </w:rPr>
        <w:t>根本妄想，那必然為即現即空</w:t>
      </w:r>
      <w:r w:rsidRPr="00DA3BC7">
        <w:rPr>
          <w:rFonts w:ascii="Times New Roman" w:hAnsi="Times New Roman" w:hint="eastAsia"/>
        </w:rPr>
        <w:t>、</w:t>
      </w:r>
      <w:r w:rsidRPr="00DA3BC7">
        <w:rPr>
          <w:rFonts w:ascii="Times New Roman" w:hAnsi="Times New Roman"/>
        </w:rPr>
        <w:t>即空即現</w:t>
      </w:r>
      <w:r w:rsidRPr="00DA3BC7">
        <w:rPr>
          <w:rFonts w:ascii="Times New Roman" w:hAnsi="Times New Roman" w:hint="eastAsia"/>
        </w:rPr>
        <w:t>；</w:t>
      </w:r>
      <w:r w:rsidRPr="00DA3BC7">
        <w:rPr>
          <w:rFonts w:ascii="Times New Roman" w:hAnsi="Times New Roman"/>
        </w:rPr>
        <w:t>頭頭</w:t>
      </w:r>
      <w:r w:rsidRPr="00DA3BC7">
        <w:rPr>
          <w:rStyle w:val="a6"/>
          <w:rFonts w:ascii="Times New Roman" w:hAnsi="Times New Roman"/>
        </w:rPr>
        <w:footnoteReference w:id="891"/>
      </w:r>
      <w:r w:rsidRPr="00DA3BC7">
        <w:rPr>
          <w:rFonts w:ascii="Times New Roman" w:hAnsi="Times New Roman"/>
        </w:rPr>
        <w:t>上現</w:t>
      </w:r>
      <w:r w:rsidRPr="00DA3BC7">
        <w:rPr>
          <w:rFonts w:ascii="Times New Roman" w:hAnsi="Times New Roman" w:hint="eastAsia"/>
        </w:rPr>
        <w:t>、</w:t>
      </w:r>
      <w:r w:rsidRPr="00DA3BC7">
        <w:rPr>
          <w:rFonts w:ascii="Times New Roman" w:hAnsi="Times New Roman"/>
        </w:rPr>
        <w:t>法法上明，何必要堅持從本體而發現為現象？如水相與溼性</w:t>
      </w:r>
      <w:r w:rsidRPr="00DA3BC7">
        <w:rPr>
          <w:rFonts w:ascii="Times New Roman" w:hAnsi="Times New Roman" w:hint="eastAsia"/>
        </w:rPr>
        <w:t>、</w:t>
      </w:r>
      <w:r w:rsidRPr="00DA3BC7">
        <w:rPr>
          <w:rFonts w:ascii="Times New Roman" w:hAnsi="Times New Roman"/>
        </w:rPr>
        <w:t>即水即溼，即溼即水，還談什麼從溼性而發現為水相？玄學者坐在無明坑中，做著</w:t>
      </w:r>
      <w:r w:rsidRPr="00200AF9">
        <w:rPr>
          <w:rFonts w:ascii="Times New Roman" w:hAnsi="Times New Roman"/>
          <w:b/>
        </w:rPr>
        <w:t>從</w:t>
      </w:r>
      <w:r w:rsidRPr="00DA3BC7">
        <w:rPr>
          <w:rFonts w:ascii="Times New Roman" w:hAnsi="Times New Roman"/>
          <w:b/>
        </w:rPr>
        <w:t>本體生現象</w:t>
      </w:r>
      <w:r w:rsidRPr="00DA3BC7">
        <w:rPr>
          <w:rFonts w:ascii="Times New Roman" w:hAnsi="Times New Roman"/>
        </w:rPr>
        <w:t>的迷夢！還以為佛法偏（不能說即空空寂寂而生生化化的）而不即</w:t>
      </w:r>
      <w:r w:rsidRPr="00DA3BC7">
        <w:rPr>
          <w:rStyle w:val="a6"/>
          <w:rFonts w:ascii="Times New Roman" w:hAnsi="Times New Roman"/>
        </w:rPr>
        <w:footnoteReference w:id="892"/>
      </w:r>
      <w:r w:rsidRPr="00DA3BC7">
        <w:rPr>
          <w:rFonts w:ascii="Times New Roman" w:hAnsi="Times New Roman"/>
        </w:rPr>
        <w:t>，何等可笑？</w:t>
      </w:r>
    </w:p>
    <w:p w:rsidR="00DE3965" w:rsidRDefault="00AA120F" w:rsidP="00AE3920">
      <w:pPr>
        <w:spacing w:beforeLines="20"/>
        <w:ind w:leftChars="350" w:left="840"/>
        <w:jc w:val="both"/>
        <w:rPr>
          <w:rFonts w:ascii="Times New Roman" w:hAnsi="Times New Roman"/>
        </w:rPr>
      </w:pPr>
      <w:r w:rsidRPr="00DA3BC7">
        <w:rPr>
          <w:rFonts w:ascii="Times New Roman" w:hAnsi="Times New Roman"/>
        </w:rPr>
        <w:t>佛法不是尋求萬化本源以說明萬化如何生起的玄學，佛法是在現實經驗界中體悟離卻迷亂的本性空寂。</w:t>
      </w:r>
      <w:r w:rsidRPr="00DA3BC7">
        <w:rPr>
          <w:rFonts w:ascii="Times New Roman" w:hAnsi="Times New Roman"/>
          <w:b/>
        </w:rPr>
        <w:t>空性、真如，都非另有實體，即是現象的當體、真相</w:t>
      </w:r>
      <w:r w:rsidRPr="00DA3BC7">
        <w:rPr>
          <w:rFonts w:ascii="Times New Roman" w:hAnsi="Times New Roman"/>
        </w:rPr>
        <w:t>。</w:t>
      </w:r>
    </w:p>
    <w:p w:rsidR="00AA120F" w:rsidRPr="00DA3BC7" w:rsidRDefault="00AA120F" w:rsidP="00AE3920">
      <w:pPr>
        <w:spacing w:beforeLines="20"/>
        <w:ind w:leftChars="350" w:left="840"/>
        <w:jc w:val="both"/>
        <w:rPr>
          <w:rFonts w:ascii="Times New Roman" w:hAnsi="Times New Roman"/>
          <w:b/>
        </w:rPr>
      </w:pPr>
      <w:r w:rsidRPr="00DA3BC7">
        <w:rPr>
          <w:rFonts w:ascii="Times New Roman" w:hAnsi="Times New Roman"/>
          <w:b/>
        </w:rPr>
        <w:t>因人們認識的錯誤，所以覺得諸法有實性，甚而想像有一實在的本體而從此現生一切。</w:t>
      </w:r>
    </w:p>
    <w:p w:rsidR="00AA120F" w:rsidRPr="00DA3BC7" w:rsidRDefault="00AA120F" w:rsidP="00AE3920">
      <w:pPr>
        <w:spacing w:beforeLines="20"/>
        <w:ind w:leftChars="350" w:left="840"/>
        <w:jc w:val="both"/>
        <w:rPr>
          <w:rFonts w:ascii="Times New Roman" w:hAnsi="Times New Roman"/>
        </w:rPr>
      </w:pPr>
      <w:r w:rsidRPr="00DA3BC7">
        <w:rPr>
          <w:rFonts w:ascii="Times New Roman" w:hAnsi="Times New Roman"/>
        </w:rPr>
        <w:t>佛學者如想像從本體而顯現為現象，即轉而與一般神教、玄學者類似，即不能顯出佛法異於外道的特色。</w:t>
      </w:r>
    </w:p>
    <w:p w:rsidR="00AA120F" w:rsidRPr="00DA3BC7" w:rsidRDefault="00DE3965" w:rsidP="00AE3920">
      <w:pPr>
        <w:spacing w:beforeLines="30"/>
        <w:ind w:leftChars="200" w:left="480"/>
        <w:jc w:val="both"/>
        <w:rPr>
          <w:rFonts w:ascii="Times New Roman" w:hAnsi="Times New Roman"/>
          <w:sz w:val="20"/>
          <w:szCs w:val="20"/>
        </w:rPr>
      </w:pPr>
      <w:r w:rsidRPr="00DE3965">
        <w:rPr>
          <w:rFonts w:ascii="Times New Roman" w:hAnsi="Times New Roman" w:hint="eastAsia"/>
          <w:b/>
          <w:color w:val="FF0000"/>
          <w:sz w:val="20"/>
          <w:szCs w:val="20"/>
          <w:highlight w:val="yellow"/>
          <w:bdr w:val="single" w:sz="4" w:space="0" w:color="auto"/>
        </w:rPr>
        <w:t>2</w:t>
      </w:r>
      <w:r w:rsidR="00AA120F" w:rsidRPr="00DE3965">
        <w:rPr>
          <w:rFonts w:ascii="Times New Roman" w:hAnsi="Times New Roman"/>
          <w:b/>
          <w:color w:val="FF0000"/>
          <w:sz w:val="20"/>
          <w:szCs w:val="20"/>
          <w:highlight w:val="yellow"/>
          <w:bdr w:val="single" w:sz="4" w:space="0" w:color="auto"/>
        </w:rPr>
        <w:t>、</w:t>
      </w:r>
      <w:r w:rsidRPr="00DE3965">
        <w:rPr>
          <w:rFonts w:ascii="Times New Roman" w:hAnsi="Times New Roman" w:hint="eastAsia"/>
          <w:b/>
          <w:color w:val="FF0000"/>
          <w:sz w:val="20"/>
          <w:szCs w:val="20"/>
          <w:highlight w:val="yellow"/>
          <w:bdr w:val="single" w:sz="4" w:space="0" w:color="auto"/>
        </w:rPr>
        <w:t>與</w:t>
      </w:r>
      <w:r>
        <w:rPr>
          <w:rFonts w:ascii="Times New Roman" w:hAnsi="Times New Roman" w:hint="eastAsia"/>
          <w:b/>
          <w:color w:val="FF0000"/>
          <w:sz w:val="20"/>
          <w:szCs w:val="20"/>
          <w:highlight w:val="yellow"/>
          <w:bdr w:val="single" w:sz="4" w:space="0" w:color="auto"/>
        </w:rPr>
        <w:t>經驗</w:t>
      </w:r>
      <w:r w:rsidRPr="00DE3965">
        <w:rPr>
          <w:rFonts w:ascii="Times New Roman" w:hAnsi="Times New Roman" w:hint="eastAsia"/>
          <w:b/>
          <w:color w:val="FF0000"/>
          <w:sz w:val="20"/>
          <w:szCs w:val="20"/>
          <w:highlight w:val="yellow"/>
          <w:bdr w:val="single" w:sz="4" w:space="0" w:color="auto"/>
        </w:rPr>
        <w:t>論</w:t>
      </w:r>
      <w:r w:rsidRPr="00DE3965">
        <w:rPr>
          <w:rFonts w:ascii="Times New Roman" w:hAnsi="Times New Roman"/>
          <w:b/>
          <w:color w:val="FF0000"/>
          <w:sz w:val="20"/>
          <w:szCs w:val="20"/>
          <w:highlight w:val="yellow"/>
          <w:bdr w:val="single" w:sz="4" w:space="0" w:color="auto"/>
        </w:rPr>
        <w:t>派</w:t>
      </w:r>
      <w:r w:rsidRPr="00DE3965">
        <w:rPr>
          <w:rFonts w:ascii="Times New Roman" w:hAnsi="Times New Roman" w:hint="eastAsia"/>
          <w:b/>
          <w:color w:val="FF0000"/>
          <w:sz w:val="20"/>
          <w:szCs w:val="20"/>
          <w:highlight w:val="yellow"/>
          <w:bdr w:val="single" w:sz="4" w:space="0" w:color="auto"/>
        </w:rPr>
        <w:t>、</w:t>
      </w:r>
      <w:r w:rsidRPr="00DE3965">
        <w:rPr>
          <w:rFonts w:ascii="Times New Roman" w:hAnsi="Times New Roman"/>
          <w:b/>
          <w:color w:val="FF0000"/>
          <w:sz w:val="20"/>
          <w:szCs w:val="20"/>
          <w:highlight w:val="yellow"/>
          <w:bdr w:val="single" w:sz="4" w:space="0" w:color="auto"/>
        </w:rPr>
        <w:t>現象論派</w:t>
      </w:r>
      <w:r w:rsidRPr="00DE3965">
        <w:rPr>
          <w:rFonts w:ascii="Times New Roman" w:hAnsi="Times New Roman" w:hint="eastAsia"/>
          <w:b/>
          <w:color w:val="FF0000"/>
          <w:sz w:val="20"/>
          <w:szCs w:val="20"/>
          <w:highlight w:val="yellow"/>
          <w:bdr w:val="single" w:sz="4" w:space="0" w:color="auto"/>
        </w:rPr>
        <w:t>的差異</w:t>
      </w:r>
      <w:r w:rsidR="00AA120F" w:rsidRPr="00DA3BC7">
        <w:rPr>
          <w:rFonts w:ascii="Times New Roman" w:hAnsi="Times New Roman"/>
          <w:sz w:val="20"/>
          <w:szCs w:val="20"/>
        </w:rPr>
        <w:t>（</w:t>
      </w:r>
      <w:r w:rsidR="00AA120F" w:rsidRPr="00DA3BC7">
        <w:rPr>
          <w:rFonts w:ascii="Times New Roman" w:hAnsi="Times New Roman"/>
          <w:sz w:val="20"/>
          <w:szCs w:val="20"/>
        </w:rPr>
        <w:t>p.203</w:t>
      </w:r>
      <w:r w:rsidR="00AA120F" w:rsidRPr="00DA3BC7">
        <w:rPr>
          <w:rFonts w:ascii="Times New Roman" w:hAnsi="Times New Roman"/>
          <w:sz w:val="20"/>
          <w:szCs w:val="20"/>
        </w:rPr>
        <w:t>）</w:t>
      </w:r>
    </w:p>
    <w:p w:rsidR="00AA120F" w:rsidRPr="00DA3BC7" w:rsidRDefault="00AA120F" w:rsidP="004729A2">
      <w:pPr>
        <w:ind w:leftChars="200" w:left="480"/>
        <w:jc w:val="both"/>
        <w:rPr>
          <w:rFonts w:ascii="Times New Roman" w:hAnsi="Times New Roman"/>
        </w:rPr>
      </w:pPr>
      <w:r w:rsidRPr="00DA3BC7">
        <w:rPr>
          <w:rFonts w:ascii="Times New Roman" w:hAnsi="Times New Roman"/>
        </w:rPr>
        <w:lastRenderedPageBreak/>
        <w:t>世間也有不承認形而上學的本體者，即</w:t>
      </w:r>
      <w:r w:rsidRPr="00DA3BC7">
        <w:rPr>
          <w:rFonts w:ascii="Times New Roman" w:hAnsi="Times New Roman"/>
          <w:b/>
        </w:rPr>
        <w:t>經驗論派</w:t>
      </w:r>
      <w:r w:rsidRPr="00DA3BC7">
        <w:rPr>
          <w:rFonts w:ascii="Times New Roman" w:hAnsi="Times New Roman"/>
        </w:rPr>
        <w:t>或</w:t>
      </w:r>
      <w:r w:rsidRPr="00DA3BC7">
        <w:rPr>
          <w:rFonts w:ascii="Times New Roman" w:hAnsi="Times New Roman"/>
          <w:b/>
        </w:rPr>
        <w:t>現象論</w:t>
      </w:r>
      <w:r w:rsidRPr="00DA3BC7">
        <w:rPr>
          <w:rStyle w:val="a6"/>
          <w:rFonts w:ascii="Times New Roman" w:hAnsi="Times New Roman"/>
        </w:rPr>
        <w:footnoteReference w:id="893"/>
      </w:r>
      <w:r w:rsidRPr="00DA3BC7">
        <w:rPr>
          <w:rFonts w:ascii="Times New Roman" w:hAnsi="Times New Roman"/>
          <w:b/>
        </w:rPr>
        <w:t>派</w:t>
      </w:r>
      <w:r w:rsidRPr="00DA3BC7">
        <w:rPr>
          <w:rFonts w:ascii="Times New Roman" w:hAnsi="Times New Roman"/>
        </w:rPr>
        <w:t>。此派以為神教、玄學家的本體，是幻想的產物，是以自己的推論為根據而建立的，他們根本就沒有見到什麼本體。</w:t>
      </w:r>
    </w:p>
    <w:p w:rsidR="00AA120F" w:rsidRPr="00DA3BC7" w:rsidRDefault="00AA120F" w:rsidP="00AE3920">
      <w:pPr>
        <w:spacing w:beforeLines="20"/>
        <w:ind w:leftChars="200" w:left="480"/>
        <w:jc w:val="both"/>
        <w:rPr>
          <w:rFonts w:ascii="Times New Roman" w:hAnsi="Times New Roman"/>
        </w:rPr>
      </w:pPr>
      <w:r w:rsidRPr="00DA3BC7">
        <w:rPr>
          <w:rFonts w:ascii="Times New Roman" w:hAnsi="Times New Roman"/>
        </w:rPr>
        <w:t>這極有理，但又多少偏於一邊了！</w:t>
      </w:r>
    </w:p>
    <w:p w:rsidR="00AA120F" w:rsidRPr="00DA3BC7" w:rsidRDefault="00DE3965" w:rsidP="00AE3920">
      <w:pPr>
        <w:spacing w:beforeLines="30"/>
        <w:ind w:leftChars="200" w:left="480"/>
        <w:jc w:val="both"/>
        <w:rPr>
          <w:rFonts w:ascii="Times New Roman" w:hAnsi="Times New Roman"/>
          <w:b/>
          <w:sz w:val="20"/>
          <w:szCs w:val="20"/>
        </w:rPr>
      </w:pPr>
      <w:r w:rsidRPr="00DE3965">
        <w:rPr>
          <w:rFonts w:ascii="Times New Roman" w:hAnsi="Times New Roman" w:hint="eastAsia"/>
          <w:b/>
          <w:color w:val="FF0000"/>
          <w:sz w:val="20"/>
          <w:szCs w:val="20"/>
          <w:highlight w:val="yellow"/>
          <w:bdr w:val="single" w:sz="4" w:space="0" w:color="auto"/>
        </w:rPr>
        <w:t>3</w:t>
      </w:r>
      <w:r w:rsidR="00AA120F" w:rsidRPr="00DE3965">
        <w:rPr>
          <w:rFonts w:ascii="Times New Roman" w:hAnsi="Times New Roman"/>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中觀的根本教</w:t>
      </w:r>
      <w:r w:rsidR="00AA120F" w:rsidRPr="00DE3965">
        <w:rPr>
          <w:rFonts w:ascii="Times New Roman" w:hAnsi="Times New Roman"/>
          <w:b/>
          <w:sz w:val="20"/>
          <w:szCs w:val="20"/>
          <w:highlight w:val="yellow"/>
          <w:bdr w:val="single" w:sz="4" w:space="0" w:color="auto"/>
        </w:rPr>
        <w:t>義</w:t>
      </w:r>
      <w:r w:rsidR="00AA120F" w:rsidRPr="00DA3BC7">
        <w:rPr>
          <w:rFonts w:ascii="Times New Roman" w:hAnsi="Times New Roman"/>
          <w:sz w:val="20"/>
          <w:szCs w:val="20"/>
        </w:rPr>
        <w:t>（</w:t>
      </w:r>
      <w:r w:rsidR="00AA120F" w:rsidRPr="00DA3BC7">
        <w:rPr>
          <w:rFonts w:ascii="Times New Roman" w:hAnsi="Times New Roman"/>
          <w:sz w:val="20"/>
          <w:szCs w:val="20"/>
        </w:rPr>
        <w:t>p.203</w:t>
      </w:r>
      <w:r w:rsidR="00AA120F" w:rsidRPr="00DA3BC7">
        <w:rPr>
          <w:rFonts w:ascii="Times New Roman" w:hAnsi="Times New Roman"/>
          <w:sz w:val="20"/>
          <w:szCs w:val="20"/>
        </w:rPr>
        <w:t>）</w:t>
      </w:r>
    </w:p>
    <w:p w:rsidR="00AA120F" w:rsidRPr="00DA3BC7" w:rsidRDefault="00AA120F" w:rsidP="004729A2">
      <w:pPr>
        <w:ind w:leftChars="200" w:left="480"/>
        <w:jc w:val="both"/>
        <w:rPr>
          <w:rFonts w:ascii="Times New Roman" w:hAnsi="Times New Roman"/>
        </w:rPr>
      </w:pPr>
      <w:r w:rsidRPr="00DA3BC7">
        <w:rPr>
          <w:rFonts w:ascii="Times New Roman" w:hAnsi="Times New Roman"/>
        </w:rPr>
        <w:t>中觀的根本義是：一切法的真相、本性，要適如其量的去把握它，不能為錯亂、顛倒的認識所蒙蔽。</w:t>
      </w:r>
      <w:r w:rsidRPr="00DA3BC7">
        <w:rPr>
          <w:rFonts w:ascii="Times New Roman" w:hAnsi="Times New Roman"/>
          <w:b/>
        </w:rPr>
        <w:t>離顛倒錯亂正覺得的，名為本性、實相，這即是一切法的本性、實相</w:t>
      </w:r>
      <w:r w:rsidRPr="00DA3BC7">
        <w:rPr>
          <w:rFonts w:ascii="Times New Roman" w:hAnsi="Times New Roman"/>
        </w:rPr>
        <w:t>，而非別體。</w:t>
      </w:r>
    </w:p>
    <w:p w:rsidR="00AA120F" w:rsidRPr="00DA3BC7" w:rsidRDefault="00AA120F" w:rsidP="00AE3920">
      <w:pPr>
        <w:spacing w:beforeLines="20"/>
        <w:ind w:leftChars="200" w:left="480"/>
        <w:jc w:val="both"/>
        <w:rPr>
          <w:rFonts w:ascii="Times New Roman" w:hAnsi="Times New Roman"/>
        </w:rPr>
      </w:pPr>
      <w:r w:rsidRPr="00DA3BC7">
        <w:rPr>
          <w:rFonts w:ascii="Times New Roman" w:hAnsi="Times New Roman"/>
        </w:rPr>
        <w:t>這不同於偏於經驗論者、現象論者的向外奔放，安於偏頗錯亂的現實。</w:t>
      </w:r>
    </w:p>
    <w:p w:rsidR="00AA120F" w:rsidRPr="00DA3BC7" w:rsidRDefault="00AA120F" w:rsidP="004729A2">
      <w:pPr>
        <w:ind w:leftChars="200" w:left="480"/>
        <w:jc w:val="both"/>
        <w:rPr>
          <w:rFonts w:ascii="Times New Roman" w:hAnsi="Times New Roman"/>
        </w:rPr>
      </w:pPr>
      <w:r w:rsidRPr="00DA3BC7">
        <w:rPr>
          <w:rFonts w:ascii="Times New Roman" w:hAnsi="Times New Roman"/>
        </w:rPr>
        <w:t>但</w:t>
      </w:r>
      <w:r w:rsidRPr="00DA3BC7">
        <w:rPr>
          <w:rFonts w:ascii="Times New Roman" w:hAnsi="Times New Roman"/>
          <w:b/>
        </w:rPr>
        <w:t>本性</w:t>
      </w:r>
      <w:r w:rsidRPr="00DA3BC7">
        <w:rPr>
          <w:rFonts w:ascii="Times New Roman" w:hAnsi="Times New Roman"/>
        </w:rPr>
        <w:t>不是一般所想像的本體，故與</w:t>
      </w:r>
      <w:r w:rsidRPr="00DA3BC7">
        <w:rPr>
          <w:rFonts w:ascii="Times New Roman" w:hAnsi="Times New Roman"/>
          <w:b/>
        </w:rPr>
        <w:t>神教、玄學等的本體論也不同</w:t>
      </w:r>
      <w:r w:rsidRPr="00DA3BC7">
        <w:rPr>
          <w:rFonts w:ascii="Times New Roman" w:hAnsi="Times New Roman"/>
        </w:rPr>
        <w:t>。</w:t>
      </w:r>
    </w:p>
    <w:p w:rsidR="00AA120F" w:rsidRPr="00DA3BC7" w:rsidRDefault="00DE3965" w:rsidP="00AE3920">
      <w:pPr>
        <w:spacing w:beforeLines="30"/>
        <w:ind w:leftChars="100" w:left="240"/>
        <w:jc w:val="both"/>
        <w:rPr>
          <w:rFonts w:ascii="Times New Roman" w:hAnsi="Times New Roman"/>
          <w:b/>
          <w:sz w:val="20"/>
          <w:szCs w:val="20"/>
        </w:rPr>
      </w:pPr>
      <w:r>
        <w:rPr>
          <w:rFonts w:ascii="Times New Roman" w:hAnsi="Times New Roman" w:hint="eastAsia"/>
          <w:b/>
          <w:color w:val="FF0000"/>
          <w:sz w:val="20"/>
          <w:szCs w:val="20"/>
          <w:highlight w:val="yellow"/>
          <w:bdr w:val="single" w:sz="4" w:space="0" w:color="auto"/>
        </w:rPr>
        <w:t>三</w:t>
      </w:r>
      <w:r w:rsidR="00AA120F" w:rsidRPr="00DA3BC7">
        <w:rPr>
          <w:rFonts w:ascii="Times New Roman" w:hAnsi="Times New Roman"/>
          <w:b/>
          <w:sz w:val="20"/>
          <w:szCs w:val="20"/>
          <w:bdr w:val="single" w:sz="4" w:space="0" w:color="auto"/>
        </w:rPr>
        <w:t>、總結</w:t>
      </w:r>
      <w:r w:rsidR="00AA120F" w:rsidRPr="00DA3BC7">
        <w:rPr>
          <w:rFonts w:ascii="Times New Roman" w:hAnsi="Times New Roman"/>
          <w:sz w:val="20"/>
          <w:szCs w:val="20"/>
        </w:rPr>
        <w:t>（</w:t>
      </w:r>
      <w:r w:rsidR="00AA120F" w:rsidRPr="00DA3BC7">
        <w:rPr>
          <w:rFonts w:ascii="Times New Roman" w:hAnsi="Times New Roman"/>
          <w:sz w:val="20"/>
          <w:szCs w:val="20"/>
        </w:rPr>
        <w:t>p.203</w:t>
      </w:r>
      <w:r w:rsidR="00AA120F" w:rsidRPr="00DA3BC7">
        <w:rPr>
          <w:rFonts w:ascii="Times New Roman" w:hAnsi="Times New Roman"/>
          <w:sz w:val="20"/>
          <w:szCs w:val="20"/>
        </w:rPr>
        <w:t>）</w:t>
      </w:r>
    </w:p>
    <w:p w:rsidR="00AA120F" w:rsidRPr="00DA3BC7" w:rsidRDefault="00AA120F" w:rsidP="004729A2">
      <w:pPr>
        <w:ind w:leftChars="100" w:left="240"/>
        <w:jc w:val="both"/>
        <w:rPr>
          <w:rFonts w:ascii="Times New Roman" w:hAnsi="Times New Roman"/>
        </w:rPr>
      </w:pPr>
      <w:r w:rsidRPr="00DA3BC7">
        <w:rPr>
          <w:rFonts w:ascii="Times New Roman" w:hAnsi="Times New Roman"/>
        </w:rPr>
        <w:t>總之，依佛法看</w:t>
      </w:r>
      <w:r w:rsidRPr="00DA3BC7">
        <w:rPr>
          <w:rFonts w:ascii="Times New Roman" w:hAnsi="Times New Roman" w:hint="eastAsia"/>
        </w:rPr>
        <w:t>，</w:t>
      </w:r>
      <w:r w:rsidRPr="00DA3BC7">
        <w:rPr>
          <w:rFonts w:ascii="Times New Roman" w:hAnsi="Times New Roman"/>
        </w:rPr>
        <w:t>他們都是偏重了一方面</w:t>
      </w:r>
      <w:r w:rsidRPr="00DA3BC7">
        <w:rPr>
          <w:rFonts w:ascii="Times New Roman" w:hAnsi="Times New Roman" w:hint="eastAsia"/>
        </w:rPr>
        <w:t>：</w:t>
      </w:r>
    </w:p>
    <w:p w:rsidR="00AA120F" w:rsidRPr="00DA3BC7" w:rsidRDefault="00AA120F" w:rsidP="004729A2">
      <w:pPr>
        <w:ind w:leftChars="900" w:left="2160"/>
        <w:jc w:val="both"/>
        <w:rPr>
          <w:rFonts w:ascii="Times New Roman" w:hAnsi="Times New Roman"/>
        </w:rPr>
      </w:pPr>
      <w:r w:rsidRPr="00DA3BC7">
        <w:rPr>
          <w:rFonts w:ascii="Times New Roman" w:hAnsi="Times New Roman"/>
        </w:rPr>
        <w:t>重於</w:t>
      </w:r>
      <w:r w:rsidRPr="00DA3BC7">
        <w:rPr>
          <w:rFonts w:ascii="Times New Roman" w:hAnsi="Times New Roman"/>
          <w:b/>
        </w:rPr>
        <w:t>差別</w:t>
      </w:r>
      <w:r w:rsidRPr="00DA3BC7">
        <w:rPr>
          <w:rFonts w:ascii="Times New Roman" w:hAnsi="Times New Roman"/>
        </w:rPr>
        <w:t>的，本性也隨之有差別了，甚至</w:t>
      </w:r>
      <w:r w:rsidRPr="00DA3BC7">
        <w:rPr>
          <w:rFonts w:ascii="Times New Roman" w:hAnsi="Times New Roman"/>
          <w:b/>
        </w:rPr>
        <w:t>否認本性</w:t>
      </w:r>
      <w:r w:rsidRPr="00DA3BC7">
        <w:rPr>
          <w:rFonts w:ascii="Times New Roman" w:hAnsi="Times New Roman" w:hint="eastAsia"/>
        </w:rPr>
        <w:t>；</w:t>
      </w:r>
    </w:p>
    <w:p w:rsidR="00E278A4" w:rsidRDefault="00AA120F" w:rsidP="004729A2">
      <w:pPr>
        <w:ind w:leftChars="900" w:left="2160"/>
        <w:jc w:val="both"/>
        <w:rPr>
          <w:rFonts w:ascii="Times New Roman" w:hAnsi="Times New Roman"/>
        </w:rPr>
      </w:pPr>
      <w:r w:rsidRPr="00DA3BC7">
        <w:rPr>
          <w:rFonts w:ascii="Times New Roman" w:hAnsi="Times New Roman"/>
        </w:rPr>
        <w:t>重於</w:t>
      </w:r>
      <w:r w:rsidRPr="00DA3BC7">
        <w:rPr>
          <w:rFonts w:ascii="Times New Roman" w:hAnsi="Times New Roman"/>
          <w:b/>
        </w:rPr>
        <w:t>本性平等</w:t>
      </w:r>
      <w:r w:rsidRPr="00DA3BC7">
        <w:rPr>
          <w:rFonts w:ascii="Times New Roman" w:hAnsi="Times New Roman"/>
        </w:rPr>
        <w:t>的，現象也平等了，甚至</w:t>
      </w:r>
      <w:r w:rsidRPr="00DA3BC7">
        <w:rPr>
          <w:rFonts w:ascii="Times New Roman" w:hAnsi="Times New Roman"/>
          <w:b/>
        </w:rPr>
        <w:t>抹煞現象</w:t>
      </w:r>
      <w:r w:rsidRPr="00DA3BC7">
        <w:rPr>
          <w:rFonts w:ascii="Times New Roman" w:hAnsi="Times New Roman"/>
        </w:rPr>
        <w:t>。</w:t>
      </w:r>
    </w:p>
    <w:p w:rsidR="00E278A4" w:rsidRDefault="00AA120F" w:rsidP="004729A2">
      <w:pPr>
        <w:ind w:leftChars="900" w:left="2160"/>
        <w:jc w:val="both"/>
        <w:rPr>
          <w:rFonts w:ascii="Times New Roman" w:hAnsi="Times New Roman"/>
        </w:rPr>
      </w:pPr>
      <w:r w:rsidRPr="00DA3BC7">
        <w:rPr>
          <w:rFonts w:ascii="Times New Roman" w:hAnsi="Times New Roman"/>
        </w:rPr>
        <w:t>這些，都不能正見中道。不是執事廢理，就是執理廢事。</w:t>
      </w:r>
    </w:p>
    <w:p w:rsidR="00AA120F" w:rsidRPr="00DA3BC7" w:rsidRDefault="00AA120F" w:rsidP="00AE3920">
      <w:pPr>
        <w:spacing w:beforeLines="20"/>
        <w:ind w:leftChars="100" w:left="240"/>
        <w:jc w:val="both"/>
        <w:rPr>
          <w:rFonts w:ascii="Times New Roman" w:hAnsi="Times New Roman"/>
          <w:b/>
          <w:sz w:val="26"/>
          <w:szCs w:val="26"/>
        </w:rPr>
        <w:sectPr w:rsidR="00AA120F" w:rsidRPr="00DA3BC7" w:rsidSect="004F4714">
          <w:headerReference w:type="default" r:id="rId61"/>
          <w:footnotePr>
            <w:numRestart w:val="eachSect"/>
          </w:footnotePr>
          <w:pgSz w:w="10773" w:h="14742" w:code="155"/>
          <w:pgMar w:top="1418" w:right="1418" w:bottom="1418" w:left="1418" w:header="851" w:footer="992" w:gutter="0"/>
          <w:cols w:space="425"/>
          <w:docGrid w:type="lines" w:linePitch="360"/>
        </w:sectPr>
      </w:pPr>
      <w:r w:rsidRPr="00E278A4">
        <w:rPr>
          <w:rFonts w:ascii="Times New Roman" w:hAnsi="Times New Roman"/>
          <w:b/>
          <w:highlight w:val="yellow"/>
        </w:rPr>
        <w:lastRenderedPageBreak/>
        <w:t>唯</w:t>
      </w:r>
      <w:r w:rsidRPr="00DA3BC7">
        <w:rPr>
          <w:rFonts w:ascii="Times New Roman" w:hAnsi="Times New Roman"/>
          <w:b/>
        </w:rPr>
        <w:t>有依中觀正義確立緣起與本性的中道觀，才能行於中道，到達究竟</w:t>
      </w:r>
      <w:r w:rsidRPr="00DA3BC7">
        <w:rPr>
          <w:rFonts w:ascii="Times New Roman" w:hAnsi="Times New Roman"/>
          <w:b/>
          <w:sz w:val="26"/>
          <w:szCs w:val="26"/>
        </w:rPr>
        <w:t>。</w:t>
      </w:r>
    </w:p>
    <w:p w:rsidR="00AA120F" w:rsidRPr="00DA3BC7" w:rsidRDefault="00AA120F" w:rsidP="008E2BBC">
      <w:pPr>
        <w:pStyle w:val="1"/>
      </w:pPr>
      <w:bookmarkStart w:id="127" w:name="_Toc405499797"/>
      <w:r w:rsidRPr="00DA3BC7">
        <w:lastRenderedPageBreak/>
        <w:t>第十章</w:t>
      </w:r>
      <w:r w:rsidRPr="00DA3BC7">
        <w:rPr>
          <w:rFonts w:hint="eastAsia"/>
        </w:rPr>
        <w:t>、</w:t>
      </w:r>
      <w:r w:rsidRPr="00DA3BC7">
        <w:t>談二諦</w:t>
      </w:r>
      <w:bookmarkEnd w:id="127"/>
    </w:p>
    <w:p w:rsidR="00AA120F" w:rsidRPr="00DA3BC7" w:rsidRDefault="00AA120F" w:rsidP="008E2BBC">
      <w:pPr>
        <w:pStyle w:val="2"/>
      </w:pPr>
      <w:bookmarkStart w:id="128" w:name="_Toc405499798"/>
      <w:r w:rsidRPr="00DA3BC7">
        <w:t>第一節、總說</w:t>
      </w:r>
      <w:bookmarkEnd w:id="128"/>
    </w:p>
    <w:p w:rsidR="00AA120F" w:rsidRPr="00DA3BC7" w:rsidRDefault="00AA120F" w:rsidP="008E2BBC">
      <w:pPr>
        <w:jc w:val="center"/>
      </w:pPr>
      <w:r w:rsidRPr="00DA3BC7">
        <w:t>（</w:t>
      </w:r>
      <w:r w:rsidRPr="00DA3BC7">
        <w:rPr>
          <w:rFonts w:ascii="Times New Roman" w:hAnsi="Times New Roman"/>
        </w:rPr>
        <w:t>pp</w:t>
      </w:r>
      <w:r w:rsidRPr="00DA3BC7">
        <w:t>.</w:t>
      </w:r>
      <w:r w:rsidRPr="00DA3BC7">
        <w:rPr>
          <w:rFonts w:ascii="Times New Roman" w:hAnsi="Times New Roman"/>
        </w:rPr>
        <w:t>205</w:t>
      </w:r>
      <w:r w:rsidRPr="00DA3BC7">
        <w:t>-</w:t>
      </w:r>
      <w:r w:rsidRPr="00DA3BC7">
        <w:rPr>
          <w:rFonts w:ascii="Times New Roman" w:hAnsi="Times New Roman"/>
        </w:rPr>
        <w:t>211</w:t>
      </w:r>
      <w:r w:rsidRPr="00DA3BC7">
        <w:t>）</w:t>
      </w:r>
    </w:p>
    <w:p w:rsidR="00AA120F" w:rsidRPr="00DA3BC7" w:rsidRDefault="00AA120F" w:rsidP="008E2BBC">
      <w:pPr>
        <w:pStyle w:val="Author"/>
      </w:pPr>
    </w:p>
    <w:p w:rsidR="00AA120F" w:rsidRPr="00DA3BC7" w:rsidRDefault="00AA120F" w:rsidP="00AE3920">
      <w:pPr>
        <w:spacing w:beforeLines="50"/>
        <w:jc w:val="both"/>
        <w:rPr>
          <w:rFonts w:ascii="Times New Roman" w:hAnsi="Times New Roman"/>
          <w:sz w:val="20"/>
          <w:szCs w:val="20"/>
        </w:rPr>
      </w:pPr>
      <w:r w:rsidRPr="00DA3BC7">
        <w:rPr>
          <w:rFonts w:ascii="Times New Roman" w:hAnsi="Times New Roman" w:hint="eastAsia"/>
          <w:b/>
          <w:kern w:val="0"/>
          <w:sz w:val="20"/>
          <w:szCs w:val="20"/>
          <w:bdr w:val="single" w:sz="4" w:space="0" w:color="auto"/>
        </w:rPr>
        <w:t>壹</w:t>
      </w:r>
      <w:r w:rsidRPr="00DA3BC7">
        <w:rPr>
          <w:rFonts w:ascii="Times New Roman" w:hAnsi="Times New Roman"/>
          <w:b/>
          <w:kern w:val="0"/>
          <w:sz w:val="20"/>
          <w:szCs w:val="20"/>
          <w:bdr w:val="single" w:sz="4" w:space="0" w:color="auto"/>
        </w:rPr>
        <w:t>、</w:t>
      </w:r>
      <w:r w:rsidR="00087A25" w:rsidRPr="00087A25">
        <w:rPr>
          <w:rFonts w:ascii="Times New Roman" w:hAnsi="Times New Roman" w:hint="eastAsia"/>
          <w:b/>
          <w:color w:val="FF0000"/>
          <w:kern w:val="0"/>
          <w:sz w:val="20"/>
          <w:szCs w:val="20"/>
          <w:highlight w:val="yellow"/>
          <w:bdr w:val="single" w:sz="4" w:space="0" w:color="auto"/>
        </w:rPr>
        <w:t>開宗明義：</w:t>
      </w:r>
      <w:r w:rsidRPr="00087A25">
        <w:rPr>
          <w:rFonts w:ascii="Times New Roman" w:hAnsi="Times New Roman" w:hint="eastAsia"/>
          <w:b/>
          <w:color w:val="FF0000"/>
          <w:kern w:val="0"/>
          <w:sz w:val="20"/>
          <w:szCs w:val="20"/>
          <w:highlight w:val="yellow"/>
          <w:bdr w:val="single" w:sz="4" w:space="0" w:color="auto"/>
        </w:rPr>
        <w:t>二諦為</w:t>
      </w:r>
      <w:r w:rsidR="00087A25" w:rsidRPr="00087A25">
        <w:rPr>
          <w:rFonts w:ascii="Times New Roman" w:hAnsi="Times New Roman" w:hint="eastAsia"/>
          <w:b/>
          <w:color w:val="FF0000"/>
          <w:kern w:val="0"/>
          <w:sz w:val="20"/>
          <w:szCs w:val="20"/>
          <w:highlight w:val="yellow"/>
          <w:bdr w:val="single" w:sz="4" w:space="0" w:color="auto"/>
        </w:rPr>
        <w:t>佛法教</w:t>
      </w:r>
      <w:r w:rsidR="00087A25" w:rsidRPr="00087A25">
        <w:rPr>
          <w:rFonts w:ascii="新細明體" w:hAnsi="新細明體" w:hint="eastAsia"/>
          <w:b/>
          <w:color w:val="FF0000"/>
          <w:kern w:val="0"/>
          <w:sz w:val="20"/>
          <w:szCs w:val="20"/>
          <w:highlight w:val="yellow"/>
          <w:bdr w:val="single" w:sz="4" w:space="0" w:color="auto"/>
        </w:rPr>
        <w:t>.</w:t>
      </w:r>
      <w:r w:rsidR="00087A25" w:rsidRPr="00087A25">
        <w:rPr>
          <w:rFonts w:ascii="Times New Roman" w:hAnsi="Times New Roman" w:hint="eastAsia"/>
          <w:b/>
          <w:color w:val="FF0000"/>
          <w:kern w:val="0"/>
          <w:sz w:val="20"/>
          <w:szCs w:val="20"/>
          <w:highlight w:val="yellow"/>
          <w:bdr w:val="single" w:sz="4" w:space="0" w:color="auto"/>
        </w:rPr>
        <w:t>證之</w:t>
      </w:r>
      <w:r w:rsidRPr="00087A25">
        <w:rPr>
          <w:rFonts w:ascii="Times New Roman" w:hAnsi="Times New Roman" w:hint="eastAsia"/>
          <w:b/>
          <w:color w:val="FF0000"/>
          <w:kern w:val="0"/>
          <w:sz w:val="20"/>
          <w:szCs w:val="20"/>
          <w:highlight w:val="yellow"/>
          <w:bdr w:val="single" w:sz="4" w:space="0" w:color="auto"/>
        </w:rPr>
        <w:t>本</w:t>
      </w:r>
      <w:r w:rsidRPr="00DA3BC7">
        <w:rPr>
          <w:rFonts w:ascii="Times New Roman" w:hAnsi="Times New Roman"/>
          <w:sz w:val="20"/>
          <w:szCs w:val="20"/>
        </w:rPr>
        <w:t>（</w:t>
      </w:r>
      <w:r w:rsidRPr="00DA3BC7">
        <w:rPr>
          <w:rFonts w:ascii="Times New Roman" w:hAnsi="Times New Roman"/>
          <w:sz w:val="20"/>
          <w:szCs w:val="20"/>
        </w:rPr>
        <w:t>p.205</w:t>
      </w:r>
      <w:r w:rsidRPr="00DA3BC7">
        <w:rPr>
          <w:rFonts w:ascii="Times New Roman" w:hAnsi="Times New Roman"/>
          <w:sz w:val="20"/>
          <w:szCs w:val="20"/>
        </w:rPr>
        <w:t>）</w:t>
      </w:r>
    </w:p>
    <w:p w:rsidR="00AA120F" w:rsidRDefault="00AA120F" w:rsidP="008E2BBC">
      <w:pPr>
        <w:ind w:leftChars="50" w:left="120"/>
        <w:jc w:val="both"/>
        <w:rPr>
          <w:rFonts w:ascii="Times New Roman" w:hAnsi="Times New Roman"/>
          <w:sz w:val="20"/>
          <w:szCs w:val="20"/>
        </w:rPr>
      </w:pPr>
      <w:r w:rsidRPr="00DA3BC7">
        <w:rPr>
          <w:rFonts w:ascii="Times New Roman" w:hAnsi="Times New Roman" w:hint="eastAsia"/>
          <w:b/>
          <w:kern w:val="0"/>
          <w:sz w:val="20"/>
          <w:szCs w:val="20"/>
          <w:bdr w:val="single" w:sz="4" w:space="0" w:color="auto"/>
        </w:rPr>
        <w:t>（壹）</w:t>
      </w:r>
      <w:r w:rsidR="00087A25">
        <w:rPr>
          <w:rFonts w:ascii="Times New Roman" w:hAnsi="Times New Roman" w:hint="eastAsia"/>
          <w:b/>
          <w:color w:val="FF0000"/>
          <w:kern w:val="0"/>
          <w:sz w:val="20"/>
          <w:szCs w:val="20"/>
          <w:highlight w:val="yellow"/>
          <w:bdr w:val="single" w:sz="4" w:space="0" w:color="auto"/>
        </w:rPr>
        <w:t>直顯教本</w:t>
      </w:r>
      <w:r w:rsidRPr="00DA3BC7">
        <w:rPr>
          <w:rFonts w:ascii="Times New Roman" w:hAnsi="Times New Roman"/>
          <w:sz w:val="20"/>
          <w:szCs w:val="20"/>
        </w:rPr>
        <w:t>（</w:t>
      </w:r>
      <w:r w:rsidRPr="00DA3BC7">
        <w:rPr>
          <w:rFonts w:ascii="Times New Roman" w:hAnsi="Times New Roman"/>
          <w:sz w:val="20"/>
          <w:szCs w:val="20"/>
        </w:rPr>
        <w:t>p.205</w:t>
      </w:r>
      <w:r w:rsidRPr="00DA3BC7">
        <w:rPr>
          <w:rFonts w:ascii="Times New Roman" w:hAnsi="Times New Roman"/>
          <w:sz w:val="20"/>
          <w:szCs w:val="20"/>
        </w:rPr>
        <w:t>）</w:t>
      </w:r>
    </w:p>
    <w:p w:rsidR="00087A25" w:rsidRPr="00087A25" w:rsidRDefault="00087A25" w:rsidP="004C5370">
      <w:pPr>
        <w:ind w:leftChars="100" w:left="240"/>
        <w:jc w:val="both"/>
        <w:rPr>
          <w:rFonts w:ascii="Times New Roman" w:hAnsi="Times New Roman"/>
          <w:b/>
          <w:bCs/>
          <w:color w:val="FF0000"/>
          <w:kern w:val="0"/>
          <w:sz w:val="20"/>
          <w:szCs w:val="20"/>
          <w:highlight w:val="yellow"/>
          <w:bdr w:val="single" w:sz="4" w:space="0" w:color="auto"/>
        </w:rPr>
      </w:pPr>
      <w:r w:rsidRPr="00087A25">
        <w:rPr>
          <w:rFonts w:ascii="Times New Roman" w:hAnsi="Times New Roman" w:hint="eastAsia"/>
          <w:b/>
          <w:color w:val="FF0000"/>
          <w:kern w:val="0"/>
          <w:sz w:val="20"/>
          <w:szCs w:val="20"/>
          <w:highlight w:val="yellow"/>
          <w:bdr w:val="single" w:sz="4" w:space="0" w:color="auto"/>
        </w:rPr>
        <w:t>一、表述</w:t>
      </w:r>
      <w:r w:rsidRPr="00DA3BC7">
        <w:rPr>
          <w:rFonts w:ascii="Times New Roman" w:hAnsi="Times New Roman"/>
          <w:sz w:val="20"/>
          <w:szCs w:val="20"/>
        </w:rPr>
        <w:t>（</w:t>
      </w:r>
      <w:r w:rsidRPr="00DA3BC7">
        <w:rPr>
          <w:rFonts w:ascii="Times New Roman" w:hAnsi="Times New Roman"/>
          <w:sz w:val="20"/>
          <w:szCs w:val="20"/>
        </w:rPr>
        <w:t>p.205</w:t>
      </w:r>
      <w:r w:rsidRPr="00DA3BC7">
        <w:rPr>
          <w:rFonts w:ascii="Times New Roman" w:hAnsi="Times New Roman"/>
          <w:sz w:val="20"/>
          <w:szCs w:val="20"/>
        </w:rPr>
        <w:t>）</w:t>
      </w:r>
    </w:p>
    <w:p w:rsidR="00AA120F" w:rsidRPr="00DA3BC7" w:rsidRDefault="00AA120F" w:rsidP="004C5370">
      <w:pPr>
        <w:widowControl/>
        <w:ind w:leftChars="100" w:left="240"/>
        <w:jc w:val="both"/>
        <w:rPr>
          <w:rFonts w:ascii="Times New Roman" w:hAnsi="Times New Roman"/>
          <w:kern w:val="0"/>
        </w:rPr>
      </w:pPr>
      <w:r w:rsidRPr="00DA3BC7">
        <w:rPr>
          <w:rFonts w:ascii="Times New Roman" w:hAnsi="Times New Roman"/>
          <w:kern w:val="0"/>
        </w:rPr>
        <w:t>二諦，為佛法中極根本的論題。</w:t>
      </w:r>
    </w:p>
    <w:p w:rsidR="00AA120F" w:rsidRPr="00DA3BC7" w:rsidRDefault="00AA120F" w:rsidP="00AE3920">
      <w:pPr>
        <w:widowControl/>
        <w:spacing w:beforeLines="20"/>
        <w:ind w:leftChars="100" w:left="240"/>
        <w:jc w:val="both"/>
        <w:rPr>
          <w:rFonts w:ascii="Times New Roman" w:hAnsi="Times New Roman"/>
          <w:kern w:val="0"/>
        </w:rPr>
      </w:pPr>
      <w:r w:rsidRPr="00DA3BC7">
        <w:rPr>
          <w:rFonts w:ascii="Times New Roman" w:hAnsi="Times New Roman"/>
          <w:kern w:val="0"/>
        </w:rPr>
        <w:t>佛法的目的，在乎引導眾生轉迷啟悟，而引導的方法，即以二諦為本，故對二諦應求得確當的了解。</w:t>
      </w:r>
    </w:p>
    <w:p w:rsidR="00087A25" w:rsidRPr="00087A25" w:rsidRDefault="00087A25" w:rsidP="00AE3920">
      <w:pPr>
        <w:spacing w:beforeLines="30"/>
        <w:ind w:leftChars="100" w:left="240"/>
        <w:jc w:val="both"/>
        <w:rPr>
          <w:rFonts w:ascii="Times New Roman" w:hAnsi="Times New Roman"/>
          <w:b/>
          <w:bCs/>
          <w:color w:val="FF0000"/>
          <w:kern w:val="0"/>
          <w:sz w:val="20"/>
          <w:szCs w:val="20"/>
          <w:highlight w:val="yellow"/>
          <w:bdr w:val="single" w:sz="4" w:space="0" w:color="auto"/>
        </w:rPr>
      </w:pPr>
      <w:r>
        <w:rPr>
          <w:rFonts w:ascii="Times New Roman" w:hAnsi="Times New Roman" w:hint="eastAsia"/>
          <w:b/>
          <w:color w:val="FF0000"/>
          <w:kern w:val="0"/>
          <w:sz w:val="20"/>
          <w:szCs w:val="20"/>
          <w:highlight w:val="yellow"/>
          <w:bdr w:val="single" w:sz="4" w:space="0" w:color="auto"/>
        </w:rPr>
        <w:t>二</w:t>
      </w:r>
      <w:r w:rsidRPr="00087A25">
        <w:rPr>
          <w:rFonts w:ascii="Times New Roman" w:hAnsi="Times New Roman" w:hint="eastAsia"/>
          <w:b/>
          <w:color w:val="FF0000"/>
          <w:kern w:val="0"/>
          <w:sz w:val="20"/>
          <w:szCs w:val="20"/>
          <w:highlight w:val="yellow"/>
          <w:bdr w:val="single" w:sz="4" w:space="0" w:color="auto"/>
        </w:rPr>
        <w:t>、</w:t>
      </w:r>
      <w:r>
        <w:rPr>
          <w:rFonts w:ascii="Times New Roman" w:hAnsi="Times New Roman" w:hint="eastAsia"/>
          <w:b/>
          <w:color w:val="FF0000"/>
          <w:kern w:val="0"/>
          <w:sz w:val="20"/>
          <w:szCs w:val="20"/>
          <w:highlight w:val="yellow"/>
          <w:bdr w:val="single" w:sz="4" w:space="0" w:color="auto"/>
        </w:rPr>
        <w:t>引例</w:t>
      </w:r>
      <w:r w:rsidRPr="00DA3BC7">
        <w:rPr>
          <w:rFonts w:ascii="Times New Roman" w:hAnsi="Times New Roman"/>
          <w:sz w:val="20"/>
          <w:szCs w:val="20"/>
        </w:rPr>
        <w:t>（</w:t>
      </w:r>
      <w:r w:rsidRPr="00DA3BC7">
        <w:rPr>
          <w:rFonts w:ascii="Times New Roman" w:hAnsi="Times New Roman"/>
          <w:sz w:val="20"/>
          <w:szCs w:val="20"/>
        </w:rPr>
        <w:t>p.205</w:t>
      </w:r>
      <w:r w:rsidRPr="00DA3BC7">
        <w:rPr>
          <w:rFonts w:ascii="Times New Roman" w:hAnsi="Times New Roman"/>
          <w:sz w:val="20"/>
          <w:szCs w:val="20"/>
        </w:rPr>
        <w:t>）</w:t>
      </w:r>
    </w:p>
    <w:p w:rsidR="00AA120F" w:rsidRPr="00DA3BC7" w:rsidRDefault="00AA120F" w:rsidP="004C5370">
      <w:pPr>
        <w:widowControl/>
        <w:ind w:leftChars="100" w:left="240"/>
        <w:jc w:val="both"/>
        <w:rPr>
          <w:rFonts w:ascii="Times New Roman" w:hAnsi="Times New Roman"/>
          <w:kern w:val="0"/>
        </w:rPr>
      </w:pPr>
      <w:r w:rsidRPr="00DA3BC7">
        <w:rPr>
          <w:rFonts w:ascii="Times New Roman" w:hAnsi="Times New Roman"/>
          <w:kern w:val="0"/>
        </w:rPr>
        <w:t>嘉祥、窺基都有《二諦章》，</w:t>
      </w:r>
      <w:r w:rsidR="00087A25" w:rsidRPr="00087A25">
        <w:rPr>
          <w:rStyle w:val="a6"/>
          <w:rFonts w:ascii="Times New Roman" w:hAnsi="Times New Roman"/>
          <w:kern w:val="0"/>
          <w:highlight w:val="yellow"/>
        </w:rPr>
        <w:footnoteReference w:id="894"/>
      </w:r>
      <w:r w:rsidRPr="00DA3BC7">
        <w:rPr>
          <w:rFonts w:ascii="Times New Roman" w:hAnsi="Times New Roman"/>
          <w:kern w:val="0"/>
        </w:rPr>
        <w:t>其他各派也無不重視。</w:t>
      </w:r>
    </w:p>
    <w:p w:rsidR="00087A25" w:rsidRPr="00087A25" w:rsidRDefault="00087A25" w:rsidP="00AE3920">
      <w:pPr>
        <w:spacing w:beforeLines="30"/>
        <w:ind w:leftChars="50" w:left="120"/>
        <w:jc w:val="both"/>
        <w:rPr>
          <w:rFonts w:ascii="Times New Roman" w:hAnsi="Times New Roman"/>
          <w:b/>
          <w:bCs/>
          <w:color w:val="FF0000"/>
          <w:kern w:val="0"/>
          <w:sz w:val="20"/>
          <w:szCs w:val="20"/>
          <w:highlight w:val="yellow"/>
          <w:bdr w:val="single" w:sz="4" w:space="0" w:color="auto"/>
        </w:rPr>
      </w:pPr>
      <w:r w:rsidRPr="00087A25">
        <w:rPr>
          <w:rFonts w:ascii="Times New Roman" w:hAnsi="Times New Roman" w:hint="eastAsia"/>
          <w:b/>
          <w:color w:val="FF0000"/>
          <w:kern w:val="0"/>
          <w:sz w:val="20"/>
          <w:szCs w:val="20"/>
          <w:highlight w:val="yellow"/>
          <w:bdr w:val="single" w:sz="4" w:space="0" w:color="auto"/>
        </w:rPr>
        <w:t>（</w:t>
      </w:r>
      <w:r>
        <w:rPr>
          <w:rFonts w:ascii="Times New Roman" w:hAnsi="Times New Roman" w:hint="eastAsia"/>
          <w:b/>
          <w:color w:val="FF0000"/>
          <w:kern w:val="0"/>
          <w:sz w:val="20"/>
          <w:szCs w:val="20"/>
          <w:highlight w:val="yellow"/>
          <w:bdr w:val="single" w:sz="4" w:space="0" w:color="auto"/>
        </w:rPr>
        <w:t>貳</w:t>
      </w:r>
      <w:r w:rsidRPr="00087A25">
        <w:rPr>
          <w:rFonts w:ascii="Times New Roman" w:hAnsi="Times New Roman" w:hint="eastAsia"/>
          <w:b/>
          <w:color w:val="FF0000"/>
          <w:kern w:val="0"/>
          <w:sz w:val="20"/>
          <w:szCs w:val="20"/>
          <w:highlight w:val="yellow"/>
          <w:bdr w:val="single" w:sz="4" w:space="0" w:color="auto"/>
        </w:rPr>
        <w:t>）</w:t>
      </w:r>
      <w:r>
        <w:rPr>
          <w:rFonts w:ascii="Times New Roman" w:hAnsi="Times New Roman" w:hint="eastAsia"/>
          <w:b/>
          <w:color w:val="FF0000"/>
          <w:kern w:val="0"/>
          <w:sz w:val="20"/>
          <w:szCs w:val="20"/>
          <w:highlight w:val="yellow"/>
          <w:bdr w:val="single" w:sz="4" w:space="0" w:color="auto"/>
        </w:rPr>
        <w:t>約「教、證」說</w:t>
      </w:r>
      <w:r w:rsidRPr="00DA3BC7">
        <w:rPr>
          <w:rFonts w:ascii="Times New Roman" w:hAnsi="Times New Roman"/>
          <w:sz w:val="20"/>
          <w:szCs w:val="20"/>
        </w:rPr>
        <w:t>（</w:t>
      </w:r>
      <w:r w:rsidRPr="00DA3BC7">
        <w:rPr>
          <w:rFonts w:ascii="Times New Roman" w:hAnsi="Times New Roman"/>
          <w:sz w:val="20"/>
          <w:szCs w:val="20"/>
        </w:rPr>
        <w:t>p.205</w:t>
      </w:r>
      <w:r w:rsidRPr="00DA3BC7">
        <w:rPr>
          <w:rFonts w:ascii="Times New Roman" w:hAnsi="Times New Roman"/>
          <w:sz w:val="20"/>
          <w:szCs w:val="20"/>
        </w:rPr>
        <w:t>）</w:t>
      </w:r>
    </w:p>
    <w:p w:rsidR="00087A25" w:rsidRPr="00087A25" w:rsidRDefault="00087A25" w:rsidP="004C5370">
      <w:pPr>
        <w:ind w:leftChars="100" w:left="240"/>
        <w:jc w:val="both"/>
        <w:rPr>
          <w:rFonts w:ascii="Times New Roman" w:hAnsi="Times New Roman"/>
          <w:b/>
          <w:bCs/>
          <w:color w:val="FF0000"/>
          <w:kern w:val="0"/>
          <w:sz w:val="20"/>
          <w:szCs w:val="20"/>
          <w:highlight w:val="yellow"/>
          <w:bdr w:val="single" w:sz="4" w:space="0" w:color="auto"/>
        </w:rPr>
      </w:pPr>
      <w:r w:rsidRPr="00087A25">
        <w:rPr>
          <w:rFonts w:ascii="Times New Roman" w:hAnsi="Times New Roman" w:hint="eastAsia"/>
          <w:b/>
          <w:color w:val="FF0000"/>
          <w:kern w:val="0"/>
          <w:sz w:val="20"/>
          <w:szCs w:val="20"/>
          <w:highlight w:val="yellow"/>
          <w:bdr w:val="single" w:sz="4" w:space="0" w:color="auto"/>
        </w:rPr>
        <w:t>一、</w:t>
      </w:r>
      <w:r>
        <w:rPr>
          <w:rFonts w:ascii="Times New Roman" w:hAnsi="Times New Roman" w:hint="eastAsia"/>
          <w:b/>
          <w:color w:val="FF0000"/>
          <w:kern w:val="0"/>
          <w:sz w:val="20"/>
          <w:szCs w:val="20"/>
          <w:highlight w:val="yellow"/>
          <w:bdr w:val="single" w:sz="4" w:space="0" w:color="auto"/>
        </w:rPr>
        <w:t>約「教義」明</w:t>
      </w:r>
      <w:r w:rsidRPr="00DA3BC7">
        <w:rPr>
          <w:rFonts w:ascii="Times New Roman" w:hAnsi="Times New Roman"/>
          <w:sz w:val="20"/>
          <w:szCs w:val="20"/>
        </w:rPr>
        <w:t>（</w:t>
      </w:r>
      <w:r w:rsidRPr="00DA3BC7">
        <w:rPr>
          <w:rFonts w:ascii="Times New Roman" w:hAnsi="Times New Roman"/>
          <w:sz w:val="20"/>
          <w:szCs w:val="20"/>
        </w:rPr>
        <w:t>p.205</w:t>
      </w:r>
      <w:r w:rsidRPr="00DA3BC7">
        <w:rPr>
          <w:rFonts w:ascii="Times New Roman" w:hAnsi="Times New Roman"/>
          <w:sz w:val="20"/>
          <w:szCs w:val="20"/>
        </w:rPr>
        <w:t>）</w:t>
      </w:r>
    </w:p>
    <w:p w:rsidR="00AA120F" w:rsidRPr="00DA3BC7" w:rsidRDefault="00AA120F" w:rsidP="004C5370">
      <w:pPr>
        <w:widowControl/>
        <w:ind w:leftChars="100" w:left="240"/>
        <w:jc w:val="both"/>
        <w:rPr>
          <w:rFonts w:ascii="Times New Roman" w:hAnsi="Times New Roman"/>
          <w:kern w:val="0"/>
        </w:rPr>
      </w:pPr>
      <w:r w:rsidRPr="00DA3BC7">
        <w:rPr>
          <w:rFonts w:ascii="Times New Roman" w:hAnsi="Times New Roman"/>
          <w:kern w:val="0"/>
        </w:rPr>
        <w:t>《中論》說：</w:t>
      </w:r>
    </w:p>
    <w:p w:rsidR="00AA120F" w:rsidRPr="00DA3BC7" w:rsidRDefault="00AA120F" w:rsidP="004C5370">
      <w:pPr>
        <w:widowControl/>
        <w:ind w:leftChars="100" w:left="240"/>
        <w:jc w:val="both"/>
        <w:rPr>
          <w:rFonts w:ascii="標楷體" w:eastAsia="標楷體" w:hAnsi="標楷體"/>
          <w:kern w:val="0"/>
        </w:rPr>
      </w:pPr>
      <w:r w:rsidRPr="00DA3BC7">
        <w:rPr>
          <w:rFonts w:ascii="Times New Roman" w:hAnsi="Times New Roman"/>
          <w:kern w:val="0"/>
        </w:rPr>
        <w:t>「</w:t>
      </w:r>
      <w:r w:rsidRPr="00DA3BC7">
        <w:rPr>
          <w:rFonts w:ascii="標楷體" w:eastAsia="標楷體" w:hAnsi="標楷體"/>
          <w:kern w:val="0"/>
        </w:rPr>
        <w:t>諸佛依二諦，為眾生說法，一以世俗諦，二第一義諦。</w:t>
      </w:r>
    </w:p>
    <w:p w:rsidR="00AA120F" w:rsidRPr="00DA3BC7" w:rsidRDefault="00AA120F" w:rsidP="00EC202A">
      <w:pPr>
        <w:widowControl/>
        <w:ind w:leftChars="200" w:left="480"/>
        <w:jc w:val="both"/>
        <w:rPr>
          <w:rFonts w:ascii="Times New Roman" w:hAnsi="Times New Roman"/>
          <w:kern w:val="0"/>
        </w:rPr>
      </w:pPr>
      <w:r w:rsidRPr="00DA3BC7">
        <w:rPr>
          <w:rFonts w:ascii="標楷體" w:eastAsia="標楷體" w:hAnsi="標楷體"/>
          <w:kern w:val="0"/>
        </w:rPr>
        <w:t>若人不能</w:t>
      </w:r>
      <w:r w:rsidRPr="00087A25">
        <w:rPr>
          <w:rFonts w:ascii="標楷體" w:eastAsia="標楷體" w:hAnsi="標楷體"/>
          <w:kern w:val="0"/>
          <w:shd w:val="pct15" w:color="auto" w:fill="FFFFFF"/>
        </w:rPr>
        <w:t>知</w:t>
      </w:r>
      <w:r w:rsidR="00EC202A">
        <w:rPr>
          <w:rFonts w:ascii="標楷體" w:eastAsia="標楷體" w:hAnsi="標楷體" w:hint="eastAsia"/>
          <w:kern w:val="0"/>
          <w:shd w:val="pct15" w:color="auto" w:fill="FFFFFF"/>
        </w:rPr>
        <w:t xml:space="preserve">　</w:t>
      </w:r>
      <w:r w:rsidRPr="00087A25">
        <w:rPr>
          <w:rFonts w:ascii="標楷體" w:eastAsia="標楷體" w:hAnsi="標楷體"/>
          <w:kern w:val="0"/>
          <w:shd w:val="pct15" w:color="auto" w:fill="FFFFFF"/>
        </w:rPr>
        <w:t>分</w:t>
      </w:r>
      <w:r w:rsidRPr="00DA3BC7">
        <w:rPr>
          <w:rFonts w:ascii="標楷體" w:eastAsia="標楷體" w:hAnsi="標楷體"/>
          <w:kern w:val="0"/>
        </w:rPr>
        <w:t>別於二諦，則於深佛法，不知真實義</w:t>
      </w:r>
      <w:r w:rsidRPr="00DA3BC7">
        <w:rPr>
          <w:rFonts w:ascii="Times New Roman" w:hAnsi="Times New Roman"/>
          <w:kern w:val="0"/>
        </w:rPr>
        <w:t>。」</w:t>
      </w:r>
      <w:r w:rsidRPr="00DA3BC7">
        <w:rPr>
          <w:rStyle w:val="a6"/>
          <w:rFonts w:ascii="Times New Roman" w:hAnsi="Times New Roman"/>
          <w:kern w:val="0"/>
        </w:rPr>
        <w:footnoteReference w:id="895"/>
      </w:r>
    </w:p>
    <w:p w:rsidR="00AA120F" w:rsidRPr="00DA3BC7" w:rsidRDefault="00AA120F" w:rsidP="00AE3920">
      <w:pPr>
        <w:widowControl/>
        <w:spacing w:beforeLines="20"/>
        <w:ind w:leftChars="100" w:left="240"/>
        <w:jc w:val="both"/>
        <w:rPr>
          <w:rFonts w:ascii="Times New Roman" w:hAnsi="Times New Roman"/>
          <w:kern w:val="0"/>
        </w:rPr>
      </w:pPr>
      <w:r w:rsidRPr="00DA3BC7">
        <w:rPr>
          <w:rFonts w:ascii="Times New Roman" w:hAnsi="Times New Roman"/>
          <w:kern w:val="0"/>
        </w:rPr>
        <w:lastRenderedPageBreak/>
        <w:t>從教義說，佛以二諦的方式為眾生說法，故對於二諦不能確當辨別，即對於佛法也不能了解。</w:t>
      </w:r>
    </w:p>
    <w:p w:rsidR="00AA120F" w:rsidRPr="00DA3BC7" w:rsidRDefault="00AA120F" w:rsidP="00AE3920">
      <w:pPr>
        <w:widowControl/>
        <w:spacing w:beforeLines="30"/>
        <w:ind w:leftChars="100" w:left="240"/>
        <w:jc w:val="both"/>
        <w:rPr>
          <w:rFonts w:ascii="Times New Roman" w:hAnsi="Times New Roman"/>
          <w:kern w:val="0"/>
        </w:rPr>
      </w:pPr>
      <w:r w:rsidRPr="00087A25">
        <w:rPr>
          <w:rFonts w:ascii="Times New Roman" w:hAnsi="Times New Roman"/>
          <w:b/>
          <w:color w:val="FF0000"/>
          <w:kern w:val="0"/>
          <w:sz w:val="20"/>
          <w:szCs w:val="20"/>
          <w:highlight w:val="yellow"/>
          <w:bdr w:val="single" w:sz="4" w:space="0" w:color="auto"/>
        </w:rPr>
        <w:t>二、</w:t>
      </w:r>
      <w:r w:rsidR="00087A25" w:rsidRPr="00087A25">
        <w:rPr>
          <w:rFonts w:ascii="Times New Roman" w:hAnsi="Times New Roman" w:hint="eastAsia"/>
          <w:b/>
          <w:color w:val="FF0000"/>
          <w:kern w:val="0"/>
          <w:sz w:val="20"/>
          <w:szCs w:val="20"/>
          <w:highlight w:val="yellow"/>
          <w:bdr w:val="single" w:sz="4" w:space="0" w:color="auto"/>
        </w:rPr>
        <w:t>約「修證」明</w:t>
      </w:r>
      <w:r w:rsidRPr="00DA3BC7">
        <w:rPr>
          <w:rFonts w:ascii="Times New Roman" w:hAnsi="Times New Roman"/>
          <w:sz w:val="20"/>
          <w:szCs w:val="20"/>
        </w:rPr>
        <w:t>（</w:t>
      </w:r>
      <w:r w:rsidRPr="00DA3BC7">
        <w:rPr>
          <w:rFonts w:ascii="Times New Roman" w:hAnsi="Times New Roman"/>
          <w:sz w:val="20"/>
          <w:szCs w:val="20"/>
        </w:rPr>
        <w:t>p.205</w:t>
      </w:r>
      <w:r w:rsidRPr="00DA3BC7">
        <w:rPr>
          <w:rFonts w:ascii="Times New Roman" w:hAnsi="Times New Roman"/>
          <w:sz w:val="20"/>
          <w:szCs w:val="20"/>
        </w:rPr>
        <w:t>）</w:t>
      </w:r>
    </w:p>
    <w:p w:rsidR="00087A25" w:rsidRDefault="00AA120F" w:rsidP="004C5370">
      <w:pPr>
        <w:ind w:leftChars="100" w:left="240"/>
        <w:jc w:val="both"/>
        <w:rPr>
          <w:rFonts w:ascii="Times New Roman" w:hAnsi="Times New Roman"/>
          <w:kern w:val="0"/>
        </w:rPr>
      </w:pPr>
      <w:r w:rsidRPr="00DA3BC7">
        <w:rPr>
          <w:rFonts w:ascii="Times New Roman" w:hAnsi="Times New Roman"/>
          <w:kern w:val="0"/>
        </w:rPr>
        <w:lastRenderedPageBreak/>
        <w:t>《十二門論》說：「</w:t>
      </w:r>
      <w:r w:rsidRPr="00DA3BC7">
        <w:rPr>
          <w:rFonts w:ascii="標楷體" w:eastAsia="標楷體" w:hAnsi="標楷體"/>
          <w:kern w:val="0"/>
        </w:rPr>
        <w:t>若</w:t>
      </w:r>
      <w:r w:rsidRPr="00DA3BC7">
        <w:rPr>
          <w:rFonts w:ascii="標楷體" w:eastAsia="標楷體" w:hAnsi="標楷體" w:hint="eastAsia"/>
        </w:rPr>
        <w:t>人</w:t>
      </w:r>
      <w:r w:rsidRPr="00DA3BC7">
        <w:rPr>
          <w:rFonts w:ascii="標楷體" w:eastAsia="標楷體" w:hAnsi="標楷體"/>
          <w:kern w:val="0"/>
        </w:rPr>
        <w:t>不知二諦，則不知自利、他利、及共利</w:t>
      </w:r>
      <w:r w:rsidRPr="00DA3BC7">
        <w:rPr>
          <w:rFonts w:ascii="Times New Roman" w:hAnsi="Times New Roman"/>
          <w:kern w:val="0"/>
        </w:rPr>
        <w:t>。」</w:t>
      </w:r>
      <w:r w:rsidRPr="00DA3BC7">
        <w:rPr>
          <w:rStyle w:val="a6"/>
          <w:rFonts w:ascii="Times New Roman" w:hAnsi="Times New Roman"/>
          <w:kern w:val="0"/>
        </w:rPr>
        <w:footnoteReference w:id="896"/>
      </w:r>
    </w:p>
    <w:p w:rsidR="00AA120F" w:rsidRPr="00DA3BC7" w:rsidRDefault="00AA120F" w:rsidP="004C5370">
      <w:pPr>
        <w:ind w:leftChars="100" w:left="240"/>
        <w:jc w:val="both"/>
        <w:rPr>
          <w:rFonts w:ascii="Times New Roman" w:hAnsi="Times New Roman"/>
          <w:kern w:val="0"/>
        </w:rPr>
      </w:pPr>
      <w:r w:rsidRPr="00DA3BC7">
        <w:rPr>
          <w:rFonts w:ascii="Times New Roman" w:hAnsi="Times New Roman"/>
          <w:kern w:val="0"/>
        </w:rPr>
        <w:t>修學佛法，不外為了自利、利他、俱利，這可見修學佛法，應該對二諦徹底理解一番！</w:t>
      </w:r>
    </w:p>
    <w:p w:rsidR="00AA120F" w:rsidRPr="00DA3BC7" w:rsidRDefault="00AA120F" w:rsidP="00AE3920">
      <w:pPr>
        <w:widowControl/>
        <w:spacing w:beforeLines="30"/>
        <w:jc w:val="both"/>
        <w:rPr>
          <w:rFonts w:ascii="Times New Roman" w:hAnsi="Times New Roman"/>
          <w:sz w:val="20"/>
          <w:szCs w:val="20"/>
        </w:rPr>
      </w:pPr>
      <w:r w:rsidRPr="00DA3BC7">
        <w:rPr>
          <w:rFonts w:ascii="Times New Roman" w:hAnsi="Times New Roman" w:hint="eastAsia"/>
          <w:b/>
          <w:kern w:val="0"/>
          <w:sz w:val="20"/>
          <w:szCs w:val="20"/>
          <w:bdr w:val="single" w:sz="4" w:space="0" w:color="auto"/>
        </w:rPr>
        <w:t>貳</w:t>
      </w:r>
      <w:r w:rsidRPr="00DA3BC7">
        <w:rPr>
          <w:rFonts w:ascii="Times New Roman" w:hAnsi="Times New Roman"/>
          <w:b/>
          <w:kern w:val="0"/>
          <w:sz w:val="20"/>
          <w:szCs w:val="20"/>
          <w:bdr w:val="single" w:sz="4" w:space="0" w:color="auto"/>
        </w:rPr>
        <w:t>、</w:t>
      </w:r>
      <w:r w:rsidR="00087A25">
        <w:rPr>
          <w:rFonts w:ascii="Times New Roman" w:hAnsi="Times New Roman" w:hint="eastAsia"/>
          <w:b/>
          <w:color w:val="FF0000"/>
          <w:kern w:val="0"/>
          <w:sz w:val="20"/>
          <w:szCs w:val="20"/>
          <w:highlight w:val="yellow"/>
          <w:bdr w:val="single" w:sz="4" w:space="0" w:color="auto"/>
        </w:rPr>
        <w:t>依類釋義</w:t>
      </w:r>
      <w:r w:rsidRPr="00DA3BC7">
        <w:rPr>
          <w:rFonts w:ascii="Times New Roman" w:hAnsi="Times New Roman"/>
          <w:sz w:val="20"/>
          <w:szCs w:val="20"/>
        </w:rPr>
        <w:t>（</w:t>
      </w:r>
      <w:r w:rsidRPr="00DA3BC7">
        <w:rPr>
          <w:rFonts w:ascii="Times New Roman" w:hAnsi="Times New Roman"/>
          <w:sz w:val="20"/>
          <w:szCs w:val="20"/>
        </w:rPr>
        <w:t>p.206</w:t>
      </w:r>
      <w:r w:rsidRPr="00DA3BC7">
        <w:rPr>
          <w:rFonts w:ascii="Times New Roman" w:hAnsi="Times New Roman"/>
          <w:sz w:val="20"/>
          <w:szCs w:val="20"/>
        </w:rPr>
        <w:t>）</w:t>
      </w:r>
    </w:p>
    <w:p w:rsidR="00087A25" w:rsidRPr="00DA3BC7" w:rsidRDefault="00087A25" w:rsidP="004C5370">
      <w:pPr>
        <w:widowControl/>
        <w:ind w:leftChars="50" w:left="120"/>
        <w:jc w:val="both"/>
        <w:rPr>
          <w:rFonts w:ascii="Times New Roman" w:hAnsi="Times New Roman"/>
          <w:b/>
          <w:kern w:val="0"/>
          <w:sz w:val="20"/>
          <w:szCs w:val="20"/>
          <w:bdr w:val="single" w:sz="4" w:space="0" w:color="auto"/>
        </w:rPr>
      </w:pPr>
      <w:r w:rsidRPr="00087A25">
        <w:rPr>
          <w:rFonts w:ascii="Times New Roman" w:hAnsi="Times New Roman" w:hint="eastAsia"/>
          <w:b/>
          <w:color w:val="FF0000"/>
          <w:kern w:val="0"/>
          <w:sz w:val="20"/>
          <w:szCs w:val="20"/>
          <w:highlight w:val="yellow"/>
          <w:bdr w:val="single" w:sz="4" w:space="0" w:color="auto"/>
        </w:rPr>
        <w:t>（壹）標舉名目</w:t>
      </w:r>
      <w:r w:rsidRPr="00DA3BC7">
        <w:rPr>
          <w:rFonts w:ascii="Times New Roman" w:hAnsi="Times New Roman"/>
          <w:sz w:val="20"/>
          <w:szCs w:val="20"/>
        </w:rPr>
        <w:t>（</w:t>
      </w:r>
      <w:r w:rsidRPr="00DA3BC7">
        <w:rPr>
          <w:rFonts w:ascii="Times New Roman" w:hAnsi="Times New Roman"/>
          <w:sz w:val="20"/>
          <w:szCs w:val="20"/>
        </w:rPr>
        <w:t>p.206</w:t>
      </w:r>
      <w:r w:rsidRPr="00DA3BC7">
        <w:rPr>
          <w:rFonts w:ascii="Times New Roman" w:hAnsi="Times New Roman"/>
          <w:sz w:val="20"/>
          <w:szCs w:val="20"/>
        </w:rPr>
        <w:t>）</w:t>
      </w:r>
    </w:p>
    <w:p w:rsidR="00AA120F" w:rsidRPr="00DA3BC7" w:rsidRDefault="00AA120F" w:rsidP="004C5370">
      <w:pPr>
        <w:widowControl/>
        <w:ind w:left="50"/>
        <w:jc w:val="both"/>
        <w:rPr>
          <w:rFonts w:ascii="Times New Roman" w:hAnsi="Times New Roman"/>
          <w:kern w:val="0"/>
        </w:rPr>
      </w:pPr>
      <w:r w:rsidRPr="00DA3BC7">
        <w:rPr>
          <w:rFonts w:ascii="Times New Roman" w:hAnsi="Times New Roman"/>
          <w:kern w:val="0"/>
        </w:rPr>
        <w:t>二諦即世俗諦、勝義諦，或譯作世諦、第一義諦，俗諦、真諦。</w:t>
      </w:r>
    </w:p>
    <w:p w:rsidR="00AA120F" w:rsidRPr="00DA3BC7" w:rsidRDefault="00087A25" w:rsidP="00AE3920">
      <w:pPr>
        <w:widowControl/>
        <w:spacing w:beforeLines="30"/>
        <w:ind w:left="50"/>
        <w:jc w:val="both"/>
        <w:rPr>
          <w:rFonts w:ascii="Times New Roman" w:hAnsi="Times New Roman"/>
          <w:kern w:val="0"/>
        </w:rPr>
      </w:pPr>
      <w:r w:rsidRPr="00087A25">
        <w:rPr>
          <w:rFonts w:ascii="Times New Roman" w:hAnsi="Times New Roman" w:hint="eastAsia"/>
          <w:b/>
          <w:color w:val="FF0000"/>
          <w:kern w:val="0"/>
          <w:sz w:val="20"/>
          <w:szCs w:val="20"/>
          <w:highlight w:val="yellow"/>
          <w:bdr w:val="single" w:sz="4" w:space="0" w:color="auto"/>
        </w:rPr>
        <w:t>（貳）就「名」解「義」：</w:t>
      </w:r>
      <w:r w:rsidR="00AA120F" w:rsidRPr="00DA3BC7">
        <w:rPr>
          <w:rFonts w:ascii="Times New Roman" w:hAnsi="Times New Roman" w:hint="eastAsia"/>
          <w:b/>
          <w:kern w:val="0"/>
          <w:sz w:val="20"/>
          <w:szCs w:val="20"/>
          <w:bdr w:val="single" w:sz="4" w:space="0" w:color="auto"/>
        </w:rPr>
        <w:t>凡聖二諦</w:t>
      </w:r>
      <w:r w:rsidR="00AA120F" w:rsidRPr="00DA3BC7">
        <w:rPr>
          <w:rFonts w:ascii="Times New Roman" w:hAnsi="Times New Roman"/>
          <w:sz w:val="20"/>
          <w:szCs w:val="20"/>
        </w:rPr>
        <w:t>（</w:t>
      </w:r>
      <w:r w:rsidR="00AA120F" w:rsidRPr="00DA3BC7">
        <w:rPr>
          <w:rFonts w:ascii="Times New Roman" w:hAnsi="Times New Roman"/>
          <w:sz w:val="20"/>
          <w:szCs w:val="20"/>
        </w:rPr>
        <w:t>pp.206-</w:t>
      </w:r>
      <w:r w:rsidR="00AA120F" w:rsidRPr="00DA3BC7">
        <w:rPr>
          <w:rFonts w:ascii="Times New Roman" w:hAnsi="Times New Roman" w:hint="eastAsia"/>
          <w:sz w:val="20"/>
          <w:szCs w:val="20"/>
        </w:rPr>
        <w:t>211</w:t>
      </w:r>
      <w:r w:rsidR="00AA120F" w:rsidRPr="00DA3BC7">
        <w:rPr>
          <w:rFonts w:ascii="Times New Roman" w:hAnsi="Times New Roman"/>
          <w:sz w:val="20"/>
          <w:szCs w:val="20"/>
        </w:rPr>
        <w:t>）</w:t>
      </w:r>
    </w:p>
    <w:p w:rsidR="004C5370" w:rsidRDefault="00087A25" w:rsidP="004C5370">
      <w:pPr>
        <w:widowControl/>
        <w:ind w:leftChars="100" w:left="240"/>
        <w:jc w:val="both"/>
        <w:rPr>
          <w:rFonts w:ascii="Times New Roman" w:hAnsi="Times New Roman"/>
          <w:sz w:val="20"/>
          <w:szCs w:val="20"/>
        </w:rPr>
      </w:pPr>
      <w:r w:rsidRPr="00087A25">
        <w:rPr>
          <w:rFonts w:ascii="Times New Roman" w:hAnsi="Times New Roman" w:hint="eastAsia"/>
          <w:b/>
          <w:color w:val="FF0000"/>
          <w:kern w:val="0"/>
          <w:sz w:val="20"/>
          <w:szCs w:val="20"/>
          <w:highlight w:val="yellow"/>
          <w:bdr w:val="single" w:sz="4" w:space="0" w:color="auto"/>
        </w:rPr>
        <w:t>一、</w:t>
      </w:r>
      <w:r>
        <w:rPr>
          <w:rFonts w:ascii="Times New Roman" w:hAnsi="Times New Roman" w:hint="eastAsia"/>
          <w:b/>
          <w:kern w:val="0"/>
          <w:sz w:val="20"/>
          <w:szCs w:val="20"/>
          <w:bdr w:val="single" w:sz="4" w:space="0" w:color="auto"/>
        </w:rPr>
        <w:t>略標</w:t>
      </w:r>
      <w:r w:rsidRPr="00DA3BC7">
        <w:rPr>
          <w:rFonts w:ascii="Times New Roman" w:hAnsi="Times New Roman"/>
          <w:sz w:val="20"/>
          <w:szCs w:val="20"/>
        </w:rPr>
        <w:t>（</w:t>
      </w:r>
      <w:r w:rsidRPr="00DA3BC7">
        <w:rPr>
          <w:rFonts w:ascii="Times New Roman" w:hAnsi="Times New Roman"/>
          <w:sz w:val="20"/>
          <w:szCs w:val="20"/>
        </w:rPr>
        <w:t>p.206</w:t>
      </w:r>
      <w:r w:rsidRPr="00DA3BC7">
        <w:rPr>
          <w:rFonts w:ascii="Times New Roman" w:hAnsi="Times New Roman"/>
          <w:sz w:val="20"/>
          <w:szCs w:val="20"/>
        </w:rPr>
        <w:t>）</w:t>
      </w:r>
    </w:p>
    <w:p w:rsidR="00AA120F" w:rsidRPr="00DA3BC7" w:rsidRDefault="00AA120F" w:rsidP="004C5370">
      <w:pPr>
        <w:widowControl/>
        <w:ind w:leftChars="100" w:left="240"/>
        <w:jc w:val="both"/>
        <w:rPr>
          <w:rFonts w:ascii="Times New Roman" w:hAnsi="Times New Roman"/>
          <w:kern w:val="0"/>
        </w:rPr>
      </w:pPr>
      <w:r w:rsidRPr="00DA3BC7">
        <w:rPr>
          <w:rFonts w:ascii="Times New Roman" w:hAnsi="Times New Roman"/>
          <w:kern w:val="0"/>
        </w:rPr>
        <w:t>佛依二諦說法，二諦中最主要的，為凡聖二諦</w:t>
      </w:r>
      <w:r w:rsidRPr="00DA3BC7">
        <w:rPr>
          <w:rFonts w:ascii="新細明體" w:hAnsi="新細明體"/>
          <w:kern w:val="0"/>
        </w:rPr>
        <w:t>──</w:t>
      </w:r>
      <w:r w:rsidRPr="00DA3BC7">
        <w:rPr>
          <w:rFonts w:ascii="Times New Roman" w:hAnsi="Times New Roman"/>
          <w:kern w:val="0"/>
        </w:rPr>
        <w:t>或可名</w:t>
      </w:r>
      <w:r w:rsidRPr="00DA3BC7">
        <w:rPr>
          <w:rFonts w:ascii="Times New Roman" w:hAnsi="Times New Roman"/>
          <w:b/>
          <w:kern w:val="0"/>
        </w:rPr>
        <w:t>情智二諦</w:t>
      </w:r>
      <w:r w:rsidRPr="00DA3BC7">
        <w:rPr>
          <w:rStyle w:val="a6"/>
          <w:rFonts w:ascii="Times New Roman" w:hAnsi="Times New Roman"/>
          <w:kern w:val="0"/>
        </w:rPr>
        <w:footnoteReference w:id="897"/>
      </w:r>
      <w:r w:rsidRPr="00DA3BC7">
        <w:rPr>
          <w:rFonts w:ascii="Times New Roman" w:hAnsi="Times New Roman"/>
          <w:kern w:val="0"/>
        </w:rPr>
        <w:t>、</w:t>
      </w:r>
      <w:r w:rsidRPr="00DA3BC7">
        <w:rPr>
          <w:rFonts w:ascii="Times New Roman" w:hAnsi="Times New Roman"/>
          <w:b/>
          <w:kern w:val="0"/>
        </w:rPr>
        <w:t>有空二諦</w:t>
      </w:r>
      <w:r w:rsidRPr="00DA3BC7">
        <w:rPr>
          <w:rFonts w:ascii="Times New Roman" w:hAnsi="Times New Roman"/>
          <w:kern w:val="0"/>
        </w:rPr>
        <w:t>。</w:t>
      </w:r>
    </w:p>
    <w:p w:rsidR="00AA120F" w:rsidRPr="00DA3BC7" w:rsidRDefault="00087A25" w:rsidP="00AE3920">
      <w:pPr>
        <w:widowControl/>
        <w:spacing w:beforeLines="30"/>
        <w:ind w:leftChars="100" w:left="240"/>
        <w:jc w:val="both"/>
        <w:rPr>
          <w:rFonts w:ascii="Times New Roman" w:hAnsi="Times New Roman"/>
          <w:b/>
          <w:kern w:val="0"/>
          <w:sz w:val="20"/>
          <w:szCs w:val="20"/>
          <w:bdr w:val="single" w:sz="4" w:space="0" w:color="auto"/>
        </w:rPr>
      </w:pPr>
      <w:r>
        <w:rPr>
          <w:rFonts w:ascii="Times New Roman" w:hAnsi="Times New Roman" w:hint="eastAsia"/>
          <w:b/>
          <w:color w:val="FF0000"/>
          <w:kern w:val="0"/>
          <w:sz w:val="20"/>
          <w:szCs w:val="20"/>
          <w:highlight w:val="yellow"/>
          <w:bdr w:val="single" w:sz="4" w:space="0" w:color="auto"/>
        </w:rPr>
        <w:t>二、詳</w:t>
      </w:r>
      <w:r w:rsidR="00AA120F" w:rsidRPr="00DA3BC7">
        <w:rPr>
          <w:rFonts w:ascii="Times New Roman" w:hAnsi="Times New Roman" w:hint="eastAsia"/>
          <w:b/>
          <w:kern w:val="0"/>
          <w:sz w:val="20"/>
          <w:szCs w:val="20"/>
          <w:bdr w:val="single" w:sz="4" w:space="0" w:color="auto"/>
        </w:rPr>
        <w:t>釋</w:t>
      </w:r>
      <w:r w:rsidR="00AA120F" w:rsidRPr="00DA3BC7">
        <w:rPr>
          <w:rFonts w:ascii="Times New Roman" w:hAnsi="Times New Roman"/>
          <w:sz w:val="20"/>
          <w:szCs w:val="20"/>
        </w:rPr>
        <w:t>（</w:t>
      </w:r>
      <w:r w:rsidR="00AA120F" w:rsidRPr="00DA3BC7">
        <w:rPr>
          <w:rFonts w:ascii="Times New Roman" w:hAnsi="Times New Roman"/>
          <w:sz w:val="20"/>
          <w:szCs w:val="20"/>
        </w:rPr>
        <w:t>pp.206-</w:t>
      </w:r>
      <w:r w:rsidR="00AA120F" w:rsidRPr="00DA3BC7">
        <w:rPr>
          <w:rFonts w:ascii="Times New Roman" w:hAnsi="Times New Roman" w:hint="eastAsia"/>
          <w:sz w:val="20"/>
          <w:szCs w:val="20"/>
        </w:rPr>
        <w:t>211</w:t>
      </w:r>
      <w:r w:rsidR="00AA120F" w:rsidRPr="00DA3BC7">
        <w:rPr>
          <w:rFonts w:ascii="Times New Roman" w:hAnsi="Times New Roman"/>
          <w:sz w:val="20"/>
          <w:szCs w:val="20"/>
        </w:rPr>
        <w:t>）</w:t>
      </w:r>
    </w:p>
    <w:p w:rsidR="00AA120F" w:rsidRPr="00DA3BC7" w:rsidRDefault="00087A25" w:rsidP="004C5370">
      <w:pPr>
        <w:widowControl/>
        <w:ind w:leftChars="150" w:left="360"/>
        <w:jc w:val="both"/>
        <w:rPr>
          <w:rFonts w:ascii="Times New Roman" w:hAnsi="Times New Roman"/>
          <w:kern w:val="0"/>
        </w:rPr>
      </w:pPr>
      <w:r w:rsidRPr="00087A25">
        <w:rPr>
          <w:rFonts w:ascii="Times New Roman" w:hAnsi="Times New Roman" w:hint="eastAsia"/>
          <w:b/>
          <w:color w:val="FF0000"/>
          <w:kern w:val="0"/>
          <w:sz w:val="20"/>
          <w:szCs w:val="20"/>
          <w:highlight w:val="yellow"/>
          <w:bdr w:val="single" w:sz="4" w:space="0" w:color="auto"/>
        </w:rPr>
        <w:t>（一）</w:t>
      </w:r>
      <w:r w:rsidR="00AA120F" w:rsidRPr="00DA3BC7">
        <w:rPr>
          <w:rFonts w:ascii="Times New Roman" w:hAnsi="Times New Roman" w:hint="eastAsia"/>
          <w:b/>
          <w:kern w:val="0"/>
          <w:sz w:val="20"/>
          <w:szCs w:val="20"/>
          <w:bdr w:val="single" w:sz="4" w:space="0" w:color="auto"/>
        </w:rPr>
        <w:t>情智二諦</w:t>
      </w:r>
      <w:r w:rsidR="00AA120F" w:rsidRPr="00DA3BC7">
        <w:rPr>
          <w:rFonts w:ascii="Times New Roman" w:hAnsi="Times New Roman"/>
          <w:sz w:val="20"/>
          <w:szCs w:val="20"/>
        </w:rPr>
        <w:t>（</w:t>
      </w:r>
      <w:r w:rsidR="00AA120F" w:rsidRPr="00DA3BC7">
        <w:rPr>
          <w:rFonts w:ascii="Times New Roman" w:hAnsi="Times New Roman"/>
          <w:sz w:val="20"/>
          <w:szCs w:val="20"/>
        </w:rPr>
        <w:t>pp.206-</w:t>
      </w:r>
      <w:r w:rsidR="00AA120F" w:rsidRPr="00DA3BC7">
        <w:rPr>
          <w:rFonts w:ascii="Times New Roman" w:hAnsi="Times New Roman" w:hint="eastAsia"/>
          <w:sz w:val="20"/>
          <w:szCs w:val="20"/>
        </w:rPr>
        <w:t>208</w:t>
      </w:r>
      <w:r w:rsidR="00AA120F" w:rsidRPr="00DA3BC7">
        <w:rPr>
          <w:rFonts w:ascii="Times New Roman" w:hAnsi="Times New Roman"/>
          <w:sz w:val="20"/>
          <w:szCs w:val="20"/>
        </w:rPr>
        <w:t>）</w:t>
      </w:r>
    </w:p>
    <w:p w:rsidR="00AA120F" w:rsidRPr="00DA3BC7" w:rsidRDefault="00087A25" w:rsidP="004C5370">
      <w:pPr>
        <w:widowControl/>
        <w:ind w:leftChars="200" w:left="480"/>
        <w:jc w:val="both"/>
        <w:rPr>
          <w:rFonts w:ascii="Times New Roman" w:hAnsi="Times New Roman"/>
          <w:kern w:val="0"/>
        </w:rPr>
      </w:pPr>
      <w:r w:rsidRPr="00087A25">
        <w:rPr>
          <w:rFonts w:ascii="Times New Roman" w:hAnsi="Times New Roman" w:hint="eastAsia"/>
          <w:b/>
          <w:color w:val="FF0000"/>
          <w:kern w:val="0"/>
          <w:sz w:val="20"/>
          <w:szCs w:val="20"/>
          <w:highlight w:val="yellow"/>
          <w:bdr w:val="single" w:sz="4" w:space="0" w:color="auto"/>
        </w:rPr>
        <w:t>1</w:t>
      </w:r>
      <w:r w:rsidRPr="00087A25">
        <w:rPr>
          <w:rFonts w:ascii="Times New Roman" w:hAnsi="Times New Roman" w:hint="eastAsia"/>
          <w:b/>
          <w:color w:val="FF0000"/>
          <w:kern w:val="0"/>
          <w:sz w:val="20"/>
          <w:szCs w:val="20"/>
          <w:highlight w:val="yellow"/>
          <w:bdr w:val="single" w:sz="4" w:space="0" w:color="auto"/>
        </w:rPr>
        <w:t>、論用：</w:t>
      </w:r>
      <w:r>
        <w:rPr>
          <w:rFonts w:ascii="Times New Roman" w:hAnsi="Times New Roman" w:hint="eastAsia"/>
          <w:b/>
          <w:color w:val="FF0000"/>
          <w:kern w:val="0"/>
          <w:sz w:val="20"/>
          <w:szCs w:val="20"/>
          <w:highlight w:val="yellow"/>
          <w:bdr w:val="single" w:sz="4" w:space="0" w:color="auto"/>
        </w:rPr>
        <w:t>教申二諦，</w:t>
      </w:r>
      <w:r w:rsidR="00AA120F" w:rsidRPr="00087A25">
        <w:rPr>
          <w:rFonts w:ascii="Times New Roman" w:hAnsi="Times New Roman" w:hint="eastAsia"/>
          <w:b/>
          <w:color w:val="FF0000"/>
          <w:kern w:val="0"/>
          <w:sz w:val="20"/>
          <w:szCs w:val="20"/>
          <w:highlight w:val="yellow"/>
          <w:bdr w:val="single" w:sz="4" w:space="0" w:color="auto"/>
        </w:rPr>
        <w:t>凡</w:t>
      </w:r>
      <w:r w:rsidRPr="00087A25">
        <w:rPr>
          <w:rFonts w:ascii="Times New Roman" w:hAnsi="Times New Roman" w:hint="eastAsia"/>
          <w:b/>
          <w:color w:val="FF0000"/>
          <w:kern w:val="0"/>
          <w:sz w:val="20"/>
          <w:szCs w:val="20"/>
          <w:highlight w:val="yellow"/>
          <w:bdr w:val="single" w:sz="4" w:space="0" w:color="auto"/>
        </w:rPr>
        <w:t>成</w:t>
      </w:r>
      <w:r w:rsidR="00AA120F" w:rsidRPr="00087A25">
        <w:rPr>
          <w:rFonts w:ascii="Times New Roman" w:hAnsi="Times New Roman"/>
          <w:b/>
          <w:color w:val="FF0000"/>
          <w:kern w:val="0"/>
          <w:sz w:val="20"/>
          <w:szCs w:val="20"/>
          <w:highlight w:val="yellow"/>
          <w:bdr w:val="single" w:sz="4" w:space="0" w:color="auto"/>
        </w:rPr>
        <w:t>聖</w:t>
      </w:r>
      <w:r w:rsidR="00AA120F" w:rsidRPr="00DA3BC7">
        <w:rPr>
          <w:rFonts w:ascii="Times New Roman" w:hAnsi="Times New Roman"/>
          <w:sz w:val="20"/>
          <w:szCs w:val="20"/>
        </w:rPr>
        <w:t>（</w:t>
      </w:r>
      <w:r w:rsidR="00AA120F" w:rsidRPr="00DA3BC7">
        <w:rPr>
          <w:rFonts w:ascii="Times New Roman" w:hAnsi="Times New Roman"/>
          <w:sz w:val="20"/>
          <w:szCs w:val="20"/>
        </w:rPr>
        <w:t>p.206</w:t>
      </w:r>
      <w:r w:rsidR="00AA120F" w:rsidRPr="00DA3BC7">
        <w:rPr>
          <w:rFonts w:ascii="Times New Roman" w:hAnsi="Times New Roman"/>
          <w:sz w:val="20"/>
          <w:szCs w:val="20"/>
        </w:rPr>
        <w:t>）</w:t>
      </w:r>
    </w:p>
    <w:p w:rsidR="00087A25" w:rsidRPr="00DA3BC7" w:rsidRDefault="00087A25" w:rsidP="00446140">
      <w:pPr>
        <w:widowControl/>
        <w:ind w:leftChars="250" w:left="600"/>
        <w:jc w:val="both"/>
        <w:rPr>
          <w:rFonts w:ascii="Times New Roman" w:hAnsi="Times New Roman"/>
          <w:kern w:val="0"/>
        </w:rPr>
      </w:pPr>
      <w:r w:rsidRPr="00087A25">
        <w:rPr>
          <w:rFonts w:ascii="Times New Roman" w:hAnsi="Times New Roman" w:hint="eastAsia"/>
          <w:b/>
          <w:color w:val="FF0000"/>
          <w:kern w:val="0"/>
          <w:sz w:val="20"/>
          <w:szCs w:val="20"/>
          <w:highlight w:val="yellow"/>
          <w:bdr w:val="single" w:sz="4" w:space="0" w:color="auto"/>
        </w:rPr>
        <w:t>（</w:t>
      </w:r>
      <w:r w:rsidRPr="00087A25">
        <w:rPr>
          <w:rFonts w:ascii="Times New Roman" w:hAnsi="Times New Roman" w:hint="eastAsia"/>
          <w:b/>
          <w:color w:val="FF0000"/>
          <w:kern w:val="0"/>
          <w:sz w:val="20"/>
          <w:szCs w:val="20"/>
          <w:highlight w:val="yellow"/>
          <w:bdr w:val="single" w:sz="4" w:space="0" w:color="auto"/>
        </w:rPr>
        <w:t>1</w:t>
      </w:r>
      <w:r w:rsidRPr="00087A25">
        <w:rPr>
          <w:rFonts w:ascii="Times New Roman" w:hAnsi="Times New Roman" w:hint="eastAsia"/>
          <w:b/>
          <w:color w:val="FF0000"/>
          <w:kern w:val="0"/>
          <w:sz w:val="20"/>
          <w:szCs w:val="20"/>
          <w:highlight w:val="yellow"/>
          <w:bdr w:val="single" w:sz="4" w:space="0" w:color="auto"/>
        </w:rPr>
        <w:t>）釋名義</w:t>
      </w:r>
      <w:r w:rsidRPr="00DA3BC7">
        <w:rPr>
          <w:rFonts w:ascii="Times New Roman" w:hAnsi="Times New Roman"/>
          <w:sz w:val="20"/>
          <w:szCs w:val="20"/>
        </w:rPr>
        <w:t>（</w:t>
      </w:r>
      <w:r w:rsidRPr="00DA3BC7">
        <w:rPr>
          <w:rFonts w:ascii="Times New Roman" w:hAnsi="Times New Roman"/>
          <w:sz w:val="20"/>
          <w:szCs w:val="20"/>
        </w:rPr>
        <w:t>p.206</w:t>
      </w:r>
      <w:r w:rsidRPr="00DA3BC7">
        <w:rPr>
          <w:rFonts w:ascii="Times New Roman" w:hAnsi="Times New Roman"/>
          <w:sz w:val="20"/>
          <w:szCs w:val="20"/>
        </w:rPr>
        <w:t>）</w:t>
      </w:r>
    </w:p>
    <w:p w:rsidR="00AA120F" w:rsidRPr="00DA3BC7" w:rsidRDefault="00AA120F" w:rsidP="00446140">
      <w:pPr>
        <w:widowControl/>
        <w:ind w:leftChars="250" w:left="600"/>
        <w:jc w:val="both"/>
        <w:rPr>
          <w:rFonts w:ascii="Times New Roman" w:hAnsi="Times New Roman"/>
          <w:kern w:val="0"/>
        </w:rPr>
      </w:pPr>
      <w:r w:rsidRPr="00DA3BC7">
        <w:rPr>
          <w:rFonts w:ascii="Times New Roman" w:hAnsi="Times New Roman"/>
          <w:kern w:val="0"/>
        </w:rPr>
        <w:t>凡夫因</w:t>
      </w:r>
      <w:r w:rsidRPr="00DA3BC7">
        <w:rPr>
          <w:rFonts w:ascii="Times New Roman" w:hAnsi="Times New Roman"/>
          <w:b/>
          <w:kern w:val="0"/>
        </w:rPr>
        <w:t>迷情妄執</w:t>
      </w:r>
      <w:r w:rsidRPr="00DA3BC7">
        <w:rPr>
          <w:rFonts w:ascii="Times New Roman" w:hAnsi="Times New Roman"/>
          <w:kern w:val="0"/>
        </w:rPr>
        <w:t>，不悟真理，凡情的境界，即常識的世界，是世俗有的，名為</w:t>
      </w:r>
      <w:r w:rsidRPr="00DA3BC7">
        <w:rPr>
          <w:rFonts w:ascii="Times New Roman" w:hAnsi="Times New Roman"/>
          <w:b/>
          <w:kern w:val="0"/>
        </w:rPr>
        <w:t>世俗諦</w:t>
      </w:r>
      <w:r w:rsidRPr="00DA3BC7">
        <w:rPr>
          <w:rFonts w:ascii="Times New Roman" w:hAnsi="Times New Roman"/>
          <w:kern w:val="0"/>
        </w:rPr>
        <w:t>。世</w:t>
      </w:r>
      <w:r w:rsidRPr="00DA3BC7">
        <w:rPr>
          <w:rFonts w:ascii="Times New Roman" w:hAnsi="Times New Roman" w:hint="eastAsia"/>
          <w:kern w:val="0"/>
        </w:rPr>
        <w:t>，</w:t>
      </w:r>
      <w:r w:rsidRPr="00DA3BC7">
        <w:rPr>
          <w:rFonts w:ascii="Times New Roman" w:hAnsi="Times New Roman"/>
          <w:kern w:val="0"/>
        </w:rPr>
        <w:t>是遷流</w:t>
      </w:r>
      <w:r w:rsidRPr="00DA3BC7">
        <w:rPr>
          <w:rStyle w:val="a6"/>
          <w:rFonts w:ascii="Times New Roman" w:hAnsi="Times New Roman"/>
          <w:kern w:val="0"/>
        </w:rPr>
        <w:footnoteReference w:id="898"/>
      </w:r>
      <w:r w:rsidRPr="00DA3BC7">
        <w:rPr>
          <w:rFonts w:ascii="Times New Roman" w:hAnsi="Times New Roman"/>
          <w:kern w:val="0"/>
        </w:rPr>
        <w:t>義</w:t>
      </w:r>
      <w:r w:rsidRPr="00DA3BC7">
        <w:rPr>
          <w:rFonts w:ascii="Times New Roman" w:hAnsi="Times New Roman" w:hint="eastAsia"/>
          <w:kern w:val="0"/>
        </w:rPr>
        <w:t>；</w:t>
      </w:r>
      <w:r w:rsidRPr="00DA3BC7">
        <w:rPr>
          <w:rFonts w:ascii="Times New Roman" w:hAnsi="Times New Roman"/>
          <w:kern w:val="0"/>
        </w:rPr>
        <w:t>俗</w:t>
      </w:r>
      <w:r w:rsidRPr="00DA3BC7">
        <w:rPr>
          <w:rFonts w:ascii="Times New Roman" w:hAnsi="Times New Roman" w:hint="eastAsia"/>
          <w:kern w:val="0"/>
        </w:rPr>
        <w:t>，</w:t>
      </w:r>
      <w:r w:rsidRPr="00DA3BC7">
        <w:rPr>
          <w:rFonts w:ascii="Times New Roman" w:hAnsi="Times New Roman"/>
          <w:kern w:val="0"/>
        </w:rPr>
        <w:t>是浮虛</w:t>
      </w:r>
      <w:r w:rsidRPr="00DA3BC7">
        <w:rPr>
          <w:rStyle w:val="a6"/>
          <w:rFonts w:ascii="Times New Roman" w:hAnsi="Times New Roman"/>
          <w:kern w:val="0"/>
        </w:rPr>
        <w:footnoteReference w:id="899"/>
      </w:r>
      <w:r w:rsidRPr="00DA3BC7">
        <w:rPr>
          <w:rFonts w:ascii="Times New Roman" w:hAnsi="Times New Roman"/>
          <w:kern w:val="0"/>
        </w:rPr>
        <w:t>不實義。依梵語，有覆</w:t>
      </w:r>
      <w:r w:rsidRPr="00DA3BC7">
        <w:rPr>
          <w:rStyle w:val="a6"/>
          <w:rFonts w:ascii="Times New Roman" w:hAnsi="Times New Roman"/>
          <w:kern w:val="0"/>
        </w:rPr>
        <w:footnoteReference w:id="900"/>
      </w:r>
      <w:r w:rsidRPr="00DA3BC7">
        <w:rPr>
          <w:rFonts w:ascii="Times New Roman" w:hAnsi="Times New Roman"/>
          <w:kern w:val="0"/>
        </w:rPr>
        <w:t>障義，即凡情亂現虛妄不真而障於真相的。</w:t>
      </w:r>
      <w:r w:rsidRPr="00DA3BC7">
        <w:rPr>
          <w:rStyle w:val="a6"/>
          <w:rFonts w:ascii="Times New Roman" w:hAnsi="Times New Roman"/>
          <w:kern w:val="0"/>
        </w:rPr>
        <w:footnoteReference w:id="901"/>
      </w:r>
    </w:p>
    <w:p w:rsidR="00AA120F" w:rsidRPr="00DA3BC7" w:rsidRDefault="00AA120F" w:rsidP="00AE3920">
      <w:pPr>
        <w:widowControl/>
        <w:spacing w:beforeLines="20"/>
        <w:ind w:leftChars="250" w:left="600"/>
        <w:jc w:val="both"/>
        <w:rPr>
          <w:rFonts w:ascii="Times New Roman" w:hAnsi="Times New Roman"/>
          <w:kern w:val="0"/>
        </w:rPr>
      </w:pPr>
      <w:r w:rsidRPr="00DA3BC7">
        <w:rPr>
          <w:rFonts w:ascii="Times New Roman" w:hAnsi="Times New Roman"/>
          <w:b/>
          <w:kern w:val="0"/>
        </w:rPr>
        <w:lastRenderedPageBreak/>
        <w:t>勝義諦</w:t>
      </w:r>
      <w:r w:rsidRPr="00DA3BC7">
        <w:rPr>
          <w:rFonts w:ascii="Times New Roman" w:hAnsi="Times New Roman"/>
          <w:kern w:val="0"/>
        </w:rPr>
        <w:t>，是聖人智見體悟諸法本相，而非一般的認識所認識的。這是特勝的真智界，故名勝義，即第一義諦。</w:t>
      </w:r>
    </w:p>
    <w:p w:rsidR="00446140" w:rsidRPr="00DA3BC7" w:rsidRDefault="00446140" w:rsidP="00AE3920">
      <w:pPr>
        <w:widowControl/>
        <w:spacing w:beforeLines="30"/>
        <w:ind w:leftChars="250" w:left="600"/>
        <w:jc w:val="both"/>
        <w:rPr>
          <w:rFonts w:ascii="Times New Roman" w:hAnsi="Times New Roman"/>
          <w:kern w:val="0"/>
        </w:rPr>
      </w:pPr>
      <w:r w:rsidRPr="00087A25">
        <w:rPr>
          <w:rFonts w:ascii="Times New Roman" w:hAnsi="Times New Roman" w:hint="eastAsia"/>
          <w:b/>
          <w:color w:val="FF0000"/>
          <w:kern w:val="0"/>
          <w:sz w:val="20"/>
          <w:szCs w:val="20"/>
          <w:highlight w:val="yellow"/>
          <w:bdr w:val="single" w:sz="4" w:space="0" w:color="auto"/>
        </w:rPr>
        <w:t>（</w:t>
      </w:r>
      <w:r>
        <w:rPr>
          <w:rFonts w:ascii="Times New Roman" w:hAnsi="Times New Roman" w:hint="eastAsia"/>
          <w:b/>
          <w:color w:val="FF0000"/>
          <w:kern w:val="0"/>
          <w:sz w:val="20"/>
          <w:szCs w:val="20"/>
          <w:highlight w:val="yellow"/>
          <w:bdr w:val="single" w:sz="4" w:space="0" w:color="auto"/>
        </w:rPr>
        <w:t>2</w:t>
      </w:r>
      <w:r w:rsidRPr="00087A25">
        <w:rPr>
          <w:rFonts w:ascii="Times New Roman" w:hAnsi="Times New Roman" w:hint="eastAsia"/>
          <w:b/>
          <w:color w:val="FF0000"/>
          <w:kern w:val="0"/>
          <w:sz w:val="20"/>
          <w:szCs w:val="20"/>
          <w:highlight w:val="yellow"/>
          <w:bdr w:val="single" w:sz="4" w:space="0" w:color="auto"/>
        </w:rPr>
        <w:t>）</w:t>
      </w:r>
      <w:r w:rsidRPr="00446140">
        <w:rPr>
          <w:rFonts w:ascii="Times New Roman" w:hAnsi="Times New Roman" w:hint="eastAsia"/>
          <w:b/>
          <w:color w:val="FF0000"/>
          <w:kern w:val="0"/>
          <w:sz w:val="20"/>
          <w:szCs w:val="20"/>
          <w:highlight w:val="yellow"/>
          <w:bdr w:val="single" w:sz="4" w:space="0" w:color="auto"/>
        </w:rPr>
        <w:t>辨教用</w:t>
      </w:r>
      <w:r w:rsidRPr="00DA3BC7">
        <w:rPr>
          <w:rFonts w:ascii="Times New Roman" w:hAnsi="Times New Roman"/>
          <w:sz w:val="20"/>
          <w:szCs w:val="20"/>
        </w:rPr>
        <w:t>（</w:t>
      </w:r>
      <w:r w:rsidRPr="00DA3BC7">
        <w:rPr>
          <w:rFonts w:ascii="Times New Roman" w:hAnsi="Times New Roman"/>
          <w:sz w:val="20"/>
          <w:szCs w:val="20"/>
        </w:rPr>
        <w:t>p.206</w:t>
      </w:r>
      <w:r w:rsidRPr="00DA3BC7">
        <w:rPr>
          <w:rFonts w:ascii="Times New Roman" w:hAnsi="Times New Roman"/>
          <w:sz w:val="20"/>
          <w:szCs w:val="20"/>
        </w:rPr>
        <w:t>）</w:t>
      </w:r>
    </w:p>
    <w:p w:rsidR="00AA120F" w:rsidRPr="00DA3BC7" w:rsidRDefault="00AA120F" w:rsidP="00446140">
      <w:pPr>
        <w:widowControl/>
        <w:kinsoku w:val="0"/>
        <w:ind w:leftChars="250" w:left="600"/>
        <w:jc w:val="both"/>
        <w:rPr>
          <w:rFonts w:ascii="Times New Roman" w:hAnsi="Times New Roman"/>
          <w:kern w:val="0"/>
          <w:lang w:eastAsia="zh-HK"/>
        </w:rPr>
      </w:pPr>
      <w:r w:rsidRPr="00DA3BC7">
        <w:rPr>
          <w:rFonts w:ascii="Times New Roman" w:hAnsi="Times New Roman"/>
          <w:kern w:val="0"/>
        </w:rPr>
        <w:t>佛法教化眾生使</w:t>
      </w:r>
      <w:r w:rsidRPr="00DA3BC7">
        <w:rPr>
          <w:rFonts w:hint="eastAsia"/>
        </w:rPr>
        <w:t>他</w:t>
      </w:r>
      <w:r w:rsidRPr="00DA3BC7">
        <w:rPr>
          <w:rFonts w:ascii="Times New Roman" w:hAnsi="Times New Roman"/>
          <w:kern w:val="0"/>
        </w:rPr>
        <w:t>從迷啟悟</w:t>
      </w:r>
      <w:r w:rsidRPr="00DA3BC7">
        <w:rPr>
          <w:rFonts w:ascii="Times New Roman" w:hAnsi="Times New Roman" w:hint="eastAsia"/>
          <w:kern w:val="0"/>
        </w:rPr>
        <w:t>、</w:t>
      </w:r>
      <w:r w:rsidRPr="00DA3BC7">
        <w:rPr>
          <w:rFonts w:ascii="Times New Roman" w:hAnsi="Times New Roman"/>
          <w:kern w:val="0"/>
        </w:rPr>
        <w:t>從凡入聖，主要以此二諦為立教的根本方式。對二諦雖有各樣的解說，然主要是使眾生從迷執境界轉入到聖覺的境界。</w:t>
      </w:r>
    </w:p>
    <w:p w:rsidR="00AA120F" w:rsidRPr="00DA3BC7" w:rsidRDefault="00AA120F" w:rsidP="00446140">
      <w:pPr>
        <w:widowControl/>
        <w:ind w:leftChars="250" w:left="600"/>
        <w:jc w:val="both"/>
        <w:rPr>
          <w:rFonts w:ascii="Times New Roman" w:hAnsi="Times New Roman"/>
          <w:kern w:val="0"/>
        </w:rPr>
      </w:pPr>
      <w:r w:rsidRPr="00DA3BC7">
        <w:rPr>
          <w:rFonts w:ascii="Times New Roman" w:hAnsi="Times New Roman"/>
          <w:kern w:val="0"/>
        </w:rPr>
        <w:t>眾生因</w:t>
      </w:r>
      <w:r w:rsidRPr="00DA3BC7">
        <w:rPr>
          <w:rFonts w:ascii="Times New Roman" w:hAnsi="Times New Roman"/>
          <w:b/>
          <w:kern w:val="0"/>
        </w:rPr>
        <w:t>無明</w:t>
      </w:r>
      <w:r w:rsidRPr="00DA3BC7">
        <w:rPr>
          <w:rFonts w:ascii="Times New Roman" w:hAnsi="Times New Roman"/>
          <w:kern w:val="0"/>
        </w:rPr>
        <w:t>妄執，計一切法為真實</w:t>
      </w:r>
      <w:r w:rsidRPr="00DA3BC7">
        <w:rPr>
          <w:rFonts w:ascii="Times New Roman" w:hAnsi="Times New Roman"/>
          <w:b/>
          <w:kern w:val="0"/>
        </w:rPr>
        <w:t>有</w:t>
      </w:r>
      <w:r w:rsidRPr="00DA3BC7">
        <w:rPr>
          <w:rFonts w:ascii="Times New Roman" w:hAnsi="Times New Roman"/>
          <w:kern w:val="0"/>
        </w:rPr>
        <w:t>的，由此引起生死流轉。</w:t>
      </w:r>
    </w:p>
    <w:p w:rsidR="00AA120F" w:rsidRPr="00DA3BC7" w:rsidRDefault="00AA120F" w:rsidP="00446140">
      <w:pPr>
        <w:widowControl/>
        <w:kinsoku w:val="0"/>
        <w:ind w:leftChars="250" w:left="600"/>
        <w:jc w:val="both"/>
        <w:rPr>
          <w:rFonts w:ascii="Times New Roman" w:hAnsi="Times New Roman"/>
          <w:kern w:val="0"/>
        </w:rPr>
      </w:pPr>
      <w:r w:rsidRPr="00DA3BC7">
        <w:rPr>
          <w:rFonts w:ascii="Times New Roman" w:hAnsi="Times New Roman"/>
          <w:kern w:val="0"/>
        </w:rPr>
        <w:t>要使眾生解脫，即必要</w:t>
      </w:r>
      <w:r w:rsidRPr="00DA3BC7">
        <w:rPr>
          <w:rFonts w:ascii="Times New Roman" w:hAnsi="Times New Roman"/>
          <w:b/>
          <w:kern w:val="0"/>
        </w:rPr>
        <w:t>了悟</w:t>
      </w:r>
      <w:r w:rsidRPr="00DA3BC7">
        <w:rPr>
          <w:rFonts w:ascii="Times New Roman" w:hAnsi="Times New Roman"/>
          <w:kern w:val="0"/>
        </w:rPr>
        <w:t>諸法是非實有的，悟得</w:t>
      </w:r>
      <w:r w:rsidRPr="00DA3BC7">
        <w:rPr>
          <w:rFonts w:ascii="Times New Roman" w:hAnsi="Times New Roman"/>
          <w:b/>
          <w:kern w:val="0"/>
        </w:rPr>
        <w:t>法性本空</w:t>
      </w:r>
      <w:r w:rsidRPr="00DA3BC7">
        <w:rPr>
          <w:rFonts w:ascii="Times New Roman" w:hAnsi="Times New Roman"/>
          <w:kern w:val="0"/>
        </w:rPr>
        <w:t>為勝義諦。</w:t>
      </w:r>
    </w:p>
    <w:p w:rsidR="00AA120F" w:rsidRPr="00DA3BC7" w:rsidRDefault="00087A25" w:rsidP="00446140">
      <w:pPr>
        <w:widowControl/>
        <w:ind w:leftChars="250" w:left="600"/>
        <w:jc w:val="both"/>
        <w:rPr>
          <w:rFonts w:ascii="Times New Roman" w:hAnsi="Times New Roman"/>
          <w:kern w:val="0"/>
        </w:rPr>
      </w:pPr>
      <w:r>
        <w:rPr>
          <w:rFonts w:ascii="Times New Roman" w:hAnsi="Times New Roman"/>
          <w:kern w:val="0"/>
        </w:rPr>
        <w:t>所以</w:t>
      </w:r>
      <w:r w:rsidR="00AA120F" w:rsidRPr="00DA3BC7">
        <w:rPr>
          <w:rFonts w:ascii="Times New Roman" w:hAnsi="Times New Roman"/>
          <w:kern w:val="0"/>
        </w:rPr>
        <w:t>青目</w:t>
      </w:r>
      <w:r w:rsidRPr="00087A25">
        <w:rPr>
          <w:rFonts w:ascii="Times New Roman" w:hAnsi="Times New Roman" w:hint="eastAsia"/>
          <w:color w:val="FF0000"/>
          <w:kern w:val="0"/>
          <w:highlight w:val="yellow"/>
        </w:rPr>
        <w:t>《</w:t>
      </w:r>
      <w:r w:rsidR="00AA120F" w:rsidRPr="00DA3BC7">
        <w:rPr>
          <w:rFonts w:ascii="Times New Roman" w:hAnsi="Times New Roman"/>
          <w:kern w:val="0"/>
        </w:rPr>
        <w:t>中論釋</w:t>
      </w:r>
      <w:r>
        <w:rPr>
          <w:rFonts w:ascii="Times New Roman" w:hAnsi="Times New Roman" w:hint="eastAsia"/>
          <w:color w:val="FF0000"/>
          <w:kern w:val="0"/>
          <w:highlight w:val="yellow"/>
        </w:rPr>
        <w:t>》</w:t>
      </w:r>
      <w:r w:rsidR="00AA120F" w:rsidRPr="00DA3BC7">
        <w:rPr>
          <w:rFonts w:ascii="Times New Roman" w:hAnsi="Times New Roman"/>
          <w:kern w:val="0"/>
        </w:rPr>
        <w:t>說：「</w:t>
      </w:r>
      <w:r w:rsidR="00AA120F" w:rsidRPr="00DA3BC7">
        <w:rPr>
          <w:rFonts w:ascii="標楷體" w:eastAsia="標楷體" w:hAnsi="標楷體"/>
          <w:kern w:val="0"/>
        </w:rPr>
        <w:t>世俗諦者，一切法性空，而世間顛倒故，生虛妄法，於</w:t>
      </w:r>
      <w:r w:rsidR="00AA120F" w:rsidRPr="00DA3BC7">
        <w:rPr>
          <w:rFonts w:ascii="標楷體" w:eastAsia="標楷體" w:hAnsi="標楷體"/>
          <w:b/>
          <w:kern w:val="0"/>
        </w:rPr>
        <w:t>世間</w:t>
      </w:r>
      <w:r w:rsidR="00AA120F" w:rsidRPr="00DA3BC7">
        <w:rPr>
          <w:rFonts w:ascii="標楷體" w:eastAsia="標楷體" w:hAnsi="標楷體"/>
          <w:kern w:val="0"/>
        </w:rPr>
        <w:t>是</w:t>
      </w:r>
      <w:r w:rsidR="00AA120F" w:rsidRPr="00DA3BC7">
        <w:rPr>
          <w:rFonts w:ascii="標楷體" w:eastAsia="標楷體" w:hAnsi="標楷體"/>
          <w:b/>
          <w:kern w:val="0"/>
        </w:rPr>
        <w:t>實</w:t>
      </w:r>
      <w:r w:rsidR="00AA120F" w:rsidRPr="00DA3BC7">
        <w:rPr>
          <w:rFonts w:ascii="標楷體" w:eastAsia="標楷體" w:hAnsi="標楷體"/>
          <w:kern w:val="0"/>
        </w:rPr>
        <w:t>。</w:t>
      </w:r>
      <w:r w:rsidR="00AA120F" w:rsidRPr="00087A25">
        <w:rPr>
          <w:rFonts w:ascii="標楷體" w:eastAsia="標楷體" w:hAnsi="標楷體"/>
          <w:b/>
          <w:kern w:val="0"/>
        </w:rPr>
        <w:t>諸</w:t>
      </w:r>
      <w:r w:rsidR="00AA120F" w:rsidRPr="00DA3BC7">
        <w:rPr>
          <w:rFonts w:ascii="標楷體" w:eastAsia="標楷體" w:hAnsi="標楷體"/>
          <w:b/>
          <w:kern w:val="0"/>
        </w:rPr>
        <w:t>賢聖</w:t>
      </w:r>
      <w:r w:rsidR="00AA120F" w:rsidRPr="00DA3BC7">
        <w:rPr>
          <w:rFonts w:ascii="標楷體" w:eastAsia="標楷體" w:hAnsi="標楷體"/>
          <w:kern w:val="0"/>
        </w:rPr>
        <w:t>真知顛倒性故，知一切法皆</w:t>
      </w:r>
      <w:r w:rsidR="00AA120F" w:rsidRPr="00DA3BC7">
        <w:rPr>
          <w:rFonts w:ascii="標楷體" w:eastAsia="標楷體" w:hAnsi="標楷體"/>
          <w:b/>
          <w:kern w:val="0"/>
        </w:rPr>
        <w:t>空</w:t>
      </w:r>
      <w:r w:rsidR="00AA120F" w:rsidRPr="00087A25">
        <w:rPr>
          <w:rFonts w:ascii="標楷體" w:eastAsia="標楷體" w:hAnsi="標楷體"/>
          <w:b/>
          <w:kern w:val="0"/>
        </w:rPr>
        <w:t>無生</w:t>
      </w:r>
      <w:r w:rsidR="00AA120F" w:rsidRPr="00DA3BC7">
        <w:rPr>
          <w:rFonts w:ascii="標楷體" w:eastAsia="標楷體" w:hAnsi="標楷體"/>
          <w:kern w:val="0"/>
        </w:rPr>
        <w:t>，於聖人是第一義諦，名為實</w:t>
      </w:r>
      <w:r w:rsidR="00AA120F" w:rsidRPr="00DA3BC7">
        <w:rPr>
          <w:rFonts w:ascii="標楷體" w:eastAsia="標楷體" w:hAnsi="標楷體" w:hint="eastAsia"/>
          <w:kern w:val="0"/>
        </w:rPr>
        <w:t>。</w:t>
      </w:r>
      <w:r w:rsidR="00AA120F" w:rsidRPr="00DA3BC7">
        <w:rPr>
          <w:rFonts w:ascii="Times New Roman" w:hAnsi="Times New Roman"/>
          <w:kern w:val="0"/>
        </w:rPr>
        <w:t>」</w:t>
      </w:r>
      <w:r w:rsidR="00AA120F" w:rsidRPr="00DA3BC7">
        <w:rPr>
          <w:rStyle w:val="a6"/>
          <w:rFonts w:ascii="Times New Roman" w:hAnsi="Times New Roman"/>
          <w:kern w:val="0"/>
        </w:rPr>
        <w:footnoteReference w:id="902"/>
      </w:r>
    </w:p>
    <w:p w:rsidR="00AA120F" w:rsidRPr="00DA3BC7" w:rsidRDefault="00F916CC" w:rsidP="00AE3920">
      <w:pPr>
        <w:widowControl/>
        <w:spacing w:beforeLines="30"/>
        <w:ind w:leftChars="200" w:left="480"/>
        <w:jc w:val="both"/>
        <w:rPr>
          <w:rFonts w:ascii="Times New Roman" w:hAnsi="Times New Roman"/>
          <w:b/>
          <w:kern w:val="0"/>
          <w:sz w:val="20"/>
          <w:szCs w:val="20"/>
          <w:bdr w:val="single" w:sz="4" w:space="0" w:color="auto"/>
        </w:rPr>
      </w:pPr>
      <w:r w:rsidRPr="00F916CC">
        <w:rPr>
          <w:rFonts w:ascii="Times New Roman" w:hAnsi="Times New Roman" w:hint="eastAsia"/>
          <w:b/>
          <w:color w:val="FF0000"/>
          <w:kern w:val="0"/>
          <w:sz w:val="20"/>
          <w:szCs w:val="20"/>
          <w:highlight w:val="yellow"/>
          <w:bdr w:val="single" w:sz="4" w:space="0" w:color="auto"/>
        </w:rPr>
        <w:t>2</w:t>
      </w:r>
      <w:r w:rsidRPr="00F916CC">
        <w:rPr>
          <w:rFonts w:ascii="Times New Roman" w:hAnsi="Times New Roman" w:hint="eastAsia"/>
          <w:b/>
          <w:color w:val="FF0000"/>
          <w:kern w:val="0"/>
          <w:sz w:val="20"/>
          <w:szCs w:val="20"/>
          <w:highlight w:val="yellow"/>
          <w:bdr w:val="single" w:sz="4" w:space="0" w:color="auto"/>
        </w:rPr>
        <w:t>、辨體：二類真實</w:t>
      </w:r>
      <w:r w:rsidR="00456916">
        <w:rPr>
          <w:rFonts w:ascii="Times New Roman" w:hAnsi="Times New Roman" w:hint="eastAsia"/>
          <w:b/>
          <w:color w:val="FF0000"/>
          <w:kern w:val="0"/>
          <w:sz w:val="20"/>
          <w:szCs w:val="20"/>
          <w:highlight w:val="yellow"/>
          <w:bdr w:val="single" w:sz="4" w:space="0" w:color="auto"/>
        </w:rPr>
        <w:t>，</w:t>
      </w:r>
      <w:r w:rsidRPr="00F916CC">
        <w:rPr>
          <w:rFonts w:ascii="Times New Roman" w:hAnsi="Times New Roman" w:hint="eastAsia"/>
          <w:b/>
          <w:color w:val="FF0000"/>
          <w:kern w:val="0"/>
          <w:sz w:val="20"/>
          <w:szCs w:val="20"/>
          <w:highlight w:val="yellow"/>
          <w:bdr w:val="single" w:sz="4" w:space="0" w:color="auto"/>
        </w:rPr>
        <w:t>隨智別</w:t>
      </w:r>
      <w:r w:rsidR="00AA120F" w:rsidRPr="00DA3BC7">
        <w:rPr>
          <w:rFonts w:ascii="Times New Roman" w:hAnsi="Times New Roman"/>
          <w:sz w:val="20"/>
          <w:szCs w:val="20"/>
        </w:rPr>
        <w:t>（</w:t>
      </w:r>
      <w:r w:rsidR="00AA120F" w:rsidRPr="00DA3BC7">
        <w:rPr>
          <w:rFonts w:ascii="Times New Roman" w:hAnsi="Times New Roman"/>
          <w:sz w:val="20"/>
          <w:szCs w:val="20"/>
        </w:rPr>
        <w:t>pp.206-</w:t>
      </w:r>
      <w:r w:rsidR="00AA120F" w:rsidRPr="00DA3BC7">
        <w:rPr>
          <w:rFonts w:ascii="Times New Roman" w:hAnsi="Times New Roman" w:hint="eastAsia"/>
          <w:sz w:val="20"/>
          <w:szCs w:val="20"/>
        </w:rPr>
        <w:t>208</w:t>
      </w:r>
      <w:r w:rsidR="00AA120F" w:rsidRPr="00DA3BC7">
        <w:rPr>
          <w:rFonts w:ascii="Times New Roman" w:hAnsi="Times New Roman"/>
          <w:sz w:val="20"/>
          <w:szCs w:val="20"/>
        </w:rPr>
        <w:t>）</w:t>
      </w:r>
    </w:p>
    <w:p w:rsidR="00F916CC" w:rsidRDefault="00F916CC" w:rsidP="008E4FB5">
      <w:pPr>
        <w:widowControl/>
        <w:ind w:leftChars="250" w:left="600"/>
        <w:jc w:val="both"/>
        <w:rPr>
          <w:rFonts w:ascii="Times New Roman" w:hAnsi="Times New Roman"/>
          <w:b/>
          <w:color w:val="FF0000"/>
          <w:kern w:val="0"/>
          <w:sz w:val="20"/>
          <w:szCs w:val="20"/>
          <w:bdr w:val="single" w:sz="4" w:space="0" w:color="auto"/>
        </w:rPr>
      </w:pPr>
      <w:r w:rsidRPr="00F916CC">
        <w:rPr>
          <w:rFonts w:ascii="Times New Roman" w:hAnsi="Times New Roman" w:hint="eastAsia"/>
          <w:b/>
          <w:color w:val="FF0000"/>
          <w:kern w:val="0"/>
          <w:sz w:val="20"/>
          <w:szCs w:val="20"/>
          <w:highlight w:val="yellow"/>
          <w:bdr w:val="single" w:sz="4" w:space="0" w:color="auto"/>
        </w:rPr>
        <w:t>（</w:t>
      </w:r>
      <w:r w:rsidRPr="00F916CC">
        <w:rPr>
          <w:rFonts w:ascii="Times New Roman" w:hAnsi="Times New Roman" w:hint="eastAsia"/>
          <w:b/>
          <w:color w:val="FF0000"/>
          <w:kern w:val="0"/>
          <w:sz w:val="20"/>
          <w:szCs w:val="20"/>
          <w:highlight w:val="yellow"/>
          <w:bdr w:val="single" w:sz="4" w:space="0" w:color="auto"/>
        </w:rPr>
        <w:t>1</w:t>
      </w:r>
      <w:r w:rsidRPr="00F916CC">
        <w:rPr>
          <w:rFonts w:ascii="Times New Roman" w:hAnsi="Times New Roman" w:hint="eastAsia"/>
          <w:b/>
          <w:color w:val="FF0000"/>
          <w:kern w:val="0"/>
          <w:sz w:val="20"/>
          <w:szCs w:val="20"/>
          <w:highlight w:val="yellow"/>
          <w:bdr w:val="single" w:sz="4" w:space="0" w:color="auto"/>
        </w:rPr>
        <w:t>）釋義</w:t>
      </w:r>
      <w:r w:rsidRPr="00DA3BC7">
        <w:rPr>
          <w:rFonts w:ascii="Times New Roman" w:hAnsi="Times New Roman"/>
          <w:sz w:val="20"/>
          <w:szCs w:val="20"/>
        </w:rPr>
        <w:t>（</w:t>
      </w:r>
      <w:r w:rsidRPr="00DA3BC7">
        <w:rPr>
          <w:rFonts w:ascii="Times New Roman" w:hAnsi="Times New Roman"/>
          <w:sz w:val="20"/>
          <w:szCs w:val="20"/>
        </w:rPr>
        <w:t>pp.206-</w:t>
      </w:r>
      <w:r w:rsidRPr="00DA3BC7">
        <w:rPr>
          <w:rFonts w:ascii="Times New Roman" w:hAnsi="Times New Roman" w:hint="eastAsia"/>
          <w:sz w:val="20"/>
          <w:szCs w:val="20"/>
        </w:rPr>
        <w:t>207</w:t>
      </w:r>
      <w:r w:rsidRPr="00DA3BC7">
        <w:rPr>
          <w:rFonts w:ascii="Times New Roman" w:hAnsi="Times New Roman"/>
          <w:sz w:val="20"/>
          <w:szCs w:val="20"/>
        </w:rPr>
        <w:t>）</w:t>
      </w:r>
    </w:p>
    <w:p w:rsidR="00AA120F" w:rsidRPr="00DA3BC7" w:rsidRDefault="00F916CC" w:rsidP="008E4FB5">
      <w:pPr>
        <w:widowControl/>
        <w:ind w:leftChars="300" w:left="720"/>
        <w:jc w:val="both"/>
        <w:rPr>
          <w:rFonts w:ascii="Times New Roman" w:hAnsi="Times New Roman"/>
          <w:b/>
          <w:kern w:val="0"/>
          <w:sz w:val="20"/>
          <w:szCs w:val="20"/>
          <w:bdr w:val="single" w:sz="4" w:space="0" w:color="auto"/>
        </w:rPr>
      </w:pPr>
      <w:r w:rsidRPr="00F916CC">
        <w:rPr>
          <w:rFonts w:ascii="Times New Roman" w:hAnsi="Times New Roman" w:hint="eastAsia"/>
          <w:b/>
          <w:color w:val="FF0000"/>
          <w:kern w:val="0"/>
          <w:sz w:val="20"/>
          <w:szCs w:val="20"/>
          <w:highlight w:val="yellow"/>
          <w:bdr w:val="single" w:sz="4" w:space="0" w:color="auto"/>
        </w:rPr>
        <w:t>A</w:t>
      </w:r>
      <w:r w:rsidRPr="00F916CC">
        <w:rPr>
          <w:rFonts w:ascii="Times New Roman" w:hAnsi="Times New Roman" w:hint="eastAsia"/>
          <w:b/>
          <w:color w:val="FF0000"/>
          <w:kern w:val="0"/>
          <w:sz w:val="20"/>
          <w:szCs w:val="20"/>
          <w:highlight w:val="yellow"/>
          <w:bdr w:val="single" w:sz="4" w:space="0" w:color="auto"/>
        </w:rPr>
        <w:t>、</w:t>
      </w:r>
      <w:r w:rsidR="00AA120F" w:rsidRPr="00DA3BC7">
        <w:rPr>
          <w:rFonts w:ascii="Times New Roman" w:hAnsi="Times New Roman"/>
          <w:b/>
          <w:kern w:val="0"/>
          <w:sz w:val="20"/>
          <w:szCs w:val="20"/>
          <w:bdr w:val="single" w:sz="4" w:space="0" w:color="auto"/>
        </w:rPr>
        <w:t>世</w:t>
      </w:r>
      <w:r w:rsidR="00AA120F" w:rsidRPr="00DA3BC7">
        <w:rPr>
          <w:rFonts w:ascii="Times New Roman" w:hAnsi="Times New Roman" w:hint="eastAsia"/>
          <w:b/>
          <w:kern w:val="0"/>
          <w:sz w:val="20"/>
          <w:szCs w:val="20"/>
          <w:bdr w:val="single" w:sz="4" w:space="0" w:color="auto"/>
        </w:rPr>
        <w:t>間</w:t>
      </w:r>
      <w:r w:rsidR="00AA120F" w:rsidRPr="00DA3BC7">
        <w:rPr>
          <w:rFonts w:ascii="Times New Roman" w:hAnsi="Times New Roman"/>
          <w:b/>
          <w:kern w:val="0"/>
          <w:sz w:val="20"/>
          <w:szCs w:val="20"/>
          <w:bdr w:val="single" w:sz="4" w:space="0" w:color="auto"/>
        </w:rPr>
        <w:t>真實</w:t>
      </w:r>
      <w:r w:rsidRPr="00F916CC">
        <w:rPr>
          <w:rFonts w:ascii="Times New Roman" w:hAnsi="Times New Roman" w:hint="eastAsia"/>
          <w:b/>
          <w:color w:val="FF0000"/>
          <w:kern w:val="0"/>
          <w:sz w:val="20"/>
          <w:szCs w:val="20"/>
          <w:highlight w:val="yellow"/>
          <w:bdr w:val="single" w:sz="4" w:space="0" w:color="auto"/>
        </w:rPr>
        <w:t>：凡情俗諦</w:t>
      </w:r>
      <w:r w:rsidR="00AA120F" w:rsidRPr="00DA3BC7">
        <w:rPr>
          <w:rFonts w:ascii="Times New Roman" w:hAnsi="Times New Roman"/>
          <w:sz w:val="20"/>
          <w:szCs w:val="20"/>
        </w:rPr>
        <w:t>（</w:t>
      </w:r>
      <w:r w:rsidR="00AA120F" w:rsidRPr="00DA3BC7">
        <w:rPr>
          <w:rFonts w:ascii="Times New Roman" w:hAnsi="Times New Roman"/>
          <w:sz w:val="20"/>
          <w:szCs w:val="20"/>
        </w:rPr>
        <w:t>pp.206-</w:t>
      </w:r>
      <w:r w:rsidR="00AA120F" w:rsidRPr="00DA3BC7">
        <w:rPr>
          <w:rFonts w:ascii="Times New Roman" w:hAnsi="Times New Roman" w:hint="eastAsia"/>
          <w:sz w:val="20"/>
          <w:szCs w:val="20"/>
        </w:rPr>
        <w:t>207</w:t>
      </w:r>
      <w:r w:rsidR="00AA120F" w:rsidRPr="00DA3BC7">
        <w:rPr>
          <w:rFonts w:ascii="Times New Roman" w:hAnsi="Times New Roman"/>
          <w:sz w:val="20"/>
          <w:szCs w:val="20"/>
        </w:rPr>
        <w:t>）</w:t>
      </w:r>
    </w:p>
    <w:p w:rsidR="00AA120F" w:rsidRPr="00DA3BC7" w:rsidRDefault="00AA120F" w:rsidP="008E4FB5">
      <w:pPr>
        <w:widowControl/>
        <w:ind w:leftChars="300" w:left="720"/>
        <w:jc w:val="both"/>
        <w:rPr>
          <w:rFonts w:ascii="Times New Roman" w:hAnsi="Times New Roman"/>
          <w:kern w:val="0"/>
        </w:rPr>
      </w:pPr>
      <w:r w:rsidRPr="00DA3BC7">
        <w:rPr>
          <w:rFonts w:ascii="Times New Roman" w:hAnsi="Times New Roman"/>
          <w:kern w:val="0"/>
        </w:rPr>
        <w:t>諦，有不顛倒而確實如此的意思。世俗是浮虛不實的，何以也稱為諦？</w:t>
      </w:r>
    </w:p>
    <w:p w:rsidR="00AA120F" w:rsidRPr="00DA3BC7" w:rsidRDefault="00AA120F" w:rsidP="00AE3920">
      <w:pPr>
        <w:widowControl/>
        <w:spacing w:beforeLines="20"/>
        <w:ind w:leftChars="300" w:left="720"/>
        <w:jc w:val="both"/>
        <w:rPr>
          <w:rFonts w:ascii="Times New Roman" w:hAnsi="Times New Roman"/>
          <w:kern w:val="0"/>
        </w:rPr>
      </w:pPr>
      <w:r w:rsidRPr="00DA3BC7">
        <w:rPr>
          <w:rFonts w:ascii="Times New Roman" w:hAnsi="Times New Roman"/>
          <w:kern w:val="0"/>
        </w:rPr>
        <w:lastRenderedPageBreak/>
        <w:t>世俗雖是虛妄顛倒，但在世俗共許的認識上，仍有其相對的確實性、妥當性。一切世俗法，從世間的立場，也可以分別錯誤與不錯誤，</w:t>
      </w:r>
      <w:r w:rsidRPr="00DA3BC7">
        <w:rPr>
          <w:rFonts w:ascii="Times New Roman" w:hAnsi="Times New Roman"/>
          <w:b/>
          <w:kern w:val="0"/>
        </w:rPr>
        <w:t>世俗諦</w:t>
      </w:r>
      <w:r w:rsidRPr="00DA3BC7">
        <w:rPr>
          <w:rFonts w:ascii="Times New Roman" w:hAnsi="Times New Roman"/>
          <w:kern w:val="0"/>
        </w:rPr>
        <w:t>是</w:t>
      </w:r>
      <w:r w:rsidRPr="00DA3BC7">
        <w:rPr>
          <w:rFonts w:ascii="Times New Roman" w:hAnsi="Times New Roman"/>
          <w:b/>
          <w:kern w:val="0"/>
        </w:rPr>
        <w:t>世間的真實</w:t>
      </w:r>
      <w:r w:rsidRPr="00DA3BC7">
        <w:rPr>
          <w:rFonts w:ascii="Times New Roman" w:hAnsi="Times New Roman"/>
          <w:kern w:val="0"/>
        </w:rPr>
        <w:t>。</w:t>
      </w:r>
    </w:p>
    <w:p w:rsidR="00AA120F" w:rsidRPr="00DA3BC7" w:rsidRDefault="00F916CC" w:rsidP="00AE3920">
      <w:pPr>
        <w:widowControl/>
        <w:spacing w:beforeLines="30"/>
        <w:ind w:leftChars="300" w:left="720"/>
        <w:jc w:val="both"/>
        <w:rPr>
          <w:rFonts w:ascii="Times New Roman" w:hAnsi="Times New Roman"/>
          <w:b/>
          <w:kern w:val="0"/>
          <w:sz w:val="20"/>
          <w:szCs w:val="20"/>
          <w:bdr w:val="single" w:sz="4" w:space="0" w:color="auto"/>
        </w:rPr>
      </w:pPr>
      <w:r w:rsidRPr="00F916CC">
        <w:rPr>
          <w:rFonts w:ascii="Times New Roman" w:hAnsi="Times New Roman" w:hint="eastAsia"/>
          <w:b/>
          <w:color w:val="FF0000"/>
          <w:kern w:val="0"/>
          <w:sz w:val="20"/>
          <w:szCs w:val="20"/>
          <w:highlight w:val="yellow"/>
          <w:bdr w:val="single" w:sz="4" w:space="0" w:color="auto"/>
        </w:rPr>
        <w:t>B</w:t>
      </w:r>
      <w:r w:rsidR="00AA120F" w:rsidRPr="00F916CC">
        <w:rPr>
          <w:rFonts w:ascii="Times New Roman" w:hAnsi="Times New Roman" w:hint="eastAsia"/>
          <w:b/>
          <w:color w:val="FF0000"/>
          <w:kern w:val="0"/>
          <w:sz w:val="20"/>
          <w:szCs w:val="20"/>
          <w:highlight w:val="yellow"/>
          <w:bdr w:val="single" w:sz="4" w:space="0" w:color="auto"/>
        </w:rPr>
        <w:t>、</w:t>
      </w:r>
      <w:r w:rsidR="00AA120F" w:rsidRPr="00DA3BC7">
        <w:rPr>
          <w:rFonts w:ascii="Times New Roman" w:hAnsi="Times New Roman"/>
          <w:b/>
          <w:kern w:val="0"/>
          <w:sz w:val="20"/>
          <w:szCs w:val="20"/>
          <w:bdr w:val="single" w:sz="4" w:space="0" w:color="auto"/>
        </w:rPr>
        <w:t>究竟真實</w:t>
      </w:r>
      <w:r w:rsidRPr="00F916CC">
        <w:rPr>
          <w:rFonts w:ascii="Times New Roman" w:hAnsi="Times New Roman" w:hint="eastAsia"/>
          <w:b/>
          <w:color w:val="FF0000"/>
          <w:kern w:val="0"/>
          <w:sz w:val="20"/>
          <w:szCs w:val="20"/>
          <w:highlight w:val="yellow"/>
          <w:bdr w:val="single" w:sz="4" w:space="0" w:color="auto"/>
        </w:rPr>
        <w:t>：聖智真諦</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hint="eastAsia"/>
          <w:sz w:val="20"/>
          <w:szCs w:val="20"/>
        </w:rPr>
        <w:t>207</w:t>
      </w:r>
      <w:r w:rsidR="00AA120F" w:rsidRPr="00DA3BC7">
        <w:rPr>
          <w:rFonts w:ascii="Times New Roman" w:hAnsi="Times New Roman"/>
          <w:sz w:val="20"/>
          <w:szCs w:val="20"/>
        </w:rPr>
        <w:t>）</w:t>
      </w:r>
    </w:p>
    <w:p w:rsidR="00AA120F" w:rsidRPr="00DA3BC7" w:rsidRDefault="00AA120F" w:rsidP="008E4FB5">
      <w:pPr>
        <w:widowControl/>
        <w:ind w:leftChars="300" w:left="720"/>
        <w:jc w:val="both"/>
        <w:rPr>
          <w:rFonts w:ascii="Times New Roman" w:hAnsi="Times New Roman"/>
          <w:kern w:val="0"/>
        </w:rPr>
      </w:pPr>
      <w:r w:rsidRPr="00DA3BC7">
        <w:rPr>
          <w:rFonts w:ascii="Times New Roman" w:hAnsi="Times New Roman"/>
          <w:b/>
          <w:kern w:val="0"/>
        </w:rPr>
        <w:t>究竟的真實</w:t>
      </w:r>
      <w:r w:rsidRPr="00DA3BC7">
        <w:rPr>
          <w:rFonts w:ascii="Times New Roman" w:hAnsi="Times New Roman"/>
          <w:kern w:val="0"/>
        </w:rPr>
        <w:t>，當然是不二的，然因凡夫</w:t>
      </w:r>
      <w:r w:rsidRPr="00DA3BC7">
        <w:rPr>
          <w:rFonts w:ascii="Times New Roman" w:hAnsi="Times New Roman" w:hint="eastAsia"/>
          <w:kern w:val="0"/>
        </w:rPr>
        <w:t>、</w:t>
      </w:r>
      <w:r w:rsidRPr="00DA3BC7">
        <w:rPr>
          <w:rFonts w:ascii="Times New Roman" w:hAnsi="Times New Roman"/>
          <w:kern w:val="0"/>
        </w:rPr>
        <w:t>聖者的境地不同</w:t>
      </w:r>
      <w:r w:rsidRPr="00DA3BC7">
        <w:rPr>
          <w:rFonts w:ascii="Times New Roman" w:hAnsi="Times New Roman" w:hint="eastAsia"/>
          <w:kern w:val="0"/>
        </w:rPr>
        <w:t>、</w:t>
      </w:r>
      <w:r w:rsidRPr="00DA3BC7">
        <w:rPr>
          <w:rFonts w:ascii="Times New Roman" w:hAnsi="Times New Roman"/>
          <w:kern w:val="0"/>
        </w:rPr>
        <w:t>觀點不同，所以佛隨此差別，說有二種真實。</w:t>
      </w:r>
    </w:p>
    <w:p w:rsidR="00AA120F" w:rsidRPr="00DA3BC7" w:rsidRDefault="00AA120F" w:rsidP="00AE3920">
      <w:pPr>
        <w:widowControl/>
        <w:spacing w:beforeLines="30"/>
        <w:ind w:leftChars="300" w:left="720"/>
        <w:jc w:val="both"/>
        <w:rPr>
          <w:rFonts w:ascii="Times New Roman" w:hAnsi="Times New Roman"/>
          <w:kern w:val="0"/>
        </w:rPr>
      </w:pPr>
      <w:r w:rsidRPr="00DA3BC7">
        <w:rPr>
          <w:rFonts w:ascii="Times New Roman" w:hAnsi="Times New Roman"/>
          <w:kern w:val="0"/>
        </w:rPr>
        <w:t>如以</w:t>
      </w:r>
      <w:r w:rsidRPr="00DA3BC7">
        <w:rPr>
          <w:rFonts w:ascii="Times New Roman" w:hAnsi="Times New Roman"/>
          <w:b/>
          <w:kern w:val="0"/>
        </w:rPr>
        <w:t>凡情</w:t>
      </w:r>
      <w:r w:rsidRPr="00DA3BC7">
        <w:rPr>
          <w:rFonts w:ascii="Times New Roman" w:hAnsi="Times New Roman"/>
          <w:kern w:val="0"/>
        </w:rPr>
        <w:t>的立場，說色等法是真實的，空性是理想的、不現實的。</w:t>
      </w:r>
    </w:p>
    <w:p w:rsidR="00AA120F" w:rsidRPr="00DA3BC7" w:rsidRDefault="00AA120F" w:rsidP="008E4FB5">
      <w:pPr>
        <w:widowControl/>
        <w:ind w:leftChars="300" w:left="720"/>
        <w:jc w:val="both"/>
        <w:rPr>
          <w:rFonts w:ascii="Times New Roman" w:hAnsi="Times New Roman"/>
          <w:kern w:val="0"/>
        </w:rPr>
      </w:pPr>
      <w:r w:rsidRPr="00DA3BC7">
        <w:rPr>
          <w:rFonts w:ascii="Times New Roman" w:hAnsi="Times New Roman"/>
          <w:kern w:val="0"/>
        </w:rPr>
        <w:t>空性，不是凡情的認識所及，不是一般所能理解的，也就因此名為第一義的，即特殊的。但不是凡情所能理解的，決不能因此而可以否定它</w:t>
      </w:r>
      <w:r w:rsidRPr="00DA3BC7">
        <w:rPr>
          <w:rFonts w:ascii="Times New Roman" w:hAnsi="Times New Roman" w:hint="eastAsia"/>
          <w:kern w:val="0"/>
        </w:rPr>
        <w:t>；</w:t>
      </w:r>
      <w:r w:rsidRPr="00DA3BC7">
        <w:rPr>
          <w:rFonts w:ascii="Times New Roman" w:hAnsi="Times New Roman"/>
          <w:kern w:val="0"/>
        </w:rPr>
        <w:t>因為這在</w:t>
      </w:r>
      <w:r w:rsidRPr="00DA3BC7">
        <w:rPr>
          <w:rFonts w:ascii="Times New Roman" w:hAnsi="Times New Roman"/>
          <w:b/>
          <w:kern w:val="0"/>
        </w:rPr>
        <w:t>聖者</w:t>
      </w:r>
      <w:r w:rsidRPr="00DA3BC7">
        <w:rPr>
          <w:rFonts w:ascii="Times New Roman" w:hAnsi="Times New Roman"/>
          <w:kern w:val="0"/>
        </w:rPr>
        <w:t>也還是真知灼見</w:t>
      </w:r>
      <w:r w:rsidRPr="00DA3BC7">
        <w:rPr>
          <w:rStyle w:val="a6"/>
          <w:rFonts w:ascii="Times New Roman" w:hAnsi="Times New Roman"/>
          <w:kern w:val="0"/>
        </w:rPr>
        <w:footnoteReference w:id="903"/>
      </w:r>
      <w:r w:rsidRPr="00DA3BC7">
        <w:rPr>
          <w:rFonts w:ascii="Times New Roman" w:hAnsi="Times New Roman"/>
          <w:kern w:val="0"/>
        </w:rPr>
        <w:t>的，</w:t>
      </w:r>
      <w:r w:rsidRPr="00DA3BC7">
        <w:rPr>
          <w:rFonts w:ascii="Times New Roman" w:hAnsi="Times New Roman"/>
          <w:b/>
          <w:kern w:val="0"/>
        </w:rPr>
        <w:t>聖者間也還是共證無別</w:t>
      </w:r>
      <w:r w:rsidRPr="00DA3BC7">
        <w:rPr>
          <w:rFonts w:ascii="Times New Roman" w:hAnsi="Times New Roman"/>
          <w:kern w:val="0"/>
        </w:rPr>
        <w:t>的。</w:t>
      </w:r>
    </w:p>
    <w:p w:rsidR="00AA120F" w:rsidRPr="00DA3BC7" w:rsidRDefault="00AA120F" w:rsidP="00AE3920">
      <w:pPr>
        <w:widowControl/>
        <w:spacing w:beforeLines="30"/>
        <w:ind w:leftChars="250" w:left="600"/>
        <w:jc w:val="both"/>
        <w:rPr>
          <w:rFonts w:ascii="Times New Roman" w:hAnsi="Times New Roman"/>
          <w:b/>
          <w:kern w:val="0"/>
          <w:sz w:val="20"/>
          <w:szCs w:val="20"/>
          <w:bdr w:val="single" w:sz="4" w:space="0" w:color="auto"/>
        </w:rPr>
      </w:pPr>
      <w:r w:rsidRPr="00DA3BC7">
        <w:rPr>
          <w:rFonts w:ascii="Times New Roman" w:hAnsi="Times New Roman" w:hint="eastAsia"/>
          <w:b/>
          <w:kern w:val="0"/>
          <w:sz w:val="20"/>
          <w:szCs w:val="20"/>
          <w:bdr w:val="single" w:sz="4" w:space="0" w:color="auto"/>
        </w:rPr>
        <w:t>（</w:t>
      </w:r>
      <w:r w:rsidRPr="00DA3BC7">
        <w:rPr>
          <w:rFonts w:ascii="Times New Roman" w:hAnsi="Times New Roman" w:hint="eastAsia"/>
          <w:b/>
          <w:kern w:val="0"/>
          <w:sz w:val="20"/>
          <w:szCs w:val="20"/>
          <w:bdr w:val="single" w:sz="4" w:space="0" w:color="auto"/>
        </w:rPr>
        <w:t>2</w:t>
      </w:r>
      <w:r w:rsidRPr="00DA3BC7">
        <w:rPr>
          <w:rFonts w:ascii="Times New Roman" w:hAnsi="Times New Roman" w:hint="eastAsia"/>
          <w:b/>
          <w:kern w:val="0"/>
          <w:sz w:val="20"/>
          <w:szCs w:val="20"/>
          <w:bdr w:val="single" w:sz="4" w:space="0" w:color="auto"/>
        </w:rPr>
        <w:t>）</w:t>
      </w:r>
      <w:r w:rsidR="00F916CC">
        <w:rPr>
          <w:rFonts w:ascii="Times New Roman" w:hAnsi="Times New Roman" w:hint="eastAsia"/>
          <w:b/>
          <w:color w:val="FF0000"/>
          <w:kern w:val="0"/>
          <w:sz w:val="20"/>
          <w:szCs w:val="20"/>
          <w:highlight w:val="yellow"/>
          <w:bdr w:val="single" w:sz="4" w:space="0" w:color="auto"/>
        </w:rPr>
        <w:t>舉例</w:t>
      </w:r>
      <w:r w:rsidRPr="00DA3BC7">
        <w:rPr>
          <w:rFonts w:ascii="Times New Roman" w:hAnsi="Times New Roman"/>
          <w:sz w:val="20"/>
          <w:szCs w:val="20"/>
        </w:rPr>
        <w:t>（</w:t>
      </w:r>
      <w:r w:rsidRPr="00DA3BC7">
        <w:rPr>
          <w:rFonts w:ascii="Times New Roman" w:hAnsi="Times New Roman"/>
          <w:sz w:val="20"/>
          <w:szCs w:val="20"/>
        </w:rPr>
        <w:t>pp.</w:t>
      </w:r>
      <w:r w:rsidRPr="00DA3BC7">
        <w:rPr>
          <w:rFonts w:ascii="Times New Roman" w:hAnsi="Times New Roman" w:hint="eastAsia"/>
          <w:sz w:val="20"/>
          <w:szCs w:val="20"/>
        </w:rPr>
        <w:t>207</w:t>
      </w:r>
      <w:r w:rsidRPr="00DA3BC7">
        <w:rPr>
          <w:rFonts w:ascii="Times New Roman" w:hAnsi="Times New Roman"/>
          <w:sz w:val="20"/>
          <w:szCs w:val="20"/>
        </w:rPr>
        <w:t>-</w:t>
      </w:r>
      <w:r w:rsidRPr="00DA3BC7">
        <w:rPr>
          <w:rFonts w:ascii="Times New Roman" w:hAnsi="Times New Roman" w:hint="eastAsia"/>
          <w:sz w:val="20"/>
          <w:szCs w:val="20"/>
        </w:rPr>
        <w:t>208</w:t>
      </w:r>
      <w:r w:rsidRPr="00DA3BC7">
        <w:rPr>
          <w:rFonts w:ascii="Times New Roman" w:hAnsi="Times New Roman"/>
          <w:sz w:val="20"/>
          <w:szCs w:val="20"/>
        </w:rPr>
        <w:t>）</w:t>
      </w:r>
    </w:p>
    <w:p w:rsidR="00AA120F" w:rsidRPr="00DA3BC7" w:rsidRDefault="00AA120F" w:rsidP="008E4FB5">
      <w:pPr>
        <w:widowControl/>
        <w:ind w:leftChars="250" w:left="600"/>
        <w:jc w:val="both"/>
        <w:rPr>
          <w:rFonts w:ascii="Times New Roman" w:hAnsi="Times New Roman"/>
          <w:kern w:val="0"/>
        </w:rPr>
      </w:pPr>
      <w:r w:rsidRPr="00DA3BC7">
        <w:rPr>
          <w:rFonts w:ascii="Times New Roman" w:hAnsi="Times New Roman"/>
          <w:kern w:val="0"/>
        </w:rPr>
        <w:t>其實，一般常識所認為如此如此的，在科學界，已每每不以為然</w:t>
      </w:r>
      <w:r w:rsidRPr="00DA3BC7">
        <w:rPr>
          <w:rFonts w:ascii="Times New Roman" w:hAnsi="Times New Roman" w:hint="eastAsia"/>
          <w:kern w:val="0"/>
        </w:rPr>
        <w:t>；</w:t>
      </w:r>
      <w:r w:rsidRPr="00DA3BC7">
        <w:rPr>
          <w:rFonts w:ascii="Times New Roman" w:hAnsi="Times New Roman"/>
          <w:kern w:val="0"/>
        </w:rPr>
        <w:t>科學的許多事理，也並不是一般人所認為如此的。但科學所證明為如何如何，決非一般的境界所能否認。</w:t>
      </w:r>
    </w:p>
    <w:p w:rsidR="00AA120F" w:rsidRPr="00DA3BC7" w:rsidRDefault="00AA120F" w:rsidP="00AE3920">
      <w:pPr>
        <w:widowControl/>
        <w:spacing w:beforeLines="20"/>
        <w:ind w:leftChars="250" w:left="600"/>
        <w:jc w:val="both"/>
        <w:rPr>
          <w:rFonts w:ascii="Times New Roman" w:hAnsi="Times New Roman"/>
          <w:kern w:val="0"/>
        </w:rPr>
      </w:pPr>
      <w:r w:rsidRPr="00DA3BC7">
        <w:rPr>
          <w:rFonts w:ascii="Times New Roman" w:hAnsi="Times New Roman"/>
          <w:kern w:val="0"/>
        </w:rPr>
        <w:t>如科學者說太陽是恒星</w:t>
      </w:r>
      <w:r w:rsidRPr="00DA3BC7">
        <w:rPr>
          <w:rStyle w:val="a6"/>
          <w:rFonts w:ascii="Times New Roman" w:hAnsi="Times New Roman"/>
          <w:kern w:val="0"/>
        </w:rPr>
        <w:footnoteReference w:id="904"/>
      </w:r>
      <w:r w:rsidRPr="00DA3BC7">
        <w:rPr>
          <w:rFonts w:ascii="Times New Roman" w:hAnsi="Times New Roman"/>
          <w:kern w:val="0"/>
        </w:rPr>
        <w:t>，不動的，地球是行星</w:t>
      </w:r>
      <w:r w:rsidRPr="00DA3BC7">
        <w:rPr>
          <w:rStyle w:val="a6"/>
          <w:rFonts w:ascii="Times New Roman" w:hAnsi="Times New Roman"/>
          <w:kern w:val="0"/>
        </w:rPr>
        <w:footnoteReference w:id="905"/>
      </w:r>
      <w:r w:rsidRPr="00DA3BC7">
        <w:rPr>
          <w:rFonts w:ascii="Times New Roman" w:hAnsi="Times New Roman"/>
          <w:kern w:val="0"/>
        </w:rPr>
        <w:t>，繞太陽而行（或說日與地球是俱動俱靜的），這顯然與一般所見不合。一般人因目見日有出沒，於是說太陽繞地而行。</w:t>
      </w:r>
    </w:p>
    <w:p w:rsidR="00AA120F" w:rsidRPr="00DA3BC7" w:rsidRDefault="00AA120F" w:rsidP="00AE3920">
      <w:pPr>
        <w:widowControl/>
        <w:spacing w:beforeLines="20"/>
        <w:ind w:leftChars="250" w:left="600"/>
        <w:jc w:val="both"/>
        <w:rPr>
          <w:rFonts w:ascii="Times New Roman" w:hAnsi="Times New Roman"/>
          <w:kern w:val="0"/>
        </w:rPr>
      </w:pPr>
      <w:r w:rsidRPr="00DA3BC7">
        <w:rPr>
          <w:rFonts w:ascii="Times New Roman" w:hAnsi="Times New Roman"/>
          <w:kern w:val="0"/>
        </w:rPr>
        <w:lastRenderedPageBreak/>
        <w:t>又如常人見桌椅為堅實的、不動的</w:t>
      </w:r>
      <w:r w:rsidR="00F916CC">
        <w:rPr>
          <w:rFonts w:ascii="Times New Roman" w:hAnsi="Times New Roman" w:hint="eastAsia"/>
          <w:color w:val="FF0000"/>
          <w:kern w:val="0"/>
          <w:highlight w:val="yellow"/>
        </w:rPr>
        <w:t>，</w:t>
      </w:r>
      <w:r w:rsidRPr="00DA3BC7">
        <w:rPr>
          <w:rFonts w:ascii="Times New Roman" w:hAnsi="Times New Roman"/>
          <w:kern w:val="0"/>
        </w:rPr>
        <w:t>而在科學界，則以為是電子群的沖激，雖不斷的在動，以能維持其原有的均衡，故一般人還以為是堅實的、不動的。</w:t>
      </w:r>
    </w:p>
    <w:p w:rsidR="00F916CC" w:rsidRDefault="00AA120F" w:rsidP="00AE3920">
      <w:pPr>
        <w:widowControl/>
        <w:spacing w:beforeLines="20"/>
        <w:ind w:leftChars="250" w:left="600"/>
        <w:jc w:val="both"/>
        <w:rPr>
          <w:rFonts w:ascii="Times New Roman" w:hAnsi="Times New Roman"/>
          <w:kern w:val="0"/>
        </w:rPr>
      </w:pPr>
      <w:r w:rsidRPr="00DA3BC7">
        <w:rPr>
          <w:rFonts w:ascii="Times New Roman" w:hAnsi="Times New Roman"/>
          <w:kern w:val="0"/>
        </w:rPr>
        <w:t>當然，一般科學的論證，僅是常識的加工精製，還不是佛法的第一義諦</w:t>
      </w:r>
      <w:r w:rsidR="00F916CC">
        <w:rPr>
          <w:rFonts w:ascii="Times New Roman" w:hAnsi="Times New Roman" w:hint="eastAsia"/>
          <w:color w:val="FF0000"/>
          <w:kern w:val="0"/>
          <w:highlight w:val="yellow"/>
        </w:rPr>
        <w:t>，</w:t>
      </w:r>
      <w:r w:rsidRPr="00DA3BC7">
        <w:rPr>
          <w:rFonts w:ascii="Times New Roman" w:hAnsi="Times New Roman"/>
          <w:kern w:val="0"/>
        </w:rPr>
        <w:t>但也可藉此知道凡常的情</w:t>
      </w:r>
      <w:r w:rsidRPr="00F916CC">
        <w:rPr>
          <w:rFonts w:ascii="Times New Roman" w:hAnsi="Times New Roman"/>
          <w:kern w:val="0"/>
          <w:highlight w:val="yellow"/>
        </w:rPr>
        <w:t>境並</w:t>
      </w:r>
      <w:r w:rsidRPr="00DA3BC7">
        <w:rPr>
          <w:rFonts w:ascii="Times New Roman" w:hAnsi="Times New Roman"/>
          <w:kern w:val="0"/>
        </w:rPr>
        <w:t>不即是究竟真實的。</w:t>
      </w:r>
    </w:p>
    <w:p w:rsidR="00F916CC" w:rsidRPr="00DA3BC7" w:rsidRDefault="00F916CC" w:rsidP="00AE3920">
      <w:pPr>
        <w:widowControl/>
        <w:spacing w:beforeLines="30"/>
        <w:ind w:leftChars="250" w:left="600"/>
        <w:jc w:val="both"/>
        <w:rPr>
          <w:rFonts w:ascii="Times New Roman" w:hAnsi="Times New Roman"/>
          <w:b/>
          <w:kern w:val="0"/>
          <w:sz w:val="20"/>
          <w:szCs w:val="20"/>
          <w:bdr w:val="single" w:sz="4" w:space="0" w:color="auto"/>
        </w:rPr>
      </w:pPr>
      <w:r w:rsidRPr="00F916CC">
        <w:rPr>
          <w:rFonts w:ascii="Times New Roman" w:hAnsi="Times New Roman" w:hint="eastAsia"/>
          <w:b/>
          <w:color w:val="FF0000"/>
          <w:kern w:val="0"/>
          <w:sz w:val="20"/>
          <w:szCs w:val="20"/>
          <w:highlight w:val="yellow"/>
          <w:bdr w:val="single" w:sz="4" w:space="0" w:color="auto"/>
        </w:rPr>
        <w:t>（</w:t>
      </w:r>
      <w:r w:rsidRPr="00F916CC">
        <w:rPr>
          <w:rFonts w:ascii="Times New Roman" w:hAnsi="Times New Roman" w:hint="eastAsia"/>
          <w:b/>
          <w:color w:val="FF0000"/>
          <w:kern w:val="0"/>
          <w:sz w:val="20"/>
          <w:szCs w:val="20"/>
          <w:highlight w:val="yellow"/>
          <w:bdr w:val="single" w:sz="4" w:space="0" w:color="auto"/>
        </w:rPr>
        <w:t>3</w:t>
      </w:r>
      <w:r w:rsidRPr="00F916CC">
        <w:rPr>
          <w:rFonts w:ascii="Times New Roman" w:hAnsi="Times New Roman" w:hint="eastAsia"/>
          <w:b/>
          <w:color w:val="FF0000"/>
          <w:kern w:val="0"/>
          <w:sz w:val="20"/>
          <w:szCs w:val="20"/>
          <w:highlight w:val="yellow"/>
          <w:bdr w:val="single" w:sz="4" w:space="0" w:color="auto"/>
        </w:rPr>
        <w:t>）歸結</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hint="eastAsia"/>
          <w:sz w:val="20"/>
          <w:szCs w:val="20"/>
        </w:rPr>
        <w:t>208</w:t>
      </w:r>
      <w:r w:rsidRPr="00DA3BC7">
        <w:rPr>
          <w:rFonts w:ascii="Times New Roman" w:hAnsi="Times New Roman"/>
          <w:sz w:val="20"/>
          <w:szCs w:val="20"/>
        </w:rPr>
        <w:t>）</w:t>
      </w:r>
    </w:p>
    <w:p w:rsidR="00AA120F" w:rsidRPr="00DA3BC7" w:rsidRDefault="00AA120F" w:rsidP="008E4FB5">
      <w:pPr>
        <w:widowControl/>
        <w:ind w:leftChars="250" w:left="600"/>
        <w:jc w:val="both"/>
        <w:rPr>
          <w:rFonts w:ascii="Times New Roman" w:hAnsi="Times New Roman"/>
          <w:kern w:val="0"/>
        </w:rPr>
      </w:pPr>
      <w:r w:rsidRPr="00DA3BC7">
        <w:rPr>
          <w:rFonts w:ascii="Times New Roman" w:hAnsi="Times New Roman"/>
          <w:kern w:val="0"/>
        </w:rPr>
        <w:t>由於智慧的淺深，可以有不同的世界觀，此各各所見的，在自類的知見上，各有它相當的確實性（</w:t>
      </w:r>
      <w:r w:rsidRPr="00DA3BC7">
        <w:rPr>
          <w:rFonts w:ascii="Times New Roman" w:hAnsi="Times New Roman" w:hint="eastAsia"/>
          <w:kern w:val="0"/>
        </w:rPr>
        <w:t>《</w:t>
      </w:r>
      <w:r w:rsidRPr="00DA3BC7">
        <w:rPr>
          <w:rFonts w:ascii="Times New Roman" w:hAnsi="Times New Roman"/>
          <w:kern w:val="0"/>
        </w:rPr>
        <w:t>瑜伽</w:t>
      </w:r>
      <w:r w:rsidRPr="00DA3BC7">
        <w:rPr>
          <w:rFonts w:hint="eastAsia"/>
        </w:rPr>
        <w:t>師地論</w:t>
      </w:r>
      <w:r w:rsidRPr="00DA3BC7">
        <w:rPr>
          <w:rFonts w:ascii="Times New Roman" w:hAnsi="Times New Roman" w:hint="eastAsia"/>
          <w:kern w:val="0"/>
        </w:rPr>
        <w:t>》</w:t>
      </w:r>
      <w:r w:rsidRPr="00DA3BC7">
        <w:rPr>
          <w:rFonts w:ascii="Times New Roman" w:hAnsi="Times New Roman"/>
          <w:kern w:val="0"/>
        </w:rPr>
        <w:t>分世間真實</w:t>
      </w:r>
      <w:r w:rsidRPr="00DA3BC7">
        <w:rPr>
          <w:rFonts w:ascii="Times New Roman" w:hAnsi="Times New Roman" w:hint="eastAsia"/>
          <w:kern w:val="0"/>
        </w:rPr>
        <w:t>、</w:t>
      </w:r>
      <w:r w:rsidRPr="00DA3BC7">
        <w:rPr>
          <w:rFonts w:ascii="Times New Roman" w:hAnsi="Times New Roman"/>
          <w:kern w:val="0"/>
        </w:rPr>
        <w:t>道理真實</w:t>
      </w:r>
      <w:r w:rsidRPr="00DA3BC7">
        <w:rPr>
          <w:rFonts w:ascii="Times New Roman" w:hAnsi="Times New Roman" w:hint="eastAsia"/>
          <w:kern w:val="0"/>
        </w:rPr>
        <w:t>、</w:t>
      </w:r>
      <w:r w:rsidRPr="00DA3BC7">
        <w:rPr>
          <w:rFonts w:ascii="Times New Roman" w:hAnsi="Times New Roman"/>
          <w:kern w:val="0"/>
        </w:rPr>
        <w:t>煩惱障淨智所行真實</w:t>
      </w:r>
      <w:r w:rsidRPr="00DA3BC7">
        <w:rPr>
          <w:rFonts w:ascii="Times New Roman" w:hAnsi="Times New Roman" w:hint="eastAsia"/>
          <w:kern w:val="0"/>
        </w:rPr>
        <w:t>、</w:t>
      </w:r>
      <w:r w:rsidRPr="00DA3BC7">
        <w:rPr>
          <w:rFonts w:ascii="Times New Roman" w:hAnsi="Times New Roman"/>
          <w:kern w:val="0"/>
        </w:rPr>
        <w:t>所知障淨智所行真實，</w:t>
      </w:r>
      <w:r w:rsidR="008E4FB5" w:rsidRPr="00DA3BC7">
        <w:rPr>
          <w:rStyle w:val="a6"/>
          <w:rFonts w:ascii="Times New Roman" w:hAnsi="Times New Roman"/>
          <w:kern w:val="0"/>
        </w:rPr>
        <w:footnoteReference w:id="906"/>
      </w:r>
      <w:r w:rsidRPr="00DA3BC7">
        <w:rPr>
          <w:rFonts w:ascii="Times New Roman" w:hAnsi="Times New Roman"/>
          <w:kern w:val="0"/>
        </w:rPr>
        <w:t>也即此意）。所以，</w:t>
      </w:r>
      <w:r w:rsidRPr="00DA3BC7">
        <w:rPr>
          <w:rFonts w:ascii="Times New Roman" w:hAnsi="Times New Roman"/>
          <w:b/>
          <w:kern w:val="0"/>
        </w:rPr>
        <w:t>不能以世俗真實為究竟</w:t>
      </w:r>
      <w:r w:rsidRPr="00DA3BC7">
        <w:rPr>
          <w:rFonts w:ascii="Times New Roman" w:hAnsi="Times New Roman"/>
          <w:kern w:val="0"/>
        </w:rPr>
        <w:t>的，應知</w:t>
      </w:r>
      <w:r w:rsidRPr="00DA3BC7">
        <w:rPr>
          <w:rFonts w:ascii="Times New Roman" w:hAnsi="Times New Roman"/>
          <w:b/>
          <w:kern w:val="0"/>
        </w:rPr>
        <w:t>勝義諦是不能以凡情的見地而論證</w:t>
      </w:r>
      <w:r w:rsidRPr="00DA3BC7">
        <w:rPr>
          <w:rFonts w:ascii="Times New Roman" w:hAnsi="Times New Roman"/>
          <w:kern w:val="0"/>
        </w:rPr>
        <w:t>的。</w:t>
      </w:r>
    </w:p>
    <w:p w:rsidR="00AA120F" w:rsidRPr="00DA3BC7" w:rsidRDefault="00AA120F" w:rsidP="00AE3920">
      <w:pPr>
        <w:widowControl/>
        <w:spacing w:beforeLines="30"/>
        <w:ind w:leftChars="200" w:left="480"/>
        <w:jc w:val="both"/>
        <w:rPr>
          <w:rFonts w:ascii="Times New Roman" w:hAnsi="Times New Roman"/>
          <w:b/>
          <w:kern w:val="0"/>
          <w:sz w:val="20"/>
          <w:szCs w:val="20"/>
          <w:bdr w:val="single" w:sz="4" w:space="0" w:color="auto"/>
        </w:rPr>
      </w:pPr>
      <w:r w:rsidRPr="004714BC">
        <w:rPr>
          <w:rFonts w:ascii="Times New Roman" w:hAnsi="Times New Roman" w:hint="eastAsia"/>
          <w:b/>
          <w:kern w:val="0"/>
          <w:sz w:val="20"/>
          <w:szCs w:val="20"/>
          <w:bdr w:val="single" w:sz="4" w:space="0" w:color="auto"/>
        </w:rPr>
        <w:lastRenderedPageBreak/>
        <w:t>3</w:t>
      </w:r>
      <w:r w:rsidRPr="004714BC">
        <w:rPr>
          <w:rFonts w:ascii="Times New Roman" w:hAnsi="Times New Roman" w:hint="eastAsia"/>
          <w:b/>
          <w:kern w:val="0"/>
          <w:sz w:val="20"/>
          <w:szCs w:val="20"/>
          <w:bdr w:val="single" w:sz="4" w:space="0" w:color="auto"/>
        </w:rPr>
        <w:t>、</w:t>
      </w:r>
      <w:r w:rsidR="004714BC" w:rsidRPr="004714BC">
        <w:rPr>
          <w:rFonts w:ascii="Times New Roman" w:hAnsi="Times New Roman" w:hint="eastAsia"/>
          <w:b/>
          <w:color w:val="FF0000"/>
          <w:kern w:val="0"/>
          <w:sz w:val="20"/>
          <w:szCs w:val="20"/>
          <w:highlight w:val="yellow"/>
          <w:bdr w:val="single" w:sz="4" w:space="0" w:color="auto"/>
        </w:rPr>
        <w:t>明宗：</w:t>
      </w:r>
      <w:r w:rsidR="00E57303" w:rsidRPr="004714BC">
        <w:rPr>
          <w:rFonts w:ascii="Times New Roman" w:hAnsi="Times New Roman" w:hint="eastAsia"/>
          <w:b/>
          <w:color w:val="FF0000"/>
          <w:kern w:val="0"/>
          <w:sz w:val="20"/>
          <w:szCs w:val="20"/>
          <w:highlight w:val="yellow"/>
          <w:bdr w:val="single" w:sz="4" w:space="0" w:color="auto"/>
        </w:rPr>
        <w:t>依</w:t>
      </w:r>
      <w:r w:rsidR="00E57303" w:rsidRPr="004714BC">
        <w:rPr>
          <w:rFonts w:ascii="Times New Roman" w:hAnsi="Times New Roman"/>
          <w:b/>
          <w:color w:val="FF0000"/>
          <w:kern w:val="0"/>
          <w:sz w:val="20"/>
          <w:szCs w:val="20"/>
          <w:highlight w:val="yellow"/>
          <w:bdr w:val="single" w:sz="4" w:space="0" w:color="auto"/>
        </w:rPr>
        <w:t>俗</w:t>
      </w:r>
      <w:r w:rsidR="00CE3854">
        <w:rPr>
          <w:rFonts w:ascii="Times New Roman" w:hAnsi="Times New Roman" w:hint="eastAsia"/>
          <w:b/>
          <w:color w:val="FF0000"/>
          <w:kern w:val="0"/>
          <w:sz w:val="20"/>
          <w:szCs w:val="20"/>
          <w:highlight w:val="yellow"/>
          <w:bdr w:val="single" w:sz="4" w:space="0" w:color="auto"/>
        </w:rPr>
        <w:t>悟</w:t>
      </w:r>
      <w:r w:rsidR="00E57303" w:rsidRPr="004714BC">
        <w:rPr>
          <w:rFonts w:ascii="Times New Roman" w:hAnsi="Times New Roman" w:hint="eastAsia"/>
          <w:b/>
          <w:color w:val="FF0000"/>
          <w:kern w:val="0"/>
          <w:sz w:val="20"/>
          <w:szCs w:val="20"/>
          <w:highlight w:val="yellow"/>
          <w:bdr w:val="single" w:sz="4" w:space="0" w:color="auto"/>
        </w:rPr>
        <w:t>真</w:t>
      </w:r>
      <w:r w:rsidR="00456916">
        <w:rPr>
          <w:rFonts w:ascii="Times New Roman" w:hAnsi="Times New Roman" w:hint="eastAsia"/>
          <w:b/>
          <w:color w:val="FF0000"/>
          <w:kern w:val="0"/>
          <w:sz w:val="20"/>
          <w:szCs w:val="20"/>
          <w:highlight w:val="yellow"/>
          <w:bdr w:val="single" w:sz="4" w:space="0" w:color="auto"/>
        </w:rPr>
        <w:t>，</w:t>
      </w:r>
      <w:r w:rsidR="00E57303">
        <w:rPr>
          <w:rFonts w:ascii="Times New Roman" w:hAnsi="Times New Roman" w:hint="eastAsia"/>
          <w:b/>
          <w:color w:val="FF0000"/>
          <w:kern w:val="0"/>
          <w:sz w:val="20"/>
          <w:szCs w:val="20"/>
          <w:highlight w:val="yellow"/>
          <w:bdr w:val="single" w:sz="4" w:space="0" w:color="auto"/>
        </w:rPr>
        <w:t>通</w:t>
      </w:r>
      <w:r w:rsidR="004714BC" w:rsidRPr="004714BC">
        <w:rPr>
          <w:rFonts w:ascii="Times New Roman" w:hAnsi="Times New Roman" w:hint="eastAsia"/>
          <w:b/>
          <w:color w:val="FF0000"/>
          <w:kern w:val="0"/>
          <w:sz w:val="20"/>
          <w:szCs w:val="20"/>
          <w:highlight w:val="yellow"/>
          <w:bdr w:val="single" w:sz="4" w:space="0" w:color="auto"/>
        </w:rPr>
        <w:t>二諦</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hint="eastAsia"/>
          <w:sz w:val="20"/>
          <w:szCs w:val="20"/>
        </w:rPr>
        <w:t>208</w:t>
      </w:r>
      <w:r w:rsidRPr="00DA3BC7">
        <w:rPr>
          <w:rFonts w:ascii="Times New Roman" w:hAnsi="Times New Roman"/>
          <w:sz w:val="20"/>
          <w:szCs w:val="20"/>
        </w:rPr>
        <w:t>）</w:t>
      </w:r>
    </w:p>
    <w:p w:rsidR="00AA120F" w:rsidRPr="00DA3BC7" w:rsidRDefault="00AA120F" w:rsidP="008E4FB5">
      <w:pPr>
        <w:widowControl/>
        <w:ind w:leftChars="200" w:left="480"/>
        <w:jc w:val="both"/>
        <w:rPr>
          <w:rFonts w:ascii="Times New Roman" w:hAnsi="Times New Roman"/>
          <w:kern w:val="0"/>
        </w:rPr>
      </w:pPr>
      <w:r w:rsidRPr="00DA3BC7">
        <w:rPr>
          <w:rFonts w:ascii="Times New Roman" w:hAnsi="Times New Roman"/>
          <w:kern w:val="0"/>
        </w:rPr>
        <w:t>如何顯示真勝義諦，如何通達勝義諦而又與世俗諦不相違，這是佛法的重大課題。</w:t>
      </w:r>
    </w:p>
    <w:p w:rsidR="00AA120F" w:rsidRPr="00DA3BC7" w:rsidRDefault="00AA120F" w:rsidP="008E4FB5">
      <w:pPr>
        <w:widowControl/>
        <w:ind w:leftChars="200" w:left="480"/>
        <w:jc w:val="both"/>
        <w:rPr>
          <w:rFonts w:ascii="Times New Roman" w:hAnsi="Times New Roman"/>
          <w:kern w:val="0"/>
        </w:rPr>
      </w:pPr>
      <w:r w:rsidRPr="00DA3BC7">
        <w:rPr>
          <w:rFonts w:ascii="Times New Roman" w:hAnsi="Times New Roman"/>
          <w:kern w:val="0"/>
        </w:rPr>
        <w:t>世俗諦，在世俗界有它的重要意義</w:t>
      </w:r>
      <w:r w:rsidRPr="00DA3BC7">
        <w:rPr>
          <w:rFonts w:ascii="Times New Roman" w:hAnsi="Times New Roman" w:hint="eastAsia"/>
          <w:kern w:val="0"/>
        </w:rPr>
        <w:t>。</w:t>
      </w:r>
    </w:p>
    <w:p w:rsidR="00AA120F" w:rsidRPr="00DA3BC7" w:rsidRDefault="00AA120F" w:rsidP="00AE3920">
      <w:pPr>
        <w:widowControl/>
        <w:spacing w:beforeLines="20"/>
        <w:ind w:leftChars="200" w:left="480"/>
        <w:jc w:val="both"/>
        <w:rPr>
          <w:rFonts w:ascii="Times New Roman" w:hAnsi="Times New Roman"/>
          <w:kern w:val="0"/>
        </w:rPr>
      </w:pPr>
      <w:r w:rsidRPr="00DA3BC7">
        <w:rPr>
          <w:rFonts w:ascii="Times New Roman" w:hAnsi="Times New Roman"/>
          <w:kern w:val="0"/>
        </w:rPr>
        <w:t>如色彩的鮮艷，那樣的動人，引發人類的情感，儘管科學家說它只是光波的長短，而人類還是以豐富的情感去接受它。</w:t>
      </w:r>
    </w:p>
    <w:p w:rsidR="00AA120F" w:rsidRPr="00DA3BC7" w:rsidRDefault="00AA120F" w:rsidP="00AE3920">
      <w:pPr>
        <w:widowControl/>
        <w:spacing w:beforeLines="20"/>
        <w:ind w:leftChars="200" w:left="480"/>
        <w:jc w:val="both"/>
        <w:rPr>
          <w:rFonts w:ascii="Times New Roman" w:hAnsi="Times New Roman"/>
          <w:kern w:val="0"/>
        </w:rPr>
      </w:pPr>
      <w:r w:rsidRPr="00DA3BC7">
        <w:rPr>
          <w:rFonts w:ascii="Times New Roman" w:hAnsi="Times New Roman"/>
          <w:kern w:val="0"/>
        </w:rPr>
        <w:t>又如善與惡，儘管在物質科學的研究中，不能發現善惡，而善惡在世間並不失去它的重要意義</w:t>
      </w:r>
      <w:r w:rsidRPr="00DA3BC7">
        <w:rPr>
          <w:rFonts w:ascii="Times New Roman" w:hAnsi="Times New Roman" w:hint="eastAsia"/>
          <w:kern w:val="0"/>
        </w:rPr>
        <w:t>。</w:t>
      </w:r>
    </w:p>
    <w:p w:rsidR="00AA120F" w:rsidRPr="00DA3BC7" w:rsidRDefault="00AA120F" w:rsidP="00AE3920">
      <w:pPr>
        <w:spacing w:beforeLines="20"/>
        <w:ind w:leftChars="200" w:left="480"/>
        <w:jc w:val="both"/>
        <w:rPr>
          <w:rFonts w:ascii="Times New Roman" w:hAnsi="Times New Roman"/>
          <w:kern w:val="0"/>
        </w:rPr>
      </w:pPr>
      <w:r w:rsidRPr="00DA3BC7">
        <w:rPr>
          <w:rFonts w:ascii="Times New Roman" w:hAnsi="Times New Roman"/>
          <w:kern w:val="0"/>
        </w:rPr>
        <w:t>依佛法說，世俗與勝義，雖有它的不同，但決不是矛盾到底而衝突的。</w:t>
      </w:r>
      <w:r w:rsidRPr="00DA3BC7">
        <w:rPr>
          <w:rFonts w:ascii="Times New Roman" w:hAnsi="Times New Roman"/>
          <w:b/>
          <w:kern w:val="0"/>
        </w:rPr>
        <w:t>依世俗悟勝義，而勝義是不礙於世俗，成立情智和諧的、真俗相成</w:t>
      </w:r>
      <w:r w:rsidRPr="00DA3BC7">
        <w:rPr>
          <w:rStyle w:val="a6"/>
          <w:rFonts w:ascii="Times New Roman" w:hAnsi="Times New Roman"/>
          <w:kern w:val="0"/>
        </w:rPr>
        <w:footnoteReference w:id="907"/>
      </w:r>
      <w:r w:rsidRPr="00DA3BC7">
        <w:rPr>
          <w:rFonts w:ascii="Times New Roman" w:hAnsi="Times New Roman"/>
          <w:b/>
          <w:kern w:val="0"/>
        </w:rPr>
        <w:t>的人生觀，這是佛教的基本立場</w:t>
      </w:r>
      <w:r w:rsidRPr="00DA3BC7">
        <w:rPr>
          <w:rFonts w:ascii="Times New Roman" w:hAnsi="Times New Roman"/>
          <w:kern w:val="0"/>
        </w:rPr>
        <w:t>。</w:t>
      </w:r>
    </w:p>
    <w:p w:rsidR="00AA120F" w:rsidRPr="00DA3BC7" w:rsidRDefault="004714BC" w:rsidP="00AE3920">
      <w:pPr>
        <w:widowControl/>
        <w:spacing w:beforeLines="30"/>
        <w:ind w:leftChars="150" w:left="360"/>
        <w:jc w:val="both"/>
        <w:rPr>
          <w:rFonts w:ascii="Times New Roman" w:hAnsi="Times New Roman"/>
          <w:b/>
          <w:kern w:val="0"/>
          <w:sz w:val="20"/>
          <w:szCs w:val="20"/>
          <w:bdr w:val="single" w:sz="4" w:space="0" w:color="auto"/>
        </w:rPr>
      </w:pPr>
      <w:r w:rsidRPr="004714BC">
        <w:rPr>
          <w:rFonts w:ascii="Times New Roman" w:hAnsi="Times New Roman" w:hint="eastAsia"/>
          <w:b/>
          <w:color w:val="FF0000"/>
          <w:kern w:val="0"/>
          <w:sz w:val="20"/>
          <w:szCs w:val="20"/>
          <w:highlight w:val="yellow"/>
          <w:bdr w:val="single" w:sz="4" w:space="0" w:color="auto"/>
        </w:rPr>
        <w:t>（</w:t>
      </w:r>
      <w:r w:rsidR="00AA120F" w:rsidRPr="004714BC">
        <w:rPr>
          <w:rFonts w:ascii="Times New Roman" w:hAnsi="Times New Roman" w:hint="eastAsia"/>
          <w:b/>
          <w:color w:val="FF0000"/>
          <w:kern w:val="0"/>
          <w:sz w:val="20"/>
          <w:szCs w:val="20"/>
          <w:highlight w:val="yellow"/>
          <w:bdr w:val="single" w:sz="4" w:space="0" w:color="auto"/>
        </w:rPr>
        <w:t>二</w:t>
      </w:r>
      <w:r w:rsidRPr="004714BC">
        <w:rPr>
          <w:rFonts w:ascii="Times New Roman" w:hAnsi="Times New Roman" w:hint="eastAsia"/>
          <w:b/>
          <w:color w:val="FF0000"/>
          <w:kern w:val="0"/>
          <w:sz w:val="20"/>
          <w:szCs w:val="20"/>
          <w:highlight w:val="yellow"/>
          <w:bdr w:val="single" w:sz="4" w:space="0" w:color="auto"/>
        </w:rPr>
        <w:t>）</w:t>
      </w:r>
      <w:r w:rsidR="00AA120F" w:rsidRPr="00DA3BC7">
        <w:rPr>
          <w:rFonts w:ascii="Times New Roman" w:hAnsi="Times New Roman" w:hint="eastAsia"/>
          <w:b/>
          <w:kern w:val="0"/>
          <w:sz w:val="20"/>
          <w:szCs w:val="20"/>
          <w:bdr w:val="single" w:sz="4" w:space="0" w:color="auto"/>
        </w:rPr>
        <w:t>有空二諦</w:t>
      </w:r>
      <w:r w:rsidR="00AA120F" w:rsidRPr="00DA3BC7">
        <w:rPr>
          <w:rFonts w:ascii="Times New Roman" w:hAnsi="Times New Roman"/>
          <w:sz w:val="20"/>
          <w:szCs w:val="20"/>
        </w:rPr>
        <w:t>（</w:t>
      </w:r>
      <w:r w:rsidR="00AA120F" w:rsidRPr="00DA3BC7">
        <w:rPr>
          <w:rFonts w:ascii="Times New Roman" w:hAnsi="Times New Roman"/>
          <w:sz w:val="20"/>
          <w:szCs w:val="20"/>
        </w:rPr>
        <w:t>pp.</w:t>
      </w:r>
      <w:r w:rsidR="00AA120F" w:rsidRPr="00DA3BC7">
        <w:rPr>
          <w:rFonts w:ascii="Times New Roman" w:hAnsi="Times New Roman" w:hint="eastAsia"/>
          <w:sz w:val="20"/>
          <w:szCs w:val="20"/>
        </w:rPr>
        <w:t>208</w:t>
      </w:r>
      <w:r w:rsidR="00AA120F" w:rsidRPr="00DA3BC7">
        <w:rPr>
          <w:rFonts w:ascii="Times New Roman" w:hAnsi="Times New Roman"/>
          <w:sz w:val="20"/>
          <w:szCs w:val="20"/>
        </w:rPr>
        <w:t>-</w:t>
      </w:r>
      <w:r w:rsidR="00AA120F" w:rsidRPr="00DA3BC7">
        <w:rPr>
          <w:rFonts w:ascii="Times New Roman" w:hAnsi="Times New Roman" w:hint="eastAsia"/>
          <w:sz w:val="20"/>
          <w:szCs w:val="20"/>
        </w:rPr>
        <w:t>211</w:t>
      </w:r>
      <w:r w:rsidR="00AA120F" w:rsidRPr="00DA3BC7">
        <w:rPr>
          <w:rFonts w:ascii="Times New Roman" w:hAnsi="Times New Roman"/>
          <w:sz w:val="20"/>
          <w:szCs w:val="20"/>
        </w:rPr>
        <w:t>）</w:t>
      </w:r>
    </w:p>
    <w:p w:rsidR="00AA120F" w:rsidRPr="00DA3BC7" w:rsidRDefault="004714BC" w:rsidP="008E4FB5">
      <w:pPr>
        <w:widowControl/>
        <w:ind w:leftChars="200" w:left="480"/>
        <w:jc w:val="both"/>
        <w:rPr>
          <w:rFonts w:ascii="Times New Roman" w:hAnsi="Times New Roman"/>
          <w:kern w:val="0"/>
        </w:rPr>
      </w:pPr>
      <w:r>
        <w:rPr>
          <w:rFonts w:ascii="Times New Roman" w:hAnsi="Times New Roman" w:hint="eastAsia"/>
          <w:b/>
          <w:color w:val="FF0000"/>
          <w:kern w:val="0"/>
          <w:sz w:val="20"/>
          <w:szCs w:val="20"/>
          <w:highlight w:val="yellow"/>
          <w:bdr w:val="single" w:sz="4" w:space="0" w:color="auto"/>
        </w:rPr>
        <w:t>1</w:t>
      </w:r>
      <w:r>
        <w:rPr>
          <w:rFonts w:ascii="Times New Roman" w:hAnsi="Times New Roman" w:hint="eastAsia"/>
          <w:b/>
          <w:color w:val="FF0000"/>
          <w:kern w:val="0"/>
          <w:sz w:val="20"/>
          <w:szCs w:val="20"/>
          <w:highlight w:val="yellow"/>
          <w:bdr w:val="single" w:sz="4" w:space="0" w:color="auto"/>
        </w:rPr>
        <w:t>、明理：依「聖境」施設</w:t>
      </w:r>
      <w:r w:rsidR="00AA120F" w:rsidRPr="00DA3BC7">
        <w:rPr>
          <w:rFonts w:ascii="Times New Roman" w:hAnsi="Times New Roman"/>
          <w:sz w:val="20"/>
          <w:szCs w:val="20"/>
        </w:rPr>
        <w:t>（</w:t>
      </w:r>
      <w:r w:rsidR="00AA120F" w:rsidRPr="00DA3BC7">
        <w:rPr>
          <w:rFonts w:ascii="Times New Roman" w:hAnsi="Times New Roman"/>
          <w:sz w:val="20"/>
          <w:szCs w:val="20"/>
        </w:rPr>
        <w:t>pp.</w:t>
      </w:r>
      <w:r w:rsidR="00AA120F" w:rsidRPr="00DA3BC7">
        <w:rPr>
          <w:rFonts w:ascii="Times New Roman" w:hAnsi="Times New Roman" w:hint="eastAsia"/>
          <w:sz w:val="20"/>
          <w:szCs w:val="20"/>
        </w:rPr>
        <w:t>208</w:t>
      </w:r>
      <w:r w:rsidR="00AA120F" w:rsidRPr="00DA3BC7">
        <w:rPr>
          <w:rFonts w:ascii="Times New Roman" w:hAnsi="Times New Roman"/>
          <w:sz w:val="20"/>
          <w:szCs w:val="20"/>
        </w:rPr>
        <w:t>-</w:t>
      </w:r>
      <w:r w:rsidR="00AA120F" w:rsidRPr="00DA3BC7">
        <w:rPr>
          <w:rFonts w:ascii="Times New Roman" w:hAnsi="Times New Roman" w:hint="eastAsia"/>
          <w:sz w:val="20"/>
          <w:szCs w:val="20"/>
        </w:rPr>
        <w:t>209</w:t>
      </w:r>
      <w:r w:rsidR="00AA120F" w:rsidRPr="00DA3BC7">
        <w:rPr>
          <w:rFonts w:ascii="Times New Roman" w:hAnsi="Times New Roman"/>
          <w:sz w:val="20"/>
          <w:szCs w:val="20"/>
        </w:rPr>
        <w:t>）</w:t>
      </w:r>
    </w:p>
    <w:p w:rsidR="00AA120F" w:rsidRPr="00DA3BC7" w:rsidRDefault="00AA120F" w:rsidP="008E4FB5">
      <w:pPr>
        <w:widowControl/>
        <w:ind w:leftChars="200" w:left="480"/>
        <w:jc w:val="both"/>
        <w:rPr>
          <w:rFonts w:ascii="Times New Roman" w:hAnsi="Times New Roman"/>
          <w:kern w:val="0"/>
        </w:rPr>
      </w:pPr>
      <w:r w:rsidRPr="00DA3BC7">
        <w:rPr>
          <w:rFonts w:ascii="Times New Roman" w:hAnsi="Times New Roman"/>
          <w:kern w:val="0"/>
        </w:rPr>
        <w:t>凡聖</w:t>
      </w:r>
      <w:r w:rsidRPr="00DA3BC7">
        <w:rPr>
          <w:rFonts w:ascii="新細明體" w:hAnsi="新細明體"/>
          <w:kern w:val="0"/>
        </w:rPr>
        <w:t>──</w:t>
      </w:r>
      <w:r w:rsidRPr="00DA3BC7">
        <w:rPr>
          <w:rFonts w:ascii="Times New Roman" w:hAnsi="Times New Roman"/>
          <w:b/>
          <w:kern w:val="0"/>
        </w:rPr>
        <w:t>有空二諦</w:t>
      </w:r>
      <w:r w:rsidRPr="00DA3BC7">
        <w:rPr>
          <w:rFonts w:ascii="Times New Roman" w:hAnsi="Times New Roman"/>
          <w:kern w:val="0"/>
        </w:rPr>
        <w:t>，為大體而基本的方式。但二諦原是聖者所通達的，在聖者的心境中，也還是可說有二諦的。</w:t>
      </w:r>
    </w:p>
    <w:p w:rsidR="00AA120F" w:rsidRPr="00DA3BC7" w:rsidRDefault="00AA120F" w:rsidP="008E4FB5">
      <w:pPr>
        <w:widowControl/>
        <w:ind w:leftChars="200" w:left="480"/>
        <w:jc w:val="both"/>
        <w:rPr>
          <w:rFonts w:ascii="Times New Roman" w:hAnsi="Times New Roman"/>
          <w:kern w:val="0"/>
          <w:lang w:eastAsia="zh-HK"/>
        </w:rPr>
      </w:pPr>
      <w:r w:rsidRPr="00DA3BC7">
        <w:rPr>
          <w:rFonts w:ascii="Times New Roman" w:hAnsi="Times New Roman"/>
          <w:kern w:val="0"/>
        </w:rPr>
        <w:t>凡夫的情執，只知（不能如實知）有世俗而不知有勝義，</w:t>
      </w:r>
      <w:r w:rsidRPr="00DA3BC7">
        <w:rPr>
          <w:rFonts w:ascii="Times New Roman" w:hAnsi="Times New Roman"/>
          <w:b/>
          <w:kern w:val="0"/>
        </w:rPr>
        <w:t>聖者則通達勝義而又善巧世俗</w:t>
      </w:r>
      <w:r w:rsidRPr="00DA3BC7">
        <w:rPr>
          <w:rFonts w:ascii="Times New Roman" w:hAnsi="Times New Roman"/>
          <w:kern w:val="0"/>
        </w:rPr>
        <w:t>。所以從聖者的境界說，具足二諦，從</w:t>
      </w:r>
      <w:r w:rsidRPr="00DA3BC7">
        <w:rPr>
          <w:rFonts w:ascii="Times New Roman" w:hAnsi="Times New Roman" w:hint="eastAsia"/>
          <w:kern w:val="0"/>
        </w:rPr>
        <w:t>它</w:t>
      </w:r>
      <w:r w:rsidRPr="00DA3BC7">
        <w:rPr>
          <w:rFonts w:ascii="Times New Roman" w:hAnsi="Times New Roman"/>
          <w:kern w:val="0"/>
        </w:rPr>
        <w:t>的淺深上，可分為不同的二諦。</w:t>
      </w:r>
    </w:p>
    <w:p w:rsidR="00AA120F" w:rsidRPr="00DA3BC7" w:rsidRDefault="004714BC" w:rsidP="00AE3920">
      <w:pPr>
        <w:widowControl/>
        <w:spacing w:beforeLines="30"/>
        <w:ind w:leftChars="200" w:left="480"/>
        <w:jc w:val="both"/>
        <w:rPr>
          <w:rFonts w:ascii="Times New Roman" w:hAnsi="Times New Roman"/>
          <w:b/>
          <w:kern w:val="0"/>
          <w:sz w:val="20"/>
          <w:szCs w:val="20"/>
          <w:bdr w:val="single" w:sz="4" w:space="0" w:color="auto"/>
        </w:rPr>
      </w:pPr>
      <w:r w:rsidRPr="004714BC">
        <w:rPr>
          <w:rFonts w:ascii="Times New Roman" w:hAnsi="Times New Roman" w:hint="eastAsia"/>
          <w:b/>
          <w:color w:val="FF0000"/>
          <w:kern w:val="0"/>
          <w:sz w:val="20"/>
          <w:szCs w:val="20"/>
          <w:highlight w:val="yellow"/>
          <w:bdr w:val="single" w:sz="4" w:space="0" w:color="auto"/>
        </w:rPr>
        <w:t>2</w:t>
      </w:r>
      <w:r w:rsidRPr="004714BC">
        <w:rPr>
          <w:rFonts w:ascii="Times New Roman" w:hAnsi="Times New Roman" w:hint="eastAsia"/>
          <w:b/>
          <w:color w:val="FF0000"/>
          <w:kern w:val="0"/>
          <w:sz w:val="20"/>
          <w:szCs w:val="20"/>
          <w:highlight w:val="yellow"/>
          <w:bdr w:val="single" w:sz="4" w:space="0" w:color="auto"/>
        </w:rPr>
        <w:t>、別類：約「淺深」立異</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hint="eastAsia"/>
          <w:sz w:val="20"/>
          <w:szCs w:val="20"/>
        </w:rPr>
        <w:t>p</w:t>
      </w:r>
      <w:r w:rsidR="00AA120F" w:rsidRPr="00DA3BC7">
        <w:rPr>
          <w:rFonts w:ascii="Times New Roman" w:hAnsi="Times New Roman"/>
          <w:sz w:val="20"/>
          <w:szCs w:val="20"/>
        </w:rPr>
        <w:t>.</w:t>
      </w:r>
      <w:r w:rsidR="00AA120F" w:rsidRPr="00DA3BC7">
        <w:rPr>
          <w:rFonts w:ascii="Times New Roman" w:hAnsi="Times New Roman" w:hint="eastAsia"/>
          <w:sz w:val="20"/>
          <w:szCs w:val="20"/>
        </w:rPr>
        <w:t>209-211</w:t>
      </w:r>
      <w:r w:rsidR="00AA120F" w:rsidRPr="00DA3BC7">
        <w:rPr>
          <w:rFonts w:ascii="Times New Roman" w:hAnsi="Times New Roman"/>
          <w:sz w:val="20"/>
          <w:szCs w:val="20"/>
        </w:rPr>
        <w:t>）</w:t>
      </w:r>
    </w:p>
    <w:p w:rsidR="00AA120F" w:rsidRPr="00DA3BC7" w:rsidRDefault="004714BC" w:rsidP="008E4FB5">
      <w:pPr>
        <w:widowControl/>
        <w:ind w:leftChars="250" w:left="600"/>
        <w:jc w:val="both"/>
        <w:rPr>
          <w:rFonts w:ascii="Times New Roman" w:hAnsi="Times New Roman"/>
          <w:b/>
          <w:kern w:val="0"/>
          <w:sz w:val="20"/>
          <w:szCs w:val="20"/>
          <w:bdr w:val="single" w:sz="4" w:space="0" w:color="auto"/>
        </w:rPr>
      </w:pPr>
      <w:r w:rsidRPr="004714BC">
        <w:rPr>
          <w:rFonts w:ascii="Times New Roman" w:hAnsi="Times New Roman" w:hint="eastAsia"/>
          <w:b/>
          <w:color w:val="FF0000"/>
          <w:kern w:val="0"/>
          <w:sz w:val="20"/>
          <w:szCs w:val="20"/>
          <w:highlight w:val="yellow"/>
          <w:bdr w:val="single" w:sz="4" w:space="0" w:color="auto"/>
        </w:rPr>
        <w:t>（</w:t>
      </w:r>
      <w:r w:rsidRPr="004714BC">
        <w:rPr>
          <w:rFonts w:ascii="Times New Roman" w:hAnsi="Times New Roman" w:hint="eastAsia"/>
          <w:b/>
          <w:color w:val="FF0000"/>
          <w:kern w:val="0"/>
          <w:sz w:val="20"/>
          <w:szCs w:val="20"/>
          <w:highlight w:val="yellow"/>
          <w:bdr w:val="single" w:sz="4" w:space="0" w:color="auto"/>
        </w:rPr>
        <w:t>1</w:t>
      </w:r>
      <w:r w:rsidRPr="004714BC">
        <w:rPr>
          <w:rFonts w:ascii="Times New Roman" w:hAnsi="Times New Roman" w:hint="eastAsia"/>
          <w:b/>
          <w:color w:val="FF0000"/>
          <w:kern w:val="0"/>
          <w:sz w:val="20"/>
          <w:szCs w:val="20"/>
          <w:highlight w:val="yellow"/>
          <w:bdr w:val="single" w:sz="4" w:space="0" w:color="auto"/>
        </w:rPr>
        <w:t>）</w:t>
      </w:r>
      <w:r w:rsidRPr="004714BC">
        <w:rPr>
          <w:rFonts w:ascii="Times New Roman" w:hAnsi="Times New Roman"/>
          <w:b/>
          <w:kern w:val="0"/>
          <w:sz w:val="20"/>
          <w:szCs w:val="20"/>
          <w:highlight w:val="yellow"/>
          <w:bdr w:val="single" w:sz="4" w:space="0" w:color="auto"/>
        </w:rPr>
        <w:t>「實有真空」二諦</w:t>
      </w:r>
      <w:r w:rsidRPr="004714BC">
        <w:rPr>
          <w:rFonts w:ascii="Times New Roman" w:hAnsi="Times New Roman" w:hint="eastAsia"/>
          <w:b/>
          <w:color w:val="FF0000"/>
          <w:kern w:val="0"/>
          <w:sz w:val="20"/>
          <w:szCs w:val="20"/>
          <w:highlight w:val="yellow"/>
          <w:bdr w:val="single" w:sz="4" w:space="0" w:color="auto"/>
        </w:rPr>
        <w:t>──</w:t>
      </w:r>
      <w:r w:rsidR="00AA120F" w:rsidRPr="004714BC">
        <w:rPr>
          <w:rFonts w:ascii="Times New Roman" w:hAnsi="Times New Roman"/>
          <w:b/>
          <w:kern w:val="0"/>
          <w:sz w:val="20"/>
          <w:szCs w:val="20"/>
          <w:highlight w:val="yellow"/>
          <w:bdr w:val="single" w:sz="4" w:space="0" w:color="auto"/>
        </w:rPr>
        <w:t>鈍根聲聞</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hint="eastAsia"/>
          <w:sz w:val="20"/>
          <w:szCs w:val="20"/>
        </w:rPr>
        <w:t>209</w:t>
      </w:r>
      <w:r w:rsidR="00AA120F" w:rsidRPr="00DA3BC7">
        <w:rPr>
          <w:rFonts w:ascii="Times New Roman" w:hAnsi="Times New Roman"/>
          <w:sz w:val="20"/>
          <w:szCs w:val="20"/>
        </w:rPr>
        <w:t>）</w:t>
      </w:r>
    </w:p>
    <w:p w:rsidR="004714BC" w:rsidRDefault="00AA120F" w:rsidP="008E4FB5">
      <w:pPr>
        <w:widowControl/>
        <w:ind w:leftChars="250" w:left="600"/>
        <w:jc w:val="both"/>
        <w:rPr>
          <w:rFonts w:ascii="Times New Roman" w:hAnsi="Times New Roman"/>
          <w:kern w:val="0"/>
        </w:rPr>
      </w:pPr>
      <w:r w:rsidRPr="00DA3BC7">
        <w:rPr>
          <w:rFonts w:ascii="Times New Roman" w:hAnsi="Times New Roman"/>
          <w:kern w:val="0"/>
        </w:rPr>
        <w:t>一、</w:t>
      </w:r>
      <w:r w:rsidRPr="00DA3BC7">
        <w:rPr>
          <w:rFonts w:ascii="Times New Roman" w:hAnsi="Times New Roman"/>
          <w:b/>
          <w:kern w:val="0"/>
        </w:rPr>
        <w:t>「實有真空」二諦</w:t>
      </w:r>
      <w:r w:rsidRPr="00DA3BC7">
        <w:rPr>
          <w:rFonts w:ascii="Times New Roman" w:hAnsi="Times New Roman"/>
          <w:kern w:val="0"/>
        </w:rPr>
        <w:t>：</w:t>
      </w:r>
    </w:p>
    <w:p w:rsidR="00AA120F" w:rsidRPr="00DA3BC7" w:rsidRDefault="00AA120F" w:rsidP="008E4FB5">
      <w:pPr>
        <w:widowControl/>
        <w:ind w:leftChars="250" w:left="600"/>
        <w:jc w:val="both"/>
        <w:rPr>
          <w:rFonts w:ascii="Times New Roman" w:hAnsi="Times New Roman"/>
          <w:kern w:val="0"/>
        </w:rPr>
      </w:pPr>
      <w:r w:rsidRPr="00DA3BC7">
        <w:rPr>
          <w:rFonts w:ascii="Times New Roman" w:hAnsi="Times New Roman"/>
          <w:kern w:val="0"/>
        </w:rPr>
        <w:t>這不是說執</w:t>
      </w:r>
      <w:r w:rsidRPr="00DA3BC7">
        <w:rPr>
          <w:rFonts w:ascii="Times New Roman" w:hAnsi="Times New Roman" w:hint="eastAsia"/>
          <w:kern w:val="0"/>
        </w:rPr>
        <w:t>「</w:t>
      </w:r>
      <w:r w:rsidRPr="00DA3BC7">
        <w:rPr>
          <w:rFonts w:ascii="Times New Roman" w:hAnsi="Times New Roman"/>
          <w:kern w:val="0"/>
        </w:rPr>
        <w:t>世俗實有</w:t>
      </w:r>
      <w:r w:rsidRPr="00DA3BC7">
        <w:rPr>
          <w:rFonts w:ascii="Times New Roman" w:hAnsi="Times New Roman" w:hint="eastAsia"/>
          <w:kern w:val="0"/>
        </w:rPr>
        <w:t>」</w:t>
      </w:r>
      <w:r w:rsidRPr="00DA3BC7">
        <w:rPr>
          <w:rFonts w:ascii="Times New Roman" w:hAnsi="Times New Roman"/>
          <w:kern w:val="0"/>
        </w:rPr>
        <w:t>可以悟</w:t>
      </w:r>
      <w:r w:rsidRPr="00DA3BC7">
        <w:rPr>
          <w:rFonts w:ascii="Times New Roman" w:hAnsi="Times New Roman" w:hint="eastAsia"/>
          <w:kern w:val="0"/>
        </w:rPr>
        <w:t>「</w:t>
      </w:r>
      <w:r w:rsidRPr="00DA3BC7">
        <w:rPr>
          <w:rFonts w:ascii="Times New Roman" w:hAnsi="Times New Roman"/>
          <w:kern w:val="0"/>
        </w:rPr>
        <w:t>勝義真空</w:t>
      </w:r>
      <w:r w:rsidRPr="00DA3BC7">
        <w:rPr>
          <w:rFonts w:ascii="Times New Roman" w:hAnsi="Times New Roman" w:hint="eastAsia"/>
          <w:kern w:val="0"/>
        </w:rPr>
        <w:t>」</w:t>
      </w:r>
      <w:r w:rsidRPr="00DA3BC7">
        <w:rPr>
          <w:rFonts w:ascii="Times New Roman" w:hAnsi="Times New Roman"/>
          <w:kern w:val="0"/>
        </w:rPr>
        <w:t>。</w:t>
      </w:r>
    </w:p>
    <w:p w:rsidR="00AA120F" w:rsidRPr="00DA3BC7" w:rsidRDefault="00AA120F" w:rsidP="008E4FB5">
      <w:pPr>
        <w:widowControl/>
        <w:ind w:leftChars="250" w:left="600"/>
        <w:jc w:val="both"/>
        <w:rPr>
          <w:rFonts w:ascii="Times New Roman" w:hAnsi="Times New Roman"/>
          <w:kern w:val="0"/>
        </w:rPr>
      </w:pPr>
      <w:r w:rsidRPr="00DA3BC7">
        <w:rPr>
          <w:rFonts w:ascii="Times New Roman" w:hAnsi="Times New Roman"/>
          <w:kern w:val="0"/>
        </w:rPr>
        <w:t>這是說</w:t>
      </w:r>
      <w:r w:rsidRPr="00DA3BC7">
        <w:rPr>
          <w:rFonts w:ascii="Times New Roman" w:hAnsi="Times New Roman" w:hint="eastAsia"/>
          <w:kern w:val="0"/>
        </w:rPr>
        <w:t>：</w:t>
      </w:r>
      <w:r w:rsidRPr="00DA3BC7">
        <w:rPr>
          <w:rFonts w:ascii="Times New Roman" w:hAnsi="Times New Roman"/>
          <w:b/>
          <w:kern w:val="0"/>
        </w:rPr>
        <w:t>聲聞學者</w:t>
      </w:r>
      <w:r w:rsidRPr="00DA3BC7">
        <w:rPr>
          <w:rFonts w:ascii="Times New Roman" w:hAnsi="Times New Roman"/>
          <w:kern w:val="0"/>
        </w:rPr>
        <w:t>中，厭離心切而不觀法法性空者，側重己利而急於悟入無我我所。於</w:t>
      </w:r>
      <w:r w:rsidRPr="00DA3BC7">
        <w:rPr>
          <w:rFonts w:ascii="Times New Roman" w:hAnsi="Times New Roman"/>
          <w:b/>
          <w:kern w:val="0"/>
        </w:rPr>
        <w:t>悟入我空性</w:t>
      </w:r>
      <w:r w:rsidRPr="00DA3BC7">
        <w:rPr>
          <w:rFonts w:ascii="Times New Roman" w:hAnsi="Times New Roman"/>
          <w:kern w:val="0"/>
        </w:rPr>
        <w:t>時，離執自證，是謂</w:t>
      </w:r>
      <w:r w:rsidRPr="00DA3BC7">
        <w:rPr>
          <w:rFonts w:ascii="Times New Roman" w:hAnsi="Times New Roman"/>
          <w:b/>
          <w:kern w:val="0"/>
        </w:rPr>
        <w:t>勝義諦</w:t>
      </w:r>
      <w:r w:rsidRPr="00DA3BC7">
        <w:rPr>
          <w:rFonts w:ascii="Times New Roman" w:hAnsi="Times New Roman"/>
          <w:kern w:val="0"/>
        </w:rPr>
        <w:t>。</w:t>
      </w:r>
    </w:p>
    <w:p w:rsidR="00AA120F" w:rsidRPr="00DA3BC7" w:rsidRDefault="00AA120F" w:rsidP="00AE3920">
      <w:pPr>
        <w:widowControl/>
        <w:spacing w:beforeLines="20"/>
        <w:ind w:leftChars="250" w:left="600"/>
        <w:jc w:val="both"/>
        <w:rPr>
          <w:rFonts w:ascii="Times New Roman" w:hAnsi="Times New Roman"/>
          <w:kern w:val="0"/>
        </w:rPr>
      </w:pPr>
      <w:r w:rsidRPr="00DA3BC7">
        <w:rPr>
          <w:rFonts w:ascii="Times New Roman" w:hAnsi="Times New Roman"/>
          <w:kern w:val="0"/>
        </w:rPr>
        <w:lastRenderedPageBreak/>
        <w:t>等到</w:t>
      </w:r>
      <w:r w:rsidRPr="00DA3BC7">
        <w:rPr>
          <w:rFonts w:ascii="Times New Roman" w:hAnsi="Times New Roman"/>
          <w:b/>
          <w:kern w:val="0"/>
        </w:rPr>
        <w:t>從空出有</w:t>
      </w:r>
      <w:r w:rsidRPr="00DA3BC7">
        <w:rPr>
          <w:rFonts w:ascii="Times New Roman" w:hAnsi="Times New Roman"/>
          <w:kern w:val="0"/>
        </w:rPr>
        <w:t>，起世俗心時，於一切境界中，依舊有實在性現前，是</w:t>
      </w:r>
      <w:r w:rsidRPr="00DA3BC7">
        <w:rPr>
          <w:rFonts w:ascii="Times New Roman" w:hAnsi="Times New Roman"/>
          <w:b/>
          <w:kern w:val="0"/>
        </w:rPr>
        <w:t>世俗諦</w:t>
      </w:r>
      <w:r w:rsidRPr="00DA3BC7">
        <w:rPr>
          <w:rFonts w:ascii="Times New Roman" w:hAnsi="Times New Roman"/>
          <w:kern w:val="0"/>
        </w:rPr>
        <w:t>。</w:t>
      </w:r>
    </w:p>
    <w:p w:rsidR="00AA120F" w:rsidRPr="00DA3BC7" w:rsidRDefault="00AA120F" w:rsidP="008E4FB5">
      <w:pPr>
        <w:widowControl/>
        <w:ind w:leftChars="250" w:left="600"/>
        <w:jc w:val="both"/>
        <w:rPr>
          <w:rFonts w:ascii="Times New Roman" w:hAnsi="Times New Roman"/>
          <w:kern w:val="0"/>
          <w:lang w:eastAsia="zh-HK"/>
        </w:rPr>
      </w:pPr>
      <w:r w:rsidRPr="00DA3BC7">
        <w:rPr>
          <w:rFonts w:ascii="Times New Roman" w:hAnsi="Times New Roman"/>
          <w:kern w:val="0"/>
        </w:rPr>
        <w:t>雖然真悟的聲聞學者，決不因此固執一切法非實有不可，可是在他們的世俗心境中，是有自性相現前的，與一般凡情所現的，相差不遠，但不執著實有而已。</w:t>
      </w:r>
    </w:p>
    <w:p w:rsidR="00AA120F" w:rsidRPr="00DA3BC7" w:rsidRDefault="004714BC" w:rsidP="00AE3920">
      <w:pPr>
        <w:widowControl/>
        <w:spacing w:beforeLines="30"/>
        <w:ind w:leftChars="250" w:left="600"/>
        <w:jc w:val="both"/>
        <w:rPr>
          <w:rFonts w:ascii="Times New Roman" w:hAnsi="Times New Roman"/>
          <w:sz w:val="20"/>
          <w:szCs w:val="20"/>
        </w:rPr>
      </w:pPr>
      <w:r w:rsidRPr="004714BC">
        <w:rPr>
          <w:rFonts w:ascii="Times New Roman" w:hAnsi="Times New Roman" w:hint="eastAsia"/>
          <w:b/>
          <w:color w:val="FF0000"/>
          <w:kern w:val="0"/>
          <w:sz w:val="20"/>
          <w:szCs w:val="20"/>
          <w:highlight w:val="yellow"/>
          <w:bdr w:val="single" w:sz="4" w:space="0" w:color="auto"/>
        </w:rPr>
        <w:t>（</w:t>
      </w:r>
      <w:r w:rsidRPr="004714BC">
        <w:rPr>
          <w:rFonts w:ascii="Times New Roman" w:hAnsi="Times New Roman" w:hint="eastAsia"/>
          <w:b/>
          <w:color w:val="FF0000"/>
          <w:kern w:val="0"/>
          <w:sz w:val="20"/>
          <w:szCs w:val="20"/>
          <w:highlight w:val="yellow"/>
          <w:bdr w:val="single" w:sz="4" w:space="0" w:color="auto"/>
        </w:rPr>
        <w:t>2</w:t>
      </w:r>
      <w:r w:rsidRPr="004714BC">
        <w:rPr>
          <w:rFonts w:ascii="Times New Roman" w:hAnsi="Times New Roman" w:hint="eastAsia"/>
          <w:b/>
          <w:color w:val="FF0000"/>
          <w:kern w:val="0"/>
          <w:sz w:val="20"/>
          <w:szCs w:val="20"/>
          <w:highlight w:val="yellow"/>
          <w:bdr w:val="single" w:sz="4" w:space="0" w:color="auto"/>
        </w:rPr>
        <w:t>）</w:t>
      </w:r>
      <w:r w:rsidRPr="004714BC">
        <w:rPr>
          <w:rFonts w:ascii="Times New Roman" w:hAnsi="Times New Roman"/>
          <w:b/>
          <w:kern w:val="0"/>
          <w:sz w:val="20"/>
          <w:szCs w:val="20"/>
          <w:highlight w:val="yellow"/>
          <w:bdr w:val="single" w:sz="4" w:space="0" w:color="auto"/>
        </w:rPr>
        <w:t>「幻有真空」二諦</w:t>
      </w:r>
      <w:r w:rsidRPr="004714BC">
        <w:rPr>
          <w:rFonts w:ascii="Times New Roman" w:hAnsi="Times New Roman" w:hint="eastAsia"/>
          <w:b/>
          <w:color w:val="FF0000"/>
          <w:kern w:val="0"/>
          <w:sz w:val="20"/>
          <w:szCs w:val="20"/>
          <w:highlight w:val="yellow"/>
          <w:bdr w:val="single" w:sz="4" w:space="0" w:color="auto"/>
        </w:rPr>
        <w:t>──</w:t>
      </w:r>
      <w:r w:rsidR="00AA120F" w:rsidRPr="004714BC">
        <w:rPr>
          <w:rFonts w:ascii="Times New Roman" w:hAnsi="Times New Roman"/>
          <w:b/>
          <w:kern w:val="0"/>
          <w:sz w:val="20"/>
          <w:szCs w:val="20"/>
          <w:highlight w:val="yellow"/>
          <w:bdr w:val="single" w:sz="4" w:space="0" w:color="auto"/>
        </w:rPr>
        <w:t>利根聲聞及菩薩</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hint="eastAsia"/>
          <w:sz w:val="20"/>
          <w:szCs w:val="20"/>
        </w:rPr>
        <w:t>p</w:t>
      </w:r>
      <w:r w:rsidR="00AA120F" w:rsidRPr="00DA3BC7">
        <w:rPr>
          <w:rFonts w:ascii="Times New Roman" w:hAnsi="Times New Roman"/>
          <w:sz w:val="20"/>
          <w:szCs w:val="20"/>
        </w:rPr>
        <w:t>.</w:t>
      </w:r>
      <w:r w:rsidR="00AA120F" w:rsidRPr="00DA3BC7">
        <w:rPr>
          <w:rFonts w:ascii="Times New Roman" w:hAnsi="Times New Roman" w:hint="eastAsia"/>
          <w:sz w:val="20"/>
          <w:szCs w:val="20"/>
        </w:rPr>
        <w:t>209-210</w:t>
      </w:r>
      <w:r w:rsidR="00AA120F" w:rsidRPr="00DA3BC7">
        <w:rPr>
          <w:rFonts w:ascii="Times New Roman" w:hAnsi="Times New Roman"/>
          <w:sz w:val="20"/>
          <w:szCs w:val="20"/>
        </w:rPr>
        <w:t>）</w:t>
      </w:r>
    </w:p>
    <w:p w:rsidR="00AA120F" w:rsidRPr="00DA3BC7" w:rsidRDefault="00AA120F" w:rsidP="008E4FB5">
      <w:pPr>
        <w:widowControl/>
        <w:ind w:leftChars="250" w:left="600"/>
        <w:jc w:val="both"/>
        <w:rPr>
          <w:rFonts w:ascii="Times New Roman" w:hAnsi="Times New Roman"/>
          <w:kern w:val="0"/>
        </w:rPr>
      </w:pPr>
      <w:r w:rsidRPr="00DA3BC7">
        <w:rPr>
          <w:rFonts w:ascii="Times New Roman" w:hAnsi="Times New Roman"/>
          <w:kern w:val="0"/>
        </w:rPr>
        <w:t>二、</w:t>
      </w:r>
      <w:r w:rsidRPr="00DA3BC7">
        <w:rPr>
          <w:rFonts w:ascii="Times New Roman" w:hAnsi="Times New Roman"/>
          <w:b/>
          <w:kern w:val="0"/>
        </w:rPr>
        <w:t>「幻有真空」二諦</w:t>
      </w:r>
      <w:r w:rsidRPr="00DA3BC7">
        <w:rPr>
          <w:rFonts w:ascii="Times New Roman" w:hAnsi="Times New Roman"/>
          <w:kern w:val="0"/>
        </w:rPr>
        <w:t>：</w:t>
      </w:r>
    </w:p>
    <w:p w:rsidR="00AA120F" w:rsidRPr="00DA3BC7" w:rsidRDefault="00AA120F" w:rsidP="00AE3920">
      <w:pPr>
        <w:widowControl/>
        <w:spacing w:beforeLines="20"/>
        <w:ind w:leftChars="250" w:left="600"/>
        <w:jc w:val="both"/>
        <w:rPr>
          <w:rFonts w:ascii="Times New Roman" w:hAnsi="Times New Roman"/>
          <w:kern w:val="0"/>
        </w:rPr>
      </w:pPr>
      <w:r w:rsidRPr="00DA3BC7">
        <w:rPr>
          <w:rFonts w:ascii="Times New Roman" w:hAnsi="Times New Roman"/>
          <w:kern w:val="0"/>
        </w:rPr>
        <w:t>此二諦是</w:t>
      </w:r>
      <w:r w:rsidRPr="00DA3BC7">
        <w:rPr>
          <w:rFonts w:ascii="Times New Roman" w:hAnsi="Times New Roman"/>
          <w:b/>
          <w:kern w:val="0"/>
        </w:rPr>
        <w:t>利根聲聞及菩薩</w:t>
      </w:r>
      <w:r w:rsidRPr="00DA3BC7">
        <w:rPr>
          <w:rFonts w:ascii="Times New Roman" w:hAnsi="Times New Roman"/>
          <w:kern w:val="0"/>
        </w:rPr>
        <w:t>，悟入空性時，由觀一切法緣起而知</w:t>
      </w:r>
      <w:r w:rsidRPr="00DA3BC7">
        <w:rPr>
          <w:rFonts w:ascii="Times New Roman" w:hAnsi="Times New Roman"/>
          <w:b/>
          <w:kern w:val="0"/>
        </w:rPr>
        <w:t>法法畢竟空</w:t>
      </w:r>
      <w:r w:rsidRPr="00DA3BC7">
        <w:rPr>
          <w:rFonts w:ascii="Times New Roman" w:hAnsi="Times New Roman"/>
          <w:kern w:val="0"/>
        </w:rPr>
        <w:t>，是</w:t>
      </w:r>
      <w:r w:rsidRPr="00DA3BC7">
        <w:rPr>
          <w:rFonts w:ascii="Times New Roman" w:hAnsi="Times New Roman"/>
          <w:b/>
          <w:kern w:val="0"/>
        </w:rPr>
        <w:t>勝義諦</w:t>
      </w:r>
      <w:r w:rsidRPr="00DA3BC7">
        <w:rPr>
          <w:rFonts w:ascii="Times New Roman" w:hAnsi="Times New Roman"/>
          <w:kern w:val="0"/>
        </w:rPr>
        <w:t>。</w:t>
      </w:r>
    </w:p>
    <w:p w:rsidR="004714BC" w:rsidRDefault="00AA120F" w:rsidP="008E4FB5">
      <w:pPr>
        <w:widowControl/>
        <w:ind w:leftChars="250" w:left="600"/>
        <w:jc w:val="both"/>
        <w:rPr>
          <w:rFonts w:ascii="Times New Roman" w:hAnsi="Times New Roman"/>
          <w:kern w:val="0"/>
        </w:rPr>
      </w:pPr>
      <w:r w:rsidRPr="00DA3BC7">
        <w:rPr>
          <w:rFonts w:ascii="Times New Roman" w:hAnsi="Times New Roman"/>
          <w:kern w:val="0"/>
        </w:rPr>
        <w:t>從</w:t>
      </w:r>
      <w:r w:rsidRPr="00DA3BC7">
        <w:rPr>
          <w:rFonts w:ascii="Times New Roman" w:hAnsi="Times New Roman"/>
          <w:b/>
          <w:kern w:val="0"/>
        </w:rPr>
        <w:t>勝義空出</w:t>
      </w:r>
      <w:r w:rsidRPr="00DA3BC7">
        <w:rPr>
          <w:rFonts w:ascii="Times New Roman" w:hAnsi="Times New Roman"/>
          <w:kern w:val="0"/>
        </w:rPr>
        <w:t>，起無漏後得智</w:t>
      </w:r>
      <w:r w:rsidRPr="00DA3BC7">
        <w:rPr>
          <w:rStyle w:val="a6"/>
          <w:rFonts w:ascii="Times New Roman" w:hAnsi="Times New Roman"/>
          <w:kern w:val="0"/>
        </w:rPr>
        <w:footnoteReference w:id="908"/>
      </w:r>
      <w:r w:rsidRPr="00DA3BC7">
        <w:rPr>
          <w:rFonts w:ascii="新細明體" w:hAnsi="新細明體"/>
          <w:kern w:val="0"/>
        </w:rPr>
        <w:t>──</w:t>
      </w:r>
      <w:r w:rsidRPr="00DA3BC7">
        <w:rPr>
          <w:rFonts w:ascii="Times New Roman" w:hAnsi="Times New Roman"/>
          <w:kern w:val="0"/>
        </w:rPr>
        <w:t>或名方便，對現起的一切法，知為無自性的假名，如幻如化。但此為勝義空定的餘力，在當時並不能親證法性空寂，這是一般大乘學者見道的境地。不但菩薩如此，二乘中的利根，也能如此見。</w:t>
      </w:r>
    </w:p>
    <w:p w:rsidR="00AA120F" w:rsidRPr="00DA3BC7" w:rsidRDefault="00AA120F" w:rsidP="00AE3920">
      <w:pPr>
        <w:widowControl/>
        <w:spacing w:beforeLines="20"/>
        <w:ind w:leftChars="250" w:left="600"/>
        <w:jc w:val="both"/>
        <w:rPr>
          <w:rFonts w:ascii="Times New Roman" w:hAnsi="Times New Roman"/>
          <w:kern w:val="0"/>
        </w:rPr>
      </w:pPr>
      <w:r w:rsidRPr="00DA3BC7">
        <w:rPr>
          <w:rFonts w:ascii="Times New Roman" w:hAnsi="Times New Roman"/>
          <w:kern w:val="0"/>
        </w:rPr>
        <w:t>此與前實有真空的二諦不同，此由後得方便智而通達的，是</w:t>
      </w:r>
      <w:r w:rsidRPr="00DA3BC7">
        <w:rPr>
          <w:rFonts w:ascii="Times New Roman" w:hAnsi="Times New Roman"/>
          <w:b/>
          <w:kern w:val="0"/>
        </w:rPr>
        <w:t>如幻如化的假名</w:t>
      </w:r>
      <w:r w:rsidRPr="00DA3BC7">
        <w:rPr>
          <w:rFonts w:ascii="Times New Roman" w:hAnsi="Times New Roman"/>
          <w:kern w:val="0"/>
        </w:rPr>
        <w:t>。</w:t>
      </w:r>
    </w:p>
    <w:p w:rsidR="00AA120F" w:rsidRPr="00DA3BC7" w:rsidRDefault="00AA120F" w:rsidP="00AE3920">
      <w:pPr>
        <w:widowControl/>
        <w:spacing w:beforeLines="20"/>
        <w:ind w:leftChars="250" w:left="600"/>
        <w:jc w:val="both"/>
        <w:rPr>
          <w:rFonts w:ascii="Times New Roman" w:hAnsi="Times New Roman"/>
          <w:kern w:val="0"/>
        </w:rPr>
      </w:pPr>
      <w:r w:rsidRPr="00DA3BC7">
        <w:rPr>
          <w:rFonts w:ascii="Times New Roman" w:hAnsi="Times New Roman"/>
          <w:kern w:val="0"/>
        </w:rPr>
        <w:t>此又可名為</w:t>
      </w:r>
      <w:r w:rsidRPr="00DA3BC7">
        <w:rPr>
          <w:rFonts w:ascii="Times New Roman" w:hAnsi="Times New Roman"/>
          <w:b/>
          <w:kern w:val="0"/>
        </w:rPr>
        <w:t>事理二諦</w:t>
      </w:r>
      <w:r w:rsidRPr="00DA3BC7">
        <w:rPr>
          <w:rFonts w:ascii="Times New Roman" w:hAnsi="Times New Roman"/>
          <w:kern w:val="0"/>
        </w:rPr>
        <w:t>，</w:t>
      </w:r>
      <w:r w:rsidRPr="00DA3BC7">
        <w:rPr>
          <w:rFonts w:ascii="Times New Roman" w:hAnsi="Times New Roman"/>
          <w:b/>
          <w:kern w:val="0"/>
        </w:rPr>
        <w:t>理智</w:t>
      </w:r>
      <w:r w:rsidRPr="00DA3BC7">
        <w:rPr>
          <w:rFonts w:ascii="Times New Roman" w:hAnsi="Times New Roman"/>
          <w:kern w:val="0"/>
        </w:rPr>
        <w:t>通達</w:t>
      </w:r>
      <w:r w:rsidRPr="00DA3BC7">
        <w:rPr>
          <w:rFonts w:ascii="Times New Roman" w:hAnsi="Times New Roman"/>
          <w:b/>
          <w:kern w:val="0"/>
        </w:rPr>
        <w:t>性空</w:t>
      </w:r>
      <w:r w:rsidRPr="00DA3BC7">
        <w:rPr>
          <w:rFonts w:ascii="Times New Roman" w:hAnsi="Times New Roman"/>
          <w:kern w:val="0"/>
        </w:rPr>
        <w:t>為</w:t>
      </w:r>
      <w:r w:rsidRPr="00DA3BC7">
        <w:rPr>
          <w:rFonts w:ascii="Times New Roman" w:hAnsi="Times New Roman"/>
          <w:b/>
          <w:kern w:val="0"/>
        </w:rPr>
        <w:t>勝義</w:t>
      </w:r>
      <w:r w:rsidRPr="00DA3BC7">
        <w:rPr>
          <w:rFonts w:ascii="Times New Roman" w:hAnsi="Times New Roman"/>
          <w:kern w:val="0"/>
        </w:rPr>
        <w:t>，</w:t>
      </w:r>
      <w:r w:rsidRPr="00DA3BC7">
        <w:rPr>
          <w:rFonts w:ascii="Times New Roman" w:hAnsi="Times New Roman"/>
          <w:b/>
          <w:kern w:val="0"/>
        </w:rPr>
        <w:t>事智</w:t>
      </w:r>
      <w:r w:rsidRPr="00DA3BC7">
        <w:rPr>
          <w:rFonts w:ascii="Times New Roman" w:hAnsi="Times New Roman"/>
          <w:kern w:val="0"/>
        </w:rPr>
        <w:t>分別</w:t>
      </w:r>
      <w:r w:rsidRPr="00DA3BC7">
        <w:rPr>
          <w:rFonts w:ascii="Times New Roman" w:hAnsi="Times New Roman"/>
          <w:b/>
          <w:kern w:val="0"/>
        </w:rPr>
        <w:t>幻有</w:t>
      </w:r>
      <w:r w:rsidRPr="00DA3BC7">
        <w:rPr>
          <w:rFonts w:ascii="Times New Roman" w:hAnsi="Times New Roman"/>
          <w:kern w:val="0"/>
        </w:rPr>
        <w:t>為</w:t>
      </w:r>
      <w:r w:rsidRPr="00DA3BC7">
        <w:rPr>
          <w:rFonts w:ascii="Times New Roman" w:hAnsi="Times New Roman"/>
          <w:b/>
          <w:kern w:val="0"/>
        </w:rPr>
        <w:t>世俗</w:t>
      </w:r>
      <w:r w:rsidRPr="00DA3BC7">
        <w:rPr>
          <w:rFonts w:ascii="Times New Roman" w:hAnsi="Times New Roman"/>
          <w:kern w:val="0"/>
        </w:rPr>
        <w:t>。</w:t>
      </w:r>
    </w:p>
    <w:p w:rsidR="00AA120F" w:rsidRPr="00DA3BC7" w:rsidRDefault="004714BC" w:rsidP="00AE3920">
      <w:pPr>
        <w:widowControl/>
        <w:spacing w:beforeLines="30"/>
        <w:ind w:leftChars="250" w:left="600"/>
        <w:jc w:val="both"/>
        <w:rPr>
          <w:rFonts w:ascii="Times New Roman" w:hAnsi="Times New Roman"/>
          <w:sz w:val="20"/>
          <w:szCs w:val="20"/>
        </w:rPr>
      </w:pPr>
      <w:r w:rsidRPr="004714BC">
        <w:rPr>
          <w:rFonts w:ascii="Times New Roman" w:hAnsi="Times New Roman" w:hint="eastAsia"/>
          <w:b/>
          <w:color w:val="FF0000"/>
          <w:kern w:val="0"/>
          <w:sz w:val="20"/>
          <w:szCs w:val="20"/>
          <w:highlight w:val="yellow"/>
          <w:bdr w:val="single" w:sz="4" w:space="0" w:color="auto"/>
        </w:rPr>
        <w:t>（</w:t>
      </w:r>
      <w:r w:rsidRPr="004714BC">
        <w:rPr>
          <w:rFonts w:ascii="Times New Roman" w:hAnsi="Times New Roman" w:hint="eastAsia"/>
          <w:b/>
          <w:color w:val="FF0000"/>
          <w:kern w:val="0"/>
          <w:sz w:val="20"/>
          <w:szCs w:val="20"/>
          <w:highlight w:val="yellow"/>
          <w:bdr w:val="single" w:sz="4" w:space="0" w:color="auto"/>
        </w:rPr>
        <w:t>3</w:t>
      </w:r>
      <w:r w:rsidRPr="004714BC">
        <w:rPr>
          <w:rFonts w:ascii="Times New Roman" w:hAnsi="Times New Roman" w:hint="eastAsia"/>
          <w:b/>
          <w:color w:val="FF0000"/>
          <w:kern w:val="0"/>
          <w:sz w:val="20"/>
          <w:szCs w:val="20"/>
          <w:highlight w:val="yellow"/>
          <w:bdr w:val="single" w:sz="4" w:space="0" w:color="auto"/>
        </w:rPr>
        <w:t>）</w:t>
      </w:r>
      <w:r w:rsidRPr="004714BC">
        <w:rPr>
          <w:rFonts w:ascii="Times New Roman" w:hAnsi="Times New Roman"/>
          <w:b/>
          <w:kern w:val="0"/>
          <w:sz w:val="20"/>
          <w:szCs w:val="20"/>
          <w:highlight w:val="yellow"/>
          <w:bdr w:val="single" w:sz="4" w:space="0" w:color="auto"/>
        </w:rPr>
        <w:t>「妙有真空」二諦</w:t>
      </w:r>
      <w:r w:rsidRPr="004714BC">
        <w:rPr>
          <w:rFonts w:ascii="Times New Roman" w:hAnsi="Times New Roman" w:hint="eastAsia"/>
          <w:b/>
          <w:color w:val="FF0000"/>
          <w:kern w:val="0"/>
          <w:sz w:val="20"/>
          <w:szCs w:val="20"/>
          <w:highlight w:val="yellow"/>
          <w:bdr w:val="single" w:sz="4" w:space="0" w:color="auto"/>
        </w:rPr>
        <w:t>──</w:t>
      </w:r>
      <w:r w:rsidR="00AA120F" w:rsidRPr="004714BC">
        <w:rPr>
          <w:rFonts w:ascii="Times New Roman" w:hAnsi="Times New Roman"/>
          <w:b/>
          <w:kern w:val="0"/>
          <w:sz w:val="20"/>
          <w:szCs w:val="20"/>
          <w:highlight w:val="yellow"/>
          <w:bdr w:val="single" w:sz="4" w:space="0" w:color="auto"/>
        </w:rPr>
        <w:t>佛菩薩</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hint="eastAsia"/>
          <w:sz w:val="20"/>
          <w:szCs w:val="20"/>
        </w:rPr>
        <w:t>210</w:t>
      </w:r>
      <w:r w:rsidR="00AA120F" w:rsidRPr="00DA3BC7">
        <w:rPr>
          <w:rFonts w:ascii="Times New Roman" w:hAnsi="Times New Roman"/>
          <w:sz w:val="20"/>
          <w:szCs w:val="20"/>
        </w:rPr>
        <w:t>）</w:t>
      </w:r>
    </w:p>
    <w:p w:rsidR="004714BC" w:rsidRDefault="00AA120F" w:rsidP="008E4FB5">
      <w:pPr>
        <w:widowControl/>
        <w:ind w:leftChars="250" w:left="600"/>
        <w:jc w:val="both"/>
        <w:rPr>
          <w:rFonts w:ascii="Times New Roman" w:hAnsi="Times New Roman"/>
          <w:kern w:val="0"/>
        </w:rPr>
      </w:pPr>
      <w:r w:rsidRPr="00DA3BC7">
        <w:rPr>
          <w:rFonts w:ascii="Times New Roman" w:hAnsi="Times New Roman"/>
          <w:kern w:val="0"/>
        </w:rPr>
        <w:t>三、</w:t>
      </w:r>
      <w:r w:rsidRPr="00DA3BC7">
        <w:rPr>
          <w:rFonts w:ascii="Times New Roman" w:hAnsi="Times New Roman"/>
          <w:b/>
          <w:kern w:val="0"/>
        </w:rPr>
        <w:t>「妙有真空」二諦</w:t>
      </w:r>
      <w:r w:rsidRPr="00DA3BC7">
        <w:rPr>
          <w:rFonts w:ascii="Times New Roman" w:hAnsi="Times New Roman"/>
          <w:kern w:val="0"/>
        </w:rPr>
        <w:t>（姑</w:t>
      </w:r>
      <w:r w:rsidRPr="00DA3BC7">
        <w:rPr>
          <w:rStyle w:val="a6"/>
          <w:rFonts w:ascii="Times New Roman" w:hAnsi="Times New Roman"/>
          <w:kern w:val="0"/>
        </w:rPr>
        <w:footnoteReference w:id="909"/>
      </w:r>
      <w:r w:rsidRPr="00DA3BC7">
        <w:rPr>
          <w:rFonts w:ascii="Times New Roman" w:hAnsi="Times New Roman"/>
          <w:kern w:val="0"/>
        </w:rPr>
        <w:t>作此稱）：</w:t>
      </w:r>
    </w:p>
    <w:p w:rsidR="004714BC" w:rsidRPr="00DA3BC7" w:rsidRDefault="004714BC" w:rsidP="00AE3920">
      <w:pPr>
        <w:widowControl/>
        <w:spacing w:beforeLines="30"/>
        <w:ind w:leftChars="300" w:left="720"/>
        <w:jc w:val="both"/>
        <w:rPr>
          <w:rFonts w:ascii="Times New Roman" w:hAnsi="Times New Roman"/>
          <w:b/>
          <w:kern w:val="0"/>
          <w:sz w:val="20"/>
          <w:szCs w:val="20"/>
          <w:bdr w:val="single" w:sz="4" w:space="0" w:color="auto"/>
        </w:rPr>
      </w:pPr>
      <w:r w:rsidRPr="004714BC">
        <w:rPr>
          <w:rFonts w:ascii="Times New Roman" w:hAnsi="Times New Roman" w:hint="eastAsia"/>
          <w:b/>
          <w:color w:val="FF0000"/>
          <w:kern w:val="0"/>
          <w:sz w:val="20"/>
          <w:szCs w:val="20"/>
          <w:highlight w:val="yellow"/>
          <w:bdr w:val="single" w:sz="4" w:space="0" w:color="auto"/>
        </w:rPr>
        <w:t>A</w:t>
      </w:r>
      <w:r w:rsidRPr="004714BC">
        <w:rPr>
          <w:rFonts w:ascii="Times New Roman" w:hAnsi="Times New Roman" w:hint="eastAsia"/>
          <w:b/>
          <w:color w:val="FF0000"/>
          <w:kern w:val="0"/>
          <w:sz w:val="20"/>
          <w:szCs w:val="20"/>
          <w:highlight w:val="yellow"/>
          <w:bdr w:val="single" w:sz="4" w:space="0" w:color="auto"/>
        </w:rPr>
        <w:t>、辨「理境」</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hint="eastAsia"/>
          <w:sz w:val="20"/>
          <w:szCs w:val="20"/>
        </w:rPr>
        <w:t>210</w:t>
      </w:r>
      <w:r w:rsidRPr="00DA3BC7">
        <w:rPr>
          <w:rFonts w:ascii="Times New Roman" w:hAnsi="Times New Roman"/>
          <w:sz w:val="20"/>
          <w:szCs w:val="20"/>
        </w:rPr>
        <w:t>）</w:t>
      </w:r>
    </w:p>
    <w:p w:rsidR="00AA120F" w:rsidRPr="00DA3BC7" w:rsidRDefault="00AA120F" w:rsidP="008E4FB5">
      <w:pPr>
        <w:widowControl/>
        <w:ind w:leftChars="300" w:left="720"/>
        <w:jc w:val="both"/>
        <w:rPr>
          <w:rFonts w:ascii="Times New Roman" w:hAnsi="Times New Roman"/>
          <w:kern w:val="0"/>
        </w:rPr>
      </w:pPr>
      <w:r w:rsidRPr="00DA3BC7">
        <w:rPr>
          <w:rFonts w:ascii="Times New Roman" w:hAnsi="Times New Roman"/>
          <w:kern w:val="0"/>
        </w:rPr>
        <w:t>此無固定名稱，乃</w:t>
      </w:r>
      <w:r w:rsidRPr="00DA3BC7">
        <w:rPr>
          <w:rFonts w:ascii="Times New Roman" w:hAnsi="Times New Roman"/>
          <w:b/>
          <w:kern w:val="0"/>
        </w:rPr>
        <w:t>佛菩薩</w:t>
      </w:r>
      <w:r w:rsidRPr="00DA3BC7">
        <w:rPr>
          <w:rFonts w:ascii="Times New Roman" w:hAnsi="Times New Roman"/>
          <w:kern w:val="0"/>
        </w:rPr>
        <w:t>悟入法法空寂</w:t>
      </w:r>
      <w:r w:rsidRPr="00DA3BC7">
        <w:rPr>
          <w:rFonts w:ascii="Times New Roman" w:hAnsi="Times New Roman" w:hint="eastAsia"/>
          <w:kern w:val="0"/>
        </w:rPr>
        <w:t>、</w:t>
      </w:r>
      <w:r w:rsidRPr="00DA3BC7">
        <w:rPr>
          <w:rFonts w:ascii="Times New Roman" w:hAnsi="Times New Roman"/>
          <w:kern w:val="0"/>
        </w:rPr>
        <w:t>法法如幻</w:t>
      </w:r>
      <w:r w:rsidRPr="00DA3BC7">
        <w:rPr>
          <w:rFonts w:ascii="Times New Roman" w:hAnsi="Times New Roman" w:hint="eastAsia"/>
          <w:kern w:val="0"/>
        </w:rPr>
        <w:t>、</w:t>
      </w:r>
      <w:r w:rsidRPr="00DA3BC7">
        <w:rPr>
          <w:rFonts w:ascii="Times New Roman" w:hAnsi="Times New Roman"/>
          <w:kern w:val="0"/>
        </w:rPr>
        <w:t>一念圓了的聖境。</w:t>
      </w:r>
    </w:p>
    <w:p w:rsidR="004714BC" w:rsidRDefault="00AA120F" w:rsidP="00AE3920">
      <w:pPr>
        <w:widowControl/>
        <w:spacing w:beforeLines="20"/>
        <w:ind w:leftChars="300" w:left="720"/>
        <w:jc w:val="both"/>
        <w:rPr>
          <w:rFonts w:ascii="Times New Roman" w:hAnsi="Times New Roman"/>
          <w:kern w:val="0"/>
        </w:rPr>
      </w:pPr>
      <w:r w:rsidRPr="00DA3BC7">
        <w:rPr>
          <w:rFonts w:ascii="Times New Roman" w:hAnsi="Times New Roman"/>
          <w:b/>
          <w:kern w:val="0"/>
        </w:rPr>
        <w:lastRenderedPageBreak/>
        <w:t>即真即俗的二諦並觀</w:t>
      </w:r>
      <w:r w:rsidRPr="00DA3BC7">
        <w:rPr>
          <w:rFonts w:ascii="Times New Roman" w:hAnsi="Times New Roman"/>
          <w:kern w:val="0"/>
        </w:rPr>
        <w:t>，是如實智所通達的，不可局限為此為勝義</w:t>
      </w:r>
      <w:r w:rsidRPr="00DA3BC7">
        <w:rPr>
          <w:rFonts w:ascii="Times New Roman" w:hAnsi="Times New Roman" w:hint="eastAsia"/>
          <w:kern w:val="0"/>
        </w:rPr>
        <w:t>、</w:t>
      </w:r>
      <w:r w:rsidRPr="00DA3BC7">
        <w:rPr>
          <w:rFonts w:ascii="Times New Roman" w:hAnsi="Times New Roman"/>
          <w:kern w:val="0"/>
        </w:rPr>
        <w:t>彼為世俗。</w:t>
      </w:r>
    </w:p>
    <w:p w:rsidR="00AA120F" w:rsidRPr="00DA3BC7" w:rsidRDefault="00AA120F" w:rsidP="008E4FB5">
      <w:pPr>
        <w:widowControl/>
        <w:ind w:leftChars="300" w:left="720"/>
        <w:jc w:val="both"/>
        <w:rPr>
          <w:rFonts w:ascii="Times New Roman" w:hAnsi="Times New Roman"/>
          <w:kern w:val="0"/>
        </w:rPr>
      </w:pPr>
      <w:r w:rsidRPr="00DA3BC7">
        <w:rPr>
          <w:rFonts w:ascii="Times New Roman" w:hAnsi="Times New Roman"/>
          <w:kern w:val="0"/>
        </w:rPr>
        <w:t>但在一念頓了畢竟空而當下即是</w:t>
      </w:r>
      <w:r w:rsidRPr="00DA3BC7">
        <w:rPr>
          <w:rFonts w:ascii="Times New Roman" w:hAnsi="Times New Roman"/>
          <w:b/>
          <w:kern w:val="0"/>
        </w:rPr>
        <w:t>如幻有</w:t>
      </w:r>
      <w:r w:rsidRPr="00DA3BC7">
        <w:rPr>
          <w:rFonts w:ascii="Times New Roman" w:hAnsi="Times New Roman"/>
          <w:kern w:val="0"/>
        </w:rPr>
        <w:t>，依此而方便立為</w:t>
      </w:r>
      <w:r w:rsidRPr="00DA3BC7">
        <w:rPr>
          <w:rFonts w:ascii="Times New Roman" w:hAnsi="Times New Roman"/>
          <w:b/>
          <w:kern w:val="0"/>
        </w:rPr>
        <w:t>世俗</w:t>
      </w:r>
      <w:r w:rsidRPr="00DA3BC7">
        <w:rPr>
          <w:rFonts w:ascii="Times New Roman" w:hAnsi="Times New Roman"/>
          <w:kern w:val="0"/>
        </w:rPr>
        <w:t>；</w:t>
      </w:r>
    </w:p>
    <w:p w:rsidR="00AA120F" w:rsidRPr="00DA3BC7" w:rsidRDefault="00AA120F" w:rsidP="008E4FB5">
      <w:pPr>
        <w:widowControl/>
        <w:ind w:leftChars="300" w:left="720"/>
        <w:jc w:val="both"/>
        <w:rPr>
          <w:rFonts w:ascii="Times New Roman" w:hAnsi="Times New Roman"/>
          <w:kern w:val="0"/>
        </w:rPr>
      </w:pPr>
      <w:r w:rsidRPr="00DA3BC7">
        <w:rPr>
          <w:rFonts w:ascii="Times New Roman" w:hAnsi="Times New Roman"/>
          <w:kern w:val="0"/>
        </w:rPr>
        <w:t>如幻有而</w:t>
      </w:r>
      <w:r w:rsidRPr="00DA3BC7">
        <w:rPr>
          <w:rFonts w:ascii="Times New Roman" w:hAnsi="Times New Roman"/>
          <w:b/>
          <w:kern w:val="0"/>
        </w:rPr>
        <w:t>畢竟性空</w:t>
      </w:r>
      <w:r w:rsidRPr="00DA3BC7">
        <w:rPr>
          <w:rFonts w:ascii="Times New Roman" w:hAnsi="Times New Roman"/>
          <w:kern w:val="0"/>
        </w:rPr>
        <w:t>，依此而方便立為</w:t>
      </w:r>
      <w:r w:rsidRPr="00DA3BC7">
        <w:rPr>
          <w:rFonts w:ascii="Times New Roman" w:hAnsi="Times New Roman"/>
          <w:b/>
          <w:kern w:val="0"/>
        </w:rPr>
        <w:t>勝義</w:t>
      </w:r>
      <w:r w:rsidRPr="00DA3BC7">
        <w:rPr>
          <w:rFonts w:ascii="Times New Roman" w:hAnsi="Times New Roman"/>
          <w:kern w:val="0"/>
        </w:rPr>
        <w:t>。</w:t>
      </w:r>
    </w:p>
    <w:p w:rsidR="00AA120F" w:rsidRPr="00DA3BC7" w:rsidRDefault="00AA120F" w:rsidP="00AE3920">
      <w:pPr>
        <w:widowControl/>
        <w:spacing w:beforeLines="20"/>
        <w:ind w:leftChars="300" w:left="720"/>
        <w:jc w:val="both"/>
        <w:rPr>
          <w:rFonts w:ascii="Times New Roman" w:hAnsi="Times New Roman"/>
          <w:kern w:val="0"/>
        </w:rPr>
      </w:pPr>
      <w:r w:rsidRPr="00DA3BC7">
        <w:rPr>
          <w:rFonts w:ascii="Times New Roman" w:hAnsi="Times New Roman"/>
          <w:kern w:val="0"/>
        </w:rPr>
        <w:t>於無差別中作差別說，與</w:t>
      </w:r>
      <w:r w:rsidRPr="00525F38">
        <w:rPr>
          <w:rFonts w:ascii="Times New Roman" w:hAnsi="Times New Roman"/>
          <w:kern w:val="0"/>
          <w:u w:val="wave" w:color="C00000"/>
        </w:rPr>
        <w:t>見空不見有、見有不見空的</w:t>
      </w:r>
      <w:r w:rsidRPr="00525F38">
        <w:rPr>
          <w:rFonts w:ascii="Times New Roman" w:hAnsi="Times New Roman"/>
          <w:b/>
          <w:kern w:val="0"/>
          <w:u w:val="wave" w:color="C00000"/>
        </w:rPr>
        <w:t>幻有真空二諦</w:t>
      </w:r>
      <w:r w:rsidRPr="00DA3BC7">
        <w:rPr>
          <w:rFonts w:ascii="Times New Roman" w:hAnsi="Times New Roman"/>
          <w:kern w:val="0"/>
        </w:rPr>
        <w:t>不同。</w:t>
      </w:r>
    </w:p>
    <w:p w:rsidR="00AA120F" w:rsidRPr="00DA3BC7" w:rsidRDefault="00AA120F" w:rsidP="00AE3920">
      <w:pPr>
        <w:widowControl/>
        <w:spacing w:beforeLines="20"/>
        <w:ind w:leftChars="300" w:left="720"/>
        <w:jc w:val="both"/>
        <w:rPr>
          <w:rFonts w:ascii="Times New Roman" w:hAnsi="Times New Roman"/>
          <w:kern w:val="0"/>
        </w:rPr>
      </w:pPr>
      <w:r w:rsidRPr="00DA3BC7">
        <w:rPr>
          <w:rFonts w:ascii="Times New Roman" w:hAnsi="Times New Roman"/>
          <w:kern w:val="0"/>
        </w:rPr>
        <w:t>中國三論宗和天臺宗的圓教，都是從此立場而安立二諦的。</w:t>
      </w:r>
    </w:p>
    <w:p w:rsidR="00AA120F" w:rsidRPr="00DA3BC7" w:rsidRDefault="004714BC" w:rsidP="00AE3920">
      <w:pPr>
        <w:widowControl/>
        <w:spacing w:beforeLines="30"/>
        <w:ind w:leftChars="300" w:left="720"/>
        <w:jc w:val="both"/>
        <w:rPr>
          <w:rFonts w:ascii="Times New Roman" w:hAnsi="Times New Roman"/>
          <w:b/>
          <w:kern w:val="0"/>
          <w:sz w:val="20"/>
          <w:szCs w:val="20"/>
          <w:bdr w:val="single" w:sz="4" w:space="0" w:color="auto"/>
        </w:rPr>
      </w:pPr>
      <w:r w:rsidRPr="004714BC">
        <w:rPr>
          <w:rFonts w:ascii="Times New Roman" w:hAnsi="Times New Roman" w:hint="eastAsia"/>
          <w:b/>
          <w:color w:val="FF0000"/>
          <w:kern w:val="0"/>
          <w:sz w:val="20"/>
          <w:szCs w:val="20"/>
          <w:highlight w:val="yellow"/>
          <w:bdr w:val="single" w:sz="4" w:space="0" w:color="auto"/>
        </w:rPr>
        <w:t>B</w:t>
      </w:r>
      <w:r w:rsidRPr="004714BC">
        <w:rPr>
          <w:rFonts w:ascii="Times New Roman" w:hAnsi="Times New Roman" w:hint="eastAsia"/>
          <w:b/>
          <w:color w:val="FF0000"/>
          <w:kern w:val="0"/>
          <w:sz w:val="20"/>
          <w:szCs w:val="20"/>
          <w:highlight w:val="yellow"/>
          <w:bdr w:val="single" w:sz="4" w:space="0" w:color="auto"/>
        </w:rPr>
        <w:t>、論異旨</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hint="eastAsia"/>
          <w:sz w:val="20"/>
          <w:szCs w:val="20"/>
        </w:rPr>
        <w:t>210</w:t>
      </w:r>
      <w:r w:rsidR="00AA120F" w:rsidRPr="00DA3BC7">
        <w:rPr>
          <w:rFonts w:ascii="Times New Roman" w:hAnsi="Times New Roman"/>
          <w:sz w:val="20"/>
          <w:szCs w:val="20"/>
        </w:rPr>
        <w:t>）</w:t>
      </w:r>
    </w:p>
    <w:p w:rsidR="00AA120F" w:rsidRPr="00DA3BC7" w:rsidRDefault="00AA120F" w:rsidP="008E4FB5">
      <w:pPr>
        <w:widowControl/>
        <w:ind w:leftChars="300" w:left="720"/>
        <w:jc w:val="both"/>
        <w:rPr>
          <w:rFonts w:ascii="Times New Roman" w:hAnsi="Times New Roman"/>
          <w:kern w:val="0"/>
        </w:rPr>
      </w:pPr>
      <w:r w:rsidRPr="00DA3BC7">
        <w:rPr>
          <w:rFonts w:ascii="Times New Roman" w:hAnsi="Times New Roman"/>
          <w:kern w:val="0"/>
        </w:rPr>
        <w:t>此中所說俗諦的妙有，即</w:t>
      </w:r>
      <w:r w:rsidRPr="00DA3BC7">
        <w:rPr>
          <w:rFonts w:ascii="Times New Roman" w:hAnsi="Times New Roman"/>
          <w:b/>
          <w:kern w:val="0"/>
        </w:rPr>
        <w:t>通達畢竟空</w:t>
      </w:r>
      <w:r w:rsidRPr="00DA3BC7">
        <w:rPr>
          <w:rFonts w:ascii="Times New Roman" w:hAnsi="Times New Roman"/>
          <w:kern w:val="0"/>
        </w:rPr>
        <w:t>而</w:t>
      </w:r>
      <w:r w:rsidRPr="00DA3BC7">
        <w:rPr>
          <w:rFonts w:ascii="Times New Roman" w:hAnsi="Times New Roman"/>
          <w:b/>
          <w:kern w:val="0"/>
        </w:rPr>
        <w:t>即是緣起幻有</w:t>
      </w:r>
      <w:r w:rsidRPr="00DA3BC7">
        <w:rPr>
          <w:rFonts w:ascii="Times New Roman" w:hAnsi="Times New Roman"/>
          <w:kern w:val="0"/>
        </w:rPr>
        <w:t>的，此與二諦別觀時後得智所通達的不同。</w:t>
      </w:r>
    </w:p>
    <w:p w:rsidR="00AA120F" w:rsidRPr="00DA3BC7" w:rsidRDefault="00AA120F" w:rsidP="00AE3920">
      <w:pPr>
        <w:widowControl/>
        <w:spacing w:beforeLines="20"/>
        <w:ind w:leftChars="300" w:left="720"/>
        <w:jc w:val="both"/>
        <w:rPr>
          <w:rFonts w:ascii="Times New Roman" w:hAnsi="Times New Roman"/>
          <w:kern w:val="0"/>
        </w:rPr>
      </w:pPr>
      <w:r w:rsidRPr="00DA3BC7">
        <w:rPr>
          <w:rFonts w:ascii="Times New Roman" w:hAnsi="Times New Roman"/>
          <w:kern w:val="0"/>
        </w:rPr>
        <w:t>這是即空的緣起幻有，稱為妙有，也不像</w:t>
      </w:r>
      <w:r w:rsidRPr="00525F38">
        <w:rPr>
          <w:rFonts w:ascii="Times New Roman" w:hAnsi="Times New Roman"/>
          <w:b/>
          <w:kern w:val="0"/>
          <w:u w:val="wave" w:color="C00000"/>
        </w:rPr>
        <w:t>不空論者</w:t>
      </w:r>
      <w:r w:rsidRPr="00525F38">
        <w:rPr>
          <w:rFonts w:ascii="Times New Roman" w:hAnsi="Times New Roman"/>
          <w:kern w:val="0"/>
          <w:u w:val="wave" w:color="C00000"/>
        </w:rPr>
        <w:t>把緣起否定了，而又標揭一真實不空的妙有</w:t>
      </w:r>
      <w:r w:rsidRPr="00DA3BC7">
        <w:rPr>
          <w:rFonts w:ascii="Times New Roman" w:hAnsi="Times New Roman"/>
          <w:kern w:val="0"/>
        </w:rPr>
        <w:t>。</w:t>
      </w:r>
    </w:p>
    <w:p w:rsidR="00AA120F" w:rsidRPr="00DA3BC7" w:rsidRDefault="004714BC" w:rsidP="00AE3920">
      <w:pPr>
        <w:widowControl/>
        <w:spacing w:beforeLines="30"/>
        <w:ind w:leftChars="200" w:left="480"/>
        <w:jc w:val="both"/>
        <w:rPr>
          <w:rFonts w:ascii="Times New Roman" w:hAnsi="Times New Roman"/>
          <w:sz w:val="20"/>
          <w:szCs w:val="20"/>
        </w:rPr>
      </w:pPr>
      <w:r>
        <w:rPr>
          <w:rFonts w:ascii="Times New Roman" w:hAnsi="Times New Roman" w:hint="eastAsia"/>
          <w:b/>
          <w:color w:val="FF0000"/>
          <w:kern w:val="0"/>
          <w:sz w:val="20"/>
          <w:szCs w:val="20"/>
          <w:highlight w:val="yellow"/>
          <w:bdr w:val="single" w:sz="4" w:space="0" w:color="auto"/>
        </w:rPr>
        <w:t>3</w:t>
      </w:r>
      <w:r w:rsidR="00AA120F" w:rsidRPr="00DA3BC7">
        <w:rPr>
          <w:rFonts w:ascii="Times New Roman" w:hAnsi="Times New Roman" w:hint="eastAsia"/>
          <w:b/>
          <w:kern w:val="0"/>
          <w:sz w:val="20"/>
          <w:szCs w:val="20"/>
          <w:bdr w:val="single" w:sz="4" w:space="0" w:color="auto"/>
        </w:rPr>
        <w:t>、結</w:t>
      </w:r>
      <w:r w:rsidRPr="004714BC">
        <w:rPr>
          <w:rFonts w:ascii="Times New Roman" w:hAnsi="Times New Roman" w:hint="eastAsia"/>
          <w:b/>
          <w:color w:val="FF0000"/>
          <w:kern w:val="0"/>
          <w:sz w:val="20"/>
          <w:szCs w:val="20"/>
          <w:highlight w:val="yellow"/>
          <w:bdr w:val="single" w:sz="4" w:space="0" w:color="auto"/>
        </w:rPr>
        <w:t>義</w:t>
      </w:r>
      <w:r w:rsidR="00AA120F" w:rsidRPr="00DA3BC7">
        <w:rPr>
          <w:rFonts w:ascii="Times New Roman" w:hAnsi="Times New Roman"/>
          <w:sz w:val="20"/>
          <w:szCs w:val="20"/>
        </w:rPr>
        <w:t>（</w:t>
      </w:r>
      <w:r w:rsidR="00AA120F" w:rsidRPr="00DA3BC7">
        <w:rPr>
          <w:rFonts w:ascii="Times New Roman" w:hAnsi="Times New Roman"/>
          <w:sz w:val="20"/>
          <w:szCs w:val="20"/>
        </w:rPr>
        <w:t>pp.</w:t>
      </w:r>
      <w:r w:rsidR="00AA120F" w:rsidRPr="00DA3BC7">
        <w:rPr>
          <w:rFonts w:ascii="Times New Roman" w:hAnsi="Times New Roman" w:hint="eastAsia"/>
          <w:sz w:val="20"/>
          <w:szCs w:val="20"/>
        </w:rPr>
        <w:t>210</w:t>
      </w:r>
      <w:r w:rsidR="00AA120F" w:rsidRPr="00DA3BC7">
        <w:rPr>
          <w:rFonts w:ascii="Times New Roman" w:hAnsi="Times New Roman"/>
          <w:sz w:val="20"/>
          <w:szCs w:val="20"/>
        </w:rPr>
        <w:t>-</w:t>
      </w:r>
      <w:r w:rsidR="00AA120F" w:rsidRPr="00DA3BC7">
        <w:rPr>
          <w:rFonts w:ascii="Times New Roman" w:hAnsi="Times New Roman" w:hint="eastAsia"/>
          <w:sz w:val="20"/>
          <w:szCs w:val="20"/>
        </w:rPr>
        <w:t>211</w:t>
      </w:r>
      <w:r w:rsidR="00AA120F" w:rsidRPr="00DA3BC7">
        <w:rPr>
          <w:rFonts w:ascii="Times New Roman" w:hAnsi="Times New Roman"/>
          <w:sz w:val="20"/>
          <w:szCs w:val="20"/>
        </w:rPr>
        <w:t>）</w:t>
      </w:r>
    </w:p>
    <w:p w:rsidR="00AA120F" w:rsidRPr="00DA3BC7" w:rsidRDefault="00AA120F" w:rsidP="008E4FB5">
      <w:pPr>
        <w:widowControl/>
        <w:ind w:leftChars="200" w:left="480"/>
        <w:jc w:val="both"/>
        <w:rPr>
          <w:rFonts w:ascii="Times New Roman" w:hAnsi="Times New Roman"/>
          <w:kern w:val="0"/>
        </w:rPr>
      </w:pPr>
      <w:r w:rsidRPr="00DA3BC7">
        <w:rPr>
          <w:rFonts w:ascii="Times New Roman" w:hAnsi="Times New Roman"/>
          <w:kern w:val="0"/>
        </w:rPr>
        <w:t>上來所說的三類，後者是三論、天臺宗所常說的；</w:t>
      </w:r>
    </w:p>
    <w:p w:rsidR="00AA120F" w:rsidRPr="00DA3BC7" w:rsidRDefault="00AA120F" w:rsidP="008E4FB5">
      <w:pPr>
        <w:widowControl/>
        <w:ind w:leftChars="1000" w:left="2400"/>
        <w:jc w:val="both"/>
        <w:rPr>
          <w:rFonts w:ascii="Times New Roman" w:hAnsi="Times New Roman"/>
          <w:kern w:val="0"/>
        </w:rPr>
      </w:pPr>
      <w:r w:rsidRPr="00DA3BC7">
        <w:rPr>
          <w:rFonts w:ascii="Times New Roman" w:hAnsi="Times New Roman"/>
          <w:kern w:val="0"/>
        </w:rPr>
        <w:t>第二是唯識宗義，龍樹論也有此義；</w:t>
      </w:r>
    </w:p>
    <w:p w:rsidR="00AA120F" w:rsidRPr="00DA3BC7" w:rsidRDefault="00AA120F" w:rsidP="008E4FB5">
      <w:pPr>
        <w:widowControl/>
        <w:ind w:leftChars="1000" w:left="2400"/>
        <w:jc w:val="both"/>
        <w:rPr>
          <w:rFonts w:ascii="Times New Roman" w:hAnsi="Times New Roman"/>
          <w:kern w:val="0"/>
        </w:rPr>
      </w:pPr>
      <w:r w:rsidRPr="00DA3BC7">
        <w:rPr>
          <w:rFonts w:ascii="Times New Roman" w:hAnsi="Times New Roman"/>
          <w:kern w:val="0"/>
        </w:rPr>
        <w:t>第一是鈍根的聲聞乘者所許的。</w:t>
      </w:r>
    </w:p>
    <w:p w:rsidR="00AA120F" w:rsidRPr="00DA3BC7" w:rsidRDefault="00AA120F" w:rsidP="008E4FB5">
      <w:pPr>
        <w:ind w:leftChars="200" w:left="480"/>
        <w:jc w:val="both"/>
        <w:rPr>
          <w:rFonts w:ascii="Times New Roman" w:hAnsi="Times New Roman"/>
          <w:kern w:val="0"/>
        </w:rPr>
      </w:pPr>
      <w:r w:rsidRPr="00DA3BC7">
        <w:rPr>
          <w:rFonts w:ascii="Times New Roman" w:hAnsi="Times New Roman"/>
          <w:kern w:val="0"/>
        </w:rPr>
        <w:t>這三者，依悟證的淺深不同而說，但在緣起性空無礙的正見中，這是可以貫通無礙的。</w:t>
      </w:r>
    </w:p>
    <w:p w:rsidR="00AA120F" w:rsidRPr="00DA3BC7" w:rsidRDefault="004714BC" w:rsidP="00AE3920">
      <w:pPr>
        <w:widowControl/>
        <w:spacing w:beforeLines="30"/>
        <w:jc w:val="both"/>
        <w:rPr>
          <w:rFonts w:ascii="Times New Roman" w:hAnsi="Times New Roman"/>
          <w:b/>
          <w:kern w:val="0"/>
          <w:sz w:val="20"/>
          <w:szCs w:val="20"/>
          <w:bdr w:val="single" w:sz="4" w:space="0" w:color="auto"/>
        </w:rPr>
      </w:pPr>
      <w:r>
        <w:rPr>
          <w:rFonts w:ascii="Times New Roman" w:hAnsi="Times New Roman" w:hint="eastAsia"/>
          <w:b/>
          <w:color w:val="FF0000"/>
          <w:kern w:val="0"/>
          <w:sz w:val="20"/>
          <w:szCs w:val="20"/>
          <w:highlight w:val="yellow"/>
          <w:bdr w:val="single" w:sz="4" w:space="0" w:color="auto"/>
        </w:rPr>
        <w:t>參</w:t>
      </w:r>
      <w:r w:rsidR="00AA120F" w:rsidRPr="004714BC">
        <w:rPr>
          <w:rFonts w:ascii="Times New Roman" w:hAnsi="Times New Roman"/>
          <w:b/>
          <w:color w:val="FF0000"/>
          <w:kern w:val="0"/>
          <w:sz w:val="20"/>
          <w:szCs w:val="20"/>
          <w:highlight w:val="yellow"/>
          <w:bdr w:val="single" w:sz="4" w:space="0" w:color="auto"/>
        </w:rPr>
        <w:t>、</w:t>
      </w:r>
      <w:r w:rsidRPr="004714BC">
        <w:rPr>
          <w:rFonts w:ascii="Times New Roman" w:hAnsi="Times New Roman" w:hint="eastAsia"/>
          <w:b/>
          <w:color w:val="FF0000"/>
          <w:kern w:val="0"/>
          <w:sz w:val="20"/>
          <w:szCs w:val="20"/>
          <w:highlight w:val="yellow"/>
          <w:bdr w:val="single" w:sz="4" w:space="0" w:color="auto"/>
        </w:rPr>
        <w:t>歸宗</w:t>
      </w:r>
      <w:r w:rsidR="00AA120F" w:rsidRPr="004714BC">
        <w:rPr>
          <w:rFonts w:ascii="Times New Roman" w:hAnsi="Times New Roman"/>
          <w:b/>
          <w:color w:val="FF0000"/>
          <w:kern w:val="0"/>
          <w:sz w:val="20"/>
          <w:szCs w:val="20"/>
          <w:highlight w:val="yellow"/>
          <w:bdr w:val="single" w:sz="4" w:space="0" w:color="auto"/>
        </w:rPr>
        <w:t>結</w:t>
      </w:r>
      <w:r w:rsidRPr="004714BC">
        <w:rPr>
          <w:rFonts w:ascii="Times New Roman" w:hAnsi="Times New Roman" w:hint="eastAsia"/>
          <w:b/>
          <w:color w:val="FF0000"/>
          <w:kern w:val="0"/>
          <w:sz w:val="20"/>
          <w:szCs w:val="20"/>
          <w:highlight w:val="yellow"/>
          <w:bdr w:val="single" w:sz="4" w:space="0" w:color="auto"/>
        </w:rPr>
        <w:t>示</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hint="eastAsia"/>
          <w:sz w:val="20"/>
          <w:szCs w:val="20"/>
        </w:rPr>
        <w:t>211</w:t>
      </w:r>
      <w:r w:rsidR="00AA120F" w:rsidRPr="00DA3BC7">
        <w:rPr>
          <w:rFonts w:ascii="Times New Roman" w:hAnsi="Times New Roman"/>
          <w:sz w:val="20"/>
          <w:szCs w:val="20"/>
        </w:rPr>
        <w:t>）</w:t>
      </w:r>
    </w:p>
    <w:p w:rsidR="00AA120F" w:rsidRPr="00DA3BC7" w:rsidRDefault="00AA120F" w:rsidP="008E2BBC">
      <w:pPr>
        <w:widowControl/>
        <w:jc w:val="both"/>
        <w:rPr>
          <w:rFonts w:ascii="Times New Roman" w:hAnsi="Times New Roman"/>
          <w:kern w:val="0"/>
        </w:rPr>
        <w:sectPr w:rsidR="00AA120F" w:rsidRPr="00DA3BC7" w:rsidSect="004F4714">
          <w:headerReference w:type="even" r:id="rId62"/>
          <w:headerReference w:type="default" r:id="rId63"/>
          <w:footnotePr>
            <w:numRestart w:val="eachSect"/>
          </w:footnotePr>
          <w:pgSz w:w="10773" w:h="14742" w:code="155"/>
          <w:pgMar w:top="1418" w:right="1418" w:bottom="1418" w:left="1418" w:header="851" w:footer="992" w:gutter="0"/>
          <w:cols w:space="425"/>
          <w:docGrid w:type="lines" w:linePitch="360"/>
        </w:sectPr>
      </w:pPr>
      <w:r w:rsidRPr="00DA3BC7">
        <w:rPr>
          <w:rFonts w:ascii="Times New Roman" w:hAnsi="Times New Roman"/>
          <w:kern w:val="0"/>
        </w:rPr>
        <w:t>佛法的安立二諦，本為引導眾生從凡入聖、轉迷為悟的，所以應從凡聖二諦的基礎上，一層一層的去深入理解，以達到圓滿的境地。否則高談玄妙，忽略當前的現實，就與玄談</w:t>
      </w:r>
      <w:r w:rsidRPr="00DA3BC7">
        <w:rPr>
          <w:rStyle w:val="a6"/>
          <w:rFonts w:ascii="Times New Roman" w:hAnsi="Times New Roman"/>
          <w:kern w:val="0"/>
        </w:rPr>
        <w:footnoteReference w:id="910"/>
      </w:r>
      <w:r w:rsidRPr="00DA3BC7">
        <w:rPr>
          <w:rFonts w:ascii="Times New Roman" w:hAnsi="Times New Roman"/>
          <w:kern w:val="0"/>
        </w:rPr>
        <w:t>的不切實際相同。</w:t>
      </w:r>
    </w:p>
    <w:p w:rsidR="00AA120F" w:rsidRPr="00DA3BC7" w:rsidRDefault="00AA120F" w:rsidP="008E2BBC">
      <w:pPr>
        <w:pStyle w:val="1"/>
      </w:pPr>
      <w:bookmarkStart w:id="129" w:name="_Toc405499799"/>
      <w:r w:rsidRPr="00DA3BC7">
        <w:rPr>
          <w:rFonts w:hint="eastAsia"/>
        </w:rPr>
        <w:lastRenderedPageBreak/>
        <w:t>第十章、談二諦</w:t>
      </w:r>
      <w:bookmarkEnd w:id="129"/>
    </w:p>
    <w:p w:rsidR="00AA120F" w:rsidRPr="00DA3BC7" w:rsidRDefault="00AA120F" w:rsidP="008E2BBC">
      <w:pPr>
        <w:pStyle w:val="2"/>
      </w:pPr>
      <w:bookmarkStart w:id="130" w:name="_Toc405499800"/>
      <w:r w:rsidRPr="00DA3BC7">
        <w:rPr>
          <w:rFonts w:hint="eastAsia"/>
        </w:rPr>
        <w:t>第二節</w:t>
      </w:r>
      <w:r w:rsidRPr="00DA3BC7">
        <w:t>、</w:t>
      </w:r>
      <w:r w:rsidRPr="00DA3BC7">
        <w:rPr>
          <w:rFonts w:hint="eastAsia"/>
        </w:rPr>
        <w:t>二諦之安立</w:t>
      </w:r>
      <w:bookmarkEnd w:id="130"/>
    </w:p>
    <w:p w:rsidR="00AA120F" w:rsidRPr="00DA3BC7" w:rsidRDefault="00AA120F" w:rsidP="008E2BBC">
      <w:pPr>
        <w:jc w:val="center"/>
        <w:rPr>
          <w:rFonts w:hAnsi="Times New Roman"/>
        </w:rPr>
      </w:pPr>
      <w:r w:rsidRPr="00DA3BC7">
        <w:rPr>
          <w:rFonts w:hint="eastAsia"/>
        </w:rPr>
        <w:t>（</w:t>
      </w:r>
      <w:r w:rsidRPr="00DA3BC7">
        <w:rPr>
          <w:rFonts w:ascii="Times New Roman" w:hAnsi="Times New Roman" w:hint="eastAsia"/>
        </w:rPr>
        <w:t>pp</w:t>
      </w:r>
      <w:r w:rsidRPr="00DA3BC7">
        <w:rPr>
          <w:rFonts w:hint="eastAsia"/>
        </w:rPr>
        <w:t>.</w:t>
      </w:r>
      <w:r w:rsidRPr="00DA3BC7">
        <w:rPr>
          <w:rFonts w:ascii="Times New Roman" w:hAnsi="Times New Roman"/>
        </w:rPr>
        <w:t>211</w:t>
      </w:r>
      <w:r w:rsidRPr="00DA3BC7">
        <w:t>-</w:t>
      </w:r>
      <w:r w:rsidRPr="00DA3BC7">
        <w:rPr>
          <w:rFonts w:ascii="Times New Roman" w:hAnsi="Times New Roman"/>
        </w:rPr>
        <w:t>219</w:t>
      </w:r>
      <w:r w:rsidRPr="00DA3BC7">
        <w:rPr>
          <w:rFonts w:hint="eastAsia"/>
        </w:rPr>
        <w:t>）</w:t>
      </w:r>
    </w:p>
    <w:p w:rsidR="00AA120F" w:rsidRPr="00DA3BC7" w:rsidRDefault="00AA120F" w:rsidP="008E2BBC">
      <w:pPr>
        <w:pStyle w:val="Author"/>
      </w:pPr>
    </w:p>
    <w:p w:rsidR="00EB3FD4" w:rsidRDefault="00AA120F" w:rsidP="00AE3920">
      <w:pPr>
        <w:spacing w:beforeLines="50"/>
        <w:jc w:val="both"/>
        <w:rPr>
          <w:rFonts w:ascii="Times New Roman" w:hAnsi="Times Ext Roman"/>
          <w:b/>
          <w:color w:val="FF0000"/>
          <w:sz w:val="20"/>
          <w:bdr w:val="single" w:sz="4" w:space="0" w:color="auto"/>
        </w:rPr>
      </w:pPr>
      <w:r w:rsidRPr="00EB3FD4">
        <w:rPr>
          <w:rFonts w:ascii="Times New Roman" w:hAnsi="Times Ext Roman" w:hint="eastAsia"/>
          <w:b/>
          <w:color w:val="FF0000"/>
          <w:sz w:val="20"/>
          <w:highlight w:val="yellow"/>
          <w:bdr w:val="single" w:sz="4" w:space="0" w:color="auto"/>
        </w:rPr>
        <w:t>壹、</w:t>
      </w:r>
      <w:r w:rsidR="00EB3FD4" w:rsidRPr="00EB3FD4">
        <w:rPr>
          <w:rFonts w:ascii="Times New Roman" w:hAnsi="Times Ext Roman" w:hint="eastAsia"/>
          <w:b/>
          <w:color w:val="FF0000"/>
          <w:sz w:val="20"/>
          <w:highlight w:val="yellow"/>
          <w:bdr w:val="single" w:sz="4" w:space="0" w:color="auto"/>
        </w:rPr>
        <w:t>導言：徹見中道</w:t>
      </w:r>
      <w:r w:rsidR="00425C49">
        <w:rPr>
          <w:rFonts w:ascii="Times New Roman" w:hAnsi="Times Ext Roman" w:hint="eastAsia"/>
          <w:b/>
          <w:color w:val="FF0000"/>
          <w:sz w:val="20"/>
          <w:highlight w:val="yellow"/>
          <w:bdr w:val="single" w:sz="4" w:space="0" w:color="auto"/>
        </w:rPr>
        <w:t>，</w:t>
      </w:r>
      <w:r w:rsidR="00EB3FD4" w:rsidRPr="00EB3FD4">
        <w:rPr>
          <w:rFonts w:ascii="Times New Roman" w:hAnsi="Times Ext Roman" w:hint="eastAsia"/>
          <w:b/>
          <w:color w:val="FF0000"/>
          <w:sz w:val="20"/>
          <w:highlight w:val="yellow"/>
          <w:bdr w:val="single" w:sz="4" w:space="0" w:color="auto"/>
        </w:rPr>
        <w:t>達空有</w:t>
      </w:r>
      <w:r w:rsidR="00EB3FD4" w:rsidRPr="00DA3BC7">
        <w:rPr>
          <w:rFonts w:ascii="Times New Roman" w:hAnsi="Times New Roman" w:hint="eastAsia"/>
          <w:sz w:val="20"/>
        </w:rPr>
        <w:t>（</w:t>
      </w:r>
      <w:r w:rsidR="00EB3FD4" w:rsidRPr="00DA3BC7">
        <w:rPr>
          <w:rFonts w:ascii="Times New Roman" w:hAnsi="Times New Roman" w:hint="eastAsia"/>
          <w:sz w:val="20"/>
        </w:rPr>
        <w:t>pp.</w:t>
      </w:r>
      <w:r w:rsidR="00EB3FD4" w:rsidRPr="00DA3BC7">
        <w:rPr>
          <w:rFonts w:ascii="Times New Roman" w:hAnsi="Times New Roman"/>
          <w:sz w:val="20"/>
        </w:rPr>
        <w:t>211-212</w:t>
      </w:r>
      <w:r w:rsidR="00EB3FD4" w:rsidRPr="00DA3BC7">
        <w:rPr>
          <w:rFonts w:ascii="Times New Roman" w:hAnsi="Times New Roman" w:hint="eastAsia"/>
          <w:sz w:val="20"/>
        </w:rPr>
        <w:t>）</w:t>
      </w:r>
    </w:p>
    <w:p w:rsidR="00AA120F" w:rsidRPr="00DA3BC7" w:rsidRDefault="00EB3FD4" w:rsidP="006E15B6">
      <w:pPr>
        <w:ind w:leftChars="50" w:left="120"/>
        <w:jc w:val="both"/>
        <w:rPr>
          <w:rFonts w:ascii="Times New Roman" w:hAnsi="Times New Roman"/>
          <w:sz w:val="20"/>
          <w:bdr w:val="single" w:sz="4" w:space="0" w:color="auto"/>
        </w:rPr>
      </w:pPr>
      <w:r w:rsidRPr="00EB3FD4">
        <w:rPr>
          <w:rFonts w:ascii="Times New Roman" w:hAnsi="Times Ext Roman" w:hint="eastAsia"/>
          <w:b/>
          <w:color w:val="FF0000"/>
          <w:sz w:val="20"/>
          <w:highlight w:val="yellow"/>
          <w:bdr w:val="single" w:sz="4" w:space="0" w:color="auto"/>
        </w:rPr>
        <w:t>（壹）依</w:t>
      </w:r>
      <w:r w:rsidR="00AA120F" w:rsidRPr="00EB3FD4">
        <w:rPr>
          <w:rFonts w:ascii="Times New Roman" w:hAnsi="Times Ext Roman" w:hint="eastAsia"/>
          <w:b/>
          <w:color w:val="FF0000"/>
          <w:sz w:val="20"/>
          <w:highlight w:val="yellow"/>
          <w:bdr w:val="single" w:sz="4" w:space="0" w:color="auto"/>
        </w:rPr>
        <w:t>「</w:t>
      </w:r>
      <w:r w:rsidRPr="00EB3FD4">
        <w:rPr>
          <w:rFonts w:ascii="Times New Roman" w:hAnsi="Times Ext Roman" w:hint="eastAsia"/>
          <w:b/>
          <w:color w:val="FF0000"/>
          <w:sz w:val="20"/>
          <w:highlight w:val="yellow"/>
          <w:bdr w:val="single" w:sz="4" w:space="0" w:color="auto"/>
        </w:rPr>
        <w:t>教理</w:t>
      </w:r>
      <w:r w:rsidR="00AA120F" w:rsidRPr="00EB3FD4">
        <w:rPr>
          <w:rFonts w:ascii="Times New Roman" w:hAnsi="Times Ext Roman" w:hint="eastAsia"/>
          <w:b/>
          <w:color w:val="FF0000"/>
          <w:sz w:val="20"/>
          <w:highlight w:val="yellow"/>
          <w:bdr w:val="single" w:sz="4" w:space="0" w:color="auto"/>
        </w:rPr>
        <w:t>」</w:t>
      </w:r>
      <w:r w:rsidRPr="00EB3FD4">
        <w:rPr>
          <w:rFonts w:ascii="Times New Roman" w:hAnsi="Times Ext Roman" w:hint="eastAsia"/>
          <w:b/>
          <w:color w:val="FF0000"/>
          <w:sz w:val="20"/>
          <w:highlight w:val="yellow"/>
          <w:bdr w:val="single" w:sz="4" w:space="0" w:color="auto"/>
        </w:rPr>
        <w:t>明</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211</w:t>
      </w:r>
      <w:r w:rsidR="00AA120F" w:rsidRPr="00DA3BC7">
        <w:rPr>
          <w:rFonts w:ascii="Times New Roman" w:hAnsi="Times New Roman" w:hint="eastAsia"/>
          <w:sz w:val="20"/>
        </w:rPr>
        <w:t>）</w:t>
      </w:r>
    </w:p>
    <w:p w:rsidR="00AA120F" w:rsidRPr="00DA3BC7" w:rsidRDefault="00AA120F" w:rsidP="006E15B6">
      <w:pPr>
        <w:ind w:leftChars="50" w:left="120"/>
        <w:jc w:val="both"/>
      </w:pPr>
      <w:r w:rsidRPr="00DA3BC7">
        <w:rPr>
          <w:rFonts w:hint="eastAsia"/>
        </w:rPr>
        <w:t>從凡聖二諦為本，展轉深入，比較容易悟解，但要以究竟的</w:t>
      </w:r>
      <w:r w:rsidRPr="00525F38">
        <w:rPr>
          <w:rFonts w:hint="eastAsia"/>
          <w:b/>
        </w:rPr>
        <w:t>中道二諦</w:t>
      </w:r>
      <w:r w:rsidRPr="00DA3BC7">
        <w:rPr>
          <w:rFonts w:hint="eastAsia"/>
        </w:rPr>
        <w:t>融貫前前的二諦。</w:t>
      </w:r>
      <w:r w:rsidRPr="00DA3BC7">
        <w:rPr>
          <w:rStyle w:val="a6"/>
          <w:rFonts w:ascii="Times New Roman" w:hAnsi="Times New Roman"/>
          <w:bCs/>
        </w:rPr>
        <w:footnoteReference w:id="911"/>
      </w:r>
    </w:p>
    <w:p w:rsidR="00AA120F" w:rsidRPr="00DA3BC7" w:rsidRDefault="00AA120F" w:rsidP="00AE3920">
      <w:pPr>
        <w:spacing w:beforeLines="20"/>
        <w:ind w:leftChars="50" w:left="120"/>
        <w:jc w:val="both"/>
      </w:pPr>
      <w:r w:rsidRPr="00DA3BC7">
        <w:rPr>
          <w:rFonts w:hint="eastAsia"/>
        </w:rPr>
        <w:t>若株守</w:t>
      </w:r>
      <w:r w:rsidRPr="00DA3BC7">
        <w:rPr>
          <w:rStyle w:val="a6"/>
          <w:rFonts w:ascii="Times New Roman" w:hAnsi="Times New Roman"/>
        </w:rPr>
        <w:footnoteReference w:id="912"/>
      </w:r>
      <w:r w:rsidRPr="00DA3BC7">
        <w:rPr>
          <w:rFonts w:hint="eastAsia"/>
        </w:rPr>
        <w:t>第一種二諦</w:t>
      </w:r>
      <w:r w:rsidRPr="00DA3BC7">
        <w:rPr>
          <w:rStyle w:val="a6"/>
          <w:rFonts w:ascii="Times New Roman" w:hAnsi="Times New Roman"/>
        </w:rPr>
        <w:footnoteReference w:id="913"/>
      </w:r>
      <w:r w:rsidRPr="00DA3BC7">
        <w:rPr>
          <w:rFonts w:hint="eastAsia"/>
        </w:rPr>
        <w:t>，即</w:t>
      </w:r>
      <w:r w:rsidRPr="00DA3BC7">
        <w:rPr>
          <w:rFonts w:hint="eastAsia"/>
          <w:b/>
        </w:rPr>
        <w:t>執有自性不空的世俗</w:t>
      </w:r>
      <w:r w:rsidRPr="00DA3BC7">
        <w:rPr>
          <w:rFonts w:hint="eastAsia"/>
        </w:rPr>
        <w:t>。</w:t>
      </w:r>
    </w:p>
    <w:p w:rsidR="00AA120F" w:rsidRPr="00DA3BC7" w:rsidRDefault="00AA120F" w:rsidP="006E15B6">
      <w:pPr>
        <w:ind w:leftChars="50" w:left="120"/>
        <w:jc w:val="both"/>
      </w:pPr>
      <w:r w:rsidRPr="00DA3BC7">
        <w:rPr>
          <w:rFonts w:hint="eastAsia"/>
        </w:rPr>
        <w:t>若定執第二種二諦</w:t>
      </w:r>
      <w:r w:rsidRPr="00DA3BC7">
        <w:rPr>
          <w:rStyle w:val="a6"/>
          <w:rFonts w:ascii="Times New Roman" w:hAnsi="Times New Roman"/>
        </w:rPr>
        <w:footnoteReference w:id="914"/>
      </w:r>
      <w:r w:rsidRPr="00DA3BC7">
        <w:rPr>
          <w:rFonts w:hint="eastAsia"/>
        </w:rPr>
        <w:t>，即</w:t>
      </w:r>
      <w:r w:rsidRPr="00DA3BC7">
        <w:rPr>
          <w:rFonts w:hint="eastAsia"/>
          <w:b/>
        </w:rPr>
        <w:t>有二諦不能融觀的流弊</w:t>
      </w:r>
      <w:r w:rsidRPr="00DA3BC7">
        <w:rPr>
          <w:rStyle w:val="a6"/>
          <w:rFonts w:ascii="Times New Roman" w:hAnsi="Times New Roman"/>
        </w:rPr>
        <w:footnoteReference w:id="915"/>
      </w:r>
      <w:r w:rsidRPr="00DA3BC7">
        <w:rPr>
          <w:rFonts w:hint="eastAsia"/>
        </w:rPr>
        <w:t>。</w:t>
      </w:r>
    </w:p>
    <w:p w:rsidR="00EB3FD4" w:rsidRPr="00DA3BC7" w:rsidRDefault="00EB3FD4" w:rsidP="00AE3920">
      <w:pPr>
        <w:spacing w:beforeLines="30"/>
        <w:ind w:leftChars="50" w:left="120"/>
        <w:jc w:val="both"/>
        <w:rPr>
          <w:rFonts w:ascii="Times New Roman" w:hAnsi="Times New Roman"/>
          <w:sz w:val="20"/>
          <w:bdr w:val="single" w:sz="4" w:space="0" w:color="auto"/>
        </w:rPr>
      </w:pPr>
      <w:r w:rsidRPr="00EB3FD4">
        <w:rPr>
          <w:rFonts w:ascii="Times New Roman" w:hAnsi="Times Ext Roman" w:hint="eastAsia"/>
          <w:b/>
          <w:color w:val="FF0000"/>
          <w:sz w:val="20"/>
          <w:highlight w:val="yellow"/>
          <w:bdr w:val="single" w:sz="4" w:space="0" w:color="auto"/>
        </w:rPr>
        <w:t>（</w:t>
      </w:r>
      <w:r w:rsidR="006E15B6">
        <w:rPr>
          <w:rFonts w:ascii="Times New Roman" w:hAnsi="Times Ext Roman" w:hint="eastAsia"/>
          <w:b/>
          <w:color w:val="FF0000"/>
          <w:sz w:val="20"/>
          <w:highlight w:val="yellow"/>
          <w:bdr w:val="single" w:sz="4" w:space="0" w:color="auto"/>
        </w:rPr>
        <w:t>貳</w:t>
      </w:r>
      <w:r w:rsidRPr="00EB3FD4">
        <w:rPr>
          <w:rFonts w:ascii="Times New Roman" w:hAnsi="Times Ext Roman" w:hint="eastAsia"/>
          <w:b/>
          <w:color w:val="FF0000"/>
          <w:sz w:val="20"/>
          <w:highlight w:val="yellow"/>
          <w:bdr w:val="single" w:sz="4" w:space="0" w:color="auto"/>
        </w:rPr>
        <w:t>）依「</w:t>
      </w:r>
      <w:r>
        <w:rPr>
          <w:rFonts w:ascii="Times New Roman" w:hAnsi="Times Ext Roman" w:hint="eastAsia"/>
          <w:b/>
          <w:color w:val="FF0000"/>
          <w:sz w:val="20"/>
          <w:highlight w:val="yellow"/>
          <w:bdr w:val="single" w:sz="4" w:space="0" w:color="auto"/>
        </w:rPr>
        <w:t>修證</w:t>
      </w:r>
      <w:r w:rsidRPr="00EB3FD4">
        <w:rPr>
          <w:rFonts w:ascii="Times New Roman" w:hAnsi="Times Ext Roman" w:hint="eastAsia"/>
          <w:b/>
          <w:color w:val="FF0000"/>
          <w:sz w:val="20"/>
          <w:highlight w:val="yellow"/>
          <w:bdr w:val="single" w:sz="4" w:space="0" w:color="auto"/>
        </w:rPr>
        <w:t>」明</w:t>
      </w:r>
      <w:r w:rsidRPr="00DA3BC7">
        <w:rPr>
          <w:rFonts w:ascii="Times New Roman" w:hAnsi="Times New Roman" w:hint="eastAsia"/>
          <w:sz w:val="20"/>
        </w:rPr>
        <w:t>（</w:t>
      </w:r>
      <w:r w:rsidRPr="00DA3BC7">
        <w:rPr>
          <w:rFonts w:ascii="Times New Roman" w:hAnsi="Times New Roman" w:hint="eastAsia"/>
          <w:sz w:val="20"/>
        </w:rPr>
        <w:t>pp.</w:t>
      </w:r>
      <w:r w:rsidRPr="00DA3BC7">
        <w:rPr>
          <w:rFonts w:ascii="Times New Roman" w:hAnsi="Times New Roman"/>
          <w:sz w:val="20"/>
        </w:rPr>
        <w:t>211-212</w:t>
      </w:r>
      <w:r w:rsidRPr="00DA3BC7">
        <w:rPr>
          <w:rFonts w:ascii="Times New Roman" w:hAnsi="Times New Roman" w:hint="eastAsia"/>
          <w:sz w:val="20"/>
        </w:rPr>
        <w:t>）</w:t>
      </w:r>
    </w:p>
    <w:p w:rsidR="00AA120F" w:rsidRPr="00DA3BC7" w:rsidRDefault="00AA120F" w:rsidP="006E15B6">
      <w:pPr>
        <w:ind w:leftChars="50" w:left="120"/>
        <w:jc w:val="both"/>
      </w:pPr>
      <w:r w:rsidRPr="00DA3BC7">
        <w:rPr>
          <w:rFonts w:hint="eastAsia"/>
          <w:b/>
        </w:rPr>
        <w:t>聲聞學者</w:t>
      </w:r>
      <w:r w:rsidRPr="00DA3BC7">
        <w:rPr>
          <w:rFonts w:hint="eastAsia"/>
        </w:rPr>
        <w:t>，雖不了究竟無礙的二諦，但菩薩成佛，則必須悟證方可，所以</w:t>
      </w:r>
      <w:r w:rsidRPr="00DA3BC7">
        <w:rPr>
          <w:rFonts w:hint="eastAsia"/>
          <w:b/>
        </w:rPr>
        <w:t>大乘學者</w:t>
      </w:r>
      <w:r w:rsidRPr="00DA3BC7">
        <w:rPr>
          <w:rFonts w:hint="eastAsia"/>
        </w:rPr>
        <w:t>無不以見中道為成佛。</w:t>
      </w:r>
    </w:p>
    <w:p w:rsidR="00AA120F" w:rsidRPr="00DA3BC7" w:rsidRDefault="00AA120F" w:rsidP="00AE3920">
      <w:pPr>
        <w:spacing w:beforeLines="20"/>
        <w:ind w:leftChars="50" w:left="120"/>
        <w:jc w:val="both"/>
      </w:pPr>
      <w:r w:rsidRPr="00DA3BC7">
        <w:rPr>
          <w:rFonts w:hint="eastAsia"/>
        </w:rPr>
        <w:t>佛所以為佛，即</w:t>
      </w:r>
      <w:r w:rsidRPr="00DA3BC7">
        <w:rPr>
          <w:rFonts w:hint="eastAsia"/>
          <w:b/>
        </w:rPr>
        <w:t>徹見空有的融貫而得其中道，也即是能見不共聲聞的二諦</w:t>
      </w:r>
      <w:r w:rsidRPr="00DA3BC7">
        <w:rPr>
          <w:rFonts w:hint="eastAsia"/>
        </w:rPr>
        <w:t>。</w:t>
      </w:r>
    </w:p>
    <w:p w:rsidR="00AA120F" w:rsidRPr="00DA3BC7" w:rsidRDefault="00AA120F" w:rsidP="00AE3920">
      <w:pPr>
        <w:spacing w:beforeLines="20"/>
        <w:ind w:leftChars="50" w:left="120"/>
        <w:jc w:val="both"/>
      </w:pPr>
      <w:r w:rsidRPr="00DA3BC7">
        <w:rPr>
          <w:rFonts w:hint="eastAsia"/>
        </w:rPr>
        <w:t>《般若經》說：「</w:t>
      </w:r>
      <w:r w:rsidRPr="00DA3BC7">
        <w:rPr>
          <w:rFonts w:ascii="標楷體" w:eastAsia="標楷體" w:hAnsi="標楷體" w:hint="eastAsia"/>
        </w:rPr>
        <w:t>菩薩坐道場時，觀十二緣起如虛空不可盡，是菩薩不共中道妙觀</w:t>
      </w:r>
      <w:r w:rsidRPr="00DA3BC7">
        <w:rPr>
          <w:rFonts w:hint="eastAsia"/>
        </w:rPr>
        <w:t>。」</w:t>
      </w:r>
      <w:r w:rsidRPr="00DA3BC7">
        <w:rPr>
          <w:rStyle w:val="a6"/>
          <w:rFonts w:ascii="Times New Roman" w:hAnsi="Times New Roman"/>
        </w:rPr>
        <w:footnoteReference w:id="916"/>
      </w:r>
      <w:r w:rsidRPr="00DA3BC7">
        <w:rPr>
          <w:rFonts w:hint="eastAsia"/>
        </w:rPr>
        <w:t>緣起畢竟空，而畢竟空寂不礙緣起有。菩薩能「</w:t>
      </w:r>
      <w:r w:rsidRPr="00DA3BC7">
        <w:rPr>
          <w:rFonts w:ascii="標楷體" w:eastAsia="標楷體" w:hAnsi="標楷體" w:hint="eastAsia"/>
        </w:rPr>
        <w:t>不盡有為、不住無為</w:t>
      </w:r>
      <w:r w:rsidRPr="00DA3BC7">
        <w:rPr>
          <w:rFonts w:hint="eastAsia"/>
        </w:rPr>
        <w:t>」，</w:t>
      </w:r>
      <w:r w:rsidR="00525F38" w:rsidRPr="00DA3BC7">
        <w:rPr>
          <w:rStyle w:val="a6"/>
          <w:rFonts w:ascii="Times New Roman" w:hAnsi="Times New Roman"/>
        </w:rPr>
        <w:footnoteReference w:id="917"/>
      </w:r>
      <w:r w:rsidRPr="00DA3BC7">
        <w:rPr>
          <w:rFonts w:hint="eastAsia"/>
        </w:rPr>
        <w:t>悟此即可成佛。學佛者既以佛所悟證為究竟，故應以此為最高的</w:t>
      </w:r>
      <w:r w:rsidRPr="00DA3BC7">
        <w:rPr>
          <w:rFonts w:hint="eastAsia"/>
        </w:rPr>
        <w:lastRenderedPageBreak/>
        <w:t>衡量，於前二種二諦，予以融貫抉擇。</w:t>
      </w:r>
    </w:p>
    <w:p w:rsidR="00AA120F" w:rsidRPr="00DA3BC7" w:rsidRDefault="00AA120F" w:rsidP="00AE3920">
      <w:pPr>
        <w:spacing w:beforeLines="30"/>
        <w:jc w:val="both"/>
        <w:rPr>
          <w:rFonts w:ascii="Times New Roman" w:hAnsi="Times New Roman"/>
          <w:sz w:val="20"/>
          <w:bdr w:val="single" w:sz="4" w:space="0" w:color="auto"/>
        </w:rPr>
      </w:pPr>
      <w:r w:rsidRPr="00EB3FD4">
        <w:rPr>
          <w:rFonts w:ascii="Times New Roman" w:hAnsi="Times Ext Roman" w:hint="eastAsia"/>
          <w:b/>
          <w:color w:val="FF0000"/>
          <w:sz w:val="20"/>
          <w:highlight w:val="yellow"/>
          <w:bdr w:val="single" w:sz="4" w:space="0" w:color="auto"/>
        </w:rPr>
        <w:t>貳、</w:t>
      </w:r>
      <w:r w:rsidR="00EB3FD4" w:rsidRPr="00EB3FD4">
        <w:rPr>
          <w:rFonts w:ascii="Times New Roman" w:hAnsi="Times Ext Roman" w:hint="eastAsia"/>
          <w:b/>
          <w:color w:val="FF0000"/>
          <w:sz w:val="20"/>
          <w:highlight w:val="yellow"/>
          <w:bdr w:val="single" w:sz="4" w:space="0" w:color="auto"/>
        </w:rPr>
        <w:t>正述：二</w:t>
      </w:r>
      <w:r w:rsidR="00EB3FD4">
        <w:rPr>
          <w:rFonts w:ascii="Times New Roman" w:hAnsi="Times Ext Roman" w:hint="eastAsia"/>
          <w:b/>
          <w:color w:val="FF0000"/>
          <w:sz w:val="20"/>
          <w:highlight w:val="yellow"/>
          <w:bdr w:val="single" w:sz="4" w:space="0" w:color="auto"/>
        </w:rPr>
        <w:t>諦</w:t>
      </w:r>
      <w:r w:rsidR="00EB3FD4" w:rsidRPr="00EB3FD4">
        <w:rPr>
          <w:rFonts w:ascii="Times New Roman" w:hAnsi="Times Ext Roman" w:hint="eastAsia"/>
          <w:b/>
          <w:color w:val="FF0000"/>
          <w:sz w:val="20"/>
          <w:highlight w:val="yellow"/>
          <w:bdr w:val="single" w:sz="4" w:space="0" w:color="auto"/>
        </w:rPr>
        <w:t>的安立</w:t>
      </w:r>
      <w:r w:rsidRPr="00DA3BC7">
        <w:rPr>
          <w:rFonts w:ascii="Times New Roman" w:hAnsi="Times New Roman" w:hint="eastAsia"/>
          <w:sz w:val="20"/>
        </w:rPr>
        <w:t>（</w:t>
      </w:r>
      <w:r w:rsidRPr="00DA3BC7">
        <w:rPr>
          <w:rFonts w:ascii="Times New Roman" w:hAnsi="Times New Roman" w:hint="eastAsia"/>
          <w:sz w:val="20"/>
        </w:rPr>
        <w:t>pp.</w:t>
      </w:r>
      <w:r w:rsidRPr="00DA3BC7">
        <w:rPr>
          <w:rFonts w:ascii="Times New Roman" w:hAnsi="Times New Roman"/>
          <w:sz w:val="20"/>
        </w:rPr>
        <w:t>212</w:t>
      </w:r>
      <w:r w:rsidRPr="00DA3BC7">
        <w:rPr>
          <w:rFonts w:ascii="Times New Roman" w:hAnsi="Times New Roman" w:hint="eastAsia"/>
          <w:sz w:val="20"/>
        </w:rPr>
        <w:t>-21</w:t>
      </w:r>
      <w:r w:rsidR="00EB3FD4">
        <w:rPr>
          <w:rFonts w:ascii="Times New Roman" w:hAnsi="Times New Roman" w:hint="eastAsia"/>
          <w:sz w:val="20"/>
        </w:rPr>
        <w:t>9</w:t>
      </w:r>
      <w:r w:rsidRPr="00DA3BC7">
        <w:rPr>
          <w:rFonts w:ascii="Times New Roman" w:hAnsi="Times New Roman" w:hint="eastAsia"/>
          <w:sz w:val="20"/>
        </w:rPr>
        <w:t>）</w:t>
      </w:r>
    </w:p>
    <w:p w:rsidR="00AA120F" w:rsidRPr="00DA3BC7" w:rsidRDefault="00AA120F" w:rsidP="008E2BBC">
      <w:pPr>
        <w:ind w:leftChars="50" w:left="120"/>
        <w:jc w:val="both"/>
        <w:rPr>
          <w:rFonts w:ascii="Times Ext Roman" w:hAnsi="Times Ext Roman" w:cs="Times Ext Roman"/>
          <w:b/>
          <w:sz w:val="20"/>
          <w:bdr w:val="single" w:sz="4" w:space="0" w:color="auto"/>
        </w:rPr>
      </w:pPr>
      <w:r w:rsidRPr="00EB3FD4">
        <w:rPr>
          <w:rFonts w:ascii="Times Ext Roman" w:hAnsi="Times Ext Roman" w:cs="Times Ext Roman" w:hint="eastAsia"/>
          <w:b/>
          <w:color w:val="FF0000"/>
          <w:sz w:val="20"/>
          <w:highlight w:val="yellow"/>
          <w:bdr w:val="single" w:sz="4" w:space="0" w:color="auto"/>
        </w:rPr>
        <w:t>（壹）</w:t>
      </w:r>
      <w:r w:rsidR="00EB3FD4" w:rsidRPr="00EB3FD4">
        <w:rPr>
          <w:rFonts w:ascii="Times Ext Roman" w:hAnsi="Times Ext Roman" w:cs="Times Ext Roman" w:hint="eastAsia"/>
          <w:b/>
          <w:color w:val="FF0000"/>
          <w:sz w:val="20"/>
          <w:highlight w:val="yellow"/>
          <w:bdr w:val="single" w:sz="4" w:space="0" w:color="auto"/>
        </w:rPr>
        <w:t>別明</w:t>
      </w:r>
      <w:r w:rsidRPr="00DA3BC7">
        <w:rPr>
          <w:rFonts w:ascii="Times New Roman" w:hAnsi="Times New Roman" w:hint="eastAsia"/>
          <w:sz w:val="20"/>
        </w:rPr>
        <w:t>（</w:t>
      </w:r>
      <w:r w:rsidRPr="00DA3BC7">
        <w:rPr>
          <w:rFonts w:ascii="Times New Roman" w:hAnsi="Times New Roman" w:hint="eastAsia"/>
          <w:sz w:val="20"/>
        </w:rPr>
        <w:t>p</w:t>
      </w:r>
      <w:r w:rsidR="00EB3FD4" w:rsidRPr="00DA3BC7">
        <w:rPr>
          <w:rFonts w:ascii="Times New Roman" w:hAnsi="Times New Roman" w:hint="eastAsia"/>
          <w:sz w:val="20"/>
        </w:rPr>
        <w:t>p</w:t>
      </w:r>
      <w:r w:rsidRPr="00DA3BC7">
        <w:rPr>
          <w:rFonts w:ascii="Times New Roman" w:hAnsi="Times New Roman" w:hint="eastAsia"/>
          <w:sz w:val="20"/>
        </w:rPr>
        <w:t>.</w:t>
      </w:r>
      <w:r w:rsidRPr="00DA3BC7">
        <w:rPr>
          <w:rFonts w:ascii="Times New Roman" w:hAnsi="Times New Roman"/>
          <w:sz w:val="20"/>
        </w:rPr>
        <w:t>212</w:t>
      </w:r>
      <w:r w:rsidR="00EB3FD4">
        <w:rPr>
          <w:rFonts w:ascii="Times New Roman" w:hAnsi="Times New Roman" w:hint="eastAsia"/>
          <w:sz w:val="20"/>
        </w:rPr>
        <w:t>-219</w:t>
      </w:r>
      <w:r w:rsidRPr="00DA3BC7">
        <w:rPr>
          <w:rFonts w:ascii="Times New Roman" w:hAnsi="Times New Roman" w:hint="eastAsia"/>
          <w:sz w:val="20"/>
        </w:rPr>
        <w:t>）</w:t>
      </w:r>
    </w:p>
    <w:p w:rsidR="00AA120F" w:rsidRDefault="00AA120F" w:rsidP="008E2BBC">
      <w:pPr>
        <w:ind w:leftChars="100" w:left="240"/>
        <w:jc w:val="both"/>
        <w:rPr>
          <w:rFonts w:ascii="Times New Roman" w:hAnsi="Times New Roman"/>
          <w:sz w:val="20"/>
        </w:rPr>
      </w:pPr>
      <w:r w:rsidRPr="00EB3FD4">
        <w:rPr>
          <w:rFonts w:ascii="Times Ext Roman" w:hAnsi="Times Ext Roman" w:cs="Times Ext Roman"/>
          <w:b/>
          <w:color w:val="FF0000"/>
          <w:sz w:val="20"/>
          <w:highlight w:val="yellow"/>
          <w:bdr w:val="single" w:sz="4" w:space="0" w:color="auto"/>
        </w:rPr>
        <w:t>一、</w:t>
      </w:r>
      <w:r w:rsidR="00EB3FD4" w:rsidRPr="00DA3BC7">
        <w:rPr>
          <w:rFonts w:ascii="Times New Roman" w:hAnsi="Times Ext Roman" w:hint="eastAsia"/>
          <w:b/>
          <w:sz w:val="20"/>
          <w:bdr w:val="single" w:sz="4" w:space="0" w:color="auto"/>
        </w:rPr>
        <w:t>明「世俗諦」</w:t>
      </w:r>
      <w:r w:rsidRPr="00DA3BC7">
        <w:rPr>
          <w:rFonts w:ascii="Times New Roman" w:hAnsi="Times New Roman" w:hint="eastAsia"/>
          <w:sz w:val="20"/>
        </w:rPr>
        <w:t>（</w:t>
      </w:r>
      <w:r w:rsidRPr="00DA3BC7">
        <w:rPr>
          <w:rFonts w:ascii="Times New Roman" w:hAnsi="Times New Roman" w:hint="eastAsia"/>
          <w:sz w:val="20"/>
        </w:rPr>
        <w:t>p</w:t>
      </w:r>
      <w:r w:rsidR="00EB3FD4" w:rsidRPr="00DA3BC7">
        <w:rPr>
          <w:rFonts w:ascii="Times New Roman" w:hAnsi="Times New Roman" w:hint="eastAsia"/>
          <w:sz w:val="20"/>
        </w:rPr>
        <w:t>p</w:t>
      </w:r>
      <w:r w:rsidRPr="00DA3BC7">
        <w:rPr>
          <w:rFonts w:ascii="Times New Roman" w:hAnsi="Times New Roman" w:hint="eastAsia"/>
          <w:sz w:val="20"/>
        </w:rPr>
        <w:t>.</w:t>
      </w:r>
      <w:r w:rsidRPr="00DA3BC7">
        <w:rPr>
          <w:rFonts w:ascii="Times New Roman" w:hAnsi="Times New Roman"/>
          <w:sz w:val="20"/>
        </w:rPr>
        <w:t>212</w:t>
      </w:r>
      <w:r w:rsidR="00EB3FD4" w:rsidRPr="00DA3BC7">
        <w:rPr>
          <w:rFonts w:ascii="Times New Roman" w:hAnsi="Times New Roman" w:hint="eastAsia"/>
          <w:sz w:val="20"/>
        </w:rPr>
        <w:t>-218</w:t>
      </w:r>
      <w:r w:rsidRPr="00DA3BC7">
        <w:rPr>
          <w:rFonts w:ascii="Times New Roman" w:hAnsi="Times New Roman" w:hint="eastAsia"/>
          <w:sz w:val="20"/>
        </w:rPr>
        <w:t>）</w:t>
      </w:r>
    </w:p>
    <w:p w:rsidR="00EB3FD4" w:rsidRPr="00DA3BC7" w:rsidRDefault="00EB3FD4" w:rsidP="00EB3FD4">
      <w:pPr>
        <w:ind w:leftChars="100" w:left="240"/>
        <w:jc w:val="both"/>
      </w:pPr>
      <w:r w:rsidRPr="00DA3BC7">
        <w:rPr>
          <w:rFonts w:hint="eastAsia"/>
        </w:rPr>
        <w:t>先說</w:t>
      </w:r>
      <w:r w:rsidRPr="00525F38">
        <w:rPr>
          <w:rFonts w:hint="eastAsia"/>
          <w:b/>
          <w:u w:val="wave" w:color="C00000"/>
        </w:rPr>
        <w:t>世俗諦</w:t>
      </w:r>
      <w:r w:rsidRPr="00DA3BC7">
        <w:rPr>
          <w:rFonts w:hint="eastAsia"/>
        </w:rPr>
        <w:t>義。</w:t>
      </w:r>
    </w:p>
    <w:p w:rsidR="00EB3FD4" w:rsidRDefault="00EB3FD4" w:rsidP="008E2BBC">
      <w:pPr>
        <w:ind w:leftChars="100" w:left="240"/>
        <w:jc w:val="both"/>
      </w:pPr>
      <w:r w:rsidRPr="00525F38">
        <w:rPr>
          <w:rFonts w:hint="eastAsia"/>
          <w:b/>
          <w:u w:val="wave" w:color="C00000"/>
        </w:rPr>
        <w:t>諦</w:t>
      </w:r>
      <w:r w:rsidRPr="00DA3BC7">
        <w:rPr>
          <w:rFonts w:hint="eastAsia"/>
        </w:rPr>
        <w:t>，</w:t>
      </w:r>
      <w:r w:rsidRPr="00DA3BC7">
        <w:rPr>
          <w:rFonts w:hint="eastAsia"/>
          <w:b/>
        </w:rPr>
        <w:t>諦實</w:t>
      </w:r>
      <w:r w:rsidRPr="00DA3BC7">
        <w:rPr>
          <w:rFonts w:hint="eastAsia"/>
        </w:rPr>
        <w:t>義。</w:t>
      </w:r>
    </w:p>
    <w:p w:rsidR="00EB3FD4" w:rsidRDefault="00EB3FD4" w:rsidP="006E15B6">
      <w:pPr>
        <w:ind w:leftChars="150" w:left="360"/>
        <w:jc w:val="both"/>
        <w:rPr>
          <w:rFonts w:ascii="Times New Roman" w:hAnsi="Times New Roman"/>
          <w:sz w:val="20"/>
        </w:rPr>
      </w:pPr>
      <w:r w:rsidRPr="00EB3FD4">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一</w:t>
      </w:r>
      <w:r w:rsidRPr="00EB3FD4">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約「凡聖心境」辨</w:t>
      </w:r>
      <w:r w:rsidRPr="00DA3BC7">
        <w:rPr>
          <w:rFonts w:ascii="Times New Roman" w:hAnsi="Times New Roman" w:hint="eastAsia"/>
          <w:sz w:val="20"/>
        </w:rPr>
        <w:t>（</w:t>
      </w:r>
      <w:r w:rsidRPr="00DA3BC7">
        <w:rPr>
          <w:rFonts w:ascii="Times New Roman" w:hAnsi="Times New Roman" w:hint="eastAsia"/>
          <w:sz w:val="20"/>
        </w:rPr>
        <w:t>pp.</w:t>
      </w:r>
      <w:r w:rsidRPr="00DA3BC7">
        <w:rPr>
          <w:rFonts w:ascii="Times New Roman" w:hAnsi="Times New Roman"/>
          <w:sz w:val="20"/>
        </w:rPr>
        <w:t>212</w:t>
      </w:r>
      <w:r>
        <w:rPr>
          <w:rFonts w:ascii="Times New Roman" w:hAnsi="Times New Roman" w:hint="eastAsia"/>
          <w:sz w:val="20"/>
        </w:rPr>
        <w:t>-213</w:t>
      </w:r>
      <w:r w:rsidRPr="00DA3BC7">
        <w:rPr>
          <w:rFonts w:ascii="Times New Roman" w:hAnsi="Times New Roman" w:hint="eastAsia"/>
          <w:sz w:val="20"/>
        </w:rPr>
        <w:t>）</w:t>
      </w:r>
    </w:p>
    <w:p w:rsidR="00EB3FD4" w:rsidRPr="00EB3FD4" w:rsidRDefault="00EB3FD4" w:rsidP="006E15B6">
      <w:pPr>
        <w:ind w:leftChars="200" w:left="480"/>
        <w:jc w:val="both"/>
        <w:rPr>
          <w:rFonts w:ascii="Times Ext Roman" w:hAnsi="Times Ext Roman" w:cs="Times Ext Roman"/>
          <w:b/>
          <w:color w:val="FF0000"/>
          <w:sz w:val="20"/>
          <w:highlight w:val="yellow"/>
          <w:bdr w:val="single" w:sz="4" w:space="0" w:color="auto"/>
        </w:rPr>
      </w:pPr>
      <w:r w:rsidRPr="00EB3FD4">
        <w:rPr>
          <w:rFonts w:ascii="Times Ext Roman" w:hAnsi="Times Ext Roman" w:cs="Times Ext Roman" w:hint="eastAsia"/>
          <w:b/>
          <w:color w:val="FF0000"/>
          <w:sz w:val="20"/>
          <w:highlight w:val="yellow"/>
          <w:bdr w:val="single" w:sz="4" w:space="0" w:color="auto"/>
        </w:rPr>
        <w:t>1</w:t>
      </w:r>
      <w:r w:rsidRPr="00EB3FD4">
        <w:rPr>
          <w:rFonts w:ascii="Times Ext Roman" w:hAnsi="Times Ext Roman" w:cs="Times Ext Roman" w:hint="eastAsia"/>
          <w:b/>
          <w:color w:val="FF0000"/>
          <w:sz w:val="20"/>
          <w:highlight w:val="yellow"/>
          <w:bdr w:val="single" w:sz="4" w:space="0" w:color="auto"/>
        </w:rPr>
        <w:t>、於凡稱「諦」，於聖則非［實有真空］</w:t>
      </w:r>
      <w:r w:rsidRPr="00DA3BC7">
        <w:rPr>
          <w:rFonts w:ascii="Times New Roman" w:hAnsi="Times New Roman" w:hint="eastAsia"/>
          <w:sz w:val="20"/>
        </w:rPr>
        <w:t>（</w:t>
      </w:r>
      <w:r w:rsidRPr="00DA3BC7">
        <w:rPr>
          <w:rFonts w:ascii="Times New Roman" w:hAnsi="Times New Roman" w:hint="eastAsia"/>
          <w:sz w:val="20"/>
        </w:rPr>
        <w:t>p.</w:t>
      </w:r>
      <w:r>
        <w:rPr>
          <w:rFonts w:ascii="Times New Roman" w:hAnsi="Times New Roman"/>
          <w:sz w:val="20"/>
        </w:rPr>
        <w:t>21</w:t>
      </w:r>
      <w:r>
        <w:rPr>
          <w:rFonts w:ascii="Times New Roman" w:hAnsi="Times New Roman" w:hint="eastAsia"/>
          <w:sz w:val="20"/>
        </w:rPr>
        <w:t>2</w:t>
      </w:r>
      <w:r w:rsidRPr="00DA3BC7">
        <w:rPr>
          <w:rFonts w:ascii="Times New Roman" w:hAnsi="Times New Roman" w:hint="eastAsia"/>
          <w:sz w:val="20"/>
        </w:rPr>
        <w:t>）</w:t>
      </w:r>
    </w:p>
    <w:p w:rsidR="00AA120F" w:rsidRPr="00DA3BC7" w:rsidRDefault="00AA120F" w:rsidP="006E15B6">
      <w:pPr>
        <w:ind w:leftChars="200" w:left="480"/>
        <w:jc w:val="both"/>
      </w:pPr>
      <w:r w:rsidRPr="00DA3BC7">
        <w:rPr>
          <w:rFonts w:hint="eastAsia"/>
        </w:rPr>
        <w:t>從凡聖二諦說，「</w:t>
      </w:r>
      <w:r w:rsidRPr="00525F38">
        <w:rPr>
          <w:rFonts w:ascii="標楷體" w:eastAsia="標楷體" w:hAnsi="標楷體" w:hint="eastAsia"/>
        </w:rPr>
        <w:t>無明覆障故世俗</w:t>
      </w:r>
      <w:r w:rsidRPr="00DA3BC7">
        <w:rPr>
          <w:rFonts w:hint="eastAsia"/>
        </w:rPr>
        <w:t>」。</w:t>
      </w:r>
      <w:r w:rsidR="00525F38" w:rsidRPr="00DA3BC7">
        <w:rPr>
          <w:rStyle w:val="a6"/>
          <w:rFonts w:ascii="Times New Roman" w:hAnsi="Times New Roman"/>
        </w:rPr>
        <w:footnoteReference w:id="918"/>
      </w:r>
    </w:p>
    <w:p w:rsidR="00AA120F" w:rsidRPr="00DA3BC7" w:rsidRDefault="00AA120F" w:rsidP="00AE3920">
      <w:pPr>
        <w:spacing w:beforeLines="20"/>
        <w:ind w:leftChars="200" w:left="480"/>
        <w:jc w:val="both"/>
      </w:pPr>
      <w:r w:rsidRPr="00DA3BC7">
        <w:rPr>
          <w:rFonts w:hint="eastAsia"/>
          <w:b/>
        </w:rPr>
        <w:lastRenderedPageBreak/>
        <w:t>眾生</w:t>
      </w:r>
      <w:r w:rsidRPr="00DA3BC7">
        <w:rPr>
          <w:rFonts w:hint="eastAsia"/>
        </w:rPr>
        <w:t>無始以來，有無明故，執一切法有自性，以為一切法都是真實自性有的。依此，</w:t>
      </w:r>
      <w:r w:rsidRPr="00DA3BC7">
        <w:rPr>
          <w:rFonts w:hint="eastAsia"/>
          <w:b/>
        </w:rPr>
        <w:t>世俗有的，於凡夫而稱為諦</w:t>
      </w:r>
      <w:r w:rsidRPr="00DA3BC7">
        <w:rPr>
          <w:rFonts w:hint="eastAsia"/>
        </w:rPr>
        <w:t>；</w:t>
      </w:r>
    </w:p>
    <w:p w:rsidR="00AA120F" w:rsidRPr="00DA3BC7" w:rsidRDefault="00AA120F" w:rsidP="00AE3920">
      <w:pPr>
        <w:spacing w:beforeLines="20"/>
        <w:ind w:leftChars="200" w:left="480"/>
        <w:jc w:val="both"/>
      </w:pPr>
      <w:r w:rsidRPr="00DA3BC7">
        <w:rPr>
          <w:rFonts w:hint="eastAsia"/>
          <w:b/>
        </w:rPr>
        <w:t>聖者能通達如幻假名，即世俗而非諦</w:t>
      </w:r>
      <w:r w:rsidRPr="00DA3BC7">
        <w:rPr>
          <w:rFonts w:hint="eastAsia"/>
        </w:rPr>
        <w:t>，因為世俗的事相都是顛倒虛妄的，不能稱之為諦。</w:t>
      </w:r>
    </w:p>
    <w:p w:rsidR="00AA120F" w:rsidRPr="00DA3BC7" w:rsidRDefault="00AA120F" w:rsidP="00AE3920">
      <w:pPr>
        <w:spacing w:beforeLines="20"/>
        <w:ind w:leftChars="200" w:left="480"/>
        <w:jc w:val="both"/>
      </w:pPr>
      <w:r w:rsidRPr="00DA3BC7">
        <w:rPr>
          <w:rFonts w:hint="eastAsia"/>
        </w:rPr>
        <w:t>此世俗諦，可通於</w:t>
      </w:r>
      <w:r w:rsidRPr="00DA3BC7">
        <w:rPr>
          <w:rFonts w:hint="eastAsia"/>
          <w:b/>
        </w:rPr>
        <w:t>「實有真空」</w:t>
      </w:r>
      <w:r w:rsidRPr="00DA3BC7">
        <w:rPr>
          <w:rFonts w:hint="eastAsia"/>
        </w:rPr>
        <w:t>的思想。</w:t>
      </w:r>
    </w:p>
    <w:p w:rsidR="00AA120F" w:rsidRPr="00DA3BC7" w:rsidRDefault="00EB3FD4" w:rsidP="00AE3920">
      <w:pPr>
        <w:spacing w:beforeLines="30"/>
        <w:ind w:leftChars="200" w:left="480"/>
        <w:jc w:val="both"/>
        <w:rPr>
          <w:rFonts w:ascii="Times Ext Roman" w:hAnsi="Times Ext Roman" w:cs="Times Ext Roman"/>
          <w:b/>
          <w:sz w:val="20"/>
          <w:bdr w:val="single" w:sz="4" w:space="0" w:color="auto"/>
        </w:rPr>
      </w:pPr>
      <w:r w:rsidRPr="00EB3FD4">
        <w:rPr>
          <w:rFonts w:ascii="Times Ext Roman" w:hAnsi="Times Ext Roman" w:cs="Times Ext Roman" w:hint="eastAsia"/>
          <w:b/>
          <w:color w:val="FF0000"/>
          <w:sz w:val="20"/>
          <w:highlight w:val="yellow"/>
          <w:bdr w:val="single" w:sz="4" w:space="0" w:color="auto"/>
        </w:rPr>
        <w:t>2</w:t>
      </w:r>
      <w:r w:rsidR="00AA120F" w:rsidRPr="00EB3FD4">
        <w:rPr>
          <w:rFonts w:ascii="Times Ext Roman" w:hAnsi="Times Ext Roman" w:cs="Times Ext Roman"/>
          <w:b/>
          <w:color w:val="FF0000"/>
          <w:sz w:val="20"/>
          <w:highlight w:val="yellow"/>
          <w:bdr w:val="single" w:sz="4" w:space="0" w:color="auto"/>
        </w:rPr>
        <w:t>、</w:t>
      </w:r>
      <w:r w:rsidRPr="00EB3FD4">
        <w:rPr>
          <w:rFonts w:ascii="Times Ext Roman" w:hAnsi="Times Ext Roman" w:cs="Times Ext Roman" w:hint="eastAsia"/>
          <w:b/>
          <w:color w:val="FF0000"/>
          <w:sz w:val="20"/>
          <w:highlight w:val="yellow"/>
          <w:bdr w:val="single" w:sz="4" w:space="0" w:color="auto"/>
        </w:rPr>
        <w:t>於</w:t>
      </w:r>
      <w:r w:rsidR="00AA120F" w:rsidRPr="00EB3FD4">
        <w:rPr>
          <w:rFonts w:ascii="Times Ext Roman" w:hAnsi="Times Ext Roman" w:cs="Times Ext Roman" w:hint="eastAsia"/>
          <w:b/>
          <w:color w:val="FF0000"/>
          <w:sz w:val="20"/>
          <w:highlight w:val="yellow"/>
          <w:bdr w:val="single" w:sz="4" w:space="0" w:color="auto"/>
        </w:rPr>
        <w:t>凡</w:t>
      </w:r>
      <w:r w:rsidRPr="00EB3FD4">
        <w:rPr>
          <w:rFonts w:ascii="Times Ext Roman" w:hAnsi="Times Ext Roman" w:cs="Times Ext Roman" w:hint="eastAsia"/>
          <w:b/>
          <w:color w:val="FF0000"/>
          <w:sz w:val="20"/>
          <w:highlight w:val="yellow"/>
          <w:bdr w:val="single" w:sz="4" w:space="0" w:color="auto"/>
        </w:rPr>
        <w:t>於</w:t>
      </w:r>
      <w:r w:rsidR="00AA120F" w:rsidRPr="00EB3FD4">
        <w:rPr>
          <w:rFonts w:ascii="Times Ext Roman" w:hAnsi="Times Ext Roman" w:cs="Times Ext Roman" w:hint="eastAsia"/>
          <w:b/>
          <w:color w:val="FF0000"/>
          <w:sz w:val="20"/>
          <w:highlight w:val="yellow"/>
          <w:bdr w:val="single" w:sz="4" w:space="0" w:color="auto"/>
        </w:rPr>
        <w:t>聖</w:t>
      </w:r>
      <w:r w:rsidRPr="00EB3FD4">
        <w:rPr>
          <w:rFonts w:ascii="Times Ext Roman" w:hAnsi="Times Ext Roman" w:cs="Times Ext Roman" w:hint="eastAsia"/>
          <w:b/>
          <w:color w:val="FF0000"/>
          <w:sz w:val="20"/>
          <w:highlight w:val="yellow"/>
          <w:bdr w:val="single" w:sz="4" w:space="0" w:color="auto"/>
        </w:rPr>
        <w:t>皆</w:t>
      </w:r>
      <w:r w:rsidR="00AA120F" w:rsidRPr="00EB3FD4">
        <w:rPr>
          <w:rFonts w:ascii="Times Ext Roman" w:hAnsi="Times Ext Roman" w:cs="Times Ext Roman" w:hint="eastAsia"/>
          <w:b/>
          <w:color w:val="FF0000"/>
          <w:sz w:val="20"/>
          <w:highlight w:val="yellow"/>
          <w:bdr w:val="single" w:sz="4" w:space="0" w:color="auto"/>
        </w:rPr>
        <w:t>名</w:t>
      </w:r>
      <w:r w:rsidRPr="00EB3FD4">
        <w:rPr>
          <w:rFonts w:ascii="Times Ext Roman" w:hAnsi="Times Ext Roman" w:cs="Times Ext Roman" w:hint="eastAsia"/>
          <w:b/>
          <w:color w:val="FF0000"/>
          <w:sz w:val="20"/>
          <w:highlight w:val="yellow"/>
          <w:bdr w:val="single" w:sz="4" w:space="0" w:color="auto"/>
        </w:rPr>
        <w:t>「</w:t>
      </w:r>
      <w:r w:rsidR="00AA120F" w:rsidRPr="00EB3FD4">
        <w:rPr>
          <w:rFonts w:ascii="Times Ext Roman" w:hAnsi="Times Ext Roman" w:cs="Times Ext Roman" w:hint="eastAsia"/>
          <w:b/>
          <w:color w:val="FF0000"/>
          <w:sz w:val="20"/>
          <w:highlight w:val="yellow"/>
          <w:bdr w:val="single" w:sz="4" w:space="0" w:color="auto"/>
        </w:rPr>
        <w:t>諦</w:t>
      </w:r>
      <w:r w:rsidRPr="00EB3FD4">
        <w:rPr>
          <w:rFonts w:ascii="Times Ext Roman" w:hAnsi="Times Ext Roman" w:cs="Times Ext Roman" w:hint="eastAsia"/>
          <w:b/>
          <w:color w:val="FF0000"/>
          <w:sz w:val="20"/>
          <w:highlight w:val="yellow"/>
          <w:bdr w:val="single" w:sz="4" w:space="0" w:color="auto"/>
        </w:rPr>
        <w:t>」［幻有真空］</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212</w:t>
      </w:r>
      <w:r w:rsidR="00AA120F" w:rsidRPr="00DA3BC7">
        <w:rPr>
          <w:rFonts w:ascii="Times New Roman" w:hAnsi="Times New Roman" w:hint="eastAsia"/>
          <w:sz w:val="20"/>
        </w:rPr>
        <w:t>）</w:t>
      </w:r>
    </w:p>
    <w:p w:rsidR="00AA120F" w:rsidRPr="00DA3BC7" w:rsidRDefault="00AA120F" w:rsidP="006E15B6">
      <w:pPr>
        <w:ind w:leftChars="200" w:left="480"/>
        <w:jc w:val="both"/>
      </w:pPr>
      <w:r w:rsidRPr="00DA3BC7">
        <w:rPr>
          <w:rFonts w:hint="eastAsia"/>
        </w:rPr>
        <w:t>但諦的真實義，不一定是這樣的。《阿含經》說四聖諦，</w:t>
      </w:r>
      <w:r w:rsidRPr="00DA3BC7">
        <w:rPr>
          <w:rFonts w:hint="eastAsia"/>
          <w:b/>
        </w:rPr>
        <w:t>諦即如實不顛倒</w:t>
      </w:r>
      <w:r w:rsidRPr="00DA3BC7">
        <w:rPr>
          <w:rFonts w:hint="eastAsia"/>
        </w:rPr>
        <w:t>。</w:t>
      </w:r>
      <w:r w:rsidRPr="00DA3BC7">
        <w:rPr>
          <w:rStyle w:val="a6"/>
          <w:rFonts w:ascii="Times New Roman" w:hAnsi="Times New Roman"/>
        </w:rPr>
        <w:footnoteReference w:id="919"/>
      </w:r>
      <w:r w:rsidRPr="00DA3BC7">
        <w:rPr>
          <w:rFonts w:hint="eastAsia"/>
        </w:rPr>
        <w:t>若以如實而名諦，那麼</w:t>
      </w:r>
      <w:r w:rsidRPr="00DA3BC7">
        <w:rPr>
          <w:rFonts w:hint="eastAsia"/>
          <w:b/>
        </w:rPr>
        <w:t>「幻有真空」、「妙有真空」</w:t>
      </w:r>
      <w:r w:rsidRPr="00DA3BC7">
        <w:rPr>
          <w:rFonts w:hint="eastAsia"/>
        </w:rPr>
        <w:t>的俗有，仍不失其為諦。</w:t>
      </w:r>
    </w:p>
    <w:p w:rsidR="00AA120F" w:rsidRPr="00DA3BC7" w:rsidRDefault="00AA120F" w:rsidP="00AE3920">
      <w:pPr>
        <w:spacing w:beforeLines="20"/>
        <w:ind w:leftChars="200" w:left="480"/>
        <w:jc w:val="both"/>
      </w:pPr>
      <w:r w:rsidRPr="00DA3BC7">
        <w:rPr>
          <w:rFonts w:hint="eastAsia"/>
        </w:rPr>
        <w:t>故</w:t>
      </w:r>
      <w:r w:rsidRPr="00DA3BC7">
        <w:rPr>
          <w:rFonts w:hint="eastAsia"/>
          <w:b/>
        </w:rPr>
        <w:t>約凡情的諦執說，無明實執為諦；約如實知世俗說，聖者世俗也可名為諦</w:t>
      </w:r>
      <w:r w:rsidRPr="00DA3BC7">
        <w:rPr>
          <w:rFonts w:hint="eastAsia"/>
        </w:rPr>
        <w:t>。</w:t>
      </w:r>
    </w:p>
    <w:p w:rsidR="00AA120F" w:rsidRPr="00DA3BC7" w:rsidRDefault="00EB3FD4" w:rsidP="00AE3920">
      <w:pPr>
        <w:spacing w:beforeLines="30"/>
        <w:ind w:leftChars="200" w:left="480"/>
        <w:jc w:val="both"/>
        <w:rPr>
          <w:rFonts w:ascii="Times Ext Roman" w:hAnsi="Times Ext Roman" w:cs="Times Ext Roman"/>
          <w:b/>
          <w:sz w:val="20"/>
          <w:bdr w:val="single" w:sz="4" w:space="0" w:color="auto"/>
        </w:rPr>
      </w:pPr>
      <w:r w:rsidRPr="00EB3FD4">
        <w:rPr>
          <w:rFonts w:ascii="Times Ext Roman" w:hAnsi="Times Ext Roman" w:cs="Times Ext Roman" w:hint="eastAsia"/>
          <w:b/>
          <w:color w:val="FF0000"/>
          <w:sz w:val="20"/>
          <w:highlight w:val="yellow"/>
          <w:bdr w:val="single" w:sz="4" w:space="0" w:color="auto"/>
        </w:rPr>
        <w:t>3</w:t>
      </w:r>
      <w:r w:rsidRPr="00EB3FD4">
        <w:rPr>
          <w:rFonts w:ascii="Times Ext Roman" w:hAnsi="Times Ext Roman" w:cs="Times Ext Roman" w:hint="eastAsia"/>
          <w:b/>
          <w:color w:val="FF0000"/>
          <w:sz w:val="20"/>
          <w:highlight w:val="yellow"/>
          <w:bdr w:val="single" w:sz="4" w:space="0" w:color="auto"/>
        </w:rPr>
        <w:t>、特約「凡位所識」而論</w:t>
      </w:r>
      <w:r w:rsidR="00AA120F" w:rsidRPr="00DA3BC7">
        <w:rPr>
          <w:rFonts w:ascii="Times New Roman" w:hAnsi="Times New Roman" w:hint="eastAsia"/>
          <w:sz w:val="20"/>
        </w:rPr>
        <w:t>（</w:t>
      </w:r>
      <w:r w:rsidR="00AA120F" w:rsidRPr="00DA3BC7">
        <w:rPr>
          <w:rFonts w:ascii="Times New Roman" w:hAnsi="Times New Roman" w:hint="eastAsia"/>
          <w:sz w:val="20"/>
        </w:rPr>
        <w:t>pp.</w:t>
      </w:r>
      <w:r w:rsidR="00AA120F" w:rsidRPr="00DA3BC7">
        <w:rPr>
          <w:rFonts w:ascii="Times New Roman" w:hAnsi="Times New Roman"/>
          <w:sz w:val="20"/>
        </w:rPr>
        <w:t>212-213</w:t>
      </w:r>
      <w:r w:rsidR="00AA120F" w:rsidRPr="00DA3BC7">
        <w:rPr>
          <w:rFonts w:ascii="Times New Roman" w:hAnsi="Times New Roman" w:hint="eastAsia"/>
          <w:sz w:val="20"/>
        </w:rPr>
        <w:t>）</w:t>
      </w:r>
    </w:p>
    <w:p w:rsidR="00EB3FD4" w:rsidRPr="00DA3BC7" w:rsidRDefault="00EB3FD4" w:rsidP="006E15B6">
      <w:pPr>
        <w:ind w:leftChars="250" w:left="600"/>
        <w:jc w:val="both"/>
        <w:rPr>
          <w:rFonts w:ascii="Times Ext Roman" w:hAnsi="Times Ext Roman" w:cs="Times Ext Roman"/>
          <w:b/>
          <w:sz w:val="20"/>
          <w:bdr w:val="single" w:sz="4" w:space="0" w:color="auto"/>
        </w:rPr>
      </w:pPr>
      <w:r w:rsidRPr="00EB3FD4">
        <w:rPr>
          <w:rFonts w:ascii="Times Ext Roman" w:hAnsi="Times Ext Roman" w:cs="Times Ext Roman" w:hint="eastAsia"/>
          <w:b/>
          <w:color w:val="FF0000"/>
          <w:sz w:val="20"/>
          <w:highlight w:val="yellow"/>
          <w:bdr w:val="single" w:sz="4" w:space="0" w:color="auto"/>
        </w:rPr>
        <w:t>（</w:t>
      </w:r>
      <w:r w:rsidRPr="00EB3FD4">
        <w:rPr>
          <w:rFonts w:ascii="Times Ext Roman" w:hAnsi="Times Ext Roman" w:cs="Times Ext Roman" w:hint="eastAsia"/>
          <w:b/>
          <w:color w:val="FF0000"/>
          <w:sz w:val="20"/>
          <w:highlight w:val="yellow"/>
          <w:bdr w:val="single" w:sz="4" w:space="0" w:color="auto"/>
        </w:rPr>
        <w:t>1</w:t>
      </w:r>
      <w:r w:rsidRPr="00EB3FD4">
        <w:rPr>
          <w:rFonts w:ascii="Times Ext Roman" w:hAnsi="Times Ext Roman" w:cs="Times Ext Roman" w:hint="eastAsia"/>
          <w:b/>
          <w:color w:val="FF0000"/>
          <w:sz w:val="20"/>
          <w:highlight w:val="yellow"/>
          <w:bdr w:val="single" w:sz="4" w:space="0" w:color="auto"/>
        </w:rPr>
        <w:t>）正述</w:t>
      </w:r>
      <w:r w:rsidRPr="00DA3BC7">
        <w:rPr>
          <w:rFonts w:ascii="Times New Roman" w:hAnsi="Times New Roman" w:hint="eastAsia"/>
          <w:sz w:val="20"/>
        </w:rPr>
        <w:t>（</w:t>
      </w:r>
      <w:r w:rsidRPr="00DA3BC7">
        <w:rPr>
          <w:rFonts w:ascii="Times New Roman" w:hAnsi="Times New Roman" w:hint="eastAsia"/>
          <w:sz w:val="20"/>
        </w:rPr>
        <w:t>pp.</w:t>
      </w:r>
      <w:r w:rsidRPr="00DA3BC7">
        <w:rPr>
          <w:rFonts w:ascii="Times New Roman" w:hAnsi="Times New Roman"/>
          <w:sz w:val="20"/>
        </w:rPr>
        <w:t>212-213</w:t>
      </w:r>
      <w:r w:rsidRPr="00DA3BC7">
        <w:rPr>
          <w:rFonts w:ascii="Times New Roman" w:hAnsi="Times New Roman" w:hint="eastAsia"/>
          <w:sz w:val="20"/>
        </w:rPr>
        <w:t>）</w:t>
      </w:r>
    </w:p>
    <w:p w:rsidR="00AA120F" w:rsidRPr="00DA3BC7" w:rsidRDefault="00EB3FD4" w:rsidP="006E15B6">
      <w:pPr>
        <w:ind w:leftChars="300" w:left="720"/>
        <w:jc w:val="both"/>
        <w:rPr>
          <w:rFonts w:ascii="Times Ext Roman" w:hAnsi="Times Ext Roman" w:cs="Times Ext Roman"/>
          <w:b/>
          <w:sz w:val="20"/>
          <w:bdr w:val="single" w:sz="4" w:space="0" w:color="auto"/>
        </w:rPr>
      </w:pPr>
      <w:r w:rsidRPr="00EB3FD4">
        <w:rPr>
          <w:rFonts w:ascii="Times Ext Roman" w:hAnsi="Times Ext Roman" w:cs="Times Ext Roman" w:hint="eastAsia"/>
          <w:b/>
          <w:color w:val="FF0000"/>
          <w:sz w:val="20"/>
          <w:highlight w:val="yellow"/>
          <w:bdr w:val="single" w:sz="4" w:space="0" w:color="auto"/>
        </w:rPr>
        <w:t>A</w:t>
      </w:r>
      <w:r w:rsidR="00AA120F" w:rsidRPr="00EB3FD4">
        <w:rPr>
          <w:rFonts w:ascii="Times Ext Roman" w:hAnsi="Times Ext Roman" w:cs="Times Ext Roman"/>
          <w:b/>
          <w:color w:val="FF0000"/>
          <w:sz w:val="20"/>
          <w:highlight w:val="yellow"/>
          <w:bdr w:val="single" w:sz="4" w:space="0" w:color="auto"/>
        </w:rPr>
        <w:t>、</w:t>
      </w:r>
      <w:r w:rsidRPr="00EB3FD4">
        <w:rPr>
          <w:rFonts w:ascii="Times Ext Roman" w:hAnsi="Times Ext Roman" w:cs="Times Ext Roman" w:hint="eastAsia"/>
          <w:b/>
          <w:color w:val="FF0000"/>
          <w:sz w:val="20"/>
          <w:highlight w:val="yellow"/>
          <w:bdr w:val="single" w:sz="4" w:space="0" w:color="auto"/>
        </w:rPr>
        <w:t>明理</w:t>
      </w:r>
      <w:r w:rsidR="00AA120F" w:rsidRPr="00DA3BC7">
        <w:rPr>
          <w:rFonts w:ascii="Times New Roman" w:hAnsi="Times New Roman" w:hint="eastAsia"/>
          <w:sz w:val="20"/>
        </w:rPr>
        <w:t>（</w:t>
      </w:r>
      <w:r w:rsidR="00AA120F" w:rsidRPr="00DA3BC7">
        <w:rPr>
          <w:rFonts w:ascii="Times New Roman" w:hAnsi="Times New Roman" w:hint="eastAsia"/>
          <w:sz w:val="20"/>
        </w:rPr>
        <w:t>pp.</w:t>
      </w:r>
      <w:r w:rsidR="00AA120F" w:rsidRPr="00DA3BC7">
        <w:rPr>
          <w:rFonts w:ascii="Times New Roman" w:hAnsi="Times New Roman"/>
          <w:sz w:val="20"/>
        </w:rPr>
        <w:t>212-213</w:t>
      </w:r>
      <w:r w:rsidR="00AA120F" w:rsidRPr="00DA3BC7">
        <w:rPr>
          <w:rFonts w:ascii="Times New Roman" w:hAnsi="Times New Roman" w:hint="eastAsia"/>
          <w:sz w:val="20"/>
        </w:rPr>
        <w:t>）</w:t>
      </w:r>
    </w:p>
    <w:p w:rsidR="00AA120F" w:rsidRPr="00DA3BC7" w:rsidRDefault="00AA120F" w:rsidP="006E15B6">
      <w:pPr>
        <w:ind w:leftChars="300" w:left="720"/>
        <w:jc w:val="both"/>
      </w:pPr>
      <w:r w:rsidRPr="00DA3BC7">
        <w:rPr>
          <w:rFonts w:hint="eastAsia"/>
          <w:b/>
        </w:rPr>
        <w:t>從凡聖二諦說</w:t>
      </w:r>
      <w:r w:rsidRPr="00DA3BC7">
        <w:rPr>
          <w:rFonts w:hint="eastAsia"/>
        </w:rPr>
        <w:t>，世俗諦，諦是不能離幻現的。</w:t>
      </w:r>
    </w:p>
    <w:p w:rsidR="00AA120F" w:rsidRPr="00DA3BC7" w:rsidRDefault="00AA120F" w:rsidP="006E15B6">
      <w:pPr>
        <w:ind w:leftChars="300" w:left="720"/>
        <w:jc w:val="both"/>
      </w:pPr>
      <w:r w:rsidRPr="00DA3BC7">
        <w:rPr>
          <w:rFonts w:hint="eastAsia"/>
          <w:b/>
        </w:rPr>
        <w:t>從差別的觀點</w:t>
      </w:r>
      <w:r w:rsidRPr="00DA3BC7">
        <w:rPr>
          <w:rFonts w:hint="eastAsia"/>
        </w:rPr>
        <w:t>，雖可說世俗是</w:t>
      </w:r>
      <w:r w:rsidRPr="00DA3BC7">
        <w:rPr>
          <w:rFonts w:hint="eastAsia"/>
          <w:b/>
        </w:rPr>
        <w:t>如幻現</w:t>
      </w:r>
      <w:r w:rsidRPr="00DA3BC7">
        <w:rPr>
          <w:rFonts w:hint="eastAsia"/>
        </w:rPr>
        <w:t>的，以凡夫愚癡而執為</w:t>
      </w:r>
      <w:r w:rsidRPr="00DA3BC7">
        <w:rPr>
          <w:rFonts w:hint="eastAsia"/>
          <w:b/>
        </w:rPr>
        <w:t>諦實有</w:t>
      </w:r>
      <w:r w:rsidRPr="00DA3BC7">
        <w:rPr>
          <w:rFonts w:hint="eastAsia"/>
        </w:rPr>
        <w:t>；此</w:t>
      </w:r>
      <w:r w:rsidRPr="00DA3BC7">
        <w:rPr>
          <w:rFonts w:hint="eastAsia"/>
          <w:b/>
        </w:rPr>
        <w:t>諦實執</w:t>
      </w:r>
      <w:r w:rsidRPr="00DA3BC7">
        <w:rPr>
          <w:rFonts w:hint="eastAsia"/>
        </w:rPr>
        <w:t>為一類，</w:t>
      </w:r>
      <w:r w:rsidRPr="00DA3BC7">
        <w:rPr>
          <w:rFonts w:hint="eastAsia"/>
          <w:b/>
        </w:rPr>
        <w:t>如幻現</w:t>
      </w:r>
      <w:r w:rsidRPr="00DA3BC7">
        <w:rPr>
          <w:rFonts w:hint="eastAsia"/>
        </w:rPr>
        <w:t>又是一類。</w:t>
      </w:r>
    </w:p>
    <w:p w:rsidR="00EB3FD4" w:rsidRDefault="00AA120F" w:rsidP="00AE3920">
      <w:pPr>
        <w:spacing w:beforeLines="20"/>
        <w:ind w:leftChars="300" w:left="720"/>
        <w:jc w:val="both"/>
      </w:pPr>
      <w:r w:rsidRPr="00DA3BC7">
        <w:rPr>
          <w:rFonts w:hint="eastAsia"/>
        </w:rPr>
        <w:t>但</w:t>
      </w:r>
      <w:r w:rsidRPr="00DA3BC7">
        <w:rPr>
          <w:rFonts w:hint="eastAsia"/>
          <w:b/>
        </w:rPr>
        <w:t>從凡夫的境界說，凡是諦實的，不能離幻現而存在</w:t>
      </w:r>
      <w:r w:rsidRPr="00DA3BC7">
        <w:rPr>
          <w:rFonts w:hint="eastAsia"/>
        </w:rPr>
        <w:t>。凡夫心境的</w:t>
      </w:r>
      <w:r w:rsidRPr="00DA3BC7">
        <w:rPr>
          <w:rFonts w:hint="eastAsia"/>
          <w:b/>
        </w:rPr>
        <w:t>現相</w:t>
      </w:r>
      <w:r w:rsidRPr="00DA3BC7">
        <w:rPr>
          <w:rFonts w:hint="eastAsia"/>
        </w:rPr>
        <w:t>與</w:t>
      </w:r>
      <w:r w:rsidRPr="00DA3BC7">
        <w:rPr>
          <w:rFonts w:hint="eastAsia"/>
          <w:b/>
        </w:rPr>
        <w:t>諦實相</w:t>
      </w:r>
      <w:r w:rsidRPr="00DA3BC7">
        <w:rPr>
          <w:rFonts w:hint="eastAsia"/>
        </w:rPr>
        <w:t>，不可機械的分開，以為這是</w:t>
      </w:r>
      <w:r w:rsidRPr="00DA3BC7">
        <w:rPr>
          <w:rFonts w:hint="eastAsia"/>
          <w:b/>
        </w:rPr>
        <w:t>幻現</w:t>
      </w:r>
      <w:r w:rsidR="00EB3FD4">
        <w:rPr>
          <w:rFonts w:hint="eastAsia"/>
          <w:color w:val="FF0000"/>
          <w:highlight w:val="yellow"/>
        </w:rPr>
        <w:t>、</w:t>
      </w:r>
      <w:r w:rsidRPr="00DA3BC7">
        <w:rPr>
          <w:rFonts w:hint="eastAsia"/>
        </w:rPr>
        <w:t>那是</w:t>
      </w:r>
      <w:r w:rsidRPr="00DA3BC7">
        <w:rPr>
          <w:rFonts w:hint="eastAsia"/>
          <w:b/>
        </w:rPr>
        <w:t>實有</w:t>
      </w:r>
      <w:r w:rsidRPr="00DA3BC7">
        <w:rPr>
          <w:rFonts w:hint="eastAsia"/>
        </w:rPr>
        <w:t>。在凡夫直感的認識上，有此法現前，即有諦實相現前。</w:t>
      </w:r>
      <w:r w:rsidRPr="00EB3FD4">
        <w:rPr>
          <w:rFonts w:hint="eastAsia"/>
          <w:highlight w:val="yellow"/>
        </w:rPr>
        <w:t>一</w:t>
      </w:r>
      <w:r w:rsidRPr="00DA3BC7">
        <w:rPr>
          <w:rFonts w:hint="eastAsia"/>
        </w:rPr>
        <w:t>切緣起幻有，於凡夫</w:t>
      </w:r>
      <w:r w:rsidRPr="00DA3BC7">
        <w:rPr>
          <w:rFonts w:hint="eastAsia"/>
        </w:rPr>
        <w:lastRenderedPageBreak/>
        <w:t>即成為實有。</w:t>
      </w:r>
    </w:p>
    <w:p w:rsidR="00AA120F" w:rsidRPr="00DA3BC7" w:rsidRDefault="00AA120F" w:rsidP="00AE3920">
      <w:pPr>
        <w:spacing w:beforeLines="20"/>
        <w:ind w:leftChars="300" w:left="720"/>
        <w:jc w:val="both"/>
      </w:pPr>
      <w:r w:rsidRPr="00DA3BC7">
        <w:rPr>
          <w:rFonts w:hint="eastAsia"/>
        </w:rPr>
        <w:t>也就因此，</w:t>
      </w:r>
      <w:r w:rsidRPr="00DA3BC7">
        <w:rPr>
          <w:rFonts w:hint="eastAsia"/>
          <w:b/>
        </w:rPr>
        <w:t>觀凡情的諦實相不可得時，如幻現相每是畢竟不起而都無所見</w:t>
      </w:r>
      <w:r w:rsidRPr="00DA3BC7">
        <w:rPr>
          <w:rFonts w:hint="eastAsia"/>
        </w:rPr>
        <w:t>。</w:t>
      </w:r>
    </w:p>
    <w:p w:rsidR="00AA120F" w:rsidRPr="00DA3BC7" w:rsidRDefault="00EB3FD4" w:rsidP="00AE3920">
      <w:pPr>
        <w:spacing w:beforeLines="30"/>
        <w:ind w:leftChars="300" w:left="720"/>
        <w:jc w:val="both"/>
        <w:rPr>
          <w:rFonts w:ascii="Times Ext Roman" w:hAnsi="Times Ext Roman" w:cs="Times Ext Roman"/>
          <w:sz w:val="20"/>
          <w:bdr w:val="single" w:sz="4" w:space="0" w:color="auto"/>
        </w:rPr>
      </w:pPr>
      <w:r w:rsidRPr="00EB3FD4">
        <w:rPr>
          <w:rFonts w:ascii="Times Ext Roman" w:hAnsi="Times Ext Roman" w:cs="Times Ext Roman" w:hint="eastAsia"/>
          <w:b/>
          <w:color w:val="FF0000"/>
          <w:sz w:val="20"/>
          <w:highlight w:val="yellow"/>
          <w:bdr w:val="single" w:sz="4" w:space="0" w:color="auto"/>
        </w:rPr>
        <w:t>B</w:t>
      </w:r>
      <w:r w:rsidRPr="00EB3FD4">
        <w:rPr>
          <w:rFonts w:ascii="Times Ext Roman" w:hAnsi="Times Ext Roman" w:cs="Times Ext Roman" w:hint="eastAsia"/>
          <w:b/>
          <w:color w:val="FF0000"/>
          <w:sz w:val="20"/>
          <w:highlight w:val="yellow"/>
          <w:bdr w:val="single" w:sz="4" w:space="0" w:color="auto"/>
        </w:rPr>
        <w:t>、舉證</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213</w:t>
      </w:r>
      <w:r w:rsidR="00AA120F" w:rsidRPr="00DA3BC7">
        <w:rPr>
          <w:rFonts w:ascii="Times New Roman" w:hAnsi="Times New Roman" w:hint="eastAsia"/>
          <w:sz w:val="20"/>
        </w:rPr>
        <w:t>）</w:t>
      </w:r>
    </w:p>
    <w:p w:rsidR="00AA120F" w:rsidRPr="00DA3BC7" w:rsidRDefault="00AA120F" w:rsidP="006E15B6">
      <w:pPr>
        <w:ind w:leftChars="300" w:left="720"/>
        <w:jc w:val="both"/>
      </w:pPr>
      <w:r w:rsidRPr="00DA3BC7">
        <w:rPr>
          <w:rFonts w:hint="eastAsia"/>
          <w:b/>
        </w:rPr>
        <w:t>唯識家</w:t>
      </w:r>
      <w:r w:rsidRPr="00DA3BC7">
        <w:rPr>
          <w:rFonts w:hint="eastAsia"/>
        </w:rPr>
        <w:t>雖重於</w:t>
      </w:r>
      <w:r w:rsidRPr="00DA3BC7">
        <w:rPr>
          <w:rFonts w:hint="eastAsia"/>
          <w:b/>
        </w:rPr>
        <w:t>依他起</w:t>
      </w:r>
      <w:r w:rsidRPr="00DA3BC7">
        <w:rPr>
          <w:rFonts w:hint="eastAsia"/>
        </w:rPr>
        <w:t>及</w:t>
      </w:r>
      <w:r w:rsidRPr="00DA3BC7">
        <w:rPr>
          <w:rFonts w:hint="eastAsia"/>
          <w:b/>
        </w:rPr>
        <w:t>遍計執</w:t>
      </w:r>
      <w:r w:rsidRPr="00DA3BC7">
        <w:rPr>
          <w:rFonts w:hint="eastAsia"/>
        </w:rPr>
        <w:t>的差別說，但也有此義，即</w:t>
      </w:r>
      <w:r w:rsidRPr="00DA3BC7">
        <w:rPr>
          <w:rFonts w:hint="eastAsia"/>
          <w:b/>
        </w:rPr>
        <w:t>凡夫位的染依他，即是遍計所執性</w:t>
      </w:r>
      <w:r w:rsidRPr="00DA3BC7">
        <w:rPr>
          <w:rFonts w:hint="eastAsia"/>
        </w:rPr>
        <w:t>，</w:t>
      </w:r>
      <w:r w:rsidRPr="00DA3BC7">
        <w:rPr>
          <w:rFonts w:hint="eastAsia"/>
          <w:b/>
        </w:rPr>
        <w:t>諦是不能離開現象而安立的</w:t>
      </w:r>
      <w:r w:rsidRPr="00DA3BC7">
        <w:rPr>
          <w:rFonts w:hint="eastAsia"/>
        </w:rPr>
        <w:t>。</w:t>
      </w:r>
    </w:p>
    <w:p w:rsidR="00EB3FD4" w:rsidRDefault="00AA120F" w:rsidP="00AE3920">
      <w:pPr>
        <w:spacing w:beforeLines="20"/>
        <w:ind w:leftChars="300" w:left="720"/>
        <w:jc w:val="both"/>
      </w:pPr>
      <w:r w:rsidRPr="00DA3BC7">
        <w:rPr>
          <w:rFonts w:hint="eastAsia"/>
        </w:rPr>
        <w:t>反之，</w:t>
      </w:r>
      <w:r w:rsidRPr="00DA3BC7">
        <w:rPr>
          <w:rFonts w:hint="eastAsia"/>
          <w:b/>
        </w:rPr>
        <w:t>離諦實相的性空，也須在現象上觀察</w:t>
      </w:r>
      <w:r w:rsidRPr="00DA3BC7">
        <w:rPr>
          <w:rFonts w:hint="eastAsia"/>
        </w:rPr>
        <w:t>，如色性空、一切法性空，不能離現象而說空（利根見道能即空而有，因此才有可能）。</w:t>
      </w:r>
    </w:p>
    <w:p w:rsidR="00AA120F" w:rsidRPr="00DA3BC7" w:rsidRDefault="00AA120F" w:rsidP="00AE3920">
      <w:pPr>
        <w:spacing w:beforeLines="20"/>
        <w:ind w:leftChars="300" w:left="720"/>
        <w:jc w:val="both"/>
      </w:pPr>
      <w:r w:rsidRPr="00EB3FD4">
        <w:rPr>
          <w:rFonts w:hint="eastAsia"/>
          <w:highlight w:val="yellow"/>
        </w:rPr>
        <w:t>但</w:t>
      </w:r>
      <w:r w:rsidRPr="00DA3BC7">
        <w:rPr>
          <w:rFonts w:hint="eastAsia"/>
        </w:rPr>
        <w:t>凡情妄現的諦實性雖不離現相，由於</w:t>
      </w:r>
      <w:r w:rsidRPr="00DA3BC7">
        <w:rPr>
          <w:rFonts w:hint="eastAsia"/>
          <w:b/>
        </w:rPr>
        <w:t>聖者</w:t>
      </w:r>
      <w:r w:rsidRPr="00DA3BC7">
        <w:rPr>
          <w:rFonts w:hint="eastAsia"/>
        </w:rPr>
        <w:t>悟入畢竟空，後得智境即不執為實有，了知一切法本為如幻有而非諦實性的，這才是</w:t>
      </w:r>
      <w:r w:rsidRPr="00DA3BC7">
        <w:rPr>
          <w:rFonts w:hint="eastAsia"/>
          <w:b/>
        </w:rPr>
        <w:t>現相</w:t>
      </w:r>
      <w:r w:rsidRPr="00DA3BC7">
        <w:rPr>
          <w:rFonts w:hint="eastAsia"/>
        </w:rPr>
        <w:t>而非</w:t>
      </w:r>
      <w:r w:rsidRPr="00DA3BC7">
        <w:rPr>
          <w:rFonts w:hint="eastAsia"/>
          <w:b/>
        </w:rPr>
        <w:t>諦相</w:t>
      </w:r>
      <w:r w:rsidRPr="00DA3BC7">
        <w:rPr>
          <w:rFonts w:hint="eastAsia"/>
        </w:rPr>
        <w:t>。諦與現的差別性，才明顯地表達出來。</w:t>
      </w:r>
    </w:p>
    <w:p w:rsidR="00AA120F" w:rsidRPr="00DA3BC7" w:rsidRDefault="00EB3FD4" w:rsidP="00AE3920">
      <w:pPr>
        <w:spacing w:beforeLines="30"/>
        <w:ind w:leftChars="300" w:left="720"/>
        <w:jc w:val="both"/>
        <w:rPr>
          <w:rFonts w:ascii="Times Ext Roman" w:hAnsi="Times Ext Roman" w:cs="Times Ext Roman"/>
          <w:sz w:val="20"/>
          <w:bdr w:val="single" w:sz="4" w:space="0" w:color="auto"/>
        </w:rPr>
      </w:pPr>
      <w:r w:rsidRPr="00EB3FD4">
        <w:rPr>
          <w:rFonts w:ascii="Times Ext Roman" w:hAnsi="Times Ext Roman" w:cs="Times Ext Roman" w:hint="eastAsia"/>
          <w:b/>
          <w:color w:val="FF0000"/>
          <w:sz w:val="20"/>
          <w:highlight w:val="yellow"/>
          <w:bdr w:val="single" w:sz="4" w:space="0" w:color="auto"/>
        </w:rPr>
        <w:t>C</w:t>
      </w:r>
      <w:r w:rsidR="00AA120F" w:rsidRPr="00EB3FD4">
        <w:rPr>
          <w:rFonts w:ascii="Times Ext Roman" w:hAnsi="Times Ext Roman" w:cs="Times Ext Roman"/>
          <w:b/>
          <w:color w:val="FF0000"/>
          <w:sz w:val="20"/>
          <w:highlight w:val="yellow"/>
          <w:bdr w:val="single" w:sz="4" w:space="0" w:color="auto"/>
        </w:rPr>
        <w:t>、</w:t>
      </w:r>
      <w:r w:rsidRPr="00EB3FD4">
        <w:rPr>
          <w:rFonts w:ascii="Times Ext Roman" w:hAnsi="Times Ext Roman" w:cs="Times Ext Roman" w:hint="eastAsia"/>
          <w:b/>
          <w:color w:val="FF0000"/>
          <w:sz w:val="20"/>
          <w:highlight w:val="yellow"/>
          <w:bdr w:val="single" w:sz="4" w:space="0" w:color="auto"/>
        </w:rPr>
        <w:t>結義</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213</w:t>
      </w:r>
      <w:r w:rsidR="00AA120F" w:rsidRPr="00DA3BC7">
        <w:rPr>
          <w:rFonts w:ascii="Times New Roman" w:hAnsi="Times New Roman" w:hint="eastAsia"/>
          <w:sz w:val="20"/>
        </w:rPr>
        <w:t>）</w:t>
      </w:r>
    </w:p>
    <w:p w:rsidR="00AA120F" w:rsidRPr="00DA3BC7" w:rsidRDefault="00AA120F" w:rsidP="006E15B6">
      <w:pPr>
        <w:ind w:leftChars="300" w:left="720"/>
        <w:jc w:val="both"/>
      </w:pPr>
      <w:r w:rsidRPr="00DA3BC7">
        <w:rPr>
          <w:rFonts w:hint="eastAsia"/>
        </w:rPr>
        <w:t>凡夫位中，不宜過於為</w:t>
      </w:r>
      <w:r w:rsidRPr="00DA3BC7">
        <w:rPr>
          <w:rFonts w:hint="eastAsia"/>
          <w:b/>
        </w:rPr>
        <w:t>現相</w:t>
      </w:r>
      <w:r w:rsidRPr="00DA3BC7">
        <w:rPr>
          <w:rFonts w:hint="eastAsia"/>
        </w:rPr>
        <w:t>與</w:t>
      </w:r>
      <w:r w:rsidRPr="00DA3BC7">
        <w:rPr>
          <w:rFonts w:hint="eastAsia"/>
          <w:b/>
        </w:rPr>
        <w:t>諦相</w:t>
      </w:r>
      <w:r w:rsidRPr="00DA3BC7">
        <w:rPr>
          <w:rFonts w:hint="eastAsia"/>
        </w:rPr>
        <w:t>的隔別觀察。</w:t>
      </w:r>
    </w:p>
    <w:p w:rsidR="00AA120F" w:rsidRPr="00DA3BC7" w:rsidRDefault="00AA120F" w:rsidP="00AE3920">
      <w:pPr>
        <w:spacing w:beforeLines="30"/>
        <w:ind w:leftChars="250" w:left="600"/>
        <w:jc w:val="both"/>
        <w:rPr>
          <w:rFonts w:ascii="Times Ext Roman" w:hAnsi="Times Ext Roman" w:cs="Times Ext Roman"/>
          <w:sz w:val="20"/>
          <w:bdr w:val="single" w:sz="4" w:space="0" w:color="auto"/>
        </w:rPr>
      </w:pPr>
      <w:r w:rsidRPr="00EB3FD4">
        <w:rPr>
          <w:rFonts w:ascii="Times Ext Roman" w:hAnsi="Times Ext Roman" w:cs="Times Ext Roman" w:hint="eastAsia"/>
          <w:b/>
          <w:color w:val="FF0000"/>
          <w:sz w:val="20"/>
          <w:highlight w:val="yellow"/>
          <w:bdr w:val="single" w:sz="4" w:space="0" w:color="auto"/>
        </w:rPr>
        <w:t>（</w:t>
      </w:r>
      <w:r w:rsidR="00EB3FD4" w:rsidRPr="00EB3FD4">
        <w:rPr>
          <w:rFonts w:ascii="Times Ext Roman" w:hAnsi="Times Ext Roman" w:cs="Times Ext Roman" w:hint="eastAsia"/>
          <w:b/>
          <w:color w:val="FF0000"/>
          <w:sz w:val="20"/>
          <w:highlight w:val="yellow"/>
          <w:bdr w:val="single" w:sz="4" w:space="0" w:color="auto"/>
        </w:rPr>
        <w:t>2</w:t>
      </w:r>
      <w:r w:rsidRPr="00EB3FD4">
        <w:rPr>
          <w:rFonts w:ascii="Times Ext Roman" w:hAnsi="Times Ext Roman" w:cs="Times Ext Roman" w:hint="eastAsia"/>
          <w:b/>
          <w:color w:val="FF0000"/>
          <w:sz w:val="20"/>
          <w:highlight w:val="yellow"/>
          <w:bdr w:val="single" w:sz="4" w:space="0" w:color="auto"/>
        </w:rPr>
        <w:t>）</w:t>
      </w:r>
      <w:r w:rsidR="00EB3FD4" w:rsidRPr="00EB3FD4">
        <w:rPr>
          <w:rFonts w:ascii="Times Ext Roman" w:hAnsi="Times Ext Roman" w:cs="Times Ext Roman" w:hint="eastAsia"/>
          <w:b/>
          <w:color w:val="FF0000"/>
          <w:sz w:val="20"/>
          <w:highlight w:val="yellow"/>
          <w:bdr w:val="single" w:sz="4" w:space="0" w:color="auto"/>
        </w:rPr>
        <w:t>兼論</w:t>
      </w:r>
      <w:r w:rsidRPr="00DA3BC7">
        <w:rPr>
          <w:rFonts w:ascii="Times New Roman" w:hAnsi="Times New Roman" w:hint="eastAsia"/>
          <w:sz w:val="20"/>
        </w:rPr>
        <w:t>（</w:t>
      </w:r>
      <w:r w:rsidRPr="00DA3BC7">
        <w:rPr>
          <w:rFonts w:ascii="Times New Roman" w:hAnsi="Times New Roman" w:hint="eastAsia"/>
          <w:sz w:val="20"/>
        </w:rPr>
        <w:t>p.</w:t>
      </w:r>
      <w:r w:rsidRPr="00DA3BC7">
        <w:rPr>
          <w:rFonts w:ascii="Times New Roman" w:hAnsi="Times New Roman"/>
          <w:sz w:val="20"/>
        </w:rPr>
        <w:t>213</w:t>
      </w:r>
      <w:r w:rsidRPr="00DA3BC7">
        <w:rPr>
          <w:rFonts w:ascii="Times New Roman" w:hAnsi="Times New Roman" w:hint="eastAsia"/>
          <w:sz w:val="20"/>
        </w:rPr>
        <w:t>）</w:t>
      </w:r>
    </w:p>
    <w:p w:rsidR="00AA120F" w:rsidRPr="00DA3BC7" w:rsidRDefault="00AA120F" w:rsidP="006E15B6">
      <w:pPr>
        <w:ind w:leftChars="250" w:left="600"/>
        <w:jc w:val="both"/>
      </w:pPr>
      <w:r w:rsidRPr="00DA3BC7">
        <w:rPr>
          <w:rFonts w:hint="eastAsia"/>
          <w:b/>
        </w:rPr>
        <w:t>唯識家</w:t>
      </w:r>
      <w:r w:rsidRPr="00DA3BC7">
        <w:rPr>
          <w:rFonts w:hint="eastAsia"/>
        </w:rPr>
        <w:t>說三性，</w:t>
      </w:r>
      <w:r w:rsidR="00EB3FD4" w:rsidRPr="009A0718">
        <w:rPr>
          <w:rStyle w:val="a6"/>
          <w:rFonts w:ascii="Times New Roman" w:hAnsi="Times New Roman"/>
        </w:rPr>
        <w:footnoteReference w:id="920"/>
      </w:r>
      <w:r w:rsidRPr="00DA3BC7">
        <w:rPr>
          <w:rFonts w:hint="eastAsia"/>
        </w:rPr>
        <w:t>即偏重在遍計執性不是依他起性，由此竟引起不許依他性空的偏執。</w:t>
      </w:r>
    </w:p>
    <w:p w:rsidR="009A0718" w:rsidRDefault="00AA120F" w:rsidP="006E15B6">
      <w:pPr>
        <w:ind w:leftChars="250" w:left="600"/>
        <w:jc w:val="both"/>
        <w:rPr>
          <w:rFonts w:ascii="Times New Roman" w:hAnsi="Times New Roman"/>
        </w:rPr>
      </w:pPr>
      <w:r w:rsidRPr="00DA3BC7">
        <w:rPr>
          <w:rFonts w:hint="eastAsia"/>
          <w:b/>
        </w:rPr>
        <w:t>中觀者</w:t>
      </w:r>
      <w:r w:rsidRPr="00DA3BC7">
        <w:rPr>
          <w:rFonts w:hint="eastAsia"/>
        </w:rPr>
        <w:t>說二諦，</w:t>
      </w:r>
      <w:r w:rsidRPr="00DA3BC7">
        <w:rPr>
          <w:rFonts w:hint="eastAsia"/>
          <w:b/>
        </w:rPr>
        <w:t>重在世俗於眾生而成諦，破</w:t>
      </w:r>
      <w:r w:rsidRPr="00DA3BC7">
        <w:rPr>
          <w:rFonts w:ascii="Times New Roman" w:hAnsi="Times New Roman" w:hint="eastAsia"/>
          <w:b/>
        </w:rPr>
        <w:t>除世俗諦而引凡入聖</w:t>
      </w:r>
      <w:r w:rsidRPr="00DA3BC7">
        <w:rPr>
          <w:rFonts w:ascii="Times New Roman" w:hAnsi="Times New Roman" w:hint="eastAsia"/>
        </w:rPr>
        <w:t>。</w:t>
      </w:r>
    </w:p>
    <w:p w:rsidR="00AA120F" w:rsidRPr="00DA3BC7" w:rsidRDefault="00AA120F" w:rsidP="006E15B6">
      <w:pPr>
        <w:ind w:leftChars="250" w:left="600"/>
        <w:jc w:val="both"/>
        <w:rPr>
          <w:rFonts w:ascii="Times New Roman" w:hAnsi="Times New Roman"/>
        </w:rPr>
      </w:pPr>
      <w:r w:rsidRPr="00DA3BC7">
        <w:rPr>
          <w:rFonts w:ascii="Times New Roman" w:hAnsi="Times New Roman" w:hint="eastAsia"/>
        </w:rPr>
        <w:t>但不得意</w:t>
      </w:r>
      <w:r w:rsidRPr="00DA3BC7">
        <w:rPr>
          <w:rStyle w:val="a6"/>
          <w:rFonts w:ascii="Times New Roman" w:hAnsi="Times New Roman"/>
        </w:rPr>
        <w:footnoteReference w:id="921"/>
      </w:r>
      <w:r w:rsidRPr="00DA3BC7">
        <w:rPr>
          <w:rFonts w:ascii="Times New Roman" w:hAnsi="Times New Roman" w:hint="eastAsia"/>
        </w:rPr>
        <w:t>者，又每每流於惡取空，即誤以為空能破一切法。結果，或</w:t>
      </w:r>
      <w:r w:rsidRPr="00DA3BC7">
        <w:rPr>
          <w:rFonts w:ascii="Times New Roman" w:hAnsi="Times New Roman" w:hint="eastAsia"/>
        </w:rPr>
        <w:lastRenderedPageBreak/>
        <w:t>類似方廣道人的撥</w:t>
      </w:r>
      <w:r w:rsidRPr="00DA3BC7">
        <w:rPr>
          <w:rStyle w:val="a6"/>
          <w:rFonts w:ascii="Times New Roman" w:hAnsi="Times New Roman"/>
        </w:rPr>
        <w:footnoteReference w:id="922"/>
      </w:r>
      <w:r w:rsidRPr="00DA3BC7">
        <w:rPr>
          <w:rFonts w:ascii="Times New Roman" w:hAnsi="Times New Roman" w:hint="eastAsia"/>
        </w:rPr>
        <w:t>無一切，</w:t>
      </w:r>
      <w:r w:rsidRPr="00DA3BC7">
        <w:rPr>
          <w:rStyle w:val="a6"/>
          <w:rFonts w:ascii="Times New Roman" w:hAnsi="Times New Roman"/>
        </w:rPr>
        <w:footnoteReference w:id="923"/>
      </w:r>
      <w:r w:rsidRPr="00DA3BC7">
        <w:rPr>
          <w:rFonts w:ascii="Times New Roman" w:hAnsi="Times New Roman" w:hint="eastAsia"/>
        </w:rPr>
        <w:t>或轉為形而上的實在論。</w:t>
      </w:r>
    </w:p>
    <w:p w:rsidR="009A0718" w:rsidRPr="009A0718" w:rsidRDefault="00AA120F" w:rsidP="00AE3920">
      <w:pPr>
        <w:spacing w:beforeLines="30"/>
        <w:ind w:leftChars="150" w:left="360"/>
        <w:jc w:val="both"/>
        <w:rPr>
          <w:rFonts w:ascii="Times Ext Roman" w:hAnsi="Times Ext Roman" w:cs="Times Ext Roman"/>
          <w:b/>
          <w:color w:val="FF0000"/>
          <w:sz w:val="20"/>
          <w:highlight w:val="yellow"/>
          <w:bdr w:val="single" w:sz="4" w:space="0" w:color="auto"/>
        </w:rPr>
      </w:pPr>
      <w:r w:rsidRPr="009A0718">
        <w:rPr>
          <w:rFonts w:ascii="Times Ext Roman" w:hAnsi="Times Ext Roman" w:cs="Times Ext Roman" w:hint="eastAsia"/>
          <w:b/>
          <w:color w:val="FF0000"/>
          <w:sz w:val="20"/>
          <w:highlight w:val="yellow"/>
          <w:bdr w:val="single" w:sz="4" w:space="0" w:color="auto"/>
        </w:rPr>
        <w:t>（</w:t>
      </w:r>
      <w:r w:rsidR="009A0718">
        <w:rPr>
          <w:rFonts w:ascii="Times Ext Roman" w:hAnsi="Times Ext Roman" w:cs="Times Ext Roman" w:hint="eastAsia"/>
          <w:b/>
          <w:color w:val="FF0000"/>
          <w:sz w:val="20"/>
          <w:highlight w:val="yellow"/>
          <w:bdr w:val="single" w:sz="4" w:space="0" w:color="auto"/>
        </w:rPr>
        <w:t>二</w:t>
      </w:r>
      <w:r w:rsidRPr="009A0718">
        <w:rPr>
          <w:rFonts w:ascii="Times Ext Roman" w:hAnsi="Times Ext Roman" w:cs="Times Ext Roman" w:hint="eastAsia"/>
          <w:b/>
          <w:color w:val="FF0000"/>
          <w:sz w:val="20"/>
          <w:highlight w:val="yellow"/>
          <w:bdr w:val="single" w:sz="4" w:space="0" w:color="auto"/>
        </w:rPr>
        <w:t>）</w:t>
      </w:r>
      <w:r w:rsidR="009A0718" w:rsidRPr="009A0718">
        <w:rPr>
          <w:rFonts w:ascii="Times Ext Roman" w:hAnsi="Times Ext Roman" w:cs="Times Ext Roman" w:hint="eastAsia"/>
          <w:b/>
          <w:color w:val="FF0000"/>
          <w:sz w:val="20"/>
          <w:highlight w:val="yellow"/>
          <w:bdr w:val="single" w:sz="4" w:space="0" w:color="auto"/>
        </w:rPr>
        <w:t>約</w:t>
      </w:r>
      <w:r w:rsidRPr="009A0718">
        <w:rPr>
          <w:rFonts w:ascii="Times Ext Roman" w:hAnsi="Times Ext Roman" w:cs="Times Ext Roman" w:hint="eastAsia"/>
          <w:b/>
          <w:color w:val="FF0000"/>
          <w:sz w:val="20"/>
          <w:highlight w:val="yellow"/>
          <w:bdr w:val="single" w:sz="4" w:space="0" w:color="auto"/>
        </w:rPr>
        <w:t>「</w:t>
      </w:r>
      <w:r w:rsidR="004711CF">
        <w:rPr>
          <w:rFonts w:ascii="Times Ext Roman" w:hAnsi="Times Ext Roman" w:cs="Times Ext Roman" w:hint="eastAsia"/>
          <w:b/>
          <w:color w:val="FF0000"/>
          <w:sz w:val="20"/>
          <w:highlight w:val="yellow"/>
          <w:bdr w:val="single" w:sz="4" w:space="0" w:color="auto"/>
        </w:rPr>
        <w:t>『</w:t>
      </w:r>
      <w:r w:rsidR="009A0718" w:rsidRPr="009A0718">
        <w:rPr>
          <w:rFonts w:ascii="Times Ext Roman" w:hAnsi="Times Ext Roman" w:cs="Times Ext Roman" w:hint="eastAsia"/>
          <w:b/>
          <w:color w:val="FF0000"/>
          <w:sz w:val="20"/>
          <w:highlight w:val="yellow"/>
          <w:bdr w:val="single" w:sz="4" w:space="0" w:color="auto"/>
        </w:rPr>
        <w:t>正</w:t>
      </w:r>
      <w:r w:rsidR="004711CF">
        <w:rPr>
          <w:rFonts w:ascii="Times Ext Roman" w:hAnsi="Times Ext Roman" w:cs="Times Ext Roman" w:hint="eastAsia"/>
          <w:b/>
          <w:color w:val="FF0000"/>
          <w:sz w:val="20"/>
          <w:highlight w:val="yellow"/>
          <w:bdr w:val="single" w:sz="4" w:space="0" w:color="auto"/>
        </w:rPr>
        <w:t>、</w:t>
      </w:r>
      <w:r w:rsidR="009A0718" w:rsidRPr="009A0718">
        <w:rPr>
          <w:rFonts w:ascii="Times Ext Roman" w:hAnsi="Times Ext Roman" w:cs="Times Ext Roman" w:hint="eastAsia"/>
          <w:b/>
          <w:color w:val="FF0000"/>
          <w:sz w:val="20"/>
          <w:highlight w:val="yellow"/>
          <w:bdr w:val="single" w:sz="4" w:space="0" w:color="auto"/>
        </w:rPr>
        <w:t>倒</w:t>
      </w:r>
      <w:r w:rsidR="004711CF">
        <w:rPr>
          <w:rFonts w:ascii="Times Ext Roman" w:hAnsi="Times Ext Roman" w:cs="Times Ext Roman" w:hint="eastAsia"/>
          <w:b/>
          <w:color w:val="FF0000"/>
          <w:sz w:val="20"/>
          <w:highlight w:val="yellow"/>
          <w:bdr w:val="single" w:sz="4" w:space="0" w:color="auto"/>
        </w:rPr>
        <w:t>』</w:t>
      </w:r>
      <w:r w:rsidR="009A0718" w:rsidRPr="009A0718">
        <w:rPr>
          <w:rFonts w:ascii="Times Ext Roman" w:hAnsi="Times Ext Roman" w:cs="Times Ext Roman" w:hint="eastAsia"/>
          <w:b/>
          <w:color w:val="FF0000"/>
          <w:sz w:val="20"/>
          <w:highlight w:val="yellow"/>
          <w:bdr w:val="single" w:sz="4" w:space="0" w:color="auto"/>
        </w:rPr>
        <w:t>世俗</w:t>
      </w:r>
      <w:r w:rsidRPr="009A0718">
        <w:rPr>
          <w:rFonts w:ascii="Times Ext Roman" w:hAnsi="Times Ext Roman" w:cs="Times Ext Roman" w:hint="eastAsia"/>
          <w:b/>
          <w:color w:val="FF0000"/>
          <w:sz w:val="20"/>
          <w:highlight w:val="yellow"/>
          <w:bdr w:val="single" w:sz="4" w:space="0" w:color="auto"/>
        </w:rPr>
        <w:t>」</w:t>
      </w:r>
      <w:r w:rsidR="009A0718" w:rsidRPr="009A0718">
        <w:rPr>
          <w:rFonts w:ascii="Times Ext Roman" w:hAnsi="Times Ext Roman" w:cs="Times Ext Roman" w:hint="eastAsia"/>
          <w:b/>
          <w:color w:val="FF0000"/>
          <w:sz w:val="20"/>
          <w:highlight w:val="yellow"/>
          <w:bdr w:val="single" w:sz="4" w:space="0" w:color="auto"/>
        </w:rPr>
        <w:t>辨</w:t>
      </w:r>
      <w:r w:rsidR="009A0718" w:rsidRPr="00DA3BC7">
        <w:rPr>
          <w:rFonts w:ascii="Times New Roman" w:hAnsi="Times New Roman" w:hint="eastAsia"/>
          <w:sz w:val="20"/>
        </w:rPr>
        <w:t>（</w:t>
      </w:r>
      <w:r w:rsidR="009A0718" w:rsidRPr="00DA3BC7">
        <w:rPr>
          <w:rFonts w:ascii="Times New Roman" w:hAnsi="Times New Roman" w:hint="eastAsia"/>
          <w:sz w:val="20"/>
        </w:rPr>
        <w:t>pp.</w:t>
      </w:r>
      <w:r w:rsidR="009A0718" w:rsidRPr="00DA3BC7">
        <w:rPr>
          <w:rFonts w:ascii="Times New Roman" w:hAnsi="Times New Roman"/>
          <w:sz w:val="20"/>
        </w:rPr>
        <w:t>213</w:t>
      </w:r>
      <w:r w:rsidR="009A0718" w:rsidRPr="00DA3BC7">
        <w:rPr>
          <w:rFonts w:ascii="Times New Roman" w:hAnsi="Times New Roman" w:hint="eastAsia"/>
          <w:sz w:val="20"/>
        </w:rPr>
        <w:t>-21</w:t>
      </w:r>
      <w:r w:rsidR="009A0718">
        <w:rPr>
          <w:rFonts w:ascii="Times New Roman" w:hAnsi="Times New Roman" w:hint="eastAsia"/>
          <w:sz w:val="20"/>
        </w:rPr>
        <w:t>8</w:t>
      </w:r>
      <w:r w:rsidR="009A0718" w:rsidRPr="00DA3BC7">
        <w:rPr>
          <w:rFonts w:ascii="Times New Roman" w:hAnsi="Times New Roman" w:hint="eastAsia"/>
          <w:sz w:val="20"/>
        </w:rPr>
        <w:t>）</w:t>
      </w:r>
    </w:p>
    <w:p w:rsidR="00AA120F" w:rsidRPr="00DA3BC7" w:rsidRDefault="009A0718" w:rsidP="006E15B6">
      <w:pPr>
        <w:ind w:leftChars="200" w:left="480"/>
        <w:jc w:val="both"/>
        <w:rPr>
          <w:rFonts w:ascii="Times Ext Roman" w:hAnsi="Times Ext Roman" w:cs="Times Ext Roman"/>
          <w:b/>
          <w:sz w:val="20"/>
          <w:bdr w:val="single" w:sz="4" w:space="0" w:color="auto"/>
        </w:rPr>
      </w:pPr>
      <w:r w:rsidRPr="009A0718">
        <w:rPr>
          <w:rFonts w:ascii="Times Ext Roman" w:hAnsi="Times Ext Roman" w:cs="Times Ext Roman" w:hint="eastAsia"/>
          <w:b/>
          <w:color w:val="FF0000"/>
          <w:sz w:val="20"/>
          <w:highlight w:val="yellow"/>
          <w:bdr w:val="single" w:sz="4" w:space="0" w:color="auto"/>
        </w:rPr>
        <w:t>1</w:t>
      </w:r>
      <w:r w:rsidRPr="009A0718">
        <w:rPr>
          <w:rFonts w:ascii="Times Ext Roman" w:hAnsi="Times Ext Roman" w:cs="Times Ext Roman"/>
          <w:b/>
          <w:color w:val="FF0000"/>
          <w:sz w:val="20"/>
          <w:highlight w:val="yellow"/>
          <w:bdr w:val="single" w:sz="4" w:space="0" w:color="auto"/>
        </w:rPr>
        <w:t>、</w:t>
      </w:r>
      <w:r w:rsidRPr="009A0718">
        <w:rPr>
          <w:rFonts w:ascii="Times Ext Roman" w:hAnsi="Times Ext Roman" w:cs="Times Ext Roman" w:hint="eastAsia"/>
          <w:b/>
          <w:color w:val="FF0000"/>
          <w:sz w:val="20"/>
          <w:highlight w:val="yellow"/>
          <w:bdr w:val="single" w:sz="4" w:space="0" w:color="auto"/>
        </w:rPr>
        <w:t>就</w:t>
      </w:r>
      <w:r w:rsidR="00AA120F" w:rsidRPr="009A0718">
        <w:rPr>
          <w:rFonts w:ascii="Times Ext Roman" w:hAnsi="Times Ext Roman" w:cs="Times Ext Roman" w:hint="eastAsia"/>
          <w:b/>
          <w:color w:val="FF0000"/>
          <w:sz w:val="20"/>
          <w:highlight w:val="yellow"/>
          <w:bdr w:val="single" w:sz="4" w:space="0" w:color="auto"/>
        </w:rPr>
        <w:t>「</w:t>
      </w:r>
      <w:r w:rsidRPr="009A0718">
        <w:rPr>
          <w:rFonts w:ascii="Times Ext Roman" w:hAnsi="Times Ext Roman" w:cs="Times Ext Roman" w:hint="eastAsia"/>
          <w:b/>
          <w:color w:val="FF0000"/>
          <w:sz w:val="20"/>
          <w:highlight w:val="yellow"/>
          <w:bdr w:val="single" w:sz="4" w:space="0" w:color="auto"/>
        </w:rPr>
        <w:t>凡情所識</w:t>
      </w:r>
      <w:r w:rsidR="00AA120F" w:rsidRPr="009A0718">
        <w:rPr>
          <w:rFonts w:ascii="Times Ext Roman" w:hAnsi="Times Ext Roman" w:cs="Times Ext Roman" w:hint="eastAsia"/>
          <w:b/>
          <w:color w:val="FF0000"/>
          <w:sz w:val="20"/>
          <w:highlight w:val="yellow"/>
          <w:bdr w:val="single" w:sz="4" w:space="0" w:color="auto"/>
        </w:rPr>
        <w:t>」</w:t>
      </w:r>
      <w:r w:rsidRPr="009A0718">
        <w:rPr>
          <w:rFonts w:ascii="Times Ext Roman" w:hAnsi="Times Ext Roman" w:cs="Times Ext Roman" w:hint="eastAsia"/>
          <w:b/>
          <w:color w:val="FF0000"/>
          <w:sz w:val="20"/>
          <w:highlight w:val="yellow"/>
          <w:bdr w:val="single" w:sz="4" w:space="0" w:color="auto"/>
        </w:rPr>
        <w:t>而論</w:t>
      </w:r>
      <w:r w:rsidR="00AA120F" w:rsidRPr="00DA3BC7">
        <w:rPr>
          <w:rFonts w:ascii="Times New Roman" w:hAnsi="Times New Roman" w:hint="eastAsia"/>
          <w:sz w:val="20"/>
        </w:rPr>
        <w:t>（</w:t>
      </w:r>
      <w:r w:rsidR="00AA120F" w:rsidRPr="00DA3BC7">
        <w:rPr>
          <w:rFonts w:ascii="Times New Roman" w:hAnsi="Times New Roman" w:hint="eastAsia"/>
          <w:sz w:val="20"/>
        </w:rPr>
        <w:t>pp.</w:t>
      </w:r>
      <w:r w:rsidR="00AA120F" w:rsidRPr="00DA3BC7">
        <w:rPr>
          <w:rFonts w:ascii="Times New Roman" w:hAnsi="Times New Roman"/>
          <w:sz w:val="20"/>
        </w:rPr>
        <w:t>213</w:t>
      </w:r>
      <w:r w:rsidR="00AA120F" w:rsidRPr="00DA3BC7">
        <w:rPr>
          <w:rFonts w:ascii="Times New Roman" w:hAnsi="Times New Roman" w:hint="eastAsia"/>
          <w:sz w:val="20"/>
        </w:rPr>
        <w:t>-215</w:t>
      </w:r>
      <w:r w:rsidR="00AA120F" w:rsidRPr="00DA3BC7">
        <w:rPr>
          <w:rFonts w:ascii="Times New Roman" w:hAnsi="Times New Roman" w:hint="eastAsia"/>
          <w:sz w:val="20"/>
        </w:rPr>
        <w:t>）</w:t>
      </w:r>
    </w:p>
    <w:p w:rsidR="009A0718" w:rsidRDefault="009A0718" w:rsidP="006E15B6">
      <w:pPr>
        <w:ind w:leftChars="250" w:left="600"/>
        <w:jc w:val="both"/>
        <w:rPr>
          <w:rFonts w:ascii="Times New Roman" w:hAnsi="Times New Roman"/>
          <w:sz w:val="20"/>
        </w:rPr>
      </w:pPr>
      <w:r w:rsidRPr="009A0718">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1</w:t>
      </w:r>
      <w:r w:rsidRPr="009A0718">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明</w:t>
      </w:r>
      <w:r w:rsidRPr="009A0718">
        <w:rPr>
          <w:rFonts w:ascii="Times Ext Roman" w:hAnsi="Times Ext Roman" w:cs="Times Ext Roman" w:hint="eastAsia"/>
          <w:b/>
          <w:color w:val="FF0000"/>
          <w:sz w:val="20"/>
          <w:highlight w:val="yellow"/>
          <w:bdr w:val="single" w:sz="4" w:space="0" w:color="auto"/>
        </w:rPr>
        <w:t>「所</w:t>
      </w:r>
      <w:r>
        <w:rPr>
          <w:rFonts w:ascii="Times Ext Roman" w:hAnsi="Times Ext Roman" w:cs="Times Ext Roman" w:hint="eastAsia"/>
          <w:b/>
          <w:color w:val="FF0000"/>
          <w:sz w:val="20"/>
          <w:highlight w:val="yellow"/>
          <w:bdr w:val="single" w:sz="4" w:space="0" w:color="auto"/>
        </w:rPr>
        <w:t>知見</w:t>
      </w:r>
      <w:r w:rsidRPr="009A0718">
        <w:rPr>
          <w:rFonts w:ascii="Times Ext Roman" w:hAnsi="Times Ext Roman" w:cs="Times Ext Roman" w:hint="eastAsia"/>
          <w:b/>
          <w:color w:val="FF0000"/>
          <w:sz w:val="20"/>
          <w:highlight w:val="yellow"/>
          <w:bdr w:val="single" w:sz="4" w:space="0" w:color="auto"/>
        </w:rPr>
        <w:t>」</w:t>
      </w:r>
      <w:r w:rsidR="00AA120F" w:rsidRPr="00DA3BC7">
        <w:rPr>
          <w:rFonts w:ascii="Times New Roman" w:hAnsi="Times New Roman" w:hint="eastAsia"/>
          <w:sz w:val="20"/>
        </w:rPr>
        <w:t>（</w:t>
      </w:r>
      <w:r w:rsidR="00AA120F" w:rsidRPr="00DA3BC7">
        <w:rPr>
          <w:rFonts w:ascii="Times New Roman" w:hAnsi="Times New Roman" w:hint="eastAsia"/>
          <w:sz w:val="20"/>
        </w:rPr>
        <w:t>pp.</w:t>
      </w:r>
      <w:r w:rsidR="00AA120F" w:rsidRPr="00DA3BC7">
        <w:rPr>
          <w:rFonts w:ascii="Times New Roman" w:hAnsi="Times New Roman"/>
          <w:sz w:val="20"/>
        </w:rPr>
        <w:t>213</w:t>
      </w:r>
      <w:r w:rsidR="00AA120F" w:rsidRPr="00DA3BC7">
        <w:rPr>
          <w:rFonts w:ascii="Times New Roman" w:hAnsi="Times New Roman" w:hint="eastAsia"/>
          <w:sz w:val="20"/>
        </w:rPr>
        <w:t>-214</w:t>
      </w:r>
      <w:r w:rsidR="00AA120F" w:rsidRPr="00DA3BC7">
        <w:rPr>
          <w:rFonts w:ascii="Times New Roman" w:hAnsi="Times New Roman" w:hint="eastAsia"/>
          <w:sz w:val="20"/>
        </w:rPr>
        <w:t>）</w:t>
      </w:r>
    </w:p>
    <w:p w:rsidR="009A0718" w:rsidRDefault="009A0718" w:rsidP="006E15B6">
      <w:pPr>
        <w:ind w:leftChars="300" w:left="720"/>
        <w:jc w:val="both"/>
        <w:rPr>
          <w:rFonts w:ascii="Times Ext Roman" w:hAnsi="Times Ext Roman" w:cs="Times Ext Roman"/>
          <w:sz w:val="20"/>
          <w:bdr w:val="single" w:sz="4" w:space="0" w:color="auto"/>
        </w:rPr>
      </w:pPr>
      <w:r>
        <w:rPr>
          <w:rFonts w:ascii="Times Ext Roman" w:hAnsi="Times Ext Roman" w:cs="Times Ext Roman" w:hint="eastAsia"/>
          <w:b/>
          <w:color w:val="FF0000"/>
          <w:sz w:val="20"/>
          <w:highlight w:val="yellow"/>
          <w:bdr w:val="single" w:sz="4" w:space="0" w:color="auto"/>
        </w:rPr>
        <w:t>A</w:t>
      </w:r>
      <w:r>
        <w:rPr>
          <w:rFonts w:ascii="Times Ext Roman" w:hAnsi="Times Ext Roman" w:cs="Times Ext Roman" w:hint="eastAsia"/>
          <w:b/>
          <w:color w:val="FF0000"/>
          <w:sz w:val="20"/>
          <w:highlight w:val="yellow"/>
          <w:bdr w:val="single" w:sz="4" w:space="0" w:color="auto"/>
        </w:rPr>
        <w:t>、常人所識</w:t>
      </w:r>
      <w:r w:rsidRPr="00DA3BC7">
        <w:rPr>
          <w:rFonts w:ascii="Times New Roman" w:hAnsi="Times New Roman" w:hint="eastAsia"/>
          <w:sz w:val="20"/>
        </w:rPr>
        <w:t>（</w:t>
      </w:r>
      <w:r w:rsidRPr="00DA3BC7">
        <w:rPr>
          <w:rFonts w:ascii="Times New Roman" w:hAnsi="Times New Roman" w:hint="eastAsia"/>
          <w:sz w:val="20"/>
        </w:rPr>
        <w:t>pp.</w:t>
      </w:r>
      <w:r w:rsidRPr="00DA3BC7">
        <w:rPr>
          <w:rFonts w:ascii="Times New Roman" w:hAnsi="Times New Roman"/>
          <w:sz w:val="20"/>
        </w:rPr>
        <w:t>213</w:t>
      </w:r>
      <w:r w:rsidRPr="00DA3BC7">
        <w:rPr>
          <w:rFonts w:ascii="Times New Roman" w:hAnsi="Times New Roman" w:hint="eastAsia"/>
          <w:sz w:val="20"/>
        </w:rPr>
        <w:t>-214</w:t>
      </w:r>
      <w:r w:rsidRPr="00DA3BC7">
        <w:rPr>
          <w:rFonts w:ascii="Times New Roman" w:hAnsi="Times New Roman" w:hint="eastAsia"/>
          <w:sz w:val="20"/>
        </w:rPr>
        <w:t>）</w:t>
      </w:r>
    </w:p>
    <w:p w:rsidR="00AA120F" w:rsidRPr="00DA3BC7" w:rsidRDefault="00AA120F" w:rsidP="006E15B6">
      <w:pPr>
        <w:ind w:leftChars="300" w:left="720"/>
        <w:jc w:val="both"/>
      </w:pPr>
      <w:r w:rsidRPr="00DA3BC7">
        <w:rPr>
          <w:rFonts w:hint="eastAsia"/>
        </w:rPr>
        <w:t>世俗一般的認識，每以為可分二類：一、非真實的，二、真實的。</w:t>
      </w:r>
    </w:p>
    <w:p w:rsidR="00AA120F" w:rsidRPr="00DA3BC7" w:rsidRDefault="00AA120F" w:rsidP="006E15B6">
      <w:pPr>
        <w:widowControl/>
        <w:ind w:leftChars="300" w:left="720"/>
        <w:jc w:val="both"/>
      </w:pPr>
      <w:r w:rsidRPr="00DA3BC7">
        <w:rPr>
          <w:rFonts w:hint="eastAsia"/>
        </w:rPr>
        <w:t>如陽燄</w:t>
      </w:r>
      <w:r w:rsidRPr="00DA3BC7">
        <w:rPr>
          <w:rStyle w:val="a6"/>
          <w:rFonts w:ascii="Times New Roman" w:hAnsi="Times New Roman"/>
        </w:rPr>
        <w:footnoteReference w:id="924"/>
      </w:r>
      <w:r w:rsidRPr="00DA3BC7">
        <w:rPr>
          <w:rFonts w:hint="eastAsia"/>
        </w:rPr>
        <w:t>，見為水相，而不是真實的水，是</w:t>
      </w:r>
      <w:r w:rsidRPr="00DA3BC7">
        <w:rPr>
          <w:rFonts w:hint="eastAsia"/>
          <w:b/>
        </w:rPr>
        <w:t>假的</w:t>
      </w:r>
      <w:r w:rsidRPr="00DA3BC7">
        <w:rPr>
          <w:rFonts w:hint="eastAsia"/>
        </w:rPr>
        <w:t>；</w:t>
      </w:r>
    </w:p>
    <w:p w:rsidR="00AA120F" w:rsidRPr="00DA3BC7" w:rsidRDefault="00AA120F" w:rsidP="006E15B6">
      <w:pPr>
        <w:ind w:leftChars="300" w:left="720"/>
        <w:jc w:val="both"/>
      </w:pPr>
      <w:r w:rsidRPr="00DA3BC7">
        <w:rPr>
          <w:rFonts w:hint="eastAsia"/>
        </w:rPr>
        <w:t>見清冷的水，以為是</w:t>
      </w:r>
      <w:r w:rsidRPr="00DA3BC7">
        <w:rPr>
          <w:rFonts w:hint="eastAsia"/>
          <w:b/>
        </w:rPr>
        <w:t>實有的</w:t>
      </w:r>
      <w:r w:rsidRPr="00DA3BC7">
        <w:rPr>
          <w:rFonts w:hint="eastAsia"/>
        </w:rPr>
        <w:t>。</w:t>
      </w:r>
    </w:p>
    <w:p w:rsidR="00AA120F" w:rsidRPr="00DA3BC7" w:rsidRDefault="00AA120F" w:rsidP="00AE3920">
      <w:pPr>
        <w:spacing w:beforeLines="20"/>
        <w:ind w:leftChars="300" w:left="720"/>
        <w:jc w:val="both"/>
      </w:pPr>
      <w:r w:rsidRPr="00DA3BC7">
        <w:rPr>
          <w:rFonts w:hint="eastAsia"/>
          <w:b/>
        </w:rPr>
        <w:t>前者</w:t>
      </w:r>
      <w:r w:rsidRPr="00DA3BC7">
        <w:rPr>
          <w:rFonts w:hint="eastAsia"/>
        </w:rPr>
        <w:t>，一般的認識也能了解為不實的，而</w:t>
      </w:r>
      <w:r w:rsidRPr="00DA3BC7">
        <w:rPr>
          <w:rFonts w:hint="eastAsia"/>
          <w:b/>
        </w:rPr>
        <w:t>後者，</w:t>
      </w:r>
      <w:r w:rsidRPr="00DA3BC7">
        <w:rPr>
          <w:rFonts w:hint="eastAsia"/>
        </w:rPr>
        <w:t>一般人都以為有實性的。</w:t>
      </w:r>
    </w:p>
    <w:p w:rsidR="00AA120F" w:rsidRPr="00DA3BC7" w:rsidRDefault="009A0718" w:rsidP="00AE3920">
      <w:pPr>
        <w:spacing w:beforeLines="30"/>
        <w:ind w:leftChars="300" w:left="720"/>
        <w:jc w:val="both"/>
        <w:rPr>
          <w:rFonts w:ascii="Times Ext Roman" w:hAnsi="Times Ext Roman" w:cs="Times Ext Roman"/>
          <w:sz w:val="20"/>
          <w:bdr w:val="single" w:sz="4" w:space="0" w:color="auto"/>
        </w:rPr>
      </w:pPr>
      <w:r w:rsidRPr="009A0718">
        <w:rPr>
          <w:rFonts w:ascii="Times Ext Roman" w:hAnsi="Times Ext Roman" w:cs="Times Ext Roman" w:hint="eastAsia"/>
          <w:b/>
          <w:color w:val="FF0000"/>
          <w:sz w:val="20"/>
          <w:highlight w:val="yellow"/>
          <w:bdr w:val="single" w:sz="4" w:space="0" w:color="auto"/>
        </w:rPr>
        <w:t>B</w:t>
      </w:r>
      <w:r w:rsidR="00AA120F" w:rsidRPr="009A0718">
        <w:rPr>
          <w:rFonts w:ascii="Times Ext Roman" w:hAnsi="Times Ext Roman" w:cs="Times Ext Roman"/>
          <w:b/>
          <w:color w:val="FF0000"/>
          <w:sz w:val="20"/>
          <w:highlight w:val="yellow"/>
          <w:bdr w:val="single" w:sz="4" w:space="0" w:color="auto"/>
        </w:rPr>
        <w:t>、</w:t>
      </w:r>
      <w:r w:rsidRPr="009A0718">
        <w:rPr>
          <w:rFonts w:ascii="Times Ext Roman" w:hAnsi="Times Ext Roman" w:cs="Times Ext Roman" w:hint="eastAsia"/>
          <w:b/>
          <w:color w:val="FF0000"/>
          <w:sz w:val="20"/>
          <w:highlight w:val="yellow"/>
          <w:bdr w:val="single" w:sz="4" w:space="0" w:color="auto"/>
        </w:rPr>
        <w:t>學派所宗</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214</w:t>
      </w:r>
      <w:r w:rsidR="00AA120F" w:rsidRPr="00DA3BC7">
        <w:rPr>
          <w:rFonts w:ascii="Times New Roman" w:hAnsi="Times New Roman" w:hint="eastAsia"/>
          <w:sz w:val="20"/>
        </w:rPr>
        <w:t>）</w:t>
      </w:r>
    </w:p>
    <w:p w:rsidR="009A0718" w:rsidRDefault="00AA120F" w:rsidP="006E15B6">
      <w:pPr>
        <w:ind w:leftChars="300" w:left="720"/>
        <w:jc w:val="both"/>
      </w:pPr>
      <w:r w:rsidRPr="00DA3BC7">
        <w:rPr>
          <w:rFonts w:hint="eastAsia"/>
        </w:rPr>
        <w:t>此假實的分別，一般學者也如此。</w:t>
      </w:r>
    </w:p>
    <w:p w:rsidR="00AA120F" w:rsidRPr="00DA3BC7" w:rsidRDefault="00AA120F" w:rsidP="006E15B6">
      <w:pPr>
        <w:ind w:leftChars="300" w:left="720"/>
        <w:jc w:val="both"/>
      </w:pPr>
      <w:r w:rsidRPr="009A0718">
        <w:rPr>
          <w:rFonts w:hint="eastAsia"/>
          <w:highlight w:val="yellow"/>
        </w:rPr>
        <w:t>如</w:t>
      </w:r>
      <w:r w:rsidRPr="00DA3BC7">
        <w:rPr>
          <w:rFonts w:hint="eastAsia"/>
          <w:b/>
        </w:rPr>
        <w:t>有部的二諦</w:t>
      </w:r>
      <w:r w:rsidRPr="00DA3BC7">
        <w:rPr>
          <w:rFonts w:hint="eastAsia"/>
        </w:rPr>
        <w:t>，</w:t>
      </w:r>
      <w:r w:rsidR="009A0718" w:rsidRPr="00DA3BC7">
        <w:rPr>
          <w:rStyle w:val="a6"/>
          <w:rFonts w:ascii="Times New Roman" w:hAnsi="Times New Roman"/>
        </w:rPr>
        <w:footnoteReference w:id="925"/>
      </w:r>
      <w:r w:rsidRPr="00DA3BC7">
        <w:rPr>
          <w:rFonts w:hint="eastAsia"/>
        </w:rPr>
        <w:t>即約「假有無自性」與「實有自性」而建立：</w:t>
      </w:r>
    </w:p>
    <w:p w:rsidR="006E15B6" w:rsidRDefault="00AA120F" w:rsidP="006E15B6">
      <w:pPr>
        <w:ind w:leftChars="1000" w:left="2400"/>
        <w:jc w:val="both"/>
      </w:pPr>
      <w:r w:rsidRPr="00DA3BC7">
        <w:rPr>
          <w:rFonts w:hint="eastAsia"/>
        </w:rPr>
        <w:lastRenderedPageBreak/>
        <w:t>以為青黃色等，是有實在自體的，是</w:t>
      </w:r>
      <w:r w:rsidRPr="00DA3BC7">
        <w:rPr>
          <w:rFonts w:hint="eastAsia"/>
          <w:b/>
        </w:rPr>
        <w:t>勝義有</w:t>
      </w:r>
      <w:r w:rsidRPr="00DA3BC7">
        <w:rPr>
          <w:rFonts w:hint="eastAsia"/>
        </w:rPr>
        <w:t>；</w:t>
      </w:r>
    </w:p>
    <w:p w:rsidR="00AA120F" w:rsidRPr="00DA3BC7" w:rsidRDefault="00AA120F" w:rsidP="006E15B6">
      <w:pPr>
        <w:ind w:leftChars="1000" w:left="2400"/>
        <w:jc w:val="both"/>
      </w:pPr>
      <w:r w:rsidRPr="00DA3BC7">
        <w:rPr>
          <w:rFonts w:hint="eastAsia"/>
        </w:rPr>
        <w:t>相續和合的現相，是假的，是</w:t>
      </w:r>
      <w:r w:rsidRPr="00DA3BC7">
        <w:rPr>
          <w:rFonts w:hint="eastAsia"/>
          <w:b/>
        </w:rPr>
        <w:t>世俗有</w:t>
      </w:r>
      <w:r w:rsidRPr="00DA3BC7">
        <w:rPr>
          <w:rFonts w:hint="eastAsia"/>
        </w:rPr>
        <w:t>。</w:t>
      </w:r>
    </w:p>
    <w:p w:rsidR="00AA120F" w:rsidRPr="00DA3BC7" w:rsidRDefault="009A0718" w:rsidP="00AE3920">
      <w:pPr>
        <w:spacing w:beforeLines="50"/>
        <w:ind w:leftChars="250" w:left="600"/>
        <w:jc w:val="both"/>
        <w:rPr>
          <w:rFonts w:ascii="Times Ext Roman" w:hAnsi="Times Ext Roman" w:cs="Times Ext Roman"/>
          <w:sz w:val="20"/>
          <w:bdr w:val="single" w:sz="4" w:space="0" w:color="auto"/>
        </w:rPr>
      </w:pPr>
      <w:r w:rsidRPr="009A0718">
        <w:rPr>
          <w:rFonts w:ascii="Times Ext Roman" w:hAnsi="Times Ext Roman" w:cs="Times Ext Roman" w:hint="eastAsia"/>
          <w:b/>
          <w:color w:val="FF0000"/>
          <w:sz w:val="20"/>
          <w:highlight w:val="yellow"/>
          <w:bdr w:val="single" w:sz="4" w:space="0" w:color="auto"/>
        </w:rPr>
        <w:t>（</w:t>
      </w:r>
      <w:r w:rsidRPr="009A0718">
        <w:rPr>
          <w:rFonts w:ascii="Times Ext Roman" w:hAnsi="Times Ext Roman" w:cs="Times Ext Roman" w:hint="eastAsia"/>
          <w:b/>
          <w:color w:val="FF0000"/>
          <w:sz w:val="20"/>
          <w:highlight w:val="yellow"/>
          <w:bdr w:val="single" w:sz="4" w:space="0" w:color="auto"/>
        </w:rPr>
        <w:t>2</w:t>
      </w:r>
      <w:r w:rsidRPr="009A0718">
        <w:rPr>
          <w:rFonts w:ascii="Times Ext Roman" w:hAnsi="Times Ext Roman" w:cs="Times Ext Roman" w:hint="eastAsia"/>
          <w:b/>
          <w:color w:val="FF0000"/>
          <w:sz w:val="20"/>
          <w:highlight w:val="yellow"/>
          <w:bdr w:val="single" w:sz="4" w:space="0" w:color="auto"/>
        </w:rPr>
        <w:t>）評凡情認知之失</w:t>
      </w:r>
      <w:r w:rsidR="00AA120F" w:rsidRPr="00DA3BC7">
        <w:rPr>
          <w:rFonts w:ascii="Times New Roman" w:hAnsi="Times New Roman" w:hint="eastAsia"/>
          <w:sz w:val="20"/>
        </w:rPr>
        <w:t>（</w:t>
      </w:r>
      <w:r w:rsidR="00AA120F" w:rsidRPr="00DA3BC7">
        <w:rPr>
          <w:rFonts w:ascii="Times New Roman" w:hAnsi="Times New Roman" w:hint="eastAsia"/>
          <w:sz w:val="20"/>
        </w:rPr>
        <w:t>pp.</w:t>
      </w:r>
      <w:r w:rsidR="00AA120F" w:rsidRPr="00DA3BC7">
        <w:rPr>
          <w:rFonts w:ascii="Times New Roman" w:hAnsi="Times New Roman"/>
          <w:sz w:val="20"/>
        </w:rPr>
        <w:t>214</w:t>
      </w:r>
      <w:r w:rsidR="00AA120F" w:rsidRPr="00DA3BC7">
        <w:rPr>
          <w:rFonts w:ascii="Times New Roman" w:hAnsi="Times New Roman" w:hint="eastAsia"/>
          <w:sz w:val="20"/>
        </w:rPr>
        <w:t>-215</w:t>
      </w:r>
      <w:r w:rsidR="00AA120F" w:rsidRPr="00DA3BC7">
        <w:rPr>
          <w:rFonts w:ascii="Times New Roman" w:hAnsi="Times New Roman" w:hint="eastAsia"/>
          <w:sz w:val="20"/>
        </w:rPr>
        <w:t>）</w:t>
      </w:r>
    </w:p>
    <w:p w:rsidR="00AA120F" w:rsidRDefault="009A0718" w:rsidP="00303413">
      <w:pPr>
        <w:ind w:leftChars="300" w:left="720"/>
        <w:jc w:val="both"/>
        <w:rPr>
          <w:rFonts w:ascii="Times New Roman" w:hAnsi="Times New Roman"/>
          <w:sz w:val="20"/>
        </w:rPr>
      </w:pPr>
      <w:r w:rsidRPr="009A0718">
        <w:rPr>
          <w:rFonts w:ascii="Times Ext Roman" w:hAnsi="Times Ext Roman" w:cs="Times Ext Roman" w:hint="eastAsia"/>
          <w:b/>
          <w:color w:val="FF0000"/>
          <w:sz w:val="20"/>
          <w:highlight w:val="yellow"/>
          <w:bdr w:val="single" w:sz="4" w:space="0" w:color="auto"/>
        </w:rPr>
        <w:t>A</w:t>
      </w:r>
      <w:r w:rsidRPr="009A0718">
        <w:rPr>
          <w:rFonts w:ascii="Times Ext Roman" w:hAnsi="Times Ext Roman" w:cs="Times Ext Roman" w:hint="eastAsia"/>
          <w:b/>
          <w:color w:val="FF0000"/>
          <w:sz w:val="20"/>
          <w:highlight w:val="yellow"/>
          <w:bdr w:val="single" w:sz="4" w:space="0" w:color="auto"/>
        </w:rPr>
        <w:t>、別明</w:t>
      </w:r>
      <w:r w:rsidRPr="00DA3BC7">
        <w:rPr>
          <w:rFonts w:ascii="Times New Roman" w:hAnsi="Times New Roman" w:hint="eastAsia"/>
          <w:sz w:val="20"/>
        </w:rPr>
        <w:t>（</w:t>
      </w:r>
      <w:r w:rsidRPr="00DA3BC7">
        <w:rPr>
          <w:rFonts w:ascii="Times New Roman" w:hAnsi="Times New Roman" w:hint="eastAsia"/>
          <w:sz w:val="20"/>
        </w:rPr>
        <w:t>pp.</w:t>
      </w:r>
      <w:r w:rsidRPr="00DA3BC7">
        <w:rPr>
          <w:rFonts w:ascii="Times New Roman" w:hAnsi="Times New Roman"/>
          <w:sz w:val="20"/>
        </w:rPr>
        <w:t>214</w:t>
      </w:r>
      <w:r w:rsidRPr="00DA3BC7">
        <w:rPr>
          <w:rFonts w:ascii="Times New Roman" w:hAnsi="Times New Roman" w:hint="eastAsia"/>
          <w:sz w:val="20"/>
        </w:rPr>
        <w:t>-215</w:t>
      </w:r>
      <w:r w:rsidRPr="00DA3BC7">
        <w:rPr>
          <w:rFonts w:ascii="Times New Roman" w:hAnsi="Times New Roman" w:hint="eastAsia"/>
          <w:sz w:val="20"/>
        </w:rPr>
        <w:t>）</w:t>
      </w:r>
    </w:p>
    <w:p w:rsidR="009A0718" w:rsidRPr="00DA3BC7" w:rsidRDefault="009A0718" w:rsidP="00303413">
      <w:pPr>
        <w:ind w:leftChars="350" w:left="840"/>
        <w:jc w:val="both"/>
        <w:rPr>
          <w:rFonts w:ascii="Times Ext Roman" w:hAnsi="Times Ext Roman" w:cs="Times Ext Roman"/>
          <w:b/>
          <w:sz w:val="20"/>
          <w:bdr w:val="single" w:sz="4" w:space="0" w:color="auto"/>
        </w:rPr>
      </w:pPr>
      <w:r>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A</w:t>
      </w:r>
      <w:r>
        <w:rPr>
          <w:rFonts w:ascii="Times Ext Roman" w:hAnsi="Times Ext Roman" w:cs="Times Ext Roman" w:hint="eastAsia"/>
          <w:b/>
          <w:color w:val="FF0000"/>
          <w:sz w:val="20"/>
          <w:highlight w:val="yellow"/>
          <w:bdr w:val="single" w:sz="4" w:space="0" w:color="auto"/>
        </w:rPr>
        <w:t>）辨「非真實境」</w:t>
      </w:r>
      <w:r>
        <w:rPr>
          <w:rFonts w:ascii="Times New Roman" w:hAnsi="Times New Roman" w:hint="eastAsia"/>
          <w:sz w:val="20"/>
        </w:rPr>
        <w:t>（</w:t>
      </w:r>
      <w:r>
        <w:rPr>
          <w:rFonts w:ascii="Times New Roman" w:hAnsi="Times New Roman"/>
          <w:sz w:val="20"/>
        </w:rPr>
        <w:t>p.21</w:t>
      </w:r>
      <w:r>
        <w:rPr>
          <w:rFonts w:ascii="Times New Roman" w:hAnsi="Times New Roman" w:hint="eastAsia"/>
          <w:sz w:val="20"/>
        </w:rPr>
        <w:t>4</w:t>
      </w:r>
      <w:r>
        <w:rPr>
          <w:rFonts w:ascii="Times New Roman" w:hAnsi="Times New Roman" w:hint="eastAsia"/>
          <w:sz w:val="20"/>
        </w:rPr>
        <w:t>）</w:t>
      </w:r>
    </w:p>
    <w:p w:rsidR="00AA120F" w:rsidRPr="00DA3BC7" w:rsidRDefault="00AA120F" w:rsidP="00303413">
      <w:pPr>
        <w:ind w:leftChars="350" w:left="840"/>
        <w:jc w:val="both"/>
      </w:pPr>
      <w:r w:rsidRPr="00DA3BC7">
        <w:rPr>
          <w:rFonts w:hint="eastAsia"/>
        </w:rPr>
        <w:t>依</w:t>
      </w:r>
      <w:r w:rsidRPr="00DA3BC7">
        <w:rPr>
          <w:rFonts w:hint="eastAsia"/>
          <w:b/>
        </w:rPr>
        <w:t>中觀者</w:t>
      </w:r>
      <w:r w:rsidRPr="00DA3BC7">
        <w:rPr>
          <w:rFonts w:hint="eastAsia"/>
        </w:rPr>
        <w:t>看來，此二類中一般所謂不實的，並不全是主觀的產物。</w:t>
      </w:r>
    </w:p>
    <w:p w:rsidR="00AA120F" w:rsidRPr="00DA3BC7" w:rsidRDefault="00AA120F" w:rsidP="00AE3920">
      <w:pPr>
        <w:spacing w:beforeLines="20"/>
        <w:ind w:leftChars="350" w:left="840"/>
        <w:jc w:val="both"/>
      </w:pPr>
      <w:r w:rsidRPr="00525F38">
        <w:rPr>
          <w:rFonts w:hint="eastAsia"/>
        </w:rPr>
        <w:t>如遠望馬路，越遠越狹</w:t>
      </w:r>
      <w:r w:rsidRPr="00DA3BC7">
        <w:rPr>
          <w:rFonts w:hint="eastAsia"/>
        </w:rPr>
        <w:t>，但路何嘗是越遠越狹？認識的越遠越狹，是錯亂的，但並不是主觀的錯誤，因為這還是因緣關係而現為如此的。就是用照相機去照，也是越遠越狹的。</w:t>
      </w:r>
    </w:p>
    <w:p w:rsidR="00AA120F" w:rsidRPr="00DA3BC7" w:rsidRDefault="00AA120F" w:rsidP="00AE3920">
      <w:pPr>
        <w:spacing w:beforeLines="20"/>
        <w:ind w:leftChars="350" w:left="840"/>
        <w:jc w:val="both"/>
      </w:pPr>
      <w:r w:rsidRPr="00DA3BC7">
        <w:rPr>
          <w:rFonts w:hint="eastAsia"/>
        </w:rPr>
        <w:t>又如</w:t>
      </w:r>
      <w:r w:rsidRPr="00525F38">
        <w:rPr>
          <w:rFonts w:hint="eastAsia"/>
        </w:rPr>
        <w:t>放筆在水杯中現有曲折相</w:t>
      </w:r>
      <w:r w:rsidRPr="00DA3BC7">
        <w:rPr>
          <w:rFonts w:hint="eastAsia"/>
        </w:rPr>
        <w:t>，此筆的現為曲相，也決不僅是認識的錯誤。</w:t>
      </w:r>
    </w:p>
    <w:p w:rsidR="00AA120F" w:rsidRPr="00DA3BC7" w:rsidRDefault="00AA120F" w:rsidP="00AE3920">
      <w:pPr>
        <w:spacing w:beforeLines="20"/>
        <w:ind w:leftChars="350" w:left="840"/>
        <w:jc w:val="both"/>
      </w:pPr>
      <w:r w:rsidRPr="00DA3BC7">
        <w:rPr>
          <w:rFonts w:hint="eastAsia"/>
        </w:rPr>
        <w:t>這些錯亂的現相，幻、化、陽燄等等，是假的有，也即是空的，但</w:t>
      </w:r>
      <w:r w:rsidRPr="00DA3BC7">
        <w:rPr>
          <w:rFonts w:hint="eastAsia"/>
          <w:b/>
        </w:rPr>
        <w:t>不是</w:t>
      </w:r>
      <w:r w:rsidR="00525F38">
        <w:rPr>
          <w:rFonts w:hint="eastAsia"/>
          <w:b/>
        </w:rPr>
        <w:t>什</w:t>
      </w:r>
      <w:r w:rsidRPr="00DA3BC7">
        <w:rPr>
          <w:rFonts w:hint="eastAsia"/>
          <w:b/>
        </w:rPr>
        <w:t>麼都沒有，不過此不是實相，是錯亂的幻現罷了</w:t>
      </w:r>
      <w:r w:rsidRPr="00DA3BC7">
        <w:rPr>
          <w:rFonts w:hint="eastAsia"/>
        </w:rPr>
        <w:t>。龍樹也曾說：「</w:t>
      </w:r>
      <w:r w:rsidRPr="00DA3BC7">
        <w:rPr>
          <w:rFonts w:ascii="標楷體" w:eastAsia="標楷體" w:hAnsi="標楷體" w:hint="eastAsia"/>
        </w:rPr>
        <w:t>幻相法爾，雖空而可聞可見</w:t>
      </w:r>
      <w:r w:rsidRPr="00DA3BC7">
        <w:rPr>
          <w:rFonts w:hint="eastAsia"/>
        </w:rPr>
        <w:t>。」</w:t>
      </w:r>
      <w:r w:rsidRPr="00DA3BC7">
        <w:rPr>
          <w:rStyle w:val="a6"/>
          <w:rFonts w:ascii="Times New Roman" w:hAnsi="Times New Roman"/>
        </w:rPr>
        <w:footnoteReference w:id="926"/>
      </w:r>
      <w:r w:rsidRPr="00DA3BC7">
        <w:rPr>
          <w:rFonts w:hint="eastAsia"/>
          <w:b/>
        </w:rPr>
        <w:t>說錯亂，說假名，說空無實性，不是</w:t>
      </w:r>
      <w:r w:rsidR="009A0718">
        <w:rPr>
          <w:rFonts w:hint="eastAsia"/>
          <w:b/>
        </w:rPr>
        <w:t>什</w:t>
      </w:r>
      <w:r w:rsidRPr="00DA3BC7">
        <w:rPr>
          <w:rFonts w:hint="eastAsia"/>
          <w:b/>
        </w:rPr>
        <w:t>麼都沒有</w:t>
      </w:r>
      <w:r w:rsidRPr="00DA3BC7">
        <w:rPr>
          <w:rFonts w:hint="eastAsia"/>
        </w:rPr>
        <w:t>。空宗說空不礙幻有，即以此為理論的依據。</w:t>
      </w:r>
    </w:p>
    <w:p w:rsidR="00AA120F" w:rsidRPr="00DA3BC7" w:rsidRDefault="009A0718" w:rsidP="00AE3920">
      <w:pPr>
        <w:spacing w:beforeLines="30"/>
        <w:ind w:leftChars="350" w:left="840"/>
        <w:jc w:val="both"/>
        <w:rPr>
          <w:rFonts w:ascii="Times Ext Roman" w:hAnsi="Times Ext Roman" w:cs="Times Ext Roman"/>
          <w:sz w:val="20"/>
          <w:bdr w:val="single" w:sz="4" w:space="0" w:color="auto"/>
        </w:rPr>
      </w:pPr>
      <w:r>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B</w:t>
      </w:r>
      <w:r>
        <w:rPr>
          <w:rFonts w:ascii="Times Ext Roman" w:hAnsi="Times Ext Roman" w:cs="Times Ext Roman" w:hint="eastAsia"/>
          <w:b/>
          <w:color w:val="FF0000"/>
          <w:sz w:val="20"/>
          <w:highlight w:val="yellow"/>
          <w:bdr w:val="single" w:sz="4" w:space="0" w:color="auto"/>
        </w:rPr>
        <w:t>）辨「真實境」</w:t>
      </w:r>
      <w:r w:rsidR="00AA120F" w:rsidRPr="00DA3BC7">
        <w:rPr>
          <w:rFonts w:ascii="Times New Roman" w:hAnsi="Times New Roman" w:hint="eastAsia"/>
          <w:sz w:val="20"/>
        </w:rPr>
        <w:t>（</w:t>
      </w:r>
      <w:r w:rsidR="00AA120F" w:rsidRPr="00DA3BC7">
        <w:rPr>
          <w:rFonts w:ascii="Times New Roman" w:hAnsi="Times New Roman" w:hint="eastAsia"/>
          <w:sz w:val="20"/>
        </w:rPr>
        <w:t>pp.</w:t>
      </w:r>
      <w:r w:rsidR="00AA120F" w:rsidRPr="00DA3BC7">
        <w:rPr>
          <w:rFonts w:ascii="Times New Roman" w:hAnsi="Times New Roman"/>
          <w:sz w:val="20"/>
        </w:rPr>
        <w:t>214</w:t>
      </w:r>
      <w:r w:rsidR="00AA120F" w:rsidRPr="00DA3BC7">
        <w:rPr>
          <w:rFonts w:ascii="Times New Roman" w:hAnsi="Times New Roman" w:hint="eastAsia"/>
          <w:sz w:val="20"/>
        </w:rPr>
        <w:t>-215</w:t>
      </w:r>
      <w:r w:rsidR="00AA120F" w:rsidRPr="00DA3BC7">
        <w:rPr>
          <w:rFonts w:ascii="Times New Roman" w:hAnsi="Times New Roman" w:hint="eastAsia"/>
          <w:sz w:val="20"/>
        </w:rPr>
        <w:t>）</w:t>
      </w:r>
    </w:p>
    <w:p w:rsidR="00AA120F" w:rsidRPr="00DA3BC7" w:rsidRDefault="00AA120F" w:rsidP="00303413">
      <w:pPr>
        <w:ind w:leftChars="350" w:left="840"/>
        <w:jc w:val="both"/>
      </w:pPr>
      <w:r w:rsidRPr="00DA3BC7">
        <w:rPr>
          <w:rFonts w:hint="eastAsia"/>
        </w:rPr>
        <w:t>反過來說，一般人所見為千真萬確的，也並不就是實在的。</w:t>
      </w:r>
    </w:p>
    <w:p w:rsidR="00AA120F" w:rsidRPr="00DA3BC7" w:rsidRDefault="00AA120F" w:rsidP="00AE3920">
      <w:pPr>
        <w:spacing w:beforeLines="20"/>
        <w:ind w:leftChars="350" w:left="840"/>
        <w:jc w:val="both"/>
      </w:pPr>
      <w:r w:rsidRPr="00DA3BC7">
        <w:rPr>
          <w:rFonts w:hint="eastAsia"/>
        </w:rPr>
        <w:t>如</w:t>
      </w:r>
      <w:r w:rsidRPr="00DA3BC7">
        <w:rPr>
          <w:rFonts w:hint="eastAsia"/>
          <w:b/>
        </w:rPr>
        <w:t>薩婆多部</w:t>
      </w:r>
      <w:r w:rsidRPr="00DA3BC7">
        <w:rPr>
          <w:rFonts w:hint="eastAsia"/>
        </w:rPr>
        <w:t>以青黃赤白色為實有自性的，但依科學者說，這不過光波的深淺強弱所致。如光線起變化時，所見也就不同了。</w:t>
      </w:r>
    </w:p>
    <w:p w:rsidR="00AA120F" w:rsidRPr="00DA3BC7" w:rsidRDefault="00AA120F" w:rsidP="00AE3920">
      <w:pPr>
        <w:spacing w:beforeLines="20"/>
        <w:ind w:leftChars="350" w:left="840"/>
        <w:jc w:val="both"/>
      </w:pPr>
      <w:r w:rsidRPr="00DA3BC7">
        <w:rPr>
          <w:rFonts w:hint="eastAsia"/>
        </w:rPr>
        <w:t>如有人以體積為實有的，實則不可析、不可入的極微不可得，即不會有體積的實性。容積</w:t>
      </w:r>
      <w:r w:rsidRPr="00DA3BC7">
        <w:rPr>
          <w:rStyle w:val="a6"/>
          <w:rFonts w:ascii="Times New Roman" w:hAnsi="Times New Roman"/>
        </w:rPr>
        <w:footnoteReference w:id="927"/>
      </w:r>
      <w:r w:rsidRPr="00DA3BC7">
        <w:rPr>
          <w:rFonts w:hint="eastAsia"/>
        </w:rPr>
        <w:t>的擴大與收縮，並無固定的實體可得。</w:t>
      </w:r>
    </w:p>
    <w:p w:rsidR="00AA120F" w:rsidRPr="00DA3BC7" w:rsidRDefault="009A0718" w:rsidP="00AE3920">
      <w:pPr>
        <w:spacing w:beforeLines="30"/>
        <w:ind w:leftChars="300" w:left="720"/>
        <w:jc w:val="both"/>
        <w:rPr>
          <w:rFonts w:ascii="Times Ext Roman" w:hAnsi="Times Ext Roman" w:cs="Times Ext Roman"/>
          <w:sz w:val="20"/>
          <w:bdr w:val="single" w:sz="4" w:space="0" w:color="auto"/>
        </w:rPr>
      </w:pPr>
      <w:r w:rsidRPr="009A0718">
        <w:rPr>
          <w:rFonts w:ascii="Times Ext Roman" w:hAnsi="Times Ext Roman" w:cs="Times Ext Roman" w:hint="eastAsia"/>
          <w:b/>
          <w:color w:val="FF0000"/>
          <w:sz w:val="20"/>
          <w:highlight w:val="yellow"/>
          <w:bdr w:val="single" w:sz="4" w:space="0" w:color="auto"/>
        </w:rPr>
        <w:t>B</w:t>
      </w:r>
      <w:r w:rsidRPr="009A0718">
        <w:rPr>
          <w:rFonts w:ascii="Times Ext Roman" w:hAnsi="Times Ext Roman" w:cs="Times Ext Roman" w:hint="eastAsia"/>
          <w:b/>
          <w:color w:val="FF0000"/>
          <w:sz w:val="20"/>
          <w:highlight w:val="yellow"/>
          <w:bdr w:val="single" w:sz="4" w:space="0" w:color="auto"/>
        </w:rPr>
        <w:t>、合說</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215</w:t>
      </w:r>
      <w:r w:rsidR="00AA120F" w:rsidRPr="00DA3BC7">
        <w:rPr>
          <w:rFonts w:ascii="Times New Roman" w:hAnsi="Times New Roman" w:hint="eastAsia"/>
          <w:sz w:val="20"/>
        </w:rPr>
        <w:t>）</w:t>
      </w:r>
    </w:p>
    <w:p w:rsidR="00AA120F" w:rsidRPr="00DA3BC7" w:rsidRDefault="00AA120F" w:rsidP="00303413">
      <w:pPr>
        <w:ind w:leftChars="300" w:left="720"/>
        <w:jc w:val="both"/>
      </w:pPr>
      <w:r w:rsidRPr="00DA3BC7">
        <w:rPr>
          <w:rFonts w:hint="eastAsia"/>
        </w:rPr>
        <w:t>這樣，一般人以為千真萬確的，不見得就實在如此；而一般人以為是</w:t>
      </w:r>
      <w:r w:rsidRPr="00DA3BC7">
        <w:rPr>
          <w:rFonts w:hint="eastAsia"/>
        </w:rPr>
        <w:lastRenderedPageBreak/>
        <w:t>虛假的，也不見得全屬子虛</w:t>
      </w:r>
      <w:r w:rsidRPr="00DA3BC7">
        <w:rPr>
          <w:rStyle w:val="a6"/>
          <w:rFonts w:ascii="Times New Roman" w:hAnsi="Times New Roman"/>
        </w:rPr>
        <w:footnoteReference w:id="928"/>
      </w:r>
      <w:r w:rsidRPr="00DA3BC7">
        <w:rPr>
          <w:rFonts w:hint="eastAsia"/>
        </w:rPr>
        <w:t>。世人每以此二類為一假一實的，機械的劃為二類，實在不可以。</w:t>
      </w:r>
    </w:p>
    <w:p w:rsidR="00AA120F" w:rsidRPr="00DA3BC7" w:rsidRDefault="00AA120F" w:rsidP="00AE3920">
      <w:pPr>
        <w:spacing w:beforeLines="20"/>
        <w:ind w:leftChars="300" w:left="720"/>
        <w:jc w:val="both"/>
      </w:pPr>
      <w:r w:rsidRPr="00DA3BC7">
        <w:rPr>
          <w:rFonts w:hint="eastAsia"/>
        </w:rPr>
        <w:t>這二者</w:t>
      </w:r>
      <w:r w:rsidRPr="00DA3BC7">
        <w:rPr>
          <w:rStyle w:val="a6"/>
          <w:rFonts w:ascii="Times New Roman" w:hAnsi="Times New Roman"/>
        </w:rPr>
        <w:footnoteReference w:id="929"/>
      </w:r>
      <w:r w:rsidRPr="00DA3BC7">
        <w:rPr>
          <w:rFonts w:hint="eastAsia"/>
        </w:rPr>
        <w:t>，</w:t>
      </w:r>
      <w:r w:rsidRPr="00DA3BC7">
        <w:rPr>
          <w:rFonts w:hint="eastAsia"/>
          <w:b/>
        </w:rPr>
        <w:t>中觀者</w:t>
      </w:r>
      <w:r w:rsidRPr="00DA3BC7">
        <w:rPr>
          <w:rFonts w:hint="eastAsia"/>
        </w:rPr>
        <w:t>以為都是如幻假有的，都是錯亂而妄現的。如以某些為實有的，即對於緣起無性的真義未能了解。</w:t>
      </w:r>
    </w:p>
    <w:p w:rsidR="00AA120F" w:rsidRPr="00DA3BC7" w:rsidRDefault="009A0718" w:rsidP="00AE3920">
      <w:pPr>
        <w:spacing w:beforeLines="30"/>
        <w:ind w:leftChars="200" w:left="480"/>
        <w:jc w:val="both"/>
        <w:rPr>
          <w:rFonts w:ascii="Times New Roman" w:hAnsi="Times Ext Roman"/>
          <w:sz w:val="20"/>
        </w:rPr>
      </w:pPr>
      <w:r w:rsidRPr="009A0718">
        <w:rPr>
          <w:rFonts w:ascii="Times Ext Roman" w:hAnsi="Times Ext Roman" w:cs="Times Ext Roman" w:hint="eastAsia"/>
          <w:b/>
          <w:color w:val="FF0000"/>
          <w:sz w:val="20"/>
          <w:highlight w:val="yellow"/>
          <w:bdr w:val="single" w:sz="4" w:space="0" w:color="auto"/>
        </w:rPr>
        <w:t>2</w:t>
      </w:r>
      <w:r w:rsidRPr="009A0718">
        <w:rPr>
          <w:rFonts w:ascii="Times Ext Roman" w:hAnsi="Times Ext Roman" w:cs="Times Ext Roman" w:hint="eastAsia"/>
          <w:b/>
          <w:color w:val="FF0000"/>
          <w:sz w:val="20"/>
          <w:highlight w:val="yellow"/>
          <w:bdr w:val="single" w:sz="4" w:space="0" w:color="auto"/>
        </w:rPr>
        <w:t>、就實而論：「易解空」喻「難解空」</w:t>
      </w:r>
      <w:r w:rsidR="00AA120F" w:rsidRPr="00DA3BC7">
        <w:rPr>
          <w:rFonts w:ascii="Times New Roman" w:hAnsi="Times New Roman" w:hint="eastAsia"/>
          <w:sz w:val="20"/>
        </w:rPr>
        <w:t>（</w:t>
      </w:r>
      <w:r w:rsidR="00AA120F" w:rsidRPr="00DA3BC7">
        <w:rPr>
          <w:rFonts w:ascii="Times New Roman" w:hAnsi="Times New Roman" w:hint="eastAsia"/>
          <w:sz w:val="20"/>
        </w:rPr>
        <w:t>pp.</w:t>
      </w:r>
      <w:r w:rsidR="00AA120F" w:rsidRPr="00DA3BC7">
        <w:rPr>
          <w:rFonts w:ascii="Times New Roman" w:hAnsi="Times New Roman"/>
          <w:sz w:val="20"/>
        </w:rPr>
        <w:t>215</w:t>
      </w:r>
      <w:r w:rsidR="00AA120F" w:rsidRPr="00DA3BC7">
        <w:rPr>
          <w:rFonts w:ascii="Times New Roman" w:hAnsi="Times New Roman" w:hint="eastAsia"/>
          <w:sz w:val="20"/>
        </w:rPr>
        <w:t>-217</w:t>
      </w:r>
      <w:r w:rsidR="00AA120F" w:rsidRPr="00DA3BC7">
        <w:rPr>
          <w:rFonts w:ascii="Times New Roman" w:hAnsi="Times New Roman" w:hint="eastAsia"/>
          <w:sz w:val="20"/>
        </w:rPr>
        <w:t>）</w:t>
      </w:r>
    </w:p>
    <w:p w:rsidR="00AA120F" w:rsidRPr="00DA3BC7" w:rsidRDefault="009A0718" w:rsidP="00303413">
      <w:pPr>
        <w:ind w:leftChars="250" w:left="600"/>
        <w:jc w:val="both"/>
        <w:rPr>
          <w:rFonts w:ascii="Times Ext Roman" w:hAnsi="Times Ext Roman" w:cs="Times Ext Roman"/>
          <w:sz w:val="20"/>
          <w:bdr w:val="single" w:sz="4" w:space="0" w:color="auto"/>
        </w:rPr>
      </w:pPr>
      <w:r w:rsidRPr="009A0718">
        <w:rPr>
          <w:rFonts w:ascii="Times New Roman" w:hAnsi="Times New Roman" w:hint="eastAsia"/>
          <w:b/>
          <w:color w:val="FF0000"/>
          <w:sz w:val="20"/>
          <w:szCs w:val="20"/>
          <w:highlight w:val="yellow"/>
          <w:bdr w:val="single" w:sz="4" w:space="0" w:color="auto"/>
        </w:rPr>
        <w:t>（</w:t>
      </w:r>
      <w:r w:rsidRPr="009A0718">
        <w:rPr>
          <w:rFonts w:ascii="Times New Roman" w:hAnsi="Times New Roman" w:hint="eastAsia"/>
          <w:b/>
          <w:color w:val="FF0000"/>
          <w:sz w:val="20"/>
          <w:szCs w:val="20"/>
          <w:highlight w:val="yellow"/>
          <w:bdr w:val="single" w:sz="4" w:space="0" w:color="auto"/>
        </w:rPr>
        <w:t>1</w:t>
      </w:r>
      <w:r w:rsidRPr="009A0718">
        <w:rPr>
          <w:rFonts w:ascii="Times New Roman" w:hAnsi="Times New Roman" w:hint="eastAsia"/>
          <w:b/>
          <w:color w:val="FF0000"/>
          <w:sz w:val="20"/>
          <w:szCs w:val="20"/>
          <w:highlight w:val="yellow"/>
          <w:bdr w:val="single" w:sz="4" w:space="0" w:color="auto"/>
        </w:rPr>
        <w:t>）</w:t>
      </w:r>
      <w:r w:rsidRPr="009A0718">
        <w:rPr>
          <w:rFonts w:ascii="Times Ext Roman" w:hAnsi="Times Ext Roman" w:cs="Times Ext Roman" w:hint="eastAsia"/>
          <w:b/>
          <w:color w:val="FF0000"/>
          <w:sz w:val="20"/>
          <w:highlight w:val="yellow"/>
          <w:bdr w:val="single" w:sz="4" w:space="0" w:color="auto"/>
        </w:rPr>
        <w:t>舉事：兩種世俗境</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215</w:t>
      </w:r>
      <w:r w:rsidR="00AA120F" w:rsidRPr="00DA3BC7">
        <w:rPr>
          <w:rFonts w:ascii="Times New Roman" w:hAnsi="Times New Roman" w:hint="eastAsia"/>
          <w:sz w:val="20"/>
        </w:rPr>
        <w:t>）</w:t>
      </w:r>
    </w:p>
    <w:p w:rsidR="00AA120F" w:rsidRPr="00DA3BC7" w:rsidRDefault="009A0718" w:rsidP="00303413">
      <w:pPr>
        <w:ind w:leftChars="300" w:left="720"/>
        <w:jc w:val="both"/>
        <w:rPr>
          <w:b/>
          <w:sz w:val="20"/>
          <w:szCs w:val="20"/>
          <w:bdr w:val="single" w:sz="4" w:space="0" w:color="auto"/>
        </w:rPr>
      </w:pPr>
      <w:r w:rsidRPr="009A0718">
        <w:rPr>
          <w:rFonts w:ascii="Times New Roman" w:hAnsi="Times New Roman" w:hint="eastAsia"/>
          <w:b/>
          <w:color w:val="FF0000"/>
          <w:sz w:val="20"/>
          <w:szCs w:val="20"/>
          <w:highlight w:val="yellow"/>
          <w:bdr w:val="single" w:sz="4" w:space="0" w:color="auto"/>
        </w:rPr>
        <w:t>A</w:t>
      </w:r>
      <w:r w:rsidRPr="009A0718">
        <w:rPr>
          <w:rFonts w:ascii="Times New Roman" w:hAnsi="Times New Roman" w:hint="eastAsia"/>
          <w:b/>
          <w:color w:val="FF0000"/>
          <w:sz w:val="20"/>
          <w:szCs w:val="20"/>
          <w:highlight w:val="yellow"/>
          <w:bdr w:val="single" w:sz="4" w:space="0" w:color="auto"/>
        </w:rPr>
        <w:t>、</w:t>
      </w:r>
      <w:r w:rsidR="00AA120F" w:rsidRPr="00DA3BC7">
        <w:rPr>
          <w:rFonts w:hint="eastAsia"/>
          <w:b/>
          <w:sz w:val="20"/>
          <w:szCs w:val="20"/>
          <w:bdr w:val="single" w:sz="4" w:space="0" w:color="auto"/>
        </w:rPr>
        <w:t>總標</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215</w:t>
      </w:r>
      <w:r w:rsidR="00AA120F" w:rsidRPr="00DA3BC7">
        <w:rPr>
          <w:rFonts w:ascii="Times New Roman" w:hAnsi="Times New Roman" w:hint="eastAsia"/>
          <w:sz w:val="20"/>
        </w:rPr>
        <w:t>）</w:t>
      </w:r>
    </w:p>
    <w:p w:rsidR="00AA120F" w:rsidRPr="00DA3BC7" w:rsidRDefault="00AA120F" w:rsidP="00303413">
      <w:pPr>
        <w:ind w:leftChars="300" w:left="720"/>
        <w:jc w:val="both"/>
      </w:pPr>
      <w:r w:rsidRPr="00DA3BC7">
        <w:rPr>
          <w:rFonts w:hint="eastAsia"/>
        </w:rPr>
        <w:t>其實，人類一般認識的世俗境，可分為</w:t>
      </w:r>
      <w:r w:rsidRPr="00DA3BC7">
        <w:rPr>
          <w:rFonts w:hint="eastAsia"/>
          <w:b/>
        </w:rPr>
        <w:t>常態的</w:t>
      </w:r>
      <w:r w:rsidRPr="00DA3BC7">
        <w:rPr>
          <w:rFonts w:hint="eastAsia"/>
        </w:rPr>
        <w:t>與</w:t>
      </w:r>
      <w:r w:rsidRPr="00DA3BC7">
        <w:rPr>
          <w:rFonts w:hint="eastAsia"/>
          <w:b/>
        </w:rPr>
        <w:t>變態的</w:t>
      </w:r>
      <w:r w:rsidRPr="00DA3BC7">
        <w:rPr>
          <w:rFonts w:hint="eastAsia"/>
        </w:rPr>
        <w:t>。</w:t>
      </w:r>
      <w:r w:rsidR="009A0718" w:rsidRPr="00DA3BC7">
        <w:rPr>
          <w:rStyle w:val="a6"/>
          <w:rFonts w:ascii="Times New Roman" w:hAnsi="Times New Roman"/>
        </w:rPr>
        <w:footnoteReference w:id="930"/>
      </w:r>
    </w:p>
    <w:p w:rsidR="00AA120F" w:rsidRPr="00DA3BC7" w:rsidRDefault="009A0718" w:rsidP="00AE3920">
      <w:pPr>
        <w:spacing w:beforeLines="30"/>
        <w:ind w:leftChars="300" w:left="720"/>
        <w:jc w:val="both"/>
        <w:rPr>
          <w:rFonts w:ascii="Times Ext Roman" w:hAnsi="Times Ext Roman" w:cs="Times Ext Roman"/>
          <w:b/>
          <w:sz w:val="20"/>
          <w:bdr w:val="single" w:sz="4" w:space="0" w:color="auto"/>
        </w:rPr>
      </w:pPr>
      <w:r>
        <w:rPr>
          <w:rFonts w:ascii="Times New Roman" w:hAnsi="Times New Roman" w:hint="eastAsia"/>
          <w:b/>
          <w:color w:val="FF0000"/>
          <w:sz w:val="20"/>
          <w:szCs w:val="20"/>
          <w:highlight w:val="yellow"/>
          <w:bdr w:val="single" w:sz="4" w:space="0" w:color="auto"/>
        </w:rPr>
        <w:t>B</w:t>
      </w:r>
      <w:r w:rsidRPr="009A0718">
        <w:rPr>
          <w:rFonts w:ascii="Times New Roman" w:hAnsi="Times New Roman" w:hint="eastAsia"/>
          <w:b/>
          <w:color w:val="FF0000"/>
          <w:sz w:val="20"/>
          <w:szCs w:val="20"/>
          <w:highlight w:val="yellow"/>
          <w:bdr w:val="single" w:sz="4" w:space="0" w:color="auto"/>
        </w:rPr>
        <w:t>、</w:t>
      </w:r>
      <w:r w:rsidR="00AA120F" w:rsidRPr="00DA3BC7">
        <w:rPr>
          <w:rFonts w:ascii="Times Ext Roman" w:hAnsi="Times Ext Roman" w:cs="Times Ext Roman" w:hint="eastAsia"/>
          <w:b/>
          <w:sz w:val="20"/>
          <w:bdr w:val="single" w:sz="4" w:space="0" w:color="auto"/>
        </w:rPr>
        <w:t>別釋</w:t>
      </w:r>
      <w:r w:rsidR="00AA120F" w:rsidRPr="00DA3BC7">
        <w:rPr>
          <w:rFonts w:ascii="Times New Roman" w:hAnsi="Times New Roman" w:hint="eastAsia"/>
          <w:sz w:val="20"/>
        </w:rPr>
        <w:t>（</w:t>
      </w:r>
      <w:r w:rsidR="00AA120F" w:rsidRPr="00DA3BC7">
        <w:rPr>
          <w:rFonts w:ascii="Times New Roman" w:hAnsi="Times New Roman" w:hint="eastAsia"/>
          <w:sz w:val="20"/>
        </w:rPr>
        <w:t>pp.</w:t>
      </w:r>
      <w:r w:rsidR="00AA120F" w:rsidRPr="00DA3BC7">
        <w:rPr>
          <w:rFonts w:ascii="Times New Roman" w:hAnsi="Times New Roman"/>
          <w:sz w:val="20"/>
        </w:rPr>
        <w:t>215</w:t>
      </w:r>
      <w:r w:rsidR="00AA120F" w:rsidRPr="00DA3BC7">
        <w:rPr>
          <w:rFonts w:ascii="Times New Roman" w:hAnsi="Times New Roman" w:hint="eastAsia"/>
          <w:sz w:val="20"/>
        </w:rPr>
        <w:t>-216</w:t>
      </w:r>
      <w:r w:rsidR="00AA120F" w:rsidRPr="00DA3BC7">
        <w:rPr>
          <w:rFonts w:ascii="Times New Roman" w:hAnsi="Times New Roman" w:hint="eastAsia"/>
          <w:sz w:val="20"/>
        </w:rPr>
        <w:t>）</w:t>
      </w:r>
    </w:p>
    <w:p w:rsidR="00AA120F" w:rsidRPr="00DA3BC7" w:rsidRDefault="009A0718" w:rsidP="00303413">
      <w:pPr>
        <w:ind w:leftChars="350" w:left="840"/>
        <w:jc w:val="both"/>
        <w:rPr>
          <w:rFonts w:ascii="Times New Roman" w:hAnsi="Times New Roman"/>
          <w:sz w:val="20"/>
        </w:rPr>
      </w:pPr>
      <w:r w:rsidRPr="009A0718">
        <w:rPr>
          <w:rFonts w:ascii="Times Ext Roman" w:hAnsi="Times Ext Roman" w:cs="Times Ext Roman" w:hint="eastAsia"/>
          <w:b/>
          <w:color w:val="FF0000"/>
          <w:sz w:val="20"/>
          <w:highlight w:val="yellow"/>
          <w:bdr w:val="single" w:sz="4" w:space="0" w:color="auto"/>
        </w:rPr>
        <w:t>（</w:t>
      </w:r>
      <w:r w:rsidRPr="009A0718">
        <w:rPr>
          <w:rFonts w:ascii="Times New Roman" w:hAnsi="Times New Roman" w:cs="Times Ext Roman" w:hint="eastAsia"/>
          <w:b/>
          <w:color w:val="FF0000"/>
          <w:sz w:val="20"/>
          <w:highlight w:val="yellow"/>
          <w:bdr w:val="single" w:sz="4" w:space="0" w:color="auto"/>
        </w:rPr>
        <w:t>A</w:t>
      </w:r>
      <w:r w:rsidRPr="009A0718">
        <w:rPr>
          <w:rFonts w:ascii="Times Ext Roman" w:hAnsi="Times Ext Roman" w:cs="Times Ext Roman" w:hint="eastAsia"/>
          <w:b/>
          <w:color w:val="FF0000"/>
          <w:sz w:val="20"/>
          <w:highlight w:val="yellow"/>
          <w:bdr w:val="single" w:sz="4" w:space="0" w:color="auto"/>
        </w:rPr>
        <w:t>）</w:t>
      </w:r>
      <w:r w:rsidR="00AA120F" w:rsidRPr="00DA3BC7">
        <w:rPr>
          <w:rFonts w:ascii="Times Ext Roman" w:hAnsi="Times Ext Roman" w:cs="Times Ext Roman" w:hint="eastAsia"/>
          <w:b/>
          <w:sz w:val="20"/>
          <w:bdr w:val="single" w:sz="4" w:space="0" w:color="auto"/>
        </w:rPr>
        <w:t>常態的世俗境</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215</w:t>
      </w:r>
      <w:r w:rsidR="00AA120F" w:rsidRPr="00DA3BC7">
        <w:rPr>
          <w:rFonts w:ascii="Times New Roman" w:hAnsi="Times New Roman" w:hint="eastAsia"/>
          <w:sz w:val="20"/>
        </w:rPr>
        <w:t>）</w:t>
      </w:r>
    </w:p>
    <w:p w:rsidR="00AA120F" w:rsidRPr="00DA3BC7" w:rsidRDefault="009A0718" w:rsidP="00ED5DF9">
      <w:pPr>
        <w:tabs>
          <w:tab w:val="left" w:pos="3354"/>
        </w:tabs>
        <w:ind w:leftChars="400" w:left="960"/>
        <w:jc w:val="both"/>
        <w:rPr>
          <w:rFonts w:ascii="Times Ext Roman" w:hAnsi="Times Ext Roman" w:cs="Times Ext Roman"/>
          <w:sz w:val="20"/>
          <w:bdr w:val="single" w:sz="4" w:space="0" w:color="auto"/>
        </w:rPr>
      </w:pPr>
      <w:r w:rsidRPr="009A0718">
        <w:rPr>
          <w:rFonts w:ascii="Times Ext Roman" w:hAnsi="Times Ext Roman" w:cs="Times Ext Roman" w:hint="eastAsia"/>
          <w:b/>
          <w:color w:val="FF0000"/>
          <w:sz w:val="20"/>
          <w:highlight w:val="yellow"/>
          <w:bdr w:val="single" w:sz="4" w:space="0" w:color="auto"/>
        </w:rPr>
        <w:t>a</w:t>
      </w:r>
      <w:r w:rsidRPr="009A0718">
        <w:rPr>
          <w:rFonts w:ascii="Times Ext Roman" w:hAnsi="Times Ext Roman" w:cs="Times Ext Roman" w:hint="eastAsia"/>
          <w:b/>
          <w:color w:val="FF0000"/>
          <w:sz w:val="20"/>
          <w:highlight w:val="yellow"/>
          <w:bdr w:val="single" w:sz="4" w:space="0" w:color="auto"/>
        </w:rPr>
        <w:t>、述義</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215</w:t>
      </w:r>
      <w:r w:rsidR="00AA120F" w:rsidRPr="00DA3BC7">
        <w:rPr>
          <w:rFonts w:ascii="Times New Roman" w:hAnsi="Times New Roman" w:hint="eastAsia"/>
          <w:sz w:val="20"/>
        </w:rPr>
        <w:t>）</w:t>
      </w:r>
      <w:r w:rsidR="00ED5DF9">
        <w:rPr>
          <w:rFonts w:ascii="Times New Roman" w:hAnsi="Times New Roman"/>
          <w:sz w:val="20"/>
        </w:rPr>
        <w:tab/>
      </w:r>
    </w:p>
    <w:p w:rsidR="00AA120F" w:rsidRPr="00DA3BC7" w:rsidRDefault="00AA120F" w:rsidP="00303413">
      <w:pPr>
        <w:ind w:leftChars="400" w:left="960"/>
        <w:jc w:val="both"/>
      </w:pPr>
      <w:r w:rsidRPr="00DA3BC7">
        <w:rPr>
          <w:rFonts w:hint="eastAsia"/>
          <w:b/>
        </w:rPr>
        <w:t>常態的</w:t>
      </w:r>
      <w:r w:rsidRPr="00DA3BC7">
        <w:rPr>
          <w:rFonts w:hint="eastAsia"/>
        </w:rPr>
        <w:t>，即人類由於引業</w:t>
      </w:r>
      <w:r w:rsidRPr="00DA3BC7">
        <w:rPr>
          <w:rStyle w:val="a6"/>
          <w:rFonts w:ascii="Times New Roman" w:hAnsi="Times New Roman"/>
        </w:rPr>
        <w:footnoteReference w:id="931"/>
      </w:r>
      <w:r w:rsidRPr="00DA3BC7">
        <w:rPr>
          <w:rFonts w:hint="eastAsia"/>
        </w:rPr>
        <w:t>所感報體──根身的類似性，由此根身──生理觸境所引起的認識，有著共同性與必然性。</w:t>
      </w:r>
    </w:p>
    <w:p w:rsidR="00AA120F" w:rsidRPr="00DA3BC7" w:rsidRDefault="009A0718" w:rsidP="00AE3920">
      <w:pPr>
        <w:spacing w:beforeLines="30"/>
        <w:ind w:leftChars="400" w:left="960"/>
        <w:jc w:val="both"/>
        <w:rPr>
          <w:rFonts w:ascii="Times Ext Roman" w:hAnsi="Times Ext Roman" w:cs="Times Ext Roman"/>
          <w:b/>
          <w:sz w:val="20"/>
          <w:bdr w:val="single" w:sz="4" w:space="0" w:color="auto"/>
        </w:rPr>
      </w:pPr>
      <w:r w:rsidRPr="009A0718">
        <w:rPr>
          <w:rFonts w:ascii="Times Ext Roman" w:hAnsi="Times Ext Roman" w:cs="Times Ext Roman" w:hint="eastAsia"/>
          <w:b/>
          <w:color w:val="FF0000"/>
          <w:sz w:val="20"/>
          <w:highlight w:val="yellow"/>
          <w:bdr w:val="single" w:sz="4" w:space="0" w:color="auto"/>
        </w:rPr>
        <w:lastRenderedPageBreak/>
        <w:t>b</w:t>
      </w:r>
      <w:r w:rsidRPr="009A0718">
        <w:rPr>
          <w:rFonts w:ascii="Times Ext Roman" w:hAnsi="Times Ext Roman" w:cs="Times Ext Roman" w:hint="eastAsia"/>
          <w:b/>
          <w:color w:val="FF0000"/>
          <w:sz w:val="20"/>
          <w:highlight w:val="yellow"/>
          <w:bdr w:val="single" w:sz="4" w:space="0" w:color="auto"/>
        </w:rPr>
        <w:t>、分類</w:t>
      </w:r>
      <w:r w:rsidR="00704A1C" w:rsidRPr="00DA3BC7">
        <w:rPr>
          <w:rFonts w:ascii="Times New Roman" w:hAnsi="Times New Roman" w:hint="eastAsia"/>
          <w:sz w:val="20"/>
        </w:rPr>
        <w:t>（</w:t>
      </w:r>
      <w:r w:rsidR="00704A1C" w:rsidRPr="00DA3BC7">
        <w:rPr>
          <w:rFonts w:ascii="Times New Roman" w:hAnsi="Times New Roman" w:hint="eastAsia"/>
          <w:sz w:val="20"/>
        </w:rPr>
        <w:t>pp.</w:t>
      </w:r>
      <w:r w:rsidR="00704A1C" w:rsidRPr="00DA3BC7">
        <w:rPr>
          <w:rFonts w:ascii="Times New Roman" w:hAnsi="Times New Roman"/>
          <w:sz w:val="20"/>
        </w:rPr>
        <w:t>215-216</w:t>
      </w:r>
      <w:r w:rsidR="00704A1C" w:rsidRPr="00DA3BC7">
        <w:rPr>
          <w:rFonts w:ascii="Times New Roman" w:hAnsi="Times New Roman" w:hint="eastAsia"/>
          <w:sz w:val="20"/>
        </w:rPr>
        <w:t>）</w:t>
      </w:r>
    </w:p>
    <w:p w:rsidR="00AA120F" w:rsidRPr="00DA3BC7" w:rsidRDefault="00AA120F" w:rsidP="00303413">
      <w:pPr>
        <w:ind w:leftChars="400" w:left="960"/>
        <w:jc w:val="both"/>
      </w:pPr>
      <w:r w:rsidRPr="00DA3BC7">
        <w:rPr>
          <w:rFonts w:hint="eastAsia"/>
        </w:rPr>
        <w:t>但此中也有二：</w:t>
      </w:r>
    </w:p>
    <w:p w:rsidR="00AA120F" w:rsidRPr="00DA3BC7" w:rsidRDefault="009A0718" w:rsidP="00AE3920">
      <w:pPr>
        <w:spacing w:beforeLines="30"/>
        <w:ind w:leftChars="450" w:left="1080"/>
        <w:jc w:val="both"/>
        <w:rPr>
          <w:rFonts w:ascii="Times Ext Roman" w:hAnsi="Times Ext Roman" w:cs="Times Ext Roman"/>
          <w:sz w:val="20"/>
          <w:bdr w:val="single" w:sz="4" w:space="0" w:color="auto"/>
        </w:rPr>
      </w:pPr>
      <w:r w:rsidRPr="00FF1DF1">
        <w:rPr>
          <w:rFonts w:ascii="Times Ext Roman" w:hAnsi="Times Ext Roman" w:cs="Times Ext Roman" w:hint="eastAsia"/>
          <w:b/>
          <w:color w:val="FF0000"/>
          <w:sz w:val="20"/>
          <w:highlight w:val="yellow"/>
          <w:bdr w:val="single" w:sz="4" w:space="0" w:color="auto"/>
        </w:rPr>
        <w:t>（</w:t>
      </w:r>
      <w:r w:rsidRPr="00FF1DF1">
        <w:rPr>
          <w:rFonts w:ascii="Times Ext Roman" w:hAnsi="Times Ext Roman" w:cs="Times Ext Roman" w:hint="eastAsia"/>
          <w:b/>
          <w:color w:val="FF0000"/>
          <w:sz w:val="20"/>
          <w:highlight w:val="yellow"/>
          <w:bdr w:val="single" w:sz="4" w:space="0" w:color="auto"/>
        </w:rPr>
        <w:t>a</w:t>
      </w:r>
      <w:r w:rsidRPr="00FF1DF1">
        <w:rPr>
          <w:rFonts w:ascii="Times Ext Roman" w:hAnsi="Times Ext Roman" w:cs="Times Ext Roman" w:hint="eastAsia"/>
          <w:b/>
          <w:color w:val="FF0000"/>
          <w:sz w:val="20"/>
          <w:highlight w:val="yellow"/>
          <w:bdr w:val="single" w:sz="4" w:space="0" w:color="auto"/>
        </w:rPr>
        <w:t>）</w:t>
      </w:r>
      <w:r w:rsidRPr="00FF1DF1">
        <w:rPr>
          <w:rFonts w:ascii="Times New Roman" w:hAnsi="Times New Roman" w:cs="Times Ext Roman" w:hint="eastAsia"/>
          <w:b/>
          <w:color w:val="FF0000"/>
          <w:sz w:val="20"/>
          <w:highlight w:val="yellow"/>
          <w:bdr w:val="single" w:sz="4" w:space="0" w:color="auto"/>
        </w:rPr>
        <w:t>正常的認知</w:t>
      </w:r>
      <w:r w:rsidR="00AA120F" w:rsidRPr="00DA3BC7">
        <w:rPr>
          <w:rFonts w:ascii="Times Ext Roman" w:hAnsi="Times Ext Roman" w:cs="Times Ext Roman" w:hint="eastAsia"/>
          <w:b/>
          <w:sz w:val="20"/>
          <w:bdr w:val="single" w:sz="4" w:space="0" w:color="auto"/>
        </w:rPr>
        <w:t>（正世俗）</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215</w:t>
      </w:r>
      <w:r w:rsidR="00AA120F" w:rsidRPr="00DA3BC7">
        <w:rPr>
          <w:rFonts w:ascii="Times New Roman" w:hAnsi="Times New Roman" w:hint="eastAsia"/>
          <w:sz w:val="20"/>
        </w:rPr>
        <w:t>）</w:t>
      </w:r>
    </w:p>
    <w:p w:rsidR="00AA120F" w:rsidRPr="00DA3BC7" w:rsidRDefault="00AA120F" w:rsidP="00303413">
      <w:pPr>
        <w:ind w:leftChars="450" w:left="1080"/>
        <w:jc w:val="both"/>
      </w:pPr>
      <w:r w:rsidRPr="00DA3BC7">
        <w:rPr>
          <w:rFonts w:hint="eastAsia"/>
        </w:rPr>
        <w:t>一、</w:t>
      </w:r>
      <w:r w:rsidRPr="004A59C3">
        <w:rPr>
          <w:rFonts w:hint="eastAsia"/>
        </w:rPr>
        <w:t>如</w:t>
      </w:r>
      <w:r w:rsidRPr="00DA3BC7">
        <w:rPr>
          <w:rFonts w:hint="eastAsia"/>
          <w:b/>
        </w:rPr>
        <w:t>青黃等色</w:t>
      </w:r>
      <w:r w:rsidRPr="00DA3BC7">
        <w:rPr>
          <w:rFonts w:hint="eastAsia"/>
        </w:rPr>
        <w:t>，於正常的眼根、眼識及一定的光線前，大家是有同樣認識的。這些，現有諦實性，常人極難了解為虛妄亂現，即名為</w:t>
      </w:r>
      <w:r w:rsidRPr="00DA3BC7">
        <w:rPr>
          <w:rFonts w:hint="eastAsia"/>
          <w:b/>
        </w:rPr>
        <w:t>正世俗</w:t>
      </w:r>
      <w:r w:rsidRPr="00DA3BC7">
        <w:rPr>
          <w:rFonts w:hint="eastAsia"/>
        </w:rPr>
        <w:t>。</w:t>
      </w:r>
    </w:p>
    <w:p w:rsidR="00AA120F" w:rsidRPr="00DA3BC7" w:rsidRDefault="00FF1DF1" w:rsidP="00AE3920">
      <w:pPr>
        <w:spacing w:beforeLines="30"/>
        <w:ind w:leftChars="450" w:left="1080"/>
        <w:jc w:val="both"/>
        <w:rPr>
          <w:rFonts w:ascii="Times Ext Roman" w:hAnsi="Times Ext Roman" w:cs="Times Ext Roman"/>
          <w:sz w:val="20"/>
          <w:bdr w:val="single" w:sz="4" w:space="0" w:color="auto"/>
        </w:rPr>
      </w:pPr>
      <w:r w:rsidRPr="00FF1DF1">
        <w:rPr>
          <w:rFonts w:ascii="Times Ext Roman" w:hAnsi="Times Ext Roman" w:cs="Times Ext Roman" w:hint="eastAsia"/>
          <w:b/>
          <w:color w:val="FF0000"/>
          <w:sz w:val="20"/>
          <w:highlight w:val="yellow"/>
          <w:bdr w:val="single" w:sz="4" w:space="0" w:color="auto"/>
        </w:rPr>
        <w:t>（</w:t>
      </w:r>
      <w:r w:rsidRPr="00FF1DF1">
        <w:rPr>
          <w:rFonts w:ascii="Times Ext Roman" w:hAnsi="Times Ext Roman" w:cs="Times Ext Roman" w:hint="eastAsia"/>
          <w:b/>
          <w:color w:val="FF0000"/>
          <w:sz w:val="20"/>
          <w:highlight w:val="yellow"/>
          <w:bdr w:val="single" w:sz="4" w:space="0" w:color="auto"/>
        </w:rPr>
        <w:t>b</w:t>
      </w:r>
      <w:r w:rsidRPr="00FF1DF1">
        <w:rPr>
          <w:rFonts w:ascii="Times Ext Roman" w:hAnsi="Times Ext Roman" w:cs="Times Ext Roman" w:hint="eastAsia"/>
          <w:b/>
          <w:color w:val="FF0000"/>
          <w:sz w:val="20"/>
          <w:highlight w:val="yellow"/>
          <w:bdr w:val="single" w:sz="4" w:space="0" w:color="auto"/>
        </w:rPr>
        <w:t>）</w:t>
      </w:r>
      <w:r w:rsidR="00AA120F" w:rsidRPr="00FF1DF1">
        <w:rPr>
          <w:rFonts w:ascii="Times Ext Roman" w:hAnsi="Times Ext Roman" w:cs="Times Ext Roman" w:hint="eastAsia"/>
          <w:b/>
          <w:color w:val="FF0000"/>
          <w:sz w:val="20"/>
          <w:highlight w:val="yellow"/>
          <w:bdr w:val="single" w:sz="4" w:space="0" w:color="auto"/>
        </w:rPr>
        <w:t>境相的誑</w:t>
      </w:r>
      <w:r w:rsidRPr="00FF1DF1">
        <w:rPr>
          <w:rFonts w:ascii="Times Ext Roman" w:hAnsi="Times Ext Roman" w:cs="Times Ext Roman" w:hint="eastAsia"/>
          <w:b/>
          <w:color w:val="FF0000"/>
          <w:sz w:val="20"/>
          <w:highlight w:val="yellow"/>
          <w:bdr w:val="single" w:sz="4" w:space="0" w:color="auto"/>
        </w:rPr>
        <w:t>惑</w:t>
      </w:r>
      <w:r w:rsidR="00AA120F" w:rsidRPr="00DA3BC7">
        <w:rPr>
          <w:rFonts w:ascii="Times Ext Roman" w:hAnsi="Times Ext Roman" w:cs="Times Ext Roman" w:hint="eastAsia"/>
          <w:b/>
          <w:sz w:val="20"/>
          <w:bdr w:val="single" w:sz="4" w:space="0" w:color="auto"/>
        </w:rPr>
        <w:t>（倒世俗）</w:t>
      </w:r>
      <w:r w:rsidR="00AA120F" w:rsidRPr="00DA3BC7">
        <w:rPr>
          <w:rFonts w:ascii="Times New Roman" w:hAnsi="Times New Roman" w:hint="eastAsia"/>
          <w:sz w:val="20"/>
        </w:rPr>
        <w:t>（</w:t>
      </w:r>
      <w:r w:rsidR="00AA120F" w:rsidRPr="00DA3BC7">
        <w:rPr>
          <w:rFonts w:ascii="Times New Roman" w:hAnsi="Times New Roman" w:hint="eastAsia"/>
          <w:sz w:val="20"/>
        </w:rPr>
        <w:t>pp.</w:t>
      </w:r>
      <w:r w:rsidR="00AA120F" w:rsidRPr="00DA3BC7">
        <w:rPr>
          <w:rFonts w:ascii="Times New Roman" w:hAnsi="Times New Roman"/>
          <w:sz w:val="20"/>
        </w:rPr>
        <w:t>215-216</w:t>
      </w:r>
      <w:r w:rsidR="00AA120F" w:rsidRPr="00DA3BC7">
        <w:rPr>
          <w:rFonts w:ascii="Times New Roman" w:hAnsi="Times New Roman" w:hint="eastAsia"/>
          <w:sz w:val="20"/>
        </w:rPr>
        <w:t>）</w:t>
      </w:r>
    </w:p>
    <w:p w:rsidR="00AA120F" w:rsidRPr="00DA3BC7" w:rsidRDefault="00AA120F" w:rsidP="00303413">
      <w:pPr>
        <w:ind w:leftChars="450" w:left="1080"/>
        <w:jc w:val="both"/>
      </w:pPr>
      <w:r w:rsidRPr="00DA3BC7">
        <w:rPr>
          <w:rFonts w:hint="eastAsia"/>
        </w:rPr>
        <w:t>二、</w:t>
      </w:r>
      <w:r w:rsidRPr="004A59C3">
        <w:rPr>
          <w:rFonts w:hint="eastAsia"/>
        </w:rPr>
        <w:t>如</w:t>
      </w:r>
      <w:r w:rsidRPr="00DA3BC7">
        <w:rPr>
          <w:rFonts w:hint="eastAsia"/>
          <w:b/>
        </w:rPr>
        <w:t>水月、陽燄、空谷傳聲</w:t>
      </w:r>
      <w:r w:rsidRPr="00DA3BC7">
        <w:rPr>
          <w:rStyle w:val="a6"/>
          <w:rFonts w:ascii="Times New Roman" w:hAnsi="Times New Roman"/>
        </w:rPr>
        <w:footnoteReference w:id="932"/>
      </w:r>
      <w:r w:rsidRPr="00DA3BC7">
        <w:rPr>
          <w:rFonts w:hint="eastAsia"/>
          <w:b/>
        </w:rPr>
        <w:t>、雲駛</w:t>
      </w:r>
      <w:r w:rsidRPr="00DA3BC7">
        <w:rPr>
          <w:rStyle w:val="a6"/>
          <w:rFonts w:ascii="Times New Roman" w:hAnsi="Times New Roman"/>
        </w:rPr>
        <w:footnoteReference w:id="933"/>
      </w:r>
      <w:r w:rsidRPr="00DA3BC7">
        <w:rPr>
          <w:rFonts w:hint="eastAsia"/>
          <w:b/>
        </w:rPr>
        <w:t>月運</w:t>
      </w:r>
      <w:r w:rsidRPr="00DA3BC7">
        <w:rPr>
          <w:rStyle w:val="a6"/>
          <w:rFonts w:ascii="Times New Roman" w:hAnsi="Times New Roman"/>
        </w:rPr>
        <w:footnoteReference w:id="934"/>
      </w:r>
      <w:r w:rsidRPr="00DA3BC7">
        <w:rPr>
          <w:rFonts w:hint="eastAsia"/>
        </w:rPr>
        <w:t>，如前面說過，這不是根身的病態所成，也不是認識的顛倒所致；這也</w:t>
      </w:r>
      <w:r w:rsidRPr="00DA3BC7">
        <w:rPr>
          <w:rFonts w:hint="eastAsia"/>
          <w:b/>
        </w:rPr>
        <w:t>由於境相現起的誑詐</w:t>
      </w:r>
      <w:r w:rsidRPr="00DA3BC7">
        <w:rPr>
          <w:rStyle w:val="a6"/>
          <w:rFonts w:ascii="Times New Roman" w:hAnsi="Times New Roman"/>
        </w:rPr>
        <w:footnoteReference w:id="935"/>
      </w:r>
      <w:r w:rsidRPr="00DA3BC7">
        <w:rPr>
          <w:rFonts w:hint="eastAsia"/>
          <w:b/>
        </w:rPr>
        <w:t>相，也是一般人所同見同聞的；但經世俗意識的考察，可以知道它的虛妄</w:t>
      </w:r>
      <w:r w:rsidRPr="00DA3BC7">
        <w:rPr>
          <w:rFonts w:hint="eastAsia"/>
        </w:rPr>
        <w:t>，唯有無知識的童稚</w:t>
      </w:r>
      <w:r w:rsidRPr="00DA3BC7">
        <w:rPr>
          <w:rStyle w:val="a6"/>
          <w:rFonts w:ascii="Times New Roman" w:hAnsi="Times New Roman"/>
        </w:rPr>
        <w:footnoteReference w:id="936"/>
      </w:r>
      <w:r w:rsidRPr="00DA3BC7">
        <w:rPr>
          <w:rFonts w:ascii="Times New Roman" w:hAnsi="Times New Roman" w:hint="eastAsia"/>
        </w:rPr>
        <w:t>，</w:t>
      </w:r>
      <w:r w:rsidRPr="00DA3BC7">
        <w:rPr>
          <w:rFonts w:hint="eastAsia"/>
        </w:rPr>
        <w:t>才以為是真實。</w:t>
      </w:r>
    </w:p>
    <w:p w:rsidR="00AA120F" w:rsidRPr="00DA3BC7" w:rsidRDefault="00AA120F" w:rsidP="00AE3920">
      <w:pPr>
        <w:spacing w:beforeLines="20"/>
        <w:ind w:leftChars="450" w:left="1080"/>
        <w:jc w:val="both"/>
      </w:pPr>
      <w:r w:rsidRPr="00DA3BC7">
        <w:rPr>
          <w:rFonts w:hint="eastAsia"/>
        </w:rPr>
        <w:t>幻、化、水月、陽燄、谷響</w:t>
      </w:r>
      <w:r w:rsidRPr="00DA3BC7">
        <w:rPr>
          <w:rStyle w:val="a6"/>
          <w:rFonts w:ascii="Times New Roman" w:hAnsi="Times New Roman"/>
        </w:rPr>
        <w:footnoteReference w:id="937"/>
      </w:r>
      <w:r w:rsidRPr="00DA3BC7">
        <w:rPr>
          <w:rFonts w:hint="eastAsia"/>
        </w:rPr>
        <w:t>等等，人類所共見共聞，易於了解它的虛妄無自性，是「易解空」。經中常以此為喻，以表示蘊、處、界的「難解空」。</w:t>
      </w:r>
      <w:r w:rsidRPr="00DA3BC7">
        <w:rPr>
          <w:rStyle w:val="a6"/>
          <w:rFonts w:ascii="Times New Roman" w:hAnsi="Times New Roman"/>
        </w:rPr>
        <w:footnoteReference w:id="938"/>
      </w:r>
    </w:p>
    <w:p w:rsidR="00AA120F" w:rsidRPr="00DA3BC7" w:rsidRDefault="00FF1DF1" w:rsidP="00AE3920">
      <w:pPr>
        <w:spacing w:beforeLines="30"/>
        <w:ind w:leftChars="350" w:left="840"/>
        <w:jc w:val="both"/>
        <w:rPr>
          <w:rFonts w:ascii="Times Ext Roman" w:hAnsi="Times Ext Roman" w:cs="Times Ext Roman"/>
          <w:sz w:val="20"/>
          <w:bdr w:val="single" w:sz="4" w:space="0" w:color="auto"/>
        </w:rPr>
      </w:pPr>
      <w:r w:rsidRPr="00FF1DF1">
        <w:rPr>
          <w:rFonts w:ascii="Times Ext Roman" w:hAnsi="Times Ext Roman" w:cs="Times Ext Roman" w:hint="eastAsia"/>
          <w:b/>
          <w:color w:val="FF0000"/>
          <w:sz w:val="20"/>
          <w:highlight w:val="yellow"/>
          <w:bdr w:val="single" w:sz="4" w:space="0" w:color="auto"/>
        </w:rPr>
        <w:t>（</w:t>
      </w:r>
      <w:r w:rsidRPr="00FF1DF1">
        <w:rPr>
          <w:rFonts w:ascii="Times New Roman" w:hAnsi="Times New Roman" w:cs="Times Ext Roman" w:hint="eastAsia"/>
          <w:b/>
          <w:color w:val="FF0000"/>
          <w:sz w:val="20"/>
          <w:highlight w:val="yellow"/>
          <w:bdr w:val="single" w:sz="4" w:space="0" w:color="auto"/>
        </w:rPr>
        <w:t>B</w:t>
      </w:r>
      <w:r w:rsidRPr="00FF1DF1">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sz w:val="20"/>
          <w:bdr w:val="single" w:sz="4" w:space="0" w:color="auto"/>
        </w:rPr>
        <w:t>變態</w:t>
      </w:r>
      <w:r w:rsidR="00AA120F" w:rsidRPr="00DA3BC7">
        <w:rPr>
          <w:rFonts w:ascii="Times Ext Roman" w:hAnsi="Times Ext Roman" w:cs="Times Ext Roman" w:hint="eastAsia"/>
          <w:b/>
          <w:sz w:val="20"/>
          <w:bdr w:val="single" w:sz="4" w:space="0" w:color="auto"/>
        </w:rPr>
        <w:t>的世俗境</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216</w:t>
      </w:r>
      <w:r w:rsidR="00AA120F" w:rsidRPr="00DA3BC7">
        <w:rPr>
          <w:rFonts w:ascii="Times New Roman" w:hAnsi="Times New Roman" w:hint="eastAsia"/>
          <w:sz w:val="20"/>
        </w:rPr>
        <w:t>）</w:t>
      </w:r>
    </w:p>
    <w:p w:rsidR="00E71DEF" w:rsidRDefault="00E71DEF" w:rsidP="00303413">
      <w:pPr>
        <w:ind w:leftChars="350" w:left="840"/>
        <w:jc w:val="both"/>
      </w:pPr>
      <w:r w:rsidRPr="00E71DEF">
        <w:rPr>
          <w:rFonts w:hint="eastAsia"/>
          <w:b/>
          <w:highlight w:val="yellow"/>
        </w:rPr>
        <w:t>變</w:t>
      </w:r>
      <w:r w:rsidRPr="00DA3BC7">
        <w:rPr>
          <w:rFonts w:hint="eastAsia"/>
          <w:b/>
        </w:rPr>
        <w:t>態的</w:t>
      </w:r>
      <w:r w:rsidRPr="00DA3BC7">
        <w:rPr>
          <w:rFonts w:hint="eastAsia"/>
        </w:rPr>
        <w:t>，</w:t>
      </w:r>
    </w:p>
    <w:p w:rsidR="00AA120F" w:rsidRPr="00DA3BC7" w:rsidRDefault="00FF1DF1" w:rsidP="00303413">
      <w:pPr>
        <w:ind w:leftChars="400" w:left="960"/>
        <w:jc w:val="both"/>
        <w:rPr>
          <w:rFonts w:ascii="Times Ext Roman" w:hAnsi="Times Ext Roman" w:cs="Times Ext Roman"/>
          <w:sz w:val="20"/>
          <w:bdr w:val="single" w:sz="4" w:space="0" w:color="auto"/>
        </w:rPr>
      </w:pPr>
      <w:r w:rsidRPr="00FF1DF1">
        <w:rPr>
          <w:rFonts w:ascii="Times Ext Roman" w:hAnsi="Times Ext Roman" w:cs="Times Ext Roman" w:hint="eastAsia"/>
          <w:b/>
          <w:color w:val="FF0000"/>
          <w:sz w:val="20"/>
          <w:highlight w:val="yellow"/>
          <w:bdr w:val="single" w:sz="4" w:space="0" w:color="auto"/>
        </w:rPr>
        <w:t>a</w:t>
      </w:r>
      <w:r w:rsidRPr="00FF1DF1">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因</w:t>
      </w:r>
      <w:r w:rsidR="004711CF">
        <w:rPr>
          <w:rFonts w:ascii="Times Ext Roman" w:hAnsi="Times Ext Roman" w:cs="Times Ext Roman" w:hint="eastAsia"/>
          <w:b/>
          <w:color w:val="FF0000"/>
          <w:sz w:val="20"/>
          <w:highlight w:val="yellow"/>
          <w:bdr w:val="single" w:sz="4" w:space="0" w:color="auto"/>
        </w:rPr>
        <w:t>「</w:t>
      </w:r>
      <w:r w:rsidR="00AA120F" w:rsidRPr="00FF1DF1">
        <w:rPr>
          <w:rFonts w:ascii="Times Ext Roman" w:hAnsi="Times Ext Roman" w:cs="Times Ext Roman" w:hint="eastAsia"/>
          <w:b/>
          <w:color w:val="FF0000"/>
          <w:sz w:val="20"/>
          <w:highlight w:val="yellow"/>
          <w:bdr w:val="single" w:sz="4" w:space="0" w:color="auto"/>
        </w:rPr>
        <w:t>根</w:t>
      </w:r>
      <w:r w:rsidR="004711CF">
        <w:rPr>
          <w:rFonts w:ascii="Times Ext Roman" w:hAnsi="Times Ext Roman" w:cs="Times Ext Roman" w:hint="eastAsia"/>
          <w:b/>
          <w:color w:val="FF0000"/>
          <w:sz w:val="20"/>
          <w:highlight w:val="yellow"/>
          <w:bdr w:val="single" w:sz="4" w:space="0" w:color="auto"/>
        </w:rPr>
        <w:t>」</w:t>
      </w:r>
      <w:r w:rsidR="00AA120F" w:rsidRPr="00FF1DF1">
        <w:rPr>
          <w:rFonts w:ascii="Times Ext Roman" w:hAnsi="Times Ext Roman" w:cs="Times Ext Roman" w:hint="eastAsia"/>
          <w:b/>
          <w:color w:val="FF0000"/>
          <w:sz w:val="20"/>
          <w:highlight w:val="yellow"/>
          <w:bdr w:val="single" w:sz="4" w:space="0" w:color="auto"/>
        </w:rPr>
        <w:t>變異</w:t>
      </w:r>
      <w:r w:rsidRPr="00FF1DF1">
        <w:rPr>
          <w:rFonts w:ascii="Times Ext Roman" w:hAnsi="Times Ext Roman" w:cs="Times Ext Roman" w:hint="eastAsia"/>
          <w:b/>
          <w:color w:val="FF0000"/>
          <w:sz w:val="20"/>
          <w:highlight w:val="yellow"/>
          <w:bdr w:val="single" w:sz="4" w:space="0" w:color="auto"/>
        </w:rPr>
        <w:t>所成</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216</w:t>
      </w:r>
      <w:r w:rsidR="00AA120F" w:rsidRPr="00DA3BC7">
        <w:rPr>
          <w:rFonts w:ascii="Times New Roman" w:hAnsi="Times New Roman" w:hint="eastAsia"/>
          <w:sz w:val="20"/>
        </w:rPr>
        <w:t>）</w:t>
      </w:r>
    </w:p>
    <w:p w:rsidR="004A59C3" w:rsidRDefault="00AA120F" w:rsidP="00303413">
      <w:pPr>
        <w:ind w:leftChars="400" w:left="960"/>
        <w:jc w:val="both"/>
      </w:pPr>
      <w:r w:rsidRPr="00DA3BC7">
        <w:rPr>
          <w:rFonts w:hint="eastAsia"/>
        </w:rPr>
        <w:t>或是</w:t>
      </w:r>
      <w:r w:rsidRPr="00DA3BC7">
        <w:rPr>
          <w:rFonts w:hint="eastAsia"/>
          <w:b/>
        </w:rPr>
        <w:t>根的變異</w:t>
      </w:r>
      <w:r w:rsidRPr="00DA3BC7">
        <w:rPr>
          <w:rFonts w:hint="eastAsia"/>
        </w:rPr>
        <w:t>：如眼有眚</w:t>
      </w:r>
      <w:r w:rsidRPr="00DA3BC7">
        <w:rPr>
          <w:rStyle w:val="a6"/>
          <w:rFonts w:ascii="Times New Roman" w:hAnsi="Times New Roman"/>
        </w:rPr>
        <w:footnoteReference w:id="939"/>
      </w:r>
      <w:r w:rsidRPr="00DA3BC7">
        <w:rPr>
          <w:rFonts w:hint="eastAsia"/>
        </w:rPr>
        <w:t>翳</w:t>
      </w:r>
      <w:r w:rsidRPr="00DA3BC7">
        <w:rPr>
          <w:rStyle w:val="a6"/>
          <w:rFonts w:ascii="Times New Roman" w:hAnsi="Times New Roman"/>
        </w:rPr>
        <w:footnoteReference w:id="940"/>
      </w:r>
      <w:r w:rsidRPr="00DA3BC7">
        <w:rPr>
          <w:rFonts w:hint="eastAsia"/>
        </w:rPr>
        <w:t>，身有頑癬</w:t>
      </w:r>
      <w:r w:rsidRPr="00DA3BC7">
        <w:rPr>
          <w:rStyle w:val="a6"/>
          <w:rFonts w:ascii="Times New Roman" w:hAnsi="Times New Roman"/>
        </w:rPr>
        <w:footnoteReference w:id="941"/>
      </w:r>
      <w:r w:rsidRPr="00DA3BC7">
        <w:rPr>
          <w:rFonts w:hint="eastAsia"/>
        </w:rPr>
        <w:t>，也有因服藥而起變化。根身變異所引起的認識，見為如何如何。</w:t>
      </w:r>
    </w:p>
    <w:p w:rsidR="00AA120F" w:rsidRPr="00DA3BC7" w:rsidRDefault="00AA120F" w:rsidP="00303413">
      <w:pPr>
        <w:ind w:leftChars="400" w:left="960"/>
        <w:jc w:val="both"/>
      </w:pPr>
      <w:r w:rsidRPr="004A59C3">
        <w:rPr>
          <w:rFonts w:hint="eastAsia"/>
          <w:b/>
          <w:highlight w:val="yellow"/>
        </w:rPr>
        <w:lastRenderedPageBreak/>
        <w:t>凡</w:t>
      </w:r>
      <w:r w:rsidRPr="00DA3BC7">
        <w:rPr>
          <w:rFonts w:hint="eastAsia"/>
          <w:b/>
        </w:rPr>
        <w:t>病態所見，缺乏共同與必然性，常人也知道是錯亂的</w:t>
      </w:r>
      <w:r w:rsidRPr="00DA3BC7">
        <w:rPr>
          <w:rFonts w:hint="eastAsia"/>
        </w:rPr>
        <w:t>。</w:t>
      </w:r>
    </w:p>
    <w:p w:rsidR="00AA120F" w:rsidRPr="00DA3BC7" w:rsidRDefault="00FF1DF1" w:rsidP="00AE3920">
      <w:pPr>
        <w:spacing w:beforeLines="30"/>
        <w:ind w:leftChars="400" w:left="960"/>
        <w:jc w:val="both"/>
        <w:rPr>
          <w:rFonts w:ascii="Times Ext Roman" w:hAnsi="Times Ext Roman" w:cs="Times Ext Roman"/>
          <w:sz w:val="20"/>
          <w:bdr w:val="single" w:sz="4" w:space="0" w:color="auto"/>
        </w:rPr>
      </w:pPr>
      <w:r>
        <w:rPr>
          <w:rFonts w:ascii="Times Ext Roman" w:hAnsi="Times Ext Roman" w:cs="Times Ext Roman" w:hint="eastAsia"/>
          <w:b/>
          <w:color w:val="FF0000"/>
          <w:sz w:val="20"/>
          <w:highlight w:val="yellow"/>
          <w:bdr w:val="single" w:sz="4" w:space="0" w:color="auto"/>
        </w:rPr>
        <w:t>b</w:t>
      </w:r>
      <w:r>
        <w:rPr>
          <w:rFonts w:ascii="Times Ext Roman" w:hAnsi="Times Ext Roman" w:cs="Times Ext Roman" w:hint="eastAsia"/>
          <w:b/>
          <w:color w:val="FF0000"/>
          <w:sz w:val="20"/>
          <w:highlight w:val="yellow"/>
          <w:bdr w:val="single" w:sz="4" w:space="0" w:color="auto"/>
        </w:rPr>
        <w:t>、因</w:t>
      </w:r>
      <w:r w:rsidR="004711CF">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識</w:t>
      </w:r>
      <w:r w:rsidR="004711CF">
        <w:rPr>
          <w:rFonts w:ascii="Times Ext Roman" w:hAnsi="Times Ext Roman" w:cs="Times Ext Roman" w:hint="eastAsia"/>
          <w:b/>
          <w:color w:val="FF0000"/>
          <w:sz w:val="20"/>
          <w:highlight w:val="yellow"/>
          <w:bdr w:val="single" w:sz="4" w:space="0" w:color="auto"/>
        </w:rPr>
        <w:t>」</w:t>
      </w:r>
      <w:r w:rsidRPr="00FF1DF1">
        <w:rPr>
          <w:rFonts w:ascii="Times Ext Roman" w:hAnsi="Times Ext Roman" w:cs="Times Ext Roman" w:hint="eastAsia"/>
          <w:b/>
          <w:color w:val="FF0000"/>
          <w:sz w:val="20"/>
          <w:highlight w:val="yellow"/>
          <w:bdr w:val="single" w:sz="4" w:space="0" w:color="auto"/>
        </w:rPr>
        <w:t>變異所成</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216</w:t>
      </w:r>
      <w:r w:rsidR="00AA120F" w:rsidRPr="00DA3BC7">
        <w:rPr>
          <w:rFonts w:ascii="Times New Roman" w:hAnsi="Times New Roman" w:hint="eastAsia"/>
          <w:sz w:val="20"/>
        </w:rPr>
        <w:t>）</w:t>
      </w:r>
    </w:p>
    <w:p w:rsidR="00AA120F" w:rsidRPr="00DA3BC7" w:rsidRDefault="00AA120F" w:rsidP="004A59C3">
      <w:pPr>
        <w:ind w:leftChars="400" w:left="960"/>
        <w:jc w:val="both"/>
      </w:pPr>
      <w:r w:rsidRPr="00DA3BC7">
        <w:rPr>
          <w:rFonts w:hint="eastAsia"/>
        </w:rPr>
        <w:t>或是</w:t>
      </w:r>
      <w:r w:rsidRPr="00DA3BC7">
        <w:rPr>
          <w:rFonts w:hint="eastAsia"/>
          <w:b/>
        </w:rPr>
        <w:t>識的變異</w:t>
      </w:r>
      <w:r w:rsidRPr="00DA3BC7">
        <w:rPr>
          <w:rFonts w:hint="eastAsia"/>
        </w:rPr>
        <w:t>：或過去曾受邪偽</w:t>
      </w:r>
      <w:r w:rsidRPr="00DA3BC7">
        <w:rPr>
          <w:rStyle w:val="a6"/>
          <w:rFonts w:ascii="Times New Roman" w:hAnsi="Times New Roman"/>
        </w:rPr>
        <w:footnoteReference w:id="942"/>
      </w:r>
      <w:r w:rsidRPr="00DA3BC7">
        <w:rPr>
          <w:rFonts w:hint="eastAsia"/>
        </w:rPr>
        <w:t>的熏習，</w:t>
      </w:r>
    </w:p>
    <w:p w:rsidR="00AA120F" w:rsidRPr="00DA3BC7" w:rsidRDefault="00AA120F" w:rsidP="004A59C3">
      <w:pPr>
        <w:ind w:leftChars="1100" w:left="2640"/>
        <w:jc w:val="both"/>
      </w:pPr>
      <w:r w:rsidRPr="00DA3BC7">
        <w:rPr>
          <w:rFonts w:hint="eastAsia"/>
        </w:rPr>
        <w:t>或現受社會的、師長的以及宗派的熏陶</w:t>
      </w:r>
      <w:r w:rsidRPr="00DA3BC7">
        <w:rPr>
          <w:rStyle w:val="a6"/>
          <w:rFonts w:ascii="Times New Roman" w:hAnsi="Times New Roman"/>
        </w:rPr>
        <w:footnoteReference w:id="943"/>
      </w:r>
      <w:r w:rsidRPr="00DA3BC7">
        <w:rPr>
          <w:rFonts w:hint="eastAsia"/>
        </w:rPr>
        <w:t>，</w:t>
      </w:r>
    </w:p>
    <w:p w:rsidR="00AA120F" w:rsidRPr="00DA3BC7" w:rsidRDefault="00AA120F" w:rsidP="004A59C3">
      <w:pPr>
        <w:ind w:leftChars="1100" w:left="2640"/>
        <w:jc w:val="both"/>
      </w:pPr>
      <w:r w:rsidRPr="00DA3BC7">
        <w:rPr>
          <w:rFonts w:hint="eastAsia"/>
        </w:rPr>
        <w:t>或出於個人謬誤</w:t>
      </w:r>
      <w:r w:rsidRPr="00DA3BC7">
        <w:rPr>
          <w:rStyle w:val="a6"/>
          <w:rFonts w:ascii="Times New Roman" w:hAnsi="Times New Roman"/>
        </w:rPr>
        <w:footnoteReference w:id="944"/>
      </w:r>
      <w:r w:rsidRPr="00DA3BC7">
        <w:rPr>
          <w:rFonts w:hint="eastAsia"/>
        </w:rPr>
        <w:t>推理所得的錯誤結論，</w:t>
      </w:r>
    </w:p>
    <w:p w:rsidR="00AA120F" w:rsidRPr="00DA3BC7" w:rsidRDefault="00AA120F" w:rsidP="004A59C3">
      <w:pPr>
        <w:ind w:leftChars="1100" w:left="2640"/>
        <w:jc w:val="both"/>
      </w:pPr>
      <w:r w:rsidRPr="00DA3BC7">
        <w:rPr>
          <w:rFonts w:hint="eastAsia"/>
        </w:rPr>
        <w:t>或以心不專注而起的恍惚</w:t>
      </w:r>
      <w:r w:rsidRPr="00DA3BC7">
        <w:rPr>
          <w:rStyle w:val="a6"/>
          <w:rFonts w:ascii="Times New Roman" w:hAnsi="Times New Roman"/>
        </w:rPr>
        <w:footnoteReference w:id="945"/>
      </w:r>
      <w:r w:rsidRPr="00DA3BC7">
        <w:rPr>
          <w:rFonts w:hint="eastAsia"/>
        </w:rPr>
        <w:t>印象，</w:t>
      </w:r>
    </w:p>
    <w:p w:rsidR="00AA120F" w:rsidRPr="00DA3BC7" w:rsidRDefault="00AA120F" w:rsidP="004A59C3">
      <w:pPr>
        <w:ind w:leftChars="1100" w:left="2640"/>
        <w:jc w:val="both"/>
      </w:pPr>
      <w:r w:rsidRPr="00DA3BC7">
        <w:rPr>
          <w:rFonts w:hint="eastAsia"/>
        </w:rPr>
        <w:t>以及見繩為蛇、見杌</w:t>
      </w:r>
      <w:r w:rsidRPr="00DA3BC7">
        <w:rPr>
          <w:rStyle w:val="a6"/>
          <w:rFonts w:ascii="Times New Roman" w:hAnsi="Times New Roman"/>
        </w:rPr>
        <w:footnoteReference w:id="946"/>
      </w:r>
      <w:r w:rsidRPr="00DA3BC7">
        <w:rPr>
          <w:rFonts w:hint="eastAsia"/>
        </w:rPr>
        <w:t>為人等等，</w:t>
      </w:r>
    </w:p>
    <w:p w:rsidR="00AA120F" w:rsidRPr="00DA3BC7" w:rsidRDefault="00AA120F" w:rsidP="00303413">
      <w:pPr>
        <w:ind w:leftChars="400" w:left="960"/>
        <w:jc w:val="both"/>
      </w:pPr>
      <w:r w:rsidRPr="00DA3BC7">
        <w:rPr>
          <w:rFonts w:hint="eastAsia"/>
        </w:rPr>
        <w:t>是</w:t>
      </w:r>
      <w:r w:rsidRPr="00DA3BC7">
        <w:rPr>
          <w:rFonts w:hint="eastAsia"/>
          <w:b/>
        </w:rPr>
        <w:t>可以由正確知識而給予糾正，揭破它的錯謬</w:t>
      </w:r>
      <w:r w:rsidRPr="00DA3BC7">
        <w:rPr>
          <w:rStyle w:val="a6"/>
          <w:rFonts w:ascii="Times New Roman" w:hAnsi="Times New Roman"/>
        </w:rPr>
        <w:footnoteReference w:id="947"/>
      </w:r>
      <w:r w:rsidRPr="00DA3BC7">
        <w:rPr>
          <w:rFonts w:hint="eastAsia"/>
        </w:rPr>
        <w:t>。</w:t>
      </w:r>
    </w:p>
    <w:p w:rsidR="00AA120F" w:rsidRPr="00DA3BC7" w:rsidRDefault="00AA120F" w:rsidP="00AE3920">
      <w:pPr>
        <w:spacing w:beforeLines="30"/>
        <w:ind w:leftChars="350" w:left="840"/>
        <w:jc w:val="both"/>
        <w:rPr>
          <w:rFonts w:ascii="Times Ext Roman" w:hAnsi="Times Ext Roman" w:cs="Times Ext Roman"/>
          <w:sz w:val="20"/>
          <w:bdr w:val="single" w:sz="4" w:space="0" w:color="auto"/>
        </w:rPr>
      </w:pPr>
      <w:r w:rsidRPr="00E71DEF">
        <w:rPr>
          <w:rFonts w:ascii="Times Ext Roman" w:hAnsi="Times Ext Roman" w:cs="Times Ext Roman" w:hint="eastAsia"/>
          <w:b/>
          <w:color w:val="FF0000"/>
          <w:sz w:val="20"/>
          <w:highlight w:val="yellow"/>
          <w:bdr w:val="single" w:sz="4" w:space="0" w:color="auto"/>
        </w:rPr>
        <w:t>（</w:t>
      </w:r>
      <w:r w:rsidR="00E71DEF" w:rsidRPr="00E71DEF">
        <w:rPr>
          <w:rFonts w:ascii="Times Ext Roman" w:hAnsi="Times Ext Roman" w:cs="Times Ext Roman" w:hint="eastAsia"/>
          <w:b/>
          <w:color w:val="FF0000"/>
          <w:sz w:val="20"/>
          <w:highlight w:val="yellow"/>
          <w:bdr w:val="single" w:sz="4" w:space="0" w:color="auto"/>
        </w:rPr>
        <w:t>C</w:t>
      </w:r>
      <w:r w:rsidRPr="00E71DEF">
        <w:rPr>
          <w:rFonts w:ascii="Times Ext Roman" w:hAnsi="Times Ext Roman" w:cs="Times Ext Roman" w:hint="eastAsia"/>
          <w:b/>
          <w:color w:val="FF0000"/>
          <w:sz w:val="20"/>
          <w:highlight w:val="yellow"/>
          <w:bdr w:val="single" w:sz="4" w:space="0" w:color="auto"/>
        </w:rPr>
        <w:t>）</w:t>
      </w:r>
      <w:r w:rsidR="004711CF">
        <w:rPr>
          <w:rFonts w:ascii="Times Ext Roman" w:hAnsi="Times Ext Roman" w:cs="Times Ext Roman" w:hint="eastAsia"/>
          <w:b/>
          <w:color w:val="FF0000"/>
          <w:sz w:val="20"/>
          <w:highlight w:val="yellow"/>
          <w:bdr w:val="single" w:sz="4" w:space="0" w:color="auto"/>
        </w:rPr>
        <w:t>合</w:t>
      </w:r>
      <w:r w:rsidR="00E71DEF" w:rsidRPr="00E71DEF">
        <w:rPr>
          <w:rFonts w:ascii="Times Ext Roman" w:hAnsi="Times Ext Roman" w:cs="Times Ext Roman" w:hint="eastAsia"/>
          <w:b/>
          <w:color w:val="FF0000"/>
          <w:sz w:val="20"/>
          <w:highlight w:val="yellow"/>
          <w:bdr w:val="single" w:sz="4" w:space="0" w:color="auto"/>
        </w:rPr>
        <w:t>明</w:t>
      </w:r>
      <w:r w:rsidRPr="00DA3BC7">
        <w:rPr>
          <w:rFonts w:ascii="Times Ext Roman" w:hAnsi="Times Ext Roman" w:cs="Times Ext Roman" w:hint="eastAsia"/>
          <w:b/>
          <w:sz w:val="20"/>
          <w:bdr w:val="single" w:sz="4" w:space="0" w:color="auto"/>
        </w:rPr>
        <w:t>「倒世俗」</w:t>
      </w:r>
      <w:r w:rsidRPr="00DA3BC7">
        <w:rPr>
          <w:rFonts w:ascii="Times New Roman" w:hAnsi="Times New Roman" w:hint="eastAsia"/>
          <w:sz w:val="20"/>
        </w:rPr>
        <w:t>（</w:t>
      </w:r>
      <w:r w:rsidRPr="00DA3BC7">
        <w:rPr>
          <w:rFonts w:ascii="Times New Roman" w:hAnsi="Times New Roman" w:hint="eastAsia"/>
          <w:sz w:val="20"/>
        </w:rPr>
        <w:t>p.</w:t>
      </w:r>
      <w:r w:rsidRPr="00DA3BC7">
        <w:rPr>
          <w:rFonts w:ascii="Times New Roman" w:hAnsi="Times New Roman"/>
          <w:sz w:val="20"/>
        </w:rPr>
        <w:t>216</w:t>
      </w:r>
      <w:r w:rsidRPr="00DA3BC7">
        <w:rPr>
          <w:rFonts w:ascii="Times New Roman" w:hAnsi="Times New Roman" w:hint="eastAsia"/>
          <w:sz w:val="20"/>
        </w:rPr>
        <w:t>）</w:t>
      </w:r>
    </w:p>
    <w:p w:rsidR="00AA120F" w:rsidRPr="00DA3BC7" w:rsidRDefault="00AA120F" w:rsidP="00303413">
      <w:pPr>
        <w:ind w:leftChars="350" w:left="840"/>
        <w:jc w:val="both"/>
      </w:pPr>
      <w:r w:rsidRPr="00DA3BC7">
        <w:rPr>
          <w:rFonts w:hint="eastAsia"/>
        </w:rPr>
        <w:t>這境相的誑惑、根身的變異、心識的謬誤，雖是世俗的，而</w:t>
      </w:r>
      <w:r w:rsidRPr="00DA3BC7">
        <w:rPr>
          <w:rFonts w:hint="eastAsia"/>
          <w:b/>
        </w:rPr>
        <w:t>在世俗中也不是諦實的，即可以世智而了解為虛妄的，這都屬於倒世俗</w:t>
      </w:r>
      <w:r w:rsidRPr="00DA3BC7">
        <w:rPr>
          <w:rFonts w:hint="eastAsia"/>
        </w:rPr>
        <w:t>。</w:t>
      </w:r>
    </w:p>
    <w:p w:rsidR="00AA120F" w:rsidRPr="00DA3BC7" w:rsidRDefault="00E71DEF" w:rsidP="00AE3920">
      <w:pPr>
        <w:spacing w:beforeLines="30"/>
        <w:ind w:leftChars="250" w:left="600"/>
        <w:jc w:val="both"/>
        <w:rPr>
          <w:rFonts w:ascii="Times Ext Roman" w:hAnsi="Times Ext Roman" w:cs="Times Ext Roman"/>
          <w:sz w:val="20"/>
          <w:bdr w:val="single" w:sz="4" w:space="0" w:color="auto"/>
        </w:rPr>
      </w:pPr>
      <w:r w:rsidRPr="00E71DEF">
        <w:rPr>
          <w:rFonts w:ascii="Times Ext Roman" w:hAnsi="Times Ext Roman" w:cs="Times Ext Roman" w:hint="eastAsia"/>
          <w:b/>
          <w:color w:val="FF0000"/>
          <w:sz w:val="20"/>
          <w:highlight w:val="yellow"/>
          <w:bdr w:val="single" w:sz="4" w:space="0" w:color="auto"/>
        </w:rPr>
        <w:t>（</w:t>
      </w:r>
      <w:r w:rsidRPr="00E71DEF">
        <w:rPr>
          <w:rFonts w:ascii="Times Ext Roman" w:hAnsi="Times Ext Roman" w:cs="Times Ext Roman" w:hint="eastAsia"/>
          <w:b/>
          <w:color w:val="FF0000"/>
          <w:sz w:val="20"/>
          <w:highlight w:val="yellow"/>
          <w:bdr w:val="single" w:sz="4" w:space="0" w:color="auto"/>
        </w:rPr>
        <w:t>2</w:t>
      </w:r>
      <w:r w:rsidRPr="00E71DEF">
        <w:rPr>
          <w:rFonts w:ascii="Times Ext Roman" w:hAnsi="Times Ext Roman" w:cs="Times Ext Roman" w:hint="eastAsia"/>
          <w:b/>
          <w:color w:val="FF0000"/>
          <w:sz w:val="20"/>
          <w:highlight w:val="yellow"/>
          <w:bdr w:val="single" w:sz="4" w:space="0" w:color="auto"/>
        </w:rPr>
        <w:t>）行觀：了</w:t>
      </w:r>
      <w:r w:rsidR="004711CF">
        <w:rPr>
          <w:rFonts w:ascii="Times Ext Roman" w:hAnsi="Times Ext Roman" w:cs="Times Ext Roman" w:hint="eastAsia"/>
          <w:b/>
          <w:color w:val="FF0000"/>
          <w:sz w:val="20"/>
          <w:highlight w:val="yellow"/>
          <w:bdr w:val="single" w:sz="4" w:space="0" w:color="auto"/>
        </w:rPr>
        <w:t>「</w:t>
      </w:r>
      <w:r w:rsidRPr="00E71DEF">
        <w:rPr>
          <w:rFonts w:ascii="Times Ext Roman" w:hAnsi="Times Ext Roman" w:cs="Times Ext Roman" w:hint="eastAsia"/>
          <w:b/>
          <w:color w:val="FF0000"/>
          <w:sz w:val="20"/>
          <w:highlight w:val="yellow"/>
          <w:bdr w:val="single" w:sz="4" w:space="0" w:color="auto"/>
        </w:rPr>
        <w:t>喻</w:t>
      </w:r>
      <w:r w:rsidR="004711CF">
        <w:rPr>
          <w:rFonts w:ascii="Times Ext Roman" w:hAnsi="Times Ext Roman" w:cs="Times Ext Roman" w:hint="eastAsia"/>
          <w:b/>
          <w:color w:val="FF0000"/>
          <w:sz w:val="20"/>
          <w:highlight w:val="yellow"/>
          <w:bdr w:val="single" w:sz="4" w:space="0" w:color="auto"/>
        </w:rPr>
        <w:t>」</w:t>
      </w:r>
      <w:r w:rsidRPr="00E71DEF">
        <w:rPr>
          <w:rFonts w:ascii="Times Ext Roman" w:hAnsi="Times Ext Roman" w:cs="Times Ext Roman" w:hint="eastAsia"/>
          <w:b/>
          <w:color w:val="FF0000"/>
          <w:sz w:val="20"/>
          <w:highlight w:val="yellow"/>
          <w:bdr w:val="single" w:sz="4" w:space="0" w:color="auto"/>
        </w:rPr>
        <w:t>知</w:t>
      </w:r>
      <w:r w:rsidR="004711CF">
        <w:rPr>
          <w:rFonts w:ascii="Times Ext Roman" w:hAnsi="Times Ext Roman" w:cs="Times Ext Roman" w:hint="eastAsia"/>
          <w:b/>
          <w:color w:val="FF0000"/>
          <w:sz w:val="20"/>
          <w:highlight w:val="yellow"/>
          <w:bdr w:val="single" w:sz="4" w:space="0" w:color="auto"/>
        </w:rPr>
        <w:t>「</w:t>
      </w:r>
      <w:r w:rsidRPr="00E71DEF">
        <w:rPr>
          <w:rFonts w:ascii="Times Ext Roman" w:hAnsi="Times Ext Roman" w:cs="Times Ext Roman" w:hint="eastAsia"/>
          <w:b/>
          <w:color w:val="FF0000"/>
          <w:sz w:val="20"/>
          <w:highlight w:val="yellow"/>
          <w:bdr w:val="single" w:sz="4" w:space="0" w:color="auto"/>
        </w:rPr>
        <w:t>無實</w:t>
      </w:r>
      <w:r w:rsidR="004711CF">
        <w:rPr>
          <w:rFonts w:ascii="Times Ext Roman" w:hAnsi="Times Ext Roman" w:cs="Times Ext Roman" w:hint="eastAsia"/>
          <w:b/>
          <w:color w:val="FF0000"/>
          <w:sz w:val="20"/>
          <w:highlight w:val="yellow"/>
          <w:bdr w:val="single" w:sz="4" w:space="0" w:color="auto"/>
        </w:rPr>
        <w:t>」</w:t>
      </w:r>
      <w:r w:rsidR="00AA120F" w:rsidRPr="00DA3BC7">
        <w:rPr>
          <w:rFonts w:ascii="Times New Roman" w:hAnsi="Times New Roman" w:hint="eastAsia"/>
          <w:sz w:val="20"/>
        </w:rPr>
        <w:t>（</w:t>
      </w:r>
      <w:r w:rsidR="00AA120F" w:rsidRPr="00DA3BC7">
        <w:rPr>
          <w:rFonts w:ascii="Times New Roman" w:hAnsi="Times New Roman" w:hint="eastAsia"/>
          <w:sz w:val="20"/>
        </w:rPr>
        <w:t>pp.</w:t>
      </w:r>
      <w:r w:rsidR="00AA120F" w:rsidRPr="00DA3BC7">
        <w:rPr>
          <w:rFonts w:ascii="Times New Roman" w:hAnsi="Times New Roman"/>
          <w:sz w:val="20"/>
        </w:rPr>
        <w:t>216</w:t>
      </w:r>
      <w:r w:rsidR="00AA120F" w:rsidRPr="00DA3BC7">
        <w:rPr>
          <w:rFonts w:ascii="Times New Roman" w:hAnsi="Times New Roman" w:hint="eastAsia"/>
          <w:sz w:val="20"/>
        </w:rPr>
        <w:t>-217</w:t>
      </w:r>
      <w:r w:rsidR="00AA120F" w:rsidRPr="00DA3BC7">
        <w:rPr>
          <w:rFonts w:ascii="Times New Roman" w:hAnsi="Times New Roman" w:hint="eastAsia"/>
          <w:sz w:val="20"/>
        </w:rPr>
        <w:t>）</w:t>
      </w:r>
    </w:p>
    <w:p w:rsidR="00AA120F" w:rsidRPr="00DA3BC7" w:rsidRDefault="00E71DEF" w:rsidP="00303413">
      <w:pPr>
        <w:ind w:leftChars="300" w:left="720"/>
        <w:jc w:val="both"/>
        <w:rPr>
          <w:rFonts w:ascii="Times Ext Roman" w:hAnsi="Times Ext Roman" w:cs="Times Ext Roman"/>
          <w:b/>
          <w:sz w:val="20"/>
          <w:bdr w:val="single" w:sz="4" w:space="0" w:color="auto"/>
        </w:rPr>
      </w:pPr>
      <w:r w:rsidRPr="00E71DEF">
        <w:rPr>
          <w:rFonts w:ascii="Times Ext Roman" w:hAnsi="Times Ext Roman" w:cs="Times Ext Roman" w:hint="eastAsia"/>
          <w:b/>
          <w:color w:val="FF0000"/>
          <w:sz w:val="20"/>
          <w:highlight w:val="yellow"/>
          <w:bdr w:val="single" w:sz="4" w:space="0" w:color="auto"/>
        </w:rPr>
        <w:t>A</w:t>
      </w:r>
      <w:r w:rsidRPr="00E71DEF">
        <w:rPr>
          <w:rFonts w:ascii="Times Ext Roman" w:hAnsi="Times Ext Roman" w:cs="Times Ext Roman" w:hint="eastAsia"/>
          <w:b/>
          <w:color w:val="FF0000"/>
          <w:sz w:val="20"/>
          <w:highlight w:val="yellow"/>
          <w:bdr w:val="single" w:sz="4" w:space="0" w:color="auto"/>
        </w:rPr>
        <w:t>、總述理</w:t>
      </w:r>
      <w:r w:rsidR="00AA120F" w:rsidRPr="00DA3BC7">
        <w:rPr>
          <w:rFonts w:ascii="Times New Roman" w:hAnsi="Times New Roman" w:hint="eastAsia"/>
          <w:sz w:val="20"/>
        </w:rPr>
        <w:t>（</w:t>
      </w:r>
      <w:r w:rsidR="00AA120F" w:rsidRPr="00DA3BC7">
        <w:rPr>
          <w:rFonts w:ascii="Times New Roman" w:hAnsi="Times New Roman" w:hint="eastAsia"/>
          <w:sz w:val="20"/>
        </w:rPr>
        <w:t>pp.</w:t>
      </w:r>
      <w:r w:rsidR="00AA120F" w:rsidRPr="00DA3BC7">
        <w:rPr>
          <w:rFonts w:ascii="Times New Roman" w:hAnsi="Times New Roman"/>
          <w:sz w:val="20"/>
        </w:rPr>
        <w:t>216</w:t>
      </w:r>
      <w:r w:rsidR="00AA120F" w:rsidRPr="00DA3BC7">
        <w:rPr>
          <w:rFonts w:ascii="Times New Roman" w:hAnsi="Times New Roman" w:hint="eastAsia"/>
          <w:sz w:val="20"/>
        </w:rPr>
        <w:t>-217</w:t>
      </w:r>
      <w:r w:rsidR="00AA120F" w:rsidRPr="00DA3BC7">
        <w:rPr>
          <w:rFonts w:ascii="Times New Roman" w:hAnsi="Times New Roman" w:hint="eastAsia"/>
          <w:sz w:val="20"/>
        </w:rPr>
        <w:t>）</w:t>
      </w:r>
    </w:p>
    <w:p w:rsidR="00AA120F" w:rsidRPr="00DA3BC7" w:rsidRDefault="00AA120F" w:rsidP="00303413">
      <w:pPr>
        <w:ind w:leftChars="300" w:left="720"/>
        <w:jc w:val="both"/>
      </w:pPr>
      <w:r w:rsidRPr="00DA3BC7">
        <w:rPr>
          <w:rFonts w:hint="eastAsia"/>
        </w:rPr>
        <w:t>雖有此正世俗與倒世俗的分別，但正世俗經如實的觀察，漸漸顯露出它的幻現性，即實有定性不可得，無不是待緣而似現的。</w:t>
      </w:r>
    </w:p>
    <w:p w:rsidR="00AA120F" w:rsidRPr="00DA3BC7" w:rsidRDefault="00AA120F" w:rsidP="00AE3920">
      <w:pPr>
        <w:spacing w:beforeLines="20"/>
        <w:ind w:leftChars="300" w:left="720"/>
        <w:jc w:val="both"/>
        <w:rPr>
          <w:rFonts w:ascii="Times New Roman" w:hAnsi="Times New Roman"/>
        </w:rPr>
      </w:pPr>
      <w:r w:rsidRPr="00DA3BC7">
        <w:rPr>
          <w:rFonts w:ascii="Times New Roman" w:hint="eastAsia"/>
        </w:rPr>
        <w:t>似有</w:t>
      </w:r>
      <w:r w:rsidRPr="00DA3BC7">
        <w:rPr>
          <w:rFonts w:ascii="Times New Roman" w:hint="eastAsia"/>
          <w:b/>
        </w:rPr>
        <w:t>時間相</w:t>
      </w:r>
      <w:r w:rsidRPr="00DA3BC7">
        <w:rPr>
          <w:rFonts w:ascii="Times New Roman" w:hint="eastAsia"/>
        </w:rPr>
        <w:t>，而始終不可得；</w:t>
      </w:r>
    </w:p>
    <w:p w:rsidR="00AA120F" w:rsidRPr="00DA3BC7" w:rsidRDefault="00AA120F" w:rsidP="00303413">
      <w:pPr>
        <w:ind w:leftChars="300" w:left="720"/>
        <w:jc w:val="both"/>
        <w:rPr>
          <w:rFonts w:ascii="Times New Roman" w:hAnsi="Times New Roman"/>
        </w:rPr>
      </w:pPr>
      <w:r w:rsidRPr="00DA3BC7">
        <w:rPr>
          <w:rFonts w:ascii="Times New Roman" w:hint="eastAsia"/>
        </w:rPr>
        <w:t>似有</w:t>
      </w:r>
      <w:r w:rsidRPr="00DA3BC7">
        <w:rPr>
          <w:rFonts w:ascii="Times New Roman" w:hint="eastAsia"/>
          <w:b/>
        </w:rPr>
        <w:t>空間相</w:t>
      </w:r>
      <w:r w:rsidRPr="00DA3BC7">
        <w:rPr>
          <w:rFonts w:ascii="Times New Roman" w:hint="eastAsia"/>
        </w:rPr>
        <w:t>，而中邊不可得；</w:t>
      </w:r>
    </w:p>
    <w:p w:rsidR="00AA120F" w:rsidRPr="00DA3BC7" w:rsidRDefault="00AA120F" w:rsidP="00303413">
      <w:pPr>
        <w:ind w:leftChars="300" w:left="720"/>
        <w:jc w:val="both"/>
      </w:pPr>
      <w:r w:rsidRPr="00DA3BC7">
        <w:rPr>
          <w:rFonts w:hint="eastAsia"/>
        </w:rPr>
        <w:t>似</w:t>
      </w:r>
      <w:r w:rsidRPr="00DA3BC7">
        <w:rPr>
          <w:rFonts w:ascii="Times New Roman" w:hint="eastAsia"/>
        </w:rPr>
        <w:t>有</w:t>
      </w:r>
      <w:r w:rsidRPr="00DA3BC7">
        <w:rPr>
          <w:rFonts w:ascii="Times New Roman" w:hint="eastAsia"/>
          <w:b/>
        </w:rPr>
        <w:t>生</w:t>
      </w:r>
      <w:r w:rsidRPr="00DA3BC7">
        <w:rPr>
          <w:rFonts w:hint="eastAsia"/>
          <w:b/>
        </w:rPr>
        <w:t>滅相</w:t>
      </w:r>
      <w:r w:rsidRPr="00DA3BC7">
        <w:rPr>
          <w:rFonts w:hint="eastAsia"/>
        </w:rPr>
        <w:t>，而來去不可得。</w:t>
      </w:r>
    </w:p>
    <w:p w:rsidR="00AA120F" w:rsidRPr="00DA3BC7" w:rsidRDefault="00AA120F" w:rsidP="00AE3920">
      <w:pPr>
        <w:spacing w:beforeLines="20"/>
        <w:ind w:leftChars="300" w:left="720"/>
        <w:jc w:val="both"/>
      </w:pPr>
      <w:r w:rsidRPr="00DA3BC7">
        <w:rPr>
          <w:rFonts w:hint="eastAsia"/>
        </w:rPr>
        <w:t>即此而悟為</w:t>
      </w:r>
      <w:r w:rsidRPr="00DA3BC7">
        <w:rPr>
          <w:rFonts w:ascii="Times New Roman" w:hint="eastAsia"/>
        </w:rPr>
        <w:t>虛妄</w:t>
      </w:r>
      <w:r w:rsidRPr="00DA3BC7">
        <w:rPr>
          <w:rFonts w:hint="eastAsia"/>
        </w:rPr>
        <w:t>錯亂，</w:t>
      </w:r>
      <w:r w:rsidRPr="00DA3BC7">
        <w:rPr>
          <w:rFonts w:hint="eastAsia"/>
          <w:b/>
        </w:rPr>
        <w:t>以易解空比喻難解空</w:t>
      </w:r>
      <w:r w:rsidRPr="00DA3BC7">
        <w:rPr>
          <w:rFonts w:hint="eastAsia"/>
        </w:rPr>
        <w:t>。</w:t>
      </w:r>
    </w:p>
    <w:p w:rsidR="00F61016" w:rsidRDefault="00AA120F" w:rsidP="00303413">
      <w:pPr>
        <w:ind w:leftChars="300" w:left="720"/>
        <w:jc w:val="both"/>
      </w:pPr>
      <w:r w:rsidRPr="00DA3BC7">
        <w:rPr>
          <w:rFonts w:hint="eastAsia"/>
        </w:rPr>
        <w:t>易解空的幻、化、影、響，也還是可見可聞的，宛然現有，心境間有一定的規律。</w:t>
      </w:r>
    </w:p>
    <w:p w:rsidR="00AA120F" w:rsidRPr="00DA3BC7" w:rsidRDefault="00AA120F" w:rsidP="00303413">
      <w:pPr>
        <w:ind w:leftChars="300" w:left="720"/>
        <w:jc w:val="both"/>
      </w:pPr>
      <w:r w:rsidRPr="00DA3BC7">
        <w:rPr>
          <w:rFonts w:hint="eastAsia"/>
        </w:rPr>
        <w:t>一般以為諦實有的，也還是虛誑的、性空的，但不礙緣起的幻有，不礙因果法則的確立。</w:t>
      </w:r>
    </w:p>
    <w:p w:rsidR="00AA120F" w:rsidRPr="00DA3BC7" w:rsidRDefault="00E71DEF" w:rsidP="00AE3920">
      <w:pPr>
        <w:spacing w:beforeLines="30"/>
        <w:ind w:leftChars="300" w:left="720"/>
        <w:jc w:val="both"/>
        <w:rPr>
          <w:rFonts w:ascii="Times Ext Roman" w:hAnsi="Times Ext Roman" w:cs="Times Ext Roman"/>
          <w:sz w:val="20"/>
          <w:bdr w:val="single" w:sz="4" w:space="0" w:color="auto"/>
        </w:rPr>
      </w:pPr>
      <w:r w:rsidRPr="00E71DEF">
        <w:rPr>
          <w:rFonts w:ascii="Times Ext Roman" w:hAnsi="Times Ext Roman" w:cs="Times Ext Roman" w:hint="eastAsia"/>
          <w:b/>
          <w:color w:val="FF0000"/>
          <w:sz w:val="20"/>
          <w:highlight w:val="yellow"/>
          <w:bdr w:val="single" w:sz="4" w:space="0" w:color="auto"/>
        </w:rPr>
        <w:t>B</w:t>
      </w:r>
      <w:r w:rsidRPr="00E71DEF">
        <w:rPr>
          <w:rFonts w:ascii="Times Ext Roman" w:hAnsi="Times Ext Roman" w:cs="Times Ext Roman" w:hint="eastAsia"/>
          <w:b/>
          <w:color w:val="FF0000"/>
          <w:sz w:val="20"/>
          <w:highlight w:val="yellow"/>
          <w:bdr w:val="single" w:sz="4" w:space="0" w:color="auto"/>
        </w:rPr>
        <w:t>、別釋事</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217</w:t>
      </w:r>
      <w:r w:rsidR="00AA120F" w:rsidRPr="00DA3BC7">
        <w:rPr>
          <w:rFonts w:ascii="Times New Roman" w:hAnsi="Times New Roman" w:hint="eastAsia"/>
          <w:sz w:val="20"/>
        </w:rPr>
        <w:t>）</w:t>
      </w:r>
    </w:p>
    <w:p w:rsidR="00AA120F" w:rsidRPr="00DA3BC7" w:rsidRDefault="00AA120F" w:rsidP="00303413">
      <w:pPr>
        <w:ind w:leftChars="300" w:left="720"/>
        <w:jc w:val="both"/>
      </w:pPr>
      <w:r w:rsidRPr="00DA3BC7">
        <w:rPr>
          <w:rFonts w:hint="eastAsia"/>
        </w:rPr>
        <w:t>這正世俗與倒世俗的分別，即以一般人類的立場而分別。</w:t>
      </w:r>
    </w:p>
    <w:p w:rsidR="00AA120F" w:rsidRPr="00DA3BC7" w:rsidRDefault="00E71DEF" w:rsidP="00AE3920">
      <w:pPr>
        <w:spacing w:beforeLines="30"/>
        <w:ind w:leftChars="350" w:left="840"/>
        <w:jc w:val="both"/>
        <w:rPr>
          <w:rFonts w:ascii="Times Ext Roman" w:hAnsi="Times Ext Roman" w:cs="Times Ext Roman"/>
          <w:sz w:val="20"/>
          <w:bdr w:val="single" w:sz="4" w:space="0" w:color="auto"/>
        </w:rPr>
      </w:pPr>
      <w:r w:rsidRPr="00E71DEF">
        <w:rPr>
          <w:rFonts w:ascii="Times Ext Roman" w:hAnsi="Times Ext Roman" w:cs="Times Ext Roman" w:hint="eastAsia"/>
          <w:b/>
          <w:color w:val="FF0000"/>
          <w:sz w:val="20"/>
          <w:highlight w:val="yellow"/>
          <w:bdr w:val="single" w:sz="4" w:space="0" w:color="auto"/>
        </w:rPr>
        <w:lastRenderedPageBreak/>
        <w:t>（</w:t>
      </w:r>
      <w:r w:rsidRPr="00E71DEF">
        <w:rPr>
          <w:rFonts w:ascii="Times New Roman" w:hAnsi="Times New Roman" w:cs="Times Ext Roman" w:hint="eastAsia"/>
          <w:b/>
          <w:color w:val="FF0000"/>
          <w:sz w:val="20"/>
          <w:highlight w:val="yellow"/>
          <w:bdr w:val="single" w:sz="4" w:space="0" w:color="auto"/>
        </w:rPr>
        <w:t>A</w:t>
      </w:r>
      <w:r w:rsidRPr="00E71DEF">
        <w:rPr>
          <w:rFonts w:ascii="Times Ext Roman" w:hAnsi="Times Ext Roman" w:cs="Times Ext Roman" w:hint="eastAsia"/>
          <w:b/>
          <w:color w:val="FF0000"/>
          <w:sz w:val="20"/>
          <w:highlight w:val="yellow"/>
          <w:bdr w:val="single" w:sz="4" w:space="0" w:color="auto"/>
        </w:rPr>
        <w:t>）</w:t>
      </w:r>
      <w:r w:rsidRPr="00E71DEF">
        <w:rPr>
          <w:rFonts w:ascii="Times New Roman" w:hAnsi="Times New Roman" w:cs="Times Ext Roman" w:hint="eastAsia"/>
          <w:b/>
          <w:color w:val="FF0000"/>
          <w:sz w:val="20"/>
          <w:highlight w:val="yellow"/>
          <w:bdr w:val="single" w:sz="4" w:space="0" w:color="auto"/>
        </w:rPr>
        <w:t>就</w:t>
      </w:r>
      <w:r w:rsidR="00AA120F" w:rsidRPr="00E71DEF">
        <w:rPr>
          <w:rFonts w:ascii="Times Ext Roman" w:hAnsi="Times Ext Roman" w:cs="Times Ext Roman" w:hint="eastAsia"/>
          <w:b/>
          <w:color w:val="FF0000"/>
          <w:sz w:val="20"/>
          <w:highlight w:val="yellow"/>
          <w:bdr w:val="single" w:sz="4" w:space="0" w:color="auto"/>
        </w:rPr>
        <w:t>「變態俗境</w:t>
      </w:r>
      <w:r w:rsidRPr="00E71DEF">
        <w:rPr>
          <w:rFonts w:ascii="Times Ext Roman" w:hAnsi="Times Ext Roman" w:cs="Times Ext Roman" w:hint="eastAsia"/>
          <w:b/>
          <w:color w:val="FF0000"/>
          <w:sz w:val="20"/>
          <w:highlight w:val="yellow"/>
          <w:bdr w:val="single" w:sz="4" w:space="0" w:color="auto"/>
        </w:rPr>
        <w:t>」而知妄［不足］</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217</w:t>
      </w:r>
      <w:r w:rsidR="00AA120F" w:rsidRPr="00DA3BC7">
        <w:rPr>
          <w:rFonts w:ascii="Times New Roman" w:hAnsi="Times New Roman" w:hint="eastAsia"/>
          <w:sz w:val="20"/>
        </w:rPr>
        <w:t>）</w:t>
      </w:r>
    </w:p>
    <w:p w:rsidR="00AA120F" w:rsidRPr="00DA3BC7" w:rsidRDefault="00AA120F" w:rsidP="00624AE8">
      <w:pPr>
        <w:ind w:leftChars="350" w:left="840"/>
        <w:jc w:val="both"/>
      </w:pPr>
      <w:r w:rsidRPr="00DA3BC7">
        <w:rPr>
          <w:rFonts w:hint="eastAsia"/>
        </w:rPr>
        <w:t>屬於</w:t>
      </w:r>
      <w:r w:rsidRPr="00DA3BC7">
        <w:rPr>
          <w:rFonts w:hint="eastAsia"/>
          <w:b/>
        </w:rPr>
        <w:t>根的變異</w:t>
      </w:r>
      <w:r w:rsidRPr="00DA3BC7">
        <w:rPr>
          <w:rFonts w:hint="eastAsia"/>
        </w:rPr>
        <w:t>，可由醫藥等糾正。</w:t>
      </w:r>
    </w:p>
    <w:p w:rsidR="00AA120F" w:rsidRPr="00DA3BC7" w:rsidRDefault="00AA120F" w:rsidP="00624AE8">
      <w:pPr>
        <w:ind w:leftChars="350" w:left="840"/>
        <w:jc w:val="both"/>
      </w:pPr>
      <w:r w:rsidRPr="00DA3BC7">
        <w:rPr>
          <w:rFonts w:hint="eastAsia"/>
        </w:rPr>
        <w:t>屬於</w:t>
      </w:r>
      <w:r w:rsidRPr="00DA3BC7">
        <w:rPr>
          <w:rFonts w:hint="eastAsia"/>
          <w:b/>
        </w:rPr>
        <w:t>心識的錯亂</w:t>
      </w:r>
      <w:r w:rsidRPr="00DA3BC7">
        <w:rPr>
          <w:rFonts w:hint="eastAsia"/>
        </w:rPr>
        <w:t>，如執繩為蛇，執世界為上帝所造──錯覺、幻覺，</w:t>
      </w:r>
      <w:r w:rsidRPr="00DA3BC7">
        <w:rPr>
          <w:rFonts w:hint="eastAsia"/>
          <w:b/>
        </w:rPr>
        <w:t>可以一般正確的知識來破斥</w:t>
      </w:r>
      <w:r w:rsidRPr="00DA3BC7">
        <w:rPr>
          <w:rFonts w:hint="eastAsia"/>
        </w:rPr>
        <w:t>。</w:t>
      </w:r>
    </w:p>
    <w:p w:rsidR="00AA120F" w:rsidRPr="00DA3BC7" w:rsidRDefault="00AA120F" w:rsidP="00624AE8">
      <w:pPr>
        <w:ind w:leftChars="350" w:left="840"/>
        <w:jc w:val="both"/>
      </w:pPr>
      <w:r w:rsidRPr="00DA3BC7">
        <w:rPr>
          <w:rFonts w:hint="eastAsia"/>
        </w:rPr>
        <w:t>但僅知這二者</w:t>
      </w:r>
      <w:r w:rsidRPr="00DA3BC7">
        <w:rPr>
          <w:rStyle w:val="a6"/>
          <w:rFonts w:ascii="Times New Roman" w:hAnsi="Times New Roman"/>
        </w:rPr>
        <w:footnoteReference w:id="948"/>
      </w:r>
      <w:r w:rsidRPr="00DA3BC7">
        <w:rPr>
          <w:rFonts w:hint="eastAsia"/>
        </w:rPr>
        <w:t>的虛妄，是不夠的。</w:t>
      </w:r>
    </w:p>
    <w:p w:rsidR="00AA120F" w:rsidRPr="00DA3BC7" w:rsidRDefault="00E71DEF" w:rsidP="00AE3920">
      <w:pPr>
        <w:spacing w:beforeLines="30"/>
        <w:ind w:leftChars="350" w:left="840"/>
        <w:jc w:val="both"/>
        <w:rPr>
          <w:rFonts w:ascii="Times Ext Roman" w:hAnsi="Times Ext Roman" w:cs="Times Ext Roman"/>
          <w:sz w:val="20"/>
          <w:bdr w:val="single" w:sz="4" w:space="0" w:color="auto"/>
        </w:rPr>
      </w:pPr>
      <w:r w:rsidRPr="00E71DEF">
        <w:rPr>
          <w:rFonts w:ascii="Times Ext Roman" w:hAnsi="Times Ext Roman" w:cs="Times Ext Roman" w:hint="eastAsia"/>
          <w:b/>
          <w:color w:val="FF0000"/>
          <w:sz w:val="20"/>
          <w:highlight w:val="yellow"/>
          <w:bdr w:val="single" w:sz="4" w:space="0" w:color="auto"/>
        </w:rPr>
        <w:t>（</w:t>
      </w:r>
      <w:r w:rsidRPr="00E71DEF">
        <w:rPr>
          <w:rFonts w:ascii="Times New Roman" w:hAnsi="Times New Roman" w:cs="Times Ext Roman" w:hint="eastAsia"/>
          <w:b/>
          <w:color w:val="FF0000"/>
          <w:sz w:val="20"/>
          <w:highlight w:val="yellow"/>
          <w:bdr w:val="single" w:sz="4" w:space="0" w:color="auto"/>
        </w:rPr>
        <w:t>B</w:t>
      </w:r>
      <w:r w:rsidRPr="00E71DEF">
        <w:rPr>
          <w:rFonts w:ascii="Times Ext Roman" w:hAnsi="Times Ext Roman" w:cs="Times Ext Roman" w:hint="eastAsia"/>
          <w:b/>
          <w:color w:val="FF0000"/>
          <w:sz w:val="20"/>
          <w:highlight w:val="yellow"/>
          <w:bdr w:val="single" w:sz="4" w:space="0" w:color="auto"/>
        </w:rPr>
        <w:t>）</w:t>
      </w:r>
      <w:r w:rsidRPr="00E71DEF">
        <w:rPr>
          <w:rFonts w:ascii="Times New Roman" w:hAnsi="Times New Roman" w:cs="Times Ext Roman" w:hint="eastAsia"/>
          <w:b/>
          <w:color w:val="FF0000"/>
          <w:sz w:val="20"/>
          <w:highlight w:val="yellow"/>
          <w:bdr w:val="single" w:sz="4" w:space="0" w:color="auto"/>
        </w:rPr>
        <w:t>就</w:t>
      </w:r>
      <w:r w:rsidR="00AA120F" w:rsidRPr="00E71DEF">
        <w:rPr>
          <w:rFonts w:ascii="Times Ext Roman" w:hAnsi="Times Ext Roman" w:cs="Times Ext Roman" w:hint="eastAsia"/>
          <w:b/>
          <w:color w:val="FF0000"/>
          <w:sz w:val="20"/>
          <w:highlight w:val="yellow"/>
          <w:bdr w:val="single" w:sz="4" w:space="0" w:color="auto"/>
        </w:rPr>
        <w:t>「常態</w:t>
      </w:r>
      <w:r w:rsidRPr="00E71DEF">
        <w:rPr>
          <w:rFonts w:ascii="Times Ext Roman" w:hAnsi="Times Ext Roman" w:cs="Times Ext Roman" w:hint="eastAsia"/>
          <w:b/>
          <w:color w:val="FF0000"/>
          <w:sz w:val="20"/>
          <w:highlight w:val="yellow"/>
          <w:bdr w:val="single" w:sz="4" w:space="0" w:color="auto"/>
        </w:rPr>
        <w:t>俗境</w:t>
      </w:r>
      <w:r w:rsidR="00AA120F" w:rsidRPr="00E71DEF">
        <w:rPr>
          <w:rFonts w:ascii="Times Ext Roman" w:hAnsi="Times Ext Roman" w:cs="Times Ext Roman" w:hint="eastAsia"/>
          <w:b/>
          <w:color w:val="FF0000"/>
          <w:sz w:val="20"/>
          <w:highlight w:val="yellow"/>
          <w:bdr w:val="single" w:sz="4" w:space="0" w:color="auto"/>
        </w:rPr>
        <w:t>」</w:t>
      </w:r>
      <w:r w:rsidRPr="00E71DEF">
        <w:rPr>
          <w:rFonts w:ascii="Times Ext Roman" w:hAnsi="Times Ext Roman" w:cs="Times Ext Roman" w:hint="eastAsia"/>
          <w:b/>
          <w:color w:val="FF0000"/>
          <w:sz w:val="20"/>
          <w:highlight w:val="yellow"/>
          <w:bdr w:val="single" w:sz="4" w:space="0" w:color="auto"/>
        </w:rPr>
        <w:t>而知妄［通達］</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217</w:t>
      </w:r>
      <w:r w:rsidR="00AA120F" w:rsidRPr="00DA3BC7">
        <w:rPr>
          <w:rFonts w:ascii="Times New Roman" w:hAnsi="Times New Roman" w:hint="eastAsia"/>
          <w:sz w:val="20"/>
        </w:rPr>
        <w:t>）</w:t>
      </w:r>
    </w:p>
    <w:p w:rsidR="00AA120F" w:rsidRPr="00DA3BC7" w:rsidRDefault="00AA120F" w:rsidP="00624AE8">
      <w:pPr>
        <w:ind w:leftChars="350" w:left="840"/>
        <w:jc w:val="both"/>
      </w:pPr>
      <w:r w:rsidRPr="00DA3BC7">
        <w:rPr>
          <w:rFonts w:hint="eastAsia"/>
        </w:rPr>
        <w:t>屬於</w:t>
      </w:r>
      <w:r w:rsidRPr="00DA3BC7">
        <w:rPr>
          <w:rFonts w:hint="eastAsia"/>
          <w:b/>
        </w:rPr>
        <w:t>境相的誑惑</w:t>
      </w:r>
      <w:r w:rsidRPr="00DA3BC7">
        <w:rPr>
          <w:rFonts w:hint="eastAsia"/>
        </w:rPr>
        <w:t>，如童稚也執為實有，但</w:t>
      </w:r>
      <w:r w:rsidRPr="00DA3BC7">
        <w:rPr>
          <w:rFonts w:hint="eastAsia"/>
          <w:b/>
        </w:rPr>
        <w:t>由於知識的發展，常人即易於了解是空了</w:t>
      </w:r>
      <w:r w:rsidRPr="00DA3BC7">
        <w:rPr>
          <w:rFonts w:hint="eastAsia"/>
        </w:rPr>
        <w:t>。</w:t>
      </w:r>
    </w:p>
    <w:p w:rsidR="00AA120F" w:rsidRPr="00DA3BC7" w:rsidRDefault="00AA120F" w:rsidP="00624AE8">
      <w:pPr>
        <w:ind w:leftChars="350" w:left="840"/>
        <w:jc w:val="both"/>
      </w:pPr>
      <w:r w:rsidRPr="00DA3BC7">
        <w:rPr>
          <w:rFonts w:hint="eastAsia"/>
        </w:rPr>
        <w:t>色等</w:t>
      </w:r>
      <w:r w:rsidRPr="00DA3BC7">
        <w:rPr>
          <w:rFonts w:hint="eastAsia"/>
          <w:b/>
        </w:rPr>
        <w:t>正世俗</w:t>
      </w:r>
      <w:r w:rsidRPr="00DA3BC7">
        <w:rPr>
          <w:rFonts w:hint="eastAsia"/>
        </w:rPr>
        <w:t>，常人也見為真實的，雖難於了解非真，但</w:t>
      </w:r>
      <w:r w:rsidRPr="00DA3BC7">
        <w:rPr>
          <w:rFonts w:hint="eastAsia"/>
          <w:b/>
        </w:rPr>
        <w:t>經勝義的觀察，即能了悟為虛妄的、性空的</w:t>
      </w:r>
      <w:r w:rsidRPr="00DA3BC7">
        <w:rPr>
          <w:rFonts w:hint="eastAsia"/>
        </w:rPr>
        <w:t>。</w:t>
      </w:r>
    </w:p>
    <w:p w:rsidR="00AA120F" w:rsidRPr="00DA3BC7" w:rsidRDefault="00AA120F" w:rsidP="00624AE8">
      <w:pPr>
        <w:ind w:leftChars="350" w:left="840"/>
        <w:jc w:val="both"/>
      </w:pPr>
      <w:r w:rsidRPr="00DA3BC7">
        <w:rPr>
          <w:rFonts w:hint="eastAsia"/>
        </w:rPr>
        <w:t>從聖者看凡夫，也等於成人看童稚一樣。這二類</w:t>
      </w:r>
      <w:r w:rsidRPr="00DA3BC7">
        <w:rPr>
          <w:rStyle w:val="a6"/>
          <w:rFonts w:ascii="Times New Roman" w:hAnsi="Times New Roman"/>
        </w:rPr>
        <w:footnoteReference w:id="949"/>
      </w:r>
      <w:r w:rsidRPr="00DA3BC7">
        <w:rPr>
          <w:rFonts w:hint="eastAsia"/>
        </w:rPr>
        <w:t>，僅為知識的淺深不同，即</w:t>
      </w:r>
      <w:r w:rsidRPr="00DA3BC7">
        <w:rPr>
          <w:rFonts w:hint="eastAsia"/>
          <w:b/>
        </w:rPr>
        <w:t>世俗識</w:t>
      </w:r>
      <w:r w:rsidRPr="00DA3BC7">
        <w:rPr>
          <w:rFonts w:hint="eastAsia"/>
        </w:rPr>
        <w:t>與</w:t>
      </w:r>
      <w:r w:rsidRPr="00DA3BC7">
        <w:rPr>
          <w:rFonts w:hint="eastAsia"/>
          <w:b/>
        </w:rPr>
        <w:t>勝義智</w:t>
      </w:r>
      <w:r w:rsidRPr="00DA3BC7">
        <w:rPr>
          <w:rFonts w:hint="eastAsia"/>
        </w:rPr>
        <w:t>的悟解不同，在極無自性而現有亂相說，是一致的，所以可以</w:t>
      </w:r>
      <w:r w:rsidR="00E71DEF">
        <w:rPr>
          <w:rFonts w:hint="eastAsia"/>
        </w:rPr>
        <w:t>緣起的幻化比喻緣起的色聲</w:t>
      </w:r>
      <w:r w:rsidRPr="00DA3BC7">
        <w:rPr>
          <w:rFonts w:hint="eastAsia"/>
        </w:rPr>
        <w:t>。</w:t>
      </w:r>
    </w:p>
    <w:p w:rsidR="00AA120F" w:rsidRPr="00DA3BC7" w:rsidRDefault="00AA120F" w:rsidP="00AE3920">
      <w:pPr>
        <w:spacing w:beforeLines="30"/>
        <w:ind w:leftChars="250" w:left="600"/>
        <w:jc w:val="both"/>
        <w:rPr>
          <w:rFonts w:ascii="Times Ext Roman" w:hAnsi="Times Ext Roman" w:cs="Times Ext Roman"/>
          <w:b/>
          <w:sz w:val="20"/>
          <w:bdr w:val="single" w:sz="4" w:space="0" w:color="auto"/>
        </w:rPr>
      </w:pPr>
      <w:r w:rsidRPr="00E71DEF">
        <w:rPr>
          <w:rFonts w:ascii="Times Ext Roman" w:hAnsi="Times Ext Roman" w:cs="Times Ext Roman" w:hint="eastAsia"/>
          <w:b/>
          <w:color w:val="FF0000"/>
          <w:sz w:val="20"/>
          <w:highlight w:val="yellow"/>
          <w:bdr w:val="single" w:sz="4" w:space="0" w:color="auto"/>
        </w:rPr>
        <w:t>（</w:t>
      </w:r>
      <w:r w:rsidR="00E71DEF" w:rsidRPr="00E71DEF">
        <w:rPr>
          <w:rFonts w:ascii="Times Ext Roman" w:hAnsi="Times Ext Roman" w:cs="Times Ext Roman" w:hint="eastAsia"/>
          <w:b/>
          <w:color w:val="FF0000"/>
          <w:sz w:val="20"/>
          <w:highlight w:val="yellow"/>
          <w:bdr w:val="single" w:sz="4" w:space="0" w:color="auto"/>
        </w:rPr>
        <w:t>3</w:t>
      </w:r>
      <w:r w:rsidRPr="00E71DEF">
        <w:rPr>
          <w:rFonts w:ascii="Times Ext Roman" w:hAnsi="Times Ext Roman" w:cs="Times Ext Roman" w:hint="eastAsia"/>
          <w:b/>
          <w:color w:val="FF0000"/>
          <w:sz w:val="20"/>
          <w:highlight w:val="yellow"/>
          <w:bdr w:val="single" w:sz="4" w:space="0" w:color="auto"/>
        </w:rPr>
        <w:t>）</w:t>
      </w:r>
      <w:r w:rsidR="00E71DEF" w:rsidRPr="00E71DEF">
        <w:rPr>
          <w:rFonts w:ascii="Times Ext Roman" w:hAnsi="Times Ext Roman" w:cs="Times Ext Roman" w:hint="eastAsia"/>
          <w:b/>
          <w:color w:val="FF0000"/>
          <w:sz w:val="20"/>
          <w:highlight w:val="yellow"/>
          <w:bdr w:val="single" w:sz="4" w:space="0" w:color="auto"/>
        </w:rPr>
        <w:t>答辯</w:t>
      </w:r>
      <w:r w:rsidRPr="00DA3BC7">
        <w:rPr>
          <w:rFonts w:ascii="Times New Roman" w:hAnsi="Times New Roman" w:hint="eastAsia"/>
          <w:sz w:val="20"/>
        </w:rPr>
        <w:t>（</w:t>
      </w:r>
      <w:r w:rsidRPr="00DA3BC7">
        <w:rPr>
          <w:rFonts w:ascii="Times New Roman" w:hAnsi="Times New Roman" w:hint="eastAsia"/>
          <w:sz w:val="20"/>
        </w:rPr>
        <w:t>pp.</w:t>
      </w:r>
      <w:r w:rsidRPr="00DA3BC7">
        <w:rPr>
          <w:rFonts w:ascii="Times New Roman" w:hAnsi="Times New Roman"/>
          <w:sz w:val="20"/>
        </w:rPr>
        <w:t>217-218</w:t>
      </w:r>
      <w:r w:rsidRPr="00DA3BC7">
        <w:rPr>
          <w:rFonts w:ascii="Times New Roman" w:hAnsi="Times New Roman" w:hint="eastAsia"/>
          <w:sz w:val="20"/>
        </w:rPr>
        <w:t>）</w:t>
      </w:r>
    </w:p>
    <w:p w:rsidR="00AA120F" w:rsidRPr="00DA3BC7" w:rsidRDefault="00E71DEF" w:rsidP="00624AE8">
      <w:pPr>
        <w:ind w:leftChars="300" w:left="720"/>
        <w:jc w:val="both"/>
        <w:rPr>
          <w:rFonts w:ascii="Times Ext Roman" w:hAnsi="Times Ext Roman" w:cs="Times Ext Roman"/>
          <w:b/>
          <w:sz w:val="20"/>
          <w:bdr w:val="single" w:sz="4" w:space="0" w:color="auto"/>
        </w:rPr>
      </w:pPr>
      <w:r w:rsidRPr="00E71DEF">
        <w:rPr>
          <w:rFonts w:ascii="Times Ext Roman" w:hAnsi="Times Ext Roman" w:cs="Times Ext Roman" w:hint="eastAsia"/>
          <w:b/>
          <w:color w:val="FF0000"/>
          <w:sz w:val="20"/>
          <w:highlight w:val="yellow"/>
          <w:bdr w:val="single" w:sz="4" w:space="0" w:color="auto"/>
        </w:rPr>
        <w:t>A</w:t>
      </w:r>
      <w:r w:rsidR="00AA120F" w:rsidRPr="00E71DEF">
        <w:rPr>
          <w:rFonts w:ascii="Times Ext Roman" w:hAnsi="Times Ext Roman" w:cs="Times Ext Roman"/>
          <w:b/>
          <w:color w:val="FF0000"/>
          <w:sz w:val="20"/>
          <w:highlight w:val="yellow"/>
          <w:bdr w:val="single" w:sz="4" w:space="0" w:color="auto"/>
        </w:rPr>
        <w:t>、</w:t>
      </w:r>
      <w:r w:rsidRPr="00E71DEF">
        <w:rPr>
          <w:rFonts w:ascii="Times Ext Roman" w:hAnsi="Times Ext Roman" w:cs="Times Ext Roman" w:hint="eastAsia"/>
          <w:b/>
          <w:color w:val="FF0000"/>
          <w:sz w:val="20"/>
          <w:highlight w:val="yellow"/>
          <w:bdr w:val="single" w:sz="4" w:space="0" w:color="auto"/>
        </w:rPr>
        <w:t>設問</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217</w:t>
      </w:r>
      <w:r w:rsidR="00AA120F" w:rsidRPr="00DA3BC7">
        <w:rPr>
          <w:rFonts w:ascii="Times New Roman" w:hAnsi="Times New Roman" w:hint="eastAsia"/>
          <w:sz w:val="20"/>
        </w:rPr>
        <w:t>）</w:t>
      </w:r>
    </w:p>
    <w:p w:rsidR="00AA120F" w:rsidRPr="00DA3BC7" w:rsidRDefault="00AA120F" w:rsidP="00624AE8">
      <w:pPr>
        <w:ind w:leftChars="300" w:left="720"/>
        <w:jc w:val="both"/>
      </w:pPr>
      <w:r w:rsidRPr="00DA3BC7">
        <w:rPr>
          <w:rFonts w:hint="eastAsia"/>
        </w:rPr>
        <w:t>這也許有人要生起疑問：理解諸法性空，如對於水中月、鏡中像了知是虛假、不實，即應通達性空緣起的道理。緣起性空，不是某一法的，是法法皆如此的。而小乘學者以及世間學者們，也有能知水月、鏡像是假的，為什麼他們仍不能了達性空緣起的真理？</w:t>
      </w:r>
    </w:p>
    <w:p w:rsidR="007917D5" w:rsidRPr="00DA3BC7" w:rsidRDefault="007917D5" w:rsidP="00AE3920">
      <w:pPr>
        <w:spacing w:beforeLines="30"/>
        <w:ind w:leftChars="300" w:left="720"/>
        <w:jc w:val="both"/>
        <w:rPr>
          <w:rFonts w:ascii="Times Ext Roman" w:hAnsi="Times Ext Roman" w:cs="Times Ext Roman"/>
          <w:b/>
          <w:sz w:val="20"/>
          <w:bdr w:val="single" w:sz="4" w:space="0" w:color="auto"/>
        </w:rPr>
      </w:pPr>
      <w:r>
        <w:rPr>
          <w:rFonts w:ascii="Times Ext Roman" w:hAnsi="Times Ext Roman" w:cs="Times Ext Roman" w:hint="eastAsia"/>
          <w:b/>
          <w:color w:val="FF0000"/>
          <w:sz w:val="20"/>
          <w:highlight w:val="yellow"/>
          <w:bdr w:val="single" w:sz="4" w:space="0" w:color="auto"/>
        </w:rPr>
        <w:t>B</w:t>
      </w:r>
      <w:r>
        <w:rPr>
          <w:rFonts w:ascii="Times Ext Roman" w:hAnsi="Times Ext Roman" w:cs="Times Ext Roman" w:hint="eastAsia"/>
          <w:b/>
          <w:color w:val="FF0000"/>
          <w:sz w:val="20"/>
          <w:highlight w:val="yellow"/>
          <w:bdr w:val="single" w:sz="4" w:space="0" w:color="auto"/>
        </w:rPr>
        <w:t>、回應</w:t>
      </w:r>
      <w:r w:rsidRPr="00DA3BC7">
        <w:rPr>
          <w:rFonts w:ascii="Times New Roman" w:hAnsi="Times New Roman" w:hint="eastAsia"/>
          <w:sz w:val="20"/>
        </w:rPr>
        <w:t>（</w:t>
      </w:r>
      <w:r w:rsidRPr="00DA3BC7">
        <w:rPr>
          <w:rFonts w:ascii="Times New Roman" w:hAnsi="Times New Roman" w:hint="eastAsia"/>
          <w:sz w:val="20"/>
        </w:rPr>
        <w:t>pp.</w:t>
      </w:r>
      <w:r w:rsidRPr="00DA3BC7">
        <w:rPr>
          <w:rFonts w:ascii="Times New Roman" w:hAnsi="Times New Roman"/>
          <w:sz w:val="20"/>
        </w:rPr>
        <w:t>217-218</w:t>
      </w:r>
      <w:r w:rsidRPr="00DA3BC7">
        <w:rPr>
          <w:rFonts w:ascii="Times New Roman" w:hAnsi="Times New Roman" w:hint="eastAsia"/>
          <w:sz w:val="20"/>
        </w:rPr>
        <w:t>）</w:t>
      </w:r>
    </w:p>
    <w:p w:rsidR="007917D5" w:rsidRDefault="007917D5" w:rsidP="00624AE8">
      <w:pPr>
        <w:ind w:leftChars="350" w:left="840"/>
        <w:jc w:val="both"/>
        <w:rPr>
          <w:rFonts w:ascii="Times Ext Roman" w:hAnsi="Times Ext Roman" w:cs="Times Ext Roman"/>
          <w:b/>
          <w:color w:val="FF0000"/>
          <w:sz w:val="20"/>
          <w:bdr w:val="single" w:sz="4" w:space="0" w:color="auto"/>
        </w:rPr>
      </w:pPr>
      <w:r w:rsidRPr="00E71DEF">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A</w:t>
      </w:r>
      <w:r w:rsidRPr="00E71DEF">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概述</w:t>
      </w:r>
      <w:r w:rsidRPr="00DA3BC7">
        <w:rPr>
          <w:rFonts w:ascii="Times New Roman" w:hAnsi="Times New Roman" w:hint="eastAsia"/>
          <w:sz w:val="20"/>
        </w:rPr>
        <w:t>（</w:t>
      </w:r>
      <w:r w:rsidRPr="00DA3BC7">
        <w:rPr>
          <w:rFonts w:ascii="Times New Roman" w:hAnsi="Times New Roman" w:hint="eastAsia"/>
          <w:sz w:val="20"/>
        </w:rPr>
        <w:t>pp.</w:t>
      </w:r>
      <w:r w:rsidRPr="00DA3BC7">
        <w:rPr>
          <w:rFonts w:ascii="Times New Roman" w:hAnsi="Times New Roman"/>
          <w:sz w:val="20"/>
        </w:rPr>
        <w:t>217-218</w:t>
      </w:r>
      <w:r w:rsidRPr="00DA3BC7">
        <w:rPr>
          <w:rFonts w:ascii="Times New Roman" w:hAnsi="Times New Roman" w:hint="eastAsia"/>
          <w:sz w:val="20"/>
        </w:rPr>
        <w:t>）</w:t>
      </w:r>
    </w:p>
    <w:p w:rsidR="00AA120F" w:rsidRPr="00DA3BC7" w:rsidRDefault="00AA120F" w:rsidP="00624AE8">
      <w:pPr>
        <w:ind w:leftChars="350" w:left="840"/>
        <w:jc w:val="both"/>
      </w:pPr>
      <w:r w:rsidRPr="00DA3BC7">
        <w:rPr>
          <w:rFonts w:hint="eastAsia"/>
        </w:rPr>
        <w:t>要知</w:t>
      </w:r>
      <w:r w:rsidRPr="00DA3BC7">
        <w:rPr>
          <w:rFonts w:hint="eastAsia"/>
          <w:b/>
        </w:rPr>
        <w:t>一般人與一般學者雖也知水中月的非實，不得緣起性空的正見，原因在他沒有真徹的了解中觀的假有義、性空義</w:t>
      </w:r>
      <w:r w:rsidRPr="00DA3BC7">
        <w:rPr>
          <w:rFonts w:hint="eastAsia"/>
        </w:rPr>
        <w:t>。</w:t>
      </w:r>
    </w:p>
    <w:p w:rsidR="00AA120F" w:rsidRPr="00DA3BC7" w:rsidRDefault="007917D5" w:rsidP="00AE3920">
      <w:pPr>
        <w:spacing w:beforeLines="30"/>
        <w:ind w:leftChars="350" w:left="840"/>
        <w:jc w:val="both"/>
        <w:rPr>
          <w:rFonts w:ascii="Times Ext Roman" w:hAnsi="Times Ext Roman" w:cs="Times Ext Roman"/>
          <w:sz w:val="20"/>
          <w:bdr w:val="single" w:sz="4" w:space="0" w:color="auto"/>
        </w:rPr>
      </w:pPr>
      <w:r w:rsidRPr="00E71DEF">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B</w:t>
      </w:r>
      <w:r w:rsidRPr="00E71DEF">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詳敘</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218</w:t>
      </w:r>
      <w:r w:rsidR="00AA120F" w:rsidRPr="00DA3BC7">
        <w:rPr>
          <w:rFonts w:ascii="Times New Roman" w:hAnsi="Times New Roman" w:hint="eastAsia"/>
          <w:sz w:val="20"/>
        </w:rPr>
        <w:t>）</w:t>
      </w:r>
    </w:p>
    <w:p w:rsidR="007917D5" w:rsidRDefault="007917D5" w:rsidP="00624AE8">
      <w:pPr>
        <w:ind w:leftChars="400" w:left="960"/>
        <w:jc w:val="both"/>
        <w:rPr>
          <w:rFonts w:ascii="Times Ext Roman" w:hAnsi="Times Ext Roman" w:cs="Times Ext Roman"/>
          <w:b/>
          <w:color w:val="FF0000"/>
          <w:sz w:val="20"/>
          <w:bdr w:val="single" w:sz="4" w:space="0" w:color="auto"/>
        </w:rPr>
      </w:pPr>
      <w:r w:rsidRPr="007917D5">
        <w:rPr>
          <w:rFonts w:ascii="Times Ext Roman" w:hAnsi="Times Ext Roman" w:cs="Times Ext Roman" w:hint="eastAsia"/>
          <w:b/>
          <w:color w:val="FF0000"/>
          <w:sz w:val="20"/>
          <w:highlight w:val="yellow"/>
          <w:bdr w:val="single" w:sz="4" w:space="0" w:color="auto"/>
        </w:rPr>
        <w:t>a</w:t>
      </w:r>
      <w:r w:rsidRPr="007917D5">
        <w:rPr>
          <w:rFonts w:ascii="Times Ext Roman" w:hAnsi="Times Ext Roman" w:cs="Times Ext Roman" w:hint="eastAsia"/>
          <w:b/>
          <w:color w:val="FF0000"/>
          <w:sz w:val="20"/>
          <w:highlight w:val="yellow"/>
          <w:bdr w:val="single" w:sz="4" w:space="0" w:color="auto"/>
        </w:rPr>
        <w:t>、常情之過失</w:t>
      </w:r>
      <w:r w:rsidRPr="00DA3BC7">
        <w:rPr>
          <w:rFonts w:ascii="Times New Roman" w:hAnsi="Times New Roman" w:hint="eastAsia"/>
          <w:sz w:val="20"/>
        </w:rPr>
        <w:t>（</w:t>
      </w:r>
      <w:r w:rsidRPr="00DA3BC7">
        <w:rPr>
          <w:rFonts w:ascii="Times New Roman" w:hAnsi="Times New Roman" w:hint="eastAsia"/>
          <w:sz w:val="20"/>
        </w:rPr>
        <w:t>p.</w:t>
      </w:r>
      <w:r w:rsidRPr="00DA3BC7">
        <w:rPr>
          <w:rFonts w:ascii="Times New Roman" w:hAnsi="Times New Roman"/>
          <w:sz w:val="20"/>
        </w:rPr>
        <w:t>218</w:t>
      </w:r>
      <w:r w:rsidRPr="00DA3BC7">
        <w:rPr>
          <w:rFonts w:ascii="Times New Roman" w:hAnsi="Times New Roman" w:hint="eastAsia"/>
          <w:sz w:val="20"/>
        </w:rPr>
        <w:t>）</w:t>
      </w:r>
    </w:p>
    <w:p w:rsidR="00AA120F" w:rsidRPr="00DA3BC7" w:rsidRDefault="00AA120F" w:rsidP="00624AE8">
      <w:pPr>
        <w:ind w:leftChars="400" w:left="960"/>
        <w:jc w:val="both"/>
      </w:pPr>
      <w:r w:rsidRPr="00DA3BC7">
        <w:rPr>
          <w:rFonts w:hint="eastAsia"/>
          <w:b/>
        </w:rPr>
        <w:t>一般人</w:t>
      </w:r>
      <w:r w:rsidRPr="00DA3BC7">
        <w:rPr>
          <w:rFonts w:hint="eastAsia"/>
        </w:rPr>
        <w:t>雖以水月為假有的，但同時仍執另有真實自性的存在，如天上的真月。他們</w:t>
      </w:r>
      <w:r w:rsidRPr="00DA3BC7">
        <w:rPr>
          <w:rFonts w:hint="eastAsia"/>
          <w:b/>
        </w:rPr>
        <w:t>總是以為假與實是相對的，依彼實而有此假的，這即不能正知中觀者所明的假有義</w:t>
      </w:r>
      <w:r w:rsidRPr="00DA3BC7">
        <w:rPr>
          <w:rFonts w:hint="eastAsia"/>
        </w:rPr>
        <w:t>，不能通達緣起的正義，也就不能悟空性而得到解脫。</w:t>
      </w:r>
    </w:p>
    <w:p w:rsidR="00AA120F" w:rsidRPr="00DA3BC7" w:rsidRDefault="007917D5" w:rsidP="00AE3920">
      <w:pPr>
        <w:spacing w:beforeLines="30"/>
        <w:ind w:leftChars="400" w:left="960"/>
        <w:jc w:val="both"/>
        <w:rPr>
          <w:rFonts w:ascii="Times Ext Roman" w:hAnsi="Times Ext Roman" w:cs="Times Ext Roman"/>
          <w:sz w:val="20"/>
          <w:bdr w:val="single" w:sz="4" w:space="0" w:color="auto"/>
        </w:rPr>
      </w:pPr>
      <w:r w:rsidRPr="007917D5">
        <w:rPr>
          <w:rFonts w:ascii="Times Ext Roman" w:hAnsi="Times Ext Roman" w:cs="Times Ext Roman" w:hint="eastAsia"/>
          <w:b/>
          <w:color w:val="FF0000"/>
          <w:sz w:val="20"/>
          <w:highlight w:val="yellow"/>
          <w:bdr w:val="single" w:sz="4" w:space="0" w:color="auto"/>
        </w:rPr>
        <w:lastRenderedPageBreak/>
        <w:t>b</w:t>
      </w:r>
      <w:r w:rsidR="00AA120F" w:rsidRPr="007917D5">
        <w:rPr>
          <w:rFonts w:ascii="Times Ext Roman" w:hAnsi="Times Ext Roman" w:cs="Times Ext Roman"/>
          <w:b/>
          <w:color w:val="FF0000"/>
          <w:sz w:val="20"/>
          <w:highlight w:val="yellow"/>
          <w:bdr w:val="single" w:sz="4" w:space="0" w:color="auto"/>
        </w:rPr>
        <w:t>、</w:t>
      </w:r>
      <w:r w:rsidR="00AA120F" w:rsidRPr="007917D5">
        <w:rPr>
          <w:rFonts w:ascii="Times Ext Roman" w:hAnsi="Times Ext Roman" w:cs="Times Ext Roman" w:hint="eastAsia"/>
          <w:b/>
          <w:color w:val="FF0000"/>
          <w:sz w:val="20"/>
          <w:highlight w:val="yellow"/>
          <w:bdr w:val="single" w:sz="4" w:space="0" w:color="auto"/>
        </w:rPr>
        <w:t>中觀者</w:t>
      </w:r>
      <w:r w:rsidRPr="007917D5">
        <w:rPr>
          <w:rFonts w:ascii="Times Ext Roman" w:hAnsi="Times Ext Roman" w:cs="Times Ext Roman" w:hint="eastAsia"/>
          <w:b/>
          <w:color w:val="FF0000"/>
          <w:sz w:val="20"/>
          <w:highlight w:val="yellow"/>
          <w:bdr w:val="single" w:sz="4" w:space="0" w:color="auto"/>
        </w:rPr>
        <w:t>之正義</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218</w:t>
      </w:r>
      <w:r w:rsidR="00AA120F" w:rsidRPr="00DA3BC7">
        <w:rPr>
          <w:rFonts w:ascii="Times New Roman" w:hAnsi="Times New Roman" w:hint="eastAsia"/>
          <w:sz w:val="20"/>
        </w:rPr>
        <w:t>）</w:t>
      </w:r>
    </w:p>
    <w:p w:rsidR="00AA120F" w:rsidRPr="00DA3BC7" w:rsidRDefault="00AA120F" w:rsidP="00624AE8">
      <w:pPr>
        <w:ind w:leftChars="400" w:left="960"/>
        <w:jc w:val="both"/>
      </w:pPr>
      <w:r w:rsidRPr="00DA3BC7">
        <w:rPr>
          <w:rFonts w:hint="eastAsia"/>
          <w:b/>
        </w:rPr>
        <w:t>中觀者通達諸法如幻緣起時，決不另外安立甚麼真實的，觀一切是相依相待的假立</w:t>
      </w:r>
      <w:r w:rsidRPr="00DA3BC7">
        <w:rPr>
          <w:rFonts w:hint="eastAsia"/>
        </w:rPr>
        <w:t>，這才通達一法時即能通達一切法。</w:t>
      </w:r>
    </w:p>
    <w:p w:rsidR="00AA120F" w:rsidRPr="00DA3BC7" w:rsidRDefault="00AA120F" w:rsidP="00AE3920">
      <w:pPr>
        <w:spacing w:beforeLines="30"/>
        <w:ind w:leftChars="400" w:left="960"/>
        <w:jc w:val="both"/>
      </w:pPr>
      <w:r w:rsidRPr="00DA3BC7">
        <w:rPr>
          <w:rFonts w:hint="eastAsia"/>
        </w:rPr>
        <w:t>所以在了解諸法的性空緣起時，不是依彼真月而說此水中無月的。必需</w:t>
      </w:r>
      <w:r w:rsidRPr="00DA3BC7">
        <w:rPr>
          <w:rFonts w:hint="eastAsia"/>
          <w:b/>
        </w:rPr>
        <w:t>達一切如幻，理解根、境、識的不實性，進而反觀到我我所的非有性，這才徹悟一切法假有而通達性空，也才能由達性空而得到解脫</w:t>
      </w:r>
      <w:r w:rsidRPr="00DA3BC7">
        <w:rPr>
          <w:rFonts w:hint="eastAsia"/>
        </w:rPr>
        <w:t>。</w:t>
      </w:r>
    </w:p>
    <w:p w:rsidR="00AA120F" w:rsidRPr="00DA3BC7" w:rsidRDefault="007917D5" w:rsidP="00AE3920">
      <w:pPr>
        <w:spacing w:beforeLines="30"/>
        <w:ind w:leftChars="400" w:left="960"/>
        <w:jc w:val="both"/>
        <w:rPr>
          <w:rFonts w:ascii="Times Ext Roman" w:hAnsi="Times Ext Roman" w:cs="Times Ext Roman"/>
          <w:sz w:val="20"/>
          <w:bdr w:val="single" w:sz="4" w:space="0" w:color="auto"/>
        </w:rPr>
      </w:pPr>
      <w:r w:rsidRPr="007917D5">
        <w:rPr>
          <w:rFonts w:ascii="Times Ext Roman" w:hAnsi="Times Ext Roman" w:cs="Times Ext Roman" w:hint="eastAsia"/>
          <w:b/>
          <w:color w:val="FF0000"/>
          <w:sz w:val="20"/>
          <w:highlight w:val="yellow"/>
          <w:bdr w:val="single" w:sz="4" w:space="0" w:color="auto"/>
        </w:rPr>
        <w:t>c</w:t>
      </w:r>
      <w:r w:rsidR="00AA120F" w:rsidRPr="007917D5">
        <w:rPr>
          <w:rFonts w:ascii="Times Ext Roman" w:hAnsi="Times Ext Roman" w:cs="Times Ext Roman"/>
          <w:b/>
          <w:color w:val="FF0000"/>
          <w:sz w:val="20"/>
          <w:highlight w:val="yellow"/>
          <w:bdr w:val="single" w:sz="4" w:space="0" w:color="auto"/>
        </w:rPr>
        <w:t>、</w:t>
      </w:r>
      <w:r w:rsidR="00AA120F" w:rsidRPr="00DA3BC7">
        <w:rPr>
          <w:rFonts w:ascii="Times Ext Roman" w:hAnsi="Times Ext Roman" w:cs="Times Ext Roman" w:hint="eastAsia"/>
          <w:b/>
          <w:sz w:val="20"/>
          <w:bdr w:val="single" w:sz="4" w:space="0" w:color="auto"/>
        </w:rPr>
        <w:t>結</w:t>
      </w:r>
      <w:r w:rsidRPr="007917D5">
        <w:rPr>
          <w:rFonts w:ascii="Times Ext Roman" w:hAnsi="Times Ext Roman" w:cs="Times Ext Roman" w:hint="eastAsia"/>
          <w:b/>
          <w:color w:val="FF0000"/>
          <w:sz w:val="20"/>
          <w:highlight w:val="yellow"/>
          <w:bdr w:val="single" w:sz="4" w:space="0" w:color="auto"/>
        </w:rPr>
        <w:t>成</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218</w:t>
      </w:r>
      <w:r w:rsidR="00AA120F" w:rsidRPr="00DA3BC7">
        <w:rPr>
          <w:rFonts w:ascii="Times New Roman" w:hAnsi="Times New Roman" w:hint="eastAsia"/>
          <w:sz w:val="20"/>
        </w:rPr>
        <w:t>）</w:t>
      </w:r>
    </w:p>
    <w:p w:rsidR="00AA120F" w:rsidRPr="00DA3BC7" w:rsidRDefault="00AA120F" w:rsidP="00624AE8">
      <w:pPr>
        <w:ind w:leftChars="400" w:left="960"/>
        <w:jc w:val="both"/>
      </w:pPr>
      <w:r w:rsidRPr="00DA3BC7">
        <w:rPr>
          <w:rFonts w:hint="eastAsia"/>
        </w:rPr>
        <w:t>所以依實立假，從自性妄執而來，障礙空有無礙的中道。</w:t>
      </w:r>
    </w:p>
    <w:p w:rsidR="00AA120F" w:rsidRPr="00DA3BC7" w:rsidRDefault="007917D5" w:rsidP="00AE3920">
      <w:pPr>
        <w:spacing w:beforeLines="30"/>
        <w:ind w:leftChars="100" w:left="240"/>
        <w:jc w:val="both"/>
        <w:rPr>
          <w:rFonts w:ascii="Times New Roman" w:hAnsi="Times New Roman"/>
          <w:sz w:val="20"/>
          <w:bdr w:val="single" w:sz="4" w:space="0" w:color="auto"/>
        </w:rPr>
      </w:pPr>
      <w:r>
        <w:rPr>
          <w:rFonts w:ascii="Times New Roman" w:hAnsi="Times Ext Roman" w:hint="eastAsia"/>
          <w:b/>
          <w:color w:val="FF0000"/>
          <w:sz w:val="20"/>
          <w:highlight w:val="yellow"/>
          <w:bdr w:val="single" w:sz="4" w:space="0" w:color="auto"/>
        </w:rPr>
        <w:t>二</w:t>
      </w:r>
      <w:r w:rsidR="00AA120F" w:rsidRPr="00DA3BC7">
        <w:rPr>
          <w:rFonts w:ascii="Times New Roman" w:hAnsi="Times Ext Roman" w:hint="eastAsia"/>
          <w:b/>
          <w:sz w:val="20"/>
          <w:bdr w:val="single" w:sz="4" w:space="0" w:color="auto"/>
        </w:rPr>
        <w:t>、明「勝義諦」</w:t>
      </w:r>
      <w:r w:rsidR="00AA120F" w:rsidRPr="00DA3BC7">
        <w:rPr>
          <w:rFonts w:ascii="Times New Roman" w:hAnsi="Times New Roman" w:hint="eastAsia"/>
          <w:sz w:val="20"/>
        </w:rPr>
        <w:t>（</w:t>
      </w:r>
      <w:r w:rsidR="00AA120F" w:rsidRPr="00DA3BC7">
        <w:rPr>
          <w:rFonts w:ascii="Times New Roman" w:hAnsi="Times New Roman" w:hint="eastAsia"/>
          <w:sz w:val="20"/>
        </w:rPr>
        <w:t>pp.</w:t>
      </w:r>
      <w:r w:rsidR="00AA120F" w:rsidRPr="00DA3BC7">
        <w:rPr>
          <w:rFonts w:ascii="Times New Roman" w:hAnsi="Times New Roman"/>
          <w:sz w:val="20"/>
        </w:rPr>
        <w:t>218</w:t>
      </w:r>
      <w:r w:rsidR="00AA120F" w:rsidRPr="00DA3BC7">
        <w:rPr>
          <w:rFonts w:ascii="Times New Roman" w:hAnsi="Times New Roman" w:hint="eastAsia"/>
          <w:sz w:val="20"/>
        </w:rPr>
        <w:t>-219</w:t>
      </w:r>
      <w:r w:rsidR="00AA120F" w:rsidRPr="00DA3BC7">
        <w:rPr>
          <w:rFonts w:ascii="Times New Roman" w:hAnsi="Times New Roman" w:hint="eastAsia"/>
          <w:sz w:val="20"/>
        </w:rPr>
        <w:t>）</w:t>
      </w:r>
    </w:p>
    <w:p w:rsidR="00AA120F" w:rsidRPr="00DA3BC7" w:rsidRDefault="00AA120F" w:rsidP="00624AE8">
      <w:pPr>
        <w:ind w:leftChars="150" w:left="360"/>
        <w:jc w:val="both"/>
        <w:rPr>
          <w:rFonts w:ascii="Times Ext Roman" w:hAnsi="Times Ext Roman" w:cs="Times Ext Roman"/>
          <w:b/>
          <w:sz w:val="20"/>
          <w:bdr w:val="single" w:sz="4" w:space="0" w:color="auto"/>
        </w:rPr>
      </w:pPr>
      <w:r w:rsidRPr="007917D5">
        <w:rPr>
          <w:rFonts w:ascii="Times Ext Roman" w:hAnsi="Times Ext Roman" w:cs="Times Ext Roman" w:hint="eastAsia"/>
          <w:b/>
          <w:color w:val="FF0000"/>
          <w:sz w:val="20"/>
          <w:highlight w:val="yellow"/>
          <w:bdr w:val="single" w:sz="4" w:space="0" w:color="auto"/>
        </w:rPr>
        <w:t>（</w:t>
      </w:r>
      <w:r w:rsidR="007917D5" w:rsidRPr="007917D5">
        <w:rPr>
          <w:rFonts w:ascii="Times Ext Roman" w:hAnsi="Times Ext Roman" w:cs="Times Ext Roman" w:hint="eastAsia"/>
          <w:b/>
          <w:color w:val="FF0000"/>
          <w:sz w:val="20"/>
          <w:highlight w:val="yellow"/>
          <w:bdr w:val="single" w:sz="4" w:space="0" w:color="auto"/>
        </w:rPr>
        <w:t>一</w:t>
      </w:r>
      <w:r w:rsidRPr="007917D5">
        <w:rPr>
          <w:rFonts w:ascii="Times Ext Roman" w:hAnsi="Times Ext Roman" w:cs="Times Ext Roman" w:hint="eastAsia"/>
          <w:b/>
          <w:color w:val="FF0000"/>
          <w:sz w:val="20"/>
          <w:highlight w:val="yellow"/>
          <w:bdr w:val="single" w:sz="4" w:space="0" w:color="auto"/>
        </w:rPr>
        <w:t>）</w:t>
      </w:r>
      <w:r w:rsidR="007917D5">
        <w:rPr>
          <w:rFonts w:ascii="Times Ext Roman" w:hAnsi="Times Ext Roman" w:cs="Times Ext Roman" w:hint="eastAsia"/>
          <w:b/>
          <w:color w:val="FF0000"/>
          <w:sz w:val="20"/>
          <w:highlight w:val="yellow"/>
          <w:bdr w:val="single" w:sz="4" w:space="0" w:color="auto"/>
        </w:rPr>
        <w:t>約</w:t>
      </w:r>
      <w:r w:rsidRPr="007917D5">
        <w:rPr>
          <w:rFonts w:ascii="Times Ext Roman" w:hAnsi="Times Ext Roman" w:cs="Times Ext Roman" w:hint="eastAsia"/>
          <w:b/>
          <w:color w:val="FF0000"/>
          <w:sz w:val="20"/>
          <w:highlight w:val="yellow"/>
          <w:bdr w:val="single" w:sz="4" w:space="0" w:color="auto"/>
        </w:rPr>
        <w:t>「</w:t>
      </w:r>
      <w:r w:rsidR="007917D5" w:rsidRPr="007917D5">
        <w:rPr>
          <w:rFonts w:ascii="Times Ext Roman" w:hAnsi="Times Ext Roman" w:cs="Times Ext Roman" w:hint="eastAsia"/>
          <w:b/>
          <w:color w:val="FF0000"/>
          <w:sz w:val="20"/>
          <w:highlight w:val="yellow"/>
          <w:bdr w:val="single" w:sz="4" w:space="0" w:color="auto"/>
        </w:rPr>
        <w:t>廣</w:t>
      </w:r>
      <w:r w:rsidRPr="007917D5">
        <w:rPr>
          <w:rFonts w:ascii="Times Ext Roman" w:hAnsi="Times Ext Roman" w:cs="Times Ext Roman" w:hint="eastAsia"/>
          <w:b/>
          <w:color w:val="FF0000"/>
          <w:sz w:val="20"/>
          <w:highlight w:val="yellow"/>
          <w:bdr w:val="single" w:sz="4" w:space="0" w:color="auto"/>
        </w:rPr>
        <w:t>狹」</w:t>
      </w:r>
      <w:r w:rsidR="007917D5" w:rsidRPr="007917D5">
        <w:rPr>
          <w:rFonts w:ascii="Times Ext Roman" w:hAnsi="Times Ext Roman" w:cs="Times Ext Roman" w:hint="eastAsia"/>
          <w:b/>
          <w:color w:val="FF0000"/>
          <w:sz w:val="20"/>
          <w:highlight w:val="yellow"/>
          <w:bdr w:val="single" w:sz="4" w:space="0" w:color="auto"/>
        </w:rPr>
        <w:t>辨</w:t>
      </w:r>
      <w:r w:rsidRPr="00DA3BC7">
        <w:rPr>
          <w:rFonts w:ascii="Times New Roman" w:hAnsi="Times New Roman" w:hint="eastAsia"/>
          <w:sz w:val="20"/>
        </w:rPr>
        <w:t>（</w:t>
      </w:r>
      <w:r w:rsidRPr="00DA3BC7">
        <w:rPr>
          <w:rFonts w:ascii="Times New Roman" w:hAnsi="Times New Roman" w:hint="eastAsia"/>
          <w:sz w:val="20"/>
        </w:rPr>
        <w:t>pp.</w:t>
      </w:r>
      <w:r w:rsidRPr="00DA3BC7">
        <w:rPr>
          <w:rFonts w:ascii="Times New Roman" w:hAnsi="Times New Roman"/>
          <w:sz w:val="20"/>
        </w:rPr>
        <w:t>218</w:t>
      </w:r>
      <w:r w:rsidRPr="00DA3BC7">
        <w:rPr>
          <w:rFonts w:ascii="Times New Roman" w:hAnsi="Times New Roman" w:hint="eastAsia"/>
          <w:sz w:val="20"/>
        </w:rPr>
        <w:t>-219</w:t>
      </w:r>
      <w:r w:rsidRPr="00DA3BC7">
        <w:rPr>
          <w:rFonts w:ascii="Times New Roman" w:hAnsi="Times New Roman" w:hint="eastAsia"/>
          <w:sz w:val="20"/>
        </w:rPr>
        <w:t>）</w:t>
      </w:r>
    </w:p>
    <w:p w:rsidR="00AA120F" w:rsidRPr="00DA3BC7" w:rsidRDefault="007917D5" w:rsidP="00624AE8">
      <w:pPr>
        <w:ind w:leftChars="200" w:left="480"/>
        <w:jc w:val="both"/>
        <w:rPr>
          <w:b/>
          <w:sz w:val="20"/>
          <w:szCs w:val="20"/>
          <w:bdr w:val="single" w:sz="4" w:space="0" w:color="auto"/>
        </w:rPr>
      </w:pPr>
      <w:r w:rsidRPr="007917D5">
        <w:rPr>
          <w:rFonts w:ascii="Times New Roman" w:hAnsi="Times New Roman" w:hint="eastAsia"/>
          <w:b/>
          <w:color w:val="FF0000"/>
          <w:sz w:val="20"/>
          <w:szCs w:val="20"/>
          <w:highlight w:val="yellow"/>
          <w:bdr w:val="single" w:sz="4" w:space="0" w:color="auto"/>
        </w:rPr>
        <w:t>1</w:t>
      </w:r>
      <w:r w:rsidR="00AA120F" w:rsidRPr="00624AE8">
        <w:rPr>
          <w:rFonts w:hint="eastAsia"/>
          <w:b/>
          <w:color w:val="FF0000"/>
          <w:sz w:val="20"/>
          <w:szCs w:val="20"/>
          <w:highlight w:val="yellow"/>
          <w:bdr w:val="single" w:sz="4" w:space="0" w:color="auto"/>
        </w:rPr>
        <w:t>、</w:t>
      </w:r>
      <w:r w:rsidR="00AA120F" w:rsidRPr="00DA3BC7">
        <w:rPr>
          <w:rFonts w:hint="eastAsia"/>
          <w:b/>
          <w:sz w:val="20"/>
          <w:szCs w:val="20"/>
          <w:bdr w:val="single" w:sz="4" w:space="0" w:color="auto"/>
        </w:rPr>
        <w:t>總標</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218</w:t>
      </w:r>
      <w:r w:rsidR="00AA120F" w:rsidRPr="00DA3BC7">
        <w:rPr>
          <w:rFonts w:ascii="Times New Roman" w:hAnsi="Times New Roman" w:hint="eastAsia"/>
          <w:sz w:val="20"/>
        </w:rPr>
        <w:t>）</w:t>
      </w:r>
    </w:p>
    <w:p w:rsidR="00AA120F" w:rsidRPr="00DA3BC7" w:rsidRDefault="00AA120F" w:rsidP="00624AE8">
      <w:pPr>
        <w:ind w:leftChars="200" w:left="480"/>
        <w:jc w:val="both"/>
      </w:pPr>
      <w:r w:rsidRPr="00DA3BC7">
        <w:rPr>
          <w:rFonts w:hint="eastAsia"/>
        </w:rPr>
        <w:t>論到</w:t>
      </w:r>
      <w:r w:rsidRPr="00BE0426">
        <w:rPr>
          <w:rFonts w:hint="eastAsia"/>
          <w:b/>
        </w:rPr>
        <w:t>勝義諦</w:t>
      </w:r>
      <w:r w:rsidRPr="00DA3BC7">
        <w:rPr>
          <w:rFonts w:hint="eastAsia"/>
        </w:rPr>
        <w:t>，</w:t>
      </w:r>
      <w:r w:rsidRPr="00BE0426">
        <w:rPr>
          <w:rFonts w:hint="eastAsia"/>
          <w:b/>
          <w:u w:val="wave" w:color="C00000"/>
        </w:rPr>
        <w:t>勝義</w:t>
      </w:r>
      <w:r w:rsidRPr="00DA3BC7">
        <w:rPr>
          <w:rFonts w:hint="eastAsia"/>
          <w:b/>
        </w:rPr>
        <w:t>即指</w:t>
      </w:r>
      <w:r w:rsidRPr="00BE0426">
        <w:rPr>
          <w:rFonts w:hint="eastAsia"/>
          <w:b/>
          <w:u w:val="wave" w:color="C00000"/>
        </w:rPr>
        <w:t>聖者由般若慧而悟達的境地</w:t>
      </w:r>
      <w:r w:rsidRPr="00DA3BC7">
        <w:rPr>
          <w:rFonts w:hint="eastAsia"/>
        </w:rPr>
        <w:t>，此有</w:t>
      </w:r>
      <w:r w:rsidRPr="00DA3BC7">
        <w:rPr>
          <w:rFonts w:hint="eastAsia"/>
          <w:b/>
        </w:rPr>
        <w:t>廣義</w:t>
      </w:r>
      <w:r w:rsidRPr="00DA3BC7">
        <w:rPr>
          <w:rFonts w:hint="eastAsia"/>
        </w:rPr>
        <w:t>與</w:t>
      </w:r>
      <w:r w:rsidRPr="00DA3BC7">
        <w:rPr>
          <w:rFonts w:hint="eastAsia"/>
          <w:b/>
        </w:rPr>
        <w:t>狹義</w:t>
      </w:r>
      <w:r w:rsidRPr="00DA3BC7">
        <w:rPr>
          <w:rFonts w:hint="eastAsia"/>
        </w:rPr>
        <w:t>之分。</w:t>
      </w:r>
    </w:p>
    <w:p w:rsidR="00AA120F" w:rsidRPr="00DA3BC7" w:rsidRDefault="007917D5" w:rsidP="00AE3920">
      <w:pPr>
        <w:spacing w:beforeLines="30"/>
        <w:ind w:leftChars="200" w:left="480"/>
        <w:jc w:val="both"/>
        <w:rPr>
          <w:b/>
          <w:sz w:val="20"/>
          <w:szCs w:val="20"/>
          <w:bdr w:val="single" w:sz="4" w:space="0" w:color="auto"/>
        </w:rPr>
      </w:pPr>
      <w:r>
        <w:rPr>
          <w:rFonts w:ascii="Times New Roman" w:hAnsi="Times New Roman" w:hint="eastAsia"/>
          <w:b/>
          <w:color w:val="FF0000"/>
          <w:sz w:val="20"/>
          <w:szCs w:val="20"/>
          <w:highlight w:val="yellow"/>
          <w:bdr w:val="single" w:sz="4" w:space="0" w:color="auto"/>
        </w:rPr>
        <w:t>2</w:t>
      </w:r>
      <w:r w:rsidR="00AA120F" w:rsidRPr="00624AE8">
        <w:rPr>
          <w:rFonts w:hint="eastAsia"/>
          <w:b/>
          <w:color w:val="FF0000"/>
          <w:sz w:val="20"/>
          <w:szCs w:val="20"/>
          <w:highlight w:val="yellow"/>
          <w:bdr w:val="single" w:sz="4" w:space="0" w:color="auto"/>
        </w:rPr>
        <w:t>、</w:t>
      </w:r>
      <w:r w:rsidR="00AA120F" w:rsidRPr="00DA3BC7">
        <w:rPr>
          <w:rFonts w:hint="eastAsia"/>
          <w:b/>
          <w:sz w:val="20"/>
          <w:szCs w:val="20"/>
          <w:bdr w:val="single" w:sz="4" w:space="0" w:color="auto"/>
        </w:rPr>
        <w:t>別釋</w:t>
      </w:r>
      <w:r w:rsidR="00AA120F" w:rsidRPr="00DA3BC7">
        <w:rPr>
          <w:rFonts w:ascii="Times New Roman" w:hAnsi="Times New Roman" w:hint="eastAsia"/>
          <w:sz w:val="20"/>
        </w:rPr>
        <w:t>（</w:t>
      </w:r>
      <w:r w:rsidR="00AA120F" w:rsidRPr="00DA3BC7">
        <w:rPr>
          <w:rFonts w:ascii="Times New Roman" w:hAnsi="Times New Roman" w:hint="eastAsia"/>
          <w:sz w:val="20"/>
        </w:rPr>
        <w:t>pp.</w:t>
      </w:r>
      <w:r w:rsidR="00AA120F" w:rsidRPr="00DA3BC7">
        <w:rPr>
          <w:rFonts w:ascii="Times New Roman" w:hAnsi="Times New Roman"/>
          <w:sz w:val="20"/>
        </w:rPr>
        <w:t>218</w:t>
      </w:r>
      <w:r w:rsidR="00AA120F" w:rsidRPr="00DA3BC7">
        <w:rPr>
          <w:rFonts w:ascii="Times New Roman" w:hAnsi="Times New Roman" w:hint="eastAsia"/>
          <w:sz w:val="20"/>
        </w:rPr>
        <w:t>-219</w:t>
      </w:r>
      <w:r w:rsidR="00AA120F" w:rsidRPr="00DA3BC7">
        <w:rPr>
          <w:rFonts w:ascii="Times New Roman" w:hAnsi="Times New Roman" w:hint="eastAsia"/>
          <w:sz w:val="20"/>
        </w:rPr>
        <w:t>）</w:t>
      </w:r>
    </w:p>
    <w:p w:rsidR="00AA120F" w:rsidRPr="00DA3BC7" w:rsidRDefault="00AA120F" w:rsidP="00624AE8">
      <w:pPr>
        <w:ind w:leftChars="250" w:left="600"/>
        <w:jc w:val="both"/>
        <w:rPr>
          <w:b/>
          <w:sz w:val="20"/>
          <w:szCs w:val="20"/>
          <w:bdr w:val="single" w:sz="4" w:space="0" w:color="auto"/>
        </w:rPr>
      </w:pPr>
      <w:r w:rsidRPr="007917D5">
        <w:rPr>
          <w:rFonts w:ascii="Times Ext Roman" w:hAnsi="Times Ext Roman" w:cs="Times Ext Roman" w:hint="eastAsia"/>
          <w:b/>
          <w:color w:val="FF0000"/>
          <w:sz w:val="20"/>
          <w:highlight w:val="yellow"/>
          <w:bdr w:val="single" w:sz="4" w:space="0" w:color="auto"/>
        </w:rPr>
        <w:t>（</w:t>
      </w:r>
      <w:r w:rsidR="007917D5" w:rsidRPr="007917D5">
        <w:rPr>
          <w:rFonts w:ascii="Times Ext Roman" w:hAnsi="Times Ext Roman" w:cs="Times Ext Roman" w:hint="eastAsia"/>
          <w:b/>
          <w:color w:val="FF0000"/>
          <w:sz w:val="20"/>
          <w:highlight w:val="yellow"/>
          <w:bdr w:val="single" w:sz="4" w:space="0" w:color="auto"/>
        </w:rPr>
        <w:t>1</w:t>
      </w:r>
      <w:r w:rsidRPr="007917D5">
        <w:rPr>
          <w:rFonts w:ascii="Times Ext Roman" w:hAnsi="Times Ext Roman" w:cs="Times Ext Roman" w:hint="eastAsia"/>
          <w:b/>
          <w:color w:val="FF0000"/>
          <w:sz w:val="20"/>
          <w:highlight w:val="yellow"/>
          <w:bdr w:val="single" w:sz="4" w:space="0" w:color="auto"/>
        </w:rPr>
        <w:t>）</w:t>
      </w:r>
      <w:r w:rsidRPr="00DA3BC7">
        <w:rPr>
          <w:rFonts w:ascii="Times Ext Roman" w:hAnsi="Times Ext Roman" w:cs="Times Ext Roman" w:hint="eastAsia"/>
          <w:b/>
          <w:sz w:val="20"/>
          <w:bdr w:val="single" w:sz="4" w:space="0" w:color="auto"/>
        </w:rPr>
        <w:t>狹義的勝義諦</w:t>
      </w:r>
      <w:r w:rsidRPr="00DA3BC7">
        <w:rPr>
          <w:rFonts w:ascii="Times New Roman" w:hAnsi="Times New Roman" w:hint="eastAsia"/>
          <w:sz w:val="20"/>
        </w:rPr>
        <w:t>（</w:t>
      </w:r>
      <w:r w:rsidRPr="00DA3BC7">
        <w:rPr>
          <w:rFonts w:ascii="Times New Roman" w:hAnsi="Times New Roman" w:hint="eastAsia"/>
          <w:sz w:val="20"/>
        </w:rPr>
        <w:t>p.</w:t>
      </w:r>
      <w:r w:rsidRPr="00DA3BC7">
        <w:rPr>
          <w:rFonts w:ascii="Times New Roman" w:hAnsi="Times New Roman"/>
          <w:sz w:val="20"/>
        </w:rPr>
        <w:t>218</w:t>
      </w:r>
      <w:r w:rsidRPr="00DA3BC7">
        <w:rPr>
          <w:rFonts w:ascii="Times New Roman" w:hAnsi="Times New Roman" w:hint="eastAsia"/>
          <w:sz w:val="20"/>
        </w:rPr>
        <w:t>）</w:t>
      </w:r>
    </w:p>
    <w:p w:rsidR="007917D5" w:rsidRDefault="00AA120F" w:rsidP="00624AE8">
      <w:pPr>
        <w:ind w:leftChars="250" w:left="600"/>
        <w:jc w:val="both"/>
      </w:pPr>
      <w:r w:rsidRPr="00DA3BC7">
        <w:rPr>
          <w:rFonts w:hint="eastAsia"/>
          <w:b/>
        </w:rPr>
        <w:t>狹義</w:t>
      </w:r>
      <w:r w:rsidRPr="00DA3BC7">
        <w:rPr>
          <w:rFonts w:hint="eastAsia"/>
        </w:rPr>
        <w:t>即指</w:t>
      </w:r>
      <w:r w:rsidRPr="00DA3BC7">
        <w:rPr>
          <w:rFonts w:hint="eastAsia"/>
          <w:b/>
        </w:rPr>
        <w:t>空性</w:t>
      </w:r>
      <w:r w:rsidRPr="00DA3BC7">
        <w:rPr>
          <w:rFonts w:hint="eastAsia"/>
        </w:rPr>
        <w:t>：</w:t>
      </w:r>
    </w:p>
    <w:p w:rsidR="00AA120F" w:rsidRPr="00DA3BC7" w:rsidRDefault="00AA120F" w:rsidP="00624AE8">
      <w:pPr>
        <w:ind w:leftChars="250" w:left="600"/>
        <w:jc w:val="both"/>
      </w:pPr>
      <w:r w:rsidRPr="00DA3BC7">
        <w:rPr>
          <w:rFonts w:hint="eastAsia"/>
        </w:rPr>
        <w:t>眾生於一切現象而執為實有，</w:t>
      </w:r>
      <w:r w:rsidRPr="00DA3BC7">
        <w:rPr>
          <w:rFonts w:hint="eastAsia"/>
          <w:b/>
        </w:rPr>
        <w:t>聖者即於似有的現象中，知道是無自性空</w:t>
      </w:r>
      <w:r w:rsidRPr="00DA3BC7">
        <w:rPr>
          <w:rFonts w:hint="eastAsia"/>
        </w:rPr>
        <w:t>。如經</w:t>
      </w:r>
      <w:r w:rsidRPr="007917D5">
        <w:rPr>
          <w:rFonts w:ascii="新細明體" w:hAnsi="新細明體" w:hint="eastAsia"/>
        </w:rPr>
        <w:t>說色空</w:t>
      </w:r>
      <w:r w:rsidR="007917D5">
        <w:rPr>
          <w:rFonts w:ascii="新細明體" w:hAnsi="新細明體" w:hint="eastAsia"/>
          <w:color w:val="FF0000"/>
          <w:highlight w:val="yellow"/>
        </w:rPr>
        <w:t>、</w:t>
      </w:r>
      <w:r w:rsidRPr="007917D5">
        <w:rPr>
          <w:rFonts w:ascii="新細明體" w:hAnsi="新細明體" w:hint="eastAsia"/>
        </w:rPr>
        <w:t>受想行識空</w:t>
      </w:r>
      <w:r w:rsidR="007917D5" w:rsidRPr="00DA3BC7">
        <w:rPr>
          <w:rFonts w:hint="eastAsia"/>
        </w:rPr>
        <w:t>，</w:t>
      </w:r>
      <w:r w:rsidRPr="00DA3BC7">
        <w:rPr>
          <w:rStyle w:val="a6"/>
          <w:rFonts w:ascii="Times New Roman" w:hAnsi="Times New Roman"/>
        </w:rPr>
        <w:footnoteReference w:id="950"/>
      </w:r>
      <w:r w:rsidRPr="00DA3BC7">
        <w:rPr>
          <w:rFonts w:hint="eastAsia"/>
        </w:rPr>
        <w:t>都是藉現法以否定實性而顯示空義的，</w:t>
      </w:r>
      <w:r w:rsidRPr="00DA3BC7">
        <w:rPr>
          <w:rFonts w:hint="eastAsia"/>
          <w:b/>
        </w:rPr>
        <w:t>不能離開現法而觀空相</w:t>
      </w:r>
      <w:r w:rsidRPr="00DA3BC7">
        <w:rPr>
          <w:rFonts w:hint="eastAsia"/>
        </w:rPr>
        <w:t>。</w:t>
      </w:r>
    </w:p>
    <w:p w:rsidR="00AA120F" w:rsidRPr="00DA3BC7" w:rsidRDefault="007917D5" w:rsidP="00AE3920">
      <w:pPr>
        <w:spacing w:beforeLines="30"/>
        <w:ind w:leftChars="250" w:left="600"/>
        <w:jc w:val="both"/>
        <w:rPr>
          <w:rFonts w:ascii="Times Ext Roman" w:hAnsi="Times Ext Roman" w:cs="Times Ext Roman"/>
          <w:sz w:val="20"/>
          <w:bdr w:val="single" w:sz="4" w:space="0" w:color="auto"/>
        </w:rPr>
      </w:pPr>
      <w:r w:rsidRPr="007917D5">
        <w:rPr>
          <w:rFonts w:ascii="Times Ext Roman" w:hAnsi="Times Ext Roman" w:cs="Times Ext Roman" w:hint="eastAsia"/>
          <w:b/>
          <w:color w:val="FF0000"/>
          <w:sz w:val="20"/>
          <w:highlight w:val="yellow"/>
          <w:bdr w:val="single" w:sz="4" w:space="0" w:color="auto"/>
        </w:rPr>
        <w:t>（</w:t>
      </w:r>
      <w:r>
        <w:rPr>
          <w:rFonts w:ascii="Times Ext Roman" w:hAnsi="Times Ext Roman" w:cs="Times Ext Roman" w:hint="eastAsia"/>
          <w:b/>
          <w:color w:val="FF0000"/>
          <w:sz w:val="20"/>
          <w:highlight w:val="yellow"/>
          <w:bdr w:val="single" w:sz="4" w:space="0" w:color="auto"/>
        </w:rPr>
        <w:t>2</w:t>
      </w:r>
      <w:r w:rsidRPr="007917D5">
        <w:rPr>
          <w:rFonts w:ascii="Times Ext Roman" w:hAnsi="Times Ext Roman" w:cs="Times Ext Roman" w:hint="eastAsia"/>
          <w:b/>
          <w:color w:val="FF0000"/>
          <w:sz w:val="20"/>
          <w:highlight w:val="yellow"/>
          <w:bdr w:val="single" w:sz="4" w:space="0" w:color="auto"/>
        </w:rPr>
        <w:t>）</w:t>
      </w:r>
      <w:r w:rsidR="00AA120F" w:rsidRPr="00DA3BC7">
        <w:rPr>
          <w:rFonts w:ascii="Times Ext Roman" w:hAnsi="Times Ext Roman" w:cs="Times Ext Roman" w:hint="eastAsia"/>
          <w:b/>
          <w:sz w:val="20"/>
          <w:bdr w:val="single" w:sz="4" w:space="0" w:color="auto"/>
        </w:rPr>
        <w:t>廣義的勝義諦</w:t>
      </w:r>
      <w:r w:rsidR="00AA120F" w:rsidRPr="00DA3BC7">
        <w:rPr>
          <w:rFonts w:ascii="Times New Roman" w:hAnsi="Times New Roman" w:hint="eastAsia"/>
          <w:sz w:val="20"/>
        </w:rPr>
        <w:t>（</w:t>
      </w:r>
      <w:r w:rsidR="00AA120F" w:rsidRPr="00DA3BC7">
        <w:rPr>
          <w:rFonts w:ascii="Times New Roman" w:hAnsi="Times New Roman" w:hint="eastAsia"/>
          <w:sz w:val="20"/>
        </w:rPr>
        <w:t>pp.</w:t>
      </w:r>
      <w:r w:rsidR="00AA120F" w:rsidRPr="00DA3BC7">
        <w:rPr>
          <w:rFonts w:ascii="Times New Roman" w:hAnsi="Times New Roman"/>
          <w:sz w:val="20"/>
        </w:rPr>
        <w:t>218-219</w:t>
      </w:r>
      <w:r w:rsidR="00AA120F" w:rsidRPr="00DA3BC7">
        <w:rPr>
          <w:rFonts w:ascii="Times New Roman" w:hAnsi="Times New Roman" w:hint="eastAsia"/>
          <w:sz w:val="20"/>
        </w:rPr>
        <w:t>）</w:t>
      </w:r>
    </w:p>
    <w:p w:rsidR="00AA120F" w:rsidRPr="00DA3BC7" w:rsidRDefault="00AA120F" w:rsidP="00624AE8">
      <w:pPr>
        <w:ind w:leftChars="250" w:left="600"/>
        <w:jc w:val="both"/>
      </w:pPr>
      <w:r w:rsidRPr="00DA3BC7">
        <w:rPr>
          <w:rFonts w:hint="eastAsia"/>
          <w:b/>
        </w:rPr>
        <w:t>在聖者的體驗中，知法法的本性空寂，也知諸法的如幻緣生</w:t>
      </w:r>
      <w:r w:rsidRPr="00DA3BC7">
        <w:rPr>
          <w:rFonts w:hint="eastAsia"/>
        </w:rPr>
        <w:t>。在聖者的境界──</w:t>
      </w:r>
      <w:r w:rsidRPr="00DA3BC7">
        <w:rPr>
          <w:rFonts w:hint="eastAsia"/>
          <w:b/>
        </w:rPr>
        <w:t>勝義</w:t>
      </w:r>
      <w:r w:rsidRPr="00DA3BC7">
        <w:rPr>
          <w:rFonts w:hint="eastAsia"/>
        </w:rPr>
        <w:t>中，是含攝此</w:t>
      </w:r>
      <w:r w:rsidRPr="00DA3BC7">
        <w:rPr>
          <w:rFonts w:hint="eastAsia"/>
          <w:b/>
        </w:rPr>
        <w:t>性空</w:t>
      </w:r>
      <w:r w:rsidRPr="00DA3BC7">
        <w:rPr>
          <w:rFonts w:hint="eastAsia"/>
        </w:rPr>
        <w:t>與</w:t>
      </w:r>
      <w:r w:rsidRPr="00DA3BC7">
        <w:rPr>
          <w:rFonts w:hint="eastAsia"/>
          <w:b/>
        </w:rPr>
        <w:t>現有</w:t>
      </w:r>
      <w:r w:rsidRPr="00DA3BC7">
        <w:rPr>
          <w:rFonts w:hint="eastAsia"/>
        </w:rPr>
        <w:t>的。這如唯識家的</w:t>
      </w:r>
      <w:r w:rsidRPr="00DA3BC7">
        <w:rPr>
          <w:rFonts w:hint="eastAsia"/>
          <w:b/>
        </w:rPr>
        <w:t>圓成實</w:t>
      </w:r>
      <w:r w:rsidRPr="00DA3BC7">
        <w:rPr>
          <w:rFonts w:hint="eastAsia"/>
        </w:rPr>
        <w:t>，含攝得</w:t>
      </w:r>
      <w:r w:rsidRPr="00DA3BC7">
        <w:rPr>
          <w:rFonts w:hint="eastAsia"/>
          <w:b/>
        </w:rPr>
        <w:t>四種清淨</w:t>
      </w:r>
      <w:r w:rsidRPr="00DA3BC7">
        <w:rPr>
          <w:rFonts w:hint="eastAsia"/>
        </w:rPr>
        <w:t>一樣。</w:t>
      </w:r>
      <w:r w:rsidRPr="00DA3BC7">
        <w:rPr>
          <w:rStyle w:val="a6"/>
          <w:rFonts w:ascii="Times New Roman" w:hAnsi="Times New Roman"/>
        </w:rPr>
        <w:footnoteReference w:id="951"/>
      </w:r>
    </w:p>
    <w:p w:rsidR="00AA120F" w:rsidRPr="00DA3BC7" w:rsidRDefault="00AA120F" w:rsidP="00AE3920">
      <w:pPr>
        <w:spacing w:beforeLines="30"/>
        <w:ind w:leftChars="250" w:left="600"/>
        <w:jc w:val="both"/>
      </w:pPr>
      <w:r w:rsidRPr="00DA3BC7">
        <w:rPr>
          <w:rFonts w:hint="eastAsia"/>
        </w:rPr>
        <w:lastRenderedPageBreak/>
        <w:t>不過凡夫的境界，是處處執為實有的，現起種種錯亂顛倒的；</w:t>
      </w:r>
    </w:p>
    <w:p w:rsidR="00AA120F" w:rsidRPr="00DA3BC7" w:rsidRDefault="00AA120F" w:rsidP="00624AE8">
      <w:pPr>
        <w:ind w:leftChars="250" w:left="600"/>
        <w:jc w:val="both"/>
      </w:pPr>
      <w:r w:rsidRPr="00DA3BC7">
        <w:rPr>
          <w:rFonts w:hint="eastAsia"/>
        </w:rPr>
        <w:t>聖者以勝義慧破除凡夫的實有妄執，通達諸法平等一味的空性，即稱為</w:t>
      </w:r>
      <w:r w:rsidRPr="00DA3BC7">
        <w:rPr>
          <w:rFonts w:hint="eastAsia"/>
          <w:b/>
        </w:rPr>
        <w:lastRenderedPageBreak/>
        <w:t>勝義</w:t>
      </w:r>
      <w:r w:rsidRPr="00DA3BC7">
        <w:rPr>
          <w:rFonts w:hint="eastAsia"/>
        </w:rPr>
        <w:t>。</w:t>
      </w:r>
    </w:p>
    <w:p w:rsidR="00AA120F" w:rsidRPr="00DA3BC7" w:rsidRDefault="00AA120F" w:rsidP="00AE3920">
      <w:pPr>
        <w:spacing w:beforeLines="30"/>
        <w:ind w:leftChars="150" w:left="360"/>
        <w:jc w:val="both"/>
        <w:rPr>
          <w:rFonts w:ascii="Times Ext Roman" w:hAnsi="Times Ext Roman" w:cs="Times Ext Roman"/>
          <w:b/>
          <w:sz w:val="20"/>
          <w:bdr w:val="single" w:sz="4" w:space="0" w:color="auto"/>
        </w:rPr>
      </w:pPr>
      <w:r w:rsidRPr="007917D5">
        <w:rPr>
          <w:rFonts w:ascii="Times Ext Roman" w:hAnsi="Times Ext Roman" w:cs="Times Ext Roman" w:hint="eastAsia"/>
          <w:b/>
          <w:color w:val="FF0000"/>
          <w:sz w:val="20"/>
          <w:highlight w:val="yellow"/>
          <w:bdr w:val="single" w:sz="4" w:space="0" w:color="auto"/>
        </w:rPr>
        <w:t>（</w:t>
      </w:r>
      <w:r w:rsidR="007917D5" w:rsidRPr="007917D5">
        <w:rPr>
          <w:rFonts w:ascii="Times Ext Roman" w:hAnsi="Times Ext Roman" w:cs="Times Ext Roman" w:hint="eastAsia"/>
          <w:b/>
          <w:color w:val="FF0000"/>
          <w:sz w:val="20"/>
          <w:highlight w:val="yellow"/>
          <w:bdr w:val="single" w:sz="4" w:space="0" w:color="auto"/>
        </w:rPr>
        <w:t>二</w:t>
      </w:r>
      <w:r w:rsidRPr="007917D5">
        <w:rPr>
          <w:rFonts w:ascii="Times Ext Roman" w:hAnsi="Times Ext Roman" w:cs="Times Ext Roman" w:hint="eastAsia"/>
          <w:b/>
          <w:color w:val="FF0000"/>
          <w:sz w:val="20"/>
          <w:highlight w:val="yellow"/>
          <w:bdr w:val="single" w:sz="4" w:space="0" w:color="auto"/>
        </w:rPr>
        <w:t>）</w:t>
      </w:r>
      <w:r w:rsidR="007917D5" w:rsidRPr="007917D5">
        <w:rPr>
          <w:rFonts w:ascii="Times Ext Roman" w:hAnsi="Times Ext Roman" w:cs="Times Ext Roman" w:hint="eastAsia"/>
          <w:b/>
          <w:color w:val="FF0000"/>
          <w:sz w:val="20"/>
          <w:highlight w:val="yellow"/>
          <w:bdr w:val="single" w:sz="4" w:space="0" w:color="auto"/>
        </w:rPr>
        <w:t>約</w:t>
      </w:r>
      <w:r w:rsidRPr="007917D5">
        <w:rPr>
          <w:rFonts w:ascii="Times Ext Roman" w:hAnsi="Times Ext Roman" w:cs="Times Ext Roman" w:hint="eastAsia"/>
          <w:b/>
          <w:color w:val="FF0000"/>
          <w:sz w:val="20"/>
          <w:highlight w:val="yellow"/>
          <w:bdr w:val="single" w:sz="4" w:space="0" w:color="auto"/>
        </w:rPr>
        <w:t>「</w:t>
      </w:r>
      <w:r w:rsidR="007917D5" w:rsidRPr="007917D5">
        <w:rPr>
          <w:rFonts w:ascii="Times Ext Roman" w:hAnsi="Times Ext Roman" w:cs="Times Ext Roman" w:hint="eastAsia"/>
          <w:b/>
          <w:color w:val="FF0000"/>
          <w:sz w:val="20"/>
          <w:highlight w:val="yellow"/>
          <w:bdr w:val="single" w:sz="4" w:space="0" w:color="auto"/>
        </w:rPr>
        <w:t>含義</w:t>
      </w:r>
      <w:r w:rsidRPr="007917D5">
        <w:rPr>
          <w:rFonts w:ascii="Times Ext Roman" w:hAnsi="Times Ext Roman" w:cs="Times Ext Roman" w:hint="eastAsia"/>
          <w:b/>
          <w:color w:val="FF0000"/>
          <w:sz w:val="20"/>
          <w:highlight w:val="yellow"/>
          <w:bdr w:val="single" w:sz="4" w:space="0" w:color="auto"/>
        </w:rPr>
        <w:t>」</w:t>
      </w:r>
      <w:r w:rsidR="007917D5" w:rsidRPr="007917D5">
        <w:rPr>
          <w:rFonts w:ascii="Times Ext Roman" w:hAnsi="Times Ext Roman" w:cs="Times Ext Roman" w:hint="eastAsia"/>
          <w:b/>
          <w:color w:val="FF0000"/>
          <w:sz w:val="20"/>
          <w:highlight w:val="yellow"/>
          <w:bdr w:val="single" w:sz="4" w:space="0" w:color="auto"/>
        </w:rPr>
        <w:t>明</w:t>
      </w:r>
      <w:r w:rsidRPr="00DA3BC7">
        <w:rPr>
          <w:rFonts w:ascii="Times New Roman" w:hAnsi="Times New Roman" w:hint="eastAsia"/>
          <w:sz w:val="20"/>
        </w:rPr>
        <w:t>（</w:t>
      </w:r>
      <w:r w:rsidRPr="00DA3BC7">
        <w:rPr>
          <w:rFonts w:ascii="Times New Roman" w:hAnsi="Times New Roman" w:hint="eastAsia"/>
          <w:sz w:val="20"/>
        </w:rPr>
        <w:t>p.</w:t>
      </w:r>
      <w:r w:rsidRPr="00DA3BC7">
        <w:rPr>
          <w:rFonts w:ascii="Times New Roman" w:hAnsi="Times New Roman"/>
          <w:sz w:val="20"/>
        </w:rPr>
        <w:t>219</w:t>
      </w:r>
      <w:r w:rsidRPr="00DA3BC7">
        <w:rPr>
          <w:rFonts w:ascii="Times New Roman" w:hAnsi="Times New Roman" w:hint="eastAsia"/>
          <w:sz w:val="20"/>
        </w:rPr>
        <w:t>）</w:t>
      </w:r>
    </w:p>
    <w:p w:rsidR="00AA120F" w:rsidRPr="00DA3BC7" w:rsidRDefault="007917D5" w:rsidP="00624AE8">
      <w:pPr>
        <w:ind w:leftChars="200" w:left="480"/>
        <w:jc w:val="both"/>
        <w:rPr>
          <w:rFonts w:ascii="Times Ext Roman" w:hAnsi="Times Ext Roman" w:cs="Times Ext Roman"/>
          <w:sz w:val="20"/>
          <w:bdr w:val="single" w:sz="4" w:space="0" w:color="auto"/>
        </w:rPr>
      </w:pPr>
      <w:r w:rsidRPr="007917D5">
        <w:rPr>
          <w:rFonts w:ascii="Times Ext Roman" w:hAnsi="Times Ext Roman" w:cs="Times Ext Roman" w:hint="eastAsia"/>
          <w:b/>
          <w:color w:val="FF0000"/>
          <w:sz w:val="20"/>
          <w:highlight w:val="yellow"/>
          <w:bdr w:val="single" w:sz="4" w:space="0" w:color="auto"/>
        </w:rPr>
        <w:t>1</w:t>
      </w:r>
      <w:r w:rsidR="00AA120F" w:rsidRPr="007917D5">
        <w:rPr>
          <w:rFonts w:ascii="Times Ext Roman" w:hAnsi="Times Ext Roman" w:cs="Times Ext Roman"/>
          <w:b/>
          <w:color w:val="FF0000"/>
          <w:sz w:val="20"/>
          <w:highlight w:val="yellow"/>
          <w:bdr w:val="single" w:sz="4" w:space="0" w:color="auto"/>
        </w:rPr>
        <w:t>、</w:t>
      </w:r>
      <w:r w:rsidRPr="007917D5">
        <w:rPr>
          <w:rFonts w:ascii="Times Ext Roman" w:hAnsi="Times Ext Roman" w:cs="Times Ext Roman" w:hint="eastAsia"/>
          <w:b/>
          <w:color w:val="FF0000"/>
          <w:sz w:val="20"/>
          <w:highlight w:val="yellow"/>
          <w:bdr w:val="single" w:sz="4" w:space="0" w:color="auto"/>
        </w:rPr>
        <w:t>敘正理</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219</w:t>
      </w:r>
      <w:r w:rsidR="00AA120F" w:rsidRPr="00DA3BC7">
        <w:rPr>
          <w:rFonts w:ascii="Times New Roman" w:hAnsi="Times New Roman" w:hint="eastAsia"/>
          <w:sz w:val="20"/>
        </w:rPr>
        <w:t>）</w:t>
      </w:r>
    </w:p>
    <w:p w:rsidR="00AA120F" w:rsidRPr="00DA3BC7" w:rsidRDefault="00AA120F" w:rsidP="00624AE8">
      <w:pPr>
        <w:ind w:leftChars="200" w:left="480"/>
        <w:jc w:val="both"/>
      </w:pPr>
      <w:r w:rsidRPr="00BE0426">
        <w:rPr>
          <w:rFonts w:hint="eastAsia"/>
          <w:b/>
          <w:u w:val="wave" w:color="C00000"/>
        </w:rPr>
        <w:t>勝義</w:t>
      </w:r>
      <w:r w:rsidRPr="00DA3BC7">
        <w:rPr>
          <w:rFonts w:hint="eastAsia"/>
        </w:rPr>
        <w:t>有</w:t>
      </w:r>
      <w:r w:rsidRPr="00DA3BC7">
        <w:rPr>
          <w:rFonts w:hint="eastAsia"/>
          <w:b/>
        </w:rPr>
        <w:t>如實</w:t>
      </w:r>
      <w:r w:rsidRPr="00DA3BC7">
        <w:rPr>
          <w:rFonts w:hint="eastAsia"/>
        </w:rPr>
        <w:t>與</w:t>
      </w:r>
      <w:r w:rsidRPr="00DA3BC7">
        <w:rPr>
          <w:rFonts w:hint="eastAsia"/>
          <w:b/>
        </w:rPr>
        <w:t>真實</w:t>
      </w:r>
      <w:r w:rsidRPr="00DA3BC7">
        <w:rPr>
          <w:rFonts w:hint="eastAsia"/>
        </w:rPr>
        <w:t>的含義，所以</w:t>
      </w:r>
      <w:r w:rsidRPr="00BE0426">
        <w:rPr>
          <w:rFonts w:hint="eastAsia"/>
          <w:b/>
          <w:u w:val="wave" w:color="C00000"/>
        </w:rPr>
        <w:t>勝義諦</w:t>
      </w:r>
      <w:r w:rsidRPr="00DA3BC7">
        <w:rPr>
          <w:rFonts w:hint="eastAsia"/>
        </w:rPr>
        <w:t>也即是</w:t>
      </w:r>
      <w:r w:rsidRPr="00DA3BC7">
        <w:rPr>
          <w:rFonts w:hint="eastAsia"/>
          <w:b/>
        </w:rPr>
        <w:t>真實諦</w:t>
      </w:r>
      <w:r w:rsidRPr="00DA3BC7">
        <w:rPr>
          <w:rFonts w:hint="eastAsia"/>
        </w:rPr>
        <w:t>。</w:t>
      </w:r>
    </w:p>
    <w:p w:rsidR="00AA120F" w:rsidRPr="00DA3BC7" w:rsidRDefault="00AA120F" w:rsidP="00AE3920">
      <w:pPr>
        <w:spacing w:beforeLines="20"/>
        <w:ind w:leftChars="200" w:left="480"/>
        <w:jc w:val="both"/>
      </w:pPr>
      <w:r w:rsidRPr="00DA3BC7">
        <w:rPr>
          <w:rFonts w:hint="eastAsia"/>
        </w:rPr>
        <w:t>眾生顛倒，於無性法中執有自性，亂相亂執。</w:t>
      </w:r>
    </w:p>
    <w:p w:rsidR="00AA120F" w:rsidRPr="00DA3BC7" w:rsidRDefault="00AA120F" w:rsidP="00624AE8">
      <w:pPr>
        <w:ind w:leftChars="200" w:left="480"/>
        <w:jc w:val="both"/>
      </w:pPr>
      <w:r w:rsidRPr="00DA3BC7">
        <w:rPr>
          <w:rFonts w:hint="eastAsia"/>
        </w:rPr>
        <w:t>聖者能見諸法無性，畢竟皆空；以無虛妄顛倒亂相，故</w:t>
      </w:r>
      <w:r w:rsidRPr="00DA3BC7">
        <w:rPr>
          <w:rFonts w:hint="eastAsia"/>
          <w:b/>
        </w:rPr>
        <w:t>性空</w:t>
      </w:r>
      <w:r w:rsidRPr="00DA3BC7">
        <w:rPr>
          <w:rFonts w:hint="eastAsia"/>
        </w:rPr>
        <w:t>即稱</w:t>
      </w:r>
      <w:r w:rsidRPr="00DA3BC7">
        <w:rPr>
          <w:rFonts w:hint="eastAsia"/>
          <w:b/>
        </w:rPr>
        <w:t>如實</w:t>
      </w:r>
      <w:r w:rsidRPr="00DA3BC7">
        <w:rPr>
          <w:rFonts w:hint="eastAsia"/>
        </w:rPr>
        <w:t>、</w:t>
      </w:r>
      <w:r w:rsidRPr="00DA3BC7">
        <w:rPr>
          <w:rFonts w:hint="eastAsia"/>
          <w:b/>
        </w:rPr>
        <w:t>真實</w:t>
      </w:r>
      <w:r w:rsidRPr="00DA3BC7">
        <w:rPr>
          <w:rFonts w:hint="eastAsia"/>
        </w:rPr>
        <w:t>。</w:t>
      </w:r>
    </w:p>
    <w:p w:rsidR="00AA120F" w:rsidRPr="00DA3BC7" w:rsidRDefault="00AA120F" w:rsidP="00AE3920">
      <w:pPr>
        <w:spacing w:beforeLines="20"/>
        <w:ind w:leftChars="200" w:left="480"/>
        <w:jc w:val="both"/>
      </w:pPr>
      <w:r w:rsidRPr="00DA3BC7">
        <w:rPr>
          <w:rFonts w:hint="eastAsia"/>
        </w:rPr>
        <w:t>一切本空，今能徹見法性本寂，豈不是如實？約此義說，</w:t>
      </w:r>
      <w:r w:rsidRPr="00DA3BC7">
        <w:rPr>
          <w:rFonts w:hint="eastAsia"/>
          <w:b/>
        </w:rPr>
        <w:t>性空</w:t>
      </w:r>
      <w:r w:rsidRPr="00BE0426">
        <w:rPr>
          <w:rFonts w:hint="eastAsia"/>
        </w:rPr>
        <w:t>名</w:t>
      </w:r>
      <w:r w:rsidRPr="00DA3BC7">
        <w:rPr>
          <w:rFonts w:hint="eastAsia"/>
          <w:b/>
        </w:rPr>
        <w:t>勝義諦，不是說另有實體可得而名勝義諦</w:t>
      </w:r>
      <w:r w:rsidRPr="00DA3BC7">
        <w:rPr>
          <w:rFonts w:hint="eastAsia"/>
        </w:rPr>
        <w:t>。</w:t>
      </w:r>
    </w:p>
    <w:p w:rsidR="00AA120F" w:rsidRPr="00DA3BC7" w:rsidRDefault="007917D5" w:rsidP="00AE3920">
      <w:pPr>
        <w:spacing w:beforeLines="30"/>
        <w:ind w:leftChars="200" w:left="480"/>
        <w:jc w:val="both"/>
        <w:rPr>
          <w:rFonts w:ascii="Times Ext Roman" w:hAnsi="Times Ext Roman" w:cs="Times Ext Roman"/>
          <w:sz w:val="20"/>
          <w:bdr w:val="single" w:sz="4" w:space="0" w:color="auto"/>
        </w:rPr>
      </w:pPr>
      <w:r w:rsidRPr="007917D5">
        <w:rPr>
          <w:rFonts w:ascii="Times Ext Roman" w:hAnsi="Times Ext Roman" w:cs="Times Ext Roman" w:hint="eastAsia"/>
          <w:b/>
          <w:color w:val="FF0000"/>
          <w:sz w:val="20"/>
          <w:highlight w:val="yellow"/>
          <w:bdr w:val="single" w:sz="4" w:space="0" w:color="auto"/>
        </w:rPr>
        <w:t>2</w:t>
      </w:r>
      <w:r w:rsidR="00AA120F" w:rsidRPr="007917D5">
        <w:rPr>
          <w:rFonts w:ascii="Times Ext Roman" w:hAnsi="Times Ext Roman" w:cs="Times Ext Roman"/>
          <w:b/>
          <w:color w:val="FF0000"/>
          <w:sz w:val="20"/>
          <w:highlight w:val="yellow"/>
          <w:bdr w:val="single" w:sz="4" w:space="0" w:color="auto"/>
        </w:rPr>
        <w:t>、</w:t>
      </w:r>
      <w:r w:rsidRPr="007917D5">
        <w:rPr>
          <w:rFonts w:ascii="Times Ext Roman" w:hAnsi="Times Ext Roman" w:cs="Times Ext Roman" w:hint="eastAsia"/>
          <w:b/>
          <w:color w:val="FF0000"/>
          <w:sz w:val="20"/>
          <w:highlight w:val="yellow"/>
          <w:bdr w:val="single" w:sz="4" w:space="0" w:color="auto"/>
        </w:rPr>
        <w:t>斥異說</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219</w:t>
      </w:r>
      <w:r w:rsidR="00AA120F" w:rsidRPr="00DA3BC7">
        <w:rPr>
          <w:rFonts w:ascii="Times New Roman" w:hAnsi="Times New Roman" w:hint="eastAsia"/>
          <w:sz w:val="20"/>
        </w:rPr>
        <w:t>）</w:t>
      </w:r>
    </w:p>
    <w:p w:rsidR="00AA120F" w:rsidRPr="00DA3BC7" w:rsidRDefault="00AA120F" w:rsidP="00624AE8">
      <w:pPr>
        <w:ind w:leftChars="200" w:left="480"/>
        <w:jc w:val="both"/>
      </w:pPr>
      <w:r w:rsidRPr="00DA3BC7">
        <w:rPr>
          <w:rFonts w:hint="eastAsia"/>
          <w:b/>
        </w:rPr>
        <w:t>經部師</w:t>
      </w:r>
      <w:r w:rsidRPr="00DA3BC7">
        <w:rPr>
          <w:rFonts w:hint="eastAsia"/>
        </w:rPr>
        <w:t>以</w:t>
      </w:r>
      <w:r w:rsidRPr="00DA3BC7">
        <w:rPr>
          <w:rFonts w:hint="eastAsia"/>
          <w:b/>
        </w:rPr>
        <w:t>真實有</w:t>
      </w:r>
      <w:r w:rsidRPr="00DA3BC7">
        <w:rPr>
          <w:rFonts w:hint="eastAsia"/>
        </w:rPr>
        <w:t>的為</w:t>
      </w:r>
      <w:r w:rsidRPr="00DA3BC7">
        <w:rPr>
          <w:rFonts w:hint="eastAsia"/>
          <w:b/>
        </w:rPr>
        <w:t>勝義</w:t>
      </w:r>
      <w:r w:rsidRPr="00DA3BC7">
        <w:rPr>
          <w:rFonts w:hint="eastAsia"/>
        </w:rPr>
        <w:t>，所以不許無為是勝義諦。</w:t>
      </w:r>
      <w:r w:rsidRPr="00DA3BC7">
        <w:rPr>
          <w:rStyle w:val="a6"/>
          <w:rFonts w:ascii="Times New Roman" w:hAnsi="Times New Roman"/>
        </w:rPr>
        <w:footnoteReference w:id="952"/>
      </w:r>
    </w:p>
    <w:p w:rsidR="00AA120F" w:rsidRPr="00DA3BC7" w:rsidRDefault="00AA120F" w:rsidP="00624AE8">
      <w:pPr>
        <w:ind w:leftChars="200" w:left="480"/>
        <w:jc w:val="both"/>
        <w:rPr>
          <w:rFonts w:ascii="Times New Roman" w:hAnsi="Times New Roman"/>
        </w:rPr>
      </w:pPr>
      <w:r w:rsidRPr="00DA3BC7">
        <w:rPr>
          <w:rFonts w:hint="eastAsia"/>
          <w:b/>
        </w:rPr>
        <w:t>某些學者</w:t>
      </w:r>
      <w:r w:rsidRPr="00DA3BC7">
        <w:rPr>
          <w:rFonts w:hint="eastAsia"/>
        </w:rPr>
        <w:t>說：既是勝義，即應是妙有不空的，空即不能說是勝義諦。</w:t>
      </w:r>
      <w:r w:rsidRPr="00DA3BC7">
        <w:rPr>
          <w:rStyle w:val="a6"/>
          <w:rFonts w:ascii="Times New Roman" w:hAnsi="Times New Roman"/>
        </w:rPr>
        <w:footnoteReference w:id="953"/>
      </w:r>
    </w:p>
    <w:p w:rsidR="00AA120F" w:rsidRPr="00DA3BC7" w:rsidRDefault="00AA120F" w:rsidP="00AE3920">
      <w:pPr>
        <w:spacing w:beforeLines="20"/>
        <w:ind w:leftChars="200" w:left="480"/>
        <w:jc w:val="both"/>
      </w:pPr>
      <w:r w:rsidRPr="00DA3BC7">
        <w:rPr>
          <w:rFonts w:hint="eastAsia"/>
        </w:rPr>
        <w:lastRenderedPageBreak/>
        <w:t>這都是不明勝義諦得名的真意。</w:t>
      </w:r>
    </w:p>
    <w:p w:rsidR="00AA120F" w:rsidRDefault="007917D5" w:rsidP="00AE3920">
      <w:pPr>
        <w:spacing w:beforeLines="30"/>
        <w:ind w:leftChars="50" w:left="120"/>
        <w:jc w:val="both"/>
        <w:rPr>
          <w:rFonts w:ascii="Times New Roman" w:hAnsi="Times New Roman"/>
          <w:sz w:val="20"/>
        </w:rPr>
      </w:pPr>
      <w:r w:rsidRPr="007917D5">
        <w:rPr>
          <w:rFonts w:ascii="Times Ext Roman" w:hAnsi="Times Ext Roman" w:cs="Times Ext Roman" w:hint="eastAsia"/>
          <w:b/>
          <w:color w:val="FF0000"/>
          <w:sz w:val="20"/>
          <w:highlight w:val="yellow"/>
          <w:bdr w:val="single" w:sz="4" w:space="0" w:color="auto"/>
        </w:rPr>
        <w:t>（貳）合論</w:t>
      </w:r>
      <w:r w:rsidR="00704A1C" w:rsidRPr="00DA3BC7">
        <w:rPr>
          <w:rFonts w:ascii="Times New Roman" w:hAnsi="Times New Roman" w:hint="eastAsia"/>
          <w:sz w:val="20"/>
        </w:rPr>
        <w:t>（</w:t>
      </w:r>
      <w:r w:rsidR="00704A1C" w:rsidRPr="00DA3BC7">
        <w:rPr>
          <w:rFonts w:ascii="Times New Roman" w:hAnsi="Times New Roman" w:hint="eastAsia"/>
          <w:sz w:val="20"/>
        </w:rPr>
        <w:t>p.</w:t>
      </w:r>
      <w:r w:rsidR="00704A1C" w:rsidRPr="00DA3BC7">
        <w:rPr>
          <w:rFonts w:ascii="Times New Roman" w:hAnsi="Times New Roman"/>
          <w:sz w:val="20"/>
        </w:rPr>
        <w:t>219</w:t>
      </w:r>
      <w:r w:rsidR="00704A1C" w:rsidRPr="00DA3BC7">
        <w:rPr>
          <w:rFonts w:ascii="Times New Roman" w:hAnsi="Times New Roman" w:hint="eastAsia"/>
          <w:sz w:val="20"/>
        </w:rPr>
        <w:t>）</w:t>
      </w:r>
    </w:p>
    <w:p w:rsidR="007917D5" w:rsidRPr="00DA3BC7" w:rsidRDefault="007917D5" w:rsidP="007917D5">
      <w:pPr>
        <w:ind w:leftChars="100" w:left="240"/>
        <w:jc w:val="both"/>
        <w:rPr>
          <w:rFonts w:ascii="Times Ext Roman" w:hAnsi="Times Ext Roman" w:cs="Times Ext Roman"/>
          <w:b/>
          <w:sz w:val="20"/>
          <w:bdr w:val="single" w:sz="4" w:space="0" w:color="auto"/>
        </w:rPr>
      </w:pPr>
      <w:r>
        <w:rPr>
          <w:rFonts w:ascii="Times Ext Roman" w:hAnsi="Times Ext Roman" w:cs="Times Ext Roman" w:hint="eastAsia"/>
          <w:b/>
          <w:color w:val="FF0000"/>
          <w:sz w:val="20"/>
          <w:highlight w:val="yellow"/>
          <w:bdr w:val="single" w:sz="4" w:space="0" w:color="auto"/>
        </w:rPr>
        <w:t>一、「諦」約二種乃方便</w:t>
      </w:r>
      <w:r w:rsidRPr="00DA3BC7">
        <w:rPr>
          <w:rFonts w:ascii="Times New Roman" w:hAnsi="Times New Roman" w:hint="eastAsia"/>
          <w:sz w:val="20"/>
        </w:rPr>
        <w:t>（</w:t>
      </w:r>
      <w:r w:rsidRPr="00DA3BC7">
        <w:rPr>
          <w:rFonts w:ascii="Times New Roman" w:hAnsi="Times New Roman" w:hint="eastAsia"/>
          <w:sz w:val="20"/>
        </w:rPr>
        <w:t>p.</w:t>
      </w:r>
      <w:r w:rsidRPr="00DA3BC7">
        <w:rPr>
          <w:rFonts w:ascii="Times New Roman" w:hAnsi="Times New Roman"/>
          <w:sz w:val="20"/>
        </w:rPr>
        <w:t>219</w:t>
      </w:r>
      <w:r w:rsidRPr="00DA3BC7">
        <w:rPr>
          <w:rFonts w:ascii="Times New Roman" w:hAnsi="Times New Roman" w:hint="eastAsia"/>
          <w:sz w:val="20"/>
        </w:rPr>
        <w:t>）</w:t>
      </w:r>
    </w:p>
    <w:p w:rsidR="00AA120F" w:rsidRPr="00DA3BC7" w:rsidRDefault="00AA120F" w:rsidP="00624AE8">
      <w:pPr>
        <w:ind w:leftChars="100" w:left="240"/>
        <w:jc w:val="both"/>
      </w:pPr>
      <w:r w:rsidRPr="00BE0426">
        <w:rPr>
          <w:rFonts w:hint="eastAsia"/>
          <w:b/>
        </w:rPr>
        <w:t>勝義諦</w:t>
      </w:r>
      <w:r w:rsidRPr="00DA3BC7">
        <w:rPr>
          <w:rFonts w:hint="eastAsia"/>
        </w:rPr>
        <w:t>與</w:t>
      </w:r>
      <w:r w:rsidRPr="00BE0426">
        <w:rPr>
          <w:rFonts w:hint="eastAsia"/>
          <w:b/>
        </w:rPr>
        <w:t>世俗諦</w:t>
      </w:r>
      <w:r w:rsidRPr="00DA3BC7">
        <w:rPr>
          <w:rFonts w:hint="eastAsia"/>
        </w:rPr>
        <w:t>，是方便相對而安立的。</w:t>
      </w:r>
    </w:p>
    <w:p w:rsidR="00AA120F" w:rsidRPr="00DA3BC7" w:rsidRDefault="00AA120F" w:rsidP="00AE3920">
      <w:pPr>
        <w:spacing w:beforeLines="20"/>
        <w:ind w:leftChars="100" w:left="240"/>
        <w:jc w:val="both"/>
      </w:pPr>
      <w:r w:rsidRPr="00DA3BC7">
        <w:rPr>
          <w:rFonts w:hint="eastAsia"/>
          <w:b/>
        </w:rPr>
        <w:t>世俗諦</w:t>
      </w:r>
      <w:r w:rsidRPr="00DA3BC7">
        <w:rPr>
          <w:rFonts w:hint="eastAsia"/>
        </w:rPr>
        <w:t>，有遷變義，如此而隱覆真實；</w:t>
      </w:r>
    </w:p>
    <w:p w:rsidR="00AA120F" w:rsidRPr="00DA3BC7" w:rsidRDefault="00AA120F" w:rsidP="00624AE8">
      <w:pPr>
        <w:ind w:leftChars="100" w:left="240"/>
        <w:jc w:val="both"/>
      </w:pPr>
      <w:r w:rsidRPr="00DA3BC7">
        <w:rPr>
          <w:rFonts w:hint="eastAsia"/>
          <w:b/>
        </w:rPr>
        <w:t>勝義諦</w:t>
      </w:r>
      <w:r w:rsidRPr="00DA3BC7">
        <w:rPr>
          <w:rFonts w:hint="eastAsia"/>
        </w:rPr>
        <w:t>，是本性空寂，離一切戲亂相，</w:t>
      </w:r>
      <w:r w:rsidRPr="00BE0426">
        <w:rPr>
          <w:rFonts w:hint="eastAsia"/>
          <w:u w:val="wave" w:color="C00000"/>
        </w:rPr>
        <w:t>待</w:t>
      </w:r>
      <w:r w:rsidRPr="00BE0426">
        <w:rPr>
          <w:rFonts w:hint="eastAsia"/>
          <w:b/>
          <w:u w:val="wave" w:color="C00000"/>
        </w:rPr>
        <w:t>世俗</w:t>
      </w:r>
      <w:r w:rsidRPr="00BE0426">
        <w:rPr>
          <w:rFonts w:hint="eastAsia"/>
          <w:u w:val="wave" w:color="C00000"/>
        </w:rPr>
        <w:t>名</w:t>
      </w:r>
      <w:r w:rsidRPr="00BE0426">
        <w:rPr>
          <w:rFonts w:hint="eastAsia"/>
          <w:b/>
          <w:u w:val="wave" w:color="C00000"/>
        </w:rPr>
        <w:t>勝義</w:t>
      </w:r>
      <w:r w:rsidRPr="00DA3BC7">
        <w:rPr>
          <w:rFonts w:hint="eastAsia"/>
        </w:rPr>
        <w:t>。</w:t>
      </w:r>
    </w:p>
    <w:p w:rsidR="00AA120F" w:rsidRPr="00DA3BC7" w:rsidRDefault="007917D5" w:rsidP="00AE3920">
      <w:pPr>
        <w:spacing w:beforeLines="30"/>
        <w:ind w:leftChars="100" w:left="240"/>
        <w:jc w:val="both"/>
        <w:rPr>
          <w:rFonts w:ascii="Times Ext Roman" w:hAnsi="Times Ext Roman" w:cs="Times Ext Roman"/>
          <w:sz w:val="20"/>
          <w:bdr w:val="single" w:sz="4" w:space="0" w:color="auto"/>
        </w:rPr>
      </w:pPr>
      <w:r w:rsidRPr="007917D5">
        <w:rPr>
          <w:rFonts w:ascii="Times Ext Roman" w:hAnsi="Times Ext Roman" w:cs="Times Ext Roman" w:hint="eastAsia"/>
          <w:b/>
          <w:color w:val="FF0000"/>
          <w:sz w:val="20"/>
          <w:highlight w:val="yellow"/>
          <w:bdr w:val="single" w:sz="4" w:space="0" w:color="auto"/>
        </w:rPr>
        <w:t>二</w:t>
      </w:r>
      <w:r>
        <w:rPr>
          <w:rFonts w:ascii="Times Ext Roman" w:hAnsi="Times Ext Roman" w:cs="Times Ext Roman" w:hint="eastAsia"/>
          <w:b/>
          <w:color w:val="FF0000"/>
          <w:sz w:val="20"/>
          <w:highlight w:val="yellow"/>
          <w:bdr w:val="single" w:sz="4" w:space="0" w:color="auto"/>
        </w:rPr>
        <w:t>、「理」約三義明「勝義」</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219</w:t>
      </w:r>
      <w:r w:rsidR="00AA120F" w:rsidRPr="00DA3BC7">
        <w:rPr>
          <w:rFonts w:ascii="Times New Roman" w:hAnsi="Times New Roman" w:hint="eastAsia"/>
          <w:sz w:val="20"/>
        </w:rPr>
        <w:t>）</w:t>
      </w:r>
    </w:p>
    <w:p w:rsidR="00AA120F" w:rsidRPr="00DA3BC7" w:rsidRDefault="00AA120F" w:rsidP="00624AE8">
      <w:pPr>
        <w:ind w:leftChars="100" w:left="240"/>
        <w:jc w:val="both"/>
      </w:pPr>
      <w:r w:rsidRPr="00BE0426">
        <w:rPr>
          <w:rFonts w:hint="eastAsia"/>
          <w:b/>
          <w:u w:val="wave" w:color="C00000"/>
        </w:rPr>
        <w:t>勝義</w:t>
      </w:r>
      <w:r w:rsidRPr="00DA3BC7">
        <w:rPr>
          <w:rFonts w:hint="eastAsia"/>
        </w:rPr>
        <w:t>有三義：一、究竟而必然如此的，</w:t>
      </w:r>
    </w:p>
    <w:p w:rsidR="00AA120F" w:rsidRPr="00DA3BC7" w:rsidRDefault="00AA120F" w:rsidP="00624AE8">
      <w:pPr>
        <w:ind w:leftChars="700" w:left="1680"/>
        <w:jc w:val="both"/>
      </w:pPr>
      <w:r w:rsidRPr="00DA3BC7">
        <w:rPr>
          <w:rFonts w:hint="eastAsia"/>
        </w:rPr>
        <w:t>二、本來是如此的，</w:t>
      </w:r>
    </w:p>
    <w:p w:rsidR="00AA120F" w:rsidRPr="00DA3BC7" w:rsidRDefault="00AA120F" w:rsidP="00624AE8">
      <w:pPr>
        <w:ind w:leftChars="700" w:left="1680"/>
        <w:jc w:val="both"/>
      </w:pPr>
      <w:r w:rsidRPr="00DA3BC7">
        <w:rPr>
          <w:rFonts w:hint="eastAsia"/>
        </w:rPr>
        <w:t>三、遍通一切的</w:t>
      </w:r>
      <w:r w:rsidR="00BE0426">
        <w:rPr>
          <w:rFonts w:hint="eastAsia"/>
          <w:color w:val="FF0000"/>
          <w:highlight w:val="yellow"/>
        </w:rPr>
        <w:t>；</w:t>
      </w:r>
    </w:p>
    <w:p w:rsidR="007917D5" w:rsidRDefault="00AA120F" w:rsidP="00624AE8">
      <w:pPr>
        <w:ind w:leftChars="700" w:left="1680"/>
        <w:jc w:val="both"/>
      </w:pPr>
      <w:r w:rsidRPr="00DA3BC7">
        <w:rPr>
          <w:rFonts w:hint="eastAsia"/>
        </w:rPr>
        <w:t>故經中稱此為法性、法住、法界。</w:t>
      </w:r>
      <w:r w:rsidR="007917D5" w:rsidRPr="00DA3BC7">
        <w:rPr>
          <w:rStyle w:val="a6"/>
          <w:rFonts w:ascii="Times New Roman" w:hAnsi="Times New Roman"/>
        </w:rPr>
        <w:footnoteReference w:id="954"/>
      </w:r>
    </w:p>
    <w:p w:rsidR="00AA120F" w:rsidRPr="00DA3BC7" w:rsidRDefault="007917D5" w:rsidP="00AE3920">
      <w:pPr>
        <w:spacing w:beforeLines="20"/>
        <w:ind w:leftChars="100" w:left="240"/>
        <w:jc w:val="both"/>
      </w:pPr>
      <w:r w:rsidRPr="00DA3BC7">
        <w:rPr>
          <w:rFonts w:hint="eastAsia"/>
        </w:rPr>
        <w:lastRenderedPageBreak/>
        <w:t>勝義諦不可想像為</w:t>
      </w:r>
      <w:r>
        <w:rPr>
          <w:rFonts w:hint="eastAsia"/>
        </w:rPr>
        <w:t>什</w:t>
      </w:r>
      <w:r w:rsidRPr="00DA3BC7">
        <w:rPr>
          <w:rFonts w:hint="eastAsia"/>
        </w:rPr>
        <w:t>麼實在本體，或微妙不思議的實在。</w:t>
      </w:r>
    </w:p>
    <w:p w:rsidR="00AA120F" w:rsidRPr="00DA3BC7" w:rsidRDefault="007917D5" w:rsidP="00AE3920">
      <w:pPr>
        <w:spacing w:beforeLines="30"/>
        <w:ind w:leftChars="100" w:left="240"/>
        <w:jc w:val="both"/>
        <w:rPr>
          <w:rFonts w:ascii="Times Ext Roman" w:hAnsi="Times Ext Roman" w:cs="Times Ext Roman"/>
          <w:sz w:val="20"/>
          <w:bdr w:val="single" w:sz="4" w:space="0" w:color="auto"/>
        </w:rPr>
      </w:pPr>
      <w:r w:rsidRPr="007917D5">
        <w:rPr>
          <w:rFonts w:ascii="Times Ext Roman" w:hAnsi="Times Ext Roman" w:cs="Times Ext Roman" w:hint="eastAsia"/>
          <w:b/>
          <w:color w:val="FF0000"/>
          <w:sz w:val="20"/>
          <w:highlight w:val="yellow"/>
          <w:bdr w:val="single" w:sz="4" w:space="0" w:color="auto"/>
        </w:rPr>
        <w:t>三、教申</w:t>
      </w:r>
      <w:r w:rsidR="004711CF">
        <w:rPr>
          <w:rFonts w:ascii="Times Ext Roman" w:hAnsi="Times Ext Roman" w:cs="Times Ext Roman" w:hint="eastAsia"/>
          <w:b/>
          <w:color w:val="FF0000"/>
          <w:sz w:val="20"/>
          <w:highlight w:val="yellow"/>
          <w:bdr w:val="single" w:sz="4" w:space="0" w:color="auto"/>
        </w:rPr>
        <w:t>「</w:t>
      </w:r>
      <w:r w:rsidR="00AA120F" w:rsidRPr="007917D5">
        <w:rPr>
          <w:rFonts w:ascii="Times Ext Roman" w:hAnsi="Times Ext Roman" w:cs="Times Ext Roman" w:hint="eastAsia"/>
          <w:b/>
          <w:color w:val="FF0000"/>
          <w:sz w:val="20"/>
          <w:highlight w:val="yellow"/>
          <w:bdr w:val="single" w:sz="4" w:space="0" w:color="auto"/>
        </w:rPr>
        <w:t>二諦</w:t>
      </w:r>
      <w:r w:rsidR="004711CF">
        <w:rPr>
          <w:rFonts w:ascii="Times Ext Roman" w:hAnsi="Times Ext Roman" w:cs="Times Ext Roman" w:hint="eastAsia"/>
          <w:b/>
          <w:color w:val="FF0000"/>
          <w:sz w:val="20"/>
          <w:highlight w:val="yellow"/>
          <w:bdr w:val="single" w:sz="4" w:space="0" w:color="auto"/>
        </w:rPr>
        <w:t>」</w:t>
      </w:r>
      <w:r w:rsidR="00AA120F" w:rsidRPr="007917D5">
        <w:rPr>
          <w:rFonts w:ascii="Times Ext Roman" w:hAnsi="Times Ext Roman" w:cs="Times Ext Roman" w:hint="eastAsia"/>
          <w:b/>
          <w:color w:val="FF0000"/>
          <w:sz w:val="20"/>
          <w:highlight w:val="yellow"/>
          <w:bdr w:val="single" w:sz="4" w:space="0" w:color="auto"/>
        </w:rPr>
        <w:t>重</w:t>
      </w:r>
      <w:r w:rsidR="004711CF">
        <w:rPr>
          <w:rFonts w:ascii="Times Ext Roman" w:hAnsi="Times Ext Roman" w:cs="Times Ext Roman" w:hint="eastAsia"/>
          <w:b/>
          <w:color w:val="FF0000"/>
          <w:sz w:val="20"/>
          <w:highlight w:val="yellow"/>
          <w:bdr w:val="single" w:sz="4" w:space="0" w:color="auto"/>
        </w:rPr>
        <w:t>「</w:t>
      </w:r>
      <w:r w:rsidR="00AA120F" w:rsidRPr="007917D5">
        <w:rPr>
          <w:rFonts w:ascii="Times Ext Roman" w:hAnsi="Times Ext Roman" w:cs="Times Ext Roman" w:hint="eastAsia"/>
          <w:b/>
          <w:color w:val="FF0000"/>
          <w:sz w:val="20"/>
          <w:highlight w:val="yellow"/>
          <w:bdr w:val="single" w:sz="4" w:space="0" w:color="auto"/>
        </w:rPr>
        <w:t>法空</w:t>
      </w:r>
      <w:r w:rsidR="004711CF">
        <w:rPr>
          <w:rFonts w:ascii="Times Ext Roman" w:hAnsi="Times Ext Roman" w:cs="Times Ext Roman" w:hint="eastAsia"/>
          <w:b/>
          <w:color w:val="FF0000"/>
          <w:sz w:val="20"/>
          <w:highlight w:val="yellow"/>
          <w:bdr w:val="single" w:sz="4" w:space="0" w:color="auto"/>
        </w:rPr>
        <w:t>」</w:t>
      </w:r>
      <w:r w:rsidR="00AA120F" w:rsidRPr="00DA3BC7">
        <w:rPr>
          <w:rFonts w:ascii="Times New Roman" w:hAnsi="Times New Roman" w:hint="eastAsia"/>
          <w:sz w:val="20"/>
        </w:rPr>
        <w:t>（</w:t>
      </w:r>
      <w:r w:rsidR="00AA120F" w:rsidRPr="00DA3BC7">
        <w:rPr>
          <w:rFonts w:ascii="Times New Roman" w:hAnsi="Times New Roman" w:hint="eastAsia"/>
          <w:sz w:val="20"/>
        </w:rPr>
        <w:t>p.</w:t>
      </w:r>
      <w:r w:rsidR="00AA120F" w:rsidRPr="00DA3BC7">
        <w:rPr>
          <w:rFonts w:ascii="Times New Roman" w:hAnsi="Times New Roman"/>
          <w:sz w:val="20"/>
        </w:rPr>
        <w:t>219</w:t>
      </w:r>
      <w:r w:rsidR="00AA120F" w:rsidRPr="00DA3BC7">
        <w:rPr>
          <w:rFonts w:ascii="Times New Roman" w:hAnsi="Times New Roman" w:hint="eastAsia"/>
          <w:sz w:val="20"/>
        </w:rPr>
        <w:t>）</w:t>
      </w:r>
    </w:p>
    <w:p w:rsidR="00AA120F" w:rsidRPr="00DA3BC7" w:rsidRDefault="00AA120F" w:rsidP="00624AE8">
      <w:pPr>
        <w:ind w:leftChars="100" w:left="240"/>
        <w:jc w:val="both"/>
        <w:sectPr w:rsidR="00AA120F" w:rsidRPr="00DA3BC7" w:rsidSect="004F4714">
          <w:headerReference w:type="default" r:id="rId64"/>
          <w:footnotePr>
            <w:numRestart w:val="eachSect"/>
          </w:footnotePr>
          <w:pgSz w:w="10773" w:h="14742" w:code="155"/>
          <w:pgMar w:top="1418" w:right="1418" w:bottom="1418" w:left="1418" w:header="851" w:footer="992" w:gutter="0"/>
          <w:cols w:space="425"/>
          <w:docGrid w:type="lines" w:linePitch="360"/>
        </w:sectPr>
      </w:pPr>
      <w:r w:rsidRPr="00BE0426">
        <w:rPr>
          <w:rFonts w:hint="eastAsia"/>
          <w:b/>
        </w:rPr>
        <w:t>雖</w:t>
      </w:r>
      <w:r w:rsidRPr="00BE0426">
        <w:rPr>
          <w:rFonts w:hint="eastAsia"/>
          <w:b/>
          <w:u w:val="wave" w:color="C00000"/>
        </w:rPr>
        <w:t>聖者的覺境</w:t>
      </w:r>
      <w:r w:rsidRPr="00BE0426">
        <w:rPr>
          <w:rFonts w:hint="eastAsia"/>
          <w:b/>
        </w:rPr>
        <w:t>，可通名</w:t>
      </w:r>
      <w:r w:rsidRPr="00BE0426">
        <w:rPr>
          <w:rFonts w:hint="eastAsia"/>
          <w:b/>
          <w:u w:val="wave" w:color="C00000"/>
        </w:rPr>
        <w:t>勝義</w:t>
      </w:r>
      <w:r w:rsidRPr="00BE0426">
        <w:rPr>
          <w:rFonts w:hint="eastAsia"/>
          <w:b/>
        </w:rPr>
        <w:t>，但佛法安立二諦，是著重於</w:t>
      </w:r>
      <w:r w:rsidRPr="00BE0426">
        <w:rPr>
          <w:rFonts w:hint="eastAsia"/>
          <w:b/>
          <w:u w:val="wave" w:color="C00000"/>
        </w:rPr>
        <w:t>一切法空性</w:t>
      </w:r>
      <w:r w:rsidRPr="00DA3BC7">
        <w:rPr>
          <w:rFonts w:hint="eastAsia"/>
        </w:rPr>
        <w:t>。</w:t>
      </w:r>
    </w:p>
    <w:p w:rsidR="00AA120F" w:rsidRPr="00DA3BC7" w:rsidRDefault="00AA120F" w:rsidP="008E2BBC">
      <w:pPr>
        <w:pStyle w:val="1"/>
      </w:pPr>
      <w:bookmarkStart w:id="131" w:name="_Toc405499801"/>
      <w:r w:rsidRPr="00DA3BC7">
        <w:lastRenderedPageBreak/>
        <w:t>第十章、談二諦</w:t>
      </w:r>
      <w:bookmarkEnd w:id="131"/>
    </w:p>
    <w:p w:rsidR="00AA120F" w:rsidRPr="00DA3BC7" w:rsidRDefault="00AA120F" w:rsidP="008E2BBC">
      <w:pPr>
        <w:pStyle w:val="2"/>
      </w:pPr>
      <w:bookmarkStart w:id="132" w:name="_Toc405499802"/>
      <w:r w:rsidRPr="00DA3BC7">
        <w:t>第三節、二諦之抉擇</w:t>
      </w:r>
      <w:bookmarkEnd w:id="132"/>
    </w:p>
    <w:p w:rsidR="00AA120F" w:rsidRPr="00DA3BC7" w:rsidRDefault="00AA120F" w:rsidP="008E2BBC">
      <w:pPr>
        <w:jc w:val="center"/>
        <w:rPr>
          <w:rFonts w:ascii="Times New Roman" w:hAnsi="Times New Roman"/>
        </w:rPr>
      </w:pPr>
      <w:r w:rsidRPr="00DA3BC7">
        <w:rPr>
          <w:rFonts w:ascii="Times New Roman" w:hAnsi="Times New Roman"/>
        </w:rPr>
        <w:t>（</w:t>
      </w:r>
      <w:r w:rsidRPr="00DA3BC7">
        <w:rPr>
          <w:rFonts w:ascii="Times New Roman" w:hAnsi="Times New Roman"/>
        </w:rPr>
        <w:t>pp.220-229</w:t>
      </w:r>
      <w:r w:rsidRPr="00DA3BC7">
        <w:rPr>
          <w:rFonts w:ascii="Times New Roman" w:hAnsi="Times New Roman"/>
        </w:rPr>
        <w:t>）</w:t>
      </w:r>
    </w:p>
    <w:p w:rsidR="00AA120F" w:rsidRPr="00DA3BC7" w:rsidRDefault="00AA120F" w:rsidP="008E2BBC">
      <w:pPr>
        <w:pStyle w:val="Author"/>
      </w:pPr>
    </w:p>
    <w:p w:rsidR="00AA120F" w:rsidRPr="00DA3BC7" w:rsidRDefault="00AA120F" w:rsidP="00AE3920">
      <w:pPr>
        <w:spacing w:beforeLines="50"/>
        <w:jc w:val="both"/>
        <w:rPr>
          <w:rFonts w:ascii="Times New Roman" w:hAnsi="Times New Roman"/>
          <w:bCs/>
          <w:sz w:val="20"/>
          <w:szCs w:val="20"/>
          <w:bdr w:val="single" w:sz="4" w:space="0" w:color="auto"/>
        </w:rPr>
      </w:pPr>
      <w:r w:rsidRPr="00DA3BC7">
        <w:rPr>
          <w:rFonts w:ascii="Times New Roman" w:hAnsi="Times New Roman" w:hint="eastAsia"/>
          <w:b/>
          <w:bCs/>
          <w:sz w:val="20"/>
          <w:szCs w:val="20"/>
          <w:bdr w:val="single" w:sz="4" w:space="0" w:color="auto"/>
        </w:rPr>
        <w:t>壹</w:t>
      </w:r>
      <w:r w:rsidRPr="00DA3BC7">
        <w:rPr>
          <w:rFonts w:ascii="Times New Roman" w:hAnsi="Times New Roman"/>
          <w:b/>
          <w:bCs/>
          <w:sz w:val="20"/>
          <w:szCs w:val="20"/>
          <w:bdr w:val="single" w:sz="4" w:space="0" w:color="auto"/>
        </w:rPr>
        <w:t>、</w:t>
      </w:r>
      <w:r w:rsidR="001A7783" w:rsidRPr="001A7783">
        <w:rPr>
          <w:rFonts w:ascii="Times New Roman" w:hAnsi="Times New Roman"/>
          <w:b/>
          <w:bCs/>
          <w:color w:val="FF0000"/>
          <w:sz w:val="20"/>
          <w:szCs w:val="20"/>
          <w:highlight w:val="yellow"/>
          <w:bdr w:val="single" w:sz="4" w:space="0" w:color="auto"/>
        </w:rPr>
        <w:t>自他</w:t>
      </w:r>
      <w:r w:rsidR="001A7783" w:rsidRPr="001A7783">
        <w:rPr>
          <w:rFonts w:ascii="Times New Roman" w:hAnsi="Times New Roman" w:hint="eastAsia"/>
          <w:b/>
          <w:bCs/>
          <w:color w:val="FF0000"/>
          <w:sz w:val="20"/>
          <w:szCs w:val="20"/>
          <w:highlight w:val="yellow"/>
          <w:bdr w:val="single" w:sz="4" w:space="0" w:color="auto"/>
        </w:rPr>
        <w:t>：</w:t>
      </w:r>
      <w:r w:rsidRPr="00DA3BC7">
        <w:rPr>
          <w:rFonts w:ascii="Times New Roman" w:hAnsi="Times New Roman"/>
          <w:b/>
          <w:bCs/>
          <w:sz w:val="20"/>
          <w:szCs w:val="20"/>
          <w:bdr w:val="single" w:sz="4" w:space="0" w:color="auto"/>
        </w:rPr>
        <w:t>中觀宗（自宗）與他宗</w:t>
      </w:r>
      <w:r w:rsidR="001A7783">
        <w:rPr>
          <w:rFonts w:ascii="Times New Roman" w:hAnsi="Times New Roman" w:hint="eastAsia"/>
          <w:b/>
          <w:bCs/>
          <w:color w:val="FF0000"/>
          <w:sz w:val="20"/>
          <w:szCs w:val="20"/>
          <w:highlight w:val="yellow"/>
          <w:bdr w:val="single" w:sz="4" w:space="0" w:color="auto"/>
        </w:rPr>
        <w:t>所銓之</w:t>
      </w:r>
      <w:r w:rsidRPr="00DA3BC7">
        <w:rPr>
          <w:rFonts w:ascii="Times New Roman" w:hAnsi="Times New Roman"/>
          <w:b/>
          <w:bCs/>
          <w:sz w:val="20"/>
          <w:szCs w:val="20"/>
          <w:bdr w:val="single" w:sz="4" w:space="0" w:color="auto"/>
        </w:rPr>
        <w:t>二</w:t>
      </w:r>
      <w:r w:rsidRPr="001A7783">
        <w:rPr>
          <w:rFonts w:ascii="Times New Roman" w:hAnsi="Times New Roman"/>
          <w:b/>
          <w:bCs/>
          <w:sz w:val="20"/>
          <w:szCs w:val="20"/>
          <w:highlight w:val="yellow"/>
          <w:bdr w:val="single" w:sz="4" w:space="0" w:color="auto"/>
        </w:rPr>
        <w:t>諦</w:t>
      </w:r>
      <w:r w:rsidRPr="00DA3BC7">
        <w:rPr>
          <w:rFonts w:ascii="Times New Roman" w:hAnsi="Times New Roman"/>
          <w:sz w:val="20"/>
          <w:szCs w:val="20"/>
        </w:rPr>
        <w:t>（</w:t>
      </w:r>
      <w:r w:rsidRPr="00DA3BC7">
        <w:rPr>
          <w:rFonts w:ascii="Times New Roman" w:hAnsi="Times New Roman"/>
          <w:sz w:val="20"/>
          <w:szCs w:val="20"/>
        </w:rPr>
        <w:t>pp.</w:t>
      </w:r>
      <w:r w:rsidRPr="00DA3BC7">
        <w:rPr>
          <w:rFonts w:ascii="Times New Roman" w:hAnsi="Times New Roman"/>
          <w:bCs/>
          <w:sz w:val="20"/>
          <w:szCs w:val="20"/>
        </w:rPr>
        <w:t>220-221</w:t>
      </w:r>
      <w:r w:rsidRPr="00DA3BC7">
        <w:rPr>
          <w:rFonts w:ascii="Times New Roman" w:hAnsi="Times New Roman"/>
          <w:sz w:val="20"/>
          <w:szCs w:val="20"/>
        </w:rPr>
        <w:t>）</w:t>
      </w:r>
    </w:p>
    <w:p w:rsidR="001A7783" w:rsidRDefault="001A7783" w:rsidP="00926F79">
      <w:pPr>
        <w:jc w:val="both"/>
        <w:rPr>
          <w:rFonts w:ascii="Times New Roman" w:hAnsi="Times New Roman"/>
          <w:b/>
        </w:rPr>
      </w:pPr>
      <w:r w:rsidRPr="004D39BD">
        <w:rPr>
          <w:rFonts w:ascii="Times New Roman" w:hAnsi="Times New Roman"/>
          <w:b/>
          <w:highlight w:val="yellow"/>
        </w:rPr>
        <w:t>自</w:t>
      </w:r>
      <w:r w:rsidRPr="00DA3BC7">
        <w:rPr>
          <w:rFonts w:ascii="Times New Roman" w:hAnsi="Times New Roman"/>
          <w:b/>
        </w:rPr>
        <w:t>他：</w:t>
      </w:r>
    </w:p>
    <w:p w:rsidR="00AA120F" w:rsidRPr="00DA3BC7" w:rsidRDefault="00AA120F" w:rsidP="00926F79">
      <w:pPr>
        <w:ind w:leftChars="50" w:left="120"/>
        <w:jc w:val="both"/>
        <w:rPr>
          <w:rFonts w:ascii="Times New Roman" w:hAnsi="Times New Roman"/>
          <w:sz w:val="20"/>
          <w:szCs w:val="20"/>
        </w:rPr>
      </w:pPr>
      <w:r w:rsidRPr="00DA3BC7">
        <w:rPr>
          <w:rFonts w:ascii="Times New Roman" w:hAnsi="Times New Roman"/>
          <w:b/>
          <w:sz w:val="20"/>
          <w:szCs w:val="20"/>
          <w:bdr w:val="single" w:sz="4" w:space="0" w:color="auto"/>
        </w:rPr>
        <w:t>（壹）</w:t>
      </w:r>
      <w:r w:rsidR="001A7783" w:rsidRPr="001A7783">
        <w:rPr>
          <w:rFonts w:ascii="Times New Roman" w:hAnsi="Times New Roman" w:hint="eastAsia"/>
          <w:b/>
          <w:color w:val="FF0000"/>
          <w:sz w:val="20"/>
          <w:szCs w:val="20"/>
          <w:highlight w:val="yellow"/>
          <w:bdr w:val="single" w:sz="4" w:space="0" w:color="auto"/>
        </w:rPr>
        <w:t>有</w:t>
      </w:r>
      <w:r w:rsidRPr="001A7783">
        <w:rPr>
          <w:rFonts w:ascii="Times New Roman" w:hAnsi="Times New Roman"/>
          <w:b/>
          <w:color w:val="FF0000"/>
          <w:sz w:val="20"/>
          <w:szCs w:val="20"/>
          <w:highlight w:val="yellow"/>
          <w:bdr w:val="single" w:sz="4" w:space="0" w:color="auto"/>
        </w:rPr>
        <w:t>部</w:t>
      </w:r>
      <w:r w:rsidR="001A7783" w:rsidRPr="001A7783">
        <w:rPr>
          <w:rFonts w:ascii="Times New Roman" w:hAnsi="Times New Roman" w:hint="eastAsia"/>
          <w:b/>
          <w:color w:val="FF0000"/>
          <w:sz w:val="20"/>
          <w:szCs w:val="20"/>
          <w:highlight w:val="yellow"/>
          <w:bdr w:val="single" w:sz="4" w:space="0" w:color="auto"/>
        </w:rPr>
        <w:t>等誤</w:t>
      </w:r>
      <w:r w:rsidRPr="001A7783">
        <w:rPr>
          <w:rFonts w:ascii="Times New Roman" w:hAnsi="Times New Roman"/>
          <w:b/>
          <w:color w:val="FF0000"/>
          <w:sz w:val="20"/>
          <w:szCs w:val="20"/>
          <w:highlight w:val="yellow"/>
          <w:bdr w:val="single" w:sz="4" w:space="0" w:color="auto"/>
        </w:rPr>
        <w:t>以</w:t>
      </w:r>
      <w:r w:rsidRPr="001A7783">
        <w:rPr>
          <w:rFonts w:ascii="Times New Roman" w:hAnsi="Times New Roman" w:hint="eastAsia"/>
          <w:b/>
          <w:color w:val="FF0000"/>
          <w:sz w:val="20"/>
          <w:szCs w:val="20"/>
          <w:highlight w:val="yellow"/>
          <w:bdr w:val="single" w:sz="4" w:space="0" w:color="auto"/>
        </w:rPr>
        <w:t>「</w:t>
      </w:r>
      <w:r w:rsidR="001A7783" w:rsidRPr="001A7783">
        <w:rPr>
          <w:rFonts w:ascii="Times New Roman" w:hAnsi="Times New Roman" w:hint="eastAsia"/>
          <w:b/>
          <w:color w:val="FF0000"/>
          <w:sz w:val="20"/>
          <w:szCs w:val="20"/>
          <w:highlight w:val="yellow"/>
          <w:bdr w:val="single" w:sz="4" w:space="0" w:color="auto"/>
        </w:rPr>
        <w:t>世俗</w:t>
      </w:r>
      <w:r w:rsidRPr="001A7783">
        <w:rPr>
          <w:rFonts w:ascii="Times New Roman" w:hAnsi="Times New Roman" w:hint="eastAsia"/>
          <w:b/>
          <w:color w:val="FF0000"/>
          <w:sz w:val="20"/>
          <w:szCs w:val="20"/>
          <w:highlight w:val="yellow"/>
          <w:bdr w:val="single" w:sz="4" w:space="0" w:color="auto"/>
        </w:rPr>
        <w:t>」為</w:t>
      </w:r>
      <w:r w:rsidR="001A7783" w:rsidRPr="001A7783">
        <w:rPr>
          <w:rFonts w:ascii="Times New Roman" w:hAnsi="Times New Roman" w:hint="eastAsia"/>
          <w:b/>
          <w:color w:val="FF0000"/>
          <w:sz w:val="20"/>
          <w:szCs w:val="20"/>
          <w:highlight w:val="yellow"/>
          <w:bdr w:val="single" w:sz="4" w:space="0" w:color="auto"/>
        </w:rPr>
        <w:t>「</w:t>
      </w:r>
      <w:r w:rsidRPr="001A7783">
        <w:rPr>
          <w:rFonts w:ascii="Times New Roman" w:hAnsi="Times New Roman" w:hint="eastAsia"/>
          <w:b/>
          <w:color w:val="FF0000"/>
          <w:sz w:val="20"/>
          <w:szCs w:val="20"/>
          <w:highlight w:val="yellow"/>
          <w:bdr w:val="single" w:sz="4" w:space="0" w:color="auto"/>
        </w:rPr>
        <w:t>勝義</w:t>
      </w:r>
      <w:r w:rsidR="001A7783" w:rsidRPr="001A7783">
        <w:rPr>
          <w:rFonts w:ascii="Times New Roman" w:hAnsi="Times New Roman" w:hint="eastAsia"/>
          <w:b/>
          <w:color w:val="FF0000"/>
          <w:sz w:val="20"/>
          <w:szCs w:val="20"/>
          <w:highlight w:val="yellow"/>
          <w:bdr w:val="single" w:sz="4" w:space="0" w:color="auto"/>
        </w:rPr>
        <w:t>」</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220</w:t>
      </w:r>
      <w:r w:rsidRPr="00DA3BC7">
        <w:rPr>
          <w:rFonts w:ascii="Times New Roman" w:hAnsi="Times New Roman"/>
          <w:sz w:val="20"/>
          <w:szCs w:val="20"/>
        </w:rPr>
        <w:t>）</w:t>
      </w:r>
    </w:p>
    <w:p w:rsidR="00AA120F" w:rsidRPr="00DA3BC7" w:rsidRDefault="00AA120F" w:rsidP="00926F79">
      <w:pPr>
        <w:ind w:leftChars="50" w:left="120"/>
        <w:jc w:val="both"/>
        <w:rPr>
          <w:rFonts w:ascii="Times New Roman" w:hAnsi="Times New Roman"/>
        </w:rPr>
      </w:pPr>
      <w:r w:rsidRPr="00DA3BC7">
        <w:rPr>
          <w:rFonts w:ascii="Times New Roman" w:hAnsi="Times New Roman"/>
        </w:rPr>
        <w:t>《十二門論》說「</w:t>
      </w:r>
      <w:r w:rsidRPr="00DA3BC7">
        <w:rPr>
          <w:rFonts w:ascii="Times New Roman" w:eastAsia="標楷體" w:hAnsi="Times New Roman"/>
        </w:rPr>
        <w:t>汝</w:t>
      </w:r>
      <w:r w:rsidRPr="00DA3BC7">
        <w:rPr>
          <w:rFonts w:ascii="標楷體" w:eastAsia="標楷體" w:hAnsi="標楷體" w:hint="eastAsia"/>
        </w:rPr>
        <w:t>今</w:t>
      </w:r>
      <w:r w:rsidRPr="00DA3BC7">
        <w:rPr>
          <w:rFonts w:ascii="Times New Roman" w:eastAsia="標楷體" w:hAnsi="Times New Roman"/>
        </w:rPr>
        <w:t>聞</w:t>
      </w:r>
      <w:r w:rsidRPr="00DA3BC7">
        <w:rPr>
          <w:rFonts w:ascii="標楷體" w:eastAsia="標楷體" w:hAnsi="標楷體" w:hint="eastAsia"/>
        </w:rPr>
        <w:t>說</w:t>
      </w:r>
      <w:r w:rsidRPr="00DA3BC7">
        <w:rPr>
          <w:rFonts w:ascii="Times New Roman" w:eastAsia="標楷體" w:hAnsi="Times New Roman"/>
        </w:rPr>
        <w:t>世諦</w:t>
      </w:r>
      <w:r w:rsidRPr="00DA3BC7">
        <w:rPr>
          <w:rFonts w:ascii="標楷體" w:eastAsia="標楷體" w:hAnsi="標楷體" w:hint="eastAsia"/>
        </w:rPr>
        <w:t>，</w:t>
      </w:r>
      <w:r w:rsidRPr="00DA3BC7">
        <w:rPr>
          <w:rFonts w:ascii="Times New Roman" w:eastAsia="標楷體" w:hAnsi="Times New Roman"/>
        </w:rPr>
        <w:t>謂是第一義諦</w:t>
      </w:r>
      <w:r w:rsidRPr="00DA3BC7">
        <w:rPr>
          <w:rFonts w:ascii="Times New Roman" w:hAnsi="Times New Roman"/>
        </w:rPr>
        <w:t>」</w:t>
      </w:r>
      <w:r w:rsidR="009228D5" w:rsidRPr="00DA3BC7">
        <w:rPr>
          <w:rFonts w:ascii="Times New Roman" w:hAnsi="Times New Roman"/>
        </w:rPr>
        <w:t>，</w:t>
      </w:r>
      <w:r w:rsidRPr="00DA3BC7">
        <w:rPr>
          <w:rStyle w:val="a6"/>
          <w:rFonts w:ascii="Times New Roman" w:hAnsi="Times New Roman"/>
        </w:rPr>
        <w:footnoteReference w:id="955"/>
      </w:r>
      <w:r w:rsidRPr="00DA3BC7">
        <w:rPr>
          <w:rFonts w:ascii="Times New Roman" w:hAnsi="Times New Roman"/>
        </w:rPr>
        <w:t>這是論主破薩婆多部等偏執實</w:t>
      </w:r>
      <w:r w:rsidRPr="00DA3BC7">
        <w:rPr>
          <w:rFonts w:ascii="Times New Roman" w:hAnsi="Times New Roman" w:hint="eastAsia"/>
        </w:rPr>
        <w:t>有</w:t>
      </w:r>
      <w:r w:rsidRPr="00DA3BC7">
        <w:rPr>
          <w:rFonts w:ascii="Times New Roman" w:hAnsi="Times New Roman"/>
        </w:rPr>
        <w:t>的。</w:t>
      </w:r>
    </w:p>
    <w:p w:rsidR="00AA120F" w:rsidRPr="00DA3BC7" w:rsidRDefault="00AA120F" w:rsidP="00926F79">
      <w:pPr>
        <w:ind w:leftChars="50" w:left="120"/>
        <w:jc w:val="both"/>
        <w:rPr>
          <w:rFonts w:ascii="Times New Roman" w:hAnsi="Times New Roman"/>
        </w:rPr>
      </w:pPr>
      <w:r w:rsidRPr="00DA3BC7">
        <w:rPr>
          <w:rFonts w:ascii="Times New Roman" w:hAnsi="Times New Roman"/>
        </w:rPr>
        <w:t>佛說色等一切法，是依世俗名言而假立的，故應了解其為世俗，不應執為實義。</w:t>
      </w:r>
    </w:p>
    <w:p w:rsidR="00AA120F" w:rsidRPr="00DA3BC7" w:rsidRDefault="00AA120F" w:rsidP="00AE3920">
      <w:pPr>
        <w:spacing w:beforeLines="20"/>
        <w:ind w:leftChars="50" w:left="120"/>
        <w:jc w:val="both"/>
        <w:rPr>
          <w:rFonts w:ascii="Times New Roman" w:hAnsi="Times New Roman"/>
        </w:rPr>
      </w:pPr>
      <w:r w:rsidRPr="00DA3BC7">
        <w:rPr>
          <w:rFonts w:ascii="Times New Roman" w:hAnsi="Times New Roman"/>
        </w:rPr>
        <w:t>薩婆多部以為是勝義有的，有真實的自相，故執有極微等自性。即於世俗法，不知是世俗而以為是勝義，即成大錯。</w:t>
      </w:r>
    </w:p>
    <w:p w:rsidR="00AA120F" w:rsidRPr="00DA3BC7" w:rsidRDefault="00AA120F" w:rsidP="00AE3920">
      <w:pPr>
        <w:spacing w:beforeLines="30"/>
        <w:ind w:leftChars="50" w:left="120"/>
        <w:jc w:val="both"/>
        <w:rPr>
          <w:rFonts w:ascii="標楷體" w:eastAsia="標楷體" w:hAnsi="標楷體"/>
          <w:sz w:val="20"/>
          <w:szCs w:val="20"/>
        </w:rPr>
      </w:pPr>
      <w:r w:rsidRPr="00DA3BC7">
        <w:rPr>
          <w:rFonts w:ascii="Times New Roman" w:hAnsi="Times New Roman"/>
          <w:b/>
          <w:sz w:val="20"/>
          <w:szCs w:val="20"/>
          <w:bdr w:val="single" w:sz="4" w:space="0" w:color="auto"/>
        </w:rPr>
        <w:t>（貳）</w:t>
      </w:r>
      <w:r w:rsidRPr="001A7783">
        <w:rPr>
          <w:rFonts w:ascii="Times New Roman" w:hAnsi="Times New Roman" w:hint="eastAsia"/>
          <w:b/>
          <w:color w:val="FF0000"/>
          <w:sz w:val="20"/>
          <w:szCs w:val="20"/>
          <w:highlight w:val="yellow"/>
          <w:bdr w:val="single" w:sz="4" w:space="0" w:color="auto"/>
        </w:rPr>
        <w:t>他宗</w:t>
      </w:r>
      <w:r w:rsidR="001A7783" w:rsidRPr="001A7783">
        <w:rPr>
          <w:rFonts w:ascii="Times New Roman" w:hAnsi="Times New Roman" w:hint="eastAsia"/>
          <w:b/>
          <w:color w:val="FF0000"/>
          <w:sz w:val="20"/>
          <w:szCs w:val="20"/>
          <w:highlight w:val="yellow"/>
          <w:bdr w:val="single" w:sz="4" w:space="0" w:color="auto"/>
        </w:rPr>
        <w:t>之「</w:t>
      </w:r>
      <w:r w:rsidRPr="001A7783">
        <w:rPr>
          <w:rFonts w:ascii="Times New Roman" w:hAnsi="Times New Roman" w:hint="eastAsia"/>
          <w:b/>
          <w:color w:val="FF0000"/>
          <w:sz w:val="20"/>
          <w:szCs w:val="20"/>
          <w:highlight w:val="yellow"/>
          <w:bdr w:val="single" w:sz="4" w:space="0" w:color="auto"/>
        </w:rPr>
        <w:t>勝義」</w:t>
      </w:r>
      <w:r w:rsidR="001A7783" w:rsidRPr="001A7783">
        <w:rPr>
          <w:rFonts w:ascii="Times New Roman" w:hAnsi="Times New Roman" w:hint="eastAsia"/>
          <w:b/>
          <w:color w:val="FF0000"/>
          <w:sz w:val="20"/>
          <w:szCs w:val="20"/>
          <w:highlight w:val="yellow"/>
          <w:bdr w:val="single" w:sz="4" w:space="0" w:color="auto"/>
        </w:rPr>
        <w:t>非</w:t>
      </w:r>
      <w:r w:rsidRPr="001A7783">
        <w:rPr>
          <w:rFonts w:ascii="Times New Roman" w:hAnsi="Times New Roman" w:hint="eastAsia"/>
          <w:b/>
          <w:color w:val="FF0000"/>
          <w:sz w:val="20"/>
          <w:szCs w:val="20"/>
          <w:highlight w:val="yellow"/>
          <w:bdr w:val="single" w:sz="4" w:space="0" w:color="auto"/>
        </w:rPr>
        <w:t>中觀</w:t>
      </w:r>
      <w:r w:rsidR="001A7783" w:rsidRPr="001A7783">
        <w:rPr>
          <w:rFonts w:ascii="Times New Roman" w:hAnsi="Times New Roman" w:hint="eastAsia"/>
          <w:b/>
          <w:color w:val="FF0000"/>
          <w:sz w:val="20"/>
          <w:szCs w:val="20"/>
          <w:highlight w:val="yellow"/>
          <w:bdr w:val="single" w:sz="4" w:space="0" w:color="auto"/>
        </w:rPr>
        <w:t>之</w:t>
      </w:r>
      <w:r w:rsidRPr="001A7783">
        <w:rPr>
          <w:rFonts w:ascii="新細明體" w:hAnsi="新細明體"/>
          <w:b/>
          <w:color w:val="FF0000"/>
          <w:sz w:val="20"/>
          <w:szCs w:val="20"/>
          <w:highlight w:val="yellow"/>
          <w:bdr w:val="single" w:sz="4" w:space="0" w:color="auto"/>
        </w:rPr>
        <w:t>「世俗」</w:t>
      </w:r>
      <w:r w:rsidR="001A7783" w:rsidRPr="00DA3BC7">
        <w:rPr>
          <w:rFonts w:ascii="Times New Roman" w:hAnsi="Times New Roman"/>
          <w:sz w:val="20"/>
          <w:szCs w:val="20"/>
        </w:rPr>
        <w:t>（</w:t>
      </w:r>
      <w:r w:rsidR="001A7783" w:rsidRPr="00DA3BC7">
        <w:rPr>
          <w:rFonts w:ascii="Times New Roman" w:hAnsi="Times New Roman"/>
          <w:sz w:val="20"/>
          <w:szCs w:val="20"/>
        </w:rPr>
        <w:t>pp.</w:t>
      </w:r>
      <w:r w:rsidR="001A7783" w:rsidRPr="00DA3BC7">
        <w:rPr>
          <w:rFonts w:ascii="Times New Roman" w:hAnsi="Times New Roman"/>
          <w:bCs/>
          <w:sz w:val="20"/>
          <w:szCs w:val="20"/>
        </w:rPr>
        <w:t>220-221</w:t>
      </w:r>
      <w:r w:rsidR="001A7783" w:rsidRPr="00DA3BC7">
        <w:rPr>
          <w:rFonts w:ascii="Times New Roman" w:hAnsi="Times New Roman"/>
          <w:sz w:val="20"/>
          <w:szCs w:val="20"/>
        </w:rPr>
        <w:t>）</w:t>
      </w:r>
    </w:p>
    <w:p w:rsidR="00AA120F" w:rsidRPr="00DA3BC7" w:rsidRDefault="00AA120F" w:rsidP="00926F79">
      <w:pPr>
        <w:ind w:leftChars="50" w:left="120"/>
        <w:jc w:val="both"/>
        <w:rPr>
          <w:rFonts w:ascii="Times New Roman" w:hAnsi="Times New Roman"/>
        </w:rPr>
      </w:pPr>
      <w:r w:rsidRPr="00DA3BC7">
        <w:rPr>
          <w:rFonts w:ascii="Times New Roman" w:hAnsi="Times New Roman"/>
        </w:rPr>
        <w:t>有人也說：「</w:t>
      </w:r>
      <w:r w:rsidRPr="00735A93">
        <w:rPr>
          <w:rFonts w:ascii="新細明體" w:hAnsi="新細明體"/>
        </w:rPr>
        <w:t>餘所許勝義，即他許世俗。</w:t>
      </w:r>
      <w:r w:rsidRPr="00DA3BC7">
        <w:rPr>
          <w:rFonts w:ascii="Times New Roman" w:eastAsia="標楷體" w:hAnsi="Times New Roman"/>
        </w:rPr>
        <w:t>」</w:t>
      </w:r>
    </w:p>
    <w:p w:rsidR="00AA120F" w:rsidRPr="00DA3BC7" w:rsidRDefault="00AA120F" w:rsidP="00AE3920">
      <w:pPr>
        <w:spacing w:beforeLines="20"/>
        <w:ind w:leftChars="50" w:left="120"/>
        <w:jc w:val="both"/>
        <w:rPr>
          <w:rFonts w:ascii="Times New Roman" w:eastAsia="SimSun" w:hAnsi="Times New Roman"/>
        </w:rPr>
      </w:pPr>
      <w:r w:rsidRPr="00DA3BC7">
        <w:rPr>
          <w:rFonts w:ascii="Times New Roman" w:hAnsi="Times New Roman"/>
        </w:rPr>
        <w:t>這話是不圓滿的。中觀者決不以為凡他所許為勝義有的，即中觀所許為世俗有的，而中觀者則有更高的勝義。</w:t>
      </w:r>
    </w:p>
    <w:p w:rsidR="00AA120F" w:rsidRPr="00DA3BC7" w:rsidRDefault="00AA120F" w:rsidP="00AE3920">
      <w:pPr>
        <w:spacing w:beforeLines="20"/>
        <w:ind w:leftChars="50" w:left="120"/>
        <w:jc w:val="both"/>
        <w:rPr>
          <w:rFonts w:ascii="Times New Roman" w:hAnsi="Times New Roman"/>
        </w:rPr>
      </w:pPr>
      <w:r w:rsidRPr="00DA3BC7">
        <w:rPr>
          <w:rFonts w:ascii="Times New Roman" w:hAnsi="Times New Roman"/>
        </w:rPr>
        <w:t>佛說色等諸法為世俗，依世俗而成立一切法，於此色等法知其都是假名安立，緣起如幻，此即如世俗而知道</w:t>
      </w:r>
      <w:r w:rsidRPr="00DA3BC7">
        <w:rPr>
          <w:rFonts w:ascii="Times New Roman" w:hAnsi="Times New Roman" w:hint="eastAsia"/>
        </w:rPr>
        <w:t>它</w:t>
      </w:r>
      <w:r w:rsidRPr="00DA3BC7">
        <w:rPr>
          <w:rFonts w:ascii="Times New Roman" w:hAnsi="Times New Roman"/>
        </w:rPr>
        <w:t>是世俗。</w:t>
      </w:r>
    </w:p>
    <w:p w:rsidR="001A7783" w:rsidRDefault="00AA120F" w:rsidP="00AE3920">
      <w:pPr>
        <w:spacing w:beforeLines="20"/>
        <w:ind w:leftChars="50" w:left="120"/>
        <w:jc w:val="both"/>
        <w:rPr>
          <w:rFonts w:ascii="Times New Roman" w:hAnsi="Times New Roman"/>
          <w:b/>
        </w:rPr>
      </w:pPr>
      <w:r w:rsidRPr="00DA3BC7">
        <w:rPr>
          <w:rFonts w:ascii="Times New Roman" w:hAnsi="Times New Roman"/>
        </w:rPr>
        <w:t>佛說一切為世俗有，有部等執為勝義，執為實有自性的，並非有部等所執的勝義有即是佛說的世俗。所以</w:t>
      </w:r>
      <w:r w:rsidRPr="00DA3BC7">
        <w:rPr>
          <w:rFonts w:ascii="Times New Roman" w:hAnsi="Times New Roman"/>
          <w:b/>
        </w:rPr>
        <w:t>中觀所說的世俗，於妄執者為勝義；但妄執者的勝義，並不就是中觀者的世俗。</w:t>
      </w:r>
    </w:p>
    <w:p w:rsidR="00AA120F" w:rsidRPr="00DA3BC7" w:rsidRDefault="00AA120F" w:rsidP="00AE3920">
      <w:pPr>
        <w:spacing w:beforeLines="20"/>
        <w:ind w:leftChars="50" w:left="120"/>
        <w:jc w:val="both"/>
        <w:rPr>
          <w:rFonts w:ascii="Times New Roman" w:hAnsi="Times New Roman"/>
        </w:rPr>
      </w:pPr>
      <w:r w:rsidRPr="00DA3BC7">
        <w:rPr>
          <w:rFonts w:ascii="Times New Roman" w:hAnsi="Times New Roman"/>
        </w:rPr>
        <w:t>有些學者不能確了無性緣起的精義，不能於空中立一切法，以為中觀者於勝義說空，即以他宗所說的勝義為自宗的世俗。</w:t>
      </w:r>
    </w:p>
    <w:p w:rsidR="00AA120F" w:rsidRPr="00DA3BC7" w:rsidRDefault="00AA120F" w:rsidP="00AE3920">
      <w:pPr>
        <w:spacing w:beforeLines="20"/>
        <w:ind w:leftChars="50" w:left="120"/>
        <w:jc w:val="both"/>
        <w:rPr>
          <w:rFonts w:ascii="Times New Roman" w:hAnsi="Times New Roman"/>
          <w:b/>
        </w:rPr>
      </w:pPr>
      <w:r w:rsidRPr="00DA3BC7">
        <w:rPr>
          <w:rFonts w:ascii="Times New Roman" w:hAnsi="Times New Roman"/>
        </w:rPr>
        <w:t>要知中觀宗義與其他各宗，論勝義</w:t>
      </w:r>
      <w:r w:rsidRPr="00DA3BC7">
        <w:rPr>
          <w:rFonts w:ascii="Times New Roman" w:hAnsi="Times New Roman" w:hint="eastAsia"/>
        </w:rPr>
        <w:t>、</w:t>
      </w:r>
      <w:r w:rsidRPr="00DA3BC7">
        <w:rPr>
          <w:rFonts w:ascii="Times New Roman" w:hAnsi="Times New Roman"/>
        </w:rPr>
        <w:t>論世俗，都是沒有共同的。</w:t>
      </w:r>
      <w:r w:rsidRPr="00DA3BC7">
        <w:rPr>
          <w:rFonts w:ascii="Times New Roman" w:hAnsi="Times New Roman"/>
          <w:b/>
        </w:rPr>
        <w:t>中觀安立世俗，是不承認有自相的，與他宗所說的勝義不同。</w:t>
      </w:r>
    </w:p>
    <w:p w:rsidR="00AA120F" w:rsidRPr="00DA3BC7" w:rsidRDefault="00AA120F" w:rsidP="00AE3920">
      <w:pPr>
        <w:spacing w:beforeLines="30"/>
        <w:jc w:val="both"/>
        <w:rPr>
          <w:rFonts w:ascii="Times New Roman" w:eastAsia="SimSun" w:hAnsi="Times New Roman"/>
          <w:b/>
          <w:sz w:val="20"/>
          <w:szCs w:val="20"/>
        </w:rPr>
      </w:pPr>
      <w:r w:rsidRPr="00DA3BC7">
        <w:rPr>
          <w:rFonts w:ascii="Times New Roman" w:hAnsi="Times New Roman" w:hint="eastAsia"/>
          <w:b/>
          <w:bCs/>
          <w:sz w:val="20"/>
          <w:szCs w:val="20"/>
          <w:bdr w:val="single" w:sz="4" w:space="0" w:color="auto"/>
        </w:rPr>
        <w:t>貳</w:t>
      </w:r>
      <w:r w:rsidRPr="00DA3BC7">
        <w:rPr>
          <w:rFonts w:ascii="Times New Roman" w:hAnsi="Times New Roman"/>
          <w:b/>
          <w:bCs/>
          <w:sz w:val="20"/>
          <w:szCs w:val="20"/>
          <w:bdr w:val="single" w:sz="4" w:space="0" w:color="auto"/>
        </w:rPr>
        <w:t>、</w:t>
      </w:r>
      <w:r w:rsidR="001A7783" w:rsidRPr="001A7783">
        <w:rPr>
          <w:rFonts w:ascii="Times New Roman" w:hAnsi="Times New Roman"/>
          <w:b/>
          <w:bCs/>
          <w:color w:val="FF0000"/>
          <w:sz w:val="20"/>
          <w:szCs w:val="20"/>
          <w:highlight w:val="yellow"/>
          <w:bdr w:val="single" w:sz="4" w:space="0" w:color="auto"/>
        </w:rPr>
        <w:t>有空</w:t>
      </w:r>
      <w:r w:rsidR="001A7783">
        <w:rPr>
          <w:rFonts w:ascii="Times New Roman" w:hAnsi="Times New Roman" w:hint="eastAsia"/>
          <w:b/>
          <w:bCs/>
          <w:color w:val="FF0000"/>
          <w:sz w:val="20"/>
          <w:szCs w:val="20"/>
          <w:highlight w:val="yellow"/>
          <w:bdr w:val="single" w:sz="4" w:space="0" w:color="auto"/>
        </w:rPr>
        <w:t>：</w:t>
      </w:r>
      <w:r w:rsidRPr="00DA3BC7">
        <w:rPr>
          <w:rFonts w:ascii="Times New Roman" w:hAnsi="Times New Roman"/>
          <w:b/>
          <w:bCs/>
          <w:sz w:val="20"/>
          <w:szCs w:val="20"/>
          <w:bdr w:val="single" w:sz="4" w:space="0" w:color="auto"/>
        </w:rPr>
        <w:t>二諦「有、空」之抉擇</w:t>
      </w:r>
      <w:r w:rsidRPr="00DA3BC7">
        <w:rPr>
          <w:rFonts w:ascii="Times New Roman" w:hAnsi="Times New Roman"/>
          <w:sz w:val="20"/>
          <w:szCs w:val="20"/>
        </w:rPr>
        <w:t>（</w:t>
      </w:r>
      <w:r w:rsidRPr="00DA3BC7">
        <w:rPr>
          <w:rFonts w:ascii="Times New Roman" w:hAnsi="Times New Roman"/>
          <w:sz w:val="20"/>
          <w:szCs w:val="20"/>
        </w:rPr>
        <w:t>pp.</w:t>
      </w:r>
      <w:r w:rsidRPr="00DA3BC7">
        <w:rPr>
          <w:rFonts w:ascii="Times New Roman" w:hAnsi="Times New Roman"/>
          <w:bCs/>
          <w:sz w:val="20"/>
          <w:szCs w:val="20"/>
        </w:rPr>
        <w:t>221-223</w:t>
      </w:r>
      <w:r w:rsidRPr="00DA3BC7">
        <w:rPr>
          <w:rFonts w:ascii="Times New Roman" w:hAnsi="Times New Roman"/>
          <w:sz w:val="20"/>
          <w:szCs w:val="20"/>
        </w:rPr>
        <w:t>）</w:t>
      </w:r>
    </w:p>
    <w:p w:rsidR="001A7783" w:rsidRPr="00DA3BC7" w:rsidRDefault="001A7783" w:rsidP="00926F79">
      <w:pPr>
        <w:jc w:val="both"/>
        <w:rPr>
          <w:rFonts w:ascii="Times New Roman" w:hAnsi="Times New Roman"/>
        </w:rPr>
      </w:pPr>
      <w:r w:rsidRPr="004D39BD">
        <w:rPr>
          <w:rFonts w:ascii="Times New Roman" w:hAnsi="Times New Roman"/>
          <w:b/>
          <w:highlight w:val="yellow"/>
        </w:rPr>
        <w:lastRenderedPageBreak/>
        <w:t>有</w:t>
      </w:r>
      <w:r w:rsidRPr="00DA3BC7">
        <w:rPr>
          <w:rFonts w:ascii="Times New Roman" w:hAnsi="Times New Roman"/>
          <w:b/>
        </w:rPr>
        <w:t>空</w:t>
      </w:r>
      <w:r w:rsidRPr="00DA3BC7">
        <w:rPr>
          <w:rFonts w:ascii="Times New Roman" w:hAnsi="Times New Roman"/>
        </w:rPr>
        <w:t>：</w:t>
      </w:r>
    </w:p>
    <w:p w:rsidR="00AA120F" w:rsidRPr="00DA3BC7" w:rsidRDefault="00AA120F" w:rsidP="008E2BBC">
      <w:pPr>
        <w:ind w:leftChars="50" w:left="120"/>
        <w:jc w:val="both"/>
        <w:rPr>
          <w:rFonts w:ascii="Times New Roman" w:eastAsia="SimSun" w:hAnsi="Times New Roman"/>
          <w:b/>
          <w:sz w:val="20"/>
          <w:szCs w:val="20"/>
          <w:bdr w:val="single" w:sz="4" w:space="0" w:color="auto"/>
        </w:rPr>
      </w:pPr>
      <w:r w:rsidRPr="001A7783">
        <w:rPr>
          <w:rFonts w:ascii="Times New Roman" w:hAnsi="Times New Roman"/>
          <w:b/>
          <w:color w:val="FF0000"/>
          <w:sz w:val="20"/>
          <w:szCs w:val="20"/>
          <w:highlight w:val="yellow"/>
          <w:bdr w:val="single" w:sz="4" w:space="0" w:color="auto"/>
        </w:rPr>
        <w:t>（壹）「</w:t>
      </w:r>
      <w:r w:rsidR="001A7783" w:rsidRPr="001A7783">
        <w:rPr>
          <w:rFonts w:ascii="Times New Roman" w:hAnsi="Times New Roman" w:hint="eastAsia"/>
          <w:b/>
          <w:color w:val="FF0000"/>
          <w:sz w:val="20"/>
          <w:szCs w:val="20"/>
          <w:highlight w:val="yellow"/>
          <w:bdr w:val="single" w:sz="4" w:space="0" w:color="auto"/>
        </w:rPr>
        <w:t>真</w:t>
      </w:r>
      <w:r w:rsidRPr="001A7783">
        <w:rPr>
          <w:rFonts w:ascii="Times New Roman" w:hAnsi="Times New Roman"/>
          <w:b/>
          <w:color w:val="FF0000"/>
          <w:sz w:val="20"/>
          <w:szCs w:val="20"/>
          <w:highlight w:val="yellow"/>
          <w:bdr w:val="single" w:sz="4" w:space="0" w:color="auto"/>
        </w:rPr>
        <w:t>有」</w:t>
      </w:r>
      <w:r w:rsidR="001A7783" w:rsidRPr="001A7783">
        <w:rPr>
          <w:rFonts w:ascii="Times New Roman" w:hAnsi="Times New Roman" w:hint="eastAsia"/>
          <w:b/>
          <w:color w:val="FF0000"/>
          <w:sz w:val="20"/>
          <w:szCs w:val="20"/>
          <w:highlight w:val="yellow"/>
          <w:bdr w:val="single" w:sz="4" w:space="0" w:color="auto"/>
        </w:rPr>
        <w:t>與</w:t>
      </w:r>
      <w:r w:rsidR="001A7783" w:rsidRPr="001A7783">
        <w:rPr>
          <w:rFonts w:ascii="Times New Roman" w:hAnsi="Times New Roman"/>
          <w:b/>
          <w:color w:val="FF0000"/>
          <w:sz w:val="20"/>
          <w:szCs w:val="20"/>
          <w:highlight w:val="yellow"/>
          <w:bdr w:val="single" w:sz="4" w:space="0" w:color="auto"/>
        </w:rPr>
        <w:t>「</w:t>
      </w:r>
      <w:r w:rsidR="001A7783" w:rsidRPr="001A7783">
        <w:rPr>
          <w:rFonts w:ascii="Times New Roman" w:hAnsi="Times New Roman" w:hint="eastAsia"/>
          <w:b/>
          <w:color w:val="FF0000"/>
          <w:sz w:val="20"/>
          <w:szCs w:val="20"/>
          <w:highlight w:val="yellow"/>
          <w:bdr w:val="single" w:sz="4" w:space="0" w:color="auto"/>
        </w:rPr>
        <w:t>妄</w:t>
      </w:r>
      <w:r w:rsidR="001A7783" w:rsidRPr="001A7783">
        <w:rPr>
          <w:rFonts w:ascii="Times New Roman" w:hAnsi="Times New Roman"/>
          <w:b/>
          <w:color w:val="FF0000"/>
          <w:sz w:val="20"/>
          <w:szCs w:val="20"/>
          <w:highlight w:val="yellow"/>
          <w:bdr w:val="single" w:sz="4" w:space="0" w:color="auto"/>
        </w:rPr>
        <w:t>有」</w:t>
      </w:r>
      <w:r w:rsidRPr="001A7783">
        <w:rPr>
          <w:rFonts w:ascii="Times New Roman" w:hAnsi="Times New Roman"/>
          <w:b/>
          <w:color w:val="FF0000"/>
          <w:sz w:val="20"/>
          <w:szCs w:val="20"/>
          <w:highlight w:val="yellow"/>
          <w:bdr w:val="single" w:sz="4" w:space="0" w:color="auto"/>
        </w:rPr>
        <w:t>之</w:t>
      </w:r>
      <w:r w:rsidR="001A7783" w:rsidRPr="001A7783">
        <w:rPr>
          <w:rFonts w:ascii="Times New Roman" w:hAnsi="Times New Roman" w:hint="eastAsia"/>
          <w:b/>
          <w:color w:val="FF0000"/>
          <w:sz w:val="20"/>
          <w:szCs w:val="20"/>
          <w:highlight w:val="yellow"/>
          <w:bdr w:val="single" w:sz="4" w:space="0" w:color="auto"/>
        </w:rPr>
        <w:t>辨</w:t>
      </w:r>
      <w:r w:rsidRPr="00DA3BC7">
        <w:rPr>
          <w:rFonts w:ascii="Times New Roman" w:hAnsi="Times New Roman"/>
          <w:sz w:val="20"/>
          <w:szCs w:val="20"/>
        </w:rPr>
        <w:t>（</w:t>
      </w:r>
      <w:r w:rsidRPr="00DA3BC7">
        <w:rPr>
          <w:rFonts w:ascii="Times New Roman" w:hAnsi="Times New Roman" w:hint="eastAsia"/>
          <w:sz w:val="20"/>
          <w:szCs w:val="20"/>
        </w:rPr>
        <w:t>p</w:t>
      </w:r>
      <w:r w:rsidRPr="00DA3BC7">
        <w:rPr>
          <w:rFonts w:ascii="Times New Roman" w:hAnsi="Times New Roman"/>
          <w:sz w:val="20"/>
          <w:szCs w:val="20"/>
        </w:rPr>
        <w:t>p.</w:t>
      </w:r>
      <w:r w:rsidRPr="00DA3BC7">
        <w:rPr>
          <w:rFonts w:ascii="Times New Roman" w:hAnsi="Times New Roman"/>
          <w:bCs/>
          <w:sz w:val="20"/>
          <w:szCs w:val="20"/>
        </w:rPr>
        <w:t>221</w:t>
      </w:r>
      <w:r w:rsidRPr="00DA3BC7">
        <w:rPr>
          <w:rFonts w:ascii="Times New Roman" w:hAnsi="Times New Roman" w:hint="eastAsia"/>
          <w:bCs/>
          <w:sz w:val="20"/>
          <w:szCs w:val="20"/>
        </w:rPr>
        <w:t>-222</w:t>
      </w:r>
      <w:r w:rsidRPr="00DA3BC7">
        <w:rPr>
          <w:rFonts w:ascii="Times New Roman" w:hAnsi="Times New Roman"/>
          <w:sz w:val="20"/>
          <w:szCs w:val="20"/>
        </w:rPr>
        <w:t>）</w:t>
      </w:r>
    </w:p>
    <w:p w:rsidR="00AA120F" w:rsidRPr="00DA3BC7" w:rsidRDefault="00AA120F" w:rsidP="008E2BBC">
      <w:pPr>
        <w:ind w:leftChars="100" w:left="240"/>
        <w:jc w:val="both"/>
        <w:rPr>
          <w:rFonts w:ascii="Times New Roman" w:eastAsia="SimSun" w:hAnsi="Times New Roman"/>
          <w:b/>
          <w:sz w:val="20"/>
          <w:szCs w:val="20"/>
          <w:bdr w:val="single" w:sz="4" w:space="0" w:color="auto"/>
        </w:rPr>
      </w:pPr>
      <w:r w:rsidRPr="001A7783">
        <w:rPr>
          <w:rFonts w:ascii="新細明體" w:hAnsi="新細明體"/>
          <w:b/>
          <w:color w:val="FF0000"/>
          <w:sz w:val="20"/>
          <w:szCs w:val="20"/>
          <w:highlight w:val="yellow"/>
          <w:bdr w:val="single" w:sz="4" w:space="0" w:color="auto"/>
        </w:rPr>
        <w:t>一、</w:t>
      </w:r>
      <w:r w:rsidR="001A7783" w:rsidRPr="001A7783">
        <w:rPr>
          <w:rFonts w:ascii="新細明體" w:hAnsi="新細明體" w:hint="eastAsia"/>
          <w:b/>
          <w:color w:val="FF0000"/>
          <w:sz w:val="20"/>
          <w:szCs w:val="20"/>
          <w:highlight w:val="yellow"/>
          <w:bdr w:val="single" w:sz="4" w:space="0" w:color="auto"/>
        </w:rPr>
        <w:t>他宗的誤質</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221</w:t>
      </w:r>
      <w:r w:rsidRPr="00DA3BC7">
        <w:rPr>
          <w:rFonts w:ascii="Times New Roman" w:hAnsi="Times New Roman"/>
          <w:sz w:val="20"/>
          <w:szCs w:val="20"/>
        </w:rPr>
        <w:t>）</w:t>
      </w:r>
    </w:p>
    <w:p w:rsidR="001A7783" w:rsidRDefault="00AA120F" w:rsidP="008E2BBC">
      <w:pPr>
        <w:ind w:leftChars="100" w:left="240"/>
        <w:jc w:val="both"/>
        <w:rPr>
          <w:rFonts w:ascii="Times New Roman" w:hAnsi="Times New Roman"/>
        </w:rPr>
      </w:pPr>
      <w:r w:rsidRPr="00DA3BC7">
        <w:rPr>
          <w:rFonts w:ascii="Times New Roman" w:hAnsi="Times New Roman"/>
        </w:rPr>
        <w:t>中觀常說</w:t>
      </w:r>
      <w:r w:rsidRPr="00DA3BC7">
        <w:rPr>
          <w:rFonts w:ascii="Times New Roman" w:hAnsi="Times New Roman"/>
          <w:b/>
        </w:rPr>
        <w:t>世俗假有，勝義性空</w:t>
      </w:r>
      <w:r w:rsidRPr="00DA3BC7">
        <w:rPr>
          <w:rFonts w:ascii="Times New Roman" w:hAnsi="Times New Roman"/>
        </w:rPr>
        <w:t>。</w:t>
      </w:r>
    </w:p>
    <w:p w:rsidR="001A7783" w:rsidRDefault="00AA120F" w:rsidP="001A7783">
      <w:pPr>
        <w:ind w:leftChars="100" w:left="240"/>
        <w:jc w:val="both"/>
        <w:rPr>
          <w:rFonts w:ascii="Times New Roman" w:hAnsi="Times New Roman"/>
        </w:rPr>
      </w:pPr>
      <w:r w:rsidRPr="00DA3BC7">
        <w:rPr>
          <w:rFonts w:ascii="Times New Roman" w:hAnsi="Times New Roman"/>
        </w:rPr>
        <w:t>但《大智度論》卷</w:t>
      </w:r>
      <w:r w:rsidRPr="00DA3BC7">
        <w:rPr>
          <w:rFonts w:ascii="Times New Roman" w:hAnsi="Times New Roman"/>
        </w:rPr>
        <w:t>1</w:t>
      </w:r>
      <w:r w:rsidRPr="00DA3BC7">
        <w:rPr>
          <w:rFonts w:ascii="Times New Roman" w:hAnsi="Times New Roman"/>
        </w:rPr>
        <w:t>說：「</w:t>
      </w:r>
      <w:r w:rsidRPr="00DA3BC7">
        <w:rPr>
          <w:rFonts w:ascii="Times New Roman" w:eastAsia="標楷體" w:hAnsi="Times New Roman"/>
        </w:rPr>
        <w:t>人等，世界故有，第一義故無。</w:t>
      </w:r>
      <w:r w:rsidRPr="00DA3BC7">
        <w:rPr>
          <w:rFonts w:ascii="標楷體" w:eastAsia="標楷體" w:hAnsi="標楷體" w:hint="eastAsia"/>
        </w:rPr>
        <w:t>如如、法性、實際</w:t>
      </w:r>
      <w:r w:rsidRPr="00DA3BC7">
        <w:rPr>
          <w:rFonts w:ascii="Times New Roman" w:eastAsia="標楷體" w:hAnsi="Times New Roman"/>
        </w:rPr>
        <w:t>，世界故無，第一義故有</w:t>
      </w:r>
      <w:r w:rsidRPr="00DA3BC7">
        <w:rPr>
          <w:rFonts w:ascii="Times New Roman" w:hAnsi="Times New Roman"/>
        </w:rPr>
        <w:t>。」</w:t>
      </w:r>
      <w:r w:rsidRPr="00DA3BC7">
        <w:rPr>
          <w:rStyle w:val="a6"/>
          <w:rFonts w:ascii="Times New Roman" w:hAnsi="Times New Roman"/>
        </w:rPr>
        <w:footnoteReference w:id="956"/>
      </w:r>
    </w:p>
    <w:p w:rsidR="00AA120F" w:rsidRPr="00DA3BC7" w:rsidRDefault="00AA120F" w:rsidP="001A7783">
      <w:pPr>
        <w:ind w:leftChars="100" w:left="240"/>
        <w:jc w:val="both"/>
        <w:rPr>
          <w:rFonts w:ascii="Times New Roman" w:eastAsia="SimSun" w:hAnsi="Times New Roman"/>
        </w:rPr>
      </w:pPr>
      <w:r w:rsidRPr="00DA3BC7">
        <w:rPr>
          <w:rFonts w:ascii="Times New Roman" w:hAnsi="Times New Roman"/>
        </w:rPr>
        <w:t>於是有人以為龍樹不一定說勝義空，所說的勝義空，是約世俗虛妄的我法說。我法在世俗中是有，第一義中不可得。但真如法性，雖然世俗中無</w:t>
      </w:r>
      <w:r w:rsidRPr="00DA3BC7">
        <w:rPr>
          <w:rFonts w:ascii="新細明體" w:hAnsi="新細明體"/>
        </w:rPr>
        <w:t>──</w:t>
      </w:r>
      <w:r w:rsidRPr="00DA3BC7">
        <w:rPr>
          <w:rFonts w:ascii="Times New Roman" w:hAnsi="Times New Roman"/>
        </w:rPr>
        <w:t>非世間境，而勝義中是有的。</w:t>
      </w:r>
      <w:r w:rsidRPr="00DA3BC7">
        <w:rPr>
          <w:rFonts w:ascii="Times New Roman" w:hAnsi="Times New Roman" w:hint="eastAsia"/>
        </w:rPr>
        <w:t>所以三乘聖者所證的真如法性，是妙有，是不空。</w:t>
      </w:r>
    </w:p>
    <w:p w:rsidR="00AA120F" w:rsidRPr="00DA3BC7" w:rsidRDefault="00AA120F" w:rsidP="00AE3920">
      <w:pPr>
        <w:spacing w:beforeLines="20"/>
        <w:ind w:leftChars="100" w:left="240"/>
        <w:jc w:val="both"/>
        <w:rPr>
          <w:rFonts w:ascii="Times New Roman" w:eastAsia="SimSun" w:hAnsi="Times New Roman"/>
        </w:rPr>
      </w:pPr>
      <w:r w:rsidRPr="00DA3BC7">
        <w:rPr>
          <w:rFonts w:ascii="Times New Roman" w:hAnsi="Times New Roman"/>
        </w:rPr>
        <w:t>這是對於中觀勝義空者下一最有力的質問！</w:t>
      </w:r>
    </w:p>
    <w:p w:rsidR="00AA120F" w:rsidRPr="00DA3BC7" w:rsidRDefault="00AA120F" w:rsidP="00AE3920">
      <w:pPr>
        <w:spacing w:beforeLines="30"/>
        <w:ind w:leftChars="100" w:left="240"/>
        <w:jc w:val="both"/>
        <w:rPr>
          <w:rFonts w:ascii="Times New Roman" w:hAnsi="Times New Roman"/>
          <w:b/>
          <w:sz w:val="20"/>
          <w:szCs w:val="20"/>
          <w:bdr w:val="single" w:sz="4" w:space="0" w:color="auto"/>
        </w:rPr>
      </w:pPr>
      <w:r w:rsidRPr="00DA3BC7">
        <w:rPr>
          <w:rFonts w:ascii="Times New Roman" w:hAnsi="Times New Roman" w:hint="eastAsia"/>
          <w:b/>
          <w:sz w:val="20"/>
          <w:szCs w:val="20"/>
          <w:bdr w:val="single" w:sz="4" w:space="0" w:color="auto"/>
        </w:rPr>
        <w:t>二、</w:t>
      </w:r>
      <w:r w:rsidR="001A7783">
        <w:rPr>
          <w:rFonts w:ascii="Times New Roman" w:hAnsi="Times New Roman" w:hint="eastAsia"/>
          <w:b/>
          <w:color w:val="FF0000"/>
          <w:sz w:val="20"/>
          <w:szCs w:val="20"/>
          <w:highlight w:val="yellow"/>
          <w:bdr w:val="single" w:sz="4" w:space="0" w:color="auto"/>
        </w:rPr>
        <w:t>印順法師的</w:t>
      </w:r>
      <w:r w:rsidRPr="00DA3BC7">
        <w:rPr>
          <w:rFonts w:ascii="Times New Roman" w:hAnsi="Times New Roman" w:hint="eastAsia"/>
          <w:b/>
          <w:sz w:val="20"/>
          <w:szCs w:val="20"/>
          <w:bdr w:val="single" w:sz="4" w:space="0" w:color="auto"/>
        </w:rPr>
        <w:t>回應</w:t>
      </w:r>
      <w:r w:rsidRPr="00DA3BC7">
        <w:rPr>
          <w:rFonts w:ascii="Times New Roman" w:hAnsi="Times New Roman"/>
          <w:sz w:val="20"/>
          <w:szCs w:val="20"/>
        </w:rPr>
        <w:t>（</w:t>
      </w:r>
      <w:r w:rsidRPr="00DA3BC7">
        <w:rPr>
          <w:rFonts w:ascii="Times New Roman" w:hAnsi="Times New Roman"/>
          <w:sz w:val="20"/>
          <w:szCs w:val="20"/>
        </w:rPr>
        <w:t>pp.</w:t>
      </w:r>
      <w:r w:rsidRPr="00DA3BC7">
        <w:rPr>
          <w:rFonts w:ascii="Times New Roman" w:hAnsi="Times New Roman"/>
          <w:bCs/>
          <w:sz w:val="20"/>
          <w:szCs w:val="20"/>
        </w:rPr>
        <w:t>221</w:t>
      </w:r>
      <w:r w:rsidRPr="00DA3BC7">
        <w:rPr>
          <w:rFonts w:ascii="Times New Roman" w:hAnsi="Times New Roman" w:hint="eastAsia"/>
          <w:bCs/>
          <w:sz w:val="20"/>
          <w:szCs w:val="20"/>
        </w:rPr>
        <w:t>-223</w:t>
      </w:r>
      <w:r w:rsidRPr="00DA3BC7">
        <w:rPr>
          <w:rFonts w:ascii="Times New Roman" w:hAnsi="Times New Roman"/>
          <w:sz w:val="20"/>
          <w:szCs w:val="20"/>
        </w:rPr>
        <w:t>）</w:t>
      </w:r>
    </w:p>
    <w:p w:rsidR="00AA120F" w:rsidRPr="00DA3BC7" w:rsidRDefault="00AA120F" w:rsidP="001A7783">
      <w:pPr>
        <w:ind w:leftChars="150" w:left="360"/>
        <w:jc w:val="both"/>
        <w:rPr>
          <w:rFonts w:ascii="Times New Roman" w:eastAsia="SimSun" w:hAnsi="Times New Roman"/>
          <w:sz w:val="20"/>
          <w:szCs w:val="20"/>
          <w:bdr w:val="single" w:sz="4" w:space="0" w:color="auto"/>
        </w:rPr>
      </w:pPr>
      <w:r w:rsidRPr="001A7783">
        <w:rPr>
          <w:rFonts w:ascii="Times New Roman" w:hAnsi="Times New Roman" w:hint="eastAsia"/>
          <w:b/>
          <w:color w:val="FF0000"/>
          <w:sz w:val="20"/>
          <w:szCs w:val="20"/>
          <w:highlight w:val="yellow"/>
          <w:bdr w:val="single" w:sz="4" w:space="0" w:color="auto"/>
        </w:rPr>
        <w:t>（一）</w:t>
      </w:r>
      <w:r w:rsidR="001A7783" w:rsidRPr="001A7783">
        <w:rPr>
          <w:rFonts w:ascii="Times New Roman" w:hAnsi="Times New Roman" w:hint="eastAsia"/>
          <w:b/>
          <w:color w:val="FF0000"/>
          <w:sz w:val="20"/>
          <w:szCs w:val="20"/>
          <w:highlight w:val="yellow"/>
          <w:bdr w:val="single" w:sz="4" w:space="0" w:color="auto"/>
        </w:rPr>
        <w:t>顯明所宗</w:t>
      </w:r>
      <w:r w:rsidR="001A7783">
        <w:rPr>
          <w:rFonts w:ascii="Times New Roman" w:hAnsi="Times New Roman" w:hint="eastAsia"/>
          <w:b/>
          <w:color w:val="FF0000"/>
          <w:sz w:val="20"/>
          <w:szCs w:val="20"/>
          <w:highlight w:val="yellow"/>
          <w:bdr w:val="single" w:sz="4" w:space="0" w:color="auto"/>
        </w:rPr>
        <w:t>：大乘有宗以「聖境」為「妙有」</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221</w:t>
      </w:r>
      <w:r w:rsidRPr="00DA3BC7">
        <w:rPr>
          <w:rFonts w:ascii="Times New Roman" w:hAnsi="Times New Roman"/>
          <w:sz w:val="20"/>
          <w:szCs w:val="20"/>
        </w:rPr>
        <w:t>）</w:t>
      </w:r>
    </w:p>
    <w:p w:rsidR="00AA120F" w:rsidRPr="00DA3BC7" w:rsidRDefault="00AA120F" w:rsidP="00926F79">
      <w:pPr>
        <w:ind w:leftChars="150" w:left="360"/>
        <w:jc w:val="both"/>
        <w:rPr>
          <w:rFonts w:ascii="Times New Roman" w:hAnsi="Times New Roman"/>
        </w:rPr>
      </w:pPr>
      <w:r w:rsidRPr="00DA3BC7">
        <w:rPr>
          <w:rFonts w:ascii="Times New Roman" w:hAnsi="Times New Roman"/>
        </w:rPr>
        <w:t>這種思想，在大乘佛法中是有的，但</w:t>
      </w:r>
      <w:r w:rsidRPr="00DA3BC7">
        <w:rPr>
          <w:rFonts w:ascii="Times New Roman" w:hAnsi="Times New Roman"/>
          <w:b/>
        </w:rPr>
        <w:t>不是中觀宗</w:t>
      </w:r>
      <w:r w:rsidRPr="00DA3BC7">
        <w:rPr>
          <w:rFonts w:ascii="Times New Roman" w:hAnsi="Times New Roman" w:hint="eastAsia"/>
        </w:rPr>
        <w:t>。</w:t>
      </w:r>
    </w:p>
    <w:p w:rsidR="00AA120F" w:rsidRPr="00DA3BC7" w:rsidRDefault="00AA120F" w:rsidP="00926F79">
      <w:pPr>
        <w:ind w:leftChars="150" w:left="2040" w:hangingChars="700" w:hanging="1680"/>
        <w:jc w:val="both"/>
        <w:rPr>
          <w:rFonts w:ascii="Times New Roman" w:hAnsi="Times New Roman"/>
        </w:rPr>
      </w:pPr>
      <w:r w:rsidRPr="001A7783">
        <w:rPr>
          <w:rFonts w:ascii="Times New Roman" w:hAnsi="Times New Roman" w:hint="eastAsia"/>
        </w:rPr>
        <w:t>如</w:t>
      </w:r>
      <w:r w:rsidRPr="00DA3BC7">
        <w:rPr>
          <w:rFonts w:ascii="Times New Roman" w:hAnsi="Times New Roman"/>
          <w:b/>
        </w:rPr>
        <w:t>唯識學者</w:t>
      </w:r>
      <w:r w:rsidRPr="00DA3BC7">
        <w:rPr>
          <w:rFonts w:ascii="Times New Roman" w:hAnsi="Times New Roman"/>
        </w:rPr>
        <w:t>說：《般若經》中的一切法空，是約遍計執無而說，或約三無性</w:t>
      </w:r>
      <w:r w:rsidRPr="00DA3BC7">
        <w:rPr>
          <w:rStyle w:val="a6"/>
          <w:rFonts w:ascii="Times New Roman" w:hAnsi="Times New Roman"/>
        </w:rPr>
        <w:footnoteReference w:id="957"/>
      </w:r>
      <w:r w:rsidRPr="00DA3BC7">
        <w:rPr>
          <w:rFonts w:ascii="Times New Roman" w:hAnsi="Times New Roman"/>
        </w:rPr>
        <w:t>說，</w:t>
      </w:r>
      <w:r w:rsidRPr="00DA3BC7">
        <w:rPr>
          <w:rFonts w:ascii="Times New Roman" w:hAnsi="Times New Roman"/>
          <w:b/>
        </w:rPr>
        <w:t>依他、圓成是有</w:t>
      </w:r>
      <w:r w:rsidRPr="00DA3BC7">
        <w:rPr>
          <w:rFonts w:ascii="Times New Roman" w:hAnsi="Times New Roman"/>
        </w:rPr>
        <w:t>，經中沒有顯了說。</w:t>
      </w:r>
    </w:p>
    <w:p w:rsidR="00AA120F" w:rsidRPr="00DA3BC7" w:rsidRDefault="00AA120F" w:rsidP="00926F79">
      <w:pPr>
        <w:ind w:leftChars="250" w:left="600"/>
        <w:jc w:val="both"/>
        <w:rPr>
          <w:rFonts w:ascii="Times New Roman" w:eastAsia="SimSun" w:hAnsi="Times New Roman"/>
        </w:rPr>
      </w:pPr>
      <w:r w:rsidRPr="00DA3BC7">
        <w:rPr>
          <w:rFonts w:ascii="Times New Roman" w:hAnsi="Times New Roman"/>
          <w:b/>
        </w:rPr>
        <w:lastRenderedPageBreak/>
        <w:t>真常唯心論者</w:t>
      </w:r>
      <w:r w:rsidRPr="00DA3BC7">
        <w:rPr>
          <w:rFonts w:ascii="Times New Roman" w:hAnsi="Times New Roman"/>
        </w:rPr>
        <w:t>與</w:t>
      </w:r>
      <w:r w:rsidRPr="00DA3BC7">
        <w:rPr>
          <w:rFonts w:ascii="Times New Roman" w:hAnsi="Times New Roman"/>
          <w:b/>
        </w:rPr>
        <w:t>西藏覺曩巴派</w:t>
      </w:r>
      <w:r w:rsidRPr="00DA3BC7">
        <w:rPr>
          <w:rFonts w:ascii="Times New Roman" w:hAnsi="Times New Roman"/>
        </w:rPr>
        <w:t>以為：《般若經》所明的一切法空，是約破除眾生的世俗情執，而真如法性或真我，是不可說為空的，是妙有的。</w:t>
      </w:r>
    </w:p>
    <w:p w:rsidR="00AA120F" w:rsidRPr="00DA3BC7" w:rsidRDefault="00AA120F" w:rsidP="00AE3920">
      <w:pPr>
        <w:spacing w:beforeLines="30"/>
        <w:ind w:leftChars="150" w:left="360"/>
        <w:jc w:val="both"/>
        <w:rPr>
          <w:rFonts w:ascii="Times New Roman" w:hAnsi="Times New Roman"/>
          <w:b/>
          <w:sz w:val="20"/>
          <w:szCs w:val="20"/>
          <w:bdr w:val="single" w:sz="4" w:space="0" w:color="auto"/>
        </w:rPr>
      </w:pPr>
      <w:r w:rsidRPr="00A576CE">
        <w:rPr>
          <w:rFonts w:ascii="Times New Roman" w:hAnsi="Times New Roman" w:hint="eastAsia"/>
          <w:b/>
          <w:color w:val="FF0000"/>
          <w:sz w:val="20"/>
          <w:szCs w:val="20"/>
          <w:highlight w:val="yellow"/>
          <w:bdr w:val="single" w:sz="4" w:space="0" w:color="auto"/>
        </w:rPr>
        <w:t>（二）正</w:t>
      </w:r>
      <w:r w:rsidR="00A576CE" w:rsidRPr="00A576CE">
        <w:rPr>
          <w:rFonts w:ascii="Times New Roman" w:hAnsi="Times New Roman" w:hint="eastAsia"/>
          <w:b/>
          <w:color w:val="FF0000"/>
          <w:sz w:val="20"/>
          <w:szCs w:val="20"/>
          <w:highlight w:val="yellow"/>
          <w:bdr w:val="single" w:sz="4" w:space="0" w:color="auto"/>
        </w:rPr>
        <w:t>釋質難</w:t>
      </w:r>
      <w:r w:rsidRPr="00DA3BC7">
        <w:rPr>
          <w:rFonts w:ascii="Times New Roman" w:hAnsi="Times New Roman"/>
          <w:sz w:val="20"/>
          <w:szCs w:val="20"/>
        </w:rPr>
        <w:t>（</w:t>
      </w:r>
      <w:r w:rsidRPr="00DA3BC7">
        <w:rPr>
          <w:rFonts w:ascii="Times New Roman" w:hAnsi="Times New Roman"/>
          <w:sz w:val="20"/>
          <w:szCs w:val="20"/>
        </w:rPr>
        <w:t>pp.</w:t>
      </w:r>
      <w:r w:rsidRPr="00DA3BC7">
        <w:rPr>
          <w:rFonts w:ascii="Times New Roman" w:hAnsi="Times New Roman"/>
          <w:bCs/>
          <w:sz w:val="20"/>
          <w:szCs w:val="20"/>
        </w:rPr>
        <w:t>221</w:t>
      </w:r>
      <w:r w:rsidRPr="00DA3BC7">
        <w:rPr>
          <w:rFonts w:ascii="Times New Roman" w:hAnsi="Times New Roman" w:hint="eastAsia"/>
          <w:bCs/>
          <w:sz w:val="20"/>
          <w:szCs w:val="20"/>
        </w:rPr>
        <w:t>-222</w:t>
      </w:r>
      <w:r w:rsidRPr="00DA3BC7">
        <w:rPr>
          <w:rFonts w:ascii="Times New Roman" w:hAnsi="Times New Roman"/>
          <w:sz w:val="20"/>
          <w:szCs w:val="20"/>
        </w:rPr>
        <w:t>）</w:t>
      </w:r>
    </w:p>
    <w:p w:rsidR="00AA120F" w:rsidRPr="00DA3BC7" w:rsidRDefault="00AA120F" w:rsidP="008E2BBC">
      <w:pPr>
        <w:ind w:leftChars="200" w:left="480"/>
        <w:jc w:val="both"/>
        <w:rPr>
          <w:rFonts w:ascii="Times New Roman" w:eastAsia="SimSun" w:hAnsi="Times New Roman"/>
          <w:b/>
          <w:sz w:val="20"/>
          <w:szCs w:val="20"/>
          <w:bdr w:val="single" w:sz="4" w:space="0" w:color="auto"/>
        </w:rPr>
      </w:pPr>
      <w:r w:rsidRPr="00A576CE">
        <w:rPr>
          <w:rFonts w:ascii="Times New Roman" w:hAnsi="Times New Roman" w:hint="eastAsia"/>
          <w:b/>
          <w:color w:val="FF0000"/>
          <w:sz w:val="20"/>
          <w:szCs w:val="20"/>
          <w:highlight w:val="yellow"/>
          <w:bdr w:val="single" w:sz="4" w:space="0" w:color="auto"/>
        </w:rPr>
        <w:t>1</w:t>
      </w:r>
      <w:r w:rsidRPr="00A576CE">
        <w:rPr>
          <w:rFonts w:ascii="Times New Roman" w:hAnsi="Times New Roman" w:hint="eastAsia"/>
          <w:b/>
          <w:color w:val="FF0000"/>
          <w:sz w:val="20"/>
          <w:szCs w:val="20"/>
          <w:highlight w:val="yellow"/>
          <w:bdr w:val="single" w:sz="4" w:space="0" w:color="auto"/>
        </w:rPr>
        <w:t>、</w:t>
      </w:r>
      <w:r w:rsidR="00A576CE" w:rsidRPr="00A576CE">
        <w:rPr>
          <w:rFonts w:ascii="Times New Roman" w:hAnsi="Times New Roman" w:hint="eastAsia"/>
          <w:b/>
          <w:color w:val="FF0000"/>
          <w:sz w:val="20"/>
          <w:szCs w:val="20"/>
          <w:highlight w:val="yellow"/>
          <w:bdr w:val="single" w:sz="4" w:space="0" w:color="auto"/>
        </w:rPr>
        <w:t>敘</w:t>
      </w:r>
      <w:r w:rsidRPr="00A576CE">
        <w:rPr>
          <w:rFonts w:ascii="Times New Roman" w:hAnsi="Times New Roman"/>
          <w:b/>
          <w:color w:val="FF0000"/>
          <w:sz w:val="20"/>
          <w:szCs w:val="20"/>
          <w:highlight w:val="yellow"/>
          <w:bdr w:val="single" w:sz="4" w:space="0" w:color="auto"/>
        </w:rPr>
        <w:t>《大智度論》</w:t>
      </w:r>
      <w:r w:rsidR="00A576CE" w:rsidRPr="00A576CE">
        <w:rPr>
          <w:rFonts w:ascii="Times New Roman" w:hAnsi="Times New Roman" w:hint="eastAsia"/>
          <w:b/>
          <w:color w:val="FF0000"/>
          <w:sz w:val="20"/>
          <w:szCs w:val="20"/>
          <w:highlight w:val="yellow"/>
          <w:bdr w:val="single" w:sz="4" w:space="0" w:color="auto"/>
        </w:rPr>
        <w:t>的體裁</w:t>
      </w:r>
      <w:r w:rsidRPr="00DA3BC7">
        <w:rPr>
          <w:rFonts w:ascii="Times New Roman" w:hAnsi="Times New Roman"/>
          <w:sz w:val="20"/>
          <w:szCs w:val="20"/>
        </w:rPr>
        <w:t>（</w:t>
      </w:r>
      <w:r w:rsidRPr="00DA3BC7">
        <w:rPr>
          <w:rFonts w:ascii="Times New Roman" w:hAnsi="Times New Roman"/>
          <w:sz w:val="20"/>
          <w:szCs w:val="20"/>
        </w:rPr>
        <w:t>pp.</w:t>
      </w:r>
      <w:r w:rsidRPr="00DA3BC7">
        <w:rPr>
          <w:rFonts w:ascii="Times New Roman" w:hAnsi="Times New Roman"/>
          <w:bCs/>
          <w:sz w:val="20"/>
          <w:szCs w:val="20"/>
        </w:rPr>
        <w:t>221</w:t>
      </w:r>
      <w:r w:rsidRPr="00DA3BC7">
        <w:rPr>
          <w:rFonts w:ascii="Times New Roman" w:hAnsi="Times New Roman" w:hint="eastAsia"/>
          <w:bCs/>
          <w:sz w:val="20"/>
          <w:szCs w:val="20"/>
        </w:rPr>
        <w:t>-222</w:t>
      </w:r>
      <w:r w:rsidRPr="00DA3BC7">
        <w:rPr>
          <w:rFonts w:ascii="Times New Roman" w:hAnsi="Times New Roman"/>
          <w:sz w:val="20"/>
          <w:szCs w:val="20"/>
        </w:rPr>
        <w:t>）</w:t>
      </w:r>
    </w:p>
    <w:p w:rsidR="00AA120F" w:rsidRPr="00DA3BC7" w:rsidRDefault="00AA120F" w:rsidP="008E2BBC">
      <w:pPr>
        <w:ind w:leftChars="200" w:left="480"/>
        <w:jc w:val="both"/>
        <w:rPr>
          <w:rFonts w:ascii="Times New Roman" w:hAnsi="Times New Roman"/>
          <w:b/>
          <w:bCs/>
        </w:rPr>
      </w:pPr>
      <w:r w:rsidRPr="00DA3BC7">
        <w:rPr>
          <w:rFonts w:ascii="Times New Roman" w:hAnsi="Times New Roman"/>
        </w:rPr>
        <w:t>龍樹</w:t>
      </w:r>
      <w:r w:rsidRPr="00DA3BC7">
        <w:rPr>
          <w:rFonts w:ascii="Times New Roman" w:hAnsi="Times New Roman" w:hint="eastAsia"/>
        </w:rPr>
        <w:t>論</w:t>
      </w:r>
      <w:r w:rsidRPr="00DA3BC7">
        <w:rPr>
          <w:rFonts w:ascii="Times New Roman" w:hAnsi="Times New Roman"/>
        </w:rPr>
        <w:t>引用此文，到底要怎樣去解說？</w:t>
      </w:r>
    </w:p>
    <w:p w:rsidR="00AA120F" w:rsidRPr="00DA3BC7" w:rsidRDefault="00AA120F" w:rsidP="008E2BBC">
      <w:pPr>
        <w:ind w:leftChars="200" w:left="480"/>
        <w:jc w:val="both"/>
        <w:rPr>
          <w:rFonts w:ascii="Times New Roman" w:hAnsi="Times New Roman"/>
        </w:rPr>
      </w:pPr>
      <w:r w:rsidRPr="00DA3BC7">
        <w:rPr>
          <w:rFonts w:ascii="Times New Roman" w:hAnsi="Times New Roman"/>
        </w:rPr>
        <w:t>須知《大智度論》的體裁，</w:t>
      </w:r>
      <w:r w:rsidRPr="00DA3BC7">
        <w:rPr>
          <w:rFonts w:ascii="Times New Roman" w:hAnsi="Times New Roman"/>
          <w:b/>
        </w:rPr>
        <w:t>是廣引眾說而有所宗極的</w:t>
      </w:r>
      <w:r w:rsidRPr="00DA3BC7">
        <w:rPr>
          <w:rFonts w:ascii="Times New Roman" w:hAnsi="Times New Roman"/>
        </w:rPr>
        <w:t>。</w:t>
      </w:r>
    </w:p>
    <w:p w:rsidR="00AA120F" w:rsidRPr="00DA3BC7" w:rsidRDefault="00AA120F" w:rsidP="00AE3920">
      <w:pPr>
        <w:kinsoku w:val="0"/>
        <w:spacing w:beforeLines="20"/>
        <w:ind w:leftChars="200" w:left="480"/>
        <w:jc w:val="both"/>
        <w:rPr>
          <w:rFonts w:ascii="Times New Roman" w:hAnsi="Times New Roman"/>
        </w:rPr>
      </w:pPr>
      <w:r w:rsidRPr="00DA3BC7">
        <w:rPr>
          <w:rFonts w:ascii="Times New Roman" w:hAnsi="Times New Roman"/>
        </w:rPr>
        <w:t>叡公敘《大智度論》說：「</w:t>
      </w:r>
      <w:r w:rsidRPr="00DA3BC7">
        <w:rPr>
          <w:rFonts w:ascii="Times New Roman" w:eastAsia="標楷體" w:hAnsi="Times New Roman"/>
        </w:rPr>
        <w:t>初</w:t>
      </w:r>
      <w:r w:rsidRPr="00DA3BC7">
        <w:rPr>
          <w:rFonts w:ascii="標楷體" w:eastAsia="標楷體" w:hAnsi="標楷體" w:hint="eastAsia"/>
        </w:rPr>
        <w:t>辭</w:t>
      </w:r>
      <w:r w:rsidRPr="00DA3BC7">
        <w:rPr>
          <w:rFonts w:ascii="Times New Roman" w:eastAsia="標楷體" w:hAnsi="Times New Roman"/>
        </w:rPr>
        <w:t>擬</w:t>
      </w:r>
      <w:r w:rsidRPr="00DA3BC7">
        <w:rPr>
          <w:rStyle w:val="a6"/>
          <w:rFonts w:ascii="Times New Roman" w:hAnsi="Times New Roman"/>
        </w:rPr>
        <w:footnoteReference w:id="958"/>
      </w:r>
      <w:r w:rsidRPr="00DA3BC7">
        <w:rPr>
          <w:rFonts w:ascii="Times New Roman" w:eastAsia="標楷體" w:hAnsi="Times New Roman"/>
        </w:rPr>
        <w:t>之，必</w:t>
      </w:r>
      <w:r w:rsidRPr="00DA3BC7">
        <w:rPr>
          <w:rFonts w:ascii="標楷體" w:eastAsia="標楷體" w:hAnsi="標楷體" w:hint="eastAsia"/>
        </w:rPr>
        <w:t>標</w:t>
      </w:r>
      <w:r w:rsidRPr="00DA3BC7">
        <w:rPr>
          <w:rFonts w:ascii="標楷體" w:eastAsia="標楷體" w:hAnsi="標楷體"/>
        </w:rPr>
        <w:t>眾</w:t>
      </w:r>
      <w:r w:rsidRPr="00DA3BC7">
        <w:rPr>
          <w:rFonts w:ascii="標楷體" w:eastAsia="標楷體" w:hAnsi="標楷體" w:hint="eastAsia"/>
        </w:rPr>
        <w:t>異</w:t>
      </w:r>
      <w:r w:rsidRPr="00DA3BC7">
        <w:rPr>
          <w:rFonts w:ascii="Times New Roman" w:eastAsia="標楷體" w:hAnsi="Times New Roman"/>
        </w:rPr>
        <w:t>以盡美；卒</w:t>
      </w:r>
      <w:r w:rsidRPr="00DA3BC7">
        <w:rPr>
          <w:rStyle w:val="a6"/>
          <w:rFonts w:ascii="Times New Roman" w:hAnsi="Times New Roman"/>
        </w:rPr>
        <w:footnoteReference w:id="959"/>
      </w:r>
      <w:r w:rsidRPr="00DA3BC7">
        <w:rPr>
          <w:rFonts w:ascii="Times New Roman" w:eastAsia="標楷體" w:hAnsi="Times New Roman"/>
        </w:rPr>
        <w:t>成之終，則舉無</w:t>
      </w:r>
      <w:r w:rsidRPr="00DA3BC7">
        <w:rPr>
          <w:rFonts w:ascii="標楷體" w:eastAsia="標楷體" w:hAnsi="標楷體" w:hint="eastAsia"/>
        </w:rPr>
        <w:t>執</w:t>
      </w:r>
      <w:r w:rsidRPr="00DA3BC7">
        <w:rPr>
          <w:rFonts w:ascii="Times New Roman" w:eastAsia="標楷體" w:hAnsi="Times New Roman"/>
        </w:rPr>
        <w:t>以盡善</w:t>
      </w:r>
      <w:r w:rsidRPr="00DA3BC7">
        <w:rPr>
          <w:rFonts w:ascii="Times New Roman" w:hAnsi="Times New Roman"/>
        </w:rPr>
        <w:t>。」</w:t>
      </w:r>
      <w:r w:rsidRPr="00DA3BC7">
        <w:rPr>
          <w:rStyle w:val="a6"/>
          <w:rFonts w:ascii="Times New Roman" w:hAnsi="Times New Roman"/>
        </w:rPr>
        <w:footnoteReference w:id="960"/>
      </w:r>
    </w:p>
    <w:p w:rsidR="00AA120F" w:rsidRPr="00DA3BC7" w:rsidRDefault="00AA120F" w:rsidP="00AE3920">
      <w:pPr>
        <w:spacing w:beforeLines="20"/>
        <w:ind w:leftChars="200" w:left="480"/>
        <w:jc w:val="both"/>
        <w:rPr>
          <w:rFonts w:ascii="Times New Roman" w:hAnsi="Times New Roman"/>
        </w:rPr>
      </w:pPr>
      <w:r w:rsidRPr="00DA3BC7">
        <w:rPr>
          <w:rFonts w:ascii="Times New Roman" w:hAnsi="Times New Roman"/>
        </w:rPr>
        <w:t>興皇</w:t>
      </w:r>
      <w:r w:rsidRPr="00DA3BC7">
        <w:rPr>
          <w:rStyle w:val="a6"/>
          <w:rFonts w:ascii="Times New Roman" w:hAnsi="Times New Roman"/>
        </w:rPr>
        <w:footnoteReference w:id="961"/>
      </w:r>
      <w:r w:rsidRPr="00DA3BC7">
        <w:rPr>
          <w:rFonts w:ascii="Times New Roman" w:hAnsi="Times New Roman"/>
        </w:rPr>
        <w:t>也說：「</w:t>
      </w:r>
      <w:r w:rsidRPr="00DA3BC7">
        <w:rPr>
          <w:rFonts w:ascii="Times New Roman" w:eastAsia="標楷體" w:hAnsi="Times New Roman"/>
        </w:rPr>
        <w:t>領括</w:t>
      </w:r>
      <w:r w:rsidRPr="00DA3BC7">
        <w:rPr>
          <w:rStyle w:val="a6"/>
          <w:rFonts w:ascii="Times New Roman" w:hAnsi="Times New Roman"/>
        </w:rPr>
        <w:footnoteReference w:id="962"/>
      </w:r>
      <w:r w:rsidRPr="00DA3BC7">
        <w:rPr>
          <w:rFonts w:ascii="Times New Roman" w:eastAsia="標楷體" w:hAnsi="Times New Roman"/>
        </w:rPr>
        <w:t>群妙，申</w:t>
      </w:r>
      <w:r w:rsidRPr="00DA3BC7">
        <w:rPr>
          <w:rStyle w:val="a6"/>
          <w:rFonts w:ascii="Times New Roman" w:hAnsi="Times New Roman"/>
        </w:rPr>
        <w:footnoteReference w:id="963"/>
      </w:r>
      <w:r w:rsidRPr="00DA3BC7">
        <w:rPr>
          <w:rFonts w:ascii="Times New Roman" w:eastAsia="標楷體" w:hAnsi="Times New Roman"/>
        </w:rPr>
        <w:t>眾家之美，使異執冰銷</w:t>
      </w:r>
      <w:r w:rsidRPr="00DA3BC7">
        <w:rPr>
          <w:rStyle w:val="a6"/>
          <w:rFonts w:ascii="Times New Roman" w:hAnsi="Times New Roman"/>
        </w:rPr>
        <w:footnoteReference w:id="964"/>
      </w:r>
      <w:r w:rsidRPr="00DA3BC7">
        <w:rPr>
          <w:rFonts w:ascii="Times New Roman" w:eastAsia="標楷體" w:hAnsi="Times New Roman"/>
        </w:rPr>
        <w:t>，同歸一致</w:t>
      </w:r>
      <w:r w:rsidRPr="00DA3BC7">
        <w:rPr>
          <w:rFonts w:ascii="Times New Roman" w:hAnsi="Times New Roman"/>
        </w:rPr>
        <w:t>。」</w:t>
      </w:r>
      <w:r w:rsidRPr="00DA3BC7">
        <w:rPr>
          <w:rStyle w:val="a6"/>
          <w:rFonts w:ascii="Times New Roman" w:hAnsi="Times New Roman"/>
        </w:rPr>
        <w:footnoteReference w:id="965"/>
      </w:r>
    </w:p>
    <w:p w:rsidR="00AA120F" w:rsidRPr="00DA3BC7" w:rsidRDefault="00AA120F" w:rsidP="00AE3920">
      <w:pPr>
        <w:spacing w:beforeLines="20"/>
        <w:ind w:leftChars="200" w:left="480"/>
        <w:jc w:val="both"/>
        <w:rPr>
          <w:rFonts w:ascii="Times New Roman" w:hAnsi="Times New Roman"/>
        </w:rPr>
      </w:pPr>
      <w:r w:rsidRPr="00DA3BC7">
        <w:rPr>
          <w:rFonts w:ascii="Times New Roman" w:hAnsi="Times New Roman"/>
        </w:rPr>
        <w:t>《大智度論》確是</w:t>
      </w:r>
      <w:r w:rsidRPr="00DA3BC7">
        <w:rPr>
          <w:rFonts w:ascii="Times New Roman" w:hAnsi="Times New Roman"/>
          <w:b/>
        </w:rPr>
        <w:t>廣引異義</w:t>
      </w:r>
      <w:r w:rsidRPr="00DA3BC7">
        <w:rPr>
          <w:rFonts w:ascii="Times New Roman" w:hAnsi="Times New Roman"/>
        </w:rPr>
        <w:t>的，或縱</w:t>
      </w:r>
      <w:r w:rsidRPr="00DA3BC7">
        <w:rPr>
          <w:rStyle w:val="a6"/>
          <w:rFonts w:ascii="Times New Roman" w:hAnsi="Times New Roman"/>
        </w:rPr>
        <w:footnoteReference w:id="966"/>
      </w:r>
      <w:r w:rsidRPr="00DA3BC7">
        <w:rPr>
          <w:rFonts w:ascii="Times New Roman" w:hAnsi="Times New Roman"/>
        </w:rPr>
        <w:t>許，或直奪，而</w:t>
      </w:r>
      <w:r w:rsidRPr="00DA3BC7">
        <w:rPr>
          <w:rFonts w:ascii="Times New Roman" w:hAnsi="Times New Roman"/>
          <w:b/>
        </w:rPr>
        <w:t>以歸宗畢竟空的奧</w:t>
      </w:r>
      <w:r w:rsidRPr="00DA3BC7">
        <w:rPr>
          <w:rStyle w:val="a6"/>
          <w:rFonts w:ascii="Times New Roman" w:hAnsi="Times New Roman"/>
        </w:rPr>
        <w:footnoteReference w:id="967"/>
      </w:r>
      <w:r w:rsidRPr="00DA3BC7">
        <w:rPr>
          <w:rFonts w:ascii="Times New Roman" w:hAnsi="Times New Roman"/>
          <w:b/>
        </w:rPr>
        <w:t>極為宗</w:t>
      </w:r>
      <w:r w:rsidRPr="00DA3BC7">
        <w:rPr>
          <w:rFonts w:ascii="Times New Roman" w:hAnsi="Times New Roman"/>
        </w:rPr>
        <w:t>。</w:t>
      </w:r>
    </w:p>
    <w:p w:rsidR="00AA120F" w:rsidRPr="00DA3BC7" w:rsidRDefault="00AA120F" w:rsidP="00AE3920">
      <w:pPr>
        <w:spacing w:beforeLines="30"/>
        <w:ind w:leftChars="200" w:left="480"/>
        <w:jc w:val="both"/>
        <w:rPr>
          <w:rFonts w:ascii="Times New Roman" w:hAnsi="Times New Roman"/>
          <w:b/>
          <w:sz w:val="20"/>
          <w:szCs w:val="20"/>
        </w:rPr>
      </w:pPr>
      <w:r w:rsidRPr="00A576CE">
        <w:rPr>
          <w:rFonts w:ascii="Times New Roman" w:hAnsi="Times New Roman" w:hint="eastAsia"/>
          <w:b/>
          <w:color w:val="FF0000"/>
          <w:sz w:val="20"/>
          <w:szCs w:val="20"/>
          <w:highlight w:val="yellow"/>
          <w:bdr w:val="single" w:sz="4" w:space="0" w:color="auto"/>
        </w:rPr>
        <w:t>2</w:t>
      </w:r>
      <w:r w:rsidRPr="00A576CE">
        <w:rPr>
          <w:rFonts w:ascii="Times New Roman" w:hAnsi="Times New Roman"/>
          <w:b/>
          <w:color w:val="FF0000"/>
          <w:sz w:val="20"/>
          <w:szCs w:val="20"/>
          <w:highlight w:val="yellow"/>
          <w:bdr w:val="single" w:sz="4" w:space="0" w:color="auto"/>
        </w:rPr>
        <w:t>、</w:t>
      </w:r>
      <w:r w:rsidR="00A576CE" w:rsidRPr="00A576CE">
        <w:rPr>
          <w:rFonts w:ascii="Times New Roman" w:hAnsi="Times New Roman" w:hint="eastAsia"/>
          <w:b/>
          <w:color w:val="FF0000"/>
          <w:sz w:val="20"/>
          <w:szCs w:val="20"/>
          <w:highlight w:val="yellow"/>
          <w:bdr w:val="single" w:sz="4" w:space="0" w:color="auto"/>
        </w:rPr>
        <w:t>釋外人質難</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22</w:t>
      </w:r>
      <w:r w:rsidRPr="00DA3BC7">
        <w:rPr>
          <w:rFonts w:ascii="Times New Roman" w:eastAsia="SimSun" w:hAnsi="Times New Roman"/>
          <w:bCs/>
          <w:sz w:val="20"/>
          <w:szCs w:val="20"/>
        </w:rPr>
        <w:t>2</w:t>
      </w:r>
      <w:r w:rsidRPr="00DA3BC7">
        <w:rPr>
          <w:rFonts w:ascii="Times New Roman" w:hAnsi="Times New Roman"/>
          <w:sz w:val="20"/>
          <w:szCs w:val="20"/>
        </w:rPr>
        <w:t>）</w:t>
      </w:r>
    </w:p>
    <w:p w:rsidR="00A576CE" w:rsidRPr="00DA3BC7" w:rsidRDefault="00A576CE" w:rsidP="00926F79">
      <w:pPr>
        <w:ind w:leftChars="250" w:left="600"/>
        <w:jc w:val="both"/>
        <w:rPr>
          <w:rFonts w:ascii="Times New Roman" w:eastAsia="SimSun" w:hAnsi="Times New Roman"/>
          <w:b/>
          <w:sz w:val="20"/>
          <w:szCs w:val="20"/>
          <w:bdr w:val="single" w:sz="4" w:space="0" w:color="auto"/>
        </w:rPr>
      </w:pPr>
      <w:r w:rsidRPr="00A576CE">
        <w:rPr>
          <w:rFonts w:ascii="Times New Roman" w:hAnsi="Times New Roman" w:hint="eastAsia"/>
          <w:b/>
          <w:color w:val="FF0000"/>
          <w:sz w:val="20"/>
          <w:szCs w:val="20"/>
          <w:highlight w:val="yellow"/>
          <w:bdr w:val="single" w:sz="4" w:space="0" w:color="auto"/>
        </w:rPr>
        <w:t>（</w:t>
      </w:r>
      <w:r w:rsidRPr="00A576CE">
        <w:rPr>
          <w:rFonts w:ascii="Times New Roman" w:hAnsi="Times New Roman" w:hint="eastAsia"/>
          <w:b/>
          <w:color w:val="FF0000"/>
          <w:sz w:val="20"/>
          <w:szCs w:val="20"/>
          <w:highlight w:val="yellow"/>
          <w:bdr w:val="single" w:sz="4" w:space="0" w:color="auto"/>
        </w:rPr>
        <w:t>1</w:t>
      </w:r>
      <w:r w:rsidRPr="00A576CE">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觀機逗教</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22</w:t>
      </w:r>
      <w:r w:rsidRPr="00DA3BC7">
        <w:rPr>
          <w:rFonts w:ascii="Times New Roman" w:hAnsi="Times New Roman" w:hint="eastAsia"/>
          <w:bCs/>
          <w:sz w:val="20"/>
          <w:szCs w:val="20"/>
        </w:rPr>
        <w:t>2</w:t>
      </w:r>
      <w:r w:rsidRPr="00DA3BC7">
        <w:rPr>
          <w:rFonts w:ascii="Times New Roman" w:hAnsi="Times New Roman"/>
          <w:sz w:val="20"/>
          <w:szCs w:val="20"/>
        </w:rPr>
        <w:t>）</w:t>
      </w:r>
    </w:p>
    <w:p w:rsidR="00AA120F" w:rsidRPr="00DA3BC7" w:rsidRDefault="00AA120F" w:rsidP="00926F79">
      <w:pPr>
        <w:ind w:leftChars="250" w:left="600"/>
        <w:jc w:val="both"/>
        <w:rPr>
          <w:rFonts w:ascii="Times New Roman" w:hAnsi="Times New Roman"/>
        </w:rPr>
      </w:pPr>
      <w:r w:rsidRPr="00DA3BC7">
        <w:rPr>
          <w:rFonts w:ascii="Times New Roman" w:hAnsi="Times New Roman"/>
        </w:rPr>
        <w:t>《般若經》說「</w:t>
      </w:r>
      <w:r w:rsidRPr="00DA3BC7">
        <w:rPr>
          <w:rFonts w:ascii="Times New Roman" w:eastAsia="標楷體" w:hAnsi="Times New Roman"/>
        </w:rPr>
        <w:t>為初學者作差別說</w:t>
      </w:r>
      <w:r w:rsidRPr="00DA3BC7">
        <w:rPr>
          <w:rFonts w:ascii="Times New Roman" w:hAnsi="Times New Roman"/>
        </w:rPr>
        <w:t>」；「</w:t>
      </w:r>
      <w:r w:rsidRPr="00DA3BC7">
        <w:rPr>
          <w:rFonts w:ascii="Times New Roman" w:eastAsia="標楷體" w:hAnsi="Times New Roman"/>
        </w:rPr>
        <w:t>為初學者說生滅如化，不生滅不如化</w:t>
      </w:r>
      <w:r w:rsidRPr="00DA3BC7">
        <w:rPr>
          <w:rFonts w:ascii="Times New Roman" w:eastAsia="標楷體" w:hAnsi="Times New Roman" w:hint="eastAsia"/>
        </w:rPr>
        <w:t>；</w:t>
      </w:r>
      <w:r w:rsidRPr="00DA3BC7">
        <w:rPr>
          <w:rFonts w:ascii="Times New Roman" w:eastAsia="標楷體" w:hAnsi="Times New Roman"/>
        </w:rPr>
        <w:t>為久學者說生滅</w:t>
      </w:r>
      <w:r w:rsidRPr="00DA3BC7">
        <w:rPr>
          <w:rFonts w:ascii="Times New Roman" w:eastAsia="標楷體" w:hAnsi="Times New Roman" w:hint="eastAsia"/>
        </w:rPr>
        <w:t>、</w:t>
      </w:r>
      <w:r w:rsidRPr="00DA3BC7">
        <w:rPr>
          <w:rFonts w:ascii="Times New Roman" w:eastAsia="標楷體" w:hAnsi="Times New Roman"/>
        </w:rPr>
        <w:t>不生滅一切如化</w:t>
      </w:r>
      <w:r w:rsidRPr="00DA3BC7">
        <w:rPr>
          <w:rFonts w:ascii="Times New Roman" w:hAnsi="Times New Roman"/>
        </w:rPr>
        <w:t>」。</w:t>
      </w:r>
      <w:r w:rsidRPr="00DA3BC7">
        <w:rPr>
          <w:rStyle w:val="a6"/>
          <w:rFonts w:ascii="Times New Roman" w:hAnsi="Times New Roman"/>
        </w:rPr>
        <w:footnoteReference w:id="968"/>
      </w:r>
    </w:p>
    <w:p w:rsidR="00D14229" w:rsidRDefault="00AA120F" w:rsidP="00AE3920">
      <w:pPr>
        <w:spacing w:beforeLines="20"/>
        <w:ind w:leftChars="250" w:left="600"/>
        <w:jc w:val="both"/>
        <w:rPr>
          <w:rFonts w:ascii="Times New Roman" w:hAnsi="Times New Roman"/>
        </w:rPr>
      </w:pPr>
      <w:r w:rsidRPr="00DA3BC7">
        <w:rPr>
          <w:rFonts w:ascii="Times New Roman" w:hAnsi="Times New Roman"/>
        </w:rPr>
        <w:lastRenderedPageBreak/>
        <w:t>這是說：</w:t>
      </w:r>
    </w:p>
    <w:p w:rsidR="00AA120F" w:rsidRPr="00DA3BC7" w:rsidRDefault="00AA120F" w:rsidP="00AE3920">
      <w:pPr>
        <w:spacing w:beforeLines="20"/>
        <w:ind w:leftChars="250" w:left="600"/>
        <w:jc w:val="both"/>
        <w:rPr>
          <w:rFonts w:ascii="Times New Roman" w:hAnsi="Times New Roman"/>
        </w:rPr>
      </w:pPr>
      <w:r w:rsidRPr="00DA3BC7">
        <w:rPr>
          <w:rFonts w:ascii="Times New Roman" w:hAnsi="Times New Roman"/>
          <w:b/>
        </w:rPr>
        <w:t>為初學者說法</w:t>
      </w:r>
      <w:r w:rsidRPr="00DA3BC7">
        <w:rPr>
          <w:rFonts w:ascii="Times New Roman" w:hAnsi="Times New Roman"/>
        </w:rPr>
        <w:t>，如生死、涅槃，虛假、真實等，說有差別的二，這是方便而是不了義教。</w:t>
      </w:r>
    </w:p>
    <w:p w:rsidR="00AA120F" w:rsidRPr="00DA3BC7" w:rsidRDefault="00AA120F" w:rsidP="00AE3920">
      <w:pPr>
        <w:spacing w:beforeLines="20"/>
        <w:ind w:leftChars="250" w:left="600"/>
        <w:jc w:val="both"/>
        <w:rPr>
          <w:rFonts w:ascii="Times New Roman" w:hAnsi="Times New Roman"/>
        </w:rPr>
      </w:pPr>
      <w:r w:rsidRPr="00DA3BC7">
        <w:rPr>
          <w:rFonts w:ascii="Times New Roman" w:hAnsi="Times New Roman"/>
          <w:b/>
        </w:rPr>
        <w:t>約究竟說</w:t>
      </w:r>
      <w:r w:rsidRPr="00DA3BC7">
        <w:rPr>
          <w:rFonts w:ascii="Times New Roman" w:hAnsi="Times New Roman" w:hint="eastAsia"/>
        </w:rPr>
        <w:t>，</w:t>
      </w:r>
      <w:r w:rsidRPr="00DA3BC7">
        <w:rPr>
          <w:rFonts w:ascii="Times New Roman" w:hAnsi="Times New Roman"/>
        </w:rPr>
        <w:t>則生滅</w:t>
      </w:r>
      <w:r w:rsidRPr="00DA3BC7">
        <w:rPr>
          <w:rFonts w:ascii="Times New Roman" w:hAnsi="Times New Roman" w:hint="eastAsia"/>
        </w:rPr>
        <w:t>、</w:t>
      </w:r>
      <w:r w:rsidRPr="00DA3BC7">
        <w:rPr>
          <w:rFonts w:ascii="Times New Roman" w:hAnsi="Times New Roman"/>
        </w:rPr>
        <w:t>不生滅一切如化，一切性空，此是如實了義說。</w:t>
      </w:r>
    </w:p>
    <w:p w:rsidR="00AA120F" w:rsidRPr="00DA3BC7" w:rsidRDefault="00AA120F" w:rsidP="00AE3920">
      <w:pPr>
        <w:spacing w:beforeLines="20"/>
        <w:ind w:leftChars="250" w:left="600"/>
        <w:jc w:val="both"/>
        <w:rPr>
          <w:rFonts w:ascii="Times New Roman" w:hAnsi="Times New Roman"/>
        </w:rPr>
      </w:pPr>
      <w:r w:rsidRPr="00DA3BC7">
        <w:rPr>
          <w:rFonts w:ascii="Times New Roman" w:hAnsi="Times New Roman"/>
        </w:rPr>
        <w:t>因為從</w:t>
      </w:r>
      <w:r w:rsidRPr="00DA3BC7">
        <w:rPr>
          <w:rFonts w:ascii="Times New Roman" w:hAnsi="Times New Roman"/>
          <w:b/>
        </w:rPr>
        <w:t>無性的假有</w:t>
      </w:r>
      <w:r w:rsidRPr="00DA3BC7">
        <w:rPr>
          <w:rFonts w:ascii="Times New Roman" w:hAnsi="Times New Roman"/>
        </w:rPr>
        <w:t>看，一切是</w:t>
      </w:r>
      <w:r w:rsidRPr="00DA3BC7">
        <w:rPr>
          <w:rFonts w:ascii="Times New Roman" w:hAnsi="Times New Roman"/>
          <w:b/>
        </w:rPr>
        <w:t>如幻如化的假名</w:t>
      </w:r>
      <w:r w:rsidRPr="00DA3BC7">
        <w:rPr>
          <w:rFonts w:ascii="Times New Roman" w:hAnsi="Times New Roman"/>
        </w:rPr>
        <w:t>；</w:t>
      </w:r>
    </w:p>
    <w:p w:rsidR="00AA120F" w:rsidRPr="00DA3BC7" w:rsidRDefault="00AA120F" w:rsidP="00926F79">
      <w:pPr>
        <w:ind w:leftChars="450" w:left="1080"/>
        <w:jc w:val="both"/>
        <w:rPr>
          <w:rFonts w:ascii="Times New Roman" w:hAnsi="Times New Roman"/>
        </w:rPr>
      </w:pPr>
      <w:r w:rsidRPr="002B22C0">
        <w:rPr>
          <w:rFonts w:ascii="Times New Roman" w:hAnsi="Times New Roman"/>
          <w:highlight w:val="yellow"/>
        </w:rPr>
        <w:t>從</w:t>
      </w:r>
      <w:r w:rsidRPr="00DA3BC7">
        <w:rPr>
          <w:rFonts w:ascii="Times New Roman" w:hAnsi="Times New Roman"/>
          <w:b/>
        </w:rPr>
        <w:t>假有的無自性</w:t>
      </w:r>
      <w:r w:rsidRPr="00DA3BC7">
        <w:rPr>
          <w:rFonts w:ascii="Times New Roman" w:hAnsi="Times New Roman"/>
        </w:rPr>
        <w:t>看，則一切是</w:t>
      </w:r>
      <w:r w:rsidRPr="00DA3BC7">
        <w:rPr>
          <w:rFonts w:ascii="Times New Roman" w:hAnsi="Times New Roman"/>
          <w:b/>
        </w:rPr>
        <w:t>畢竟空</w:t>
      </w:r>
      <w:r w:rsidRPr="00DA3BC7">
        <w:rPr>
          <w:rFonts w:ascii="Times New Roman" w:hAnsi="Times New Roman"/>
        </w:rPr>
        <w:t>的。</w:t>
      </w:r>
    </w:p>
    <w:p w:rsidR="00AA120F" w:rsidRPr="00DA3BC7" w:rsidRDefault="00AA120F" w:rsidP="00AE3920">
      <w:pPr>
        <w:spacing w:beforeLines="20"/>
        <w:ind w:leftChars="250" w:left="600"/>
        <w:jc w:val="both"/>
        <w:rPr>
          <w:rFonts w:ascii="Times New Roman" w:eastAsia="SimSun" w:hAnsi="Times New Roman"/>
        </w:rPr>
      </w:pPr>
      <w:r w:rsidRPr="00DA3BC7">
        <w:rPr>
          <w:rFonts w:ascii="Times New Roman" w:hAnsi="Times New Roman"/>
        </w:rPr>
        <w:t>一切法趣有，一切法趣空，決非有判然</w:t>
      </w:r>
      <w:r w:rsidRPr="00DA3BC7">
        <w:rPr>
          <w:rStyle w:val="a6"/>
          <w:rFonts w:ascii="Times New Roman" w:hAnsi="Times New Roman"/>
        </w:rPr>
        <w:footnoteReference w:id="969"/>
      </w:r>
      <w:r w:rsidRPr="00DA3BC7">
        <w:rPr>
          <w:rFonts w:ascii="Times New Roman" w:hAnsi="Times New Roman"/>
        </w:rPr>
        <w:t>不同的二者</w:t>
      </w:r>
      <w:r w:rsidRPr="00DA3BC7">
        <w:rPr>
          <w:rFonts w:hint="eastAsia"/>
        </w:rPr>
        <w:t>──</w:t>
      </w:r>
      <w:r w:rsidR="002B22C0">
        <w:rPr>
          <w:rFonts w:hint="eastAsia"/>
        </w:rPr>
        <w:t xml:space="preserve"> </w:t>
      </w:r>
      <w:r w:rsidRPr="002B22C0">
        <w:rPr>
          <w:rFonts w:ascii="Times New Roman" w:hAnsi="Times New Roman"/>
          <w:b/>
        </w:rPr>
        <w:t>一有一</w:t>
      </w:r>
      <w:r w:rsidRPr="00DA3BC7">
        <w:rPr>
          <w:rFonts w:ascii="Times New Roman" w:hAnsi="Times New Roman"/>
          <w:b/>
        </w:rPr>
        <w:t>無</w:t>
      </w:r>
      <w:r w:rsidRPr="00DA3BC7">
        <w:rPr>
          <w:rFonts w:ascii="Times New Roman" w:hAnsi="Times New Roman"/>
        </w:rPr>
        <w:t>的。</w:t>
      </w:r>
    </w:p>
    <w:p w:rsidR="00AA120F" w:rsidRPr="00DA3BC7" w:rsidRDefault="002B22C0" w:rsidP="00AE3920">
      <w:pPr>
        <w:spacing w:beforeLines="30"/>
        <w:ind w:leftChars="250" w:left="600"/>
        <w:jc w:val="both"/>
        <w:rPr>
          <w:rFonts w:ascii="Times New Roman" w:eastAsia="SimSun" w:hAnsi="Times New Roman"/>
          <w:sz w:val="20"/>
          <w:szCs w:val="20"/>
          <w:bdr w:val="single" w:sz="4" w:space="0" w:color="auto"/>
        </w:rPr>
      </w:pPr>
      <w:r w:rsidRPr="002B22C0">
        <w:rPr>
          <w:rFonts w:ascii="Times New Roman" w:hAnsi="Times New Roman" w:hint="eastAsia"/>
          <w:b/>
          <w:color w:val="FF0000"/>
          <w:sz w:val="20"/>
          <w:szCs w:val="20"/>
          <w:highlight w:val="yellow"/>
          <w:bdr w:val="single" w:sz="4" w:space="0" w:color="auto"/>
        </w:rPr>
        <w:t>（</w:t>
      </w:r>
      <w:r w:rsidRPr="002B22C0">
        <w:rPr>
          <w:rFonts w:ascii="Times New Roman" w:hAnsi="Times New Roman" w:hint="eastAsia"/>
          <w:b/>
          <w:color w:val="FF0000"/>
          <w:sz w:val="20"/>
          <w:szCs w:val="20"/>
          <w:highlight w:val="yellow"/>
          <w:bdr w:val="single" w:sz="4" w:space="0" w:color="auto"/>
        </w:rPr>
        <w:t>2</w:t>
      </w:r>
      <w:r w:rsidRPr="002B22C0">
        <w:rPr>
          <w:rFonts w:ascii="Times New Roman" w:hAnsi="Times New Roman" w:hint="eastAsia"/>
          <w:b/>
          <w:color w:val="FF0000"/>
          <w:sz w:val="20"/>
          <w:szCs w:val="20"/>
          <w:highlight w:val="yellow"/>
          <w:bdr w:val="single" w:sz="4" w:space="0" w:color="auto"/>
        </w:rPr>
        <w:t>）釋</w:t>
      </w:r>
      <w:r>
        <w:rPr>
          <w:rFonts w:ascii="Times New Roman" w:hAnsi="Times New Roman" w:hint="eastAsia"/>
          <w:b/>
          <w:color w:val="FF0000"/>
          <w:sz w:val="20"/>
          <w:szCs w:val="20"/>
          <w:highlight w:val="yellow"/>
          <w:bdr w:val="single" w:sz="4" w:space="0" w:color="auto"/>
        </w:rPr>
        <w:t>《大智度論》文</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bCs/>
          <w:sz w:val="20"/>
          <w:szCs w:val="20"/>
        </w:rPr>
        <w:t>22</w:t>
      </w:r>
      <w:r w:rsidR="00AA120F" w:rsidRPr="00DA3BC7">
        <w:rPr>
          <w:rFonts w:ascii="Times New Roman" w:eastAsia="SimSun" w:hAnsi="Times New Roman"/>
          <w:bCs/>
          <w:sz w:val="20"/>
          <w:szCs w:val="20"/>
        </w:rPr>
        <w:t>2</w:t>
      </w:r>
      <w:r w:rsidR="00AA120F" w:rsidRPr="00DA3BC7">
        <w:rPr>
          <w:rFonts w:ascii="Times New Roman" w:hAnsi="Times New Roman"/>
          <w:sz w:val="20"/>
          <w:szCs w:val="20"/>
        </w:rPr>
        <w:t>）</w:t>
      </w:r>
    </w:p>
    <w:p w:rsidR="00AA120F" w:rsidRPr="00DA3BC7" w:rsidRDefault="00AA120F" w:rsidP="00926F79">
      <w:pPr>
        <w:ind w:leftChars="250" w:left="600"/>
        <w:jc w:val="both"/>
        <w:rPr>
          <w:rFonts w:ascii="Times New Roman" w:hAnsi="Times New Roman"/>
        </w:rPr>
      </w:pPr>
      <w:r w:rsidRPr="00DA3BC7">
        <w:rPr>
          <w:rFonts w:ascii="Times New Roman" w:hAnsi="Times New Roman"/>
        </w:rPr>
        <w:t>所以《大智度論》中所說的我等與法性二者，此有彼空，此空彼有，是方便假立此真有與妄有的二類，為引導眾生捨迷取悟而說的。</w:t>
      </w:r>
    </w:p>
    <w:p w:rsidR="00AA120F" w:rsidRPr="00DA3BC7" w:rsidRDefault="00AA120F" w:rsidP="00AE3920">
      <w:pPr>
        <w:spacing w:beforeLines="20"/>
        <w:ind w:leftChars="250" w:left="600"/>
        <w:jc w:val="both"/>
        <w:rPr>
          <w:rFonts w:ascii="Times New Roman" w:eastAsia="SimSun" w:hAnsi="Times New Roman"/>
          <w:b/>
        </w:rPr>
      </w:pPr>
      <w:r w:rsidRPr="00DA3BC7">
        <w:rPr>
          <w:rFonts w:ascii="Times New Roman" w:hAnsi="Times New Roman"/>
        </w:rPr>
        <w:t>若</w:t>
      </w:r>
      <w:r w:rsidRPr="00DA3BC7">
        <w:rPr>
          <w:rFonts w:ascii="Times New Roman" w:hAnsi="Times New Roman"/>
          <w:bCs/>
        </w:rPr>
        <w:t>究竟的抉擇二諦</w:t>
      </w:r>
      <w:r w:rsidRPr="00DA3BC7">
        <w:rPr>
          <w:rFonts w:ascii="Times New Roman" w:hAnsi="Times New Roman" w:hint="eastAsia"/>
          <w:bCs/>
        </w:rPr>
        <w:t>，即</w:t>
      </w:r>
      <w:r w:rsidRPr="00DA3BC7">
        <w:rPr>
          <w:rFonts w:ascii="Times New Roman" w:hAnsi="Times New Roman"/>
        </w:rPr>
        <w:t>一切是俗有真空，是究竟說。</w:t>
      </w:r>
    </w:p>
    <w:p w:rsidR="00AA120F" w:rsidRPr="00DA3BC7" w:rsidRDefault="002B22C0" w:rsidP="00AE3920">
      <w:pPr>
        <w:spacing w:beforeLines="30"/>
        <w:ind w:leftChars="250" w:left="600"/>
        <w:jc w:val="both"/>
        <w:rPr>
          <w:rFonts w:ascii="Times New Roman" w:hAnsi="Times New Roman"/>
          <w:b/>
          <w:sz w:val="20"/>
          <w:szCs w:val="20"/>
          <w:bdr w:val="single" w:sz="4" w:space="0" w:color="auto"/>
        </w:rPr>
      </w:pPr>
      <w:r w:rsidRPr="002B22C0">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3</w:t>
      </w:r>
      <w:r w:rsidRPr="002B22C0">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引餘論明</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bCs/>
          <w:sz w:val="20"/>
          <w:szCs w:val="20"/>
        </w:rPr>
        <w:t>22</w:t>
      </w:r>
      <w:r w:rsidR="00AA120F" w:rsidRPr="00DA3BC7">
        <w:rPr>
          <w:rFonts w:ascii="Times New Roman" w:eastAsia="SimSun" w:hAnsi="Times New Roman"/>
          <w:bCs/>
          <w:sz w:val="20"/>
          <w:szCs w:val="20"/>
        </w:rPr>
        <w:t>2</w:t>
      </w:r>
      <w:r w:rsidR="00AA120F" w:rsidRPr="00DA3BC7">
        <w:rPr>
          <w:rFonts w:ascii="Times New Roman" w:hAnsi="Times New Roman"/>
          <w:sz w:val="20"/>
          <w:szCs w:val="20"/>
        </w:rPr>
        <w:t>）</w:t>
      </w:r>
    </w:p>
    <w:p w:rsidR="00AA120F" w:rsidRPr="00DA3BC7" w:rsidRDefault="00AA120F" w:rsidP="00926F79">
      <w:pPr>
        <w:ind w:leftChars="250" w:left="600"/>
        <w:jc w:val="both"/>
        <w:rPr>
          <w:rFonts w:ascii="Times New Roman" w:hAnsi="Times New Roman"/>
        </w:rPr>
      </w:pPr>
      <w:r w:rsidRPr="00DA3BC7">
        <w:rPr>
          <w:rFonts w:ascii="Times New Roman" w:hAnsi="Times New Roman"/>
        </w:rPr>
        <w:t>不但中觀者這樣說，《成實論》也如此說：第一重二諦，我法等空，（色等及）涅槃是有；到第二重二諦，涅槃也是世俗假立，性畢竟空。</w:t>
      </w:r>
      <w:r w:rsidRPr="00DA3BC7">
        <w:rPr>
          <w:rStyle w:val="a6"/>
          <w:rFonts w:ascii="Times New Roman" w:hAnsi="Times New Roman"/>
        </w:rPr>
        <w:footnoteReference w:id="970"/>
      </w:r>
    </w:p>
    <w:p w:rsidR="00AA120F" w:rsidRPr="00DA3BC7" w:rsidRDefault="00AA120F" w:rsidP="00AE3920">
      <w:pPr>
        <w:spacing w:beforeLines="30"/>
        <w:ind w:leftChars="50" w:left="120"/>
        <w:jc w:val="both"/>
        <w:rPr>
          <w:sz w:val="20"/>
          <w:szCs w:val="20"/>
        </w:rPr>
      </w:pPr>
      <w:r w:rsidRPr="00DA3BC7">
        <w:rPr>
          <w:rFonts w:hint="eastAsia"/>
          <w:b/>
          <w:sz w:val="20"/>
          <w:szCs w:val="20"/>
          <w:bdr w:val="single" w:sz="4" w:space="0" w:color="auto"/>
        </w:rPr>
        <w:lastRenderedPageBreak/>
        <w:t>（貳）</w:t>
      </w:r>
      <w:r w:rsidR="007463FC">
        <w:rPr>
          <w:rFonts w:hint="eastAsia"/>
          <w:b/>
          <w:sz w:val="20"/>
          <w:szCs w:val="20"/>
          <w:bdr w:val="single" w:sz="4" w:space="0" w:color="auto"/>
        </w:rPr>
        <w:t>「教有」與「證空」之辨</w:t>
      </w:r>
      <w:r w:rsidRPr="00DA3BC7">
        <w:rPr>
          <w:rFonts w:ascii="Times New Roman" w:hAnsi="Times New Roman"/>
          <w:sz w:val="20"/>
          <w:szCs w:val="20"/>
        </w:rPr>
        <w:t>（</w:t>
      </w:r>
      <w:r w:rsidRPr="00DA3BC7">
        <w:rPr>
          <w:rFonts w:ascii="Times New Roman" w:hAnsi="Times New Roman"/>
          <w:sz w:val="20"/>
          <w:szCs w:val="20"/>
        </w:rPr>
        <w:t>pp.222-223</w:t>
      </w:r>
      <w:r w:rsidRPr="00DA3BC7">
        <w:rPr>
          <w:rFonts w:ascii="Times New Roman" w:hAnsi="Times New Roman"/>
          <w:sz w:val="20"/>
          <w:szCs w:val="20"/>
        </w:rPr>
        <w:t>）</w:t>
      </w:r>
    </w:p>
    <w:p w:rsidR="00AA120F" w:rsidRPr="00DA3BC7" w:rsidRDefault="00AA120F" w:rsidP="008E2BBC">
      <w:pPr>
        <w:pStyle w:val="a4"/>
        <w:ind w:leftChars="100" w:left="240"/>
        <w:jc w:val="both"/>
        <w:rPr>
          <w:rFonts w:ascii="Times New Roman" w:hAnsi="Times New Roman"/>
          <w:b/>
          <w:sz w:val="20"/>
          <w:szCs w:val="20"/>
        </w:rPr>
      </w:pPr>
      <w:r w:rsidRPr="00DA3BC7">
        <w:rPr>
          <w:rFonts w:ascii="Times New Roman" w:hAnsi="Times New Roman" w:hint="eastAsia"/>
          <w:b/>
          <w:sz w:val="20"/>
          <w:szCs w:val="20"/>
          <w:bdr w:val="single" w:sz="4" w:space="0" w:color="auto"/>
        </w:rPr>
        <w:t>一、</w:t>
      </w:r>
      <w:r w:rsidRPr="00DA3BC7">
        <w:rPr>
          <w:rFonts w:ascii="Times New Roman" w:hAnsi="Times New Roman"/>
          <w:b/>
          <w:sz w:val="20"/>
          <w:szCs w:val="20"/>
          <w:bdr w:val="single" w:sz="4" w:space="0" w:color="auto"/>
        </w:rPr>
        <w:t>古三論宗</w:t>
      </w:r>
      <w:r w:rsidR="007463FC">
        <w:rPr>
          <w:rFonts w:ascii="Times New Roman" w:hAnsi="Times New Roman" w:hint="eastAsia"/>
          <w:b/>
          <w:color w:val="FF0000"/>
          <w:sz w:val="20"/>
          <w:szCs w:val="20"/>
          <w:highlight w:val="yellow"/>
          <w:bdr w:val="single" w:sz="4" w:space="0" w:color="auto"/>
        </w:rPr>
        <w:t>僧朗等</w:t>
      </w:r>
      <w:r w:rsidRPr="00DA3BC7">
        <w:rPr>
          <w:rFonts w:ascii="Times New Roman" w:hAnsi="Times New Roman"/>
          <w:sz w:val="20"/>
          <w:szCs w:val="20"/>
        </w:rPr>
        <w:t>（</w:t>
      </w:r>
      <w:r w:rsidRPr="00DA3BC7">
        <w:rPr>
          <w:rFonts w:ascii="Times New Roman" w:hAnsi="Times New Roman"/>
          <w:sz w:val="20"/>
          <w:szCs w:val="20"/>
        </w:rPr>
        <w:t>pp.222-223</w:t>
      </w:r>
      <w:r w:rsidRPr="00DA3BC7">
        <w:rPr>
          <w:rFonts w:ascii="Times New Roman" w:hAnsi="Times New Roman"/>
          <w:sz w:val="20"/>
          <w:szCs w:val="20"/>
        </w:rPr>
        <w:t>）</w:t>
      </w:r>
    </w:p>
    <w:p w:rsidR="00AA120F" w:rsidRPr="00DA3BC7" w:rsidRDefault="00AA120F" w:rsidP="008E2BBC">
      <w:pPr>
        <w:ind w:leftChars="100" w:left="240"/>
        <w:jc w:val="both"/>
        <w:rPr>
          <w:rFonts w:ascii="Times New Roman" w:hAnsi="Times New Roman"/>
        </w:rPr>
      </w:pPr>
      <w:r w:rsidRPr="00DA3BC7">
        <w:rPr>
          <w:rFonts w:ascii="Times New Roman" w:hAnsi="Times New Roman"/>
        </w:rPr>
        <w:t>又古三論宗自攝山</w:t>
      </w:r>
      <w:r w:rsidRPr="00DA3BC7">
        <w:rPr>
          <w:rStyle w:val="a6"/>
          <w:rFonts w:ascii="Times New Roman" w:hAnsi="Times New Roman"/>
        </w:rPr>
        <w:footnoteReference w:id="971"/>
      </w:r>
      <w:r w:rsidRPr="00DA3BC7">
        <w:rPr>
          <w:rFonts w:ascii="Times New Roman" w:hAnsi="Times New Roman"/>
        </w:rPr>
        <w:t>以下，有兩句話：「</w:t>
      </w:r>
      <w:r w:rsidRPr="00DA3BC7">
        <w:rPr>
          <w:rFonts w:ascii="Times New Roman" w:eastAsia="標楷體" w:hAnsi="Times New Roman"/>
        </w:rPr>
        <w:t>有所無，無所有</w:t>
      </w:r>
      <w:r w:rsidRPr="00DA3BC7">
        <w:rPr>
          <w:rFonts w:ascii="Times New Roman" w:hAnsi="Times New Roman"/>
        </w:rPr>
        <w:t>。」</w:t>
      </w:r>
      <w:r w:rsidRPr="00DA3BC7">
        <w:rPr>
          <w:rStyle w:val="a6"/>
          <w:rFonts w:ascii="Times New Roman" w:hAnsi="Times New Roman"/>
        </w:rPr>
        <w:footnoteReference w:id="972"/>
      </w:r>
      <w:r w:rsidRPr="00DA3BC7">
        <w:rPr>
          <w:rFonts w:ascii="Times New Roman" w:hAnsi="Times New Roman"/>
        </w:rPr>
        <w:t>此是通釋《涅槃經》中的常樂我淨的</w:t>
      </w:r>
      <w:r w:rsidRPr="00DA3BC7">
        <w:rPr>
          <w:rFonts w:ascii="Times New Roman" w:hAnsi="Times New Roman" w:hint="eastAsia"/>
        </w:rPr>
        <w:t>，</w:t>
      </w:r>
      <w:r w:rsidRPr="00DA3BC7">
        <w:rPr>
          <w:rStyle w:val="a6"/>
          <w:rFonts w:ascii="Times New Roman" w:hAnsi="Times New Roman"/>
        </w:rPr>
        <w:footnoteReference w:id="973"/>
      </w:r>
      <w:r w:rsidRPr="00DA3BC7">
        <w:rPr>
          <w:rFonts w:ascii="Times New Roman" w:hAnsi="Times New Roman"/>
        </w:rPr>
        <w:t>即</w:t>
      </w:r>
      <w:r w:rsidRPr="00DA3BC7">
        <w:rPr>
          <w:rFonts w:ascii="Times New Roman" w:hAnsi="Times New Roman"/>
          <w:b/>
        </w:rPr>
        <w:t>有所得</w:t>
      </w:r>
      <w:r w:rsidRPr="00DA3BC7">
        <w:rPr>
          <w:rFonts w:ascii="Times New Roman" w:hAnsi="Times New Roman"/>
        </w:rPr>
        <w:t>者</w:t>
      </w:r>
      <w:r w:rsidRPr="00DA3BC7">
        <w:rPr>
          <w:rFonts w:ascii="Times New Roman" w:hAnsi="Times New Roman"/>
          <w:b/>
        </w:rPr>
        <w:t>是無</w:t>
      </w:r>
      <w:r w:rsidRPr="00DA3BC7">
        <w:rPr>
          <w:rFonts w:ascii="Times New Roman" w:hAnsi="Times New Roman"/>
        </w:rPr>
        <w:t>的，</w:t>
      </w:r>
      <w:r w:rsidRPr="00DA3BC7">
        <w:rPr>
          <w:rFonts w:ascii="Times New Roman" w:hAnsi="Times New Roman"/>
          <w:b/>
        </w:rPr>
        <w:t>無所得</w:t>
      </w:r>
      <w:r w:rsidRPr="00DA3BC7">
        <w:rPr>
          <w:rFonts w:ascii="Times New Roman" w:hAnsi="Times New Roman"/>
        </w:rPr>
        <w:t>者</w:t>
      </w:r>
      <w:r w:rsidRPr="00DA3BC7">
        <w:rPr>
          <w:rFonts w:ascii="Times New Roman" w:hAnsi="Times New Roman"/>
          <w:b/>
        </w:rPr>
        <w:t>是有</w:t>
      </w:r>
      <w:r w:rsidRPr="00DA3BC7">
        <w:rPr>
          <w:rFonts w:ascii="Times New Roman" w:hAnsi="Times New Roman"/>
        </w:rPr>
        <w:t>的。無所得的有，是體悟離執的有，即一般所說的妙有。</w:t>
      </w:r>
    </w:p>
    <w:p w:rsidR="00AA120F" w:rsidRPr="00DA3BC7" w:rsidRDefault="00AA120F" w:rsidP="00AE3920">
      <w:pPr>
        <w:spacing w:beforeLines="30"/>
        <w:ind w:leftChars="100" w:left="240"/>
        <w:jc w:val="both"/>
        <w:rPr>
          <w:rFonts w:ascii="Times New Roman" w:eastAsia="SimSun" w:hAnsi="Times New Roman"/>
          <w:b/>
          <w:sz w:val="20"/>
          <w:szCs w:val="20"/>
          <w:bdr w:val="single" w:sz="4" w:space="0" w:color="auto"/>
        </w:rPr>
      </w:pPr>
      <w:r w:rsidRPr="00DA3BC7">
        <w:rPr>
          <w:rFonts w:ascii="Times New Roman" w:hAnsi="Times New Roman" w:hint="eastAsia"/>
          <w:b/>
          <w:sz w:val="20"/>
          <w:szCs w:val="20"/>
          <w:bdr w:val="single" w:sz="4" w:space="0" w:color="auto"/>
        </w:rPr>
        <w:t>二、</w:t>
      </w:r>
      <w:r w:rsidRPr="00DA3BC7">
        <w:rPr>
          <w:rFonts w:ascii="Times New Roman" w:hAnsi="Times New Roman"/>
          <w:b/>
          <w:sz w:val="20"/>
          <w:szCs w:val="20"/>
          <w:bdr w:val="single" w:sz="4" w:space="0" w:color="auto"/>
        </w:rPr>
        <w:t>中觀宗義</w:t>
      </w:r>
      <w:r w:rsidR="004D39BD">
        <w:rPr>
          <w:rFonts w:ascii="Times New Roman" w:hAnsi="Times New Roman" w:hint="eastAsia"/>
          <w:b/>
          <w:color w:val="FF0000"/>
          <w:sz w:val="20"/>
          <w:szCs w:val="20"/>
          <w:highlight w:val="yellow"/>
          <w:bdr w:val="single" w:sz="4" w:space="0" w:color="auto"/>
        </w:rPr>
        <w:t>之「俗</w:t>
      </w:r>
      <w:r w:rsidR="004D39BD" w:rsidRPr="007463FC">
        <w:rPr>
          <w:rFonts w:ascii="Times New Roman" w:hAnsi="Times New Roman"/>
          <w:b/>
          <w:color w:val="FF0000"/>
          <w:sz w:val="20"/>
          <w:szCs w:val="20"/>
          <w:highlight w:val="yellow"/>
          <w:bdr w:val="single" w:sz="4" w:space="0" w:color="auto"/>
        </w:rPr>
        <w:t>有</w:t>
      </w:r>
      <w:r w:rsidR="004D39BD">
        <w:rPr>
          <w:rFonts w:ascii="Times New Roman" w:hAnsi="Times New Roman" w:hint="eastAsia"/>
          <w:b/>
          <w:color w:val="FF0000"/>
          <w:sz w:val="20"/>
          <w:szCs w:val="20"/>
          <w:highlight w:val="yellow"/>
          <w:bdr w:val="single" w:sz="4" w:space="0" w:color="auto"/>
        </w:rPr>
        <w:t>真</w:t>
      </w:r>
      <w:r w:rsidR="004D39BD" w:rsidRPr="004D39BD">
        <w:rPr>
          <w:rFonts w:ascii="Times New Roman" w:hAnsi="Times New Roman"/>
          <w:b/>
          <w:color w:val="FF0000"/>
          <w:sz w:val="20"/>
          <w:szCs w:val="20"/>
          <w:highlight w:val="yellow"/>
          <w:bdr w:val="single" w:sz="4" w:space="0" w:color="auto"/>
        </w:rPr>
        <w:t>空</w:t>
      </w:r>
      <w:r w:rsidR="004D39BD">
        <w:rPr>
          <w:rFonts w:ascii="Times New Roman" w:hAnsi="Times New Roman" w:hint="eastAsia"/>
          <w:b/>
          <w:color w:val="FF0000"/>
          <w:sz w:val="20"/>
          <w:szCs w:val="20"/>
          <w:highlight w:val="yellow"/>
          <w:bdr w:val="single" w:sz="4" w:space="0" w:color="auto"/>
        </w:rPr>
        <w:t>」</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223</w:t>
      </w:r>
      <w:r w:rsidRPr="00DA3BC7">
        <w:rPr>
          <w:rFonts w:ascii="Times New Roman" w:hAnsi="Times New Roman"/>
          <w:sz w:val="20"/>
          <w:szCs w:val="20"/>
        </w:rPr>
        <w:t>）</w:t>
      </w:r>
    </w:p>
    <w:p w:rsidR="00AA120F" w:rsidRPr="00DA3BC7" w:rsidRDefault="00AA120F" w:rsidP="008E2BBC">
      <w:pPr>
        <w:ind w:leftChars="100" w:left="240"/>
        <w:jc w:val="both"/>
        <w:rPr>
          <w:rFonts w:ascii="Times New Roman" w:hAnsi="Times New Roman"/>
        </w:rPr>
      </w:pPr>
      <w:r w:rsidRPr="00DA3BC7">
        <w:rPr>
          <w:rFonts w:ascii="Times New Roman" w:hAnsi="Times New Roman"/>
        </w:rPr>
        <w:t>但依中觀宗義，不是不可以說有，也不是說凡是證得空性的即不許生死涅槃等一切；在聖境中，也是可說</w:t>
      </w:r>
      <w:r w:rsidRPr="00DA3BC7">
        <w:rPr>
          <w:rFonts w:ascii="Times New Roman" w:hAnsi="Times New Roman"/>
          <w:b/>
        </w:rPr>
        <w:t>無</w:t>
      </w:r>
      <w:r w:rsidRPr="00DA3BC7">
        <w:rPr>
          <w:rFonts w:ascii="Times New Roman" w:hAnsi="Times New Roman"/>
        </w:rPr>
        <w:t>生死的迷妄法，</w:t>
      </w:r>
      <w:r w:rsidRPr="00DA3BC7">
        <w:rPr>
          <w:rFonts w:ascii="Times New Roman" w:hAnsi="Times New Roman"/>
          <w:b/>
        </w:rPr>
        <w:t>有</w:t>
      </w:r>
      <w:r w:rsidRPr="00DA3BC7">
        <w:rPr>
          <w:rFonts w:ascii="Times New Roman" w:hAnsi="Times New Roman"/>
        </w:rPr>
        <w:t>正覺的菩提涅槃。</w:t>
      </w:r>
    </w:p>
    <w:p w:rsidR="00AA120F" w:rsidRPr="00DA3BC7" w:rsidRDefault="00AA120F" w:rsidP="00AE3920">
      <w:pPr>
        <w:spacing w:beforeLines="20"/>
        <w:ind w:leftChars="100" w:left="240"/>
        <w:jc w:val="both"/>
        <w:rPr>
          <w:rFonts w:ascii="Times New Roman" w:hAnsi="Times New Roman"/>
        </w:rPr>
      </w:pPr>
      <w:r w:rsidRPr="00DA3BC7">
        <w:rPr>
          <w:rFonts w:ascii="Times New Roman" w:hAnsi="Times New Roman"/>
        </w:rPr>
        <w:t>但依言教的正軌，凡可以稱為有的，即</w:t>
      </w:r>
      <w:r w:rsidRPr="00DA3BC7">
        <w:rPr>
          <w:rFonts w:ascii="Times New Roman" w:hAnsi="Times New Roman"/>
          <w:b/>
        </w:rPr>
        <w:t>世俗有，即依名言安立而有的</w:t>
      </w:r>
      <w:r w:rsidRPr="00DA3BC7">
        <w:rPr>
          <w:rFonts w:ascii="Times New Roman" w:hAnsi="Times New Roman"/>
        </w:rPr>
        <w:t>。</w:t>
      </w:r>
    </w:p>
    <w:p w:rsidR="00AA120F" w:rsidRPr="00DA3BC7" w:rsidRDefault="00AA120F" w:rsidP="008E2BBC">
      <w:pPr>
        <w:ind w:leftChars="100" w:left="240"/>
        <w:jc w:val="both"/>
        <w:rPr>
          <w:rFonts w:ascii="Times New Roman" w:hAnsi="Times New Roman"/>
        </w:rPr>
      </w:pPr>
      <w:r w:rsidRPr="00DA3BC7">
        <w:rPr>
          <w:rFonts w:ascii="Times New Roman" w:hAnsi="Times New Roman"/>
        </w:rPr>
        <w:lastRenderedPageBreak/>
        <w:t>如依勝義</w:t>
      </w:r>
      <w:r w:rsidRPr="00DA3BC7">
        <w:rPr>
          <w:rFonts w:ascii="Times New Roman" w:hAnsi="Times New Roman"/>
          <w:b/>
        </w:rPr>
        <w:t>觀一切法自性不可得</w:t>
      </w:r>
      <w:r w:rsidRPr="00DA3BC7">
        <w:rPr>
          <w:rFonts w:ascii="Times New Roman" w:hAnsi="Times New Roman"/>
        </w:rPr>
        <w:t>，</w:t>
      </w:r>
      <w:r w:rsidRPr="00DA3BC7">
        <w:rPr>
          <w:rFonts w:ascii="Times New Roman" w:hAnsi="Times New Roman"/>
          <w:b/>
        </w:rPr>
        <w:t>勝義是畢竟空</w:t>
      </w:r>
      <w:r w:rsidRPr="00DA3BC7">
        <w:rPr>
          <w:rFonts w:ascii="Times New Roman" w:hAnsi="Times New Roman"/>
        </w:rPr>
        <w:t>。</w:t>
      </w:r>
    </w:p>
    <w:p w:rsidR="004D39BD" w:rsidRPr="00DA3BC7" w:rsidRDefault="004D39BD" w:rsidP="00AE3920">
      <w:pPr>
        <w:spacing w:beforeLines="30"/>
        <w:ind w:leftChars="50" w:left="120"/>
        <w:jc w:val="both"/>
        <w:rPr>
          <w:sz w:val="20"/>
          <w:szCs w:val="20"/>
        </w:rPr>
      </w:pPr>
      <w:r w:rsidRPr="004D39BD">
        <w:rPr>
          <w:rFonts w:hint="eastAsia"/>
          <w:b/>
          <w:color w:val="FF0000"/>
          <w:sz w:val="20"/>
          <w:szCs w:val="20"/>
          <w:highlight w:val="yellow"/>
          <w:bdr w:val="single" w:sz="4" w:space="0" w:color="auto"/>
        </w:rPr>
        <w:t>（參）結義</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223</w:t>
      </w:r>
      <w:r w:rsidRPr="00DA3BC7">
        <w:rPr>
          <w:rFonts w:ascii="Times New Roman" w:hAnsi="Times New Roman"/>
          <w:sz w:val="20"/>
          <w:szCs w:val="20"/>
        </w:rPr>
        <w:t>）</w:t>
      </w:r>
    </w:p>
    <w:p w:rsidR="00AA120F" w:rsidRPr="00DA3BC7" w:rsidRDefault="00AA120F" w:rsidP="00AE3920">
      <w:pPr>
        <w:spacing w:beforeLines="20"/>
        <w:ind w:leftChars="100" w:left="240"/>
        <w:jc w:val="both"/>
        <w:rPr>
          <w:rFonts w:ascii="Times New Roman" w:eastAsia="SimSun" w:hAnsi="Times New Roman"/>
        </w:rPr>
      </w:pPr>
      <w:r w:rsidRPr="00DA3BC7">
        <w:rPr>
          <w:rFonts w:ascii="Times New Roman" w:hAnsi="Times New Roman"/>
        </w:rPr>
        <w:t>於二諦空有的異說，可依此抉擇。</w:t>
      </w:r>
    </w:p>
    <w:p w:rsidR="00AA120F" w:rsidRPr="00DA3BC7" w:rsidRDefault="00FC5046" w:rsidP="00AE3920">
      <w:pPr>
        <w:spacing w:beforeLines="30"/>
        <w:jc w:val="both"/>
        <w:rPr>
          <w:rFonts w:ascii="Times New Roman" w:hAnsi="Times New Roman"/>
          <w:b/>
          <w:bCs/>
          <w:sz w:val="20"/>
          <w:szCs w:val="20"/>
          <w:bdr w:val="single" w:sz="4" w:space="0" w:color="auto"/>
        </w:rPr>
      </w:pPr>
      <w:r w:rsidRPr="00DA3BC7">
        <w:rPr>
          <w:rFonts w:ascii="Times New Roman" w:hAnsi="Times New Roman" w:hint="eastAsia"/>
          <w:b/>
          <w:bCs/>
          <w:sz w:val="20"/>
          <w:szCs w:val="20"/>
          <w:bdr w:val="single" w:sz="4" w:space="0" w:color="auto"/>
        </w:rPr>
        <w:t>參</w:t>
      </w:r>
      <w:r w:rsidR="00AA120F" w:rsidRPr="00DA3BC7">
        <w:rPr>
          <w:rFonts w:ascii="Times New Roman" w:hAnsi="Times New Roman"/>
          <w:b/>
          <w:bCs/>
          <w:sz w:val="20"/>
          <w:szCs w:val="20"/>
          <w:bdr w:val="single" w:sz="4" w:space="0" w:color="auto"/>
        </w:rPr>
        <w:t>、「橫、豎」</w:t>
      </w:r>
      <w:r w:rsidR="00AA120F" w:rsidRPr="00DA3BC7">
        <w:rPr>
          <w:rFonts w:ascii="Times New Roman" w:hAnsi="Times New Roman" w:hint="eastAsia"/>
          <w:b/>
          <w:bCs/>
          <w:sz w:val="20"/>
          <w:szCs w:val="20"/>
          <w:bdr w:val="single" w:sz="4" w:space="0" w:color="auto"/>
        </w:rPr>
        <w:t>，</w:t>
      </w:r>
      <w:r w:rsidR="00AA120F" w:rsidRPr="00DA3BC7">
        <w:rPr>
          <w:rFonts w:ascii="Times New Roman" w:hAnsi="Times New Roman"/>
          <w:b/>
          <w:bCs/>
          <w:sz w:val="20"/>
          <w:szCs w:val="20"/>
          <w:bdr w:val="single" w:sz="4" w:space="0" w:color="auto"/>
        </w:rPr>
        <w:t>「單、複」</w:t>
      </w:r>
      <w:r w:rsidR="00AA120F" w:rsidRPr="00DA3BC7">
        <w:rPr>
          <w:rFonts w:ascii="Times New Roman" w:hAnsi="Times New Roman"/>
          <w:sz w:val="20"/>
          <w:szCs w:val="20"/>
        </w:rPr>
        <w:t>（</w:t>
      </w:r>
      <w:r w:rsidR="00AA120F" w:rsidRPr="00DA3BC7">
        <w:rPr>
          <w:rFonts w:ascii="Times New Roman" w:hAnsi="Times New Roman"/>
          <w:sz w:val="20"/>
          <w:szCs w:val="20"/>
        </w:rPr>
        <w:t>pp.</w:t>
      </w:r>
      <w:r w:rsidR="00AA120F" w:rsidRPr="00DA3BC7">
        <w:rPr>
          <w:rFonts w:ascii="Times New Roman" w:hAnsi="Times New Roman"/>
          <w:bCs/>
          <w:sz w:val="20"/>
          <w:szCs w:val="20"/>
        </w:rPr>
        <w:t>223-227</w:t>
      </w:r>
      <w:r w:rsidR="00AA120F" w:rsidRPr="00DA3BC7">
        <w:rPr>
          <w:rFonts w:ascii="Times New Roman" w:hAnsi="Times New Roman"/>
          <w:sz w:val="20"/>
          <w:szCs w:val="20"/>
        </w:rPr>
        <w:t>）</w:t>
      </w:r>
    </w:p>
    <w:p w:rsidR="004D39BD" w:rsidRDefault="004D39BD" w:rsidP="00926F79">
      <w:pPr>
        <w:jc w:val="both"/>
        <w:rPr>
          <w:rFonts w:ascii="Times New Roman" w:hAnsi="Times New Roman"/>
          <w:b/>
          <w:sz w:val="20"/>
          <w:szCs w:val="20"/>
          <w:bdr w:val="single" w:sz="4" w:space="0" w:color="auto"/>
        </w:rPr>
      </w:pPr>
      <w:r w:rsidRPr="004D39BD">
        <w:rPr>
          <w:rFonts w:ascii="Times New Roman" w:hAnsi="Times New Roman"/>
          <w:b/>
          <w:bCs/>
          <w:highlight w:val="yellow"/>
        </w:rPr>
        <w:t>橫</w:t>
      </w:r>
      <w:r w:rsidRPr="006E2FD4">
        <w:rPr>
          <w:rFonts w:ascii="Times New Roman" w:hAnsi="Times New Roman"/>
          <w:b/>
          <w:bCs/>
          <w:highlight w:val="yellow"/>
        </w:rPr>
        <w:t>豎單複</w:t>
      </w:r>
      <w:r w:rsidRPr="00DA3BC7">
        <w:rPr>
          <w:rFonts w:ascii="Times New Roman" w:hAnsi="Times New Roman" w:hint="eastAsia"/>
          <w:b/>
          <w:bCs/>
        </w:rPr>
        <w:t>：</w:t>
      </w:r>
    </w:p>
    <w:p w:rsidR="00AA120F" w:rsidRPr="00DA3BC7" w:rsidRDefault="00AA120F" w:rsidP="008E2BBC">
      <w:pPr>
        <w:ind w:leftChars="50" w:left="120"/>
        <w:jc w:val="both"/>
        <w:rPr>
          <w:rFonts w:ascii="Times New Roman" w:hAnsi="Times New Roman"/>
          <w:bCs/>
          <w:sz w:val="20"/>
          <w:szCs w:val="20"/>
        </w:rPr>
      </w:pPr>
      <w:r w:rsidRPr="004D39BD">
        <w:rPr>
          <w:rFonts w:ascii="Times New Roman" w:hAnsi="Times New Roman"/>
          <w:b/>
          <w:color w:val="FF0000"/>
          <w:sz w:val="20"/>
          <w:szCs w:val="20"/>
          <w:highlight w:val="yellow"/>
          <w:bdr w:val="single" w:sz="4" w:space="0" w:color="auto"/>
        </w:rPr>
        <w:t>（壹）</w:t>
      </w:r>
      <w:r w:rsidR="004D39BD" w:rsidRPr="004D39BD">
        <w:rPr>
          <w:rFonts w:ascii="Times New Roman" w:hAnsi="Times New Roman" w:hint="eastAsia"/>
          <w:b/>
          <w:color w:val="FF0000"/>
          <w:sz w:val="20"/>
          <w:szCs w:val="20"/>
          <w:highlight w:val="yellow"/>
          <w:bdr w:val="single" w:sz="4" w:space="0" w:color="auto"/>
        </w:rPr>
        <w:t>明教理</w:t>
      </w:r>
      <w:r w:rsidRPr="00DA3BC7">
        <w:rPr>
          <w:rFonts w:ascii="Times New Roman" w:hAnsi="Times New Roman"/>
          <w:sz w:val="20"/>
          <w:szCs w:val="20"/>
        </w:rPr>
        <w:t>（</w:t>
      </w:r>
      <w:r w:rsidRPr="00DA3BC7">
        <w:rPr>
          <w:rFonts w:ascii="Times New Roman" w:hAnsi="Times New Roman"/>
          <w:sz w:val="20"/>
          <w:szCs w:val="20"/>
        </w:rPr>
        <w:t>pp.223-22</w:t>
      </w:r>
      <w:r w:rsidR="004D39BD">
        <w:rPr>
          <w:rFonts w:ascii="Times New Roman" w:hAnsi="Times New Roman" w:hint="eastAsia"/>
          <w:sz w:val="20"/>
          <w:szCs w:val="20"/>
        </w:rPr>
        <w:t>5</w:t>
      </w:r>
      <w:r w:rsidRPr="00DA3BC7">
        <w:rPr>
          <w:rFonts w:ascii="Times New Roman" w:hAnsi="Times New Roman"/>
          <w:sz w:val="20"/>
          <w:szCs w:val="20"/>
        </w:rPr>
        <w:t>）</w:t>
      </w:r>
    </w:p>
    <w:p w:rsidR="00AA120F" w:rsidRPr="00DA3BC7" w:rsidRDefault="00AA120F" w:rsidP="008E2BBC">
      <w:pPr>
        <w:ind w:leftChars="100" w:left="240"/>
        <w:jc w:val="both"/>
        <w:rPr>
          <w:rFonts w:ascii="Times New Roman" w:eastAsia="SimSun" w:hAnsi="Times New Roman"/>
          <w:b/>
          <w:sz w:val="20"/>
          <w:szCs w:val="20"/>
          <w:bdr w:val="single" w:sz="4" w:space="0" w:color="auto"/>
        </w:rPr>
      </w:pPr>
      <w:r w:rsidRPr="004D39BD">
        <w:rPr>
          <w:rFonts w:ascii="新細明體" w:hAnsi="新細明體"/>
          <w:b/>
          <w:color w:val="FF0000"/>
          <w:sz w:val="20"/>
          <w:szCs w:val="20"/>
          <w:highlight w:val="yellow"/>
          <w:bdr w:val="single" w:sz="4" w:space="0" w:color="auto"/>
        </w:rPr>
        <w:t>一</w:t>
      </w:r>
      <w:r w:rsidRPr="004D39BD">
        <w:rPr>
          <w:rFonts w:ascii="新細明體" w:hAnsi="新細明體" w:hint="eastAsia"/>
          <w:b/>
          <w:color w:val="FF0000"/>
          <w:sz w:val="20"/>
          <w:szCs w:val="20"/>
          <w:highlight w:val="yellow"/>
          <w:bdr w:val="single" w:sz="4" w:space="0" w:color="auto"/>
        </w:rPr>
        <w:t>、</w:t>
      </w:r>
      <w:r w:rsidR="004711CF" w:rsidRPr="00DA3BC7">
        <w:rPr>
          <w:rFonts w:ascii="Times New Roman" w:hAnsi="Times New Roman"/>
          <w:b/>
          <w:sz w:val="20"/>
          <w:szCs w:val="20"/>
          <w:bdr w:val="single" w:sz="4" w:space="0" w:color="auto"/>
        </w:rPr>
        <w:t>「</w:t>
      </w:r>
      <w:r w:rsidR="004D39BD" w:rsidRPr="00DA3BC7">
        <w:rPr>
          <w:rFonts w:ascii="Times New Roman" w:hAnsi="Times New Roman"/>
          <w:b/>
          <w:sz w:val="20"/>
          <w:szCs w:val="20"/>
          <w:bdr w:val="single" w:sz="4" w:space="0" w:color="auto"/>
        </w:rPr>
        <w:t>二諦</w:t>
      </w:r>
      <w:r w:rsidR="004711CF">
        <w:rPr>
          <w:rFonts w:ascii="Times New Roman" w:hAnsi="Times New Roman" w:hint="eastAsia"/>
          <w:b/>
          <w:sz w:val="20"/>
          <w:szCs w:val="20"/>
          <w:bdr w:val="single" w:sz="4" w:space="0" w:color="auto"/>
        </w:rPr>
        <w:t>『</w:t>
      </w:r>
      <w:r w:rsidR="004D39BD" w:rsidRPr="00DA3BC7">
        <w:rPr>
          <w:rFonts w:ascii="Times New Roman" w:hAnsi="Times New Roman"/>
          <w:b/>
          <w:sz w:val="20"/>
          <w:szCs w:val="20"/>
          <w:bdr w:val="single" w:sz="4" w:space="0" w:color="auto"/>
        </w:rPr>
        <w:t>橫、豎</w:t>
      </w:r>
      <w:r w:rsidR="004711CF">
        <w:rPr>
          <w:rFonts w:ascii="Times New Roman" w:hAnsi="Times New Roman" w:hint="eastAsia"/>
          <w:b/>
          <w:sz w:val="20"/>
          <w:szCs w:val="20"/>
          <w:bdr w:val="single" w:sz="4" w:space="0" w:color="auto"/>
        </w:rPr>
        <w:t>』</w:t>
      </w:r>
      <w:r w:rsidR="004D39BD" w:rsidRPr="00DA3BC7">
        <w:rPr>
          <w:rFonts w:ascii="Times New Roman" w:hAnsi="Times New Roman"/>
          <w:b/>
          <w:sz w:val="20"/>
          <w:szCs w:val="20"/>
          <w:bdr w:val="single" w:sz="4" w:space="0" w:color="auto"/>
        </w:rPr>
        <w:t>」之辨</w:t>
      </w:r>
      <w:r w:rsidRPr="00DA3BC7">
        <w:rPr>
          <w:rFonts w:ascii="Times New Roman" w:hAnsi="Times New Roman"/>
          <w:sz w:val="20"/>
          <w:szCs w:val="20"/>
        </w:rPr>
        <w:t>（</w:t>
      </w:r>
      <w:r w:rsidRPr="00DA3BC7">
        <w:rPr>
          <w:rFonts w:ascii="Times New Roman" w:hAnsi="Times New Roman"/>
          <w:sz w:val="20"/>
          <w:szCs w:val="20"/>
        </w:rPr>
        <w:t>p.223</w:t>
      </w:r>
      <w:r w:rsidRPr="00DA3BC7">
        <w:rPr>
          <w:rFonts w:ascii="Times New Roman" w:hAnsi="Times New Roman"/>
          <w:sz w:val="20"/>
          <w:szCs w:val="20"/>
        </w:rPr>
        <w:t>）</w:t>
      </w:r>
    </w:p>
    <w:p w:rsidR="00AA120F" w:rsidRPr="00DA3BC7" w:rsidRDefault="00AA120F" w:rsidP="008E2BBC">
      <w:pPr>
        <w:ind w:leftChars="150" w:left="360"/>
        <w:jc w:val="both"/>
        <w:rPr>
          <w:rFonts w:ascii="Times New Roman" w:eastAsia="SimSun" w:hAnsi="Times New Roman"/>
          <w:b/>
          <w:bCs/>
          <w:sz w:val="20"/>
          <w:szCs w:val="20"/>
          <w:bdr w:val="single" w:sz="4" w:space="0" w:color="auto"/>
        </w:rPr>
      </w:pPr>
      <w:r w:rsidRPr="00DA3BC7">
        <w:rPr>
          <w:rFonts w:ascii="Times New Roman" w:hAnsi="Times New Roman"/>
          <w:b/>
          <w:sz w:val="20"/>
          <w:szCs w:val="20"/>
          <w:bdr w:val="single" w:sz="4" w:space="0" w:color="auto"/>
        </w:rPr>
        <w:t>（一）</w:t>
      </w:r>
      <w:r w:rsidR="004D39BD">
        <w:rPr>
          <w:rFonts w:ascii="Times New Roman" w:hAnsi="Times New Roman" w:hint="eastAsia"/>
          <w:b/>
          <w:color w:val="FF0000"/>
          <w:sz w:val="20"/>
          <w:szCs w:val="20"/>
          <w:highlight w:val="yellow"/>
          <w:bdr w:val="single" w:sz="4" w:space="0" w:color="auto"/>
        </w:rPr>
        <w:t>略述</w:t>
      </w:r>
      <w:r w:rsidRPr="00DA3BC7">
        <w:rPr>
          <w:rFonts w:ascii="Times New Roman" w:hAnsi="Times New Roman"/>
          <w:sz w:val="20"/>
          <w:szCs w:val="20"/>
        </w:rPr>
        <w:t>（</w:t>
      </w:r>
      <w:r w:rsidRPr="00DA3BC7">
        <w:rPr>
          <w:rFonts w:ascii="Times New Roman" w:hAnsi="Times New Roman"/>
          <w:sz w:val="20"/>
          <w:szCs w:val="20"/>
        </w:rPr>
        <w:t>p.223</w:t>
      </w:r>
      <w:r w:rsidRPr="00DA3BC7">
        <w:rPr>
          <w:rFonts w:ascii="Times New Roman" w:hAnsi="Times New Roman"/>
          <w:sz w:val="20"/>
          <w:szCs w:val="20"/>
        </w:rPr>
        <w:t>）</w:t>
      </w:r>
    </w:p>
    <w:p w:rsidR="00AA120F" w:rsidRPr="00DA3BC7" w:rsidRDefault="00AA120F" w:rsidP="008E2BBC">
      <w:pPr>
        <w:ind w:leftChars="150" w:left="360"/>
        <w:jc w:val="both"/>
        <w:rPr>
          <w:rFonts w:ascii="Times New Roman" w:hAnsi="Times New Roman"/>
        </w:rPr>
      </w:pPr>
      <w:r w:rsidRPr="00DA3BC7">
        <w:rPr>
          <w:rFonts w:ascii="Times New Roman" w:hAnsi="Times New Roman"/>
        </w:rPr>
        <w:t>古三論學者每說橫豎：</w:t>
      </w:r>
    </w:p>
    <w:p w:rsidR="00AA120F" w:rsidRPr="00DA3BC7" w:rsidRDefault="00AA120F" w:rsidP="008E2BBC">
      <w:pPr>
        <w:ind w:leftChars="150" w:left="360"/>
        <w:jc w:val="both"/>
        <w:rPr>
          <w:rFonts w:ascii="Times New Roman" w:hAnsi="Times New Roman"/>
        </w:rPr>
      </w:pPr>
      <w:r w:rsidRPr="00DA3BC7">
        <w:rPr>
          <w:rFonts w:ascii="Times New Roman" w:hAnsi="Times New Roman"/>
        </w:rPr>
        <w:t>「</w:t>
      </w:r>
      <w:r w:rsidRPr="00DA3BC7">
        <w:rPr>
          <w:rFonts w:ascii="Times New Roman" w:hAnsi="Times New Roman"/>
          <w:b/>
        </w:rPr>
        <w:t>橫</w:t>
      </w:r>
      <w:r w:rsidRPr="00DA3BC7">
        <w:rPr>
          <w:rFonts w:ascii="Times New Roman" w:hAnsi="Times New Roman"/>
        </w:rPr>
        <w:t>」是相對的，依彼而有此，依此而有彼的；</w:t>
      </w:r>
    </w:p>
    <w:p w:rsidR="00AA120F" w:rsidRPr="00DA3BC7" w:rsidRDefault="00AA120F" w:rsidP="008E2BBC">
      <w:pPr>
        <w:ind w:leftChars="150" w:left="360"/>
        <w:jc w:val="both"/>
        <w:rPr>
          <w:rFonts w:ascii="Times New Roman" w:eastAsia="SimSun" w:hAnsi="Times New Roman"/>
        </w:rPr>
      </w:pPr>
      <w:r w:rsidRPr="00DA3BC7">
        <w:rPr>
          <w:rFonts w:ascii="Times New Roman" w:hAnsi="Times New Roman"/>
        </w:rPr>
        <w:t>「</w:t>
      </w:r>
      <w:r w:rsidRPr="00DA3BC7">
        <w:rPr>
          <w:rFonts w:ascii="Times New Roman" w:hAnsi="Times New Roman"/>
          <w:b/>
        </w:rPr>
        <w:t>豎</w:t>
      </w:r>
      <w:r w:rsidRPr="00DA3BC7">
        <w:rPr>
          <w:rFonts w:ascii="Times New Roman" w:hAnsi="Times New Roman"/>
        </w:rPr>
        <w:t>」是絕對的，超越而泯絕一切的。</w:t>
      </w:r>
      <w:r w:rsidRPr="00DA3BC7">
        <w:rPr>
          <w:rStyle w:val="a6"/>
          <w:rFonts w:ascii="Times New Roman" w:hAnsi="Times New Roman"/>
        </w:rPr>
        <w:footnoteReference w:id="974"/>
      </w:r>
    </w:p>
    <w:p w:rsidR="00AA120F" w:rsidRPr="00DA3BC7" w:rsidRDefault="00AA120F" w:rsidP="00AE3920">
      <w:pPr>
        <w:spacing w:beforeLines="30"/>
        <w:ind w:leftChars="150" w:left="360"/>
        <w:jc w:val="both"/>
        <w:rPr>
          <w:rFonts w:ascii="Times New Roman" w:eastAsia="SimSun" w:hAnsi="Times New Roman"/>
          <w:b/>
          <w:bCs/>
          <w:sz w:val="20"/>
          <w:szCs w:val="20"/>
          <w:bdr w:val="single" w:sz="4" w:space="0" w:color="auto"/>
        </w:rPr>
      </w:pPr>
      <w:r w:rsidRPr="00DA3BC7">
        <w:rPr>
          <w:rFonts w:ascii="Times New Roman" w:hAnsi="Times New Roman"/>
          <w:b/>
          <w:sz w:val="20"/>
          <w:szCs w:val="20"/>
          <w:bdr w:val="single" w:sz="4" w:space="0" w:color="auto"/>
        </w:rPr>
        <w:t>（二）</w:t>
      </w:r>
      <w:r w:rsidR="004D39BD">
        <w:rPr>
          <w:rFonts w:ascii="Times New Roman" w:hAnsi="Times New Roman" w:hint="eastAsia"/>
          <w:b/>
          <w:color w:val="FF0000"/>
          <w:sz w:val="20"/>
          <w:szCs w:val="20"/>
          <w:highlight w:val="yellow"/>
          <w:bdr w:val="single" w:sz="4" w:space="0" w:color="auto"/>
        </w:rPr>
        <w:t>詳究</w:t>
      </w:r>
      <w:r w:rsidR="004D39BD" w:rsidRPr="00DA3BC7">
        <w:rPr>
          <w:rFonts w:ascii="Times New Roman" w:hAnsi="Times New Roman"/>
          <w:sz w:val="20"/>
          <w:szCs w:val="20"/>
        </w:rPr>
        <w:t>（</w:t>
      </w:r>
      <w:r w:rsidR="004D39BD" w:rsidRPr="00DA3BC7">
        <w:rPr>
          <w:rFonts w:ascii="Times New Roman" w:hAnsi="Times New Roman"/>
          <w:sz w:val="20"/>
          <w:szCs w:val="20"/>
        </w:rPr>
        <w:t>pp.223-22</w:t>
      </w:r>
      <w:r w:rsidR="004D39BD">
        <w:rPr>
          <w:rFonts w:ascii="Times New Roman" w:hAnsi="Times New Roman" w:hint="eastAsia"/>
          <w:sz w:val="20"/>
          <w:szCs w:val="20"/>
        </w:rPr>
        <w:t>4</w:t>
      </w:r>
      <w:r w:rsidR="004D39BD" w:rsidRPr="00DA3BC7">
        <w:rPr>
          <w:rFonts w:ascii="Times New Roman" w:hAnsi="Times New Roman"/>
          <w:sz w:val="20"/>
          <w:szCs w:val="20"/>
        </w:rPr>
        <w:t>）</w:t>
      </w:r>
    </w:p>
    <w:p w:rsidR="00AA120F" w:rsidRPr="00DA3BC7" w:rsidRDefault="00AA120F" w:rsidP="008E2BBC">
      <w:pPr>
        <w:ind w:leftChars="200" w:left="480"/>
        <w:jc w:val="both"/>
        <w:rPr>
          <w:rFonts w:ascii="Times New Roman" w:hAnsi="Times New Roman"/>
          <w:b/>
          <w:sz w:val="20"/>
          <w:szCs w:val="20"/>
          <w:bdr w:val="single" w:sz="4" w:space="0" w:color="auto"/>
        </w:rPr>
      </w:pPr>
      <w:r w:rsidRPr="00DA3BC7">
        <w:rPr>
          <w:rFonts w:ascii="Times New Roman" w:hAnsi="Times New Roman"/>
          <w:b/>
          <w:sz w:val="20"/>
          <w:szCs w:val="20"/>
          <w:bdr w:val="single" w:sz="4" w:space="0" w:color="auto"/>
        </w:rPr>
        <w:t>1</w:t>
      </w:r>
      <w:r w:rsidRPr="00DA3BC7">
        <w:rPr>
          <w:rFonts w:ascii="Times New Roman" w:hAnsi="Times New Roman"/>
          <w:b/>
          <w:bCs/>
          <w:sz w:val="20"/>
          <w:szCs w:val="20"/>
          <w:bdr w:val="single" w:sz="4" w:space="0" w:color="auto"/>
        </w:rPr>
        <w:t>、</w:t>
      </w:r>
      <w:r w:rsidR="009B709F" w:rsidRPr="009B709F">
        <w:rPr>
          <w:rFonts w:ascii="Times New Roman" w:hAnsi="Times New Roman" w:hint="eastAsia"/>
          <w:b/>
          <w:bCs/>
          <w:color w:val="FF0000"/>
          <w:sz w:val="20"/>
          <w:szCs w:val="20"/>
          <w:highlight w:val="yellow"/>
          <w:bdr w:val="single" w:sz="4" w:space="0" w:color="auto"/>
        </w:rPr>
        <w:t>述</w:t>
      </w:r>
      <w:r w:rsidR="009B709F">
        <w:rPr>
          <w:rFonts w:ascii="Times New Roman" w:hAnsi="Times New Roman" w:hint="eastAsia"/>
          <w:b/>
          <w:color w:val="FF0000"/>
          <w:sz w:val="20"/>
          <w:szCs w:val="20"/>
          <w:highlight w:val="yellow"/>
          <w:bdr w:val="single" w:sz="4" w:space="0" w:color="auto"/>
        </w:rPr>
        <w:t>要義</w:t>
      </w:r>
      <w:r w:rsidRPr="00DA3BC7">
        <w:rPr>
          <w:rFonts w:ascii="Times New Roman" w:hAnsi="Times New Roman"/>
          <w:sz w:val="20"/>
          <w:szCs w:val="20"/>
        </w:rPr>
        <w:t>（</w:t>
      </w:r>
      <w:r w:rsidRPr="00DA3BC7">
        <w:rPr>
          <w:rFonts w:ascii="Times New Roman" w:hAnsi="Times New Roman"/>
          <w:sz w:val="20"/>
          <w:szCs w:val="20"/>
        </w:rPr>
        <w:t>p.223</w:t>
      </w:r>
      <w:r w:rsidRPr="00DA3BC7">
        <w:rPr>
          <w:rFonts w:ascii="Times New Roman" w:hAnsi="Times New Roman"/>
          <w:sz w:val="20"/>
          <w:szCs w:val="20"/>
        </w:rPr>
        <w:t>）</w:t>
      </w:r>
    </w:p>
    <w:p w:rsidR="00AA120F" w:rsidRPr="00DA3BC7" w:rsidRDefault="00AA120F" w:rsidP="008E2BBC">
      <w:pPr>
        <w:ind w:leftChars="200" w:left="480"/>
        <w:jc w:val="both"/>
        <w:rPr>
          <w:rFonts w:ascii="Times New Roman" w:hAnsi="Times New Roman"/>
        </w:rPr>
      </w:pPr>
      <w:r w:rsidRPr="00DA3BC7">
        <w:rPr>
          <w:rFonts w:ascii="Times New Roman" w:hAnsi="Times New Roman"/>
        </w:rPr>
        <w:t>佛說世俗有而勝義空，名之為空，空還是世俗的假名，是與「有」相對而安立的。</w:t>
      </w:r>
    </w:p>
    <w:p w:rsidR="00AA120F" w:rsidRPr="00DA3BC7" w:rsidRDefault="00AA120F" w:rsidP="008E2BBC">
      <w:pPr>
        <w:ind w:leftChars="200" w:left="480"/>
        <w:jc w:val="both"/>
        <w:rPr>
          <w:rFonts w:ascii="Times New Roman" w:hAnsi="Times New Roman"/>
        </w:rPr>
      </w:pPr>
      <w:r w:rsidRPr="00DA3BC7">
        <w:rPr>
          <w:rFonts w:ascii="Times New Roman" w:hAnsi="Times New Roman"/>
        </w:rPr>
        <w:t>然佛說空教的本義，是使眾生於世俗而離一切妄執，泯除一切戲論，因離執而體證泯絕一切的如如。</w:t>
      </w:r>
    </w:p>
    <w:p w:rsidR="004D39BD" w:rsidRPr="00DA3BC7" w:rsidRDefault="004D39BD" w:rsidP="00AE3920">
      <w:pPr>
        <w:spacing w:beforeLines="30"/>
        <w:ind w:leftChars="200" w:left="480"/>
        <w:jc w:val="both"/>
        <w:rPr>
          <w:rFonts w:ascii="Times New Roman" w:eastAsia="SimSun" w:hAnsi="Times New Roman"/>
          <w:b/>
          <w:bCs/>
          <w:sz w:val="20"/>
          <w:szCs w:val="20"/>
          <w:bdr w:val="single" w:sz="4" w:space="0" w:color="auto"/>
        </w:rPr>
      </w:pPr>
      <w:r w:rsidRPr="004D39BD">
        <w:rPr>
          <w:rFonts w:ascii="Times New Roman" w:hAnsi="Times New Roman" w:hint="eastAsia"/>
          <w:b/>
          <w:color w:val="FF0000"/>
          <w:sz w:val="20"/>
          <w:szCs w:val="20"/>
          <w:highlight w:val="yellow"/>
          <w:bdr w:val="single" w:sz="4" w:space="0" w:color="auto"/>
        </w:rPr>
        <w:t>2</w:t>
      </w:r>
      <w:r w:rsidRPr="004D39BD">
        <w:rPr>
          <w:rFonts w:ascii="Times New Roman" w:hAnsi="Times New Roman" w:hint="eastAsia"/>
          <w:b/>
          <w:color w:val="FF0000"/>
          <w:sz w:val="20"/>
          <w:szCs w:val="20"/>
          <w:highlight w:val="yellow"/>
          <w:bdr w:val="single" w:sz="4" w:space="0" w:color="auto"/>
        </w:rPr>
        <w:t>、</w:t>
      </w:r>
      <w:r w:rsidR="009B709F">
        <w:rPr>
          <w:rFonts w:ascii="Times New Roman" w:hAnsi="Times New Roman" w:hint="eastAsia"/>
          <w:b/>
          <w:color w:val="FF0000"/>
          <w:sz w:val="20"/>
          <w:szCs w:val="20"/>
          <w:highlight w:val="yellow"/>
          <w:bdr w:val="single" w:sz="4" w:space="0" w:color="auto"/>
        </w:rPr>
        <w:t>辨正理</w:t>
      </w:r>
      <w:r w:rsidRPr="00DA3BC7">
        <w:rPr>
          <w:rFonts w:ascii="Times New Roman" w:hAnsi="Times New Roman"/>
          <w:sz w:val="20"/>
          <w:szCs w:val="20"/>
        </w:rPr>
        <w:t>（</w:t>
      </w:r>
      <w:r w:rsidRPr="00DA3BC7">
        <w:rPr>
          <w:rFonts w:ascii="Times New Roman" w:hAnsi="Times New Roman"/>
          <w:sz w:val="20"/>
          <w:szCs w:val="20"/>
        </w:rPr>
        <w:t>pp.223-22</w:t>
      </w:r>
      <w:r>
        <w:rPr>
          <w:rFonts w:ascii="Times New Roman" w:hAnsi="Times New Roman" w:hint="eastAsia"/>
          <w:sz w:val="20"/>
          <w:szCs w:val="20"/>
        </w:rPr>
        <w:t>4</w:t>
      </w:r>
      <w:r w:rsidRPr="00DA3BC7">
        <w:rPr>
          <w:rFonts w:ascii="Times New Roman" w:hAnsi="Times New Roman"/>
          <w:sz w:val="20"/>
          <w:szCs w:val="20"/>
        </w:rPr>
        <w:t>）</w:t>
      </w:r>
    </w:p>
    <w:p w:rsidR="004D39BD" w:rsidRDefault="004D39BD" w:rsidP="00926F79">
      <w:pPr>
        <w:ind w:leftChars="250" w:left="600"/>
        <w:jc w:val="both"/>
        <w:rPr>
          <w:rFonts w:ascii="Times New Roman" w:hAnsi="Times New Roman"/>
          <w:b/>
          <w:sz w:val="20"/>
          <w:szCs w:val="20"/>
          <w:bdr w:val="single" w:sz="4" w:space="0" w:color="auto"/>
        </w:rPr>
      </w:pPr>
      <w:r w:rsidRPr="004D39BD">
        <w:rPr>
          <w:rFonts w:ascii="Times New Roman" w:hAnsi="Times New Roman"/>
          <w:b/>
          <w:color w:val="FF0000"/>
          <w:sz w:val="20"/>
          <w:szCs w:val="20"/>
          <w:highlight w:val="yellow"/>
          <w:bdr w:val="single" w:sz="4" w:space="0" w:color="auto"/>
        </w:rPr>
        <w:t>（</w:t>
      </w:r>
      <w:r w:rsidRPr="004D39BD">
        <w:rPr>
          <w:rFonts w:ascii="Times New Roman" w:hAnsi="Times New Roman" w:hint="eastAsia"/>
          <w:b/>
          <w:color w:val="FF0000"/>
          <w:sz w:val="20"/>
          <w:szCs w:val="20"/>
          <w:highlight w:val="yellow"/>
          <w:bdr w:val="single" w:sz="4" w:space="0" w:color="auto"/>
        </w:rPr>
        <w:t>1</w:t>
      </w:r>
      <w:r w:rsidRPr="004D39BD">
        <w:rPr>
          <w:rFonts w:ascii="Times New Roman" w:hAnsi="Times New Roman"/>
          <w:b/>
          <w:color w:val="FF0000"/>
          <w:sz w:val="20"/>
          <w:szCs w:val="20"/>
          <w:highlight w:val="yellow"/>
          <w:bdr w:val="single" w:sz="4" w:space="0" w:color="auto"/>
        </w:rPr>
        <w:t>）</w:t>
      </w:r>
      <w:r w:rsidRPr="004D39BD">
        <w:rPr>
          <w:rFonts w:ascii="Times New Roman" w:hAnsi="Times New Roman" w:hint="eastAsia"/>
          <w:b/>
          <w:color w:val="FF0000"/>
          <w:sz w:val="20"/>
          <w:szCs w:val="20"/>
          <w:highlight w:val="yellow"/>
          <w:bdr w:val="single" w:sz="4" w:space="0" w:color="auto"/>
        </w:rPr>
        <w:t>標舉</w:t>
      </w:r>
      <w:r w:rsidRPr="00DA3BC7">
        <w:rPr>
          <w:rFonts w:ascii="Times New Roman" w:hAnsi="Times New Roman"/>
          <w:sz w:val="20"/>
          <w:szCs w:val="20"/>
        </w:rPr>
        <w:t>（</w:t>
      </w:r>
      <w:r w:rsidRPr="00DA3BC7">
        <w:rPr>
          <w:rFonts w:ascii="Times New Roman" w:hAnsi="Times New Roman"/>
          <w:sz w:val="20"/>
          <w:szCs w:val="20"/>
        </w:rPr>
        <w:t>p.223</w:t>
      </w:r>
      <w:r w:rsidRPr="00DA3BC7">
        <w:rPr>
          <w:rFonts w:ascii="Times New Roman" w:hAnsi="Times New Roman"/>
          <w:sz w:val="20"/>
          <w:szCs w:val="20"/>
        </w:rPr>
        <w:t>）</w:t>
      </w:r>
    </w:p>
    <w:p w:rsidR="00AA120F" w:rsidRPr="00DA3BC7" w:rsidRDefault="00AA120F" w:rsidP="00926F79">
      <w:pPr>
        <w:ind w:leftChars="250" w:left="600"/>
        <w:jc w:val="both"/>
        <w:rPr>
          <w:rFonts w:ascii="Times New Roman" w:eastAsia="SimSun" w:hAnsi="Times New Roman"/>
        </w:rPr>
      </w:pPr>
      <w:r w:rsidRPr="00DA3BC7">
        <w:rPr>
          <w:rFonts w:ascii="Times New Roman" w:hAnsi="Times New Roman"/>
        </w:rPr>
        <w:t>在這個意義上，空的了義與不了義</w:t>
      </w:r>
      <w:r w:rsidRPr="00DA3BC7">
        <w:rPr>
          <w:rStyle w:val="a6"/>
          <w:rFonts w:ascii="Times New Roman" w:hAnsi="Times New Roman"/>
        </w:rPr>
        <w:footnoteReference w:id="975"/>
      </w:r>
      <w:r w:rsidRPr="00DA3BC7">
        <w:rPr>
          <w:rFonts w:ascii="Times New Roman" w:hAnsi="Times New Roman"/>
        </w:rPr>
        <w:t>，是可以抉擇的。</w:t>
      </w:r>
    </w:p>
    <w:p w:rsidR="00AA120F" w:rsidRPr="00DA3BC7" w:rsidRDefault="00AA120F" w:rsidP="00AE3920">
      <w:pPr>
        <w:spacing w:beforeLines="30"/>
        <w:ind w:leftChars="250" w:left="600"/>
        <w:jc w:val="both"/>
        <w:rPr>
          <w:rFonts w:ascii="Times New Roman" w:hAnsi="Times New Roman"/>
          <w:b/>
          <w:sz w:val="20"/>
          <w:szCs w:val="20"/>
          <w:bdr w:val="single" w:sz="4" w:space="0" w:color="auto"/>
        </w:rPr>
      </w:pPr>
      <w:r w:rsidRPr="004D39BD">
        <w:rPr>
          <w:rFonts w:ascii="Times New Roman" w:hAnsi="Times New Roman"/>
          <w:b/>
          <w:color w:val="FF0000"/>
          <w:sz w:val="20"/>
          <w:szCs w:val="20"/>
          <w:highlight w:val="yellow"/>
          <w:bdr w:val="single" w:sz="4" w:space="0" w:color="auto"/>
        </w:rPr>
        <w:lastRenderedPageBreak/>
        <w:t>（</w:t>
      </w:r>
      <w:r w:rsidR="004D39BD" w:rsidRPr="004D39BD">
        <w:rPr>
          <w:rFonts w:ascii="Times New Roman" w:hAnsi="Times New Roman" w:hint="eastAsia"/>
          <w:b/>
          <w:color w:val="FF0000"/>
          <w:sz w:val="20"/>
          <w:szCs w:val="20"/>
          <w:highlight w:val="yellow"/>
          <w:bdr w:val="single" w:sz="4" w:space="0" w:color="auto"/>
        </w:rPr>
        <w:t>2</w:t>
      </w:r>
      <w:r w:rsidRPr="004D39BD">
        <w:rPr>
          <w:rFonts w:ascii="Times New Roman" w:hAnsi="Times New Roman"/>
          <w:b/>
          <w:color w:val="FF0000"/>
          <w:sz w:val="20"/>
          <w:szCs w:val="20"/>
          <w:highlight w:val="yellow"/>
          <w:bdr w:val="single" w:sz="4" w:space="0" w:color="auto"/>
        </w:rPr>
        <w:t>）</w:t>
      </w:r>
      <w:r w:rsidR="004D39BD" w:rsidRPr="004D39BD">
        <w:rPr>
          <w:rFonts w:ascii="Times New Roman" w:hAnsi="Times New Roman" w:hint="eastAsia"/>
          <w:b/>
          <w:color w:val="FF0000"/>
          <w:sz w:val="20"/>
          <w:szCs w:val="20"/>
          <w:highlight w:val="yellow"/>
          <w:bdr w:val="single" w:sz="4" w:space="0" w:color="auto"/>
        </w:rPr>
        <w:t>釋</w:t>
      </w:r>
      <w:r w:rsidRPr="004D39BD">
        <w:rPr>
          <w:rFonts w:ascii="Times New Roman" w:hAnsi="Times New Roman"/>
          <w:b/>
          <w:color w:val="FF0000"/>
          <w:sz w:val="20"/>
          <w:szCs w:val="20"/>
          <w:highlight w:val="yellow"/>
          <w:bdr w:val="single" w:sz="4" w:space="0" w:color="auto"/>
        </w:rPr>
        <w:t>義</w:t>
      </w:r>
      <w:r w:rsidRPr="00DA3BC7">
        <w:rPr>
          <w:rFonts w:ascii="Times New Roman" w:hAnsi="Times New Roman"/>
          <w:sz w:val="20"/>
          <w:szCs w:val="20"/>
        </w:rPr>
        <w:t>（</w:t>
      </w:r>
      <w:r w:rsidRPr="00DA3BC7">
        <w:rPr>
          <w:rFonts w:ascii="Times New Roman" w:hAnsi="Times New Roman"/>
          <w:sz w:val="20"/>
          <w:szCs w:val="20"/>
        </w:rPr>
        <w:t>pp.223</w:t>
      </w:r>
      <w:r w:rsidRPr="00DA3BC7">
        <w:rPr>
          <w:rFonts w:ascii="Times New Roman" w:hAnsi="Times New Roman" w:hint="eastAsia"/>
          <w:sz w:val="20"/>
          <w:szCs w:val="20"/>
        </w:rPr>
        <w:t>-224</w:t>
      </w:r>
      <w:r w:rsidRPr="00DA3BC7">
        <w:rPr>
          <w:rFonts w:ascii="Times New Roman" w:hAnsi="Times New Roman"/>
          <w:sz w:val="20"/>
          <w:szCs w:val="20"/>
        </w:rPr>
        <w:t>）</w:t>
      </w:r>
    </w:p>
    <w:p w:rsidR="004D39BD" w:rsidRDefault="004D39BD" w:rsidP="00926F79">
      <w:pPr>
        <w:ind w:leftChars="300" w:left="720"/>
        <w:jc w:val="both"/>
        <w:rPr>
          <w:rFonts w:ascii="Times New Roman" w:hAnsi="Times New Roman"/>
          <w:b/>
          <w:color w:val="FF0000"/>
          <w:sz w:val="20"/>
          <w:szCs w:val="20"/>
          <w:bdr w:val="single" w:sz="4" w:space="0" w:color="auto"/>
        </w:rPr>
      </w:pPr>
      <w:r>
        <w:rPr>
          <w:rFonts w:ascii="Times New Roman" w:hAnsi="Times New Roman" w:hint="eastAsia"/>
          <w:b/>
          <w:color w:val="FF0000"/>
          <w:sz w:val="20"/>
          <w:szCs w:val="20"/>
          <w:highlight w:val="yellow"/>
          <w:bdr w:val="single" w:sz="4" w:space="0" w:color="auto"/>
        </w:rPr>
        <w:t>A</w:t>
      </w:r>
      <w:r>
        <w:rPr>
          <w:rFonts w:ascii="Times New Roman" w:hAnsi="Times New Roman" w:hint="eastAsia"/>
          <w:b/>
          <w:color w:val="FF0000"/>
          <w:sz w:val="20"/>
          <w:szCs w:val="20"/>
          <w:highlight w:val="yellow"/>
          <w:bdr w:val="single" w:sz="4" w:space="0" w:color="auto"/>
        </w:rPr>
        <w:t>、佛說「空」以破執──了義</w:t>
      </w:r>
      <w:r w:rsidR="00755935" w:rsidRPr="00DA3BC7">
        <w:rPr>
          <w:rFonts w:ascii="Times New Roman" w:hAnsi="Times New Roman"/>
          <w:sz w:val="20"/>
          <w:szCs w:val="20"/>
        </w:rPr>
        <w:t>（</w:t>
      </w:r>
      <w:r w:rsidR="00755935" w:rsidRPr="00DA3BC7">
        <w:rPr>
          <w:rFonts w:ascii="Times New Roman" w:hAnsi="Times New Roman"/>
          <w:sz w:val="20"/>
          <w:szCs w:val="20"/>
        </w:rPr>
        <w:t>pp.223</w:t>
      </w:r>
      <w:r w:rsidR="00755935" w:rsidRPr="00DA3BC7">
        <w:rPr>
          <w:rFonts w:ascii="Times New Roman" w:hAnsi="Times New Roman" w:hint="eastAsia"/>
          <w:sz w:val="20"/>
          <w:szCs w:val="20"/>
        </w:rPr>
        <w:t>-224</w:t>
      </w:r>
      <w:r w:rsidR="00755935" w:rsidRPr="00DA3BC7">
        <w:rPr>
          <w:rFonts w:ascii="Times New Roman" w:hAnsi="Times New Roman"/>
          <w:sz w:val="20"/>
          <w:szCs w:val="20"/>
        </w:rPr>
        <w:t>）</w:t>
      </w:r>
    </w:p>
    <w:p w:rsidR="00AA120F" w:rsidRPr="00DA3BC7" w:rsidRDefault="00AA120F" w:rsidP="00926F79">
      <w:pPr>
        <w:ind w:leftChars="300" w:left="720"/>
        <w:jc w:val="both"/>
        <w:rPr>
          <w:rFonts w:ascii="Times New Roman" w:hAnsi="Times New Roman"/>
        </w:rPr>
      </w:pPr>
      <w:r w:rsidRPr="00DA3BC7">
        <w:rPr>
          <w:rFonts w:ascii="Times New Roman" w:hAnsi="Times New Roman"/>
        </w:rPr>
        <w:t>龍樹菩薩說：「</w:t>
      </w:r>
      <w:r w:rsidRPr="00DA3BC7">
        <w:rPr>
          <w:rFonts w:ascii="Times New Roman" w:eastAsia="標楷體" w:hAnsi="Times New Roman"/>
        </w:rPr>
        <w:t>大聖說空法，為離諸見故</w:t>
      </w:r>
      <w:r w:rsidRPr="00DA3BC7">
        <w:rPr>
          <w:rFonts w:ascii="Times New Roman" w:hAnsi="Times New Roman"/>
        </w:rPr>
        <w:t>。」</w:t>
      </w:r>
      <w:r w:rsidRPr="00DA3BC7">
        <w:rPr>
          <w:rStyle w:val="a6"/>
          <w:rFonts w:ascii="Times New Roman" w:hAnsi="Times New Roman"/>
        </w:rPr>
        <w:footnoteReference w:id="976"/>
      </w:r>
      <w:r w:rsidRPr="00DA3BC7">
        <w:rPr>
          <w:rFonts w:ascii="Times New Roman" w:hAnsi="Times New Roman"/>
        </w:rPr>
        <w:t>離一切妄見，即是要學者泯絕</w:t>
      </w:r>
      <w:r w:rsidRPr="00DA3BC7">
        <w:rPr>
          <w:rStyle w:val="a6"/>
          <w:rFonts w:ascii="Times New Roman" w:hAnsi="Times New Roman"/>
        </w:rPr>
        <w:footnoteReference w:id="977"/>
      </w:r>
      <w:r w:rsidRPr="00DA3BC7">
        <w:rPr>
          <w:rFonts w:ascii="Times New Roman" w:hAnsi="Times New Roman"/>
        </w:rPr>
        <w:t>一切，就是空相也不可耽</w:t>
      </w:r>
      <w:r w:rsidRPr="00DA3BC7">
        <w:rPr>
          <w:rStyle w:val="a6"/>
          <w:rFonts w:ascii="Times New Roman" w:hAnsi="Times New Roman"/>
        </w:rPr>
        <w:footnoteReference w:id="978"/>
      </w:r>
      <w:r w:rsidRPr="00DA3BC7">
        <w:rPr>
          <w:rFonts w:ascii="Times New Roman" w:hAnsi="Times New Roman"/>
        </w:rPr>
        <w:t>著。</w:t>
      </w:r>
    </w:p>
    <w:p w:rsidR="00AA120F" w:rsidRPr="00DA3BC7" w:rsidRDefault="00AA120F" w:rsidP="00AE3920">
      <w:pPr>
        <w:spacing w:beforeLines="20"/>
        <w:ind w:leftChars="300" w:left="720"/>
        <w:jc w:val="both"/>
        <w:rPr>
          <w:rFonts w:ascii="Times New Roman" w:eastAsia="SimSun" w:hAnsi="Times New Roman"/>
        </w:rPr>
      </w:pPr>
      <w:r w:rsidRPr="00DA3BC7">
        <w:rPr>
          <w:rFonts w:ascii="Times New Roman" w:hAnsi="Times New Roman"/>
        </w:rPr>
        <w:t>若有空相現前，執有空相可取，這不是佛陀說「空」的本義。因為所執的空相，是落於相對的，礙於寂滅的。</w:t>
      </w:r>
    </w:p>
    <w:p w:rsidR="004D39BD" w:rsidRDefault="004D39BD" w:rsidP="00AE3920">
      <w:pPr>
        <w:spacing w:beforeLines="30"/>
        <w:ind w:leftChars="300" w:left="720"/>
        <w:jc w:val="both"/>
        <w:rPr>
          <w:rFonts w:ascii="Times New Roman" w:hAnsi="Times New Roman"/>
          <w:b/>
          <w:color w:val="FF0000"/>
          <w:sz w:val="20"/>
          <w:szCs w:val="20"/>
          <w:bdr w:val="single" w:sz="4" w:space="0" w:color="auto"/>
        </w:rPr>
      </w:pPr>
      <w:r>
        <w:rPr>
          <w:rFonts w:ascii="Times New Roman" w:hAnsi="Times New Roman" w:hint="eastAsia"/>
          <w:b/>
          <w:color w:val="FF0000"/>
          <w:sz w:val="20"/>
          <w:szCs w:val="20"/>
          <w:highlight w:val="yellow"/>
          <w:bdr w:val="single" w:sz="4" w:space="0" w:color="auto"/>
        </w:rPr>
        <w:t>B</w:t>
      </w:r>
      <w:r>
        <w:rPr>
          <w:rFonts w:ascii="Times New Roman" w:hAnsi="Times New Roman" w:hint="eastAsia"/>
          <w:b/>
          <w:color w:val="FF0000"/>
          <w:sz w:val="20"/>
          <w:szCs w:val="20"/>
          <w:highlight w:val="yellow"/>
          <w:bdr w:val="single" w:sz="4" w:space="0" w:color="auto"/>
        </w:rPr>
        <w:t>、若取「空」</w:t>
      </w:r>
      <w:r w:rsidR="00247238">
        <w:rPr>
          <w:rFonts w:ascii="Times New Roman" w:hAnsi="Times New Roman" w:hint="eastAsia"/>
          <w:b/>
          <w:color w:val="FF0000"/>
          <w:sz w:val="20"/>
          <w:szCs w:val="20"/>
          <w:highlight w:val="yellow"/>
          <w:bdr w:val="single" w:sz="4" w:space="0" w:color="auto"/>
        </w:rPr>
        <w:t>而</w:t>
      </w:r>
      <w:r>
        <w:rPr>
          <w:rFonts w:ascii="Times New Roman" w:hAnsi="Times New Roman" w:hint="eastAsia"/>
          <w:b/>
          <w:color w:val="FF0000"/>
          <w:sz w:val="20"/>
          <w:szCs w:val="20"/>
          <w:highlight w:val="yellow"/>
          <w:bdr w:val="single" w:sz="4" w:space="0" w:color="auto"/>
        </w:rPr>
        <w:t>復執──不了義</w:t>
      </w:r>
      <w:r w:rsidR="00755935" w:rsidRPr="00DA3BC7">
        <w:rPr>
          <w:rFonts w:ascii="Times New Roman" w:hAnsi="Times New Roman"/>
          <w:sz w:val="20"/>
          <w:szCs w:val="20"/>
        </w:rPr>
        <w:t>（</w:t>
      </w:r>
      <w:r w:rsidR="00755935" w:rsidRPr="00DA3BC7">
        <w:rPr>
          <w:rFonts w:ascii="Times New Roman" w:hAnsi="Times New Roman"/>
          <w:sz w:val="20"/>
          <w:szCs w:val="20"/>
        </w:rPr>
        <w:t>p.22</w:t>
      </w:r>
      <w:r w:rsidR="00755935" w:rsidRPr="00DA3BC7">
        <w:rPr>
          <w:rFonts w:ascii="Times New Roman" w:hAnsi="Times New Roman" w:hint="eastAsia"/>
          <w:sz w:val="20"/>
          <w:szCs w:val="20"/>
        </w:rPr>
        <w:t>4</w:t>
      </w:r>
      <w:r w:rsidR="00755935" w:rsidRPr="00DA3BC7">
        <w:rPr>
          <w:rFonts w:ascii="Times New Roman" w:hAnsi="Times New Roman"/>
          <w:sz w:val="20"/>
          <w:szCs w:val="20"/>
        </w:rPr>
        <w:t>）</w:t>
      </w:r>
    </w:p>
    <w:p w:rsidR="00AA120F" w:rsidRPr="00DA3BC7" w:rsidRDefault="00AA120F" w:rsidP="00926F79">
      <w:pPr>
        <w:ind w:leftChars="300" w:left="720"/>
        <w:jc w:val="both"/>
        <w:rPr>
          <w:rFonts w:ascii="Times New Roman" w:hAnsi="Times New Roman"/>
        </w:rPr>
      </w:pPr>
      <w:r w:rsidRPr="00DA3BC7">
        <w:rPr>
          <w:rFonts w:ascii="Times New Roman" w:hAnsi="Times New Roman"/>
          <w:b/>
        </w:rPr>
        <w:t>佛說空教的真義，是了義的</w:t>
      </w:r>
      <w:r w:rsidRPr="00DA3BC7">
        <w:rPr>
          <w:rFonts w:ascii="Times New Roman" w:hAnsi="Times New Roman"/>
        </w:rPr>
        <w:t>；但在有空可見可取的根機前，不解空義，空於眾生成為</w:t>
      </w:r>
      <w:r w:rsidRPr="00DA3BC7">
        <w:rPr>
          <w:rFonts w:ascii="Times New Roman" w:hAnsi="Times New Roman"/>
          <w:b/>
        </w:rPr>
        <w:t>不了義</w:t>
      </w:r>
      <w:r w:rsidRPr="00DA3BC7">
        <w:rPr>
          <w:rFonts w:ascii="Times New Roman" w:hAnsi="Times New Roman"/>
        </w:rPr>
        <w:t>了。</w:t>
      </w:r>
    </w:p>
    <w:p w:rsidR="00AA120F" w:rsidRPr="00DA3BC7" w:rsidRDefault="00AA120F" w:rsidP="00AE3920">
      <w:pPr>
        <w:spacing w:beforeLines="20"/>
        <w:ind w:leftChars="300" w:left="720"/>
        <w:jc w:val="both"/>
        <w:rPr>
          <w:rFonts w:ascii="Times New Roman" w:eastAsia="SimSun" w:hAnsi="Times New Roman"/>
        </w:rPr>
      </w:pPr>
      <w:r w:rsidRPr="00DA3BC7">
        <w:rPr>
          <w:rFonts w:ascii="Times New Roman" w:hAnsi="Times New Roman"/>
          <w:bCs/>
        </w:rPr>
        <w:t>所以</w:t>
      </w:r>
      <w:r w:rsidRPr="00DA3BC7">
        <w:rPr>
          <w:rFonts w:ascii="Times New Roman" w:hAnsi="Times New Roman"/>
        </w:rPr>
        <w:t>龍樹菩薩也有破空的地方，如說：「</w:t>
      </w:r>
      <w:r w:rsidRPr="00DA3BC7">
        <w:rPr>
          <w:rFonts w:ascii="Times New Roman" w:eastAsia="標楷體" w:hAnsi="Times New Roman"/>
        </w:rPr>
        <w:t>若復見有空，諸佛所不化</w:t>
      </w:r>
      <w:r w:rsidRPr="00DA3BC7">
        <w:rPr>
          <w:rFonts w:ascii="Times New Roman" w:hAnsi="Times New Roman"/>
        </w:rPr>
        <w:t>。」</w:t>
      </w:r>
      <w:r w:rsidRPr="00DA3BC7">
        <w:rPr>
          <w:rStyle w:val="a6"/>
          <w:rFonts w:ascii="Times New Roman" w:hAnsi="Times New Roman"/>
        </w:rPr>
        <w:footnoteReference w:id="979"/>
      </w:r>
      <w:r w:rsidRPr="00DA3BC7">
        <w:rPr>
          <w:rFonts w:ascii="Times New Roman" w:hAnsi="Times New Roman"/>
        </w:rPr>
        <w:t>龍樹所彈</w:t>
      </w:r>
      <w:r w:rsidRPr="00DA3BC7">
        <w:rPr>
          <w:rStyle w:val="a6"/>
          <w:rFonts w:ascii="Times New Roman" w:hAnsi="Times New Roman"/>
        </w:rPr>
        <w:footnoteReference w:id="980"/>
      </w:r>
      <w:r w:rsidRPr="00DA3BC7">
        <w:rPr>
          <w:rFonts w:ascii="Times New Roman" w:hAnsi="Times New Roman"/>
        </w:rPr>
        <w:t>斥的空，因一般人以為有空可空，而執空為實體的，或執空礙有而都無的，這即不是佛說空的本義了。</w:t>
      </w:r>
      <w:r w:rsidRPr="004D39BD">
        <w:rPr>
          <w:rFonts w:ascii="Times New Roman" w:hAnsi="Times New Roman"/>
          <w:bCs/>
          <w:highlight w:val="yellow"/>
        </w:rPr>
        <w:t>所</w:t>
      </w:r>
      <w:r w:rsidRPr="00DA3BC7">
        <w:rPr>
          <w:rFonts w:ascii="Times New Roman" w:hAnsi="Times New Roman"/>
          <w:bCs/>
        </w:rPr>
        <w:t>以</w:t>
      </w:r>
      <w:r w:rsidRPr="00DA3BC7">
        <w:rPr>
          <w:rFonts w:ascii="Times New Roman" w:hAnsi="Times New Roman"/>
        </w:rPr>
        <w:t>青目說：「</w:t>
      </w:r>
      <w:r w:rsidRPr="00DA3BC7">
        <w:rPr>
          <w:rFonts w:ascii="Times New Roman" w:eastAsia="標楷體" w:hAnsi="Times New Roman"/>
        </w:rPr>
        <w:t>空亦復空，但為引導眾生，故以假名說</w:t>
      </w:r>
      <w:r w:rsidRPr="00DA3BC7">
        <w:rPr>
          <w:rFonts w:ascii="Times New Roman" w:hAnsi="Times New Roman"/>
        </w:rPr>
        <w:t>。」</w:t>
      </w:r>
      <w:r w:rsidRPr="00DA3BC7">
        <w:rPr>
          <w:rStyle w:val="a6"/>
          <w:rFonts w:ascii="Times New Roman" w:hAnsi="Times New Roman"/>
        </w:rPr>
        <w:footnoteReference w:id="981"/>
      </w:r>
      <w:r w:rsidRPr="00DA3BC7">
        <w:rPr>
          <w:rFonts w:ascii="Times New Roman" w:hAnsi="Times New Roman"/>
        </w:rPr>
        <w:t>如落於相對的，執有空體可取，那空即與有無的無相同。</w:t>
      </w:r>
    </w:p>
    <w:p w:rsidR="004D39BD" w:rsidRDefault="00926F79" w:rsidP="00AE3920">
      <w:pPr>
        <w:spacing w:beforeLines="30"/>
        <w:ind w:leftChars="300" w:left="720"/>
        <w:jc w:val="both"/>
        <w:rPr>
          <w:rFonts w:ascii="Times New Roman" w:hAnsi="Times New Roman"/>
          <w:b/>
          <w:color w:val="FF0000"/>
          <w:sz w:val="20"/>
          <w:szCs w:val="20"/>
          <w:bdr w:val="single" w:sz="4" w:space="0" w:color="auto"/>
        </w:rPr>
      </w:pPr>
      <w:r>
        <w:rPr>
          <w:rFonts w:ascii="Times New Roman" w:hAnsi="Times New Roman" w:hint="eastAsia"/>
          <w:b/>
          <w:color w:val="FF0000"/>
          <w:sz w:val="20"/>
          <w:szCs w:val="20"/>
          <w:highlight w:val="yellow"/>
          <w:bdr w:val="single" w:sz="4" w:space="0" w:color="auto"/>
        </w:rPr>
        <w:t>C</w:t>
      </w:r>
      <w:r w:rsidR="004D39BD">
        <w:rPr>
          <w:rFonts w:ascii="Times New Roman" w:hAnsi="Times New Roman" w:hint="eastAsia"/>
          <w:b/>
          <w:color w:val="FF0000"/>
          <w:sz w:val="20"/>
          <w:szCs w:val="20"/>
          <w:highlight w:val="yellow"/>
          <w:bdr w:val="single" w:sz="4" w:space="0" w:color="auto"/>
        </w:rPr>
        <w:t>、畢竟空</w:t>
      </w:r>
      <w:r w:rsidR="00247238">
        <w:rPr>
          <w:rFonts w:ascii="Times New Roman" w:hAnsi="Times New Roman" w:hint="eastAsia"/>
          <w:b/>
          <w:color w:val="FF0000"/>
          <w:sz w:val="20"/>
          <w:szCs w:val="20"/>
          <w:highlight w:val="yellow"/>
          <w:bdr w:val="single" w:sz="4" w:space="0" w:color="auto"/>
        </w:rPr>
        <w:t>，</w:t>
      </w:r>
      <w:r w:rsidR="004D39BD">
        <w:rPr>
          <w:rFonts w:ascii="Times New Roman" w:hAnsi="Times New Roman" w:hint="eastAsia"/>
          <w:b/>
          <w:color w:val="FF0000"/>
          <w:sz w:val="20"/>
          <w:szCs w:val="20"/>
          <w:highlight w:val="yellow"/>
          <w:bdr w:val="single" w:sz="4" w:space="0" w:color="auto"/>
        </w:rPr>
        <w:t>「有無」</w:t>
      </w:r>
      <w:r w:rsidR="00247238">
        <w:rPr>
          <w:rFonts w:ascii="Times New Roman" w:hAnsi="Times New Roman" w:hint="eastAsia"/>
          <w:b/>
          <w:color w:val="FF0000"/>
          <w:sz w:val="20"/>
          <w:szCs w:val="20"/>
          <w:highlight w:val="yellow"/>
          <w:bdr w:val="single" w:sz="4" w:space="0" w:color="auto"/>
        </w:rPr>
        <w:t>寂</w:t>
      </w:r>
      <w:r w:rsidR="004D39BD">
        <w:rPr>
          <w:rFonts w:ascii="Times New Roman" w:hAnsi="Times New Roman" w:hint="eastAsia"/>
          <w:b/>
          <w:color w:val="FF0000"/>
          <w:sz w:val="20"/>
          <w:szCs w:val="20"/>
          <w:highlight w:val="yellow"/>
          <w:bdr w:val="single" w:sz="4" w:space="0" w:color="auto"/>
        </w:rPr>
        <w:t>──了義</w:t>
      </w:r>
      <w:r w:rsidR="00755935" w:rsidRPr="00DA3BC7">
        <w:rPr>
          <w:rFonts w:ascii="Times New Roman" w:hAnsi="Times New Roman"/>
          <w:sz w:val="20"/>
          <w:szCs w:val="20"/>
        </w:rPr>
        <w:t>（</w:t>
      </w:r>
      <w:r w:rsidR="00755935" w:rsidRPr="00DA3BC7">
        <w:rPr>
          <w:rFonts w:ascii="Times New Roman" w:hAnsi="Times New Roman"/>
          <w:sz w:val="20"/>
          <w:szCs w:val="20"/>
        </w:rPr>
        <w:t>p.22</w:t>
      </w:r>
      <w:r w:rsidR="00755935" w:rsidRPr="00DA3BC7">
        <w:rPr>
          <w:rFonts w:ascii="Times New Roman" w:hAnsi="Times New Roman" w:hint="eastAsia"/>
          <w:sz w:val="20"/>
          <w:szCs w:val="20"/>
        </w:rPr>
        <w:t>4</w:t>
      </w:r>
      <w:r w:rsidR="00755935" w:rsidRPr="00DA3BC7">
        <w:rPr>
          <w:rFonts w:ascii="Times New Roman" w:hAnsi="Times New Roman"/>
          <w:sz w:val="20"/>
          <w:szCs w:val="20"/>
        </w:rPr>
        <w:t>）</w:t>
      </w:r>
    </w:p>
    <w:p w:rsidR="00AA120F" w:rsidRPr="00DA3BC7" w:rsidRDefault="00AA120F" w:rsidP="00C63317">
      <w:pPr>
        <w:ind w:leftChars="300" w:left="720"/>
        <w:jc w:val="both"/>
        <w:rPr>
          <w:rFonts w:ascii="Times New Roman" w:eastAsia="SimSun" w:hAnsi="Times New Roman"/>
        </w:rPr>
      </w:pPr>
      <w:r w:rsidRPr="00DA3BC7">
        <w:rPr>
          <w:rFonts w:ascii="Times New Roman" w:hAnsi="Times New Roman"/>
        </w:rPr>
        <w:t>所以龍樹菩薩說「</w:t>
      </w:r>
      <w:r w:rsidRPr="00DA3BC7">
        <w:rPr>
          <w:rFonts w:ascii="Times New Roman" w:eastAsia="標楷體" w:hAnsi="Times New Roman"/>
        </w:rPr>
        <w:t>畢竟空中，有無俱寂</w:t>
      </w:r>
      <w:r w:rsidRPr="00DA3BC7">
        <w:rPr>
          <w:rFonts w:ascii="Times New Roman" w:hAnsi="Times New Roman"/>
        </w:rPr>
        <w:t>」</w:t>
      </w:r>
      <w:r w:rsidR="00735A93" w:rsidRPr="00DA3BC7">
        <w:rPr>
          <w:rFonts w:ascii="Times New Roman" w:hAnsi="Times New Roman"/>
        </w:rPr>
        <w:t>，</w:t>
      </w:r>
      <w:r w:rsidRPr="00DA3BC7">
        <w:rPr>
          <w:rStyle w:val="a6"/>
          <w:rFonts w:ascii="Times New Roman" w:hAnsi="Times New Roman"/>
        </w:rPr>
        <w:footnoteReference w:id="982"/>
      </w:r>
      <w:r w:rsidRPr="00DA3BC7">
        <w:rPr>
          <w:rFonts w:ascii="Times New Roman" w:hAnsi="Times New Roman"/>
        </w:rPr>
        <w:t>佛說空是離一切見而超越</w:t>
      </w:r>
      <w:r w:rsidRPr="00DA3BC7">
        <w:rPr>
          <w:rFonts w:ascii="Times New Roman" w:hAnsi="Times New Roman"/>
        </w:rPr>
        <w:lastRenderedPageBreak/>
        <w:t>妄執戲論的</w:t>
      </w:r>
      <w:r w:rsidRPr="00DA3BC7">
        <w:rPr>
          <w:rFonts w:ascii="Times New Roman" w:hAnsi="Times New Roman" w:hint="eastAsia"/>
        </w:rPr>
        <w:t>，</w:t>
      </w:r>
      <w:r w:rsidRPr="00DA3BC7">
        <w:rPr>
          <w:rFonts w:ascii="Times New Roman" w:hAnsi="Times New Roman"/>
        </w:rPr>
        <w:t>從離一切妄執而不落相對說</w:t>
      </w:r>
      <w:r w:rsidRPr="00DA3BC7">
        <w:rPr>
          <w:rFonts w:ascii="Times New Roman" w:hAnsi="Times New Roman" w:hint="eastAsia"/>
        </w:rPr>
        <w:t>，</w:t>
      </w:r>
      <w:r w:rsidRPr="00DA3BC7">
        <w:rPr>
          <w:rFonts w:ascii="Times New Roman" w:hAnsi="Times New Roman"/>
        </w:rPr>
        <w:t>一切不可得，這即是</w:t>
      </w:r>
      <w:r w:rsidRPr="00DA3BC7">
        <w:rPr>
          <w:rFonts w:ascii="Times New Roman" w:hAnsi="Times New Roman"/>
          <w:b/>
        </w:rPr>
        <w:t>了義空</w:t>
      </w:r>
      <w:r w:rsidRPr="00DA3BC7">
        <w:rPr>
          <w:rFonts w:ascii="Times New Roman" w:hAnsi="Times New Roman"/>
        </w:rPr>
        <w:t>。</w:t>
      </w:r>
    </w:p>
    <w:p w:rsidR="00AA120F" w:rsidRPr="00DA3BC7" w:rsidRDefault="00A20C55" w:rsidP="00AE3920">
      <w:pPr>
        <w:spacing w:beforeLines="30"/>
        <w:ind w:leftChars="200" w:left="480"/>
        <w:jc w:val="both"/>
        <w:rPr>
          <w:rFonts w:ascii="Times New Roman" w:hAnsi="Times New Roman"/>
          <w:b/>
          <w:sz w:val="20"/>
          <w:szCs w:val="20"/>
          <w:bdr w:val="single" w:sz="4" w:space="0" w:color="auto"/>
        </w:rPr>
      </w:pPr>
      <w:r w:rsidRPr="00A20C55">
        <w:rPr>
          <w:rFonts w:ascii="Times New Roman" w:hAnsi="Times New Roman" w:hint="eastAsia"/>
          <w:b/>
          <w:color w:val="FF0000"/>
          <w:sz w:val="20"/>
          <w:szCs w:val="20"/>
          <w:highlight w:val="yellow"/>
          <w:bdr w:val="single" w:sz="4" w:space="0" w:color="auto"/>
        </w:rPr>
        <w:t>3</w:t>
      </w:r>
      <w:r w:rsidR="00AA120F" w:rsidRPr="00A20C55">
        <w:rPr>
          <w:rFonts w:ascii="Times New Roman" w:hAnsi="Times New Roman" w:hint="eastAsia"/>
          <w:b/>
          <w:color w:val="FF0000"/>
          <w:sz w:val="20"/>
          <w:szCs w:val="20"/>
          <w:highlight w:val="yellow"/>
          <w:bdr w:val="single" w:sz="4" w:space="0" w:color="auto"/>
        </w:rPr>
        <w:t>、</w:t>
      </w:r>
      <w:r w:rsidRPr="00A20C55">
        <w:rPr>
          <w:rFonts w:ascii="Times New Roman" w:hAnsi="Times New Roman" w:hint="eastAsia"/>
          <w:b/>
          <w:color w:val="FF0000"/>
          <w:sz w:val="20"/>
          <w:szCs w:val="20"/>
          <w:highlight w:val="yellow"/>
          <w:bdr w:val="single" w:sz="4" w:space="0" w:color="auto"/>
        </w:rPr>
        <w:t>明義</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bCs/>
          <w:sz w:val="20"/>
          <w:szCs w:val="20"/>
        </w:rPr>
        <w:t>22</w:t>
      </w:r>
      <w:r w:rsidR="00AA120F" w:rsidRPr="00DA3BC7">
        <w:rPr>
          <w:rFonts w:ascii="Times New Roman" w:eastAsia="SimSun" w:hAnsi="Times New Roman" w:hint="eastAsia"/>
          <w:bCs/>
          <w:sz w:val="20"/>
          <w:szCs w:val="20"/>
        </w:rPr>
        <w:t>4</w:t>
      </w:r>
      <w:r w:rsidR="00AA120F" w:rsidRPr="00DA3BC7">
        <w:rPr>
          <w:rFonts w:ascii="Times New Roman" w:hAnsi="Times New Roman"/>
          <w:sz w:val="20"/>
          <w:szCs w:val="20"/>
        </w:rPr>
        <w:t>）</w:t>
      </w:r>
    </w:p>
    <w:p w:rsidR="00AA120F" w:rsidRPr="00DA3BC7" w:rsidRDefault="00AA120F" w:rsidP="001E65EB">
      <w:pPr>
        <w:ind w:leftChars="200" w:left="480"/>
        <w:jc w:val="both"/>
        <w:rPr>
          <w:rFonts w:ascii="Times New Roman" w:eastAsia="SimSun" w:hAnsi="Times New Roman"/>
        </w:rPr>
      </w:pPr>
      <w:r w:rsidRPr="00DA3BC7">
        <w:rPr>
          <w:rFonts w:ascii="Times New Roman" w:hAnsi="Times New Roman"/>
        </w:rPr>
        <w:t>如此，可知空的本義，應是</w:t>
      </w:r>
      <w:r w:rsidRPr="00DA3BC7">
        <w:rPr>
          <w:rFonts w:ascii="Times New Roman" w:hAnsi="Times New Roman"/>
          <w:b/>
        </w:rPr>
        <w:t>言依假名而意在超越</w:t>
      </w:r>
      <w:r w:rsidRPr="00DA3BC7">
        <w:rPr>
          <w:rFonts w:ascii="Times New Roman" w:hAnsi="Times New Roman"/>
        </w:rPr>
        <w:t>的，即是</w:t>
      </w:r>
      <w:r w:rsidRPr="00DA3BC7">
        <w:rPr>
          <w:rFonts w:ascii="Times New Roman" w:hAnsi="Times New Roman"/>
          <w:b/>
        </w:rPr>
        <w:t>豎</w:t>
      </w:r>
      <w:r w:rsidRPr="00DA3BC7">
        <w:rPr>
          <w:rFonts w:ascii="Times New Roman" w:hAnsi="Times New Roman"/>
        </w:rPr>
        <w:t>的。</w:t>
      </w:r>
    </w:p>
    <w:p w:rsidR="00AA120F" w:rsidRPr="00DA3BC7" w:rsidRDefault="00AA120F" w:rsidP="001E65EB">
      <w:pPr>
        <w:ind w:leftChars="200" w:left="480"/>
        <w:jc w:val="both"/>
        <w:rPr>
          <w:rFonts w:ascii="Times New Roman" w:hAnsi="Times New Roman"/>
        </w:rPr>
      </w:pPr>
      <w:r w:rsidRPr="00DA3BC7">
        <w:rPr>
          <w:rFonts w:ascii="Times New Roman" w:hAnsi="Times New Roman"/>
          <w:b/>
        </w:rPr>
        <w:t>若滯</w:t>
      </w:r>
      <w:r w:rsidRPr="00DA3BC7">
        <w:rPr>
          <w:rStyle w:val="a6"/>
          <w:rFonts w:ascii="Times New Roman" w:hAnsi="Times New Roman"/>
        </w:rPr>
        <w:footnoteReference w:id="983"/>
      </w:r>
      <w:r w:rsidRPr="00DA3BC7">
        <w:rPr>
          <w:rFonts w:ascii="Times New Roman" w:hAnsi="Times New Roman"/>
          <w:b/>
        </w:rPr>
        <w:t>於相待的，依言執相的</w:t>
      </w:r>
      <w:r w:rsidRPr="00DA3BC7">
        <w:rPr>
          <w:rFonts w:ascii="Times New Roman" w:hAnsi="Times New Roman"/>
        </w:rPr>
        <w:t>，那「勝義空」即不成其為勝義，空即是</w:t>
      </w:r>
      <w:r w:rsidRPr="00DA3BC7">
        <w:rPr>
          <w:rFonts w:ascii="Times New Roman" w:hAnsi="Times New Roman"/>
          <w:b/>
        </w:rPr>
        <w:t>橫</w:t>
      </w:r>
      <w:r w:rsidRPr="00DA3BC7">
        <w:rPr>
          <w:rFonts w:ascii="Times New Roman" w:hAnsi="Times New Roman"/>
        </w:rPr>
        <w:t>的了。</w:t>
      </w:r>
    </w:p>
    <w:p w:rsidR="00AA120F" w:rsidRPr="00DA3BC7" w:rsidRDefault="001B3DEA" w:rsidP="00AE3920">
      <w:pPr>
        <w:spacing w:beforeLines="30"/>
        <w:ind w:leftChars="200" w:left="480"/>
        <w:jc w:val="both"/>
        <w:rPr>
          <w:rFonts w:ascii="Times New Roman" w:hAnsi="Times New Roman"/>
          <w:b/>
          <w:sz w:val="20"/>
          <w:szCs w:val="20"/>
        </w:rPr>
      </w:pPr>
      <w:r w:rsidRPr="001B3DEA">
        <w:rPr>
          <w:rFonts w:ascii="Times New Roman" w:hAnsi="Times New Roman" w:hint="eastAsia"/>
          <w:b/>
          <w:color w:val="FF0000"/>
          <w:sz w:val="20"/>
          <w:szCs w:val="20"/>
          <w:highlight w:val="yellow"/>
          <w:bdr w:val="single" w:sz="4" w:space="0" w:color="auto"/>
        </w:rPr>
        <w:t>4</w:t>
      </w:r>
      <w:r w:rsidR="00AA120F" w:rsidRPr="001B3DEA">
        <w:rPr>
          <w:rFonts w:ascii="Times New Roman" w:hAnsi="Times New Roman" w:hint="eastAsia"/>
          <w:b/>
          <w:color w:val="FF0000"/>
          <w:sz w:val="20"/>
          <w:szCs w:val="20"/>
          <w:highlight w:val="yellow"/>
          <w:bdr w:val="single" w:sz="4" w:space="0" w:color="auto"/>
        </w:rPr>
        <w:t>、</w:t>
      </w:r>
      <w:r w:rsidR="00AA120F" w:rsidRPr="001B3DEA">
        <w:rPr>
          <w:rFonts w:ascii="Times New Roman" w:hAnsi="Times New Roman"/>
          <w:b/>
          <w:color w:val="FF0000"/>
          <w:sz w:val="20"/>
          <w:szCs w:val="20"/>
          <w:highlight w:val="yellow"/>
          <w:bdr w:val="single" w:sz="4" w:space="0" w:color="auto"/>
        </w:rPr>
        <w:t>歸</w:t>
      </w:r>
      <w:r w:rsidRPr="001B3DEA">
        <w:rPr>
          <w:rFonts w:ascii="Times New Roman" w:hAnsi="Times New Roman" w:hint="eastAsia"/>
          <w:b/>
          <w:color w:val="FF0000"/>
          <w:sz w:val="20"/>
          <w:szCs w:val="20"/>
          <w:highlight w:val="yellow"/>
          <w:bdr w:val="single" w:sz="4" w:space="0" w:color="auto"/>
        </w:rPr>
        <w:t>結</w:t>
      </w:r>
      <w:r w:rsidR="00AA120F" w:rsidRPr="00DA3BC7">
        <w:rPr>
          <w:rFonts w:ascii="Times New Roman" w:hAnsi="Times New Roman"/>
          <w:sz w:val="20"/>
          <w:szCs w:val="20"/>
        </w:rPr>
        <w:t>（</w:t>
      </w:r>
      <w:r w:rsidR="00AA120F" w:rsidRPr="00DA3BC7">
        <w:rPr>
          <w:rFonts w:ascii="Times New Roman" w:hAnsi="Times New Roman"/>
          <w:sz w:val="20"/>
          <w:szCs w:val="20"/>
        </w:rPr>
        <w:t>p.224</w:t>
      </w:r>
      <w:r w:rsidR="00AA120F" w:rsidRPr="00DA3BC7">
        <w:rPr>
          <w:rFonts w:ascii="Times New Roman" w:hAnsi="Times New Roman"/>
          <w:sz w:val="20"/>
          <w:szCs w:val="20"/>
        </w:rPr>
        <w:t>）</w:t>
      </w:r>
    </w:p>
    <w:p w:rsidR="00AA120F" w:rsidRPr="00DA3BC7" w:rsidRDefault="00AA120F" w:rsidP="001E65EB">
      <w:pPr>
        <w:ind w:leftChars="200" w:left="480"/>
        <w:jc w:val="both"/>
        <w:rPr>
          <w:rFonts w:ascii="Times New Roman" w:hAnsi="Times New Roman"/>
        </w:rPr>
      </w:pPr>
      <w:r w:rsidRPr="00DA3BC7">
        <w:rPr>
          <w:rFonts w:ascii="Times New Roman" w:hAnsi="Times New Roman"/>
        </w:rPr>
        <w:t>「</w:t>
      </w:r>
      <w:r w:rsidRPr="00DA3BC7">
        <w:rPr>
          <w:rFonts w:ascii="Times New Roman" w:hAnsi="Times New Roman"/>
          <w:b/>
        </w:rPr>
        <w:t>教申二諦，宗歸一實</w:t>
      </w:r>
      <w:r w:rsidRPr="00DA3BC7">
        <w:rPr>
          <w:rFonts w:ascii="Times New Roman" w:hAnsi="Times New Roman"/>
        </w:rPr>
        <w:t>」</w:t>
      </w:r>
      <w:r w:rsidRPr="00DA3BC7">
        <w:rPr>
          <w:rStyle w:val="a6"/>
          <w:rFonts w:ascii="Times New Roman" w:hAnsi="Times New Roman"/>
        </w:rPr>
        <w:footnoteReference w:id="984"/>
      </w:r>
      <w:r w:rsidRPr="00DA3BC7">
        <w:rPr>
          <w:rFonts w:ascii="Times New Roman" w:hAnsi="Times New Roman"/>
        </w:rPr>
        <w:t>：即依言說明二諦，而</w:t>
      </w:r>
      <w:r w:rsidRPr="00DA3BC7">
        <w:rPr>
          <w:rFonts w:ascii="Times New Roman" w:hAnsi="Times New Roman"/>
          <w:b/>
        </w:rPr>
        <w:t>佛意在即俗以入真，不能執真而為俗</w:t>
      </w:r>
      <w:r w:rsidRPr="00DA3BC7">
        <w:rPr>
          <w:rFonts w:ascii="Times New Roman" w:hAnsi="Times New Roman"/>
        </w:rPr>
        <w:t>。</w:t>
      </w:r>
    </w:p>
    <w:p w:rsidR="00AA120F" w:rsidRPr="00DA3BC7" w:rsidRDefault="00AA120F" w:rsidP="001E65EB">
      <w:pPr>
        <w:ind w:leftChars="200" w:left="480"/>
        <w:jc w:val="both"/>
        <w:rPr>
          <w:rFonts w:ascii="Times New Roman" w:hAnsi="Times New Roman"/>
        </w:rPr>
      </w:pPr>
      <w:r w:rsidRPr="00DA3BC7">
        <w:rPr>
          <w:rFonts w:ascii="Times New Roman" w:hAnsi="Times New Roman"/>
        </w:rPr>
        <w:t>於空而有此橫豎的差別，這全由於學者的領悟不同。</w:t>
      </w:r>
    </w:p>
    <w:p w:rsidR="00AA120F" w:rsidRPr="00DA3BC7" w:rsidRDefault="001B3DEA" w:rsidP="00AE3920">
      <w:pPr>
        <w:spacing w:beforeLines="30"/>
        <w:ind w:leftChars="100" w:left="240"/>
        <w:jc w:val="both"/>
        <w:rPr>
          <w:rFonts w:ascii="Times New Roman" w:hAnsi="Times New Roman"/>
          <w:b/>
          <w:bCs/>
          <w:sz w:val="20"/>
          <w:szCs w:val="20"/>
        </w:rPr>
      </w:pPr>
      <w:r w:rsidRPr="001B3DEA">
        <w:rPr>
          <w:rFonts w:ascii="Times New Roman" w:hAnsi="Times New Roman" w:hint="eastAsia"/>
          <w:b/>
          <w:color w:val="FF0000"/>
          <w:sz w:val="20"/>
          <w:szCs w:val="20"/>
          <w:highlight w:val="yellow"/>
          <w:bdr w:val="single" w:sz="4" w:space="0" w:color="auto"/>
        </w:rPr>
        <w:t>二</w:t>
      </w:r>
      <w:r w:rsidRPr="001B3DEA">
        <w:rPr>
          <w:rFonts w:ascii="Times New Roman" w:hAnsi="Times New Roman"/>
          <w:b/>
          <w:color w:val="FF0000"/>
          <w:sz w:val="20"/>
          <w:szCs w:val="20"/>
          <w:highlight w:val="yellow"/>
          <w:bdr w:val="single" w:sz="4" w:space="0" w:color="auto"/>
        </w:rPr>
        <w:t>、</w:t>
      </w:r>
      <w:r w:rsidR="004711CF" w:rsidRPr="00DA3BC7">
        <w:rPr>
          <w:rFonts w:ascii="Times New Roman" w:hAnsi="Times New Roman"/>
          <w:b/>
          <w:bCs/>
          <w:sz w:val="20"/>
          <w:szCs w:val="20"/>
          <w:bdr w:val="single" w:sz="4" w:space="0" w:color="auto"/>
        </w:rPr>
        <w:t>「</w:t>
      </w:r>
      <w:r w:rsidR="00AA120F" w:rsidRPr="00DA3BC7">
        <w:rPr>
          <w:rFonts w:ascii="Times New Roman" w:hAnsi="Times New Roman"/>
          <w:b/>
          <w:bCs/>
          <w:sz w:val="20"/>
          <w:szCs w:val="20"/>
          <w:bdr w:val="single" w:sz="4" w:space="0" w:color="auto"/>
        </w:rPr>
        <w:t>二諦</w:t>
      </w:r>
      <w:r w:rsidR="004711CF">
        <w:rPr>
          <w:rFonts w:ascii="Times New Roman" w:hAnsi="Times New Roman" w:hint="eastAsia"/>
          <w:b/>
          <w:bCs/>
          <w:sz w:val="20"/>
          <w:szCs w:val="20"/>
          <w:bdr w:val="single" w:sz="4" w:space="0" w:color="auto"/>
        </w:rPr>
        <w:t>『</w:t>
      </w:r>
      <w:r w:rsidR="00AA120F" w:rsidRPr="00DA3BC7">
        <w:rPr>
          <w:rFonts w:ascii="Times New Roman" w:hAnsi="Times New Roman"/>
          <w:b/>
          <w:bCs/>
          <w:sz w:val="20"/>
          <w:szCs w:val="20"/>
          <w:bdr w:val="single" w:sz="4" w:space="0" w:color="auto"/>
        </w:rPr>
        <w:t>單、複</w:t>
      </w:r>
      <w:r w:rsidR="004711CF">
        <w:rPr>
          <w:rFonts w:ascii="Times New Roman" w:hAnsi="Times New Roman" w:hint="eastAsia"/>
          <w:b/>
          <w:bCs/>
          <w:sz w:val="20"/>
          <w:szCs w:val="20"/>
          <w:bdr w:val="single" w:sz="4" w:space="0" w:color="auto"/>
        </w:rPr>
        <w:t>』</w:t>
      </w:r>
      <w:r w:rsidR="00AA120F" w:rsidRPr="00DA3BC7">
        <w:rPr>
          <w:rFonts w:ascii="Times New Roman" w:hAnsi="Times New Roman"/>
          <w:b/>
          <w:bCs/>
          <w:sz w:val="20"/>
          <w:szCs w:val="20"/>
          <w:bdr w:val="single" w:sz="4" w:space="0" w:color="auto"/>
        </w:rPr>
        <w:t>」之辨</w:t>
      </w:r>
      <w:r w:rsidR="00AA120F" w:rsidRPr="00DA3BC7">
        <w:rPr>
          <w:rFonts w:ascii="Times New Roman" w:hAnsi="Times New Roman"/>
          <w:sz w:val="20"/>
          <w:szCs w:val="20"/>
        </w:rPr>
        <w:t>（</w:t>
      </w:r>
      <w:r w:rsidR="00AA120F" w:rsidRPr="00DA3BC7">
        <w:rPr>
          <w:rFonts w:ascii="Times New Roman" w:hAnsi="Times New Roman"/>
          <w:sz w:val="20"/>
          <w:szCs w:val="20"/>
        </w:rPr>
        <w:t>pp.</w:t>
      </w:r>
      <w:r w:rsidR="00AA120F" w:rsidRPr="00DA3BC7">
        <w:rPr>
          <w:rFonts w:ascii="Times New Roman" w:hAnsi="Times New Roman"/>
          <w:bCs/>
          <w:sz w:val="20"/>
          <w:szCs w:val="20"/>
        </w:rPr>
        <w:t>224-225</w:t>
      </w:r>
      <w:r w:rsidR="00AA120F" w:rsidRPr="00DA3BC7">
        <w:rPr>
          <w:rFonts w:ascii="Times New Roman" w:hAnsi="Times New Roman"/>
          <w:sz w:val="20"/>
          <w:szCs w:val="20"/>
        </w:rPr>
        <w:t>）</w:t>
      </w:r>
    </w:p>
    <w:p w:rsidR="004711CF" w:rsidRPr="00DA3BC7" w:rsidRDefault="004711CF" w:rsidP="004711CF">
      <w:pPr>
        <w:ind w:leftChars="100" w:left="240"/>
        <w:jc w:val="both"/>
        <w:rPr>
          <w:rFonts w:ascii="Times New Roman" w:hAnsi="Times New Roman"/>
        </w:rPr>
      </w:pPr>
      <w:r w:rsidRPr="004711CF">
        <w:rPr>
          <w:rFonts w:ascii="Times New Roman" w:hAnsi="Times New Roman"/>
          <w:highlight w:val="yellow"/>
        </w:rPr>
        <w:t>再</w:t>
      </w:r>
      <w:r w:rsidRPr="00DA3BC7">
        <w:rPr>
          <w:rFonts w:ascii="Times New Roman" w:hAnsi="Times New Roman"/>
        </w:rPr>
        <w:t>說</w:t>
      </w:r>
      <w:r w:rsidRPr="00DA3BC7">
        <w:rPr>
          <w:rFonts w:ascii="Times New Roman" w:hAnsi="Times New Roman"/>
          <w:b/>
        </w:rPr>
        <w:t>單複</w:t>
      </w:r>
      <w:r w:rsidRPr="00DA3BC7">
        <w:rPr>
          <w:rFonts w:ascii="Times New Roman" w:hAnsi="Times New Roman"/>
        </w:rPr>
        <w:t>：約二諦說，與上面的</w:t>
      </w:r>
      <w:r w:rsidRPr="00735A93">
        <w:rPr>
          <w:rFonts w:ascii="Times New Roman" w:hAnsi="Times New Roman"/>
          <w:highlight w:val="yellow"/>
        </w:rPr>
        <w:t>橫豎</w:t>
      </w:r>
      <w:r w:rsidRPr="00DA3BC7">
        <w:rPr>
          <w:rFonts w:ascii="Times New Roman" w:hAnsi="Times New Roman"/>
        </w:rPr>
        <w:t>有關。</w:t>
      </w:r>
    </w:p>
    <w:p w:rsidR="00AA120F" w:rsidRPr="00DA3BC7" w:rsidRDefault="001B3DEA" w:rsidP="001E65EB">
      <w:pPr>
        <w:ind w:leftChars="150" w:left="360"/>
        <w:jc w:val="both"/>
        <w:rPr>
          <w:rFonts w:ascii="Times New Roman" w:eastAsia="SimSun" w:hAnsi="Times New Roman"/>
          <w:b/>
          <w:sz w:val="20"/>
          <w:szCs w:val="20"/>
          <w:bdr w:val="single" w:sz="4" w:space="0" w:color="auto"/>
        </w:rPr>
      </w:pPr>
      <w:r w:rsidRPr="001B3DEA">
        <w:rPr>
          <w:rFonts w:ascii="Times New Roman" w:hAnsi="Times New Roman"/>
          <w:b/>
          <w:bCs/>
          <w:color w:val="FF0000"/>
          <w:sz w:val="20"/>
          <w:szCs w:val="20"/>
          <w:highlight w:val="yellow"/>
          <w:bdr w:val="single" w:sz="4" w:space="0" w:color="auto"/>
        </w:rPr>
        <w:t>（</w:t>
      </w:r>
      <w:r w:rsidRPr="001B3DEA">
        <w:rPr>
          <w:rFonts w:ascii="Times New Roman" w:hAnsi="Times New Roman" w:hint="eastAsia"/>
          <w:b/>
          <w:bCs/>
          <w:color w:val="FF0000"/>
          <w:sz w:val="20"/>
          <w:szCs w:val="20"/>
          <w:highlight w:val="yellow"/>
          <w:bdr w:val="single" w:sz="4" w:space="0" w:color="auto"/>
        </w:rPr>
        <w:t>一</w:t>
      </w:r>
      <w:r w:rsidRPr="001B3DEA">
        <w:rPr>
          <w:rFonts w:ascii="Times New Roman" w:hAnsi="Times New Roman"/>
          <w:b/>
          <w:bCs/>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w:t>
      </w:r>
      <w:r w:rsidR="004711CF">
        <w:rPr>
          <w:rFonts w:ascii="Times New Roman" w:hAnsi="Times New Roman" w:hint="eastAsia"/>
          <w:b/>
          <w:bCs/>
          <w:sz w:val="20"/>
          <w:szCs w:val="20"/>
          <w:bdr w:val="single" w:sz="4" w:space="0" w:color="auto"/>
        </w:rPr>
        <w:t>『</w:t>
      </w:r>
      <w:r w:rsidR="00AA120F" w:rsidRPr="00DA3BC7">
        <w:rPr>
          <w:rFonts w:ascii="Times New Roman" w:hAnsi="Times New Roman"/>
          <w:b/>
          <w:sz w:val="20"/>
          <w:szCs w:val="20"/>
          <w:bdr w:val="single" w:sz="4" w:space="0" w:color="auto"/>
        </w:rPr>
        <w:t>單</w:t>
      </w:r>
      <w:r w:rsidR="004711CF">
        <w:rPr>
          <w:rFonts w:ascii="Times New Roman" w:hAnsi="Times New Roman" w:hint="eastAsia"/>
          <w:b/>
          <w:bCs/>
          <w:sz w:val="20"/>
          <w:szCs w:val="20"/>
          <w:bdr w:val="single" w:sz="4" w:space="0" w:color="auto"/>
        </w:rPr>
        <w:t>』</w:t>
      </w:r>
      <w:r w:rsidR="00AA120F" w:rsidRPr="00DA3BC7">
        <w:rPr>
          <w:rFonts w:ascii="Times New Roman" w:hAnsi="Times New Roman"/>
          <w:b/>
          <w:sz w:val="20"/>
          <w:szCs w:val="20"/>
          <w:bdr w:val="single" w:sz="4" w:space="0" w:color="auto"/>
        </w:rPr>
        <w:t>二諦</w:t>
      </w:r>
      <w:r w:rsidR="004711CF" w:rsidRPr="00DA3BC7">
        <w:rPr>
          <w:rFonts w:ascii="Times New Roman" w:hAnsi="Times New Roman"/>
          <w:b/>
          <w:sz w:val="20"/>
          <w:szCs w:val="20"/>
          <w:bdr w:val="single" w:sz="4" w:space="0" w:color="auto"/>
        </w:rPr>
        <w:t>」</w:t>
      </w:r>
      <w:r>
        <w:rPr>
          <w:rFonts w:ascii="Times New Roman" w:hAnsi="Times New Roman" w:hint="eastAsia"/>
          <w:b/>
          <w:color w:val="FF0000"/>
          <w:sz w:val="20"/>
          <w:szCs w:val="20"/>
          <w:highlight w:val="yellow"/>
          <w:bdr w:val="single" w:sz="4" w:space="0" w:color="auto"/>
        </w:rPr>
        <w:t>──第一重</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bCs/>
          <w:sz w:val="20"/>
          <w:szCs w:val="20"/>
        </w:rPr>
        <w:t>224</w:t>
      </w:r>
      <w:r w:rsidR="00AA120F" w:rsidRPr="00DA3BC7">
        <w:rPr>
          <w:rFonts w:ascii="Times New Roman" w:hAnsi="Times New Roman"/>
          <w:sz w:val="20"/>
          <w:szCs w:val="20"/>
        </w:rPr>
        <w:t>）</w:t>
      </w:r>
    </w:p>
    <w:p w:rsidR="00AA120F" w:rsidRPr="00DA3BC7" w:rsidRDefault="00AA120F" w:rsidP="001E65EB">
      <w:pPr>
        <w:ind w:leftChars="150" w:left="360"/>
        <w:jc w:val="both"/>
        <w:rPr>
          <w:rFonts w:ascii="Times New Roman" w:eastAsia="SimSun" w:hAnsi="Times New Roman"/>
        </w:rPr>
      </w:pPr>
      <w:r w:rsidRPr="00DA3BC7">
        <w:rPr>
          <w:rFonts w:ascii="Times New Roman" w:hAnsi="Times New Roman"/>
        </w:rPr>
        <w:t>世俗有、勝義空是二諦。</w:t>
      </w:r>
    </w:p>
    <w:p w:rsidR="00AA120F" w:rsidRPr="00DA3BC7" w:rsidRDefault="001B3DEA" w:rsidP="00AE3920">
      <w:pPr>
        <w:spacing w:beforeLines="30"/>
        <w:ind w:leftChars="150" w:left="360"/>
        <w:jc w:val="both"/>
        <w:rPr>
          <w:rFonts w:ascii="Times New Roman" w:eastAsia="SimSun" w:hAnsi="Times New Roman"/>
          <w:b/>
          <w:sz w:val="20"/>
          <w:szCs w:val="20"/>
          <w:bdr w:val="single" w:sz="4" w:space="0" w:color="auto"/>
        </w:rPr>
      </w:pPr>
      <w:r w:rsidRPr="008217DC">
        <w:rPr>
          <w:rFonts w:ascii="新細明體" w:hAnsi="新細明體"/>
          <w:b/>
          <w:color w:val="FF0000"/>
          <w:sz w:val="20"/>
          <w:szCs w:val="20"/>
          <w:highlight w:val="yellow"/>
          <w:bdr w:val="single" w:sz="4" w:space="0" w:color="auto"/>
        </w:rPr>
        <w:t>（</w:t>
      </w:r>
      <w:r w:rsidRPr="008217DC">
        <w:rPr>
          <w:rFonts w:ascii="Times New Roman" w:hAnsi="Times New Roman"/>
          <w:b/>
          <w:color w:val="FF0000"/>
          <w:sz w:val="20"/>
          <w:szCs w:val="20"/>
          <w:highlight w:val="yellow"/>
          <w:bdr w:val="single" w:sz="4" w:space="0" w:color="auto"/>
        </w:rPr>
        <w:t>二</w:t>
      </w:r>
      <w:r w:rsidRPr="008217DC">
        <w:rPr>
          <w:rFonts w:ascii="新細明體" w:hAnsi="新細明體"/>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w:t>
      </w:r>
      <w:r w:rsidR="004711CF">
        <w:rPr>
          <w:rFonts w:ascii="Times New Roman" w:hAnsi="Times New Roman" w:hint="eastAsia"/>
          <w:b/>
          <w:bCs/>
          <w:sz w:val="20"/>
          <w:szCs w:val="20"/>
          <w:bdr w:val="single" w:sz="4" w:space="0" w:color="auto"/>
        </w:rPr>
        <w:t>『</w:t>
      </w:r>
      <w:r w:rsidR="00AA120F" w:rsidRPr="00DA3BC7">
        <w:rPr>
          <w:rFonts w:ascii="Times New Roman" w:hAnsi="Times New Roman"/>
          <w:b/>
          <w:sz w:val="20"/>
          <w:szCs w:val="20"/>
          <w:bdr w:val="single" w:sz="4" w:space="0" w:color="auto"/>
        </w:rPr>
        <w:t>複</w:t>
      </w:r>
      <w:r w:rsidR="004711CF">
        <w:rPr>
          <w:rFonts w:ascii="Times New Roman" w:hAnsi="Times New Roman" w:hint="eastAsia"/>
          <w:b/>
          <w:bCs/>
          <w:sz w:val="20"/>
          <w:szCs w:val="20"/>
          <w:bdr w:val="single" w:sz="4" w:space="0" w:color="auto"/>
        </w:rPr>
        <w:t>』</w:t>
      </w:r>
      <w:r w:rsidR="00AA120F" w:rsidRPr="00DA3BC7">
        <w:rPr>
          <w:rFonts w:ascii="Times New Roman" w:hAnsi="Times New Roman"/>
          <w:b/>
          <w:sz w:val="20"/>
          <w:szCs w:val="20"/>
          <w:bdr w:val="single" w:sz="4" w:space="0" w:color="auto"/>
        </w:rPr>
        <w:t>二諦</w:t>
      </w:r>
      <w:r w:rsidR="004711CF" w:rsidRPr="00DA3BC7">
        <w:rPr>
          <w:rFonts w:ascii="Times New Roman" w:hAnsi="Times New Roman"/>
          <w:b/>
          <w:sz w:val="20"/>
          <w:szCs w:val="20"/>
          <w:bdr w:val="single" w:sz="4" w:space="0" w:color="auto"/>
        </w:rPr>
        <w:t>」</w:t>
      </w:r>
      <w:r>
        <w:rPr>
          <w:rFonts w:ascii="Times New Roman" w:hAnsi="Times New Roman" w:hint="eastAsia"/>
          <w:b/>
          <w:color w:val="FF0000"/>
          <w:sz w:val="20"/>
          <w:szCs w:val="20"/>
          <w:highlight w:val="yellow"/>
          <w:bdr w:val="single" w:sz="4" w:space="0" w:color="auto"/>
        </w:rPr>
        <w:t>──第二重</w:t>
      </w:r>
      <w:r w:rsidR="00AA120F" w:rsidRPr="00DA3BC7">
        <w:rPr>
          <w:rFonts w:ascii="Times New Roman" w:hAnsi="Times New Roman"/>
          <w:sz w:val="20"/>
          <w:szCs w:val="20"/>
        </w:rPr>
        <w:t>（</w:t>
      </w:r>
      <w:r w:rsidR="00AA120F" w:rsidRPr="00DA3BC7">
        <w:rPr>
          <w:rFonts w:ascii="Times New Roman" w:hAnsi="Times New Roman"/>
          <w:sz w:val="20"/>
          <w:szCs w:val="20"/>
        </w:rPr>
        <w:t>pp.</w:t>
      </w:r>
      <w:r w:rsidR="00AA120F" w:rsidRPr="00DA3BC7">
        <w:rPr>
          <w:rFonts w:ascii="Times New Roman" w:hAnsi="Times New Roman"/>
          <w:bCs/>
          <w:sz w:val="20"/>
          <w:szCs w:val="20"/>
        </w:rPr>
        <w:t>224-225</w:t>
      </w:r>
      <w:r w:rsidR="00AA120F" w:rsidRPr="00DA3BC7">
        <w:rPr>
          <w:rFonts w:ascii="Times New Roman" w:hAnsi="Times New Roman"/>
          <w:sz w:val="20"/>
          <w:szCs w:val="20"/>
        </w:rPr>
        <w:t>）</w:t>
      </w:r>
    </w:p>
    <w:p w:rsidR="00AA120F" w:rsidRPr="00DA3BC7" w:rsidRDefault="00AA120F" w:rsidP="001E65EB">
      <w:pPr>
        <w:ind w:leftChars="150" w:left="360"/>
        <w:jc w:val="both"/>
        <w:rPr>
          <w:rFonts w:ascii="Times New Roman" w:hAnsi="Times New Roman"/>
        </w:rPr>
      </w:pPr>
      <w:r w:rsidRPr="00DA3BC7">
        <w:rPr>
          <w:rFonts w:ascii="Times New Roman" w:hAnsi="Times New Roman"/>
        </w:rPr>
        <w:t>有人不了解勝義空的意義，從相對義去理解空義，不能依空得解，反而因空成病，這需要不同的教說了。</w:t>
      </w:r>
    </w:p>
    <w:p w:rsidR="00AA120F" w:rsidRPr="00DA3BC7" w:rsidRDefault="00AA120F" w:rsidP="001E65EB">
      <w:pPr>
        <w:ind w:leftChars="150" w:left="360"/>
        <w:jc w:val="both"/>
        <w:rPr>
          <w:rFonts w:ascii="Times New Roman" w:hAnsi="Times New Roman"/>
        </w:rPr>
      </w:pPr>
      <w:r w:rsidRPr="00DA3BC7">
        <w:rPr>
          <w:rFonts w:ascii="Times New Roman" w:hAnsi="Times New Roman"/>
        </w:rPr>
        <w:t>如說：</w:t>
      </w:r>
      <w:r w:rsidRPr="00735A93">
        <w:rPr>
          <w:rFonts w:ascii="SimSun" w:hAnsi="SimSun"/>
          <w:b/>
          <w:u w:val="wave" w:color="C00000"/>
        </w:rPr>
        <w:t>有</w:t>
      </w:r>
      <w:r w:rsidRPr="00735A93">
        <w:rPr>
          <w:rFonts w:ascii="Times New Roman" w:hAnsi="Times New Roman"/>
        </w:rPr>
        <w:t>與</w:t>
      </w:r>
      <w:r w:rsidRPr="00735A93">
        <w:rPr>
          <w:rFonts w:ascii="SimSun" w:hAnsi="SimSun"/>
          <w:b/>
          <w:u w:val="wave" w:color="C00000"/>
        </w:rPr>
        <w:t>空</w:t>
      </w:r>
      <w:r w:rsidRPr="00DA3BC7">
        <w:rPr>
          <w:rFonts w:ascii="Times New Roman" w:hAnsi="Times New Roman"/>
        </w:rPr>
        <w:t>都是</w:t>
      </w:r>
      <w:r w:rsidRPr="00735A93">
        <w:rPr>
          <w:rFonts w:ascii="SimSun" w:hAnsi="SimSun"/>
          <w:b/>
          <w:u w:val="wave" w:color="C00000"/>
        </w:rPr>
        <w:t>世俗</w:t>
      </w:r>
      <w:r w:rsidRPr="00DA3BC7">
        <w:rPr>
          <w:rFonts w:ascii="Times New Roman" w:hAnsi="Times New Roman"/>
        </w:rPr>
        <w:t>，</w:t>
      </w:r>
      <w:r w:rsidRPr="00735A93">
        <w:rPr>
          <w:rFonts w:ascii="SimSun" w:hAnsi="SimSun"/>
          <w:b/>
          <w:u w:val="wave" w:color="C00000"/>
        </w:rPr>
        <w:t>非有非空</w:t>
      </w:r>
      <w:r w:rsidRPr="00DA3BC7">
        <w:rPr>
          <w:rFonts w:ascii="SimSun" w:hAnsi="SimSun" w:hint="eastAsia"/>
        </w:rPr>
        <w:t>才</w:t>
      </w:r>
      <w:r w:rsidRPr="00DA3BC7">
        <w:rPr>
          <w:rFonts w:ascii="Times New Roman" w:hAnsi="Times New Roman"/>
        </w:rPr>
        <w:t>是</w:t>
      </w:r>
      <w:r w:rsidRPr="00735A93">
        <w:rPr>
          <w:rFonts w:ascii="SimSun" w:hAnsi="SimSun"/>
          <w:b/>
          <w:u w:val="wave" w:color="C00000"/>
        </w:rPr>
        <w:t>勝義</w:t>
      </w:r>
      <w:r w:rsidRPr="00DA3BC7">
        <w:rPr>
          <w:rFonts w:ascii="Times New Roman" w:hAnsi="Times New Roman"/>
        </w:rPr>
        <w:t>，這是</w:t>
      </w:r>
      <w:r w:rsidRPr="00735A93">
        <w:rPr>
          <w:rFonts w:ascii="SimSun" w:hAnsi="SimSun"/>
          <w:b/>
          <w:u w:val="wave" w:color="C00000"/>
        </w:rPr>
        <w:t>複二諦</w:t>
      </w:r>
      <w:r w:rsidRPr="00DA3BC7">
        <w:rPr>
          <w:rFonts w:ascii="Times New Roman" w:hAnsi="Times New Roman"/>
        </w:rPr>
        <w:t>。</w:t>
      </w:r>
    </w:p>
    <w:p w:rsidR="001B3DEA" w:rsidRDefault="00AA120F" w:rsidP="001E65EB">
      <w:pPr>
        <w:ind w:leftChars="150" w:left="360"/>
        <w:jc w:val="both"/>
        <w:rPr>
          <w:rFonts w:ascii="Times New Roman" w:hAnsi="Times New Roman"/>
        </w:rPr>
      </w:pPr>
      <w:r w:rsidRPr="00DA3BC7">
        <w:rPr>
          <w:rFonts w:ascii="Times New Roman" w:hAnsi="Times New Roman"/>
        </w:rPr>
        <w:t>但</w:t>
      </w:r>
      <w:r w:rsidRPr="00735A93">
        <w:rPr>
          <w:rFonts w:ascii="SimSun" w:hAnsi="SimSun"/>
          <w:b/>
          <w:u w:val="wave" w:color="C00000"/>
        </w:rPr>
        <w:t>非有非空</w:t>
      </w:r>
      <w:r w:rsidRPr="00DA3BC7">
        <w:rPr>
          <w:rFonts w:ascii="Times New Roman" w:hAnsi="Times New Roman"/>
        </w:rPr>
        <w:t>的「非」，也是泯絕超越的意思，也即是</w:t>
      </w:r>
      <w:r w:rsidRPr="00735A93">
        <w:rPr>
          <w:rFonts w:ascii="SimSun" w:hAnsi="SimSun"/>
          <w:b/>
          <w:u w:val="wave" w:color="C00000"/>
        </w:rPr>
        <w:t>空</w:t>
      </w:r>
      <w:r w:rsidRPr="00DA3BC7">
        <w:rPr>
          <w:rFonts w:ascii="Times New Roman" w:hAnsi="Times New Roman"/>
        </w:rPr>
        <w:t>的正義。這不過是說：以空為空的</w:t>
      </w:r>
      <w:r w:rsidRPr="00735A93">
        <w:rPr>
          <w:rFonts w:ascii="SimSun" w:hAnsi="SimSun"/>
          <w:b/>
          <w:u w:val="wave" w:color="C00000"/>
        </w:rPr>
        <w:t>空</w:t>
      </w:r>
      <w:r w:rsidRPr="00DA3BC7">
        <w:rPr>
          <w:rFonts w:ascii="Times New Roman" w:hAnsi="Times New Roman"/>
        </w:rPr>
        <w:t>，是與</w:t>
      </w:r>
      <w:r w:rsidRPr="00735A93">
        <w:rPr>
          <w:rFonts w:ascii="SimSun" w:hAnsi="SimSun"/>
          <w:b/>
          <w:u w:val="wave" w:color="C00000"/>
        </w:rPr>
        <w:t>有</w:t>
      </w:r>
      <w:r w:rsidRPr="00DA3BC7">
        <w:rPr>
          <w:rFonts w:ascii="Times New Roman" w:hAnsi="Times New Roman"/>
        </w:rPr>
        <w:t>相對的，絕待是不落於有</w:t>
      </w:r>
      <w:r w:rsidRPr="00DA3BC7">
        <w:rPr>
          <w:rFonts w:ascii="Times New Roman" w:hAnsi="Times New Roman" w:hint="eastAsia"/>
        </w:rPr>
        <w:t>、</w:t>
      </w:r>
      <w:r w:rsidRPr="00DA3BC7">
        <w:rPr>
          <w:rFonts w:ascii="Times New Roman" w:hAnsi="Times New Roman"/>
        </w:rPr>
        <w:t>空</w:t>
      </w:r>
      <w:r w:rsidRPr="00DA3BC7">
        <w:rPr>
          <w:rFonts w:ascii="新細明體" w:hAnsi="新細明體"/>
        </w:rPr>
        <w:t>──</w:t>
      </w:r>
      <w:r w:rsidRPr="00735A93">
        <w:rPr>
          <w:rFonts w:ascii="Times New Roman" w:hAnsi="Times New Roman"/>
          <w:b/>
          <w:u w:val="wave" w:color="C00000"/>
        </w:rPr>
        <w:t>非有非空</w:t>
      </w:r>
      <w:r w:rsidRPr="00DA3BC7">
        <w:rPr>
          <w:rFonts w:ascii="Times New Roman" w:hAnsi="Times New Roman"/>
        </w:rPr>
        <w:t>的。</w:t>
      </w:r>
    </w:p>
    <w:p w:rsidR="00AA120F" w:rsidRPr="00DA3BC7" w:rsidRDefault="00AA120F" w:rsidP="001E65EB">
      <w:pPr>
        <w:ind w:leftChars="150" w:left="360"/>
        <w:jc w:val="both"/>
        <w:rPr>
          <w:rFonts w:ascii="Times New Roman" w:hAnsi="Times New Roman"/>
        </w:rPr>
      </w:pPr>
      <w:r w:rsidRPr="00DA3BC7">
        <w:rPr>
          <w:rFonts w:ascii="Times New Roman" w:hAnsi="Times New Roman"/>
        </w:rPr>
        <w:t>說法雖不同，實際仍不出二諦的含義。</w:t>
      </w:r>
      <w:r w:rsidRPr="00DA3BC7">
        <w:rPr>
          <w:rStyle w:val="a6"/>
          <w:rFonts w:ascii="Times New Roman" w:hAnsi="Times New Roman"/>
        </w:rPr>
        <w:footnoteReference w:id="985"/>
      </w:r>
    </w:p>
    <w:p w:rsidR="00AA120F" w:rsidRPr="00DA3BC7" w:rsidRDefault="00AA120F" w:rsidP="00AE3920">
      <w:pPr>
        <w:spacing w:beforeLines="30"/>
        <w:ind w:leftChars="150" w:left="360"/>
        <w:jc w:val="both"/>
        <w:rPr>
          <w:rFonts w:ascii="Times New Roman" w:hAnsi="Times New Roman"/>
          <w:b/>
          <w:sz w:val="20"/>
          <w:szCs w:val="20"/>
          <w:bdr w:val="single" w:sz="4" w:space="0" w:color="auto"/>
        </w:rPr>
      </w:pPr>
      <w:r w:rsidRPr="008217DC">
        <w:rPr>
          <w:rFonts w:ascii="Times New Roman" w:hAnsi="Times New Roman"/>
          <w:b/>
          <w:color w:val="FF0000"/>
          <w:sz w:val="20"/>
          <w:szCs w:val="20"/>
          <w:highlight w:val="yellow"/>
          <w:bdr w:val="single" w:sz="4" w:space="0" w:color="auto"/>
        </w:rPr>
        <w:lastRenderedPageBreak/>
        <w:t>（</w:t>
      </w:r>
      <w:r w:rsidR="008217DC" w:rsidRPr="008217DC">
        <w:rPr>
          <w:rFonts w:ascii="Times New Roman" w:hAnsi="Times New Roman" w:hint="eastAsia"/>
          <w:b/>
          <w:color w:val="FF0000"/>
          <w:sz w:val="20"/>
          <w:szCs w:val="20"/>
          <w:highlight w:val="yellow"/>
          <w:bdr w:val="single" w:sz="4" w:space="0" w:color="auto"/>
        </w:rPr>
        <w:t>三</w:t>
      </w:r>
      <w:r w:rsidRPr="008217DC">
        <w:rPr>
          <w:rFonts w:ascii="Times New Roman" w:hAnsi="Times New Roman"/>
          <w:b/>
          <w:color w:val="FF0000"/>
          <w:sz w:val="20"/>
          <w:szCs w:val="20"/>
          <w:highlight w:val="yellow"/>
          <w:bdr w:val="single" w:sz="4" w:space="0" w:color="auto"/>
        </w:rPr>
        <w:t>）「</w:t>
      </w:r>
      <w:r w:rsidR="008217DC" w:rsidRPr="008217DC">
        <w:rPr>
          <w:rFonts w:ascii="Times New Roman" w:hAnsi="Times New Roman" w:hint="eastAsia"/>
          <w:b/>
          <w:color w:val="FF0000"/>
          <w:sz w:val="20"/>
          <w:szCs w:val="20"/>
          <w:highlight w:val="yellow"/>
          <w:bdr w:val="single" w:sz="4" w:space="0" w:color="auto"/>
        </w:rPr>
        <w:t>複中之複</w:t>
      </w:r>
      <w:r w:rsidRPr="008217DC">
        <w:rPr>
          <w:rFonts w:ascii="Times New Roman" w:hAnsi="Times New Roman"/>
          <w:b/>
          <w:color w:val="FF0000"/>
          <w:sz w:val="20"/>
          <w:szCs w:val="20"/>
          <w:highlight w:val="yellow"/>
          <w:bdr w:val="single" w:sz="4" w:space="0" w:color="auto"/>
        </w:rPr>
        <w:t>」</w:t>
      </w:r>
      <w:r w:rsidR="008217DC" w:rsidRPr="008217DC">
        <w:rPr>
          <w:rFonts w:ascii="Times New Roman" w:hAnsi="Times New Roman" w:hint="eastAsia"/>
          <w:b/>
          <w:color w:val="FF0000"/>
          <w:sz w:val="20"/>
          <w:szCs w:val="20"/>
          <w:highlight w:val="yellow"/>
          <w:bdr w:val="single" w:sz="4" w:space="0" w:color="auto"/>
        </w:rPr>
        <w:t>──第</w:t>
      </w:r>
      <w:r w:rsidR="004711CF">
        <w:rPr>
          <w:rFonts w:ascii="Times New Roman" w:hAnsi="Times New Roman" w:hint="eastAsia"/>
          <w:b/>
          <w:color w:val="FF0000"/>
          <w:sz w:val="20"/>
          <w:szCs w:val="20"/>
          <w:highlight w:val="yellow"/>
          <w:bdr w:val="single" w:sz="4" w:space="0" w:color="auto"/>
        </w:rPr>
        <w:t>三</w:t>
      </w:r>
      <w:r w:rsidR="008217DC" w:rsidRPr="008217DC">
        <w:rPr>
          <w:rFonts w:ascii="Times New Roman" w:hAnsi="Times New Roman" w:hint="eastAsia"/>
          <w:b/>
          <w:color w:val="FF0000"/>
          <w:sz w:val="20"/>
          <w:szCs w:val="20"/>
          <w:highlight w:val="yellow"/>
          <w:bdr w:val="single" w:sz="4" w:space="0" w:color="auto"/>
        </w:rPr>
        <w:t>重</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22</w:t>
      </w:r>
      <w:r w:rsidRPr="00DA3BC7">
        <w:rPr>
          <w:rFonts w:ascii="Times New Roman" w:eastAsia="SimSun" w:hAnsi="Times New Roman"/>
          <w:bCs/>
          <w:sz w:val="20"/>
          <w:szCs w:val="20"/>
        </w:rPr>
        <w:t>5</w:t>
      </w:r>
      <w:r w:rsidRPr="00DA3BC7">
        <w:rPr>
          <w:rFonts w:ascii="Times New Roman" w:hAnsi="Times New Roman"/>
          <w:sz w:val="20"/>
          <w:szCs w:val="20"/>
        </w:rPr>
        <w:t>）</w:t>
      </w:r>
    </w:p>
    <w:p w:rsidR="00AA120F" w:rsidRPr="00DA3BC7" w:rsidRDefault="00AA120F" w:rsidP="008E2BBC">
      <w:pPr>
        <w:ind w:leftChars="150" w:left="360"/>
        <w:jc w:val="both"/>
        <w:rPr>
          <w:rFonts w:ascii="Times New Roman" w:hAnsi="Times New Roman"/>
        </w:rPr>
      </w:pPr>
      <w:r w:rsidRPr="00DA3BC7">
        <w:rPr>
          <w:rFonts w:ascii="Times New Roman" w:hAnsi="Times New Roman"/>
        </w:rPr>
        <w:t>有人以為於有</w:t>
      </w:r>
      <w:r w:rsidRPr="00DA3BC7">
        <w:rPr>
          <w:rFonts w:ascii="Times New Roman" w:hAnsi="Times New Roman" w:hint="eastAsia"/>
        </w:rPr>
        <w:t>、</w:t>
      </w:r>
      <w:r w:rsidRPr="00DA3BC7">
        <w:rPr>
          <w:rFonts w:ascii="Times New Roman" w:hAnsi="Times New Roman"/>
        </w:rPr>
        <w:t>空之外，另有一非有非空，不能理解即有空而超越的泯寂妄執，仍從橫的去了解，故進而更說：</w:t>
      </w:r>
      <w:r w:rsidRPr="00735A93">
        <w:rPr>
          <w:rFonts w:ascii="Times New Roman" w:hAnsi="Times New Roman"/>
          <w:b/>
          <w:u w:val="wave" w:color="C00000"/>
        </w:rPr>
        <w:t>有</w:t>
      </w:r>
      <w:r w:rsidRPr="00DA3BC7">
        <w:rPr>
          <w:rFonts w:ascii="Times New Roman" w:hAnsi="Times New Roman"/>
        </w:rPr>
        <w:t>、</w:t>
      </w:r>
      <w:r w:rsidRPr="00735A93">
        <w:rPr>
          <w:rFonts w:ascii="Times New Roman" w:hAnsi="Times New Roman"/>
          <w:b/>
          <w:u w:val="wave" w:color="C00000"/>
        </w:rPr>
        <w:t>空</w:t>
      </w:r>
      <w:r w:rsidRPr="00DA3BC7">
        <w:rPr>
          <w:rFonts w:ascii="Times New Roman" w:hAnsi="Times New Roman"/>
        </w:rPr>
        <w:t>與</w:t>
      </w:r>
      <w:r w:rsidRPr="00735A93">
        <w:rPr>
          <w:rFonts w:ascii="Times New Roman" w:hAnsi="Times New Roman"/>
          <w:b/>
          <w:u w:val="wave" w:color="C00000"/>
        </w:rPr>
        <w:t>非有非空</w:t>
      </w:r>
      <w:r w:rsidRPr="00DA3BC7">
        <w:rPr>
          <w:rFonts w:ascii="Times New Roman" w:hAnsi="Times New Roman"/>
        </w:rPr>
        <w:t>，都是</w:t>
      </w:r>
      <w:r w:rsidRPr="00735A93">
        <w:rPr>
          <w:rFonts w:ascii="Times New Roman" w:hAnsi="Times New Roman"/>
          <w:b/>
          <w:u w:val="wave" w:color="C00000"/>
        </w:rPr>
        <w:t>世俗</w:t>
      </w:r>
      <w:r w:rsidRPr="00DA3BC7">
        <w:rPr>
          <w:rFonts w:ascii="Times New Roman" w:hAnsi="Times New Roman"/>
        </w:rPr>
        <w:t>，</w:t>
      </w:r>
      <w:r w:rsidRPr="00735A93">
        <w:rPr>
          <w:rFonts w:ascii="Times New Roman" w:hAnsi="Times New Roman"/>
          <w:b/>
          <w:u w:val="wave" w:color="C00000"/>
        </w:rPr>
        <w:t>非有</w:t>
      </w:r>
      <w:r w:rsidRPr="00735A93">
        <w:rPr>
          <w:rFonts w:ascii="Times New Roman" w:hAnsi="Times New Roman"/>
        </w:rPr>
        <w:t>、</w:t>
      </w:r>
      <w:r w:rsidRPr="00735A93">
        <w:rPr>
          <w:rFonts w:ascii="Times New Roman" w:hAnsi="Times New Roman"/>
          <w:b/>
          <w:u w:val="wave" w:color="C00000"/>
        </w:rPr>
        <w:t>非空</w:t>
      </w:r>
      <w:r w:rsidRPr="00735A93">
        <w:rPr>
          <w:rFonts w:ascii="Times New Roman" w:hAnsi="Times New Roman"/>
        </w:rPr>
        <w:t>、</w:t>
      </w:r>
      <w:r w:rsidRPr="00735A93">
        <w:rPr>
          <w:rFonts w:ascii="Times New Roman" w:hAnsi="Times New Roman"/>
          <w:b/>
          <w:u w:val="wave" w:color="C00000"/>
        </w:rPr>
        <w:t>非非有非非空</w:t>
      </w:r>
      <w:r w:rsidRPr="00DA3BC7">
        <w:rPr>
          <w:rFonts w:ascii="Times New Roman" w:hAnsi="Times New Roman"/>
        </w:rPr>
        <w:t>，才是</w:t>
      </w:r>
      <w:r w:rsidRPr="00735A93">
        <w:rPr>
          <w:rFonts w:ascii="Times New Roman" w:hAnsi="Times New Roman"/>
          <w:b/>
          <w:u w:val="wave" w:color="C00000"/>
        </w:rPr>
        <w:t>勝義</w:t>
      </w:r>
      <w:r w:rsidRPr="00DA3BC7">
        <w:rPr>
          <w:rFonts w:ascii="Times New Roman" w:hAnsi="Times New Roman"/>
        </w:rPr>
        <w:t>，這是</w:t>
      </w:r>
      <w:r w:rsidRPr="00735A93">
        <w:rPr>
          <w:rFonts w:ascii="Times New Roman" w:hAnsi="Times New Roman"/>
          <w:b/>
        </w:rPr>
        <w:t>複中之複</w:t>
      </w:r>
      <w:r w:rsidRPr="00DA3BC7">
        <w:rPr>
          <w:rFonts w:ascii="Times New Roman" w:hAnsi="Times New Roman"/>
        </w:rPr>
        <w:t>，也可說</w:t>
      </w:r>
      <w:r w:rsidRPr="00735A93">
        <w:rPr>
          <w:rFonts w:ascii="Times New Roman" w:hAnsi="Times New Roman"/>
          <w:b/>
        </w:rPr>
        <w:t>圓</w:t>
      </w:r>
      <w:r w:rsidRPr="00DA3BC7">
        <w:rPr>
          <w:rFonts w:ascii="新細明體" w:hAnsi="新細明體"/>
        </w:rPr>
        <w:t>──</w:t>
      </w:r>
      <w:r w:rsidRPr="00DA3BC7">
        <w:rPr>
          <w:rFonts w:ascii="Times New Roman" w:hAnsi="Times New Roman"/>
        </w:rPr>
        <w:t>具足。</w:t>
      </w:r>
    </w:p>
    <w:p w:rsidR="00AA120F" w:rsidRPr="00DA3BC7" w:rsidRDefault="00AA120F" w:rsidP="00AE3920">
      <w:pPr>
        <w:spacing w:beforeLines="20"/>
        <w:ind w:leftChars="150" w:left="360"/>
        <w:jc w:val="both"/>
        <w:rPr>
          <w:rFonts w:ascii="Times New Roman" w:hAnsi="Times New Roman"/>
        </w:rPr>
      </w:pPr>
      <w:r w:rsidRPr="00DA3BC7">
        <w:rPr>
          <w:rFonts w:ascii="Times New Roman" w:hAnsi="Times New Roman"/>
        </w:rPr>
        <w:t>其實這與說有空二諦的「勝義空」，意義還是沒有什麼不同。</w:t>
      </w:r>
    </w:p>
    <w:p w:rsidR="00AA120F" w:rsidRPr="00DA3BC7" w:rsidRDefault="00AA120F" w:rsidP="00AE3920">
      <w:pPr>
        <w:spacing w:beforeLines="30"/>
        <w:ind w:leftChars="150" w:left="360"/>
        <w:jc w:val="both"/>
        <w:rPr>
          <w:rFonts w:ascii="Times New Roman" w:eastAsia="SimSun" w:hAnsi="Times New Roman"/>
          <w:b/>
          <w:sz w:val="20"/>
          <w:szCs w:val="20"/>
          <w:bdr w:val="single" w:sz="4" w:space="0" w:color="auto"/>
        </w:rPr>
      </w:pPr>
      <w:r w:rsidRPr="008217DC">
        <w:rPr>
          <w:rFonts w:ascii="Times New Roman" w:hAnsi="Times New Roman"/>
          <w:b/>
          <w:color w:val="FF0000"/>
          <w:sz w:val="20"/>
          <w:szCs w:val="20"/>
          <w:highlight w:val="yellow"/>
          <w:bdr w:val="single" w:sz="4" w:space="0" w:color="auto"/>
        </w:rPr>
        <w:t>（</w:t>
      </w:r>
      <w:r w:rsidR="008217DC" w:rsidRPr="008217DC">
        <w:rPr>
          <w:rFonts w:ascii="Times New Roman" w:hAnsi="Times New Roman" w:hint="eastAsia"/>
          <w:b/>
          <w:color w:val="FF0000"/>
          <w:sz w:val="20"/>
          <w:szCs w:val="20"/>
          <w:highlight w:val="yellow"/>
          <w:bdr w:val="single" w:sz="4" w:space="0" w:color="auto"/>
        </w:rPr>
        <w:t>四</w:t>
      </w:r>
      <w:r w:rsidRPr="008217DC">
        <w:rPr>
          <w:rFonts w:ascii="Times New Roman" w:hAnsi="Times New Roman"/>
          <w:b/>
          <w:color w:val="FF0000"/>
          <w:sz w:val="20"/>
          <w:szCs w:val="20"/>
          <w:highlight w:val="yellow"/>
          <w:bdr w:val="single" w:sz="4" w:space="0" w:color="auto"/>
        </w:rPr>
        <w:t>）</w:t>
      </w:r>
      <w:r w:rsidRPr="008217DC">
        <w:rPr>
          <w:rFonts w:ascii="Times New Roman" w:hAnsi="Times New Roman"/>
          <w:b/>
          <w:sz w:val="20"/>
          <w:szCs w:val="20"/>
          <w:bdr w:val="single" w:sz="4" w:space="0" w:color="auto"/>
        </w:rPr>
        <w:t>「心行語言斷」</w:t>
      </w:r>
      <w:r w:rsidR="008217DC" w:rsidRPr="008217DC">
        <w:rPr>
          <w:rFonts w:ascii="Times New Roman" w:hAnsi="Times New Roman" w:hint="eastAsia"/>
          <w:b/>
          <w:color w:val="FF0000"/>
          <w:sz w:val="20"/>
          <w:szCs w:val="20"/>
          <w:highlight w:val="yellow"/>
          <w:bdr w:val="single" w:sz="4" w:space="0" w:color="auto"/>
        </w:rPr>
        <w:t>──第四重</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22</w:t>
      </w:r>
      <w:r w:rsidRPr="00DA3BC7">
        <w:rPr>
          <w:rFonts w:ascii="Times New Roman" w:eastAsia="SimSun" w:hAnsi="Times New Roman"/>
          <w:bCs/>
          <w:sz w:val="20"/>
          <w:szCs w:val="20"/>
        </w:rPr>
        <w:t>5</w:t>
      </w:r>
      <w:r w:rsidRPr="00DA3BC7">
        <w:rPr>
          <w:rFonts w:ascii="Times New Roman" w:hAnsi="Times New Roman"/>
          <w:sz w:val="20"/>
          <w:szCs w:val="20"/>
        </w:rPr>
        <w:t>）</w:t>
      </w:r>
    </w:p>
    <w:p w:rsidR="00AA120F" w:rsidRPr="00DA3BC7" w:rsidRDefault="00AA120F" w:rsidP="008E2BBC">
      <w:pPr>
        <w:ind w:leftChars="150" w:left="360"/>
        <w:jc w:val="both"/>
        <w:rPr>
          <w:rFonts w:ascii="Times New Roman" w:hAnsi="Times New Roman"/>
        </w:rPr>
      </w:pPr>
      <w:r w:rsidRPr="00DA3BC7">
        <w:rPr>
          <w:rFonts w:ascii="Times New Roman" w:hAnsi="Times New Roman"/>
        </w:rPr>
        <w:t>所以三論宗說：凡言語所表詮的，心行所緣慮的，都是世俗；唯有「心行言語斷」的，方名為勝義。</w:t>
      </w:r>
    </w:p>
    <w:p w:rsidR="00AA120F" w:rsidRPr="00DA3BC7" w:rsidRDefault="008217DC" w:rsidP="00AE3920">
      <w:pPr>
        <w:spacing w:beforeLines="30"/>
        <w:ind w:leftChars="100" w:left="240"/>
        <w:jc w:val="both"/>
        <w:rPr>
          <w:rFonts w:ascii="Times New Roman" w:eastAsia="SimSun" w:hAnsi="Times New Roman"/>
          <w:b/>
          <w:sz w:val="20"/>
          <w:szCs w:val="20"/>
          <w:bdr w:val="single" w:sz="4" w:space="0" w:color="auto"/>
        </w:rPr>
      </w:pPr>
      <w:r w:rsidRPr="008217DC">
        <w:rPr>
          <w:rFonts w:ascii="新細明體" w:hAnsi="新細明體" w:hint="eastAsia"/>
          <w:b/>
          <w:color w:val="FF0000"/>
          <w:sz w:val="20"/>
          <w:szCs w:val="20"/>
          <w:highlight w:val="yellow"/>
          <w:bdr w:val="single" w:sz="4" w:space="0" w:color="auto"/>
        </w:rPr>
        <w:t>※結義</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bCs/>
          <w:sz w:val="20"/>
          <w:szCs w:val="20"/>
        </w:rPr>
        <w:t>22</w:t>
      </w:r>
      <w:r w:rsidR="00AA120F" w:rsidRPr="00DA3BC7">
        <w:rPr>
          <w:rFonts w:ascii="Times New Roman" w:eastAsia="SimSun" w:hAnsi="Times New Roman"/>
          <w:bCs/>
          <w:sz w:val="20"/>
          <w:szCs w:val="20"/>
        </w:rPr>
        <w:t>5</w:t>
      </w:r>
      <w:r w:rsidR="00AA120F" w:rsidRPr="00DA3BC7">
        <w:rPr>
          <w:rFonts w:ascii="Times New Roman" w:hAnsi="Times New Roman"/>
          <w:sz w:val="20"/>
          <w:szCs w:val="20"/>
        </w:rPr>
        <w:t>）</w:t>
      </w:r>
    </w:p>
    <w:p w:rsidR="00AA120F" w:rsidRPr="00DA3BC7" w:rsidRDefault="00AA120F" w:rsidP="008E2BBC">
      <w:pPr>
        <w:ind w:leftChars="100" w:left="240"/>
        <w:jc w:val="both"/>
        <w:rPr>
          <w:rFonts w:ascii="Times New Roman" w:hAnsi="Times New Roman"/>
        </w:rPr>
      </w:pPr>
      <w:r w:rsidRPr="00DA3BC7">
        <w:rPr>
          <w:rFonts w:ascii="Times New Roman" w:hAnsi="Times New Roman"/>
        </w:rPr>
        <w:t>這樣，三論宗所說的四重二諦，</w:t>
      </w:r>
      <w:r w:rsidR="002374E3" w:rsidRPr="00DA3BC7">
        <w:rPr>
          <w:rStyle w:val="a6"/>
          <w:rFonts w:ascii="Times New Roman" w:hAnsi="Times New Roman"/>
        </w:rPr>
        <w:footnoteReference w:id="986"/>
      </w:r>
      <w:r w:rsidRPr="00DA3BC7">
        <w:rPr>
          <w:rFonts w:ascii="Times New Roman" w:hAnsi="Times New Roman"/>
        </w:rPr>
        <w:t>實只是一重二諦，不過約眾生的根性不</w:t>
      </w:r>
      <w:r w:rsidRPr="00DA3BC7">
        <w:rPr>
          <w:rFonts w:ascii="Times New Roman" w:hAnsi="Times New Roman"/>
        </w:rPr>
        <w:lastRenderedPageBreak/>
        <w:t>同而差別說罷了。</w:t>
      </w:r>
    </w:p>
    <w:p w:rsidR="00AA120F" w:rsidRPr="00DA3BC7" w:rsidRDefault="00AA120F" w:rsidP="00AE3920">
      <w:pPr>
        <w:spacing w:beforeLines="30"/>
        <w:ind w:leftChars="50" w:left="120"/>
        <w:jc w:val="both"/>
        <w:rPr>
          <w:rFonts w:ascii="Times New Roman" w:hAnsi="Times New Roman"/>
        </w:rPr>
      </w:pPr>
      <w:r w:rsidRPr="008217DC">
        <w:rPr>
          <w:rFonts w:ascii="Times New Roman" w:hAnsi="Times New Roman"/>
          <w:b/>
          <w:color w:val="FF0000"/>
          <w:sz w:val="20"/>
          <w:szCs w:val="20"/>
          <w:highlight w:val="yellow"/>
          <w:bdr w:val="single" w:sz="4" w:space="0" w:color="auto"/>
        </w:rPr>
        <w:t>（</w:t>
      </w:r>
      <w:r w:rsidR="008217DC" w:rsidRPr="008217DC">
        <w:rPr>
          <w:rFonts w:ascii="Times New Roman" w:hAnsi="Times New Roman" w:hint="eastAsia"/>
          <w:b/>
          <w:color w:val="FF0000"/>
          <w:sz w:val="20"/>
          <w:szCs w:val="20"/>
          <w:highlight w:val="yellow"/>
          <w:bdr w:val="single" w:sz="4" w:space="0" w:color="auto"/>
        </w:rPr>
        <w:t>貳</w:t>
      </w:r>
      <w:r w:rsidRPr="008217DC">
        <w:rPr>
          <w:rFonts w:ascii="Times New Roman" w:hAnsi="Times New Roman"/>
          <w:b/>
          <w:color w:val="FF0000"/>
          <w:sz w:val="20"/>
          <w:szCs w:val="20"/>
          <w:highlight w:val="yellow"/>
          <w:bdr w:val="single" w:sz="4" w:space="0" w:color="auto"/>
        </w:rPr>
        <w:t>）</w:t>
      </w:r>
      <w:r w:rsidR="008217DC" w:rsidRPr="008217DC">
        <w:rPr>
          <w:rFonts w:ascii="Times New Roman" w:hAnsi="Times New Roman" w:hint="eastAsia"/>
          <w:b/>
          <w:color w:val="FF0000"/>
          <w:sz w:val="20"/>
          <w:szCs w:val="20"/>
          <w:highlight w:val="yellow"/>
          <w:bdr w:val="single" w:sz="4" w:space="0" w:color="auto"/>
        </w:rPr>
        <w:t>辨</w:t>
      </w:r>
      <w:r w:rsidRPr="008217DC">
        <w:rPr>
          <w:rFonts w:ascii="Times New Roman" w:hAnsi="Times New Roman"/>
          <w:b/>
          <w:color w:val="FF0000"/>
          <w:sz w:val="20"/>
          <w:szCs w:val="20"/>
          <w:highlight w:val="yellow"/>
          <w:bdr w:val="single" w:sz="4" w:space="0" w:color="auto"/>
        </w:rPr>
        <w:t>宗義</w:t>
      </w:r>
      <w:r w:rsidRPr="00DA3BC7">
        <w:rPr>
          <w:rFonts w:ascii="Times New Roman" w:hAnsi="Times New Roman"/>
          <w:sz w:val="20"/>
          <w:szCs w:val="20"/>
        </w:rPr>
        <w:t>（</w:t>
      </w:r>
      <w:r w:rsidRPr="00DA3BC7">
        <w:rPr>
          <w:rFonts w:ascii="Times New Roman" w:hAnsi="Times New Roman"/>
          <w:sz w:val="20"/>
          <w:szCs w:val="20"/>
        </w:rPr>
        <w:t>pp.225-227</w:t>
      </w:r>
      <w:r w:rsidRPr="00DA3BC7">
        <w:rPr>
          <w:rFonts w:ascii="Times New Roman" w:hAnsi="Times New Roman"/>
          <w:sz w:val="20"/>
          <w:szCs w:val="20"/>
        </w:rPr>
        <w:t>）</w:t>
      </w:r>
    </w:p>
    <w:p w:rsidR="001E65EB" w:rsidRDefault="00AA120F" w:rsidP="001E65EB">
      <w:pPr>
        <w:ind w:leftChars="100" w:left="240"/>
        <w:jc w:val="both"/>
        <w:rPr>
          <w:rFonts w:ascii="Times New Roman" w:hAnsi="Times New Roman"/>
          <w:sz w:val="20"/>
          <w:szCs w:val="20"/>
        </w:rPr>
      </w:pPr>
      <w:r w:rsidRPr="00DA3BC7">
        <w:rPr>
          <w:rFonts w:ascii="Times New Roman" w:hAnsi="Times New Roman"/>
          <w:b/>
          <w:bCs/>
          <w:sz w:val="20"/>
          <w:szCs w:val="20"/>
          <w:bdr w:val="single" w:sz="4" w:space="0" w:color="auto"/>
        </w:rPr>
        <w:t>一、</w:t>
      </w:r>
      <w:r w:rsidR="004E0E49">
        <w:rPr>
          <w:rFonts w:ascii="Times New Roman" w:hAnsi="Times New Roman" w:hint="eastAsia"/>
          <w:b/>
          <w:bCs/>
          <w:color w:val="FF0000"/>
          <w:sz w:val="20"/>
          <w:szCs w:val="20"/>
          <w:highlight w:val="yellow"/>
          <w:bdr w:val="single" w:sz="4" w:space="0" w:color="auto"/>
        </w:rPr>
        <w:t>概說</w:t>
      </w:r>
      <w:r w:rsidRPr="00DA3BC7">
        <w:rPr>
          <w:rFonts w:ascii="Times New Roman" w:hAnsi="Times New Roman"/>
          <w:sz w:val="20"/>
          <w:szCs w:val="20"/>
        </w:rPr>
        <w:t>（</w:t>
      </w:r>
      <w:r w:rsidRPr="00DA3BC7">
        <w:rPr>
          <w:rFonts w:ascii="Times New Roman" w:hAnsi="Times New Roman"/>
          <w:sz w:val="20"/>
          <w:szCs w:val="20"/>
        </w:rPr>
        <w:t>p.225</w:t>
      </w:r>
      <w:r w:rsidRPr="00DA3BC7">
        <w:rPr>
          <w:rFonts w:ascii="Times New Roman" w:hAnsi="Times New Roman"/>
          <w:sz w:val="20"/>
          <w:szCs w:val="20"/>
        </w:rPr>
        <w:t>）</w:t>
      </w:r>
    </w:p>
    <w:p w:rsidR="00AA120F" w:rsidRPr="00DA3BC7" w:rsidRDefault="00AA120F" w:rsidP="001E65EB">
      <w:pPr>
        <w:ind w:leftChars="100" w:left="240"/>
        <w:jc w:val="both"/>
        <w:rPr>
          <w:rFonts w:ascii="Times New Roman" w:hAnsi="Times New Roman"/>
          <w:bCs/>
        </w:rPr>
      </w:pPr>
      <w:r w:rsidRPr="00DA3BC7">
        <w:rPr>
          <w:rFonts w:ascii="Times New Roman" w:hAnsi="Times New Roman"/>
          <w:bCs/>
        </w:rPr>
        <w:t>三論宗的橫豎說，與辯證法有類同處，也有不同處。</w:t>
      </w:r>
    </w:p>
    <w:p w:rsidR="004E0E49" w:rsidRPr="00DA3BC7" w:rsidRDefault="004E0E49" w:rsidP="00AE3920">
      <w:pPr>
        <w:spacing w:beforeLines="30"/>
        <w:ind w:leftChars="100" w:left="240"/>
        <w:jc w:val="both"/>
        <w:rPr>
          <w:rFonts w:ascii="Times New Roman" w:eastAsia="SimSun" w:hAnsi="Times New Roman"/>
          <w:b/>
          <w:bCs/>
          <w:sz w:val="20"/>
          <w:szCs w:val="20"/>
          <w:bdr w:val="single" w:sz="4" w:space="0" w:color="auto"/>
        </w:rPr>
      </w:pPr>
      <w:r w:rsidRPr="004E0E49">
        <w:rPr>
          <w:rFonts w:ascii="Times New Roman" w:hAnsi="Times New Roman" w:hint="eastAsia"/>
          <w:b/>
          <w:bCs/>
          <w:color w:val="FF0000"/>
          <w:sz w:val="20"/>
          <w:szCs w:val="20"/>
          <w:highlight w:val="yellow"/>
          <w:bdr w:val="single" w:sz="4" w:space="0" w:color="auto"/>
        </w:rPr>
        <w:t>二</w:t>
      </w:r>
      <w:r w:rsidRPr="004E0E49">
        <w:rPr>
          <w:rFonts w:ascii="Times New Roman" w:hAnsi="Times New Roman"/>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校量</w:t>
      </w:r>
      <w:r w:rsidRPr="00DA3BC7">
        <w:rPr>
          <w:rFonts w:ascii="Times New Roman" w:hAnsi="Times New Roman"/>
          <w:sz w:val="20"/>
          <w:szCs w:val="20"/>
        </w:rPr>
        <w:t>（</w:t>
      </w:r>
      <w:r w:rsidRPr="00DA3BC7">
        <w:rPr>
          <w:rFonts w:ascii="Times New Roman" w:hAnsi="Times New Roman"/>
          <w:sz w:val="20"/>
          <w:szCs w:val="20"/>
        </w:rPr>
        <w:t>pp.225-226</w:t>
      </w:r>
      <w:r w:rsidRPr="00DA3BC7">
        <w:rPr>
          <w:rFonts w:ascii="Times New Roman" w:hAnsi="Times New Roman"/>
          <w:sz w:val="20"/>
          <w:szCs w:val="20"/>
        </w:rPr>
        <w:t>）</w:t>
      </w:r>
    </w:p>
    <w:p w:rsidR="004E0E49" w:rsidRDefault="004E0E49" w:rsidP="004E0E49">
      <w:pPr>
        <w:ind w:leftChars="150" w:left="360"/>
        <w:jc w:val="both"/>
        <w:rPr>
          <w:rFonts w:ascii="Times New Roman" w:hAnsi="Times New Roman"/>
          <w:b/>
          <w:color w:val="FF0000"/>
          <w:sz w:val="20"/>
          <w:szCs w:val="20"/>
          <w:bdr w:val="single" w:sz="4" w:space="0" w:color="auto"/>
        </w:rPr>
      </w:pPr>
      <w:r w:rsidRPr="008217DC">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一</w:t>
      </w:r>
      <w:r w:rsidRPr="008217DC">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明「辯證法」</w:t>
      </w:r>
      <w:r w:rsidRPr="00DA3BC7">
        <w:rPr>
          <w:rFonts w:ascii="Times New Roman" w:hAnsi="Times New Roman"/>
          <w:sz w:val="20"/>
          <w:szCs w:val="20"/>
        </w:rPr>
        <w:t>（</w:t>
      </w:r>
      <w:r w:rsidRPr="00DA3BC7">
        <w:rPr>
          <w:rFonts w:ascii="Times New Roman" w:hAnsi="Times New Roman"/>
          <w:sz w:val="20"/>
          <w:szCs w:val="20"/>
        </w:rPr>
        <w:t>pp.225-226</w:t>
      </w:r>
      <w:r w:rsidRPr="00DA3BC7">
        <w:rPr>
          <w:rFonts w:ascii="Times New Roman" w:hAnsi="Times New Roman"/>
          <w:sz w:val="20"/>
          <w:szCs w:val="20"/>
        </w:rPr>
        <w:t>）</w:t>
      </w:r>
    </w:p>
    <w:p w:rsidR="00AA120F" w:rsidRPr="00DA3BC7" w:rsidRDefault="00AA120F" w:rsidP="004E0E49">
      <w:pPr>
        <w:ind w:leftChars="150" w:left="360"/>
        <w:jc w:val="both"/>
        <w:rPr>
          <w:rFonts w:ascii="Times New Roman" w:hAnsi="Times New Roman"/>
          <w:bCs/>
        </w:rPr>
      </w:pPr>
      <w:r w:rsidRPr="00DA3BC7">
        <w:rPr>
          <w:rFonts w:ascii="Times New Roman" w:hAnsi="Times New Roman"/>
          <w:bCs/>
        </w:rPr>
        <w:t>依</w:t>
      </w:r>
      <w:r w:rsidRPr="00DA3BC7">
        <w:rPr>
          <w:rFonts w:ascii="Times New Roman" w:hAnsi="Times New Roman"/>
          <w:b/>
          <w:bCs/>
        </w:rPr>
        <w:t>辯證法</w:t>
      </w:r>
      <w:r w:rsidRPr="00DA3BC7">
        <w:rPr>
          <w:rFonts w:ascii="Times New Roman" w:hAnsi="Times New Roman"/>
          <w:bCs/>
        </w:rPr>
        <w:t>，</w:t>
      </w:r>
      <w:r w:rsidRPr="00DA3BC7">
        <w:rPr>
          <w:rFonts w:ascii="Times New Roman" w:hAnsi="Times New Roman"/>
          <w:b/>
          <w:bCs/>
        </w:rPr>
        <w:t>有</w:t>
      </w:r>
      <w:r w:rsidRPr="00DA3BC7">
        <w:rPr>
          <w:rFonts w:ascii="Times New Roman" w:hAnsi="Times New Roman"/>
          <w:bCs/>
        </w:rPr>
        <w:t>是</w:t>
      </w:r>
      <w:r w:rsidRPr="00DA3BC7">
        <w:rPr>
          <w:rFonts w:ascii="Times New Roman" w:hAnsi="Times New Roman"/>
        </w:rPr>
        <w:t>肯定</w:t>
      </w:r>
      <w:r w:rsidRPr="00DA3BC7">
        <w:rPr>
          <w:rFonts w:ascii="Times New Roman" w:hAnsi="Times New Roman"/>
          <w:bCs/>
        </w:rPr>
        <w:t>的</w:t>
      </w:r>
      <w:r w:rsidRPr="00DA3BC7">
        <w:rPr>
          <w:rFonts w:ascii="新細明體" w:hAnsi="新細明體"/>
          <w:bCs/>
        </w:rPr>
        <w:t>──正，</w:t>
      </w:r>
      <w:r w:rsidRPr="00DA3BC7">
        <w:rPr>
          <w:rFonts w:ascii="新細明體" w:hAnsi="新細明體"/>
          <w:b/>
          <w:bCs/>
        </w:rPr>
        <w:t>空</w:t>
      </w:r>
      <w:r w:rsidRPr="00DA3BC7">
        <w:rPr>
          <w:rFonts w:ascii="新細明體" w:hAnsi="新細明體"/>
          <w:bCs/>
        </w:rPr>
        <w:t>是否定的──反；</w:t>
      </w:r>
      <w:r w:rsidRPr="00DA3BC7">
        <w:rPr>
          <w:rFonts w:ascii="新細明體" w:hAnsi="新細明體"/>
          <w:b/>
          <w:bCs/>
        </w:rPr>
        <w:t>亦有亦空</w:t>
      </w:r>
      <w:r w:rsidRPr="00DA3BC7">
        <w:rPr>
          <w:rFonts w:ascii="新細明體" w:hAnsi="新細明體"/>
          <w:bCs/>
        </w:rPr>
        <w:t>是綜合的──合</w:t>
      </w:r>
      <w:r w:rsidRPr="00DA3BC7">
        <w:rPr>
          <w:rFonts w:ascii="Times New Roman" w:hAnsi="Times New Roman"/>
          <w:bCs/>
        </w:rPr>
        <w:t>。他所說的合，實是更高級的正。正反合的辯證過程，</w:t>
      </w:r>
      <w:r w:rsidRPr="00DA3BC7">
        <w:rPr>
          <w:rFonts w:ascii="Times New Roman" w:hAnsi="Times New Roman"/>
          <w:b/>
          <w:bCs/>
        </w:rPr>
        <w:t>都是順於世俗名言而安立的</w:t>
      </w:r>
      <w:r w:rsidRPr="00DA3BC7">
        <w:rPr>
          <w:rFonts w:ascii="Times New Roman" w:hAnsi="Times New Roman"/>
          <w:bCs/>
        </w:rPr>
        <w:t>。換言之，即唯橫而無豎的。因為所說的合，它還歸於正，不過是更完滿的正而已。</w:t>
      </w:r>
    </w:p>
    <w:p w:rsidR="00AA120F" w:rsidRPr="00DA3BC7" w:rsidRDefault="00AA120F" w:rsidP="00AE3920">
      <w:pPr>
        <w:spacing w:beforeLines="30"/>
        <w:ind w:leftChars="150" w:left="360"/>
        <w:jc w:val="both"/>
        <w:rPr>
          <w:rFonts w:ascii="Times New Roman" w:eastAsia="SimSun" w:hAnsi="Times New Roman"/>
        </w:rPr>
      </w:pPr>
      <w:r w:rsidRPr="00DA3BC7">
        <w:rPr>
          <w:rFonts w:ascii="Times New Roman" w:hAnsi="Times New Roman"/>
          <w:b/>
          <w:bCs/>
          <w:sz w:val="20"/>
          <w:szCs w:val="20"/>
          <w:bdr w:val="single" w:sz="4" w:space="0" w:color="auto"/>
        </w:rPr>
        <w:t>（二）</w:t>
      </w:r>
      <w:r w:rsidR="004E0E49">
        <w:rPr>
          <w:rFonts w:ascii="Times New Roman" w:hAnsi="Times New Roman" w:hint="eastAsia"/>
          <w:b/>
          <w:bCs/>
          <w:sz w:val="20"/>
          <w:szCs w:val="20"/>
          <w:bdr w:val="single" w:sz="4" w:space="0" w:color="auto"/>
        </w:rPr>
        <w:t>明「</w:t>
      </w:r>
      <w:r w:rsidRPr="00DA3BC7">
        <w:rPr>
          <w:rFonts w:ascii="Times New Roman" w:hAnsi="Times New Roman"/>
          <w:b/>
          <w:sz w:val="20"/>
          <w:szCs w:val="20"/>
          <w:bdr w:val="single" w:sz="4" w:space="0" w:color="auto"/>
        </w:rPr>
        <w:t>三論宗的</w:t>
      </w:r>
      <w:r w:rsidR="004E0E49">
        <w:rPr>
          <w:rFonts w:ascii="Times New Roman" w:hAnsi="Times New Roman" w:hint="eastAsia"/>
          <w:b/>
          <w:sz w:val="20"/>
          <w:szCs w:val="20"/>
          <w:bdr w:val="single" w:sz="4" w:space="0" w:color="auto"/>
        </w:rPr>
        <w:t>主張」</w:t>
      </w:r>
      <w:r w:rsidRPr="00DA3BC7">
        <w:rPr>
          <w:rFonts w:ascii="Times New Roman" w:hAnsi="Times New Roman"/>
          <w:sz w:val="20"/>
          <w:szCs w:val="20"/>
        </w:rPr>
        <w:t>（</w:t>
      </w:r>
      <w:r w:rsidRPr="00DA3BC7">
        <w:rPr>
          <w:rFonts w:ascii="Times New Roman" w:hAnsi="Times New Roman"/>
          <w:sz w:val="20"/>
          <w:szCs w:val="20"/>
        </w:rPr>
        <w:t>p.22</w:t>
      </w:r>
      <w:r w:rsidRPr="00DA3BC7">
        <w:rPr>
          <w:rFonts w:ascii="Times New Roman" w:eastAsia="SimSun" w:hAnsi="Times New Roman"/>
          <w:sz w:val="20"/>
          <w:szCs w:val="20"/>
        </w:rPr>
        <w:t>6</w:t>
      </w:r>
      <w:r w:rsidRPr="00DA3BC7">
        <w:rPr>
          <w:rFonts w:ascii="Times New Roman" w:hAnsi="Times New Roman"/>
          <w:sz w:val="20"/>
          <w:szCs w:val="20"/>
        </w:rPr>
        <w:t>）</w:t>
      </w:r>
    </w:p>
    <w:p w:rsidR="004E0E49" w:rsidRDefault="004E0E49" w:rsidP="001E65EB">
      <w:pPr>
        <w:ind w:leftChars="200" w:left="480"/>
        <w:jc w:val="both"/>
        <w:rPr>
          <w:rFonts w:ascii="Times New Roman" w:hAnsi="Times New Roman"/>
          <w:b/>
          <w:color w:val="FF0000"/>
          <w:sz w:val="20"/>
          <w:szCs w:val="20"/>
          <w:bdr w:val="single" w:sz="4" w:space="0" w:color="auto"/>
        </w:rPr>
      </w:pPr>
      <w:r>
        <w:rPr>
          <w:rFonts w:ascii="Times New Roman" w:hAnsi="Times New Roman" w:hint="eastAsia"/>
          <w:b/>
          <w:color w:val="FF0000"/>
          <w:sz w:val="20"/>
          <w:szCs w:val="20"/>
          <w:highlight w:val="yellow"/>
          <w:bdr w:val="single" w:sz="4" w:space="0" w:color="auto"/>
        </w:rPr>
        <w:t>1</w:t>
      </w:r>
      <w:r>
        <w:rPr>
          <w:rFonts w:ascii="Times New Roman" w:hAnsi="Times New Roman" w:hint="eastAsia"/>
          <w:b/>
          <w:color w:val="FF0000"/>
          <w:sz w:val="20"/>
          <w:szCs w:val="20"/>
          <w:highlight w:val="yellow"/>
          <w:bdr w:val="single" w:sz="4" w:space="0" w:color="auto"/>
        </w:rPr>
        <w:t>、</w:t>
      </w:r>
      <w:r w:rsidR="001E65EB">
        <w:rPr>
          <w:rFonts w:ascii="Times New Roman" w:hAnsi="Times New Roman" w:hint="eastAsia"/>
          <w:b/>
          <w:color w:val="FF0000"/>
          <w:sz w:val="20"/>
          <w:szCs w:val="20"/>
          <w:highlight w:val="yellow"/>
          <w:bdr w:val="single" w:sz="4" w:space="0" w:color="auto"/>
        </w:rPr>
        <w:t>出</w:t>
      </w:r>
      <w:r>
        <w:rPr>
          <w:rFonts w:ascii="Times New Roman" w:hAnsi="Times New Roman" w:hint="eastAsia"/>
          <w:b/>
          <w:color w:val="FF0000"/>
          <w:sz w:val="20"/>
          <w:szCs w:val="20"/>
          <w:highlight w:val="yellow"/>
          <w:bdr w:val="single" w:sz="4" w:space="0" w:color="auto"/>
        </w:rPr>
        <w:t>顯真意</w:t>
      </w:r>
      <w:r w:rsidRPr="00DA3BC7">
        <w:rPr>
          <w:rFonts w:ascii="Times New Roman" w:hAnsi="Times New Roman"/>
          <w:sz w:val="20"/>
          <w:szCs w:val="20"/>
        </w:rPr>
        <w:t>（</w:t>
      </w:r>
      <w:r w:rsidRPr="00DA3BC7">
        <w:rPr>
          <w:rFonts w:ascii="Times New Roman" w:hAnsi="Times New Roman"/>
          <w:sz w:val="20"/>
          <w:szCs w:val="20"/>
        </w:rPr>
        <w:t>p.226</w:t>
      </w:r>
      <w:r w:rsidRPr="00DA3BC7">
        <w:rPr>
          <w:rFonts w:ascii="Times New Roman" w:hAnsi="Times New Roman"/>
          <w:sz w:val="20"/>
          <w:szCs w:val="20"/>
        </w:rPr>
        <w:t>）</w:t>
      </w:r>
    </w:p>
    <w:p w:rsidR="00AA120F" w:rsidRPr="00DA3BC7" w:rsidRDefault="00AA120F" w:rsidP="001E65EB">
      <w:pPr>
        <w:ind w:leftChars="200" w:left="480"/>
        <w:jc w:val="both"/>
        <w:rPr>
          <w:rFonts w:ascii="Times New Roman" w:hAnsi="Times New Roman"/>
        </w:rPr>
      </w:pPr>
      <w:r w:rsidRPr="00DA3BC7">
        <w:rPr>
          <w:rFonts w:ascii="Times New Roman" w:hAnsi="Times New Roman" w:hint="eastAsia"/>
        </w:rPr>
        <w:t>三論宗所說的橫豎單複，都是順於勝義的，</w:t>
      </w:r>
      <w:r w:rsidRPr="00DA3BC7">
        <w:rPr>
          <w:rFonts w:ascii="Times New Roman" w:hAnsi="Times New Roman"/>
        </w:rPr>
        <w:t>如說</w:t>
      </w:r>
      <w:r w:rsidRPr="00523F45">
        <w:rPr>
          <w:rFonts w:ascii="Times New Roman" w:hAnsi="Times New Roman"/>
          <w:b/>
          <w:u w:val="wave" w:color="C00000"/>
        </w:rPr>
        <w:t>有</w:t>
      </w:r>
      <w:r w:rsidRPr="00DA3BC7">
        <w:rPr>
          <w:rFonts w:ascii="Times New Roman" w:hAnsi="Times New Roman"/>
        </w:rPr>
        <w:t>是正，</w:t>
      </w:r>
      <w:r w:rsidRPr="00523F45">
        <w:rPr>
          <w:rFonts w:ascii="Times New Roman" w:hAnsi="Times New Roman"/>
          <w:b/>
          <w:u w:val="wave" w:color="C00000"/>
        </w:rPr>
        <w:t>空</w:t>
      </w:r>
      <w:r w:rsidRPr="00DA3BC7">
        <w:rPr>
          <w:rFonts w:ascii="Times New Roman" w:hAnsi="Times New Roman"/>
        </w:rPr>
        <w:t>是反。空義雖含有兩種性質：</w:t>
      </w:r>
      <w:r w:rsidRPr="00DA3BC7">
        <w:rPr>
          <w:rFonts w:ascii="Times New Roman" w:hAnsi="Times New Roman"/>
          <w:sz w:val="20"/>
          <w:szCs w:val="20"/>
        </w:rPr>
        <w:t>（</w:t>
      </w:r>
      <w:r w:rsidRPr="00DA3BC7">
        <w:rPr>
          <w:rFonts w:ascii="Times New Roman" w:hAnsi="Times New Roman"/>
        </w:rPr>
        <w:t>一</w:t>
      </w:r>
      <w:r w:rsidRPr="00DA3BC7">
        <w:rPr>
          <w:rFonts w:ascii="Times New Roman" w:hAnsi="Times New Roman"/>
          <w:sz w:val="20"/>
          <w:szCs w:val="20"/>
        </w:rPr>
        <w:t>）</w:t>
      </w:r>
      <w:r w:rsidRPr="00DA3BC7">
        <w:rPr>
          <w:rFonts w:ascii="Times New Roman" w:hAnsi="Times New Roman"/>
          <w:b/>
        </w:rPr>
        <w:t>否定它</w:t>
      </w:r>
      <w:r w:rsidRPr="00DA3BC7">
        <w:rPr>
          <w:rFonts w:ascii="Times New Roman" w:eastAsia="SimSun" w:hAnsi="Times New Roman"/>
        </w:rPr>
        <w:t>——</w:t>
      </w:r>
      <w:r w:rsidRPr="00DA3BC7">
        <w:rPr>
          <w:rFonts w:ascii="Times New Roman" w:hAnsi="Times New Roman"/>
        </w:rPr>
        <w:t>錯亂的執相</w:t>
      </w:r>
      <w:r w:rsidRPr="00DA3BC7">
        <w:rPr>
          <w:rFonts w:ascii="Times New Roman" w:hAnsi="Times New Roman" w:hint="eastAsia"/>
        </w:rPr>
        <w:t>，</w:t>
      </w:r>
      <w:r w:rsidRPr="00DA3BC7">
        <w:rPr>
          <w:rFonts w:ascii="Times New Roman" w:hAnsi="Times New Roman"/>
          <w:sz w:val="20"/>
          <w:szCs w:val="20"/>
        </w:rPr>
        <w:t>（</w:t>
      </w:r>
      <w:r w:rsidRPr="00DA3BC7">
        <w:rPr>
          <w:rFonts w:ascii="Times New Roman" w:hAnsi="Times New Roman"/>
        </w:rPr>
        <w:t>二</w:t>
      </w:r>
      <w:r w:rsidRPr="00DA3BC7">
        <w:rPr>
          <w:rFonts w:ascii="Times New Roman" w:hAnsi="Times New Roman"/>
          <w:sz w:val="20"/>
          <w:szCs w:val="20"/>
        </w:rPr>
        <w:t>）</w:t>
      </w:r>
      <w:r w:rsidRPr="00DA3BC7">
        <w:rPr>
          <w:rFonts w:ascii="Times New Roman" w:hAnsi="Times New Roman"/>
          <w:b/>
        </w:rPr>
        <w:t>不礙它</w:t>
      </w:r>
      <w:r w:rsidRPr="00BC39D3">
        <w:rPr>
          <w:rFonts w:ascii="Times New Roman" w:eastAsia="SimSun" w:hAnsi="Times New Roman"/>
        </w:rPr>
        <w:t>——</w:t>
      </w:r>
      <w:r w:rsidRPr="00DA3BC7">
        <w:rPr>
          <w:rFonts w:ascii="Times New Roman" w:hAnsi="Times New Roman"/>
        </w:rPr>
        <w:t>緣起的假名，但</w:t>
      </w:r>
      <w:r w:rsidRPr="00DA3BC7">
        <w:rPr>
          <w:rFonts w:ascii="Times New Roman" w:hAnsi="Times New Roman"/>
          <w:b/>
        </w:rPr>
        <w:t>不礙有的空</w:t>
      </w:r>
      <w:r w:rsidRPr="00DA3BC7">
        <w:rPr>
          <w:rFonts w:ascii="Times New Roman" w:hAnsi="Times New Roman"/>
        </w:rPr>
        <w:t>與</w:t>
      </w:r>
      <w:r w:rsidRPr="00DA3BC7">
        <w:rPr>
          <w:rFonts w:ascii="Times New Roman" w:hAnsi="Times New Roman"/>
          <w:b/>
        </w:rPr>
        <w:t>否定戲論的空</w:t>
      </w:r>
      <w:r w:rsidRPr="00DA3BC7">
        <w:rPr>
          <w:rFonts w:ascii="Times New Roman" w:hAnsi="Times New Roman"/>
        </w:rPr>
        <w:t>，還是空觀的過程，而不是究極的。因離執而悟得畢竟寂滅，才是空的真意。</w:t>
      </w:r>
    </w:p>
    <w:p w:rsidR="00AA120F" w:rsidRPr="00DA3BC7" w:rsidRDefault="00AA120F" w:rsidP="00AE3920">
      <w:pPr>
        <w:spacing w:beforeLines="20"/>
        <w:ind w:leftChars="200" w:left="480"/>
        <w:jc w:val="both"/>
        <w:rPr>
          <w:rFonts w:ascii="Times New Roman" w:eastAsia="SimSun" w:hAnsi="Times New Roman"/>
        </w:rPr>
      </w:pPr>
      <w:r w:rsidRPr="00DA3BC7">
        <w:rPr>
          <w:rFonts w:ascii="Times New Roman" w:hAnsi="Times New Roman"/>
        </w:rPr>
        <w:t>佛法為引導眾生悟入勝義，所以論辯的過程，雖與辯證的過程相近，而說空</w:t>
      </w:r>
      <w:r w:rsidRPr="00DA3BC7">
        <w:rPr>
          <w:rFonts w:ascii="Times New Roman" w:hAnsi="Times New Roman" w:hint="eastAsia"/>
        </w:rPr>
        <w:t>、</w:t>
      </w:r>
      <w:r w:rsidRPr="00DA3BC7">
        <w:rPr>
          <w:rFonts w:ascii="Times New Roman" w:hAnsi="Times New Roman"/>
        </w:rPr>
        <w:t>說非，卻不滯於有</w:t>
      </w:r>
      <w:r w:rsidRPr="00DA3BC7">
        <w:rPr>
          <w:rFonts w:ascii="Times New Roman" w:hAnsi="Times New Roman" w:hint="eastAsia"/>
        </w:rPr>
        <w:t>、</w:t>
      </w:r>
      <w:r w:rsidRPr="00DA3BC7">
        <w:rPr>
          <w:rFonts w:ascii="Times New Roman" w:hAnsi="Times New Roman"/>
        </w:rPr>
        <w:t>空的總合。</w:t>
      </w:r>
    </w:p>
    <w:p w:rsidR="00AA120F" w:rsidRPr="00DA3BC7" w:rsidRDefault="00BC39D3" w:rsidP="00AE3920">
      <w:pPr>
        <w:spacing w:beforeLines="30"/>
        <w:ind w:leftChars="200" w:left="480"/>
        <w:jc w:val="both"/>
        <w:rPr>
          <w:rFonts w:ascii="Times New Roman" w:hAnsi="Times New Roman"/>
          <w:bCs/>
          <w:sz w:val="20"/>
          <w:szCs w:val="20"/>
        </w:rPr>
      </w:pPr>
      <w:r w:rsidRPr="00BC39D3">
        <w:rPr>
          <w:rFonts w:ascii="Times New Roman" w:hAnsi="Times New Roman" w:hint="eastAsia"/>
          <w:b/>
          <w:bCs/>
          <w:color w:val="FF0000"/>
          <w:sz w:val="20"/>
          <w:szCs w:val="20"/>
          <w:highlight w:val="yellow"/>
          <w:bdr w:val="single" w:sz="4" w:space="0" w:color="auto"/>
        </w:rPr>
        <w:t>2</w:t>
      </w:r>
      <w:r w:rsidR="00AA120F" w:rsidRPr="00BC39D3">
        <w:rPr>
          <w:rFonts w:ascii="Times New Roman" w:hAnsi="Times New Roman"/>
          <w:b/>
          <w:bCs/>
          <w:color w:val="FF0000"/>
          <w:sz w:val="20"/>
          <w:szCs w:val="20"/>
          <w:highlight w:val="yellow"/>
          <w:bdr w:val="single" w:sz="4" w:space="0" w:color="auto"/>
        </w:rPr>
        <w:t>、</w:t>
      </w:r>
      <w:r w:rsidRPr="00BC39D3">
        <w:rPr>
          <w:rFonts w:ascii="Times New Roman" w:hAnsi="Times New Roman" w:hint="eastAsia"/>
          <w:b/>
          <w:bCs/>
          <w:color w:val="FF0000"/>
          <w:sz w:val="20"/>
          <w:szCs w:val="20"/>
          <w:highlight w:val="yellow"/>
          <w:bdr w:val="single" w:sz="4" w:space="0" w:color="auto"/>
        </w:rPr>
        <w:t>破迷徹悟</w:t>
      </w:r>
      <w:r w:rsidR="00AA120F" w:rsidRPr="00DA3BC7">
        <w:rPr>
          <w:rFonts w:ascii="Times New Roman" w:hAnsi="Times New Roman"/>
          <w:sz w:val="20"/>
          <w:szCs w:val="20"/>
        </w:rPr>
        <w:t>（</w:t>
      </w:r>
      <w:r w:rsidR="00AA120F" w:rsidRPr="00DA3BC7">
        <w:rPr>
          <w:rFonts w:ascii="Times New Roman" w:hAnsi="Times New Roman"/>
          <w:sz w:val="20"/>
          <w:szCs w:val="20"/>
        </w:rPr>
        <w:t>pp.226-227</w:t>
      </w:r>
      <w:r w:rsidR="00AA120F" w:rsidRPr="00DA3BC7">
        <w:rPr>
          <w:rFonts w:ascii="Times New Roman" w:hAnsi="Times New Roman"/>
          <w:sz w:val="20"/>
          <w:szCs w:val="20"/>
        </w:rPr>
        <w:t>）</w:t>
      </w:r>
    </w:p>
    <w:p w:rsidR="00BC39D3" w:rsidRDefault="00BC39D3" w:rsidP="009D3297">
      <w:pPr>
        <w:ind w:leftChars="250" w:left="600"/>
        <w:jc w:val="both"/>
        <w:rPr>
          <w:rFonts w:ascii="Times New Roman" w:hAnsi="Times New Roman"/>
          <w:b/>
          <w:color w:val="FF0000"/>
          <w:sz w:val="20"/>
          <w:szCs w:val="20"/>
          <w:bdr w:val="single" w:sz="4" w:space="0" w:color="auto"/>
        </w:rPr>
      </w:pPr>
      <w:r w:rsidRPr="008217DC">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1</w:t>
      </w:r>
      <w:r w:rsidRPr="008217DC">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凡情知見</w:t>
      </w:r>
      <w:r w:rsidRPr="00DA3BC7">
        <w:rPr>
          <w:rFonts w:ascii="Times New Roman" w:hAnsi="Times New Roman"/>
          <w:sz w:val="20"/>
          <w:szCs w:val="20"/>
        </w:rPr>
        <w:t>（</w:t>
      </w:r>
      <w:r>
        <w:rPr>
          <w:rFonts w:ascii="Times New Roman" w:hAnsi="Times New Roman"/>
          <w:sz w:val="20"/>
          <w:szCs w:val="20"/>
        </w:rPr>
        <w:t>p.</w:t>
      </w:r>
      <w:r w:rsidRPr="00DA3BC7">
        <w:rPr>
          <w:rFonts w:ascii="Times New Roman" w:hAnsi="Times New Roman"/>
          <w:sz w:val="20"/>
          <w:szCs w:val="20"/>
        </w:rPr>
        <w:t>226</w:t>
      </w:r>
      <w:r w:rsidRPr="00DA3BC7">
        <w:rPr>
          <w:rFonts w:ascii="Times New Roman" w:hAnsi="Times New Roman"/>
          <w:sz w:val="20"/>
          <w:szCs w:val="20"/>
        </w:rPr>
        <w:t>）</w:t>
      </w:r>
    </w:p>
    <w:p w:rsidR="00BC39D3" w:rsidRDefault="00AA120F" w:rsidP="009D3297">
      <w:pPr>
        <w:ind w:leftChars="250" w:left="600"/>
        <w:jc w:val="both"/>
        <w:rPr>
          <w:rFonts w:ascii="Times New Roman" w:hAnsi="Times New Roman"/>
        </w:rPr>
      </w:pPr>
      <w:r w:rsidRPr="00DA3BC7">
        <w:rPr>
          <w:rFonts w:ascii="Times New Roman" w:hAnsi="Times New Roman"/>
        </w:rPr>
        <w:t>眾生的根性，是</w:t>
      </w:r>
      <w:r w:rsidRPr="00DA3BC7">
        <w:rPr>
          <w:rFonts w:ascii="Times New Roman" w:hAnsi="Times New Roman"/>
          <w:b/>
        </w:rPr>
        <w:t>順於世俗</w:t>
      </w:r>
      <w:r w:rsidRPr="00DA3BC7">
        <w:rPr>
          <w:rFonts w:ascii="Times New Roman" w:hAnsi="Times New Roman"/>
        </w:rPr>
        <w:t>的，即總是順於正或綜合（正）的。</w:t>
      </w:r>
    </w:p>
    <w:p w:rsidR="00BC39D3" w:rsidRDefault="00AA120F" w:rsidP="009D3297">
      <w:pPr>
        <w:ind w:leftChars="250" w:left="600"/>
        <w:jc w:val="both"/>
        <w:rPr>
          <w:rFonts w:ascii="Times New Roman" w:hAnsi="Times New Roman"/>
        </w:rPr>
      </w:pPr>
      <w:r w:rsidRPr="00BC39D3">
        <w:rPr>
          <w:rFonts w:ascii="Times New Roman" w:hAnsi="Times New Roman"/>
          <w:highlight w:val="yellow"/>
        </w:rPr>
        <w:t>如</w:t>
      </w:r>
      <w:r w:rsidRPr="00DA3BC7">
        <w:rPr>
          <w:rFonts w:ascii="Times New Roman" w:hAnsi="Times New Roman"/>
        </w:rPr>
        <w:t>佛說</w:t>
      </w:r>
      <w:r w:rsidRPr="00DA3BC7">
        <w:rPr>
          <w:rFonts w:ascii="Times New Roman" w:hAnsi="Times New Roman"/>
          <w:b/>
        </w:rPr>
        <w:t>俗有</w:t>
      </w:r>
      <w:r w:rsidRPr="00DA3BC7">
        <w:rPr>
          <w:rFonts w:ascii="Times New Roman" w:hAnsi="Times New Roman"/>
        </w:rPr>
        <w:t>與</w:t>
      </w:r>
      <w:r w:rsidRPr="00DA3BC7">
        <w:rPr>
          <w:rFonts w:ascii="Times New Roman" w:hAnsi="Times New Roman"/>
          <w:b/>
        </w:rPr>
        <w:t>真空</w:t>
      </w:r>
      <w:r w:rsidRPr="00DA3BC7">
        <w:rPr>
          <w:rFonts w:ascii="Times New Roman" w:hAnsi="Times New Roman"/>
        </w:rPr>
        <w:t>，佛說的空，用意是豎的</w:t>
      </w:r>
      <w:r w:rsidRPr="00DA3BC7">
        <w:rPr>
          <w:rFonts w:ascii="Times New Roman" w:hAnsi="Times New Roman" w:hint="eastAsia"/>
        </w:rPr>
        <w:t>、</w:t>
      </w:r>
      <w:r w:rsidRPr="00DA3BC7">
        <w:rPr>
          <w:rFonts w:ascii="Times New Roman" w:hAnsi="Times New Roman"/>
        </w:rPr>
        <w:t>超越的</w:t>
      </w:r>
      <w:r w:rsidRPr="00DA3BC7">
        <w:rPr>
          <w:rFonts w:ascii="Times New Roman" w:hAnsi="Times New Roman" w:hint="eastAsia"/>
        </w:rPr>
        <w:t>；</w:t>
      </w:r>
      <w:r w:rsidRPr="00DA3BC7">
        <w:rPr>
          <w:rFonts w:ascii="Times New Roman" w:hAnsi="Times New Roman"/>
        </w:rPr>
        <w:t>但眾生從相對的見地去看，以為空是偏於一邊的，</w:t>
      </w:r>
      <w:r w:rsidRPr="00DA3BC7">
        <w:rPr>
          <w:rFonts w:ascii="Times New Roman" w:hAnsi="Times New Roman"/>
          <w:b/>
        </w:rPr>
        <w:t>亦有亦空</w:t>
      </w:r>
      <w:r w:rsidRPr="00DA3BC7">
        <w:rPr>
          <w:rFonts w:ascii="Times New Roman" w:hAnsi="Times New Roman"/>
        </w:rPr>
        <w:t>的綜合，才比較圓滿。</w:t>
      </w:r>
    </w:p>
    <w:p w:rsidR="00BC39D3" w:rsidRPr="00DA3BC7" w:rsidRDefault="00BC39D3" w:rsidP="00AE3920">
      <w:pPr>
        <w:spacing w:beforeLines="30"/>
        <w:ind w:leftChars="250" w:left="600"/>
        <w:jc w:val="both"/>
        <w:rPr>
          <w:rFonts w:ascii="Times New Roman" w:hAnsi="Times New Roman"/>
          <w:bCs/>
          <w:sz w:val="20"/>
          <w:szCs w:val="20"/>
        </w:rPr>
      </w:pPr>
      <w:r w:rsidRPr="008217DC">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2</w:t>
      </w:r>
      <w:r w:rsidRPr="008217DC">
        <w:rPr>
          <w:rFonts w:ascii="Times New Roman" w:hAnsi="Times New Roman"/>
          <w:b/>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遣相證性</w:t>
      </w:r>
      <w:r w:rsidRPr="00DA3BC7">
        <w:rPr>
          <w:rFonts w:ascii="Times New Roman" w:hAnsi="Times New Roman"/>
          <w:sz w:val="20"/>
          <w:szCs w:val="20"/>
        </w:rPr>
        <w:t>（</w:t>
      </w:r>
      <w:r w:rsidRPr="00DA3BC7">
        <w:rPr>
          <w:rFonts w:ascii="Times New Roman" w:hAnsi="Times New Roman"/>
          <w:sz w:val="20"/>
          <w:szCs w:val="20"/>
        </w:rPr>
        <w:t>pp.226-227</w:t>
      </w:r>
      <w:r w:rsidRPr="00DA3BC7">
        <w:rPr>
          <w:rFonts w:ascii="Times New Roman" w:hAnsi="Times New Roman"/>
          <w:sz w:val="20"/>
          <w:szCs w:val="20"/>
        </w:rPr>
        <w:t>）</w:t>
      </w:r>
    </w:p>
    <w:p w:rsidR="00AA120F" w:rsidRPr="00DA3BC7" w:rsidRDefault="00AA120F" w:rsidP="009D3297">
      <w:pPr>
        <w:ind w:leftChars="250" w:left="600"/>
        <w:jc w:val="both"/>
        <w:rPr>
          <w:rFonts w:ascii="Times New Roman" w:hAnsi="Times New Roman"/>
        </w:rPr>
      </w:pPr>
      <w:r w:rsidRPr="00DA3BC7">
        <w:rPr>
          <w:rFonts w:ascii="Times New Roman" w:hAnsi="Times New Roman"/>
        </w:rPr>
        <w:t>但這是順俗的，三論宗的</w:t>
      </w:r>
      <w:r w:rsidRPr="00DA3BC7">
        <w:rPr>
          <w:rFonts w:ascii="Times New Roman" w:hAnsi="Times New Roman"/>
          <w:b/>
        </w:rPr>
        <w:t>第二重二諦</w:t>
      </w:r>
      <w:r w:rsidRPr="00DA3BC7">
        <w:rPr>
          <w:rFonts w:ascii="Times New Roman" w:hAnsi="Times New Roman"/>
        </w:rPr>
        <w:t>，起來否定它，說</w:t>
      </w:r>
      <w:r w:rsidRPr="00523F45">
        <w:rPr>
          <w:rFonts w:ascii="Times New Roman" w:hAnsi="Times New Roman"/>
          <w:b/>
          <w:u w:val="wave" w:color="C00000"/>
        </w:rPr>
        <w:t>非有非空</w:t>
      </w:r>
      <w:r w:rsidRPr="00DA3BC7">
        <w:rPr>
          <w:rFonts w:ascii="Times New Roman" w:hAnsi="Times New Roman"/>
        </w:rPr>
        <w:t>。世間的一有</w:t>
      </w:r>
      <w:r w:rsidRPr="00DA3BC7">
        <w:rPr>
          <w:rFonts w:ascii="Times New Roman" w:hAnsi="Times New Roman" w:hint="eastAsia"/>
        </w:rPr>
        <w:t>、</w:t>
      </w:r>
      <w:r w:rsidRPr="00DA3BC7">
        <w:rPr>
          <w:rFonts w:ascii="Times New Roman" w:hAnsi="Times New Roman"/>
        </w:rPr>
        <w:t>一空，或亦有亦空，都是世俗，而以</w:t>
      </w:r>
      <w:r w:rsidRPr="00523F45">
        <w:rPr>
          <w:rFonts w:ascii="Times New Roman" w:hAnsi="Times New Roman"/>
          <w:b/>
          <w:u w:val="wave" w:color="C00000"/>
        </w:rPr>
        <w:t>非有非空</w:t>
      </w:r>
      <w:r w:rsidRPr="00DA3BC7">
        <w:rPr>
          <w:rFonts w:ascii="Times New Roman" w:hAnsi="Times New Roman"/>
        </w:rPr>
        <w:t>否定它。否定</w:t>
      </w:r>
      <w:r w:rsidRPr="00523F45">
        <w:rPr>
          <w:rFonts w:ascii="Times New Roman" w:hAnsi="Times New Roman"/>
          <w:b/>
          <w:u w:val="wave" w:color="C00000"/>
        </w:rPr>
        <w:t>亦</w:t>
      </w:r>
      <w:r w:rsidRPr="00523F45">
        <w:rPr>
          <w:rFonts w:ascii="Times New Roman" w:hAnsi="Times New Roman"/>
          <w:b/>
          <w:u w:val="wave" w:color="C00000"/>
        </w:rPr>
        <w:lastRenderedPageBreak/>
        <w:t>有亦空</w:t>
      </w:r>
      <w:r w:rsidRPr="00DA3BC7">
        <w:rPr>
          <w:rFonts w:ascii="Times New Roman" w:hAnsi="Times New Roman"/>
        </w:rPr>
        <w:t>，雖不礙於</w:t>
      </w:r>
      <w:r w:rsidRPr="00523F45">
        <w:rPr>
          <w:rFonts w:ascii="Times New Roman" w:hAnsi="Times New Roman"/>
          <w:b/>
          <w:u w:val="wave" w:color="C00000"/>
        </w:rPr>
        <w:t>亦有亦空</w:t>
      </w:r>
      <w:r w:rsidRPr="00DA3BC7">
        <w:rPr>
          <w:rFonts w:ascii="Times New Roman" w:hAnsi="Times New Roman"/>
        </w:rPr>
        <w:t>，而意在</w:t>
      </w:r>
      <w:r w:rsidRPr="00DA3BC7">
        <w:rPr>
          <w:rFonts w:ascii="Times New Roman" w:hAnsi="Times New Roman"/>
          <w:b/>
        </w:rPr>
        <w:t>即有空而泯絕無寄</w:t>
      </w:r>
      <w:r w:rsidRPr="00DA3BC7">
        <w:rPr>
          <w:rStyle w:val="a6"/>
          <w:rFonts w:ascii="Times New Roman" w:hAnsi="Times New Roman"/>
        </w:rPr>
        <w:footnoteReference w:id="987"/>
      </w:r>
      <w:r w:rsidRPr="00DA3BC7">
        <w:rPr>
          <w:rFonts w:ascii="Times New Roman" w:hAnsi="Times New Roman"/>
        </w:rPr>
        <w:t>。</w:t>
      </w:r>
    </w:p>
    <w:p w:rsidR="00AA120F" w:rsidRPr="00DA3BC7" w:rsidRDefault="00AA120F" w:rsidP="00AE3920">
      <w:pPr>
        <w:spacing w:beforeLines="20"/>
        <w:ind w:leftChars="250" w:left="600"/>
        <w:jc w:val="both"/>
        <w:rPr>
          <w:rFonts w:ascii="Times New Roman" w:hAnsi="Times New Roman"/>
        </w:rPr>
      </w:pPr>
      <w:r w:rsidRPr="00523F45">
        <w:rPr>
          <w:rFonts w:ascii="Times New Roman" w:hAnsi="Times New Roman"/>
          <w:b/>
          <w:u w:val="wave" w:color="C00000"/>
        </w:rPr>
        <w:t>非有非空</w:t>
      </w:r>
      <w:r w:rsidRPr="00DA3BC7">
        <w:rPr>
          <w:rFonts w:ascii="Times New Roman" w:hAnsi="Times New Roman"/>
        </w:rPr>
        <w:t>，不是孤零</w:t>
      </w:r>
      <w:r w:rsidRPr="00DA3BC7">
        <w:rPr>
          <w:rStyle w:val="a6"/>
          <w:rFonts w:ascii="Times New Roman" w:hAnsi="Times New Roman"/>
        </w:rPr>
        <w:footnoteReference w:id="988"/>
      </w:r>
      <w:r w:rsidRPr="00DA3BC7">
        <w:rPr>
          <w:rFonts w:ascii="Times New Roman" w:hAnsi="Times New Roman"/>
        </w:rPr>
        <w:t>的但中</w:t>
      </w:r>
      <w:r w:rsidRPr="00DA3BC7">
        <w:rPr>
          <w:rStyle w:val="a6"/>
          <w:rFonts w:ascii="Times New Roman" w:hAnsi="Times New Roman"/>
        </w:rPr>
        <w:footnoteReference w:id="989"/>
      </w:r>
      <w:r w:rsidRPr="00DA3BC7">
        <w:rPr>
          <w:rFonts w:ascii="Times New Roman" w:hAnsi="Times New Roman"/>
        </w:rPr>
        <w:t>，但這決非不圓滿而需要更說</w:t>
      </w:r>
      <w:r w:rsidRPr="00DA3BC7">
        <w:rPr>
          <w:rFonts w:ascii="Times New Roman" w:hAnsi="Times New Roman"/>
          <w:b/>
        </w:rPr>
        <w:t>雙遮（非有非空）雙照（亦有亦空）同時</w:t>
      </w:r>
      <w:r w:rsidRPr="00DA3BC7">
        <w:rPr>
          <w:rFonts w:ascii="Times New Roman" w:hAnsi="Times New Roman"/>
        </w:rPr>
        <w:t>的。</w:t>
      </w:r>
    </w:p>
    <w:p w:rsidR="00BC39D3" w:rsidRDefault="00AA120F" w:rsidP="00AE3920">
      <w:pPr>
        <w:spacing w:beforeLines="20"/>
        <w:ind w:leftChars="250" w:left="600"/>
        <w:jc w:val="both"/>
        <w:rPr>
          <w:rFonts w:ascii="Times New Roman" w:hAnsi="Times New Roman"/>
        </w:rPr>
      </w:pPr>
      <w:r w:rsidRPr="00DA3BC7">
        <w:rPr>
          <w:rFonts w:ascii="Times New Roman" w:hAnsi="Times New Roman"/>
        </w:rPr>
        <w:t>如說</w:t>
      </w:r>
      <w:r w:rsidRPr="00DA3BC7">
        <w:rPr>
          <w:rFonts w:ascii="Times New Roman" w:hAnsi="Times New Roman"/>
          <w:b/>
        </w:rPr>
        <w:t>雙遮雙照同時</w:t>
      </w:r>
      <w:r w:rsidRPr="00DA3BC7">
        <w:rPr>
          <w:rFonts w:ascii="Times New Roman" w:hAnsi="Times New Roman"/>
        </w:rPr>
        <w:t>，依然是順俗的，是二句中的有，四句中的雙亦，永遠落於世俗的相對中。</w:t>
      </w:r>
    </w:p>
    <w:p w:rsidR="00AA120F" w:rsidRPr="00DA3BC7" w:rsidRDefault="00AA120F" w:rsidP="00AE3920">
      <w:pPr>
        <w:spacing w:beforeLines="20"/>
        <w:ind w:leftChars="250" w:left="600"/>
        <w:jc w:val="both"/>
        <w:rPr>
          <w:rFonts w:ascii="Times New Roman" w:hAnsi="Times New Roman"/>
        </w:rPr>
      </w:pPr>
      <w:r w:rsidRPr="00DA3BC7">
        <w:rPr>
          <w:rFonts w:ascii="Times New Roman" w:hAnsi="Times New Roman"/>
        </w:rPr>
        <w:t>豎的，即向上一著而意在言外的。</w:t>
      </w:r>
    </w:p>
    <w:p w:rsidR="00BC39D3" w:rsidRDefault="00BC39D3" w:rsidP="00AE3920">
      <w:pPr>
        <w:spacing w:beforeLines="30"/>
        <w:ind w:leftChars="200" w:left="480"/>
        <w:jc w:val="both"/>
        <w:rPr>
          <w:rFonts w:ascii="Times New Roman" w:hAnsi="Times New Roman"/>
          <w:b/>
          <w:bCs/>
          <w:sz w:val="20"/>
          <w:szCs w:val="20"/>
          <w:bdr w:val="single" w:sz="4" w:space="0" w:color="auto"/>
        </w:rPr>
      </w:pPr>
      <w:r w:rsidRPr="000E658E">
        <w:rPr>
          <w:rFonts w:ascii="Times New Roman" w:hAnsi="Times New Roman" w:hint="eastAsia"/>
          <w:b/>
          <w:bCs/>
          <w:color w:val="FF0000"/>
          <w:sz w:val="20"/>
          <w:szCs w:val="20"/>
          <w:highlight w:val="yellow"/>
          <w:bdr w:val="single" w:sz="4" w:space="0" w:color="auto"/>
        </w:rPr>
        <w:t>3</w:t>
      </w:r>
      <w:r w:rsidRPr="000E658E">
        <w:rPr>
          <w:rFonts w:ascii="Times New Roman" w:hAnsi="Times New Roman"/>
          <w:b/>
          <w:bCs/>
          <w:color w:val="FF0000"/>
          <w:sz w:val="20"/>
          <w:szCs w:val="20"/>
          <w:highlight w:val="yellow"/>
          <w:bdr w:val="single" w:sz="4" w:space="0" w:color="auto"/>
        </w:rPr>
        <w:t>、</w:t>
      </w:r>
      <w:r w:rsidRPr="000E658E">
        <w:rPr>
          <w:rFonts w:ascii="Times New Roman" w:hAnsi="Times New Roman" w:hint="eastAsia"/>
          <w:b/>
          <w:bCs/>
          <w:color w:val="FF0000"/>
          <w:sz w:val="20"/>
          <w:szCs w:val="20"/>
          <w:highlight w:val="yellow"/>
          <w:bdr w:val="single" w:sz="4" w:space="0" w:color="auto"/>
        </w:rPr>
        <w:t>歸宗達本</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22</w:t>
      </w:r>
      <w:r w:rsidRPr="00BC39D3">
        <w:rPr>
          <w:rFonts w:ascii="Times New Roman" w:eastAsiaTheme="minorEastAsia" w:hAnsi="Times New Roman" w:hint="eastAsia"/>
          <w:bCs/>
          <w:sz w:val="20"/>
          <w:szCs w:val="20"/>
        </w:rPr>
        <w:t>7</w:t>
      </w:r>
      <w:r w:rsidRPr="00DA3BC7">
        <w:rPr>
          <w:rFonts w:ascii="Times New Roman" w:hAnsi="Times New Roman"/>
          <w:sz w:val="20"/>
          <w:szCs w:val="20"/>
        </w:rPr>
        <w:t>）</w:t>
      </w:r>
    </w:p>
    <w:p w:rsidR="00AA120F" w:rsidRPr="00DA3BC7" w:rsidRDefault="00AA120F" w:rsidP="006E2FD4">
      <w:pPr>
        <w:ind w:leftChars="200" w:left="480"/>
        <w:jc w:val="both"/>
        <w:rPr>
          <w:rFonts w:ascii="Times New Roman" w:eastAsia="SimSun" w:hAnsi="Times New Roman"/>
        </w:rPr>
      </w:pPr>
      <w:r w:rsidRPr="00DA3BC7">
        <w:rPr>
          <w:rFonts w:ascii="Times New Roman" w:hAnsi="Times New Roman"/>
        </w:rPr>
        <w:t>在這些上，三論宗的超絕論而不落入圓融論，充分的表現勝義空宗的特色。</w:t>
      </w:r>
    </w:p>
    <w:p w:rsidR="00AA120F" w:rsidRPr="00DA3BC7" w:rsidRDefault="00AA120F" w:rsidP="00AE3920">
      <w:pPr>
        <w:spacing w:beforeLines="20"/>
        <w:ind w:leftChars="200" w:left="480"/>
        <w:jc w:val="both"/>
        <w:rPr>
          <w:rFonts w:ascii="Times New Roman" w:hAnsi="Times New Roman"/>
        </w:rPr>
      </w:pPr>
      <w:r w:rsidRPr="00DA3BC7">
        <w:rPr>
          <w:rFonts w:ascii="Times New Roman" w:hAnsi="Times New Roman"/>
        </w:rPr>
        <w:t>平常所說的四句或超四句，依言離言等，也可以得到正確的理解。</w:t>
      </w:r>
    </w:p>
    <w:p w:rsidR="00AA120F" w:rsidRPr="00DA3BC7" w:rsidRDefault="00AA120F" w:rsidP="00AE3920">
      <w:pPr>
        <w:spacing w:beforeLines="30"/>
        <w:jc w:val="both"/>
        <w:rPr>
          <w:rFonts w:ascii="Times New Roman" w:hAnsi="Times New Roman"/>
          <w:b/>
          <w:bCs/>
          <w:sz w:val="20"/>
          <w:szCs w:val="20"/>
          <w:bdr w:val="single" w:sz="4" w:space="0" w:color="auto"/>
        </w:rPr>
      </w:pPr>
      <w:r w:rsidRPr="00DA3BC7">
        <w:rPr>
          <w:rFonts w:ascii="Times New Roman" w:hAnsi="Times New Roman" w:hint="eastAsia"/>
          <w:b/>
          <w:bCs/>
          <w:sz w:val="20"/>
          <w:szCs w:val="20"/>
          <w:bdr w:val="single" w:sz="4" w:space="0" w:color="auto"/>
        </w:rPr>
        <w:t>肆</w:t>
      </w:r>
      <w:r w:rsidRPr="00DA3BC7">
        <w:rPr>
          <w:rFonts w:ascii="Times New Roman" w:hAnsi="Times New Roman"/>
          <w:b/>
          <w:bCs/>
          <w:sz w:val="20"/>
          <w:szCs w:val="20"/>
          <w:bdr w:val="single" w:sz="4" w:space="0" w:color="auto"/>
        </w:rPr>
        <w:t>「於、教」；「中、假」</w:t>
      </w:r>
      <w:r w:rsidRPr="00DA3BC7">
        <w:rPr>
          <w:rFonts w:ascii="Times New Roman" w:hAnsi="Times New Roman"/>
          <w:sz w:val="20"/>
          <w:szCs w:val="20"/>
        </w:rPr>
        <w:t>（</w:t>
      </w:r>
      <w:r w:rsidRPr="00DA3BC7">
        <w:rPr>
          <w:rFonts w:ascii="Times New Roman" w:hAnsi="Times New Roman"/>
          <w:sz w:val="20"/>
          <w:szCs w:val="20"/>
        </w:rPr>
        <w:t>pp.</w:t>
      </w:r>
      <w:r w:rsidRPr="00DA3BC7">
        <w:rPr>
          <w:rFonts w:ascii="Times New Roman" w:hAnsi="Times New Roman"/>
          <w:bCs/>
          <w:sz w:val="20"/>
          <w:szCs w:val="20"/>
        </w:rPr>
        <w:t>22</w:t>
      </w:r>
      <w:r w:rsidRPr="00DA3BC7">
        <w:rPr>
          <w:rFonts w:ascii="Times New Roman" w:eastAsia="SimSun" w:hAnsi="Times New Roman" w:hint="eastAsia"/>
          <w:bCs/>
          <w:sz w:val="20"/>
          <w:szCs w:val="20"/>
          <w:lang w:eastAsia="zh-CN"/>
        </w:rPr>
        <w:t>7</w:t>
      </w:r>
      <w:r w:rsidRPr="00DA3BC7">
        <w:rPr>
          <w:rFonts w:ascii="Times New Roman" w:hAnsi="Times New Roman"/>
          <w:bCs/>
          <w:sz w:val="20"/>
          <w:szCs w:val="20"/>
        </w:rPr>
        <w:t>-22</w:t>
      </w:r>
      <w:r w:rsidRPr="00DA3BC7">
        <w:rPr>
          <w:rFonts w:ascii="Times New Roman" w:eastAsia="SimSun" w:hAnsi="Times New Roman"/>
          <w:bCs/>
          <w:sz w:val="20"/>
          <w:szCs w:val="20"/>
          <w:lang w:eastAsia="zh-CN"/>
        </w:rPr>
        <w:t>8</w:t>
      </w:r>
      <w:r w:rsidRPr="00DA3BC7">
        <w:rPr>
          <w:rFonts w:ascii="Times New Roman" w:hAnsi="Times New Roman"/>
          <w:sz w:val="20"/>
          <w:szCs w:val="20"/>
        </w:rPr>
        <w:t>）</w:t>
      </w:r>
    </w:p>
    <w:p w:rsidR="000E658E" w:rsidRPr="000E658E" w:rsidRDefault="000E658E" w:rsidP="008E2BBC">
      <w:pPr>
        <w:jc w:val="both"/>
        <w:rPr>
          <w:rFonts w:ascii="Times New Roman" w:hAnsi="Times New Roman"/>
          <w:b/>
          <w:bCs/>
          <w:color w:val="FF0000"/>
          <w:sz w:val="20"/>
          <w:szCs w:val="20"/>
          <w:highlight w:val="yellow"/>
          <w:bdr w:val="single" w:sz="4" w:space="0" w:color="auto"/>
        </w:rPr>
      </w:pPr>
      <w:r w:rsidRPr="000E658E">
        <w:rPr>
          <w:rFonts w:ascii="Times New Roman" w:hAnsi="Times New Roman"/>
          <w:b/>
          <w:bCs/>
          <w:color w:val="FF0000"/>
          <w:sz w:val="20"/>
          <w:szCs w:val="20"/>
          <w:highlight w:val="yellow"/>
          <w:bdr w:val="single" w:sz="4" w:space="0" w:color="auto"/>
        </w:rPr>
        <w:t>（壹）</w:t>
      </w:r>
      <w:r w:rsidRPr="000E658E">
        <w:rPr>
          <w:rFonts w:ascii="Times New Roman" w:hAnsi="Times New Roman" w:hint="eastAsia"/>
          <w:b/>
          <w:bCs/>
          <w:color w:val="FF0000"/>
          <w:sz w:val="20"/>
          <w:szCs w:val="20"/>
          <w:highlight w:val="yellow"/>
          <w:bdr w:val="single" w:sz="4" w:space="0" w:color="auto"/>
        </w:rPr>
        <w:t>總標</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22</w:t>
      </w:r>
      <w:r w:rsidRPr="00BC39D3">
        <w:rPr>
          <w:rFonts w:ascii="Times New Roman" w:eastAsiaTheme="minorEastAsia" w:hAnsi="Times New Roman" w:hint="eastAsia"/>
          <w:bCs/>
          <w:sz w:val="20"/>
          <w:szCs w:val="20"/>
        </w:rPr>
        <w:t>7</w:t>
      </w:r>
      <w:r w:rsidRPr="00DA3BC7">
        <w:rPr>
          <w:rFonts w:ascii="Times New Roman" w:hAnsi="Times New Roman"/>
          <w:sz w:val="20"/>
          <w:szCs w:val="20"/>
        </w:rPr>
        <w:t>）</w:t>
      </w:r>
    </w:p>
    <w:p w:rsidR="00AA120F" w:rsidRPr="00DA3BC7" w:rsidRDefault="00AA120F" w:rsidP="008E2BBC">
      <w:pPr>
        <w:jc w:val="both"/>
        <w:rPr>
          <w:rFonts w:ascii="Times New Roman" w:hAnsi="Times New Roman"/>
        </w:rPr>
      </w:pPr>
      <w:r w:rsidRPr="006E2FD4">
        <w:rPr>
          <w:rFonts w:ascii="Times New Roman" w:hAnsi="Times New Roman"/>
          <w:b/>
          <w:bCs/>
          <w:highlight w:val="yellow"/>
        </w:rPr>
        <w:t>於教中假</w:t>
      </w:r>
      <w:r w:rsidRPr="00DA3BC7">
        <w:rPr>
          <w:rFonts w:ascii="Times New Roman" w:hAnsi="Times New Roman" w:hint="eastAsia"/>
          <w:b/>
          <w:bCs/>
        </w:rPr>
        <w:t>：</w:t>
      </w:r>
    </w:p>
    <w:p w:rsidR="000E658E" w:rsidRPr="000E658E" w:rsidRDefault="000E658E" w:rsidP="00AE3920">
      <w:pPr>
        <w:spacing w:beforeLines="30"/>
        <w:ind w:leftChars="50" w:left="120"/>
        <w:jc w:val="both"/>
        <w:rPr>
          <w:rFonts w:ascii="Times New Roman" w:hAnsi="Times New Roman"/>
          <w:b/>
          <w:bCs/>
          <w:color w:val="FF0000"/>
          <w:sz w:val="20"/>
          <w:szCs w:val="20"/>
          <w:highlight w:val="yellow"/>
          <w:bdr w:val="single" w:sz="4" w:space="0" w:color="auto"/>
        </w:rPr>
      </w:pPr>
      <w:r w:rsidRPr="000E658E">
        <w:rPr>
          <w:rFonts w:ascii="Times New Roman" w:hAnsi="Times New Roman"/>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貳</w:t>
      </w:r>
      <w:r w:rsidRPr="000E658E">
        <w:rPr>
          <w:rFonts w:ascii="Times New Roman" w:hAnsi="Times New Roman"/>
          <w:b/>
          <w:bCs/>
          <w:color w:val="FF0000"/>
          <w:sz w:val="20"/>
          <w:szCs w:val="20"/>
          <w:highlight w:val="yellow"/>
          <w:bdr w:val="single" w:sz="4" w:space="0" w:color="auto"/>
        </w:rPr>
        <w:t>）</w:t>
      </w:r>
      <w:r>
        <w:rPr>
          <w:rFonts w:ascii="Times New Roman" w:hAnsi="Times New Roman" w:hint="eastAsia"/>
          <w:b/>
          <w:bCs/>
          <w:color w:val="FF0000"/>
          <w:sz w:val="20"/>
          <w:szCs w:val="20"/>
          <w:highlight w:val="yellow"/>
          <w:bdr w:val="single" w:sz="4" w:space="0" w:color="auto"/>
        </w:rPr>
        <w:t>別釋</w:t>
      </w:r>
      <w:r w:rsidRPr="00DA3BC7">
        <w:rPr>
          <w:rFonts w:ascii="Times New Roman" w:hAnsi="Times New Roman"/>
          <w:sz w:val="20"/>
          <w:szCs w:val="20"/>
        </w:rPr>
        <w:t>（</w:t>
      </w:r>
      <w:r w:rsidRPr="00DA3BC7">
        <w:rPr>
          <w:rFonts w:ascii="Times New Roman" w:hAnsi="Times New Roman"/>
          <w:sz w:val="20"/>
          <w:szCs w:val="20"/>
        </w:rPr>
        <w:t>pp.</w:t>
      </w:r>
      <w:r w:rsidRPr="00DA3BC7">
        <w:rPr>
          <w:rFonts w:ascii="Times New Roman" w:hAnsi="Times New Roman"/>
          <w:bCs/>
          <w:sz w:val="20"/>
          <w:szCs w:val="20"/>
        </w:rPr>
        <w:t>22</w:t>
      </w:r>
      <w:r w:rsidRPr="00DA3BC7">
        <w:rPr>
          <w:rFonts w:ascii="Times New Roman" w:eastAsia="SimSun" w:hAnsi="Times New Roman" w:hint="eastAsia"/>
          <w:bCs/>
          <w:sz w:val="20"/>
          <w:szCs w:val="20"/>
          <w:lang w:eastAsia="zh-CN"/>
        </w:rPr>
        <w:t>7</w:t>
      </w:r>
      <w:r w:rsidRPr="00DA3BC7">
        <w:rPr>
          <w:rFonts w:ascii="Times New Roman" w:hAnsi="Times New Roman"/>
          <w:bCs/>
          <w:sz w:val="20"/>
          <w:szCs w:val="20"/>
        </w:rPr>
        <w:t>-22</w:t>
      </w:r>
      <w:r>
        <w:rPr>
          <w:rFonts w:ascii="Times New Roman" w:hAnsi="Times New Roman" w:hint="eastAsia"/>
          <w:bCs/>
          <w:sz w:val="20"/>
          <w:szCs w:val="20"/>
        </w:rPr>
        <w:t>9</w:t>
      </w:r>
      <w:r w:rsidRPr="00DA3BC7">
        <w:rPr>
          <w:rFonts w:ascii="Times New Roman" w:hAnsi="Times New Roman"/>
          <w:sz w:val="20"/>
          <w:szCs w:val="20"/>
        </w:rPr>
        <w:t>）</w:t>
      </w:r>
    </w:p>
    <w:p w:rsidR="00AA120F" w:rsidRPr="00DA3BC7" w:rsidRDefault="000E658E" w:rsidP="000E658E">
      <w:pPr>
        <w:ind w:leftChars="100" w:left="240"/>
        <w:jc w:val="both"/>
        <w:rPr>
          <w:rFonts w:ascii="Times New Roman" w:eastAsia="SimSun" w:hAnsi="Times New Roman"/>
          <w:sz w:val="20"/>
          <w:szCs w:val="20"/>
        </w:rPr>
      </w:pPr>
      <w:r w:rsidRPr="000E658E">
        <w:rPr>
          <w:rFonts w:ascii="新細明體" w:hAnsi="新細明體" w:hint="eastAsia"/>
          <w:b/>
          <w:color w:val="FF0000"/>
          <w:sz w:val="20"/>
          <w:szCs w:val="20"/>
          <w:highlight w:val="yellow"/>
          <w:bdr w:val="single" w:sz="4" w:space="0" w:color="auto"/>
        </w:rPr>
        <w:t>一、</w:t>
      </w:r>
      <w:r w:rsidR="00AA120F" w:rsidRPr="00DA3BC7">
        <w:rPr>
          <w:rFonts w:ascii="Times New Roman" w:hAnsi="Times New Roman"/>
          <w:b/>
          <w:bCs/>
          <w:sz w:val="20"/>
          <w:szCs w:val="20"/>
          <w:bdr w:val="single" w:sz="4" w:space="0" w:color="auto"/>
        </w:rPr>
        <w:t>「於二諦」與「教二諦」</w:t>
      </w:r>
      <w:r w:rsidR="00AA120F" w:rsidRPr="00DA3BC7">
        <w:rPr>
          <w:rStyle w:val="a6"/>
          <w:rFonts w:ascii="Times New Roman" w:hAnsi="Times New Roman"/>
          <w:bCs/>
        </w:rPr>
        <w:footnoteReference w:id="990"/>
      </w:r>
      <w:r w:rsidR="00AA120F" w:rsidRPr="00DA3BC7">
        <w:rPr>
          <w:rFonts w:ascii="Times New Roman" w:hAnsi="Times New Roman"/>
          <w:sz w:val="20"/>
          <w:szCs w:val="20"/>
        </w:rPr>
        <w:t>（</w:t>
      </w:r>
      <w:r w:rsidR="00AA120F" w:rsidRPr="00DA3BC7">
        <w:rPr>
          <w:rFonts w:ascii="Times New Roman" w:hAnsi="Times New Roman"/>
          <w:sz w:val="20"/>
          <w:szCs w:val="20"/>
        </w:rPr>
        <w:t>pp.</w:t>
      </w:r>
      <w:r w:rsidR="00AA120F" w:rsidRPr="00DA3BC7">
        <w:rPr>
          <w:rFonts w:ascii="Times New Roman" w:hAnsi="Times New Roman"/>
          <w:bCs/>
          <w:sz w:val="20"/>
          <w:szCs w:val="20"/>
        </w:rPr>
        <w:t>22</w:t>
      </w:r>
      <w:r w:rsidR="00AA120F" w:rsidRPr="00DA3BC7">
        <w:rPr>
          <w:rFonts w:ascii="Times New Roman" w:eastAsia="SimSun" w:hAnsi="Times New Roman" w:hint="eastAsia"/>
          <w:bCs/>
          <w:sz w:val="20"/>
          <w:szCs w:val="20"/>
        </w:rPr>
        <w:t>7</w:t>
      </w:r>
      <w:r w:rsidR="00AA120F" w:rsidRPr="00DA3BC7">
        <w:rPr>
          <w:rFonts w:ascii="Times New Roman" w:hAnsi="Times New Roman"/>
          <w:bCs/>
          <w:sz w:val="20"/>
          <w:szCs w:val="20"/>
        </w:rPr>
        <w:t>-22</w:t>
      </w:r>
      <w:r w:rsidR="00AA120F" w:rsidRPr="00DA3BC7">
        <w:rPr>
          <w:rFonts w:ascii="Times New Roman" w:eastAsia="SimSun" w:hAnsi="Times New Roman"/>
          <w:bCs/>
          <w:sz w:val="20"/>
          <w:szCs w:val="20"/>
        </w:rPr>
        <w:t>8</w:t>
      </w:r>
      <w:r w:rsidR="00AA120F" w:rsidRPr="00DA3BC7">
        <w:rPr>
          <w:rFonts w:ascii="Times New Roman" w:hAnsi="Times New Roman"/>
          <w:sz w:val="20"/>
          <w:szCs w:val="20"/>
        </w:rPr>
        <w:t>）</w:t>
      </w:r>
    </w:p>
    <w:p w:rsidR="007657C1" w:rsidRDefault="007657C1" w:rsidP="006E2FD4">
      <w:pPr>
        <w:ind w:leftChars="150" w:left="360"/>
        <w:jc w:val="both"/>
        <w:rPr>
          <w:rFonts w:ascii="Times New Roman" w:hAnsi="Times New Roman"/>
          <w:b/>
          <w:color w:val="FF0000"/>
          <w:sz w:val="20"/>
          <w:szCs w:val="20"/>
          <w:bdr w:val="single" w:sz="4" w:space="0" w:color="auto"/>
        </w:rPr>
      </w:pPr>
      <w:r w:rsidRPr="007657C1">
        <w:rPr>
          <w:rFonts w:ascii="Times New Roman" w:hAnsi="Times New Roman" w:hint="eastAsia"/>
          <w:b/>
          <w:color w:val="FF0000"/>
          <w:sz w:val="20"/>
          <w:szCs w:val="20"/>
          <w:highlight w:val="yellow"/>
          <w:bdr w:val="single" w:sz="4" w:space="0" w:color="auto"/>
        </w:rPr>
        <w:t>（一）</w:t>
      </w:r>
      <w:r>
        <w:rPr>
          <w:rFonts w:ascii="Times New Roman" w:hAnsi="Times New Roman" w:hint="eastAsia"/>
          <w:b/>
          <w:color w:val="FF0000"/>
          <w:sz w:val="20"/>
          <w:szCs w:val="20"/>
          <w:highlight w:val="yellow"/>
          <w:bdr w:val="single" w:sz="4" w:space="0" w:color="auto"/>
        </w:rPr>
        <w:t>標舉</w:t>
      </w:r>
    </w:p>
    <w:p w:rsidR="00AA120F" w:rsidRPr="00DA3BC7" w:rsidRDefault="00AA120F" w:rsidP="006E2FD4">
      <w:pPr>
        <w:ind w:leftChars="150" w:left="360"/>
        <w:jc w:val="both"/>
        <w:rPr>
          <w:rFonts w:ascii="Times New Roman" w:hAnsi="Times New Roman"/>
        </w:rPr>
      </w:pPr>
      <w:r w:rsidRPr="00DA3BC7">
        <w:rPr>
          <w:rFonts w:ascii="Times New Roman" w:hAnsi="Times New Roman"/>
        </w:rPr>
        <w:t>古三論師曾提出於二諦與教二諦的名字</w:t>
      </w:r>
      <w:r w:rsidRPr="00523F45">
        <w:rPr>
          <w:rFonts w:ascii="Times New Roman" w:hAnsi="Times New Roman"/>
          <w:shd w:val="pct15" w:color="auto" w:fill="FFFFFF"/>
        </w:rPr>
        <w:t>：</w:t>
      </w:r>
      <w:r w:rsidRPr="00DA3BC7">
        <w:rPr>
          <w:rStyle w:val="a6"/>
          <w:rFonts w:ascii="Times New Roman" w:hAnsi="Times New Roman"/>
          <w:bCs/>
        </w:rPr>
        <w:footnoteReference w:id="991"/>
      </w:r>
    </w:p>
    <w:p w:rsidR="007657C1" w:rsidRDefault="00AA120F" w:rsidP="00AE3920">
      <w:pPr>
        <w:spacing w:beforeLines="30"/>
        <w:ind w:leftChars="150" w:left="360"/>
        <w:jc w:val="both"/>
        <w:rPr>
          <w:rFonts w:ascii="Times New Roman" w:hAnsi="Times New Roman"/>
          <w:b/>
          <w:color w:val="FF0000"/>
          <w:sz w:val="20"/>
          <w:szCs w:val="20"/>
          <w:bdr w:val="single" w:sz="4" w:space="0" w:color="auto"/>
        </w:rPr>
      </w:pPr>
      <w:r w:rsidRPr="007657C1">
        <w:rPr>
          <w:rFonts w:ascii="Times New Roman" w:hAnsi="Times New Roman" w:hint="eastAsia"/>
          <w:b/>
          <w:color w:val="FF0000"/>
          <w:sz w:val="20"/>
          <w:szCs w:val="20"/>
          <w:highlight w:val="yellow"/>
          <w:bdr w:val="single" w:sz="4" w:space="0" w:color="auto"/>
        </w:rPr>
        <w:lastRenderedPageBreak/>
        <w:t>（</w:t>
      </w:r>
      <w:r w:rsidR="007657C1" w:rsidRPr="007657C1">
        <w:rPr>
          <w:rFonts w:ascii="Times New Roman" w:hAnsi="Times New Roman" w:hint="eastAsia"/>
          <w:b/>
          <w:color w:val="FF0000"/>
          <w:sz w:val="20"/>
          <w:szCs w:val="20"/>
          <w:highlight w:val="yellow"/>
          <w:bdr w:val="single" w:sz="4" w:space="0" w:color="auto"/>
        </w:rPr>
        <w:t>二</w:t>
      </w:r>
      <w:r w:rsidRPr="007657C1">
        <w:rPr>
          <w:rFonts w:ascii="Times New Roman" w:hAnsi="Times New Roman" w:hint="eastAsia"/>
          <w:b/>
          <w:color w:val="FF0000"/>
          <w:sz w:val="20"/>
          <w:szCs w:val="20"/>
          <w:highlight w:val="yellow"/>
          <w:bdr w:val="single" w:sz="4" w:space="0" w:color="auto"/>
        </w:rPr>
        <w:t>）</w:t>
      </w:r>
      <w:r w:rsidR="007657C1" w:rsidRPr="007657C1">
        <w:rPr>
          <w:rFonts w:ascii="Times New Roman" w:hAnsi="Times New Roman" w:hint="eastAsia"/>
          <w:b/>
          <w:color w:val="FF0000"/>
          <w:sz w:val="20"/>
          <w:szCs w:val="20"/>
          <w:highlight w:val="yellow"/>
          <w:bdr w:val="single" w:sz="4" w:space="0" w:color="auto"/>
        </w:rPr>
        <w:t>論述</w:t>
      </w:r>
      <w:r w:rsidR="007657C1" w:rsidRPr="00DA3BC7">
        <w:rPr>
          <w:rFonts w:ascii="Times New Roman" w:hAnsi="Times New Roman"/>
          <w:sz w:val="20"/>
          <w:szCs w:val="20"/>
        </w:rPr>
        <w:t>（</w:t>
      </w:r>
      <w:r w:rsidR="007657C1">
        <w:rPr>
          <w:rFonts w:ascii="Times New Roman" w:hAnsi="Times New Roman" w:hint="eastAsia"/>
          <w:sz w:val="20"/>
          <w:szCs w:val="20"/>
        </w:rPr>
        <w:t>p</w:t>
      </w:r>
      <w:r w:rsidR="007657C1" w:rsidRPr="00DA3BC7">
        <w:rPr>
          <w:rFonts w:ascii="Times New Roman" w:hAnsi="Times New Roman"/>
          <w:sz w:val="20"/>
          <w:szCs w:val="20"/>
        </w:rPr>
        <w:t>p.</w:t>
      </w:r>
      <w:r w:rsidR="007657C1" w:rsidRPr="00DA3BC7">
        <w:rPr>
          <w:rFonts w:ascii="Times New Roman" w:hAnsi="Times New Roman"/>
          <w:bCs/>
          <w:sz w:val="20"/>
          <w:szCs w:val="20"/>
        </w:rPr>
        <w:t>22</w:t>
      </w:r>
      <w:r w:rsidR="007657C1" w:rsidRPr="00DA3BC7">
        <w:rPr>
          <w:rFonts w:ascii="Times New Roman" w:eastAsia="SimSun" w:hAnsi="Times New Roman" w:hint="eastAsia"/>
          <w:bCs/>
          <w:sz w:val="20"/>
          <w:szCs w:val="20"/>
        </w:rPr>
        <w:t>7</w:t>
      </w:r>
      <w:r w:rsidR="007657C1">
        <w:rPr>
          <w:rFonts w:ascii="Times New Roman" w:eastAsiaTheme="minorEastAsia" w:hAnsi="Times New Roman" w:hint="eastAsia"/>
          <w:bCs/>
          <w:sz w:val="20"/>
          <w:szCs w:val="20"/>
        </w:rPr>
        <w:t>-228</w:t>
      </w:r>
      <w:r w:rsidR="007657C1" w:rsidRPr="00DA3BC7">
        <w:rPr>
          <w:rFonts w:ascii="Times New Roman" w:hAnsi="Times New Roman"/>
          <w:sz w:val="20"/>
          <w:szCs w:val="20"/>
        </w:rPr>
        <w:t>）</w:t>
      </w:r>
    </w:p>
    <w:p w:rsidR="00AA120F" w:rsidRPr="00DA3BC7" w:rsidRDefault="007657C1" w:rsidP="00DF3C67">
      <w:pPr>
        <w:ind w:leftChars="200" w:left="480"/>
        <w:jc w:val="both"/>
        <w:rPr>
          <w:rFonts w:ascii="Times New Roman" w:eastAsia="SimSun" w:hAnsi="Times New Roman"/>
          <w:sz w:val="20"/>
          <w:szCs w:val="20"/>
          <w:bdr w:val="single" w:sz="4" w:space="0" w:color="auto"/>
        </w:rPr>
      </w:pPr>
      <w:r w:rsidRPr="007657C1">
        <w:rPr>
          <w:rFonts w:ascii="Times New Roman" w:hAnsi="Times New Roman" w:hint="eastAsia"/>
          <w:b/>
          <w:color w:val="FF0000"/>
          <w:sz w:val="20"/>
          <w:szCs w:val="20"/>
          <w:highlight w:val="yellow"/>
          <w:bdr w:val="single" w:sz="4" w:space="0" w:color="auto"/>
        </w:rPr>
        <w:t>1</w:t>
      </w:r>
      <w:r w:rsidRPr="007657C1">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w:t>
      </w:r>
      <w:r w:rsidR="004711CF">
        <w:rPr>
          <w:rFonts w:ascii="Times New Roman" w:hAnsi="Times New Roman" w:hint="eastAsia"/>
          <w:b/>
          <w:sz w:val="20"/>
          <w:szCs w:val="20"/>
          <w:bdr w:val="single" w:sz="4" w:space="0" w:color="auto"/>
        </w:rPr>
        <w:t>『</w:t>
      </w:r>
      <w:r w:rsidR="00AA120F" w:rsidRPr="00DA3BC7">
        <w:rPr>
          <w:rFonts w:ascii="Times New Roman" w:hAnsi="Times New Roman"/>
          <w:b/>
          <w:sz w:val="20"/>
          <w:szCs w:val="20"/>
          <w:bdr w:val="single" w:sz="4" w:space="0" w:color="auto"/>
        </w:rPr>
        <w:t>教</w:t>
      </w:r>
      <w:r w:rsidR="004711CF">
        <w:rPr>
          <w:rFonts w:ascii="Times New Roman" w:hAnsi="Times New Roman" w:hint="eastAsia"/>
          <w:b/>
          <w:sz w:val="20"/>
          <w:szCs w:val="20"/>
          <w:bdr w:val="single" w:sz="4" w:space="0" w:color="auto"/>
        </w:rPr>
        <w:t>』</w:t>
      </w:r>
      <w:r w:rsidR="00AA120F" w:rsidRPr="00DA3BC7">
        <w:rPr>
          <w:rFonts w:ascii="Times New Roman" w:hAnsi="Times New Roman"/>
          <w:b/>
          <w:sz w:val="20"/>
          <w:szCs w:val="20"/>
          <w:bdr w:val="single" w:sz="4" w:space="0" w:color="auto"/>
        </w:rPr>
        <w:t>二諦」</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bCs/>
          <w:sz w:val="20"/>
          <w:szCs w:val="20"/>
        </w:rPr>
        <w:t>22</w:t>
      </w:r>
      <w:r w:rsidR="00AA120F" w:rsidRPr="00DA3BC7">
        <w:rPr>
          <w:rFonts w:ascii="Times New Roman" w:eastAsia="SimSun" w:hAnsi="Times New Roman" w:hint="eastAsia"/>
          <w:bCs/>
          <w:sz w:val="20"/>
          <w:szCs w:val="20"/>
        </w:rPr>
        <w:t>7</w:t>
      </w:r>
      <w:r w:rsidR="00AA120F" w:rsidRPr="00DA3BC7">
        <w:rPr>
          <w:rFonts w:ascii="Times New Roman" w:hAnsi="Times New Roman"/>
          <w:sz w:val="20"/>
          <w:szCs w:val="20"/>
        </w:rPr>
        <w:t>）</w:t>
      </w:r>
    </w:p>
    <w:p w:rsidR="00AA120F" w:rsidRPr="00DA3BC7" w:rsidRDefault="00AA120F" w:rsidP="00DF3C67">
      <w:pPr>
        <w:ind w:leftChars="200" w:left="480"/>
        <w:jc w:val="both"/>
        <w:rPr>
          <w:rFonts w:ascii="Times New Roman" w:eastAsia="SimSun" w:hAnsi="Times New Roman"/>
        </w:rPr>
      </w:pPr>
      <w:r w:rsidRPr="00523F45">
        <w:rPr>
          <w:rFonts w:ascii="Times New Roman" w:hAnsi="Times New Roman"/>
          <w:b/>
          <w:u w:val="wave" w:color="C00000"/>
        </w:rPr>
        <w:t>教二諦</w:t>
      </w:r>
      <w:r w:rsidRPr="00DA3BC7">
        <w:rPr>
          <w:rFonts w:ascii="Times New Roman" w:hAnsi="Times New Roman"/>
        </w:rPr>
        <w:t>是說明二諦為如何如何的。</w:t>
      </w:r>
    </w:p>
    <w:p w:rsidR="00AA120F" w:rsidRPr="00DA3BC7" w:rsidRDefault="007657C1" w:rsidP="00AE3920">
      <w:pPr>
        <w:spacing w:beforeLines="30"/>
        <w:ind w:leftChars="200" w:left="480"/>
        <w:jc w:val="both"/>
        <w:rPr>
          <w:rFonts w:ascii="Times New Roman" w:hAnsi="Times New Roman"/>
          <w:sz w:val="20"/>
          <w:szCs w:val="20"/>
          <w:bdr w:val="single" w:sz="4" w:space="0" w:color="auto"/>
        </w:rPr>
      </w:pPr>
      <w:r w:rsidRPr="007657C1">
        <w:rPr>
          <w:rFonts w:ascii="Times New Roman" w:hAnsi="Times New Roman" w:hint="eastAsia"/>
          <w:b/>
          <w:color w:val="FF0000"/>
          <w:sz w:val="20"/>
          <w:szCs w:val="20"/>
          <w:highlight w:val="yellow"/>
          <w:bdr w:val="single" w:sz="4" w:space="0" w:color="auto"/>
        </w:rPr>
        <w:t>2</w:t>
      </w:r>
      <w:r w:rsidRPr="007657C1">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w:t>
      </w:r>
      <w:r w:rsidR="004711CF">
        <w:rPr>
          <w:rFonts w:ascii="Times New Roman" w:hAnsi="Times New Roman" w:hint="eastAsia"/>
          <w:b/>
          <w:sz w:val="20"/>
          <w:szCs w:val="20"/>
          <w:bdr w:val="single" w:sz="4" w:space="0" w:color="auto"/>
        </w:rPr>
        <w:t>『</w:t>
      </w:r>
      <w:r w:rsidR="00AA120F" w:rsidRPr="00DA3BC7">
        <w:rPr>
          <w:rFonts w:ascii="Times New Roman" w:hAnsi="Times New Roman"/>
          <w:b/>
          <w:sz w:val="20"/>
          <w:szCs w:val="20"/>
          <w:bdr w:val="single" w:sz="4" w:space="0" w:color="auto"/>
        </w:rPr>
        <w:t>於</w:t>
      </w:r>
      <w:r w:rsidR="004711CF">
        <w:rPr>
          <w:rFonts w:ascii="Times New Roman" w:hAnsi="Times New Roman" w:hint="eastAsia"/>
          <w:b/>
          <w:sz w:val="20"/>
          <w:szCs w:val="20"/>
          <w:bdr w:val="single" w:sz="4" w:space="0" w:color="auto"/>
        </w:rPr>
        <w:t>』</w:t>
      </w:r>
      <w:r w:rsidR="00AA120F" w:rsidRPr="00DA3BC7">
        <w:rPr>
          <w:rFonts w:ascii="Times New Roman" w:hAnsi="Times New Roman"/>
          <w:b/>
          <w:sz w:val="20"/>
          <w:szCs w:val="20"/>
          <w:bdr w:val="single" w:sz="4" w:space="0" w:color="auto"/>
        </w:rPr>
        <w:t>二諦」</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bCs/>
          <w:sz w:val="20"/>
          <w:szCs w:val="20"/>
        </w:rPr>
        <w:t>22</w:t>
      </w:r>
      <w:r w:rsidR="00AA120F" w:rsidRPr="00DA3BC7">
        <w:rPr>
          <w:rFonts w:ascii="Times New Roman" w:eastAsia="SimSun" w:hAnsi="Times New Roman" w:hint="eastAsia"/>
          <w:bCs/>
          <w:sz w:val="20"/>
          <w:szCs w:val="20"/>
        </w:rPr>
        <w:t>7</w:t>
      </w:r>
      <w:r w:rsidR="00AA120F" w:rsidRPr="00DA3BC7">
        <w:rPr>
          <w:rFonts w:ascii="Times New Roman" w:hAnsi="Times New Roman"/>
          <w:sz w:val="20"/>
          <w:szCs w:val="20"/>
        </w:rPr>
        <w:t>）</w:t>
      </w:r>
    </w:p>
    <w:p w:rsidR="00AA120F" w:rsidRPr="00DA3BC7" w:rsidRDefault="00AA120F" w:rsidP="00DF3C67">
      <w:pPr>
        <w:ind w:leftChars="200" w:left="480"/>
        <w:jc w:val="both"/>
        <w:rPr>
          <w:rFonts w:ascii="Times New Roman" w:hAnsi="Times New Roman"/>
        </w:rPr>
      </w:pPr>
      <w:r w:rsidRPr="00523F45">
        <w:rPr>
          <w:rFonts w:ascii="Times New Roman" w:hAnsi="Times New Roman"/>
          <w:b/>
          <w:u w:val="wave" w:color="C00000"/>
        </w:rPr>
        <w:t>於二諦</w:t>
      </w:r>
      <w:r w:rsidRPr="00DA3BC7">
        <w:rPr>
          <w:rFonts w:ascii="Times New Roman" w:hAnsi="Times New Roman"/>
        </w:rPr>
        <w:t>可有二義：</w:t>
      </w:r>
    </w:p>
    <w:p w:rsidR="00AA120F" w:rsidRPr="00DA3BC7" w:rsidRDefault="007657C1" w:rsidP="00AE3920">
      <w:pPr>
        <w:spacing w:beforeLines="30"/>
        <w:ind w:leftChars="250" w:left="600"/>
        <w:jc w:val="both"/>
        <w:rPr>
          <w:rFonts w:ascii="Times New Roman" w:eastAsia="SimSun" w:hAnsi="Times New Roman"/>
          <w:b/>
          <w:sz w:val="20"/>
          <w:szCs w:val="20"/>
          <w:bdr w:val="single" w:sz="4" w:space="0" w:color="auto"/>
        </w:rPr>
      </w:pPr>
      <w:r w:rsidRPr="007657C1">
        <w:rPr>
          <w:rFonts w:ascii="Times New Roman" w:hAnsi="Times New Roman" w:hint="eastAsia"/>
          <w:b/>
          <w:color w:val="FF0000"/>
          <w:sz w:val="20"/>
          <w:szCs w:val="20"/>
          <w:highlight w:val="yellow"/>
          <w:bdr w:val="single" w:sz="4" w:space="0" w:color="auto"/>
        </w:rPr>
        <w:t>（</w:t>
      </w:r>
      <w:r w:rsidR="00AA120F" w:rsidRPr="007657C1">
        <w:rPr>
          <w:rFonts w:ascii="Times New Roman" w:hAnsi="Times New Roman" w:hint="eastAsia"/>
          <w:b/>
          <w:color w:val="FF0000"/>
          <w:sz w:val="20"/>
          <w:szCs w:val="20"/>
          <w:highlight w:val="yellow"/>
          <w:bdr w:val="single" w:sz="4" w:space="0" w:color="auto"/>
        </w:rPr>
        <w:t>1</w:t>
      </w:r>
      <w:r w:rsidRPr="007657C1">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從</w:t>
      </w:r>
      <w:r w:rsidR="000E658E" w:rsidRPr="000E658E">
        <w:rPr>
          <w:rFonts w:ascii="Times New Roman" w:hAnsi="Times New Roman"/>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佛菩薩安立言教</w:t>
      </w:r>
      <w:r w:rsidR="000E658E" w:rsidRPr="000E658E">
        <w:rPr>
          <w:rFonts w:ascii="Times New Roman" w:hAnsi="Times New Roman"/>
          <w:b/>
          <w:color w:val="FF0000"/>
          <w:sz w:val="20"/>
          <w:szCs w:val="20"/>
          <w:highlight w:val="yellow"/>
          <w:bdr w:val="single" w:sz="4" w:space="0" w:color="auto"/>
        </w:rPr>
        <w:t>」</w:t>
      </w:r>
      <w:r w:rsidR="00AA120F" w:rsidRPr="000E658E">
        <w:rPr>
          <w:rFonts w:ascii="Times New Roman" w:hAnsi="Times New Roman"/>
          <w:b/>
          <w:sz w:val="20"/>
          <w:szCs w:val="20"/>
          <w:highlight w:val="yellow"/>
          <w:bdr w:val="single" w:sz="4" w:space="0" w:color="auto"/>
        </w:rPr>
        <w:t>說</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bCs/>
          <w:sz w:val="20"/>
          <w:szCs w:val="20"/>
        </w:rPr>
        <w:t>22</w:t>
      </w:r>
      <w:r w:rsidR="00AA120F" w:rsidRPr="00DA3BC7">
        <w:rPr>
          <w:rFonts w:ascii="Times New Roman" w:eastAsia="SimSun" w:hAnsi="Times New Roman" w:hint="eastAsia"/>
          <w:bCs/>
          <w:sz w:val="20"/>
          <w:szCs w:val="20"/>
        </w:rPr>
        <w:t>7</w:t>
      </w:r>
      <w:r w:rsidR="00AA120F" w:rsidRPr="00DA3BC7">
        <w:rPr>
          <w:rFonts w:ascii="Times New Roman" w:hAnsi="Times New Roman"/>
          <w:sz w:val="20"/>
          <w:szCs w:val="20"/>
        </w:rPr>
        <w:t>）</w:t>
      </w:r>
    </w:p>
    <w:p w:rsidR="00AA120F" w:rsidRPr="00DA3BC7" w:rsidRDefault="00AA120F" w:rsidP="00DF3C67">
      <w:pPr>
        <w:ind w:leftChars="250" w:left="600"/>
        <w:jc w:val="both"/>
        <w:rPr>
          <w:rFonts w:ascii="Times New Roman" w:hAnsi="Times New Roman"/>
        </w:rPr>
      </w:pPr>
      <w:r w:rsidRPr="00DA3BC7">
        <w:rPr>
          <w:rFonts w:ascii="Times New Roman" w:hAnsi="Times New Roman" w:hint="eastAsia"/>
          <w:b/>
        </w:rPr>
        <w:t>（一）</w:t>
      </w:r>
      <w:r w:rsidRPr="00DA3BC7">
        <w:rPr>
          <w:rFonts w:ascii="Times New Roman" w:hAnsi="Times New Roman"/>
          <w:b/>
        </w:rPr>
        <w:t>從佛菩薩安立言教說</w:t>
      </w:r>
      <w:r w:rsidRPr="00DA3BC7">
        <w:rPr>
          <w:rFonts w:ascii="Times New Roman" w:hAnsi="Times New Roman"/>
        </w:rPr>
        <w:t>，</w:t>
      </w:r>
    </w:p>
    <w:p w:rsidR="00AA120F" w:rsidRPr="00DA3BC7" w:rsidRDefault="00AA120F" w:rsidP="00DF3C67">
      <w:pPr>
        <w:ind w:leftChars="250" w:left="600"/>
        <w:jc w:val="both"/>
        <w:rPr>
          <w:rFonts w:ascii="Times New Roman" w:hAnsi="Times New Roman"/>
        </w:rPr>
      </w:pPr>
      <w:r w:rsidRPr="00523F45">
        <w:rPr>
          <w:rFonts w:ascii="Times New Roman" w:hAnsi="Times New Roman"/>
          <w:b/>
          <w:u w:val="wave" w:color="C00000"/>
        </w:rPr>
        <w:t>於二諦</w:t>
      </w:r>
      <w:r w:rsidRPr="00DA3BC7">
        <w:rPr>
          <w:rFonts w:ascii="Times New Roman" w:hAnsi="Times New Roman"/>
        </w:rPr>
        <w:t>即</w:t>
      </w:r>
      <w:r w:rsidRPr="00DA3BC7">
        <w:rPr>
          <w:rFonts w:ascii="Times New Roman" w:hAnsi="Times New Roman"/>
          <w:b/>
        </w:rPr>
        <w:t>佛智體悟的不二中道</w:t>
      </w:r>
      <w:r w:rsidRPr="00DA3BC7">
        <w:rPr>
          <w:rFonts w:ascii="新細明體" w:hAnsi="新細明體"/>
          <w:b/>
        </w:rPr>
        <w:t>──</w:t>
      </w:r>
      <w:r w:rsidRPr="00DA3BC7">
        <w:rPr>
          <w:rFonts w:ascii="Times New Roman" w:hAnsi="Times New Roman"/>
        </w:rPr>
        <w:t>不二是不礙二的，是</w:t>
      </w:r>
      <w:r w:rsidRPr="00523F45">
        <w:rPr>
          <w:rFonts w:ascii="Times New Roman" w:hAnsi="Times New Roman"/>
          <w:b/>
          <w:u w:val="wave" w:color="C00000"/>
        </w:rPr>
        <w:t>教二諦</w:t>
      </w:r>
      <w:r w:rsidRPr="00DA3BC7">
        <w:rPr>
          <w:rFonts w:ascii="Times New Roman" w:hAnsi="Times New Roman"/>
        </w:rPr>
        <w:t>所根據的；依於二諦而有言教，即</w:t>
      </w:r>
      <w:r w:rsidRPr="00523F45">
        <w:rPr>
          <w:rFonts w:ascii="Times New Roman" w:hAnsi="Times New Roman"/>
          <w:b/>
          <w:u w:val="wave" w:color="C00000"/>
        </w:rPr>
        <w:t>教二諦</w:t>
      </w:r>
      <w:r w:rsidRPr="00DA3BC7">
        <w:rPr>
          <w:rFonts w:ascii="Times New Roman" w:hAnsi="Times New Roman"/>
        </w:rPr>
        <w:t>。</w:t>
      </w:r>
    </w:p>
    <w:p w:rsidR="00AA120F" w:rsidRPr="00DA3BC7" w:rsidRDefault="00AA120F" w:rsidP="00AE3920">
      <w:pPr>
        <w:spacing w:beforeLines="20"/>
        <w:ind w:leftChars="250" w:left="600"/>
        <w:jc w:val="both"/>
        <w:rPr>
          <w:rFonts w:ascii="Times New Roman" w:hAnsi="Times New Roman"/>
        </w:rPr>
      </w:pPr>
      <w:r w:rsidRPr="00DA3BC7">
        <w:rPr>
          <w:rFonts w:ascii="Times New Roman" w:hAnsi="Times New Roman"/>
        </w:rPr>
        <w:t>《中論》說「</w:t>
      </w:r>
      <w:r w:rsidRPr="00DA3BC7">
        <w:rPr>
          <w:rFonts w:ascii="Times New Roman" w:eastAsia="標楷體" w:hAnsi="Times New Roman"/>
        </w:rPr>
        <w:t>諸佛依二諦，為眾生說法</w:t>
      </w:r>
      <w:r w:rsidRPr="00DA3BC7">
        <w:rPr>
          <w:rFonts w:ascii="Times New Roman" w:hAnsi="Times New Roman"/>
        </w:rPr>
        <w:t>」，</w:t>
      </w:r>
      <w:r w:rsidRPr="00DA3BC7">
        <w:rPr>
          <w:rFonts w:ascii="Times New Roman" w:hAnsi="Times New Roman"/>
          <w:b/>
        </w:rPr>
        <w:t>所依</w:t>
      </w:r>
      <w:r w:rsidRPr="00DA3BC7">
        <w:rPr>
          <w:rFonts w:ascii="Times New Roman" w:hAnsi="Times New Roman"/>
        </w:rPr>
        <w:t>即</w:t>
      </w:r>
      <w:r w:rsidRPr="00523F45">
        <w:rPr>
          <w:rFonts w:ascii="Times New Roman" w:hAnsi="Times New Roman"/>
          <w:b/>
          <w:u w:val="wave" w:color="C00000"/>
        </w:rPr>
        <w:t>於二諦</w:t>
      </w:r>
      <w:r w:rsidRPr="00DA3BC7">
        <w:rPr>
          <w:rFonts w:ascii="Times New Roman" w:hAnsi="Times New Roman"/>
        </w:rPr>
        <w:t>，</w:t>
      </w:r>
      <w:r w:rsidRPr="00DA3BC7">
        <w:rPr>
          <w:rFonts w:ascii="Times New Roman" w:hAnsi="Times New Roman"/>
          <w:b/>
        </w:rPr>
        <w:t>為眾生說</w:t>
      </w:r>
      <w:r w:rsidRPr="00DA3BC7">
        <w:rPr>
          <w:rFonts w:ascii="Times New Roman" w:hAnsi="Times New Roman"/>
        </w:rPr>
        <w:t>即</w:t>
      </w:r>
      <w:r w:rsidRPr="00523F45">
        <w:rPr>
          <w:rFonts w:ascii="Times New Roman" w:hAnsi="Times New Roman"/>
          <w:b/>
          <w:u w:val="wave" w:color="C00000"/>
        </w:rPr>
        <w:t>教二諦</w:t>
      </w:r>
      <w:r w:rsidRPr="00DA3BC7">
        <w:rPr>
          <w:rFonts w:ascii="Times New Roman" w:hAnsi="Times New Roman"/>
        </w:rPr>
        <w:t>。</w:t>
      </w:r>
    </w:p>
    <w:p w:rsidR="00AA120F" w:rsidRPr="00DA3BC7" w:rsidRDefault="007657C1" w:rsidP="00AE3920">
      <w:pPr>
        <w:spacing w:beforeLines="30"/>
        <w:ind w:leftChars="250" w:left="600"/>
        <w:jc w:val="both"/>
        <w:rPr>
          <w:rFonts w:ascii="Times New Roman" w:eastAsia="SimSun" w:hAnsi="Times New Roman"/>
        </w:rPr>
      </w:pPr>
      <w:r w:rsidRPr="000E658E">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2</w:t>
      </w:r>
      <w:r w:rsidRPr="000E658E">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從</w:t>
      </w:r>
      <w:r w:rsidR="000E658E" w:rsidRPr="000E658E">
        <w:rPr>
          <w:rFonts w:ascii="Times New Roman" w:hAnsi="Times New Roman"/>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眾生的修學</w:t>
      </w:r>
      <w:r w:rsidR="000E658E" w:rsidRPr="000E658E">
        <w:rPr>
          <w:rFonts w:ascii="Times New Roman" w:hAnsi="Times New Roman"/>
          <w:b/>
          <w:color w:val="FF0000"/>
          <w:sz w:val="20"/>
          <w:szCs w:val="20"/>
          <w:highlight w:val="yellow"/>
          <w:bdr w:val="single" w:sz="4" w:space="0" w:color="auto"/>
        </w:rPr>
        <w:t>」</w:t>
      </w:r>
      <w:r w:rsidR="00AA120F" w:rsidRPr="000E658E">
        <w:rPr>
          <w:rFonts w:ascii="Times New Roman" w:hAnsi="Times New Roman"/>
          <w:b/>
          <w:sz w:val="20"/>
          <w:szCs w:val="20"/>
          <w:highlight w:val="yellow"/>
          <w:bdr w:val="single" w:sz="4" w:space="0" w:color="auto"/>
        </w:rPr>
        <w:t>說</w:t>
      </w:r>
      <w:r w:rsidR="00AA120F" w:rsidRPr="00DA3BC7">
        <w:rPr>
          <w:rFonts w:ascii="Times New Roman" w:hAnsi="Times New Roman"/>
          <w:sz w:val="20"/>
          <w:szCs w:val="20"/>
        </w:rPr>
        <w:t>（</w:t>
      </w:r>
      <w:r w:rsidR="00AA120F" w:rsidRPr="00DA3BC7">
        <w:rPr>
          <w:rFonts w:ascii="Times New Roman" w:hAnsi="Times New Roman"/>
          <w:sz w:val="20"/>
          <w:szCs w:val="20"/>
        </w:rPr>
        <w:t>p</w:t>
      </w:r>
      <w:r w:rsidR="000E658E" w:rsidRPr="00DA3BC7">
        <w:rPr>
          <w:rFonts w:ascii="Times New Roman" w:hAnsi="Times New Roman"/>
          <w:sz w:val="20"/>
          <w:szCs w:val="20"/>
        </w:rPr>
        <w:t>p.</w:t>
      </w:r>
      <w:r w:rsidR="00AA120F" w:rsidRPr="00DA3BC7">
        <w:rPr>
          <w:rFonts w:ascii="Times New Roman" w:hAnsi="Times New Roman"/>
          <w:bCs/>
          <w:sz w:val="20"/>
          <w:szCs w:val="20"/>
        </w:rPr>
        <w:t>22</w:t>
      </w:r>
      <w:r w:rsidR="00AA120F" w:rsidRPr="00DA3BC7">
        <w:rPr>
          <w:rFonts w:ascii="Times New Roman" w:eastAsia="SimSun" w:hAnsi="Times New Roman" w:hint="eastAsia"/>
          <w:bCs/>
          <w:sz w:val="20"/>
          <w:szCs w:val="20"/>
        </w:rPr>
        <w:t>7</w:t>
      </w:r>
      <w:r w:rsidR="000E658E" w:rsidRPr="000E658E">
        <w:rPr>
          <w:rFonts w:ascii="Times New Roman" w:eastAsiaTheme="minorEastAsia" w:hAnsi="Times New Roman" w:hint="eastAsia"/>
          <w:bCs/>
          <w:sz w:val="20"/>
          <w:szCs w:val="20"/>
        </w:rPr>
        <w:t>-228</w:t>
      </w:r>
      <w:r w:rsidR="00AA120F" w:rsidRPr="00DA3BC7">
        <w:rPr>
          <w:rFonts w:ascii="Times New Roman" w:hAnsi="Times New Roman"/>
          <w:sz w:val="20"/>
          <w:szCs w:val="20"/>
        </w:rPr>
        <w:t>）</w:t>
      </w:r>
    </w:p>
    <w:p w:rsidR="00AA120F" w:rsidRPr="00DA3BC7" w:rsidRDefault="00AA120F" w:rsidP="00DF3C67">
      <w:pPr>
        <w:ind w:leftChars="250" w:left="600"/>
        <w:jc w:val="both"/>
        <w:rPr>
          <w:rFonts w:ascii="新細明體" w:hAnsi="新細明體"/>
          <w:b/>
        </w:rPr>
      </w:pPr>
      <w:r w:rsidRPr="00DA3BC7">
        <w:rPr>
          <w:rFonts w:ascii="新細明體" w:hAnsi="新細明體" w:hint="eastAsia"/>
          <w:b/>
        </w:rPr>
        <w:t>（二）</w:t>
      </w:r>
      <w:r w:rsidRPr="00DA3BC7">
        <w:rPr>
          <w:rFonts w:ascii="新細明體" w:hAnsi="新細明體"/>
          <w:b/>
        </w:rPr>
        <w:t>從眾生的修學說，</w:t>
      </w:r>
    </w:p>
    <w:p w:rsidR="000E658E" w:rsidRPr="000E658E" w:rsidRDefault="007657C1" w:rsidP="00DF3C67">
      <w:pPr>
        <w:ind w:leftChars="300" w:left="720"/>
        <w:jc w:val="both"/>
        <w:rPr>
          <w:rFonts w:ascii="Times New Roman" w:hAnsi="Times New Roman"/>
          <w:b/>
          <w:color w:val="FF0000"/>
          <w:highlight w:val="yellow"/>
        </w:rPr>
      </w:pPr>
      <w:r>
        <w:rPr>
          <w:rFonts w:ascii="Times New Roman" w:hAnsi="Times New Roman" w:hint="eastAsia"/>
          <w:b/>
          <w:color w:val="FF0000"/>
          <w:sz w:val="20"/>
          <w:szCs w:val="20"/>
          <w:highlight w:val="yellow"/>
          <w:bdr w:val="single" w:sz="4" w:space="0" w:color="auto"/>
        </w:rPr>
        <w:t>A</w:t>
      </w:r>
      <w:r>
        <w:rPr>
          <w:rFonts w:ascii="Times New Roman" w:hAnsi="Times New Roman" w:hint="eastAsia"/>
          <w:b/>
          <w:color w:val="FF0000"/>
          <w:sz w:val="20"/>
          <w:szCs w:val="20"/>
          <w:highlight w:val="yellow"/>
          <w:bdr w:val="single" w:sz="4" w:space="0" w:color="auto"/>
        </w:rPr>
        <w:t>、</w:t>
      </w:r>
      <w:r w:rsidR="000E658E" w:rsidRPr="000E658E">
        <w:rPr>
          <w:rFonts w:ascii="Times New Roman" w:hAnsi="Times New Roman" w:hint="eastAsia"/>
          <w:b/>
          <w:color w:val="FF0000"/>
          <w:sz w:val="20"/>
          <w:szCs w:val="20"/>
          <w:highlight w:val="yellow"/>
          <w:bdr w:val="single" w:sz="4" w:space="0" w:color="auto"/>
        </w:rPr>
        <w:t>明佛之本意</w:t>
      </w:r>
      <w:r w:rsidR="000E658E" w:rsidRPr="00DA3BC7">
        <w:rPr>
          <w:rFonts w:ascii="Times New Roman" w:hAnsi="Times New Roman"/>
          <w:sz w:val="20"/>
          <w:szCs w:val="20"/>
        </w:rPr>
        <w:t>（</w:t>
      </w:r>
      <w:r w:rsidR="000E658E" w:rsidRPr="00DA3BC7">
        <w:rPr>
          <w:rFonts w:ascii="Times New Roman" w:hAnsi="Times New Roman"/>
          <w:sz w:val="20"/>
          <w:szCs w:val="20"/>
        </w:rPr>
        <w:t>p.</w:t>
      </w:r>
      <w:r w:rsidR="000E658E" w:rsidRPr="00DA3BC7">
        <w:rPr>
          <w:rFonts w:ascii="Times New Roman" w:hAnsi="Times New Roman"/>
          <w:bCs/>
          <w:sz w:val="20"/>
          <w:szCs w:val="20"/>
        </w:rPr>
        <w:t>22</w:t>
      </w:r>
      <w:r w:rsidR="000E658E" w:rsidRPr="00DA3BC7">
        <w:rPr>
          <w:rFonts w:ascii="Times New Roman" w:eastAsia="SimSun" w:hAnsi="Times New Roman" w:hint="eastAsia"/>
          <w:bCs/>
          <w:sz w:val="20"/>
          <w:szCs w:val="20"/>
        </w:rPr>
        <w:t>7</w:t>
      </w:r>
      <w:r w:rsidR="000E658E" w:rsidRPr="00DA3BC7">
        <w:rPr>
          <w:rFonts w:ascii="Times New Roman" w:hAnsi="Times New Roman"/>
          <w:sz w:val="20"/>
          <w:szCs w:val="20"/>
        </w:rPr>
        <w:t>）</w:t>
      </w:r>
    </w:p>
    <w:p w:rsidR="00AA120F" w:rsidRPr="00DA3BC7" w:rsidRDefault="00AA120F" w:rsidP="00DF3C67">
      <w:pPr>
        <w:ind w:leftChars="300" w:left="720"/>
        <w:jc w:val="both"/>
        <w:rPr>
          <w:rFonts w:ascii="新細明體" w:hAnsi="新細明體"/>
          <w:b/>
        </w:rPr>
      </w:pPr>
      <w:r w:rsidRPr="00DA3BC7">
        <w:rPr>
          <w:rFonts w:ascii="Times New Roman" w:hAnsi="Times New Roman"/>
        </w:rPr>
        <w:t>佛所說的是</w:t>
      </w:r>
      <w:r w:rsidRPr="00523F45">
        <w:rPr>
          <w:rFonts w:ascii="Times New Roman" w:hAnsi="Times New Roman"/>
          <w:b/>
          <w:u w:val="wave" w:color="C00000"/>
        </w:rPr>
        <w:t>教二諦</w:t>
      </w:r>
      <w:r w:rsidRPr="00DA3BC7">
        <w:rPr>
          <w:rFonts w:ascii="Times New Roman" w:hAnsi="Times New Roman"/>
        </w:rPr>
        <w:t>，</w:t>
      </w:r>
      <w:r w:rsidRPr="00523F45">
        <w:rPr>
          <w:rFonts w:ascii="Times New Roman" w:hAnsi="Times New Roman"/>
          <w:b/>
          <w:u w:val="wave" w:color="C00000"/>
        </w:rPr>
        <w:t>教二諦</w:t>
      </w:r>
      <w:r w:rsidRPr="00DA3BC7">
        <w:rPr>
          <w:rFonts w:ascii="Times New Roman" w:hAnsi="Times New Roman"/>
        </w:rPr>
        <w:t>是依名言安立的，名言安立的是相對的，要我們</w:t>
      </w:r>
      <w:r w:rsidRPr="00DA3BC7">
        <w:rPr>
          <w:rFonts w:ascii="Times New Roman" w:hAnsi="Times New Roman"/>
          <w:b/>
        </w:rPr>
        <w:t>從相對無自性而體悟那離言的</w:t>
      </w:r>
      <w:r w:rsidRPr="00DA3BC7">
        <w:rPr>
          <w:rFonts w:ascii="Times New Roman" w:hAnsi="Times New Roman" w:hint="eastAsia"/>
          <w:b/>
        </w:rPr>
        <w:t>、</w:t>
      </w:r>
      <w:r w:rsidRPr="00DA3BC7">
        <w:rPr>
          <w:rFonts w:ascii="Times New Roman" w:hAnsi="Times New Roman"/>
          <w:b/>
        </w:rPr>
        <w:t>絕對的</w:t>
      </w:r>
      <w:r w:rsidRPr="00DA3BC7">
        <w:rPr>
          <w:rFonts w:ascii="Times New Roman" w:hAnsi="Times New Roman"/>
        </w:rPr>
        <w:t>。所以佛說的</w:t>
      </w:r>
      <w:r w:rsidRPr="00523F45">
        <w:rPr>
          <w:rFonts w:ascii="Times New Roman" w:hAnsi="Times New Roman"/>
          <w:b/>
          <w:u w:val="wave" w:color="C00000"/>
        </w:rPr>
        <w:t>教二諦</w:t>
      </w:r>
      <w:r w:rsidRPr="00DA3BC7">
        <w:rPr>
          <w:rFonts w:ascii="Times New Roman" w:hAnsi="Times New Roman"/>
        </w:rPr>
        <w:t>，</w:t>
      </w:r>
      <w:r w:rsidRPr="00DA3BC7">
        <w:rPr>
          <w:rFonts w:ascii="Times New Roman" w:hAnsi="Times New Roman"/>
          <w:b/>
        </w:rPr>
        <w:t>說</w:t>
      </w:r>
      <w:r w:rsidRPr="00523F45">
        <w:rPr>
          <w:rFonts w:ascii="Times New Roman" w:hAnsi="Times New Roman"/>
          <w:b/>
          <w:u w:val="wave" w:color="C00000"/>
        </w:rPr>
        <w:t>有</w:t>
      </w:r>
      <w:r w:rsidRPr="00DA3BC7">
        <w:rPr>
          <w:rFonts w:ascii="Times New Roman" w:hAnsi="Times New Roman" w:hint="eastAsia"/>
          <w:b/>
        </w:rPr>
        <w:t>，</w:t>
      </w:r>
      <w:r w:rsidRPr="00DA3BC7">
        <w:rPr>
          <w:rFonts w:ascii="Times New Roman" w:hAnsi="Times New Roman"/>
          <w:b/>
        </w:rPr>
        <w:t>為令眾生了解為</w:t>
      </w:r>
      <w:r w:rsidRPr="00523F45">
        <w:rPr>
          <w:rFonts w:ascii="Times New Roman" w:hAnsi="Times New Roman"/>
          <w:b/>
          <w:u w:val="wave" w:color="C00000"/>
        </w:rPr>
        <w:t>非有</w:t>
      </w:r>
      <w:r w:rsidRPr="00DA3BC7">
        <w:rPr>
          <w:rFonts w:ascii="新細明體" w:hAnsi="新細明體"/>
          <w:b/>
        </w:rPr>
        <w:t>──</w:t>
      </w:r>
      <w:r w:rsidRPr="00523F45">
        <w:rPr>
          <w:rFonts w:ascii="Times New Roman" w:hAnsi="Times New Roman"/>
          <w:b/>
          <w:u w:val="wave" w:color="C00000"/>
        </w:rPr>
        <w:t>有</w:t>
      </w:r>
      <w:r w:rsidRPr="00DA3BC7">
        <w:rPr>
          <w:rFonts w:ascii="新細明體" w:hAnsi="新細明體"/>
          <w:b/>
        </w:rPr>
        <w:t>是非實有；說</w:t>
      </w:r>
      <w:r w:rsidRPr="00523F45">
        <w:rPr>
          <w:rFonts w:ascii="Times New Roman" w:hAnsi="Times New Roman"/>
          <w:b/>
          <w:u w:val="wave" w:color="C00000"/>
        </w:rPr>
        <w:t>空</w:t>
      </w:r>
      <w:r w:rsidRPr="00DA3BC7">
        <w:rPr>
          <w:rFonts w:ascii="新細明體" w:hAnsi="新細明體" w:hint="eastAsia"/>
          <w:b/>
        </w:rPr>
        <w:t>，</w:t>
      </w:r>
      <w:r w:rsidRPr="00DA3BC7">
        <w:rPr>
          <w:rFonts w:ascii="新細明體" w:hAnsi="新細明體"/>
          <w:b/>
        </w:rPr>
        <w:t>令眾生了解為</w:t>
      </w:r>
      <w:r w:rsidRPr="00523F45">
        <w:rPr>
          <w:rFonts w:ascii="Times New Roman" w:hAnsi="Times New Roman"/>
          <w:b/>
          <w:u w:val="wave" w:color="C00000"/>
        </w:rPr>
        <w:t>非空</w:t>
      </w:r>
      <w:r w:rsidRPr="00DA3BC7">
        <w:rPr>
          <w:rFonts w:ascii="新細明體" w:hAnsi="新細明體"/>
          <w:b/>
        </w:rPr>
        <w:t>──</w:t>
      </w:r>
      <w:r w:rsidRPr="00523F45">
        <w:rPr>
          <w:rFonts w:ascii="Times New Roman" w:hAnsi="Times New Roman"/>
          <w:b/>
          <w:u w:val="wave" w:color="C00000"/>
        </w:rPr>
        <w:t>空</w:t>
      </w:r>
      <w:r w:rsidRPr="00DA3BC7">
        <w:rPr>
          <w:rFonts w:ascii="新細明體" w:hAnsi="新細明體"/>
          <w:b/>
        </w:rPr>
        <w:t>是不真空。</w:t>
      </w:r>
    </w:p>
    <w:p w:rsidR="00AA120F" w:rsidRPr="00DA3BC7" w:rsidRDefault="00AA120F" w:rsidP="00DF3C67">
      <w:pPr>
        <w:ind w:leftChars="300" w:left="720"/>
        <w:jc w:val="both"/>
        <w:rPr>
          <w:rFonts w:ascii="新細明體" w:hAnsi="新細明體"/>
        </w:rPr>
      </w:pPr>
      <w:r w:rsidRPr="00DA3BC7">
        <w:rPr>
          <w:rFonts w:ascii="新細明體" w:hAnsi="新細明體"/>
        </w:rPr>
        <w:t>從</w:t>
      </w:r>
      <w:r w:rsidRPr="004D1904">
        <w:rPr>
          <w:rFonts w:ascii="新細明體" w:hAnsi="新細明體"/>
          <w:b/>
        </w:rPr>
        <w:t>說</w:t>
      </w:r>
      <w:r w:rsidRPr="00523F45">
        <w:rPr>
          <w:rFonts w:ascii="Times New Roman" w:hAnsi="Times New Roman"/>
          <w:b/>
          <w:u w:val="wave" w:color="C00000"/>
        </w:rPr>
        <w:t>有</w:t>
      </w:r>
      <w:r w:rsidRPr="004D1904">
        <w:rPr>
          <w:rFonts w:ascii="新細明體" w:hAnsi="新細明體"/>
          <w:b/>
        </w:rPr>
        <w:t>說</w:t>
      </w:r>
      <w:r w:rsidRPr="00523F45">
        <w:rPr>
          <w:rFonts w:ascii="Times New Roman" w:hAnsi="Times New Roman"/>
          <w:b/>
          <w:u w:val="wave" w:color="C00000"/>
        </w:rPr>
        <w:t>空</w:t>
      </w:r>
      <w:r w:rsidRPr="004D1904">
        <w:rPr>
          <w:rFonts w:ascii="新細明體" w:hAnsi="新細明體"/>
          <w:b/>
        </w:rPr>
        <w:t>的名言假立</w:t>
      </w:r>
      <w:r w:rsidRPr="00DA3BC7">
        <w:rPr>
          <w:rFonts w:ascii="新細明體" w:hAnsi="新細明體"/>
        </w:rPr>
        <w:t>，悟解那</w:t>
      </w:r>
      <w:r w:rsidRPr="00523F45">
        <w:rPr>
          <w:rFonts w:ascii="Times New Roman" w:hAnsi="Times New Roman"/>
          <w:b/>
          <w:u w:val="wave" w:color="C00000"/>
        </w:rPr>
        <w:t>非有非空</w:t>
      </w:r>
      <w:r w:rsidRPr="00DA3BC7">
        <w:rPr>
          <w:rFonts w:ascii="新細明體" w:hAnsi="新細明體"/>
          <w:b/>
        </w:rPr>
        <w:t>的離言實相</w:t>
      </w:r>
      <w:r w:rsidRPr="00DA3BC7">
        <w:rPr>
          <w:rFonts w:ascii="新細明體" w:hAnsi="新細明體"/>
        </w:rPr>
        <w:t>。</w:t>
      </w:r>
    </w:p>
    <w:p w:rsidR="00AA120F" w:rsidRPr="00DA3BC7" w:rsidRDefault="00AA120F" w:rsidP="00AE3920">
      <w:pPr>
        <w:spacing w:beforeLines="20"/>
        <w:ind w:leftChars="300" w:left="720"/>
        <w:jc w:val="both"/>
        <w:rPr>
          <w:rFonts w:ascii="Times New Roman" w:hAnsi="Times New Roman"/>
          <w:b/>
        </w:rPr>
      </w:pPr>
      <w:r w:rsidRPr="00DA3BC7">
        <w:rPr>
          <w:rFonts w:ascii="新細明體" w:hAnsi="新細明體"/>
        </w:rPr>
        <w:t>這樣，</w:t>
      </w:r>
      <w:r w:rsidRPr="004D1904">
        <w:rPr>
          <w:rFonts w:ascii="新細明體" w:hAnsi="新細明體"/>
        </w:rPr>
        <w:t>以</w:t>
      </w:r>
      <w:r w:rsidRPr="00DA3BC7">
        <w:rPr>
          <w:rFonts w:ascii="新細明體" w:hAnsi="新細明體"/>
          <w:b/>
        </w:rPr>
        <w:t>言教二諦──</w:t>
      </w:r>
      <w:r w:rsidRPr="00523F45">
        <w:rPr>
          <w:rFonts w:ascii="新細明體" w:hAnsi="新細明體"/>
          <w:b/>
          <w:u w:val="wave" w:color="C00000"/>
        </w:rPr>
        <w:t>有</w:t>
      </w:r>
      <w:r w:rsidRPr="00523F45">
        <w:rPr>
          <w:rFonts w:ascii="Times New Roman" w:hAnsi="Times New Roman"/>
          <w:b/>
          <w:u w:val="wave" w:color="C00000"/>
        </w:rPr>
        <w:t>空</w:t>
      </w:r>
      <w:r w:rsidRPr="004D1904">
        <w:rPr>
          <w:rFonts w:ascii="Times New Roman" w:hAnsi="Times New Roman"/>
          <w:b/>
        </w:rPr>
        <w:t>的</w:t>
      </w:r>
      <w:r w:rsidRPr="00DA3BC7">
        <w:rPr>
          <w:rFonts w:ascii="Times New Roman" w:hAnsi="Times New Roman"/>
          <w:b/>
        </w:rPr>
        <w:t>假名，</w:t>
      </w:r>
      <w:r w:rsidRPr="004D1904">
        <w:rPr>
          <w:rFonts w:ascii="Times New Roman" w:hAnsi="Times New Roman"/>
        </w:rPr>
        <w:t>悟</w:t>
      </w:r>
      <w:r w:rsidRPr="00523F45">
        <w:rPr>
          <w:rFonts w:ascii="Times New Roman" w:hAnsi="Times New Roman"/>
          <w:b/>
          <w:u w:val="wave" w:color="C00000"/>
        </w:rPr>
        <w:t>非有非空</w:t>
      </w:r>
      <w:r w:rsidRPr="00523F45">
        <w:rPr>
          <w:rFonts w:ascii="Times New Roman" w:hAnsi="Times New Roman"/>
          <w:b/>
          <w:u w:color="C00000"/>
        </w:rPr>
        <w:t>的中道</w:t>
      </w:r>
      <w:r w:rsidRPr="00DA3BC7">
        <w:rPr>
          <w:rFonts w:ascii="Times New Roman" w:hAnsi="Times New Roman"/>
          <w:b/>
        </w:rPr>
        <w:t>。</w:t>
      </w:r>
    </w:p>
    <w:p w:rsidR="00AA120F" w:rsidRPr="00DA3BC7" w:rsidRDefault="007657C1" w:rsidP="00AE3920">
      <w:pPr>
        <w:spacing w:beforeLines="30"/>
        <w:ind w:leftChars="300" w:left="720"/>
        <w:jc w:val="both"/>
        <w:rPr>
          <w:rFonts w:ascii="Times New Roman" w:eastAsia="SimSu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B</w:t>
      </w:r>
      <w:r>
        <w:rPr>
          <w:rFonts w:ascii="Times New Roman" w:hAnsi="Times New Roman" w:hint="eastAsia"/>
          <w:b/>
          <w:color w:val="FF0000"/>
          <w:sz w:val="20"/>
          <w:szCs w:val="20"/>
          <w:highlight w:val="yellow"/>
          <w:bdr w:val="single" w:sz="4" w:space="0" w:color="auto"/>
        </w:rPr>
        <w:t>、</w:t>
      </w:r>
      <w:r w:rsidRPr="007657C1">
        <w:rPr>
          <w:rFonts w:ascii="Times New Roman" w:hAnsi="Times New Roman" w:hint="eastAsia"/>
          <w:b/>
          <w:color w:val="FF0000"/>
          <w:sz w:val="20"/>
          <w:szCs w:val="20"/>
          <w:highlight w:val="yellow"/>
          <w:bdr w:val="single" w:sz="4" w:space="0" w:color="auto"/>
        </w:rPr>
        <w:t>出後人之過</w:t>
      </w:r>
      <w:r w:rsidR="00AA120F" w:rsidRPr="00DA3BC7">
        <w:rPr>
          <w:rFonts w:ascii="Times New Roman" w:hAnsi="Times New Roman"/>
          <w:sz w:val="20"/>
          <w:szCs w:val="20"/>
        </w:rPr>
        <w:t>（</w:t>
      </w:r>
      <w:r w:rsidR="00AA120F" w:rsidRPr="00DA3BC7">
        <w:rPr>
          <w:rFonts w:ascii="Times New Roman" w:hAnsi="Times New Roman"/>
          <w:sz w:val="20"/>
          <w:szCs w:val="20"/>
        </w:rPr>
        <w:t>pp.</w:t>
      </w:r>
      <w:r w:rsidR="00AA120F" w:rsidRPr="00DA3BC7">
        <w:rPr>
          <w:rFonts w:ascii="Times New Roman" w:hAnsi="Times New Roman"/>
          <w:bCs/>
          <w:sz w:val="20"/>
          <w:szCs w:val="20"/>
        </w:rPr>
        <w:t>22</w:t>
      </w:r>
      <w:r w:rsidR="00AA120F" w:rsidRPr="00DA3BC7">
        <w:rPr>
          <w:rFonts w:ascii="Times New Roman" w:eastAsia="SimSun" w:hAnsi="Times New Roman" w:hint="eastAsia"/>
          <w:bCs/>
          <w:sz w:val="20"/>
          <w:szCs w:val="20"/>
        </w:rPr>
        <w:t>7</w:t>
      </w:r>
      <w:r w:rsidR="00AA120F" w:rsidRPr="00DA3BC7">
        <w:rPr>
          <w:rFonts w:ascii="Times New Roman" w:hAnsi="Times New Roman"/>
          <w:bCs/>
          <w:sz w:val="20"/>
          <w:szCs w:val="20"/>
        </w:rPr>
        <w:t>-22</w:t>
      </w:r>
      <w:r w:rsidR="00AA120F" w:rsidRPr="00DA3BC7">
        <w:rPr>
          <w:rFonts w:ascii="Times New Roman" w:eastAsia="SimSun" w:hAnsi="Times New Roman"/>
          <w:bCs/>
          <w:sz w:val="20"/>
          <w:szCs w:val="20"/>
        </w:rPr>
        <w:t>8</w:t>
      </w:r>
      <w:r w:rsidR="00AA120F" w:rsidRPr="00DA3BC7">
        <w:rPr>
          <w:rFonts w:ascii="Times New Roman" w:hAnsi="Times New Roman"/>
          <w:sz w:val="20"/>
          <w:szCs w:val="20"/>
        </w:rPr>
        <w:t>）</w:t>
      </w:r>
    </w:p>
    <w:p w:rsidR="00AA120F" w:rsidRPr="00DA3BC7" w:rsidRDefault="00AA120F" w:rsidP="00AE3920">
      <w:pPr>
        <w:spacing w:afterLines="30"/>
        <w:ind w:leftChars="300" w:left="720"/>
        <w:jc w:val="both"/>
        <w:rPr>
          <w:rFonts w:ascii="Times New Roman" w:hAnsi="Times New Roman"/>
        </w:rPr>
      </w:pPr>
      <w:r w:rsidRPr="00DA3BC7">
        <w:rPr>
          <w:rFonts w:ascii="Times New Roman" w:hAnsi="Times New Roman"/>
        </w:rPr>
        <w:t>傳到江東的三論宗，是側重於</w:t>
      </w:r>
      <w:r w:rsidRPr="00DA3BC7">
        <w:rPr>
          <w:rFonts w:ascii="Times New Roman" w:hAnsi="Times New Roman"/>
          <w:b/>
        </w:rPr>
        <w:t>第二重二諦</w:t>
      </w:r>
      <w:r w:rsidRPr="00DA3BC7">
        <w:rPr>
          <w:rFonts w:ascii="Times New Roman" w:hAnsi="Times New Roman"/>
        </w:rPr>
        <w:t>的；以二諦為假名，中道為實相的。</w:t>
      </w:r>
    </w:p>
    <w:p w:rsidR="007657C1" w:rsidRDefault="00AA120F" w:rsidP="00AE3920">
      <w:pPr>
        <w:spacing w:beforeLines="20"/>
        <w:ind w:leftChars="300" w:left="720"/>
        <w:jc w:val="both"/>
        <w:rPr>
          <w:rFonts w:ascii="Times New Roman" w:hAnsi="Times New Roman"/>
        </w:rPr>
      </w:pPr>
      <w:r w:rsidRPr="00DA3BC7">
        <w:rPr>
          <w:rFonts w:ascii="Times New Roman" w:hAnsi="Times New Roman"/>
        </w:rPr>
        <w:t>一般人不知有</w:t>
      </w:r>
      <w:r w:rsidRPr="00DA3BC7">
        <w:rPr>
          <w:rFonts w:ascii="Times New Roman" w:hAnsi="Times New Roman" w:hint="eastAsia"/>
        </w:rPr>
        <w:t>、</w:t>
      </w:r>
      <w:r w:rsidRPr="00DA3BC7">
        <w:rPr>
          <w:rFonts w:ascii="Times New Roman" w:hAnsi="Times New Roman"/>
        </w:rPr>
        <w:t>空是假名，</w:t>
      </w:r>
      <w:r w:rsidRPr="00DA3BC7">
        <w:rPr>
          <w:rFonts w:ascii="Times New Roman" w:hAnsi="Times New Roman"/>
          <w:b/>
        </w:rPr>
        <w:t>凡夫聞有即執為實有，小聖聞空即住於但</w:t>
      </w:r>
      <w:r w:rsidRPr="00DA3BC7">
        <w:rPr>
          <w:rFonts w:ascii="Times New Roman" w:hAnsi="Times New Roman"/>
          <w:b/>
        </w:rPr>
        <w:lastRenderedPageBreak/>
        <w:t>空</w:t>
      </w:r>
      <w:r w:rsidRPr="00DA3BC7">
        <w:rPr>
          <w:rFonts w:ascii="Times New Roman" w:hAnsi="Times New Roman"/>
        </w:rPr>
        <w:t>。</w:t>
      </w:r>
      <w:r w:rsidRPr="00DA3BC7">
        <w:rPr>
          <w:rFonts w:ascii="Times New Roman" w:hAnsi="Times New Roman"/>
          <w:b/>
        </w:rPr>
        <w:t>這樣的有，於凡夫成俗諦；這樣的空，於小乘聖者為真諦，悟得離相而證但空。</w:t>
      </w:r>
      <w:r w:rsidRPr="00DA3BC7">
        <w:rPr>
          <w:rFonts w:ascii="Times New Roman" w:hAnsi="Times New Roman"/>
        </w:rPr>
        <w:t>此即名為</w:t>
      </w:r>
      <w:r w:rsidRPr="00DA3BC7">
        <w:rPr>
          <w:rFonts w:ascii="Times New Roman" w:hAnsi="Times New Roman"/>
          <w:b/>
        </w:rPr>
        <w:t>於二諦</w:t>
      </w:r>
      <w:r w:rsidRPr="00DA3BC7">
        <w:rPr>
          <w:rFonts w:ascii="Times New Roman" w:hAnsi="Times New Roman"/>
        </w:rPr>
        <w:t>，即與佛說二諦義不能完美的吻合。</w:t>
      </w:r>
    </w:p>
    <w:p w:rsidR="007657C1" w:rsidRPr="00A244C5" w:rsidRDefault="00A244C5" w:rsidP="00AE3920">
      <w:pPr>
        <w:spacing w:beforeLines="30"/>
        <w:ind w:leftChars="150" w:left="360"/>
        <w:jc w:val="both"/>
        <w:rPr>
          <w:rFonts w:ascii="Times New Roman" w:hAnsi="Times New Roman"/>
          <w:b/>
          <w:color w:val="FF0000"/>
          <w:sz w:val="20"/>
          <w:szCs w:val="20"/>
          <w:bdr w:val="single" w:sz="4" w:space="0" w:color="auto"/>
        </w:rPr>
      </w:pPr>
      <w:r w:rsidRPr="00A244C5">
        <w:rPr>
          <w:rFonts w:ascii="Times New Roman" w:hAnsi="Times New Roman" w:hint="eastAsia"/>
          <w:b/>
          <w:color w:val="FF0000"/>
          <w:sz w:val="20"/>
          <w:szCs w:val="20"/>
          <w:highlight w:val="yellow"/>
          <w:bdr w:val="single" w:sz="4" w:space="0" w:color="auto"/>
        </w:rPr>
        <w:t>（</w:t>
      </w:r>
      <w:r w:rsidR="007657C1" w:rsidRPr="00A244C5">
        <w:rPr>
          <w:rFonts w:ascii="Times New Roman" w:hAnsi="Times New Roman" w:hint="eastAsia"/>
          <w:b/>
          <w:color w:val="FF0000"/>
          <w:sz w:val="20"/>
          <w:szCs w:val="20"/>
          <w:highlight w:val="yellow"/>
          <w:bdr w:val="single" w:sz="4" w:space="0" w:color="auto"/>
        </w:rPr>
        <w:t>三</w:t>
      </w:r>
      <w:r w:rsidRPr="00A244C5">
        <w:rPr>
          <w:rFonts w:ascii="Times New Roman" w:hAnsi="Times New Roman" w:hint="eastAsia"/>
          <w:b/>
          <w:color w:val="FF0000"/>
          <w:sz w:val="20"/>
          <w:szCs w:val="20"/>
          <w:highlight w:val="yellow"/>
          <w:bdr w:val="single" w:sz="4" w:space="0" w:color="auto"/>
        </w:rPr>
        <w:t>）</w:t>
      </w:r>
      <w:r w:rsidR="007657C1" w:rsidRPr="00A244C5">
        <w:rPr>
          <w:rFonts w:ascii="Times New Roman" w:hAnsi="Times New Roman" w:hint="eastAsia"/>
          <w:b/>
          <w:color w:val="FF0000"/>
          <w:sz w:val="20"/>
          <w:szCs w:val="20"/>
          <w:highlight w:val="yellow"/>
          <w:bdr w:val="single" w:sz="4" w:space="0" w:color="auto"/>
        </w:rPr>
        <w:t>歸宗</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22</w:t>
      </w:r>
      <w:r w:rsidRPr="00DA3BC7">
        <w:rPr>
          <w:rFonts w:ascii="Times New Roman" w:eastAsia="SimSun" w:hAnsi="Times New Roman"/>
          <w:bCs/>
          <w:sz w:val="20"/>
          <w:szCs w:val="20"/>
        </w:rPr>
        <w:t>8</w:t>
      </w:r>
      <w:r w:rsidRPr="00DA3BC7">
        <w:rPr>
          <w:rFonts w:ascii="Times New Roman" w:hAnsi="Times New Roman"/>
          <w:sz w:val="20"/>
          <w:szCs w:val="20"/>
        </w:rPr>
        <w:t>）</w:t>
      </w:r>
    </w:p>
    <w:p w:rsidR="00AA120F" w:rsidRPr="00DA3BC7" w:rsidRDefault="00AA120F" w:rsidP="00AE3920">
      <w:pPr>
        <w:spacing w:afterLines="30"/>
        <w:ind w:leftChars="150" w:left="360"/>
        <w:jc w:val="both"/>
        <w:rPr>
          <w:rFonts w:ascii="Times New Roman" w:hAnsi="Times New Roman"/>
        </w:rPr>
      </w:pPr>
      <w:r w:rsidRPr="00DA3BC7">
        <w:rPr>
          <w:rFonts w:ascii="Times New Roman" w:hAnsi="Times New Roman"/>
        </w:rPr>
        <w:t>佛說二諦，令眾生悟解不二中道，不是令眾生聞有著有</w:t>
      </w:r>
      <w:r w:rsidRPr="00DA3BC7">
        <w:rPr>
          <w:rFonts w:ascii="Times New Roman" w:hAnsi="Times New Roman" w:hint="eastAsia"/>
        </w:rPr>
        <w:t>、</w:t>
      </w:r>
      <w:r w:rsidRPr="00DA3BC7">
        <w:rPr>
          <w:rFonts w:ascii="Times New Roman" w:hAnsi="Times New Roman"/>
        </w:rPr>
        <w:t>聞空滯空的。</w:t>
      </w:r>
    </w:p>
    <w:p w:rsidR="00AA120F" w:rsidRPr="00DA3BC7" w:rsidRDefault="00AA120F" w:rsidP="00AE3920">
      <w:pPr>
        <w:spacing w:beforeLines="20"/>
        <w:ind w:leftChars="150" w:left="360"/>
        <w:jc w:val="both"/>
        <w:rPr>
          <w:rFonts w:ascii="Times New Roman" w:hAnsi="Times New Roman"/>
        </w:rPr>
      </w:pPr>
      <w:r w:rsidRPr="00DA3BC7">
        <w:rPr>
          <w:rFonts w:ascii="Times New Roman" w:hAnsi="Times New Roman"/>
        </w:rPr>
        <w:t>三論宗以</w:t>
      </w:r>
      <w:r w:rsidRPr="00DA3BC7">
        <w:rPr>
          <w:rFonts w:ascii="Times New Roman" w:hAnsi="Times New Roman"/>
          <w:b/>
        </w:rPr>
        <w:t>畢竟空</w:t>
      </w:r>
      <w:r w:rsidRPr="00DA3BC7">
        <w:rPr>
          <w:rFonts w:ascii="Times New Roman" w:hAnsi="Times New Roman"/>
        </w:rPr>
        <w:t>為大用，而宗極在</w:t>
      </w:r>
      <w:r w:rsidRPr="00DA3BC7">
        <w:rPr>
          <w:rFonts w:ascii="Times New Roman" w:hAnsi="Times New Roman"/>
          <w:b/>
        </w:rPr>
        <w:t>圓中</w:t>
      </w:r>
      <w:r w:rsidRPr="00DA3BC7">
        <w:rPr>
          <w:rFonts w:ascii="Times New Roman" w:hAnsi="Times New Roman"/>
        </w:rPr>
        <w:t>。所以說小乘證但空，對凡夫說是對的，對</w:t>
      </w:r>
      <w:r w:rsidRPr="00DA3BC7">
        <w:rPr>
          <w:rFonts w:ascii="Times New Roman" w:hAnsi="Times New Roman"/>
          <w:b/>
        </w:rPr>
        <w:t>佛菩薩的圓見中道</w:t>
      </w:r>
      <w:r w:rsidRPr="00DA3BC7">
        <w:rPr>
          <w:rFonts w:ascii="Times New Roman" w:hAnsi="Times New Roman"/>
        </w:rPr>
        <w:t>即不對。學佛者應</w:t>
      </w:r>
      <w:r w:rsidRPr="00DA3BC7">
        <w:rPr>
          <w:rFonts w:ascii="Times New Roman" w:hAnsi="Times New Roman"/>
          <w:b/>
        </w:rPr>
        <w:t>於俗有真空而不執有空，依此而入中道</w:t>
      </w:r>
      <w:r w:rsidRPr="00DA3BC7">
        <w:rPr>
          <w:rFonts w:ascii="Times New Roman" w:hAnsi="Times New Roman"/>
        </w:rPr>
        <w:t>。</w:t>
      </w:r>
    </w:p>
    <w:p w:rsidR="00AA120F" w:rsidRPr="00DA3BC7" w:rsidRDefault="004A60FD" w:rsidP="00AE3920">
      <w:pPr>
        <w:spacing w:beforeLines="30"/>
        <w:ind w:leftChars="100" w:left="240"/>
        <w:jc w:val="both"/>
        <w:rPr>
          <w:rFonts w:ascii="Times New Roman" w:hAnsi="Times New Roman"/>
          <w:b/>
          <w:sz w:val="20"/>
          <w:szCs w:val="20"/>
          <w:bdr w:val="single" w:sz="4" w:space="0" w:color="auto"/>
        </w:rPr>
      </w:pPr>
      <w:r w:rsidRPr="004A60FD">
        <w:rPr>
          <w:rFonts w:ascii="Times New Roman" w:hAnsi="Times New Roman" w:hint="eastAsia"/>
          <w:b/>
          <w:color w:val="FF0000"/>
          <w:sz w:val="20"/>
          <w:szCs w:val="20"/>
          <w:highlight w:val="yellow"/>
          <w:bdr w:val="single" w:sz="4" w:space="0" w:color="auto"/>
        </w:rPr>
        <w:t>二</w:t>
      </w:r>
      <w:r w:rsidRPr="004A60FD">
        <w:rPr>
          <w:rFonts w:ascii="Times New Roman" w:hAnsi="Times New Roman"/>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「中」、「假」</w:t>
      </w:r>
      <w:r w:rsidR="00AA120F" w:rsidRPr="00DA3BC7">
        <w:rPr>
          <w:rFonts w:ascii="Times New Roman" w:hAnsi="Times New Roman"/>
          <w:sz w:val="20"/>
          <w:szCs w:val="20"/>
        </w:rPr>
        <w:t>（</w:t>
      </w:r>
      <w:r w:rsidR="00AA120F" w:rsidRPr="00DA3BC7">
        <w:rPr>
          <w:rFonts w:ascii="Times New Roman" w:hAnsi="Times New Roman"/>
          <w:sz w:val="20"/>
          <w:szCs w:val="20"/>
        </w:rPr>
        <w:t>pp.228-229</w:t>
      </w:r>
      <w:r w:rsidR="00AA120F" w:rsidRPr="00DA3BC7">
        <w:rPr>
          <w:rFonts w:ascii="Times New Roman" w:hAnsi="Times New Roman"/>
          <w:sz w:val="20"/>
          <w:szCs w:val="20"/>
        </w:rPr>
        <w:t>）</w:t>
      </w:r>
    </w:p>
    <w:p w:rsidR="00AA120F" w:rsidRPr="00DA3BC7" w:rsidRDefault="004A60FD" w:rsidP="00DF3C67">
      <w:pPr>
        <w:ind w:leftChars="150" w:left="360"/>
        <w:jc w:val="both"/>
        <w:rPr>
          <w:rFonts w:ascii="Times New Roman" w:eastAsia="SimSun" w:hAnsi="Times New Roman"/>
          <w:b/>
          <w:sz w:val="20"/>
          <w:szCs w:val="20"/>
          <w:bdr w:val="single" w:sz="4" w:space="0" w:color="auto"/>
        </w:rPr>
      </w:pPr>
      <w:r w:rsidRPr="004A60FD">
        <w:rPr>
          <w:rFonts w:ascii="Times New Roman" w:hAnsi="Times New Roman"/>
          <w:b/>
          <w:color w:val="FF0000"/>
          <w:sz w:val="20"/>
          <w:szCs w:val="20"/>
          <w:highlight w:val="yellow"/>
          <w:bdr w:val="single" w:sz="4" w:space="0" w:color="auto"/>
        </w:rPr>
        <w:t>（</w:t>
      </w:r>
      <w:r w:rsidRPr="004A60FD">
        <w:rPr>
          <w:rFonts w:ascii="Times New Roman" w:hAnsi="Times New Roman" w:hint="eastAsia"/>
          <w:b/>
          <w:color w:val="FF0000"/>
          <w:sz w:val="20"/>
          <w:szCs w:val="20"/>
          <w:highlight w:val="yellow"/>
          <w:bdr w:val="single" w:sz="4" w:space="0" w:color="auto"/>
        </w:rPr>
        <w:t>一</w:t>
      </w:r>
      <w:r w:rsidRPr="004A60FD">
        <w:rPr>
          <w:rFonts w:ascii="Times New Roman" w:hAnsi="Times New Roman"/>
          <w:b/>
          <w:color w:val="FF0000"/>
          <w:sz w:val="20"/>
          <w:szCs w:val="20"/>
          <w:highlight w:val="yellow"/>
          <w:bdr w:val="single" w:sz="4" w:space="0" w:color="auto"/>
        </w:rPr>
        <w:t>）</w:t>
      </w:r>
      <w:r w:rsidRPr="004A60FD">
        <w:rPr>
          <w:rFonts w:ascii="Times New Roman" w:hAnsi="Times New Roman" w:hint="eastAsia"/>
          <w:b/>
          <w:color w:val="FF0000"/>
          <w:sz w:val="20"/>
          <w:szCs w:val="20"/>
          <w:highlight w:val="yellow"/>
          <w:bdr w:val="single" w:sz="4" w:space="0" w:color="auto"/>
        </w:rPr>
        <w:t>敘</w:t>
      </w:r>
      <w:r w:rsidR="00AA120F" w:rsidRPr="004A60FD">
        <w:rPr>
          <w:rFonts w:ascii="Times New Roman" w:hAnsi="Times New Roman"/>
          <w:b/>
          <w:color w:val="FF0000"/>
          <w:sz w:val="20"/>
          <w:szCs w:val="20"/>
          <w:highlight w:val="yellow"/>
          <w:bdr w:val="single" w:sz="4" w:space="0" w:color="auto"/>
        </w:rPr>
        <w:t>宗義</w:t>
      </w:r>
      <w:r w:rsidR="00AA120F" w:rsidRPr="00DA3BC7">
        <w:rPr>
          <w:rFonts w:ascii="Times New Roman" w:hAnsi="Times New Roman"/>
          <w:sz w:val="20"/>
          <w:szCs w:val="20"/>
        </w:rPr>
        <w:t>（</w:t>
      </w:r>
      <w:r w:rsidR="00AA120F" w:rsidRPr="00DA3BC7">
        <w:rPr>
          <w:rFonts w:ascii="Times New Roman" w:hAnsi="Times New Roman"/>
          <w:sz w:val="20"/>
          <w:szCs w:val="20"/>
        </w:rPr>
        <w:t>p.228</w:t>
      </w:r>
      <w:r w:rsidR="00AA120F" w:rsidRPr="00DA3BC7">
        <w:rPr>
          <w:rFonts w:ascii="Times New Roman" w:hAnsi="Times New Roman"/>
          <w:sz w:val="20"/>
          <w:szCs w:val="20"/>
        </w:rPr>
        <w:t>）</w:t>
      </w:r>
    </w:p>
    <w:p w:rsidR="004A60FD" w:rsidRDefault="00AA120F" w:rsidP="00DF3C67">
      <w:pPr>
        <w:ind w:leftChars="150" w:left="360"/>
        <w:jc w:val="both"/>
        <w:rPr>
          <w:rFonts w:ascii="Times New Roman" w:hAnsi="Times New Roman"/>
        </w:rPr>
      </w:pPr>
      <w:r w:rsidRPr="00DA3BC7">
        <w:rPr>
          <w:rFonts w:ascii="SimSun" w:hAnsi="SimSun" w:hint="eastAsia"/>
        </w:rPr>
        <w:t>這樣</w:t>
      </w:r>
      <w:r w:rsidR="004A60FD" w:rsidRPr="004A60FD">
        <w:rPr>
          <w:rFonts w:ascii="SimSun" w:hAnsi="SimSun" w:hint="eastAsia"/>
          <w:color w:val="FF0000"/>
          <w:highlight w:val="yellow"/>
        </w:rPr>
        <w:t>，</w:t>
      </w:r>
      <w:r w:rsidRPr="00DA3BC7">
        <w:rPr>
          <w:rFonts w:ascii="Times New Roman" w:hAnsi="Times New Roman"/>
        </w:rPr>
        <w:t>三論宗的正義，即</w:t>
      </w:r>
      <w:r w:rsidRPr="00DA3BC7">
        <w:rPr>
          <w:rFonts w:ascii="Times New Roman" w:hAnsi="Times New Roman"/>
          <w:b/>
        </w:rPr>
        <w:t>中假義</w:t>
      </w:r>
      <w:r w:rsidRPr="00DA3BC7">
        <w:rPr>
          <w:rFonts w:ascii="Times New Roman" w:hAnsi="Times New Roman"/>
        </w:rPr>
        <w:t>，但</w:t>
      </w:r>
      <w:r w:rsidRPr="00DA3BC7">
        <w:rPr>
          <w:rFonts w:ascii="Times New Roman" w:hAnsi="Times New Roman"/>
          <w:b/>
        </w:rPr>
        <w:t>決不執取中假</w:t>
      </w:r>
      <w:r w:rsidRPr="00DA3BC7">
        <w:rPr>
          <w:rFonts w:ascii="Times New Roman" w:hAnsi="Times New Roman"/>
        </w:rPr>
        <w:t>。</w:t>
      </w:r>
      <w:r w:rsidRPr="00DA3BC7">
        <w:rPr>
          <w:rStyle w:val="a6"/>
          <w:rFonts w:ascii="Times New Roman" w:hAnsi="Times New Roman"/>
        </w:rPr>
        <w:footnoteReference w:id="992"/>
      </w:r>
    </w:p>
    <w:p w:rsidR="004A60FD" w:rsidRDefault="004A60FD" w:rsidP="00AE3920">
      <w:pPr>
        <w:spacing w:beforeLines="30"/>
        <w:ind w:leftChars="150" w:left="360"/>
        <w:jc w:val="both"/>
        <w:rPr>
          <w:rFonts w:ascii="Times New Roman" w:hAnsi="Times New Roman"/>
          <w:b/>
          <w:color w:val="FF0000"/>
          <w:sz w:val="20"/>
          <w:szCs w:val="20"/>
          <w:bdr w:val="single" w:sz="4" w:space="0" w:color="auto"/>
        </w:rPr>
      </w:pPr>
      <w:r w:rsidRPr="004A60FD">
        <w:rPr>
          <w:rFonts w:ascii="Times New Roman" w:hAnsi="Times New Roman"/>
          <w:b/>
          <w:color w:val="FF0000"/>
          <w:sz w:val="20"/>
          <w:szCs w:val="20"/>
          <w:highlight w:val="yellow"/>
          <w:bdr w:val="single" w:sz="4" w:space="0" w:color="auto"/>
        </w:rPr>
        <w:t>（</w:t>
      </w:r>
      <w:r w:rsidRPr="004A60FD">
        <w:rPr>
          <w:rFonts w:ascii="Times New Roman" w:hAnsi="Times New Roman" w:hint="eastAsia"/>
          <w:b/>
          <w:color w:val="FF0000"/>
          <w:sz w:val="20"/>
          <w:szCs w:val="20"/>
          <w:highlight w:val="yellow"/>
          <w:bdr w:val="single" w:sz="4" w:space="0" w:color="auto"/>
        </w:rPr>
        <w:t>二</w:t>
      </w:r>
      <w:r w:rsidRPr="004A60FD">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評偏失</w:t>
      </w:r>
      <w:r w:rsidR="00B57343" w:rsidRPr="00DA3BC7">
        <w:rPr>
          <w:rFonts w:ascii="Times New Roman" w:hAnsi="Times New Roman"/>
          <w:sz w:val="20"/>
          <w:szCs w:val="20"/>
        </w:rPr>
        <w:t>（</w:t>
      </w:r>
      <w:r w:rsidR="00B57343" w:rsidRPr="00DA3BC7">
        <w:rPr>
          <w:rFonts w:ascii="Times New Roman" w:hAnsi="Times New Roman"/>
          <w:sz w:val="20"/>
          <w:szCs w:val="20"/>
        </w:rPr>
        <w:t>pp.228-229</w:t>
      </w:r>
      <w:r w:rsidR="00B57343" w:rsidRPr="00DA3BC7">
        <w:rPr>
          <w:rFonts w:ascii="Times New Roman" w:hAnsi="Times New Roman"/>
          <w:sz w:val="20"/>
          <w:szCs w:val="20"/>
        </w:rPr>
        <w:t>）</w:t>
      </w:r>
    </w:p>
    <w:p w:rsidR="00AA120F" w:rsidRPr="00DA3BC7" w:rsidRDefault="00AA120F" w:rsidP="00DF3C67">
      <w:pPr>
        <w:ind w:leftChars="150" w:left="360"/>
        <w:jc w:val="both"/>
        <w:rPr>
          <w:rFonts w:ascii="Times New Roman" w:eastAsia="SimSun" w:hAnsi="Times New Roman"/>
        </w:rPr>
      </w:pPr>
      <w:r w:rsidRPr="00DA3BC7">
        <w:rPr>
          <w:rFonts w:ascii="Times New Roman" w:hAnsi="Times New Roman"/>
        </w:rPr>
        <w:t>如於宗義不能善巧修學的，執中執假，正統的三論師名之為</w:t>
      </w:r>
      <w:r w:rsidRPr="00DA3BC7">
        <w:rPr>
          <w:rFonts w:ascii="Times New Roman" w:hAnsi="Times New Roman"/>
          <w:b/>
        </w:rPr>
        <w:t>中假師</w:t>
      </w:r>
      <w:r w:rsidRPr="00DA3BC7">
        <w:rPr>
          <w:rStyle w:val="a6"/>
          <w:rFonts w:ascii="Times New Roman" w:hAnsi="Times New Roman"/>
        </w:rPr>
        <w:footnoteReference w:id="993"/>
      </w:r>
      <w:r w:rsidRPr="00DA3BC7">
        <w:rPr>
          <w:rFonts w:ascii="Times New Roman" w:hAnsi="Times New Roman"/>
        </w:rPr>
        <w:t>。</w:t>
      </w:r>
    </w:p>
    <w:p w:rsidR="00AA120F" w:rsidRPr="00DA3BC7" w:rsidRDefault="00AA120F" w:rsidP="00AE3920">
      <w:pPr>
        <w:spacing w:beforeLines="20"/>
        <w:ind w:leftChars="150" w:left="360"/>
        <w:jc w:val="both"/>
        <w:rPr>
          <w:rFonts w:ascii="Times New Roman" w:hAnsi="Times New Roman"/>
        </w:rPr>
      </w:pPr>
      <w:r w:rsidRPr="00DA3BC7">
        <w:rPr>
          <w:rFonts w:ascii="Times New Roman" w:hAnsi="Times New Roman"/>
        </w:rPr>
        <w:t>此等學者對中假起定性見，決定說非有非空是中道，亦有亦空是假名。這是不得中假的真義，所以嘉祥大師呵斥為：「</w:t>
      </w:r>
      <w:r w:rsidRPr="00DA3BC7">
        <w:rPr>
          <w:rFonts w:ascii="Times New Roman" w:eastAsia="標楷體" w:hAnsi="Times New Roman"/>
        </w:rPr>
        <w:t>中假師罪重，永不見佛</w:t>
      </w:r>
      <w:r w:rsidRPr="00DA3BC7">
        <w:rPr>
          <w:rFonts w:ascii="Times New Roman" w:hAnsi="Times New Roman"/>
        </w:rPr>
        <w:t>！」</w:t>
      </w:r>
      <w:r w:rsidRPr="00DA3BC7">
        <w:rPr>
          <w:rStyle w:val="a6"/>
          <w:rFonts w:ascii="Times New Roman" w:hAnsi="Times New Roman"/>
        </w:rPr>
        <w:footnoteReference w:id="994"/>
      </w:r>
    </w:p>
    <w:p w:rsidR="00AA120F" w:rsidRPr="00DA3BC7" w:rsidRDefault="00AA120F" w:rsidP="00AE3920">
      <w:pPr>
        <w:spacing w:beforeLines="20"/>
        <w:ind w:leftChars="150" w:left="360"/>
        <w:jc w:val="both"/>
        <w:rPr>
          <w:rFonts w:ascii="Times New Roman" w:eastAsia="SimSun" w:hAnsi="Times New Roman"/>
        </w:rPr>
      </w:pPr>
      <w:r w:rsidRPr="00DA3BC7">
        <w:rPr>
          <w:rFonts w:ascii="Times New Roman" w:hAnsi="Times New Roman"/>
        </w:rPr>
        <w:lastRenderedPageBreak/>
        <w:t>要知說</w:t>
      </w:r>
      <w:r w:rsidRPr="00523F45">
        <w:rPr>
          <w:rFonts w:ascii="Times New Roman" w:hAnsi="Times New Roman"/>
          <w:b/>
          <w:u w:val="wave" w:color="C00000"/>
        </w:rPr>
        <w:t>非有非空</w:t>
      </w:r>
      <w:r w:rsidRPr="00DA3BC7">
        <w:rPr>
          <w:rFonts w:ascii="Times New Roman" w:hAnsi="Times New Roman"/>
        </w:rPr>
        <w:t>是</w:t>
      </w:r>
      <w:r w:rsidRPr="00523F45">
        <w:rPr>
          <w:rFonts w:ascii="Times New Roman" w:hAnsi="Times New Roman"/>
          <w:b/>
          <w:u w:val="wave" w:color="C00000"/>
        </w:rPr>
        <w:t>中道</w:t>
      </w:r>
      <w:r w:rsidRPr="00DA3BC7">
        <w:rPr>
          <w:rFonts w:ascii="Times New Roman" w:hAnsi="Times New Roman"/>
        </w:rPr>
        <w:t>，若從依言相待的說明說，</w:t>
      </w:r>
      <w:r w:rsidRPr="00523F45">
        <w:rPr>
          <w:rFonts w:ascii="Times New Roman" w:hAnsi="Times New Roman"/>
          <w:b/>
          <w:u w:val="wave" w:color="C00000"/>
        </w:rPr>
        <w:t>非有非空</w:t>
      </w:r>
      <w:r w:rsidRPr="00DA3BC7">
        <w:rPr>
          <w:rFonts w:ascii="Times New Roman" w:hAnsi="Times New Roman"/>
        </w:rPr>
        <w:t>何嘗不是</w:t>
      </w:r>
      <w:r w:rsidRPr="00523F45">
        <w:rPr>
          <w:rFonts w:ascii="Times New Roman" w:hAnsi="Times New Roman"/>
          <w:b/>
          <w:u w:val="wave" w:color="C00000"/>
        </w:rPr>
        <w:t>假名</w:t>
      </w:r>
      <w:r w:rsidRPr="00DA3BC7">
        <w:rPr>
          <w:rFonts w:ascii="Times New Roman" w:hAnsi="Times New Roman"/>
        </w:rPr>
        <w:t>？</w:t>
      </w:r>
    </w:p>
    <w:p w:rsidR="00AA120F" w:rsidRPr="00DA3BC7" w:rsidRDefault="00AA120F" w:rsidP="00AE3920">
      <w:pPr>
        <w:spacing w:beforeLines="20"/>
        <w:ind w:leftChars="150" w:left="360"/>
        <w:jc w:val="both"/>
        <w:rPr>
          <w:rFonts w:ascii="Times New Roman" w:hAnsi="Times New Roman"/>
        </w:rPr>
      </w:pPr>
      <w:r w:rsidRPr="00DA3BC7">
        <w:rPr>
          <w:rFonts w:ascii="Times New Roman" w:hAnsi="Times New Roman"/>
        </w:rPr>
        <w:t>若體悟</w:t>
      </w:r>
      <w:r w:rsidRPr="00523F45">
        <w:rPr>
          <w:rFonts w:ascii="Times New Roman" w:hAnsi="Times New Roman"/>
          <w:b/>
          <w:u w:val="wave" w:color="C00000"/>
        </w:rPr>
        <w:t>而有而空</w:t>
      </w:r>
      <w:r w:rsidRPr="00DA3BC7">
        <w:rPr>
          <w:rFonts w:ascii="Times New Roman" w:hAnsi="Times New Roman"/>
        </w:rPr>
        <w:t>，即於</w:t>
      </w:r>
      <w:r w:rsidRPr="00523F45">
        <w:rPr>
          <w:rFonts w:ascii="Times New Roman" w:hAnsi="Times New Roman"/>
          <w:b/>
          <w:u w:val="wave" w:color="C00000"/>
        </w:rPr>
        <w:t>有</w:t>
      </w:r>
      <w:r w:rsidRPr="004A60FD">
        <w:rPr>
          <w:rFonts w:ascii="Times New Roman" w:hAnsi="Times New Roman" w:hint="eastAsia"/>
          <w:b/>
        </w:rPr>
        <w:t>、</w:t>
      </w:r>
      <w:r w:rsidRPr="00523F45">
        <w:rPr>
          <w:rFonts w:ascii="Times New Roman" w:hAnsi="Times New Roman"/>
          <w:b/>
          <w:u w:val="wave" w:color="C00000"/>
        </w:rPr>
        <w:t>空</w:t>
      </w:r>
      <w:r w:rsidRPr="00DA3BC7">
        <w:rPr>
          <w:rFonts w:ascii="Times New Roman" w:hAnsi="Times New Roman"/>
        </w:rPr>
        <w:t>而徹見</w:t>
      </w:r>
      <w:r w:rsidRPr="004A60FD">
        <w:rPr>
          <w:rFonts w:ascii="Times New Roman" w:hAnsi="Times New Roman"/>
          <w:b/>
        </w:rPr>
        <w:t>實相</w:t>
      </w:r>
      <w:r w:rsidRPr="00DA3BC7">
        <w:rPr>
          <w:rFonts w:ascii="Times New Roman" w:hAnsi="Times New Roman"/>
        </w:rPr>
        <w:t>，</w:t>
      </w:r>
      <w:r w:rsidRPr="00523F45">
        <w:rPr>
          <w:rFonts w:ascii="Times New Roman" w:hAnsi="Times New Roman"/>
          <w:b/>
          <w:u w:val="wave" w:color="C00000"/>
        </w:rPr>
        <w:t>有</w:t>
      </w:r>
      <w:r w:rsidRPr="004A60FD">
        <w:rPr>
          <w:rFonts w:ascii="Times New Roman" w:hAnsi="Times New Roman" w:hint="eastAsia"/>
          <w:b/>
        </w:rPr>
        <w:t>、</w:t>
      </w:r>
      <w:r w:rsidRPr="00523F45">
        <w:rPr>
          <w:rFonts w:ascii="Times New Roman" w:hAnsi="Times New Roman"/>
          <w:b/>
          <w:u w:val="wave" w:color="C00000"/>
        </w:rPr>
        <w:t>空</w:t>
      </w:r>
      <w:r w:rsidRPr="00DA3BC7">
        <w:rPr>
          <w:rFonts w:ascii="Times New Roman" w:hAnsi="Times New Roman"/>
        </w:rPr>
        <w:t>又何嘗不是</w:t>
      </w:r>
      <w:r w:rsidRPr="00523F45">
        <w:rPr>
          <w:rFonts w:ascii="Times New Roman" w:hAnsi="Times New Roman"/>
          <w:b/>
          <w:u w:val="wave" w:color="C00000"/>
        </w:rPr>
        <w:t>中道</w:t>
      </w:r>
      <w:r w:rsidRPr="00DA3BC7">
        <w:rPr>
          <w:rFonts w:ascii="Times New Roman" w:hAnsi="Times New Roman"/>
        </w:rPr>
        <w:t>？</w:t>
      </w:r>
    </w:p>
    <w:p w:rsidR="004A60FD" w:rsidRDefault="00AA120F" w:rsidP="00AE3920">
      <w:pPr>
        <w:spacing w:beforeLines="20"/>
        <w:ind w:leftChars="150" w:left="360"/>
        <w:jc w:val="both"/>
        <w:rPr>
          <w:rFonts w:ascii="Times New Roman" w:hAnsi="Times New Roman"/>
        </w:rPr>
      </w:pPr>
      <w:r w:rsidRPr="00DA3BC7">
        <w:rPr>
          <w:rFonts w:ascii="Times New Roman" w:hAnsi="Times New Roman"/>
        </w:rPr>
        <w:t>嘉祥大師因此約體用而作如是說：</w:t>
      </w:r>
      <w:r w:rsidRPr="004A60FD">
        <w:rPr>
          <w:rFonts w:ascii="Times New Roman" w:hAnsi="Times New Roman"/>
        </w:rPr>
        <w:t>說</w:t>
      </w:r>
      <w:r w:rsidRPr="00DA3BC7">
        <w:rPr>
          <w:rFonts w:ascii="Times New Roman" w:hAnsi="Times New Roman"/>
          <w:b/>
        </w:rPr>
        <w:t>中道</w:t>
      </w:r>
      <w:r w:rsidRPr="004A60FD">
        <w:rPr>
          <w:rFonts w:ascii="Times New Roman" w:hAnsi="Times New Roman"/>
        </w:rPr>
        <w:t>時，</w:t>
      </w:r>
      <w:r w:rsidRPr="00523F45">
        <w:rPr>
          <w:rFonts w:ascii="Times New Roman" w:hAnsi="Times New Roman"/>
          <w:b/>
          <w:u w:val="wave" w:color="C00000"/>
        </w:rPr>
        <w:t>非有非空</w:t>
      </w:r>
      <w:r w:rsidRPr="004A60FD">
        <w:rPr>
          <w:rFonts w:ascii="Times New Roman" w:hAnsi="Times New Roman"/>
        </w:rPr>
        <w:t>是</w:t>
      </w:r>
      <w:r w:rsidRPr="00DA3BC7">
        <w:rPr>
          <w:rFonts w:ascii="Times New Roman" w:hAnsi="Times New Roman"/>
          <w:b/>
        </w:rPr>
        <w:t>體中，</w:t>
      </w:r>
      <w:r w:rsidRPr="00523F45">
        <w:rPr>
          <w:rFonts w:ascii="Times New Roman" w:hAnsi="Times New Roman"/>
          <w:b/>
          <w:u w:val="wave" w:color="C00000"/>
        </w:rPr>
        <w:t>而有而空</w:t>
      </w:r>
      <w:r w:rsidRPr="004A60FD">
        <w:rPr>
          <w:rFonts w:ascii="Times New Roman" w:hAnsi="Times New Roman"/>
        </w:rPr>
        <w:t>是</w:t>
      </w:r>
      <w:r w:rsidRPr="00DA3BC7">
        <w:rPr>
          <w:rFonts w:ascii="Times New Roman" w:hAnsi="Times New Roman"/>
          <w:b/>
        </w:rPr>
        <w:t>用中；</w:t>
      </w:r>
      <w:r w:rsidRPr="004A60FD">
        <w:rPr>
          <w:rFonts w:ascii="Times New Roman" w:hAnsi="Times New Roman"/>
        </w:rPr>
        <w:t>說</w:t>
      </w:r>
      <w:r w:rsidRPr="00DA3BC7">
        <w:rPr>
          <w:rFonts w:ascii="Times New Roman" w:hAnsi="Times New Roman"/>
          <w:b/>
        </w:rPr>
        <w:t>假名</w:t>
      </w:r>
      <w:r w:rsidRPr="004A60FD">
        <w:rPr>
          <w:rFonts w:ascii="Times New Roman" w:hAnsi="Times New Roman"/>
        </w:rPr>
        <w:t>時，</w:t>
      </w:r>
      <w:r w:rsidRPr="00523F45">
        <w:rPr>
          <w:rFonts w:ascii="Times New Roman" w:hAnsi="Times New Roman"/>
          <w:b/>
          <w:u w:val="wave" w:color="C00000"/>
        </w:rPr>
        <w:t>非有非空</w:t>
      </w:r>
      <w:r w:rsidRPr="004A60FD">
        <w:rPr>
          <w:rFonts w:ascii="Times New Roman" w:hAnsi="Times New Roman"/>
        </w:rPr>
        <w:t>是</w:t>
      </w:r>
      <w:r w:rsidRPr="00DA3BC7">
        <w:rPr>
          <w:rFonts w:ascii="Times New Roman" w:hAnsi="Times New Roman"/>
          <w:b/>
        </w:rPr>
        <w:t>體假，</w:t>
      </w:r>
      <w:r w:rsidRPr="00523F45">
        <w:rPr>
          <w:rFonts w:ascii="Times New Roman" w:hAnsi="Times New Roman"/>
          <w:b/>
          <w:u w:val="wave" w:color="C00000"/>
        </w:rPr>
        <w:t>而有而空</w:t>
      </w:r>
      <w:r w:rsidRPr="004A60FD">
        <w:rPr>
          <w:rFonts w:ascii="Times New Roman" w:hAnsi="Times New Roman"/>
        </w:rPr>
        <w:t>是</w:t>
      </w:r>
      <w:r w:rsidRPr="00DA3BC7">
        <w:rPr>
          <w:rFonts w:ascii="Times New Roman" w:hAnsi="Times New Roman"/>
          <w:b/>
        </w:rPr>
        <w:t>用假</w:t>
      </w:r>
      <w:r w:rsidRPr="004A60FD">
        <w:rPr>
          <w:rFonts w:ascii="Times New Roman" w:hAnsi="Times New Roman"/>
        </w:rPr>
        <w:t>。</w:t>
      </w:r>
      <w:r w:rsidRPr="00DA3BC7">
        <w:rPr>
          <w:rStyle w:val="a6"/>
          <w:rFonts w:ascii="Times New Roman" w:hAnsi="Times New Roman"/>
        </w:rPr>
        <w:footnoteReference w:id="995"/>
      </w:r>
    </w:p>
    <w:p w:rsidR="00AA120F" w:rsidRPr="00DA3BC7" w:rsidRDefault="00AA120F" w:rsidP="00DF3C67">
      <w:pPr>
        <w:ind w:leftChars="150" w:left="360"/>
        <w:jc w:val="both"/>
        <w:rPr>
          <w:rFonts w:ascii="Times New Roman" w:hAnsi="Times New Roman"/>
        </w:rPr>
      </w:pPr>
      <w:r w:rsidRPr="00DA3BC7">
        <w:rPr>
          <w:rFonts w:ascii="Times New Roman" w:hAnsi="Times New Roman"/>
        </w:rPr>
        <w:t>但這也不過為了引導學人作如此說，若肯定執著</w:t>
      </w:r>
      <w:r w:rsidRPr="00523F45">
        <w:rPr>
          <w:rFonts w:ascii="Times New Roman" w:hAnsi="Times New Roman"/>
          <w:b/>
          <w:u w:val="wave" w:color="C00000"/>
        </w:rPr>
        <w:t>非有非空</w:t>
      </w:r>
      <w:r w:rsidRPr="00DA3BC7">
        <w:rPr>
          <w:rFonts w:ascii="Times New Roman" w:hAnsi="Times New Roman"/>
        </w:rPr>
        <w:t>為體</w:t>
      </w:r>
      <w:r w:rsidR="004A60FD" w:rsidRPr="004A60FD">
        <w:rPr>
          <w:rFonts w:ascii="Times New Roman" w:hAnsi="Times New Roman" w:hint="eastAsia"/>
          <w:color w:val="FF0000"/>
          <w:shd w:val="pct15" w:color="auto" w:fill="FFFFFF"/>
        </w:rPr>
        <w:t>、</w:t>
      </w:r>
      <w:r w:rsidRPr="00523F45">
        <w:rPr>
          <w:rFonts w:ascii="Times New Roman" w:hAnsi="Times New Roman"/>
          <w:b/>
          <w:u w:val="wave" w:color="C00000"/>
        </w:rPr>
        <w:t>而有而空</w:t>
      </w:r>
      <w:r w:rsidRPr="00DA3BC7">
        <w:rPr>
          <w:rFonts w:ascii="Times New Roman" w:hAnsi="Times New Roman"/>
        </w:rPr>
        <w:t>為用，也決非三論者的本意。</w:t>
      </w:r>
    </w:p>
    <w:p w:rsidR="00AA120F" w:rsidRPr="00DA3BC7" w:rsidRDefault="004A60FD" w:rsidP="00AE3920">
      <w:pPr>
        <w:spacing w:beforeLines="30"/>
        <w:ind w:leftChars="150" w:left="360"/>
        <w:jc w:val="both"/>
        <w:rPr>
          <w:rFonts w:ascii="Times New Roman" w:eastAsia="SimSun" w:hAnsi="Times New Roman"/>
          <w:b/>
          <w:sz w:val="20"/>
          <w:szCs w:val="20"/>
          <w:bdr w:val="single" w:sz="4" w:space="0" w:color="auto"/>
        </w:rPr>
      </w:pPr>
      <w:r w:rsidRPr="004A60FD">
        <w:rPr>
          <w:rFonts w:ascii="Times New Roman" w:hAnsi="Times New Roman" w:hint="eastAsia"/>
          <w:b/>
          <w:color w:val="FF0000"/>
          <w:sz w:val="20"/>
          <w:szCs w:val="20"/>
          <w:highlight w:val="yellow"/>
          <w:bdr w:val="single" w:sz="4" w:space="0" w:color="auto"/>
        </w:rPr>
        <w:t>（三）總結成</w:t>
      </w:r>
      <w:r w:rsidR="00AA120F" w:rsidRPr="00DA3BC7">
        <w:rPr>
          <w:rFonts w:ascii="Times New Roman" w:hAnsi="Times New Roman"/>
          <w:sz w:val="20"/>
          <w:szCs w:val="20"/>
        </w:rPr>
        <w:t>（</w:t>
      </w:r>
      <w:r w:rsidR="00AA120F" w:rsidRPr="00DA3BC7">
        <w:rPr>
          <w:rFonts w:ascii="Times New Roman" w:hAnsi="Times New Roman"/>
          <w:sz w:val="20"/>
          <w:szCs w:val="20"/>
        </w:rPr>
        <w:t>pp.228-229</w:t>
      </w:r>
      <w:r w:rsidR="00AA120F" w:rsidRPr="00DA3BC7">
        <w:rPr>
          <w:rFonts w:ascii="Times New Roman" w:hAnsi="Times New Roman"/>
          <w:sz w:val="20"/>
          <w:szCs w:val="20"/>
        </w:rPr>
        <w:t>）</w:t>
      </w:r>
    </w:p>
    <w:p w:rsidR="00AA120F" w:rsidRPr="00DA3BC7" w:rsidRDefault="00AA120F" w:rsidP="00AE3920">
      <w:pPr>
        <w:spacing w:afterLines="30"/>
        <w:ind w:leftChars="150" w:left="360"/>
        <w:jc w:val="both"/>
        <w:rPr>
          <w:rFonts w:ascii="Times New Roman" w:hAnsi="Times New Roman"/>
        </w:rPr>
        <w:sectPr w:rsidR="00AA120F" w:rsidRPr="00DA3BC7" w:rsidSect="004F4714">
          <w:headerReference w:type="default" r:id="rId65"/>
          <w:footnotePr>
            <w:numRestart w:val="eachSect"/>
          </w:footnotePr>
          <w:pgSz w:w="10773" w:h="14742" w:code="155"/>
          <w:pgMar w:top="1418" w:right="1418" w:bottom="1418" w:left="1418" w:header="851" w:footer="992" w:gutter="0"/>
          <w:cols w:space="425"/>
          <w:docGrid w:type="lines" w:linePitch="360"/>
        </w:sectPr>
      </w:pPr>
      <w:r w:rsidRPr="00DA3BC7">
        <w:rPr>
          <w:rFonts w:ascii="Times New Roman" w:hAnsi="Times New Roman"/>
        </w:rPr>
        <w:t>總之，三論宗是即俗而真，重在超越而遠離一切見執的，這應該也就是佛法體證的重心了</w:t>
      </w:r>
      <w:r w:rsidRPr="00DA3BC7">
        <w:rPr>
          <w:rFonts w:ascii="Times New Roman" w:hAnsi="Times New Roman" w:hint="eastAsia"/>
        </w:rPr>
        <w:t>！</w:t>
      </w:r>
    </w:p>
    <w:p w:rsidR="00AA120F" w:rsidRPr="00DA3BC7" w:rsidRDefault="00AA120F" w:rsidP="008E2BBC">
      <w:pPr>
        <w:pStyle w:val="1"/>
      </w:pPr>
      <w:bookmarkStart w:id="133" w:name="_Toc405499803"/>
      <w:r w:rsidRPr="00DA3BC7">
        <w:lastRenderedPageBreak/>
        <w:t>第十一章、中道之實踐</w:t>
      </w:r>
      <w:bookmarkEnd w:id="133"/>
    </w:p>
    <w:p w:rsidR="00AA120F" w:rsidRPr="00DA3BC7" w:rsidRDefault="00AA120F" w:rsidP="008E2BBC">
      <w:pPr>
        <w:pStyle w:val="2"/>
      </w:pPr>
      <w:bookmarkStart w:id="134" w:name="_Toc405499804"/>
      <w:r w:rsidRPr="00DA3BC7">
        <w:t>第一節、頓漸與偏圓</w:t>
      </w:r>
      <w:bookmarkEnd w:id="134"/>
    </w:p>
    <w:p w:rsidR="00AA120F" w:rsidRPr="00DA3BC7" w:rsidRDefault="00AA120F" w:rsidP="008E2BBC">
      <w:pPr>
        <w:widowControl/>
        <w:jc w:val="center"/>
        <w:rPr>
          <w:rFonts w:ascii="Times New Roman" w:eastAsia="標楷體" w:hAnsi="Times New Roman"/>
          <w:bCs/>
        </w:rPr>
      </w:pPr>
      <w:r w:rsidRPr="00DA3BC7">
        <w:rPr>
          <w:rFonts w:ascii="Times New Roman" w:hAnsi="Times New Roman"/>
          <w:bCs/>
        </w:rPr>
        <w:t>（</w:t>
      </w:r>
      <w:r w:rsidRPr="00DA3BC7">
        <w:rPr>
          <w:rFonts w:ascii="Times New Roman" w:hAnsi="Times New Roman"/>
          <w:bCs/>
        </w:rPr>
        <w:t>pp.231-237</w:t>
      </w:r>
      <w:r w:rsidRPr="00DA3BC7">
        <w:rPr>
          <w:rFonts w:ascii="Times New Roman" w:hAnsi="Times New Roman"/>
          <w:bCs/>
        </w:rPr>
        <w:t>）</w:t>
      </w:r>
    </w:p>
    <w:p w:rsidR="00AA120F" w:rsidRPr="00DA3BC7" w:rsidRDefault="00AA120F" w:rsidP="008E2BBC">
      <w:pPr>
        <w:pStyle w:val="Author"/>
      </w:pPr>
    </w:p>
    <w:p w:rsidR="00AA120F" w:rsidRPr="00DA3BC7" w:rsidRDefault="00AA120F" w:rsidP="00AE3920">
      <w:pPr>
        <w:spacing w:beforeLines="50"/>
        <w:jc w:val="both"/>
        <w:rPr>
          <w:rFonts w:ascii="Times New Roman" w:hAnsi="Times New Roman"/>
          <w:b/>
          <w:sz w:val="20"/>
          <w:szCs w:val="20"/>
          <w:bdr w:val="single" w:sz="4" w:space="0" w:color="auto"/>
        </w:rPr>
      </w:pPr>
      <w:r w:rsidRPr="00DA3BC7">
        <w:rPr>
          <w:rFonts w:ascii="Times New Roman" w:hAnsi="Times New Roman" w:hint="eastAsia"/>
          <w:b/>
          <w:sz w:val="20"/>
          <w:szCs w:val="20"/>
          <w:bdr w:val="single" w:sz="4" w:space="0" w:color="auto"/>
        </w:rPr>
        <w:t>壹</w:t>
      </w:r>
      <w:r w:rsidRPr="00DA3BC7">
        <w:rPr>
          <w:rFonts w:ascii="Times New Roman" w:hAnsi="Times New Roman"/>
          <w:b/>
          <w:sz w:val="20"/>
          <w:szCs w:val="20"/>
          <w:bdr w:val="single" w:sz="4" w:space="0" w:color="auto"/>
        </w:rPr>
        <w:t>、</w:t>
      </w:r>
      <w:r w:rsidR="009B709F">
        <w:rPr>
          <w:rFonts w:ascii="Times New Roman" w:hAnsi="Times New Roman" w:hint="eastAsia"/>
          <w:b/>
          <w:color w:val="FF0000"/>
          <w:sz w:val="20"/>
          <w:szCs w:val="20"/>
          <w:highlight w:val="yellow"/>
          <w:bdr w:val="single" w:sz="4" w:space="0" w:color="auto"/>
        </w:rPr>
        <w:t>導</w:t>
      </w:r>
      <w:r w:rsidR="00D14EF3">
        <w:rPr>
          <w:rFonts w:ascii="Times New Roman" w:hAnsi="Times New Roman" w:hint="eastAsia"/>
          <w:b/>
          <w:color w:val="FF0000"/>
          <w:sz w:val="20"/>
          <w:szCs w:val="20"/>
          <w:highlight w:val="yellow"/>
          <w:bdr w:val="single" w:sz="4" w:space="0" w:color="auto"/>
        </w:rPr>
        <w:t>言</w:t>
      </w:r>
      <w:r w:rsidRPr="00DA3BC7">
        <w:rPr>
          <w:rFonts w:ascii="Times New Roman" w:hAnsi="Times New Roman"/>
          <w:sz w:val="20"/>
        </w:rPr>
        <w:t>（</w:t>
      </w:r>
      <w:r w:rsidRPr="00DA3BC7">
        <w:rPr>
          <w:rFonts w:ascii="Times New Roman" w:hAnsi="Times New Roman"/>
          <w:sz w:val="20"/>
        </w:rPr>
        <w:t>p.231</w:t>
      </w:r>
      <w:r w:rsidRPr="00DA3BC7">
        <w:rPr>
          <w:rFonts w:ascii="Times New Roman" w:hAnsi="Times New Roman"/>
          <w:sz w:val="20"/>
        </w:rPr>
        <w:t>）</w:t>
      </w:r>
    </w:p>
    <w:p w:rsidR="00AA120F" w:rsidRPr="00DA3BC7" w:rsidRDefault="00AA120F" w:rsidP="008E2BBC">
      <w:pPr>
        <w:widowControl/>
        <w:jc w:val="both"/>
        <w:rPr>
          <w:rFonts w:ascii="Times New Roman" w:hAnsi="Times New Roman"/>
        </w:rPr>
      </w:pPr>
      <w:r w:rsidRPr="00DA3BC7">
        <w:rPr>
          <w:rFonts w:ascii="Times New Roman" w:hAnsi="Times New Roman"/>
        </w:rPr>
        <w:t>論到</w:t>
      </w:r>
      <w:r w:rsidRPr="00DA3BC7">
        <w:rPr>
          <w:rFonts w:ascii="Times New Roman" w:hAnsi="Times New Roman"/>
          <w:b/>
        </w:rPr>
        <w:t>證悟</w:t>
      </w:r>
      <w:r w:rsidRPr="00DA3BC7">
        <w:rPr>
          <w:rFonts w:ascii="Times New Roman" w:hAnsi="Times New Roman"/>
        </w:rPr>
        <w:t>，有</w:t>
      </w:r>
      <w:r w:rsidRPr="00DA3BC7">
        <w:rPr>
          <w:rFonts w:ascii="Times New Roman" w:hAnsi="Times New Roman"/>
          <w:b/>
        </w:rPr>
        <w:t>偏真</w:t>
      </w:r>
      <w:r w:rsidRPr="00DA3BC7">
        <w:rPr>
          <w:rFonts w:ascii="Times New Roman" w:hAnsi="Times New Roman"/>
        </w:rPr>
        <w:t>與</w:t>
      </w:r>
      <w:r w:rsidRPr="00DA3BC7">
        <w:rPr>
          <w:rFonts w:ascii="Times New Roman" w:hAnsi="Times New Roman"/>
          <w:b/>
        </w:rPr>
        <w:t>圓中</w:t>
      </w:r>
      <w:r w:rsidRPr="00DA3BC7">
        <w:rPr>
          <w:rFonts w:ascii="Times New Roman" w:hAnsi="Times New Roman"/>
        </w:rPr>
        <w:t>之分。</w:t>
      </w:r>
    </w:p>
    <w:p w:rsidR="00AA120F" w:rsidRPr="00DA3BC7" w:rsidRDefault="00AA120F" w:rsidP="008E2BBC">
      <w:pPr>
        <w:widowControl/>
        <w:jc w:val="both"/>
        <w:rPr>
          <w:rFonts w:ascii="Times New Roman" w:hAnsi="Times New Roman"/>
        </w:rPr>
      </w:pPr>
      <w:r w:rsidRPr="00DA3BC7">
        <w:rPr>
          <w:rFonts w:ascii="Times New Roman" w:hAnsi="Times New Roman"/>
        </w:rPr>
        <w:t>在學習的過程中，論</w:t>
      </w:r>
      <w:r w:rsidRPr="00DA3BC7">
        <w:rPr>
          <w:rFonts w:ascii="Times New Roman" w:hAnsi="Times New Roman"/>
          <w:b/>
        </w:rPr>
        <w:t>根機</w:t>
      </w:r>
      <w:r w:rsidRPr="00DA3BC7">
        <w:rPr>
          <w:rFonts w:ascii="Times New Roman" w:hAnsi="Times New Roman"/>
        </w:rPr>
        <w:t>，有</w:t>
      </w:r>
      <w:r w:rsidRPr="00DA3BC7">
        <w:rPr>
          <w:rFonts w:ascii="Times New Roman" w:hAnsi="Times New Roman"/>
          <w:b/>
        </w:rPr>
        <w:t>鈍根</w:t>
      </w:r>
      <w:r w:rsidRPr="00DA3BC7">
        <w:rPr>
          <w:rFonts w:ascii="Times New Roman" w:hAnsi="Times New Roman"/>
        </w:rPr>
        <w:t>與</w:t>
      </w:r>
      <w:r w:rsidRPr="00DA3BC7">
        <w:rPr>
          <w:rFonts w:ascii="Times New Roman" w:hAnsi="Times New Roman"/>
          <w:b/>
        </w:rPr>
        <w:t>利根</w:t>
      </w:r>
      <w:r w:rsidRPr="00DA3BC7">
        <w:rPr>
          <w:rFonts w:ascii="Times New Roman" w:hAnsi="Times New Roman"/>
        </w:rPr>
        <w:t>；</w:t>
      </w:r>
    </w:p>
    <w:p w:rsidR="00AA120F" w:rsidRPr="00DA3BC7" w:rsidRDefault="00AA120F" w:rsidP="008E2BBC">
      <w:pPr>
        <w:widowControl/>
        <w:jc w:val="both"/>
        <w:rPr>
          <w:rFonts w:ascii="Times New Roman" w:hAnsi="Times New Roman"/>
        </w:rPr>
      </w:pPr>
      <w:r w:rsidRPr="00DA3BC7">
        <w:rPr>
          <w:rFonts w:ascii="Times New Roman" w:hAnsi="Times New Roman"/>
        </w:rPr>
        <w:t>論</w:t>
      </w:r>
      <w:r w:rsidRPr="00DA3BC7">
        <w:rPr>
          <w:rFonts w:ascii="Times New Roman" w:hAnsi="Times New Roman"/>
          <w:b/>
        </w:rPr>
        <w:t>悟證</w:t>
      </w:r>
      <w:r w:rsidRPr="00DA3BC7">
        <w:rPr>
          <w:rFonts w:ascii="Times New Roman" w:hAnsi="Times New Roman"/>
        </w:rPr>
        <w:t>，有</w:t>
      </w:r>
      <w:r w:rsidRPr="00DA3BC7">
        <w:rPr>
          <w:rFonts w:ascii="Times New Roman" w:hAnsi="Times New Roman"/>
          <w:b/>
        </w:rPr>
        <w:t>頓悟</w:t>
      </w:r>
      <w:r w:rsidRPr="00DA3BC7">
        <w:rPr>
          <w:rFonts w:ascii="Times New Roman" w:hAnsi="Times New Roman"/>
        </w:rPr>
        <w:t>與</w:t>
      </w:r>
      <w:r w:rsidRPr="00DA3BC7">
        <w:rPr>
          <w:rFonts w:ascii="Times New Roman" w:hAnsi="Times New Roman"/>
          <w:b/>
        </w:rPr>
        <w:t>漸悟</w:t>
      </w:r>
      <w:r w:rsidRPr="00DA3BC7">
        <w:rPr>
          <w:rFonts w:ascii="Times New Roman" w:hAnsi="Times New Roman"/>
        </w:rPr>
        <w:t>。</w:t>
      </w:r>
    </w:p>
    <w:p w:rsidR="00AA120F" w:rsidRPr="00DA3BC7" w:rsidRDefault="00AA120F" w:rsidP="008E2BBC">
      <w:pPr>
        <w:widowControl/>
        <w:jc w:val="both"/>
        <w:rPr>
          <w:rFonts w:ascii="Times New Roman" w:hAnsi="Times New Roman"/>
        </w:rPr>
      </w:pPr>
      <w:r w:rsidRPr="00DA3BC7">
        <w:rPr>
          <w:rFonts w:ascii="Times New Roman" w:hAnsi="Times New Roman"/>
          <w:b/>
        </w:rPr>
        <w:t>頓漸</w:t>
      </w:r>
      <w:r w:rsidRPr="00DA3BC7">
        <w:rPr>
          <w:rFonts w:ascii="Times New Roman" w:hAnsi="Times New Roman"/>
        </w:rPr>
        <w:t>與</w:t>
      </w:r>
      <w:r w:rsidRPr="00DA3BC7">
        <w:rPr>
          <w:rFonts w:ascii="Times New Roman" w:hAnsi="Times New Roman"/>
          <w:b/>
        </w:rPr>
        <w:t>偏圓</w:t>
      </w:r>
      <w:r w:rsidRPr="00DA3BC7">
        <w:rPr>
          <w:rFonts w:ascii="Times New Roman" w:hAnsi="Times New Roman"/>
        </w:rPr>
        <w:t>，是有關聯性的，今且綜合的說明。</w:t>
      </w:r>
    </w:p>
    <w:p w:rsidR="00AA120F" w:rsidRPr="00DA3BC7" w:rsidRDefault="00AA120F" w:rsidP="00AE3920">
      <w:pPr>
        <w:widowControl/>
        <w:spacing w:beforeLines="30"/>
        <w:jc w:val="both"/>
        <w:rPr>
          <w:rFonts w:ascii="Times New Roman" w:hAnsi="Times New Roman"/>
          <w:b/>
          <w:sz w:val="20"/>
          <w:szCs w:val="20"/>
          <w:bdr w:val="single" w:sz="4" w:space="0" w:color="auto"/>
        </w:rPr>
      </w:pPr>
      <w:r w:rsidRPr="00D14EF3">
        <w:rPr>
          <w:rFonts w:ascii="Times New Roman" w:hAnsi="Times New Roman" w:hint="eastAsia"/>
          <w:b/>
          <w:color w:val="FF0000"/>
          <w:sz w:val="20"/>
          <w:szCs w:val="20"/>
          <w:highlight w:val="yellow"/>
          <w:bdr w:val="single" w:sz="4" w:space="0" w:color="auto"/>
        </w:rPr>
        <w:t>貳</w:t>
      </w:r>
      <w:r w:rsidRPr="00D14EF3">
        <w:rPr>
          <w:rFonts w:ascii="Times New Roman" w:hAnsi="Times New Roman"/>
          <w:b/>
          <w:color w:val="FF0000"/>
          <w:sz w:val="20"/>
          <w:szCs w:val="20"/>
          <w:highlight w:val="yellow"/>
          <w:bdr w:val="single" w:sz="4" w:space="0" w:color="auto"/>
        </w:rPr>
        <w:t>、</w:t>
      </w:r>
      <w:r w:rsidR="00D14EF3" w:rsidRPr="00D14EF3">
        <w:rPr>
          <w:rFonts w:ascii="Times New Roman" w:hAnsi="Times New Roman" w:hint="eastAsia"/>
          <w:b/>
          <w:color w:val="FF0000"/>
          <w:sz w:val="20"/>
          <w:szCs w:val="20"/>
          <w:highlight w:val="yellow"/>
          <w:bdr w:val="single" w:sz="4" w:space="0" w:color="auto"/>
        </w:rPr>
        <w:t>正明</w:t>
      </w:r>
      <w:r w:rsidRPr="00DA3BC7">
        <w:rPr>
          <w:rFonts w:ascii="Times New Roman" w:hAnsi="Times New Roman"/>
          <w:sz w:val="20"/>
        </w:rPr>
        <w:t>（</w:t>
      </w:r>
      <w:r w:rsidRPr="00DA3BC7">
        <w:rPr>
          <w:rFonts w:ascii="Times New Roman" w:hAnsi="Times New Roman"/>
          <w:sz w:val="20"/>
        </w:rPr>
        <w:t>pp.231-23</w:t>
      </w:r>
      <w:r w:rsidR="00D14EF3">
        <w:rPr>
          <w:rFonts w:ascii="Times New Roman" w:hAnsi="Times New Roman" w:hint="eastAsia"/>
          <w:sz w:val="20"/>
        </w:rPr>
        <w:t>7</w:t>
      </w:r>
      <w:r w:rsidRPr="00DA3BC7">
        <w:rPr>
          <w:rFonts w:ascii="Times New Roman" w:hAnsi="Times New Roman"/>
          <w:sz w:val="20"/>
        </w:rPr>
        <w:t>）</w:t>
      </w:r>
    </w:p>
    <w:p w:rsidR="00D14EF3" w:rsidRDefault="00D14EF3" w:rsidP="008E2BBC">
      <w:pPr>
        <w:ind w:leftChars="50" w:left="120"/>
        <w:jc w:val="both"/>
        <w:rPr>
          <w:rFonts w:ascii="新細明體" w:hAnsi="新細明體"/>
          <w:b/>
          <w:color w:val="FF0000"/>
          <w:sz w:val="20"/>
          <w:szCs w:val="20"/>
          <w:bdr w:val="single" w:sz="4" w:space="0" w:color="auto"/>
        </w:rPr>
      </w:pPr>
      <w:r w:rsidRPr="00D14EF3">
        <w:rPr>
          <w:rFonts w:ascii="Times New Roman" w:hAnsi="Times New Roman"/>
          <w:b/>
          <w:color w:val="FF0000"/>
          <w:sz w:val="20"/>
          <w:szCs w:val="20"/>
          <w:highlight w:val="yellow"/>
          <w:bdr w:val="single" w:sz="4" w:space="0" w:color="auto"/>
        </w:rPr>
        <w:t>（壹）</w:t>
      </w:r>
      <w:r w:rsidRPr="00D14EF3">
        <w:rPr>
          <w:rFonts w:ascii="Times New Roman" w:hAnsi="Times New Roman" w:hint="eastAsia"/>
          <w:b/>
          <w:color w:val="FF0000"/>
          <w:sz w:val="20"/>
          <w:szCs w:val="20"/>
          <w:highlight w:val="yellow"/>
          <w:bdr w:val="single" w:sz="4" w:space="0" w:color="auto"/>
        </w:rPr>
        <w:t>修</w:t>
      </w:r>
      <w:r w:rsidRPr="00D14EF3">
        <w:rPr>
          <w:rFonts w:ascii="新細明體" w:hAnsi="新細明體" w:hint="eastAsia"/>
          <w:b/>
          <w:color w:val="FF0000"/>
          <w:sz w:val="20"/>
          <w:szCs w:val="20"/>
          <w:highlight w:val="yellow"/>
          <w:bdr w:val="single" w:sz="4" w:space="0" w:color="auto"/>
        </w:rPr>
        <w:t>證的類別及階段</w:t>
      </w:r>
      <w:r w:rsidRPr="00DA3BC7">
        <w:rPr>
          <w:rFonts w:ascii="Times New Roman" w:hAnsi="Times New Roman"/>
          <w:sz w:val="20"/>
        </w:rPr>
        <w:t>（</w:t>
      </w:r>
      <w:r w:rsidRPr="00DA3BC7">
        <w:rPr>
          <w:rFonts w:ascii="Times New Roman" w:hAnsi="Times New Roman"/>
          <w:sz w:val="20"/>
        </w:rPr>
        <w:t>pp.231-23</w:t>
      </w:r>
      <w:r w:rsidRPr="00DA3BC7">
        <w:rPr>
          <w:rFonts w:ascii="Times New Roman" w:hAnsi="Times New Roman" w:hint="eastAsia"/>
          <w:sz w:val="20"/>
        </w:rPr>
        <w:t>3</w:t>
      </w:r>
      <w:r w:rsidRPr="00DA3BC7">
        <w:rPr>
          <w:rFonts w:ascii="Times New Roman" w:hAnsi="Times New Roman"/>
          <w:sz w:val="20"/>
        </w:rPr>
        <w:t>）</w:t>
      </w:r>
    </w:p>
    <w:p w:rsidR="00AA120F" w:rsidRPr="00DA3BC7" w:rsidRDefault="00D14EF3" w:rsidP="00E6656D">
      <w:pPr>
        <w:ind w:leftChars="100" w:left="240"/>
        <w:jc w:val="both"/>
        <w:rPr>
          <w:rFonts w:ascii="Times New Roman" w:hAnsi="Times New Roman"/>
          <w:sz w:val="20"/>
        </w:rPr>
      </w:pPr>
      <w:r w:rsidRPr="00D14EF3">
        <w:rPr>
          <w:rFonts w:ascii="Times New Roman" w:hAnsi="Times New Roman"/>
          <w:b/>
          <w:color w:val="FF0000"/>
          <w:sz w:val="20"/>
          <w:szCs w:val="20"/>
          <w:highlight w:val="yellow"/>
          <w:bdr w:val="single" w:sz="4" w:space="0" w:color="auto"/>
        </w:rPr>
        <w:t>一、</w:t>
      </w:r>
      <w:r w:rsidR="00AA120F" w:rsidRPr="00DA3BC7">
        <w:rPr>
          <w:rFonts w:ascii="Times New Roman" w:hAnsi="Times New Roman"/>
          <w:b/>
          <w:sz w:val="20"/>
          <w:szCs w:val="20"/>
          <w:bdr w:val="single" w:sz="4" w:space="0" w:color="auto"/>
        </w:rPr>
        <w:t>中國佛教界所稱頌的證</w:t>
      </w:r>
      <w:r w:rsidR="00AA120F" w:rsidRPr="00D14EF3">
        <w:rPr>
          <w:rFonts w:ascii="Times New Roman" w:hAnsi="Times New Roman"/>
          <w:b/>
          <w:sz w:val="20"/>
          <w:szCs w:val="20"/>
          <w:highlight w:val="yellow"/>
          <w:bdr w:val="single" w:sz="4" w:space="0" w:color="auto"/>
        </w:rPr>
        <w:t>悟</w:t>
      </w:r>
      <w:r w:rsidR="00AA120F" w:rsidRPr="00DA3BC7">
        <w:rPr>
          <w:rFonts w:ascii="Times New Roman" w:hAnsi="Times New Roman"/>
          <w:sz w:val="20"/>
        </w:rPr>
        <w:t>（</w:t>
      </w:r>
      <w:r w:rsidR="00AA120F" w:rsidRPr="00DA3BC7">
        <w:rPr>
          <w:rFonts w:ascii="Times New Roman" w:hAnsi="Times New Roman"/>
          <w:sz w:val="20"/>
        </w:rPr>
        <w:t>p.231</w:t>
      </w:r>
      <w:r w:rsidR="00AA120F" w:rsidRPr="00DA3BC7">
        <w:rPr>
          <w:rFonts w:ascii="Times New Roman" w:hAnsi="Times New Roman"/>
          <w:sz w:val="20"/>
        </w:rPr>
        <w:t>）</w:t>
      </w:r>
    </w:p>
    <w:p w:rsidR="00E6656D" w:rsidRDefault="00D14EF3" w:rsidP="00E6656D">
      <w:pPr>
        <w:widowControl/>
        <w:ind w:leftChars="150" w:left="360"/>
        <w:jc w:val="both"/>
        <w:rPr>
          <w:rFonts w:ascii="Times New Roman" w:hAnsi="Times New Roman"/>
          <w:sz w:val="20"/>
        </w:rPr>
      </w:pPr>
      <w:r w:rsidRPr="00D14EF3">
        <w:rPr>
          <w:rFonts w:ascii="Times New Roman" w:hAnsi="Times New Roman"/>
          <w:b/>
          <w:color w:val="FF0000"/>
          <w:sz w:val="20"/>
          <w:szCs w:val="20"/>
          <w:highlight w:val="yellow"/>
          <w:bdr w:val="single" w:sz="4" w:space="0" w:color="auto"/>
        </w:rPr>
        <w:t>（一）</w:t>
      </w:r>
      <w:r w:rsidR="00AA120F" w:rsidRPr="00DA3BC7">
        <w:rPr>
          <w:rFonts w:ascii="Times New Roman" w:hAnsi="Times New Roman"/>
          <w:b/>
          <w:sz w:val="20"/>
          <w:szCs w:val="20"/>
          <w:bdr w:val="single" w:sz="4" w:space="0" w:color="auto"/>
        </w:rPr>
        <w:t>略標</w:t>
      </w:r>
      <w:r w:rsidR="00AA120F" w:rsidRPr="00DA3BC7">
        <w:rPr>
          <w:rFonts w:ascii="Times New Roman" w:hAnsi="Times New Roman"/>
          <w:sz w:val="20"/>
        </w:rPr>
        <w:t>（</w:t>
      </w:r>
      <w:r w:rsidR="00AA120F" w:rsidRPr="00DA3BC7">
        <w:rPr>
          <w:rFonts w:ascii="Times New Roman" w:hAnsi="Times New Roman"/>
          <w:sz w:val="20"/>
        </w:rPr>
        <w:t>p.231</w:t>
      </w:r>
      <w:r w:rsidR="00AA120F" w:rsidRPr="00DA3BC7">
        <w:rPr>
          <w:rFonts w:ascii="Times New Roman" w:hAnsi="Times New Roman"/>
          <w:sz w:val="20"/>
        </w:rPr>
        <w:t>）</w:t>
      </w:r>
    </w:p>
    <w:p w:rsidR="00AA120F" w:rsidRPr="00DA3BC7" w:rsidRDefault="00AA120F" w:rsidP="00E6656D">
      <w:pPr>
        <w:widowControl/>
        <w:ind w:leftChars="150" w:left="360"/>
        <w:jc w:val="both"/>
        <w:rPr>
          <w:rFonts w:ascii="Times New Roman" w:hAnsi="Times New Roman"/>
          <w:spacing w:val="-6"/>
          <w:sz w:val="20"/>
          <w:szCs w:val="20"/>
          <w:bdr w:val="single" w:sz="4" w:space="0" w:color="auto"/>
        </w:rPr>
      </w:pPr>
      <w:r w:rsidRPr="00DA3BC7">
        <w:rPr>
          <w:rFonts w:ascii="Times New Roman" w:hAnsi="Times New Roman"/>
          <w:spacing w:val="-2"/>
        </w:rPr>
        <w:t>向來中國佛教界所稱頌</w:t>
      </w:r>
      <w:r w:rsidRPr="00DA3BC7">
        <w:rPr>
          <w:rFonts w:ascii="Times New Roman" w:hAnsi="Times New Roman"/>
          <w:spacing w:val="-2"/>
          <w:vertAlign w:val="superscript"/>
        </w:rPr>
        <w:footnoteReference w:id="996"/>
      </w:r>
      <w:r w:rsidRPr="00DA3BC7">
        <w:rPr>
          <w:rFonts w:ascii="Times New Roman" w:hAnsi="Times New Roman"/>
          <w:spacing w:val="-2"/>
        </w:rPr>
        <w:t>的證悟有</w:t>
      </w:r>
      <w:r w:rsidRPr="00DA3BC7">
        <w:rPr>
          <w:rFonts w:ascii="Times New Roman" w:hAnsi="Times New Roman"/>
          <w:spacing w:val="-12"/>
        </w:rPr>
        <w:t>二：（</w:t>
      </w:r>
      <w:r w:rsidRPr="00DA3BC7">
        <w:rPr>
          <w:rFonts w:ascii="Times New Roman" w:hAnsi="Times New Roman"/>
          <w:spacing w:val="-6"/>
        </w:rPr>
        <w:t>一</w:t>
      </w:r>
      <w:r w:rsidRPr="00DA3BC7">
        <w:rPr>
          <w:rFonts w:ascii="Times New Roman" w:hAnsi="Times New Roman"/>
          <w:spacing w:val="-12"/>
        </w:rPr>
        <w:t>）</w:t>
      </w:r>
      <w:r w:rsidRPr="00DA3BC7">
        <w:rPr>
          <w:rFonts w:ascii="Times New Roman" w:hAnsi="Times New Roman"/>
          <w:b/>
          <w:spacing w:val="-2"/>
        </w:rPr>
        <w:t>道生的頓</w:t>
      </w:r>
      <w:r w:rsidRPr="00DA3BC7">
        <w:rPr>
          <w:rFonts w:ascii="Times New Roman" w:hAnsi="Times New Roman"/>
          <w:b/>
          <w:spacing w:val="-6"/>
        </w:rPr>
        <w:t>悟</w:t>
      </w:r>
      <w:r w:rsidRPr="00DA3BC7">
        <w:rPr>
          <w:rFonts w:ascii="Times New Roman" w:hAnsi="Times New Roman"/>
          <w:spacing w:val="-12"/>
        </w:rPr>
        <w:t>，（</w:t>
      </w:r>
      <w:r w:rsidRPr="00DA3BC7">
        <w:rPr>
          <w:rFonts w:ascii="Times New Roman" w:hAnsi="Times New Roman"/>
          <w:spacing w:val="-6"/>
        </w:rPr>
        <w:t>二</w:t>
      </w:r>
      <w:r w:rsidRPr="00DA3BC7">
        <w:rPr>
          <w:rFonts w:ascii="Times New Roman" w:hAnsi="Times New Roman"/>
          <w:spacing w:val="-12"/>
        </w:rPr>
        <w:t>）</w:t>
      </w:r>
      <w:r w:rsidRPr="00DA3BC7">
        <w:rPr>
          <w:rFonts w:ascii="Times New Roman" w:hAnsi="Times New Roman"/>
          <w:b/>
          <w:spacing w:val="-2"/>
        </w:rPr>
        <w:t>禪宗的頓</w:t>
      </w:r>
      <w:r w:rsidRPr="00DA3BC7">
        <w:rPr>
          <w:rFonts w:ascii="Times New Roman" w:hAnsi="Times New Roman"/>
          <w:b/>
          <w:spacing w:val="-12"/>
        </w:rPr>
        <w:t>悟</w:t>
      </w:r>
      <w:r w:rsidRPr="00DA3BC7">
        <w:rPr>
          <w:rFonts w:ascii="Times New Roman" w:hAnsi="Times New Roman"/>
          <w:spacing w:val="-12"/>
        </w:rPr>
        <w:t>。</w:t>
      </w:r>
      <w:r w:rsidRPr="00DA3BC7">
        <w:rPr>
          <w:rFonts w:ascii="Times New Roman" w:hAnsi="Times New Roman"/>
          <w:spacing w:val="-6"/>
          <w:vertAlign w:val="superscript"/>
        </w:rPr>
        <w:footnoteReference w:id="997"/>
      </w:r>
    </w:p>
    <w:p w:rsidR="00AA120F" w:rsidRPr="00DA3BC7" w:rsidRDefault="00D14EF3" w:rsidP="00AE3920">
      <w:pPr>
        <w:widowControl/>
        <w:spacing w:beforeLines="30"/>
        <w:ind w:leftChars="150" w:left="360"/>
        <w:jc w:val="both"/>
        <w:rPr>
          <w:rFonts w:ascii="Times New Roman" w:hAnsi="Times New Roman"/>
          <w:b/>
          <w:sz w:val="20"/>
          <w:szCs w:val="20"/>
          <w:bdr w:val="single" w:sz="4" w:space="0" w:color="auto"/>
        </w:rPr>
      </w:pPr>
      <w:r w:rsidRPr="00D14EF3">
        <w:rPr>
          <w:rFonts w:ascii="Times New Roman" w:hAnsi="Times New Roman"/>
          <w:b/>
          <w:color w:val="FF0000"/>
          <w:sz w:val="20"/>
          <w:szCs w:val="20"/>
          <w:highlight w:val="yellow"/>
          <w:bdr w:val="single" w:sz="4" w:space="0" w:color="auto"/>
        </w:rPr>
        <w:t>（二）</w:t>
      </w:r>
      <w:r w:rsidR="00AA120F" w:rsidRPr="00DA3BC7">
        <w:rPr>
          <w:rFonts w:ascii="Times New Roman" w:hAnsi="Times New Roman"/>
          <w:b/>
          <w:sz w:val="20"/>
          <w:szCs w:val="20"/>
          <w:bdr w:val="single" w:sz="4" w:space="0" w:color="auto"/>
        </w:rPr>
        <w:t>別釋</w:t>
      </w:r>
      <w:r w:rsidR="00AA120F" w:rsidRPr="00DA3BC7">
        <w:rPr>
          <w:rFonts w:ascii="Times New Roman" w:hAnsi="Times New Roman"/>
          <w:sz w:val="20"/>
        </w:rPr>
        <w:t>（</w:t>
      </w:r>
      <w:r w:rsidR="00AA120F" w:rsidRPr="00DA3BC7">
        <w:rPr>
          <w:rFonts w:ascii="Times New Roman" w:hAnsi="Times New Roman"/>
          <w:sz w:val="20"/>
        </w:rPr>
        <w:t>pp.231-232</w:t>
      </w:r>
      <w:r w:rsidR="00AA120F" w:rsidRPr="00DA3BC7">
        <w:rPr>
          <w:rFonts w:ascii="Times New Roman" w:hAnsi="Times New Roman"/>
          <w:sz w:val="20"/>
        </w:rPr>
        <w:t>）</w:t>
      </w:r>
    </w:p>
    <w:p w:rsidR="00D14EF3" w:rsidRDefault="00D14EF3" w:rsidP="00E6656D">
      <w:pPr>
        <w:widowControl/>
        <w:ind w:leftChars="200" w:left="480"/>
        <w:jc w:val="both"/>
        <w:rPr>
          <w:rFonts w:ascii="Times New Roman" w:hAnsi="Times New Roman"/>
          <w:b/>
          <w:color w:val="FF0000"/>
          <w:sz w:val="20"/>
          <w:szCs w:val="20"/>
          <w:bdr w:val="single" w:sz="4" w:space="0" w:color="auto"/>
        </w:rPr>
      </w:pPr>
      <w:r w:rsidRPr="00D14EF3">
        <w:rPr>
          <w:rFonts w:ascii="Times New Roman" w:hAnsi="Times New Roman" w:hint="eastAsia"/>
          <w:b/>
          <w:color w:val="FF0000"/>
          <w:sz w:val="20"/>
          <w:szCs w:val="20"/>
          <w:highlight w:val="yellow"/>
          <w:bdr w:val="single" w:sz="4" w:space="0" w:color="auto"/>
        </w:rPr>
        <w:t>1</w:t>
      </w:r>
      <w:r w:rsidRPr="00D14EF3">
        <w:rPr>
          <w:rFonts w:ascii="Times New Roman" w:hAnsi="Times New Roman" w:hint="eastAsia"/>
          <w:b/>
          <w:color w:val="FF0000"/>
          <w:sz w:val="20"/>
          <w:szCs w:val="20"/>
          <w:highlight w:val="yellow"/>
          <w:bdr w:val="single" w:sz="4" w:space="0" w:color="auto"/>
        </w:rPr>
        <w:t>、明兩家之宗</w:t>
      </w:r>
      <w:r w:rsidRPr="00DA3BC7">
        <w:rPr>
          <w:rFonts w:ascii="Times New Roman" w:hAnsi="Times New Roman"/>
          <w:sz w:val="20"/>
        </w:rPr>
        <w:t>（</w:t>
      </w:r>
      <w:r w:rsidRPr="00DA3BC7">
        <w:rPr>
          <w:rFonts w:ascii="Times New Roman" w:hAnsi="Times New Roman"/>
          <w:sz w:val="20"/>
        </w:rPr>
        <w:t>pp.231-232</w:t>
      </w:r>
      <w:r w:rsidRPr="00DA3BC7">
        <w:rPr>
          <w:rFonts w:ascii="Times New Roman" w:hAnsi="Times New Roman"/>
          <w:sz w:val="20"/>
        </w:rPr>
        <w:t>）</w:t>
      </w:r>
    </w:p>
    <w:p w:rsidR="00D14EF3" w:rsidRPr="00DA3BC7" w:rsidRDefault="00D14EF3" w:rsidP="00E6656D">
      <w:pPr>
        <w:widowControl/>
        <w:ind w:leftChars="200" w:left="480"/>
        <w:jc w:val="both"/>
        <w:rPr>
          <w:rFonts w:ascii="Times New Roman" w:hAnsi="Times New Roman"/>
        </w:rPr>
      </w:pPr>
      <w:r w:rsidRPr="00DA3BC7">
        <w:rPr>
          <w:rFonts w:ascii="Times New Roman" w:hAnsi="Times New Roman"/>
        </w:rPr>
        <w:t>道生與禪宗的頓悟是不同的：</w:t>
      </w:r>
    </w:p>
    <w:p w:rsidR="00AA120F" w:rsidRPr="00DA3BC7" w:rsidRDefault="00AA120F" w:rsidP="00E6656D">
      <w:pPr>
        <w:widowControl/>
        <w:ind w:leftChars="250" w:left="600"/>
        <w:jc w:val="both"/>
        <w:rPr>
          <w:rFonts w:ascii="Times New Roman" w:hAnsi="Times New Roman"/>
          <w:b/>
          <w:sz w:val="20"/>
          <w:szCs w:val="20"/>
          <w:bdr w:val="single" w:sz="4" w:space="0" w:color="auto"/>
        </w:rPr>
      </w:pPr>
      <w:r w:rsidRPr="00D14EF3">
        <w:rPr>
          <w:rFonts w:ascii="Times New Roman" w:hAnsi="Times New Roman"/>
          <w:b/>
          <w:color w:val="FF0000"/>
          <w:sz w:val="20"/>
          <w:szCs w:val="20"/>
          <w:highlight w:val="yellow"/>
          <w:bdr w:val="single" w:sz="4" w:space="0" w:color="auto"/>
        </w:rPr>
        <w:t>（</w:t>
      </w:r>
      <w:r w:rsidR="00D14EF3" w:rsidRPr="00D14EF3">
        <w:rPr>
          <w:rFonts w:ascii="Times New Roman" w:hAnsi="Times New Roman" w:hint="eastAsia"/>
          <w:b/>
          <w:color w:val="FF0000"/>
          <w:sz w:val="20"/>
          <w:szCs w:val="20"/>
          <w:highlight w:val="yellow"/>
          <w:bdr w:val="single" w:sz="4" w:space="0" w:color="auto"/>
        </w:rPr>
        <w:t>1</w:t>
      </w:r>
      <w:r w:rsidRPr="00D14EF3">
        <w:rPr>
          <w:rFonts w:ascii="Times New Roman" w:hAnsi="Times New Roman"/>
          <w:b/>
          <w:color w:val="FF0000"/>
          <w:sz w:val="20"/>
          <w:szCs w:val="20"/>
          <w:highlight w:val="yellow"/>
          <w:bdr w:val="single" w:sz="4" w:space="0" w:color="auto"/>
        </w:rPr>
        <w:t>）</w:t>
      </w:r>
      <w:r w:rsidRPr="00DA3BC7">
        <w:rPr>
          <w:rFonts w:ascii="Times New Roman" w:hAnsi="Times New Roman"/>
          <w:b/>
          <w:sz w:val="20"/>
          <w:szCs w:val="20"/>
          <w:bdr w:val="single" w:sz="4" w:space="0" w:color="auto"/>
        </w:rPr>
        <w:t>道生</w:t>
      </w:r>
      <w:r w:rsidR="00D14EF3" w:rsidRPr="00D14EF3">
        <w:rPr>
          <w:rFonts w:ascii="Times New Roman" w:hAnsi="Times New Roman" w:hint="eastAsia"/>
          <w:b/>
          <w:color w:val="FF0000"/>
          <w:sz w:val="20"/>
          <w:szCs w:val="20"/>
          <w:highlight w:val="yellow"/>
          <w:bdr w:val="single" w:sz="4" w:space="0" w:color="auto"/>
        </w:rPr>
        <w:t>之</w:t>
      </w:r>
      <w:r w:rsidR="00D14EF3">
        <w:rPr>
          <w:rFonts w:ascii="Times New Roman" w:hAnsi="Times New Roman" w:hint="eastAsia"/>
          <w:b/>
          <w:color w:val="FF0000"/>
          <w:sz w:val="20"/>
          <w:szCs w:val="20"/>
          <w:highlight w:val="yellow"/>
          <w:bdr w:val="single" w:sz="4" w:space="0" w:color="auto"/>
        </w:rPr>
        <w:t>「</w:t>
      </w:r>
      <w:r w:rsidRPr="00DA3BC7">
        <w:rPr>
          <w:rFonts w:ascii="Times New Roman" w:hAnsi="Times New Roman"/>
          <w:b/>
          <w:sz w:val="20"/>
          <w:szCs w:val="20"/>
          <w:bdr w:val="single" w:sz="4" w:space="0" w:color="auto"/>
        </w:rPr>
        <w:t>漸修頓悟</w:t>
      </w:r>
      <w:r w:rsidR="00D14EF3" w:rsidRPr="00D14EF3">
        <w:rPr>
          <w:rFonts w:ascii="Times New Roman" w:hAnsi="Times New Roman" w:hint="eastAsia"/>
          <w:b/>
          <w:color w:val="FF0000"/>
          <w:sz w:val="20"/>
          <w:szCs w:val="20"/>
          <w:highlight w:val="yellow"/>
          <w:bdr w:val="single" w:sz="4" w:space="0" w:color="auto"/>
        </w:rPr>
        <w:t>」</w:t>
      </w:r>
      <w:r w:rsidR="00D14EF3">
        <w:rPr>
          <w:rFonts w:ascii="Times New Roman" w:hAnsi="Times New Roman" w:hint="eastAsia"/>
          <w:b/>
          <w:color w:val="FF0000"/>
          <w:sz w:val="20"/>
          <w:szCs w:val="20"/>
          <w:highlight w:val="yellow"/>
          <w:bdr w:val="single" w:sz="4" w:space="0" w:color="auto"/>
        </w:rPr>
        <w:t>說</w:t>
      </w:r>
      <w:r w:rsidRPr="00DA3BC7">
        <w:rPr>
          <w:rFonts w:ascii="Times New Roman" w:hAnsi="Times New Roman"/>
          <w:sz w:val="20"/>
        </w:rPr>
        <w:t>（</w:t>
      </w:r>
      <w:r w:rsidRPr="00DA3BC7">
        <w:rPr>
          <w:rFonts w:ascii="Times New Roman" w:hAnsi="Times New Roman"/>
          <w:sz w:val="20"/>
        </w:rPr>
        <w:t>p.231</w:t>
      </w:r>
      <w:r w:rsidRPr="00DA3BC7">
        <w:rPr>
          <w:rFonts w:ascii="Times New Roman" w:hAnsi="Times New Roman"/>
          <w:sz w:val="20"/>
        </w:rPr>
        <w:t>）</w:t>
      </w:r>
    </w:p>
    <w:p w:rsidR="00AA120F" w:rsidRPr="00DA3BC7" w:rsidRDefault="00AA120F" w:rsidP="00E6656D">
      <w:pPr>
        <w:widowControl/>
        <w:ind w:leftChars="250" w:left="600"/>
        <w:jc w:val="both"/>
        <w:rPr>
          <w:rFonts w:ascii="Times New Roman" w:hAnsi="Times New Roman"/>
          <w:b/>
        </w:rPr>
      </w:pPr>
      <w:r w:rsidRPr="00DA3BC7">
        <w:rPr>
          <w:rFonts w:ascii="Times New Roman" w:hAnsi="Times New Roman"/>
          <w:b/>
        </w:rPr>
        <w:t>道生以為證悟到的真理是無差別的，不悟則已，一悟即圓滿究竟。</w:t>
      </w:r>
      <w:r w:rsidRPr="00DA3BC7">
        <w:rPr>
          <w:rFonts w:ascii="Times New Roman" w:hAnsi="Times New Roman"/>
        </w:rPr>
        <w:t>所以道生是主張頓悟成佛，也即是主張漸修頓悟的。</w:t>
      </w:r>
      <w:r w:rsidRPr="00DA3BC7">
        <w:rPr>
          <w:rFonts w:ascii="Times New Roman" w:hAnsi="Times New Roman"/>
          <w:vertAlign w:val="superscript"/>
        </w:rPr>
        <w:footnoteReference w:id="998"/>
      </w:r>
      <w:r w:rsidRPr="00DA3BC7">
        <w:rPr>
          <w:rFonts w:ascii="Times New Roman" w:hAnsi="Times New Roman"/>
        </w:rPr>
        <w:t>在平時修集種種資糧，</w:t>
      </w:r>
      <w:r w:rsidRPr="00DA3BC7">
        <w:rPr>
          <w:rFonts w:ascii="Times New Roman" w:hAnsi="Times New Roman"/>
        </w:rPr>
        <w:lastRenderedPageBreak/>
        <w:t>達到究竟時，一悟永悟，一了百了。眾生流轉生死至成佛的中間，都可說是在夢中，唯有佛才是大覺者。</w:t>
      </w:r>
    </w:p>
    <w:p w:rsidR="00AA120F" w:rsidRPr="00DA3BC7" w:rsidRDefault="00AA120F" w:rsidP="00AE3920">
      <w:pPr>
        <w:widowControl/>
        <w:spacing w:beforeLines="30"/>
        <w:ind w:leftChars="250" w:left="600"/>
        <w:jc w:val="both"/>
        <w:rPr>
          <w:rFonts w:ascii="Times New Roman" w:hAnsi="Times New Roman"/>
          <w:b/>
          <w:sz w:val="20"/>
          <w:szCs w:val="20"/>
          <w:bdr w:val="single" w:sz="4" w:space="0" w:color="auto"/>
        </w:rPr>
      </w:pPr>
      <w:r w:rsidRPr="00D14EF3">
        <w:rPr>
          <w:rFonts w:ascii="Times New Roman" w:hAnsi="Times New Roman"/>
          <w:b/>
          <w:color w:val="FF0000"/>
          <w:sz w:val="20"/>
          <w:szCs w:val="20"/>
          <w:highlight w:val="yellow"/>
          <w:bdr w:val="single" w:sz="4" w:space="0" w:color="auto"/>
        </w:rPr>
        <w:t>（</w:t>
      </w:r>
      <w:r w:rsidR="00D14EF3" w:rsidRPr="00D14EF3">
        <w:rPr>
          <w:rFonts w:ascii="Times New Roman" w:hAnsi="Times New Roman" w:hint="eastAsia"/>
          <w:b/>
          <w:color w:val="FF0000"/>
          <w:sz w:val="20"/>
          <w:szCs w:val="20"/>
          <w:highlight w:val="yellow"/>
          <w:bdr w:val="single" w:sz="4" w:space="0" w:color="auto"/>
        </w:rPr>
        <w:t>2</w:t>
      </w:r>
      <w:r w:rsidRPr="00D14EF3">
        <w:rPr>
          <w:rFonts w:ascii="Times New Roman" w:hAnsi="Times New Roman"/>
          <w:b/>
          <w:color w:val="FF0000"/>
          <w:sz w:val="20"/>
          <w:szCs w:val="20"/>
          <w:highlight w:val="yellow"/>
          <w:bdr w:val="single" w:sz="4" w:space="0" w:color="auto"/>
        </w:rPr>
        <w:t>）</w:t>
      </w:r>
      <w:r w:rsidRPr="00DA3BC7">
        <w:rPr>
          <w:rFonts w:ascii="Times New Roman" w:hAnsi="Times New Roman"/>
          <w:b/>
          <w:sz w:val="20"/>
          <w:szCs w:val="20"/>
          <w:bdr w:val="single" w:sz="4" w:space="0" w:color="auto"/>
        </w:rPr>
        <w:t>禪宗</w:t>
      </w:r>
      <w:r w:rsidR="00D14EF3" w:rsidRPr="00D14EF3">
        <w:rPr>
          <w:rFonts w:ascii="Times New Roman" w:hAnsi="Times New Roman" w:hint="eastAsia"/>
          <w:b/>
          <w:color w:val="FF0000"/>
          <w:sz w:val="20"/>
          <w:szCs w:val="20"/>
          <w:highlight w:val="yellow"/>
          <w:bdr w:val="single" w:sz="4" w:space="0" w:color="auto"/>
        </w:rPr>
        <w:t>之</w:t>
      </w:r>
      <w:r w:rsidR="00D14EF3">
        <w:rPr>
          <w:rFonts w:ascii="Times New Roman" w:hAnsi="Times New Roman" w:hint="eastAsia"/>
          <w:b/>
          <w:color w:val="FF0000"/>
          <w:sz w:val="20"/>
          <w:szCs w:val="20"/>
          <w:highlight w:val="yellow"/>
          <w:bdr w:val="single" w:sz="4" w:space="0" w:color="auto"/>
        </w:rPr>
        <w:t>「</w:t>
      </w:r>
      <w:r w:rsidRPr="00DA3BC7">
        <w:rPr>
          <w:rFonts w:ascii="Times New Roman" w:hAnsi="Times New Roman"/>
          <w:b/>
          <w:sz w:val="20"/>
          <w:szCs w:val="20"/>
          <w:bdr w:val="single" w:sz="4" w:space="0" w:color="auto"/>
        </w:rPr>
        <w:t>直下頓悟</w:t>
      </w:r>
      <w:r w:rsidR="00D14EF3" w:rsidRPr="00D14EF3">
        <w:rPr>
          <w:rFonts w:ascii="Times New Roman" w:hAnsi="Times New Roman" w:hint="eastAsia"/>
          <w:b/>
          <w:color w:val="FF0000"/>
          <w:sz w:val="20"/>
          <w:szCs w:val="20"/>
          <w:highlight w:val="yellow"/>
          <w:bdr w:val="single" w:sz="4" w:space="0" w:color="auto"/>
        </w:rPr>
        <w:t>」</w:t>
      </w:r>
      <w:r w:rsidR="00D14EF3">
        <w:rPr>
          <w:rFonts w:ascii="Times New Roman" w:hAnsi="Times New Roman" w:hint="eastAsia"/>
          <w:b/>
          <w:color w:val="FF0000"/>
          <w:sz w:val="20"/>
          <w:szCs w:val="20"/>
          <w:highlight w:val="yellow"/>
          <w:bdr w:val="single" w:sz="4" w:space="0" w:color="auto"/>
        </w:rPr>
        <w:t>說</w:t>
      </w:r>
      <w:r w:rsidRPr="00DA3BC7">
        <w:rPr>
          <w:rFonts w:ascii="Times New Roman" w:hAnsi="Times New Roman"/>
          <w:sz w:val="20"/>
        </w:rPr>
        <w:t>（</w:t>
      </w:r>
      <w:r w:rsidRPr="00DA3BC7">
        <w:rPr>
          <w:rFonts w:ascii="Times New Roman" w:hAnsi="Times New Roman"/>
          <w:sz w:val="20"/>
        </w:rPr>
        <w:t>pp.231-232</w:t>
      </w:r>
      <w:r w:rsidRPr="00DA3BC7">
        <w:rPr>
          <w:rFonts w:ascii="Times New Roman" w:hAnsi="Times New Roman"/>
          <w:sz w:val="20"/>
        </w:rPr>
        <w:t>）</w:t>
      </w:r>
    </w:p>
    <w:p w:rsidR="00AA120F" w:rsidRPr="00DA3BC7" w:rsidRDefault="00AA120F" w:rsidP="00E6656D">
      <w:pPr>
        <w:kinsoku w:val="0"/>
        <w:ind w:leftChars="250" w:left="600"/>
        <w:jc w:val="both"/>
        <w:rPr>
          <w:rFonts w:ascii="Times New Roman" w:hAnsi="Times New Roman"/>
          <w:b/>
        </w:rPr>
      </w:pPr>
      <w:r w:rsidRPr="00DA3BC7">
        <w:rPr>
          <w:rFonts w:ascii="Times New Roman" w:hAnsi="Times New Roman"/>
        </w:rPr>
        <w:t>禪宗所說的頓悟，不是漸修頓悟，而是直下頓悟的。</w:t>
      </w:r>
      <w:r w:rsidRPr="00DA3BC7">
        <w:rPr>
          <w:rFonts w:ascii="Times New Roman" w:hAnsi="Times New Roman"/>
          <w:b/>
        </w:rPr>
        <w:t>主張學者先求自悟本心</w:t>
      </w:r>
      <w:r w:rsidRPr="00DA3BC7">
        <w:rPr>
          <w:rFonts w:ascii="新細明體" w:hAnsi="新細明體"/>
          <w:b/>
        </w:rPr>
        <w:t>──</w:t>
      </w:r>
      <w:r w:rsidRPr="00DA3BC7">
        <w:rPr>
          <w:rFonts w:ascii="Times New Roman" w:hAnsi="Times New Roman"/>
          <w:b/>
        </w:rPr>
        <w:t>本來清淨的佛性，一旦廓然</w:t>
      </w:r>
      <w:r w:rsidRPr="00DA3BC7">
        <w:rPr>
          <w:rFonts w:ascii="Times New Roman" w:hAnsi="Times New Roman"/>
          <w:vertAlign w:val="superscript"/>
        </w:rPr>
        <w:footnoteReference w:id="999"/>
      </w:r>
      <w:r w:rsidRPr="00DA3BC7">
        <w:rPr>
          <w:rFonts w:ascii="Times New Roman" w:hAnsi="Times New Roman"/>
          <w:b/>
        </w:rPr>
        <w:t>大悟的，即參學事畢，也有以為從此應圓修萬行。</w:t>
      </w:r>
    </w:p>
    <w:p w:rsidR="00AA120F" w:rsidRPr="00DA3BC7" w:rsidRDefault="00D14EF3" w:rsidP="00AE3920">
      <w:pPr>
        <w:widowControl/>
        <w:spacing w:beforeLines="30"/>
        <w:ind w:leftChars="200" w:left="480"/>
        <w:jc w:val="both"/>
        <w:rPr>
          <w:rFonts w:ascii="Times New Roman" w:hAnsi="Times New Roman"/>
          <w:b/>
          <w:sz w:val="20"/>
          <w:szCs w:val="20"/>
          <w:bdr w:val="single" w:sz="4" w:space="0" w:color="auto"/>
        </w:rPr>
      </w:pPr>
      <w:r w:rsidRPr="00D14EF3">
        <w:rPr>
          <w:rFonts w:ascii="Times New Roman" w:hAnsi="Times New Roman" w:hint="eastAsia"/>
          <w:b/>
          <w:color w:val="FF0000"/>
          <w:sz w:val="20"/>
          <w:szCs w:val="20"/>
          <w:highlight w:val="yellow"/>
          <w:bdr w:val="single" w:sz="4" w:space="0" w:color="auto"/>
        </w:rPr>
        <w:t>2</w:t>
      </w:r>
      <w:r w:rsidR="00AA120F" w:rsidRPr="00D14EF3">
        <w:rPr>
          <w:rFonts w:ascii="Times New Roman" w:hAnsi="Times New Roman" w:hint="eastAsia"/>
          <w:b/>
          <w:color w:val="FF0000"/>
          <w:sz w:val="20"/>
          <w:szCs w:val="20"/>
          <w:highlight w:val="yellow"/>
          <w:bdr w:val="single" w:sz="4" w:space="0" w:color="auto"/>
        </w:rPr>
        <w:t>、</w:t>
      </w:r>
      <w:r w:rsidRPr="00D14EF3">
        <w:rPr>
          <w:rFonts w:ascii="Times New Roman" w:hAnsi="Times New Roman" w:hint="eastAsia"/>
          <w:b/>
          <w:color w:val="FF0000"/>
          <w:sz w:val="20"/>
          <w:szCs w:val="20"/>
          <w:highlight w:val="yellow"/>
          <w:bdr w:val="single" w:sz="4" w:space="0" w:color="auto"/>
        </w:rPr>
        <w:t>評二</w:t>
      </w:r>
      <w:r w:rsidR="00AA120F" w:rsidRPr="00D14EF3">
        <w:rPr>
          <w:rFonts w:ascii="Times New Roman" w:hAnsi="Times New Roman"/>
          <w:b/>
          <w:color w:val="FF0000"/>
          <w:sz w:val="20"/>
          <w:szCs w:val="20"/>
          <w:highlight w:val="yellow"/>
          <w:bdr w:val="single" w:sz="4" w:space="0" w:color="auto"/>
        </w:rPr>
        <w:t>說</w:t>
      </w:r>
      <w:r w:rsidRPr="00D14EF3">
        <w:rPr>
          <w:rFonts w:ascii="Times New Roman" w:hAnsi="Times New Roman" w:hint="eastAsia"/>
          <w:b/>
          <w:color w:val="FF0000"/>
          <w:sz w:val="20"/>
          <w:szCs w:val="20"/>
          <w:highlight w:val="yellow"/>
          <w:bdr w:val="single" w:sz="4" w:space="0" w:color="auto"/>
        </w:rPr>
        <w:t>之異</w:t>
      </w:r>
      <w:r w:rsidR="00AA120F" w:rsidRPr="00DA3BC7">
        <w:rPr>
          <w:rFonts w:ascii="Times New Roman" w:hAnsi="Times New Roman"/>
          <w:sz w:val="20"/>
        </w:rPr>
        <w:t>（</w:t>
      </w:r>
      <w:r w:rsidR="00AA120F" w:rsidRPr="00DA3BC7">
        <w:rPr>
          <w:rFonts w:ascii="Times New Roman" w:hAnsi="Times New Roman"/>
          <w:sz w:val="20"/>
        </w:rPr>
        <w:t>p.232</w:t>
      </w:r>
      <w:r w:rsidR="00AA120F" w:rsidRPr="00DA3BC7">
        <w:rPr>
          <w:rFonts w:ascii="Times New Roman" w:hAnsi="Times New Roman"/>
          <w:sz w:val="20"/>
        </w:rPr>
        <w:t>）</w:t>
      </w:r>
    </w:p>
    <w:p w:rsidR="00AA120F" w:rsidRPr="00DA3BC7" w:rsidRDefault="00AA120F" w:rsidP="00E6656D">
      <w:pPr>
        <w:widowControl/>
        <w:ind w:leftChars="200" w:left="480"/>
        <w:jc w:val="both"/>
        <w:rPr>
          <w:rFonts w:ascii="Times New Roman" w:hAnsi="Times New Roman"/>
          <w:sz w:val="20"/>
          <w:szCs w:val="20"/>
          <w:bdr w:val="single" w:sz="4" w:space="0" w:color="auto"/>
        </w:rPr>
      </w:pPr>
      <w:r w:rsidRPr="00DA3BC7">
        <w:rPr>
          <w:rFonts w:ascii="Times New Roman" w:hAnsi="Times New Roman"/>
        </w:rPr>
        <w:t>這兩種頓悟論，相差極遠。道生是約究竟佛位的圓滿頓悟說，禪宗是約眾生初學的直悟本來</w:t>
      </w:r>
      <w:r w:rsidRPr="00DA3BC7">
        <w:rPr>
          <w:rFonts w:ascii="Times New Roman" w:hAnsi="Times New Roman"/>
          <w:vertAlign w:val="superscript"/>
        </w:rPr>
        <w:footnoteReference w:id="1000"/>
      </w:r>
      <w:r w:rsidRPr="00DA3BC7">
        <w:rPr>
          <w:rFonts w:ascii="Times New Roman" w:hAnsi="Times New Roman"/>
        </w:rPr>
        <w:t>說。</w:t>
      </w:r>
    </w:p>
    <w:p w:rsidR="00AA120F" w:rsidRPr="00DA3BC7" w:rsidRDefault="001862D9" w:rsidP="00AE3920">
      <w:pPr>
        <w:widowControl/>
        <w:spacing w:beforeLines="30"/>
        <w:ind w:leftChars="100" w:left="240"/>
        <w:jc w:val="both"/>
        <w:rPr>
          <w:rFonts w:ascii="Times New Roman" w:hAnsi="Times New Roman"/>
          <w:sz w:val="20"/>
        </w:rPr>
      </w:pPr>
      <w:r w:rsidRPr="001862D9">
        <w:rPr>
          <w:rFonts w:ascii="Times New Roman" w:hAnsi="Times New Roman" w:hint="eastAsia"/>
          <w:b/>
          <w:color w:val="FF0000"/>
          <w:sz w:val="20"/>
          <w:szCs w:val="20"/>
          <w:highlight w:val="yellow"/>
          <w:bdr w:val="single" w:sz="4" w:space="0" w:color="auto"/>
        </w:rPr>
        <w:t>二、</w:t>
      </w:r>
      <w:r w:rsidR="00AA120F" w:rsidRPr="00DA3BC7">
        <w:rPr>
          <w:rFonts w:ascii="Times New Roman" w:hAnsi="Times New Roman"/>
          <w:b/>
          <w:sz w:val="20"/>
          <w:szCs w:val="20"/>
          <w:bdr w:val="single" w:sz="4" w:space="0" w:color="auto"/>
        </w:rPr>
        <w:t>大乘佛</w:t>
      </w:r>
      <w:r w:rsidR="00AA120F" w:rsidRPr="001862D9">
        <w:rPr>
          <w:rFonts w:ascii="Times New Roman" w:hAnsi="Times New Roman"/>
          <w:b/>
          <w:sz w:val="20"/>
          <w:szCs w:val="20"/>
          <w:highlight w:val="yellow"/>
          <w:bdr w:val="single" w:sz="4" w:space="0" w:color="auto"/>
        </w:rPr>
        <w:t>法共</w:t>
      </w:r>
      <w:r w:rsidR="00AA120F" w:rsidRPr="00DA3BC7">
        <w:rPr>
          <w:rFonts w:ascii="Times New Roman" w:hAnsi="Times New Roman"/>
          <w:b/>
          <w:sz w:val="20"/>
          <w:szCs w:val="20"/>
          <w:bdr w:val="single" w:sz="4" w:space="0" w:color="auto"/>
        </w:rPr>
        <w:t>義</w:t>
      </w:r>
      <w:r w:rsidRPr="001862D9">
        <w:rPr>
          <w:rFonts w:ascii="Times New Roman" w:hAnsi="Times New Roman" w:hint="eastAsia"/>
          <w:b/>
          <w:color w:val="FF0000"/>
          <w:sz w:val="20"/>
          <w:szCs w:val="20"/>
          <w:highlight w:val="yellow"/>
          <w:bdr w:val="single" w:sz="4" w:space="0" w:color="auto"/>
        </w:rPr>
        <w:t>之</w:t>
      </w:r>
      <w:r w:rsidR="00AA120F" w:rsidRPr="001862D9">
        <w:rPr>
          <w:rFonts w:ascii="Times New Roman" w:hAnsi="Times New Roman" w:hint="eastAsia"/>
          <w:b/>
          <w:sz w:val="20"/>
          <w:szCs w:val="20"/>
          <w:highlight w:val="yellow"/>
          <w:bdr w:val="single" w:sz="4" w:space="0" w:color="auto"/>
        </w:rPr>
        <w:t>說</w:t>
      </w:r>
      <w:r w:rsidR="00AA120F" w:rsidRPr="00DA3BC7">
        <w:rPr>
          <w:rFonts w:ascii="Times New Roman" w:hAnsi="Times New Roman"/>
          <w:sz w:val="20"/>
        </w:rPr>
        <w:t>（</w:t>
      </w:r>
      <w:r w:rsidR="00AA120F" w:rsidRPr="00DA3BC7">
        <w:rPr>
          <w:rFonts w:ascii="Times New Roman" w:hAnsi="Times New Roman"/>
          <w:sz w:val="20"/>
        </w:rPr>
        <w:t>pp.232-233</w:t>
      </w:r>
      <w:r w:rsidR="00AA120F" w:rsidRPr="00DA3BC7">
        <w:rPr>
          <w:rFonts w:ascii="Times New Roman" w:hAnsi="Times New Roman"/>
          <w:sz w:val="20"/>
        </w:rPr>
        <w:t>）</w:t>
      </w:r>
    </w:p>
    <w:p w:rsidR="00AA120F" w:rsidRPr="00DA3BC7" w:rsidRDefault="001862D9" w:rsidP="00E6656D">
      <w:pPr>
        <w:widowControl/>
        <w:ind w:leftChars="150" w:left="360"/>
        <w:jc w:val="both"/>
        <w:rPr>
          <w:rFonts w:ascii="Times New Roman" w:hAnsi="Times New Roman"/>
          <w:b/>
          <w:sz w:val="20"/>
          <w:szCs w:val="20"/>
          <w:bdr w:val="single" w:sz="4" w:space="0" w:color="auto"/>
        </w:rPr>
      </w:pPr>
      <w:r w:rsidRPr="001862D9">
        <w:rPr>
          <w:rFonts w:ascii="Times New Roman" w:hAnsi="Times New Roman"/>
          <w:b/>
          <w:color w:val="FF0000"/>
          <w:sz w:val="20"/>
          <w:szCs w:val="20"/>
          <w:highlight w:val="yellow"/>
          <w:bdr w:val="single" w:sz="4" w:space="0" w:color="auto"/>
        </w:rPr>
        <w:t>（一）</w:t>
      </w:r>
      <w:r w:rsidR="00AA120F" w:rsidRPr="00DA3BC7">
        <w:rPr>
          <w:rFonts w:ascii="Times New Roman" w:hAnsi="Times New Roman" w:hint="eastAsia"/>
          <w:b/>
          <w:sz w:val="20"/>
          <w:szCs w:val="20"/>
          <w:bdr w:val="single" w:sz="4" w:space="0" w:color="auto"/>
        </w:rPr>
        <w:t>略標</w:t>
      </w:r>
      <w:r w:rsidR="00AA120F" w:rsidRPr="00DA3BC7">
        <w:rPr>
          <w:rFonts w:ascii="Times New Roman" w:hAnsi="Times New Roman"/>
          <w:sz w:val="20"/>
        </w:rPr>
        <w:t>（</w:t>
      </w:r>
      <w:r w:rsidR="00AA120F" w:rsidRPr="00DA3BC7">
        <w:rPr>
          <w:rFonts w:ascii="Times New Roman" w:hAnsi="Times New Roman"/>
          <w:sz w:val="20"/>
        </w:rPr>
        <w:t>p.232</w:t>
      </w:r>
      <w:r w:rsidR="00AA120F" w:rsidRPr="00DA3BC7">
        <w:rPr>
          <w:rFonts w:ascii="Times New Roman" w:hAnsi="Times New Roman"/>
          <w:sz w:val="20"/>
        </w:rPr>
        <w:t>）</w:t>
      </w:r>
    </w:p>
    <w:p w:rsidR="00AA120F" w:rsidRPr="00DA3BC7" w:rsidRDefault="00AA120F" w:rsidP="00E6656D">
      <w:pPr>
        <w:widowControl/>
        <w:ind w:leftChars="150" w:left="360"/>
        <w:jc w:val="both"/>
        <w:rPr>
          <w:rFonts w:ascii="Times New Roman" w:hAnsi="Times New Roman"/>
        </w:rPr>
      </w:pPr>
      <w:r w:rsidRPr="00DA3BC7">
        <w:rPr>
          <w:rFonts w:ascii="Times New Roman" w:hAnsi="Times New Roman"/>
        </w:rPr>
        <w:t>依大乘佛法的共義，應該是從</w:t>
      </w:r>
      <w:r w:rsidRPr="00DA3BC7">
        <w:rPr>
          <w:rFonts w:ascii="Times New Roman" w:hAnsi="Times New Roman"/>
          <w:b/>
        </w:rPr>
        <w:t>漸修</w:t>
      </w:r>
      <w:r w:rsidRPr="00DA3BC7">
        <w:rPr>
          <w:rFonts w:ascii="Times New Roman" w:hAnsi="Times New Roman"/>
        </w:rPr>
        <w:t>到</w:t>
      </w:r>
      <w:r w:rsidRPr="00DA3BC7">
        <w:rPr>
          <w:rFonts w:ascii="Times New Roman" w:hAnsi="Times New Roman"/>
          <w:b/>
        </w:rPr>
        <w:t>頓悟</w:t>
      </w:r>
      <w:r w:rsidRPr="00DA3BC7">
        <w:rPr>
          <w:rFonts w:ascii="Times New Roman" w:hAnsi="Times New Roman"/>
        </w:rPr>
        <w:t>，再從</w:t>
      </w:r>
      <w:r w:rsidRPr="00DA3BC7">
        <w:rPr>
          <w:rFonts w:ascii="Times New Roman" w:hAnsi="Times New Roman"/>
          <w:b/>
        </w:rPr>
        <w:t>頓悟</w:t>
      </w:r>
      <w:r w:rsidRPr="00DA3BC7">
        <w:rPr>
          <w:rFonts w:ascii="Times New Roman" w:hAnsi="Times New Roman"/>
        </w:rPr>
        <w:t>到</w:t>
      </w:r>
      <w:r w:rsidRPr="00DA3BC7">
        <w:rPr>
          <w:rFonts w:ascii="Times New Roman" w:hAnsi="Times New Roman"/>
          <w:b/>
        </w:rPr>
        <w:t>圓修</w:t>
      </w:r>
      <w:r w:rsidRPr="00DA3BC7">
        <w:rPr>
          <w:rFonts w:ascii="Times New Roman" w:hAnsi="Times New Roman"/>
        </w:rPr>
        <w:t>。</w:t>
      </w:r>
    </w:p>
    <w:p w:rsidR="00AA120F" w:rsidRPr="00DA3BC7" w:rsidRDefault="001862D9" w:rsidP="00AE3920">
      <w:pPr>
        <w:widowControl/>
        <w:spacing w:beforeLines="30"/>
        <w:ind w:leftChars="150" w:left="360"/>
        <w:jc w:val="both"/>
        <w:rPr>
          <w:rFonts w:ascii="Times New Roman" w:hAnsi="Times New Roman"/>
          <w:b/>
          <w:sz w:val="20"/>
          <w:szCs w:val="20"/>
          <w:bdr w:val="single" w:sz="4" w:space="0" w:color="auto"/>
        </w:rPr>
      </w:pPr>
      <w:r w:rsidRPr="001862D9">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二</w:t>
      </w:r>
      <w:r w:rsidRPr="001862D9">
        <w:rPr>
          <w:rFonts w:ascii="Times New Roman" w:hAnsi="Times New Roman"/>
          <w:b/>
          <w:color w:val="FF0000"/>
          <w:sz w:val="20"/>
          <w:szCs w:val="20"/>
          <w:highlight w:val="yellow"/>
          <w:bdr w:val="single" w:sz="4" w:space="0" w:color="auto"/>
        </w:rPr>
        <w:t>）</w:t>
      </w:r>
      <w:r w:rsidR="00AA120F" w:rsidRPr="00DA3BC7">
        <w:rPr>
          <w:rFonts w:ascii="Times New Roman" w:hAnsi="Times New Roman" w:hint="eastAsia"/>
          <w:b/>
          <w:sz w:val="20"/>
          <w:szCs w:val="20"/>
          <w:bdr w:val="single" w:sz="4" w:space="0" w:color="auto"/>
        </w:rPr>
        <w:t>別釋</w:t>
      </w:r>
      <w:r w:rsidR="00AA120F" w:rsidRPr="00DA3BC7">
        <w:rPr>
          <w:rFonts w:ascii="Times New Roman" w:hAnsi="Times New Roman"/>
          <w:sz w:val="20"/>
        </w:rPr>
        <w:t>（</w:t>
      </w:r>
      <w:r w:rsidR="00AA120F" w:rsidRPr="00DA3BC7">
        <w:rPr>
          <w:rFonts w:ascii="Times New Roman" w:hAnsi="Times New Roman"/>
          <w:sz w:val="20"/>
        </w:rPr>
        <w:t>pp.232-233</w:t>
      </w:r>
      <w:r w:rsidR="00AA120F" w:rsidRPr="00DA3BC7">
        <w:rPr>
          <w:rFonts w:ascii="Times New Roman" w:hAnsi="Times New Roman"/>
          <w:sz w:val="20"/>
        </w:rPr>
        <w:t>）</w:t>
      </w:r>
    </w:p>
    <w:p w:rsidR="00AA120F" w:rsidRPr="00DA3BC7" w:rsidRDefault="001862D9" w:rsidP="00E6656D">
      <w:pPr>
        <w:widowControl/>
        <w:ind w:leftChars="200" w:left="480"/>
        <w:jc w:val="both"/>
        <w:rPr>
          <w:rFonts w:ascii="Times New Roman" w:hAnsi="Times New Roman"/>
          <w:b/>
          <w:sz w:val="20"/>
          <w:szCs w:val="20"/>
          <w:bdr w:val="single" w:sz="4" w:space="0" w:color="auto"/>
        </w:rPr>
      </w:pPr>
      <w:r w:rsidRPr="001862D9">
        <w:rPr>
          <w:rFonts w:ascii="Times New Roman" w:hAnsi="Times New Roman"/>
          <w:b/>
          <w:color w:val="FF0000"/>
          <w:sz w:val="20"/>
          <w:szCs w:val="20"/>
          <w:highlight w:val="yellow"/>
          <w:bdr w:val="single" w:sz="4" w:space="0" w:color="auto"/>
        </w:rPr>
        <w:t>1</w:t>
      </w:r>
      <w:r w:rsidRPr="001862D9">
        <w:rPr>
          <w:rFonts w:ascii="Times New Roman" w:hAnsi="Times New Roman"/>
          <w:b/>
          <w:color w:val="FF0000"/>
          <w:sz w:val="20"/>
          <w:szCs w:val="20"/>
          <w:highlight w:val="yellow"/>
          <w:bdr w:val="single" w:sz="4" w:space="0" w:color="auto"/>
        </w:rPr>
        <w:t>、</w:t>
      </w:r>
      <w:r w:rsidR="00AA120F" w:rsidRPr="00DA3BC7">
        <w:rPr>
          <w:rFonts w:ascii="Times New Roman" w:hAnsi="Times New Roman" w:hint="eastAsia"/>
          <w:b/>
          <w:sz w:val="20"/>
          <w:szCs w:val="20"/>
          <w:bdr w:val="single" w:sz="4" w:space="0" w:color="auto"/>
        </w:rPr>
        <w:t>從</w:t>
      </w:r>
      <w:r w:rsidR="009C0685">
        <w:rPr>
          <w:rFonts w:ascii="Times New Roman" w:hAnsi="Times New Roman" w:hint="eastAsia"/>
          <w:b/>
          <w:sz w:val="20"/>
          <w:szCs w:val="20"/>
          <w:bdr w:val="single" w:sz="4" w:space="0" w:color="auto"/>
        </w:rPr>
        <w:t>「</w:t>
      </w:r>
      <w:r w:rsidR="00AA120F" w:rsidRPr="00DA3BC7">
        <w:rPr>
          <w:rFonts w:ascii="Times New Roman" w:hAnsi="Times New Roman"/>
          <w:b/>
          <w:sz w:val="20"/>
          <w:szCs w:val="20"/>
          <w:bdr w:val="single" w:sz="4" w:space="0" w:color="auto"/>
        </w:rPr>
        <w:t>漸修</w:t>
      </w:r>
      <w:r w:rsidR="009C0685">
        <w:rPr>
          <w:rFonts w:ascii="Times New Roman" w:hAnsi="Times New Roman" w:hint="eastAsia"/>
          <w:b/>
          <w:sz w:val="20"/>
          <w:szCs w:val="20"/>
          <w:bdr w:val="single" w:sz="4" w:space="0" w:color="auto"/>
        </w:rPr>
        <w:t>」</w:t>
      </w:r>
      <w:r w:rsidR="00AA120F" w:rsidRPr="00DA3BC7">
        <w:rPr>
          <w:rFonts w:ascii="Times New Roman" w:hAnsi="Times New Roman"/>
          <w:b/>
          <w:sz w:val="20"/>
          <w:szCs w:val="20"/>
          <w:bdr w:val="single" w:sz="4" w:space="0" w:color="auto"/>
        </w:rPr>
        <w:t>到</w:t>
      </w:r>
      <w:r w:rsidR="009C0685">
        <w:rPr>
          <w:rFonts w:ascii="Times New Roman" w:hAnsi="Times New Roman" w:hint="eastAsia"/>
          <w:b/>
          <w:sz w:val="20"/>
          <w:szCs w:val="20"/>
          <w:bdr w:val="single" w:sz="4" w:space="0" w:color="auto"/>
        </w:rPr>
        <w:t>「</w:t>
      </w:r>
      <w:r w:rsidR="00AA120F" w:rsidRPr="00DA3BC7">
        <w:rPr>
          <w:rFonts w:ascii="Times New Roman" w:hAnsi="Times New Roman"/>
          <w:b/>
          <w:sz w:val="20"/>
          <w:szCs w:val="20"/>
          <w:bdr w:val="single" w:sz="4" w:space="0" w:color="auto"/>
        </w:rPr>
        <w:t>頓悟</w:t>
      </w:r>
      <w:r w:rsidR="009C0685">
        <w:rPr>
          <w:rFonts w:ascii="Times New Roman" w:hAnsi="Times New Roman" w:hint="eastAsia"/>
          <w:b/>
          <w:sz w:val="20"/>
          <w:szCs w:val="20"/>
          <w:bdr w:val="single" w:sz="4" w:space="0" w:color="auto"/>
        </w:rPr>
        <w:t>」</w:t>
      </w:r>
      <w:r w:rsidR="00AA120F" w:rsidRPr="00DA3BC7">
        <w:rPr>
          <w:rFonts w:ascii="Times New Roman" w:hAnsi="Times New Roman"/>
          <w:sz w:val="20"/>
        </w:rPr>
        <w:t>（</w:t>
      </w:r>
      <w:r w:rsidR="00AA120F" w:rsidRPr="00DA3BC7">
        <w:rPr>
          <w:rFonts w:ascii="Times New Roman" w:hAnsi="Times New Roman"/>
          <w:sz w:val="20"/>
        </w:rPr>
        <w:t>p.232</w:t>
      </w:r>
      <w:r w:rsidR="00AA120F" w:rsidRPr="00DA3BC7">
        <w:rPr>
          <w:rFonts w:ascii="Times New Roman" w:hAnsi="Times New Roman"/>
          <w:sz w:val="20"/>
        </w:rPr>
        <w:t>）</w:t>
      </w:r>
    </w:p>
    <w:p w:rsidR="00AA120F" w:rsidRPr="00DA3BC7" w:rsidRDefault="001862D9" w:rsidP="00E6656D">
      <w:pPr>
        <w:widowControl/>
        <w:ind w:leftChars="250" w:left="600"/>
        <w:jc w:val="both"/>
        <w:rPr>
          <w:rFonts w:ascii="Times New Roman" w:hAnsi="Times New Roman"/>
          <w:b/>
          <w:sz w:val="20"/>
          <w:szCs w:val="20"/>
          <w:bdr w:val="single" w:sz="4" w:space="0" w:color="auto"/>
        </w:rPr>
      </w:pPr>
      <w:r w:rsidRPr="001862D9">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1</w:t>
      </w:r>
      <w:r w:rsidRPr="001862D9">
        <w:rPr>
          <w:rFonts w:ascii="Times New Roman" w:hAnsi="Times New Roman"/>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漸修</w:t>
      </w:r>
      <w:r w:rsidR="00B05934" w:rsidRPr="00B05934">
        <w:rPr>
          <w:rFonts w:ascii="Times New Roman" w:hAnsi="Times New Roman" w:hint="eastAsia"/>
          <w:b/>
          <w:color w:val="FF0000"/>
          <w:sz w:val="20"/>
          <w:szCs w:val="20"/>
          <w:highlight w:val="yellow"/>
          <w:bdr w:val="single" w:sz="4" w:space="0" w:color="auto"/>
        </w:rPr>
        <w:t>（</w:t>
      </w:r>
      <w:r w:rsidR="00B05934">
        <w:rPr>
          <w:rFonts w:ascii="Times New Roman" w:hAnsi="Times New Roman" w:hint="eastAsia"/>
          <w:b/>
          <w:color w:val="FF0000"/>
          <w:sz w:val="20"/>
          <w:szCs w:val="20"/>
          <w:highlight w:val="yellow"/>
          <w:bdr w:val="single" w:sz="4" w:space="0" w:color="auto"/>
        </w:rPr>
        <w:t>事修＝</w:t>
      </w:r>
      <w:r w:rsidR="00B05934" w:rsidRPr="00B05934">
        <w:rPr>
          <w:rFonts w:ascii="Times New Roman" w:hAnsi="Times New Roman" w:hint="eastAsia"/>
          <w:b/>
          <w:color w:val="FF0000"/>
          <w:sz w:val="20"/>
          <w:szCs w:val="20"/>
          <w:highlight w:val="yellow"/>
          <w:bdr w:val="single" w:sz="4" w:space="0" w:color="auto"/>
        </w:rPr>
        <w:t>緣修）</w:t>
      </w:r>
      <w:r w:rsidR="00AA120F" w:rsidRPr="00DA3BC7">
        <w:rPr>
          <w:rFonts w:ascii="Times New Roman" w:hAnsi="Times New Roman"/>
          <w:sz w:val="20"/>
        </w:rPr>
        <w:t>（</w:t>
      </w:r>
      <w:r w:rsidR="00AA120F" w:rsidRPr="00DA3BC7">
        <w:rPr>
          <w:rFonts w:ascii="Times New Roman" w:hAnsi="Times New Roman"/>
          <w:sz w:val="20"/>
        </w:rPr>
        <w:t>p.232</w:t>
      </w:r>
      <w:r w:rsidR="00AA120F" w:rsidRPr="00DA3BC7">
        <w:rPr>
          <w:rFonts w:ascii="Times New Roman" w:hAnsi="Times New Roman"/>
          <w:sz w:val="20"/>
        </w:rPr>
        <w:t>）</w:t>
      </w:r>
    </w:p>
    <w:p w:rsidR="00AA120F" w:rsidRPr="00DA3BC7" w:rsidRDefault="00AA120F" w:rsidP="00E6656D">
      <w:pPr>
        <w:widowControl/>
        <w:ind w:leftChars="250" w:left="600"/>
        <w:jc w:val="both"/>
        <w:rPr>
          <w:rFonts w:ascii="Times New Roman" w:hAnsi="Times New Roman"/>
        </w:rPr>
      </w:pPr>
      <w:r w:rsidRPr="00DA3BC7">
        <w:rPr>
          <w:rFonts w:ascii="Times New Roman" w:hAnsi="Times New Roman"/>
        </w:rPr>
        <w:t>眾生最初發心，親近善知識，聽聞正法，修積功德，以及以大悲心作利他事。菩薩證悟以前，要有長時的漸修。</w:t>
      </w:r>
    </w:p>
    <w:p w:rsidR="00AA120F" w:rsidRPr="00DA3BC7" w:rsidRDefault="00AA120F" w:rsidP="00AE3920">
      <w:pPr>
        <w:widowControl/>
        <w:spacing w:beforeLines="20"/>
        <w:ind w:leftChars="250" w:left="600"/>
        <w:jc w:val="both"/>
        <w:rPr>
          <w:rFonts w:ascii="Times New Roman" w:hAnsi="Times New Roman"/>
          <w:b/>
        </w:rPr>
      </w:pPr>
      <w:r w:rsidRPr="00DA3BC7">
        <w:rPr>
          <w:rFonts w:ascii="Times New Roman" w:hAnsi="Times New Roman"/>
        </w:rPr>
        <w:t>唯識宗說：要於資糧位</w:t>
      </w:r>
      <w:r w:rsidRPr="00DA3BC7">
        <w:rPr>
          <w:rFonts w:ascii="Times New Roman" w:hAnsi="Times New Roman"/>
          <w:vertAlign w:val="superscript"/>
        </w:rPr>
        <w:footnoteReference w:id="1001"/>
      </w:r>
      <w:r w:rsidRPr="00DA3BC7">
        <w:rPr>
          <w:rFonts w:ascii="Times New Roman" w:hAnsi="Times New Roman"/>
        </w:rPr>
        <w:t>積集福德</w:t>
      </w:r>
      <w:r w:rsidRPr="00DA3BC7">
        <w:rPr>
          <w:rFonts w:ascii="Times New Roman" w:hAnsi="Times New Roman" w:hint="eastAsia"/>
        </w:rPr>
        <w:t>、</w:t>
      </w:r>
      <w:r w:rsidRPr="00DA3BC7">
        <w:rPr>
          <w:rFonts w:ascii="Times New Roman" w:hAnsi="Times New Roman"/>
        </w:rPr>
        <w:t>智慧無邊資糧。</w:t>
      </w:r>
      <w:r w:rsidRPr="00DA3BC7">
        <w:rPr>
          <w:rFonts w:ascii="Times New Roman" w:hAnsi="Times New Roman"/>
          <w:vertAlign w:val="superscript"/>
        </w:rPr>
        <w:footnoteReference w:id="1002"/>
      </w:r>
    </w:p>
    <w:p w:rsidR="00AA120F" w:rsidRPr="00DA3BC7" w:rsidRDefault="00AA120F" w:rsidP="00AE3920">
      <w:pPr>
        <w:widowControl/>
        <w:spacing w:beforeLines="20"/>
        <w:ind w:leftChars="250" w:left="600"/>
        <w:jc w:val="both"/>
        <w:rPr>
          <w:rFonts w:ascii="Times New Roman" w:hAnsi="Times New Roman"/>
          <w:b/>
        </w:rPr>
      </w:pPr>
      <w:r w:rsidRPr="00DA3BC7">
        <w:rPr>
          <w:rFonts w:ascii="Times New Roman" w:hAnsi="Times New Roman"/>
        </w:rPr>
        <w:lastRenderedPageBreak/>
        <w:t>龍樹說：「</w:t>
      </w:r>
      <w:r w:rsidRPr="00DA3BC7">
        <w:rPr>
          <w:rFonts w:ascii="標楷體" w:eastAsia="標楷體" w:hAnsi="標楷體"/>
        </w:rPr>
        <w:t>若信戒無基，憶想取一空，是為邪空</w:t>
      </w:r>
      <w:r w:rsidRPr="00DA3BC7">
        <w:rPr>
          <w:rFonts w:ascii="Times New Roman" w:hAnsi="Times New Roman"/>
        </w:rPr>
        <w:t>。」</w:t>
      </w:r>
      <w:r w:rsidRPr="00DA3BC7">
        <w:rPr>
          <w:rFonts w:ascii="Times New Roman" w:hAnsi="Times New Roman"/>
          <w:vertAlign w:val="superscript"/>
        </w:rPr>
        <w:footnoteReference w:id="1003"/>
      </w:r>
    </w:p>
    <w:p w:rsidR="00AA120F" w:rsidRPr="00DA3BC7" w:rsidRDefault="00AA120F" w:rsidP="00AE3920">
      <w:pPr>
        <w:widowControl/>
        <w:spacing w:beforeLines="20"/>
        <w:ind w:leftChars="250" w:left="600"/>
        <w:jc w:val="both"/>
        <w:rPr>
          <w:rFonts w:ascii="Times New Roman" w:hAnsi="Times New Roman"/>
        </w:rPr>
      </w:pPr>
      <w:r w:rsidRPr="00DA3BC7">
        <w:rPr>
          <w:rFonts w:ascii="Times New Roman" w:hAnsi="Times New Roman"/>
        </w:rPr>
        <w:t>若沒有福智資糧的積集，即夢想悟入空性，這是不可能的。</w:t>
      </w:r>
    </w:p>
    <w:p w:rsidR="00AA120F" w:rsidRPr="00DA3BC7" w:rsidRDefault="00AA120F" w:rsidP="00E6656D">
      <w:pPr>
        <w:widowControl/>
        <w:ind w:leftChars="250" w:left="600"/>
        <w:jc w:val="both"/>
        <w:rPr>
          <w:rFonts w:ascii="Times New Roman" w:hAnsi="Times New Roman"/>
        </w:rPr>
      </w:pPr>
      <w:r w:rsidRPr="00DA3BC7">
        <w:rPr>
          <w:rFonts w:ascii="Times New Roman" w:hAnsi="Times New Roman"/>
        </w:rPr>
        <w:t>資糧不足，悲心不足，常會落於小乘的但空</w:t>
      </w:r>
      <w:r w:rsidRPr="00DA3BC7">
        <w:rPr>
          <w:rFonts w:ascii="Times New Roman" w:hAnsi="Times New Roman" w:hint="eastAsia"/>
        </w:rPr>
        <w:t>、</w:t>
      </w:r>
      <w:r w:rsidRPr="00DA3BC7">
        <w:rPr>
          <w:rFonts w:ascii="Times New Roman" w:hAnsi="Times New Roman"/>
        </w:rPr>
        <w:t>偏真。</w:t>
      </w:r>
      <w:r w:rsidRPr="00DA3BC7">
        <w:rPr>
          <w:rFonts w:ascii="Times New Roman" w:hAnsi="Times New Roman"/>
          <w:vertAlign w:val="superscript"/>
        </w:rPr>
        <w:footnoteReference w:id="1004"/>
      </w:r>
      <w:r w:rsidRPr="00DA3BC7">
        <w:rPr>
          <w:rFonts w:ascii="Times New Roman" w:hAnsi="Times New Roman"/>
        </w:rPr>
        <w:t>這還算是好的，墮於無想外道、空見外道的也有呢！</w:t>
      </w:r>
    </w:p>
    <w:p w:rsidR="00AA120F" w:rsidRPr="00DA3BC7" w:rsidRDefault="001862D9" w:rsidP="00AE3920">
      <w:pPr>
        <w:widowControl/>
        <w:spacing w:beforeLines="30"/>
        <w:ind w:leftChars="250" w:left="600"/>
        <w:jc w:val="both"/>
        <w:rPr>
          <w:rFonts w:ascii="Times New Roman" w:hAnsi="Times New Roman"/>
          <w:b/>
          <w:sz w:val="20"/>
          <w:szCs w:val="20"/>
          <w:bdr w:val="single" w:sz="4" w:space="0" w:color="auto"/>
        </w:rPr>
      </w:pPr>
      <w:r w:rsidRPr="001862D9">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2</w:t>
      </w:r>
      <w:r w:rsidRPr="001862D9">
        <w:rPr>
          <w:rFonts w:ascii="Times New Roman" w:hAnsi="Times New Roman"/>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頓悟</w:t>
      </w:r>
      <w:r w:rsidR="00AA120F" w:rsidRPr="00DA3BC7">
        <w:rPr>
          <w:rFonts w:ascii="Times New Roman" w:hAnsi="Times New Roman"/>
          <w:sz w:val="20"/>
        </w:rPr>
        <w:t>（</w:t>
      </w:r>
      <w:r w:rsidR="00AA120F" w:rsidRPr="00DA3BC7">
        <w:rPr>
          <w:rFonts w:ascii="Times New Roman" w:hAnsi="Times New Roman"/>
          <w:sz w:val="20"/>
        </w:rPr>
        <w:t>p.232</w:t>
      </w:r>
      <w:r w:rsidR="00AA120F" w:rsidRPr="00DA3BC7">
        <w:rPr>
          <w:rFonts w:ascii="Times New Roman" w:hAnsi="Times New Roman"/>
          <w:sz w:val="20"/>
        </w:rPr>
        <w:t>）</w:t>
      </w:r>
    </w:p>
    <w:p w:rsidR="00AA120F" w:rsidRPr="00DA3BC7" w:rsidRDefault="00AA120F" w:rsidP="00E6656D">
      <w:pPr>
        <w:widowControl/>
        <w:ind w:leftChars="250" w:left="600"/>
        <w:jc w:val="both"/>
        <w:rPr>
          <w:rFonts w:ascii="Times New Roman" w:hAnsi="Times New Roman"/>
        </w:rPr>
      </w:pPr>
      <w:r w:rsidRPr="00DA3BC7">
        <w:rPr>
          <w:rFonts w:ascii="Times New Roman" w:hAnsi="Times New Roman"/>
        </w:rPr>
        <w:t>初期大乘經論，說廣積資糧到無生法忍，在七地；</w:t>
      </w:r>
    </w:p>
    <w:p w:rsidR="00AA120F" w:rsidRPr="00DA3BC7" w:rsidRDefault="00AA120F" w:rsidP="00E6656D">
      <w:pPr>
        <w:widowControl/>
        <w:ind w:leftChars="250" w:left="600"/>
        <w:jc w:val="both"/>
        <w:rPr>
          <w:rFonts w:ascii="Times New Roman" w:hAnsi="Times New Roman"/>
        </w:rPr>
      </w:pPr>
      <w:r w:rsidRPr="00DA3BC7">
        <w:rPr>
          <w:rFonts w:ascii="Times New Roman" w:hAnsi="Times New Roman"/>
        </w:rPr>
        <w:t>唯識家與後期的中觀師，說在初地。</w:t>
      </w:r>
    </w:p>
    <w:p w:rsidR="00AA120F" w:rsidRPr="00DA3BC7" w:rsidRDefault="00AA120F" w:rsidP="00AE3920">
      <w:pPr>
        <w:widowControl/>
        <w:spacing w:beforeLines="20"/>
        <w:ind w:leftChars="250" w:left="600"/>
        <w:jc w:val="both"/>
        <w:rPr>
          <w:rFonts w:ascii="Times New Roman" w:hAnsi="Times New Roman"/>
          <w:b/>
        </w:rPr>
      </w:pPr>
      <w:r w:rsidRPr="00DA3BC7">
        <w:rPr>
          <w:rFonts w:ascii="Times New Roman" w:hAnsi="Times New Roman"/>
        </w:rPr>
        <w:t>此時，悟到一切法空性，遍一切一味相。空無相性，不了即不了，一了則一切了，故此也稱為頓悟的</w:t>
      </w:r>
      <w:r w:rsidRPr="00DA3BC7">
        <w:rPr>
          <w:rFonts w:ascii="新細明體" w:hAnsi="新細明體"/>
        </w:rPr>
        <w:t>──</w:t>
      </w:r>
      <w:r w:rsidRPr="00DA3BC7">
        <w:rPr>
          <w:rFonts w:ascii="Times New Roman" w:hAnsi="Times New Roman"/>
        </w:rPr>
        <w:t>中國稱之為小頓悟。此</w:t>
      </w:r>
      <w:r w:rsidRPr="00DA3BC7">
        <w:rPr>
          <w:rFonts w:ascii="Times New Roman" w:hAnsi="Times New Roman"/>
          <w:b/>
        </w:rPr>
        <w:t>頓悟空性，重</w:t>
      </w:r>
      <w:r w:rsidRPr="00DA3BC7">
        <w:rPr>
          <w:rFonts w:ascii="Times New Roman" w:hAnsi="Times New Roman"/>
          <w:b/>
        </w:rPr>
        <w:lastRenderedPageBreak/>
        <w:t>在離一切相的平等法性之體驗，而巨細無礙的緣起事</w:t>
      </w:r>
      <w:r w:rsidRPr="00DA3BC7">
        <w:rPr>
          <w:rFonts w:ascii="Times New Roman" w:hAnsi="Times New Roman" w:hint="eastAsia"/>
          <w:b/>
        </w:rPr>
        <w:t>、</w:t>
      </w:r>
      <w:r w:rsidRPr="00DA3BC7">
        <w:rPr>
          <w:rFonts w:ascii="Times New Roman" w:hAnsi="Times New Roman"/>
          <w:b/>
        </w:rPr>
        <w:t>功德無邊的悲智事</w:t>
      </w:r>
      <w:r w:rsidRPr="00DA3BC7">
        <w:rPr>
          <w:rFonts w:ascii="Times New Roman" w:hAnsi="Times New Roman"/>
          <w:szCs w:val="20"/>
          <w:vertAlign w:val="superscript"/>
        </w:rPr>
        <w:footnoteReference w:id="1005"/>
      </w:r>
      <w:r w:rsidRPr="00DA3BC7">
        <w:rPr>
          <w:rFonts w:ascii="Times New Roman" w:hAnsi="Times New Roman"/>
          <w:b/>
        </w:rPr>
        <w:t>，此時都沒有圓滿。</w:t>
      </w:r>
    </w:p>
    <w:p w:rsidR="00AA120F" w:rsidRPr="00DA3BC7" w:rsidRDefault="001862D9" w:rsidP="00AE3920">
      <w:pPr>
        <w:widowControl/>
        <w:spacing w:beforeLines="30"/>
        <w:ind w:leftChars="200" w:left="48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2</w:t>
      </w:r>
      <w:r>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hint="eastAsia"/>
          <w:b/>
          <w:sz w:val="20"/>
          <w:szCs w:val="20"/>
          <w:bdr w:val="single" w:sz="4" w:space="0" w:color="auto"/>
        </w:rPr>
        <w:t>從</w:t>
      </w:r>
      <w:r w:rsidR="009C0685">
        <w:rPr>
          <w:rFonts w:ascii="Times New Roman" w:hAnsi="Times New Roman" w:hint="eastAsia"/>
          <w:b/>
          <w:sz w:val="20"/>
          <w:szCs w:val="20"/>
          <w:bdr w:val="single" w:sz="4" w:space="0" w:color="auto"/>
        </w:rPr>
        <w:t>「</w:t>
      </w:r>
      <w:r w:rsidR="00AA120F" w:rsidRPr="00DA3BC7">
        <w:rPr>
          <w:rFonts w:ascii="Times New Roman" w:hAnsi="Times New Roman"/>
          <w:b/>
          <w:sz w:val="20"/>
          <w:szCs w:val="20"/>
          <w:bdr w:val="single" w:sz="4" w:space="0" w:color="auto"/>
        </w:rPr>
        <w:t>頓悟</w:t>
      </w:r>
      <w:r w:rsidR="009C0685">
        <w:rPr>
          <w:rFonts w:ascii="Times New Roman" w:hAnsi="Times New Roman" w:hint="eastAsia"/>
          <w:b/>
          <w:sz w:val="20"/>
          <w:szCs w:val="20"/>
          <w:bdr w:val="single" w:sz="4" w:space="0" w:color="auto"/>
        </w:rPr>
        <w:t>」</w:t>
      </w:r>
      <w:r w:rsidR="00AA120F" w:rsidRPr="00DA3BC7">
        <w:rPr>
          <w:rFonts w:ascii="Times New Roman" w:hAnsi="Times New Roman"/>
          <w:b/>
          <w:sz w:val="20"/>
          <w:szCs w:val="20"/>
          <w:bdr w:val="single" w:sz="4" w:space="0" w:color="auto"/>
        </w:rPr>
        <w:t>至</w:t>
      </w:r>
      <w:r w:rsidR="009C0685">
        <w:rPr>
          <w:rFonts w:ascii="Times New Roman" w:hAnsi="Times New Roman" w:hint="eastAsia"/>
          <w:b/>
          <w:sz w:val="20"/>
          <w:szCs w:val="20"/>
          <w:bdr w:val="single" w:sz="4" w:space="0" w:color="auto"/>
        </w:rPr>
        <w:t>「</w:t>
      </w:r>
      <w:r w:rsidR="00AA120F" w:rsidRPr="00DA3BC7">
        <w:rPr>
          <w:rFonts w:ascii="Times New Roman" w:hAnsi="Times New Roman"/>
          <w:b/>
          <w:sz w:val="20"/>
          <w:szCs w:val="20"/>
          <w:bdr w:val="single" w:sz="4" w:space="0" w:color="auto"/>
        </w:rPr>
        <w:t>圓</w:t>
      </w:r>
      <w:r w:rsidR="00AA120F" w:rsidRPr="001862D9">
        <w:rPr>
          <w:rFonts w:ascii="Times New Roman" w:hAnsi="Times New Roman"/>
          <w:b/>
          <w:sz w:val="20"/>
          <w:szCs w:val="20"/>
          <w:highlight w:val="yellow"/>
          <w:bdr w:val="single" w:sz="4" w:space="0" w:color="auto"/>
        </w:rPr>
        <w:t>修</w:t>
      </w:r>
      <w:r w:rsidR="009C0685">
        <w:rPr>
          <w:rFonts w:ascii="Times New Roman" w:hAnsi="Times New Roman" w:hint="eastAsia"/>
          <w:b/>
          <w:sz w:val="20"/>
          <w:szCs w:val="20"/>
          <w:bdr w:val="single" w:sz="4" w:space="0" w:color="auto"/>
        </w:rPr>
        <w:t>」</w:t>
      </w:r>
      <w:r w:rsidR="00AA120F" w:rsidRPr="00DA3BC7">
        <w:rPr>
          <w:rFonts w:ascii="Times New Roman" w:hAnsi="Times New Roman"/>
          <w:sz w:val="20"/>
        </w:rPr>
        <w:t>（</w:t>
      </w:r>
      <w:r w:rsidR="00AA120F" w:rsidRPr="00DA3BC7">
        <w:rPr>
          <w:rFonts w:ascii="Times New Roman" w:hAnsi="Times New Roman"/>
          <w:sz w:val="20"/>
        </w:rPr>
        <w:t>pp.232-233</w:t>
      </w:r>
      <w:r w:rsidR="00AA120F" w:rsidRPr="00DA3BC7">
        <w:rPr>
          <w:rFonts w:ascii="Times New Roman" w:hAnsi="Times New Roman"/>
          <w:sz w:val="20"/>
        </w:rPr>
        <w:t>）</w:t>
      </w:r>
    </w:p>
    <w:p w:rsidR="001862D9" w:rsidRPr="00DA3BC7" w:rsidRDefault="001862D9" w:rsidP="00E6656D">
      <w:pPr>
        <w:widowControl/>
        <w:ind w:leftChars="250" w:left="600"/>
        <w:jc w:val="both"/>
        <w:rPr>
          <w:rFonts w:ascii="Times New Roman" w:hAnsi="Times New Roman"/>
          <w:b/>
          <w:sz w:val="20"/>
          <w:szCs w:val="20"/>
          <w:bdr w:val="single" w:sz="4" w:space="0" w:color="auto"/>
        </w:rPr>
      </w:pPr>
      <w:r w:rsidRPr="001862D9">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1</w:t>
      </w:r>
      <w:r w:rsidRPr="001862D9">
        <w:rPr>
          <w:rFonts w:ascii="Times New Roman" w:hAnsi="Times New Roman"/>
          <w:b/>
          <w:color w:val="FF0000"/>
          <w:sz w:val="20"/>
          <w:szCs w:val="20"/>
          <w:highlight w:val="yellow"/>
          <w:bdr w:val="single" w:sz="4" w:space="0" w:color="auto"/>
        </w:rPr>
        <w:t>）</w:t>
      </w:r>
      <w:r w:rsidRPr="001862D9">
        <w:rPr>
          <w:rFonts w:ascii="Times New Roman" w:hAnsi="Times New Roman" w:hint="eastAsia"/>
          <w:b/>
          <w:color w:val="FF0000"/>
          <w:sz w:val="20"/>
          <w:szCs w:val="20"/>
          <w:highlight w:val="yellow"/>
          <w:bdr w:val="single" w:sz="4" w:space="0" w:color="auto"/>
        </w:rPr>
        <w:t>性修</w:t>
      </w:r>
      <w:r w:rsidR="001B7722">
        <w:rPr>
          <w:rFonts w:ascii="Times New Roman" w:hAnsi="Times New Roman" w:hint="eastAsia"/>
          <w:b/>
          <w:color w:val="FF0000"/>
          <w:sz w:val="20"/>
          <w:szCs w:val="20"/>
          <w:highlight w:val="yellow"/>
          <w:bdr w:val="single" w:sz="4" w:space="0" w:color="auto"/>
        </w:rPr>
        <w:t>──悟後修</w:t>
      </w:r>
      <w:r w:rsidRPr="00DA3BC7">
        <w:rPr>
          <w:rFonts w:ascii="Times New Roman" w:hAnsi="Times New Roman"/>
          <w:sz w:val="20"/>
        </w:rPr>
        <w:t>（</w:t>
      </w:r>
      <w:r w:rsidRPr="00DA3BC7">
        <w:rPr>
          <w:rFonts w:ascii="Times New Roman" w:hAnsi="Times New Roman"/>
          <w:sz w:val="20"/>
        </w:rPr>
        <w:t>pp.232</w:t>
      </w:r>
      <w:r>
        <w:rPr>
          <w:rFonts w:ascii="Times New Roman" w:hAnsi="Times New Roman" w:hint="eastAsia"/>
          <w:sz w:val="20"/>
        </w:rPr>
        <w:t>-233</w:t>
      </w:r>
      <w:r w:rsidRPr="00DA3BC7">
        <w:rPr>
          <w:rFonts w:ascii="Times New Roman" w:hAnsi="Times New Roman"/>
          <w:sz w:val="20"/>
        </w:rPr>
        <w:t>）</w:t>
      </w:r>
    </w:p>
    <w:p w:rsidR="00AA120F" w:rsidRPr="00DA3BC7" w:rsidRDefault="00AA120F" w:rsidP="00E6656D">
      <w:pPr>
        <w:widowControl/>
        <w:ind w:leftChars="250" w:left="600"/>
        <w:jc w:val="both"/>
        <w:rPr>
          <w:rFonts w:ascii="Times New Roman" w:hAnsi="Times New Roman"/>
        </w:rPr>
      </w:pPr>
      <w:r w:rsidRPr="00DA3BC7">
        <w:rPr>
          <w:rFonts w:ascii="Times New Roman" w:hAnsi="Times New Roman"/>
        </w:rPr>
        <w:t>更依此頓悟的般若慧，攝導萬行，修習上進。</w:t>
      </w:r>
    </w:p>
    <w:p w:rsidR="001862D9" w:rsidRDefault="00AA120F" w:rsidP="00E6656D">
      <w:pPr>
        <w:widowControl/>
        <w:ind w:leftChars="250" w:left="600"/>
        <w:jc w:val="both"/>
        <w:rPr>
          <w:rFonts w:ascii="Times New Roman" w:hAnsi="Times New Roman"/>
          <w:b/>
        </w:rPr>
      </w:pPr>
      <w:r w:rsidRPr="00DA3BC7">
        <w:rPr>
          <w:rFonts w:ascii="Times New Roman" w:hAnsi="Times New Roman"/>
        </w:rPr>
        <w:t>這與悟前的事修不同，</w:t>
      </w:r>
      <w:r w:rsidRPr="00DA3BC7">
        <w:rPr>
          <w:rFonts w:ascii="Times New Roman" w:hAnsi="Times New Roman"/>
          <w:b/>
        </w:rPr>
        <w:t>悟前修</w:t>
      </w:r>
      <w:r w:rsidRPr="00DA3BC7">
        <w:rPr>
          <w:rFonts w:ascii="Times New Roman" w:hAnsi="Times New Roman"/>
        </w:rPr>
        <w:t>可稱為</w:t>
      </w:r>
      <w:r w:rsidRPr="00DA3BC7">
        <w:rPr>
          <w:rFonts w:ascii="Times New Roman" w:hAnsi="Times New Roman"/>
          <w:b/>
        </w:rPr>
        <w:t>緣修</w:t>
      </w:r>
      <w:r w:rsidRPr="00DA3BC7">
        <w:rPr>
          <w:rFonts w:ascii="Times New Roman" w:hAnsi="Times New Roman"/>
        </w:rPr>
        <w:t>，</w:t>
      </w:r>
      <w:r w:rsidRPr="00DA3BC7">
        <w:rPr>
          <w:rFonts w:ascii="Times New Roman" w:hAnsi="Times New Roman"/>
          <w:b/>
        </w:rPr>
        <w:t>悟後修</w:t>
      </w:r>
      <w:r w:rsidRPr="00DA3BC7">
        <w:rPr>
          <w:rFonts w:ascii="Times New Roman" w:hAnsi="Times New Roman"/>
        </w:rPr>
        <w:t>可稱為</w:t>
      </w:r>
      <w:r w:rsidRPr="00DA3BC7">
        <w:rPr>
          <w:rFonts w:ascii="Times New Roman" w:hAnsi="Times New Roman"/>
          <w:b/>
        </w:rPr>
        <w:t>性修，即與般若</w:t>
      </w:r>
      <w:r w:rsidRPr="00DA3BC7">
        <w:rPr>
          <w:rFonts w:ascii="新細明體" w:hAnsi="新細明體"/>
          <w:b/>
        </w:rPr>
        <w:t>──</w:t>
      </w:r>
      <w:r w:rsidRPr="00DA3BC7">
        <w:rPr>
          <w:rFonts w:ascii="Times New Roman" w:hAnsi="Times New Roman"/>
          <w:b/>
        </w:rPr>
        <w:t>稱法性慧相應而修。</w:t>
      </w:r>
    </w:p>
    <w:p w:rsidR="001862D9" w:rsidRPr="00DA3BC7" w:rsidRDefault="001862D9" w:rsidP="00AE3920">
      <w:pPr>
        <w:widowControl/>
        <w:spacing w:beforeLines="30"/>
        <w:ind w:leftChars="250" w:left="600"/>
        <w:jc w:val="both"/>
        <w:rPr>
          <w:rFonts w:ascii="Times New Roman" w:hAnsi="Times New Roman"/>
          <w:b/>
          <w:sz w:val="20"/>
          <w:szCs w:val="20"/>
          <w:bdr w:val="single" w:sz="4" w:space="0" w:color="auto"/>
        </w:rPr>
      </w:pPr>
      <w:r w:rsidRPr="001862D9">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2</w:t>
      </w:r>
      <w:r w:rsidRPr="001862D9">
        <w:rPr>
          <w:rFonts w:ascii="Times New Roman" w:hAnsi="Times New Roman"/>
          <w:b/>
          <w:color w:val="FF0000"/>
          <w:sz w:val="20"/>
          <w:szCs w:val="20"/>
          <w:highlight w:val="yellow"/>
          <w:bdr w:val="single" w:sz="4" w:space="0" w:color="auto"/>
        </w:rPr>
        <w:t>）</w:t>
      </w:r>
      <w:r w:rsidRPr="001862D9">
        <w:rPr>
          <w:rFonts w:ascii="Times New Roman" w:hAnsi="Times New Roman" w:hint="eastAsia"/>
          <w:b/>
          <w:color w:val="FF0000"/>
          <w:sz w:val="20"/>
          <w:szCs w:val="20"/>
          <w:highlight w:val="yellow"/>
          <w:bdr w:val="single" w:sz="4" w:space="0" w:color="auto"/>
        </w:rPr>
        <w:t>果圓</w:t>
      </w:r>
      <w:r w:rsidRPr="00DA3BC7">
        <w:rPr>
          <w:rFonts w:ascii="Times New Roman" w:hAnsi="Times New Roman"/>
          <w:sz w:val="20"/>
        </w:rPr>
        <w:t>（</w:t>
      </w:r>
      <w:r w:rsidRPr="00DA3BC7">
        <w:rPr>
          <w:rFonts w:ascii="Times New Roman" w:hAnsi="Times New Roman"/>
          <w:sz w:val="20"/>
        </w:rPr>
        <w:t>p.23</w:t>
      </w:r>
      <w:r>
        <w:rPr>
          <w:rFonts w:ascii="Times New Roman" w:hAnsi="Times New Roman" w:hint="eastAsia"/>
          <w:sz w:val="20"/>
        </w:rPr>
        <w:t>3</w:t>
      </w:r>
      <w:r w:rsidRPr="00DA3BC7">
        <w:rPr>
          <w:rFonts w:ascii="Times New Roman" w:hAnsi="Times New Roman"/>
          <w:sz w:val="20"/>
        </w:rPr>
        <w:t>）</w:t>
      </w:r>
    </w:p>
    <w:p w:rsidR="00AA120F" w:rsidRPr="00DA3BC7" w:rsidRDefault="00AA120F" w:rsidP="00E6656D">
      <w:pPr>
        <w:widowControl/>
        <w:ind w:leftChars="250" w:left="600"/>
        <w:jc w:val="both"/>
        <w:rPr>
          <w:rFonts w:ascii="Times New Roman" w:hAnsi="Times New Roman"/>
        </w:rPr>
      </w:pPr>
      <w:r w:rsidRPr="00DA3BC7">
        <w:rPr>
          <w:rFonts w:ascii="Times New Roman" w:hAnsi="Times New Roman"/>
        </w:rPr>
        <w:t>如達到性修不二，事理無礙，福智具足，方是究竟成佛。</w:t>
      </w:r>
    </w:p>
    <w:p w:rsidR="00AA120F" w:rsidRPr="00DA3BC7" w:rsidRDefault="001B7722" w:rsidP="00AE3920">
      <w:pPr>
        <w:widowControl/>
        <w:spacing w:beforeLines="30"/>
        <w:ind w:leftChars="150" w:left="360"/>
        <w:jc w:val="both"/>
        <w:rPr>
          <w:rFonts w:ascii="Times New Roman" w:hAnsi="Times New Roman"/>
          <w:b/>
          <w:sz w:val="20"/>
          <w:szCs w:val="20"/>
          <w:bdr w:val="single" w:sz="4" w:space="0" w:color="auto"/>
        </w:rPr>
      </w:pPr>
      <w:r w:rsidRPr="001862D9">
        <w:rPr>
          <w:rFonts w:ascii="Times New Roman" w:hAnsi="Times New Roman"/>
          <w:b/>
          <w:color w:val="FF0000"/>
          <w:sz w:val="20"/>
          <w:szCs w:val="20"/>
          <w:highlight w:val="yellow"/>
          <w:bdr w:val="single" w:sz="4" w:space="0" w:color="auto"/>
        </w:rPr>
        <w:t>（</w:t>
      </w:r>
      <w:r w:rsidRPr="001B7722">
        <w:rPr>
          <w:rFonts w:ascii="Times New Roman" w:hAnsi="Times New Roman" w:hint="eastAsia"/>
          <w:b/>
          <w:color w:val="FF0000"/>
          <w:sz w:val="20"/>
          <w:szCs w:val="20"/>
          <w:highlight w:val="yellow"/>
          <w:bdr w:val="single" w:sz="4" w:space="0" w:color="auto"/>
        </w:rPr>
        <w:t>三</w:t>
      </w:r>
      <w:r w:rsidRPr="001862D9">
        <w:rPr>
          <w:rFonts w:ascii="Times New Roman" w:hAnsi="Times New Roman"/>
          <w:b/>
          <w:color w:val="FF0000"/>
          <w:sz w:val="20"/>
          <w:szCs w:val="20"/>
          <w:highlight w:val="yellow"/>
          <w:bdr w:val="single" w:sz="4" w:space="0" w:color="auto"/>
        </w:rPr>
        <w:t>）</w:t>
      </w:r>
      <w:r w:rsidR="00AA120F" w:rsidRPr="00DA3BC7">
        <w:rPr>
          <w:rFonts w:ascii="Times New Roman" w:hAnsi="Times New Roman" w:hint="eastAsia"/>
          <w:b/>
          <w:sz w:val="20"/>
          <w:szCs w:val="20"/>
          <w:bdr w:val="single" w:sz="4" w:space="0" w:color="auto"/>
        </w:rPr>
        <w:t>結</w:t>
      </w:r>
      <w:r w:rsidR="00AA120F" w:rsidRPr="001B7722">
        <w:rPr>
          <w:rFonts w:ascii="Times New Roman" w:hAnsi="Times New Roman" w:hint="eastAsia"/>
          <w:b/>
          <w:sz w:val="20"/>
          <w:szCs w:val="20"/>
          <w:highlight w:val="yellow"/>
          <w:bdr w:val="single" w:sz="4" w:space="0" w:color="auto"/>
        </w:rPr>
        <w:t>說</w:t>
      </w:r>
      <w:r w:rsidR="00AA120F" w:rsidRPr="00DA3BC7">
        <w:rPr>
          <w:rFonts w:ascii="Times New Roman" w:hAnsi="Times New Roman"/>
          <w:sz w:val="20"/>
        </w:rPr>
        <w:t>（</w:t>
      </w:r>
      <w:r w:rsidR="00AA120F" w:rsidRPr="00DA3BC7">
        <w:rPr>
          <w:rFonts w:ascii="Times New Roman" w:hAnsi="Times New Roman"/>
          <w:sz w:val="20"/>
        </w:rPr>
        <w:t>p.233</w:t>
      </w:r>
      <w:r w:rsidR="00AA120F" w:rsidRPr="00DA3BC7">
        <w:rPr>
          <w:rFonts w:ascii="Times New Roman" w:hAnsi="Times New Roman"/>
          <w:sz w:val="20"/>
        </w:rPr>
        <w:t>）</w:t>
      </w:r>
    </w:p>
    <w:p w:rsidR="00AA120F" w:rsidRPr="00DA3BC7" w:rsidRDefault="00AA120F" w:rsidP="00E6656D">
      <w:pPr>
        <w:widowControl/>
        <w:ind w:leftChars="150" w:left="360"/>
        <w:jc w:val="both"/>
        <w:rPr>
          <w:rFonts w:ascii="Times New Roman" w:hAnsi="Times New Roman"/>
        </w:rPr>
      </w:pPr>
      <w:r w:rsidRPr="00DA3BC7">
        <w:rPr>
          <w:rFonts w:ascii="Times New Roman" w:hAnsi="Times New Roman"/>
        </w:rPr>
        <w:t>這是大乘佛法修行取悟的通規：因事修而起頓悟，依真悟而起廣行，頓悟在實踐過程的中心。</w:t>
      </w:r>
    </w:p>
    <w:p w:rsidR="00AA120F" w:rsidRPr="00DA3BC7" w:rsidRDefault="00AA120F" w:rsidP="00AE3920">
      <w:pPr>
        <w:widowControl/>
        <w:spacing w:beforeLines="20"/>
        <w:ind w:leftChars="150" w:left="360"/>
        <w:jc w:val="both"/>
        <w:rPr>
          <w:rFonts w:ascii="Times New Roman" w:hAnsi="Times New Roman"/>
          <w:b/>
        </w:rPr>
      </w:pPr>
      <w:r w:rsidRPr="00DA3BC7">
        <w:rPr>
          <w:rFonts w:ascii="Times New Roman" w:hAnsi="Times New Roman"/>
        </w:rPr>
        <w:t>至於</w:t>
      </w:r>
      <w:r w:rsidRPr="00DA3BC7">
        <w:rPr>
          <w:rFonts w:ascii="Times New Roman" w:hAnsi="Times New Roman"/>
          <w:b/>
        </w:rPr>
        <w:t>道生的直修到成佛而頓悟，是末後的；</w:t>
      </w:r>
    </w:p>
    <w:p w:rsidR="00AA120F" w:rsidRPr="00DA3BC7" w:rsidRDefault="00AA120F" w:rsidP="00E6656D">
      <w:pPr>
        <w:widowControl/>
        <w:ind w:leftChars="350" w:left="840"/>
        <w:jc w:val="both"/>
        <w:rPr>
          <w:rFonts w:ascii="Times New Roman" w:hAnsi="Times New Roman"/>
          <w:b/>
        </w:rPr>
      </w:pPr>
      <w:r w:rsidRPr="001B7722">
        <w:rPr>
          <w:rFonts w:ascii="Times New Roman" w:hAnsi="Times New Roman"/>
          <w:b/>
          <w:highlight w:val="yellow"/>
        </w:rPr>
        <w:t>禪</w:t>
      </w:r>
      <w:r w:rsidRPr="00DA3BC7">
        <w:rPr>
          <w:rFonts w:ascii="Times New Roman" w:hAnsi="Times New Roman"/>
          <w:b/>
        </w:rPr>
        <w:t>宗的不重事修而先求悟，是最前的，</w:t>
      </w:r>
    </w:p>
    <w:p w:rsidR="00AA120F" w:rsidRPr="00DA3BC7" w:rsidRDefault="00AA120F" w:rsidP="00E6656D">
      <w:pPr>
        <w:widowControl/>
        <w:ind w:leftChars="350" w:left="840"/>
        <w:jc w:val="both"/>
        <w:rPr>
          <w:rFonts w:ascii="Times New Roman" w:hAnsi="Times New Roman"/>
        </w:rPr>
      </w:pPr>
      <w:r w:rsidRPr="001B7722">
        <w:rPr>
          <w:rFonts w:ascii="Times New Roman" w:hAnsi="Times New Roman"/>
          <w:b/>
          <w:highlight w:val="yellow"/>
        </w:rPr>
        <w:t>都</w:t>
      </w:r>
      <w:r w:rsidRPr="00DA3BC7">
        <w:rPr>
          <w:rFonts w:ascii="Times New Roman" w:hAnsi="Times New Roman"/>
          <w:b/>
        </w:rPr>
        <w:t>不是大乘佛法的正軌</w:t>
      </w:r>
      <w:r w:rsidRPr="00DA3BC7">
        <w:rPr>
          <w:rFonts w:ascii="Times New Roman" w:hAnsi="Times New Roman"/>
          <w:vertAlign w:val="superscript"/>
        </w:rPr>
        <w:footnoteReference w:id="1006"/>
      </w:r>
      <w:r w:rsidRPr="00DA3BC7">
        <w:rPr>
          <w:rFonts w:ascii="Times New Roman" w:hAnsi="Times New Roman"/>
          <w:b/>
        </w:rPr>
        <w:t>。</w:t>
      </w:r>
    </w:p>
    <w:p w:rsidR="00AA120F" w:rsidRPr="00DA3BC7" w:rsidRDefault="001B7722" w:rsidP="00AE3920">
      <w:pPr>
        <w:widowControl/>
        <w:spacing w:beforeLines="30"/>
        <w:ind w:leftChars="50" w:left="120"/>
        <w:jc w:val="both"/>
        <w:rPr>
          <w:rFonts w:ascii="Times New Roman" w:hAnsi="Times New Roman"/>
          <w:b/>
          <w:sz w:val="20"/>
          <w:szCs w:val="20"/>
          <w:bdr w:val="single" w:sz="4" w:space="0" w:color="auto"/>
        </w:rPr>
      </w:pPr>
      <w:r w:rsidRPr="001B7722">
        <w:rPr>
          <w:rFonts w:ascii="Times New Roman" w:hAnsi="Times New Roman"/>
          <w:b/>
          <w:color w:val="FF0000"/>
          <w:sz w:val="20"/>
          <w:szCs w:val="20"/>
          <w:highlight w:val="yellow"/>
          <w:bdr w:val="single" w:sz="4" w:space="0" w:color="auto"/>
        </w:rPr>
        <w:t>（貳）所悟的理</w:t>
      </w:r>
      <w:r>
        <w:rPr>
          <w:rFonts w:ascii="Times New Roman" w:hAnsi="Times New Roman" w:hint="eastAsia"/>
          <w:b/>
          <w:color w:val="FF0000"/>
          <w:sz w:val="20"/>
          <w:szCs w:val="20"/>
          <w:highlight w:val="yellow"/>
          <w:bdr w:val="single" w:sz="4" w:space="0" w:color="auto"/>
        </w:rPr>
        <w:t>境─</w:t>
      </w:r>
      <w:r w:rsidRPr="001B7722">
        <w:rPr>
          <w:rFonts w:ascii="Times New Roman" w:hAnsi="Times New Roman" w:hint="eastAsia"/>
          <w:b/>
          <w:color w:val="FF0000"/>
          <w:sz w:val="20"/>
          <w:szCs w:val="20"/>
          <w:highlight w:val="yellow"/>
          <w:bdr w:val="single" w:sz="4" w:space="0" w:color="auto"/>
        </w:rPr>
        <w:t>─</w:t>
      </w:r>
      <w:r w:rsidR="00AA120F" w:rsidRPr="001B7722">
        <w:rPr>
          <w:rFonts w:ascii="Times New Roman" w:hAnsi="Times New Roman" w:hint="eastAsia"/>
          <w:b/>
          <w:color w:val="FF0000"/>
          <w:sz w:val="20"/>
          <w:szCs w:val="20"/>
          <w:highlight w:val="yellow"/>
          <w:bdr w:val="single" w:sz="4" w:space="0" w:color="auto"/>
        </w:rPr>
        <w:t>「偏</w:t>
      </w:r>
      <w:r w:rsidRPr="001B7722">
        <w:rPr>
          <w:rFonts w:ascii="Times New Roman" w:hAnsi="Times New Roman" w:hint="eastAsia"/>
          <w:b/>
          <w:color w:val="FF0000"/>
          <w:sz w:val="20"/>
          <w:szCs w:val="20"/>
          <w:highlight w:val="yellow"/>
          <w:bdr w:val="single" w:sz="4" w:space="0" w:color="auto"/>
        </w:rPr>
        <w:t>真」與「</w:t>
      </w:r>
      <w:r w:rsidR="00AA120F" w:rsidRPr="001B7722">
        <w:rPr>
          <w:rFonts w:ascii="Times New Roman" w:hAnsi="Times New Roman"/>
          <w:b/>
          <w:color w:val="FF0000"/>
          <w:sz w:val="20"/>
          <w:szCs w:val="20"/>
          <w:highlight w:val="yellow"/>
          <w:bdr w:val="single" w:sz="4" w:space="0" w:color="auto"/>
        </w:rPr>
        <w:t>圓</w:t>
      </w:r>
      <w:r w:rsidRPr="001B7722">
        <w:rPr>
          <w:rFonts w:ascii="Times New Roman" w:hAnsi="Times New Roman" w:hint="eastAsia"/>
          <w:b/>
          <w:color w:val="FF0000"/>
          <w:sz w:val="20"/>
          <w:szCs w:val="20"/>
          <w:highlight w:val="yellow"/>
          <w:bdr w:val="single" w:sz="4" w:space="0" w:color="auto"/>
        </w:rPr>
        <w:t>中</w:t>
      </w:r>
      <w:r w:rsidR="00AA120F" w:rsidRPr="001B7722">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sz w:val="20"/>
        </w:rPr>
        <w:t>（</w:t>
      </w:r>
      <w:r w:rsidR="00AA120F" w:rsidRPr="00DA3BC7">
        <w:rPr>
          <w:rFonts w:ascii="Times New Roman" w:hAnsi="Times New Roman"/>
          <w:sz w:val="20"/>
        </w:rPr>
        <w:t>pp.233-23</w:t>
      </w:r>
      <w:r w:rsidR="00AA120F" w:rsidRPr="00DA3BC7">
        <w:rPr>
          <w:rFonts w:ascii="Times New Roman" w:hAnsi="Times New Roman" w:hint="eastAsia"/>
          <w:sz w:val="20"/>
        </w:rPr>
        <w:t>5</w:t>
      </w:r>
      <w:r w:rsidR="00AA120F" w:rsidRPr="00DA3BC7">
        <w:rPr>
          <w:rFonts w:ascii="Times New Roman" w:hAnsi="Times New Roman"/>
          <w:sz w:val="20"/>
        </w:rPr>
        <w:t>）</w:t>
      </w:r>
    </w:p>
    <w:p w:rsidR="00AA120F" w:rsidRPr="00DA3BC7" w:rsidRDefault="00123067" w:rsidP="008E2BBC">
      <w:pPr>
        <w:widowControl/>
        <w:ind w:leftChars="50" w:left="120"/>
        <w:jc w:val="both"/>
        <w:rPr>
          <w:rFonts w:ascii="Times New Roman" w:hAnsi="Times New Roman"/>
          <w:b/>
          <w:sz w:val="20"/>
          <w:szCs w:val="20"/>
          <w:bdr w:val="single" w:sz="4" w:space="0" w:color="auto"/>
        </w:rPr>
      </w:pPr>
      <w:r w:rsidRPr="00123067">
        <w:rPr>
          <w:rFonts w:ascii="Times New Roman" w:hAnsi="Times New Roman" w:hint="eastAsia"/>
          <w:b/>
          <w:color w:val="FF0000"/>
          <w:sz w:val="20"/>
          <w:szCs w:val="20"/>
          <w:highlight w:val="yellow"/>
          <w:bdr w:val="single" w:sz="4" w:space="0" w:color="auto"/>
        </w:rPr>
        <w:t>一、</w:t>
      </w:r>
      <w:r w:rsidR="00AA120F" w:rsidRPr="00DA3BC7">
        <w:rPr>
          <w:rFonts w:ascii="Times New Roman" w:hAnsi="Times New Roman" w:hint="eastAsia"/>
          <w:b/>
          <w:sz w:val="20"/>
          <w:szCs w:val="20"/>
          <w:bdr w:val="single" w:sz="4" w:space="0" w:color="auto"/>
        </w:rPr>
        <w:t>總</w:t>
      </w:r>
      <w:r w:rsidR="00AA120F" w:rsidRPr="00123067">
        <w:rPr>
          <w:rFonts w:ascii="Times New Roman" w:hAnsi="Times New Roman" w:hint="eastAsia"/>
          <w:b/>
          <w:sz w:val="20"/>
          <w:szCs w:val="20"/>
          <w:highlight w:val="yellow"/>
          <w:bdr w:val="single" w:sz="4" w:space="0" w:color="auto"/>
        </w:rPr>
        <w:t>標</w:t>
      </w:r>
      <w:r w:rsidR="00AA120F" w:rsidRPr="00DA3BC7">
        <w:rPr>
          <w:rFonts w:ascii="Times New Roman" w:hAnsi="Times New Roman"/>
          <w:sz w:val="20"/>
        </w:rPr>
        <w:t>（</w:t>
      </w:r>
      <w:r w:rsidR="00AA120F" w:rsidRPr="00DA3BC7">
        <w:rPr>
          <w:rFonts w:ascii="Times New Roman" w:hAnsi="Times New Roman"/>
          <w:sz w:val="20"/>
        </w:rPr>
        <w:t>p.233</w:t>
      </w:r>
      <w:r w:rsidR="00AA120F" w:rsidRPr="00DA3BC7">
        <w:rPr>
          <w:rFonts w:ascii="Times New Roman" w:hAnsi="Times New Roman"/>
          <w:sz w:val="20"/>
        </w:rPr>
        <w:t>）</w:t>
      </w:r>
    </w:p>
    <w:p w:rsidR="00AA120F" w:rsidRPr="00DA3BC7" w:rsidRDefault="00AA120F" w:rsidP="008E2BBC">
      <w:pPr>
        <w:widowControl/>
        <w:ind w:leftChars="50" w:left="120"/>
        <w:jc w:val="both"/>
        <w:rPr>
          <w:rFonts w:ascii="Times New Roman" w:hAnsi="Times New Roman"/>
        </w:rPr>
      </w:pPr>
      <w:r w:rsidRPr="00DA3BC7">
        <w:rPr>
          <w:rFonts w:ascii="Times New Roman" w:hAnsi="Times New Roman"/>
        </w:rPr>
        <w:t>從凡入聖，即先從事修而後入真悟，所悟的理是什麼？這可安立為</w:t>
      </w:r>
      <w:r w:rsidRPr="00DA3BC7">
        <w:rPr>
          <w:rFonts w:ascii="Times New Roman" w:hAnsi="Times New Roman"/>
          <w:b/>
        </w:rPr>
        <w:t>悟圓中</w:t>
      </w:r>
      <w:r w:rsidRPr="00DA3BC7">
        <w:rPr>
          <w:rFonts w:ascii="Times New Roman" w:hAnsi="Times New Roman"/>
        </w:rPr>
        <w:t>與</w:t>
      </w:r>
      <w:r w:rsidRPr="00DA3BC7">
        <w:rPr>
          <w:rFonts w:ascii="Times New Roman" w:hAnsi="Times New Roman"/>
          <w:b/>
        </w:rPr>
        <w:t>悟偏真</w:t>
      </w:r>
      <w:r w:rsidRPr="00DA3BC7">
        <w:rPr>
          <w:rFonts w:ascii="Times New Roman" w:hAnsi="Times New Roman"/>
        </w:rPr>
        <w:t>的兩種。</w:t>
      </w:r>
    </w:p>
    <w:p w:rsidR="00AA120F" w:rsidRPr="00DA3BC7" w:rsidRDefault="00123067" w:rsidP="00AE3920">
      <w:pPr>
        <w:widowControl/>
        <w:spacing w:beforeLines="30"/>
        <w:ind w:leftChars="50" w:left="12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二</w:t>
      </w:r>
      <w:r w:rsidRPr="00123067">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略舉</w:t>
      </w:r>
      <w:r>
        <w:rPr>
          <w:rFonts w:ascii="Times New Roman" w:hAnsi="Times New Roman" w:hint="eastAsia"/>
          <w:b/>
          <w:color w:val="FF0000"/>
          <w:sz w:val="20"/>
          <w:szCs w:val="20"/>
          <w:highlight w:val="yellow"/>
          <w:bdr w:val="single" w:sz="4" w:space="0" w:color="auto"/>
        </w:rPr>
        <w:t>眾</w:t>
      </w:r>
      <w:r w:rsidR="00AA120F" w:rsidRPr="00DA3BC7">
        <w:rPr>
          <w:rFonts w:ascii="Times New Roman" w:hAnsi="Times New Roman"/>
          <w:b/>
          <w:sz w:val="20"/>
          <w:szCs w:val="20"/>
          <w:bdr w:val="single" w:sz="4" w:space="0" w:color="auto"/>
        </w:rPr>
        <w:t>說</w:t>
      </w:r>
      <w:r w:rsidR="00AA120F" w:rsidRPr="00DA3BC7">
        <w:rPr>
          <w:rFonts w:ascii="Times New Roman" w:hAnsi="Times New Roman"/>
          <w:sz w:val="20"/>
        </w:rPr>
        <w:t>（</w:t>
      </w:r>
      <w:r w:rsidR="00AA120F" w:rsidRPr="00DA3BC7">
        <w:rPr>
          <w:rFonts w:ascii="Times New Roman" w:hAnsi="Times New Roman"/>
          <w:sz w:val="20"/>
        </w:rPr>
        <w:t>p</w:t>
      </w:r>
      <w:r w:rsidR="00AA120F" w:rsidRPr="00DA3BC7">
        <w:rPr>
          <w:rFonts w:ascii="Times New Roman" w:hAnsi="Times New Roman" w:hint="eastAsia"/>
          <w:sz w:val="20"/>
        </w:rPr>
        <w:t>p</w:t>
      </w:r>
      <w:r w:rsidR="00AA120F" w:rsidRPr="00DA3BC7">
        <w:rPr>
          <w:rFonts w:ascii="Times New Roman" w:hAnsi="Times New Roman"/>
          <w:sz w:val="20"/>
        </w:rPr>
        <w:t>.233</w:t>
      </w:r>
      <w:r w:rsidR="00AA120F" w:rsidRPr="00DA3BC7">
        <w:rPr>
          <w:rFonts w:ascii="Times New Roman" w:hAnsi="Times New Roman" w:hint="eastAsia"/>
          <w:sz w:val="20"/>
        </w:rPr>
        <w:t>-235</w:t>
      </w:r>
      <w:r w:rsidR="00AA120F" w:rsidRPr="00DA3BC7">
        <w:rPr>
          <w:rFonts w:ascii="Times New Roman" w:hAnsi="Times New Roman"/>
          <w:sz w:val="20"/>
        </w:rPr>
        <w:t>）</w:t>
      </w:r>
    </w:p>
    <w:p w:rsidR="00AA120F" w:rsidRPr="00DA3BC7" w:rsidRDefault="00123067" w:rsidP="00E6656D">
      <w:pPr>
        <w:widowControl/>
        <w:ind w:leftChars="150" w:left="360"/>
        <w:jc w:val="both"/>
        <w:rPr>
          <w:rFonts w:ascii="Times New Roman" w:hAnsi="Times New Roman"/>
          <w:b/>
          <w:sz w:val="20"/>
          <w:szCs w:val="20"/>
          <w:bdr w:val="single" w:sz="4" w:space="0" w:color="auto"/>
        </w:rPr>
      </w:pPr>
      <w:r w:rsidRPr="00123067">
        <w:rPr>
          <w:rFonts w:ascii="Times New Roman" w:hAnsi="Times New Roman"/>
          <w:b/>
          <w:color w:val="FF0000"/>
          <w:sz w:val="20"/>
          <w:szCs w:val="20"/>
          <w:highlight w:val="yellow"/>
          <w:bdr w:val="single" w:sz="4" w:space="0" w:color="auto"/>
        </w:rPr>
        <w:t>（</w:t>
      </w:r>
      <w:r w:rsidRPr="00123067">
        <w:rPr>
          <w:rFonts w:ascii="Times New Roman" w:hAnsi="Times New Roman"/>
          <w:b/>
          <w:color w:val="FF0000"/>
          <w:sz w:val="20"/>
          <w:szCs w:val="20"/>
          <w:highlight w:val="yellow"/>
          <w:bdr w:val="single" w:sz="4" w:space="0" w:color="auto"/>
          <w:lang w:eastAsia="zh-CN"/>
        </w:rPr>
        <w:t>一</w:t>
      </w:r>
      <w:r w:rsidRPr="00123067">
        <w:rPr>
          <w:rFonts w:ascii="Times New Roman" w:hAnsi="Times New Roman"/>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藏傳</w:t>
      </w:r>
      <w:r>
        <w:rPr>
          <w:rFonts w:ascii="Times New Roman" w:hAnsi="Times New Roman" w:hint="eastAsia"/>
          <w:b/>
          <w:color w:val="FF0000"/>
          <w:sz w:val="20"/>
          <w:szCs w:val="20"/>
          <w:highlight w:val="yellow"/>
          <w:bdr w:val="single" w:sz="4" w:space="0" w:color="auto"/>
        </w:rPr>
        <w:t>二</w:t>
      </w:r>
      <w:r w:rsidR="00AA120F" w:rsidRPr="00DA3BC7">
        <w:rPr>
          <w:rFonts w:ascii="Times New Roman" w:hAnsi="Times New Roman" w:hint="eastAsia"/>
          <w:b/>
          <w:sz w:val="20"/>
          <w:szCs w:val="20"/>
          <w:bdr w:val="single" w:sz="4" w:space="0" w:color="auto"/>
        </w:rPr>
        <w:t>宗</w:t>
      </w:r>
      <w:r w:rsidR="00AA120F" w:rsidRPr="00DA3BC7">
        <w:rPr>
          <w:rFonts w:ascii="Times New Roman" w:hAnsi="Times New Roman"/>
          <w:sz w:val="20"/>
        </w:rPr>
        <w:t>（</w:t>
      </w:r>
      <w:r w:rsidR="00AA120F" w:rsidRPr="00DA3BC7">
        <w:rPr>
          <w:rFonts w:ascii="Times New Roman" w:hAnsi="Times New Roman"/>
          <w:sz w:val="20"/>
        </w:rPr>
        <w:t>p.233</w:t>
      </w:r>
      <w:r w:rsidR="00AA120F" w:rsidRPr="00DA3BC7">
        <w:rPr>
          <w:rFonts w:ascii="Times New Roman" w:hAnsi="Times New Roman"/>
          <w:sz w:val="20"/>
        </w:rPr>
        <w:t>）</w:t>
      </w:r>
    </w:p>
    <w:p w:rsidR="00123067" w:rsidRDefault="00AA120F" w:rsidP="00E6656D">
      <w:pPr>
        <w:widowControl/>
        <w:ind w:leftChars="150" w:left="360"/>
        <w:jc w:val="both"/>
        <w:rPr>
          <w:rFonts w:ascii="Times New Roman" w:hAnsi="Times New Roman"/>
        </w:rPr>
      </w:pPr>
      <w:r w:rsidRPr="00DA3BC7">
        <w:rPr>
          <w:rFonts w:ascii="Times New Roman" w:hAnsi="Times New Roman"/>
        </w:rPr>
        <w:t>上面曾說到，西藏傳有二宗：（一）極無戲論，（二）現空如幻</w:t>
      </w:r>
      <w:r w:rsidRPr="00DA3BC7">
        <w:rPr>
          <w:rFonts w:ascii="Times New Roman" w:hAnsi="Times New Roman" w:hint="eastAsia"/>
        </w:rPr>
        <w:t>；</w:t>
      </w:r>
      <w:r w:rsidRPr="00DA3BC7">
        <w:rPr>
          <w:rFonts w:ascii="Times New Roman" w:hAnsi="Times New Roman"/>
          <w:vertAlign w:val="superscript"/>
        </w:rPr>
        <w:footnoteReference w:id="1007"/>
      </w:r>
    </w:p>
    <w:p w:rsidR="00123067" w:rsidRDefault="00123067" w:rsidP="00AE3920">
      <w:pPr>
        <w:widowControl/>
        <w:spacing w:beforeLines="30"/>
        <w:ind w:leftChars="150" w:left="360"/>
        <w:jc w:val="both"/>
        <w:rPr>
          <w:rFonts w:ascii="Times New Roman" w:hAnsi="Times New Roman"/>
          <w:b/>
          <w:color w:val="FF0000"/>
          <w:sz w:val="20"/>
          <w:szCs w:val="20"/>
          <w:bdr w:val="single" w:sz="4" w:space="0" w:color="auto"/>
        </w:rPr>
      </w:pPr>
      <w:r w:rsidRPr="00123067">
        <w:rPr>
          <w:rFonts w:ascii="Times New Roman" w:hAnsi="Times New Roman"/>
          <w:b/>
          <w:color w:val="FF0000"/>
          <w:sz w:val="20"/>
          <w:szCs w:val="20"/>
          <w:highlight w:val="yellow"/>
          <w:bdr w:val="single" w:sz="4" w:space="0" w:color="auto"/>
        </w:rPr>
        <w:lastRenderedPageBreak/>
        <w:t>（</w:t>
      </w:r>
      <w:r>
        <w:rPr>
          <w:rFonts w:ascii="Times New Roman" w:hAnsi="Times New Roman" w:hint="eastAsia"/>
          <w:b/>
          <w:color w:val="FF0000"/>
          <w:sz w:val="20"/>
          <w:szCs w:val="20"/>
          <w:highlight w:val="yellow"/>
          <w:bdr w:val="single" w:sz="4" w:space="0" w:color="auto"/>
        </w:rPr>
        <w:t>二</w:t>
      </w:r>
      <w:r w:rsidRPr="00123067">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天</w:t>
      </w:r>
      <w:r w:rsidRPr="00123067">
        <w:rPr>
          <w:rFonts w:ascii="Times New Roman" w:hAnsi="Times New Roman"/>
          <w:b/>
          <w:color w:val="FF0000"/>
          <w:sz w:val="20"/>
          <w:szCs w:val="20"/>
          <w:highlight w:val="yellow"/>
          <w:bdr w:val="single" w:sz="4" w:space="0" w:color="auto"/>
        </w:rPr>
        <w:t>臺</w:t>
      </w:r>
      <w:r>
        <w:rPr>
          <w:rFonts w:ascii="Times New Roman" w:hAnsi="Times New Roman" w:hint="eastAsia"/>
          <w:b/>
          <w:color w:val="FF0000"/>
          <w:sz w:val="20"/>
          <w:szCs w:val="20"/>
          <w:highlight w:val="yellow"/>
          <w:bdr w:val="single" w:sz="4" w:space="0" w:color="auto"/>
        </w:rPr>
        <w:t>宗的兩類</w:t>
      </w:r>
      <w:r w:rsidRPr="00DA3BC7">
        <w:rPr>
          <w:rFonts w:ascii="Times New Roman" w:hAnsi="Times New Roman"/>
          <w:sz w:val="20"/>
        </w:rPr>
        <w:t>（</w:t>
      </w:r>
      <w:r w:rsidRPr="00DA3BC7">
        <w:rPr>
          <w:rFonts w:ascii="Times New Roman" w:hAnsi="Times New Roman"/>
          <w:sz w:val="20"/>
        </w:rPr>
        <w:t>p.233</w:t>
      </w:r>
      <w:r w:rsidRPr="00DA3BC7">
        <w:rPr>
          <w:rFonts w:ascii="Times New Roman" w:hAnsi="Times New Roman"/>
          <w:sz w:val="20"/>
        </w:rPr>
        <w:t>）</w:t>
      </w:r>
    </w:p>
    <w:p w:rsidR="00AA120F" w:rsidRPr="00DA3BC7" w:rsidRDefault="00AA120F" w:rsidP="00E6656D">
      <w:pPr>
        <w:widowControl/>
        <w:ind w:leftChars="150" w:left="360"/>
        <w:jc w:val="both"/>
        <w:rPr>
          <w:rFonts w:ascii="Times New Roman" w:hAnsi="Times New Roman"/>
          <w:b/>
        </w:rPr>
      </w:pPr>
      <w:r w:rsidRPr="00DA3BC7">
        <w:rPr>
          <w:rFonts w:ascii="Times New Roman" w:hAnsi="Times New Roman"/>
        </w:rPr>
        <w:t>天宗也說有</w:t>
      </w:r>
      <w:r w:rsidRPr="00DA3BC7">
        <w:rPr>
          <w:rFonts w:ascii="Times New Roman" w:hAnsi="Times New Roman"/>
          <w:b/>
        </w:rPr>
        <w:t>偏真</w:t>
      </w:r>
      <w:r w:rsidRPr="00DA3BC7">
        <w:rPr>
          <w:rFonts w:ascii="Times New Roman" w:hAnsi="Times New Roman"/>
        </w:rPr>
        <w:t>與</w:t>
      </w:r>
      <w:r w:rsidRPr="00DA3BC7">
        <w:rPr>
          <w:rFonts w:ascii="Times New Roman" w:hAnsi="Times New Roman"/>
          <w:b/>
        </w:rPr>
        <w:t>圓中</w:t>
      </w:r>
      <w:r w:rsidRPr="00DA3BC7">
        <w:rPr>
          <w:rFonts w:ascii="Times New Roman" w:hAnsi="Times New Roman"/>
        </w:rPr>
        <w:t>兩類。</w:t>
      </w:r>
    </w:p>
    <w:p w:rsidR="00AA120F" w:rsidRPr="00DA3BC7" w:rsidRDefault="00123067" w:rsidP="00AE3920">
      <w:pPr>
        <w:widowControl/>
        <w:spacing w:beforeLines="30"/>
        <w:ind w:leftChars="150" w:left="360"/>
        <w:jc w:val="both"/>
        <w:rPr>
          <w:rFonts w:ascii="Times New Roman" w:hAnsi="Times New Roman"/>
          <w:b/>
          <w:sz w:val="20"/>
          <w:szCs w:val="20"/>
          <w:bdr w:val="single" w:sz="4" w:space="0" w:color="auto"/>
        </w:rPr>
      </w:pPr>
      <w:r w:rsidRPr="00123067">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三</w:t>
      </w:r>
      <w:r w:rsidRPr="00123067">
        <w:rPr>
          <w:rFonts w:ascii="Times New Roman" w:hAnsi="Times New Roman"/>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唯識</w:t>
      </w:r>
      <w:r w:rsidR="00AA120F" w:rsidRPr="00DA3BC7">
        <w:rPr>
          <w:rFonts w:ascii="Times New Roman" w:hAnsi="Times New Roman" w:hint="eastAsia"/>
          <w:b/>
          <w:sz w:val="20"/>
          <w:szCs w:val="20"/>
          <w:bdr w:val="single" w:sz="4" w:space="0" w:color="auto"/>
        </w:rPr>
        <w:t>家</w:t>
      </w:r>
      <w:r w:rsidR="00AA120F" w:rsidRPr="00DA3BC7">
        <w:rPr>
          <w:rFonts w:ascii="Times New Roman" w:hAnsi="Times New Roman"/>
          <w:b/>
          <w:sz w:val="20"/>
          <w:szCs w:val="20"/>
          <w:bdr w:val="single" w:sz="4" w:space="0" w:color="auto"/>
        </w:rPr>
        <w:t>、月稱</w:t>
      </w:r>
      <w:r>
        <w:rPr>
          <w:rFonts w:ascii="Times New Roman" w:hAnsi="Times New Roman" w:hint="eastAsia"/>
          <w:b/>
          <w:color w:val="FF0000"/>
          <w:sz w:val="20"/>
          <w:szCs w:val="20"/>
          <w:highlight w:val="yellow"/>
          <w:bdr w:val="single" w:sz="4" w:space="0" w:color="auto"/>
        </w:rPr>
        <w:t>之說</w:t>
      </w:r>
      <w:r w:rsidR="00AA120F" w:rsidRPr="00DA3BC7">
        <w:rPr>
          <w:rFonts w:ascii="Times New Roman" w:hAnsi="Times New Roman"/>
          <w:sz w:val="20"/>
        </w:rPr>
        <w:t>（</w:t>
      </w:r>
      <w:r w:rsidR="00AA120F" w:rsidRPr="00DA3BC7">
        <w:rPr>
          <w:rFonts w:ascii="Times New Roman" w:hAnsi="Times New Roman"/>
          <w:sz w:val="20"/>
        </w:rPr>
        <w:t>p.233</w:t>
      </w:r>
      <w:r w:rsidR="00AA120F" w:rsidRPr="00DA3BC7">
        <w:rPr>
          <w:rFonts w:ascii="Times New Roman" w:hAnsi="Times New Roman"/>
          <w:sz w:val="20"/>
        </w:rPr>
        <w:t>）</w:t>
      </w:r>
    </w:p>
    <w:p w:rsidR="00AA120F" w:rsidRPr="00DA3BC7" w:rsidRDefault="00AA120F" w:rsidP="00E6656D">
      <w:pPr>
        <w:widowControl/>
        <w:ind w:leftChars="150" w:left="360"/>
        <w:jc w:val="both"/>
        <w:rPr>
          <w:rFonts w:ascii="Times New Roman" w:hAnsi="Times New Roman"/>
        </w:rPr>
      </w:pPr>
      <w:r w:rsidRPr="00DA3BC7">
        <w:rPr>
          <w:rFonts w:ascii="Times New Roman" w:hAnsi="Times New Roman"/>
        </w:rPr>
        <w:t>唯識家說真見道證真如而不見緣起</w:t>
      </w:r>
      <w:r w:rsidRPr="00DA3BC7">
        <w:rPr>
          <w:rFonts w:ascii="Times New Roman" w:hAnsi="Times New Roman"/>
          <w:vertAlign w:val="superscript"/>
        </w:rPr>
        <w:footnoteReference w:id="1008"/>
      </w:r>
      <w:r w:rsidRPr="00DA3BC7">
        <w:rPr>
          <w:rFonts w:ascii="Times New Roman" w:hAnsi="Times New Roman"/>
        </w:rPr>
        <w:t>，月稱論師也不許可見道的悟圓中理，但他們皆以究竟圓悟中道為成佛。</w:t>
      </w:r>
    </w:p>
    <w:p w:rsidR="00AA120F" w:rsidRPr="00DA3BC7" w:rsidRDefault="00123067" w:rsidP="00AE3920">
      <w:pPr>
        <w:widowControl/>
        <w:spacing w:beforeLines="30"/>
        <w:ind w:leftChars="150" w:left="360"/>
        <w:jc w:val="both"/>
        <w:rPr>
          <w:rFonts w:ascii="Times New Roman" w:hAnsi="Times New Roman"/>
          <w:b/>
          <w:sz w:val="20"/>
          <w:szCs w:val="20"/>
          <w:bdr w:val="single" w:sz="4" w:space="0" w:color="auto"/>
        </w:rPr>
      </w:pPr>
      <w:r w:rsidRPr="00123067">
        <w:rPr>
          <w:rFonts w:ascii="Times New Roman" w:hAnsi="Times New Roman"/>
          <w:b/>
          <w:color w:val="FF0000"/>
          <w:sz w:val="20"/>
          <w:szCs w:val="20"/>
          <w:highlight w:val="yellow"/>
          <w:bdr w:val="single" w:sz="4" w:space="0" w:color="auto"/>
        </w:rPr>
        <w:lastRenderedPageBreak/>
        <w:t>（</w:t>
      </w:r>
      <w:r>
        <w:rPr>
          <w:rFonts w:ascii="Times New Roman" w:hAnsi="Times New Roman" w:hint="eastAsia"/>
          <w:b/>
          <w:color w:val="FF0000"/>
          <w:sz w:val="20"/>
          <w:szCs w:val="20"/>
          <w:highlight w:val="yellow"/>
          <w:bdr w:val="single" w:sz="4" w:space="0" w:color="auto"/>
        </w:rPr>
        <w:t>四</w:t>
      </w:r>
      <w:r w:rsidRPr="00123067">
        <w:rPr>
          <w:rFonts w:ascii="Times New Roman" w:hAnsi="Times New Roman"/>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三論宗</w:t>
      </w:r>
      <w:r>
        <w:rPr>
          <w:rFonts w:ascii="Times New Roman" w:hAnsi="Times New Roman" w:hint="eastAsia"/>
          <w:b/>
          <w:color w:val="FF0000"/>
          <w:sz w:val="20"/>
          <w:szCs w:val="20"/>
          <w:highlight w:val="yellow"/>
          <w:bdr w:val="single" w:sz="4" w:space="0" w:color="auto"/>
        </w:rPr>
        <w:t>的主張</w:t>
      </w:r>
      <w:r w:rsidR="00AA120F" w:rsidRPr="00DA3BC7">
        <w:rPr>
          <w:rFonts w:ascii="Times New Roman" w:hAnsi="Times New Roman"/>
          <w:sz w:val="20"/>
        </w:rPr>
        <w:t>（</w:t>
      </w:r>
      <w:r w:rsidR="00AA120F" w:rsidRPr="00DA3BC7">
        <w:rPr>
          <w:rFonts w:ascii="Times New Roman" w:hAnsi="Times New Roman"/>
          <w:sz w:val="20"/>
        </w:rPr>
        <w:t>p.233</w:t>
      </w:r>
      <w:r w:rsidR="00AA120F" w:rsidRPr="00DA3BC7">
        <w:rPr>
          <w:rFonts w:ascii="Times New Roman" w:hAnsi="Times New Roman"/>
          <w:sz w:val="20"/>
        </w:rPr>
        <w:t>）</w:t>
      </w:r>
    </w:p>
    <w:p w:rsidR="00AA120F" w:rsidRPr="00DA3BC7" w:rsidRDefault="00AA120F" w:rsidP="00E6656D">
      <w:pPr>
        <w:widowControl/>
        <w:ind w:leftChars="150" w:left="360"/>
        <w:jc w:val="both"/>
        <w:rPr>
          <w:rFonts w:ascii="Times New Roman" w:hAnsi="Times New Roman"/>
        </w:rPr>
      </w:pPr>
      <w:r w:rsidRPr="00DA3BC7">
        <w:rPr>
          <w:rFonts w:ascii="Times New Roman" w:hAnsi="Times New Roman"/>
        </w:rPr>
        <w:t>中國的三論宗，不承認大乘有偏真悟，悟即是圓中的</w:t>
      </w:r>
      <w:r w:rsidRPr="00DA3BC7">
        <w:rPr>
          <w:rFonts w:ascii="Times New Roman" w:hAnsi="Times New Roman" w:hint="eastAsia"/>
        </w:rPr>
        <w:t>、</w:t>
      </w:r>
      <w:r w:rsidRPr="00DA3BC7">
        <w:rPr>
          <w:rFonts w:ascii="Times New Roman" w:hAnsi="Times New Roman"/>
        </w:rPr>
        <w:t>二諦並觀的。</w:t>
      </w:r>
    </w:p>
    <w:p w:rsidR="00AA120F" w:rsidRPr="00DA3BC7" w:rsidRDefault="00123067" w:rsidP="00AE3920">
      <w:pPr>
        <w:widowControl/>
        <w:spacing w:beforeLines="30"/>
        <w:ind w:leftChars="100" w:left="24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三、印順法師論判</w:t>
      </w:r>
      <w:r w:rsidR="00AA120F" w:rsidRPr="00DA3BC7">
        <w:rPr>
          <w:rFonts w:ascii="Times New Roman" w:hAnsi="Times New Roman"/>
          <w:sz w:val="20"/>
        </w:rPr>
        <w:t>（</w:t>
      </w:r>
      <w:r w:rsidRPr="00DA3BC7">
        <w:rPr>
          <w:rFonts w:ascii="Times New Roman" w:hAnsi="Times New Roman"/>
          <w:sz w:val="20"/>
        </w:rPr>
        <w:t>p</w:t>
      </w:r>
      <w:r w:rsidR="00AA120F" w:rsidRPr="00DA3BC7">
        <w:rPr>
          <w:rFonts w:ascii="Times New Roman" w:hAnsi="Times New Roman"/>
          <w:sz w:val="20"/>
        </w:rPr>
        <w:t>p.233</w:t>
      </w:r>
      <w:r>
        <w:rPr>
          <w:rFonts w:ascii="Times New Roman" w:hAnsi="Times New Roman" w:hint="eastAsia"/>
          <w:sz w:val="20"/>
        </w:rPr>
        <w:t>-237</w:t>
      </w:r>
      <w:r w:rsidR="00AA120F" w:rsidRPr="00DA3BC7">
        <w:rPr>
          <w:rFonts w:ascii="Times New Roman" w:hAnsi="Times New Roman"/>
          <w:sz w:val="20"/>
        </w:rPr>
        <w:t>）</w:t>
      </w:r>
    </w:p>
    <w:p w:rsidR="00123067" w:rsidRDefault="00AA120F" w:rsidP="008E2BBC">
      <w:pPr>
        <w:widowControl/>
        <w:ind w:leftChars="150" w:left="360"/>
        <w:jc w:val="both"/>
        <w:rPr>
          <w:rFonts w:ascii="Times New Roman" w:hAnsi="Times New Roman"/>
          <w:b/>
          <w:color w:val="FF0000"/>
          <w:sz w:val="20"/>
          <w:szCs w:val="20"/>
          <w:bdr w:val="single" w:sz="4" w:space="0" w:color="auto"/>
        </w:rPr>
      </w:pPr>
      <w:r w:rsidRPr="00123067">
        <w:rPr>
          <w:rFonts w:ascii="Times New Roman" w:hAnsi="Times New Roman"/>
          <w:b/>
          <w:color w:val="FF0000"/>
          <w:sz w:val="20"/>
          <w:szCs w:val="20"/>
          <w:highlight w:val="yellow"/>
          <w:bdr w:val="single" w:sz="4" w:space="0" w:color="auto"/>
        </w:rPr>
        <w:t>（一）</w:t>
      </w:r>
      <w:r w:rsidR="00123067" w:rsidRPr="00123067">
        <w:rPr>
          <w:rFonts w:ascii="Times New Roman" w:hAnsi="Times New Roman" w:hint="eastAsia"/>
          <w:b/>
          <w:color w:val="FF0000"/>
          <w:sz w:val="20"/>
          <w:szCs w:val="20"/>
          <w:highlight w:val="yellow"/>
          <w:bdr w:val="single" w:sz="4" w:space="0" w:color="auto"/>
        </w:rPr>
        <w:t>總顯正義</w:t>
      </w:r>
      <w:r w:rsidR="00A75AFB" w:rsidRPr="00DA3BC7">
        <w:rPr>
          <w:rFonts w:ascii="Times New Roman" w:hAnsi="Times New Roman"/>
          <w:sz w:val="20"/>
        </w:rPr>
        <w:t>（</w:t>
      </w:r>
      <w:r w:rsidR="00A75AFB" w:rsidRPr="00DA3BC7">
        <w:rPr>
          <w:rFonts w:ascii="Times New Roman" w:hAnsi="Times New Roman"/>
          <w:sz w:val="20"/>
        </w:rPr>
        <w:t>pp.233</w:t>
      </w:r>
      <w:r w:rsidR="00A75AFB">
        <w:rPr>
          <w:rFonts w:ascii="Times New Roman" w:hAnsi="Times New Roman" w:hint="eastAsia"/>
          <w:sz w:val="20"/>
        </w:rPr>
        <w:t>-234</w:t>
      </w:r>
      <w:r w:rsidR="00A75AFB" w:rsidRPr="00DA3BC7">
        <w:rPr>
          <w:rFonts w:ascii="Times New Roman" w:hAnsi="Times New Roman"/>
          <w:sz w:val="20"/>
        </w:rPr>
        <w:t>）</w:t>
      </w:r>
    </w:p>
    <w:p w:rsidR="00123067" w:rsidRDefault="00123067" w:rsidP="00E6656D">
      <w:pPr>
        <w:widowControl/>
        <w:ind w:leftChars="200" w:left="480"/>
        <w:jc w:val="both"/>
        <w:rPr>
          <w:rFonts w:ascii="Times New Roman" w:hAnsi="Times New Roman"/>
          <w:b/>
          <w:color w:val="FF0000"/>
          <w:sz w:val="20"/>
          <w:szCs w:val="20"/>
          <w:bdr w:val="single" w:sz="4" w:space="0" w:color="auto"/>
        </w:rPr>
      </w:pPr>
      <w:r>
        <w:rPr>
          <w:rFonts w:ascii="Times New Roman" w:hAnsi="Times New Roman" w:hint="eastAsia"/>
          <w:b/>
          <w:color w:val="FF0000"/>
          <w:sz w:val="20"/>
          <w:szCs w:val="20"/>
          <w:highlight w:val="yellow"/>
          <w:bdr w:val="single" w:sz="4" w:space="0" w:color="auto"/>
        </w:rPr>
        <w:t>1</w:t>
      </w:r>
      <w:r>
        <w:rPr>
          <w:rFonts w:ascii="Times New Roman" w:hAnsi="Times New Roman" w:hint="eastAsia"/>
          <w:b/>
          <w:color w:val="FF0000"/>
          <w:sz w:val="20"/>
          <w:szCs w:val="20"/>
          <w:highlight w:val="yellow"/>
          <w:bdr w:val="single" w:sz="4" w:space="0" w:color="auto"/>
        </w:rPr>
        <w:t>、概述</w:t>
      </w:r>
      <w:r w:rsidR="00A75AFB" w:rsidRPr="00DA3BC7">
        <w:rPr>
          <w:rFonts w:ascii="Times New Roman" w:hAnsi="Times New Roman"/>
          <w:sz w:val="20"/>
        </w:rPr>
        <w:t>（</w:t>
      </w:r>
      <w:r w:rsidR="00A75AFB" w:rsidRPr="00DA3BC7">
        <w:rPr>
          <w:rFonts w:ascii="Times New Roman" w:hAnsi="Times New Roman"/>
          <w:sz w:val="20"/>
        </w:rPr>
        <w:t>p.233</w:t>
      </w:r>
      <w:r w:rsidR="00A75AFB" w:rsidRPr="00DA3BC7">
        <w:rPr>
          <w:rFonts w:ascii="Times New Roman" w:hAnsi="Times New Roman"/>
          <w:sz w:val="20"/>
        </w:rPr>
        <w:t>）</w:t>
      </w:r>
    </w:p>
    <w:p w:rsidR="00123067" w:rsidRDefault="00123067" w:rsidP="00E6656D">
      <w:pPr>
        <w:widowControl/>
        <w:ind w:leftChars="200" w:left="480"/>
        <w:jc w:val="both"/>
        <w:rPr>
          <w:rFonts w:ascii="Times New Roman" w:hAnsi="Times New Roman"/>
        </w:rPr>
      </w:pPr>
      <w:r w:rsidRPr="00DA3BC7">
        <w:rPr>
          <w:rFonts w:ascii="Times New Roman" w:hAnsi="Times New Roman"/>
        </w:rPr>
        <w:t>考龍樹《大智度論》，是有</w:t>
      </w:r>
      <w:r w:rsidRPr="00DA3BC7">
        <w:rPr>
          <w:rFonts w:ascii="Times New Roman" w:hAnsi="Times New Roman"/>
          <w:b/>
        </w:rPr>
        <w:t>偏真</w:t>
      </w:r>
      <w:r w:rsidRPr="00DA3BC7">
        <w:rPr>
          <w:rFonts w:ascii="Times New Roman" w:hAnsi="Times New Roman"/>
        </w:rPr>
        <w:t>與</w:t>
      </w:r>
      <w:r w:rsidRPr="00DA3BC7">
        <w:rPr>
          <w:rFonts w:ascii="Times New Roman" w:hAnsi="Times New Roman"/>
          <w:b/>
        </w:rPr>
        <w:t>圓中</w:t>
      </w:r>
      <w:r w:rsidRPr="00DA3BC7">
        <w:rPr>
          <w:rFonts w:ascii="Times New Roman" w:hAnsi="Times New Roman"/>
        </w:rPr>
        <w:t>二類的，</w:t>
      </w:r>
    </w:p>
    <w:p w:rsidR="00123067" w:rsidRDefault="00123067" w:rsidP="00AE3920">
      <w:pPr>
        <w:widowControl/>
        <w:spacing w:beforeLines="30"/>
        <w:ind w:leftChars="200" w:left="480"/>
        <w:jc w:val="both"/>
        <w:rPr>
          <w:rFonts w:ascii="Times New Roman" w:hAnsi="Times New Roman"/>
          <w:b/>
          <w:color w:val="FF0000"/>
          <w:sz w:val="20"/>
          <w:szCs w:val="20"/>
          <w:highlight w:val="yellow"/>
          <w:bdr w:val="single" w:sz="4" w:space="0" w:color="auto"/>
        </w:rPr>
      </w:pPr>
      <w:r w:rsidRPr="00123067">
        <w:rPr>
          <w:rFonts w:ascii="Times New Roman" w:hAnsi="Times New Roman" w:hint="eastAsia"/>
          <w:b/>
          <w:color w:val="FF0000"/>
          <w:sz w:val="20"/>
          <w:szCs w:val="20"/>
          <w:highlight w:val="yellow"/>
          <w:bdr w:val="single" w:sz="4" w:space="0" w:color="auto"/>
        </w:rPr>
        <w:t>2</w:t>
      </w:r>
      <w:r w:rsidRPr="00123067">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引證</w:t>
      </w:r>
      <w:r w:rsidR="00A75AFB" w:rsidRPr="00DA3BC7">
        <w:rPr>
          <w:rFonts w:ascii="Times New Roman" w:hAnsi="Times New Roman"/>
          <w:sz w:val="20"/>
        </w:rPr>
        <w:t>（</w:t>
      </w:r>
      <w:r w:rsidR="00A75AFB" w:rsidRPr="00DA3BC7">
        <w:rPr>
          <w:rFonts w:ascii="Times New Roman" w:hAnsi="Times New Roman"/>
          <w:sz w:val="20"/>
        </w:rPr>
        <w:t>pp.233</w:t>
      </w:r>
      <w:r w:rsidR="00A75AFB">
        <w:rPr>
          <w:rFonts w:ascii="Times New Roman" w:hAnsi="Times New Roman" w:hint="eastAsia"/>
          <w:sz w:val="20"/>
        </w:rPr>
        <w:t>-234</w:t>
      </w:r>
      <w:r w:rsidR="00A75AFB" w:rsidRPr="00DA3BC7">
        <w:rPr>
          <w:rFonts w:ascii="Times New Roman" w:hAnsi="Times New Roman"/>
          <w:sz w:val="20"/>
        </w:rPr>
        <w:t>）</w:t>
      </w:r>
    </w:p>
    <w:p w:rsidR="00AA120F" w:rsidRPr="00DA3BC7" w:rsidRDefault="00123067" w:rsidP="00E6656D">
      <w:pPr>
        <w:widowControl/>
        <w:ind w:leftChars="250" w:left="600"/>
        <w:jc w:val="both"/>
        <w:rPr>
          <w:rFonts w:ascii="Times New Roman" w:hAnsi="Times New Roman"/>
          <w:b/>
          <w:sz w:val="20"/>
          <w:szCs w:val="20"/>
          <w:bdr w:val="single" w:sz="4" w:space="0" w:color="auto"/>
        </w:rPr>
      </w:pPr>
      <w:r w:rsidRPr="00123067">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1</w:t>
      </w:r>
      <w:r w:rsidRPr="00123067">
        <w:rPr>
          <w:rFonts w:ascii="Times New Roman" w:hAnsi="Times New Roman"/>
          <w:b/>
          <w:color w:val="FF0000"/>
          <w:sz w:val="20"/>
          <w:szCs w:val="20"/>
          <w:highlight w:val="yellow"/>
          <w:bdr w:val="single" w:sz="4" w:space="0" w:color="auto"/>
        </w:rPr>
        <w:t>）</w:t>
      </w:r>
      <w:r w:rsidRPr="00123067">
        <w:rPr>
          <w:rFonts w:ascii="Times New Roman" w:hAnsi="Times New Roman" w:hint="eastAsia"/>
          <w:b/>
          <w:color w:val="FF0000"/>
          <w:sz w:val="20"/>
          <w:szCs w:val="20"/>
          <w:highlight w:val="yellow"/>
          <w:bdr w:val="single" w:sz="4" w:space="0" w:color="auto"/>
        </w:rPr>
        <w:t>「</w:t>
      </w:r>
      <w:r w:rsidR="00AA120F" w:rsidRPr="00123067">
        <w:rPr>
          <w:rFonts w:ascii="Times New Roman" w:hAnsi="Times New Roman"/>
          <w:b/>
          <w:color w:val="FF0000"/>
          <w:sz w:val="20"/>
          <w:szCs w:val="20"/>
          <w:highlight w:val="yellow"/>
          <w:bdr w:val="single" w:sz="4" w:space="0" w:color="auto"/>
        </w:rPr>
        <w:t>偏真</w:t>
      </w:r>
      <w:r w:rsidRPr="00123067">
        <w:rPr>
          <w:rFonts w:ascii="Times New Roman" w:hAnsi="Times New Roman" w:hint="eastAsia"/>
          <w:b/>
          <w:color w:val="FF0000"/>
          <w:sz w:val="20"/>
          <w:szCs w:val="20"/>
          <w:highlight w:val="yellow"/>
          <w:bdr w:val="single" w:sz="4" w:space="0" w:color="auto"/>
        </w:rPr>
        <w:t>」之說</w:t>
      </w:r>
      <w:r w:rsidR="00AA120F" w:rsidRPr="00DA3BC7">
        <w:rPr>
          <w:rFonts w:ascii="Times New Roman" w:hAnsi="Times New Roman"/>
          <w:sz w:val="20"/>
        </w:rPr>
        <w:t>（</w:t>
      </w:r>
      <w:r w:rsidR="00AA120F" w:rsidRPr="00DA3BC7">
        <w:rPr>
          <w:rFonts w:ascii="Times New Roman" w:hAnsi="Times New Roman"/>
          <w:sz w:val="20"/>
        </w:rPr>
        <w:t>p.233</w:t>
      </w:r>
      <w:r w:rsidR="00AA120F" w:rsidRPr="00DA3BC7">
        <w:rPr>
          <w:rFonts w:ascii="Times New Roman" w:hAnsi="Times New Roman"/>
          <w:sz w:val="20"/>
        </w:rPr>
        <w:t>）</w:t>
      </w:r>
    </w:p>
    <w:p w:rsidR="00AA120F" w:rsidRPr="00DA3BC7" w:rsidRDefault="00AA120F" w:rsidP="00E6656D">
      <w:pPr>
        <w:ind w:leftChars="250" w:left="600"/>
        <w:jc w:val="both"/>
        <w:rPr>
          <w:rFonts w:ascii="Times New Roman" w:hAnsi="Times New Roman"/>
        </w:rPr>
      </w:pPr>
      <w:r w:rsidRPr="00DA3BC7">
        <w:rPr>
          <w:rFonts w:ascii="Times New Roman" w:hAnsi="Times New Roman"/>
        </w:rPr>
        <w:t>如說：「</w:t>
      </w:r>
      <w:r w:rsidRPr="00E84AA9">
        <w:rPr>
          <w:rFonts w:ascii="新細明體" w:hAnsi="新細明體"/>
        </w:rPr>
        <w:t>般若將入畢竟空，絕諸戲論；方便將出畢竟空，嚴土熟生。</w:t>
      </w:r>
      <w:r w:rsidRPr="00DA3BC7">
        <w:rPr>
          <w:rFonts w:ascii="Times New Roman" w:hAnsi="Times New Roman"/>
        </w:rPr>
        <w:t>」</w:t>
      </w:r>
      <w:r w:rsidRPr="00DA3BC7">
        <w:rPr>
          <w:rFonts w:ascii="Times New Roman" w:hAnsi="Times New Roman"/>
          <w:vertAlign w:val="superscript"/>
        </w:rPr>
        <w:footnoteReference w:id="1009"/>
      </w:r>
      <w:r w:rsidRPr="00DA3BC7">
        <w:rPr>
          <w:rFonts w:ascii="Times New Roman" w:hAnsi="Times New Roman"/>
        </w:rPr>
        <w:t>由</w:t>
      </w:r>
      <w:r w:rsidRPr="00DA3BC7">
        <w:rPr>
          <w:rFonts w:ascii="Times New Roman" w:hAnsi="Times New Roman"/>
          <w:b/>
        </w:rPr>
        <w:t>般若慧泯絕</w:t>
      </w:r>
      <w:r w:rsidRPr="00DA3BC7">
        <w:rPr>
          <w:rFonts w:ascii="Times New Roman" w:hAnsi="Times New Roman"/>
          <w:vertAlign w:val="superscript"/>
        </w:rPr>
        <w:footnoteReference w:id="1010"/>
      </w:r>
      <w:r w:rsidRPr="00DA3BC7">
        <w:rPr>
          <w:rFonts w:ascii="Times New Roman" w:hAnsi="Times New Roman"/>
          <w:b/>
        </w:rPr>
        <w:t>一切而不取相，即是悟真性；方便智從空出有，才能行莊嚴佛土、成熟眾生的廣大行。</w:t>
      </w:r>
    </w:p>
    <w:p w:rsidR="00AA120F" w:rsidRPr="00DA3BC7" w:rsidRDefault="00AA120F" w:rsidP="00E6656D">
      <w:pPr>
        <w:widowControl/>
        <w:ind w:leftChars="250" w:left="600"/>
        <w:jc w:val="both"/>
        <w:rPr>
          <w:rFonts w:ascii="Times New Roman" w:hAnsi="Times New Roman"/>
        </w:rPr>
      </w:pPr>
      <w:r w:rsidRPr="00DA3BC7">
        <w:rPr>
          <w:rFonts w:ascii="Times New Roman" w:hAnsi="Times New Roman"/>
        </w:rPr>
        <w:t>大乘的慧眼，即見道的實相慧，《</w:t>
      </w:r>
      <w:r w:rsidRPr="00DA3BC7">
        <w:rPr>
          <w:rFonts w:ascii="Times New Roman" w:hAnsi="Times New Roman" w:hint="eastAsia"/>
        </w:rPr>
        <w:t>大</w:t>
      </w:r>
      <w:r w:rsidRPr="00DA3BC7">
        <w:rPr>
          <w:rFonts w:ascii="Times New Roman" w:hAnsi="Times New Roman"/>
        </w:rPr>
        <w:t>智</w:t>
      </w:r>
      <w:r w:rsidRPr="00DA3BC7">
        <w:rPr>
          <w:rFonts w:ascii="Times New Roman" w:hAnsi="Times New Roman" w:hint="eastAsia"/>
        </w:rPr>
        <w:t>度</w:t>
      </w:r>
      <w:r w:rsidRPr="00DA3BC7">
        <w:rPr>
          <w:rFonts w:ascii="Times New Roman" w:hAnsi="Times New Roman"/>
        </w:rPr>
        <w:t>論》說「</w:t>
      </w:r>
      <w:r w:rsidRPr="00DA3BC7">
        <w:rPr>
          <w:rFonts w:ascii="標楷體" w:eastAsia="標楷體" w:hAnsi="標楷體"/>
        </w:rPr>
        <w:t>慧眼於一切法都無所見</w:t>
      </w:r>
      <w:r w:rsidRPr="00DA3BC7">
        <w:rPr>
          <w:rFonts w:ascii="Times New Roman" w:hAnsi="Times New Roman"/>
        </w:rPr>
        <w:t>」</w:t>
      </w:r>
      <w:r w:rsidR="00E84AA9" w:rsidRPr="00DA3BC7">
        <w:rPr>
          <w:rFonts w:ascii="Times New Roman" w:hAnsi="Times New Roman"/>
        </w:rPr>
        <w:t>，</w:t>
      </w:r>
      <w:r w:rsidRPr="00DA3BC7">
        <w:rPr>
          <w:rFonts w:ascii="Times New Roman" w:hAnsi="Times New Roman"/>
          <w:vertAlign w:val="superscript"/>
        </w:rPr>
        <w:footnoteReference w:id="1011"/>
      </w:r>
      <w:r w:rsidRPr="00DA3BC7">
        <w:rPr>
          <w:rFonts w:ascii="Times New Roman" w:hAnsi="Times New Roman"/>
        </w:rPr>
        <w:t>此即與藏傳的「極無戲論」相合。</w:t>
      </w:r>
    </w:p>
    <w:p w:rsidR="00AA120F" w:rsidRPr="00DA3BC7" w:rsidRDefault="00AA120F" w:rsidP="00AE3920">
      <w:pPr>
        <w:widowControl/>
        <w:spacing w:beforeLines="30"/>
        <w:ind w:leftChars="250" w:left="600"/>
        <w:jc w:val="both"/>
        <w:rPr>
          <w:rFonts w:ascii="Times New Roman" w:hAnsi="Times New Roman"/>
          <w:b/>
          <w:sz w:val="20"/>
          <w:szCs w:val="20"/>
          <w:bdr w:val="single" w:sz="4" w:space="0" w:color="auto"/>
        </w:rPr>
      </w:pPr>
      <w:r w:rsidRPr="00A75AFB">
        <w:rPr>
          <w:rFonts w:ascii="Times New Roman" w:hAnsi="Times New Roman"/>
          <w:b/>
          <w:color w:val="FF0000"/>
          <w:sz w:val="20"/>
          <w:szCs w:val="20"/>
          <w:highlight w:val="yellow"/>
          <w:bdr w:val="single" w:sz="4" w:space="0" w:color="auto"/>
        </w:rPr>
        <w:t>（</w:t>
      </w:r>
      <w:r w:rsidR="00A75AFB" w:rsidRPr="00A75AFB">
        <w:rPr>
          <w:rFonts w:ascii="Times New Roman" w:hAnsi="Times New Roman" w:hint="eastAsia"/>
          <w:b/>
          <w:color w:val="FF0000"/>
          <w:sz w:val="20"/>
          <w:szCs w:val="20"/>
          <w:highlight w:val="yellow"/>
          <w:bdr w:val="single" w:sz="4" w:space="0" w:color="auto"/>
        </w:rPr>
        <w:t>2</w:t>
      </w:r>
      <w:r w:rsidRPr="00A75AFB">
        <w:rPr>
          <w:rFonts w:ascii="Times New Roman" w:hAnsi="Times New Roman"/>
          <w:b/>
          <w:color w:val="FF0000"/>
          <w:sz w:val="20"/>
          <w:szCs w:val="20"/>
          <w:highlight w:val="yellow"/>
          <w:bdr w:val="single" w:sz="4" w:space="0" w:color="auto"/>
        </w:rPr>
        <w:t>）</w:t>
      </w:r>
      <w:r w:rsidR="00A75AFB" w:rsidRPr="00123067">
        <w:rPr>
          <w:rFonts w:ascii="Times New Roman" w:hAnsi="Times New Roman" w:hint="eastAsia"/>
          <w:b/>
          <w:color w:val="FF0000"/>
          <w:sz w:val="20"/>
          <w:szCs w:val="20"/>
          <w:highlight w:val="yellow"/>
          <w:bdr w:val="single" w:sz="4" w:space="0" w:color="auto"/>
        </w:rPr>
        <w:t>「</w:t>
      </w:r>
      <w:r w:rsidRPr="00DA3BC7">
        <w:rPr>
          <w:rFonts w:ascii="Times New Roman" w:hAnsi="Times New Roman"/>
          <w:b/>
          <w:sz w:val="20"/>
          <w:szCs w:val="20"/>
          <w:bdr w:val="single" w:sz="4" w:space="0" w:color="auto"/>
        </w:rPr>
        <w:t>圓中</w:t>
      </w:r>
      <w:r w:rsidR="00A75AFB" w:rsidRPr="00123067">
        <w:rPr>
          <w:rFonts w:ascii="Times New Roman" w:hAnsi="Times New Roman" w:hint="eastAsia"/>
          <w:b/>
          <w:color w:val="FF0000"/>
          <w:sz w:val="20"/>
          <w:szCs w:val="20"/>
          <w:highlight w:val="yellow"/>
          <w:bdr w:val="single" w:sz="4" w:space="0" w:color="auto"/>
        </w:rPr>
        <w:t>」之說</w:t>
      </w:r>
      <w:r w:rsidRPr="00DA3BC7">
        <w:rPr>
          <w:rFonts w:ascii="Times New Roman" w:hAnsi="Times New Roman"/>
          <w:sz w:val="20"/>
        </w:rPr>
        <w:t>（</w:t>
      </w:r>
      <w:r w:rsidRPr="00DA3BC7">
        <w:rPr>
          <w:rFonts w:ascii="Times New Roman" w:hAnsi="Times New Roman"/>
          <w:sz w:val="20"/>
        </w:rPr>
        <w:t>pp.233-234</w:t>
      </w:r>
      <w:r w:rsidRPr="00DA3BC7">
        <w:rPr>
          <w:rFonts w:ascii="Times New Roman" w:hAnsi="Times New Roman"/>
          <w:sz w:val="20"/>
        </w:rPr>
        <w:t>）</w:t>
      </w:r>
    </w:p>
    <w:p w:rsidR="00AA120F" w:rsidRPr="00DA3BC7" w:rsidRDefault="00AA120F" w:rsidP="00E6656D">
      <w:pPr>
        <w:widowControl/>
        <w:ind w:leftChars="250" w:left="600"/>
        <w:jc w:val="both"/>
        <w:rPr>
          <w:rFonts w:ascii="Times New Roman" w:hAnsi="Times New Roman"/>
        </w:rPr>
      </w:pPr>
      <w:r w:rsidRPr="00DA3BC7">
        <w:rPr>
          <w:rFonts w:ascii="Times New Roman" w:hAnsi="Times New Roman"/>
        </w:rPr>
        <w:lastRenderedPageBreak/>
        <w:t>然論中也曾說「</w:t>
      </w:r>
      <w:r w:rsidRPr="00DA3BC7">
        <w:rPr>
          <w:rFonts w:ascii="標楷體" w:eastAsia="標楷體" w:hAnsi="標楷體"/>
        </w:rPr>
        <w:t>慧眼無所見而無所不見</w:t>
      </w:r>
      <w:r w:rsidRPr="00DA3BC7">
        <w:rPr>
          <w:rFonts w:ascii="Times New Roman" w:hAnsi="Times New Roman"/>
        </w:rPr>
        <w:t>」，</w:t>
      </w:r>
      <w:r w:rsidR="00E84AA9" w:rsidRPr="00DA3BC7">
        <w:rPr>
          <w:rFonts w:ascii="Times New Roman" w:hAnsi="Times New Roman"/>
          <w:vertAlign w:val="superscript"/>
        </w:rPr>
        <w:footnoteReference w:id="1012"/>
      </w:r>
      <w:r w:rsidRPr="00DA3BC7">
        <w:rPr>
          <w:rFonts w:ascii="Times New Roman" w:hAnsi="Times New Roman"/>
        </w:rPr>
        <w:t>這即</w:t>
      </w:r>
      <w:r w:rsidRPr="00DA3BC7">
        <w:rPr>
          <w:rFonts w:ascii="Times New Roman" w:hAnsi="Times New Roman"/>
          <w:b/>
        </w:rPr>
        <w:t>泯絕一切而顯了一切，顯了一切而泯絕一切，</w:t>
      </w:r>
      <w:r w:rsidRPr="00DA3BC7">
        <w:rPr>
          <w:rFonts w:ascii="Times New Roman" w:hAnsi="Times New Roman"/>
        </w:rPr>
        <w:t>即</w:t>
      </w:r>
      <w:r w:rsidRPr="00DA3BC7">
        <w:rPr>
          <w:rFonts w:ascii="Times New Roman" w:hAnsi="Times New Roman"/>
          <w:b/>
        </w:rPr>
        <w:t>悟圓中</w:t>
      </w:r>
      <w:r w:rsidRPr="00DA3BC7">
        <w:rPr>
          <w:rFonts w:ascii="Times New Roman" w:hAnsi="Times New Roman"/>
        </w:rPr>
        <w:t>的根據</w:t>
      </w:r>
      <w:r w:rsidRPr="00DA3BC7">
        <w:rPr>
          <w:rFonts w:ascii="新細明體" w:hAnsi="新細明體"/>
        </w:rPr>
        <w:t>──</w:t>
      </w:r>
      <w:r w:rsidRPr="00DA3BC7">
        <w:rPr>
          <w:rFonts w:ascii="Times New Roman" w:hAnsi="Times New Roman"/>
        </w:rPr>
        <w:t>此處龍樹所依的《般若經》，與玄奘譯不同。</w:t>
      </w:r>
      <w:r w:rsidRPr="00DA3BC7">
        <w:rPr>
          <w:rFonts w:ascii="Times New Roman" w:hAnsi="Times New Roman"/>
          <w:vertAlign w:val="superscript"/>
        </w:rPr>
        <w:footnoteReference w:id="1013"/>
      </w:r>
    </w:p>
    <w:p w:rsidR="00AA120F" w:rsidRPr="00DA3BC7" w:rsidRDefault="00AA120F" w:rsidP="00AE3920">
      <w:pPr>
        <w:widowControl/>
        <w:spacing w:beforeLines="30"/>
        <w:ind w:leftChars="150" w:left="360"/>
        <w:jc w:val="both"/>
        <w:rPr>
          <w:rFonts w:ascii="Times New Roman" w:hAnsi="Times New Roman"/>
          <w:sz w:val="20"/>
        </w:rPr>
      </w:pPr>
      <w:r w:rsidRPr="00404E90">
        <w:rPr>
          <w:rFonts w:ascii="Times New Roman" w:hAnsi="Times New Roman"/>
          <w:b/>
          <w:color w:val="FF0000"/>
          <w:sz w:val="20"/>
          <w:szCs w:val="20"/>
          <w:highlight w:val="yellow"/>
          <w:bdr w:val="single" w:sz="4" w:space="0" w:color="auto"/>
        </w:rPr>
        <w:lastRenderedPageBreak/>
        <w:t>（</w:t>
      </w:r>
      <w:r w:rsidR="00404E90" w:rsidRPr="00404E90">
        <w:rPr>
          <w:rFonts w:ascii="Times New Roman" w:hAnsi="Times New Roman" w:hint="eastAsia"/>
          <w:b/>
          <w:color w:val="FF0000"/>
          <w:sz w:val="20"/>
          <w:szCs w:val="20"/>
          <w:highlight w:val="yellow"/>
          <w:bdr w:val="single" w:sz="4" w:space="0" w:color="auto"/>
        </w:rPr>
        <w:t>二</w:t>
      </w:r>
      <w:r w:rsidRPr="00404E90">
        <w:rPr>
          <w:rFonts w:ascii="Times New Roman" w:hAnsi="Times New Roman"/>
          <w:b/>
          <w:color w:val="FF0000"/>
          <w:sz w:val="20"/>
          <w:szCs w:val="20"/>
          <w:highlight w:val="yellow"/>
          <w:bdr w:val="single" w:sz="4" w:space="0" w:color="auto"/>
        </w:rPr>
        <w:t>）</w:t>
      </w:r>
      <w:r w:rsidR="00404E90" w:rsidRPr="00404E90">
        <w:rPr>
          <w:rFonts w:ascii="Times New Roman" w:hAnsi="Times New Roman" w:hint="eastAsia"/>
          <w:b/>
          <w:color w:val="FF0000"/>
          <w:sz w:val="20"/>
          <w:szCs w:val="20"/>
          <w:highlight w:val="yellow"/>
          <w:bdr w:val="single" w:sz="4" w:space="0" w:color="auto"/>
        </w:rPr>
        <w:t>評異辨正</w:t>
      </w:r>
      <w:r w:rsidRPr="00DA3BC7">
        <w:rPr>
          <w:rFonts w:ascii="Times New Roman" w:hAnsi="Times New Roman"/>
          <w:sz w:val="20"/>
        </w:rPr>
        <w:t>（</w:t>
      </w:r>
      <w:r w:rsidRPr="00DA3BC7">
        <w:rPr>
          <w:rFonts w:ascii="Times New Roman" w:hAnsi="Times New Roman"/>
          <w:sz w:val="20"/>
        </w:rPr>
        <w:t>pp.234-23</w:t>
      </w:r>
      <w:r w:rsidR="00404E90">
        <w:rPr>
          <w:rFonts w:ascii="Times New Roman" w:hAnsi="Times New Roman" w:hint="eastAsia"/>
          <w:sz w:val="20"/>
        </w:rPr>
        <w:t>7</w:t>
      </w:r>
      <w:r w:rsidRPr="00DA3BC7">
        <w:rPr>
          <w:rFonts w:ascii="Times New Roman" w:hAnsi="Times New Roman"/>
          <w:sz w:val="20"/>
        </w:rPr>
        <w:t>）</w:t>
      </w:r>
    </w:p>
    <w:p w:rsidR="00AA120F" w:rsidRPr="00DA3BC7" w:rsidRDefault="00404E90" w:rsidP="00E6656D">
      <w:pPr>
        <w:widowControl/>
        <w:ind w:leftChars="200" w:left="480"/>
        <w:jc w:val="both"/>
        <w:rPr>
          <w:rFonts w:ascii="Times New Roman" w:hAnsi="Times New Roman"/>
          <w:b/>
          <w:sz w:val="20"/>
          <w:szCs w:val="20"/>
          <w:bdr w:val="single" w:sz="4" w:space="0" w:color="auto"/>
        </w:rPr>
      </w:pPr>
      <w:r w:rsidRPr="00404E90">
        <w:rPr>
          <w:rFonts w:ascii="Times New Roman" w:hAnsi="Times New Roman" w:hint="eastAsia"/>
          <w:b/>
          <w:color w:val="FF0000"/>
          <w:sz w:val="20"/>
          <w:szCs w:val="20"/>
          <w:highlight w:val="yellow"/>
          <w:bdr w:val="single" w:sz="4" w:space="0" w:color="auto"/>
        </w:rPr>
        <w:t>1</w:t>
      </w:r>
      <w:r w:rsidR="00AA120F" w:rsidRPr="00404E90">
        <w:rPr>
          <w:rFonts w:ascii="Times New Roman" w:hAnsi="Times New Roman"/>
          <w:b/>
          <w:color w:val="FF0000"/>
          <w:sz w:val="20"/>
          <w:szCs w:val="20"/>
          <w:highlight w:val="yellow"/>
          <w:bdr w:val="single" w:sz="4" w:space="0" w:color="auto"/>
        </w:rPr>
        <w:t>、</w:t>
      </w:r>
      <w:r w:rsidRPr="00404E90">
        <w:rPr>
          <w:rFonts w:ascii="Times New Roman" w:hAnsi="Times New Roman" w:hint="eastAsia"/>
          <w:b/>
          <w:color w:val="FF0000"/>
          <w:sz w:val="20"/>
          <w:szCs w:val="20"/>
          <w:highlight w:val="yellow"/>
          <w:bdr w:val="single" w:sz="4" w:space="0" w:color="auto"/>
        </w:rPr>
        <w:t>列諸家之</w:t>
      </w:r>
      <w:r w:rsidR="00AB5C7A" w:rsidRPr="00AB5C7A">
        <w:rPr>
          <w:rFonts w:ascii="Times New Roman" w:hAnsi="Times New Roman" w:hint="eastAsia"/>
          <w:b/>
          <w:color w:val="FF0000"/>
          <w:sz w:val="20"/>
          <w:szCs w:val="20"/>
          <w:highlight w:val="yellow"/>
          <w:bdr w:val="single" w:sz="4" w:space="0" w:color="auto"/>
        </w:rPr>
        <w:t>見</w:t>
      </w:r>
      <w:r w:rsidR="00AA120F" w:rsidRPr="00DA3BC7">
        <w:rPr>
          <w:rFonts w:ascii="Times New Roman" w:hAnsi="Times New Roman"/>
          <w:sz w:val="20"/>
        </w:rPr>
        <w:t>（</w:t>
      </w:r>
      <w:r w:rsidR="00AA120F" w:rsidRPr="00DA3BC7">
        <w:rPr>
          <w:rFonts w:ascii="Times New Roman" w:hAnsi="Times New Roman" w:hint="eastAsia"/>
          <w:sz w:val="20"/>
        </w:rPr>
        <w:t>p</w:t>
      </w:r>
      <w:r w:rsidR="00AA120F" w:rsidRPr="00DA3BC7">
        <w:rPr>
          <w:rFonts w:ascii="Times New Roman" w:hAnsi="Times New Roman"/>
          <w:sz w:val="20"/>
        </w:rPr>
        <w:t>p.234</w:t>
      </w:r>
      <w:r w:rsidR="00AA120F" w:rsidRPr="00DA3BC7">
        <w:rPr>
          <w:rFonts w:ascii="Times New Roman" w:hAnsi="Times New Roman" w:hint="eastAsia"/>
          <w:sz w:val="20"/>
        </w:rPr>
        <w:t>-235</w:t>
      </w:r>
      <w:r w:rsidR="00AA120F" w:rsidRPr="00DA3BC7">
        <w:rPr>
          <w:rFonts w:ascii="Times New Roman" w:hAnsi="Times New Roman"/>
          <w:sz w:val="20"/>
        </w:rPr>
        <w:t>）</w:t>
      </w:r>
    </w:p>
    <w:p w:rsidR="00AA120F" w:rsidRDefault="00AA120F" w:rsidP="00E6656D">
      <w:pPr>
        <w:widowControl/>
        <w:ind w:leftChars="250" w:left="600"/>
        <w:jc w:val="both"/>
        <w:rPr>
          <w:rFonts w:ascii="Times New Roman" w:hAnsi="Times New Roman"/>
          <w:sz w:val="20"/>
        </w:rPr>
      </w:pPr>
      <w:r w:rsidRPr="00404E90">
        <w:rPr>
          <w:rFonts w:ascii="Times New Roman" w:hAnsi="Times New Roman" w:hint="eastAsia"/>
          <w:b/>
          <w:color w:val="FF0000"/>
          <w:sz w:val="20"/>
          <w:szCs w:val="20"/>
          <w:highlight w:val="yellow"/>
          <w:bdr w:val="single" w:sz="4" w:space="0" w:color="auto"/>
        </w:rPr>
        <w:t>（</w:t>
      </w:r>
      <w:r w:rsidR="00404E90" w:rsidRPr="00404E90">
        <w:rPr>
          <w:rFonts w:ascii="Times New Roman" w:hAnsi="Times New Roman" w:hint="eastAsia"/>
          <w:b/>
          <w:color w:val="FF0000"/>
          <w:sz w:val="20"/>
          <w:szCs w:val="20"/>
          <w:highlight w:val="yellow"/>
          <w:bdr w:val="single" w:sz="4" w:space="0" w:color="auto"/>
        </w:rPr>
        <w:t>1</w:t>
      </w:r>
      <w:r w:rsidRPr="00404E90">
        <w:rPr>
          <w:rFonts w:ascii="Times New Roman" w:hAnsi="Times New Roman" w:hint="eastAsia"/>
          <w:b/>
          <w:color w:val="FF0000"/>
          <w:sz w:val="20"/>
          <w:szCs w:val="20"/>
          <w:highlight w:val="yellow"/>
          <w:bdr w:val="single" w:sz="4" w:space="0" w:color="auto"/>
        </w:rPr>
        <w:t>）</w:t>
      </w:r>
      <w:r w:rsidRPr="00DA3BC7">
        <w:rPr>
          <w:rFonts w:ascii="Times New Roman" w:hAnsi="Times New Roman"/>
          <w:b/>
          <w:sz w:val="20"/>
          <w:szCs w:val="20"/>
          <w:bdr w:val="single" w:sz="4" w:space="0" w:color="auto"/>
        </w:rPr>
        <w:t>天臺宗</w:t>
      </w:r>
      <w:r w:rsidR="00404E90">
        <w:rPr>
          <w:rFonts w:ascii="Times New Roman" w:hAnsi="Times New Roman" w:hint="eastAsia"/>
          <w:b/>
          <w:color w:val="FF0000"/>
          <w:sz w:val="20"/>
          <w:szCs w:val="20"/>
          <w:highlight w:val="yellow"/>
          <w:bdr w:val="single" w:sz="4" w:space="0" w:color="auto"/>
        </w:rPr>
        <w:t>之</w:t>
      </w:r>
      <w:r w:rsidRPr="00DA3BC7">
        <w:rPr>
          <w:rFonts w:ascii="Times New Roman" w:hAnsi="Times New Roman"/>
          <w:b/>
          <w:sz w:val="20"/>
          <w:szCs w:val="20"/>
          <w:bdr w:val="single" w:sz="4" w:space="0" w:color="auto"/>
        </w:rPr>
        <w:t>「三智一心中得」</w:t>
      </w:r>
      <w:r w:rsidRPr="00DA3BC7">
        <w:rPr>
          <w:rFonts w:ascii="Times New Roman" w:hAnsi="Times New Roman"/>
          <w:sz w:val="20"/>
        </w:rPr>
        <w:t>（</w:t>
      </w:r>
      <w:r w:rsidRPr="00DA3BC7">
        <w:rPr>
          <w:rFonts w:ascii="Times New Roman" w:hAnsi="Times New Roman"/>
          <w:sz w:val="20"/>
        </w:rPr>
        <w:t>p.234</w:t>
      </w:r>
      <w:r w:rsidRPr="00DA3BC7">
        <w:rPr>
          <w:rFonts w:ascii="Times New Roman" w:hAnsi="Times New Roman"/>
          <w:sz w:val="20"/>
        </w:rPr>
        <w:t>）</w:t>
      </w:r>
    </w:p>
    <w:p w:rsidR="00404E90" w:rsidRPr="00DA3BC7" w:rsidRDefault="00404E90" w:rsidP="00E6656D">
      <w:pPr>
        <w:widowControl/>
        <w:ind w:leftChars="300" w:left="72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A</w:t>
      </w:r>
      <w:r>
        <w:rPr>
          <w:rFonts w:ascii="Times New Roman" w:hAnsi="Times New Roman" w:hint="eastAsia"/>
          <w:b/>
          <w:color w:val="FF0000"/>
          <w:sz w:val="20"/>
          <w:szCs w:val="20"/>
          <w:highlight w:val="yellow"/>
          <w:bdr w:val="single" w:sz="4" w:space="0" w:color="auto"/>
        </w:rPr>
        <w:t>、述義評論</w:t>
      </w:r>
    </w:p>
    <w:p w:rsidR="00AA120F" w:rsidRPr="00DA3BC7" w:rsidRDefault="00AA120F" w:rsidP="00E6656D">
      <w:pPr>
        <w:widowControl/>
        <w:ind w:leftChars="300" w:left="720"/>
        <w:jc w:val="both"/>
        <w:rPr>
          <w:rFonts w:ascii="Times New Roman" w:hAnsi="Times New Roman"/>
        </w:rPr>
      </w:pPr>
      <w:r w:rsidRPr="00DA3BC7">
        <w:rPr>
          <w:rFonts w:ascii="Times New Roman" w:hAnsi="Times New Roman"/>
        </w:rPr>
        <w:t>天臺宗引《</w:t>
      </w:r>
      <w:r w:rsidRPr="00DA3BC7">
        <w:rPr>
          <w:rFonts w:ascii="Times New Roman" w:hAnsi="Times New Roman" w:hint="eastAsia"/>
        </w:rPr>
        <w:t>大</w:t>
      </w:r>
      <w:r w:rsidRPr="00DA3BC7">
        <w:rPr>
          <w:rFonts w:ascii="Times New Roman" w:hAnsi="Times New Roman"/>
        </w:rPr>
        <w:t>智度論》說「</w:t>
      </w:r>
      <w:r w:rsidRPr="00E84AA9">
        <w:rPr>
          <w:rFonts w:ascii="標楷體" w:eastAsia="標楷體" w:hAnsi="標楷體"/>
        </w:rPr>
        <w:t>三智一心中得</w:t>
      </w:r>
      <w:r w:rsidRPr="00DA3BC7">
        <w:rPr>
          <w:rFonts w:ascii="Times New Roman" w:hAnsi="Times New Roman"/>
        </w:rPr>
        <w:t>」</w:t>
      </w:r>
      <w:r w:rsidR="00E84AA9" w:rsidRPr="00DA3BC7">
        <w:rPr>
          <w:rFonts w:ascii="Times New Roman" w:hAnsi="Times New Roman"/>
        </w:rPr>
        <w:t>，</w:t>
      </w:r>
      <w:r w:rsidRPr="00DA3BC7">
        <w:rPr>
          <w:rFonts w:ascii="Times New Roman" w:hAnsi="Times New Roman"/>
          <w:vertAlign w:val="superscript"/>
        </w:rPr>
        <w:footnoteReference w:id="1014"/>
      </w:r>
      <w:r w:rsidRPr="00DA3BC7">
        <w:rPr>
          <w:rFonts w:ascii="Times New Roman" w:hAnsi="Times New Roman"/>
        </w:rPr>
        <w:t>依此說一切智、道種智、一切種智的三智，一念頓了即空、即假、即中，即是圓觀圓證。</w:t>
      </w:r>
    </w:p>
    <w:p w:rsidR="00614D97" w:rsidRDefault="00AA120F" w:rsidP="00E6656D">
      <w:pPr>
        <w:ind w:leftChars="300" w:left="720"/>
        <w:jc w:val="both"/>
        <w:rPr>
          <w:rFonts w:ascii="Times New Roman" w:hAnsi="Times New Roman"/>
        </w:rPr>
      </w:pPr>
      <w:r w:rsidRPr="00DA3BC7">
        <w:rPr>
          <w:rFonts w:ascii="Times New Roman" w:hAnsi="Times New Roman"/>
        </w:rPr>
        <w:t>考《</w:t>
      </w:r>
      <w:r w:rsidRPr="00DA3BC7">
        <w:rPr>
          <w:rFonts w:ascii="Times New Roman" w:hAnsi="Times New Roman" w:hint="eastAsia"/>
        </w:rPr>
        <w:t>大</w:t>
      </w:r>
      <w:r w:rsidRPr="00DA3BC7">
        <w:rPr>
          <w:rFonts w:ascii="Times New Roman" w:hAnsi="Times New Roman"/>
        </w:rPr>
        <w:t>智度論》卷</w:t>
      </w:r>
      <w:r w:rsidR="00404E90">
        <w:rPr>
          <w:rFonts w:ascii="Times New Roman" w:hAnsi="Times New Roman" w:hint="eastAsia"/>
        </w:rPr>
        <w:t>27</w:t>
      </w:r>
      <w:r w:rsidRPr="00DA3BC7">
        <w:rPr>
          <w:rFonts w:ascii="Times New Roman" w:hAnsi="Times New Roman"/>
        </w:rPr>
        <w:t>原文，不是三智一心中得，是「一切智一心中得」</w:t>
      </w:r>
      <w:r w:rsidR="00EF58E8" w:rsidRPr="00DA3BC7">
        <w:rPr>
          <w:rFonts w:ascii="Times New Roman" w:hAnsi="Times New Roman"/>
        </w:rPr>
        <w:t>。</w:t>
      </w:r>
      <w:r w:rsidRPr="00DA3BC7">
        <w:rPr>
          <w:rFonts w:ascii="Times New Roman" w:hAnsi="Times New Roman"/>
          <w:vertAlign w:val="superscript"/>
        </w:rPr>
        <w:footnoteReference w:id="1015"/>
      </w:r>
      <w:r w:rsidRPr="00DA3BC7">
        <w:rPr>
          <w:rFonts w:ascii="Times New Roman" w:hAnsi="Times New Roman"/>
        </w:rPr>
        <w:t>「</w:t>
      </w:r>
      <w:r w:rsidRPr="00DA3BC7">
        <w:rPr>
          <w:rFonts w:ascii="標楷體" w:eastAsia="標楷體" w:hAnsi="標楷體"/>
        </w:rPr>
        <w:t>道智是行相</w:t>
      </w:r>
      <w:r w:rsidRPr="00DA3BC7">
        <w:rPr>
          <w:rFonts w:ascii="Times New Roman" w:hAnsi="Times New Roman"/>
        </w:rPr>
        <w:t>」</w:t>
      </w:r>
      <w:r w:rsidRPr="00DA3BC7">
        <w:rPr>
          <w:rFonts w:ascii="Times New Roman" w:hAnsi="Times New Roman"/>
          <w:vertAlign w:val="superscript"/>
        </w:rPr>
        <w:footnoteReference w:id="1016"/>
      </w:r>
      <w:r w:rsidRPr="00DA3BC7">
        <w:rPr>
          <w:rFonts w:ascii="Times New Roman" w:hAnsi="Times New Roman"/>
        </w:rPr>
        <w:t>，以道智得一切智</w:t>
      </w:r>
      <w:r w:rsidRPr="00DA3BC7">
        <w:rPr>
          <w:rFonts w:ascii="Times New Roman" w:hAnsi="Times New Roman" w:hint="eastAsia"/>
        </w:rPr>
        <w:t>、</w:t>
      </w:r>
      <w:r w:rsidRPr="00DA3BC7">
        <w:rPr>
          <w:rFonts w:ascii="Times New Roman" w:hAnsi="Times New Roman"/>
        </w:rPr>
        <w:t>一切種智，所以《</w:t>
      </w:r>
      <w:r w:rsidRPr="00DA3BC7">
        <w:rPr>
          <w:rFonts w:ascii="Times New Roman" w:hAnsi="Times New Roman" w:hint="eastAsia"/>
        </w:rPr>
        <w:t>大</w:t>
      </w:r>
      <w:r w:rsidRPr="00DA3BC7">
        <w:rPr>
          <w:rFonts w:ascii="Times New Roman" w:hAnsi="Times New Roman"/>
        </w:rPr>
        <w:t>智度論》的「一切智」，指二智而非三智。二智如在菩薩位中，即道智</w:t>
      </w:r>
      <w:r w:rsidRPr="00DA3BC7">
        <w:rPr>
          <w:rFonts w:ascii="Times New Roman" w:hAnsi="Times New Roman" w:hint="eastAsia"/>
        </w:rPr>
        <w:t>、</w:t>
      </w:r>
      <w:r w:rsidRPr="00DA3BC7">
        <w:rPr>
          <w:rFonts w:ascii="Times New Roman" w:hAnsi="Times New Roman"/>
        </w:rPr>
        <w:t>道種智；</w:t>
      </w:r>
      <w:r w:rsidRPr="00DA3BC7">
        <w:rPr>
          <w:rFonts w:ascii="Times New Roman" w:hAnsi="Times New Roman"/>
          <w:b/>
        </w:rPr>
        <w:t>佛果一心中得，是一切智</w:t>
      </w:r>
      <w:r w:rsidRPr="00DA3BC7">
        <w:rPr>
          <w:rFonts w:ascii="Times New Roman" w:hAnsi="Times New Roman" w:hint="eastAsia"/>
          <w:b/>
        </w:rPr>
        <w:t>、</w:t>
      </w:r>
      <w:r w:rsidRPr="00DA3BC7">
        <w:rPr>
          <w:rFonts w:ascii="Times New Roman" w:hAnsi="Times New Roman"/>
          <w:b/>
        </w:rPr>
        <w:t>一切種智</w:t>
      </w:r>
      <w:r w:rsidRPr="00DA3BC7">
        <w:rPr>
          <w:rFonts w:ascii="Times New Roman" w:hAnsi="Times New Roman"/>
        </w:rPr>
        <w:t>。</w:t>
      </w:r>
    </w:p>
    <w:p w:rsidR="00AA120F" w:rsidRPr="00DA3BC7" w:rsidRDefault="00AA120F" w:rsidP="00E6656D">
      <w:pPr>
        <w:ind w:leftChars="300" w:left="720"/>
        <w:jc w:val="both"/>
        <w:rPr>
          <w:rFonts w:ascii="Times New Roman" w:hAnsi="Times New Roman"/>
        </w:rPr>
      </w:pPr>
      <w:r w:rsidRPr="00DA3BC7">
        <w:rPr>
          <w:rFonts w:ascii="Times New Roman" w:hAnsi="Times New Roman"/>
        </w:rPr>
        <w:lastRenderedPageBreak/>
        <w:t>三智一心中得，或二智一心中得，</w:t>
      </w:r>
      <w:r w:rsidRPr="00DA3BC7">
        <w:rPr>
          <w:rFonts w:ascii="Times New Roman" w:hAnsi="Times New Roman"/>
          <w:vertAlign w:val="superscript"/>
        </w:rPr>
        <w:footnoteReference w:id="1017"/>
      </w:r>
      <w:r w:rsidRPr="00DA3BC7">
        <w:rPr>
          <w:rFonts w:ascii="Times New Roman" w:hAnsi="Times New Roman"/>
        </w:rPr>
        <w:t>姑且不談，總之是圓證的。</w:t>
      </w:r>
    </w:p>
    <w:p w:rsidR="00AA120F" w:rsidRPr="00DA3BC7" w:rsidRDefault="00614D97" w:rsidP="00AE3920">
      <w:pPr>
        <w:widowControl/>
        <w:spacing w:beforeLines="30"/>
        <w:ind w:leftChars="300" w:left="720"/>
        <w:jc w:val="both"/>
        <w:rPr>
          <w:rFonts w:ascii="Times New Roman" w:hAnsi="Times New Roman"/>
          <w:b/>
          <w:sz w:val="20"/>
          <w:szCs w:val="20"/>
          <w:bdr w:val="single" w:sz="4" w:space="0" w:color="auto"/>
        </w:rPr>
      </w:pPr>
      <w:r w:rsidRPr="00614D97">
        <w:rPr>
          <w:rFonts w:ascii="Times New Roman" w:hAnsi="Times New Roman" w:hint="eastAsia"/>
          <w:b/>
          <w:color w:val="FF0000"/>
          <w:sz w:val="20"/>
          <w:szCs w:val="20"/>
          <w:highlight w:val="yellow"/>
          <w:bdr w:val="single" w:sz="4" w:space="0" w:color="auto"/>
        </w:rPr>
        <w:t>B</w:t>
      </w:r>
      <w:r w:rsidR="00AA120F" w:rsidRPr="00614D97">
        <w:rPr>
          <w:rFonts w:ascii="Times New Roman" w:hAnsi="Times New Roman" w:hint="eastAsia"/>
          <w:b/>
          <w:color w:val="FF0000"/>
          <w:sz w:val="20"/>
          <w:szCs w:val="20"/>
          <w:highlight w:val="yellow"/>
          <w:bdr w:val="single" w:sz="4" w:space="0" w:color="auto"/>
        </w:rPr>
        <w:t>、</w:t>
      </w:r>
      <w:r w:rsidRPr="00614D97">
        <w:rPr>
          <w:rFonts w:ascii="Times New Roman" w:hAnsi="Times New Roman" w:hint="eastAsia"/>
          <w:b/>
          <w:color w:val="FF0000"/>
          <w:sz w:val="20"/>
          <w:szCs w:val="20"/>
          <w:highlight w:val="yellow"/>
          <w:bdr w:val="single" w:sz="4" w:space="0" w:color="auto"/>
        </w:rPr>
        <w:t>兼辨《大智度論》</w:t>
      </w:r>
      <w:r w:rsidR="00AA120F" w:rsidRPr="00DA3BC7">
        <w:rPr>
          <w:rFonts w:ascii="Times New Roman" w:hAnsi="Times New Roman" w:hint="eastAsia"/>
          <w:b/>
          <w:sz w:val="20"/>
          <w:szCs w:val="20"/>
          <w:bdr w:val="single" w:sz="4" w:space="0" w:color="auto"/>
        </w:rPr>
        <w:t>「</w:t>
      </w:r>
      <w:r w:rsidR="00AA120F" w:rsidRPr="00DA3BC7">
        <w:rPr>
          <w:rFonts w:ascii="Times New Roman" w:hAnsi="Times New Roman"/>
          <w:b/>
          <w:sz w:val="20"/>
          <w:szCs w:val="20"/>
          <w:bdr w:val="single" w:sz="4" w:space="0" w:color="auto"/>
        </w:rPr>
        <w:t>一心中得</w:t>
      </w:r>
      <w:r w:rsidR="00AA120F" w:rsidRPr="00DA3BC7">
        <w:rPr>
          <w:rFonts w:ascii="Times New Roman" w:hAnsi="Times New Roman" w:hint="eastAsia"/>
          <w:b/>
          <w:sz w:val="20"/>
          <w:szCs w:val="20"/>
          <w:bdr w:val="single" w:sz="4" w:space="0" w:color="auto"/>
        </w:rPr>
        <w:t>」</w:t>
      </w:r>
      <w:r w:rsidR="00AA120F" w:rsidRPr="00614D97">
        <w:rPr>
          <w:rFonts w:ascii="Times New Roman" w:hAnsi="Times New Roman" w:hint="eastAsia"/>
          <w:b/>
          <w:sz w:val="20"/>
          <w:szCs w:val="20"/>
          <w:highlight w:val="yellow"/>
          <w:bdr w:val="single" w:sz="4" w:space="0" w:color="auto"/>
        </w:rPr>
        <w:t>之義</w:t>
      </w:r>
      <w:r w:rsidR="00AA120F" w:rsidRPr="00DA3BC7">
        <w:rPr>
          <w:rFonts w:ascii="Times New Roman" w:hAnsi="Times New Roman"/>
          <w:sz w:val="20"/>
        </w:rPr>
        <w:t>（</w:t>
      </w:r>
      <w:r w:rsidR="00AA120F" w:rsidRPr="00DA3BC7">
        <w:rPr>
          <w:rFonts w:ascii="Times New Roman" w:hAnsi="Times New Roman"/>
          <w:sz w:val="20"/>
        </w:rPr>
        <w:t>p.234</w:t>
      </w:r>
      <w:r w:rsidR="00AA120F" w:rsidRPr="00DA3BC7">
        <w:rPr>
          <w:rFonts w:ascii="Times New Roman" w:hAnsi="Times New Roman"/>
          <w:sz w:val="20"/>
        </w:rPr>
        <w:t>）</w:t>
      </w:r>
    </w:p>
    <w:p w:rsidR="00AA120F" w:rsidRPr="00DA3BC7" w:rsidRDefault="00AA120F" w:rsidP="00E6656D">
      <w:pPr>
        <w:widowControl/>
        <w:ind w:leftChars="300" w:left="720"/>
        <w:jc w:val="both"/>
        <w:rPr>
          <w:rFonts w:ascii="Times New Roman" w:hAnsi="Times New Roman"/>
        </w:rPr>
      </w:pPr>
      <w:r w:rsidRPr="00DA3BC7">
        <w:rPr>
          <w:rFonts w:ascii="Times New Roman" w:hAnsi="Times New Roman"/>
        </w:rPr>
        <w:t>一心中得，龍樹菩薩引述的解釋，可有三說：</w:t>
      </w:r>
      <w:r w:rsidRPr="00DA3BC7">
        <w:rPr>
          <w:rFonts w:ascii="Times New Roman" w:hAnsi="Times New Roman"/>
          <w:vertAlign w:val="superscript"/>
        </w:rPr>
        <w:footnoteReference w:id="1018"/>
      </w:r>
    </w:p>
    <w:p w:rsidR="00AA120F" w:rsidRPr="00DA3BC7" w:rsidRDefault="00AA120F" w:rsidP="00E6656D">
      <w:pPr>
        <w:ind w:leftChars="300" w:left="1440" w:hangingChars="300" w:hanging="720"/>
        <w:jc w:val="both"/>
        <w:rPr>
          <w:rFonts w:ascii="Times New Roman" w:hAnsi="Times New Roman"/>
        </w:rPr>
      </w:pPr>
      <w:r w:rsidRPr="00DA3BC7">
        <w:rPr>
          <w:rFonts w:ascii="Times New Roman" w:hAnsi="Times New Roman"/>
        </w:rPr>
        <w:t>（一）一心，還是有次第的，如一剎那中有先生後滅；</w:t>
      </w:r>
      <w:r w:rsidR="00E84AA9" w:rsidRPr="00DA3BC7">
        <w:rPr>
          <w:rFonts w:ascii="Times New Roman" w:hAnsi="Times New Roman"/>
          <w:vertAlign w:val="superscript"/>
        </w:rPr>
        <w:footnoteReference w:id="1019"/>
      </w:r>
      <w:r w:rsidRPr="00DA3BC7">
        <w:rPr>
          <w:rFonts w:ascii="Times New Roman" w:hAnsi="Times New Roman"/>
        </w:rPr>
        <w:t>依此，可解說為先般若智證真，後方便智達有。</w:t>
      </w:r>
    </w:p>
    <w:p w:rsidR="00AA120F" w:rsidRPr="00DA3BC7" w:rsidRDefault="00AA120F" w:rsidP="00E6656D">
      <w:pPr>
        <w:ind w:leftChars="300" w:left="1440" w:hangingChars="300" w:hanging="720"/>
        <w:jc w:val="both"/>
        <w:rPr>
          <w:rFonts w:ascii="Times New Roman" w:hAnsi="Times New Roman"/>
        </w:rPr>
      </w:pPr>
      <w:r w:rsidRPr="00DA3BC7">
        <w:rPr>
          <w:rFonts w:ascii="Times New Roman" w:hAnsi="Times New Roman"/>
        </w:rPr>
        <w:t>（二）一念心中得，雖頓得而用不妨前後起，即頓得而漸用。這是說：悟理時，不能說但得般若或但得方便。雖圓滿證得，然慧的作用，可以有先側重此而後側重彼的不同。</w:t>
      </w:r>
    </w:p>
    <w:p w:rsidR="002F5A8C" w:rsidRDefault="00AA120F" w:rsidP="00E6656D">
      <w:pPr>
        <w:widowControl/>
        <w:ind w:leftChars="600" w:left="1440"/>
        <w:jc w:val="both"/>
        <w:rPr>
          <w:rFonts w:ascii="Times New Roman" w:hAnsi="Times New Roman"/>
        </w:rPr>
      </w:pPr>
      <w:r w:rsidRPr="00DA3BC7">
        <w:rPr>
          <w:rFonts w:ascii="Times New Roman" w:hAnsi="Times New Roman"/>
        </w:rPr>
        <w:t>如一時得到多少東西，但可以前後使用，不必在同一時用。</w:t>
      </w:r>
    </w:p>
    <w:p w:rsidR="00AA120F" w:rsidRPr="00DA3BC7" w:rsidRDefault="00AA120F" w:rsidP="00E6656D">
      <w:pPr>
        <w:widowControl/>
        <w:ind w:leftChars="600" w:left="1440"/>
        <w:jc w:val="both"/>
        <w:rPr>
          <w:rFonts w:ascii="Times New Roman" w:hAnsi="Times New Roman"/>
          <w:b/>
        </w:rPr>
      </w:pPr>
      <w:r w:rsidRPr="00DA3BC7">
        <w:rPr>
          <w:rFonts w:ascii="Times New Roman" w:hAnsi="Times New Roman"/>
        </w:rPr>
        <w:t>此有類於薩婆多部的或得而現前，或得而不現前。</w:t>
      </w:r>
    </w:p>
    <w:p w:rsidR="00AA120F" w:rsidRPr="00DA3BC7" w:rsidRDefault="00AA120F" w:rsidP="00E6656D">
      <w:pPr>
        <w:widowControl/>
        <w:ind w:leftChars="300" w:left="720"/>
        <w:jc w:val="both"/>
        <w:rPr>
          <w:rFonts w:ascii="Times New Roman" w:hAnsi="Times New Roman"/>
          <w:lang w:eastAsia="zh-CN"/>
        </w:rPr>
      </w:pPr>
      <w:r w:rsidRPr="00DA3BC7">
        <w:rPr>
          <w:rFonts w:ascii="Times New Roman" w:hAnsi="Times New Roman"/>
          <w:lang w:eastAsia="zh-CN"/>
        </w:rPr>
        <w:t>（</w:t>
      </w:r>
      <w:r w:rsidRPr="00DA3BC7">
        <w:rPr>
          <w:rFonts w:ascii="Times New Roman" w:hAnsi="Times New Roman"/>
        </w:rPr>
        <w:t>三</w:t>
      </w:r>
      <w:r w:rsidRPr="00DA3BC7">
        <w:rPr>
          <w:rFonts w:ascii="Times New Roman" w:hAnsi="Times New Roman"/>
          <w:lang w:eastAsia="zh-CN"/>
        </w:rPr>
        <w:t>）</w:t>
      </w:r>
      <w:r w:rsidRPr="00DA3BC7">
        <w:rPr>
          <w:rFonts w:ascii="Times New Roman" w:hAnsi="Times New Roman"/>
        </w:rPr>
        <w:t>一念中得，即可一念心中用。</w:t>
      </w:r>
      <w:r w:rsidRPr="00DA3BC7">
        <w:rPr>
          <w:rFonts w:ascii="Times New Roman" w:hAnsi="Times New Roman"/>
          <w:vertAlign w:val="superscript"/>
        </w:rPr>
        <w:footnoteReference w:id="1020"/>
      </w:r>
    </w:p>
    <w:p w:rsidR="00AA120F" w:rsidRPr="00DA3BC7" w:rsidRDefault="002F5A8C" w:rsidP="00AE3920">
      <w:pPr>
        <w:widowControl/>
        <w:spacing w:beforeLines="30"/>
        <w:ind w:leftChars="250" w:left="600"/>
        <w:jc w:val="both"/>
        <w:rPr>
          <w:rFonts w:ascii="Times New Roman" w:hAnsi="Times New Roman"/>
          <w:b/>
          <w:sz w:val="20"/>
          <w:szCs w:val="20"/>
          <w:bdr w:val="single" w:sz="4" w:space="0" w:color="auto"/>
        </w:rPr>
      </w:pPr>
      <w:r w:rsidRPr="002F5A8C">
        <w:rPr>
          <w:rFonts w:ascii="Times New Roman" w:hAnsi="Times New Roman" w:hint="eastAsia"/>
          <w:b/>
          <w:color w:val="FF0000"/>
          <w:sz w:val="20"/>
          <w:szCs w:val="20"/>
          <w:highlight w:val="yellow"/>
          <w:bdr w:val="single" w:sz="4" w:space="0" w:color="auto"/>
        </w:rPr>
        <w:t>（</w:t>
      </w:r>
      <w:r w:rsidRPr="002F5A8C">
        <w:rPr>
          <w:rFonts w:ascii="Times New Roman" w:hAnsi="Times New Roman" w:hint="eastAsia"/>
          <w:b/>
          <w:color w:val="FF0000"/>
          <w:sz w:val="20"/>
          <w:szCs w:val="20"/>
          <w:highlight w:val="yellow"/>
          <w:bdr w:val="single" w:sz="4" w:space="0" w:color="auto"/>
        </w:rPr>
        <w:t>2</w:t>
      </w:r>
      <w:r w:rsidRPr="002F5A8C">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三論宗</w:t>
      </w:r>
      <w:r w:rsidRPr="002F5A8C">
        <w:rPr>
          <w:rFonts w:ascii="Times New Roman" w:hAnsi="Times New Roman" w:hint="eastAsia"/>
          <w:b/>
          <w:color w:val="FF0000"/>
          <w:sz w:val="20"/>
          <w:szCs w:val="20"/>
          <w:highlight w:val="yellow"/>
          <w:bdr w:val="single" w:sz="4" w:space="0" w:color="auto"/>
        </w:rPr>
        <w:t>之</w:t>
      </w:r>
      <w:r w:rsidR="00AA120F" w:rsidRPr="002F5A8C">
        <w:rPr>
          <w:rFonts w:ascii="Times New Roman" w:hAnsi="Times New Roman"/>
          <w:b/>
          <w:color w:val="FF0000"/>
          <w:sz w:val="20"/>
          <w:szCs w:val="20"/>
          <w:highlight w:val="yellow"/>
          <w:bdr w:val="single" w:sz="4" w:space="0" w:color="auto"/>
        </w:rPr>
        <w:t>「圓</w:t>
      </w:r>
      <w:r w:rsidRPr="002F5A8C">
        <w:rPr>
          <w:rFonts w:ascii="Times New Roman" w:hAnsi="Times New Roman" w:hint="eastAsia"/>
          <w:b/>
          <w:color w:val="FF0000"/>
          <w:sz w:val="20"/>
          <w:szCs w:val="20"/>
          <w:highlight w:val="yellow"/>
          <w:bdr w:val="single" w:sz="4" w:space="0" w:color="auto"/>
        </w:rPr>
        <w:t>觀圓悟</w:t>
      </w:r>
      <w:r w:rsidR="00AA120F" w:rsidRPr="002F5A8C">
        <w:rPr>
          <w:rFonts w:ascii="Times New Roman" w:hAnsi="Times New Roman"/>
          <w:b/>
          <w:color w:val="FF0000"/>
          <w:sz w:val="20"/>
          <w:szCs w:val="20"/>
          <w:highlight w:val="yellow"/>
          <w:bdr w:val="single" w:sz="4" w:space="0" w:color="auto"/>
        </w:rPr>
        <w:t>」</w:t>
      </w:r>
      <w:r w:rsidR="00AA120F" w:rsidRPr="00DA3BC7">
        <w:rPr>
          <w:rFonts w:ascii="Times New Roman" w:hAnsi="Times New Roman"/>
          <w:sz w:val="20"/>
        </w:rPr>
        <w:t>（</w:t>
      </w:r>
      <w:r w:rsidR="00AA120F" w:rsidRPr="00DA3BC7">
        <w:rPr>
          <w:rFonts w:ascii="Times New Roman" w:hAnsi="Times New Roman"/>
          <w:sz w:val="20"/>
        </w:rPr>
        <w:t>p.235</w:t>
      </w:r>
      <w:r w:rsidR="00AA120F" w:rsidRPr="00DA3BC7">
        <w:rPr>
          <w:rFonts w:ascii="Times New Roman" w:hAnsi="Times New Roman"/>
          <w:sz w:val="20"/>
        </w:rPr>
        <w:t>）</w:t>
      </w:r>
    </w:p>
    <w:p w:rsidR="00AA120F" w:rsidRPr="00DA3BC7" w:rsidRDefault="00AA120F" w:rsidP="00E6656D">
      <w:pPr>
        <w:widowControl/>
        <w:ind w:leftChars="250" w:left="600"/>
        <w:jc w:val="both"/>
        <w:rPr>
          <w:rFonts w:ascii="Times New Roman" w:hAnsi="Times New Roman"/>
        </w:rPr>
      </w:pPr>
      <w:r w:rsidRPr="00DA3BC7">
        <w:rPr>
          <w:rFonts w:ascii="Times New Roman" w:hAnsi="Times New Roman"/>
        </w:rPr>
        <w:lastRenderedPageBreak/>
        <w:t>三論宗以為「</w:t>
      </w:r>
      <w:r w:rsidRPr="00DA3BC7">
        <w:rPr>
          <w:rFonts w:ascii="標楷體" w:eastAsia="標楷體" w:hAnsi="標楷體"/>
        </w:rPr>
        <w:t>發心畢竟二不別</w:t>
      </w:r>
      <w:r w:rsidRPr="00DA3BC7">
        <w:rPr>
          <w:rFonts w:ascii="Times New Roman" w:hAnsi="Times New Roman"/>
        </w:rPr>
        <w:t>」</w:t>
      </w:r>
      <w:r w:rsidRPr="00DA3BC7">
        <w:rPr>
          <w:rFonts w:ascii="Times New Roman" w:hAnsi="Times New Roman"/>
          <w:vertAlign w:val="superscript"/>
        </w:rPr>
        <w:footnoteReference w:id="1021"/>
      </w:r>
      <w:r w:rsidRPr="00DA3BC7">
        <w:rPr>
          <w:rFonts w:ascii="Times New Roman" w:hAnsi="Times New Roman"/>
        </w:rPr>
        <w:t>的，從最初發心到最後證悟，是相應的</w:t>
      </w:r>
      <w:r w:rsidRPr="00DA3BC7">
        <w:rPr>
          <w:rFonts w:ascii="Times New Roman" w:hAnsi="Times New Roman" w:hint="eastAsia"/>
        </w:rPr>
        <w:t>、</w:t>
      </w:r>
      <w:r w:rsidRPr="00DA3BC7">
        <w:rPr>
          <w:rFonts w:ascii="Times New Roman" w:hAnsi="Times New Roman"/>
        </w:rPr>
        <w:t>同一的；佛果既一心中得，菩薩也應該是圓觀中道的。</w:t>
      </w:r>
    </w:p>
    <w:p w:rsidR="00AA120F" w:rsidRPr="00DA3BC7" w:rsidRDefault="00AA120F" w:rsidP="00AE3920">
      <w:pPr>
        <w:widowControl/>
        <w:spacing w:beforeLines="20"/>
        <w:ind w:leftChars="250" w:left="600"/>
        <w:jc w:val="both"/>
        <w:rPr>
          <w:rFonts w:ascii="Times New Roman" w:hAnsi="Times New Roman"/>
        </w:rPr>
      </w:pPr>
      <w:r w:rsidRPr="00DA3BC7">
        <w:rPr>
          <w:rFonts w:ascii="Times New Roman" w:hAnsi="Times New Roman"/>
        </w:rPr>
        <w:t>經中有處說：</w:t>
      </w:r>
      <w:r w:rsidRPr="00DA3BC7">
        <w:rPr>
          <w:rFonts w:ascii="Times New Roman" w:hAnsi="Times New Roman"/>
          <w:b/>
        </w:rPr>
        <w:t>根本智證真如，後得方便智起化用</w:t>
      </w:r>
      <w:r w:rsidRPr="00DA3BC7">
        <w:rPr>
          <w:rFonts w:ascii="Times New Roman" w:hAnsi="Times New Roman"/>
          <w:vertAlign w:val="superscript"/>
        </w:rPr>
        <w:footnoteReference w:id="1022"/>
      </w:r>
      <w:r w:rsidRPr="00DA3BC7">
        <w:rPr>
          <w:rFonts w:ascii="Times New Roman" w:hAnsi="Times New Roman"/>
        </w:rPr>
        <w:t>，這是無差別中作差別說，約偏重說，是約</w:t>
      </w:r>
      <w:r w:rsidRPr="00DA3BC7">
        <w:rPr>
          <w:rFonts w:ascii="Times New Roman" w:hAnsi="Times New Roman"/>
          <w:b/>
        </w:rPr>
        <w:t>頓得漸用</w:t>
      </w:r>
      <w:r w:rsidRPr="00DA3BC7">
        <w:rPr>
          <w:rFonts w:ascii="Times New Roman" w:hAnsi="Times New Roman"/>
        </w:rPr>
        <w:t>說。</w:t>
      </w:r>
    </w:p>
    <w:p w:rsidR="00AA120F" w:rsidRPr="00DA3BC7" w:rsidRDefault="00AA120F" w:rsidP="00AE3920">
      <w:pPr>
        <w:widowControl/>
        <w:spacing w:beforeLines="20"/>
        <w:ind w:leftChars="250" w:left="600"/>
        <w:jc w:val="both"/>
        <w:rPr>
          <w:rFonts w:ascii="Times New Roman" w:hAnsi="Times New Roman"/>
        </w:rPr>
      </w:pPr>
      <w:r w:rsidRPr="00DA3BC7">
        <w:rPr>
          <w:rFonts w:ascii="Times New Roman" w:hAnsi="Times New Roman"/>
        </w:rPr>
        <w:t>所以初修觀行，緣起性空是要圓觀的；悟證時也必是圓悟的。三論宗否認大乘學者有見偏真的；但證偏真，是小聖的眇目</w:t>
      </w:r>
      <w:r w:rsidRPr="00DA3BC7">
        <w:rPr>
          <w:rFonts w:ascii="Times New Roman" w:hAnsi="Times New Roman"/>
          <w:vertAlign w:val="superscript"/>
        </w:rPr>
        <w:footnoteReference w:id="1023"/>
      </w:r>
      <w:r w:rsidRPr="00DA3BC7">
        <w:rPr>
          <w:rFonts w:ascii="Times New Roman" w:hAnsi="Times New Roman"/>
        </w:rPr>
        <w:t>曲</w:t>
      </w:r>
      <w:r w:rsidRPr="00DA3BC7">
        <w:rPr>
          <w:rStyle w:val="a6"/>
          <w:rFonts w:ascii="Times New Roman" w:hAnsi="Times New Roman"/>
        </w:rPr>
        <w:footnoteReference w:id="1024"/>
      </w:r>
      <w:r w:rsidRPr="00DA3BC7">
        <w:rPr>
          <w:rFonts w:ascii="Times New Roman" w:hAnsi="Times New Roman"/>
        </w:rPr>
        <w:t>見。</w:t>
      </w:r>
    </w:p>
    <w:p w:rsidR="00AA120F" w:rsidRPr="00DA3BC7" w:rsidRDefault="002F5A8C" w:rsidP="00AE3920">
      <w:pPr>
        <w:widowControl/>
        <w:spacing w:beforeLines="30"/>
        <w:ind w:leftChars="250" w:left="600"/>
        <w:jc w:val="both"/>
        <w:rPr>
          <w:rFonts w:ascii="Times New Roman" w:eastAsia="SimSun" w:hAnsi="Times New Roman"/>
          <w:sz w:val="20"/>
        </w:rPr>
      </w:pPr>
      <w:r w:rsidRPr="002F5A8C">
        <w:rPr>
          <w:rFonts w:ascii="Times New Roman" w:hAnsi="Times New Roman" w:hint="eastAsia"/>
          <w:b/>
          <w:color w:val="FF0000"/>
          <w:sz w:val="20"/>
          <w:szCs w:val="20"/>
          <w:highlight w:val="yellow"/>
          <w:bdr w:val="single" w:sz="4" w:space="0" w:color="auto"/>
        </w:rPr>
        <w:t>（</w:t>
      </w:r>
      <w:r w:rsidRPr="002F5A8C">
        <w:rPr>
          <w:rFonts w:ascii="Times New Roman" w:hAnsi="Times New Roman" w:hint="eastAsia"/>
          <w:b/>
          <w:color w:val="FF0000"/>
          <w:sz w:val="20"/>
          <w:szCs w:val="20"/>
          <w:highlight w:val="yellow"/>
          <w:bdr w:val="single" w:sz="4" w:space="0" w:color="auto"/>
        </w:rPr>
        <w:t>3</w:t>
      </w:r>
      <w:r w:rsidRPr="002F5A8C">
        <w:rPr>
          <w:rFonts w:ascii="Times New Roman" w:hAnsi="Times New Roman" w:hint="eastAsia"/>
          <w:b/>
          <w:color w:val="FF0000"/>
          <w:sz w:val="20"/>
          <w:szCs w:val="20"/>
          <w:highlight w:val="yellow"/>
          <w:bdr w:val="single" w:sz="4" w:space="0" w:color="auto"/>
        </w:rPr>
        <w:t>）宗喀巴等</w:t>
      </w:r>
      <w:r w:rsidR="00AA120F" w:rsidRPr="00DA3BC7">
        <w:rPr>
          <w:rFonts w:ascii="Times New Roman" w:hAnsi="Times New Roman" w:hint="eastAsia"/>
          <w:b/>
          <w:sz w:val="20"/>
          <w:szCs w:val="20"/>
          <w:bdr w:val="single" w:sz="4" w:space="0" w:color="auto"/>
        </w:rPr>
        <w:t>之說</w:t>
      </w:r>
      <w:r w:rsidR="00AA120F" w:rsidRPr="00DA3BC7">
        <w:rPr>
          <w:rFonts w:ascii="Times New Roman" w:hAnsi="Times New Roman"/>
          <w:sz w:val="20"/>
        </w:rPr>
        <w:t>（</w:t>
      </w:r>
      <w:r w:rsidR="00AA120F" w:rsidRPr="00DA3BC7">
        <w:rPr>
          <w:rFonts w:ascii="Times New Roman" w:hAnsi="Times New Roman"/>
          <w:sz w:val="20"/>
        </w:rPr>
        <w:t>p.235</w:t>
      </w:r>
      <w:r w:rsidR="00AA120F" w:rsidRPr="00DA3BC7">
        <w:rPr>
          <w:rFonts w:ascii="Times New Roman" w:hAnsi="Times New Roman"/>
          <w:sz w:val="20"/>
        </w:rPr>
        <w:t>）</w:t>
      </w:r>
    </w:p>
    <w:p w:rsidR="00AA120F" w:rsidRPr="00DA3BC7" w:rsidRDefault="00AA120F" w:rsidP="00E6656D">
      <w:pPr>
        <w:widowControl/>
        <w:ind w:leftChars="250" w:left="600"/>
        <w:jc w:val="both"/>
        <w:rPr>
          <w:rFonts w:ascii="Times New Roman" w:eastAsia="SimSun" w:hAnsi="Times New Roman"/>
          <w:b/>
          <w:lang w:eastAsia="zh-CN"/>
        </w:rPr>
      </w:pPr>
      <w:r w:rsidRPr="00DA3BC7">
        <w:rPr>
          <w:rFonts w:ascii="Times New Roman" w:hAnsi="Times New Roman"/>
        </w:rPr>
        <w:lastRenderedPageBreak/>
        <w:t>西藏傳有二宗</w:t>
      </w:r>
      <w:r w:rsidRPr="00DA3BC7">
        <w:rPr>
          <w:rFonts w:ascii="新細明體" w:hAnsi="新細明體"/>
        </w:rPr>
        <w:t>──</w:t>
      </w:r>
      <w:r w:rsidRPr="00DA3BC7">
        <w:rPr>
          <w:rFonts w:ascii="Times New Roman" w:hAnsi="Times New Roman"/>
        </w:rPr>
        <w:t>證</w:t>
      </w:r>
      <w:r w:rsidRPr="00DA3BC7">
        <w:rPr>
          <w:rFonts w:ascii="Times New Roman" w:hAnsi="Times New Roman"/>
          <w:b/>
        </w:rPr>
        <w:t>偏空</w:t>
      </w:r>
      <w:r w:rsidRPr="00DA3BC7">
        <w:rPr>
          <w:rFonts w:ascii="Times New Roman" w:hAnsi="Times New Roman"/>
        </w:rPr>
        <w:t>與</w:t>
      </w:r>
      <w:r w:rsidRPr="00DA3BC7">
        <w:rPr>
          <w:rFonts w:ascii="Times New Roman" w:hAnsi="Times New Roman"/>
          <w:b/>
        </w:rPr>
        <w:t>圓中</w:t>
      </w:r>
      <w:r w:rsidRPr="00DA3BC7">
        <w:rPr>
          <w:rFonts w:ascii="Times New Roman" w:hAnsi="Times New Roman"/>
        </w:rPr>
        <w:t>，但</w:t>
      </w:r>
      <w:r w:rsidRPr="00DA3BC7">
        <w:rPr>
          <w:rFonts w:ascii="Times New Roman" w:hAnsi="Times New Roman"/>
          <w:b/>
        </w:rPr>
        <w:t>宗喀巴</w:t>
      </w:r>
      <w:r w:rsidRPr="00DA3BC7">
        <w:rPr>
          <w:rFonts w:ascii="Times New Roman" w:hAnsi="Times New Roman"/>
        </w:rPr>
        <w:t>繼承月稱論師的傳統，</w:t>
      </w:r>
      <w:r w:rsidRPr="00DA3BC7">
        <w:rPr>
          <w:rFonts w:ascii="Times New Roman" w:hAnsi="Times New Roman"/>
          <w:b/>
        </w:rPr>
        <w:t>不承認有見道頓證圓中</w:t>
      </w:r>
      <w:r w:rsidRPr="00DA3BC7">
        <w:rPr>
          <w:rFonts w:ascii="Times New Roman" w:hAnsi="Times New Roman"/>
        </w:rPr>
        <w:t>的，與唯識家說的</w:t>
      </w:r>
      <w:r w:rsidRPr="00DA3BC7">
        <w:rPr>
          <w:rFonts w:ascii="Times New Roman" w:hAnsi="Times New Roman"/>
          <w:b/>
        </w:rPr>
        <w:t>根本智見真如</w:t>
      </w:r>
      <w:r w:rsidRPr="00DA3BC7">
        <w:rPr>
          <w:rFonts w:ascii="Times New Roman" w:hAnsi="Times New Roman"/>
        </w:rPr>
        <w:t>略同。</w:t>
      </w:r>
      <w:r w:rsidRPr="00DA3BC7">
        <w:rPr>
          <w:rFonts w:ascii="Times New Roman" w:hAnsi="Times New Roman"/>
          <w:vertAlign w:val="superscript"/>
        </w:rPr>
        <w:footnoteReference w:id="1025"/>
      </w:r>
      <w:r w:rsidRPr="002F5A8C">
        <w:rPr>
          <w:rFonts w:ascii="Times New Roman" w:hAnsi="Times New Roman"/>
          <w:highlight w:val="yellow"/>
        </w:rPr>
        <w:t>但</w:t>
      </w:r>
      <w:r w:rsidRPr="00DA3BC7">
        <w:rPr>
          <w:rFonts w:ascii="Times New Roman" w:hAnsi="Times New Roman"/>
        </w:rPr>
        <w:t>以為</w:t>
      </w:r>
      <w:r w:rsidRPr="00DA3BC7">
        <w:rPr>
          <w:rFonts w:ascii="Times New Roman" w:hAnsi="Times New Roman"/>
          <w:b/>
        </w:rPr>
        <w:t>緣起性空</w:t>
      </w:r>
      <w:r w:rsidRPr="00DA3BC7">
        <w:rPr>
          <w:rFonts w:ascii="Times New Roman" w:hAnsi="Times New Roman"/>
        </w:rPr>
        <w:t>的無礙觀，是</w:t>
      </w:r>
      <w:r w:rsidRPr="00DA3BC7">
        <w:rPr>
          <w:rFonts w:ascii="Times New Roman" w:hAnsi="Times New Roman"/>
          <w:b/>
        </w:rPr>
        <w:t>初修行者不可缺少的正見；</w:t>
      </w:r>
      <w:r w:rsidRPr="00DA3BC7">
        <w:rPr>
          <w:rFonts w:ascii="Times New Roman" w:hAnsi="Times New Roman"/>
        </w:rPr>
        <w:t>觀空性是不能離開緣起而別觀的，要於緣起而觀察性空的。同時，性空也是不壞緣起的。</w:t>
      </w:r>
    </w:p>
    <w:p w:rsidR="00AA120F" w:rsidRPr="00DA3BC7" w:rsidRDefault="00AA120F" w:rsidP="00AE3920">
      <w:pPr>
        <w:widowControl/>
        <w:spacing w:beforeLines="20"/>
        <w:ind w:leftChars="250" w:left="600"/>
        <w:jc w:val="both"/>
        <w:rPr>
          <w:rFonts w:ascii="Times New Roman" w:hAnsi="Times New Roman"/>
          <w:b/>
        </w:rPr>
      </w:pPr>
      <w:r w:rsidRPr="00DA3BC7">
        <w:rPr>
          <w:rFonts w:ascii="Times New Roman" w:hAnsi="Times New Roman"/>
        </w:rPr>
        <w:t>這</w:t>
      </w:r>
      <w:r w:rsidRPr="00DA3BC7">
        <w:rPr>
          <w:rFonts w:ascii="Times New Roman" w:hAnsi="Times New Roman"/>
          <w:b/>
        </w:rPr>
        <w:t>即有而空</w:t>
      </w:r>
      <w:r w:rsidRPr="00DA3BC7">
        <w:rPr>
          <w:rFonts w:ascii="Times New Roman" w:hAnsi="Times New Roman" w:hint="eastAsia"/>
          <w:b/>
        </w:rPr>
        <w:t>、</w:t>
      </w:r>
      <w:r w:rsidRPr="00DA3BC7">
        <w:rPr>
          <w:rFonts w:ascii="Times New Roman" w:hAnsi="Times New Roman"/>
          <w:b/>
        </w:rPr>
        <w:t>空不礙有的中道觀</w:t>
      </w:r>
      <w:r w:rsidRPr="00DA3BC7">
        <w:rPr>
          <w:rFonts w:ascii="Times New Roman" w:hAnsi="Times New Roman"/>
        </w:rPr>
        <w:t>，是從</w:t>
      </w:r>
      <w:r w:rsidRPr="00DA3BC7">
        <w:rPr>
          <w:rFonts w:ascii="Times New Roman" w:hAnsi="Times New Roman"/>
          <w:b/>
        </w:rPr>
        <w:t>初修到實證間的加行觀</w:t>
      </w:r>
      <w:r w:rsidRPr="00DA3BC7">
        <w:rPr>
          <w:rFonts w:ascii="Times New Roman" w:hAnsi="Times New Roman"/>
        </w:rPr>
        <w:t>。</w:t>
      </w:r>
      <w:r w:rsidRPr="00DA3BC7">
        <w:rPr>
          <w:rFonts w:ascii="Times New Roman" w:hAnsi="Times New Roman"/>
          <w:b/>
        </w:rPr>
        <w:t>如實悟證時，必須破除眾生的妄執實有性，所以必是離一切戲論的。</w:t>
      </w:r>
    </w:p>
    <w:p w:rsidR="00AA120F" w:rsidRPr="00DA3BC7" w:rsidRDefault="002F5A8C" w:rsidP="00AE3920">
      <w:pPr>
        <w:widowControl/>
        <w:spacing w:beforeLines="30"/>
        <w:ind w:leftChars="200" w:left="480"/>
        <w:jc w:val="both"/>
        <w:rPr>
          <w:rFonts w:ascii="Times New Roman" w:hAnsi="Times New Roman"/>
          <w:b/>
          <w:sz w:val="20"/>
          <w:szCs w:val="20"/>
          <w:bdr w:val="single" w:sz="4" w:space="0" w:color="auto"/>
        </w:rPr>
      </w:pPr>
      <w:r w:rsidRPr="002F5A8C">
        <w:rPr>
          <w:rFonts w:ascii="Times New Roman" w:hAnsi="Times New Roman" w:hint="eastAsia"/>
          <w:b/>
          <w:color w:val="FF0000"/>
          <w:sz w:val="20"/>
          <w:szCs w:val="20"/>
          <w:highlight w:val="yellow"/>
          <w:bdr w:val="single" w:sz="4" w:space="0" w:color="auto"/>
        </w:rPr>
        <w:t>2</w:t>
      </w:r>
      <w:r w:rsidR="00AA120F" w:rsidRPr="002F5A8C">
        <w:rPr>
          <w:rFonts w:ascii="Times New Roman" w:hAnsi="Times New Roman"/>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印順法師</w:t>
      </w:r>
      <w:r>
        <w:rPr>
          <w:rFonts w:ascii="Times New Roman" w:hAnsi="Times New Roman" w:hint="eastAsia"/>
          <w:b/>
          <w:color w:val="FF0000"/>
          <w:sz w:val="20"/>
          <w:szCs w:val="20"/>
          <w:highlight w:val="yellow"/>
          <w:bdr w:val="single" w:sz="4" w:space="0" w:color="auto"/>
        </w:rPr>
        <w:t>評辨</w:t>
      </w:r>
      <w:r w:rsidR="00AA120F" w:rsidRPr="00DA3BC7">
        <w:rPr>
          <w:rFonts w:ascii="Times New Roman" w:hAnsi="Times New Roman"/>
          <w:sz w:val="20"/>
        </w:rPr>
        <w:t>（</w:t>
      </w:r>
      <w:r w:rsidR="00AA120F" w:rsidRPr="00DA3BC7">
        <w:rPr>
          <w:rFonts w:ascii="Times New Roman" w:hAnsi="Times New Roman"/>
          <w:sz w:val="20"/>
        </w:rPr>
        <w:t>pp.235-237</w:t>
      </w:r>
      <w:r w:rsidR="00AA120F" w:rsidRPr="00DA3BC7">
        <w:rPr>
          <w:rFonts w:ascii="Times New Roman" w:hAnsi="Times New Roman"/>
          <w:sz w:val="20"/>
        </w:rPr>
        <w:t>）</w:t>
      </w:r>
    </w:p>
    <w:p w:rsidR="007D65DC" w:rsidRDefault="007D65DC" w:rsidP="00E6656D">
      <w:pPr>
        <w:widowControl/>
        <w:ind w:leftChars="250" w:left="600"/>
        <w:jc w:val="both"/>
        <w:rPr>
          <w:rFonts w:ascii="Times New Roman" w:hAnsi="Times New Roman"/>
          <w:b/>
          <w:color w:val="FF0000"/>
          <w:sz w:val="20"/>
          <w:szCs w:val="20"/>
          <w:bdr w:val="single" w:sz="4" w:space="0" w:color="auto"/>
        </w:rPr>
      </w:pPr>
      <w:r w:rsidRPr="007D65DC">
        <w:rPr>
          <w:rFonts w:ascii="Times New Roman" w:hAnsi="Times New Roman" w:hint="eastAsia"/>
          <w:b/>
          <w:color w:val="FF0000"/>
          <w:sz w:val="20"/>
          <w:szCs w:val="20"/>
          <w:highlight w:val="yellow"/>
          <w:bdr w:val="single" w:sz="4" w:space="0" w:color="auto"/>
        </w:rPr>
        <w:t>（</w:t>
      </w:r>
      <w:r w:rsidRPr="007D65DC">
        <w:rPr>
          <w:rFonts w:ascii="Times New Roman" w:hAnsi="Times New Roman" w:hint="eastAsia"/>
          <w:b/>
          <w:color w:val="FF0000"/>
          <w:sz w:val="20"/>
          <w:szCs w:val="20"/>
          <w:highlight w:val="yellow"/>
          <w:bdr w:val="single" w:sz="4" w:space="0" w:color="auto"/>
        </w:rPr>
        <w:t>1</w:t>
      </w:r>
      <w:r w:rsidRPr="007D65DC">
        <w:rPr>
          <w:rFonts w:ascii="Times New Roman" w:hAnsi="Times New Roman" w:hint="eastAsia"/>
          <w:b/>
          <w:color w:val="FF0000"/>
          <w:sz w:val="20"/>
          <w:szCs w:val="20"/>
          <w:highlight w:val="yellow"/>
          <w:bdr w:val="single" w:sz="4" w:space="0" w:color="auto"/>
        </w:rPr>
        <w:t>）顯正</w:t>
      </w:r>
      <w:r w:rsidRPr="00DA3BC7">
        <w:rPr>
          <w:rFonts w:ascii="Times New Roman" w:hAnsi="Times New Roman"/>
          <w:sz w:val="20"/>
        </w:rPr>
        <w:t>（</w:t>
      </w:r>
      <w:r w:rsidRPr="00DA3BC7">
        <w:rPr>
          <w:rFonts w:ascii="Times New Roman" w:hAnsi="Times New Roman"/>
          <w:sz w:val="20"/>
        </w:rPr>
        <w:t>pp.235-23</w:t>
      </w:r>
      <w:r>
        <w:rPr>
          <w:rFonts w:ascii="Times New Roman" w:hAnsi="Times New Roman" w:hint="eastAsia"/>
          <w:sz w:val="20"/>
        </w:rPr>
        <w:t>6</w:t>
      </w:r>
      <w:r w:rsidRPr="00DA3BC7">
        <w:rPr>
          <w:rFonts w:ascii="Times New Roman" w:hAnsi="Times New Roman"/>
          <w:sz w:val="20"/>
        </w:rPr>
        <w:t>）</w:t>
      </w:r>
    </w:p>
    <w:p w:rsidR="007D65DC" w:rsidRDefault="00AA120F" w:rsidP="00E6656D">
      <w:pPr>
        <w:widowControl/>
        <w:ind w:leftChars="250" w:left="600"/>
        <w:jc w:val="both"/>
        <w:rPr>
          <w:rFonts w:ascii="Times New Roman" w:hAnsi="Times New Roman"/>
        </w:rPr>
      </w:pPr>
      <w:r w:rsidRPr="00DA3BC7">
        <w:rPr>
          <w:rFonts w:ascii="Times New Roman" w:hAnsi="Times New Roman"/>
        </w:rPr>
        <w:t>我覺得：中觀的修行者，不必自誇為圓證，或以為唯自宗能離一切戲論。</w:t>
      </w:r>
    </w:p>
    <w:p w:rsidR="00AA120F" w:rsidRPr="00DA3BC7" w:rsidRDefault="00AA120F" w:rsidP="00E6656D">
      <w:pPr>
        <w:widowControl/>
        <w:ind w:leftChars="250" w:left="600"/>
        <w:jc w:val="both"/>
        <w:rPr>
          <w:rFonts w:ascii="Times New Roman" w:hAnsi="Times New Roman"/>
        </w:rPr>
      </w:pPr>
      <w:r w:rsidRPr="007D65DC">
        <w:rPr>
          <w:rFonts w:ascii="Times New Roman" w:hAnsi="Times New Roman"/>
          <w:highlight w:val="yellow"/>
        </w:rPr>
        <w:t>總</w:t>
      </w:r>
      <w:r w:rsidRPr="00DA3BC7">
        <w:rPr>
          <w:rFonts w:ascii="Times New Roman" w:hAnsi="Times New Roman"/>
        </w:rPr>
        <w:t>之，</w:t>
      </w:r>
      <w:r w:rsidRPr="00DA3BC7">
        <w:rPr>
          <w:rFonts w:ascii="Times New Roman" w:hAnsi="Times New Roman"/>
          <w:b/>
        </w:rPr>
        <w:t>行者的悟證，首先要得空有無礙</w:t>
      </w:r>
      <w:r w:rsidRPr="00DA3BC7">
        <w:rPr>
          <w:rFonts w:ascii="Times New Roman" w:hAnsi="Times New Roman"/>
          <w:vertAlign w:val="superscript"/>
          <w:lang w:eastAsia="zh-CN"/>
        </w:rPr>
        <w:footnoteReference w:id="1026"/>
      </w:r>
      <w:r w:rsidRPr="00DA3BC7">
        <w:rPr>
          <w:rFonts w:ascii="Times New Roman" w:hAnsi="Times New Roman"/>
          <w:b/>
        </w:rPr>
        <w:t>的正見</w:t>
      </w:r>
      <w:r w:rsidRPr="00DA3BC7">
        <w:rPr>
          <w:rFonts w:ascii="Times New Roman" w:hAnsi="Times New Roman" w:hint="eastAsia"/>
        </w:rPr>
        <w:t>；</w:t>
      </w:r>
      <w:r w:rsidRPr="00DA3BC7">
        <w:rPr>
          <w:rFonts w:ascii="Times New Roman" w:hAnsi="Times New Roman"/>
        </w:rPr>
        <w:t>這是三論、天臺以及藏傳中觀者所公認的。</w:t>
      </w:r>
    </w:p>
    <w:p w:rsidR="00AA120F" w:rsidRPr="00DA3BC7" w:rsidRDefault="00AA120F" w:rsidP="00E6656D">
      <w:pPr>
        <w:widowControl/>
        <w:ind w:leftChars="250" w:left="600"/>
        <w:jc w:val="both"/>
        <w:rPr>
          <w:rFonts w:ascii="Times New Roman" w:hAnsi="Times New Roman"/>
        </w:rPr>
      </w:pPr>
      <w:r w:rsidRPr="00DA3BC7">
        <w:rPr>
          <w:rFonts w:ascii="Times New Roman" w:hAnsi="Times New Roman"/>
        </w:rPr>
        <w:t>此時，若功德不足</w:t>
      </w:r>
      <w:r w:rsidRPr="00DA3BC7">
        <w:rPr>
          <w:rFonts w:ascii="Times New Roman" w:hAnsi="Times New Roman" w:hint="eastAsia"/>
        </w:rPr>
        <w:t>、</w:t>
      </w:r>
      <w:r w:rsidRPr="00DA3BC7">
        <w:rPr>
          <w:rFonts w:ascii="Times New Roman" w:hAnsi="Times New Roman"/>
        </w:rPr>
        <w:t>方便慧不足，即證畢竟空性，極無戲論；</w:t>
      </w:r>
    </w:p>
    <w:p w:rsidR="00AA120F" w:rsidRPr="00DA3BC7" w:rsidRDefault="00AA120F" w:rsidP="00E6656D">
      <w:pPr>
        <w:widowControl/>
        <w:ind w:leftChars="250" w:left="600"/>
        <w:jc w:val="both"/>
        <w:rPr>
          <w:rFonts w:ascii="Times New Roman" w:eastAsia="SimSun" w:hAnsi="Times New Roman"/>
        </w:rPr>
      </w:pPr>
      <w:r w:rsidRPr="00EE28B5">
        <w:rPr>
          <w:rFonts w:ascii="Times New Roman" w:hAnsi="Times New Roman"/>
          <w:highlight w:val="yellow"/>
        </w:rPr>
        <w:t>若</w:t>
      </w:r>
      <w:r w:rsidRPr="00DA3BC7">
        <w:rPr>
          <w:rFonts w:ascii="Times New Roman" w:hAnsi="Times New Roman"/>
        </w:rPr>
        <w:t>功德深廣</w:t>
      </w:r>
      <w:r w:rsidRPr="00DA3BC7">
        <w:rPr>
          <w:rFonts w:ascii="Times New Roman" w:hAnsi="Times New Roman" w:hint="eastAsia"/>
        </w:rPr>
        <w:t>、</w:t>
      </w:r>
      <w:r w:rsidRPr="00DA3BC7">
        <w:rPr>
          <w:rFonts w:ascii="Times New Roman" w:hAnsi="Times New Roman"/>
        </w:rPr>
        <w:t>方便慧善巧，即能頓悟圓中</w:t>
      </w:r>
      <w:r w:rsidRPr="00DA3BC7">
        <w:rPr>
          <w:rFonts w:ascii="Times New Roman" w:hAnsi="Times New Roman" w:hint="eastAsia"/>
        </w:rPr>
        <w:t>。</w:t>
      </w:r>
    </w:p>
    <w:p w:rsidR="00AA120F" w:rsidRPr="00DA3BC7" w:rsidRDefault="00AA120F" w:rsidP="00AE3920">
      <w:pPr>
        <w:widowControl/>
        <w:spacing w:beforeLines="20"/>
        <w:ind w:leftChars="250" w:left="600"/>
        <w:jc w:val="both"/>
        <w:rPr>
          <w:rFonts w:ascii="Times New Roman" w:hAnsi="Times New Roman"/>
        </w:rPr>
      </w:pPr>
      <w:r w:rsidRPr="00DA3BC7">
        <w:rPr>
          <w:rFonts w:ascii="Times New Roman" w:hAnsi="Times New Roman"/>
        </w:rPr>
        <w:t>二者</w:t>
      </w:r>
      <w:r w:rsidRPr="00DA3BC7">
        <w:rPr>
          <w:rFonts w:ascii="Times New Roman" w:hAnsi="Times New Roman"/>
          <w:b/>
        </w:rPr>
        <w:t>同依空有無礙的正見</w:t>
      </w:r>
      <w:r w:rsidRPr="00DA3BC7">
        <w:rPr>
          <w:rFonts w:ascii="Times New Roman" w:hAnsi="Times New Roman"/>
        </w:rPr>
        <w:t>，</w:t>
      </w:r>
      <w:r w:rsidRPr="00DA3BC7">
        <w:rPr>
          <w:rFonts w:ascii="Times New Roman" w:hAnsi="Times New Roman"/>
          <w:b/>
        </w:rPr>
        <w:t>同得性空寂滅的法性</w:t>
      </w:r>
      <w:r w:rsidRPr="00DA3BC7">
        <w:rPr>
          <w:rFonts w:ascii="Times New Roman" w:hAnsi="Times New Roman"/>
        </w:rPr>
        <w:t>，在修行的路徑與目標，可說是同一的，不過</w:t>
      </w:r>
      <w:r w:rsidRPr="00DA3BC7">
        <w:rPr>
          <w:rFonts w:ascii="Times New Roman" w:hAnsi="Times New Roman"/>
          <w:b/>
        </w:rPr>
        <w:t>因眾生根性利鈍不同，有但證偏真與圓中的差別</w:t>
      </w:r>
      <w:r w:rsidRPr="00DA3BC7">
        <w:rPr>
          <w:rFonts w:ascii="Times New Roman" w:hAnsi="Times New Roman"/>
        </w:rPr>
        <w:t>。</w:t>
      </w:r>
    </w:p>
    <w:p w:rsidR="00AA120F" w:rsidRPr="00DA3BC7" w:rsidRDefault="00AA120F" w:rsidP="00AE3920">
      <w:pPr>
        <w:widowControl/>
        <w:spacing w:beforeLines="30"/>
        <w:ind w:leftChars="250" w:left="600"/>
        <w:jc w:val="both"/>
        <w:rPr>
          <w:rFonts w:ascii="Times New Roman" w:hAnsi="Times New Roman"/>
          <w:b/>
          <w:sz w:val="20"/>
          <w:szCs w:val="20"/>
          <w:bdr w:val="single" w:sz="4" w:space="0" w:color="auto"/>
        </w:rPr>
      </w:pPr>
      <w:r w:rsidRPr="007D65DC">
        <w:rPr>
          <w:rFonts w:ascii="Times New Roman" w:hAnsi="Times New Roman"/>
          <w:b/>
          <w:color w:val="FF0000"/>
          <w:sz w:val="20"/>
          <w:szCs w:val="20"/>
          <w:highlight w:val="yellow"/>
          <w:bdr w:val="single" w:sz="4" w:space="0" w:color="auto"/>
        </w:rPr>
        <w:t>（</w:t>
      </w:r>
      <w:r w:rsidR="007D65DC" w:rsidRPr="007D65DC">
        <w:rPr>
          <w:rFonts w:ascii="Times New Roman" w:hAnsi="Times New Roman" w:hint="eastAsia"/>
          <w:b/>
          <w:color w:val="FF0000"/>
          <w:sz w:val="20"/>
          <w:szCs w:val="20"/>
          <w:highlight w:val="yellow"/>
          <w:bdr w:val="single" w:sz="4" w:space="0" w:color="auto"/>
        </w:rPr>
        <w:t>2</w:t>
      </w:r>
      <w:r w:rsidRPr="007D65DC">
        <w:rPr>
          <w:rFonts w:ascii="Times New Roman" w:hAnsi="Times New Roman"/>
          <w:b/>
          <w:color w:val="FF0000"/>
          <w:sz w:val="20"/>
          <w:szCs w:val="20"/>
          <w:highlight w:val="yellow"/>
          <w:bdr w:val="single" w:sz="4" w:space="0" w:color="auto"/>
        </w:rPr>
        <w:t>）</w:t>
      </w:r>
      <w:r w:rsidRPr="007D65DC">
        <w:rPr>
          <w:rFonts w:ascii="新細明體" w:hAnsi="新細明體" w:hint="eastAsia"/>
          <w:b/>
          <w:color w:val="FF0000"/>
          <w:sz w:val="20"/>
          <w:szCs w:val="20"/>
          <w:highlight w:val="yellow"/>
          <w:bdr w:val="single" w:sz="4" w:space="0" w:color="auto"/>
        </w:rPr>
        <w:t>評</w:t>
      </w:r>
      <w:r w:rsidR="007D65DC" w:rsidRPr="007D65DC">
        <w:rPr>
          <w:rFonts w:ascii="新細明體" w:hAnsi="新細明體" w:hint="eastAsia"/>
          <w:b/>
          <w:color w:val="FF0000"/>
          <w:sz w:val="20"/>
          <w:szCs w:val="20"/>
          <w:highlight w:val="yellow"/>
          <w:bdr w:val="single" w:sz="4" w:space="0" w:color="auto"/>
        </w:rPr>
        <w:t>斷</w:t>
      </w:r>
      <w:r w:rsidRPr="00DA3BC7">
        <w:rPr>
          <w:rFonts w:ascii="Times New Roman" w:hAnsi="Times New Roman"/>
          <w:sz w:val="20"/>
        </w:rPr>
        <w:t>（</w:t>
      </w:r>
      <w:r w:rsidRPr="00DA3BC7">
        <w:rPr>
          <w:rFonts w:ascii="Times New Roman" w:hAnsi="Times New Roman"/>
          <w:sz w:val="20"/>
        </w:rPr>
        <w:t>p</w:t>
      </w:r>
      <w:r w:rsidR="007D65DC" w:rsidRPr="00DA3BC7">
        <w:rPr>
          <w:rFonts w:ascii="Times New Roman" w:hAnsi="Times New Roman"/>
          <w:sz w:val="20"/>
        </w:rPr>
        <w:t>p</w:t>
      </w:r>
      <w:r w:rsidRPr="00DA3BC7">
        <w:rPr>
          <w:rFonts w:ascii="Times New Roman" w:hAnsi="Times New Roman"/>
          <w:sz w:val="20"/>
        </w:rPr>
        <w:t>.236</w:t>
      </w:r>
      <w:r w:rsidR="007D65DC">
        <w:rPr>
          <w:rFonts w:ascii="Times New Roman" w:hAnsi="Times New Roman" w:hint="eastAsia"/>
          <w:sz w:val="20"/>
        </w:rPr>
        <w:t>-237</w:t>
      </w:r>
      <w:r w:rsidRPr="00DA3BC7">
        <w:rPr>
          <w:rFonts w:ascii="Times New Roman" w:hAnsi="Times New Roman"/>
          <w:sz w:val="20"/>
        </w:rPr>
        <w:t>）</w:t>
      </w:r>
    </w:p>
    <w:p w:rsidR="00AA120F" w:rsidRPr="00DA3BC7" w:rsidRDefault="007D65DC" w:rsidP="00E6656D">
      <w:pPr>
        <w:widowControl/>
        <w:ind w:leftChars="300" w:left="720"/>
        <w:jc w:val="both"/>
        <w:rPr>
          <w:rFonts w:ascii="Times New Roman" w:hAnsi="Times New Roman"/>
          <w:b/>
          <w:sz w:val="20"/>
          <w:szCs w:val="20"/>
          <w:bdr w:val="single" w:sz="4" w:space="0" w:color="auto"/>
        </w:rPr>
      </w:pPr>
      <w:r w:rsidRPr="007D65DC">
        <w:rPr>
          <w:rFonts w:ascii="Times New Roman" w:hAnsi="Times New Roman" w:hint="eastAsia"/>
          <w:b/>
          <w:color w:val="FF0000"/>
          <w:sz w:val="20"/>
          <w:szCs w:val="20"/>
          <w:highlight w:val="yellow"/>
          <w:bdr w:val="single" w:sz="4" w:space="0" w:color="auto"/>
        </w:rPr>
        <w:t>A</w:t>
      </w:r>
      <w:r w:rsidR="00AA120F" w:rsidRPr="007D65DC">
        <w:rPr>
          <w:rFonts w:ascii="Times New Roman" w:hAnsi="Times New Roman"/>
          <w:b/>
          <w:color w:val="FF0000"/>
          <w:sz w:val="20"/>
          <w:szCs w:val="20"/>
          <w:highlight w:val="yellow"/>
          <w:bdr w:val="single" w:sz="4" w:space="0" w:color="auto"/>
        </w:rPr>
        <w:t>、</w:t>
      </w:r>
      <w:r w:rsidR="00245634">
        <w:rPr>
          <w:rFonts w:ascii="新細明體" w:hAnsi="新細明體" w:hint="eastAsia"/>
          <w:b/>
          <w:color w:val="FF0000"/>
          <w:sz w:val="20"/>
          <w:szCs w:val="20"/>
          <w:highlight w:val="yellow"/>
          <w:bdr w:val="single" w:sz="4" w:space="0" w:color="auto"/>
        </w:rPr>
        <w:t>辨</w:t>
      </w:r>
      <w:r w:rsidR="00245634" w:rsidRPr="007D65DC">
        <w:rPr>
          <w:rFonts w:ascii="新細明體" w:hAnsi="新細明體" w:hint="eastAsia"/>
          <w:b/>
          <w:color w:val="FF0000"/>
          <w:sz w:val="20"/>
          <w:szCs w:val="20"/>
          <w:highlight w:val="yellow"/>
          <w:bdr w:val="single" w:sz="4" w:space="0" w:color="auto"/>
        </w:rPr>
        <w:t>「</w:t>
      </w:r>
      <w:r w:rsidRPr="00DA3BC7">
        <w:rPr>
          <w:rFonts w:ascii="Times New Roman" w:hAnsi="Times New Roman"/>
          <w:b/>
          <w:sz w:val="20"/>
          <w:szCs w:val="20"/>
          <w:bdr w:val="single" w:sz="4" w:space="0" w:color="auto"/>
        </w:rPr>
        <w:t>月稱等</w:t>
      </w:r>
      <w:r w:rsidRPr="007D65DC">
        <w:rPr>
          <w:rFonts w:ascii="Times New Roman" w:hAnsi="Times New Roman" w:hint="eastAsia"/>
          <w:b/>
          <w:color w:val="FF0000"/>
          <w:sz w:val="20"/>
          <w:szCs w:val="20"/>
          <w:highlight w:val="yellow"/>
          <w:bdr w:val="single" w:sz="4" w:space="0" w:color="auto"/>
        </w:rPr>
        <w:t>之</w:t>
      </w:r>
      <w:r w:rsidR="00245634">
        <w:rPr>
          <w:rFonts w:ascii="新細明體" w:hAnsi="新細明體" w:hint="eastAsia"/>
          <w:b/>
          <w:color w:val="FF0000"/>
          <w:sz w:val="20"/>
          <w:szCs w:val="20"/>
          <w:highlight w:val="yellow"/>
          <w:bdr w:val="single" w:sz="4" w:space="0" w:color="auto"/>
        </w:rPr>
        <w:t>『</w:t>
      </w:r>
      <w:r w:rsidRPr="00DA3BC7">
        <w:rPr>
          <w:rFonts w:ascii="新細明體" w:hAnsi="新細明體" w:hint="eastAsia"/>
          <w:b/>
          <w:sz w:val="20"/>
          <w:szCs w:val="20"/>
          <w:bdr w:val="single" w:sz="4" w:space="0" w:color="auto"/>
        </w:rPr>
        <w:t>但漸無頓</w:t>
      </w:r>
      <w:r w:rsidR="00245634" w:rsidRPr="00245634">
        <w:rPr>
          <w:rFonts w:ascii="新細明體" w:hAnsi="新細明體" w:hint="eastAsia"/>
          <w:b/>
          <w:color w:val="FF0000"/>
          <w:sz w:val="20"/>
          <w:szCs w:val="20"/>
          <w:highlight w:val="yellow"/>
          <w:bdr w:val="single" w:sz="4" w:space="0" w:color="auto"/>
        </w:rPr>
        <w:t>』</w:t>
      </w:r>
      <w:r w:rsidRPr="007D65DC">
        <w:rPr>
          <w:rFonts w:ascii="新細明體" w:hAnsi="新細明體" w:hint="eastAsia"/>
          <w:b/>
          <w:color w:val="FF0000"/>
          <w:sz w:val="20"/>
          <w:szCs w:val="20"/>
          <w:highlight w:val="yellow"/>
          <w:bdr w:val="single" w:sz="4" w:space="0" w:color="auto"/>
        </w:rPr>
        <w:t>說</w:t>
      </w:r>
      <w:r w:rsidR="00245634" w:rsidRPr="007D65DC">
        <w:rPr>
          <w:rFonts w:ascii="新細明體" w:hAnsi="新細明體" w:hint="eastAsia"/>
          <w:b/>
          <w:color w:val="FF0000"/>
          <w:sz w:val="20"/>
          <w:szCs w:val="20"/>
          <w:highlight w:val="yellow"/>
          <w:bdr w:val="single" w:sz="4" w:space="0" w:color="auto"/>
        </w:rPr>
        <w:t>」</w:t>
      </w:r>
      <w:r w:rsidR="00AA120F" w:rsidRPr="00DA3BC7">
        <w:rPr>
          <w:rFonts w:ascii="Times New Roman" w:hAnsi="Times New Roman"/>
          <w:sz w:val="20"/>
        </w:rPr>
        <w:t>p.236</w:t>
      </w:r>
      <w:r w:rsidR="00AA120F" w:rsidRPr="00DA3BC7">
        <w:rPr>
          <w:rFonts w:ascii="Times New Roman" w:hAnsi="Times New Roman"/>
          <w:sz w:val="20"/>
        </w:rPr>
        <w:t>）</w:t>
      </w:r>
    </w:p>
    <w:p w:rsidR="00E87426" w:rsidRPr="00DA3BC7" w:rsidRDefault="00E87426" w:rsidP="00E6656D">
      <w:pPr>
        <w:widowControl/>
        <w:ind w:leftChars="350" w:left="840"/>
        <w:jc w:val="both"/>
        <w:rPr>
          <w:rFonts w:ascii="Times New Roman" w:hAnsi="Times New Roman"/>
          <w:b/>
          <w:sz w:val="20"/>
          <w:szCs w:val="20"/>
          <w:bdr w:val="single" w:sz="4" w:space="0" w:color="auto"/>
        </w:rPr>
      </w:pPr>
      <w:r w:rsidRPr="00E87426">
        <w:rPr>
          <w:rFonts w:ascii="Times New Roman" w:hAnsi="Times New Roman"/>
          <w:b/>
          <w:color w:val="FF0000"/>
          <w:sz w:val="20"/>
          <w:szCs w:val="20"/>
          <w:highlight w:val="yellow"/>
          <w:bdr w:val="single" w:sz="4" w:space="0" w:color="auto"/>
        </w:rPr>
        <w:t>（</w:t>
      </w:r>
      <w:r w:rsidRPr="00E87426">
        <w:rPr>
          <w:rFonts w:ascii="Times New Roman" w:hAnsi="Times New Roman" w:hint="eastAsia"/>
          <w:b/>
          <w:color w:val="FF0000"/>
          <w:sz w:val="20"/>
          <w:szCs w:val="20"/>
          <w:highlight w:val="yellow"/>
          <w:bdr w:val="single" w:sz="4" w:space="0" w:color="auto"/>
        </w:rPr>
        <w:t>A</w:t>
      </w:r>
      <w:r w:rsidRPr="00E87426">
        <w:rPr>
          <w:rFonts w:ascii="Times New Roman" w:hAnsi="Times New Roman"/>
          <w:b/>
          <w:color w:val="FF0000"/>
          <w:sz w:val="20"/>
          <w:szCs w:val="20"/>
          <w:highlight w:val="yellow"/>
          <w:bdr w:val="single" w:sz="4" w:space="0" w:color="auto"/>
        </w:rPr>
        <w:t>）</w:t>
      </w:r>
      <w:r w:rsidRPr="00E87426">
        <w:rPr>
          <w:rFonts w:ascii="Times New Roman" w:hAnsi="Times New Roman" w:hint="eastAsia"/>
          <w:b/>
          <w:color w:val="FF0000"/>
          <w:sz w:val="20"/>
          <w:szCs w:val="20"/>
          <w:highlight w:val="yellow"/>
          <w:bdr w:val="single" w:sz="4" w:space="0" w:color="auto"/>
        </w:rPr>
        <w:t>敘其見</w:t>
      </w:r>
      <w:r w:rsidRPr="00DA3BC7">
        <w:rPr>
          <w:rFonts w:ascii="Times New Roman" w:hAnsi="Times New Roman"/>
          <w:sz w:val="20"/>
        </w:rPr>
        <w:t>（</w:t>
      </w:r>
      <w:r w:rsidRPr="00DA3BC7">
        <w:rPr>
          <w:rFonts w:ascii="Times New Roman" w:hAnsi="Times New Roman"/>
          <w:sz w:val="20"/>
        </w:rPr>
        <w:t>p.236</w:t>
      </w:r>
      <w:r w:rsidRPr="00DA3BC7">
        <w:rPr>
          <w:rFonts w:ascii="Times New Roman" w:hAnsi="Times New Roman"/>
          <w:sz w:val="20"/>
        </w:rPr>
        <w:t>）</w:t>
      </w:r>
    </w:p>
    <w:p w:rsidR="00AA120F" w:rsidRPr="00DA3BC7" w:rsidRDefault="00AA120F" w:rsidP="00E6656D">
      <w:pPr>
        <w:widowControl/>
        <w:ind w:leftChars="350" w:left="840"/>
        <w:jc w:val="both"/>
        <w:rPr>
          <w:rFonts w:ascii="Times New Roman" w:hAnsi="Times New Roman"/>
        </w:rPr>
      </w:pPr>
      <w:r w:rsidRPr="00DA3BC7">
        <w:rPr>
          <w:rFonts w:ascii="Times New Roman" w:hAnsi="Times New Roman"/>
          <w:b/>
        </w:rPr>
        <w:t>月稱論師</w:t>
      </w:r>
      <w:r w:rsidRPr="00DA3BC7">
        <w:rPr>
          <w:rFonts w:ascii="Times New Roman" w:hAnsi="Times New Roman"/>
        </w:rPr>
        <w:t>等不承認見道能頓見圓中，此即主</w:t>
      </w:r>
      <w:r w:rsidRPr="00DA3BC7">
        <w:rPr>
          <w:rFonts w:ascii="Times New Roman" w:hAnsi="Times New Roman"/>
          <w:b/>
        </w:rPr>
        <w:t>但漸無頓</w:t>
      </w:r>
      <w:r w:rsidRPr="00DA3BC7">
        <w:rPr>
          <w:rFonts w:ascii="Times New Roman" w:hAnsi="Times New Roman"/>
        </w:rPr>
        <w:t>。</w:t>
      </w:r>
    </w:p>
    <w:p w:rsidR="00AA120F" w:rsidRPr="00DA3BC7" w:rsidRDefault="00AA120F" w:rsidP="00E6656D">
      <w:pPr>
        <w:widowControl/>
        <w:ind w:leftChars="350" w:left="840"/>
        <w:jc w:val="both"/>
        <w:rPr>
          <w:rFonts w:ascii="Times New Roman" w:hAnsi="Times New Roman"/>
          <w:b/>
          <w:sz w:val="20"/>
          <w:szCs w:val="20"/>
          <w:bdr w:val="single" w:sz="4" w:space="0" w:color="auto"/>
        </w:rPr>
      </w:pPr>
      <w:r w:rsidRPr="00E87426">
        <w:rPr>
          <w:rFonts w:ascii="Times New Roman" w:hAnsi="Times New Roman"/>
          <w:b/>
          <w:color w:val="FF0000"/>
          <w:sz w:val="20"/>
          <w:szCs w:val="20"/>
          <w:highlight w:val="yellow"/>
          <w:bdr w:val="single" w:sz="4" w:space="0" w:color="auto"/>
        </w:rPr>
        <w:lastRenderedPageBreak/>
        <w:t>（</w:t>
      </w:r>
      <w:r w:rsidR="00E87426" w:rsidRPr="00E87426">
        <w:rPr>
          <w:rFonts w:ascii="Times New Roman" w:hAnsi="Times New Roman" w:hint="eastAsia"/>
          <w:b/>
          <w:color w:val="FF0000"/>
          <w:sz w:val="20"/>
          <w:szCs w:val="20"/>
          <w:highlight w:val="yellow"/>
          <w:bdr w:val="single" w:sz="4" w:space="0" w:color="auto"/>
        </w:rPr>
        <w:t>B</w:t>
      </w:r>
      <w:r w:rsidRPr="00E87426">
        <w:rPr>
          <w:rFonts w:ascii="Times New Roman" w:hAnsi="Times New Roman"/>
          <w:b/>
          <w:color w:val="FF0000"/>
          <w:sz w:val="20"/>
          <w:szCs w:val="20"/>
          <w:highlight w:val="yellow"/>
          <w:bdr w:val="single" w:sz="4" w:space="0" w:color="auto"/>
        </w:rPr>
        <w:t>）</w:t>
      </w:r>
      <w:r w:rsidR="00E87426" w:rsidRPr="00E87426">
        <w:rPr>
          <w:rFonts w:ascii="Times New Roman" w:hAnsi="Times New Roman" w:hint="eastAsia"/>
          <w:b/>
          <w:color w:val="FF0000"/>
          <w:sz w:val="20"/>
          <w:szCs w:val="20"/>
          <w:highlight w:val="yellow"/>
          <w:bdr w:val="single" w:sz="4" w:space="0" w:color="auto"/>
        </w:rPr>
        <w:t>示其非</w:t>
      </w:r>
      <w:r w:rsidRPr="00DA3BC7">
        <w:rPr>
          <w:rFonts w:ascii="Times New Roman" w:hAnsi="Times New Roman"/>
          <w:sz w:val="20"/>
        </w:rPr>
        <w:t>（</w:t>
      </w:r>
      <w:r w:rsidRPr="00DA3BC7">
        <w:rPr>
          <w:rFonts w:ascii="Times New Roman" w:hAnsi="Times New Roman"/>
          <w:sz w:val="20"/>
        </w:rPr>
        <w:t>p.236</w:t>
      </w:r>
      <w:r w:rsidRPr="00DA3BC7">
        <w:rPr>
          <w:rFonts w:ascii="Times New Roman" w:hAnsi="Times New Roman"/>
          <w:sz w:val="20"/>
        </w:rPr>
        <w:t>）</w:t>
      </w:r>
    </w:p>
    <w:p w:rsidR="00AA120F" w:rsidRPr="00DA3BC7" w:rsidRDefault="00AA120F" w:rsidP="00E6656D">
      <w:pPr>
        <w:widowControl/>
        <w:ind w:leftChars="350" w:left="840"/>
        <w:jc w:val="both"/>
        <w:rPr>
          <w:rFonts w:ascii="Times New Roman" w:hAnsi="Times New Roman"/>
        </w:rPr>
      </w:pPr>
      <w:r w:rsidRPr="00DA3BC7">
        <w:rPr>
          <w:rFonts w:ascii="Times New Roman" w:hAnsi="Times New Roman"/>
        </w:rPr>
        <w:t>然藏傳的寶鎧《律生疏》</w:t>
      </w:r>
      <w:r w:rsidRPr="00DA3BC7">
        <w:rPr>
          <w:rFonts w:ascii="Times New Roman" w:hAnsi="Times New Roman"/>
          <w:vertAlign w:val="superscript"/>
        </w:rPr>
        <w:footnoteReference w:id="1027"/>
      </w:r>
      <w:r w:rsidRPr="00DA3BC7">
        <w:rPr>
          <w:rFonts w:ascii="Times New Roman" w:hAnsi="Times New Roman"/>
        </w:rPr>
        <w:t>，也分明承認有頓漸二機的。</w:t>
      </w:r>
    </w:p>
    <w:p w:rsidR="00AA120F" w:rsidRPr="00DA3BC7" w:rsidRDefault="00AA120F" w:rsidP="00E6656D">
      <w:pPr>
        <w:widowControl/>
        <w:ind w:leftChars="350" w:left="840"/>
        <w:jc w:val="both"/>
        <w:rPr>
          <w:rFonts w:ascii="Times New Roman" w:hAnsi="Times New Roman"/>
        </w:rPr>
      </w:pPr>
      <w:r w:rsidRPr="00DA3BC7">
        <w:rPr>
          <w:rFonts w:ascii="Times New Roman" w:hAnsi="Times New Roman"/>
        </w:rPr>
        <w:t>但漸無頓，與龍樹《</w:t>
      </w:r>
      <w:r w:rsidRPr="00DA3BC7">
        <w:rPr>
          <w:rFonts w:ascii="Times New Roman" w:hAnsi="Times New Roman" w:hint="eastAsia"/>
        </w:rPr>
        <w:t>大</w:t>
      </w:r>
      <w:r w:rsidRPr="00DA3BC7">
        <w:rPr>
          <w:rFonts w:ascii="Times New Roman" w:hAnsi="Times New Roman"/>
        </w:rPr>
        <w:t>智度論》</w:t>
      </w:r>
      <w:r w:rsidR="0064650A">
        <w:rPr>
          <w:rFonts w:ascii="Times New Roman" w:hAnsi="Times New Roman" w:hint="eastAsia"/>
        </w:rPr>
        <w:t>〈</w:t>
      </w:r>
      <w:r w:rsidR="0064650A" w:rsidRPr="00DA3BC7">
        <w:rPr>
          <w:rFonts w:ascii="Times New Roman" w:hAnsi="Times New Roman"/>
        </w:rPr>
        <w:t>釋往生品</w:t>
      </w:r>
      <w:r w:rsidR="0064650A">
        <w:rPr>
          <w:rFonts w:ascii="Times New Roman" w:hAnsi="Times New Roman" w:hint="eastAsia"/>
        </w:rPr>
        <w:t>〉</w:t>
      </w:r>
      <w:r w:rsidRPr="00DA3BC7">
        <w:rPr>
          <w:rFonts w:ascii="Times New Roman" w:hAnsi="Times New Roman"/>
          <w:vertAlign w:val="superscript"/>
        </w:rPr>
        <w:footnoteReference w:id="1028"/>
      </w:r>
      <w:r w:rsidRPr="00DA3BC7">
        <w:rPr>
          <w:rFonts w:ascii="Times New Roman" w:hAnsi="Times New Roman"/>
        </w:rPr>
        <w:t>顯然的不合。</w:t>
      </w:r>
    </w:p>
    <w:p w:rsidR="00AA120F" w:rsidRPr="00DA3BC7" w:rsidRDefault="00AA120F" w:rsidP="00AE3920">
      <w:pPr>
        <w:widowControl/>
        <w:spacing w:beforeLines="30"/>
        <w:ind w:leftChars="350" w:left="840"/>
        <w:jc w:val="both"/>
        <w:rPr>
          <w:rFonts w:ascii="Times New Roman" w:hAnsi="Times New Roman"/>
          <w:b/>
        </w:rPr>
      </w:pPr>
      <w:r w:rsidRPr="00DA3BC7">
        <w:rPr>
          <w:rFonts w:ascii="Times New Roman" w:hAnsi="Times New Roman"/>
          <w:b/>
        </w:rPr>
        <w:lastRenderedPageBreak/>
        <w:t>依龍樹意，眾生根性有利鈍</w:t>
      </w:r>
      <w:r w:rsidRPr="00DA3BC7">
        <w:rPr>
          <w:rFonts w:ascii="Times New Roman" w:hAnsi="Times New Roman"/>
        </w:rPr>
        <w:t>，</w:t>
      </w:r>
      <w:r w:rsidRPr="00DA3BC7">
        <w:rPr>
          <w:rFonts w:ascii="Times New Roman" w:hAnsi="Times New Roman"/>
          <w:b/>
        </w:rPr>
        <w:t>有發心後久久修行始得無生忍的</w:t>
      </w:r>
      <w:r w:rsidRPr="00DA3BC7">
        <w:rPr>
          <w:rFonts w:ascii="Times New Roman" w:hAnsi="Times New Roman" w:hint="eastAsia"/>
          <w:b/>
        </w:rPr>
        <w:t>；</w:t>
      </w:r>
      <w:r w:rsidRPr="00DA3BC7">
        <w:rPr>
          <w:rFonts w:ascii="Times New Roman" w:hAnsi="Times New Roman"/>
          <w:b/>
        </w:rPr>
        <w:t>有發心即得無生法忍，廣化眾生的</w:t>
      </w:r>
      <w:r w:rsidRPr="00DA3BC7">
        <w:rPr>
          <w:rFonts w:ascii="Times New Roman" w:hAnsi="Times New Roman" w:hint="eastAsia"/>
          <w:b/>
        </w:rPr>
        <w:t>；</w:t>
      </w:r>
      <w:r w:rsidRPr="00DA3BC7">
        <w:rPr>
          <w:rFonts w:ascii="Times New Roman" w:hAnsi="Times New Roman"/>
          <w:b/>
        </w:rPr>
        <w:t>甚至有發心即得無生忍，現生成佛的。</w:t>
      </w:r>
    </w:p>
    <w:p w:rsidR="00AA120F" w:rsidRPr="00DA3BC7" w:rsidRDefault="00AA120F" w:rsidP="00E6656D">
      <w:pPr>
        <w:widowControl/>
        <w:ind w:leftChars="350" w:left="840"/>
        <w:jc w:val="both"/>
        <w:rPr>
          <w:rFonts w:ascii="Times New Roman" w:hAnsi="Times New Roman"/>
        </w:rPr>
      </w:pPr>
      <w:r w:rsidRPr="00DA3BC7">
        <w:rPr>
          <w:rFonts w:ascii="Times New Roman" w:hAnsi="Times New Roman"/>
        </w:rPr>
        <w:t>這種思想，見於大乘經的《入定不定印經》，</w:t>
      </w:r>
      <w:r w:rsidR="00E87426" w:rsidRPr="00DA3BC7">
        <w:rPr>
          <w:rFonts w:ascii="Times New Roman" w:hAnsi="Times New Roman"/>
          <w:vertAlign w:val="superscript"/>
          <w:lang w:eastAsia="zh-CN"/>
        </w:rPr>
        <w:footnoteReference w:id="1029"/>
      </w:r>
      <w:r w:rsidRPr="00DA3BC7">
        <w:rPr>
          <w:rFonts w:ascii="Times New Roman" w:hAnsi="Times New Roman"/>
        </w:rPr>
        <w:t>龍樹菩薩不過引用經義而已。</w:t>
      </w:r>
    </w:p>
    <w:p w:rsidR="00AA120F" w:rsidRPr="00DA3BC7" w:rsidRDefault="00AA120F" w:rsidP="00AE3920">
      <w:pPr>
        <w:widowControl/>
        <w:spacing w:beforeLines="20"/>
        <w:ind w:leftChars="350" w:left="840"/>
        <w:jc w:val="both"/>
        <w:rPr>
          <w:rFonts w:ascii="Times New Roman" w:hAnsi="Times New Roman"/>
        </w:rPr>
      </w:pPr>
      <w:r w:rsidRPr="00DA3BC7">
        <w:rPr>
          <w:rFonts w:ascii="Times New Roman" w:hAnsi="Times New Roman"/>
        </w:rPr>
        <w:t>但此所說的</w:t>
      </w:r>
      <w:r w:rsidRPr="00DA3BC7">
        <w:rPr>
          <w:rFonts w:ascii="Times New Roman" w:hAnsi="Times New Roman"/>
          <w:b/>
        </w:rPr>
        <w:t>利鈍二根</w:t>
      </w:r>
      <w:r w:rsidRPr="00DA3BC7">
        <w:rPr>
          <w:rFonts w:ascii="Times New Roman" w:hAnsi="Times New Roman"/>
        </w:rPr>
        <w:t>，是以</w:t>
      </w:r>
      <w:r w:rsidRPr="00DA3BC7">
        <w:rPr>
          <w:rFonts w:ascii="Times New Roman" w:hAnsi="Times New Roman"/>
          <w:b/>
        </w:rPr>
        <w:t>未證悟前有無積集福智資糧而分別。</w:t>
      </w:r>
    </w:p>
    <w:p w:rsidR="00AA120F" w:rsidRPr="00DA3BC7" w:rsidRDefault="00AA120F" w:rsidP="00E6656D">
      <w:pPr>
        <w:widowControl/>
        <w:ind w:leftChars="350" w:left="840"/>
        <w:jc w:val="both"/>
        <w:rPr>
          <w:rFonts w:ascii="Times New Roman" w:hAnsi="Times New Roman"/>
        </w:rPr>
      </w:pPr>
      <w:r w:rsidRPr="00DA3BC7">
        <w:rPr>
          <w:rFonts w:ascii="Times New Roman" w:hAnsi="Times New Roman"/>
        </w:rPr>
        <w:t>未廣集福智資糧的，或悲心不充，即須長時修習始得無生法忍。</w:t>
      </w:r>
    </w:p>
    <w:p w:rsidR="00AA120F" w:rsidRPr="00DA3BC7" w:rsidRDefault="00AA120F" w:rsidP="00E6656D">
      <w:pPr>
        <w:widowControl/>
        <w:ind w:leftChars="350" w:left="840"/>
        <w:jc w:val="both"/>
        <w:rPr>
          <w:rFonts w:ascii="Times New Roman" w:hAnsi="Times New Roman"/>
        </w:rPr>
      </w:pPr>
      <w:r w:rsidRPr="00DA3BC7">
        <w:rPr>
          <w:rFonts w:ascii="Times New Roman" w:hAnsi="Times New Roman"/>
        </w:rPr>
        <w:t>有因過去廣修眾行，福慧圓具，悲心充沛，故</w:t>
      </w:r>
      <w:r w:rsidRPr="00DA3BC7">
        <w:rPr>
          <w:rFonts w:ascii="Times New Roman" w:hAnsi="Times New Roman"/>
          <w:b/>
        </w:rPr>
        <w:t>一見佛聞法，即悟無生法忍，甚至有證得圓極的佛果</w:t>
      </w:r>
      <w:r w:rsidRPr="00DA3BC7">
        <w:rPr>
          <w:rFonts w:ascii="Times New Roman" w:hAnsi="Times New Roman"/>
        </w:rPr>
        <w:t>。</w:t>
      </w:r>
    </w:p>
    <w:p w:rsidR="00AA120F" w:rsidRPr="00DA3BC7" w:rsidRDefault="00AA120F" w:rsidP="00AE3920">
      <w:pPr>
        <w:widowControl/>
        <w:spacing w:beforeLines="20"/>
        <w:ind w:leftChars="350" w:left="840"/>
        <w:jc w:val="both"/>
        <w:rPr>
          <w:rFonts w:ascii="Times New Roman" w:hAnsi="Times New Roman"/>
          <w:b/>
        </w:rPr>
      </w:pPr>
      <w:r w:rsidRPr="00DA3BC7">
        <w:rPr>
          <w:rFonts w:ascii="Times New Roman" w:hAnsi="Times New Roman"/>
        </w:rPr>
        <w:t>龍樹以為釋迦佛是鈍根菩薩，七地得無生忍；由此可見</w:t>
      </w:r>
      <w:r w:rsidRPr="00DA3BC7">
        <w:rPr>
          <w:rFonts w:ascii="Times New Roman" w:hAnsi="Times New Roman" w:hint="eastAsia"/>
        </w:rPr>
        <w:t>，</w:t>
      </w:r>
      <w:r w:rsidRPr="00DA3BC7">
        <w:rPr>
          <w:rFonts w:ascii="Times New Roman" w:hAnsi="Times New Roman"/>
          <w:b/>
        </w:rPr>
        <w:t>鈍根菩薩即普遍而正常的大乘根性</w:t>
      </w:r>
      <w:r w:rsidRPr="00DA3BC7">
        <w:rPr>
          <w:rFonts w:ascii="Times New Roman" w:hAnsi="Times New Roman" w:hint="eastAsia"/>
          <w:b/>
        </w:rPr>
        <w:t>；</w:t>
      </w:r>
      <w:r w:rsidRPr="00DA3BC7">
        <w:rPr>
          <w:rFonts w:ascii="Times New Roman" w:hAnsi="Times New Roman"/>
          <w:b/>
        </w:rPr>
        <w:t>利根是極難得的，是極少數的。</w:t>
      </w:r>
      <w:r w:rsidRPr="00DA3BC7">
        <w:rPr>
          <w:rFonts w:ascii="Times New Roman" w:hAnsi="Times New Roman"/>
          <w:vertAlign w:val="superscript"/>
        </w:rPr>
        <w:footnoteReference w:id="1030"/>
      </w:r>
    </w:p>
    <w:p w:rsidR="00AA120F" w:rsidRPr="00DA3BC7" w:rsidRDefault="00AA120F" w:rsidP="00E6656D">
      <w:pPr>
        <w:widowControl/>
        <w:ind w:leftChars="350" w:left="840"/>
        <w:jc w:val="both"/>
        <w:rPr>
          <w:rFonts w:ascii="Times New Roman" w:hAnsi="Times New Roman"/>
        </w:rPr>
      </w:pPr>
      <w:r w:rsidRPr="00DA3BC7">
        <w:rPr>
          <w:rFonts w:ascii="Times New Roman" w:hAnsi="Times New Roman"/>
        </w:rPr>
        <w:t>故月稱約一般說，但承認見道的極無戲論，也就是約大乘正常道說的。</w:t>
      </w:r>
    </w:p>
    <w:p w:rsidR="00AA120F" w:rsidRPr="00DA3BC7" w:rsidRDefault="00245634" w:rsidP="00AE3920">
      <w:pPr>
        <w:widowControl/>
        <w:spacing w:beforeLines="30"/>
        <w:ind w:leftChars="300" w:left="720"/>
        <w:jc w:val="both"/>
        <w:rPr>
          <w:rFonts w:ascii="Times New Roman" w:hAnsi="Times New Roman"/>
          <w:b/>
          <w:sz w:val="20"/>
          <w:szCs w:val="20"/>
          <w:bdr w:val="single" w:sz="4" w:space="0" w:color="auto"/>
        </w:rPr>
      </w:pPr>
      <w:r w:rsidRPr="00245634">
        <w:rPr>
          <w:rFonts w:ascii="Times New Roman" w:hAnsi="Times New Roman" w:hint="eastAsia"/>
          <w:b/>
          <w:color w:val="FF0000"/>
          <w:sz w:val="20"/>
          <w:szCs w:val="20"/>
          <w:highlight w:val="yellow"/>
          <w:bdr w:val="single" w:sz="4" w:space="0" w:color="auto"/>
        </w:rPr>
        <w:t>B</w:t>
      </w:r>
      <w:r w:rsidRPr="00245634">
        <w:rPr>
          <w:rFonts w:ascii="Times New Roman" w:hAnsi="Times New Roman" w:hint="eastAsia"/>
          <w:b/>
          <w:color w:val="FF0000"/>
          <w:sz w:val="20"/>
          <w:szCs w:val="20"/>
          <w:highlight w:val="yellow"/>
          <w:bdr w:val="single" w:sz="4" w:space="0" w:color="auto"/>
        </w:rPr>
        <w:t>、辨</w:t>
      </w:r>
      <w:r w:rsidR="00AA120F" w:rsidRPr="00245634">
        <w:rPr>
          <w:rFonts w:ascii="Times New Roman" w:hAnsi="Times New Roman" w:hint="eastAsia"/>
          <w:b/>
          <w:color w:val="FF0000"/>
          <w:sz w:val="20"/>
          <w:szCs w:val="20"/>
          <w:highlight w:val="yellow"/>
          <w:bdr w:val="single" w:sz="4" w:space="0" w:color="auto"/>
        </w:rPr>
        <w:t>「</w:t>
      </w:r>
      <w:r w:rsidRPr="00245634">
        <w:rPr>
          <w:rFonts w:ascii="Times New Roman" w:hAnsi="Times New Roman" w:hint="eastAsia"/>
          <w:b/>
          <w:color w:val="FF0000"/>
          <w:sz w:val="20"/>
          <w:szCs w:val="20"/>
          <w:highlight w:val="yellow"/>
          <w:bdr w:val="single" w:sz="4" w:space="0" w:color="auto"/>
        </w:rPr>
        <w:t>台、賢、禪之『</w:t>
      </w:r>
      <w:r w:rsidR="00AA120F" w:rsidRPr="00245634">
        <w:rPr>
          <w:rFonts w:ascii="Times New Roman" w:hAnsi="Times New Roman" w:hint="eastAsia"/>
          <w:b/>
          <w:color w:val="FF0000"/>
          <w:sz w:val="20"/>
          <w:szCs w:val="20"/>
          <w:highlight w:val="yellow"/>
          <w:bdr w:val="single" w:sz="4" w:space="0" w:color="auto"/>
        </w:rPr>
        <w:t>圓</w:t>
      </w:r>
      <w:r w:rsidRPr="00245634">
        <w:rPr>
          <w:rFonts w:ascii="Times New Roman" w:hAnsi="Times New Roman" w:hint="eastAsia"/>
          <w:b/>
          <w:color w:val="FF0000"/>
          <w:sz w:val="20"/>
          <w:szCs w:val="20"/>
          <w:highlight w:val="yellow"/>
          <w:bdr w:val="single" w:sz="4" w:space="0" w:color="auto"/>
        </w:rPr>
        <w:t>觀圓證』說</w:t>
      </w:r>
      <w:r w:rsidR="00AA120F" w:rsidRPr="00245634">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sz w:val="20"/>
        </w:rPr>
        <w:t>（</w:t>
      </w:r>
      <w:r w:rsidR="00AA120F" w:rsidRPr="00DA3BC7">
        <w:rPr>
          <w:rFonts w:ascii="Times New Roman" w:hAnsi="Times New Roman"/>
          <w:sz w:val="20"/>
        </w:rPr>
        <w:t>pp.236-237</w:t>
      </w:r>
      <w:r w:rsidR="00AA120F" w:rsidRPr="00DA3BC7">
        <w:rPr>
          <w:rFonts w:ascii="Times New Roman" w:hAnsi="Times New Roman"/>
          <w:sz w:val="20"/>
        </w:rPr>
        <w:t>）</w:t>
      </w:r>
    </w:p>
    <w:p w:rsidR="00AA120F" w:rsidRPr="00DA3BC7" w:rsidRDefault="00AA120F" w:rsidP="00E6656D">
      <w:pPr>
        <w:widowControl/>
        <w:ind w:leftChars="300" w:left="720"/>
        <w:jc w:val="both"/>
        <w:rPr>
          <w:rFonts w:ascii="Times New Roman" w:hAnsi="Times New Roman"/>
          <w:b/>
        </w:rPr>
      </w:pPr>
      <w:r w:rsidRPr="00DA3BC7">
        <w:rPr>
          <w:rFonts w:ascii="Times New Roman" w:hAnsi="Times New Roman"/>
        </w:rPr>
        <w:t>反之，天臺、賢首家，發揮圓觀圓證，不但非一般行者所能，而且也不能不說圓漸的修習。</w:t>
      </w:r>
    </w:p>
    <w:p w:rsidR="00AA120F" w:rsidRPr="00DA3BC7" w:rsidRDefault="00AA120F" w:rsidP="00AE3920">
      <w:pPr>
        <w:widowControl/>
        <w:spacing w:beforeLines="20"/>
        <w:ind w:leftChars="300" w:left="720"/>
        <w:jc w:val="both"/>
        <w:rPr>
          <w:rFonts w:ascii="Times New Roman" w:hAnsi="Times New Roman"/>
        </w:rPr>
      </w:pPr>
      <w:r w:rsidRPr="00DA3BC7">
        <w:rPr>
          <w:rFonts w:ascii="Times New Roman" w:hAnsi="Times New Roman"/>
        </w:rPr>
        <w:t>禪宗的祖師禪</w:t>
      </w:r>
      <w:r w:rsidRPr="00DA3BC7">
        <w:rPr>
          <w:rFonts w:ascii="Times New Roman" w:hAnsi="Times New Roman"/>
          <w:vertAlign w:val="superscript"/>
        </w:rPr>
        <w:footnoteReference w:id="1031"/>
      </w:r>
      <w:r w:rsidRPr="00DA3BC7">
        <w:rPr>
          <w:rFonts w:ascii="Times New Roman" w:hAnsi="Times New Roman"/>
        </w:rPr>
        <w:t>，本是主張一悟百悟而徹底圓滿的</w:t>
      </w:r>
      <w:r w:rsidRPr="00DA3BC7">
        <w:rPr>
          <w:rFonts w:ascii="Times New Roman" w:hAnsi="Times New Roman" w:hint="eastAsia"/>
        </w:rPr>
        <w:t>，</w:t>
      </w:r>
      <w:r w:rsidRPr="00DA3BC7">
        <w:rPr>
          <w:rFonts w:ascii="Times New Roman" w:hAnsi="Times New Roman"/>
        </w:rPr>
        <w:t>但結果也還是安立三關</w:t>
      </w:r>
      <w:r w:rsidRPr="00DA3BC7">
        <w:rPr>
          <w:rFonts w:ascii="Times New Roman" w:hAnsi="Times New Roman"/>
          <w:vertAlign w:val="superscript"/>
        </w:rPr>
        <w:footnoteReference w:id="1032"/>
      </w:r>
      <w:r w:rsidRPr="00DA3BC7">
        <w:rPr>
          <w:rFonts w:ascii="Times New Roman" w:hAnsi="Times New Roman"/>
        </w:rPr>
        <w:t>，次第悟入。</w:t>
      </w:r>
    </w:p>
    <w:p w:rsidR="00245634" w:rsidRPr="00DA3BC7" w:rsidRDefault="00245634" w:rsidP="00AE3920">
      <w:pPr>
        <w:widowControl/>
        <w:spacing w:beforeLines="30"/>
        <w:ind w:leftChars="250" w:left="600"/>
        <w:jc w:val="both"/>
        <w:rPr>
          <w:rFonts w:ascii="Times New Roman" w:hAnsi="Times New Roman"/>
          <w:b/>
          <w:sz w:val="20"/>
          <w:szCs w:val="20"/>
          <w:bdr w:val="single" w:sz="4" w:space="0" w:color="auto"/>
        </w:rPr>
      </w:pPr>
      <w:r w:rsidRPr="007D65DC">
        <w:rPr>
          <w:rFonts w:ascii="Times New Roman" w:hAnsi="Times New Roman"/>
          <w:b/>
          <w:color w:val="FF0000"/>
          <w:sz w:val="20"/>
          <w:szCs w:val="20"/>
          <w:highlight w:val="yellow"/>
          <w:bdr w:val="single" w:sz="4" w:space="0" w:color="auto"/>
        </w:rPr>
        <w:lastRenderedPageBreak/>
        <w:t>（</w:t>
      </w:r>
      <w:r>
        <w:rPr>
          <w:rFonts w:ascii="Times New Roman" w:hAnsi="Times New Roman" w:hint="eastAsia"/>
          <w:b/>
          <w:color w:val="FF0000"/>
          <w:sz w:val="20"/>
          <w:szCs w:val="20"/>
          <w:highlight w:val="yellow"/>
          <w:bdr w:val="single" w:sz="4" w:space="0" w:color="auto"/>
        </w:rPr>
        <w:t>3</w:t>
      </w:r>
      <w:r w:rsidRPr="007D65DC">
        <w:rPr>
          <w:rFonts w:ascii="Times New Roman" w:hAnsi="Times New Roman"/>
          <w:b/>
          <w:color w:val="FF0000"/>
          <w:sz w:val="20"/>
          <w:szCs w:val="20"/>
          <w:highlight w:val="yellow"/>
          <w:bdr w:val="single" w:sz="4" w:space="0" w:color="auto"/>
        </w:rPr>
        <w:t>）</w:t>
      </w:r>
      <w:r>
        <w:rPr>
          <w:rFonts w:ascii="新細明體" w:hAnsi="新細明體" w:hint="eastAsia"/>
          <w:b/>
          <w:color w:val="FF0000"/>
          <w:sz w:val="20"/>
          <w:szCs w:val="20"/>
          <w:highlight w:val="yellow"/>
          <w:bdr w:val="single" w:sz="4" w:space="0" w:color="auto"/>
        </w:rPr>
        <w:t>明實</w:t>
      </w:r>
      <w:r w:rsidRPr="00DA3BC7">
        <w:rPr>
          <w:rFonts w:ascii="Times New Roman" w:hAnsi="Times New Roman"/>
          <w:sz w:val="20"/>
        </w:rPr>
        <w:t>（</w:t>
      </w:r>
      <w:r w:rsidRPr="00DA3BC7">
        <w:rPr>
          <w:rFonts w:ascii="Times New Roman" w:hAnsi="Times New Roman"/>
          <w:sz w:val="20"/>
        </w:rPr>
        <w:t>p.</w:t>
      </w:r>
      <w:r>
        <w:rPr>
          <w:rFonts w:ascii="Times New Roman" w:hAnsi="Times New Roman" w:hint="eastAsia"/>
          <w:sz w:val="20"/>
        </w:rPr>
        <w:t>237</w:t>
      </w:r>
      <w:r w:rsidRPr="00DA3BC7">
        <w:rPr>
          <w:rFonts w:ascii="Times New Roman" w:hAnsi="Times New Roman"/>
          <w:sz w:val="20"/>
        </w:rPr>
        <w:t>）</w:t>
      </w:r>
    </w:p>
    <w:p w:rsidR="00245634" w:rsidRDefault="00AA120F" w:rsidP="00E6656D">
      <w:pPr>
        <w:widowControl/>
        <w:ind w:leftChars="250" w:left="600"/>
        <w:jc w:val="both"/>
        <w:rPr>
          <w:rFonts w:ascii="Times New Roman" w:hAnsi="Times New Roman"/>
        </w:rPr>
      </w:pPr>
      <w:r w:rsidRPr="00DA3BC7">
        <w:rPr>
          <w:rFonts w:ascii="Times New Roman" w:hAnsi="Times New Roman"/>
        </w:rPr>
        <w:t>故</w:t>
      </w:r>
      <w:r w:rsidRPr="00DA3BC7">
        <w:rPr>
          <w:rFonts w:ascii="Times New Roman" w:hAnsi="Times New Roman"/>
          <w:b/>
        </w:rPr>
        <w:t>見道的圓證空有無礙是可能的，而事實是不易做到的</w:t>
      </w:r>
      <w:r w:rsidRPr="00DA3BC7">
        <w:rPr>
          <w:rFonts w:ascii="Times New Roman" w:hAnsi="Times New Roman"/>
        </w:rPr>
        <w:t>。</w:t>
      </w:r>
    </w:p>
    <w:p w:rsidR="00245634" w:rsidRPr="00DA3BC7" w:rsidRDefault="00245634" w:rsidP="00AE3920">
      <w:pPr>
        <w:widowControl/>
        <w:spacing w:beforeLines="30"/>
        <w:ind w:leftChars="250" w:left="600"/>
        <w:jc w:val="both"/>
        <w:rPr>
          <w:rFonts w:ascii="Times New Roman" w:hAnsi="Times New Roman"/>
          <w:b/>
          <w:sz w:val="20"/>
          <w:szCs w:val="20"/>
          <w:bdr w:val="single" w:sz="4" w:space="0" w:color="auto"/>
        </w:rPr>
      </w:pPr>
      <w:r w:rsidRPr="007D65DC">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4</w:t>
      </w:r>
      <w:r w:rsidRPr="007D65DC">
        <w:rPr>
          <w:rFonts w:ascii="Times New Roman" w:hAnsi="Times New Roman"/>
          <w:b/>
          <w:color w:val="FF0000"/>
          <w:sz w:val="20"/>
          <w:szCs w:val="20"/>
          <w:highlight w:val="yellow"/>
          <w:bdr w:val="single" w:sz="4" w:space="0" w:color="auto"/>
        </w:rPr>
        <w:t>）</w:t>
      </w:r>
      <w:r>
        <w:rPr>
          <w:rFonts w:ascii="新細明體" w:hAnsi="新細明體" w:hint="eastAsia"/>
          <w:b/>
          <w:color w:val="FF0000"/>
          <w:sz w:val="20"/>
          <w:szCs w:val="20"/>
          <w:highlight w:val="yellow"/>
          <w:bdr w:val="single" w:sz="4" w:space="0" w:color="auto"/>
        </w:rPr>
        <w:t>斥謬</w:t>
      </w:r>
      <w:r w:rsidRPr="00DA3BC7">
        <w:rPr>
          <w:rFonts w:ascii="Times New Roman" w:hAnsi="Times New Roman"/>
          <w:sz w:val="20"/>
        </w:rPr>
        <w:t>（</w:t>
      </w:r>
      <w:r w:rsidRPr="00DA3BC7">
        <w:rPr>
          <w:rFonts w:ascii="Times New Roman" w:hAnsi="Times New Roman"/>
          <w:sz w:val="20"/>
        </w:rPr>
        <w:t>p.</w:t>
      </w:r>
      <w:r>
        <w:rPr>
          <w:rFonts w:ascii="Times New Roman" w:hAnsi="Times New Roman" w:hint="eastAsia"/>
          <w:sz w:val="20"/>
        </w:rPr>
        <w:t>237</w:t>
      </w:r>
      <w:r w:rsidRPr="00DA3BC7">
        <w:rPr>
          <w:rFonts w:ascii="Times New Roman" w:hAnsi="Times New Roman"/>
          <w:sz w:val="20"/>
        </w:rPr>
        <w:t>）</w:t>
      </w:r>
    </w:p>
    <w:p w:rsidR="00AA120F" w:rsidRPr="00DA3BC7" w:rsidRDefault="00AA120F" w:rsidP="00E6656D">
      <w:pPr>
        <w:widowControl/>
        <w:ind w:leftChars="250" w:left="600"/>
        <w:jc w:val="both"/>
        <w:rPr>
          <w:rFonts w:ascii="Times New Roman" w:hAnsi="Times New Roman"/>
        </w:rPr>
        <w:sectPr w:rsidR="00AA120F" w:rsidRPr="00DA3BC7" w:rsidSect="004F4714">
          <w:headerReference w:type="even" r:id="rId66"/>
          <w:headerReference w:type="default" r:id="rId67"/>
          <w:footnotePr>
            <w:numRestart w:val="eachSect"/>
          </w:footnotePr>
          <w:pgSz w:w="10773" w:h="14742" w:code="155"/>
          <w:pgMar w:top="1418" w:right="1418" w:bottom="1418" w:left="1418" w:header="851" w:footer="992" w:gutter="0"/>
          <w:cols w:space="425"/>
          <w:docGrid w:type="lines" w:linePitch="360"/>
        </w:sectPr>
      </w:pPr>
      <w:r w:rsidRPr="00DA3BC7">
        <w:rPr>
          <w:rFonts w:ascii="Times New Roman" w:hAnsi="Times New Roman"/>
        </w:rPr>
        <w:t>玄學家每輕視直證畢竟空寂，大談理事無礙</w:t>
      </w:r>
      <w:r w:rsidRPr="00DA3BC7">
        <w:rPr>
          <w:rFonts w:ascii="Times New Roman" w:hAnsi="Times New Roman" w:hint="eastAsia"/>
        </w:rPr>
        <w:t>、</w:t>
      </w:r>
      <w:r w:rsidRPr="00DA3BC7">
        <w:rPr>
          <w:rFonts w:ascii="Times New Roman" w:hAnsi="Times New Roman"/>
        </w:rPr>
        <w:t>體用不二，何曾知道實踐的事實如何，不過徒憑幻想的或增上慢的錯覺，和人爭勝而已！</w:t>
      </w:r>
    </w:p>
    <w:p w:rsidR="00AA120F" w:rsidRPr="00DA3BC7" w:rsidRDefault="00AA120F" w:rsidP="008E2BBC">
      <w:pPr>
        <w:pStyle w:val="1"/>
      </w:pPr>
      <w:bookmarkStart w:id="135" w:name="_Toc405499805"/>
      <w:r w:rsidRPr="00DA3BC7">
        <w:lastRenderedPageBreak/>
        <w:t>第</w:t>
      </w:r>
      <w:r w:rsidRPr="00DA3BC7">
        <w:rPr>
          <w:rFonts w:hint="eastAsia"/>
        </w:rPr>
        <w:t>十一</w:t>
      </w:r>
      <w:r w:rsidRPr="00DA3BC7">
        <w:t>章、</w:t>
      </w:r>
      <w:r w:rsidRPr="00DA3BC7">
        <w:rPr>
          <w:rFonts w:hint="eastAsia"/>
        </w:rPr>
        <w:t>中道之實踐</w:t>
      </w:r>
      <w:bookmarkEnd w:id="135"/>
    </w:p>
    <w:p w:rsidR="00AA120F" w:rsidRPr="00DA3BC7" w:rsidRDefault="00AA120F" w:rsidP="008E2BBC">
      <w:pPr>
        <w:pStyle w:val="2"/>
      </w:pPr>
      <w:bookmarkStart w:id="136" w:name="_Toc405499806"/>
      <w:r w:rsidRPr="00DA3BC7">
        <w:t>第二節、</w:t>
      </w:r>
      <w:r w:rsidRPr="00DA3BC7">
        <w:rPr>
          <w:rFonts w:hint="eastAsia"/>
        </w:rPr>
        <w:t>緣起空有</w:t>
      </w:r>
      <w:bookmarkEnd w:id="136"/>
    </w:p>
    <w:p w:rsidR="00AA120F" w:rsidRPr="00DA3BC7" w:rsidRDefault="00AA120F" w:rsidP="008E2BBC">
      <w:pPr>
        <w:jc w:val="center"/>
        <w:rPr>
          <w:rFonts w:ascii="Times New Roman" w:eastAsia="標楷體" w:hAnsi="Times New Roman"/>
          <w:bCs/>
        </w:rPr>
      </w:pPr>
      <w:r w:rsidRPr="00DA3BC7">
        <w:rPr>
          <w:rFonts w:ascii="Times New Roman" w:eastAsia="標楷體" w:hAnsi="Times New Roman"/>
          <w:bCs/>
        </w:rPr>
        <w:t>（</w:t>
      </w:r>
      <w:r w:rsidRPr="00DA3BC7">
        <w:rPr>
          <w:rFonts w:ascii="Times New Roman" w:eastAsia="標楷體" w:hAnsi="Times New Roman"/>
          <w:bCs/>
        </w:rPr>
        <w:t>pp.</w:t>
      </w:r>
      <w:r w:rsidRPr="00DA3BC7">
        <w:rPr>
          <w:rFonts w:ascii="Times New Roman" w:eastAsia="SimSun" w:hAnsi="Times New Roman" w:hint="eastAsia"/>
          <w:bCs/>
        </w:rPr>
        <w:t>237</w:t>
      </w:r>
      <w:r w:rsidRPr="00DA3BC7">
        <w:rPr>
          <w:rFonts w:ascii="Times New Roman" w:eastAsia="標楷體" w:hAnsi="Times New Roman"/>
          <w:bCs/>
        </w:rPr>
        <w:t>-</w:t>
      </w:r>
      <w:r w:rsidRPr="00DA3BC7">
        <w:rPr>
          <w:rFonts w:ascii="Times New Roman" w:eastAsia="SimSun" w:hAnsi="Times New Roman" w:hint="eastAsia"/>
          <w:bCs/>
        </w:rPr>
        <w:t>252</w:t>
      </w:r>
      <w:r w:rsidRPr="00DA3BC7">
        <w:rPr>
          <w:rFonts w:ascii="Times New Roman" w:eastAsia="標楷體" w:hAnsi="Times New Roman"/>
          <w:bCs/>
        </w:rPr>
        <w:t>）</w:t>
      </w:r>
    </w:p>
    <w:p w:rsidR="00AA120F" w:rsidRPr="00DA3BC7" w:rsidRDefault="00AA120F" w:rsidP="008E2BBC">
      <w:pPr>
        <w:pStyle w:val="Author"/>
      </w:pPr>
    </w:p>
    <w:p w:rsidR="00AA120F" w:rsidRPr="00DA3BC7" w:rsidRDefault="00AA120F" w:rsidP="00AE3920">
      <w:pPr>
        <w:spacing w:beforeLines="50"/>
        <w:jc w:val="both"/>
        <w:rPr>
          <w:rFonts w:ascii="Times Ext Roman" w:eastAsia="SimSun" w:hAnsi="Times Ext Roman" w:cs="Times Ext Roman"/>
          <w:sz w:val="20"/>
        </w:rPr>
      </w:pPr>
      <w:r w:rsidRPr="00DA3BC7">
        <w:rPr>
          <w:rFonts w:ascii="新細明體" w:hAnsi="新細明體" w:hint="eastAsia"/>
          <w:b/>
          <w:bCs/>
          <w:sz w:val="20"/>
          <w:szCs w:val="20"/>
          <w:bdr w:val="single" w:sz="4" w:space="0" w:color="auto"/>
        </w:rPr>
        <w:t>壹</w:t>
      </w:r>
      <w:r w:rsidRPr="00DA3BC7">
        <w:rPr>
          <w:b/>
          <w:bCs/>
          <w:sz w:val="20"/>
          <w:szCs w:val="20"/>
          <w:bdr w:val="single" w:sz="4" w:space="0" w:color="auto"/>
        </w:rPr>
        <w:t>、</w:t>
      </w:r>
      <w:r w:rsidR="00811E1B" w:rsidRPr="00811E1B">
        <w:rPr>
          <w:rFonts w:hint="eastAsia"/>
          <w:b/>
          <w:bCs/>
          <w:color w:val="FF0000"/>
          <w:sz w:val="20"/>
          <w:szCs w:val="20"/>
          <w:highlight w:val="yellow"/>
          <w:bdr w:val="single" w:sz="4" w:space="0" w:color="auto"/>
        </w:rPr>
        <w:t>總說：</w:t>
      </w:r>
      <w:r w:rsidRPr="00DA3BC7">
        <w:rPr>
          <w:b/>
          <w:bCs/>
          <w:sz w:val="20"/>
          <w:szCs w:val="20"/>
          <w:bdr w:val="single" w:sz="4" w:space="0" w:color="auto"/>
        </w:rPr>
        <w:t>緣起正觀的修習</w:t>
      </w:r>
      <w:r w:rsidRPr="00DA3BC7">
        <w:rPr>
          <w:rFonts w:ascii="Times Ext Roman" w:hAnsi="Times Ext Roman" w:cs="Times Ext Roman" w:hint="eastAsia"/>
          <w:sz w:val="20"/>
        </w:rPr>
        <w:t>（</w:t>
      </w:r>
      <w:r w:rsidRPr="00DA3BC7">
        <w:rPr>
          <w:rFonts w:ascii="Times New Roman" w:hAnsi="Times New Roman" w:hint="eastAsia"/>
          <w:sz w:val="20"/>
        </w:rPr>
        <w:t>pp.</w:t>
      </w:r>
      <w:r w:rsidRPr="00DA3BC7">
        <w:rPr>
          <w:rFonts w:ascii="Times New Roman" w:eastAsia="SimSun" w:hAnsi="Times New Roman" w:hint="eastAsia"/>
          <w:sz w:val="20"/>
        </w:rPr>
        <w:t>237</w:t>
      </w:r>
      <w:r w:rsidRPr="00DA3BC7">
        <w:rPr>
          <w:rFonts w:ascii="Times New Roman" w:hAnsi="Times New Roman" w:hint="eastAsia"/>
          <w:sz w:val="20"/>
        </w:rPr>
        <w:t>-</w:t>
      </w:r>
      <w:r w:rsidRPr="00DA3BC7">
        <w:rPr>
          <w:rFonts w:ascii="Times New Roman" w:eastAsia="SimSun" w:hAnsi="Times New Roman" w:hint="eastAsia"/>
          <w:sz w:val="20"/>
        </w:rPr>
        <w:t>239</w:t>
      </w:r>
      <w:r w:rsidRPr="00DA3BC7">
        <w:rPr>
          <w:rFonts w:ascii="Times Ext Roman" w:hAnsi="Times Ext Roman" w:cs="Times Ext Roman" w:hint="eastAsia"/>
          <w:sz w:val="20"/>
        </w:rPr>
        <w:t>）</w:t>
      </w:r>
    </w:p>
    <w:p w:rsidR="00AA120F" w:rsidRPr="00DA3BC7" w:rsidRDefault="00AA120F" w:rsidP="008E2BBC">
      <w:pPr>
        <w:ind w:leftChars="50" w:left="120"/>
        <w:jc w:val="both"/>
        <w:rPr>
          <w:rFonts w:eastAsia="SimSun"/>
        </w:rPr>
      </w:pPr>
      <w:r w:rsidRPr="00DA3BC7">
        <w:rPr>
          <w:rFonts w:ascii="新細明體" w:hAnsi="新細明體" w:hint="eastAsia"/>
          <w:b/>
          <w:sz w:val="20"/>
          <w:szCs w:val="20"/>
          <w:bdr w:val="single" w:sz="4" w:space="0" w:color="auto"/>
        </w:rPr>
        <w:t>（壹）</w:t>
      </w:r>
      <w:r w:rsidR="00811E1B">
        <w:rPr>
          <w:rFonts w:ascii="Times New Roman" w:hAnsi="Times New Roman" w:hint="eastAsia"/>
          <w:b/>
          <w:color w:val="FF0000"/>
          <w:sz w:val="20"/>
          <w:szCs w:val="20"/>
          <w:highlight w:val="yellow"/>
          <w:bdr w:val="single" w:sz="4" w:space="0" w:color="auto"/>
        </w:rPr>
        <w:t>明二</w:t>
      </w:r>
      <w:r w:rsidRPr="00811E1B">
        <w:rPr>
          <w:rFonts w:ascii="新細明體" w:hAnsi="新細明體"/>
          <w:b/>
          <w:color w:val="FF0000"/>
          <w:sz w:val="20"/>
          <w:szCs w:val="20"/>
          <w:highlight w:val="yellow"/>
          <w:bdr w:val="single" w:sz="4" w:space="0" w:color="auto"/>
        </w:rPr>
        <w:t>類</w:t>
      </w:r>
      <w:r w:rsidR="00811E1B" w:rsidRPr="00811E1B">
        <w:rPr>
          <w:rFonts w:ascii="新細明體" w:hAnsi="新細明體" w:hint="eastAsia"/>
          <w:b/>
          <w:color w:val="FF0000"/>
          <w:sz w:val="20"/>
          <w:szCs w:val="20"/>
          <w:highlight w:val="yellow"/>
          <w:bdr w:val="single" w:sz="4" w:space="0" w:color="auto"/>
        </w:rPr>
        <w:t>別</w:t>
      </w:r>
      <w:r w:rsidRPr="00DA3BC7">
        <w:rPr>
          <w:rFonts w:ascii="Times Ext Roman" w:hAnsi="Times Ext Roman" w:cs="Times Ext Roman" w:hint="eastAsia"/>
          <w:sz w:val="20"/>
        </w:rPr>
        <w:t>（</w:t>
      </w:r>
      <w:r w:rsidRPr="00DA3BC7">
        <w:rPr>
          <w:rFonts w:ascii="Times New Roman" w:hAnsi="Times New Roman" w:hint="eastAsia"/>
          <w:sz w:val="20"/>
        </w:rPr>
        <w:t>p.</w:t>
      </w:r>
      <w:r w:rsidRPr="00DA3BC7">
        <w:rPr>
          <w:rFonts w:ascii="Times New Roman" w:eastAsia="SimSun" w:hAnsi="Times New Roman" w:hint="eastAsia"/>
          <w:sz w:val="20"/>
        </w:rPr>
        <w:t>237</w:t>
      </w:r>
      <w:r w:rsidRPr="00DA3BC7">
        <w:rPr>
          <w:rFonts w:ascii="Times Ext Roman" w:hAnsi="Times Ext Roman" w:cs="Times Ext Roman" w:hint="eastAsia"/>
          <w:sz w:val="20"/>
        </w:rPr>
        <w:t>）</w:t>
      </w:r>
    </w:p>
    <w:p w:rsidR="00AA120F" w:rsidRPr="00DA3BC7" w:rsidRDefault="00AA120F" w:rsidP="008E2BBC">
      <w:pPr>
        <w:ind w:leftChars="50" w:left="120"/>
        <w:jc w:val="both"/>
        <w:rPr>
          <w:rFonts w:ascii="Times New Roman" w:eastAsia="SimSun" w:hAnsi="Times New Roman"/>
        </w:rPr>
      </w:pPr>
      <w:r w:rsidRPr="00DA3BC7">
        <w:rPr>
          <w:rFonts w:hint="eastAsia"/>
        </w:rPr>
        <w:t>體悟中道，要先有緣起空有無礙的正觀，這已如上所說。</w:t>
      </w:r>
      <w:r w:rsidRPr="00DA3BC7">
        <w:rPr>
          <w:rStyle w:val="a6"/>
          <w:rFonts w:ascii="Times New Roman" w:hAnsi="Times New Roman"/>
        </w:rPr>
        <w:footnoteReference w:id="1033"/>
      </w:r>
      <w:r w:rsidRPr="00DA3BC7">
        <w:rPr>
          <w:rFonts w:ascii="Times New Roman" w:hAnsi="Times New Roman"/>
        </w:rPr>
        <w:t>但於緣起正觀的修習，從來的佛教界，有兩大類：</w:t>
      </w:r>
    </w:p>
    <w:p w:rsidR="00AA120F" w:rsidRPr="00DA3BC7" w:rsidRDefault="00AA120F" w:rsidP="00842748">
      <w:pPr>
        <w:spacing w:beforeLines="30"/>
        <w:ind w:leftChars="100" w:left="240"/>
        <w:jc w:val="both"/>
        <w:rPr>
          <w:rFonts w:ascii="Times New Roman" w:eastAsia="SimSun" w:hAnsi="Times New Roman"/>
        </w:rPr>
      </w:pPr>
      <w:r w:rsidRPr="00DA3BC7">
        <w:rPr>
          <w:rFonts w:ascii="Times New Roman" w:hAnsi="Times New Roman"/>
          <w:b/>
          <w:sz w:val="20"/>
          <w:szCs w:val="20"/>
          <w:bdr w:val="single" w:sz="4" w:space="0" w:color="auto"/>
        </w:rPr>
        <w:t>一、依緣起相有而觀</w:t>
      </w:r>
      <w:r w:rsidR="00811E1B" w:rsidRPr="00811E1B">
        <w:rPr>
          <w:rFonts w:ascii="Times New Roman" w:hAnsi="Times New Roman" w:hint="eastAsia"/>
          <w:b/>
          <w:color w:val="FF0000"/>
          <w:sz w:val="20"/>
          <w:szCs w:val="20"/>
          <w:highlight w:val="yellow"/>
          <w:bdr w:val="single" w:sz="4" w:space="0" w:color="auto"/>
        </w:rPr>
        <w:t>察</w:t>
      </w:r>
      <w:r w:rsidRPr="00DA3BC7">
        <w:rPr>
          <w:rFonts w:ascii="Times New Roman" w:hAnsi="Times New Roman"/>
          <w:b/>
          <w:sz w:val="20"/>
          <w:szCs w:val="20"/>
          <w:bdr w:val="single" w:sz="4" w:space="0" w:color="auto"/>
        </w:rPr>
        <w:t>性空</w:t>
      </w:r>
      <w:r w:rsidRPr="00DA3BC7">
        <w:rPr>
          <w:rFonts w:ascii="Times New Roman" w:hAnsi="Times New Roman"/>
          <w:sz w:val="20"/>
        </w:rPr>
        <w:t>（</w:t>
      </w:r>
      <w:r w:rsidRPr="00DA3BC7">
        <w:rPr>
          <w:rFonts w:ascii="Times New Roman" w:hAnsi="Times New Roman"/>
          <w:sz w:val="20"/>
        </w:rPr>
        <w:t>p.</w:t>
      </w:r>
      <w:r w:rsidRPr="00DA3BC7">
        <w:rPr>
          <w:rFonts w:ascii="Times New Roman" w:eastAsia="SimSun" w:hAnsi="Times New Roman"/>
          <w:sz w:val="20"/>
        </w:rPr>
        <w:t>237</w:t>
      </w:r>
      <w:r w:rsidRPr="00DA3BC7">
        <w:rPr>
          <w:rFonts w:ascii="Times New Roman" w:hAnsi="Times New Roman"/>
          <w:sz w:val="20"/>
        </w:rPr>
        <w:t>）</w:t>
      </w:r>
    </w:p>
    <w:p w:rsidR="00AA120F" w:rsidRPr="00DA3BC7" w:rsidRDefault="00AA120F" w:rsidP="00811E1B">
      <w:pPr>
        <w:ind w:leftChars="100" w:left="840" w:hangingChars="250" w:hanging="600"/>
        <w:jc w:val="both"/>
        <w:rPr>
          <w:rFonts w:ascii="Times New Roman" w:eastAsia="SimSun" w:hAnsi="Times New Roman"/>
        </w:rPr>
      </w:pPr>
      <w:r w:rsidRPr="00DA3BC7">
        <w:rPr>
          <w:rFonts w:ascii="Times New Roman" w:hAnsi="Times New Roman"/>
        </w:rPr>
        <w:t>（一）《阿含經》等，要先於緣起因果</w:t>
      </w:r>
      <w:r w:rsidRPr="00DA3BC7">
        <w:rPr>
          <w:rFonts w:ascii="Times New Roman" w:hAnsi="Times New Roman" w:hint="eastAsia"/>
        </w:rPr>
        <w:t>、</w:t>
      </w:r>
      <w:r w:rsidRPr="00DA3BC7">
        <w:rPr>
          <w:rFonts w:ascii="Times New Roman" w:hAnsi="Times New Roman"/>
        </w:rPr>
        <w:t>生死還滅的道理，有了深刻的信解，然後從</w:t>
      </w:r>
      <w:r w:rsidRPr="00DA3BC7">
        <w:rPr>
          <w:rFonts w:ascii="Times New Roman" w:hAnsi="Times New Roman"/>
          <w:b/>
        </w:rPr>
        <w:t>緣起相有</w:t>
      </w:r>
      <w:r w:rsidRPr="00DA3BC7">
        <w:rPr>
          <w:rFonts w:ascii="Times New Roman" w:hAnsi="Times New Roman"/>
        </w:rPr>
        <w:t>而觀察</w:t>
      </w:r>
      <w:r w:rsidRPr="00DA3BC7">
        <w:rPr>
          <w:rFonts w:ascii="Times New Roman" w:hAnsi="Times New Roman"/>
          <w:b/>
        </w:rPr>
        <w:t>性空</w:t>
      </w:r>
      <w:r w:rsidRPr="00DA3BC7">
        <w:rPr>
          <w:rFonts w:ascii="Times New Roman" w:hAnsi="Times New Roman"/>
        </w:rPr>
        <w:t>。如經說：「</w:t>
      </w:r>
      <w:r w:rsidRPr="00DA3BC7">
        <w:rPr>
          <w:rFonts w:ascii="Times New Roman" w:eastAsia="標楷體" w:hAnsi="Times New Roman"/>
        </w:rPr>
        <w:t>先得法住智，後得涅槃智</w:t>
      </w:r>
      <w:r w:rsidRPr="00DA3BC7">
        <w:rPr>
          <w:rFonts w:ascii="Times New Roman" w:hAnsi="Times New Roman"/>
        </w:rPr>
        <w:t>」</w:t>
      </w:r>
      <w:r w:rsidRPr="00DA3BC7">
        <w:rPr>
          <w:rStyle w:val="a6"/>
          <w:rFonts w:ascii="Times New Roman" w:hAnsi="Times New Roman"/>
          <w:kern w:val="0"/>
        </w:rPr>
        <w:footnoteReference w:id="1034"/>
      </w:r>
      <w:r w:rsidRPr="00DA3BC7">
        <w:rPr>
          <w:rFonts w:ascii="Times New Roman" w:hAnsi="Times New Roman"/>
        </w:rPr>
        <w:t>。</w:t>
      </w:r>
    </w:p>
    <w:p w:rsidR="00AA120F" w:rsidRPr="00DA3BC7" w:rsidRDefault="00AA120F" w:rsidP="00AE3920">
      <w:pPr>
        <w:spacing w:beforeLines="30"/>
        <w:ind w:leftChars="100" w:left="240"/>
        <w:jc w:val="both"/>
        <w:rPr>
          <w:rFonts w:eastAsia="SimSun"/>
        </w:rPr>
      </w:pPr>
      <w:r w:rsidRPr="00DA3BC7">
        <w:rPr>
          <w:rFonts w:ascii="Times New Roman" w:hAnsi="Times New Roman" w:hint="eastAsia"/>
          <w:b/>
          <w:sz w:val="20"/>
          <w:szCs w:val="20"/>
          <w:bdr w:val="single" w:sz="4" w:space="0" w:color="auto"/>
        </w:rPr>
        <w:lastRenderedPageBreak/>
        <w:t>二</w:t>
      </w:r>
      <w:r w:rsidR="00811E1B">
        <w:rPr>
          <w:rFonts w:ascii="新細明體" w:hAnsi="新細明體" w:hint="eastAsia"/>
          <w:b/>
          <w:sz w:val="20"/>
          <w:szCs w:val="20"/>
          <w:bdr w:val="single" w:sz="4" w:space="0" w:color="auto"/>
        </w:rPr>
        <w:t>、以</w:t>
      </w:r>
      <w:r w:rsidRPr="00811E1B">
        <w:rPr>
          <w:rFonts w:ascii="新細明體" w:hAnsi="新細明體" w:hint="eastAsia"/>
          <w:b/>
          <w:sz w:val="20"/>
          <w:szCs w:val="20"/>
          <w:bdr w:val="single" w:sz="4" w:space="0" w:color="auto"/>
        </w:rPr>
        <w:t>本</w:t>
      </w:r>
      <w:r w:rsidRPr="00DA3BC7">
        <w:rPr>
          <w:rFonts w:ascii="新細明體" w:hAnsi="新細明體" w:hint="eastAsia"/>
          <w:b/>
          <w:sz w:val="20"/>
          <w:szCs w:val="20"/>
          <w:bdr w:val="single" w:sz="4" w:space="0" w:color="auto"/>
        </w:rPr>
        <w:t>性空為門，發心即觀八不</w:t>
      </w:r>
      <w:r w:rsidRPr="00DA3BC7">
        <w:rPr>
          <w:rFonts w:ascii="Times Ext Roman" w:hAnsi="Times Ext Roman" w:cs="Times Ext Roman" w:hint="eastAsia"/>
          <w:sz w:val="20"/>
        </w:rPr>
        <w:t>（</w:t>
      </w:r>
      <w:r w:rsidRPr="00DA3BC7">
        <w:rPr>
          <w:rFonts w:ascii="Times New Roman" w:hAnsi="Times New Roman" w:hint="eastAsia"/>
          <w:sz w:val="20"/>
        </w:rPr>
        <w:t>p.</w:t>
      </w:r>
      <w:r w:rsidRPr="00DA3BC7">
        <w:rPr>
          <w:rFonts w:ascii="Times New Roman" w:eastAsia="SimSun" w:hAnsi="Times New Roman" w:hint="eastAsia"/>
          <w:sz w:val="20"/>
        </w:rPr>
        <w:t>237</w:t>
      </w:r>
      <w:r w:rsidRPr="00DA3BC7">
        <w:rPr>
          <w:rFonts w:ascii="Times Ext Roman" w:hAnsi="Times Ext Roman" w:cs="Times Ext Roman" w:hint="eastAsia"/>
          <w:sz w:val="20"/>
        </w:rPr>
        <w:t>）</w:t>
      </w:r>
    </w:p>
    <w:p w:rsidR="00AA120F" w:rsidRPr="00DA3BC7" w:rsidRDefault="00AA120F" w:rsidP="00811E1B">
      <w:pPr>
        <w:ind w:leftChars="100" w:left="960" w:hangingChars="300" w:hanging="720"/>
        <w:jc w:val="both"/>
        <w:rPr>
          <w:rFonts w:eastAsia="SimSun"/>
        </w:rPr>
      </w:pPr>
      <w:r w:rsidRPr="00DA3BC7">
        <w:rPr>
          <w:rFonts w:ascii="新細明體" w:hAnsi="新細明體" w:hint="eastAsia"/>
        </w:rPr>
        <w:t>（二）</w:t>
      </w:r>
      <w:r w:rsidRPr="00811E1B">
        <w:rPr>
          <w:rFonts w:ascii="Times New Roman" w:eastAsia="SimSun" w:hAnsi="Times New Roman" w:hint="eastAsia"/>
        </w:rPr>
        <w:t>大乘</w:t>
      </w:r>
      <w:r w:rsidRPr="00DA3BC7">
        <w:rPr>
          <w:rFonts w:hint="eastAsia"/>
        </w:rPr>
        <w:t>佛法以</w:t>
      </w:r>
      <w:r w:rsidRPr="00DA3BC7">
        <w:rPr>
          <w:rFonts w:hint="eastAsia"/>
          <w:b/>
        </w:rPr>
        <w:t>本性空</w:t>
      </w:r>
      <w:r w:rsidRPr="00DA3BC7">
        <w:rPr>
          <w:rFonts w:hint="eastAsia"/>
        </w:rPr>
        <w:t>為門，所以發心即觀八不，如禪宗有先悟本來的主張。</w:t>
      </w:r>
    </w:p>
    <w:p w:rsidR="00AA120F" w:rsidRPr="00DA3BC7" w:rsidRDefault="00AA120F" w:rsidP="00AE3920">
      <w:pPr>
        <w:spacing w:beforeLines="30"/>
        <w:ind w:leftChars="50" w:left="120"/>
        <w:jc w:val="both"/>
      </w:pPr>
      <w:r w:rsidRPr="00DA3BC7">
        <w:rPr>
          <w:rFonts w:ascii="新細明體" w:hAnsi="新細明體" w:hint="eastAsia"/>
          <w:b/>
          <w:sz w:val="20"/>
          <w:szCs w:val="20"/>
          <w:bdr w:val="single" w:sz="4" w:space="0" w:color="auto"/>
        </w:rPr>
        <w:t>（貳）</w:t>
      </w:r>
      <w:r w:rsidR="00811E1B">
        <w:rPr>
          <w:rFonts w:ascii="新細明體" w:hAnsi="新細明體" w:hint="eastAsia"/>
          <w:b/>
          <w:color w:val="FF0000"/>
          <w:sz w:val="20"/>
          <w:szCs w:val="20"/>
          <w:highlight w:val="yellow"/>
          <w:bdr w:val="single" w:sz="4" w:space="0" w:color="auto"/>
        </w:rPr>
        <w:t>辨「正常道」</w:t>
      </w:r>
      <w:r w:rsidRPr="00DA3BC7">
        <w:rPr>
          <w:rFonts w:ascii="Times New Roman" w:hAnsi="Times New Roman"/>
          <w:sz w:val="20"/>
          <w:szCs w:val="20"/>
        </w:rPr>
        <w:t>（</w:t>
      </w:r>
      <w:r w:rsidRPr="00DA3BC7">
        <w:rPr>
          <w:rFonts w:ascii="Times New Roman" w:hAnsi="Times New Roman" w:hint="eastAsia"/>
          <w:sz w:val="20"/>
          <w:szCs w:val="20"/>
        </w:rPr>
        <w:t>p</w:t>
      </w:r>
      <w:r w:rsidRPr="00DA3BC7">
        <w:rPr>
          <w:rFonts w:ascii="Times New Roman" w:hAnsi="Times New Roman"/>
          <w:bCs/>
          <w:sz w:val="20"/>
          <w:szCs w:val="20"/>
        </w:rPr>
        <w:t>p.237</w:t>
      </w:r>
      <w:r w:rsidRPr="00DA3BC7">
        <w:rPr>
          <w:rFonts w:ascii="Times New Roman" w:hAnsi="Times New Roman" w:hint="eastAsia"/>
          <w:bCs/>
          <w:sz w:val="20"/>
          <w:szCs w:val="20"/>
        </w:rPr>
        <w:t>-</w:t>
      </w:r>
      <w:r w:rsidRPr="00DA3BC7">
        <w:rPr>
          <w:rFonts w:ascii="Times New Roman" w:hAnsi="Times New Roman"/>
          <w:bCs/>
          <w:sz w:val="20"/>
          <w:szCs w:val="20"/>
        </w:rPr>
        <w:t>238</w:t>
      </w:r>
      <w:r w:rsidRPr="00DA3BC7">
        <w:rPr>
          <w:rFonts w:ascii="Times New Roman" w:hAnsi="Times New Roman"/>
          <w:sz w:val="20"/>
          <w:szCs w:val="20"/>
        </w:rPr>
        <w:t>）</w:t>
      </w:r>
    </w:p>
    <w:p w:rsidR="00811E1B" w:rsidRDefault="00811E1B" w:rsidP="00E6656D">
      <w:pPr>
        <w:ind w:leftChars="100" w:left="240"/>
        <w:jc w:val="both"/>
        <w:rPr>
          <w:rFonts w:ascii="新細明體" w:hAnsi="新細明體"/>
          <w:b/>
          <w:color w:val="FF0000"/>
          <w:sz w:val="20"/>
          <w:szCs w:val="20"/>
          <w:bdr w:val="single" w:sz="4" w:space="0" w:color="auto"/>
        </w:rPr>
      </w:pPr>
      <w:r>
        <w:rPr>
          <w:rFonts w:ascii="新細明體" w:hAnsi="新細明體" w:hint="eastAsia"/>
          <w:b/>
          <w:color w:val="FF0000"/>
          <w:sz w:val="20"/>
          <w:szCs w:val="20"/>
          <w:highlight w:val="yellow"/>
          <w:bdr w:val="single" w:sz="4" w:space="0" w:color="auto"/>
        </w:rPr>
        <w:t>一、敘理</w:t>
      </w:r>
      <w:r w:rsidRPr="00DA3BC7">
        <w:rPr>
          <w:rFonts w:ascii="Times New Roman" w:hAnsi="Times New Roman"/>
          <w:sz w:val="20"/>
          <w:szCs w:val="20"/>
        </w:rPr>
        <w:t>（</w:t>
      </w:r>
      <w:r w:rsidRPr="00DA3BC7">
        <w:rPr>
          <w:rFonts w:ascii="Times New Roman" w:hAnsi="Times New Roman" w:hint="eastAsia"/>
          <w:sz w:val="20"/>
          <w:szCs w:val="20"/>
        </w:rPr>
        <w:t>p</w:t>
      </w:r>
      <w:r w:rsidRPr="00DA3BC7">
        <w:rPr>
          <w:rFonts w:ascii="Times New Roman" w:hAnsi="Times New Roman"/>
          <w:bCs/>
          <w:sz w:val="20"/>
          <w:szCs w:val="20"/>
        </w:rPr>
        <w:t>p.237</w:t>
      </w:r>
      <w:r w:rsidRPr="00DA3BC7">
        <w:rPr>
          <w:rFonts w:ascii="Times New Roman" w:hAnsi="Times New Roman" w:hint="eastAsia"/>
          <w:bCs/>
          <w:sz w:val="20"/>
          <w:szCs w:val="20"/>
        </w:rPr>
        <w:t>-</w:t>
      </w:r>
      <w:r w:rsidRPr="00DA3BC7">
        <w:rPr>
          <w:rFonts w:ascii="Times New Roman" w:hAnsi="Times New Roman"/>
          <w:bCs/>
          <w:sz w:val="20"/>
          <w:szCs w:val="20"/>
        </w:rPr>
        <w:t>238</w:t>
      </w:r>
      <w:r w:rsidRPr="00DA3BC7">
        <w:rPr>
          <w:rFonts w:ascii="Times New Roman" w:hAnsi="Times New Roman"/>
          <w:sz w:val="20"/>
          <w:szCs w:val="20"/>
        </w:rPr>
        <w:t>）</w:t>
      </w:r>
    </w:p>
    <w:p w:rsidR="00AA120F" w:rsidRPr="00DA3BC7" w:rsidRDefault="00AA120F" w:rsidP="00E6656D">
      <w:pPr>
        <w:ind w:leftChars="100" w:left="240"/>
        <w:jc w:val="both"/>
        <w:rPr>
          <w:rFonts w:eastAsia="SimSun"/>
        </w:rPr>
      </w:pPr>
      <w:r w:rsidRPr="00DA3BC7">
        <w:rPr>
          <w:rFonts w:hint="eastAsia"/>
        </w:rPr>
        <w:t>大乘佛法的發心即觀八不，觀諸法本不生，依中觀者說，</w:t>
      </w:r>
      <w:r w:rsidRPr="00DA3BC7">
        <w:rPr>
          <w:rFonts w:hint="eastAsia"/>
          <w:b/>
        </w:rPr>
        <w:t>性空</w:t>
      </w:r>
      <w:r w:rsidRPr="00DA3BC7">
        <w:rPr>
          <w:rFonts w:hint="eastAsia"/>
        </w:rPr>
        <w:t>要於生死輪迴</w:t>
      </w:r>
      <w:r w:rsidRPr="00DA3BC7">
        <w:rPr>
          <w:rFonts w:hint="eastAsia"/>
          <w:b/>
        </w:rPr>
        <w:t>──緣起因果</w:t>
      </w:r>
      <w:r w:rsidRPr="00DA3BC7">
        <w:rPr>
          <w:rFonts w:hint="eastAsia"/>
        </w:rPr>
        <w:t>中去了解，要從</w:t>
      </w:r>
      <w:r w:rsidRPr="00DA3BC7">
        <w:rPr>
          <w:rFonts w:hint="eastAsia"/>
          <w:b/>
        </w:rPr>
        <w:t>即空的緣起</w:t>
      </w:r>
      <w:r w:rsidRPr="00DA3BC7">
        <w:rPr>
          <w:rFonts w:hint="eastAsia"/>
        </w:rPr>
        <w:t>中去觀察</w:t>
      </w:r>
      <w:r w:rsidRPr="00DA3BC7">
        <w:rPr>
          <w:rFonts w:hint="eastAsia"/>
          <w:b/>
        </w:rPr>
        <w:t>即緣起的空</w:t>
      </w:r>
      <w:r w:rsidRPr="00DA3BC7">
        <w:rPr>
          <w:rFonts w:hint="eastAsia"/>
        </w:rPr>
        <w:t>，決非離緣起而談不生。若於</w:t>
      </w:r>
      <w:r w:rsidRPr="00DA3BC7">
        <w:rPr>
          <w:rFonts w:hint="eastAsia"/>
          <w:b/>
        </w:rPr>
        <w:t>緣起</w:t>
      </w:r>
      <w:r w:rsidRPr="00DA3BC7">
        <w:rPr>
          <w:rFonts w:hint="eastAsia"/>
        </w:rPr>
        <w:t>沒有深刻的了解，悟解</w:t>
      </w:r>
      <w:r w:rsidRPr="00DA3BC7">
        <w:rPr>
          <w:rFonts w:hint="eastAsia"/>
          <w:b/>
        </w:rPr>
        <w:t>空性</w:t>
      </w:r>
      <w:r w:rsidRPr="00DA3BC7">
        <w:rPr>
          <w:rFonts w:hint="eastAsia"/>
        </w:rPr>
        <w:t>是不可能的，也必是不正確的，會發生極大的流弊。</w:t>
      </w:r>
    </w:p>
    <w:p w:rsidR="00811E1B" w:rsidRPr="00DA3BC7" w:rsidRDefault="00811E1B" w:rsidP="00AE3920">
      <w:pPr>
        <w:spacing w:beforeLines="30"/>
        <w:ind w:leftChars="100" w:left="240"/>
        <w:jc w:val="both"/>
        <w:rPr>
          <w:rFonts w:eastAsia="SimSun"/>
        </w:rPr>
      </w:pPr>
      <w:r w:rsidRPr="00811E1B">
        <w:rPr>
          <w:rFonts w:ascii="Times New Roman" w:hAnsi="Times New Roman" w:hint="eastAsia"/>
          <w:b/>
          <w:color w:val="FF0000"/>
          <w:sz w:val="20"/>
          <w:szCs w:val="20"/>
          <w:highlight w:val="yellow"/>
          <w:bdr w:val="single" w:sz="4" w:space="0" w:color="auto"/>
        </w:rPr>
        <w:t>二</w:t>
      </w:r>
      <w:r w:rsidRPr="00811E1B">
        <w:rPr>
          <w:rFonts w:ascii="新細明體" w:hAnsi="新細明體" w:hint="eastAsia"/>
          <w:b/>
          <w:color w:val="FF0000"/>
          <w:sz w:val="20"/>
          <w:szCs w:val="20"/>
          <w:highlight w:val="yellow"/>
          <w:bdr w:val="single" w:sz="4" w:space="0" w:color="auto"/>
        </w:rPr>
        <w:t>、舉事</w:t>
      </w:r>
      <w:r w:rsidRPr="00DA3BC7">
        <w:rPr>
          <w:rFonts w:ascii="Times Ext Roman" w:hAnsi="Times Ext Roman" w:cs="Times Ext Roman" w:hint="eastAsia"/>
          <w:sz w:val="20"/>
        </w:rPr>
        <w:t>（</w:t>
      </w:r>
      <w:r w:rsidRPr="00DA3BC7">
        <w:rPr>
          <w:rFonts w:ascii="Times New Roman" w:hAnsi="Times New Roman" w:hint="eastAsia"/>
          <w:sz w:val="20"/>
        </w:rPr>
        <w:t>p.</w:t>
      </w:r>
      <w:r w:rsidRPr="00DA3BC7">
        <w:rPr>
          <w:rFonts w:ascii="Times New Roman" w:eastAsia="SimSun" w:hAnsi="Times New Roman" w:hint="eastAsia"/>
          <w:sz w:val="20"/>
        </w:rPr>
        <w:t>23</w:t>
      </w:r>
      <w:r w:rsidRPr="00811E1B">
        <w:rPr>
          <w:rFonts w:ascii="Times New Roman" w:eastAsiaTheme="minorEastAsia" w:hAnsi="Times New Roman" w:hint="eastAsia"/>
          <w:sz w:val="20"/>
        </w:rPr>
        <w:t>8</w:t>
      </w:r>
      <w:r w:rsidRPr="00DA3BC7">
        <w:rPr>
          <w:rFonts w:ascii="Times Ext Roman" w:hAnsi="Times Ext Roman" w:cs="Times Ext Roman" w:hint="eastAsia"/>
          <w:sz w:val="20"/>
        </w:rPr>
        <w:t>）</w:t>
      </w:r>
    </w:p>
    <w:p w:rsidR="00AA120F" w:rsidRPr="00DA3BC7" w:rsidRDefault="00AA120F" w:rsidP="00E6656D">
      <w:pPr>
        <w:ind w:leftChars="100" w:left="240"/>
        <w:jc w:val="both"/>
        <w:rPr>
          <w:rFonts w:eastAsia="SimSun"/>
        </w:rPr>
      </w:pPr>
      <w:r w:rsidRPr="00DA3BC7">
        <w:rPr>
          <w:rFonts w:hint="eastAsia"/>
        </w:rPr>
        <w:t>我在重慶，曾與太虛大師談及：一般學佛者談悟證，每以為悟得清淨解脫，於因果事相視為無所謂，陷於「不落因果」的邪見。</w:t>
      </w:r>
    </w:p>
    <w:p w:rsidR="00AA120F" w:rsidRPr="00DA3BC7" w:rsidRDefault="00AA120F" w:rsidP="00AE3920">
      <w:pPr>
        <w:spacing w:beforeLines="20"/>
        <w:ind w:leftChars="100" w:left="240"/>
        <w:jc w:val="both"/>
        <w:rPr>
          <w:rFonts w:eastAsia="SimSun"/>
        </w:rPr>
      </w:pPr>
      <w:r w:rsidRPr="00DA3BC7">
        <w:rPr>
          <w:rFonts w:hint="eastAsia"/>
        </w:rPr>
        <w:t>大師說道：普陀山從前有一田雞和尚，極用功禪觀，而每天必吃田雞。別人責他不該殺生，他即答以：</w:t>
      </w:r>
      <w:r w:rsidRPr="00DA3BC7">
        <w:rPr>
          <w:rFonts w:ascii="新細明體" w:hAnsi="新細明體" w:hint="eastAsia"/>
        </w:rPr>
        <w:t>「</w:t>
      </w:r>
      <w:r w:rsidRPr="00DA3BC7">
        <w:rPr>
          <w:rFonts w:hint="eastAsia"/>
        </w:rPr>
        <w:t>我一跏趺坐，即一切都空。</w:t>
      </w:r>
      <w:r w:rsidRPr="00DA3BC7">
        <w:rPr>
          <w:rFonts w:ascii="新細明體" w:hAnsi="新細明體" w:hint="eastAsia"/>
        </w:rPr>
        <w:t>」</w:t>
      </w:r>
      <w:r w:rsidRPr="00DA3BC7">
        <w:rPr>
          <w:rFonts w:hint="eastAsia"/>
        </w:rPr>
        <w:t>但田雞和尚到底是錯的，一切皆空，為何吃田雞的惡習不能空？</w:t>
      </w:r>
    </w:p>
    <w:p w:rsidR="00AA120F" w:rsidRPr="00DA3BC7" w:rsidRDefault="00AA120F" w:rsidP="00AE3920">
      <w:pPr>
        <w:spacing w:beforeLines="20"/>
        <w:ind w:leftChars="100" w:left="240"/>
        <w:jc w:val="both"/>
        <w:rPr>
          <w:rFonts w:eastAsia="SimSun"/>
        </w:rPr>
      </w:pPr>
      <w:r w:rsidRPr="00DA3BC7">
        <w:rPr>
          <w:rFonts w:hint="eastAsia"/>
        </w:rPr>
        <w:t>我說：依《阿含經》意，「</w:t>
      </w:r>
      <w:r w:rsidRPr="00DA3BC7">
        <w:rPr>
          <w:rFonts w:ascii="標楷體" w:eastAsia="標楷體" w:hAnsi="標楷體" w:hint="eastAsia"/>
        </w:rPr>
        <w:t>先得法住智，後得涅槃智</w:t>
      </w:r>
      <w:r w:rsidRPr="00DA3BC7">
        <w:rPr>
          <w:rFonts w:hint="eastAsia"/>
        </w:rPr>
        <w:t>」，修行取證性空解脫，必須</w:t>
      </w:r>
      <w:r w:rsidRPr="00DA3BC7">
        <w:rPr>
          <w:rFonts w:hint="eastAsia"/>
          <w:b/>
        </w:rPr>
        <w:t>依世俗而入於勝義</w:t>
      </w:r>
      <w:r w:rsidRPr="00DA3BC7">
        <w:rPr>
          <w:rFonts w:hint="eastAsia"/>
        </w:rPr>
        <w:t>，也即龍樹菩薩所說「</w:t>
      </w:r>
      <w:r w:rsidRPr="00DA3BC7">
        <w:rPr>
          <w:rFonts w:ascii="標楷體" w:eastAsia="標楷體" w:hAnsi="標楷體" w:hint="eastAsia"/>
        </w:rPr>
        <w:t>若不依俗諦，不得第一義</w:t>
      </w:r>
      <w:r w:rsidRPr="00DA3BC7">
        <w:rPr>
          <w:rFonts w:hint="eastAsia"/>
        </w:rPr>
        <w:t>」</w:t>
      </w:r>
      <w:r w:rsidR="0021710F" w:rsidRPr="00DA3BC7">
        <w:rPr>
          <w:rFonts w:hint="eastAsia"/>
        </w:rPr>
        <w:t>。</w:t>
      </w:r>
      <w:r w:rsidRPr="00DA3BC7">
        <w:rPr>
          <w:rStyle w:val="a6"/>
          <w:rFonts w:ascii="Times New Roman" w:hAnsi="Times New Roman"/>
        </w:rPr>
        <w:lastRenderedPageBreak/>
        <w:footnoteReference w:id="1035"/>
      </w:r>
      <w:r w:rsidRPr="00DA3BC7">
        <w:rPr>
          <w:rFonts w:hint="eastAsia"/>
        </w:rPr>
        <w:t>田雞和尚對緣起因果缺乏正確的勝解，所以不能即緣起而觀空，不能在空中成立因果緣起，墮於邪見。他哪裡能正見空，不過是落空的邪見。</w:t>
      </w:r>
      <w:r w:rsidRPr="00DA3BC7">
        <w:rPr>
          <w:rStyle w:val="a6"/>
          <w:rFonts w:ascii="Times New Roman" w:hAnsi="Times New Roman"/>
        </w:rPr>
        <w:footnoteReference w:id="1036"/>
      </w:r>
    </w:p>
    <w:p w:rsidR="00AA120F" w:rsidRPr="00DA3BC7" w:rsidRDefault="00AA120F" w:rsidP="00AE3920">
      <w:pPr>
        <w:spacing w:beforeLines="20"/>
        <w:ind w:leftChars="100" w:left="240"/>
        <w:jc w:val="both"/>
        <w:rPr>
          <w:rFonts w:eastAsia="SimSun"/>
        </w:rPr>
      </w:pPr>
      <w:r w:rsidRPr="00DA3BC7">
        <w:rPr>
          <w:rFonts w:hint="eastAsia"/>
        </w:rPr>
        <w:t>大師以為：確乎如此，但大乘者所以特地先修理觀，因為生死輪迴的因果道理不容易了解。如有相當禪定的體驗，即使不能正確，也可以使之</w:t>
      </w:r>
      <w:r w:rsidRPr="00DA3BC7">
        <w:rPr>
          <w:rFonts w:hint="eastAsia"/>
          <w:b/>
        </w:rPr>
        <w:t>於因果緣起深信不疑</w:t>
      </w:r>
      <w:r w:rsidRPr="00DA3BC7">
        <w:rPr>
          <w:rFonts w:hint="eastAsia"/>
        </w:rPr>
        <w:t>。不過，弊從利生，一般從空而入，每每忽略緣起，流弊極大。</w:t>
      </w:r>
    </w:p>
    <w:p w:rsidR="00AA120F" w:rsidRPr="00DA3BC7" w:rsidRDefault="00811E1B" w:rsidP="00AE3920">
      <w:pPr>
        <w:spacing w:beforeLines="30"/>
        <w:ind w:leftChars="100" w:left="240"/>
        <w:jc w:val="both"/>
        <w:rPr>
          <w:rFonts w:eastAsia="SimSun"/>
        </w:rPr>
      </w:pPr>
      <w:r>
        <w:rPr>
          <w:rFonts w:ascii="新細明體" w:hAnsi="新細明體" w:hint="eastAsia"/>
          <w:b/>
          <w:color w:val="FF0000"/>
          <w:sz w:val="20"/>
          <w:szCs w:val="20"/>
          <w:highlight w:val="yellow"/>
          <w:bdr w:val="single" w:sz="4" w:space="0" w:color="auto"/>
        </w:rPr>
        <w:t>三、結義</w:t>
      </w:r>
      <w:r w:rsidR="00AA120F" w:rsidRPr="00DA3BC7">
        <w:rPr>
          <w:rFonts w:ascii="Times Ext Roman" w:hAnsi="Times Ext Roman" w:cs="Times Ext Roman" w:hint="eastAsia"/>
          <w:sz w:val="20"/>
        </w:rPr>
        <w:t>（</w:t>
      </w:r>
      <w:r w:rsidR="00AA120F" w:rsidRPr="00DA3BC7">
        <w:rPr>
          <w:rFonts w:ascii="Times New Roman" w:hAnsi="Times New Roman" w:hint="eastAsia"/>
          <w:sz w:val="20"/>
        </w:rPr>
        <w:t>pp.</w:t>
      </w:r>
      <w:r w:rsidR="00AA120F" w:rsidRPr="00DA3BC7">
        <w:rPr>
          <w:rFonts w:ascii="Times New Roman" w:eastAsia="SimSun" w:hAnsi="Times New Roman" w:hint="eastAsia"/>
          <w:sz w:val="20"/>
        </w:rPr>
        <w:t>238-239</w:t>
      </w:r>
      <w:r w:rsidR="00AA120F" w:rsidRPr="00DA3BC7">
        <w:rPr>
          <w:rFonts w:ascii="Times Ext Roman" w:hAnsi="Times Ext Roman" w:cs="Times Ext Roman" w:hint="eastAsia"/>
          <w:sz w:val="20"/>
        </w:rPr>
        <w:t>）</w:t>
      </w:r>
    </w:p>
    <w:p w:rsidR="00AA120F" w:rsidRPr="00DA3BC7" w:rsidRDefault="00AA120F" w:rsidP="00E6656D">
      <w:pPr>
        <w:ind w:leftChars="100" w:left="240"/>
        <w:jc w:val="both"/>
        <w:rPr>
          <w:rFonts w:eastAsia="SimSun"/>
        </w:rPr>
      </w:pPr>
      <w:r w:rsidRPr="00DA3BC7">
        <w:rPr>
          <w:rFonts w:hint="eastAsia"/>
        </w:rPr>
        <w:t>關於這，</w:t>
      </w:r>
      <w:r w:rsidRPr="00DA3BC7">
        <w:rPr>
          <w:rFonts w:hint="eastAsia"/>
          <w:b/>
        </w:rPr>
        <w:t>佛法的正常道，應先於緣起的因果善惡得善巧，再依緣起而觀空；或先觀性空不礙緣起，即緣起而觀性空</w:t>
      </w:r>
      <w:r w:rsidRPr="00DA3BC7">
        <w:rPr>
          <w:rFonts w:hint="eastAsia"/>
        </w:rPr>
        <w:t>。總之，「</w:t>
      </w:r>
      <w:r w:rsidRPr="00DA3BC7">
        <w:rPr>
          <w:rFonts w:ascii="標楷體" w:eastAsia="標楷體" w:hAnsi="標楷體" w:hint="eastAsia"/>
        </w:rPr>
        <w:t>不依世俗諦，不得第一義</w:t>
      </w:r>
      <w:r w:rsidRPr="00DA3BC7">
        <w:rPr>
          <w:rFonts w:hint="eastAsia"/>
        </w:rPr>
        <w:t>」。因此，《中論》的抉擇道諦──第二十六品、二十七品，詳談正觀緣起、遠離邪見。</w:t>
      </w:r>
      <w:r w:rsidR="00811E1B" w:rsidRPr="00DA3BC7">
        <w:rPr>
          <w:rStyle w:val="a6"/>
          <w:rFonts w:ascii="Times New Roman" w:hAnsi="Times New Roman"/>
        </w:rPr>
        <w:footnoteReference w:id="1037"/>
      </w:r>
      <w:r w:rsidRPr="00DA3BC7">
        <w:rPr>
          <w:rFonts w:hint="eastAsia"/>
        </w:rPr>
        <w:t>如離緣起而說修說證，必流於外道的窠臼</w:t>
      </w:r>
      <w:r w:rsidRPr="00DA3BC7">
        <w:rPr>
          <w:rStyle w:val="a6"/>
          <w:rFonts w:ascii="Times New Roman" w:hAnsi="Times New Roman"/>
        </w:rPr>
        <w:footnoteReference w:id="1038"/>
      </w:r>
      <w:r w:rsidRPr="00DA3BC7">
        <w:rPr>
          <w:rFonts w:hint="eastAsia"/>
        </w:rPr>
        <w:t>，失去佛教的正宗。</w:t>
      </w:r>
    </w:p>
    <w:p w:rsidR="00AA120F" w:rsidRPr="00DA3BC7" w:rsidRDefault="00AA120F" w:rsidP="00AE3920">
      <w:pPr>
        <w:spacing w:beforeLines="30"/>
        <w:jc w:val="both"/>
        <w:rPr>
          <w:rFonts w:ascii="新細明體" w:hAnsi="新細明體"/>
          <w:b/>
          <w:sz w:val="20"/>
          <w:szCs w:val="20"/>
          <w:bdr w:val="single" w:sz="4" w:space="0" w:color="auto"/>
        </w:rPr>
      </w:pPr>
      <w:r w:rsidRPr="00DA3BC7">
        <w:rPr>
          <w:rFonts w:ascii="新細明體" w:hAnsi="新細明體" w:hint="eastAsia"/>
          <w:b/>
          <w:sz w:val="20"/>
          <w:szCs w:val="20"/>
          <w:bdr w:val="single" w:sz="4" w:space="0" w:color="auto"/>
        </w:rPr>
        <w:t>貳、</w:t>
      </w:r>
      <w:r w:rsidR="00811E1B" w:rsidRPr="00811E1B">
        <w:rPr>
          <w:rFonts w:ascii="新細明體" w:hAnsi="新細明體" w:hint="eastAsia"/>
          <w:b/>
          <w:color w:val="FF0000"/>
          <w:sz w:val="20"/>
          <w:szCs w:val="20"/>
          <w:highlight w:val="yellow"/>
          <w:bdr w:val="single" w:sz="4" w:space="0" w:color="auto"/>
        </w:rPr>
        <w:t>詳論：</w:t>
      </w:r>
      <w:r w:rsidRPr="00DA3BC7">
        <w:rPr>
          <w:rFonts w:ascii="新細明體" w:hAnsi="新細明體" w:hint="eastAsia"/>
          <w:b/>
          <w:sz w:val="20"/>
          <w:szCs w:val="20"/>
          <w:bdr w:val="single" w:sz="4" w:space="0" w:color="auto"/>
        </w:rPr>
        <w:t>「緣起相有」與「緣起性空」</w:t>
      </w:r>
      <w:r w:rsidRPr="00DA3BC7">
        <w:rPr>
          <w:rFonts w:ascii="Times Ext Roman" w:hAnsi="Times Ext Roman" w:cs="Times Ext Roman" w:hint="eastAsia"/>
          <w:sz w:val="20"/>
        </w:rPr>
        <w:t>（</w:t>
      </w:r>
      <w:r w:rsidRPr="00DA3BC7">
        <w:rPr>
          <w:rFonts w:ascii="Times New Roman" w:hAnsi="Times New Roman" w:hint="eastAsia"/>
          <w:sz w:val="20"/>
        </w:rPr>
        <w:t>pp.</w:t>
      </w:r>
      <w:r w:rsidRPr="00DA3BC7">
        <w:rPr>
          <w:rFonts w:ascii="Times New Roman" w:eastAsia="SimSun" w:hAnsi="Times New Roman" w:hint="eastAsia"/>
          <w:sz w:val="20"/>
        </w:rPr>
        <w:t>239</w:t>
      </w:r>
      <w:r w:rsidRPr="00DA3BC7">
        <w:rPr>
          <w:rFonts w:ascii="Times New Roman" w:hAnsi="Times New Roman" w:hint="eastAsia"/>
          <w:sz w:val="20"/>
        </w:rPr>
        <w:t>-</w:t>
      </w:r>
      <w:r w:rsidRPr="00DA3BC7">
        <w:rPr>
          <w:rFonts w:ascii="Times New Roman" w:eastAsia="SimSun" w:hAnsi="Times New Roman" w:hint="eastAsia"/>
          <w:sz w:val="20"/>
        </w:rPr>
        <w:t>2</w:t>
      </w:r>
      <w:r w:rsidRPr="00DA3BC7">
        <w:rPr>
          <w:rFonts w:ascii="Times New Roman" w:hAnsi="Times New Roman" w:hint="eastAsia"/>
          <w:sz w:val="20"/>
        </w:rPr>
        <w:t>5</w:t>
      </w:r>
      <w:r w:rsidRPr="00DA3BC7">
        <w:rPr>
          <w:rFonts w:ascii="Times New Roman" w:eastAsia="SimSun" w:hAnsi="Times New Roman" w:hint="eastAsia"/>
          <w:sz w:val="20"/>
        </w:rPr>
        <w:t>2</w:t>
      </w:r>
      <w:r w:rsidRPr="00DA3BC7">
        <w:rPr>
          <w:rFonts w:ascii="Times Ext Roman" w:hAnsi="Times Ext Roman" w:cs="Times Ext Roman" w:hint="eastAsia"/>
          <w:sz w:val="20"/>
        </w:rPr>
        <w:t>）</w:t>
      </w:r>
    </w:p>
    <w:p w:rsidR="00811E1B" w:rsidRPr="00DA3BC7" w:rsidRDefault="00811E1B" w:rsidP="00E6656D">
      <w:pPr>
        <w:ind w:rightChars="30" w:right="72"/>
        <w:jc w:val="both"/>
      </w:pPr>
      <w:r w:rsidRPr="00DA3BC7">
        <w:rPr>
          <w:rFonts w:hint="eastAsia"/>
        </w:rPr>
        <w:t>緣起的</w:t>
      </w:r>
      <w:r w:rsidRPr="00DA3BC7">
        <w:rPr>
          <w:rFonts w:hint="eastAsia"/>
          <w:b/>
        </w:rPr>
        <w:t>相有</w:t>
      </w:r>
      <w:r w:rsidRPr="00DA3BC7">
        <w:rPr>
          <w:rFonts w:hint="eastAsia"/>
        </w:rPr>
        <w:t>與</w:t>
      </w:r>
      <w:r w:rsidRPr="00DA3BC7">
        <w:rPr>
          <w:rFonts w:hint="eastAsia"/>
          <w:b/>
        </w:rPr>
        <w:t>性空</w:t>
      </w:r>
      <w:r w:rsidRPr="00DA3BC7">
        <w:rPr>
          <w:rFonts w:hint="eastAsia"/>
        </w:rPr>
        <w:t>，試為分別的解說。</w:t>
      </w:r>
    </w:p>
    <w:p w:rsidR="00AA120F" w:rsidRPr="00DA3BC7" w:rsidRDefault="00AA120F" w:rsidP="00842748">
      <w:pPr>
        <w:spacing w:beforeLines="30"/>
        <w:ind w:leftChars="50" w:left="120"/>
        <w:jc w:val="both"/>
        <w:rPr>
          <w:rFonts w:ascii="新細明體" w:hAnsi="新細明體"/>
          <w:b/>
          <w:sz w:val="20"/>
          <w:szCs w:val="20"/>
          <w:bdr w:val="single" w:sz="4" w:space="0" w:color="auto"/>
        </w:rPr>
      </w:pPr>
      <w:r w:rsidRPr="00DA3BC7">
        <w:rPr>
          <w:rFonts w:ascii="新細明體" w:hAnsi="新細明體" w:hint="eastAsia"/>
          <w:b/>
          <w:sz w:val="20"/>
          <w:szCs w:val="20"/>
          <w:bdr w:val="single" w:sz="4" w:space="0" w:color="auto"/>
        </w:rPr>
        <w:t>（壹）緣起相有</w:t>
      </w:r>
      <w:r w:rsidRPr="00DA3BC7">
        <w:rPr>
          <w:rFonts w:ascii="Times Ext Roman" w:hAnsi="Times Ext Roman" w:cs="Times Ext Roman" w:hint="eastAsia"/>
          <w:sz w:val="20"/>
        </w:rPr>
        <w:t>（</w:t>
      </w:r>
      <w:r w:rsidRPr="00DA3BC7">
        <w:rPr>
          <w:rFonts w:ascii="Times New Roman" w:hAnsi="Times New Roman" w:hint="eastAsia"/>
          <w:sz w:val="20"/>
        </w:rPr>
        <w:t>pp.</w:t>
      </w:r>
      <w:r w:rsidRPr="00DA3BC7">
        <w:rPr>
          <w:rFonts w:ascii="Times New Roman" w:eastAsia="SimSun" w:hAnsi="Times New Roman" w:hint="eastAsia"/>
          <w:sz w:val="20"/>
        </w:rPr>
        <w:t>239</w:t>
      </w:r>
      <w:r w:rsidRPr="00DA3BC7">
        <w:rPr>
          <w:rFonts w:ascii="Times New Roman" w:hAnsi="Times New Roman" w:hint="eastAsia"/>
          <w:sz w:val="20"/>
        </w:rPr>
        <w:t>-</w:t>
      </w:r>
      <w:r w:rsidRPr="00DA3BC7">
        <w:rPr>
          <w:rFonts w:ascii="Times New Roman" w:eastAsia="SimSun" w:hAnsi="Times New Roman" w:hint="eastAsia"/>
          <w:sz w:val="20"/>
        </w:rPr>
        <w:t>242</w:t>
      </w:r>
      <w:r w:rsidRPr="00DA3BC7">
        <w:rPr>
          <w:rFonts w:ascii="Times Ext Roman" w:hAnsi="Times Ext Roman" w:cs="Times Ext Roman" w:hint="eastAsia"/>
          <w:sz w:val="20"/>
        </w:rPr>
        <w:t>）</w:t>
      </w:r>
    </w:p>
    <w:p w:rsidR="00811E1B" w:rsidRDefault="00811E1B" w:rsidP="00E6656D">
      <w:pPr>
        <w:ind w:leftChars="50" w:left="120"/>
        <w:jc w:val="both"/>
      </w:pPr>
      <w:r w:rsidRPr="00DA3BC7">
        <w:rPr>
          <w:rFonts w:hint="eastAsia"/>
        </w:rPr>
        <w:t>先說</w:t>
      </w:r>
      <w:r w:rsidRPr="00DA3BC7">
        <w:rPr>
          <w:rFonts w:hint="eastAsia"/>
          <w:b/>
        </w:rPr>
        <w:t>緣起相</w:t>
      </w:r>
      <w:r w:rsidRPr="00DA3BC7">
        <w:rPr>
          <w:rFonts w:hint="eastAsia"/>
        </w:rPr>
        <w:t>。</w:t>
      </w:r>
    </w:p>
    <w:p w:rsidR="00AA120F" w:rsidRPr="00DA3BC7" w:rsidRDefault="00AA120F" w:rsidP="00E6656D">
      <w:pPr>
        <w:ind w:leftChars="100" w:left="240"/>
        <w:jc w:val="both"/>
        <w:rPr>
          <w:rFonts w:ascii="Times Ext Roman" w:eastAsia="SimSun" w:hAnsi="Times Ext Roman" w:cs="Times Ext Roman"/>
          <w:sz w:val="20"/>
        </w:rPr>
      </w:pPr>
      <w:r w:rsidRPr="00811E1B">
        <w:rPr>
          <w:rFonts w:ascii="新細明體" w:hAnsi="新細明體" w:hint="eastAsia"/>
          <w:b/>
          <w:color w:val="FF0000"/>
          <w:sz w:val="20"/>
          <w:szCs w:val="20"/>
          <w:highlight w:val="yellow"/>
          <w:bdr w:val="single" w:sz="4" w:space="0" w:color="auto"/>
        </w:rPr>
        <w:t>一、</w:t>
      </w:r>
      <w:r w:rsidR="00811E1B" w:rsidRPr="00811E1B">
        <w:rPr>
          <w:rFonts w:ascii="新細明體" w:hAnsi="新細明體" w:hint="eastAsia"/>
          <w:b/>
          <w:color w:val="FF0000"/>
          <w:sz w:val="20"/>
          <w:szCs w:val="20"/>
          <w:highlight w:val="yellow"/>
          <w:bdr w:val="single" w:sz="4" w:space="0" w:color="auto"/>
        </w:rPr>
        <w:t>約「十二支」辨「緣起相」</w:t>
      </w:r>
      <w:r w:rsidR="00811E1B" w:rsidRPr="00DA3BC7">
        <w:rPr>
          <w:rFonts w:ascii="Times Ext Roman" w:hAnsi="Times Ext Roman" w:cs="Times Ext Roman" w:hint="eastAsia"/>
          <w:sz w:val="20"/>
        </w:rPr>
        <w:t>（</w:t>
      </w:r>
      <w:r w:rsidR="00811E1B" w:rsidRPr="00DA3BC7">
        <w:rPr>
          <w:rFonts w:ascii="Times New Roman" w:hAnsi="Times New Roman" w:hint="eastAsia"/>
          <w:sz w:val="20"/>
        </w:rPr>
        <w:t>p.</w:t>
      </w:r>
      <w:r w:rsidR="00811E1B" w:rsidRPr="00DA3BC7">
        <w:rPr>
          <w:rFonts w:ascii="Times New Roman" w:eastAsia="SimSun" w:hAnsi="Times New Roman" w:hint="eastAsia"/>
          <w:sz w:val="20"/>
        </w:rPr>
        <w:t>239</w:t>
      </w:r>
      <w:r w:rsidR="00811E1B" w:rsidRPr="00DA3BC7">
        <w:rPr>
          <w:rFonts w:ascii="Times Ext Roman" w:hAnsi="Times Ext Roman" w:cs="Times Ext Roman" w:hint="eastAsia"/>
          <w:sz w:val="20"/>
        </w:rPr>
        <w:t>）</w:t>
      </w:r>
    </w:p>
    <w:p w:rsidR="00AA120F" w:rsidRPr="00DA3BC7" w:rsidRDefault="00AA120F" w:rsidP="00E6656D">
      <w:pPr>
        <w:ind w:leftChars="100" w:left="240"/>
        <w:jc w:val="both"/>
        <w:rPr>
          <w:rFonts w:eastAsia="SimSun"/>
        </w:rPr>
      </w:pPr>
      <w:r w:rsidRPr="00DA3BC7">
        <w:rPr>
          <w:rFonts w:hint="eastAsia"/>
        </w:rPr>
        <w:t>泛論緣起，即「</w:t>
      </w:r>
      <w:r w:rsidRPr="00DA3BC7">
        <w:rPr>
          <w:rFonts w:ascii="標楷體" w:eastAsia="標楷體" w:hAnsi="標楷體" w:hint="eastAsia"/>
        </w:rPr>
        <w:t>此有故彼有，此生故彼生</w:t>
      </w:r>
      <w:r w:rsidRPr="00DA3BC7">
        <w:rPr>
          <w:rFonts w:hint="eastAsia"/>
        </w:rPr>
        <w:t>」</w:t>
      </w:r>
      <w:r w:rsidRPr="00DA3BC7">
        <w:rPr>
          <w:rStyle w:val="a6"/>
          <w:rFonts w:ascii="Times New Roman" w:hAnsi="Times New Roman"/>
        </w:rPr>
        <w:footnoteReference w:id="1039"/>
      </w:r>
      <w:r w:rsidRPr="00DA3BC7">
        <w:rPr>
          <w:rFonts w:hint="eastAsia"/>
        </w:rPr>
        <w:t>的相依相待的因果性。在廣泛的緣起論中，佛法所主要的，即十二支緣起，依此說明「生死流轉的因果律」與「還滅的空寂律」。</w:t>
      </w:r>
    </w:p>
    <w:p w:rsidR="00AA120F" w:rsidRPr="00DA3BC7" w:rsidRDefault="00AA120F" w:rsidP="00AE3920">
      <w:pPr>
        <w:spacing w:beforeLines="30"/>
        <w:ind w:leftChars="100" w:left="240"/>
        <w:jc w:val="both"/>
        <w:rPr>
          <w:rFonts w:eastAsia="SimSun"/>
        </w:rPr>
      </w:pPr>
      <w:r w:rsidRPr="00811E1B">
        <w:rPr>
          <w:rFonts w:ascii="新細明體" w:hAnsi="新細明體" w:hint="eastAsia"/>
          <w:b/>
          <w:color w:val="FF0000"/>
          <w:sz w:val="20"/>
          <w:szCs w:val="20"/>
          <w:highlight w:val="yellow"/>
          <w:bdr w:val="single" w:sz="4" w:space="0" w:color="auto"/>
        </w:rPr>
        <w:lastRenderedPageBreak/>
        <w:t>二</w:t>
      </w:r>
      <w:r w:rsidR="00811E1B" w:rsidRPr="00811E1B">
        <w:rPr>
          <w:rFonts w:ascii="新細明體" w:hAnsi="新細明體" w:hint="eastAsia"/>
          <w:b/>
          <w:color w:val="FF0000"/>
          <w:sz w:val="20"/>
          <w:szCs w:val="20"/>
          <w:highlight w:val="yellow"/>
          <w:bdr w:val="single" w:sz="4" w:space="0" w:color="auto"/>
        </w:rPr>
        <w:t>、探生死因，破自性執</w:t>
      </w:r>
      <w:r w:rsidR="00811E1B">
        <w:rPr>
          <w:rFonts w:ascii="Times Ext Roman" w:hAnsi="Times Ext Roman" w:cs="Times Ext Roman" w:hint="eastAsia"/>
          <w:sz w:val="20"/>
        </w:rPr>
        <w:t>（</w:t>
      </w:r>
      <w:r w:rsidR="00811E1B">
        <w:rPr>
          <w:rFonts w:ascii="Times New Roman" w:hAnsi="Times New Roman"/>
          <w:sz w:val="20"/>
        </w:rPr>
        <w:t>pp.</w:t>
      </w:r>
      <w:r w:rsidR="00811E1B">
        <w:rPr>
          <w:rFonts w:ascii="Times New Roman" w:eastAsia="SimSun" w:hAnsi="Times New Roman"/>
          <w:sz w:val="20"/>
        </w:rPr>
        <w:t>239</w:t>
      </w:r>
      <w:r w:rsidR="00811E1B">
        <w:rPr>
          <w:rFonts w:ascii="Times New Roman" w:hAnsi="Times New Roman"/>
          <w:sz w:val="20"/>
        </w:rPr>
        <w:t>-</w:t>
      </w:r>
      <w:r w:rsidR="00811E1B">
        <w:rPr>
          <w:rFonts w:ascii="Times New Roman" w:eastAsia="SimSun" w:hAnsi="Times New Roman"/>
          <w:sz w:val="20"/>
        </w:rPr>
        <w:t>24</w:t>
      </w:r>
      <w:r w:rsidR="00811E1B" w:rsidRPr="00811E1B">
        <w:rPr>
          <w:rFonts w:ascii="Times New Roman" w:eastAsiaTheme="minorEastAsia" w:hAnsi="Times New Roman" w:hint="eastAsia"/>
          <w:sz w:val="20"/>
        </w:rPr>
        <w:t>2</w:t>
      </w:r>
      <w:r w:rsidR="00811E1B">
        <w:rPr>
          <w:rFonts w:ascii="Times Ext Roman" w:hAnsi="Times Ext Roman" w:cs="Times Ext Roman" w:hint="eastAsia"/>
          <w:sz w:val="20"/>
        </w:rPr>
        <w:t>）</w:t>
      </w:r>
    </w:p>
    <w:p w:rsidR="00811E1B" w:rsidRDefault="00811E1B" w:rsidP="00E6656D">
      <w:pPr>
        <w:ind w:leftChars="150" w:left="360"/>
        <w:jc w:val="both"/>
        <w:rPr>
          <w:rFonts w:ascii="Times Ext Roman" w:hAnsi="Times Ext Roman" w:cs="Times Ext Roman"/>
          <w:sz w:val="20"/>
        </w:rPr>
      </w:pPr>
      <w:r w:rsidRPr="00811E1B">
        <w:rPr>
          <w:rFonts w:ascii="新細明體" w:hAnsi="新細明體" w:hint="eastAsia"/>
          <w:b/>
          <w:color w:val="FF0000"/>
          <w:sz w:val="20"/>
          <w:szCs w:val="20"/>
          <w:highlight w:val="yellow"/>
          <w:bdr w:val="single" w:sz="4" w:space="0" w:color="auto"/>
        </w:rPr>
        <w:t>（一）</w:t>
      </w:r>
      <w:r w:rsidR="00842748">
        <w:rPr>
          <w:rFonts w:ascii="新細明體" w:hAnsi="新細明體" w:hint="eastAsia"/>
          <w:b/>
          <w:color w:val="FF0000"/>
          <w:sz w:val="20"/>
          <w:szCs w:val="20"/>
          <w:highlight w:val="yellow"/>
          <w:bdr w:val="single" w:sz="4" w:space="0" w:color="auto"/>
        </w:rPr>
        <w:t>以</w:t>
      </w:r>
      <w:r w:rsidRPr="00811E1B">
        <w:rPr>
          <w:rFonts w:ascii="新細明體" w:hAnsi="新細明體" w:hint="eastAsia"/>
          <w:b/>
          <w:color w:val="FF0000"/>
          <w:sz w:val="20"/>
          <w:szCs w:val="20"/>
          <w:highlight w:val="yellow"/>
          <w:bdr w:val="single" w:sz="4" w:space="0" w:color="auto"/>
        </w:rPr>
        <w:t>「無明」為情本而論</w:t>
      </w:r>
      <w:r w:rsidRPr="00DA3BC7">
        <w:rPr>
          <w:rFonts w:ascii="Times Ext Roman" w:hAnsi="Times Ext Roman" w:cs="Times Ext Roman" w:hint="eastAsia"/>
          <w:sz w:val="20"/>
        </w:rPr>
        <w:t>（</w:t>
      </w:r>
      <w:r w:rsidRPr="00DA3BC7">
        <w:rPr>
          <w:rFonts w:ascii="Times New Roman" w:hAnsi="Times New Roman" w:hint="eastAsia"/>
          <w:sz w:val="20"/>
        </w:rPr>
        <w:t>pp.</w:t>
      </w:r>
      <w:r w:rsidRPr="00DA3BC7">
        <w:rPr>
          <w:rFonts w:ascii="Times New Roman" w:eastAsia="SimSun" w:hAnsi="Times New Roman" w:hint="eastAsia"/>
          <w:sz w:val="20"/>
        </w:rPr>
        <w:t>239</w:t>
      </w:r>
      <w:r w:rsidRPr="00DA3BC7">
        <w:rPr>
          <w:rFonts w:ascii="Times New Roman" w:hAnsi="Times New Roman" w:hint="eastAsia"/>
          <w:sz w:val="20"/>
        </w:rPr>
        <w:t>-</w:t>
      </w:r>
      <w:r w:rsidRPr="00DA3BC7">
        <w:rPr>
          <w:rFonts w:ascii="Times New Roman" w:eastAsia="SimSun" w:hAnsi="Times New Roman" w:hint="eastAsia"/>
          <w:sz w:val="20"/>
        </w:rPr>
        <w:t>24</w:t>
      </w:r>
      <w:r w:rsidRPr="00811E1B">
        <w:rPr>
          <w:rFonts w:ascii="Times New Roman" w:eastAsiaTheme="minorEastAsia" w:hAnsi="Times New Roman" w:hint="eastAsia"/>
          <w:sz w:val="20"/>
        </w:rPr>
        <w:t>0</w:t>
      </w:r>
      <w:r w:rsidRPr="00DA3BC7">
        <w:rPr>
          <w:rFonts w:ascii="Times Ext Roman" w:hAnsi="Times Ext Roman" w:cs="Times Ext Roman" w:hint="eastAsia"/>
          <w:sz w:val="20"/>
        </w:rPr>
        <w:t>）</w:t>
      </w:r>
    </w:p>
    <w:p w:rsidR="00811E1B" w:rsidRPr="00811E1B" w:rsidRDefault="00811E1B" w:rsidP="00E6656D">
      <w:pPr>
        <w:ind w:leftChars="200" w:left="480"/>
        <w:jc w:val="both"/>
        <w:rPr>
          <w:rFonts w:ascii="Times New Roman" w:hAnsi="Times New Roman"/>
          <w:b/>
          <w:color w:val="FF0000"/>
          <w:sz w:val="20"/>
          <w:szCs w:val="20"/>
          <w:bdr w:val="single" w:sz="4" w:space="0" w:color="auto"/>
        </w:rPr>
      </w:pPr>
      <w:r w:rsidRPr="00811E1B">
        <w:rPr>
          <w:rFonts w:ascii="Times New Roman" w:hAnsi="Times New Roman" w:hint="eastAsia"/>
          <w:b/>
          <w:color w:val="FF0000"/>
          <w:sz w:val="20"/>
          <w:szCs w:val="20"/>
          <w:highlight w:val="yellow"/>
          <w:bdr w:val="single" w:sz="4" w:space="0" w:color="auto"/>
        </w:rPr>
        <w:t>1</w:t>
      </w:r>
      <w:r w:rsidRPr="00811E1B">
        <w:rPr>
          <w:rFonts w:ascii="Times New Roman" w:hAnsi="Times New Roman" w:hint="eastAsia"/>
          <w:b/>
          <w:color w:val="FF0000"/>
          <w:sz w:val="20"/>
          <w:szCs w:val="20"/>
          <w:highlight w:val="yellow"/>
          <w:bdr w:val="single" w:sz="4" w:space="0" w:color="auto"/>
        </w:rPr>
        <w:t>、「無明」乃生死根本</w:t>
      </w:r>
      <w:r w:rsidRPr="00DA3BC7">
        <w:rPr>
          <w:rFonts w:ascii="Times Ext Roman" w:hAnsi="Times Ext Roman" w:cs="Times Ext Roman" w:hint="eastAsia"/>
          <w:sz w:val="20"/>
        </w:rPr>
        <w:t>（</w:t>
      </w:r>
      <w:r w:rsidRPr="00DA3BC7">
        <w:rPr>
          <w:rFonts w:ascii="Times New Roman" w:hAnsi="Times New Roman" w:hint="eastAsia"/>
          <w:sz w:val="20"/>
        </w:rPr>
        <w:t>p.</w:t>
      </w:r>
      <w:r w:rsidRPr="00DA3BC7">
        <w:rPr>
          <w:rFonts w:ascii="Times New Roman" w:eastAsia="SimSun" w:hAnsi="Times New Roman" w:hint="eastAsia"/>
          <w:sz w:val="20"/>
        </w:rPr>
        <w:t>239</w:t>
      </w:r>
      <w:r w:rsidRPr="00DA3BC7">
        <w:rPr>
          <w:rFonts w:ascii="Times Ext Roman" w:hAnsi="Times Ext Roman" w:cs="Times Ext Roman" w:hint="eastAsia"/>
          <w:sz w:val="20"/>
        </w:rPr>
        <w:t>）</w:t>
      </w:r>
    </w:p>
    <w:p w:rsidR="00811E1B" w:rsidRDefault="00AA120F" w:rsidP="00E6656D">
      <w:pPr>
        <w:ind w:leftChars="200" w:left="480"/>
        <w:jc w:val="both"/>
      </w:pPr>
      <w:r w:rsidRPr="00DA3BC7">
        <w:rPr>
          <w:rFonts w:hint="eastAsia"/>
        </w:rPr>
        <w:t>生死的根本是無明，這是學佛者共同承認的。</w:t>
      </w:r>
    </w:p>
    <w:p w:rsidR="00811E1B" w:rsidRPr="00DA3BC7" w:rsidRDefault="00811E1B" w:rsidP="00AE3920">
      <w:pPr>
        <w:spacing w:beforeLines="30"/>
        <w:ind w:leftChars="200" w:left="480"/>
        <w:jc w:val="both"/>
        <w:rPr>
          <w:rFonts w:eastAsia="SimSun"/>
        </w:rPr>
      </w:pPr>
      <w:r w:rsidRPr="00811E1B">
        <w:rPr>
          <w:rFonts w:ascii="Times New Roman" w:hAnsi="Times New Roman" w:hint="eastAsia"/>
          <w:b/>
          <w:color w:val="FF0000"/>
          <w:sz w:val="20"/>
          <w:szCs w:val="20"/>
          <w:highlight w:val="yellow"/>
          <w:bdr w:val="single" w:sz="4" w:space="0" w:color="auto"/>
        </w:rPr>
        <w:t>2</w:t>
      </w:r>
      <w:r w:rsidRPr="00811E1B">
        <w:rPr>
          <w:rFonts w:ascii="新細明體" w:hAnsi="新細明體" w:hint="eastAsia"/>
          <w:b/>
          <w:color w:val="FF0000"/>
          <w:sz w:val="20"/>
          <w:szCs w:val="20"/>
          <w:highlight w:val="yellow"/>
          <w:bdr w:val="single" w:sz="4" w:space="0" w:color="auto"/>
        </w:rPr>
        <w:t>、</w:t>
      </w:r>
      <w:r>
        <w:rPr>
          <w:rFonts w:ascii="新細明體" w:hAnsi="新細明體" w:hint="eastAsia"/>
          <w:b/>
          <w:color w:val="FF0000"/>
          <w:sz w:val="20"/>
          <w:szCs w:val="20"/>
          <w:highlight w:val="yellow"/>
          <w:bdr w:val="single" w:sz="4" w:space="0" w:color="auto"/>
        </w:rPr>
        <w:t>「無明」的體相用</w:t>
      </w:r>
      <w:r>
        <w:rPr>
          <w:rFonts w:ascii="Times Ext Roman" w:hAnsi="Times Ext Roman" w:cs="Times Ext Roman" w:hint="eastAsia"/>
          <w:sz w:val="20"/>
        </w:rPr>
        <w:t>（</w:t>
      </w:r>
      <w:r>
        <w:rPr>
          <w:rFonts w:ascii="Times New Roman" w:hAnsi="Times New Roman"/>
          <w:sz w:val="20"/>
        </w:rPr>
        <w:t>pp.</w:t>
      </w:r>
      <w:r>
        <w:rPr>
          <w:rFonts w:ascii="Times New Roman" w:eastAsia="SimSun" w:hAnsi="Times New Roman"/>
          <w:sz w:val="20"/>
        </w:rPr>
        <w:t>239</w:t>
      </w:r>
      <w:r>
        <w:rPr>
          <w:rFonts w:ascii="Times New Roman" w:hAnsi="Times New Roman"/>
          <w:sz w:val="20"/>
        </w:rPr>
        <w:t>-</w:t>
      </w:r>
      <w:r>
        <w:rPr>
          <w:rFonts w:ascii="Times New Roman" w:eastAsia="SimSun" w:hAnsi="Times New Roman"/>
          <w:sz w:val="20"/>
        </w:rPr>
        <w:t>24</w:t>
      </w:r>
      <w:r w:rsidRPr="00811E1B">
        <w:rPr>
          <w:rFonts w:ascii="Times New Roman" w:eastAsiaTheme="minorEastAsia" w:hAnsi="Times New Roman" w:hint="eastAsia"/>
          <w:sz w:val="20"/>
        </w:rPr>
        <w:t>2</w:t>
      </w:r>
      <w:r>
        <w:rPr>
          <w:rFonts w:ascii="Times Ext Roman" w:hAnsi="Times Ext Roman" w:cs="Times Ext Roman" w:hint="eastAsia"/>
          <w:sz w:val="20"/>
        </w:rPr>
        <w:t>）</w:t>
      </w:r>
    </w:p>
    <w:p w:rsidR="00AA120F" w:rsidRPr="00DA3BC7" w:rsidRDefault="00AA120F" w:rsidP="00E6656D">
      <w:pPr>
        <w:ind w:leftChars="200" w:left="480"/>
        <w:jc w:val="both"/>
        <w:rPr>
          <w:rFonts w:eastAsia="SimSun"/>
        </w:rPr>
      </w:pPr>
      <w:r w:rsidRPr="00DA3BC7">
        <w:rPr>
          <w:rFonts w:hint="eastAsia"/>
          <w:b/>
        </w:rPr>
        <w:t>無明，即於緣起的道理──因果、性相等，不能如實了達而起錯誤的認識。</w:t>
      </w:r>
      <w:r w:rsidRPr="00DA3BC7">
        <w:rPr>
          <w:rFonts w:hint="eastAsia"/>
        </w:rPr>
        <w:t>此即十二支中初支的無明，以無明為根本而有生死流轉的十二有支。</w:t>
      </w:r>
    </w:p>
    <w:p w:rsidR="00AA120F" w:rsidRPr="00DA3BC7" w:rsidRDefault="00AA120F" w:rsidP="00AE3920">
      <w:pPr>
        <w:spacing w:beforeLines="20"/>
        <w:ind w:leftChars="200" w:left="480"/>
        <w:jc w:val="both"/>
      </w:pPr>
      <w:r w:rsidRPr="00DA3BC7">
        <w:rPr>
          <w:rFonts w:hint="eastAsia"/>
        </w:rPr>
        <w:t>障於實事真理的無明，即生死根本，煩惱的元首，為三乘所共斷的煩惱，不是習氣、所知障</w:t>
      </w:r>
      <w:r w:rsidRPr="00DA3BC7">
        <w:rPr>
          <w:rStyle w:val="a6"/>
          <w:rFonts w:ascii="Times New Roman" w:hAnsi="Times New Roman"/>
        </w:rPr>
        <w:footnoteReference w:id="1040"/>
      </w:r>
      <w:r w:rsidRPr="00DA3BC7">
        <w:rPr>
          <w:rFonts w:ascii="Times New Roman" w:hAnsi="Times New Roman"/>
        </w:rPr>
        <w:t>。</w:t>
      </w:r>
    </w:p>
    <w:p w:rsidR="00811E1B" w:rsidRDefault="00AA120F" w:rsidP="00473148">
      <w:pPr>
        <w:ind w:leftChars="200" w:left="480"/>
        <w:jc w:val="both"/>
      </w:pPr>
      <w:r w:rsidRPr="00DA3BC7">
        <w:rPr>
          <w:rFonts w:hint="eastAsia"/>
        </w:rPr>
        <w:lastRenderedPageBreak/>
        <w:t>依中觀者說，這即是十二支中的無明。</w:t>
      </w:r>
    </w:p>
    <w:p w:rsidR="00811E1B" w:rsidRDefault="00AA120F" w:rsidP="00473148">
      <w:pPr>
        <w:ind w:leftChars="200" w:left="480"/>
        <w:jc w:val="both"/>
      </w:pPr>
      <w:r w:rsidRPr="00DA3BC7">
        <w:rPr>
          <w:rFonts w:hint="eastAsia"/>
        </w:rPr>
        <w:t>如《七十空性論》說：「</w:t>
      </w:r>
      <w:r w:rsidRPr="00DA3BC7">
        <w:rPr>
          <w:rFonts w:ascii="標楷體" w:eastAsia="標楷體" w:hAnsi="標楷體" w:hint="eastAsia"/>
        </w:rPr>
        <w:t>因緣所生法，若分別真實，佛說為無明，彼生十二支。見真知法空，無明則不生，此是無明滅，故滅十二支</w:t>
      </w:r>
      <w:r w:rsidRPr="00DA3BC7">
        <w:rPr>
          <w:rFonts w:hint="eastAsia"/>
        </w:rPr>
        <w:t>。」</w:t>
      </w:r>
      <w:r w:rsidRPr="00DA3BC7">
        <w:rPr>
          <w:rStyle w:val="a6"/>
          <w:rFonts w:ascii="Times New Roman" w:hAnsi="Times New Roman"/>
        </w:rPr>
        <w:footnoteReference w:id="1041"/>
      </w:r>
    </w:p>
    <w:p w:rsidR="00811E1B" w:rsidRDefault="00AA120F" w:rsidP="00473148">
      <w:pPr>
        <w:ind w:leftChars="200" w:left="1200" w:hangingChars="300" w:hanging="720"/>
        <w:jc w:val="both"/>
      </w:pPr>
      <w:r w:rsidRPr="00DA3BC7">
        <w:rPr>
          <w:rFonts w:hint="eastAsia"/>
        </w:rPr>
        <w:t>此說：</w:t>
      </w:r>
      <w:r w:rsidRPr="00DA3BC7">
        <w:rPr>
          <w:rFonts w:hint="eastAsia"/>
          <w:b/>
        </w:rPr>
        <w:t>執因緣法為實有性，即是無明</w:t>
      </w:r>
      <w:r w:rsidRPr="00DA3BC7">
        <w:rPr>
          <w:rFonts w:hint="eastAsia"/>
        </w:rPr>
        <w:t>；由自性的執著──無明為首，引生一切煩惱，由煩惱而造業，故有生死流轉。</w:t>
      </w:r>
    </w:p>
    <w:p w:rsidR="00811E1B" w:rsidRDefault="00AA120F" w:rsidP="00473148">
      <w:pPr>
        <w:ind w:leftChars="500" w:left="1200"/>
        <w:jc w:val="both"/>
      </w:pPr>
      <w:r w:rsidRPr="00DA3BC7">
        <w:rPr>
          <w:rFonts w:hint="eastAsia"/>
        </w:rPr>
        <w:t>反轉來說，不執諸法有自性，悟解我法性空，即無明不生；無明不生，即一切煩惱不起。如是，「</w:t>
      </w:r>
      <w:r w:rsidRPr="00DA3BC7">
        <w:rPr>
          <w:rFonts w:ascii="標楷體" w:eastAsia="標楷體" w:hAnsi="標楷體" w:hint="eastAsia"/>
        </w:rPr>
        <w:t>無明滅則行滅，行滅則識滅，乃至生老死滅</w:t>
      </w:r>
      <w:r w:rsidRPr="00DA3BC7">
        <w:rPr>
          <w:rFonts w:hint="eastAsia"/>
        </w:rPr>
        <w:t>」。</w:t>
      </w:r>
    </w:p>
    <w:p w:rsidR="00AA120F" w:rsidRPr="00DA3BC7" w:rsidRDefault="00AA120F" w:rsidP="00473148">
      <w:pPr>
        <w:ind w:leftChars="500" w:left="1200"/>
        <w:jc w:val="both"/>
        <w:rPr>
          <w:rFonts w:eastAsia="SimSun"/>
        </w:rPr>
      </w:pPr>
      <w:r w:rsidRPr="00811E1B">
        <w:rPr>
          <w:rFonts w:hint="eastAsia"/>
          <w:highlight w:val="yellow"/>
        </w:rPr>
        <w:t>眾</w:t>
      </w:r>
      <w:r w:rsidRPr="00DA3BC7">
        <w:rPr>
          <w:rFonts w:hint="eastAsia"/>
        </w:rPr>
        <w:t>生生死由於無明，破除無明即解脫生死。</w:t>
      </w:r>
    </w:p>
    <w:p w:rsidR="00AA120F" w:rsidRPr="00DA3BC7" w:rsidRDefault="00AA120F" w:rsidP="00AE3920">
      <w:pPr>
        <w:spacing w:beforeLines="20"/>
        <w:ind w:leftChars="200" w:left="480"/>
        <w:jc w:val="both"/>
        <w:rPr>
          <w:rFonts w:eastAsia="SimSun"/>
        </w:rPr>
      </w:pPr>
      <w:r w:rsidRPr="00DA3BC7">
        <w:rPr>
          <w:rFonts w:hint="eastAsia"/>
        </w:rPr>
        <w:t>《中論》的〈</w:t>
      </w:r>
      <w:r w:rsidR="0021710F" w:rsidRPr="0021710F">
        <w:rPr>
          <w:rFonts w:hint="eastAsia"/>
          <w:color w:val="FF0000"/>
          <w:highlight w:val="yellow"/>
        </w:rPr>
        <w:t>觀</w:t>
      </w:r>
      <w:r w:rsidRPr="00DA3BC7">
        <w:rPr>
          <w:rFonts w:hint="eastAsia"/>
        </w:rPr>
        <w:t>十二因緣品〉，也如此說。</w:t>
      </w:r>
      <w:r w:rsidR="0021710F" w:rsidRPr="00DA3BC7">
        <w:rPr>
          <w:rStyle w:val="a6"/>
          <w:rFonts w:ascii="Times New Roman" w:hAnsi="Times New Roman"/>
          <w:bCs/>
        </w:rPr>
        <w:footnoteReference w:id="1042"/>
      </w:r>
    </w:p>
    <w:p w:rsidR="00AA120F" w:rsidRPr="00811E1B" w:rsidRDefault="00AA120F" w:rsidP="00AE3920">
      <w:pPr>
        <w:spacing w:beforeLines="20"/>
        <w:ind w:leftChars="200" w:left="480"/>
        <w:jc w:val="both"/>
        <w:rPr>
          <w:rFonts w:eastAsia="SimSun"/>
          <w:b/>
          <w:color w:val="FF0000"/>
          <w:highlight w:val="yellow"/>
        </w:rPr>
      </w:pPr>
      <w:r w:rsidRPr="00DA3BC7">
        <w:rPr>
          <w:rFonts w:hint="eastAsia"/>
        </w:rPr>
        <w:lastRenderedPageBreak/>
        <w:t>所以</w:t>
      </w:r>
      <w:r w:rsidRPr="00DA3BC7">
        <w:rPr>
          <w:rFonts w:hint="eastAsia"/>
          <w:b/>
        </w:rPr>
        <w:t>十二緣起支中的無明，屬煩惱攝，即執我執法的無明</w:t>
      </w:r>
      <w:r w:rsidRPr="00DA3BC7">
        <w:rPr>
          <w:rFonts w:hint="eastAsia"/>
        </w:rPr>
        <w:t>，不是習氣，也不是所知障，</w:t>
      </w:r>
      <w:r w:rsidRPr="00DA3BC7">
        <w:rPr>
          <w:rFonts w:hint="eastAsia"/>
          <w:b/>
        </w:rPr>
        <w:t>佛與聲聞都得破除它，方得解脫</w:t>
      </w:r>
      <w:r w:rsidRPr="00DA3BC7">
        <w:rPr>
          <w:rFonts w:hint="eastAsia"/>
        </w:rPr>
        <w:t>。</w:t>
      </w:r>
    </w:p>
    <w:p w:rsidR="00AA120F" w:rsidRPr="00DA3BC7" w:rsidRDefault="00811E1B" w:rsidP="00AE3920">
      <w:pPr>
        <w:spacing w:beforeLines="30"/>
        <w:ind w:leftChars="150" w:left="360"/>
        <w:jc w:val="both"/>
        <w:rPr>
          <w:rFonts w:eastAsia="SimSun"/>
        </w:rPr>
      </w:pPr>
      <w:r w:rsidRPr="00811E1B">
        <w:rPr>
          <w:rFonts w:ascii="新細明體" w:hAnsi="新細明體" w:hint="eastAsia"/>
          <w:b/>
          <w:color w:val="FF0000"/>
          <w:sz w:val="20"/>
          <w:szCs w:val="20"/>
          <w:highlight w:val="yellow"/>
          <w:bdr w:val="single" w:sz="4" w:space="0" w:color="auto"/>
        </w:rPr>
        <w:t>（</w:t>
      </w:r>
      <w:r w:rsidR="00AA120F" w:rsidRPr="00811E1B">
        <w:rPr>
          <w:rFonts w:ascii="新細明體" w:hAnsi="新細明體" w:hint="eastAsia"/>
          <w:b/>
          <w:color w:val="FF0000"/>
          <w:sz w:val="20"/>
          <w:szCs w:val="20"/>
          <w:highlight w:val="yellow"/>
          <w:bdr w:val="single" w:sz="4" w:space="0" w:color="auto"/>
        </w:rPr>
        <w:t>二</w:t>
      </w:r>
      <w:r w:rsidRPr="00811E1B">
        <w:rPr>
          <w:rFonts w:ascii="新細明體" w:hAnsi="新細明體" w:hint="eastAsia"/>
          <w:b/>
          <w:color w:val="FF0000"/>
          <w:sz w:val="20"/>
          <w:szCs w:val="20"/>
          <w:highlight w:val="yellow"/>
          <w:bdr w:val="single" w:sz="4" w:space="0" w:color="auto"/>
        </w:rPr>
        <w:t>）以「</w:t>
      </w:r>
      <w:r w:rsidR="00AA120F" w:rsidRPr="00811E1B">
        <w:rPr>
          <w:rFonts w:ascii="新細明體" w:hAnsi="新細明體" w:hint="eastAsia"/>
          <w:b/>
          <w:color w:val="FF0000"/>
          <w:sz w:val="20"/>
          <w:szCs w:val="20"/>
          <w:highlight w:val="yellow"/>
          <w:bdr w:val="single" w:sz="4" w:space="0" w:color="auto"/>
        </w:rPr>
        <w:t>薩迦耶見</w:t>
      </w:r>
      <w:r w:rsidRPr="00811E1B">
        <w:rPr>
          <w:rFonts w:ascii="新細明體" w:hAnsi="新細明體" w:hint="eastAsia"/>
          <w:b/>
          <w:color w:val="FF0000"/>
          <w:sz w:val="20"/>
          <w:szCs w:val="20"/>
          <w:highlight w:val="yellow"/>
          <w:bdr w:val="single" w:sz="4" w:space="0" w:color="auto"/>
        </w:rPr>
        <w:t>」為情</w:t>
      </w:r>
      <w:r w:rsidR="00AA120F" w:rsidRPr="00811E1B">
        <w:rPr>
          <w:rFonts w:ascii="新細明體" w:hAnsi="新細明體" w:hint="eastAsia"/>
          <w:b/>
          <w:color w:val="FF0000"/>
          <w:sz w:val="20"/>
          <w:szCs w:val="20"/>
          <w:highlight w:val="yellow"/>
          <w:bdr w:val="single" w:sz="4" w:space="0" w:color="auto"/>
        </w:rPr>
        <w:t>本</w:t>
      </w:r>
      <w:r w:rsidRPr="00811E1B">
        <w:rPr>
          <w:rFonts w:ascii="新細明體" w:hAnsi="新細明體" w:hint="eastAsia"/>
          <w:b/>
          <w:color w:val="FF0000"/>
          <w:sz w:val="20"/>
          <w:szCs w:val="20"/>
          <w:highlight w:val="yellow"/>
          <w:bdr w:val="single" w:sz="4" w:space="0" w:color="auto"/>
        </w:rPr>
        <w:t>而論</w:t>
      </w:r>
      <w:r w:rsidR="00AA120F" w:rsidRPr="00DA3BC7">
        <w:rPr>
          <w:rFonts w:ascii="Times Ext Roman" w:hAnsi="Times Ext Roman" w:cs="Times Ext Roman" w:hint="eastAsia"/>
          <w:sz w:val="20"/>
        </w:rPr>
        <w:t>（</w:t>
      </w:r>
      <w:r w:rsidR="00AA120F" w:rsidRPr="00DA3BC7">
        <w:rPr>
          <w:rFonts w:ascii="Times New Roman" w:hAnsi="Times New Roman" w:hint="eastAsia"/>
          <w:sz w:val="20"/>
        </w:rPr>
        <w:t>p.</w:t>
      </w:r>
      <w:r w:rsidR="00AA120F" w:rsidRPr="00DA3BC7">
        <w:rPr>
          <w:rFonts w:ascii="Times New Roman" w:eastAsia="SimSun" w:hAnsi="Times New Roman" w:hint="eastAsia"/>
          <w:sz w:val="20"/>
        </w:rPr>
        <w:t>240</w:t>
      </w:r>
      <w:r w:rsidR="00AA120F" w:rsidRPr="00DA3BC7">
        <w:rPr>
          <w:rFonts w:ascii="Times Ext Roman" w:hAnsi="Times Ext Roman" w:cs="Times Ext Roman" w:hint="eastAsia"/>
          <w:sz w:val="20"/>
        </w:rPr>
        <w:t>）</w:t>
      </w:r>
    </w:p>
    <w:p w:rsidR="00811E1B" w:rsidRPr="00811E1B" w:rsidRDefault="00811E1B" w:rsidP="00473148">
      <w:pPr>
        <w:ind w:leftChars="200" w:left="480"/>
        <w:jc w:val="both"/>
        <w:rPr>
          <w:rFonts w:ascii="Times New Roman" w:hAnsi="Times New Roman"/>
          <w:bdr w:val="single" w:sz="4" w:space="0" w:color="auto"/>
        </w:rPr>
      </w:pPr>
      <w:r w:rsidRPr="00811E1B">
        <w:rPr>
          <w:rFonts w:ascii="Times New Roman" w:hAnsi="Times New Roman" w:hint="eastAsia"/>
          <w:b/>
          <w:color w:val="FF0000"/>
          <w:sz w:val="20"/>
          <w:szCs w:val="20"/>
          <w:highlight w:val="yellow"/>
          <w:bdr w:val="single" w:sz="4" w:space="0" w:color="auto"/>
        </w:rPr>
        <w:t>1</w:t>
      </w:r>
      <w:r w:rsidRPr="00811E1B">
        <w:rPr>
          <w:rFonts w:ascii="Times New Roman" w:hAnsi="Times New Roman" w:hint="eastAsia"/>
          <w:b/>
          <w:color w:val="FF0000"/>
          <w:sz w:val="20"/>
          <w:szCs w:val="20"/>
          <w:highlight w:val="yellow"/>
          <w:bdr w:val="single" w:sz="4" w:space="0" w:color="auto"/>
        </w:rPr>
        <w:t>、正述</w:t>
      </w:r>
      <w:r w:rsidRPr="00DA3BC7">
        <w:rPr>
          <w:rFonts w:ascii="Times Ext Roman" w:hAnsi="Times Ext Roman" w:cs="Times Ext Roman" w:hint="eastAsia"/>
          <w:sz w:val="20"/>
        </w:rPr>
        <w:t>（</w:t>
      </w:r>
      <w:r w:rsidRPr="00DA3BC7">
        <w:rPr>
          <w:rFonts w:ascii="Times New Roman" w:hAnsi="Times New Roman" w:hint="eastAsia"/>
          <w:sz w:val="20"/>
        </w:rPr>
        <w:t>p.</w:t>
      </w:r>
      <w:r w:rsidRPr="00DA3BC7">
        <w:rPr>
          <w:rFonts w:ascii="Times New Roman" w:eastAsia="SimSun" w:hAnsi="Times New Roman" w:hint="eastAsia"/>
          <w:sz w:val="20"/>
        </w:rPr>
        <w:t>240</w:t>
      </w:r>
      <w:r w:rsidRPr="00DA3BC7">
        <w:rPr>
          <w:rFonts w:ascii="Times Ext Roman" w:hAnsi="Times Ext Roman" w:cs="Times Ext Roman" w:hint="eastAsia"/>
          <w:sz w:val="20"/>
        </w:rPr>
        <w:t>）</w:t>
      </w:r>
    </w:p>
    <w:p w:rsidR="00811E1B" w:rsidRDefault="00AA120F" w:rsidP="00473148">
      <w:pPr>
        <w:ind w:leftChars="200" w:left="480"/>
        <w:jc w:val="both"/>
      </w:pPr>
      <w:r w:rsidRPr="00DA3BC7">
        <w:rPr>
          <w:rFonts w:hint="eastAsia"/>
        </w:rPr>
        <w:t>有些經中，說</w:t>
      </w:r>
      <w:r w:rsidRPr="00DA3BC7">
        <w:rPr>
          <w:rFonts w:hint="eastAsia"/>
          <w:b/>
        </w:rPr>
        <w:t>薩迦耶見</w:t>
      </w:r>
      <w:r w:rsidRPr="00DA3BC7">
        <w:rPr>
          <w:rFonts w:hint="eastAsia"/>
        </w:rPr>
        <w:t>是生死根本。</w:t>
      </w:r>
      <w:r w:rsidRPr="00DA3BC7">
        <w:rPr>
          <w:rStyle w:val="a6"/>
          <w:rFonts w:ascii="Times New Roman" w:hAnsi="Times New Roman"/>
        </w:rPr>
        <w:footnoteReference w:id="1043"/>
      </w:r>
    </w:p>
    <w:p w:rsidR="00811E1B" w:rsidRPr="00811E1B" w:rsidRDefault="00811E1B" w:rsidP="00AE3920">
      <w:pPr>
        <w:spacing w:beforeLines="30"/>
        <w:ind w:leftChars="200" w:left="480"/>
        <w:jc w:val="both"/>
        <w:rPr>
          <w:rFonts w:ascii="Times New Roman" w:hAnsi="Times New Roman"/>
          <w:bdr w:val="single" w:sz="4" w:space="0" w:color="auto"/>
        </w:rPr>
      </w:pPr>
      <w:r>
        <w:rPr>
          <w:rFonts w:ascii="Times New Roman" w:hAnsi="Times New Roman" w:hint="eastAsia"/>
          <w:b/>
          <w:color w:val="FF0000"/>
          <w:sz w:val="20"/>
          <w:szCs w:val="20"/>
          <w:highlight w:val="yellow"/>
          <w:bdr w:val="single" w:sz="4" w:space="0" w:color="auto"/>
        </w:rPr>
        <w:t>2</w:t>
      </w:r>
      <w:r w:rsidRPr="00811E1B">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釋由</w:t>
      </w:r>
      <w:r w:rsidRPr="00DA3BC7">
        <w:rPr>
          <w:rFonts w:ascii="Times Ext Roman" w:hAnsi="Times Ext Roman" w:cs="Times Ext Roman" w:hint="eastAsia"/>
          <w:sz w:val="20"/>
        </w:rPr>
        <w:t>（</w:t>
      </w:r>
      <w:r w:rsidRPr="00DA3BC7">
        <w:rPr>
          <w:rFonts w:ascii="Times New Roman" w:hAnsi="Times New Roman" w:hint="eastAsia"/>
          <w:sz w:val="20"/>
        </w:rPr>
        <w:t>p.</w:t>
      </w:r>
      <w:r w:rsidRPr="00DA3BC7">
        <w:rPr>
          <w:rFonts w:ascii="Times New Roman" w:eastAsia="SimSun" w:hAnsi="Times New Roman" w:hint="eastAsia"/>
          <w:sz w:val="20"/>
        </w:rPr>
        <w:t>240</w:t>
      </w:r>
      <w:r w:rsidRPr="00DA3BC7">
        <w:rPr>
          <w:rFonts w:ascii="Times Ext Roman" w:hAnsi="Times Ext Roman" w:cs="Times Ext Roman" w:hint="eastAsia"/>
          <w:sz w:val="20"/>
        </w:rPr>
        <w:t>）</w:t>
      </w:r>
    </w:p>
    <w:p w:rsidR="00811E1B" w:rsidRDefault="00AA120F" w:rsidP="00473148">
      <w:pPr>
        <w:ind w:leftChars="200" w:left="480"/>
        <w:jc w:val="both"/>
      </w:pPr>
      <w:r w:rsidRPr="00DA3BC7">
        <w:rPr>
          <w:rFonts w:hint="eastAsia"/>
        </w:rPr>
        <w:t>既說</w:t>
      </w:r>
      <w:r w:rsidRPr="00DA3BC7">
        <w:rPr>
          <w:rFonts w:hint="eastAsia"/>
          <w:b/>
        </w:rPr>
        <w:t>無明</w:t>
      </w:r>
      <w:r w:rsidRPr="00DA3BC7">
        <w:rPr>
          <w:rFonts w:hint="eastAsia"/>
        </w:rPr>
        <w:t>是生死根本，何以更說</w:t>
      </w:r>
      <w:r w:rsidRPr="00DA3BC7">
        <w:rPr>
          <w:rFonts w:hint="eastAsia"/>
          <w:b/>
        </w:rPr>
        <w:t>薩迦耶見</w:t>
      </w:r>
      <w:r w:rsidRPr="00DA3BC7">
        <w:rPr>
          <w:rFonts w:hint="eastAsia"/>
        </w:rPr>
        <w:t>是根本？</w:t>
      </w:r>
    </w:p>
    <w:p w:rsidR="00AA120F" w:rsidRPr="00DA3BC7" w:rsidRDefault="00AA120F" w:rsidP="00473148">
      <w:pPr>
        <w:ind w:leftChars="200" w:left="480"/>
        <w:jc w:val="both"/>
      </w:pPr>
      <w:r w:rsidRPr="00811E1B">
        <w:rPr>
          <w:rFonts w:hint="eastAsia"/>
          <w:highlight w:val="yellow"/>
        </w:rPr>
        <w:t>生</w:t>
      </w:r>
      <w:r w:rsidRPr="00DA3BC7">
        <w:rPr>
          <w:rFonts w:hint="eastAsia"/>
        </w:rPr>
        <w:t>死的根本，哪裡會有差別？</w:t>
      </w:r>
    </w:p>
    <w:p w:rsidR="00AA120F" w:rsidRPr="00DA3BC7" w:rsidRDefault="00AA120F" w:rsidP="00473148">
      <w:pPr>
        <w:ind w:leftChars="200" w:left="480"/>
        <w:jc w:val="both"/>
      </w:pPr>
      <w:r w:rsidRPr="00DA3BC7">
        <w:rPr>
          <w:rFonts w:hint="eastAsia"/>
        </w:rPr>
        <w:t>要知道，無明不是一般的無知，是專指執著實有我、法自性的無知。</w:t>
      </w:r>
    </w:p>
    <w:p w:rsidR="00AA120F" w:rsidRPr="00DA3BC7" w:rsidRDefault="00AA120F" w:rsidP="00AE3920">
      <w:pPr>
        <w:spacing w:beforeLines="20"/>
        <w:ind w:leftChars="200" w:left="480"/>
        <w:jc w:val="both"/>
      </w:pPr>
      <w:r w:rsidRPr="00DA3BC7">
        <w:rPr>
          <w:rFonts w:hint="eastAsia"/>
        </w:rPr>
        <w:t>分別來說，</w:t>
      </w:r>
      <w:r w:rsidRPr="00DA3BC7">
        <w:rPr>
          <w:rFonts w:hint="eastAsia"/>
          <w:b/>
        </w:rPr>
        <w:t>執法有實自性</w:t>
      </w:r>
      <w:r w:rsidRPr="00DA3BC7">
        <w:rPr>
          <w:rFonts w:hint="eastAsia"/>
        </w:rPr>
        <w:t>的，是</w:t>
      </w:r>
      <w:r w:rsidRPr="00DA3BC7">
        <w:rPr>
          <w:rFonts w:hint="eastAsia"/>
          <w:b/>
        </w:rPr>
        <w:t>法我見</w:t>
      </w:r>
      <w:r w:rsidRPr="00DA3BC7">
        <w:rPr>
          <w:rFonts w:hint="eastAsia"/>
        </w:rPr>
        <w:t>；</w:t>
      </w:r>
    </w:p>
    <w:p w:rsidR="00AA120F" w:rsidRPr="00DA3BC7" w:rsidRDefault="00AA120F" w:rsidP="0021710F">
      <w:pPr>
        <w:ind w:leftChars="700" w:left="1680"/>
        <w:jc w:val="both"/>
      </w:pPr>
      <w:r w:rsidRPr="00564C83">
        <w:rPr>
          <w:rFonts w:hint="eastAsia"/>
          <w:b/>
          <w:highlight w:val="yellow"/>
        </w:rPr>
        <w:t>執</w:t>
      </w:r>
      <w:r w:rsidRPr="00DA3BC7">
        <w:rPr>
          <w:rFonts w:hint="eastAsia"/>
          <w:b/>
        </w:rPr>
        <w:t>我有實自性</w:t>
      </w:r>
      <w:r w:rsidRPr="00DA3BC7">
        <w:rPr>
          <w:rFonts w:hint="eastAsia"/>
        </w:rPr>
        <w:t>的，是</w:t>
      </w:r>
      <w:r w:rsidRPr="00DA3BC7">
        <w:rPr>
          <w:rFonts w:hint="eastAsia"/>
          <w:b/>
        </w:rPr>
        <w:t>人我見</w:t>
      </w:r>
      <w:r w:rsidRPr="00DA3BC7">
        <w:rPr>
          <w:rFonts w:hint="eastAsia"/>
        </w:rPr>
        <w:t>，也即是</w:t>
      </w:r>
      <w:r w:rsidRPr="00DA3BC7">
        <w:rPr>
          <w:rFonts w:hint="eastAsia"/>
          <w:b/>
        </w:rPr>
        <w:t>薩迦耶見</w:t>
      </w:r>
      <w:r w:rsidRPr="00DA3BC7">
        <w:rPr>
          <w:rFonts w:hint="eastAsia"/>
        </w:rPr>
        <w:t>。</w:t>
      </w:r>
    </w:p>
    <w:p w:rsidR="00AA120F" w:rsidRPr="00DA3BC7" w:rsidRDefault="00AA120F" w:rsidP="00AE3920">
      <w:pPr>
        <w:spacing w:beforeLines="20"/>
        <w:ind w:leftChars="200" w:left="480"/>
        <w:jc w:val="both"/>
      </w:pPr>
      <w:r w:rsidRPr="00DA3BC7">
        <w:rPr>
          <w:rFonts w:hint="eastAsia"/>
          <w:b/>
        </w:rPr>
        <w:t>無明是通於我、法上的蒙昧</w:t>
      </w:r>
      <w:r w:rsidRPr="00DA3BC7">
        <w:rPr>
          <w:rFonts w:hint="eastAsia"/>
        </w:rPr>
        <w:t>，不悟空義而執實自性；</w:t>
      </w:r>
    </w:p>
    <w:p w:rsidR="00AA120F" w:rsidRPr="00DA3BC7" w:rsidRDefault="00AA120F" w:rsidP="00473148">
      <w:pPr>
        <w:ind w:leftChars="200" w:left="480"/>
        <w:jc w:val="both"/>
      </w:pPr>
      <w:r w:rsidRPr="00DA3BC7">
        <w:rPr>
          <w:rFonts w:hint="eastAsia"/>
          <w:b/>
        </w:rPr>
        <w:t>薩迦耶見</w:t>
      </w:r>
      <w:r w:rsidRPr="00DA3BC7">
        <w:rPr>
          <w:rFonts w:hint="eastAsia"/>
        </w:rPr>
        <w:t>僅於生死流轉的主體──</w:t>
      </w:r>
      <w:r w:rsidRPr="00DA3BC7">
        <w:rPr>
          <w:rFonts w:hint="eastAsia"/>
          <w:b/>
        </w:rPr>
        <w:t>人我執</w:t>
      </w:r>
      <w:r w:rsidRPr="00DA3BC7">
        <w:rPr>
          <w:rFonts w:hint="eastAsia"/>
        </w:rPr>
        <w:t>上說。</w:t>
      </w:r>
    </w:p>
    <w:p w:rsidR="00811E1B" w:rsidRPr="00811E1B" w:rsidRDefault="00811E1B" w:rsidP="00AE3920">
      <w:pPr>
        <w:spacing w:beforeLines="30"/>
        <w:ind w:leftChars="200" w:left="480"/>
        <w:jc w:val="both"/>
        <w:rPr>
          <w:rFonts w:ascii="Times New Roman" w:hAnsi="Times New Roman"/>
          <w:bdr w:val="single" w:sz="4" w:space="0" w:color="auto"/>
        </w:rPr>
      </w:pPr>
      <w:r>
        <w:rPr>
          <w:rFonts w:ascii="Times New Roman" w:hAnsi="Times New Roman" w:hint="eastAsia"/>
          <w:b/>
          <w:color w:val="FF0000"/>
          <w:sz w:val="20"/>
          <w:szCs w:val="20"/>
          <w:highlight w:val="yellow"/>
          <w:bdr w:val="single" w:sz="4" w:space="0" w:color="auto"/>
        </w:rPr>
        <w:t>3</w:t>
      </w:r>
      <w:r w:rsidRPr="00811E1B">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結義</w:t>
      </w:r>
      <w:r w:rsidRPr="00DA3BC7">
        <w:rPr>
          <w:rFonts w:ascii="Times Ext Roman" w:hAnsi="Times Ext Roman" w:cs="Times Ext Roman" w:hint="eastAsia"/>
          <w:sz w:val="20"/>
        </w:rPr>
        <w:t>（</w:t>
      </w:r>
      <w:r w:rsidRPr="00DA3BC7">
        <w:rPr>
          <w:rFonts w:ascii="Times New Roman" w:hAnsi="Times New Roman" w:hint="eastAsia"/>
          <w:sz w:val="20"/>
        </w:rPr>
        <w:t>p.</w:t>
      </w:r>
      <w:r w:rsidRPr="00DA3BC7">
        <w:rPr>
          <w:rFonts w:ascii="Times New Roman" w:eastAsia="SimSun" w:hAnsi="Times New Roman" w:hint="eastAsia"/>
          <w:sz w:val="20"/>
        </w:rPr>
        <w:t>240</w:t>
      </w:r>
      <w:r w:rsidRPr="00DA3BC7">
        <w:rPr>
          <w:rFonts w:ascii="Times Ext Roman" w:hAnsi="Times Ext Roman" w:cs="Times Ext Roman" w:hint="eastAsia"/>
          <w:sz w:val="20"/>
        </w:rPr>
        <w:t>）</w:t>
      </w:r>
    </w:p>
    <w:p w:rsidR="00AA120F" w:rsidRPr="00DA3BC7" w:rsidRDefault="00AA120F" w:rsidP="00473148">
      <w:pPr>
        <w:ind w:leftChars="200" w:left="480"/>
        <w:jc w:val="both"/>
      </w:pPr>
      <w:r w:rsidRPr="00DA3BC7">
        <w:rPr>
          <w:rFonts w:hint="eastAsia"/>
        </w:rPr>
        <w:t>凡有法我執的，必有人我執；離卻人我執，也就不起法我執。</w:t>
      </w:r>
    </w:p>
    <w:p w:rsidR="00AA120F" w:rsidRPr="00DA3BC7" w:rsidRDefault="00AA120F" w:rsidP="00473148">
      <w:pPr>
        <w:ind w:leftChars="200" w:left="480"/>
        <w:jc w:val="both"/>
        <w:rPr>
          <w:rFonts w:eastAsia="SimSun"/>
        </w:rPr>
      </w:pPr>
      <w:r w:rsidRPr="00DA3BC7">
        <w:rPr>
          <w:rFonts w:hint="eastAsia"/>
        </w:rPr>
        <w:t>故說</w:t>
      </w:r>
      <w:r w:rsidRPr="00DA3BC7">
        <w:rPr>
          <w:rFonts w:hint="eastAsia"/>
          <w:b/>
        </w:rPr>
        <w:t>無明</w:t>
      </w:r>
      <w:r w:rsidRPr="00DA3BC7">
        <w:rPr>
          <w:rFonts w:hint="eastAsia"/>
        </w:rPr>
        <w:t>為生死根本，又說</w:t>
      </w:r>
      <w:r w:rsidRPr="00DA3BC7">
        <w:rPr>
          <w:rFonts w:hint="eastAsia"/>
          <w:b/>
        </w:rPr>
        <w:t>薩迦耶見</w:t>
      </w:r>
      <w:r w:rsidRPr="00DA3BC7">
        <w:rPr>
          <w:rFonts w:hint="eastAsia"/>
        </w:rPr>
        <w:t>為生死根本，並不衝突。</w:t>
      </w:r>
    </w:p>
    <w:p w:rsidR="00AA120F" w:rsidRPr="00DA3BC7" w:rsidRDefault="00811E1B" w:rsidP="00AE3920">
      <w:pPr>
        <w:spacing w:beforeLines="30"/>
        <w:ind w:leftChars="150" w:left="360"/>
        <w:jc w:val="both"/>
        <w:rPr>
          <w:rFonts w:ascii="Times Ext Roman" w:eastAsia="SimSun" w:hAnsi="Times Ext Roman" w:cs="Times Ext Roman"/>
          <w:sz w:val="20"/>
        </w:rPr>
      </w:pPr>
      <w:r w:rsidRPr="00811E1B">
        <w:rPr>
          <w:rFonts w:ascii="Times New Roman" w:hAnsi="Times New Roman" w:hint="eastAsia"/>
          <w:b/>
          <w:color w:val="FF0000"/>
          <w:sz w:val="20"/>
          <w:szCs w:val="20"/>
          <w:highlight w:val="yellow"/>
          <w:bdr w:val="single" w:sz="4" w:space="0" w:color="auto"/>
        </w:rPr>
        <w:t>（</w:t>
      </w:r>
      <w:r w:rsidRPr="00811E1B">
        <w:rPr>
          <w:rFonts w:ascii="新細明體" w:hAnsi="新細明體" w:hint="eastAsia"/>
          <w:b/>
          <w:color w:val="FF0000"/>
          <w:sz w:val="20"/>
          <w:szCs w:val="20"/>
          <w:highlight w:val="yellow"/>
          <w:bdr w:val="single" w:sz="4" w:space="0" w:color="auto"/>
        </w:rPr>
        <w:t>三</w:t>
      </w:r>
      <w:r w:rsidRPr="00811E1B">
        <w:rPr>
          <w:rFonts w:ascii="Times New Roman" w:hAnsi="Times New Roman" w:hint="eastAsia"/>
          <w:b/>
          <w:color w:val="FF0000"/>
          <w:sz w:val="20"/>
          <w:szCs w:val="20"/>
          <w:highlight w:val="yellow"/>
          <w:bdr w:val="single" w:sz="4" w:space="0" w:color="auto"/>
        </w:rPr>
        <w:t>）以「</w:t>
      </w:r>
      <w:r w:rsidR="00AA120F" w:rsidRPr="00811E1B">
        <w:rPr>
          <w:rFonts w:ascii="新細明體" w:hAnsi="新細明體" w:hint="eastAsia"/>
          <w:b/>
          <w:color w:val="FF0000"/>
          <w:sz w:val="20"/>
          <w:szCs w:val="20"/>
          <w:highlight w:val="yellow"/>
          <w:bdr w:val="single" w:sz="4" w:space="0" w:color="auto"/>
        </w:rPr>
        <w:t>執取識</w:t>
      </w:r>
      <w:r w:rsidRPr="00811E1B">
        <w:rPr>
          <w:rFonts w:ascii="新細明體" w:hAnsi="新細明體" w:hint="eastAsia"/>
          <w:b/>
          <w:color w:val="FF0000"/>
          <w:sz w:val="20"/>
          <w:szCs w:val="20"/>
          <w:highlight w:val="yellow"/>
          <w:bdr w:val="single" w:sz="4" w:space="0" w:color="auto"/>
        </w:rPr>
        <w:t>」為情</w:t>
      </w:r>
      <w:r w:rsidR="00AA120F" w:rsidRPr="00811E1B">
        <w:rPr>
          <w:rFonts w:ascii="新細明體" w:hAnsi="新細明體" w:hint="eastAsia"/>
          <w:b/>
          <w:color w:val="FF0000"/>
          <w:sz w:val="20"/>
          <w:szCs w:val="20"/>
          <w:highlight w:val="yellow"/>
          <w:bdr w:val="single" w:sz="4" w:space="0" w:color="auto"/>
        </w:rPr>
        <w:t>本</w:t>
      </w:r>
      <w:r>
        <w:rPr>
          <w:rFonts w:ascii="新細明體" w:hAnsi="新細明體" w:hint="eastAsia"/>
          <w:b/>
          <w:color w:val="FF0000"/>
          <w:sz w:val="20"/>
          <w:szCs w:val="20"/>
          <w:highlight w:val="yellow"/>
          <w:bdr w:val="single" w:sz="4" w:space="0" w:color="auto"/>
        </w:rPr>
        <w:t>而論</w:t>
      </w:r>
      <w:r w:rsidR="00AA120F" w:rsidRPr="00DA3BC7">
        <w:rPr>
          <w:rFonts w:ascii="Times Ext Roman" w:hAnsi="Times Ext Roman" w:cs="Times Ext Roman" w:hint="eastAsia"/>
          <w:sz w:val="20"/>
        </w:rPr>
        <w:t>（</w:t>
      </w:r>
      <w:r w:rsidR="00AA120F" w:rsidRPr="00DA3BC7">
        <w:rPr>
          <w:rFonts w:ascii="Times New Roman" w:hAnsi="Times New Roman" w:hint="eastAsia"/>
          <w:sz w:val="20"/>
        </w:rPr>
        <w:t>pp.</w:t>
      </w:r>
      <w:r w:rsidR="00AA120F" w:rsidRPr="00DA3BC7">
        <w:rPr>
          <w:rFonts w:ascii="Times New Roman" w:eastAsia="SimSun" w:hAnsi="Times New Roman" w:hint="eastAsia"/>
          <w:sz w:val="20"/>
        </w:rPr>
        <w:t>240</w:t>
      </w:r>
      <w:r w:rsidR="00AA120F" w:rsidRPr="00DA3BC7">
        <w:rPr>
          <w:rFonts w:ascii="Times New Roman" w:hAnsi="Times New Roman" w:hint="eastAsia"/>
          <w:sz w:val="20"/>
        </w:rPr>
        <w:t>-</w:t>
      </w:r>
      <w:r w:rsidR="00AA120F" w:rsidRPr="00DA3BC7">
        <w:rPr>
          <w:rFonts w:ascii="Times New Roman" w:eastAsia="SimSun" w:hAnsi="Times New Roman" w:hint="eastAsia"/>
          <w:sz w:val="20"/>
        </w:rPr>
        <w:t>242</w:t>
      </w:r>
      <w:r w:rsidR="00AA120F" w:rsidRPr="00DA3BC7">
        <w:rPr>
          <w:rFonts w:ascii="Times Ext Roman" w:hAnsi="Times Ext Roman" w:cs="Times Ext Roman" w:hint="eastAsia"/>
          <w:sz w:val="20"/>
        </w:rPr>
        <w:t>）</w:t>
      </w:r>
    </w:p>
    <w:p w:rsidR="00AA120F" w:rsidRPr="00DA3BC7" w:rsidRDefault="00811E1B" w:rsidP="00473148">
      <w:pPr>
        <w:ind w:leftChars="200" w:left="480"/>
        <w:jc w:val="both"/>
        <w:rPr>
          <w:rFonts w:eastAsia="SimSun"/>
        </w:rPr>
      </w:pPr>
      <w:r w:rsidRPr="00811E1B">
        <w:rPr>
          <w:rFonts w:ascii="Times New Roman" w:hAnsi="Times New Roman" w:hint="eastAsia"/>
          <w:b/>
          <w:color w:val="FF0000"/>
          <w:sz w:val="20"/>
          <w:szCs w:val="20"/>
          <w:highlight w:val="yellow"/>
          <w:bdr w:val="single" w:sz="4" w:space="0" w:color="auto"/>
        </w:rPr>
        <w:t>1</w:t>
      </w:r>
      <w:r w:rsidRPr="00811E1B">
        <w:rPr>
          <w:rFonts w:ascii="Times New Roman" w:hAnsi="Times New Roman" w:hint="eastAsia"/>
          <w:b/>
          <w:color w:val="FF0000"/>
          <w:sz w:val="20"/>
          <w:szCs w:val="20"/>
          <w:highlight w:val="yellow"/>
          <w:bdr w:val="single" w:sz="4" w:space="0" w:color="auto"/>
        </w:rPr>
        <w:t>、正敘明</w:t>
      </w:r>
      <w:r w:rsidR="00AA120F" w:rsidRPr="00DA3BC7">
        <w:rPr>
          <w:rFonts w:ascii="Times Ext Roman" w:hAnsi="Times Ext Roman" w:cs="Times Ext Roman" w:hint="eastAsia"/>
          <w:sz w:val="20"/>
        </w:rPr>
        <w:t>（</w:t>
      </w:r>
      <w:r w:rsidR="00AA120F" w:rsidRPr="00DA3BC7">
        <w:rPr>
          <w:rFonts w:ascii="Times New Roman" w:hAnsi="Times New Roman" w:hint="eastAsia"/>
          <w:sz w:val="20"/>
        </w:rPr>
        <w:t>p.</w:t>
      </w:r>
      <w:r w:rsidR="00AA120F" w:rsidRPr="00DA3BC7">
        <w:rPr>
          <w:rFonts w:ascii="Times New Roman" w:eastAsia="SimSun" w:hAnsi="Times New Roman" w:hint="eastAsia"/>
          <w:sz w:val="20"/>
        </w:rPr>
        <w:t>240</w:t>
      </w:r>
      <w:r w:rsidR="00AA120F" w:rsidRPr="00DA3BC7">
        <w:rPr>
          <w:rFonts w:ascii="Times Ext Roman" w:hAnsi="Times Ext Roman" w:cs="Times Ext Roman" w:hint="eastAsia"/>
          <w:sz w:val="20"/>
        </w:rPr>
        <w:t>）</w:t>
      </w:r>
    </w:p>
    <w:p w:rsidR="00AA120F" w:rsidRPr="00DA3BC7" w:rsidRDefault="00AA120F" w:rsidP="00473148">
      <w:pPr>
        <w:ind w:leftChars="200" w:left="480"/>
        <w:jc w:val="both"/>
      </w:pPr>
      <w:r w:rsidRPr="00DA3BC7">
        <w:rPr>
          <w:rFonts w:hint="eastAsia"/>
        </w:rPr>
        <w:t>經論中又說</w:t>
      </w:r>
      <w:r w:rsidRPr="00DA3BC7">
        <w:rPr>
          <w:rFonts w:hint="eastAsia"/>
          <w:b/>
        </w:rPr>
        <w:t>「識」為生死根本</w:t>
      </w:r>
      <w:r w:rsidRPr="00DA3BC7">
        <w:rPr>
          <w:rFonts w:hint="eastAsia"/>
        </w:rPr>
        <w:t>，如於觀察緣起時，說「</w:t>
      </w:r>
      <w:r w:rsidRPr="00DA3BC7">
        <w:rPr>
          <w:rFonts w:ascii="標楷體" w:eastAsia="標楷體" w:hAnsi="標楷體" w:hint="eastAsia"/>
        </w:rPr>
        <w:t>齊識而還</w:t>
      </w:r>
      <w:r w:rsidRPr="00DA3BC7">
        <w:rPr>
          <w:rFonts w:hint="eastAsia"/>
        </w:rPr>
        <w:t>」。</w:t>
      </w:r>
      <w:r w:rsidR="00320F7B" w:rsidRPr="00DA3BC7">
        <w:rPr>
          <w:rStyle w:val="a6"/>
          <w:rFonts w:ascii="Times New Roman" w:hAnsi="Times New Roman"/>
        </w:rPr>
        <w:footnoteReference w:id="1044"/>
      </w:r>
    </w:p>
    <w:p w:rsidR="00320F7B" w:rsidRPr="00811E1B" w:rsidRDefault="00320F7B" w:rsidP="00AE3920">
      <w:pPr>
        <w:spacing w:beforeLines="30"/>
        <w:ind w:leftChars="200" w:left="480"/>
        <w:jc w:val="both"/>
        <w:rPr>
          <w:rFonts w:ascii="Times New Roman" w:hAnsi="Times New Roman"/>
          <w:bdr w:val="single" w:sz="4" w:space="0" w:color="auto"/>
        </w:rPr>
      </w:pPr>
      <w:r>
        <w:rPr>
          <w:rFonts w:ascii="Times New Roman" w:hAnsi="Times New Roman" w:hint="eastAsia"/>
          <w:b/>
          <w:color w:val="FF0000"/>
          <w:sz w:val="20"/>
          <w:szCs w:val="20"/>
          <w:highlight w:val="yellow"/>
          <w:bdr w:val="single" w:sz="4" w:space="0" w:color="auto"/>
        </w:rPr>
        <w:lastRenderedPageBreak/>
        <w:t>2</w:t>
      </w:r>
      <w:r w:rsidRPr="00811E1B">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辨體相</w:t>
      </w:r>
      <w:r w:rsidRPr="00DA3BC7">
        <w:rPr>
          <w:rFonts w:ascii="Times Ext Roman" w:hAnsi="Times Ext Roman" w:cs="Times Ext Roman" w:hint="eastAsia"/>
          <w:sz w:val="20"/>
        </w:rPr>
        <w:t>（</w:t>
      </w:r>
      <w:r w:rsidRPr="00DA3BC7">
        <w:rPr>
          <w:rFonts w:ascii="Times New Roman" w:hAnsi="Times New Roman" w:hint="eastAsia"/>
          <w:sz w:val="20"/>
        </w:rPr>
        <w:t>pp.</w:t>
      </w:r>
      <w:r w:rsidRPr="00DA3BC7">
        <w:rPr>
          <w:rFonts w:ascii="Times New Roman" w:eastAsia="SimSun" w:hAnsi="Times New Roman" w:hint="eastAsia"/>
          <w:sz w:val="20"/>
        </w:rPr>
        <w:t>240-24</w:t>
      </w:r>
      <w:r w:rsidRPr="00320F7B">
        <w:rPr>
          <w:rFonts w:ascii="Times New Roman" w:eastAsiaTheme="minorEastAsia" w:hAnsi="Times New Roman" w:hint="eastAsia"/>
          <w:sz w:val="20"/>
        </w:rPr>
        <w:t>2</w:t>
      </w:r>
      <w:r w:rsidRPr="00DA3BC7">
        <w:rPr>
          <w:rFonts w:ascii="Times Ext Roman" w:hAnsi="Times Ext Roman" w:cs="Times Ext Roman" w:hint="eastAsia"/>
          <w:sz w:val="20"/>
        </w:rPr>
        <w:t>）</w:t>
      </w:r>
    </w:p>
    <w:p w:rsidR="00320F7B" w:rsidRDefault="00320F7B" w:rsidP="00473148">
      <w:pPr>
        <w:ind w:leftChars="250" w:left="600"/>
        <w:jc w:val="both"/>
        <w:rPr>
          <w:rFonts w:ascii="Times Ext Roman" w:hAnsi="Times Ext Roman" w:cs="Times Ext Roman"/>
          <w:sz w:val="20"/>
        </w:rPr>
      </w:pPr>
      <w:r w:rsidRPr="00320F7B">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1</w:t>
      </w:r>
      <w:r w:rsidRPr="00320F7B">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舉證闡釋</w:t>
      </w:r>
      <w:r w:rsidRPr="00DA3BC7">
        <w:rPr>
          <w:rFonts w:ascii="Times Ext Roman" w:hAnsi="Times Ext Roman" w:cs="Times Ext Roman" w:hint="eastAsia"/>
          <w:sz w:val="20"/>
        </w:rPr>
        <w:t>（</w:t>
      </w:r>
      <w:r w:rsidRPr="00DA3BC7">
        <w:rPr>
          <w:rFonts w:ascii="Times New Roman" w:hAnsi="Times New Roman" w:hint="eastAsia"/>
          <w:sz w:val="20"/>
        </w:rPr>
        <w:t>pp.</w:t>
      </w:r>
      <w:r w:rsidRPr="00DA3BC7">
        <w:rPr>
          <w:rFonts w:ascii="Times New Roman" w:eastAsia="SimSun" w:hAnsi="Times New Roman" w:hint="eastAsia"/>
          <w:sz w:val="20"/>
        </w:rPr>
        <w:t>240</w:t>
      </w:r>
      <w:r>
        <w:rPr>
          <w:rFonts w:asciiTheme="minorEastAsia" w:eastAsiaTheme="minorEastAsia" w:hAnsiTheme="minorEastAsia" w:hint="eastAsia"/>
          <w:sz w:val="20"/>
        </w:rPr>
        <w:t>-</w:t>
      </w:r>
      <w:r w:rsidRPr="00320F7B">
        <w:rPr>
          <w:rFonts w:ascii="Times New Roman" w:eastAsiaTheme="minorEastAsia" w:hAnsi="Times New Roman" w:hint="eastAsia"/>
          <w:sz w:val="20"/>
        </w:rPr>
        <w:t>242</w:t>
      </w:r>
      <w:r w:rsidRPr="00DA3BC7">
        <w:rPr>
          <w:rFonts w:ascii="Times Ext Roman" w:hAnsi="Times Ext Roman" w:cs="Times Ext Roman" w:hint="eastAsia"/>
          <w:sz w:val="20"/>
        </w:rPr>
        <w:t>）</w:t>
      </w:r>
    </w:p>
    <w:p w:rsidR="00320F7B" w:rsidRPr="00811E1B" w:rsidRDefault="00320F7B" w:rsidP="00473148">
      <w:pPr>
        <w:ind w:leftChars="300" w:left="720"/>
        <w:jc w:val="both"/>
        <w:rPr>
          <w:rFonts w:ascii="Times New Roman" w:hAnsi="Times New Roman"/>
          <w:bdr w:val="single" w:sz="4" w:space="0" w:color="auto"/>
        </w:rPr>
      </w:pPr>
      <w:r>
        <w:rPr>
          <w:rFonts w:ascii="Times New Roman" w:hAnsi="Times New Roman" w:hint="eastAsia"/>
          <w:b/>
          <w:color w:val="FF0000"/>
          <w:sz w:val="20"/>
          <w:szCs w:val="20"/>
          <w:highlight w:val="yellow"/>
          <w:bdr w:val="single" w:sz="4" w:space="0" w:color="auto"/>
        </w:rPr>
        <w:t>A</w:t>
      </w:r>
      <w:r>
        <w:rPr>
          <w:rFonts w:ascii="Times New Roman" w:hAnsi="Times New Roman" w:hint="eastAsia"/>
          <w:b/>
          <w:color w:val="FF0000"/>
          <w:sz w:val="20"/>
          <w:szCs w:val="20"/>
          <w:highlight w:val="yellow"/>
          <w:bdr w:val="single" w:sz="4" w:space="0" w:color="auto"/>
        </w:rPr>
        <w:t>、引《廣百論》明</w:t>
      </w:r>
      <w:r w:rsidRPr="00DA3BC7">
        <w:rPr>
          <w:rFonts w:ascii="Times Ext Roman" w:hAnsi="Times Ext Roman" w:cs="Times Ext Roman" w:hint="eastAsia"/>
          <w:sz w:val="20"/>
        </w:rPr>
        <w:t>（</w:t>
      </w:r>
      <w:r w:rsidRPr="00DA3BC7">
        <w:rPr>
          <w:rFonts w:ascii="Times New Roman" w:hAnsi="Times New Roman" w:hint="eastAsia"/>
          <w:sz w:val="20"/>
        </w:rPr>
        <w:t>pp.</w:t>
      </w:r>
      <w:r w:rsidRPr="00DA3BC7">
        <w:rPr>
          <w:rFonts w:ascii="Times New Roman" w:eastAsia="SimSun" w:hAnsi="Times New Roman" w:hint="eastAsia"/>
          <w:sz w:val="20"/>
        </w:rPr>
        <w:t>240</w:t>
      </w:r>
      <w:r>
        <w:rPr>
          <w:rFonts w:asciiTheme="minorEastAsia" w:eastAsiaTheme="minorEastAsia" w:hAnsiTheme="minorEastAsia" w:hint="eastAsia"/>
          <w:sz w:val="20"/>
        </w:rPr>
        <w:t>-</w:t>
      </w:r>
      <w:r w:rsidRPr="00320F7B">
        <w:rPr>
          <w:rFonts w:ascii="Times New Roman" w:eastAsiaTheme="minorEastAsia" w:hAnsi="Times New Roman" w:hint="eastAsia"/>
          <w:sz w:val="20"/>
        </w:rPr>
        <w:t>24</w:t>
      </w:r>
      <w:r>
        <w:rPr>
          <w:rFonts w:ascii="Times New Roman" w:eastAsiaTheme="minorEastAsia" w:hAnsi="Times New Roman" w:hint="eastAsia"/>
          <w:sz w:val="20"/>
        </w:rPr>
        <w:t>1</w:t>
      </w:r>
      <w:r w:rsidRPr="00DA3BC7">
        <w:rPr>
          <w:rFonts w:ascii="Times Ext Roman" w:hAnsi="Times Ext Roman" w:cs="Times Ext Roman" w:hint="eastAsia"/>
          <w:sz w:val="20"/>
        </w:rPr>
        <w:t>）</w:t>
      </w:r>
    </w:p>
    <w:p w:rsidR="00AA120F" w:rsidRPr="00DA3BC7" w:rsidRDefault="00AA120F" w:rsidP="00473148">
      <w:pPr>
        <w:ind w:leftChars="300" w:left="720"/>
        <w:jc w:val="both"/>
        <w:rPr>
          <w:rFonts w:eastAsia="SimSun"/>
        </w:rPr>
      </w:pPr>
      <w:r w:rsidRPr="00DA3BC7">
        <w:rPr>
          <w:rFonts w:hint="eastAsia"/>
        </w:rPr>
        <w:t>此識，指自體──五蘊的執取識，即</w:t>
      </w:r>
      <w:r w:rsidRPr="00DA3BC7">
        <w:rPr>
          <w:rFonts w:hint="eastAsia"/>
          <w:b/>
        </w:rPr>
        <w:t>無明相應識</w:t>
      </w:r>
      <w:r w:rsidRPr="00DA3BC7">
        <w:rPr>
          <w:rFonts w:hint="eastAsia"/>
        </w:rPr>
        <w:t>、</w:t>
      </w:r>
      <w:r w:rsidRPr="00DA3BC7">
        <w:rPr>
          <w:rFonts w:hint="eastAsia"/>
          <w:b/>
        </w:rPr>
        <w:t>薩迦耶見相應識</w:t>
      </w:r>
      <w:r w:rsidRPr="00DA3BC7">
        <w:rPr>
          <w:rFonts w:hint="eastAsia"/>
        </w:rPr>
        <w:t>。</w:t>
      </w:r>
    </w:p>
    <w:p w:rsidR="00AA120F" w:rsidRPr="00DA3BC7" w:rsidRDefault="00AA120F" w:rsidP="00473148">
      <w:pPr>
        <w:ind w:leftChars="300" w:left="720"/>
        <w:jc w:val="both"/>
      </w:pPr>
      <w:r w:rsidRPr="00DA3BC7">
        <w:rPr>
          <w:rFonts w:hint="eastAsia"/>
        </w:rPr>
        <w:t>此義如《廣百論》說：「</w:t>
      </w:r>
      <w:r w:rsidRPr="00DA3BC7">
        <w:rPr>
          <w:rFonts w:ascii="標楷體" w:eastAsia="標楷體" w:hAnsi="標楷體" w:hint="eastAsia"/>
        </w:rPr>
        <w:t>識為諸有種，境是識所行，見境無我時，諸有種皆滅</w:t>
      </w:r>
      <w:r w:rsidRPr="00DA3BC7">
        <w:rPr>
          <w:rFonts w:hint="eastAsia"/>
        </w:rPr>
        <w:t>。」</w:t>
      </w:r>
      <w:r w:rsidRPr="00DA3BC7">
        <w:rPr>
          <w:rStyle w:val="a6"/>
          <w:rFonts w:ascii="Times New Roman" w:hAnsi="Times New Roman"/>
        </w:rPr>
        <w:footnoteReference w:id="1045"/>
      </w:r>
    </w:p>
    <w:p w:rsidR="00AA120F" w:rsidRPr="00DA3BC7" w:rsidRDefault="00AA120F" w:rsidP="00473148">
      <w:pPr>
        <w:ind w:leftChars="300" w:left="720"/>
        <w:jc w:val="both"/>
      </w:pPr>
      <w:r w:rsidRPr="00DA3BC7">
        <w:rPr>
          <w:rFonts w:hint="eastAsia"/>
        </w:rPr>
        <w:t>三界生死流轉的種子──原因，是識。為甚麼是識？</w:t>
      </w:r>
    </w:p>
    <w:p w:rsidR="00AA120F" w:rsidRPr="00DA3BC7" w:rsidRDefault="00AA120F" w:rsidP="00AE3920">
      <w:pPr>
        <w:spacing w:beforeLines="20"/>
        <w:ind w:leftChars="300" w:left="720"/>
        <w:jc w:val="both"/>
      </w:pPr>
      <w:r w:rsidRPr="00DA3BC7">
        <w:rPr>
          <w:rFonts w:hint="eastAsia"/>
        </w:rPr>
        <w:t>識以境為所行境界，於境而執為實有自性；此執取識，即為生死根本。</w:t>
      </w:r>
    </w:p>
    <w:p w:rsidR="00AA120F" w:rsidRPr="00DA3BC7" w:rsidRDefault="00AA120F" w:rsidP="00473148">
      <w:pPr>
        <w:ind w:leftChars="300" w:left="720"/>
        <w:jc w:val="both"/>
      </w:pPr>
      <w:r w:rsidRPr="00DA3BC7">
        <w:rPr>
          <w:rFonts w:hint="eastAsia"/>
        </w:rPr>
        <w:t>如於境而不起自性見，境的實有性滅，即執取識滅，即煩惱滅而生死可得解脫。</w:t>
      </w:r>
    </w:p>
    <w:p w:rsidR="00AA120F" w:rsidRPr="00DA3BC7" w:rsidRDefault="00AA120F" w:rsidP="00473148">
      <w:pPr>
        <w:ind w:leftChars="300" w:left="720"/>
        <w:jc w:val="both"/>
        <w:rPr>
          <w:rFonts w:eastAsia="SimSun"/>
        </w:rPr>
      </w:pPr>
      <w:r w:rsidRPr="00DA3BC7">
        <w:rPr>
          <w:rFonts w:hint="eastAsia"/>
        </w:rPr>
        <w:t>此識非離無明而別有生死根本識，是識與無明或薩迦耶見相應的。</w:t>
      </w:r>
    </w:p>
    <w:p w:rsidR="00AA120F" w:rsidRPr="00DA3BC7" w:rsidRDefault="00AA120F" w:rsidP="00AE3920">
      <w:pPr>
        <w:spacing w:beforeLines="20"/>
        <w:ind w:leftChars="300" w:left="720"/>
        <w:jc w:val="both"/>
      </w:pPr>
      <w:r w:rsidRPr="00DA3BC7">
        <w:rPr>
          <w:rFonts w:hint="eastAsia"/>
        </w:rPr>
        <w:t>無明相應識的著處，即是自性，佛於《阿含經》中即名此著處──自性為阿賴耶，說：「</w:t>
      </w:r>
      <w:r w:rsidRPr="00DA3BC7">
        <w:rPr>
          <w:rFonts w:ascii="標楷體" w:eastAsia="標楷體" w:hAnsi="標楷體" w:hint="eastAsia"/>
        </w:rPr>
        <w:t>眾生愛阿賴耶，樂阿賴耶，欣阿賴耶，喜阿賴耶</w:t>
      </w:r>
      <w:r w:rsidRPr="00DA3BC7">
        <w:rPr>
          <w:rFonts w:hint="eastAsia"/>
        </w:rPr>
        <w:t>。」</w:t>
      </w:r>
      <w:r w:rsidRPr="00DA3BC7">
        <w:rPr>
          <w:rStyle w:val="a6"/>
          <w:rFonts w:ascii="Times New Roman" w:hAnsi="Times New Roman"/>
        </w:rPr>
        <w:footnoteReference w:id="1046"/>
      </w:r>
    </w:p>
    <w:p w:rsidR="00AA120F" w:rsidRPr="00DA3BC7" w:rsidRDefault="00AA120F" w:rsidP="00AE3920">
      <w:pPr>
        <w:spacing w:beforeLines="20"/>
        <w:ind w:leftChars="300" w:left="720"/>
        <w:jc w:val="both"/>
        <w:rPr>
          <w:rFonts w:eastAsia="SimSun"/>
        </w:rPr>
      </w:pPr>
      <w:r w:rsidRPr="00DA3BC7">
        <w:rPr>
          <w:rFonts w:hint="eastAsia"/>
        </w:rPr>
        <w:lastRenderedPageBreak/>
        <w:t>眾生於認識境，心有所著，不了諸法緣起甚深空無自性，執諸法有自性。由此取著諸法識，說識為生死根本，實仍是徹底的緣起論，與唯識家無覆無記的本識</w:t>
      </w:r>
      <w:r w:rsidRPr="00DA3BC7">
        <w:rPr>
          <w:rStyle w:val="a6"/>
          <w:rFonts w:ascii="Times New Roman" w:hAnsi="Times New Roman"/>
        </w:rPr>
        <w:footnoteReference w:id="1047"/>
      </w:r>
      <w:r w:rsidRPr="00DA3BC7">
        <w:rPr>
          <w:rFonts w:hint="eastAsia"/>
        </w:rPr>
        <w:t>不同。</w:t>
      </w:r>
    </w:p>
    <w:p w:rsidR="00320F7B" w:rsidRDefault="00320F7B" w:rsidP="00AE3920">
      <w:pPr>
        <w:spacing w:beforeLines="30"/>
        <w:ind w:leftChars="300" w:left="720"/>
        <w:jc w:val="both"/>
        <w:rPr>
          <w:rFonts w:ascii="Times New Roman" w:hAnsi="Times New Roman"/>
          <w:b/>
          <w:color w:val="FF0000"/>
          <w:sz w:val="20"/>
          <w:szCs w:val="20"/>
          <w:bdr w:val="single" w:sz="4" w:space="0" w:color="auto"/>
        </w:rPr>
      </w:pPr>
      <w:r w:rsidRPr="00320F7B">
        <w:rPr>
          <w:rFonts w:ascii="Times New Roman" w:hAnsi="Times New Roman" w:hint="eastAsia"/>
          <w:b/>
          <w:color w:val="FF0000"/>
          <w:sz w:val="20"/>
          <w:szCs w:val="20"/>
          <w:highlight w:val="yellow"/>
          <w:bdr w:val="single" w:sz="4" w:space="0" w:color="auto"/>
        </w:rPr>
        <w:t>B</w:t>
      </w:r>
      <w:r w:rsidRPr="00320F7B">
        <w:rPr>
          <w:rFonts w:ascii="Times New Roman" w:hAnsi="Times New Roman" w:hint="eastAsia"/>
          <w:b/>
          <w:color w:val="FF0000"/>
          <w:sz w:val="20"/>
          <w:szCs w:val="20"/>
          <w:highlight w:val="yellow"/>
          <w:bdr w:val="single" w:sz="4" w:space="0" w:color="auto"/>
        </w:rPr>
        <w:t>、引餘二論明</w:t>
      </w:r>
      <w:r w:rsidRPr="00DA3BC7">
        <w:rPr>
          <w:rFonts w:ascii="Times Ext Roman" w:hAnsi="Times Ext Roman" w:cs="Times Ext Roman" w:hint="eastAsia"/>
          <w:sz w:val="20"/>
        </w:rPr>
        <w:t>（</w:t>
      </w:r>
      <w:r w:rsidRPr="00DA3BC7">
        <w:rPr>
          <w:rFonts w:ascii="Times New Roman" w:hAnsi="Times New Roman" w:hint="eastAsia"/>
          <w:sz w:val="20"/>
        </w:rPr>
        <w:t>pp.</w:t>
      </w:r>
      <w:r w:rsidRPr="00DA3BC7">
        <w:rPr>
          <w:rFonts w:ascii="Times New Roman" w:eastAsia="SimSun" w:hAnsi="Times New Roman" w:hint="eastAsia"/>
          <w:sz w:val="20"/>
        </w:rPr>
        <w:t>241</w:t>
      </w:r>
      <w:r w:rsidRPr="00DA3BC7">
        <w:rPr>
          <w:rFonts w:ascii="Times New Roman" w:hAnsi="Times New Roman" w:hint="eastAsia"/>
          <w:sz w:val="20"/>
        </w:rPr>
        <w:t>-242</w:t>
      </w:r>
      <w:r w:rsidRPr="00DA3BC7">
        <w:rPr>
          <w:rFonts w:ascii="Times Ext Roman" w:hAnsi="Times Ext Roman" w:cs="Times Ext Roman" w:hint="eastAsia"/>
          <w:sz w:val="20"/>
        </w:rPr>
        <w:t>）</w:t>
      </w:r>
    </w:p>
    <w:p w:rsidR="00AA120F" w:rsidRPr="00DA3BC7" w:rsidRDefault="00AA120F" w:rsidP="00473148">
      <w:pPr>
        <w:ind w:leftChars="350" w:left="840"/>
        <w:jc w:val="both"/>
        <w:rPr>
          <w:rFonts w:eastAsia="SimSun"/>
        </w:rPr>
      </w:pPr>
      <w:r w:rsidRPr="00320F7B">
        <w:rPr>
          <w:rFonts w:ascii="Times New Roman" w:hAnsi="Times New Roman"/>
          <w:b/>
          <w:color w:val="FF0000"/>
          <w:sz w:val="20"/>
          <w:szCs w:val="20"/>
          <w:highlight w:val="yellow"/>
          <w:bdr w:val="single" w:sz="4" w:space="0" w:color="auto"/>
        </w:rPr>
        <w:t>（</w:t>
      </w:r>
      <w:r w:rsidR="00320F7B" w:rsidRPr="00320F7B">
        <w:rPr>
          <w:rFonts w:ascii="Times New Roman" w:hAnsi="Times New Roman" w:hint="eastAsia"/>
          <w:b/>
          <w:color w:val="FF0000"/>
          <w:sz w:val="20"/>
          <w:szCs w:val="20"/>
          <w:highlight w:val="yellow"/>
          <w:bdr w:val="single" w:sz="4" w:space="0" w:color="auto"/>
        </w:rPr>
        <w:t>A</w:t>
      </w:r>
      <w:r w:rsidRPr="00320F7B">
        <w:rPr>
          <w:rFonts w:ascii="Times New Roman" w:hAnsi="Times New Roman"/>
          <w:b/>
          <w:color w:val="FF0000"/>
          <w:sz w:val="20"/>
          <w:szCs w:val="20"/>
          <w:highlight w:val="yellow"/>
          <w:bdr w:val="single" w:sz="4" w:space="0" w:color="auto"/>
        </w:rPr>
        <w:t>）</w:t>
      </w:r>
      <w:r w:rsidR="00320F7B" w:rsidRPr="00320F7B">
        <w:rPr>
          <w:rFonts w:ascii="Times New Roman" w:hAnsi="Times New Roman" w:hint="eastAsia"/>
          <w:b/>
          <w:color w:val="FF0000"/>
          <w:sz w:val="20"/>
          <w:szCs w:val="20"/>
          <w:highlight w:val="yellow"/>
          <w:bdr w:val="single" w:sz="4" w:space="0" w:color="auto"/>
        </w:rPr>
        <w:t>引</w:t>
      </w:r>
      <w:r w:rsidRPr="00320F7B">
        <w:rPr>
          <w:rFonts w:ascii="新細明體" w:hAnsi="新細明體" w:hint="eastAsia"/>
          <w:b/>
          <w:color w:val="FF0000"/>
          <w:sz w:val="20"/>
          <w:szCs w:val="20"/>
          <w:highlight w:val="yellow"/>
          <w:bdr w:val="single" w:sz="4" w:space="0" w:color="auto"/>
        </w:rPr>
        <w:t>論</w:t>
      </w:r>
      <w:r w:rsidR="00320F7B" w:rsidRPr="00320F7B">
        <w:rPr>
          <w:rFonts w:ascii="新細明體" w:hAnsi="新細明體" w:hint="eastAsia"/>
          <w:b/>
          <w:color w:val="FF0000"/>
          <w:sz w:val="20"/>
          <w:szCs w:val="20"/>
          <w:highlight w:val="yellow"/>
          <w:bdr w:val="single" w:sz="4" w:space="0" w:color="auto"/>
        </w:rPr>
        <w:t>文</w:t>
      </w:r>
      <w:r w:rsidR="00320F7B" w:rsidRPr="00DA3BC7">
        <w:rPr>
          <w:rFonts w:ascii="Times Ext Roman" w:hAnsi="Times Ext Roman" w:cs="Times Ext Roman" w:hint="eastAsia"/>
          <w:sz w:val="20"/>
        </w:rPr>
        <w:t>（</w:t>
      </w:r>
      <w:r w:rsidR="00320F7B" w:rsidRPr="00DA3BC7">
        <w:rPr>
          <w:rFonts w:ascii="Times New Roman" w:hAnsi="Times New Roman" w:hint="eastAsia"/>
          <w:sz w:val="20"/>
        </w:rPr>
        <w:t>p.</w:t>
      </w:r>
      <w:r w:rsidR="00320F7B" w:rsidRPr="00DA3BC7">
        <w:rPr>
          <w:rFonts w:ascii="Times New Roman" w:eastAsia="SimSun" w:hAnsi="Times New Roman" w:hint="eastAsia"/>
          <w:sz w:val="20"/>
        </w:rPr>
        <w:t>241</w:t>
      </w:r>
      <w:r w:rsidR="00320F7B" w:rsidRPr="00DA3BC7">
        <w:rPr>
          <w:rFonts w:ascii="Times Ext Roman" w:hAnsi="Times Ext Roman" w:cs="Times Ext Roman" w:hint="eastAsia"/>
          <w:sz w:val="20"/>
        </w:rPr>
        <w:t>）</w:t>
      </w:r>
    </w:p>
    <w:p w:rsidR="00AA120F" w:rsidRPr="00DA3BC7" w:rsidRDefault="00AA120F" w:rsidP="00473148">
      <w:pPr>
        <w:ind w:leftChars="350" w:left="840"/>
        <w:jc w:val="both"/>
        <w:rPr>
          <w:rFonts w:eastAsia="SimSun"/>
        </w:rPr>
      </w:pPr>
      <w:r w:rsidRPr="00DA3BC7">
        <w:rPr>
          <w:rFonts w:hint="eastAsia"/>
        </w:rPr>
        <w:t>《六十如理論》說：「</w:t>
      </w:r>
      <w:r w:rsidRPr="00DA3BC7">
        <w:rPr>
          <w:rFonts w:ascii="標楷體" w:eastAsia="標楷體" w:hAnsi="標楷體" w:hint="eastAsia"/>
        </w:rPr>
        <w:t>宣說大種等，皆是識所攝</w:t>
      </w:r>
      <w:r w:rsidRPr="00DA3BC7">
        <w:rPr>
          <w:rFonts w:hint="eastAsia"/>
        </w:rPr>
        <w:t>。」</w:t>
      </w:r>
      <w:r w:rsidRPr="00DA3BC7">
        <w:rPr>
          <w:rStyle w:val="a6"/>
          <w:rFonts w:ascii="Times New Roman" w:hAnsi="Times New Roman"/>
        </w:rPr>
        <w:footnoteReference w:id="1048"/>
      </w:r>
    </w:p>
    <w:p w:rsidR="00320F7B" w:rsidRDefault="00AA120F" w:rsidP="00473148">
      <w:pPr>
        <w:ind w:leftChars="350" w:left="840"/>
        <w:jc w:val="both"/>
      </w:pPr>
      <w:r w:rsidRPr="00DA3BC7">
        <w:rPr>
          <w:rFonts w:hint="eastAsia"/>
        </w:rPr>
        <w:t>《大乘二十頌論》也說：「</w:t>
      </w:r>
      <w:r w:rsidRPr="00DA3BC7">
        <w:rPr>
          <w:rFonts w:ascii="標楷體" w:eastAsia="標楷體" w:hAnsi="標楷體" w:hint="eastAsia"/>
        </w:rPr>
        <w:t>此一切唯心，安立幻化相</w:t>
      </w:r>
      <w:r w:rsidRPr="00DA3BC7">
        <w:rPr>
          <w:rFonts w:ascii="新細明體" w:hAnsi="新細明體" w:hint="eastAsia"/>
        </w:rPr>
        <w:t>……</w:t>
      </w:r>
      <w:r w:rsidRPr="00DA3BC7">
        <w:rPr>
          <w:rFonts w:ascii="標楷體" w:eastAsia="標楷體" w:hAnsi="標楷體" w:hint="eastAsia"/>
        </w:rPr>
        <w:t>若滅於心輪，</w:t>
      </w:r>
      <w:r w:rsidRPr="00DA3BC7">
        <w:rPr>
          <w:rFonts w:ascii="標楷體" w:eastAsia="標楷體" w:hAnsi="標楷體" w:hint="eastAsia"/>
        </w:rPr>
        <w:lastRenderedPageBreak/>
        <w:t>即滅一切法</w:t>
      </w:r>
      <w:r w:rsidRPr="00DA3BC7">
        <w:rPr>
          <w:rFonts w:hint="eastAsia"/>
        </w:rPr>
        <w:t>。」</w:t>
      </w:r>
      <w:r w:rsidRPr="00DA3BC7">
        <w:rPr>
          <w:rStyle w:val="a6"/>
          <w:rFonts w:ascii="Times New Roman" w:hAnsi="Times New Roman"/>
        </w:rPr>
        <w:footnoteReference w:id="1049"/>
      </w:r>
    </w:p>
    <w:p w:rsidR="00320F7B" w:rsidRPr="00DA3BC7" w:rsidRDefault="00320F7B" w:rsidP="00AE3920">
      <w:pPr>
        <w:spacing w:beforeLines="30"/>
        <w:ind w:leftChars="350" w:left="840"/>
        <w:jc w:val="both"/>
        <w:rPr>
          <w:rFonts w:ascii="Times Ext Roman" w:eastAsia="SimSun" w:hAnsi="Times Ext Roman" w:cs="Times Ext Roman"/>
          <w:sz w:val="20"/>
        </w:rPr>
      </w:pPr>
      <w:r w:rsidRPr="00811E1B">
        <w:rPr>
          <w:rFonts w:ascii="Times New Roman" w:hAnsi="Times New Roman" w:hint="eastAsia"/>
          <w:b/>
          <w:color w:val="FF0000"/>
          <w:sz w:val="20"/>
          <w:szCs w:val="20"/>
          <w:highlight w:val="yellow"/>
          <w:bdr w:val="single" w:sz="4" w:space="0" w:color="auto"/>
        </w:rPr>
        <w:t>（</w:t>
      </w:r>
      <w:r w:rsidRPr="00320F7B">
        <w:rPr>
          <w:rFonts w:ascii="Times New Roman" w:hAnsi="Times New Roman" w:hint="eastAsia"/>
          <w:b/>
          <w:color w:val="FF0000"/>
          <w:sz w:val="20"/>
          <w:szCs w:val="20"/>
          <w:highlight w:val="yellow"/>
          <w:bdr w:val="single" w:sz="4" w:space="0" w:color="auto"/>
        </w:rPr>
        <w:t>B</w:t>
      </w:r>
      <w:r w:rsidRPr="00811E1B">
        <w:rPr>
          <w:rFonts w:ascii="Times New Roman" w:hAnsi="Times New Roman" w:hint="eastAsia"/>
          <w:b/>
          <w:color w:val="FF0000"/>
          <w:sz w:val="20"/>
          <w:szCs w:val="20"/>
          <w:highlight w:val="yellow"/>
          <w:bdr w:val="single" w:sz="4" w:space="0" w:color="auto"/>
        </w:rPr>
        <w:t>）</w:t>
      </w:r>
      <w:r w:rsidRPr="00320F7B">
        <w:rPr>
          <w:rFonts w:ascii="Times New Roman" w:hAnsi="Times New Roman" w:hint="eastAsia"/>
          <w:b/>
          <w:color w:val="FF0000"/>
          <w:sz w:val="20"/>
          <w:szCs w:val="20"/>
          <w:highlight w:val="yellow"/>
          <w:bdr w:val="single" w:sz="4" w:space="0" w:color="auto"/>
        </w:rPr>
        <w:t>敘思源</w:t>
      </w:r>
      <w:r w:rsidRPr="00DA3BC7">
        <w:rPr>
          <w:rFonts w:ascii="Times Ext Roman" w:hAnsi="Times Ext Roman" w:cs="Times Ext Roman" w:hint="eastAsia"/>
          <w:sz w:val="20"/>
        </w:rPr>
        <w:t>（</w:t>
      </w:r>
      <w:r w:rsidRPr="00DA3BC7">
        <w:rPr>
          <w:rFonts w:ascii="Times New Roman" w:hAnsi="Times New Roman" w:hint="eastAsia"/>
          <w:sz w:val="20"/>
        </w:rPr>
        <w:t>p.</w:t>
      </w:r>
      <w:r w:rsidRPr="00DA3BC7">
        <w:rPr>
          <w:rFonts w:ascii="Times New Roman" w:eastAsia="SimSun" w:hAnsi="Times New Roman" w:hint="eastAsia"/>
          <w:sz w:val="20"/>
        </w:rPr>
        <w:t>24</w:t>
      </w:r>
      <w:r w:rsidRPr="00320F7B">
        <w:rPr>
          <w:rFonts w:ascii="Times New Roman" w:eastAsiaTheme="minorEastAsia" w:hAnsi="Times New Roman" w:hint="eastAsia"/>
          <w:sz w:val="20"/>
        </w:rPr>
        <w:t>1</w:t>
      </w:r>
      <w:r w:rsidRPr="00DA3BC7">
        <w:rPr>
          <w:rFonts w:ascii="Times Ext Roman" w:hAnsi="Times Ext Roman" w:cs="Times Ext Roman" w:hint="eastAsia"/>
          <w:sz w:val="20"/>
        </w:rPr>
        <w:t>）</w:t>
      </w:r>
    </w:p>
    <w:p w:rsidR="00AA120F" w:rsidRPr="00DA3BC7" w:rsidRDefault="00AA120F" w:rsidP="00473148">
      <w:pPr>
        <w:ind w:leftChars="350" w:left="840"/>
        <w:jc w:val="both"/>
        <w:rPr>
          <w:rFonts w:eastAsia="SimSun"/>
        </w:rPr>
      </w:pPr>
      <w:r w:rsidRPr="00DA3BC7">
        <w:rPr>
          <w:rFonts w:hint="eastAsia"/>
        </w:rPr>
        <w:t>這在後期唯心佛教的潮流中，中觀者也常提示此義，每為一般唯心論者所附會</w:t>
      </w:r>
      <w:r w:rsidRPr="00DA3BC7">
        <w:rPr>
          <w:rStyle w:val="a6"/>
          <w:rFonts w:ascii="Times New Roman" w:hAnsi="Times New Roman"/>
        </w:rPr>
        <w:footnoteReference w:id="1050"/>
      </w:r>
      <w:r w:rsidRPr="00DA3BC7">
        <w:rPr>
          <w:rFonts w:hint="eastAsia"/>
        </w:rPr>
        <w:t>。</w:t>
      </w:r>
    </w:p>
    <w:p w:rsidR="00AA120F" w:rsidRPr="00DA3BC7" w:rsidRDefault="00AA120F" w:rsidP="00AE3920">
      <w:pPr>
        <w:spacing w:beforeLines="20"/>
        <w:ind w:leftChars="350" w:left="840"/>
        <w:jc w:val="both"/>
      </w:pPr>
      <w:r w:rsidRPr="00DA3BC7">
        <w:rPr>
          <w:rFonts w:hint="eastAsia"/>
        </w:rPr>
        <w:t>然在中觀者的正見中，推尋此項思想的來源，本出於《長阿含經》的《堅固經》</w:t>
      </w:r>
      <w:r w:rsidRPr="00DA3BC7">
        <w:rPr>
          <w:rStyle w:val="a6"/>
          <w:rFonts w:ascii="Times New Roman" w:hAnsi="Times New Roman"/>
        </w:rPr>
        <w:footnoteReference w:id="1051"/>
      </w:r>
      <w:r w:rsidRPr="00DA3BC7">
        <w:rPr>
          <w:rFonts w:hint="eastAsia"/>
        </w:rPr>
        <w:t>。</w:t>
      </w:r>
    </w:p>
    <w:p w:rsidR="00320F7B" w:rsidRPr="00DA3BC7" w:rsidRDefault="00320F7B" w:rsidP="00AE3920">
      <w:pPr>
        <w:spacing w:beforeLines="30"/>
        <w:ind w:leftChars="350" w:left="840"/>
        <w:jc w:val="both"/>
        <w:rPr>
          <w:rFonts w:ascii="Times Ext Roman" w:eastAsia="SimSun" w:hAnsi="Times Ext Roman" w:cs="Times Ext Roman"/>
          <w:sz w:val="20"/>
        </w:rPr>
      </w:pPr>
      <w:r w:rsidRPr="00811E1B">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C</w:t>
      </w:r>
      <w:r w:rsidRPr="00811E1B">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釋教理</w:t>
      </w:r>
      <w:r w:rsidRPr="00DA3BC7">
        <w:rPr>
          <w:rFonts w:ascii="Times Ext Roman" w:hAnsi="Times Ext Roman" w:cs="Times Ext Roman" w:hint="eastAsia"/>
          <w:sz w:val="20"/>
        </w:rPr>
        <w:t>（</w:t>
      </w:r>
      <w:r w:rsidRPr="00DA3BC7">
        <w:rPr>
          <w:rFonts w:ascii="Times New Roman" w:hAnsi="Times New Roman" w:hint="eastAsia"/>
          <w:sz w:val="20"/>
        </w:rPr>
        <w:t>pp.</w:t>
      </w:r>
      <w:r w:rsidRPr="00DA3BC7">
        <w:rPr>
          <w:rFonts w:ascii="Times New Roman" w:eastAsia="SimSun" w:hAnsi="Times New Roman" w:hint="eastAsia"/>
          <w:sz w:val="20"/>
        </w:rPr>
        <w:t>24</w:t>
      </w:r>
      <w:r w:rsidRPr="00320F7B">
        <w:rPr>
          <w:rFonts w:ascii="Times New Roman" w:eastAsiaTheme="minorEastAsia" w:hAnsi="Times New Roman" w:hint="eastAsia"/>
          <w:sz w:val="20"/>
        </w:rPr>
        <w:t>1</w:t>
      </w:r>
      <w:r>
        <w:rPr>
          <w:rFonts w:ascii="Times New Roman" w:eastAsiaTheme="minorEastAsia" w:hAnsi="Times New Roman" w:hint="eastAsia"/>
          <w:sz w:val="20"/>
        </w:rPr>
        <w:t>-242</w:t>
      </w:r>
      <w:r w:rsidRPr="00DA3BC7">
        <w:rPr>
          <w:rFonts w:ascii="Times Ext Roman" w:hAnsi="Times Ext Roman" w:cs="Times Ext Roman" w:hint="eastAsia"/>
          <w:sz w:val="20"/>
        </w:rPr>
        <w:t>）</w:t>
      </w:r>
    </w:p>
    <w:p w:rsidR="00AA120F" w:rsidRPr="00DA3BC7" w:rsidRDefault="00AA120F" w:rsidP="00473148">
      <w:pPr>
        <w:ind w:leftChars="350" w:left="840"/>
        <w:jc w:val="both"/>
      </w:pPr>
      <w:r w:rsidRPr="00DA3BC7">
        <w:rPr>
          <w:rFonts w:hint="eastAsia"/>
        </w:rPr>
        <w:t>地水火風四大，即五蘊中的色蘊。因識的取著境界，計為實有，起煩惱造業而生死輪迴。</w:t>
      </w:r>
    </w:p>
    <w:p w:rsidR="00320F7B" w:rsidRDefault="00AA120F" w:rsidP="00AE3920">
      <w:pPr>
        <w:spacing w:beforeLines="20"/>
        <w:ind w:leftChars="350" w:left="840"/>
        <w:jc w:val="both"/>
      </w:pPr>
      <w:r w:rsidRPr="00DA3BC7">
        <w:rPr>
          <w:rFonts w:hint="eastAsia"/>
        </w:rPr>
        <w:t>若想解脫，須與我見相應的分別識不起，此識不起，煩惱即不生，煩惱不生即不造業，不造業即不感生死，由此輪迴永脫。</w:t>
      </w:r>
    </w:p>
    <w:p w:rsidR="00AA120F" w:rsidRPr="00DA3BC7" w:rsidRDefault="00AA120F" w:rsidP="00AE3920">
      <w:pPr>
        <w:spacing w:beforeLines="20"/>
        <w:ind w:leftChars="350" w:left="840"/>
        <w:jc w:val="both"/>
        <w:rPr>
          <w:rFonts w:eastAsia="SimSun"/>
        </w:rPr>
      </w:pPr>
      <w:r w:rsidRPr="00DA3BC7">
        <w:rPr>
          <w:rFonts w:hint="eastAsia"/>
        </w:rPr>
        <w:t>所以生死根本識，若</w:t>
      </w:r>
      <w:r w:rsidRPr="00DA3BC7">
        <w:rPr>
          <w:rFonts w:hint="eastAsia"/>
          <w:b/>
        </w:rPr>
        <w:t>約因果說</w:t>
      </w:r>
      <w:r w:rsidRPr="00DA3BC7">
        <w:rPr>
          <w:rFonts w:hint="eastAsia"/>
        </w:rPr>
        <w:t>，依無明業感而有生死，即</w:t>
      </w:r>
      <w:r w:rsidRPr="00DA3BC7">
        <w:rPr>
          <w:rFonts w:hint="eastAsia"/>
          <w:b/>
        </w:rPr>
        <w:t>惑業苦的因果論</w:t>
      </w:r>
      <w:r w:rsidRPr="00DA3BC7">
        <w:rPr>
          <w:rFonts w:hint="eastAsia"/>
        </w:rPr>
        <w:t>。</w:t>
      </w:r>
    </w:p>
    <w:p w:rsidR="00AA120F" w:rsidRPr="00DA3BC7" w:rsidRDefault="00AA120F" w:rsidP="00473148">
      <w:pPr>
        <w:ind w:leftChars="350" w:left="840"/>
        <w:jc w:val="both"/>
        <w:rPr>
          <w:rFonts w:eastAsia="SimSun"/>
        </w:rPr>
      </w:pPr>
      <w:r w:rsidRPr="00DA3BC7">
        <w:rPr>
          <w:rFonts w:hint="eastAsia"/>
          <w:b/>
        </w:rPr>
        <w:t>約見相──能所</w:t>
      </w:r>
      <w:r w:rsidRPr="00DA3BC7">
        <w:rPr>
          <w:rStyle w:val="a6"/>
          <w:rFonts w:ascii="Times New Roman" w:hAnsi="Times New Roman"/>
        </w:rPr>
        <w:footnoteReference w:id="1052"/>
      </w:r>
      <w:r w:rsidRPr="00DA3BC7">
        <w:rPr>
          <w:rFonts w:hint="eastAsia"/>
          <w:b/>
        </w:rPr>
        <w:t>說</w:t>
      </w:r>
      <w:r w:rsidRPr="00DA3BC7">
        <w:rPr>
          <w:rFonts w:hint="eastAsia"/>
        </w:rPr>
        <w:t>，即是</w:t>
      </w:r>
      <w:r w:rsidRPr="00DA3BC7">
        <w:rPr>
          <w:rFonts w:hint="eastAsia"/>
          <w:b/>
        </w:rPr>
        <w:t>執境為實有的識</w:t>
      </w:r>
      <w:r w:rsidRPr="00DA3BC7">
        <w:rPr>
          <w:rFonts w:hint="eastAsia"/>
        </w:rPr>
        <w:t>；凡夫不知諸法無自性，</w:t>
      </w:r>
      <w:r w:rsidRPr="00DA3BC7">
        <w:rPr>
          <w:rFonts w:hint="eastAsia"/>
        </w:rPr>
        <w:lastRenderedPageBreak/>
        <w:t>起自性執，這即是生死根元。</w:t>
      </w:r>
    </w:p>
    <w:p w:rsidR="00320F7B" w:rsidRPr="00DA3BC7" w:rsidRDefault="00320F7B" w:rsidP="00AE3920">
      <w:pPr>
        <w:spacing w:beforeLines="30"/>
        <w:ind w:leftChars="350" w:left="840"/>
        <w:jc w:val="both"/>
        <w:rPr>
          <w:rFonts w:ascii="Times Ext Roman" w:eastAsia="SimSun" w:hAnsi="Times Ext Roman" w:cs="Times Ext Roman"/>
          <w:sz w:val="20"/>
        </w:rPr>
      </w:pPr>
      <w:r w:rsidRPr="00811E1B">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D</w:t>
      </w:r>
      <w:r w:rsidRPr="00811E1B">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顯義同</w:t>
      </w:r>
      <w:r w:rsidRPr="00DA3BC7">
        <w:rPr>
          <w:rFonts w:ascii="Times Ext Roman" w:hAnsi="Times Ext Roman" w:cs="Times Ext Roman" w:hint="eastAsia"/>
          <w:sz w:val="20"/>
        </w:rPr>
        <w:t>（</w:t>
      </w:r>
      <w:r w:rsidRPr="00DA3BC7">
        <w:rPr>
          <w:rFonts w:ascii="Times New Roman" w:hAnsi="Times New Roman" w:hint="eastAsia"/>
          <w:sz w:val="20"/>
        </w:rPr>
        <w:t>p.</w:t>
      </w:r>
      <w:r w:rsidRPr="00DA3BC7">
        <w:rPr>
          <w:rFonts w:ascii="Times New Roman" w:eastAsia="SimSun" w:hAnsi="Times New Roman" w:hint="eastAsia"/>
          <w:sz w:val="20"/>
        </w:rPr>
        <w:t>24</w:t>
      </w:r>
      <w:r>
        <w:rPr>
          <w:rFonts w:ascii="Times New Roman" w:eastAsiaTheme="minorEastAsia" w:hAnsi="Times New Roman" w:hint="eastAsia"/>
          <w:sz w:val="20"/>
        </w:rPr>
        <w:t>2</w:t>
      </w:r>
      <w:r w:rsidRPr="00DA3BC7">
        <w:rPr>
          <w:rFonts w:ascii="Times Ext Roman" w:hAnsi="Times Ext Roman" w:cs="Times Ext Roman" w:hint="eastAsia"/>
          <w:sz w:val="20"/>
        </w:rPr>
        <w:t>）</w:t>
      </w:r>
    </w:p>
    <w:p w:rsidR="00AA120F" w:rsidRPr="00DA3BC7" w:rsidRDefault="00AA120F" w:rsidP="00473148">
      <w:pPr>
        <w:ind w:leftChars="350" w:left="840"/>
        <w:jc w:val="both"/>
        <w:rPr>
          <w:rFonts w:eastAsia="SimSun"/>
        </w:rPr>
      </w:pPr>
      <w:r w:rsidRPr="00DA3BC7">
        <w:rPr>
          <w:rFonts w:hint="eastAsia"/>
        </w:rPr>
        <w:t>約見相義或約因果義，皆可說識為根本，也即等於說無明是根本。同樣的生死，根本也只有一，悟理解脫也必然同一。</w:t>
      </w:r>
    </w:p>
    <w:p w:rsidR="00AA120F" w:rsidRPr="00DA3BC7" w:rsidRDefault="00AA120F" w:rsidP="00AE3920">
      <w:pPr>
        <w:spacing w:beforeLines="30"/>
        <w:ind w:leftChars="250" w:left="600"/>
        <w:jc w:val="both"/>
        <w:rPr>
          <w:rFonts w:eastAsia="SimSun"/>
        </w:rPr>
      </w:pPr>
      <w:r w:rsidRPr="00BC7376">
        <w:rPr>
          <w:rFonts w:ascii="新細明體" w:hAnsi="新細明體" w:hint="eastAsia"/>
          <w:b/>
          <w:color w:val="FF0000"/>
          <w:sz w:val="20"/>
          <w:szCs w:val="20"/>
          <w:highlight w:val="yellow"/>
          <w:bdr w:val="single" w:sz="4" w:space="0" w:color="auto"/>
        </w:rPr>
        <w:t>（</w:t>
      </w:r>
      <w:r w:rsidR="00BC7376" w:rsidRPr="00BC7376">
        <w:rPr>
          <w:rFonts w:ascii="Times New Roman" w:hAnsi="Times New Roman" w:hint="eastAsia"/>
          <w:b/>
          <w:color w:val="FF0000"/>
          <w:sz w:val="20"/>
          <w:szCs w:val="20"/>
          <w:highlight w:val="yellow"/>
          <w:bdr w:val="single" w:sz="4" w:space="0" w:color="auto"/>
        </w:rPr>
        <w:t>2</w:t>
      </w:r>
      <w:r w:rsidRPr="00BC7376">
        <w:rPr>
          <w:rFonts w:ascii="新細明體" w:hAnsi="新細明體" w:hint="eastAsia"/>
          <w:b/>
          <w:color w:val="FF0000"/>
          <w:sz w:val="20"/>
          <w:szCs w:val="20"/>
          <w:highlight w:val="yellow"/>
          <w:bdr w:val="single" w:sz="4" w:space="0" w:color="auto"/>
        </w:rPr>
        <w:t>）論</w:t>
      </w:r>
      <w:r w:rsidR="00BC7376" w:rsidRPr="00BC7376">
        <w:rPr>
          <w:rFonts w:ascii="新細明體" w:hAnsi="新細明體" w:hint="eastAsia"/>
          <w:b/>
          <w:color w:val="FF0000"/>
          <w:sz w:val="20"/>
          <w:szCs w:val="20"/>
          <w:highlight w:val="yellow"/>
          <w:bdr w:val="single" w:sz="4" w:space="0" w:color="auto"/>
        </w:rPr>
        <w:t>思想的得失</w:t>
      </w:r>
      <w:r w:rsidRPr="00DA3BC7">
        <w:rPr>
          <w:rFonts w:ascii="Times Ext Roman" w:hAnsi="Times Ext Roman" w:cs="Times Ext Roman" w:hint="eastAsia"/>
          <w:sz w:val="20"/>
        </w:rPr>
        <w:t>（</w:t>
      </w:r>
      <w:r w:rsidRPr="00DA3BC7">
        <w:rPr>
          <w:rFonts w:ascii="Times New Roman" w:hAnsi="Times New Roman" w:hint="eastAsia"/>
          <w:sz w:val="20"/>
        </w:rPr>
        <w:t>p.</w:t>
      </w:r>
      <w:r w:rsidRPr="00DA3BC7">
        <w:rPr>
          <w:rFonts w:ascii="Times New Roman" w:eastAsia="SimSun" w:hAnsi="Times New Roman" w:hint="eastAsia"/>
          <w:sz w:val="20"/>
        </w:rPr>
        <w:t>242</w:t>
      </w:r>
      <w:r w:rsidRPr="00DA3BC7">
        <w:rPr>
          <w:rFonts w:ascii="Times Ext Roman" w:hAnsi="Times Ext Roman" w:cs="Times Ext Roman" w:hint="eastAsia"/>
          <w:sz w:val="20"/>
        </w:rPr>
        <w:t>）</w:t>
      </w:r>
    </w:p>
    <w:p w:rsidR="00BC7376" w:rsidRDefault="00AA120F" w:rsidP="00473148">
      <w:pPr>
        <w:ind w:leftChars="250" w:left="600"/>
        <w:jc w:val="both"/>
      </w:pPr>
      <w:r w:rsidRPr="00DA3BC7">
        <w:rPr>
          <w:rFonts w:hint="eastAsia"/>
        </w:rPr>
        <w:t>唯心論，依龍樹說，也不失為入道方便。說境唯心現，這因為眾生偏執外境為實有，偏執主觀的心識隨客觀環境而轉。為針對此種偏執，使眾生了達外境非實，故特地強調主觀心識，這只是</w:t>
      </w:r>
      <w:r w:rsidRPr="00DA3BC7">
        <w:rPr>
          <w:rFonts w:hint="eastAsia"/>
          <w:b/>
        </w:rPr>
        <w:t>對治悉檀</w:t>
      </w:r>
      <w:r w:rsidRPr="00DA3BC7">
        <w:rPr>
          <w:rFonts w:hint="eastAsia"/>
        </w:rPr>
        <w:t>。</w:t>
      </w:r>
      <w:r w:rsidRPr="00DA3BC7">
        <w:rPr>
          <w:rStyle w:val="a6"/>
          <w:rFonts w:ascii="Times New Roman" w:hAnsi="Times New Roman"/>
        </w:rPr>
        <w:footnoteReference w:id="1053"/>
      </w:r>
    </w:p>
    <w:p w:rsidR="00AA120F" w:rsidRPr="00DA3BC7" w:rsidRDefault="00AA120F" w:rsidP="00473148">
      <w:pPr>
        <w:ind w:leftChars="250" w:left="600"/>
        <w:jc w:val="both"/>
        <w:rPr>
          <w:rFonts w:eastAsia="SimSun"/>
        </w:rPr>
      </w:pPr>
      <w:r w:rsidRPr="00BC7376">
        <w:rPr>
          <w:rFonts w:hint="eastAsia"/>
          <w:highlight w:val="yellow"/>
        </w:rPr>
        <w:t>若</w:t>
      </w:r>
      <w:r w:rsidRPr="00DA3BC7">
        <w:rPr>
          <w:rFonts w:hint="eastAsia"/>
        </w:rPr>
        <w:t>即此執為真實心或真常心，那不過是「梵王舊執」</w:t>
      </w:r>
      <w:r w:rsidRPr="00DA3BC7">
        <w:rPr>
          <w:rStyle w:val="a6"/>
          <w:rFonts w:ascii="Times New Roman" w:hAnsi="Times New Roman"/>
        </w:rPr>
        <w:footnoteReference w:id="1054"/>
      </w:r>
      <w:r w:rsidRPr="00DA3BC7">
        <w:rPr>
          <w:rFonts w:hint="eastAsia"/>
        </w:rPr>
        <w:t>，婆羅門教的舊</w:t>
      </w:r>
      <w:r w:rsidRPr="00DA3BC7">
        <w:rPr>
          <w:rFonts w:hint="eastAsia"/>
        </w:rPr>
        <w:lastRenderedPageBreak/>
        <w:t>思想而已！</w:t>
      </w:r>
    </w:p>
    <w:p w:rsidR="00AA120F" w:rsidRPr="00DA3BC7" w:rsidRDefault="00AA120F" w:rsidP="00AE3920">
      <w:pPr>
        <w:spacing w:beforeLines="30"/>
        <w:ind w:leftChars="50" w:left="120"/>
        <w:jc w:val="both"/>
        <w:rPr>
          <w:rFonts w:eastAsia="SimSun"/>
        </w:rPr>
      </w:pPr>
      <w:r w:rsidRPr="00DA3BC7">
        <w:rPr>
          <w:rFonts w:ascii="新細明體" w:hAnsi="新細明體" w:hint="eastAsia"/>
          <w:b/>
          <w:sz w:val="20"/>
          <w:szCs w:val="20"/>
          <w:bdr w:val="single" w:sz="4" w:space="0" w:color="auto"/>
        </w:rPr>
        <w:t>（貳）緣起性空</w:t>
      </w:r>
      <w:r w:rsidRPr="00DA3BC7">
        <w:rPr>
          <w:rFonts w:ascii="Times Ext Roman" w:hAnsi="Times Ext Roman" w:cs="Times Ext Roman" w:hint="eastAsia"/>
          <w:sz w:val="20"/>
        </w:rPr>
        <w:t>（</w:t>
      </w:r>
      <w:r w:rsidRPr="00DA3BC7">
        <w:rPr>
          <w:rFonts w:ascii="Times New Roman" w:hAnsi="Times New Roman" w:hint="eastAsia"/>
          <w:sz w:val="20"/>
        </w:rPr>
        <w:t>pp.</w:t>
      </w:r>
      <w:r w:rsidRPr="00DA3BC7">
        <w:rPr>
          <w:rFonts w:ascii="Times New Roman" w:eastAsia="SimSun" w:hAnsi="Times New Roman" w:hint="eastAsia"/>
          <w:sz w:val="20"/>
        </w:rPr>
        <w:t>242-252</w:t>
      </w:r>
      <w:r w:rsidRPr="00DA3BC7">
        <w:rPr>
          <w:rFonts w:ascii="Times Ext Roman" w:hAnsi="Times Ext Roman" w:cs="Times Ext Roman" w:hint="eastAsia"/>
          <w:sz w:val="20"/>
        </w:rPr>
        <w:t>）</w:t>
      </w:r>
    </w:p>
    <w:p w:rsidR="00AA120F" w:rsidRPr="00DA3BC7" w:rsidRDefault="00AA120F" w:rsidP="008E2BBC">
      <w:pPr>
        <w:ind w:leftChars="100" w:left="240"/>
        <w:jc w:val="both"/>
        <w:rPr>
          <w:rFonts w:ascii="Times Ext Roman" w:eastAsia="SimSun" w:hAnsi="Times Ext Roman" w:cs="Times Ext Roman"/>
          <w:sz w:val="20"/>
        </w:rPr>
      </w:pPr>
      <w:r w:rsidRPr="00DA3BC7">
        <w:rPr>
          <w:rFonts w:ascii="新細明體" w:hAnsi="新細明體" w:hint="eastAsia"/>
          <w:b/>
          <w:sz w:val="20"/>
          <w:szCs w:val="20"/>
          <w:bdr w:val="single" w:sz="4" w:space="0" w:color="auto"/>
        </w:rPr>
        <w:t>一、</w:t>
      </w:r>
      <w:r w:rsidR="00BC7376" w:rsidRPr="00BC7376">
        <w:rPr>
          <w:rFonts w:ascii="新細明體" w:hAnsi="新細明體" w:hint="eastAsia"/>
          <w:b/>
          <w:color w:val="FF0000"/>
          <w:sz w:val="20"/>
          <w:szCs w:val="20"/>
          <w:highlight w:val="yellow"/>
          <w:bdr w:val="single" w:sz="4" w:space="0" w:color="auto"/>
        </w:rPr>
        <w:t>約「性本</w:t>
      </w:r>
      <w:r w:rsidRPr="00BC7376">
        <w:rPr>
          <w:rFonts w:ascii="新細明體" w:hAnsi="新細明體" w:hint="eastAsia"/>
          <w:b/>
          <w:color w:val="FF0000"/>
          <w:sz w:val="20"/>
          <w:szCs w:val="20"/>
          <w:highlight w:val="yellow"/>
          <w:bdr w:val="single" w:sz="4" w:space="0" w:color="auto"/>
        </w:rPr>
        <w:t>空</w:t>
      </w:r>
      <w:r w:rsidR="00BC7376" w:rsidRPr="00BC7376">
        <w:rPr>
          <w:rFonts w:ascii="新細明體" w:hAnsi="新細明體" w:hint="eastAsia"/>
          <w:b/>
          <w:color w:val="FF0000"/>
          <w:sz w:val="20"/>
          <w:szCs w:val="20"/>
          <w:highlight w:val="yellow"/>
          <w:bdr w:val="single" w:sz="4" w:space="0" w:color="auto"/>
        </w:rPr>
        <w:t>」則「我」、「法」一</w:t>
      </w:r>
      <w:r w:rsidRPr="00DA3BC7">
        <w:rPr>
          <w:rFonts w:ascii="Times Ext Roman" w:hAnsi="Times Ext Roman" w:cs="Times Ext Roman" w:hint="eastAsia"/>
          <w:sz w:val="20"/>
        </w:rPr>
        <w:t>（</w:t>
      </w:r>
      <w:r w:rsidRPr="00DA3BC7">
        <w:rPr>
          <w:rFonts w:ascii="Times New Roman" w:hAnsi="Times New Roman" w:hint="eastAsia"/>
          <w:sz w:val="20"/>
        </w:rPr>
        <w:t>pp.</w:t>
      </w:r>
      <w:r w:rsidRPr="00DA3BC7">
        <w:rPr>
          <w:rFonts w:ascii="Times New Roman" w:eastAsia="SimSun" w:hAnsi="Times New Roman" w:hint="eastAsia"/>
          <w:sz w:val="20"/>
        </w:rPr>
        <w:t>242</w:t>
      </w:r>
      <w:r w:rsidRPr="00DA3BC7">
        <w:rPr>
          <w:rFonts w:ascii="Times New Roman" w:hAnsi="Times New Roman" w:hint="eastAsia"/>
          <w:sz w:val="20"/>
        </w:rPr>
        <w:t>-</w:t>
      </w:r>
      <w:r w:rsidRPr="00DA3BC7">
        <w:rPr>
          <w:rFonts w:ascii="Times New Roman" w:eastAsia="SimSun" w:hAnsi="Times New Roman" w:hint="eastAsia"/>
          <w:sz w:val="20"/>
        </w:rPr>
        <w:t>247</w:t>
      </w:r>
      <w:r w:rsidRPr="00DA3BC7">
        <w:rPr>
          <w:rFonts w:ascii="Times Ext Roman" w:hAnsi="Times Ext Roman" w:cs="Times Ext Roman" w:hint="eastAsia"/>
          <w:sz w:val="20"/>
        </w:rPr>
        <w:t>）</w:t>
      </w:r>
    </w:p>
    <w:p w:rsidR="00AA120F" w:rsidRDefault="00AA120F" w:rsidP="008E2BBC">
      <w:pPr>
        <w:ind w:leftChars="150" w:left="360"/>
        <w:jc w:val="both"/>
        <w:rPr>
          <w:rFonts w:ascii="Times Ext Roman" w:hAnsi="Times Ext Roman" w:cs="Times Ext Roman"/>
          <w:sz w:val="20"/>
        </w:rPr>
      </w:pPr>
      <w:r w:rsidRPr="00BC7376">
        <w:rPr>
          <w:rFonts w:ascii="Times New Roman" w:hAnsi="Times New Roman" w:hint="eastAsia"/>
          <w:b/>
          <w:color w:val="FF0000"/>
          <w:sz w:val="20"/>
          <w:szCs w:val="20"/>
          <w:highlight w:val="yellow"/>
          <w:bdr w:val="single" w:sz="4" w:space="0" w:color="auto"/>
        </w:rPr>
        <w:t>（一）</w:t>
      </w:r>
      <w:r w:rsidR="00BC7376" w:rsidRPr="00BC7376">
        <w:rPr>
          <w:rFonts w:ascii="新細明體" w:hAnsi="新細明體" w:hint="eastAsia"/>
          <w:b/>
          <w:color w:val="FF0000"/>
          <w:sz w:val="20"/>
          <w:szCs w:val="20"/>
          <w:highlight w:val="yellow"/>
          <w:bdr w:val="single" w:sz="4" w:space="0" w:color="auto"/>
        </w:rPr>
        <w:t>重「離薩迦耶見」</w:t>
      </w:r>
      <w:r w:rsidR="00656FE1">
        <w:rPr>
          <w:rFonts w:ascii="Times New Roman" w:hAnsi="Times New Roman" w:hint="eastAsia"/>
          <w:b/>
          <w:color w:val="FF0000"/>
          <w:sz w:val="20"/>
          <w:szCs w:val="20"/>
          <w:highlight w:val="yellow"/>
          <w:bdr w:val="single" w:sz="4" w:space="0" w:color="auto"/>
        </w:rPr>
        <w:t>vs.</w:t>
      </w:r>
      <w:r w:rsidR="00BC7376" w:rsidRPr="00BC7376">
        <w:rPr>
          <w:rFonts w:ascii="Times New Roman" w:hAnsi="Times New Roman" w:hint="eastAsia"/>
          <w:b/>
          <w:color w:val="FF0000"/>
          <w:sz w:val="20"/>
          <w:szCs w:val="20"/>
          <w:highlight w:val="yellow"/>
          <w:bdr w:val="single" w:sz="4" w:space="0" w:color="auto"/>
        </w:rPr>
        <w:t>廣明「</w:t>
      </w:r>
      <w:r w:rsidRPr="00BC7376">
        <w:rPr>
          <w:rFonts w:ascii="新細明體" w:hAnsi="新細明體" w:hint="eastAsia"/>
          <w:b/>
          <w:color w:val="FF0000"/>
          <w:sz w:val="20"/>
          <w:szCs w:val="20"/>
          <w:highlight w:val="yellow"/>
          <w:bdr w:val="single" w:sz="4" w:space="0" w:color="auto"/>
        </w:rPr>
        <w:t>一切法空</w:t>
      </w:r>
      <w:r w:rsidR="00BC7376" w:rsidRPr="00BC7376">
        <w:rPr>
          <w:rFonts w:ascii="新細明體" w:hAnsi="新細明體" w:hint="eastAsia"/>
          <w:b/>
          <w:color w:val="FF0000"/>
          <w:sz w:val="20"/>
          <w:szCs w:val="20"/>
          <w:highlight w:val="yellow"/>
          <w:bdr w:val="single" w:sz="4" w:space="0" w:color="auto"/>
        </w:rPr>
        <w:t>」</w:t>
      </w:r>
      <w:r w:rsidRPr="00DA3BC7">
        <w:rPr>
          <w:rFonts w:ascii="Times Ext Roman" w:hAnsi="Times Ext Roman" w:cs="Times Ext Roman" w:hint="eastAsia"/>
          <w:sz w:val="20"/>
        </w:rPr>
        <w:t>（</w:t>
      </w:r>
      <w:r w:rsidRPr="00DA3BC7">
        <w:rPr>
          <w:rFonts w:ascii="Times New Roman" w:hAnsi="Times New Roman" w:hint="eastAsia"/>
          <w:sz w:val="20"/>
        </w:rPr>
        <w:t>p.</w:t>
      </w:r>
      <w:r w:rsidRPr="00DA3BC7">
        <w:rPr>
          <w:rFonts w:ascii="Times New Roman" w:eastAsia="SimSun" w:hAnsi="Times New Roman" w:hint="eastAsia"/>
          <w:sz w:val="20"/>
        </w:rPr>
        <w:t>242</w:t>
      </w:r>
      <w:r w:rsidRPr="00DA3BC7">
        <w:rPr>
          <w:rFonts w:ascii="Times Ext Roman" w:hAnsi="Times Ext Roman" w:cs="Times Ext Roman" w:hint="eastAsia"/>
          <w:sz w:val="20"/>
        </w:rPr>
        <w:t>）</w:t>
      </w:r>
    </w:p>
    <w:p w:rsidR="00BC7376" w:rsidRPr="00DA3BC7" w:rsidRDefault="00BC7376" w:rsidP="00473148">
      <w:pPr>
        <w:ind w:leftChars="200" w:left="480"/>
        <w:jc w:val="both"/>
        <w:rPr>
          <w:rFonts w:eastAsia="SimSun"/>
        </w:rPr>
      </w:pPr>
      <w:r>
        <w:rPr>
          <w:rFonts w:ascii="Times New Roman" w:hAnsi="Times New Roman" w:hint="eastAsia"/>
          <w:b/>
          <w:color w:val="FF0000"/>
          <w:sz w:val="20"/>
          <w:szCs w:val="20"/>
          <w:highlight w:val="yellow"/>
          <w:bdr w:val="single" w:sz="4" w:space="0" w:color="auto"/>
        </w:rPr>
        <w:t>1</w:t>
      </w:r>
      <w:r>
        <w:rPr>
          <w:rFonts w:ascii="Times New Roman" w:hAnsi="Times New Roman" w:hint="eastAsia"/>
          <w:b/>
          <w:color w:val="FF0000"/>
          <w:sz w:val="20"/>
          <w:szCs w:val="20"/>
          <w:highlight w:val="yellow"/>
          <w:bdr w:val="single" w:sz="4" w:space="0" w:color="auto"/>
        </w:rPr>
        <w:t>、中觀宗的主張</w:t>
      </w:r>
    </w:p>
    <w:p w:rsidR="00AA120F" w:rsidRPr="00DA3BC7" w:rsidRDefault="00AA120F" w:rsidP="00473148">
      <w:pPr>
        <w:ind w:leftChars="200" w:left="480"/>
        <w:jc w:val="both"/>
      </w:pPr>
      <w:r w:rsidRPr="00DA3BC7">
        <w:rPr>
          <w:rFonts w:hint="eastAsia"/>
        </w:rPr>
        <w:t>依緣起法而觀空，中觀宗說：於一切法中尋求自性不可得為空。空性是一，因觀空的所依不同，有人空與法空之分。</w:t>
      </w:r>
    </w:p>
    <w:p w:rsidR="00AA120F" w:rsidRPr="00DA3BC7" w:rsidRDefault="00AA120F" w:rsidP="00473148">
      <w:pPr>
        <w:ind w:leftChars="200" w:left="480"/>
        <w:jc w:val="both"/>
      </w:pPr>
      <w:r w:rsidRPr="00DA3BC7">
        <w:rPr>
          <w:rFonts w:hint="eastAsia"/>
        </w:rPr>
        <w:t>於有情身中</w:t>
      </w:r>
      <w:r w:rsidRPr="00DA3BC7">
        <w:rPr>
          <w:rFonts w:hint="eastAsia"/>
          <w:b/>
        </w:rPr>
        <w:t>我性不可得</w:t>
      </w:r>
      <w:r w:rsidRPr="00DA3BC7">
        <w:rPr>
          <w:rFonts w:hint="eastAsia"/>
        </w:rPr>
        <w:t>為</w:t>
      </w:r>
      <w:r w:rsidRPr="00DA3BC7">
        <w:rPr>
          <w:rFonts w:hint="eastAsia"/>
          <w:b/>
        </w:rPr>
        <w:t>我空</w:t>
      </w:r>
      <w:r w:rsidRPr="00DA3BC7">
        <w:rPr>
          <w:rFonts w:hint="eastAsia"/>
        </w:rPr>
        <w:t>，</w:t>
      </w:r>
    </w:p>
    <w:p w:rsidR="00AA120F" w:rsidRPr="00DA3BC7" w:rsidRDefault="00AA120F" w:rsidP="00473148">
      <w:pPr>
        <w:ind w:leftChars="200" w:left="480"/>
        <w:jc w:val="both"/>
        <w:rPr>
          <w:rFonts w:eastAsia="SimSun"/>
        </w:rPr>
      </w:pPr>
      <w:r w:rsidRPr="00DA3BC7">
        <w:rPr>
          <w:rFonts w:hint="eastAsia"/>
        </w:rPr>
        <w:t>於其他</w:t>
      </w:r>
      <w:r w:rsidRPr="00DA3BC7">
        <w:rPr>
          <w:rFonts w:hint="eastAsia"/>
          <w:b/>
        </w:rPr>
        <w:t>一切法上自性不可得</w:t>
      </w:r>
      <w:r w:rsidRPr="00DA3BC7">
        <w:rPr>
          <w:rFonts w:hint="eastAsia"/>
        </w:rPr>
        <w:t>為</w:t>
      </w:r>
      <w:r w:rsidRPr="00DA3BC7">
        <w:rPr>
          <w:rFonts w:hint="eastAsia"/>
          <w:b/>
        </w:rPr>
        <w:t>法空</w:t>
      </w:r>
      <w:r w:rsidRPr="00DA3BC7">
        <w:rPr>
          <w:rFonts w:hint="eastAsia"/>
        </w:rPr>
        <w:t>。</w:t>
      </w:r>
    </w:p>
    <w:p w:rsidR="00BC7376" w:rsidRDefault="00BC7376" w:rsidP="00AE3920">
      <w:pPr>
        <w:spacing w:beforeLines="30"/>
        <w:ind w:leftChars="200" w:left="480"/>
        <w:jc w:val="both"/>
        <w:rPr>
          <w:rFonts w:ascii="新細明體" w:hAnsi="新細明體"/>
          <w:b/>
          <w:color w:val="FF0000"/>
          <w:sz w:val="20"/>
          <w:szCs w:val="20"/>
          <w:bdr w:val="single" w:sz="4" w:space="0" w:color="auto"/>
        </w:rPr>
      </w:pPr>
      <w:r w:rsidRPr="00BC7376">
        <w:rPr>
          <w:rFonts w:ascii="Times New Roman" w:hAnsi="Times New Roman" w:hint="eastAsia"/>
          <w:b/>
          <w:color w:val="FF0000"/>
          <w:sz w:val="20"/>
          <w:szCs w:val="20"/>
          <w:highlight w:val="yellow"/>
          <w:bdr w:val="single" w:sz="4" w:space="0" w:color="auto"/>
        </w:rPr>
        <w:t>2</w:t>
      </w:r>
      <w:r w:rsidRPr="00BC7376">
        <w:rPr>
          <w:rFonts w:ascii="Times New Roman" w:hAnsi="Times New Roman" w:hint="eastAsia"/>
          <w:b/>
          <w:color w:val="FF0000"/>
          <w:sz w:val="20"/>
          <w:szCs w:val="20"/>
          <w:highlight w:val="yellow"/>
          <w:bdr w:val="single" w:sz="4" w:space="0" w:color="auto"/>
        </w:rPr>
        <w:t>、釋</w:t>
      </w:r>
      <w:r w:rsidRPr="00BC7376">
        <w:rPr>
          <w:rFonts w:ascii="新細明體" w:hAnsi="新細明體"/>
          <w:b/>
          <w:color w:val="FF0000"/>
          <w:sz w:val="20"/>
          <w:szCs w:val="20"/>
          <w:highlight w:val="yellow"/>
          <w:bdr w:val="single" w:sz="4" w:space="0" w:color="auto"/>
        </w:rPr>
        <w:t>「我」與「法」</w:t>
      </w:r>
      <w:r w:rsidRPr="00DA3BC7">
        <w:rPr>
          <w:rFonts w:ascii="Times Ext Roman" w:hAnsi="Times Ext Roman" w:cs="Times Ext Roman" w:hint="eastAsia"/>
          <w:sz w:val="20"/>
        </w:rPr>
        <w:t>（</w:t>
      </w:r>
      <w:r w:rsidRPr="00DA3BC7">
        <w:rPr>
          <w:rFonts w:ascii="Times New Roman" w:hAnsi="Times New Roman" w:hint="eastAsia"/>
          <w:sz w:val="20"/>
        </w:rPr>
        <w:t>pp.</w:t>
      </w:r>
      <w:r w:rsidRPr="00DA3BC7">
        <w:rPr>
          <w:rFonts w:ascii="Times New Roman" w:eastAsia="SimSun" w:hAnsi="Times New Roman" w:hint="eastAsia"/>
          <w:sz w:val="20"/>
        </w:rPr>
        <w:t>242-243</w:t>
      </w:r>
      <w:r w:rsidRPr="00DA3BC7">
        <w:rPr>
          <w:rFonts w:ascii="Times Ext Roman" w:hAnsi="Times Ext Roman" w:cs="Times Ext Roman" w:hint="eastAsia"/>
          <w:sz w:val="20"/>
        </w:rPr>
        <w:t>）</w:t>
      </w:r>
    </w:p>
    <w:p w:rsidR="00AA120F" w:rsidRPr="00DA3BC7" w:rsidRDefault="00AA120F" w:rsidP="00473148">
      <w:pPr>
        <w:ind w:leftChars="250" w:left="600"/>
        <w:jc w:val="both"/>
        <w:rPr>
          <w:rFonts w:eastAsia="SimSun"/>
        </w:rPr>
      </w:pPr>
      <w:r w:rsidRPr="00BC7376">
        <w:rPr>
          <w:rFonts w:ascii="新細明體" w:hAnsi="新細明體" w:hint="eastAsia"/>
          <w:b/>
          <w:color w:val="FF0000"/>
          <w:sz w:val="20"/>
          <w:szCs w:val="20"/>
          <w:highlight w:val="yellow"/>
          <w:bdr w:val="single" w:sz="4" w:space="0" w:color="auto"/>
        </w:rPr>
        <w:t>（</w:t>
      </w:r>
      <w:r w:rsidR="00BC7376" w:rsidRPr="00BC7376">
        <w:rPr>
          <w:rFonts w:ascii="Times New Roman" w:hAnsi="Times New Roman" w:hint="eastAsia"/>
          <w:b/>
          <w:color w:val="FF0000"/>
          <w:sz w:val="20"/>
          <w:szCs w:val="20"/>
          <w:highlight w:val="yellow"/>
          <w:bdr w:val="single" w:sz="4" w:space="0" w:color="auto"/>
        </w:rPr>
        <w:t>1</w:t>
      </w:r>
      <w:r w:rsidRPr="00BC7376">
        <w:rPr>
          <w:rFonts w:ascii="新細明體" w:hAnsi="新細明體" w:hint="eastAsia"/>
          <w:b/>
          <w:color w:val="FF0000"/>
          <w:sz w:val="20"/>
          <w:szCs w:val="20"/>
          <w:highlight w:val="yellow"/>
          <w:bdr w:val="single" w:sz="4" w:space="0" w:color="auto"/>
        </w:rPr>
        <w:t>）</w:t>
      </w:r>
      <w:r w:rsidR="00BC7376" w:rsidRPr="00BC7376">
        <w:rPr>
          <w:rFonts w:ascii="新細明體" w:hAnsi="新細明體" w:hint="eastAsia"/>
          <w:b/>
          <w:color w:val="FF0000"/>
          <w:sz w:val="20"/>
          <w:szCs w:val="20"/>
          <w:highlight w:val="yellow"/>
          <w:bdr w:val="single" w:sz="4" w:space="0" w:color="auto"/>
        </w:rPr>
        <w:t>明</w:t>
      </w:r>
      <w:r w:rsidR="00BC7376" w:rsidRPr="00BC7376">
        <w:rPr>
          <w:rFonts w:ascii="新細明體" w:hAnsi="新細明體"/>
          <w:b/>
          <w:color w:val="FF0000"/>
          <w:sz w:val="20"/>
          <w:szCs w:val="20"/>
          <w:highlight w:val="yellow"/>
          <w:bdr w:val="single" w:sz="4" w:space="0" w:color="auto"/>
        </w:rPr>
        <w:t>「我」</w:t>
      </w:r>
      <w:r w:rsidR="00BC7376" w:rsidRPr="00BC7376">
        <w:rPr>
          <w:rFonts w:ascii="新細明體" w:hAnsi="新細明體" w:hint="eastAsia"/>
          <w:b/>
          <w:color w:val="FF0000"/>
          <w:sz w:val="20"/>
          <w:szCs w:val="20"/>
          <w:highlight w:val="yellow"/>
          <w:bdr w:val="single" w:sz="4" w:space="0" w:color="auto"/>
        </w:rPr>
        <w:t>、</w:t>
      </w:r>
      <w:r w:rsidRPr="00BC7376">
        <w:rPr>
          <w:rFonts w:ascii="新細明體" w:hAnsi="新細明體"/>
          <w:b/>
          <w:color w:val="FF0000"/>
          <w:sz w:val="20"/>
          <w:szCs w:val="20"/>
          <w:highlight w:val="yellow"/>
          <w:bdr w:val="single" w:sz="4" w:space="0" w:color="auto"/>
        </w:rPr>
        <w:t>「法」</w:t>
      </w:r>
      <w:r w:rsidRPr="00BC7376">
        <w:rPr>
          <w:rFonts w:ascii="新細明體" w:hAnsi="新細明體" w:hint="eastAsia"/>
          <w:b/>
          <w:color w:val="FF0000"/>
          <w:sz w:val="20"/>
          <w:szCs w:val="20"/>
          <w:highlight w:val="yellow"/>
          <w:bdr w:val="single" w:sz="4" w:space="0" w:color="auto"/>
        </w:rPr>
        <w:t>二</w:t>
      </w:r>
      <w:r w:rsidR="00BC7376" w:rsidRPr="00BC7376">
        <w:rPr>
          <w:rFonts w:ascii="新細明體" w:hAnsi="新細明體" w:hint="eastAsia"/>
          <w:b/>
          <w:color w:val="FF0000"/>
          <w:sz w:val="20"/>
          <w:szCs w:val="20"/>
          <w:highlight w:val="yellow"/>
          <w:bdr w:val="single" w:sz="4" w:space="0" w:color="auto"/>
        </w:rPr>
        <w:t>義</w:t>
      </w:r>
      <w:r w:rsidRPr="00DA3BC7">
        <w:rPr>
          <w:rFonts w:ascii="Times Ext Roman" w:hAnsi="Times Ext Roman" w:cs="Times Ext Roman" w:hint="eastAsia"/>
          <w:sz w:val="20"/>
        </w:rPr>
        <w:t>（</w:t>
      </w:r>
      <w:r w:rsidRPr="00DA3BC7">
        <w:rPr>
          <w:rFonts w:ascii="Times New Roman" w:hAnsi="Times New Roman" w:hint="eastAsia"/>
          <w:sz w:val="20"/>
        </w:rPr>
        <w:t>pp.</w:t>
      </w:r>
      <w:r w:rsidRPr="00DA3BC7">
        <w:rPr>
          <w:rFonts w:ascii="Times New Roman" w:eastAsia="SimSun" w:hAnsi="Times New Roman" w:hint="eastAsia"/>
          <w:sz w:val="20"/>
        </w:rPr>
        <w:t>242-243</w:t>
      </w:r>
      <w:r w:rsidRPr="00DA3BC7">
        <w:rPr>
          <w:rFonts w:ascii="Times Ext Roman" w:hAnsi="Times Ext Roman" w:cs="Times Ext Roman" w:hint="eastAsia"/>
          <w:sz w:val="20"/>
        </w:rPr>
        <w:t>）</w:t>
      </w:r>
    </w:p>
    <w:p w:rsidR="00AA120F" w:rsidRPr="00DA3BC7" w:rsidRDefault="00AA120F" w:rsidP="00473148">
      <w:pPr>
        <w:ind w:leftChars="250" w:left="600"/>
        <w:jc w:val="both"/>
        <w:rPr>
          <w:rFonts w:eastAsia="SimSun"/>
        </w:rPr>
      </w:pPr>
      <w:r w:rsidRPr="00DA3BC7">
        <w:rPr>
          <w:rFonts w:hint="eastAsia"/>
        </w:rPr>
        <w:t>但我法可有二種：</w:t>
      </w:r>
    </w:p>
    <w:p w:rsidR="00AA120F" w:rsidRPr="00DA3BC7" w:rsidRDefault="00AA120F" w:rsidP="00473148">
      <w:pPr>
        <w:ind w:leftChars="250" w:left="1296" w:hangingChars="290" w:hanging="696"/>
        <w:jc w:val="both"/>
        <w:rPr>
          <w:rFonts w:ascii="新細明體" w:eastAsia="SimSun" w:hAnsi="新細明體"/>
        </w:rPr>
      </w:pPr>
      <w:r w:rsidRPr="00DA3BC7">
        <w:rPr>
          <w:rFonts w:ascii="新細明體" w:hAnsi="新細明體" w:hint="eastAsia"/>
        </w:rPr>
        <w:t>（一）</w:t>
      </w:r>
      <w:r w:rsidRPr="00DA3BC7">
        <w:rPr>
          <w:rFonts w:ascii="新細明體" w:hAnsi="新細明體" w:hint="eastAsia"/>
          <w:b/>
        </w:rPr>
        <w:t>我</w:t>
      </w:r>
      <w:r w:rsidRPr="00DA3BC7">
        <w:rPr>
          <w:rFonts w:ascii="新細明體" w:hAnsi="新細明體" w:hint="eastAsia"/>
        </w:rPr>
        <w:t>即</w:t>
      </w:r>
      <w:r w:rsidRPr="00DA3BC7">
        <w:rPr>
          <w:rFonts w:ascii="新細明體" w:hAnsi="新細明體" w:hint="eastAsia"/>
          <w:b/>
        </w:rPr>
        <w:t>自我</w:t>
      </w:r>
      <w:r w:rsidRPr="00DA3BC7">
        <w:rPr>
          <w:rFonts w:ascii="新細明體" w:hAnsi="新細明體" w:hint="eastAsia"/>
        </w:rPr>
        <w:t>，有情直覺自我為</w:t>
      </w:r>
      <w:r w:rsidRPr="00DA3BC7">
        <w:rPr>
          <w:rFonts w:ascii="新細明體" w:hAnsi="新細明體" w:hint="eastAsia"/>
          <w:b/>
        </w:rPr>
        <w:t>主宰者</w:t>
      </w:r>
      <w:r w:rsidRPr="00DA3BC7">
        <w:rPr>
          <w:rFonts w:ascii="新細明體" w:hAnsi="新細明體" w:hint="eastAsia"/>
        </w:rPr>
        <w:t>；</w:t>
      </w:r>
      <w:r w:rsidRPr="00DA3BC7">
        <w:rPr>
          <w:rFonts w:ascii="新細明體" w:hAnsi="新細明體" w:hint="eastAsia"/>
          <w:b/>
        </w:rPr>
        <w:t>自我的所依</w:t>
      </w:r>
      <w:r w:rsidRPr="00DA3BC7">
        <w:rPr>
          <w:rFonts w:ascii="新細明體" w:hAnsi="新細明體" w:hint="eastAsia"/>
        </w:rPr>
        <w:t>或</w:t>
      </w:r>
      <w:r w:rsidRPr="00DA3BC7">
        <w:rPr>
          <w:rFonts w:ascii="新細明體" w:hAnsi="新細明體" w:hint="eastAsia"/>
          <w:b/>
        </w:rPr>
        <w:t>自我的對象</w:t>
      </w:r>
      <w:r w:rsidRPr="00DA3BC7">
        <w:rPr>
          <w:rFonts w:ascii="新細明體" w:hAnsi="新細明體" w:hint="eastAsia"/>
        </w:rPr>
        <w:t>都是</w:t>
      </w:r>
      <w:r w:rsidRPr="00DA3BC7">
        <w:rPr>
          <w:rFonts w:ascii="新細明體" w:hAnsi="新細明體" w:hint="eastAsia"/>
          <w:b/>
        </w:rPr>
        <w:t>法</w:t>
      </w:r>
      <w:r w:rsidRPr="00DA3BC7">
        <w:rPr>
          <w:rFonts w:ascii="新細明體" w:hAnsi="新細明體" w:hint="eastAsia"/>
        </w:rPr>
        <w:t>。</w:t>
      </w:r>
    </w:p>
    <w:p w:rsidR="00AA120F" w:rsidRPr="00DA3BC7" w:rsidRDefault="00AA120F" w:rsidP="00473148">
      <w:pPr>
        <w:ind w:leftChars="250" w:left="600"/>
        <w:jc w:val="both"/>
        <w:rPr>
          <w:rFonts w:ascii="新細明體" w:hAnsi="新細明體"/>
        </w:rPr>
      </w:pPr>
      <w:r w:rsidRPr="00DA3BC7">
        <w:rPr>
          <w:rFonts w:ascii="新細明體" w:hAnsi="新細明體" w:hint="eastAsia"/>
        </w:rPr>
        <w:t>（二）經中所說的我與世間，也即是</w:t>
      </w:r>
      <w:r w:rsidRPr="00DA3BC7">
        <w:rPr>
          <w:rFonts w:ascii="新細明體" w:hAnsi="新細明體" w:hint="eastAsia"/>
          <w:b/>
        </w:rPr>
        <w:t>我</w:t>
      </w:r>
      <w:r w:rsidRPr="00DA3BC7">
        <w:rPr>
          <w:rFonts w:ascii="新細明體" w:hAnsi="新細明體" w:hint="eastAsia"/>
        </w:rPr>
        <w:t>與</w:t>
      </w:r>
      <w:r w:rsidRPr="00DA3BC7">
        <w:rPr>
          <w:rFonts w:ascii="新細明體" w:hAnsi="新細明體" w:hint="eastAsia"/>
          <w:b/>
        </w:rPr>
        <w:t>法</w:t>
      </w:r>
      <w:r w:rsidRPr="00DA3BC7">
        <w:rPr>
          <w:rFonts w:ascii="新細明體" w:hAnsi="新細明體" w:hint="eastAsia"/>
        </w:rPr>
        <w:t>。</w:t>
      </w:r>
    </w:p>
    <w:p w:rsidR="00AA120F" w:rsidRPr="00DA3BC7" w:rsidRDefault="00AA120F" w:rsidP="00473148">
      <w:pPr>
        <w:ind w:leftChars="550" w:left="1320"/>
        <w:jc w:val="both"/>
      </w:pPr>
      <w:r w:rsidRPr="00DA3BC7">
        <w:rPr>
          <w:rFonts w:ascii="新細明體" w:hAnsi="新細明體" w:hint="eastAsia"/>
          <w:b/>
        </w:rPr>
        <w:t>我</w:t>
      </w:r>
      <w:r w:rsidRPr="00DA3BC7">
        <w:rPr>
          <w:rFonts w:ascii="新細明體" w:hAnsi="新細明體" w:hint="eastAsia"/>
        </w:rPr>
        <w:t>指</w:t>
      </w:r>
      <w:r w:rsidRPr="00DA3BC7">
        <w:rPr>
          <w:rFonts w:ascii="新細明體" w:hAnsi="新細明體" w:hint="eastAsia"/>
          <w:b/>
        </w:rPr>
        <w:t>一一有情</w:t>
      </w:r>
      <w:r w:rsidRPr="00DA3BC7">
        <w:rPr>
          <w:rFonts w:ascii="新細明體" w:hAnsi="新細明體" w:hint="eastAsia"/>
        </w:rPr>
        <w:t>，有情為精神與物質──名、色和合</w:t>
      </w:r>
      <w:r w:rsidRPr="00DA3BC7">
        <w:rPr>
          <w:rFonts w:hint="eastAsia"/>
        </w:rPr>
        <w:t>而相續的存在者，即一般人所說的動物。</w:t>
      </w:r>
    </w:p>
    <w:p w:rsidR="00AA120F" w:rsidRPr="00DA3BC7" w:rsidRDefault="00AA120F" w:rsidP="00473148">
      <w:pPr>
        <w:ind w:leftChars="550" w:left="1320"/>
        <w:jc w:val="both"/>
        <w:rPr>
          <w:rFonts w:eastAsia="SimSun"/>
        </w:rPr>
      </w:pPr>
      <w:r w:rsidRPr="00DA3BC7">
        <w:rPr>
          <w:rFonts w:hint="eastAsia"/>
        </w:rPr>
        <w:t>有情所依的五蘊與青、黃、赤、白，乃至山河大地等無情器界為</w:t>
      </w:r>
      <w:r w:rsidRPr="00DA3BC7">
        <w:rPr>
          <w:rFonts w:hint="eastAsia"/>
          <w:b/>
        </w:rPr>
        <w:t>法</w:t>
      </w:r>
      <w:r w:rsidRPr="00DA3BC7">
        <w:rPr>
          <w:rFonts w:hint="eastAsia"/>
        </w:rPr>
        <w:t>。</w:t>
      </w:r>
    </w:p>
    <w:p w:rsidR="00BC7376" w:rsidRDefault="00BC7376" w:rsidP="00AE3920">
      <w:pPr>
        <w:spacing w:beforeLines="30"/>
        <w:ind w:leftChars="250" w:left="600"/>
        <w:jc w:val="both"/>
        <w:rPr>
          <w:rFonts w:ascii="新細明體" w:hAnsi="新細明體"/>
          <w:b/>
          <w:color w:val="FF0000"/>
          <w:sz w:val="20"/>
          <w:szCs w:val="20"/>
          <w:bdr w:val="single" w:sz="4" w:space="0" w:color="auto"/>
        </w:rPr>
      </w:pPr>
      <w:r w:rsidRPr="00BC7376">
        <w:rPr>
          <w:rFonts w:ascii="新細明體" w:hAnsi="新細明體" w:hint="eastAsia"/>
          <w:b/>
          <w:color w:val="FF0000"/>
          <w:sz w:val="20"/>
          <w:szCs w:val="20"/>
          <w:highlight w:val="yellow"/>
          <w:bdr w:val="single" w:sz="4" w:space="0" w:color="auto"/>
        </w:rPr>
        <w:t>（</w:t>
      </w:r>
      <w:r w:rsidRPr="00BC7376">
        <w:rPr>
          <w:rFonts w:ascii="Times New Roman" w:hAnsi="Times New Roman" w:hint="eastAsia"/>
          <w:b/>
          <w:color w:val="FF0000"/>
          <w:sz w:val="20"/>
          <w:szCs w:val="20"/>
          <w:highlight w:val="yellow"/>
          <w:bdr w:val="single" w:sz="4" w:space="0" w:color="auto"/>
        </w:rPr>
        <w:t>2</w:t>
      </w:r>
      <w:r w:rsidRPr="00BC7376">
        <w:rPr>
          <w:rFonts w:ascii="新細明體" w:hAnsi="新細明體"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標</w:t>
      </w:r>
      <w:r w:rsidRPr="00BC7376">
        <w:rPr>
          <w:rFonts w:ascii="新細明體" w:hAnsi="新細明體"/>
          <w:b/>
          <w:color w:val="FF0000"/>
          <w:sz w:val="20"/>
          <w:szCs w:val="20"/>
          <w:highlight w:val="yellow"/>
          <w:bdr w:val="single" w:sz="4" w:space="0" w:color="auto"/>
        </w:rPr>
        <w:t>「</w:t>
      </w:r>
      <w:r>
        <w:rPr>
          <w:rFonts w:ascii="新細明體" w:hAnsi="新細明體" w:hint="eastAsia"/>
          <w:b/>
          <w:color w:val="FF0000"/>
          <w:sz w:val="20"/>
          <w:szCs w:val="20"/>
          <w:highlight w:val="yellow"/>
          <w:bdr w:val="single" w:sz="4" w:space="0" w:color="auto"/>
        </w:rPr>
        <w:t>二種</w:t>
      </w:r>
      <w:r w:rsidRPr="00BC7376">
        <w:rPr>
          <w:rFonts w:ascii="新細明體" w:hAnsi="新細明體"/>
          <w:b/>
          <w:color w:val="FF0000"/>
          <w:sz w:val="20"/>
          <w:szCs w:val="20"/>
          <w:highlight w:val="yellow"/>
          <w:bdr w:val="single" w:sz="4" w:space="0" w:color="auto"/>
        </w:rPr>
        <w:t>我</w:t>
      </w:r>
      <w:r>
        <w:rPr>
          <w:rFonts w:ascii="新細明體" w:hAnsi="新細明體" w:hint="eastAsia"/>
          <w:b/>
          <w:color w:val="FF0000"/>
          <w:sz w:val="20"/>
          <w:szCs w:val="20"/>
          <w:highlight w:val="yellow"/>
          <w:bdr w:val="single" w:sz="4" w:space="0" w:color="auto"/>
        </w:rPr>
        <w:t>見</w:t>
      </w:r>
      <w:r w:rsidRPr="00BC7376">
        <w:rPr>
          <w:rFonts w:ascii="新細明體" w:hAnsi="新細明體"/>
          <w:b/>
          <w:color w:val="FF0000"/>
          <w:sz w:val="20"/>
          <w:szCs w:val="20"/>
          <w:highlight w:val="yellow"/>
          <w:bdr w:val="single" w:sz="4" w:space="0" w:color="auto"/>
        </w:rPr>
        <w:t>」</w:t>
      </w:r>
      <w:r w:rsidRPr="00DA3BC7">
        <w:rPr>
          <w:rStyle w:val="a6"/>
          <w:rFonts w:ascii="Times New Roman" w:hAnsi="Times New Roman"/>
        </w:rPr>
        <w:footnoteReference w:id="1055"/>
      </w:r>
      <w:r w:rsidRPr="00DA3BC7">
        <w:rPr>
          <w:rFonts w:ascii="Times Ext Roman" w:hAnsi="Times Ext Roman" w:cs="Times Ext Roman" w:hint="eastAsia"/>
          <w:sz w:val="20"/>
        </w:rPr>
        <w:t>（</w:t>
      </w:r>
      <w:r w:rsidRPr="00DA3BC7">
        <w:rPr>
          <w:rFonts w:ascii="Times New Roman" w:hAnsi="Times New Roman" w:hint="eastAsia"/>
          <w:sz w:val="20"/>
        </w:rPr>
        <w:t>p.</w:t>
      </w:r>
      <w:r w:rsidRPr="00DA3BC7">
        <w:rPr>
          <w:rFonts w:ascii="Times New Roman" w:eastAsia="SimSun" w:hAnsi="Times New Roman" w:hint="eastAsia"/>
          <w:sz w:val="20"/>
        </w:rPr>
        <w:t>243</w:t>
      </w:r>
      <w:r w:rsidRPr="00DA3BC7">
        <w:rPr>
          <w:rFonts w:ascii="Times Ext Roman" w:hAnsi="Times Ext Roman" w:cs="Times Ext Roman" w:hint="eastAsia"/>
          <w:sz w:val="20"/>
        </w:rPr>
        <w:t>）</w:t>
      </w:r>
    </w:p>
    <w:p w:rsidR="00BC7376" w:rsidRDefault="00BC7376" w:rsidP="00473148">
      <w:pPr>
        <w:ind w:leftChars="300" w:left="720"/>
        <w:jc w:val="both"/>
        <w:rPr>
          <w:rFonts w:ascii="Times New Roman" w:hAnsi="Times New Roman"/>
          <w:sz w:val="20"/>
        </w:rPr>
      </w:pPr>
      <w:r w:rsidRPr="00BC7376">
        <w:rPr>
          <w:rFonts w:ascii="Times New Roman" w:hAnsi="Times New Roman" w:hint="eastAsia"/>
          <w:b/>
          <w:color w:val="FF0000"/>
          <w:sz w:val="20"/>
          <w:szCs w:val="20"/>
          <w:highlight w:val="yellow"/>
          <w:bdr w:val="single" w:sz="4" w:space="0" w:color="auto"/>
        </w:rPr>
        <w:t>A</w:t>
      </w:r>
      <w:r w:rsidRPr="00BC7376">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總標舉</w:t>
      </w:r>
      <w:r w:rsidRPr="00DA3BC7">
        <w:rPr>
          <w:rFonts w:ascii="Times New Roman" w:hAnsi="Times New Roman"/>
          <w:sz w:val="20"/>
        </w:rPr>
        <w:t>（</w:t>
      </w:r>
      <w:r w:rsidRPr="00DA3BC7">
        <w:rPr>
          <w:rFonts w:ascii="Times New Roman" w:hAnsi="Times New Roman"/>
          <w:sz w:val="20"/>
        </w:rPr>
        <w:t>p.243</w:t>
      </w:r>
      <w:r w:rsidRPr="00DA3BC7">
        <w:rPr>
          <w:rFonts w:ascii="Times New Roman" w:hAnsi="Times New Roman"/>
          <w:sz w:val="20"/>
        </w:rPr>
        <w:t>）</w:t>
      </w:r>
    </w:p>
    <w:p w:rsidR="00AA120F" w:rsidRPr="00DA3BC7" w:rsidRDefault="00AA120F" w:rsidP="00473148">
      <w:pPr>
        <w:ind w:leftChars="300" w:left="720"/>
        <w:jc w:val="both"/>
        <w:rPr>
          <w:rFonts w:eastAsia="SimSun"/>
        </w:rPr>
      </w:pPr>
      <w:r w:rsidRPr="00DA3BC7">
        <w:rPr>
          <w:rFonts w:hint="eastAsia"/>
        </w:rPr>
        <w:t>這二種我法，所說的我義極不同。</w:t>
      </w:r>
    </w:p>
    <w:p w:rsidR="00BC7376" w:rsidRDefault="00BC7376" w:rsidP="00AE3920">
      <w:pPr>
        <w:spacing w:beforeLines="30"/>
        <w:ind w:leftChars="300" w:left="720"/>
        <w:jc w:val="both"/>
        <w:rPr>
          <w:rFonts w:ascii="Times New Roman" w:hAnsi="Times New Roman"/>
          <w:b/>
          <w:color w:val="FF0000"/>
          <w:sz w:val="20"/>
          <w:szCs w:val="20"/>
          <w:bdr w:val="single" w:sz="4" w:space="0" w:color="auto"/>
        </w:rPr>
      </w:pPr>
      <w:r>
        <w:rPr>
          <w:rFonts w:ascii="Times New Roman" w:hAnsi="Times New Roman" w:hint="eastAsia"/>
          <w:b/>
          <w:color w:val="FF0000"/>
          <w:sz w:val="20"/>
          <w:szCs w:val="20"/>
          <w:highlight w:val="yellow"/>
          <w:bdr w:val="single" w:sz="4" w:space="0" w:color="auto"/>
        </w:rPr>
        <w:t>B</w:t>
      </w:r>
      <w:r w:rsidR="00AA120F" w:rsidRPr="00BC7376">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別釋義</w:t>
      </w:r>
    </w:p>
    <w:p w:rsidR="00AA120F" w:rsidRPr="00DA3BC7" w:rsidRDefault="00BC7376" w:rsidP="00473148">
      <w:pPr>
        <w:ind w:leftChars="350" w:left="840"/>
        <w:jc w:val="both"/>
        <w:rPr>
          <w:rFonts w:ascii="Times New Roman" w:hAnsi="Times New Roman"/>
        </w:rPr>
      </w:pPr>
      <w:r>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A</w:t>
      </w:r>
      <w:r>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補特伽羅我</w:t>
      </w:r>
      <w:r w:rsidRPr="00BC7376">
        <w:rPr>
          <w:rFonts w:ascii="Times New Roman" w:hAnsi="Times New Roman" w:hint="eastAsia"/>
          <w:b/>
          <w:color w:val="FF0000"/>
          <w:sz w:val="20"/>
          <w:szCs w:val="20"/>
          <w:highlight w:val="yellow"/>
          <w:bdr w:val="single" w:sz="4" w:space="0" w:color="auto"/>
        </w:rPr>
        <w:t>執</w:t>
      </w:r>
      <w:r w:rsidR="00AA120F" w:rsidRPr="00DA3BC7">
        <w:rPr>
          <w:rFonts w:ascii="Times New Roman" w:hAnsi="Times New Roman"/>
          <w:sz w:val="20"/>
        </w:rPr>
        <w:t>（</w:t>
      </w:r>
      <w:r w:rsidR="00AA120F" w:rsidRPr="00DA3BC7">
        <w:rPr>
          <w:rFonts w:ascii="Times New Roman" w:hAnsi="Times New Roman"/>
          <w:sz w:val="20"/>
        </w:rPr>
        <w:t>p.243</w:t>
      </w:r>
      <w:r w:rsidR="00AA120F" w:rsidRPr="00DA3BC7">
        <w:rPr>
          <w:rFonts w:ascii="Times New Roman" w:hAnsi="Times New Roman"/>
          <w:sz w:val="20"/>
        </w:rPr>
        <w:t>）</w:t>
      </w:r>
    </w:p>
    <w:p w:rsidR="00AA120F" w:rsidRPr="00DA3BC7" w:rsidRDefault="00AA120F" w:rsidP="00473148">
      <w:pPr>
        <w:ind w:leftChars="350" w:left="840"/>
        <w:jc w:val="both"/>
        <w:rPr>
          <w:rFonts w:ascii="Times New Roman" w:hAnsi="Times New Roman"/>
        </w:rPr>
      </w:pPr>
      <w:r w:rsidRPr="00DA3BC7">
        <w:rPr>
          <w:rFonts w:ascii="Times New Roman" w:hAnsi="Times New Roman"/>
        </w:rPr>
        <w:lastRenderedPageBreak/>
        <w:t>你、我、人、畜，都是有情，緣有情而起實有自性執，是</w:t>
      </w:r>
      <w:r w:rsidRPr="00DA3BC7">
        <w:rPr>
          <w:rFonts w:ascii="Times New Roman" w:hAnsi="Times New Roman"/>
          <w:b/>
        </w:rPr>
        <w:t>人我見</w:t>
      </w:r>
      <w:r w:rsidRPr="00DA3BC7">
        <w:rPr>
          <w:rFonts w:ascii="Times New Roman" w:hAnsi="Times New Roman"/>
        </w:rPr>
        <w:t>，又名</w:t>
      </w:r>
      <w:r w:rsidRPr="00DA3BC7">
        <w:rPr>
          <w:rFonts w:ascii="Times New Roman" w:hAnsi="Times New Roman"/>
          <w:b/>
        </w:rPr>
        <w:t>補特伽羅我執</w:t>
      </w:r>
      <w:r w:rsidRPr="00DA3BC7">
        <w:rPr>
          <w:rFonts w:ascii="Times New Roman" w:hAnsi="Times New Roman"/>
        </w:rPr>
        <w:t>。不得我空觀的，對這凡是有生命的，都會生起此我執。但此我執不是薩迦耶見</w:t>
      </w:r>
      <w:r w:rsidRPr="00DA3BC7">
        <w:rPr>
          <w:rStyle w:val="a6"/>
          <w:rFonts w:ascii="Times New Roman" w:hAnsi="Times New Roman"/>
        </w:rPr>
        <w:footnoteReference w:id="1056"/>
      </w:r>
      <w:r w:rsidRPr="00DA3BC7">
        <w:rPr>
          <w:rFonts w:ascii="Times New Roman" w:hAnsi="Times New Roman" w:hint="eastAsia"/>
        </w:rPr>
        <w:t>。</w:t>
      </w:r>
    </w:p>
    <w:p w:rsidR="00AA120F" w:rsidRPr="00DA3BC7" w:rsidRDefault="00BC7376" w:rsidP="00AE3920">
      <w:pPr>
        <w:spacing w:beforeLines="30"/>
        <w:ind w:leftChars="350" w:left="840"/>
        <w:jc w:val="both"/>
        <w:rPr>
          <w:rFonts w:ascii="Times New Roman" w:hAnsi="Times New Roman"/>
        </w:rPr>
      </w:pPr>
      <w:r>
        <w:rPr>
          <w:rFonts w:ascii="Times New Roman" w:hAnsi="Times New Roman" w:hint="eastAsia"/>
          <w:b/>
          <w:color w:val="FF0000"/>
          <w:sz w:val="20"/>
          <w:szCs w:val="20"/>
          <w:highlight w:val="yellow"/>
          <w:bdr w:val="single" w:sz="4" w:space="0" w:color="auto"/>
        </w:rPr>
        <w:t>（</w:t>
      </w:r>
      <w:r w:rsidRPr="00BC7376">
        <w:rPr>
          <w:rFonts w:ascii="Times New Roman" w:hAnsi="Times New Roman" w:hint="eastAsia"/>
          <w:b/>
          <w:color w:val="FF0000"/>
          <w:sz w:val="20"/>
          <w:szCs w:val="20"/>
          <w:highlight w:val="yellow"/>
          <w:bdr w:val="single" w:sz="4" w:space="0" w:color="auto"/>
        </w:rPr>
        <w:t>B</w:t>
      </w:r>
      <w:r>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薩迦耶見</w:t>
      </w:r>
      <w:r w:rsidR="00AA120F" w:rsidRPr="00DA3BC7">
        <w:rPr>
          <w:rFonts w:ascii="Times New Roman" w:hAnsi="Times New Roman"/>
          <w:sz w:val="20"/>
        </w:rPr>
        <w:t>（</w:t>
      </w:r>
      <w:r w:rsidR="00AA120F" w:rsidRPr="00DA3BC7">
        <w:rPr>
          <w:rFonts w:ascii="Times New Roman" w:hAnsi="Times New Roman"/>
          <w:sz w:val="20"/>
        </w:rPr>
        <w:t>p.243</w:t>
      </w:r>
      <w:r w:rsidR="00AA120F" w:rsidRPr="00DA3BC7">
        <w:rPr>
          <w:rFonts w:ascii="Times New Roman" w:hAnsi="Times New Roman"/>
          <w:sz w:val="20"/>
        </w:rPr>
        <w:t>）</w:t>
      </w:r>
    </w:p>
    <w:p w:rsidR="00BC7376" w:rsidRDefault="00AA120F" w:rsidP="00473148">
      <w:pPr>
        <w:ind w:leftChars="350" w:left="840"/>
        <w:jc w:val="both"/>
      </w:pPr>
      <w:r w:rsidRPr="00DA3BC7">
        <w:rPr>
          <w:rFonts w:ascii="Times New Roman" w:hAnsi="Times New Roman"/>
          <w:b/>
        </w:rPr>
        <w:t>薩迦</w:t>
      </w:r>
      <w:r w:rsidRPr="00DA3BC7">
        <w:rPr>
          <w:rFonts w:hint="eastAsia"/>
          <w:b/>
        </w:rPr>
        <w:t>耶見</w:t>
      </w:r>
      <w:r w:rsidRPr="00DA3BC7">
        <w:rPr>
          <w:rFonts w:hint="eastAsia"/>
        </w:rPr>
        <w:t>是專在自己身心中，直感自我的實在。對其他的人畜，雖見為實在的補特伽羅，不會生起自我的執見。</w:t>
      </w:r>
    </w:p>
    <w:p w:rsidR="00BC7376" w:rsidRPr="00DA3BC7" w:rsidRDefault="00BC7376" w:rsidP="00AE3920">
      <w:pPr>
        <w:spacing w:beforeLines="30"/>
        <w:ind w:leftChars="300" w:left="720"/>
        <w:jc w:val="both"/>
        <w:rPr>
          <w:rFonts w:ascii="Times New Roman" w:hAnsi="Times New Roman"/>
        </w:rPr>
      </w:pPr>
      <w:r>
        <w:rPr>
          <w:rFonts w:ascii="Times New Roman" w:hAnsi="Times New Roman" w:hint="eastAsia"/>
          <w:b/>
          <w:color w:val="FF0000"/>
          <w:sz w:val="20"/>
          <w:szCs w:val="20"/>
          <w:highlight w:val="yellow"/>
          <w:bdr w:val="single" w:sz="4" w:space="0" w:color="auto"/>
        </w:rPr>
        <w:t>C</w:t>
      </w:r>
      <w:r w:rsidRPr="00BC7376">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結顯異</w:t>
      </w:r>
      <w:r w:rsidRPr="00DA3BC7">
        <w:rPr>
          <w:rFonts w:ascii="Times New Roman" w:hAnsi="Times New Roman"/>
          <w:sz w:val="20"/>
        </w:rPr>
        <w:t>（</w:t>
      </w:r>
      <w:r w:rsidRPr="00DA3BC7">
        <w:rPr>
          <w:rFonts w:ascii="Times New Roman" w:hAnsi="Times New Roman"/>
          <w:sz w:val="20"/>
        </w:rPr>
        <w:t>p.243</w:t>
      </w:r>
      <w:r w:rsidRPr="00DA3BC7">
        <w:rPr>
          <w:rFonts w:ascii="Times New Roman" w:hAnsi="Times New Roman"/>
          <w:sz w:val="20"/>
        </w:rPr>
        <w:t>）</w:t>
      </w:r>
    </w:p>
    <w:p w:rsidR="00AA120F" w:rsidRPr="00DA3BC7" w:rsidRDefault="00AA120F" w:rsidP="00473148">
      <w:pPr>
        <w:ind w:leftChars="300" w:left="720"/>
        <w:jc w:val="both"/>
        <w:rPr>
          <w:rFonts w:eastAsia="SimSun"/>
        </w:rPr>
      </w:pPr>
      <w:r w:rsidRPr="00DA3BC7">
        <w:rPr>
          <w:rFonts w:hint="eastAsia"/>
        </w:rPr>
        <w:t>故人我見與薩迦耶見，極為不同。</w:t>
      </w:r>
    </w:p>
    <w:p w:rsidR="00AA120F" w:rsidRPr="00DA3BC7" w:rsidRDefault="00AA120F" w:rsidP="00AE3920">
      <w:pPr>
        <w:spacing w:beforeLines="30"/>
        <w:ind w:leftChars="200" w:left="480"/>
        <w:jc w:val="both"/>
        <w:rPr>
          <w:rFonts w:eastAsia="SimSun"/>
        </w:rPr>
      </w:pPr>
      <w:r w:rsidRPr="00555879">
        <w:rPr>
          <w:rFonts w:ascii="Times New Roman" w:hAnsi="Times New Roman"/>
          <w:b/>
          <w:color w:val="FF0000"/>
          <w:sz w:val="20"/>
          <w:szCs w:val="20"/>
          <w:highlight w:val="yellow"/>
          <w:bdr w:val="single" w:sz="4" w:space="0" w:color="auto"/>
        </w:rPr>
        <w:t>3</w:t>
      </w:r>
      <w:r w:rsidRPr="00555879">
        <w:rPr>
          <w:rFonts w:ascii="Times New Roman" w:hAnsi="Times New Roman"/>
          <w:b/>
          <w:color w:val="FF0000"/>
          <w:sz w:val="20"/>
          <w:szCs w:val="20"/>
          <w:highlight w:val="yellow"/>
          <w:bdr w:val="single" w:sz="4" w:space="0" w:color="auto"/>
        </w:rPr>
        <w:t>、</w:t>
      </w:r>
      <w:r w:rsidR="00555879" w:rsidRPr="00555879">
        <w:rPr>
          <w:rFonts w:ascii="Times New Roman" w:hAnsi="Times New Roman" w:hint="eastAsia"/>
          <w:b/>
          <w:color w:val="FF0000"/>
          <w:sz w:val="20"/>
          <w:szCs w:val="20"/>
          <w:highlight w:val="yellow"/>
          <w:bdr w:val="single" w:sz="4" w:space="0" w:color="auto"/>
        </w:rPr>
        <w:t>論「教</w:t>
      </w:r>
      <w:r w:rsidRPr="00555879">
        <w:rPr>
          <w:rFonts w:ascii="Times New Roman" w:hAnsi="Times New Roman" w:hint="eastAsia"/>
          <w:b/>
          <w:color w:val="FF0000"/>
          <w:sz w:val="20"/>
          <w:szCs w:val="20"/>
          <w:highlight w:val="yellow"/>
          <w:bdr w:val="single" w:sz="4" w:space="0" w:color="auto"/>
        </w:rPr>
        <w:t>法</w:t>
      </w:r>
      <w:r w:rsidR="00555879" w:rsidRPr="00555879">
        <w:rPr>
          <w:rFonts w:ascii="Times New Roman" w:hAnsi="Times New Roman" w:hint="eastAsia"/>
          <w:b/>
          <w:color w:val="FF0000"/>
          <w:sz w:val="20"/>
          <w:szCs w:val="20"/>
          <w:highlight w:val="yellow"/>
          <w:bdr w:val="single" w:sz="4" w:space="0" w:color="auto"/>
        </w:rPr>
        <w:t>差別，宗歸一」</w:t>
      </w:r>
      <w:r w:rsidRPr="00DA3BC7">
        <w:rPr>
          <w:rFonts w:ascii="Times Ext Roman" w:hAnsi="Times Ext Roman" w:cs="Times Ext Roman" w:hint="eastAsia"/>
          <w:sz w:val="20"/>
        </w:rPr>
        <w:t>（</w:t>
      </w:r>
      <w:r w:rsidRPr="00DA3BC7">
        <w:rPr>
          <w:rFonts w:ascii="Times New Roman" w:hAnsi="Times New Roman" w:hint="eastAsia"/>
          <w:sz w:val="20"/>
        </w:rPr>
        <w:t>p.</w:t>
      </w:r>
      <w:r w:rsidRPr="00DA3BC7">
        <w:rPr>
          <w:rFonts w:ascii="Times New Roman" w:eastAsia="SimSun" w:hAnsi="Times New Roman" w:hint="eastAsia"/>
          <w:sz w:val="20"/>
        </w:rPr>
        <w:t>243</w:t>
      </w:r>
      <w:r w:rsidRPr="00DA3BC7">
        <w:rPr>
          <w:rFonts w:ascii="Times Ext Roman" w:hAnsi="Times Ext Roman" w:cs="Times Ext Roman" w:hint="eastAsia"/>
          <w:sz w:val="20"/>
        </w:rPr>
        <w:t>）</w:t>
      </w:r>
    </w:p>
    <w:p w:rsidR="00555879" w:rsidRPr="00555879" w:rsidRDefault="00555879" w:rsidP="00473148">
      <w:pPr>
        <w:ind w:leftChars="250" w:left="600"/>
        <w:jc w:val="both"/>
        <w:rPr>
          <w:rFonts w:ascii="新細明體" w:hAnsi="新細明體"/>
          <w:b/>
          <w:color w:val="FF0000"/>
          <w:sz w:val="20"/>
          <w:szCs w:val="20"/>
          <w:highlight w:val="yellow"/>
          <w:bdr w:val="single" w:sz="4" w:space="0" w:color="auto"/>
        </w:rPr>
      </w:pPr>
      <w:r w:rsidRPr="00555879">
        <w:rPr>
          <w:rFonts w:ascii="新細明體" w:hAnsi="新細明體" w:hint="eastAsia"/>
          <w:b/>
          <w:color w:val="FF0000"/>
          <w:sz w:val="20"/>
          <w:szCs w:val="20"/>
          <w:highlight w:val="yellow"/>
          <w:bdr w:val="single" w:sz="4" w:space="0" w:color="auto"/>
        </w:rPr>
        <w:t>（</w:t>
      </w:r>
      <w:r w:rsidRPr="00555879">
        <w:rPr>
          <w:rFonts w:ascii="Times New Roman" w:hAnsi="Times New Roman" w:hint="eastAsia"/>
          <w:b/>
          <w:color w:val="FF0000"/>
          <w:sz w:val="20"/>
          <w:szCs w:val="20"/>
          <w:highlight w:val="yellow"/>
          <w:bdr w:val="single" w:sz="4" w:space="0" w:color="auto"/>
        </w:rPr>
        <w:t>1</w:t>
      </w:r>
      <w:r w:rsidRPr="00555879">
        <w:rPr>
          <w:rFonts w:ascii="新細明體" w:hAnsi="新細明體" w:hint="eastAsia"/>
          <w:b/>
          <w:color w:val="FF0000"/>
          <w:sz w:val="20"/>
          <w:szCs w:val="20"/>
          <w:highlight w:val="yellow"/>
          <w:bdr w:val="single" w:sz="4" w:space="0" w:color="auto"/>
        </w:rPr>
        <w:t>）根本聖教的主張</w:t>
      </w:r>
      <w:r w:rsidRPr="00DA3BC7">
        <w:rPr>
          <w:rFonts w:ascii="Times Ext Roman" w:hAnsi="Times Ext Roman" w:cs="Times Ext Roman" w:hint="eastAsia"/>
          <w:sz w:val="20"/>
        </w:rPr>
        <w:t>（</w:t>
      </w:r>
      <w:r w:rsidRPr="00DA3BC7">
        <w:rPr>
          <w:rFonts w:ascii="Times New Roman" w:hAnsi="Times New Roman" w:hint="eastAsia"/>
          <w:sz w:val="20"/>
        </w:rPr>
        <w:t>p.</w:t>
      </w:r>
      <w:r w:rsidRPr="00DA3BC7">
        <w:rPr>
          <w:rFonts w:ascii="Times New Roman" w:eastAsia="SimSun" w:hAnsi="Times New Roman" w:hint="eastAsia"/>
          <w:sz w:val="20"/>
        </w:rPr>
        <w:t>243</w:t>
      </w:r>
      <w:r w:rsidRPr="00DA3BC7">
        <w:rPr>
          <w:rFonts w:ascii="Times Ext Roman" w:hAnsi="Times Ext Roman" w:cs="Times Ext Roman" w:hint="eastAsia"/>
          <w:sz w:val="20"/>
        </w:rPr>
        <w:t>）</w:t>
      </w:r>
    </w:p>
    <w:p w:rsidR="00AA120F" w:rsidRPr="00DA3BC7" w:rsidRDefault="00AA120F" w:rsidP="00473148">
      <w:pPr>
        <w:ind w:leftChars="250" w:left="600"/>
        <w:jc w:val="both"/>
      </w:pPr>
      <w:r w:rsidRPr="00DA3BC7">
        <w:rPr>
          <w:rFonts w:hint="eastAsia"/>
          <w:b/>
        </w:rPr>
        <w:t>佛法中所說的無我，主要在不起薩迦耶見</w:t>
      </w:r>
      <w:r w:rsidRPr="00DA3BC7">
        <w:rPr>
          <w:rFonts w:hint="eastAsia"/>
        </w:rPr>
        <w:t>。</w:t>
      </w:r>
    </w:p>
    <w:p w:rsidR="00AA120F" w:rsidRPr="00DA3BC7" w:rsidRDefault="00AA120F" w:rsidP="00AE3920">
      <w:pPr>
        <w:spacing w:beforeLines="20"/>
        <w:ind w:leftChars="250" w:left="600"/>
        <w:jc w:val="both"/>
      </w:pPr>
      <w:r w:rsidRPr="00DA3BC7">
        <w:rPr>
          <w:rFonts w:hint="eastAsia"/>
        </w:rPr>
        <w:t>但有薩迦耶見的，必起補特伽羅我見；</w:t>
      </w:r>
    </w:p>
    <w:p w:rsidR="00AA120F" w:rsidRPr="00DA3BC7" w:rsidRDefault="00AA120F" w:rsidP="00473148">
      <w:pPr>
        <w:ind w:leftChars="250" w:left="600"/>
        <w:jc w:val="both"/>
      </w:pPr>
      <w:r w:rsidRPr="00DA3BC7">
        <w:rPr>
          <w:rFonts w:hint="eastAsia"/>
        </w:rPr>
        <w:t>起補特伽羅我見的，如緣他補特伽羅，即不起薩迦耶見。</w:t>
      </w:r>
    </w:p>
    <w:p w:rsidR="00AA120F" w:rsidRPr="00DA3BC7" w:rsidRDefault="00AA120F" w:rsidP="00AE3920">
      <w:pPr>
        <w:spacing w:beforeLines="20"/>
        <w:ind w:leftChars="250" w:left="600"/>
        <w:jc w:val="both"/>
        <w:rPr>
          <w:rFonts w:eastAsia="SimSun"/>
        </w:rPr>
      </w:pPr>
      <w:r w:rsidRPr="00DA3BC7">
        <w:rPr>
          <w:rFonts w:hint="eastAsia"/>
          <w:b/>
        </w:rPr>
        <w:t>薩迦耶見必依補特伽羅我見而起</w:t>
      </w:r>
      <w:r w:rsidRPr="00DA3BC7">
        <w:rPr>
          <w:rFonts w:hint="eastAsia"/>
        </w:rPr>
        <w:t>，所以《阿含經》說我空，也即觀五蘊而說補特伽羅我不可得，也即能因此而破除薩迦耶見。</w:t>
      </w:r>
      <w:r w:rsidRPr="00DA3BC7">
        <w:rPr>
          <w:rStyle w:val="a6"/>
          <w:rFonts w:ascii="Times New Roman" w:hAnsi="Times New Roman"/>
        </w:rPr>
        <w:footnoteReference w:id="1057"/>
      </w:r>
      <w:r w:rsidRPr="00DA3BC7">
        <w:rPr>
          <w:rFonts w:hint="eastAsia"/>
        </w:rPr>
        <w:t>補特伽羅的我執既無，薩迦耶見即失卻依託</w:t>
      </w:r>
      <w:r w:rsidRPr="00DA3BC7">
        <w:rPr>
          <w:rStyle w:val="a6"/>
          <w:rFonts w:ascii="Times New Roman" w:hAnsi="Times New Roman"/>
        </w:rPr>
        <w:footnoteReference w:id="1058"/>
      </w:r>
      <w:r w:rsidRPr="00DA3BC7">
        <w:rPr>
          <w:rFonts w:hint="eastAsia"/>
        </w:rPr>
        <w:t>而不復存在。</w:t>
      </w:r>
      <w:r w:rsidRPr="00DA3BC7">
        <w:rPr>
          <w:rFonts w:hint="eastAsia"/>
          <w:b/>
        </w:rPr>
        <w:t>要離薩迦耶見，必須不起</w:t>
      </w:r>
      <w:r w:rsidRPr="00DA3BC7">
        <w:rPr>
          <w:rFonts w:hint="eastAsia"/>
          <w:b/>
        </w:rPr>
        <w:lastRenderedPageBreak/>
        <w:t>補特伽羅我執。</w:t>
      </w:r>
    </w:p>
    <w:p w:rsidR="00AA120F" w:rsidRPr="00DA3BC7" w:rsidRDefault="00AA120F" w:rsidP="00473148">
      <w:pPr>
        <w:ind w:leftChars="250" w:left="600"/>
        <w:jc w:val="both"/>
      </w:pPr>
      <w:r w:rsidRPr="00DA3BC7">
        <w:rPr>
          <w:rFonts w:hint="eastAsia"/>
          <w:b/>
        </w:rPr>
        <w:t>要想不起補特伽羅我執，也要不起法我執</w:t>
      </w:r>
      <w:r w:rsidRPr="00DA3BC7">
        <w:rPr>
          <w:rFonts w:hint="eastAsia"/>
        </w:rPr>
        <w:t>，所以經中觀六處無我時，即明──處的無實。</w:t>
      </w:r>
      <w:r w:rsidRPr="00DA3BC7">
        <w:rPr>
          <w:rStyle w:val="a6"/>
          <w:rFonts w:ascii="Times New Roman" w:hAnsi="Times New Roman"/>
        </w:rPr>
        <w:footnoteReference w:id="1059"/>
      </w:r>
    </w:p>
    <w:p w:rsidR="00555879" w:rsidRPr="00DA3BC7" w:rsidRDefault="00555879" w:rsidP="00AE3920">
      <w:pPr>
        <w:spacing w:beforeLines="30"/>
        <w:ind w:leftChars="250" w:left="600"/>
        <w:jc w:val="both"/>
        <w:rPr>
          <w:rFonts w:ascii="Times Ext Roman" w:eastAsia="SimSun" w:hAnsi="Times Ext Roman" w:cs="Times Ext Roman"/>
          <w:sz w:val="20"/>
        </w:rPr>
      </w:pPr>
      <w:r w:rsidRPr="00555879">
        <w:rPr>
          <w:rFonts w:ascii="新細明體" w:hAnsi="新細明體" w:hint="eastAsia"/>
          <w:b/>
          <w:color w:val="FF0000"/>
          <w:sz w:val="20"/>
          <w:szCs w:val="20"/>
          <w:highlight w:val="yellow"/>
          <w:bdr w:val="single" w:sz="4" w:space="0" w:color="auto"/>
        </w:rPr>
        <w:t>（</w:t>
      </w:r>
      <w:r w:rsidRPr="00555879">
        <w:rPr>
          <w:rFonts w:ascii="Times New Roman" w:hAnsi="Times New Roman" w:hint="eastAsia"/>
          <w:b/>
          <w:color w:val="FF0000"/>
          <w:sz w:val="20"/>
          <w:szCs w:val="20"/>
          <w:highlight w:val="yellow"/>
          <w:bdr w:val="single" w:sz="4" w:space="0" w:color="auto"/>
        </w:rPr>
        <w:t>2</w:t>
      </w:r>
      <w:r w:rsidRPr="00555879">
        <w:rPr>
          <w:rFonts w:ascii="新細明體" w:hAnsi="新細明體" w:hint="eastAsia"/>
          <w:b/>
          <w:color w:val="FF0000"/>
          <w:sz w:val="20"/>
          <w:szCs w:val="20"/>
          <w:highlight w:val="yellow"/>
          <w:bdr w:val="single" w:sz="4" w:space="0" w:color="auto"/>
        </w:rPr>
        <w:t>）大乘法教的主張</w:t>
      </w:r>
      <w:r w:rsidRPr="00DA3BC7">
        <w:rPr>
          <w:rFonts w:ascii="Times Ext Roman" w:hAnsi="Times Ext Roman" w:cs="Times Ext Roman" w:hint="eastAsia"/>
          <w:sz w:val="20"/>
        </w:rPr>
        <w:t>（</w:t>
      </w:r>
      <w:r w:rsidRPr="00DA3BC7">
        <w:rPr>
          <w:rFonts w:ascii="Times New Roman" w:hAnsi="Times New Roman" w:hint="eastAsia"/>
          <w:sz w:val="20"/>
        </w:rPr>
        <w:t>pp.</w:t>
      </w:r>
      <w:r w:rsidRPr="00DA3BC7">
        <w:rPr>
          <w:rFonts w:ascii="Times New Roman" w:eastAsia="SimSun" w:hAnsi="Times New Roman" w:hint="eastAsia"/>
          <w:sz w:val="20"/>
        </w:rPr>
        <w:t>243-244</w:t>
      </w:r>
      <w:r w:rsidRPr="00DA3BC7">
        <w:rPr>
          <w:rFonts w:ascii="Times Ext Roman" w:hAnsi="Times Ext Roman" w:cs="Times Ext Roman" w:hint="eastAsia"/>
          <w:sz w:val="20"/>
        </w:rPr>
        <w:t>）</w:t>
      </w:r>
    </w:p>
    <w:p w:rsidR="00AA120F" w:rsidRPr="00DA3BC7" w:rsidRDefault="00AA120F" w:rsidP="00473148">
      <w:pPr>
        <w:ind w:leftChars="250" w:left="600"/>
        <w:jc w:val="both"/>
        <w:rPr>
          <w:rFonts w:eastAsia="SimSun"/>
        </w:rPr>
      </w:pPr>
      <w:r w:rsidRPr="00DA3BC7">
        <w:rPr>
          <w:rFonts w:hint="eastAsia"/>
        </w:rPr>
        <w:t>大乘法明一切法空，而結歸於「</w:t>
      </w:r>
      <w:r w:rsidRPr="00DA3BC7">
        <w:rPr>
          <w:rFonts w:ascii="標楷體" w:eastAsia="標楷體" w:hAnsi="標楷體" w:hint="eastAsia"/>
        </w:rPr>
        <w:t>一切法尚空，何況我耶</w:t>
      </w:r>
      <w:r w:rsidR="00564C83" w:rsidRPr="00564C83">
        <w:rPr>
          <w:rFonts w:ascii="標楷體" w:eastAsia="標楷體" w:hAnsi="標楷體" w:hint="eastAsia"/>
          <w:color w:val="FF0000"/>
          <w:shd w:val="pct15" w:color="auto" w:fill="FFFFFF"/>
        </w:rPr>
        <w:t>？</w:t>
      </w:r>
      <w:r w:rsidRPr="00DA3BC7">
        <w:rPr>
          <w:rFonts w:hint="eastAsia"/>
        </w:rPr>
        <w:t>」</w:t>
      </w:r>
      <w:r w:rsidRPr="00DA3BC7">
        <w:rPr>
          <w:rStyle w:val="a6"/>
          <w:rFonts w:ascii="Times New Roman" w:hAnsi="Times New Roman"/>
        </w:rPr>
        <w:footnoteReference w:id="1060"/>
      </w:r>
      <w:r w:rsidRPr="00DA3BC7">
        <w:rPr>
          <w:rFonts w:hint="eastAsia"/>
        </w:rPr>
        <w:t>假名的補特伽羅，依假名的五蘊法而安立，所以悟得</w:t>
      </w:r>
      <w:r w:rsidRPr="00DA3BC7">
        <w:rPr>
          <w:rFonts w:hint="eastAsia"/>
          <w:b/>
        </w:rPr>
        <w:t>法</w:t>
      </w:r>
      <w:r w:rsidRPr="00DA3BC7">
        <w:rPr>
          <w:rFonts w:hint="eastAsia"/>
        </w:rPr>
        <w:t>無性，</w:t>
      </w:r>
      <w:r w:rsidRPr="00DA3BC7">
        <w:rPr>
          <w:rFonts w:hint="eastAsia"/>
          <w:b/>
        </w:rPr>
        <w:t>補特伽羅</w:t>
      </w:r>
      <w:r w:rsidRPr="00DA3BC7">
        <w:rPr>
          <w:rFonts w:hint="eastAsia"/>
        </w:rPr>
        <w:t>的自性見，即隨而不起。</w:t>
      </w:r>
    </w:p>
    <w:p w:rsidR="00AA120F" w:rsidRPr="00DA3BC7" w:rsidRDefault="00AA120F" w:rsidP="00473148">
      <w:pPr>
        <w:ind w:leftChars="250" w:left="600"/>
        <w:jc w:val="both"/>
        <w:rPr>
          <w:rFonts w:ascii="Times New Roman" w:eastAsia="SimSun" w:hAnsi="Times New Roman"/>
        </w:rPr>
      </w:pPr>
      <w:r w:rsidRPr="00DA3BC7">
        <w:rPr>
          <w:rFonts w:ascii="Times New Roman" w:hAnsi="Times New Roman"/>
        </w:rPr>
        <w:t>依假名的補特伽羅（間接依五蘊）引起取識相應的薩迦耶見，所以悟得補特伽羅無性，補特伽羅我不可得，薩迦耶見的我執也即無從安立。</w:t>
      </w:r>
    </w:p>
    <w:p w:rsidR="00AA120F" w:rsidRPr="00DA3BC7" w:rsidRDefault="00517334" w:rsidP="00AE3920">
      <w:pPr>
        <w:spacing w:beforeLines="30"/>
        <w:ind w:leftChars="250" w:left="600"/>
        <w:jc w:val="both"/>
        <w:rPr>
          <w:rFonts w:ascii="Times New Roman" w:eastAsia="SimSun" w:hAnsi="Times New Roman"/>
        </w:rPr>
      </w:pPr>
      <w:r w:rsidRPr="00517334">
        <w:rPr>
          <w:rFonts w:ascii="Times New Roman" w:hAnsi="Times New Roman"/>
          <w:b/>
          <w:color w:val="FF0000"/>
          <w:sz w:val="20"/>
          <w:szCs w:val="20"/>
          <w:highlight w:val="yellow"/>
          <w:bdr w:val="single" w:sz="4" w:space="0" w:color="auto"/>
        </w:rPr>
        <w:t>（</w:t>
      </w:r>
      <w:r w:rsidRPr="00517334">
        <w:rPr>
          <w:rFonts w:ascii="Times New Roman" w:hAnsi="Times New Roman" w:hint="eastAsia"/>
          <w:b/>
          <w:color w:val="FF0000"/>
          <w:sz w:val="20"/>
          <w:szCs w:val="20"/>
          <w:highlight w:val="yellow"/>
          <w:bdr w:val="single" w:sz="4" w:space="0" w:color="auto"/>
        </w:rPr>
        <w:t>3</w:t>
      </w:r>
      <w:r w:rsidRPr="00517334">
        <w:rPr>
          <w:rFonts w:ascii="Times New Roman" w:hAnsi="Times New Roman" w:hint="eastAsia"/>
          <w:b/>
          <w:color w:val="FF0000"/>
          <w:sz w:val="20"/>
          <w:szCs w:val="20"/>
          <w:highlight w:val="yellow"/>
          <w:bdr w:val="single" w:sz="4" w:space="0" w:color="auto"/>
        </w:rPr>
        <w:t>）結成</w:t>
      </w:r>
      <w:r w:rsidR="00AA120F" w:rsidRPr="00DA3BC7">
        <w:rPr>
          <w:rFonts w:ascii="Times New Roman" w:hAnsi="Times New Roman"/>
          <w:sz w:val="20"/>
        </w:rPr>
        <w:t>（</w:t>
      </w:r>
      <w:r w:rsidR="00AA120F" w:rsidRPr="00DA3BC7">
        <w:rPr>
          <w:rFonts w:ascii="Times New Roman" w:hAnsi="Times New Roman"/>
          <w:sz w:val="20"/>
        </w:rPr>
        <w:t>p.</w:t>
      </w:r>
      <w:r w:rsidR="00AA120F" w:rsidRPr="00DA3BC7">
        <w:rPr>
          <w:rFonts w:ascii="Times New Roman" w:eastAsia="SimSun" w:hAnsi="Times New Roman"/>
          <w:sz w:val="20"/>
        </w:rPr>
        <w:t>244</w:t>
      </w:r>
      <w:r w:rsidR="00AA120F" w:rsidRPr="00DA3BC7">
        <w:rPr>
          <w:rFonts w:ascii="Times New Roman" w:hAnsi="Times New Roman"/>
          <w:sz w:val="20"/>
        </w:rPr>
        <w:t>）</w:t>
      </w:r>
    </w:p>
    <w:p w:rsidR="00AA120F" w:rsidRPr="00DA3BC7" w:rsidRDefault="00AA120F" w:rsidP="00473148">
      <w:pPr>
        <w:ind w:leftChars="250" w:left="600"/>
        <w:jc w:val="both"/>
        <w:rPr>
          <w:rFonts w:eastAsia="SimSun"/>
        </w:rPr>
      </w:pPr>
      <w:r w:rsidRPr="00DA3BC7">
        <w:rPr>
          <w:rFonts w:hint="eastAsia"/>
        </w:rPr>
        <w:t>根本佛教注重遠離薩迦耶見，與大乘的廣明一切法性空，意趣完全一致。</w:t>
      </w:r>
    </w:p>
    <w:p w:rsidR="00AA120F" w:rsidRPr="00DA3BC7" w:rsidRDefault="00AA120F" w:rsidP="00AE3920">
      <w:pPr>
        <w:spacing w:beforeLines="30"/>
        <w:ind w:leftChars="150" w:left="360"/>
        <w:jc w:val="both"/>
        <w:rPr>
          <w:rFonts w:ascii="Times New Roman" w:hAnsi="Times New Roman"/>
          <w:sz w:val="20"/>
        </w:rPr>
      </w:pPr>
      <w:r w:rsidRPr="00F765BE">
        <w:rPr>
          <w:rFonts w:ascii="Times New Roman" w:hAnsi="Times New Roman"/>
          <w:b/>
          <w:color w:val="FF0000"/>
          <w:sz w:val="20"/>
          <w:szCs w:val="20"/>
          <w:highlight w:val="yellow"/>
          <w:bdr w:val="single" w:sz="4" w:space="0" w:color="auto"/>
        </w:rPr>
        <w:t>（</w:t>
      </w:r>
      <w:r w:rsidR="00F765BE" w:rsidRPr="00F765BE">
        <w:rPr>
          <w:rFonts w:ascii="Times New Roman" w:hAnsi="Times New Roman" w:hint="eastAsia"/>
          <w:b/>
          <w:color w:val="FF0000"/>
          <w:sz w:val="20"/>
          <w:szCs w:val="20"/>
          <w:highlight w:val="yellow"/>
          <w:bdr w:val="single" w:sz="4" w:space="0" w:color="auto"/>
        </w:rPr>
        <w:t>二</w:t>
      </w:r>
      <w:r w:rsidRPr="00F765BE">
        <w:rPr>
          <w:rFonts w:ascii="Times New Roman" w:hAnsi="Times New Roman"/>
          <w:b/>
          <w:color w:val="FF0000"/>
          <w:sz w:val="20"/>
          <w:szCs w:val="20"/>
          <w:highlight w:val="yellow"/>
          <w:bdr w:val="single" w:sz="4" w:space="0" w:color="auto"/>
        </w:rPr>
        <w:t>）</w:t>
      </w:r>
      <w:r w:rsidRPr="00F765BE">
        <w:rPr>
          <w:rFonts w:ascii="Times New Roman" w:hAnsi="Times New Roman" w:hint="eastAsia"/>
          <w:b/>
          <w:sz w:val="20"/>
          <w:szCs w:val="20"/>
          <w:bdr w:val="single" w:sz="4" w:space="0" w:color="auto"/>
        </w:rPr>
        <w:t>「</w:t>
      </w:r>
      <w:r w:rsidRPr="00F765BE">
        <w:rPr>
          <w:rFonts w:ascii="Times New Roman" w:hAnsi="Times New Roman"/>
          <w:b/>
          <w:sz w:val="20"/>
          <w:szCs w:val="20"/>
          <w:bdr w:val="single" w:sz="4" w:space="0" w:color="auto"/>
        </w:rPr>
        <w:t>我空法有</w:t>
      </w:r>
      <w:r w:rsidRPr="00F765BE">
        <w:rPr>
          <w:rFonts w:ascii="Times New Roman" w:hAnsi="Times New Roman" w:hint="eastAsia"/>
          <w:b/>
          <w:sz w:val="20"/>
          <w:szCs w:val="20"/>
          <w:bdr w:val="single" w:sz="4" w:space="0" w:color="auto"/>
        </w:rPr>
        <w:t>」</w:t>
      </w:r>
      <w:r w:rsidR="00656FE1">
        <w:rPr>
          <w:rFonts w:ascii="Times New Roman" w:hAnsi="Times New Roman"/>
          <w:b/>
          <w:color w:val="FF0000"/>
          <w:sz w:val="20"/>
          <w:szCs w:val="20"/>
          <w:highlight w:val="yellow"/>
          <w:bdr w:val="single" w:sz="4" w:space="0" w:color="auto"/>
        </w:rPr>
        <w:t>vs.</w:t>
      </w:r>
      <w:r w:rsidRPr="00F765BE">
        <w:rPr>
          <w:rFonts w:ascii="Times New Roman" w:hAnsi="Times New Roman" w:hint="eastAsia"/>
          <w:b/>
          <w:sz w:val="20"/>
          <w:szCs w:val="20"/>
          <w:bdr w:val="single" w:sz="4" w:space="0" w:color="auto"/>
        </w:rPr>
        <w:t>「</w:t>
      </w:r>
      <w:r w:rsidRPr="00F765BE">
        <w:rPr>
          <w:rFonts w:ascii="Times New Roman" w:hAnsi="Times New Roman"/>
          <w:b/>
          <w:sz w:val="20"/>
          <w:szCs w:val="20"/>
          <w:bdr w:val="single" w:sz="4" w:space="0" w:color="auto"/>
        </w:rPr>
        <w:t>我法皆空</w:t>
      </w:r>
      <w:r w:rsidRPr="00F765BE">
        <w:rPr>
          <w:rFonts w:ascii="Times New Roman" w:hAnsi="Times New Roman" w:hint="eastAsia"/>
          <w:b/>
          <w:sz w:val="20"/>
          <w:szCs w:val="20"/>
          <w:bdr w:val="single" w:sz="4" w:space="0" w:color="auto"/>
        </w:rPr>
        <w:t>」</w:t>
      </w:r>
      <w:r w:rsidRPr="00DA3BC7">
        <w:rPr>
          <w:rFonts w:ascii="Times New Roman" w:hAnsi="Times New Roman"/>
          <w:sz w:val="20"/>
        </w:rPr>
        <w:t>（</w:t>
      </w:r>
      <w:r w:rsidRPr="00DA3BC7">
        <w:rPr>
          <w:rFonts w:ascii="Times New Roman" w:hAnsi="Times New Roman"/>
          <w:sz w:val="20"/>
        </w:rPr>
        <w:t>pp.244-245</w:t>
      </w:r>
      <w:r w:rsidRPr="00DA3BC7">
        <w:rPr>
          <w:rFonts w:ascii="Times New Roman" w:hAnsi="Times New Roman"/>
          <w:sz w:val="20"/>
        </w:rPr>
        <w:t>）</w:t>
      </w:r>
    </w:p>
    <w:p w:rsidR="00AA120F" w:rsidRPr="00DA3BC7" w:rsidRDefault="00AA120F" w:rsidP="008E2BBC">
      <w:pPr>
        <w:ind w:leftChars="200" w:left="480"/>
        <w:jc w:val="both"/>
        <w:rPr>
          <w:rFonts w:ascii="Times New Roman" w:hAnsi="Times New Roman"/>
          <w:b/>
          <w:sz w:val="20"/>
          <w:szCs w:val="20"/>
          <w:bdr w:val="single" w:sz="4" w:space="0" w:color="auto"/>
        </w:rPr>
      </w:pPr>
      <w:r w:rsidRPr="00DA3BC7">
        <w:rPr>
          <w:rFonts w:ascii="Times New Roman" w:hAnsi="Times New Roman"/>
          <w:b/>
          <w:sz w:val="20"/>
          <w:szCs w:val="20"/>
          <w:bdr w:val="single" w:sz="4" w:space="0" w:color="auto"/>
        </w:rPr>
        <w:t>1</w:t>
      </w:r>
      <w:r w:rsidRPr="00DA3BC7">
        <w:rPr>
          <w:rFonts w:ascii="Times New Roman" w:hAnsi="Times New Roman"/>
          <w:b/>
          <w:sz w:val="20"/>
          <w:szCs w:val="20"/>
          <w:bdr w:val="single" w:sz="4" w:space="0" w:color="auto"/>
        </w:rPr>
        <w:t>、</w:t>
      </w:r>
      <w:r w:rsidRPr="00DA3BC7">
        <w:rPr>
          <w:rFonts w:ascii="Times New Roman" w:hAnsi="Times New Roman" w:hint="eastAsia"/>
          <w:b/>
          <w:sz w:val="20"/>
          <w:szCs w:val="20"/>
          <w:bdr w:val="single" w:sz="4" w:space="0" w:color="auto"/>
        </w:rPr>
        <w:t>《阿含經》說</w:t>
      </w:r>
      <w:r w:rsidR="00A2738B" w:rsidRPr="00F765BE">
        <w:rPr>
          <w:rFonts w:ascii="Times New Roman" w:hAnsi="Times New Roman" w:hint="eastAsia"/>
          <w:b/>
          <w:sz w:val="20"/>
          <w:szCs w:val="20"/>
          <w:bdr w:val="single" w:sz="4" w:space="0" w:color="auto"/>
        </w:rPr>
        <w:t>「</w:t>
      </w:r>
      <w:r w:rsidRPr="00DA3BC7">
        <w:rPr>
          <w:rFonts w:ascii="Times New Roman" w:hAnsi="Times New Roman" w:hint="eastAsia"/>
          <w:b/>
          <w:sz w:val="20"/>
          <w:szCs w:val="20"/>
          <w:bdr w:val="single" w:sz="4" w:space="0" w:color="auto"/>
        </w:rPr>
        <w:t>我空法有</w:t>
      </w:r>
      <w:r w:rsidR="00A2738B" w:rsidRPr="00F765BE">
        <w:rPr>
          <w:rFonts w:ascii="Times New Roman" w:hAnsi="Times New Roman" w:hint="eastAsia"/>
          <w:b/>
          <w:sz w:val="20"/>
          <w:szCs w:val="20"/>
          <w:bdr w:val="single" w:sz="4" w:space="0" w:color="auto"/>
        </w:rPr>
        <w:t>」</w:t>
      </w:r>
      <w:r w:rsidRPr="00DA3BC7">
        <w:rPr>
          <w:rFonts w:ascii="Times New Roman" w:hAnsi="Times New Roman" w:hint="eastAsia"/>
          <w:b/>
          <w:sz w:val="20"/>
          <w:szCs w:val="20"/>
          <w:bdr w:val="single" w:sz="4" w:space="0" w:color="auto"/>
        </w:rPr>
        <w:t>之真</w:t>
      </w:r>
      <w:r w:rsidR="00F765BE" w:rsidRPr="00F765BE">
        <w:rPr>
          <w:rFonts w:ascii="Times New Roman" w:hAnsi="Times New Roman" w:hint="eastAsia"/>
          <w:b/>
          <w:color w:val="FF0000"/>
          <w:sz w:val="20"/>
          <w:szCs w:val="20"/>
          <w:highlight w:val="yellow"/>
          <w:bdr w:val="single" w:sz="4" w:space="0" w:color="auto"/>
        </w:rPr>
        <w:t>意</w:t>
      </w:r>
      <w:r w:rsidR="000C1108" w:rsidRPr="00DA3BC7">
        <w:rPr>
          <w:rFonts w:ascii="Times Ext Roman" w:hAnsi="Times Ext Roman" w:cs="Times Ext Roman" w:hint="eastAsia"/>
          <w:sz w:val="20"/>
        </w:rPr>
        <w:t>（</w:t>
      </w:r>
      <w:r w:rsidR="000C1108" w:rsidRPr="00DA3BC7">
        <w:rPr>
          <w:rFonts w:ascii="Times New Roman" w:hAnsi="Times New Roman" w:hint="eastAsia"/>
          <w:sz w:val="20"/>
        </w:rPr>
        <w:t>p.</w:t>
      </w:r>
      <w:r w:rsidR="000C1108" w:rsidRPr="00DA3BC7">
        <w:rPr>
          <w:rFonts w:ascii="Times New Roman" w:eastAsia="SimSun" w:hAnsi="Times New Roman" w:hint="eastAsia"/>
          <w:sz w:val="20"/>
        </w:rPr>
        <w:t>244</w:t>
      </w:r>
      <w:r w:rsidR="000C1108" w:rsidRPr="00DA3BC7">
        <w:rPr>
          <w:rFonts w:ascii="Times Ext Roman" w:hAnsi="Times Ext Roman" w:cs="Times Ext Roman" w:hint="eastAsia"/>
          <w:sz w:val="20"/>
        </w:rPr>
        <w:t>）</w:t>
      </w:r>
    </w:p>
    <w:p w:rsidR="00AA120F" w:rsidRPr="00DA3BC7" w:rsidRDefault="00AA120F" w:rsidP="008E2BBC">
      <w:pPr>
        <w:ind w:leftChars="250" w:left="600"/>
        <w:jc w:val="both"/>
        <w:rPr>
          <w:rFonts w:ascii="Times New Roman" w:hAnsi="Times New Roman"/>
          <w:b/>
          <w:sz w:val="20"/>
          <w:szCs w:val="20"/>
          <w:bdr w:val="single" w:sz="4" w:space="0" w:color="auto"/>
        </w:rPr>
      </w:pPr>
      <w:r w:rsidRPr="00DA3BC7">
        <w:rPr>
          <w:rFonts w:ascii="Times New Roman" w:hAnsi="Times New Roman" w:hint="eastAsia"/>
          <w:b/>
          <w:sz w:val="20"/>
          <w:szCs w:val="20"/>
          <w:bdr w:val="single" w:sz="4" w:space="0" w:color="auto"/>
        </w:rPr>
        <w:t>（</w:t>
      </w:r>
      <w:r w:rsidRPr="00DA3BC7">
        <w:rPr>
          <w:rFonts w:ascii="Times New Roman" w:hAnsi="Times New Roman" w:hint="eastAsia"/>
          <w:b/>
          <w:sz w:val="20"/>
          <w:szCs w:val="20"/>
          <w:bdr w:val="single" w:sz="4" w:space="0" w:color="auto"/>
        </w:rPr>
        <w:t>1</w:t>
      </w:r>
      <w:r w:rsidRPr="00DA3BC7">
        <w:rPr>
          <w:rFonts w:ascii="Times New Roman" w:hAnsi="Times New Roman" w:hint="eastAsia"/>
          <w:b/>
          <w:sz w:val="20"/>
          <w:szCs w:val="20"/>
          <w:bdr w:val="single" w:sz="4" w:space="0" w:color="auto"/>
        </w:rPr>
        <w:t>）「</w:t>
      </w:r>
      <w:r w:rsidR="00F765BE" w:rsidRPr="00F765BE">
        <w:rPr>
          <w:rFonts w:ascii="Times New Roman" w:hAnsi="Times New Roman" w:hint="eastAsia"/>
          <w:b/>
          <w:color w:val="FF0000"/>
          <w:sz w:val="20"/>
          <w:szCs w:val="20"/>
          <w:highlight w:val="yellow"/>
          <w:bdr w:val="single" w:sz="4" w:space="0" w:color="auto"/>
        </w:rPr>
        <w:t>自</w:t>
      </w:r>
      <w:r w:rsidRPr="00DA3BC7">
        <w:rPr>
          <w:rFonts w:ascii="新細明體" w:hAnsi="新細明體" w:hint="eastAsia"/>
          <w:b/>
          <w:sz w:val="20"/>
          <w:szCs w:val="20"/>
          <w:bdr w:val="single" w:sz="4" w:space="0" w:color="auto"/>
        </w:rPr>
        <w:t>我」</w:t>
      </w:r>
      <w:r w:rsidR="00F765BE" w:rsidRPr="00F765BE">
        <w:rPr>
          <w:rFonts w:ascii="新細明體" w:hAnsi="新細明體" w:hint="eastAsia"/>
          <w:b/>
          <w:color w:val="FF0000"/>
          <w:sz w:val="20"/>
          <w:szCs w:val="20"/>
          <w:highlight w:val="yellow"/>
          <w:bdr w:val="single" w:sz="4" w:space="0" w:color="auto"/>
        </w:rPr>
        <w:t>的</w:t>
      </w:r>
      <w:r w:rsidRPr="00DA3BC7">
        <w:rPr>
          <w:rFonts w:ascii="新細明體" w:hAnsi="新細明體" w:hint="eastAsia"/>
          <w:b/>
          <w:sz w:val="20"/>
          <w:szCs w:val="20"/>
          <w:bdr w:val="single" w:sz="4" w:space="0" w:color="auto"/>
        </w:rPr>
        <w:t>定義</w:t>
      </w:r>
      <w:r w:rsidRPr="00DA3BC7">
        <w:rPr>
          <w:rFonts w:ascii="Times Ext Roman" w:hAnsi="Times Ext Roman" w:cs="Times Ext Roman" w:hint="eastAsia"/>
          <w:sz w:val="20"/>
        </w:rPr>
        <w:t>（</w:t>
      </w:r>
      <w:r w:rsidRPr="00DA3BC7">
        <w:rPr>
          <w:rFonts w:ascii="Times New Roman" w:hAnsi="Times New Roman" w:hint="eastAsia"/>
          <w:sz w:val="20"/>
        </w:rPr>
        <w:t>p.</w:t>
      </w:r>
      <w:r w:rsidRPr="00DA3BC7">
        <w:rPr>
          <w:rFonts w:ascii="Times New Roman" w:eastAsia="SimSun" w:hAnsi="Times New Roman" w:hint="eastAsia"/>
          <w:sz w:val="20"/>
        </w:rPr>
        <w:t>244</w:t>
      </w:r>
      <w:r w:rsidRPr="00DA3BC7">
        <w:rPr>
          <w:rFonts w:ascii="Times Ext Roman" w:hAnsi="Times Ext Roman" w:cs="Times Ext Roman" w:hint="eastAsia"/>
          <w:sz w:val="20"/>
        </w:rPr>
        <w:t>）</w:t>
      </w:r>
    </w:p>
    <w:p w:rsidR="00AA120F" w:rsidRPr="00DA3BC7" w:rsidRDefault="00AA120F" w:rsidP="008E2BBC">
      <w:pPr>
        <w:ind w:leftChars="250" w:left="600"/>
        <w:jc w:val="both"/>
        <w:rPr>
          <w:rFonts w:eastAsia="SimSun"/>
        </w:rPr>
      </w:pPr>
      <w:r w:rsidRPr="00DA3BC7">
        <w:rPr>
          <w:rFonts w:hint="eastAsia"/>
        </w:rPr>
        <w:t>《阿含經》說我空法有，此我，梵語為「阿特曼</w:t>
      </w:r>
      <w:r w:rsidRPr="00F765BE">
        <w:rPr>
          <w:rFonts w:ascii="新細明體" w:hAnsi="新細明體" w:hint="eastAsia"/>
          <w:shd w:val="pct15" w:color="auto" w:fill="FFFFFF"/>
        </w:rPr>
        <w:t>（</w:t>
      </w:r>
      <w:r w:rsidRPr="00F765BE">
        <w:rPr>
          <w:rFonts w:ascii="Times New Roman" w:hAnsi="Times New Roman"/>
          <w:shd w:val="pct15" w:color="auto" w:fill="FFFFFF"/>
        </w:rPr>
        <w:t>ātman</w:t>
      </w:r>
      <w:r w:rsidRPr="00F765BE">
        <w:rPr>
          <w:rFonts w:ascii="新細明體" w:hAnsi="新細明體" w:hint="eastAsia"/>
          <w:shd w:val="pct15" w:color="auto" w:fill="FFFFFF"/>
        </w:rPr>
        <w:t>）</w:t>
      </w:r>
      <w:r w:rsidRPr="00DA3BC7">
        <w:rPr>
          <w:rFonts w:hint="eastAsia"/>
        </w:rPr>
        <w:t>」</w:t>
      </w:r>
      <w:r w:rsidRPr="00DA3BC7">
        <w:rPr>
          <w:rStyle w:val="a6"/>
          <w:rFonts w:ascii="Times New Roman" w:hAnsi="Times New Roman"/>
        </w:rPr>
        <w:footnoteReference w:id="1061"/>
      </w:r>
      <w:r w:rsidRPr="00DA3BC7">
        <w:rPr>
          <w:rFonts w:hint="eastAsia"/>
        </w:rPr>
        <w:t>，有</w:t>
      </w:r>
      <w:r w:rsidRPr="00DA3BC7">
        <w:rPr>
          <w:rFonts w:hint="eastAsia"/>
          <w:b/>
        </w:rPr>
        <w:t>自在義</w:t>
      </w:r>
      <w:r w:rsidRPr="00DA3BC7">
        <w:rPr>
          <w:rFonts w:hint="eastAsia"/>
        </w:rPr>
        <w:t>和</w:t>
      </w:r>
      <w:r w:rsidRPr="00DA3BC7">
        <w:rPr>
          <w:rFonts w:hint="eastAsia"/>
          <w:b/>
        </w:rPr>
        <w:t>真實義</w:t>
      </w:r>
      <w:r w:rsidRPr="00DA3BC7">
        <w:rPr>
          <w:rFonts w:hint="eastAsia"/>
        </w:rPr>
        <w:t>。自在，約意識的作用說，即自由的，能任意的支配宰制，自主而不受其他所限的。所以「我」應是與其他無關的，是個體獨存的。佛說：一切為因果相依的存在，為息息</w:t>
      </w:r>
      <w:r w:rsidRPr="00DA3BC7">
        <w:rPr>
          <w:rStyle w:val="a6"/>
          <w:rFonts w:ascii="Times New Roman" w:hAnsi="Times New Roman"/>
        </w:rPr>
        <w:footnoteReference w:id="1062"/>
      </w:r>
      <w:r w:rsidRPr="00DA3BC7">
        <w:rPr>
          <w:rFonts w:hint="eastAsia"/>
        </w:rPr>
        <w:t>變異的存在，個體獨存的自在──我不可得。從</w:t>
      </w:r>
      <w:r w:rsidRPr="00DA3BC7">
        <w:rPr>
          <w:rFonts w:hint="eastAsia"/>
          <w:b/>
        </w:rPr>
        <w:t>自在義</w:t>
      </w:r>
      <w:r w:rsidRPr="00DA3BC7">
        <w:rPr>
          <w:rFonts w:hint="eastAsia"/>
        </w:rPr>
        <w:t>，又得出</w:t>
      </w:r>
      <w:r w:rsidRPr="00DA3BC7">
        <w:rPr>
          <w:rFonts w:hint="eastAsia"/>
          <w:b/>
        </w:rPr>
        <w:t>不變義</w:t>
      </w:r>
      <w:r w:rsidRPr="00DA3BC7">
        <w:rPr>
          <w:rFonts w:hint="eastAsia"/>
        </w:rPr>
        <w:t>、</w:t>
      </w:r>
      <w:r w:rsidRPr="00DA3BC7">
        <w:rPr>
          <w:rFonts w:hint="eastAsia"/>
          <w:b/>
        </w:rPr>
        <w:t>真實義</w:t>
      </w:r>
      <w:r w:rsidRPr="00DA3BC7">
        <w:rPr>
          <w:rFonts w:hint="eastAsia"/>
        </w:rPr>
        <w:t>的特性，這是</w:t>
      </w:r>
      <w:r w:rsidRPr="00DA3BC7">
        <w:rPr>
          <w:rFonts w:hint="eastAsia"/>
          <w:b/>
        </w:rPr>
        <w:t>自我的定義</w:t>
      </w:r>
      <w:r w:rsidRPr="00DA3BC7">
        <w:rPr>
          <w:rFonts w:hint="eastAsia"/>
        </w:rPr>
        <w:t>。</w:t>
      </w:r>
    </w:p>
    <w:p w:rsidR="00AA120F" w:rsidRPr="00DA3BC7" w:rsidRDefault="00AA120F" w:rsidP="00AE3920">
      <w:pPr>
        <w:spacing w:beforeLines="30"/>
        <w:ind w:leftChars="250" w:left="600"/>
        <w:jc w:val="both"/>
        <w:rPr>
          <w:rFonts w:eastAsia="SimSun"/>
        </w:rPr>
      </w:pPr>
      <w:r w:rsidRPr="00DA3BC7">
        <w:rPr>
          <w:rFonts w:ascii="Times New Roman" w:hAnsi="Times New Roman" w:hint="eastAsia"/>
          <w:b/>
          <w:sz w:val="20"/>
          <w:szCs w:val="20"/>
          <w:bdr w:val="single" w:sz="4" w:space="0" w:color="auto"/>
        </w:rPr>
        <w:t>（</w:t>
      </w:r>
      <w:r w:rsidRPr="00DA3BC7">
        <w:rPr>
          <w:rFonts w:ascii="Times New Roman" w:hAnsi="Times New Roman" w:hint="eastAsia"/>
          <w:b/>
          <w:sz w:val="20"/>
          <w:szCs w:val="20"/>
          <w:bdr w:val="single" w:sz="4" w:space="0" w:color="auto"/>
        </w:rPr>
        <w:t>2</w:t>
      </w:r>
      <w:r w:rsidRPr="00DA3BC7">
        <w:rPr>
          <w:rFonts w:ascii="Times New Roman" w:hAnsi="Times New Roman" w:hint="eastAsia"/>
          <w:b/>
          <w:sz w:val="20"/>
          <w:szCs w:val="20"/>
          <w:bdr w:val="single" w:sz="4" w:space="0" w:color="auto"/>
        </w:rPr>
        <w:t>）</w:t>
      </w:r>
      <w:r w:rsidR="00F765BE">
        <w:rPr>
          <w:rFonts w:ascii="Times New Roman" w:hAnsi="Times New Roman" w:hint="eastAsia"/>
          <w:b/>
          <w:color w:val="FF0000"/>
          <w:sz w:val="20"/>
          <w:szCs w:val="20"/>
          <w:highlight w:val="yellow"/>
          <w:bdr w:val="single" w:sz="4" w:space="0" w:color="auto"/>
        </w:rPr>
        <w:t>聖教的真意</w:t>
      </w:r>
      <w:r w:rsidRPr="00DA3BC7">
        <w:rPr>
          <w:rFonts w:ascii="Times Ext Roman" w:hAnsi="Times Ext Roman" w:cs="Times Ext Roman" w:hint="eastAsia"/>
          <w:sz w:val="20"/>
        </w:rPr>
        <w:t>（</w:t>
      </w:r>
      <w:r w:rsidRPr="00DA3BC7">
        <w:rPr>
          <w:rFonts w:ascii="Times New Roman" w:hAnsi="Times New Roman" w:hint="eastAsia"/>
          <w:sz w:val="20"/>
        </w:rPr>
        <w:t>p.</w:t>
      </w:r>
      <w:r w:rsidRPr="00DA3BC7">
        <w:rPr>
          <w:rFonts w:ascii="Times New Roman" w:eastAsia="SimSun" w:hAnsi="Times New Roman" w:hint="eastAsia"/>
          <w:sz w:val="20"/>
        </w:rPr>
        <w:t>244</w:t>
      </w:r>
      <w:r w:rsidRPr="00DA3BC7">
        <w:rPr>
          <w:rFonts w:ascii="Times Ext Roman" w:hAnsi="Times Ext Roman" w:cs="Times Ext Roman" w:hint="eastAsia"/>
          <w:sz w:val="20"/>
        </w:rPr>
        <w:t>）</w:t>
      </w:r>
    </w:p>
    <w:p w:rsidR="00AA120F" w:rsidRPr="00DA3BC7" w:rsidRDefault="00AA120F" w:rsidP="008E2BBC">
      <w:pPr>
        <w:ind w:leftChars="250" w:left="600"/>
        <w:jc w:val="both"/>
      </w:pPr>
      <w:r w:rsidRPr="00DA3BC7">
        <w:rPr>
          <w:rFonts w:hint="eastAsia"/>
        </w:rPr>
        <w:t>佛法說空，即是否定此真實、常住、自在的我。因為眾生總是執有真、常、一的自在體──我，在生死中流轉，為破眾生此種見執，經中說我不可得，只有緣起法的蘊、界、處等。</w:t>
      </w:r>
    </w:p>
    <w:p w:rsidR="00AA120F" w:rsidRPr="00DA3BC7" w:rsidRDefault="00AA120F" w:rsidP="00AE3920">
      <w:pPr>
        <w:spacing w:beforeLines="20"/>
        <w:ind w:leftChars="250" w:left="600"/>
        <w:jc w:val="both"/>
      </w:pPr>
      <w:r w:rsidRPr="00DA3BC7">
        <w:rPr>
          <w:rFonts w:hint="eastAsia"/>
        </w:rPr>
        <w:t>依空宗講，這話並不錯。蘊、處、界一切是虛妄的、無常的、待他的。</w:t>
      </w:r>
      <w:r w:rsidRPr="00DA3BC7">
        <w:rPr>
          <w:rFonts w:hint="eastAsia"/>
        </w:rPr>
        <w:lastRenderedPageBreak/>
        <w:t>無我，所以法是無常無我的如幻行；唯依世俗──假名而說業果身心，所以無我。</w:t>
      </w:r>
    </w:p>
    <w:p w:rsidR="00AA120F" w:rsidRPr="00DA3BC7" w:rsidRDefault="00AA120F" w:rsidP="008E2BBC">
      <w:pPr>
        <w:ind w:leftChars="250" w:left="600"/>
        <w:jc w:val="both"/>
        <w:rPr>
          <w:rFonts w:eastAsia="SimSun"/>
        </w:rPr>
      </w:pPr>
      <w:r w:rsidRPr="00DA3BC7">
        <w:rPr>
          <w:rFonts w:hint="eastAsia"/>
          <w:b/>
        </w:rPr>
        <w:t>無我我所，即勝義空；有業果緣起，即世俗有</w:t>
      </w:r>
      <w:r w:rsidRPr="00DA3BC7">
        <w:rPr>
          <w:rFonts w:hint="eastAsia"/>
        </w:rPr>
        <w:t>。</w:t>
      </w:r>
    </w:p>
    <w:p w:rsidR="00AA120F" w:rsidRPr="00DA3BC7" w:rsidRDefault="00F765BE" w:rsidP="00AE3920">
      <w:pPr>
        <w:spacing w:beforeLines="30"/>
        <w:ind w:leftChars="250" w:left="600"/>
        <w:jc w:val="both"/>
        <w:rPr>
          <w:rFonts w:eastAsia="SimSun"/>
        </w:rPr>
      </w:pPr>
      <w:r w:rsidRPr="00F765BE">
        <w:rPr>
          <w:rFonts w:ascii="Times New Roman" w:hAnsi="Times New Roman" w:hint="eastAsia"/>
          <w:b/>
          <w:color w:val="FF0000"/>
          <w:sz w:val="20"/>
          <w:szCs w:val="20"/>
          <w:highlight w:val="yellow"/>
          <w:bdr w:val="single" w:sz="4" w:space="0" w:color="auto"/>
        </w:rPr>
        <w:t>（</w:t>
      </w:r>
      <w:r w:rsidRPr="00F765BE">
        <w:rPr>
          <w:rFonts w:ascii="Times New Roman" w:hAnsi="Times New Roman" w:hint="eastAsia"/>
          <w:b/>
          <w:color w:val="FF0000"/>
          <w:sz w:val="20"/>
          <w:szCs w:val="20"/>
          <w:highlight w:val="yellow"/>
          <w:bdr w:val="single" w:sz="4" w:space="0" w:color="auto"/>
        </w:rPr>
        <w:t>3</w:t>
      </w:r>
      <w:r w:rsidRPr="00F765BE">
        <w:rPr>
          <w:rFonts w:ascii="Times New Roman" w:hAnsi="Times New Roman" w:hint="eastAsia"/>
          <w:b/>
          <w:color w:val="FF0000"/>
          <w:sz w:val="20"/>
          <w:szCs w:val="20"/>
          <w:highlight w:val="yellow"/>
          <w:bdr w:val="single" w:sz="4" w:space="0" w:color="auto"/>
        </w:rPr>
        <w:t>）後學的誤解</w:t>
      </w:r>
      <w:r w:rsidR="00AA120F" w:rsidRPr="00DA3BC7">
        <w:rPr>
          <w:rFonts w:ascii="Times Ext Roman" w:hAnsi="Times Ext Roman" w:cs="Times Ext Roman" w:hint="eastAsia"/>
          <w:sz w:val="20"/>
        </w:rPr>
        <w:t>（</w:t>
      </w:r>
      <w:r w:rsidR="00AA120F" w:rsidRPr="00DA3BC7">
        <w:rPr>
          <w:rFonts w:ascii="Times New Roman" w:hAnsi="Times New Roman" w:hint="eastAsia"/>
          <w:sz w:val="20"/>
        </w:rPr>
        <w:t>pp.</w:t>
      </w:r>
      <w:r w:rsidR="00AA120F" w:rsidRPr="00DA3BC7">
        <w:rPr>
          <w:rFonts w:ascii="Times New Roman" w:eastAsia="SimSun" w:hAnsi="Times New Roman" w:hint="eastAsia"/>
          <w:sz w:val="20"/>
        </w:rPr>
        <w:t>244-245</w:t>
      </w:r>
      <w:r w:rsidR="00AA120F" w:rsidRPr="00DA3BC7">
        <w:rPr>
          <w:rFonts w:ascii="Times Ext Roman" w:hAnsi="Times Ext Roman" w:cs="Times Ext Roman" w:hint="eastAsia"/>
          <w:sz w:val="20"/>
        </w:rPr>
        <w:t>）</w:t>
      </w:r>
    </w:p>
    <w:p w:rsidR="00AA120F" w:rsidRPr="00DA3BC7" w:rsidRDefault="00AA120F" w:rsidP="00473148">
      <w:pPr>
        <w:ind w:leftChars="250" w:left="600"/>
        <w:jc w:val="both"/>
        <w:rPr>
          <w:rFonts w:eastAsia="SimSun"/>
        </w:rPr>
      </w:pPr>
      <w:r w:rsidRPr="00DA3BC7">
        <w:rPr>
          <w:rFonts w:hint="eastAsia"/>
        </w:rPr>
        <w:t>但有些學者──有宗，即以為</w:t>
      </w:r>
      <w:r w:rsidRPr="00DA3BC7">
        <w:rPr>
          <w:rFonts w:hint="eastAsia"/>
          <w:b/>
        </w:rPr>
        <w:t>我無</w:t>
      </w:r>
      <w:r w:rsidRPr="00DA3BC7">
        <w:rPr>
          <w:rFonts w:hint="eastAsia"/>
        </w:rPr>
        <w:t>而</w:t>
      </w:r>
      <w:r w:rsidRPr="00DA3BC7">
        <w:rPr>
          <w:rFonts w:hint="eastAsia"/>
          <w:b/>
        </w:rPr>
        <w:t>法是實有</w:t>
      </w:r>
      <w:r w:rsidRPr="00DA3BC7">
        <w:rPr>
          <w:rFonts w:hint="eastAsia"/>
        </w:rPr>
        <w:t>；甚至部分的大乘學者，也說我是和合假有，而因緣法有自相，這才與《阿含經》相違反。</w:t>
      </w:r>
    </w:p>
    <w:p w:rsidR="00AA120F" w:rsidRPr="00DA3BC7" w:rsidRDefault="00F765BE" w:rsidP="00AE3920">
      <w:pPr>
        <w:spacing w:beforeLines="30"/>
        <w:ind w:leftChars="200" w:left="480"/>
        <w:jc w:val="both"/>
        <w:rPr>
          <w:rFonts w:eastAsia="SimSun"/>
        </w:rPr>
      </w:pPr>
      <w:r w:rsidRPr="00F765BE">
        <w:rPr>
          <w:rFonts w:ascii="Times New Roman" w:hAnsi="Times New Roman" w:hint="eastAsia"/>
          <w:b/>
          <w:color w:val="FF0000"/>
          <w:sz w:val="20"/>
          <w:szCs w:val="20"/>
          <w:highlight w:val="yellow"/>
          <w:bdr w:val="single" w:sz="4" w:space="0" w:color="auto"/>
        </w:rPr>
        <w:t>2</w:t>
      </w:r>
      <w:r w:rsidRPr="00F765BE">
        <w:rPr>
          <w:rFonts w:ascii="Times New Roman" w:hAnsi="Times New Roman" w:hint="eastAsia"/>
          <w:b/>
          <w:color w:val="FF0000"/>
          <w:sz w:val="20"/>
          <w:szCs w:val="20"/>
          <w:highlight w:val="yellow"/>
          <w:bdr w:val="single" w:sz="4" w:space="0" w:color="auto"/>
        </w:rPr>
        <w:t>、中觀者說「</w:t>
      </w:r>
      <w:r w:rsidR="00AA120F" w:rsidRPr="00F765BE">
        <w:rPr>
          <w:rFonts w:hint="eastAsia"/>
          <w:b/>
          <w:color w:val="FF0000"/>
          <w:sz w:val="20"/>
          <w:highlight w:val="yellow"/>
          <w:bdr w:val="single" w:sz="4" w:space="0" w:color="auto"/>
        </w:rPr>
        <w:t>我法皆</w:t>
      </w:r>
      <w:r w:rsidRPr="00F765BE">
        <w:rPr>
          <w:rFonts w:hint="eastAsia"/>
          <w:b/>
          <w:color w:val="FF0000"/>
          <w:sz w:val="20"/>
          <w:highlight w:val="yellow"/>
          <w:bdr w:val="single" w:sz="4" w:space="0" w:color="auto"/>
        </w:rPr>
        <w:t>空」的教義</w:t>
      </w:r>
      <w:r w:rsidR="00AA120F" w:rsidRPr="00DA3BC7">
        <w:rPr>
          <w:rFonts w:ascii="Times Ext Roman" w:hAnsi="Times Ext Roman" w:cs="Times Ext Roman" w:hint="eastAsia"/>
          <w:sz w:val="20"/>
        </w:rPr>
        <w:t>（</w:t>
      </w:r>
      <w:r w:rsidR="00AA120F" w:rsidRPr="00DA3BC7">
        <w:rPr>
          <w:rFonts w:ascii="Times New Roman" w:hAnsi="Times New Roman" w:hint="eastAsia"/>
          <w:sz w:val="20"/>
        </w:rPr>
        <w:t>p.</w:t>
      </w:r>
      <w:r w:rsidR="00AA120F" w:rsidRPr="00DA3BC7">
        <w:rPr>
          <w:rFonts w:ascii="Times New Roman" w:eastAsia="SimSun" w:hAnsi="Times New Roman" w:hint="eastAsia"/>
          <w:sz w:val="20"/>
        </w:rPr>
        <w:t>245</w:t>
      </w:r>
      <w:r w:rsidR="00AA120F" w:rsidRPr="00DA3BC7">
        <w:rPr>
          <w:rFonts w:ascii="Times Ext Roman" w:hAnsi="Times Ext Roman" w:cs="Times Ext Roman" w:hint="eastAsia"/>
          <w:sz w:val="20"/>
        </w:rPr>
        <w:t>）</w:t>
      </w:r>
    </w:p>
    <w:p w:rsidR="00F765BE" w:rsidRDefault="00AA120F" w:rsidP="00473148">
      <w:pPr>
        <w:ind w:leftChars="200" w:left="480"/>
        <w:jc w:val="both"/>
      </w:pPr>
      <w:r w:rsidRPr="00DA3BC7">
        <w:rPr>
          <w:rFonts w:hint="eastAsia"/>
        </w:rPr>
        <w:t>中觀者說：</w:t>
      </w:r>
    </w:p>
    <w:p w:rsidR="00AA120F" w:rsidRPr="00DA3BC7" w:rsidRDefault="00AA120F" w:rsidP="00473148">
      <w:pPr>
        <w:ind w:leftChars="200" w:left="480"/>
        <w:jc w:val="both"/>
      </w:pPr>
      <w:r w:rsidRPr="00DA3BC7">
        <w:rPr>
          <w:rFonts w:hint="eastAsia"/>
        </w:rPr>
        <w:t>從緣起的幻相上說，諸法固是假有，我也是假有。依五蘊和合相續而有假名我──補特伽羅，人格、個性、因果，都可於此安立。</w:t>
      </w:r>
    </w:p>
    <w:p w:rsidR="00AA120F" w:rsidRPr="00DA3BC7" w:rsidRDefault="00AA120F" w:rsidP="00AE3920">
      <w:pPr>
        <w:spacing w:beforeLines="20"/>
        <w:ind w:leftChars="200" w:left="480"/>
        <w:jc w:val="both"/>
      </w:pPr>
      <w:r w:rsidRPr="00DA3BC7">
        <w:rPr>
          <w:rFonts w:hint="eastAsia"/>
        </w:rPr>
        <w:t>若從執有自性說，那非但補特伽羅我無自性，法也無自性。</w:t>
      </w:r>
    </w:p>
    <w:p w:rsidR="00F765BE" w:rsidRPr="00DA3BC7" w:rsidRDefault="00F765BE" w:rsidP="00AE3920">
      <w:pPr>
        <w:spacing w:beforeLines="30"/>
        <w:ind w:leftChars="200" w:left="480"/>
        <w:jc w:val="both"/>
        <w:rPr>
          <w:rFonts w:ascii="Times Ext Roman" w:eastAsia="SimSun" w:hAnsi="Times Ext Roman" w:cs="Times Ext Roman"/>
          <w:sz w:val="20"/>
        </w:rPr>
      </w:pPr>
      <w:r w:rsidRPr="00F765BE">
        <w:rPr>
          <w:rFonts w:ascii="Times New Roman" w:hAnsi="Times New Roman" w:hint="eastAsia"/>
          <w:b/>
          <w:color w:val="FF0000"/>
          <w:sz w:val="20"/>
          <w:szCs w:val="20"/>
          <w:highlight w:val="yellow"/>
          <w:bdr w:val="single" w:sz="4" w:space="0" w:color="auto"/>
        </w:rPr>
        <w:t>3</w:t>
      </w:r>
      <w:r w:rsidRPr="00F765BE">
        <w:rPr>
          <w:rFonts w:ascii="Times New Roman" w:hAnsi="Times New Roman" w:hint="eastAsia"/>
          <w:b/>
          <w:color w:val="FF0000"/>
          <w:sz w:val="20"/>
          <w:szCs w:val="20"/>
          <w:highlight w:val="yellow"/>
          <w:bdr w:val="single" w:sz="4" w:space="0" w:color="auto"/>
        </w:rPr>
        <w:t>、</w:t>
      </w:r>
      <w:r w:rsidRPr="00F765BE">
        <w:rPr>
          <w:rFonts w:ascii="新細明體" w:hAnsi="新細明體" w:hint="eastAsia"/>
          <w:b/>
          <w:color w:val="FF0000"/>
          <w:sz w:val="20"/>
          <w:szCs w:val="20"/>
          <w:highlight w:val="yellow"/>
          <w:bdr w:val="single" w:sz="4" w:space="0" w:color="auto"/>
        </w:rPr>
        <w:t>結成</w:t>
      </w:r>
      <w:r w:rsidRPr="00DA3BC7">
        <w:rPr>
          <w:rFonts w:ascii="Times Ext Roman" w:hAnsi="Times Ext Roman" w:cs="Times Ext Roman" w:hint="eastAsia"/>
          <w:sz w:val="20"/>
        </w:rPr>
        <w:t>（</w:t>
      </w:r>
      <w:r w:rsidRPr="00DA3BC7">
        <w:rPr>
          <w:rFonts w:ascii="Times New Roman" w:hAnsi="Times New Roman" w:hint="eastAsia"/>
          <w:sz w:val="20"/>
        </w:rPr>
        <w:t>p.</w:t>
      </w:r>
      <w:r w:rsidRPr="00DA3BC7">
        <w:rPr>
          <w:rFonts w:ascii="Times New Roman" w:eastAsia="SimSun" w:hAnsi="Times New Roman" w:hint="eastAsia"/>
          <w:sz w:val="20"/>
        </w:rPr>
        <w:t>245</w:t>
      </w:r>
      <w:r w:rsidRPr="00DA3BC7">
        <w:rPr>
          <w:rFonts w:ascii="Times Ext Roman" w:hAnsi="Times Ext Roman" w:cs="Times Ext Roman" w:hint="eastAsia"/>
          <w:sz w:val="20"/>
        </w:rPr>
        <w:t>）</w:t>
      </w:r>
    </w:p>
    <w:p w:rsidR="00AA120F" w:rsidRPr="00DA3BC7" w:rsidRDefault="00AA120F" w:rsidP="00473148">
      <w:pPr>
        <w:ind w:leftChars="200" w:left="480"/>
        <w:jc w:val="both"/>
      </w:pPr>
      <w:r w:rsidRPr="00DA3BC7">
        <w:rPr>
          <w:rFonts w:hint="eastAsia"/>
        </w:rPr>
        <w:t>眾生執一切法有自性，故說我無而法有；</w:t>
      </w:r>
    </w:p>
    <w:p w:rsidR="00AA120F" w:rsidRPr="00DA3BC7" w:rsidRDefault="00AA120F" w:rsidP="00473148">
      <w:pPr>
        <w:ind w:leftChars="200" w:left="480"/>
        <w:jc w:val="both"/>
        <w:rPr>
          <w:rFonts w:eastAsia="SimSun"/>
        </w:rPr>
      </w:pPr>
      <w:r w:rsidRPr="00DA3BC7">
        <w:rPr>
          <w:rFonts w:hint="eastAsia"/>
        </w:rPr>
        <w:t>空宗說自性我法都無，幻現我法皆有，這僅是單複的說明不同。</w:t>
      </w:r>
    </w:p>
    <w:p w:rsidR="00AA120F" w:rsidRPr="00DA3BC7" w:rsidRDefault="00AA120F" w:rsidP="00AE3920">
      <w:pPr>
        <w:spacing w:beforeLines="30"/>
        <w:ind w:leftChars="150" w:left="360"/>
        <w:jc w:val="both"/>
        <w:rPr>
          <w:rFonts w:ascii="Times Ext Roman" w:eastAsia="SimSun" w:hAnsi="Times Ext Roman" w:cs="Times Ext Roman"/>
          <w:sz w:val="20"/>
        </w:rPr>
      </w:pPr>
      <w:r w:rsidRPr="00F765BE">
        <w:rPr>
          <w:rFonts w:ascii="新細明體" w:hAnsi="新細明體" w:hint="eastAsia"/>
          <w:b/>
          <w:color w:val="FF0000"/>
          <w:sz w:val="20"/>
          <w:szCs w:val="20"/>
          <w:highlight w:val="yellow"/>
          <w:bdr w:val="single" w:sz="4" w:space="0" w:color="auto"/>
        </w:rPr>
        <w:t>（</w:t>
      </w:r>
      <w:r w:rsidR="00F765BE" w:rsidRPr="00F765BE">
        <w:rPr>
          <w:rFonts w:ascii="新細明體" w:hAnsi="新細明體" w:hint="eastAsia"/>
          <w:b/>
          <w:color w:val="FF0000"/>
          <w:sz w:val="20"/>
          <w:szCs w:val="20"/>
          <w:highlight w:val="yellow"/>
          <w:bdr w:val="single" w:sz="4" w:space="0" w:color="auto"/>
        </w:rPr>
        <w:t>三</w:t>
      </w:r>
      <w:r w:rsidRPr="00F765BE">
        <w:rPr>
          <w:rFonts w:ascii="新細明體" w:hAnsi="新細明體" w:hint="eastAsia"/>
          <w:b/>
          <w:color w:val="FF0000"/>
          <w:sz w:val="20"/>
          <w:szCs w:val="20"/>
          <w:highlight w:val="yellow"/>
          <w:bdr w:val="single" w:sz="4" w:space="0" w:color="auto"/>
        </w:rPr>
        <w:t>）</w:t>
      </w:r>
      <w:r w:rsidR="00F765BE" w:rsidRPr="00F765BE">
        <w:rPr>
          <w:rFonts w:ascii="新細明體" w:hAnsi="新細明體" w:hint="eastAsia"/>
          <w:b/>
          <w:sz w:val="20"/>
          <w:szCs w:val="20"/>
          <w:highlight w:val="yellow"/>
          <w:bdr w:val="single" w:sz="4" w:space="0" w:color="auto"/>
        </w:rPr>
        <w:t>「我空」</w:t>
      </w:r>
      <w:r w:rsidR="00656FE1">
        <w:rPr>
          <w:rFonts w:ascii="Times New Roman" w:hAnsi="Times New Roman"/>
          <w:b/>
          <w:color w:val="FF0000"/>
          <w:sz w:val="20"/>
          <w:szCs w:val="20"/>
          <w:highlight w:val="yellow"/>
          <w:bdr w:val="single" w:sz="4" w:space="0" w:color="auto"/>
        </w:rPr>
        <w:t>vs.</w:t>
      </w:r>
      <w:r w:rsidR="00F765BE" w:rsidRPr="00F765BE">
        <w:rPr>
          <w:rFonts w:ascii="新細明體" w:hAnsi="新細明體" w:hint="eastAsia"/>
          <w:b/>
          <w:sz w:val="20"/>
          <w:szCs w:val="20"/>
          <w:highlight w:val="yellow"/>
          <w:bdr w:val="single" w:sz="4" w:space="0" w:color="auto"/>
        </w:rPr>
        <w:t>「</w:t>
      </w:r>
      <w:r w:rsidRPr="00F765BE">
        <w:rPr>
          <w:rFonts w:ascii="新細明體" w:hAnsi="新細明體" w:hint="eastAsia"/>
          <w:b/>
          <w:sz w:val="20"/>
          <w:szCs w:val="20"/>
          <w:highlight w:val="yellow"/>
          <w:bdr w:val="single" w:sz="4" w:space="0" w:color="auto"/>
        </w:rPr>
        <w:t>法空」</w:t>
      </w:r>
      <w:r w:rsidRPr="00DA3BC7">
        <w:rPr>
          <w:rFonts w:ascii="Times Ext Roman" w:hAnsi="Times Ext Roman" w:cs="Times Ext Roman" w:hint="eastAsia"/>
          <w:sz w:val="20"/>
        </w:rPr>
        <w:t>（</w:t>
      </w:r>
      <w:r w:rsidRPr="00DA3BC7">
        <w:rPr>
          <w:rFonts w:ascii="Times New Roman" w:hAnsi="Times New Roman" w:hint="eastAsia"/>
          <w:sz w:val="20"/>
        </w:rPr>
        <w:t>pp.</w:t>
      </w:r>
      <w:r w:rsidRPr="00DA3BC7">
        <w:rPr>
          <w:rFonts w:ascii="Times New Roman" w:eastAsia="SimSun" w:hAnsi="Times New Roman" w:hint="eastAsia"/>
          <w:sz w:val="20"/>
        </w:rPr>
        <w:t>245-246</w:t>
      </w:r>
      <w:r w:rsidRPr="00DA3BC7">
        <w:rPr>
          <w:rFonts w:ascii="Times Ext Roman" w:hAnsi="Times Ext Roman" w:cs="Times Ext Roman" w:hint="eastAsia"/>
          <w:sz w:val="20"/>
        </w:rPr>
        <w:t>）</w:t>
      </w:r>
    </w:p>
    <w:p w:rsidR="00AA120F" w:rsidRPr="00DA3BC7" w:rsidRDefault="00AA120F" w:rsidP="008E2BBC">
      <w:pPr>
        <w:ind w:leftChars="200" w:left="480"/>
        <w:jc w:val="both"/>
        <w:rPr>
          <w:rFonts w:eastAsia="SimSun"/>
        </w:rPr>
      </w:pPr>
      <w:r w:rsidRPr="00F765BE">
        <w:rPr>
          <w:rFonts w:ascii="Times New Roman" w:hAnsi="Times New Roman"/>
          <w:b/>
          <w:color w:val="FF0000"/>
          <w:sz w:val="20"/>
          <w:szCs w:val="20"/>
          <w:highlight w:val="yellow"/>
          <w:bdr w:val="single" w:sz="4" w:space="0" w:color="auto"/>
        </w:rPr>
        <w:t>1</w:t>
      </w:r>
      <w:r w:rsidRPr="00F765BE">
        <w:rPr>
          <w:rFonts w:ascii="Times New Roman" w:hAnsi="Times New Roman"/>
          <w:b/>
          <w:color w:val="FF0000"/>
          <w:sz w:val="20"/>
          <w:szCs w:val="20"/>
          <w:highlight w:val="yellow"/>
          <w:bdr w:val="single" w:sz="4" w:space="0" w:color="auto"/>
        </w:rPr>
        <w:t>、</w:t>
      </w:r>
      <w:r w:rsidR="00F765BE" w:rsidRPr="00F765BE">
        <w:rPr>
          <w:rFonts w:ascii="Times New Roman" w:hAnsi="Times New Roman" w:hint="eastAsia"/>
          <w:b/>
          <w:color w:val="FF0000"/>
          <w:sz w:val="20"/>
          <w:szCs w:val="20"/>
          <w:highlight w:val="yellow"/>
          <w:bdr w:val="single" w:sz="4" w:space="0" w:color="auto"/>
        </w:rPr>
        <w:t>釋</w:t>
      </w:r>
      <w:r w:rsidR="00F765BE" w:rsidRPr="00F765BE">
        <w:rPr>
          <w:rFonts w:ascii="新細明體" w:hAnsi="新細明體" w:hint="eastAsia"/>
          <w:b/>
          <w:color w:val="FF0000"/>
          <w:sz w:val="20"/>
          <w:szCs w:val="20"/>
          <w:highlight w:val="yellow"/>
          <w:bdr w:val="single" w:sz="4" w:space="0" w:color="auto"/>
        </w:rPr>
        <w:t>「我」、</w:t>
      </w:r>
      <w:r w:rsidRPr="00F765BE">
        <w:rPr>
          <w:rFonts w:ascii="新細明體" w:hAnsi="新細明體" w:hint="eastAsia"/>
          <w:b/>
          <w:color w:val="FF0000"/>
          <w:sz w:val="20"/>
          <w:szCs w:val="20"/>
          <w:highlight w:val="yellow"/>
          <w:bdr w:val="single" w:sz="4" w:space="0" w:color="auto"/>
        </w:rPr>
        <w:t>「</w:t>
      </w:r>
      <w:r w:rsidR="00F765BE" w:rsidRPr="00F765BE">
        <w:rPr>
          <w:rFonts w:ascii="新細明體" w:hAnsi="新細明體" w:hint="eastAsia"/>
          <w:b/>
          <w:color w:val="FF0000"/>
          <w:sz w:val="20"/>
          <w:szCs w:val="20"/>
          <w:highlight w:val="yellow"/>
          <w:bdr w:val="single" w:sz="4" w:space="0" w:color="auto"/>
        </w:rPr>
        <w:t>法（</w:t>
      </w:r>
      <w:r w:rsidRPr="00F765BE">
        <w:rPr>
          <w:rFonts w:ascii="新細明體" w:hAnsi="新細明體" w:hint="eastAsia"/>
          <w:b/>
          <w:color w:val="FF0000"/>
          <w:sz w:val="20"/>
          <w:szCs w:val="20"/>
          <w:highlight w:val="yellow"/>
          <w:bdr w:val="single" w:sz="4" w:space="0" w:color="auto"/>
        </w:rPr>
        <w:t>我所</w:t>
      </w:r>
      <w:r w:rsidR="00F765BE" w:rsidRPr="00F765BE">
        <w:rPr>
          <w:rFonts w:ascii="新細明體" w:hAnsi="新細明體" w:hint="eastAsia"/>
          <w:b/>
          <w:color w:val="FF0000"/>
          <w:sz w:val="20"/>
          <w:szCs w:val="20"/>
          <w:highlight w:val="yellow"/>
          <w:bdr w:val="single" w:sz="4" w:space="0" w:color="auto"/>
        </w:rPr>
        <w:t>）</w:t>
      </w:r>
      <w:r w:rsidRPr="00F765BE">
        <w:rPr>
          <w:rFonts w:ascii="新細明體" w:hAnsi="新細明體" w:hint="eastAsia"/>
          <w:b/>
          <w:color w:val="FF0000"/>
          <w:sz w:val="20"/>
          <w:szCs w:val="20"/>
          <w:highlight w:val="yellow"/>
          <w:bdr w:val="single" w:sz="4" w:space="0" w:color="auto"/>
        </w:rPr>
        <w:t>」</w:t>
      </w:r>
      <w:r w:rsidR="00F765BE" w:rsidRPr="00F765BE">
        <w:rPr>
          <w:rFonts w:ascii="新細明體" w:hAnsi="新細明體" w:hint="eastAsia"/>
          <w:b/>
          <w:color w:val="FF0000"/>
          <w:sz w:val="20"/>
          <w:szCs w:val="20"/>
          <w:highlight w:val="yellow"/>
          <w:bdr w:val="single" w:sz="4" w:space="0" w:color="auto"/>
        </w:rPr>
        <w:t>的含意</w:t>
      </w:r>
      <w:r w:rsidRPr="00DA3BC7">
        <w:rPr>
          <w:rFonts w:ascii="Times Ext Roman" w:hAnsi="Times Ext Roman" w:cs="Times Ext Roman" w:hint="eastAsia"/>
          <w:sz w:val="20"/>
        </w:rPr>
        <w:t>（</w:t>
      </w:r>
      <w:r w:rsidRPr="00DA3BC7">
        <w:rPr>
          <w:rFonts w:ascii="Times New Roman" w:hAnsi="Times New Roman" w:hint="eastAsia"/>
          <w:sz w:val="20"/>
        </w:rPr>
        <w:t>p.</w:t>
      </w:r>
      <w:r w:rsidRPr="00DA3BC7">
        <w:rPr>
          <w:rFonts w:ascii="Times New Roman" w:eastAsia="SimSun" w:hAnsi="Times New Roman" w:hint="eastAsia"/>
          <w:sz w:val="20"/>
        </w:rPr>
        <w:t>245</w:t>
      </w:r>
      <w:r w:rsidRPr="00DA3BC7">
        <w:rPr>
          <w:rFonts w:ascii="Times Ext Roman" w:hAnsi="Times Ext Roman" w:cs="Times Ext Roman" w:hint="eastAsia"/>
          <w:sz w:val="20"/>
        </w:rPr>
        <w:t>）</w:t>
      </w:r>
    </w:p>
    <w:p w:rsidR="00AA120F" w:rsidRPr="00DA3BC7" w:rsidRDefault="00AA120F" w:rsidP="008E2BBC">
      <w:pPr>
        <w:ind w:leftChars="200" w:left="480"/>
        <w:jc w:val="both"/>
        <w:rPr>
          <w:rFonts w:eastAsia="SimSun"/>
        </w:rPr>
      </w:pPr>
      <w:r w:rsidRPr="00DA3BC7">
        <w:rPr>
          <w:rFonts w:hint="eastAsia"/>
          <w:b/>
        </w:rPr>
        <w:t>我</w:t>
      </w:r>
      <w:r w:rsidRPr="00DA3BC7">
        <w:rPr>
          <w:rFonts w:hint="eastAsia"/>
        </w:rPr>
        <w:t>與</w:t>
      </w:r>
      <w:r w:rsidRPr="00DA3BC7">
        <w:rPr>
          <w:rFonts w:hint="eastAsia"/>
          <w:b/>
        </w:rPr>
        <w:t>法</w:t>
      </w:r>
      <w:r w:rsidRPr="00DA3BC7">
        <w:rPr>
          <w:rFonts w:hint="eastAsia"/>
        </w:rPr>
        <w:t>，即等於</w:t>
      </w:r>
      <w:r w:rsidRPr="00DA3BC7">
        <w:rPr>
          <w:rFonts w:hint="eastAsia"/>
          <w:b/>
        </w:rPr>
        <w:t>我</w:t>
      </w:r>
      <w:r w:rsidRPr="00DA3BC7">
        <w:rPr>
          <w:rFonts w:hint="eastAsia"/>
        </w:rPr>
        <w:t>與</w:t>
      </w:r>
      <w:r w:rsidRPr="00DA3BC7">
        <w:rPr>
          <w:rFonts w:hint="eastAsia"/>
          <w:b/>
        </w:rPr>
        <w:t>我所</w:t>
      </w:r>
      <w:r w:rsidRPr="00DA3BC7">
        <w:rPr>
          <w:rFonts w:hint="eastAsia"/>
        </w:rPr>
        <w:t>。</w:t>
      </w:r>
    </w:p>
    <w:p w:rsidR="00AA120F" w:rsidRPr="00DA3BC7" w:rsidRDefault="00AA120F" w:rsidP="008E2BBC">
      <w:pPr>
        <w:ind w:leftChars="200" w:left="1200" w:hangingChars="300" w:hanging="720"/>
        <w:jc w:val="both"/>
        <w:rPr>
          <w:rFonts w:eastAsia="SimSun"/>
        </w:rPr>
      </w:pPr>
      <w:r w:rsidRPr="00DA3BC7">
        <w:rPr>
          <w:rFonts w:ascii="新細明體" w:hAnsi="新細明體" w:hint="eastAsia"/>
        </w:rPr>
        <w:t>（一）</w:t>
      </w:r>
      <w:r w:rsidRPr="00DA3BC7">
        <w:rPr>
          <w:rFonts w:hint="eastAsia"/>
          <w:b/>
        </w:rPr>
        <w:t>我</w:t>
      </w:r>
      <w:r w:rsidRPr="00DA3BC7">
        <w:rPr>
          <w:rFonts w:hint="eastAsia"/>
        </w:rPr>
        <w:t>與</w:t>
      </w:r>
      <w:r w:rsidRPr="00DA3BC7">
        <w:rPr>
          <w:rFonts w:hint="eastAsia"/>
          <w:b/>
        </w:rPr>
        <w:t>我所依住</w:t>
      </w:r>
      <w:r w:rsidRPr="00DA3BC7">
        <w:rPr>
          <w:rFonts w:hint="eastAsia"/>
        </w:rPr>
        <w:t>：我是依五蘊和合而安立的，我是能依（犢子、一切有部等即依五蘊立我），五蘊即是我所依住，此</w:t>
      </w:r>
      <w:r w:rsidRPr="00DA3BC7">
        <w:rPr>
          <w:rFonts w:hint="eastAsia"/>
          <w:b/>
        </w:rPr>
        <w:t>我</w:t>
      </w:r>
      <w:r w:rsidRPr="00DA3BC7">
        <w:rPr>
          <w:rFonts w:hint="eastAsia"/>
        </w:rPr>
        <w:t>即</w:t>
      </w:r>
      <w:r w:rsidRPr="00DA3BC7">
        <w:rPr>
          <w:rFonts w:hint="eastAsia"/>
          <w:b/>
        </w:rPr>
        <w:t>順於補特伽羅我義</w:t>
      </w:r>
      <w:r w:rsidRPr="00DA3BC7">
        <w:rPr>
          <w:rFonts w:hint="eastAsia"/>
        </w:rPr>
        <w:t>。</w:t>
      </w:r>
    </w:p>
    <w:p w:rsidR="00AA120F" w:rsidRPr="00DA3BC7" w:rsidRDefault="00AA120F" w:rsidP="00AE3920">
      <w:pPr>
        <w:spacing w:beforeLines="20"/>
        <w:ind w:leftChars="200" w:left="1200" w:hangingChars="300" w:hanging="720"/>
        <w:jc w:val="both"/>
        <w:rPr>
          <w:rFonts w:eastAsia="SimSun"/>
        </w:rPr>
      </w:pPr>
      <w:r w:rsidRPr="00DA3BC7">
        <w:rPr>
          <w:rFonts w:ascii="新細明體" w:hAnsi="新細明體" w:hint="eastAsia"/>
        </w:rPr>
        <w:t>（二）</w:t>
      </w:r>
      <w:r w:rsidRPr="00DA3BC7">
        <w:rPr>
          <w:rFonts w:hint="eastAsia"/>
          <w:b/>
        </w:rPr>
        <w:t>我</w:t>
      </w:r>
      <w:r w:rsidRPr="00DA3BC7">
        <w:rPr>
          <w:rFonts w:hint="eastAsia"/>
        </w:rPr>
        <w:t>與</w:t>
      </w:r>
      <w:r w:rsidRPr="00DA3BC7">
        <w:rPr>
          <w:rFonts w:hint="eastAsia"/>
          <w:b/>
        </w:rPr>
        <w:t>我所緣了</w:t>
      </w:r>
      <w:r w:rsidRPr="00DA3BC7">
        <w:rPr>
          <w:rFonts w:hint="eastAsia"/>
        </w:rPr>
        <w:t>：眾生每以能認識者為我（經部師、唯識師等即依識立我），即</w:t>
      </w:r>
      <w:r w:rsidRPr="00DA3BC7">
        <w:rPr>
          <w:rFonts w:hint="eastAsia"/>
          <w:b/>
        </w:rPr>
        <w:t>能了的主觀</w:t>
      </w:r>
      <w:r w:rsidRPr="00DA3BC7">
        <w:rPr>
          <w:rFonts w:hint="eastAsia"/>
        </w:rPr>
        <w:t>是</w:t>
      </w:r>
      <w:r w:rsidRPr="00DA3BC7">
        <w:rPr>
          <w:rFonts w:hint="eastAsia"/>
          <w:b/>
        </w:rPr>
        <w:t>我</w:t>
      </w:r>
      <w:r w:rsidRPr="00DA3BC7">
        <w:rPr>
          <w:rFonts w:hint="eastAsia"/>
        </w:rPr>
        <w:t>，主觀</w:t>
      </w:r>
      <w:r w:rsidRPr="00DA3BC7">
        <w:rPr>
          <w:rFonts w:hint="eastAsia"/>
          <w:b/>
        </w:rPr>
        <w:t>所緣了的</w:t>
      </w:r>
      <w:r w:rsidRPr="00DA3BC7">
        <w:rPr>
          <w:rFonts w:hint="eastAsia"/>
        </w:rPr>
        <w:t>是</w:t>
      </w:r>
      <w:r w:rsidRPr="00DA3BC7">
        <w:rPr>
          <w:rFonts w:hint="eastAsia"/>
          <w:b/>
        </w:rPr>
        <w:t>我所</w:t>
      </w:r>
      <w:r w:rsidRPr="00DA3BC7">
        <w:rPr>
          <w:rFonts w:hint="eastAsia"/>
        </w:rPr>
        <w:t>。</w:t>
      </w:r>
    </w:p>
    <w:p w:rsidR="00AA120F" w:rsidRPr="00DA3BC7" w:rsidRDefault="00AA120F" w:rsidP="00AE3920">
      <w:pPr>
        <w:spacing w:beforeLines="20"/>
        <w:ind w:leftChars="200" w:left="1200" w:hangingChars="300" w:hanging="720"/>
        <w:jc w:val="both"/>
        <w:rPr>
          <w:rFonts w:eastAsia="SimSun"/>
        </w:rPr>
      </w:pPr>
      <w:r w:rsidRPr="00DA3BC7">
        <w:rPr>
          <w:rFonts w:ascii="新細明體" w:hAnsi="新細明體" w:hint="eastAsia"/>
        </w:rPr>
        <w:t>（三）</w:t>
      </w:r>
      <w:r w:rsidRPr="00DA3BC7">
        <w:rPr>
          <w:rFonts w:hint="eastAsia"/>
          <w:b/>
        </w:rPr>
        <w:t>我</w:t>
      </w:r>
      <w:r w:rsidRPr="00DA3BC7">
        <w:rPr>
          <w:rFonts w:hint="eastAsia"/>
        </w:rPr>
        <w:t>與</w:t>
      </w:r>
      <w:r w:rsidRPr="00DA3BC7">
        <w:rPr>
          <w:rFonts w:hint="eastAsia"/>
          <w:b/>
        </w:rPr>
        <w:t>我所執取</w:t>
      </w:r>
      <w:r w:rsidRPr="00DA3BC7">
        <w:rPr>
          <w:rFonts w:hint="eastAsia"/>
        </w:rPr>
        <w:t>：如說這是我的身體、我的茶杯，即以身體或茶杯為屬於我的，身體或茶杯是我所，此</w:t>
      </w:r>
      <w:r w:rsidRPr="00DA3BC7">
        <w:rPr>
          <w:rFonts w:hint="eastAsia"/>
          <w:b/>
        </w:rPr>
        <w:t>我</w:t>
      </w:r>
      <w:r w:rsidRPr="00DA3BC7">
        <w:rPr>
          <w:rFonts w:hint="eastAsia"/>
        </w:rPr>
        <w:t>即</w:t>
      </w:r>
      <w:r w:rsidRPr="00DA3BC7">
        <w:rPr>
          <w:rFonts w:hint="eastAsia"/>
          <w:b/>
        </w:rPr>
        <w:t>約薩迦耶見的執取說</w:t>
      </w:r>
      <w:r w:rsidRPr="00DA3BC7">
        <w:rPr>
          <w:rFonts w:hint="eastAsia"/>
        </w:rPr>
        <w:t>。</w:t>
      </w:r>
    </w:p>
    <w:p w:rsidR="00AA120F" w:rsidRPr="00DA3BC7" w:rsidRDefault="00AA120F" w:rsidP="00AE3920">
      <w:pPr>
        <w:spacing w:beforeLines="30"/>
        <w:ind w:leftChars="200" w:left="480"/>
        <w:jc w:val="both"/>
        <w:rPr>
          <w:rFonts w:eastAsia="SimSun"/>
        </w:rPr>
      </w:pPr>
      <w:r w:rsidRPr="00DA3BC7">
        <w:rPr>
          <w:rFonts w:ascii="Times New Roman" w:hAnsi="Times New Roman" w:hint="eastAsia"/>
          <w:b/>
          <w:sz w:val="20"/>
          <w:szCs w:val="20"/>
          <w:bdr w:val="single" w:sz="4" w:space="0" w:color="auto"/>
        </w:rPr>
        <w:t>2</w:t>
      </w:r>
      <w:r w:rsidRPr="00DA3BC7">
        <w:rPr>
          <w:rFonts w:ascii="新細明體" w:hAnsi="新細明體" w:hint="eastAsia"/>
          <w:b/>
          <w:sz w:val="20"/>
          <w:szCs w:val="20"/>
          <w:bdr w:val="single" w:sz="4" w:space="0" w:color="auto"/>
        </w:rPr>
        <w:t>、</w:t>
      </w:r>
      <w:r w:rsidR="00F765BE" w:rsidRPr="00F765BE">
        <w:rPr>
          <w:rFonts w:ascii="新細明體" w:hAnsi="新細明體" w:hint="eastAsia"/>
          <w:b/>
          <w:color w:val="FF0000"/>
          <w:sz w:val="20"/>
          <w:szCs w:val="20"/>
          <w:highlight w:val="yellow"/>
          <w:bdr w:val="single" w:sz="4" w:space="0" w:color="auto"/>
        </w:rPr>
        <w:t>明「我」、「法」的</w:t>
      </w:r>
      <w:r w:rsidR="00F765BE">
        <w:rPr>
          <w:rFonts w:ascii="新細明體" w:hAnsi="新細明體" w:hint="eastAsia"/>
          <w:b/>
          <w:color w:val="FF0000"/>
          <w:sz w:val="20"/>
          <w:szCs w:val="20"/>
          <w:highlight w:val="yellow"/>
          <w:bdr w:val="single" w:sz="4" w:space="0" w:color="auto"/>
        </w:rPr>
        <w:t>關聯</w:t>
      </w:r>
    </w:p>
    <w:p w:rsidR="00F765BE" w:rsidRPr="00DA3BC7" w:rsidRDefault="00F765BE" w:rsidP="00923FB1">
      <w:pPr>
        <w:ind w:leftChars="250" w:left="600"/>
        <w:jc w:val="both"/>
        <w:rPr>
          <w:rFonts w:eastAsia="SimSun"/>
        </w:rPr>
      </w:pPr>
      <w:r w:rsidRPr="00F765BE">
        <w:rPr>
          <w:rFonts w:ascii="新細明體" w:hAnsi="新細明體" w:hint="eastAsia"/>
          <w:b/>
          <w:color w:val="FF0000"/>
          <w:sz w:val="20"/>
          <w:szCs w:val="20"/>
          <w:highlight w:val="yellow"/>
          <w:bdr w:val="single" w:sz="4" w:space="0" w:color="auto"/>
        </w:rPr>
        <w:t>（</w:t>
      </w:r>
      <w:r w:rsidRPr="00F765BE">
        <w:rPr>
          <w:rFonts w:ascii="Times New Roman" w:hAnsi="Times New Roman"/>
          <w:b/>
          <w:color w:val="FF0000"/>
          <w:sz w:val="20"/>
          <w:szCs w:val="20"/>
          <w:highlight w:val="yellow"/>
          <w:bdr w:val="single" w:sz="4" w:space="0" w:color="auto"/>
        </w:rPr>
        <w:t>1</w:t>
      </w:r>
      <w:r w:rsidRPr="00F765BE">
        <w:rPr>
          <w:rFonts w:ascii="新細明體" w:hAnsi="新細明體" w:hint="eastAsia"/>
          <w:b/>
          <w:color w:val="FF0000"/>
          <w:sz w:val="20"/>
          <w:szCs w:val="20"/>
          <w:highlight w:val="yellow"/>
          <w:bdr w:val="single" w:sz="4" w:space="0" w:color="auto"/>
        </w:rPr>
        <w:t>）</w:t>
      </w:r>
      <w:r>
        <w:rPr>
          <w:rFonts w:ascii="新細明體" w:hAnsi="新細明體" w:hint="eastAsia"/>
          <w:b/>
          <w:color w:val="FF0000"/>
          <w:sz w:val="20"/>
          <w:szCs w:val="20"/>
          <w:highlight w:val="yellow"/>
          <w:bdr w:val="single" w:sz="4" w:space="0" w:color="auto"/>
        </w:rPr>
        <w:t>約</w:t>
      </w:r>
      <w:r w:rsidRPr="00F765BE">
        <w:rPr>
          <w:rFonts w:ascii="新細明體" w:hAnsi="新細明體" w:hint="eastAsia"/>
          <w:b/>
          <w:color w:val="FF0000"/>
          <w:sz w:val="20"/>
          <w:szCs w:val="20"/>
          <w:highlight w:val="yellow"/>
          <w:bdr w:val="single" w:sz="4" w:space="0" w:color="auto"/>
        </w:rPr>
        <w:t>「</w:t>
      </w:r>
      <w:r>
        <w:rPr>
          <w:rFonts w:ascii="新細明體" w:hAnsi="新細明體" w:hint="eastAsia"/>
          <w:b/>
          <w:color w:val="FF0000"/>
          <w:sz w:val="20"/>
          <w:szCs w:val="20"/>
          <w:highlight w:val="yellow"/>
          <w:bdr w:val="single" w:sz="4" w:space="0" w:color="auto"/>
        </w:rPr>
        <w:t>流轉門</w:t>
      </w:r>
      <w:r w:rsidRPr="00F765BE">
        <w:rPr>
          <w:rFonts w:ascii="新細明體" w:hAnsi="新細明體" w:hint="eastAsia"/>
          <w:b/>
          <w:color w:val="FF0000"/>
          <w:sz w:val="20"/>
          <w:szCs w:val="20"/>
          <w:highlight w:val="yellow"/>
          <w:bdr w:val="single" w:sz="4" w:space="0" w:color="auto"/>
        </w:rPr>
        <w:t>」</w:t>
      </w:r>
      <w:r w:rsidRPr="00DA3BC7">
        <w:rPr>
          <w:rFonts w:ascii="Times Ext Roman" w:hAnsi="Times Ext Roman" w:cs="Times Ext Roman" w:hint="eastAsia"/>
          <w:sz w:val="20"/>
        </w:rPr>
        <w:t>（</w:t>
      </w:r>
      <w:r w:rsidRPr="00DA3BC7">
        <w:rPr>
          <w:rFonts w:ascii="Times New Roman" w:hAnsi="Times New Roman" w:hint="eastAsia"/>
          <w:sz w:val="20"/>
        </w:rPr>
        <w:t>pp.</w:t>
      </w:r>
      <w:r w:rsidRPr="00DA3BC7">
        <w:rPr>
          <w:rFonts w:ascii="Times New Roman" w:eastAsia="SimSun" w:hAnsi="Times New Roman" w:hint="eastAsia"/>
          <w:sz w:val="20"/>
        </w:rPr>
        <w:t>245-246</w:t>
      </w:r>
      <w:r w:rsidRPr="00DA3BC7">
        <w:rPr>
          <w:rFonts w:ascii="Times Ext Roman" w:hAnsi="Times Ext Roman" w:cs="Times Ext Roman" w:hint="eastAsia"/>
          <w:sz w:val="20"/>
        </w:rPr>
        <w:t>）</w:t>
      </w:r>
    </w:p>
    <w:p w:rsidR="00AA120F" w:rsidRPr="00DA3BC7" w:rsidRDefault="00AA120F" w:rsidP="00923FB1">
      <w:pPr>
        <w:ind w:leftChars="250" w:left="600"/>
        <w:jc w:val="both"/>
        <w:rPr>
          <w:rFonts w:eastAsia="SimSun"/>
        </w:rPr>
      </w:pPr>
      <w:r w:rsidRPr="00DA3BC7">
        <w:rPr>
          <w:rFonts w:hint="eastAsia"/>
        </w:rPr>
        <w:t>佛法說「</w:t>
      </w:r>
      <w:r w:rsidRPr="00DA3BC7">
        <w:rPr>
          <w:rFonts w:ascii="標楷體" w:eastAsia="標楷體" w:hAnsi="標楷體" w:hint="eastAsia"/>
        </w:rPr>
        <w:t>無我無我所</w:t>
      </w:r>
      <w:r w:rsidRPr="00DA3BC7">
        <w:rPr>
          <w:rFonts w:hint="eastAsia"/>
        </w:rPr>
        <w:t>」，側重於</w:t>
      </w:r>
      <w:r w:rsidRPr="00DA3BC7">
        <w:rPr>
          <w:rFonts w:hint="eastAsia"/>
          <w:b/>
        </w:rPr>
        <w:t>薩迦耶見</w:t>
      </w:r>
      <w:r w:rsidRPr="00DA3BC7">
        <w:rPr>
          <w:rFonts w:hint="eastAsia"/>
        </w:rPr>
        <w:t>。我與我所必不相離，如有我，即必有我所，有我所才會有我，無我也就不成其為我所了。由此可知，我的定義，不但是</w:t>
      </w:r>
      <w:r w:rsidRPr="00DA3BC7">
        <w:rPr>
          <w:rFonts w:hint="eastAsia"/>
          <w:b/>
        </w:rPr>
        <w:t>真實、不變、獨存</w:t>
      </w:r>
      <w:r w:rsidRPr="00DA3BC7">
        <w:rPr>
          <w:rFonts w:hint="eastAsia"/>
        </w:rPr>
        <w:t>，從有情的薩迦耶見說，特別是</w:t>
      </w:r>
      <w:r w:rsidRPr="00DA3BC7">
        <w:rPr>
          <w:rFonts w:hint="eastAsia"/>
          <w:b/>
        </w:rPr>
        <w:t>主宰義</w:t>
      </w:r>
      <w:r w:rsidRPr="00DA3BC7">
        <w:rPr>
          <w:rFonts w:hint="eastAsia"/>
        </w:rPr>
        <w:t>，</w:t>
      </w:r>
      <w:r w:rsidRPr="00DA3BC7">
        <w:rPr>
          <w:rFonts w:hint="eastAsia"/>
          <w:b/>
        </w:rPr>
        <w:t>主</w:t>
      </w:r>
      <w:r w:rsidRPr="00DA3BC7">
        <w:rPr>
          <w:rFonts w:hint="eastAsia"/>
        </w:rPr>
        <w:t>即需要自由，</w:t>
      </w:r>
      <w:r w:rsidRPr="00DA3BC7">
        <w:rPr>
          <w:rFonts w:hint="eastAsia"/>
          <w:b/>
        </w:rPr>
        <w:t>宰</w:t>
      </w:r>
      <w:r w:rsidRPr="00DA3BC7">
        <w:rPr>
          <w:rFonts w:hint="eastAsia"/>
        </w:rPr>
        <w:t>即需要支配其他的。自由自主而要統攝其他的，其他即是我所。</w:t>
      </w:r>
    </w:p>
    <w:p w:rsidR="00AA120F" w:rsidRPr="00DA3BC7" w:rsidRDefault="00AA120F" w:rsidP="00AE3920">
      <w:pPr>
        <w:spacing w:beforeLines="20"/>
        <w:ind w:leftChars="250" w:left="600"/>
        <w:jc w:val="both"/>
        <w:rPr>
          <w:rFonts w:eastAsia="SimSun"/>
        </w:rPr>
      </w:pPr>
      <w:r w:rsidRPr="00DA3BC7">
        <w:rPr>
          <w:rFonts w:hint="eastAsia"/>
        </w:rPr>
        <w:lastRenderedPageBreak/>
        <w:t>換言之，依於實在、不變、獨存的法我性，引起的絕對自由意志──</w:t>
      </w:r>
      <w:r w:rsidRPr="00DA3BC7">
        <w:rPr>
          <w:rFonts w:hint="eastAsia"/>
          <w:b/>
        </w:rPr>
        <w:t>薩迦耶見</w:t>
      </w:r>
      <w:r w:rsidRPr="00DA3BC7">
        <w:rPr>
          <w:rFonts w:hint="eastAsia"/>
        </w:rPr>
        <w:t>，為一切依自我為中心而發展的自愛、自慢、無限私欲的源泉，也</w:t>
      </w:r>
      <w:r w:rsidRPr="00DA3BC7">
        <w:rPr>
          <w:rFonts w:hint="eastAsia"/>
          <w:b/>
        </w:rPr>
        <w:t>即是生死的根源</w:t>
      </w:r>
      <w:r w:rsidRPr="00DA3BC7">
        <w:rPr>
          <w:rFonts w:hint="eastAsia"/>
        </w:rPr>
        <w:t>。</w:t>
      </w:r>
    </w:p>
    <w:p w:rsidR="00F765BE" w:rsidRPr="00DA3BC7" w:rsidRDefault="00F765BE" w:rsidP="00923FB1">
      <w:pPr>
        <w:ind w:leftChars="250" w:left="600"/>
        <w:jc w:val="both"/>
        <w:rPr>
          <w:rFonts w:eastAsia="SimSun"/>
        </w:rPr>
      </w:pPr>
      <w:r w:rsidRPr="00F765BE">
        <w:rPr>
          <w:rFonts w:ascii="新細明體" w:hAnsi="新細明體"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2</w:t>
      </w:r>
      <w:r w:rsidRPr="00F765BE">
        <w:rPr>
          <w:rFonts w:ascii="新細明體" w:hAnsi="新細明體" w:hint="eastAsia"/>
          <w:b/>
          <w:color w:val="FF0000"/>
          <w:sz w:val="20"/>
          <w:szCs w:val="20"/>
          <w:highlight w:val="yellow"/>
          <w:bdr w:val="single" w:sz="4" w:space="0" w:color="auto"/>
        </w:rPr>
        <w:t>）</w:t>
      </w:r>
      <w:r>
        <w:rPr>
          <w:rFonts w:ascii="新細明體" w:hAnsi="新細明體" w:hint="eastAsia"/>
          <w:b/>
          <w:color w:val="FF0000"/>
          <w:sz w:val="20"/>
          <w:szCs w:val="20"/>
          <w:highlight w:val="yellow"/>
          <w:bdr w:val="single" w:sz="4" w:space="0" w:color="auto"/>
        </w:rPr>
        <w:t>約</w:t>
      </w:r>
      <w:r w:rsidRPr="00F765BE">
        <w:rPr>
          <w:rFonts w:ascii="新細明體" w:hAnsi="新細明體" w:hint="eastAsia"/>
          <w:b/>
          <w:color w:val="FF0000"/>
          <w:sz w:val="20"/>
          <w:szCs w:val="20"/>
          <w:highlight w:val="yellow"/>
          <w:bdr w:val="single" w:sz="4" w:space="0" w:color="auto"/>
        </w:rPr>
        <w:t>「</w:t>
      </w:r>
      <w:r>
        <w:rPr>
          <w:rFonts w:ascii="新細明體" w:hAnsi="新細明體" w:hint="eastAsia"/>
          <w:b/>
          <w:color w:val="FF0000"/>
          <w:sz w:val="20"/>
          <w:szCs w:val="20"/>
          <w:highlight w:val="yellow"/>
          <w:bdr w:val="single" w:sz="4" w:space="0" w:color="auto"/>
        </w:rPr>
        <w:t>還滅門</w:t>
      </w:r>
      <w:r w:rsidRPr="00F765BE">
        <w:rPr>
          <w:rFonts w:ascii="新細明體" w:hAnsi="新細明體" w:hint="eastAsia"/>
          <w:b/>
          <w:color w:val="FF0000"/>
          <w:sz w:val="20"/>
          <w:szCs w:val="20"/>
          <w:highlight w:val="yellow"/>
          <w:bdr w:val="single" w:sz="4" w:space="0" w:color="auto"/>
        </w:rPr>
        <w:t>」</w:t>
      </w:r>
      <w:r w:rsidRPr="00DA3BC7">
        <w:rPr>
          <w:rFonts w:ascii="Times Ext Roman" w:hAnsi="Times Ext Roman" w:cs="Times Ext Roman" w:hint="eastAsia"/>
          <w:sz w:val="20"/>
        </w:rPr>
        <w:t>（</w:t>
      </w:r>
      <w:r w:rsidRPr="00DA3BC7">
        <w:rPr>
          <w:rFonts w:ascii="Times New Roman" w:hAnsi="Times New Roman" w:hint="eastAsia"/>
          <w:sz w:val="20"/>
        </w:rPr>
        <w:t>p.</w:t>
      </w:r>
      <w:r w:rsidRPr="00DA3BC7">
        <w:rPr>
          <w:rFonts w:ascii="Times New Roman" w:eastAsia="SimSun" w:hAnsi="Times New Roman" w:hint="eastAsia"/>
          <w:sz w:val="20"/>
        </w:rPr>
        <w:t>246</w:t>
      </w:r>
      <w:r w:rsidRPr="00DA3BC7">
        <w:rPr>
          <w:rFonts w:ascii="Times Ext Roman" w:hAnsi="Times Ext Roman" w:cs="Times Ext Roman" w:hint="eastAsia"/>
          <w:sz w:val="20"/>
        </w:rPr>
        <w:t>）</w:t>
      </w:r>
    </w:p>
    <w:p w:rsidR="00E81651" w:rsidRDefault="00AA120F" w:rsidP="00923FB1">
      <w:pPr>
        <w:ind w:leftChars="250" w:left="600"/>
        <w:jc w:val="both"/>
      </w:pPr>
      <w:r w:rsidRPr="00DA3BC7">
        <w:rPr>
          <w:rFonts w:hint="eastAsia"/>
        </w:rPr>
        <w:t>悟了緣起，知一切為相待的緣起、變異的緣起、無性的緣起，僅為似一、似常、似有的人生宇宙；唯有在相對的、變動的緣起因果中，才有世俗假名的自由。離卻實我見，即成無我智。</w:t>
      </w:r>
    </w:p>
    <w:p w:rsidR="00E81651" w:rsidRPr="00DA3BC7" w:rsidRDefault="00E81651" w:rsidP="00E81651">
      <w:pPr>
        <w:ind w:leftChars="200" w:left="480"/>
        <w:jc w:val="both"/>
        <w:rPr>
          <w:rFonts w:eastAsia="SimSun"/>
        </w:rPr>
      </w:pPr>
      <w:r w:rsidRPr="00E81651">
        <w:rPr>
          <w:rFonts w:ascii="Times New Roman" w:hAnsi="Times New Roman" w:hint="eastAsia"/>
          <w:b/>
          <w:color w:val="FF0000"/>
          <w:sz w:val="20"/>
          <w:szCs w:val="20"/>
          <w:highlight w:val="yellow"/>
          <w:bdr w:val="single" w:sz="4" w:space="0" w:color="auto"/>
        </w:rPr>
        <w:t>3</w:t>
      </w:r>
      <w:r w:rsidRPr="00E81651">
        <w:rPr>
          <w:rFonts w:ascii="Times New Roman" w:hAnsi="Times New Roman" w:hint="eastAsia"/>
          <w:b/>
          <w:color w:val="FF0000"/>
          <w:sz w:val="20"/>
          <w:szCs w:val="20"/>
          <w:highlight w:val="yellow"/>
          <w:bdr w:val="single" w:sz="4" w:space="0" w:color="auto"/>
        </w:rPr>
        <w:t>、</w:t>
      </w:r>
      <w:r>
        <w:rPr>
          <w:rFonts w:ascii="新細明體" w:hAnsi="新細明體" w:hint="eastAsia"/>
          <w:b/>
          <w:color w:val="FF0000"/>
          <w:sz w:val="20"/>
          <w:szCs w:val="20"/>
          <w:highlight w:val="yellow"/>
          <w:bdr w:val="single" w:sz="4" w:space="0" w:color="auto"/>
        </w:rPr>
        <w:t>顯「二空」之理同</w:t>
      </w:r>
      <w:r w:rsidRPr="00DA3BC7">
        <w:rPr>
          <w:rFonts w:ascii="Times Ext Roman" w:hAnsi="Times Ext Roman" w:cs="Times Ext Roman" w:hint="eastAsia"/>
          <w:sz w:val="20"/>
        </w:rPr>
        <w:t>（</w:t>
      </w:r>
      <w:r w:rsidRPr="00DA3BC7">
        <w:rPr>
          <w:rFonts w:ascii="Times New Roman" w:hAnsi="Times New Roman" w:hint="eastAsia"/>
          <w:sz w:val="20"/>
        </w:rPr>
        <w:t>p.</w:t>
      </w:r>
      <w:r w:rsidRPr="00DA3BC7">
        <w:rPr>
          <w:rFonts w:ascii="Times New Roman" w:eastAsia="SimSun" w:hAnsi="Times New Roman" w:hint="eastAsia"/>
          <w:sz w:val="20"/>
        </w:rPr>
        <w:t>246</w:t>
      </w:r>
      <w:r w:rsidRPr="00DA3BC7">
        <w:rPr>
          <w:rFonts w:ascii="Times Ext Roman" w:hAnsi="Times Ext Roman" w:cs="Times Ext Roman" w:hint="eastAsia"/>
          <w:sz w:val="20"/>
        </w:rPr>
        <w:t>）</w:t>
      </w:r>
    </w:p>
    <w:p w:rsidR="00AA120F" w:rsidRPr="00DA3BC7" w:rsidRDefault="00AA120F" w:rsidP="00E81651">
      <w:pPr>
        <w:ind w:leftChars="200" w:left="480"/>
        <w:jc w:val="both"/>
        <w:rPr>
          <w:rFonts w:eastAsia="SimSun"/>
        </w:rPr>
      </w:pPr>
      <w:r w:rsidRPr="00DA3BC7">
        <w:rPr>
          <w:rFonts w:hint="eastAsia"/>
        </w:rPr>
        <w:t>我與我所相關，</w:t>
      </w:r>
      <w:r w:rsidRPr="00DA3BC7">
        <w:rPr>
          <w:rFonts w:hint="eastAsia"/>
          <w:b/>
        </w:rPr>
        <w:t>知我無自性，我所也即不可得</w:t>
      </w:r>
      <w:r w:rsidRPr="00DA3BC7">
        <w:rPr>
          <w:rFonts w:hint="eastAsia"/>
        </w:rPr>
        <w:t>。《中論》說：「</w:t>
      </w:r>
      <w:r w:rsidRPr="00DA3BC7">
        <w:rPr>
          <w:rFonts w:ascii="標楷體" w:eastAsia="標楷體" w:hAnsi="標楷體" w:hint="eastAsia"/>
        </w:rPr>
        <w:t>若無有我者，何得有我所</w:t>
      </w:r>
      <w:r w:rsidRPr="00DA3BC7">
        <w:rPr>
          <w:rFonts w:hint="eastAsia"/>
        </w:rPr>
        <w:t>？」</w:t>
      </w:r>
      <w:r w:rsidRPr="00DA3BC7">
        <w:rPr>
          <w:rStyle w:val="a6"/>
          <w:rFonts w:ascii="Times New Roman" w:hAnsi="Times New Roman"/>
        </w:rPr>
        <w:footnoteReference w:id="1063"/>
      </w:r>
    </w:p>
    <w:p w:rsidR="00AA120F" w:rsidRPr="00DA3BC7" w:rsidRDefault="00AA120F" w:rsidP="00AE3920">
      <w:pPr>
        <w:spacing w:beforeLines="20"/>
        <w:ind w:leftChars="200" w:left="480"/>
        <w:jc w:val="both"/>
      </w:pPr>
      <w:r w:rsidRPr="00DA3BC7">
        <w:rPr>
          <w:rFonts w:hint="eastAsia"/>
        </w:rPr>
        <w:t>這樣，我空與法空，本是沒有難易可分的。因為不悟依緣假有的性空，我空與法空皆不知；如能悟此理，那麼</w:t>
      </w:r>
      <w:r w:rsidRPr="00DA3BC7">
        <w:rPr>
          <w:rFonts w:hint="eastAsia"/>
          <w:b/>
        </w:rPr>
        <w:t>觀我即知我空，觀法也能知法空</w:t>
      </w:r>
      <w:r w:rsidRPr="00DA3BC7">
        <w:rPr>
          <w:rFonts w:hint="eastAsia"/>
        </w:rPr>
        <w:t>。</w:t>
      </w:r>
    </w:p>
    <w:p w:rsidR="00AA120F" w:rsidRPr="00DA3BC7" w:rsidRDefault="00AA120F" w:rsidP="008E2BBC">
      <w:pPr>
        <w:ind w:leftChars="200" w:left="480"/>
        <w:jc w:val="both"/>
      </w:pPr>
      <w:r w:rsidRPr="00DA3BC7">
        <w:rPr>
          <w:rFonts w:hint="eastAsia"/>
        </w:rPr>
        <w:t>佛於</w:t>
      </w:r>
      <w:r w:rsidRPr="00DA3BC7">
        <w:rPr>
          <w:rFonts w:hint="eastAsia"/>
          <w:b/>
        </w:rPr>
        <w:t>經</w:t>
      </w:r>
      <w:r w:rsidRPr="00DA3BC7">
        <w:rPr>
          <w:rFonts w:hint="eastAsia"/>
        </w:rPr>
        <w:t>中</w:t>
      </w:r>
      <w:r w:rsidRPr="00DA3BC7">
        <w:rPr>
          <w:rFonts w:hint="eastAsia"/>
          <w:b/>
        </w:rPr>
        <w:t>多說無我</w:t>
      </w:r>
      <w:r w:rsidRPr="00DA3BC7">
        <w:rPr>
          <w:rFonts w:hint="eastAsia"/>
        </w:rPr>
        <w:t>，依聲聞法而進一步的廣明菩薩法，故依我空為比喻而明法空。但</w:t>
      </w:r>
      <w:r w:rsidRPr="00DA3BC7">
        <w:rPr>
          <w:rFonts w:hint="eastAsia"/>
          <w:b/>
        </w:rPr>
        <w:t>論</w:t>
      </w:r>
      <w:r w:rsidRPr="00DA3BC7">
        <w:rPr>
          <w:rFonts w:hint="eastAsia"/>
        </w:rPr>
        <w:t>中也</w:t>
      </w:r>
      <w:r w:rsidRPr="00DA3BC7">
        <w:rPr>
          <w:rFonts w:hint="eastAsia"/>
          <w:b/>
        </w:rPr>
        <w:t>每每先觀法空</w:t>
      </w:r>
      <w:r w:rsidRPr="00DA3BC7">
        <w:rPr>
          <w:rFonts w:hint="eastAsia"/>
        </w:rPr>
        <w:t>，</w:t>
      </w:r>
      <w:r w:rsidRPr="00DA3BC7">
        <w:rPr>
          <w:rFonts w:hint="eastAsia"/>
          <w:b/>
        </w:rPr>
        <w:t>由法不可得</w:t>
      </w:r>
      <w:r w:rsidRPr="00DA3BC7">
        <w:rPr>
          <w:rFonts w:hint="eastAsia"/>
        </w:rPr>
        <w:t>而</w:t>
      </w:r>
      <w:r w:rsidRPr="00DA3BC7">
        <w:rPr>
          <w:rFonts w:hint="eastAsia"/>
          <w:b/>
        </w:rPr>
        <w:t>觀到我也是空</w:t>
      </w:r>
      <w:r w:rsidRPr="00DA3BC7">
        <w:rPr>
          <w:rFonts w:hint="eastAsia"/>
        </w:rPr>
        <w:t>。</w:t>
      </w:r>
    </w:p>
    <w:p w:rsidR="00AA120F" w:rsidRPr="00DA3BC7" w:rsidRDefault="00AA120F" w:rsidP="00AE3920">
      <w:pPr>
        <w:spacing w:beforeLines="20"/>
        <w:ind w:leftChars="200" w:left="480"/>
        <w:jc w:val="both"/>
        <w:rPr>
          <w:rFonts w:eastAsia="SimSun"/>
        </w:rPr>
      </w:pPr>
      <w:r w:rsidRPr="00DA3BC7">
        <w:rPr>
          <w:rFonts w:hint="eastAsia"/>
        </w:rPr>
        <w:t>法空，我空，二者的原理是一樣的。</w:t>
      </w:r>
    </w:p>
    <w:p w:rsidR="00AA120F" w:rsidRPr="00DA3BC7" w:rsidRDefault="00AA120F" w:rsidP="00AE3920">
      <w:pPr>
        <w:spacing w:beforeLines="30"/>
        <w:ind w:leftChars="150" w:left="360"/>
        <w:jc w:val="both"/>
        <w:rPr>
          <w:rFonts w:ascii="Times Ext Roman" w:eastAsia="SimSun" w:hAnsi="Times Ext Roman" w:cs="Times Ext Roman"/>
          <w:sz w:val="20"/>
        </w:rPr>
      </w:pPr>
      <w:r w:rsidRPr="00E81651">
        <w:rPr>
          <w:rFonts w:ascii="新細明體" w:hAnsi="新細明體" w:hint="eastAsia"/>
          <w:b/>
          <w:color w:val="FF0000"/>
          <w:sz w:val="20"/>
          <w:szCs w:val="20"/>
          <w:highlight w:val="yellow"/>
          <w:bdr w:val="single" w:sz="4" w:space="0" w:color="auto"/>
        </w:rPr>
        <w:t>（</w:t>
      </w:r>
      <w:r w:rsidR="00E81651" w:rsidRPr="00E81651">
        <w:rPr>
          <w:rFonts w:ascii="新細明體" w:hAnsi="新細明體" w:hint="eastAsia"/>
          <w:b/>
          <w:color w:val="FF0000"/>
          <w:sz w:val="20"/>
          <w:szCs w:val="20"/>
          <w:highlight w:val="yellow"/>
          <w:bdr w:val="single" w:sz="4" w:space="0" w:color="auto"/>
        </w:rPr>
        <w:t>四</w:t>
      </w:r>
      <w:r w:rsidRPr="00E81651">
        <w:rPr>
          <w:rFonts w:ascii="新細明體" w:hAnsi="新細明體" w:hint="eastAsia"/>
          <w:b/>
          <w:color w:val="FF0000"/>
          <w:sz w:val="20"/>
          <w:szCs w:val="20"/>
          <w:highlight w:val="yellow"/>
          <w:bdr w:val="single" w:sz="4" w:space="0" w:color="auto"/>
        </w:rPr>
        <w:t>）</w:t>
      </w:r>
      <w:r w:rsidR="00E81651" w:rsidRPr="00E81651">
        <w:rPr>
          <w:rFonts w:ascii="新細明體" w:hAnsi="新細明體" w:hint="eastAsia"/>
          <w:b/>
          <w:color w:val="FF0000"/>
          <w:sz w:val="20"/>
          <w:szCs w:val="20"/>
          <w:highlight w:val="yellow"/>
          <w:bdr w:val="single" w:sz="4" w:space="0" w:color="auto"/>
        </w:rPr>
        <w:t>「</w:t>
      </w:r>
      <w:r w:rsidRPr="00E81651">
        <w:rPr>
          <w:rFonts w:ascii="新細明體" w:hAnsi="新細明體" w:hint="eastAsia"/>
          <w:b/>
          <w:color w:val="FF0000"/>
          <w:sz w:val="20"/>
          <w:szCs w:val="20"/>
          <w:highlight w:val="yellow"/>
          <w:bdr w:val="single" w:sz="4" w:space="0" w:color="auto"/>
        </w:rPr>
        <w:t>法我</w:t>
      </w:r>
      <w:r w:rsidR="00E81651" w:rsidRPr="00E81651">
        <w:rPr>
          <w:rFonts w:ascii="新細明體" w:hAnsi="新細明體" w:hint="eastAsia"/>
          <w:b/>
          <w:color w:val="FF0000"/>
          <w:sz w:val="20"/>
          <w:szCs w:val="20"/>
          <w:highlight w:val="yellow"/>
          <w:bdr w:val="single" w:sz="4" w:space="0" w:color="auto"/>
        </w:rPr>
        <w:t>見」</w:t>
      </w:r>
      <w:r w:rsidR="00656FE1">
        <w:rPr>
          <w:rFonts w:ascii="Times New Roman" w:hAnsi="Times New Roman"/>
          <w:b/>
          <w:color w:val="FF0000"/>
          <w:sz w:val="20"/>
          <w:szCs w:val="20"/>
          <w:highlight w:val="yellow"/>
          <w:bdr w:val="single" w:sz="4" w:space="0" w:color="auto"/>
        </w:rPr>
        <w:t>vs.</w:t>
      </w:r>
      <w:r w:rsidR="00E81651" w:rsidRPr="00E81651">
        <w:rPr>
          <w:rFonts w:ascii="新細明體" w:hAnsi="新細明體" w:hint="eastAsia"/>
          <w:b/>
          <w:color w:val="FF0000"/>
          <w:sz w:val="20"/>
          <w:szCs w:val="20"/>
          <w:highlight w:val="yellow"/>
          <w:bdr w:val="single" w:sz="4" w:space="0" w:color="auto"/>
        </w:rPr>
        <w:t>「人我見」</w:t>
      </w:r>
      <w:r w:rsidR="00656FE1">
        <w:rPr>
          <w:rFonts w:ascii="Times New Roman" w:hAnsi="Times New Roman"/>
          <w:b/>
          <w:color w:val="FF0000"/>
          <w:sz w:val="20"/>
          <w:szCs w:val="20"/>
          <w:highlight w:val="yellow"/>
          <w:bdr w:val="single" w:sz="4" w:space="0" w:color="auto"/>
        </w:rPr>
        <w:t>vs.</w:t>
      </w:r>
      <w:r w:rsidR="00E81651" w:rsidRPr="00E81651">
        <w:rPr>
          <w:rFonts w:ascii="新細明體" w:hAnsi="新細明體" w:hint="eastAsia"/>
          <w:b/>
          <w:color w:val="FF0000"/>
          <w:sz w:val="20"/>
          <w:szCs w:val="20"/>
          <w:highlight w:val="yellow"/>
          <w:bdr w:val="single" w:sz="4" w:space="0" w:color="auto"/>
        </w:rPr>
        <w:t>「有身見」</w:t>
      </w:r>
      <w:r w:rsidRPr="00DA3BC7">
        <w:rPr>
          <w:rFonts w:ascii="Times Ext Roman" w:hAnsi="Times Ext Roman" w:cs="Times Ext Roman" w:hint="eastAsia"/>
          <w:sz w:val="20"/>
        </w:rPr>
        <w:t>（</w:t>
      </w:r>
      <w:r w:rsidRPr="00DA3BC7">
        <w:rPr>
          <w:rFonts w:ascii="Times New Roman" w:hAnsi="Times New Roman" w:hint="eastAsia"/>
          <w:sz w:val="20"/>
        </w:rPr>
        <w:t>pp.</w:t>
      </w:r>
      <w:r w:rsidRPr="00DA3BC7">
        <w:rPr>
          <w:rFonts w:ascii="Times New Roman" w:eastAsia="SimSun" w:hAnsi="Times New Roman" w:hint="eastAsia"/>
          <w:sz w:val="20"/>
        </w:rPr>
        <w:t>246-247</w:t>
      </w:r>
      <w:r w:rsidRPr="00DA3BC7">
        <w:rPr>
          <w:rFonts w:ascii="Times Ext Roman" w:hAnsi="Times Ext Roman" w:cs="Times Ext Roman" w:hint="eastAsia"/>
          <w:sz w:val="20"/>
        </w:rPr>
        <w:t>）</w:t>
      </w:r>
    </w:p>
    <w:p w:rsidR="00AA120F" w:rsidRPr="00DA3BC7" w:rsidRDefault="00AA120F" w:rsidP="00842748">
      <w:pPr>
        <w:tabs>
          <w:tab w:val="center" w:pos="4208"/>
        </w:tabs>
        <w:ind w:leftChars="200" w:left="480"/>
        <w:jc w:val="both"/>
        <w:rPr>
          <w:rFonts w:eastAsia="SimSun"/>
        </w:rPr>
      </w:pPr>
      <w:r w:rsidRPr="00CE2414">
        <w:rPr>
          <w:rFonts w:ascii="Times New Roman" w:hAnsi="Times New Roman"/>
          <w:b/>
          <w:color w:val="FF0000"/>
          <w:sz w:val="20"/>
          <w:szCs w:val="20"/>
          <w:highlight w:val="yellow"/>
          <w:bdr w:val="single" w:sz="4" w:space="0" w:color="auto"/>
        </w:rPr>
        <w:t>1</w:t>
      </w:r>
      <w:r w:rsidRPr="00CE2414">
        <w:rPr>
          <w:rFonts w:ascii="Times New Roman" w:hAnsi="Times New Roman"/>
          <w:b/>
          <w:color w:val="FF0000"/>
          <w:sz w:val="20"/>
          <w:szCs w:val="20"/>
          <w:highlight w:val="yellow"/>
          <w:bdr w:val="single" w:sz="4" w:space="0" w:color="auto"/>
        </w:rPr>
        <w:t>、</w:t>
      </w:r>
      <w:r w:rsidR="00CE2414" w:rsidRPr="00CE2414">
        <w:rPr>
          <w:rFonts w:ascii="新細明體" w:hAnsi="新細明體" w:hint="eastAsia"/>
          <w:b/>
          <w:color w:val="FF0000"/>
          <w:sz w:val="20"/>
          <w:szCs w:val="20"/>
          <w:highlight w:val="yellow"/>
          <w:bdr w:val="single" w:sz="4" w:space="0" w:color="auto"/>
        </w:rPr>
        <w:t>正辨三者的交關</w:t>
      </w:r>
      <w:r w:rsidRPr="00DA3BC7">
        <w:rPr>
          <w:rFonts w:ascii="Times Ext Roman" w:hAnsi="Times Ext Roman" w:cs="Times Ext Roman" w:hint="eastAsia"/>
          <w:sz w:val="20"/>
        </w:rPr>
        <w:t>（</w:t>
      </w:r>
      <w:r w:rsidRPr="00DA3BC7">
        <w:rPr>
          <w:rFonts w:ascii="Times New Roman" w:hAnsi="Times New Roman" w:hint="eastAsia"/>
          <w:sz w:val="20"/>
        </w:rPr>
        <w:t>pp.</w:t>
      </w:r>
      <w:r w:rsidRPr="00DA3BC7">
        <w:rPr>
          <w:rFonts w:ascii="Times New Roman" w:eastAsia="SimSun" w:hAnsi="Times New Roman" w:hint="eastAsia"/>
          <w:sz w:val="20"/>
        </w:rPr>
        <w:t>246-247</w:t>
      </w:r>
      <w:r w:rsidRPr="00DA3BC7">
        <w:rPr>
          <w:rFonts w:ascii="Times Ext Roman" w:hAnsi="Times Ext Roman" w:cs="Times Ext Roman" w:hint="eastAsia"/>
          <w:sz w:val="20"/>
        </w:rPr>
        <w:t>）</w:t>
      </w:r>
      <w:r w:rsidR="00842748">
        <w:rPr>
          <w:rFonts w:ascii="Times Ext Roman" w:hAnsi="Times Ext Roman" w:cs="Times Ext Roman"/>
          <w:sz w:val="20"/>
        </w:rPr>
        <w:tab/>
      </w:r>
    </w:p>
    <w:p w:rsidR="00AA120F" w:rsidRPr="00DA3BC7" w:rsidRDefault="00AA120F" w:rsidP="008E2BBC">
      <w:pPr>
        <w:ind w:leftChars="200" w:left="480"/>
        <w:jc w:val="both"/>
      </w:pPr>
      <w:r w:rsidRPr="00DA3BC7">
        <w:rPr>
          <w:rFonts w:hint="eastAsia"/>
        </w:rPr>
        <w:t>上面說過</w:t>
      </w:r>
      <w:r w:rsidR="00CE2414">
        <w:rPr>
          <w:rFonts w:hint="eastAsia"/>
        </w:rPr>
        <w:t>，</w:t>
      </w:r>
      <w:r w:rsidRPr="00DA3BC7">
        <w:rPr>
          <w:rFonts w:hint="eastAsia"/>
        </w:rPr>
        <w:t>於</w:t>
      </w:r>
      <w:r w:rsidRPr="00DA3BC7">
        <w:rPr>
          <w:rFonts w:hint="eastAsia"/>
          <w:b/>
        </w:rPr>
        <w:t>一切法</w:t>
      </w:r>
      <w:r w:rsidRPr="00DA3BC7">
        <w:rPr>
          <w:rFonts w:hint="eastAsia"/>
        </w:rPr>
        <w:t>上執有自性是</w:t>
      </w:r>
      <w:r w:rsidRPr="00DA3BC7">
        <w:rPr>
          <w:rFonts w:hint="eastAsia"/>
          <w:b/>
        </w:rPr>
        <w:t>法我見</w:t>
      </w:r>
      <w:r w:rsidRPr="00DA3BC7">
        <w:rPr>
          <w:rFonts w:hint="eastAsia"/>
        </w:rPr>
        <w:t>，</w:t>
      </w:r>
    </w:p>
    <w:p w:rsidR="00AA120F" w:rsidRPr="00DA3BC7" w:rsidRDefault="00AA120F" w:rsidP="00923FB1">
      <w:pPr>
        <w:ind w:leftChars="700" w:left="1680"/>
        <w:jc w:val="both"/>
      </w:pPr>
      <w:r w:rsidRPr="00DA3BC7">
        <w:rPr>
          <w:rFonts w:hint="eastAsia"/>
        </w:rPr>
        <w:t>於</w:t>
      </w:r>
      <w:r w:rsidRPr="00DA3BC7">
        <w:rPr>
          <w:rFonts w:hint="eastAsia"/>
          <w:b/>
        </w:rPr>
        <w:t>有情</w:t>
      </w:r>
      <w:r w:rsidRPr="00DA3BC7">
        <w:rPr>
          <w:rFonts w:hint="eastAsia"/>
        </w:rPr>
        <w:t>上執有自性是</w:t>
      </w:r>
      <w:r w:rsidRPr="00DA3BC7">
        <w:rPr>
          <w:rFonts w:hint="eastAsia"/>
          <w:b/>
        </w:rPr>
        <w:t>補特伽羅我見</w:t>
      </w:r>
      <w:r w:rsidRPr="00DA3BC7">
        <w:rPr>
          <w:rFonts w:hint="eastAsia"/>
        </w:rPr>
        <w:t>，</w:t>
      </w:r>
    </w:p>
    <w:p w:rsidR="00AA120F" w:rsidRPr="00DA3BC7" w:rsidRDefault="00AA120F" w:rsidP="00923FB1">
      <w:pPr>
        <w:ind w:leftChars="700" w:left="1680"/>
        <w:jc w:val="both"/>
      </w:pPr>
      <w:r w:rsidRPr="00DA3BC7">
        <w:rPr>
          <w:rFonts w:hint="eastAsia"/>
        </w:rPr>
        <w:t>於</w:t>
      </w:r>
      <w:r w:rsidRPr="00DA3BC7">
        <w:rPr>
          <w:rFonts w:hint="eastAsia"/>
          <w:b/>
        </w:rPr>
        <w:t>自身</w:t>
      </w:r>
      <w:r w:rsidRPr="00DA3BC7">
        <w:rPr>
          <w:rFonts w:hint="eastAsia"/>
        </w:rPr>
        <w:t>中執有自性實我──主宰性的為</w:t>
      </w:r>
      <w:r w:rsidRPr="00DA3BC7">
        <w:rPr>
          <w:rFonts w:hint="eastAsia"/>
          <w:b/>
        </w:rPr>
        <w:t>薩迦耶見</w:t>
      </w:r>
      <w:r w:rsidRPr="00DA3BC7">
        <w:rPr>
          <w:rFonts w:hint="eastAsia"/>
        </w:rPr>
        <w:t>。</w:t>
      </w:r>
      <w:r w:rsidR="00CE2414" w:rsidRPr="00DA3BC7">
        <w:rPr>
          <w:rStyle w:val="a6"/>
          <w:rFonts w:ascii="Times New Roman" w:hAnsi="Times New Roman"/>
        </w:rPr>
        <w:footnoteReference w:id="1064"/>
      </w:r>
    </w:p>
    <w:p w:rsidR="00AA120F" w:rsidRPr="00DA3BC7" w:rsidRDefault="00AA120F" w:rsidP="00AE3920">
      <w:pPr>
        <w:kinsoku w:val="0"/>
        <w:spacing w:beforeLines="20"/>
        <w:ind w:leftChars="200" w:left="480"/>
        <w:jc w:val="both"/>
      </w:pPr>
      <w:r w:rsidRPr="00DA3BC7">
        <w:rPr>
          <w:rFonts w:hint="eastAsia"/>
        </w:rPr>
        <w:t>三者是有相關性的，根本錯誤在</w:t>
      </w:r>
      <w:r w:rsidRPr="00DA3BC7">
        <w:rPr>
          <w:rFonts w:hint="eastAsia"/>
          <w:b/>
        </w:rPr>
        <w:t>執有自性</w:t>
      </w:r>
      <w:r w:rsidRPr="00DA3BC7">
        <w:rPr>
          <w:rFonts w:hint="eastAsia"/>
        </w:rPr>
        <w:t>。</w:t>
      </w:r>
    </w:p>
    <w:p w:rsidR="00AA120F" w:rsidRPr="00DA3BC7" w:rsidRDefault="00AA120F" w:rsidP="00CE2414">
      <w:pPr>
        <w:ind w:leftChars="200" w:left="480"/>
        <w:jc w:val="both"/>
        <w:rPr>
          <w:rFonts w:eastAsia="SimSun"/>
        </w:rPr>
      </w:pPr>
      <w:r w:rsidRPr="00DA3BC7">
        <w:rPr>
          <w:rFonts w:hint="eastAsia"/>
        </w:rPr>
        <w:t>如執補特伽羅有自性，由此即有薩迦耶見生；如執法有自性，我執亦不會沒有。故龍樹說：「</w:t>
      </w:r>
      <w:r w:rsidRPr="00DA3BC7">
        <w:rPr>
          <w:rFonts w:ascii="標楷體" w:eastAsia="標楷體" w:hAnsi="標楷體" w:hint="eastAsia"/>
        </w:rPr>
        <w:t>乃至有蘊執，爾時有我執</w:t>
      </w:r>
      <w:r w:rsidRPr="00DA3BC7">
        <w:rPr>
          <w:rFonts w:hint="eastAsia"/>
        </w:rPr>
        <w:t>。」</w:t>
      </w:r>
      <w:r w:rsidRPr="00DA3BC7">
        <w:rPr>
          <w:rStyle w:val="a6"/>
          <w:rFonts w:ascii="Times New Roman" w:hAnsi="Times New Roman"/>
        </w:rPr>
        <w:footnoteReference w:id="1065"/>
      </w:r>
      <w:r w:rsidRPr="00DA3BC7">
        <w:rPr>
          <w:rFonts w:hint="eastAsia"/>
        </w:rPr>
        <w:t>如真能通達自我不</w:t>
      </w:r>
      <w:r w:rsidRPr="00DA3BC7">
        <w:rPr>
          <w:rFonts w:hint="eastAsia"/>
        </w:rPr>
        <w:lastRenderedPageBreak/>
        <w:t>可得，則無我即無我所，法的實有性也就破了。</w:t>
      </w:r>
    </w:p>
    <w:p w:rsidR="00AA120F" w:rsidRPr="00DA3BC7" w:rsidRDefault="00AA120F" w:rsidP="00AE3920">
      <w:pPr>
        <w:spacing w:beforeLines="30"/>
        <w:ind w:leftChars="200" w:left="480"/>
        <w:jc w:val="both"/>
        <w:rPr>
          <w:rFonts w:eastAsia="SimSun"/>
        </w:rPr>
      </w:pPr>
      <w:r w:rsidRPr="00CE2414">
        <w:rPr>
          <w:rFonts w:ascii="Times New Roman" w:hAnsi="Times New Roman"/>
          <w:b/>
          <w:color w:val="FF0000"/>
          <w:sz w:val="20"/>
          <w:szCs w:val="20"/>
          <w:highlight w:val="yellow"/>
          <w:bdr w:val="single" w:sz="4" w:space="0" w:color="auto"/>
        </w:rPr>
        <w:t>2</w:t>
      </w:r>
      <w:r w:rsidRPr="00CE2414">
        <w:rPr>
          <w:rFonts w:ascii="新細明體" w:hAnsi="新細明體" w:hint="eastAsia"/>
          <w:b/>
          <w:color w:val="FF0000"/>
          <w:sz w:val="20"/>
          <w:szCs w:val="20"/>
          <w:highlight w:val="yellow"/>
          <w:bdr w:val="single" w:sz="4" w:space="0" w:color="auto"/>
        </w:rPr>
        <w:t>、</w:t>
      </w:r>
      <w:r w:rsidR="00CE2414" w:rsidRPr="00CE2414">
        <w:rPr>
          <w:rFonts w:ascii="新細明體" w:hAnsi="新細明體" w:hint="eastAsia"/>
          <w:b/>
          <w:color w:val="FF0000"/>
          <w:sz w:val="20"/>
          <w:szCs w:val="20"/>
          <w:highlight w:val="yellow"/>
          <w:bdr w:val="single" w:sz="4" w:space="0" w:color="auto"/>
        </w:rPr>
        <w:t>約「二</w:t>
      </w:r>
      <w:r w:rsidRPr="00CE2414">
        <w:rPr>
          <w:rFonts w:ascii="新細明體" w:hAnsi="新細明體" w:hint="eastAsia"/>
          <w:b/>
          <w:color w:val="FF0000"/>
          <w:sz w:val="20"/>
          <w:szCs w:val="20"/>
          <w:highlight w:val="yellow"/>
          <w:bdr w:val="single" w:sz="4" w:space="0" w:color="auto"/>
        </w:rPr>
        <w:t>乘</w:t>
      </w:r>
      <w:r w:rsidR="00CE2414" w:rsidRPr="00CE2414">
        <w:rPr>
          <w:rFonts w:ascii="新細明體" w:hAnsi="新細明體" w:hint="eastAsia"/>
          <w:b/>
          <w:color w:val="FF0000"/>
          <w:sz w:val="20"/>
          <w:szCs w:val="20"/>
          <w:highlight w:val="yellow"/>
          <w:bdr w:val="single" w:sz="4" w:space="0" w:color="auto"/>
        </w:rPr>
        <w:t>、菩薩的修</w:t>
      </w:r>
      <w:r w:rsidRPr="00CE2414">
        <w:rPr>
          <w:rFonts w:ascii="新細明體" w:hAnsi="新細明體" w:hint="eastAsia"/>
          <w:b/>
          <w:color w:val="FF0000"/>
          <w:sz w:val="20"/>
          <w:szCs w:val="20"/>
          <w:highlight w:val="yellow"/>
          <w:bdr w:val="single" w:sz="4" w:space="0" w:color="auto"/>
        </w:rPr>
        <w:t>觀</w:t>
      </w:r>
      <w:r w:rsidR="00CE2414" w:rsidRPr="00CE2414">
        <w:rPr>
          <w:rFonts w:ascii="新細明體" w:hAnsi="新細明體" w:hint="eastAsia"/>
          <w:b/>
          <w:color w:val="FF0000"/>
          <w:sz w:val="20"/>
          <w:szCs w:val="20"/>
          <w:highlight w:val="yellow"/>
          <w:bdr w:val="single" w:sz="4" w:space="0" w:color="auto"/>
        </w:rPr>
        <w:t>」說</w:t>
      </w:r>
      <w:r w:rsidRPr="00DA3BC7">
        <w:rPr>
          <w:rFonts w:ascii="Times Ext Roman" w:hAnsi="Times Ext Roman" w:cs="Times Ext Roman" w:hint="eastAsia"/>
          <w:sz w:val="20"/>
        </w:rPr>
        <w:t>（</w:t>
      </w:r>
      <w:r w:rsidRPr="00DA3BC7">
        <w:rPr>
          <w:rFonts w:ascii="Times New Roman" w:hAnsi="Times New Roman" w:hint="eastAsia"/>
          <w:sz w:val="20"/>
        </w:rPr>
        <w:t>p.</w:t>
      </w:r>
      <w:r w:rsidRPr="00DA3BC7">
        <w:rPr>
          <w:rFonts w:ascii="Times New Roman" w:eastAsia="SimSun" w:hAnsi="Times New Roman" w:hint="eastAsia"/>
          <w:sz w:val="20"/>
        </w:rPr>
        <w:t>247</w:t>
      </w:r>
      <w:r w:rsidRPr="00DA3BC7">
        <w:rPr>
          <w:rFonts w:ascii="Times Ext Roman" w:hAnsi="Times Ext Roman" w:cs="Times Ext Roman" w:hint="eastAsia"/>
          <w:sz w:val="20"/>
        </w:rPr>
        <w:t>）</w:t>
      </w:r>
    </w:p>
    <w:p w:rsidR="00D957F9" w:rsidRDefault="00AA120F" w:rsidP="008E2BBC">
      <w:pPr>
        <w:ind w:leftChars="200" w:left="480"/>
        <w:jc w:val="both"/>
      </w:pPr>
      <w:r w:rsidRPr="00DA3BC7">
        <w:rPr>
          <w:rFonts w:hint="eastAsia"/>
        </w:rPr>
        <w:t>小乘不廣觀一切法空，直從補特伽羅我知空。雖然是單刀直入，但由於悲願不深、世俗的智慧不充，所以每滯於</w:t>
      </w:r>
      <w:r w:rsidRPr="00DA3BC7">
        <w:rPr>
          <w:rFonts w:hint="eastAsia"/>
          <w:b/>
        </w:rPr>
        <w:t>實有真空</w:t>
      </w:r>
      <w:r w:rsidRPr="00DA3BC7">
        <w:rPr>
          <w:rFonts w:hint="eastAsia"/>
        </w:rPr>
        <w:t>的二諦階段。</w:t>
      </w:r>
      <w:r w:rsidRPr="00DA3BC7">
        <w:rPr>
          <w:rStyle w:val="a6"/>
          <w:rFonts w:ascii="Times New Roman" w:hAnsi="Times New Roman"/>
        </w:rPr>
        <w:footnoteReference w:id="1066"/>
      </w:r>
      <w:r w:rsidRPr="00DA3BC7">
        <w:rPr>
          <w:rFonts w:hint="eastAsia"/>
        </w:rPr>
        <w:t>但約悟證的勝義慧說，空性是平等的，不執我自性，也決不執法有自性；</w:t>
      </w:r>
      <w:r w:rsidRPr="00DA3BC7">
        <w:rPr>
          <w:rFonts w:hint="eastAsia"/>
          <w:b/>
        </w:rPr>
        <w:t>若執法有自性，那必是未能真知無我的</w:t>
      </w:r>
      <w:r w:rsidRPr="00DA3BC7">
        <w:rPr>
          <w:rFonts w:hint="eastAsia"/>
        </w:rPr>
        <w:t>。</w:t>
      </w:r>
    </w:p>
    <w:p w:rsidR="002A4270" w:rsidRDefault="00AA120F" w:rsidP="00AE3920">
      <w:pPr>
        <w:spacing w:beforeLines="20"/>
        <w:ind w:leftChars="200" w:left="480"/>
        <w:jc w:val="both"/>
      </w:pPr>
      <w:r w:rsidRPr="00D957F9">
        <w:rPr>
          <w:rFonts w:hint="eastAsia"/>
          <w:highlight w:val="yellow"/>
        </w:rPr>
        <w:t>依</w:t>
      </w:r>
      <w:r w:rsidRPr="00DA3BC7">
        <w:rPr>
          <w:rFonts w:hint="eastAsia"/>
        </w:rPr>
        <w:t>《中論》</w:t>
      </w:r>
      <w:r w:rsidRPr="00DA3BC7">
        <w:rPr>
          <w:rStyle w:val="a6"/>
          <w:rFonts w:ascii="Times New Roman" w:hAnsi="Times New Roman"/>
        </w:rPr>
        <w:footnoteReference w:id="1067"/>
      </w:r>
      <w:r w:rsidRPr="00DA3BC7">
        <w:rPr>
          <w:rFonts w:hint="eastAsia"/>
        </w:rPr>
        <w:t>說，</w:t>
      </w:r>
      <w:r w:rsidRPr="00DA3BC7">
        <w:rPr>
          <w:rFonts w:hint="eastAsia"/>
          <w:b/>
        </w:rPr>
        <w:t>初令菩薩廣觀法空，然後歸結到我空</w:t>
      </w:r>
      <w:r w:rsidRPr="00DA3BC7">
        <w:rPr>
          <w:rFonts w:hint="eastAsia"/>
        </w:rPr>
        <w:t>，以觀無我我所為證入空性的不二門。因為若寬泛的廣觀法空，不能反求諸己，能所的知見不易泯除，故必須返觀自我本空。</w:t>
      </w:r>
    </w:p>
    <w:p w:rsidR="002A4270" w:rsidRDefault="002A4270" w:rsidP="00AE3920">
      <w:pPr>
        <w:spacing w:beforeLines="20"/>
        <w:ind w:leftChars="150" w:left="360"/>
        <w:jc w:val="both"/>
        <w:rPr>
          <w:rFonts w:ascii="新細明體" w:hAnsi="新細明體"/>
          <w:b/>
          <w:color w:val="FF0000"/>
          <w:sz w:val="20"/>
          <w:szCs w:val="20"/>
          <w:bdr w:val="single" w:sz="4" w:space="0" w:color="auto"/>
        </w:rPr>
      </w:pPr>
      <w:r w:rsidRPr="002A4270">
        <w:rPr>
          <w:rFonts w:ascii="新細明體" w:hAnsi="新細明體" w:hint="eastAsia"/>
          <w:b/>
          <w:color w:val="FF0000"/>
          <w:sz w:val="20"/>
          <w:szCs w:val="20"/>
          <w:highlight w:val="yellow"/>
          <w:bdr w:val="single" w:sz="4" w:space="0" w:color="auto"/>
        </w:rPr>
        <w:t>※結成</w:t>
      </w:r>
    </w:p>
    <w:p w:rsidR="00AA120F" w:rsidRPr="00DA3BC7" w:rsidRDefault="00AA120F" w:rsidP="002A4270">
      <w:pPr>
        <w:ind w:leftChars="150" w:left="360"/>
        <w:jc w:val="both"/>
        <w:rPr>
          <w:rFonts w:eastAsia="SimSun"/>
        </w:rPr>
      </w:pPr>
      <w:r w:rsidRPr="00DA3BC7">
        <w:rPr>
          <w:rFonts w:hint="eastAsia"/>
        </w:rPr>
        <w:t>由此可見《中論》與《阿含經》義，是怎樣的相符順。</w:t>
      </w:r>
    </w:p>
    <w:p w:rsidR="00D957F9" w:rsidRDefault="00AA120F" w:rsidP="00AE3920">
      <w:pPr>
        <w:spacing w:beforeLines="30"/>
        <w:ind w:leftChars="100" w:left="240"/>
        <w:jc w:val="both"/>
        <w:rPr>
          <w:rFonts w:ascii="新細明體" w:hAnsi="新細明體"/>
          <w:b/>
          <w:color w:val="FF0000"/>
          <w:sz w:val="20"/>
          <w:szCs w:val="20"/>
          <w:bdr w:val="single" w:sz="4" w:space="0" w:color="auto"/>
        </w:rPr>
      </w:pPr>
      <w:r w:rsidRPr="00D957F9">
        <w:rPr>
          <w:rFonts w:ascii="新細明體" w:hAnsi="新細明體" w:hint="eastAsia"/>
          <w:b/>
          <w:color w:val="FF0000"/>
          <w:sz w:val="20"/>
          <w:szCs w:val="20"/>
          <w:highlight w:val="yellow"/>
          <w:bdr w:val="single" w:sz="4" w:space="0" w:color="auto"/>
        </w:rPr>
        <w:t>二、</w:t>
      </w:r>
      <w:r w:rsidR="00D957F9" w:rsidRPr="00D957F9">
        <w:rPr>
          <w:rFonts w:ascii="新細明體" w:hAnsi="新細明體" w:hint="eastAsia"/>
          <w:b/>
          <w:color w:val="FF0000"/>
          <w:sz w:val="20"/>
          <w:szCs w:val="20"/>
          <w:highlight w:val="yellow"/>
          <w:bdr w:val="single" w:sz="4" w:space="0" w:color="auto"/>
        </w:rPr>
        <w:t>依</w:t>
      </w:r>
      <w:r w:rsidR="002A4270" w:rsidRPr="00BC7376">
        <w:rPr>
          <w:rFonts w:ascii="新細明體" w:hAnsi="新細明體" w:hint="eastAsia"/>
          <w:b/>
          <w:color w:val="FF0000"/>
          <w:sz w:val="20"/>
          <w:szCs w:val="20"/>
          <w:highlight w:val="yellow"/>
          <w:bdr w:val="single" w:sz="4" w:space="0" w:color="auto"/>
        </w:rPr>
        <w:t>「</w:t>
      </w:r>
      <w:r w:rsidR="00D957F9" w:rsidRPr="00D957F9">
        <w:rPr>
          <w:rFonts w:ascii="新細明體" w:hAnsi="新細明體" w:hint="eastAsia"/>
          <w:b/>
          <w:color w:val="FF0000"/>
          <w:sz w:val="20"/>
          <w:szCs w:val="20"/>
          <w:highlight w:val="yellow"/>
          <w:bdr w:val="single" w:sz="4" w:space="0" w:color="auto"/>
        </w:rPr>
        <w:t>觀修習</w:t>
      </w:r>
      <w:r w:rsidR="002A4270" w:rsidRPr="00D957F9">
        <w:rPr>
          <w:rFonts w:ascii="新細明體" w:hAnsi="新細明體" w:hint="eastAsia"/>
          <w:b/>
          <w:color w:val="FF0000"/>
          <w:sz w:val="20"/>
          <w:szCs w:val="20"/>
          <w:highlight w:val="yellow"/>
          <w:bdr w:val="single" w:sz="4" w:space="0" w:color="auto"/>
        </w:rPr>
        <w:t>」</w:t>
      </w:r>
      <w:r w:rsidR="00D957F9" w:rsidRPr="00D957F9">
        <w:rPr>
          <w:rFonts w:ascii="新細明體" w:hAnsi="新細明體" w:hint="eastAsia"/>
          <w:b/>
          <w:color w:val="FF0000"/>
          <w:sz w:val="20"/>
          <w:szCs w:val="20"/>
          <w:highlight w:val="yellow"/>
          <w:bdr w:val="single" w:sz="4" w:space="0" w:color="auto"/>
        </w:rPr>
        <w:t>，</w:t>
      </w:r>
      <w:r w:rsidR="002A4270" w:rsidRPr="00BC7376">
        <w:rPr>
          <w:rFonts w:ascii="新細明體" w:hAnsi="新細明體" w:hint="eastAsia"/>
          <w:b/>
          <w:color w:val="FF0000"/>
          <w:sz w:val="20"/>
          <w:szCs w:val="20"/>
          <w:highlight w:val="yellow"/>
          <w:bdr w:val="single" w:sz="4" w:space="0" w:color="auto"/>
        </w:rPr>
        <w:t>則</w:t>
      </w:r>
      <w:r w:rsidR="00D957F9" w:rsidRPr="00D957F9">
        <w:rPr>
          <w:rFonts w:ascii="新細明體" w:hAnsi="新細明體" w:hint="eastAsia"/>
          <w:b/>
          <w:color w:val="FF0000"/>
          <w:sz w:val="20"/>
          <w:szCs w:val="20"/>
          <w:highlight w:val="yellow"/>
          <w:bdr w:val="single" w:sz="4" w:space="0" w:color="auto"/>
        </w:rPr>
        <w:t>「我」、「法」別</w:t>
      </w:r>
      <w:r w:rsidR="00D957F9" w:rsidRPr="00DA3BC7">
        <w:rPr>
          <w:rFonts w:ascii="Times Ext Roman" w:hAnsi="Times Ext Roman" w:cs="Times Ext Roman" w:hint="eastAsia"/>
          <w:sz w:val="20"/>
        </w:rPr>
        <w:t>（</w:t>
      </w:r>
      <w:r w:rsidR="00D957F9" w:rsidRPr="00DA3BC7">
        <w:rPr>
          <w:rFonts w:ascii="Times New Roman" w:hAnsi="Times New Roman" w:hint="eastAsia"/>
          <w:sz w:val="20"/>
        </w:rPr>
        <w:t>pp.</w:t>
      </w:r>
      <w:r w:rsidR="00D957F9" w:rsidRPr="00DA3BC7">
        <w:rPr>
          <w:rFonts w:ascii="Times New Roman" w:eastAsia="SimSun" w:hAnsi="Times New Roman" w:hint="eastAsia"/>
          <w:sz w:val="20"/>
        </w:rPr>
        <w:t>247</w:t>
      </w:r>
      <w:r w:rsidR="00D957F9" w:rsidRPr="00DA3BC7">
        <w:rPr>
          <w:rFonts w:ascii="Times New Roman" w:hAnsi="Times New Roman" w:hint="eastAsia"/>
          <w:sz w:val="20"/>
        </w:rPr>
        <w:t>-</w:t>
      </w:r>
      <w:r w:rsidR="00D957F9" w:rsidRPr="00DA3BC7">
        <w:rPr>
          <w:rFonts w:ascii="Times New Roman" w:eastAsia="SimSun" w:hAnsi="Times New Roman" w:hint="eastAsia"/>
          <w:sz w:val="20"/>
        </w:rPr>
        <w:t>25</w:t>
      </w:r>
      <w:r w:rsidR="00D957F9" w:rsidRPr="00D957F9">
        <w:rPr>
          <w:rFonts w:ascii="Times New Roman" w:eastAsiaTheme="minorEastAsia" w:hAnsi="Times New Roman" w:hint="eastAsia"/>
          <w:sz w:val="20"/>
        </w:rPr>
        <w:t>2</w:t>
      </w:r>
      <w:r w:rsidR="00D957F9" w:rsidRPr="00DA3BC7">
        <w:rPr>
          <w:rFonts w:ascii="Times Ext Roman" w:hAnsi="Times Ext Roman" w:cs="Times Ext Roman" w:hint="eastAsia"/>
          <w:sz w:val="20"/>
        </w:rPr>
        <w:t>）</w:t>
      </w:r>
    </w:p>
    <w:p w:rsidR="00D957F9" w:rsidRPr="00DA3BC7" w:rsidRDefault="00D957F9" w:rsidP="00923FB1">
      <w:pPr>
        <w:ind w:leftChars="100" w:left="240"/>
        <w:jc w:val="both"/>
        <w:rPr>
          <w:rFonts w:ascii="Times New Roman" w:eastAsia="SimSun" w:hAnsi="Times New Roman"/>
        </w:rPr>
      </w:pPr>
      <w:r w:rsidRPr="00DA3BC7">
        <w:rPr>
          <w:rFonts w:ascii="Times New Roman" w:hAnsi="Times New Roman"/>
        </w:rPr>
        <w:t>觀察修習時，不妨我</w:t>
      </w:r>
      <w:r w:rsidRPr="00DA3BC7">
        <w:rPr>
          <w:rFonts w:ascii="Times New Roman" w:hAnsi="Times New Roman" w:hint="eastAsia"/>
        </w:rPr>
        <w:t>、</w:t>
      </w:r>
      <w:r w:rsidRPr="00DA3BC7">
        <w:rPr>
          <w:rFonts w:ascii="Times New Roman" w:hAnsi="Times New Roman"/>
        </w:rPr>
        <w:t>法別觀。</w:t>
      </w:r>
    </w:p>
    <w:p w:rsidR="00AA120F" w:rsidRPr="00DA3BC7" w:rsidRDefault="00D957F9" w:rsidP="00D957F9">
      <w:pPr>
        <w:ind w:leftChars="150" w:left="360"/>
        <w:jc w:val="both"/>
        <w:rPr>
          <w:rFonts w:ascii="Times Ext Roman" w:eastAsia="SimSun" w:hAnsi="Times Ext Roman" w:cs="Times Ext Roman"/>
          <w:sz w:val="20"/>
        </w:rPr>
      </w:pPr>
      <w:r w:rsidRPr="00D957F9">
        <w:rPr>
          <w:rFonts w:ascii="Times New Roman" w:hAnsi="Times New Roman" w:hint="eastAsia"/>
          <w:b/>
          <w:color w:val="FF0000"/>
          <w:sz w:val="20"/>
          <w:szCs w:val="20"/>
          <w:highlight w:val="yellow"/>
          <w:bdr w:val="single" w:sz="4" w:space="0" w:color="auto"/>
        </w:rPr>
        <w:t>（一）</w:t>
      </w:r>
      <w:r w:rsidR="00AA120F" w:rsidRPr="00D957F9">
        <w:rPr>
          <w:rFonts w:ascii="新細明體" w:hAnsi="新細明體" w:hint="eastAsia"/>
          <w:b/>
          <w:color w:val="FF0000"/>
          <w:sz w:val="20"/>
          <w:szCs w:val="20"/>
          <w:highlight w:val="yellow"/>
          <w:bdr w:val="single" w:sz="4" w:space="0" w:color="auto"/>
        </w:rPr>
        <w:t>觀</w:t>
      </w:r>
      <w:r w:rsidRPr="00D957F9">
        <w:rPr>
          <w:rFonts w:ascii="新細明體" w:hAnsi="新細明體" w:hint="eastAsia"/>
          <w:b/>
          <w:color w:val="FF0000"/>
          <w:sz w:val="20"/>
          <w:szCs w:val="20"/>
          <w:highlight w:val="yellow"/>
          <w:bdr w:val="single" w:sz="4" w:space="0" w:color="auto"/>
        </w:rPr>
        <w:t>「</w:t>
      </w:r>
      <w:r w:rsidR="00AA120F" w:rsidRPr="00D957F9">
        <w:rPr>
          <w:rFonts w:ascii="新細明體" w:hAnsi="新細明體" w:hint="eastAsia"/>
          <w:b/>
          <w:color w:val="FF0000"/>
          <w:sz w:val="20"/>
          <w:szCs w:val="20"/>
          <w:highlight w:val="yellow"/>
          <w:bdr w:val="single" w:sz="4" w:space="0" w:color="auto"/>
        </w:rPr>
        <w:t>我空</w:t>
      </w:r>
      <w:r w:rsidRPr="00D957F9">
        <w:rPr>
          <w:rFonts w:ascii="新細明體" w:hAnsi="新細明體" w:hint="eastAsia"/>
          <w:b/>
          <w:color w:val="FF0000"/>
          <w:sz w:val="20"/>
          <w:szCs w:val="20"/>
          <w:highlight w:val="yellow"/>
          <w:bdr w:val="single" w:sz="4" w:space="0" w:color="auto"/>
        </w:rPr>
        <w:t>」</w:t>
      </w:r>
      <w:r w:rsidR="00AA120F" w:rsidRPr="00DA3BC7">
        <w:rPr>
          <w:rFonts w:ascii="Times Ext Roman" w:hAnsi="Times Ext Roman" w:cs="Times Ext Roman" w:hint="eastAsia"/>
          <w:sz w:val="20"/>
        </w:rPr>
        <w:t>（</w:t>
      </w:r>
      <w:r w:rsidR="00AA120F" w:rsidRPr="00DA3BC7">
        <w:rPr>
          <w:rFonts w:ascii="Times New Roman" w:hAnsi="Times New Roman" w:hint="eastAsia"/>
          <w:sz w:val="20"/>
        </w:rPr>
        <w:t>pp.</w:t>
      </w:r>
      <w:r w:rsidR="00AA120F" w:rsidRPr="00DA3BC7">
        <w:rPr>
          <w:rFonts w:ascii="Times New Roman" w:eastAsia="SimSun" w:hAnsi="Times New Roman" w:hint="eastAsia"/>
          <w:sz w:val="20"/>
        </w:rPr>
        <w:t>247</w:t>
      </w:r>
      <w:r w:rsidR="00AA120F" w:rsidRPr="00DA3BC7">
        <w:rPr>
          <w:rFonts w:ascii="Times New Roman" w:hAnsi="Times New Roman" w:hint="eastAsia"/>
          <w:sz w:val="20"/>
        </w:rPr>
        <w:t>-</w:t>
      </w:r>
      <w:r w:rsidR="00AA120F" w:rsidRPr="00DA3BC7">
        <w:rPr>
          <w:rFonts w:ascii="Times New Roman" w:eastAsia="SimSun" w:hAnsi="Times New Roman" w:hint="eastAsia"/>
          <w:sz w:val="20"/>
        </w:rPr>
        <w:t>250</w:t>
      </w:r>
      <w:r w:rsidR="00AA120F" w:rsidRPr="00DA3BC7">
        <w:rPr>
          <w:rFonts w:ascii="Times Ext Roman" w:hAnsi="Times Ext Roman" w:cs="Times Ext Roman" w:hint="eastAsia"/>
          <w:sz w:val="20"/>
        </w:rPr>
        <w:t>）</w:t>
      </w:r>
    </w:p>
    <w:p w:rsidR="00AA120F" w:rsidRPr="00DA3BC7" w:rsidRDefault="00D957F9" w:rsidP="00923FB1">
      <w:pPr>
        <w:ind w:leftChars="200" w:left="480"/>
        <w:jc w:val="both"/>
        <w:rPr>
          <w:rFonts w:ascii="Times New Roman" w:eastAsia="SimSun" w:hAnsi="Times New Roman"/>
          <w:sz w:val="20"/>
        </w:rPr>
      </w:pPr>
      <w:r w:rsidRPr="00D957F9">
        <w:rPr>
          <w:rFonts w:ascii="Times New Roman" w:hAnsi="Times New Roman" w:hint="eastAsia"/>
          <w:b/>
          <w:color w:val="FF0000"/>
          <w:sz w:val="20"/>
          <w:szCs w:val="20"/>
          <w:highlight w:val="yellow"/>
          <w:bdr w:val="single" w:sz="4" w:space="0" w:color="auto"/>
        </w:rPr>
        <w:t>1</w:t>
      </w:r>
      <w:r w:rsidRPr="00D957F9">
        <w:rPr>
          <w:rFonts w:ascii="Times New Roman" w:hAnsi="Times New Roman" w:hint="eastAsia"/>
          <w:b/>
          <w:color w:val="FF0000"/>
          <w:sz w:val="20"/>
          <w:szCs w:val="20"/>
          <w:highlight w:val="yellow"/>
          <w:bdr w:val="single" w:sz="4" w:space="0" w:color="auto"/>
        </w:rPr>
        <w:t>、總說</w:t>
      </w:r>
      <w:r w:rsidR="00AA120F" w:rsidRPr="00DA3BC7">
        <w:rPr>
          <w:rFonts w:ascii="Times New Roman" w:hAnsi="Times New Roman"/>
          <w:sz w:val="20"/>
        </w:rPr>
        <w:t>（</w:t>
      </w:r>
      <w:r w:rsidR="00AA120F" w:rsidRPr="00DA3BC7">
        <w:rPr>
          <w:rFonts w:ascii="Times New Roman" w:hAnsi="Times New Roman"/>
          <w:sz w:val="20"/>
        </w:rPr>
        <w:t>p.</w:t>
      </w:r>
      <w:r w:rsidR="00AA120F" w:rsidRPr="00DA3BC7">
        <w:rPr>
          <w:rFonts w:ascii="Times New Roman" w:eastAsia="SimSun" w:hAnsi="Times New Roman"/>
          <w:sz w:val="20"/>
        </w:rPr>
        <w:t>247</w:t>
      </w:r>
      <w:r w:rsidR="00AA120F" w:rsidRPr="00DA3BC7">
        <w:rPr>
          <w:rFonts w:ascii="Times New Roman" w:hAnsi="Times New Roman"/>
          <w:sz w:val="20"/>
        </w:rPr>
        <w:t>）</w:t>
      </w:r>
    </w:p>
    <w:p w:rsidR="00D957F9" w:rsidRDefault="00AA120F" w:rsidP="00923FB1">
      <w:pPr>
        <w:ind w:leftChars="200" w:left="480"/>
        <w:jc w:val="both"/>
        <w:rPr>
          <w:rFonts w:ascii="Times New Roman" w:hAnsi="Times New Roman"/>
        </w:rPr>
      </w:pPr>
      <w:r w:rsidRPr="00DA3BC7">
        <w:rPr>
          <w:rFonts w:ascii="Times New Roman" w:hAnsi="Times New Roman"/>
        </w:rPr>
        <w:t>如何觀察無我？</w:t>
      </w:r>
    </w:p>
    <w:p w:rsidR="00D957F9" w:rsidRDefault="00AA120F" w:rsidP="00923FB1">
      <w:pPr>
        <w:ind w:leftChars="200" w:left="480"/>
        <w:jc w:val="both"/>
        <w:rPr>
          <w:rFonts w:ascii="Times New Roman" w:hAnsi="Times New Roman"/>
        </w:rPr>
      </w:pPr>
      <w:r w:rsidRPr="00D957F9">
        <w:rPr>
          <w:rFonts w:ascii="Times New Roman" w:hAnsi="Times New Roman"/>
          <w:highlight w:val="yellow"/>
        </w:rPr>
        <w:lastRenderedPageBreak/>
        <w:t>經</w:t>
      </w:r>
      <w:r w:rsidRPr="00DA3BC7">
        <w:rPr>
          <w:rFonts w:ascii="Times New Roman" w:hAnsi="Times New Roman"/>
        </w:rPr>
        <w:t>說我依五蘊而有</w:t>
      </w:r>
      <w:r w:rsidRPr="00DA3BC7">
        <w:rPr>
          <w:rStyle w:val="a6"/>
          <w:rFonts w:ascii="Times New Roman" w:hAnsi="Times New Roman"/>
        </w:rPr>
        <w:footnoteReference w:id="1068"/>
      </w:r>
      <w:r w:rsidRPr="00DA3BC7">
        <w:rPr>
          <w:rFonts w:ascii="Times New Roman" w:hAnsi="Times New Roman"/>
        </w:rPr>
        <w:t>，常人雖種種執我，而假我是不離五蘊假合的身心的。</w:t>
      </w:r>
    </w:p>
    <w:p w:rsidR="00AA120F" w:rsidRPr="00DA3BC7" w:rsidRDefault="00AA120F" w:rsidP="00923FB1">
      <w:pPr>
        <w:ind w:leftChars="200" w:left="480"/>
        <w:jc w:val="both"/>
        <w:rPr>
          <w:rFonts w:ascii="Times New Roman" w:hAnsi="Times New Roman"/>
        </w:rPr>
      </w:pPr>
      <w:r w:rsidRPr="00D957F9">
        <w:rPr>
          <w:rFonts w:ascii="Times New Roman" w:hAnsi="Times New Roman"/>
          <w:highlight w:val="yellow"/>
        </w:rPr>
        <w:t>所</w:t>
      </w:r>
      <w:r w:rsidRPr="00DA3BC7">
        <w:rPr>
          <w:rFonts w:ascii="Times New Roman" w:hAnsi="Times New Roman"/>
        </w:rPr>
        <w:t>以觀我性空，須在五蘊的和合相續中觀察。</w:t>
      </w:r>
    </w:p>
    <w:p w:rsidR="00AA120F" w:rsidRPr="00DA3BC7" w:rsidRDefault="00AA120F" w:rsidP="00923FB1">
      <w:pPr>
        <w:ind w:leftChars="200" w:left="480"/>
        <w:jc w:val="both"/>
        <w:rPr>
          <w:rFonts w:ascii="Times New Roman" w:hAnsi="Times New Roman"/>
        </w:rPr>
      </w:pPr>
      <w:r w:rsidRPr="00DA3BC7">
        <w:rPr>
          <w:rFonts w:ascii="Times New Roman" w:hAnsi="Times New Roman"/>
        </w:rPr>
        <w:t>此可分為總</w:t>
      </w:r>
      <w:r w:rsidRPr="00DA3BC7">
        <w:rPr>
          <w:rFonts w:ascii="Times New Roman" w:hAnsi="Times New Roman" w:hint="eastAsia"/>
        </w:rPr>
        <w:t>、</w:t>
      </w:r>
      <w:r w:rsidRPr="00DA3BC7">
        <w:rPr>
          <w:rFonts w:ascii="Times New Roman" w:hAnsi="Times New Roman"/>
        </w:rPr>
        <w:t>別的兩種觀察：</w:t>
      </w:r>
    </w:p>
    <w:p w:rsidR="00AA120F" w:rsidRPr="00DA3BC7" w:rsidRDefault="00AA120F" w:rsidP="00923FB1">
      <w:pPr>
        <w:ind w:leftChars="200" w:left="480"/>
        <w:jc w:val="both"/>
        <w:rPr>
          <w:rFonts w:ascii="Times New Roman" w:eastAsia="SimSun" w:hAnsi="Times New Roman"/>
        </w:rPr>
      </w:pPr>
      <w:r w:rsidRPr="00DA3BC7">
        <w:rPr>
          <w:rFonts w:ascii="Times New Roman" w:hAnsi="Times New Roman"/>
          <w:b/>
        </w:rPr>
        <w:t>別觀</w:t>
      </w:r>
      <w:r w:rsidRPr="00DA3BC7">
        <w:rPr>
          <w:rFonts w:ascii="Times New Roman" w:hAnsi="Times New Roman"/>
        </w:rPr>
        <w:t>，即是於色受等上各各別觀：如觀色是我嗎？受到識是我嗎？</w:t>
      </w:r>
    </w:p>
    <w:p w:rsidR="00AA120F" w:rsidRPr="00DA3BC7" w:rsidRDefault="00AA120F" w:rsidP="00923FB1">
      <w:pPr>
        <w:ind w:leftChars="200" w:left="480"/>
        <w:jc w:val="both"/>
        <w:rPr>
          <w:rFonts w:eastAsia="SimSun"/>
        </w:rPr>
      </w:pPr>
      <w:r w:rsidRPr="00DA3BC7">
        <w:rPr>
          <w:rFonts w:hint="eastAsia"/>
          <w:b/>
        </w:rPr>
        <w:t>總觀</w:t>
      </w:r>
      <w:r w:rsidRPr="00DA3BC7">
        <w:rPr>
          <w:rFonts w:hint="eastAsia"/>
        </w:rPr>
        <w:t>，即是於五蘊和合上，總觀無我。</w:t>
      </w:r>
    </w:p>
    <w:p w:rsidR="00D957F9" w:rsidRDefault="00AA120F" w:rsidP="00AE3920">
      <w:pPr>
        <w:spacing w:beforeLines="30"/>
        <w:ind w:leftChars="200" w:left="480"/>
        <w:jc w:val="both"/>
        <w:rPr>
          <w:rFonts w:ascii="Times New Roman" w:hAnsi="Times New Roman"/>
          <w:b/>
          <w:color w:val="FF0000"/>
          <w:sz w:val="20"/>
          <w:szCs w:val="20"/>
          <w:bdr w:val="single" w:sz="4" w:space="0" w:color="auto"/>
        </w:rPr>
      </w:pPr>
      <w:r w:rsidRPr="00D957F9">
        <w:rPr>
          <w:rFonts w:ascii="Times New Roman" w:hAnsi="Times New Roman" w:hint="eastAsia"/>
          <w:b/>
          <w:color w:val="FF0000"/>
          <w:sz w:val="20"/>
          <w:szCs w:val="20"/>
          <w:highlight w:val="yellow"/>
          <w:bdr w:val="single" w:sz="4" w:space="0" w:color="auto"/>
        </w:rPr>
        <w:t>2</w:t>
      </w:r>
      <w:r w:rsidRPr="00D957F9">
        <w:rPr>
          <w:rFonts w:ascii="Times New Roman" w:hAnsi="Times New Roman" w:hint="eastAsia"/>
          <w:b/>
          <w:color w:val="FF0000"/>
          <w:sz w:val="20"/>
          <w:szCs w:val="20"/>
          <w:highlight w:val="yellow"/>
          <w:bdr w:val="single" w:sz="4" w:space="0" w:color="auto"/>
        </w:rPr>
        <w:t>、</w:t>
      </w:r>
      <w:r w:rsidR="00D957F9" w:rsidRPr="00D957F9">
        <w:rPr>
          <w:rFonts w:ascii="Times New Roman" w:hAnsi="Times New Roman" w:hint="eastAsia"/>
          <w:b/>
          <w:color w:val="FF0000"/>
          <w:sz w:val="20"/>
          <w:szCs w:val="20"/>
          <w:highlight w:val="yellow"/>
          <w:bdr w:val="single" w:sz="4" w:space="0" w:color="auto"/>
        </w:rPr>
        <w:t>別述</w:t>
      </w:r>
      <w:r w:rsidR="00D957F9" w:rsidRPr="00DA3BC7">
        <w:rPr>
          <w:rFonts w:ascii="Times Ext Roman" w:hAnsi="Times Ext Roman" w:cs="Times Ext Roman" w:hint="eastAsia"/>
          <w:sz w:val="20"/>
        </w:rPr>
        <w:t>（</w:t>
      </w:r>
      <w:r w:rsidR="00D957F9" w:rsidRPr="00DA3BC7">
        <w:rPr>
          <w:rFonts w:ascii="Times New Roman" w:hAnsi="Times New Roman" w:hint="eastAsia"/>
          <w:sz w:val="20"/>
        </w:rPr>
        <w:t>pp.</w:t>
      </w:r>
      <w:r w:rsidR="00D957F9" w:rsidRPr="00DA3BC7">
        <w:rPr>
          <w:rFonts w:ascii="Times New Roman" w:eastAsia="SimSun" w:hAnsi="Times New Roman" w:hint="eastAsia"/>
          <w:sz w:val="20"/>
        </w:rPr>
        <w:t>247</w:t>
      </w:r>
      <w:r w:rsidR="00D957F9" w:rsidRPr="00DA3BC7">
        <w:rPr>
          <w:rFonts w:ascii="Times New Roman" w:hAnsi="Times New Roman" w:hint="eastAsia"/>
          <w:sz w:val="20"/>
        </w:rPr>
        <w:t>-</w:t>
      </w:r>
      <w:r w:rsidR="00D957F9" w:rsidRPr="00DA3BC7">
        <w:rPr>
          <w:rFonts w:ascii="Times New Roman" w:eastAsia="SimSun" w:hAnsi="Times New Roman" w:hint="eastAsia"/>
          <w:sz w:val="20"/>
        </w:rPr>
        <w:t>250</w:t>
      </w:r>
      <w:r w:rsidR="00D957F9" w:rsidRPr="00DA3BC7">
        <w:rPr>
          <w:rFonts w:ascii="Times Ext Roman" w:hAnsi="Times Ext Roman" w:cs="Times Ext Roman" w:hint="eastAsia"/>
          <w:sz w:val="20"/>
        </w:rPr>
        <w:t>）</w:t>
      </w:r>
    </w:p>
    <w:p w:rsidR="00D957F9" w:rsidRDefault="00D957F9" w:rsidP="00D957F9">
      <w:pPr>
        <w:ind w:leftChars="250" w:left="600"/>
        <w:jc w:val="both"/>
        <w:rPr>
          <w:rFonts w:ascii="Times New Roman" w:hAnsi="Times New Roman"/>
          <w:b/>
          <w:color w:val="FF0000"/>
          <w:sz w:val="20"/>
          <w:szCs w:val="20"/>
          <w:bdr w:val="single" w:sz="4" w:space="0" w:color="auto"/>
        </w:rPr>
      </w:pPr>
      <w:r w:rsidRPr="00D957F9">
        <w:rPr>
          <w:rFonts w:ascii="Times New Roman" w:hAnsi="Times New Roman" w:hint="eastAsia"/>
          <w:b/>
          <w:color w:val="FF0000"/>
          <w:sz w:val="20"/>
          <w:szCs w:val="20"/>
          <w:highlight w:val="yellow"/>
          <w:bdr w:val="single" w:sz="4" w:space="0" w:color="auto"/>
        </w:rPr>
        <w:t>（</w:t>
      </w:r>
      <w:r w:rsidRPr="00D957F9">
        <w:rPr>
          <w:rFonts w:ascii="Times New Roman" w:hAnsi="Times New Roman" w:hint="eastAsia"/>
          <w:b/>
          <w:color w:val="FF0000"/>
          <w:sz w:val="20"/>
          <w:szCs w:val="20"/>
          <w:highlight w:val="yellow"/>
          <w:bdr w:val="single" w:sz="4" w:space="0" w:color="auto"/>
        </w:rPr>
        <w:t>1</w:t>
      </w:r>
      <w:r w:rsidRPr="00D957F9">
        <w:rPr>
          <w:rFonts w:ascii="Times New Roman" w:hAnsi="Times New Roman" w:hint="eastAsia"/>
          <w:b/>
          <w:color w:val="FF0000"/>
          <w:sz w:val="20"/>
          <w:szCs w:val="20"/>
          <w:highlight w:val="yellow"/>
          <w:bdr w:val="single" w:sz="4" w:space="0" w:color="auto"/>
        </w:rPr>
        <w:t>）根本聖教之傳</w:t>
      </w:r>
      <w:r w:rsidRPr="00DA3BC7">
        <w:rPr>
          <w:rFonts w:ascii="Times New Roman" w:hAnsi="Times New Roman"/>
          <w:sz w:val="20"/>
        </w:rPr>
        <w:t>（</w:t>
      </w:r>
      <w:r w:rsidRPr="00DA3BC7">
        <w:rPr>
          <w:rFonts w:ascii="Times New Roman" w:hAnsi="Times New Roman"/>
          <w:sz w:val="20"/>
        </w:rPr>
        <w:t>pp.247-248</w:t>
      </w:r>
      <w:r w:rsidRPr="00DA3BC7">
        <w:rPr>
          <w:rFonts w:ascii="Times New Roman" w:hAnsi="Times New Roman"/>
          <w:sz w:val="20"/>
        </w:rPr>
        <w:t>）</w:t>
      </w:r>
    </w:p>
    <w:p w:rsidR="00AA120F" w:rsidRPr="00DA3BC7" w:rsidRDefault="00D957F9" w:rsidP="00923FB1">
      <w:pPr>
        <w:ind w:leftChars="300" w:left="720"/>
        <w:jc w:val="both"/>
        <w:rPr>
          <w:rFonts w:ascii="Times New Roman" w:hAnsi="Times New Roman"/>
          <w:sz w:val="20"/>
        </w:rPr>
      </w:pPr>
      <w:r>
        <w:rPr>
          <w:rFonts w:ascii="Times New Roman" w:hAnsi="Times New Roman" w:hint="eastAsia"/>
          <w:b/>
          <w:color w:val="FF0000"/>
          <w:sz w:val="20"/>
          <w:szCs w:val="20"/>
          <w:highlight w:val="yellow"/>
          <w:bdr w:val="single" w:sz="4" w:space="0" w:color="auto"/>
        </w:rPr>
        <w:t>A</w:t>
      </w:r>
      <w:r>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三種觀</w:t>
      </w:r>
      <w:r w:rsidR="00AA120F" w:rsidRPr="00DA3BC7">
        <w:rPr>
          <w:rFonts w:ascii="Times New Roman" w:hAnsi="Times New Roman" w:hint="eastAsia"/>
          <w:b/>
          <w:sz w:val="20"/>
          <w:szCs w:val="20"/>
          <w:bdr w:val="single" w:sz="4" w:space="0" w:color="auto"/>
        </w:rPr>
        <w:t>門</w:t>
      </w:r>
      <w:r w:rsidR="00AA120F" w:rsidRPr="00DA3BC7">
        <w:rPr>
          <w:rFonts w:ascii="Times New Roman" w:hAnsi="Times New Roman"/>
          <w:sz w:val="20"/>
        </w:rPr>
        <w:t>（</w:t>
      </w:r>
      <w:r w:rsidR="00AA120F" w:rsidRPr="00DA3BC7">
        <w:rPr>
          <w:rFonts w:ascii="Times New Roman" w:hAnsi="Times New Roman"/>
          <w:sz w:val="20"/>
        </w:rPr>
        <w:t>pp.247-248</w:t>
      </w:r>
      <w:r w:rsidR="00AA120F" w:rsidRPr="00DA3BC7">
        <w:rPr>
          <w:rFonts w:ascii="Times New Roman" w:hAnsi="Times New Roman"/>
          <w:sz w:val="20"/>
        </w:rPr>
        <w:t>）</w:t>
      </w:r>
    </w:p>
    <w:p w:rsidR="00AA120F" w:rsidRPr="00DA3BC7" w:rsidRDefault="00D957F9" w:rsidP="00923FB1">
      <w:pPr>
        <w:ind w:leftChars="350" w:left="840"/>
        <w:jc w:val="both"/>
        <w:rPr>
          <w:rFonts w:ascii="Times New Roman" w:hAnsi="Times New Roman"/>
          <w:b/>
          <w:sz w:val="20"/>
          <w:szCs w:val="20"/>
          <w:bdr w:val="single" w:sz="4" w:space="0" w:color="auto"/>
        </w:rPr>
      </w:pPr>
      <w:r w:rsidRPr="00D957F9">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A</w:t>
      </w:r>
      <w:r w:rsidRPr="00D957F9">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hint="eastAsia"/>
          <w:b/>
          <w:sz w:val="20"/>
          <w:szCs w:val="20"/>
          <w:bdr w:val="single" w:sz="4" w:space="0" w:color="auto"/>
        </w:rPr>
        <w:t>總標</w:t>
      </w:r>
      <w:r w:rsidR="00AA120F" w:rsidRPr="00DA3BC7">
        <w:rPr>
          <w:rFonts w:ascii="Times New Roman" w:hAnsi="Times New Roman"/>
          <w:sz w:val="20"/>
        </w:rPr>
        <w:t>（</w:t>
      </w:r>
      <w:r w:rsidR="00AA120F" w:rsidRPr="00DA3BC7">
        <w:rPr>
          <w:rFonts w:ascii="Times New Roman" w:hAnsi="Times New Roman"/>
          <w:sz w:val="20"/>
        </w:rPr>
        <w:t>pp.247-248</w:t>
      </w:r>
      <w:r w:rsidR="00AA120F" w:rsidRPr="00DA3BC7">
        <w:rPr>
          <w:rFonts w:ascii="Times New Roman" w:hAnsi="Times New Roman"/>
          <w:sz w:val="20"/>
        </w:rPr>
        <w:t>）</w:t>
      </w:r>
    </w:p>
    <w:p w:rsidR="00923FB1" w:rsidRDefault="00AA120F" w:rsidP="00923FB1">
      <w:pPr>
        <w:ind w:leftChars="350" w:left="3480" w:hangingChars="1100" w:hanging="2640"/>
        <w:jc w:val="both"/>
      </w:pPr>
      <w:r w:rsidRPr="00DA3BC7">
        <w:rPr>
          <w:rFonts w:hint="eastAsia"/>
        </w:rPr>
        <w:t>《阿含經》常作三種觀：</w:t>
      </w:r>
      <w:r w:rsidRPr="00DA3BC7">
        <w:rPr>
          <w:rFonts w:ascii="新細明體" w:hAnsi="新細明體" w:hint="eastAsia"/>
        </w:rPr>
        <w:t>（一）</w:t>
      </w:r>
      <w:r w:rsidRPr="00DA3BC7">
        <w:rPr>
          <w:rFonts w:hint="eastAsia"/>
        </w:rPr>
        <w:t>色（五蘊之一）不即是我，</w:t>
      </w:r>
    </w:p>
    <w:p w:rsidR="00923FB1" w:rsidRDefault="00AA120F" w:rsidP="00923FB1">
      <w:pPr>
        <w:ind w:leftChars="1400" w:left="3360"/>
        <w:jc w:val="both"/>
      </w:pPr>
      <w:r w:rsidRPr="00DA3BC7">
        <w:rPr>
          <w:rFonts w:ascii="新細明體" w:hAnsi="新細明體" w:hint="eastAsia"/>
        </w:rPr>
        <w:t>（二）</w:t>
      </w:r>
      <w:r w:rsidRPr="00DA3BC7">
        <w:rPr>
          <w:rFonts w:hint="eastAsia"/>
        </w:rPr>
        <w:t>不離色是我，</w:t>
      </w:r>
    </w:p>
    <w:p w:rsidR="00AA120F" w:rsidRPr="00DA3BC7" w:rsidRDefault="00AA120F" w:rsidP="00923FB1">
      <w:pPr>
        <w:ind w:leftChars="1400" w:left="3360"/>
        <w:jc w:val="both"/>
        <w:rPr>
          <w:rFonts w:eastAsia="SimSun"/>
        </w:rPr>
      </w:pPr>
      <w:r w:rsidRPr="00DA3BC7">
        <w:rPr>
          <w:rFonts w:ascii="新細明體" w:hAnsi="新細明體" w:hint="eastAsia"/>
        </w:rPr>
        <w:t>（三）</w:t>
      </w:r>
      <w:r w:rsidRPr="00DA3BC7">
        <w:rPr>
          <w:rFonts w:hint="eastAsia"/>
        </w:rPr>
        <w:t>色與我不相在。</w:t>
      </w:r>
      <w:r w:rsidRPr="00DA3BC7">
        <w:rPr>
          <w:rStyle w:val="a6"/>
          <w:rFonts w:ascii="Times New Roman" w:hAnsi="Times New Roman"/>
        </w:rPr>
        <w:footnoteReference w:id="1069"/>
      </w:r>
    </w:p>
    <w:p w:rsidR="00AA120F" w:rsidRPr="00DA3BC7" w:rsidRDefault="00AA120F" w:rsidP="00AE3920">
      <w:pPr>
        <w:spacing w:beforeLines="30"/>
        <w:ind w:leftChars="350" w:left="840"/>
        <w:jc w:val="both"/>
        <w:rPr>
          <w:rFonts w:ascii="Times New Roman" w:hAnsi="Times New Roman"/>
          <w:b/>
          <w:sz w:val="20"/>
          <w:szCs w:val="20"/>
          <w:bdr w:val="single" w:sz="4" w:space="0" w:color="auto"/>
        </w:rPr>
      </w:pPr>
      <w:r w:rsidRPr="00D957F9">
        <w:rPr>
          <w:rFonts w:ascii="Times New Roman" w:hAnsi="Times New Roman" w:hint="eastAsia"/>
          <w:b/>
          <w:color w:val="FF0000"/>
          <w:sz w:val="20"/>
          <w:szCs w:val="20"/>
          <w:highlight w:val="yellow"/>
          <w:bdr w:val="single" w:sz="4" w:space="0" w:color="auto"/>
        </w:rPr>
        <w:t>（</w:t>
      </w:r>
      <w:r w:rsidR="00D957F9" w:rsidRPr="00D957F9">
        <w:rPr>
          <w:rFonts w:ascii="Times New Roman" w:hAnsi="Times New Roman" w:hint="eastAsia"/>
          <w:b/>
          <w:color w:val="FF0000"/>
          <w:sz w:val="20"/>
          <w:szCs w:val="20"/>
          <w:highlight w:val="yellow"/>
          <w:bdr w:val="single" w:sz="4" w:space="0" w:color="auto"/>
        </w:rPr>
        <w:t>B</w:t>
      </w:r>
      <w:r w:rsidRPr="00D957F9">
        <w:rPr>
          <w:rFonts w:ascii="Times New Roman" w:hAnsi="Times New Roman" w:hint="eastAsia"/>
          <w:b/>
          <w:color w:val="FF0000"/>
          <w:sz w:val="20"/>
          <w:szCs w:val="20"/>
          <w:highlight w:val="yellow"/>
          <w:bdr w:val="single" w:sz="4" w:space="0" w:color="auto"/>
        </w:rPr>
        <w:t>）</w:t>
      </w:r>
      <w:r w:rsidRPr="00DA3BC7">
        <w:rPr>
          <w:rFonts w:ascii="Times New Roman" w:hAnsi="Times New Roman" w:hint="eastAsia"/>
          <w:b/>
          <w:sz w:val="20"/>
          <w:szCs w:val="20"/>
          <w:bdr w:val="single" w:sz="4" w:space="0" w:color="auto"/>
        </w:rPr>
        <w:t>別釋</w:t>
      </w:r>
      <w:r w:rsidRPr="00DA3BC7">
        <w:rPr>
          <w:rFonts w:ascii="Times New Roman" w:hAnsi="Times New Roman"/>
          <w:sz w:val="20"/>
        </w:rPr>
        <w:t>（</w:t>
      </w:r>
      <w:r w:rsidRPr="00DA3BC7">
        <w:rPr>
          <w:rFonts w:ascii="Times New Roman" w:hAnsi="Times New Roman"/>
          <w:sz w:val="20"/>
        </w:rPr>
        <w:t>p.</w:t>
      </w:r>
      <w:r w:rsidRPr="00DA3BC7">
        <w:rPr>
          <w:rFonts w:ascii="Times New Roman" w:eastAsia="SimSun" w:hAnsi="Times New Roman"/>
          <w:sz w:val="20"/>
        </w:rPr>
        <w:t>24</w:t>
      </w:r>
      <w:r w:rsidRPr="00DA3BC7">
        <w:rPr>
          <w:rFonts w:ascii="Times New Roman" w:hAnsi="Times New Roman" w:hint="eastAsia"/>
          <w:sz w:val="20"/>
        </w:rPr>
        <w:t>8</w:t>
      </w:r>
      <w:r w:rsidRPr="00DA3BC7">
        <w:rPr>
          <w:rFonts w:ascii="Times New Roman" w:hAnsi="Times New Roman"/>
          <w:sz w:val="20"/>
        </w:rPr>
        <w:t>）</w:t>
      </w:r>
    </w:p>
    <w:p w:rsidR="00AA120F" w:rsidRPr="00DA3BC7" w:rsidRDefault="00D957F9" w:rsidP="00923FB1">
      <w:pPr>
        <w:ind w:leftChars="400" w:left="960"/>
        <w:jc w:val="both"/>
        <w:rPr>
          <w:rFonts w:ascii="Times New Roman" w:hAnsi="Times New Roman"/>
          <w:b/>
          <w:sz w:val="20"/>
          <w:szCs w:val="20"/>
          <w:bdr w:val="single" w:sz="4" w:space="0" w:color="auto"/>
        </w:rPr>
      </w:pPr>
      <w:r w:rsidRPr="00D957F9">
        <w:rPr>
          <w:rFonts w:ascii="Times New Roman" w:hAnsi="Times New Roman" w:hint="eastAsia"/>
          <w:b/>
          <w:color w:val="FF0000"/>
          <w:sz w:val="20"/>
          <w:szCs w:val="20"/>
          <w:highlight w:val="yellow"/>
          <w:bdr w:val="single" w:sz="4" w:space="0" w:color="auto"/>
        </w:rPr>
        <w:t>a</w:t>
      </w:r>
      <w:r w:rsidR="00AA120F" w:rsidRPr="00DA3BC7">
        <w:rPr>
          <w:rFonts w:ascii="Times New Roman" w:hAnsi="Times New Roman" w:hint="eastAsia"/>
          <w:b/>
          <w:sz w:val="20"/>
          <w:szCs w:val="20"/>
          <w:bdr w:val="single" w:sz="4" w:space="0" w:color="auto"/>
        </w:rPr>
        <w:t>、不即觀</w:t>
      </w:r>
      <w:r w:rsidR="00AA120F" w:rsidRPr="00DA3BC7">
        <w:rPr>
          <w:rFonts w:ascii="Times New Roman" w:hAnsi="Times New Roman"/>
          <w:sz w:val="20"/>
        </w:rPr>
        <w:t>（</w:t>
      </w:r>
      <w:r w:rsidR="00AA120F" w:rsidRPr="00DA3BC7">
        <w:rPr>
          <w:rFonts w:ascii="Times New Roman" w:hAnsi="Times New Roman"/>
          <w:sz w:val="20"/>
        </w:rPr>
        <w:t>p.</w:t>
      </w:r>
      <w:r w:rsidR="00AA120F" w:rsidRPr="00DA3BC7">
        <w:rPr>
          <w:rFonts w:ascii="Times New Roman" w:eastAsia="SimSun" w:hAnsi="Times New Roman"/>
          <w:sz w:val="20"/>
        </w:rPr>
        <w:t>24</w:t>
      </w:r>
      <w:r w:rsidR="00AA120F" w:rsidRPr="00DA3BC7">
        <w:rPr>
          <w:rFonts w:ascii="Times New Roman" w:hAnsi="Times New Roman" w:hint="eastAsia"/>
          <w:sz w:val="20"/>
        </w:rPr>
        <w:t>8</w:t>
      </w:r>
      <w:r w:rsidR="00AA120F" w:rsidRPr="00DA3BC7">
        <w:rPr>
          <w:rFonts w:ascii="Times New Roman" w:hAnsi="Times New Roman"/>
          <w:sz w:val="20"/>
        </w:rPr>
        <w:t>）</w:t>
      </w:r>
    </w:p>
    <w:p w:rsidR="00AA120F" w:rsidRPr="00DA3BC7" w:rsidRDefault="00AA120F" w:rsidP="00923FB1">
      <w:pPr>
        <w:ind w:leftChars="400" w:left="1921" w:hangingChars="400" w:hanging="961"/>
        <w:jc w:val="both"/>
        <w:rPr>
          <w:rFonts w:eastAsia="SimSun"/>
        </w:rPr>
      </w:pPr>
      <w:r w:rsidRPr="00DA3BC7">
        <w:rPr>
          <w:rFonts w:hint="eastAsia"/>
          <w:b/>
        </w:rPr>
        <w:t>不即觀</w:t>
      </w:r>
      <w:r w:rsidRPr="00DA3BC7">
        <w:rPr>
          <w:rFonts w:hint="eastAsia"/>
        </w:rPr>
        <w:t>：如說色不是我，以色無分別而我有分別，色不自在而我自在，色是無常而我非無常。</w:t>
      </w:r>
    </w:p>
    <w:p w:rsidR="00AA120F" w:rsidRPr="00DA3BC7" w:rsidRDefault="00D957F9" w:rsidP="00AE3920">
      <w:pPr>
        <w:spacing w:beforeLines="30"/>
        <w:ind w:leftChars="400" w:left="960"/>
        <w:jc w:val="both"/>
        <w:rPr>
          <w:rFonts w:ascii="新細明體" w:hAnsi="新細明體"/>
          <w:b/>
          <w:sz w:val="20"/>
          <w:szCs w:val="20"/>
          <w:bdr w:val="single" w:sz="4" w:space="0" w:color="auto"/>
        </w:rPr>
      </w:pPr>
      <w:r w:rsidRPr="00D957F9">
        <w:rPr>
          <w:rFonts w:ascii="Times New Roman" w:hAnsi="Times New Roman" w:hint="eastAsia"/>
          <w:b/>
          <w:color w:val="FF0000"/>
          <w:sz w:val="20"/>
          <w:szCs w:val="20"/>
          <w:highlight w:val="yellow"/>
          <w:bdr w:val="single" w:sz="4" w:space="0" w:color="auto"/>
        </w:rPr>
        <w:t>b</w:t>
      </w:r>
      <w:r w:rsidR="00AA120F" w:rsidRPr="00DA3BC7">
        <w:rPr>
          <w:rFonts w:ascii="新細明體" w:hAnsi="新細明體" w:hint="eastAsia"/>
          <w:b/>
          <w:sz w:val="20"/>
          <w:szCs w:val="20"/>
          <w:bdr w:val="single" w:sz="4" w:space="0" w:color="auto"/>
        </w:rPr>
        <w:t>、不離觀</w:t>
      </w:r>
      <w:r w:rsidR="00AA120F" w:rsidRPr="00DA3BC7">
        <w:rPr>
          <w:rFonts w:ascii="Times New Roman" w:hAnsi="Times New Roman"/>
          <w:sz w:val="20"/>
        </w:rPr>
        <w:t>（</w:t>
      </w:r>
      <w:r w:rsidR="00AA120F" w:rsidRPr="00DA3BC7">
        <w:rPr>
          <w:rFonts w:ascii="Times New Roman" w:hAnsi="Times New Roman"/>
          <w:sz w:val="20"/>
        </w:rPr>
        <w:t>p.</w:t>
      </w:r>
      <w:r w:rsidR="00AA120F" w:rsidRPr="00DA3BC7">
        <w:rPr>
          <w:rFonts w:ascii="Times New Roman" w:eastAsia="SimSun" w:hAnsi="Times New Roman"/>
          <w:sz w:val="20"/>
        </w:rPr>
        <w:t>24</w:t>
      </w:r>
      <w:r w:rsidR="00AA120F" w:rsidRPr="00DA3BC7">
        <w:rPr>
          <w:rFonts w:ascii="Times New Roman" w:hAnsi="Times New Roman" w:hint="eastAsia"/>
          <w:sz w:val="20"/>
        </w:rPr>
        <w:t>8</w:t>
      </w:r>
      <w:r w:rsidR="00AA120F" w:rsidRPr="00DA3BC7">
        <w:rPr>
          <w:rFonts w:ascii="Times New Roman" w:hAnsi="Times New Roman"/>
          <w:sz w:val="20"/>
        </w:rPr>
        <w:t>）</w:t>
      </w:r>
    </w:p>
    <w:p w:rsidR="00AA120F" w:rsidRPr="00DA3BC7" w:rsidRDefault="00AA120F" w:rsidP="00923FB1">
      <w:pPr>
        <w:ind w:leftChars="400" w:left="960"/>
        <w:jc w:val="both"/>
        <w:rPr>
          <w:rFonts w:eastAsia="SimSun"/>
        </w:rPr>
      </w:pPr>
      <w:r w:rsidRPr="00DA3BC7">
        <w:rPr>
          <w:rFonts w:hint="eastAsia"/>
          <w:b/>
        </w:rPr>
        <w:t>不離觀</w:t>
      </w:r>
      <w:r w:rsidRPr="00DA3BC7">
        <w:rPr>
          <w:rFonts w:hint="eastAsia"/>
        </w:rPr>
        <w:t>：如以我為如何如何，我是不能離色等而有的。</w:t>
      </w:r>
    </w:p>
    <w:p w:rsidR="00AA120F" w:rsidRPr="00DA3BC7" w:rsidRDefault="00D957F9" w:rsidP="00AE3920">
      <w:pPr>
        <w:spacing w:beforeLines="30"/>
        <w:ind w:leftChars="400" w:left="960"/>
        <w:jc w:val="both"/>
        <w:rPr>
          <w:rFonts w:ascii="Times New Roman" w:hAnsi="Times New Roman"/>
          <w:b/>
          <w:sz w:val="20"/>
          <w:szCs w:val="20"/>
          <w:bdr w:val="single" w:sz="4" w:space="0" w:color="auto"/>
        </w:rPr>
      </w:pPr>
      <w:r w:rsidRPr="00D957F9">
        <w:rPr>
          <w:rFonts w:ascii="Times New Roman" w:hAnsi="Times New Roman" w:hint="eastAsia"/>
          <w:b/>
          <w:color w:val="FF0000"/>
          <w:sz w:val="20"/>
          <w:szCs w:val="20"/>
          <w:highlight w:val="yellow"/>
          <w:bdr w:val="single" w:sz="4" w:space="0" w:color="auto"/>
        </w:rPr>
        <w:t>c</w:t>
      </w:r>
      <w:r w:rsidR="00AA120F" w:rsidRPr="00DA3BC7">
        <w:rPr>
          <w:rFonts w:ascii="Times New Roman" w:hAnsi="Times New Roman" w:hint="eastAsia"/>
          <w:b/>
          <w:sz w:val="20"/>
          <w:szCs w:val="20"/>
          <w:bdr w:val="single" w:sz="4" w:space="0" w:color="auto"/>
        </w:rPr>
        <w:t>、</w:t>
      </w:r>
      <w:r w:rsidR="00AA120F" w:rsidRPr="00DA3BC7">
        <w:rPr>
          <w:rFonts w:ascii="Times New Roman" w:hAnsi="Times New Roman"/>
          <w:b/>
          <w:sz w:val="20"/>
          <w:szCs w:val="20"/>
          <w:bdr w:val="single" w:sz="4" w:space="0" w:color="auto"/>
        </w:rPr>
        <w:t>不相在觀</w:t>
      </w:r>
      <w:r w:rsidR="00AA120F" w:rsidRPr="00DA3BC7">
        <w:rPr>
          <w:rFonts w:ascii="Times New Roman" w:hAnsi="Times New Roman"/>
          <w:sz w:val="20"/>
        </w:rPr>
        <w:t>（</w:t>
      </w:r>
      <w:r w:rsidR="00AA120F" w:rsidRPr="00DA3BC7">
        <w:rPr>
          <w:rFonts w:ascii="Times New Roman" w:hAnsi="Times New Roman"/>
          <w:sz w:val="20"/>
        </w:rPr>
        <w:t>p.</w:t>
      </w:r>
      <w:r w:rsidR="00AA120F" w:rsidRPr="00DA3BC7">
        <w:rPr>
          <w:rFonts w:ascii="Times New Roman" w:eastAsia="SimSun" w:hAnsi="Times New Roman"/>
          <w:sz w:val="20"/>
        </w:rPr>
        <w:t>24</w:t>
      </w:r>
      <w:r w:rsidR="00AA120F" w:rsidRPr="00DA3BC7">
        <w:rPr>
          <w:rFonts w:ascii="Times New Roman" w:hAnsi="Times New Roman" w:hint="eastAsia"/>
          <w:sz w:val="20"/>
        </w:rPr>
        <w:t>8</w:t>
      </w:r>
      <w:r w:rsidR="00AA120F" w:rsidRPr="00DA3BC7">
        <w:rPr>
          <w:rFonts w:ascii="Times New Roman" w:hAnsi="Times New Roman"/>
          <w:sz w:val="20"/>
        </w:rPr>
        <w:t>）</w:t>
      </w:r>
    </w:p>
    <w:p w:rsidR="00AA120F" w:rsidRPr="00DA3BC7" w:rsidRDefault="00AA120F" w:rsidP="00923FB1">
      <w:pPr>
        <w:ind w:leftChars="400" w:left="2161" w:hangingChars="500" w:hanging="1201"/>
        <w:jc w:val="both"/>
        <w:rPr>
          <w:rFonts w:eastAsia="SimSun"/>
        </w:rPr>
      </w:pPr>
      <w:r w:rsidRPr="00DA3BC7">
        <w:rPr>
          <w:rFonts w:hint="eastAsia"/>
          <w:b/>
        </w:rPr>
        <w:t>不相在觀：</w:t>
      </w:r>
      <w:r w:rsidRPr="00DA3BC7">
        <w:rPr>
          <w:rFonts w:hint="eastAsia"/>
        </w:rPr>
        <w:t>如觀我不在色中，色不在我中，這仍是對治從執</w:t>
      </w:r>
      <w:r w:rsidRPr="00DA3BC7">
        <w:rPr>
          <w:rFonts w:hint="eastAsia"/>
          <w:b/>
        </w:rPr>
        <w:t>離</w:t>
      </w:r>
      <w:r w:rsidRPr="00DA3BC7">
        <w:rPr>
          <w:rFonts w:hint="eastAsia"/>
        </w:rPr>
        <w:t>中分出來的。如說我不即是識，也不能離識，但識不是我；或說識在我中，或說我在識中，不即不離，相依而實不即。對治此「相在」執，即作不相在觀。</w:t>
      </w:r>
    </w:p>
    <w:p w:rsidR="00AA120F" w:rsidRPr="00DA3BC7" w:rsidRDefault="003F0E13" w:rsidP="00AE3920">
      <w:pPr>
        <w:spacing w:beforeLines="30"/>
        <w:ind w:leftChars="300" w:left="720"/>
        <w:jc w:val="both"/>
        <w:rPr>
          <w:rFonts w:ascii="Times New Roman" w:hAnsi="Times New Roman"/>
        </w:rPr>
      </w:pPr>
      <w:r w:rsidRPr="00923FB1">
        <w:rPr>
          <w:rFonts w:ascii="Times New Roman" w:hAnsi="Times New Roman" w:hint="eastAsia"/>
          <w:b/>
          <w:color w:val="FF0000"/>
          <w:sz w:val="20"/>
          <w:szCs w:val="20"/>
          <w:highlight w:val="yellow"/>
          <w:bdr w:val="single" w:sz="4" w:space="0" w:color="auto"/>
        </w:rPr>
        <w:t>B</w:t>
      </w:r>
      <w:r w:rsidR="00AA120F" w:rsidRPr="00923FB1">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四種觀</w:t>
      </w:r>
      <w:r w:rsidR="00AA120F" w:rsidRPr="00DA3BC7">
        <w:rPr>
          <w:rFonts w:ascii="Times New Roman" w:hAnsi="Times New Roman" w:hint="eastAsia"/>
          <w:b/>
          <w:sz w:val="20"/>
          <w:szCs w:val="20"/>
          <w:bdr w:val="single" w:sz="4" w:space="0" w:color="auto"/>
        </w:rPr>
        <w:t>門</w:t>
      </w:r>
      <w:r w:rsidR="00AA120F" w:rsidRPr="00DA3BC7">
        <w:rPr>
          <w:rFonts w:ascii="Times New Roman" w:hAnsi="Times New Roman"/>
          <w:sz w:val="20"/>
        </w:rPr>
        <w:t>（</w:t>
      </w:r>
      <w:r w:rsidR="00AA120F" w:rsidRPr="00DA3BC7">
        <w:rPr>
          <w:rFonts w:ascii="Times New Roman" w:hAnsi="Times New Roman"/>
          <w:sz w:val="20"/>
        </w:rPr>
        <w:t>p.248</w:t>
      </w:r>
      <w:r w:rsidR="00AA120F" w:rsidRPr="00DA3BC7">
        <w:rPr>
          <w:rFonts w:ascii="Times New Roman" w:hAnsi="Times New Roman"/>
          <w:sz w:val="20"/>
        </w:rPr>
        <w:t>）</w:t>
      </w:r>
    </w:p>
    <w:p w:rsidR="003F0E13" w:rsidRDefault="00AA120F" w:rsidP="00923FB1">
      <w:pPr>
        <w:ind w:leftChars="300" w:left="720"/>
        <w:jc w:val="both"/>
        <w:rPr>
          <w:rFonts w:ascii="Times New Roman" w:hAnsi="Times New Roman"/>
        </w:rPr>
      </w:pPr>
      <w:r w:rsidRPr="00DA3BC7">
        <w:rPr>
          <w:rFonts w:ascii="Times New Roman" w:hAnsi="Times New Roman"/>
        </w:rPr>
        <w:lastRenderedPageBreak/>
        <w:t>此三句，或分為四句：（一）色不即我，（二）不離我，</w:t>
      </w:r>
    </w:p>
    <w:p w:rsidR="00AA120F" w:rsidRPr="00DA3BC7" w:rsidRDefault="00AA120F" w:rsidP="00923FB1">
      <w:pPr>
        <w:ind w:leftChars="1250" w:left="3000"/>
        <w:jc w:val="both"/>
        <w:rPr>
          <w:rFonts w:ascii="Times New Roman" w:hAnsi="Times New Roman"/>
        </w:rPr>
      </w:pPr>
      <w:r w:rsidRPr="00DA3BC7">
        <w:rPr>
          <w:rFonts w:ascii="Times New Roman" w:hAnsi="Times New Roman"/>
        </w:rPr>
        <w:t>（三）色不在我中，（四）我不在色中。</w:t>
      </w:r>
      <w:r w:rsidRPr="00DA3BC7">
        <w:rPr>
          <w:rStyle w:val="a6"/>
          <w:rFonts w:ascii="Times New Roman" w:hAnsi="Times New Roman"/>
        </w:rPr>
        <w:footnoteReference w:id="1070"/>
      </w:r>
    </w:p>
    <w:p w:rsidR="00AA120F" w:rsidRPr="00DA3BC7" w:rsidRDefault="00AA120F" w:rsidP="00AE3920">
      <w:pPr>
        <w:spacing w:beforeLines="20"/>
        <w:ind w:leftChars="300" w:left="720"/>
        <w:jc w:val="both"/>
        <w:rPr>
          <w:rFonts w:ascii="Times New Roman" w:hAnsi="Times New Roman"/>
        </w:rPr>
      </w:pPr>
      <w:r w:rsidRPr="00DA3BC7">
        <w:rPr>
          <w:rFonts w:ascii="Times New Roman" w:hAnsi="Times New Roman"/>
        </w:rPr>
        <w:t>一是我見；後三是我所見。約五蘊說，即成為二十種我我所見。</w:t>
      </w:r>
    </w:p>
    <w:p w:rsidR="00AA120F" w:rsidRPr="00DA3BC7" w:rsidRDefault="00C80BF3" w:rsidP="00AE3920">
      <w:pPr>
        <w:spacing w:beforeLines="30"/>
        <w:ind w:leftChars="250" w:left="600"/>
        <w:jc w:val="both"/>
        <w:rPr>
          <w:rFonts w:ascii="Times New Roman" w:hAnsi="Times New Roman"/>
          <w:sz w:val="20"/>
        </w:rPr>
      </w:pPr>
      <w:r w:rsidRPr="00C80BF3">
        <w:rPr>
          <w:rFonts w:ascii="Times New Roman" w:hAnsi="Times New Roman" w:hint="eastAsia"/>
          <w:b/>
          <w:color w:val="FF0000"/>
          <w:sz w:val="20"/>
          <w:szCs w:val="20"/>
          <w:highlight w:val="yellow"/>
          <w:bdr w:val="single" w:sz="4" w:space="0" w:color="auto"/>
        </w:rPr>
        <w:t>（</w:t>
      </w:r>
      <w:r w:rsidRPr="00C80BF3">
        <w:rPr>
          <w:rFonts w:ascii="Times New Roman" w:hAnsi="Times New Roman" w:hint="eastAsia"/>
          <w:b/>
          <w:color w:val="FF0000"/>
          <w:sz w:val="20"/>
          <w:szCs w:val="20"/>
          <w:highlight w:val="yellow"/>
          <w:bdr w:val="single" w:sz="4" w:space="0" w:color="auto"/>
        </w:rPr>
        <w:t>2</w:t>
      </w:r>
      <w:r w:rsidRPr="00C80BF3">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《中論》之傳──</w:t>
      </w:r>
      <w:r w:rsidR="00AA120F" w:rsidRPr="00DA3BC7">
        <w:rPr>
          <w:rFonts w:ascii="Times New Roman" w:hAnsi="Times New Roman" w:hint="eastAsia"/>
          <w:b/>
          <w:sz w:val="20"/>
          <w:szCs w:val="20"/>
          <w:bdr w:val="single" w:sz="4" w:space="0" w:color="auto"/>
        </w:rPr>
        <w:t>五求門</w:t>
      </w:r>
      <w:r w:rsidR="00AA120F" w:rsidRPr="00DA3BC7">
        <w:rPr>
          <w:rFonts w:ascii="Times New Roman" w:hAnsi="Times New Roman"/>
          <w:sz w:val="20"/>
        </w:rPr>
        <w:t>（</w:t>
      </w:r>
      <w:r w:rsidR="00AA120F" w:rsidRPr="00DA3BC7">
        <w:rPr>
          <w:rFonts w:ascii="Times New Roman" w:hAnsi="Times New Roman"/>
          <w:sz w:val="20"/>
        </w:rPr>
        <w:t>p.</w:t>
      </w:r>
      <w:r w:rsidR="00AA120F" w:rsidRPr="00DA3BC7">
        <w:rPr>
          <w:rFonts w:ascii="Times New Roman" w:eastAsia="SimSun" w:hAnsi="Times New Roman"/>
          <w:sz w:val="20"/>
        </w:rPr>
        <w:t>24</w:t>
      </w:r>
      <w:r w:rsidR="00AA120F" w:rsidRPr="00DA3BC7">
        <w:rPr>
          <w:rFonts w:ascii="Times New Roman" w:hAnsi="Times New Roman" w:hint="eastAsia"/>
          <w:sz w:val="20"/>
        </w:rPr>
        <w:t>8</w:t>
      </w:r>
      <w:r w:rsidR="00AA120F" w:rsidRPr="00DA3BC7">
        <w:rPr>
          <w:rFonts w:ascii="Times New Roman" w:hAnsi="Times New Roman"/>
          <w:sz w:val="20"/>
        </w:rPr>
        <w:t>）</w:t>
      </w:r>
    </w:p>
    <w:p w:rsidR="00AA120F" w:rsidRPr="00DA3BC7" w:rsidRDefault="00AA120F" w:rsidP="00AC3486">
      <w:pPr>
        <w:ind w:leftChars="250" w:left="600"/>
        <w:jc w:val="both"/>
        <w:rPr>
          <w:rFonts w:ascii="新細明體" w:hAnsi="新細明體"/>
        </w:rPr>
      </w:pPr>
      <w:r w:rsidRPr="00DA3BC7">
        <w:rPr>
          <w:rFonts w:ascii="Times New Roman" w:hAnsi="Times New Roman"/>
        </w:rPr>
        <w:t>《中論》多用五求破，即於四句外更加一句：色不屬於我。</w:t>
      </w:r>
      <w:r w:rsidRPr="00DA3BC7">
        <w:rPr>
          <w:rStyle w:val="a6"/>
          <w:rFonts w:ascii="Times New Roman" w:hAnsi="Times New Roman"/>
        </w:rPr>
        <w:footnoteReference w:id="1071"/>
      </w:r>
      <w:r w:rsidRPr="00DA3BC7">
        <w:rPr>
          <w:rFonts w:ascii="Times New Roman" w:hAnsi="Times New Roman"/>
        </w:rPr>
        <w:t>有的眾生，執著</w:t>
      </w:r>
      <w:r w:rsidRPr="00DA3BC7">
        <w:rPr>
          <w:rFonts w:ascii="新細明體" w:hAnsi="新細明體"/>
        </w:rPr>
        <w:t>色──或受乃至識──屬於我，也即為我所有的。</w:t>
      </w:r>
    </w:p>
    <w:p w:rsidR="00AA120F" w:rsidRPr="00DA3BC7" w:rsidRDefault="00AA120F" w:rsidP="00AE3920">
      <w:pPr>
        <w:spacing w:beforeLines="20"/>
        <w:ind w:leftChars="250" w:left="600"/>
        <w:jc w:val="both"/>
        <w:rPr>
          <w:rFonts w:ascii="Times New Roman" w:hAnsi="Times New Roman"/>
        </w:rPr>
      </w:pPr>
      <w:r w:rsidRPr="00DA3BC7">
        <w:rPr>
          <w:rFonts w:ascii="新細明體" w:hAnsi="新細明體"/>
        </w:rPr>
        <w:t>這不過因眾生的執著，建立種種破除</w:t>
      </w:r>
      <w:r w:rsidRPr="00DA3BC7">
        <w:rPr>
          <w:rFonts w:ascii="Times New Roman" w:hAnsi="Times New Roman"/>
        </w:rPr>
        <w:t>我執的觀門。</w:t>
      </w:r>
    </w:p>
    <w:p w:rsidR="00AA120F" w:rsidRPr="00DA3BC7" w:rsidRDefault="00C80BF3" w:rsidP="00AE3920">
      <w:pPr>
        <w:spacing w:beforeLines="30"/>
        <w:ind w:leftChars="250" w:left="600"/>
        <w:jc w:val="both"/>
        <w:rPr>
          <w:rFonts w:ascii="Times New Roman" w:hAnsi="Times New Roman"/>
          <w:sz w:val="20"/>
        </w:rPr>
      </w:pPr>
      <w:r w:rsidRPr="00C80BF3">
        <w:rPr>
          <w:rFonts w:ascii="Times New Roman" w:hAnsi="Times New Roman" w:hint="eastAsia"/>
          <w:b/>
          <w:color w:val="FF0000"/>
          <w:sz w:val="20"/>
          <w:szCs w:val="20"/>
          <w:highlight w:val="yellow"/>
          <w:bdr w:val="single" w:sz="4" w:space="0" w:color="auto"/>
        </w:rPr>
        <w:t>（</w:t>
      </w:r>
      <w:r w:rsidRPr="00C80BF3">
        <w:rPr>
          <w:rFonts w:ascii="Times New Roman" w:hAnsi="Times New Roman" w:hint="eastAsia"/>
          <w:b/>
          <w:color w:val="FF0000"/>
          <w:sz w:val="20"/>
          <w:szCs w:val="20"/>
          <w:highlight w:val="yellow"/>
          <w:bdr w:val="single" w:sz="4" w:space="0" w:color="auto"/>
        </w:rPr>
        <w:t>3</w:t>
      </w:r>
      <w:r w:rsidRPr="00C80BF3">
        <w:rPr>
          <w:rFonts w:ascii="Times New Roman" w:hAnsi="Times New Roman" w:hint="eastAsia"/>
          <w:b/>
          <w:color w:val="FF0000"/>
          <w:sz w:val="20"/>
          <w:szCs w:val="20"/>
          <w:highlight w:val="yellow"/>
          <w:bdr w:val="single" w:sz="4" w:space="0" w:color="auto"/>
        </w:rPr>
        <w:t>）月稱之傳──</w:t>
      </w:r>
      <w:r w:rsidR="00AA120F" w:rsidRPr="00DA3BC7">
        <w:rPr>
          <w:rFonts w:ascii="Times New Roman" w:hAnsi="Times New Roman"/>
          <w:b/>
          <w:sz w:val="20"/>
          <w:szCs w:val="20"/>
          <w:bdr w:val="single" w:sz="4" w:space="0" w:color="auto"/>
        </w:rPr>
        <w:t>七法</w:t>
      </w:r>
      <w:r w:rsidR="00AA120F" w:rsidRPr="00DA3BC7">
        <w:rPr>
          <w:rFonts w:ascii="Times New Roman" w:hAnsi="Times New Roman" w:hint="eastAsia"/>
          <w:b/>
          <w:sz w:val="20"/>
          <w:szCs w:val="20"/>
          <w:bdr w:val="single" w:sz="4" w:space="0" w:color="auto"/>
        </w:rPr>
        <w:t>觀</w:t>
      </w:r>
      <w:r w:rsidR="00AA120F" w:rsidRPr="00DA3BC7">
        <w:rPr>
          <w:rFonts w:ascii="Times New Roman" w:hAnsi="Times New Roman"/>
          <w:sz w:val="20"/>
        </w:rPr>
        <w:t>（</w:t>
      </w:r>
      <w:r w:rsidR="00AA120F" w:rsidRPr="00DA3BC7">
        <w:rPr>
          <w:rFonts w:ascii="Times New Roman" w:hAnsi="Times New Roman"/>
          <w:sz w:val="20"/>
        </w:rPr>
        <w:t>pp.248-249</w:t>
      </w:r>
      <w:r w:rsidR="00AA120F" w:rsidRPr="00DA3BC7">
        <w:rPr>
          <w:rFonts w:ascii="Times New Roman" w:hAnsi="Times New Roman"/>
          <w:sz w:val="20"/>
        </w:rPr>
        <w:t>）</w:t>
      </w:r>
    </w:p>
    <w:p w:rsidR="00C80BF3" w:rsidRDefault="00C80BF3" w:rsidP="00AC3486">
      <w:pPr>
        <w:ind w:leftChars="300" w:left="720"/>
        <w:jc w:val="both"/>
        <w:rPr>
          <w:rFonts w:ascii="Times New Roman" w:hAnsi="Times New Roman"/>
          <w:b/>
          <w:color w:val="FF0000"/>
          <w:sz w:val="20"/>
          <w:szCs w:val="20"/>
          <w:bdr w:val="single" w:sz="4" w:space="0" w:color="auto"/>
        </w:rPr>
      </w:pPr>
      <w:r w:rsidRPr="00C80BF3">
        <w:rPr>
          <w:rFonts w:ascii="Times New Roman" w:hAnsi="Times New Roman" w:hint="eastAsia"/>
          <w:b/>
          <w:color w:val="FF0000"/>
          <w:sz w:val="20"/>
          <w:szCs w:val="20"/>
          <w:highlight w:val="yellow"/>
          <w:bdr w:val="single" w:sz="4" w:space="0" w:color="auto"/>
        </w:rPr>
        <w:lastRenderedPageBreak/>
        <w:t>A</w:t>
      </w:r>
      <w:r w:rsidRPr="00C80BF3">
        <w:rPr>
          <w:rFonts w:ascii="Times New Roman" w:hAnsi="Times New Roman" w:hint="eastAsia"/>
          <w:b/>
          <w:color w:val="FF0000"/>
          <w:sz w:val="20"/>
          <w:szCs w:val="20"/>
          <w:highlight w:val="yellow"/>
          <w:bdr w:val="single" w:sz="4" w:space="0" w:color="auto"/>
        </w:rPr>
        <w:t>、敘觀法</w:t>
      </w:r>
      <w:r w:rsidRPr="00DA3BC7">
        <w:rPr>
          <w:rFonts w:ascii="Times New Roman" w:hAnsi="Times New Roman"/>
          <w:sz w:val="20"/>
        </w:rPr>
        <w:t>（</w:t>
      </w:r>
      <w:r w:rsidRPr="00DA3BC7">
        <w:rPr>
          <w:rFonts w:ascii="Times New Roman" w:hAnsi="Times New Roman"/>
          <w:sz w:val="20"/>
        </w:rPr>
        <w:t>pp.248-249</w:t>
      </w:r>
      <w:r w:rsidRPr="00DA3BC7">
        <w:rPr>
          <w:rFonts w:ascii="Times New Roman" w:hAnsi="Times New Roman"/>
          <w:sz w:val="20"/>
        </w:rPr>
        <w:t>）（</w:t>
      </w:r>
      <w:r w:rsidRPr="00DA3BC7">
        <w:rPr>
          <w:rFonts w:ascii="Times New Roman" w:hAnsi="Times New Roman"/>
          <w:sz w:val="20"/>
        </w:rPr>
        <w:t>p.248</w:t>
      </w:r>
      <w:r w:rsidRPr="00DA3BC7">
        <w:rPr>
          <w:rFonts w:ascii="Times New Roman" w:hAnsi="Times New Roman"/>
          <w:sz w:val="20"/>
        </w:rPr>
        <w:t>）</w:t>
      </w:r>
    </w:p>
    <w:p w:rsidR="00AA120F" w:rsidRPr="00DA3BC7" w:rsidRDefault="00C80BF3" w:rsidP="00AC3486">
      <w:pPr>
        <w:ind w:leftChars="350" w:left="840"/>
        <w:jc w:val="both"/>
        <w:rPr>
          <w:rFonts w:ascii="Times New Roman" w:hAnsi="Times New Roman"/>
        </w:rPr>
      </w:pPr>
      <w:r w:rsidRPr="00C80BF3">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A</w:t>
      </w:r>
      <w:r w:rsidRPr="00C80BF3">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總標</w:t>
      </w:r>
      <w:r w:rsidRPr="00DA3BC7">
        <w:rPr>
          <w:rFonts w:ascii="Times New Roman" w:hAnsi="Times New Roman"/>
          <w:sz w:val="20"/>
        </w:rPr>
        <w:t>（</w:t>
      </w:r>
      <w:r w:rsidRPr="00DA3BC7">
        <w:rPr>
          <w:rFonts w:ascii="Times New Roman" w:hAnsi="Times New Roman"/>
          <w:sz w:val="20"/>
        </w:rPr>
        <w:t>p.248</w:t>
      </w:r>
      <w:r w:rsidRPr="00DA3BC7">
        <w:rPr>
          <w:rFonts w:ascii="Times New Roman" w:hAnsi="Times New Roman"/>
          <w:sz w:val="20"/>
        </w:rPr>
        <w:t>）</w:t>
      </w:r>
    </w:p>
    <w:p w:rsidR="00AA120F" w:rsidRPr="00DA3BC7" w:rsidRDefault="00AA120F" w:rsidP="00AC3486">
      <w:pPr>
        <w:ind w:leftChars="350" w:left="840"/>
        <w:jc w:val="both"/>
        <w:rPr>
          <w:rFonts w:ascii="Times New Roman" w:hAnsi="Times New Roman"/>
        </w:rPr>
      </w:pPr>
      <w:r w:rsidRPr="00DA3BC7">
        <w:rPr>
          <w:rFonts w:ascii="Times New Roman" w:hAnsi="Times New Roman"/>
        </w:rPr>
        <w:t>月稱論師，更增加到以七法觀我空</w:t>
      </w:r>
      <w:r w:rsidRPr="00DA3BC7">
        <w:rPr>
          <w:rFonts w:ascii="Times New Roman" w:hAnsi="Times New Roman" w:hint="eastAsia"/>
        </w:rPr>
        <w:t>，</w:t>
      </w:r>
      <w:r w:rsidRPr="00DA3BC7">
        <w:rPr>
          <w:rFonts w:ascii="Times New Roman" w:hAnsi="Times New Roman"/>
        </w:rPr>
        <w:t>即</w:t>
      </w:r>
      <w:r w:rsidRPr="00DA3BC7">
        <w:rPr>
          <w:rFonts w:ascii="Times New Roman" w:hAnsi="Times New Roman" w:hint="eastAsia"/>
        </w:rPr>
        <w:t>：</w:t>
      </w:r>
      <w:r w:rsidRPr="00DA3BC7">
        <w:rPr>
          <w:rFonts w:ascii="Times New Roman" w:hAnsi="Times New Roman"/>
        </w:rPr>
        <w:t>一、離、具支、依支、支依、支聚、形別。</w:t>
      </w:r>
      <w:r w:rsidRPr="00DA3BC7">
        <w:rPr>
          <w:rStyle w:val="a6"/>
          <w:rFonts w:ascii="Times New Roman" w:hAnsi="Times New Roman"/>
        </w:rPr>
        <w:footnoteReference w:id="1072"/>
      </w:r>
    </w:p>
    <w:p w:rsidR="00AA120F" w:rsidRPr="00DA3BC7" w:rsidRDefault="00C80BF3" w:rsidP="00AE3920">
      <w:pPr>
        <w:spacing w:beforeLines="30"/>
        <w:ind w:leftChars="350" w:left="840"/>
        <w:jc w:val="both"/>
        <w:rPr>
          <w:rFonts w:ascii="Times New Roman" w:hAnsi="Times New Roman"/>
        </w:rPr>
      </w:pPr>
      <w:r w:rsidRPr="00C80BF3">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B</w:t>
      </w:r>
      <w:r w:rsidRPr="00C80BF3">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別釋</w:t>
      </w:r>
      <w:r w:rsidR="00AA120F" w:rsidRPr="00DA3BC7">
        <w:rPr>
          <w:rFonts w:ascii="Times New Roman" w:hAnsi="Times New Roman"/>
          <w:sz w:val="20"/>
        </w:rPr>
        <w:t>（</w:t>
      </w:r>
      <w:r w:rsidR="00AA120F" w:rsidRPr="00DA3BC7">
        <w:rPr>
          <w:rFonts w:ascii="Times New Roman" w:hAnsi="Times New Roman"/>
          <w:sz w:val="20"/>
        </w:rPr>
        <w:t>pp.248-249</w:t>
      </w:r>
      <w:r w:rsidR="00AA120F" w:rsidRPr="00DA3BC7">
        <w:rPr>
          <w:rFonts w:ascii="Times New Roman" w:hAnsi="Times New Roman"/>
          <w:sz w:val="20"/>
        </w:rPr>
        <w:t>）</w:t>
      </w:r>
    </w:p>
    <w:p w:rsidR="00AA120F" w:rsidRPr="00DA3BC7" w:rsidRDefault="00AA120F" w:rsidP="00AC3486">
      <w:pPr>
        <w:ind w:leftChars="350" w:left="840"/>
        <w:jc w:val="both"/>
        <w:rPr>
          <w:rFonts w:eastAsia="SimSun"/>
        </w:rPr>
      </w:pPr>
      <w:r w:rsidRPr="00DA3BC7">
        <w:rPr>
          <w:rFonts w:hint="eastAsia"/>
          <w:b/>
        </w:rPr>
        <w:t>前五</w:t>
      </w:r>
      <w:r w:rsidRPr="00DA3BC7">
        <w:rPr>
          <w:rFonts w:hint="eastAsia"/>
        </w:rPr>
        <w:t>與即、離、相在、相屬大同，另加</w:t>
      </w:r>
      <w:r w:rsidRPr="00DA3BC7">
        <w:rPr>
          <w:rFonts w:hint="eastAsia"/>
          <w:b/>
        </w:rPr>
        <w:t>支聚</w:t>
      </w:r>
      <w:r w:rsidRPr="00DA3BC7">
        <w:rPr>
          <w:rFonts w:hint="eastAsia"/>
        </w:rPr>
        <w:t>與</w:t>
      </w:r>
      <w:r w:rsidRPr="00DA3BC7">
        <w:rPr>
          <w:rFonts w:hint="eastAsia"/>
          <w:b/>
        </w:rPr>
        <w:t>形別</w:t>
      </w:r>
      <w:r w:rsidRPr="00DA3BC7">
        <w:rPr>
          <w:rFonts w:hint="eastAsia"/>
        </w:rPr>
        <w:t>而成七。</w:t>
      </w:r>
    </w:p>
    <w:p w:rsidR="00AA120F" w:rsidRPr="00DA3BC7" w:rsidRDefault="00C80BF3" w:rsidP="00AE3920">
      <w:pPr>
        <w:spacing w:beforeLines="30"/>
        <w:ind w:leftChars="350" w:left="840"/>
        <w:jc w:val="both"/>
        <w:rPr>
          <w:rFonts w:eastAsia="SimSun"/>
        </w:rPr>
      </w:pPr>
      <w:r w:rsidRPr="00C80BF3">
        <w:rPr>
          <w:rFonts w:ascii="新細明體" w:hAnsi="新細明體" w:cs="新細明體" w:hint="eastAsia"/>
          <w:b/>
          <w:color w:val="FF0000"/>
          <w:sz w:val="20"/>
          <w:szCs w:val="20"/>
          <w:highlight w:val="yellow"/>
          <w:bdr w:val="single" w:sz="4" w:space="0" w:color="auto"/>
        </w:rPr>
        <w:t>◎</w:t>
      </w:r>
      <w:r w:rsidR="00AA120F" w:rsidRPr="00DA3BC7">
        <w:rPr>
          <w:rFonts w:ascii="新細明體" w:hAnsi="新細明體" w:hint="eastAsia"/>
          <w:b/>
          <w:sz w:val="20"/>
          <w:szCs w:val="20"/>
          <w:bdr w:val="single" w:sz="4" w:space="0" w:color="auto"/>
        </w:rPr>
        <w:t>支聚</w:t>
      </w:r>
      <w:r w:rsidR="00AA120F" w:rsidRPr="00DA3BC7">
        <w:rPr>
          <w:rFonts w:ascii="Times Ext Roman" w:hAnsi="Times Ext Roman" w:cs="Times Ext Roman" w:hint="eastAsia"/>
          <w:sz w:val="20"/>
        </w:rPr>
        <w:t>（</w:t>
      </w:r>
      <w:r w:rsidR="00AA120F" w:rsidRPr="00DA3BC7">
        <w:rPr>
          <w:rFonts w:ascii="Times New Roman" w:hAnsi="Times New Roman" w:hint="eastAsia"/>
          <w:sz w:val="20"/>
        </w:rPr>
        <w:t>pp.</w:t>
      </w:r>
      <w:r w:rsidR="00AA120F" w:rsidRPr="00DA3BC7">
        <w:rPr>
          <w:rFonts w:ascii="Times New Roman" w:eastAsia="SimSun" w:hAnsi="Times New Roman" w:hint="eastAsia"/>
          <w:sz w:val="20"/>
        </w:rPr>
        <w:t>248-249</w:t>
      </w:r>
      <w:r w:rsidR="00AA120F" w:rsidRPr="00DA3BC7">
        <w:rPr>
          <w:rFonts w:ascii="Times Ext Roman" w:hAnsi="Times Ext Roman" w:cs="Times Ext Roman" w:hint="eastAsia"/>
          <w:sz w:val="20"/>
        </w:rPr>
        <w:t>）</w:t>
      </w:r>
    </w:p>
    <w:p w:rsidR="00AA120F" w:rsidRPr="00DA3BC7" w:rsidRDefault="00AA120F" w:rsidP="00AC3486">
      <w:pPr>
        <w:ind w:leftChars="350" w:left="840"/>
        <w:jc w:val="both"/>
        <w:rPr>
          <w:rFonts w:eastAsia="SimSun"/>
        </w:rPr>
      </w:pPr>
      <w:r w:rsidRPr="00DA3BC7">
        <w:rPr>
          <w:rFonts w:hint="eastAsia"/>
        </w:rPr>
        <w:t>我，並不是眼等的聚積，聚是假合不實在的，不能說聚是我。聚法有多種，如木、石、磚、瓦等隨便聚起來，不見得即成為屋；所以眾生於五蘊聚中，也不應執聚為我。</w:t>
      </w:r>
    </w:p>
    <w:p w:rsidR="00AA120F" w:rsidRPr="00DA3BC7" w:rsidRDefault="00C80BF3" w:rsidP="00AE3920">
      <w:pPr>
        <w:spacing w:beforeLines="30"/>
        <w:ind w:leftChars="350" w:left="840"/>
        <w:jc w:val="both"/>
        <w:rPr>
          <w:rFonts w:eastAsia="SimSun"/>
        </w:rPr>
      </w:pPr>
      <w:r w:rsidRPr="00C80BF3">
        <w:rPr>
          <w:rFonts w:ascii="新細明體" w:hAnsi="新細明體" w:cs="新細明體" w:hint="eastAsia"/>
          <w:b/>
          <w:color w:val="FF0000"/>
          <w:sz w:val="20"/>
          <w:szCs w:val="20"/>
          <w:highlight w:val="yellow"/>
          <w:bdr w:val="single" w:sz="4" w:space="0" w:color="auto"/>
        </w:rPr>
        <w:t>◎</w:t>
      </w:r>
      <w:r w:rsidR="00AA120F" w:rsidRPr="00DA3BC7">
        <w:rPr>
          <w:rFonts w:ascii="新細明體" w:hAnsi="新細明體" w:hint="eastAsia"/>
          <w:b/>
          <w:sz w:val="20"/>
          <w:szCs w:val="20"/>
          <w:bdr w:val="single" w:sz="4" w:space="0" w:color="auto"/>
        </w:rPr>
        <w:t>形別</w:t>
      </w:r>
      <w:r w:rsidR="00AA120F" w:rsidRPr="00DA3BC7">
        <w:rPr>
          <w:rFonts w:ascii="Times Ext Roman" w:hAnsi="Times Ext Roman" w:cs="Times Ext Roman" w:hint="eastAsia"/>
          <w:sz w:val="20"/>
        </w:rPr>
        <w:t>（</w:t>
      </w:r>
      <w:r w:rsidR="00AA120F" w:rsidRPr="00DA3BC7">
        <w:rPr>
          <w:rFonts w:ascii="Times New Roman" w:hAnsi="Times New Roman" w:hint="eastAsia"/>
          <w:sz w:val="20"/>
        </w:rPr>
        <w:t>p.</w:t>
      </w:r>
      <w:r w:rsidR="00AA120F" w:rsidRPr="00DA3BC7">
        <w:rPr>
          <w:rFonts w:ascii="Times New Roman" w:eastAsia="SimSun" w:hAnsi="Times New Roman" w:hint="eastAsia"/>
          <w:sz w:val="20"/>
        </w:rPr>
        <w:t>249</w:t>
      </w:r>
      <w:r w:rsidR="00AA120F" w:rsidRPr="00DA3BC7">
        <w:rPr>
          <w:rFonts w:ascii="Times Ext Roman" w:hAnsi="Times Ext Roman" w:cs="Times Ext Roman" w:hint="eastAsia"/>
          <w:sz w:val="20"/>
        </w:rPr>
        <w:t>）</w:t>
      </w:r>
    </w:p>
    <w:p w:rsidR="00AA120F" w:rsidRPr="00DA3BC7" w:rsidRDefault="00AA120F" w:rsidP="00AC3486">
      <w:pPr>
        <w:ind w:leftChars="350" w:left="840"/>
        <w:jc w:val="both"/>
        <w:rPr>
          <w:rFonts w:eastAsia="SimSun"/>
        </w:rPr>
      </w:pPr>
      <w:r w:rsidRPr="00DA3BC7">
        <w:rPr>
          <w:rFonts w:hint="eastAsia"/>
        </w:rPr>
        <w:t>於聚執我不成，於是又執形別是我；如說房子須依一定的分量、方式積聚，才成為屋子，故於此房屋的形態，建立為房屋。但眼等和合所</w:t>
      </w:r>
      <w:r w:rsidRPr="00DA3BC7">
        <w:rPr>
          <w:rFonts w:hint="eastAsia"/>
        </w:rPr>
        <w:lastRenderedPageBreak/>
        <w:t>成的形態差別，不過是假現，假現的形態，如何可以說是我？如以某種特定的形態為我；如失眼、缺足、斷手的殘廢者，豈不我即有所缺？如有實我，我是不應有變異差別的，故不能以形態為我。</w:t>
      </w:r>
    </w:p>
    <w:p w:rsidR="00AA120F" w:rsidRPr="00DA3BC7" w:rsidRDefault="00AA120F" w:rsidP="00AE3920">
      <w:pPr>
        <w:spacing w:beforeLines="30"/>
        <w:ind w:leftChars="350" w:left="840"/>
        <w:jc w:val="both"/>
        <w:rPr>
          <w:rFonts w:eastAsia="SimSun"/>
        </w:rPr>
      </w:pPr>
      <w:r w:rsidRPr="00C80BF3">
        <w:rPr>
          <w:rFonts w:ascii="Times New Roman" w:hAnsi="Times New Roman" w:hint="eastAsia"/>
          <w:b/>
          <w:color w:val="FF0000"/>
          <w:sz w:val="20"/>
          <w:szCs w:val="20"/>
          <w:highlight w:val="yellow"/>
          <w:bdr w:val="single" w:sz="4" w:space="0" w:color="auto"/>
        </w:rPr>
        <w:t>（</w:t>
      </w:r>
      <w:r w:rsidR="00C80BF3" w:rsidRPr="00C80BF3">
        <w:rPr>
          <w:rFonts w:ascii="Times New Roman" w:hAnsi="Times New Roman" w:hint="eastAsia"/>
          <w:b/>
          <w:color w:val="FF0000"/>
          <w:sz w:val="20"/>
          <w:szCs w:val="20"/>
          <w:highlight w:val="yellow"/>
          <w:bdr w:val="single" w:sz="4" w:space="0" w:color="auto"/>
        </w:rPr>
        <w:t>C</w:t>
      </w:r>
      <w:r w:rsidRPr="00C80BF3">
        <w:rPr>
          <w:rFonts w:ascii="Times New Roman" w:hAnsi="Times New Roman" w:hint="eastAsia"/>
          <w:b/>
          <w:color w:val="FF0000"/>
          <w:sz w:val="20"/>
          <w:szCs w:val="20"/>
          <w:highlight w:val="yellow"/>
          <w:bdr w:val="single" w:sz="4" w:space="0" w:color="auto"/>
        </w:rPr>
        <w:t>）</w:t>
      </w:r>
      <w:r w:rsidR="00C80BF3" w:rsidRPr="00C80BF3">
        <w:rPr>
          <w:rFonts w:ascii="新細明體" w:hAnsi="新細明體" w:hint="eastAsia"/>
          <w:b/>
          <w:color w:val="FF0000"/>
          <w:sz w:val="20"/>
          <w:szCs w:val="20"/>
          <w:highlight w:val="yellow"/>
          <w:bdr w:val="single" w:sz="4" w:space="0" w:color="auto"/>
        </w:rPr>
        <w:t>結義</w:t>
      </w:r>
      <w:r w:rsidRPr="00DA3BC7">
        <w:rPr>
          <w:rFonts w:ascii="Times Ext Roman" w:hAnsi="Times Ext Roman" w:cs="Times Ext Roman" w:hint="eastAsia"/>
          <w:sz w:val="20"/>
        </w:rPr>
        <w:t>（</w:t>
      </w:r>
      <w:r w:rsidRPr="00DA3BC7">
        <w:rPr>
          <w:rFonts w:ascii="Times New Roman" w:hAnsi="Times New Roman" w:hint="eastAsia"/>
          <w:sz w:val="20"/>
        </w:rPr>
        <w:t>p.</w:t>
      </w:r>
      <w:r w:rsidRPr="00DA3BC7">
        <w:rPr>
          <w:rFonts w:ascii="Times New Roman" w:eastAsia="SimSun" w:hAnsi="Times New Roman" w:hint="eastAsia"/>
          <w:sz w:val="20"/>
        </w:rPr>
        <w:t>249</w:t>
      </w:r>
      <w:r w:rsidRPr="00DA3BC7">
        <w:rPr>
          <w:rFonts w:ascii="Times Ext Roman" w:hAnsi="Times Ext Roman" w:cs="Times Ext Roman" w:hint="eastAsia"/>
          <w:sz w:val="20"/>
        </w:rPr>
        <w:t>）</w:t>
      </w:r>
    </w:p>
    <w:p w:rsidR="00AA120F" w:rsidRPr="00DA3BC7" w:rsidRDefault="00AA120F" w:rsidP="00AC3486">
      <w:pPr>
        <w:ind w:leftChars="350" w:left="840"/>
        <w:jc w:val="both"/>
        <w:rPr>
          <w:rFonts w:eastAsia="SimSun"/>
        </w:rPr>
      </w:pPr>
      <w:r w:rsidRPr="00DA3BC7">
        <w:rPr>
          <w:rFonts w:hint="eastAsia"/>
        </w:rPr>
        <w:t>月稱論師的七事觀我，是依經中所說的三觀、四門、五求推演而來。</w:t>
      </w:r>
    </w:p>
    <w:p w:rsidR="00C80BF3" w:rsidRPr="00DA3BC7" w:rsidRDefault="00C80BF3" w:rsidP="00AE3920">
      <w:pPr>
        <w:spacing w:beforeLines="30"/>
        <w:ind w:leftChars="300" w:left="720"/>
        <w:jc w:val="both"/>
        <w:rPr>
          <w:rFonts w:eastAsia="SimSun"/>
        </w:rPr>
      </w:pPr>
      <w:r>
        <w:rPr>
          <w:rFonts w:ascii="Times New Roman" w:hAnsi="Times New Roman" w:hint="eastAsia"/>
          <w:b/>
          <w:color w:val="FF0000"/>
          <w:sz w:val="20"/>
          <w:szCs w:val="20"/>
          <w:highlight w:val="yellow"/>
          <w:bdr w:val="single" w:sz="4" w:space="0" w:color="auto"/>
        </w:rPr>
        <w:t>B</w:t>
      </w:r>
      <w:r>
        <w:rPr>
          <w:rFonts w:ascii="Times New Roman" w:hAnsi="Times New Roman" w:hint="eastAsia"/>
          <w:b/>
          <w:color w:val="FF0000"/>
          <w:sz w:val="20"/>
          <w:szCs w:val="20"/>
          <w:highlight w:val="yellow"/>
          <w:bdr w:val="single" w:sz="4" w:space="0" w:color="auto"/>
        </w:rPr>
        <w:t>、</w:t>
      </w:r>
      <w:r w:rsidRPr="00C80BF3">
        <w:rPr>
          <w:rFonts w:ascii="新細明體" w:hAnsi="新細明體" w:hint="eastAsia"/>
          <w:b/>
          <w:color w:val="FF0000"/>
          <w:sz w:val="20"/>
          <w:szCs w:val="20"/>
          <w:highlight w:val="yellow"/>
          <w:bdr w:val="single" w:sz="4" w:space="0" w:color="auto"/>
        </w:rPr>
        <w:t>印順法師評判</w:t>
      </w:r>
      <w:r w:rsidRPr="00DA3BC7">
        <w:rPr>
          <w:rFonts w:ascii="Times Ext Roman" w:hAnsi="Times Ext Roman" w:cs="Times Ext Roman" w:hint="eastAsia"/>
          <w:sz w:val="20"/>
        </w:rPr>
        <w:t>（</w:t>
      </w:r>
      <w:r w:rsidRPr="00DA3BC7">
        <w:rPr>
          <w:rFonts w:ascii="Times New Roman" w:hAnsi="Times New Roman" w:hint="eastAsia"/>
          <w:sz w:val="20"/>
        </w:rPr>
        <w:t>pp.</w:t>
      </w:r>
      <w:r w:rsidRPr="00DA3BC7">
        <w:rPr>
          <w:rFonts w:ascii="Times New Roman" w:eastAsia="SimSun" w:hAnsi="Times New Roman" w:hint="eastAsia"/>
          <w:sz w:val="20"/>
        </w:rPr>
        <w:t>249-250</w:t>
      </w:r>
      <w:r w:rsidRPr="00DA3BC7">
        <w:rPr>
          <w:rFonts w:ascii="Times Ext Roman" w:hAnsi="Times Ext Roman" w:cs="Times Ext Roman" w:hint="eastAsia"/>
          <w:sz w:val="20"/>
        </w:rPr>
        <w:t>）</w:t>
      </w:r>
    </w:p>
    <w:p w:rsidR="00AA120F" w:rsidRPr="00DA3BC7" w:rsidRDefault="00AA120F" w:rsidP="00AC3486">
      <w:pPr>
        <w:ind w:leftChars="300" w:left="720"/>
        <w:jc w:val="both"/>
        <w:rPr>
          <w:rFonts w:eastAsia="SimSun"/>
        </w:rPr>
      </w:pPr>
      <w:r w:rsidRPr="00DA3BC7">
        <w:rPr>
          <w:rFonts w:hint="eastAsia"/>
        </w:rPr>
        <w:t>月稱論師以觀車為比喻，說明觀蘊無我。在說明無我即無我所時，月稱以燒車為喻，如說燒車，不但車不可得，車所依的輪軸等也即不可得。</w:t>
      </w:r>
      <w:r w:rsidRPr="00DA3BC7">
        <w:rPr>
          <w:rStyle w:val="a6"/>
          <w:rFonts w:ascii="Times New Roman" w:hAnsi="Times New Roman"/>
        </w:rPr>
        <w:footnoteReference w:id="1073"/>
      </w:r>
      <w:r w:rsidRPr="00DA3BC7">
        <w:rPr>
          <w:rFonts w:hint="eastAsia"/>
        </w:rPr>
        <w:t>這樣，我空，即我所依住的五蘊也空。</w:t>
      </w:r>
    </w:p>
    <w:p w:rsidR="00AA120F" w:rsidRPr="00DA3BC7" w:rsidRDefault="00AA120F" w:rsidP="00AE3920">
      <w:pPr>
        <w:spacing w:beforeLines="20"/>
        <w:ind w:leftChars="300" w:left="720"/>
        <w:jc w:val="both"/>
      </w:pPr>
      <w:r w:rsidRPr="00DA3BC7">
        <w:rPr>
          <w:rFonts w:hint="eastAsia"/>
        </w:rPr>
        <w:t>但這是不很善巧妥當的！試問：何不以拆車為喻？將輪、轅</w:t>
      </w:r>
      <w:r w:rsidRPr="00DA3BC7">
        <w:rPr>
          <w:rStyle w:val="a6"/>
          <w:rFonts w:ascii="Times New Roman" w:hAnsi="Times New Roman"/>
        </w:rPr>
        <w:footnoteReference w:id="1074"/>
      </w:r>
      <w:r w:rsidRPr="00DA3BC7">
        <w:rPr>
          <w:rFonts w:hint="eastAsia"/>
        </w:rPr>
        <w:t>等拆開來，車子是不存在了，可是輪、轅、柱等不能說也沒有。這樣，別觀五蘊而我不可得，哪裡能即此成立我所依的五蘊也空呢？</w:t>
      </w:r>
    </w:p>
    <w:p w:rsidR="00AA120F" w:rsidRPr="00DA3BC7" w:rsidRDefault="00AA120F" w:rsidP="00AE3920">
      <w:pPr>
        <w:spacing w:beforeLines="20"/>
        <w:ind w:leftChars="300" w:left="720"/>
        <w:jc w:val="both"/>
      </w:pPr>
      <w:r w:rsidRPr="00DA3BC7">
        <w:rPr>
          <w:rFonts w:hint="eastAsia"/>
        </w:rPr>
        <w:t>如依假有幻現說，此即非觀察自性所能破，假法是不可以破壞的。假有的車相，可以因拆離──因緣離散而不現；但焉能因此而沒有假有的輪、軸、轅相？</w:t>
      </w:r>
    </w:p>
    <w:p w:rsidR="00564C83" w:rsidRDefault="00AA120F" w:rsidP="00AE3920">
      <w:pPr>
        <w:spacing w:beforeLines="20"/>
        <w:ind w:leftChars="300" w:left="720"/>
        <w:jc w:val="both"/>
      </w:pPr>
      <w:r w:rsidRPr="00DA3BC7">
        <w:rPr>
          <w:rFonts w:hint="eastAsia"/>
        </w:rPr>
        <w:t>以車為喻而說我不可得，這是約不悟車為因緣的依存假有，所以從車</w:t>
      </w:r>
      <w:r w:rsidRPr="00DA3BC7">
        <w:rPr>
          <w:rFonts w:hint="eastAsia"/>
        </w:rPr>
        <w:lastRenderedPageBreak/>
        <w:t>的因緣離散而說車無實體可得。這是無車的實性，有假名的因緣。</w:t>
      </w:r>
    </w:p>
    <w:p w:rsidR="00AA120F" w:rsidRPr="00DA3BC7" w:rsidRDefault="00AA120F" w:rsidP="00AE3920">
      <w:pPr>
        <w:spacing w:beforeLines="20"/>
        <w:ind w:leftChars="300" w:left="720"/>
        <w:jc w:val="both"/>
      </w:pPr>
      <w:r w:rsidRPr="00DA3BC7">
        <w:rPr>
          <w:rFonts w:hint="eastAsia"/>
        </w:rPr>
        <w:t>《阿含經》以</w:t>
      </w:r>
      <w:r w:rsidRPr="00564C83">
        <w:rPr>
          <w:rFonts w:hint="eastAsia"/>
          <w:b/>
          <w:u w:val="wave" w:color="C00000"/>
        </w:rPr>
        <w:t>法有</w:t>
      </w:r>
      <w:r w:rsidRPr="00DA3BC7">
        <w:rPr>
          <w:rFonts w:hint="eastAsia"/>
        </w:rPr>
        <w:t>明</w:t>
      </w:r>
      <w:r w:rsidRPr="00564C83">
        <w:rPr>
          <w:rFonts w:hint="eastAsia"/>
          <w:b/>
          <w:u w:val="wave" w:color="C00000"/>
        </w:rPr>
        <w:t>我無</w:t>
      </w:r>
      <w:r w:rsidRPr="00DA3BC7">
        <w:rPr>
          <w:rFonts w:hint="eastAsia"/>
        </w:rPr>
        <w:t>，應作如此說。</w:t>
      </w:r>
    </w:p>
    <w:p w:rsidR="00AA120F" w:rsidRPr="00DA3BC7" w:rsidRDefault="00410699" w:rsidP="00AE3920">
      <w:pPr>
        <w:spacing w:beforeLines="30"/>
        <w:ind w:leftChars="200" w:left="480"/>
        <w:jc w:val="both"/>
        <w:rPr>
          <w:rFonts w:eastAsia="SimSun"/>
        </w:rPr>
      </w:pPr>
      <w:r>
        <w:rPr>
          <w:rFonts w:ascii="Times New Roman" w:hAnsi="Times New Roman" w:hint="eastAsia"/>
          <w:b/>
          <w:color w:val="FF0000"/>
          <w:sz w:val="20"/>
          <w:szCs w:val="20"/>
          <w:highlight w:val="yellow"/>
          <w:bdr w:val="single" w:sz="4" w:space="0" w:color="auto"/>
        </w:rPr>
        <w:t>3</w:t>
      </w:r>
      <w:r>
        <w:rPr>
          <w:rFonts w:ascii="Times New Roman" w:hAnsi="Times New Roman" w:hint="eastAsia"/>
          <w:b/>
          <w:color w:val="FF0000"/>
          <w:sz w:val="20"/>
          <w:szCs w:val="20"/>
          <w:highlight w:val="yellow"/>
          <w:bdr w:val="single" w:sz="4" w:space="0" w:color="auto"/>
        </w:rPr>
        <w:t>、</w:t>
      </w:r>
      <w:r w:rsidR="00AA120F" w:rsidRPr="00410699">
        <w:rPr>
          <w:rFonts w:ascii="Times New Roman" w:hAnsi="Times New Roman"/>
          <w:b/>
          <w:color w:val="FF0000"/>
          <w:sz w:val="20"/>
          <w:szCs w:val="20"/>
          <w:highlight w:val="yellow"/>
          <w:bdr w:val="single" w:sz="4" w:space="0" w:color="auto"/>
        </w:rPr>
        <w:t>結</w:t>
      </w:r>
      <w:r w:rsidRPr="00410699">
        <w:rPr>
          <w:rFonts w:ascii="Times New Roman" w:hAnsi="Times New Roman" w:hint="eastAsia"/>
          <w:b/>
          <w:color w:val="FF0000"/>
          <w:sz w:val="20"/>
          <w:szCs w:val="20"/>
          <w:highlight w:val="yellow"/>
          <w:bdr w:val="single" w:sz="4" w:space="0" w:color="auto"/>
        </w:rPr>
        <w:t>說</w:t>
      </w:r>
      <w:r>
        <w:rPr>
          <w:rFonts w:ascii="Times New Roman" w:hAnsi="Times New Roman" w:hint="eastAsia"/>
          <w:b/>
          <w:color w:val="FF0000"/>
          <w:sz w:val="20"/>
          <w:szCs w:val="20"/>
          <w:highlight w:val="yellow"/>
          <w:bdr w:val="single" w:sz="4" w:space="0" w:color="auto"/>
        </w:rPr>
        <w:t>：我空不執法，斷惑證涅槃</w:t>
      </w:r>
      <w:r w:rsidR="00AA120F" w:rsidRPr="00DA3BC7">
        <w:rPr>
          <w:rFonts w:ascii="Times Ext Roman" w:hAnsi="Times Ext Roman" w:cs="Times Ext Roman" w:hint="eastAsia"/>
          <w:sz w:val="20"/>
        </w:rPr>
        <w:t>（</w:t>
      </w:r>
      <w:r w:rsidR="00AA120F" w:rsidRPr="00DA3BC7">
        <w:rPr>
          <w:rFonts w:ascii="Times New Roman" w:hAnsi="Times New Roman" w:hint="eastAsia"/>
          <w:sz w:val="20"/>
        </w:rPr>
        <w:t>p.</w:t>
      </w:r>
      <w:r w:rsidR="00AA120F" w:rsidRPr="00DA3BC7">
        <w:rPr>
          <w:rFonts w:ascii="Times New Roman" w:eastAsia="SimSun" w:hAnsi="Times New Roman" w:hint="eastAsia"/>
          <w:sz w:val="20"/>
        </w:rPr>
        <w:t>250</w:t>
      </w:r>
      <w:r w:rsidR="00AA120F" w:rsidRPr="00DA3BC7">
        <w:rPr>
          <w:rFonts w:ascii="Times Ext Roman" w:hAnsi="Times Ext Roman" w:cs="Times Ext Roman" w:hint="eastAsia"/>
          <w:sz w:val="20"/>
        </w:rPr>
        <w:t>）</w:t>
      </w:r>
    </w:p>
    <w:p w:rsidR="00AA120F" w:rsidRPr="00DA3BC7" w:rsidRDefault="00AA120F" w:rsidP="00AC3486">
      <w:pPr>
        <w:ind w:leftChars="200" w:left="480"/>
        <w:jc w:val="both"/>
      </w:pPr>
      <w:r w:rsidRPr="00DA3BC7">
        <w:rPr>
          <w:rFonts w:hint="eastAsia"/>
        </w:rPr>
        <w:t>不悟補特伽羅我假名有，起人我見，因而引起薩迦耶見，執我我所。</w:t>
      </w:r>
    </w:p>
    <w:p w:rsidR="00AA120F" w:rsidRPr="00DA3BC7" w:rsidRDefault="00AA120F" w:rsidP="00AC3486">
      <w:pPr>
        <w:ind w:leftChars="200" w:left="480"/>
        <w:jc w:val="both"/>
      </w:pPr>
      <w:r w:rsidRPr="00DA3BC7">
        <w:rPr>
          <w:rFonts w:hint="eastAsia"/>
        </w:rPr>
        <w:t>如能達補特伽羅我性空，即不起薩迦耶見，也自然不執我所依、我所取的我所。</w:t>
      </w:r>
    </w:p>
    <w:p w:rsidR="00AA120F" w:rsidRPr="00DA3BC7" w:rsidRDefault="00AA120F" w:rsidP="00AE3920">
      <w:pPr>
        <w:spacing w:beforeLines="20"/>
        <w:ind w:leftChars="200" w:left="480"/>
        <w:jc w:val="both"/>
      </w:pPr>
      <w:r w:rsidRPr="00DA3BC7">
        <w:rPr>
          <w:rFonts w:hint="eastAsia"/>
        </w:rPr>
        <w:t>約此意，所以不執我，法執──我所也就不起了。</w:t>
      </w:r>
    </w:p>
    <w:p w:rsidR="00AA120F" w:rsidRPr="00DA3BC7" w:rsidRDefault="00AA120F" w:rsidP="00AC3486">
      <w:pPr>
        <w:ind w:leftChars="200" w:left="480"/>
        <w:jc w:val="both"/>
        <w:rPr>
          <w:rFonts w:eastAsia="SimSun"/>
        </w:rPr>
      </w:pPr>
      <w:r w:rsidRPr="00DA3BC7">
        <w:rPr>
          <w:rFonts w:hint="eastAsia"/>
        </w:rPr>
        <w:t>不執我、法實有自性，實執破除，即不起煩惱、造業、受果，幻現的生死流轉，也即能寂滅。</w:t>
      </w:r>
    </w:p>
    <w:p w:rsidR="00AA120F" w:rsidRPr="00DA3BC7" w:rsidRDefault="004168C8" w:rsidP="00AE3920">
      <w:pPr>
        <w:spacing w:beforeLines="30"/>
        <w:ind w:leftChars="150" w:left="360"/>
        <w:jc w:val="both"/>
        <w:rPr>
          <w:rFonts w:ascii="Times Ext Roman" w:eastAsia="SimSun" w:hAnsi="Times Ext Roman" w:cs="Times Ext Roman"/>
          <w:sz w:val="20"/>
        </w:rPr>
      </w:pPr>
      <w:r w:rsidRPr="004168C8">
        <w:rPr>
          <w:rFonts w:ascii="Times New Roman" w:hAnsi="Times New Roman" w:hint="eastAsia"/>
          <w:b/>
          <w:color w:val="FF0000"/>
          <w:sz w:val="20"/>
          <w:szCs w:val="20"/>
          <w:highlight w:val="yellow"/>
          <w:bdr w:val="single" w:sz="4" w:space="0" w:color="auto"/>
        </w:rPr>
        <w:t>（二）</w:t>
      </w:r>
      <w:r w:rsidR="00AA120F" w:rsidRPr="00DA3BC7">
        <w:rPr>
          <w:rFonts w:ascii="新細明體" w:hAnsi="新細明體" w:hint="eastAsia"/>
          <w:b/>
          <w:sz w:val="20"/>
          <w:szCs w:val="20"/>
          <w:bdr w:val="single" w:sz="4" w:space="0" w:color="auto"/>
        </w:rPr>
        <w:t>觀</w:t>
      </w:r>
      <w:r w:rsidRPr="004168C8">
        <w:rPr>
          <w:rFonts w:ascii="新細明體" w:hAnsi="新細明體" w:hint="eastAsia"/>
          <w:b/>
          <w:color w:val="FF0000"/>
          <w:sz w:val="20"/>
          <w:szCs w:val="20"/>
          <w:highlight w:val="yellow"/>
          <w:bdr w:val="single" w:sz="4" w:space="0" w:color="auto"/>
        </w:rPr>
        <w:t>「</w:t>
      </w:r>
      <w:r w:rsidR="00AA120F" w:rsidRPr="00DA3BC7">
        <w:rPr>
          <w:rFonts w:ascii="新細明體" w:hAnsi="新細明體" w:hint="eastAsia"/>
          <w:b/>
          <w:sz w:val="20"/>
          <w:szCs w:val="20"/>
          <w:bdr w:val="single" w:sz="4" w:space="0" w:color="auto"/>
        </w:rPr>
        <w:t>法空</w:t>
      </w:r>
      <w:r w:rsidRPr="004168C8">
        <w:rPr>
          <w:rFonts w:ascii="新細明體" w:hAnsi="新細明體" w:hint="eastAsia"/>
          <w:b/>
          <w:color w:val="FF0000"/>
          <w:sz w:val="20"/>
          <w:szCs w:val="20"/>
          <w:highlight w:val="yellow"/>
          <w:bdr w:val="single" w:sz="4" w:space="0" w:color="auto"/>
        </w:rPr>
        <w:t>」</w:t>
      </w:r>
      <w:r w:rsidR="00AA120F" w:rsidRPr="00DA3BC7">
        <w:rPr>
          <w:rFonts w:ascii="Times Ext Roman" w:hAnsi="Times Ext Roman" w:cs="Times Ext Roman" w:hint="eastAsia"/>
          <w:sz w:val="20"/>
        </w:rPr>
        <w:t>（</w:t>
      </w:r>
      <w:r w:rsidR="00AA120F" w:rsidRPr="00DA3BC7">
        <w:rPr>
          <w:rFonts w:ascii="Times New Roman" w:hAnsi="Times New Roman" w:hint="eastAsia"/>
          <w:sz w:val="20"/>
        </w:rPr>
        <w:t>pp.</w:t>
      </w:r>
      <w:r w:rsidR="00AA120F" w:rsidRPr="00DA3BC7">
        <w:rPr>
          <w:rFonts w:ascii="Times New Roman" w:eastAsia="SimSun" w:hAnsi="Times New Roman" w:hint="eastAsia"/>
          <w:sz w:val="20"/>
        </w:rPr>
        <w:t>250</w:t>
      </w:r>
      <w:r w:rsidR="00AA120F" w:rsidRPr="00DA3BC7">
        <w:rPr>
          <w:rFonts w:ascii="Times New Roman" w:hAnsi="Times New Roman" w:hint="eastAsia"/>
          <w:sz w:val="20"/>
        </w:rPr>
        <w:t>-</w:t>
      </w:r>
      <w:r w:rsidR="00AA120F" w:rsidRPr="00DA3BC7">
        <w:rPr>
          <w:rFonts w:ascii="Times New Roman" w:eastAsia="SimSun" w:hAnsi="Times New Roman" w:hint="eastAsia"/>
          <w:sz w:val="20"/>
        </w:rPr>
        <w:t>252</w:t>
      </w:r>
      <w:r w:rsidR="00AA120F" w:rsidRPr="00DA3BC7">
        <w:rPr>
          <w:rFonts w:ascii="Times Ext Roman" w:hAnsi="Times Ext Roman" w:cs="Times Ext Roman" w:hint="eastAsia"/>
          <w:sz w:val="20"/>
        </w:rPr>
        <w:t>）</w:t>
      </w:r>
    </w:p>
    <w:p w:rsidR="00AA120F" w:rsidRPr="00DA3BC7" w:rsidRDefault="0044346D" w:rsidP="00AC3486">
      <w:pPr>
        <w:ind w:leftChars="200" w:left="480"/>
        <w:jc w:val="both"/>
        <w:rPr>
          <w:rFonts w:eastAsia="SimSun"/>
        </w:rPr>
      </w:pPr>
      <w:r w:rsidRPr="0044346D">
        <w:rPr>
          <w:rFonts w:ascii="Times New Roman" w:hAnsi="Times New Roman" w:hint="eastAsia"/>
          <w:b/>
          <w:color w:val="FF0000"/>
          <w:sz w:val="20"/>
          <w:szCs w:val="20"/>
          <w:highlight w:val="yellow"/>
          <w:bdr w:val="single" w:sz="4" w:space="0" w:color="auto"/>
        </w:rPr>
        <w:t>1</w:t>
      </w:r>
      <w:r w:rsidRPr="0044346D">
        <w:rPr>
          <w:rFonts w:ascii="Times New Roman" w:hAnsi="Times New Roman" w:hint="eastAsia"/>
          <w:b/>
          <w:color w:val="FF0000"/>
          <w:sz w:val="20"/>
          <w:szCs w:val="20"/>
          <w:highlight w:val="yellow"/>
          <w:bdr w:val="single" w:sz="4" w:space="0" w:color="auto"/>
        </w:rPr>
        <w:t>、明「修觀之理」──</w:t>
      </w:r>
      <w:r w:rsidR="00AA120F" w:rsidRPr="0044346D">
        <w:rPr>
          <w:rFonts w:ascii="新細明體" w:hAnsi="新細明體" w:hint="eastAsia"/>
          <w:b/>
          <w:color w:val="FF0000"/>
          <w:sz w:val="20"/>
          <w:szCs w:val="20"/>
          <w:highlight w:val="yellow"/>
          <w:bdr w:val="single" w:sz="4" w:space="0" w:color="auto"/>
        </w:rPr>
        <w:t>觀法無</w:t>
      </w:r>
      <w:r w:rsidRPr="0044346D">
        <w:rPr>
          <w:rFonts w:ascii="新細明體" w:hAnsi="新細明體" w:hint="eastAsia"/>
          <w:b/>
          <w:color w:val="FF0000"/>
          <w:sz w:val="20"/>
          <w:szCs w:val="20"/>
          <w:highlight w:val="yellow"/>
          <w:bdr w:val="single" w:sz="4" w:space="0" w:color="auto"/>
        </w:rPr>
        <w:t>實</w:t>
      </w:r>
      <w:r w:rsidR="00AA120F" w:rsidRPr="0044346D">
        <w:rPr>
          <w:rFonts w:ascii="新細明體" w:hAnsi="新細明體" w:hint="eastAsia"/>
          <w:b/>
          <w:color w:val="FF0000"/>
          <w:sz w:val="20"/>
          <w:szCs w:val="20"/>
          <w:highlight w:val="yellow"/>
          <w:bdr w:val="single" w:sz="4" w:space="0" w:color="auto"/>
        </w:rPr>
        <w:t>生</w:t>
      </w:r>
      <w:r w:rsidR="00AA120F" w:rsidRPr="00DA3BC7">
        <w:rPr>
          <w:rFonts w:ascii="Times Ext Roman" w:hAnsi="Times Ext Roman" w:cs="Times Ext Roman" w:hint="eastAsia"/>
          <w:sz w:val="20"/>
        </w:rPr>
        <w:t>（</w:t>
      </w:r>
      <w:r w:rsidR="00AA120F" w:rsidRPr="00DA3BC7">
        <w:rPr>
          <w:rFonts w:ascii="Times New Roman" w:hAnsi="Times New Roman" w:hint="eastAsia"/>
          <w:sz w:val="20"/>
        </w:rPr>
        <w:t>p.</w:t>
      </w:r>
      <w:r w:rsidR="00AA120F" w:rsidRPr="00DA3BC7">
        <w:rPr>
          <w:rFonts w:ascii="Times New Roman" w:eastAsia="SimSun" w:hAnsi="Times New Roman" w:hint="eastAsia"/>
          <w:sz w:val="20"/>
        </w:rPr>
        <w:t>250</w:t>
      </w:r>
      <w:r w:rsidR="00AA120F" w:rsidRPr="00DA3BC7">
        <w:rPr>
          <w:rFonts w:ascii="Times Ext Roman" w:hAnsi="Times Ext Roman" w:cs="Times Ext Roman" w:hint="eastAsia"/>
          <w:sz w:val="20"/>
        </w:rPr>
        <w:t>）</w:t>
      </w:r>
    </w:p>
    <w:p w:rsidR="00AA120F" w:rsidRPr="00DA3BC7" w:rsidRDefault="00AA120F" w:rsidP="00AC3486">
      <w:pPr>
        <w:ind w:leftChars="200" w:left="480"/>
        <w:jc w:val="both"/>
        <w:rPr>
          <w:rFonts w:eastAsia="SimSun"/>
        </w:rPr>
      </w:pPr>
      <w:r w:rsidRPr="00DA3BC7">
        <w:rPr>
          <w:rFonts w:hint="eastAsia"/>
        </w:rPr>
        <w:t>說到</w:t>
      </w:r>
      <w:r w:rsidRPr="00DA3BC7">
        <w:rPr>
          <w:rFonts w:hint="eastAsia"/>
          <w:b/>
        </w:rPr>
        <w:t>法空</w:t>
      </w:r>
      <w:r w:rsidRPr="00DA3BC7">
        <w:rPr>
          <w:rFonts w:hint="eastAsia"/>
        </w:rPr>
        <w:t>，觀一切法不可得，《中論》以</w:t>
      </w:r>
      <w:r w:rsidRPr="00DA3BC7">
        <w:rPr>
          <w:rFonts w:hint="eastAsia"/>
          <w:b/>
        </w:rPr>
        <w:t>觀察四生不可得</w:t>
      </w:r>
      <w:r w:rsidRPr="00DA3BC7">
        <w:rPr>
          <w:rFonts w:hint="eastAsia"/>
        </w:rPr>
        <w:t>為發端。</w:t>
      </w:r>
      <w:r w:rsidRPr="00DA3BC7">
        <w:rPr>
          <w:rStyle w:val="a6"/>
          <w:rFonts w:ascii="Times New Roman" w:hAnsi="Times New Roman"/>
        </w:rPr>
        <w:footnoteReference w:id="1075"/>
      </w:r>
      <w:r w:rsidRPr="00DA3BC7">
        <w:rPr>
          <w:rFonts w:hint="eastAsia"/>
        </w:rPr>
        <w:t>同時，</w:t>
      </w:r>
      <w:r w:rsidRPr="00DA3BC7">
        <w:rPr>
          <w:rFonts w:hint="eastAsia"/>
        </w:rPr>
        <w:lastRenderedPageBreak/>
        <w:t>菩薩（聲聞若斷若智，也是）悟證也名無生法忍。</w:t>
      </w:r>
      <w:r w:rsidRPr="00DA3BC7">
        <w:rPr>
          <w:rStyle w:val="a6"/>
          <w:rFonts w:ascii="Times New Roman" w:hAnsi="Times New Roman"/>
        </w:rPr>
        <w:footnoteReference w:id="1076"/>
      </w:r>
    </w:p>
    <w:p w:rsidR="00AA120F" w:rsidRPr="00DA3BC7" w:rsidRDefault="00AA120F" w:rsidP="00AC3486">
      <w:pPr>
        <w:ind w:leftChars="200" w:left="480"/>
        <w:jc w:val="both"/>
        <w:rPr>
          <w:rFonts w:eastAsia="SimSun"/>
        </w:rPr>
      </w:pPr>
      <w:r w:rsidRPr="00DA3BC7">
        <w:rPr>
          <w:rFonts w:hint="eastAsia"/>
        </w:rPr>
        <w:lastRenderedPageBreak/>
        <w:t>無生，即含得無滅。但大乘重在不生，即觀現前的諸法不生，由此可證法空。這也是從涅槃義引生得來，涅槃的寂滅義，生死的後有不起，得盡智、無生智</w:t>
      </w:r>
      <w:r w:rsidRPr="00DA3BC7">
        <w:rPr>
          <w:rStyle w:val="a6"/>
          <w:rFonts w:ascii="Times New Roman" w:hAnsi="Times New Roman"/>
        </w:rPr>
        <w:footnoteReference w:id="1077"/>
      </w:r>
      <w:r w:rsidRPr="00DA3BC7">
        <w:rPr>
          <w:rFonts w:hint="eastAsia"/>
        </w:rPr>
        <w:t>，也即得涅槃。</w:t>
      </w:r>
    </w:p>
    <w:p w:rsidR="00AA120F" w:rsidRPr="00DA3BC7" w:rsidRDefault="00AA120F" w:rsidP="00AE3920">
      <w:pPr>
        <w:spacing w:beforeLines="20"/>
        <w:ind w:leftChars="200" w:left="480"/>
        <w:jc w:val="both"/>
        <w:rPr>
          <w:rFonts w:eastAsia="SimSun"/>
        </w:rPr>
      </w:pPr>
      <w:r w:rsidRPr="00DA3BC7">
        <w:rPr>
          <w:rFonts w:hint="eastAsia"/>
        </w:rPr>
        <w:t>大乘達一切法本來自性涅槃，故通達無生，即知一切法本來不生。大乘重不生，而《中論》亦以四生為主要的觀門，如《中論》詳說。</w:t>
      </w:r>
      <w:r w:rsidR="00564C83" w:rsidRPr="00DA3BC7">
        <w:rPr>
          <w:rStyle w:val="a6"/>
          <w:rFonts w:ascii="Times New Roman" w:hAnsi="Times New Roman"/>
        </w:rPr>
        <w:footnoteReference w:id="1078"/>
      </w:r>
    </w:p>
    <w:p w:rsidR="00267A4E" w:rsidRDefault="00267A4E" w:rsidP="00AE3920">
      <w:pPr>
        <w:spacing w:beforeLines="30"/>
        <w:ind w:leftChars="200" w:left="480"/>
        <w:jc w:val="both"/>
        <w:rPr>
          <w:rFonts w:ascii="新細明體" w:hAnsi="新細明體"/>
          <w:b/>
          <w:sz w:val="20"/>
          <w:szCs w:val="20"/>
          <w:bdr w:val="single" w:sz="4" w:space="0" w:color="auto"/>
        </w:rPr>
      </w:pPr>
      <w:r w:rsidRPr="00267A4E">
        <w:rPr>
          <w:rFonts w:ascii="Times New Roman" w:hAnsi="Times New Roman" w:hint="eastAsia"/>
          <w:b/>
          <w:color w:val="FF0000"/>
          <w:sz w:val="20"/>
          <w:szCs w:val="20"/>
          <w:highlight w:val="yellow"/>
          <w:bdr w:val="single" w:sz="4" w:space="0" w:color="auto"/>
        </w:rPr>
        <w:t>2</w:t>
      </w:r>
      <w:r w:rsidRPr="00267A4E">
        <w:rPr>
          <w:rFonts w:ascii="Times New Roman" w:hAnsi="Times New Roman" w:hint="eastAsia"/>
          <w:b/>
          <w:color w:val="FF0000"/>
          <w:sz w:val="20"/>
          <w:szCs w:val="20"/>
          <w:highlight w:val="yellow"/>
          <w:bdr w:val="single" w:sz="4" w:space="0" w:color="auto"/>
        </w:rPr>
        <w:t>、論「修觀之法」</w:t>
      </w:r>
      <w:r>
        <w:rPr>
          <w:rFonts w:ascii="Times New Roman" w:hAnsi="Times New Roman" w:hint="eastAsia"/>
          <w:b/>
          <w:color w:val="FF0000"/>
          <w:sz w:val="20"/>
          <w:szCs w:val="20"/>
          <w:highlight w:val="yellow"/>
          <w:bdr w:val="single" w:sz="4" w:space="0" w:color="auto"/>
        </w:rPr>
        <w:t>──</w:t>
      </w:r>
      <w:r w:rsidRPr="00DA3BC7">
        <w:rPr>
          <w:rFonts w:ascii="新細明體" w:hAnsi="新細明體" w:hint="eastAsia"/>
          <w:b/>
          <w:sz w:val="20"/>
          <w:szCs w:val="20"/>
          <w:bdr w:val="single" w:sz="4" w:space="0" w:color="auto"/>
        </w:rPr>
        <w:t>無常觀、無我觀</w:t>
      </w:r>
      <w:r>
        <w:rPr>
          <w:rFonts w:ascii="Times Ext Roman" w:hAnsi="Times Ext Roman" w:cs="Times Ext Roman" w:hint="eastAsia"/>
          <w:sz w:val="20"/>
        </w:rPr>
        <w:t>（</w:t>
      </w:r>
      <w:r>
        <w:rPr>
          <w:rFonts w:ascii="Times New Roman" w:hAnsi="Times New Roman"/>
          <w:sz w:val="20"/>
        </w:rPr>
        <w:t>pp.</w:t>
      </w:r>
      <w:r>
        <w:rPr>
          <w:rFonts w:ascii="Times New Roman" w:eastAsia="SimSun" w:hAnsi="Times New Roman"/>
          <w:sz w:val="20"/>
        </w:rPr>
        <w:t>250-25</w:t>
      </w:r>
      <w:r w:rsidRPr="00267A4E">
        <w:rPr>
          <w:rFonts w:ascii="Times New Roman" w:eastAsiaTheme="minorEastAsia" w:hAnsi="Times New Roman" w:hint="eastAsia"/>
          <w:sz w:val="20"/>
        </w:rPr>
        <w:t>2</w:t>
      </w:r>
      <w:r>
        <w:rPr>
          <w:rFonts w:ascii="Times Ext Roman" w:hAnsi="Times Ext Roman" w:cs="Times Ext Roman" w:hint="eastAsia"/>
          <w:sz w:val="20"/>
        </w:rPr>
        <w:t>）</w:t>
      </w:r>
    </w:p>
    <w:p w:rsidR="00AA120F" w:rsidRPr="00DA3BC7" w:rsidRDefault="00AA120F" w:rsidP="00AC3486">
      <w:pPr>
        <w:ind w:leftChars="250" w:left="600"/>
        <w:jc w:val="both"/>
        <w:rPr>
          <w:rFonts w:eastAsia="SimSun"/>
        </w:rPr>
      </w:pPr>
      <w:r w:rsidRPr="00267A4E">
        <w:rPr>
          <w:rFonts w:ascii="Times New Roman" w:hAnsi="Times New Roman" w:hint="eastAsia"/>
          <w:b/>
          <w:color w:val="FF0000"/>
          <w:sz w:val="20"/>
          <w:szCs w:val="20"/>
          <w:highlight w:val="yellow"/>
          <w:bdr w:val="single" w:sz="4" w:space="0" w:color="auto"/>
        </w:rPr>
        <w:t>（</w:t>
      </w:r>
      <w:r w:rsidR="00267A4E" w:rsidRPr="00267A4E">
        <w:rPr>
          <w:rFonts w:ascii="Times New Roman" w:hAnsi="Times New Roman" w:hint="eastAsia"/>
          <w:b/>
          <w:color w:val="FF0000"/>
          <w:sz w:val="20"/>
          <w:szCs w:val="20"/>
          <w:highlight w:val="yellow"/>
          <w:bdr w:val="single" w:sz="4" w:space="0" w:color="auto"/>
        </w:rPr>
        <w:t>1</w:t>
      </w:r>
      <w:r w:rsidRPr="00267A4E">
        <w:rPr>
          <w:rFonts w:ascii="Times New Roman" w:hAnsi="Times New Roman" w:hint="eastAsia"/>
          <w:b/>
          <w:color w:val="FF0000"/>
          <w:sz w:val="20"/>
          <w:szCs w:val="20"/>
          <w:highlight w:val="yellow"/>
          <w:bdr w:val="single" w:sz="4" w:space="0" w:color="auto"/>
        </w:rPr>
        <w:t>）</w:t>
      </w:r>
      <w:r w:rsidR="00267A4E" w:rsidRPr="00267A4E">
        <w:rPr>
          <w:rFonts w:ascii="Times New Roman" w:hAnsi="Times New Roman" w:hint="eastAsia"/>
          <w:b/>
          <w:color w:val="FF0000"/>
          <w:sz w:val="20"/>
          <w:szCs w:val="20"/>
          <w:highlight w:val="yellow"/>
          <w:bdr w:val="single" w:sz="4" w:space="0" w:color="auto"/>
        </w:rPr>
        <w:t>正述二門</w:t>
      </w:r>
      <w:r w:rsidRPr="00DA3BC7">
        <w:rPr>
          <w:rFonts w:ascii="Times Ext Roman" w:hAnsi="Times Ext Roman" w:cs="Times Ext Roman" w:hint="eastAsia"/>
          <w:sz w:val="20"/>
        </w:rPr>
        <w:t>（</w:t>
      </w:r>
      <w:r w:rsidRPr="00DA3BC7">
        <w:rPr>
          <w:rFonts w:ascii="Times New Roman" w:hAnsi="Times New Roman" w:hint="eastAsia"/>
          <w:sz w:val="20"/>
        </w:rPr>
        <w:t>pp.</w:t>
      </w:r>
      <w:r w:rsidRPr="00DA3BC7">
        <w:rPr>
          <w:rFonts w:ascii="Times New Roman" w:eastAsia="SimSun" w:hAnsi="Times New Roman" w:hint="eastAsia"/>
          <w:sz w:val="20"/>
        </w:rPr>
        <w:t>250-251</w:t>
      </w:r>
      <w:r w:rsidRPr="00DA3BC7">
        <w:rPr>
          <w:rFonts w:ascii="Times Ext Roman" w:hAnsi="Times Ext Roman" w:cs="Times Ext Roman" w:hint="eastAsia"/>
          <w:sz w:val="20"/>
        </w:rPr>
        <w:t>）</w:t>
      </w:r>
    </w:p>
    <w:p w:rsidR="00AA120F" w:rsidRPr="00DA3BC7" w:rsidRDefault="00AA120F" w:rsidP="00AC3486">
      <w:pPr>
        <w:ind w:leftChars="250" w:left="600"/>
        <w:jc w:val="both"/>
      </w:pPr>
      <w:r w:rsidRPr="00DA3BC7">
        <w:rPr>
          <w:rFonts w:hint="eastAsia"/>
        </w:rPr>
        <w:t>觀察諸法空無生性，即尋求法的自性不可得。自性以</w:t>
      </w:r>
      <w:r w:rsidRPr="00DA3BC7">
        <w:rPr>
          <w:rFonts w:hint="eastAsia"/>
          <w:b/>
        </w:rPr>
        <w:t>實在性</w:t>
      </w:r>
      <w:r w:rsidRPr="00DA3BC7">
        <w:rPr>
          <w:rFonts w:hint="eastAsia"/>
        </w:rPr>
        <w:t>為根本，而含攝得</w:t>
      </w:r>
      <w:r w:rsidRPr="00DA3BC7">
        <w:rPr>
          <w:rFonts w:hint="eastAsia"/>
          <w:b/>
        </w:rPr>
        <w:t>不變性、獨存性</w:t>
      </w:r>
      <w:r w:rsidRPr="00DA3BC7">
        <w:rPr>
          <w:rFonts w:hint="eastAsia"/>
        </w:rPr>
        <w:t>。所以觀察法空無生，也應</w:t>
      </w:r>
      <w:r w:rsidRPr="00DA3BC7">
        <w:rPr>
          <w:rFonts w:hint="eastAsia"/>
          <w:b/>
        </w:rPr>
        <w:t>從無常性、無我性而觀非實有性，即能入空無生性</w:t>
      </w:r>
      <w:r w:rsidRPr="00DA3BC7">
        <w:rPr>
          <w:rFonts w:hint="eastAsia"/>
        </w:rPr>
        <w:t>。</w:t>
      </w:r>
    </w:p>
    <w:p w:rsidR="00AA120F" w:rsidRPr="00DA3BC7" w:rsidRDefault="00AA120F" w:rsidP="00AE3920">
      <w:pPr>
        <w:spacing w:beforeLines="20"/>
        <w:ind w:leftChars="250" w:left="600"/>
        <w:jc w:val="both"/>
        <w:rPr>
          <w:rFonts w:eastAsia="SimSun"/>
        </w:rPr>
      </w:pPr>
      <w:r w:rsidRPr="00DA3BC7">
        <w:rPr>
          <w:rFonts w:hint="eastAsia"/>
          <w:b/>
        </w:rPr>
        <w:t>觀察自性不可得的下手方法</w:t>
      </w:r>
      <w:r w:rsidRPr="00DA3BC7">
        <w:rPr>
          <w:rFonts w:hint="eastAsia"/>
        </w:rPr>
        <w:t>有二：</w:t>
      </w:r>
    </w:p>
    <w:p w:rsidR="00AA120F" w:rsidRPr="00DA3BC7" w:rsidRDefault="00AA120F" w:rsidP="00AC3486">
      <w:pPr>
        <w:ind w:leftChars="250" w:left="2280" w:hangingChars="700" w:hanging="1680"/>
        <w:jc w:val="both"/>
        <w:rPr>
          <w:rFonts w:eastAsia="SimSun"/>
        </w:rPr>
      </w:pPr>
      <w:r w:rsidRPr="00DA3BC7">
        <w:rPr>
          <w:rFonts w:ascii="新細明體" w:hAnsi="新細明體" w:hint="eastAsia"/>
        </w:rPr>
        <w:t>（一）</w:t>
      </w:r>
      <w:r w:rsidRPr="00DA3BC7">
        <w:rPr>
          <w:rFonts w:hint="eastAsia"/>
          <w:b/>
        </w:rPr>
        <w:t>無常觀</w:t>
      </w:r>
      <w:r w:rsidRPr="00DA3BC7">
        <w:rPr>
          <w:rFonts w:hint="eastAsia"/>
        </w:rPr>
        <w:t>，知諸法如流水、燈焰：一方面觀察諸法新新</w:t>
      </w:r>
      <w:r w:rsidRPr="00DA3BC7">
        <w:rPr>
          <w:rStyle w:val="a6"/>
          <w:rFonts w:ascii="Times New Roman" w:hAnsi="Times New Roman"/>
        </w:rPr>
        <w:footnoteReference w:id="1079"/>
      </w:r>
      <w:r w:rsidRPr="00DA3BC7">
        <w:rPr>
          <w:rFonts w:hint="eastAsia"/>
        </w:rPr>
        <w:t>生滅，息息不住；一方面即正觀為續續非常。由此無常觀，可以悟入空義，通達一切法空性。</w:t>
      </w:r>
    </w:p>
    <w:p w:rsidR="00AA120F" w:rsidRPr="00DA3BC7" w:rsidRDefault="00AA120F" w:rsidP="00AC3486">
      <w:pPr>
        <w:ind w:leftChars="250" w:left="2280" w:hangingChars="700" w:hanging="1680"/>
        <w:jc w:val="both"/>
        <w:rPr>
          <w:rFonts w:eastAsia="SimSun"/>
        </w:rPr>
      </w:pPr>
      <w:r w:rsidRPr="00DA3BC7">
        <w:rPr>
          <w:rFonts w:ascii="新細明體" w:hAnsi="新細明體" w:hint="eastAsia"/>
        </w:rPr>
        <w:t>（二）</w:t>
      </w:r>
      <w:r w:rsidRPr="00DA3BC7">
        <w:rPr>
          <w:rFonts w:hint="eastAsia"/>
          <w:b/>
        </w:rPr>
        <w:t>無我觀</w:t>
      </w:r>
      <w:r w:rsidRPr="00DA3BC7">
        <w:rPr>
          <w:rFonts w:hint="eastAsia"/>
        </w:rPr>
        <w:t>，觀一切法如束</w:t>
      </w:r>
      <w:r w:rsidRPr="00DA3BC7">
        <w:rPr>
          <w:rStyle w:val="a6"/>
          <w:rFonts w:ascii="Times New Roman" w:hAnsi="Times New Roman"/>
        </w:rPr>
        <w:footnoteReference w:id="1080"/>
      </w:r>
      <w:r w:rsidRPr="00DA3BC7">
        <w:rPr>
          <w:rFonts w:hint="eastAsia"/>
        </w:rPr>
        <w:t>蘆、如芭蕉：束蘆，此依彼立，彼依此立，彼此相依不離，無獨存性。又如芭蕉，層層抽剝，中間竟無實在性。經中每以此等比喻，說觀緣起諸法性空。</w:t>
      </w:r>
    </w:p>
    <w:p w:rsidR="00AA120F" w:rsidRDefault="00267A4E" w:rsidP="00AE3920">
      <w:pPr>
        <w:spacing w:beforeLines="30"/>
        <w:ind w:leftChars="250" w:left="600"/>
        <w:jc w:val="both"/>
        <w:rPr>
          <w:rFonts w:ascii="Times Ext Roman" w:hAnsi="Times Ext Roman" w:cs="Times Ext Roman"/>
          <w:sz w:val="20"/>
        </w:rPr>
      </w:pPr>
      <w:r w:rsidRPr="00267A4E">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2</w:t>
      </w:r>
      <w:r w:rsidRPr="00267A4E">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引論敘修</w:t>
      </w:r>
      <w:r w:rsidR="00AA120F" w:rsidRPr="00DA3BC7">
        <w:rPr>
          <w:rFonts w:ascii="Times Ext Roman" w:hAnsi="Times Ext Roman" w:cs="Times Ext Roman" w:hint="eastAsia"/>
          <w:sz w:val="20"/>
        </w:rPr>
        <w:t>（</w:t>
      </w:r>
      <w:r w:rsidR="00AA120F" w:rsidRPr="00DA3BC7">
        <w:rPr>
          <w:rFonts w:ascii="Times New Roman" w:hAnsi="Times New Roman" w:hint="eastAsia"/>
          <w:sz w:val="20"/>
        </w:rPr>
        <w:t>pp.</w:t>
      </w:r>
      <w:r w:rsidR="00AA120F" w:rsidRPr="00DA3BC7">
        <w:rPr>
          <w:rFonts w:ascii="Times New Roman" w:eastAsia="SimSun" w:hAnsi="Times New Roman" w:hint="eastAsia"/>
          <w:sz w:val="20"/>
        </w:rPr>
        <w:t>251-252</w:t>
      </w:r>
      <w:r w:rsidR="00AA120F" w:rsidRPr="00DA3BC7">
        <w:rPr>
          <w:rFonts w:ascii="Times Ext Roman" w:hAnsi="Times Ext Roman" w:cs="Times Ext Roman" w:hint="eastAsia"/>
          <w:sz w:val="20"/>
        </w:rPr>
        <w:t>）</w:t>
      </w:r>
    </w:p>
    <w:p w:rsidR="00267A4E" w:rsidRDefault="00267A4E" w:rsidP="00AC3486">
      <w:pPr>
        <w:ind w:leftChars="300" w:left="720"/>
        <w:jc w:val="both"/>
        <w:rPr>
          <w:rFonts w:ascii="Times New Roman" w:hAnsi="Times New Roman"/>
          <w:b/>
          <w:color w:val="FF0000"/>
          <w:sz w:val="20"/>
          <w:szCs w:val="20"/>
          <w:bdr w:val="single" w:sz="4" w:space="0" w:color="auto"/>
        </w:rPr>
      </w:pPr>
      <w:r w:rsidRPr="001B0906">
        <w:rPr>
          <w:rFonts w:ascii="Times New Roman" w:hAnsi="Times New Roman" w:hint="eastAsia"/>
          <w:b/>
          <w:color w:val="FF0000"/>
          <w:sz w:val="20"/>
          <w:szCs w:val="20"/>
          <w:highlight w:val="yellow"/>
          <w:bdr w:val="single" w:sz="4" w:space="0" w:color="auto"/>
        </w:rPr>
        <w:t>A</w:t>
      </w:r>
      <w:r w:rsidRPr="001B0906">
        <w:rPr>
          <w:rFonts w:ascii="Times New Roman" w:hAnsi="Times New Roman" w:hint="eastAsia"/>
          <w:b/>
          <w:color w:val="FF0000"/>
          <w:sz w:val="20"/>
          <w:szCs w:val="20"/>
          <w:highlight w:val="yellow"/>
          <w:bdr w:val="single" w:sz="4" w:space="0" w:color="auto"/>
        </w:rPr>
        <w:t>、從</w:t>
      </w:r>
      <w:r w:rsidR="001B0906" w:rsidRPr="001B0906">
        <w:rPr>
          <w:rFonts w:ascii="新細明體" w:hAnsi="新細明體" w:hint="eastAsia"/>
          <w:b/>
          <w:color w:val="FF0000"/>
          <w:sz w:val="20"/>
          <w:szCs w:val="20"/>
          <w:highlight w:val="yellow"/>
          <w:bdr w:val="single" w:sz="4" w:space="0" w:color="auto"/>
        </w:rPr>
        <w:t>「</w:t>
      </w:r>
      <w:r w:rsidRPr="001B0906">
        <w:rPr>
          <w:rFonts w:ascii="Times New Roman" w:hAnsi="Times New Roman" w:hint="eastAsia"/>
          <w:b/>
          <w:color w:val="FF0000"/>
          <w:sz w:val="20"/>
          <w:szCs w:val="20"/>
          <w:highlight w:val="yellow"/>
          <w:bdr w:val="single" w:sz="4" w:space="0" w:color="auto"/>
        </w:rPr>
        <w:t>無常無我</w:t>
      </w:r>
      <w:r w:rsidR="001B0906" w:rsidRPr="001B0906">
        <w:rPr>
          <w:rFonts w:ascii="新細明體" w:hAnsi="新細明體" w:hint="eastAsia"/>
          <w:b/>
          <w:color w:val="FF0000"/>
          <w:sz w:val="20"/>
          <w:szCs w:val="20"/>
          <w:highlight w:val="yellow"/>
          <w:bdr w:val="single" w:sz="4" w:space="0" w:color="auto"/>
        </w:rPr>
        <w:t>」</w:t>
      </w:r>
      <w:r w:rsidRPr="001B0906">
        <w:rPr>
          <w:rFonts w:ascii="Times New Roman" w:hAnsi="Times New Roman" w:hint="eastAsia"/>
          <w:b/>
          <w:color w:val="FF0000"/>
          <w:sz w:val="20"/>
          <w:szCs w:val="20"/>
          <w:highlight w:val="yellow"/>
          <w:bdr w:val="single" w:sz="4" w:space="0" w:color="auto"/>
        </w:rPr>
        <w:t>而契入</w:t>
      </w:r>
      <w:r w:rsidR="001B0906" w:rsidRPr="001B0906">
        <w:rPr>
          <w:rFonts w:ascii="新細明體" w:hAnsi="新細明體" w:hint="eastAsia"/>
          <w:b/>
          <w:color w:val="FF0000"/>
          <w:sz w:val="20"/>
          <w:szCs w:val="20"/>
          <w:highlight w:val="yellow"/>
          <w:bdr w:val="single" w:sz="4" w:space="0" w:color="auto"/>
        </w:rPr>
        <w:t>「</w:t>
      </w:r>
      <w:r w:rsidRPr="001B0906">
        <w:rPr>
          <w:rFonts w:ascii="Times New Roman" w:hAnsi="Times New Roman" w:hint="eastAsia"/>
          <w:b/>
          <w:color w:val="FF0000"/>
          <w:sz w:val="20"/>
          <w:szCs w:val="20"/>
          <w:highlight w:val="yellow"/>
          <w:bdr w:val="single" w:sz="4" w:space="0" w:color="auto"/>
        </w:rPr>
        <w:t>法空</w:t>
      </w:r>
      <w:r w:rsidR="001B0906" w:rsidRPr="001B0906">
        <w:rPr>
          <w:rFonts w:ascii="新細明體" w:hAnsi="新細明體" w:hint="eastAsia"/>
          <w:b/>
          <w:color w:val="FF0000"/>
          <w:sz w:val="20"/>
          <w:szCs w:val="20"/>
          <w:highlight w:val="yellow"/>
          <w:bdr w:val="single" w:sz="4" w:space="0" w:color="auto"/>
        </w:rPr>
        <w:t>」</w:t>
      </w:r>
      <w:r w:rsidRPr="00DA3BC7">
        <w:rPr>
          <w:rFonts w:ascii="Times Ext Roman" w:hAnsi="Times Ext Roman" w:cs="Times Ext Roman" w:hint="eastAsia"/>
          <w:sz w:val="20"/>
        </w:rPr>
        <w:t>（</w:t>
      </w:r>
      <w:r w:rsidRPr="00DA3BC7">
        <w:rPr>
          <w:rFonts w:ascii="Times New Roman" w:hAnsi="Times New Roman" w:hint="eastAsia"/>
          <w:sz w:val="20"/>
        </w:rPr>
        <w:t>pp.</w:t>
      </w:r>
      <w:r w:rsidRPr="00DA3BC7">
        <w:rPr>
          <w:rFonts w:ascii="Times New Roman" w:eastAsia="SimSun" w:hAnsi="Times New Roman" w:hint="eastAsia"/>
          <w:sz w:val="20"/>
        </w:rPr>
        <w:t>251-252</w:t>
      </w:r>
      <w:r w:rsidRPr="00DA3BC7">
        <w:rPr>
          <w:rFonts w:ascii="Times Ext Roman" w:hAnsi="Times Ext Roman" w:cs="Times Ext Roman" w:hint="eastAsia"/>
          <w:sz w:val="20"/>
        </w:rPr>
        <w:t>）</w:t>
      </w:r>
    </w:p>
    <w:p w:rsidR="00267A4E" w:rsidRPr="00267A4E" w:rsidRDefault="00267A4E" w:rsidP="00AC3486">
      <w:pPr>
        <w:ind w:leftChars="350" w:left="840"/>
        <w:jc w:val="both"/>
        <w:rPr>
          <w:rFonts w:eastAsia="SimSun"/>
        </w:rPr>
      </w:pPr>
      <w:r>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A</w:t>
      </w:r>
      <w:r>
        <w:rPr>
          <w:rFonts w:ascii="Times New Roman" w:hAnsi="Times New Roman" w:hint="eastAsia"/>
          <w:b/>
          <w:color w:val="FF0000"/>
          <w:sz w:val="20"/>
          <w:szCs w:val="20"/>
          <w:highlight w:val="yellow"/>
          <w:bdr w:val="single" w:sz="4" w:space="0" w:color="auto"/>
        </w:rPr>
        <w:t>）明正理</w:t>
      </w:r>
      <w:r w:rsidRPr="00DA3BC7">
        <w:rPr>
          <w:rFonts w:ascii="Times Ext Roman" w:hAnsi="Times Ext Roman" w:cs="Times Ext Roman" w:hint="eastAsia"/>
          <w:sz w:val="20"/>
        </w:rPr>
        <w:t>（</w:t>
      </w:r>
      <w:r w:rsidRPr="00DA3BC7">
        <w:rPr>
          <w:rFonts w:ascii="Times New Roman" w:hAnsi="Times New Roman" w:hint="eastAsia"/>
          <w:sz w:val="20"/>
        </w:rPr>
        <w:t>p.</w:t>
      </w:r>
      <w:r w:rsidRPr="00DA3BC7">
        <w:rPr>
          <w:rFonts w:ascii="Times New Roman" w:eastAsia="SimSun" w:hAnsi="Times New Roman" w:hint="eastAsia"/>
          <w:sz w:val="20"/>
        </w:rPr>
        <w:t>251</w:t>
      </w:r>
      <w:r w:rsidRPr="00DA3BC7">
        <w:rPr>
          <w:rFonts w:ascii="Times Ext Roman" w:hAnsi="Times Ext Roman" w:cs="Times Ext Roman" w:hint="eastAsia"/>
          <w:sz w:val="20"/>
        </w:rPr>
        <w:t>）</w:t>
      </w:r>
    </w:p>
    <w:p w:rsidR="00AA120F" w:rsidRPr="00DA3BC7" w:rsidRDefault="00AA120F" w:rsidP="00AC3486">
      <w:pPr>
        <w:ind w:leftChars="350" w:left="840"/>
        <w:jc w:val="both"/>
        <w:rPr>
          <w:rFonts w:eastAsia="SimSun"/>
          <w:spacing w:val="-4"/>
        </w:rPr>
      </w:pPr>
      <w:r w:rsidRPr="00DA3BC7">
        <w:rPr>
          <w:rFonts w:hint="eastAsia"/>
          <w:spacing w:val="-4"/>
        </w:rPr>
        <w:lastRenderedPageBreak/>
        <w:t>觀察法空，即在一切法的相續、和合中，觀自性了不可得，即能依此離一切妄執而自證。《中論》</w:t>
      </w:r>
      <w:r w:rsidR="00986125">
        <w:rPr>
          <w:rFonts w:hint="eastAsia"/>
          <w:spacing w:val="-4"/>
        </w:rPr>
        <w:t>〈</w:t>
      </w:r>
      <w:r w:rsidR="00986125" w:rsidRPr="00986125">
        <w:rPr>
          <w:rFonts w:ascii="Times New Roman" w:hAnsi="Times New Roman" w:hint="eastAsia"/>
          <w:spacing w:val="-4"/>
          <w:shd w:val="pct15" w:color="auto" w:fill="FFFFFF"/>
        </w:rPr>
        <w:t>18</w:t>
      </w:r>
      <w:r w:rsidR="00986125">
        <w:rPr>
          <w:rFonts w:hint="eastAsia"/>
          <w:spacing w:val="-4"/>
        </w:rPr>
        <w:t xml:space="preserve"> </w:t>
      </w:r>
      <w:r w:rsidR="00986125" w:rsidRPr="00DA3BC7">
        <w:rPr>
          <w:rFonts w:hint="eastAsia"/>
          <w:spacing w:val="-4"/>
        </w:rPr>
        <w:t>觀法品</w:t>
      </w:r>
      <w:r w:rsidR="00986125">
        <w:rPr>
          <w:rFonts w:hint="eastAsia"/>
          <w:spacing w:val="-4"/>
        </w:rPr>
        <w:t>〉</w:t>
      </w:r>
      <w:r w:rsidRPr="00DA3BC7">
        <w:rPr>
          <w:rFonts w:hint="eastAsia"/>
          <w:spacing w:val="-4"/>
        </w:rPr>
        <w:t>說：「</w:t>
      </w:r>
      <w:r w:rsidRPr="00DA3BC7">
        <w:rPr>
          <w:rFonts w:ascii="標楷體" w:eastAsia="標楷體" w:hAnsi="標楷體" w:hint="eastAsia"/>
          <w:spacing w:val="-4"/>
        </w:rPr>
        <w:t>若法從緣生，不即不異因，是故名實相，不斷亦不常。不一亦不異，不常亦不斷，是名諸世尊，教化甘露味</w:t>
      </w:r>
      <w:r w:rsidRPr="00DA3BC7">
        <w:rPr>
          <w:rFonts w:hint="eastAsia"/>
          <w:spacing w:val="-4"/>
        </w:rPr>
        <w:t>。」</w:t>
      </w:r>
      <w:r w:rsidRPr="00DA3BC7">
        <w:rPr>
          <w:rStyle w:val="a6"/>
          <w:rFonts w:ascii="Times New Roman" w:hAnsi="Times New Roman"/>
          <w:spacing w:val="-4"/>
        </w:rPr>
        <w:footnoteReference w:id="1081"/>
      </w:r>
    </w:p>
    <w:p w:rsidR="00AA120F" w:rsidRPr="00DA3BC7" w:rsidRDefault="00AA120F" w:rsidP="00AE3920">
      <w:pPr>
        <w:spacing w:beforeLines="20"/>
        <w:ind w:leftChars="350" w:left="840"/>
        <w:jc w:val="both"/>
        <w:rPr>
          <w:rFonts w:eastAsia="SimSun"/>
        </w:rPr>
      </w:pPr>
      <w:r w:rsidRPr="00DA3BC7">
        <w:rPr>
          <w:rFonts w:hint="eastAsia"/>
        </w:rPr>
        <w:t>從相續、和合中了解無常（不斷不常），無我（不一不異），即是拔除自性執（真、常、一）的根本觀。</w:t>
      </w:r>
    </w:p>
    <w:p w:rsidR="00AA120F" w:rsidRPr="00DA3BC7" w:rsidRDefault="00AA120F" w:rsidP="00AE3920">
      <w:pPr>
        <w:spacing w:beforeLines="20"/>
        <w:ind w:leftChars="350" w:left="840"/>
        <w:jc w:val="both"/>
        <w:rPr>
          <w:rFonts w:eastAsia="SimSun"/>
        </w:rPr>
      </w:pPr>
      <w:r w:rsidRPr="00DA3BC7">
        <w:rPr>
          <w:rFonts w:hint="eastAsia"/>
        </w:rPr>
        <w:t>體證到生無所來，去亦無所至，順入法空寂滅性，此即釋迦教化眾生解脫生死的唯一甘露味。要悟證性空──寂滅，必須從緣起的相續、和合中觀察，故佛說「</w:t>
      </w:r>
      <w:r w:rsidRPr="00DA3BC7">
        <w:rPr>
          <w:rFonts w:ascii="標楷體" w:eastAsia="標楷體" w:hAnsi="標楷體" w:hint="eastAsia"/>
        </w:rPr>
        <w:t>要先得法住智，後得涅槃智</w:t>
      </w:r>
      <w:r w:rsidRPr="00DA3BC7">
        <w:rPr>
          <w:rFonts w:hint="eastAsia"/>
        </w:rPr>
        <w:t>」。</w:t>
      </w:r>
      <w:r w:rsidRPr="00DA3BC7">
        <w:rPr>
          <w:rStyle w:val="a6"/>
          <w:rFonts w:ascii="Times New Roman" w:hAnsi="Times New Roman"/>
        </w:rPr>
        <w:footnoteReference w:id="1082"/>
      </w:r>
    </w:p>
    <w:p w:rsidR="00267A4E" w:rsidRDefault="00267A4E" w:rsidP="00AE3920">
      <w:pPr>
        <w:spacing w:beforeLines="30"/>
        <w:ind w:leftChars="350" w:left="840"/>
        <w:jc w:val="both"/>
        <w:rPr>
          <w:rFonts w:ascii="Times Ext Roman" w:hAnsi="Times Ext Roman" w:cs="Times Ext Roman"/>
          <w:sz w:val="20"/>
        </w:rPr>
      </w:pPr>
      <w:r w:rsidRPr="00267A4E">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B</w:t>
      </w:r>
      <w:r w:rsidRPr="00267A4E">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斥過非</w:t>
      </w:r>
      <w:r w:rsidRPr="00DA3BC7">
        <w:rPr>
          <w:rFonts w:ascii="Times Ext Roman" w:hAnsi="Times Ext Roman" w:cs="Times Ext Roman" w:hint="eastAsia"/>
          <w:sz w:val="20"/>
        </w:rPr>
        <w:t>（</w:t>
      </w:r>
      <w:r w:rsidRPr="00DA3BC7">
        <w:rPr>
          <w:rFonts w:ascii="Times New Roman" w:hAnsi="Times New Roman" w:hint="eastAsia"/>
          <w:sz w:val="20"/>
        </w:rPr>
        <w:t>pp.</w:t>
      </w:r>
      <w:r w:rsidRPr="00DA3BC7">
        <w:rPr>
          <w:rFonts w:ascii="Times New Roman" w:eastAsia="SimSun" w:hAnsi="Times New Roman" w:hint="eastAsia"/>
          <w:sz w:val="20"/>
        </w:rPr>
        <w:t>251-252</w:t>
      </w:r>
      <w:r w:rsidRPr="00DA3BC7">
        <w:rPr>
          <w:rFonts w:ascii="Times Ext Roman" w:hAnsi="Times Ext Roman" w:cs="Times Ext Roman" w:hint="eastAsia"/>
          <w:sz w:val="20"/>
        </w:rPr>
        <w:t>）</w:t>
      </w:r>
    </w:p>
    <w:p w:rsidR="00AA120F" w:rsidRPr="00DA3BC7" w:rsidRDefault="00AA120F" w:rsidP="00AC3486">
      <w:pPr>
        <w:ind w:leftChars="350" w:left="840"/>
        <w:jc w:val="both"/>
        <w:rPr>
          <w:rFonts w:eastAsia="SimSun"/>
        </w:rPr>
      </w:pPr>
      <w:r w:rsidRPr="00DA3BC7">
        <w:rPr>
          <w:rFonts w:hint="eastAsia"/>
        </w:rPr>
        <w:t>後代的某些學者，不知即相續、和合以觀察體證不常不斷、不一不異的無自性空，每墮於靜止的、孤立的，即不離自性妄執的觀察。結果，不落多元的實在論，即落於玄想的真常論。</w:t>
      </w:r>
    </w:p>
    <w:p w:rsidR="00AA120F" w:rsidRPr="00DA3BC7" w:rsidRDefault="00F0673A" w:rsidP="00AE3920">
      <w:pPr>
        <w:spacing w:beforeLines="30"/>
        <w:ind w:leftChars="300" w:left="720"/>
        <w:jc w:val="both"/>
        <w:rPr>
          <w:rFonts w:eastAsia="SimSun"/>
        </w:rPr>
      </w:pPr>
      <w:r w:rsidRPr="000F644D">
        <w:rPr>
          <w:rFonts w:ascii="Times New Roman" w:hAnsi="Times New Roman" w:hint="eastAsia"/>
          <w:b/>
          <w:color w:val="FF0000"/>
          <w:sz w:val="20"/>
          <w:szCs w:val="20"/>
          <w:highlight w:val="yellow"/>
          <w:bdr w:val="single" w:sz="4" w:space="0" w:color="auto"/>
        </w:rPr>
        <w:t>B</w:t>
      </w:r>
      <w:r w:rsidRPr="000F644D">
        <w:rPr>
          <w:rFonts w:ascii="新細明體" w:hAnsi="新細明體" w:hint="eastAsia"/>
          <w:b/>
          <w:color w:val="FF0000"/>
          <w:sz w:val="20"/>
          <w:szCs w:val="20"/>
          <w:highlight w:val="yellow"/>
          <w:bdr w:val="single" w:sz="4" w:space="0" w:color="auto"/>
        </w:rPr>
        <w:t>、</w:t>
      </w:r>
      <w:r w:rsidR="00AA120F" w:rsidRPr="000F644D">
        <w:rPr>
          <w:rFonts w:ascii="新細明體" w:hAnsi="新細明體" w:hint="eastAsia"/>
          <w:b/>
          <w:color w:val="FF0000"/>
          <w:sz w:val="20"/>
          <w:szCs w:val="20"/>
          <w:highlight w:val="yellow"/>
          <w:bdr w:val="single" w:sz="4" w:space="0" w:color="auto"/>
        </w:rPr>
        <w:t>從</w:t>
      </w:r>
      <w:r w:rsidRPr="000F644D">
        <w:rPr>
          <w:rFonts w:ascii="新細明體" w:hAnsi="新細明體" w:hint="eastAsia"/>
          <w:b/>
          <w:color w:val="FF0000"/>
          <w:sz w:val="20"/>
          <w:szCs w:val="20"/>
          <w:highlight w:val="yellow"/>
          <w:bdr w:val="single" w:sz="4" w:space="0" w:color="auto"/>
        </w:rPr>
        <w:t>勝解「</w:t>
      </w:r>
      <w:r w:rsidR="00AA120F" w:rsidRPr="000F644D">
        <w:rPr>
          <w:rFonts w:ascii="新細明體" w:hAnsi="新細明體" w:hint="eastAsia"/>
          <w:b/>
          <w:color w:val="FF0000"/>
          <w:sz w:val="20"/>
          <w:szCs w:val="20"/>
          <w:highlight w:val="yellow"/>
          <w:bdr w:val="single" w:sz="4" w:space="0" w:color="auto"/>
        </w:rPr>
        <w:t>法空</w:t>
      </w:r>
      <w:r w:rsidRPr="000F644D">
        <w:rPr>
          <w:rFonts w:ascii="新細明體" w:hAnsi="新細明體" w:hint="eastAsia"/>
          <w:b/>
          <w:color w:val="FF0000"/>
          <w:sz w:val="20"/>
          <w:szCs w:val="20"/>
          <w:highlight w:val="yellow"/>
          <w:bdr w:val="single" w:sz="4" w:space="0" w:color="auto"/>
        </w:rPr>
        <w:t>」而</w:t>
      </w:r>
      <w:r w:rsidR="00AA120F" w:rsidRPr="000F644D">
        <w:rPr>
          <w:rFonts w:ascii="新細明體" w:hAnsi="新細明體" w:hint="eastAsia"/>
          <w:b/>
          <w:color w:val="FF0000"/>
          <w:sz w:val="20"/>
          <w:szCs w:val="20"/>
          <w:highlight w:val="yellow"/>
          <w:bdr w:val="single" w:sz="4" w:space="0" w:color="auto"/>
        </w:rPr>
        <w:t>反觀</w:t>
      </w:r>
      <w:r w:rsidRPr="000F644D">
        <w:rPr>
          <w:rFonts w:ascii="新細明體" w:hAnsi="新細明體" w:hint="eastAsia"/>
          <w:b/>
          <w:color w:val="FF0000"/>
          <w:sz w:val="20"/>
          <w:szCs w:val="20"/>
          <w:highlight w:val="yellow"/>
          <w:bdr w:val="single" w:sz="4" w:space="0" w:color="auto"/>
        </w:rPr>
        <w:t>「</w:t>
      </w:r>
      <w:r w:rsidR="00AA120F" w:rsidRPr="000F644D">
        <w:rPr>
          <w:rFonts w:ascii="新細明體" w:hAnsi="新細明體" w:hint="eastAsia"/>
          <w:b/>
          <w:color w:val="FF0000"/>
          <w:sz w:val="20"/>
          <w:szCs w:val="20"/>
          <w:highlight w:val="yellow"/>
          <w:bdr w:val="single" w:sz="4" w:space="0" w:color="auto"/>
        </w:rPr>
        <w:t>我</w:t>
      </w:r>
      <w:r w:rsidRPr="000F644D">
        <w:rPr>
          <w:rFonts w:ascii="新細明體" w:hAnsi="新細明體" w:hint="eastAsia"/>
          <w:b/>
          <w:color w:val="FF0000"/>
          <w:sz w:val="20"/>
          <w:szCs w:val="20"/>
          <w:highlight w:val="yellow"/>
          <w:bdr w:val="single" w:sz="4" w:space="0" w:color="auto"/>
        </w:rPr>
        <w:t>空」</w:t>
      </w:r>
      <w:r w:rsidR="00AA120F" w:rsidRPr="00DA3BC7">
        <w:rPr>
          <w:rFonts w:ascii="Times Ext Roman" w:hAnsi="Times Ext Roman" w:cs="Times Ext Roman" w:hint="eastAsia"/>
          <w:sz w:val="20"/>
        </w:rPr>
        <w:t>（</w:t>
      </w:r>
      <w:r w:rsidR="00AA120F" w:rsidRPr="00DA3BC7">
        <w:rPr>
          <w:rFonts w:ascii="Times New Roman" w:hAnsi="Times New Roman" w:hint="eastAsia"/>
          <w:sz w:val="20"/>
        </w:rPr>
        <w:t>p.</w:t>
      </w:r>
      <w:r w:rsidR="00AA120F" w:rsidRPr="00DA3BC7">
        <w:rPr>
          <w:rFonts w:ascii="Times New Roman" w:eastAsia="SimSun" w:hAnsi="Times New Roman" w:hint="eastAsia"/>
          <w:sz w:val="20"/>
        </w:rPr>
        <w:t>252</w:t>
      </w:r>
      <w:r w:rsidR="00AA120F" w:rsidRPr="00DA3BC7">
        <w:rPr>
          <w:rFonts w:ascii="Times Ext Roman" w:hAnsi="Times Ext Roman" w:cs="Times Ext Roman" w:hint="eastAsia"/>
          <w:sz w:val="20"/>
        </w:rPr>
        <w:t>）</w:t>
      </w:r>
    </w:p>
    <w:p w:rsidR="00AA120F" w:rsidRPr="00DA3BC7" w:rsidRDefault="00AA120F" w:rsidP="00AE3920">
      <w:pPr>
        <w:spacing w:afterLines="30"/>
        <w:ind w:leftChars="300" w:left="720"/>
        <w:jc w:val="both"/>
        <w:rPr>
          <w:rFonts w:eastAsia="SimSun"/>
        </w:rPr>
      </w:pPr>
      <w:r w:rsidRPr="00DA3BC7">
        <w:rPr>
          <w:rFonts w:hint="eastAsia"/>
        </w:rPr>
        <w:t>依《中觀論》義，不但廣泛的從相續、和合中現觀一切法空，更應勝解一切法空而反觀自我（不但是內心），觀無我無我所。如《中論》說：「</w:t>
      </w:r>
      <w:r w:rsidRPr="00DA3BC7">
        <w:rPr>
          <w:rFonts w:ascii="標楷體" w:eastAsia="標楷體" w:hAnsi="標楷體" w:hint="eastAsia"/>
        </w:rPr>
        <w:t>若無有我者，何得有我所？滅我我所故，名得無我智</w:t>
      </w:r>
      <w:r w:rsidRPr="00DA3BC7">
        <w:rPr>
          <w:rFonts w:hint="eastAsia"/>
        </w:rPr>
        <w:t>。」</w:t>
      </w:r>
      <w:r w:rsidRPr="00DA3BC7">
        <w:rPr>
          <w:rStyle w:val="a6"/>
          <w:rFonts w:ascii="Times New Roman" w:hAnsi="Times New Roman"/>
        </w:rPr>
        <w:footnoteReference w:id="1083"/>
      </w:r>
    </w:p>
    <w:p w:rsidR="00AA120F" w:rsidRPr="00DA3BC7" w:rsidRDefault="00AA120F" w:rsidP="00AE3920">
      <w:pPr>
        <w:spacing w:beforeLines="20"/>
        <w:ind w:leftChars="300" w:left="720"/>
        <w:jc w:val="both"/>
        <w:rPr>
          <w:rFonts w:eastAsia="SimSun"/>
        </w:rPr>
      </w:pPr>
      <w:r w:rsidRPr="00DA3BC7">
        <w:rPr>
          <w:rFonts w:hint="eastAsia"/>
        </w:rPr>
        <w:t>若但觀法空，易起理在我外的意念，故必須</w:t>
      </w:r>
      <w:r w:rsidRPr="00DA3BC7">
        <w:rPr>
          <w:rFonts w:hint="eastAsia"/>
          <w:b/>
        </w:rPr>
        <w:t>從法空</w:t>
      </w:r>
      <w:r w:rsidRPr="00DA3BC7">
        <w:rPr>
          <w:rFonts w:hint="eastAsia"/>
        </w:rPr>
        <w:t>而</w:t>
      </w:r>
      <w:r w:rsidRPr="00DA3BC7">
        <w:rPr>
          <w:rFonts w:hint="eastAsia"/>
          <w:b/>
        </w:rPr>
        <w:t>反觀到我空</w:t>
      </w:r>
      <w:r w:rsidRPr="00DA3BC7">
        <w:rPr>
          <w:rFonts w:hint="eastAsia"/>
        </w:rPr>
        <w:t>。以我性不可得，故</w:t>
      </w:r>
      <w:r w:rsidRPr="00DA3BC7">
        <w:rPr>
          <w:rFonts w:hint="eastAsia"/>
          <w:b/>
        </w:rPr>
        <w:t>離法執</w:t>
      </w:r>
      <w:r w:rsidRPr="00DA3BC7">
        <w:rPr>
          <w:rFonts w:hint="eastAsia"/>
        </w:rPr>
        <w:t>而</w:t>
      </w:r>
      <w:r w:rsidRPr="00DA3BC7">
        <w:rPr>
          <w:rFonts w:hint="eastAsia"/>
          <w:b/>
        </w:rPr>
        <w:t>離我執</w:t>
      </w:r>
      <w:r w:rsidRPr="00DA3BC7">
        <w:rPr>
          <w:rFonts w:hint="eastAsia"/>
        </w:rPr>
        <w:t>，由是薩迦耶見不起，無我無我所。《金剛經》先明法空，也即是此義。</w:t>
      </w:r>
      <w:r w:rsidRPr="00DA3BC7">
        <w:rPr>
          <w:rStyle w:val="a6"/>
          <w:rFonts w:ascii="Times New Roman" w:hAnsi="Times New Roman"/>
        </w:rPr>
        <w:footnoteReference w:id="1084"/>
      </w:r>
    </w:p>
    <w:p w:rsidR="00AA120F" w:rsidRPr="00DA3BC7" w:rsidRDefault="00AA120F" w:rsidP="00AE3920">
      <w:pPr>
        <w:spacing w:beforeLines="20"/>
        <w:ind w:leftChars="300" w:left="720"/>
        <w:jc w:val="both"/>
        <w:rPr>
          <w:rFonts w:eastAsia="SimSun"/>
        </w:rPr>
      </w:pPr>
      <w:r w:rsidRPr="00DA3BC7">
        <w:rPr>
          <w:rFonts w:hint="eastAsia"/>
        </w:rPr>
        <w:lastRenderedPageBreak/>
        <w:t>生死的根源，即無明，或薩迦耶見，或識；</w:t>
      </w:r>
      <w:r w:rsidRPr="00DA3BC7">
        <w:rPr>
          <w:rStyle w:val="a6"/>
          <w:rFonts w:ascii="Times New Roman" w:hAnsi="Times New Roman"/>
        </w:rPr>
        <w:footnoteReference w:id="1085"/>
      </w:r>
      <w:r w:rsidRPr="00DA3BC7">
        <w:rPr>
          <w:rFonts w:hint="eastAsia"/>
        </w:rPr>
        <w:t>必審觀無自性而離此顛倒戲論，始有解脫分。</w:t>
      </w:r>
    </w:p>
    <w:p w:rsidR="00AA120F" w:rsidRPr="00DA3BC7" w:rsidRDefault="00FC5046" w:rsidP="00AE3920">
      <w:pPr>
        <w:spacing w:beforeLines="30"/>
        <w:jc w:val="both"/>
        <w:rPr>
          <w:rFonts w:ascii="Times Ext Roman" w:eastAsia="SimSun" w:hAnsi="Times Ext Roman" w:cs="Times Ext Roman"/>
          <w:sz w:val="20"/>
        </w:rPr>
      </w:pPr>
      <w:r w:rsidRPr="00DA3BC7">
        <w:rPr>
          <w:rFonts w:ascii="新細明體" w:hAnsi="新細明體" w:hint="eastAsia"/>
          <w:b/>
          <w:sz w:val="20"/>
          <w:szCs w:val="20"/>
          <w:bdr w:val="single" w:sz="4" w:space="0" w:color="auto"/>
        </w:rPr>
        <w:t>參</w:t>
      </w:r>
      <w:r w:rsidR="00AA120F" w:rsidRPr="00DA3BC7">
        <w:rPr>
          <w:rFonts w:ascii="新細明體" w:hAnsi="新細明體" w:hint="eastAsia"/>
          <w:b/>
          <w:sz w:val="20"/>
          <w:szCs w:val="20"/>
          <w:bdr w:val="single" w:sz="4" w:space="0" w:color="auto"/>
        </w:rPr>
        <w:t>、</w:t>
      </w:r>
      <w:r w:rsidR="000F644D" w:rsidRPr="000F644D">
        <w:rPr>
          <w:rFonts w:ascii="新細明體" w:hAnsi="新細明體" w:hint="eastAsia"/>
          <w:b/>
          <w:color w:val="FF0000"/>
          <w:sz w:val="20"/>
          <w:szCs w:val="20"/>
          <w:highlight w:val="yellow"/>
          <w:bdr w:val="single" w:sz="4" w:space="0" w:color="auto"/>
        </w:rPr>
        <w:t>結勸</w:t>
      </w:r>
      <w:r w:rsidR="00AA120F" w:rsidRPr="00DA3BC7">
        <w:rPr>
          <w:rFonts w:ascii="Times Ext Roman" w:hAnsi="Times Ext Roman" w:cs="Times Ext Roman" w:hint="eastAsia"/>
          <w:sz w:val="20"/>
        </w:rPr>
        <w:t>（</w:t>
      </w:r>
      <w:r w:rsidR="00AA120F" w:rsidRPr="00DA3BC7">
        <w:rPr>
          <w:rFonts w:ascii="Times New Roman" w:hAnsi="Times New Roman" w:hint="eastAsia"/>
          <w:sz w:val="20"/>
        </w:rPr>
        <w:t>p.</w:t>
      </w:r>
      <w:r w:rsidR="00AA120F" w:rsidRPr="00DA3BC7">
        <w:rPr>
          <w:rFonts w:ascii="Times New Roman" w:eastAsia="SimSun" w:hAnsi="Times New Roman" w:hint="eastAsia"/>
          <w:sz w:val="20"/>
        </w:rPr>
        <w:t>252</w:t>
      </w:r>
      <w:r w:rsidR="00AA120F" w:rsidRPr="00DA3BC7">
        <w:rPr>
          <w:rFonts w:ascii="Times Ext Roman" w:hAnsi="Times Ext Roman" w:cs="Times Ext Roman" w:hint="eastAsia"/>
          <w:sz w:val="20"/>
        </w:rPr>
        <w:t>）</w:t>
      </w:r>
    </w:p>
    <w:p w:rsidR="00AA120F" w:rsidRPr="00DA3BC7" w:rsidRDefault="00AA120F" w:rsidP="00AC3486">
      <w:pPr>
        <w:jc w:val="both"/>
        <w:rPr>
          <w:rFonts w:eastAsia="SimSun"/>
        </w:rPr>
      </w:pPr>
      <w:r w:rsidRPr="00DA3BC7">
        <w:rPr>
          <w:rFonts w:hint="eastAsia"/>
          <w:b/>
        </w:rPr>
        <w:t>觀慧</w:t>
      </w:r>
      <w:r w:rsidRPr="00DA3BC7">
        <w:rPr>
          <w:rFonts w:hint="eastAsia"/>
        </w:rPr>
        <w:t>依於</w:t>
      </w:r>
      <w:r w:rsidRPr="00DA3BC7">
        <w:rPr>
          <w:rFonts w:hint="eastAsia"/>
          <w:b/>
        </w:rPr>
        <w:t>禪定</w:t>
      </w:r>
      <w:r w:rsidRPr="00DA3BC7">
        <w:rPr>
          <w:rFonts w:hint="eastAsia"/>
        </w:rPr>
        <w:t>，禪定依於</w:t>
      </w:r>
      <w:r w:rsidRPr="00DA3BC7">
        <w:rPr>
          <w:rFonts w:hint="eastAsia"/>
          <w:b/>
        </w:rPr>
        <w:t>戒律</w:t>
      </w:r>
      <w:r w:rsidRPr="00DA3BC7">
        <w:rPr>
          <w:rFonts w:hint="eastAsia"/>
        </w:rPr>
        <w:t>，三學是相依（即增上）而後能得解脫。</w:t>
      </w:r>
    </w:p>
    <w:p w:rsidR="00AA120F" w:rsidRPr="00DA3BC7" w:rsidRDefault="00AA120F" w:rsidP="00AE3920">
      <w:pPr>
        <w:spacing w:beforeLines="30"/>
        <w:jc w:val="both"/>
        <w:sectPr w:rsidR="00AA120F" w:rsidRPr="00DA3BC7" w:rsidSect="004F4714">
          <w:headerReference w:type="default" r:id="rId68"/>
          <w:footnotePr>
            <w:numRestart w:val="eachSect"/>
          </w:footnotePr>
          <w:pgSz w:w="10773" w:h="14742" w:code="155"/>
          <w:pgMar w:top="1418" w:right="1418" w:bottom="1418" w:left="1418" w:header="851" w:footer="992" w:gutter="0"/>
          <w:cols w:space="425"/>
          <w:docGrid w:type="lines" w:linePitch="360"/>
        </w:sectPr>
      </w:pPr>
      <w:r w:rsidRPr="00DA3BC7">
        <w:rPr>
          <w:rFonts w:hint="eastAsia"/>
        </w:rPr>
        <w:t>大乘學者，尤應</w:t>
      </w:r>
      <w:r w:rsidRPr="00DA3BC7">
        <w:rPr>
          <w:rFonts w:hint="eastAsia"/>
          <w:b/>
        </w:rPr>
        <w:t>以菩提願為依，大悲心為本，真空慧為方便</w:t>
      </w:r>
      <w:r w:rsidRPr="00DA3BC7">
        <w:rPr>
          <w:rFonts w:hint="eastAsia"/>
        </w:rPr>
        <w:t>，</w:t>
      </w:r>
      <w:r w:rsidRPr="00DA3BC7">
        <w:rPr>
          <w:rStyle w:val="a6"/>
          <w:rFonts w:ascii="Times New Roman" w:hAnsi="Times New Roman"/>
        </w:rPr>
        <w:footnoteReference w:id="1086"/>
      </w:r>
      <w:r w:rsidRPr="00DA3BC7">
        <w:rPr>
          <w:rFonts w:hint="eastAsia"/>
        </w:rPr>
        <w:t>廣行無邊大</w:t>
      </w:r>
      <w:r w:rsidRPr="00DA3BC7">
        <w:rPr>
          <w:rFonts w:hint="eastAsia"/>
        </w:rPr>
        <w:lastRenderedPageBreak/>
        <w:t>行，積集無量福德、智慧資糧，才能圓修止觀加行而頓入空性。這些，別當解說。</w:t>
      </w:r>
      <w:r w:rsidRPr="00DA3BC7">
        <w:rPr>
          <w:rStyle w:val="a6"/>
          <w:rFonts w:ascii="Times New Roman" w:hAnsi="Times New Roman"/>
        </w:rPr>
        <w:footnoteReference w:id="1087"/>
      </w:r>
    </w:p>
    <w:p w:rsidR="00AA120F" w:rsidRPr="00DA3BC7" w:rsidRDefault="00AA120F" w:rsidP="008E2BBC">
      <w:pPr>
        <w:pStyle w:val="1"/>
      </w:pPr>
      <w:bookmarkStart w:id="137" w:name="_Toc405499807"/>
      <w:r w:rsidRPr="00DA3BC7">
        <w:lastRenderedPageBreak/>
        <w:t>第十二章、空宗與有宗</w:t>
      </w:r>
      <w:bookmarkEnd w:id="137"/>
    </w:p>
    <w:p w:rsidR="00AA120F" w:rsidRPr="00DA3BC7" w:rsidRDefault="00AA120F" w:rsidP="008E2BBC">
      <w:pPr>
        <w:jc w:val="center"/>
        <w:rPr>
          <w:rFonts w:ascii="Times New Roman" w:hAnsi="Times New Roman"/>
        </w:rPr>
      </w:pPr>
      <w:r w:rsidRPr="00DA3BC7">
        <w:rPr>
          <w:rFonts w:ascii="Times New Roman" w:hAnsi="Times New Roman"/>
        </w:rPr>
        <w:t>（</w:t>
      </w:r>
      <w:r w:rsidRPr="00DA3BC7">
        <w:rPr>
          <w:rFonts w:ascii="Times New Roman" w:hAnsi="Times New Roman"/>
        </w:rPr>
        <w:t>pp.253-263</w:t>
      </w:r>
      <w:r w:rsidRPr="00DA3BC7">
        <w:rPr>
          <w:rFonts w:ascii="Times New Roman" w:hAnsi="Times New Roman"/>
        </w:rPr>
        <w:t>）</w:t>
      </w:r>
    </w:p>
    <w:p w:rsidR="00AA120F" w:rsidRPr="00DA3BC7" w:rsidRDefault="00AA120F" w:rsidP="008E2BBC">
      <w:pPr>
        <w:pStyle w:val="Author"/>
      </w:pPr>
    </w:p>
    <w:p w:rsidR="00AA120F" w:rsidRPr="00DA3BC7" w:rsidRDefault="00AA120F" w:rsidP="00AE3920">
      <w:pPr>
        <w:spacing w:beforeLines="50"/>
        <w:jc w:val="both"/>
        <w:rPr>
          <w:rFonts w:ascii="Times New Roman" w:hAnsi="Times New Roman"/>
          <w:b/>
          <w:bCs/>
          <w:sz w:val="20"/>
          <w:szCs w:val="20"/>
        </w:rPr>
      </w:pPr>
      <w:r w:rsidRPr="00DA3BC7">
        <w:rPr>
          <w:rFonts w:ascii="Times New Roman" w:hAnsi="Times New Roman" w:hint="eastAsia"/>
          <w:b/>
          <w:bCs/>
          <w:sz w:val="20"/>
          <w:szCs w:val="20"/>
          <w:bdr w:val="single" w:sz="4" w:space="0" w:color="auto"/>
        </w:rPr>
        <w:t>壹</w:t>
      </w:r>
      <w:r w:rsidRPr="00DA3BC7">
        <w:rPr>
          <w:rFonts w:ascii="Times New Roman" w:hAnsi="Times New Roman"/>
          <w:b/>
          <w:bCs/>
          <w:sz w:val="20"/>
          <w:szCs w:val="20"/>
          <w:bdr w:val="single" w:sz="4" w:space="0" w:color="auto"/>
        </w:rPr>
        <w:t>、</w:t>
      </w:r>
      <w:r w:rsidR="00D13A88" w:rsidRPr="00D13A88">
        <w:rPr>
          <w:rFonts w:ascii="Times New Roman" w:hAnsi="Times New Roman" w:hint="eastAsia"/>
          <w:b/>
          <w:bCs/>
          <w:color w:val="FF0000"/>
          <w:sz w:val="20"/>
          <w:szCs w:val="20"/>
          <w:highlight w:val="yellow"/>
          <w:bdr w:val="single" w:sz="4" w:space="0" w:color="auto"/>
        </w:rPr>
        <w:t>概述「</w:t>
      </w:r>
      <w:r w:rsidRPr="00D13A88">
        <w:rPr>
          <w:rFonts w:ascii="Times New Roman" w:hAnsi="Times New Roman" w:hint="eastAsia"/>
          <w:b/>
          <w:bCs/>
          <w:color w:val="FF0000"/>
          <w:sz w:val="20"/>
          <w:szCs w:val="20"/>
          <w:highlight w:val="yellow"/>
          <w:bdr w:val="single" w:sz="4" w:space="0" w:color="auto"/>
        </w:rPr>
        <w:t>空有</w:t>
      </w:r>
      <w:r w:rsidR="00D13A88" w:rsidRPr="00D13A88">
        <w:rPr>
          <w:rFonts w:ascii="Times New Roman" w:hAnsi="Times New Roman" w:hint="eastAsia"/>
          <w:b/>
          <w:bCs/>
          <w:color w:val="FF0000"/>
          <w:sz w:val="20"/>
          <w:szCs w:val="20"/>
          <w:highlight w:val="yellow"/>
          <w:bdr w:val="single" w:sz="4" w:space="0" w:color="auto"/>
        </w:rPr>
        <w:t>之別」</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253</w:t>
      </w:r>
      <w:r w:rsidRPr="00DA3BC7">
        <w:rPr>
          <w:rFonts w:ascii="Times New Roman" w:hAnsi="Times New Roman"/>
          <w:sz w:val="20"/>
          <w:szCs w:val="20"/>
        </w:rPr>
        <w:t>）</w:t>
      </w:r>
    </w:p>
    <w:p w:rsidR="00AC3486" w:rsidRDefault="00D13A88" w:rsidP="00AC3486">
      <w:pPr>
        <w:ind w:leftChars="50" w:left="120"/>
        <w:jc w:val="both"/>
        <w:rPr>
          <w:rFonts w:ascii="Times New Roman" w:hAnsi="Times New Roman"/>
          <w:sz w:val="20"/>
          <w:szCs w:val="20"/>
        </w:rPr>
      </w:pPr>
      <w:r w:rsidRPr="00D13A88">
        <w:rPr>
          <w:rFonts w:ascii="Times New Roman" w:hAnsi="Times New Roman"/>
          <w:b/>
          <w:color w:val="FF0000"/>
          <w:sz w:val="20"/>
          <w:szCs w:val="20"/>
          <w:highlight w:val="yellow"/>
          <w:bdr w:val="single" w:sz="4" w:space="0" w:color="auto"/>
        </w:rPr>
        <w:t>（壹）</w:t>
      </w:r>
      <w:r>
        <w:rPr>
          <w:rFonts w:ascii="Times New Roman" w:hAnsi="Times New Roman" w:hint="eastAsia"/>
          <w:b/>
          <w:color w:val="FF0000"/>
          <w:sz w:val="20"/>
          <w:szCs w:val="20"/>
          <w:highlight w:val="yellow"/>
          <w:bdr w:val="single" w:sz="4" w:space="0" w:color="auto"/>
        </w:rPr>
        <w:t>簡明宗異</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253</w:t>
      </w:r>
      <w:r w:rsidRPr="00DA3BC7">
        <w:rPr>
          <w:rFonts w:ascii="Times New Roman" w:hAnsi="Times New Roman"/>
          <w:sz w:val="20"/>
          <w:szCs w:val="20"/>
        </w:rPr>
        <w:t>）</w:t>
      </w:r>
    </w:p>
    <w:p w:rsidR="00AA120F" w:rsidRPr="00DA3BC7" w:rsidRDefault="00AA120F" w:rsidP="00AC3486">
      <w:pPr>
        <w:ind w:leftChars="50" w:left="120"/>
        <w:jc w:val="both"/>
        <w:rPr>
          <w:rFonts w:ascii="Times New Roman" w:hAnsi="Times New Roman"/>
        </w:rPr>
      </w:pPr>
      <w:r w:rsidRPr="00DA3BC7">
        <w:rPr>
          <w:rFonts w:ascii="Times New Roman" w:hAnsi="Times New Roman"/>
        </w:rPr>
        <w:t>現在略談空宗與有宗，作為本論的結束。</w:t>
      </w:r>
    </w:p>
    <w:p w:rsidR="00AA120F" w:rsidRPr="00DA3BC7" w:rsidRDefault="00AA120F" w:rsidP="00AE3920">
      <w:pPr>
        <w:spacing w:beforeLines="20"/>
        <w:ind w:leftChars="50" w:left="120"/>
        <w:jc w:val="both"/>
        <w:rPr>
          <w:rFonts w:ascii="Times New Roman" w:hAnsi="Times New Roman"/>
          <w:szCs w:val="20"/>
        </w:rPr>
      </w:pPr>
      <w:r w:rsidRPr="00DA3BC7">
        <w:rPr>
          <w:rFonts w:ascii="Times New Roman" w:hAnsi="Times New Roman"/>
          <w:b/>
          <w:szCs w:val="20"/>
        </w:rPr>
        <w:t>中觀宗</w:t>
      </w:r>
      <w:r w:rsidRPr="00DA3BC7">
        <w:rPr>
          <w:rFonts w:ascii="Times New Roman" w:hAnsi="Times New Roman"/>
          <w:szCs w:val="20"/>
        </w:rPr>
        <w:t>又稱之為</w:t>
      </w:r>
      <w:r w:rsidRPr="00DA3BC7">
        <w:rPr>
          <w:rFonts w:ascii="Times New Roman" w:hAnsi="Times New Roman"/>
          <w:b/>
          <w:szCs w:val="20"/>
        </w:rPr>
        <w:t>空宗</w:t>
      </w:r>
      <w:r w:rsidRPr="00DA3BC7">
        <w:rPr>
          <w:rFonts w:ascii="Times New Roman" w:hAnsi="Times New Roman"/>
          <w:szCs w:val="20"/>
        </w:rPr>
        <w:t>，因為他是深刻發揮空性的，以一切法空為究竟了義的，以「空有無礙」為本宗的特色。</w:t>
      </w:r>
    </w:p>
    <w:p w:rsidR="00AA120F" w:rsidRPr="00DA3BC7" w:rsidRDefault="00AA120F" w:rsidP="00AE3920">
      <w:pPr>
        <w:spacing w:beforeLines="20"/>
        <w:ind w:leftChars="50" w:left="120"/>
        <w:jc w:val="both"/>
        <w:rPr>
          <w:rFonts w:ascii="Times New Roman" w:hAnsi="Times New Roman"/>
          <w:szCs w:val="20"/>
        </w:rPr>
      </w:pPr>
      <w:r w:rsidRPr="00DA3BC7">
        <w:rPr>
          <w:rFonts w:ascii="Times New Roman" w:hAnsi="Times New Roman" w:hint="eastAsia"/>
        </w:rPr>
        <w:t>稱</w:t>
      </w:r>
      <w:r w:rsidRPr="00DA3BC7">
        <w:rPr>
          <w:rFonts w:ascii="Times New Roman" w:hAnsi="Times New Roman"/>
          <w:b/>
        </w:rPr>
        <w:t>唯識宗</w:t>
      </w:r>
      <w:r w:rsidRPr="00DA3BC7">
        <w:rPr>
          <w:rFonts w:ascii="Times New Roman" w:hAnsi="Times New Roman"/>
        </w:rPr>
        <w:t>等為</w:t>
      </w:r>
      <w:r w:rsidRPr="00DA3BC7">
        <w:rPr>
          <w:rFonts w:ascii="Times New Roman" w:hAnsi="Times New Roman"/>
          <w:b/>
        </w:rPr>
        <w:t>有宗</w:t>
      </w:r>
      <w:r w:rsidRPr="00DA3BC7">
        <w:rPr>
          <w:rFonts w:ascii="Times New Roman" w:hAnsi="Times New Roman"/>
        </w:rPr>
        <w:t>。</w:t>
      </w:r>
    </w:p>
    <w:p w:rsidR="00AA120F" w:rsidRPr="00DA3BC7" w:rsidRDefault="00D13A88" w:rsidP="00AE3920">
      <w:pPr>
        <w:spacing w:beforeLines="30"/>
        <w:ind w:leftChars="50" w:left="120"/>
        <w:jc w:val="both"/>
        <w:rPr>
          <w:rFonts w:ascii="Times New Roman" w:hAnsi="Times New Roman"/>
          <w:b/>
          <w:bCs/>
          <w:sz w:val="20"/>
          <w:szCs w:val="20"/>
        </w:rPr>
      </w:pPr>
      <w:r w:rsidRPr="00D13A88">
        <w:rPr>
          <w:rFonts w:ascii="Times New Roman" w:hAnsi="Times New Roman"/>
          <w:b/>
          <w:color w:val="FF0000"/>
          <w:sz w:val="20"/>
          <w:szCs w:val="20"/>
          <w:highlight w:val="yellow"/>
          <w:bdr w:val="single" w:sz="4" w:space="0" w:color="auto"/>
        </w:rPr>
        <w:t>（貳）</w:t>
      </w:r>
      <w:r w:rsidRPr="00D13A88">
        <w:rPr>
          <w:rFonts w:ascii="Times New Roman" w:hAnsi="Times New Roman" w:hint="eastAsia"/>
          <w:b/>
          <w:bCs/>
          <w:color w:val="FF0000"/>
          <w:sz w:val="20"/>
          <w:szCs w:val="20"/>
          <w:highlight w:val="yellow"/>
          <w:bdr w:val="single" w:sz="4" w:space="0" w:color="auto"/>
        </w:rPr>
        <w:t>抉擇異同</w:t>
      </w:r>
      <w:r w:rsidR="00AA120F" w:rsidRPr="00DA3BC7">
        <w:rPr>
          <w:rFonts w:ascii="Times New Roman" w:hAnsi="Times New Roman"/>
          <w:sz w:val="20"/>
          <w:szCs w:val="20"/>
        </w:rPr>
        <w:t>（</w:t>
      </w:r>
      <w:r w:rsidR="00AA120F" w:rsidRPr="00DA3BC7">
        <w:rPr>
          <w:rFonts w:ascii="Times New Roman" w:hAnsi="Times New Roman"/>
          <w:sz w:val="20"/>
          <w:szCs w:val="20"/>
        </w:rPr>
        <w:t>pp.</w:t>
      </w:r>
      <w:r w:rsidR="00AA120F" w:rsidRPr="00DA3BC7">
        <w:rPr>
          <w:rFonts w:ascii="Times New Roman" w:hAnsi="Times New Roman"/>
          <w:bCs/>
          <w:sz w:val="20"/>
          <w:szCs w:val="20"/>
        </w:rPr>
        <w:t>253-254</w:t>
      </w:r>
      <w:r w:rsidR="00AA120F" w:rsidRPr="00DA3BC7">
        <w:rPr>
          <w:rFonts w:ascii="Times New Roman" w:hAnsi="Times New Roman"/>
          <w:sz w:val="20"/>
          <w:szCs w:val="20"/>
        </w:rPr>
        <w:t>）</w:t>
      </w:r>
    </w:p>
    <w:p w:rsidR="00AA120F" w:rsidRPr="00DA3BC7" w:rsidRDefault="00D13A88" w:rsidP="00212B5C">
      <w:pPr>
        <w:ind w:leftChars="100" w:left="240"/>
        <w:jc w:val="both"/>
        <w:rPr>
          <w:rFonts w:ascii="Times New Roman" w:hAnsi="Times New Roman"/>
          <w:b/>
          <w:sz w:val="20"/>
          <w:szCs w:val="20"/>
          <w:bdr w:val="single" w:sz="4" w:space="0" w:color="auto"/>
        </w:rPr>
      </w:pPr>
      <w:r w:rsidRPr="00D13A88">
        <w:rPr>
          <w:rFonts w:ascii="Times New Roman" w:hAnsi="Times New Roman" w:hint="eastAsia"/>
          <w:b/>
          <w:color w:val="FF0000"/>
          <w:sz w:val="20"/>
          <w:szCs w:val="20"/>
          <w:highlight w:val="yellow"/>
          <w:bdr w:val="single" w:sz="4" w:space="0" w:color="auto"/>
        </w:rPr>
        <w:t>一、諸家</w:t>
      </w:r>
      <w:r w:rsidR="00AA120F" w:rsidRPr="00D13A88">
        <w:rPr>
          <w:rFonts w:ascii="Times New Roman" w:hAnsi="Times New Roman"/>
          <w:b/>
          <w:color w:val="FF0000"/>
          <w:sz w:val="20"/>
          <w:szCs w:val="20"/>
          <w:highlight w:val="yellow"/>
          <w:bdr w:val="single" w:sz="4" w:space="0" w:color="auto"/>
        </w:rPr>
        <w:t>學者的</w:t>
      </w:r>
      <w:r w:rsidRPr="00D13A88">
        <w:rPr>
          <w:rFonts w:ascii="Times New Roman" w:hAnsi="Times New Roman" w:hint="eastAsia"/>
          <w:b/>
          <w:color w:val="FF0000"/>
          <w:sz w:val="20"/>
          <w:szCs w:val="20"/>
          <w:highlight w:val="yellow"/>
          <w:bdr w:val="single" w:sz="4" w:space="0" w:color="auto"/>
        </w:rPr>
        <w:t>主張</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bCs/>
          <w:sz w:val="20"/>
          <w:szCs w:val="20"/>
        </w:rPr>
        <w:t>253</w:t>
      </w:r>
      <w:r w:rsidR="00AA120F" w:rsidRPr="00DA3BC7">
        <w:rPr>
          <w:rFonts w:ascii="Times New Roman" w:hAnsi="Times New Roman"/>
          <w:sz w:val="20"/>
          <w:szCs w:val="20"/>
        </w:rPr>
        <w:t>）</w:t>
      </w:r>
    </w:p>
    <w:p w:rsidR="00AA120F" w:rsidRPr="00DA3BC7" w:rsidRDefault="00AA120F" w:rsidP="00212B5C">
      <w:pPr>
        <w:ind w:leftChars="100" w:left="240"/>
        <w:jc w:val="both"/>
        <w:rPr>
          <w:rFonts w:ascii="Times New Roman" w:hAnsi="Times New Roman"/>
          <w:szCs w:val="20"/>
        </w:rPr>
      </w:pPr>
      <w:r w:rsidRPr="00DA3BC7">
        <w:rPr>
          <w:rFonts w:ascii="Times New Roman" w:hAnsi="Times New Roman"/>
          <w:szCs w:val="20"/>
        </w:rPr>
        <w:t>有些學者，以為佛法是一味的，沒有空</w:t>
      </w:r>
      <w:r w:rsidRPr="00DA3BC7">
        <w:rPr>
          <w:rFonts w:ascii="Times New Roman" w:hAnsi="Times New Roman" w:hint="eastAsia"/>
          <w:szCs w:val="20"/>
        </w:rPr>
        <w:t>、</w:t>
      </w:r>
      <w:r w:rsidRPr="00DA3BC7">
        <w:rPr>
          <w:rFonts w:ascii="Times New Roman" w:hAnsi="Times New Roman"/>
          <w:szCs w:val="20"/>
        </w:rPr>
        <w:t>有的差別。</w:t>
      </w:r>
    </w:p>
    <w:p w:rsidR="00AA120F" w:rsidRPr="00DA3BC7" w:rsidRDefault="00AA120F" w:rsidP="00212B5C">
      <w:pPr>
        <w:ind w:leftChars="100" w:left="240"/>
        <w:jc w:val="both"/>
        <w:rPr>
          <w:rFonts w:ascii="Times New Roman" w:hAnsi="Times New Roman"/>
          <w:szCs w:val="20"/>
        </w:rPr>
      </w:pPr>
      <w:r w:rsidRPr="00DA3BC7">
        <w:rPr>
          <w:rFonts w:ascii="Times New Roman" w:hAnsi="Times New Roman"/>
          <w:szCs w:val="20"/>
        </w:rPr>
        <w:t>有以為佛法雖有空有二宗，而實際是共同的。特別是中國學者，採取調和的姿態，大抵說空宗與有宗是無諍的。</w:t>
      </w:r>
    </w:p>
    <w:p w:rsidR="00AA120F" w:rsidRPr="00DA3BC7" w:rsidRDefault="00D13A88" w:rsidP="00AE3920">
      <w:pPr>
        <w:spacing w:beforeLines="30"/>
        <w:ind w:leftChars="100" w:left="24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二、</w:t>
      </w:r>
      <w:r w:rsidR="00AA120F" w:rsidRPr="00DA3BC7">
        <w:rPr>
          <w:rFonts w:ascii="Times New Roman" w:hAnsi="Times New Roman"/>
          <w:b/>
          <w:sz w:val="20"/>
          <w:szCs w:val="20"/>
          <w:bdr w:val="single" w:sz="4" w:space="0" w:color="auto"/>
        </w:rPr>
        <w:t>印順法師</w:t>
      </w:r>
      <w:r w:rsidRPr="00D13A88">
        <w:rPr>
          <w:rFonts w:ascii="Times New Roman" w:hAnsi="Times New Roman"/>
          <w:b/>
          <w:color w:val="FF0000"/>
          <w:sz w:val="20"/>
          <w:szCs w:val="20"/>
          <w:highlight w:val="yellow"/>
          <w:bdr w:val="single" w:sz="4" w:space="0" w:color="auto"/>
        </w:rPr>
        <w:t>的</w:t>
      </w:r>
      <w:r w:rsidR="00AA120F" w:rsidRPr="00DA3BC7">
        <w:rPr>
          <w:rFonts w:ascii="Times New Roman" w:hAnsi="Times New Roman"/>
          <w:b/>
          <w:sz w:val="20"/>
          <w:szCs w:val="20"/>
          <w:bdr w:val="single" w:sz="4" w:space="0" w:color="auto"/>
        </w:rPr>
        <w:t>看法</w:t>
      </w:r>
      <w:r w:rsidR="00251D70" w:rsidRPr="00DA3BC7">
        <w:rPr>
          <w:rFonts w:ascii="Times New Roman" w:hAnsi="Times New Roman"/>
          <w:sz w:val="20"/>
          <w:szCs w:val="20"/>
        </w:rPr>
        <w:t>（</w:t>
      </w:r>
      <w:r w:rsidR="00251D70" w:rsidRPr="00DA3BC7">
        <w:rPr>
          <w:rFonts w:ascii="Times New Roman" w:hAnsi="Times New Roman"/>
          <w:sz w:val="20"/>
          <w:szCs w:val="20"/>
        </w:rPr>
        <w:t>pp.</w:t>
      </w:r>
      <w:r w:rsidR="00251D70" w:rsidRPr="00DA3BC7">
        <w:rPr>
          <w:rFonts w:ascii="Times New Roman" w:hAnsi="Times New Roman"/>
          <w:bCs/>
          <w:sz w:val="20"/>
          <w:szCs w:val="20"/>
        </w:rPr>
        <w:t>253</w:t>
      </w:r>
      <w:r w:rsidR="00251D70" w:rsidRPr="00251D70">
        <w:rPr>
          <w:rFonts w:ascii="Times New Roman" w:hAnsi="Times New Roman"/>
          <w:bCs/>
          <w:color w:val="FF0000"/>
          <w:sz w:val="20"/>
          <w:szCs w:val="20"/>
          <w:highlight w:val="yellow"/>
        </w:rPr>
        <w:t>-254</w:t>
      </w:r>
      <w:r w:rsidR="00251D70" w:rsidRPr="00DA3BC7">
        <w:rPr>
          <w:rFonts w:ascii="Times New Roman" w:hAnsi="Times New Roman"/>
          <w:sz w:val="20"/>
          <w:szCs w:val="20"/>
        </w:rPr>
        <w:t>）</w:t>
      </w:r>
    </w:p>
    <w:p w:rsidR="00AA120F" w:rsidRDefault="00D13A88" w:rsidP="00212B5C">
      <w:pPr>
        <w:ind w:leftChars="150" w:left="360"/>
        <w:jc w:val="both"/>
        <w:rPr>
          <w:rFonts w:ascii="Times New Roman" w:hAnsi="Times New Roman"/>
          <w:sz w:val="20"/>
          <w:szCs w:val="20"/>
        </w:rPr>
      </w:pPr>
      <w:r w:rsidRPr="00D13A88">
        <w:rPr>
          <w:rFonts w:ascii="Times New Roman" w:hAnsi="Times New Roman"/>
          <w:b/>
          <w:color w:val="FF0000"/>
          <w:sz w:val="20"/>
          <w:szCs w:val="20"/>
          <w:highlight w:val="yellow"/>
          <w:bdr w:val="single" w:sz="4" w:space="0" w:color="auto"/>
        </w:rPr>
        <w:t>（</w:t>
      </w:r>
      <w:r w:rsidRPr="00D13A88">
        <w:rPr>
          <w:rFonts w:ascii="Times New Roman" w:hAnsi="Times New Roman" w:hint="eastAsia"/>
          <w:b/>
          <w:color w:val="FF0000"/>
          <w:sz w:val="20"/>
          <w:szCs w:val="20"/>
          <w:highlight w:val="yellow"/>
          <w:bdr w:val="single" w:sz="4" w:space="0" w:color="auto"/>
        </w:rPr>
        <w:t>一</w:t>
      </w:r>
      <w:r w:rsidRPr="00D13A88">
        <w:rPr>
          <w:rFonts w:ascii="Times New Roman" w:hAnsi="Times New Roman"/>
          <w:b/>
          <w:color w:val="FF0000"/>
          <w:sz w:val="20"/>
          <w:szCs w:val="20"/>
          <w:highlight w:val="yellow"/>
          <w:bdr w:val="single" w:sz="4" w:space="0" w:color="auto"/>
        </w:rPr>
        <w:t>）</w:t>
      </w:r>
      <w:r w:rsidR="00251D70">
        <w:rPr>
          <w:rFonts w:ascii="Times New Roman" w:hAnsi="Times New Roman" w:hint="eastAsia"/>
          <w:b/>
          <w:color w:val="FF0000"/>
          <w:sz w:val="20"/>
          <w:szCs w:val="20"/>
          <w:highlight w:val="yellow"/>
          <w:bdr w:val="single" w:sz="4" w:space="0" w:color="auto"/>
        </w:rPr>
        <w:t>根本聖教義同一</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bCs/>
          <w:sz w:val="20"/>
          <w:szCs w:val="20"/>
        </w:rPr>
        <w:t>253</w:t>
      </w:r>
      <w:r w:rsidR="00AA120F" w:rsidRPr="00DA3BC7">
        <w:rPr>
          <w:rFonts w:ascii="Times New Roman" w:hAnsi="Times New Roman"/>
          <w:sz w:val="20"/>
          <w:szCs w:val="20"/>
        </w:rPr>
        <w:t>）</w:t>
      </w:r>
    </w:p>
    <w:p w:rsidR="00AA120F" w:rsidRPr="00DA3BC7" w:rsidRDefault="00AA120F" w:rsidP="00212B5C">
      <w:pPr>
        <w:ind w:leftChars="200" w:left="480"/>
        <w:jc w:val="both"/>
        <w:rPr>
          <w:rFonts w:ascii="Times New Roman" w:hAnsi="Times New Roman"/>
        </w:rPr>
      </w:pPr>
      <w:r w:rsidRPr="00DA3BC7">
        <w:rPr>
          <w:rFonts w:ascii="Times New Roman" w:hAnsi="Times New Roman"/>
        </w:rPr>
        <w:t>論到空與有，我也覺得是無諍的，釋尊的教法是一味的，以緣起安立一切法，以解脫為究竟。究竟的真理，當然是一致的。</w:t>
      </w:r>
    </w:p>
    <w:p w:rsidR="00AA120F" w:rsidRPr="00DA3BC7" w:rsidRDefault="00251D70" w:rsidP="00AE3920">
      <w:pPr>
        <w:spacing w:beforeLines="30"/>
        <w:ind w:leftChars="200" w:left="480"/>
        <w:jc w:val="both"/>
        <w:rPr>
          <w:rFonts w:ascii="Times New Roman" w:hAnsi="Times New Roman"/>
          <w:b/>
          <w:sz w:val="20"/>
          <w:szCs w:val="20"/>
          <w:bdr w:val="single" w:sz="4" w:space="0" w:color="auto"/>
        </w:rPr>
      </w:pPr>
      <w:r w:rsidRPr="00D13A88">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二</w:t>
      </w:r>
      <w:r w:rsidRPr="00D13A88">
        <w:rPr>
          <w:rFonts w:ascii="Times New Roman" w:hAnsi="Times New Roman"/>
          <w:b/>
          <w:color w:val="FF0000"/>
          <w:sz w:val="20"/>
          <w:szCs w:val="20"/>
          <w:highlight w:val="yellow"/>
          <w:bdr w:val="single" w:sz="4" w:space="0" w:color="auto"/>
        </w:rPr>
        <w:t>）</w:t>
      </w:r>
      <w:r w:rsidR="00AA120F" w:rsidRPr="00D13A88">
        <w:rPr>
          <w:rFonts w:ascii="Times New Roman" w:hAnsi="Times New Roman"/>
          <w:b/>
          <w:color w:val="FF0000"/>
          <w:sz w:val="20"/>
          <w:szCs w:val="20"/>
          <w:highlight w:val="yellow"/>
          <w:bdr w:val="single" w:sz="4" w:space="0" w:color="auto"/>
        </w:rPr>
        <w:t>空有</w:t>
      </w:r>
      <w:r w:rsidR="00D13A88" w:rsidRPr="00D13A88">
        <w:rPr>
          <w:rFonts w:ascii="Times New Roman" w:hAnsi="Times New Roman" w:hint="eastAsia"/>
          <w:b/>
          <w:color w:val="FF0000"/>
          <w:sz w:val="20"/>
          <w:szCs w:val="20"/>
          <w:highlight w:val="yellow"/>
          <w:bdr w:val="single" w:sz="4" w:space="0" w:color="auto"/>
        </w:rPr>
        <w:t>二</w:t>
      </w:r>
      <w:r w:rsidR="00AA120F" w:rsidRPr="00D13A88">
        <w:rPr>
          <w:rFonts w:ascii="Times New Roman" w:hAnsi="Times New Roman"/>
          <w:b/>
          <w:color w:val="FF0000"/>
          <w:sz w:val="20"/>
          <w:szCs w:val="20"/>
          <w:highlight w:val="yellow"/>
          <w:bdr w:val="single" w:sz="4" w:space="0" w:color="auto"/>
        </w:rPr>
        <w:t>宗</w:t>
      </w:r>
      <w:r w:rsidR="00D13A88" w:rsidRPr="00D13A88">
        <w:rPr>
          <w:rFonts w:ascii="Times New Roman" w:hAnsi="Times New Roman" w:hint="eastAsia"/>
          <w:b/>
          <w:color w:val="FF0000"/>
          <w:sz w:val="20"/>
          <w:szCs w:val="20"/>
          <w:highlight w:val="yellow"/>
          <w:bdr w:val="single" w:sz="4" w:space="0" w:color="auto"/>
        </w:rPr>
        <w:t>實</w:t>
      </w:r>
      <w:r w:rsidR="00AA120F" w:rsidRPr="00D13A88">
        <w:rPr>
          <w:rFonts w:ascii="Times New Roman" w:hAnsi="Times New Roman"/>
          <w:b/>
          <w:color w:val="FF0000"/>
          <w:sz w:val="20"/>
          <w:szCs w:val="20"/>
          <w:highlight w:val="yellow"/>
          <w:bdr w:val="single" w:sz="4" w:space="0" w:color="auto"/>
        </w:rPr>
        <w:t>存</w:t>
      </w:r>
      <w:r w:rsidR="00D13A88" w:rsidRPr="00D13A88">
        <w:rPr>
          <w:rFonts w:ascii="Times New Roman" w:hAnsi="Times New Roman" w:hint="eastAsia"/>
          <w:b/>
          <w:color w:val="FF0000"/>
          <w:sz w:val="20"/>
          <w:szCs w:val="20"/>
          <w:highlight w:val="yellow"/>
          <w:bdr w:val="single" w:sz="4" w:space="0" w:color="auto"/>
        </w:rPr>
        <w:t>異</w:t>
      </w:r>
      <w:r w:rsidR="00AA120F" w:rsidRPr="00DA3BC7">
        <w:rPr>
          <w:rFonts w:ascii="Times New Roman" w:hAnsi="Times New Roman"/>
          <w:sz w:val="20"/>
          <w:szCs w:val="20"/>
        </w:rPr>
        <w:t>（</w:t>
      </w:r>
      <w:r w:rsidR="00AA120F" w:rsidRPr="00DA3BC7">
        <w:rPr>
          <w:rFonts w:ascii="Times New Roman" w:hAnsi="Times New Roman"/>
          <w:sz w:val="20"/>
          <w:szCs w:val="20"/>
        </w:rPr>
        <w:t>pp.</w:t>
      </w:r>
      <w:r w:rsidR="00AA120F" w:rsidRPr="00DA3BC7">
        <w:rPr>
          <w:rFonts w:ascii="Times New Roman" w:hAnsi="Times New Roman"/>
          <w:bCs/>
          <w:sz w:val="20"/>
          <w:szCs w:val="20"/>
        </w:rPr>
        <w:t>253-254</w:t>
      </w:r>
      <w:r w:rsidR="00AA120F" w:rsidRPr="00DA3BC7">
        <w:rPr>
          <w:rFonts w:ascii="Times New Roman" w:hAnsi="Times New Roman"/>
          <w:sz w:val="20"/>
          <w:szCs w:val="20"/>
        </w:rPr>
        <w:t>）</w:t>
      </w:r>
    </w:p>
    <w:p w:rsidR="00D13A88" w:rsidRDefault="00D13A88" w:rsidP="00212B5C">
      <w:pPr>
        <w:ind w:leftChars="250" w:left="600"/>
        <w:jc w:val="both"/>
        <w:rPr>
          <w:rFonts w:ascii="Times New Roman" w:hAnsi="Times New Roman"/>
          <w:sz w:val="20"/>
          <w:szCs w:val="20"/>
        </w:rPr>
      </w:pPr>
      <w:r w:rsidRPr="001B0906">
        <w:rPr>
          <w:rFonts w:ascii="Times New Roman" w:hAnsi="Times New Roman" w:hint="eastAsia"/>
          <w:b/>
          <w:color w:val="FF0000"/>
          <w:sz w:val="20"/>
          <w:szCs w:val="20"/>
          <w:highlight w:val="yellow"/>
          <w:bdr w:val="single" w:sz="4" w:space="0" w:color="auto"/>
        </w:rPr>
        <w:t>1</w:t>
      </w:r>
      <w:r w:rsidR="00251D70">
        <w:rPr>
          <w:rFonts w:ascii="Times New Roman" w:hAnsi="Times New Roman" w:hint="eastAsia"/>
          <w:b/>
          <w:color w:val="FF0000"/>
          <w:sz w:val="20"/>
          <w:szCs w:val="20"/>
          <w:highlight w:val="yellow"/>
          <w:bdr w:val="single" w:sz="4" w:space="0" w:color="auto"/>
        </w:rPr>
        <w:t>、</w:t>
      </w:r>
      <w:r w:rsidRPr="001B0906">
        <w:rPr>
          <w:rFonts w:ascii="Times New Roman" w:hAnsi="Times New Roman" w:hint="eastAsia"/>
          <w:b/>
          <w:color w:val="FF0000"/>
          <w:sz w:val="20"/>
          <w:szCs w:val="20"/>
          <w:highlight w:val="yellow"/>
          <w:bdr w:val="single" w:sz="4" w:space="0" w:color="auto"/>
        </w:rPr>
        <w:t>了</w:t>
      </w:r>
      <w:r w:rsidR="001B0906" w:rsidRPr="001B0906">
        <w:rPr>
          <w:rFonts w:ascii="新細明體" w:hAnsi="新細明體" w:hint="eastAsia"/>
          <w:b/>
          <w:color w:val="FF0000"/>
          <w:sz w:val="20"/>
          <w:szCs w:val="20"/>
          <w:highlight w:val="yellow"/>
          <w:bdr w:val="single" w:sz="4" w:space="0" w:color="auto"/>
        </w:rPr>
        <w:t>「</w:t>
      </w:r>
      <w:r w:rsidRPr="001B0906">
        <w:rPr>
          <w:rFonts w:ascii="Times New Roman" w:hAnsi="Times New Roman" w:hint="eastAsia"/>
          <w:b/>
          <w:color w:val="FF0000"/>
          <w:sz w:val="20"/>
          <w:szCs w:val="20"/>
          <w:highlight w:val="yellow"/>
          <w:bdr w:val="single" w:sz="4" w:space="0" w:color="auto"/>
        </w:rPr>
        <w:t>二</w:t>
      </w:r>
      <w:r w:rsidRPr="001B0906">
        <w:rPr>
          <w:rFonts w:ascii="Times New Roman" w:hAnsi="Times New Roman"/>
          <w:b/>
          <w:color w:val="FF0000"/>
          <w:sz w:val="20"/>
          <w:szCs w:val="20"/>
          <w:highlight w:val="yellow"/>
          <w:bdr w:val="single" w:sz="4" w:space="0" w:color="auto"/>
        </w:rPr>
        <w:t>宗</w:t>
      </w:r>
      <w:r w:rsidRPr="001B0906">
        <w:rPr>
          <w:rFonts w:ascii="Times New Roman" w:hAnsi="Times New Roman" w:hint="eastAsia"/>
          <w:b/>
          <w:color w:val="FF0000"/>
          <w:sz w:val="20"/>
          <w:szCs w:val="20"/>
          <w:highlight w:val="yellow"/>
          <w:bdr w:val="single" w:sz="4" w:space="0" w:color="auto"/>
        </w:rPr>
        <w:t>有別的史實</w:t>
      </w:r>
      <w:r w:rsidR="001B0906" w:rsidRPr="001B0906">
        <w:rPr>
          <w:rFonts w:ascii="新細明體" w:hAnsi="新細明體" w:hint="eastAsia"/>
          <w:b/>
          <w:color w:val="FF0000"/>
          <w:sz w:val="20"/>
          <w:szCs w:val="20"/>
          <w:highlight w:val="yellow"/>
          <w:bdr w:val="single" w:sz="4" w:space="0" w:color="auto"/>
        </w:rPr>
        <w:t>」</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253</w:t>
      </w:r>
      <w:r w:rsidRPr="00DA3BC7">
        <w:rPr>
          <w:rFonts w:ascii="Times New Roman" w:hAnsi="Times New Roman"/>
          <w:sz w:val="20"/>
          <w:szCs w:val="20"/>
        </w:rPr>
        <w:t>）</w:t>
      </w:r>
    </w:p>
    <w:p w:rsidR="001C4111" w:rsidRDefault="00AA120F" w:rsidP="00212B5C">
      <w:pPr>
        <w:ind w:leftChars="250" w:left="600"/>
        <w:jc w:val="both"/>
        <w:rPr>
          <w:rFonts w:ascii="Times New Roman" w:hAnsi="Times New Roman"/>
        </w:rPr>
      </w:pPr>
      <w:r w:rsidRPr="00DA3BC7">
        <w:rPr>
          <w:rFonts w:ascii="Times New Roman" w:hAnsi="Times New Roman"/>
        </w:rPr>
        <w:t>然而，佛雖沒有替有宗、空宗下過定義</w:t>
      </w:r>
      <w:r w:rsidRPr="00DA3BC7">
        <w:rPr>
          <w:rFonts w:ascii="Times New Roman" w:hAnsi="Times New Roman" w:hint="eastAsia"/>
        </w:rPr>
        <w:t>，</w:t>
      </w:r>
      <w:r w:rsidRPr="00DA3BC7">
        <w:rPr>
          <w:rFonts w:ascii="Times New Roman" w:hAnsi="Times New Roman"/>
        </w:rPr>
        <w:t>儘管佛法是一味的</w:t>
      </w:r>
      <w:r w:rsidRPr="00DA3BC7">
        <w:rPr>
          <w:rFonts w:ascii="Times New Roman" w:hAnsi="Times New Roman" w:hint="eastAsia"/>
        </w:rPr>
        <w:t>、</w:t>
      </w:r>
      <w:r w:rsidRPr="00DA3BC7">
        <w:rPr>
          <w:rFonts w:ascii="Times New Roman" w:hAnsi="Times New Roman"/>
        </w:rPr>
        <w:t>空有是無礙的，而</w:t>
      </w:r>
      <w:r w:rsidRPr="00DA3BC7">
        <w:rPr>
          <w:rFonts w:ascii="Times New Roman" w:hAnsi="Times New Roman"/>
          <w:b/>
        </w:rPr>
        <w:t>事實上，印度確有空宗與有宗的存在</w:t>
      </w:r>
      <w:r w:rsidRPr="00DA3BC7">
        <w:rPr>
          <w:rFonts w:ascii="Times New Roman" w:hAnsi="Times New Roman"/>
        </w:rPr>
        <w:t>。這</w:t>
      </w:r>
      <w:r w:rsidRPr="00DA3BC7">
        <w:rPr>
          <w:rFonts w:ascii="Times New Roman" w:hAnsi="Times New Roman"/>
          <w:b/>
        </w:rPr>
        <w:t>不但大乘佛法有空有二宗，即聲聞學派中也是空有對立的，如毘曇與成實</w:t>
      </w:r>
      <w:r w:rsidRPr="00DA3BC7">
        <w:rPr>
          <w:rFonts w:ascii="Times New Roman" w:hAnsi="Times New Roman"/>
        </w:rPr>
        <w:t>。</w:t>
      </w:r>
    </w:p>
    <w:p w:rsidR="001C4111" w:rsidRPr="00DA3BC7" w:rsidRDefault="001C4111" w:rsidP="00AE3920">
      <w:pPr>
        <w:spacing w:beforeLines="20"/>
        <w:ind w:leftChars="250" w:left="600"/>
        <w:jc w:val="both"/>
        <w:rPr>
          <w:rFonts w:ascii="Times New Roman" w:hAnsi="Times New Roman"/>
        </w:rPr>
      </w:pPr>
      <w:r w:rsidRPr="00DA3BC7">
        <w:rPr>
          <w:rFonts w:ascii="Times New Roman" w:hAnsi="Times New Roman"/>
        </w:rPr>
        <w:t>二千餘年來的佛法，空有兩大系始終是存在的，這是一種事實，任何人也不應該否認</w:t>
      </w:r>
      <w:r w:rsidRPr="00DA3BC7">
        <w:rPr>
          <w:rFonts w:hint="eastAsia"/>
        </w:rPr>
        <w:t>它</w:t>
      </w:r>
      <w:r w:rsidRPr="00DA3BC7">
        <w:rPr>
          <w:rFonts w:ascii="Times New Roman" w:hAnsi="Times New Roman"/>
        </w:rPr>
        <w:t>。所以我們不應以佛法是一味的，即抹殺此種事實</w:t>
      </w:r>
      <w:r w:rsidRPr="00DA3BC7">
        <w:rPr>
          <w:rFonts w:ascii="Times New Roman" w:hAnsi="Times New Roman" w:hint="eastAsia"/>
        </w:rPr>
        <w:t>。</w:t>
      </w:r>
    </w:p>
    <w:p w:rsidR="00D13A88" w:rsidRPr="00DA3BC7" w:rsidRDefault="00D13A88" w:rsidP="00AE3920">
      <w:pPr>
        <w:spacing w:beforeLines="30"/>
        <w:ind w:leftChars="250" w:left="60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2</w:t>
      </w:r>
      <w:r w:rsidR="00251D70">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知</w:t>
      </w:r>
      <w:r w:rsidR="001B0906" w:rsidRPr="001B0906">
        <w:rPr>
          <w:rFonts w:ascii="新細明體" w:hAnsi="新細明體" w:hint="eastAsia"/>
          <w:b/>
          <w:color w:val="FF0000"/>
          <w:sz w:val="20"/>
          <w:szCs w:val="20"/>
          <w:highlight w:val="yellow"/>
          <w:bdr w:val="single" w:sz="4" w:space="0" w:color="auto"/>
        </w:rPr>
        <w:t>「</w:t>
      </w:r>
      <w:r w:rsidRPr="00D13A88">
        <w:rPr>
          <w:rFonts w:ascii="Times New Roman" w:hAnsi="Times New Roman" w:hint="eastAsia"/>
          <w:b/>
          <w:color w:val="FF0000"/>
          <w:sz w:val="20"/>
          <w:szCs w:val="20"/>
          <w:highlight w:val="yellow"/>
          <w:bdr w:val="single" w:sz="4" w:space="0" w:color="auto"/>
        </w:rPr>
        <w:t>二</w:t>
      </w:r>
      <w:r w:rsidRPr="00D13A88">
        <w:rPr>
          <w:rFonts w:ascii="Times New Roman" w:hAnsi="Times New Roman"/>
          <w:b/>
          <w:color w:val="FF0000"/>
          <w:sz w:val="20"/>
          <w:szCs w:val="20"/>
          <w:highlight w:val="yellow"/>
          <w:bdr w:val="single" w:sz="4" w:space="0" w:color="auto"/>
        </w:rPr>
        <w:t>宗</w:t>
      </w:r>
      <w:r>
        <w:rPr>
          <w:rFonts w:ascii="Times New Roman" w:hAnsi="Times New Roman" w:hint="eastAsia"/>
          <w:b/>
          <w:color w:val="FF0000"/>
          <w:sz w:val="20"/>
          <w:szCs w:val="20"/>
          <w:highlight w:val="yellow"/>
          <w:bdr w:val="single" w:sz="4" w:space="0" w:color="auto"/>
        </w:rPr>
        <w:t>差</w:t>
      </w:r>
      <w:r w:rsidRPr="00D13A88">
        <w:rPr>
          <w:rFonts w:ascii="Times New Roman" w:hAnsi="Times New Roman" w:hint="eastAsia"/>
          <w:b/>
          <w:color w:val="FF0000"/>
          <w:sz w:val="20"/>
          <w:szCs w:val="20"/>
          <w:highlight w:val="yellow"/>
          <w:bdr w:val="single" w:sz="4" w:space="0" w:color="auto"/>
        </w:rPr>
        <w:t>異</w:t>
      </w:r>
      <w:r>
        <w:rPr>
          <w:rFonts w:ascii="Times New Roman" w:hAnsi="Times New Roman" w:hint="eastAsia"/>
          <w:b/>
          <w:color w:val="FF0000"/>
          <w:sz w:val="20"/>
          <w:szCs w:val="20"/>
          <w:highlight w:val="yellow"/>
          <w:bdr w:val="single" w:sz="4" w:space="0" w:color="auto"/>
        </w:rPr>
        <w:t>的根本</w:t>
      </w:r>
      <w:r w:rsidR="001B0906" w:rsidRPr="001B0906">
        <w:rPr>
          <w:rFonts w:ascii="新細明體" w:hAnsi="新細明體" w:hint="eastAsia"/>
          <w:b/>
          <w:color w:val="FF0000"/>
          <w:sz w:val="20"/>
          <w:szCs w:val="20"/>
          <w:highlight w:val="yellow"/>
          <w:bdr w:val="single" w:sz="4" w:space="0" w:color="auto"/>
        </w:rPr>
        <w:t>」</w:t>
      </w:r>
      <w:r w:rsidRPr="00DA3BC7">
        <w:rPr>
          <w:rFonts w:ascii="Times New Roman" w:hAnsi="Times New Roman"/>
          <w:sz w:val="20"/>
          <w:szCs w:val="20"/>
        </w:rPr>
        <w:t>（</w:t>
      </w:r>
      <w:r w:rsidRPr="00DA3BC7">
        <w:rPr>
          <w:rFonts w:ascii="Times New Roman" w:hAnsi="Times New Roman"/>
          <w:sz w:val="20"/>
          <w:szCs w:val="20"/>
        </w:rPr>
        <w:t>pp.</w:t>
      </w:r>
      <w:r w:rsidRPr="00DA3BC7">
        <w:rPr>
          <w:rFonts w:ascii="Times New Roman" w:hAnsi="Times New Roman"/>
          <w:bCs/>
          <w:sz w:val="20"/>
          <w:szCs w:val="20"/>
        </w:rPr>
        <w:t>253-254</w:t>
      </w:r>
      <w:r w:rsidRPr="00DA3BC7">
        <w:rPr>
          <w:rFonts w:ascii="Times New Roman" w:hAnsi="Times New Roman"/>
          <w:sz w:val="20"/>
          <w:szCs w:val="20"/>
        </w:rPr>
        <w:t>）</w:t>
      </w:r>
    </w:p>
    <w:p w:rsidR="00AA120F" w:rsidRPr="00DA3BC7" w:rsidRDefault="00AA120F" w:rsidP="00212B5C">
      <w:pPr>
        <w:ind w:leftChars="250" w:left="600"/>
        <w:jc w:val="both"/>
        <w:rPr>
          <w:rFonts w:ascii="Times New Roman" w:hAnsi="Times New Roman"/>
        </w:rPr>
      </w:pPr>
      <w:r w:rsidRPr="00DA3BC7">
        <w:rPr>
          <w:rFonts w:ascii="Times New Roman" w:hAnsi="Times New Roman"/>
        </w:rPr>
        <w:t>二千餘年來的空宗與有宗，雖是互相融攝而終於彼此相拒，這必有</w:t>
      </w:r>
      <w:r w:rsidRPr="00DA3BC7">
        <w:rPr>
          <w:rFonts w:hint="eastAsia"/>
        </w:rPr>
        <w:t>它</w:t>
      </w:r>
      <w:r w:rsidRPr="00DA3BC7">
        <w:rPr>
          <w:rFonts w:ascii="Times New Roman" w:hAnsi="Times New Roman"/>
        </w:rPr>
        <w:t>的根本不同處，否則為什麼會有此糾葛</w:t>
      </w:r>
      <w:r w:rsidRPr="00DA3BC7">
        <w:rPr>
          <w:rStyle w:val="a6"/>
          <w:rFonts w:ascii="Times New Roman" w:hAnsi="Times New Roman"/>
        </w:rPr>
        <w:footnoteReference w:id="1088"/>
      </w:r>
      <w:r w:rsidRPr="00DA3BC7">
        <w:rPr>
          <w:rFonts w:ascii="Times New Roman" w:hAnsi="Times New Roman"/>
        </w:rPr>
        <w:t>不清的對峙</w:t>
      </w:r>
      <w:r w:rsidRPr="00DA3BC7">
        <w:rPr>
          <w:rStyle w:val="a6"/>
          <w:rFonts w:ascii="Times New Roman" w:hAnsi="Times New Roman"/>
        </w:rPr>
        <w:footnoteReference w:id="1089"/>
      </w:r>
      <w:r w:rsidRPr="00DA3BC7">
        <w:rPr>
          <w:rFonts w:ascii="Times New Roman" w:hAnsi="Times New Roman"/>
        </w:rPr>
        <w:t>現象？</w:t>
      </w:r>
    </w:p>
    <w:p w:rsidR="00AA120F" w:rsidRPr="00DA3BC7" w:rsidRDefault="00AA120F" w:rsidP="00212B5C">
      <w:pPr>
        <w:ind w:leftChars="250" w:left="600"/>
        <w:jc w:val="both"/>
        <w:rPr>
          <w:rFonts w:ascii="Times New Roman" w:hAnsi="Times New Roman"/>
        </w:rPr>
      </w:pPr>
      <w:r w:rsidRPr="00DA3BC7">
        <w:rPr>
          <w:rFonts w:ascii="Times New Roman" w:hAnsi="Times New Roman"/>
        </w:rPr>
        <w:lastRenderedPageBreak/>
        <w:t>空宗與有宗，彼此相互攝取對方的善巧而融貫</w:t>
      </w:r>
      <w:r w:rsidRPr="00DA3BC7">
        <w:rPr>
          <w:rFonts w:hint="eastAsia"/>
        </w:rPr>
        <w:t>它</w:t>
      </w:r>
      <w:r w:rsidRPr="00DA3BC7">
        <w:rPr>
          <w:rFonts w:ascii="Times New Roman" w:hAnsi="Times New Roman"/>
        </w:rPr>
        <w:t>，</w:t>
      </w:r>
      <w:r w:rsidRPr="00DA3BC7">
        <w:rPr>
          <w:rFonts w:ascii="Times New Roman" w:hAnsi="Times New Roman"/>
          <w:b/>
        </w:rPr>
        <w:t>印度</w:t>
      </w:r>
      <w:r w:rsidRPr="00DA3BC7">
        <w:rPr>
          <w:rFonts w:ascii="Times New Roman" w:hAnsi="Times New Roman"/>
        </w:rPr>
        <w:t>如此，傳到</w:t>
      </w:r>
      <w:r w:rsidRPr="00DA3BC7">
        <w:rPr>
          <w:rFonts w:ascii="Times New Roman" w:hAnsi="Times New Roman"/>
          <w:b/>
        </w:rPr>
        <w:t>中國</w:t>
      </w:r>
      <w:r w:rsidRPr="00DA3BC7">
        <w:rPr>
          <w:rFonts w:ascii="Times New Roman" w:hAnsi="Times New Roman"/>
        </w:rPr>
        <w:t>也如此；但無論如何，空宗與有宗的差別是存在的。</w:t>
      </w:r>
    </w:p>
    <w:p w:rsidR="00AA120F" w:rsidRPr="00DA3BC7" w:rsidRDefault="00AA120F" w:rsidP="00AE3920">
      <w:pPr>
        <w:kinsoku w:val="0"/>
        <w:spacing w:beforeLines="20"/>
        <w:ind w:leftChars="250" w:left="600"/>
        <w:jc w:val="both"/>
        <w:rPr>
          <w:rFonts w:ascii="Times New Roman" w:hAnsi="Times New Roman"/>
        </w:rPr>
      </w:pPr>
      <w:r w:rsidRPr="00DA3BC7">
        <w:rPr>
          <w:rFonts w:ascii="Times New Roman" w:hAnsi="Times New Roman"/>
        </w:rPr>
        <w:t>此空有二宗的根本不同處，應該深刻地去認識</w:t>
      </w:r>
      <w:r w:rsidRPr="00DA3BC7">
        <w:rPr>
          <w:rFonts w:hint="eastAsia"/>
        </w:rPr>
        <w:t>它</w:t>
      </w:r>
      <w:r w:rsidRPr="00DA3BC7">
        <w:rPr>
          <w:rFonts w:ascii="Times New Roman" w:hAnsi="Times New Roman"/>
        </w:rPr>
        <w:t>，不應該模稜兩可</w:t>
      </w:r>
      <w:r w:rsidRPr="00DA3BC7">
        <w:rPr>
          <w:rStyle w:val="a6"/>
          <w:rFonts w:ascii="Times New Roman" w:hAnsi="Times New Roman"/>
        </w:rPr>
        <w:footnoteReference w:id="1090"/>
      </w:r>
      <w:r w:rsidRPr="00DA3BC7">
        <w:rPr>
          <w:rFonts w:ascii="Times New Roman" w:hAnsi="Times New Roman"/>
        </w:rPr>
        <w:t>的「將無同」</w:t>
      </w:r>
      <w:r w:rsidRPr="00DA3BC7">
        <w:rPr>
          <w:rStyle w:val="a6"/>
          <w:rFonts w:ascii="Times New Roman" w:hAnsi="Times New Roman"/>
        </w:rPr>
        <w:footnoteReference w:id="1091"/>
      </w:r>
      <w:r w:rsidRPr="00DA3BC7">
        <w:rPr>
          <w:rFonts w:ascii="Times New Roman" w:hAnsi="Times New Roman"/>
        </w:rPr>
        <w:t>地去融貫</w:t>
      </w:r>
      <w:r w:rsidRPr="00DA3BC7">
        <w:rPr>
          <w:rFonts w:hint="eastAsia"/>
        </w:rPr>
        <w:t>它</w:t>
      </w:r>
      <w:r w:rsidRPr="00DA3BC7">
        <w:rPr>
          <w:rFonts w:ascii="Times New Roman" w:hAnsi="Times New Roman"/>
        </w:rPr>
        <w:t>。</w:t>
      </w:r>
    </w:p>
    <w:p w:rsidR="00AA120F" w:rsidRPr="00DA3BC7" w:rsidRDefault="001C4111" w:rsidP="00AE3920">
      <w:pPr>
        <w:spacing w:beforeLines="30"/>
        <w:ind w:leftChars="250" w:left="600"/>
        <w:jc w:val="both"/>
        <w:rPr>
          <w:rFonts w:ascii="Times New Roman" w:hAnsi="Times New Roman"/>
          <w:b/>
          <w:sz w:val="20"/>
          <w:szCs w:val="20"/>
        </w:rPr>
      </w:pPr>
      <w:r w:rsidRPr="00974773">
        <w:rPr>
          <w:rFonts w:ascii="Times New Roman" w:hAnsi="Times New Roman" w:hint="eastAsia"/>
          <w:b/>
          <w:color w:val="FF0000"/>
          <w:sz w:val="20"/>
          <w:szCs w:val="20"/>
          <w:highlight w:val="yellow"/>
          <w:bdr w:val="single" w:sz="4" w:space="0" w:color="auto"/>
        </w:rPr>
        <w:t>3</w:t>
      </w:r>
      <w:r w:rsidR="00251D70">
        <w:rPr>
          <w:rFonts w:ascii="Times New Roman" w:hAnsi="Times New Roman" w:hint="eastAsia"/>
          <w:b/>
          <w:color w:val="FF0000"/>
          <w:sz w:val="20"/>
          <w:szCs w:val="20"/>
          <w:highlight w:val="yellow"/>
          <w:bdr w:val="single" w:sz="4" w:space="0" w:color="auto"/>
        </w:rPr>
        <w:t>、明</w:t>
      </w:r>
      <w:r w:rsidR="00974773" w:rsidRPr="00974773">
        <w:rPr>
          <w:rFonts w:ascii="新細明體" w:hAnsi="新細明體" w:hint="eastAsia"/>
          <w:b/>
          <w:color w:val="FF0000"/>
          <w:sz w:val="20"/>
          <w:szCs w:val="20"/>
          <w:highlight w:val="yellow"/>
          <w:bdr w:val="single" w:sz="4" w:space="0" w:color="auto"/>
        </w:rPr>
        <w:t>「</w:t>
      </w:r>
      <w:r w:rsidRPr="00974773">
        <w:rPr>
          <w:rFonts w:ascii="Times New Roman" w:hAnsi="Times New Roman" w:hint="eastAsia"/>
          <w:b/>
          <w:color w:val="FF0000"/>
          <w:sz w:val="20"/>
          <w:szCs w:val="20"/>
          <w:highlight w:val="yellow"/>
          <w:bdr w:val="single" w:sz="4" w:space="0" w:color="auto"/>
        </w:rPr>
        <w:t>教說流變</w:t>
      </w:r>
      <w:r w:rsidR="00974773" w:rsidRPr="00974773">
        <w:rPr>
          <w:rFonts w:ascii="新細明體" w:hAnsi="新細明體" w:hint="eastAsia"/>
          <w:b/>
          <w:color w:val="FF0000"/>
          <w:sz w:val="20"/>
          <w:szCs w:val="20"/>
          <w:highlight w:val="yellow"/>
          <w:bdr w:val="single" w:sz="4" w:space="0" w:color="auto"/>
        </w:rPr>
        <w:t>」</w:t>
      </w:r>
      <w:r w:rsidRPr="00974773">
        <w:rPr>
          <w:rFonts w:ascii="Times New Roman" w:hAnsi="Times New Roman" w:hint="eastAsia"/>
          <w:b/>
          <w:color w:val="FF0000"/>
          <w:sz w:val="20"/>
          <w:szCs w:val="20"/>
          <w:highlight w:val="yellow"/>
          <w:bdr w:val="single" w:sz="4" w:space="0" w:color="auto"/>
        </w:rPr>
        <w:t>以融貫</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bCs/>
          <w:sz w:val="20"/>
          <w:szCs w:val="20"/>
        </w:rPr>
        <w:t>254</w:t>
      </w:r>
      <w:r w:rsidR="00AA120F" w:rsidRPr="00DA3BC7">
        <w:rPr>
          <w:rFonts w:ascii="Times New Roman" w:hAnsi="Times New Roman"/>
          <w:sz w:val="20"/>
          <w:szCs w:val="20"/>
        </w:rPr>
        <w:t>）</w:t>
      </w:r>
    </w:p>
    <w:p w:rsidR="00AA120F" w:rsidRPr="00DA3BC7" w:rsidRDefault="00251D70" w:rsidP="00212B5C">
      <w:pPr>
        <w:ind w:leftChars="300" w:left="720"/>
        <w:jc w:val="both"/>
        <w:rPr>
          <w:rFonts w:ascii="Times New Roman" w:hAnsi="Times New Roman"/>
          <w:b/>
          <w:sz w:val="20"/>
          <w:szCs w:val="20"/>
          <w:bdr w:val="single" w:sz="4" w:space="0" w:color="auto"/>
        </w:rPr>
      </w:pPr>
      <w:r w:rsidRPr="00974773">
        <w:rPr>
          <w:rFonts w:ascii="Times New Roman" w:hAnsi="Times New Roman"/>
          <w:b/>
          <w:color w:val="FF0000"/>
          <w:sz w:val="20"/>
          <w:szCs w:val="20"/>
          <w:highlight w:val="yellow"/>
          <w:bdr w:val="single" w:sz="4" w:space="0" w:color="auto"/>
        </w:rPr>
        <w:t>（</w:t>
      </w:r>
      <w:r w:rsidRPr="001C4111">
        <w:rPr>
          <w:rFonts w:ascii="Times New Roman" w:hAnsi="Times New Roman" w:hint="eastAsia"/>
          <w:b/>
          <w:color w:val="FF0000"/>
          <w:sz w:val="20"/>
          <w:szCs w:val="20"/>
          <w:highlight w:val="yellow"/>
          <w:bdr w:val="single" w:sz="4" w:space="0" w:color="auto"/>
        </w:rPr>
        <w:t>A</w:t>
      </w:r>
      <w:r w:rsidRPr="00974773">
        <w:rPr>
          <w:rFonts w:ascii="Times New Roman" w:hAnsi="Times New Roman"/>
          <w:b/>
          <w:color w:val="FF0000"/>
          <w:sz w:val="20"/>
          <w:szCs w:val="20"/>
          <w:highlight w:val="yellow"/>
          <w:bdr w:val="single" w:sz="4" w:space="0" w:color="auto"/>
        </w:rPr>
        <w:t>）</w:t>
      </w:r>
      <w:r w:rsidR="001C4111" w:rsidRPr="001C4111">
        <w:rPr>
          <w:rFonts w:ascii="Times New Roman" w:hAnsi="Times New Roman" w:hint="eastAsia"/>
          <w:b/>
          <w:color w:val="FF0000"/>
          <w:sz w:val="20"/>
          <w:szCs w:val="20"/>
          <w:highlight w:val="yellow"/>
          <w:bdr w:val="single" w:sz="4" w:space="0" w:color="auto"/>
        </w:rPr>
        <w:t>隨釋聖教乃成異</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bCs/>
          <w:sz w:val="20"/>
          <w:szCs w:val="20"/>
        </w:rPr>
        <w:t>254</w:t>
      </w:r>
      <w:r w:rsidR="00AA120F" w:rsidRPr="00DA3BC7">
        <w:rPr>
          <w:rFonts w:ascii="Times New Roman" w:hAnsi="Times New Roman"/>
          <w:sz w:val="20"/>
          <w:szCs w:val="20"/>
        </w:rPr>
        <w:t>）</w:t>
      </w:r>
    </w:p>
    <w:p w:rsidR="00AA120F" w:rsidRPr="00DA3BC7" w:rsidRDefault="00AA120F" w:rsidP="00212B5C">
      <w:pPr>
        <w:ind w:leftChars="300" w:left="720"/>
        <w:jc w:val="both"/>
        <w:rPr>
          <w:rFonts w:ascii="Times New Roman" w:hAnsi="Times New Roman"/>
        </w:rPr>
      </w:pPr>
      <w:r w:rsidRPr="00DA3BC7">
        <w:rPr>
          <w:rFonts w:ascii="Times New Roman" w:hAnsi="Times New Roman"/>
        </w:rPr>
        <w:t>佛說有也說空，說事相也說理性，於</w:t>
      </w:r>
      <w:r w:rsidRPr="00DA3BC7">
        <w:rPr>
          <w:rFonts w:ascii="Times New Roman" w:hAnsi="Times New Roman"/>
          <w:b/>
        </w:rPr>
        <w:t>空有、事理、性相</w:t>
      </w:r>
      <w:r w:rsidRPr="00DA3BC7">
        <w:rPr>
          <w:rFonts w:ascii="Times New Roman" w:hAnsi="Times New Roman"/>
        </w:rPr>
        <w:t>，應該是相應的、協調的、融合的，而不是對立的、脫節的。</w:t>
      </w:r>
    </w:p>
    <w:p w:rsidR="00AA120F" w:rsidRPr="00DA3BC7" w:rsidRDefault="00AA120F" w:rsidP="00AE3920">
      <w:pPr>
        <w:spacing w:beforeLines="20"/>
        <w:ind w:leftChars="300" w:left="720"/>
        <w:jc w:val="both"/>
        <w:rPr>
          <w:rFonts w:ascii="Times New Roman" w:hAnsi="Times New Roman"/>
        </w:rPr>
      </w:pPr>
      <w:r w:rsidRPr="00DA3BC7">
        <w:rPr>
          <w:rFonts w:ascii="Times New Roman" w:hAnsi="Times New Roman"/>
        </w:rPr>
        <w:t>佛陀以後，佛弟子都融會空有、性相、事理，但因或有所偏重，漸漸現出不同的形態來！</w:t>
      </w:r>
    </w:p>
    <w:p w:rsidR="00AA120F" w:rsidRPr="00DA3BC7" w:rsidRDefault="00251D70" w:rsidP="00AE3920">
      <w:pPr>
        <w:spacing w:beforeLines="30"/>
        <w:ind w:leftChars="300" w:left="720"/>
        <w:jc w:val="both"/>
        <w:rPr>
          <w:rFonts w:ascii="Times New Roman" w:hAnsi="Times New Roman"/>
          <w:b/>
          <w:sz w:val="20"/>
          <w:szCs w:val="20"/>
          <w:bdr w:val="single" w:sz="4" w:space="0" w:color="auto"/>
        </w:rPr>
      </w:pPr>
      <w:r w:rsidRPr="00974773">
        <w:rPr>
          <w:rFonts w:ascii="Times New Roman" w:hAnsi="Times New Roman"/>
          <w:b/>
          <w:color w:val="FF0000"/>
          <w:sz w:val="20"/>
          <w:szCs w:val="20"/>
          <w:highlight w:val="yellow"/>
          <w:bdr w:val="single" w:sz="4" w:space="0" w:color="auto"/>
        </w:rPr>
        <w:t>（</w:t>
      </w:r>
      <w:r w:rsidRPr="001C4111">
        <w:rPr>
          <w:rFonts w:ascii="Times New Roman" w:hAnsi="Times New Roman" w:hint="eastAsia"/>
          <w:b/>
          <w:color w:val="FF0000"/>
          <w:sz w:val="20"/>
          <w:szCs w:val="20"/>
          <w:highlight w:val="yellow"/>
          <w:bdr w:val="single" w:sz="4" w:space="0" w:color="auto"/>
        </w:rPr>
        <w:t>B</w:t>
      </w:r>
      <w:r w:rsidRPr="00974773">
        <w:rPr>
          <w:rFonts w:ascii="Times New Roman" w:hAnsi="Times New Roman"/>
          <w:b/>
          <w:color w:val="FF0000"/>
          <w:sz w:val="20"/>
          <w:szCs w:val="20"/>
          <w:highlight w:val="yellow"/>
          <w:bdr w:val="single" w:sz="4" w:space="0" w:color="auto"/>
        </w:rPr>
        <w:t>）</w:t>
      </w:r>
      <w:r w:rsidR="001C4111" w:rsidRPr="001C4111">
        <w:rPr>
          <w:rFonts w:ascii="Times New Roman" w:hAnsi="Times New Roman" w:hint="eastAsia"/>
          <w:b/>
          <w:color w:val="FF0000"/>
          <w:sz w:val="20"/>
          <w:szCs w:val="20"/>
          <w:highlight w:val="yellow"/>
          <w:bdr w:val="single" w:sz="4" w:space="0" w:color="auto"/>
        </w:rPr>
        <w:t>融貫佛法</w:t>
      </w:r>
      <w:r w:rsidR="00AA120F" w:rsidRPr="001C4111">
        <w:rPr>
          <w:rFonts w:ascii="Times New Roman" w:hAnsi="Times New Roman"/>
          <w:b/>
          <w:color w:val="FF0000"/>
          <w:sz w:val="20"/>
          <w:szCs w:val="20"/>
          <w:highlight w:val="yellow"/>
          <w:bdr w:val="single" w:sz="4" w:space="0" w:color="auto"/>
        </w:rPr>
        <w:t>不脫節</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bCs/>
          <w:sz w:val="20"/>
          <w:szCs w:val="20"/>
        </w:rPr>
        <w:t>254</w:t>
      </w:r>
      <w:r w:rsidR="00AA120F" w:rsidRPr="00DA3BC7">
        <w:rPr>
          <w:rFonts w:ascii="Times New Roman" w:hAnsi="Times New Roman"/>
          <w:sz w:val="20"/>
          <w:szCs w:val="20"/>
        </w:rPr>
        <w:t>）</w:t>
      </w:r>
    </w:p>
    <w:p w:rsidR="00AA120F" w:rsidRPr="00DA3BC7" w:rsidRDefault="00AA120F" w:rsidP="00212B5C">
      <w:pPr>
        <w:ind w:leftChars="300" w:left="720"/>
        <w:jc w:val="both"/>
        <w:rPr>
          <w:rFonts w:ascii="Times New Roman" w:hAnsi="Times New Roman"/>
        </w:rPr>
      </w:pPr>
      <w:r w:rsidRPr="00DA3BC7">
        <w:rPr>
          <w:rFonts w:ascii="Times New Roman" w:hAnsi="Times New Roman"/>
        </w:rPr>
        <w:t>佛法既然是一味的，則空有、性相等在此一味的融貫上，是可有相對的側重而不應該脫節的。</w:t>
      </w:r>
    </w:p>
    <w:p w:rsidR="00AA120F" w:rsidRPr="00DA3BC7" w:rsidRDefault="00AA120F" w:rsidP="00AE3920">
      <w:pPr>
        <w:spacing w:beforeLines="20"/>
        <w:ind w:leftChars="300" w:left="720"/>
        <w:jc w:val="both"/>
        <w:rPr>
          <w:rFonts w:ascii="Times New Roman" w:hAnsi="Times New Roman"/>
        </w:rPr>
      </w:pPr>
      <w:r w:rsidRPr="00DA3BC7">
        <w:rPr>
          <w:rFonts w:ascii="Times New Roman" w:hAnsi="Times New Roman"/>
        </w:rPr>
        <w:t>若</w:t>
      </w:r>
      <w:r w:rsidRPr="00DA3BC7">
        <w:rPr>
          <w:rFonts w:ascii="Times New Roman" w:hAnsi="Times New Roman"/>
          <w:szCs w:val="20"/>
        </w:rPr>
        <w:t>有了</w:t>
      </w:r>
      <w:r w:rsidRPr="00DA3BC7">
        <w:rPr>
          <w:rFonts w:ascii="Times New Roman" w:hAnsi="Times New Roman"/>
        </w:rPr>
        <w:t>彼此不相融貫的現象，則空有、性相等間，必有其脫節處。</w:t>
      </w:r>
    </w:p>
    <w:p w:rsidR="00AA120F" w:rsidRPr="00DA3BC7" w:rsidRDefault="00AA120F" w:rsidP="00212B5C">
      <w:pPr>
        <w:ind w:leftChars="300" w:left="720"/>
        <w:jc w:val="both"/>
        <w:rPr>
          <w:rFonts w:ascii="Times New Roman" w:hAnsi="Times New Roman"/>
        </w:rPr>
      </w:pPr>
      <w:r w:rsidRPr="00DA3BC7">
        <w:rPr>
          <w:rFonts w:ascii="Times New Roman" w:hAnsi="Times New Roman"/>
        </w:rPr>
        <w:t>這如不是兩方面都錯，那必是其中的一面不對！</w:t>
      </w:r>
    </w:p>
    <w:p w:rsidR="00AA120F" w:rsidRPr="00DA3BC7" w:rsidRDefault="001C4111" w:rsidP="00AE3920">
      <w:pPr>
        <w:spacing w:beforeLines="30"/>
        <w:ind w:leftChars="250" w:left="600"/>
        <w:jc w:val="both"/>
        <w:rPr>
          <w:rFonts w:ascii="Times New Roman" w:hAnsi="Times New Roman"/>
          <w:b/>
          <w:sz w:val="20"/>
          <w:szCs w:val="20"/>
          <w:bdr w:val="single" w:sz="4" w:space="0" w:color="auto"/>
        </w:rPr>
      </w:pPr>
      <w:r w:rsidRPr="001C4111">
        <w:rPr>
          <w:rFonts w:ascii="Times New Roman" w:hAnsi="Times New Roman" w:hint="eastAsia"/>
          <w:b/>
          <w:color w:val="FF0000"/>
          <w:sz w:val="20"/>
          <w:szCs w:val="20"/>
          <w:highlight w:val="yellow"/>
          <w:bdr w:val="single" w:sz="4" w:space="0" w:color="auto"/>
        </w:rPr>
        <w:t>4</w:t>
      </w:r>
      <w:r w:rsidR="00251D70">
        <w:rPr>
          <w:rFonts w:ascii="Times New Roman" w:hAnsi="Times New Roman" w:hint="eastAsia"/>
          <w:b/>
          <w:color w:val="FF0000"/>
          <w:sz w:val="20"/>
          <w:szCs w:val="20"/>
          <w:highlight w:val="yellow"/>
          <w:bdr w:val="single" w:sz="4" w:space="0" w:color="auto"/>
        </w:rPr>
        <w:t>、</w:t>
      </w:r>
      <w:r w:rsidR="00974773">
        <w:rPr>
          <w:rFonts w:ascii="Times New Roman" w:hAnsi="Times New Roman" w:hint="eastAsia"/>
          <w:b/>
          <w:color w:val="FF0000"/>
          <w:sz w:val="20"/>
          <w:szCs w:val="20"/>
          <w:highlight w:val="yellow"/>
          <w:bdr w:val="single" w:sz="4" w:space="0" w:color="auto"/>
        </w:rPr>
        <w:t>解</w:t>
      </w:r>
      <w:r w:rsidR="00974773" w:rsidRPr="00974773">
        <w:rPr>
          <w:rFonts w:ascii="新細明體" w:hAnsi="新細明體" w:hint="eastAsia"/>
          <w:b/>
          <w:color w:val="FF0000"/>
          <w:sz w:val="20"/>
          <w:szCs w:val="20"/>
          <w:highlight w:val="yellow"/>
          <w:bdr w:val="single" w:sz="4" w:space="0" w:color="auto"/>
        </w:rPr>
        <w:t>「</w:t>
      </w:r>
      <w:r w:rsidR="00974773">
        <w:rPr>
          <w:rFonts w:ascii="Times New Roman" w:hAnsi="Times New Roman" w:hint="eastAsia"/>
          <w:b/>
          <w:color w:val="FF0000"/>
          <w:sz w:val="20"/>
          <w:szCs w:val="20"/>
          <w:highlight w:val="yellow"/>
          <w:bdr w:val="single" w:sz="4" w:space="0" w:color="auto"/>
        </w:rPr>
        <w:t>二宗教義</w:t>
      </w:r>
      <w:r w:rsidR="00974773" w:rsidRPr="00974773">
        <w:rPr>
          <w:rFonts w:ascii="新細明體" w:hAnsi="新細明體" w:hint="eastAsia"/>
          <w:b/>
          <w:color w:val="FF0000"/>
          <w:sz w:val="20"/>
          <w:szCs w:val="20"/>
          <w:highlight w:val="yellow"/>
          <w:bdr w:val="single" w:sz="4" w:space="0" w:color="auto"/>
        </w:rPr>
        <w:t>」</w:t>
      </w:r>
      <w:r w:rsidR="00974773">
        <w:rPr>
          <w:rFonts w:ascii="Times New Roman" w:hAnsi="Times New Roman" w:hint="eastAsia"/>
          <w:b/>
          <w:color w:val="FF0000"/>
          <w:sz w:val="20"/>
          <w:szCs w:val="20"/>
          <w:highlight w:val="yellow"/>
          <w:bdr w:val="single" w:sz="4" w:space="0" w:color="auto"/>
        </w:rPr>
        <w:t>而</w:t>
      </w:r>
      <w:r w:rsidRPr="001C4111">
        <w:rPr>
          <w:rFonts w:ascii="Times New Roman" w:hAnsi="Times New Roman" w:hint="eastAsia"/>
          <w:b/>
          <w:color w:val="FF0000"/>
          <w:sz w:val="20"/>
          <w:szCs w:val="20"/>
          <w:highlight w:val="yellow"/>
          <w:bdr w:val="single" w:sz="4" w:space="0" w:color="auto"/>
        </w:rPr>
        <w:t>離</w:t>
      </w:r>
      <w:r w:rsidR="00974773">
        <w:rPr>
          <w:rFonts w:ascii="Times New Roman" w:hAnsi="Times New Roman" w:hint="eastAsia"/>
          <w:b/>
          <w:color w:val="FF0000"/>
          <w:sz w:val="20"/>
          <w:szCs w:val="20"/>
          <w:highlight w:val="yellow"/>
          <w:bdr w:val="single" w:sz="4" w:space="0" w:color="auto"/>
        </w:rPr>
        <w:t>過</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bCs/>
          <w:sz w:val="20"/>
          <w:szCs w:val="20"/>
        </w:rPr>
        <w:t>254</w:t>
      </w:r>
      <w:r w:rsidR="00AA120F" w:rsidRPr="00DA3BC7">
        <w:rPr>
          <w:rFonts w:ascii="Times New Roman" w:hAnsi="Times New Roman"/>
          <w:sz w:val="20"/>
          <w:szCs w:val="20"/>
        </w:rPr>
        <w:t>）</w:t>
      </w:r>
    </w:p>
    <w:p w:rsidR="00AA120F" w:rsidRPr="00DA3BC7" w:rsidRDefault="00AA120F" w:rsidP="00212B5C">
      <w:pPr>
        <w:ind w:leftChars="250" w:left="600"/>
        <w:jc w:val="both"/>
        <w:rPr>
          <w:rFonts w:ascii="Times New Roman" w:hAnsi="Times New Roman"/>
        </w:rPr>
      </w:pPr>
      <w:r w:rsidRPr="00DA3BC7">
        <w:rPr>
          <w:rFonts w:ascii="Times New Roman" w:hAnsi="Times New Roman" w:hint="eastAsia"/>
        </w:rPr>
        <w:t>還有，</w:t>
      </w:r>
      <w:r w:rsidRPr="00DA3BC7">
        <w:rPr>
          <w:rFonts w:ascii="Times New Roman" w:hAnsi="Times New Roman"/>
        </w:rPr>
        <w:t>大小乘佛法，無不說性相、空有、事理的，對於空宗與有宗的分別，不要以為有宗就只說有而不談空，空宗不談有而只說空。也不要以為空宗與有宗都談有空而就沒有空宗與有宗的差別。</w:t>
      </w:r>
    </w:p>
    <w:p w:rsidR="00AA120F" w:rsidRPr="00DA3BC7" w:rsidRDefault="008A1A07" w:rsidP="00AE3920">
      <w:pPr>
        <w:spacing w:beforeLines="50"/>
        <w:jc w:val="both"/>
        <w:rPr>
          <w:rFonts w:ascii="Times New Roman" w:hAnsi="Times New Roman"/>
          <w:b/>
          <w:bCs/>
          <w:sz w:val="20"/>
          <w:szCs w:val="20"/>
        </w:rPr>
      </w:pPr>
      <w:r w:rsidRPr="008A1A07">
        <w:rPr>
          <w:rFonts w:ascii="Times New Roman" w:hAnsi="Times New Roman" w:hint="eastAsia"/>
          <w:b/>
          <w:bCs/>
          <w:color w:val="FF0000"/>
          <w:sz w:val="20"/>
          <w:szCs w:val="20"/>
          <w:highlight w:val="yellow"/>
          <w:bdr w:val="single" w:sz="4" w:space="0" w:color="auto"/>
        </w:rPr>
        <w:t>貳</w:t>
      </w:r>
      <w:r w:rsidR="00AA120F" w:rsidRPr="008A1A07">
        <w:rPr>
          <w:rFonts w:ascii="Times New Roman" w:hAnsi="Times New Roman"/>
          <w:b/>
          <w:bCs/>
          <w:color w:val="FF0000"/>
          <w:sz w:val="20"/>
          <w:szCs w:val="20"/>
          <w:highlight w:val="yellow"/>
          <w:bdr w:val="single" w:sz="4" w:space="0" w:color="auto"/>
        </w:rPr>
        <w:t>、</w:t>
      </w:r>
      <w:r w:rsidRPr="008A1A07">
        <w:rPr>
          <w:rFonts w:ascii="Times New Roman" w:hAnsi="Times New Roman" w:hint="eastAsia"/>
          <w:b/>
          <w:bCs/>
          <w:color w:val="FF0000"/>
          <w:sz w:val="20"/>
          <w:szCs w:val="20"/>
          <w:highlight w:val="yellow"/>
          <w:bdr w:val="single" w:sz="4" w:space="0" w:color="auto"/>
        </w:rPr>
        <w:t>約「</w:t>
      </w:r>
      <w:r w:rsidR="00AA120F" w:rsidRPr="008A1A07">
        <w:rPr>
          <w:rFonts w:ascii="Times New Roman" w:hAnsi="Times New Roman"/>
          <w:b/>
          <w:bCs/>
          <w:color w:val="FF0000"/>
          <w:sz w:val="20"/>
          <w:szCs w:val="20"/>
          <w:highlight w:val="yellow"/>
          <w:bdr w:val="single" w:sz="4" w:space="0" w:color="auto"/>
        </w:rPr>
        <w:t>相對</w:t>
      </w:r>
      <w:r w:rsidRPr="008A1A07">
        <w:rPr>
          <w:rFonts w:ascii="Times New Roman" w:hAnsi="Times New Roman" w:hint="eastAsia"/>
          <w:b/>
          <w:bCs/>
          <w:color w:val="FF0000"/>
          <w:sz w:val="20"/>
          <w:szCs w:val="20"/>
          <w:highlight w:val="yellow"/>
          <w:bdr w:val="single" w:sz="4" w:space="0" w:color="auto"/>
        </w:rPr>
        <w:t>性」明</w:t>
      </w:r>
      <w:r w:rsidR="00AA120F" w:rsidRPr="008A1A07">
        <w:rPr>
          <w:rFonts w:ascii="Times New Roman" w:hAnsi="Times New Roman"/>
          <w:b/>
          <w:bCs/>
          <w:color w:val="FF0000"/>
          <w:sz w:val="20"/>
          <w:szCs w:val="20"/>
          <w:highlight w:val="yellow"/>
          <w:bdr w:val="single" w:sz="4" w:space="0" w:color="auto"/>
        </w:rPr>
        <w:t>「有」</w:t>
      </w:r>
      <w:r w:rsidR="003E2678" w:rsidRPr="008A1A07">
        <w:rPr>
          <w:rFonts w:ascii="Times New Roman" w:hAnsi="Times New Roman" w:hint="eastAsia"/>
          <w:b/>
          <w:bCs/>
          <w:color w:val="FF0000"/>
          <w:sz w:val="20"/>
          <w:szCs w:val="20"/>
          <w:highlight w:val="yellow"/>
          <w:bdr w:val="single" w:sz="4" w:space="0" w:color="auto"/>
        </w:rPr>
        <w:t>、</w:t>
      </w:r>
      <w:r w:rsidR="003E2678" w:rsidRPr="008A1A07">
        <w:rPr>
          <w:rFonts w:ascii="Times New Roman" w:hAnsi="Times New Roman"/>
          <w:b/>
          <w:bCs/>
          <w:color w:val="FF0000"/>
          <w:sz w:val="20"/>
          <w:szCs w:val="20"/>
          <w:highlight w:val="yellow"/>
          <w:bdr w:val="single" w:sz="4" w:space="0" w:color="auto"/>
        </w:rPr>
        <w:t>「空」</w:t>
      </w:r>
      <w:r w:rsidR="00AA120F" w:rsidRPr="00DA3BC7">
        <w:rPr>
          <w:rFonts w:ascii="Times New Roman" w:hAnsi="Times New Roman"/>
          <w:sz w:val="20"/>
          <w:szCs w:val="20"/>
        </w:rPr>
        <w:t>（</w:t>
      </w:r>
      <w:r w:rsidR="00AA120F" w:rsidRPr="00DA3BC7">
        <w:rPr>
          <w:rFonts w:ascii="Times New Roman" w:hAnsi="Times New Roman"/>
          <w:sz w:val="20"/>
          <w:szCs w:val="20"/>
        </w:rPr>
        <w:t>pp.</w:t>
      </w:r>
      <w:r w:rsidR="00AA120F" w:rsidRPr="00DA3BC7">
        <w:rPr>
          <w:rFonts w:ascii="Times New Roman" w:hAnsi="Times New Roman"/>
          <w:bCs/>
          <w:sz w:val="20"/>
          <w:szCs w:val="20"/>
        </w:rPr>
        <w:t>255-257</w:t>
      </w:r>
      <w:r w:rsidR="00AA120F" w:rsidRPr="00DA3BC7">
        <w:rPr>
          <w:rFonts w:ascii="Times New Roman" w:hAnsi="Times New Roman"/>
          <w:sz w:val="20"/>
          <w:szCs w:val="20"/>
        </w:rPr>
        <w:t>）</w:t>
      </w:r>
    </w:p>
    <w:p w:rsidR="00AA120F" w:rsidRPr="00DA3BC7" w:rsidRDefault="00AA120F" w:rsidP="008E2BBC">
      <w:pPr>
        <w:ind w:leftChars="50" w:left="120"/>
        <w:jc w:val="both"/>
        <w:rPr>
          <w:rFonts w:ascii="Times New Roman" w:hAnsi="Times New Roman"/>
          <w:b/>
          <w:sz w:val="20"/>
          <w:szCs w:val="20"/>
          <w:bdr w:val="single" w:sz="4" w:space="0" w:color="auto"/>
        </w:rPr>
      </w:pPr>
      <w:r w:rsidRPr="00DA3BC7">
        <w:rPr>
          <w:rFonts w:ascii="Times New Roman" w:hAnsi="Times New Roman" w:hint="eastAsia"/>
          <w:b/>
          <w:sz w:val="20"/>
          <w:szCs w:val="20"/>
          <w:bdr w:val="single" w:sz="4" w:space="0" w:color="auto"/>
        </w:rPr>
        <w:t>（壹）</w:t>
      </w:r>
      <w:r w:rsidR="008A1A07">
        <w:rPr>
          <w:rFonts w:ascii="Times New Roman" w:hAnsi="Times New Roman" w:hint="eastAsia"/>
          <w:b/>
          <w:color w:val="FF0000"/>
          <w:sz w:val="20"/>
          <w:szCs w:val="20"/>
          <w:highlight w:val="yellow"/>
          <w:bdr w:val="single" w:sz="4" w:space="0" w:color="auto"/>
        </w:rPr>
        <w:t>總述</w:t>
      </w:r>
      <w:r w:rsidRPr="00DA3BC7">
        <w:rPr>
          <w:rFonts w:ascii="Times New Roman" w:hAnsi="Times New Roman"/>
          <w:sz w:val="20"/>
          <w:szCs w:val="20"/>
        </w:rPr>
        <w:t>（</w:t>
      </w:r>
      <w:r w:rsidRPr="00DA3BC7">
        <w:rPr>
          <w:rFonts w:ascii="Times New Roman" w:hAnsi="Times New Roman"/>
          <w:sz w:val="20"/>
          <w:szCs w:val="20"/>
        </w:rPr>
        <w:t>p.255</w:t>
      </w:r>
      <w:r w:rsidRPr="00DA3BC7">
        <w:rPr>
          <w:rFonts w:ascii="Times New Roman" w:hAnsi="Times New Roman"/>
          <w:sz w:val="20"/>
          <w:szCs w:val="20"/>
        </w:rPr>
        <w:t>）</w:t>
      </w:r>
    </w:p>
    <w:p w:rsidR="00AA120F" w:rsidRPr="00DA3BC7" w:rsidRDefault="00AA120F" w:rsidP="008E2BBC">
      <w:pPr>
        <w:ind w:leftChars="50" w:left="120"/>
        <w:jc w:val="both"/>
        <w:rPr>
          <w:rFonts w:ascii="Times New Roman" w:hAnsi="Times New Roman"/>
          <w:szCs w:val="20"/>
        </w:rPr>
      </w:pPr>
      <w:r w:rsidRPr="00DA3BC7">
        <w:rPr>
          <w:rFonts w:ascii="Times New Roman" w:hAnsi="Times New Roman"/>
          <w:szCs w:val="20"/>
        </w:rPr>
        <w:t>後世學者以</w:t>
      </w:r>
      <w:r w:rsidRPr="00DA3BC7">
        <w:rPr>
          <w:rFonts w:ascii="Times New Roman" w:hAnsi="Times New Roman"/>
          <w:b/>
          <w:szCs w:val="20"/>
        </w:rPr>
        <w:t>中觀的勝義空</w:t>
      </w:r>
      <w:r w:rsidRPr="00DA3BC7">
        <w:rPr>
          <w:rFonts w:ascii="Times New Roman" w:hAnsi="Times New Roman"/>
          <w:szCs w:val="20"/>
        </w:rPr>
        <w:t>為</w:t>
      </w:r>
      <w:r w:rsidRPr="00DA3BC7">
        <w:rPr>
          <w:rFonts w:ascii="Times New Roman" w:hAnsi="Times New Roman"/>
          <w:b/>
          <w:szCs w:val="20"/>
        </w:rPr>
        <w:t>空宗</w:t>
      </w:r>
      <w:r w:rsidRPr="00DA3BC7">
        <w:rPr>
          <w:rFonts w:ascii="Times New Roman" w:hAnsi="Times New Roman"/>
          <w:szCs w:val="20"/>
        </w:rPr>
        <w:t>；以</w:t>
      </w:r>
      <w:r w:rsidRPr="00DA3BC7">
        <w:rPr>
          <w:rFonts w:ascii="Times New Roman" w:hAnsi="Times New Roman"/>
          <w:b/>
          <w:szCs w:val="20"/>
        </w:rPr>
        <w:t>說勝義一切空為不了義的</w:t>
      </w:r>
      <w:r w:rsidRPr="00DA3BC7">
        <w:rPr>
          <w:rFonts w:ascii="Times New Roman" w:hAnsi="Times New Roman"/>
          <w:szCs w:val="20"/>
        </w:rPr>
        <w:t>是</w:t>
      </w:r>
      <w:r w:rsidRPr="00DA3BC7">
        <w:rPr>
          <w:rFonts w:ascii="Times New Roman" w:hAnsi="Times New Roman"/>
          <w:b/>
          <w:szCs w:val="20"/>
        </w:rPr>
        <w:t>有宗</w:t>
      </w:r>
      <w:r w:rsidRPr="00DA3BC7">
        <w:rPr>
          <w:rFonts w:ascii="Times New Roman" w:hAnsi="Times New Roman"/>
          <w:szCs w:val="20"/>
        </w:rPr>
        <w:t>。</w:t>
      </w:r>
    </w:p>
    <w:p w:rsidR="00AA120F" w:rsidRPr="00DA3BC7" w:rsidRDefault="00AA120F" w:rsidP="00AE3920">
      <w:pPr>
        <w:spacing w:beforeLines="20"/>
        <w:ind w:leftChars="50" w:left="120"/>
        <w:jc w:val="both"/>
        <w:rPr>
          <w:rFonts w:ascii="Times New Roman" w:hAnsi="Times New Roman"/>
          <w:szCs w:val="20"/>
        </w:rPr>
      </w:pPr>
      <w:r w:rsidRPr="00DA3BC7">
        <w:rPr>
          <w:rFonts w:ascii="Times New Roman" w:hAnsi="Times New Roman"/>
          <w:szCs w:val="20"/>
        </w:rPr>
        <w:t>但從全體佛法中的</w:t>
      </w:r>
      <w:r w:rsidRPr="00DA3BC7">
        <w:rPr>
          <w:rFonts w:ascii="Times New Roman" w:hAnsi="Times New Roman"/>
          <w:b/>
          <w:szCs w:val="20"/>
        </w:rPr>
        <w:t>空有相對側重</w:t>
      </w:r>
      <w:r w:rsidRPr="00DA3BC7">
        <w:rPr>
          <w:rFonts w:ascii="Times New Roman" w:hAnsi="Times New Roman"/>
          <w:szCs w:val="20"/>
        </w:rPr>
        <w:t>去看空有二宗，空有之諍，如一般哲學上的唯心、唯物之爭一樣。如某一唯物論者，有人批評起來，某些地方不能徹底的唯物，還是唯心的。唯心論的哲學家，有些地方也不能徹底的唯心，也有接近於唯物的。</w:t>
      </w:r>
      <w:r w:rsidR="008A1A07" w:rsidRPr="008A1A07">
        <w:rPr>
          <w:rFonts w:ascii="Times New Roman" w:hAnsi="Times New Roman"/>
          <w:szCs w:val="20"/>
          <w:highlight w:val="yellow"/>
        </w:rPr>
        <w:t>佛</w:t>
      </w:r>
      <w:r w:rsidR="008A1A07" w:rsidRPr="00DA3BC7">
        <w:rPr>
          <w:rFonts w:ascii="Times New Roman" w:hAnsi="Times New Roman"/>
          <w:szCs w:val="20"/>
        </w:rPr>
        <w:t>法中的空有二宗，也有這種的傾向。</w:t>
      </w:r>
    </w:p>
    <w:p w:rsidR="00AA120F" w:rsidRPr="00DA3BC7" w:rsidRDefault="00AA120F" w:rsidP="00AE3920">
      <w:pPr>
        <w:spacing w:beforeLines="30"/>
        <w:ind w:leftChars="50" w:left="120"/>
        <w:jc w:val="both"/>
        <w:rPr>
          <w:rFonts w:ascii="Times New Roman" w:hAnsi="Times New Roman"/>
          <w:b/>
          <w:sz w:val="20"/>
          <w:szCs w:val="20"/>
          <w:bdr w:val="single" w:sz="4" w:space="0" w:color="auto"/>
        </w:rPr>
      </w:pPr>
      <w:r w:rsidRPr="008A1A07">
        <w:rPr>
          <w:rFonts w:ascii="Times New Roman" w:hAnsi="Times New Roman" w:hint="eastAsia"/>
          <w:b/>
          <w:sz w:val="20"/>
          <w:szCs w:val="20"/>
          <w:bdr w:val="single" w:sz="4" w:space="0" w:color="auto"/>
        </w:rPr>
        <w:t>（貳）</w:t>
      </w:r>
      <w:r w:rsidR="008A1A07">
        <w:rPr>
          <w:rFonts w:ascii="Times New Roman" w:hAnsi="Times New Roman" w:hint="eastAsia"/>
          <w:b/>
          <w:color w:val="FF0000"/>
          <w:sz w:val="20"/>
          <w:szCs w:val="20"/>
          <w:highlight w:val="yellow"/>
          <w:bdr w:val="single" w:sz="4" w:space="0" w:color="auto"/>
        </w:rPr>
        <w:t>詳辨</w:t>
      </w:r>
      <w:r w:rsidRPr="00DA3BC7">
        <w:rPr>
          <w:rFonts w:ascii="Times New Roman" w:hAnsi="Times New Roman"/>
          <w:sz w:val="20"/>
          <w:szCs w:val="20"/>
        </w:rPr>
        <w:t>（</w:t>
      </w:r>
      <w:r w:rsidRPr="00DA3BC7">
        <w:rPr>
          <w:rFonts w:ascii="Times New Roman" w:hAnsi="Times New Roman"/>
          <w:sz w:val="20"/>
          <w:szCs w:val="20"/>
        </w:rPr>
        <w:t>pp.</w:t>
      </w:r>
      <w:r w:rsidRPr="00DA3BC7">
        <w:rPr>
          <w:rFonts w:ascii="Times New Roman" w:hAnsi="Times New Roman"/>
          <w:bCs/>
          <w:sz w:val="20"/>
          <w:szCs w:val="20"/>
        </w:rPr>
        <w:t>255-257</w:t>
      </w:r>
      <w:r w:rsidRPr="00DA3BC7">
        <w:rPr>
          <w:rFonts w:ascii="Times New Roman" w:hAnsi="Times New Roman"/>
          <w:sz w:val="20"/>
          <w:szCs w:val="20"/>
        </w:rPr>
        <w:t>）</w:t>
      </w:r>
    </w:p>
    <w:p w:rsidR="008A1A07" w:rsidRPr="00DA3BC7" w:rsidRDefault="008A1A07" w:rsidP="00212B5C">
      <w:pPr>
        <w:ind w:leftChars="50" w:left="120"/>
        <w:jc w:val="both"/>
        <w:rPr>
          <w:rFonts w:ascii="Times New Roman" w:hAnsi="Times New Roman"/>
        </w:rPr>
      </w:pPr>
      <w:r w:rsidRPr="008A1A07">
        <w:rPr>
          <w:rFonts w:ascii="Times New Roman" w:hAnsi="Times New Roman"/>
          <w:szCs w:val="20"/>
          <w:highlight w:val="yellow"/>
        </w:rPr>
        <w:t>所</w:t>
      </w:r>
      <w:r w:rsidRPr="00DA3BC7">
        <w:rPr>
          <w:rFonts w:ascii="Times New Roman" w:hAnsi="Times New Roman"/>
          <w:szCs w:val="20"/>
        </w:rPr>
        <w:t>以可作如下的解說：</w:t>
      </w:r>
    </w:p>
    <w:p w:rsidR="00AA120F" w:rsidRPr="00DA3BC7" w:rsidRDefault="00AA120F" w:rsidP="008E2BBC">
      <w:pPr>
        <w:ind w:leftChars="100" w:left="240"/>
        <w:jc w:val="both"/>
        <w:rPr>
          <w:rFonts w:ascii="Times New Roman" w:hAnsi="Times New Roman"/>
          <w:b/>
          <w:sz w:val="20"/>
          <w:szCs w:val="20"/>
        </w:rPr>
      </w:pPr>
      <w:r w:rsidRPr="00DA3BC7">
        <w:rPr>
          <w:rFonts w:ascii="Times New Roman" w:hAnsi="Times New Roman" w:hint="eastAsia"/>
          <w:b/>
          <w:sz w:val="20"/>
          <w:szCs w:val="20"/>
          <w:bdr w:val="single" w:sz="4" w:space="0" w:color="auto"/>
        </w:rPr>
        <w:lastRenderedPageBreak/>
        <w:t>一、</w:t>
      </w:r>
      <w:r w:rsidRPr="00DA3BC7">
        <w:rPr>
          <w:rFonts w:ascii="Times New Roman" w:hAnsi="Times New Roman"/>
          <w:b/>
          <w:sz w:val="20"/>
          <w:szCs w:val="20"/>
          <w:bdr w:val="single" w:sz="4" w:space="0" w:color="auto"/>
        </w:rPr>
        <w:t>外道與佛教</w:t>
      </w:r>
      <w:r w:rsidR="008A1A07" w:rsidRPr="008A1A07">
        <w:rPr>
          <w:rFonts w:ascii="Times New Roman" w:hAnsi="Times New Roman" w:hint="eastAsia"/>
          <w:b/>
          <w:color w:val="FF0000"/>
          <w:sz w:val="20"/>
          <w:szCs w:val="20"/>
          <w:highlight w:val="yellow"/>
          <w:bdr w:val="single" w:sz="4" w:space="0" w:color="auto"/>
        </w:rPr>
        <w:t>之</w:t>
      </w:r>
      <w:r w:rsidR="00DF1CCB">
        <w:rPr>
          <w:rFonts w:ascii="Times New Roman" w:hAnsi="Times New Roman" w:hint="eastAsia"/>
          <w:b/>
          <w:color w:val="FF0000"/>
          <w:sz w:val="20"/>
          <w:szCs w:val="20"/>
          <w:highlight w:val="yellow"/>
          <w:bdr w:val="single" w:sz="4" w:space="0" w:color="auto"/>
        </w:rPr>
        <w:t>對勘</w:t>
      </w:r>
      <w:r w:rsidRPr="00DA3BC7">
        <w:rPr>
          <w:rFonts w:ascii="Times New Roman" w:hAnsi="Times New Roman"/>
          <w:sz w:val="20"/>
          <w:szCs w:val="20"/>
        </w:rPr>
        <w:t>（</w:t>
      </w:r>
      <w:r w:rsidRPr="00DA3BC7">
        <w:rPr>
          <w:rFonts w:ascii="Times New Roman" w:hAnsi="Times New Roman"/>
          <w:sz w:val="20"/>
          <w:szCs w:val="20"/>
        </w:rPr>
        <w:t>p.255</w:t>
      </w:r>
      <w:r w:rsidRPr="00DA3BC7">
        <w:rPr>
          <w:rFonts w:ascii="Times New Roman" w:hAnsi="Times New Roman"/>
          <w:sz w:val="20"/>
          <w:szCs w:val="20"/>
        </w:rPr>
        <w:t>）</w:t>
      </w:r>
    </w:p>
    <w:p w:rsidR="00AA120F" w:rsidRPr="00DA3BC7" w:rsidRDefault="00AA120F" w:rsidP="008E2BBC">
      <w:pPr>
        <w:ind w:leftChars="100" w:left="240"/>
        <w:jc w:val="both"/>
        <w:rPr>
          <w:rFonts w:ascii="Times New Roman" w:hAnsi="Times New Roman"/>
          <w:szCs w:val="20"/>
        </w:rPr>
      </w:pPr>
      <w:r w:rsidRPr="00DA3BC7">
        <w:rPr>
          <w:rFonts w:ascii="Times New Roman" w:hAnsi="Times New Roman"/>
          <w:b/>
          <w:szCs w:val="20"/>
        </w:rPr>
        <w:t>一切外道是有宗，佛法是空宗</w:t>
      </w:r>
      <w:r w:rsidRPr="00DA3BC7">
        <w:rPr>
          <w:rFonts w:ascii="Times New Roman" w:hAnsi="Times New Roman"/>
          <w:szCs w:val="20"/>
        </w:rPr>
        <w:t>。因為出世的佛法，必是符合於三法印、三解脫門的。</w:t>
      </w:r>
      <w:r w:rsidRPr="00DA3BC7">
        <w:rPr>
          <w:rFonts w:ascii="Times New Roman" w:hAnsi="Times New Roman"/>
          <w:b/>
          <w:szCs w:val="20"/>
        </w:rPr>
        <w:t>外道是有我論的，佛法是無我論的</w:t>
      </w:r>
      <w:r w:rsidRPr="00DA3BC7">
        <w:rPr>
          <w:rFonts w:ascii="Times New Roman" w:hAnsi="Times New Roman"/>
          <w:szCs w:val="20"/>
        </w:rPr>
        <w:t>，說一切法歸於空寂，這是佛法與外道的不同處。</w:t>
      </w:r>
    </w:p>
    <w:p w:rsidR="00AA120F" w:rsidRPr="00DA3BC7" w:rsidRDefault="00AA120F" w:rsidP="00AE3920">
      <w:pPr>
        <w:spacing w:beforeLines="20"/>
        <w:ind w:leftChars="100" w:left="240"/>
        <w:jc w:val="both"/>
        <w:rPr>
          <w:rFonts w:ascii="Times New Roman" w:hAnsi="Times New Roman"/>
          <w:spacing w:val="-2"/>
          <w:szCs w:val="20"/>
        </w:rPr>
      </w:pPr>
      <w:r w:rsidRPr="00DA3BC7">
        <w:rPr>
          <w:rFonts w:ascii="Times New Roman" w:hAnsi="Times New Roman"/>
          <w:spacing w:val="-2"/>
          <w:szCs w:val="20"/>
        </w:rPr>
        <w:t>不但大乘法如此，聲聞法也如此。所以《法華經》稱佛陀為「</w:t>
      </w:r>
      <w:r w:rsidRPr="00DA3BC7">
        <w:rPr>
          <w:rFonts w:ascii="Times New Roman" w:eastAsia="標楷體" w:hAnsi="Times New Roman"/>
          <w:spacing w:val="-2"/>
          <w:szCs w:val="20"/>
        </w:rPr>
        <w:t>破有法王</w:t>
      </w:r>
      <w:r w:rsidRPr="00DA3BC7">
        <w:rPr>
          <w:rFonts w:ascii="Times New Roman" w:hAnsi="Times New Roman"/>
          <w:spacing w:val="-2"/>
          <w:szCs w:val="20"/>
        </w:rPr>
        <w:t>」。</w:t>
      </w:r>
      <w:r w:rsidRPr="00DA3BC7">
        <w:rPr>
          <w:rStyle w:val="a6"/>
          <w:rFonts w:ascii="Times New Roman" w:hAnsi="Times New Roman"/>
          <w:spacing w:val="-2"/>
        </w:rPr>
        <w:footnoteReference w:id="1092"/>
      </w:r>
    </w:p>
    <w:p w:rsidR="00AA120F" w:rsidRPr="00DA3BC7" w:rsidRDefault="00AA120F" w:rsidP="00AE3920">
      <w:pPr>
        <w:spacing w:beforeLines="30"/>
        <w:ind w:leftChars="100" w:left="240"/>
        <w:jc w:val="both"/>
        <w:rPr>
          <w:rFonts w:ascii="Times New Roman" w:hAnsi="Times New Roman"/>
          <w:b/>
          <w:sz w:val="20"/>
          <w:szCs w:val="20"/>
        </w:rPr>
      </w:pPr>
      <w:r w:rsidRPr="00DA3BC7">
        <w:rPr>
          <w:rFonts w:ascii="Times New Roman" w:hAnsi="Times New Roman" w:hint="eastAsia"/>
          <w:b/>
          <w:sz w:val="20"/>
          <w:szCs w:val="20"/>
          <w:bdr w:val="single" w:sz="4" w:space="0" w:color="auto"/>
        </w:rPr>
        <w:t>二、</w:t>
      </w:r>
      <w:r w:rsidRPr="00DA3BC7">
        <w:rPr>
          <w:rFonts w:ascii="Times New Roman" w:hAnsi="Times New Roman"/>
          <w:b/>
          <w:sz w:val="20"/>
          <w:szCs w:val="20"/>
          <w:bdr w:val="single" w:sz="4" w:space="0" w:color="auto"/>
        </w:rPr>
        <w:t>小乘與大乘</w:t>
      </w:r>
      <w:r w:rsidR="00380176" w:rsidRPr="008A1A07">
        <w:rPr>
          <w:rFonts w:ascii="Times New Roman" w:hAnsi="Times New Roman" w:hint="eastAsia"/>
          <w:b/>
          <w:color w:val="FF0000"/>
          <w:sz w:val="20"/>
          <w:szCs w:val="20"/>
          <w:highlight w:val="yellow"/>
          <w:bdr w:val="single" w:sz="4" w:space="0" w:color="auto"/>
        </w:rPr>
        <w:t>之</w:t>
      </w:r>
      <w:r w:rsidR="00DF1CCB">
        <w:rPr>
          <w:rFonts w:ascii="Times New Roman" w:hAnsi="Times New Roman" w:hint="eastAsia"/>
          <w:b/>
          <w:color w:val="FF0000"/>
          <w:sz w:val="20"/>
          <w:szCs w:val="20"/>
          <w:highlight w:val="yellow"/>
          <w:bdr w:val="single" w:sz="4" w:space="0" w:color="auto"/>
        </w:rPr>
        <w:t>對勘</w:t>
      </w:r>
      <w:r w:rsidRPr="00DA3BC7">
        <w:rPr>
          <w:rFonts w:ascii="Times New Roman" w:hAnsi="Times New Roman"/>
          <w:sz w:val="20"/>
          <w:szCs w:val="20"/>
        </w:rPr>
        <w:t>（</w:t>
      </w:r>
      <w:r w:rsidRPr="00DA3BC7">
        <w:rPr>
          <w:rFonts w:ascii="Times New Roman" w:hAnsi="Times New Roman"/>
          <w:sz w:val="20"/>
          <w:szCs w:val="20"/>
        </w:rPr>
        <w:t>pp.255-256</w:t>
      </w:r>
      <w:r w:rsidRPr="00DA3BC7">
        <w:rPr>
          <w:rFonts w:ascii="Times New Roman" w:hAnsi="Times New Roman"/>
          <w:sz w:val="20"/>
          <w:szCs w:val="20"/>
        </w:rPr>
        <w:t>）</w:t>
      </w:r>
    </w:p>
    <w:p w:rsidR="00380176" w:rsidRDefault="00AA120F" w:rsidP="008E2BBC">
      <w:pPr>
        <w:ind w:leftChars="100" w:left="240"/>
        <w:jc w:val="both"/>
        <w:rPr>
          <w:rFonts w:ascii="Times New Roman" w:hAnsi="Times New Roman"/>
          <w:szCs w:val="20"/>
        </w:rPr>
      </w:pPr>
      <w:r w:rsidRPr="00DA3BC7">
        <w:rPr>
          <w:rFonts w:ascii="Times New Roman" w:hAnsi="Times New Roman"/>
          <w:szCs w:val="20"/>
        </w:rPr>
        <w:t>又佛法有大乘</w:t>
      </w:r>
      <w:r w:rsidRPr="00564C83">
        <w:rPr>
          <w:rFonts w:ascii="Times New Roman" w:hAnsi="Times New Roman" w:hint="eastAsia"/>
          <w:szCs w:val="20"/>
          <w:shd w:val="pct15" w:color="auto" w:fill="FFFFFF"/>
        </w:rPr>
        <w:t>、</w:t>
      </w:r>
      <w:r w:rsidRPr="00DA3BC7">
        <w:rPr>
          <w:rFonts w:ascii="Times New Roman" w:hAnsi="Times New Roman"/>
          <w:szCs w:val="20"/>
        </w:rPr>
        <w:t>小乘，可以說</w:t>
      </w:r>
      <w:r w:rsidRPr="00DA3BC7">
        <w:rPr>
          <w:rFonts w:ascii="Times New Roman" w:hAnsi="Times New Roman"/>
          <w:b/>
          <w:szCs w:val="20"/>
        </w:rPr>
        <w:t>小乘是有宗，大乘是空宗</w:t>
      </w:r>
      <w:r w:rsidRPr="00DA3BC7">
        <w:rPr>
          <w:rFonts w:ascii="Times New Roman" w:hAnsi="Times New Roman"/>
          <w:szCs w:val="20"/>
        </w:rPr>
        <w:t>，此與前一對意義多少不同。</w:t>
      </w:r>
    </w:p>
    <w:p w:rsidR="00AA120F" w:rsidRPr="00DA3BC7" w:rsidRDefault="00AA120F" w:rsidP="008E2BBC">
      <w:pPr>
        <w:ind w:leftChars="100" w:left="240"/>
        <w:jc w:val="both"/>
        <w:rPr>
          <w:rFonts w:ascii="Times New Roman" w:hAnsi="Times New Roman"/>
          <w:szCs w:val="20"/>
        </w:rPr>
      </w:pPr>
      <w:r w:rsidRPr="00DA3BC7">
        <w:rPr>
          <w:rFonts w:ascii="Times New Roman" w:hAnsi="Times New Roman"/>
          <w:szCs w:val="20"/>
        </w:rPr>
        <w:t>凡是大乘，都是說一切法空的，至於說空是</w:t>
      </w:r>
      <w:r w:rsidRPr="00DA3BC7">
        <w:rPr>
          <w:rFonts w:ascii="Times New Roman" w:hAnsi="Times New Roman"/>
          <w:b/>
          <w:szCs w:val="20"/>
        </w:rPr>
        <w:t>了義</w:t>
      </w:r>
      <w:r w:rsidRPr="00DA3BC7">
        <w:rPr>
          <w:rFonts w:ascii="Times New Roman" w:hAnsi="Times New Roman"/>
          <w:szCs w:val="20"/>
        </w:rPr>
        <w:t>或</w:t>
      </w:r>
      <w:r w:rsidRPr="00DA3BC7">
        <w:rPr>
          <w:rFonts w:ascii="Times New Roman" w:hAnsi="Times New Roman"/>
          <w:b/>
          <w:szCs w:val="20"/>
        </w:rPr>
        <w:t>不了義</w:t>
      </w:r>
      <w:r w:rsidRPr="00DA3BC7">
        <w:rPr>
          <w:rFonts w:ascii="Times New Roman" w:hAnsi="Times New Roman"/>
          <w:szCs w:val="20"/>
        </w:rPr>
        <w:t>，那是大乘學者對於一切法空進一步的抉擇。</w:t>
      </w:r>
    </w:p>
    <w:p w:rsidR="00AA120F" w:rsidRPr="00DA3BC7" w:rsidRDefault="00AA120F" w:rsidP="00380176">
      <w:pPr>
        <w:ind w:leftChars="100" w:left="240"/>
        <w:jc w:val="both"/>
        <w:rPr>
          <w:rFonts w:ascii="Times New Roman" w:hAnsi="Times New Roman"/>
          <w:szCs w:val="20"/>
        </w:rPr>
      </w:pPr>
      <w:r w:rsidRPr="00DA3BC7">
        <w:rPr>
          <w:rFonts w:ascii="Times New Roman" w:hAnsi="Times New Roman"/>
          <w:b/>
          <w:szCs w:val="20"/>
        </w:rPr>
        <w:t>大乘佛法的基本論題，是一切法本來不生</w:t>
      </w:r>
      <w:r w:rsidRPr="00DA3BC7">
        <w:rPr>
          <w:rFonts w:ascii="Times New Roman" w:hAnsi="Times New Roman"/>
          <w:szCs w:val="20"/>
        </w:rPr>
        <w:t>，本性空寂，這是遍一切大乘經的。</w:t>
      </w:r>
    </w:p>
    <w:p w:rsidR="00AA120F" w:rsidRPr="00DA3BC7" w:rsidRDefault="00AA120F" w:rsidP="00AE3920">
      <w:pPr>
        <w:spacing w:beforeLines="20"/>
        <w:ind w:leftChars="100" w:left="240"/>
        <w:jc w:val="both"/>
        <w:rPr>
          <w:rFonts w:ascii="Times New Roman" w:hAnsi="Times New Roman"/>
          <w:szCs w:val="20"/>
        </w:rPr>
      </w:pPr>
      <w:r w:rsidRPr="00DA3BC7">
        <w:rPr>
          <w:rFonts w:ascii="Times New Roman" w:hAnsi="Times New Roman"/>
          <w:szCs w:val="20"/>
        </w:rPr>
        <w:t>聲聞佛法對此說得很少，所說的也不大明顯。</w:t>
      </w:r>
      <w:r w:rsidRPr="00DA3BC7">
        <w:rPr>
          <w:rFonts w:ascii="Times New Roman" w:hAnsi="Times New Roman"/>
          <w:b/>
          <w:szCs w:val="20"/>
        </w:rPr>
        <w:t>聲聞的常道，是側重於緣起的事相，多發揮緣起有</w:t>
      </w:r>
      <w:r w:rsidRPr="00DA3BC7">
        <w:rPr>
          <w:rFonts w:ascii="Times New Roman" w:hAnsi="Times New Roman"/>
          <w:szCs w:val="20"/>
        </w:rPr>
        <w:t>而說</w:t>
      </w:r>
      <w:r w:rsidRPr="00DA3BC7">
        <w:rPr>
          <w:rFonts w:ascii="Times New Roman" w:hAnsi="Times New Roman"/>
          <w:b/>
          <w:szCs w:val="20"/>
        </w:rPr>
        <w:t>無我</w:t>
      </w:r>
      <w:r w:rsidRPr="00DA3BC7">
        <w:rPr>
          <w:rFonts w:ascii="Times New Roman" w:hAnsi="Times New Roman"/>
          <w:szCs w:val="20"/>
        </w:rPr>
        <w:t>的。</w:t>
      </w:r>
      <w:r w:rsidRPr="00DA3BC7">
        <w:rPr>
          <w:rFonts w:ascii="Times New Roman" w:hAnsi="Times New Roman"/>
          <w:b/>
          <w:szCs w:val="20"/>
        </w:rPr>
        <w:t>有一分小乘學者</w:t>
      </w:r>
      <w:r w:rsidRPr="00DA3BC7">
        <w:rPr>
          <w:rFonts w:ascii="Times New Roman" w:hAnsi="Times New Roman"/>
          <w:szCs w:val="20"/>
        </w:rPr>
        <w:t>，因此執</w:t>
      </w:r>
      <w:r w:rsidRPr="00DA3BC7">
        <w:rPr>
          <w:rFonts w:ascii="Times New Roman" w:hAnsi="Times New Roman"/>
          <w:b/>
          <w:szCs w:val="20"/>
        </w:rPr>
        <w:t>法</w:t>
      </w:r>
      <w:r w:rsidRPr="00DA3BC7">
        <w:rPr>
          <w:rFonts w:ascii="Times New Roman" w:hAnsi="Times New Roman"/>
          <w:szCs w:val="20"/>
        </w:rPr>
        <w:t>為</w:t>
      </w:r>
      <w:r w:rsidRPr="00DA3BC7">
        <w:rPr>
          <w:rFonts w:ascii="Times New Roman" w:hAnsi="Times New Roman"/>
          <w:b/>
          <w:szCs w:val="20"/>
        </w:rPr>
        <w:t>實有</w:t>
      </w:r>
      <w:r w:rsidRPr="00DA3BC7">
        <w:rPr>
          <w:rFonts w:ascii="Times New Roman" w:hAnsi="Times New Roman"/>
          <w:szCs w:val="20"/>
        </w:rPr>
        <w:t>。</w:t>
      </w:r>
    </w:p>
    <w:p w:rsidR="00AA120F" w:rsidRPr="00DA3BC7" w:rsidRDefault="00AA120F" w:rsidP="00AE3920">
      <w:pPr>
        <w:spacing w:beforeLines="20"/>
        <w:ind w:leftChars="100" w:left="240"/>
        <w:jc w:val="both"/>
        <w:rPr>
          <w:rFonts w:ascii="Times New Roman" w:hAnsi="Times New Roman"/>
          <w:szCs w:val="20"/>
        </w:rPr>
      </w:pPr>
      <w:r w:rsidRPr="00DA3BC7">
        <w:rPr>
          <w:rFonts w:ascii="Times New Roman" w:hAnsi="Times New Roman"/>
          <w:szCs w:val="20"/>
        </w:rPr>
        <w:t>故</w:t>
      </w:r>
      <w:r w:rsidRPr="00DA3BC7">
        <w:rPr>
          <w:rFonts w:ascii="Times New Roman" w:hAnsi="Times New Roman"/>
          <w:b/>
          <w:szCs w:val="20"/>
        </w:rPr>
        <w:t>大體上，可說是小乘談有，大乘說空。</w:t>
      </w:r>
    </w:p>
    <w:p w:rsidR="00AA120F" w:rsidRPr="00DA3BC7" w:rsidRDefault="00AA120F" w:rsidP="00AE3920">
      <w:pPr>
        <w:spacing w:beforeLines="20"/>
        <w:ind w:leftChars="100" w:left="240"/>
        <w:jc w:val="both"/>
        <w:rPr>
          <w:rFonts w:ascii="Times New Roman" w:hAnsi="Times New Roman"/>
          <w:szCs w:val="20"/>
        </w:rPr>
      </w:pPr>
      <w:r w:rsidRPr="00DA3BC7">
        <w:rPr>
          <w:rFonts w:ascii="Times New Roman" w:hAnsi="Times New Roman"/>
          <w:szCs w:val="20"/>
        </w:rPr>
        <w:t>中觀者不承認聲聞乘執有或決定不了法空，這</w:t>
      </w:r>
      <w:r w:rsidRPr="00DA3BC7">
        <w:rPr>
          <w:rFonts w:ascii="Times New Roman" w:hAnsi="Times New Roman" w:hint="eastAsia"/>
          <w:szCs w:val="20"/>
        </w:rPr>
        <w:t>裡</w:t>
      </w:r>
      <w:r w:rsidRPr="00DA3BC7">
        <w:rPr>
          <w:rFonts w:ascii="Times New Roman" w:hAnsi="Times New Roman"/>
          <w:szCs w:val="20"/>
        </w:rPr>
        <w:t>不過是依學派的各有偏重而說。</w:t>
      </w:r>
    </w:p>
    <w:p w:rsidR="00AA120F" w:rsidRPr="00DA3BC7" w:rsidRDefault="00AA120F" w:rsidP="00AE3920">
      <w:pPr>
        <w:spacing w:beforeLines="30"/>
        <w:ind w:leftChars="100" w:left="240"/>
        <w:jc w:val="both"/>
        <w:rPr>
          <w:rFonts w:ascii="Times New Roman" w:hAnsi="Times New Roman"/>
          <w:b/>
          <w:sz w:val="20"/>
          <w:szCs w:val="20"/>
        </w:rPr>
      </w:pPr>
      <w:r w:rsidRPr="00DA3BC7">
        <w:rPr>
          <w:rFonts w:ascii="Times New Roman" w:hAnsi="Times New Roman" w:hint="eastAsia"/>
          <w:b/>
          <w:sz w:val="20"/>
          <w:szCs w:val="20"/>
          <w:bdr w:val="single" w:sz="4" w:space="0" w:color="auto"/>
        </w:rPr>
        <w:t>三、</w:t>
      </w:r>
      <w:r w:rsidRPr="00DA3BC7">
        <w:rPr>
          <w:rFonts w:ascii="Times New Roman" w:hAnsi="Times New Roman"/>
          <w:b/>
          <w:sz w:val="20"/>
          <w:szCs w:val="20"/>
          <w:bdr w:val="single" w:sz="4" w:space="0" w:color="auto"/>
        </w:rPr>
        <w:t>聲聞學派中的有宗與空宗</w:t>
      </w:r>
      <w:r w:rsidR="00380176" w:rsidRPr="008A1A07">
        <w:rPr>
          <w:rFonts w:ascii="Times New Roman" w:hAnsi="Times New Roman" w:hint="eastAsia"/>
          <w:b/>
          <w:color w:val="FF0000"/>
          <w:sz w:val="20"/>
          <w:szCs w:val="20"/>
          <w:highlight w:val="yellow"/>
          <w:bdr w:val="single" w:sz="4" w:space="0" w:color="auto"/>
        </w:rPr>
        <w:t>之</w:t>
      </w:r>
      <w:r w:rsidR="00DF1CCB">
        <w:rPr>
          <w:rFonts w:ascii="Times New Roman" w:hAnsi="Times New Roman" w:hint="eastAsia"/>
          <w:b/>
          <w:color w:val="FF0000"/>
          <w:sz w:val="20"/>
          <w:szCs w:val="20"/>
          <w:highlight w:val="yellow"/>
          <w:bdr w:val="single" w:sz="4" w:space="0" w:color="auto"/>
        </w:rPr>
        <w:t>對勘</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256</w:t>
      </w:r>
      <w:r w:rsidRPr="00DA3BC7">
        <w:rPr>
          <w:rFonts w:ascii="Times New Roman" w:hAnsi="Times New Roman"/>
          <w:sz w:val="20"/>
          <w:szCs w:val="20"/>
        </w:rPr>
        <w:t>）</w:t>
      </w:r>
    </w:p>
    <w:p w:rsidR="00AA120F" w:rsidRPr="00DA3BC7" w:rsidRDefault="00AA120F" w:rsidP="008E2BBC">
      <w:pPr>
        <w:ind w:leftChars="150" w:left="360"/>
        <w:jc w:val="both"/>
        <w:rPr>
          <w:rFonts w:ascii="Times New Roman" w:hAnsi="Times New Roman"/>
          <w:b/>
          <w:sz w:val="20"/>
          <w:szCs w:val="20"/>
          <w:bdr w:val="single" w:sz="4" w:space="0" w:color="auto"/>
        </w:rPr>
      </w:pPr>
      <w:r w:rsidRPr="00DA3BC7">
        <w:rPr>
          <w:rFonts w:ascii="Times New Roman" w:hAnsi="Times New Roman" w:hint="eastAsia"/>
          <w:b/>
          <w:sz w:val="20"/>
          <w:szCs w:val="20"/>
          <w:bdr w:val="single" w:sz="4" w:space="0" w:color="auto"/>
        </w:rPr>
        <w:t>（一）</w:t>
      </w:r>
      <w:r w:rsidR="00380176">
        <w:rPr>
          <w:rFonts w:ascii="Times New Roman" w:hAnsi="Times New Roman" w:hint="eastAsia"/>
          <w:b/>
          <w:color w:val="FF0000"/>
          <w:sz w:val="20"/>
          <w:szCs w:val="20"/>
          <w:highlight w:val="yellow"/>
          <w:bdr w:val="single" w:sz="4" w:space="0" w:color="auto"/>
        </w:rPr>
        <w:t>略辨</w:t>
      </w:r>
      <w:r w:rsidRPr="00380176">
        <w:rPr>
          <w:rFonts w:ascii="Times New Roman" w:hAnsi="Times New Roman"/>
          <w:b/>
          <w:color w:val="FF0000"/>
          <w:sz w:val="20"/>
          <w:szCs w:val="20"/>
          <w:highlight w:val="yellow"/>
          <w:bdr w:val="single" w:sz="4" w:space="0" w:color="auto"/>
        </w:rPr>
        <w:t>宗</w:t>
      </w:r>
      <w:r w:rsidR="00380176" w:rsidRPr="00380176">
        <w:rPr>
          <w:rFonts w:ascii="Times New Roman" w:hAnsi="Times New Roman" w:hint="eastAsia"/>
          <w:b/>
          <w:color w:val="FF0000"/>
          <w:sz w:val="20"/>
          <w:szCs w:val="20"/>
          <w:highlight w:val="yellow"/>
          <w:bdr w:val="single" w:sz="4" w:space="0" w:color="auto"/>
        </w:rPr>
        <w:t>派之說</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256</w:t>
      </w:r>
      <w:r w:rsidRPr="00DA3BC7">
        <w:rPr>
          <w:rFonts w:ascii="Times New Roman" w:hAnsi="Times New Roman"/>
          <w:sz w:val="20"/>
          <w:szCs w:val="20"/>
        </w:rPr>
        <w:t>）</w:t>
      </w:r>
    </w:p>
    <w:p w:rsidR="00AA120F" w:rsidRPr="00DA3BC7" w:rsidRDefault="00AA120F" w:rsidP="008E2BBC">
      <w:pPr>
        <w:ind w:leftChars="150" w:left="360"/>
        <w:jc w:val="both"/>
        <w:rPr>
          <w:rFonts w:ascii="Times New Roman" w:eastAsia="標楷體" w:hAnsi="Times New Roman"/>
        </w:rPr>
      </w:pPr>
      <w:r w:rsidRPr="00DA3BC7">
        <w:rPr>
          <w:rFonts w:ascii="Times New Roman" w:hAnsi="Times New Roman"/>
          <w:szCs w:val="20"/>
        </w:rPr>
        <w:t>唯識學者曾分小乘學派為六宗</w:t>
      </w:r>
      <w:r w:rsidRPr="00DA3BC7">
        <w:rPr>
          <w:rFonts w:ascii="Times New Roman" w:hAnsi="Times New Roman" w:hint="eastAsia"/>
          <w:szCs w:val="20"/>
        </w:rPr>
        <w:t>，</w:t>
      </w:r>
      <w:r w:rsidRPr="00DA3BC7">
        <w:rPr>
          <w:rFonts w:ascii="Times New Roman" w:hAnsi="Times New Roman"/>
          <w:szCs w:val="20"/>
        </w:rPr>
        <w:t>從</w:t>
      </w:r>
      <w:r w:rsidRPr="00564C83">
        <w:rPr>
          <w:rFonts w:ascii="Times New Roman" w:hAnsi="Times New Roman"/>
          <w:b/>
          <w:szCs w:val="20"/>
          <w:u w:val="wave" w:color="C00000"/>
        </w:rPr>
        <w:t>我法俱有宗</w:t>
      </w:r>
      <w:r w:rsidRPr="00DA3BC7">
        <w:rPr>
          <w:rFonts w:ascii="Times New Roman" w:hAnsi="Times New Roman"/>
          <w:szCs w:val="20"/>
        </w:rPr>
        <w:t>到第六</w:t>
      </w:r>
      <w:r w:rsidRPr="00564C83">
        <w:rPr>
          <w:rFonts w:ascii="Times New Roman" w:hAnsi="Times New Roman"/>
          <w:b/>
          <w:szCs w:val="20"/>
          <w:u w:val="wave" w:color="C00000"/>
        </w:rPr>
        <w:t>諸法但名宗</w:t>
      </w:r>
      <w:r w:rsidRPr="00DA3BC7">
        <w:rPr>
          <w:rFonts w:ascii="Times New Roman" w:hAnsi="Times New Roman" w:hint="eastAsia"/>
          <w:szCs w:val="20"/>
        </w:rPr>
        <w:t>，</w:t>
      </w:r>
      <w:r w:rsidR="00380176" w:rsidRPr="00DA3BC7">
        <w:rPr>
          <w:rStyle w:val="a6"/>
          <w:rFonts w:ascii="Times New Roman" w:hAnsi="Times New Roman"/>
        </w:rPr>
        <w:footnoteReference w:id="1093"/>
      </w:r>
      <w:r w:rsidRPr="00DA3BC7">
        <w:rPr>
          <w:rFonts w:ascii="Times New Roman" w:hAnsi="Times New Roman"/>
          <w:szCs w:val="20"/>
        </w:rPr>
        <w:t>即空</w:t>
      </w:r>
      <w:r w:rsidRPr="00DA3BC7">
        <w:rPr>
          <w:rFonts w:ascii="Times New Roman" w:hAnsi="Times New Roman"/>
          <w:szCs w:val="20"/>
        </w:rPr>
        <w:lastRenderedPageBreak/>
        <w:t>義的逐漸增明，漸與大乘空義相鄰近。</w:t>
      </w:r>
    </w:p>
    <w:p w:rsidR="00AA120F" w:rsidRPr="00DA3BC7" w:rsidRDefault="00AA120F" w:rsidP="00AE3920">
      <w:pPr>
        <w:spacing w:beforeLines="20"/>
        <w:ind w:leftChars="150" w:left="360"/>
        <w:jc w:val="both"/>
        <w:rPr>
          <w:rFonts w:ascii="Times New Roman" w:hAnsi="Times New Roman"/>
          <w:szCs w:val="20"/>
        </w:rPr>
      </w:pPr>
      <w:r w:rsidRPr="00DA3BC7">
        <w:rPr>
          <w:rFonts w:ascii="Times New Roman" w:hAnsi="Times New Roman"/>
          <w:szCs w:val="20"/>
        </w:rPr>
        <w:t>中國</w:t>
      </w:r>
      <w:r w:rsidRPr="00DA3BC7">
        <w:rPr>
          <w:rFonts w:ascii="Times New Roman" w:hAnsi="Times New Roman"/>
          <w:b/>
          <w:szCs w:val="20"/>
        </w:rPr>
        <w:t>地論學者</w:t>
      </w:r>
      <w:r w:rsidRPr="00DA3BC7">
        <w:rPr>
          <w:rFonts w:ascii="Times New Roman" w:hAnsi="Times New Roman"/>
          <w:szCs w:val="20"/>
        </w:rPr>
        <w:t>也分為四宗，說到</w:t>
      </w:r>
      <w:r w:rsidRPr="00DA3BC7">
        <w:rPr>
          <w:rFonts w:ascii="Times New Roman" w:hAnsi="Times New Roman"/>
          <w:b/>
          <w:szCs w:val="20"/>
        </w:rPr>
        <w:t>毘曇</w:t>
      </w:r>
      <w:r w:rsidRPr="00564C83">
        <w:rPr>
          <w:rFonts w:ascii="Times New Roman" w:hAnsi="Times New Roman"/>
          <w:b/>
          <w:szCs w:val="20"/>
          <w:u w:val="wave" w:color="C00000"/>
        </w:rPr>
        <w:t>有</w:t>
      </w:r>
      <w:r w:rsidRPr="00DA3BC7">
        <w:rPr>
          <w:rFonts w:ascii="Times New Roman" w:hAnsi="Times New Roman"/>
          <w:szCs w:val="20"/>
        </w:rPr>
        <w:t>與</w:t>
      </w:r>
      <w:r w:rsidRPr="00DA3BC7">
        <w:rPr>
          <w:rFonts w:ascii="Times New Roman" w:hAnsi="Times New Roman"/>
          <w:b/>
          <w:szCs w:val="20"/>
        </w:rPr>
        <w:t>成實</w:t>
      </w:r>
      <w:r w:rsidRPr="00564C83">
        <w:rPr>
          <w:rFonts w:ascii="Times New Roman" w:hAnsi="Times New Roman"/>
          <w:b/>
          <w:szCs w:val="20"/>
          <w:u w:val="wave" w:color="C00000"/>
        </w:rPr>
        <w:t>空</w:t>
      </w:r>
      <w:r w:rsidRPr="00DA3BC7">
        <w:rPr>
          <w:rFonts w:ascii="Times New Roman" w:hAnsi="Times New Roman"/>
          <w:szCs w:val="20"/>
        </w:rPr>
        <w:t>。</w:t>
      </w:r>
      <w:r w:rsidR="00380176" w:rsidRPr="00DA3BC7">
        <w:rPr>
          <w:rStyle w:val="a6"/>
          <w:rFonts w:ascii="Times New Roman" w:hAnsi="Times New Roman"/>
        </w:rPr>
        <w:footnoteReference w:id="1094"/>
      </w:r>
    </w:p>
    <w:p w:rsidR="00AA120F" w:rsidRPr="00DA3BC7" w:rsidRDefault="00AA120F" w:rsidP="008E2BBC">
      <w:pPr>
        <w:ind w:leftChars="150" w:left="360"/>
        <w:jc w:val="both"/>
        <w:rPr>
          <w:rFonts w:ascii="Times New Roman" w:hAnsi="Times New Roman"/>
          <w:szCs w:val="20"/>
        </w:rPr>
      </w:pPr>
      <w:r w:rsidRPr="00DA3BC7">
        <w:rPr>
          <w:rFonts w:ascii="Times New Roman" w:hAnsi="Times New Roman"/>
          <w:szCs w:val="20"/>
        </w:rPr>
        <w:t>這可見空有二義，單在小乘學派中也是存在的。</w:t>
      </w:r>
    </w:p>
    <w:p w:rsidR="00AA120F" w:rsidRPr="00DA3BC7" w:rsidRDefault="00AA120F" w:rsidP="00AE3920">
      <w:pPr>
        <w:spacing w:beforeLines="20"/>
        <w:ind w:leftChars="150" w:left="360"/>
        <w:jc w:val="both"/>
        <w:rPr>
          <w:rFonts w:ascii="Times New Roman" w:hAnsi="Times New Roman"/>
          <w:szCs w:val="20"/>
        </w:rPr>
      </w:pPr>
      <w:r w:rsidRPr="00DA3BC7">
        <w:rPr>
          <w:rFonts w:ascii="Times New Roman" w:hAnsi="Times New Roman"/>
          <w:szCs w:val="20"/>
        </w:rPr>
        <w:t>此小乘六宗，不是漸次進化到如此的，是古代學者將發展的學派，從空義</w:t>
      </w:r>
      <w:r w:rsidRPr="00DA3BC7">
        <w:rPr>
          <w:rFonts w:ascii="Times New Roman" w:hAnsi="Times New Roman"/>
          <w:szCs w:val="20"/>
        </w:rPr>
        <w:lastRenderedPageBreak/>
        <w:t>淺深的觀點而組成如此次第的。</w:t>
      </w:r>
    </w:p>
    <w:p w:rsidR="00AA120F" w:rsidRPr="00DA3BC7" w:rsidRDefault="00AA120F" w:rsidP="00AE3920">
      <w:pPr>
        <w:spacing w:beforeLines="30"/>
        <w:ind w:leftChars="150" w:left="360"/>
        <w:jc w:val="both"/>
        <w:rPr>
          <w:rFonts w:ascii="Times New Roman" w:hAnsi="Times New Roman"/>
          <w:b/>
          <w:sz w:val="20"/>
          <w:szCs w:val="20"/>
          <w:bdr w:val="single" w:sz="4" w:space="0" w:color="auto"/>
        </w:rPr>
      </w:pPr>
      <w:r w:rsidRPr="00611122">
        <w:rPr>
          <w:rFonts w:ascii="Times New Roman" w:hAnsi="Times New Roman" w:hint="eastAsia"/>
          <w:b/>
          <w:color w:val="FF0000"/>
          <w:sz w:val="20"/>
          <w:szCs w:val="20"/>
          <w:highlight w:val="yellow"/>
          <w:bdr w:val="single" w:sz="4" w:space="0" w:color="auto"/>
        </w:rPr>
        <w:t>（二）</w:t>
      </w:r>
      <w:r w:rsidR="00611122" w:rsidRPr="00611122">
        <w:rPr>
          <w:rFonts w:ascii="Times New Roman" w:hAnsi="Times New Roman" w:hint="eastAsia"/>
          <w:b/>
          <w:color w:val="FF0000"/>
          <w:sz w:val="20"/>
          <w:szCs w:val="20"/>
          <w:highlight w:val="yellow"/>
          <w:bdr w:val="single" w:sz="4" w:space="0" w:color="auto"/>
        </w:rPr>
        <w:t>要述「</w:t>
      </w:r>
      <w:r w:rsidRPr="00611122">
        <w:rPr>
          <w:rFonts w:ascii="Times New Roman" w:hAnsi="Times New Roman" w:hint="eastAsia"/>
          <w:b/>
          <w:color w:val="FF0000"/>
          <w:sz w:val="20"/>
          <w:szCs w:val="20"/>
          <w:highlight w:val="yellow"/>
          <w:bdr w:val="single" w:sz="4" w:space="0" w:color="auto"/>
        </w:rPr>
        <w:t>空有</w:t>
      </w:r>
      <w:r w:rsidR="00611122" w:rsidRPr="00611122">
        <w:rPr>
          <w:rFonts w:ascii="Times New Roman" w:hAnsi="Times New Roman" w:hint="eastAsia"/>
          <w:b/>
          <w:color w:val="FF0000"/>
          <w:sz w:val="20"/>
          <w:szCs w:val="20"/>
          <w:highlight w:val="yellow"/>
          <w:bdr w:val="single" w:sz="4" w:space="0" w:color="auto"/>
        </w:rPr>
        <w:t>之教」</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256</w:t>
      </w:r>
      <w:r w:rsidRPr="00DA3BC7">
        <w:rPr>
          <w:rFonts w:ascii="Times New Roman" w:hAnsi="Times New Roman"/>
          <w:sz w:val="20"/>
          <w:szCs w:val="20"/>
        </w:rPr>
        <w:t>）</w:t>
      </w:r>
    </w:p>
    <w:p w:rsidR="00AA120F" w:rsidRPr="00DA3BC7" w:rsidRDefault="00AA120F" w:rsidP="008E2BBC">
      <w:pPr>
        <w:ind w:leftChars="150" w:left="360"/>
        <w:jc w:val="both"/>
        <w:rPr>
          <w:rFonts w:ascii="Times New Roman" w:hAnsi="Times New Roman"/>
          <w:szCs w:val="20"/>
        </w:rPr>
      </w:pPr>
      <w:r w:rsidRPr="00DA3BC7">
        <w:rPr>
          <w:rFonts w:ascii="Times New Roman" w:hAnsi="Times New Roman"/>
          <w:szCs w:val="20"/>
        </w:rPr>
        <w:t>這樣，聲聞乘對外道，聲聞乘是空宗；若聲聞乘對大乘說，則可稱為有宗。</w:t>
      </w:r>
    </w:p>
    <w:p w:rsidR="00AA120F" w:rsidRPr="00DA3BC7" w:rsidRDefault="00B0523E" w:rsidP="00AE3920">
      <w:pPr>
        <w:spacing w:beforeLines="20"/>
        <w:ind w:leftChars="150" w:left="360"/>
        <w:jc w:val="both"/>
        <w:rPr>
          <w:rFonts w:ascii="Times New Roman" w:hAnsi="Times New Roman"/>
          <w:szCs w:val="20"/>
        </w:rPr>
      </w:pPr>
      <w:r>
        <w:rPr>
          <w:rFonts w:ascii="Times New Roman" w:hAnsi="Times New Roman"/>
          <w:szCs w:val="20"/>
        </w:rPr>
        <w:t>在聲聞佛法中，如</w:t>
      </w:r>
      <w:r w:rsidR="00AA120F" w:rsidRPr="00B0523E">
        <w:rPr>
          <w:rFonts w:ascii="Times New Roman" w:hAnsi="Times New Roman"/>
          <w:b/>
          <w:szCs w:val="20"/>
          <w:u w:val="wave" w:color="C00000"/>
        </w:rPr>
        <w:t>法無去來宗</w:t>
      </w:r>
      <w:r w:rsidR="00AA120F" w:rsidRPr="00DA3BC7">
        <w:rPr>
          <w:rFonts w:ascii="Times New Roman" w:hAnsi="Times New Roman"/>
          <w:szCs w:val="20"/>
        </w:rPr>
        <w:t>對</w:t>
      </w:r>
      <w:r w:rsidR="00AA120F" w:rsidRPr="00B0523E">
        <w:rPr>
          <w:rFonts w:ascii="Times New Roman" w:hAnsi="Times New Roman"/>
          <w:b/>
          <w:szCs w:val="20"/>
          <w:u w:val="wave" w:color="C00000"/>
        </w:rPr>
        <w:t>法有我無宗</w:t>
      </w:r>
      <w:r w:rsidR="00AA120F" w:rsidRPr="00DA3BC7">
        <w:rPr>
          <w:rFonts w:ascii="Times New Roman" w:hAnsi="Times New Roman"/>
          <w:szCs w:val="20"/>
        </w:rPr>
        <w:t>，空義增勝，但望於</w:t>
      </w:r>
      <w:r w:rsidR="00AA120F" w:rsidRPr="00B0523E">
        <w:rPr>
          <w:rFonts w:ascii="Times New Roman" w:hAnsi="Times New Roman"/>
          <w:b/>
          <w:szCs w:val="20"/>
          <w:u w:val="wave" w:color="C00000"/>
        </w:rPr>
        <w:t>諸法但名宗</w:t>
      </w:r>
      <w:r w:rsidR="00AA120F" w:rsidRPr="00DA3BC7">
        <w:rPr>
          <w:rFonts w:ascii="Times New Roman" w:hAnsi="Times New Roman"/>
          <w:szCs w:val="20"/>
        </w:rPr>
        <w:t>，那仍是多說有。</w:t>
      </w:r>
    </w:p>
    <w:p w:rsidR="00AA120F" w:rsidRPr="00DA3BC7" w:rsidRDefault="00AA120F" w:rsidP="00AE3920">
      <w:pPr>
        <w:spacing w:beforeLines="20"/>
        <w:ind w:leftChars="150" w:left="360"/>
        <w:jc w:val="both"/>
        <w:rPr>
          <w:rFonts w:ascii="Times New Roman" w:hAnsi="Times New Roman"/>
          <w:szCs w:val="20"/>
        </w:rPr>
      </w:pPr>
      <w:r w:rsidRPr="00DA3BC7">
        <w:rPr>
          <w:rFonts w:ascii="Times New Roman" w:hAnsi="Times New Roman"/>
          <w:szCs w:val="20"/>
        </w:rPr>
        <w:t>這些，都是在相對的比較下，有此空有的階段不同。</w:t>
      </w:r>
    </w:p>
    <w:p w:rsidR="00AA120F" w:rsidRPr="00DA3BC7" w:rsidRDefault="00AA120F" w:rsidP="00AE3920">
      <w:pPr>
        <w:spacing w:beforeLines="30"/>
        <w:ind w:leftChars="100" w:left="240"/>
        <w:jc w:val="both"/>
        <w:rPr>
          <w:rFonts w:ascii="Times New Roman" w:hAnsi="Times New Roman"/>
          <w:b/>
          <w:sz w:val="20"/>
          <w:szCs w:val="20"/>
        </w:rPr>
      </w:pPr>
      <w:r w:rsidRPr="00DA3BC7">
        <w:rPr>
          <w:rFonts w:ascii="Times New Roman" w:hAnsi="Times New Roman" w:hint="eastAsia"/>
          <w:b/>
          <w:sz w:val="20"/>
          <w:szCs w:val="20"/>
          <w:bdr w:val="single" w:sz="4" w:space="0" w:color="auto"/>
        </w:rPr>
        <w:t>四、</w:t>
      </w:r>
      <w:r w:rsidRPr="00611122">
        <w:rPr>
          <w:rFonts w:ascii="Times New Roman" w:hAnsi="Times New Roman"/>
          <w:b/>
          <w:sz w:val="20"/>
          <w:szCs w:val="20"/>
          <w:highlight w:val="yellow"/>
          <w:bdr w:val="single" w:sz="4" w:space="0" w:color="auto"/>
        </w:rPr>
        <w:t>「</w:t>
      </w:r>
      <w:r w:rsidRPr="00DA3BC7">
        <w:rPr>
          <w:rFonts w:ascii="Times New Roman" w:hAnsi="Times New Roman"/>
          <w:b/>
          <w:sz w:val="20"/>
          <w:szCs w:val="20"/>
          <w:bdr w:val="single" w:sz="4" w:space="0" w:color="auto"/>
        </w:rPr>
        <w:t>大乘三系」</w:t>
      </w:r>
      <w:r w:rsidR="00611122">
        <w:rPr>
          <w:rFonts w:ascii="Times New Roman" w:hAnsi="Times New Roman" w:hint="eastAsia"/>
          <w:b/>
          <w:color w:val="FF0000"/>
          <w:sz w:val="20"/>
          <w:szCs w:val="20"/>
          <w:highlight w:val="yellow"/>
          <w:bdr w:val="single" w:sz="4" w:space="0" w:color="auto"/>
        </w:rPr>
        <w:t>之</w:t>
      </w:r>
      <w:r w:rsidR="00DF1CCB">
        <w:rPr>
          <w:rFonts w:ascii="Times New Roman" w:hAnsi="Times New Roman" w:hint="eastAsia"/>
          <w:b/>
          <w:color w:val="FF0000"/>
          <w:sz w:val="20"/>
          <w:szCs w:val="20"/>
          <w:highlight w:val="yellow"/>
          <w:bdr w:val="single" w:sz="4" w:space="0" w:color="auto"/>
        </w:rPr>
        <w:t>對勘</w:t>
      </w:r>
      <w:r w:rsidRPr="00DA3BC7">
        <w:rPr>
          <w:rFonts w:ascii="Times New Roman" w:hAnsi="Times New Roman"/>
          <w:sz w:val="20"/>
          <w:szCs w:val="20"/>
        </w:rPr>
        <w:t>（</w:t>
      </w:r>
      <w:r w:rsidRPr="00DA3BC7">
        <w:rPr>
          <w:rFonts w:ascii="Times New Roman" w:hAnsi="Times New Roman"/>
          <w:sz w:val="20"/>
          <w:szCs w:val="20"/>
        </w:rPr>
        <w:t>pp.</w:t>
      </w:r>
      <w:r w:rsidRPr="00DA3BC7">
        <w:rPr>
          <w:rFonts w:ascii="Times New Roman" w:hAnsi="Times New Roman"/>
          <w:bCs/>
          <w:sz w:val="20"/>
          <w:szCs w:val="20"/>
        </w:rPr>
        <w:t>256-257</w:t>
      </w:r>
      <w:r w:rsidRPr="00DA3BC7">
        <w:rPr>
          <w:rFonts w:ascii="Times New Roman" w:hAnsi="Times New Roman"/>
          <w:sz w:val="20"/>
          <w:szCs w:val="20"/>
        </w:rPr>
        <w:t>）</w:t>
      </w:r>
    </w:p>
    <w:p w:rsidR="00AA120F" w:rsidRPr="00DA3BC7" w:rsidRDefault="00AA120F" w:rsidP="008E2BBC">
      <w:pPr>
        <w:ind w:leftChars="100" w:left="240"/>
        <w:jc w:val="both"/>
        <w:rPr>
          <w:rFonts w:ascii="Times New Roman" w:hAnsi="Times New Roman"/>
        </w:rPr>
      </w:pPr>
      <w:r w:rsidRPr="00DA3BC7">
        <w:rPr>
          <w:rFonts w:ascii="Times New Roman" w:hAnsi="Times New Roman"/>
        </w:rPr>
        <w:t>在大乘一切空義中，又轉出三大系統來：</w:t>
      </w:r>
    </w:p>
    <w:p w:rsidR="00AA120F" w:rsidRPr="00DA3BC7" w:rsidRDefault="00AA120F" w:rsidP="00AE3920">
      <w:pPr>
        <w:spacing w:beforeLines="30"/>
        <w:ind w:leftChars="150" w:left="360"/>
        <w:jc w:val="both"/>
        <w:rPr>
          <w:rFonts w:ascii="Times New Roman" w:hAnsi="Times New Roman"/>
          <w:b/>
          <w:sz w:val="20"/>
          <w:szCs w:val="20"/>
          <w:bdr w:val="single" w:sz="4" w:space="0" w:color="auto"/>
        </w:rPr>
      </w:pPr>
      <w:r w:rsidRPr="00DA3BC7">
        <w:rPr>
          <w:rFonts w:ascii="Times New Roman" w:hAnsi="Times New Roman" w:hint="eastAsia"/>
          <w:b/>
          <w:sz w:val="20"/>
          <w:szCs w:val="20"/>
          <w:bdr w:val="single" w:sz="4" w:space="0" w:color="auto"/>
        </w:rPr>
        <w:t>（一）</w:t>
      </w:r>
      <w:r w:rsidRPr="00DA3BC7">
        <w:rPr>
          <w:rFonts w:ascii="Times New Roman" w:hAnsi="Times New Roman"/>
          <w:b/>
          <w:sz w:val="20"/>
          <w:szCs w:val="20"/>
          <w:bdr w:val="single" w:sz="4" w:space="0" w:color="auto"/>
        </w:rPr>
        <w:t>虛妄唯識系</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256</w:t>
      </w:r>
      <w:r w:rsidRPr="00DA3BC7">
        <w:rPr>
          <w:rFonts w:ascii="Times New Roman" w:hAnsi="Times New Roman"/>
          <w:sz w:val="20"/>
          <w:szCs w:val="20"/>
        </w:rPr>
        <w:t>）</w:t>
      </w:r>
    </w:p>
    <w:p w:rsidR="00AA120F" w:rsidRPr="00DA3BC7" w:rsidRDefault="00AA120F" w:rsidP="008E2BBC">
      <w:pPr>
        <w:ind w:leftChars="150" w:left="360"/>
        <w:jc w:val="both"/>
        <w:rPr>
          <w:rFonts w:ascii="Times New Roman" w:hAnsi="Times New Roman"/>
        </w:rPr>
      </w:pPr>
      <w:r w:rsidRPr="00DA3BC7">
        <w:rPr>
          <w:rFonts w:ascii="Times New Roman" w:hAnsi="Times New Roman"/>
        </w:rPr>
        <w:t>或說</w:t>
      </w:r>
      <w:r w:rsidRPr="00DA3BC7">
        <w:rPr>
          <w:rFonts w:ascii="Times New Roman" w:hAnsi="Times New Roman"/>
          <w:b/>
        </w:rPr>
        <w:t>遍計執</w:t>
      </w:r>
      <w:r w:rsidRPr="00DA3BC7">
        <w:rPr>
          <w:rFonts w:ascii="Times New Roman" w:hAnsi="Times New Roman"/>
        </w:rPr>
        <w:t>無，</w:t>
      </w:r>
      <w:r w:rsidRPr="00DA3BC7">
        <w:rPr>
          <w:rFonts w:ascii="Times New Roman" w:hAnsi="Times New Roman"/>
          <w:b/>
        </w:rPr>
        <w:t>依</w:t>
      </w:r>
      <w:r w:rsidRPr="00DA3BC7">
        <w:rPr>
          <w:rFonts w:ascii="Times New Roman" w:hAnsi="Times New Roman" w:hint="eastAsia"/>
          <w:b/>
        </w:rPr>
        <w:t>、</w:t>
      </w:r>
      <w:r w:rsidRPr="00DA3BC7">
        <w:rPr>
          <w:rFonts w:ascii="Times New Roman" w:hAnsi="Times New Roman"/>
          <w:b/>
        </w:rPr>
        <w:t>圓</w:t>
      </w:r>
      <w:r w:rsidRPr="00DA3BC7">
        <w:rPr>
          <w:rFonts w:ascii="Times New Roman" w:hAnsi="Times New Roman"/>
        </w:rPr>
        <w:t>是有，如虛妄唯識宗。以</w:t>
      </w:r>
      <w:r w:rsidRPr="00DA3BC7">
        <w:rPr>
          <w:rFonts w:ascii="Times New Roman" w:hAnsi="Times New Roman"/>
          <w:b/>
        </w:rPr>
        <w:t>妄執是無，事理是有</w:t>
      </w:r>
      <w:r w:rsidRPr="00DA3BC7">
        <w:rPr>
          <w:rFonts w:ascii="Times New Roman" w:hAnsi="Times New Roman"/>
        </w:rPr>
        <w:t>，所破除的一切妄執，比起</w:t>
      </w:r>
      <w:r w:rsidRPr="00DA3BC7">
        <w:rPr>
          <w:rFonts w:ascii="Times New Roman" w:hAnsi="Times New Roman"/>
          <w:szCs w:val="20"/>
        </w:rPr>
        <w:t>聲聞</w:t>
      </w:r>
      <w:r w:rsidRPr="00DA3BC7">
        <w:rPr>
          <w:rFonts w:ascii="Times New Roman" w:hAnsi="Times New Roman"/>
        </w:rPr>
        <w:t>乘來廣大得多。</w:t>
      </w:r>
    </w:p>
    <w:p w:rsidR="00AA120F" w:rsidRPr="00DA3BC7" w:rsidRDefault="00AA120F" w:rsidP="00AE3920">
      <w:pPr>
        <w:spacing w:beforeLines="30"/>
        <w:ind w:leftChars="150" w:left="360"/>
        <w:jc w:val="both"/>
        <w:rPr>
          <w:rFonts w:ascii="Times New Roman" w:hAnsi="Times New Roman"/>
          <w:b/>
          <w:sz w:val="20"/>
          <w:szCs w:val="20"/>
          <w:bdr w:val="single" w:sz="4" w:space="0" w:color="auto"/>
        </w:rPr>
      </w:pPr>
      <w:r w:rsidRPr="00DA3BC7">
        <w:rPr>
          <w:rFonts w:ascii="Times New Roman" w:hAnsi="Times New Roman" w:hint="eastAsia"/>
          <w:b/>
          <w:sz w:val="20"/>
          <w:szCs w:val="20"/>
          <w:bdr w:val="single" w:sz="4" w:space="0" w:color="auto"/>
        </w:rPr>
        <w:t>（二）</w:t>
      </w:r>
      <w:r w:rsidRPr="00DA3BC7">
        <w:rPr>
          <w:rFonts w:ascii="Times New Roman" w:hAnsi="Times New Roman"/>
          <w:b/>
          <w:sz w:val="20"/>
          <w:szCs w:val="20"/>
          <w:bdr w:val="single" w:sz="4" w:space="0" w:color="auto"/>
        </w:rPr>
        <w:t>真常唯心系</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256</w:t>
      </w:r>
      <w:r w:rsidRPr="00DA3BC7">
        <w:rPr>
          <w:rFonts w:ascii="Times New Roman" w:hAnsi="Times New Roman"/>
          <w:sz w:val="20"/>
          <w:szCs w:val="20"/>
        </w:rPr>
        <w:t>）</w:t>
      </w:r>
    </w:p>
    <w:p w:rsidR="00AA120F" w:rsidRPr="00DA3BC7" w:rsidRDefault="00AA120F" w:rsidP="008E2BBC">
      <w:pPr>
        <w:ind w:leftChars="150" w:left="360"/>
        <w:jc w:val="both"/>
        <w:rPr>
          <w:rFonts w:ascii="Times New Roman" w:hAnsi="Times New Roman"/>
          <w:szCs w:val="20"/>
        </w:rPr>
      </w:pPr>
      <w:r w:rsidRPr="00DA3BC7">
        <w:rPr>
          <w:rFonts w:ascii="Times New Roman" w:hAnsi="Times New Roman"/>
          <w:szCs w:val="20"/>
        </w:rPr>
        <w:t>進一步，如真常唯心論者，則說</w:t>
      </w:r>
      <w:r w:rsidRPr="00DA3BC7">
        <w:rPr>
          <w:rFonts w:ascii="Times New Roman" w:hAnsi="Times New Roman"/>
          <w:b/>
          <w:szCs w:val="20"/>
        </w:rPr>
        <w:t>一切事相都是虛妄的</w:t>
      </w:r>
      <w:r w:rsidRPr="00DA3BC7">
        <w:rPr>
          <w:rFonts w:ascii="Times New Roman" w:hAnsi="Times New Roman"/>
          <w:szCs w:val="20"/>
        </w:rPr>
        <w:t>，虛妄即是空的，</w:t>
      </w:r>
      <w:r w:rsidRPr="00DA3BC7">
        <w:rPr>
          <w:rFonts w:ascii="Times New Roman" w:hAnsi="Times New Roman"/>
          <w:b/>
          <w:szCs w:val="20"/>
        </w:rPr>
        <w:t>依他起法也空</w:t>
      </w:r>
      <w:r w:rsidRPr="00DA3BC7">
        <w:rPr>
          <w:rFonts w:ascii="Times New Roman" w:hAnsi="Times New Roman"/>
          <w:szCs w:val="20"/>
        </w:rPr>
        <w:t>，較之唯識空義又增勝了。</w:t>
      </w:r>
    </w:p>
    <w:p w:rsidR="00AA120F" w:rsidRPr="00DA3BC7" w:rsidRDefault="00AA120F" w:rsidP="00AE3920">
      <w:pPr>
        <w:spacing w:beforeLines="30"/>
        <w:ind w:leftChars="150" w:left="360"/>
        <w:jc w:val="both"/>
        <w:rPr>
          <w:rFonts w:ascii="Times New Roman" w:hAnsi="Times New Roman"/>
          <w:b/>
          <w:sz w:val="20"/>
          <w:szCs w:val="20"/>
          <w:bdr w:val="single" w:sz="4" w:space="0" w:color="auto"/>
        </w:rPr>
      </w:pPr>
      <w:r w:rsidRPr="00DA3BC7">
        <w:rPr>
          <w:rFonts w:ascii="Times New Roman" w:hAnsi="Times New Roman" w:hint="eastAsia"/>
          <w:b/>
          <w:sz w:val="20"/>
          <w:szCs w:val="20"/>
          <w:bdr w:val="single" w:sz="4" w:space="0" w:color="auto"/>
        </w:rPr>
        <w:t>（三）</w:t>
      </w:r>
      <w:r w:rsidRPr="00DA3BC7">
        <w:rPr>
          <w:rFonts w:ascii="Times New Roman" w:hAnsi="Times New Roman"/>
          <w:b/>
          <w:sz w:val="20"/>
          <w:szCs w:val="20"/>
          <w:bdr w:val="single" w:sz="4" w:space="0" w:color="auto"/>
        </w:rPr>
        <w:t>性空唯名系</w:t>
      </w:r>
      <w:r w:rsidRPr="00DA3BC7">
        <w:rPr>
          <w:rFonts w:ascii="Times New Roman" w:hAnsi="Times New Roman"/>
          <w:sz w:val="20"/>
          <w:szCs w:val="20"/>
        </w:rPr>
        <w:t>（</w:t>
      </w:r>
      <w:r w:rsidRPr="00DA3BC7">
        <w:rPr>
          <w:rFonts w:ascii="Times New Roman" w:hAnsi="Times New Roman"/>
          <w:sz w:val="20"/>
          <w:szCs w:val="20"/>
        </w:rPr>
        <w:t>pp.</w:t>
      </w:r>
      <w:r w:rsidRPr="00DA3BC7">
        <w:rPr>
          <w:rFonts w:ascii="Times New Roman" w:hAnsi="Times New Roman"/>
          <w:bCs/>
          <w:sz w:val="20"/>
          <w:szCs w:val="20"/>
        </w:rPr>
        <w:t>256-</w:t>
      </w:r>
      <w:r w:rsidRPr="00DA3BC7">
        <w:rPr>
          <w:rFonts w:ascii="Times New Roman" w:hAnsi="Times New Roman" w:hint="eastAsia"/>
          <w:bCs/>
          <w:sz w:val="20"/>
          <w:szCs w:val="20"/>
        </w:rPr>
        <w:t>257</w:t>
      </w:r>
      <w:r w:rsidRPr="00DA3BC7">
        <w:rPr>
          <w:rFonts w:ascii="Times New Roman" w:hAnsi="Times New Roman"/>
          <w:sz w:val="20"/>
          <w:szCs w:val="20"/>
        </w:rPr>
        <w:t>）</w:t>
      </w:r>
    </w:p>
    <w:p w:rsidR="00AA120F" w:rsidRPr="00DA3BC7" w:rsidRDefault="00AA120F" w:rsidP="008E2BBC">
      <w:pPr>
        <w:ind w:leftChars="200" w:left="480"/>
        <w:jc w:val="both"/>
        <w:rPr>
          <w:rFonts w:ascii="Times New Roman" w:hAnsi="Times New Roman"/>
          <w:b/>
          <w:sz w:val="20"/>
          <w:szCs w:val="20"/>
          <w:bdr w:val="single" w:sz="4" w:space="0" w:color="auto"/>
        </w:rPr>
      </w:pPr>
      <w:r w:rsidRPr="00DA3BC7">
        <w:rPr>
          <w:rFonts w:ascii="Times New Roman" w:hAnsi="Times New Roman"/>
          <w:b/>
          <w:sz w:val="20"/>
          <w:szCs w:val="20"/>
          <w:bdr w:val="single" w:sz="4" w:space="0" w:color="auto"/>
        </w:rPr>
        <w:t>1</w:t>
      </w:r>
      <w:r w:rsidRPr="00DA3BC7">
        <w:rPr>
          <w:rFonts w:ascii="Times New Roman" w:hAnsi="Times New Roman"/>
          <w:b/>
          <w:sz w:val="20"/>
          <w:szCs w:val="20"/>
          <w:bdr w:val="single" w:sz="4" w:space="0" w:color="auto"/>
        </w:rPr>
        <w:t>、</w:t>
      </w:r>
      <w:r w:rsidR="00611122">
        <w:rPr>
          <w:rFonts w:ascii="Times New Roman" w:hAnsi="Times New Roman" w:hint="eastAsia"/>
          <w:b/>
          <w:color w:val="FF0000"/>
          <w:sz w:val="20"/>
          <w:szCs w:val="20"/>
          <w:highlight w:val="yellow"/>
          <w:bdr w:val="single" w:sz="4" w:space="0" w:color="auto"/>
        </w:rPr>
        <w:t>敘要</w:t>
      </w:r>
      <w:r w:rsidRPr="00DA3BC7">
        <w:rPr>
          <w:rFonts w:ascii="Times New Roman" w:hAnsi="Times New Roman"/>
          <w:sz w:val="20"/>
          <w:szCs w:val="20"/>
        </w:rPr>
        <w:t>（</w:t>
      </w:r>
      <w:r w:rsidRPr="00DA3BC7">
        <w:rPr>
          <w:rFonts w:ascii="Times New Roman" w:hAnsi="Times New Roman"/>
          <w:sz w:val="20"/>
          <w:szCs w:val="20"/>
        </w:rPr>
        <w:t>pp.</w:t>
      </w:r>
      <w:r w:rsidRPr="00DA3BC7">
        <w:rPr>
          <w:rFonts w:ascii="Times New Roman" w:hAnsi="Times New Roman"/>
          <w:bCs/>
          <w:sz w:val="20"/>
          <w:szCs w:val="20"/>
        </w:rPr>
        <w:t>256-</w:t>
      </w:r>
      <w:r w:rsidRPr="00DA3BC7">
        <w:rPr>
          <w:rFonts w:ascii="Times New Roman" w:hAnsi="Times New Roman" w:hint="eastAsia"/>
          <w:bCs/>
          <w:sz w:val="20"/>
          <w:szCs w:val="20"/>
        </w:rPr>
        <w:t>257</w:t>
      </w:r>
      <w:r w:rsidRPr="00DA3BC7">
        <w:rPr>
          <w:rFonts w:ascii="Times New Roman" w:hAnsi="Times New Roman"/>
          <w:sz w:val="20"/>
          <w:szCs w:val="20"/>
        </w:rPr>
        <w:t>）</w:t>
      </w:r>
    </w:p>
    <w:p w:rsidR="00AA120F" w:rsidRPr="00DA3BC7" w:rsidRDefault="00AA120F" w:rsidP="008E2BBC">
      <w:pPr>
        <w:ind w:leftChars="200" w:left="480"/>
        <w:jc w:val="both"/>
        <w:rPr>
          <w:rFonts w:ascii="Times New Roman" w:hAnsi="Times New Roman"/>
        </w:rPr>
      </w:pPr>
      <w:r w:rsidRPr="00DA3BC7">
        <w:rPr>
          <w:rFonts w:ascii="Times New Roman" w:hAnsi="Times New Roman"/>
        </w:rPr>
        <w:t>但若以中觀的空宗來說：</w:t>
      </w:r>
      <w:r w:rsidRPr="00DA3BC7">
        <w:rPr>
          <w:rFonts w:ascii="Times New Roman" w:hAnsi="Times New Roman"/>
          <w:b/>
        </w:rPr>
        <w:t>世俗諦法，一切皆有</w:t>
      </w:r>
      <w:r w:rsidRPr="00DA3BC7">
        <w:rPr>
          <w:rFonts w:ascii="Times New Roman" w:hAnsi="Times New Roman" w:hint="eastAsia"/>
          <w:b/>
        </w:rPr>
        <w:t>；</w:t>
      </w:r>
      <w:r w:rsidRPr="00DA3BC7">
        <w:rPr>
          <w:rFonts w:ascii="Times New Roman" w:hAnsi="Times New Roman"/>
          <w:b/>
        </w:rPr>
        <w:t>勝義諦中，一切皆空</w:t>
      </w:r>
      <w:r w:rsidRPr="00DA3BC7">
        <w:rPr>
          <w:rFonts w:ascii="Times New Roman" w:hAnsi="Times New Roman"/>
        </w:rPr>
        <w:t>。</w:t>
      </w:r>
    </w:p>
    <w:p w:rsidR="00AA120F" w:rsidRPr="00DA3BC7" w:rsidRDefault="00AA120F" w:rsidP="008E2BBC">
      <w:pPr>
        <w:ind w:leftChars="200" w:left="480"/>
        <w:jc w:val="both"/>
        <w:rPr>
          <w:rFonts w:ascii="Times New Roman" w:hAnsi="Times New Roman"/>
        </w:rPr>
      </w:pPr>
      <w:r w:rsidRPr="00DA3BC7">
        <w:rPr>
          <w:rFonts w:ascii="Times New Roman" w:hAnsi="Times New Roman"/>
          <w:b/>
        </w:rPr>
        <w:t>說假有</w:t>
      </w:r>
      <w:r w:rsidRPr="00DA3BC7">
        <w:rPr>
          <w:rFonts w:ascii="Times New Roman" w:hAnsi="Times New Roman" w:hint="eastAsia"/>
          <w:b/>
        </w:rPr>
        <w:t>，</w:t>
      </w:r>
      <w:r w:rsidRPr="00DA3BC7">
        <w:rPr>
          <w:rFonts w:ascii="Times New Roman" w:hAnsi="Times New Roman"/>
          <w:b/>
        </w:rPr>
        <w:t>則一切無非假有</w:t>
      </w:r>
      <w:r w:rsidRPr="00DA3BC7">
        <w:rPr>
          <w:rFonts w:ascii="Times New Roman" w:hAnsi="Times New Roman"/>
        </w:rPr>
        <w:t>，就是涅槃也如幻如化。</w:t>
      </w:r>
    </w:p>
    <w:p w:rsidR="00AA120F" w:rsidRPr="00DA3BC7" w:rsidRDefault="00AA120F" w:rsidP="008E2BBC">
      <w:pPr>
        <w:ind w:leftChars="200" w:left="480"/>
        <w:jc w:val="both"/>
        <w:rPr>
          <w:rFonts w:ascii="Times New Roman" w:hAnsi="Times New Roman"/>
        </w:rPr>
      </w:pPr>
      <w:r w:rsidRPr="00DA3BC7">
        <w:rPr>
          <w:rFonts w:ascii="Times New Roman" w:hAnsi="Times New Roman"/>
          <w:b/>
        </w:rPr>
        <w:t>勝義說空，則一切法皆空寂</w:t>
      </w:r>
      <w:r w:rsidRPr="00DA3BC7">
        <w:rPr>
          <w:rFonts w:ascii="Times New Roman" w:hAnsi="Times New Roman"/>
        </w:rPr>
        <w:t>。</w:t>
      </w:r>
    </w:p>
    <w:p w:rsidR="00AA120F" w:rsidRPr="00DA3BC7" w:rsidRDefault="00AA120F" w:rsidP="008E2BBC">
      <w:pPr>
        <w:ind w:leftChars="200" w:left="480"/>
        <w:jc w:val="both"/>
        <w:rPr>
          <w:rFonts w:ascii="Times New Roman" w:hAnsi="Times New Roman"/>
        </w:rPr>
      </w:pPr>
      <w:r w:rsidRPr="00DA3BC7">
        <w:rPr>
          <w:rFonts w:ascii="Times New Roman" w:hAnsi="Times New Roman"/>
        </w:rPr>
        <w:t>到此，空義才臻</w:t>
      </w:r>
      <w:r w:rsidRPr="00DA3BC7">
        <w:rPr>
          <w:rStyle w:val="a6"/>
          <w:rFonts w:ascii="Times New Roman" w:hAnsi="Times New Roman"/>
        </w:rPr>
        <w:footnoteReference w:id="1095"/>
      </w:r>
      <w:r w:rsidRPr="00DA3BC7">
        <w:rPr>
          <w:rFonts w:ascii="Times New Roman" w:hAnsi="Times New Roman"/>
        </w:rPr>
        <w:t>於究極，也才算是空到家了。</w:t>
      </w:r>
    </w:p>
    <w:p w:rsidR="00AA120F" w:rsidRPr="00DA3BC7" w:rsidRDefault="00AA120F" w:rsidP="00AE3920">
      <w:pPr>
        <w:spacing w:beforeLines="30"/>
        <w:ind w:leftChars="200" w:left="480"/>
        <w:jc w:val="both"/>
        <w:rPr>
          <w:rFonts w:ascii="Times New Roman" w:hAnsi="Times New Roman"/>
          <w:b/>
          <w:sz w:val="20"/>
          <w:szCs w:val="20"/>
          <w:bdr w:val="single" w:sz="4" w:space="0" w:color="auto"/>
        </w:rPr>
      </w:pPr>
      <w:r w:rsidRPr="00DA3BC7">
        <w:rPr>
          <w:rFonts w:ascii="Times New Roman" w:hAnsi="Times New Roman" w:hint="eastAsia"/>
          <w:b/>
          <w:sz w:val="20"/>
          <w:szCs w:val="20"/>
          <w:bdr w:val="single" w:sz="4" w:space="0" w:color="auto"/>
        </w:rPr>
        <w:t>2</w:t>
      </w:r>
      <w:r w:rsidRPr="00DA3BC7">
        <w:rPr>
          <w:rFonts w:ascii="Times New Roman" w:hAnsi="Times New Roman" w:hint="eastAsia"/>
          <w:b/>
          <w:sz w:val="20"/>
          <w:szCs w:val="20"/>
          <w:bdr w:val="single" w:sz="4" w:space="0" w:color="auto"/>
        </w:rPr>
        <w:t>、</w:t>
      </w:r>
      <w:r w:rsidR="00611122">
        <w:rPr>
          <w:rFonts w:ascii="Times New Roman" w:hAnsi="Times New Roman" w:hint="eastAsia"/>
          <w:b/>
          <w:color w:val="FF0000"/>
          <w:sz w:val="20"/>
          <w:szCs w:val="20"/>
          <w:highlight w:val="yellow"/>
          <w:bdr w:val="single" w:sz="4" w:space="0" w:color="auto"/>
        </w:rPr>
        <w:t>簡別</w:t>
      </w:r>
      <w:r w:rsidRPr="00DA3BC7">
        <w:rPr>
          <w:rFonts w:ascii="Times New Roman" w:hAnsi="Times New Roman" w:hint="eastAsia"/>
          <w:sz w:val="20"/>
          <w:szCs w:val="20"/>
        </w:rPr>
        <w:t>（</w:t>
      </w:r>
      <w:r w:rsidRPr="00DA3BC7">
        <w:rPr>
          <w:rFonts w:ascii="Times New Roman" w:hAnsi="Times New Roman" w:hint="eastAsia"/>
          <w:sz w:val="20"/>
          <w:szCs w:val="20"/>
        </w:rPr>
        <w:t>p.</w:t>
      </w:r>
      <w:r w:rsidRPr="00DA3BC7">
        <w:rPr>
          <w:rFonts w:ascii="Times New Roman" w:hAnsi="Times New Roman" w:hint="eastAsia"/>
          <w:bCs/>
          <w:sz w:val="20"/>
          <w:szCs w:val="20"/>
        </w:rPr>
        <w:t>257</w:t>
      </w:r>
      <w:r w:rsidRPr="00DA3BC7">
        <w:rPr>
          <w:rFonts w:ascii="Times New Roman" w:hAnsi="Times New Roman" w:hint="eastAsia"/>
          <w:sz w:val="20"/>
          <w:szCs w:val="20"/>
        </w:rPr>
        <w:t>）</w:t>
      </w:r>
    </w:p>
    <w:p w:rsidR="00AA120F" w:rsidRPr="00DA3BC7" w:rsidRDefault="00AA120F" w:rsidP="008E2BBC">
      <w:pPr>
        <w:ind w:leftChars="200" w:left="480"/>
        <w:jc w:val="both"/>
        <w:rPr>
          <w:rFonts w:ascii="Times New Roman" w:hAnsi="Times New Roman"/>
        </w:rPr>
      </w:pPr>
      <w:r w:rsidRPr="00DA3BC7">
        <w:rPr>
          <w:rFonts w:ascii="Times New Roman" w:hAnsi="Times New Roman"/>
        </w:rPr>
        <w:t>但在勝義空宗中，承認一切皆空而於世俗諦中許是實有的中觀者，如清辨論師等，還帶有有宗氣息。</w:t>
      </w:r>
      <w:r w:rsidRPr="00DA3BC7">
        <w:rPr>
          <w:rFonts w:ascii="Times New Roman" w:hAnsi="Times New Roman"/>
          <w:b/>
        </w:rPr>
        <w:t>必須說世俗一切假有，這才是徹底的空宗。</w:t>
      </w:r>
    </w:p>
    <w:p w:rsidR="00AA120F" w:rsidRPr="00DA3BC7" w:rsidRDefault="00611122" w:rsidP="00AE3920">
      <w:pPr>
        <w:spacing w:beforeLines="30"/>
        <w:ind w:leftChars="100" w:left="240"/>
        <w:jc w:val="both"/>
        <w:rPr>
          <w:rFonts w:ascii="Times New Roman" w:hAnsi="Times New Roman"/>
          <w:b/>
          <w:sz w:val="20"/>
          <w:szCs w:val="20"/>
          <w:bdr w:val="single" w:sz="4" w:space="0" w:color="auto"/>
        </w:rPr>
      </w:pPr>
      <w:r w:rsidRPr="00611122">
        <w:rPr>
          <w:rFonts w:ascii="Times New Roman" w:hAnsi="Times New Roman" w:hint="eastAsia"/>
          <w:b/>
          <w:color w:val="FF0000"/>
          <w:sz w:val="20"/>
          <w:szCs w:val="20"/>
          <w:highlight w:val="yellow"/>
          <w:bdr w:val="single" w:sz="4" w:space="0" w:color="auto"/>
        </w:rPr>
        <w:t>五</w:t>
      </w:r>
      <w:r w:rsidR="00AA120F" w:rsidRPr="00611122">
        <w:rPr>
          <w:rFonts w:ascii="Times New Roman" w:hAnsi="Times New Roman" w:hint="eastAsia"/>
          <w:b/>
          <w:color w:val="FF0000"/>
          <w:sz w:val="20"/>
          <w:szCs w:val="20"/>
          <w:highlight w:val="yellow"/>
          <w:bdr w:val="single" w:sz="4" w:space="0" w:color="auto"/>
        </w:rPr>
        <w:t>、</w:t>
      </w:r>
      <w:r w:rsidRPr="00611122">
        <w:rPr>
          <w:rFonts w:ascii="Times New Roman" w:hAnsi="Times New Roman" w:hint="eastAsia"/>
          <w:b/>
          <w:color w:val="FF0000"/>
          <w:sz w:val="20"/>
          <w:szCs w:val="20"/>
          <w:highlight w:val="yellow"/>
          <w:bdr w:val="single" w:sz="4" w:space="0" w:color="auto"/>
        </w:rPr>
        <w:t>結示</w:t>
      </w:r>
      <w:r w:rsidR="00AA120F" w:rsidRPr="00DA3BC7">
        <w:rPr>
          <w:rFonts w:ascii="Times New Roman" w:hAnsi="Times New Roman" w:hint="eastAsia"/>
          <w:sz w:val="20"/>
          <w:szCs w:val="20"/>
        </w:rPr>
        <w:t>（</w:t>
      </w:r>
      <w:r w:rsidR="00AA120F" w:rsidRPr="00DA3BC7">
        <w:rPr>
          <w:rFonts w:ascii="Times New Roman" w:hAnsi="Times New Roman" w:hint="eastAsia"/>
          <w:sz w:val="20"/>
          <w:szCs w:val="20"/>
        </w:rPr>
        <w:t>p.</w:t>
      </w:r>
      <w:r w:rsidR="00AA120F" w:rsidRPr="00DA3BC7">
        <w:rPr>
          <w:rFonts w:ascii="Times New Roman" w:hAnsi="Times New Roman" w:hint="eastAsia"/>
          <w:bCs/>
          <w:sz w:val="20"/>
          <w:szCs w:val="20"/>
        </w:rPr>
        <w:t>257</w:t>
      </w:r>
      <w:r w:rsidR="00AA120F" w:rsidRPr="00DA3BC7">
        <w:rPr>
          <w:rFonts w:ascii="Times New Roman" w:hAnsi="Times New Roman" w:hint="eastAsia"/>
          <w:sz w:val="20"/>
          <w:szCs w:val="20"/>
        </w:rPr>
        <w:t>）</w:t>
      </w:r>
    </w:p>
    <w:p w:rsidR="00611122" w:rsidRDefault="00AA120F" w:rsidP="00212B5C">
      <w:pPr>
        <w:ind w:leftChars="100" w:left="240"/>
        <w:jc w:val="both"/>
        <w:rPr>
          <w:rFonts w:ascii="Times New Roman" w:hAnsi="Times New Roman"/>
        </w:rPr>
      </w:pPr>
      <w:r w:rsidRPr="00DA3BC7">
        <w:rPr>
          <w:rFonts w:ascii="Times New Roman" w:hAnsi="Times New Roman"/>
        </w:rPr>
        <w:t>依此差降</w:t>
      </w:r>
      <w:r w:rsidRPr="00DA3BC7">
        <w:rPr>
          <w:rStyle w:val="a6"/>
          <w:rFonts w:ascii="Times New Roman" w:hAnsi="Times New Roman"/>
        </w:rPr>
        <w:footnoteReference w:id="1096"/>
      </w:r>
      <w:r w:rsidRPr="00DA3BC7">
        <w:rPr>
          <w:rFonts w:ascii="Times New Roman" w:hAnsi="Times New Roman"/>
        </w:rPr>
        <w:t>層次，相對的安立有空二宗。</w:t>
      </w:r>
    </w:p>
    <w:p w:rsidR="00AA120F" w:rsidRPr="00DA3BC7" w:rsidRDefault="00AA120F" w:rsidP="00212B5C">
      <w:pPr>
        <w:ind w:leftChars="100" w:left="240"/>
        <w:jc w:val="both"/>
        <w:rPr>
          <w:rFonts w:ascii="Times New Roman" w:hAnsi="Times New Roman"/>
        </w:rPr>
      </w:pPr>
      <w:r w:rsidRPr="00611122">
        <w:rPr>
          <w:rFonts w:ascii="Times New Roman" w:hAnsi="Times New Roman"/>
          <w:highlight w:val="yellow"/>
        </w:rPr>
        <w:t>但</w:t>
      </w:r>
      <w:r w:rsidRPr="00DA3BC7">
        <w:rPr>
          <w:rFonts w:ascii="Times New Roman" w:hAnsi="Times New Roman"/>
        </w:rPr>
        <w:t>真正徹底的空宗，那唯有中觀者，唯有確立二諦都無自性的中觀者。</w:t>
      </w:r>
      <w:r w:rsidRPr="00DA3BC7">
        <w:rPr>
          <w:rStyle w:val="a6"/>
          <w:rFonts w:ascii="Times New Roman" w:hAnsi="Times New Roman"/>
        </w:rPr>
        <w:footnoteReference w:id="1097"/>
      </w:r>
    </w:p>
    <w:p w:rsidR="00AA120F" w:rsidRPr="00DA3BC7" w:rsidRDefault="00CC3486" w:rsidP="00AE3920">
      <w:pPr>
        <w:spacing w:beforeLines="30"/>
        <w:jc w:val="both"/>
        <w:rPr>
          <w:rFonts w:ascii="Times New Roman" w:hAnsi="Times New Roman"/>
          <w:sz w:val="20"/>
          <w:szCs w:val="20"/>
        </w:rPr>
      </w:pPr>
      <w:r w:rsidRPr="00CC3486">
        <w:rPr>
          <w:rFonts w:ascii="Times New Roman" w:hAnsi="Times New Roman" w:hint="eastAsia"/>
          <w:b/>
          <w:bCs/>
          <w:color w:val="FF0000"/>
          <w:sz w:val="20"/>
          <w:szCs w:val="20"/>
          <w:highlight w:val="yellow"/>
          <w:bdr w:val="single" w:sz="4" w:space="0" w:color="auto"/>
        </w:rPr>
        <w:lastRenderedPageBreak/>
        <w:t>參</w:t>
      </w:r>
      <w:r w:rsidR="00AA120F" w:rsidRPr="00CC3486">
        <w:rPr>
          <w:rFonts w:ascii="Times New Roman" w:hAnsi="Times New Roman"/>
          <w:b/>
          <w:bCs/>
          <w:color w:val="FF0000"/>
          <w:sz w:val="20"/>
          <w:szCs w:val="20"/>
          <w:highlight w:val="yellow"/>
          <w:bdr w:val="single" w:sz="4" w:space="0" w:color="auto"/>
        </w:rPr>
        <w:t>、</w:t>
      </w:r>
      <w:r w:rsidRPr="00CC3486">
        <w:rPr>
          <w:rFonts w:ascii="Times New Roman" w:hAnsi="Times New Roman" w:hint="eastAsia"/>
          <w:b/>
          <w:bCs/>
          <w:color w:val="FF0000"/>
          <w:sz w:val="20"/>
          <w:szCs w:val="20"/>
          <w:highlight w:val="yellow"/>
          <w:bdr w:val="single" w:sz="4" w:space="0" w:color="auto"/>
        </w:rPr>
        <w:t>論究「</w:t>
      </w:r>
      <w:r w:rsidR="00AA120F" w:rsidRPr="00CC3486">
        <w:rPr>
          <w:rFonts w:ascii="Times New Roman" w:hAnsi="Times New Roman"/>
          <w:b/>
          <w:bCs/>
          <w:color w:val="FF0000"/>
          <w:sz w:val="20"/>
          <w:szCs w:val="20"/>
          <w:highlight w:val="yellow"/>
          <w:bdr w:val="single" w:sz="4" w:space="0" w:color="auto"/>
        </w:rPr>
        <w:t>空有</w:t>
      </w:r>
      <w:r w:rsidRPr="00CC3486">
        <w:rPr>
          <w:rFonts w:ascii="Times New Roman" w:hAnsi="Times New Roman" w:hint="eastAsia"/>
          <w:b/>
          <w:bCs/>
          <w:color w:val="FF0000"/>
          <w:sz w:val="20"/>
          <w:szCs w:val="20"/>
          <w:highlight w:val="yellow"/>
          <w:bdr w:val="single" w:sz="4" w:space="0" w:color="auto"/>
        </w:rPr>
        <w:t>二</w:t>
      </w:r>
      <w:r w:rsidR="00AA120F" w:rsidRPr="00CC3486">
        <w:rPr>
          <w:rFonts w:ascii="Times New Roman" w:hAnsi="Times New Roman"/>
          <w:b/>
          <w:bCs/>
          <w:color w:val="FF0000"/>
          <w:sz w:val="20"/>
          <w:szCs w:val="20"/>
          <w:highlight w:val="yellow"/>
          <w:bdr w:val="single" w:sz="4" w:space="0" w:color="auto"/>
        </w:rPr>
        <w:t>宗</w:t>
      </w:r>
      <w:r w:rsidRPr="00CC3486">
        <w:rPr>
          <w:rFonts w:ascii="Times New Roman" w:hAnsi="Times New Roman" w:hint="eastAsia"/>
          <w:b/>
          <w:bCs/>
          <w:color w:val="FF0000"/>
          <w:sz w:val="20"/>
          <w:szCs w:val="20"/>
          <w:highlight w:val="yellow"/>
          <w:bdr w:val="single" w:sz="4" w:space="0" w:color="auto"/>
        </w:rPr>
        <w:t>之分歧」</w:t>
      </w:r>
      <w:r w:rsidR="00AA120F" w:rsidRPr="00DA3BC7">
        <w:rPr>
          <w:rFonts w:ascii="Times New Roman" w:hAnsi="Times New Roman"/>
          <w:sz w:val="20"/>
          <w:szCs w:val="20"/>
        </w:rPr>
        <w:t>（</w:t>
      </w:r>
      <w:r w:rsidR="00AA120F" w:rsidRPr="00DA3BC7">
        <w:rPr>
          <w:rFonts w:ascii="Times New Roman" w:hAnsi="Times New Roman"/>
          <w:sz w:val="20"/>
          <w:szCs w:val="20"/>
        </w:rPr>
        <w:t>pp.</w:t>
      </w:r>
      <w:r w:rsidR="00AA120F" w:rsidRPr="00DA3BC7">
        <w:rPr>
          <w:rFonts w:ascii="Times New Roman" w:hAnsi="Times New Roman"/>
          <w:bCs/>
          <w:sz w:val="20"/>
          <w:szCs w:val="20"/>
        </w:rPr>
        <w:t>257-261</w:t>
      </w:r>
      <w:r w:rsidR="00AA120F" w:rsidRPr="00DA3BC7">
        <w:rPr>
          <w:rFonts w:ascii="Times New Roman" w:hAnsi="Times New Roman"/>
          <w:sz w:val="20"/>
          <w:szCs w:val="20"/>
        </w:rPr>
        <w:t>）</w:t>
      </w:r>
    </w:p>
    <w:p w:rsidR="00AA120F" w:rsidRDefault="00AA120F" w:rsidP="008E2BBC">
      <w:pPr>
        <w:ind w:leftChars="50" w:left="120"/>
        <w:jc w:val="both"/>
        <w:rPr>
          <w:rFonts w:ascii="Times New Roman" w:hAnsi="Times New Roman"/>
          <w:sz w:val="20"/>
          <w:szCs w:val="20"/>
        </w:rPr>
      </w:pPr>
      <w:r w:rsidRPr="00CC3486">
        <w:rPr>
          <w:rFonts w:ascii="Times New Roman" w:hAnsi="Times New Roman" w:hint="eastAsia"/>
          <w:b/>
          <w:color w:val="FF0000"/>
          <w:sz w:val="20"/>
          <w:szCs w:val="20"/>
          <w:highlight w:val="yellow"/>
          <w:bdr w:val="single" w:sz="4" w:space="0" w:color="auto"/>
        </w:rPr>
        <w:t>（壹）</w:t>
      </w:r>
      <w:r w:rsidRPr="00CC3486">
        <w:rPr>
          <w:rFonts w:ascii="Times New Roman" w:hAnsi="Times New Roman"/>
          <w:b/>
          <w:color w:val="FF0000"/>
          <w:sz w:val="20"/>
          <w:szCs w:val="20"/>
          <w:highlight w:val="yellow"/>
          <w:bdr w:val="single" w:sz="4" w:space="0" w:color="auto"/>
        </w:rPr>
        <w:t>有宗</w:t>
      </w:r>
      <w:r w:rsidR="00CC3486" w:rsidRPr="00CC3486">
        <w:rPr>
          <w:rFonts w:ascii="Times New Roman" w:hAnsi="Times New Roman" w:hint="eastAsia"/>
          <w:b/>
          <w:color w:val="FF0000"/>
          <w:sz w:val="20"/>
          <w:szCs w:val="20"/>
          <w:highlight w:val="yellow"/>
          <w:bdr w:val="single" w:sz="4" w:space="0" w:color="auto"/>
        </w:rPr>
        <w:t>諸家的</w:t>
      </w:r>
      <w:r w:rsidRPr="00CC3486">
        <w:rPr>
          <w:rFonts w:ascii="Times New Roman" w:hAnsi="Times New Roman" w:hint="eastAsia"/>
          <w:b/>
          <w:color w:val="FF0000"/>
          <w:sz w:val="20"/>
          <w:szCs w:val="20"/>
          <w:highlight w:val="yellow"/>
          <w:bdr w:val="single" w:sz="4" w:space="0" w:color="auto"/>
        </w:rPr>
        <w:t>空</w:t>
      </w:r>
      <w:r w:rsidR="00CC3486" w:rsidRPr="00CC3486">
        <w:rPr>
          <w:rFonts w:ascii="Times New Roman" w:hAnsi="Times New Roman" w:hint="eastAsia"/>
          <w:b/>
          <w:color w:val="FF0000"/>
          <w:sz w:val="20"/>
          <w:szCs w:val="20"/>
          <w:highlight w:val="yellow"/>
          <w:bdr w:val="single" w:sz="4" w:space="0" w:color="auto"/>
        </w:rPr>
        <w:t>有</w:t>
      </w:r>
      <w:r w:rsidRPr="00CC3486">
        <w:rPr>
          <w:rFonts w:ascii="Times New Roman" w:hAnsi="Times New Roman"/>
          <w:b/>
          <w:color w:val="FF0000"/>
          <w:sz w:val="20"/>
          <w:szCs w:val="20"/>
          <w:highlight w:val="yellow"/>
          <w:bdr w:val="single" w:sz="4" w:space="0" w:color="auto"/>
        </w:rPr>
        <w:t>義</w:t>
      </w:r>
      <w:r w:rsidRPr="00DA3BC7">
        <w:rPr>
          <w:rFonts w:ascii="Times New Roman" w:hAnsi="Times New Roman" w:hint="eastAsia"/>
          <w:sz w:val="20"/>
          <w:szCs w:val="20"/>
        </w:rPr>
        <w:t>（</w:t>
      </w:r>
      <w:r w:rsidRPr="00DA3BC7">
        <w:rPr>
          <w:rFonts w:ascii="Times New Roman" w:hAnsi="Times New Roman" w:hint="eastAsia"/>
          <w:sz w:val="20"/>
          <w:szCs w:val="20"/>
        </w:rPr>
        <w:t>p.</w:t>
      </w:r>
      <w:r w:rsidRPr="00DA3BC7">
        <w:rPr>
          <w:rFonts w:ascii="Times New Roman" w:hAnsi="Times New Roman" w:hint="eastAsia"/>
          <w:bCs/>
          <w:sz w:val="20"/>
          <w:szCs w:val="20"/>
        </w:rPr>
        <w:t>257</w:t>
      </w:r>
      <w:r w:rsidRPr="00DA3BC7">
        <w:rPr>
          <w:rFonts w:ascii="Times New Roman" w:hAnsi="Times New Roman" w:hint="eastAsia"/>
          <w:sz w:val="20"/>
          <w:szCs w:val="20"/>
        </w:rPr>
        <w:t>）</w:t>
      </w:r>
    </w:p>
    <w:p w:rsidR="00CC3486" w:rsidRPr="00DA3BC7" w:rsidRDefault="00CC3486" w:rsidP="00212B5C">
      <w:pPr>
        <w:ind w:leftChars="100" w:left="24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一、概說</w:t>
      </w:r>
      <w:r w:rsidRPr="00DA3BC7">
        <w:rPr>
          <w:rFonts w:ascii="Times New Roman" w:hAnsi="Times New Roman" w:hint="eastAsia"/>
          <w:sz w:val="20"/>
          <w:szCs w:val="20"/>
        </w:rPr>
        <w:t>（</w:t>
      </w:r>
      <w:r w:rsidRPr="00DA3BC7">
        <w:rPr>
          <w:rFonts w:ascii="Times New Roman" w:hAnsi="Times New Roman" w:hint="eastAsia"/>
          <w:sz w:val="20"/>
          <w:szCs w:val="20"/>
        </w:rPr>
        <w:t>p.</w:t>
      </w:r>
      <w:r w:rsidRPr="00DA3BC7">
        <w:rPr>
          <w:rFonts w:ascii="Times New Roman" w:hAnsi="Times New Roman" w:hint="eastAsia"/>
          <w:bCs/>
          <w:sz w:val="20"/>
          <w:szCs w:val="20"/>
        </w:rPr>
        <w:t>257</w:t>
      </w:r>
      <w:r w:rsidRPr="00DA3BC7">
        <w:rPr>
          <w:rFonts w:ascii="Times New Roman" w:hAnsi="Times New Roman" w:hint="eastAsia"/>
          <w:sz w:val="20"/>
          <w:szCs w:val="20"/>
        </w:rPr>
        <w:t>）</w:t>
      </w:r>
    </w:p>
    <w:p w:rsidR="00AA120F" w:rsidRPr="00DA3BC7" w:rsidRDefault="00AA120F" w:rsidP="00212B5C">
      <w:pPr>
        <w:ind w:leftChars="100" w:left="240"/>
        <w:jc w:val="both"/>
        <w:rPr>
          <w:rFonts w:ascii="Times New Roman" w:hAnsi="Times New Roman"/>
        </w:rPr>
      </w:pPr>
      <w:r w:rsidRPr="00DA3BC7">
        <w:rPr>
          <w:rFonts w:ascii="Times New Roman" w:hAnsi="Times New Roman"/>
        </w:rPr>
        <w:t>有宗，也還是說空的，他所以不是究竟的空義，不合於中觀的了義，這可以從各宗派明空的方法去了解，即可以看出他們口口說空，而實在是念念不空的思想。</w:t>
      </w:r>
      <w:r w:rsidRPr="00DA3BC7">
        <w:rPr>
          <w:rStyle w:val="a6"/>
          <w:rFonts w:ascii="Times New Roman" w:hAnsi="Times New Roman"/>
        </w:rPr>
        <w:footnoteReference w:id="1098"/>
      </w:r>
    </w:p>
    <w:p w:rsidR="00AA120F" w:rsidRPr="00DA3BC7" w:rsidRDefault="00CC3486" w:rsidP="00AE3920">
      <w:pPr>
        <w:spacing w:beforeLines="30"/>
        <w:ind w:leftChars="100" w:left="24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二、詳辨</w:t>
      </w:r>
      <w:r w:rsidR="00AA120F" w:rsidRPr="00DA3BC7">
        <w:rPr>
          <w:rFonts w:ascii="Times New Roman" w:hAnsi="Times New Roman"/>
          <w:sz w:val="20"/>
          <w:szCs w:val="20"/>
        </w:rPr>
        <w:t>（</w:t>
      </w:r>
      <w:r w:rsidR="00AA120F" w:rsidRPr="00DA3BC7">
        <w:rPr>
          <w:rFonts w:ascii="Times New Roman" w:hAnsi="Times New Roman"/>
          <w:sz w:val="20"/>
          <w:szCs w:val="20"/>
        </w:rPr>
        <w:t>pp.</w:t>
      </w:r>
      <w:r w:rsidR="00AA120F" w:rsidRPr="00DA3BC7">
        <w:rPr>
          <w:rFonts w:ascii="Times New Roman" w:hAnsi="Times New Roman"/>
          <w:bCs/>
          <w:sz w:val="20"/>
          <w:szCs w:val="20"/>
        </w:rPr>
        <w:t>257-261</w:t>
      </w:r>
      <w:r w:rsidR="00AA120F" w:rsidRPr="00DA3BC7">
        <w:rPr>
          <w:rFonts w:ascii="Times New Roman" w:hAnsi="Times New Roman"/>
          <w:sz w:val="20"/>
          <w:szCs w:val="20"/>
        </w:rPr>
        <w:t>）</w:t>
      </w:r>
    </w:p>
    <w:p w:rsidR="00CC3486" w:rsidRDefault="00CC3486" w:rsidP="00212B5C">
      <w:pPr>
        <w:ind w:leftChars="150" w:left="360"/>
        <w:jc w:val="both"/>
        <w:rPr>
          <w:rFonts w:ascii="Times New Roman" w:hAnsi="Times New Roman"/>
          <w:b/>
          <w:color w:val="FF0000"/>
          <w:sz w:val="20"/>
          <w:szCs w:val="20"/>
          <w:bdr w:val="single" w:sz="4" w:space="0" w:color="auto"/>
        </w:rPr>
      </w:pPr>
      <w:r w:rsidRPr="00CC3486">
        <w:rPr>
          <w:rFonts w:ascii="Times New Roman" w:hAnsi="Times New Roman" w:hint="eastAsia"/>
          <w:b/>
          <w:color w:val="FF0000"/>
          <w:sz w:val="20"/>
          <w:szCs w:val="20"/>
          <w:highlight w:val="yellow"/>
          <w:bdr w:val="single" w:sz="4" w:space="0" w:color="auto"/>
        </w:rPr>
        <w:t>（一）</w:t>
      </w:r>
      <w:r>
        <w:rPr>
          <w:rFonts w:ascii="Times New Roman" w:hAnsi="Times New Roman" w:hint="eastAsia"/>
          <w:b/>
          <w:color w:val="FF0000"/>
          <w:sz w:val="20"/>
          <w:szCs w:val="20"/>
          <w:highlight w:val="yellow"/>
          <w:bdr w:val="single" w:sz="4" w:space="0" w:color="auto"/>
        </w:rPr>
        <w:t>別</w:t>
      </w:r>
      <w:r w:rsidR="00510079">
        <w:rPr>
          <w:rFonts w:ascii="Times New Roman" w:hAnsi="Times New Roman" w:hint="eastAsia"/>
          <w:b/>
          <w:color w:val="FF0000"/>
          <w:sz w:val="20"/>
          <w:szCs w:val="20"/>
          <w:highlight w:val="yellow"/>
          <w:bdr w:val="single" w:sz="4" w:space="0" w:color="auto"/>
        </w:rPr>
        <w:t>論</w:t>
      </w:r>
      <w:r w:rsidRPr="00DA3BC7">
        <w:rPr>
          <w:rFonts w:ascii="Times New Roman" w:hAnsi="Times New Roman"/>
          <w:sz w:val="20"/>
          <w:szCs w:val="20"/>
        </w:rPr>
        <w:t>（</w:t>
      </w:r>
      <w:r w:rsidRPr="00DA3BC7">
        <w:rPr>
          <w:rFonts w:ascii="Times New Roman" w:hAnsi="Times New Roman"/>
          <w:sz w:val="20"/>
          <w:szCs w:val="20"/>
        </w:rPr>
        <w:t>pp.</w:t>
      </w:r>
      <w:r w:rsidRPr="00DA3BC7">
        <w:rPr>
          <w:rFonts w:ascii="Times New Roman" w:hAnsi="Times New Roman"/>
          <w:bCs/>
          <w:sz w:val="20"/>
          <w:szCs w:val="20"/>
        </w:rPr>
        <w:t>257-261</w:t>
      </w:r>
      <w:r w:rsidRPr="00DA3BC7">
        <w:rPr>
          <w:rFonts w:ascii="Times New Roman" w:hAnsi="Times New Roman"/>
          <w:sz w:val="20"/>
          <w:szCs w:val="20"/>
        </w:rPr>
        <w:t>）</w:t>
      </w:r>
    </w:p>
    <w:p w:rsidR="00CC3486" w:rsidRPr="00DA3BC7" w:rsidRDefault="00CC3486" w:rsidP="00212B5C">
      <w:pPr>
        <w:ind w:leftChars="150" w:left="360"/>
        <w:jc w:val="both"/>
        <w:rPr>
          <w:rFonts w:ascii="Times New Roman" w:hAnsi="Times New Roman"/>
        </w:rPr>
      </w:pPr>
      <w:r w:rsidRPr="00DA3BC7">
        <w:rPr>
          <w:rFonts w:ascii="Times New Roman" w:hAnsi="Times New Roman"/>
        </w:rPr>
        <w:t>今舉例說明：</w:t>
      </w:r>
    </w:p>
    <w:p w:rsidR="00AA120F" w:rsidRDefault="00CC3486" w:rsidP="00212B5C">
      <w:pPr>
        <w:ind w:leftChars="200" w:left="480"/>
        <w:jc w:val="both"/>
        <w:rPr>
          <w:rFonts w:ascii="Times New Roman" w:hAnsi="Times New Roman"/>
          <w:sz w:val="20"/>
          <w:szCs w:val="20"/>
        </w:rPr>
      </w:pPr>
      <w:r w:rsidRPr="00CC3486">
        <w:rPr>
          <w:rFonts w:ascii="Times New Roman" w:hAnsi="Times New Roman" w:hint="eastAsia"/>
          <w:b/>
          <w:color w:val="FF0000"/>
          <w:sz w:val="20"/>
          <w:szCs w:val="20"/>
          <w:highlight w:val="yellow"/>
          <w:bdr w:val="single" w:sz="4" w:space="0" w:color="auto"/>
        </w:rPr>
        <w:t>1</w:t>
      </w:r>
      <w:r w:rsidR="00AA120F" w:rsidRPr="00CC3486">
        <w:rPr>
          <w:rFonts w:ascii="Times New Roman" w:hAnsi="Times New Roman" w:hint="eastAsia"/>
          <w:b/>
          <w:color w:val="FF0000"/>
          <w:sz w:val="20"/>
          <w:szCs w:val="20"/>
          <w:highlight w:val="yellow"/>
          <w:bdr w:val="single" w:sz="4" w:space="0" w:color="auto"/>
        </w:rPr>
        <w:t>、</w:t>
      </w:r>
      <w:r w:rsidRPr="00CC3486">
        <w:rPr>
          <w:rFonts w:ascii="Times New Roman" w:hAnsi="Times New Roman" w:hint="eastAsia"/>
          <w:b/>
          <w:color w:val="FF0000"/>
          <w:sz w:val="20"/>
          <w:szCs w:val="20"/>
          <w:highlight w:val="yellow"/>
          <w:bdr w:val="single" w:sz="4" w:space="0" w:color="auto"/>
        </w:rPr>
        <w:t>評</w:t>
      </w:r>
      <w:r w:rsidR="008C557E">
        <w:rPr>
          <w:rFonts w:ascii="Times New Roman" w:hAnsi="Times New Roman" w:hint="eastAsia"/>
          <w:b/>
          <w:color w:val="FF0000"/>
          <w:sz w:val="20"/>
          <w:szCs w:val="20"/>
          <w:highlight w:val="yellow"/>
          <w:bdr w:val="single" w:sz="4" w:space="0" w:color="auto"/>
        </w:rPr>
        <w:t>「</w:t>
      </w:r>
      <w:r w:rsidR="00AA120F" w:rsidRPr="00CC3486">
        <w:rPr>
          <w:rFonts w:ascii="Times New Roman" w:hAnsi="Times New Roman"/>
          <w:b/>
          <w:color w:val="FF0000"/>
          <w:sz w:val="20"/>
          <w:szCs w:val="20"/>
          <w:highlight w:val="yellow"/>
          <w:bdr w:val="single" w:sz="4" w:space="0" w:color="auto"/>
        </w:rPr>
        <w:t>有部</w:t>
      </w:r>
      <w:r w:rsidRPr="00CC3486">
        <w:rPr>
          <w:rFonts w:ascii="Times New Roman" w:hAnsi="Times New Roman" w:hint="eastAsia"/>
          <w:b/>
          <w:color w:val="FF0000"/>
          <w:sz w:val="20"/>
          <w:szCs w:val="20"/>
          <w:highlight w:val="yellow"/>
          <w:bdr w:val="single" w:sz="4" w:space="0" w:color="auto"/>
        </w:rPr>
        <w:t>之說</w:t>
      </w:r>
      <w:r w:rsidR="008C557E">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sz w:val="20"/>
          <w:szCs w:val="20"/>
        </w:rPr>
        <w:t>（</w:t>
      </w:r>
      <w:r w:rsidR="00AA120F" w:rsidRPr="00DA3BC7">
        <w:rPr>
          <w:rFonts w:ascii="Times New Roman" w:hAnsi="Times New Roman"/>
          <w:sz w:val="20"/>
          <w:szCs w:val="20"/>
        </w:rPr>
        <w:t>pp.</w:t>
      </w:r>
      <w:r w:rsidR="00AA120F" w:rsidRPr="00DA3BC7">
        <w:rPr>
          <w:rFonts w:ascii="Times New Roman" w:hAnsi="Times New Roman"/>
          <w:bCs/>
          <w:sz w:val="20"/>
          <w:szCs w:val="20"/>
        </w:rPr>
        <w:t>257-258</w:t>
      </w:r>
      <w:r w:rsidR="00AA120F" w:rsidRPr="00DA3BC7">
        <w:rPr>
          <w:rFonts w:ascii="Times New Roman" w:hAnsi="Times New Roman"/>
          <w:sz w:val="20"/>
          <w:szCs w:val="20"/>
        </w:rPr>
        <w:t>）</w:t>
      </w:r>
    </w:p>
    <w:p w:rsidR="00510079" w:rsidRPr="00510079" w:rsidRDefault="00510079" w:rsidP="00212B5C">
      <w:pPr>
        <w:ind w:leftChars="250" w:left="600"/>
        <w:jc w:val="both"/>
        <w:rPr>
          <w:rFonts w:ascii="Times New Roman" w:hAnsi="Times New Roman"/>
          <w:b/>
          <w:sz w:val="20"/>
          <w:szCs w:val="20"/>
          <w:bdr w:val="single" w:sz="4" w:space="0" w:color="auto"/>
        </w:rPr>
      </w:pPr>
      <w:r w:rsidRPr="00CC3486">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1</w:t>
      </w:r>
      <w:r w:rsidRPr="00CC3486">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明宗</w:t>
      </w:r>
      <w:r w:rsidRPr="00DA3BC7">
        <w:rPr>
          <w:rFonts w:ascii="Times New Roman" w:hAnsi="Times New Roman"/>
          <w:sz w:val="20"/>
          <w:szCs w:val="20"/>
        </w:rPr>
        <w:t>（</w:t>
      </w:r>
      <w:r w:rsidRPr="00DA3BC7">
        <w:rPr>
          <w:rFonts w:ascii="Times New Roman" w:hAnsi="Times New Roman"/>
          <w:sz w:val="20"/>
          <w:szCs w:val="20"/>
        </w:rPr>
        <w:t>pp.</w:t>
      </w:r>
      <w:r w:rsidRPr="00DA3BC7">
        <w:rPr>
          <w:rFonts w:ascii="Times New Roman" w:hAnsi="Times New Roman"/>
          <w:bCs/>
          <w:sz w:val="20"/>
          <w:szCs w:val="20"/>
        </w:rPr>
        <w:t>257-258</w:t>
      </w:r>
      <w:r w:rsidRPr="00DA3BC7">
        <w:rPr>
          <w:rFonts w:ascii="Times New Roman" w:hAnsi="Times New Roman"/>
          <w:sz w:val="20"/>
          <w:szCs w:val="20"/>
        </w:rPr>
        <w:t>）</w:t>
      </w:r>
    </w:p>
    <w:p w:rsidR="00AA120F" w:rsidRPr="00DA3BC7" w:rsidRDefault="00AA120F" w:rsidP="00212B5C">
      <w:pPr>
        <w:ind w:leftChars="250" w:left="600"/>
        <w:jc w:val="both"/>
        <w:rPr>
          <w:rFonts w:ascii="Times New Roman" w:hAnsi="Times New Roman"/>
          <w:szCs w:val="20"/>
        </w:rPr>
      </w:pPr>
      <w:r w:rsidRPr="00DA3BC7">
        <w:rPr>
          <w:rFonts w:ascii="Times New Roman" w:hAnsi="Times New Roman"/>
        </w:rPr>
        <w:t>如</w:t>
      </w:r>
      <w:r w:rsidRPr="002523CD">
        <w:rPr>
          <w:rFonts w:ascii="Times New Roman" w:hAnsi="Times New Roman"/>
          <w:b/>
          <w:u w:val="wave" w:color="C00000"/>
        </w:rPr>
        <w:t>薩婆多部</w:t>
      </w:r>
      <w:r w:rsidRPr="00DA3BC7">
        <w:rPr>
          <w:rFonts w:ascii="Times New Roman" w:hAnsi="Times New Roman"/>
        </w:rPr>
        <w:t>是</w:t>
      </w:r>
      <w:r w:rsidRPr="002523CD">
        <w:rPr>
          <w:rFonts w:ascii="Times New Roman" w:hAnsi="Times New Roman"/>
          <w:b/>
          <w:u w:val="wave" w:color="C00000"/>
        </w:rPr>
        <w:t>法有我無宗</w:t>
      </w:r>
      <w:r w:rsidRPr="00DA3BC7">
        <w:rPr>
          <w:rFonts w:ascii="Times New Roman" w:hAnsi="Times New Roman"/>
        </w:rPr>
        <w:t>，何以我是無而法是有？所以說有或說無的理，是依於認識論而說的。</w:t>
      </w:r>
      <w:r w:rsidRPr="00DA3BC7">
        <w:rPr>
          <w:rFonts w:ascii="Times New Roman" w:hAnsi="Times New Roman"/>
          <w:szCs w:val="20"/>
        </w:rPr>
        <w:t>凡是</w:t>
      </w:r>
      <w:r w:rsidRPr="00DA3BC7">
        <w:rPr>
          <w:rFonts w:ascii="Times New Roman" w:hAnsi="Times New Roman"/>
          <w:b/>
          <w:szCs w:val="20"/>
        </w:rPr>
        <w:t>事相與理性</w:t>
      </w:r>
      <w:r w:rsidRPr="00DA3BC7">
        <w:rPr>
          <w:rFonts w:ascii="Times New Roman" w:hAnsi="Times New Roman"/>
          <w:szCs w:val="20"/>
        </w:rPr>
        <w:t>（事相方面的因果法；理性方面的如不生不滅的涅槃等法），或</w:t>
      </w:r>
      <w:r w:rsidRPr="00DA3BC7">
        <w:rPr>
          <w:rFonts w:ascii="Times New Roman" w:hAnsi="Times New Roman"/>
          <w:b/>
          <w:szCs w:val="20"/>
        </w:rPr>
        <w:t>心與境</w:t>
      </w:r>
      <w:r w:rsidRPr="00DA3BC7">
        <w:rPr>
          <w:rFonts w:ascii="Times New Roman" w:hAnsi="Times New Roman"/>
          <w:szCs w:val="20"/>
        </w:rPr>
        <w:t>，這些都是可知境；凡是可知的，即是實有的，確實如此，任作若何的分析，這些法的自相是不失的。</w:t>
      </w:r>
    </w:p>
    <w:p w:rsidR="00AA120F" w:rsidRPr="00DA3BC7" w:rsidRDefault="00AA120F" w:rsidP="00AE3920">
      <w:pPr>
        <w:spacing w:beforeLines="20"/>
        <w:ind w:leftChars="250" w:left="600"/>
        <w:jc w:val="both"/>
        <w:rPr>
          <w:rFonts w:ascii="Times New Roman" w:hAnsi="Times New Roman"/>
          <w:b/>
          <w:szCs w:val="20"/>
        </w:rPr>
      </w:pPr>
      <w:r w:rsidRPr="00DA3BC7">
        <w:rPr>
          <w:rFonts w:ascii="Times New Roman" w:hAnsi="Times New Roman"/>
          <w:szCs w:val="20"/>
        </w:rPr>
        <w:t>故</w:t>
      </w:r>
      <w:r w:rsidRPr="00DA3BC7">
        <w:rPr>
          <w:rFonts w:ascii="Times New Roman" w:hAnsi="Times New Roman"/>
          <w:b/>
          <w:szCs w:val="20"/>
        </w:rPr>
        <w:t>事理、心境等，一切皆是實有的，即勝義有。</w:t>
      </w:r>
    </w:p>
    <w:p w:rsidR="00AA120F" w:rsidRPr="00DA3BC7" w:rsidRDefault="00AA120F" w:rsidP="00212B5C">
      <w:pPr>
        <w:ind w:leftChars="250" w:left="600"/>
        <w:jc w:val="both"/>
        <w:rPr>
          <w:rFonts w:ascii="Times New Roman" w:hAnsi="Times New Roman"/>
          <w:b/>
          <w:szCs w:val="20"/>
        </w:rPr>
      </w:pPr>
      <w:r w:rsidRPr="00DA3BC7">
        <w:rPr>
          <w:rFonts w:ascii="Times New Roman" w:hAnsi="Times New Roman"/>
          <w:b/>
          <w:szCs w:val="20"/>
        </w:rPr>
        <w:t>依勝義有而相續、和合有的，是世俗的。</w:t>
      </w:r>
    </w:p>
    <w:p w:rsidR="00623175" w:rsidRDefault="00AA120F" w:rsidP="00AE3920">
      <w:pPr>
        <w:spacing w:beforeLines="20"/>
        <w:ind w:leftChars="250" w:left="600"/>
        <w:jc w:val="both"/>
        <w:rPr>
          <w:rFonts w:ascii="Times New Roman" w:hAnsi="Times New Roman"/>
          <w:szCs w:val="20"/>
        </w:rPr>
      </w:pPr>
      <w:r w:rsidRPr="00DA3BC7">
        <w:rPr>
          <w:rFonts w:ascii="Times New Roman" w:hAnsi="Times New Roman"/>
          <w:szCs w:val="20"/>
        </w:rPr>
        <w:lastRenderedPageBreak/>
        <w:t>這都是有的，不能說空。</w:t>
      </w:r>
    </w:p>
    <w:p w:rsidR="00AA120F" w:rsidRPr="00DA3BC7" w:rsidRDefault="00AA120F" w:rsidP="00AE3920">
      <w:pPr>
        <w:spacing w:beforeLines="20"/>
        <w:ind w:leftChars="250" w:left="600"/>
        <w:jc w:val="both"/>
        <w:rPr>
          <w:rFonts w:ascii="Times New Roman" w:hAnsi="Times New Roman"/>
          <w:szCs w:val="20"/>
        </w:rPr>
      </w:pPr>
      <w:r w:rsidRPr="00623175">
        <w:rPr>
          <w:rFonts w:ascii="Times New Roman" w:hAnsi="Times New Roman"/>
          <w:szCs w:val="20"/>
          <w:highlight w:val="yellow"/>
        </w:rPr>
        <w:t>但</w:t>
      </w:r>
      <w:r w:rsidRPr="00DA3BC7">
        <w:rPr>
          <w:rFonts w:ascii="Times New Roman" w:hAnsi="Times New Roman"/>
          <w:szCs w:val="20"/>
        </w:rPr>
        <w:t>在認識這有為、無為的一切法時，有因為認識錯誤，有錯亂的行相現起，於此錯亂行相的執著為如何如何，這是沒有的，是空的。</w:t>
      </w:r>
    </w:p>
    <w:p w:rsidR="00AA120F" w:rsidRPr="00DA3BC7" w:rsidRDefault="00AA120F" w:rsidP="00212B5C">
      <w:pPr>
        <w:ind w:leftChars="250" w:left="600"/>
        <w:jc w:val="both"/>
        <w:rPr>
          <w:rFonts w:ascii="Times New Roman" w:hAnsi="Times New Roman"/>
        </w:rPr>
      </w:pPr>
      <w:r w:rsidRPr="00DA3BC7">
        <w:rPr>
          <w:rFonts w:ascii="Times New Roman" w:hAnsi="Times New Roman"/>
        </w:rPr>
        <w:t>如</w:t>
      </w:r>
      <w:r w:rsidRPr="000B3136">
        <w:rPr>
          <w:rFonts w:ascii="Times New Roman" w:hAnsi="Times New Roman"/>
          <w:b/>
        </w:rPr>
        <w:t>薩婆多部</w:t>
      </w:r>
      <w:r w:rsidRPr="00DA3BC7">
        <w:rPr>
          <w:rFonts w:ascii="Times New Roman" w:hAnsi="Times New Roman"/>
        </w:rPr>
        <w:t>以色、香、味、觸、地、水、火、風等八微和合而有瓶、柱等，以為</w:t>
      </w:r>
      <w:r w:rsidRPr="00DA3BC7">
        <w:rPr>
          <w:rFonts w:ascii="Times New Roman" w:hAnsi="Times New Roman"/>
          <w:b/>
        </w:rPr>
        <w:t>能成瓶等八微是真實有，八微所現起的瓶</w:t>
      </w:r>
      <w:r w:rsidRPr="00DA3BC7">
        <w:rPr>
          <w:rFonts w:ascii="Times New Roman" w:hAnsi="Times New Roman" w:hint="eastAsia"/>
          <w:b/>
        </w:rPr>
        <w:t>、</w:t>
      </w:r>
      <w:r w:rsidRPr="00DA3BC7">
        <w:rPr>
          <w:rFonts w:ascii="Times New Roman" w:hAnsi="Times New Roman"/>
          <w:b/>
        </w:rPr>
        <w:t>柱等是假有</w:t>
      </w:r>
      <w:r w:rsidRPr="00DA3BC7">
        <w:rPr>
          <w:rFonts w:ascii="Times New Roman" w:hAnsi="Times New Roman"/>
        </w:rPr>
        <w:t>。</w:t>
      </w:r>
      <w:r w:rsidRPr="00DA3BC7">
        <w:rPr>
          <w:rStyle w:val="a6"/>
          <w:rFonts w:ascii="Times New Roman" w:hAnsi="Times New Roman"/>
        </w:rPr>
        <w:footnoteReference w:id="1099"/>
      </w:r>
    </w:p>
    <w:p w:rsidR="00623175" w:rsidRDefault="00AA120F" w:rsidP="00212B5C">
      <w:pPr>
        <w:ind w:leftChars="250" w:left="600"/>
        <w:jc w:val="both"/>
        <w:rPr>
          <w:rFonts w:ascii="Times New Roman" w:hAnsi="Times New Roman"/>
        </w:rPr>
      </w:pPr>
      <w:r w:rsidRPr="00DA3BC7">
        <w:rPr>
          <w:rFonts w:ascii="Times New Roman" w:hAnsi="Times New Roman"/>
        </w:rPr>
        <w:t>此假有的瓶、柱，也不應是空，因為</w:t>
      </w:r>
      <w:r w:rsidRPr="00DA3BC7">
        <w:rPr>
          <w:rFonts w:ascii="Times New Roman" w:hAnsi="Times New Roman"/>
          <w:b/>
        </w:rPr>
        <w:t>假是依實立的</w:t>
      </w:r>
      <w:r w:rsidRPr="00DA3BC7">
        <w:rPr>
          <w:rFonts w:ascii="Times New Roman" w:hAnsi="Times New Roman"/>
        </w:rPr>
        <w:t>，假有是用，用是不離體的，所以</w:t>
      </w:r>
      <w:r w:rsidRPr="00DA3BC7">
        <w:rPr>
          <w:rFonts w:ascii="Times New Roman" w:hAnsi="Times New Roman"/>
          <w:b/>
        </w:rPr>
        <w:t>勝義是有，世俗也是有</w:t>
      </w:r>
      <w:r w:rsidRPr="00DA3BC7">
        <w:rPr>
          <w:rFonts w:ascii="Times New Roman" w:hAnsi="Times New Roman"/>
        </w:rPr>
        <w:t>。</w:t>
      </w:r>
    </w:p>
    <w:p w:rsidR="00AA120F" w:rsidRPr="00DA3BC7" w:rsidRDefault="00AA120F" w:rsidP="00212B5C">
      <w:pPr>
        <w:ind w:leftChars="250" w:left="600"/>
        <w:jc w:val="both"/>
        <w:rPr>
          <w:rFonts w:ascii="Times New Roman" w:hAnsi="Times New Roman"/>
        </w:rPr>
      </w:pPr>
      <w:r w:rsidRPr="00DA3BC7">
        <w:rPr>
          <w:rFonts w:ascii="Times New Roman" w:hAnsi="Times New Roman"/>
        </w:rPr>
        <w:t>若人不知瓶等是和合相續的，將瓶等看作是整個的</w:t>
      </w:r>
      <w:r w:rsidRPr="00DA3BC7">
        <w:rPr>
          <w:rFonts w:ascii="Times New Roman" w:hAnsi="Times New Roman" w:hint="eastAsia"/>
        </w:rPr>
        <w:t>、</w:t>
      </w:r>
      <w:r w:rsidRPr="00DA3BC7">
        <w:rPr>
          <w:rFonts w:ascii="Times New Roman" w:hAnsi="Times New Roman"/>
        </w:rPr>
        <w:t>不變的，這是認識的錯誤</w:t>
      </w:r>
      <w:r w:rsidRPr="00DA3BC7">
        <w:rPr>
          <w:rFonts w:ascii="新細明體" w:hAnsi="新細明體"/>
        </w:rPr>
        <w:t>──</w:t>
      </w:r>
      <w:r w:rsidRPr="00DA3BC7">
        <w:rPr>
          <w:rFonts w:ascii="Times New Roman" w:hAnsi="Times New Roman"/>
        </w:rPr>
        <w:t>行相錯亂，此行相錯亂所執的，才是沒有的。</w:t>
      </w:r>
    </w:p>
    <w:p w:rsidR="00AA120F" w:rsidRPr="00DA3BC7" w:rsidRDefault="00AA120F" w:rsidP="00212B5C">
      <w:pPr>
        <w:ind w:leftChars="250" w:left="600"/>
        <w:jc w:val="both"/>
        <w:rPr>
          <w:rFonts w:ascii="Times New Roman" w:hAnsi="Times New Roman"/>
        </w:rPr>
      </w:pPr>
      <w:r w:rsidRPr="00DA3BC7">
        <w:rPr>
          <w:rFonts w:ascii="Times New Roman" w:hAnsi="Times New Roman"/>
        </w:rPr>
        <w:t>如說我是五蘊和合而有的，五蘊是勝義有，依</w:t>
      </w:r>
      <w:r w:rsidRPr="00DA3BC7">
        <w:rPr>
          <w:rFonts w:ascii="Times New Roman" w:hAnsi="Times New Roman"/>
          <w:b/>
        </w:rPr>
        <w:t>勝義的五蘊</w:t>
      </w:r>
      <w:r w:rsidRPr="00DA3BC7">
        <w:rPr>
          <w:rFonts w:ascii="Times New Roman" w:hAnsi="Times New Roman"/>
        </w:rPr>
        <w:t>而建立</w:t>
      </w:r>
      <w:r w:rsidRPr="00DA3BC7">
        <w:rPr>
          <w:rFonts w:ascii="Times New Roman" w:hAnsi="Times New Roman"/>
          <w:b/>
        </w:rPr>
        <w:t>假有的補特伽羅我</w:t>
      </w:r>
      <w:r w:rsidRPr="00DA3BC7">
        <w:rPr>
          <w:rFonts w:ascii="Times New Roman" w:hAnsi="Times New Roman"/>
        </w:rPr>
        <w:t>。若於補特伽羅的假有法，執為常、一、實在的我，這種錯誤認識的我，才是應該破除的。</w:t>
      </w:r>
    </w:p>
    <w:p w:rsidR="00AA120F" w:rsidRPr="00DA3BC7" w:rsidRDefault="00AA120F" w:rsidP="00AE3920">
      <w:pPr>
        <w:spacing w:beforeLines="30"/>
        <w:ind w:leftChars="250" w:left="600"/>
        <w:jc w:val="both"/>
        <w:rPr>
          <w:rFonts w:ascii="Times New Roman" w:hAnsi="Times New Roman"/>
          <w:b/>
          <w:sz w:val="20"/>
          <w:szCs w:val="20"/>
          <w:bdr w:val="single" w:sz="4" w:space="0" w:color="auto"/>
        </w:rPr>
      </w:pPr>
      <w:r w:rsidRPr="00510079">
        <w:rPr>
          <w:rFonts w:ascii="Times New Roman" w:hAnsi="Times New Roman" w:hint="eastAsia"/>
          <w:b/>
          <w:color w:val="FF0000"/>
          <w:sz w:val="20"/>
          <w:szCs w:val="20"/>
          <w:highlight w:val="yellow"/>
          <w:bdr w:val="single" w:sz="4" w:space="0" w:color="auto"/>
        </w:rPr>
        <w:t>（</w:t>
      </w:r>
      <w:r w:rsidR="00510079" w:rsidRPr="00510079">
        <w:rPr>
          <w:rFonts w:ascii="Times New Roman" w:hAnsi="Times New Roman" w:hint="eastAsia"/>
          <w:b/>
          <w:color w:val="FF0000"/>
          <w:sz w:val="20"/>
          <w:szCs w:val="20"/>
          <w:highlight w:val="yellow"/>
          <w:bdr w:val="single" w:sz="4" w:space="0" w:color="auto"/>
        </w:rPr>
        <w:t>2</w:t>
      </w:r>
      <w:r w:rsidRPr="00510079">
        <w:rPr>
          <w:rFonts w:ascii="Times New Roman" w:hAnsi="Times New Roman" w:hint="eastAsia"/>
          <w:b/>
          <w:color w:val="FF0000"/>
          <w:sz w:val="20"/>
          <w:szCs w:val="20"/>
          <w:highlight w:val="yellow"/>
          <w:bdr w:val="single" w:sz="4" w:space="0" w:color="auto"/>
        </w:rPr>
        <w:t>）</w:t>
      </w:r>
      <w:r w:rsidR="00510079" w:rsidRPr="00510079">
        <w:rPr>
          <w:rFonts w:ascii="Times New Roman" w:hAnsi="Times New Roman" w:hint="eastAsia"/>
          <w:b/>
          <w:color w:val="FF0000"/>
          <w:sz w:val="20"/>
          <w:szCs w:val="20"/>
          <w:highlight w:val="yellow"/>
          <w:bdr w:val="single" w:sz="4" w:space="0" w:color="auto"/>
        </w:rPr>
        <w:t>評判</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258</w:t>
      </w:r>
      <w:r w:rsidRPr="00DA3BC7">
        <w:rPr>
          <w:rFonts w:ascii="Times New Roman" w:hAnsi="Times New Roman"/>
          <w:sz w:val="20"/>
          <w:szCs w:val="20"/>
        </w:rPr>
        <w:t>）</w:t>
      </w:r>
    </w:p>
    <w:p w:rsidR="00AA120F" w:rsidRPr="00DA3BC7" w:rsidRDefault="00AA120F" w:rsidP="00212B5C">
      <w:pPr>
        <w:ind w:leftChars="250" w:left="600"/>
        <w:jc w:val="both"/>
        <w:rPr>
          <w:rFonts w:ascii="Times New Roman" w:hAnsi="Times New Roman"/>
        </w:rPr>
      </w:pPr>
      <w:r w:rsidRPr="00DA3BC7">
        <w:rPr>
          <w:rFonts w:ascii="Times New Roman" w:hAnsi="Times New Roman"/>
        </w:rPr>
        <w:t>這種明空的方法，只能破除小部分的執著。故</w:t>
      </w:r>
      <w:r w:rsidRPr="00DA3BC7">
        <w:rPr>
          <w:rFonts w:ascii="Times New Roman" w:hAnsi="Times New Roman"/>
          <w:b/>
        </w:rPr>
        <w:t>薩婆多部所說實有、假有，都是不可空的，空的僅是主觀認識的錯誤</w:t>
      </w:r>
      <w:r w:rsidRPr="00DA3BC7">
        <w:rPr>
          <w:rFonts w:ascii="Times New Roman" w:hAnsi="Times New Roman"/>
        </w:rPr>
        <w:t>。這樣的空，僅是心理的誤覺，而與心境</w:t>
      </w:r>
      <w:r w:rsidRPr="00DA3BC7">
        <w:rPr>
          <w:rFonts w:ascii="Times New Roman" w:hAnsi="Times New Roman" w:hint="eastAsia"/>
        </w:rPr>
        <w:t>、</w:t>
      </w:r>
      <w:r w:rsidRPr="00DA3BC7">
        <w:rPr>
          <w:rFonts w:ascii="Times New Roman" w:hAnsi="Times New Roman"/>
        </w:rPr>
        <w:t>事理無關。</w:t>
      </w:r>
    </w:p>
    <w:p w:rsidR="00AA120F" w:rsidRPr="00DA3BC7" w:rsidRDefault="00510079" w:rsidP="00AE3920">
      <w:pPr>
        <w:spacing w:beforeLines="30"/>
        <w:ind w:leftChars="200" w:left="480"/>
        <w:jc w:val="both"/>
        <w:rPr>
          <w:rFonts w:ascii="Times New Roman" w:hAnsi="Times New Roman"/>
          <w:b/>
          <w:sz w:val="20"/>
          <w:szCs w:val="20"/>
          <w:bdr w:val="single" w:sz="4" w:space="0" w:color="auto"/>
        </w:rPr>
      </w:pPr>
      <w:r w:rsidRPr="00510079">
        <w:rPr>
          <w:rFonts w:ascii="Times New Roman" w:hAnsi="Times New Roman" w:hint="eastAsia"/>
          <w:b/>
          <w:color w:val="FF0000"/>
          <w:sz w:val="20"/>
          <w:szCs w:val="20"/>
          <w:highlight w:val="yellow"/>
          <w:bdr w:val="single" w:sz="4" w:space="0" w:color="auto"/>
        </w:rPr>
        <w:t>2</w:t>
      </w:r>
      <w:r w:rsidR="00AA120F" w:rsidRPr="00510079">
        <w:rPr>
          <w:rFonts w:ascii="Times New Roman" w:hAnsi="Times New Roman" w:hint="eastAsia"/>
          <w:b/>
          <w:color w:val="FF0000"/>
          <w:sz w:val="20"/>
          <w:szCs w:val="20"/>
          <w:highlight w:val="yellow"/>
          <w:bdr w:val="single" w:sz="4" w:space="0" w:color="auto"/>
        </w:rPr>
        <w:t>、</w:t>
      </w:r>
      <w:r w:rsidRPr="00510079">
        <w:rPr>
          <w:rFonts w:ascii="Times New Roman" w:hAnsi="Times New Roman" w:hint="eastAsia"/>
          <w:b/>
          <w:color w:val="FF0000"/>
          <w:sz w:val="20"/>
          <w:szCs w:val="20"/>
          <w:highlight w:val="yellow"/>
          <w:bdr w:val="single" w:sz="4" w:space="0" w:color="auto"/>
        </w:rPr>
        <w:t>評</w:t>
      </w:r>
      <w:r w:rsidR="008C557E">
        <w:rPr>
          <w:rFonts w:ascii="Times New Roman" w:hAnsi="Times New Roman" w:hint="eastAsia"/>
          <w:b/>
          <w:color w:val="FF0000"/>
          <w:sz w:val="20"/>
          <w:szCs w:val="20"/>
          <w:highlight w:val="yellow"/>
          <w:bdr w:val="single" w:sz="4" w:space="0" w:color="auto"/>
        </w:rPr>
        <w:t>「</w:t>
      </w:r>
      <w:r w:rsidR="00AA120F" w:rsidRPr="00510079">
        <w:rPr>
          <w:rFonts w:ascii="Times New Roman" w:hAnsi="Times New Roman"/>
          <w:b/>
          <w:color w:val="FF0000"/>
          <w:sz w:val="20"/>
          <w:szCs w:val="20"/>
          <w:highlight w:val="yellow"/>
          <w:bdr w:val="single" w:sz="4" w:space="0" w:color="auto"/>
        </w:rPr>
        <w:t>唯識宗</w:t>
      </w:r>
      <w:r w:rsidRPr="00510079">
        <w:rPr>
          <w:rFonts w:ascii="Times New Roman" w:hAnsi="Times New Roman" w:hint="eastAsia"/>
          <w:b/>
          <w:color w:val="FF0000"/>
          <w:sz w:val="20"/>
          <w:szCs w:val="20"/>
          <w:highlight w:val="yellow"/>
          <w:bdr w:val="single" w:sz="4" w:space="0" w:color="auto"/>
        </w:rPr>
        <w:t>之說</w:t>
      </w:r>
      <w:r w:rsidR="008C557E">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sz w:val="20"/>
          <w:szCs w:val="20"/>
        </w:rPr>
        <w:t>（</w:t>
      </w:r>
      <w:r w:rsidR="00AA120F" w:rsidRPr="00DA3BC7">
        <w:rPr>
          <w:rFonts w:ascii="Times New Roman" w:hAnsi="Times New Roman"/>
          <w:sz w:val="20"/>
          <w:szCs w:val="20"/>
        </w:rPr>
        <w:t>pp.</w:t>
      </w:r>
      <w:r w:rsidR="00AA120F" w:rsidRPr="00DA3BC7">
        <w:rPr>
          <w:rFonts w:ascii="Times New Roman" w:hAnsi="Times New Roman"/>
          <w:bCs/>
          <w:sz w:val="20"/>
          <w:szCs w:val="20"/>
        </w:rPr>
        <w:t>258-260</w:t>
      </w:r>
      <w:r w:rsidR="00AA120F" w:rsidRPr="00DA3BC7">
        <w:rPr>
          <w:rFonts w:ascii="Times New Roman" w:hAnsi="Times New Roman"/>
          <w:sz w:val="20"/>
          <w:szCs w:val="20"/>
        </w:rPr>
        <w:t>）</w:t>
      </w:r>
    </w:p>
    <w:p w:rsidR="00AA120F" w:rsidRDefault="00AA120F" w:rsidP="00212B5C">
      <w:pPr>
        <w:ind w:leftChars="250" w:left="600"/>
        <w:jc w:val="both"/>
        <w:rPr>
          <w:rFonts w:ascii="Times New Roman" w:hAnsi="Times New Roman"/>
          <w:sz w:val="20"/>
          <w:szCs w:val="20"/>
        </w:rPr>
      </w:pPr>
      <w:r w:rsidRPr="00510079">
        <w:rPr>
          <w:rFonts w:ascii="Times New Roman" w:hAnsi="Times New Roman" w:hint="eastAsia"/>
          <w:b/>
          <w:color w:val="FF0000"/>
          <w:sz w:val="20"/>
          <w:szCs w:val="20"/>
          <w:highlight w:val="yellow"/>
          <w:bdr w:val="single" w:sz="4" w:space="0" w:color="auto"/>
        </w:rPr>
        <w:t>（</w:t>
      </w:r>
      <w:r w:rsidR="00510079" w:rsidRPr="00510079">
        <w:rPr>
          <w:rFonts w:ascii="Times New Roman" w:hAnsi="Times New Roman" w:hint="eastAsia"/>
          <w:b/>
          <w:color w:val="FF0000"/>
          <w:sz w:val="20"/>
          <w:szCs w:val="20"/>
          <w:highlight w:val="yellow"/>
          <w:bdr w:val="single" w:sz="4" w:space="0" w:color="auto"/>
        </w:rPr>
        <w:t>1</w:t>
      </w:r>
      <w:r w:rsidRPr="00510079">
        <w:rPr>
          <w:rFonts w:ascii="Times New Roman" w:hAnsi="Times New Roman" w:hint="eastAsia"/>
          <w:b/>
          <w:color w:val="FF0000"/>
          <w:sz w:val="20"/>
          <w:szCs w:val="20"/>
          <w:highlight w:val="yellow"/>
          <w:bdr w:val="single" w:sz="4" w:space="0" w:color="auto"/>
        </w:rPr>
        <w:t>）</w:t>
      </w:r>
      <w:r w:rsidR="00510079" w:rsidRPr="00510079">
        <w:rPr>
          <w:rFonts w:ascii="Times New Roman" w:hAnsi="Times New Roman" w:hint="eastAsia"/>
          <w:b/>
          <w:color w:val="FF0000"/>
          <w:sz w:val="20"/>
          <w:szCs w:val="20"/>
          <w:highlight w:val="yellow"/>
          <w:bdr w:val="single" w:sz="4" w:space="0" w:color="auto"/>
        </w:rPr>
        <w:t>明</w:t>
      </w:r>
      <w:r w:rsidRPr="00510079">
        <w:rPr>
          <w:rFonts w:ascii="Times New Roman" w:hAnsi="Times New Roman"/>
          <w:b/>
          <w:color w:val="FF0000"/>
          <w:sz w:val="20"/>
          <w:szCs w:val="20"/>
          <w:highlight w:val="yellow"/>
          <w:bdr w:val="single" w:sz="4" w:space="0" w:color="auto"/>
        </w:rPr>
        <w:t>宗</w:t>
      </w:r>
      <w:r w:rsidR="00510079" w:rsidRPr="00DA3BC7">
        <w:rPr>
          <w:rFonts w:ascii="Times New Roman" w:hAnsi="Times New Roman"/>
          <w:sz w:val="20"/>
          <w:szCs w:val="20"/>
        </w:rPr>
        <w:t>（</w:t>
      </w:r>
      <w:r w:rsidR="00510079" w:rsidRPr="00DA3BC7">
        <w:rPr>
          <w:rFonts w:ascii="Times New Roman" w:hAnsi="Times New Roman"/>
          <w:sz w:val="20"/>
          <w:szCs w:val="20"/>
        </w:rPr>
        <w:t>p</w:t>
      </w:r>
      <w:r w:rsidR="00510079" w:rsidRPr="00DA3BC7">
        <w:rPr>
          <w:rFonts w:ascii="Times New Roman" w:hAnsi="Times New Roman" w:hint="eastAsia"/>
          <w:sz w:val="20"/>
          <w:szCs w:val="20"/>
        </w:rPr>
        <w:t>p</w:t>
      </w:r>
      <w:r w:rsidR="00510079" w:rsidRPr="00DA3BC7">
        <w:rPr>
          <w:rFonts w:ascii="Times New Roman" w:hAnsi="Times New Roman"/>
          <w:sz w:val="20"/>
          <w:szCs w:val="20"/>
        </w:rPr>
        <w:t>.</w:t>
      </w:r>
      <w:r w:rsidR="00510079" w:rsidRPr="00DA3BC7">
        <w:rPr>
          <w:rFonts w:ascii="Times New Roman" w:hAnsi="Times New Roman"/>
          <w:bCs/>
          <w:sz w:val="20"/>
          <w:szCs w:val="20"/>
        </w:rPr>
        <w:t>258</w:t>
      </w:r>
      <w:r w:rsidR="00510079" w:rsidRPr="00DA3BC7">
        <w:rPr>
          <w:rFonts w:ascii="Times New Roman" w:hAnsi="Times New Roman" w:hint="eastAsia"/>
          <w:bCs/>
          <w:sz w:val="20"/>
          <w:szCs w:val="20"/>
        </w:rPr>
        <w:t>-259</w:t>
      </w:r>
      <w:r w:rsidR="00510079" w:rsidRPr="00DA3BC7">
        <w:rPr>
          <w:rFonts w:ascii="Times New Roman" w:hAnsi="Times New Roman"/>
          <w:sz w:val="20"/>
          <w:szCs w:val="20"/>
        </w:rPr>
        <w:t>）</w:t>
      </w:r>
    </w:p>
    <w:p w:rsidR="00510079" w:rsidRDefault="00510079" w:rsidP="00212B5C">
      <w:pPr>
        <w:ind w:leftChars="300" w:left="720"/>
        <w:jc w:val="both"/>
        <w:rPr>
          <w:rFonts w:ascii="Times New Roman" w:hAnsi="Times New Roman"/>
          <w:sz w:val="20"/>
          <w:szCs w:val="20"/>
        </w:rPr>
      </w:pPr>
      <w:r>
        <w:rPr>
          <w:rFonts w:ascii="Times New Roman" w:hAnsi="Times New Roman" w:hint="eastAsia"/>
          <w:b/>
          <w:color w:val="FF0000"/>
          <w:sz w:val="20"/>
          <w:szCs w:val="20"/>
          <w:highlight w:val="yellow"/>
          <w:bdr w:val="single" w:sz="4" w:space="0" w:color="auto"/>
        </w:rPr>
        <w:t>A</w:t>
      </w:r>
      <w:r>
        <w:rPr>
          <w:rFonts w:ascii="Times New Roman" w:hAnsi="Times New Roman" w:hint="eastAsia"/>
          <w:b/>
          <w:color w:val="FF0000"/>
          <w:sz w:val="20"/>
          <w:szCs w:val="20"/>
          <w:highlight w:val="yellow"/>
          <w:bdr w:val="single" w:sz="4" w:space="0" w:color="auto"/>
        </w:rPr>
        <w:t>、辨「所空者」</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hint="eastAsia"/>
          <w:sz w:val="20"/>
          <w:szCs w:val="20"/>
        </w:rPr>
        <w:t>p</w:t>
      </w:r>
      <w:r w:rsidRPr="00DA3BC7">
        <w:rPr>
          <w:rFonts w:ascii="Times New Roman" w:hAnsi="Times New Roman"/>
          <w:sz w:val="20"/>
          <w:szCs w:val="20"/>
        </w:rPr>
        <w:t>.</w:t>
      </w:r>
      <w:r w:rsidRPr="00DA3BC7">
        <w:rPr>
          <w:rFonts w:ascii="Times New Roman" w:hAnsi="Times New Roman"/>
          <w:bCs/>
          <w:sz w:val="20"/>
          <w:szCs w:val="20"/>
        </w:rPr>
        <w:t>258</w:t>
      </w:r>
      <w:r w:rsidRPr="00DA3BC7">
        <w:rPr>
          <w:rFonts w:ascii="Times New Roman" w:hAnsi="Times New Roman" w:hint="eastAsia"/>
          <w:bCs/>
          <w:sz w:val="20"/>
          <w:szCs w:val="20"/>
        </w:rPr>
        <w:t>-259</w:t>
      </w:r>
      <w:r w:rsidRPr="00DA3BC7">
        <w:rPr>
          <w:rFonts w:ascii="Times New Roman" w:hAnsi="Times New Roman"/>
          <w:sz w:val="20"/>
          <w:szCs w:val="20"/>
        </w:rPr>
        <w:t>）</w:t>
      </w:r>
    </w:p>
    <w:p w:rsidR="00510079" w:rsidRDefault="00510079" w:rsidP="00212B5C">
      <w:pPr>
        <w:ind w:leftChars="350" w:left="840"/>
        <w:jc w:val="both"/>
        <w:rPr>
          <w:rFonts w:ascii="Times New Roman" w:hAnsi="Times New Roman"/>
          <w:sz w:val="20"/>
          <w:szCs w:val="20"/>
        </w:rPr>
      </w:pPr>
      <w:r w:rsidRPr="00510079">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A</w:t>
      </w:r>
      <w:r w:rsidRPr="00510079">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述理</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hint="eastAsia"/>
          <w:sz w:val="20"/>
          <w:szCs w:val="20"/>
        </w:rPr>
        <w:t>p</w:t>
      </w:r>
      <w:r w:rsidRPr="00DA3BC7">
        <w:rPr>
          <w:rFonts w:ascii="Times New Roman" w:hAnsi="Times New Roman"/>
          <w:sz w:val="20"/>
          <w:szCs w:val="20"/>
        </w:rPr>
        <w:t>.</w:t>
      </w:r>
      <w:r w:rsidRPr="00DA3BC7">
        <w:rPr>
          <w:rFonts w:ascii="Times New Roman" w:hAnsi="Times New Roman"/>
          <w:bCs/>
          <w:sz w:val="20"/>
          <w:szCs w:val="20"/>
        </w:rPr>
        <w:t>258</w:t>
      </w:r>
      <w:r w:rsidRPr="00DA3BC7">
        <w:rPr>
          <w:rFonts w:ascii="Times New Roman" w:hAnsi="Times New Roman" w:hint="eastAsia"/>
          <w:bCs/>
          <w:sz w:val="20"/>
          <w:szCs w:val="20"/>
        </w:rPr>
        <w:t>-259</w:t>
      </w:r>
      <w:r w:rsidRPr="00DA3BC7">
        <w:rPr>
          <w:rFonts w:ascii="Times New Roman" w:hAnsi="Times New Roman"/>
          <w:sz w:val="20"/>
          <w:szCs w:val="20"/>
        </w:rPr>
        <w:t>）</w:t>
      </w:r>
    </w:p>
    <w:p w:rsidR="00AA120F" w:rsidRPr="00DA3BC7" w:rsidRDefault="00AA120F" w:rsidP="00212B5C">
      <w:pPr>
        <w:ind w:leftChars="350" w:left="840"/>
        <w:jc w:val="both"/>
        <w:rPr>
          <w:rFonts w:ascii="Times New Roman" w:hAnsi="Times New Roman"/>
        </w:rPr>
      </w:pPr>
      <w:r w:rsidRPr="00DA3BC7">
        <w:rPr>
          <w:rFonts w:ascii="Times New Roman" w:hAnsi="Times New Roman"/>
        </w:rPr>
        <w:lastRenderedPageBreak/>
        <w:t>進一步，如唯識宗的空，他信受一切法空性，但此空性是依於</w:t>
      </w:r>
      <w:r w:rsidRPr="00DA3BC7">
        <w:rPr>
          <w:rFonts w:ascii="Times New Roman" w:hAnsi="Times New Roman"/>
          <w:b/>
        </w:rPr>
        <w:t>依他有法</w:t>
      </w:r>
      <w:r w:rsidRPr="00DA3BC7">
        <w:rPr>
          <w:rFonts w:ascii="Times New Roman" w:hAnsi="Times New Roman"/>
        </w:rPr>
        <w:t>遠離</w:t>
      </w:r>
      <w:r w:rsidRPr="00DA3BC7">
        <w:rPr>
          <w:rFonts w:ascii="Times New Roman" w:hAnsi="Times New Roman"/>
          <w:b/>
        </w:rPr>
        <w:t>遍計所執</w:t>
      </w:r>
      <w:r w:rsidRPr="00DA3BC7">
        <w:rPr>
          <w:rFonts w:ascii="Times New Roman" w:hAnsi="Times New Roman"/>
        </w:rPr>
        <w:t>而顯的，此</w:t>
      </w:r>
      <w:r w:rsidRPr="00DA3BC7">
        <w:rPr>
          <w:rFonts w:ascii="Times New Roman" w:hAnsi="Times New Roman"/>
          <w:b/>
        </w:rPr>
        <w:t>空性是勝義有</w:t>
      </w:r>
      <w:r w:rsidRPr="00DA3BC7">
        <w:rPr>
          <w:rFonts w:ascii="Times New Roman" w:hAnsi="Times New Roman"/>
        </w:rPr>
        <w:t>。</w:t>
      </w:r>
    </w:p>
    <w:p w:rsidR="00AA120F" w:rsidRPr="00DA3BC7" w:rsidRDefault="00AA120F" w:rsidP="00212B5C">
      <w:pPr>
        <w:ind w:leftChars="350" w:left="840"/>
        <w:jc w:val="both"/>
        <w:rPr>
          <w:rFonts w:ascii="Times New Roman" w:hAnsi="Times New Roman"/>
        </w:rPr>
      </w:pPr>
      <w:r w:rsidRPr="000B3136">
        <w:rPr>
          <w:rFonts w:ascii="Times New Roman" w:hAnsi="Times New Roman"/>
          <w:b/>
        </w:rPr>
        <w:t>唯識者</w:t>
      </w:r>
      <w:r w:rsidRPr="00DA3BC7">
        <w:rPr>
          <w:rFonts w:ascii="Times New Roman" w:hAnsi="Times New Roman"/>
        </w:rPr>
        <w:t>是不同於小乘的。有為法的心、境中，如薩婆多部所說於境上所起的錯亂行相，當然是沒有的。認識上的境相，如不了解心</w:t>
      </w:r>
      <w:r w:rsidRPr="00DA3BC7">
        <w:rPr>
          <w:rFonts w:ascii="Times New Roman" w:hAnsi="Times New Roman" w:hint="eastAsia"/>
        </w:rPr>
        <w:t>、</w:t>
      </w:r>
      <w:r w:rsidRPr="00DA3BC7">
        <w:rPr>
          <w:rFonts w:ascii="Times New Roman" w:hAnsi="Times New Roman"/>
        </w:rPr>
        <w:t>境的關連，不知道</w:t>
      </w:r>
      <w:r w:rsidRPr="00DA3BC7">
        <w:rPr>
          <w:rFonts w:ascii="Times New Roman" w:hAnsi="Times New Roman"/>
          <w:b/>
        </w:rPr>
        <w:t>境不是離心而獨立的客觀存在</w:t>
      </w:r>
      <w:r w:rsidRPr="00DA3BC7">
        <w:rPr>
          <w:rFonts w:ascii="Times New Roman" w:hAnsi="Times New Roman"/>
        </w:rPr>
        <w:t>，有此心生</w:t>
      </w:r>
      <w:r w:rsidRPr="00DA3BC7">
        <w:rPr>
          <w:rFonts w:ascii="Times New Roman" w:hAnsi="Times New Roman" w:hint="eastAsia"/>
        </w:rPr>
        <w:t>、</w:t>
      </w:r>
      <w:r w:rsidRPr="00DA3BC7">
        <w:rPr>
          <w:rFonts w:ascii="Times New Roman" w:hAnsi="Times New Roman"/>
        </w:rPr>
        <w:t>有此境現的，這種</w:t>
      </w:r>
      <w:r w:rsidRPr="00DA3BC7">
        <w:rPr>
          <w:rFonts w:ascii="Times New Roman" w:hAnsi="Times New Roman"/>
          <w:b/>
        </w:rPr>
        <w:t>現似外境，也是空的</w:t>
      </w:r>
      <w:r w:rsidRPr="00DA3BC7">
        <w:rPr>
          <w:rFonts w:ascii="Times New Roman" w:hAnsi="Times New Roman"/>
        </w:rPr>
        <w:t>。</w:t>
      </w:r>
      <w:r w:rsidRPr="00DA3BC7">
        <w:rPr>
          <w:rStyle w:val="a6"/>
          <w:rFonts w:ascii="Times New Roman" w:hAnsi="Times New Roman"/>
        </w:rPr>
        <w:footnoteReference w:id="1100"/>
      </w:r>
    </w:p>
    <w:p w:rsidR="00AA120F" w:rsidRPr="00DA3BC7" w:rsidRDefault="00AA120F" w:rsidP="00212B5C">
      <w:pPr>
        <w:ind w:leftChars="350" w:left="840"/>
        <w:jc w:val="both"/>
        <w:rPr>
          <w:rFonts w:ascii="Times New Roman" w:hAnsi="Times New Roman"/>
        </w:rPr>
      </w:pPr>
      <w:r w:rsidRPr="000B3136">
        <w:rPr>
          <w:rFonts w:ascii="Times New Roman" w:hAnsi="Times New Roman"/>
          <w:b/>
        </w:rPr>
        <w:lastRenderedPageBreak/>
        <w:t>唯識家</w:t>
      </w:r>
      <w:r w:rsidRPr="00DA3BC7">
        <w:rPr>
          <w:rFonts w:ascii="Times New Roman" w:hAnsi="Times New Roman"/>
        </w:rPr>
        <w:t>的意思，不單是有此孤零零</w:t>
      </w:r>
      <w:r w:rsidRPr="00DA3BC7">
        <w:rPr>
          <w:rStyle w:val="a6"/>
          <w:rFonts w:ascii="Times New Roman" w:hAnsi="Times New Roman"/>
        </w:rPr>
        <w:footnoteReference w:id="1101"/>
      </w:r>
      <w:r w:rsidRPr="00DA3BC7">
        <w:rPr>
          <w:rFonts w:ascii="Times New Roman" w:hAnsi="Times New Roman"/>
        </w:rPr>
        <w:t>的心，境是以虛妄分別心為自性的，這種</w:t>
      </w:r>
      <w:r w:rsidRPr="00DA3BC7">
        <w:rPr>
          <w:rFonts w:ascii="Times New Roman" w:hAnsi="Times New Roman"/>
          <w:b/>
        </w:rPr>
        <w:t>不離心的境，也是有的，屬於緣起的因果，不可說空</w:t>
      </w:r>
      <w:r w:rsidRPr="00DA3BC7">
        <w:rPr>
          <w:rFonts w:ascii="Times New Roman" w:hAnsi="Times New Roman"/>
        </w:rPr>
        <w:t>。</w:t>
      </w:r>
    </w:p>
    <w:p w:rsidR="00AA120F" w:rsidRPr="00DA3BC7" w:rsidRDefault="00AA120F" w:rsidP="00AE3920">
      <w:pPr>
        <w:spacing w:beforeLines="20"/>
        <w:ind w:leftChars="350" w:left="840"/>
        <w:jc w:val="both"/>
        <w:rPr>
          <w:rFonts w:ascii="Times New Roman" w:hAnsi="Times New Roman"/>
        </w:rPr>
      </w:pPr>
      <w:r w:rsidRPr="00DA3BC7">
        <w:rPr>
          <w:rFonts w:ascii="Times New Roman" w:hAnsi="Times New Roman"/>
          <w:b/>
        </w:rPr>
        <w:t>若現有離心而外在的境，這是遍計所執，是應該空的</w:t>
      </w:r>
      <w:r w:rsidRPr="00DA3BC7">
        <w:rPr>
          <w:rFonts w:ascii="Times New Roman" w:hAnsi="Times New Roman"/>
        </w:rPr>
        <w:t>。甚至說</w:t>
      </w:r>
      <w:r w:rsidRPr="00DA3BC7">
        <w:rPr>
          <w:rFonts w:ascii="Times New Roman" w:hAnsi="Times New Roman"/>
          <w:b/>
        </w:rPr>
        <w:t>離境而有實在的心，也是錯亂的</w:t>
      </w:r>
      <w:r w:rsidRPr="00DA3BC7">
        <w:rPr>
          <w:rFonts w:ascii="Times New Roman" w:hAnsi="Times New Roman" w:hint="eastAsia"/>
          <w:b/>
        </w:rPr>
        <w:t>、</w:t>
      </w:r>
      <w:r w:rsidRPr="00DA3BC7">
        <w:rPr>
          <w:rFonts w:ascii="Times New Roman" w:hAnsi="Times New Roman"/>
          <w:b/>
        </w:rPr>
        <w:t>空的</w:t>
      </w:r>
      <w:r w:rsidRPr="00DA3BC7">
        <w:rPr>
          <w:rFonts w:ascii="Times New Roman" w:hAnsi="Times New Roman"/>
        </w:rPr>
        <w:t>。</w:t>
      </w:r>
    </w:p>
    <w:p w:rsidR="00AA120F" w:rsidRPr="00DA3BC7" w:rsidRDefault="00AA120F" w:rsidP="00AE3920">
      <w:pPr>
        <w:spacing w:beforeLines="30"/>
        <w:ind w:leftChars="350" w:left="840"/>
        <w:jc w:val="both"/>
        <w:rPr>
          <w:rFonts w:ascii="Times New Roman" w:hAnsi="Times New Roman"/>
          <w:b/>
          <w:sz w:val="20"/>
          <w:szCs w:val="20"/>
          <w:bdr w:val="single" w:sz="4" w:space="0" w:color="auto"/>
        </w:rPr>
      </w:pPr>
      <w:r w:rsidRPr="00510079">
        <w:rPr>
          <w:rFonts w:ascii="Times New Roman" w:hAnsi="Times New Roman" w:hint="eastAsia"/>
          <w:b/>
          <w:color w:val="FF0000"/>
          <w:sz w:val="20"/>
          <w:szCs w:val="20"/>
          <w:highlight w:val="yellow"/>
          <w:bdr w:val="single" w:sz="4" w:space="0" w:color="auto"/>
        </w:rPr>
        <w:t>（</w:t>
      </w:r>
      <w:r w:rsidR="00510079" w:rsidRPr="00510079">
        <w:rPr>
          <w:rFonts w:ascii="Times New Roman" w:hAnsi="Times New Roman" w:hint="eastAsia"/>
          <w:b/>
          <w:color w:val="FF0000"/>
          <w:sz w:val="20"/>
          <w:szCs w:val="20"/>
          <w:highlight w:val="yellow"/>
          <w:bdr w:val="single" w:sz="4" w:space="0" w:color="auto"/>
        </w:rPr>
        <w:t>B</w:t>
      </w:r>
      <w:r w:rsidRPr="00510079">
        <w:rPr>
          <w:rFonts w:ascii="Times New Roman" w:hAnsi="Times New Roman" w:hint="eastAsia"/>
          <w:b/>
          <w:color w:val="FF0000"/>
          <w:sz w:val="20"/>
          <w:szCs w:val="20"/>
          <w:highlight w:val="yellow"/>
          <w:bdr w:val="single" w:sz="4" w:space="0" w:color="auto"/>
        </w:rPr>
        <w:t>）</w:t>
      </w:r>
      <w:r w:rsidR="00510079" w:rsidRPr="00510079">
        <w:rPr>
          <w:rFonts w:ascii="Times New Roman" w:hAnsi="Times New Roman" w:hint="eastAsia"/>
          <w:b/>
          <w:color w:val="FF0000"/>
          <w:sz w:val="20"/>
          <w:szCs w:val="20"/>
          <w:highlight w:val="yellow"/>
          <w:bdr w:val="single" w:sz="4" w:space="0" w:color="auto"/>
        </w:rPr>
        <w:t>釋義</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259</w:t>
      </w:r>
      <w:r w:rsidRPr="00DA3BC7">
        <w:rPr>
          <w:rFonts w:ascii="Times New Roman" w:hAnsi="Times New Roman"/>
          <w:sz w:val="20"/>
          <w:szCs w:val="20"/>
        </w:rPr>
        <w:t>）</w:t>
      </w:r>
    </w:p>
    <w:p w:rsidR="00AA120F" w:rsidRPr="00DA3BC7" w:rsidRDefault="00AA120F" w:rsidP="00212B5C">
      <w:pPr>
        <w:ind w:leftChars="350" w:left="840"/>
        <w:jc w:val="both"/>
        <w:rPr>
          <w:rFonts w:ascii="Times New Roman" w:hAnsi="Times New Roman"/>
          <w:b/>
        </w:rPr>
      </w:pPr>
      <w:r w:rsidRPr="000B3136">
        <w:rPr>
          <w:rFonts w:ascii="Times New Roman" w:hAnsi="Times New Roman"/>
          <w:b/>
        </w:rPr>
        <w:t>唯識者</w:t>
      </w:r>
      <w:r w:rsidRPr="00DA3BC7">
        <w:rPr>
          <w:rFonts w:ascii="Times New Roman" w:hAnsi="Times New Roman"/>
        </w:rPr>
        <w:t>的空義，比起薩婆多部來，範圍是更廣大了。所空的內容，不但行相的錯亂是空，即現起的境界，好像是有安定的、實在的、離心獨立的自體不空，而實是惑業熏習的妄現。</w:t>
      </w:r>
      <w:r w:rsidRPr="00DA3BC7">
        <w:rPr>
          <w:rFonts w:ascii="Times New Roman" w:hAnsi="Times New Roman"/>
          <w:b/>
        </w:rPr>
        <w:t>此現似外境，薩婆多部以此為真實有的，唯識宗即不計為實。</w:t>
      </w:r>
    </w:p>
    <w:p w:rsidR="00AA120F" w:rsidRPr="00DA3BC7" w:rsidRDefault="00AA120F" w:rsidP="00AE3920">
      <w:pPr>
        <w:spacing w:beforeLines="20"/>
        <w:ind w:leftChars="350" w:left="840"/>
        <w:jc w:val="both"/>
        <w:rPr>
          <w:rFonts w:ascii="Times New Roman" w:hAnsi="Times New Roman"/>
        </w:rPr>
      </w:pPr>
      <w:r w:rsidRPr="000B3136">
        <w:rPr>
          <w:rFonts w:ascii="Times New Roman" w:hAnsi="Times New Roman"/>
          <w:b/>
        </w:rPr>
        <w:t>護法論師</w:t>
      </w:r>
      <w:r w:rsidRPr="00DA3BC7">
        <w:rPr>
          <w:rFonts w:ascii="Times New Roman" w:hAnsi="Times New Roman"/>
        </w:rPr>
        <w:t>以</w:t>
      </w:r>
      <w:r w:rsidRPr="00DA3BC7">
        <w:rPr>
          <w:rFonts w:ascii="Times New Roman" w:hAnsi="Times New Roman" w:hint="eastAsia"/>
        </w:rPr>
        <w:t>第</w:t>
      </w:r>
      <w:r w:rsidRPr="00DA3BC7">
        <w:rPr>
          <w:rFonts w:ascii="Times New Roman" w:hAnsi="Times New Roman"/>
        </w:rPr>
        <w:t>七識的執著我法為遍計所執，是空的。</w:t>
      </w:r>
      <w:r w:rsidRPr="00DA3BC7">
        <w:rPr>
          <w:rStyle w:val="a6"/>
          <w:rFonts w:ascii="Times New Roman" w:hAnsi="Times New Roman"/>
        </w:rPr>
        <w:footnoteReference w:id="1102"/>
      </w:r>
    </w:p>
    <w:p w:rsidR="00AA120F" w:rsidRPr="00DA3BC7" w:rsidRDefault="00AA120F" w:rsidP="00AE3920">
      <w:pPr>
        <w:spacing w:beforeLines="20"/>
        <w:ind w:leftChars="350" w:left="840"/>
        <w:jc w:val="both"/>
        <w:rPr>
          <w:rFonts w:ascii="Times New Roman" w:hAnsi="Times New Roman"/>
        </w:rPr>
      </w:pPr>
      <w:r w:rsidRPr="00DA3BC7">
        <w:rPr>
          <w:rFonts w:ascii="Times New Roman" w:hAnsi="Times New Roman"/>
        </w:rPr>
        <w:t>其實，心生時似義顯現，在心識中有實在境相顯現，自然地如此顯現，這即是遍計所執，非破除不能解脫。</w:t>
      </w:r>
    </w:p>
    <w:p w:rsidR="00AA120F" w:rsidRPr="00DA3BC7" w:rsidRDefault="00510079" w:rsidP="00AE3920">
      <w:pPr>
        <w:spacing w:beforeLines="30"/>
        <w:ind w:leftChars="300" w:left="720"/>
        <w:jc w:val="both"/>
        <w:rPr>
          <w:rFonts w:ascii="Times New Roman" w:hAnsi="Times New Roman"/>
          <w:b/>
          <w:sz w:val="20"/>
          <w:szCs w:val="20"/>
          <w:bdr w:val="single" w:sz="4" w:space="0" w:color="auto"/>
        </w:rPr>
      </w:pPr>
      <w:r w:rsidRPr="00510079">
        <w:rPr>
          <w:rFonts w:ascii="Times New Roman" w:hAnsi="Times New Roman" w:hint="eastAsia"/>
          <w:b/>
          <w:color w:val="FF0000"/>
          <w:sz w:val="20"/>
          <w:szCs w:val="20"/>
          <w:highlight w:val="yellow"/>
          <w:bdr w:val="single" w:sz="4" w:space="0" w:color="auto"/>
        </w:rPr>
        <w:t>B</w:t>
      </w:r>
      <w:r w:rsidRPr="00510079">
        <w:rPr>
          <w:rFonts w:ascii="Times New Roman" w:hAnsi="Times New Roman" w:hint="eastAsia"/>
          <w:b/>
          <w:color w:val="FF0000"/>
          <w:sz w:val="20"/>
          <w:szCs w:val="20"/>
          <w:highlight w:val="yellow"/>
          <w:bdr w:val="single" w:sz="4" w:space="0" w:color="auto"/>
        </w:rPr>
        <w:t>、辨「所</w:t>
      </w:r>
      <w:r w:rsidR="00AA120F" w:rsidRPr="00510079">
        <w:rPr>
          <w:rFonts w:ascii="Times New Roman" w:hAnsi="Times New Roman"/>
          <w:b/>
          <w:color w:val="FF0000"/>
          <w:sz w:val="20"/>
          <w:szCs w:val="20"/>
          <w:highlight w:val="yellow"/>
          <w:bdr w:val="single" w:sz="4" w:space="0" w:color="auto"/>
        </w:rPr>
        <w:t>不空</w:t>
      </w:r>
      <w:r w:rsidRPr="00510079">
        <w:rPr>
          <w:rFonts w:ascii="Times New Roman" w:hAnsi="Times New Roman" w:hint="eastAsia"/>
          <w:b/>
          <w:color w:val="FF0000"/>
          <w:sz w:val="20"/>
          <w:szCs w:val="20"/>
          <w:highlight w:val="yellow"/>
          <w:bdr w:val="single" w:sz="4" w:space="0" w:color="auto"/>
        </w:rPr>
        <w:t>者」</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bCs/>
          <w:sz w:val="20"/>
          <w:szCs w:val="20"/>
        </w:rPr>
        <w:t>259</w:t>
      </w:r>
      <w:r w:rsidR="00AA120F" w:rsidRPr="00DA3BC7">
        <w:rPr>
          <w:rFonts w:ascii="Times New Roman" w:hAnsi="Times New Roman"/>
          <w:sz w:val="20"/>
          <w:szCs w:val="20"/>
        </w:rPr>
        <w:t>）</w:t>
      </w:r>
    </w:p>
    <w:p w:rsidR="00AA120F" w:rsidRPr="00DA3BC7" w:rsidRDefault="00AA120F" w:rsidP="00212B5C">
      <w:pPr>
        <w:ind w:leftChars="300" w:left="720"/>
        <w:jc w:val="both"/>
        <w:rPr>
          <w:rFonts w:ascii="Times New Roman" w:hAnsi="Times New Roman"/>
        </w:rPr>
      </w:pPr>
      <w:r w:rsidRPr="000B3136">
        <w:rPr>
          <w:rFonts w:ascii="Times New Roman" w:hAnsi="Times New Roman"/>
          <w:b/>
        </w:rPr>
        <w:t>唯識者</w:t>
      </w:r>
      <w:r w:rsidRPr="00DA3BC7">
        <w:rPr>
          <w:rFonts w:ascii="Times New Roman" w:hAnsi="Times New Roman"/>
        </w:rPr>
        <w:t>說境空，或說</w:t>
      </w:r>
      <w:r w:rsidRPr="00DA3BC7">
        <w:rPr>
          <w:rFonts w:ascii="Times New Roman" w:hAnsi="Times New Roman"/>
          <w:b/>
        </w:rPr>
        <w:t>離心的外境是空</w:t>
      </w:r>
      <w:r w:rsidRPr="00DA3BC7">
        <w:rPr>
          <w:rFonts w:ascii="Times New Roman" w:hAnsi="Times New Roman"/>
        </w:rPr>
        <w:t>，是空有隔別的，說境空即等於沒有，而緣起的事實，使他不能不承認</w:t>
      </w:r>
      <w:r w:rsidRPr="00DA3BC7">
        <w:rPr>
          <w:rFonts w:ascii="Times New Roman" w:hAnsi="Times New Roman"/>
          <w:b/>
        </w:rPr>
        <w:t>不離心的現境為不空</w:t>
      </w:r>
      <w:r w:rsidRPr="00DA3BC7">
        <w:rPr>
          <w:rFonts w:ascii="Times New Roman" w:hAnsi="Times New Roman"/>
        </w:rPr>
        <w:t>。</w:t>
      </w:r>
    </w:p>
    <w:p w:rsidR="00AA120F" w:rsidRPr="00DA3BC7" w:rsidRDefault="00AA120F" w:rsidP="00AE3920">
      <w:pPr>
        <w:spacing w:beforeLines="20"/>
        <w:ind w:leftChars="300" w:left="720"/>
        <w:jc w:val="both"/>
        <w:rPr>
          <w:rFonts w:ascii="Times New Roman" w:hAnsi="Times New Roman"/>
        </w:rPr>
      </w:pPr>
      <w:r w:rsidRPr="00DA3BC7">
        <w:rPr>
          <w:rFonts w:ascii="Times New Roman" w:hAnsi="Times New Roman"/>
        </w:rPr>
        <w:t>所以</w:t>
      </w:r>
      <w:r w:rsidRPr="00DA3BC7">
        <w:rPr>
          <w:rFonts w:ascii="Times New Roman" w:hAnsi="Times New Roman"/>
          <w:b/>
        </w:rPr>
        <w:t>他說現似外境空，即同時承認唯心的內境不空；說是遍計執空，即說依他的心識不空</w:t>
      </w:r>
      <w:r w:rsidRPr="00DA3BC7">
        <w:rPr>
          <w:rFonts w:ascii="Times New Roman" w:hAnsi="Times New Roman"/>
        </w:rPr>
        <w:t>。</w:t>
      </w:r>
    </w:p>
    <w:p w:rsidR="00AA120F" w:rsidRPr="00DA3BC7" w:rsidRDefault="00AA120F" w:rsidP="00AE3920">
      <w:pPr>
        <w:spacing w:beforeLines="20"/>
        <w:ind w:leftChars="300" w:left="720"/>
        <w:jc w:val="both"/>
        <w:rPr>
          <w:rFonts w:ascii="Times New Roman" w:hAnsi="Times New Roman"/>
        </w:rPr>
      </w:pPr>
      <w:r w:rsidRPr="00DA3BC7">
        <w:rPr>
          <w:rFonts w:ascii="Times New Roman" w:hAnsi="Times New Roman"/>
        </w:rPr>
        <w:t>即使說，若執著唯識也是可空的，但此心空，是對境而說的心，指別體的能取心，即行相錯亂而妄執心為離境的心。這雖是空，而同時即承認</w:t>
      </w:r>
      <w:r w:rsidRPr="00DA3BC7">
        <w:rPr>
          <w:rFonts w:ascii="Times New Roman" w:hAnsi="Times New Roman"/>
          <w:b/>
        </w:rPr>
        <w:t>虛妄分別有的心識是不可以空的</w:t>
      </w:r>
      <w:r w:rsidRPr="00DA3BC7">
        <w:rPr>
          <w:rFonts w:ascii="Times New Roman" w:hAnsi="Times New Roman"/>
        </w:rPr>
        <w:t>。</w:t>
      </w:r>
    </w:p>
    <w:p w:rsidR="00510079" w:rsidRPr="00DA3BC7" w:rsidRDefault="00510079" w:rsidP="00AE3920">
      <w:pPr>
        <w:spacing w:beforeLines="30"/>
        <w:ind w:leftChars="250" w:left="60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2</w:t>
      </w:r>
      <w:r>
        <w:rPr>
          <w:rFonts w:ascii="Times New Roman" w:hAnsi="Times New Roman" w:hint="eastAsia"/>
          <w:b/>
          <w:color w:val="FF0000"/>
          <w:sz w:val="20"/>
          <w:szCs w:val="20"/>
          <w:highlight w:val="yellow"/>
          <w:bdr w:val="single" w:sz="4" w:space="0" w:color="auto"/>
        </w:rPr>
        <w:t>）評判</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259</w:t>
      </w:r>
      <w:r w:rsidRPr="00DA3BC7">
        <w:rPr>
          <w:rFonts w:ascii="Times New Roman" w:hAnsi="Times New Roman"/>
          <w:sz w:val="20"/>
          <w:szCs w:val="20"/>
        </w:rPr>
        <w:t>）</w:t>
      </w:r>
    </w:p>
    <w:p w:rsidR="00AA120F" w:rsidRPr="00DA3BC7" w:rsidRDefault="00AA120F" w:rsidP="00212B5C">
      <w:pPr>
        <w:ind w:leftChars="250" w:left="600"/>
        <w:jc w:val="both"/>
        <w:rPr>
          <w:rFonts w:ascii="Times New Roman" w:hAnsi="Times New Roman"/>
        </w:rPr>
      </w:pPr>
      <w:r w:rsidRPr="000B3136">
        <w:rPr>
          <w:rFonts w:ascii="Times New Roman" w:hAnsi="Times New Roman"/>
          <w:b/>
        </w:rPr>
        <w:t>唯識者</w:t>
      </w:r>
      <w:r w:rsidRPr="00DA3BC7">
        <w:rPr>
          <w:rFonts w:ascii="Times New Roman" w:hAnsi="Times New Roman"/>
        </w:rPr>
        <w:t>儘管說空，終於是此空彼不空，說此空而反顯彼不空；由於彼不空，才能成立此為空。即有即空的自性空，唯識學者是從來不曾理解過</w:t>
      </w:r>
      <w:r w:rsidRPr="00DA3BC7">
        <w:rPr>
          <w:rFonts w:ascii="Times New Roman" w:hAnsi="Times New Roman"/>
        </w:rPr>
        <w:lastRenderedPageBreak/>
        <w:t>的。</w:t>
      </w:r>
    </w:p>
    <w:p w:rsidR="00AA120F" w:rsidRPr="00DA3BC7" w:rsidRDefault="00510079" w:rsidP="00AE3920">
      <w:pPr>
        <w:spacing w:beforeLines="30"/>
        <w:ind w:leftChars="200" w:left="480"/>
        <w:jc w:val="both"/>
        <w:rPr>
          <w:rFonts w:ascii="Times New Roman" w:hAnsi="Times New Roman"/>
          <w:b/>
          <w:sz w:val="20"/>
          <w:szCs w:val="20"/>
        </w:rPr>
      </w:pPr>
      <w:r w:rsidRPr="00510079">
        <w:rPr>
          <w:rFonts w:ascii="Times New Roman" w:hAnsi="Times New Roman" w:hint="eastAsia"/>
          <w:b/>
          <w:color w:val="FF0000"/>
          <w:sz w:val="20"/>
          <w:szCs w:val="20"/>
          <w:highlight w:val="yellow"/>
          <w:bdr w:val="single" w:sz="4" w:space="0" w:color="auto"/>
        </w:rPr>
        <w:t>3</w:t>
      </w:r>
      <w:r w:rsidR="00AA120F" w:rsidRPr="00510079">
        <w:rPr>
          <w:rFonts w:ascii="Times New Roman" w:hAnsi="Times New Roman" w:hint="eastAsia"/>
          <w:b/>
          <w:color w:val="FF0000"/>
          <w:sz w:val="20"/>
          <w:szCs w:val="20"/>
          <w:highlight w:val="yellow"/>
          <w:bdr w:val="single" w:sz="4" w:space="0" w:color="auto"/>
        </w:rPr>
        <w:t>、</w:t>
      </w:r>
      <w:r w:rsidRPr="00510079">
        <w:rPr>
          <w:rFonts w:ascii="Times New Roman" w:hAnsi="Times New Roman" w:hint="eastAsia"/>
          <w:b/>
          <w:color w:val="FF0000"/>
          <w:sz w:val="20"/>
          <w:szCs w:val="20"/>
          <w:highlight w:val="yellow"/>
          <w:bdr w:val="single" w:sz="4" w:space="0" w:color="auto"/>
        </w:rPr>
        <w:t>評</w:t>
      </w:r>
      <w:r w:rsidR="008C557E">
        <w:rPr>
          <w:rFonts w:ascii="Times New Roman" w:hAnsi="Times New Roman" w:hint="eastAsia"/>
          <w:b/>
          <w:color w:val="FF0000"/>
          <w:sz w:val="20"/>
          <w:szCs w:val="20"/>
          <w:highlight w:val="yellow"/>
          <w:bdr w:val="single" w:sz="4" w:space="0" w:color="auto"/>
        </w:rPr>
        <w:t>「</w:t>
      </w:r>
      <w:r w:rsidR="00AA120F" w:rsidRPr="00510079">
        <w:rPr>
          <w:rFonts w:ascii="Times New Roman" w:hAnsi="Times New Roman"/>
          <w:b/>
          <w:color w:val="FF0000"/>
          <w:sz w:val="20"/>
          <w:szCs w:val="20"/>
          <w:highlight w:val="yellow"/>
          <w:bdr w:val="single" w:sz="4" w:space="0" w:color="auto"/>
        </w:rPr>
        <w:t>真常</w:t>
      </w:r>
      <w:r w:rsidRPr="00510079">
        <w:rPr>
          <w:rFonts w:ascii="Times New Roman" w:hAnsi="Times New Roman" w:hint="eastAsia"/>
          <w:b/>
          <w:color w:val="FF0000"/>
          <w:sz w:val="20"/>
          <w:szCs w:val="20"/>
          <w:highlight w:val="yellow"/>
          <w:bdr w:val="single" w:sz="4" w:space="0" w:color="auto"/>
        </w:rPr>
        <w:t>者之說</w:t>
      </w:r>
      <w:r w:rsidR="008C557E">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sz w:val="20"/>
          <w:szCs w:val="20"/>
        </w:rPr>
        <w:t>（</w:t>
      </w:r>
      <w:r w:rsidR="00AA120F" w:rsidRPr="00DA3BC7">
        <w:rPr>
          <w:rFonts w:ascii="Times New Roman" w:hAnsi="Times New Roman"/>
          <w:sz w:val="20"/>
          <w:szCs w:val="20"/>
        </w:rPr>
        <w:t>pp.</w:t>
      </w:r>
      <w:r w:rsidR="00AA120F" w:rsidRPr="00DA3BC7">
        <w:rPr>
          <w:rFonts w:ascii="Times New Roman" w:hAnsi="Times New Roman"/>
          <w:bCs/>
          <w:sz w:val="20"/>
          <w:szCs w:val="20"/>
        </w:rPr>
        <w:t>260-261</w:t>
      </w:r>
      <w:r w:rsidR="00AA120F" w:rsidRPr="00DA3BC7">
        <w:rPr>
          <w:rFonts w:ascii="Times New Roman" w:hAnsi="Times New Roman"/>
          <w:sz w:val="20"/>
          <w:szCs w:val="20"/>
        </w:rPr>
        <w:t>）</w:t>
      </w:r>
    </w:p>
    <w:p w:rsidR="00AA120F" w:rsidRPr="00DA3BC7" w:rsidRDefault="00AA120F" w:rsidP="00212B5C">
      <w:pPr>
        <w:ind w:leftChars="250" w:left="600"/>
        <w:jc w:val="both"/>
        <w:rPr>
          <w:rFonts w:ascii="Times New Roman" w:hAnsi="Times New Roman"/>
          <w:b/>
          <w:sz w:val="20"/>
          <w:szCs w:val="20"/>
          <w:bdr w:val="single" w:sz="4" w:space="0" w:color="auto"/>
        </w:rPr>
      </w:pPr>
      <w:r w:rsidRPr="00510079">
        <w:rPr>
          <w:rFonts w:ascii="Times New Roman" w:hAnsi="Times New Roman" w:hint="eastAsia"/>
          <w:b/>
          <w:color w:val="FF0000"/>
          <w:sz w:val="20"/>
          <w:szCs w:val="20"/>
          <w:highlight w:val="yellow"/>
          <w:bdr w:val="single" w:sz="4" w:space="0" w:color="auto"/>
        </w:rPr>
        <w:t>（</w:t>
      </w:r>
      <w:r w:rsidR="00510079" w:rsidRPr="00510079">
        <w:rPr>
          <w:rFonts w:ascii="Times New Roman" w:hAnsi="Times New Roman" w:hint="eastAsia"/>
          <w:b/>
          <w:color w:val="FF0000"/>
          <w:sz w:val="20"/>
          <w:szCs w:val="20"/>
          <w:highlight w:val="yellow"/>
          <w:bdr w:val="single" w:sz="4" w:space="0" w:color="auto"/>
        </w:rPr>
        <w:t>1</w:t>
      </w:r>
      <w:r w:rsidRPr="00510079">
        <w:rPr>
          <w:rFonts w:ascii="Times New Roman" w:hAnsi="Times New Roman" w:hint="eastAsia"/>
          <w:b/>
          <w:color w:val="FF0000"/>
          <w:sz w:val="20"/>
          <w:szCs w:val="20"/>
          <w:highlight w:val="yellow"/>
          <w:bdr w:val="single" w:sz="4" w:space="0" w:color="auto"/>
        </w:rPr>
        <w:t>）</w:t>
      </w:r>
      <w:r w:rsidR="00510079" w:rsidRPr="00510079">
        <w:rPr>
          <w:rFonts w:ascii="Times New Roman" w:hAnsi="Times New Roman" w:hint="eastAsia"/>
          <w:b/>
          <w:color w:val="FF0000"/>
          <w:sz w:val="20"/>
          <w:szCs w:val="20"/>
          <w:highlight w:val="yellow"/>
          <w:bdr w:val="single" w:sz="4" w:space="0" w:color="auto"/>
        </w:rPr>
        <w:t>明宗</w:t>
      </w:r>
      <w:r w:rsidR="00510079" w:rsidRPr="00DA3BC7">
        <w:rPr>
          <w:rFonts w:ascii="Times New Roman" w:hAnsi="Times New Roman"/>
          <w:sz w:val="20"/>
          <w:szCs w:val="20"/>
        </w:rPr>
        <w:t>（</w:t>
      </w:r>
      <w:r w:rsidR="00510079" w:rsidRPr="00DA3BC7">
        <w:rPr>
          <w:rFonts w:ascii="Times New Roman" w:hAnsi="Times New Roman"/>
          <w:sz w:val="20"/>
          <w:szCs w:val="20"/>
        </w:rPr>
        <w:t>pp.</w:t>
      </w:r>
      <w:r w:rsidR="00510079" w:rsidRPr="00DA3BC7">
        <w:rPr>
          <w:rFonts w:ascii="Times New Roman" w:hAnsi="Times New Roman"/>
          <w:bCs/>
          <w:sz w:val="20"/>
          <w:szCs w:val="20"/>
        </w:rPr>
        <w:t>260-261</w:t>
      </w:r>
      <w:r w:rsidR="00510079" w:rsidRPr="00DA3BC7">
        <w:rPr>
          <w:rFonts w:ascii="Times New Roman" w:hAnsi="Times New Roman"/>
          <w:sz w:val="20"/>
          <w:szCs w:val="20"/>
        </w:rPr>
        <w:t>）</w:t>
      </w:r>
    </w:p>
    <w:p w:rsidR="00510079" w:rsidRDefault="00510079" w:rsidP="00212B5C">
      <w:pPr>
        <w:ind w:leftChars="300" w:left="720"/>
        <w:jc w:val="both"/>
        <w:rPr>
          <w:rFonts w:ascii="Times New Roman" w:hAnsi="Times New Roman"/>
          <w:sz w:val="20"/>
          <w:szCs w:val="20"/>
        </w:rPr>
      </w:pPr>
      <w:r>
        <w:rPr>
          <w:rFonts w:ascii="Times New Roman" w:hAnsi="Times New Roman" w:hint="eastAsia"/>
          <w:b/>
          <w:color w:val="FF0000"/>
          <w:sz w:val="20"/>
          <w:szCs w:val="20"/>
          <w:highlight w:val="yellow"/>
          <w:bdr w:val="single" w:sz="4" w:space="0" w:color="auto"/>
        </w:rPr>
        <w:t>A</w:t>
      </w:r>
      <w:r>
        <w:rPr>
          <w:rFonts w:ascii="Times New Roman" w:hAnsi="Times New Roman" w:hint="eastAsia"/>
          <w:b/>
          <w:color w:val="FF0000"/>
          <w:sz w:val="20"/>
          <w:szCs w:val="20"/>
          <w:highlight w:val="yellow"/>
          <w:bdr w:val="single" w:sz="4" w:space="0" w:color="auto"/>
        </w:rPr>
        <w:t>、辨「所空者」</w:t>
      </w:r>
      <w:r w:rsidRPr="00DA3BC7">
        <w:rPr>
          <w:rFonts w:ascii="Times New Roman" w:hAnsi="Times New Roman"/>
          <w:sz w:val="20"/>
          <w:szCs w:val="20"/>
        </w:rPr>
        <w:t>（</w:t>
      </w:r>
      <w:r w:rsidRPr="00DA3BC7">
        <w:rPr>
          <w:rFonts w:ascii="Times New Roman" w:hAnsi="Times New Roman" w:hint="eastAsia"/>
          <w:sz w:val="20"/>
          <w:szCs w:val="20"/>
        </w:rPr>
        <w:t>p</w:t>
      </w:r>
      <w:r w:rsidRPr="00DA3BC7">
        <w:rPr>
          <w:rFonts w:ascii="Times New Roman" w:hAnsi="Times New Roman"/>
          <w:sz w:val="20"/>
          <w:szCs w:val="20"/>
        </w:rPr>
        <w:t>.</w:t>
      </w:r>
      <w:r w:rsidRPr="00DA3BC7">
        <w:rPr>
          <w:rFonts w:ascii="Times New Roman" w:hAnsi="Times New Roman"/>
          <w:bCs/>
          <w:sz w:val="20"/>
          <w:szCs w:val="20"/>
        </w:rPr>
        <w:t>2</w:t>
      </w:r>
      <w:r>
        <w:rPr>
          <w:rFonts w:ascii="Times New Roman" w:hAnsi="Times New Roman" w:hint="eastAsia"/>
          <w:bCs/>
          <w:sz w:val="20"/>
          <w:szCs w:val="20"/>
        </w:rPr>
        <w:t>60</w:t>
      </w:r>
      <w:r w:rsidRPr="00DA3BC7">
        <w:rPr>
          <w:rFonts w:ascii="Times New Roman" w:hAnsi="Times New Roman"/>
          <w:sz w:val="20"/>
          <w:szCs w:val="20"/>
        </w:rPr>
        <w:t>）</w:t>
      </w:r>
    </w:p>
    <w:p w:rsidR="00AA120F" w:rsidRPr="00DA3BC7" w:rsidRDefault="00AA120F" w:rsidP="00212B5C">
      <w:pPr>
        <w:ind w:leftChars="300" w:left="720"/>
        <w:jc w:val="both"/>
        <w:rPr>
          <w:rFonts w:ascii="Times New Roman" w:hAnsi="Times New Roman"/>
        </w:rPr>
      </w:pPr>
      <w:r w:rsidRPr="000B3136">
        <w:rPr>
          <w:rFonts w:ascii="Times New Roman" w:hAnsi="Times New Roman"/>
          <w:b/>
        </w:rPr>
        <w:t>真常唯心論者</w:t>
      </w:r>
      <w:r w:rsidRPr="00DA3BC7">
        <w:rPr>
          <w:rFonts w:ascii="Times New Roman" w:hAnsi="Times New Roman"/>
        </w:rPr>
        <w:t>，所講的空更擴大了！</w:t>
      </w:r>
      <w:r w:rsidRPr="00DA3BC7">
        <w:rPr>
          <w:rFonts w:ascii="Times New Roman" w:hAnsi="Times New Roman"/>
          <w:b/>
        </w:rPr>
        <w:t>執境、現似心外的境，固然是空的，即虛妄分別心也說是空的</w:t>
      </w:r>
      <w:r w:rsidRPr="00DA3BC7">
        <w:rPr>
          <w:rFonts w:ascii="Times New Roman" w:hAnsi="Times New Roman"/>
        </w:rPr>
        <w:t>。</w:t>
      </w:r>
    </w:p>
    <w:p w:rsidR="00AA120F" w:rsidRPr="00DA3BC7" w:rsidRDefault="00AA120F" w:rsidP="00AE3920">
      <w:pPr>
        <w:spacing w:beforeLines="20"/>
        <w:ind w:leftChars="300" w:left="720"/>
        <w:jc w:val="both"/>
        <w:rPr>
          <w:rFonts w:ascii="Times New Roman" w:hAnsi="Times New Roman"/>
        </w:rPr>
      </w:pPr>
      <w:r w:rsidRPr="00DA3BC7">
        <w:rPr>
          <w:rFonts w:ascii="Times New Roman" w:hAnsi="Times New Roman"/>
          <w:b/>
        </w:rPr>
        <w:t>虛妄分別心的所以是空，對清淨的本體或真心說</w:t>
      </w:r>
      <w:r w:rsidRPr="00DA3BC7">
        <w:rPr>
          <w:rFonts w:ascii="Times New Roman" w:hAnsi="Times New Roman"/>
        </w:rPr>
        <w:t>。真常心不與虛妄相應，即使有虛妄相顯現而仍是不為妄心所染的。</w:t>
      </w:r>
    </w:p>
    <w:p w:rsidR="00AA120F" w:rsidRPr="00DA3BC7" w:rsidRDefault="00AA120F" w:rsidP="00AE3920">
      <w:pPr>
        <w:spacing w:beforeLines="20"/>
        <w:ind w:leftChars="300" w:left="720"/>
        <w:jc w:val="both"/>
        <w:rPr>
          <w:rFonts w:ascii="Times New Roman" w:hAnsi="Times New Roman"/>
        </w:rPr>
      </w:pPr>
      <w:r w:rsidRPr="00DA3BC7">
        <w:rPr>
          <w:rFonts w:ascii="Times New Roman" w:hAnsi="Times New Roman"/>
        </w:rPr>
        <w:t>無為本體不與妄染相應，有時也說</w:t>
      </w:r>
      <w:r w:rsidRPr="00DA3BC7">
        <w:rPr>
          <w:rFonts w:hint="eastAsia"/>
        </w:rPr>
        <w:t>它</w:t>
      </w:r>
      <w:r w:rsidRPr="00DA3BC7">
        <w:rPr>
          <w:rFonts w:ascii="Times New Roman" w:hAnsi="Times New Roman"/>
        </w:rPr>
        <w:t>是空。空是離妄染的意義，實則</w:t>
      </w:r>
      <w:r w:rsidRPr="00DA3BC7">
        <w:rPr>
          <w:rFonts w:ascii="Times New Roman" w:hAnsi="Times New Roman"/>
          <w:b/>
        </w:rPr>
        <w:t>真如法性心</w:t>
      </w:r>
      <w:r w:rsidRPr="00DA3BC7">
        <w:rPr>
          <w:rFonts w:ascii="Times New Roman" w:hAnsi="Times New Roman"/>
        </w:rPr>
        <w:t>是諸法的本體，有一切真實功德，是</w:t>
      </w:r>
      <w:r w:rsidRPr="00DA3BC7">
        <w:rPr>
          <w:rFonts w:ascii="Times New Roman" w:hAnsi="Times New Roman"/>
          <w:b/>
        </w:rPr>
        <w:t>不可說</w:t>
      </w:r>
      <w:r w:rsidRPr="00DA3BC7">
        <w:rPr>
          <w:rFonts w:hint="eastAsia"/>
          <w:b/>
        </w:rPr>
        <w:t>它</w:t>
      </w:r>
      <w:r w:rsidRPr="00DA3BC7">
        <w:rPr>
          <w:rFonts w:ascii="Times New Roman" w:hAnsi="Times New Roman"/>
          <w:b/>
        </w:rPr>
        <w:t>是空的</w:t>
      </w:r>
      <w:r w:rsidRPr="00DA3BC7">
        <w:rPr>
          <w:rFonts w:ascii="Times New Roman" w:hAnsi="Times New Roman"/>
        </w:rPr>
        <w:t>。</w:t>
      </w:r>
    </w:p>
    <w:p w:rsidR="00AA120F" w:rsidRPr="00DA3BC7" w:rsidRDefault="00AA120F" w:rsidP="00AE3920">
      <w:pPr>
        <w:spacing w:beforeLines="20"/>
        <w:ind w:leftChars="300" w:left="720"/>
        <w:jc w:val="both"/>
        <w:rPr>
          <w:rFonts w:ascii="Times New Roman" w:hAnsi="Times New Roman"/>
        </w:rPr>
      </w:pPr>
      <w:r w:rsidRPr="00DA3BC7">
        <w:rPr>
          <w:rFonts w:ascii="Times New Roman" w:hAnsi="Times New Roman"/>
        </w:rPr>
        <w:t>虛妄心是後起的，屬於客，是可以沒有的，故說</w:t>
      </w:r>
      <w:r w:rsidRPr="00DA3BC7">
        <w:rPr>
          <w:rFonts w:ascii="Times New Roman" w:hAnsi="Times New Roman"/>
          <w:b/>
        </w:rPr>
        <w:t>妄心是空</w:t>
      </w:r>
      <w:r w:rsidRPr="00DA3BC7">
        <w:rPr>
          <w:rFonts w:ascii="Times New Roman" w:hAnsi="Times New Roman"/>
        </w:rPr>
        <w:t>。</w:t>
      </w:r>
    </w:p>
    <w:p w:rsidR="00AA120F" w:rsidRPr="00DA3BC7" w:rsidRDefault="00510079" w:rsidP="00AE3920">
      <w:pPr>
        <w:spacing w:beforeLines="30"/>
        <w:ind w:leftChars="300" w:left="720"/>
        <w:jc w:val="both"/>
        <w:rPr>
          <w:rFonts w:ascii="Times New Roman" w:hAnsi="Times New Roman"/>
          <w:b/>
          <w:sz w:val="20"/>
          <w:szCs w:val="20"/>
          <w:bdr w:val="single" w:sz="4" w:space="0" w:color="auto"/>
        </w:rPr>
      </w:pPr>
      <w:r w:rsidRPr="00510079">
        <w:rPr>
          <w:rFonts w:ascii="Times New Roman" w:hAnsi="Times New Roman" w:hint="eastAsia"/>
          <w:b/>
          <w:color w:val="FF0000"/>
          <w:sz w:val="20"/>
          <w:szCs w:val="20"/>
          <w:highlight w:val="yellow"/>
          <w:bdr w:val="single" w:sz="4" w:space="0" w:color="auto"/>
        </w:rPr>
        <w:t>B</w:t>
      </w:r>
      <w:r w:rsidRPr="00510079">
        <w:rPr>
          <w:rFonts w:ascii="Times New Roman" w:hAnsi="Times New Roman" w:hint="eastAsia"/>
          <w:b/>
          <w:color w:val="FF0000"/>
          <w:sz w:val="20"/>
          <w:szCs w:val="20"/>
          <w:highlight w:val="yellow"/>
          <w:bdr w:val="single" w:sz="4" w:space="0" w:color="auto"/>
        </w:rPr>
        <w:t>、辨「所</w:t>
      </w:r>
      <w:r w:rsidRPr="00510079">
        <w:rPr>
          <w:rFonts w:ascii="Times New Roman" w:hAnsi="Times New Roman"/>
          <w:b/>
          <w:color w:val="FF0000"/>
          <w:sz w:val="20"/>
          <w:szCs w:val="20"/>
          <w:highlight w:val="yellow"/>
          <w:bdr w:val="single" w:sz="4" w:space="0" w:color="auto"/>
        </w:rPr>
        <w:t>不空</w:t>
      </w:r>
      <w:r w:rsidRPr="00510079">
        <w:rPr>
          <w:rFonts w:ascii="Times New Roman" w:hAnsi="Times New Roman" w:hint="eastAsia"/>
          <w:b/>
          <w:color w:val="FF0000"/>
          <w:sz w:val="20"/>
          <w:szCs w:val="20"/>
          <w:highlight w:val="yellow"/>
          <w:bdr w:val="single" w:sz="4" w:space="0" w:color="auto"/>
        </w:rPr>
        <w:t>者</w:t>
      </w:r>
      <w:r w:rsidR="008C557E">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hint="eastAsia"/>
          <w:sz w:val="20"/>
          <w:szCs w:val="20"/>
        </w:rPr>
        <w:t>p</w:t>
      </w:r>
      <w:r w:rsidR="00AA120F" w:rsidRPr="00DA3BC7">
        <w:rPr>
          <w:rFonts w:ascii="Times New Roman" w:hAnsi="Times New Roman"/>
          <w:sz w:val="20"/>
          <w:szCs w:val="20"/>
        </w:rPr>
        <w:t>.</w:t>
      </w:r>
      <w:r w:rsidR="00AA120F" w:rsidRPr="00DA3BC7">
        <w:rPr>
          <w:rFonts w:ascii="Times New Roman" w:hAnsi="Times New Roman"/>
          <w:bCs/>
          <w:sz w:val="20"/>
          <w:szCs w:val="20"/>
        </w:rPr>
        <w:t>260</w:t>
      </w:r>
      <w:r w:rsidR="00AA120F" w:rsidRPr="00DA3BC7">
        <w:rPr>
          <w:rFonts w:ascii="Times New Roman" w:hAnsi="Times New Roman" w:hint="eastAsia"/>
          <w:bCs/>
          <w:sz w:val="20"/>
          <w:szCs w:val="20"/>
        </w:rPr>
        <w:t>-261</w:t>
      </w:r>
      <w:r w:rsidR="00AA120F" w:rsidRPr="00DA3BC7">
        <w:rPr>
          <w:rFonts w:ascii="Times New Roman" w:hAnsi="Times New Roman"/>
          <w:sz w:val="20"/>
          <w:szCs w:val="20"/>
        </w:rPr>
        <w:t>）</w:t>
      </w:r>
    </w:p>
    <w:p w:rsidR="00AA120F" w:rsidRPr="00DA3BC7" w:rsidRDefault="00AA120F" w:rsidP="00212B5C">
      <w:pPr>
        <w:ind w:leftChars="300" w:left="720"/>
        <w:jc w:val="both"/>
        <w:rPr>
          <w:rFonts w:ascii="Times New Roman" w:hAnsi="Times New Roman"/>
        </w:rPr>
      </w:pPr>
      <w:r w:rsidRPr="00DA3BC7">
        <w:rPr>
          <w:rFonts w:ascii="Times New Roman" w:hAnsi="Times New Roman"/>
          <w:b/>
        </w:rPr>
        <w:t>虛妄唯識者</w:t>
      </w:r>
      <w:r w:rsidRPr="00DA3BC7">
        <w:rPr>
          <w:rFonts w:ascii="Times New Roman" w:hAnsi="Times New Roman"/>
        </w:rPr>
        <w:t>，不能抹煞境相的緣起性，所以</w:t>
      </w:r>
      <w:r w:rsidRPr="00DA3BC7">
        <w:rPr>
          <w:rFonts w:ascii="Times New Roman" w:hAnsi="Times New Roman"/>
          <w:b/>
        </w:rPr>
        <w:t>雖說境空</w:t>
      </w:r>
      <w:r w:rsidRPr="00DA3BC7">
        <w:rPr>
          <w:rFonts w:ascii="Times New Roman" w:hAnsi="Times New Roman"/>
        </w:rPr>
        <w:t>而</w:t>
      </w:r>
      <w:r w:rsidRPr="00DA3BC7">
        <w:rPr>
          <w:rFonts w:ascii="Times New Roman" w:hAnsi="Times New Roman"/>
          <w:b/>
        </w:rPr>
        <w:t>又立唯心的內境不空</w:t>
      </w:r>
      <w:r w:rsidRPr="00DA3BC7">
        <w:rPr>
          <w:rFonts w:ascii="Times New Roman" w:hAnsi="Times New Roman"/>
        </w:rPr>
        <w:t>。</w:t>
      </w:r>
    </w:p>
    <w:p w:rsidR="00AA120F" w:rsidRPr="00DA3BC7" w:rsidRDefault="00AA120F" w:rsidP="00AE3920">
      <w:pPr>
        <w:spacing w:beforeLines="20"/>
        <w:ind w:leftChars="300" w:left="720"/>
        <w:jc w:val="both"/>
        <w:rPr>
          <w:rFonts w:ascii="Times New Roman" w:hAnsi="Times New Roman"/>
        </w:rPr>
      </w:pPr>
      <w:r w:rsidRPr="00DA3BC7">
        <w:rPr>
          <w:rFonts w:ascii="Times New Roman" w:hAnsi="Times New Roman"/>
        </w:rPr>
        <w:t>照樣的，</w:t>
      </w:r>
      <w:r w:rsidRPr="00DA3BC7">
        <w:rPr>
          <w:rFonts w:ascii="Times New Roman" w:hAnsi="Times New Roman"/>
          <w:b/>
        </w:rPr>
        <w:t>真常唯心者</w:t>
      </w:r>
      <w:r w:rsidRPr="00DA3BC7">
        <w:rPr>
          <w:rFonts w:ascii="Times New Roman" w:hAnsi="Times New Roman"/>
        </w:rPr>
        <w:t>，那裏能抹煞緣起的心識事實？所以</w:t>
      </w:r>
      <w:r w:rsidRPr="00DA3BC7">
        <w:rPr>
          <w:rFonts w:ascii="Times New Roman" w:hAnsi="Times New Roman"/>
          <w:b/>
        </w:rPr>
        <w:t>雖說妄心空而又立真心不空</w:t>
      </w:r>
      <w:r w:rsidRPr="00DA3BC7">
        <w:rPr>
          <w:rFonts w:ascii="Times New Roman" w:hAnsi="Times New Roman"/>
        </w:rPr>
        <w:t>。</w:t>
      </w:r>
    </w:p>
    <w:p w:rsidR="00AA120F" w:rsidRPr="00DA3BC7" w:rsidRDefault="00AA120F" w:rsidP="00AE3920">
      <w:pPr>
        <w:spacing w:beforeLines="20"/>
        <w:ind w:leftChars="300" w:left="1680" w:hangingChars="400" w:hanging="960"/>
        <w:jc w:val="both"/>
        <w:rPr>
          <w:rFonts w:ascii="Times New Roman" w:hAnsi="Times New Roman"/>
        </w:rPr>
      </w:pPr>
      <w:r w:rsidRPr="00DA3BC7">
        <w:rPr>
          <w:rFonts w:ascii="Times New Roman" w:hAnsi="Times New Roman"/>
        </w:rPr>
        <w:t>依他說：</w:t>
      </w:r>
      <w:r w:rsidRPr="00DA3BC7">
        <w:rPr>
          <w:rFonts w:ascii="Times New Roman" w:hAnsi="Times New Roman"/>
          <w:b/>
        </w:rPr>
        <w:t>隨境而轉的虛妄心</w:t>
      </w:r>
      <w:r w:rsidRPr="00DA3BC7">
        <w:rPr>
          <w:rFonts w:ascii="Times New Roman" w:hAnsi="Times New Roman"/>
        </w:rPr>
        <w:t>，從隨緣而流散邊說，雖不離真心，而是可以</w:t>
      </w:r>
      <w:r w:rsidRPr="00DA3BC7">
        <w:rPr>
          <w:rFonts w:ascii="Times New Roman" w:hAnsi="Times New Roman"/>
          <w:b/>
        </w:rPr>
        <w:t>也是應該空掉的</w:t>
      </w:r>
      <w:r w:rsidRPr="00DA3BC7">
        <w:rPr>
          <w:rFonts w:ascii="Times New Roman" w:hAnsi="Times New Roman"/>
        </w:rPr>
        <w:t>。</w:t>
      </w:r>
      <w:r w:rsidRPr="00510079">
        <w:rPr>
          <w:rFonts w:ascii="Times New Roman" w:hAnsi="Times New Roman"/>
          <w:highlight w:val="yellow"/>
        </w:rPr>
        <w:t>此</w:t>
      </w:r>
      <w:r w:rsidRPr="00DA3BC7">
        <w:rPr>
          <w:rFonts w:ascii="Times New Roman" w:hAnsi="Times New Roman"/>
        </w:rPr>
        <w:t>心隨染而不失自性的，即心與理冥</w:t>
      </w:r>
      <w:r w:rsidRPr="00DA3BC7">
        <w:rPr>
          <w:rStyle w:val="a6"/>
          <w:rFonts w:ascii="Times New Roman" w:hAnsi="Times New Roman"/>
        </w:rPr>
        <w:footnoteReference w:id="1103"/>
      </w:r>
      <w:r w:rsidRPr="00DA3BC7">
        <w:rPr>
          <w:rFonts w:ascii="Times New Roman" w:hAnsi="Times New Roman"/>
        </w:rPr>
        <w:t>而相應的，是</w:t>
      </w:r>
      <w:r w:rsidRPr="00DA3BC7">
        <w:rPr>
          <w:rFonts w:ascii="Times New Roman" w:hAnsi="Times New Roman"/>
          <w:b/>
        </w:rPr>
        <w:t>照而常寂</w:t>
      </w:r>
      <w:r w:rsidRPr="00DA3BC7">
        <w:rPr>
          <w:rFonts w:ascii="Times New Roman" w:hAnsi="Times New Roman" w:hint="eastAsia"/>
          <w:b/>
        </w:rPr>
        <w:t>、</w:t>
      </w:r>
      <w:r w:rsidRPr="00DA3BC7">
        <w:rPr>
          <w:rFonts w:ascii="Times New Roman" w:hAnsi="Times New Roman"/>
          <w:b/>
        </w:rPr>
        <w:t>寂而常照的真心，此不可以說空</w:t>
      </w:r>
      <w:r w:rsidRPr="00DA3BC7">
        <w:rPr>
          <w:rFonts w:ascii="Times New Roman" w:hAnsi="Times New Roman"/>
        </w:rPr>
        <w:t>。否則，緣起的心相、境相即無從說起。</w:t>
      </w:r>
    </w:p>
    <w:p w:rsidR="00510079" w:rsidRPr="00DA3BC7" w:rsidRDefault="00510079" w:rsidP="00AE3920">
      <w:pPr>
        <w:spacing w:beforeLines="30"/>
        <w:ind w:leftChars="250" w:left="60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2</w:t>
      </w:r>
      <w:r>
        <w:rPr>
          <w:rFonts w:ascii="Times New Roman" w:hAnsi="Times New Roman" w:hint="eastAsia"/>
          <w:b/>
          <w:color w:val="FF0000"/>
          <w:sz w:val="20"/>
          <w:szCs w:val="20"/>
          <w:highlight w:val="yellow"/>
          <w:bdr w:val="single" w:sz="4" w:space="0" w:color="auto"/>
        </w:rPr>
        <w:t>）評判</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w:t>
      </w:r>
      <w:r>
        <w:rPr>
          <w:rFonts w:ascii="Times New Roman" w:hAnsi="Times New Roman" w:hint="eastAsia"/>
          <w:bCs/>
          <w:sz w:val="20"/>
          <w:szCs w:val="20"/>
        </w:rPr>
        <w:t>61</w:t>
      </w:r>
      <w:r w:rsidRPr="00DA3BC7">
        <w:rPr>
          <w:rFonts w:ascii="Times New Roman" w:hAnsi="Times New Roman"/>
          <w:sz w:val="20"/>
          <w:szCs w:val="20"/>
        </w:rPr>
        <w:t>）</w:t>
      </w:r>
    </w:p>
    <w:p w:rsidR="00AA120F" w:rsidRPr="00DA3BC7" w:rsidRDefault="00AA120F" w:rsidP="00212B5C">
      <w:pPr>
        <w:ind w:leftChars="250" w:left="600"/>
        <w:jc w:val="both"/>
        <w:rPr>
          <w:rFonts w:ascii="Times New Roman" w:hAnsi="Times New Roman"/>
        </w:rPr>
      </w:pPr>
      <w:r w:rsidRPr="000B3136">
        <w:rPr>
          <w:rFonts w:ascii="Times New Roman" w:hAnsi="Times New Roman"/>
          <w:b/>
        </w:rPr>
        <w:t>真常唯心論者</w:t>
      </w:r>
      <w:r w:rsidRPr="00DA3BC7">
        <w:rPr>
          <w:rFonts w:ascii="Times New Roman" w:hAnsi="Times New Roman"/>
        </w:rPr>
        <w:t>與</w:t>
      </w:r>
      <w:r w:rsidRPr="000B3136">
        <w:rPr>
          <w:rFonts w:ascii="Times New Roman" w:hAnsi="Times New Roman"/>
          <w:b/>
        </w:rPr>
        <w:t>虛妄唯識論者</w:t>
      </w:r>
      <w:r w:rsidRPr="00DA3BC7">
        <w:rPr>
          <w:rFonts w:ascii="Times New Roman" w:hAnsi="Times New Roman"/>
        </w:rPr>
        <w:t>所說雖不同，依此法不空而說彼空，並無差別。</w:t>
      </w:r>
    </w:p>
    <w:p w:rsidR="00AA120F" w:rsidRPr="00DA3BC7" w:rsidRDefault="00AA120F" w:rsidP="00AE3920">
      <w:pPr>
        <w:spacing w:beforeLines="30"/>
        <w:ind w:leftChars="150" w:left="360"/>
        <w:jc w:val="both"/>
        <w:rPr>
          <w:rFonts w:ascii="Times New Roman" w:hAnsi="Times New Roman"/>
          <w:b/>
          <w:sz w:val="20"/>
          <w:szCs w:val="20"/>
        </w:rPr>
      </w:pPr>
      <w:r w:rsidRPr="00FA3036">
        <w:rPr>
          <w:rFonts w:ascii="Times New Roman" w:hAnsi="Times New Roman"/>
          <w:b/>
          <w:color w:val="FF0000"/>
          <w:sz w:val="20"/>
          <w:szCs w:val="20"/>
          <w:highlight w:val="yellow"/>
          <w:bdr w:val="single" w:sz="4" w:space="0" w:color="auto"/>
        </w:rPr>
        <w:t>（</w:t>
      </w:r>
      <w:r w:rsidR="00FA3036" w:rsidRPr="00FA3036">
        <w:rPr>
          <w:rFonts w:ascii="Times New Roman" w:hAnsi="Times New Roman" w:hint="eastAsia"/>
          <w:b/>
          <w:color w:val="FF0000"/>
          <w:sz w:val="20"/>
          <w:szCs w:val="20"/>
          <w:highlight w:val="yellow"/>
          <w:bdr w:val="single" w:sz="4" w:space="0" w:color="auto"/>
        </w:rPr>
        <w:t>二</w:t>
      </w:r>
      <w:r w:rsidRPr="00FA3036">
        <w:rPr>
          <w:rFonts w:ascii="Times New Roman" w:hAnsi="Times New Roman"/>
          <w:b/>
          <w:color w:val="FF0000"/>
          <w:sz w:val="20"/>
          <w:szCs w:val="20"/>
          <w:highlight w:val="yellow"/>
          <w:bdr w:val="single" w:sz="4" w:space="0" w:color="auto"/>
        </w:rPr>
        <w:t>）合論</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261</w:t>
      </w:r>
      <w:r w:rsidRPr="00DA3BC7">
        <w:rPr>
          <w:rFonts w:ascii="Times New Roman" w:hAnsi="Times New Roman"/>
          <w:sz w:val="20"/>
          <w:szCs w:val="20"/>
        </w:rPr>
        <w:t>）</w:t>
      </w:r>
    </w:p>
    <w:p w:rsidR="00AA120F" w:rsidRPr="00DA3BC7" w:rsidRDefault="00FA3036" w:rsidP="00212B5C">
      <w:pPr>
        <w:ind w:leftChars="200" w:left="480"/>
        <w:jc w:val="both"/>
        <w:rPr>
          <w:rFonts w:ascii="Times New Roman" w:hAnsi="Times New Roman"/>
          <w:b/>
          <w:sz w:val="20"/>
          <w:szCs w:val="20"/>
          <w:bdr w:val="single" w:sz="4" w:space="0" w:color="auto"/>
        </w:rPr>
      </w:pPr>
      <w:r w:rsidRPr="00FA3036">
        <w:rPr>
          <w:rFonts w:ascii="Times New Roman" w:hAnsi="Times New Roman" w:hint="eastAsia"/>
          <w:b/>
          <w:color w:val="FF0000"/>
          <w:sz w:val="20"/>
          <w:szCs w:val="20"/>
          <w:highlight w:val="yellow"/>
          <w:bdr w:val="single" w:sz="4" w:space="0" w:color="auto"/>
        </w:rPr>
        <w:t>1</w:t>
      </w:r>
      <w:r w:rsidR="00AA120F" w:rsidRPr="00FA3036">
        <w:rPr>
          <w:rFonts w:ascii="Times New Roman" w:hAnsi="Times New Roman"/>
          <w:b/>
          <w:color w:val="FF0000"/>
          <w:sz w:val="20"/>
          <w:szCs w:val="20"/>
          <w:highlight w:val="yellow"/>
          <w:bdr w:val="single" w:sz="4" w:space="0" w:color="auto"/>
        </w:rPr>
        <w:t>、</w:t>
      </w:r>
      <w:r w:rsidRPr="00FA3036">
        <w:rPr>
          <w:rFonts w:ascii="Times New Roman" w:hAnsi="Times New Roman" w:hint="eastAsia"/>
          <w:b/>
          <w:color w:val="FF0000"/>
          <w:sz w:val="20"/>
          <w:szCs w:val="20"/>
          <w:highlight w:val="yellow"/>
          <w:bdr w:val="single" w:sz="4" w:space="0" w:color="auto"/>
        </w:rPr>
        <w:t>重述要義</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bCs/>
          <w:sz w:val="20"/>
          <w:szCs w:val="20"/>
        </w:rPr>
        <w:t>261</w:t>
      </w:r>
      <w:r w:rsidR="00AA120F" w:rsidRPr="00DA3BC7">
        <w:rPr>
          <w:rFonts w:ascii="Times New Roman" w:hAnsi="Times New Roman"/>
          <w:sz w:val="20"/>
          <w:szCs w:val="20"/>
        </w:rPr>
        <w:t>）</w:t>
      </w:r>
    </w:p>
    <w:p w:rsidR="00AA120F" w:rsidRPr="00DA3BC7" w:rsidRDefault="00AA120F" w:rsidP="00212B5C">
      <w:pPr>
        <w:ind w:leftChars="200" w:left="480"/>
        <w:jc w:val="both"/>
        <w:rPr>
          <w:rFonts w:ascii="Times New Roman" w:hAnsi="Times New Roman"/>
        </w:rPr>
      </w:pPr>
      <w:r w:rsidRPr="00DA3BC7">
        <w:rPr>
          <w:rFonts w:ascii="Times New Roman" w:hAnsi="Times New Roman"/>
        </w:rPr>
        <w:t>上來所列舉的三家，對於空義的解釋各有不同：</w:t>
      </w:r>
    </w:p>
    <w:p w:rsidR="00FA3036" w:rsidRDefault="00AA120F" w:rsidP="00AE3920">
      <w:pPr>
        <w:spacing w:beforeLines="20"/>
        <w:ind w:leftChars="200" w:left="480"/>
        <w:jc w:val="both"/>
        <w:rPr>
          <w:rFonts w:ascii="Times New Roman" w:hAnsi="Times New Roman"/>
        </w:rPr>
      </w:pPr>
      <w:r w:rsidRPr="000B3136">
        <w:rPr>
          <w:rFonts w:ascii="Times New Roman" w:hAnsi="Times New Roman"/>
          <w:b/>
        </w:rPr>
        <w:t>薩婆多部</w:t>
      </w:r>
      <w:r w:rsidRPr="00DA3BC7">
        <w:rPr>
          <w:rFonts w:ascii="Times New Roman" w:hAnsi="Times New Roman"/>
        </w:rPr>
        <w:t>說執境為空。</w:t>
      </w:r>
    </w:p>
    <w:p w:rsidR="00FA3036" w:rsidRDefault="00AA120F" w:rsidP="00AE3920">
      <w:pPr>
        <w:spacing w:beforeLines="20"/>
        <w:ind w:leftChars="200" w:left="480"/>
        <w:jc w:val="both"/>
        <w:rPr>
          <w:rFonts w:ascii="Times New Roman" w:hAnsi="Times New Roman"/>
        </w:rPr>
      </w:pPr>
      <w:r w:rsidRPr="00DA3BC7">
        <w:rPr>
          <w:rFonts w:ascii="Times New Roman" w:hAnsi="Times New Roman"/>
        </w:rPr>
        <w:t>唯</w:t>
      </w:r>
      <w:r w:rsidRPr="000B3136">
        <w:rPr>
          <w:rFonts w:ascii="Times New Roman" w:hAnsi="Times New Roman"/>
          <w:b/>
        </w:rPr>
        <w:t>識者</w:t>
      </w:r>
      <w:r w:rsidRPr="00DA3BC7">
        <w:rPr>
          <w:rFonts w:ascii="Times New Roman" w:hAnsi="Times New Roman"/>
        </w:rPr>
        <w:t>則不但以行相顛倒的執境為空，即現似所取，好像實有離心的所</w:t>
      </w:r>
      <w:r w:rsidRPr="00DA3BC7">
        <w:rPr>
          <w:rFonts w:ascii="Times New Roman" w:hAnsi="Times New Roman"/>
        </w:rPr>
        <w:lastRenderedPageBreak/>
        <w:t>取境也是空的。</w:t>
      </w:r>
    </w:p>
    <w:p w:rsidR="00AA120F" w:rsidRPr="00DA3BC7" w:rsidRDefault="00AA120F" w:rsidP="00AE3920">
      <w:pPr>
        <w:spacing w:beforeLines="20"/>
        <w:ind w:leftChars="200" w:left="480"/>
        <w:jc w:val="both"/>
        <w:rPr>
          <w:rFonts w:ascii="Times New Roman" w:hAnsi="Times New Roman"/>
        </w:rPr>
      </w:pPr>
      <w:r w:rsidRPr="000B3136">
        <w:rPr>
          <w:rFonts w:ascii="Times New Roman" w:hAnsi="Times New Roman"/>
          <w:b/>
        </w:rPr>
        <w:t>真常唯心論者</w:t>
      </w:r>
      <w:r w:rsidRPr="00DA3BC7">
        <w:rPr>
          <w:rFonts w:ascii="Times New Roman" w:hAnsi="Times New Roman"/>
        </w:rPr>
        <w:t>，不但承認執境及似義顯現的外境是空，即唯識不以為是空的虛妄雜染心，也說是空的。</w:t>
      </w:r>
    </w:p>
    <w:p w:rsidR="00AA120F" w:rsidRPr="00DA3BC7" w:rsidRDefault="00FA3036" w:rsidP="00AE3920">
      <w:pPr>
        <w:spacing w:beforeLines="30"/>
        <w:ind w:leftChars="200" w:left="48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2</w:t>
      </w:r>
      <w:r>
        <w:rPr>
          <w:rFonts w:ascii="Times New Roman" w:hAnsi="Times New Roman" w:hint="eastAsia"/>
          <w:b/>
          <w:color w:val="FF0000"/>
          <w:sz w:val="20"/>
          <w:szCs w:val="20"/>
          <w:highlight w:val="yellow"/>
          <w:bdr w:val="single" w:sz="4" w:space="0" w:color="auto"/>
        </w:rPr>
        <w:t>、抉擇宗旨</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bCs/>
          <w:sz w:val="20"/>
          <w:szCs w:val="20"/>
        </w:rPr>
        <w:t>261</w:t>
      </w:r>
      <w:r w:rsidR="00AA120F" w:rsidRPr="00DA3BC7">
        <w:rPr>
          <w:rFonts w:ascii="Times New Roman" w:hAnsi="Times New Roman"/>
          <w:sz w:val="20"/>
          <w:szCs w:val="20"/>
        </w:rPr>
        <w:t>）</w:t>
      </w:r>
    </w:p>
    <w:p w:rsidR="00AA120F" w:rsidRPr="00DA3BC7" w:rsidRDefault="00AA120F" w:rsidP="00212B5C">
      <w:pPr>
        <w:ind w:leftChars="200" w:left="480"/>
        <w:jc w:val="both"/>
        <w:rPr>
          <w:rFonts w:ascii="Times New Roman" w:hAnsi="Times New Roman"/>
        </w:rPr>
      </w:pPr>
      <w:r w:rsidRPr="00DA3BC7">
        <w:rPr>
          <w:rFonts w:ascii="Times New Roman" w:hAnsi="Times New Roman"/>
        </w:rPr>
        <w:t>三家的空義有廣狹，但他們總認為此是空而另有不空者在。如：</w:t>
      </w:r>
    </w:p>
    <w:p w:rsidR="00AA120F" w:rsidRPr="00DA3BC7" w:rsidRDefault="00AA120F" w:rsidP="00212B5C">
      <w:pPr>
        <w:ind w:leftChars="200" w:left="480"/>
        <w:jc w:val="both"/>
        <w:rPr>
          <w:rFonts w:ascii="Times New Roman" w:hAnsi="Times New Roman"/>
        </w:rPr>
      </w:pPr>
      <w:r w:rsidRPr="00DA3BC7">
        <w:rPr>
          <w:rFonts w:ascii="Times New Roman" w:hAnsi="Times New Roman"/>
          <w:b/>
        </w:rPr>
        <w:t>薩婆多部</w:t>
      </w:r>
      <w:r w:rsidRPr="00DA3BC7">
        <w:rPr>
          <w:rFonts w:ascii="Times New Roman" w:hAnsi="Times New Roman"/>
        </w:rPr>
        <w:t>說</w:t>
      </w:r>
      <w:r w:rsidRPr="00DA3BC7">
        <w:rPr>
          <w:rFonts w:ascii="Times New Roman" w:hAnsi="Times New Roman"/>
          <w:b/>
        </w:rPr>
        <w:t>執境是空</w:t>
      </w:r>
      <w:r w:rsidRPr="00DA3BC7">
        <w:rPr>
          <w:rFonts w:ascii="Times New Roman" w:hAnsi="Times New Roman"/>
        </w:rPr>
        <w:t>，而</w:t>
      </w:r>
      <w:r w:rsidRPr="00DA3BC7">
        <w:rPr>
          <w:rFonts w:ascii="Times New Roman" w:hAnsi="Times New Roman"/>
          <w:b/>
        </w:rPr>
        <w:t>現前的外境不空</w:t>
      </w:r>
      <w:r w:rsidRPr="00DA3BC7">
        <w:rPr>
          <w:rFonts w:ascii="Times New Roman" w:hAnsi="Times New Roman"/>
        </w:rPr>
        <w:t>。</w:t>
      </w:r>
    </w:p>
    <w:p w:rsidR="00AA120F" w:rsidRPr="00DA3BC7" w:rsidRDefault="00AA120F" w:rsidP="00212B5C">
      <w:pPr>
        <w:ind w:leftChars="200" w:left="480"/>
        <w:jc w:val="both"/>
        <w:rPr>
          <w:rFonts w:ascii="Times New Roman" w:hAnsi="Times New Roman"/>
        </w:rPr>
      </w:pPr>
      <w:r w:rsidRPr="00DA3BC7">
        <w:rPr>
          <w:rFonts w:ascii="Times New Roman" w:hAnsi="Times New Roman"/>
          <w:b/>
        </w:rPr>
        <w:t>唯識</w:t>
      </w:r>
      <w:r w:rsidRPr="00DA3BC7">
        <w:rPr>
          <w:rFonts w:ascii="Times New Roman" w:hAnsi="Times New Roman"/>
        </w:rPr>
        <w:t>說</w:t>
      </w:r>
      <w:r w:rsidRPr="00DA3BC7">
        <w:rPr>
          <w:rFonts w:ascii="Times New Roman" w:hAnsi="Times New Roman"/>
          <w:b/>
        </w:rPr>
        <w:t>似離識現的境是空</w:t>
      </w:r>
      <w:r w:rsidRPr="00DA3BC7">
        <w:rPr>
          <w:rFonts w:ascii="Times New Roman" w:hAnsi="Times New Roman"/>
        </w:rPr>
        <w:t>，</w:t>
      </w:r>
      <w:r w:rsidRPr="00DA3BC7">
        <w:rPr>
          <w:rFonts w:ascii="Times New Roman" w:hAnsi="Times New Roman"/>
          <w:b/>
        </w:rPr>
        <w:t>不離於心的內境不空</w:t>
      </w:r>
      <w:r w:rsidRPr="00DA3BC7">
        <w:rPr>
          <w:rFonts w:ascii="Times New Roman" w:hAnsi="Times New Roman"/>
        </w:rPr>
        <w:t>。</w:t>
      </w:r>
    </w:p>
    <w:p w:rsidR="00AA120F" w:rsidRPr="00DA3BC7" w:rsidRDefault="00AA120F" w:rsidP="00212B5C">
      <w:pPr>
        <w:ind w:leftChars="200" w:left="480"/>
        <w:jc w:val="both"/>
        <w:rPr>
          <w:rFonts w:ascii="Times New Roman" w:hAnsi="Times New Roman"/>
        </w:rPr>
      </w:pPr>
      <w:r w:rsidRPr="00DA3BC7">
        <w:rPr>
          <w:rFonts w:ascii="Times New Roman" w:hAnsi="Times New Roman"/>
          <w:b/>
        </w:rPr>
        <w:t>真常者</w:t>
      </w:r>
      <w:r w:rsidRPr="00DA3BC7">
        <w:rPr>
          <w:rFonts w:ascii="Times New Roman" w:hAnsi="Times New Roman"/>
        </w:rPr>
        <w:t>則說</w:t>
      </w:r>
      <w:r w:rsidRPr="00DA3BC7">
        <w:rPr>
          <w:rFonts w:ascii="Times New Roman" w:hAnsi="Times New Roman"/>
          <w:b/>
        </w:rPr>
        <w:t>妄心也空</w:t>
      </w:r>
      <w:r w:rsidRPr="00DA3BC7">
        <w:rPr>
          <w:rFonts w:ascii="Times New Roman" w:hAnsi="Times New Roman"/>
        </w:rPr>
        <w:t>，而</w:t>
      </w:r>
      <w:r w:rsidRPr="00DA3BC7">
        <w:rPr>
          <w:rFonts w:ascii="Times New Roman" w:hAnsi="Times New Roman"/>
          <w:b/>
        </w:rPr>
        <w:t>清淨本體不空</w:t>
      </w:r>
      <w:r w:rsidRPr="00DA3BC7">
        <w:rPr>
          <w:rFonts w:ascii="Times New Roman" w:hAnsi="Times New Roman"/>
        </w:rPr>
        <w:t>。</w:t>
      </w:r>
    </w:p>
    <w:p w:rsidR="00AA120F" w:rsidRPr="00DA3BC7" w:rsidRDefault="00AA120F" w:rsidP="00AE3920">
      <w:pPr>
        <w:spacing w:beforeLines="20"/>
        <w:ind w:leftChars="200" w:left="480"/>
        <w:jc w:val="both"/>
        <w:rPr>
          <w:rFonts w:ascii="Times New Roman" w:hAnsi="Times New Roman"/>
        </w:rPr>
      </w:pPr>
      <w:r w:rsidRPr="00DA3BC7">
        <w:rPr>
          <w:rFonts w:ascii="Times New Roman" w:hAnsi="Times New Roman"/>
        </w:rPr>
        <w:t>三家的空義雖逐漸廣大，然總覺有一不空者在，</w:t>
      </w:r>
      <w:r w:rsidRPr="00DA3BC7">
        <w:rPr>
          <w:rFonts w:ascii="Times New Roman" w:hAnsi="Times New Roman"/>
          <w:b/>
        </w:rPr>
        <w:t>依實立假，依不空立空</w:t>
      </w:r>
      <w:r w:rsidRPr="00DA3BC7">
        <w:rPr>
          <w:rFonts w:ascii="新細明體" w:hAnsi="新細明體"/>
        </w:rPr>
        <w:t>──</w:t>
      </w:r>
      <w:r w:rsidRPr="00DA3BC7">
        <w:rPr>
          <w:rFonts w:ascii="Times New Roman" w:hAnsi="Times New Roman"/>
        </w:rPr>
        <w:t>「執異法是空</w:t>
      </w:r>
      <w:r w:rsidRPr="00DA3BC7">
        <w:rPr>
          <w:rFonts w:ascii="Times New Roman" w:hAnsi="Times New Roman" w:hint="eastAsia"/>
        </w:rPr>
        <w:t>、</w:t>
      </w:r>
      <w:r w:rsidRPr="00DA3BC7">
        <w:rPr>
          <w:rFonts w:ascii="Times New Roman" w:hAnsi="Times New Roman"/>
        </w:rPr>
        <w:t>異法不空」。</w:t>
      </w:r>
    </w:p>
    <w:p w:rsidR="00AA120F" w:rsidRPr="00DA3BC7" w:rsidRDefault="00AA120F" w:rsidP="00AE3920">
      <w:pPr>
        <w:spacing w:beforeLines="20"/>
        <w:ind w:leftChars="200" w:left="480"/>
        <w:jc w:val="both"/>
        <w:rPr>
          <w:rFonts w:ascii="Times New Roman" w:hAnsi="Times New Roman"/>
        </w:rPr>
      </w:pPr>
      <w:r w:rsidRPr="00DA3BC7">
        <w:rPr>
          <w:rFonts w:ascii="Times New Roman" w:hAnsi="Times New Roman"/>
        </w:rPr>
        <w:t>他們的立足點、歸宿處，是實有、真有，所以這三家</w:t>
      </w:r>
      <w:r w:rsidRPr="00DA3BC7">
        <w:rPr>
          <w:rStyle w:val="a6"/>
          <w:rFonts w:ascii="Times New Roman" w:hAnsi="Times New Roman"/>
        </w:rPr>
        <w:footnoteReference w:id="1104"/>
      </w:r>
      <w:r w:rsidRPr="00DA3BC7">
        <w:rPr>
          <w:rFonts w:ascii="Times New Roman" w:hAnsi="Times New Roman"/>
        </w:rPr>
        <w:t>稱之為有宗。</w:t>
      </w:r>
    </w:p>
    <w:p w:rsidR="00AA120F" w:rsidRPr="00DA3BC7" w:rsidRDefault="009C6241" w:rsidP="00AE3920">
      <w:pPr>
        <w:spacing w:beforeLines="30"/>
        <w:ind w:leftChars="50" w:left="120"/>
        <w:jc w:val="both"/>
        <w:rPr>
          <w:rFonts w:ascii="Times New Roman" w:hAnsi="Times New Roman"/>
          <w:sz w:val="20"/>
          <w:szCs w:val="20"/>
          <w:bdr w:val="single" w:sz="4" w:space="0" w:color="auto"/>
        </w:rPr>
      </w:pPr>
      <w:r w:rsidRPr="009C6241">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貳</w:t>
      </w:r>
      <w:r w:rsidRPr="009C6241">
        <w:rPr>
          <w:rFonts w:ascii="Times New Roman" w:hAnsi="Times New Roman"/>
          <w:b/>
          <w:color w:val="FF0000"/>
          <w:sz w:val="20"/>
          <w:szCs w:val="20"/>
          <w:highlight w:val="yellow"/>
          <w:bdr w:val="single" w:sz="4" w:space="0" w:color="auto"/>
        </w:rPr>
        <w:t>）</w:t>
      </w:r>
      <w:r w:rsidR="00AA120F" w:rsidRPr="009C6241">
        <w:rPr>
          <w:rFonts w:ascii="Times New Roman" w:hAnsi="Times New Roman"/>
          <w:b/>
          <w:bCs/>
          <w:color w:val="FF0000"/>
          <w:sz w:val="20"/>
          <w:szCs w:val="20"/>
          <w:highlight w:val="yellow"/>
          <w:bdr w:val="single" w:sz="4" w:space="0" w:color="auto"/>
        </w:rPr>
        <w:t>空宗</w:t>
      </w:r>
      <w:r w:rsidRPr="009C6241">
        <w:rPr>
          <w:rFonts w:ascii="Times New Roman" w:hAnsi="Times New Roman" w:hint="eastAsia"/>
          <w:b/>
          <w:bCs/>
          <w:color w:val="FF0000"/>
          <w:sz w:val="20"/>
          <w:szCs w:val="20"/>
          <w:highlight w:val="yellow"/>
          <w:bdr w:val="single" w:sz="4" w:space="0" w:color="auto"/>
        </w:rPr>
        <w:t>的空義</w:t>
      </w:r>
      <w:r w:rsidR="00AA120F" w:rsidRPr="009C6241">
        <w:rPr>
          <w:rFonts w:ascii="Times New Roman" w:hAnsi="Times New Roman"/>
          <w:sz w:val="20"/>
          <w:szCs w:val="20"/>
        </w:rPr>
        <w:t>（</w:t>
      </w:r>
      <w:r w:rsidR="00AA120F" w:rsidRPr="00DA3BC7">
        <w:rPr>
          <w:rFonts w:ascii="Times New Roman" w:hAnsi="Times New Roman"/>
          <w:sz w:val="20"/>
          <w:szCs w:val="20"/>
        </w:rPr>
        <w:t>pp.</w:t>
      </w:r>
      <w:r w:rsidR="00AA120F" w:rsidRPr="00DA3BC7">
        <w:rPr>
          <w:rFonts w:ascii="Times New Roman" w:hAnsi="Times New Roman"/>
          <w:bCs/>
          <w:sz w:val="20"/>
          <w:szCs w:val="20"/>
        </w:rPr>
        <w:t>261-26</w:t>
      </w:r>
      <w:r w:rsidR="00AA120F" w:rsidRPr="00DA3BC7">
        <w:rPr>
          <w:rFonts w:ascii="Times New Roman" w:hAnsi="Times New Roman" w:hint="eastAsia"/>
          <w:bCs/>
          <w:sz w:val="20"/>
          <w:szCs w:val="20"/>
        </w:rPr>
        <w:t>3</w:t>
      </w:r>
      <w:r w:rsidR="00AA120F" w:rsidRPr="00DA3BC7">
        <w:rPr>
          <w:rFonts w:ascii="Times New Roman" w:hAnsi="Times New Roman"/>
          <w:sz w:val="20"/>
          <w:szCs w:val="20"/>
        </w:rPr>
        <w:t>）</w:t>
      </w:r>
    </w:p>
    <w:p w:rsidR="00AA120F" w:rsidRPr="00DA3BC7" w:rsidRDefault="009C6241" w:rsidP="00DC6BCB">
      <w:pPr>
        <w:ind w:leftChars="100" w:left="240"/>
        <w:jc w:val="both"/>
        <w:rPr>
          <w:rFonts w:ascii="Times New Roman" w:hAnsi="Times New Roman"/>
          <w:b/>
          <w:sz w:val="20"/>
          <w:szCs w:val="20"/>
          <w:bdr w:val="single" w:sz="4" w:space="0" w:color="auto"/>
        </w:rPr>
      </w:pPr>
      <w:r w:rsidRPr="009C6241">
        <w:rPr>
          <w:rFonts w:ascii="Times New Roman" w:hAnsi="Times New Roman" w:hint="eastAsia"/>
          <w:b/>
          <w:color w:val="FF0000"/>
          <w:sz w:val="20"/>
          <w:szCs w:val="20"/>
          <w:highlight w:val="yellow"/>
          <w:bdr w:val="single" w:sz="4" w:space="0" w:color="auto"/>
        </w:rPr>
        <w:t>一、明</w:t>
      </w:r>
      <w:r w:rsidR="00AA120F" w:rsidRPr="009C6241">
        <w:rPr>
          <w:rFonts w:ascii="Times New Roman" w:hAnsi="Times New Roman"/>
          <w:b/>
          <w:color w:val="FF0000"/>
          <w:sz w:val="20"/>
          <w:szCs w:val="20"/>
          <w:highlight w:val="yellow"/>
          <w:bdr w:val="single" w:sz="4" w:space="0" w:color="auto"/>
        </w:rPr>
        <w:t>宗</w:t>
      </w:r>
      <w:r w:rsidRPr="009C6241">
        <w:rPr>
          <w:rFonts w:ascii="Times New Roman" w:hAnsi="Times New Roman" w:hint="eastAsia"/>
          <w:b/>
          <w:color w:val="FF0000"/>
          <w:sz w:val="20"/>
          <w:szCs w:val="20"/>
          <w:highlight w:val="yellow"/>
          <w:bdr w:val="single" w:sz="4" w:space="0" w:color="auto"/>
        </w:rPr>
        <w:t>趣</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bCs/>
          <w:sz w:val="20"/>
          <w:szCs w:val="20"/>
        </w:rPr>
        <w:t>26</w:t>
      </w:r>
      <w:r w:rsidR="003C0F53">
        <w:rPr>
          <w:rFonts w:ascii="Times New Roman" w:hAnsi="Times New Roman" w:hint="eastAsia"/>
          <w:bCs/>
          <w:sz w:val="20"/>
          <w:szCs w:val="20"/>
        </w:rPr>
        <w:t>1</w:t>
      </w:r>
      <w:r w:rsidR="00AA120F" w:rsidRPr="00DA3BC7">
        <w:rPr>
          <w:rFonts w:ascii="Times New Roman" w:hAnsi="Times New Roman"/>
          <w:sz w:val="20"/>
          <w:szCs w:val="20"/>
        </w:rPr>
        <w:t>）</w:t>
      </w:r>
    </w:p>
    <w:p w:rsidR="003C0F53" w:rsidRDefault="00AA120F" w:rsidP="00DC6BCB">
      <w:pPr>
        <w:widowControl/>
        <w:ind w:leftChars="100" w:left="240"/>
        <w:jc w:val="both"/>
        <w:rPr>
          <w:rFonts w:ascii="Times New Roman" w:hAnsi="Times New Roman"/>
        </w:rPr>
      </w:pPr>
      <w:r w:rsidRPr="00DA3BC7">
        <w:rPr>
          <w:rFonts w:ascii="Times New Roman" w:hAnsi="Times New Roman"/>
          <w:b/>
        </w:rPr>
        <w:t>空宗</w:t>
      </w:r>
      <w:r w:rsidRPr="00DA3BC7">
        <w:rPr>
          <w:rFonts w:ascii="Times New Roman" w:hAnsi="Times New Roman"/>
        </w:rPr>
        <w:t>與有宗不同，</w:t>
      </w:r>
      <w:r w:rsidRPr="00DA3BC7">
        <w:rPr>
          <w:rFonts w:ascii="Times New Roman" w:hAnsi="Times New Roman"/>
          <w:b/>
        </w:rPr>
        <w:t>在說此空時，即說此是有，並不以為另有什麼不空的存在</w:t>
      </w:r>
      <w:r w:rsidRPr="00DA3BC7">
        <w:rPr>
          <w:rFonts w:ascii="Times New Roman" w:hAnsi="Times New Roman"/>
        </w:rPr>
        <w:t>。</w:t>
      </w:r>
    </w:p>
    <w:p w:rsidR="003C0F53" w:rsidRPr="00DA3BC7" w:rsidRDefault="003C0F53" w:rsidP="00AE3920">
      <w:pPr>
        <w:spacing w:beforeLines="30"/>
        <w:ind w:leftChars="100" w:left="240"/>
        <w:jc w:val="both"/>
        <w:rPr>
          <w:rFonts w:ascii="Times New Roman" w:hAnsi="Times New Roman"/>
          <w:sz w:val="20"/>
          <w:szCs w:val="20"/>
          <w:bdr w:val="single" w:sz="4" w:space="0" w:color="auto"/>
        </w:rPr>
      </w:pPr>
      <w:r>
        <w:rPr>
          <w:rFonts w:ascii="Times New Roman" w:hAnsi="Times New Roman" w:hint="eastAsia"/>
          <w:b/>
          <w:color w:val="FF0000"/>
          <w:sz w:val="20"/>
          <w:szCs w:val="20"/>
          <w:highlight w:val="yellow"/>
          <w:bdr w:val="single" w:sz="4" w:space="0" w:color="auto"/>
        </w:rPr>
        <w:t>二、</w:t>
      </w:r>
      <w:r>
        <w:rPr>
          <w:rFonts w:ascii="Times New Roman" w:hAnsi="Times New Roman" w:hint="eastAsia"/>
          <w:b/>
          <w:bCs/>
          <w:color w:val="FF0000"/>
          <w:sz w:val="20"/>
          <w:szCs w:val="20"/>
          <w:highlight w:val="yellow"/>
          <w:bdr w:val="single" w:sz="4" w:space="0" w:color="auto"/>
        </w:rPr>
        <w:t>辨學思</w:t>
      </w:r>
      <w:r w:rsidRPr="009C6241">
        <w:rPr>
          <w:rFonts w:ascii="Times New Roman" w:hAnsi="Times New Roman"/>
          <w:sz w:val="20"/>
          <w:szCs w:val="20"/>
        </w:rPr>
        <w:t>（</w:t>
      </w:r>
      <w:r w:rsidRPr="00DA3BC7">
        <w:rPr>
          <w:rFonts w:ascii="Times New Roman" w:hAnsi="Times New Roman"/>
          <w:sz w:val="20"/>
          <w:szCs w:val="20"/>
        </w:rPr>
        <w:t>pp.</w:t>
      </w:r>
      <w:r w:rsidRPr="00DA3BC7">
        <w:rPr>
          <w:rFonts w:ascii="Times New Roman" w:hAnsi="Times New Roman"/>
          <w:bCs/>
          <w:sz w:val="20"/>
          <w:szCs w:val="20"/>
        </w:rPr>
        <w:t>261-26</w:t>
      </w:r>
      <w:r w:rsidRPr="00DA3BC7">
        <w:rPr>
          <w:rFonts w:ascii="Times New Roman" w:hAnsi="Times New Roman" w:hint="eastAsia"/>
          <w:bCs/>
          <w:sz w:val="20"/>
          <w:szCs w:val="20"/>
        </w:rPr>
        <w:t>3</w:t>
      </w:r>
      <w:r w:rsidRPr="00DA3BC7">
        <w:rPr>
          <w:rFonts w:ascii="Times New Roman" w:hAnsi="Times New Roman"/>
          <w:sz w:val="20"/>
          <w:szCs w:val="20"/>
        </w:rPr>
        <w:t>）</w:t>
      </w:r>
    </w:p>
    <w:p w:rsidR="003C0F53" w:rsidRPr="00DA3BC7" w:rsidRDefault="003C0F53" w:rsidP="00DC6BCB">
      <w:pPr>
        <w:ind w:leftChars="150" w:left="360"/>
        <w:jc w:val="both"/>
        <w:rPr>
          <w:rFonts w:ascii="Times New Roman" w:hAnsi="Times New Roman"/>
          <w:b/>
          <w:sz w:val="20"/>
          <w:szCs w:val="20"/>
          <w:bdr w:val="single" w:sz="4" w:space="0" w:color="auto"/>
        </w:rPr>
      </w:pPr>
      <w:r w:rsidRPr="009C6241">
        <w:rPr>
          <w:rFonts w:ascii="Times New Roman" w:hAnsi="Times New Roman"/>
          <w:b/>
          <w:color w:val="FF0000"/>
          <w:sz w:val="20"/>
          <w:szCs w:val="20"/>
          <w:highlight w:val="yellow"/>
          <w:bdr w:val="single" w:sz="4" w:space="0" w:color="auto"/>
        </w:rPr>
        <w:t>（</w:t>
      </w:r>
      <w:r w:rsidRPr="009C6241">
        <w:rPr>
          <w:rFonts w:ascii="Times New Roman" w:hAnsi="Times New Roman" w:hint="eastAsia"/>
          <w:b/>
          <w:color w:val="FF0000"/>
          <w:sz w:val="20"/>
          <w:szCs w:val="20"/>
          <w:highlight w:val="yellow"/>
          <w:bdr w:val="single" w:sz="4" w:space="0" w:color="auto"/>
        </w:rPr>
        <w:t>一</w:t>
      </w:r>
      <w:r w:rsidRPr="009C6241">
        <w:rPr>
          <w:rFonts w:ascii="Times New Roman" w:hAnsi="Times New Roman"/>
          <w:b/>
          <w:color w:val="FF0000"/>
          <w:sz w:val="20"/>
          <w:szCs w:val="20"/>
          <w:highlight w:val="yellow"/>
          <w:bdr w:val="single" w:sz="4" w:space="0" w:color="auto"/>
        </w:rPr>
        <w:t>）</w:t>
      </w:r>
      <w:r>
        <w:rPr>
          <w:rFonts w:ascii="Times New Roman" w:hAnsi="Times New Roman" w:hint="eastAsia"/>
          <w:b/>
          <w:color w:val="FF0000"/>
          <w:sz w:val="20"/>
          <w:szCs w:val="20"/>
          <w:highlight w:val="yellow"/>
          <w:bdr w:val="single" w:sz="4" w:space="0" w:color="auto"/>
        </w:rPr>
        <w:t>敘略</w:t>
      </w:r>
      <w:r w:rsidRPr="009C6241">
        <w:rPr>
          <w:rFonts w:ascii="Times New Roman" w:hAnsi="Times New Roman"/>
          <w:sz w:val="20"/>
          <w:szCs w:val="20"/>
        </w:rPr>
        <w:t>（</w:t>
      </w:r>
      <w:r w:rsidRPr="00DA3BC7">
        <w:rPr>
          <w:rFonts w:ascii="Times New Roman" w:hAnsi="Times New Roman"/>
          <w:sz w:val="20"/>
          <w:szCs w:val="20"/>
        </w:rPr>
        <w:t>pp.</w:t>
      </w:r>
      <w:r w:rsidRPr="00DA3BC7">
        <w:rPr>
          <w:rFonts w:ascii="Times New Roman" w:hAnsi="Times New Roman"/>
          <w:bCs/>
          <w:sz w:val="20"/>
          <w:szCs w:val="20"/>
        </w:rPr>
        <w:t>261-26</w:t>
      </w:r>
      <w:r>
        <w:rPr>
          <w:rFonts w:ascii="Times New Roman" w:hAnsi="Times New Roman" w:hint="eastAsia"/>
          <w:bCs/>
          <w:sz w:val="20"/>
          <w:szCs w:val="20"/>
        </w:rPr>
        <w:t>2</w:t>
      </w:r>
      <w:r w:rsidRPr="00DA3BC7">
        <w:rPr>
          <w:rFonts w:ascii="Times New Roman" w:hAnsi="Times New Roman"/>
          <w:sz w:val="20"/>
          <w:szCs w:val="20"/>
        </w:rPr>
        <w:t>）</w:t>
      </w:r>
    </w:p>
    <w:p w:rsidR="00AA120F" w:rsidRPr="00DA3BC7" w:rsidRDefault="00AA120F" w:rsidP="00DC6BCB">
      <w:pPr>
        <w:widowControl/>
        <w:ind w:leftChars="150" w:left="360"/>
        <w:jc w:val="both"/>
        <w:rPr>
          <w:rFonts w:ascii="Times New Roman" w:hAnsi="Times New Roman"/>
        </w:rPr>
      </w:pPr>
      <w:r w:rsidRPr="00DA3BC7">
        <w:rPr>
          <w:rFonts w:ascii="Times New Roman" w:hAnsi="Times New Roman"/>
        </w:rPr>
        <w:t>這種思想，源於如來的</w:t>
      </w:r>
      <w:r w:rsidRPr="00DA3BC7">
        <w:rPr>
          <w:rFonts w:ascii="Times New Roman" w:hAnsi="Times New Roman"/>
          <w:b/>
        </w:rPr>
        <w:t>自性空</w:t>
      </w:r>
      <w:r w:rsidRPr="00DA3BC7">
        <w:rPr>
          <w:rFonts w:ascii="Times New Roman" w:hAnsi="Times New Roman"/>
        </w:rPr>
        <w:t>，在小乘學派中早就有了</w:t>
      </w:r>
      <w:r w:rsidRPr="00DA3BC7">
        <w:rPr>
          <w:rStyle w:val="a6"/>
          <w:rFonts w:ascii="Times New Roman" w:hAnsi="Times New Roman"/>
        </w:rPr>
        <w:footnoteReference w:id="1105"/>
      </w:r>
      <w:r w:rsidRPr="00DA3BC7">
        <w:rPr>
          <w:rFonts w:ascii="Times New Roman" w:hAnsi="Times New Roman"/>
        </w:rPr>
        <w:t>，不過不貫徹</w:t>
      </w:r>
      <w:r w:rsidRPr="00DA3BC7">
        <w:rPr>
          <w:rFonts w:ascii="Times New Roman" w:hAnsi="Times New Roman" w:hint="eastAsia"/>
        </w:rPr>
        <w:t>、</w:t>
      </w:r>
      <w:r w:rsidRPr="00DA3BC7">
        <w:rPr>
          <w:rFonts w:ascii="Times New Roman" w:hAnsi="Times New Roman"/>
        </w:rPr>
        <w:t>不圓滿罷了！</w:t>
      </w:r>
    </w:p>
    <w:p w:rsidR="003C0F53" w:rsidRDefault="00AA120F" w:rsidP="00AE3920">
      <w:pPr>
        <w:spacing w:beforeLines="30"/>
        <w:ind w:leftChars="150" w:left="360"/>
        <w:jc w:val="both"/>
        <w:rPr>
          <w:rFonts w:ascii="Times New Roman" w:hAnsi="Times New Roman"/>
          <w:b/>
          <w:color w:val="FF0000"/>
          <w:sz w:val="20"/>
          <w:szCs w:val="20"/>
          <w:bdr w:val="single" w:sz="4" w:space="0" w:color="auto"/>
        </w:rPr>
      </w:pPr>
      <w:r w:rsidRPr="003C0F53">
        <w:rPr>
          <w:rFonts w:ascii="Times New Roman" w:hAnsi="Times New Roman"/>
          <w:b/>
          <w:color w:val="FF0000"/>
          <w:sz w:val="20"/>
          <w:szCs w:val="20"/>
          <w:highlight w:val="yellow"/>
          <w:bdr w:val="single" w:sz="4" w:space="0" w:color="auto"/>
        </w:rPr>
        <w:lastRenderedPageBreak/>
        <w:t>（</w:t>
      </w:r>
      <w:r w:rsidR="003C0F53" w:rsidRPr="003C0F53">
        <w:rPr>
          <w:rFonts w:ascii="Times New Roman" w:hAnsi="Times New Roman" w:hint="eastAsia"/>
          <w:b/>
          <w:color w:val="FF0000"/>
          <w:sz w:val="20"/>
          <w:szCs w:val="20"/>
          <w:highlight w:val="yellow"/>
          <w:bdr w:val="single" w:sz="4" w:space="0" w:color="auto"/>
        </w:rPr>
        <w:t>二</w:t>
      </w:r>
      <w:r w:rsidRPr="003C0F53">
        <w:rPr>
          <w:rFonts w:ascii="Times New Roman" w:hAnsi="Times New Roman"/>
          <w:b/>
          <w:color w:val="FF0000"/>
          <w:sz w:val="20"/>
          <w:szCs w:val="20"/>
          <w:highlight w:val="yellow"/>
          <w:bdr w:val="single" w:sz="4" w:space="0" w:color="auto"/>
        </w:rPr>
        <w:t>）</w:t>
      </w:r>
      <w:r w:rsidR="003C0F53" w:rsidRPr="003C0F53">
        <w:rPr>
          <w:rFonts w:ascii="Times New Roman" w:hAnsi="Times New Roman" w:hint="eastAsia"/>
          <w:b/>
          <w:color w:val="FF0000"/>
          <w:sz w:val="20"/>
          <w:szCs w:val="20"/>
          <w:highlight w:val="yellow"/>
          <w:bdr w:val="single" w:sz="4" w:space="0" w:color="auto"/>
        </w:rPr>
        <w:t>舉證</w:t>
      </w:r>
      <w:r w:rsidR="003C0F53" w:rsidRPr="00DA3BC7">
        <w:rPr>
          <w:rFonts w:ascii="Times New Roman" w:hAnsi="Times New Roman"/>
          <w:sz w:val="20"/>
          <w:szCs w:val="20"/>
        </w:rPr>
        <w:t>（</w:t>
      </w:r>
      <w:r w:rsidR="003C0F53" w:rsidRPr="00DA3BC7">
        <w:rPr>
          <w:rFonts w:ascii="Times New Roman" w:hAnsi="Times New Roman"/>
          <w:sz w:val="20"/>
          <w:szCs w:val="20"/>
        </w:rPr>
        <w:t>p.</w:t>
      </w:r>
      <w:r w:rsidR="003C0F53" w:rsidRPr="00DA3BC7">
        <w:rPr>
          <w:rFonts w:ascii="Times New Roman" w:hAnsi="Times New Roman"/>
          <w:bCs/>
          <w:sz w:val="20"/>
          <w:szCs w:val="20"/>
        </w:rPr>
        <w:t>262</w:t>
      </w:r>
      <w:r w:rsidR="003C0F53" w:rsidRPr="00DA3BC7">
        <w:rPr>
          <w:rFonts w:ascii="Times New Roman" w:hAnsi="Times New Roman"/>
          <w:sz w:val="20"/>
          <w:szCs w:val="20"/>
        </w:rPr>
        <w:t>）</w:t>
      </w:r>
    </w:p>
    <w:p w:rsidR="00AA120F" w:rsidRPr="00DA3BC7" w:rsidRDefault="003C0F53" w:rsidP="00DC6BCB">
      <w:pPr>
        <w:ind w:leftChars="200" w:left="48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1</w:t>
      </w:r>
      <w:r>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大眾部、經部等</w:t>
      </w:r>
      <w:r w:rsidRPr="003C0F53">
        <w:rPr>
          <w:rFonts w:ascii="Times New Roman" w:hAnsi="Times New Roman" w:hint="eastAsia"/>
          <w:b/>
          <w:color w:val="FF0000"/>
          <w:sz w:val="20"/>
          <w:szCs w:val="20"/>
          <w:highlight w:val="yellow"/>
          <w:bdr w:val="single" w:sz="4" w:space="0" w:color="auto"/>
        </w:rPr>
        <w:t>之</w:t>
      </w:r>
      <w:r w:rsidR="00AA120F" w:rsidRPr="003C0F53">
        <w:rPr>
          <w:rFonts w:ascii="Times New Roman" w:hAnsi="Times New Roman" w:hint="eastAsia"/>
          <w:b/>
          <w:sz w:val="20"/>
          <w:szCs w:val="20"/>
          <w:highlight w:val="yellow"/>
          <w:bdr w:val="single" w:sz="4" w:space="0" w:color="auto"/>
        </w:rPr>
        <w:t>說</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bCs/>
          <w:sz w:val="20"/>
          <w:szCs w:val="20"/>
        </w:rPr>
        <w:t>262</w:t>
      </w:r>
      <w:r w:rsidR="00AA120F" w:rsidRPr="00DA3BC7">
        <w:rPr>
          <w:rFonts w:ascii="Times New Roman" w:hAnsi="Times New Roman"/>
          <w:sz w:val="20"/>
          <w:szCs w:val="20"/>
        </w:rPr>
        <w:t>）</w:t>
      </w:r>
    </w:p>
    <w:p w:rsidR="00AA120F" w:rsidRPr="00DA3BC7" w:rsidRDefault="00AA120F" w:rsidP="00DC6BCB">
      <w:pPr>
        <w:ind w:leftChars="200" w:left="480"/>
        <w:jc w:val="both"/>
        <w:rPr>
          <w:rFonts w:ascii="Times New Roman" w:hAnsi="Times New Roman"/>
        </w:rPr>
      </w:pPr>
      <w:r w:rsidRPr="00DA3BC7">
        <w:rPr>
          <w:rFonts w:ascii="Times New Roman" w:hAnsi="Times New Roman"/>
        </w:rPr>
        <w:t>如</w:t>
      </w:r>
      <w:r w:rsidRPr="00DA3BC7">
        <w:rPr>
          <w:rFonts w:ascii="Times New Roman" w:hAnsi="Times New Roman"/>
          <w:b/>
        </w:rPr>
        <w:t>大眾部、經部等</w:t>
      </w:r>
      <w:r w:rsidRPr="00DA3BC7">
        <w:rPr>
          <w:rFonts w:ascii="Times New Roman" w:hAnsi="Times New Roman"/>
        </w:rPr>
        <w:t>，說過去、未來法是無，幻化無</w:t>
      </w:r>
      <w:r w:rsidRPr="00DA3BC7">
        <w:rPr>
          <w:rFonts w:ascii="Times New Roman" w:hAnsi="Times New Roman" w:hint="eastAsia"/>
        </w:rPr>
        <w:t>、</w:t>
      </w:r>
      <w:r w:rsidRPr="00DA3BC7">
        <w:rPr>
          <w:rFonts w:ascii="Times New Roman" w:hAnsi="Times New Roman"/>
        </w:rPr>
        <w:t>影像無等。他們所說的「無」，不是說沒有這回事。作夢是一種事實，不能說</w:t>
      </w:r>
      <w:r w:rsidRPr="00DA3BC7">
        <w:rPr>
          <w:rFonts w:hint="eastAsia"/>
        </w:rPr>
        <w:t>它</w:t>
      </w:r>
      <w:r w:rsidRPr="00DA3BC7">
        <w:rPr>
          <w:rFonts w:ascii="Times New Roman" w:hAnsi="Times New Roman"/>
        </w:rPr>
        <w:t>沒有，但夢中所現的一切事，不是實在的一回事。說夢中沒有實在的自性事，不是說夢事也沒有。</w:t>
      </w:r>
    </w:p>
    <w:p w:rsidR="00AA120F" w:rsidRPr="00DA3BC7" w:rsidRDefault="003C0F53" w:rsidP="00AE3920">
      <w:pPr>
        <w:spacing w:beforeLines="30"/>
        <w:ind w:leftChars="200" w:left="48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2</w:t>
      </w:r>
      <w:r>
        <w:rPr>
          <w:rFonts w:ascii="Times New Roman" w:hAnsi="Times New Roman" w:hint="eastAsia"/>
          <w:b/>
          <w:color w:val="FF0000"/>
          <w:sz w:val="20"/>
          <w:szCs w:val="20"/>
          <w:highlight w:val="yellow"/>
          <w:bdr w:val="single" w:sz="4" w:space="0" w:color="auto"/>
        </w:rPr>
        <w:t>、</w:t>
      </w:r>
      <w:r w:rsidRPr="003C0F53">
        <w:rPr>
          <w:rFonts w:ascii="Times New Roman" w:hAnsi="Times New Roman" w:hint="eastAsia"/>
          <w:b/>
          <w:sz w:val="20"/>
          <w:szCs w:val="20"/>
          <w:bdr w:val="single" w:sz="4" w:space="0" w:color="auto"/>
        </w:rPr>
        <w:t>說一切</w:t>
      </w:r>
      <w:r w:rsidR="00AA120F" w:rsidRPr="00DA3BC7">
        <w:rPr>
          <w:rFonts w:ascii="Times New Roman" w:hAnsi="Times New Roman"/>
          <w:b/>
          <w:sz w:val="20"/>
          <w:szCs w:val="20"/>
          <w:bdr w:val="single" w:sz="4" w:space="0" w:color="auto"/>
        </w:rPr>
        <w:t>有部</w:t>
      </w:r>
      <w:r>
        <w:rPr>
          <w:rFonts w:ascii="Times New Roman" w:hAnsi="Times New Roman" w:hint="eastAsia"/>
          <w:b/>
          <w:color w:val="FF0000"/>
          <w:sz w:val="20"/>
          <w:szCs w:val="20"/>
          <w:highlight w:val="yellow"/>
          <w:bdr w:val="single" w:sz="4" w:space="0" w:color="auto"/>
        </w:rPr>
        <w:t>之說</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bCs/>
          <w:sz w:val="20"/>
          <w:szCs w:val="20"/>
        </w:rPr>
        <w:t>262</w:t>
      </w:r>
      <w:r w:rsidR="00AA120F" w:rsidRPr="00DA3BC7">
        <w:rPr>
          <w:rFonts w:ascii="Times New Roman" w:hAnsi="Times New Roman"/>
          <w:sz w:val="20"/>
          <w:szCs w:val="20"/>
        </w:rPr>
        <w:t>）</w:t>
      </w:r>
    </w:p>
    <w:p w:rsidR="00AA120F" w:rsidRPr="00DA3BC7" w:rsidRDefault="00AA120F" w:rsidP="00DC6BCB">
      <w:pPr>
        <w:ind w:leftChars="200" w:left="480"/>
        <w:jc w:val="both"/>
        <w:rPr>
          <w:rFonts w:ascii="Times New Roman" w:hAnsi="Times New Roman"/>
        </w:rPr>
      </w:pPr>
      <w:r w:rsidRPr="00DA3BC7">
        <w:rPr>
          <w:rFonts w:ascii="Times New Roman" w:hAnsi="Times New Roman"/>
          <w:b/>
        </w:rPr>
        <w:t>薩婆多部以為假有並不是什麼都沒有，</w:t>
      </w:r>
      <w:r w:rsidRPr="00DA3BC7">
        <w:rPr>
          <w:rFonts w:ascii="Times New Roman" w:hAnsi="Times New Roman"/>
        </w:rPr>
        <w:t>無自性的假有還是有的。</w:t>
      </w:r>
      <w:r w:rsidRPr="00DA3BC7">
        <w:rPr>
          <w:rFonts w:ascii="Times New Roman" w:hAnsi="Times New Roman"/>
          <w:b/>
        </w:rPr>
        <w:t>以為假有法無有自性，但假有必有一實有為依，才有假有的呈現</w:t>
      </w:r>
      <w:r w:rsidRPr="00DA3BC7">
        <w:rPr>
          <w:rFonts w:ascii="Times New Roman" w:hAnsi="Times New Roman"/>
        </w:rPr>
        <w:t>。</w:t>
      </w:r>
    </w:p>
    <w:p w:rsidR="00AA120F" w:rsidRPr="00DA3BC7" w:rsidRDefault="00AA120F" w:rsidP="00AE3920">
      <w:pPr>
        <w:spacing w:beforeLines="20"/>
        <w:ind w:leftChars="200" w:left="480"/>
        <w:jc w:val="both"/>
        <w:rPr>
          <w:rFonts w:ascii="Times New Roman" w:hAnsi="Times New Roman"/>
        </w:rPr>
      </w:pPr>
      <w:r w:rsidRPr="00DA3BC7">
        <w:rPr>
          <w:rFonts w:ascii="Times New Roman" w:hAnsi="Times New Roman"/>
        </w:rPr>
        <w:t>如勝義有與世俗有，薩婆多部也主張不是截然的兩體。因此，他說</w:t>
      </w:r>
      <w:r w:rsidRPr="00DA3BC7">
        <w:rPr>
          <w:rFonts w:ascii="Times New Roman" w:hAnsi="Times New Roman"/>
          <w:b/>
        </w:rPr>
        <w:t>夢是實有的</w:t>
      </w:r>
      <w:r w:rsidRPr="00DA3BC7">
        <w:rPr>
          <w:rFonts w:ascii="Times New Roman" w:hAnsi="Times New Roman"/>
        </w:rPr>
        <w:t>，如見人首有角，人與牛馬等角是真實的，不過行相錯亂，以為人首有角而已。</w:t>
      </w:r>
    </w:p>
    <w:p w:rsidR="00AA120F" w:rsidRPr="00DA3BC7" w:rsidRDefault="003C0F53" w:rsidP="00AE3920">
      <w:pPr>
        <w:spacing w:beforeLines="30"/>
        <w:ind w:leftChars="200" w:left="480"/>
        <w:jc w:val="both"/>
        <w:rPr>
          <w:rFonts w:ascii="Times New Roman" w:hAnsi="Times New Roman"/>
          <w:b/>
          <w:sz w:val="20"/>
          <w:szCs w:val="20"/>
          <w:bdr w:val="single" w:sz="4" w:space="0" w:color="auto"/>
        </w:rPr>
      </w:pPr>
      <w:r w:rsidRPr="003C0F53">
        <w:rPr>
          <w:rFonts w:ascii="Times New Roman" w:hAnsi="Times New Roman" w:hint="eastAsia"/>
          <w:b/>
          <w:color w:val="FF0000"/>
          <w:sz w:val="20"/>
          <w:szCs w:val="20"/>
          <w:highlight w:val="yellow"/>
          <w:bdr w:val="single" w:sz="4" w:space="0" w:color="auto"/>
        </w:rPr>
        <w:t>3</w:t>
      </w:r>
      <w:r>
        <w:rPr>
          <w:rFonts w:ascii="Times New Roman" w:hAnsi="Times New Roman" w:hint="eastAsia"/>
          <w:b/>
          <w:color w:val="FF0000"/>
          <w:sz w:val="20"/>
          <w:szCs w:val="20"/>
          <w:highlight w:val="yellow"/>
          <w:bdr w:val="single" w:sz="4" w:space="0" w:color="auto"/>
        </w:rPr>
        <w:t>、</w:t>
      </w:r>
      <w:r w:rsidR="00AA120F" w:rsidRPr="00DA3BC7">
        <w:rPr>
          <w:rFonts w:ascii="Times New Roman" w:hAnsi="Times New Roman"/>
          <w:b/>
          <w:sz w:val="20"/>
          <w:szCs w:val="20"/>
          <w:bdr w:val="single" w:sz="4" w:space="0" w:color="auto"/>
        </w:rPr>
        <w:t>經部師</w:t>
      </w:r>
      <w:r>
        <w:rPr>
          <w:rFonts w:ascii="Times New Roman" w:hAnsi="Times New Roman" w:hint="eastAsia"/>
          <w:b/>
          <w:sz w:val="20"/>
          <w:szCs w:val="20"/>
          <w:bdr w:val="single" w:sz="4" w:space="0" w:color="auto"/>
        </w:rPr>
        <w:t>等</w:t>
      </w:r>
      <w:r>
        <w:rPr>
          <w:rFonts w:ascii="Times New Roman" w:hAnsi="Times New Roman" w:hint="eastAsia"/>
          <w:b/>
          <w:color w:val="FF0000"/>
          <w:sz w:val="20"/>
          <w:szCs w:val="20"/>
          <w:highlight w:val="yellow"/>
          <w:bdr w:val="single" w:sz="4" w:space="0" w:color="auto"/>
        </w:rPr>
        <w:t>之說</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bCs/>
          <w:sz w:val="20"/>
          <w:szCs w:val="20"/>
        </w:rPr>
        <w:t>262</w:t>
      </w:r>
      <w:r w:rsidR="00AA120F" w:rsidRPr="00DA3BC7">
        <w:rPr>
          <w:rFonts w:ascii="Times New Roman" w:hAnsi="Times New Roman"/>
          <w:sz w:val="20"/>
          <w:szCs w:val="20"/>
        </w:rPr>
        <w:t>）</w:t>
      </w:r>
    </w:p>
    <w:p w:rsidR="00AA120F" w:rsidRPr="00DA3BC7" w:rsidRDefault="00AA120F" w:rsidP="00DC6BCB">
      <w:pPr>
        <w:ind w:leftChars="200" w:left="480"/>
        <w:jc w:val="both"/>
        <w:rPr>
          <w:rFonts w:ascii="Times New Roman" w:hAnsi="Times New Roman"/>
        </w:rPr>
      </w:pPr>
      <w:r w:rsidRPr="00DA3BC7">
        <w:rPr>
          <w:rFonts w:ascii="Times New Roman" w:hAnsi="Times New Roman"/>
          <w:b/>
        </w:rPr>
        <w:t>經部師等</w:t>
      </w:r>
      <w:r w:rsidRPr="00DA3BC7">
        <w:rPr>
          <w:rFonts w:ascii="Times New Roman" w:hAnsi="Times New Roman"/>
        </w:rPr>
        <w:t>，說夢幻假有無實，即承認此是無實性的假有，如夢中人首有角，那裏有有角的人，這是無的。但夢事非都無，不過是無自性的假有罷了！</w:t>
      </w:r>
    </w:p>
    <w:p w:rsidR="00AA120F" w:rsidRPr="00DA3BC7" w:rsidRDefault="00AA120F" w:rsidP="00AE3920">
      <w:pPr>
        <w:spacing w:beforeLines="20"/>
        <w:ind w:leftChars="200" w:left="480"/>
        <w:jc w:val="both"/>
        <w:rPr>
          <w:rFonts w:ascii="Times New Roman" w:hAnsi="Times New Roman"/>
        </w:rPr>
      </w:pPr>
      <w:r w:rsidRPr="00DA3BC7">
        <w:rPr>
          <w:rFonts w:ascii="Times New Roman" w:hAnsi="Times New Roman"/>
          <w:b/>
        </w:rPr>
        <w:t>經部師們，在某些事象上，雖也達到無自性而假有的理論，但不能擴充到一切法上去。</w:t>
      </w:r>
    </w:p>
    <w:p w:rsidR="00AA120F" w:rsidRPr="00DA3BC7" w:rsidRDefault="003C0F53" w:rsidP="00AE3920">
      <w:pPr>
        <w:spacing w:beforeLines="30"/>
        <w:ind w:leftChars="100" w:left="240"/>
        <w:jc w:val="both"/>
        <w:rPr>
          <w:rFonts w:ascii="Times New Roman" w:hAnsi="Times New Roman"/>
          <w:b/>
        </w:rPr>
      </w:pPr>
      <w:r>
        <w:rPr>
          <w:rFonts w:ascii="Times New Roman" w:hAnsi="Times New Roman" w:hint="eastAsia"/>
          <w:b/>
          <w:color w:val="FF0000"/>
          <w:sz w:val="20"/>
          <w:szCs w:val="20"/>
          <w:highlight w:val="yellow"/>
          <w:bdr w:val="single" w:sz="4" w:space="0" w:color="auto"/>
        </w:rPr>
        <w:t>三、顯正義</w:t>
      </w:r>
      <w:r w:rsidR="00AA120F" w:rsidRPr="00DA3BC7">
        <w:rPr>
          <w:rFonts w:ascii="Times New Roman" w:hAnsi="Times New Roman"/>
          <w:sz w:val="20"/>
          <w:szCs w:val="20"/>
        </w:rPr>
        <w:t>（</w:t>
      </w:r>
      <w:r w:rsidR="00AA120F" w:rsidRPr="00DA3BC7">
        <w:rPr>
          <w:rFonts w:ascii="Times New Roman" w:hAnsi="Times New Roman"/>
          <w:sz w:val="20"/>
          <w:szCs w:val="20"/>
        </w:rPr>
        <w:t>p</w:t>
      </w:r>
      <w:r w:rsidR="00AA120F" w:rsidRPr="00DA3BC7">
        <w:rPr>
          <w:rFonts w:ascii="Times New Roman" w:hAnsi="Times New Roman" w:hint="eastAsia"/>
          <w:sz w:val="20"/>
          <w:szCs w:val="20"/>
        </w:rPr>
        <w:t>p</w:t>
      </w:r>
      <w:r w:rsidR="00AA120F" w:rsidRPr="00DA3BC7">
        <w:rPr>
          <w:rFonts w:ascii="Times New Roman" w:hAnsi="Times New Roman"/>
          <w:sz w:val="20"/>
          <w:szCs w:val="20"/>
        </w:rPr>
        <w:t>.</w:t>
      </w:r>
      <w:r w:rsidR="00AA120F" w:rsidRPr="00DA3BC7">
        <w:rPr>
          <w:rFonts w:ascii="Times New Roman" w:hAnsi="Times New Roman"/>
          <w:bCs/>
          <w:sz w:val="20"/>
          <w:szCs w:val="20"/>
        </w:rPr>
        <w:t>262</w:t>
      </w:r>
      <w:r w:rsidR="00AA120F" w:rsidRPr="00DA3BC7">
        <w:rPr>
          <w:rFonts w:ascii="Times New Roman" w:hAnsi="Times New Roman" w:hint="eastAsia"/>
          <w:bCs/>
          <w:sz w:val="20"/>
          <w:szCs w:val="20"/>
        </w:rPr>
        <w:t>-263</w:t>
      </w:r>
      <w:r w:rsidR="00AA120F" w:rsidRPr="00DA3BC7">
        <w:rPr>
          <w:rFonts w:ascii="Times New Roman" w:hAnsi="Times New Roman"/>
          <w:sz w:val="20"/>
          <w:szCs w:val="20"/>
        </w:rPr>
        <w:t>）</w:t>
      </w:r>
    </w:p>
    <w:p w:rsidR="00AA120F" w:rsidRPr="00DA3BC7" w:rsidRDefault="00AA120F" w:rsidP="00DC6BCB">
      <w:pPr>
        <w:ind w:leftChars="100" w:left="240"/>
        <w:jc w:val="both"/>
        <w:rPr>
          <w:rFonts w:ascii="Times New Roman" w:hAnsi="Times New Roman"/>
        </w:rPr>
      </w:pPr>
      <w:r w:rsidRPr="00DA3BC7">
        <w:rPr>
          <w:rFonts w:ascii="Times New Roman" w:hAnsi="Times New Roman"/>
          <w:b/>
        </w:rPr>
        <w:t>大乘根本中觀宗等</w:t>
      </w:r>
      <w:r w:rsidRPr="00DA3BC7">
        <w:rPr>
          <w:rFonts w:ascii="Times New Roman" w:hAnsi="Times New Roman"/>
        </w:rPr>
        <w:t>，從空相應的緣起義，了知一切法都是無自性的，無自性不是什麼都沒有，無自性而緣起法還是可以建立的。無性而可得可見的</w:t>
      </w:r>
      <w:r w:rsidRPr="00DA3BC7">
        <w:rPr>
          <w:rFonts w:ascii="Times New Roman" w:hAnsi="Times New Roman"/>
        </w:rPr>
        <w:lastRenderedPageBreak/>
        <w:t>幻有，徹底的通達了現相與本性的中道。這樣的說空，不是另外承認有不空的實在，這是空宗與有宗的差別處。</w:t>
      </w:r>
    </w:p>
    <w:p w:rsidR="00AA120F" w:rsidRPr="00DA3BC7" w:rsidRDefault="00AA120F" w:rsidP="00AE3920">
      <w:pPr>
        <w:spacing w:beforeLines="20"/>
        <w:ind w:leftChars="100" w:left="240"/>
        <w:jc w:val="both"/>
        <w:rPr>
          <w:rFonts w:ascii="Times New Roman" w:hAnsi="Times New Roman"/>
        </w:rPr>
      </w:pPr>
      <w:r w:rsidRPr="00DA3BC7">
        <w:rPr>
          <w:rFonts w:ascii="Times New Roman" w:hAnsi="Times New Roman"/>
          <w:b/>
        </w:rPr>
        <w:t>空宗</w:t>
      </w:r>
      <w:r w:rsidRPr="00DA3BC7">
        <w:rPr>
          <w:rFonts w:ascii="Times New Roman" w:hAnsi="Times New Roman"/>
        </w:rPr>
        <w:t>是直觀因緣法的現而不實</w:t>
      </w:r>
      <w:r w:rsidRPr="00DA3BC7">
        <w:rPr>
          <w:rFonts w:ascii="Times New Roman" w:hAnsi="Times New Roman" w:hint="eastAsia"/>
        </w:rPr>
        <w:t>、</w:t>
      </w:r>
      <w:r w:rsidRPr="00DA3BC7">
        <w:rPr>
          <w:rFonts w:ascii="Times New Roman" w:hAnsi="Times New Roman"/>
        </w:rPr>
        <w:t>無實而現的，由此達到一切法空</w:t>
      </w:r>
      <w:r w:rsidRPr="00DA3BC7">
        <w:rPr>
          <w:rFonts w:ascii="Times New Roman" w:hAnsi="Times New Roman" w:hint="eastAsia"/>
        </w:rPr>
        <w:t>、</w:t>
      </w:r>
      <w:r w:rsidRPr="00DA3BC7">
        <w:rPr>
          <w:rFonts w:ascii="Times New Roman" w:hAnsi="Times New Roman"/>
        </w:rPr>
        <w:t>一切法假。</w:t>
      </w:r>
    </w:p>
    <w:p w:rsidR="00AA120F" w:rsidRPr="00DA3BC7" w:rsidRDefault="00AA120F" w:rsidP="00DC6BCB">
      <w:pPr>
        <w:ind w:leftChars="100" w:left="240"/>
        <w:jc w:val="both"/>
        <w:rPr>
          <w:rFonts w:ascii="Times New Roman" w:hAnsi="Times New Roman"/>
          <w:b/>
        </w:rPr>
      </w:pPr>
      <w:r w:rsidRPr="000B3136">
        <w:rPr>
          <w:rFonts w:ascii="Times New Roman" w:hAnsi="Times New Roman"/>
          <w:b/>
        </w:rPr>
        <w:t>空宗</w:t>
      </w:r>
      <w:r w:rsidRPr="00DA3BC7">
        <w:rPr>
          <w:rFonts w:ascii="Times New Roman" w:hAnsi="Times New Roman"/>
        </w:rPr>
        <w:t>以勝義空為究竟，其歸宗所在，是畢竟空。</w:t>
      </w:r>
      <w:r w:rsidRPr="00DA3BC7">
        <w:rPr>
          <w:rFonts w:ascii="Times New Roman" w:hAnsi="Times New Roman"/>
          <w:b/>
        </w:rPr>
        <w:t>此空，不是有空後的不空存在，也不是都無的頑空</w:t>
      </w:r>
      <w:r w:rsidRPr="00DA3BC7">
        <w:rPr>
          <w:rStyle w:val="a6"/>
          <w:rFonts w:ascii="Times New Roman" w:hAnsi="Times New Roman"/>
        </w:rPr>
        <w:footnoteReference w:id="1106"/>
      </w:r>
      <w:r w:rsidRPr="00DA3BC7">
        <w:rPr>
          <w:rFonts w:ascii="Times New Roman" w:hAnsi="Times New Roman"/>
          <w:b/>
        </w:rPr>
        <w:t>。</w:t>
      </w:r>
    </w:p>
    <w:p w:rsidR="00AA120F" w:rsidRDefault="00AA120F" w:rsidP="00AE3920">
      <w:pPr>
        <w:spacing w:beforeLines="30"/>
        <w:ind w:leftChars="50" w:left="120"/>
        <w:jc w:val="both"/>
        <w:rPr>
          <w:rFonts w:ascii="Times New Roman" w:hAnsi="Times New Roman"/>
          <w:sz w:val="20"/>
          <w:szCs w:val="20"/>
        </w:rPr>
      </w:pPr>
      <w:r w:rsidRPr="003C0F53">
        <w:rPr>
          <w:rFonts w:ascii="Times New Roman" w:hAnsi="Times New Roman"/>
          <w:b/>
          <w:color w:val="FF0000"/>
          <w:sz w:val="20"/>
          <w:szCs w:val="20"/>
          <w:highlight w:val="yellow"/>
          <w:bdr w:val="single" w:sz="4" w:space="0" w:color="auto"/>
        </w:rPr>
        <w:t>（</w:t>
      </w:r>
      <w:r w:rsidR="003C0F53" w:rsidRPr="003C0F53">
        <w:rPr>
          <w:rFonts w:ascii="Times New Roman" w:hAnsi="Times New Roman" w:hint="eastAsia"/>
          <w:b/>
          <w:color w:val="FF0000"/>
          <w:sz w:val="20"/>
          <w:szCs w:val="20"/>
          <w:highlight w:val="yellow"/>
          <w:bdr w:val="single" w:sz="4" w:space="0" w:color="auto"/>
        </w:rPr>
        <w:t>參</w:t>
      </w:r>
      <w:r w:rsidRPr="003C0F53">
        <w:rPr>
          <w:rFonts w:ascii="Times New Roman" w:hAnsi="Times New Roman"/>
          <w:b/>
          <w:color w:val="FF0000"/>
          <w:sz w:val="20"/>
          <w:szCs w:val="20"/>
          <w:highlight w:val="yellow"/>
          <w:bdr w:val="single" w:sz="4" w:space="0" w:color="auto"/>
        </w:rPr>
        <w:t>）</w:t>
      </w:r>
      <w:r w:rsidR="003C0F53">
        <w:rPr>
          <w:rFonts w:ascii="Times New Roman" w:hAnsi="Times New Roman" w:hint="eastAsia"/>
          <w:b/>
          <w:color w:val="FF0000"/>
          <w:sz w:val="20"/>
          <w:szCs w:val="20"/>
          <w:highlight w:val="yellow"/>
          <w:bdr w:val="single" w:sz="4" w:space="0" w:color="auto"/>
        </w:rPr>
        <w:t>結義</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263</w:t>
      </w:r>
      <w:r w:rsidRPr="00DA3BC7">
        <w:rPr>
          <w:rFonts w:ascii="Times New Roman" w:hAnsi="Times New Roman"/>
          <w:sz w:val="20"/>
          <w:szCs w:val="20"/>
        </w:rPr>
        <w:t>）</w:t>
      </w:r>
    </w:p>
    <w:p w:rsidR="003C0F53" w:rsidRPr="00DA3BC7" w:rsidRDefault="003C0F53" w:rsidP="00DC6BCB">
      <w:pPr>
        <w:ind w:leftChars="100" w:left="24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一、空有二宗的根本差別</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263</w:t>
      </w:r>
      <w:r w:rsidRPr="00DA3BC7">
        <w:rPr>
          <w:rFonts w:ascii="Times New Roman" w:hAnsi="Times New Roman"/>
          <w:sz w:val="20"/>
          <w:szCs w:val="20"/>
        </w:rPr>
        <w:t>）</w:t>
      </w:r>
    </w:p>
    <w:p w:rsidR="00AA120F" w:rsidRPr="00DA3BC7" w:rsidRDefault="00AA120F" w:rsidP="00DC6BCB">
      <w:pPr>
        <w:ind w:leftChars="100" w:left="240"/>
        <w:jc w:val="both"/>
        <w:rPr>
          <w:rFonts w:ascii="Times New Roman" w:hAnsi="Times New Roman"/>
        </w:rPr>
      </w:pPr>
      <w:r w:rsidRPr="00DA3BC7">
        <w:rPr>
          <w:rFonts w:ascii="Times New Roman" w:hAnsi="Times New Roman"/>
        </w:rPr>
        <w:t>總之，不論小乘</w:t>
      </w:r>
      <w:r w:rsidRPr="00DA3BC7">
        <w:rPr>
          <w:rFonts w:ascii="Times New Roman" w:hAnsi="Times New Roman" w:hint="eastAsia"/>
        </w:rPr>
        <w:t>、</w:t>
      </w:r>
      <w:r w:rsidRPr="00DA3BC7">
        <w:rPr>
          <w:rFonts w:ascii="Times New Roman" w:hAnsi="Times New Roman"/>
        </w:rPr>
        <w:t>大乘，依</w:t>
      </w:r>
      <w:r w:rsidRPr="000B3136">
        <w:rPr>
          <w:rFonts w:ascii="Times New Roman" w:hAnsi="Times New Roman"/>
          <w:b/>
        </w:rPr>
        <w:t>有宗</w:t>
      </w:r>
      <w:r w:rsidRPr="00DA3BC7">
        <w:rPr>
          <w:rFonts w:ascii="Times New Roman" w:hAnsi="Times New Roman"/>
        </w:rPr>
        <w:t>講，不論空得如何，最後的歸結，還有一個不空的存在，不能即空而說有。</w:t>
      </w:r>
    </w:p>
    <w:p w:rsidR="003C0F53" w:rsidRPr="00DA3BC7" w:rsidRDefault="003C0F53" w:rsidP="00AE3920">
      <w:pPr>
        <w:spacing w:beforeLines="30"/>
        <w:ind w:leftChars="100" w:left="24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二、眾說論辨的關鍵所在</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263</w:t>
      </w:r>
      <w:r w:rsidRPr="00DA3BC7">
        <w:rPr>
          <w:rFonts w:ascii="Times New Roman" w:hAnsi="Times New Roman"/>
          <w:sz w:val="20"/>
          <w:szCs w:val="20"/>
        </w:rPr>
        <w:t>）</w:t>
      </w:r>
    </w:p>
    <w:p w:rsidR="003C0F53" w:rsidRDefault="003C0F53" w:rsidP="00DC6BCB">
      <w:pPr>
        <w:ind w:leftChars="100" w:left="240"/>
        <w:jc w:val="both"/>
        <w:rPr>
          <w:rFonts w:ascii="Times New Roman" w:hAnsi="Times New Roman"/>
        </w:rPr>
      </w:pPr>
      <w:r w:rsidRPr="00DA3BC7">
        <w:rPr>
          <w:rFonts w:ascii="Times New Roman" w:hAnsi="Times New Roman"/>
        </w:rPr>
        <w:t>所以觀察空義，應細察他是</w:t>
      </w:r>
      <w:r w:rsidRPr="00DA3BC7">
        <w:rPr>
          <w:rFonts w:ascii="Times New Roman" w:hAnsi="Times New Roman"/>
          <w:b/>
        </w:rPr>
        <w:t>如何觀空</w:t>
      </w:r>
      <w:r w:rsidRPr="00DA3BC7">
        <w:rPr>
          <w:rFonts w:ascii="Times New Roman" w:hAnsi="Times New Roman"/>
        </w:rPr>
        <w:t>和</w:t>
      </w:r>
      <w:r w:rsidRPr="00DA3BC7">
        <w:rPr>
          <w:rFonts w:ascii="Times New Roman" w:hAnsi="Times New Roman"/>
          <w:b/>
        </w:rPr>
        <w:t>最後的歸宿點何在</w:t>
      </w:r>
      <w:r w:rsidRPr="00DA3BC7">
        <w:rPr>
          <w:rFonts w:ascii="Times New Roman" w:hAnsi="Times New Roman"/>
        </w:rPr>
        <w:t>。</w:t>
      </w:r>
    </w:p>
    <w:p w:rsidR="003C0F53" w:rsidRDefault="00AA120F" w:rsidP="00DC6BCB">
      <w:pPr>
        <w:ind w:leftChars="100" w:left="240"/>
        <w:jc w:val="both"/>
        <w:rPr>
          <w:rFonts w:ascii="Times New Roman" w:hAnsi="Times New Roman"/>
        </w:rPr>
      </w:pPr>
      <w:r w:rsidRPr="00DA3BC7">
        <w:rPr>
          <w:rFonts w:ascii="Times New Roman" w:hAnsi="Times New Roman"/>
        </w:rPr>
        <w:t>空宗與有宗的諍點在此。</w:t>
      </w:r>
    </w:p>
    <w:p w:rsidR="003C0F53" w:rsidRDefault="00AA120F" w:rsidP="00AE3920">
      <w:pPr>
        <w:spacing w:beforeLines="20"/>
        <w:ind w:leftChars="100" w:left="240"/>
        <w:jc w:val="both"/>
        <w:rPr>
          <w:rFonts w:ascii="Times New Roman" w:hAnsi="Times New Roman"/>
        </w:rPr>
      </w:pPr>
      <w:r w:rsidRPr="00DA3BC7">
        <w:rPr>
          <w:rFonts w:ascii="Times New Roman" w:hAnsi="Times New Roman"/>
        </w:rPr>
        <w:t>凡佛法中的諍論，如</w:t>
      </w:r>
      <w:r w:rsidRPr="00DA3BC7">
        <w:rPr>
          <w:rFonts w:ascii="Times New Roman" w:hAnsi="Times New Roman"/>
          <w:b/>
        </w:rPr>
        <w:t>假實</w:t>
      </w:r>
      <w:r w:rsidRPr="00DA3BC7">
        <w:rPr>
          <w:rFonts w:ascii="Times New Roman" w:hAnsi="Times New Roman"/>
        </w:rPr>
        <w:t>之諍</w:t>
      </w:r>
      <w:r w:rsidRPr="00DA3BC7">
        <w:rPr>
          <w:rFonts w:ascii="Times New Roman" w:hAnsi="Times New Roman" w:hint="eastAsia"/>
        </w:rPr>
        <w:t>、</w:t>
      </w:r>
      <w:r w:rsidRPr="00DA3BC7">
        <w:rPr>
          <w:rFonts w:ascii="Times New Roman" w:hAnsi="Times New Roman"/>
          <w:b/>
        </w:rPr>
        <w:t>法有法空</w:t>
      </w:r>
      <w:r w:rsidRPr="00DA3BC7">
        <w:rPr>
          <w:rFonts w:ascii="Times New Roman" w:hAnsi="Times New Roman"/>
        </w:rPr>
        <w:t>之諍</w:t>
      </w:r>
      <w:r w:rsidRPr="00DA3BC7">
        <w:rPr>
          <w:rFonts w:ascii="Times New Roman" w:hAnsi="Times New Roman" w:hint="eastAsia"/>
        </w:rPr>
        <w:t>、</w:t>
      </w:r>
      <w:r w:rsidRPr="00DA3BC7">
        <w:rPr>
          <w:rFonts w:ascii="Times New Roman" w:hAnsi="Times New Roman"/>
          <w:b/>
        </w:rPr>
        <w:t>中觀與唯識</w:t>
      </w:r>
      <w:r w:rsidRPr="00DA3BC7">
        <w:rPr>
          <w:rFonts w:ascii="Times New Roman" w:hAnsi="Times New Roman"/>
        </w:rPr>
        <w:t>之諍等，諍點無不在此。</w:t>
      </w:r>
    </w:p>
    <w:p w:rsidR="003C0F53" w:rsidRPr="00DA3BC7" w:rsidRDefault="003C0F53" w:rsidP="00AE3920">
      <w:pPr>
        <w:spacing w:beforeLines="30"/>
        <w:ind w:leftChars="100" w:left="240"/>
        <w:jc w:val="both"/>
        <w:rPr>
          <w:rFonts w:ascii="Times New Roman" w:hAnsi="Times New Roman"/>
          <w:b/>
          <w:sz w:val="20"/>
          <w:szCs w:val="20"/>
          <w:bdr w:val="single" w:sz="4" w:space="0" w:color="auto"/>
        </w:rPr>
      </w:pPr>
      <w:r>
        <w:rPr>
          <w:rFonts w:ascii="Times New Roman" w:hAnsi="Times New Roman" w:hint="eastAsia"/>
          <w:b/>
          <w:color w:val="FF0000"/>
          <w:sz w:val="20"/>
          <w:szCs w:val="20"/>
          <w:highlight w:val="yellow"/>
          <w:bdr w:val="single" w:sz="4" w:space="0" w:color="auto"/>
        </w:rPr>
        <w:t>三、融貫空有的首要方針</w:t>
      </w:r>
      <w:r w:rsidRPr="00DA3BC7">
        <w:rPr>
          <w:rFonts w:ascii="Times New Roman" w:hAnsi="Times New Roman"/>
          <w:sz w:val="20"/>
          <w:szCs w:val="20"/>
        </w:rPr>
        <w:t>（</w:t>
      </w:r>
      <w:r w:rsidRPr="00DA3BC7">
        <w:rPr>
          <w:rFonts w:ascii="Times New Roman" w:hAnsi="Times New Roman"/>
          <w:sz w:val="20"/>
          <w:szCs w:val="20"/>
        </w:rPr>
        <w:t>p.</w:t>
      </w:r>
      <w:r w:rsidRPr="00DA3BC7">
        <w:rPr>
          <w:rFonts w:ascii="Times New Roman" w:hAnsi="Times New Roman"/>
          <w:bCs/>
          <w:sz w:val="20"/>
          <w:szCs w:val="20"/>
        </w:rPr>
        <w:t>263</w:t>
      </w:r>
      <w:r w:rsidRPr="00DA3BC7">
        <w:rPr>
          <w:rFonts w:ascii="Times New Roman" w:hAnsi="Times New Roman"/>
          <w:sz w:val="20"/>
          <w:szCs w:val="20"/>
        </w:rPr>
        <w:t>）</w:t>
      </w:r>
    </w:p>
    <w:p w:rsidR="003C0F53" w:rsidRDefault="003C0F53" w:rsidP="00DC6BCB">
      <w:pPr>
        <w:ind w:leftChars="100" w:left="240"/>
        <w:jc w:val="both"/>
        <w:rPr>
          <w:rFonts w:ascii="Times New Roman" w:hAnsi="Times New Roman"/>
        </w:rPr>
      </w:pPr>
      <w:r w:rsidRPr="00DA3BC7">
        <w:rPr>
          <w:rFonts w:ascii="Times New Roman" w:hAnsi="Times New Roman"/>
        </w:rPr>
        <w:t>要融貫空有，必須在此闢出一條通路來，不能盲目的、徒然的作些泛泛的融會，自以為然的無諍。</w:t>
      </w:r>
    </w:p>
    <w:p w:rsidR="00AA120F" w:rsidRPr="00DA3BC7" w:rsidRDefault="00AA120F" w:rsidP="00AE3920">
      <w:pPr>
        <w:spacing w:beforeLines="20"/>
        <w:ind w:leftChars="100" w:left="240"/>
        <w:jc w:val="both"/>
        <w:rPr>
          <w:rFonts w:ascii="Times New Roman" w:hAnsi="Times New Roman"/>
        </w:rPr>
        <w:sectPr w:rsidR="00AA120F" w:rsidRPr="00DA3BC7" w:rsidSect="004F4714">
          <w:headerReference w:type="even" r:id="rId69"/>
          <w:headerReference w:type="default" r:id="rId70"/>
          <w:footnotePr>
            <w:numRestart w:val="eachSect"/>
          </w:footnotePr>
          <w:pgSz w:w="10773" w:h="14742" w:code="155"/>
          <w:pgMar w:top="1418" w:right="1418" w:bottom="1418" w:left="1418" w:header="851" w:footer="992" w:gutter="0"/>
          <w:cols w:space="425"/>
          <w:docGrid w:type="lines" w:linePitch="360"/>
        </w:sectPr>
      </w:pPr>
      <w:r w:rsidRPr="00DA3BC7">
        <w:rPr>
          <w:rFonts w:ascii="Times New Roman" w:hAnsi="Times New Roman"/>
        </w:rPr>
        <w:t>空宗與有宗的主要分歧點，今於本論特地指出來，希望空有同宗的學者，加以深切的思考！</w:t>
      </w:r>
    </w:p>
    <w:p w:rsidR="00AA120F" w:rsidRPr="00DA3BC7" w:rsidRDefault="00AA120F" w:rsidP="008E2BBC">
      <w:pPr>
        <w:ind w:leftChars="495" w:left="1188"/>
        <w:jc w:val="both"/>
        <w:outlineLvl w:val="0"/>
        <w:rPr>
          <w:b/>
        </w:rPr>
      </w:pPr>
      <w:bookmarkStart w:id="138" w:name="_Toc405392621"/>
      <w:bookmarkStart w:id="139" w:name="_Toc405499808"/>
      <w:r w:rsidRPr="00DA3BC7">
        <w:rPr>
          <w:rFonts w:hint="eastAsia"/>
          <w:b/>
        </w:rPr>
        <w:lastRenderedPageBreak/>
        <w:t>國家圖書館出版品預行編目</w:t>
      </w:r>
      <w:r w:rsidRPr="00DA3BC7">
        <w:rPr>
          <w:rFonts w:hint="eastAsia"/>
          <w:b/>
        </w:rPr>
        <w:t>(</w:t>
      </w:r>
      <w:r w:rsidRPr="00DA3BC7">
        <w:rPr>
          <w:rFonts w:ascii="Times New Roman" w:hAnsi="Times New Roman" w:hint="eastAsia"/>
          <w:b/>
        </w:rPr>
        <w:t>CIP</w:t>
      </w:r>
      <w:r w:rsidRPr="00DA3BC7">
        <w:rPr>
          <w:b/>
        </w:rPr>
        <w:t>)</w:t>
      </w:r>
      <w:r w:rsidRPr="00DA3BC7">
        <w:rPr>
          <w:rFonts w:hint="eastAsia"/>
          <w:b/>
        </w:rPr>
        <w:t>資料</w:t>
      </w:r>
      <w:bookmarkEnd w:id="138"/>
      <w:bookmarkEnd w:id="139"/>
    </w:p>
    <w:p w:rsidR="00AA120F" w:rsidRPr="00DA3BC7" w:rsidRDefault="00AE3920" w:rsidP="008E2BBC">
      <w:pPr>
        <w:jc w:val="center"/>
      </w:pPr>
      <w:r>
        <w:rPr>
          <w:noProof/>
        </w:rPr>
      </w:r>
      <w:r>
        <w:rPr>
          <w:noProof/>
        </w:rPr>
        <w:pict>
          <v:shape id="Text Box 2" o:spid="_x0000_s2207" type="#_x0000_t202" style="width:277.95pt;height:164.4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" strokeweight=".5pt">
            <v:textbox inset="5mm,5mm,5mm,5mm">
              <w:txbxContent>
                <w:p w:rsidR="00157EF6" w:rsidRPr="00BB660C" w:rsidRDefault="00157EF6" w:rsidP="001B64AB">
                  <w:pPr>
                    <w:ind w:left="240" w:hangingChars="100" w:hanging="240"/>
                    <w:jc w:val="both"/>
                    <w:rPr>
                      <w:rFonts w:ascii="Times New Roman" w:eastAsia="標楷體" w:hAnsi="Times New Roman"/>
                    </w:rPr>
                  </w:pPr>
                  <w:r w:rsidRPr="00BB660C">
                    <w:rPr>
                      <w:rFonts w:ascii="Times New Roman" w:eastAsia="標楷體" w:hAnsi="Times New Roman"/>
                    </w:rPr>
                    <w:t>中觀今論講義</w:t>
                  </w:r>
                  <w:r w:rsidRPr="00BB660C">
                    <w:rPr>
                      <w:rFonts w:ascii="Times New Roman" w:eastAsia="標楷體" w:hAnsi="Times New Roman"/>
                    </w:rPr>
                    <w:t xml:space="preserve"> / </w:t>
                  </w:r>
                  <w:r w:rsidRPr="00BB660C">
                    <w:rPr>
                      <w:rFonts w:ascii="Times New Roman" w:eastAsia="標楷體" w:hAnsi="Times New Roman"/>
                    </w:rPr>
                    <w:t>釋厚觀主編</w:t>
                  </w:r>
                  <w:r w:rsidRPr="00BB660C">
                    <w:rPr>
                      <w:rFonts w:ascii="Times New Roman" w:eastAsia="標楷體" w:hAnsi="Times New Roman"/>
                    </w:rPr>
                    <w:t xml:space="preserve">. -- </w:t>
                  </w:r>
                  <w:r w:rsidRPr="00BB660C">
                    <w:rPr>
                      <w:rFonts w:ascii="Times New Roman" w:eastAsia="標楷體" w:hAnsi="Times New Roman"/>
                    </w:rPr>
                    <w:t>初版</w:t>
                  </w:r>
                  <w:r w:rsidRPr="00BB660C">
                    <w:rPr>
                      <w:rFonts w:ascii="Times New Roman" w:eastAsia="標楷體" w:hAnsi="Times New Roman"/>
                    </w:rPr>
                    <w:t xml:space="preserve">. -- </w:t>
                  </w:r>
                  <w:r w:rsidRPr="00BB660C">
                    <w:rPr>
                      <w:rFonts w:ascii="Times New Roman" w:eastAsia="標楷體" w:hAnsi="Times New Roman"/>
                    </w:rPr>
                    <w:t>新竹縣竹北市：印順文教基金會</w:t>
                  </w:r>
                  <w:r w:rsidRPr="00BB660C">
                    <w:rPr>
                      <w:rFonts w:ascii="Times New Roman" w:eastAsia="標楷體" w:hAnsi="Times New Roman"/>
                    </w:rPr>
                    <w:t xml:space="preserve">, </w:t>
                  </w:r>
                  <w:r w:rsidRPr="00761EF3">
                    <w:rPr>
                      <w:rFonts w:ascii="Times New Roman" w:eastAsia="標楷體" w:hAnsi="Times New Roman"/>
                    </w:rPr>
                    <w:t>2014</w:t>
                  </w:r>
                  <w:r w:rsidRPr="00A655CF">
                    <w:rPr>
                      <w:rFonts w:ascii="Times New Roman" w:eastAsia="標楷體" w:hAnsi="Times New Roman"/>
                    </w:rPr>
                    <w:t>.</w:t>
                  </w:r>
                  <w:r w:rsidRPr="00761EF3">
                    <w:rPr>
                      <w:rFonts w:ascii="Times New Roman" w:eastAsia="標楷體" w:hAnsi="Times New Roman"/>
                    </w:rPr>
                    <w:t>12</w:t>
                  </w:r>
                </w:p>
                <w:p w:rsidR="00157EF6" w:rsidRPr="00BB660C" w:rsidRDefault="00157EF6" w:rsidP="001B64AB">
                  <w:pPr>
                    <w:ind w:leftChars="200" w:left="480"/>
                    <w:jc w:val="both"/>
                    <w:rPr>
                      <w:rFonts w:ascii="Times New Roman" w:eastAsia="標楷體" w:hAnsi="Times New Roman"/>
                    </w:rPr>
                  </w:pPr>
                  <w:r w:rsidRPr="00BB660C">
                    <w:rPr>
                      <w:rFonts w:ascii="Times New Roman" w:eastAsia="標楷體" w:hAnsi="Times New Roman"/>
                    </w:rPr>
                    <w:t>冊；　　公分</w:t>
                  </w:r>
                  <w:r>
                    <w:rPr>
                      <w:rFonts w:ascii="Times New Roman" w:eastAsia="標楷體" w:hAnsi="Times New Roman" w:hint="eastAsia"/>
                    </w:rPr>
                    <w:t>. --</w:t>
                  </w:r>
                  <w:r>
                    <w:rPr>
                      <w:rFonts w:ascii="Times New Roman" w:eastAsia="標楷體" w:hAnsi="Times New Roman"/>
                    </w:rPr>
                    <w:t>（</w:t>
                  </w:r>
                  <w:r>
                    <w:rPr>
                      <w:rFonts w:ascii="Times New Roman" w:eastAsia="標楷體" w:hAnsi="Times New Roman" w:hint="eastAsia"/>
                    </w:rPr>
                    <w:t>印</w:t>
                  </w:r>
                  <w:r>
                    <w:rPr>
                      <w:rFonts w:ascii="Times New Roman" w:eastAsia="標楷體" w:hAnsi="Times New Roman"/>
                    </w:rPr>
                    <w:t>順文教基金會推廣教育</w:t>
                  </w:r>
                  <w:r>
                    <w:rPr>
                      <w:rFonts w:ascii="Times New Roman" w:eastAsia="標楷體" w:hAnsi="Times New Roman" w:hint="eastAsia"/>
                    </w:rPr>
                    <w:t>叢</w:t>
                  </w:r>
                  <w:r>
                    <w:rPr>
                      <w:rFonts w:ascii="Times New Roman" w:eastAsia="標楷體" w:hAnsi="Times New Roman"/>
                    </w:rPr>
                    <w:t>書）</w:t>
                  </w:r>
                </w:p>
                <w:p w:rsidR="00157EF6" w:rsidRPr="00BB660C" w:rsidRDefault="00157EF6" w:rsidP="00AE3920">
                  <w:pPr>
                    <w:spacing w:beforeLines="50"/>
                    <w:ind w:leftChars="100" w:left="240"/>
                    <w:jc w:val="both"/>
                    <w:rPr>
                      <w:rFonts w:ascii="Times New Roman" w:eastAsia="標楷體" w:hAnsi="Times New Roman"/>
                    </w:rPr>
                  </w:pPr>
                  <w:r w:rsidRPr="00761EF3">
                    <w:rPr>
                      <w:rFonts w:ascii="Times New Roman" w:eastAsia="標楷體" w:hAnsi="Times New Roman"/>
                    </w:rPr>
                    <w:t>ISBN</w:t>
                  </w:r>
                  <w:r w:rsidRPr="00BB660C">
                    <w:rPr>
                      <w:rFonts w:ascii="Times New Roman" w:eastAsia="標楷體" w:hAnsi="Times New Roman"/>
                    </w:rPr>
                    <w:t xml:space="preserve"> </w:t>
                  </w:r>
                  <w:r w:rsidRPr="00761EF3">
                    <w:rPr>
                      <w:rFonts w:ascii="Times New Roman" w:eastAsia="標楷體" w:hAnsi="Times New Roman"/>
                    </w:rPr>
                    <w:t>978</w:t>
                  </w:r>
                  <w:r w:rsidRPr="00BB660C">
                    <w:rPr>
                      <w:rFonts w:ascii="Times New Roman" w:eastAsia="標楷體" w:hAnsi="Times New Roman"/>
                    </w:rPr>
                    <w:t>-</w:t>
                  </w:r>
                  <w:r w:rsidRPr="00761EF3">
                    <w:rPr>
                      <w:rFonts w:ascii="Times New Roman" w:eastAsia="標楷體" w:hAnsi="Times New Roman"/>
                    </w:rPr>
                    <w:t>986</w:t>
                  </w:r>
                  <w:r w:rsidRPr="00BB660C">
                    <w:rPr>
                      <w:rFonts w:ascii="Times New Roman" w:eastAsia="標楷體" w:hAnsi="Times New Roman"/>
                    </w:rPr>
                    <w:t>-</w:t>
                  </w:r>
                  <w:r w:rsidRPr="00431088">
                    <w:rPr>
                      <w:rFonts w:ascii="Times New Roman" w:eastAsia="標楷體" w:hAnsi="Times New Roman"/>
                    </w:rPr>
                    <w:t>88045-7-9</w:t>
                  </w:r>
                  <w:r w:rsidRPr="00BB660C">
                    <w:rPr>
                      <w:rFonts w:ascii="Times New Roman" w:eastAsia="標楷體" w:hAnsi="Times New Roman"/>
                    </w:rPr>
                    <w:t>（平裝）</w:t>
                  </w:r>
                </w:p>
                <w:p w:rsidR="00157EF6" w:rsidRPr="00BB660C" w:rsidRDefault="00157EF6" w:rsidP="00AE3920">
                  <w:pPr>
                    <w:spacing w:afterLines="30"/>
                    <w:ind w:leftChars="100" w:left="240"/>
                    <w:jc w:val="both"/>
                    <w:rPr>
                      <w:rFonts w:ascii="Times New Roman" w:eastAsia="標楷體" w:hAnsi="Times New Roman"/>
                    </w:rPr>
                  </w:pPr>
                  <w:r>
                    <w:rPr>
                      <w:rFonts w:ascii="Times New Roman" w:eastAsia="標楷體" w:hAnsi="Times New Roman" w:hint="eastAsia"/>
                    </w:rPr>
                    <w:t>1.</w:t>
                  </w:r>
                  <w:r>
                    <w:rPr>
                      <w:rFonts w:ascii="Times New Roman" w:eastAsia="標楷體" w:hAnsi="Times New Roman" w:hint="eastAsia"/>
                    </w:rPr>
                    <w:t>中</w:t>
                  </w:r>
                  <w:r>
                    <w:rPr>
                      <w:rFonts w:ascii="Times New Roman" w:eastAsia="標楷體" w:hAnsi="Times New Roman"/>
                    </w:rPr>
                    <w:t>觀部</w:t>
                  </w:r>
                </w:p>
                <w:p w:rsidR="00157EF6" w:rsidRPr="00BB660C" w:rsidRDefault="00157EF6" w:rsidP="00FB11D2">
                  <w:pPr>
                    <w:tabs>
                      <w:tab w:val="right" w:pos="4962"/>
                    </w:tabs>
                    <w:jc w:val="both"/>
                    <w:rPr>
                      <w:rFonts w:ascii="Times New Roman" w:eastAsia="標楷體" w:hAnsi="Times New Roman"/>
                    </w:rPr>
                  </w:pPr>
                  <w:r>
                    <w:rPr>
                      <w:rFonts w:ascii="Times New Roman" w:eastAsia="標楷體" w:hAnsi="Times New Roman"/>
                    </w:rPr>
                    <w:t>222.12</w:t>
                  </w:r>
                  <w:r w:rsidRPr="00BB660C">
                    <w:rPr>
                      <w:rFonts w:ascii="Times New Roman" w:eastAsia="標楷體" w:hAnsi="Times New Roman"/>
                    </w:rPr>
                    <w:tab/>
                  </w:r>
                  <w:r>
                    <w:rPr>
                      <w:rFonts w:ascii="Times New Roman" w:eastAsia="標楷體" w:hAnsi="Times New Roman"/>
                    </w:rPr>
                    <w:t>103026459</w:t>
                  </w:r>
                </w:p>
              </w:txbxContent>
            </v:textbox>
            <w10:wrap type="none"/>
            <w10:anchorlock/>
          </v:shape>
        </w:pict>
      </w:r>
    </w:p>
    <w:p w:rsidR="00B03BF3" w:rsidRPr="00786464" w:rsidRDefault="00AE3920" w:rsidP="00AE3920">
      <w:pPr>
        <w:spacing w:afterLines="30"/>
        <w:rPr>
          <w:rFonts w:ascii="華康新特明體" w:eastAsia="華康新特明體" w:hAnsi="標楷體"/>
          <w:bCs/>
          <w:sz w:val="48"/>
          <w:szCs w:val="48"/>
        </w:rPr>
      </w:pPr>
      <w:bookmarkStart w:id="140" w:name="_Hlk75978127"/>
      <w:r w:rsidRPr="00AE3920">
        <w:rPr>
          <w:rFonts w:ascii="Times New Roman" w:hAnsi="Times New Roman"/>
          <w:noProof/>
        </w:rPr>
        <w:pict>
          <v:shape id="Straight Arrow Connector 95" o:spid="_x0000_s2052" type="#_x0000_t32" style="position:absolute;margin-left:-8.55pt;margin-top:36.7pt;width:439.35pt;height:0;z-index:251654144;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" strokeweight="1.5pt"/>
        </w:pict>
      </w:r>
      <w:r w:rsidR="00B03BF3">
        <w:rPr>
          <w:rFonts w:ascii="華康新特明體" w:eastAsia="華康新特明體" w:hAnsi="標楷體" w:hint="eastAsia"/>
          <w:bCs/>
          <w:spacing w:val="20"/>
          <w:sz w:val="48"/>
          <w:szCs w:val="48"/>
        </w:rPr>
        <w:t>中觀今論</w:t>
      </w:r>
      <w:r w:rsidR="00B03BF3" w:rsidRPr="00786464">
        <w:rPr>
          <w:rFonts w:ascii="華康新特明體" w:eastAsia="華康新特明體" w:hAnsi="標楷體" w:hint="eastAsia"/>
          <w:bCs/>
          <w:spacing w:val="20"/>
          <w:sz w:val="48"/>
          <w:szCs w:val="48"/>
        </w:rPr>
        <w:t>講義</w:t>
      </w:r>
      <w:bookmarkEnd w:id="140"/>
    </w:p>
    <w:p w:rsidR="00B03BF3" w:rsidRPr="00B03BF3" w:rsidRDefault="00B03BF3" w:rsidP="008E2BBC">
      <w:pPr>
        <w:rPr>
          <w:rFonts w:ascii="Times New Roman" w:hAnsi="Times New Roman"/>
        </w:rPr>
      </w:pPr>
      <w:r w:rsidRPr="00B03BF3">
        <w:rPr>
          <w:rFonts w:ascii="Times New Roman" w:hAnsi="Times New Roman"/>
        </w:rPr>
        <w:t>主　　編：釋厚觀</w:t>
      </w:r>
    </w:p>
    <w:p w:rsidR="00B03BF3" w:rsidRPr="00B03BF3" w:rsidRDefault="00B03BF3" w:rsidP="008E2BBC">
      <w:pPr>
        <w:rPr>
          <w:rFonts w:ascii="Times New Roman" w:hAnsi="Times New Roman"/>
        </w:rPr>
      </w:pPr>
      <w:r w:rsidRPr="00B03BF3">
        <w:rPr>
          <w:rFonts w:ascii="Times New Roman" w:hAnsi="Times New Roman"/>
        </w:rPr>
        <w:t>出</w:t>
      </w:r>
      <w:r w:rsidRPr="00B03BF3">
        <w:rPr>
          <w:rFonts w:ascii="Times New Roman" w:hAnsi="Times New Roman"/>
        </w:rPr>
        <w:t xml:space="preserve"> </w:t>
      </w:r>
      <w:r w:rsidRPr="00B03BF3">
        <w:rPr>
          <w:rFonts w:ascii="Times New Roman" w:hAnsi="Times New Roman"/>
        </w:rPr>
        <w:t>版</w:t>
      </w:r>
      <w:r w:rsidRPr="00B03BF3">
        <w:rPr>
          <w:rFonts w:ascii="Times New Roman" w:hAnsi="Times New Roman"/>
        </w:rPr>
        <w:t xml:space="preserve"> </w:t>
      </w:r>
      <w:r w:rsidRPr="00B03BF3">
        <w:rPr>
          <w:rFonts w:ascii="Times New Roman" w:hAnsi="Times New Roman"/>
        </w:rPr>
        <w:t>者：財團法人印順文教基金會</w:t>
      </w:r>
    </w:p>
    <w:p w:rsidR="00B03BF3" w:rsidRPr="00B03BF3" w:rsidRDefault="00B03BF3" w:rsidP="008E2BBC">
      <w:pPr>
        <w:rPr>
          <w:rFonts w:ascii="Times New Roman" w:hAnsi="Times New Roman"/>
        </w:rPr>
      </w:pPr>
      <w:r w:rsidRPr="00B03BF3">
        <w:rPr>
          <w:rFonts w:ascii="Times New Roman" w:hAnsi="Times New Roman"/>
        </w:rPr>
        <w:t>地　　址：</w:t>
      </w:r>
      <w:r w:rsidRPr="00B03BF3">
        <w:rPr>
          <w:rFonts w:ascii="Times New Roman" w:hAnsi="Times New Roman"/>
        </w:rPr>
        <w:t>302048</w:t>
      </w:r>
      <w:r w:rsidRPr="00B03BF3">
        <w:rPr>
          <w:rFonts w:ascii="Times New Roman" w:hAnsi="Times New Roman"/>
        </w:rPr>
        <w:t>新竹縣竹北市縣政九路</w:t>
      </w:r>
      <w:r w:rsidRPr="00B03BF3">
        <w:rPr>
          <w:rFonts w:ascii="Times New Roman" w:hAnsi="Times New Roman"/>
        </w:rPr>
        <w:t>28</w:t>
      </w:r>
      <w:r w:rsidRPr="00B03BF3">
        <w:rPr>
          <w:rFonts w:ascii="Times New Roman" w:hAnsi="Times New Roman"/>
        </w:rPr>
        <w:t>巷</w:t>
      </w:r>
      <w:r w:rsidRPr="00B03BF3">
        <w:rPr>
          <w:rFonts w:ascii="Times New Roman" w:hAnsi="Times New Roman"/>
        </w:rPr>
        <w:t>7</w:t>
      </w:r>
      <w:r w:rsidRPr="00B03BF3">
        <w:rPr>
          <w:rFonts w:ascii="Times New Roman" w:hAnsi="Times New Roman"/>
        </w:rPr>
        <w:t>號</w:t>
      </w:r>
    </w:p>
    <w:p w:rsidR="00B03BF3" w:rsidRPr="00B03BF3" w:rsidRDefault="00B03BF3" w:rsidP="008E2BBC">
      <w:pPr>
        <w:rPr>
          <w:rFonts w:ascii="Times New Roman" w:hAnsi="Times New Roman"/>
        </w:rPr>
      </w:pPr>
      <w:r w:rsidRPr="00B03BF3">
        <w:rPr>
          <w:rFonts w:ascii="Times New Roman" w:hAnsi="Times New Roman"/>
        </w:rPr>
        <w:t>電　　話：</w:t>
      </w:r>
      <w:r w:rsidRPr="00B03BF3">
        <w:rPr>
          <w:rFonts w:ascii="Times New Roman" w:hAnsi="Times New Roman"/>
        </w:rPr>
        <w:t>(03)555-1830</w:t>
      </w:r>
    </w:p>
    <w:p w:rsidR="00B03BF3" w:rsidRPr="00B03BF3" w:rsidRDefault="00B03BF3" w:rsidP="008E2BBC">
      <w:pPr>
        <w:rPr>
          <w:rFonts w:ascii="Times New Roman" w:hAnsi="Times New Roman"/>
        </w:rPr>
      </w:pPr>
      <w:r w:rsidRPr="00B03BF3">
        <w:rPr>
          <w:rFonts w:ascii="Times New Roman" w:hAnsi="Times New Roman"/>
        </w:rPr>
        <w:t>傳　　真：</w:t>
      </w:r>
      <w:r w:rsidRPr="00B03BF3">
        <w:rPr>
          <w:rFonts w:ascii="Times New Roman" w:hAnsi="Times New Roman"/>
        </w:rPr>
        <w:t>(03)553-7841</w:t>
      </w:r>
    </w:p>
    <w:p w:rsidR="00B03BF3" w:rsidRPr="00B03BF3" w:rsidRDefault="00B03BF3" w:rsidP="008E2BBC">
      <w:pPr>
        <w:rPr>
          <w:rFonts w:ascii="Times New Roman" w:hAnsi="Times New Roman"/>
        </w:rPr>
      </w:pPr>
      <w:r w:rsidRPr="00B03BF3">
        <w:rPr>
          <w:rFonts w:ascii="Times New Roman" w:hAnsi="Times New Roman"/>
        </w:rPr>
        <w:t>網　　址：</w:t>
      </w:r>
      <w:r w:rsidRPr="00B03BF3">
        <w:rPr>
          <w:rFonts w:ascii="Times New Roman" w:hAnsi="Times New Roman"/>
        </w:rPr>
        <w:t>https://www.yinshun.org.tw</w:t>
      </w:r>
    </w:p>
    <w:p w:rsidR="00B03BF3" w:rsidRPr="00B03BF3" w:rsidRDefault="00B03BF3" w:rsidP="008E2BBC">
      <w:pPr>
        <w:rPr>
          <w:rFonts w:ascii="Times New Roman" w:hAnsi="Times New Roman"/>
        </w:rPr>
      </w:pPr>
      <w:r w:rsidRPr="00B03BF3">
        <w:rPr>
          <w:rFonts w:ascii="Times New Roman" w:hAnsi="Times New Roman"/>
          <w:spacing w:val="62"/>
        </w:rPr>
        <w:t>E-mai</w:t>
      </w:r>
      <w:r w:rsidRPr="00B03BF3">
        <w:rPr>
          <w:rFonts w:ascii="Times New Roman" w:hAnsi="Times New Roman"/>
        </w:rPr>
        <w:t>l</w:t>
      </w:r>
      <w:r w:rsidRPr="00B03BF3">
        <w:rPr>
          <w:rFonts w:ascii="Times New Roman" w:hAnsi="Times New Roman"/>
        </w:rPr>
        <w:t>：</w:t>
      </w:r>
      <w:r w:rsidRPr="00B03BF3">
        <w:rPr>
          <w:rFonts w:ascii="Times New Roman" w:hAnsi="Times New Roman"/>
        </w:rPr>
        <w:t>yinshun.tw@msa.hinet.net</w:t>
      </w:r>
    </w:p>
    <w:p w:rsidR="00B03BF3" w:rsidRPr="00B03BF3" w:rsidRDefault="00B03BF3" w:rsidP="008E2BBC">
      <w:pPr>
        <w:tabs>
          <w:tab w:val="left" w:pos="2835"/>
        </w:tabs>
        <w:rPr>
          <w:rFonts w:ascii="Times New Roman" w:hAnsi="Times New Roman"/>
        </w:rPr>
      </w:pPr>
      <w:r w:rsidRPr="00B03BF3">
        <w:rPr>
          <w:rFonts w:ascii="Times New Roman" w:hAnsi="Times New Roman"/>
        </w:rPr>
        <w:t>郵政劃撥：</w:t>
      </w:r>
      <w:r w:rsidRPr="00B03BF3">
        <w:rPr>
          <w:rFonts w:ascii="Times New Roman" w:hAnsi="Times New Roman"/>
        </w:rPr>
        <w:t>19147201</w:t>
      </w:r>
      <w:r w:rsidRPr="00B03BF3">
        <w:rPr>
          <w:rFonts w:ascii="Times New Roman" w:hAnsi="Times New Roman"/>
        </w:rPr>
        <w:tab/>
      </w:r>
      <w:r w:rsidRPr="00B03BF3">
        <w:rPr>
          <w:rFonts w:ascii="Times New Roman" w:hAnsi="Times New Roman"/>
        </w:rPr>
        <w:t>戶名：財團法人印順文教基金會</w:t>
      </w:r>
    </w:p>
    <w:p w:rsidR="00B03BF3" w:rsidRPr="00B03BF3" w:rsidRDefault="00B03BF3" w:rsidP="008E2BBC">
      <w:pPr>
        <w:rPr>
          <w:rFonts w:ascii="Times New Roman" w:hAnsi="Times New Roman"/>
        </w:rPr>
      </w:pPr>
      <w:r w:rsidRPr="00B03BF3">
        <w:rPr>
          <w:rFonts w:ascii="Times New Roman" w:hAnsi="Times New Roman"/>
        </w:rPr>
        <w:t>2024</w:t>
      </w:r>
      <w:r w:rsidRPr="00B03BF3">
        <w:rPr>
          <w:rFonts w:ascii="Times New Roman" w:hAnsi="Times New Roman"/>
        </w:rPr>
        <w:t>年</w:t>
      </w:r>
      <w:r w:rsidRPr="00B03BF3">
        <w:rPr>
          <w:rFonts w:ascii="Times New Roman" w:hAnsi="Times New Roman"/>
        </w:rPr>
        <w:t>11</w:t>
      </w:r>
      <w:r w:rsidRPr="00B03BF3">
        <w:rPr>
          <w:rFonts w:ascii="Times New Roman" w:hAnsi="Times New Roman"/>
        </w:rPr>
        <w:t>月初版三刷（</w:t>
      </w:r>
      <w:r w:rsidRPr="00B03BF3">
        <w:rPr>
          <w:rFonts w:ascii="Times New Roman" w:hAnsi="Times New Roman"/>
        </w:rPr>
        <w:t>1000</w:t>
      </w:r>
      <w:r w:rsidRPr="00B03BF3">
        <w:rPr>
          <w:rFonts w:ascii="Times New Roman" w:hAnsi="Times New Roman"/>
        </w:rPr>
        <w:t>本）</w:t>
      </w:r>
    </w:p>
    <w:p w:rsidR="00B03BF3" w:rsidRPr="00786464" w:rsidRDefault="00AE3920" w:rsidP="00AE3920">
      <w:pPr>
        <w:spacing w:beforeLines="50" w:afterLines="30"/>
        <w:rPr>
          <w:b/>
          <w:sz w:val="26"/>
          <w:szCs w:val="26"/>
        </w:rPr>
      </w:pPr>
      <w:r w:rsidRPr="00AE3920">
        <w:rPr>
          <w:noProof/>
        </w:rPr>
        <w:pict>
          <v:shape id="Straight Arrow Connector 105" o:spid="_x0000_s2051" type="#_x0000_t32" style="position:absolute;margin-left:-8.55pt;margin-top:3.55pt;width:439.35pt;height:0;z-index:251665408;visibility:visible;mso-wrap-distance-top:-8e-5mm;mso-wrap-distance-bottom:-8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" strokeweight=".5pt"/>
        </w:pict>
      </w:r>
      <w:r w:rsidR="00B03BF3" w:rsidRPr="00786464">
        <w:rPr>
          <w:rFonts w:hint="eastAsia"/>
          <w:b/>
          <w:sz w:val="26"/>
          <w:szCs w:val="26"/>
        </w:rPr>
        <w:t>流通處：</w:t>
      </w:r>
    </w:p>
    <w:p w:rsidR="00B03BF3" w:rsidRPr="00EF3DEB" w:rsidRDefault="00B03BF3" w:rsidP="008E2BBC">
      <w:pPr>
        <w:pStyle w:val="a4"/>
        <w:numPr>
          <w:ilvl w:val="0"/>
          <w:numId w:val="44"/>
        </w:numPr>
        <w:overflowPunct w:val="0"/>
        <w:ind w:leftChars="20" w:left="264" w:hangingChars="90" w:hanging="216"/>
        <w:rPr>
          <w:rFonts w:ascii="Times New Roman" w:hAnsi="Times New Roman"/>
        </w:rPr>
      </w:pPr>
      <w:r w:rsidRPr="00EF3DEB">
        <w:rPr>
          <w:rFonts w:ascii="Times New Roman" w:hAnsi="Times New Roman"/>
        </w:rPr>
        <w:t>印順文教基金會：</w:t>
      </w:r>
      <w:r w:rsidRPr="00EF3DEB">
        <w:rPr>
          <w:rFonts w:ascii="Times New Roman" w:hAnsi="Times New Roman"/>
        </w:rPr>
        <w:t>302048</w:t>
      </w:r>
      <w:r w:rsidRPr="00EF3DEB">
        <w:rPr>
          <w:rFonts w:ascii="Times New Roman" w:hAnsi="Times New Roman"/>
        </w:rPr>
        <w:t>新竹縣竹北市縣政九路</w:t>
      </w:r>
      <w:r w:rsidRPr="00EF3DEB">
        <w:rPr>
          <w:rFonts w:ascii="Times New Roman" w:hAnsi="Times New Roman"/>
        </w:rPr>
        <w:t>28</w:t>
      </w:r>
      <w:r w:rsidRPr="00EF3DEB">
        <w:rPr>
          <w:rFonts w:ascii="Times New Roman" w:hAnsi="Times New Roman"/>
        </w:rPr>
        <w:t>巷</w:t>
      </w:r>
      <w:r w:rsidRPr="00EF3DEB">
        <w:rPr>
          <w:rFonts w:ascii="Times New Roman" w:hAnsi="Times New Roman"/>
        </w:rPr>
        <w:t>7</w:t>
      </w:r>
      <w:r w:rsidRPr="00EF3DEB">
        <w:rPr>
          <w:rFonts w:ascii="Times New Roman" w:hAnsi="Times New Roman"/>
        </w:rPr>
        <w:t>號</w:t>
      </w:r>
    </w:p>
    <w:p w:rsidR="00B03BF3" w:rsidRPr="00EF3DEB" w:rsidRDefault="00B03BF3" w:rsidP="00AE3920">
      <w:pPr>
        <w:pStyle w:val="a4"/>
        <w:tabs>
          <w:tab w:val="left" w:pos="2964"/>
        </w:tabs>
        <w:spacing w:afterLines="30"/>
        <w:ind w:leftChars="110" w:left="264"/>
        <w:rPr>
          <w:rFonts w:ascii="Times New Roman" w:hAnsi="Times New Roman"/>
        </w:rPr>
      </w:pPr>
      <w:r w:rsidRPr="00EF3DEB">
        <w:rPr>
          <w:rFonts w:ascii="Times New Roman" w:hAnsi="Times New Roman"/>
        </w:rPr>
        <w:t>電話：</w:t>
      </w:r>
      <w:r w:rsidRPr="00EF3DEB">
        <w:rPr>
          <w:rFonts w:ascii="Times New Roman" w:hAnsi="Times New Roman"/>
        </w:rPr>
        <w:t>(03)555-1830</w:t>
      </w:r>
      <w:r w:rsidRPr="00EF3DEB">
        <w:rPr>
          <w:rFonts w:ascii="Times New Roman" w:hAnsi="Times New Roman"/>
        </w:rPr>
        <w:tab/>
      </w:r>
      <w:r w:rsidRPr="00EF3DEB">
        <w:rPr>
          <w:rFonts w:ascii="Times New Roman" w:hAnsi="Times New Roman"/>
        </w:rPr>
        <w:t>傳真：</w:t>
      </w:r>
      <w:r w:rsidRPr="00EF3DEB">
        <w:rPr>
          <w:rFonts w:ascii="Times New Roman" w:hAnsi="Times New Roman"/>
        </w:rPr>
        <w:t>(03)553-7841</w:t>
      </w:r>
    </w:p>
    <w:p w:rsidR="00B03BF3" w:rsidRPr="00EF3DEB" w:rsidRDefault="00B03BF3" w:rsidP="008E2BBC">
      <w:pPr>
        <w:pStyle w:val="a4"/>
        <w:numPr>
          <w:ilvl w:val="0"/>
          <w:numId w:val="44"/>
        </w:numPr>
        <w:overflowPunct w:val="0"/>
        <w:ind w:leftChars="20" w:left="264" w:hangingChars="90" w:hanging="216"/>
        <w:rPr>
          <w:rFonts w:ascii="Times New Roman" w:hAnsi="Times New Roman"/>
        </w:rPr>
      </w:pPr>
      <w:r w:rsidRPr="00EF3DEB">
        <w:rPr>
          <w:rFonts w:ascii="Times New Roman" w:hAnsi="Times New Roman"/>
        </w:rPr>
        <w:t>福嚴佛學院：</w:t>
      </w:r>
      <w:r w:rsidRPr="00EF3DEB">
        <w:rPr>
          <w:rFonts w:ascii="Times New Roman" w:hAnsi="Times New Roman"/>
        </w:rPr>
        <w:t>300037</w:t>
      </w:r>
      <w:r w:rsidRPr="00EF3DEB">
        <w:rPr>
          <w:rFonts w:ascii="Times New Roman" w:hAnsi="Times New Roman"/>
        </w:rPr>
        <w:t>新竹市明湖路</w:t>
      </w:r>
      <w:r w:rsidRPr="00EF3DEB">
        <w:rPr>
          <w:rFonts w:ascii="Times New Roman" w:hAnsi="Times New Roman"/>
        </w:rPr>
        <w:t>365</w:t>
      </w:r>
      <w:r w:rsidRPr="00EF3DEB">
        <w:rPr>
          <w:rFonts w:ascii="Times New Roman" w:hAnsi="Times New Roman"/>
        </w:rPr>
        <w:t>巷</w:t>
      </w:r>
      <w:r w:rsidRPr="00EF3DEB">
        <w:rPr>
          <w:rFonts w:ascii="Times New Roman" w:hAnsi="Times New Roman"/>
        </w:rPr>
        <w:t>3</w:t>
      </w:r>
      <w:r w:rsidRPr="00EF3DEB">
        <w:rPr>
          <w:rFonts w:ascii="Times New Roman" w:hAnsi="Times New Roman"/>
        </w:rPr>
        <w:t>號</w:t>
      </w:r>
    </w:p>
    <w:p w:rsidR="00B03BF3" w:rsidRPr="00EF3DEB" w:rsidRDefault="00B03BF3" w:rsidP="00AE3920">
      <w:pPr>
        <w:pStyle w:val="a4"/>
        <w:tabs>
          <w:tab w:val="left" w:pos="2964"/>
        </w:tabs>
        <w:spacing w:afterLines="30"/>
        <w:ind w:leftChars="110" w:left="264"/>
        <w:rPr>
          <w:rFonts w:ascii="Times New Roman" w:hAnsi="Times New Roman"/>
        </w:rPr>
      </w:pPr>
      <w:r w:rsidRPr="00EF3DEB">
        <w:rPr>
          <w:rFonts w:ascii="Times New Roman" w:hAnsi="Times New Roman"/>
        </w:rPr>
        <w:t>電話：</w:t>
      </w:r>
      <w:r w:rsidRPr="00EF3DEB">
        <w:rPr>
          <w:rFonts w:ascii="Times New Roman" w:hAnsi="Times New Roman"/>
        </w:rPr>
        <w:t>(03)520-1240</w:t>
      </w:r>
      <w:r w:rsidRPr="00EF3DEB">
        <w:rPr>
          <w:rFonts w:ascii="Times New Roman" w:hAnsi="Times New Roman"/>
        </w:rPr>
        <w:tab/>
      </w:r>
      <w:r w:rsidRPr="00EF3DEB">
        <w:rPr>
          <w:rFonts w:ascii="Times New Roman" w:hAnsi="Times New Roman"/>
        </w:rPr>
        <w:t>傳真：</w:t>
      </w:r>
      <w:r w:rsidRPr="00EF3DEB">
        <w:rPr>
          <w:rFonts w:ascii="Times New Roman" w:hAnsi="Times New Roman"/>
        </w:rPr>
        <w:t>(03)520-5041</w:t>
      </w:r>
    </w:p>
    <w:p w:rsidR="00B03BF3" w:rsidRPr="00EF3DEB" w:rsidRDefault="00B03BF3" w:rsidP="008E2BBC">
      <w:pPr>
        <w:pStyle w:val="a4"/>
        <w:numPr>
          <w:ilvl w:val="0"/>
          <w:numId w:val="44"/>
        </w:numPr>
        <w:overflowPunct w:val="0"/>
        <w:ind w:leftChars="20" w:left="264" w:hangingChars="90" w:hanging="216"/>
        <w:rPr>
          <w:rFonts w:ascii="Times New Roman" w:hAnsi="Times New Roman"/>
        </w:rPr>
      </w:pPr>
      <w:r w:rsidRPr="00EF3DEB">
        <w:rPr>
          <w:rFonts w:ascii="Times New Roman" w:hAnsi="Times New Roman"/>
        </w:rPr>
        <w:t>慧日講堂：</w:t>
      </w:r>
      <w:r w:rsidRPr="00EF3DEB">
        <w:rPr>
          <w:rFonts w:ascii="Times New Roman" w:hAnsi="Times New Roman"/>
        </w:rPr>
        <w:t>104104</w:t>
      </w:r>
      <w:r w:rsidRPr="00EF3DEB">
        <w:rPr>
          <w:rFonts w:ascii="Times New Roman" w:hAnsi="Times New Roman"/>
        </w:rPr>
        <w:t>台北市中山區朱崙街</w:t>
      </w:r>
      <w:r w:rsidRPr="00EF3DEB">
        <w:rPr>
          <w:rFonts w:ascii="Times New Roman" w:hAnsi="Times New Roman"/>
        </w:rPr>
        <w:t>36</w:t>
      </w:r>
      <w:r w:rsidRPr="00EF3DEB">
        <w:rPr>
          <w:rFonts w:ascii="Times New Roman" w:hAnsi="Times New Roman"/>
        </w:rPr>
        <w:t>號</w:t>
      </w:r>
    </w:p>
    <w:p w:rsidR="00B03BF3" w:rsidRPr="00EF3DEB" w:rsidRDefault="00AE3920" w:rsidP="008E2BBC">
      <w:pPr>
        <w:pStyle w:val="a4"/>
        <w:tabs>
          <w:tab w:val="left" w:pos="2964"/>
        </w:tabs>
        <w:spacing w:after="72"/>
        <w:ind w:leftChars="110" w:left="264"/>
        <w:rPr>
          <w:rFonts w:ascii="Times New Roman" w:hAnsi="Times New Roman"/>
        </w:rPr>
      </w:pPr>
      <w:r w:rsidRPr="00AE3920">
        <w:rPr>
          <w:noProof/>
          <w:sz w:val="22"/>
          <w:szCs w:val="22"/>
        </w:rPr>
        <w:pict>
          <v:shape id="Straight Arrow Connector 102" o:spid="_x0000_s2050" type="#_x0000_t32" style="position:absolute;left:0;text-align:left;margin-left:-8.55pt;margin-top:22.7pt;width:439.35pt;height:0;z-index:25165721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" strokeweight=".5pt"/>
        </w:pict>
      </w:r>
      <w:r w:rsidR="00B03BF3" w:rsidRPr="00EF3DEB">
        <w:rPr>
          <w:rFonts w:ascii="Times New Roman" w:hAnsi="Times New Roman"/>
        </w:rPr>
        <w:t>電話：</w:t>
      </w:r>
      <w:r w:rsidR="00B03BF3" w:rsidRPr="00EF3DEB">
        <w:rPr>
          <w:rFonts w:ascii="Times New Roman" w:hAnsi="Times New Roman"/>
        </w:rPr>
        <w:t>(02)2771-1417</w:t>
      </w:r>
      <w:r w:rsidR="00B03BF3" w:rsidRPr="00EF3DEB">
        <w:rPr>
          <w:rFonts w:ascii="Times New Roman" w:hAnsi="Times New Roman"/>
        </w:rPr>
        <w:tab/>
      </w:r>
      <w:r w:rsidR="00B03BF3" w:rsidRPr="00EF3DEB">
        <w:rPr>
          <w:rFonts w:ascii="Times New Roman" w:hAnsi="Times New Roman"/>
        </w:rPr>
        <w:t>傳真：</w:t>
      </w:r>
      <w:r w:rsidR="00B03BF3" w:rsidRPr="00EF3DEB">
        <w:rPr>
          <w:rFonts w:ascii="Times New Roman" w:hAnsi="Times New Roman"/>
        </w:rPr>
        <w:t>(02)2771-3475</w:t>
      </w:r>
    </w:p>
    <w:p w:rsidR="00AA120F" w:rsidRPr="00B03BF3" w:rsidRDefault="00AA120F" w:rsidP="00AE3920">
      <w:pPr>
        <w:spacing w:beforeLines="50"/>
        <w:rPr>
          <w:rFonts w:ascii="Times New Roman" w:hAnsi="Times New Roman"/>
          <w:sz w:val="22"/>
          <w:szCs w:val="22"/>
        </w:rPr>
      </w:pPr>
      <w:r w:rsidRPr="00B03BF3">
        <w:rPr>
          <w:rFonts w:ascii="Times New Roman" w:hAnsi="Times New Roman"/>
          <w:sz w:val="22"/>
          <w:szCs w:val="22"/>
        </w:rPr>
        <w:t>ISBN</w:t>
      </w:r>
      <w:r w:rsidRPr="00B03BF3">
        <w:rPr>
          <w:rFonts w:ascii="Times New Roman" w:hAnsi="Times New Roman"/>
          <w:sz w:val="22"/>
          <w:szCs w:val="22"/>
        </w:rPr>
        <w:t>：</w:t>
      </w:r>
      <w:r w:rsidRPr="00B03BF3">
        <w:rPr>
          <w:rFonts w:ascii="Times New Roman" w:hAnsi="Times New Roman"/>
          <w:sz w:val="22"/>
          <w:szCs w:val="22"/>
        </w:rPr>
        <w:t>978-986-</w:t>
      </w:r>
      <w:r w:rsidR="00AB3361" w:rsidRPr="00B03BF3">
        <w:rPr>
          <w:rFonts w:ascii="Times New Roman" w:hAnsi="Times New Roman"/>
          <w:sz w:val="22"/>
          <w:szCs w:val="22"/>
        </w:rPr>
        <w:t>88045-7-9</w:t>
      </w:r>
      <w:r w:rsidRPr="00B03BF3">
        <w:rPr>
          <w:rFonts w:ascii="Times New Roman" w:hAnsi="Times New Roman"/>
          <w:sz w:val="22"/>
          <w:szCs w:val="22"/>
        </w:rPr>
        <w:t>（平裝）</w:t>
      </w:r>
    </w:p>
    <w:p w:rsidR="00CF0424" w:rsidRPr="00BB660C" w:rsidRDefault="00AA120F" w:rsidP="008E2BBC">
      <w:pPr>
        <w:jc w:val="both"/>
        <w:rPr>
          <w:rFonts w:ascii="Times New Roman" w:hAnsi="Times New Roman"/>
        </w:rPr>
      </w:pPr>
      <w:r w:rsidRPr="00DA3BC7">
        <w:rPr>
          <w:rFonts w:ascii="Times New Roman" w:hAnsi="Times New Roman"/>
          <w:sz w:val="28"/>
          <w:szCs w:val="28"/>
        </w:rPr>
        <w:lastRenderedPageBreak/>
        <w:t>非賣品</w:t>
      </w:r>
      <w:r w:rsidRPr="00DA3BC7">
        <w:rPr>
          <w:rFonts w:ascii="Times New Roman" w:hAnsi="Times New Roman"/>
          <w:sz w:val="28"/>
          <w:szCs w:val="28"/>
        </w:rPr>
        <w:t xml:space="preserve"> </w:t>
      </w:r>
      <w:r w:rsidRPr="00DA3BC7">
        <w:rPr>
          <w:rFonts w:ascii="Times New Roman" w:hAnsi="Times New Roman"/>
          <w:sz w:val="28"/>
          <w:szCs w:val="28"/>
        </w:rPr>
        <w:t>歡迎助印</w:t>
      </w:r>
    </w:p>
    <w:sectPr w:rsidR="00CF0424" w:rsidRPr="00BB660C" w:rsidSect="00EF3DEB">
      <w:headerReference w:type="even" r:id="rId71"/>
      <w:headerReference w:type="default" r:id="rId72"/>
      <w:footerReference w:type="default" r:id="rId73"/>
      <w:footnotePr>
        <w:numRestart w:val="eachSect"/>
      </w:footnotePr>
      <w:pgSz w:w="10773" w:h="14742" w:code="155"/>
      <w:pgMar w:top="1418" w:right="1418" w:bottom="1134" w:left="1418"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40F5" w:rsidRDefault="005340F5" w:rsidP="009B4F64">
      <w:r>
        <w:separator/>
      </w:r>
    </w:p>
  </w:endnote>
  <w:endnote w:type="continuationSeparator" w:id="0">
    <w:p w:rsidR="005340F5" w:rsidRDefault="005340F5" w:rsidP="009B4F6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標楷體">
    <w:panose1 w:val="03000509000000000000"/>
    <w:charset w:val="88"/>
    <w:family w:val="script"/>
    <w:pitch w:val="fixed"/>
    <w:sig w:usb0="00000003" w:usb1="080E0000" w:usb2="00000016" w:usb3="00000000" w:csb0="00100001" w:csb1="00000000"/>
  </w:font>
  <w:font w:name="Times Ext Roman">
    <w:panose1 w:val="02020603050405020304"/>
    <w:charset w:val="00"/>
    <w:family w:val="roman"/>
    <w:pitch w:val="variable"/>
    <w:sig w:usb0="A0000AEF" w:usb1="4000387A" w:usb2="00000020" w:usb3="00000000" w:csb0="000001BF" w:csb1="00000000"/>
  </w:font>
  <w:font w:name="Cambria">
    <w:panose1 w:val="02040503050406030204"/>
    <w:charset w:val="00"/>
    <w:family w:val="roman"/>
    <w:pitch w:val="variable"/>
    <w:sig w:usb0="A00002EF" w:usb1="4000004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 w:name="Roman Unicode">
    <w:altName w:val="微軟正黑體"/>
    <w:panose1 w:val="02000600000000000000"/>
    <w:charset w:val="88"/>
    <w:family w:val="auto"/>
    <w:pitch w:val="variable"/>
    <w:sig w:usb0="F7FFAFFF" w:usb1="FBDFFFFF" w:usb2="FFFFFFFF" w:usb3="00000000" w:csb0="803F01FF" w:csb1="00000000"/>
  </w:font>
  <w:font w:name="全真楷書">
    <w:altName w:val="細明體"/>
    <w:panose1 w:val="00000000000000000000"/>
    <w:charset w:val="88"/>
    <w:family w:val="modern"/>
    <w:notTrueType/>
    <w:pitch w:val="fixed"/>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新細明體-ExtB">
    <w:panose1 w:val="02020500000000000000"/>
    <w:charset w:val="88"/>
    <w:family w:val="roman"/>
    <w:pitch w:val="variable"/>
    <w:sig w:usb0="8000002F" w:usb1="0A080008" w:usb2="00000010" w:usb3="00000000" w:csb0="00100001" w:csb1="00000000"/>
  </w:font>
  <w:font w:name="hzk1 ys">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華康新特明體">
    <w:altName w:val="Arial Unicode MS"/>
    <w:charset w:val="88"/>
    <w:family w:val="modern"/>
    <w:pitch w:val="fixed"/>
    <w:sig w:usb0="00000000" w:usb1="28091800" w:usb2="00000016"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E43C20" w:rsidRDefault="00157EF6" w:rsidP="00E43C20">
    <w:pPr>
      <w:pStyle w:val="a9"/>
      <w:jc w:val="center"/>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AF0EEA" w:rsidRDefault="00157EF6" w:rsidP="00AF0EEA">
    <w:pPr>
      <w:pStyle w:val="a9"/>
      <w:jc w:val="center"/>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7C640C" w:rsidRDefault="00157EF6" w:rsidP="008C130F">
    <w:pPr>
      <w:pStyle w:val="a9"/>
      <w:jc w:val="center"/>
      <w:rPr>
        <w:rFonts w:ascii="Times New Roman" w:hAnsi="Times New Roman"/>
      </w:rPr>
    </w:pPr>
    <w:r w:rsidRPr="00761EF3">
      <w:rPr>
        <w:rFonts w:ascii="Times New Roman" w:hAnsi="Times New Roman"/>
      </w:rPr>
      <w:t>13</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A53EE9" w:rsidRDefault="00157EF6" w:rsidP="001B64AB">
    <w:pPr>
      <w:pStyle w:val="a9"/>
      <w:jc w:val="both"/>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5E085F" w:rsidRDefault="00157EF6" w:rsidP="00C20628">
    <w:pPr>
      <w:pStyle w:val="a9"/>
      <w:jc w:val="center"/>
      <w:rPr>
        <w:rFonts w:ascii="Times New Roman" w:hAnsi="Times New Roman"/>
      </w:rPr>
    </w:pPr>
    <w:r w:rsidRPr="00761EF3">
      <w:rPr>
        <w:rFonts w:ascii="Times New Roman" w:hAnsi="Times New Roman"/>
      </w:rPr>
      <w:t>58</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C20628" w:rsidRDefault="00AE3920" w:rsidP="00C20628">
    <w:pPr>
      <w:pStyle w:val="a9"/>
      <w:jc w:val="center"/>
      <w:rPr>
        <w:rFonts w:ascii="Times New Roman" w:hAnsi="Times New Roman"/>
      </w:rPr>
    </w:pPr>
    <w:r w:rsidRPr="00C20628">
      <w:rPr>
        <w:rFonts w:ascii="Times New Roman" w:hAnsi="Times New Roman"/>
      </w:rPr>
      <w:fldChar w:fldCharType="begin"/>
    </w:r>
    <w:r w:rsidR="00157EF6" w:rsidRPr="00C20628">
      <w:rPr>
        <w:rFonts w:ascii="Times New Roman" w:hAnsi="Times New Roman"/>
      </w:rPr>
      <w:instrText xml:space="preserve"> PAGE   \* MERGEFORMAT </w:instrText>
    </w:r>
    <w:r w:rsidRPr="00C20628">
      <w:rPr>
        <w:rFonts w:ascii="Times New Roman" w:hAnsi="Times New Roman"/>
      </w:rPr>
      <w:fldChar w:fldCharType="separate"/>
    </w:r>
    <w:r w:rsidR="00157EF6" w:rsidRPr="00761EF3">
      <w:rPr>
        <w:rFonts w:ascii="Times New Roman" w:hAnsi="Times New Roman"/>
        <w:noProof/>
      </w:rPr>
      <w:t>83</w:t>
    </w:r>
    <w:r w:rsidRPr="00C20628">
      <w:rPr>
        <w:rFonts w:ascii="Times New Roman" w:hAnsi="Times New Roman"/>
        <w:noProof/>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A53EE9" w:rsidRDefault="00157EF6" w:rsidP="001B64AB">
    <w:pPr>
      <w:pStyle w:val="a9"/>
      <w:jc w:val="both"/>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A53EE9" w:rsidRDefault="00157EF6" w:rsidP="001B64AB">
    <w:pPr>
      <w:pStyle w:val="a9"/>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40F5" w:rsidRDefault="005340F5" w:rsidP="009B4F64">
      <w:r>
        <w:separator/>
      </w:r>
    </w:p>
  </w:footnote>
  <w:footnote w:type="continuationSeparator" w:id="0">
    <w:p w:rsidR="005340F5" w:rsidRDefault="005340F5" w:rsidP="009B4F64">
      <w:r>
        <w:continuationSeparator/>
      </w:r>
    </w:p>
  </w:footnote>
  <w:footnote w:id="1">
    <w:p w:rsidR="00157EF6" w:rsidRPr="00212D57" w:rsidRDefault="00157EF6" w:rsidP="009E0A5A">
      <w:pPr>
        <w:pStyle w:val="a5"/>
        <w:spacing w:line="0" w:lineRule="atLeast"/>
        <w:ind w:left="704" w:hangingChars="320" w:hanging="704"/>
        <w:jc w:val="both"/>
        <w:rPr>
          <w:rFonts w:cs="Times Ext Roman"/>
          <w:szCs w:val="22"/>
        </w:rPr>
      </w:pPr>
      <w:r w:rsidRPr="00212D57">
        <w:rPr>
          <w:rStyle w:val="a6"/>
          <w:szCs w:val="22"/>
        </w:rPr>
        <w:footnoteRef/>
      </w:r>
      <w:r w:rsidRPr="00212D57">
        <w:rPr>
          <w:rFonts w:cs="Times Ext Roman" w:hint="eastAsia"/>
          <w:szCs w:val="22"/>
        </w:rPr>
        <w:t xml:space="preserve"> </w:t>
      </w:r>
      <w:r w:rsidRPr="00212D57">
        <w:rPr>
          <w:rFonts w:cs="Times Ext Roman" w:hint="eastAsia"/>
          <w:szCs w:val="22"/>
        </w:rPr>
        <w:t>（</w:t>
      </w:r>
      <w:r w:rsidRPr="00761EF3">
        <w:rPr>
          <w:szCs w:val="22"/>
        </w:rPr>
        <w:t>1</w:t>
      </w:r>
      <w:r w:rsidRPr="00212D57">
        <w:rPr>
          <w:rFonts w:cs="Times Ext Roman" w:hint="eastAsia"/>
          <w:szCs w:val="22"/>
        </w:rPr>
        <w:t>）</w:t>
      </w:r>
      <w:r w:rsidRPr="00212D57">
        <w:rPr>
          <w:szCs w:val="22"/>
        </w:rPr>
        <w:t>印順法師</w:t>
      </w:r>
      <w:r w:rsidRPr="00212D57">
        <w:rPr>
          <w:rFonts w:cs="Times Ext Roman"/>
          <w:szCs w:val="22"/>
        </w:rPr>
        <w:t>，《中觀論頌講記》</w:t>
      </w:r>
      <w:r w:rsidRPr="00212D57">
        <w:rPr>
          <w:rFonts w:cs="Times Ext Roman" w:hint="eastAsia"/>
          <w:szCs w:val="22"/>
        </w:rPr>
        <w:t>，</w:t>
      </w:r>
      <w:r w:rsidRPr="00761EF3">
        <w:rPr>
          <w:szCs w:val="22"/>
        </w:rPr>
        <w:t>p</w:t>
      </w:r>
      <w:r w:rsidRPr="00212D57">
        <w:rPr>
          <w:szCs w:val="22"/>
        </w:rPr>
        <w:t>.</w:t>
      </w:r>
      <w:r w:rsidRPr="00761EF3">
        <w:rPr>
          <w:szCs w:val="22"/>
        </w:rPr>
        <w:t>6</w:t>
      </w:r>
      <w:r w:rsidRPr="00212D57">
        <w:rPr>
          <w:rFonts w:cs="Times Ext Roman"/>
          <w:szCs w:val="22"/>
        </w:rPr>
        <w:t>：</w:t>
      </w:r>
    </w:p>
    <w:p w:rsidR="00157EF6" w:rsidRPr="00212D57" w:rsidRDefault="00157EF6" w:rsidP="00B23570">
      <w:pPr>
        <w:pStyle w:val="a5"/>
        <w:spacing w:line="0" w:lineRule="atLeast"/>
        <w:ind w:leftChars="300" w:left="720"/>
        <w:jc w:val="both"/>
        <w:rPr>
          <w:rFonts w:cs="Times Ext Roman"/>
          <w:szCs w:val="22"/>
        </w:rPr>
      </w:pPr>
      <w:r w:rsidRPr="00212D57">
        <w:rPr>
          <w:rFonts w:ascii="標楷體" w:eastAsia="標楷體" w:hAnsi="標楷體" w:cs="Times Ext Roman"/>
          <w:szCs w:val="22"/>
        </w:rPr>
        <w:t>「中」是正確真實，離顛倒戲論而不落空有的二邊。觀體是智慧，觀用是觀察、體悟。以智慧去觀察一切諸法的真實，不觀有無顛倒的「知諸法實相慧」，名為「中觀」。</w:t>
      </w:r>
    </w:p>
    <w:p w:rsidR="001805D2" w:rsidRDefault="00157EF6" w:rsidP="00AF06F1">
      <w:pPr>
        <w:pStyle w:val="a5"/>
        <w:ind w:leftChars="80" w:left="731" w:hangingChars="245" w:hanging="539"/>
        <w:jc w:val="both"/>
        <w:rPr>
          <w:rFonts w:cs="Times Ext Roman"/>
          <w:spacing w:val="10"/>
          <w:szCs w:val="22"/>
        </w:rPr>
      </w:pPr>
      <w:r w:rsidRPr="00212D57">
        <w:rPr>
          <w:rFonts w:cs="Times Ext Roman" w:hint="eastAsia"/>
          <w:szCs w:val="22"/>
        </w:rPr>
        <w:t>（</w:t>
      </w:r>
      <w:r w:rsidRPr="00761EF3">
        <w:rPr>
          <w:szCs w:val="22"/>
        </w:rPr>
        <w:t>2</w:t>
      </w:r>
      <w:r w:rsidRPr="00212D57">
        <w:rPr>
          <w:rFonts w:cs="Times Ext Roman" w:hint="eastAsia"/>
          <w:szCs w:val="22"/>
        </w:rPr>
        <w:t>）</w:t>
      </w:r>
      <w:r w:rsidRPr="00212D57">
        <w:rPr>
          <w:rFonts w:cs="Times Ext Roman"/>
          <w:spacing w:val="10"/>
          <w:szCs w:val="22"/>
        </w:rPr>
        <w:t>萬金川，《中觀思想講錄》</w:t>
      </w:r>
      <w:r w:rsidRPr="00212D57">
        <w:rPr>
          <w:rFonts w:cs="Times Ext Roman" w:hint="eastAsia"/>
          <w:spacing w:val="10"/>
          <w:szCs w:val="22"/>
        </w:rPr>
        <w:t>，</w:t>
      </w:r>
      <w:r w:rsidRPr="00761EF3">
        <w:rPr>
          <w:spacing w:val="10"/>
          <w:szCs w:val="22"/>
        </w:rPr>
        <w:t>p</w:t>
      </w:r>
      <w:r w:rsidRPr="00212D57">
        <w:rPr>
          <w:spacing w:val="10"/>
          <w:szCs w:val="22"/>
        </w:rPr>
        <w:t>.</w:t>
      </w:r>
      <w:r w:rsidRPr="00761EF3">
        <w:rPr>
          <w:spacing w:val="10"/>
          <w:szCs w:val="22"/>
        </w:rPr>
        <w:t>28</w:t>
      </w:r>
      <w:r w:rsidRPr="00212D57">
        <w:rPr>
          <w:rFonts w:cs="Times Ext Roman"/>
          <w:spacing w:val="10"/>
          <w:szCs w:val="22"/>
        </w:rPr>
        <w:t>：</w:t>
      </w:r>
    </w:p>
    <w:p w:rsidR="00157EF6" w:rsidRDefault="00157EF6" w:rsidP="001805D2">
      <w:pPr>
        <w:pStyle w:val="a5"/>
        <w:spacing w:line="0" w:lineRule="atLeast"/>
        <w:ind w:leftChars="300" w:left="720"/>
        <w:jc w:val="both"/>
        <w:rPr>
          <w:rFonts w:eastAsia="標楷體" w:cs="Times Ext Roman"/>
          <w:szCs w:val="22"/>
        </w:rPr>
      </w:pPr>
      <w:r w:rsidRPr="00212D57">
        <w:rPr>
          <w:rFonts w:eastAsia="標楷體" w:cs="Times Ext Roman"/>
          <w:spacing w:val="10"/>
          <w:szCs w:val="22"/>
        </w:rPr>
        <w:t>不論是</w:t>
      </w:r>
      <w:r w:rsidRPr="00761EF3">
        <w:rPr>
          <w:rFonts w:eastAsia="標楷體"/>
          <w:spacing w:val="10"/>
          <w:szCs w:val="22"/>
        </w:rPr>
        <w:t>Mādhyamika</w:t>
      </w:r>
      <w:r w:rsidRPr="00212D57">
        <w:rPr>
          <w:rFonts w:eastAsia="標楷體" w:cs="Times Ext Roman"/>
          <w:spacing w:val="10"/>
          <w:szCs w:val="22"/>
        </w:rPr>
        <w:t>（中觀學派）</w:t>
      </w:r>
      <w:r w:rsidRPr="00212D57">
        <w:rPr>
          <w:rFonts w:eastAsia="標楷體" w:cs="Times Ext Roman"/>
          <w:szCs w:val="22"/>
        </w:rPr>
        <w:t>或</w:t>
      </w:r>
      <w:r w:rsidRPr="00761EF3">
        <w:rPr>
          <w:rFonts w:eastAsia="標楷體"/>
          <w:szCs w:val="22"/>
        </w:rPr>
        <w:t>Madhyamaka</w:t>
      </w:r>
      <w:r w:rsidRPr="00212D57">
        <w:rPr>
          <w:rFonts w:eastAsia="標楷體" w:cs="Times Ext Roman"/>
          <w:szCs w:val="22"/>
        </w:rPr>
        <w:t>（中觀），就其字面來說，並沒有「觀」的意思在內。因為這兩個語詞都是由表示「中」之義的形容詞</w:t>
      </w:r>
      <w:r w:rsidRPr="001805D2">
        <w:rPr>
          <w:rFonts w:ascii="標楷體" w:eastAsia="標楷體" w:hAnsi="標楷體" w:cs="Times Ext Roman"/>
          <w:szCs w:val="22"/>
        </w:rPr>
        <w:t>madhya</w:t>
      </w:r>
      <w:r w:rsidRPr="00212D57">
        <w:rPr>
          <w:rFonts w:eastAsia="標楷體" w:cs="Times Ext Roman"/>
          <w:szCs w:val="22"/>
        </w:rPr>
        <w:t>，加上</w:t>
      </w:r>
      <w:r w:rsidRPr="00761EF3">
        <w:rPr>
          <w:rFonts w:eastAsia="標楷體"/>
          <w:szCs w:val="22"/>
        </w:rPr>
        <w:t>ma</w:t>
      </w:r>
      <w:r w:rsidRPr="00212D57">
        <w:rPr>
          <w:rFonts w:eastAsia="標楷體" w:cs="Times Ext Roman"/>
          <w:szCs w:val="22"/>
        </w:rPr>
        <w:t>（形容詞的最高級）這個詞綴</w:t>
      </w:r>
      <w:r w:rsidR="00442EEA" w:rsidRPr="00442EEA">
        <w:rPr>
          <w:rFonts w:eastAsia="標楷體" w:cs="Times Ext Roman" w:hint="eastAsia"/>
          <w:color w:val="FF0000"/>
          <w:szCs w:val="22"/>
          <w:shd w:val="pct15" w:color="auto" w:fill="FFFFFF"/>
        </w:rPr>
        <w:t>*</w:t>
      </w:r>
      <w:r w:rsidR="00442EEA">
        <w:rPr>
          <w:rFonts w:eastAsia="標楷體" w:cs="Times Ext Roman" w:hint="eastAsia"/>
          <w:color w:val="FF0000"/>
          <w:szCs w:val="22"/>
          <w:shd w:val="pct15" w:color="auto" w:fill="FFFFFF"/>
          <w:vertAlign w:val="superscript"/>
        </w:rPr>
        <w:t>1</w:t>
      </w:r>
      <w:r w:rsidRPr="00212D57">
        <w:rPr>
          <w:rFonts w:eastAsia="標楷體" w:cs="Times Ext Roman"/>
          <w:szCs w:val="22"/>
        </w:rPr>
        <w:t>而成。因此，在字面上最直接的翻譯，當是</w:t>
      </w:r>
      <w:r w:rsidRPr="00761EF3">
        <w:rPr>
          <w:rFonts w:eastAsia="標楷體"/>
          <w:szCs w:val="22"/>
        </w:rPr>
        <w:t>the</w:t>
      </w:r>
      <w:r w:rsidRPr="00212D57">
        <w:rPr>
          <w:rFonts w:eastAsia="標楷體"/>
          <w:szCs w:val="22"/>
        </w:rPr>
        <w:t xml:space="preserve"> </w:t>
      </w:r>
      <w:r w:rsidRPr="00761EF3">
        <w:rPr>
          <w:rFonts w:eastAsia="標楷體"/>
          <w:szCs w:val="22"/>
        </w:rPr>
        <w:t>most</w:t>
      </w:r>
      <w:r w:rsidRPr="00212D57">
        <w:rPr>
          <w:rFonts w:eastAsia="標楷體"/>
          <w:szCs w:val="22"/>
        </w:rPr>
        <w:t xml:space="preserve"> </w:t>
      </w:r>
      <w:r w:rsidRPr="00761EF3">
        <w:rPr>
          <w:rFonts w:eastAsia="標楷體"/>
          <w:szCs w:val="22"/>
        </w:rPr>
        <w:t>middle</w:t>
      </w:r>
      <w:r w:rsidRPr="00212D57">
        <w:rPr>
          <w:rFonts w:eastAsia="標楷體" w:cs="Times Ext Roman"/>
          <w:szCs w:val="22"/>
        </w:rPr>
        <w:t>（最中的或至中）。</w:t>
      </w:r>
      <w:r w:rsidRPr="00B05767">
        <w:rPr>
          <w:rFonts w:ascii="標楷體" w:eastAsia="標楷體" w:hAnsi="標楷體" w:cs="Times Ext Roman"/>
          <w:szCs w:val="22"/>
          <w:shd w:val="pct15" w:color="auto" w:fill="FFFFFF"/>
        </w:rPr>
        <w:t>……</w:t>
      </w:r>
      <w:r w:rsidRPr="00212D57">
        <w:rPr>
          <w:rFonts w:eastAsia="標楷體" w:cs="Times Ext Roman"/>
          <w:szCs w:val="22"/>
        </w:rPr>
        <w:t>事實上，言「中」，必然涉及「觀」，也就是說：在我們洞察</w:t>
      </w:r>
      <w:r w:rsidR="00442EEA" w:rsidRPr="00442EEA">
        <w:rPr>
          <w:rFonts w:eastAsia="標楷體" w:cs="Times Ext Roman" w:hint="eastAsia"/>
          <w:color w:val="FF0000"/>
          <w:szCs w:val="22"/>
          <w:shd w:val="pct15" w:color="auto" w:fill="FFFFFF"/>
        </w:rPr>
        <w:t>*</w:t>
      </w:r>
      <w:r w:rsidR="00442EEA" w:rsidRPr="00442EEA">
        <w:rPr>
          <w:rFonts w:eastAsia="標楷體" w:cs="Times Ext Roman" w:hint="eastAsia"/>
          <w:color w:val="FF0000"/>
          <w:szCs w:val="22"/>
          <w:shd w:val="pct15" w:color="auto" w:fill="FFFFFF"/>
          <w:vertAlign w:val="superscript"/>
        </w:rPr>
        <w:t>2</w:t>
      </w:r>
      <w:r w:rsidRPr="00212D57">
        <w:rPr>
          <w:rFonts w:eastAsia="標楷體" w:cs="Times Ext Roman"/>
          <w:szCs w:val="22"/>
        </w:rPr>
        <w:t>全體之際，「中」方有其成立之可能。</w:t>
      </w:r>
    </w:p>
    <w:p w:rsidR="00442EEA" w:rsidRDefault="00442EEA" w:rsidP="00442EEA">
      <w:pPr>
        <w:pStyle w:val="a5"/>
        <w:ind w:leftChars="300" w:left="1600" w:hangingChars="400" w:hanging="880"/>
        <w:jc w:val="both"/>
        <w:rPr>
          <w:rFonts w:cs="Times Ext Roman"/>
          <w:color w:val="FF0000"/>
          <w:szCs w:val="22"/>
          <w:highlight w:val="yellow"/>
        </w:rPr>
      </w:pPr>
      <w:r w:rsidRPr="00442EEA">
        <w:rPr>
          <w:rFonts w:eastAsia="標楷體" w:cs="Times Ext Roman" w:hint="eastAsia"/>
          <w:color w:val="FF0000"/>
          <w:szCs w:val="22"/>
          <w:shd w:val="pct15" w:color="auto" w:fill="FFFFFF"/>
        </w:rPr>
        <w:t>*</w:t>
      </w:r>
      <w:r>
        <w:rPr>
          <w:rFonts w:eastAsia="標楷體" w:cs="Times Ext Roman" w:hint="eastAsia"/>
          <w:color w:val="FF0000"/>
          <w:szCs w:val="22"/>
          <w:shd w:val="pct15" w:color="auto" w:fill="FFFFFF"/>
        </w:rPr>
        <w:t>1</w:t>
      </w:r>
      <w:r w:rsidRPr="00442EEA">
        <w:rPr>
          <w:rFonts w:ascii="新細明體" w:hAnsi="新細明體" w:cs="Times Ext Roman" w:hint="eastAsia"/>
          <w:color w:val="FF0000"/>
          <w:szCs w:val="22"/>
          <w:highlight w:val="yellow"/>
        </w:rPr>
        <w:t>詞綴：附加在詞根上的構詞成分。常見的有前綴、后綴兩種。如「老鼠」、「老虎」裡的「老」，「作家」、「科學家」裡的「家」</w:t>
      </w:r>
      <w:r w:rsidRPr="00442EEA">
        <w:rPr>
          <w:rFonts w:ascii="新細明體" w:hAnsi="新細明體" w:cs="Times Ext Roman"/>
          <w:color w:val="FF0000"/>
          <w:szCs w:val="22"/>
          <w:highlight w:val="yellow"/>
        </w:rPr>
        <w:t>。</w:t>
      </w:r>
    </w:p>
    <w:p w:rsidR="00442EEA" w:rsidRDefault="00442EEA" w:rsidP="00442EEA">
      <w:pPr>
        <w:pStyle w:val="a5"/>
        <w:ind w:leftChars="300" w:left="1490" w:hangingChars="350" w:hanging="770"/>
        <w:jc w:val="right"/>
        <w:rPr>
          <w:rFonts w:cs="Times Ext Roman"/>
          <w:color w:val="FF0000"/>
          <w:szCs w:val="22"/>
        </w:rPr>
      </w:pPr>
      <w:r w:rsidRPr="00442EEA">
        <w:rPr>
          <w:rFonts w:cs="Times Ext Roman"/>
          <w:color w:val="FF0000"/>
          <w:szCs w:val="22"/>
          <w:highlight w:val="yellow"/>
        </w:rPr>
        <w:t>（《漢語大詞典》（</w:t>
      </w:r>
      <w:r w:rsidRPr="00442EEA">
        <w:rPr>
          <w:rFonts w:cs="Times Ext Roman" w:hint="eastAsia"/>
          <w:color w:val="FF0000"/>
          <w:szCs w:val="22"/>
          <w:highlight w:val="yellow"/>
        </w:rPr>
        <w:t>十一</w:t>
      </w:r>
      <w:r w:rsidRPr="00442EEA">
        <w:rPr>
          <w:rFonts w:cs="Times Ext Roman"/>
          <w:color w:val="FF0000"/>
          <w:szCs w:val="22"/>
          <w:highlight w:val="yellow"/>
        </w:rPr>
        <w:t>），</w:t>
      </w:r>
      <w:r w:rsidRPr="00442EEA">
        <w:rPr>
          <w:color w:val="FF0000"/>
          <w:szCs w:val="22"/>
          <w:highlight w:val="yellow"/>
        </w:rPr>
        <w:t>p.</w:t>
      </w:r>
      <w:r w:rsidRPr="00442EEA">
        <w:rPr>
          <w:rFonts w:hint="eastAsia"/>
          <w:color w:val="FF0000"/>
          <w:szCs w:val="22"/>
          <w:highlight w:val="yellow"/>
        </w:rPr>
        <w:t>125</w:t>
      </w:r>
      <w:r w:rsidRPr="00442EEA">
        <w:rPr>
          <w:rFonts w:cs="Times Ext Roman"/>
          <w:color w:val="FF0000"/>
          <w:szCs w:val="22"/>
          <w:highlight w:val="yellow"/>
        </w:rPr>
        <w:t>）</w:t>
      </w:r>
    </w:p>
    <w:p w:rsidR="00442EEA" w:rsidRPr="00442EEA" w:rsidRDefault="00442EEA" w:rsidP="00442EEA">
      <w:pPr>
        <w:pStyle w:val="a5"/>
        <w:ind w:leftChars="300" w:left="1600" w:hangingChars="400" w:hanging="880"/>
        <w:jc w:val="both"/>
        <w:rPr>
          <w:rFonts w:ascii="新細明體" w:hAnsi="新細明體" w:cs="Times Ext Roman"/>
          <w:color w:val="FF0000"/>
          <w:szCs w:val="22"/>
          <w:shd w:val="pct15" w:color="auto" w:fill="FFFFFF"/>
        </w:rPr>
      </w:pPr>
      <w:r w:rsidRPr="00442EEA">
        <w:rPr>
          <w:rFonts w:eastAsia="標楷體" w:cs="Times Ext Roman" w:hint="eastAsia"/>
          <w:color w:val="FF0000"/>
          <w:szCs w:val="22"/>
          <w:shd w:val="pct15" w:color="auto" w:fill="FFFFFF"/>
        </w:rPr>
        <w:t>*</w:t>
      </w:r>
      <w:r>
        <w:rPr>
          <w:rFonts w:eastAsia="標楷體" w:cs="Times Ext Roman" w:hint="eastAsia"/>
          <w:color w:val="FF0000"/>
          <w:szCs w:val="22"/>
          <w:shd w:val="pct15" w:color="auto" w:fill="FFFFFF"/>
        </w:rPr>
        <w:t>2</w:t>
      </w:r>
      <w:r w:rsidRPr="00A258B1">
        <w:rPr>
          <w:rFonts w:ascii="新細明體" w:hAnsi="新細明體" w:cs="Times Ext Roman" w:hint="eastAsia"/>
          <w:color w:val="FF0000"/>
          <w:szCs w:val="22"/>
          <w:highlight w:val="yellow"/>
        </w:rPr>
        <w:t>洞察：深入、清楚地察知。</w:t>
      </w:r>
      <w:r w:rsidRPr="00442EEA">
        <w:rPr>
          <w:rFonts w:cs="Times Ext Roman"/>
          <w:color w:val="FF0000"/>
          <w:szCs w:val="22"/>
          <w:highlight w:val="yellow"/>
        </w:rPr>
        <w:t>（《漢語大詞典》（</w:t>
      </w:r>
      <w:r>
        <w:rPr>
          <w:rFonts w:cs="Times Ext Roman" w:hint="eastAsia"/>
          <w:color w:val="FF0000"/>
          <w:szCs w:val="22"/>
          <w:highlight w:val="yellow"/>
        </w:rPr>
        <w:t>五</w:t>
      </w:r>
      <w:r w:rsidRPr="00442EEA">
        <w:rPr>
          <w:rFonts w:cs="Times Ext Roman"/>
          <w:color w:val="FF0000"/>
          <w:szCs w:val="22"/>
          <w:highlight w:val="yellow"/>
        </w:rPr>
        <w:t>），</w:t>
      </w:r>
      <w:r w:rsidRPr="00442EEA">
        <w:rPr>
          <w:color w:val="FF0000"/>
          <w:szCs w:val="22"/>
          <w:highlight w:val="yellow"/>
        </w:rPr>
        <w:t>p.</w:t>
      </w:r>
      <w:r w:rsidRPr="00442EEA">
        <w:rPr>
          <w:rFonts w:hint="eastAsia"/>
          <w:color w:val="FF0000"/>
          <w:szCs w:val="22"/>
          <w:highlight w:val="yellow"/>
        </w:rPr>
        <w:t>1</w:t>
      </w:r>
      <w:r>
        <w:rPr>
          <w:rFonts w:hint="eastAsia"/>
          <w:color w:val="FF0000"/>
          <w:szCs w:val="22"/>
          <w:highlight w:val="yellow"/>
        </w:rPr>
        <w:t>148</w:t>
      </w:r>
      <w:r w:rsidRPr="00442EEA">
        <w:rPr>
          <w:rFonts w:cs="Times Ext Roman"/>
          <w:color w:val="FF0000"/>
          <w:szCs w:val="22"/>
          <w:highlight w:val="yellow"/>
        </w:rPr>
        <w:t>）</w:t>
      </w:r>
    </w:p>
  </w:footnote>
  <w:footnote w:id="2">
    <w:p w:rsidR="00EF5E89" w:rsidRPr="00212D57" w:rsidRDefault="00EF5E89" w:rsidP="00EF5E89">
      <w:pPr>
        <w:pStyle w:val="a5"/>
        <w:ind w:left="187" w:hangingChars="85" w:hanging="187"/>
        <w:jc w:val="both"/>
        <w:rPr>
          <w:rFonts w:cs="Times Ext Roman"/>
          <w:szCs w:val="22"/>
        </w:rPr>
      </w:pPr>
      <w:r w:rsidRPr="00212D57">
        <w:rPr>
          <w:rStyle w:val="a6"/>
          <w:szCs w:val="22"/>
        </w:rPr>
        <w:footnoteRef/>
      </w:r>
      <w:r w:rsidRPr="00212D57">
        <w:rPr>
          <w:szCs w:val="22"/>
        </w:rPr>
        <w:t xml:space="preserve"> </w:t>
      </w:r>
      <w:r w:rsidRPr="00212D57">
        <w:rPr>
          <w:rFonts w:hint="eastAsia"/>
          <w:szCs w:val="22"/>
        </w:rPr>
        <w:t>參見</w:t>
      </w:r>
      <w:r w:rsidR="009160B5">
        <w:rPr>
          <w:rFonts w:hint="eastAsia"/>
          <w:szCs w:val="22"/>
        </w:rPr>
        <w:t>：</w:t>
      </w:r>
      <w:r w:rsidRPr="00212D57">
        <w:rPr>
          <w:rFonts w:cs="Times Ext Roman"/>
          <w:szCs w:val="22"/>
        </w:rPr>
        <w:t>《海潮音》第</w:t>
      </w:r>
      <w:r w:rsidRPr="00761EF3">
        <w:rPr>
          <w:szCs w:val="22"/>
        </w:rPr>
        <w:t>24</w:t>
      </w:r>
      <w:r w:rsidRPr="00212D57">
        <w:rPr>
          <w:rFonts w:cs="Times Ext Roman"/>
          <w:szCs w:val="22"/>
        </w:rPr>
        <w:t>卷，第</w:t>
      </w:r>
      <w:r w:rsidRPr="00761EF3">
        <w:rPr>
          <w:szCs w:val="22"/>
        </w:rPr>
        <w:t>3</w:t>
      </w:r>
      <w:r w:rsidRPr="00212D57">
        <w:rPr>
          <w:rFonts w:cs="Times Ext Roman"/>
          <w:szCs w:val="22"/>
        </w:rPr>
        <w:t>期，民國</w:t>
      </w:r>
      <w:r w:rsidRPr="00761EF3">
        <w:rPr>
          <w:szCs w:val="22"/>
        </w:rPr>
        <w:t>32</w:t>
      </w:r>
      <w:r w:rsidRPr="00212D57">
        <w:rPr>
          <w:rFonts w:cs="Times Ext Roman"/>
          <w:szCs w:val="22"/>
        </w:rPr>
        <w:t>年，</w:t>
      </w:r>
      <w:r w:rsidRPr="00761EF3">
        <w:rPr>
          <w:szCs w:val="22"/>
        </w:rPr>
        <w:t>pp</w:t>
      </w:r>
      <w:r w:rsidRPr="00212D57">
        <w:rPr>
          <w:szCs w:val="22"/>
        </w:rPr>
        <w:t>.</w:t>
      </w:r>
      <w:r w:rsidRPr="00761EF3">
        <w:rPr>
          <w:szCs w:val="22"/>
        </w:rPr>
        <w:t>220</w:t>
      </w:r>
      <w:r w:rsidRPr="00212D57">
        <w:rPr>
          <w:szCs w:val="22"/>
        </w:rPr>
        <w:t>-</w:t>
      </w:r>
      <w:r w:rsidRPr="00761EF3">
        <w:rPr>
          <w:szCs w:val="22"/>
        </w:rPr>
        <w:t>221</w:t>
      </w:r>
      <w:r w:rsidRPr="00212D57">
        <w:rPr>
          <w:rFonts w:cs="Times Ext Roman"/>
          <w:szCs w:val="22"/>
        </w:rPr>
        <w:t>。</w:t>
      </w:r>
    </w:p>
  </w:footnote>
  <w:footnote w:id="3">
    <w:p w:rsidR="00157EF6" w:rsidRPr="00212D57" w:rsidRDefault="00157EF6" w:rsidP="00CB198A">
      <w:pPr>
        <w:pStyle w:val="a5"/>
        <w:ind w:left="187" w:hangingChars="85" w:hanging="187"/>
        <w:jc w:val="both"/>
        <w:rPr>
          <w:szCs w:val="22"/>
        </w:rPr>
      </w:pPr>
      <w:r w:rsidRPr="00212D57">
        <w:rPr>
          <w:rStyle w:val="a6"/>
          <w:szCs w:val="22"/>
        </w:rPr>
        <w:footnoteRef/>
      </w:r>
      <w:r w:rsidRPr="00212D57">
        <w:rPr>
          <w:szCs w:val="22"/>
        </w:rPr>
        <w:t xml:space="preserve"> </w:t>
      </w:r>
      <w:r w:rsidRPr="00212D57">
        <w:rPr>
          <w:szCs w:val="22"/>
        </w:rPr>
        <w:t>參見</w:t>
      </w:r>
      <w:r w:rsidR="00B05767">
        <w:rPr>
          <w:rFonts w:hint="eastAsia"/>
          <w:szCs w:val="22"/>
        </w:rPr>
        <w:t>：</w:t>
      </w:r>
      <w:r w:rsidRPr="00212D57">
        <w:rPr>
          <w:rFonts w:hint="eastAsia"/>
          <w:szCs w:val="22"/>
        </w:rPr>
        <w:t>印順法師，</w:t>
      </w:r>
      <w:r w:rsidRPr="00212D57">
        <w:rPr>
          <w:szCs w:val="22"/>
        </w:rPr>
        <w:t>《華雨集》（第五冊），</w:t>
      </w:r>
      <w:r w:rsidRPr="00761EF3">
        <w:rPr>
          <w:szCs w:val="22"/>
        </w:rPr>
        <w:t>pp</w:t>
      </w:r>
      <w:r w:rsidRPr="00212D57">
        <w:rPr>
          <w:szCs w:val="22"/>
        </w:rPr>
        <w:t>.</w:t>
      </w:r>
      <w:r w:rsidRPr="00761EF3">
        <w:rPr>
          <w:szCs w:val="22"/>
        </w:rPr>
        <w:t>4</w:t>
      </w:r>
      <w:r w:rsidRPr="00212D57">
        <w:rPr>
          <w:szCs w:val="22"/>
        </w:rPr>
        <w:t>-</w:t>
      </w:r>
      <w:r w:rsidRPr="00761EF3">
        <w:rPr>
          <w:szCs w:val="22"/>
        </w:rPr>
        <w:t>5</w:t>
      </w:r>
      <w:r w:rsidRPr="00212D57">
        <w:rPr>
          <w:szCs w:val="22"/>
        </w:rPr>
        <w:t>：</w:t>
      </w:r>
    </w:p>
    <w:p w:rsidR="00157EF6" w:rsidRDefault="00157EF6" w:rsidP="00B23570">
      <w:pPr>
        <w:pStyle w:val="a5"/>
        <w:ind w:leftChars="75" w:left="180"/>
        <w:jc w:val="both"/>
        <w:rPr>
          <w:rFonts w:ascii="標楷體" w:eastAsia="標楷體" w:hAnsi="標楷體"/>
          <w:szCs w:val="22"/>
        </w:rPr>
      </w:pPr>
      <w:r w:rsidRPr="00212D57">
        <w:rPr>
          <w:rFonts w:ascii="標楷體" w:eastAsia="標楷體" w:hAnsi="標楷體" w:hint="eastAsia"/>
          <w:szCs w:val="22"/>
        </w:rPr>
        <w:t>十四年（二十歲），我讀到馮夢楨的《莊子‧序》：「然則莊文、郭注，其佛法之先驅耶」，而引起了探究佛法的動機。出家前的我，生活圈子極小，不知佛法到底是什麼。探求佛法，只能到附近幾處小廟中去求，得到了《金剛經石（成金）注》，《龍舒淨土文》，《人天眼目》殘本等。前二部，讀了有點了解，卻覺得意義並不相同。讀了《人天眼目》，只知禪宗有五家宗派</w:t>
      </w:r>
      <w:r w:rsidR="00A258B1" w:rsidRPr="00E27855">
        <w:rPr>
          <w:rFonts w:eastAsia="標楷體" w:hint="eastAsia"/>
          <w:color w:val="FF0000"/>
          <w:szCs w:val="22"/>
          <w:shd w:val="pct15" w:color="auto" w:fill="FFFFFF"/>
        </w:rPr>
        <w:t>*</w:t>
      </w:r>
      <w:r w:rsidRPr="00212D57">
        <w:rPr>
          <w:rFonts w:ascii="標楷體" w:eastAsia="標楷體" w:hAnsi="標楷體" w:hint="eastAsia"/>
          <w:szCs w:val="22"/>
        </w:rPr>
        <w:t>而已。無意中，在商務印書館的目錄中，發現有佛書，於是購到了《成唯識論學記》，《相宗綱要》、《三論宗綱要》。因《三論宗綱要》而知道三論，設法購得《中論》與《三論玄義》；其後又求到了嘉祥的三論疏。我沒有良好的國文基礎，卻修學這精深的法門，艱苦是可想而知的！記得初讀《中論》（青目注本），可說完全不了解。然而，不了解所以更愛好，只怪自己的學力不足，佛法是那樣的高深，使我嚮往不已！</w:t>
      </w:r>
    </w:p>
    <w:p w:rsidR="00A258B1" w:rsidRPr="00212D57" w:rsidRDefault="00A258B1" w:rsidP="00A258B1">
      <w:pPr>
        <w:pStyle w:val="a5"/>
        <w:ind w:leftChars="75" w:left="444" w:hangingChars="120" w:hanging="264"/>
        <w:jc w:val="both"/>
        <w:rPr>
          <w:rFonts w:ascii="標楷體" w:eastAsia="標楷體" w:hAnsi="標楷體"/>
          <w:szCs w:val="22"/>
        </w:rPr>
      </w:pPr>
      <w:r w:rsidRPr="00A258B1">
        <w:rPr>
          <w:rFonts w:eastAsia="標楷體" w:hint="eastAsia"/>
          <w:color w:val="FF0000"/>
          <w:szCs w:val="22"/>
          <w:shd w:val="pct15" w:color="auto" w:fill="FFFFFF"/>
        </w:rPr>
        <w:t>*</w:t>
      </w:r>
      <w:r w:rsidRPr="00A258B1">
        <w:rPr>
          <w:rFonts w:ascii="標楷體" w:eastAsia="標楷體" w:hAnsi="標楷體" w:hint="eastAsia"/>
          <w:color w:val="FF0000"/>
          <w:szCs w:val="22"/>
          <w:highlight w:val="yellow"/>
        </w:rPr>
        <w:t>《佛法是救世之光》，</w:t>
      </w:r>
      <w:r w:rsidRPr="00A258B1">
        <w:rPr>
          <w:rFonts w:eastAsia="標楷體" w:hint="eastAsia"/>
          <w:color w:val="FF0000"/>
          <w:szCs w:val="22"/>
          <w:highlight w:val="yellow"/>
        </w:rPr>
        <w:t>p.123</w:t>
      </w:r>
      <w:r w:rsidRPr="00A258B1">
        <w:rPr>
          <w:rFonts w:ascii="標楷體" w:eastAsia="標楷體" w:hAnsi="標楷體" w:hint="eastAsia"/>
          <w:color w:val="FF0000"/>
          <w:szCs w:val="22"/>
          <w:highlight w:val="yellow"/>
        </w:rPr>
        <w:t>：「六祖下有南嶽、青原二系；唐末流衍為臨濟、溈仰、雲門、法眼、曹洞五宗。」</w:t>
      </w:r>
    </w:p>
  </w:footnote>
  <w:footnote w:id="4">
    <w:p w:rsidR="005B73C4" w:rsidRPr="005B73C4" w:rsidRDefault="005B73C4">
      <w:pPr>
        <w:pStyle w:val="a5"/>
      </w:pPr>
      <w:r w:rsidRPr="005B73C4">
        <w:rPr>
          <w:rStyle w:val="a6"/>
          <w:color w:val="FF0000"/>
          <w:highlight w:val="yellow"/>
        </w:rPr>
        <w:footnoteRef/>
      </w:r>
      <w:r w:rsidRPr="005B73C4">
        <w:t xml:space="preserve"> </w:t>
      </w:r>
      <w:r w:rsidRPr="005B73C4">
        <w:rPr>
          <w:rFonts w:hint="eastAsia"/>
          <w:color w:val="FF0000"/>
          <w:highlight w:val="yellow"/>
        </w:rPr>
        <w:t>詳見</w:t>
      </w:r>
      <w:r w:rsidRPr="005B73C4">
        <w:rPr>
          <w:rStyle w:val="refandcopytitlefront"/>
          <w:color w:val="FF0000"/>
          <w:highlight w:val="yellow"/>
        </w:rPr>
        <w:t>《平凡的一生》（重訂本）</w:t>
      </w:r>
      <w:r w:rsidRPr="005B73C4">
        <w:rPr>
          <w:rStyle w:val="refandcopytitlefront"/>
          <w:rFonts w:hint="eastAsia"/>
          <w:color w:val="FF0000"/>
          <w:highlight w:val="yellow"/>
        </w:rPr>
        <w:t>，</w:t>
      </w:r>
      <w:r w:rsidRPr="005B73C4">
        <w:rPr>
          <w:rStyle w:val="refandcopylinebook"/>
          <w:color w:val="FF0000"/>
          <w:highlight w:val="yellow"/>
        </w:rPr>
        <w:t xml:space="preserve"> pp.23-25</w:t>
      </w:r>
      <w:r w:rsidRPr="005B73C4">
        <w:rPr>
          <w:rStyle w:val="refandcopylinebook"/>
          <w:rFonts w:hint="eastAsia"/>
          <w:color w:val="FF0000"/>
          <w:highlight w:val="yellow"/>
        </w:rPr>
        <w:t>。</w:t>
      </w:r>
    </w:p>
  </w:footnote>
  <w:footnote w:id="5">
    <w:p w:rsidR="00157EF6" w:rsidRPr="00212D57" w:rsidRDefault="00157EF6" w:rsidP="00CB198A">
      <w:pPr>
        <w:pStyle w:val="a5"/>
        <w:ind w:left="187" w:hangingChars="85" w:hanging="187"/>
        <w:jc w:val="both"/>
        <w:rPr>
          <w:rFonts w:cs="Times Ext Roman"/>
          <w:szCs w:val="22"/>
        </w:rPr>
      </w:pPr>
      <w:r w:rsidRPr="00212D57">
        <w:rPr>
          <w:rStyle w:val="a6"/>
          <w:szCs w:val="22"/>
        </w:rPr>
        <w:footnoteRef/>
      </w:r>
      <w:r w:rsidRPr="00212D57">
        <w:rPr>
          <w:szCs w:val="22"/>
        </w:rPr>
        <w:t xml:space="preserve"> </w:t>
      </w:r>
      <w:r w:rsidRPr="00212D57">
        <w:rPr>
          <w:rFonts w:cs="Times Ext Roman"/>
          <w:szCs w:val="22"/>
        </w:rPr>
        <w:t>變革：</w:t>
      </w:r>
      <w:r w:rsidRPr="00761EF3">
        <w:rPr>
          <w:szCs w:val="22"/>
        </w:rPr>
        <w:t>1</w:t>
      </w:r>
      <w:r w:rsidRPr="00212D57">
        <w:rPr>
          <w:szCs w:val="22"/>
        </w:rPr>
        <w:t>.</w:t>
      </w:r>
      <w:r w:rsidRPr="00212D57">
        <w:rPr>
          <w:rFonts w:cs="Times Ext Roman"/>
          <w:szCs w:val="22"/>
        </w:rPr>
        <w:t>改變，改革。（《漢語大詞典》（</w:t>
      </w:r>
      <w:r w:rsidRPr="00212D57">
        <w:rPr>
          <w:rFonts w:cs="Times Ext Roman" w:hint="eastAsia"/>
          <w:szCs w:val="22"/>
        </w:rPr>
        <w:t>五</w:t>
      </w:r>
      <w:r w:rsidRPr="00212D57">
        <w:rPr>
          <w:rFonts w:cs="Times Ext Roman"/>
          <w:szCs w:val="22"/>
        </w:rPr>
        <w:t>），</w:t>
      </w:r>
      <w:r w:rsidRPr="00761EF3">
        <w:rPr>
          <w:szCs w:val="22"/>
        </w:rPr>
        <w:t>p</w:t>
      </w:r>
      <w:r w:rsidRPr="00212D57">
        <w:rPr>
          <w:szCs w:val="22"/>
        </w:rPr>
        <w:t>.</w:t>
      </w:r>
      <w:r w:rsidRPr="00761EF3">
        <w:rPr>
          <w:szCs w:val="22"/>
        </w:rPr>
        <w:t>529</w:t>
      </w:r>
      <w:r w:rsidRPr="00212D57">
        <w:rPr>
          <w:rFonts w:cs="Times Ext Roman"/>
          <w:szCs w:val="22"/>
        </w:rPr>
        <w:t>）</w:t>
      </w:r>
    </w:p>
  </w:footnote>
  <w:footnote w:id="6">
    <w:p w:rsidR="009160B5" w:rsidRDefault="00157EF6" w:rsidP="00CB198A">
      <w:pPr>
        <w:pStyle w:val="a5"/>
        <w:ind w:left="187" w:hangingChars="85" w:hanging="187"/>
        <w:jc w:val="both"/>
        <w:rPr>
          <w:rFonts w:cs="Times Ext Roman"/>
          <w:szCs w:val="22"/>
        </w:rPr>
      </w:pPr>
      <w:r w:rsidRPr="00212D57">
        <w:rPr>
          <w:rStyle w:val="a6"/>
          <w:szCs w:val="22"/>
        </w:rPr>
        <w:footnoteRef/>
      </w:r>
      <w:r w:rsidRPr="00212D57">
        <w:rPr>
          <w:szCs w:val="22"/>
        </w:rPr>
        <w:t xml:space="preserve"> </w:t>
      </w:r>
      <w:r w:rsidRPr="00212D57">
        <w:rPr>
          <w:rFonts w:cs="Times Ext Roman"/>
          <w:szCs w:val="22"/>
        </w:rPr>
        <w:t>玄談：</w:t>
      </w:r>
      <w:r w:rsidRPr="00761EF3">
        <w:rPr>
          <w:szCs w:val="22"/>
        </w:rPr>
        <w:t>2</w:t>
      </w:r>
      <w:r w:rsidRPr="00212D57">
        <w:rPr>
          <w:szCs w:val="22"/>
        </w:rPr>
        <w:t>.</w:t>
      </w:r>
      <w:r w:rsidRPr="00212D57">
        <w:rPr>
          <w:rFonts w:cs="Times Ext Roman"/>
          <w:szCs w:val="22"/>
        </w:rPr>
        <w:t>泛指脫離實際的空論。</w:t>
      </w:r>
      <w:r w:rsidRPr="00761EF3">
        <w:rPr>
          <w:szCs w:val="22"/>
        </w:rPr>
        <w:t>4</w:t>
      </w:r>
      <w:r w:rsidRPr="00212D57">
        <w:rPr>
          <w:szCs w:val="22"/>
        </w:rPr>
        <w:t>.</w:t>
      </w:r>
      <w:r w:rsidRPr="00212D57">
        <w:rPr>
          <w:rFonts w:cs="Times Ext Roman"/>
          <w:szCs w:val="22"/>
        </w:rPr>
        <w:t>佛教語。對佛教義理的闡述。</w:t>
      </w:r>
    </w:p>
    <w:p w:rsidR="00157EF6" w:rsidRPr="00212D57" w:rsidRDefault="00157EF6" w:rsidP="009160B5">
      <w:pPr>
        <w:pStyle w:val="a5"/>
        <w:ind w:left="187" w:hangingChars="85" w:hanging="187"/>
        <w:jc w:val="right"/>
        <w:rPr>
          <w:rFonts w:cs="Times Ext Roman"/>
          <w:szCs w:val="22"/>
        </w:rPr>
      </w:pPr>
      <w:r w:rsidRPr="00212D57">
        <w:rPr>
          <w:rFonts w:cs="Times Ext Roman"/>
          <w:szCs w:val="22"/>
        </w:rPr>
        <w:t>（《漢語大詞典》（</w:t>
      </w:r>
      <w:r w:rsidRPr="00212D57">
        <w:rPr>
          <w:rFonts w:cs="Times Ext Roman" w:hint="eastAsia"/>
          <w:szCs w:val="22"/>
        </w:rPr>
        <w:t>二</w:t>
      </w:r>
      <w:r w:rsidRPr="00212D57">
        <w:rPr>
          <w:rFonts w:cs="Times Ext Roman"/>
          <w:szCs w:val="22"/>
        </w:rPr>
        <w:t>），</w:t>
      </w:r>
      <w:r w:rsidRPr="00761EF3">
        <w:rPr>
          <w:szCs w:val="22"/>
        </w:rPr>
        <w:t>p</w:t>
      </w:r>
      <w:r w:rsidRPr="00212D57">
        <w:rPr>
          <w:szCs w:val="22"/>
        </w:rPr>
        <w:t>.</w:t>
      </w:r>
      <w:r w:rsidRPr="00761EF3">
        <w:rPr>
          <w:szCs w:val="22"/>
        </w:rPr>
        <w:t>322</w:t>
      </w:r>
      <w:r w:rsidRPr="00212D57">
        <w:rPr>
          <w:rFonts w:cs="Times Ext Roman"/>
          <w:szCs w:val="22"/>
        </w:rPr>
        <w:t>）</w:t>
      </w:r>
    </w:p>
  </w:footnote>
  <w:footnote w:id="7">
    <w:p w:rsidR="00157EF6" w:rsidRPr="00212D57" w:rsidRDefault="00157EF6" w:rsidP="00CB198A">
      <w:pPr>
        <w:pStyle w:val="a5"/>
        <w:ind w:left="187" w:hangingChars="85" w:hanging="187"/>
        <w:jc w:val="both"/>
        <w:rPr>
          <w:rFonts w:cs="Times Ext Roman"/>
          <w:szCs w:val="22"/>
        </w:rPr>
      </w:pPr>
      <w:r w:rsidRPr="00212D57">
        <w:rPr>
          <w:rStyle w:val="a6"/>
          <w:szCs w:val="22"/>
        </w:rPr>
        <w:footnoteRef/>
      </w:r>
      <w:r w:rsidRPr="00212D57">
        <w:rPr>
          <w:szCs w:val="22"/>
        </w:rPr>
        <w:t xml:space="preserve"> </w:t>
      </w:r>
      <w:r w:rsidRPr="00212D57">
        <w:rPr>
          <w:szCs w:val="22"/>
        </w:rPr>
        <w:t>領略</w:t>
      </w:r>
      <w:r w:rsidRPr="00212D57">
        <w:rPr>
          <w:rFonts w:cs="Times Ext Roman"/>
          <w:szCs w:val="22"/>
        </w:rPr>
        <w:t>：</w:t>
      </w:r>
      <w:r w:rsidRPr="00761EF3">
        <w:rPr>
          <w:szCs w:val="22"/>
        </w:rPr>
        <w:t>1</w:t>
      </w:r>
      <w:r w:rsidRPr="00212D57">
        <w:rPr>
          <w:szCs w:val="22"/>
        </w:rPr>
        <w:t>.</w:t>
      </w:r>
      <w:r w:rsidRPr="00212D57">
        <w:rPr>
          <w:rFonts w:cs="Times Ext Roman"/>
          <w:szCs w:val="22"/>
        </w:rPr>
        <w:t>領會，理解。（《漢語大詞典》（</w:t>
      </w:r>
      <w:r w:rsidRPr="00212D57">
        <w:rPr>
          <w:rFonts w:cs="Times Ext Roman" w:hint="eastAsia"/>
          <w:szCs w:val="22"/>
        </w:rPr>
        <w:t>十二</w:t>
      </w:r>
      <w:r w:rsidRPr="00212D57">
        <w:rPr>
          <w:rFonts w:cs="Times Ext Roman"/>
          <w:szCs w:val="22"/>
        </w:rPr>
        <w:t>），</w:t>
      </w:r>
      <w:r w:rsidRPr="00761EF3">
        <w:rPr>
          <w:szCs w:val="22"/>
        </w:rPr>
        <w:t>p</w:t>
      </w:r>
      <w:r w:rsidRPr="00212D57">
        <w:rPr>
          <w:szCs w:val="22"/>
        </w:rPr>
        <w:t>.</w:t>
      </w:r>
      <w:r w:rsidRPr="00761EF3">
        <w:rPr>
          <w:rFonts w:hint="eastAsia"/>
          <w:szCs w:val="22"/>
        </w:rPr>
        <w:t>283</w:t>
      </w:r>
      <w:r w:rsidRPr="00212D57">
        <w:rPr>
          <w:rFonts w:cs="Times Ext Roman"/>
          <w:szCs w:val="22"/>
        </w:rPr>
        <w:t>）</w:t>
      </w:r>
    </w:p>
  </w:footnote>
  <w:footnote w:id="8">
    <w:p w:rsidR="00BA4FA6" w:rsidRPr="005C5C1D" w:rsidRDefault="00BA4FA6">
      <w:pPr>
        <w:pStyle w:val="a5"/>
        <w:rPr>
          <w:color w:val="FF0000"/>
          <w:highlight w:val="yellow"/>
        </w:rPr>
      </w:pPr>
      <w:r w:rsidRPr="00BA4FA6">
        <w:rPr>
          <w:rStyle w:val="a6"/>
          <w:color w:val="FF0000"/>
          <w:highlight w:val="yellow"/>
        </w:rPr>
        <w:footnoteRef/>
      </w:r>
      <w:r w:rsidRPr="00BA4FA6">
        <w:t xml:space="preserve"> </w:t>
      </w:r>
      <w:r w:rsidRPr="005C5C1D">
        <w:rPr>
          <w:rFonts w:hint="eastAsia"/>
          <w:color w:val="FF0000"/>
          <w:highlight w:val="yellow"/>
        </w:rPr>
        <w:t>（</w:t>
      </w:r>
      <w:r w:rsidRPr="005C5C1D">
        <w:rPr>
          <w:rFonts w:hint="eastAsia"/>
          <w:color w:val="FF0000"/>
          <w:highlight w:val="yellow"/>
        </w:rPr>
        <w:t>1</w:t>
      </w:r>
      <w:r w:rsidRPr="005C5C1D">
        <w:rPr>
          <w:rFonts w:hint="eastAsia"/>
          <w:color w:val="FF0000"/>
          <w:highlight w:val="yellow"/>
        </w:rPr>
        <w:t>）</w:t>
      </w:r>
      <w:r w:rsidRPr="005C5C1D">
        <w:rPr>
          <w:rStyle w:val="refandcopytitlefront"/>
          <w:color w:val="FF0000"/>
          <w:highlight w:val="yellow"/>
        </w:rPr>
        <w:t>《印度之佛教》</w:t>
      </w:r>
      <w:r w:rsidRPr="005C5C1D">
        <w:rPr>
          <w:rStyle w:val="refandcopytitlefront"/>
          <w:rFonts w:hint="eastAsia"/>
          <w:color w:val="FF0000"/>
          <w:highlight w:val="yellow"/>
        </w:rPr>
        <w:t>〈自序〉</w:t>
      </w:r>
      <w:r w:rsidRPr="005C5C1D">
        <w:rPr>
          <w:rFonts w:hint="eastAsia"/>
          <w:color w:val="FF0000"/>
          <w:highlight w:val="yellow"/>
        </w:rPr>
        <w:t>，</w:t>
      </w:r>
      <w:r w:rsidRPr="005C5C1D">
        <w:rPr>
          <w:rStyle w:val="refandcopylinebook"/>
          <w:color w:val="FF0000"/>
          <w:highlight w:val="yellow"/>
        </w:rPr>
        <w:t>pp.a1-a2</w:t>
      </w:r>
      <w:r w:rsidRPr="005C5C1D">
        <w:rPr>
          <w:rStyle w:val="refandcopytitlefront"/>
          <w:color w:val="FF0000"/>
          <w:highlight w:val="yellow"/>
        </w:rPr>
        <w:t>：</w:t>
      </w:r>
    </w:p>
    <w:p w:rsidR="00BA4FA6" w:rsidRPr="005C5C1D" w:rsidRDefault="00BA4FA6" w:rsidP="00BA4FA6">
      <w:pPr>
        <w:pStyle w:val="a5"/>
        <w:spacing w:line="0" w:lineRule="atLeast"/>
        <w:ind w:leftChars="300" w:left="720"/>
        <w:jc w:val="both"/>
        <w:rPr>
          <w:rFonts w:ascii="標楷體" w:eastAsia="標楷體" w:hAnsi="標楷體" w:cs="Times Ext Roman"/>
          <w:color w:val="FF0000"/>
          <w:szCs w:val="22"/>
          <w:highlight w:val="yellow"/>
        </w:rPr>
      </w:pPr>
      <w:r w:rsidRPr="005C5C1D">
        <w:rPr>
          <w:rFonts w:ascii="標楷體" w:eastAsia="標楷體" w:hAnsi="標楷體" w:cs="Times Ext Roman"/>
          <w:color w:val="FF0000"/>
          <w:szCs w:val="22"/>
          <w:highlight w:val="yellow"/>
        </w:rPr>
        <w:t>佛教之遍十方界，盡未來際，度一切有情，心量廣大，非不善也。</w:t>
      </w:r>
    </w:p>
    <w:p w:rsidR="00BA4FA6" w:rsidRPr="005C5C1D" w:rsidRDefault="00BA4FA6" w:rsidP="00BA4FA6">
      <w:pPr>
        <w:pStyle w:val="a5"/>
        <w:spacing w:line="0" w:lineRule="atLeast"/>
        <w:ind w:leftChars="300" w:left="720"/>
        <w:jc w:val="both"/>
        <w:rPr>
          <w:rFonts w:ascii="標楷體" w:eastAsia="標楷體" w:hAnsi="標楷體" w:cs="Times Ext Roman"/>
          <w:color w:val="FF0000"/>
          <w:szCs w:val="22"/>
          <w:highlight w:val="yellow"/>
        </w:rPr>
      </w:pPr>
      <w:r w:rsidRPr="005C5C1D">
        <w:rPr>
          <w:rFonts w:ascii="標楷體" w:eastAsia="標楷體" w:hAnsi="標楷體" w:cs="Times Ext Roman"/>
          <w:color w:val="FF0000"/>
          <w:szCs w:val="22"/>
          <w:highlight w:val="yellow"/>
        </w:rPr>
        <w:t>然不假以本末先後之辨，任重致遠之行，而競為「三生取辦」，「一生圓證」，「即身成佛」之談，事大而急功，無惑乎佛教之言高而行卑也！吾心疑甚，殊不安。</w:t>
      </w:r>
    </w:p>
    <w:p w:rsidR="00BA4FA6" w:rsidRDefault="00BA4FA6" w:rsidP="00BA4FA6">
      <w:pPr>
        <w:pStyle w:val="a5"/>
        <w:spacing w:line="0" w:lineRule="atLeast"/>
        <w:ind w:leftChars="300" w:left="720"/>
        <w:jc w:val="both"/>
        <w:rPr>
          <w:rFonts w:ascii="標楷體" w:eastAsia="標楷體" w:hAnsi="標楷體" w:cs="Times Ext Roman"/>
          <w:szCs w:val="22"/>
        </w:rPr>
      </w:pPr>
      <w:r w:rsidRPr="005C5C1D">
        <w:rPr>
          <w:rFonts w:ascii="標楷體" w:eastAsia="標楷體" w:hAnsi="標楷體" w:cs="Times Ext Roman"/>
          <w:color w:val="FF0000"/>
          <w:szCs w:val="22"/>
          <w:highlight w:val="yellow"/>
        </w:rPr>
        <w:t>時治唯識學，探其源於《阿含經》，讀得「諸佛皆出人間，終不在天上成佛也」</w:t>
      </w:r>
      <w:r w:rsidRPr="005C5C1D">
        <w:rPr>
          <w:rFonts w:eastAsia="標楷體" w:hint="eastAsia"/>
          <w:color w:val="FF0000"/>
          <w:szCs w:val="22"/>
          <w:shd w:val="pct15" w:color="auto" w:fill="FFFFFF"/>
        </w:rPr>
        <w:t>*</w:t>
      </w:r>
      <w:r w:rsidRPr="005C5C1D">
        <w:rPr>
          <w:rFonts w:ascii="標楷體" w:eastAsia="標楷體" w:hAnsi="標楷體" w:cs="Times Ext Roman"/>
          <w:color w:val="FF0000"/>
          <w:szCs w:val="22"/>
          <w:highlight w:val="yellow"/>
        </w:rPr>
        <w:t>句，有所入。釋尊之為教，有十方世界而詳此土，立三世而重現在，志度一切有情而特以人類為本。釋尊之本教，初不與末流之圓融者同，動言十方世界，一切有情也，吾為之喜極而淚。</w:t>
      </w:r>
    </w:p>
    <w:p w:rsidR="00BA4FA6" w:rsidRPr="005C5C1D" w:rsidRDefault="00BA4FA6" w:rsidP="00BA4FA6">
      <w:pPr>
        <w:pStyle w:val="a5"/>
        <w:ind w:leftChars="300" w:left="1006" w:hangingChars="130" w:hanging="286"/>
        <w:jc w:val="both"/>
        <w:rPr>
          <w:color w:val="FF0000"/>
          <w:highlight w:val="yellow"/>
        </w:rPr>
      </w:pPr>
      <w:r w:rsidRPr="005C5C1D">
        <w:rPr>
          <w:rFonts w:eastAsia="標楷體" w:hint="eastAsia"/>
          <w:color w:val="FF0000"/>
          <w:szCs w:val="22"/>
          <w:shd w:val="pct15" w:color="auto" w:fill="FFFFFF"/>
        </w:rPr>
        <w:t>*</w:t>
      </w:r>
      <w:r w:rsidRPr="005C5C1D">
        <w:rPr>
          <w:rStyle w:val="refandcopypunctuation"/>
          <w:color w:val="FF0000"/>
          <w:highlight w:val="yellow"/>
        </w:rPr>
        <w:t>《</w:t>
      </w:r>
      <w:r w:rsidRPr="005C5C1D">
        <w:rPr>
          <w:rStyle w:val="refandcopynote"/>
          <w:color w:val="FF0000"/>
          <w:highlight w:val="yellow"/>
        </w:rPr>
        <w:t>增壹阿含經》卷</w:t>
      </w:r>
      <w:r w:rsidRPr="005C5C1D">
        <w:rPr>
          <w:rStyle w:val="refandcopynote"/>
          <w:color w:val="FF0000"/>
          <w:highlight w:val="yellow"/>
        </w:rPr>
        <w:t>26</w:t>
      </w:r>
      <w:r w:rsidRPr="005C5C1D">
        <w:rPr>
          <w:rStyle w:val="refandcopynote"/>
          <w:color w:val="FF0000"/>
          <w:highlight w:val="yellow"/>
        </w:rPr>
        <w:t>〈</w:t>
      </w:r>
      <w:r w:rsidRPr="005C5C1D">
        <w:rPr>
          <w:rStyle w:val="refandcopynote"/>
          <w:color w:val="FF0000"/>
          <w:highlight w:val="yellow"/>
        </w:rPr>
        <w:t xml:space="preserve">34 </w:t>
      </w:r>
      <w:r w:rsidRPr="005C5C1D">
        <w:rPr>
          <w:rStyle w:val="refandcopynote"/>
          <w:color w:val="FF0000"/>
          <w:highlight w:val="yellow"/>
        </w:rPr>
        <w:t>等見品</w:t>
      </w:r>
      <w:r w:rsidRPr="005C5C1D">
        <w:rPr>
          <w:rStyle w:val="refandcopynote"/>
          <w:rFonts w:hint="eastAsia"/>
          <w:color w:val="FF0000"/>
          <w:highlight w:val="yellow"/>
        </w:rPr>
        <w:t xml:space="preserve"> </w:t>
      </w:r>
      <w:r w:rsidRPr="005C5C1D">
        <w:rPr>
          <w:rStyle w:val="refandcopynote"/>
          <w:rFonts w:hint="eastAsia"/>
          <w:color w:val="FF0000"/>
          <w:highlight w:val="yellow"/>
        </w:rPr>
        <w:t>（大正</w:t>
      </w:r>
      <w:r w:rsidRPr="005C5C1D">
        <w:rPr>
          <w:rStyle w:val="refandcopynote"/>
          <w:color w:val="FF0000"/>
          <w:highlight w:val="yellow"/>
        </w:rPr>
        <w:t>2</w:t>
      </w:r>
      <w:r w:rsidRPr="005C5C1D">
        <w:rPr>
          <w:rStyle w:val="refandcopynote"/>
          <w:rFonts w:hint="eastAsia"/>
          <w:color w:val="FF0000"/>
          <w:highlight w:val="yellow"/>
        </w:rPr>
        <w:t>，</w:t>
      </w:r>
      <w:r w:rsidRPr="005C5C1D">
        <w:rPr>
          <w:rStyle w:val="refandcopynote"/>
          <w:color w:val="FF0000"/>
          <w:highlight w:val="yellow"/>
        </w:rPr>
        <w:t>694a4-5</w:t>
      </w:r>
      <w:r w:rsidRPr="005C5C1D">
        <w:rPr>
          <w:rStyle w:val="refandcopynote"/>
          <w:rFonts w:hint="eastAsia"/>
          <w:color w:val="FF0000"/>
          <w:highlight w:val="yellow"/>
        </w:rPr>
        <w:t>）</w:t>
      </w:r>
      <w:r w:rsidRPr="005C5C1D">
        <w:rPr>
          <w:rStyle w:val="refandcopynote"/>
          <w:color w:val="FF0000"/>
          <w:highlight w:val="yellow"/>
        </w:rPr>
        <w:t>：「</w:t>
      </w:r>
      <w:r w:rsidRPr="005C5C1D">
        <w:rPr>
          <w:rStyle w:val="refandcopynote"/>
          <w:rFonts w:eastAsia="標楷體"/>
          <w:color w:val="FF0000"/>
          <w:highlight w:val="yellow"/>
        </w:rPr>
        <w:t>佛</w:t>
      </w:r>
      <w:r w:rsidRPr="005C5C1D">
        <w:rPr>
          <w:rStyle w:val="refandcopynote"/>
          <w:rFonts w:eastAsia="標楷體"/>
          <w:color w:val="FF0000"/>
          <w:highlight w:val="yellow"/>
          <w:vertAlign w:val="superscript"/>
        </w:rPr>
        <w:t>[2]</w:t>
      </w:r>
      <w:r w:rsidRPr="005C5C1D">
        <w:rPr>
          <w:rStyle w:val="refandcopynote"/>
          <w:rFonts w:eastAsia="標楷體"/>
          <w:color w:val="FF0000"/>
          <w:highlight w:val="yellow"/>
        </w:rPr>
        <w:t>世尊皆出人間，非由天而得也。</w:t>
      </w:r>
      <w:r w:rsidRPr="005C5C1D">
        <w:rPr>
          <w:rStyle w:val="refandcopynote"/>
          <w:color w:val="FF0000"/>
          <w:highlight w:val="yellow"/>
        </w:rPr>
        <w:t>」</w:t>
      </w:r>
      <w:r w:rsidRPr="005C5C1D">
        <w:rPr>
          <w:rStyle w:val="refandcopynote"/>
          <w:color w:val="FF0000"/>
          <w:highlight w:val="yellow"/>
        </w:rPr>
        <w:t xml:space="preserve"> [2]</w:t>
      </w:r>
      <w:r w:rsidRPr="005C5C1D">
        <w:rPr>
          <w:rStyle w:val="refandcopynote"/>
          <w:color w:val="FF0000"/>
          <w:highlight w:val="yellow"/>
        </w:rPr>
        <w:t>（諸）＋佛【宋】【元】【明】。</w:t>
      </w:r>
    </w:p>
    <w:p w:rsidR="001805D2" w:rsidRPr="005C5C1D" w:rsidRDefault="00BA4FA6" w:rsidP="00130A2E">
      <w:pPr>
        <w:pStyle w:val="a5"/>
        <w:ind w:leftChars="80" w:left="731" w:hangingChars="245" w:hanging="539"/>
        <w:jc w:val="both"/>
        <w:rPr>
          <w:rStyle w:val="refandcopytitlefront"/>
          <w:color w:val="FF0000"/>
          <w:highlight w:val="yellow"/>
        </w:rPr>
      </w:pPr>
      <w:r w:rsidRPr="005C5C1D">
        <w:rPr>
          <w:rFonts w:hint="eastAsia"/>
          <w:color w:val="FF0000"/>
          <w:highlight w:val="yellow"/>
        </w:rPr>
        <w:t>（</w:t>
      </w:r>
      <w:r w:rsidRPr="005C5C1D">
        <w:rPr>
          <w:rFonts w:hint="eastAsia"/>
          <w:color w:val="FF0000"/>
          <w:highlight w:val="yellow"/>
        </w:rPr>
        <w:t>2</w:t>
      </w:r>
      <w:r w:rsidRPr="005C5C1D">
        <w:rPr>
          <w:rFonts w:hint="eastAsia"/>
          <w:color w:val="FF0000"/>
          <w:highlight w:val="yellow"/>
        </w:rPr>
        <w:t>）</w:t>
      </w:r>
      <w:r w:rsidRPr="005C5C1D">
        <w:rPr>
          <w:rStyle w:val="refandcopytitlefront"/>
          <w:color w:val="FF0000"/>
          <w:highlight w:val="yellow"/>
        </w:rPr>
        <w:t>《華雨集》（四）</w:t>
      </w:r>
      <w:r w:rsidR="001805D2" w:rsidRPr="005C5C1D">
        <w:rPr>
          <w:rStyle w:val="refandcopytitlefront"/>
          <w:rFonts w:hint="eastAsia"/>
          <w:color w:val="FF0000"/>
          <w:highlight w:val="yellow"/>
        </w:rPr>
        <w:t>〈</w:t>
      </w:r>
      <w:r w:rsidR="001805D2" w:rsidRPr="005C5C1D">
        <w:rPr>
          <w:rStyle w:val="refandcopytitlefront"/>
          <w:color w:val="FF0000"/>
          <w:highlight w:val="yellow"/>
        </w:rPr>
        <w:t>契理契機之人間佛教</w:t>
      </w:r>
      <w:r w:rsidR="001805D2" w:rsidRPr="005C5C1D">
        <w:rPr>
          <w:rStyle w:val="refandcopytitlefront"/>
          <w:rFonts w:hint="eastAsia"/>
          <w:color w:val="FF0000"/>
          <w:highlight w:val="yellow"/>
        </w:rPr>
        <w:t>〉，</w:t>
      </w:r>
      <w:r w:rsidR="001805D2" w:rsidRPr="005C5C1D">
        <w:rPr>
          <w:rStyle w:val="refandcopylinebook"/>
          <w:color w:val="FF0000"/>
          <w:highlight w:val="yellow"/>
        </w:rPr>
        <w:t>p.47</w:t>
      </w:r>
      <w:r w:rsidRPr="005C5C1D">
        <w:rPr>
          <w:rStyle w:val="refandcopytitlefront"/>
          <w:color w:val="FF0000"/>
          <w:highlight w:val="yellow"/>
        </w:rPr>
        <w:t>：</w:t>
      </w:r>
    </w:p>
    <w:p w:rsidR="00BA4FA6" w:rsidRPr="00BA4FA6" w:rsidRDefault="00BA4FA6" w:rsidP="001805D2">
      <w:pPr>
        <w:pStyle w:val="a5"/>
        <w:spacing w:line="0" w:lineRule="atLeast"/>
        <w:ind w:leftChars="300" w:left="720"/>
        <w:jc w:val="both"/>
      </w:pPr>
      <w:r w:rsidRPr="005C5C1D">
        <w:rPr>
          <w:rFonts w:eastAsia="標楷體" w:cs="Times Ext Roman"/>
          <w:color w:val="FF0000"/>
          <w:szCs w:val="22"/>
          <w:highlight w:val="yellow"/>
        </w:rPr>
        <w:t>我初學佛法</w:t>
      </w:r>
      <w:r w:rsidR="001805D2" w:rsidRPr="005C5C1D">
        <w:rPr>
          <w:rFonts w:ascii="標楷體" w:eastAsia="標楷體" w:hAnsi="標楷體" w:cs="Times Ext Roman"/>
          <w:color w:val="FF0000"/>
          <w:szCs w:val="22"/>
          <w:highlight w:val="yellow"/>
        </w:rPr>
        <w:t>──</w:t>
      </w:r>
      <w:r w:rsidRPr="005C5C1D">
        <w:rPr>
          <w:rFonts w:eastAsia="標楷體" w:cs="Times Ext Roman"/>
          <w:color w:val="FF0000"/>
          <w:szCs w:val="22"/>
          <w:highlight w:val="yellow"/>
        </w:rPr>
        <w:t>三論與唯識，就感到與現實佛教界的距離。存在於內心的問題，經虛大師思想的啟發，終於在「佛出人間，終不在天上成佛也」，而得到新的啟發。</w:t>
      </w:r>
      <w:r w:rsidR="005C5C1D" w:rsidRPr="005C5C1D">
        <w:rPr>
          <w:rFonts w:eastAsia="標楷體" w:cs="Times Ext Roman" w:hint="eastAsia"/>
          <w:color w:val="FF0000"/>
          <w:szCs w:val="22"/>
          <w:shd w:val="pct15" w:color="auto" w:fill="FFFFFF"/>
        </w:rPr>
        <w:t>……</w:t>
      </w:r>
      <w:r w:rsidRPr="005C5C1D">
        <w:rPr>
          <w:rFonts w:eastAsia="標楷體" w:cs="Times Ext Roman"/>
          <w:color w:val="FF0000"/>
          <w:szCs w:val="22"/>
          <w:highlight w:val="yellow"/>
        </w:rPr>
        <w:t>本著從教典得來的一項信念，「為佛法而學」，「為佛教而學」，希望條理出不違佛法本義，又能適應現代人心的正道，為佛法的久住世間而盡一分佛弟子的責任！</w:t>
      </w:r>
    </w:p>
  </w:footnote>
  <w:footnote w:id="9">
    <w:p w:rsidR="00157EF6" w:rsidRPr="00212D57" w:rsidRDefault="00157EF6" w:rsidP="00CB198A">
      <w:pPr>
        <w:pStyle w:val="a5"/>
        <w:ind w:left="187" w:hangingChars="85" w:hanging="187"/>
        <w:jc w:val="both"/>
        <w:rPr>
          <w:szCs w:val="22"/>
        </w:rPr>
      </w:pPr>
      <w:r w:rsidRPr="00212D57">
        <w:rPr>
          <w:rStyle w:val="a6"/>
          <w:szCs w:val="22"/>
        </w:rPr>
        <w:footnoteRef/>
      </w:r>
      <w:r w:rsidRPr="00212D57">
        <w:rPr>
          <w:szCs w:val="22"/>
        </w:rPr>
        <w:t xml:space="preserve"> </w:t>
      </w:r>
      <w:r w:rsidRPr="00212D57">
        <w:rPr>
          <w:rFonts w:cs="Times Ext Roman"/>
          <w:szCs w:val="22"/>
        </w:rPr>
        <w:t>怱促（匆促）：匆忙</w:t>
      </w:r>
      <w:r w:rsidRPr="00212D57">
        <w:rPr>
          <w:rFonts w:cs="Times Ext Roman" w:hint="eastAsia"/>
          <w:szCs w:val="22"/>
        </w:rPr>
        <w:t>，</w:t>
      </w:r>
      <w:r w:rsidRPr="00212D57">
        <w:rPr>
          <w:rFonts w:cs="Times Ext Roman"/>
          <w:szCs w:val="22"/>
        </w:rPr>
        <w:t>倉促。（《漢語大詞典》（</w:t>
      </w:r>
      <w:r w:rsidRPr="00212D57">
        <w:rPr>
          <w:rFonts w:cs="Times Ext Roman" w:hint="eastAsia"/>
          <w:szCs w:val="22"/>
        </w:rPr>
        <w:t>二</w:t>
      </w:r>
      <w:r w:rsidRPr="00212D57">
        <w:rPr>
          <w:rFonts w:cs="Times Ext Roman"/>
          <w:szCs w:val="22"/>
        </w:rPr>
        <w:t>），</w:t>
      </w:r>
      <w:r w:rsidRPr="00761EF3">
        <w:rPr>
          <w:szCs w:val="22"/>
        </w:rPr>
        <w:t>p</w:t>
      </w:r>
      <w:r w:rsidRPr="00212D57">
        <w:rPr>
          <w:szCs w:val="22"/>
        </w:rPr>
        <w:t>.</w:t>
      </w:r>
      <w:r w:rsidRPr="00761EF3">
        <w:rPr>
          <w:rFonts w:hint="eastAsia"/>
          <w:szCs w:val="22"/>
        </w:rPr>
        <w:t>180</w:t>
      </w:r>
      <w:r w:rsidRPr="00212D57">
        <w:rPr>
          <w:rFonts w:cs="Times Ext Roman"/>
          <w:szCs w:val="22"/>
        </w:rPr>
        <w:t>）</w:t>
      </w:r>
    </w:p>
  </w:footnote>
  <w:footnote w:id="10">
    <w:p w:rsidR="00157EF6" w:rsidRPr="00212D57" w:rsidRDefault="00157EF6" w:rsidP="00CB198A">
      <w:pPr>
        <w:pStyle w:val="a5"/>
        <w:ind w:left="187" w:hangingChars="85" w:hanging="187"/>
        <w:jc w:val="both"/>
        <w:rPr>
          <w:szCs w:val="22"/>
        </w:rPr>
      </w:pPr>
      <w:r w:rsidRPr="00212D57">
        <w:rPr>
          <w:rStyle w:val="a6"/>
          <w:szCs w:val="22"/>
        </w:rPr>
        <w:footnoteRef/>
      </w:r>
      <w:r w:rsidRPr="00212D57">
        <w:rPr>
          <w:szCs w:val="22"/>
        </w:rPr>
        <w:t xml:space="preserve"> </w:t>
      </w:r>
      <w:r w:rsidRPr="00212D57">
        <w:rPr>
          <w:rFonts w:hint="eastAsia"/>
          <w:szCs w:val="22"/>
        </w:rPr>
        <w:t>案：「星森」即楊星森，</w:t>
      </w:r>
      <w:r w:rsidR="009160B5">
        <w:rPr>
          <w:rFonts w:hint="eastAsia"/>
          <w:szCs w:val="22"/>
        </w:rPr>
        <w:t>參見：印</w:t>
      </w:r>
      <w:r w:rsidRPr="00212D57">
        <w:rPr>
          <w:rFonts w:hint="eastAsia"/>
          <w:szCs w:val="22"/>
        </w:rPr>
        <w:t>順法師，《平凡的一生》（重訂本），</w:t>
      </w:r>
      <w:r w:rsidRPr="00761EF3">
        <w:rPr>
          <w:rFonts w:hint="eastAsia"/>
          <w:szCs w:val="22"/>
        </w:rPr>
        <w:t>p</w:t>
      </w:r>
      <w:r w:rsidRPr="00212D57">
        <w:rPr>
          <w:rFonts w:hint="eastAsia"/>
          <w:szCs w:val="22"/>
        </w:rPr>
        <w:t>.</w:t>
      </w:r>
      <w:r w:rsidRPr="00761EF3">
        <w:rPr>
          <w:rFonts w:hint="eastAsia"/>
          <w:szCs w:val="22"/>
        </w:rPr>
        <w:t>155</w:t>
      </w:r>
      <w:r w:rsidRPr="00212D57">
        <w:rPr>
          <w:rFonts w:hint="eastAsia"/>
          <w:szCs w:val="22"/>
        </w:rPr>
        <w:t>：</w:t>
      </w:r>
    </w:p>
    <w:p w:rsidR="00157EF6" w:rsidRPr="00212D57" w:rsidRDefault="00157EF6" w:rsidP="009160B5">
      <w:pPr>
        <w:pStyle w:val="a5"/>
        <w:ind w:leftChars="275" w:left="660"/>
        <w:jc w:val="both"/>
        <w:rPr>
          <w:rFonts w:ascii="標楷體" w:eastAsia="標楷體" w:hAnsi="標楷體"/>
          <w:szCs w:val="22"/>
        </w:rPr>
      </w:pPr>
      <w:r w:rsidRPr="00212D57">
        <w:rPr>
          <w:rFonts w:ascii="標楷體" w:eastAsia="標楷體" w:hAnsi="標楷體" w:hint="eastAsia"/>
          <w:szCs w:val="22"/>
        </w:rPr>
        <w:t>三十六年（四十二歲）：正月，在武院，寫了〈僧裝改革評議〉。初夏，到奉化雪竇寺，與續明、楊星森等，編纂《太虛大師全書》。編纂期間，為續明等講《般若波羅蜜多心經》（講記），又講《中觀今論》，都由續明筆記。</w:t>
      </w:r>
    </w:p>
  </w:footnote>
  <w:footnote w:id="11">
    <w:p w:rsidR="00157EF6" w:rsidRPr="00212D57" w:rsidRDefault="00157EF6" w:rsidP="00AF06F1">
      <w:pPr>
        <w:pStyle w:val="a5"/>
        <w:spacing w:line="0" w:lineRule="atLeast"/>
        <w:ind w:left="704" w:hangingChars="320" w:hanging="704"/>
        <w:jc w:val="both"/>
        <w:rPr>
          <w:rFonts w:cs="Times Ext Roman"/>
          <w:szCs w:val="22"/>
        </w:rPr>
      </w:pPr>
      <w:r w:rsidRPr="00212D57">
        <w:rPr>
          <w:rStyle w:val="a6"/>
          <w:szCs w:val="22"/>
        </w:rPr>
        <w:footnoteRef/>
      </w:r>
      <w:r w:rsidRPr="00212D57">
        <w:rPr>
          <w:rFonts w:cs="Times Ext Roman" w:hint="eastAsia"/>
          <w:szCs w:val="22"/>
        </w:rPr>
        <w:t xml:space="preserve"> </w:t>
      </w:r>
      <w:r w:rsidRPr="00212D57">
        <w:rPr>
          <w:rFonts w:cs="Times Ext Roman" w:hint="eastAsia"/>
          <w:szCs w:val="22"/>
        </w:rPr>
        <w:t>（</w:t>
      </w:r>
      <w:r w:rsidRPr="00761EF3">
        <w:rPr>
          <w:rFonts w:hint="eastAsia"/>
          <w:szCs w:val="22"/>
        </w:rPr>
        <w:t>1</w:t>
      </w:r>
      <w:r w:rsidRPr="00212D57">
        <w:rPr>
          <w:rFonts w:cs="Times Ext Roman" w:hint="eastAsia"/>
          <w:szCs w:val="22"/>
        </w:rPr>
        <w:t>）</w:t>
      </w:r>
      <w:r w:rsidRPr="00212D57">
        <w:rPr>
          <w:szCs w:val="22"/>
        </w:rPr>
        <w:t>出入</w:t>
      </w:r>
      <w:r w:rsidRPr="00212D57">
        <w:rPr>
          <w:rFonts w:cs="Times Ext Roman"/>
          <w:szCs w:val="22"/>
        </w:rPr>
        <w:t>：</w:t>
      </w:r>
      <w:r w:rsidRPr="00761EF3">
        <w:rPr>
          <w:szCs w:val="22"/>
        </w:rPr>
        <w:t>10</w:t>
      </w:r>
      <w:r w:rsidRPr="00212D57">
        <w:rPr>
          <w:szCs w:val="22"/>
        </w:rPr>
        <w:t>.</w:t>
      </w:r>
      <w:r w:rsidRPr="00212D57">
        <w:rPr>
          <w:rFonts w:cs="Times Ext Roman"/>
          <w:szCs w:val="22"/>
        </w:rPr>
        <w:t>謂涉獵廣博，融會貫通。（《漢語大詞典》（</w:t>
      </w:r>
      <w:r w:rsidRPr="00212D57">
        <w:rPr>
          <w:rFonts w:cs="Times Ext Roman" w:hint="eastAsia"/>
          <w:szCs w:val="22"/>
        </w:rPr>
        <w:t>二</w:t>
      </w:r>
      <w:r w:rsidRPr="00212D57">
        <w:rPr>
          <w:rFonts w:cs="Times Ext Roman"/>
          <w:szCs w:val="22"/>
        </w:rPr>
        <w:t>），</w:t>
      </w:r>
      <w:r w:rsidRPr="00761EF3">
        <w:rPr>
          <w:szCs w:val="22"/>
        </w:rPr>
        <w:t>p</w:t>
      </w:r>
      <w:r w:rsidRPr="00212D57">
        <w:rPr>
          <w:szCs w:val="22"/>
        </w:rPr>
        <w:t>.</w:t>
      </w:r>
      <w:r w:rsidRPr="00761EF3">
        <w:rPr>
          <w:rFonts w:hint="eastAsia"/>
          <w:szCs w:val="22"/>
        </w:rPr>
        <w:t>474</w:t>
      </w:r>
      <w:r w:rsidRPr="00212D57">
        <w:rPr>
          <w:rFonts w:cs="Times Ext Roman"/>
          <w:szCs w:val="22"/>
        </w:rPr>
        <w:t>）</w:t>
      </w:r>
    </w:p>
    <w:p w:rsidR="009160B5" w:rsidRDefault="00157EF6" w:rsidP="00B23570">
      <w:pPr>
        <w:pStyle w:val="a5"/>
        <w:ind w:leftChars="80" w:left="709" w:hangingChars="235" w:hanging="517"/>
        <w:jc w:val="both"/>
        <w:rPr>
          <w:rFonts w:cs="Times Ext Roman"/>
          <w:szCs w:val="22"/>
        </w:rPr>
      </w:pPr>
      <w:r w:rsidRPr="00212D57">
        <w:rPr>
          <w:rFonts w:cs="Times Ext Roman" w:hint="eastAsia"/>
          <w:szCs w:val="22"/>
        </w:rPr>
        <w:t>（</w:t>
      </w:r>
      <w:r w:rsidRPr="00761EF3">
        <w:rPr>
          <w:rFonts w:hint="eastAsia"/>
          <w:szCs w:val="22"/>
        </w:rPr>
        <w:t>2</w:t>
      </w:r>
      <w:r w:rsidRPr="00212D57">
        <w:rPr>
          <w:rFonts w:cs="Times Ext Roman" w:hint="eastAsia"/>
          <w:szCs w:val="22"/>
        </w:rPr>
        <w:t>）</w:t>
      </w:r>
      <w:r w:rsidRPr="00212D57">
        <w:rPr>
          <w:rFonts w:cs="Times Ext Roman"/>
          <w:szCs w:val="22"/>
        </w:rPr>
        <w:t>諸家：</w:t>
      </w:r>
      <w:r w:rsidRPr="00761EF3">
        <w:rPr>
          <w:szCs w:val="22"/>
        </w:rPr>
        <w:t>2</w:t>
      </w:r>
      <w:r w:rsidRPr="00212D57">
        <w:rPr>
          <w:szCs w:val="22"/>
        </w:rPr>
        <w:t>.</w:t>
      </w:r>
      <w:r w:rsidRPr="00212D57">
        <w:rPr>
          <w:rFonts w:cs="Times Ext Roman"/>
          <w:szCs w:val="22"/>
        </w:rPr>
        <w:t>各個學派，亦指研究某一方面學問的各個專家。</w:t>
      </w:r>
    </w:p>
    <w:p w:rsidR="00157EF6" w:rsidRPr="00212D57" w:rsidRDefault="00157EF6" w:rsidP="009160B5">
      <w:pPr>
        <w:pStyle w:val="a5"/>
        <w:ind w:leftChars="80" w:left="709" w:hangingChars="235" w:hanging="517"/>
        <w:jc w:val="right"/>
        <w:rPr>
          <w:rFonts w:cs="Times Ext Roman"/>
          <w:szCs w:val="22"/>
        </w:rPr>
      </w:pPr>
      <w:r w:rsidRPr="00212D57">
        <w:rPr>
          <w:rFonts w:cs="Times Ext Roman"/>
          <w:szCs w:val="22"/>
        </w:rPr>
        <w:t>（《漢語大詞典》（</w:t>
      </w:r>
      <w:r w:rsidRPr="00212D57">
        <w:rPr>
          <w:rFonts w:cs="Times Ext Roman" w:hint="eastAsia"/>
          <w:szCs w:val="22"/>
        </w:rPr>
        <w:t>十一</w:t>
      </w:r>
      <w:r w:rsidRPr="00212D57">
        <w:rPr>
          <w:rFonts w:cs="Times Ext Roman"/>
          <w:szCs w:val="22"/>
        </w:rPr>
        <w:t>），</w:t>
      </w:r>
      <w:r w:rsidRPr="00761EF3">
        <w:rPr>
          <w:szCs w:val="22"/>
        </w:rPr>
        <w:t>p</w:t>
      </w:r>
      <w:r w:rsidRPr="00212D57">
        <w:rPr>
          <w:szCs w:val="22"/>
        </w:rPr>
        <w:t>.</w:t>
      </w:r>
      <w:r w:rsidRPr="00761EF3">
        <w:rPr>
          <w:rFonts w:hint="eastAsia"/>
          <w:szCs w:val="22"/>
        </w:rPr>
        <w:t>270</w:t>
      </w:r>
      <w:r w:rsidRPr="00212D57">
        <w:rPr>
          <w:rFonts w:cs="Times Ext Roman"/>
          <w:szCs w:val="22"/>
        </w:rPr>
        <w:t>）</w:t>
      </w:r>
    </w:p>
  </w:footnote>
  <w:footnote w:id="12">
    <w:p w:rsidR="00157EF6" w:rsidRPr="00212D57" w:rsidRDefault="00157EF6" w:rsidP="002803E9">
      <w:pPr>
        <w:pStyle w:val="a5"/>
        <w:spacing w:line="0" w:lineRule="atLeast"/>
        <w:ind w:left="264" w:hangingChars="120" w:hanging="264"/>
        <w:jc w:val="both"/>
        <w:rPr>
          <w:rFonts w:cs="Times Ext Roman"/>
          <w:szCs w:val="22"/>
        </w:rPr>
      </w:pPr>
      <w:r w:rsidRPr="00212D57">
        <w:rPr>
          <w:rStyle w:val="a6"/>
          <w:szCs w:val="22"/>
        </w:rPr>
        <w:footnoteRef/>
      </w:r>
      <w:r w:rsidRPr="00212D57">
        <w:rPr>
          <w:szCs w:val="22"/>
        </w:rPr>
        <w:t xml:space="preserve"> </w:t>
      </w:r>
      <w:r w:rsidRPr="00212D57">
        <w:rPr>
          <w:rFonts w:cs="Times Ext Roman"/>
          <w:szCs w:val="22"/>
        </w:rPr>
        <w:t>分外：</w:t>
      </w:r>
      <w:r w:rsidRPr="00761EF3">
        <w:rPr>
          <w:szCs w:val="22"/>
        </w:rPr>
        <w:t>2</w:t>
      </w:r>
      <w:r w:rsidRPr="00212D57">
        <w:rPr>
          <w:szCs w:val="22"/>
        </w:rPr>
        <w:t>.</w:t>
      </w:r>
      <w:r w:rsidRPr="00212D57">
        <w:rPr>
          <w:szCs w:val="22"/>
        </w:rPr>
        <w:t>格外</w:t>
      </w:r>
      <w:r w:rsidRPr="00212D57">
        <w:rPr>
          <w:rFonts w:cs="Times Ext Roman"/>
          <w:szCs w:val="22"/>
        </w:rPr>
        <w:t>，特別。（《漢語大詞典》（</w:t>
      </w:r>
      <w:r w:rsidRPr="00212D57">
        <w:rPr>
          <w:rFonts w:cs="Times Ext Roman" w:hint="eastAsia"/>
          <w:szCs w:val="22"/>
        </w:rPr>
        <w:t>二</w:t>
      </w:r>
      <w:r w:rsidRPr="00212D57">
        <w:rPr>
          <w:rFonts w:cs="Times Ext Roman"/>
          <w:szCs w:val="22"/>
        </w:rPr>
        <w:t>），</w:t>
      </w:r>
      <w:r w:rsidRPr="00761EF3">
        <w:rPr>
          <w:szCs w:val="22"/>
        </w:rPr>
        <w:t>p</w:t>
      </w:r>
      <w:r w:rsidRPr="00212D57">
        <w:rPr>
          <w:szCs w:val="22"/>
        </w:rPr>
        <w:t>.</w:t>
      </w:r>
      <w:r w:rsidRPr="00761EF3">
        <w:rPr>
          <w:rFonts w:hint="eastAsia"/>
          <w:szCs w:val="22"/>
        </w:rPr>
        <w:t>568</w:t>
      </w:r>
      <w:r w:rsidRPr="00212D57">
        <w:rPr>
          <w:rFonts w:cs="Times Ext Roman"/>
          <w:szCs w:val="22"/>
        </w:rPr>
        <w:t>）</w:t>
      </w:r>
    </w:p>
  </w:footnote>
  <w:footnote w:id="13">
    <w:p w:rsidR="00157EF6" w:rsidRPr="00212D57" w:rsidRDefault="00157EF6" w:rsidP="009160B5">
      <w:pPr>
        <w:pStyle w:val="a5"/>
        <w:spacing w:line="0" w:lineRule="atLeast"/>
        <w:ind w:left="1199" w:hangingChars="545" w:hanging="1199"/>
        <w:jc w:val="both"/>
        <w:rPr>
          <w:szCs w:val="22"/>
        </w:rPr>
      </w:pPr>
      <w:r w:rsidRPr="00212D57">
        <w:rPr>
          <w:rStyle w:val="a6"/>
          <w:szCs w:val="22"/>
        </w:rPr>
        <w:footnoteRef/>
      </w:r>
      <w:r w:rsidRPr="00212D57">
        <w:rPr>
          <w:rFonts w:cs="Times Ext Roman" w:hint="eastAsia"/>
          <w:szCs w:val="22"/>
        </w:rPr>
        <w:t xml:space="preserve"> </w:t>
      </w:r>
      <w:r w:rsidRPr="00212D57">
        <w:rPr>
          <w:rFonts w:cs="Times Ext Roman" w:hint="eastAsia"/>
          <w:szCs w:val="22"/>
        </w:rPr>
        <w:t>（</w:t>
      </w:r>
      <w:r w:rsidRPr="00761EF3">
        <w:rPr>
          <w:rFonts w:hint="eastAsia"/>
          <w:szCs w:val="22"/>
        </w:rPr>
        <w:t>1</w:t>
      </w:r>
      <w:r w:rsidRPr="00212D57">
        <w:rPr>
          <w:rFonts w:cs="Times Ext Roman" w:hint="eastAsia"/>
          <w:szCs w:val="22"/>
        </w:rPr>
        <w:t>）案：印順法師於</w:t>
      </w:r>
      <w:r w:rsidRPr="00212D57">
        <w:rPr>
          <w:rFonts w:cs="Times Ext Roman"/>
          <w:szCs w:val="22"/>
        </w:rPr>
        <w:t>《中觀今論》</w:t>
      </w:r>
      <w:r w:rsidR="00BA4FA6">
        <w:rPr>
          <w:rFonts w:cs="Times Ext Roman" w:hint="eastAsia"/>
          <w:szCs w:val="22"/>
        </w:rPr>
        <w:t>〈</w:t>
      </w:r>
      <w:r w:rsidR="00BA4FA6" w:rsidRPr="00212D57">
        <w:rPr>
          <w:rFonts w:cs="Times Ext Roman" w:hint="eastAsia"/>
          <w:szCs w:val="22"/>
        </w:rPr>
        <w:t>自序</w:t>
      </w:r>
      <w:r w:rsidR="00BA4FA6">
        <w:rPr>
          <w:rFonts w:cs="Times Ext Roman" w:hint="eastAsia"/>
          <w:szCs w:val="22"/>
        </w:rPr>
        <w:t>〉</w:t>
      </w:r>
      <w:r w:rsidRPr="00212D57">
        <w:rPr>
          <w:rFonts w:cs="Times Ext Roman" w:hint="eastAsia"/>
          <w:szCs w:val="22"/>
        </w:rPr>
        <w:t>（</w:t>
      </w:r>
      <w:r w:rsidRPr="00761EF3">
        <w:rPr>
          <w:rFonts w:hint="eastAsia"/>
          <w:szCs w:val="22"/>
        </w:rPr>
        <w:t>p</w:t>
      </w:r>
      <w:r w:rsidRPr="00212D57">
        <w:rPr>
          <w:szCs w:val="22"/>
        </w:rPr>
        <w:t>.</w:t>
      </w:r>
      <w:r w:rsidRPr="00761EF3">
        <w:rPr>
          <w:szCs w:val="22"/>
        </w:rPr>
        <w:t>3</w:t>
      </w:r>
      <w:r w:rsidRPr="00212D57">
        <w:rPr>
          <w:rFonts w:cs="Times Ext Roman" w:hint="eastAsia"/>
          <w:szCs w:val="22"/>
        </w:rPr>
        <w:t>）說：「</w:t>
      </w:r>
      <w:r w:rsidRPr="00212D57">
        <w:rPr>
          <w:rFonts w:ascii="標楷體" w:eastAsia="標楷體" w:hAnsi="標楷體" w:cs="Times Ext Roman"/>
          <w:szCs w:val="22"/>
        </w:rPr>
        <w:t>中觀學值得稱述的精義，莫過於</w:t>
      </w:r>
      <w:r w:rsidRPr="00212D57">
        <w:rPr>
          <w:rFonts w:ascii="標楷體" w:eastAsia="標楷體" w:hAnsi="標楷體" w:cs="Times Ext Roman" w:hint="eastAsia"/>
          <w:szCs w:val="22"/>
        </w:rPr>
        <w:t>『</w:t>
      </w:r>
      <w:r w:rsidRPr="00212D57">
        <w:rPr>
          <w:rFonts w:ascii="標楷體" w:eastAsia="標楷體" w:hAnsi="標楷體" w:cs="Times Ext Roman"/>
          <w:szCs w:val="22"/>
        </w:rPr>
        <w:t>大小共貫</w:t>
      </w:r>
      <w:r w:rsidRPr="00212D57">
        <w:rPr>
          <w:rFonts w:ascii="標楷體" w:eastAsia="標楷體" w:hAnsi="標楷體" w:cs="Times Ext Roman" w:hint="eastAsia"/>
          <w:szCs w:val="22"/>
        </w:rPr>
        <w:t>』</w:t>
      </w:r>
      <w:r w:rsidRPr="00212D57">
        <w:rPr>
          <w:rFonts w:ascii="標楷體" w:eastAsia="標楷體" w:hAnsi="標楷體" w:cs="Times Ext Roman"/>
          <w:szCs w:val="22"/>
        </w:rPr>
        <w:t>、</w:t>
      </w:r>
      <w:r w:rsidRPr="00212D57">
        <w:rPr>
          <w:rFonts w:ascii="標楷體" w:eastAsia="標楷體" w:hAnsi="標楷體" w:cs="Times Ext Roman" w:hint="eastAsia"/>
          <w:szCs w:val="22"/>
        </w:rPr>
        <w:t>『</w:t>
      </w:r>
      <w:r w:rsidRPr="00212D57">
        <w:rPr>
          <w:rFonts w:ascii="標楷體" w:eastAsia="標楷體" w:hAnsi="標楷體" w:cs="Times Ext Roman"/>
          <w:szCs w:val="22"/>
        </w:rPr>
        <w:t>真俗無礙</w:t>
      </w:r>
      <w:r w:rsidRPr="00212D57">
        <w:rPr>
          <w:rFonts w:ascii="標楷體" w:eastAsia="標楷體" w:hAnsi="標楷體" w:cs="Times Ext Roman" w:hint="eastAsia"/>
          <w:szCs w:val="22"/>
        </w:rPr>
        <w:t>』</w:t>
      </w:r>
      <w:r w:rsidRPr="00212D57">
        <w:rPr>
          <w:rFonts w:ascii="標楷體" w:eastAsia="標楷體" w:hAnsi="標楷體" w:cs="Times Ext Roman"/>
          <w:szCs w:val="22"/>
        </w:rPr>
        <w:t>。</w:t>
      </w:r>
      <w:r w:rsidRPr="00212D57">
        <w:rPr>
          <w:rFonts w:cs="Times Ext Roman" w:hint="eastAsia"/>
          <w:szCs w:val="22"/>
        </w:rPr>
        <w:t>」此處</w:t>
      </w:r>
      <w:r w:rsidRPr="00212D57">
        <w:rPr>
          <w:szCs w:val="22"/>
        </w:rPr>
        <w:t>雖僅說到「大小共貫」（〈序〉</w:t>
      </w:r>
      <w:r w:rsidR="00263591">
        <w:rPr>
          <w:rFonts w:hint="eastAsia"/>
          <w:szCs w:val="22"/>
        </w:rPr>
        <w:t>，</w:t>
      </w:r>
      <w:r w:rsidRPr="00761EF3">
        <w:rPr>
          <w:szCs w:val="22"/>
        </w:rPr>
        <w:t>pp</w:t>
      </w:r>
      <w:r w:rsidRPr="00212D57">
        <w:rPr>
          <w:szCs w:val="22"/>
        </w:rPr>
        <w:t>.</w:t>
      </w:r>
      <w:r w:rsidRPr="00761EF3">
        <w:rPr>
          <w:szCs w:val="22"/>
        </w:rPr>
        <w:t>3</w:t>
      </w:r>
      <w:r w:rsidRPr="00212D57">
        <w:rPr>
          <w:szCs w:val="22"/>
        </w:rPr>
        <w:t>-</w:t>
      </w:r>
      <w:r w:rsidRPr="00761EF3">
        <w:rPr>
          <w:szCs w:val="22"/>
        </w:rPr>
        <w:t>5</w:t>
      </w:r>
      <w:r w:rsidRPr="00212D57">
        <w:rPr>
          <w:szCs w:val="22"/>
        </w:rPr>
        <w:t>）、「真俗無礙」（理事無礙）（〈序〉</w:t>
      </w:r>
      <w:r w:rsidR="00263591">
        <w:rPr>
          <w:rFonts w:hint="eastAsia"/>
          <w:szCs w:val="22"/>
        </w:rPr>
        <w:t>，</w:t>
      </w:r>
      <w:r w:rsidRPr="00761EF3">
        <w:rPr>
          <w:szCs w:val="22"/>
        </w:rPr>
        <w:t>pp</w:t>
      </w:r>
      <w:r w:rsidRPr="00212D57">
        <w:rPr>
          <w:szCs w:val="22"/>
        </w:rPr>
        <w:t>.</w:t>
      </w:r>
      <w:r w:rsidRPr="00761EF3">
        <w:rPr>
          <w:szCs w:val="22"/>
        </w:rPr>
        <w:t>5</w:t>
      </w:r>
      <w:r w:rsidRPr="00212D57">
        <w:rPr>
          <w:szCs w:val="22"/>
        </w:rPr>
        <w:t>-</w:t>
      </w:r>
      <w:r w:rsidRPr="00761EF3">
        <w:rPr>
          <w:szCs w:val="22"/>
        </w:rPr>
        <w:t>7</w:t>
      </w:r>
      <w:r w:rsidRPr="00212D57">
        <w:rPr>
          <w:szCs w:val="22"/>
        </w:rPr>
        <w:t>），但從〈自序〉整體內容看來，或許可以再加上「悲智圓融」（〈序〉</w:t>
      </w:r>
      <w:r w:rsidR="00263591">
        <w:rPr>
          <w:rFonts w:hint="eastAsia"/>
          <w:szCs w:val="22"/>
        </w:rPr>
        <w:t>，</w:t>
      </w:r>
      <w:r w:rsidRPr="00761EF3">
        <w:rPr>
          <w:szCs w:val="22"/>
        </w:rPr>
        <w:t>pp</w:t>
      </w:r>
      <w:r w:rsidRPr="00212D57">
        <w:rPr>
          <w:szCs w:val="22"/>
        </w:rPr>
        <w:t>.</w:t>
      </w:r>
      <w:r w:rsidRPr="00761EF3">
        <w:rPr>
          <w:szCs w:val="22"/>
        </w:rPr>
        <w:t>7</w:t>
      </w:r>
      <w:r w:rsidRPr="00212D57">
        <w:rPr>
          <w:szCs w:val="22"/>
        </w:rPr>
        <w:t>-</w:t>
      </w:r>
      <w:r w:rsidRPr="00761EF3">
        <w:rPr>
          <w:szCs w:val="22"/>
        </w:rPr>
        <w:t>8</w:t>
      </w:r>
      <w:r w:rsidRPr="00212D57">
        <w:rPr>
          <w:szCs w:val="22"/>
        </w:rPr>
        <w:t>）與「空有融會」（〈序〉</w:t>
      </w:r>
      <w:r w:rsidR="00263591">
        <w:rPr>
          <w:rFonts w:hint="eastAsia"/>
          <w:szCs w:val="22"/>
        </w:rPr>
        <w:t>，</w:t>
      </w:r>
      <w:r w:rsidRPr="00761EF3">
        <w:rPr>
          <w:szCs w:val="22"/>
        </w:rPr>
        <w:t>p</w:t>
      </w:r>
      <w:r w:rsidRPr="00212D57">
        <w:rPr>
          <w:szCs w:val="22"/>
        </w:rPr>
        <w:t>.</w:t>
      </w:r>
      <w:r w:rsidRPr="00761EF3">
        <w:rPr>
          <w:szCs w:val="22"/>
        </w:rPr>
        <w:t>9</w:t>
      </w:r>
      <w:r w:rsidRPr="00212D57">
        <w:rPr>
          <w:szCs w:val="22"/>
        </w:rPr>
        <w:t>）。</w:t>
      </w:r>
    </w:p>
    <w:p w:rsidR="00157EF6" w:rsidRPr="00212D57" w:rsidRDefault="00157EF6" w:rsidP="009160B5">
      <w:pPr>
        <w:pStyle w:val="a5"/>
        <w:ind w:leftChars="105" w:left="1242" w:hangingChars="450" w:hanging="990"/>
        <w:jc w:val="both"/>
        <w:rPr>
          <w:rFonts w:cs="Times Ext Roman"/>
          <w:szCs w:val="22"/>
        </w:rPr>
      </w:pPr>
      <w:r w:rsidRPr="00212D57">
        <w:rPr>
          <w:rFonts w:cs="Times Ext Roman" w:hint="eastAsia"/>
          <w:szCs w:val="22"/>
        </w:rPr>
        <w:t>（</w:t>
      </w:r>
      <w:r w:rsidRPr="00761EF3">
        <w:rPr>
          <w:rFonts w:hint="eastAsia"/>
          <w:szCs w:val="22"/>
        </w:rPr>
        <w:t>2</w:t>
      </w:r>
      <w:r w:rsidRPr="00212D57">
        <w:rPr>
          <w:rFonts w:cs="Times Ext Roman" w:hint="eastAsia"/>
          <w:szCs w:val="22"/>
        </w:rPr>
        <w:t>）</w:t>
      </w:r>
      <w:r w:rsidRPr="00212D57">
        <w:rPr>
          <w:rFonts w:cs="Times Ext Roman" w:hint="eastAsia"/>
          <w:spacing w:val="6"/>
          <w:szCs w:val="22"/>
        </w:rPr>
        <w:t>案：印順法師於</w:t>
      </w:r>
      <w:r w:rsidRPr="00212D57">
        <w:rPr>
          <w:rFonts w:cs="Times Ext Roman"/>
          <w:spacing w:val="6"/>
          <w:szCs w:val="22"/>
        </w:rPr>
        <w:t>《中觀</w:t>
      </w:r>
      <w:r w:rsidRPr="00212D57">
        <w:rPr>
          <w:rFonts w:cs="Times Ext Roman" w:hint="eastAsia"/>
          <w:spacing w:val="6"/>
          <w:szCs w:val="22"/>
        </w:rPr>
        <w:t>論頌講記</w:t>
      </w:r>
      <w:r w:rsidRPr="00212D57">
        <w:rPr>
          <w:rFonts w:cs="Times Ext Roman"/>
          <w:spacing w:val="6"/>
          <w:szCs w:val="22"/>
        </w:rPr>
        <w:t>》</w:t>
      </w:r>
      <w:r w:rsidRPr="00212D57">
        <w:rPr>
          <w:rFonts w:cs="Times Ext Roman" w:hint="eastAsia"/>
          <w:spacing w:val="6"/>
          <w:szCs w:val="22"/>
        </w:rPr>
        <w:t>（</w:t>
      </w:r>
      <w:r w:rsidRPr="00761EF3">
        <w:rPr>
          <w:rFonts w:hint="eastAsia"/>
          <w:spacing w:val="6"/>
          <w:szCs w:val="22"/>
        </w:rPr>
        <w:t>pp</w:t>
      </w:r>
      <w:r w:rsidRPr="00212D57">
        <w:rPr>
          <w:rFonts w:hint="eastAsia"/>
          <w:spacing w:val="6"/>
          <w:szCs w:val="22"/>
        </w:rPr>
        <w:t>.</w:t>
      </w:r>
      <w:r w:rsidRPr="00761EF3">
        <w:rPr>
          <w:rFonts w:hint="eastAsia"/>
          <w:spacing w:val="6"/>
          <w:szCs w:val="22"/>
        </w:rPr>
        <w:t>17</w:t>
      </w:r>
      <w:r w:rsidRPr="00212D57">
        <w:rPr>
          <w:rFonts w:hint="eastAsia"/>
          <w:spacing w:val="6"/>
          <w:szCs w:val="22"/>
        </w:rPr>
        <w:t>-</w:t>
      </w:r>
      <w:r w:rsidRPr="00761EF3">
        <w:rPr>
          <w:rFonts w:hint="eastAsia"/>
          <w:spacing w:val="6"/>
          <w:szCs w:val="22"/>
        </w:rPr>
        <w:t>35</w:t>
      </w:r>
      <w:r w:rsidRPr="00212D57">
        <w:rPr>
          <w:rFonts w:cs="Times Ext Roman" w:hint="eastAsia"/>
          <w:spacing w:val="6"/>
          <w:szCs w:val="22"/>
        </w:rPr>
        <w:t>）提到「《中論》之特色：一、</w:t>
      </w:r>
      <w:r w:rsidRPr="00212D57">
        <w:rPr>
          <w:rFonts w:cs="Times Ext Roman" w:hint="eastAsia"/>
          <w:szCs w:val="22"/>
        </w:rPr>
        <w:t>有空無礙，二、大小並暢，三、立破善巧。」此處之「有空無礙」、「大小並暢」，分別與《中觀今論》所說之「</w:t>
      </w:r>
      <w:r w:rsidRPr="00212D57">
        <w:rPr>
          <w:rFonts w:cs="Times Ext Roman"/>
          <w:szCs w:val="22"/>
        </w:rPr>
        <w:t>空有融會</w:t>
      </w:r>
      <w:r w:rsidRPr="00212D57">
        <w:rPr>
          <w:rFonts w:cs="Times Ext Roman" w:hint="eastAsia"/>
          <w:szCs w:val="22"/>
        </w:rPr>
        <w:t>」、「大小共貫」相合。</w:t>
      </w:r>
    </w:p>
  </w:footnote>
  <w:footnote w:id="14">
    <w:p w:rsidR="00157EF6" w:rsidRPr="00212D57" w:rsidRDefault="00157EF6" w:rsidP="002803E9">
      <w:pPr>
        <w:pStyle w:val="a5"/>
        <w:spacing w:line="0" w:lineRule="atLeast"/>
        <w:ind w:left="792" w:hangingChars="360" w:hanging="792"/>
        <w:jc w:val="both"/>
        <w:rPr>
          <w:rFonts w:cs="Times Ext Roman"/>
          <w:szCs w:val="22"/>
        </w:rPr>
      </w:pPr>
      <w:r w:rsidRPr="00212D57">
        <w:rPr>
          <w:rStyle w:val="a6"/>
          <w:szCs w:val="22"/>
        </w:rPr>
        <w:footnoteRef/>
      </w:r>
      <w:r w:rsidRPr="00212D57">
        <w:rPr>
          <w:rFonts w:cs="Times Ext Roman" w:hint="eastAsia"/>
          <w:szCs w:val="22"/>
        </w:rPr>
        <w:t xml:space="preserve"> </w:t>
      </w:r>
      <w:r w:rsidRPr="00212D57">
        <w:rPr>
          <w:rFonts w:cs="Times Ext Roman" w:hint="eastAsia"/>
          <w:szCs w:val="22"/>
        </w:rPr>
        <w:t>（</w:t>
      </w:r>
      <w:r w:rsidRPr="00761EF3">
        <w:rPr>
          <w:szCs w:val="22"/>
        </w:rPr>
        <w:t>1</w:t>
      </w:r>
      <w:r w:rsidRPr="00212D57">
        <w:rPr>
          <w:rFonts w:cs="Times Ext Roman" w:hint="eastAsia"/>
          <w:szCs w:val="22"/>
        </w:rPr>
        <w:t>）《</w:t>
      </w:r>
      <w:r w:rsidRPr="00212D57">
        <w:rPr>
          <w:rFonts w:cs="Times Ext Roman"/>
          <w:szCs w:val="22"/>
        </w:rPr>
        <w:t>大智度論》卷</w:t>
      </w:r>
      <w:r w:rsidRPr="00761EF3">
        <w:rPr>
          <w:szCs w:val="22"/>
        </w:rPr>
        <w:t>90</w:t>
      </w:r>
      <w:r w:rsidR="00AC0462" w:rsidRPr="00AC0462">
        <w:rPr>
          <w:rFonts w:hint="eastAsia"/>
          <w:color w:val="FF0000"/>
          <w:szCs w:val="22"/>
          <w:highlight w:val="yellow"/>
        </w:rPr>
        <w:t>釋</w:t>
      </w:r>
      <w:r w:rsidRPr="00212D57">
        <w:rPr>
          <w:rFonts w:cs="Times Ext Roman" w:hint="eastAsia"/>
          <w:szCs w:val="22"/>
        </w:rPr>
        <w:t>〈</w:t>
      </w:r>
      <w:r w:rsidRPr="00761EF3">
        <w:rPr>
          <w:rFonts w:hint="eastAsia"/>
          <w:szCs w:val="22"/>
        </w:rPr>
        <w:t>80</w:t>
      </w:r>
      <w:r w:rsidRPr="00212D57">
        <w:rPr>
          <w:rFonts w:hint="eastAsia"/>
          <w:szCs w:val="22"/>
        </w:rPr>
        <w:t xml:space="preserve"> </w:t>
      </w:r>
      <w:r w:rsidRPr="00212D57">
        <w:rPr>
          <w:rFonts w:cs="Times Ext Roman" w:hint="eastAsia"/>
          <w:szCs w:val="22"/>
        </w:rPr>
        <w:t>實際品〉</w:t>
      </w:r>
      <w:r w:rsidRPr="00212D57">
        <w:rPr>
          <w:rFonts w:cs="Times Ext Roman"/>
          <w:szCs w:val="22"/>
        </w:rPr>
        <w:t>（大正</w:t>
      </w:r>
      <w:r w:rsidRPr="00761EF3">
        <w:rPr>
          <w:szCs w:val="22"/>
        </w:rPr>
        <w:t>25</w:t>
      </w:r>
      <w:r w:rsidRPr="00212D57">
        <w:rPr>
          <w:rFonts w:cs="Times Ext Roman"/>
          <w:szCs w:val="22"/>
        </w:rPr>
        <w:t>，</w:t>
      </w:r>
      <w:r w:rsidRPr="00761EF3">
        <w:rPr>
          <w:szCs w:val="22"/>
        </w:rPr>
        <w:t>697a5</w:t>
      </w:r>
      <w:r w:rsidRPr="00212D57">
        <w:rPr>
          <w:szCs w:val="22"/>
        </w:rPr>
        <w:t>-</w:t>
      </w:r>
      <w:r w:rsidRPr="00761EF3">
        <w:rPr>
          <w:szCs w:val="22"/>
        </w:rPr>
        <w:t>20</w:t>
      </w:r>
      <w:r w:rsidRPr="00212D57">
        <w:rPr>
          <w:rFonts w:cs="Times Ext Roman"/>
          <w:szCs w:val="22"/>
        </w:rPr>
        <w:t>）：</w:t>
      </w:r>
    </w:p>
    <w:p w:rsidR="00157EF6" w:rsidRPr="00212D57" w:rsidRDefault="00157EF6" w:rsidP="00717FD5">
      <w:pPr>
        <w:pStyle w:val="af"/>
        <w:snapToGrid w:val="0"/>
        <w:ind w:leftChars="335" w:left="804"/>
        <w:jc w:val="both"/>
        <w:rPr>
          <w:rFonts w:ascii="Times New Roman" w:eastAsia="新細明體" w:hAnsi="Times New Roman" w:cs="Times Ext Roman"/>
          <w:sz w:val="22"/>
          <w:szCs w:val="22"/>
        </w:rPr>
      </w:pPr>
      <w:r w:rsidRPr="00212D57">
        <w:rPr>
          <w:rFonts w:ascii="Times New Roman" w:eastAsia="標楷體" w:hAnsi="Times New Roman" w:cs="Times Ext Roman"/>
          <w:b/>
          <w:sz w:val="22"/>
          <w:szCs w:val="22"/>
        </w:rPr>
        <w:t>若</w:t>
      </w:r>
      <w:r w:rsidR="009160B5">
        <w:rPr>
          <w:rFonts w:ascii="標楷體" w:eastAsia="標楷體" w:hAnsi="標楷體" w:hint="eastAsia"/>
          <w:bCs/>
          <w:color w:val="FF0000"/>
          <w:kern w:val="0"/>
          <w:sz w:val="22"/>
          <w:highlight w:val="yellow"/>
        </w:rPr>
        <w:t>「</w:t>
      </w:r>
      <w:r w:rsidR="009160B5">
        <w:rPr>
          <w:rFonts w:ascii="標楷體" w:eastAsia="標楷體" w:hAnsi="標楷體" w:hint="eastAsia"/>
          <w:color w:val="FF0000"/>
          <w:kern w:val="0"/>
          <w:sz w:val="22"/>
          <w:highlight w:val="yellow"/>
        </w:rPr>
        <w:t>『</w:t>
      </w:r>
      <w:r w:rsidRPr="00212D57">
        <w:rPr>
          <w:rFonts w:ascii="Times New Roman" w:eastAsia="標楷體" w:hAnsi="Times New Roman" w:cs="Times Ext Roman"/>
          <w:b/>
          <w:sz w:val="22"/>
          <w:szCs w:val="22"/>
        </w:rPr>
        <w:t>無明</w:t>
      </w:r>
      <w:r w:rsidR="009160B5">
        <w:rPr>
          <w:rFonts w:ascii="標楷體" w:eastAsia="標楷體" w:hAnsi="標楷體" w:hint="eastAsia"/>
          <w:color w:val="FF0000"/>
          <w:kern w:val="0"/>
          <w:sz w:val="22"/>
          <w:highlight w:val="yellow"/>
        </w:rPr>
        <w:t>』</w:t>
      </w:r>
      <w:r w:rsidRPr="00212D57">
        <w:rPr>
          <w:rFonts w:ascii="Times New Roman" w:eastAsia="標楷體" w:hAnsi="Times New Roman" w:cs="Times Ext Roman"/>
          <w:b/>
          <w:sz w:val="22"/>
          <w:szCs w:val="22"/>
        </w:rPr>
        <w:t>因緣</w:t>
      </w:r>
      <w:r w:rsidR="009160B5">
        <w:rPr>
          <w:rFonts w:ascii="標楷體" w:eastAsia="標楷體" w:hAnsi="標楷體" w:hint="eastAsia"/>
          <w:bCs/>
          <w:color w:val="FF0000"/>
          <w:kern w:val="0"/>
          <w:sz w:val="22"/>
          <w:highlight w:val="yellow"/>
        </w:rPr>
        <w:t>」</w:t>
      </w:r>
      <w:r w:rsidRPr="00212D57">
        <w:rPr>
          <w:rFonts w:ascii="Times New Roman" w:eastAsia="標楷體" w:hAnsi="Times New Roman" w:cs="Times Ext Roman"/>
          <w:b/>
          <w:sz w:val="22"/>
          <w:szCs w:val="22"/>
        </w:rPr>
        <w:t>更求其本，則無窮，即墮邊見，失涅槃道</w:t>
      </w:r>
      <w:r w:rsidRPr="00212D57">
        <w:rPr>
          <w:rFonts w:ascii="Times New Roman" w:eastAsia="標楷體" w:hAnsi="Times New Roman" w:cs="Times Ext Roman"/>
          <w:sz w:val="22"/>
          <w:szCs w:val="22"/>
        </w:rPr>
        <w:t>，是故不應求</w:t>
      </w:r>
      <w:r w:rsidR="009160B5">
        <w:rPr>
          <w:rFonts w:ascii="標楷體" w:eastAsia="標楷體" w:hAnsi="標楷體" w:hint="eastAsia"/>
          <w:color w:val="FF0000"/>
          <w:spacing w:val="-4"/>
          <w:kern w:val="0"/>
          <w:sz w:val="22"/>
          <w:highlight w:val="yellow"/>
        </w:rPr>
        <w:t>；</w:t>
      </w:r>
      <w:r w:rsidRPr="00212D57">
        <w:rPr>
          <w:rFonts w:ascii="Times New Roman" w:eastAsia="標楷體" w:hAnsi="Times New Roman" w:cs="Times Ext Roman"/>
          <w:b/>
          <w:sz w:val="22"/>
          <w:szCs w:val="22"/>
        </w:rPr>
        <w:t>若更求，則墮戲論，非是佛法</w:t>
      </w:r>
      <w:r w:rsidRPr="00212D57">
        <w:rPr>
          <w:rFonts w:ascii="Times New Roman" w:eastAsia="標楷體" w:hAnsi="Times New Roman" w:cs="Times Ext Roman"/>
          <w:sz w:val="22"/>
          <w:szCs w:val="22"/>
        </w:rPr>
        <w:t>。菩薩欲斷無明故，求</w:t>
      </w:r>
      <w:r w:rsidR="009160B5">
        <w:rPr>
          <w:rFonts w:ascii="標楷體" w:eastAsia="標楷體" w:hAnsi="標楷體" w:hint="eastAsia"/>
          <w:bCs/>
          <w:color w:val="FF0000"/>
          <w:kern w:val="0"/>
          <w:sz w:val="22"/>
          <w:highlight w:val="yellow"/>
        </w:rPr>
        <w:t>「</w:t>
      </w:r>
      <w:r w:rsidR="009160B5">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無明</w:t>
      </w:r>
      <w:r w:rsidR="009160B5">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體相</w:t>
      </w:r>
      <w:r w:rsidR="009160B5">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，求時即入畢竟空。何以故？佛經說</w:t>
      </w:r>
      <w:r w:rsidR="009160B5">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無明相</w:t>
      </w:r>
      <w:r w:rsidR="009160B5">
        <w:rPr>
          <w:rFonts w:ascii="標楷體" w:eastAsia="標楷體" w:hAnsi="標楷體" w:hint="eastAsia"/>
          <w:bCs/>
          <w:color w:val="FF0000"/>
          <w:kern w:val="0"/>
          <w:sz w:val="22"/>
          <w:highlight w:val="yellow"/>
        </w:rPr>
        <w:t>」</w:t>
      </w:r>
      <w:r w:rsidR="009160B5">
        <w:rPr>
          <w:rFonts w:ascii="標楷體" w:eastAsia="標楷體" w:hAnsi="標楷體" w:hint="eastAsia"/>
          <w:color w:val="FF0000"/>
          <w:kern w:val="0"/>
          <w:sz w:val="22"/>
          <w:highlight w:val="yellow"/>
        </w:rPr>
        <w:t>──</w:t>
      </w:r>
      <w:r w:rsidR="009160B5">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內法不知，外法不知，內外法不知</w:t>
      </w:r>
      <w:r w:rsidR="009160B5">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w:t>
      </w:r>
      <w:r w:rsidR="009160B5" w:rsidRPr="009160B5">
        <w:rPr>
          <w:rFonts w:ascii="Times New Roman" w:eastAsia="標楷體" w:hAnsi="Times New Roman" w:cs="Times Ext Roman" w:hint="eastAsia"/>
          <w:color w:val="FF0000"/>
          <w:sz w:val="22"/>
          <w:szCs w:val="22"/>
          <w:shd w:val="pct15" w:color="auto" w:fill="FFFFFF"/>
        </w:rPr>
        <w:t>*</w:t>
      </w:r>
      <w:r w:rsidR="009160B5" w:rsidRPr="009160B5">
        <w:rPr>
          <w:rFonts w:ascii="Times New Roman" w:eastAsia="標楷體" w:hAnsi="Times New Roman" w:cs="Times Ext Roman" w:hint="eastAsia"/>
          <w:color w:val="FF0000"/>
          <w:sz w:val="22"/>
          <w:szCs w:val="22"/>
          <w:shd w:val="pct15" w:color="auto" w:fill="FFFFFF"/>
          <w:vertAlign w:val="superscript"/>
        </w:rPr>
        <w:t>1</w:t>
      </w:r>
      <w:r w:rsidRPr="00212D57">
        <w:rPr>
          <w:rFonts w:ascii="Times New Roman" w:eastAsia="標楷體" w:hAnsi="Times New Roman" w:cs="Times Ext Roman"/>
          <w:sz w:val="22"/>
          <w:szCs w:val="22"/>
        </w:rPr>
        <w:t>菩薩</w:t>
      </w:r>
      <w:r w:rsidR="009160B5">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以內空觀內法，內法即空；以外空觀外法，外法即空；以內外空觀內外法，內外法即空。如是一切是</w:t>
      </w:r>
      <w:r w:rsidR="009160B5">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無明相</w:t>
      </w:r>
      <w:r w:rsidR="009160B5">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；如先品，</w:t>
      </w:r>
      <w:r w:rsidRPr="00212D57">
        <w:rPr>
          <w:rFonts w:ascii="Times New Roman" w:eastAsia="標楷體" w:hAnsi="Times New Roman" w:cs="Times Ext Roman"/>
          <w:b/>
          <w:sz w:val="22"/>
          <w:szCs w:val="22"/>
        </w:rPr>
        <w:t>《德女經》</w:t>
      </w:r>
      <w:r w:rsidRPr="00212D57">
        <w:rPr>
          <w:rFonts w:ascii="Times New Roman" w:eastAsia="標楷體" w:hAnsi="Times New Roman" w:cs="Times Ext Roman"/>
          <w:sz w:val="22"/>
          <w:szCs w:val="22"/>
        </w:rPr>
        <w:t>中</w:t>
      </w:r>
      <w:r w:rsidR="009160B5">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破無明</w:t>
      </w:r>
      <w:r w:rsidR="009160B5">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廣說。</w:t>
      </w:r>
      <w:r w:rsidR="009160B5" w:rsidRPr="009160B5">
        <w:rPr>
          <w:rFonts w:ascii="Times New Roman" w:eastAsia="標楷體" w:hAnsi="Times New Roman" w:cs="Times Ext Roman" w:hint="eastAsia"/>
          <w:sz w:val="22"/>
          <w:szCs w:val="22"/>
          <w:shd w:val="pct15" w:color="auto" w:fill="FFFFFF"/>
        </w:rPr>
        <w:t>*</w:t>
      </w:r>
      <w:r w:rsidR="009160B5" w:rsidRPr="009160B5">
        <w:rPr>
          <w:rFonts w:ascii="Times New Roman" w:eastAsia="標楷體" w:hAnsi="Times New Roman" w:cs="Times Ext Roman" w:hint="eastAsia"/>
          <w:sz w:val="22"/>
          <w:szCs w:val="22"/>
          <w:shd w:val="pct15" w:color="auto" w:fill="FFFFFF"/>
          <w:vertAlign w:val="superscript"/>
        </w:rPr>
        <w:t>2</w:t>
      </w:r>
    </w:p>
    <w:p w:rsidR="00157EF6" w:rsidRPr="00212D57" w:rsidRDefault="00157EF6" w:rsidP="00717FD5">
      <w:pPr>
        <w:pStyle w:val="a5"/>
        <w:ind w:leftChars="335" w:left="804"/>
        <w:jc w:val="both"/>
        <w:rPr>
          <w:rFonts w:eastAsia="標楷體" w:cs="Times Ext Roman"/>
          <w:szCs w:val="22"/>
        </w:rPr>
      </w:pPr>
      <w:r w:rsidRPr="00212D57">
        <w:rPr>
          <w:rFonts w:eastAsia="標楷體" w:cs="Times Ext Roman"/>
          <w:szCs w:val="22"/>
        </w:rPr>
        <w:t>復次，菩薩求</w:t>
      </w:r>
      <w:r w:rsidR="009160B5">
        <w:rPr>
          <w:rFonts w:ascii="標楷體" w:eastAsia="標楷體" w:hAnsi="標楷體" w:hint="eastAsia"/>
          <w:bCs/>
          <w:color w:val="FF0000"/>
          <w:kern w:val="0"/>
          <w:highlight w:val="yellow"/>
        </w:rPr>
        <w:t>「</w:t>
      </w:r>
      <w:r w:rsidR="009160B5">
        <w:rPr>
          <w:rFonts w:ascii="標楷體" w:eastAsia="標楷體" w:hAnsi="標楷體" w:hint="eastAsia"/>
          <w:color w:val="FF0000"/>
          <w:kern w:val="0"/>
          <w:highlight w:val="yellow"/>
        </w:rPr>
        <w:t>『</w:t>
      </w:r>
      <w:r w:rsidRPr="00212D57">
        <w:rPr>
          <w:rFonts w:eastAsia="標楷體" w:cs="Times Ext Roman"/>
          <w:szCs w:val="22"/>
        </w:rPr>
        <w:t>無明</w:t>
      </w:r>
      <w:r w:rsidR="009160B5">
        <w:rPr>
          <w:rFonts w:ascii="標楷體" w:eastAsia="標楷體" w:hAnsi="標楷體" w:hint="eastAsia"/>
          <w:color w:val="FF0000"/>
          <w:kern w:val="0"/>
          <w:highlight w:val="yellow"/>
        </w:rPr>
        <w:t>』</w:t>
      </w:r>
      <w:r w:rsidRPr="00212D57">
        <w:rPr>
          <w:rFonts w:eastAsia="標楷體" w:cs="Times Ext Roman"/>
          <w:szCs w:val="22"/>
        </w:rPr>
        <w:t>體</w:t>
      </w:r>
      <w:r w:rsidR="009160B5">
        <w:rPr>
          <w:rFonts w:ascii="標楷體" w:eastAsia="標楷體" w:hAnsi="標楷體" w:hint="eastAsia"/>
          <w:bCs/>
          <w:color w:val="FF0000"/>
          <w:kern w:val="0"/>
          <w:highlight w:val="yellow"/>
        </w:rPr>
        <w:t>」</w:t>
      </w:r>
      <w:r w:rsidRPr="00212D57">
        <w:rPr>
          <w:rFonts w:eastAsia="標楷體" w:cs="Times Ext Roman"/>
          <w:szCs w:val="22"/>
        </w:rPr>
        <w:t>，即時是</w:t>
      </w:r>
      <w:r w:rsidR="009160B5">
        <w:rPr>
          <w:rFonts w:ascii="標楷體" w:eastAsia="標楷體" w:hAnsi="標楷體" w:hint="eastAsia"/>
          <w:bCs/>
          <w:color w:val="FF0000"/>
          <w:kern w:val="0"/>
          <w:highlight w:val="yellow"/>
        </w:rPr>
        <w:t>「</w:t>
      </w:r>
      <w:r w:rsidRPr="00212D57">
        <w:rPr>
          <w:rFonts w:eastAsia="標楷體" w:cs="Times Ext Roman"/>
          <w:szCs w:val="22"/>
        </w:rPr>
        <w:t>明</w:t>
      </w:r>
      <w:r w:rsidR="009160B5">
        <w:rPr>
          <w:rFonts w:ascii="標楷體" w:eastAsia="標楷體" w:hAnsi="標楷體" w:hint="eastAsia"/>
          <w:bCs/>
          <w:color w:val="FF0000"/>
          <w:kern w:val="0"/>
          <w:highlight w:val="yellow"/>
        </w:rPr>
        <w:t>」</w:t>
      </w:r>
      <w:r w:rsidRPr="00212D57">
        <w:rPr>
          <w:rFonts w:eastAsia="標楷體" w:cs="Times Ext Roman"/>
          <w:szCs w:val="22"/>
        </w:rPr>
        <w:t>，所謂</w:t>
      </w:r>
      <w:r w:rsidR="009160B5">
        <w:rPr>
          <w:rFonts w:ascii="標楷體" w:eastAsia="標楷體" w:hAnsi="標楷體" w:hint="eastAsia"/>
          <w:bCs/>
          <w:color w:val="FF0000"/>
          <w:kern w:val="0"/>
          <w:highlight w:val="yellow"/>
        </w:rPr>
        <w:t>「</w:t>
      </w:r>
      <w:r w:rsidRPr="00212D57">
        <w:rPr>
          <w:rFonts w:eastAsia="標楷體" w:cs="Times Ext Roman"/>
          <w:szCs w:val="22"/>
        </w:rPr>
        <w:t>諸法實相</w:t>
      </w:r>
      <w:r w:rsidR="009160B5">
        <w:rPr>
          <w:rFonts w:ascii="標楷體" w:eastAsia="標楷體" w:hAnsi="標楷體" w:hint="eastAsia"/>
          <w:bCs/>
          <w:color w:val="FF0000"/>
          <w:kern w:val="0"/>
          <w:highlight w:val="yellow"/>
        </w:rPr>
        <w:t>」，</w:t>
      </w:r>
      <w:r w:rsidRPr="00212D57">
        <w:rPr>
          <w:rFonts w:eastAsia="標楷體" w:cs="Times Ext Roman"/>
          <w:szCs w:val="22"/>
        </w:rPr>
        <w:t>名為</w:t>
      </w:r>
      <w:r w:rsidR="009160B5">
        <w:rPr>
          <w:rFonts w:ascii="標楷體" w:eastAsia="標楷體" w:hAnsi="標楷體" w:hint="eastAsia"/>
          <w:bCs/>
          <w:color w:val="FF0000"/>
          <w:kern w:val="0"/>
          <w:highlight w:val="yellow"/>
        </w:rPr>
        <w:t>「</w:t>
      </w:r>
      <w:r w:rsidRPr="00212D57">
        <w:rPr>
          <w:rFonts w:eastAsia="標楷體" w:cs="Times Ext Roman"/>
          <w:szCs w:val="22"/>
        </w:rPr>
        <w:t>實際</w:t>
      </w:r>
      <w:r w:rsidR="009160B5">
        <w:rPr>
          <w:rFonts w:ascii="標楷體" w:eastAsia="標楷體" w:hAnsi="標楷體" w:hint="eastAsia"/>
          <w:bCs/>
          <w:color w:val="FF0000"/>
          <w:kern w:val="0"/>
          <w:highlight w:val="yellow"/>
        </w:rPr>
        <w:t>」</w:t>
      </w:r>
      <w:r w:rsidR="009160B5">
        <w:rPr>
          <w:rFonts w:ascii="標楷體" w:eastAsia="標楷體" w:hAnsi="標楷體" w:hint="eastAsia"/>
          <w:color w:val="FF0000"/>
          <w:spacing w:val="-4"/>
          <w:kern w:val="0"/>
          <w:highlight w:val="yellow"/>
        </w:rPr>
        <w:t>；</w:t>
      </w:r>
      <w:r w:rsidRPr="00212D57">
        <w:rPr>
          <w:rFonts w:eastAsia="標楷體" w:cs="Times Ext Roman"/>
          <w:szCs w:val="22"/>
        </w:rPr>
        <w:t>觀諸法如幻如化</w:t>
      </w:r>
      <w:r w:rsidR="009160B5">
        <w:rPr>
          <w:rFonts w:ascii="標楷體" w:eastAsia="標楷體" w:hAnsi="標楷體" w:hint="eastAsia"/>
          <w:color w:val="FF0000"/>
          <w:kern w:val="0"/>
          <w:highlight w:val="yellow"/>
        </w:rPr>
        <w:t>。</w:t>
      </w:r>
      <w:r w:rsidRPr="00212D57">
        <w:rPr>
          <w:rFonts w:eastAsia="標楷體" w:cs="Times Ext Roman"/>
          <w:szCs w:val="22"/>
        </w:rPr>
        <w:t>眾生顛倒因緣故，起諸煩惱，作惡罪業，輪轉五道，受生死苦。譬如蠶出絲自裹縛，入沸湯火炙；凡夫眾生亦如是，初生時未有諸煩惱，後自生貪欲、瞋恚等諸煩惱，是煩惱因緣故，覆真智慧，轉身受地獄火燒湯煮。</w:t>
      </w:r>
    </w:p>
    <w:p w:rsidR="009160B5" w:rsidRPr="009160B5" w:rsidRDefault="009160B5" w:rsidP="00717FD5">
      <w:pPr>
        <w:pStyle w:val="a5"/>
        <w:ind w:leftChars="335" w:left="1024" w:hangingChars="100" w:hanging="220"/>
        <w:jc w:val="both"/>
        <w:rPr>
          <w:rFonts w:eastAsia="標楷體"/>
          <w:szCs w:val="22"/>
          <w:shd w:val="pct15" w:color="auto" w:fill="FFFFFF"/>
        </w:rPr>
      </w:pPr>
      <w:r w:rsidRPr="009160B5">
        <w:rPr>
          <w:rFonts w:eastAsia="標楷體" w:hint="eastAsia"/>
          <w:color w:val="FF0000"/>
          <w:szCs w:val="22"/>
          <w:shd w:val="pct15" w:color="auto" w:fill="FFFFFF"/>
        </w:rPr>
        <w:t>*1</w:t>
      </w:r>
      <w:r w:rsidRPr="009160B5">
        <w:rPr>
          <w:rFonts w:hint="eastAsia"/>
          <w:color w:val="FF0000"/>
          <w:kern w:val="0"/>
          <w:szCs w:val="22"/>
          <w:highlight w:val="yellow"/>
        </w:rPr>
        <w:t>《雜阿含經》（</w:t>
      </w:r>
      <w:r w:rsidRPr="009160B5">
        <w:rPr>
          <w:color w:val="FF0000"/>
          <w:kern w:val="0"/>
          <w:szCs w:val="22"/>
          <w:highlight w:val="yellow"/>
        </w:rPr>
        <w:t>298</w:t>
      </w:r>
      <w:r w:rsidRPr="009160B5">
        <w:rPr>
          <w:rFonts w:hint="eastAsia"/>
          <w:color w:val="FF0000"/>
          <w:kern w:val="0"/>
          <w:szCs w:val="22"/>
          <w:highlight w:val="yellow"/>
        </w:rPr>
        <w:t>經）卷</w:t>
      </w:r>
      <w:r w:rsidRPr="009160B5">
        <w:rPr>
          <w:color w:val="FF0000"/>
          <w:kern w:val="0"/>
          <w:szCs w:val="22"/>
          <w:highlight w:val="yellow"/>
        </w:rPr>
        <w:t>12</w:t>
      </w:r>
      <w:r w:rsidRPr="009160B5">
        <w:rPr>
          <w:rFonts w:hint="eastAsia"/>
          <w:color w:val="FF0000"/>
          <w:kern w:val="0"/>
          <w:szCs w:val="22"/>
          <w:highlight w:val="yellow"/>
        </w:rPr>
        <w:t>（大正</w:t>
      </w:r>
      <w:r w:rsidRPr="009160B5">
        <w:rPr>
          <w:color w:val="FF0000"/>
          <w:kern w:val="0"/>
          <w:szCs w:val="22"/>
          <w:highlight w:val="yellow"/>
        </w:rPr>
        <w:t>2</w:t>
      </w:r>
      <w:r w:rsidRPr="009160B5">
        <w:rPr>
          <w:rFonts w:hint="eastAsia"/>
          <w:color w:val="FF0000"/>
          <w:kern w:val="0"/>
          <w:szCs w:val="22"/>
          <w:highlight w:val="yellow"/>
        </w:rPr>
        <w:t>，</w:t>
      </w:r>
      <w:r w:rsidRPr="009160B5">
        <w:rPr>
          <w:color w:val="FF0000"/>
          <w:kern w:val="0"/>
          <w:szCs w:val="22"/>
          <w:highlight w:val="yellow"/>
        </w:rPr>
        <w:t>85a16-25</w:t>
      </w:r>
      <w:r w:rsidRPr="009160B5">
        <w:rPr>
          <w:rFonts w:cs="Times Ext Roman" w:hint="eastAsia"/>
          <w:color w:val="FF0000"/>
          <w:szCs w:val="22"/>
          <w:highlight w:val="yellow"/>
        </w:rPr>
        <w:t>）</w:t>
      </w:r>
      <w:r w:rsidRPr="009160B5">
        <w:rPr>
          <w:rFonts w:cs="Times Ext Roman"/>
          <w:color w:val="FF0000"/>
          <w:szCs w:val="22"/>
          <w:highlight w:val="yellow"/>
        </w:rPr>
        <w:t>。</w:t>
      </w:r>
    </w:p>
    <w:p w:rsidR="00157EF6" w:rsidRPr="00212D57" w:rsidRDefault="009160B5" w:rsidP="00717FD5">
      <w:pPr>
        <w:pStyle w:val="a5"/>
        <w:ind w:leftChars="335" w:left="1024" w:hangingChars="100" w:hanging="220"/>
        <w:jc w:val="both"/>
        <w:rPr>
          <w:rFonts w:eastAsia="標楷體" w:cs="Times Ext Roman"/>
          <w:szCs w:val="22"/>
        </w:rPr>
      </w:pPr>
      <w:r w:rsidRPr="009160B5">
        <w:rPr>
          <w:rFonts w:eastAsia="標楷體" w:cs="Times Ext Roman" w:hint="eastAsia"/>
          <w:szCs w:val="22"/>
          <w:shd w:val="pct15" w:color="auto" w:fill="FFFFFF"/>
        </w:rPr>
        <w:t>*2</w:t>
      </w:r>
      <w:r w:rsidR="00157EF6" w:rsidRPr="00212D57">
        <w:rPr>
          <w:rFonts w:cs="Times Ext Roman"/>
          <w:szCs w:val="22"/>
        </w:rPr>
        <w:t>《德女經》</w:t>
      </w:r>
      <w:r w:rsidR="00157EF6" w:rsidRPr="00212D57">
        <w:rPr>
          <w:rFonts w:cs="Times Ext Roman" w:hint="eastAsia"/>
          <w:szCs w:val="22"/>
        </w:rPr>
        <w:t>，參見</w:t>
      </w:r>
      <w:r w:rsidR="00157EF6" w:rsidRPr="00212D57">
        <w:rPr>
          <w:rFonts w:cs="Times Ext Roman"/>
          <w:szCs w:val="22"/>
        </w:rPr>
        <w:t>《大智度論》卷</w:t>
      </w:r>
      <w:r w:rsidR="00157EF6" w:rsidRPr="00761EF3">
        <w:rPr>
          <w:szCs w:val="22"/>
        </w:rPr>
        <w:t>6</w:t>
      </w:r>
      <w:r w:rsidR="00AC0462" w:rsidRPr="00AC0462">
        <w:rPr>
          <w:rFonts w:hint="eastAsia"/>
          <w:color w:val="FF0000"/>
          <w:szCs w:val="22"/>
          <w:highlight w:val="yellow"/>
        </w:rPr>
        <w:t>釋</w:t>
      </w:r>
      <w:r w:rsidR="00157EF6" w:rsidRPr="00212D57">
        <w:rPr>
          <w:rFonts w:cs="Times Ext Roman" w:hint="eastAsia"/>
          <w:szCs w:val="22"/>
        </w:rPr>
        <w:t>〈</w:t>
      </w:r>
      <w:r w:rsidR="00157EF6" w:rsidRPr="00761EF3">
        <w:rPr>
          <w:rFonts w:hint="eastAsia"/>
          <w:szCs w:val="22"/>
        </w:rPr>
        <w:t>1</w:t>
      </w:r>
      <w:r w:rsidR="00157EF6" w:rsidRPr="00212D57">
        <w:rPr>
          <w:rFonts w:hint="eastAsia"/>
          <w:szCs w:val="22"/>
        </w:rPr>
        <w:t xml:space="preserve"> </w:t>
      </w:r>
      <w:r w:rsidR="00157EF6" w:rsidRPr="00212D57">
        <w:rPr>
          <w:rFonts w:cs="Times Ext Roman" w:hint="eastAsia"/>
          <w:szCs w:val="22"/>
        </w:rPr>
        <w:t>序品〉（</w:t>
      </w:r>
      <w:r w:rsidR="00157EF6" w:rsidRPr="00212D57">
        <w:rPr>
          <w:rFonts w:cs="Times Ext Roman"/>
          <w:szCs w:val="22"/>
        </w:rPr>
        <w:t>大正</w:t>
      </w:r>
      <w:r w:rsidR="00157EF6" w:rsidRPr="00761EF3">
        <w:rPr>
          <w:szCs w:val="22"/>
        </w:rPr>
        <w:t>25</w:t>
      </w:r>
      <w:r w:rsidR="00157EF6" w:rsidRPr="00212D57">
        <w:rPr>
          <w:rFonts w:cs="Times Ext Roman"/>
          <w:szCs w:val="22"/>
        </w:rPr>
        <w:t>，</w:t>
      </w:r>
      <w:r w:rsidR="00157EF6" w:rsidRPr="00761EF3">
        <w:rPr>
          <w:szCs w:val="22"/>
        </w:rPr>
        <w:t>101c</w:t>
      </w:r>
      <w:r w:rsidR="00157EF6" w:rsidRPr="00212D57">
        <w:rPr>
          <w:szCs w:val="22"/>
        </w:rPr>
        <w:t>-</w:t>
      </w:r>
      <w:r w:rsidR="00157EF6" w:rsidRPr="00761EF3">
        <w:rPr>
          <w:szCs w:val="22"/>
        </w:rPr>
        <w:t>102a</w:t>
      </w:r>
      <w:r w:rsidR="00157EF6" w:rsidRPr="00212D57">
        <w:rPr>
          <w:rFonts w:cs="Times Ext Roman" w:hint="eastAsia"/>
          <w:szCs w:val="22"/>
        </w:rPr>
        <w:t>），</w:t>
      </w:r>
      <w:r w:rsidR="00157EF6" w:rsidRPr="00212D57">
        <w:rPr>
          <w:rFonts w:cs="Times Ext Roman"/>
          <w:szCs w:val="22"/>
        </w:rPr>
        <w:t>《梵志女首意經》</w:t>
      </w:r>
      <w:r w:rsidR="00157EF6" w:rsidRPr="00212D57">
        <w:rPr>
          <w:rFonts w:cs="Times Ext Roman" w:hint="eastAsia"/>
          <w:szCs w:val="22"/>
        </w:rPr>
        <w:t>（</w:t>
      </w:r>
      <w:r w:rsidR="00157EF6" w:rsidRPr="00212D57">
        <w:rPr>
          <w:rFonts w:cs="Times Ext Roman"/>
          <w:szCs w:val="22"/>
        </w:rPr>
        <w:t>大正</w:t>
      </w:r>
      <w:r w:rsidR="00157EF6" w:rsidRPr="00761EF3">
        <w:rPr>
          <w:szCs w:val="22"/>
        </w:rPr>
        <w:t>14</w:t>
      </w:r>
      <w:r w:rsidR="00157EF6" w:rsidRPr="00212D57">
        <w:rPr>
          <w:rFonts w:cs="Times Ext Roman"/>
          <w:szCs w:val="22"/>
        </w:rPr>
        <w:t>，</w:t>
      </w:r>
      <w:r w:rsidR="00157EF6" w:rsidRPr="00761EF3">
        <w:rPr>
          <w:szCs w:val="22"/>
        </w:rPr>
        <w:t>939c</w:t>
      </w:r>
      <w:r w:rsidR="00157EF6" w:rsidRPr="00212D57">
        <w:rPr>
          <w:szCs w:val="22"/>
        </w:rPr>
        <w:t>-</w:t>
      </w:r>
      <w:r w:rsidR="00157EF6" w:rsidRPr="00761EF3">
        <w:rPr>
          <w:szCs w:val="22"/>
        </w:rPr>
        <w:t>940a</w:t>
      </w:r>
      <w:r w:rsidR="00157EF6" w:rsidRPr="00212D57">
        <w:rPr>
          <w:rFonts w:cs="Times Ext Roman" w:hint="eastAsia"/>
          <w:szCs w:val="22"/>
        </w:rPr>
        <w:t>）</w:t>
      </w:r>
      <w:r w:rsidR="00157EF6" w:rsidRPr="00212D57">
        <w:rPr>
          <w:rFonts w:cs="Times Ext Roman"/>
          <w:szCs w:val="22"/>
        </w:rPr>
        <w:t>。</w:t>
      </w:r>
    </w:p>
    <w:p w:rsidR="00157EF6" w:rsidRPr="00212D57" w:rsidRDefault="00157EF6" w:rsidP="002803E9">
      <w:pPr>
        <w:pStyle w:val="a5"/>
        <w:ind w:leftChars="105" w:left="791" w:hangingChars="245" w:hanging="539"/>
        <w:jc w:val="both"/>
        <w:rPr>
          <w:rFonts w:eastAsia="標楷體" w:cs="Times Ext Roman"/>
          <w:szCs w:val="22"/>
        </w:rPr>
      </w:pPr>
      <w:r w:rsidRPr="00212D57">
        <w:rPr>
          <w:rFonts w:cs="Times Ext Roman" w:hint="eastAsia"/>
          <w:szCs w:val="22"/>
        </w:rPr>
        <w:t>（</w:t>
      </w:r>
      <w:r w:rsidRPr="00761EF3">
        <w:rPr>
          <w:szCs w:val="22"/>
        </w:rPr>
        <w:t>2</w:t>
      </w:r>
      <w:r w:rsidRPr="00212D57">
        <w:rPr>
          <w:rFonts w:cs="Times Ext Roman" w:hint="eastAsia"/>
          <w:szCs w:val="22"/>
        </w:rPr>
        <w:t>）</w:t>
      </w:r>
      <w:r w:rsidRPr="00212D57">
        <w:rPr>
          <w:rFonts w:cs="Times Ext Roman"/>
          <w:szCs w:val="22"/>
        </w:rPr>
        <w:t>《大智度論》卷</w:t>
      </w:r>
      <w:r w:rsidRPr="00761EF3">
        <w:rPr>
          <w:szCs w:val="22"/>
        </w:rPr>
        <w:t>80</w:t>
      </w:r>
      <w:r w:rsidR="00AC0462" w:rsidRPr="00AC0462">
        <w:rPr>
          <w:rFonts w:hint="eastAsia"/>
          <w:color w:val="FF0000"/>
          <w:szCs w:val="22"/>
          <w:highlight w:val="yellow"/>
        </w:rPr>
        <w:t>釋</w:t>
      </w:r>
      <w:r w:rsidRPr="00212D57">
        <w:rPr>
          <w:rFonts w:cs="Times Ext Roman" w:hint="eastAsia"/>
          <w:szCs w:val="22"/>
        </w:rPr>
        <w:t>〈</w:t>
      </w:r>
      <w:r w:rsidRPr="00761EF3">
        <w:rPr>
          <w:rFonts w:hint="eastAsia"/>
          <w:szCs w:val="22"/>
        </w:rPr>
        <w:t>67</w:t>
      </w:r>
      <w:r w:rsidRPr="00212D57">
        <w:rPr>
          <w:rFonts w:hint="eastAsia"/>
          <w:szCs w:val="22"/>
        </w:rPr>
        <w:t xml:space="preserve"> </w:t>
      </w:r>
      <w:r w:rsidRPr="00212D57">
        <w:rPr>
          <w:rFonts w:cs="Times Ext Roman" w:hint="eastAsia"/>
          <w:szCs w:val="22"/>
        </w:rPr>
        <w:t>無盡方便品〉</w:t>
      </w:r>
      <w:r w:rsidRPr="00212D57">
        <w:rPr>
          <w:rFonts w:cs="Times Ext Roman"/>
          <w:szCs w:val="22"/>
        </w:rPr>
        <w:t>（大正</w:t>
      </w:r>
      <w:r w:rsidRPr="00761EF3">
        <w:rPr>
          <w:szCs w:val="22"/>
        </w:rPr>
        <w:t>25</w:t>
      </w:r>
      <w:r w:rsidRPr="00212D57">
        <w:rPr>
          <w:rFonts w:cs="Times Ext Roman"/>
          <w:szCs w:val="22"/>
        </w:rPr>
        <w:t>，</w:t>
      </w:r>
      <w:r w:rsidRPr="00761EF3">
        <w:rPr>
          <w:szCs w:val="22"/>
        </w:rPr>
        <w:t>622a29</w:t>
      </w:r>
      <w:r w:rsidRPr="00212D57">
        <w:rPr>
          <w:szCs w:val="22"/>
        </w:rPr>
        <w:t>-</w:t>
      </w:r>
      <w:r w:rsidRPr="00761EF3">
        <w:rPr>
          <w:szCs w:val="22"/>
        </w:rPr>
        <w:t>b10</w:t>
      </w:r>
      <w:r w:rsidRPr="00212D57">
        <w:rPr>
          <w:rFonts w:cs="Times Ext Roman"/>
          <w:szCs w:val="22"/>
        </w:rPr>
        <w:t>）：</w:t>
      </w:r>
    </w:p>
    <w:p w:rsidR="00157EF6" w:rsidRPr="00212D57" w:rsidRDefault="00157EF6" w:rsidP="00717FD5">
      <w:pPr>
        <w:pStyle w:val="a5"/>
        <w:ind w:leftChars="335" w:left="804"/>
        <w:jc w:val="both"/>
        <w:rPr>
          <w:rFonts w:cs="Times Ext Roman"/>
          <w:szCs w:val="22"/>
        </w:rPr>
      </w:pPr>
      <w:r w:rsidRPr="00212D57">
        <w:rPr>
          <w:rFonts w:eastAsia="標楷體" w:cs="Times Ext Roman"/>
          <w:szCs w:val="22"/>
        </w:rPr>
        <w:t>賢聖以法眼分別諸法，老、病、死，心厭，欲出世間</w:t>
      </w:r>
      <w:r w:rsidR="0099579E">
        <w:rPr>
          <w:rFonts w:ascii="標楷體" w:eastAsia="標楷體" w:hAnsi="標楷體" w:hint="eastAsia"/>
          <w:color w:val="FF0000"/>
          <w:spacing w:val="-4"/>
          <w:kern w:val="0"/>
          <w:highlight w:val="yellow"/>
        </w:rPr>
        <w:t>；</w:t>
      </w:r>
      <w:r w:rsidRPr="00212D57">
        <w:rPr>
          <w:rFonts w:eastAsia="標楷體" w:cs="Times Ext Roman"/>
          <w:szCs w:val="22"/>
        </w:rPr>
        <w:t>求</w:t>
      </w:r>
      <w:r w:rsidR="0099579E">
        <w:rPr>
          <w:rFonts w:ascii="標楷體" w:eastAsia="標楷體" w:hAnsi="標楷體" w:hint="eastAsia"/>
          <w:bCs/>
          <w:color w:val="FF0000"/>
          <w:kern w:val="0"/>
          <w:highlight w:val="yellow"/>
        </w:rPr>
        <w:t>「</w:t>
      </w:r>
      <w:r w:rsidRPr="00212D57">
        <w:rPr>
          <w:rFonts w:eastAsia="標楷體" w:cs="Times Ext Roman"/>
          <w:szCs w:val="22"/>
        </w:rPr>
        <w:t>老、死</w:t>
      </w:r>
      <w:r w:rsidR="0099579E">
        <w:rPr>
          <w:rFonts w:ascii="標楷體" w:eastAsia="標楷體" w:hAnsi="標楷體" w:hint="eastAsia"/>
          <w:bCs/>
          <w:color w:val="FF0000"/>
          <w:kern w:val="0"/>
          <w:highlight w:val="yellow"/>
        </w:rPr>
        <w:t>」</w:t>
      </w:r>
      <w:r w:rsidRPr="00212D57">
        <w:rPr>
          <w:rFonts w:eastAsia="標楷體" w:cs="Times Ext Roman"/>
          <w:szCs w:val="22"/>
        </w:rPr>
        <w:t>因緣</w:t>
      </w:r>
      <w:r w:rsidR="0099579E">
        <w:rPr>
          <w:rFonts w:ascii="標楷體" w:eastAsia="標楷體" w:hAnsi="標楷體" w:hint="eastAsia"/>
          <w:color w:val="FF0000"/>
          <w:kern w:val="0"/>
          <w:highlight w:val="yellow"/>
        </w:rPr>
        <w:t>，</w:t>
      </w:r>
      <w:r w:rsidRPr="00212D57">
        <w:rPr>
          <w:rFonts w:eastAsia="標楷體" w:cs="Times Ext Roman"/>
          <w:szCs w:val="22"/>
        </w:rPr>
        <w:t>由</w:t>
      </w:r>
      <w:r w:rsidR="0099579E">
        <w:rPr>
          <w:rFonts w:ascii="標楷體" w:eastAsia="標楷體" w:hAnsi="標楷體" w:hint="eastAsia"/>
          <w:bCs/>
          <w:color w:val="FF0000"/>
          <w:kern w:val="0"/>
          <w:highlight w:val="yellow"/>
        </w:rPr>
        <w:t>「</w:t>
      </w:r>
      <w:r w:rsidRPr="00212D57">
        <w:rPr>
          <w:rFonts w:eastAsia="標楷體" w:cs="Times Ext Roman"/>
          <w:szCs w:val="22"/>
        </w:rPr>
        <w:t>生</w:t>
      </w:r>
      <w:r w:rsidR="0099579E">
        <w:rPr>
          <w:rFonts w:ascii="標楷體" w:eastAsia="標楷體" w:hAnsi="標楷體" w:hint="eastAsia"/>
          <w:bCs/>
          <w:color w:val="FF0000"/>
          <w:kern w:val="0"/>
          <w:highlight w:val="yellow"/>
        </w:rPr>
        <w:t>」</w:t>
      </w:r>
      <w:r w:rsidRPr="00212D57">
        <w:rPr>
          <w:rFonts w:eastAsia="標楷體" w:cs="Times Ext Roman"/>
          <w:szCs w:val="22"/>
        </w:rPr>
        <w:t>故</w:t>
      </w:r>
      <w:r w:rsidR="0099579E">
        <w:rPr>
          <w:rFonts w:ascii="標楷體" w:eastAsia="標楷體" w:hAnsi="標楷體" w:hint="eastAsia"/>
          <w:color w:val="FF0000"/>
          <w:spacing w:val="-4"/>
          <w:kern w:val="0"/>
          <w:highlight w:val="yellow"/>
        </w:rPr>
        <w:t>；</w:t>
      </w:r>
      <w:r w:rsidRPr="00212D57">
        <w:rPr>
          <w:rFonts w:eastAsia="標楷體" w:cs="Times Ext Roman"/>
          <w:szCs w:val="22"/>
        </w:rPr>
        <w:t>是</w:t>
      </w:r>
      <w:r w:rsidR="0099579E">
        <w:rPr>
          <w:rFonts w:ascii="標楷體" w:eastAsia="標楷體" w:hAnsi="標楷體" w:hint="eastAsia"/>
          <w:bCs/>
          <w:color w:val="FF0000"/>
          <w:kern w:val="0"/>
          <w:highlight w:val="yellow"/>
        </w:rPr>
        <w:t>「</w:t>
      </w:r>
      <w:r w:rsidRPr="00212D57">
        <w:rPr>
          <w:rFonts w:eastAsia="標楷體" w:cs="Times Ext Roman"/>
          <w:szCs w:val="22"/>
        </w:rPr>
        <w:t>生</w:t>
      </w:r>
      <w:r w:rsidR="0099579E">
        <w:rPr>
          <w:rFonts w:ascii="標楷體" w:eastAsia="標楷體" w:hAnsi="標楷體" w:hint="eastAsia"/>
          <w:bCs/>
          <w:color w:val="FF0000"/>
          <w:kern w:val="0"/>
          <w:highlight w:val="yellow"/>
        </w:rPr>
        <w:t>」，</w:t>
      </w:r>
      <w:r w:rsidRPr="00212D57">
        <w:rPr>
          <w:rFonts w:eastAsia="標楷體" w:cs="Times Ext Roman"/>
          <w:szCs w:val="22"/>
        </w:rPr>
        <w:t>由</w:t>
      </w:r>
      <w:r w:rsidR="0099579E">
        <w:rPr>
          <w:rFonts w:ascii="標楷體" w:eastAsia="標楷體" w:hAnsi="標楷體" w:hint="eastAsia"/>
          <w:bCs/>
          <w:color w:val="FF0000"/>
          <w:kern w:val="0"/>
          <w:highlight w:val="yellow"/>
        </w:rPr>
        <w:t>「</w:t>
      </w:r>
      <w:r w:rsidRPr="00212D57">
        <w:rPr>
          <w:rFonts w:eastAsia="標楷體" w:cs="Times Ext Roman"/>
          <w:szCs w:val="22"/>
        </w:rPr>
        <w:t>諸煩惱業</w:t>
      </w:r>
      <w:r w:rsidR="0099579E">
        <w:rPr>
          <w:rFonts w:ascii="標楷體" w:eastAsia="標楷體" w:hAnsi="標楷體" w:hint="eastAsia"/>
          <w:bCs/>
          <w:color w:val="FF0000"/>
          <w:kern w:val="0"/>
          <w:highlight w:val="yellow"/>
        </w:rPr>
        <w:t>」</w:t>
      </w:r>
      <w:r w:rsidRPr="00212D57">
        <w:rPr>
          <w:rFonts w:eastAsia="標楷體" w:cs="Times Ext Roman"/>
          <w:szCs w:val="22"/>
        </w:rPr>
        <w:t>因緣</w:t>
      </w:r>
      <w:r w:rsidR="0099579E">
        <w:rPr>
          <w:rFonts w:ascii="標楷體" w:eastAsia="標楷體" w:hAnsi="標楷體" w:hint="eastAsia"/>
          <w:color w:val="FF0000"/>
          <w:kern w:val="0"/>
          <w:highlight w:val="yellow"/>
        </w:rPr>
        <w:t>，</w:t>
      </w:r>
      <w:r w:rsidRPr="00212D57">
        <w:rPr>
          <w:rFonts w:eastAsia="標楷體" w:cs="Times Ext Roman"/>
          <w:szCs w:val="22"/>
        </w:rPr>
        <w:t>何以故？無煩惱人則不生</w:t>
      </w:r>
      <w:r w:rsidR="0099579E">
        <w:rPr>
          <w:rFonts w:ascii="標楷體" w:eastAsia="標楷體" w:hAnsi="標楷體" w:hint="eastAsia"/>
          <w:color w:val="FF0000"/>
          <w:kern w:val="0"/>
          <w:highlight w:val="yellow"/>
        </w:rPr>
        <w:t>。</w:t>
      </w:r>
      <w:r w:rsidRPr="00212D57">
        <w:rPr>
          <w:rFonts w:eastAsia="標楷體" w:cs="Times Ext Roman"/>
          <w:szCs w:val="22"/>
        </w:rPr>
        <w:t>是故知</w:t>
      </w:r>
      <w:r w:rsidR="0099579E">
        <w:rPr>
          <w:rFonts w:ascii="標楷體" w:eastAsia="標楷體" w:hAnsi="標楷體" w:hint="eastAsia"/>
          <w:bCs/>
          <w:color w:val="FF0000"/>
          <w:kern w:val="0"/>
          <w:highlight w:val="yellow"/>
        </w:rPr>
        <w:t>「</w:t>
      </w:r>
      <w:r w:rsidRPr="00212D57">
        <w:rPr>
          <w:rFonts w:eastAsia="標楷體" w:cs="Times Ext Roman"/>
          <w:szCs w:val="22"/>
        </w:rPr>
        <w:t>煩惱</w:t>
      </w:r>
      <w:r w:rsidR="0099579E">
        <w:rPr>
          <w:rFonts w:ascii="標楷體" w:eastAsia="標楷體" w:hAnsi="標楷體" w:hint="eastAsia"/>
          <w:bCs/>
          <w:color w:val="FF0000"/>
          <w:kern w:val="0"/>
          <w:highlight w:val="yellow"/>
        </w:rPr>
        <w:t>」</w:t>
      </w:r>
      <w:r w:rsidRPr="00212D57">
        <w:rPr>
          <w:rFonts w:eastAsia="標楷體" w:cs="Times Ext Roman"/>
          <w:szCs w:val="22"/>
        </w:rPr>
        <w:t>為</w:t>
      </w:r>
      <w:r w:rsidR="0099579E">
        <w:rPr>
          <w:rFonts w:ascii="標楷體" w:eastAsia="標楷體" w:hAnsi="標楷體" w:hint="eastAsia"/>
          <w:bCs/>
          <w:color w:val="FF0000"/>
          <w:kern w:val="0"/>
          <w:highlight w:val="yellow"/>
        </w:rPr>
        <w:t>「</w:t>
      </w:r>
      <w:r w:rsidRPr="00212D57">
        <w:rPr>
          <w:rFonts w:eastAsia="標楷體" w:cs="Times Ext Roman"/>
          <w:szCs w:val="22"/>
        </w:rPr>
        <w:t>生</w:t>
      </w:r>
      <w:r w:rsidR="0099579E">
        <w:rPr>
          <w:rFonts w:ascii="標楷體" w:eastAsia="標楷體" w:hAnsi="標楷體" w:hint="eastAsia"/>
          <w:bCs/>
          <w:color w:val="FF0000"/>
          <w:kern w:val="0"/>
          <w:highlight w:val="yellow"/>
        </w:rPr>
        <w:t>」</w:t>
      </w:r>
      <w:r w:rsidRPr="00212D57">
        <w:rPr>
          <w:rFonts w:eastAsia="標楷體" w:cs="Times Ext Roman"/>
          <w:szCs w:val="22"/>
        </w:rPr>
        <w:t>因。</w:t>
      </w:r>
      <w:r w:rsidR="0099579E">
        <w:rPr>
          <w:rFonts w:ascii="標楷體" w:eastAsia="標楷體" w:hAnsi="標楷體" w:hint="eastAsia"/>
          <w:bCs/>
          <w:color w:val="FF0000"/>
          <w:kern w:val="0"/>
          <w:highlight w:val="yellow"/>
        </w:rPr>
        <w:t>「</w:t>
      </w:r>
      <w:r w:rsidRPr="00212D57">
        <w:rPr>
          <w:rFonts w:eastAsia="標楷體" w:cs="Times Ext Roman"/>
          <w:b/>
          <w:szCs w:val="22"/>
        </w:rPr>
        <w:t>煩惱</w:t>
      </w:r>
      <w:r w:rsidR="0099579E">
        <w:rPr>
          <w:rFonts w:ascii="標楷體" w:eastAsia="標楷體" w:hAnsi="標楷體" w:hint="eastAsia"/>
          <w:bCs/>
          <w:color w:val="FF0000"/>
          <w:kern w:val="0"/>
          <w:highlight w:val="yellow"/>
        </w:rPr>
        <w:t>」</w:t>
      </w:r>
      <w:r w:rsidRPr="00212D57">
        <w:rPr>
          <w:rFonts w:eastAsia="標楷體" w:cs="Times Ext Roman"/>
          <w:b/>
          <w:szCs w:val="22"/>
        </w:rPr>
        <w:t>因緣是</w:t>
      </w:r>
      <w:r w:rsidR="0099579E">
        <w:rPr>
          <w:rFonts w:ascii="標楷體" w:eastAsia="標楷體" w:hAnsi="標楷體" w:hint="eastAsia"/>
          <w:bCs/>
          <w:color w:val="FF0000"/>
          <w:kern w:val="0"/>
          <w:highlight w:val="yellow"/>
        </w:rPr>
        <w:t>「</w:t>
      </w:r>
      <w:r w:rsidRPr="00212D57">
        <w:rPr>
          <w:rFonts w:eastAsia="標楷體" w:cs="Times Ext Roman"/>
          <w:b/>
          <w:szCs w:val="22"/>
        </w:rPr>
        <w:t>無明</w:t>
      </w:r>
      <w:r w:rsidR="0099579E">
        <w:rPr>
          <w:rFonts w:ascii="標楷體" w:eastAsia="標楷體" w:hAnsi="標楷體" w:hint="eastAsia"/>
          <w:bCs/>
          <w:color w:val="FF0000"/>
          <w:kern w:val="0"/>
          <w:highlight w:val="yellow"/>
        </w:rPr>
        <w:t>」</w:t>
      </w:r>
      <w:r w:rsidR="0099579E">
        <w:rPr>
          <w:rFonts w:ascii="標楷體" w:eastAsia="標楷體" w:hAnsi="標楷體" w:hint="eastAsia"/>
          <w:color w:val="FF0000"/>
          <w:kern w:val="0"/>
          <w:highlight w:val="yellow"/>
        </w:rPr>
        <w:t>。</w:t>
      </w:r>
      <w:r w:rsidRPr="00212D57">
        <w:rPr>
          <w:rFonts w:eastAsia="標楷體" w:cs="Times Ext Roman"/>
          <w:szCs w:val="22"/>
        </w:rPr>
        <w:t>無明故，應捨而取</w:t>
      </w:r>
      <w:r w:rsidR="0099579E">
        <w:rPr>
          <w:rFonts w:ascii="標楷體" w:eastAsia="標楷體" w:hAnsi="標楷體" w:hint="eastAsia"/>
          <w:color w:val="FF0000"/>
          <w:spacing w:val="-4"/>
          <w:kern w:val="0"/>
          <w:highlight w:val="yellow"/>
        </w:rPr>
        <w:t>、</w:t>
      </w:r>
      <w:r w:rsidRPr="00212D57">
        <w:rPr>
          <w:rFonts w:eastAsia="標楷體" w:cs="Times Ext Roman"/>
          <w:szCs w:val="22"/>
        </w:rPr>
        <w:t>應取而捨。何者應捨？老、病諸</w:t>
      </w:r>
      <w:r w:rsidRPr="0099579E">
        <w:rPr>
          <w:rFonts w:eastAsia="標楷體" w:cs="Times Ext Roman"/>
          <w:szCs w:val="22"/>
          <w:highlight w:val="yellow"/>
        </w:rPr>
        <w:t>苦因</w:t>
      </w:r>
      <w:r w:rsidRPr="00212D57">
        <w:rPr>
          <w:rFonts w:eastAsia="標楷體" w:cs="Times Ext Roman"/>
          <w:szCs w:val="22"/>
        </w:rPr>
        <w:t>緣煩惱應捨，以少顛倒樂因緣故而取。持戒、禪定、智慧，諸善根本，是涅槃樂因緣，是事應取而捨。是中無有知者、見者、作者。何以故？</w:t>
      </w:r>
      <w:r w:rsidRPr="00212D57">
        <w:rPr>
          <w:rFonts w:eastAsia="標楷體" w:cs="Times Ext Roman"/>
          <w:b/>
          <w:szCs w:val="22"/>
        </w:rPr>
        <w:t>是法無定相，但從虛誑因緣相續生。行者知是虛誑不實，則不生戲論。</w:t>
      </w:r>
    </w:p>
  </w:footnote>
  <w:footnote w:id="15">
    <w:p w:rsidR="00157EF6" w:rsidRPr="00212D57" w:rsidRDefault="00157EF6" w:rsidP="002803E9">
      <w:pPr>
        <w:pStyle w:val="a5"/>
        <w:spacing w:line="0" w:lineRule="atLeast"/>
        <w:ind w:left="792" w:hangingChars="360" w:hanging="792"/>
        <w:jc w:val="both"/>
        <w:rPr>
          <w:rFonts w:cs="Times Ext Roman"/>
          <w:szCs w:val="22"/>
        </w:rPr>
      </w:pPr>
      <w:r w:rsidRPr="00212D57">
        <w:rPr>
          <w:rStyle w:val="a6"/>
          <w:szCs w:val="22"/>
        </w:rPr>
        <w:footnoteRef/>
      </w:r>
      <w:r w:rsidRPr="00212D57">
        <w:rPr>
          <w:rFonts w:cs="Times Ext Roman" w:hint="eastAsia"/>
          <w:szCs w:val="22"/>
        </w:rPr>
        <w:t xml:space="preserve"> </w:t>
      </w:r>
      <w:r w:rsidRPr="00212D57">
        <w:rPr>
          <w:rFonts w:cs="Times Ext Roman" w:hint="eastAsia"/>
          <w:szCs w:val="22"/>
        </w:rPr>
        <w:t>（</w:t>
      </w:r>
      <w:r w:rsidRPr="00761EF3">
        <w:rPr>
          <w:szCs w:val="22"/>
        </w:rPr>
        <w:t>1</w:t>
      </w:r>
      <w:r w:rsidRPr="00212D57">
        <w:rPr>
          <w:rFonts w:cs="Times Ext Roman" w:hint="eastAsia"/>
          <w:szCs w:val="22"/>
        </w:rPr>
        <w:t>）</w:t>
      </w:r>
      <w:r w:rsidRPr="00212D57">
        <w:rPr>
          <w:rFonts w:cs="Times Ext Roman"/>
          <w:szCs w:val="22"/>
        </w:rPr>
        <w:t>《中論》卷</w:t>
      </w:r>
      <w:r w:rsidRPr="00761EF3">
        <w:rPr>
          <w:szCs w:val="22"/>
        </w:rPr>
        <w:t>4</w:t>
      </w:r>
      <w:r w:rsidRPr="00212D57">
        <w:rPr>
          <w:rFonts w:cs="Times Ext Roman"/>
          <w:szCs w:val="22"/>
        </w:rPr>
        <w:t>〈</w:t>
      </w:r>
      <w:r w:rsidRPr="00761EF3">
        <w:rPr>
          <w:rFonts w:hint="eastAsia"/>
          <w:szCs w:val="22"/>
        </w:rPr>
        <w:t>18</w:t>
      </w:r>
      <w:r w:rsidRPr="00212D57">
        <w:rPr>
          <w:szCs w:val="22"/>
        </w:rPr>
        <w:t xml:space="preserve"> </w:t>
      </w:r>
      <w:r w:rsidRPr="00212D57">
        <w:rPr>
          <w:rFonts w:cs="Times Ext Roman"/>
          <w:szCs w:val="22"/>
        </w:rPr>
        <w:t>觀法品〉（大正</w:t>
      </w:r>
      <w:r w:rsidRPr="00761EF3">
        <w:rPr>
          <w:szCs w:val="22"/>
        </w:rPr>
        <w:t>30</w:t>
      </w:r>
      <w:r w:rsidRPr="00212D57">
        <w:rPr>
          <w:rFonts w:cs="Times Ext Roman"/>
          <w:szCs w:val="22"/>
        </w:rPr>
        <w:t>，</w:t>
      </w:r>
      <w:r w:rsidRPr="00761EF3">
        <w:rPr>
          <w:szCs w:val="22"/>
        </w:rPr>
        <w:t>23c20</w:t>
      </w:r>
      <w:r w:rsidRPr="00212D57">
        <w:rPr>
          <w:szCs w:val="22"/>
        </w:rPr>
        <w:t>-</w:t>
      </w:r>
      <w:r w:rsidRPr="00761EF3">
        <w:rPr>
          <w:szCs w:val="22"/>
        </w:rPr>
        <w:t>25</w:t>
      </w:r>
      <w:r w:rsidRPr="00212D57">
        <w:rPr>
          <w:rFonts w:cs="Times Ext Roman"/>
          <w:szCs w:val="22"/>
        </w:rPr>
        <w:t>）：</w:t>
      </w:r>
    </w:p>
    <w:p w:rsidR="00157EF6" w:rsidRPr="00212D57" w:rsidRDefault="00157EF6" w:rsidP="00717FD5">
      <w:pPr>
        <w:snapToGrid w:val="0"/>
        <w:ind w:leftChars="335" w:left="804"/>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若我是五陰</w:t>
      </w:r>
      <w:r w:rsidRPr="00212D57">
        <w:rPr>
          <w:rFonts w:ascii="Times New Roman" w:eastAsia="標楷體" w:hAnsi="Times New Roman" w:cs="Times Ext Roman" w:hint="eastAsia"/>
          <w:sz w:val="22"/>
          <w:szCs w:val="22"/>
        </w:rPr>
        <w:t>，</w:t>
      </w:r>
      <w:r w:rsidRPr="00212D57">
        <w:rPr>
          <w:rFonts w:ascii="Times New Roman" w:eastAsia="標楷體" w:hAnsi="Times New Roman" w:cs="Times Ext Roman"/>
          <w:sz w:val="22"/>
          <w:szCs w:val="22"/>
        </w:rPr>
        <w:t>我即為生滅</w:t>
      </w:r>
      <w:r w:rsidRPr="00212D57">
        <w:rPr>
          <w:rFonts w:ascii="Times New Roman" w:eastAsia="標楷體" w:hAnsi="Times New Roman" w:cs="Times Ext Roman" w:hint="eastAsia"/>
          <w:sz w:val="22"/>
          <w:szCs w:val="22"/>
        </w:rPr>
        <w:t>；</w:t>
      </w:r>
      <w:r w:rsidRPr="00212D57">
        <w:rPr>
          <w:rFonts w:ascii="Times New Roman" w:eastAsia="標楷體" w:hAnsi="Times New Roman" w:cs="Times Ext Roman"/>
          <w:sz w:val="22"/>
          <w:szCs w:val="22"/>
        </w:rPr>
        <w:t>若我異五陰</w:t>
      </w:r>
      <w:r w:rsidRPr="00212D57">
        <w:rPr>
          <w:rFonts w:ascii="Times New Roman" w:eastAsia="標楷體" w:hAnsi="Times New Roman" w:cs="Times Ext Roman" w:hint="eastAsia"/>
          <w:sz w:val="22"/>
          <w:szCs w:val="22"/>
        </w:rPr>
        <w:t>，</w:t>
      </w:r>
      <w:r w:rsidRPr="00212D57">
        <w:rPr>
          <w:rFonts w:ascii="Times New Roman" w:eastAsia="標楷體" w:hAnsi="Times New Roman" w:cs="Times Ext Roman"/>
          <w:sz w:val="22"/>
          <w:szCs w:val="22"/>
        </w:rPr>
        <w:t>則非五陰相</w:t>
      </w:r>
      <w:r w:rsidRPr="00212D57">
        <w:rPr>
          <w:rFonts w:ascii="Times New Roman" w:eastAsia="標楷體" w:hAnsi="Times New Roman" w:cs="Times Ext Roman" w:hint="eastAsia"/>
          <w:sz w:val="22"/>
          <w:szCs w:val="22"/>
        </w:rPr>
        <w:t>。</w:t>
      </w:r>
    </w:p>
    <w:p w:rsidR="00157EF6" w:rsidRPr="00212D57" w:rsidRDefault="00157EF6" w:rsidP="00717FD5">
      <w:pPr>
        <w:snapToGrid w:val="0"/>
        <w:ind w:leftChars="335" w:left="804"/>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若無有我者</w:t>
      </w:r>
      <w:r w:rsidRPr="00212D57">
        <w:rPr>
          <w:rFonts w:ascii="Times New Roman" w:eastAsia="標楷體" w:hAnsi="Times New Roman" w:cs="Times Ext Roman" w:hint="eastAsia"/>
          <w:sz w:val="22"/>
          <w:szCs w:val="22"/>
        </w:rPr>
        <w:t>，</w:t>
      </w:r>
      <w:r w:rsidRPr="00212D57">
        <w:rPr>
          <w:rFonts w:ascii="Times New Roman" w:eastAsia="標楷體" w:hAnsi="Times New Roman" w:cs="Times Ext Roman"/>
          <w:sz w:val="22"/>
          <w:szCs w:val="22"/>
        </w:rPr>
        <w:t>何得有我所</w:t>
      </w:r>
      <w:r w:rsidRPr="00212D57">
        <w:rPr>
          <w:rFonts w:ascii="Times New Roman" w:eastAsia="標楷體" w:hAnsi="Times New Roman" w:cs="Times Ext Roman" w:hint="eastAsia"/>
          <w:sz w:val="22"/>
          <w:szCs w:val="22"/>
        </w:rPr>
        <w:t>？</w:t>
      </w:r>
      <w:r w:rsidRPr="00212D57">
        <w:rPr>
          <w:rFonts w:ascii="Times New Roman" w:eastAsia="標楷體" w:hAnsi="Times New Roman" w:cs="Times Ext Roman"/>
          <w:b/>
          <w:sz w:val="22"/>
          <w:szCs w:val="22"/>
        </w:rPr>
        <w:t>滅我我所故</w:t>
      </w:r>
      <w:r w:rsidRPr="00212D57">
        <w:rPr>
          <w:rFonts w:ascii="Times New Roman" w:eastAsia="標楷體" w:hAnsi="Times New Roman" w:cs="Times Ext Roman" w:hint="eastAsia"/>
          <w:b/>
          <w:sz w:val="22"/>
          <w:szCs w:val="22"/>
        </w:rPr>
        <w:t>，</w:t>
      </w:r>
      <w:r w:rsidRPr="00212D57">
        <w:rPr>
          <w:rFonts w:ascii="Times New Roman" w:eastAsia="標楷體" w:hAnsi="Times New Roman" w:cs="Times Ext Roman"/>
          <w:b/>
          <w:sz w:val="22"/>
          <w:szCs w:val="22"/>
        </w:rPr>
        <w:t>名得無我智</w:t>
      </w:r>
      <w:r w:rsidRPr="00212D57">
        <w:rPr>
          <w:rFonts w:ascii="Times New Roman" w:eastAsia="標楷體" w:hAnsi="Times New Roman" w:cs="Times Ext Roman" w:hint="eastAsia"/>
          <w:b/>
          <w:sz w:val="22"/>
          <w:szCs w:val="22"/>
        </w:rPr>
        <w:t>。</w:t>
      </w:r>
    </w:p>
    <w:p w:rsidR="00157EF6" w:rsidRPr="00212D57" w:rsidRDefault="00157EF6" w:rsidP="00717FD5">
      <w:pPr>
        <w:snapToGrid w:val="0"/>
        <w:ind w:leftChars="335" w:left="804"/>
        <w:jc w:val="both"/>
        <w:rPr>
          <w:rFonts w:ascii="Times New Roman" w:eastAsia="標楷體" w:hAnsi="Times New Roman" w:cs="Times Ext Roman"/>
          <w:b/>
          <w:sz w:val="22"/>
          <w:szCs w:val="22"/>
        </w:rPr>
      </w:pPr>
      <w:r w:rsidRPr="00212D57">
        <w:rPr>
          <w:rFonts w:ascii="Times New Roman" w:eastAsia="標楷體" w:hAnsi="Times New Roman" w:cs="Times Ext Roman"/>
          <w:b/>
          <w:sz w:val="22"/>
          <w:szCs w:val="22"/>
        </w:rPr>
        <w:t>得無我智者</w:t>
      </w:r>
      <w:r w:rsidRPr="00212D57">
        <w:rPr>
          <w:rFonts w:ascii="Times New Roman" w:eastAsia="標楷體" w:hAnsi="Times New Roman" w:cs="Times Ext Roman" w:hint="eastAsia"/>
          <w:b/>
          <w:sz w:val="22"/>
          <w:szCs w:val="22"/>
        </w:rPr>
        <w:t>，</w:t>
      </w:r>
      <w:r w:rsidRPr="00212D57">
        <w:rPr>
          <w:rFonts w:ascii="Times New Roman" w:eastAsia="標楷體" w:hAnsi="Times New Roman" w:cs="Times Ext Roman"/>
          <w:b/>
          <w:sz w:val="22"/>
          <w:szCs w:val="22"/>
        </w:rPr>
        <w:t>是則名實觀</w:t>
      </w:r>
      <w:r w:rsidRPr="00212D57">
        <w:rPr>
          <w:rFonts w:ascii="Times New Roman" w:eastAsia="標楷體" w:hAnsi="Times New Roman" w:cs="Times Ext Roman" w:hint="eastAsia"/>
          <w:b/>
          <w:sz w:val="22"/>
          <w:szCs w:val="22"/>
        </w:rPr>
        <w:t>；</w:t>
      </w:r>
      <w:r w:rsidRPr="00212D57">
        <w:rPr>
          <w:rFonts w:ascii="Times New Roman" w:eastAsia="標楷體" w:hAnsi="Times New Roman" w:cs="Times Ext Roman"/>
          <w:b/>
          <w:sz w:val="22"/>
          <w:szCs w:val="22"/>
        </w:rPr>
        <w:t>得無我智者</w:t>
      </w:r>
      <w:r w:rsidRPr="00212D57">
        <w:rPr>
          <w:rFonts w:ascii="Times New Roman" w:eastAsia="標楷體" w:hAnsi="Times New Roman" w:cs="Times Ext Roman" w:hint="eastAsia"/>
          <w:b/>
          <w:sz w:val="22"/>
          <w:szCs w:val="22"/>
        </w:rPr>
        <w:t>，</w:t>
      </w:r>
      <w:r w:rsidRPr="00212D57">
        <w:rPr>
          <w:rFonts w:ascii="Times New Roman" w:eastAsia="標楷體" w:hAnsi="Times New Roman" w:cs="Times Ext Roman"/>
          <w:b/>
          <w:sz w:val="22"/>
          <w:szCs w:val="22"/>
        </w:rPr>
        <w:t>是人為希有</w:t>
      </w:r>
      <w:r w:rsidRPr="00212D57">
        <w:rPr>
          <w:rFonts w:ascii="Times New Roman" w:eastAsia="標楷體" w:hAnsi="Times New Roman" w:cs="Times Ext Roman" w:hint="eastAsia"/>
          <w:b/>
          <w:sz w:val="22"/>
          <w:szCs w:val="22"/>
        </w:rPr>
        <w:t>。</w:t>
      </w:r>
    </w:p>
    <w:p w:rsidR="00157EF6" w:rsidRPr="00212D57" w:rsidRDefault="00157EF6" w:rsidP="002803E9">
      <w:pPr>
        <w:pStyle w:val="a5"/>
        <w:ind w:leftChars="105" w:left="791" w:hangingChars="245" w:hanging="539"/>
        <w:jc w:val="both"/>
        <w:rPr>
          <w:rFonts w:cs="Times Ext Roman"/>
          <w:szCs w:val="22"/>
        </w:rPr>
      </w:pPr>
      <w:r w:rsidRPr="00212D57">
        <w:rPr>
          <w:rFonts w:cs="Times Ext Roman" w:hint="eastAsia"/>
          <w:szCs w:val="22"/>
        </w:rPr>
        <w:t>（</w:t>
      </w:r>
      <w:r w:rsidRPr="00761EF3">
        <w:rPr>
          <w:szCs w:val="22"/>
        </w:rPr>
        <w:t>2</w:t>
      </w:r>
      <w:r w:rsidRPr="00212D57">
        <w:rPr>
          <w:rFonts w:cs="Times Ext Roman" w:hint="eastAsia"/>
          <w:szCs w:val="22"/>
        </w:rPr>
        <w:t>）</w:t>
      </w:r>
      <w:r w:rsidRPr="00212D57">
        <w:rPr>
          <w:rFonts w:cs="Times Ext Roman"/>
          <w:szCs w:val="22"/>
        </w:rPr>
        <w:t>印順法師</w:t>
      </w:r>
      <w:r w:rsidRPr="00212D57">
        <w:rPr>
          <w:rFonts w:cs="Times Ext Roman" w:hint="eastAsia"/>
          <w:szCs w:val="22"/>
        </w:rPr>
        <w:t>，</w:t>
      </w:r>
      <w:r w:rsidRPr="00212D57">
        <w:rPr>
          <w:rFonts w:cs="Times Ext Roman"/>
          <w:szCs w:val="22"/>
        </w:rPr>
        <w:t>《中觀論頌講記》，</w:t>
      </w:r>
      <w:r w:rsidRPr="00761EF3">
        <w:rPr>
          <w:rFonts w:hint="eastAsia"/>
          <w:szCs w:val="22"/>
        </w:rPr>
        <w:t>p</w:t>
      </w:r>
      <w:r w:rsidRPr="00761EF3">
        <w:rPr>
          <w:szCs w:val="22"/>
        </w:rPr>
        <w:t>p</w:t>
      </w:r>
      <w:r w:rsidRPr="00212D57">
        <w:rPr>
          <w:szCs w:val="22"/>
        </w:rPr>
        <w:t>.</w:t>
      </w:r>
      <w:r w:rsidRPr="00761EF3">
        <w:rPr>
          <w:szCs w:val="22"/>
        </w:rPr>
        <w:t>313</w:t>
      </w:r>
      <w:r w:rsidRPr="00212D57">
        <w:rPr>
          <w:szCs w:val="22"/>
        </w:rPr>
        <w:t>-</w:t>
      </w:r>
      <w:r w:rsidRPr="00761EF3">
        <w:rPr>
          <w:szCs w:val="22"/>
        </w:rPr>
        <w:t>322</w:t>
      </w:r>
      <w:r w:rsidRPr="00212D57">
        <w:rPr>
          <w:rFonts w:cs="Times Ext Roman" w:hint="eastAsia"/>
          <w:szCs w:val="22"/>
        </w:rPr>
        <w:t>：</w:t>
      </w:r>
    </w:p>
    <w:p w:rsidR="00157EF6" w:rsidRPr="00212D57" w:rsidRDefault="00157EF6" w:rsidP="00717FD5">
      <w:pPr>
        <w:snapToGrid w:val="0"/>
        <w:ind w:leftChars="335" w:left="804"/>
        <w:jc w:val="both"/>
        <w:rPr>
          <w:rFonts w:ascii="標楷體" w:eastAsia="標楷體" w:hAnsi="標楷體" w:cs="Times Ext Roman"/>
          <w:dstrike/>
          <w:sz w:val="22"/>
          <w:szCs w:val="22"/>
        </w:rPr>
      </w:pPr>
      <w:r w:rsidRPr="00212D57">
        <w:rPr>
          <w:rFonts w:ascii="標楷體" w:eastAsia="標楷體" w:hAnsi="標楷體" w:hint="eastAsia"/>
          <w:sz w:val="22"/>
          <w:szCs w:val="22"/>
        </w:rPr>
        <w:t>我，不過是依五蘊和合而有的假我，如探求他的實體，一一蘊中是不可得的。外道要執有實我，那麼，如「我是五陰」，那所說的「我」，應該與五陰一樣是「生滅」的。</w:t>
      </w:r>
      <w:r w:rsidRPr="00B16A72">
        <w:rPr>
          <w:rFonts w:ascii="標楷體" w:eastAsia="標楷體" w:hAnsi="標楷體" w:cs="Times Ext Roman" w:hint="eastAsia"/>
          <w:sz w:val="22"/>
          <w:szCs w:val="22"/>
          <w:shd w:val="pct15" w:color="auto" w:fill="FFFFFF"/>
        </w:rPr>
        <w:t>……</w:t>
      </w:r>
      <w:r w:rsidRPr="00212D57">
        <w:rPr>
          <w:rFonts w:ascii="標楷體" w:eastAsia="標楷體" w:hAnsi="標楷體" w:hint="eastAsia"/>
          <w:sz w:val="22"/>
          <w:szCs w:val="22"/>
        </w:rPr>
        <w:t>「我」如「異」於「五陰」，我與陰分離獨在，即不能以「五陰」的「相」用去說明。不以五陰為我的相，那我就不是物質的，也不是精神的，非見聞覺知的；那所說的離蘊我，究竟是什麼呢？我不就是五陰，破即蘊的我；我不異於五陰，破離蘊的我。</w:t>
      </w:r>
      <w:r w:rsidRPr="00B16A72">
        <w:rPr>
          <w:rFonts w:ascii="標楷體" w:eastAsia="標楷體" w:hAnsi="標楷體" w:cs="Times Ext Roman" w:hint="eastAsia"/>
          <w:sz w:val="22"/>
          <w:szCs w:val="22"/>
          <w:shd w:val="pct15" w:color="auto" w:fill="FFFFFF"/>
        </w:rPr>
        <w:t>……</w:t>
      </w:r>
      <w:r w:rsidRPr="00212D57">
        <w:rPr>
          <w:rFonts w:ascii="標楷體" w:eastAsia="標楷體" w:hAnsi="標楷體" w:hint="eastAsia"/>
          <w:sz w:val="22"/>
          <w:szCs w:val="22"/>
        </w:rPr>
        <w:t>我所見依我見而存在，「無有我」的自性可得，我所也就沒有了。所以說：「何得有我所？」這是從我空而達到法空。</w:t>
      </w:r>
      <w:r w:rsidRPr="00B16A72">
        <w:rPr>
          <w:rFonts w:ascii="標楷體" w:eastAsia="標楷體" w:hAnsi="標楷體" w:cs="Times Ext Roman" w:hint="eastAsia"/>
          <w:sz w:val="22"/>
          <w:szCs w:val="22"/>
          <w:shd w:val="pct15" w:color="auto" w:fill="FFFFFF"/>
        </w:rPr>
        <w:t>……</w:t>
      </w:r>
      <w:r w:rsidRPr="00212D57">
        <w:rPr>
          <w:rFonts w:ascii="標楷體" w:eastAsia="標楷體" w:hAnsi="標楷體" w:hint="eastAsia"/>
          <w:sz w:val="22"/>
          <w:szCs w:val="22"/>
        </w:rPr>
        <w:t>「滅我我所故，名得無我智」，即指此實相般若的現覺。「得」到這「無我智」，才真是能如「實觀」法實相的。能「得」這「無我智」的，「是人」最「為希有」！他已超凡入聖，不再是一般的凡夫了。</w:t>
      </w:r>
    </w:p>
    <w:p w:rsidR="00157EF6" w:rsidRPr="00212D57" w:rsidRDefault="00157EF6" w:rsidP="002803E9">
      <w:pPr>
        <w:pStyle w:val="a5"/>
        <w:ind w:leftChars="105" w:left="791" w:hangingChars="245" w:hanging="539"/>
        <w:jc w:val="both"/>
        <w:rPr>
          <w:rFonts w:cs="Times Ext Roman"/>
          <w:szCs w:val="22"/>
        </w:rPr>
      </w:pPr>
      <w:r w:rsidRPr="00212D57">
        <w:rPr>
          <w:rFonts w:cs="Times Ext Roman" w:hint="eastAsia"/>
          <w:szCs w:val="22"/>
        </w:rPr>
        <w:t>（</w:t>
      </w:r>
      <w:r w:rsidRPr="00761EF3">
        <w:rPr>
          <w:rFonts w:hint="eastAsia"/>
          <w:szCs w:val="22"/>
        </w:rPr>
        <w:t>3</w:t>
      </w:r>
      <w:r w:rsidRPr="00212D57">
        <w:rPr>
          <w:rFonts w:cs="Times Ext Roman" w:hint="eastAsia"/>
          <w:szCs w:val="22"/>
        </w:rPr>
        <w:t>）</w:t>
      </w:r>
      <w:r w:rsidRPr="00212D57">
        <w:rPr>
          <w:rFonts w:cs="Times Ext Roman"/>
          <w:szCs w:val="22"/>
        </w:rPr>
        <w:t>印順法師</w:t>
      </w:r>
      <w:r w:rsidRPr="00212D57">
        <w:rPr>
          <w:rFonts w:cs="Times Ext Roman" w:hint="eastAsia"/>
          <w:szCs w:val="22"/>
        </w:rPr>
        <w:t>，</w:t>
      </w:r>
      <w:r w:rsidRPr="00212D57">
        <w:rPr>
          <w:rFonts w:cs="Times Ext Roman"/>
          <w:szCs w:val="22"/>
        </w:rPr>
        <w:t>《中觀論頌講記》</w:t>
      </w:r>
      <w:r w:rsidRPr="00212D57">
        <w:rPr>
          <w:rFonts w:cs="Times Ext Roman" w:hint="eastAsia"/>
          <w:szCs w:val="22"/>
        </w:rPr>
        <w:t>，</w:t>
      </w:r>
      <w:r w:rsidRPr="00761EF3">
        <w:rPr>
          <w:szCs w:val="22"/>
        </w:rPr>
        <w:t>p</w:t>
      </w:r>
      <w:r w:rsidRPr="00212D57">
        <w:rPr>
          <w:szCs w:val="22"/>
        </w:rPr>
        <w:t>.</w:t>
      </w:r>
      <w:r w:rsidRPr="00761EF3">
        <w:rPr>
          <w:szCs w:val="22"/>
        </w:rPr>
        <w:t>312</w:t>
      </w:r>
      <w:r w:rsidRPr="00212D57">
        <w:rPr>
          <w:rFonts w:cs="Times Ext Roman"/>
          <w:szCs w:val="22"/>
        </w:rPr>
        <w:t>：</w:t>
      </w:r>
    </w:p>
    <w:p w:rsidR="00157EF6" w:rsidRPr="00212D57" w:rsidRDefault="00157EF6" w:rsidP="00717FD5">
      <w:pPr>
        <w:pStyle w:val="a5"/>
        <w:ind w:leftChars="335" w:left="804"/>
        <w:jc w:val="both"/>
        <w:rPr>
          <w:rFonts w:cs="Times Ext Roman"/>
          <w:szCs w:val="22"/>
        </w:rPr>
      </w:pPr>
      <w:r w:rsidRPr="00212D57">
        <w:rPr>
          <w:rFonts w:eastAsia="標楷體" w:cs="Times Ext Roman"/>
          <w:szCs w:val="22"/>
        </w:rPr>
        <w:t>學問不厭廣博，而觀行要扼其關要；所以本品</w:t>
      </w:r>
      <w:r w:rsidRPr="00E27855">
        <w:rPr>
          <w:rFonts w:ascii="新細明體" w:hAnsi="新細明體" w:cs="Times Ext Roman"/>
          <w:szCs w:val="22"/>
          <w:shd w:val="pct15" w:color="auto" w:fill="FFFFFF"/>
        </w:rPr>
        <w:t>（觀法品）</w:t>
      </w:r>
      <w:r w:rsidRPr="00212D57">
        <w:rPr>
          <w:rFonts w:eastAsia="標楷體" w:cs="Times Ext Roman"/>
          <w:szCs w:val="22"/>
        </w:rPr>
        <w:t>正論觀法，如不見有我，也就沒有我所法，正見一切諸法的本來空寂性了。</w:t>
      </w:r>
      <w:r w:rsidRPr="00212D57">
        <w:rPr>
          <w:rFonts w:eastAsia="標楷體" w:cs="Times Ext Roman"/>
          <w:b/>
          <w:szCs w:val="22"/>
        </w:rPr>
        <w:t>從破我下手，顯示諸法的真實，為三乘學者共由的解脫門</w:t>
      </w:r>
      <w:r w:rsidRPr="00212D57">
        <w:rPr>
          <w:rFonts w:eastAsia="標楷體" w:cs="Times Ext Roman"/>
          <w:szCs w:val="22"/>
        </w:rPr>
        <w:t>。明我空，不但是聲聞；說法空，也不但是菩薩。</w:t>
      </w:r>
      <w:r w:rsidRPr="00212D57">
        <w:rPr>
          <w:rFonts w:eastAsia="標楷體" w:cs="Times Ext Roman"/>
          <w:b/>
          <w:szCs w:val="22"/>
        </w:rPr>
        <w:t>一切法性空，卻要從我空入手，此是本論</w:t>
      </w:r>
      <w:r w:rsidRPr="00E27855">
        <w:rPr>
          <w:rFonts w:ascii="新細明體" w:hAnsi="新細明體" w:cs="Times Ext Roman"/>
          <w:b/>
          <w:szCs w:val="22"/>
          <w:shd w:val="pct15" w:color="auto" w:fill="FFFFFF"/>
        </w:rPr>
        <w:t>（《中論》）</w:t>
      </w:r>
      <w:r w:rsidRPr="00212D57">
        <w:rPr>
          <w:rFonts w:eastAsia="標楷體" w:cs="Times Ext Roman"/>
          <w:b/>
          <w:szCs w:val="22"/>
        </w:rPr>
        <w:t>如實體見釋尊教意的特色。</w:t>
      </w:r>
    </w:p>
  </w:footnote>
  <w:footnote w:id="16">
    <w:p w:rsidR="00157EF6" w:rsidRPr="00212D57" w:rsidRDefault="00157EF6" w:rsidP="00C5089E">
      <w:pPr>
        <w:pStyle w:val="a5"/>
        <w:spacing w:line="0" w:lineRule="atLeast"/>
        <w:ind w:left="792" w:hangingChars="360" w:hanging="792"/>
        <w:jc w:val="both"/>
        <w:rPr>
          <w:rFonts w:cs="Times Ext Roman"/>
          <w:szCs w:val="22"/>
        </w:rPr>
      </w:pPr>
      <w:r w:rsidRPr="00212D57">
        <w:rPr>
          <w:rStyle w:val="a6"/>
          <w:szCs w:val="22"/>
        </w:rPr>
        <w:footnoteRef/>
      </w:r>
      <w:r w:rsidRPr="00212D57">
        <w:rPr>
          <w:rFonts w:cs="Times Ext Roman" w:hint="eastAsia"/>
          <w:szCs w:val="22"/>
        </w:rPr>
        <w:t xml:space="preserve"> </w:t>
      </w:r>
      <w:r w:rsidRPr="00212D57">
        <w:rPr>
          <w:rFonts w:cs="Times Ext Roman" w:hint="eastAsia"/>
          <w:szCs w:val="22"/>
        </w:rPr>
        <w:t>（</w:t>
      </w:r>
      <w:r w:rsidRPr="00761EF3">
        <w:rPr>
          <w:szCs w:val="22"/>
        </w:rPr>
        <w:t>1</w:t>
      </w:r>
      <w:r w:rsidRPr="00212D57">
        <w:rPr>
          <w:rFonts w:cs="Times Ext Roman" w:hint="eastAsia"/>
          <w:szCs w:val="22"/>
        </w:rPr>
        <w:t>）</w:t>
      </w:r>
      <w:r w:rsidRPr="00212D57">
        <w:rPr>
          <w:rFonts w:cs="Times Ext Roman"/>
          <w:szCs w:val="22"/>
        </w:rPr>
        <w:t>《大智度論》卷</w:t>
      </w:r>
      <w:r w:rsidRPr="00761EF3">
        <w:rPr>
          <w:szCs w:val="22"/>
        </w:rPr>
        <w:t>22</w:t>
      </w:r>
      <w:r w:rsidR="00AC0462" w:rsidRPr="00AC0462">
        <w:rPr>
          <w:rFonts w:hint="eastAsia"/>
          <w:color w:val="FF0000"/>
          <w:szCs w:val="22"/>
          <w:highlight w:val="yellow"/>
        </w:rPr>
        <w:t>釋</w:t>
      </w:r>
      <w:r w:rsidRPr="00212D57">
        <w:rPr>
          <w:rFonts w:cs="Times Ext Roman" w:hint="eastAsia"/>
          <w:szCs w:val="22"/>
        </w:rPr>
        <w:t>〈</w:t>
      </w:r>
      <w:r w:rsidRPr="00761EF3">
        <w:rPr>
          <w:rFonts w:hint="eastAsia"/>
          <w:szCs w:val="22"/>
        </w:rPr>
        <w:t>1</w:t>
      </w:r>
      <w:r w:rsidRPr="00212D57">
        <w:rPr>
          <w:rFonts w:hint="eastAsia"/>
          <w:szCs w:val="22"/>
        </w:rPr>
        <w:t xml:space="preserve"> </w:t>
      </w:r>
      <w:r w:rsidRPr="00212D57">
        <w:rPr>
          <w:rFonts w:cs="Times Ext Roman" w:hint="eastAsia"/>
          <w:szCs w:val="22"/>
        </w:rPr>
        <w:t>序品〉</w:t>
      </w:r>
      <w:r w:rsidRPr="00212D57">
        <w:rPr>
          <w:rFonts w:cs="Times Ext Roman"/>
          <w:szCs w:val="22"/>
        </w:rPr>
        <w:t>（大正</w:t>
      </w:r>
      <w:r w:rsidRPr="00761EF3">
        <w:rPr>
          <w:szCs w:val="22"/>
        </w:rPr>
        <w:t>25</w:t>
      </w:r>
      <w:r w:rsidRPr="00212D57">
        <w:rPr>
          <w:rFonts w:cs="Times Ext Roman"/>
          <w:szCs w:val="22"/>
        </w:rPr>
        <w:t>，</w:t>
      </w:r>
      <w:r w:rsidRPr="00761EF3">
        <w:rPr>
          <w:szCs w:val="22"/>
        </w:rPr>
        <w:t>222b27</w:t>
      </w:r>
      <w:r w:rsidRPr="00212D57">
        <w:rPr>
          <w:szCs w:val="22"/>
        </w:rPr>
        <w:t>-</w:t>
      </w:r>
      <w:r w:rsidRPr="00761EF3">
        <w:rPr>
          <w:szCs w:val="22"/>
        </w:rPr>
        <w:t>c6</w:t>
      </w:r>
      <w:r w:rsidRPr="00212D57">
        <w:rPr>
          <w:rFonts w:cs="Times Ext Roman"/>
          <w:szCs w:val="22"/>
        </w:rPr>
        <w:t>）：</w:t>
      </w:r>
    </w:p>
    <w:p w:rsidR="00157EF6" w:rsidRPr="00212D57" w:rsidRDefault="00157EF6" w:rsidP="00E03184">
      <w:pPr>
        <w:pStyle w:val="ad"/>
        <w:snapToGrid w:val="0"/>
        <w:spacing w:after="0"/>
        <w:ind w:leftChars="335" w:left="1464" w:hangingChars="300" w:hanging="660"/>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問曰：摩訶衍中說</w:t>
      </w:r>
      <w:r w:rsidRPr="00212D57">
        <w:rPr>
          <w:rFonts w:ascii="Times New Roman" w:eastAsia="標楷體" w:hAnsi="Times New Roman" w:cs="Times Ext Roman" w:hint="eastAsia"/>
          <w:sz w:val="22"/>
          <w:szCs w:val="22"/>
        </w:rPr>
        <w:t>「</w:t>
      </w:r>
      <w:r w:rsidRPr="00212D57">
        <w:rPr>
          <w:rFonts w:ascii="Times New Roman" w:eastAsia="標楷體" w:hAnsi="Times New Roman" w:cs="Times Ext Roman"/>
          <w:sz w:val="22"/>
          <w:szCs w:val="22"/>
        </w:rPr>
        <w:t>諸法不生不滅，一相，所謂無相</w:t>
      </w:r>
      <w:r w:rsidRPr="00212D57">
        <w:rPr>
          <w:rFonts w:ascii="Times New Roman" w:eastAsia="標楷體" w:hAnsi="Times New Roman" w:cs="Times Ext Roman" w:hint="eastAsia"/>
          <w:sz w:val="22"/>
          <w:szCs w:val="22"/>
        </w:rPr>
        <w:t>」，</w:t>
      </w:r>
      <w:r w:rsidRPr="00212D57">
        <w:rPr>
          <w:rFonts w:ascii="Times New Roman" w:eastAsia="標楷體" w:hAnsi="Times New Roman" w:cs="Times Ext Roman"/>
          <w:sz w:val="22"/>
          <w:szCs w:val="22"/>
        </w:rPr>
        <w:t>此中云何說</w:t>
      </w:r>
      <w:r w:rsidRPr="00212D57">
        <w:rPr>
          <w:rFonts w:ascii="Times New Roman" w:eastAsia="標楷體" w:hAnsi="Times New Roman" w:cs="Times Ext Roman" w:hint="eastAsia"/>
          <w:sz w:val="22"/>
          <w:szCs w:val="22"/>
        </w:rPr>
        <w:t>「</w:t>
      </w:r>
      <w:r w:rsidRPr="00212D57">
        <w:rPr>
          <w:rFonts w:ascii="Times New Roman" w:eastAsia="標楷體" w:hAnsi="Times New Roman" w:cs="Times Ext Roman"/>
          <w:sz w:val="22"/>
          <w:szCs w:val="22"/>
        </w:rPr>
        <w:t>一切有為作法無常名為</w:t>
      </w:r>
      <w:r w:rsidR="0099579E">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法印</w:t>
      </w:r>
      <w:r w:rsidR="0099579E">
        <w:rPr>
          <w:rFonts w:ascii="標楷體" w:eastAsia="標楷體" w:hAnsi="標楷體" w:hint="eastAsia"/>
          <w:color w:val="FF0000"/>
          <w:kern w:val="0"/>
          <w:sz w:val="22"/>
          <w:highlight w:val="yellow"/>
        </w:rPr>
        <w:t>』</w:t>
      </w:r>
      <w:r w:rsidRPr="00212D57">
        <w:rPr>
          <w:rFonts w:ascii="Times New Roman" w:eastAsia="標楷體" w:hAnsi="Times New Roman" w:cs="Times Ext Roman" w:hint="eastAsia"/>
          <w:sz w:val="22"/>
          <w:szCs w:val="22"/>
        </w:rPr>
        <w:t>」</w:t>
      </w:r>
      <w:r w:rsidRPr="00212D57">
        <w:rPr>
          <w:rFonts w:ascii="Times New Roman" w:eastAsia="標楷體" w:hAnsi="Times New Roman" w:cs="Times Ext Roman"/>
          <w:sz w:val="22"/>
          <w:szCs w:val="22"/>
        </w:rPr>
        <w:t>？二法云何不相違？</w:t>
      </w:r>
    </w:p>
    <w:p w:rsidR="00157EF6" w:rsidRPr="00212D57" w:rsidRDefault="00157EF6" w:rsidP="00E03184">
      <w:pPr>
        <w:pStyle w:val="ad"/>
        <w:snapToGrid w:val="0"/>
        <w:spacing w:after="0"/>
        <w:ind w:leftChars="335" w:left="1464" w:hangingChars="300" w:hanging="660"/>
        <w:jc w:val="both"/>
        <w:rPr>
          <w:rFonts w:ascii="Times New Roman" w:hAnsi="Times New Roman" w:cs="Times Ext Roman"/>
          <w:sz w:val="22"/>
          <w:szCs w:val="22"/>
        </w:rPr>
      </w:pPr>
      <w:r w:rsidRPr="00212D57">
        <w:rPr>
          <w:rFonts w:ascii="Times New Roman" w:eastAsia="標楷體" w:hAnsi="Times New Roman" w:cs="Times Ext Roman"/>
          <w:sz w:val="22"/>
          <w:szCs w:val="22"/>
        </w:rPr>
        <w:t>答曰：</w:t>
      </w:r>
      <w:r w:rsidR="0099579E">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觀</w:t>
      </w:r>
      <w:r w:rsidR="0099579E">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無常</w:t>
      </w:r>
      <w:r w:rsidR="0099579E">
        <w:rPr>
          <w:rFonts w:ascii="標楷體" w:eastAsia="標楷體" w:hAnsi="標楷體" w:hint="eastAsia"/>
          <w:color w:val="FF0000"/>
          <w:kern w:val="0"/>
          <w:sz w:val="22"/>
          <w:highlight w:val="yellow"/>
        </w:rPr>
        <w:t>』</w:t>
      </w:r>
      <w:r w:rsidR="0099579E">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，即是</w:t>
      </w:r>
      <w:r w:rsidR="0099579E">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觀</w:t>
      </w:r>
      <w:r w:rsidR="0099579E">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空</w:t>
      </w:r>
      <w:r w:rsidR="0099579E">
        <w:rPr>
          <w:rFonts w:ascii="標楷體" w:eastAsia="標楷體" w:hAnsi="標楷體" w:hint="eastAsia"/>
          <w:color w:val="FF0000"/>
          <w:kern w:val="0"/>
          <w:sz w:val="22"/>
          <w:highlight w:val="yellow"/>
        </w:rPr>
        <w:t>』</w:t>
      </w:r>
      <w:r w:rsidR="0099579E">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因緣；如觀色</w:t>
      </w:r>
      <w:r w:rsidR="003A4B1B">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念念無常</w:t>
      </w:r>
      <w:r w:rsidR="003A4B1B">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，即知為</w:t>
      </w:r>
      <w:r w:rsidR="003A4B1B">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空</w:t>
      </w:r>
      <w:r w:rsidR="003A4B1B">
        <w:rPr>
          <w:rFonts w:ascii="標楷體" w:eastAsia="標楷體" w:hAnsi="標楷體" w:hint="eastAsia"/>
          <w:bCs/>
          <w:color w:val="FF0000"/>
          <w:kern w:val="0"/>
          <w:sz w:val="22"/>
          <w:highlight w:val="yellow"/>
        </w:rPr>
        <w:t>」</w:t>
      </w:r>
      <w:r w:rsidR="003A4B1B">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過去色滅壞，不可見</w:t>
      </w:r>
      <w:r w:rsidR="0099579E">
        <w:rPr>
          <w:rFonts w:ascii="標楷體" w:eastAsia="標楷體" w:hAnsi="標楷體" w:hint="eastAsia"/>
          <w:color w:val="FF0000"/>
          <w:kern w:val="0"/>
          <w:sz w:val="22"/>
          <w:highlight w:val="yellow"/>
        </w:rPr>
        <w:t>，</w:t>
      </w:r>
      <w:r w:rsidRPr="0099579E">
        <w:rPr>
          <w:rFonts w:ascii="Times New Roman" w:eastAsia="標楷體" w:hAnsi="Times New Roman" w:cs="Times Ext Roman"/>
          <w:sz w:val="22"/>
          <w:szCs w:val="22"/>
          <w:highlight w:val="yellow"/>
        </w:rPr>
        <w:t>故無</w:t>
      </w:r>
      <w:r w:rsidRPr="00212D57">
        <w:rPr>
          <w:rFonts w:ascii="Times New Roman" w:eastAsia="標楷體" w:hAnsi="Times New Roman" w:cs="Times Ext Roman"/>
          <w:sz w:val="22"/>
          <w:szCs w:val="22"/>
        </w:rPr>
        <w:t>色相；未來色不生，無作無用，不可見</w:t>
      </w:r>
      <w:r w:rsidR="0099579E">
        <w:rPr>
          <w:rFonts w:ascii="標楷體" w:eastAsia="標楷體" w:hAnsi="標楷體" w:hint="eastAsia"/>
          <w:color w:val="FF0000"/>
          <w:kern w:val="0"/>
          <w:sz w:val="22"/>
          <w:highlight w:val="yellow"/>
        </w:rPr>
        <w:t>，</w:t>
      </w:r>
      <w:r w:rsidRPr="0099579E">
        <w:rPr>
          <w:rFonts w:ascii="Times New Roman" w:eastAsia="標楷體" w:hAnsi="Times New Roman" w:cs="Times Ext Roman"/>
          <w:sz w:val="22"/>
          <w:szCs w:val="22"/>
          <w:highlight w:val="yellow"/>
        </w:rPr>
        <w:t>故無</w:t>
      </w:r>
      <w:r w:rsidRPr="00212D57">
        <w:rPr>
          <w:rFonts w:ascii="Times New Roman" w:eastAsia="標楷體" w:hAnsi="Times New Roman" w:cs="Times Ext Roman"/>
          <w:sz w:val="22"/>
          <w:szCs w:val="22"/>
        </w:rPr>
        <w:t>色相；現在色亦無住，不可見、不可分別知</w:t>
      </w:r>
      <w:r w:rsidR="0099579E">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故無色相</w:t>
      </w:r>
      <w:r w:rsidR="003A4B1B">
        <w:rPr>
          <w:rFonts w:ascii="標楷體" w:eastAsia="標楷體" w:hAnsi="標楷體" w:hint="eastAsia"/>
          <w:color w:val="FF0000"/>
          <w:kern w:val="0"/>
          <w:sz w:val="22"/>
          <w:highlight w:val="yellow"/>
        </w:rPr>
        <w:t>──</w:t>
      </w:r>
      <w:r w:rsidR="0099579E">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無色相</w:t>
      </w:r>
      <w:r w:rsidR="0099579E">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即是</w:t>
      </w:r>
      <w:r w:rsidR="0099579E">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空</w:t>
      </w:r>
      <w:r w:rsidR="0099579E">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w:t>
      </w:r>
      <w:r w:rsidR="0099579E">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空</w:t>
      </w:r>
      <w:r w:rsidR="0099579E">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即是</w:t>
      </w:r>
      <w:r w:rsidR="0099579E">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無生無滅</w:t>
      </w:r>
      <w:r w:rsidR="0099579E">
        <w:rPr>
          <w:rFonts w:ascii="標楷體" w:eastAsia="標楷體" w:hAnsi="標楷體" w:hint="eastAsia"/>
          <w:bCs/>
          <w:color w:val="FF0000"/>
          <w:kern w:val="0"/>
          <w:sz w:val="22"/>
          <w:highlight w:val="yellow"/>
        </w:rPr>
        <w:t>」</w:t>
      </w:r>
      <w:r w:rsidR="0099579E">
        <w:rPr>
          <w:rFonts w:ascii="標楷體" w:eastAsia="標楷體" w:hAnsi="標楷體" w:hint="eastAsia"/>
          <w:color w:val="FF0000"/>
          <w:kern w:val="0"/>
          <w:sz w:val="22"/>
          <w:highlight w:val="yellow"/>
        </w:rPr>
        <w:t>。</w:t>
      </w:r>
      <w:r w:rsidR="0099579E">
        <w:rPr>
          <w:rFonts w:ascii="標楷體" w:eastAsia="標楷體" w:hAnsi="標楷體" w:hint="eastAsia"/>
          <w:bCs/>
          <w:color w:val="FF0000"/>
          <w:kern w:val="0"/>
          <w:sz w:val="22"/>
          <w:highlight w:val="yellow"/>
        </w:rPr>
        <w:t>「</w:t>
      </w:r>
      <w:r w:rsidRPr="00212D57">
        <w:rPr>
          <w:rFonts w:ascii="Times New Roman" w:eastAsia="標楷體" w:hAnsi="Times New Roman" w:cs="Times Ext Roman"/>
          <w:b/>
          <w:sz w:val="22"/>
          <w:szCs w:val="22"/>
        </w:rPr>
        <w:t>無生無滅</w:t>
      </w:r>
      <w:r w:rsidR="0099579E">
        <w:rPr>
          <w:rFonts w:ascii="標楷體" w:eastAsia="標楷體" w:hAnsi="標楷體" w:hint="eastAsia"/>
          <w:bCs/>
          <w:color w:val="FF0000"/>
          <w:kern w:val="0"/>
          <w:sz w:val="22"/>
          <w:highlight w:val="yellow"/>
        </w:rPr>
        <w:t>」</w:t>
      </w:r>
      <w:r w:rsidRPr="00212D57">
        <w:rPr>
          <w:rFonts w:ascii="Times New Roman" w:eastAsia="標楷體" w:hAnsi="Times New Roman" w:cs="Times Ext Roman"/>
          <w:b/>
          <w:sz w:val="22"/>
          <w:szCs w:val="22"/>
        </w:rPr>
        <w:t>及</w:t>
      </w:r>
      <w:r w:rsidR="0099579E">
        <w:rPr>
          <w:rFonts w:ascii="標楷體" w:eastAsia="標楷體" w:hAnsi="標楷體" w:hint="eastAsia"/>
          <w:bCs/>
          <w:color w:val="FF0000"/>
          <w:kern w:val="0"/>
          <w:sz w:val="22"/>
          <w:highlight w:val="yellow"/>
        </w:rPr>
        <w:t>「</w:t>
      </w:r>
      <w:r w:rsidRPr="00212D57">
        <w:rPr>
          <w:rFonts w:ascii="Times New Roman" w:eastAsia="標楷體" w:hAnsi="Times New Roman" w:cs="Times Ext Roman"/>
          <w:b/>
          <w:sz w:val="22"/>
          <w:szCs w:val="22"/>
        </w:rPr>
        <w:t>生滅</w:t>
      </w:r>
      <w:r w:rsidR="0099579E">
        <w:rPr>
          <w:rFonts w:ascii="標楷體" w:eastAsia="標楷體" w:hAnsi="標楷體" w:hint="eastAsia"/>
          <w:bCs/>
          <w:color w:val="FF0000"/>
          <w:kern w:val="0"/>
          <w:sz w:val="22"/>
          <w:highlight w:val="yellow"/>
        </w:rPr>
        <w:t>」</w:t>
      </w:r>
      <w:r w:rsidRPr="00212D57">
        <w:rPr>
          <w:rFonts w:ascii="Times New Roman" w:eastAsia="標楷體" w:hAnsi="Times New Roman" w:cs="Times Ext Roman"/>
          <w:b/>
          <w:sz w:val="22"/>
          <w:szCs w:val="22"/>
        </w:rPr>
        <w:t>其實是一，說有廣略</w:t>
      </w:r>
      <w:r w:rsidRPr="00212D57">
        <w:rPr>
          <w:rFonts w:ascii="Times New Roman" w:eastAsia="標楷體" w:hAnsi="Times New Roman" w:cs="Times Ext Roman"/>
          <w:sz w:val="22"/>
          <w:szCs w:val="22"/>
        </w:rPr>
        <w:t>。</w:t>
      </w:r>
    </w:p>
    <w:p w:rsidR="00157EF6" w:rsidRPr="00212D57" w:rsidRDefault="00157EF6" w:rsidP="008447E9">
      <w:pPr>
        <w:pStyle w:val="a5"/>
        <w:spacing w:line="300" w:lineRule="exact"/>
        <w:ind w:leftChars="105" w:left="791" w:hangingChars="245" w:hanging="539"/>
        <w:jc w:val="both"/>
        <w:rPr>
          <w:rFonts w:cs="Times Ext Roman"/>
          <w:szCs w:val="22"/>
        </w:rPr>
      </w:pPr>
      <w:r w:rsidRPr="00212D57">
        <w:rPr>
          <w:rFonts w:cs="Times Ext Roman" w:hint="eastAsia"/>
          <w:szCs w:val="22"/>
        </w:rPr>
        <w:t>（</w:t>
      </w:r>
      <w:r w:rsidRPr="00761EF3">
        <w:rPr>
          <w:szCs w:val="22"/>
        </w:rPr>
        <w:t>2</w:t>
      </w:r>
      <w:r w:rsidRPr="00212D57">
        <w:rPr>
          <w:rFonts w:cs="Times Ext Roman" w:hint="eastAsia"/>
          <w:szCs w:val="22"/>
        </w:rPr>
        <w:t>）</w:t>
      </w:r>
      <w:r w:rsidRPr="00212D57">
        <w:rPr>
          <w:rFonts w:cs="Times Ext Roman"/>
          <w:szCs w:val="22"/>
        </w:rPr>
        <w:t>《大智度論》卷</w:t>
      </w:r>
      <w:r w:rsidRPr="00761EF3">
        <w:rPr>
          <w:szCs w:val="22"/>
        </w:rPr>
        <w:t>22</w:t>
      </w:r>
      <w:r w:rsidR="00AC0462" w:rsidRPr="00AC0462">
        <w:rPr>
          <w:rFonts w:hint="eastAsia"/>
          <w:color w:val="FF0000"/>
          <w:szCs w:val="22"/>
          <w:highlight w:val="yellow"/>
        </w:rPr>
        <w:t>釋</w:t>
      </w:r>
      <w:r w:rsidRPr="00212D57">
        <w:rPr>
          <w:rFonts w:cs="Times Ext Roman" w:hint="eastAsia"/>
          <w:szCs w:val="22"/>
        </w:rPr>
        <w:t>〈</w:t>
      </w:r>
      <w:r w:rsidRPr="00761EF3">
        <w:rPr>
          <w:rFonts w:hint="eastAsia"/>
          <w:szCs w:val="22"/>
        </w:rPr>
        <w:t>1</w:t>
      </w:r>
      <w:r w:rsidRPr="00212D57">
        <w:rPr>
          <w:rFonts w:hint="eastAsia"/>
          <w:szCs w:val="22"/>
        </w:rPr>
        <w:t xml:space="preserve"> </w:t>
      </w:r>
      <w:r w:rsidRPr="00212D57">
        <w:rPr>
          <w:rFonts w:cs="Times Ext Roman" w:hint="eastAsia"/>
          <w:szCs w:val="22"/>
        </w:rPr>
        <w:t>序品〉</w:t>
      </w:r>
      <w:r w:rsidRPr="00212D57">
        <w:rPr>
          <w:rFonts w:cs="Times Ext Roman"/>
          <w:szCs w:val="22"/>
        </w:rPr>
        <w:t>（大</w:t>
      </w:r>
      <w:r w:rsidRPr="00212D57">
        <w:rPr>
          <w:rFonts w:cs="Times Ext Roman" w:hint="eastAsia"/>
          <w:szCs w:val="22"/>
        </w:rPr>
        <w:t>正</w:t>
      </w:r>
      <w:r w:rsidRPr="00761EF3">
        <w:rPr>
          <w:szCs w:val="22"/>
        </w:rPr>
        <w:t>25</w:t>
      </w:r>
      <w:r w:rsidRPr="00212D57">
        <w:rPr>
          <w:rFonts w:cs="Times Ext Roman"/>
          <w:szCs w:val="22"/>
        </w:rPr>
        <w:t>，</w:t>
      </w:r>
      <w:r w:rsidRPr="00761EF3">
        <w:rPr>
          <w:rStyle w:val="byline"/>
          <w:color w:val="auto"/>
          <w:sz w:val="22"/>
          <w:szCs w:val="22"/>
        </w:rPr>
        <w:t>223b3</w:t>
      </w:r>
      <w:r w:rsidRPr="00212D57">
        <w:rPr>
          <w:szCs w:val="22"/>
        </w:rPr>
        <w:t>-</w:t>
      </w:r>
      <w:r w:rsidRPr="00761EF3">
        <w:rPr>
          <w:szCs w:val="22"/>
        </w:rPr>
        <w:t>12</w:t>
      </w:r>
      <w:r w:rsidRPr="00212D57">
        <w:rPr>
          <w:rFonts w:cs="Times Ext Roman"/>
          <w:szCs w:val="22"/>
        </w:rPr>
        <w:t>）：</w:t>
      </w:r>
    </w:p>
    <w:p w:rsidR="00157EF6" w:rsidRPr="00212D57" w:rsidRDefault="00157EF6" w:rsidP="008447E9">
      <w:pPr>
        <w:pStyle w:val="af"/>
        <w:snapToGrid w:val="0"/>
        <w:spacing w:line="300" w:lineRule="exact"/>
        <w:ind w:leftChars="335" w:left="1464" w:hangingChars="300" w:hanging="660"/>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問曰：佛說聲聞法有四種實，摩訶衍中有一實，今何以故說三實？</w:t>
      </w:r>
    </w:p>
    <w:p w:rsidR="00157EF6" w:rsidRPr="00212D57" w:rsidRDefault="00157EF6" w:rsidP="008447E9">
      <w:pPr>
        <w:pStyle w:val="af"/>
        <w:snapToGrid w:val="0"/>
        <w:spacing w:line="300" w:lineRule="exact"/>
        <w:ind w:leftChars="335" w:left="1464" w:hangingChars="300" w:hanging="660"/>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答曰：</w:t>
      </w:r>
      <w:r w:rsidRPr="00212D57">
        <w:rPr>
          <w:rFonts w:ascii="Times New Roman" w:eastAsia="標楷體" w:hAnsi="Times New Roman" w:cs="Times Ext Roman"/>
          <w:b/>
          <w:sz w:val="22"/>
          <w:szCs w:val="22"/>
        </w:rPr>
        <w:t>佛說三種實法印，廣說則四種，略說則一種</w:t>
      </w:r>
      <w:r w:rsidRPr="00212D57">
        <w:rPr>
          <w:rFonts w:ascii="Times New Roman" w:eastAsia="標楷體" w:hAnsi="Times New Roman" w:cs="Times Ext Roman"/>
          <w:sz w:val="22"/>
          <w:szCs w:val="22"/>
        </w:rPr>
        <w:t>。</w:t>
      </w:r>
      <w:r w:rsidR="0099579E">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無常</w:t>
      </w:r>
      <w:r w:rsidR="0099579E">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即是</w:t>
      </w:r>
      <w:r w:rsidR="0099579E">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苦諦、集諦、道諦</w:t>
      </w:r>
      <w:r w:rsidR="0099579E">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；說</w:t>
      </w:r>
      <w:r w:rsidR="0099579E">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無我</w:t>
      </w:r>
      <w:r w:rsidR="0099579E">
        <w:rPr>
          <w:rFonts w:ascii="標楷體" w:eastAsia="標楷體" w:hAnsi="標楷體" w:hint="eastAsia"/>
          <w:bCs/>
          <w:color w:val="FF0000"/>
          <w:kern w:val="0"/>
          <w:sz w:val="22"/>
          <w:highlight w:val="yellow"/>
        </w:rPr>
        <w:t>」</w:t>
      </w:r>
      <w:r w:rsidR="0099579E">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則一切法；說</w:t>
      </w:r>
      <w:r w:rsidR="0099579E">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寂滅涅槃</w:t>
      </w:r>
      <w:r w:rsidR="0099579E">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，即是</w:t>
      </w:r>
      <w:r w:rsidR="0099579E">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盡諦</w:t>
      </w:r>
      <w:r w:rsidR="0099579E">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w:t>
      </w:r>
    </w:p>
    <w:p w:rsidR="00157EF6" w:rsidRPr="00212D57" w:rsidRDefault="00157EF6" w:rsidP="008447E9">
      <w:pPr>
        <w:pStyle w:val="a5"/>
        <w:spacing w:line="300" w:lineRule="exact"/>
        <w:ind w:leftChars="335" w:left="1464" w:hangingChars="300" w:hanging="660"/>
        <w:jc w:val="both"/>
        <w:rPr>
          <w:rFonts w:eastAsia="標楷體" w:cs="Times Ext Roman"/>
          <w:szCs w:val="22"/>
        </w:rPr>
      </w:pPr>
      <w:r w:rsidRPr="00212D57">
        <w:rPr>
          <w:rFonts w:eastAsia="標楷體" w:cs="Times Ext Roman"/>
          <w:szCs w:val="22"/>
        </w:rPr>
        <w:t>復次，有為法</w:t>
      </w:r>
      <w:r w:rsidR="0099579E">
        <w:rPr>
          <w:rFonts w:ascii="標楷體" w:eastAsia="標楷體" w:hAnsi="標楷體" w:hint="eastAsia"/>
          <w:color w:val="FF0000"/>
          <w:kern w:val="0"/>
          <w:highlight w:val="yellow"/>
        </w:rPr>
        <w:t>，</w:t>
      </w:r>
      <w:r w:rsidR="0099579E">
        <w:rPr>
          <w:rFonts w:ascii="標楷體" w:eastAsia="標楷體" w:hAnsi="標楷體" w:hint="eastAsia"/>
          <w:bCs/>
          <w:color w:val="FF0000"/>
          <w:kern w:val="0"/>
          <w:highlight w:val="yellow"/>
        </w:rPr>
        <w:t>「</w:t>
      </w:r>
      <w:r w:rsidRPr="00212D57">
        <w:rPr>
          <w:rFonts w:eastAsia="標楷體" w:cs="Times Ext Roman"/>
          <w:szCs w:val="22"/>
        </w:rPr>
        <w:t>無常</w:t>
      </w:r>
      <w:r w:rsidR="0099579E">
        <w:rPr>
          <w:rFonts w:ascii="標楷體" w:eastAsia="標楷體" w:hAnsi="標楷體" w:hint="eastAsia"/>
          <w:bCs/>
          <w:color w:val="FF0000"/>
          <w:kern w:val="0"/>
          <w:highlight w:val="yellow"/>
        </w:rPr>
        <w:t>」</w:t>
      </w:r>
      <w:r w:rsidRPr="00212D57">
        <w:rPr>
          <w:rFonts w:eastAsia="標楷體" w:cs="Times Ext Roman"/>
          <w:szCs w:val="22"/>
        </w:rPr>
        <w:t>，念念生滅故</w:t>
      </w:r>
      <w:r w:rsidR="0099579E">
        <w:rPr>
          <w:rFonts w:ascii="標楷體" w:eastAsia="標楷體" w:hAnsi="標楷體" w:hint="eastAsia"/>
          <w:color w:val="FF0000"/>
          <w:spacing w:val="-4"/>
          <w:kern w:val="0"/>
          <w:highlight w:val="yellow"/>
        </w:rPr>
        <w:t>；</w:t>
      </w:r>
      <w:r w:rsidRPr="00212D57">
        <w:rPr>
          <w:rFonts w:eastAsia="標楷體" w:cs="Times Ext Roman"/>
          <w:szCs w:val="22"/>
        </w:rPr>
        <w:t>皆屬因緣，無有自在，無有自在故</w:t>
      </w:r>
      <w:r w:rsidR="0099579E">
        <w:rPr>
          <w:rFonts w:ascii="標楷體" w:eastAsia="標楷體" w:hAnsi="標楷體" w:hint="eastAsia"/>
          <w:bCs/>
          <w:color w:val="FF0000"/>
          <w:kern w:val="0"/>
          <w:highlight w:val="yellow"/>
        </w:rPr>
        <w:t>「</w:t>
      </w:r>
      <w:r w:rsidRPr="00212D57">
        <w:rPr>
          <w:rFonts w:eastAsia="標楷體" w:cs="Times Ext Roman"/>
          <w:szCs w:val="22"/>
        </w:rPr>
        <w:t>無我</w:t>
      </w:r>
      <w:r w:rsidR="0099579E">
        <w:rPr>
          <w:rFonts w:ascii="標楷體" w:eastAsia="標楷體" w:hAnsi="標楷體" w:hint="eastAsia"/>
          <w:bCs/>
          <w:color w:val="FF0000"/>
          <w:kern w:val="0"/>
          <w:highlight w:val="yellow"/>
        </w:rPr>
        <w:t>」</w:t>
      </w:r>
      <w:r w:rsidR="0099579E">
        <w:rPr>
          <w:rFonts w:eastAsia="標楷體" w:cs="Times Ext Roman"/>
          <w:szCs w:val="22"/>
        </w:rPr>
        <w:t>。</w:t>
      </w:r>
      <w:r w:rsidR="00833C2F">
        <w:rPr>
          <w:rFonts w:ascii="標楷體" w:eastAsia="標楷體" w:hAnsi="標楷體" w:hint="eastAsia"/>
          <w:bCs/>
          <w:color w:val="FF0000"/>
          <w:kern w:val="0"/>
          <w:highlight w:val="yellow"/>
        </w:rPr>
        <w:t>「</w:t>
      </w:r>
      <w:r w:rsidR="0099579E">
        <w:rPr>
          <w:rFonts w:eastAsia="標楷體" w:cs="Times Ext Roman"/>
          <w:szCs w:val="22"/>
        </w:rPr>
        <w:t>無常、無我</w:t>
      </w:r>
      <w:r w:rsidR="00833C2F">
        <w:rPr>
          <w:rFonts w:ascii="標楷體" w:eastAsia="標楷體" w:hAnsi="標楷體" w:hint="eastAsia"/>
          <w:bCs/>
          <w:color w:val="FF0000"/>
          <w:kern w:val="0"/>
          <w:highlight w:val="yellow"/>
        </w:rPr>
        <w:t>」</w:t>
      </w:r>
      <w:r w:rsidR="0099579E">
        <w:rPr>
          <w:rFonts w:ascii="標楷體" w:eastAsia="標楷體" w:hAnsi="標楷體" w:hint="eastAsia"/>
          <w:color w:val="FF0000"/>
          <w:kern w:val="0"/>
          <w:highlight w:val="yellow"/>
        </w:rPr>
        <w:t>──</w:t>
      </w:r>
      <w:r w:rsidRPr="00212D57">
        <w:rPr>
          <w:rFonts w:eastAsia="標楷體" w:cs="Times Ext Roman"/>
          <w:szCs w:val="22"/>
        </w:rPr>
        <w:t>無相故心不著，無相</w:t>
      </w:r>
      <w:r w:rsidR="0099579E">
        <w:rPr>
          <w:rFonts w:ascii="標楷體" w:eastAsia="標楷體" w:hAnsi="標楷體" w:hint="eastAsia"/>
          <w:color w:val="FF0000"/>
          <w:spacing w:val="-4"/>
          <w:kern w:val="0"/>
          <w:highlight w:val="yellow"/>
        </w:rPr>
        <w:t>、</w:t>
      </w:r>
      <w:r w:rsidRPr="00212D57">
        <w:rPr>
          <w:rFonts w:eastAsia="標楷體" w:cs="Times Ext Roman"/>
          <w:szCs w:val="22"/>
        </w:rPr>
        <w:t>不著</w:t>
      </w:r>
      <w:r w:rsidRPr="0099579E">
        <w:rPr>
          <w:rFonts w:eastAsia="標楷體" w:cs="Times Ext Roman"/>
          <w:szCs w:val="22"/>
          <w:highlight w:val="yellow"/>
        </w:rPr>
        <w:t>故即</w:t>
      </w:r>
      <w:r w:rsidRPr="00212D57">
        <w:rPr>
          <w:rFonts w:eastAsia="標楷體" w:cs="Times Ext Roman"/>
          <w:szCs w:val="22"/>
        </w:rPr>
        <w:t>是</w:t>
      </w:r>
      <w:r w:rsidR="0099579E">
        <w:rPr>
          <w:rFonts w:ascii="標楷體" w:eastAsia="標楷體" w:hAnsi="標楷體" w:hint="eastAsia"/>
          <w:bCs/>
          <w:color w:val="FF0000"/>
          <w:kern w:val="0"/>
          <w:highlight w:val="yellow"/>
        </w:rPr>
        <w:t>「</w:t>
      </w:r>
      <w:r w:rsidRPr="00212D57">
        <w:rPr>
          <w:rFonts w:eastAsia="標楷體" w:cs="Times Ext Roman"/>
          <w:szCs w:val="22"/>
        </w:rPr>
        <w:t>寂滅涅槃</w:t>
      </w:r>
      <w:r w:rsidR="0099579E">
        <w:rPr>
          <w:rFonts w:ascii="標楷體" w:eastAsia="標楷體" w:hAnsi="標楷體" w:hint="eastAsia"/>
          <w:bCs/>
          <w:color w:val="FF0000"/>
          <w:kern w:val="0"/>
          <w:highlight w:val="yellow"/>
        </w:rPr>
        <w:t>」</w:t>
      </w:r>
      <w:r w:rsidRPr="00212D57">
        <w:rPr>
          <w:rFonts w:eastAsia="標楷體" w:cs="Times Ext Roman"/>
          <w:szCs w:val="22"/>
        </w:rPr>
        <w:t>。以是故，摩訶衍法</w:t>
      </w:r>
      <w:r w:rsidRPr="0099579E">
        <w:rPr>
          <w:rFonts w:eastAsia="標楷體" w:cs="Times Ext Roman"/>
          <w:szCs w:val="22"/>
          <w:highlight w:val="yellow"/>
        </w:rPr>
        <w:t>中雖</w:t>
      </w:r>
      <w:r w:rsidRPr="00212D57">
        <w:rPr>
          <w:rFonts w:eastAsia="標楷體" w:cs="Times Ext Roman"/>
          <w:szCs w:val="22"/>
        </w:rPr>
        <w:t>說</w:t>
      </w:r>
      <w:r w:rsidR="0099579E">
        <w:rPr>
          <w:rFonts w:ascii="標楷體" w:eastAsia="標楷體" w:hAnsi="標楷體" w:hint="eastAsia"/>
          <w:bCs/>
          <w:color w:val="FF0000"/>
          <w:kern w:val="0"/>
          <w:highlight w:val="yellow"/>
        </w:rPr>
        <w:t>「</w:t>
      </w:r>
      <w:r w:rsidRPr="00212D57">
        <w:rPr>
          <w:rFonts w:eastAsia="標楷體" w:cs="Times Ext Roman"/>
          <w:szCs w:val="22"/>
        </w:rPr>
        <w:t>一切法不生不滅</w:t>
      </w:r>
      <w:r w:rsidR="00833C2F" w:rsidRPr="00833C2F">
        <w:rPr>
          <w:rFonts w:eastAsia="標楷體" w:cs="Times Ext Roman" w:hint="eastAsia"/>
          <w:color w:val="FF0000"/>
          <w:szCs w:val="22"/>
          <w:highlight w:val="yellow"/>
        </w:rPr>
        <w:t>、</w:t>
      </w:r>
      <w:r w:rsidR="00833C2F">
        <w:rPr>
          <w:rFonts w:eastAsia="標楷體" w:cs="Times Ext Roman"/>
          <w:szCs w:val="22"/>
        </w:rPr>
        <w:t>一</w:t>
      </w:r>
      <w:r w:rsidR="00833C2F" w:rsidRPr="00833C2F">
        <w:rPr>
          <w:rFonts w:eastAsia="標楷體" w:cs="Times Ext Roman"/>
          <w:szCs w:val="22"/>
          <w:highlight w:val="yellow"/>
        </w:rPr>
        <w:t>相</w:t>
      </w:r>
      <w:r w:rsidRPr="00833C2F">
        <w:rPr>
          <w:rFonts w:eastAsia="標楷體" w:cs="Times Ext Roman"/>
          <w:szCs w:val="22"/>
          <w:highlight w:val="yellow"/>
        </w:rPr>
        <w:t>所</w:t>
      </w:r>
      <w:r w:rsidRPr="00212D57">
        <w:rPr>
          <w:rFonts w:eastAsia="標楷體" w:cs="Times Ext Roman"/>
          <w:szCs w:val="22"/>
        </w:rPr>
        <w:t>謂無相</w:t>
      </w:r>
      <w:r w:rsidR="0099579E">
        <w:rPr>
          <w:rFonts w:ascii="標楷體" w:eastAsia="標楷體" w:hAnsi="標楷體" w:hint="eastAsia"/>
          <w:bCs/>
          <w:color w:val="FF0000"/>
          <w:kern w:val="0"/>
          <w:highlight w:val="yellow"/>
        </w:rPr>
        <w:t>」</w:t>
      </w:r>
      <w:r w:rsidRPr="00212D57">
        <w:rPr>
          <w:rFonts w:eastAsia="標楷體" w:cs="Times Ext Roman"/>
          <w:szCs w:val="22"/>
        </w:rPr>
        <w:t>，</w:t>
      </w:r>
      <w:r w:rsidR="0099579E">
        <w:rPr>
          <w:rFonts w:ascii="標楷體" w:eastAsia="標楷體" w:hAnsi="標楷體" w:hint="eastAsia"/>
          <w:bCs/>
          <w:color w:val="FF0000"/>
          <w:kern w:val="0"/>
          <w:highlight w:val="yellow"/>
        </w:rPr>
        <w:t>「</w:t>
      </w:r>
      <w:r w:rsidRPr="00212D57">
        <w:rPr>
          <w:rFonts w:eastAsia="標楷體" w:cs="Times Ext Roman"/>
          <w:szCs w:val="22"/>
        </w:rPr>
        <w:t>無相</w:t>
      </w:r>
      <w:r w:rsidR="0099579E">
        <w:rPr>
          <w:rFonts w:ascii="標楷體" w:eastAsia="標楷體" w:hAnsi="標楷體" w:hint="eastAsia"/>
          <w:bCs/>
          <w:color w:val="FF0000"/>
          <w:kern w:val="0"/>
          <w:highlight w:val="yellow"/>
        </w:rPr>
        <w:t>」</w:t>
      </w:r>
      <w:r w:rsidRPr="00212D57">
        <w:rPr>
          <w:rFonts w:eastAsia="標楷體" w:cs="Times Ext Roman"/>
          <w:szCs w:val="22"/>
        </w:rPr>
        <w:t>即</w:t>
      </w:r>
      <w:r w:rsidR="0099579E">
        <w:rPr>
          <w:rFonts w:ascii="標楷體" w:eastAsia="標楷體" w:hAnsi="標楷體" w:hint="eastAsia"/>
          <w:bCs/>
          <w:color w:val="FF0000"/>
          <w:kern w:val="0"/>
          <w:highlight w:val="yellow"/>
        </w:rPr>
        <w:t>「</w:t>
      </w:r>
      <w:r w:rsidRPr="00212D57">
        <w:rPr>
          <w:rFonts w:eastAsia="標楷體" w:cs="Times Ext Roman"/>
          <w:szCs w:val="22"/>
        </w:rPr>
        <w:t>寂滅涅槃</w:t>
      </w:r>
      <w:r w:rsidR="0099579E">
        <w:rPr>
          <w:rFonts w:ascii="標楷體" w:eastAsia="標楷體" w:hAnsi="標楷體" w:hint="eastAsia"/>
          <w:bCs/>
          <w:color w:val="FF0000"/>
          <w:kern w:val="0"/>
          <w:highlight w:val="yellow"/>
        </w:rPr>
        <w:t>」</w:t>
      </w:r>
      <w:r w:rsidRPr="00212D57">
        <w:rPr>
          <w:rFonts w:eastAsia="標楷體" w:cs="Times Ext Roman"/>
          <w:szCs w:val="22"/>
        </w:rPr>
        <w:t>。</w:t>
      </w:r>
    </w:p>
    <w:p w:rsidR="00157EF6" w:rsidRPr="00212D57" w:rsidRDefault="00157EF6" w:rsidP="008447E9">
      <w:pPr>
        <w:pStyle w:val="a5"/>
        <w:spacing w:line="300" w:lineRule="exact"/>
        <w:ind w:leftChars="105" w:left="791" w:hangingChars="245" w:hanging="539"/>
        <w:jc w:val="both"/>
        <w:rPr>
          <w:rFonts w:cs="Times Ext Roman"/>
          <w:szCs w:val="22"/>
        </w:rPr>
      </w:pPr>
      <w:r w:rsidRPr="00212D57">
        <w:rPr>
          <w:rFonts w:cs="Times Ext Roman" w:hint="eastAsia"/>
          <w:szCs w:val="22"/>
        </w:rPr>
        <w:t>（</w:t>
      </w:r>
      <w:r w:rsidRPr="00761EF3">
        <w:rPr>
          <w:szCs w:val="22"/>
        </w:rPr>
        <w:t>3</w:t>
      </w:r>
      <w:r w:rsidRPr="00212D57">
        <w:rPr>
          <w:rFonts w:cs="Times Ext Roman" w:hint="eastAsia"/>
          <w:szCs w:val="22"/>
        </w:rPr>
        <w:t>）</w:t>
      </w:r>
      <w:r w:rsidRPr="00BD2886">
        <w:rPr>
          <w:rFonts w:cs="Times Ext Roman"/>
          <w:spacing w:val="-2"/>
          <w:szCs w:val="22"/>
        </w:rPr>
        <w:t>詳見</w:t>
      </w:r>
      <w:r w:rsidR="004407A4">
        <w:rPr>
          <w:rFonts w:cs="Times Ext Roman" w:hint="eastAsia"/>
          <w:spacing w:val="-2"/>
          <w:szCs w:val="22"/>
        </w:rPr>
        <w:t>：</w:t>
      </w:r>
      <w:r w:rsidRPr="00BD2886">
        <w:rPr>
          <w:rFonts w:hint="eastAsia"/>
          <w:spacing w:val="-2"/>
          <w:szCs w:val="22"/>
        </w:rPr>
        <w:t>印順法師，</w:t>
      </w:r>
      <w:r w:rsidRPr="00BD2886">
        <w:rPr>
          <w:rFonts w:cs="Times Ext Roman"/>
          <w:spacing w:val="-2"/>
          <w:szCs w:val="22"/>
        </w:rPr>
        <w:t>《中觀今論》</w:t>
      </w:r>
      <w:r w:rsidRPr="00BD2886">
        <w:rPr>
          <w:rFonts w:cs="Times Ext Roman" w:hint="eastAsia"/>
          <w:spacing w:val="-2"/>
          <w:szCs w:val="22"/>
        </w:rPr>
        <w:t>，</w:t>
      </w:r>
      <w:r w:rsidRPr="00BD2886">
        <w:rPr>
          <w:rFonts w:cs="Times Ext Roman"/>
          <w:spacing w:val="-2"/>
          <w:szCs w:val="22"/>
        </w:rPr>
        <w:t>第</w:t>
      </w:r>
      <w:r w:rsidRPr="00BD2886">
        <w:rPr>
          <w:rFonts w:hint="eastAsia"/>
          <w:spacing w:val="-2"/>
          <w:szCs w:val="22"/>
        </w:rPr>
        <w:t>3</w:t>
      </w:r>
      <w:r w:rsidRPr="00BD2886">
        <w:rPr>
          <w:rFonts w:cs="Times Ext Roman"/>
          <w:spacing w:val="-2"/>
          <w:szCs w:val="22"/>
        </w:rPr>
        <w:t>章〈緣起之生滅與不生不滅〉</w:t>
      </w:r>
      <w:r w:rsidRPr="00BD2886">
        <w:rPr>
          <w:rFonts w:cs="Times Ext Roman" w:hint="eastAsia"/>
          <w:spacing w:val="-2"/>
          <w:szCs w:val="22"/>
        </w:rPr>
        <w:t>，</w:t>
      </w:r>
      <w:r w:rsidRPr="00BD2886">
        <w:rPr>
          <w:rFonts w:hint="eastAsia"/>
          <w:spacing w:val="-2"/>
          <w:szCs w:val="22"/>
        </w:rPr>
        <w:t>p</w:t>
      </w:r>
      <w:r w:rsidRPr="00BD2886">
        <w:rPr>
          <w:spacing w:val="-2"/>
          <w:szCs w:val="22"/>
        </w:rPr>
        <w:t>p.25-39</w:t>
      </w:r>
      <w:r w:rsidRPr="00BD2886">
        <w:rPr>
          <w:rFonts w:cs="Times Ext Roman"/>
          <w:spacing w:val="-2"/>
          <w:szCs w:val="22"/>
        </w:rPr>
        <w:t>。</w:t>
      </w:r>
    </w:p>
    <w:p w:rsidR="00157EF6" w:rsidRPr="00212D57" w:rsidRDefault="00157EF6" w:rsidP="008447E9">
      <w:pPr>
        <w:snapToGrid w:val="0"/>
        <w:spacing w:line="300" w:lineRule="exact"/>
        <w:ind w:leftChars="335" w:left="804"/>
        <w:jc w:val="both"/>
        <w:rPr>
          <w:rFonts w:ascii="Times New Roman" w:hAnsi="Times New Roman" w:cs="Times Ext Roman"/>
          <w:sz w:val="22"/>
          <w:szCs w:val="22"/>
        </w:rPr>
      </w:pPr>
      <w:r w:rsidRPr="00212D57">
        <w:rPr>
          <w:rFonts w:ascii="Times New Roman" w:hAnsi="Times New Roman" w:cs="Times Ext Roman"/>
          <w:sz w:val="22"/>
          <w:szCs w:val="22"/>
        </w:rPr>
        <w:t>如《中觀今論》</w:t>
      </w:r>
      <w:r w:rsidRPr="00212D57">
        <w:rPr>
          <w:rFonts w:ascii="Times New Roman" w:hAnsi="Times New Roman" w:cs="Times Ext Roman" w:hint="eastAsia"/>
          <w:sz w:val="22"/>
          <w:szCs w:val="22"/>
        </w:rPr>
        <w:t>，</w:t>
      </w:r>
      <w:r w:rsidRPr="00761EF3">
        <w:rPr>
          <w:rFonts w:ascii="Times New Roman" w:hAnsi="Times New Roman"/>
          <w:sz w:val="22"/>
          <w:szCs w:val="22"/>
        </w:rPr>
        <w:t>p</w:t>
      </w:r>
      <w:r w:rsidRPr="00212D57">
        <w:rPr>
          <w:rFonts w:ascii="Times New Roman" w:hAnsi="Times New Roman"/>
          <w:sz w:val="22"/>
          <w:szCs w:val="22"/>
        </w:rPr>
        <w:t>.</w:t>
      </w:r>
      <w:r w:rsidRPr="00761EF3">
        <w:rPr>
          <w:rFonts w:ascii="Times New Roman" w:hAnsi="Times New Roman"/>
          <w:sz w:val="22"/>
          <w:szCs w:val="22"/>
        </w:rPr>
        <w:t>32</w:t>
      </w:r>
      <w:r w:rsidRPr="00212D57">
        <w:rPr>
          <w:rFonts w:ascii="Times New Roman" w:hAnsi="Times New Roman" w:cs="Times Ext Roman"/>
          <w:sz w:val="22"/>
          <w:szCs w:val="22"/>
        </w:rPr>
        <w:t>云：</w:t>
      </w:r>
    </w:p>
    <w:p w:rsidR="00157EF6" w:rsidRPr="00212D57" w:rsidRDefault="00157EF6" w:rsidP="008447E9">
      <w:pPr>
        <w:pStyle w:val="a5"/>
        <w:spacing w:line="300" w:lineRule="exact"/>
        <w:ind w:leftChars="335" w:left="804"/>
        <w:jc w:val="both"/>
        <w:rPr>
          <w:rFonts w:cs="Times Ext Roman"/>
          <w:szCs w:val="22"/>
        </w:rPr>
      </w:pPr>
      <w:r w:rsidRPr="00212D57">
        <w:rPr>
          <w:rFonts w:eastAsia="標楷體" w:cs="Times Ext Roman"/>
          <w:szCs w:val="22"/>
        </w:rPr>
        <w:t>諸法生滅不住，即是無自性，無自性即無生無滅，所以生滅的本性即是不生不滅的，這即是不生不滅的緣起。這是通過了生滅的現象，深刻把握它的本性與緣起生滅，並非彼此不同。依此去了解佛說的三法印，無常等即是空義，</w:t>
      </w:r>
      <w:r w:rsidRPr="00212D57">
        <w:rPr>
          <w:rFonts w:eastAsia="標楷體" w:cs="Times Ext Roman"/>
          <w:b/>
          <w:szCs w:val="22"/>
        </w:rPr>
        <w:t>三印即是一印</w:t>
      </w:r>
      <w:r w:rsidRPr="00212D57">
        <w:rPr>
          <w:rFonts w:eastAsia="標楷體" w:cs="Times Ext Roman"/>
          <w:szCs w:val="22"/>
        </w:rPr>
        <w:t>。</w:t>
      </w:r>
    </w:p>
  </w:footnote>
  <w:footnote w:id="17">
    <w:p w:rsidR="00157EF6" w:rsidRPr="00212D57" w:rsidRDefault="00157EF6" w:rsidP="008447E9">
      <w:pPr>
        <w:pStyle w:val="a5"/>
        <w:spacing w:line="300" w:lineRule="exact"/>
        <w:ind w:left="253" w:hangingChars="115" w:hanging="253"/>
        <w:jc w:val="both"/>
        <w:rPr>
          <w:rFonts w:cs="Times Ext Roman"/>
          <w:szCs w:val="22"/>
        </w:rPr>
      </w:pPr>
      <w:r w:rsidRPr="00212D57">
        <w:rPr>
          <w:rStyle w:val="a6"/>
          <w:szCs w:val="22"/>
        </w:rPr>
        <w:footnoteRef/>
      </w:r>
      <w:r w:rsidRPr="00212D57">
        <w:rPr>
          <w:rFonts w:hint="eastAsia"/>
          <w:szCs w:val="22"/>
        </w:rPr>
        <w:t xml:space="preserve"> </w:t>
      </w:r>
      <w:r w:rsidRPr="00212D57">
        <w:rPr>
          <w:rFonts w:cs="Times Ext Roman"/>
          <w:szCs w:val="22"/>
        </w:rPr>
        <w:t>《大智度論》卷</w:t>
      </w:r>
      <w:r w:rsidRPr="00761EF3">
        <w:rPr>
          <w:szCs w:val="22"/>
        </w:rPr>
        <w:t>20</w:t>
      </w:r>
      <w:r w:rsidR="00AC0462" w:rsidRPr="00AC0462">
        <w:rPr>
          <w:rFonts w:hint="eastAsia"/>
          <w:color w:val="FF0000"/>
          <w:szCs w:val="22"/>
          <w:highlight w:val="yellow"/>
        </w:rPr>
        <w:t>釋</w:t>
      </w:r>
      <w:r w:rsidRPr="00212D57">
        <w:rPr>
          <w:rFonts w:cs="Times Ext Roman" w:hint="eastAsia"/>
          <w:szCs w:val="22"/>
        </w:rPr>
        <w:t>〈</w:t>
      </w:r>
      <w:r w:rsidRPr="00761EF3">
        <w:rPr>
          <w:rFonts w:hint="eastAsia"/>
          <w:szCs w:val="22"/>
        </w:rPr>
        <w:t>1</w:t>
      </w:r>
      <w:r w:rsidRPr="00212D57">
        <w:rPr>
          <w:rFonts w:hint="eastAsia"/>
          <w:szCs w:val="22"/>
        </w:rPr>
        <w:t xml:space="preserve"> </w:t>
      </w:r>
      <w:r w:rsidRPr="00212D57">
        <w:rPr>
          <w:rFonts w:cs="Times Ext Roman" w:hint="eastAsia"/>
          <w:szCs w:val="22"/>
        </w:rPr>
        <w:t>序品〉</w:t>
      </w:r>
      <w:r w:rsidRPr="00212D57">
        <w:rPr>
          <w:rFonts w:cs="Times Ext Roman"/>
          <w:szCs w:val="22"/>
        </w:rPr>
        <w:t>（大正</w:t>
      </w:r>
      <w:r w:rsidRPr="00761EF3">
        <w:rPr>
          <w:szCs w:val="22"/>
        </w:rPr>
        <w:t>25</w:t>
      </w:r>
      <w:r w:rsidRPr="00212D57">
        <w:rPr>
          <w:rFonts w:cs="Times Ext Roman"/>
          <w:szCs w:val="22"/>
        </w:rPr>
        <w:t>，</w:t>
      </w:r>
      <w:r w:rsidRPr="00761EF3">
        <w:rPr>
          <w:szCs w:val="22"/>
        </w:rPr>
        <w:t>207c4</w:t>
      </w:r>
      <w:r w:rsidRPr="00212D57">
        <w:rPr>
          <w:szCs w:val="22"/>
        </w:rPr>
        <w:t>-</w:t>
      </w:r>
      <w:r w:rsidRPr="00761EF3">
        <w:rPr>
          <w:szCs w:val="22"/>
        </w:rPr>
        <w:t>20</w:t>
      </w:r>
      <w:r w:rsidRPr="00212D57">
        <w:rPr>
          <w:rFonts w:cs="Times Ext Roman"/>
          <w:szCs w:val="22"/>
        </w:rPr>
        <w:t>）：</w:t>
      </w:r>
    </w:p>
    <w:p w:rsidR="00157EF6" w:rsidRPr="00212D57" w:rsidRDefault="00157EF6" w:rsidP="008447E9">
      <w:pPr>
        <w:pStyle w:val="af"/>
        <w:snapToGrid w:val="0"/>
        <w:spacing w:line="300" w:lineRule="exact"/>
        <w:ind w:leftChars="105" w:left="252"/>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是三解脫門，摩訶衍中是一法，以行因緣故，說有三種。觀諸法空，是名</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空</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；於</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空</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中不可取相，是時</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空</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轉名</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無相</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無相</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中不應有所作為三界生，是時</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無相</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轉名</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無作</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。譬如城有三門，一人身不得一時從三門入</w:t>
      </w:r>
      <w:r w:rsidR="00E85B8F">
        <w:rPr>
          <w:rFonts w:ascii="標楷體" w:eastAsia="標楷體" w:hAnsi="標楷體" w:hint="eastAsia"/>
          <w:color w:val="FF0000"/>
          <w:spacing w:val="-4"/>
          <w:kern w:val="0"/>
          <w:sz w:val="22"/>
          <w:highlight w:val="yellow"/>
        </w:rPr>
        <w:t>；</w:t>
      </w:r>
      <w:r w:rsidRPr="00212D57">
        <w:rPr>
          <w:rFonts w:ascii="Times New Roman" w:eastAsia="標楷體" w:hAnsi="Times New Roman" w:cs="Times Ext Roman"/>
          <w:sz w:val="22"/>
          <w:szCs w:val="22"/>
        </w:rPr>
        <w:t>若入</w:t>
      </w:r>
      <w:r w:rsidR="00E85B8F">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則從一門。</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b/>
          <w:sz w:val="22"/>
          <w:szCs w:val="22"/>
        </w:rPr>
        <w:t>諸法實相</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b/>
          <w:sz w:val="22"/>
          <w:szCs w:val="22"/>
        </w:rPr>
        <w:t>是涅槃城</w:t>
      </w:r>
      <w:r w:rsidRPr="00212D57">
        <w:rPr>
          <w:rFonts w:ascii="Times New Roman" w:eastAsia="標楷體" w:hAnsi="Times New Roman" w:cs="Times Ext Roman"/>
          <w:sz w:val="22"/>
          <w:szCs w:val="22"/>
        </w:rPr>
        <w:t>，城有三門</w:t>
      </w:r>
      <w:r w:rsidR="00E85B8F">
        <w:rPr>
          <w:rFonts w:ascii="標楷體" w:eastAsia="標楷體" w:hAnsi="標楷體" w:hint="eastAsia"/>
          <w:color w:val="FF0000"/>
          <w:kern w:val="0"/>
          <w:sz w:val="22"/>
          <w:highlight w:val="yellow"/>
        </w:rPr>
        <w:t>──</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空、無相、無作</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。若人入</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空門</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，不得是空，亦不取相，是人直入，事辦故，不須二門。若入是</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空門</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，取相</w:t>
      </w:r>
      <w:r w:rsidR="00E85B8F">
        <w:rPr>
          <w:rFonts w:ascii="標楷體" w:eastAsia="標楷體" w:hAnsi="標楷體" w:hint="eastAsia"/>
          <w:color w:val="FF0000"/>
          <w:spacing w:val="-4"/>
          <w:kern w:val="0"/>
          <w:sz w:val="22"/>
          <w:highlight w:val="yellow"/>
        </w:rPr>
        <w:t>、</w:t>
      </w:r>
      <w:r w:rsidRPr="00212D57">
        <w:rPr>
          <w:rFonts w:ascii="Times New Roman" w:eastAsia="標楷體" w:hAnsi="Times New Roman" w:cs="Times Ext Roman"/>
          <w:sz w:val="22"/>
          <w:szCs w:val="22"/>
        </w:rPr>
        <w:t>得是空，於是人不得為門，通塗更塞</w:t>
      </w:r>
      <w:r w:rsidR="00E85B8F">
        <w:rPr>
          <w:rFonts w:ascii="標楷體" w:eastAsia="標楷體" w:hAnsi="標楷體" w:hint="eastAsia"/>
          <w:color w:val="FF0000"/>
          <w:spacing w:val="-4"/>
          <w:kern w:val="0"/>
          <w:sz w:val="22"/>
          <w:highlight w:val="yellow"/>
        </w:rPr>
        <w:t>；</w:t>
      </w:r>
      <w:r w:rsidRPr="00212D57">
        <w:rPr>
          <w:rFonts w:ascii="Times New Roman" w:eastAsia="標楷體" w:hAnsi="Times New Roman" w:cs="Times Ext Roman"/>
          <w:sz w:val="22"/>
          <w:szCs w:val="22"/>
        </w:rPr>
        <w:t>若除</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空相</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，是時從</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無相門</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入。若於</w:t>
      </w:r>
      <w:r w:rsidR="00E85B8F">
        <w:rPr>
          <w:rFonts w:ascii="標楷體" w:eastAsia="標楷體" w:hAnsi="標楷體" w:hint="eastAsia"/>
          <w:bCs/>
          <w:color w:val="FF0000"/>
          <w:kern w:val="0"/>
          <w:sz w:val="22"/>
          <w:highlight w:val="yellow"/>
        </w:rPr>
        <w:t>「</w:t>
      </w:r>
      <w:r w:rsidR="00E85B8F">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無相</w:t>
      </w:r>
      <w:r w:rsidR="00E85B8F">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相</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心著，生戲論，是時除取</w:t>
      </w:r>
      <w:r w:rsidR="00E85B8F">
        <w:rPr>
          <w:rFonts w:ascii="標楷體" w:eastAsia="標楷體" w:hAnsi="標楷體" w:hint="eastAsia"/>
          <w:bCs/>
          <w:color w:val="FF0000"/>
          <w:kern w:val="0"/>
          <w:sz w:val="22"/>
          <w:highlight w:val="yellow"/>
        </w:rPr>
        <w:t>「</w:t>
      </w:r>
      <w:r w:rsidR="00E85B8F">
        <w:rPr>
          <w:rFonts w:ascii="標楷體" w:eastAsia="標楷體" w:hAnsi="標楷體" w:hint="eastAsia"/>
          <w:color w:val="FF0000"/>
          <w:kern w:val="0"/>
          <w:sz w:val="22"/>
          <w:highlight w:val="yellow"/>
        </w:rPr>
        <w:t>『</w:t>
      </w:r>
      <w:r w:rsidR="00E85B8F" w:rsidRPr="00212D57">
        <w:rPr>
          <w:rFonts w:ascii="Times New Roman" w:eastAsia="標楷體" w:hAnsi="Times New Roman" w:cs="Times Ext Roman"/>
          <w:sz w:val="22"/>
          <w:szCs w:val="22"/>
        </w:rPr>
        <w:t>無相</w:t>
      </w:r>
      <w:r w:rsidR="00E85B8F">
        <w:rPr>
          <w:rFonts w:ascii="標楷體" w:eastAsia="標楷體" w:hAnsi="標楷體" w:hint="eastAsia"/>
          <w:color w:val="FF0000"/>
          <w:kern w:val="0"/>
          <w:sz w:val="22"/>
          <w:highlight w:val="yellow"/>
        </w:rPr>
        <w:t>』</w:t>
      </w:r>
      <w:r w:rsidR="00E85B8F" w:rsidRPr="00212D57">
        <w:rPr>
          <w:rFonts w:ascii="Times New Roman" w:eastAsia="標楷體" w:hAnsi="Times New Roman" w:cs="Times Ext Roman"/>
          <w:sz w:val="22"/>
          <w:szCs w:val="22"/>
        </w:rPr>
        <w:t>相</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，入</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無作門</w:t>
      </w:r>
      <w:r w:rsidR="00E85B8F">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w:t>
      </w:r>
    </w:p>
    <w:p w:rsidR="00157EF6" w:rsidRPr="00212D57" w:rsidRDefault="00157EF6" w:rsidP="0022322A">
      <w:pPr>
        <w:pStyle w:val="af"/>
        <w:snapToGrid w:val="0"/>
        <w:spacing w:line="300" w:lineRule="exact"/>
        <w:ind w:leftChars="105" w:left="1572" w:hangingChars="600" w:hanging="1320"/>
        <w:jc w:val="both"/>
        <w:rPr>
          <w:rFonts w:ascii="Times New Roman" w:eastAsia="標楷體" w:hAnsi="Times New Roman" w:cs="Times Ext Roman"/>
          <w:sz w:val="22"/>
          <w:szCs w:val="22"/>
        </w:rPr>
      </w:pPr>
      <w:r w:rsidRPr="00212D57">
        <w:rPr>
          <w:rFonts w:ascii="Times New Roman" w:eastAsia="標楷體" w:hAnsi="Times New Roman" w:cs="Times Ext Roman" w:hint="eastAsia"/>
          <w:sz w:val="22"/>
          <w:szCs w:val="22"/>
        </w:rPr>
        <w:t>阿毘曇義中：是</w:t>
      </w:r>
      <w:r w:rsidR="0022322A">
        <w:rPr>
          <w:rFonts w:ascii="標楷體" w:eastAsia="標楷體" w:hAnsi="標楷體" w:hint="eastAsia"/>
          <w:bCs/>
          <w:color w:val="FF0000"/>
          <w:kern w:val="0"/>
          <w:sz w:val="22"/>
          <w:highlight w:val="yellow"/>
        </w:rPr>
        <w:t>「</w:t>
      </w:r>
      <w:r w:rsidRPr="00212D57">
        <w:rPr>
          <w:rFonts w:ascii="Times New Roman" w:eastAsia="標楷體" w:hAnsi="Times New Roman" w:cs="Times Ext Roman" w:hint="eastAsia"/>
          <w:sz w:val="22"/>
          <w:szCs w:val="22"/>
        </w:rPr>
        <w:t>空解脫門</w:t>
      </w:r>
      <w:r w:rsidR="0022322A">
        <w:rPr>
          <w:rFonts w:ascii="標楷體" w:eastAsia="標楷體" w:hAnsi="標楷體" w:hint="eastAsia"/>
          <w:bCs/>
          <w:color w:val="FF0000"/>
          <w:kern w:val="0"/>
          <w:sz w:val="22"/>
          <w:highlight w:val="yellow"/>
        </w:rPr>
        <w:t>」</w:t>
      </w:r>
      <w:r w:rsidRPr="00212D57">
        <w:rPr>
          <w:rFonts w:ascii="Times New Roman" w:eastAsia="標楷體" w:hAnsi="Times New Roman" w:cs="Times Ext Roman" w:hint="eastAsia"/>
          <w:sz w:val="22"/>
          <w:szCs w:val="22"/>
        </w:rPr>
        <w:t>，緣</w:t>
      </w:r>
      <w:r w:rsidR="0022322A">
        <w:rPr>
          <w:rFonts w:ascii="標楷體" w:eastAsia="標楷體" w:hAnsi="標楷體" w:hint="eastAsia"/>
          <w:bCs/>
          <w:color w:val="FF0000"/>
          <w:kern w:val="0"/>
          <w:sz w:val="22"/>
          <w:highlight w:val="yellow"/>
        </w:rPr>
        <w:t>「</w:t>
      </w:r>
      <w:r w:rsidRPr="00212D57">
        <w:rPr>
          <w:rFonts w:ascii="Times New Roman" w:eastAsia="標楷體" w:hAnsi="Times New Roman" w:cs="Times Ext Roman" w:hint="eastAsia"/>
          <w:sz w:val="22"/>
          <w:szCs w:val="22"/>
        </w:rPr>
        <w:t>苦諦</w:t>
      </w:r>
      <w:r w:rsidR="0022322A">
        <w:rPr>
          <w:rFonts w:ascii="標楷體" w:eastAsia="標楷體" w:hAnsi="標楷體" w:hint="eastAsia"/>
          <w:bCs/>
          <w:color w:val="FF0000"/>
          <w:kern w:val="0"/>
          <w:sz w:val="22"/>
          <w:highlight w:val="yellow"/>
        </w:rPr>
        <w:t>」</w:t>
      </w:r>
      <w:r w:rsidRPr="00212D57">
        <w:rPr>
          <w:rFonts w:ascii="Times New Roman" w:eastAsia="標楷體" w:hAnsi="Times New Roman" w:cs="Times Ext Roman" w:hint="eastAsia"/>
          <w:sz w:val="22"/>
          <w:szCs w:val="22"/>
        </w:rPr>
        <w:t>，攝五眾；</w:t>
      </w:r>
      <w:r w:rsidR="0022322A">
        <w:rPr>
          <w:rFonts w:ascii="標楷體" w:eastAsia="標楷體" w:hAnsi="標楷體" w:hint="eastAsia"/>
          <w:bCs/>
          <w:color w:val="FF0000"/>
          <w:kern w:val="0"/>
          <w:sz w:val="22"/>
          <w:highlight w:val="yellow"/>
        </w:rPr>
        <w:t>「</w:t>
      </w:r>
      <w:r w:rsidRPr="00212D57">
        <w:rPr>
          <w:rFonts w:ascii="Times New Roman" w:eastAsia="標楷體" w:hAnsi="Times New Roman" w:cs="Times Ext Roman" w:hint="eastAsia"/>
          <w:sz w:val="22"/>
          <w:szCs w:val="22"/>
        </w:rPr>
        <w:t>無相解脫門</w:t>
      </w:r>
      <w:r w:rsidR="0022322A">
        <w:rPr>
          <w:rFonts w:ascii="標楷體" w:eastAsia="標楷體" w:hAnsi="標楷體" w:hint="eastAsia"/>
          <w:bCs/>
          <w:color w:val="FF0000"/>
          <w:kern w:val="0"/>
          <w:sz w:val="22"/>
          <w:highlight w:val="yellow"/>
        </w:rPr>
        <w:t>」</w:t>
      </w:r>
      <w:r w:rsidRPr="00212D57">
        <w:rPr>
          <w:rFonts w:ascii="Times New Roman" w:eastAsia="標楷體" w:hAnsi="Times New Roman" w:cs="Times Ext Roman" w:hint="eastAsia"/>
          <w:sz w:val="22"/>
          <w:szCs w:val="22"/>
        </w:rPr>
        <w:t>，緣一法，所謂</w:t>
      </w:r>
      <w:r w:rsidR="0022322A">
        <w:rPr>
          <w:rFonts w:ascii="標楷體" w:eastAsia="標楷體" w:hAnsi="標楷體" w:hint="eastAsia"/>
          <w:bCs/>
          <w:color w:val="FF0000"/>
          <w:kern w:val="0"/>
          <w:sz w:val="22"/>
          <w:highlight w:val="yellow"/>
        </w:rPr>
        <w:t>「</w:t>
      </w:r>
      <w:r w:rsidRPr="00212D57">
        <w:rPr>
          <w:rFonts w:ascii="Times New Roman" w:eastAsia="標楷體" w:hAnsi="Times New Roman" w:cs="Times Ext Roman" w:hint="eastAsia"/>
          <w:sz w:val="22"/>
          <w:szCs w:val="22"/>
        </w:rPr>
        <w:t>數緣盡</w:t>
      </w:r>
      <w:r w:rsidR="0022322A">
        <w:rPr>
          <w:rFonts w:ascii="標楷體" w:eastAsia="標楷體" w:hAnsi="標楷體" w:hint="eastAsia"/>
          <w:bCs/>
          <w:color w:val="FF0000"/>
          <w:kern w:val="0"/>
          <w:sz w:val="22"/>
          <w:highlight w:val="yellow"/>
        </w:rPr>
        <w:t>」</w:t>
      </w:r>
      <w:r w:rsidRPr="00212D57">
        <w:rPr>
          <w:rFonts w:ascii="Times New Roman" w:eastAsia="標楷體" w:hAnsi="Times New Roman" w:cs="Times Ext Roman" w:hint="eastAsia"/>
          <w:sz w:val="22"/>
          <w:szCs w:val="22"/>
        </w:rPr>
        <w:t>；</w:t>
      </w:r>
      <w:r w:rsidR="0022322A">
        <w:rPr>
          <w:rFonts w:ascii="標楷體" w:eastAsia="標楷體" w:hAnsi="標楷體" w:hint="eastAsia"/>
          <w:bCs/>
          <w:color w:val="FF0000"/>
          <w:kern w:val="0"/>
          <w:sz w:val="22"/>
          <w:highlight w:val="yellow"/>
        </w:rPr>
        <w:t>「</w:t>
      </w:r>
      <w:r w:rsidRPr="00212D57">
        <w:rPr>
          <w:rFonts w:ascii="Times New Roman" w:eastAsia="標楷體" w:hAnsi="Times New Roman" w:cs="Times Ext Roman" w:hint="eastAsia"/>
          <w:sz w:val="22"/>
          <w:szCs w:val="22"/>
        </w:rPr>
        <w:t>無作解脫門</w:t>
      </w:r>
      <w:r w:rsidR="0022322A">
        <w:rPr>
          <w:rFonts w:ascii="標楷體" w:eastAsia="標楷體" w:hAnsi="標楷體" w:hint="eastAsia"/>
          <w:bCs/>
          <w:color w:val="FF0000"/>
          <w:kern w:val="0"/>
          <w:sz w:val="22"/>
          <w:highlight w:val="yellow"/>
        </w:rPr>
        <w:t>」</w:t>
      </w:r>
      <w:r w:rsidRPr="00212D57">
        <w:rPr>
          <w:rFonts w:ascii="Times New Roman" w:eastAsia="標楷體" w:hAnsi="Times New Roman" w:cs="Times Ext Roman" w:hint="eastAsia"/>
          <w:sz w:val="22"/>
          <w:szCs w:val="22"/>
        </w:rPr>
        <w:t>，緣三諦，攝五眾。</w:t>
      </w:r>
    </w:p>
    <w:p w:rsidR="00157EF6" w:rsidRPr="00212D57" w:rsidRDefault="00157EF6" w:rsidP="00D54336">
      <w:pPr>
        <w:pStyle w:val="af"/>
        <w:snapToGrid w:val="0"/>
        <w:spacing w:line="300" w:lineRule="exact"/>
        <w:ind w:leftChars="105" w:left="1573" w:hangingChars="600" w:hanging="1321"/>
        <w:jc w:val="both"/>
        <w:rPr>
          <w:rFonts w:ascii="Times New Roman" w:hAnsi="Times New Roman" w:cs="Times Ext Roman"/>
          <w:sz w:val="22"/>
          <w:szCs w:val="22"/>
        </w:rPr>
      </w:pPr>
      <w:r w:rsidRPr="00212D57">
        <w:rPr>
          <w:rFonts w:ascii="Times New Roman" w:eastAsia="標楷體" w:hAnsi="Times New Roman" w:cs="Times Ext Roman"/>
          <w:b/>
          <w:sz w:val="22"/>
          <w:szCs w:val="22"/>
        </w:rPr>
        <w:t>摩訶衍義中，是三</w:t>
      </w:r>
      <w:r w:rsidRPr="0022322A">
        <w:rPr>
          <w:rFonts w:ascii="Times New Roman" w:eastAsia="標楷體" w:hAnsi="Times New Roman" w:cs="Times Ext Roman"/>
          <w:sz w:val="22"/>
          <w:szCs w:val="22"/>
        </w:rPr>
        <w:t>解脫</w:t>
      </w:r>
      <w:r w:rsidRPr="00212D57">
        <w:rPr>
          <w:rFonts w:ascii="Times New Roman" w:eastAsia="標楷體" w:hAnsi="Times New Roman" w:cs="Times Ext Roman"/>
          <w:b/>
          <w:sz w:val="22"/>
          <w:szCs w:val="22"/>
        </w:rPr>
        <w:t>門緣</w:t>
      </w:r>
      <w:r w:rsidR="00092AC6">
        <w:rPr>
          <w:rFonts w:ascii="標楷體" w:eastAsia="標楷體" w:hAnsi="標楷體" w:hint="eastAsia"/>
          <w:bCs/>
          <w:color w:val="FF0000"/>
          <w:kern w:val="0"/>
          <w:sz w:val="22"/>
          <w:highlight w:val="yellow"/>
        </w:rPr>
        <w:t>「</w:t>
      </w:r>
      <w:r w:rsidRPr="00212D57">
        <w:rPr>
          <w:rFonts w:ascii="Times New Roman" w:eastAsia="標楷體" w:hAnsi="Times New Roman" w:cs="Times Ext Roman"/>
          <w:b/>
          <w:sz w:val="22"/>
          <w:szCs w:val="22"/>
        </w:rPr>
        <w:t>諸法實相</w:t>
      </w:r>
      <w:r w:rsidR="00092AC6">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，以是三解脫</w:t>
      </w:r>
      <w:r w:rsidRPr="0022322A">
        <w:rPr>
          <w:rFonts w:ascii="Times New Roman" w:eastAsia="標楷體" w:hAnsi="Times New Roman" w:cs="Times Ext Roman"/>
          <w:sz w:val="22"/>
          <w:szCs w:val="22"/>
          <w:highlight w:val="yellow"/>
        </w:rPr>
        <w:t>門觀</w:t>
      </w:r>
      <w:r w:rsidR="0022322A">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世間</w:t>
      </w:r>
      <w:r w:rsidR="0022322A">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即是</w:t>
      </w:r>
      <w:r w:rsidR="0022322A">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涅槃</w:t>
      </w:r>
      <w:r w:rsidR="0022322A">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。何以故？</w:t>
      </w:r>
      <w:r w:rsidR="0022322A">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涅槃</w:t>
      </w:r>
      <w:r w:rsidR="0022322A">
        <w:rPr>
          <w:rFonts w:ascii="標楷體" w:eastAsia="標楷體" w:hAnsi="標楷體" w:hint="eastAsia"/>
          <w:bCs/>
          <w:color w:val="FF0000"/>
          <w:kern w:val="0"/>
          <w:sz w:val="22"/>
          <w:highlight w:val="yellow"/>
        </w:rPr>
        <w:t>」</w:t>
      </w:r>
      <w:r w:rsidR="0022322A">
        <w:rPr>
          <w:rFonts w:ascii="標楷體" w:eastAsia="標楷體" w:hAnsi="標楷體" w:hint="eastAsia"/>
          <w:color w:val="FF0000"/>
          <w:kern w:val="0"/>
          <w:sz w:val="22"/>
          <w:highlight w:val="yellow"/>
        </w:rPr>
        <w:t>──</w:t>
      </w:r>
      <w:r w:rsidR="0022322A">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空、無相、無作</w:t>
      </w:r>
      <w:r w:rsidR="0022322A">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w:t>
      </w:r>
      <w:r w:rsidR="0022322A">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世間</w:t>
      </w:r>
      <w:r w:rsidR="0022322A">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亦如是。</w:t>
      </w:r>
    </w:p>
  </w:footnote>
  <w:footnote w:id="18">
    <w:p w:rsidR="00283852" w:rsidRDefault="00157EF6" w:rsidP="008447E9">
      <w:pPr>
        <w:pStyle w:val="a5"/>
        <w:spacing w:line="300" w:lineRule="exact"/>
        <w:ind w:left="253" w:hangingChars="115" w:hanging="253"/>
        <w:jc w:val="both"/>
        <w:rPr>
          <w:rFonts w:cs="Times Ext Roman"/>
          <w:szCs w:val="22"/>
        </w:rPr>
      </w:pPr>
      <w:r w:rsidRPr="00212D57">
        <w:rPr>
          <w:rStyle w:val="a6"/>
          <w:szCs w:val="22"/>
        </w:rPr>
        <w:footnoteRef/>
      </w:r>
      <w:r w:rsidRPr="00212D57">
        <w:rPr>
          <w:szCs w:val="22"/>
        </w:rPr>
        <w:t xml:space="preserve"> </w:t>
      </w:r>
      <w:r w:rsidRPr="00212D57">
        <w:rPr>
          <w:rFonts w:cs="Times Ext Roman"/>
          <w:szCs w:val="22"/>
        </w:rPr>
        <w:t>暹羅：泰國的舊名。舊分暹與羅斛兩國，十四世紀中葉兩國合併，稱暹羅。</w:t>
      </w:r>
    </w:p>
    <w:p w:rsidR="00157EF6" w:rsidRPr="00212D57" w:rsidRDefault="00157EF6" w:rsidP="00283852">
      <w:pPr>
        <w:pStyle w:val="a5"/>
        <w:spacing w:line="300" w:lineRule="exact"/>
        <w:ind w:left="253" w:hangingChars="115" w:hanging="253"/>
        <w:jc w:val="right"/>
        <w:rPr>
          <w:rFonts w:cs="Times Ext Roman"/>
          <w:szCs w:val="22"/>
        </w:rPr>
      </w:pPr>
      <w:r w:rsidRPr="00212D57">
        <w:rPr>
          <w:rFonts w:cs="Times Ext Roman"/>
          <w:szCs w:val="22"/>
        </w:rPr>
        <w:t>（《漢語大詞典》（</w:t>
      </w:r>
      <w:r w:rsidRPr="00212D57">
        <w:rPr>
          <w:rFonts w:cs="Times Ext Roman" w:hint="eastAsia"/>
          <w:szCs w:val="22"/>
        </w:rPr>
        <w:t>十</w:t>
      </w:r>
      <w:r w:rsidRPr="00212D57">
        <w:rPr>
          <w:rFonts w:cs="Times Ext Roman"/>
          <w:szCs w:val="22"/>
        </w:rPr>
        <w:t>），</w:t>
      </w:r>
      <w:r w:rsidRPr="00761EF3">
        <w:rPr>
          <w:szCs w:val="22"/>
        </w:rPr>
        <w:t>p</w:t>
      </w:r>
      <w:r w:rsidRPr="00212D57">
        <w:rPr>
          <w:szCs w:val="22"/>
        </w:rPr>
        <w:t>.</w:t>
      </w:r>
      <w:r w:rsidRPr="00761EF3">
        <w:rPr>
          <w:rFonts w:hint="eastAsia"/>
          <w:szCs w:val="22"/>
        </w:rPr>
        <w:t>1186</w:t>
      </w:r>
      <w:r w:rsidRPr="00212D57">
        <w:rPr>
          <w:rFonts w:cs="Times Ext Roman"/>
          <w:szCs w:val="22"/>
        </w:rPr>
        <w:t>。）</w:t>
      </w:r>
    </w:p>
  </w:footnote>
  <w:footnote w:id="19">
    <w:p w:rsidR="008144B4" w:rsidRPr="00212D57" w:rsidRDefault="008144B4" w:rsidP="008144B4">
      <w:pPr>
        <w:pStyle w:val="a5"/>
        <w:spacing w:line="0" w:lineRule="atLeast"/>
        <w:ind w:left="792" w:hangingChars="360" w:hanging="792"/>
        <w:jc w:val="both"/>
        <w:rPr>
          <w:rFonts w:cs="Times Ext Roman"/>
          <w:szCs w:val="22"/>
        </w:rPr>
      </w:pPr>
      <w:r w:rsidRPr="00212D57">
        <w:rPr>
          <w:rStyle w:val="a6"/>
          <w:szCs w:val="22"/>
        </w:rPr>
        <w:footnoteRef/>
      </w:r>
      <w:r w:rsidRPr="00212D57">
        <w:rPr>
          <w:rFonts w:cs="Times Ext Roman" w:hint="eastAsia"/>
          <w:szCs w:val="22"/>
        </w:rPr>
        <w:t xml:space="preserve"> </w:t>
      </w:r>
      <w:r w:rsidRPr="00212D57">
        <w:rPr>
          <w:rFonts w:cs="Times Ext Roman" w:hint="eastAsia"/>
          <w:szCs w:val="22"/>
        </w:rPr>
        <w:t>（</w:t>
      </w:r>
      <w:r w:rsidRPr="00761EF3">
        <w:rPr>
          <w:szCs w:val="22"/>
        </w:rPr>
        <w:t>1</w:t>
      </w:r>
      <w:r w:rsidRPr="00212D57">
        <w:rPr>
          <w:rFonts w:cs="Times Ext Roman" w:hint="eastAsia"/>
          <w:szCs w:val="22"/>
        </w:rPr>
        <w:t>）</w:t>
      </w:r>
      <w:r w:rsidRPr="00212D57">
        <w:rPr>
          <w:rFonts w:cs="Times Ext Roman"/>
          <w:szCs w:val="22"/>
        </w:rPr>
        <w:t>《攝</w:t>
      </w:r>
      <w:r w:rsidRPr="00212D57">
        <w:rPr>
          <w:szCs w:val="22"/>
        </w:rPr>
        <w:t>大乘</w:t>
      </w:r>
      <w:r w:rsidRPr="00212D57">
        <w:rPr>
          <w:rFonts w:cs="Times Ext Roman"/>
          <w:szCs w:val="22"/>
        </w:rPr>
        <w:t>論》卷上</w:t>
      </w:r>
      <w:r w:rsidRPr="00212D57">
        <w:rPr>
          <w:rFonts w:cs="Times Ext Roman" w:hint="eastAsia"/>
          <w:szCs w:val="22"/>
        </w:rPr>
        <w:t>〈</w:t>
      </w:r>
      <w:r w:rsidRPr="00761EF3">
        <w:rPr>
          <w:rFonts w:hint="eastAsia"/>
          <w:szCs w:val="22"/>
        </w:rPr>
        <w:t>2</w:t>
      </w:r>
      <w:r w:rsidRPr="00212D57">
        <w:rPr>
          <w:rFonts w:hint="eastAsia"/>
          <w:szCs w:val="22"/>
        </w:rPr>
        <w:t xml:space="preserve"> </w:t>
      </w:r>
      <w:r w:rsidRPr="00212D57">
        <w:rPr>
          <w:rFonts w:cs="Times Ext Roman"/>
          <w:bCs/>
          <w:szCs w:val="22"/>
        </w:rPr>
        <w:t>所知依分</w:t>
      </w:r>
      <w:r w:rsidRPr="00212D57">
        <w:rPr>
          <w:rFonts w:cs="Times Ext Roman" w:hint="eastAsia"/>
          <w:szCs w:val="22"/>
        </w:rPr>
        <w:t>〉</w:t>
      </w:r>
      <w:r w:rsidRPr="00212D57">
        <w:rPr>
          <w:rFonts w:cs="Times Ext Roman"/>
          <w:szCs w:val="22"/>
        </w:rPr>
        <w:t>（大正</w:t>
      </w:r>
      <w:r w:rsidRPr="00761EF3">
        <w:rPr>
          <w:szCs w:val="22"/>
        </w:rPr>
        <w:t>31</w:t>
      </w:r>
      <w:r w:rsidRPr="00212D57">
        <w:rPr>
          <w:rFonts w:cs="Times Ext Roman"/>
          <w:szCs w:val="22"/>
        </w:rPr>
        <w:t>，</w:t>
      </w:r>
      <w:r w:rsidRPr="00761EF3">
        <w:rPr>
          <w:szCs w:val="22"/>
        </w:rPr>
        <w:t>134c</w:t>
      </w:r>
      <w:r w:rsidRPr="00761EF3">
        <w:rPr>
          <w:rFonts w:hint="eastAsia"/>
          <w:szCs w:val="22"/>
        </w:rPr>
        <w:t>28</w:t>
      </w:r>
      <w:r w:rsidRPr="00212D57">
        <w:rPr>
          <w:szCs w:val="22"/>
        </w:rPr>
        <w:t>-</w:t>
      </w:r>
      <w:r w:rsidRPr="00761EF3">
        <w:rPr>
          <w:szCs w:val="22"/>
        </w:rPr>
        <w:t>135a</w:t>
      </w:r>
      <w:r w:rsidRPr="00761EF3">
        <w:rPr>
          <w:rFonts w:hint="eastAsia"/>
          <w:szCs w:val="22"/>
        </w:rPr>
        <w:t>5</w:t>
      </w:r>
      <w:r w:rsidRPr="00212D57">
        <w:rPr>
          <w:rFonts w:cs="Times Ext Roman"/>
          <w:szCs w:val="22"/>
        </w:rPr>
        <w:t>）：</w:t>
      </w:r>
    </w:p>
    <w:p w:rsidR="008144B4" w:rsidRPr="00212D57" w:rsidRDefault="008144B4" w:rsidP="008144B4">
      <w:pPr>
        <w:pStyle w:val="ad"/>
        <w:snapToGrid w:val="0"/>
        <w:spacing w:after="0"/>
        <w:ind w:leftChars="335" w:left="804"/>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又若略說有二緣起</w:t>
      </w:r>
      <w:r>
        <w:rPr>
          <w:rFonts w:ascii="標楷體" w:eastAsia="標楷體" w:hAnsi="標楷體" w:hint="eastAsia"/>
          <w:color w:val="FF0000"/>
          <w:spacing w:val="-4"/>
          <w:kern w:val="0"/>
          <w:sz w:val="22"/>
          <w:highlight w:val="yellow"/>
        </w:rPr>
        <w:t>：</w:t>
      </w:r>
      <w:r w:rsidRPr="00212D57">
        <w:rPr>
          <w:rFonts w:ascii="Times New Roman" w:eastAsia="標楷體" w:hAnsi="Times New Roman" w:cs="Times Ext Roman"/>
          <w:sz w:val="22"/>
          <w:szCs w:val="22"/>
        </w:rPr>
        <w:t>一者</w:t>
      </w:r>
      <w:r>
        <w:rPr>
          <w:rFonts w:ascii="標楷體" w:eastAsia="標楷體" w:hAnsi="標楷體" w:hint="eastAsia"/>
          <w:color w:val="FF0000"/>
          <w:spacing w:val="-4"/>
          <w:kern w:val="0"/>
          <w:sz w:val="22"/>
          <w:highlight w:val="yellow"/>
        </w:rPr>
        <w:t>、</w:t>
      </w:r>
      <w:r w:rsidRPr="00212D57">
        <w:rPr>
          <w:rFonts w:ascii="Times New Roman" w:eastAsia="標楷體" w:hAnsi="Times New Roman" w:cs="Times Ext Roman"/>
          <w:b/>
          <w:sz w:val="22"/>
          <w:szCs w:val="22"/>
        </w:rPr>
        <w:t>分別自性緣起</w:t>
      </w:r>
      <w:r w:rsidRPr="00212D57">
        <w:rPr>
          <w:rFonts w:ascii="Times New Roman" w:eastAsia="標楷體" w:hAnsi="Times New Roman" w:cs="Times Ext Roman" w:hint="eastAsia"/>
          <w:sz w:val="22"/>
          <w:szCs w:val="22"/>
        </w:rPr>
        <w:t>，</w:t>
      </w:r>
      <w:r w:rsidRPr="00212D57">
        <w:rPr>
          <w:rFonts w:ascii="Times New Roman" w:eastAsia="標楷體" w:hAnsi="Times New Roman" w:cs="Times Ext Roman"/>
          <w:sz w:val="22"/>
          <w:szCs w:val="22"/>
        </w:rPr>
        <w:t>二者</w:t>
      </w:r>
      <w:r>
        <w:rPr>
          <w:rFonts w:ascii="標楷體" w:eastAsia="標楷體" w:hAnsi="標楷體" w:hint="eastAsia"/>
          <w:color w:val="FF0000"/>
          <w:spacing w:val="-4"/>
          <w:kern w:val="0"/>
          <w:sz w:val="22"/>
          <w:highlight w:val="yellow"/>
        </w:rPr>
        <w:t>、</w:t>
      </w:r>
      <w:r w:rsidRPr="00212D57">
        <w:rPr>
          <w:rFonts w:ascii="Times New Roman" w:eastAsia="標楷體" w:hAnsi="Times New Roman" w:cs="Times Ext Roman"/>
          <w:b/>
          <w:sz w:val="22"/>
          <w:szCs w:val="22"/>
        </w:rPr>
        <w:t>分別愛非愛緣起</w:t>
      </w:r>
      <w:r w:rsidRPr="00212D57">
        <w:rPr>
          <w:rFonts w:ascii="Times New Roman" w:eastAsia="標楷體" w:hAnsi="Times New Roman" w:cs="Times Ext Roman"/>
          <w:sz w:val="22"/>
          <w:szCs w:val="22"/>
        </w:rPr>
        <w:t>。</w:t>
      </w:r>
    </w:p>
    <w:p w:rsidR="008144B4" w:rsidRPr="00212D57" w:rsidRDefault="008144B4" w:rsidP="008144B4">
      <w:pPr>
        <w:pStyle w:val="ad"/>
        <w:snapToGrid w:val="0"/>
        <w:spacing w:after="0"/>
        <w:ind w:leftChars="335" w:left="804"/>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此中</w:t>
      </w:r>
      <w:r>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依止阿賴耶識</w:t>
      </w:r>
      <w:r>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諸法生起，是名</w:t>
      </w:r>
      <w:r>
        <w:rPr>
          <w:rFonts w:ascii="標楷體" w:eastAsia="標楷體" w:hAnsi="標楷體" w:hint="eastAsia"/>
          <w:bCs/>
          <w:color w:val="FF0000"/>
          <w:kern w:val="0"/>
          <w:sz w:val="22"/>
          <w:highlight w:val="yellow"/>
        </w:rPr>
        <w:t>「</w:t>
      </w:r>
      <w:r w:rsidRPr="00212D57">
        <w:rPr>
          <w:rFonts w:ascii="Times New Roman" w:eastAsia="標楷體" w:hAnsi="Times New Roman" w:cs="Times Ext Roman"/>
          <w:b/>
          <w:sz w:val="22"/>
          <w:szCs w:val="22"/>
        </w:rPr>
        <w:t>分別自性緣起</w:t>
      </w:r>
      <w:r>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，以能分別種種自性為緣性故。</w:t>
      </w:r>
    </w:p>
    <w:p w:rsidR="008144B4" w:rsidRPr="00212D57" w:rsidRDefault="008144B4" w:rsidP="008144B4">
      <w:pPr>
        <w:pStyle w:val="ad"/>
        <w:snapToGrid w:val="0"/>
        <w:spacing w:after="0"/>
        <w:ind w:leftChars="335" w:left="804"/>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復有十二支緣起，是名</w:t>
      </w:r>
      <w:r>
        <w:rPr>
          <w:rFonts w:ascii="標楷體" w:eastAsia="標楷體" w:hAnsi="標楷體" w:hint="eastAsia"/>
          <w:bCs/>
          <w:color w:val="FF0000"/>
          <w:kern w:val="0"/>
          <w:sz w:val="22"/>
          <w:highlight w:val="yellow"/>
        </w:rPr>
        <w:t>「</w:t>
      </w:r>
      <w:r w:rsidRPr="00212D57">
        <w:rPr>
          <w:rFonts w:ascii="Times New Roman" w:eastAsia="標楷體" w:hAnsi="Times New Roman" w:cs="Times Ext Roman"/>
          <w:b/>
          <w:sz w:val="22"/>
          <w:szCs w:val="22"/>
        </w:rPr>
        <w:t>分別愛非愛緣起</w:t>
      </w:r>
      <w:r>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，以於善趣</w:t>
      </w:r>
      <w:r w:rsidRPr="003A4B1B">
        <w:rPr>
          <w:rFonts w:ascii="標楷體" w:eastAsia="標楷體" w:hAnsi="標楷體" w:cs="Times Ext Roman" w:hint="eastAsia"/>
          <w:color w:val="FF0000"/>
          <w:sz w:val="22"/>
          <w:szCs w:val="22"/>
          <w:highlight w:val="yellow"/>
        </w:rPr>
        <w:t>.</w:t>
      </w:r>
      <w:r w:rsidRPr="00212D57">
        <w:rPr>
          <w:rFonts w:ascii="Times New Roman" w:eastAsia="標楷體" w:hAnsi="Times New Roman" w:cs="Times Ext Roman"/>
          <w:sz w:val="22"/>
          <w:szCs w:val="22"/>
        </w:rPr>
        <w:t>惡趣能分別愛</w:t>
      </w:r>
      <w:r w:rsidRPr="003A4B1B">
        <w:rPr>
          <w:rFonts w:ascii="標楷體" w:eastAsia="標楷體" w:hAnsi="標楷體" w:cs="Times Ext Roman" w:hint="eastAsia"/>
          <w:color w:val="FF0000"/>
          <w:sz w:val="22"/>
          <w:szCs w:val="22"/>
          <w:highlight w:val="yellow"/>
        </w:rPr>
        <w:t>.</w:t>
      </w:r>
      <w:r w:rsidRPr="00212D57">
        <w:rPr>
          <w:rFonts w:ascii="Times New Roman" w:eastAsia="標楷體" w:hAnsi="Times New Roman" w:cs="Times Ext Roman"/>
          <w:sz w:val="22"/>
          <w:szCs w:val="22"/>
        </w:rPr>
        <w:t>非愛種種自體為緣性故。」</w:t>
      </w:r>
    </w:p>
    <w:p w:rsidR="008144B4" w:rsidRPr="00212D57" w:rsidRDefault="008144B4" w:rsidP="008144B4">
      <w:pPr>
        <w:pStyle w:val="ad"/>
        <w:snapToGrid w:val="0"/>
        <w:spacing w:after="0"/>
        <w:ind w:leftChars="335" w:left="804"/>
        <w:jc w:val="both"/>
        <w:rPr>
          <w:rFonts w:ascii="Times New Roman" w:hAnsi="Times New Roman" w:cs="Times Ext Roman"/>
          <w:sz w:val="22"/>
          <w:szCs w:val="22"/>
        </w:rPr>
      </w:pPr>
      <w:r w:rsidRPr="00212D57">
        <w:rPr>
          <w:rFonts w:ascii="Times New Roman" w:hAnsi="Times New Roman" w:cs="Times Ext Roman" w:hint="eastAsia"/>
          <w:sz w:val="22"/>
          <w:szCs w:val="22"/>
        </w:rPr>
        <w:t>※另</w:t>
      </w:r>
      <w:r w:rsidRPr="00212D57">
        <w:rPr>
          <w:rFonts w:ascii="Times New Roman" w:hAnsi="Times New Roman" w:cs="Times Ext Roman"/>
          <w:sz w:val="22"/>
          <w:szCs w:val="22"/>
        </w:rPr>
        <w:t>參見</w:t>
      </w:r>
      <w:r>
        <w:rPr>
          <w:rFonts w:ascii="Times New Roman" w:hAnsi="Times New Roman" w:cs="Times Ext Roman" w:hint="eastAsia"/>
          <w:sz w:val="22"/>
          <w:szCs w:val="22"/>
        </w:rPr>
        <w:t>：</w:t>
      </w:r>
      <w:r w:rsidRPr="00283852">
        <w:rPr>
          <w:rFonts w:ascii="Times New Roman" w:hAnsi="Times New Roman" w:cs="Times Ext Roman" w:hint="eastAsia"/>
          <w:color w:val="FF0000"/>
          <w:sz w:val="22"/>
          <w:szCs w:val="22"/>
          <w:highlight w:val="yellow"/>
        </w:rPr>
        <w:t>世親造，</w:t>
      </w:r>
      <w:r w:rsidRPr="00212D57">
        <w:rPr>
          <w:rFonts w:ascii="Times New Roman" w:hAnsi="Times New Roman" w:cs="Times Ext Roman"/>
          <w:sz w:val="22"/>
          <w:szCs w:val="22"/>
        </w:rPr>
        <w:t>《攝大乘論釋》卷</w:t>
      </w:r>
      <w:r w:rsidRPr="00761EF3">
        <w:rPr>
          <w:rFonts w:ascii="Times New Roman" w:hAnsi="Times New Roman"/>
          <w:sz w:val="22"/>
          <w:szCs w:val="22"/>
        </w:rPr>
        <w:t>2</w:t>
      </w:r>
      <w:r w:rsidRPr="00212D57">
        <w:rPr>
          <w:rFonts w:ascii="Times New Roman" w:hAnsi="Times New Roman" w:cs="Times Ext Roman" w:hint="eastAsia"/>
          <w:sz w:val="22"/>
          <w:szCs w:val="22"/>
        </w:rPr>
        <w:t>（</w:t>
      </w:r>
      <w:r w:rsidRPr="00212D57">
        <w:rPr>
          <w:rFonts w:ascii="Times New Roman" w:hAnsi="Times New Roman" w:cs="Times Ext Roman"/>
          <w:sz w:val="22"/>
          <w:szCs w:val="22"/>
        </w:rPr>
        <w:t>大正</w:t>
      </w:r>
      <w:r w:rsidRPr="00761EF3">
        <w:rPr>
          <w:rFonts w:ascii="Times New Roman" w:hAnsi="Times New Roman"/>
          <w:sz w:val="22"/>
          <w:szCs w:val="22"/>
        </w:rPr>
        <w:t>31</w:t>
      </w:r>
      <w:r w:rsidRPr="00212D57">
        <w:rPr>
          <w:rFonts w:ascii="Times New Roman" w:hAnsi="Times New Roman" w:cs="Times Ext Roman"/>
          <w:sz w:val="22"/>
          <w:szCs w:val="22"/>
        </w:rPr>
        <w:t>，</w:t>
      </w:r>
      <w:r w:rsidRPr="00761EF3">
        <w:rPr>
          <w:rFonts w:ascii="Times New Roman" w:hAnsi="Times New Roman"/>
          <w:sz w:val="22"/>
          <w:szCs w:val="22"/>
        </w:rPr>
        <w:t>328c</w:t>
      </w:r>
      <w:r w:rsidRPr="00212D57">
        <w:rPr>
          <w:rFonts w:ascii="Times New Roman" w:hAnsi="Times New Roman" w:cs="Times Ext Roman"/>
          <w:sz w:val="22"/>
          <w:szCs w:val="22"/>
        </w:rPr>
        <w:t>）</w:t>
      </w:r>
      <w:r w:rsidRPr="00212D57">
        <w:rPr>
          <w:rFonts w:ascii="Times New Roman" w:hAnsi="Times New Roman" w:cs="Times Ext Roman" w:hint="eastAsia"/>
          <w:sz w:val="22"/>
          <w:szCs w:val="22"/>
        </w:rPr>
        <w:t>。</w:t>
      </w:r>
    </w:p>
    <w:p w:rsidR="008144B4" w:rsidRPr="00212D57" w:rsidRDefault="008144B4" w:rsidP="008144B4">
      <w:pPr>
        <w:pStyle w:val="a5"/>
        <w:ind w:leftChars="105" w:left="791" w:hangingChars="245" w:hanging="539"/>
        <w:jc w:val="both"/>
        <w:rPr>
          <w:rFonts w:cs="Times Ext Roman"/>
          <w:szCs w:val="22"/>
        </w:rPr>
      </w:pPr>
      <w:r w:rsidRPr="00212D57">
        <w:rPr>
          <w:rFonts w:cs="Times Ext Roman" w:hint="eastAsia"/>
          <w:szCs w:val="22"/>
        </w:rPr>
        <w:t>（</w:t>
      </w:r>
      <w:r w:rsidRPr="00761EF3">
        <w:rPr>
          <w:rFonts w:hint="eastAsia"/>
          <w:szCs w:val="22"/>
        </w:rPr>
        <w:t>2</w:t>
      </w:r>
      <w:r w:rsidRPr="00212D57">
        <w:rPr>
          <w:rFonts w:cs="Times Ext Roman" w:hint="eastAsia"/>
          <w:szCs w:val="22"/>
        </w:rPr>
        <w:t>）印順</w:t>
      </w:r>
      <w:r w:rsidRPr="00212D57">
        <w:rPr>
          <w:rStyle w:val="byline"/>
          <w:rFonts w:hAnsi="新細明體" w:hint="eastAsia"/>
          <w:color w:val="auto"/>
          <w:sz w:val="22"/>
          <w:szCs w:val="22"/>
        </w:rPr>
        <w:t>法師</w:t>
      </w:r>
      <w:r w:rsidRPr="00212D57">
        <w:rPr>
          <w:rFonts w:cs="Times Ext Roman" w:hint="eastAsia"/>
          <w:szCs w:val="22"/>
        </w:rPr>
        <w:t>，《攝大乘論講記》，</w:t>
      </w:r>
      <w:r w:rsidRPr="00761EF3">
        <w:rPr>
          <w:rFonts w:hint="eastAsia"/>
          <w:szCs w:val="22"/>
        </w:rPr>
        <w:t>pp</w:t>
      </w:r>
      <w:r w:rsidRPr="00212D57">
        <w:rPr>
          <w:rFonts w:hint="eastAsia"/>
          <w:szCs w:val="22"/>
        </w:rPr>
        <w:t>.</w:t>
      </w:r>
      <w:r w:rsidRPr="00761EF3">
        <w:rPr>
          <w:rFonts w:hint="eastAsia"/>
          <w:szCs w:val="22"/>
        </w:rPr>
        <w:t>86</w:t>
      </w:r>
      <w:r w:rsidRPr="00212D57">
        <w:rPr>
          <w:rFonts w:hint="eastAsia"/>
          <w:szCs w:val="22"/>
        </w:rPr>
        <w:t>-</w:t>
      </w:r>
      <w:r w:rsidRPr="00761EF3">
        <w:rPr>
          <w:rFonts w:hint="eastAsia"/>
          <w:szCs w:val="22"/>
        </w:rPr>
        <w:t>88</w:t>
      </w:r>
      <w:r w:rsidRPr="00212D57">
        <w:rPr>
          <w:rFonts w:cs="Times Ext Roman" w:hint="eastAsia"/>
          <w:szCs w:val="22"/>
        </w:rPr>
        <w:t>：</w:t>
      </w:r>
    </w:p>
    <w:p w:rsidR="008144B4" w:rsidRPr="00212D57" w:rsidRDefault="008144B4" w:rsidP="008144B4">
      <w:pPr>
        <w:snapToGrid w:val="0"/>
        <w:ind w:leftChars="335" w:left="804"/>
        <w:jc w:val="both"/>
        <w:rPr>
          <w:rFonts w:ascii="標楷體" w:eastAsia="標楷體" w:hAnsi="標楷體"/>
          <w:sz w:val="22"/>
          <w:szCs w:val="22"/>
        </w:rPr>
      </w:pPr>
      <w:r w:rsidRPr="00212D57">
        <w:rPr>
          <w:rFonts w:ascii="標楷體" w:eastAsia="標楷體" w:hAnsi="標楷體" w:hint="eastAsia"/>
          <w:b/>
          <w:sz w:val="22"/>
          <w:szCs w:val="22"/>
        </w:rPr>
        <w:t>一、分別自性緣起：</w:t>
      </w:r>
      <w:r w:rsidRPr="00212D57">
        <w:rPr>
          <w:rFonts w:ascii="標楷體" w:eastAsia="標楷體" w:hAnsi="標楷體" w:hint="eastAsia"/>
          <w:sz w:val="22"/>
          <w:szCs w:val="22"/>
        </w:rPr>
        <w:t>為什麼會有一切事物這樣的現象？要知其所以然，必須探研它的原因，從它的原因上，就可以「分別」它差別現象的所以然。「自性」，就是一一法不同的自體。「阿賴耶識」為諸法的因緣性，「依止」賴耶中各各不同的諸法因性的存在，所以有種種「諸法生起」。假若說宇宙間唯有一法為因，那就無法說明這現實種種法的差別現象。阿賴耶不這樣，它在無始以來，就受種種諸法的熏習，所以能為種種法自性現起的緣性。它能「為緣性」，所以「能分別」，就是能現起各各不同的「種種自性」。</w:t>
      </w:r>
      <w:r w:rsidRPr="00B16A72">
        <w:rPr>
          <w:rFonts w:ascii="標楷體" w:eastAsia="標楷體" w:hAnsi="標楷體" w:cs="Times Ext Roman" w:hint="eastAsia"/>
          <w:sz w:val="22"/>
          <w:szCs w:val="22"/>
          <w:shd w:val="pct15" w:color="auto" w:fill="FFFFFF"/>
        </w:rPr>
        <w:t>……</w:t>
      </w:r>
    </w:p>
    <w:p w:rsidR="008144B4" w:rsidRPr="00212D57" w:rsidRDefault="008144B4" w:rsidP="008144B4">
      <w:pPr>
        <w:snapToGrid w:val="0"/>
        <w:ind w:leftChars="335" w:left="804"/>
        <w:jc w:val="both"/>
        <w:rPr>
          <w:rFonts w:ascii="標楷體" w:eastAsia="標楷體" w:hAnsi="標楷體"/>
          <w:sz w:val="22"/>
          <w:szCs w:val="22"/>
        </w:rPr>
      </w:pPr>
      <w:r w:rsidRPr="00212D57">
        <w:rPr>
          <w:rFonts w:ascii="標楷體" w:eastAsia="標楷體" w:hAnsi="標楷體" w:hint="eastAsia"/>
          <w:b/>
          <w:sz w:val="22"/>
          <w:szCs w:val="22"/>
        </w:rPr>
        <w:t>二、分別愛非愛緣起：</w:t>
      </w:r>
      <w:r w:rsidRPr="00212D57">
        <w:rPr>
          <w:rFonts w:ascii="標楷體" w:eastAsia="標楷體" w:hAnsi="標楷體" w:hint="eastAsia"/>
          <w:sz w:val="22"/>
          <w:szCs w:val="22"/>
        </w:rPr>
        <w:t>「自體」，就是名色所構成的生命體。這名色的自體，在「善趣惡趣」之中，可以分為可「愛」的和「非愛」的。可愛的就是由善業所感得的善趣自體；不可愛的，就是由惡業所感得的惡趣自體。分別說明這種種差別自體的原因，就是「十二支緣起」，所以十二緣起「名分別愛非愛緣起」。因十二有支緣起的業感差別，所以有三界五趣四生的種種差別自體不同。</w:t>
      </w:r>
    </w:p>
    <w:p w:rsidR="008144B4" w:rsidRDefault="008144B4" w:rsidP="008144B4">
      <w:pPr>
        <w:snapToGrid w:val="0"/>
        <w:ind w:leftChars="335" w:left="804"/>
        <w:jc w:val="both"/>
        <w:rPr>
          <w:rFonts w:ascii="標楷體" w:eastAsia="標楷體" w:hAnsi="標楷體"/>
          <w:sz w:val="22"/>
          <w:szCs w:val="22"/>
        </w:rPr>
      </w:pPr>
      <w:r w:rsidRPr="00212D57">
        <w:rPr>
          <w:rFonts w:ascii="標楷體" w:eastAsia="標楷體" w:hAnsi="標楷體" w:hint="eastAsia"/>
          <w:sz w:val="22"/>
          <w:szCs w:val="22"/>
        </w:rPr>
        <w:t>平常多把分別自性緣起叫做賴耶緣起，十二支緣起叫做業感緣起。實際不然，這二種緣起，在唯識學上，都是建立在賴耶識中的。不過，一在名言熏習上說，一在有支熏習上說。</w:t>
      </w:r>
      <w:r w:rsidR="00B76D7F" w:rsidRPr="00B76D7F">
        <w:rPr>
          <w:rFonts w:ascii="Times New Roman" w:eastAsia="標楷體" w:hAnsi="Times New Roman" w:hint="eastAsia"/>
          <w:color w:val="FF0000"/>
          <w:sz w:val="22"/>
          <w:szCs w:val="22"/>
          <w:shd w:val="pct15" w:color="auto" w:fill="FFFFFF"/>
        </w:rPr>
        <w:t>*</w:t>
      </w:r>
      <w:r w:rsidRPr="00212D57">
        <w:rPr>
          <w:rFonts w:ascii="標楷體" w:eastAsia="標楷體" w:hAnsi="標楷體" w:hint="eastAsia"/>
          <w:sz w:val="22"/>
          <w:szCs w:val="22"/>
        </w:rPr>
        <w:t>一切法皆依賴耶，就在這阿賴耶上建立二種緣起的差別。雖有二種緣起，但它們是統一的，不是對立的。</w:t>
      </w:r>
    </w:p>
    <w:p w:rsidR="00B76D7F" w:rsidRPr="003A40C2" w:rsidRDefault="00B76D7F" w:rsidP="008144B4">
      <w:pPr>
        <w:snapToGrid w:val="0"/>
        <w:ind w:leftChars="335" w:left="804"/>
        <w:jc w:val="both"/>
        <w:rPr>
          <w:rFonts w:ascii="Times New Roman" w:hAnsi="Times New Roman"/>
          <w:color w:val="FF0000"/>
          <w:sz w:val="22"/>
          <w:szCs w:val="22"/>
          <w:highlight w:val="yellow"/>
        </w:rPr>
      </w:pPr>
      <w:r w:rsidRPr="00B76D7F">
        <w:rPr>
          <w:rFonts w:ascii="Times New Roman" w:eastAsia="標楷體" w:hAnsi="Times New Roman" w:hint="eastAsia"/>
          <w:color w:val="FF0000"/>
          <w:sz w:val="22"/>
          <w:szCs w:val="22"/>
          <w:shd w:val="pct15" w:color="auto" w:fill="FFFFFF"/>
        </w:rPr>
        <w:t>*</w:t>
      </w:r>
      <w:r w:rsidRPr="003A40C2">
        <w:rPr>
          <w:rFonts w:ascii="新細明體" w:hAnsi="新細明體" w:hint="eastAsia"/>
          <w:color w:val="FF0000"/>
          <w:sz w:val="22"/>
          <w:szCs w:val="22"/>
          <w:highlight w:val="yellow"/>
        </w:rPr>
        <w:t>關於「名言薰習」［</w:t>
      </w:r>
      <w:r w:rsidRPr="003A40C2">
        <w:rPr>
          <w:rFonts w:ascii="Times New Roman" w:hAnsi="Times New Roman" w:hint="eastAsia"/>
          <w:color w:val="FF0000"/>
          <w:sz w:val="22"/>
          <w:szCs w:val="22"/>
          <w:highlight w:val="yellow"/>
        </w:rPr>
        <w:t>如「質料因」］、「有支薰習」［如「組合因」］，詳見：</w:t>
      </w:r>
    </w:p>
    <w:p w:rsidR="00B76D7F" w:rsidRPr="003A40C2" w:rsidRDefault="00B76D7F" w:rsidP="00B76D7F">
      <w:pPr>
        <w:snapToGrid w:val="0"/>
        <w:ind w:leftChars="380" w:left="912"/>
        <w:jc w:val="both"/>
        <w:rPr>
          <w:rFonts w:ascii="Times New Roman" w:hAnsi="Times New Roman" w:cs="Times Ext Roman"/>
          <w:color w:val="FF0000"/>
          <w:sz w:val="22"/>
          <w:szCs w:val="22"/>
          <w:highlight w:val="yellow"/>
        </w:rPr>
      </w:pPr>
      <w:r w:rsidRPr="003A40C2">
        <w:rPr>
          <w:rFonts w:ascii="Times New Roman" w:hAnsi="Times New Roman" w:hint="eastAsia"/>
          <w:color w:val="FF0000"/>
          <w:sz w:val="22"/>
          <w:szCs w:val="22"/>
          <w:highlight w:val="yellow"/>
        </w:rPr>
        <w:t>《攝大乘論講記》，</w:t>
      </w:r>
      <w:r w:rsidRPr="003A40C2">
        <w:rPr>
          <w:rFonts w:ascii="Times New Roman" w:hAnsi="Times New Roman" w:hint="eastAsia"/>
          <w:color w:val="FF0000"/>
          <w:sz w:val="22"/>
          <w:szCs w:val="22"/>
          <w:highlight w:val="yellow"/>
        </w:rPr>
        <w:t>pp.88-89</w:t>
      </w:r>
      <w:r w:rsidRPr="003A40C2">
        <w:rPr>
          <w:rFonts w:ascii="Times New Roman" w:hAnsi="Times New Roman" w:hint="eastAsia"/>
          <w:color w:val="FF0000"/>
          <w:sz w:val="22"/>
          <w:szCs w:val="22"/>
          <w:highlight w:val="yellow"/>
        </w:rPr>
        <w:t>、</w:t>
      </w:r>
      <w:r w:rsidRPr="003A40C2">
        <w:rPr>
          <w:rFonts w:ascii="Times New Roman" w:hAnsi="Times New Roman" w:hint="eastAsia"/>
          <w:color w:val="FF0000"/>
          <w:sz w:val="22"/>
          <w:szCs w:val="22"/>
          <w:highlight w:val="yellow"/>
        </w:rPr>
        <w:t>pp.161-163</w:t>
      </w:r>
      <w:r w:rsidRPr="003A40C2">
        <w:rPr>
          <w:rFonts w:ascii="Times New Roman" w:hAnsi="Times New Roman" w:hint="eastAsia"/>
          <w:color w:val="FF0000"/>
          <w:sz w:val="22"/>
          <w:szCs w:val="22"/>
          <w:highlight w:val="yellow"/>
        </w:rPr>
        <w:t>。</w:t>
      </w:r>
    </w:p>
    <w:p w:rsidR="008144B4" w:rsidRPr="00212D57" w:rsidRDefault="008144B4" w:rsidP="008144B4">
      <w:pPr>
        <w:pStyle w:val="a5"/>
        <w:ind w:leftChars="105" w:left="791" w:hangingChars="245" w:hanging="539"/>
        <w:jc w:val="both"/>
        <w:rPr>
          <w:rFonts w:cs="Times Ext Roman"/>
          <w:szCs w:val="22"/>
        </w:rPr>
      </w:pPr>
      <w:r w:rsidRPr="00212D57">
        <w:rPr>
          <w:rFonts w:cs="Times Ext Roman" w:hint="eastAsia"/>
          <w:szCs w:val="22"/>
        </w:rPr>
        <w:t>（</w:t>
      </w:r>
      <w:r w:rsidRPr="00761EF3">
        <w:rPr>
          <w:rFonts w:hint="eastAsia"/>
          <w:szCs w:val="22"/>
        </w:rPr>
        <w:t>3</w:t>
      </w:r>
      <w:r w:rsidRPr="00212D57">
        <w:rPr>
          <w:rFonts w:cs="Times Ext Roman" w:hint="eastAsia"/>
          <w:szCs w:val="22"/>
        </w:rPr>
        <w:t>）</w:t>
      </w:r>
      <w:r w:rsidRPr="00212D57">
        <w:rPr>
          <w:rFonts w:cs="Times Ext Roman"/>
          <w:szCs w:val="22"/>
        </w:rPr>
        <w:t>印順法師</w:t>
      </w:r>
      <w:r w:rsidRPr="00212D57">
        <w:rPr>
          <w:rFonts w:cs="Times Ext Roman" w:hint="eastAsia"/>
          <w:szCs w:val="22"/>
        </w:rPr>
        <w:t>，</w:t>
      </w:r>
      <w:r w:rsidRPr="00212D57">
        <w:rPr>
          <w:rFonts w:cs="Times Ext Roman"/>
          <w:szCs w:val="22"/>
        </w:rPr>
        <w:t>《印度佛教思想史》</w:t>
      </w:r>
      <w:r w:rsidRPr="00212D57">
        <w:rPr>
          <w:rFonts w:cs="Times Ext Roman" w:hint="eastAsia"/>
          <w:szCs w:val="22"/>
        </w:rPr>
        <w:t>，</w:t>
      </w:r>
      <w:r w:rsidRPr="00761EF3">
        <w:rPr>
          <w:szCs w:val="22"/>
        </w:rPr>
        <w:t>p</w:t>
      </w:r>
      <w:r w:rsidRPr="00212D57">
        <w:rPr>
          <w:szCs w:val="22"/>
        </w:rPr>
        <w:t>.</w:t>
      </w:r>
      <w:r w:rsidRPr="00761EF3">
        <w:rPr>
          <w:szCs w:val="22"/>
        </w:rPr>
        <w:t>266</w:t>
      </w:r>
      <w:r w:rsidRPr="00212D57">
        <w:rPr>
          <w:rFonts w:cs="Times Ext Roman"/>
          <w:szCs w:val="22"/>
        </w:rPr>
        <w:t>：</w:t>
      </w:r>
    </w:p>
    <w:p w:rsidR="008144B4" w:rsidRPr="00212D57" w:rsidRDefault="008144B4" w:rsidP="008144B4">
      <w:pPr>
        <w:pStyle w:val="ad"/>
        <w:snapToGrid w:val="0"/>
        <w:spacing w:after="0"/>
        <w:ind w:leftChars="335" w:left="804"/>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《攝大乘論》分緣起為二類：</w:t>
      </w:r>
      <w:r w:rsidRPr="00212D57">
        <w:rPr>
          <w:rFonts w:ascii="Times New Roman" w:eastAsia="標楷體" w:hAnsi="Times New Roman" w:cs="Times Ext Roman"/>
          <w:b/>
          <w:sz w:val="22"/>
          <w:szCs w:val="22"/>
        </w:rPr>
        <w:t>分別愛非愛緣起</w:t>
      </w:r>
      <w:r w:rsidRPr="00212D57">
        <w:rPr>
          <w:rFonts w:ascii="Times New Roman" w:eastAsia="標楷體" w:hAnsi="Times New Roman" w:cs="Times Ext Roman"/>
          <w:sz w:val="22"/>
          <w:szCs w:val="22"/>
        </w:rPr>
        <w:t>，是「佛法」常談的十二緣起。在生死中，或生人、天善趣，受可愛的身心自體。或生地獄等惡趣，受不可愛的身心自體。所以有善報惡報的分別，是以十二支緣起為緣性的，這就是一般所說（共三乘）的「業感緣起」。但在生死五趣等中，起或善或惡的種種心心所法，種種色法，一切法是各各差別而有自性的。為什麼能生起別別自性的一切法？這由於阿賴耶識所攝藏的一切種子，也是無邊差別的，所以能為別別自性法生起的緣性，也就名為</w:t>
      </w:r>
      <w:r w:rsidRPr="00212D57">
        <w:rPr>
          <w:rFonts w:ascii="Times New Roman" w:eastAsia="標楷體" w:hAnsi="Times New Roman" w:cs="Times Ext Roman"/>
          <w:b/>
          <w:sz w:val="22"/>
          <w:szCs w:val="22"/>
        </w:rPr>
        <w:t>分別自性緣起</w:t>
      </w:r>
      <w:r w:rsidRPr="00212D57">
        <w:rPr>
          <w:rFonts w:ascii="Times New Roman" w:eastAsia="標楷體" w:hAnsi="Times New Roman" w:cs="Times Ext Roman"/>
          <w:sz w:val="22"/>
          <w:szCs w:val="22"/>
        </w:rPr>
        <w:t>。分別自性緣起，是大乘不共的，大乘瑜伽者所要成立的緣起（重在種子生起一切）。</w:t>
      </w:r>
    </w:p>
  </w:footnote>
  <w:footnote w:id="20">
    <w:p w:rsidR="0076184F" w:rsidRPr="00212D57" w:rsidRDefault="0076184F" w:rsidP="0076184F">
      <w:pPr>
        <w:pStyle w:val="a5"/>
        <w:spacing w:line="0" w:lineRule="atLeast"/>
        <w:ind w:left="253" w:hangingChars="115" w:hanging="253"/>
        <w:jc w:val="both"/>
        <w:rPr>
          <w:rFonts w:cs="Times Ext Roman"/>
          <w:szCs w:val="22"/>
        </w:rPr>
      </w:pPr>
      <w:r w:rsidRPr="00212D57">
        <w:rPr>
          <w:rStyle w:val="a6"/>
          <w:szCs w:val="22"/>
        </w:rPr>
        <w:footnoteRef/>
      </w:r>
      <w:r w:rsidRPr="00212D57">
        <w:rPr>
          <w:rFonts w:hint="eastAsia"/>
          <w:szCs w:val="22"/>
        </w:rPr>
        <w:t xml:space="preserve"> </w:t>
      </w:r>
      <w:r w:rsidRPr="00212D57">
        <w:rPr>
          <w:rFonts w:cs="Times Ext Roman"/>
          <w:szCs w:val="22"/>
        </w:rPr>
        <w:t>臺：天台宗</w:t>
      </w:r>
      <w:r w:rsidRPr="00212D57">
        <w:rPr>
          <w:rFonts w:cs="Times Ext Roman" w:hint="eastAsia"/>
          <w:szCs w:val="22"/>
        </w:rPr>
        <w:t>。</w:t>
      </w:r>
      <w:r w:rsidRPr="00212D57">
        <w:rPr>
          <w:rFonts w:cs="Times Ext Roman"/>
          <w:szCs w:val="22"/>
        </w:rPr>
        <w:t>賢：賢首宗，即華嚴宗。</w:t>
      </w:r>
    </w:p>
  </w:footnote>
  <w:footnote w:id="21">
    <w:p w:rsidR="00157EF6" w:rsidRPr="00212D57" w:rsidRDefault="00157EF6" w:rsidP="00C5089E">
      <w:pPr>
        <w:pStyle w:val="a5"/>
        <w:spacing w:line="0" w:lineRule="atLeast"/>
        <w:ind w:left="792" w:hangingChars="360" w:hanging="792"/>
        <w:jc w:val="both"/>
        <w:rPr>
          <w:rFonts w:cs="Times Ext Roman"/>
          <w:szCs w:val="22"/>
        </w:rPr>
      </w:pPr>
      <w:r w:rsidRPr="00212D57">
        <w:rPr>
          <w:rStyle w:val="a6"/>
          <w:szCs w:val="22"/>
        </w:rPr>
        <w:footnoteRef/>
      </w:r>
      <w:r w:rsidRPr="00212D57">
        <w:rPr>
          <w:rFonts w:cs="Times Ext Roman" w:hint="eastAsia"/>
          <w:szCs w:val="22"/>
        </w:rPr>
        <w:t xml:space="preserve"> </w:t>
      </w:r>
      <w:r w:rsidRPr="00212D57">
        <w:rPr>
          <w:rFonts w:cs="Times Ext Roman" w:hint="eastAsia"/>
          <w:szCs w:val="22"/>
        </w:rPr>
        <w:t>（</w:t>
      </w:r>
      <w:r w:rsidRPr="00761EF3">
        <w:rPr>
          <w:szCs w:val="22"/>
        </w:rPr>
        <w:t>1</w:t>
      </w:r>
      <w:r w:rsidRPr="00212D57">
        <w:rPr>
          <w:rFonts w:cs="Times Ext Roman" w:hint="eastAsia"/>
          <w:szCs w:val="22"/>
        </w:rPr>
        <w:t>）</w:t>
      </w:r>
      <w:r w:rsidRPr="00212D57">
        <w:rPr>
          <w:rFonts w:cs="Times Ext Roman"/>
          <w:szCs w:val="22"/>
        </w:rPr>
        <w:t>《大智度論》卷</w:t>
      </w:r>
      <w:r w:rsidRPr="00761EF3">
        <w:rPr>
          <w:szCs w:val="22"/>
        </w:rPr>
        <w:t>26</w:t>
      </w:r>
      <w:r w:rsidR="00AC0462" w:rsidRPr="00AC0462">
        <w:rPr>
          <w:rFonts w:hint="eastAsia"/>
          <w:color w:val="FF0000"/>
          <w:szCs w:val="22"/>
          <w:highlight w:val="yellow"/>
        </w:rPr>
        <w:t>釋</w:t>
      </w:r>
      <w:r w:rsidRPr="00212D57">
        <w:rPr>
          <w:rFonts w:cs="Times Ext Roman" w:hint="eastAsia"/>
          <w:szCs w:val="22"/>
        </w:rPr>
        <w:t>〈</w:t>
      </w:r>
      <w:r w:rsidRPr="00761EF3">
        <w:rPr>
          <w:rFonts w:hint="eastAsia"/>
          <w:szCs w:val="22"/>
        </w:rPr>
        <w:t>1</w:t>
      </w:r>
      <w:r w:rsidRPr="00212D57">
        <w:rPr>
          <w:rFonts w:hint="eastAsia"/>
          <w:szCs w:val="22"/>
        </w:rPr>
        <w:t xml:space="preserve"> </w:t>
      </w:r>
      <w:r w:rsidRPr="00212D57">
        <w:rPr>
          <w:rFonts w:cs="Times Ext Roman" w:hint="eastAsia"/>
          <w:szCs w:val="22"/>
        </w:rPr>
        <w:t>序品〉</w:t>
      </w:r>
      <w:r w:rsidRPr="00212D57">
        <w:rPr>
          <w:rFonts w:cs="Times Ext Roman"/>
          <w:szCs w:val="22"/>
        </w:rPr>
        <w:t>（大正</w:t>
      </w:r>
      <w:r w:rsidRPr="00761EF3">
        <w:rPr>
          <w:szCs w:val="22"/>
        </w:rPr>
        <w:t>25</w:t>
      </w:r>
      <w:r w:rsidRPr="00212D57">
        <w:rPr>
          <w:rFonts w:cs="Times Ext Roman"/>
          <w:szCs w:val="22"/>
        </w:rPr>
        <w:t>，</w:t>
      </w:r>
      <w:r w:rsidRPr="00761EF3">
        <w:rPr>
          <w:szCs w:val="22"/>
        </w:rPr>
        <w:t>253c28</w:t>
      </w:r>
      <w:r w:rsidRPr="00212D57">
        <w:rPr>
          <w:szCs w:val="22"/>
        </w:rPr>
        <w:t>-</w:t>
      </w:r>
      <w:r w:rsidRPr="00761EF3">
        <w:rPr>
          <w:szCs w:val="22"/>
        </w:rPr>
        <w:t>254a17</w:t>
      </w:r>
      <w:r w:rsidRPr="00212D57">
        <w:rPr>
          <w:rFonts w:cs="Times Ext Roman"/>
          <w:szCs w:val="22"/>
        </w:rPr>
        <w:t>）：</w:t>
      </w:r>
    </w:p>
    <w:p w:rsidR="00157EF6" w:rsidRPr="00212D57" w:rsidRDefault="00157EF6" w:rsidP="009B468F">
      <w:pPr>
        <w:snapToGrid w:val="0"/>
        <w:ind w:leftChars="335" w:left="804"/>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佛法有二種空：一者、眾生空，二者、法空。</w:t>
      </w:r>
      <w:r w:rsidRPr="00212D57">
        <w:rPr>
          <w:rFonts w:ascii="Times New Roman" w:eastAsia="標楷體" w:hAnsi="Times New Roman" w:cs="Times Ext Roman"/>
          <w:b/>
          <w:sz w:val="22"/>
          <w:szCs w:val="22"/>
        </w:rPr>
        <w:t>說</w:t>
      </w:r>
      <w:r w:rsidR="00283852">
        <w:rPr>
          <w:rFonts w:ascii="標楷體" w:eastAsia="標楷體" w:hAnsi="標楷體" w:hint="eastAsia"/>
          <w:bCs/>
          <w:color w:val="FF0000"/>
          <w:kern w:val="0"/>
          <w:sz w:val="22"/>
          <w:highlight w:val="yellow"/>
        </w:rPr>
        <w:t>「</w:t>
      </w:r>
      <w:r w:rsidRPr="00212D57">
        <w:rPr>
          <w:rFonts w:ascii="Times New Roman" w:eastAsia="標楷體" w:hAnsi="Times New Roman" w:cs="Times Ext Roman"/>
          <w:b/>
          <w:sz w:val="22"/>
          <w:szCs w:val="22"/>
        </w:rPr>
        <w:t>無我</w:t>
      </w:r>
      <w:r w:rsidR="00283852">
        <w:rPr>
          <w:rFonts w:ascii="標楷體" w:eastAsia="標楷體" w:hAnsi="標楷體" w:hint="eastAsia"/>
          <w:bCs/>
          <w:color w:val="FF0000"/>
          <w:kern w:val="0"/>
          <w:sz w:val="22"/>
          <w:highlight w:val="yellow"/>
        </w:rPr>
        <w:t>」</w:t>
      </w:r>
      <w:r w:rsidRPr="00212D57">
        <w:rPr>
          <w:rFonts w:ascii="Times New Roman" w:eastAsia="標楷體" w:hAnsi="Times New Roman" w:cs="Times Ext Roman"/>
          <w:b/>
          <w:sz w:val="22"/>
          <w:szCs w:val="22"/>
        </w:rPr>
        <w:t>，示</w:t>
      </w:r>
      <w:r w:rsidR="00283852">
        <w:rPr>
          <w:rFonts w:ascii="標楷體" w:eastAsia="標楷體" w:hAnsi="標楷體" w:hint="eastAsia"/>
          <w:bCs/>
          <w:color w:val="FF0000"/>
          <w:kern w:val="0"/>
          <w:sz w:val="22"/>
          <w:highlight w:val="yellow"/>
        </w:rPr>
        <w:t>「</w:t>
      </w:r>
      <w:r w:rsidRPr="00212D57">
        <w:rPr>
          <w:rFonts w:ascii="Times New Roman" w:eastAsia="標楷體" w:hAnsi="Times New Roman" w:cs="Times Ext Roman"/>
          <w:b/>
          <w:sz w:val="22"/>
          <w:szCs w:val="22"/>
        </w:rPr>
        <w:t>眾生空</w:t>
      </w:r>
      <w:r w:rsidR="00283852">
        <w:rPr>
          <w:rFonts w:ascii="標楷體" w:eastAsia="標楷體" w:hAnsi="標楷體" w:hint="eastAsia"/>
          <w:bCs/>
          <w:color w:val="FF0000"/>
          <w:kern w:val="0"/>
          <w:sz w:val="22"/>
          <w:highlight w:val="yellow"/>
        </w:rPr>
        <w:t>」</w:t>
      </w:r>
      <w:r w:rsidRPr="00212D57">
        <w:rPr>
          <w:rFonts w:ascii="Times New Roman" w:eastAsia="標楷體" w:hAnsi="Times New Roman" w:cs="Times Ext Roman"/>
          <w:b/>
          <w:sz w:val="22"/>
          <w:szCs w:val="22"/>
        </w:rPr>
        <w:t>；說</w:t>
      </w:r>
      <w:r w:rsidR="00283852">
        <w:rPr>
          <w:rFonts w:ascii="標楷體" w:eastAsia="標楷體" w:hAnsi="標楷體" w:hint="eastAsia"/>
          <w:bCs/>
          <w:color w:val="FF0000"/>
          <w:kern w:val="0"/>
          <w:sz w:val="22"/>
          <w:highlight w:val="yellow"/>
        </w:rPr>
        <w:t>「</w:t>
      </w:r>
      <w:r w:rsidRPr="00212D57">
        <w:rPr>
          <w:rFonts w:ascii="Times New Roman" w:eastAsia="標楷體" w:hAnsi="Times New Roman" w:cs="Times Ext Roman"/>
          <w:b/>
          <w:sz w:val="22"/>
          <w:szCs w:val="22"/>
        </w:rPr>
        <w:t>無有我所法</w:t>
      </w:r>
      <w:r w:rsidR="00283852">
        <w:rPr>
          <w:rFonts w:ascii="標楷體" w:eastAsia="標楷體" w:hAnsi="標楷體" w:hint="eastAsia"/>
          <w:bCs/>
          <w:color w:val="FF0000"/>
          <w:kern w:val="0"/>
          <w:sz w:val="22"/>
          <w:highlight w:val="yellow"/>
        </w:rPr>
        <w:t>」</w:t>
      </w:r>
      <w:r w:rsidRPr="00212D57">
        <w:rPr>
          <w:rFonts w:ascii="Times New Roman" w:eastAsia="標楷體" w:hAnsi="Times New Roman" w:cs="Times Ext Roman"/>
          <w:b/>
          <w:sz w:val="22"/>
          <w:szCs w:val="22"/>
        </w:rPr>
        <w:t>，示</w:t>
      </w:r>
      <w:r w:rsidR="00283852">
        <w:rPr>
          <w:rFonts w:ascii="標楷體" w:eastAsia="標楷體" w:hAnsi="標楷體" w:hint="eastAsia"/>
          <w:bCs/>
          <w:color w:val="FF0000"/>
          <w:kern w:val="0"/>
          <w:sz w:val="22"/>
          <w:highlight w:val="yellow"/>
        </w:rPr>
        <w:t>「</w:t>
      </w:r>
      <w:r w:rsidRPr="00212D57">
        <w:rPr>
          <w:rFonts w:ascii="Times New Roman" w:eastAsia="標楷體" w:hAnsi="Times New Roman" w:cs="Times Ext Roman"/>
          <w:b/>
          <w:sz w:val="22"/>
          <w:szCs w:val="22"/>
        </w:rPr>
        <w:t>法空</w:t>
      </w:r>
      <w:r w:rsidR="00283852">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w:t>
      </w:r>
      <w:r w:rsidRPr="00B16A72">
        <w:rPr>
          <w:rFonts w:ascii="標楷體" w:eastAsia="標楷體" w:hAnsi="標楷體" w:cs="Times Ext Roman"/>
          <w:sz w:val="22"/>
          <w:szCs w:val="22"/>
          <w:shd w:val="pct15" w:color="auto" w:fill="FFFFFF"/>
        </w:rPr>
        <w:t>……</w:t>
      </w:r>
    </w:p>
    <w:p w:rsidR="00157EF6" w:rsidRPr="00212D57" w:rsidRDefault="00157EF6" w:rsidP="009B468F">
      <w:pPr>
        <w:snapToGrid w:val="0"/>
        <w:ind w:leftChars="335" w:left="804"/>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復次，</w:t>
      </w:r>
      <w:r w:rsidRPr="00212D57">
        <w:rPr>
          <w:rFonts w:ascii="Times New Roman" w:eastAsia="標楷體" w:hAnsi="Times New Roman" w:cs="Times Ext Roman"/>
          <w:b/>
          <w:sz w:val="22"/>
          <w:szCs w:val="22"/>
        </w:rPr>
        <w:t>不大利根眾生，為說</w:t>
      </w:r>
      <w:r w:rsidR="00283852">
        <w:rPr>
          <w:rFonts w:ascii="標楷體" w:eastAsia="標楷體" w:hAnsi="標楷體" w:hint="eastAsia"/>
          <w:bCs/>
          <w:color w:val="FF0000"/>
          <w:kern w:val="0"/>
          <w:sz w:val="22"/>
          <w:highlight w:val="yellow"/>
        </w:rPr>
        <w:t>「</w:t>
      </w:r>
      <w:r w:rsidRPr="00212D57">
        <w:rPr>
          <w:rFonts w:ascii="Times New Roman" w:eastAsia="標楷體" w:hAnsi="Times New Roman" w:cs="Times Ext Roman"/>
          <w:b/>
          <w:sz w:val="22"/>
          <w:szCs w:val="22"/>
        </w:rPr>
        <w:t>無我</w:t>
      </w:r>
      <w:r w:rsidR="00283852">
        <w:rPr>
          <w:rFonts w:ascii="標楷體" w:eastAsia="標楷體" w:hAnsi="標楷體" w:hint="eastAsia"/>
          <w:bCs/>
          <w:color w:val="FF0000"/>
          <w:kern w:val="0"/>
          <w:sz w:val="22"/>
          <w:highlight w:val="yellow"/>
        </w:rPr>
        <w:t>」</w:t>
      </w:r>
      <w:r w:rsidRPr="00212D57">
        <w:rPr>
          <w:rFonts w:ascii="Times New Roman" w:eastAsia="標楷體" w:hAnsi="Times New Roman" w:cs="Times Ext Roman"/>
          <w:b/>
          <w:sz w:val="22"/>
          <w:szCs w:val="22"/>
        </w:rPr>
        <w:t>；利根深智眾生，說</w:t>
      </w:r>
      <w:r w:rsidR="00283852">
        <w:rPr>
          <w:rFonts w:ascii="標楷體" w:eastAsia="標楷體" w:hAnsi="標楷體" w:hint="eastAsia"/>
          <w:bCs/>
          <w:color w:val="FF0000"/>
          <w:kern w:val="0"/>
          <w:sz w:val="22"/>
          <w:highlight w:val="yellow"/>
        </w:rPr>
        <w:t>「</w:t>
      </w:r>
      <w:r w:rsidRPr="00212D57">
        <w:rPr>
          <w:rFonts w:ascii="Times New Roman" w:eastAsia="標楷體" w:hAnsi="Times New Roman" w:cs="Times Ext Roman"/>
          <w:b/>
          <w:sz w:val="22"/>
          <w:szCs w:val="22"/>
        </w:rPr>
        <w:t>諸法本末空</w:t>
      </w:r>
      <w:r w:rsidR="00283852">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。何以故？若</w:t>
      </w:r>
      <w:r w:rsidR="00283852">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無我</w:t>
      </w:r>
      <w:r w:rsidR="00283852">
        <w:rPr>
          <w:rFonts w:ascii="標楷體" w:eastAsia="標楷體" w:hAnsi="標楷體" w:hint="eastAsia"/>
          <w:bCs/>
          <w:color w:val="FF0000"/>
          <w:kern w:val="0"/>
          <w:sz w:val="22"/>
          <w:highlight w:val="yellow"/>
        </w:rPr>
        <w:t>」</w:t>
      </w:r>
      <w:r w:rsidR="00283852">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則捨諸法，如說偈：「若了知無我，有如是人者，聞有法不喜，無法亦不憂！」說</w:t>
      </w:r>
      <w:r w:rsidR="00283852">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我</w:t>
      </w:r>
      <w:r w:rsidR="00283852">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者，一切法所依止處；若說</w:t>
      </w:r>
      <w:r w:rsidR="00283852">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無我</w:t>
      </w:r>
      <w:r w:rsidR="00283852">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者，一切法無所依止。</w:t>
      </w:r>
    </w:p>
    <w:p w:rsidR="00157EF6" w:rsidRPr="00212D57" w:rsidRDefault="00157EF6" w:rsidP="009B468F">
      <w:pPr>
        <w:pStyle w:val="a5"/>
        <w:ind w:leftChars="335" w:left="804"/>
        <w:jc w:val="both"/>
        <w:rPr>
          <w:rFonts w:eastAsia="標楷體" w:cs="Times Ext Roman"/>
          <w:b/>
          <w:szCs w:val="22"/>
        </w:rPr>
      </w:pPr>
      <w:r w:rsidRPr="00212D57">
        <w:rPr>
          <w:rFonts w:eastAsia="標楷體" w:cs="Times Ext Roman"/>
          <w:szCs w:val="22"/>
        </w:rPr>
        <w:t>復次，</w:t>
      </w:r>
      <w:r w:rsidRPr="00212D57">
        <w:rPr>
          <w:rFonts w:eastAsia="標楷體" w:cs="Times Ext Roman"/>
          <w:b/>
          <w:szCs w:val="22"/>
        </w:rPr>
        <w:t>佛法二種說：若了了說，則言</w:t>
      </w:r>
      <w:r w:rsidR="00283852">
        <w:rPr>
          <w:rFonts w:ascii="標楷體" w:eastAsia="標楷體" w:hAnsi="標楷體" w:hint="eastAsia"/>
          <w:bCs/>
          <w:color w:val="FF0000"/>
          <w:kern w:val="0"/>
          <w:highlight w:val="yellow"/>
        </w:rPr>
        <w:t>「</w:t>
      </w:r>
      <w:r w:rsidRPr="00212D57">
        <w:rPr>
          <w:rFonts w:eastAsia="標楷體" w:cs="Times Ext Roman"/>
          <w:b/>
          <w:szCs w:val="22"/>
        </w:rPr>
        <w:t>一切諸法空</w:t>
      </w:r>
      <w:r w:rsidR="00283852">
        <w:rPr>
          <w:rFonts w:ascii="標楷體" w:eastAsia="標楷體" w:hAnsi="標楷體" w:hint="eastAsia"/>
          <w:bCs/>
          <w:color w:val="FF0000"/>
          <w:kern w:val="0"/>
          <w:highlight w:val="yellow"/>
        </w:rPr>
        <w:t>」</w:t>
      </w:r>
      <w:r w:rsidRPr="00212D57">
        <w:rPr>
          <w:rFonts w:eastAsia="標楷體" w:cs="Times Ext Roman"/>
          <w:b/>
          <w:szCs w:val="22"/>
        </w:rPr>
        <w:t>；若方便說，則言</w:t>
      </w:r>
      <w:r w:rsidR="00283852">
        <w:rPr>
          <w:rFonts w:ascii="標楷體" w:eastAsia="標楷體" w:hAnsi="標楷體" w:hint="eastAsia"/>
          <w:bCs/>
          <w:color w:val="FF0000"/>
          <w:kern w:val="0"/>
          <w:highlight w:val="yellow"/>
        </w:rPr>
        <w:t>「</w:t>
      </w:r>
      <w:r w:rsidRPr="00212D57">
        <w:rPr>
          <w:rFonts w:eastAsia="標楷體" w:cs="Times Ext Roman"/>
          <w:b/>
          <w:szCs w:val="22"/>
        </w:rPr>
        <w:t>無我</w:t>
      </w:r>
      <w:r w:rsidR="00283852">
        <w:rPr>
          <w:rFonts w:ascii="標楷體" w:eastAsia="標楷體" w:hAnsi="標楷體" w:hint="eastAsia"/>
          <w:bCs/>
          <w:color w:val="FF0000"/>
          <w:kern w:val="0"/>
          <w:highlight w:val="yellow"/>
        </w:rPr>
        <w:t>」</w:t>
      </w:r>
      <w:r w:rsidRPr="00212D57">
        <w:rPr>
          <w:rFonts w:eastAsia="標楷體" w:cs="Times Ext Roman"/>
          <w:b/>
          <w:szCs w:val="22"/>
        </w:rPr>
        <w:t>。</w:t>
      </w:r>
      <w:r w:rsidRPr="00212D57">
        <w:rPr>
          <w:rFonts w:eastAsia="標楷體" w:cs="Times Ext Roman"/>
          <w:szCs w:val="22"/>
        </w:rPr>
        <w:t>是二種說法，皆入般若波羅蜜相中。以是故，</w:t>
      </w:r>
      <w:r w:rsidRPr="00212D57">
        <w:rPr>
          <w:rFonts w:eastAsia="標楷體" w:cs="Times Ext Roman"/>
          <w:b/>
          <w:szCs w:val="22"/>
        </w:rPr>
        <w:t>佛經中說，趣涅槃道，皆同一向，無有異道。</w:t>
      </w:r>
    </w:p>
    <w:p w:rsidR="00157EF6" w:rsidRPr="00212D57" w:rsidRDefault="00157EF6" w:rsidP="00C5089E">
      <w:pPr>
        <w:pStyle w:val="a5"/>
        <w:ind w:leftChars="105" w:left="791" w:hangingChars="245" w:hanging="539"/>
        <w:jc w:val="both"/>
        <w:rPr>
          <w:rFonts w:cs="Times Ext Roman"/>
          <w:szCs w:val="22"/>
        </w:rPr>
      </w:pPr>
      <w:r w:rsidRPr="00212D57">
        <w:rPr>
          <w:rFonts w:cs="Times Ext Roman" w:hint="eastAsia"/>
          <w:szCs w:val="22"/>
        </w:rPr>
        <w:t>（</w:t>
      </w:r>
      <w:r w:rsidRPr="00761EF3">
        <w:rPr>
          <w:szCs w:val="22"/>
        </w:rPr>
        <w:t>2</w:t>
      </w:r>
      <w:r w:rsidRPr="00212D57">
        <w:rPr>
          <w:rFonts w:cs="Times Ext Roman" w:hint="eastAsia"/>
          <w:szCs w:val="22"/>
        </w:rPr>
        <w:t>）</w:t>
      </w:r>
      <w:r w:rsidRPr="00212D57">
        <w:rPr>
          <w:rFonts w:cs="Times Ext Roman"/>
          <w:szCs w:val="22"/>
        </w:rPr>
        <w:t>《大智度論》卷</w:t>
      </w:r>
      <w:r w:rsidRPr="00761EF3">
        <w:rPr>
          <w:szCs w:val="22"/>
        </w:rPr>
        <w:t>31</w:t>
      </w:r>
      <w:r w:rsidR="00AC0462" w:rsidRPr="00AC0462">
        <w:rPr>
          <w:rFonts w:hint="eastAsia"/>
          <w:color w:val="FF0000"/>
          <w:szCs w:val="22"/>
          <w:highlight w:val="yellow"/>
        </w:rPr>
        <w:t>釋</w:t>
      </w:r>
      <w:r w:rsidRPr="00212D57">
        <w:rPr>
          <w:rFonts w:cs="Times Ext Roman" w:hint="eastAsia"/>
          <w:szCs w:val="22"/>
        </w:rPr>
        <w:t>〈</w:t>
      </w:r>
      <w:r w:rsidRPr="00761EF3">
        <w:rPr>
          <w:rFonts w:hint="eastAsia"/>
          <w:szCs w:val="22"/>
        </w:rPr>
        <w:t>1</w:t>
      </w:r>
      <w:r w:rsidRPr="00212D57">
        <w:rPr>
          <w:rFonts w:hint="eastAsia"/>
          <w:szCs w:val="22"/>
        </w:rPr>
        <w:t xml:space="preserve"> </w:t>
      </w:r>
      <w:r w:rsidRPr="00212D57">
        <w:rPr>
          <w:rFonts w:cs="Times Ext Roman" w:hint="eastAsia"/>
          <w:szCs w:val="22"/>
        </w:rPr>
        <w:t>序品〉</w:t>
      </w:r>
      <w:r w:rsidRPr="00212D57">
        <w:rPr>
          <w:rFonts w:cs="Times Ext Roman"/>
          <w:szCs w:val="22"/>
        </w:rPr>
        <w:t>（大正</w:t>
      </w:r>
      <w:r w:rsidRPr="00761EF3">
        <w:rPr>
          <w:szCs w:val="22"/>
        </w:rPr>
        <w:t>25</w:t>
      </w:r>
      <w:r w:rsidRPr="00212D57">
        <w:rPr>
          <w:rFonts w:cs="Times Ext Roman"/>
          <w:szCs w:val="22"/>
        </w:rPr>
        <w:t>，</w:t>
      </w:r>
      <w:r w:rsidRPr="00761EF3">
        <w:rPr>
          <w:szCs w:val="22"/>
        </w:rPr>
        <w:t>295a16</w:t>
      </w:r>
      <w:r w:rsidRPr="00212D57">
        <w:rPr>
          <w:szCs w:val="22"/>
        </w:rPr>
        <w:t>-</w:t>
      </w:r>
      <w:r w:rsidRPr="00761EF3">
        <w:rPr>
          <w:szCs w:val="22"/>
        </w:rPr>
        <w:t>20</w:t>
      </w:r>
      <w:r w:rsidRPr="00212D57">
        <w:rPr>
          <w:rFonts w:cs="Times Ext Roman"/>
          <w:szCs w:val="22"/>
        </w:rPr>
        <w:t>）：</w:t>
      </w:r>
    </w:p>
    <w:p w:rsidR="003F72AB" w:rsidRDefault="00157EF6" w:rsidP="009B468F">
      <w:pPr>
        <w:pStyle w:val="a5"/>
        <w:ind w:leftChars="335" w:left="804"/>
        <w:jc w:val="both"/>
        <w:rPr>
          <w:rFonts w:eastAsia="標楷體" w:cs="Times Ext Roman"/>
          <w:szCs w:val="22"/>
        </w:rPr>
      </w:pPr>
      <w:r w:rsidRPr="00212D57">
        <w:rPr>
          <w:rFonts w:eastAsia="標楷體" w:cs="Times Ext Roman"/>
          <w:szCs w:val="22"/>
        </w:rPr>
        <w:t>三藏中，多說</w:t>
      </w:r>
      <w:r w:rsidR="003F72AB">
        <w:rPr>
          <w:rFonts w:ascii="標楷體" w:eastAsia="標楷體" w:hAnsi="標楷體" w:hint="eastAsia"/>
          <w:bCs/>
          <w:color w:val="FF0000"/>
          <w:kern w:val="0"/>
          <w:highlight w:val="yellow"/>
        </w:rPr>
        <w:t>「</w:t>
      </w:r>
      <w:r w:rsidRPr="00212D57">
        <w:rPr>
          <w:rFonts w:eastAsia="標楷體" w:cs="Times Ext Roman"/>
          <w:szCs w:val="22"/>
        </w:rPr>
        <w:t>無常、苦、空、無我</w:t>
      </w:r>
      <w:r w:rsidR="003F72AB">
        <w:rPr>
          <w:rFonts w:ascii="標楷體" w:eastAsia="標楷體" w:hAnsi="標楷體" w:hint="eastAsia"/>
          <w:bCs/>
          <w:color w:val="FF0000"/>
          <w:kern w:val="0"/>
          <w:highlight w:val="yellow"/>
        </w:rPr>
        <w:t>」</w:t>
      </w:r>
      <w:r w:rsidRPr="00212D57">
        <w:rPr>
          <w:rFonts w:eastAsia="標楷體" w:cs="Times Ext Roman"/>
          <w:szCs w:val="22"/>
        </w:rPr>
        <w:t>，不多說</w:t>
      </w:r>
      <w:r w:rsidR="003F72AB">
        <w:rPr>
          <w:rFonts w:ascii="標楷體" w:eastAsia="標楷體" w:hAnsi="標楷體" w:hint="eastAsia"/>
          <w:bCs/>
          <w:color w:val="FF0000"/>
          <w:kern w:val="0"/>
          <w:highlight w:val="yellow"/>
        </w:rPr>
        <w:t>「</w:t>
      </w:r>
      <w:r w:rsidRPr="00212D57">
        <w:rPr>
          <w:rFonts w:eastAsia="標楷體" w:cs="Times Ext Roman"/>
          <w:szCs w:val="22"/>
        </w:rPr>
        <w:t>一切法空</w:t>
      </w:r>
      <w:r w:rsidR="003F72AB">
        <w:rPr>
          <w:rFonts w:ascii="標楷體" w:eastAsia="標楷體" w:hAnsi="標楷體" w:hint="eastAsia"/>
          <w:bCs/>
          <w:color w:val="FF0000"/>
          <w:kern w:val="0"/>
          <w:highlight w:val="yellow"/>
        </w:rPr>
        <w:t>」</w:t>
      </w:r>
      <w:r w:rsidRPr="00212D57">
        <w:rPr>
          <w:rFonts w:eastAsia="標楷體" w:cs="Times Ext Roman"/>
          <w:szCs w:val="22"/>
        </w:rPr>
        <w:t>。</w:t>
      </w:r>
    </w:p>
    <w:p w:rsidR="00157EF6" w:rsidRPr="00212D57" w:rsidRDefault="00157EF6" w:rsidP="009B468F">
      <w:pPr>
        <w:pStyle w:val="a5"/>
        <w:ind w:leftChars="335" w:left="804"/>
        <w:jc w:val="both"/>
        <w:rPr>
          <w:rFonts w:cs="Times Ext Roman"/>
          <w:szCs w:val="22"/>
        </w:rPr>
      </w:pPr>
      <w:r w:rsidRPr="00212D57">
        <w:rPr>
          <w:rFonts w:eastAsia="標楷體" w:cs="Times Ext Roman"/>
          <w:szCs w:val="22"/>
        </w:rPr>
        <w:t>復次，眾生雖聞佛說</w:t>
      </w:r>
      <w:r w:rsidR="003F72AB">
        <w:rPr>
          <w:rFonts w:ascii="標楷體" w:eastAsia="標楷體" w:hAnsi="標楷體" w:hint="eastAsia"/>
          <w:bCs/>
          <w:color w:val="FF0000"/>
          <w:kern w:val="0"/>
          <w:highlight w:val="yellow"/>
        </w:rPr>
        <w:t>「</w:t>
      </w:r>
      <w:r w:rsidRPr="00212D57">
        <w:rPr>
          <w:rFonts w:eastAsia="標楷體" w:cs="Times Ext Roman"/>
          <w:szCs w:val="22"/>
        </w:rPr>
        <w:t>無常、苦、空、無我</w:t>
      </w:r>
      <w:r w:rsidR="003F72AB">
        <w:rPr>
          <w:rFonts w:ascii="標楷體" w:eastAsia="標楷體" w:hAnsi="標楷體" w:hint="eastAsia"/>
          <w:bCs/>
          <w:color w:val="FF0000"/>
          <w:kern w:val="0"/>
          <w:highlight w:val="yellow"/>
        </w:rPr>
        <w:t>」</w:t>
      </w:r>
      <w:r w:rsidRPr="00212D57">
        <w:rPr>
          <w:rFonts w:eastAsia="標楷體" w:cs="Times Ext Roman"/>
          <w:szCs w:val="22"/>
        </w:rPr>
        <w:t>而戲論諸法</w:t>
      </w:r>
      <w:r w:rsidR="00525B5E">
        <w:rPr>
          <w:rFonts w:ascii="標楷體" w:eastAsia="標楷體" w:hAnsi="標楷體" w:hint="eastAsia"/>
          <w:color w:val="FF0000"/>
          <w:spacing w:val="-4"/>
          <w:kern w:val="0"/>
          <w:highlight w:val="yellow"/>
        </w:rPr>
        <w:t>；</w:t>
      </w:r>
      <w:r w:rsidRPr="00212D57">
        <w:rPr>
          <w:rFonts w:eastAsia="標楷體" w:cs="Times Ext Roman"/>
          <w:szCs w:val="22"/>
        </w:rPr>
        <w:t>為是人故</w:t>
      </w:r>
      <w:r w:rsidR="003F72AB">
        <w:rPr>
          <w:rFonts w:ascii="標楷體" w:eastAsia="標楷體" w:hAnsi="標楷體" w:hint="eastAsia"/>
          <w:color w:val="FF0000"/>
          <w:kern w:val="0"/>
          <w:highlight w:val="yellow"/>
        </w:rPr>
        <w:t>，</w:t>
      </w:r>
      <w:r w:rsidRPr="00212D57">
        <w:rPr>
          <w:rFonts w:eastAsia="標楷體" w:cs="Times Ext Roman"/>
          <w:szCs w:val="22"/>
        </w:rPr>
        <w:t>說</w:t>
      </w:r>
      <w:r w:rsidR="003F72AB">
        <w:rPr>
          <w:rFonts w:ascii="標楷體" w:eastAsia="標楷體" w:hAnsi="標楷體" w:hint="eastAsia"/>
          <w:bCs/>
          <w:color w:val="FF0000"/>
          <w:kern w:val="0"/>
          <w:highlight w:val="yellow"/>
        </w:rPr>
        <w:t>「</w:t>
      </w:r>
      <w:r w:rsidRPr="00212D57">
        <w:rPr>
          <w:rFonts w:eastAsia="標楷體" w:cs="Times Ext Roman"/>
          <w:szCs w:val="22"/>
        </w:rPr>
        <w:t>諸法空</w:t>
      </w:r>
      <w:r w:rsidR="003F72AB">
        <w:rPr>
          <w:rFonts w:ascii="標楷體" w:eastAsia="標楷體" w:hAnsi="標楷體" w:hint="eastAsia"/>
          <w:bCs/>
          <w:color w:val="FF0000"/>
          <w:kern w:val="0"/>
          <w:highlight w:val="yellow"/>
        </w:rPr>
        <w:t>」</w:t>
      </w:r>
      <w:r w:rsidR="003F72AB">
        <w:rPr>
          <w:rFonts w:ascii="標楷體" w:eastAsia="標楷體" w:hAnsi="標楷體" w:hint="eastAsia"/>
          <w:color w:val="FF0000"/>
          <w:kern w:val="0"/>
          <w:highlight w:val="yellow"/>
        </w:rPr>
        <w:t>。</w:t>
      </w:r>
      <w:r w:rsidRPr="00212D57">
        <w:rPr>
          <w:rFonts w:eastAsia="標楷體" w:cs="Times Ext Roman"/>
          <w:szCs w:val="22"/>
        </w:rPr>
        <w:t>若無我</w:t>
      </w:r>
      <w:r w:rsidR="003F72AB">
        <w:rPr>
          <w:rFonts w:ascii="標楷體" w:eastAsia="標楷體" w:hAnsi="標楷體" w:hint="eastAsia"/>
          <w:color w:val="FF0000"/>
          <w:kern w:val="0"/>
          <w:highlight w:val="yellow"/>
        </w:rPr>
        <w:t>，</w:t>
      </w:r>
      <w:r w:rsidRPr="00212D57">
        <w:rPr>
          <w:rFonts w:eastAsia="標楷體" w:cs="Times Ext Roman"/>
          <w:szCs w:val="22"/>
        </w:rPr>
        <w:t>亦無我所；若無我</w:t>
      </w:r>
      <w:r w:rsidR="003F72AB">
        <w:rPr>
          <w:rFonts w:ascii="標楷體" w:eastAsia="標楷體" w:hAnsi="標楷體" w:hint="eastAsia"/>
          <w:color w:val="FF0000"/>
          <w:spacing w:val="-4"/>
          <w:kern w:val="0"/>
          <w:highlight w:val="yellow"/>
        </w:rPr>
        <w:t>、</w:t>
      </w:r>
      <w:r w:rsidRPr="00212D57">
        <w:rPr>
          <w:rFonts w:eastAsia="標楷體" w:cs="Times Ext Roman"/>
          <w:szCs w:val="22"/>
        </w:rPr>
        <w:t>無我所，是即入</w:t>
      </w:r>
      <w:r w:rsidR="003F72AB">
        <w:rPr>
          <w:rFonts w:ascii="標楷體" w:eastAsia="標楷體" w:hAnsi="標楷體" w:hint="eastAsia"/>
          <w:bCs/>
          <w:color w:val="FF0000"/>
          <w:kern w:val="0"/>
          <w:highlight w:val="yellow"/>
        </w:rPr>
        <w:t>「</w:t>
      </w:r>
      <w:r w:rsidRPr="00212D57">
        <w:rPr>
          <w:rFonts w:eastAsia="標楷體" w:cs="Times Ext Roman"/>
          <w:szCs w:val="22"/>
        </w:rPr>
        <w:t>空</w:t>
      </w:r>
      <w:r w:rsidR="003F72AB">
        <w:rPr>
          <w:rFonts w:ascii="標楷體" w:eastAsia="標楷體" w:hAnsi="標楷體" w:hint="eastAsia"/>
          <w:bCs/>
          <w:color w:val="FF0000"/>
          <w:kern w:val="0"/>
          <w:highlight w:val="yellow"/>
        </w:rPr>
        <w:t>」</w:t>
      </w:r>
      <w:r w:rsidRPr="00212D57">
        <w:rPr>
          <w:rFonts w:eastAsia="標楷體" w:cs="Times Ext Roman"/>
          <w:szCs w:val="22"/>
        </w:rPr>
        <w:t>義。</w:t>
      </w:r>
    </w:p>
  </w:footnote>
  <w:footnote w:id="22">
    <w:p w:rsidR="00157EF6" w:rsidRPr="00212D57" w:rsidRDefault="00157EF6" w:rsidP="00C5089E">
      <w:pPr>
        <w:pStyle w:val="a5"/>
        <w:spacing w:line="0" w:lineRule="atLeast"/>
        <w:ind w:left="253" w:hangingChars="115" w:hanging="253"/>
        <w:jc w:val="both"/>
        <w:rPr>
          <w:rFonts w:cs="Times Ext Roman"/>
          <w:szCs w:val="22"/>
        </w:rPr>
      </w:pPr>
      <w:r w:rsidRPr="00212D57">
        <w:rPr>
          <w:rStyle w:val="a6"/>
          <w:szCs w:val="22"/>
        </w:rPr>
        <w:footnoteRef/>
      </w:r>
      <w:r w:rsidRPr="00212D57">
        <w:rPr>
          <w:rFonts w:cs="Times Ext Roman" w:hint="eastAsia"/>
          <w:szCs w:val="22"/>
        </w:rPr>
        <w:t xml:space="preserve"> </w:t>
      </w:r>
      <w:r w:rsidRPr="00212D57">
        <w:rPr>
          <w:rFonts w:cs="Times Ext Roman"/>
          <w:szCs w:val="22"/>
        </w:rPr>
        <w:t>《大智度論》卷</w:t>
      </w:r>
      <w:r w:rsidRPr="00761EF3">
        <w:rPr>
          <w:szCs w:val="22"/>
        </w:rPr>
        <w:t>22</w:t>
      </w:r>
      <w:r w:rsidR="00AC0462" w:rsidRPr="00AC0462">
        <w:rPr>
          <w:rFonts w:hint="eastAsia"/>
          <w:color w:val="FF0000"/>
          <w:szCs w:val="22"/>
          <w:highlight w:val="yellow"/>
        </w:rPr>
        <w:t>釋</w:t>
      </w:r>
      <w:r w:rsidRPr="00212D57">
        <w:rPr>
          <w:rFonts w:cs="Times Ext Roman" w:hint="eastAsia"/>
          <w:szCs w:val="22"/>
        </w:rPr>
        <w:t>〈</w:t>
      </w:r>
      <w:r w:rsidRPr="00761EF3">
        <w:rPr>
          <w:rFonts w:hint="eastAsia"/>
          <w:szCs w:val="22"/>
        </w:rPr>
        <w:t>1</w:t>
      </w:r>
      <w:r w:rsidRPr="00212D57">
        <w:rPr>
          <w:rFonts w:hint="eastAsia"/>
          <w:szCs w:val="22"/>
        </w:rPr>
        <w:t xml:space="preserve"> </w:t>
      </w:r>
      <w:r w:rsidRPr="00212D57">
        <w:rPr>
          <w:rFonts w:cs="Times Ext Roman" w:hint="eastAsia"/>
          <w:szCs w:val="22"/>
        </w:rPr>
        <w:t>序品〉</w:t>
      </w:r>
      <w:r w:rsidRPr="00212D57">
        <w:rPr>
          <w:rFonts w:cs="Times Ext Roman"/>
          <w:szCs w:val="22"/>
        </w:rPr>
        <w:t>（大正</w:t>
      </w:r>
      <w:r w:rsidRPr="00761EF3">
        <w:rPr>
          <w:szCs w:val="22"/>
        </w:rPr>
        <w:t>25</w:t>
      </w:r>
      <w:r w:rsidRPr="00212D57">
        <w:rPr>
          <w:rFonts w:cs="Times Ext Roman"/>
          <w:szCs w:val="22"/>
        </w:rPr>
        <w:t>，</w:t>
      </w:r>
      <w:r w:rsidRPr="00761EF3">
        <w:rPr>
          <w:szCs w:val="22"/>
        </w:rPr>
        <w:t>222c1</w:t>
      </w:r>
      <w:r w:rsidRPr="00212D57">
        <w:rPr>
          <w:szCs w:val="22"/>
        </w:rPr>
        <w:t>-</w:t>
      </w:r>
      <w:r w:rsidRPr="00761EF3">
        <w:rPr>
          <w:szCs w:val="22"/>
        </w:rPr>
        <w:t>6</w:t>
      </w:r>
      <w:r w:rsidRPr="00212D57">
        <w:rPr>
          <w:rFonts w:cs="Times Ext Roman"/>
          <w:szCs w:val="22"/>
        </w:rPr>
        <w:t>）</w:t>
      </w:r>
      <w:r w:rsidR="00B05767" w:rsidRPr="00B05767">
        <w:rPr>
          <w:rFonts w:cs="Times Ext Roman" w:hint="eastAsia"/>
          <w:color w:val="FF0000"/>
          <w:szCs w:val="22"/>
          <w:highlight w:val="yellow"/>
        </w:rPr>
        <w:t>；</w:t>
      </w:r>
      <w:r w:rsidRPr="00212D57">
        <w:rPr>
          <w:rFonts w:cs="Times Ext Roman"/>
          <w:szCs w:val="22"/>
        </w:rPr>
        <w:t>參見</w:t>
      </w:r>
      <w:r w:rsidR="00B05767">
        <w:rPr>
          <w:rFonts w:cs="Times Ext Roman" w:hint="eastAsia"/>
          <w:szCs w:val="22"/>
        </w:rPr>
        <w:t>：</w:t>
      </w:r>
      <w:r w:rsidRPr="00212D57">
        <w:rPr>
          <w:rFonts w:cs="Times Ext Roman"/>
          <w:szCs w:val="22"/>
        </w:rPr>
        <w:t>印順法師，《中觀今論》</w:t>
      </w:r>
      <w:r w:rsidRPr="00212D57">
        <w:rPr>
          <w:rFonts w:cs="Times Ext Roman" w:hint="eastAsia"/>
          <w:szCs w:val="22"/>
        </w:rPr>
        <w:t>，</w:t>
      </w:r>
      <w:r w:rsidRPr="00761EF3">
        <w:rPr>
          <w:rFonts w:hint="eastAsia"/>
          <w:szCs w:val="22"/>
        </w:rPr>
        <w:t>p</w:t>
      </w:r>
      <w:r w:rsidRPr="00761EF3">
        <w:rPr>
          <w:szCs w:val="22"/>
        </w:rPr>
        <w:t>p</w:t>
      </w:r>
      <w:r w:rsidRPr="00212D57">
        <w:rPr>
          <w:szCs w:val="22"/>
        </w:rPr>
        <w:t>.</w:t>
      </w:r>
      <w:r w:rsidRPr="00761EF3">
        <w:rPr>
          <w:szCs w:val="22"/>
        </w:rPr>
        <w:t>25</w:t>
      </w:r>
      <w:r w:rsidRPr="00212D57">
        <w:rPr>
          <w:szCs w:val="22"/>
        </w:rPr>
        <w:t>-</w:t>
      </w:r>
      <w:r w:rsidRPr="00761EF3">
        <w:rPr>
          <w:szCs w:val="22"/>
        </w:rPr>
        <w:t>40</w:t>
      </w:r>
      <w:r w:rsidRPr="00212D57">
        <w:rPr>
          <w:rFonts w:cs="Times Ext Roman"/>
          <w:szCs w:val="22"/>
        </w:rPr>
        <w:t>。</w:t>
      </w:r>
    </w:p>
  </w:footnote>
  <w:footnote w:id="23">
    <w:p w:rsidR="008144B4" w:rsidRPr="00212D57" w:rsidRDefault="008144B4" w:rsidP="008144B4">
      <w:pPr>
        <w:pStyle w:val="a5"/>
        <w:spacing w:line="0" w:lineRule="atLeast"/>
        <w:ind w:left="792" w:hangingChars="360" w:hanging="792"/>
        <w:jc w:val="both"/>
        <w:rPr>
          <w:rFonts w:cs="Times Ext Roman"/>
          <w:szCs w:val="22"/>
        </w:rPr>
      </w:pPr>
      <w:r w:rsidRPr="00212D57">
        <w:rPr>
          <w:rStyle w:val="a6"/>
          <w:szCs w:val="22"/>
        </w:rPr>
        <w:footnoteRef/>
      </w:r>
      <w:r w:rsidRPr="00212D57">
        <w:rPr>
          <w:rFonts w:cs="Times Ext Roman" w:hint="eastAsia"/>
          <w:szCs w:val="22"/>
        </w:rPr>
        <w:t xml:space="preserve"> </w:t>
      </w:r>
      <w:r w:rsidRPr="00212D57">
        <w:rPr>
          <w:rFonts w:cs="Times Ext Roman" w:hint="eastAsia"/>
          <w:szCs w:val="22"/>
        </w:rPr>
        <w:t>（</w:t>
      </w:r>
      <w:r w:rsidRPr="00761EF3">
        <w:rPr>
          <w:rFonts w:hint="eastAsia"/>
          <w:szCs w:val="22"/>
        </w:rPr>
        <w:t>1</w:t>
      </w:r>
      <w:r w:rsidRPr="00212D57">
        <w:rPr>
          <w:rFonts w:cs="Times Ext Roman" w:hint="eastAsia"/>
          <w:szCs w:val="22"/>
        </w:rPr>
        <w:t>）</w:t>
      </w:r>
      <w:r w:rsidRPr="00212D57">
        <w:rPr>
          <w:rFonts w:cs="Times Ext Roman"/>
          <w:szCs w:val="22"/>
        </w:rPr>
        <w:t>《雜阿含經》卷</w:t>
      </w:r>
      <w:r w:rsidRPr="00761EF3">
        <w:rPr>
          <w:szCs w:val="22"/>
        </w:rPr>
        <w:t>12</w:t>
      </w:r>
      <w:r w:rsidRPr="00212D57">
        <w:rPr>
          <w:rFonts w:cs="Times Ext Roman" w:hint="eastAsia"/>
          <w:szCs w:val="22"/>
        </w:rPr>
        <w:t>（</w:t>
      </w:r>
      <w:r w:rsidRPr="00761EF3">
        <w:rPr>
          <w:szCs w:val="22"/>
        </w:rPr>
        <w:t>293</w:t>
      </w:r>
      <w:r w:rsidRPr="00212D57">
        <w:rPr>
          <w:rFonts w:cs="Times Ext Roman"/>
          <w:szCs w:val="22"/>
        </w:rPr>
        <w:t>經</w:t>
      </w:r>
      <w:r w:rsidRPr="00212D57">
        <w:rPr>
          <w:rFonts w:cs="Times Ext Roman" w:hint="eastAsia"/>
          <w:szCs w:val="22"/>
        </w:rPr>
        <w:t>）</w:t>
      </w:r>
      <w:r w:rsidRPr="00212D57">
        <w:rPr>
          <w:rFonts w:cs="Times Ext Roman"/>
          <w:szCs w:val="22"/>
        </w:rPr>
        <w:t>（大正</w:t>
      </w:r>
      <w:r w:rsidRPr="00761EF3">
        <w:rPr>
          <w:szCs w:val="22"/>
        </w:rPr>
        <w:t>2</w:t>
      </w:r>
      <w:r w:rsidRPr="00212D57">
        <w:rPr>
          <w:rFonts w:cs="Times Ext Roman"/>
          <w:szCs w:val="22"/>
        </w:rPr>
        <w:t>，</w:t>
      </w:r>
      <w:r w:rsidRPr="00761EF3">
        <w:rPr>
          <w:szCs w:val="22"/>
        </w:rPr>
        <w:t>83c1</w:t>
      </w:r>
      <w:r w:rsidRPr="00212D57">
        <w:rPr>
          <w:szCs w:val="22"/>
        </w:rPr>
        <w:t>-</w:t>
      </w:r>
      <w:r w:rsidRPr="00761EF3">
        <w:rPr>
          <w:szCs w:val="22"/>
        </w:rPr>
        <w:t>22</w:t>
      </w:r>
      <w:r w:rsidRPr="00212D57">
        <w:rPr>
          <w:rFonts w:cs="Times Ext Roman"/>
          <w:szCs w:val="22"/>
        </w:rPr>
        <w:t>）：</w:t>
      </w:r>
    </w:p>
    <w:p w:rsidR="008144B4" w:rsidRDefault="008144B4" w:rsidP="008144B4">
      <w:pPr>
        <w:pStyle w:val="ad"/>
        <w:snapToGrid w:val="0"/>
        <w:spacing w:after="0"/>
        <w:ind w:leftChars="335" w:left="804"/>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如是我聞：一時，佛住王舍城迦蘭陀竹園。爾時</w:t>
      </w:r>
      <w:r w:rsidRPr="00212D57">
        <w:rPr>
          <w:rFonts w:ascii="Times New Roman" w:eastAsia="標楷體" w:hAnsi="Times New Roman" w:cs="Times Ext Roman" w:hint="eastAsia"/>
          <w:sz w:val="22"/>
          <w:szCs w:val="22"/>
        </w:rPr>
        <w:t>，</w:t>
      </w:r>
      <w:r w:rsidRPr="00212D57">
        <w:rPr>
          <w:rFonts w:ascii="Times New Roman" w:eastAsia="標楷體" w:hAnsi="Times New Roman" w:cs="Times Ext Roman"/>
          <w:sz w:val="22"/>
          <w:szCs w:val="22"/>
        </w:rPr>
        <w:t>世尊告異比丘：「我已度疑，離於猶豫，拔邪見刺，不復退轉</w:t>
      </w:r>
      <w:r>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心無所著故，何處有我？為彼比丘說法，為彼比丘說</w:t>
      </w:r>
      <w:r w:rsidRPr="00212D57">
        <w:rPr>
          <w:rFonts w:ascii="Times New Roman" w:eastAsia="標楷體" w:hAnsi="Times New Roman" w:cs="Times Ext Roman"/>
          <w:b/>
          <w:sz w:val="22"/>
          <w:szCs w:val="22"/>
        </w:rPr>
        <w:t>賢聖出世空相應緣起隨順法</w:t>
      </w:r>
      <w:r>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所謂</w:t>
      </w:r>
      <w:r w:rsidR="003A4B1B">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有是事故是事有，是事有故是事起</w:t>
      </w:r>
      <w:r w:rsidR="003A4B1B">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，所謂緣無明行，緣行識，緣識名色，緣名色六入處，緣六入處觸，緣觸受，緣受愛，緣愛取，緣取有，緣有生，緣生老死、憂悲惱苦，如是如是純大苦聚集</w:t>
      </w:r>
      <w:r>
        <w:rPr>
          <w:rFonts w:ascii="標楷體" w:eastAsia="標楷體" w:hAnsi="標楷體" w:hint="eastAsia"/>
          <w:color w:val="FF0000"/>
          <w:spacing w:val="-4"/>
          <w:kern w:val="0"/>
          <w:sz w:val="22"/>
          <w:highlight w:val="yellow"/>
        </w:rPr>
        <w:t>；</w:t>
      </w:r>
      <w:r w:rsidRPr="00212D57">
        <w:rPr>
          <w:rFonts w:ascii="Times New Roman" w:eastAsia="標楷體" w:hAnsi="Times New Roman" w:cs="Times Ext Roman"/>
          <w:sz w:val="22"/>
          <w:szCs w:val="22"/>
        </w:rPr>
        <w:t>乃至如是純大苦聚滅。如是說法，而彼比丘猶有疑惑、猶豫</w:t>
      </w:r>
      <w:r>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先不得得想</w:t>
      </w:r>
      <w:r>
        <w:rPr>
          <w:rFonts w:ascii="標楷體" w:eastAsia="標楷體" w:hAnsi="標楷體" w:hint="eastAsia"/>
          <w:color w:val="FF0000"/>
          <w:spacing w:val="-4"/>
          <w:kern w:val="0"/>
          <w:sz w:val="22"/>
          <w:highlight w:val="yellow"/>
        </w:rPr>
        <w:t>、</w:t>
      </w:r>
      <w:r w:rsidRPr="00212D57">
        <w:rPr>
          <w:rFonts w:ascii="Times New Roman" w:eastAsia="標楷體" w:hAnsi="Times New Roman" w:cs="Times Ext Roman"/>
          <w:sz w:val="22"/>
          <w:szCs w:val="22"/>
        </w:rPr>
        <w:t>不獲獲想</w:t>
      </w:r>
      <w:r>
        <w:rPr>
          <w:rFonts w:ascii="標楷體" w:eastAsia="標楷體" w:hAnsi="標楷體" w:hint="eastAsia"/>
          <w:color w:val="FF0000"/>
          <w:spacing w:val="-4"/>
          <w:kern w:val="0"/>
          <w:sz w:val="22"/>
          <w:highlight w:val="yellow"/>
        </w:rPr>
        <w:t>、</w:t>
      </w:r>
      <w:r w:rsidRPr="00212D57">
        <w:rPr>
          <w:rFonts w:ascii="Times New Roman" w:eastAsia="標楷體" w:hAnsi="Times New Roman" w:cs="Times Ext Roman"/>
          <w:sz w:val="22"/>
          <w:szCs w:val="22"/>
        </w:rPr>
        <w:t>不證證想；今聞法已，心生憂苦、悔恨、朦沒、障礙。所以者何？</w:t>
      </w:r>
      <w:r w:rsidRPr="00212D57">
        <w:rPr>
          <w:rFonts w:ascii="Times New Roman" w:eastAsia="標楷體" w:hAnsi="Times New Roman" w:cs="Times Ext Roman"/>
          <w:b/>
          <w:sz w:val="22"/>
          <w:szCs w:val="22"/>
        </w:rPr>
        <w:t>此甚深處，所謂緣起；倍復甚深難見，所謂一切取離、愛盡、無欲、寂滅、涅槃</w:t>
      </w:r>
      <w:r w:rsidRPr="00212D57">
        <w:rPr>
          <w:rFonts w:ascii="Times New Roman" w:eastAsia="標楷體" w:hAnsi="Times New Roman" w:cs="Times Ext Roman"/>
          <w:sz w:val="22"/>
          <w:szCs w:val="22"/>
        </w:rPr>
        <w:t>。如此二法，謂有為、無為</w:t>
      </w:r>
      <w:r>
        <w:rPr>
          <w:rFonts w:ascii="標楷體" w:eastAsia="標楷體" w:hAnsi="標楷體" w:hint="eastAsia"/>
          <w:color w:val="FF0000"/>
          <w:kern w:val="0"/>
          <w:sz w:val="22"/>
          <w:highlight w:val="yellow"/>
        </w:rPr>
        <w:t>──</w:t>
      </w:r>
      <w:r w:rsidRPr="00212D57">
        <w:rPr>
          <w:rFonts w:ascii="Times New Roman" w:eastAsia="標楷體" w:hAnsi="Times New Roman" w:cs="Times Ext Roman"/>
          <w:b/>
          <w:sz w:val="22"/>
          <w:szCs w:val="22"/>
        </w:rPr>
        <w:t>有為者，若生、若住、若異、若滅</w:t>
      </w:r>
      <w:r w:rsidRPr="00212D57">
        <w:rPr>
          <w:rFonts w:ascii="Times New Roman" w:eastAsia="標楷體" w:hAnsi="Times New Roman" w:cs="Times Ext Roman"/>
          <w:sz w:val="22"/>
          <w:szCs w:val="22"/>
        </w:rPr>
        <w:t>；</w:t>
      </w:r>
      <w:r w:rsidRPr="00212D57">
        <w:rPr>
          <w:rFonts w:ascii="Times New Roman" w:eastAsia="標楷體" w:hAnsi="Times New Roman" w:cs="Times Ext Roman"/>
          <w:b/>
          <w:sz w:val="22"/>
          <w:szCs w:val="22"/>
        </w:rPr>
        <w:t>無為者，不生、不住、不異、不滅</w:t>
      </w:r>
      <w:r>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是名</w:t>
      </w:r>
      <w:r>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比丘</w:t>
      </w:r>
      <w:r>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諸行苦、寂滅涅槃</w:t>
      </w:r>
      <w:r>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因集故苦集，因滅故苦滅，斷諸逕路，滅於相續，相續滅</w:t>
      </w:r>
      <w:r w:rsidRPr="00525B5E">
        <w:rPr>
          <w:rFonts w:ascii="Times New Roman" w:eastAsia="標楷體" w:hAnsi="Times New Roman" w:cs="Times Ext Roman" w:hint="eastAsia"/>
          <w:color w:val="FF0000"/>
          <w:sz w:val="22"/>
          <w:szCs w:val="22"/>
          <w:highlight w:val="yellow"/>
        </w:rPr>
        <w:t>滅</w:t>
      </w:r>
      <w:r w:rsidRPr="00AE2274">
        <w:rPr>
          <w:rFonts w:ascii="Times New Roman" w:eastAsia="標楷體" w:hAnsi="Times New Roman" w:cs="Times Ext Roman" w:hint="eastAsia"/>
          <w:color w:val="FF0000"/>
          <w:sz w:val="22"/>
          <w:szCs w:val="22"/>
          <w:shd w:val="pct15" w:color="auto" w:fill="FFFFFF"/>
        </w:rPr>
        <w:t>*</w:t>
      </w:r>
      <w:r w:rsidRPr="00212D57">
        <w:rPr>
          <w:rFonts w:ascii="Times New Roman" w:eastAsia="標楷體" w:hAnsi="Times New Roman" w:cs="Times Ext Roman"/>
          <w:sz w:val="22"/>
          <w:szCs w:val="22"/>
        </w:rPr>
        <w:t>，是名苦邊。比丘！彼何所滅？謂有餘苦。彼若滅、止、清涼、息、沒，所謂一切取滅、愛盡、無欲、寂滅、涅槃。」</w:t>
      </w:r>
    </w:p>
    <w:p w:rsidR="008144B4" w:rsidRDefault="008144B4" w:rsidP="008144B4">
      <w:pPr>
        <w:pStyle w:val="ad"/>
        <w:snapToGrid w:val="0"/>
        <w:spacing w:after="0"/>
        <w:ind w:leftChars="335" w:left="804"/>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佛說此經已、諸比丘聞佛所</w:t>
      </w:r>
      <w:r w:rsidRPr="00212D57">
        <w:rPr>
          <w:rFonts w:ascii="Times New Roman" w:eastAsia="標楷體" w:hAnsi="Times New Roman" w:cs="Times Ext Roman" w:hint="eastAsia"/>
          <w:sz w:val="22"/>
          <w:szCs w:val="22"/>
        </w:rPr>
        <w:t>說</w:t>
      </w:r>
      <w:r w:rsidRPr="00212D57">
        <w:rPr>
          <w:rFonts w:ascii="Times New Roman" w:eastAsia="標楷體" w:hAnsi="Times New Roman" w:cs="Times Ext Roman"/>
          <w:sz w:val="22"/>
          <w:szCs w:val="22"/>
        </w:rPr>
        <w:t>，歡喜奉行。</w:t>
      </w:r>
    </w:p>
    <w:p w:rsidR="008144B4" w:rsidRPr="00212D57" w:rsidRDefault="008144B4" w:rsidP="008144B4">
      <w:pPr>
        <w:pStyle w:val="ad"/>
        <w:snapToGrid w:val="0"/>
        <w:spacing w:after="0"/>
        <w:ind w:leftChars="335" w:left="804"/>
        <w:jc w:val="both"/>
        <w:rPr>
          <w:rFonts w:ascii="Times New Roman" w:eastAsia="標楷體" w:hAnsi="Times New Roman" w:cs="Times Ext Roman"/>
          <w:sz w:val="22"/>
          <w:szCs w:val="22"/>
        </w:rPr>
      </w:pPr>
      <w:r w:rsidRPr="00AE2274">
        <w:rPr>
          <w:rFonts w:ascii="Times New Roman" w:eastAsia="標楷體" w:hAnsi="Times New Roman" w:cs="Times Ext Roman" w:hint="eastAsia"/>
          <w:color w:val="FF0000"/>
          <w:sz w:val="22"/>
          <w:szCs w:val="22"/>
          <w:shd w:val="pct15" w:color="auto" w:fill="FFFFFF"/>
        </w:rPr>
        <w:t>*</w:t>
      </w:r>
      <w:r w:rsidRPr="00AE2274">
        <w:rPr>
          <w:rFonts w:ascii="新細明體" w:hAnsi="新細明體" w:cs="Times Ext Roman" w:hint="eastAsia"/>
          <w:color w:val="FF0000"/>
          <w:sz w:val="22"/>
          <w:szCs w:val="22"/>
          <w:highlight w:val="yellow"/>
        </w:rPr>
        <w:t>依</w:t>
      </w:r>
      <w:r w:rsidRPr="00AE2274">
        <w:rPr>
          <w:rFonts w:ascii="新細明體" w:hAnsi="新細明體" w:cs="Times Ext Roman"/>
          <w:color w:val="FF0000"/>
          <w:sz w:val="22"/>
          <w:szCs w:val="22"/>
          <w:highlight w:val="yellow"/>
        </w:rPr>
        <w:t>《雜阿含經論會編》（中</w:t>
      </w:r>
      <w:r w:rsidRPr="00AE2274">
        <w:rPr>
          <w:rFonts w:ascii="Times New Roman" w:hAnsi="Times New Roman" w:cs="Times Ext Roman"/>
          <w:color w:val="FF0000"/>
          <w:sz w:val="22"/>
          <w:szCs w:val="22"/>
          <w:highlight w:val="yellow"/>
        </w:rPr>
        <w:t>）</w:t>
      </w:r>
      <w:r w:rsidRPr="00AE2274">
        <w:rPr>
          <w:rFonts w:ascii="Times New Roman" w:hAnsi="Times New Roman"/>
          <w:color w:val="FF0000"/>
          <w:sz w:val="22"/>
          <w:szCs w:val="22"/>
          <w:highlight w:val="yellow"/>
        </w:rPr>
        <w:t>p.2</w:t>
      </w:r>
      <w:r w:rsidRPr="00AE2274">
        <w:rPr>
          <w:rFonts w:ascii="Times New Roman" w:hAnsi="Times New Roman" w:hint="eastAsia"/>
          <w:color w:val="FF0000"/>
          <w:sz w:val="22"/>
          <w:szCs w:val="22"/>
          <w:highlight w:val="yellow"/>
        </w:rPr>
        <w:t>7</w:t>
      </w:r>
      <w:r w:rsidRPr="00AE2274">
        <w:rPr>
          <w:rFonts w:ascii="Times New Roman" w:hAnsi="Times New Roman" w:hint="eastAsia"/>
          <w:color w:val="FF0000"/>
          <w:sz w:val="22"/>
          <w:szCs w:val="22"/>
          <w:highlight w:val="yellow"/>
        </w:rPr>
        <w:t>注腳</w:t>
      </w:r>
      <w:r w:rsidR="009153E6">
        <w:rPr>
          <w:rFonts w:ascii="Times New Roman" w:hAnsi="Times New Roman" w:hint="eastAsia"/>
          <w:color w:val="FF0000"/>
          <w:sz w:val="22"/>
          <w:szCs w:val="22"/>
          <w:highlight w:val="yellow"/>
        </w:rPr>
        <w:t>1</w:t>
      </w:r>
      <w:r>
        <w:rPr>
          <w:rFonts w:ascii="Times New Roman" w:hAnsi="Times New Roman" w:cs="Times Ext Roman" w:hint="eastAsia"/>
          <w:color w:val="FF0000"/>
          <w:sz w:val="22"/>
          <w:szCs w:val="22"/>
          <w:highlight w:val="yellow"/>
        </w:rPr>
        <w:t>，「</w:t>
      </w:r>
      <w:r w:rsidRPr="00AE2274">
        <w:rPr>
          <w:rFonts w:ascii="標楷體" w:eastAsia="標楷體" w:hAnsi="標楷體" w:cs="Times Ext Roman" w:hint="eastAsia"/>
          <w:color w:val="FF0000"/>
          <w:sz w:val="22"/>
          <w:szCs w:val="22"/>
          <w:highlight w:val="yellow"/>
        </w:rPr>
        <w:t>相續滅滅</w:t>
      </w:r>
      <w:r>
        <w:rPr>
          <w:rFonts w:ascii="Times New Roman" w:hAnsi="Times New Roman" w:cs="Times Ext Roman" w:hint="eastAsia"/>
          <w:color w:val="FF0000"/>
          <w:sz w:val="22"/>
          <w:szCs w:val="22"/>
          <w:highlight w:val="yellow"/>
        </w:rPr>
        <w:t>」應改作「</w:t>
      </w:r>
      <w:r w:rsidRPr="00AE2274">
        <w:rPr>
          <w:rFonts w:ascii="標楷體" w:eastAsia="標楷體" w:hAnsi="標楷體" w:cs="Times Ext Roman" w:hint="eastAsia"/>
          <w:color w:val="FF0000"/>
          <w:sz w:val="22"/>
          <w:szCs w:val="22"/>
          <w:highlight w:val="yellow"/>
        </w:rPr>
        <w:t>相續滅</w:t>
      </w:r>
      <w:r>
        <w:rPr>
          <w:rFonts w:ascii="Times New Roman" w:hAnsi="Times New Roman" w:cs="Times Ext Roman" w:hint="eastAsia"/>
          <w:color w:val="FF0000"/>
          <w:sz w:val="22"/>
          <w:szCs w:val="22"/>
          <w:highlight w:val="yellow"/>
        </w:rPr>
        <w:t>」。</w:t>
      </w:r>
    </w:p>
    <w:p w:rsidR="008144B4" w:rsidRPr="00212D57" w:rsidRDefault="008144B4" w:rsidP="008144B4">
      <w:pPr>
        <w:pStyle w:val="a5"/>
        <w:ind w:leftChars="105" w:left="791" w:hangingChars="245" w:hanging="539"/>
        <w:jc w:val="both"/>
        <w:rPr>
          <w:rFonts w:cs="Times Ext Roman"/>
          <w:szCs w:val="22"/>
        </w:rPr>
      </w:pPr>
      <w:r w:rsidRPr="00212D57">
        <w:rPr>
          <w:rFonts w:cs="Times Ext Roman" w:hint="eastAsia"/>
          <w:szCs w:val="22"/>
        </w:rPr>
        <w:t>（</w:t>
      </w:r>
      <w:r w:rsidRPr="00761EF3">
        <w:rPr>
          <w:rFonts w:hint="eastAsia"/>
          <w:szCs w:val="22"/>
        </w:rPr>
        <w:t>2</w:t>
      </w:r>
      <w:r w:rsidRPr="00212D57">
        <w:rPr>
          <w:rFonts w:cs="Times Ext Roman" w:hint="eastAsia"/>
          <w:szCs w:val="22"/>
        </w:rPr>
        <w:t>）</w:t>
      </w:r>
      <w:r w:rsidRPr="00212D57">
        <w:rPr>
          <w:rFonts w:cs="Times Ext Roman"/>
          <w:szCs w:val="22"/>
        </w:rPr>
        <w:t>參見</w:t>
      </w:r>
      <w:r>
        <w:rPr>
          <w:rFonts w:cs="Times Ext Roman" w:hint="eastAsia"/>
          <w:szCs w:val="22"/>
        </w:rPr>
        <w:t>：</w:t>
      </w:r>
      <w:r w:rsidRPr="00212D57">
        <w:rPr>
          <w:rFonts w:cs="Times Ext Roman"/>
          <w:szCs w:val="22"/>
        </w:rPr>
        <w:t>印順法師</w:t>
      </w:r>
      <w:r w:rsidRPr="00212D57">
        <w:rPr>
          <w:rFonts w:cs="Times Ext Roman" w:hint="eastAsia"/>
          <w:szCs w:val="22"/>
        </w:rPr>
        <w:t>，</w:t>
      </w:r>
      <w:r w:rsidRPr="00212D57">
        <w:rPr>
          <w:rFonts w:cs="Times Ext Roman"/>
          <w:szCs w:val="22"/>
        </w:rPr>
        <w:t>《雜阿含經論會編》（中）</w:t>
      </w:r>
      <w:r w:rsidRPr="00212D57">
        <w:rPr>
          <w:rFonts w:cs="Times Ext Roman" w:hint="eastAsia"/>
          <w:szCs w:val="22"/>
        </w:rPr>
        <w:t>，</w:t>
      </w:r>
      <w:r w:rsidRPr="00761EF3">
        <w:rPr>
          <w:rFonts w:hint="eastAsia"/>
          <w:szCs w:val="22"/>
        </w:rPr>
        <w:t>p</w:t>
      </w:r>
      <w:r w:rsidRPr="00761EF3">
        <w:rPr>
          <w:szCs w:val="22"/>
        </w:rPr>
        <w:t>p</w:t>
      </w:r>
      <w:r w:rsidRPr="00212D57">
        <w:rPr>
          <w:szCs w:val="22"/>
        </w:rPr>
        <w:t>.</w:t>
      </w:r>
      <w:r w:rsidRPr="00761EF3">
        <w:rPr>
          <w:szCs w:val="22"/>
        </w:rPr>
        <w:t>25</w:t>
      </w:r>
      <w:r w:rsidRPr="00212D57">
        <w:rPr>
          <w:szCs w:val="22"/>
        </w:rPr>
        <w:t>-</w:t>
      </w:r>
      <w:r w:rsidRPr="00761EF3">
        <w:rPr>
          <w:szCs w:val="22"/>
        </w:rPr>
        <w:t>26</w:t>
      </w:r>
      <w:r w:rsidRPr="00212D57">
        <w:rPr>
          <w:rFonts w:cs="Times Ext Roman" w:hint="eastAsia"/>
          <w:szCs w:val="22"/>
        </w:rPr>
        <w:t>。</w:t>
      </w:r>
    </w:p>
  </w:footnote>
  <w:footnote w:id="24">
    <w:p w:rsidR="008144B4" w:rsidRPr="00212D57" w:rsidRDefault="008144B4" w:rsidP="008144B4">
      <w:pPr>
        <w:pStyle w:val="a5"/>
        <w:spacing w:line="0" w:lineRule="atLeast"/>
        <w:ind w:left="792" w:hangingChars="360" w:hanging="792"/>
        <w:jc w:val="both"/>
        <w:rPr>
          <w:rFonts w:cs="Times Ext Roman"/>
          <w:szCs w:val="22"/>
        </w:rPr>
      </w:pPr>
      <w:r w:rsidRPr="00212D57">
        <w:rPr>
          <w:rStyle w:val="a6"/>
          <w:szCs w:val="22"/>
        </w:rPr>
        <w:footnoteRef/>
      </w:r>
      <w:r w:rsidRPr="00212D57">
        <w:rPr>
          <w:rFonts w:cs="Times Ext Roman" w:hint="eastAsia"/>
          <w:szCs w:val="22"/>
        </w:rPr>
        <w:t xml:space="preserve"> </w:t>
      </w:r>
      <w:r w:rsidRPr="00212D57">
        <w:rPr>
          <w:rFonts w:cs="Times Ext Roman" w:hint="eastAsia"/>
          <w:szCs w:val="22"/>
        </w:rPr>
        <w:t>（</w:t>
      </w:r>
      <w:r w:rsidRPr="00761EF3">
        <w:rPr>
          <w:rFonts w:hint="eastAsia"/>
          <w:szCs w:val="22"/>
        </w:rPr>
        <w:t>1</w:t>
      </w:r>
      <w:r w:rsidRPr="00212D57">
        <w:rPr>
          <w:rFonts w:cs="Times Ext Roman" w:hint="eastAsia"/>
          <w:szCs w:val="22"/>
        </w:rPr>
        <w:t>）</w:t>
      </w:r>
      <w:r w:rsidRPr="00212D57">
        <w:rPr>
          <w:rFonts w:cs="Times Ext Roman"/>
          <w:szCs w:val="22"/>
        </w:rPr>
        <w:t>《法蘊足論》卷</w:t>
      </w:r>
      <w:r w:rsidRPr="00761EF3">
        <w:rPr>
          <w:szCs w:val="22"/>
        </w:rPr>
        <w:t>11</w:t>
      </w:r>
      <w:r w:rsidRPr="00212D57">
        <w:rPr>
          <w:rFonts w:cs="Times Ext Roman"/>
          <w:szCs w:val="22"/>
        </w:rPr>
        <w:t>引經（大正</w:t>
      </w:r>
      <w:r w:rsidRPr="00761EF3">
        <w:rPr>
          <w:szCs w:val="22"/>
        </w:rPr>
        <w:t>26</w:t>
      </w:r>
      <w:r w:rsidRPr="00212D57">
        <w:rPr>
          <w:rFonts w:cs="Times Ext Roman"/>
          <w:szCs w:val="22"/>
        </w:rPr>
        <w:t>，</w:t>
      </w:r>
      <w:r w:rsidRPr="00761EF3">
        <w:rPr>
          <w:szCs w:val="22"/>
        </w:rPr>
        <w:t>505a16</w:t>
      </w:r>
      <w:r w:rsidRPr="00212D57">
        <w:rPr>
          <w:szCs w:val="22"/>
        </w:rPr>
        <w:t>-</w:t>
      </w:r>
      <w:r w:rsidRPr="00761EF3">
        <w:rPr>
          <w:szCs w:val="22"/>
        </w:rPr>
        <w:t>22</w:t>
      </w:r>
      <w:r w:rsidRPr="00212D57">
        <w:rPr>
          <w:rFonts w:cs="Times Ext Roman"/>
          <w:szCs w:val="22"/>
        </w:rPr>
        <w:t>）：</w:t>
      </w:r>
    </w:p>
    <w:p w:rsidR="008144B4" w:rsidRPr="00212D57" w:rsidRDefault="008144B4" w:rsidP="008144B4">
      <w:pPr>
        <w:pStyle w:val="a5"/>
        <w:ind w:leftChars="335" w:left="804"/>
        <w:jc w:val="both"/>
        <w:rPr>
          <w:rFonts w:cs="Times Ext Roman"/>
          <w:szCs w:val="22"/>
        </w:rPr>
      </w:pPr>
      <w:r w:rsidRPr="00212D57">
        <w:rPr>
          <w:rFonts w:eastAsia="標楷體" w:cs="Times Ext Roman"/>
          <w:szCs w:val="22"/>
        </w:rPr>
        <w:t>苾芻</w:t>
      </w:r>
      <w:r>
        <w:rPr>
          <w:rFonts w:ascii="標楷體" w:eastAsia="標楷體" w:hAnsi="標楷體" w:hint="eastAsia"/>
          <w:color w:val="FF0000"/>
          <w:kern w:val="0"/>
          <w:highlight w:val="yellow"/>
        </w:rPr>
        <w:t>！</w:t>
      </w:r>
      <w:r w:rsidRPr="00212D57">
        <w:rPr>
          <w:rFonts w:eastAsia="標楷體" w:cs="Times Ext Roman"/>
          <w:szCs w:val="22"/>
        </w:rPr>
        <w:t>當知</w:t>
      </w:r>
      <w:r>
        <w:rPr>
          <w:rFonts w:ascii="標楷體" w:eastAsia="標楷體" w:hAnsi="標楷體" w:hint="eastAsia"/>
          <w:color w:val="FF0000"/>
          <w:spacing w:val="-4"/>
          <w:kern w:val="0"/>
          <w:highlight w:val="yellow"/>
        </w:rPr>
        <w:t>：</w:t>
      </w:r>
      <w:r w:rsidRPr="00212D57">
        <w:rPr>
          <w:rFonts w:eastAsia="標楷體" w:cs="Times Ext Roman"/>
          <w:szCs w:val="22"/>
        </w:rPr>
        <w:t>生緣老死，若佛出世</w:t>
      </w:r>
      <w:r>
        <w:rPr>
          <w:rFonts w:ascii="標楷體" w:eastAsia="標楷體" w:hAnsi="標楷體" w:hint="eastAsia"/>
          <w:color w:val="FF0000"/>
          <w:spacing w:val="-4"/>
          <w:kern w:val="0"/>
          <w:highlight w:val="yellow"/>
        </w:rPr>
        <w:t>、</w:t>
      </w:r>
      <w:r w:rsidRPr="00212D57">
        <w:rPr>
          <w:rFonts w:eastAsia="標楷體" w:cs="Times Ext Roman"/>
          <w:szCs w:val="22"/>
        </w:rPr>
        <w:t>若不出世，</w:t>
      </w:r>
      <w:r w:rsidRPr="00212D57">
        <w:rPr>
          <w:rFonts w:eastAsia="標楷體" w:cs="Times Ext Roman"/>
          <w:b/>
          <w:szCs w:val="22"/>
        </w:rPr>
        <w:t>如是緣起，法住、法界，一切如來自然通達，等覺、宣說、施設、建立、分別、開示，令其顯了</w:t>
      </w:r>
      <w:r w:rsidRPr="00212D57">
        <w:rPr>
          <w:rFonts w:eastAsia="標楷體" w:cs="Times Ext Roman"/>
          <w:szCs w:val="22"/>
        </w:rPr>
        <w:t>；謂生緣老死，如是乃至無明緣行，應知亦爾。此中所有</w:t>
      </w:r>
      <w:r>
        <w:rPr>
          <w:rFonts w:ascii="標楷體" w:eastAsia="標楷體" w:hAnsi="標楷體" w:hint="eastAsia"/>
          <w:color w:val="FF0000"/>
          <w:kern w:val="0"/>
          <w:highlight w:val="yellow"/>
        </w:rPr>
        <w:t>，</w:t>
      </w:r>
      <w:r w:rsidRPr="00212D57">
        <w:rPr>
          <w:rFonts w:eastAsia="標楷體" w:cs="Times Ext Roman"/>
          <w:szCs w:val="22"/>
        </w:rPr>
        <w:t>法性、法定、法理、法趣，是真</w:t>
      </w:r>
      <w:r>
        <w:rPr>
          <w:rFonts w:ascii="標楷體" w:eastAsia="標楷體" w:hAnsi="標楷體" w:hint="eastAsia"/>
          <w:color w:val="FF0000"/>
          <w:spacing w:val="-4"/>
          <w:kern w:val="0"/>
          <w:highlight w:val="yellow"/>
        </w:rPr>
        <w:t>、</w:t>
      </w:r>
      <w:r w:rsidRPr="00212D57">
        <w:rPr>
          <w:rFonts w:eastAsia="標楷體" w:cs="Times Ext Roman"/>
          <w:szCs w:val="22"/>
        </w:rPr>
        <w:t>是實</w:t>
      </w:r>
      <w:r>
        <w:rPr>
          <w:rFonts w:ascii="標楷體" w:eastAsia="標楷體" w:hAnsi="標楷體" w:hint="eastAsia"/>
          <w:color w:val="FF0000"/>
          <w:spacing w:val="-4"/>
          <w:kern w:val="0"/>
          <w:highlight w:val="yellow"/>
        </w:rPr>
        <w:t>、</w:t>
      </w:r>
      <w:r w:rsidRPr="00212D57">
        <w:rPr>
          <w:rFonts w:eastAsia="標楷體" w:cs="Times Ext Roman"/>
          <w:szCs w:val="22"/>
        </w:rPr>
        <w:t>是諦</w:t>
      </w:r>
      <w:r>
        <w:rPr>
          <w:rFonts w:ascii="標楷體" w:eastAsia="標楷體" w:hAnsi="標楷體" w:hint="eastAsia"/>
          <w:color w:val="FF0000"/>
          <w:spacing w:val="-4"/>
          <w:kern w:val="0"/>
          <w:highlight w:val="yellow"/>
        </w:rPr>
        <w:t>、</w:t>
      </w:r>
      <w:r w:rsidRPr="00212D57">
        <w:rPr>
          <w:rFonts w:eastAsia="標楷體" w:cs="Times Ext Roman"/>
          <w:szCs w:val="22"/>
        </w:rPr>
        <w:t>是如，非妄</w:t>
      </w:r>
      <w:r>
        <w:rPr>
          <w:rFonts w:ascii="標楷體" w:eastAsia="標楷體" w:hAnsi="標楷體" w:hint="eastAsia"/>
          <w:color w:val="FF0000"/>
          <w:spacing w:val="-4"/>
          <w:kern w:val="0"/>
          <w:highlight w:val="yellow"/>
        </w:rPr>
        <w:t>、</w:t>
      </w:r>
      <w:r w:rsidRPr="00212D57">
        <w:rPr>
          <w:rFonts w:eastAsia="標楷體" w:cs="Times Ext Roman"/>
          <w:szCs w:val="22"/>
        </w:rPr>
        <w:t>非虛</w:t>
      </w:r>
      <w:r>
        <w:rPr>
          <w:rFonts w:ascii="標楷體" w:eastAsia="標楷體" w:hAnsi="標楷體" w:hint="eastAsia"/>
          <w:color w:val="FF0000"/>
          <w:spacing w:val="-4"/>
          <w:kern w:val="0"/>
          <w:highlight w:val="yellow"/>
        </w:rPr>
        <w:t>、</w:t>
      </w:r>
      <w:r w:rsidRPr="00212D57">
        <w:rPr>
          <w:rFonts w:eastAsia="標楷體" w:cs="Times Ext Roman"/>
          <w:szCs w:val="22"/>
        </w:rPr>
        <w:t>非倒</w:t>
      </w:r>
      <w:r>
        <w:rPr>
          <w:rFonts w:ascii="標楷體" w:eastAsia="標楷體" w:hAnsi="標楷體" w:hint="eastAsia"/>
          <w:color w:val="FF0000"/>
          <w:spacing w:val="-4"/>
          <w:kern w:val="0"/>
          <w:highlight w:val="yellow"/>
        </w:rPr>
        <w:t>、</w:t>
      </w:r>
      <w:r w:rsidRPr="00212D57">
        <w:rPr>
          <w:rFonts w:eastAsia="標楷體" w:cs="Times Ext Roman"/>
          <w:szCs w:val="22"/>
        </w:rPr>
        <w:t>非異，是名</w:t>
      </w:r>
      <w:r>
        <w:rPr>
          <w:rFonts w:ascii="標楷體" w:eastAsia="標楷體" w:hAnsi="標楷體" w:hint="eastAsia"/>
          <w:bCs/>
          <w:color w:val="FF0000"/>
          <w:kern w:val="0"/>
          <w:highlight w:val="yellow"/>
        </w:rPr>
        <w:t>「</w:t>
      </w:r>
      <w:r w:rsidRPr="00212D57">
        <w:rPr>
          <w:rFonts w:eastAsia="標楷體" w:cs="Times Ext Roman"/>
          <w:szCs w:val="22"/>
        </w:rPr>
        <w:t>緣起</w:t>
      </w:r>
      <w:r>
        <w:rPr>
          <w:rFonts w:ascii="標楷體" w:eastAsia="標楷體" w:hAnsi="標楷體" w:hint="eastAsia"/>
          <w:bCs/>
          <w:color w:val="FF0000"/>
          <w:kern w:val="0"/>
          <w:highlight w:val="yellow"/>
        </w:rPr>
        <w:t>」</w:t>
      </w:r>
      <w:r w:rsidRPr="00212D57">
        <w:rPr>
          <w:rFonts w:eastAsia="標楷體" w:cs="Times Ext Roman"/>
          <w:szCs w:val="22"/>
        </w:rPr>
        <w:t>。</w:t>
      </w:r>
    </w:p>
    <w:p w:rsidR="008144B4" w:rsidRPr="00212D57" w:rsidRDefault="008144B4" w:rsidP="008144B4">
      <w:pPr>
        <w:pStyle w:val="a5"/>
        <w:ind w:leftChars="105" w:left="791" w:hangingChars="245" w:hanging="539"/>
        <w:jc w:val="both"/>
        <w:rPr>
          <w:rFonts w:cs="Times Ext Roman"/>
          <w:szCs w:val="22"/>
        </w:rPr>
      </w:pPr>
      <w:r w:rsidRPr="00212D57">
        <w:rPr>
          <w:rFonts w:cs="Times Ext Roman" w:hint="eastAsia"/>
          <w:szCs w:val="22"/>
        </w:rPr>
        <w:t>（</w:t>
      </w:r>
      <w:r w:rsidRPr="00761EF3">
        <w:rPr>
          <w:rFonts w:hint="eastAsia"/>
          <w:szCs w:val="22"/>
        </w:rPr>
        <w:t>2</w:t>
      </w:r>
      <w:r w:rsidRPr="00212D57">
        <w:rPr>
          <w:rFonts w:cs="Times Ext Roman" w:hint="eastAsia"/>
          <w:szCs w:val="22"/>
        </w:rPr>
        <w:t>）</w:t>
      </w:r>
      <w:r w:rsidRPr="00212D57">
        <w:rPr>
          <w:rFonts w:cs="Times Ext Roman"/>
          <w:szCs w:val="22"/>
        </w:rPr>
        <w:t>參見《雜阿含經》卷</w:t>
      </w:r>
      <w:r w:rsidRPr="00761EF3">
        <w:rPr>
          <w:szCs w:val="22"/>
        </w:rPr>
        <w:t>12</w:t>
      </w:r>
      <w:r w:rsidRPr="00212D57">
        <w:rPr>
          <w:rFonts w:cs="Times Ext Roman" w:hint="eastAsia"/>
          <w:szCs w:val="22"/>
        </w:rPr>
        <w:t>（</w:t>
      </w:r>
      <w:r w:rsidRPr="00761EF3">
        <w:rPr>
          <w:szCs w:val="22"/>
        </w:rPr>
        <w:t>296</w:t>
      </w:r>
      <w:r w:rsidRPr="00212D57">
        <w:rPr>
          <w:rFonts w:cs="Times Ext Roman"/>
          <w:szCs w:val="22"/>
        </w:rPr>
        <w:t>經</w:t>
      </w:r>
      <w:r w:rsidRPr="00212D57">
        <w:rPr>
          <w:rFonts w:cs="Times Ext Roman" w:hint="eastAsia"/>
          <w:szCs w:val="22"/>
        </w:rPr>
        <w:t>）</w:t>
      </w:r>
      <w:r w:rsidRPr="00212D57">
        <w:rPr>
          <w:rFonts w:cs="Times Ext Roman"/>
          <w:szCs w:val="22"/>
        </w:rPr>
        <w:t>（大正</w:t>
      </w:r>
      <w:r w:rsidRPr="00761EF3">
        <w:rPr>
          <w:szCs w:val="22"/>
        </w:rPr>
        <w:t>2</w:t>
      </w:r>
      <w:r w:rsidRPr="00212D57">
        <w:rPr>
          <w:rFonts w:cs="Times Ext Roman"/>
          <w:szCs w:val="22"/>
        </w:rPr>
        <w:t>，</w:t>
      </w:r>
      <w:r w:rsidRPr="00761EF3">
        <w:rPr>
          <w:szCs w:val="22"/>
        </w:rPr>
        <w:t>84b12</w:t>
      </w:r>
      <w:r w:rsidRPr="00212D57">
        <w:rPr>
          <w:szCs w:val="22"/>
        </w:rPr>
        <w:t>-</w:t>
      </w:r>
      <w:r w:rsidRPr="00761EF3">
        <w:rPr>
          <w:szCs w:val="22"/>
        </w:rPr>
        <w:t>26</w:t>
      </w:r>
      <w:r w:rsidRPr="00212D57">
        <w:rPr>
          <w:rFonts w:cs="Times Ext Roman"/>
          <w:szCs w:val="22"/>
        </w:rPr>
        <w:t>）</w:t>
      </w:r>
      <w:r>
        <w:rPr>
          <w:rFonts w:cs="Times Ext Roman" w:hint="eastAsia"/>
          <w:szCs w:val="22"/>
        </w:rPr>
        <w:t>；</w:t>
      </w:r>
      <w:r w:rsidRPr="00212D57">
        <w:rPr>
          <w:rFonts w:cs="Times Ext Roman"/>
          <w:szCs w:val="22"/>
        </w:rPr>
        <w:t>《空之探究》</w:t>
      </w:r>
      <w:r>
        <w:rPr>
          <w:rFonts w:cs="Times Ext Roman" w:hint="eastAsia"/>
          <w:szCs w:val="22"/>
        </w:rPr>
        <w:t>，</w:t>
      </w:r>
      <w:r w:rsidRPr="00761EF3">
        <w:rPr>
          <w:szCs w:val="22"/>
        </w:rPr>
        <w:t>p</w:t>
      </w:r>
      <w:r w:rsidRPr="00212D57">
        <w:rPr>
          <w:szCs w:val="22"/>
        </w:rPr>
        <w:t>.</w:t>
      </w:r>
      <w:r w:rsidRPr="00761EF3">
        <w:rPr>
          <w:szCs w:val="22"/>
        </w:rPr>
        <w:t>236</w:t>
      </w:r>
      <w:r w:rsidRPr="00212D57">
        <w:rPr>
          <w:rFonts w:cs="Times Ext Roman"/>
          <w:szCs w:val="22"/>
        </w:rPr>
        <w:t>。</w:t>
      </w:r>
    </w:p>
  </w:footnote>
  <w:footnote w:id="25">
    <w:p w:rsidR="00157EF6" w:rsidRPr="00212D57" w:rsidRDefault="00157EF6" w:rsidP="002C66FC">
      <w:pPr>
        <w:pStyle w:val="a5"/>
        <w:spacing w:line="0" w:lineRule="atLeast"/>
        <w:ind w:left="253" w:hangingChars="115" w:hanging="253"/>
        <w:jc w:val="both"/>
        <w:rPr>
          <w:rFonts w:cs="Times Ext Roman"/>
          <w:szCs w:val="22"/>
        </w:rPr>
      </w:pPr>
      <w:r w:rsidRPr="00212D57">
        <w:rPr>
          <w:rStyle w:val="a6"/>
          <w:szCs w:val="22"/>
        </w:rPr>
        <w:footnoteRef/>
      </w:r>
      <w:r w:rsidRPr="00212D57">
        <w:rPr>
          <w:rFonts w:cs="Times Ext Roman" w:hint="eastAsia"/>
          <w:szCs w:val="22"/>
        </w:rPr>
        <w:t xml:space="preserve"> </w:t>
      </w:r>
      <w:r w:rsidRPr="00212D57">
        <w:rPr>
          <w:rFonts w:cs="Times Ext Roman" w:hint="eastAsia"/>
          <w:szCs w:val="22"/>
        </w:rPr>
        <w:t>《大方廣佛華嚴經》卷</w:t>
      </w:r>
      <w:r w:rsidRPr="00761EF3">
        <w:rPr>
          <w:rFonts w:hint="eastAsia"/>
          <w:szCs w:val="22"/>
        </w:rPr>
        <w:t>26</w:t>
      </w:r>
      <w:r w:rsidRPr="00212D57">
        <w:rPr>
          <w:rFonts w:cs="Times Ext Roman" w:hint="eastAsia"/>
          <w:szCs w:val="22"/>
        </w:rPr>
        <w:t>〈</w:t>
      </w:r>
      <w:r w:rsidRPr="00761EF3">
        <w:rPr>
          <w:rFonts w:hint="eastAsia"/>
          <w:szCs w:val="22"/>
        </w:rPr>
        <w:t>22</w:t>
      </w:r>
      <w:r w:rsidRPr="00212D57">
        <w:rPr>
          <w:rFonts w:hint="eastAsia"/>
          <w:szCs w:val="22"/>
        </w:rPr>
        <w:t xml:space="preserve"> </w:t>
      </w:r>
      <w:r w:rsidRPr="00212D57">
        <w:rPr>
          <w:rFonts w:cs="Times Ext Roman" w:hint="eastAsia"/>
          <w:szCs w:val="22"/>
        </w:rPr>
        <w:t>十地品〉</w:t>
      </w:r>
      <w:r w:rsidRPr="00212D57">
        <w:rPr>
          <w:rFonts w:cs="Times Ext Roman"/>
          <w:szCs w:val="22"/>
        </w:rPr>
        <w:t>（大正</w:t>
      </w:r>
      <w:r w:rsidRPr="00761EF3">
        <w:rPr>
          <w:szCs w:val="22"/>
        </w:rPr>
        <w:t>9</w:t>
      </w:r>
      <w:r w:rsidRPr="00212D57">
        <w:rPr>
          <w:rFonts w:cs="Times Ext Roman"/>
          <w:szCs w:val="22"/>
        </w:rPr>
        <w:t>，</w:t>
      </w:r>
      <w:r w:rsidRPr="00761EF3">
        <w:rPr>
          <w:szCs w:val="22"/>
        </w:rPr>
        <w:t>564b15</w:t>
      </w:r>
      <w:r w:rsidRPr="00212D57">
        <w:rPr>
          <w:szCs w:val="22"/>
        </w:rPr>
        <w:t>-</w:t>
      </w:r>
      <w:r w:rsidRPr="00761EF3">
        <w:rPr>
          <w:szCs w:val="22"/>
        </w:rPr>
        <w:t>c14</w:t>
      </w:r>
      <w:r w:rsidRPr="00212D57">
        <w:rPr>
          <w:rFonts w:cs="Times Ext Roman"/>
          <w:szCs w:val="22"/>
        </w:rPr>
        <w:t>）：</w:t>
      </w:r>
    </w:p>
    <w:p w:rsidR="00157EF6" w:rsidRPr="00212D57" w:rsidRDefault="00B244C7" w:rsidP="002C66FC">
      <w:pPr>
        <w:pStyle w:val="a5"/>
        <w:ind w:leftChars="105" w:left="252"/>
        <w:jc w:val="both"/>
        <w:rPr>
          <w:rFonts w:cs="Times Ext Roman"/>
          <w:szCs w:val="22"/>
        </w:rPr>
      </w:pPr>
      <w:r w:rsidRPr="00B16A72">
        <w:rPr>
          <w:rFonts w:ascii="標楷體" w:eastAsia="標楷體" w:hAnsi="標楷體" w:cs="Times Ext Roman"/>
          <w:szCs w:val="22"/>
          <w:shd w:val="pct15" w:color="auto" w:fill="FFFFFF"/>
        </w:rPr>
        <w:t>……</w:t>
      </w:r>
      <w:r w:rsidRPr="00B244C7">
        <w:rPr>
          <w:rFonts w:ascii="標楷體" w:eastAsia="標楷體" w:hAnsi="標楷體" w:cs="Times Ext Roman" w:hint="eastAsia"/>
          <w:color w:val="FF0000"/>
          <w:szCs w:val="22"/>
          <w:highlight w:val="yellow"/>
        </w:rPr>
        <w:t>，是名</w:t>
      </w:r>
      <w:r>
        <w:rPr>
          <w:rFonts w:ascii="標楷體" w:eastAsia="標楷體" w:hAnsi="標楷體" w:hint="eastAsia"/>
          <w:bCs/>
          <w:color w:val="FF0000"/>
          <w:kern w:val="0"/>
          <w:highlight w:val="yellow"/>
        </w:rPr>
        <w:t>「</w:t>
      </w:r>
      <w:r w:rsidR="00157EF6" w:rsidRPr="00212D57">
        <w:rPr>
          <w:rFonts w:eastAsia="標楷體" w:cs="Times Ext Roman"/>
          <w:szCs w:val="22"/>
        </w:rPr>
        <w:t>菩薩得</w:t>
      </w:r>
      <w:r w:rsidR="00157EF6" w:rsidRPr="00212D57">
        <w:rPr>
          <w:rFonts w:eastAsia="標楷體" w:cs="Times Ext Roman"/>
          <w:b/>
          <w:szCs w:val="22"/>
        </w:rPr>
        <w:t>無生法忍</w:t>
      </w:r>
      <w:r>
        <w:rPr>
          <w:rFonts w:ascii="標楷體" w:eastAsia="標楷體" w:hAnsi="標楷體" w:hint="eastAsia"/>
          <w:bCs/>
          <w:color w:val="FF0000"/>
          <w:kern w:val="0"/>
          <w:highlight w:val="yellow"/>
        </w:rPr>
        <w:t>」</w:t>
      </w:r>
      <w:r w:rsidR="00AE2274">
        <w:rPr>
          <w:rFonts w:ascii="標楷體" w:eastAsia="標楷體" w:hAnsi="標楷體" w:hint="eastAsia"/>
          <w:color w:val="FF0000"/>
          <w:kern w:val="0"/>
          <w:highlight w:val="yellow"/>
        </w:rPr>
        <w:t>，</w:t>
      </w:r>
      <w:r w:rsidR="00157EF6" w:rsidRPr="00212D57">
        <w:rPr>
          <w:rFonts w:eastAsia="標楷體" w:cs="Times Ext Roman"/>
          <w:szCs w:val="22"/>
        </w:rPr>
        <w:t>入第八地</w:t>
      </w:r>
      <w:r>
        <w:rPr>
          <w:rFonts w:ascii="標楷體" w:eastAsia="標楷體" w:hAnsi="標楷體" w:hint="eastAsia"/>
          <w:color w:val="FF0000"/>
          <w:kern w:val="0"/>
          <w:highlight w:val="yellow"/>
        </w:rPr>
        <w:t>。</w:t>
      </w:r>
      <w:r w:rsidR="00157EF6" w:rsidRPr="00212D57">
        <w:rPr>
          <w:rFonts w:eastAsia="標楷體" w:cs="Times Ext Roman"/>
          <w:szCs w:val="22"/>
        </w:rPr>
        <w:t>入不動地，名為</w:t>
      </w:r>
      <w:r>
        <w:rPr>
          <w:rFonts w:ascii="標楷體" w:eastAsia="標楷體" w:hAnsi="標楷體" w:hint="eastAsia"/>
          <w:bCs/>
          <w:color w:val="FF0000"/>
          <w:kern w:val="0"/>
          <w:highlight w:val="yellow"/>
        </w:rPr>
        <w:t>「</w:t>
      </w:r>
      <w:r w:rsidR="00157EF6" w:rsidRPr="00212D57">
        <w:rPr>
          <w:rFonts w:eastAsia="標楷體" w:cs="Times Ext Roman"/>
          <w:szCs w:val="22"/>
        </w:rPr>
        <w:t>深行菩薩</w:t>
      </w:r>
      <w:r>
        <w:rPr>
          <w:rFonts w:ascii="標楷體" w:eastAsia="標楷體" w:hAnsi="標楷體" w:hint="eastAsia"/>
          <w:bCs/>
          <w:color w:val="FF0000"/>
          <w:kern w:val="0"/>
          <w:highlight w:val="yellow"/>
        </w:rPr>
        <w:t>」</w:t>
      </w:r>
      <w:r w:rsidR="00157EF6" w:rsidRPr="00212D57">
        <w:rPr>
          <w:rFonts w:eastAsia="標楷體" w:cs="Times Ext Roman"/>
          <w:szCs w:val="22"/>
        </w:rPr>
        <w:t>。</w:t>
      </w:r>
      <w:r w:rsidR="00157EF6" w:rsidRPr="00B16A72">
        <w:rPr>
          <w:rFonts w:ascii="標楷體" w:eastAsia="標楷體" w:hAnsi="標楷體" w:cs="Times Ext Roman"/>
          <w:szCs w:val="22"/>
          <w:shd w:val="pct15" w:color="auto" w:fill="FFFFFF"/>
        </w:rPr>
        <w:t>……</w:t>
      </w:r>
      <w:r w:rsidR="00157EF6" w:rsidRPr="00212D57">
        <w:rPr>
          <w:rFonts w:eastAsia="標楷體" w:cs="Times Ext Roman"/>
          <w:szCs w:val="22"/>
        </w:rPr>
        <w:t>菩薩住是地，諸勤方便身口意行，皆悉息滅，住大遠離</w:t>
      </w:r>
      <w:r w:rsidR="00AE2274">
        <w:rPr>
          <w:rFonts w:ascii="標楷體" w:eastAsia="標楷體" w:hAnsi="標楷體" w:hint="eastAsia"/>
          <w:color w:val="FF0000"/>
          <w:kern w:val="0"/>
          <w:highlight w:val="yellow"/>
        </w:rPr>
        <w:t>。</w:t>
      </w:r>
      <w:r w:rsidR="00157EF6" w:rsidRPr="00212D57">
        <w:rPr>
          <w:rFonts w:eastAsia="標楷體" w:cs="Times Ext Roman"/>
          <w:szCs w:val="22"/>
        </w:rPr>
        <w:t>如人夢中欲渡深水，發大精進，施大方便，未渡之間，忽然便覺，諸方便事，皆悉放捨</w:t>
      </w:r>
      <w:r w:rsidR="00AE2274">
        <w:rPr>
          <w:rFonts w:ascii="標楷體" w:eastAsia="標楷體" w:hAnsi="標楷體" w:hint="eastAsia"/>
          <w:color w:val="FF0000"/>
          <w:spacing w:val="-4"/>
          <w:kern w:val="0"/>
          <w:highlight w:val="yellow"/>
        </w:rPr>
        <w:t>；</w:t>
      </w:r>
      <w:r w:rsidR="00157EF6" w:rsidRPr="00212D57">
        <w:rPr>
          <w:rFonts w:eastAsia="標楷體" w:cs="Times Ext Roman"/>
          <w:szCs w:val="22"/>
        </w:rPr>
        <w:t>菩薩亦如是，從初已來，發大精進，廣修道行，至不動地，一切皆捨，不行二心，諸所憶</w:t>
      </w:r>
      <w:r w:rsidR="00157EF6" w:rsidRPr="00B244C7">
        <w:rPr>
          <w:rFonts w:eastAsia="標楷體" w:cs="Times Ext Roman"/>
          <w:szCs w:val="22"/>
          <w:highlight w:val="yellow"/>
        </w:rPr>
        <w:t>想不</w:t>
      </w:r>
      <w:r w:rsidR="00157EF6" w:rsidRPr="00212D57">
        <w:rPr>
          <w:rFonts w:eastAsia="標楷體" w:cs="Times Ext Roman"/>
          <w:szCs w:val="22"/>
        </w:rPr>
        <w:t>復現前。</w:t>
      </w:r>
      <w:r w:rsidR="00157EF6" w:rsidRPr="00B16A72">
        <w:rPr>
          <w:rFonts w:ascii="標楷體" w:eastAsia="標楷體" w:hAnsi="標楷體" w:cs="Times Ext Roman"/>
          <w:szCs w:val="22"/>
          <w:shd w:val="pct15" w:color="auto" w:fill="FFFFFF"/>
        </w:rPr>
        <w:t>……</w:t>
      </w:r>
      <w:r w:rsidR="00157EF6" w:rsidRPr="00212D57">
        <w:rPr>
          <w:rFonts w:eastAsia="標楷體" w:cs="Times Ext Roman"/>
          <w:szCs w:val="22"/>
        </w:rPr>
        <w:t>又諸佛為現其身，住在諸地法流水中，與如來智慧為作因緣，諸佛皆作是言：</w:t>
      </w:r>
      <w:r w:rsidR="00AE2274">
        <w:rPr>
          <w:rFonts w:ascii="標楷體" w:eastAsia="標楷體" w:hAnsi="標楷體" w:hint="eastAsia"/>
          <w:bCs/>
          <w:color w:val="FF0000"/>
          <w:kern w:val="0"/>
          <w:highlight w:val="yellow"/>
        </w:rPr>
        <w:t>「</w:t>
      </w:r>
      <w:r w:rsidR="00157EF6" w:rsidRPr="00212D57">
        <w:rPr>
          <w:rFonts w:eastAsia="標楷體" w:cs="Times Ext Roman"/>
          <w:szCs w:val="22"/>
        </w:rPr>
        <w:t>善哉</w:t>
      </w:r>
      <w:r w:rsidR="00157EF6" w:rsidRPr="00212D57">
        <w:rPr>
          <w:rFonts w:eastAsia="標楷體" w:cs="Times Ext Roman" w:hint="eastAsia"/>
          <w:szCs w:val="22"/>
        </w:rPr>
        <w:t>！</w:t>
      </w:r>
      <w:r w:rsidR="00157EF6" w:rsidRPr="00212D57">
        <w:rPr>
          <w:rFonts w:eastAsia="標楷體" w:cs="Times Ext Roman"/>
          <w:szCs w:val="22"/>
        </w:rPr>
        <w:t>善哉</w:t>
      </w:r>
      <w:r w:rsidR="00157EF6" w:rsidRPr="00212D57">
        <w:rPr>
          <w:rFonts w:eastAsia="標楷體" w:cs="Times Ext Roman" w:hint="eastAsia"/>
          <w:szCs w:val="22"/>
        </w:rPr>
        <w:t>！</w:t>
      </w:r>
      <w:r w:rsidR="00157EF6" w:rsidRPr="00212D57">
        <w:rPr>
          <w:rFonts w:eastAsia="標楷體" w:cs="Times Ext Roman"/>
          <w:szCs w:val="22"/>
        </w:rPr>
        <w:t>善男子！</w:t>
      </w:r>
      <w:r w:rsidR="00157EF6" w:rsidRPr="00212D57">
        <w:rPr>
          <w:rFonts w:eastAsia="標楷體" w:cs="Times Ext Roman"/>
          <w:b/>
          <w:szCs w:val="22"/>
        </w:rPr>
        <w:t>汝得是第一忍，順一切佛法。善男子！我有十力、四無所畏、十八不共法，汝今未得為得，是故勤加精進，亦莫捨此忍門。</w:t>
      </w:r>
      <w:r w:rsidR="00157EF6" w:rsidRPr="00212D57">
        <w:rPr>
          <w:rFonts w:eastAsia="標楷體" w:cs="Times Ext Roman"/>
          <w:szCs w:val="22"/>
        </w:rPr>
        <w:t>善男子！汝雖得此第一甚深寂滅解脫；一切凡夫離寂滅法，常為煩惱覺觀所害，汝當愍此一切眾生。又善男子！汝應念本所願</w:t>
      </w:r>
      <w:r>
        <w:rPr>
          <w:rFonts w:ascii="標楷體" w:eastAsia="標楷體" w:hAnsi="標楷體" w:hint="eastAsia"/>
          <w:color w:val="FF0000"/>
          <w:kern w:val="0"/>
          <w:highlight w:val="yellow"/>
        </w:rPr>
        <w:t>──</w:t>
      </w:r>
      <w:r w:rsidR="00157EF6" w:rsidRPr="00212D57">
        <w:rPr>
          <w:rFonts w:eastAsia="標楷體" w:cs="Times Ext Roman"/>
          <w:szCs w:val="22"/>
        </w:rPr>
        <w:t>欲利益眾生，欲得不可思議智慧門。又善男子！</w:t>
      </w:r>
      <w:r w:rsidR="00157EF6" w:rsidRPr="00212D57">
        <w:rPr>
          <w:rFonts w:eastAsia="標楷體" w:cs="Times Ext Roman"/>
          <w:b/>
          <w:szCs w:val="22"/>
        </w:rPr>
        <w:t>一切法性</w:t>
      </w:r>
      <w:r w:rsidR="00AE2274">
        <w:rPr>
          <w:rFonts w:eastAsia="標楷體" w:cs="Times Ext Roman" w:hint="eastAsia"/>
          <w:b/>
          <w:color w:val="FF0000"/>
          <w:szCs w:val="22"/>
          <w:highlight w:val="yellow"/>
        </w:rPr>
        <w:t>、</w:t>
      </w:r>
      <w:r w:rsidR="00157EF6" w:rsidRPr="00212D57">
        <w:rPr>
          <w:rFonts w:eastAsia="標楷體" w:cs="Times Ext Roman"/>
          <w:b/>
          <w:szCs w:val="22"/>
        </w:rPr>
        <w:t>一切法相，有佛</w:t>
      </w:r>
      <w:r w:rsidR="00AE2274" w:rsidRPr="00AE2274">
        <w:rPr>
          <w:rFonts w:eastAsia="標楷體" w:cs="Times Ext Roman" w:hint="eastAsia"/>
          <w:b/>
          <w:color w:val="FF0000"/>
          <w:szCs w:val="22"/>
          <w:highlight w:val="yellow"/>
        </w:rPr>
        <w:t>、</w:t>
      </w:r>
      <w:r w:rsidR="00157EF6" w:rsidRPr="00212D57">
        <w:rPr>
          <w:rFonts w:eastAsia="標楷體" w:cs="Times Ext Roman"/>
          <w:b/>
          <w:szCs w:val="22"/>
        </w:rPr>
        <w:t>無佛，常住不異，一切如來不以得此法故說名為佛，聲聞</w:t>
      </w:r>
      <w:r w:rsidR="00157EF6" w:rsidRPr="00212D57">
        <w:rPr>
          <w:rFonts w:eastAsia="標楷體" w:cs="Times Ext Roman" w:hint="eastAsia"/>
          <w:b/>
          <w:szCs w:val="22"/>
        </w:rPr>
        <w:t>、</w:t>
      </w:r>
      <w:r w:rsidR="00157EF6" w:rsidRPr="00212D57">
        <w:rPr>
          <w:rFonts w:eastAsia="標楷體" w:cs="Times Ext Roman"/>
          <w:b/>
          <w:szCs w:val="22"/>
        </w:rPr>
        <w:t>辟支佛亦得此寂滅無分別法</w:t>
      </w:r>
      <w:r w:rsidR="00157EF6" w:rsidRPr="00212D57">
        <w:rPr>
          <w:rFonts w:eastAsia="標楷體" w:cs="Times Ext Roman"/>
          <w:szCs w:val="22"/>
        </w:rPr>
        <w:t>。</w:t>
      </w:r>
      <w:r w:rsidRPr="00B244C7">
        <w:rPr>
          <w:rFonts w:ascii="標楷體" w:eastAsia="標楷體" w:hAnsi="標楷體" w:hint="eastAsia"/>
          <w:color w:val="FF0000"/>
          <w:szCs w:val="22"/>
          <w:shd w:val="pct15" w:color="auto" w:fill="FFFFFF"/>
        </w:rPr>
        <w:t>……</w:t>
      </w:r>
      <w:r w:rsidR="00AE2274">
        <w:rPr>
          <w:rFonts w:ascii="標楷體" w:eastAsia="標楷體" w:hAnsi="標楷體" w:hint="eastAsia"/>
          <w:bCs/>
          <w:color w:val="FF0000"/>
          <w:kern w:val="0"/>
          <w:highlight w:val="yellow"/>
        </w:rPr>
        <w:t>」</w:t>
      </w:r>
    </w:p>
  </w:footnote>
  <w:footnote w:id="26">
    <w:p w:rsidR="00157EF6" w:rsidRPr="00212D57" w:rsidRDefault="00157EF6" w:rsidP="002C66FC">
      <w:pPr>
        <w:pStyle w:val="a5"/>
        <w:spacing w:line="0" w:lineRule="atLeast"/>
        <w:ind w:left="792" w:hangingChars="360" w:hanging="792"/>
        <w:jc w:val="both"/>
        <w:rPr>
          <w:szCs w:val="22"/>
        </w:rPr>
      </w:pPr>
      <w:r w:rsidRPr="00212D57">
        <w:rPr>
          <w:rStyle w:val="a6"/>
          <w:szCs w:val="22"/>
        </w:rPr>
        <w:footnoteRef/>
      </w:r>
      <w:r w:rsidRPr="00212D57">
        <w:rPr>
          <w:rFonts w:cs="Times Ext Roman" w:hint="eastAsia"/>
          <w:szCs w:val="22"/>
        </w:rPr>
        <w:t xml:space="preserve"> </w:t>
      </w:r>
      <w:r w:rsidRPr="00212D57">
        <w:rPr>
          <w:rFonts w:cs="Times Ext Roman" w:hint="eastAsia"/>
          <w:szCs w:val="22"/>
        </w:rPr>
        <w:t>（</w:t>
      </w:r>
      <w:r w:rsidRPr="00761EF3">
        <w:rPr>
          <w:szCs w:val="22"/>
        </w:rPr>
        <w:t>1</w:t>
      </w:r>
      <w:r w:rsidRPr="00212D57">
        <w:rPr>
          <w:rFonts w:cs="Times Ext Roman" w:hint="eastAsia"/>
          <w:szCs w:val="22"/>
        </w:rPr>
        <w:t>）</w:t>
      </w:r>
      <w:r w:rsidRPr="00212D57">
        <w:rPr>
          <w:rFonts w:cs="Times Ext Roman"/>
          <w:szCs w:val="22"/>
        </w:rPr>
        <w:t>《摩訶般若波羅蜜經》卷</w:t>
      </w:r>
      <w:r w:rsidRPr="00761EF3">
        <w:rPr>
          <w:szCs w:val="22"/>
        </w:rPr>
        <w:t>15</w:t>
      </w:r>
      <w:r w:rsidRPr="00212D57">
        <w:rPr>
          <w:rFonts w:cs="Times Ext Roman" w:hint="eastAsia"/>
          <w:szCs w:val="22"/>
        </w:rPr>
        <w:t>〈</w:t>
      </w:r>
      <w:r w:rsidRPr="00761EF3">
        <w:rPr>
          <w:rFonts w:hint="eastAsia"/>
          <w:szCs w:val="22"/>
        </w:rPr>
        <w:t>50</w:t>
      </w:r>
      <w:r w:rsidRPr="00212D57">
        <w:rPr>
          <w:szCs w:val="22"/>
        </w:rPr>
        <w:t xml:space="preserve"> </w:t>
      </w:r>
      <w:r w:rsidRPr="00212D57">
        <w:rPr>
          <w:rFonts w:cs="Times Ext Roman" w:hint="eastAsia"/>
          <w:szCs w:val="22"/>
        </w:rPr>
        <w:t>成辦品〉</w:t>
      </w:r>
      <w:r w:rsidRPr="00212D57">
        <w:rPr>
          <w:rFonts w:cs="Times Ext Roman"/>
          <w:szCs w:val="22"/>
        </w:rPr>
        <w:t>（大正</w:t>
      </w:r>
      <w:r w:rsidRPr="00761EF3">
        <w:rPr>
          <w:szCs w:val="22"/>
        </w:rPr>
        <w:t>8</w:t>
      </w:r>
      <w:r w:rsidRPr="00212D57">
        <w:rPr>
          <w:rFonts w:cs="Times Ext Roman"/>
          <w:szCs w:val="22"/>
        </w:rPr>
        <w:t>，</w:t>
      </w:r>
      <w:r w:rsidRPr="00761EF3">
        <w:rPr>
          <w:szCs w:val="22"/>
        </w:rPr>
        <w:t>328b22</w:t>
      </w:r>
      <w:r w:rsidRPr="00212D57">
        <w:rPr>
          <w:szCs w:val="22"/>
        </w:rPr>
        <w:t>-</w:t>
      </w:r>
      <w:r w:rsidRPr="00761EF3">
        <w:rPr>
          <w:szCs w:val="22"/>
        </w:rPr>
        <w:t>24</w:t>
      </w:r>
      <w:r w:rsidRPr="00212D57">
        <w:rPr>
          <w:rFonts w:cs="Times Ext Roman"/>
          <w:szCs w:val="22"/>
        </w:rPr>
        <w:t>）：</w:t>
      </w:r>
    </w:p>
    <w:p w:rsidR="00157EF6" w:rsidRPr="00212D57" w:rsidRDefault="00157EF6" w:rsidP="009B468F">
      <w:pPr>
        <w:pStyle w:val="ad"/>
        <w:snapToGrid w:val="0"/>
        <w:spacing w:after="0"/>
        <w:ind w:leftChars="335" w:left="804"/>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是</w:t>
      </w:r>
      <w:r w:rsidR="00AE2274">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信行、法行人、八人、須陀洹、斯陀含、阿那含、阿羅漢、辟支佛</w:t>
      </w:r>
      <w:r w:rsidR="00AE2274">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若智</w:t>
      </w:r>
      <w:r w:rsidR="00AE2274">
        <w:rPr>
          <w:rFonts w:ascii="標楷體" w:eastAsia="標楷體" w:hAnsi="標楷體" w:hint="eastAsia"/>
          <w:color w:val="FF0000"/>
          <w:spacing w:val="-4"/>
          <w:kern w:val="0"/>
          <w:sz w:val="22"/>
          <w:highlight w:val="yellow"/>
        </w:rPr>
        <w:t>、</w:t>
      </w:r>
      <w:r w:rsidRPr="00212D57">
        <w:rPr>
          <w:rFonts w:ascii="Times New Roman" w:eastAsia="標楷體" w:hAnsi="Times New Roman" w:cs="Times Ext Roman"/>
          <w:sz w:val="22"/>
          <w:szCs w:val="22"/>
        </w:rPr>
        <w:t>若斷，即是菩薩摩訶薩無生法忍。</w:t>
      </w:r>
    </w:p>
    <w:p w:rsidR="00157EF6" w:rsidRPr="00212D57" w:rsidRDefault="00157EF6" w:rsidP="002C66FC">
      <w:pPr>
        <w:pStyle w:val="a5"/>
        <w:ind w:leftChars="105" w:left="791" w:hangingChars="245" w:hanging="539"/>
        <w:jc w:val="both"/>
        <w:rPr>
          <w:rFonts w:cs="Times Ext Roman"/>
          <w:szCs w:val="22"/>
        </w:rPr>
      </w:pPr>
      <w:r w:rsidRPr="00212D57">
        <w:rPr>
          <w:rFonts w:cs="Times Ext Roman" w:hint="eastAsia"/>
          <w:szCs w:val="22"/>
        </w:rPr>
        <w:t>（</w:t>
      </w:r>
      <w:r w:rsidRPr="00761EF3">
        <w:rPr>
          <w:szCs w:val="22"/>
        </w:rPr>
        <w:t>2</w:t>
      </w:r>
      <w:r w:rsidRPr="00212D57">
        <w:rPr>
          <w:rFonts w:cs="Times Ext Roman" w:hint="eastAsia"/>
          <w:szCs w:val="22"/>
        </w:rPr>
        <w:t>）</w:t>
      </w:r>
      <w:r w:rsidRPr="00212D57">
        <w:rPr>
          <w:rFonts w:cs="Times Ext Roman"/>
          <w:szCs w:val="22"/>
        </w:rPr>
        <w:t>《大智度論》卷</w:t>
      </w:r>
      <w:r w:rsidRPr="00761EF3">
        <w:rPr>
          <w:szCs w:val="22"/>
        </w:rPr>
        <w:t>71</w:t>
      </w:r>
      <w:r w:rsidR="00AC0462" w:rsidRPr="00AC0462">
        <w:rPr>
          <w:rFonts w:hint="eastAsia"/>
          <w:color w:val="FF0000"/>
          <w:szCs w:val="22"/>
          <w:highlight w:val="yellow"/>
        </w:rPr>
        <w:t>釋</w:t>
      </w:r>
      <w:r w:rsidRPr="00212D57">
        <w:rPr>
          <w:rFonts w:cs="Times Ext Roman" w:hint="eastAsia"/>
          <w:szCs w:val="22"/>
        </w:rPr>
        <w:t>〈</w:t>
      </w:r>
      <w:r w:rsidRPr="00761EF3">
        <w:rPr>
          <w:rFonts w:hint="eastAsia"/>
          <w:szCs w:val="22"/>
        </w:rPr>
        <w:t>50</w:t>
      </w:r>
      <w:r w:rsidRPr="00212D57">
        <w:rPr>
          <w:rFonts w:hint="eastAsia"/>
          <w:szCs w:val="22"/>
        </w:rPr>
        <w:t xml:space="preserve"> </w:t>
      </w:r>
      <w:r w:rsidRPr="00212D57">
        <w:rPr>
          <w:rFonts w:cs="Times Ext Roman" w:hint="eastAsia"/>
          <w:szCs w:val="22"/>
        </w:rPr>
        <w:t>大事起品〉</w:t>
      </w:r>
      <w:r w:rsidRPr="00212D57">
        <w:rPr>
          <w:rFonts w:cs="Times Ext Roman"/>
          <w:szCs w:val="22"/>
        </w:rPr>
        <w:t>（大正</w:t>
      </w:r>
      <w:r w:rsidRPr="00761EF3">
        <w:rPr>
          <w:szCs w:val="22"/>
        </w:rPr>
        <w:t>25</w:t>
      </w:r>
      <w:r w:rsidRPr="00212D57">
        <w:rPr>
          <w:rFonts w:cs="Times Ext Roman"/>
          <w:szCs w:val="22"/>
        </w:rPr>
        <w:t>，</w:t>
      </w:r>
      <w:r w:rsidRPr="00761EF3">
        <w:rPr>
          <w:szCs w:val="22"/>
        </w:rPr>
        <w:t>555a19</w:t>
      </w:r>
      <w:r w:rsidRPr="00212D57">
        <w:rPr>
          <w:szCs w:val="22"/>
        </w:rPr>
        <w:t>-</w:t>
      </w:r>
      <w:r w:rsidRPr="00761EF3">
        <w:rPr>
          <w:szCs w:val="22"/>
        </w:rPr>
        <w:t>24</w:t>
      </w:r>
      <w:r w:rsidRPr="00212D57">
        <w:rPr>
          <w:rFonts w:cs="Times Ext Roman"/>
          <w:szCs w:val="22"/>
        </w:rPr>
        <w:t>）：</w:t>
      </w:r>
    </w:p>
    <w:p w:rsidR="00157EF6" w:rsidRPr="00212D57" w:rsidRDefault="00157EF6" w:rsidP="009B468F">
      <w:pPr>
        <w:pStyle w:val="ad"/>
        <w:snapToGrid w:val="0"/>
        <w:spacing w:after="0"/>
        <w:ind w:leftChars="335" w:left="804"/>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菩薩法忍是大乘初門。聲聞、辟支佛雖終成，尚不及菩薩初入道門，何況成佛</w:t>
      </w:r>
      <w:r w:rsidR="00AE2274">
        <w:rPr>
          <w:rFonts w:ascii="標楷體" w:eastAsia="標楷體" w:hAnsi="標楷體" w:hint="eastAsia"/>
          <w:color w:val="FF0000"/>
          <w:kern w:val="0"/>
          <w:sz w:val="22"/>
          <w:highlight w:val="yellow"/>
        </w:rPr>
        <w:t>！</w:t>
      </w:r>
    </w:p>
    <w:p w:rsidR="00157EF6" w:rsidRPr="00212D57" w:rsidRDefault="00157EF6" w:rsidP="00E03184">
      <w:pPr>
        <w:pStyle w:val="ad"/>
        <w:snapToGrid w:val="0"/>
        <w:spacing w:after="0"/>
        <w:ind w:leftChars="335" w:left="1464" w:hangingChars="300" w:hanging="660"/>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問曰：聲聞、辟支佛法是小乘</w:t>
      </w:r>
      <w:r w:rsidR="003846DC">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菩薩是大乘</w:t>
      </w:r>
      <w:r w:rsidR="003846DC">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云何言</w:t>
      </w:r>
      <w:r w:rsidR="003846DC">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二乘智斷即是菩薩無生忍</w:t>
      </w:r>
      <w:r w:rsidR="003846DC">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w:t>
      </w:r>
    </w:p>
    <w:p w:rsidR="00157EF6" w:rsidRPr="00212D57" w:rsidRDefault="00157EF6" w:rsidP="00E03184">
      <w:pPr>
        <w:pStyle w:val="a5"/>
        <w:ind w:leftChars="335" w:left="1464" w:hangingChars="300" w:hanging="660"/>
        <w:jc w:val="both"/>
        <w:rPr>
          <w:rFonts w:cs="Times Ext Roman"/>
          <w:szCs w:val="22"/>
        </w:rPr>
      </w:pPr>
      <w:r w:rsidRPr="00212D57">
        <w:rPr>
          <w:rFonts w:eastAsia="標楷體" w:cs="Times Ext Roman"/>
          <w:szCs w:val="22"/>
        </w:rPr>
        <w:t>答曰：所緣同，如、法性、實際亦同；利鈍智慧為異；又有無量功</w:t>
      </w:r>
      <w:r w:rsidRPr="003846DC">
        <w:rPr>
          <w:rFonts w:eastAsia="標楷體" w:cs="Times Ext Roman"/>
          <w:szCs w:val="22"/>
          <w:highlight w:val="yellow"/>
        </w:rPr>
        <w:t>德及</w:t>
      </w:r>
      <w:r w:rsidRPr="00212D57">
        <w:rPr>
          <w:rFonts w:eastAsia="標楷體" w:cs="Times Ext Roman"/>
          <w:szCs w:val="22"/>
        </w:rPr>
        <w:t>大悲心守護故勝。</w:t>
      </w:r>
    </w:p>
  </w:footnote>
  <w:footnote w:id="27">
    <w:p w:rsidR="00157EF6" w:rsidRPr="00212D57" w:rsidRDefault="00157EF6" w:rsidP="002C66FC">
      <w:pPr>
        <w:pStyle w:val="a5"/>
        <w:spacing w:line="0" w:lineRule="atLeast"/>
        <w:ind w:left="792" w:hangingChars="360" w:hanging="792"/>
        <w:jc w:val="both"/>
        <w:rPr>
          <w:rFonts w:cs="Times Ext Roman"/>
          <w:szCs w:val="22"/>
        </w:rPr>
      </w:pPr>
      <w:r w:rsidRPr="00212D57">
        <w:rPr>
          <w:rStyle w:val="a6"/>
          <w:szCs w:val="22"/>
        </w:rPr>
        <w:footnoteRef/>
      </w:r>
      <w:r w:rsidRPr="00212D57">
        <w:rPr>
          <w:rFonts w:cs="Times Ext Roman" w:hint="eastAsia"/>
          <w:szCs w:val="22"/>
        </w:rPr>
        <w:t xml:space="preserve"> </w:t>
      </w:r>
      <w:r w:rsidRPr="00212D57">
        <w:rPr>
          <w:rFonts w:cs="Times Ext Roman" w:hint="eastAsia"/>
          <w:szCs w:val="22"/>
        </w:rPr>
        <w:t>（</w:t>
      </w:r>
      <w:r w:rsidRPr="00761EF3">
        <w:rPr>
          <w:szCs w:val="22"/>
        </w:rPr>
        <w:t>1</w:t>
      </w:r>
      <w:r w:rsidRPr="00212D57">
        <w:rPr>
          <w:rFonts w:cs="Times Ext Roman" w:hint="eastAsia"/>
          <w:szCs w:val="22"/>
        </w:rPr>
        <w:t>）</w:t>
      </w:r>
      <w:r w:rsidRPr="00212D57">
        <w:rPr>
          <w:rFonts w:cs="Times Ext Roman"/>
          <w:szCs w:val="22"/>
        </w:rPr>
        <w:t>《摩訶般若波羅蜜經》卷</w:t>
      </w:r>
      <w:r w:rsidRPr="00761EF3">
        <w:rPr>
          <w:szCs w:val="22"/>
        </w:rPr>
        <w:t>3</w:t>
      </w:r>
      <w:r w:rsidRPr="00212D57">
        <w:rPr>
          <w:rFonts w:cs="Times Ext Roman" w:hint="eastAsia"/>
          <w:szCs w:val="22"/>
        </w:rPr>
        <w:t>〈</w:t>
      </w:r>
      <w:r w:rsidRPr="00761EF3">
        <w:rPr>
          <w:rFonts w:cs="Times Ext Roman" w:hint="eastAsia"/>
          <w:szCs w:val="22"/>
        </w:rPr>
        <w:t>9</w:t>
      </w:r>
      <w:r w:rsidRPr="00212D57">
        <w:rPr>
          <w:rFonts w:cs="Times Ext Roman" w:hint="eastAsia"/>
          <w:szCs w:val="22"/>
        </w:rPr>
        <w:t xml:space="preserve"> </w:t>
      </w:r>
      <w:r w:rsidRPr="00212D57">
        <w:rPr>
          <w:rFonts w:cs="Times Ext Roman" w:hint="eastAsia"/>
          <w:szCs w:val="22"/>
        </w:rPr>
        <w:t>集散品〉</w:t>
      </w:r>
      <w:r w:rsidR="003846DC" w:rsidRPr="00212D57">
        <w:rPr>
          <w:rFonts w:cs="Times Ext Roman"/>
          <w:szCs w:val="22"/>
        </w:rPr>
        <w:t>（大正</w:t>
      </w:r>
      <w:r w:rsidR="003846DC" w:rsidRPr="00761EF3">
        <w:rPr>
          <w:szCs w:val="22"/>
        </w:rPr>
        <w:t>8</w:t>
      </w:r>
      <w:r w:rsidR="003846DC" w:rsidRPr="00212D57">
        <w:rPr>
          <w:rFonts w:cs="Times Ext Roman"/>
          <w:szCs w:val="22"/>
        </w:rPr>
        <w:t>，</w:t>
      </w:r>
      <w:r w:rsidR="003846DC" w:rsidRPr="00761EF3">
        <w:rPr>
          <w:szCs w:val="22"/>
        </w:rPr>
        <w:t>236a11</w:t>
      </w:r>
      <w:r w:rsidR="003846DC" w:rsidRPr="00212D57">
        <w:rPr>
          <w:szCs w:val="22"/>
        </w:rPr>
        <w:t>-</w:t>
      </w:r>
      <w:r w:rsidR="003846DC" w:rsidRPr="00761EF3">
        <w:rPr>
          <w:szCs w:val="22"/>
        </w:rPr>
        <w:t>b11</w:t>
      </w:r>
      <w:r w:rsidR="003846DC" w:rsidRPr="00212D57">
        <w:rPr>
          <w:rFonts w:cs="Times Ext Roman"/>
          <w:szCs w:val="22"/>
        </w:rPr>
        <w:t>）</w:t>
      </w:r>
      <w:r w:rsidRPr="00212D57">
        <w:rPr>
          <w:rFonts w:cs="Times Ext Roman"/>
          <w:szCs w:val="22"/>
        </w:rPr>
        <w:t>：</w:t>
      </w:r>
    </w:p>
    <w:p w:rsidR="00157EF6" w:rsidRPr="00212D57" w:rsidRDefault="00157EF6" w:rsidP="009B468F">
      <w:pPr>
        <w:pStyle w:val="ad"/>
        <w:snapToGrid w:val="0"/>
        <w:spacing w:after="0"/>
        <w:ind w:leftChars="335" w:left="804"/>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如是先尼梵</w:t>
      </w:r>
      <w:r w:rsidRPr="003846DC">
        <w:rPr>
          <w:rFonts w:ascii="Times New Roman" w:eastAsia="標楷體" w:hAnsi="Times New Roman" w:cs="Times Ext Roman"/>
          <w:sz w:val="22"/>
          <w:szCs w:val="22"/>
          <w:highlight w:val="yellow"/>
        </w:rPr>
        <w:t>志不</w:t>
      </w:r>
      <w:r w:rsidRPr="00212D57">
        <w:rPr>
          <w:rFonts w:ascii="Times New Roman" w:eastAsia="標楷體" w:hAnsi="Times New Roman" w:cs="Times Ext Roman"/>
          <w:sz w:val="22"/>
          <w:szCs w:val="22"/>
        </w:rPr>
        <w:t>取相</w:t>
      </w:r>
      <w:r w:rsidR="003846DC">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住信行中</w:t>
      </w:r>
      <w:r w:rsidR="003846DC">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用性空</w:t>
      </w:r>
      <w:r w:rsidRPr="003846DC">
        <w:rPr>
          <w:rFonts w:ascii="Times New Roman" w:eastAsia="標楷體" w:hAnsi="Times New Roman" w:cs="Times Ext Roman"/>
          <w:sz w:val="22"/>
          <w:szCs w:val="22"/>
          <w:highlight w:val="yellow"/>
        </w:rPr>
        <w:t>智入</w:t>
      </w:r>
      <w:r w:rsidRPr="00212D57">
        <w:rPr>
          <w:rFonts w:ascii="Times New Roman" w:eastAsia="標楷體" w:hAnsi="Times New Roman" w:cs="Times Ext Roman"/>
          <w:sz w:val="22"/>
          <w:szCs w:val="22"/>
        </w:rPr>
        <w:t>諸法相中，不受色，不受</w:t>
      </w:r>
      <w:r w:rsidR="003846DC">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受、想、行、識</w:t>
      </w:r>
      <w:r w:rsidR="003846DC">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。何以故？諸法自相空故，不可得受。</w:t>
      </w:r>
      <w:r w:rsidRPr="00B16A72">
        <w:rPr>
          <w:rFonts w:ascii="標楷體" w:eastAsia="標楷體" w:hAnsi="標楷體" w:cs="Times Ext Roman"/>
          <w:sz w:val="22"/>
          <w:szCs w:val="22"/>
          <w:shd w:val="pct15" w:color="auto" w:fill="FFFFFF"/>
        </w:rPr>
        <w:t>……</w:t>
      </w:r>
      <w:r w:rsidRPr="00212D57">
        <w:rPr>
          <w:rFonts w:ascii="Times New Roman" w:eastAsia="標楷體" w:hAnsi="Times New Roman" w:cs="Times Ext Roman"/>
          <w:b/>
          <w:sz w:val="22"/>
          <w:szCs w:val="22"/>
        </w:rPr>
        <w:t>先尼梵志此中心得信解於一切智，以是故，梵志信諸法實相，一切法不可得故</w:t>
      </w:r>
      <w:r w:rsidRPr="00212D57">
        <w:rPr>
          <w:rFonts w:ascii="Times New Roman" w:eastAsia="標楷體" w:hAnsi="Times New Roman" w:cs="Times Ext Roman"/>
          <w:sz w:val="22"/>
          <w:szCs w:val="22"/>
        </w:rPr>
        <w:t>。如是信解已，無法可受，諸法無相、無憶念故。是梵志於諸法亦無所得，無取、無捨，</w:t>
      </w:r>
      <w:r w:rsidR="003846DC">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取、捨</w:t>
      </w:r>
      <w:r w:rsidR="003846DC">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不可得故。是梵志亦不念智慧，諸法相無念故。世尊！是名菩薩摩訶薩般若波羅蜜，此彼岸不度故。</w:t>
      </w:r>
      <w:r w:rsidRPr="00B16A72">
        <w:rPr>
          <w:rFonts w:ascii="標楷體" w:eastAsia="標楷體" w:hAnsi="標楷體" w:cs="Times Ext Roman"/>
          <w:sz w:val="22"/>
          <w:szCs w:val="22"/>
          <w:shd w:val="pct15" w:color="auto" w:fill="FFFFFF"/>
        </w:rPr>
        <w:t>……</w:t>
      </w:r>
    </w:p>
    <w:p w:rsidR="00157EF6" w:rsidRPr="00212D57" w:rsidRDefault="00157EF6" w:rsidP="002C66FC">
      <w:pPr>
        <w:pStyle w:val="a5"/>
        <w:ind w:leftChars="105" w:left="791" w:hangingChars="245" w:hanging="539"/>
        <w:jc w:val="both"/>
        <w:rPr>
          <w:rFonts w:cs="Times Ext Roman"/>
          <w:szCs w:val="22"/>
        </w:rPr>
      </w:pPr>
      <w:r w:rsidRPr="00212D57">
        <w:rPr>
          <w:rFonts w:cs="Times Ext Roman" w:hint="eastAsia"/>
          <w:szCs w:val="22"/>
        </w:rPr>
        <w:t>（</w:t>
      </w:r>
      <w:r w:rsidRPr="00761EF3">
        <w:rPr>
          <w:szCs w:val="22"/>
        </w:rPr>
        <w:t>2</w:t>
      </w:r>
      <w:r w:rsidRPr="00212D57">
        <w:rPr>
          <w:rFonts w:cs="Times Ext Roman" w:hint="eastAsia"/>
          <w:szCs w:val="22"/>
        </w:rPr>
        <w:t>）</w:t>
      </w:r>
      <w:r w:rsidRPr="00212D57">
        <w:rPr>
          <w:rFonts w:cs="Times Ext Roman"/>
          <w:szCs w:val="22"/>
        </w:rPr>
        <w:t>《大智度論》卷</w:t>
      </w:r>
      <w:r w:rsidRPr="00761EF3">
        <w:rPr>
          <w:szCs w:val="22"/>
        </w:rPr>
        <w:t>42</w:t>
      </w:r>
      <w:r w:rsidR="00AC0462" w:rsidRPr="00AC0462">
        <w:rPr>
          <w:rFonts w:hint="eastAsia"/>
          <w:color w:val="FF0000"/>
          <w:szCs w:val="22"/>
          <w:highlight w:val="yellow"/>
        </w:rPr>
        <w:t>釋</w:t>
      </w:r>
      <w:r w:rsidRPr="00212D57">
        <w:rPr>
          <w:rFonts w:cs="Times Ext Roman" w:hint="eastAsia"/>
          <w:szCs w:val="22"/>
        </w:rPr>
        <w:t>〈</w:t>
      </w:r>
      <w:r w:rsidRPr="00761EF3">
        <w:rPr>
          <w:rFonts w:hint="eastAsia"/>
          <w:szCs w:val="22"/>
        </w:rPr>
        <w:t>9</w:t>
      </w:r>
      <w:r w:rsidRPr="00212D57">
        <w:rPr>
          <w:rFonts w:hint="eastAsia"/>
          <w:szCs w:val="22"/>
        </w:rPr>
        <w:t xml:space="preserve"> </w:t>
      </w:r>
      <w:r w:rsidRPr="00212D57">
        <w:rPr>
          <w:rFonts w:cs="Times Ext Roman" w:hint="eastAsia"/>
          <w:szCs w:val="22"/>
        </w:rPr>
        <w:t>集散品〉</w:t>
      </w:r>
      <w:r w:rsidRPr="00212D57">
        <w:rPr>
          <w:rFonts w:cs="Times Ext Roman"/>
          <w:szCs w:val="22"/>
        </w:rPr>
        <w:t>（大正</w:t>
      </w:r>
      <w:r w:rsidRPr="00761EF3">
        <w:rPr>
          <w:szCs w:val="22"/>
        </w:rPr>
        <w:t>25</w:t>
      </w:r>
      <w:r w:rsidRPr="00212D57">
        <w:rPr>
          <w:rFonts w:cs="Times Ext Roman"/>
          <w:szCs w:val="22"/>
        </w:rPr>
        <w:t>，</w:t>
      </w:r>
      <w:r w:rsidRPr="00761EF3">
        <w:rPr>
          <w:szCs w:val="22"/>
        </w:rPr>
        <w:t>368c21</w:t>
      </w:r>
      <w:r w:rsidRPr="00212D57">
        <w:rPr>
          <w:szCs w:val="22"/>
        </w:rPr>
        <w:t>-</w:t>
      </w:r>
      <w:r w:rsidRPr="00761EF3">
        <w:rPr>
          <w:szCs w:val="22"/>
        </w:rPr>
        <w:t>25</w:t>
      </w:r>
      <w:r w:rsidRPr="00212D57">
        <w:rPr>
          <w:rFonts w:cs="Times Ext Roman"/>
          <w:szCs w:val="22"/>
        </w:rPr>
        <w:t>）：</w:t>
      </w:r>
    </w:p>
    <w:p w:rsidR="00157EF6" w:rsidRDefault="00157EF6" w:rsidP="009B468F">
      <w:pPr>
        <w:pStyle w:val="a5"/>
        <w:ind w:leftChars="335" w:left="804"/>
        <w:jc w:val="both"/>
        <w:rPr>
          <w:rFonts w:eastAsia="標楷體" w:cs="Times Ext Roman"/>
          <w:szCs w:val="22"/>
        </w:rPr>
      </w:pPr>
      <w:r w:rsidRPr="00212D57">
        <w:rPr>
          <w:rFonts w:eastAsia="標楷體" w:cs="Times Ext Roman"/>
          <w:szCs w:val="22"/>
        </w:rPr>
        <w:t>是經論議，</w:t>
      </w:r>
      <w:r w:rsidRPr="00212D57">
        <w:rPr>
          <w:rFonts w:eastAsia="標楷體" w:cs="Times Ext Roman"/>
          <w:b/>
          <w:szCs w:val="22"/>
        </w:rPr>
        <w:t>先尼信者</w:t>
      </w:r>
      <w:r w:rsidRPr="00212D57">
        <w:rPr>
          <w:rFonts w:eastAsia="標楷體" w:cs="Times Ext Roman"/>
          <w:szCs w:val="22"/>
        </w:rPr>
        <w:t>，信</w:t>
      </w:r>
      <w:r w:rsidR="003846DC">
        <w:rPr>
          <w:rFonts w:ascii="標楷體" w:eastAsia="標楷體" w:hAnsi="標楷體" w:hint="eastAsia"/>
          <w:bCs/>
          <w:color w:val="FF0000"/>
          <w:kern w:val="0"/>
          <w:highlight w:val="yellow"/>
        </w:rPr>
        <w:t>「</w:t>
      </w:r>
      <w:r w:rsidRPr="00212D57">
        <w:rPr>
          <w:rFonts w:eastAsia="標楷體" w:cs="Times Ext Roman"/>
          <w:szCs w:val="22"/>
        </w:rPr>
        <w:t>佛能令我得道</w:t>
      </w:r>
      <w:r w:rsidR="003846DC">
        <w:rPr>
          <w:rFonts w:ascii="標楷體" w:eastAsia="標楷體" w:hAnsi="標楷體" w:hint="eastAsia"/>
          <w:bCs/>
          <w:color w:val="FF0000"/>
          <w:kern w:val="0"/>
          <w:highlight w:val="yellow"/>
        </w:rPr>
        <w:t>」</w:t>
      </w:r>
      <w:r w:rsidRPr="00212D57">
        <w:rPr>
          <w:rFonts w:eastAsia="標楷體" w:cs="Times Ext Roman"/>
          <w:szCs w:val="22"/>
        </w:rPr>
        <w:t>，是名初信</w:t>
      </w:r>
      <w:r w:rsidR="00DE2D53">
        <w:rPr>
          <w:rFonts w:ascii="標楷體" w:eastAsia="標楷體" w:hAnsi="標楷體" w:hint="eastAsia"/>
          <w:color w:val="FF0000"/>
          <w:spacing w:val="-4"/>
          <w:kern w:val="0"/>
          <w:highlight w:val="yellow"/>
        </w:rPr>
        <w:t>；</w:t>
      </w:r>
      <w:r w:rsidRPr="00212D57">
        <w:rPr>
          <w:rFonts w:eastAsia="標楷體" w:cs="Times Ext Roman"/>
          <w:szCs w:val="22"/>
        </w:rPr>
        <w:t>然後聞佛破吾我</w:t>
      </w:r>
      <w:r w:rsidR="003846DC">
        <w:rPr>
          <w:rFonts w:ascii="標楷體" w:eastAsia="標楷體" w:hAnsi="標楷體" w:hint="eastAsia"/>
          <w:color w:val="FF0000"/>
          <w:kern w:val="0"/>
          <w:highlight w:val="yellow"/>
        </w:rPr>
        <w:t>──</w:t>
      </w:r>
      <w:r w:rsidRPr="00212D57">
        <w:rPr>
          <w:rFonts w:eastAsia="標楷體" w:cs="Times Ext Roman"/>
          <w:szCs w:val="22"/>
        </w:rPr>
        <w:t>從本已來，常自無我</w:t>
      </w:r>
      <w:r w:rsidR="003846DC">
        <w:rPr>
          <w:rFonts w:ascii="標楷體" w:eastAsia="標楷體" w:hAnsi="標楷體" w:hint="eastAsia"/>
          <w:color w:val="FF0000"/>
          <w:spacing w:val="-4"/>
          <w:kern w:val="0"/>
          <w:highlight w:val="yellow"/>
        </w:rPr>
        <w:t>；</w:t>
      </w:r>
      <w:r w:rsidRPr="00212D57">
        <w:rPr>
          <w:rFonts w:eastAsia="標楷體" w:cs="Times Ext Roman"/>
          <w:szCs w:val="22"/>
        </w:rPr>
        <w:t>無我故</w:t>
      </w:r>
      <w:r w:rsidR="003846DC">
        <w:rPr>
          <w:rFonts w:ascii="標楷體" w:eastAsia="標楷體" w:hAnsi="標楷體" w:hint="eastAsia"/>
          <w:color w:val="FF0000"/>
          <w:kern w:val="0"/>
          <w:highlight w:val="yellow"/>
        </w:rPr>
        <w:t>，</w:t>
      </w:r>
      <w:r w:rsidRPr="00212D57">
        <w:rPr>
          <w:rFonts w:eastAsia="標楷體" w:cs="Times Ext Roman"/>
          <w:szCs w:val="22"/>
        </w:rPr>
        <w:t>諸法無所屬、如幻、如夢</w:t>
      </w:r>
      <w:r w:rsidR="00DE2D53">
        <w:rPr>
          <w:rFonts w:ascii="標楷體" w:eastAsia="標楷體" w:hAnsi="標楷體" w:hint="eastAsia"/>
          <w:color w:val="FF0000"/>
          <w:spacing w:val="-4"/>
          <w:kern w:val="0"/>
          <w:highlight w:val="yellow"/>
        </w:rPr>
        <w:t>、</w:t>
      </w:r>
      <w:r w:rsidRPr="00212D57">
        <w:rPr>
          <w:rFonts w:eastAsia="標楷體" w:cs="Times Ext Roman"/>
          <w:szCs w:val="22"/>
        </w:rPr>
        <w:t>虛誑不實，不可得取，</w:t>
      </w:r>
      <w:r w:rsidRPr="00C271DC">
        <w:rPr>
          <w:rFonts w:eastAsia="標楷體" w:cs="Times Ext Roman"/>
          <w:b/>
          <w:szCs w:val="22"/>
        </w:rPr>
        <w:t>得是信力已，入諸法實相</w:t>
      </w:r>
      <w:r w:rsidRPr="00212D57">
        <w:rPr>
          <w:rFonts w:eastAsia="標楷體" w:cs="Times Ext Roman"/>
          <w:szCs w:val="22"/>
        </w:rPr>
        <w:t>，不受</w:t>
      </w:r>
      <w:r w:rsidR="00DE2D53">
        <w:rPr>
          <w:rFonts w:ascii="標楷體" w:eastAsia="標楷體" w:hAnsi="標楷體" w:hint="eastAsia"/>
          <w:bCs/>
          <w:color w:val="FF0000"/>
          <w:kern w:val="0"/>
          <w:highlight w:val="yellow"/>
        </w:rPr>
        <w:t>「</w:t>
      </w:r>
      <w:r w:rsidRPr="00212D57">
        <w:rPr>
          <w:rFonts w:eastAsia="標楷體" w:cs="Times Ext Roman"/>
          <w:szCs w:val="22"/>
        </w:rPr>
        <w:t>色是如</w:t>
      </w:r>
      <w:r w:rsidRPr="00DE2D53">
        <w:rPr>
          <w:rFonts w:eastAsia="標楷體" w:cs="Times Ext Roman"/>
          <w:szCs w:val="22"/>
          <w:highlight w:val="yellow"/>
        </w:rPr>
        <w:t>去乃</w:t>
      </w:r>
      <w:r w:rsidRPr="00212D57">
        <w:rPr>
          <w:rFonts w:eastAsia="標楷體" w:cs="Times Ext Roman"/>
          <w:szCs w:val="22"/>
        </w:rPr>
        <w:t>至識是如去</w:t>
      </w:r>
      <w:r w:rsidR="00DE2D53">
        <w:rPr>
          <w:rFonts w:ascii="標楷體" w:eastAsia="標楷體" w:hAnsi="標楷體" w:hint="eastAsia"/>
          <w:bCs/>
          <w:color w:val="FF0000"/>
          <w:kern w:val="0"/>
          <w:highlight w:val="yellow"/>
        </w:rPr>
        <w:t>」</w:t>
      </w:r>
      <w:r w:rsidRPr="00212D57">
        <w:rPr>
          <w:rFonts w:eastAsia="標楷體" w:cs="Times Ext Roman"/>
          <w:szCs w:val="22"/>
        </w:rPr>
        <w:t>。</w:t>
      </w:r>
    </w:p>
    <w:p w:rsidR="00EF7558" w:rsidRPr="009C6FE2" w:rsidRDefault="00EF7558" w:rsidP="00EF7558">
      <w:pPr>
        <w:pStyle w:val="a5"/>
        <w:ind w:leftChars="105" w:left="791" w:hangingChars="245" w:hanging="539"/>
        <w:jc w:val="both"/>
        <w:rPr>
          <w:color w:val="FF0000"/>
          <w:szCs w:val="22"/>
          <w:highlight w:val="yellow"/>
        </w:rPr>
      </w:pPr>
      <w:r w:rsidRPr="00EF7558">
        <w:rPr>
          <w:rFonts w:hint="eastAsia"/>
          <w:color w:val="FF0000"/>
          <w:szCs w:val="22"/>
          <w:highlight w:val="yellow"/>
        </w:rPr>
        <w:t>（</w:t>
      </w:r>
      <w:r w:rsidRPr="00EF7558">
        <w:rPr>
          <w:rFonts w:hint="eastAsia"/>
          <w:color w:val="FF0000"/>
          <w:szCs w:val="22"/>
          <w:highlight w:val="yellow"/>
        </w:rPr>
        <w:t>3</w:t>
      </w:r>
      <w:r w:rsidRPr="00EF7558">
        <w:rPr>
          <w:rFonts w:hint="eastAsia"/>
          <w:color w:val="FF0000"/>
          <w:szCs w:val="22"/>
          <w:highlight w:val="yellow"/>
        </w:rPr>
        <w:t>）關於「先（仙）尼梵志」</w:t>
      </w:r>
      <w:r w:rsidRPr="009C6FE2">
        <w:rPr>
          <w:rFonts w:hint="eastAsia"/>
          <w:color w:val="FF0000"/>
          <w:szCs w:val="22"/>
          <w:highlight w:val="yellow"/>
        </w:rPr>
        <w:t>，</w:t>
      </w:r>
      <w:r w:rsidRPr="009C6FE2">
        <w:rPr>
          <w:rFonts w:hint="eastAsia"/>
          <w:bCs/>
          <w:color w:val="FF0000"/>
          <w:szCs w:val="22"/>
          <w:highlight w:val="yellow"/>
        </w:rPr>
        <w:t>參見</w:t>
      </w:r>
      <w:r w:rsidRPr="009C6FE2">
        <w:rPr>
          <w:color w:val="FF0000"/>
          <w:szCs w:val="22"/>
          <w:highlight w:val="yellow"/>
        </w:rPr>
        <w:t>《</w:t>
      </w:r>
      <w:r w:rsidRPr="009C6FE2">
        <w:rPr>
          <w:rFonts w:hint="eastAsia"/>
          <w:color w:val="FF0000"/>
          <w:szCs w:val="22"/>
          <w:highlight w:val="yellow"/>
        </w:rPr>
        <w:t>雜阿含經》卷</w:t>
      </w:r>
      <w:r w:rsidRPr="009C6FE2">
        <w:rPr>
          <w:rFonts w:hint="eastAsia"/>
          <w:color w:val="FF0000"/>
          <w:szCs w:val="22"/>
          <w:highlight w:val="yellow"/>
        </w:rPr>
        <w:t>5</w:t>
      </w:r>
      <w:r w:rsidRPr="009C6FE2">
        <w:rPr>
          <w:rFonts w:hint="eastAsia"/>
          <w:color w:val="FF0000"/>
          <w:szCs w:val="22"/>
          <w:highlight w:val="yellow"/>
        </w:rPr>
        <w:t>（</w:t>
      </w:r>
      <w:r w:rsidRPr="009C6FE2">
        <w:rPr>
          <w:rFonts w:hint="eastAsia"/>
          <w:color w:val="FF0000"/>
          <w:szCs w:val="22"/>
          <w:highlight w:val="yellow"/>
        </w:rPr>
        <w:t>105</w:t>
      </w:r>
      <w:r w:rsidRPr="009C6FE2">
        <w:rPr>
          <w:rFonts w:hint="eastAsia"/>
          <w:color w:val="FF0000"/>
          <w:szCs w:val="22"/>
          <w:highlight w:val="yellow"/>
        </w:rPr>
        <w:t>經）（大正</w:t>
      </w:r>
      <w:r w:rsidRPr="009C6FE2">
        <w:rPr>
          <w:rFonts w:hint="eastAsia"/>
          <w:color w:val="FF0000"/>
          <w:szCs w:val="22"/>
          <w:highlight w:val="yellow"/>
        </w:rPr>
        <w:t>2</w:t>
      </w:r>
      <w:r w:rsidRPr="009C6FE2">
        <w:rPr>
          <w:rFonts w:hint="eastAsia"/>
          <w:color w:val="FF0000"/>
          <w:szCs w:val="22"/>
          <w:highlight w:val="yellow"/>
        </w:rPr>
        <w:t>，</w:t>
      </w:r>
      <w:smartTag w:uri="urn:schemas-microsoft-com:office:smarttags" w:element="chmetcnv">
        <w:smartTagPr>
          <w:attr w:name="TCSC" w:val="0"/>
          <w:attr w:name="NumberType" w:val="1"/>
          <w:attr w:name="Negative" w:val="False"/>
          <w:attr w:name="HasSpace" w:val="False"/>
          <w:attr w:name="SourceValue" w:val="31"/>
          <w:attr w:name="UnitName" w:val="C"/>
        </w:smartTagPr>
        <w:r w:rsidRPr="009C6FE2">
          <w:rPr>
            <w:rFonts w:hint="eastAsia"/>
            <w:color w:val="FF0000"/>
            <w:szCs w:val="22"/>
            <w:highlight w:val="yellow"/>
          </w:rPr>
          <w:t>31</w:t>
        </w:r>
        <w:r w:rsidRPr="009C6FE2">
          <w:rPr>
            <w:rFonts w:eastAsia="Roman Unicode" w:hint="eastAsia"/>
            <w:color w:val="FF0000"/>
            <w:szCs w:val="22"/>
            <w:highlight w:val="yellow"/>
          </w:rPr>
          <w:t>c</w:t>
        </w:r>
      </w:smartTag>
      <w:r w:rsidRPr="009C6FE2">
        <w:rPr>
          <w:rFonts w:hint="eastAsia"/>
          <w:color w:val="FF0000"/>
          <w:szCs w:val="22"/>
          <w:highlight w:val="yellow"/>
        </w:rPr>
        <w:t>13</w:t>
      </w:r>
      <w:smartTag w:uri="urn:schemas-microsoft-com:office:smarttags" w:element="chmetcnv">
        <w:smartTagPr>
          <w:attr w:name="TCSC" w:val="0"/>
          <w:attr w:name="NumberType" w:val="1"/>
          <w:attr w:name="Negative" w:val="True"/>
          <w:attr w:name="HasSpace" w:val="False"/>
          <w:attr w:name="SourceValue" w:val="32"/>
          <w:attr w:name="UnitName" w:val="C"/>
        </w:smartTagPr>
        <w:r w:rsidRPr="009C6FE2">
          <w:rPr>
            <w:rFonts w:hint="eastAsia"/>
            <w:color w:val="FF0000"/>
            <w:szCs w:val="22"/>
            <w:highlight w:val="yellow"/>
          </w:rPr>
          <w:t>-32</w:t>
        </w:r>
        <w:r w:rsidRPr="009C6FE2">
          <w:rPr>
            <w:rFonts w:eastAsia="Roman Unicode" w:hint="eastAsia"/>
            <w:color w:val="FF0000"/>
            <w:szCs w:val="22"/>
            <w:highlight w:val="yellow"/>
          </w:rPr>
          <w:t>c</w:t>
        </w:r>
      </w:smartTag>
      <w:r w:rsidRPr="009C6FE2">
        <w:rPr>
          <w:rFonts w:hint="eastAsia"/>
          <w:color w:val="FF0000"/>
          <w:szCs w:val="22"/>
          <w:highlight w:val="yellow"/>
        </w:rPr>
        <w:t>2</w:t>
      </w:r>
      <w:r w:rsidRPr="009C6FE2">
        <w:rPr>
          <w:rFonts w:hint="eastAsia"/>
          <w:color w:val="FF0000"/>
          <w:szCs w:val="22"/>
          <w:highlight w:val="yellow"/>
        </w:rPr>
        <w:t>）。</w:t>
      </w:r>
    </w:p>
    <w:p w:rsidR="009C6FE2" w:rsidRPr="009C6FE2" w:rsidRDefault="009C6FE2" w:rsidP="009C6FE2">
      <w:pPr>
        <w:pStyle w:val="a5"/>
        <w:ind w:leftChars="290" w:left="1422" w:hangingChars="330" w:hanging="726"/>
        <w:jc w:val="both"/>
        <w:rPr>
          <w:color w:val="FF0000"/>
          <w:szCs w:val="22"/>
          <w:highlight w:val="yellow"/>
        </w:rPr>
      </w:pPr>
      <w:r w:rsidRPr="009C6FE2">
        <w:rPr>
          <w:rFonts w:cs="Times Ext Roman" w:hint="eastAsia"/>
          <w:color w:val="FF0000"/>
          <w:szCs w:val="22"/>
          <w:highlight w:val="yellow"/>
        </w:rPr>
        <w:t>另見：</w:t>
      </w:r>
      <w:r w:rsidRPr="009C6FE2">
        <w:rPr>
          <w:rFonts w:cs="Times Ext Roman"/>
          <w:color w:val="FF0000"/>
          <w:szCs w:val="22"/>
          <w:highlight w:val="yellow"/>
        </w:rPr>
        <w:t>《大智度論》卷</w:t>
      </w:r>
      <w:r w:rsidRPr="009C6FE2">
        <w:rPr>
          <w:rFonts w:hint="eastAsia"/>
          <w:color w:val="FF0000"/>
          <w:szCs w:val="22"/>
          <w:highlight w:val="yellow"/>
        </w:rPr>
        <w:t>31</w:t>
      </w:r>
      <w:r w:rsidRPr="009C6FE2">
        <w:rPr>
          <w:rFonts w:cs="Times Ext Roman"/>
          <w:color w:val="FF0000"/>
          <w:szCs w:val="22"/>
          <w:highlight w:val="yellow"/>
        </w:rPr>
        <w:t>（大正</w:t>
      </w:r>
      <w:r w:rsidRPr="009C6FE2">
        <w:rPr>
          <w:color w:val="FF0000"/>
          <w:szCs w:val="22"/>
          <w:highlight w:val="yellow"/>
        </w:rPr>
        <w:t>25</w:t>
      </w:r>
      <w:r w:rsidRPr="009C6FE2">
        <w:rPr>
          <w:rFonts w:cs="Times Ext Roman"/>
          <w:color w:val="FF0000"/>
          <w:szCs w:val="22"/>
          <w:highlight w:val="yellow"/>
        </w:rPr>
        <w:t>，</w:t>
      </w:r>
      <w:r w:rsidRPr="009C6FE2">
        <w:rPr>
          <w:rFonts w:hint="eastAsia"/>
          <w:color w:val="FF0000"/>
          <w:szCs w:val="22"/>
          <w:highlight w:val="yellow"/>
        </w:rPr>
        <w:t>295b</w:t>
      </w:r>
      <w:r w:rsidRPr="009C6FE2">
        <w:rPr>
          <w:color w:val="FF0000"/>
          <w:szCs w:val="22"/>
          <w:highlight w:val="yellow"/>
        </w:rPr>
        <w:t>2</w:t>
      </w:r>
      <w:r w:rsidRPr="009C6FE2">
        <w:rPr>
          <w:rFonts w:hint="eastAsia"/>
          <w:color w:val="FF0000"/>
          <w:szCs w:val="22"/>
          <w:highlight w:val="yellow"/>
        </w:rPr>
        <w:t>2</w:t>
      </w:r>
      <w:r w:rsidRPr="009C6FE2">
        <w:rPr>
          <w:color w:val="FF0000"/>
          <w:szCs w:val="22"/>
          <w:highlight w:val="yellow"/>
        </w:rPr>
        <w:t>-</w:t>
      </w:r>
      <w:r w:rsidRPr="009C6FE2">
        <w:rPr>
          <w:rFonts w:hint="eastAsia"/>
          <w:color w:val="FF0000"/>
          <w:szCs w:val="22"/>
          <w:highlight w:val="yellow"/>
        </w:rPr>
        <w:t>c5</w:t>
      </w:r>
      <w:r w:rsidRPr="009C6FE2">
        <w:rPr>
          <w:rFonts w:cs="Times Ext Roman"/>
          <w:color w:val="FF0000"/>
          <w:szCs w:val="22"/>
          <w:highlight w:val="yellow"/>
        </w:rPr>
        <w:t>）</w:t>
      </w:r>
      <w:r w:rsidRPr="009C6FE2">
        <w:rPr>
          <w:rFonts w:cs="Times Ext Roman" w:hint="eastAsia"/>
          <w:color w:val="FF0000"/>
          <w:szCs w:val="22"/>
          <w:highlight w:val="yellow"/>
        </w:rPr>
        <w:t>明「</w:t>
      </w:r>
      <w:r w:rsidRPr="009C6FE2">
        <w:rPr>
          <w:rFonts w:ascii="標楷體" w:eastAsia="標楷體" w:hAnsi="標楷體" w:cs="Times Ext Roman" w:hint="eastAsia"/>
          <w:color w:val="FF0000"/>
          <w:szCs w:val="22"/>
          <w:highlight w:val="yellow"/>
        </w:rPr>
        <w:t>三藏中處處說法空</w:t>
      </w:r>
      <w:r w:rsidRPr="009C6FE2">
        <w:rPr>
          <w:rFonts w:cs="Times Ext Roman" w:hint="eastAsia"/>
          <w:color w:val="FF0000"/>
          <w:szCs w:val="22"/>
          <w:highlight w:val="yellow"/>
        </w:rPr>
        <w:t>」；</w:t>
      </w:r>
      <w:r w:rsidRPr="009C6FE2">
        <w:rPr>
          <w:rFonts w:hint="eastAsia"/>
          <w:color w:val="FF0000"/>
          <w:szCs w:val="22"/>
          <w:highlight w:val="yellow"/>
        </w:rPr>
        <w:t>《空之探究》，</w:t>
      </w:r>
      <w:r w:rsidRPr="009C6FE2">
        <w:rPr>
          <w:rFonts w:hint="eastAsia"/>
          <w:color w:val="FF0000"/>
          <w:szCs w:val="22"/>
          <w:highlight w:val="yellow"/>
        </w:rPr>
        <w:t>pp.98-101</w:t>
      </w:r>
      <w:r w:rsidRPr="009C6FE2">
        <w:rPr>
          <w:rFonts w:hint="eastAsia"/>
          <w:color w:val="FF0000"/>
          <w:szCs w:val="22"/>
          <w:highlight w:val="yellow"/>
        </w:rPr>
        <w:t>。</w:t>
      </w:r>
    </w:p>
  </w:footnote>
  <w:footnote w:id="28">
    <w:p w:rsidR="00157EF6" w:rsidRPr="00212D57" w:rsidRDefault="00157EF6" w:rsidP="002C66FC">
      <w:pPr>
        <w:pStyle w:val="a5"/>
        <w:spacing w:line="0" w:lineRule="atLeast"/>
        <w:ind w:left="253" w:hangingChars="115" w:hanging="253"/>
        <w:jc w:val="both"/>
        <w:rPr>
          <w:rFonts w:cs="Times Ext Roman"/>
          <w:szCs w:val="22"/>
        </w:rPr>
      </w:pPr>
      <w:r w:rsidRPr="00212D57">
        <w:rPr>
          <w:rStyle w:val="a6"/>
          <w:szCs w:val="22"/>
        </w:rPr>
        <w:footnoteRef/>
      </w:r>
      <w:r w:rsidRPr="00212D57">
        <w:rPr>
          <w:rFonts w:hint="eastAsia"/>
          <w:szCs w:val="22"/>
        </w:rPr>
        <w:t xml:space="preserve"> </w:t>
      </w:r>
      <w:r w:rsidRPr="00212D57">
        <w:rPr>
          <w:szCs w:val="22"/>
        </w:rPr>
        <w:t>〔姚秦〕</w:t>
      </w:r>
      <w:r w:rsidRPr="00212D57">
        <w:rPr>
          <w:rFonts w:cs="Times Ext Roman"/>
          <w:szCs w:val="22"/>
        </w:rPr>
        <w:t>鳩摩羅什譯，《金剛般若波羅蜜經》</w:t>
      </w:r>
      <w:r w:rsidRPr="00212D57">
        <w:rPr>
          <w:rFonts w:cs="Times Ext Roman" w:hint="eastAsia"/>
          <w:szCs w:val="22"/>
        </w:rPr>
        <w:t>（</w:t>
      </w:r>
      <w:r w:rsidRPr="00212D57">
        <w:rPr>
          <w:rFonts w:cs="Times Ext Roman"/>
          <w:szCs w:val="22"/>
        </w:rPr>
        <w:t>大正</w:t>
      </w:r>
      <w:r w:rsidRPr="00761EF3">
        <w:rPr>
          <w:szCs w:val="22"/>
        </w:rPr>
        <w:t>8</w:t>
      </w:r>
      <w:r w:rsidRPr="00212D57">
        <w:rPr>
          <w:rFonts w:cs="Times Ext Roman"/>
          <w:szCs w:val="22"/>
        </w:rPr>
        <w:t>，</w:t>
      </w:r>
      <w:r w:rsidRPr="00761EF3">
        <w:rPr>
          <w:szCs w:val="22"/>
        </w:rPr>
        <w:t>752a17</w:t>
      </w:r>
      <w:r w:rsidRPr="00212D57">
        <w:rPr>
          <w:szCs w:val="22"/>
        </w:rPr>
        <w:t>-</w:t>
      </w:r>
      <w:r w:rsidRPr="00761EF3">
        <w:rPr>
          <w:szCs w:val="22"/>
        </w:rPr>
        <w:t>18</w:t>
      </w:r>
      <w:r w:rsidRPr="00212D57">
        <w:rPr>
          <w:rFonts w:cs="Times Ext Roman" w:hint="eastAsia"/>
          <w:szCs w:val="22"/>
        </w:rPr>
        <w:t>）</w:t>
      </w:r>
      <w:r w:rsidRPr="00212D57">
        <w:rPr>
          <w:rFonts w:cs="Times Ext Roman"/>
          <w:szCs w:val="22"/>
        </w:rPr>
        <w:t>：</w:t>
      </w:r>
    </w:p>
    <w:p w:rsidR="00157EF6" w:rsidRPr="00212D57" w:rsidRDefault="00157EF6" w:rsidP="002C66FC">
      <w:pPr>
        <w:pStyle w:val="a5"/>
        <w:ind w:leftChars="105" w:left="252"/>
        <w:jc w:val="both"/>
        <w:rPr>
          <w:rFonts w:cs="Times Ext Roman"/>
          <w:szCs w:val="22"/>
        </w:rPr>
      </w:pPr>
      <w:r w:rsidRPr="00212D57">
        <w:rPr>
          <w:rFonts w:eastAsia="標楷體" w:cs="Times Ext Roman"/>
          <w:szCs w:val="22"/>
        </w:rPr>
        <w:t>若以色見我，以音聲求我；是人行邪道，不能見如來。</w:t>
      </w:r>
    </w:p>
  </w:footnote>
  <w:footnote w:id="29">
    <w:p w:rsidR="00157EF6" w:rsidRPr="00212D57" w:rsidRDefault="00157EF6" w:rsidP="002C66FC">
      <w:pPr>
        <w:pStyle w:val="a5"/>
        <w:spacing w:line="0" w:lineRule="atLeast"/>
        <w:ind w:left="253" w:hangingChars="115" w:hanging="253"/>
        <w:jc w:val="both"/>
        <w:rPr>
          <w:rFonts w:cs="Times Ext Roman"/>
          <w:szCs w:val="22"/>
        </w:rPr>
      </w:pPr>
      <w:r w:rsidRPr="00212D57">
        <w:rPr>
          <w:rStyle w:val="a6"/>
          <w:szCs w:val="22"/>
        </w:rPr>
        <w:footnoteRef/>
      </w:r>
      <w:r w:rsidRPr="00212D57">
        <w:rPr>
          <w:rFonts w:hint="eastAsia"/>
          <w:szCs w:val="22"/>
        </w:rPr>
        <w:t xml:space="preserve"> </w:t>
      </w:r>
      <w:r w:rsidR="009160B5">
        <w:rPr>
          <w:rFonts w:cs="Times Ext Roman"/>
          <w:szCs w:val="22"/>
        </w:rPr>
        <w:t>參見：印</w:t>
      </w:r>
      <w:r w:rsidRPr="00212D57">
        <w:rPr>
          <w:rFonts w:cs="Times Ext Roman"/>
          <w:szCs w:val="22"/>
        </w:rPr>
        <w:t>順法師，《空之探究》</w:t>
      </w:r>
      <w:r w:rsidRPr="00212D57">
        <w:rPr>
          <w:rFonts w:cs="Times Ext Roman" w:hint="eastAsia"/>
          <w:szCs w:val="22"/>
        </w:rPr>
        <w:t>，</w:t>
      </w:r>
      <w:r w:rsidRPr="00212D57">
        <w:rPr>
          <w:rFonts w:cs="Times Ext Roman"/>
          <w:szCs w:val="22"/>
        </w:rPr>
        <w:t>第</w:t>
      </w:r>
      <w:r w:rsidRPr="00761EF3">
        <w:rPr>
          <w:rFonts w:hint="eastAsia"/>
          <w:szCs w:val="22"/>
        </w:rPr>
        <w:t>4</w:t>
      </w:r>
      <w:r w:rsidRPr="00212D57">
        <w:rPr>
          <w:rFonts w:cs="Times Ext Roman"/>
          <w:szCs w:val="22"/>
        </w:rPr>
        <w:t>章</w:t>
      </w:r>
      <w:r w:rsidRPr="00212D57">
        <w:rPr>
          <w:rFonts w:ascii="新細明體" w:hAnsi="新細明體" w:cs="新細明體" w:hint="eastAsia"/>
          <w:szCs w:val="22"/>
        </w:rPr>
        <w:t>，</w:t>
      </w:r>
      <w:r w:rsidRPr="00212D57">
        <w:rPr>
          <w:rFonts w:cs="Times Ext Roman"/>
          <w:szCs w:val="22"/>
        </w:rPr>
        <w:t>第</w:t>
      </w:r>
      <w:r w:rsidRPr="00761EF3">
        <w:rPr>
          <w:rFonts w:hint="eastAsia"/>
          <w:szCs w:val="22"/>
        </w:rPr>
        <w:t>2</w:t>
      </w:r>
      <w:r w:rsidRPr="00212D57">
        <w:rPr>
          <w:rFonts w:cs="Times Ext Roman"/>
          <w:szCs w:val="22"/>
        </w:rPr>
        <w:t>節〈《中論》與《阿含經》〉</w:t>
      </w:r>
      <w:r w:rsidRPr="00212D57">
        <w:rPr>
          <w:rFonts w:cs="Times Ext Roman" w:hint="eastAsia"/>
          <w:szCs w:val="22"/>
        </w:rPr>
        <w:t>，</w:t>
      </w:r>
      <w:r w:rsidRPr="00761EF3">
        <w:rPr>
          <w:rFonts w:hint="eastAsia"/>
          <w:szCs w:val="22"/>
        </w:rPr>
        <w:t>p</w:t>
      </w:r>
      <w:r w:rsidRPr="00761EF3">
        <w:rPr>
          <w:szCs w:val="22"/>
        </w:rPr>
        <w:t>p</w:t>
      </w:r>
      <w:r w:rsidRPr="00212D57">
        <w:rPr>
          <w:szCs w:val="22"/>
        </w:rPr>
        <w:t>.</w:t>
      </w:r>
      <w:r w:rsidRPr="00761EF3">
        <w:rPr>
          <w:szCs w:val="22"/>
        </w:rPr>
        <w:t>209</w:t>
      </w:r>
      <w:r w:rsidRPr="00212D57">
        <w:rPr>
          <w:szCs w:val="22"/>
        </w:rPr>
        <w:t>-</w:t>
      </w:r>
      <w:r w:rsidRPr="00761EF3">
        <w:rPr>
          <w:szCs w:val="22"/>
        </w:rPr>
        <w:t>216</w:t>
      </w:r>
      <w:r w:rsidRPr="00212D57">
        <w:rPr>
          <w:rFonts w:cs="Times Ext Roman"/>
          <w:szCs w:val="22"/>
        </w:rPr>
        <w:t>；《中觀今論》</w:t>
      </w:r>
      <w:r w:rsidRPr="00212D57">
        <w:rPr>
          <w:rFonts w:cs="Times Ext Roman" w:hint="eastAsia"/>
          <w:szCs w:val="22"/>
        </w:rPr>
        <w:t>，</w:t>
      </w:r>
      <w:r w:rsidRPr="00212D57">
        <w:rPr>
          <w:rFonts w:cs="Times Ext Roman"/>
          <w:szCs w:val="22"/>
        </w:rPr>
        <w:t>第</w:t>
      </w:r>
      <w:r w:rsidRPr="00761EF3">
        <w:rPr>
          <w:rFonts w:hint="eastAsia"/>
          <w:szCs w:val="22"/>
        </w:rPr>
        <w:t>2</w:t>
      </w:r>
      <w:r w:rsidRPr="00212D57">
        <w:rPr>
          <w:rFonts w:cs="Times Ext Roman"/>
          <w:szCs w:val="22"/>
        </w:rPr>
        <w:t>章</w:t>
      </w:r>
      <w:r w:rsidRPr="00212D57">
        <w:rPr>
          <w:rFonts w:ascii="新細明體" w:hAnsi="新細明體" w:cs="新細明體" w:hint="eastAsia"/>
          <w:szCs w:val="22"/>
        </w:rPr>
        <w:t>，</w:t>
      </w:r>
      <w:r w:rsidRPr="00212D57">
        <w:rPr>
          <w:rFonts w:cs="Times Ext Roman"/>
          <w:szCs w:val="22"/>
        </w:rPr>
        <w:t>第</w:t>
      </w:r>
      <w:r w:rsidRPr="00761EF3">
        <w:rPr>
          <w:rFonts w:hint="eastAsia"/>
          <w:szCs w:val="22"/>
        </w:rPr>
        <w:t>2</w:t>
      </w:r>
      <w:r w:rsidRPr="00212D57">
        <w:rPr>
          <w:rFonts w:cs="Times Ext Roman"/>
          <w:szCs w:val="22"/>
        </w:rPr>
        <w:t>節〈《中論》為《阿含》通論考〉</w:t>
      </w:r>
      <w:r w:rsidRPr="00212D57">
        <w:rPr>
          <w:rFonts w:cs="Times Ext Roman" w:hint="eastAsia"/>
          <w:szCs w:val="22"/>
        </w:rPr>
        <w:t>，</w:t>
      </w:r>
      <w:r w:rsidRPr="00761EF3">
        <w:rPr>
          <w:szCs w:val="22"/>
        </w:rPr>
        <w:t>p</w:t>
      </w:r>
      <w:r w:rsidRPr="00761EF3">
        <w:rPr>
          <w:rFonts w:hint="eastAsia"/>
          <w:szCs w:val="22"/>
        </w:rPr>
        <w:t>p</w:t>
      </w:r>
      <w:r w:rsidRPr="00212D57">
        <w:rPr>
          <w:szCs w:val="22"/>
        </w:rPr>
        <w:t>.</w:t>
      </w:r>
      <w:r w:rsidRPr="00761EF3">
        <w:rPr>
          <w:szCs w:val="22"/>
        </w:rPr>
        <w:t>17</w:t>
      </w:r>
      <w:r w:rsidRPr="00212D57">
        <w:rPr>
          <w:szCs w:val="22"/>
        </w:rPr>
        <w:t>-</w:t>
      </w:r>
      <w:r w:rsidRPr="00761EF3">
        <w:rPr>
          <w:szCs w:val="22"/>
        </w:rPr>
        <w:t>24</w:t>
      </w:r>
      <w:r w:rsidRPr="00212D57">
        <w:rPr>
          <w:rFonts w:cs="Times Ext Roman"/>
          <w:szCs w:val="22"/>
        </w:rPr>
        <w:t>。</w:t>
      </w:r>
    </w:p>
  </w:footnote>
  <w:footnote w:id="30">
    <w:p w:rsidR="00157EF6" w:rsidRPr="00212D57" w:rsidRDefault="00157EF6" w:rsidP="002C66FC">
      <w:pPr>
        <w:pStyle w:val="a5"/>
        <w:spacing w:line="0" w:lineRule="atLeast"/>
        <w:ind w:left="792" w:hangingChars="360" w:hanging="792"/>
        <w:jc w:val="both"/>
        <w:rPr>
          <w:rFonts w:cs="Times Ext Roman"/>
          <w:szCs w:val="22"/>
        </w:rPr>
      </w:pPr>
      <w:r w:rsidRPr="00212D57">
        <w:rPr>
          <w:rStyle w:val="a6"/>
          <w:szCs w:val="22"/>
        </w:rPr>
        <w:footnoteRef/>
      </w:r>
      <w:r w:rsidRPr="00212D57">
        <w:rPr>
          <w:rFonts w:cs="Times Ext Roman" w:hint="eastAsia"/>
          <w:szCs w:val="22"/>
        </w:rPr>
        <w:t xml:space="preserve"> </w:t>
      </w:r>
      <w:r w:rsidRPr="00212D57">
        <w:rPr>
          <w:rFonts w:cs="Times Ext Roman" w:hint="eastAsia"/>
          <w:szCs w:val="22"/>
        </w:rPr>
        <w:t>（</w:t>
      </w:r>
      <w:r w:rsidRPr="00761EF3">
        <w:rPr>
          <w:rFonts w:hint="eastAsia"/>
          <w:szCs w:val="22"/>
        </w:rPr>
        <w:t>1</w:t>
      </w:r>
      <w:r w:rsidRPr="00212D57">
        <w:rPr>
          <w:rFonts w:cs="Times Ext Roman" w:hint="eastAsia"/>
          <w:szCs w:val="22"/>
        </w:rPr>
        <w:t>）</w:t>
      </w:r>
      <w:r w:rsidRPr="00212D57">
        <w:rPr>
          <w:rFonts w:cs="Times Ext Roman"/>
          <w:szCs w:val="22"/>
        </w:rPr>
        <w:t>《大智度論》卷</w:t>
      </w:r>
      <w:r w:rsidRPr="00761EF3">
        <w:rPr>
          <w:szCs w:val="22"/>
        </w:rPr>
        <w:t>1</w:t>
      </w:r>
      <w:r w:rsidR="00AC0462" w:rsidRPr="00AC0462">
        <w:rPr>
          <w:rFonts w:hint="eastAsia"/>
          <w:color w:val="FF0000"/>
          <w:szCs w:val="22"/>
          <w:highlight w:val="yellow"/>
        </w:rPr>
        <w:t>釋</w:t>
      </w:r>
      <w:r w:rsidRPr="00212D57">
        <w:rPr>
          <w:rFonts w:cs="Times Ext Roman" w:hint="eastAsia"/>
          <w:szCs w:val="22"/>
        </w:rPr>
        <w:t>〈</w:t>
      </w:r>
      <w:r w:rsidRPr="00761EF3">
        <w:rPr>
          <w:rFonts w:hint="eastAsia"/>
          <w:szCs w:val="22"/>
        </w:rPr>
        <w:t>1</w:t>
      </w:r>
      <w:r w:rsidRPr="00212D57">
        <w:rPr>
          <w:rFonts w:hint="eastAsia"/>
          <w:szCs w:val="22"/>
        </w:rPr>
        <w:t xml:space="preserve"> </w:t>
      </w:r>
      <w:r w:rsidRPr="00212D57">
        <w:rPr>
          <w:rFonts w:cs="Times Ext Roman" w:hint="eastAsia"/>
          <w:szCs w:val="22"/>
        </w:rPr>
        <w:t>序品〉</w:t>
      </w:r>
      <w:r w:rsidRPr="00212D57">
        <w:rPr>
          <w:rFonts w:cs="Times Ext Roman"/>
          <w:szCs w:val="22"/>
        </w:rPr>
        <w:t>（大正</w:t>
      </w:r>
      <w:r w:rsidRPr="00761EF3">
        <w:rPr>
          <w:szCs w:val="22"/>
        </w:rPr>
        <w:t>25</w:t>
      </w:r>
      <w:r w:rsidRPr="00212D57">
        <w:rPr>
          <w:rFonts w:cs="Times Ext Roman"/>
          <w:szCs w:val="22"/>
        </w:rPr>
        <w:t>，</w:t>
      </w:r>
      <w:r w:rsidRPr="00761EF3">
        <w:rPr>
          <w:szCs w:val="22"/>
        </w:rPr>
        <w:t>61b18</w:t>
      </w:r>
      <w:r w:rsidRPr="00212D57">
        <w:rPr>
          <w:szCs w:val="22"/>
        </w:rPr>
        <w:t>-</w:t>
      </w:r>
      <w:r w:rsidRPr="00761EF3">
        <w:rPr>
          <w:szCs w:val="22"/>
        </w:rPr>
        <w:t>62a28</w:t>
      </w:r>
      <w:r w:rsidRPr="00212D57">
        <w:rPr>
          <w:rFonts w:cs="Times Ext Roman"/>
          <w:szCs w:val="22"/>
        </w:rPr>
        <w:t>）：</w:t>
      </w:r>
    </w:p>
    <w:p w:rsidR="00157EF6" w:rsidRPr="00212D57" w:rsidRDefault="00157EF6" w:rsidP="009B468F">
      <w:pPr>
        <w:overflowPunct w:val="0"/>
        <w:autoSpaceDE w:val="0"/>
        <w:autoSpaceDN w:val="0"/>
        <w:snapToGrid w:val="0"/>
        <w:ind w:leftChars="335" w:left="804"/>
        <w:jc w:val="both"/>
        <w:rPr>
          <w:rFonts w:ascii="Times New Roman" w:eastAsia="標楷體" w:hAnsi="Times New Roman" w:cs="Times Ext Roman"/>
          <w:sz w:val="22"/>
          <w:szCs w:val="22"/>
        </w:rPr>
      </w:pPr>
      <w:bookmarkStart w:id="6" w:name="0061b18"/>
      <w:r w:rsidRPr="00212D57">
        <w:rPr>
          <w:rFonts w:ascii="Times New Roman" w:eastAsia="標楷體" w:hAnsi="Times New Roman" w:cs="Times Ext Roman"/>
          <w:sz w:val="22"/>
          <w:szCs w:val="22"/>
        </w:rPr>
        <w:t>欲令長爪梵志等大論議</w:t>
      </w:r>
      <w:bookmarkStart w:id="7" w:name="0061b19"/>
      <w:bookmarkEnd w:id="6"/>
      <w:r w:rsidRPr="00212D57">
        <w:rPr>
          <w:rFonts w:ascii="Times New Roman" w:eastAsia="標楷體" w:hAnsi="Times New Roman" w:cs="Times Ext Roman"/>
          <w:sz w:val="22"/>
          <w:szCs w:val="22"/>
        </w:rPr>
        <w:t>師，於佛法中生信故，說是摩訶般若波羅</w:t>
      </w:r>
      <w:bookmarkStart w:id="8" w:name="0061b20"/>
      <w:bookmarkEnd w:id="7"/>
      <w:r w:rsidRPr="00212D57">
        <w:rPr>
          <w:rFonts w:ascii="Times New Roman" w:eastAsia="標楷體" w:hAnsi="Times New Roman" w:cs="Times Ext Roman"/>
          <w:sz w:val="22"/>
          <w:szCs w:val="22"/>
        </w:rPr>
        <w:t>蜜經。</w:t>
      </w:r>
      <w:bookmarkEnd w:id="8"/>
      <w:r w:rsidRPr="00B16A72">
        <w:rPr>
          <w:rFonts w:ascii="標楷體" w:eastAsia="標楷體" w:hAnsi="標楷體" w:cs="Times Ext Roman"/>
          <w:sz w:val="22"/>
          <w:szCs w:val="22"/>
          <w:shd w:val="pct15" w:color="auto" w:fill="FFFFFF"/>
        </w:rPr>
        <w:t>……</w:t>
      </w:r>
    </w:p>
    <w:p w:rsidR="00157EF6" w:rsidRPr="00212D57" w:rsidRDefault="00157EF6" w:rsidP="009B468F">
      <w:pPr>
        <w:overflowPunct w:val="0"/>
        <w:autoSpaceDE w:val="0"/>
        <w:autoSpaceDN w:val="0"/>
        <w:snapToGrid w:val="0"/>
        <w:ind w:leftChars="335" w:left="804"/>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長爪梵志見佛，問訊訖，一面坐</w:t>
      </w:r>
      <w:r w:rsidR="00243EE3">
        <w:rPr>
          <w:rFonts w:ascii="Times New Roman" w:eastAsia="標楷體" w:hAnsi="Times New Roman" w:cs="Times Ext Roman" w:hint="eastAsia"/>
          <w:color w:val="FF0000"/>
          <w:sz w:val="22"/>
          <w:szCs w:val="22"/>
          <w:highlight w:val="yellow"/>
        </w:rPr>
        <w:t>，</w:t>
      </w:r>
      <w:r w:rsidRPr="00212D57">
        <w:rPr>
          <w:rFonts w:ascii="Times New Roman" w:eastAsia="標楷體" w:hAnsi="Times New Roman" w:cs="Times Ext Roman"/>
          <w:sz w:val="22"/>
          <w:szCs w:val="22"/>
        </w:rPr>
        <w:t>作是念：</w:t>
      </w:r>
      <w:r w:rsidRPr="00212D57">
        <w:rPr>
          <w:rFonts w:ascii="Times New Roman" w:eastAsia="標楷體" w:hAnsi="Times New Roman" w:cs="Times Ext Roman" w:hint="eastAsia"/>
          <w:sz w:val="22"/>
          <w:szCs w:val="22"/>
        </w:rPr>
        <w:t>「『</w:t>
      </w:r>
      <w:r w:rsidRPr="00212D57">
        <w:rPr>
          <w:rFonts w:ascii="Times New Roman" w:eastAsia="標楷體" w:hAnsi="Times New Roman" w:cs="Times Ext Roman"/>
          <w:sz w:val="22"/>
          <w:szCs w:val="22"/>
        </w:rPr>
        <w:t>一切論可破，一切語可壞，一切執可轉，是中何者是諸法實相？何者是</w:t>
      </w:r>
      <w:r w:rsidRPr="00212D57">
        <w:rPr>
          <w:rFonts w:ascii="Times New Roman" w:eastAsia="標楷體" w:hAnsi="Times New Roman" w:cs="Times Ext Roman"/>
          <w:b/>
          <w:sz w:val="22"/>
          <w:szCs w:val="22"/>
        </w:rPr>
        <w:t>第一義</w:t>
      </w:r>
      <w:r w:rsidRPr="00212D57">
        <w:rPr>
          <w:rFonts w:ascii="Times New Roman" w:eastAsia="標楷體" w:hAnsi="Times New Roman" w:cs="Times Ext Roman"/>
          <w:sz w:val="22"/>
          <w:szCs w:val="22"/>
        </w:rPr>
        <w:t>？何者性？何者相？不顛倒？</w:t>
      </w:r>
      <w:r w:rsidRPr="00212D57">
        <w:rPr>
          <w:rFonts w:ascii="Times New Roman" w:eastAsia="標楷體" w:hAnsi="Times New Roman" w:cs="Times Ext Roman" w:hint="eastAsia"/>
          <w:sz w:val="22"/>
          <w:szCs w:val="22"/>
        </w:rPr>
        <w:t>』</w:t>
      </w:r>
      <w:r w:rsidRPr="00212D57">
        <w:rPr>
          <w:rFonts w:ascii="Times New Roman" w:eastAsia="標楷體" w:hAnsi="Times New Roman" w:cs="Times Ext Roman"/>
          <w:sz w:val="22"/>
          <w:szCs w:val="22"/>
        </w:rPr>
        <w:t>如是思惟，譬如大海水中，欲盡其涯底，求之既久，不得一法實可以入心者。彼以何論議道而得我姊子？</w:t>
      </w:r>
      <w:r w:rsidRPr="00212D57">
        <w:rPr>
          <w:rFonts w:ascii="Times New Roman" w:eastAsia="標楷體" w:hAnsi="Times New Roman" w:cs="Times Ext Roman" w:hint="eastAsia"/>
          <w:sz w:val="22"/>
          <w:szCs w:val="22"/>
        </w:rPr>
        <w:t>」</w:t>
      </w:r>
      <w:r w:rsidRPr="00212D57">
        <w:rPr>
          <w:rFonts w:ascii="Times New Roman" w:eastAsia="標楷體" w:hAnsi="Times New Roman" w:cs="Times Ext Roman"/>
          <w:sz w:val="22"/>
          <w:szCs w:val="22"/>
        </w:rPr>
        <w:t>作是思惟已，而語佛言：</w:t>
      </w:r>
      <w:r w:rsidRPr="00212D57">
        <w:rPr>
          <w:rFonts w:ascii="Times New Roman" w:eastAsia="標楷體" w:hAnsi="Times New Roman" w:cs="Times Ext Roman" w:hint="eastAsia"/>
          <w:sz w:val="22"/>
          <w:szCs w:val="22"/>
        </w:rPr>
        <w:t>「</w:t>
      </w:r>
      <w:r w:rsidRPr="00212D57">
        <w:rPr>
          <w:rFonts w:ascii="Times New Roman" w:eastAsia="標楷體" w:hAnsi="Times New Roman" w:cs="Times Ext Roman"/>
          <w:sz w:val="22"/>
          <w:szCs w:val="22"/>
        </w:rPr>
        <w:t>瞿曇！我一切法不受。</w:t>
      </w:r>
      <w:r w:rsidRPr="00212D57">
        <w:rPr>
          <w:rFonts w:ascii="Times New Roman" w:eastAsia="標楷體" w:hAnsi="Times New Roman" w:cs="Times Ext Roman" w:hint="eastAsia"/>
          <w:sz w:val="22"/>
          <w:szCs w:val="22"/>
        </w:rPr>
        <w:t>」</w:t>
      </w:r>
    </w:p>
    <w:p w:rsidR="00157EF6" w:rsidRPr="00212D57" w:rsidRDefault="00157EF6" w:rsidP="009B468F">
      <w:pPr>
        <w:overflowPunct w:val="0"/>
        <w:autoSpaceDE w:val="0"/>
        <w:autoSpaceDN w:val="0"/>
        <w:snapToGrid w:val="0"/>
        <w:ind w:leftChars="335" w:left="804"/>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佛問長爪：</w:t>
      </w:r>
      <w:r w:rsidRPr="00212D57">
        <w:rPr>
          <w:rFonts w:ascii="Times New Roman" w:eastAsia="標楷體" w:hAnsi="Times New Roman" w:cs="Times Ext Roman" w:hint="eastAsia"/>
          <w:sz w:val="22"/>
          <w:szCs w:val="22"/>
        </w:rPr>
        <w:t>「</w:t>
      </w:r>
      <w:r w:rsidRPr="00212D57">
        <w:rPr>
          <w:rFonts w:ascii="Times New Roman" w:eastAsia="標楷體" w:hAnsi="Times New Roman" w:cs="Times Ext Roman"/>
          <w:sz w:val="22"/>
          <w:szCs w:val="22"/>
        </w:rPr>
        <w:t>汝一切法不受，是見受不？</w:t>
      </w:r>
      <w:r w:rsidRPr="00212D57">
        <w:rPr>
          <w:rFonts w:ascii="Times New Roman" w:eastAsia="標楷體" w:hAnsi="Times New Roman" w:cs="Times Ext Roman" w:hint="eastAsia"/>
          <w:sz w:val="22"/>
          <w:szCs w:val="22"/>
        </w:rPr>
        <w:t>」</w:t>
      </w:r>
      <w:r w:rsidRPr="00B16A72">
        <w:rPr>
          <w:rFonts w:ascii="標楷體" w:eastAsia="標楷體" w:hAnsi="標楷體" w:cs="Times Ext Roman"/>
          <w:sz w:val="22"/>
          <w:szCs w:val="22"/>
          <w:shd w:val="pct15" w:color="auto" w:fill="FFFFFF"/>
        </w:rPr>
        <w:t>……</w:t>
      </w:r>
    </w:p>
    <w:p w:rsidR="00157EF6" w:rsidRPr="00212D57" w:rsidRDefault="00157EF6" w:rsidP="009B468F">
      <w:pPr>
        <w:overflowPunct w:val="0"/>
        <w:autoSpaceDE w:val="0"/>
        <w:autoSpaceDN w:val="0"/>
        <w:snapToGrid w:val="0"/>
        <w:ind w:leftChars="335" w:left="804"/>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答佛言：</w:t>
      </w:r>
      <w:r w:rsidRPr="00212D57">
        <w:rPr>
          <w:rFonts w:ascii="Times New Roman" w:eastAsia="標楷體" w:hAnsi="Times New Roman" w:cs="Times Ext Roman" w:hint="eastAsia"/>
          <w:sz w:val="22"/>
          <w:szCs w:val="22"/>
        </w:rPr>
        <w:t>「</w:t>
      </w:r>
      <w:r w:rsidRPr="00212D57">
        <w:rPr>
          <w:rFonts w:ascii="Times New Roman" w:eastAsia="標楷體" w:hAnsi="Times New Roman" w:cs="Times Ext Roman"/>
          <w:sz w:val="22"/>
          <w:szCs w:val="22"/>
        </w:rPr>
        <w:t>瞿曇！一切法不受，是見亦不受。</w:t>
      </w:r>
      <w:r w:rsidRPr="00212D57">
        <w:rPr>
          <w:rFonts w:ascii="Times New Roman" w:eastAsia="標楷體" w:hAnsi="Times New Roman" w:cs="Times Ext Roman" w:hint="eastAsia"/>
          <w:sz w:val="22"/>
          <w:szCs w:val="22"/>
        </w:rPr>
        <w:t>」</w:t>
      </w:r>
    </w:p>
    <w:p w:rsidR="00157EF6" w:rsidRPr="00212D57" w:rsidRDefault="00157EF6" w:rsidP="009B468F">
      <w:pPr>
        <w:overflowPunct w:val="0"/>
        <w:autoSpaceDE w:val="0"/>
        <w:autoSpaceDN w:val="0"/>
        <w:snapToGrid w:val="0"/>
        <w:ind w:leftChars="335" w:left="804"/>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佛語梵志：</w:t>
      </w:r>
      <w:r w:rsidRPr="00212D57">
        <w:rPr>
          <w:rFonts w:ascii="Times New Roman" w:eastAsia="標楷體" w:hAnsi="Times New Roman" w:cs="Times Ext Roman" w:hint="eastAsia"/>
          <w:sz w:val="22"/>
          <w:szCs w:val="22"/>
        </w:rPr>
        <w:t>「</w:t>
      </w:r>
      <w:r w:rsidRPr="00212D57">
        <w:rPr>
          <w:rFonts w:ascii="Times New Roman" w:eastAsia="標楷體" w:hAnsi="Times New Roman" w:cs="Times Ext Roman"/>
          <w:sz w:val="22"/>
          <w:szCs w:val="22"/>
        </w:rPr>
        <w:t>汝不受一切法，是見亦不受，則無所受，與眾人無異，何用自高而生憍慢？</w:t>
      </w:r>
      <w:r w:rsidRPr="00212D57">
        <w:rPr>
          <w:rFonts w:ascii="Times New Roman" w:eastAsia="標楷體" w:hAnsi="Times New Roman" w:cs="Times Ext Roman" w:hint="eastAsia"/>
          <w:sz w:val="22"/>
          <w:szCs w:val="22"/>
        </w:rPr>
        <w:t>」</w:t>
      </w:r>
    </w:p>
    <w:p w:rsidR="00157EF6" w:rsidRPr="00212D57" w:rsidRDefault="00157EF6" w:rsidP="009B468F">
      <w:pPr>
        <w:overflowPunct w:val="0"/>
        <w:autoSpaceDE w:val="0"/>
        <w:autoSpaceDN w:val="0"/>
        <w:snapToGrid w:val="0"/>
        <w:ind w:leftChars="335" w:left="804"/>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如是</w:t>
      </w:r>
      <w:r w:rsidRPr="00212D57">
        <w:rPr>
          <w:rFonts w:ascii="Times New Roman" w:eastAsia="標楷體" w:hAnsi="Times New Roman" w:cs="Times Ext Roman" w:hint="eastAsia"/>
          <w:sz w:val="22"/>
          <w:szCs w:val="22"/>
        </w:rPr>
        <w:t>，</w:t>
      </w:r>
      <w:r w:rsidRPr="00212D57">
        <w:rPr>
          <w:rFonts w:ascii="Times New Roman" w:eastAsia="標楷體" w:hAnsi="Times New Roman" w:cs="Times Ext Roman"/>
          <w:sz w:val="22"/>
          <w:szCs w:val="22"/>
        </w:rPr>
        <w:t>長爪梵志不能得答，自知墮負處，即於佛一切智中起恭敬，生信心，自思惟：</w:t>
      </w:r>
      <w:r w:rsidRPr="00212D57">
        <w:rPr>
          <w:rFonts w:ascii="Times New Roman" w:eastAsia="標楷體" w:hAnsi="Times New Roman" w:cs="Times Ext Roman" w:hint="eastAsia"/>
          <w:sz w:val="22"/>
          <w:szCs w:val="22"/>
        </w:rPr>
        <w:t>「</w:t>
      </w:r>
      <w:r w:rsidRPr="00212D57">
        <w:rPr>
          <w:rFonts w:ascii="Times New Roman" w:eastAsia="標楷體" w:hAnsi="Times New Roman" w:cs="Times Ext Roman"/>
          <w:sz w:val="22"/>
          <w:szCs w:val="22"/>
        </w:rPr>
        <w:t>我墮負處，世尊不彰我負，不言是非，不以為意；佛心柔濡，第一清淨；一切語論處滅，得大甚深法，是可恭敬處，心淨第一。</w:t>
      </w:r>
      <w:r w:rsidRPr="00212D57">
        <w:rPr>
          <w:rFonts w:ascii="Times New Roman" w:eastAsia="標楷體" w:hAnsi="Times New Roman" w:cs="Times Ext Roman" w:hint="eastAsia"/>
          <w:sz w:val="22"/>
          <w:szCs w:val="22"/>
        </w:rPr>
        <w:t>」</w:t>
      </w:r>
    </w:p>
    <w:p w:rsidR="00157EF6" w:rsidRPr="00212D57" w:rsidRDefault="00157EF6" w:rsidP="009B468F">
      <w:pPr>
        <w:overflowPunct w:val="0"/>
        <w:autoSpaceDE w:val="0"/>
        <w:autoSpaceDN w:val="0"/>
        <w:snapToGrid w:val="0"/>
        <w:ind w:leftChars="335" w:left="804"/>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佛說法斷其邪見故，即於坐處得遠塵離垢，諸法中得法眼淨。時舍利弗聞是語，得阿羅漢，是長爪梵志出家作沙門，得大力阿羅漢。</w:t>
      </w:r>
    </w:p>
    <w:p w:rsidR="00157EF6" w:rsidRPr="00212D57" w:rsidRDefault="00157EF6" w:rsidP="009B468F">
      <w:pPr>
        <w:pStyle w:val="a5"/>
        <w:ind w:leftChars="335" w:left="804"/>
        <w:jc w:val="both"/>
        <w:rPr>
          <w:rFonts w:eastAsia="標楷體" w:cs="Times Ext Roman"/>
          <w:szCs w:val="22"/>
        </w:rPr>
      </w:pPr>
      <w:r w:rsidRPr="00212D57">
        <w:rPr>
          <w:rFonts w:eastAsia="標楷體" w:cs="Times Ext Roman"/>
          <w:szCs w:val="22"/>
        </w:rPr>
        <w:t>若長爪梵志不聞般若波羅蜜氣分，離四句</w:t>
      </w:r>
      <w:r w:rsidRPr="00212D57">
        <w:rPr>
          <w:rFonts w:eastAsia="標楷體" w:cs="Times Ext Roman"/>
          <w:b/>
          <w:szCs w:val="22"/>
        </w:rPr>
        <w:t>第一義相應法</w:t>
      </w:r>
      <w:r w:rsidRPr="00212D57">
        <w:rPr>
          <w:rFonts w:eastAsia="標楷體" w:cs="Times Ext Roman"/>
          <w:szCs w:val="22"/>
        </w:rPr>
        <w:t>，小信尚不得，何況得出家道果</w:t>
      </w:r>
      <w:r w:rsidRPr="00212D57">
        <w:rPr>
          <w:rFonts w:eastAsia="標楷體" w:cs="Times Ext Roman" w:hint="eastAsia"/>
          <w:szCs w:val="22"/>
        </w:rPr>
        <w:t>！</w:t>
      </w:r>
      <w:r w:rsidRPr="00212D57">
        <w:rPr>
          <w:rFonts w:eastAsia="標楷體" w:cs="Times Ext Roman"/>
          <w:szCs w:val="22"/>
        </w:rPr>
        <w:t>佛欲導引如是等大論議師利根人故，說</w:t>
      </w:r>
      <w:r w:rsidRPr="00212D57">
        <w:rPr>
          <w:rFonts w:ascii="標楷體" w:eastAsia="標楷體" w:hAnsi="標楷體" w:cs="Times Ext Roman"/>
          <w:szCs w:val="22"/>
        </w:rPr>
        <w:t>是</w:t>
      </w:r>
      <w:r w:rsidRPr="00212D57">
        <w:rPr>
          <w:rFonts w:ascii="標楷體" w:eastAsia="標楷體" w:hAnsi="標楷體"/>
          <w:szCs w:val="22"/>
        </w:rPr>
        <w:t>《</w:t>
      </w:r>
      <w:r w:rsidRPr="00212D57">
        <w:rPr>
          <w:rFonts w:ascii="標楷體" w:eastAsia="標楷體" w:hAnsi="標楷體" w:cs="Times Ext Roman"/>
          <w:szCs w:val="22"/>
        </w:rPr>
        <w:t>般若波羅蜜經</w:t>
      </w:r>
      <w:r w:rsidRPr="00212D57">
        <w:rPr>
          <w:rFonts w:ascii="標楷體" w:eastAsia="標楷體" w:hAnsi="標楷體"/>
          <w:szCs w:val="22"/>
        </w:rPr>
        <w:t>》</w:t>
      </w:r>
      <w:r w:rsidRPr="00212D57">
        <w:rPr>
          <w:rFonts w:eastAsia="標楷體" w:cs="Times Ext Roman"/>
          <w:szCs w:val="22"/>
        </w:rPr>
        <w:t>。</w:t>
      </w:r>
    </w:p>
    <w:p w:rsidR="00157EF6" w:rsidRPr="00212D57" w:rsidRDefault="00157EF6" w:rsidP="002C66FC">
      <w:pPr>
        <w:pStyle w:val="a5"/>
        <w:ind w:leftChars="105" w:left="791" w:hangingChars="245" w:hanging="539"/>
        <w:jc w:val="both"/>
        <w:rPr>
          <w:szCs w:val="22"/>
        </w:rPr>
      </w:pPr>
      <w:r w:rsidRPr="00212D57">
        <w:rPr>
          <w:rFonts w:eastAsia="標楷體" w:cs="Times Ext Roman" w:hint="eastAsia"/>
          <w:szCs w:val="22"/>
        </w:rPr>
        <w:t>（</w:t>
      </w:r>
      <w:r w:rsidRPr="00761EF3">
        <w:rPr>
          <w:rFonts w:eastAsia="標楷體"/>
          <w:szCs w:val="22"/>
        </w:rPr>
        <w:t>2</w:t>
      </w:r>
      <w:r w:rsidRPr="00212D57">
        <w:rPr>
          <w:rFonts w:eastAsia="標楷體" w:cs="Times Ext Roman" w:hint="eastAsia"/>
          <w:szCs w:val="22"/>
        </w:rPr>
        <w:t>）</w:t>
      </w:r>
      <w:r w:rsidRPr="00212D57">
        <w:rPr>
          <w:szCs w:val="22"/>
        </w:rPr>
        <w:t>另</w:t>
      </w:r>
      <w:r w:rsidRPr="00212D57">
        <w:rPr>
          <w:rStyle w:val="byline"/>
          <w:rFonts w:hAnsi="新細明體"/>
          <w:color w:val="auto"/>
          <w:sz w:val="22"/>
          <w:szCs w:val="22"/>
        </w:rPr>
        <w:t>參見</w:t>
      </w:r>
      <w:r w:rsidRPr="00212D57">
        <w:rPr>
          <w:szCs w:val="22"/>
        </w:rPr>
        <w:t>《雜阿含經》卷</w:t>
      </w:r>
      <w:r w:rsidRPr="00761EF3">
        <w:rPr>
          <w:rFonts w:hint="eastAsia"/>
          <w:szCs w:val="22"/>
        </w:rPr>
        <w:t>34</w:t>
      </w:r>
      <w:r w:rsidRPr="00212D57">
        <w:rPr>
          <w:szCs w:val="22"/>
        </w:rPr>
        <w:t>（</w:t>
      </w:r>
      <w:r w:rsidRPr="00761EF3">
        <w:rPr>
          <w:rFonts w:hint="eastAsia"/>
          <w:szCs w:val="22"/>
        </w:rPr>
        <w:t>969</w:t>
      </w:r>
      <w:r w:rsidRPr="00212D57">
        <w:rPr>
          <w:rFonts w:hint="eastAsia"/>
          <w:szCs w:val="22"/>
        </w:rPr>
        <w:t>經</w:t>
      </w:r>
      <w:r w:rsidRPr="00212D57">
        <w:rPr>
          <w:szCs w:val="22"/>
        </w:rPr>
        <w:t>）（大正</w:t>
      </w:r>
      <w:r w:rsidRPr="00761EF3">
        <w:rPr>
          <w:szCs w:val="22"/>
        </w:rPr>
        <w:t>2</w:t>
      </w:r>
      <w:r w:rsidRPr="00212D57">
        <w:rPr>
          <w:szCs w:val="22"/>
        </w:rPr>
        <w:t>，</w:t>
      </w:r>
      <w:r w:rsidRPr="00761EF3">
        <w:rPr>
          <w:rFonts w:hint="eastAsia"/>
          <w:szCs w:val="22"/>
        </w:rPr>
        <w:t>249</w:t>
      </w:r>
      <w:r w:rsidRPr="00761EF3">
        <w:rPr>
          <w:szCs w:val="22"/>
        </w:rPr>
        <w:t>a</w:t>
      </w:r>
      <w:r w:rsidRPr="00761EF3">
        <w:rPr>
          <w:rFonts w:hint="eastAsia"/>
          <w:szCs w:val="22"/>
        </w:rPr>
        <w:t>29</w:t>
      </w:r>
      <w:r w:rsidRPr="00212D57">
        <w:rPr>
          <w:szCs w:val="22"/>
        </w:rPr>
        <w:t>-</w:t>
      </w:r>
      <w:r w:rsidRPr="00761EF3">
        <w:rPr>
          <w:rFonts w:hint="eastAsia"/>
          <w:szCs w:val="22"/>
        </w:rPr>
        <w:t>250a12</w:t>
      </w:r>
      <w:r w:rsidRPr="00212D57">
        <w:rPr>
          <w:szCs w:val="22"/>
        </w:rPr>
        <w:t>），《</w:t>
      </w:r>
      <w:r w:rsidRPr="00212D57">
        <w:rPr>
          <w:rFonts w:hint="eastAsia"/>
          <w:szCs w:val="22"/>
        </w:rPr>
        <w:t>別譯</w:t>
      </w:r>
      <w:r w:rsidRPr="00212D57">
        <w:rPr>
          <w:szCs w:val="22"/>
        </w:rPr>
        <w:t>雜阿含經》卷</w:t>
      </w:r>
      <w:r w:rsidRPr="00761EF3">
        <w:rPr>
          <w:rFonts w:hint="eastAsia"/>
          <w:szCs w:val="22"/>
        </w:rPr>
        <w:t>11</w:t>
      </w:r>
      <w:r w:rsidRPr="00212D57">
        <w:rPr>
          <w:rFonts w:hint="eastAsia"/>
          <w:szCs w:val="22"/>
        </w:rPr>
        <w:t>（</w:t>
      </w:r>
      <w:r w:rsidRPr="00761EF3">
        <w:rPr>
          <w:rFonts w:hint="eastAsia"/>
          <w:szCs w:val="22"/>
        </w:rPr>
        <w:t>203</w:t>
      </w:r>
      <w:r w:rsidRPr="00212D57">
        <w:rPr>
          <w:rFonts w:hint="eastAsia"/>
          <w:szCs w:val="22"/>
        </w:rPr>
        <w:t>經</w:t>
      </w:r>
      <w:r w:rsidRPr="00212D57">
        <w:rPr>
          <w:szCs w:val="22"/>
        </w:rPr>
        <w:t>）（大正</w:t>
      </w:r>
      <w:r w:rsidRPr="00761EF3">
        <w:rPr>
          <w:szCs w:val="22"/>
        </w:rPr>
        <w:t>2</w:t>
      </w:r>
      <w:r w:rsidRPr="00212D57">
        <w:rPr>
          <w:szCs w:val="22"/>
        </w:rPr>
        <w:t>，</w:t>
      </w:r>
      <w:r w:rsidRPr="00761EF3">
        <w:rPr>
          <w:rFonts w:hint="eastAsia"/>
          <w:szCs w:val="22"/>
        </w:rPr>
        <w:t>249</w:t>
      </w:r>
      <w:r w:rsidRPr="00761EF3">
        <w:rPr>
          <w:szCs w:val="22"/>
        </w:rPr>
        <w:t>a</w:t>
      </w:r>
      <w:r w:rsidRPr="00761EF3">
        <w:rPr>
          <w:rFonts w:hint="eastAsia"/>
          <w:szCs w:val="22"/>
        </w:rPr>
        <w:t>4</w:t>
      </w:r>
      <w:r w:rsidRPr="00212D57">
        <w:rPr>
          <w:rFonts w:hint="eastAsia"/>
          <w:szCs w:val="22"/>
        </w:rPr>
        <w:t>-</w:t>
      </w:r>
      <w:r w:rsidRPr="00761EF3">
        <w:rPr>
          <w:rFonts w:hint="eastAsia"/>
          <w:szCs w:val="22"/>
        </w:rPr>
        <w:t>b27</w:t>
      </w:r>
      <w:r w:rsidRPr="00212D57">
        <w:rPr>
          <w:szCs w:val="22"/>
        </w:rPr>
        <w:t>）</w:t>
      </w:r>
      <w:r w:rsidRPr="00212D57">
        <w:rPr>
          <w:rFonts w:hint="eastAsia"/>
          <w:szCs w:val="22"/>
        </w:rPr>
        <w:t>，</w:t>
      </w:r>
      <w:r w:rsidRPr="00212D57">
        <w:rPr>
          <w:szCs w:val="22"/>
        </w:rPr>
        <w:t>《增壹阿含經》卷</w:t>
      </w:r>
      <w:r w:rsidRPr="00761EF3">
        <w:rPr>
          <w:szCs w:val="22"/>
        </w:rPr>
        <w:t>30</w:t>
      </w:r>
      <w:r w:rsidRPr="00212D57">
        <w:rPr>
          <w:szCs w:val="22"/>
        </w:rPr>
        <w:t>〈</w:t>
      </w:r>
      <w:r w:rsidRPr="00761EF3">
        <w:rPr>
          <w:szCs w:val="22"/>
        </w:rPr>
        <w:t>37</w:t>
      </w:r>
      <w:r w:rsidRPr="00212D57">
        <w:rPr>
          <w:szCs w:val="22"/>
        </w:rPr>
        <w:t xml:space="preserve"> </w:t>
      </w:r>
      <w:r w:rsidRPr="00212D57">
        <w:rPr>
          <w:szCs w:val="22"/>
        </w:rPr>
        <w:t>六重品〉（</w:t>
      </w:r>
      <w:r w:rsidRPr="00761EF3">
        <w:rPr>
          <w:szCs w:val="22"/>
        </w:rPr>
        <w:t>10</w:t>
      </w:r>
      <w:r w:rsidRPr="00212D57">
        <w:rPr>
          <w:szCs w:val="22"/>
        </w:rPr>
        <w:t>經）（大正</w:t>
      </w:r>
      <w:r w:rsidRPr="00761EF3">
        <w:rPr>
          <w:szCs w:val="22"/>
        </w:rPr>
        <w:t>2</w:t>
      </w:r>
      <w:r w:rsidRPr="00212D57">
        <w:rPr>
          <w:szCs w:val="22"/>
        </w:rPr>
        <w:t>，</w:t>
      </w:r>
      <w:r w:rsidRPr="00761EF3">
        <w:rPr>
          <w:szCs w:val="22"/>
        </w:rPr>
        <w:t>715a28</w:t>
      </w:r>
      <w:r w:rsidRPr="00212D57">
        <w:rPr>
          <w:szCs w:val="22"/>
        </w:rPr>
        <w:t>-</w:t>
      </w:r>
      <w:r w:rsidRPr="00761EF3">
        <w:rPr>
          <w:szCs w:val="22"/>
        </w:rPr>
        <w:t>717b8</w:t>
      </w:r>
      <w:r w:rsidRPr="00212D57">
        <w:rPr>
          <w:szCs w:val="22"/>
        </w:rPr>
        <w:t>），《撰集百緣經》卷</w:t>
      </w:r>
      <w:r w:rsidRPr="00761EF3">
        <w:rPr>
          <w:szCs w:val="22"/>
        </w:rPr>
        <w:t>10</w:t>
      </w:r>
      <w:r w:rsidRPr="00212D57">
        <w:rPr>
          <w:szCs w:val="22"/>
        </w:rPr>
        <w:t>〈</w:t>
      </w:r>
      <w:r w:rsidRPr="00761EF3">
        <w:rPr>
          <w:szCs w:val="22"/>
        </w:rPr>
        <w:t>10</w:t>
      </w:r>
      <w:r w:rsidRPr="00212D57">
        <w:rPr>
          <w:szCs w:val="22"/>
        </w:rPr>
        <w:t xml:space="preserve"> </w:t>
      </w:r>
      <w:r w:rsidRPr="00212D57">
        <w:rPr>
          <w:szCs w:val="22"/>
        </w:rPr>
        <w:t>諸緣品〉（</w:t>
      </w:r>
      <w:r w:rsidRPr="00761EF3">
        <w:rPr>
          <w:szCs w:val="22"/>
        </w:rPr>
        <w:t>99</w:t>
      </w:r>
      <w:r w:rsidRPr="00212D57">
        <w:rPr>
          <w:szCs w:val="22"/>
        </w:rPr>
        <w:t>經）〈長</w:t>
      </w:r>
      <w:r w:rsidRPr="00212D57">
        <w:rPr>
          <w:b/>
          <w:szCs w:val="22"/>
        </w:rPr>
        <w:t>瓜</w:t>
      </w:r>
      <w:r w:rsidRPr="00212D57">
        <w:rPr>
          <w:rFonts w:hint="eastAsia"/>
          <w:szCs w:val="22"/>
          <w:vertAlign w:val="superscript"/>
        </w:rPr>
        <w:t>※</w:t>
      </w:r>
      <w:r w:rsidRPr="00212D57">
        <w:rPr>
          <w:szCs w:val="22"/>
        </w:rPr>
        <w:t>梵志緣〉（大正</w:t>
      </w:r>
      <w:r w:rsidRPr="00761EF3">
        <w:rPr>
          <w:szCs w:val="22"/>
        </w:rPr>
        <w:t>4</w:t>
      </w:r>
      <w:r w:rsidRPr="00212D57">
        <w:rPr>
          <w:szCs w:val="22"/>
        </w:rPr>
        <w:t>，</w:t>
      </w:r>
      <w:r w:rsidRPr="00761EF3">
        <w:rPr>
          <w:szCs w:val="22"/>
        </w:rPr>
        <w:t>255a16</w:t>
      </w:r>
      <w:r w:rsidRPr="00212D57">
        <w:rPr>
          <w:szCs w:val="22"/>
        </w:rPr>
        <w:t>-</w:t>
      </w:r>
      <w:r w:rsidRPr="00761EF3">
        <w:rPr>
          <w:szCs w:val="22"/>
        </w:rPr>
        <w:t>256b14</w:t>
      </w:r>
      <w:r w:rsidRPr="00212D57">
        <w:rPr>
          <w:szCs w:val="22"/>
        </w:rPr>
        <w:t>）。</w:t>
      </w:r>
    </w:p>
    <w:p w:rsidR="00157EF6" w:rsidRPr="00212D57" w:rsidRDefault="00157EF6" w:rsidP="002C66FC">
      <w:pPr>
        <w:pStyle w:val="a5"/>
        <w:tabs>
          <w:tab w:val="left" w:pos="2100"/>
        </w:tabs>
        <w:ind w:leftChars="330" w:left="792"/>
        <w:jc w:val="both"/>
        <w:rPr>
          <w:szCs w:val="22"/>
        </w:rPr>
      </w:pPr>
      <w:r w:rsidRPr="00212D57">
        <w:rPr>
          <w:rFonts w:ascii="新細明體" w:hAnsi="新細明體" w:cs="新細明體" w:hint="eastAsia"/>
          <w:szCs w:val="22"/>
        </w:rPr>
        <w:t>※</w:t>
      </w:r>
      <w:r w:rsidRPr="00212D57">
        <w:rPr>
          <w:szCs w:val="22"/>
        </w:rPr>
        <w:t>瓜＝爪【宋】＊【元】＊【明】＊，＝抓【聖】＊。（大正</w:t>
      </w:r>
      <w:r w:rsidRPr="00761EF3">
        <w:rPr>
          <w:szCs w:val="22"/>
        </w:rPr>
        <w:t>4</w:t>
      </w:r>
      <w:r w:rsidRPr="00212D57">
        <w:rPr>
          <w:szCs w:val="22"/>
        </w:rPr>
        <w:t>，</w:t>
      </w:r>
      <w:r w:rsidRPr="00761EF3">
        <w:rPr>
          <w:szCs w:val="22"/>
        </w:rPr>
        <w:t>255d</w:t>
      </w:r>
      <w:r w:rsidRPr="00212D57">
        <w:rPr>
          <w:szCs w:val="22"/>
        </w:rPr>
        <w:t>，</w:t>
      </w:r>
      <w:r w:rsidRPr="00761EF3">
        <w:rPr>
          <w:szCs w:val="22"/>
        </w:rPr>
        <w:t>n</w:t>
      </w:r>
      <w:r w:rsidRPr="00212D57">
        <w:rPr>
          <w:szCs w:val="22"/>
        </w:rPr>
        <w:t>.</w:t>
      </w:r>
      <w:r w:rsidRPr="00761EF3">
        <w:rPr>
          <w:szCs w:val="22"/>
        </w:rPr>
        <w:t>5</w:t>
      </w:r>
      <w:r w:rsidRPr="00212D57">
        <w:rPr>
          <w:szCs w:val="22"/>
        </w:rPr>
        <w:t>）</w:t>
      </w:r>
    </w:p>
  </w:footnote>
  <w:footnote w:id="31">
    <w:p w:rsidR="008144B4" w:rsidRPr="00212D57" w:rsidRDefault="008144B4" w:rsidP="008144B4">
      <w:pPr>
        <w:pStyle w:val="a5"/>
        <w:spacing w:line="0" w:lineRule="atLeast"/>
        <w:ind w:left="253" w:hangingChars="115" w:hanging="253"/>
        <w:jc w:val="both"/>
        <w:rPr>
          <w:rFonts w:cs="Times Ext Roman"/>
          <w:szCs w:val="22"/>
        </w:rPr>
      </w:pPr>
      <w:r w:rsidRPr="00212D57">
        <w:rPr>
          <w:rStyle w:val="a6"/>
          <w:szCs w:val="22"/>
        </w:rPr>
        <w:footnoteRef/>
      </w:r>
      <w:r w:rsidRPr="00212D57">
        <w:rPr>
          <w:rFonts w:hint="eastAsia"/>
          <w:szCs w:val="22"/>
        </w:rPr>
        <w:t xml:space="preserve"> </w:t>
      </w:r>
      <w:r w:rsidRPr="00212D57">
        <w:rPr>
          <w:rFonts w:cs="Times Ext Roman"/>
          <w:szCs w:val="22"/>
        </w:rPr>
        <w:t>參見</w:t>
      </w:r>
      <w:r w:rsidRPr="00761EF3">
        <w:rPr>
          <w:szCs w:val="22"/>
        </w:rPr>
        <w:t>Lamotte</w:t>
      </w:r>
      <w:r w:rsidRPr="00212D57">
        <w:rPr>
          <w:rFonts w:cs="Times Ext Roman" w:hint="eastAsia"/>
          <w:szCs w:val="22"/>
        </w:rPr>
        <w:t>（</w:t>
      </w:r>
      <w:r w:rsidRPr="00761EF3">
        <w:rPr>
          <w:rFonts w:hint="eastAsia"/>
          <w:szCs w:val="22"/>
        </w:rPr>
        <w:t>1944</w:t>
      </w:r>
      <w:r w:rsidRPr="00212D57">
        <w:rPr>
          <w:rFonts w:cs="Times Ext Roman" w:hint="eastAsia"/>
          <w:szCs w:val="22"/>
        </w:rPr>
        <w:t>，</w:t>
      </w:r>
      <w:r w:rsidRPr="00761EF3">
        <w:rPr>
          <w:szCs w:val="22"/>
        </w:rPr>
        <w:t>p</w:t>
      </w:r>
      <w:r w:rsidRPr="00212D57">
        <w:rPr>
          <w:szCs w:val="22"/>
        </w:rPr>
        <w:t>.</w:t>
      </w:r>
      <w:r w:rsidRPr="00761EF3">
        <w:rPr>
          <w:szCs w:val="22"/>
        </w:rPr>
        <w:t>39</w:t>
      </w:r>
      <w:r w:rsidRPr="00212D57">
        <w:rPr>
          <w:szCs w:val="22"/>
        </w:rPr>
        <w:t>,</w:t>
      </w:r>
      <w:r w:rsidRPr="00212D57">
        <w:rPr>
          <w:rFonts w:hint="eastAsia"/>
          <w:szCs w:val="22"/>
        </w:rPr>
        <w:t xml:space="preserve"> </w:t>
      </w:r>
      <w:r w:rsidRPr="00761EF3">
        <w:rPr>
          <w:szCs w:val="22"/>
        </w:rPr>
        <w:t>n</w:t>
      </w:r>
      <w:r w:rsidRPr="00212D57">
        <w:rPr>
          <w:szCs w:val="22"/>
        </w:rPr>
        <w:t>.</w:t>
      </w:r>
      <w:r w:rsidRPr="00212D57">
        <w:rPr>
          <w:rFonts w:hint="eastAsia"/>
          <w:szCs w:val="22"/>
        </w:rPr>
        <w:t xml:space="preserve"> </w:t>
      </w:r>
      <w:r w:rsidRPr="00761EF3">
        <w:rPr>
          <w:szCs w:val="22"/>
        </w:rPr>
        <w:t>2</w:t>
      </w:r>
      <w:r w:rsidRPr="00212D57">
        <w:rPr>
          <w:rFonts w:cs="Times Ext Roman"/>
          <w:szCs w:val="22"/>
        </w:rPr>
        <w:t>）：此《眾義經》，在巴利文作</w:t>
      </w:r>
      <w:r w:rsidRPr="00212D57">
        <w:rPr>
          <w:szCs w:val="22"/>
        </w:rPr>
        <w:t xml:space="preserve"> </w:t>
      </w:r>
      <w:r w:rsidRPr="00761EF3">
        <w:rPr>
          <w:szCs w:val="22"/>
        </w:rPr>
        <w:t>Aṭṭhakavagga</w:t>
      </w:r>
      <w:r w:rsidRPr="00212D57">
        <w:rPr>
          <w:szCs w:val="22"/>
        </w:rPr>
        <w:t>，係原始佛教中相當古老之典籍。在巴利文，</w:t>
      </w:r>
      <w:r w:rsidRPr="00761EF3">
        <w:rPr>
          <w:szCs w:val="22"/>
        </w:rPr>
        <w:t>Aṭṭhakavagga</w:t>
      </w:r>
      <w:r w:rsidRPr="00212D57">
        <w:rPr>
          <w:szCs w:val="22"/>
        </w:rPr>
        <w:t xml:space="preserve"> </w:t>
      </w:r>
      <w:r w:rsidRPr="00212D57">
        <w:rPr>
          <w:szCs w:val="22"/>
        </w:rPr>
        <w:t>意為「八品」，共有十六</w:t>
      </w:r>
      <w:r w:rsidRPr="00212D57">
        <w:rPr>
          <w:rFonts w:cs="Times Ext Roman"/>
          <w:szCs w:val="22"/>
        </w:rPr>
        <w:t>經，列為《經集》之第四品，而《經集》又為「小部」之第五部，且是經藏之第四（</w:t>
      </w:r>
      <w:r w:rsidRPr="00212D57">
        <w:rPr>
          <w:rFonts w:cs="Times Ext Roman" w:hint="eastAsia"/>
          <w:szCs w:val="22"/>
        </w:rPr>
        <w:t>案：</w:t>
      </w:r>
      <w:r w:rsidRPr="00212D57">
        <w:rPr>
          <w:rFonts w:cs="Times Ext Roman"/>
          <w:szCs w:val="22"/>
        </w:rPr>
        <w:t>似應為第五）部分，即最後一部分，即是「小部」；在漢譯佛典中，支謙於西元</w:t>
      </w:r>
      <w:r w:rsidRPr="00212D57">
        <w:rPr>
          <w:szCs w:val="22"/>
        </w:rPr>
        <w:t xml:space="preserve"> </w:t>
      </w:r>
      <w:r w:rsidRPr="00761EF3">
        <w:rPr>
          <w:szCs w:val="22"/>
        </w:rPr>
        <w:t>223</w:t>
      </w:r>
      <w:r w:rsidRPr="00212D57">
        <w:rPr>
          <w:rFonts w:cs="Times Ext Roman"/>
          <w:szCs w:val="22"/>
        </w:rPr>
        <w:t>～</w:t>
      </w:r>
      <w:r w:rsidRPr="00761EF3">
        <w:rPr>
          <w:szCs w:val="22"/>
        </w:rPr>
        <w:t>253</w:t>
      </w:r>
      <w:r w:rsidRPr="00212D57">
        <w:rPr>
          <w:szCs w:val="22"/>
        </w:rPr>
        <w:t xml:space="preserve"> </w:t>
      </w:r>
      <w:r w:rsidRPr="00212D57">
        <w:rPr>
          <w:rFonts w:cs="Times Ext Roman"/>
          <w:szCs w:val="22"/>
        </w:rPr>
        <w:t>年間所譯之《義足經》（大正</w:t>
      </w:r>
      <w:r w:rsidRPr="00761EF3">
        <w:rPr>
          <w:szCs w:val="22"/>
        </w:rPr>
        <w:t>4</w:t>
      </w:r>
      <w:r w:rsidRPr="00212D57">
        <w:rPr>
          <w:rFonts w:cs="Times Ext Roman"/>
          <w:szCs w:val="22"/>
        </w:rPr>
        <w:t>，</w:t>
      </w:r>
      <w:r w:rsidRPr="00761EF3">
        <w:rPr>
          <w:szCs w:val="22"/>
        </w:rPr>
        <w:t>174b</w:t>
      </w:r>
      <w:r w:rsidRPr="00761EF3">
        <w:rPr>
          <w:rFonts w:hint="eastAsia"/>
          <w:szCs w:val="22"/>
        </w:rPr>
        <w:t>8</w:t>
      </w:r>
      <w:r w:rsidRPr="00212D57">
        <w:rPr>
          <w:szCs w:val="22"/>
        </w:rPr>
        <w:t>-</w:t>
      </w:r>
      <w:r w:rsidRPr="00761EF3">
        <w:rPr>
          <w:rFonts w:hint="eastAsia"/>
          <w:szCs w:val="22"/>
        </w:rPr>
        <w:t>1</w:t>
      </w:r>
      <w:r w:rsidRPr="00761EF3">
        <w:rPr>
          <w:szCs w:val="22"/>
        </w:rPr>
        <w:t>89c</w:t>
      </w:r>
      <w:r w:rsidRPr="00761EF3">
        <w:rPr>
          <w:rFonts w:hint="eastAsia"/>
          <w:szCs w:val="22"/>
        </w:rPr>
        <w:t>23</w:t>
      </w:r>
      <w:r w:rsidRPr="00212D57">
        <w:rPr>
          <w:rFonts w:cs="Times Ext Roman"/>
          <w:szCs w:val="22"/>
        </w:rPr>
        <w:t>）即為本經之漢譯。本經常為漢譯佛典所引用，可惜名稱極不一致（漢譯出處略）。</w:t>
      </w:r>
    </w:p>
  </w:footnote>
  <w:footnote w:id="32">
    <w:p w:rsidR="00157EF6" w:rsidRPr="00212D57" w:rsidRDefault="00157EF6" w:rsidP="002C66FC">
      <w:pPr>
        <w:pStyle w:val="a5"/>
        <w:spacing w:line="0" w:lineRule="atLeast"/>
        <w:ind w:left="253" w:hangingChars="115" w:hanging="253"/>
        <w:jc w:val="both"/>
        <w:rPr>
          <w:rFonts w:cs="Times Ext Roman"/>
          <w:szCs w:val="22"/>
        </w:rPr>
      </w:pPr>
      <w:r w:rsidRPr="00212D57">
        <w:rPr>
          <w:rStyle w:val="a6"/>
          <w:szCs w:val="22"/>
        </w:rPr>
        <w:footnoteRef/>
      </w:r>
      <w:r w:rsidRPr="00212D57">
        <w:rPr>
          <w:szCs w:val="22"/>
        </w:rPr>
        <w:t xml:space="preserve"> </w:t>
      </w:r>
      <w:r w:rsidRPr="00212D57">
        <w:rPr>
          <w:rFonts w:cs="Times Ext Roman"/>
          <w:szCs w:val="22"/>
        </w:rPr>
        <w:t>《大智度論》卷</w:t>
      </w:r>
      <w:r w:rsidRPr="00761EF3">
        <w:rPr>
          <w:szCs w:val="22"/>
        </w:rPr>
        <w:t>1</w:t>
      </w:r>
      <w:r w:rsidR="00AC0462" w:rsidRPr="00AC0462">
        <w:rPr>
          <w:rFonts w:hint="eastAsia"/>
          <w:color w:val="FF0000"/>
          <w:szCs w:val="22"/>
          <w:highlight w:val="yellow"/>
        </w:rPr>
        <w:t>釋</w:t>
      </w:r>
      <w:r w:rsidRPr="00212D57">
        <w:rPr>
          <w:rFonts w:cs="Times Ext Roman" w:hint="eastAsia"/>
          <w:szCs w:val="22"/>
        </w:rPr>
        <w:t>〈</w:t>
      </w:r>
      <w:r w:rsidRPr="00761EF3">
        <w:rPr>
          <w:rFonts w:hint="eastAsia"/>
          <w:szCs w:val="22"/>
        </w:rPr>
        <w:t>1</w:t>
      </w:r>
      <w:r w:rsidRPr="00212D57">
        <w:rPr>
          <w:rFonts w:hint="eastAsia"/>
          <w:szCs w:val="22"/>
        </w:rPr>
        <w:t xml:space="preserve"> </w:t>
      </w:r>
      <w:r w:rsidRPr="00212D57">
        <w:rPr>
          <w:rFonts w:cs="Times Ext Roman" w:hint="eastAsia"/>
          <w:szCs w:val="22"/>
        </w:rPr>
        <w:t>序品〉</w:t>
      </w:r>
      <w:r w:rsidRPr="00212D57">
        <w:rPr>
          <w:rFonts w:cs="Times Ext Roman"/>
          <w:szCs w:val="22"/>
        </w:rPr>
        <w:t>（大正</w:t>
      </w:r>
      <w:r w:rsidRPr="00761EF3">
        <w:rPr>
          <w:szCs w:val="22"/>
        </w:rPr>
        <w:t>25</w:t>
      </w:r>
      <w:r w:rsidRPr="00212D57">
        <w:rPr>
          <w:rFonts w:cs="Times Ext Roman"/>
          <w:szCs w:val="22"/>
        </w:rPr>
        <w:t>，</w:t>
      </w:r>
      <w:r w:rsidRPr="00761EF3">
        <w:rPr>
          <w:szCs w:val="22"/>
        </w:rPr>
        <w:t>60c13</w:t>
      </w:r>
      <w:r w:rsidRPr="00212D57">
        <w:rPr>
          <w:szCs w:val="22"/>
        </w:rPr>
        <w:t>-</w:t>
      </w:r>
      <w:r w:rsidRPr="00761EF3">
        <w:rPr>
          <w:szCs w:val="22"/>
        </w:rPr>
        <w:t>61b9</w:t>
      </w:r>
      <w:r w:rsidRPr="00212D57">
        <w:rPr>
          <w:rFonts w:cs="Times Ext Roman"/>
          <w:szCs w:val="22"/>
        </w:rPr>
        <w:t>）：</w:t>
      </w:r>
    </w:p>
    <w:p w:rsidR="00157EF6" w:rsidRPr="00212D57" w:rsidRDefault="00157EF6" w:rsidP="002C66FC">
      <w:pPr>
        <w:overflowPunct w:val="0"/>
        <w:autoSpaceDE w:val="0"/>
        <w:autoSpaceDN w:val="0"/>
        <w:snapToGrid w:val="0"/>
        <w:ind w:leftChars="105" w:left="252"/>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如《</w:t>
      </w:r>
      <w:r w:rsidRPr="00212D57">
        <w:rPr>
          <w:rFonts w:ascii="Times New Roman" w:eastAsia="標楷體" w:hAnsi="Times New Roman" w:cs="Times Ext Roman"/>
          <w:b/>
          <w:sz w:val="22"/>
          <w:szCs w:val="22"/>
        </w:rPr>
        <w:t>眾義經</w:t>
      </w:r>
      <w:r w:rsidRPr="00212D57">
        <w:rPr>
          <w:rFonts w:ascii="Times New Roman" w:eastAsia="標楷體" w:hAnsi="Times New Roman" w:cs="Times Ext Roman"/>
          <w:sz w:val="22"/>
          <w:szCs w:val="22"/>
        </w:rPr>
        <w:t>》中所說偈：</w:t>
      </w:r>
    </w:p>
    <w:p w:rsidR="00157EF6" w:rsidRPr="00212D57" w:rsidRDefault="00157EF6" w:rsidP="002C66FC">
      <w:pPr>
        <w:overflowPunct w:val="0"/>
        <w:autoSpaceDE w:val="0"/>
        <w:autoSpaceDN w:val="0"/>
        <w:snapToGrid w:val="0"/>
        <w:ind w:leftChars="205" w:left="492"/>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各各自依見，戲論起諍競</w:t>
      </w:r>
      <w:r w:rsidRPr="00212D57">
        <w:rPr>
          <w:rFonts w:ascii="Times New Roman" w:eastAsia="標楷體" w:hAnsi="Times New Roman" w:cs="Times Ext Roman" w:hint="eastAsia"/>
          <w:sz w:val="22"/>
          <w:szCs w:val="22"/>
        </w:rPr>
        <w:t>；</w:t>
      </w:r>
      <w:r w:rsidRPr="00212D57">
        <w:rPr>
          <w:rFonts w:ascii="Times New Roman" w:eastAsia="標楷體" w:hAnsi="Times New Roman" w:cs="Times Ext Roman"/>
          <w:sz w:val="22"/>
          <w:szCs w:val="22"/>
        </w:rPr>
        <w:t>若能知彼非，是為知正見。</w:t>
      </w:r>
    </w:p>
    <w:p w:rsidR="00157EF6" w:rsidRPr="00212D57" w:rsidRDefault="00157EF6" w:rsidP="002C66FC">
      <w:pPr>
        <w:overflowPunct w:val="0"/>
        <w:autoSpaceDE w:val="0"/>
        <w:autoSpaceDN w:val="0"/>
        <w:snapToGrid w:val="0"/>
        <w:ind w:leftChars="205" w:left="492"/>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不肯受他法，是名愚癡人</w:t>
      </w:r>
      <w:r w:rsidRPr="00212D57">
        <w:rPr>
          <w:rFonts w:ascii="Times New Roman" w:eastAsia="標楷體" w:hAnsi="Times New Roman" w:cs="Times Ext Roman" w:hint="eastAsia"/>
          <w:sz w:val="22"/>
          <w:szCs w:val="22"/>
        </w:rPr>
        <w:t>；</w:t>
      </w:r>
      <w:r w:rsidRPr="00212D57">
        <w:rPr>
          <w:rFonts w:ascii="Times New Roman" w:eastAsia="標楷體" w:hAnsi="Times New Roman" w:cs="Times Ext Roman"/>
          <w:sz w:val="22"/>
          <w:szCs w:val="22"/>
        </w:rPr>
        <w:t>作是論議者，真是愚癡人。</w:t>
      </w:r>
    </w:p>
    <w:p w:rsidR="00157EF6" w:rsidRPr="00212D57" w:rsidRDefault="00157EF6" w:rsidP="002C66FC">
      <w:pPr>
        <w:overflowPunct w:val="0"/>
        <w:autoSpaceDE w:val="0"/>
        <w:autoSpaceDN w:val="0"/>
        <w:snapToGrid w:val="0"/>
        <w:ind w:leftChars="205" w:left="492"/>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若依自是見，而生諸戲論</w:t>
      </w:r>
      <w:r w:rsidRPr="00212D57">
        <w:rPr>
          <w:rFonts w:ascii="Times New Roman" w:eastAsia="標楷體" w:hAnsi="Times New Roman" w:cs="Times Ext Roman" w:hint="eastAsia"/>
          <w:sz w:val="22"/>
          <w:szCs w:val="22"/>
        </w:rPr>
        <w:t>；</w:t>
      </w:r>
      <w:r w:rsidRPr="00212D57">
        <w:rPr>
          <w:rFonts w:ascii="Times New Roman" w:eastAsia="標楷體" w:hAnsi="Times New Roman" w:cs="Times Ext Roman"/>
          <w:sz w:val="22"/>
          <w:szCs w:val="22"/>
        </w:rPr>
        <w:t>若此是淨智，無非淨智者。</w:t>
      </w:r>
    </w:p>
    <w:p w:rsidR="00157EF6" w:rsidRPr="00212D57" w:rsidRDefault="00157EF6" w:rsidP="002C66FC">
      <w:pPr>
        <w:overflowPunct w:val="0"/>
        <w:autoSpaceDE w:val="0"/>
        <w:autoSpaceDN w:val="0"/>
        <w:snapToGrid w:val="0"/>
        <w:ind w:leftChars="105" w:left="252"/>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此三偈中，</w:t>
      </w:r>
      <w:r w:rsidRPr="00212D57">
        <w:rPr>
          <w:rFonts w:ascii="Times New Roman" w:eastAsia="標楷體" w:hAnsi="Times New Roman" w:cs="Times Ext Roman"/>
          <w:b/>
          <w:sz w:val="22"/>
          <w:szCs w:val="22"/>
        </w:rPr>
        <w:t>佛說</w:t>
      </w:r>
      <w:r w:rsidR="00243EE3">
        <w:rPr>
          <w:rFonts w:ascii="標楷體" w:eastAsia="標楷體" w:hAnsi="標楷體" w:hint="eastAsia"/>
          <w:bCs/>
          <w:color w:val="FF0000"/>
          <w:kern w:val="0"/>
          <w:sz w:val="22"/>
          <w:highlight w:val="yellow"/>
        </w:rPr>
        <w:t>「</w:t>
      </w:r>
      <w:r w:rsidRPr="00212D57">
        <w:rPr>
          <w:rFonts w:ascii="Times New Roman" w:eastAsia="標楷體" w:hAnsi="Times New Roman" w:cs="Times Ext Roman"/>
          <w:b/>
          <w:sz w:val="22"/>
          <w:szCs w:val="22"/>
        </w:rPr>
        <w:t>第一義悉檀相</w:t>
      </w:r>
      <w:r w:rsidR="00243EE3">
        <w:rPr>
          <w:rFonts w:ascii="標楷體" w:eastAsia="標楷體" w:hAnsi="標楷體" w:hint="eastAsia"/>
          <w:bCs/>
          <w:color w:val="FF0000"/>
          <w:kern w:val="0"/>
          <w:sz w:val="22"/>
          <w:highlight w:val="yellow"/>
        </w:rPr>
        <w:t>」</w:t>
      </w:r>
      <w:r w:rsidRPr="00212D57">
        <w:rPr>
          <w:rFonts w:ascii="Times New Roman" w:eastAsia="標楷體" w:hAnsi="Times New Roman" w:cs="Times Ext Roman" w:hint="eastAsia"/>
          <w:b/>
          <w:sz w:val="22"/>
          <w:szCs w:val="22"/>
        </w:rPr>
        <w:t>。</w:t>
      </w:r>
      <w:r w:rsidRPr="00212D57">
        <w:rPr>
          <w:rFonts w:ascii="Times New Roman" w:eastAsia="標楷體" w:hAnsi="Times New Roman" w:cs="Times Ext Roman"/>
          <w:b/>
          <w:sz w:val="22"/>
          <w:szCs w:val="22"/>
        </w:rPr>
        <w:t>所謂世間眾生自依見、自依法、自依論議，而生諍競。戲論即諍競本，戲論依諸見生。</w:t>
      </w:r>
      <w:r w:rsidRPr="00212D57">
        <w:rPr>
          <w:rFonts w:ascii="Times New Roman" w:eastAsia="標楷體" w:hAnsi="Times New Roman" w:cs="Times Ext Roman"/>
          <w:sz w:val="22"/>
          <w:szCs w:val="22"/>
        </w:rPr>
        <w:t>如說偈言：</w:t>
      </w:r>
    </w:p>
    <w:p w:rsidR="00157EF6" w:rsidRPr="00212D57" w:rsidRDefault="00157EF6" w:rsidP="002C66FC">
      <w:pPr>
        <w:overflowPunct w:val="0"/>
        <w:autoSpaceDE w:val="0"/>
        <w:autoSpaceDN w:val="0"/>
        <w:snapToGrid w:val="0"/>
        <w:ind w:leftChars="205" w:left="492"/>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有受法故有諸論</w:t>
      </w:r>
      <w:r w:rsidR="00243EE3">
        <w:rPr>
          <w:rFonts w:ascii="標楷體" w:eastAsia="標楷體" w:hAnsi="標楷體" w:hint="eastAsia"/>
          <w:color w:val="FF0000"/>
          <w:spacing w:val="-4"/>
          <w:kern w:val="0"/>
          <w:sz w:val="22"/>
          <w:highlight w:val="yellow"/>
        </w:rPr>
        <w:t>；</w:t>
      </w:r>
      <w:r w:rsidRPr="00212D57">
        <w:rPr>
          <w:rFonts w:ascii="Times New Roman" w:eastAsia="標楷體" w:hAnsi="Times New Roman" w:cs="Times Ext Roman"/>
          <w:sz w:val="22"/>
          <w:szCs w:val="22"/>
        </w:rPr>
        <w:t>若無有受</w:t>
      </w:r>
      <w:r w:rsidR="00243EE3">
        <w:rPr>
          <w:rFonts w:ascii="標楷體" w:eastAsia="標楷體" w:hAnsi="標楷體" w:hint="eastAsia"/>
          <w:color w:val="FF0000"/>
          <w:kern w:val="0"/>
          <w:sz w:val="22"/>
          <w:highlight w:val="yellow"/>
        </w:rPr>
        <w:t>，</w:t>
      </w:r>
      <w:r w:rsidRPr="00212D57">
        <w:rPr>
          <w:rFonts w:ascii="Times New Roman" w:eastAsia="標楷體" w:hAnsi="Times New Roman" w:cs="Times Ext Roman"/>
          <w:sz w:val="22"/>
          <w:szCs w:val="22"/>
        </w:rPr>
        <w:t>何所論</w:t>
      </w:r>
      <w:r w:rsidR="00243EE3">
        <w:rPr>
          <w:rFonts w:ascii="標楷體" w:eastAsia="標楷體" w:hAnsi="標楷體" w:hint="eastAsia"/>
          <w:color w:val="FF0000"/>
          <w:spacing w:val="-4"/>
          <w:kern w:val="0"/>
          <w:sz w:val="22"/>
          <w:highlight w:val="yellow"/>
        </w:rPr>
        <w:t>？</w:t>
      </w:r>
      <w:r w:rsidRPr="00212D57">
        <w:rPr>
          <w:rFonts w:ascii="Times New Roman" w:eastAsia="標楷體" w:hAnsi="Times New Roman" w:cs="Times Ext Roman"/>
          <w:sz w:val="22"/>
          <w:szCs w:val="22"/>
        </w:rPr>
        <w:t>有受</w:t>
      </w:r>
      <w:r w:rsidR="00243EE3">
        <w:rPr>
          <w:rFonts w:ascii="標楷體" w:eastAsia="標楷體" w:hAnsi="標楷體" w:hint="eastAsia"/>
          <w:color w:val="FF0000"/>
          <w:spacing w:val="-4"/>
          <w:kern w:val="0"/>
          <w:sz w:val="22"/>
          <w:highlight w:val="yellow"/>
        </w:rPr>
        <w:t>、</w:t>
      </w:r>
      <w:r w:rsidRPr="00212D57">
        <w:rPr>
          <w:rFonts w:ascii="Times New Roman" w:eastAsia="標楷體" w:hAnsi="Times New Roman" w:cs="Times Ext Roman"/>
          <w:sz w:val="22"/>
          <w:szCs w:val="22"/>
        </w:rPr>
        <w:t>無受諸見等，是人於此悉已除。</w:t>
      </w:r>
    </w:p>
    <w:p w:rsidR="00157EF6" w:rsidRPr="00212D57" w:rsidRDefault="00157EF6" w:rsidP="002C66FC">
      <w:pPr>
        <w:overflowPunct w:val="0"/>
        <w:autoSpaceDE w:val="0"/>
        <w:autoSpaceDN w:val="0"/>
        <w:snapToGrid w:val="0"/>
        <w:ind w:leftChars="105" w:left="252"/>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行者能如實知此者，於一切法、一切戲論，不受不著，不見是實，不共諍競，能知佛法甘露味；若不爾者，則謗法。</w:t>
      </w:r>
      <w:r w:rsidRPr="00B16A72">
        <w:rPr>
          <w:rFonts w:ascii="標楷體" w:eastAsia="標楷體" w:hAnsi="標楷體" w:cs="Times Ext Roman"/>
          <w:sz w:val="22"/>
          <w:szCs w:val="22"/>
          <w:shd w:val="pct15" w:color="auto" w:fill="FFFFFF"/>
        </w:rPr>
        <w:t>……</w:t>
      </w:r>
    </w:p>
    <w:p w:rsidR="00157EF6" w:rsidRPr="00212D57" w:rsidRDefault="00157EF6" w:rsidP="00E03184">
      <w:pPr>
        <w:overflowPunct w:val="0"/>
        <w:autoSpaceDE w:val="0"/>
        <w:autoSpaceDN w:val="0"/>
        <w:snapToGrid w:val="0"/>
        <w:ind w:leftChars="105" w:left="912" w:hangingChars="300" w:hanging="660"/>
        <w:jc w:val="both"/>
        <w:rPr>
          <w:rFonts w:ascii="Times New Roman" w:eastAsia="標楷體" w:hAnsi="Times New Roman" w:cs="Times Ext Roman"/>
          <w:sz w:val="22"/>
          <w:szCs w:val="22"/>
        </w:rPr>
      </w:pPr>
      <w:r w:rsidRPr="00212D57">
        <w:rPr>
          <w:rFonts w:ascii="Times New Roman" w:eastAsia="標楷體" w:hAnsi="Times New Roman" w:cs="Times Ext Roman"/>
          <w:sz w:val="22"/>
          <w:szCs w:val="22"/>
        </w:rPr>
        <w:t>問曰：若諸見皆有過失，</w:t>
      </w:r>
      <w:r w:rsidR="00243EE3">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第一義悉檀</w:t>
      </w:r>
      <w:r w:rsidR="00243EE3">
        <w:rPr>
          <w:rFonts w:ascii="標楷體" w:eastAsia="標楷體" w:hAnsi="標楷體" w:hint="eastAsia"/>
          <w:bCs/>
          <w:color w:val="FF0000"/>
          <w:kern w:val="0"/>
          <w:sz w:val="22"/>
          <w:highlight w:val="yellow"/>
        </w:rPr>
        <w:t>」</w:t>
      </w:r>
      <w:r w:rsidRPr="00212D57">
        <w:rPr>
          <w:rFonts w:ascii="Times New Roman" w:eastAsia="標楷體" w:hAnsi="Times New Roman" w:cs="Times Ext Roman"/>
          <w:sz w:val="22"/>
          <w:szCs w:val="22"/>
        </w:rPr>
        <w:t>何者是？</w:t>
      </w:r>
    </w:p>
    <w:p w:rsidR="00157EF6" w:rsidRPr="00212D57" w:rsidRDefault="00157EF6" w:rsidP="00E03184">
      <w:pPr>
        <w:pStyle w:val="a5"/>
        <w:ind w:leftChars="105" w:left="912" w:hangingChars="300" w:hanging="660"/>
        <w:jc w:val="both"/>
        <w:rPr>
          <w:rFonts w:cs="Times Ext Roman"/>
          <w:szCs w:val="22"/>
        </w:rPr>
      </w:pPr>
      <w:r w:rsidRPr="00212D57">
        <w:rPr>
          <w:rFonts w:eastAsia="標楷體" w:cs="Times Ext Roman"/>
          <w:szCs w:val="22"/>
        </w:rPr>
        <w:t>答曰：過一切語言道，心行處滅，遍無所依，不示諸法。諸法實相無初、無中、無後，不盡、不壞，是名</w:t>
      </w:r>
      <w:r w:rsidR="00243EE3">
        <w:rPr>
          <w:rFonts w:ascii="標楷體" w:eastAsia="標楷體" w:hAnsi="標楷體" w:hint="eastAsia"/>
          <w:bCs/>
          <w:color w:val="FF0000"/>
          <w:kern w:val="0"/>
          <w:highlight w:val="yellow"/>
        </w:rPr>
        <w:t>「</w:t>
      </w:r>
      <w:r w:rsidRPr="00212D57">
        <w:rPr>
          <w:rFonts w:eastAsia="標楷體" w:cs="Times Ext Roman"/>
          <w:b/>
          <w:szCs w:val="22"/>
        </w:rPr>
        <w:t>第一義悉檀</w:t>
      </w:r>
      <w:r w:rsidR="00243EE3">
        <w:rPr>
          <w:rFonts w:ascii="標楷體" w:eastAsia="標楷體" w:hAnsi="標楷體" w:hint="eastAsia"/>
          <w:bCs/>
          <w:color w:val="FF0000"/>
          <w:kern w:val="0"/>
          <w:highlight w:val="yellow"/>
        </w:rPr>
        <w:t>」</w:t>
      </w:r>
      <w:r w:rsidRPr="00212D57">
        <w:rPr>
          <w:rFonts w:eastAsia="標楷體" w:cs="Times Ext Roman"/>
          <w:szCs w:val="22"/>
        </w:rPr>
        <w:t>。</w:t>
      </w:r>
    </w:p>
  </w:footnote>
  <w:footnote w:id="33">
    <w:p w:rsidR="00157EF6" w:rsidRPr="00212D57" w:rsidRDefault="00157EF6" w:rsidP="002C66FC">
      <w:pPr>
        <w:pStyle w:val="a5"/>
        <w:spacing w:line="0" w:lineRule="atLeast"/>
        <w:ind w:left="253" w:hangingChars="115" w:hanging="253"/>
        <w:jc w:val="both"/>
        <w:rPr>
          <w:rFonts w:cs="Times Ext Roman"/>
          <w:szCs w:val="22"/>
        </w:rPr>
      </w:pPr>
      <w:r w:rsidRPr="00212D57">
        <w:rPr>
          <w:rStyle w:val="a6"/>
          <w:szCs w:val="22"/>
        </w:rPr>
        <w:footnoteRef/>
      </w:r>
      <w:r w:rsidRPr="00212D57">
        <w:rPr>
          <w:szCs w:val="22"/>
        </w:rPr>
        <w:t xml:space="preserve"> </w:t>
      </w:r>
      <w:r w:rsidRPr="00212D57">
        <w:rPr>
          <w:rFonts w:cs="Times Ext Roman"/>
          <w:szCs w:val="22"/>
        </w:rPr>
        <w:t>指斥：</w:t>
      </w:r>
      <w:r w:rsidRPr="00761EF3">
        <w:rPr>
          <w:szCs w:val="22"/>
        </w:rPr>
        <w:t>2</w:t>
      </w:r>
      <w:r w:rsidRPr="00212D57">
        <w:rPr>
          <w:szCs w:val="22"/>
        </w:rPr>
        <w:t>.</w:t>
      </w:r>
      <w:r w:rsidRPr="00212D57">
        <w:rPr>
          <w:rFonts w:cs="Times Ext Roman"/>
          <w:szCs w:val="22"/>
        </w:rPr>
        <w:t>指摘，斥責。（《漢語大詞典》（</w:t>
      </w:r>
      <w:r w:rsidRPr="00212D57">
        <w:rPr>
          <w:rFonts w:cs="Times Ext Roman" w:hint="eastAsia"/>
          <w:szCs w:val="22"/>
        </w:rPr>
        <w:t>六</w:t>
      </w:r>
      <w:r w:rsidRPr="00212D57">
        <w:rPr>
          <w:rFonts w:cs="Times Ext Roman"/>
          <w:szCs w:val="22"/>
        </w:rPr>
        <w:t>），</w:t>
      </w:r>
      <w:r w:rsidRPr="00761EF3">
        <w:rPr>
          <w:szCs w:val="22"/>
        </w:rPr>
        <w:t>p</w:t>
      </w:r>
      <w:r w:rsidRPr="00212D57">
        <w:rPr>
          <w:szCs w:val="22"/>
        </w:rPr>
        <w:t>.</w:t>
      </w:r>
      <w:r w:rsidRPr="00761EF3">
        <w:rPr>
          <w:rFonts w:hint="eastAsia"/>
          <w:szCs w:val="22"/>
        </w:rPr>
        <w:t>575</w:t>
      </w:r>
      <w:r w:rsidRPr="00212D57">
        <w:rPr>
          <w:rFonts w:cs="Times Ext Roman"/>
          <w:szCs w:val="22"/>
        </w:rPr>
        <w:t>）</w:t>
      </w:r>
    </w:p>
  </w:footnote>
  <w:footnote w:id="34">
    <w:p w:rsidR="00157EF6" w:rsidRPr="00212D57" w:rsidRDefault="00157EF6" w:rsidP="002C66FC">
      <w:pPr>
        <w:pStyle w:val="a5"/>
        <w:spacing w:line="0" w:lineRule="atLeast"/>
        <w:ind w:left="253" w:hangingChars="115" w:hanging="253"/>
        <w:jc w:val="both"/>
        <w:rPr>
          <w:rFonts w:cs="Times Ext Roman"/>
          <w:szCs w:val="22"/>
        </w:rPr>
      </w:pPr>
      <w:r w:rsidRPr="00212D57">
        <w:rPr>
          <w:rStyle w:val="a6"/>
          <w:szCs w:val="22"/>
        </w:rPr>
        <w:footnoteRef/>
      </w:r>
      <w:r w:rsidRPr="00212D57">
        <w:rPr>
          <w:szCs w:val="22"/>
        </w:rPr>
        <w:t xml:space="preserve"> </w:t>
      </w:r>
      <w:r w:rsidRPr="00212D57">
        <w:rPr>
          <w:szCs w:val="22"/>
        </w:rPr>
        <w:t>畸形</w:t>
      </w:r>
      <w:r w:rsidRPr="00212D57">
        <w:rPr>
          <w:rFonts w:cs="Times Ext Roman"/>
          <w:szCs w:val="22"/>
        </w:rPr>
        <w:t>：</w:t>
      </w:r>
      <w:r w:rsidRPr="00761EF3">
        <w:rPr>
          <w:szCs w:val="22"/>
        </w:rPr>
        <w:t>2</w:t>
      </w:r>
      <w:r w:rsidRPr="00212D57">
        <w:rPr>
          <w:szCs w:val="22"/>
        </w:rPr>
        <w:t>.</w:t>
      </w:r>
      <w:r w:rsidRPr="00212D57">
        <w:rPr>
          <w:rFonts w:cs="Times Ext Roman"/>
          <w:szCs w:val="22"/>
        </w:rPr>
        <w:t>借指社會現象等的反常狀態。（《漢語大詞典》（</w:t>
      </w:r>
      <w:r w:rsidRPr="00212D57">
        <w:rPr>
          <w:rFonts w:cs="Times Ext Roman" w:hint="eastAsia"/>
          <w:szCs w:val="22"/>
        </w:rPr>
        <w:t>七</w:t>
      </w:r>
      <w:r w:rsidRPr="00212D57">
        <w:rPr>
          <w:rFonts w:cs="Times Ext Roman"/>
          <w:szCs w:val="22"/>
        </w:rPr>
        <w:t>），</w:t>
      </w:r>
      <w:r w:rsidRPr="00761EF3">
        <w:rPr>
          <w:szCs w:val="22"/>
        </w:rPr>
        <w:t>p</w:t>
      </w:r>
      <w:r w:rsidRPr="00212D57">
        <w:rPr>
          <w:szCs w:val="22"/>
        </w:rPr>
        <w:t>.</w:t>
      </w:r>
      <w:r w:rsidRPr="00761EF3">
        <w:rPr>
          <w:rFonts w:hint="eastAsia"/>
          <w:szCs w:val="22"/>
        </w:rPr>
        <w:t>1383</w:t>
      </w:r>
      <w:r w:rsidRPr="00212D57">
        <w:rPr>
          <w:rFonts w:cs="Times Ext Roman"/>
          <w:szCs w:val="22"/>
        </w:rPr>
        <w:t>）</w:t>
      </w:r>
    </w:p>
  </w:footnote>
  <w:footnote w:id="35">
    <w:p w:rsidR="00157EF6" w:rsidRPr="00212D57" w:rsidRDefault="00157EF6" w:rsidP="002C66FC">
      <w:pPr>
        <w:pStyle w:val="a5"/>
        <w:spacing w:line="0" w:lineRule="atLeast"/>
        <w:ind w:left="253" w:hangingChars="115" w:hanging="253"/>
        <w:jc w:val="both"/>
        <w:rPr>
          <w:rFonts w:cs="Times Ext Roman"/>
          <w:szCs w:val="22"/>
        </w:rPr>
      </w:pPr>
      <w:r w:rsidRPr="00212D57">
        <w:rPr>
          <w:rStyle w:val="a6"/>
          <w:szCs w:val="22"/>
        </w:rPr>
        <w:footnoteRef/>
      </w:r>
      <w:r w:rsidRPr="00212D57">
        <w:rPr>
          <w:szCs w:val="22"/>
        </w:rPr>
        <w:t xml:space="preserve"> </w:t>
      </w:r>
      <w:r w:rsidRPr="00212D57">
        <w:rPr>
          <w:szCs w:val="22"/>
        </w:rPr>
        <w:t>隱遁</w:t>
      </w:r>
      <w:r w:rsidRPr="00212D57">
        <w:rPr>
          <w:rFonts w:cs="Times Ext Roman"/>
          <w:szCs w:val="22"/>
        </w:rPr>
        <w:t>：</w:t>
      </w:r>
      <w:r w:rsidRPr="00761EF3">
        <w:rPr>
          <w:szCs w:val="22"/>
        </w:rPr>
        <w:t>1</w:t>
      </w:r>
      <w:r w:rsidRPr="00212D57">
        <w:rPr>
          <w:szCs w:val="22"/>
        </w:rPr>
        <w:t>.</w:t>
      </w:r>
      <w:r w:rsidRPr="00212D57">
        <w:rPr>
          <w:rFonts w:cs="Times Ext Roman"/>
          <w:szCs w:val="22"/>
        </w:rPr>
        <w:t>隱居遠避塵世。（《漢語大詞典》（</w:t>
      </w:r>
      <w:r w:rsidRPr="00212D57">
        <w:rPr>
          <w:rFonts w:cs="Times Ext Roman" w:hint="eastAsia"/>
          <w:szCs w:val="22"/>
        </w:rPr>
        <w:t>十一</w:t>
      </w:r>
      <w:r w:rsidRPr="00212D57">
        <w:rPr>
          <w:rFonts w:cs="Times Ext Roman"/>
          <w:szCs w:val="22"/>
        </w:rPr>
        <w:t>），</w:t>
      </w:r>
      <w:r w:rsidRPr="00761EF3">
        <w:rPr>
          <w:szCs w:val="22"/>
        </w:rPr>
        <w:t>p</w:t>
      </w:r>
      <w:r w:rsidRPr="00212D57">
        <w:rPr>
          <w:szCs w:val="22"/>
        </w:rPr>
        <w:t>.</w:t>
      </w:r>
      <w:r w:rsidRPr="00761EF3">
        <w:rPr>
          <w:rFonts w:hint="eastAsia"/>
          <w:szCs w:val="22"/>
        </w:rPr>
        <w:t>1127</w:t>
      </w:r>
      <w:r w:rsidRPr="00212D57">
        <w:rPr>
          <w:rFonts w:cs="Times Ext Roman"/>
          <w:szCs w:val="22"/>
        </w:rPr>
        <w:t>）</w:t>
      </w:r>
    </w:p>
  </w:footnote>
  <w:footnote w:id="36">
    <w:p w:rsidR="00157EF6" w:rsidRPr="00212D57" w:rsidRDefault="00157EF6" w:rsidP="002C66FC">
      <w:pPr>
        <w:pStyle w:val="a5"/>
        <w:spacing w:line="0" w:lineRule="atLeast"/>
        <w:ind w:left="253" w:hangingChars="115" w:hanging="253"/>
        <w:jc w:val="both"/>
        <w:rPr>
          <w:rFonts w:cs="Times Ext Roman"/>
          <w:szCs w:val="22"/>
        </w:rPr>
      </w:pPr>
      <w:r w:rsidRPr="00212D57">
        <w:rPr>
          <w:rStyle w:val="a6"/>
          <w:szCs w:val="22"/>
        </w:rPr>
        <w:footnoteRef/>
      </w:r>
      <w:r w:rsidRPr="00212D57">
        <w:rPr>
          <w:szCs w:val="22"/>
        </w:rPr>
        <w:t xml:space="preserve"> </w:t>
      </w:r>
      <w:r w:rsidRPr="00212D57">
        <w:rPr>
          <w:rFonts w:cs="Times Ext Roman"/>
          <w:szCs w:val="22"/>
        </w:rPr>
        <w:t>隔別：</w:t>
      </w:r>
      <w:r w:rsidRPr="00761EF3">
        <w:rPr>
          <w:szCs w:val="22"/>
        </w:rPr>
        <w:t>2</w:t>
      </w:r>
      <w:r w:rsidRPr="00212D57">
        <w:rPr>
          <w:szCs w:val="22"/>
        </w:rPr>
        <w:t>.</w:t>
      </w:r>
      <w:r w:rsidRPr="00212D57">
        <w:rPr>
          <w:rFonts w:cs="Times Ext Roman"/>
          <w:szCs w:val="22"/>
        </w:rPr>
        <w:t>猶隔離。（《漢語大詞典》（</w:t>
      </w:r>
      <w:r w:rsidRPr="00212D57">
        <w:rPr>
          <w:rFonts w:cs="Times Ext Roman" w:hint="eastAsia"/>
          <w:szCs w:val="22"/>
        </w:rPr>
        <w:t>十一</w:t>
      </w:r>
      <w:r w:rsidRPr="00212D57">
        <w:rPr>
          <w:rFonts w:cs="Times Ext Roman"/>
          <w:szCs w:val="22"/>
        </w:rPr>
        <w:t>），</w:t>
      </w:r>
      <w:r w:rsidRPr="00761EF3">
        <w:rPr>
          <w:szCs w:val="22"/>
        </w:rPr>
        <w:t>p</w:t>
      </w:r>
      <w:r w:rsidRPr="00212D57">
        <w:rPr>
          <w:szCs w:val="22"/>
        </w:rPr>
        <w:t>.</w:t>
      </w:r>
      <w:r w:rsidRPr="00761EF3">
        <w:rPr>
          <w:rFonts w:hint="eastAsia"/>
          <w:szCs w:val="22"/>
        </w:rPr>
        <w:t>1088</w:t>
      </w:r>
      <w:r w:rsidRPr="00212D57">
        <w:rPr>
          <w:rFonts w:cs="Times Ext Roman"/>
          <w:szCs w:val="22"/>
        </w:rPr>
        <w:t>）</w:t>
      </w:r>
    </w:p>
  </w:footnote>
  <w:footnote w:id="37">
    <w:p w:rsidR="00157EF6" w:rsidRPr="00212D57" w:rsidRDefault="00157EF6" w:rsidP="002C66FC">
      <w:pPr>
        <w:pStyle w:val="a5"/>
        <w:spacing w:line="0" w:lineRule="atLeast"/>
        <w:ind w:left="253" w:hangingChars="115" w:hanging="253"/>
        <w:jc w:val="both"/>
        <w:rPr>
          <w:rFonts w:cs="Times Ext Roman"/>
          <w:szCs w:val="22"/>
        </w:rPr>
      </w:pPr>
      <w:r w:rsidRPr="00212D57">
        <w:rPr>
          <w:rStyle w:val="a6"/>
          <w:szCs w:val="22"/>
        </w:rPr>
        <w:footnoteRef/>
      </w:r>
      <w:r w:rsidRPr="00212D57">
        <w:rPr>
          <w:szCs w:val="22"/>
        </w:rPr>
        <w:t xml:space="preserve"> </w:t>
      </w:r>
      <w:r w:rsidRPr="00212D57">
        <w:rPr>
          <w:rFonts w:cs="Times Ext Roman"/>
          <w:szCs w:val="22"/>
        </w:rPr>
        <w:t>時機：時宜。（《漢語大詞典》（</w:t>
      </w:r>
      <w:r w:rsidRPr="00212D57">
        <w:rPr>
          <w:rFonts w:cs="Times Ext Roman" w:hint="eastAsia"/>
          <w:szCs w:val="22"/>
        </w:rPr>
        <w:t>五</w:t>
      </w:r>
      <w:r w:rsidRPr="00212D57">
        <w:rPr>
          <w:rFonts w:cs="Times Ext Roman"/>
          <w:szCs w:val="22"/>
        </w:rPr>
        <w:t>），</w:t>
      </w:r>
      <w:r w:rsidRPr="00761EF3">
        <w:rPr>
          <w:szCs w:val="22"/>
        </w:rPr>
        <w:t>p</w:t>
      </w:r>
      <w:r w:rsidRPr="00212D57">
        <w:rPr>
          <w:szCs w:val="22"/>
        </w:rPr>
        <w:t>.</w:t>
      </w:r>
      <w:r w:rsidRPr="00761EF3">
        <w:rPr>
          <w:rFonts w:hint="eastAsia"/>
          <w:szCs w:val="22"/>
        </w:rPr>
        <w:t>706</w:t>
      </w:r>
      <w:r w:rsidRPr="00212D57">
        <w:rPr>
          <w:rFonts w:cs="Times Ext Roman"/>
          <w:szCs w:val="22"/>
        </w:rPr>
        <w:t>）</w:t>
      </w:r>
    </w:p>
  </w:footnote>
  <w:footnote w:id="38">
    <w:p w:rsidR="00157EF6" w:rsidRPr="00212D57" w:rsidRDefault="00157EF6" w:rsidP="00DD3843">
      <w:pPr>
        <w:pStyle w:val="a5"/>
        <w:ind w:left="253" w:hangingChars="115" w:hanging="253"/>
        <w:jc w:val="both"/>
        <w:rPr>
          <w:rFonts w:cs="Times Ext Roman"/>
          <w:szCs w:val="22"/>
        </w:rPr>
      </w:pPr>
      <w:r w:rsidRPr="00212D57">
        <w:rPr>
          <w:rStyle w:val="a6"/>
          <w:szCs w:val="22"/>
        </w:rPr>
        <w:footnoteRef/>
      </w:r>
      <w:r w:rsidRPr="00212D57">
        <w:rPr>
          <w:szCs w:val="22"/>
        </w:rPr>
        <w:t xml:space="preserve"> </w:t>
      </w:r>
      <w:r w:rsidRPr="00212D57">
        <w:rPr>
          <w:szCs w:val="22"/>
        </w:rPr>
        <w:t>一如</w:t>
      </w:r>
      <w:r w:rsidRPr="00212D57">
        <w:rPr>
          <w:rFonts w:cs="Times Ext Roman"/>
          <w:szCs w:val="22"/>
        </w:rPr>
        <w:t>：</w:t>
      </w:r>
      <w:r w:rsidRPr="00761EF3">
        <w:rPr>
          <w:szCs w:val="22"/>
        </w:rPr>
        <w:t>2</w:t>
      </w:r>
      <w:r w:rsidRPr="00212D57">
        <w:rPr>
          <w:szCs w:val="22"/>
        </w:rPr>
        <w:t>.</w:t>
      </w:r>
      <w:r w:rsidRPr="00212D57">
        <w:rPr>
          <w:rFonts w:cs="Times Ext Roman"/>
          <w:szCs w:val="22"/>
        </w:rPr>
        <w:t>佛家語。不二曰一，不異曰如，不二不異，謂之</w:t>
      </w:r>
      <w:r w:rsidRPr="00212D57">
        <w:rPr>
          <w:rFonts w:cs="Times Ext Roman"/>
          <w:szCs w:val="22"/>
        </w:rPr>
        <w:t>“</w:t>
      </w:r>
      <w:r w:rsidRPr="00212D57">
        <w:rPr>
          <w:rFonts w:cs="Times Ext Roman"/>
          <w:szCs w:val="22"/>
        </w:rPr>
        <w:t>一如</w:t>
      </w:r>
      <w:r w:rsidRPr="00212D57">
        <w:rPr>
          <w:rFonts w:cs="Times Ext Roman"/>
          <w:szCs w:val="22"/>
        </w:rPr>
        <w:t>”</w:t>
      </w:r>
      <w:r w:rsidRPr="00212D57">
        <w:rPr>
          <w:rFonts w:cs="Times Ext Roman"/>
          <w:szCs w:val="22"/>
        </w:rPr>
        <w:t>，即真如之理，猶言</w:t>
      </w:r>
      <w:r w:rsidRPr="00212D57">
        <w:rPr>
          <w:rFonts w:cs="Times Ext Roman"/>
          <w:szCs w:val="22"/>
        </w:rPr>
        <w:t>“</w:t>
      </w:r>
      <w:r w:rsidRPr="00212D57">
        <w:rPr>
          <w:rFonts w:cs="Times Ext Roman"/>
          <w:szCs w:val="22"/>
        </w:rPr>
        <w:t>永恒真理</w:t>
      </w:r>
      <w:r w:rsidRPr="00212D57">
        <w:rPr>
          <w:rFonts w:cs="Times Ext Roman"/>
          <w:szCs w:val="22"/>
        </w:rPr>
        <w:t>”</w:t>
      </w:r>
      <w:r w:rsidRPr="00212D57">
        <w:rPr>
          <w:rFonts w:cs="Times Ext Roman"/>
          <w:szCs w:val="22"/>
        </w:rPr>
        <w:t>或本體。（《漢語大詞典》（</w:t>
      </w:r>
      <w:r w:rsidRPr="00212D57">
        <w:rPr>
          <w:rFonts w:cs="Times Ext Roman" w:hint="eastAsia"/>
          <w:szCs w:val="22"/>
        </w:rPr>
        <w:t>一</w:t>
      </w:r>
      <w:r w:rsidRPr="00212D57">
        <w:rPr>
          <w:rFonts w:cs="Times Ext Roman"/>
          <w:szCs w:val="22"/>
        </w:rPr>
        <w:t>），</w:t>
      </w:r>
      <w:r w:rsidRPr="00761EF3">
        <w:rPr>
          <w:szCs w:val="22"/>
        </w:rPr>
        <w:t>p</w:t>
      </w:r>
      <w:r w:rsidRPr="00212D57">
        <w:rPr>
          <w:szCs w:val="22"/>
        </w:rPr>
        <w:t>.</w:t>
      </w:r>
      <w:r w:rsidRPr="00761EF3">
        <w:rPr>
          <w:rFonts w:hint="eastAsia"/>
          <w:szCs w:val="22"/>
        </w:rPr>
        <w:t>34</w:t>
      </w:r>
      <w:r w:rsidRPr="00212D57">
        <w:rPr>
          <w:rFonts w:cs="Times Ext Roman"/>
          <w:szCs w:val="22"/>
        </w:rPr>
        <w:t>）</w:t>
      </w:r>
    </w:p>
  </w:footnote>
  <w:footnote w:id="39">
    <w:p w:rsidR="00157EF6" w:rsidRPr="00212D57" w:rsidRDefault="00157EF6" w:rsidP="00DD3843">
      <w:pPr>
        <w:pStyle w:val="a5"/>
        <w:ind w:left="253" w:hangingChars="115" w:hanging="253"/>
        <w:jc w:val="both"/>
        <w:rPr>
          <w:rFonts w:cs="Times Ext Roman"/>
          <w:szCs w:val="22"/>
        </w:rPr>
      </w:pPr>
      <w:r w:rsidRPr="00212D57">
        <w:rPr>
          <w:rStyle w:val="a6"/>
          <w:szCs w:val="22"/>
        </w:rPr>
        <w:footnoteRef/>
      </w:r>
      <w:r w:rsidRPr="00212D57">
        <w:rPr>
          <w:szCs w:val="22"/>
        </w:rPr>
        <w:t xml:space="preserve"> </w:t>
      </w:r>
      <w:r w:rsidRPr="00212D57">
        <w:rPr>
          <w:szCs w:val="22"/>
        </w:rPr>
        <w:t>混沌</w:t>
      </w:r>
      <w:r w:rsidRPr="00212D57">
        <w:rPr>
          <w:rFonts w:cs="Times Ext Roman"/>
          <w:szCs w:val="22"/>
        </w:rPr>
        <w:t>：</w:t>
      </w:r>
      <w:r w:rsidRPr="00761EF3">
        <w:rPr>
          <w:szCs w:val="22"/>
        </w:rPr>
        <w:t>3</w:t>
      </w:r>
      <w:r w:rsidRPr="00212D57">
        <w:rPr>
          <w:szCs w:val="22"/>
        </w:rPr>
        <w:t>.</w:t>
      </w:r>
      <w:r w:rsidRPr="00212D57">
        <w:rPr>
          <w:rFonts w:cs="Times Ext Roman"/>
          <w:szCs w:val="22"/>
        </w:rPr>
        <w:t>模糊，不分明。（《漢語大詞典》（</w:t>
      </w:r>
      <w:r w:rsidRPr="00212D57">
        <w:rPr>
          <w:rFonts w:cs="Times Ext Roman" w:hint="eastAsia"/>
          <w:szCs w:val="22"/>
        </w:rPr>
        <w:t>五</w:t>
      </w:r>
      <w:r w:rsidRPr="00212D57">
        <w:rPr>
          <w:rFonts w:cs="Times Ext Roman"/>
          <w:szCs w:val="22"/>
        </w:rPr>
        <w:t>），</w:t>
      </w:r>
      <w:r w:rsidRPr="00761EF3">
        <w:rPr>
          <w:szCs w:val="22"/>
        </w:rPr>
        <w:t>p</w:t>
      </w:r>
      <w:r w:rsidRPr="00212D57">
        <w:rPr>
          <w:szCs w:val="22"/>
        </w:rPr>
        <w:t>.</w:t>
      </w:r>
      <w:r w:rsidRPr="00761EF3">
        <w:rPr>
          <w:rFonts w:hint="eastAsia"/>
          <w:szCs w:val="22"/>
        </w:rPr>
        <w:t>1375</w:t>
      </w:r>
      <w:r w:rsidRPr="00212D57">
        <w:rPr>
          <w:rFonts w:cs="Times Ext Roman"/>
          <w:szCs w:val="22"/>
        </w:rPr>
        <w:t>）</w:t>
      </w:r>
    </w:p>
  </w:footnote>
  <w:footnote w:id="40">
    <w:p w:rsidR="00157EF6" w:rsidRPr="00212D57" w:rsidRDefault="00157EF6" w:rsidP="00DD3843">
      <w:pPr>
        <w:pStyle w:val="a5"/>
        <w:ind w:left="253" w:hangingChars="115" w:hanging="253"/>
        <w:jc w:val="both"/>
        <w:rPr>
          <w:rFonts w:cs="Times Ext Roman"/>
          <w:szCs w:val="22"/>
        </w:rPr>
      </w:pPr>
      <w:r w:rsidRPr="00212D57">
        <w:rPr>
          <w:rStyle w:val="a6"/>
          <w:szCs w:val="22"/>
        </w:rPr>
        <w:footnoteRef/>
      </w:r>
      <w:r w:rsidRPr="00212D57">
        <w:rPr>
          <w:szCs w:val="22"/>
        </w:rPr>
        <w:t xml:space="preserve"> </w:t>
      </w:r>
      <w:r w:rsidRPr="00212D57">
        <w:rPr>
          <w:rFonts w:cs="Times Ext Roman"/>
          <w:szCs w:val="22"/>
        </w:rPr>
        <w:t>牟宗三：</w:t>
      </w:r>
      <w:r w:rsidRPr="00212D57">
        <w:rPr>
          <w:rFonts w:cs="Times Ext Roman" w:hint="eastAsia"/>
          <w:szCs w:val="22"/>
        </w:rPr>
        <w:t>（</w:t>
      </w:r>
      <w:r w:rsidRPr="00761EF3">
        <w:rPr>
          <w:rFonts w:hint="eastAsia"/>
          <w:szCs w:val="22"/>
        </w:rPr>
        <w:t>1909</w:t>
      </w:r>
      <w:r w:rsidRPr="00212D57">
        <w:rPr>
          <w:rFonts w:cs="Times Ext Roman" w:hint="eastAsia"/>
          <w:szCs w:val="22"/>
        </w:rPr>
        <w:t>～</w:t>
      </w:r>
      <w:r w:rsidRPr="00761EF3">
        <w:rPr>
          <w:szCs w:val="22"/>
        </w:rPr>
        <w:t>1995</w:t>
      </w:r>
      <w:r w:rsidRPr="00212D57">
        <w:rPr>
          <w:rFonts w:cs="Times Ext Roman" w:hint="eastAsia"/>
          <w:szCs w:val="22"/>
        </w:rPr>
        <w:t>）山東棲霞人。字離中。歷任華西、中央、金陵、浙江、臺灣師範、東海等大學及香港中文大學新亞書院哲學教授。氏不僅長於中國儒釋道三家哲學，對於黑格爾、康德等西方哲學亦有獨到見解。主要著作有認識心之批判、才性與玄理、心體與性體、佛性與般若等。（《佛光大辭典》（三），</w:t>
      </w:r>
      <w:r w:rsidRPr="00761EF3">
        <w:rPr>
          <w:rFonts w:hint="eastAsia"/>
          <w:szCs w:val="22"/>
        </w:rPr>
        <w:t>p</w:t>
      </w:r>
      <w:r w:rsidRPr="00212D57">
        <w:rPr>
          <w:rFonts w:hint="eastAsia"/>
          <w:szCs w:val="22"/>
        </w:rPr>
        <w:t>.</w:t>
      </w:r>
      <w:r w:rsidRPr="00761EF3">
        <w:rPr>
          <w:rFonts w:hint="eastAsia"/>
          <w:szCs w:val="22"/>
        </w:rPr>
        <w:t>2477</w:t>
      </w:r>
      <w:r w:rsidRPr="00212D57">
        <w:rPr>
          <w:rFonts w:cs="Times Ext Roman" w:hint="eastAsia"/>
          <w:szCs w:val="22"/>
        </w:rPr>
        <w:t>）</w:t>
      </w:r>
    </w:p>
  </w:footnote>
  <w:footnote w:id="41">
    <w:p w:rsidR="00157EF6" w:rsidRPr="00212D57" w:rsidRDefault="00157EF6" w:rsidP="00DD3843">
      <w:pPr>
        <w:pStyle w:val="a5"/>
        <w:ind w:left="253" w:hangingChars="115" w:hanging="253"/>
        <w:jc w:val="both"/>
        <w:rPr>
          <w:rFonts w:cs="Times Ext Roman"/>
          <w:szCs w:val="22"/>
        </w:rPr>
      </w:pPr>
      <w:r w:rsidRPr="00212D57">
        <w:rPr>
          <w:rStyle w:val="a6"/>
          <w:szCs w:val="22"/>
        </w:rPr>
        <w:footnoteRef/>
      </w:r>
      <w:r w:rsidRPr="00212D57">
        <w:rPr>
          <w:rFonts w:hint="eastAsia"/>
          <w:szCs w:val="22"/>
        </w:rPr>
        <w:t xml:space="preserve"> </w:t>
      </w:r>
      <w:r w:rsidRPr="00212D57">
        <w:rPr>
          <w:rFonts w:hint="eastAsia"/>
          <w:szCs w:val="22"/>
        </w:rPr>
        <w:t>辯證法</w:t>
      </w:r>
      <w:r w:rsidRPr="00212D57">
        <w:rPr>
          <w:rFonts w:cs="Times Ext Roman" w:hint="eastAsia"/>
          <w:szCs w:val="22"/>
        </w:rPr>
        <w:t>：關於普遍聯繫和發展的哲學學說。源出希臘文</w:t>
      </w:r>
      <w:r w:rsidRPr="00761EF3">
        <w:rPr>
          <w:rFonts w:hint="eastAsia"/>
          <w:szCs w:val="22"/>
        </w:rPr>
        <w:t>dialego</w:t>
      </w:r>
      <w:r w:rsidRPr="00212D57">
        <w:rPr>
          <w:rFonts w:cs="Times Ext Roman" w:hint="eastAsia"/>
          <w:szCs w:val="22"/>
        </w:rPr>
        <w:t>，含義是進行談話、進行論戰。後指與形而上學相對立的世界觀和方法論。其特點是認為事物處在不斷運動、變化和發展之中，這是由於事物內部的矛盾鬥爭所引起的。辯證法經歷了三種基本的歷史形式：古代樸素的辯證法，以</w:t>
      </w:r>
      <w:r w:rsidRPr="00212D57">
        <w:rPr>
          <w:rFonts w:hint="eastAsia"/>
          <w:szCs w:val="22"/>
        </w:rPr>
        <w:t xml:space="preserve"> </w:t>
      </w:r>
      <w:r w:rsidRPr="00212D57">
        <w:rPr>
          <w:rFonts w:cs="Times Ext Roman" w:hint="eastAsia"/>
          <w:szCs w:val="22"/>
        </w:rPr>
        <w:t>黑格爾</w:t>
      </w:r>
      <w:r w:rsidRPr="00212D57">
        <w:rPr>
          <w:rFonts w:hint="eastAsia"/>
          <w:szCs w:val="22"/>
        </w:rPr>
        <w:t xml:space="preserve"> </w:t>
      </w:r>
      <w:r w:rsidRPr="00212D57">
        <w:rPr>
          <w:rFonts w:cs="Times Ext Roman" w:hint="eastAsia"/>
          <w:szCs w:val="22"/>
        </w:rPr>
        <w:t>為代表的唯心辯證法和馬克思主義的唯物辯證法。</w:t>
      </w:r>
      <w:r w:rsidRPr="00212D57">
        <w:rPr>
          <w:rFonts w:cs="Times Ext Roman"/>
          <w:szCs w:val="22"/>
        </w:rPr>
        <w:t>（《漢語大詞典》（</w:t>
      </w:r>
      <w:r w:rsidRPr="00212D57">
        <w:rPr>
          <w:rFonts w:cs="Times Ext Roman" w:hint="eastAsia"/>
          <w:szCs w:val="22"/>
        </w:rPr>
        <w:t>十一</w:t>
      </w:r>
      <w:r w:rsidRPr="00212D57">
        <w:rPr>
          <w:rFonts w:cs="Times Ext Roman"/>
          <w:szCs w:val="22"/>
        </w:rPr>
        <w:t>），</w:t>
      </w:r>
      <w:r w:rsidRPr="00761EF3">
        <w:rPr>
          <w:szCs w:val="22"/>
        </w:rPr>
        <w:t>p</w:t>
      </w:r>
      <w:r w:rsidRPr="00212D57">
        <w:rPr>
          <w:szCs w:val="22"/>
        </w:rPr>
        <w:t>.</w:t>
      </w:r>
      <w:r w:rsidRPr="00761EF3">
        <w:rPr>
          <w:rFonts w:hint="eastAsia"/>
          <w:szCs w:val="22"/>
        </w:rPr>
        <w:t>514</w:t>
      </w:r>
      <w:r w:rsidRPr="00212D57">
        <w:rPr>
          <w:rFonts w:cs="Times Ext Roman"/>
          <w:szCs w:val="22"/>
        </w:rPr>
        <w:t>）</w:t>
      </w:r>
    </w:p>
  </w:footnote>
  <w:footnote w:id="42">
    <w:p w:rsidR="00157EF6" w:rsidRPr="00212D57" w:rsidRDefault="00157EF6" w:rsidP="00DD3843">
      <w:pPr>
        <w:pStyle w:val="a5"/>
        <w:ind w:left="792" w:hangingChars="360" w:hanging="792"/>
        <w:jc w:val="both"/>
        <w:rPr>
          <w:rFonts w:cs="Times Ext Roman"/>
          <w:szCs w:val="22"/>
        </w:rPr>
      </w:pPr>
      <w:r w:rsidRPr="00212D57">
        <w:rPr>
          <w:rStyle w:val="a6"/>
          <w:szCs w:val="22"/>
        </w:rPr>
        <w:footnoteRef/>
      </w:r>
      <w:r w:rsidRPr="00212D57">
        <w:rPr>
          <w:rFonts w:cs="Times Ext Roman" w:hint="eastAsia"/>
          <w:szCs w:val="22"/>
        </w:rPr>
        <w:t xml:space="preserve"> </w:t>
      </w:r>
      <w:r w:rsidRPr="00212D57">
        <w:rPr>
          <w:rFonts w:cs="Times Ext Roman" w:hint="eastAsia"/>
          <w:szCs w:val="22"/>
        </w:rPr>
        <w:t>（</w:t>
      </w:r>
      <w:r w:rsidRPr="00761EF3">
        <w:rPr>
          <w:rFonts w:hint="eastAsia"/>
          <w:szCs w:val="22"/>
        </w:rPr>
        <w:t>1</w:t>
      </w:r>
      <w:r w:rsidRPr="00212D57">
        <w:rPr>
          <w:rFonts w:cs="Times Ext Roman" w:hint="eastAsia"/>
          <w:szCs w:val="22"/>
        </w:rPr>
        <w:t>）</w:t>
      </w:r>
      <w:r w:rsidRPr="00212D57">
        <w:rPr>
          <w:szCs w:val="22"/>
        </w:rPr>
        <w:t>唯物論</w:t>
      </w:r>
      <w:r w:rsidRPr="00212D57">
        <w:rPr>
          <w:rFonts w:cs="Times Ext Roman" w:hint="eastAsia"/>
          <w:szCs w:val="22"/>
        </w:rPr>
        <w:t>：即唯物主義。</w:t>
      </w:r>
      <w:r w:rsidRPr="00212D57">
        <w:rPr>
          <w:rFonts w:cs="Times Ext Roman"/>
          <w:szCs w:val="22"/>
        </w:rPr>
        <w:t>（《漢語大詞典》（</w:t>
      </w:r>
      <w:r w:rsidRPr="00212D57">
        <w:rPr>
          <w:rFonts w:cs="Times Ext Roman" w:hint="eastAsia"/>
          <w:szCs w:val="22"/>
        </w:rPr>
        <w:t>三</w:t>
      </w:r>
      <w:r w:rsidRPr="00212D57">
        <w:rPr>
          <w:rFonts w:cs="Times Ext Roman"/>
          <w:szCs w:val="22"/>
        </w:rPr>
        <w:t>），</w:t>
      </w:r>
      <w:r w:rsidRPr="00761EF3">
        <w:rPr>
          <w:szCs w:val="22"/>
        </w:rPr>
        <w:t>p</w:t>
      </w:r>
      <w:r w:rsidRPr="00212D57">
        <w:rPr>
          <w:szCs w:val="22"/>
        </w:rPr>
        <w:t>.</w:t>
      </w:r>
      <w:r w:rsidRPr="00761EF3">
        <w:rPr>
          <w:rFonts w:hint="eastAsia"/>
          <w:szCs w:val="22"/>
        </w:rPr>
        <w:t>387</w:t>
      </w:r>
      <w:r w:rsidRPr="00212D57">
        <w:rPr>
          <w:rFonts w:cs="Times Ext Roman"/>
          <w:szCs w:val="22"/>
        </w:rPr>
        <w:t>）</w:t>
      </w:r>
    </w:p>
    <w:p w:rsidR="00157EF6" w:rsidRPr="00212D57" w:rsidRDefault="00157EF6" w:rsidP="00DD3843">
      <w:pPr>
        <w:pStyle w:val="a5"/>
        <w:ind w:leftChars="105" w:left="791" w:hangingChars="245" w:hanging="539"/>
        <w:jc w:val="both"/>
        <w:rPr>
          <w:rFonts w:cs="Times Ext Roman"/>
          <w:szCs w:val="22"/>
        </w:rPr>
      </w:pPr>
      <w:r w:rsidRPr="00212D57">
        <w:rPr>
          <w:rFonts w:cs="Times Ext Roman" w:hint="eastAsia"/>
          <w:szCs w:val="22"/>
        </w:rPr>
        <w:t>（</w:t>
      </w:r>
      <w:r w:rsidRPr="00761EF3">
        <w:rPr>
          <w:rFonts w:hint="eastAsia"/>
          <w:szCs w:val="22"/>
        </w:rPr>
        <w:t>2</w:t>
      </w:r>
      <w:r w:rsidRPr="00212D57">
        <w:rPr>
          <w:rFonts w:cs="Times Ext Roman" w:hint="eastAsia"/>
          <w:szCs w:val="22"/>
        </w:rPr>
        <w:t>）</w:t>
      </w:r>
      <w:r w:rsidRPr="00212D57">
        <w:rPr>
          <w:rStyle w:val="byline"/>
          <w:rFonts w:hAnsi="新細明體" w:hint="eastAsia"/>
          <w:color w:val="auto"/>
          <w:spacing w:val="2"/>
          <w:sz w:val="22"/>
          <w:szCs w:val="22"/>
        </w:rPr>
        <w:t>唯物</w:t>
      </w:r>
      <w:r w:rsidRPr="00212D57">
        <w:rPr>
          <w:rFonts w:cs="Times Ext Roman" w:hint="eastAsia"/>
          <w:spacing w:val="2"/>
          <w:szCs w:val="22"/>
        </w:rPr>
        <w:t>主義：哲學中兩大派別之一，同唯心主義相對立的思想體系。認為世界</w:t>
      </w:r>
      <w:r w:rsidRPr="00212D57">
        <w:rPr>
          <w:rFonts w:cs="Times Ext Roman" w:hint="eastAsia"/>
          <w:szCs w:val="22"/>
        </w:rPr>
        <w:t>按它的本質來說是物質的，是在人的意識之外，不依賴人的意識而客觀存在的。物質是第一性的，意識是物質存在的反映，是第二性的。世界是可以認識的。</w:t>
      </w:r>
      <w:r w:rsidRPr="00212D57">
        <w:rPr>
          <w:rFonts w:cs="Times Ext Roman"/>
          <w:szCs w:val="22"/>
        </w:rPr>
        <w:t>（《漢語大詞典》（</w:t>
      </w:r>
      <w:r w:rsidRPr="00212D57">
        <w:rPr>
          <w:rFonts w:cs="Times Ext Roman" w:hint="eastAsia"/>
          <w:szCs w:val="22"/>
        </w:rPr>
        <w:t>三</w:t>
      </w:r>
      <w:r w:rsidRPr="00212D57">
        <w:rPr>
          <w:rFonts w:cs="Times Ext Roman"/>
          <w:szCs w:val="22"/>
        </w:rPr>
        <w:t>），</w:t>
      </w:r>
      <w:r w:rsidRPr="00761EF3">
        <w:rPr>
          <w:szCs w:val="22"/>
        </w:rPr>
        <w:t>p</w:t>
      </w:r>
      <w:r w:rsidRPr="00212D57">
        <w:rPr>
          <w:szCs w:val="22"/>
        </w:rPr>
        <w:t>.</w:t>
      </w:r>
      <w:r w:rsidRPr="00761EF3">
        <w:rPr>
          <w:rFonts w:hint="eastAsia"/>
          <w:szCs w:val="22"/>
        </w:rPr>
        <w:t>387</w:t>
      </w:r>
      <w:r w:rsidRPr="00212D57">
        <w:rPr>
          <w:rFonts w:cs="Times Ext Roman"/>
          <w:szCs w:val="22"/>
        </w:rPr>
        <w:t>）</w:t>
      </w:r>
    </w:p>
  </w:footnote>
  <w:footnote w:id="43">
    <w:p w:rsidR="00F616B6" w:rsidRPr="004D3551" w:rsidRDefault="00F616B6" w:rsidP="00F616B6">
      <w:pPr>
        <w:pStyle w:val="a5"/>
        <w:rPr>
          <w:color w:val="FF0000"/>
          <w:szCs w:val="22"/>
          <w:highlight w:val="yellow"/>
        </w:rPr>
      </w:pPr>
      <w:r w:rsidRPr="004D3551">
        <w:rPr>
          <w:rStyle w:val="a6"/>
          <w:color w:val="FF0000"/>
          <w:szCs w:val="22"/>
          <w:highlight w:val="yellow"/>
        </w:rPr>
        <w:footnoteRef/>
      </w:r>
      <w:r w:rsidRPr="004D3551">
        <w:rPr>
          <w:color w:val="FF0000"/>
          <w:szCs w:val="22"/>
        </w:rPr>
        <w:t xml:space="preserve"> </w:t>
      </w:r>
      <w:r w:rsidRPr="004D3551">
        <w:rPr>
          <w:rFonts w:hint="eastAsia"/>
          <w:color w:val="FF0000"/>
          <w:szCs w:val="22"/>
          <w:highlight w:val="yellow"/>
        </w:rPr>
        <w:t>參見《中觀今論》，</w:t>
      </w:r>
      <w:r w:rsidRPr="004D3551">
        <w:rPr>
          <w:rFonts w:hint="eastAsia"/>
          <w:color w:val="FF0000"/>
          <w:szCs w:val="22"/>
          <w:highlight w:val="yellow"/>
        </w:rPr>
        <w:t>pp.225-226</w:t>
      </w:r>
      <w:r w:rsidRPr="004D3551">
        <w:rPr>
          <w:rFonts w:hint="eastAsia"/>
          <w:color w:val="FF0000"/>
          <w:szCs w:val="22"/>
          <w:highlight w:val="yellow"/>
        </w:rPr>
        <w:t>。</w:t>
      </w:r>
    </w:p>
  </w:footnote>
  <w:footnote w:id="44">
    <w:p w:rsidR="00157EF6" w:rsidRPr="00212D57" w:rsidRDefault="00157EF6" w:rsidP="002C66FC">
      <w:pPr>
        <w:pStyle w:val="a5"/>
        <w:spacing w:line="0" w:lineRule="atLeast"/>
        <w:ind w:left="253" w:hangingChars="115" w:hanging="253"/>
        <w:jc w:val="both"/>
        <w:rPr>
          <w:rFonts w:cs="Times Ext Roman"/>
          <w:szCs w:val="22"/>
        </w:rPr>
      </w:pPr>
      <w:r w:rsidRPr="00212D57">
        <w:rPr>
          <w:rStyle w:val="a6"/>
          <w:szCs w:val="22"/>
        </w:rPr>
        <w:footnoteRef/>
      </w:r>
      <w:r w:rsidRPr="00212D57">
        <w:rPr>
          <w:szCs w:val="22"/>
        </w:rPr>
        <w:t xml:space="preserve"> </w:t>
      </w:r>
      <w:r w:rsidRPr="00212D57">
        <w:rPr>
          <w:rFonts w:cs="Times Ext Roman"/>
          <w:szCs w:val="22"/>
        </w:rPr>
        <w:t>奪：</w:t>
      </w:r>
      <w:r w:rsidRPr="00761EF3">
        <w:rPr>
          <w:rFonts w:hint="eastAsia"/>
          <w:szCs w:val="22"/>
        </w:rPr>
        <w:t>1</w:t>
      </w:r>
      <w:r w:rsidRPr="00212D57">
        <w:rPr>
          <w:rFonts w:hint="eastAsia"/>
          <w:szCs w:val="22"/>
        </w:rPr>
        <w:t>.</w:t>
      </w:r>
      <w:r w:rsidRPr="00212D57">
        <w:rPr>
          <w:rFonts w:cs="Times Ext Roman" w:hint="eastAsia"/>
          <w:szCs w:val="22"/>
        </w:rPr>
        <w:t>強取。</w:t>
      </w:r>
      <w:r w:rsidRPr="00761EF3">
        <w:rPr>
          <w:rFonts w:hint="eastAsia"/>
          <w:szCs w:val="22"/>
        </w:rPr>
        <w:t>6</w:t>
      </w:r>
      <w:r w:rsidRPr="00212D57">
        <w:rPr>
          <w:rFonts w:hint="eastAsia"/>
          <w:szCs w:val="22"/>
        </w:rPr>
        <w:t>.</w:t>
      </w:r>
      <w:r w:rsidRPr="00212D57">
        <w:rPr>
          <w:rFonts w:cs="Times Ext Roman" w:hint="eastAsia"/>
          <w:szCs w:val="22"/>
        </w:rPr>
        <w:t>喪失，失去。</w:t>
      </w:r>
      <w:r w:rsidRPr="00761EF3">
        <w:rPr>
          <w:szCs w:val="22"/>
        </w:rPr>
        <w:t>8</w:t>
      </w:r>
      <w:r w:rsidRPr="00212D57">
        <w:rPr>
          <w:szCs w:val="22"/>
        </w:rPr>
        <w:t>.</w:t>
      </w:r>
      <w:r w:rsidRPr="00212D57">
        <w:rPr>
          <w:rFonts w:cs="Times Ext Roman"/>
          <w:szCs w:val="22"/>
        </w:rPr>
        <w:t>猶亂。（《漢語大詞典》（</w:t>
      </w:r>
      <w:r w:rsidRPr="00212D57">
        <w:rPr>
          <w:rFonts w:cs="Times Ext Roman" w:hint="eastAsia"/>
          <w:szCs w:val="22"/>
        </w:rPr>
        <w:t>二</w:t>
      </w:r>
      <w:r w:rsidRPr="00212D57">
        <w:rPr>
          <w:rFonts w:cs="Times Ext Roman"/>
          <w:szCs w:val="22"/>
        </w:rPr>
        <w:t>），</w:t>
      </w:r>
      <w:r w:rsidRPr="00761EF3">
        <w:rPr>
          <w:szCs w:val="22"/>
        </w:rPr>
        <w:t>p</w:t>
      </w:r>
      <w:r w:rsidRPr="00212D57">
        <w:rPr>
          <w:szCs w:val="22"/>
        </w:rPr>
        <w:t>.</w:t>
      </w:r>
      <w:r w:rsidRPr="00761EF3">
        <w:rPr>
          <w:rFonts w:hint="eastAsia"/>
          <w:szCs w:val="22"/>
        </w:rPr>
        <w:t>1560</w:t>
      </w:r>
      <w:r w:rsidRPr="00212D57">
        <w:rPr>
          <w:rFonts w:cs="Times Ext Roman"/>
          <w:szCs w:val="22"/>
        </w:rPr>
        <w:t>）</w:t>
      </w:r>
    </w:p>
  </w:footnote>
  <w:footnote w:id="45">
    <w:p w:rsidR="00157EF6" w:rsidRPr="00212D57" w:rsidRDefault="00157EF6" w:rsidP="002C66FC">
      <w:pPr>
        <w:pStyle w:val="a5"/>
        <w:spacing w:line="0" w:lineRule="atLeast"/>
        <w:ind w:left="253" w:hangingChars="115" w:hanging="253"/>
        <w:jc w:val="both"/>
        <w:rPr>
          <w:rFonts w:cs="Times Ext Roman"/>
          <w:szCs w:val="22"/>
        </w:rPr>
      </w:pPr>
      <w:r w:rsidRPr="00212D57">
        <w:rPr>
          <w:rStyle w:val="a6"/>
          <w:szCs w:val="22"/>
        </w:rPr>
        <w:footnoteRef/>
      </w:r>
      <w:r w:rsidRPr="00212D57">
        <w:rPr>
          <w:rFonts w:hint="eastAsia"/>
          <w:szCs w:val="22"/>
        </w:rPr>
        <w:t xml:space="preserve"> </w:t>
      </w:r>
      <w:r w:rsidR="009160B5">
        <w:rPr>
          <w:rFonts w:cs="Times Ext Roman"/>
          <w:szCs w:val="22"/>
        </w:rPr>
        <w:t>參見：印</w:t>
      </w:r>
      <w:r w:rsidRPr="00212D57">
        <w:rPr>
          <w:rFonts w:cs="Times Ext Roman"/>
          <w:szCs w:val="22"/>
        </w:rPr>
        <w:t>順法師</w:t>
      </w:r>
      <w:r w:rsidRPr="00212D57">
        <w:rPr>
          <w:rFonts w:cs="Times Ext Roman" w:hint="eastAsia"/>
          <w:szCs w:val="22"/>
        </w:rPr>
        <w:t>，</w:t>
      </w:r>
      <w:r w:rsidRPr="00212D57">
        <w:rPr>
          <w:rFonts w:cs="Times Ext Roman"/>
          <w:szCs w:val="22"/>
        </w:rPr>
        <w:t>《佛法是救世之光》〈慈悲與智慧的融合〉，</w:t>
      </w:r>
      <w:r w:rsidRPr="00761EF3">
        <w:rPr>
          <w:szCs w:val="22"/>
        </w:rPr>
        <w:t>pp</w:t>
      </w:r>
      <w:r w:rsidRPr="00212D57">
        <w:rPr>
          <w:szCs w:val="22"/>
        </w:rPr>
        <w:t>.</w:t>
      </w:r>
      <w:r w:rsidRPr="00761EF3">
        <w:rPr>
          <w:szCs w:val="22"/>
        </w:rPr>
        <w:t>163</w:t>
      </w:r>
      <w:r w:rsidRPr="00212D57">
        <w:rPr>
          <w:szCs w:val="22"/>
        </w:rPr>
        <w:t>-</w:t>
      </w:r>
      <w:r w:rsidRPr="00761EF3">
        <w:rPr>
          <w:szCs w:val="22"/>
        </w:rPr>
        <w:t>167</w:t>
      </w:r>
      <w:r w:rsidRPr="00212D57">
        <w:rPr>
          <w:rFonts w:cs="Times Ext Roman"/>
          <w:szCs w:val="22"/>
        </w:rPr>
        <w:t>。</w:t>
      </w:r>
    </w:p>
  </w:footnote>
  <w:footnote w:id="46">
    <w:p w:rsidR="00157EF6" w:rsidRPr="00212D57" w:rsidRDefault="00157EF6" w:rsidP="00807D20">
      <w:pPr>
        <w:pStyle w:val="a5"/>
        <w:spacing w:line="0" w:lineRule="atLeast"/>
        <w:ind w:left="253" w:hangingChars="115" w:hanging="253"/>
        <w:jc w:val="both"/>
        <w:rPr>
          <w:rFonts w:cs="Angsana New"/>
          <w:szCs w:val="22"/>
          <w:lang w:bidi="th-TH"/>
        </w:rPr>
      </w:pPr>
      <w:r w:rsidRPr="00212D57">
        <w:rPr>
          <w:rStyle w:val="a6"/>
          <w:szCs w:val="22"/>
        </w:rPr>
        <w:footnoteRef/>
      </w:r>
      <w:r w:rsidRPr="00212D57">
        <w:rPr>
          <w:rFonts w:hint="eastAsia"/>
          <w:szCs w:val="22"/>
          <w:lang w:bidi="th-TH"/>
        </w:rPr>
        <w:t xml:space="preserve"> </w:t>
      </w:r>
      <w:r w:rsidRPr="00212D57">
        <w:rPr>
          <w:rFonts w:cs="Times Ext Roman" w:hint="eastAsia"/>
          <w:szCs w:val="22"/>
        </w:rPr>
        <w:t>緣起</w:t>
      </w:r>
      <w:r w:rsidRPr="00212D57">
        <w:rPr>
          <w:rFonts w:cs="Angsana New" w:hint="eastAsia"/>
          <w:szCs w:val="22"/>
          <w:lang w:bidi="th-TH"/>
        </w:rPr>
        <w:t>無我的中觀：</w:t>
      </w:r>
    </w:p>
    <w:p w:rsidR="00157EF6" w:rsidRPr="00212D57" w:rsidRDefault="00157EF6" w:rsidP="00807D20">
      <w:pPr>
        <w:snapToGrid w:val="0"/>
        <w:ind w:leftChars="105" w:left="252"/>
        <w:jc w:val="both"/>
        <w:rPr>
          <w:rFonts w:ascii="Times New Roman" w:hAnsi="Times New Roman" w:cs="Angsana New"/>
          <w:sz w:val="22"/>
          <w:szCs w:val="22"/>
          <w:lang w:bidi="th-TH"/>
        </w:rPr>
      </w:pPr>
      <w:r w:rsidRPr="00212D57">
        <w:rPr>
          <w:rFonts w:ascii="Times New Roman" w:hAnsi="Times New Roman" w:cs="Angsana New" w:hint="eastAsia"/>
          <w:sz w:val="22"/>
          <w:szCs w:val="22"/>
          <w:lang w:bidi="th-TH"/>
        </w:rPr>
        <w:t>（</w:t>
      </w:r>
      <w:r w:rsidRPr="00761EF3">
        <w:rPr>
          <w:rFonts w:ascii="Times New Roman" w:hAnsi="Times New Roman" w:hint="eastAsia"/>
          <w:sz w:val="22"/>
          <w:szCs w:val="22"/>
          <w:lang w:bidi="th-TH"/>
        </w:rPr>
        <w:t>1</w:t>
      </w:r>
      <w:r w:rsidRPr="00212D57">
        <w:rPr>
          <w:rFonts w:ascii="Times New Roman" w:hAnsi="Times New Roman" w:cs="Angsana New" w:hint="eastAsia"/>
          <w:sz w:val="22"/>
          <w:szCs w:val="22"/>
          <w:lang w:bidi="th-TH"/>
        </w:rPr>
        <w:t>）否定了</w:t>
      </w:r>
      <w:r w:rsidRPr="00212D57">
        <w:rPr>
          <w:rFonts w:ascii="Times New Roman" w:hAnsi="Times New Roman" w:cs="Angsana New" w:hint="eastAsia"/>
          <w:b/>
          <w:sz w:val="22"/>
          <w:szCs w:val="22"/>
          <w:lang w:bidi="th-TH"/>
        </w:rPr>
        <w:t>實在性</w:t>
      </w:r>
      <w:r w:rsidRPr="00212D57">
        <w:rPr>
          <w:rFonts w:ascii="Times New Roman" w:hAnsi="Times New Roman" w:cs="Angsana New" w:hint="eastAsia"/>
          <w:sz w:val="22"/>
          <w:szCs w:val="22"/>
          <w:lang w:bidi="th-TH"/>
        </w:rPr>
        <w:t>：一切是</w:t>
      </w:r>
      <w:r w:rsidRPr="00212D57">
        <w:rPr>
          <w:rFonts w:ascii="Times New Roman" w:hAnsi="Times New Roman" w:cs="Angsana New" w:hint="eastAsia"/>
          <w:b/>
          <w:sz w:val="22"/>
          <w:szCs w:val="22"/>
          <w:lang w:bidi="th-TH"/>
        </w:rPr>
        <w:t>相對的</w:t>
      </w:r>
      <w:r w:rsidRPr="00212D57">
        <w:rPr>
          <w:rFonts w:ascii="Times New Roman" w:hAnsi="Times New Roman" w:cs="Angsana New" w:hint="eastAsia"/>
          <w:sz w:val="22"/>
          <w:szCs w:val="22"/>
          <w:lang w:bidi="th-TH"/>
        </w:rPr>
        <w:t>存在。</w:t>
      </w:r>
    </w:p>
    <w:p w:rsidR="00157EF6" w:rsidRPr="00212D57" w:rsidRDefault="00157EF6" w:rsidP="00807D20">
      <w:pPr>
        <w:snapToGrid w:val="0"/>
        <w:ind w:leftChars="105" w:left="252"/>
        <w:jc w:val="both"/>
        <w:rPr>
          <w:rFonts w:ascii="Times New Roman" w:hAnsi="Times New Roman" w:cs="Angsana New"/>
          <w:sz w:val="22"/>
          <w:szCs w:val="22"/>
          <w:lang w:bidi="th-TH"/>
        </w:rPr>
      </w:pPr>
      <w:r w:rsidRPr="00212D57">
        <w:rPr>
          <w:rFonts w:ascii="Times New Roman" w:hAnsi="Times New Roman" w:cs="Angsana New" w:hint="eastAsia"/>
          <w:sz w:val="22"/>
          <w:szCs w:val="22"/>
          <w:lang w:bidi="th-TH"/>
        </w:rPr>
        <w:t>（</w:t>
      </w:r>
      <w:r w:rsidRPr="00761EF3">
        <w:rPr>
          <w:rFonts w:ascii="Times New Roman" w:hAnsi="Times New Roman" w:hint="eastAsia"/>
          <w:sz w:val="22"/>
          <w:szCs w:val="22"/>
          <w:lang w:bidi="th-TH"/>
        </w:rPr>
        <w:t>2</w:t>
      </w:r>
      <w:r w:rsidRPr="00212D57">
        <w:rPr>
          <w:rFonts w:ascii="Times New Roman" w:hAnsi="Times New Roman" w:cs="Angsana New" w:hint="eastAsia"/>
          <w:sz w:val="22"/>
          <w:szCs w:val="22"/>
          <w:lang w:bidi="th-TH"/>
        </w:rPr>
        <w:t>）否定了</w:t>
      </w:r>
      <w:r w:rsidRPr="00212D57">
        <w:rPr>
          <w:rFonts w:ascii="Times New Roman" w:hAnsi="Times New Roman" w:cs="Angsana New" w:hint="eastAsia"/>
          <w:b/>
          <w:sz w:val="22"/>
          <w:szCs w:val="22"/>
          <w:lang w:bidi="th-TH"/>
        </w:rPr>
        <w:t>不變性</w:t>
      </w:r>
      <w:r w:rsidRPr="00212D57">
        <w:rPr>
          <w:rFonts w:ascii="Times New Roman" w:hAnsi="Times New Roman" w:cs="Angsana New" w:hint="eastAsia"/>
          <w:sz w:val="22"/>
          <w:szCs w:val="22"/>
          <w:lang w:bidi="th-TH"/>
        </w:rPr>
        <w:t>：一切是</w:t>
      </w:r>
      <w:r w:rsidRPr="00212D57">
        <w:rPr>
          <w:rFonts w:ascii="Times New Roman" w:hAnsi="Times New Roman" w:cs="Angsana New" w:hint="eastAsia"/>
          <w:b/>
          <w:sz w:val="22"/>
          <w:szCs w:val="22"/>
          <w:lang w:bidi="th-TH"/>
        </w:rPr>
        <w:t>流變的</w:t>
      </w:r>
      <w:r w:rsidRPr="00212D57">
        <w:rPr>
          <w:rFonts w:ascii="Times New Roman" w:hAnsi="Times New Roman" w:cs="Angsana New" w:hint="eastAsia"/>
          <w:sz w:val="22"/>
          <w:szCs w:val="22"/>
          <w:lang w:bidi="th-TH"/>
        </w:rPr>
        <w:t>存在。</w:t>
      </w:r>
    </w:p>
    <w:p w:rsidR="00157EF6" w:rsidRPr="00212D57" w:rsidRDefault="00157EF6" w:rsidP="00807D20">
      <w:pPr>
        <w:snapToGrid w:val="0"/>
        <w:ind w:leftChars="105" w:left="252"/>
        <w:jc w:val="both"/>
        <w:rPr>
          <w:sz w:val="22"/>
          <w:szCs w:val="22"/>
        </w:rPr>
      </w:pPr>
      <w:r w:rsidRPr="00212D57">
        <w:rPr>
          <w:rFonts w:ascii="Times New Roman" w:hAnsi="Times New Roman" w:cs="Angsana New" w:hint="eastAsia"/>
          <w:sz w:val="22"/>
          <w:szCs w:val="22"/>
          <w:lang w:bidi="th-TH"/>
        </w:rPr>
        <w:t>（</w:t>
      </w:r>
      <w:r w:rsidRPr="00761EF3">
        <w:rPr>
          <w:rFonts w:ascii="Times New Roman" w:hAnsi="Times New Roman" w:hint="eastAsia"/>
          <w:sz w:val="22"/>
          <w:szCs w:val="22"/>
          <w:lang w:bidi="th-TH"/>
        </w:rPr>
        <w:t>3</w:t>
      </w:r>
      <w:r w:rsidRPr="00212D57">
        <w:rPr>
          <w:rFonts w:ascii="Times New Roman" w:hAnsi="Times New Roman" w:cs="Angsana New" w:hint="eastAsia"/>
          <w:sz w:val="22"/>
          <w:szCs w:val="22"/>
          <w:lang w:bidi="th-TH"/>
        </w:rPr>
        <w:t>）否定了</w:t>
      </w:r>
      <w:r w:rsidRPr="00212D57">
        <w:rPr>
          <w:rFonts w:ascii="Times New Roman" w:hAnsi="Times New Roman" w:cs="Angsana New" w:hint="eastAsia"/>
          <w:b/>
          <w:sz w:val="22"/>
          <w:szCs w:val="22"/>
          <w:lang w:bidi="th-TH"/>
        </w:rPr>
        <w:t>獨有性</w:t>
      </w:r>
      <w:r w:rsidRPr="00212D57">
        <w:rPr>
          <w:rFonts w:ascii="Times New Roman" w:hAnsi="Times New Roman" w:cs="Angsana New" w:hint="eastAsia"/>
          <w:sz w:val="22"/>
          <w:szCs w:val="22"/>
          <w:lang w:bidi="th-TH"/>
        </w:rPr>
        <w:t>：一切是</w:t>
      </w:r>
      <w:r w:rsidRPr="00212D57">
        <w:rPr>
          <w:rFonts w:ascii="Times New Roman" w:hAnsi="Times New Roman" w:cs="Angsana New" w:hint="eastAsia"/>
          <w:b/>
          <w:sz w:val="22"/>
          <w:szCs w:val="22"/>
          <w:lang w:bidi="th-TH"/>
        </w:rPr>
        <w:t>依存的</w:t>
      </w:r>
      <w:r w:rsidRPr="00212D57">
        <w:rPr>
          <w:rFonts w:ascii="Times New Roman" w:hAnsi="Times New Roman" w:cs="Angsana New" w:hint="eastAsia"/>
          <w:sz w:val="22"/>
          <w:szCs w:val="22"/>
          <w:lang w:bidi="th-TH"/>
        </w:rPr>
        <w:t>存在。</w:t>
      </w:r>
    </w:p>
  </w:footnote>
  <w:footnote w:id="47">
    <w:p w:rsidR="00157EF6" w:rsidRPr="00212D57" w:rsidRDefault="00157EF6" w:rsidP="00807D20">
      <w:pPr>
        <w:pStyle w:val="a5"/>
        <w:spacing w:line="0" w:lineRule="atLeast"/>
        <w:ind w:left="253" w:hangingChars="115" w:hanging="253"/>
        <w:jc w:val="both"/>
        <w:rPr>
          <w:rFonts w:cs="Times Ext Roman"/>
          <w:szCs w:val="22"/>
        </w:rPr>
      </w:pPr>
      <w:r w:rsidRPr="00212D57">
        <w:rPr>
          <w:rStyle w:val="a6"/>
          <w:szCs w:val="22"/>
        </w:rPr>
        <w:footnoteRef/>
      </w:r>
      <w:r w:rsidRPr="00212D57">
        <w:rPr>
          <w:szCs w:val="22"/>
        </w:rPr>
        <w:t xml:space="preserve"> </w:t>
      </w:r>
      <w:r w:rsidRPr="00212D57">
        <w:rPr>
          <w:rFonts w:cs="Times Ext Roman"/>
          <w:szCs w:val="22"/>
        </w:rPr>
        <w:t>宛然：</w:t>
      </w:r>
      <w:r w:rsidRPr="00761EF3">
        <w:rPr>
          <w:rFonts w:hint="eastAsia"/>
          <w:szCs w:val="22"/>
        </w:rPr>
        <w:t>2</w:t>
      </w:r>
      <w:r w:rsidRPr="00212D57">
        <w:rPr>
          <w:rFonts w:hint="eastAsia"/>
          <w:szCs w:val="22"/>
        </w:rPr>
        <w:t>.</w:t>
      </w:r>
      <w:r w:rsidRPr="00212D57">
        <w:rPr>
          <w:rFonts w:cs="Times Ext Roman" w:hint="eastAsia"/>
          <w:szCs w:val="22"/>
        </w:rPr>
        <w:t>真切貌，清晰貌</w:t>
      </w:r>
      <w:r w:rsidRPr="00212D57">
        <w:rPr>
          <w:rFonts w:cs="Times Ext Roman"/>
          <w:szCs w:val="22"/>
        </w:rPr>
        <w:t>。（《漢語大詞典》（</w:t>
      </w:r>
      <w:r w:rsidRPr="00212D57">
        <w:rPr>
          <w:rFonts w:cs="Times Ext Roman" w:hint="eastAsia"/>
          <w:szCs w:val="22"/>
        </w:rPr>
        <w:t>三</w:t>
      </w:r>
      <w:r w:rsidRPr="00212D57">
        <w:rPr>
          <w:rFonts w:cs="Times Ext Roman"/>
          <w:szCs w:val="22"/>
        </w:rPr>
        <w:t>），</w:t>
      </w:r>
      <w:r w:rsidRPr="00761EF3">
        <w:rPr>
          <w:szCs w:val="22"/>
        </w:rPr>
        <w:t>p</w:t>
      </w:r>
      <w:r w:rsidRPr="00212D57">
        <w:rPr>
          <w:szCs w:val="22"/>
        </w:rPr>
        <w:t>.</w:t>
      </w:r>
      <w:r w:rsidRPr="00761EF3">
        <w:rPr>
          <w:rFonts w:hint="eastAsia"/>
          <w:szCs w:val="22"/>
        </w:rPr>
        <w:t>1402</w:t>
      </w:r>
      <w:r w:rsidRPr="00212D57">
        <w:rPr>
          <w:rFonts w:cs="Times Ext Roman"/>
          <w:szCs w:val="22"/>
        </w:rPr>
        <w:t>）</w:t>
      </w:r>
    </w:p>
  </w:footnote>
  <w:footnote w:id="48">
    <w:p w:rsidR="00157EF6" w:rsidRPr="00212D57" w:rsidRDefault="00157EF6" w:rsidP="00807D20">
      <w:pPr>
        <w:pStyle w:val="a5"/>
        <w:spacing w:line="0" w:lineRule="atLeast"/>
        <w:ind w:left="253" w:hangingChars="115" w:hanging="253"/>
        <w:jc w:val="both"/>
        <w:rPr>
          <w:rFonts w:cs="Times Ext Roman"/>
          <w:szCs w:val="22"/>
        </w:rPr>
      </w:pPr>
      <w:r w:rsidRPr="00212D57">
        <w:rPr>
          <w:rStyle w:val="a6"/>
          <w:szCs w:val="22"/>
        </w:rPr>
        <w:footnoteRef/>
      </w:r>
      <w:r w:rsidRPr="00212D57">
        <w:rPr>
          <w:rFonts w:hint="eastAsia"/>
          <w:szCs w:val="22"/>
        </w:rPr>
        <w:t xml:space="preserve"> </w:t>
      </w:r>
      <w:r w:rsidR="009160B5">
        <w:rPr>
          <w:rFonts w:cs="Times Ext Roman"/>
          <w:szCs w:val="22"/>
        </w:rPr>
        <w:t>參見：印</w:t>
      </w:r>
      <w:r w:rsidRPr="00212D57">
        <w:rPr>
          <w:rFonts w:cs="Times Ext Roman"/>
          <w:szCs w:val="22"/>
        </w:rPr>
        <w:t>順法師，《中觀今論》</w:t>
      </w:r>
      <w:r w:rsidRPr="00212D57">
        <w:rPr>
          <w:rFonts w:cs="Times Ext Roman" w:hint="eastAsia"/>
          <w:szCs w:val="22"/>
        </w:rPr>
        <w:t>，</w:t>
      </w:r>
      <w:r w:rsidRPr="00212D57">
        <w:rPr>
          <w:rFonts w:cs="Times Ext Roman"/>
          <w:szCs w:val="22"/>
        </w:rPr>
        <w:t>第</w:t>
      </w:r>
      <w:r w:rsidRPr="00761EF3">
        <w:rPr>
          <w:rFonts w:hint="eastAsia"/>
          <w:szCs w:val="22"/>
        </w:rPr>
        <w:t>11</w:t>
      </w:r>
      <w:r w:rsidRPr="00212D57">
        <w:rPr>
          <w:rFonts w:cs="Times Ext Roman"/>
          <w:szCs w:val="22"/>
        </w:rPr>
        <w:t>章</w:t>
      </w:r>
      <w:r w:rsidRPr="00212D57">
        <w:rPr>
          <w:szCs w:val="22"/>
        </w:rPr>
        <w:t>〈中道之實踐〉，</w:t>
      </w:r>
      <w:r w:rsidRPr="00212D57">
        <w:rPr>
          <w:rFonts w:cs="Times Ext Roman"/>
          <w:szCs w:val="22"/>
        </w:rPr>
        <w:t>第</w:t>
      </w:r>
      <w:r w:rsidRPr="00761EF3">
        <w:rPr>
          <w:rFonts w:hint="eastAsia"/>
          <w:szCs w:val="22"/>
        </w:rPr>
        <w:t>2</w:t>
      </w:r>
      <w:r w:rsidRPr="00212D57">
        <w:rPr>
          <w:rFonts w:cs="Times Ext Roman"/>
          <w:szCs w:val="22"/>
        </w:rPr>
        <w:t>節〈緣起空有〉，</w:t>
      </w:r>
      <w:r w:rsidRPr="00761EF3">
        <w:rPr>
          <w:szCs w:val="22"/>
        </w:rPr>
        <w:t>pp</w:t>
      </w:r>
      <w:r w:rsidRPr="00212D57">
        <w:rPr>
          <w:szCs w:val="22"/>
        </w:rPr>
        <w:t>.</w:t>
      </w:r>
      <w:r w:rsidRPr="00761EF3">
        <w:rPr>
          <w:szCs w:val="22"/>
        </w:rPr>
        <w:t>237</w:t>
      </w:r>
      <w:r w:rsidRPr="00212D57">
        <w:rPr>
          <w:szCs w:val="22"/>
        </w:rPr>
        <w:t>-</w:t>
      </w:r>
      <w:r w:rsidRPr="00761EF3">
        <w:rPr>
          <w:szCs w:val="22"/>
        </w:rPr>
        <w:t>252</w:t>
      </w:r>
      <w:r w:rsidRPr="00212D57">
        <w:rPr>
          <w:rFonts w:cs="Times Ext Roman"/>
          <w:szCs w:val="22"/>
        </w:rPr>
        <w:t>。</w:t>
      </w:r>
    </w:p>
  </w:footnote>
  <w:footnote w:id="49">
    <w:p w:rsidR="00157EF6" w:rsidRPr="00212D57" w:rsidRDefault="00157EF6" w:rsidP="00807D20">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rFonts w:hint="eastAsia"/>
          <w:szCs w:val="22"/>
        </w:rPr>
        <w:t>印順法師，《中觀今論》，</w:t>
      </w:r>
      <w:r w:rsidRPr="00761EF3">
        <w:rPr>
          <w:szCs w:val="22"/>
        </w:rPr>
        <w:t>pp</w:t>
      </w:r>
      <w:r w:rsidRPr="00212D57">
        <w:rPr>
          <w:szCs w:val="22"/>
        </w:rPr>
        <w:t>.</w:t>
      </w:r>
      <w:r w:rsidRPr="00761EF3">
        <w:rPr>
          <w:szCs w:val="22"/>
        </w:rPr>
        <w:t>237</w:t>
      </w:r>
      <w:r w:rsidRPr="00212D57">
        <w:rPr>
          <w:szCs w:val="22"/>
        </w:rPr>
        <w:t>-</w:t>
      </w:r>
      <w:r w:rsidRPr="00761EF3">
        <w:rPr>
          <w:szCs w:val="22"/>
        </w:rPr>
        <w:t>238</w:t>
      </w:r>
      <w:r w:rsidRPr="00212D57">
        <w:rPr>
          <w:szCs w:val="22"/>
        </w:rPr>
        <w:t>：</w:t>
      </w:r>
    </w:p>
    <w:p w:rsidR="00157EF6" w:rsidRPr="00212D57" w:rsidRDefault="00157EF6" w:rsidP="00807D20">
      <w:pPr>
        <w:snapToGrid w:val="0"/>
        <w:ind w:leftChars="105" w:left="252"/>
        <w:jc w:val="both"/>
        <w:rPr>
          <w:rFonts w:ascii="標楷體" w:eastAsia="標楷體" w:hAnsi="標楷體"/>
          <w:sz w:val="22"/>
          <w:szCs w:val="22"/>
        </w:rPr>
      </w:pPr>
      <w:r w:rsidRPr="00212D57">
        <w:rPr>
          <w:rFonts w:ascii="標楷體" w:eastAsia="標楷體" w:hAnsi="標楷體" w:hint="eastAsia"/>
          <w:sz w:val="22"/>
          <w:szCs w:val="22"/>
        </w:rPr>
        <w:t>體悟中道，要先有緣起空有無礙的正觀。</w:t>
      </w:r>
      <w:r w:rsidRPr="00B16A72">
        <w:rPr>
          <w:rFonts w:ascii="標楷體" w:eastAsia="標楷體" w:hAnsi="標楷體" w:hint="eastAsia"/>
          <w:sz w:val="22"/>
          <w:szCs w:val="22"/>
          <w:shd w:val="pct15" w:color="auto" w:fill="FFFFFF"/>
        </w:rPr>
        <w:t>……</w:t>
      </w:r>
      <w:r w:rsidRPr="00212D57">
        <w:rPr>
          <w:rFonts w:ascii="標楷體" w:eastAsia="標楷體" w:hAnsi="標楷體" w:hint="eastAsia"/>
          <w:sz w:val="22"/>
          <w:szCs w:val="22"/>
        </w:rPr>
        <w:t>但於緣起正觀的修習，從來的佛教界，有兩大類：</w:t>
      </w:r>
      <w:r w:rsidRPr="00212D57">
        <w:rPr>
          <w:rFonts w:ascii="Times New Roman" w:eastAsia="標楷體" w:hAnsi="Times New Roman" w:hint="eastAsia"/>
          <w:sz w:val="22"/>
          <w:szCs w:val="22"/>
        </w:rPr>
        <w:t>（</w:t>
      </w:r>
      <w:r w:rsidRPr="00212D57">
        <w:rPr>
          <w:rFonts w:ascii="標楷體" w:eastAsia="標楷體" w:hAnsi="標楷體" w:hint="eastAsia"/>
          <w:sz w:val="22"/>
          <w:szCs w:val="22"/>
        </w:rPr>
        <w:t>一</w:t>
      </w:r>
      <w:r w:rsidRPr="00212D57">
        <w:rPr>
          <w:rFonts w:ascii="Times New Roman" w:eastAsia="標楷體" w:hAnsi="Times New Roman" w:hint="eastAsia"/>
          <w:sz w:val="22"/>
          <w:szCs w:val="22"/>
        </w:rPr>
        <w:t>）</w:t>
      </w:r>
      <w:r w:rsidRPr="00212D57">
        <w:rPr>
          <w:rFonts w:ascii="標楷體" w:eastAsia="標楷體" w:hAnsi="標楷體" w:hint="eastAsia"/>
          <w:sz w:val="22"/>
          <w:szCs w:val="22"/>
        </w:rPr>
        <w:t>《阿含經》等，要先於緣起因果，生死還滅的道理，有了深刻的信解，然後從緣起相有而觀察性空。如經說：「先得法住智，後得涅槃智。」</w:t>
      </w:r>
    </w:p>
    <w:p w:rsidR="00157EF6" w:rsidRPr="00212D57" w:rsidRDefault="00157EF6" w:rsidP="00807D20">
      <w:pPr>
        <w:snapToGrid w:val="0"/>
        <w:ind w:leftChars="105" w:left="252"/>
        <w:jc w:val="both"/>
        <w:rPr>
          <w:rFonts w:ascii="標楷體" w:eastAsia="標楷體" w:hAnsi="標楷體"/>
          <w:sz w:val="22"/>
          <w:szCs w:val="22"/>
        </w:rPr>
      </w:pPr>
      <w:r w:rsidRPr="00212D57">
        <w:rPr>
          <w:rFonts w:ascii="Times New Roman" w:eastAsia="標楷體" w:hAnsi="Times New Roman" w:hint="eastAsia"/>
          <w:sz w:val="22"/>
          <w:szCs w:val="22"/>
        </w:rPr>
        <w:t>（</w:t>
      </w:r>
      <w:r w:rsidRPr="00212D57">
        <w:rPr>
          <w:rFonts w:ascii="標楷體" w:eastAsia="標楷體" w:hAnsi="標楷體" w:hint="eastAsia"/>
          <w:sz w:val="22"/>
          <w:szCs w:val="22"/>
        </w:rPr>
        <w:t>二</w:t>
      </w:r>
      <w:r w:rsidRPr="00212D57">
        <w:rPr>
          <w:rFonts w:ascii="Times New Roman" w:eastAsia="標楷體" w:hAnsi="Times New Roman" w:hint="eastAsia"/>
          <w:sz w:val="22"/>
          <w:szCs w:val="22"/>
        </w:rPr>
        <w:t>）</w:t>
      </w:r>
      <w:r w:rsidRPr="00212D57">
        <w:rPr>
          <w:rFonts w:ascii="標楷體" w:eastAsia="標楷體" w:hAnsi="標楷體" w:hint="eastAsia"/>
          <w:b/>
          <w:sz w:val="22"/>
          <w:szCs w:val="22"/>
        </w:rPr>
        <w:t>大乘佛法以本性空為門，所以發心即觀八不</w:t>
      </w:r>
      <w:r w:rsidRPr="00212D57">
        <w:rPr>
          <w:rFonts w:ascii="標楷體" w:eastAsia="標楷體" w:hAnsi="標楷體" w:hint="eastAsia"/>
          <w:sz w:val="22"/>
          <w:szCs w:val="22"/>
        </w:rPr>
        <w:t>，如禪宗有先悟本來的主張。大乘佛法的發心即觀八不，觀諸法本不生，</w:t>
      </w:r>
      <w:r w:rsidRPr="00212D57">
        <w:rPr>
          <w:rFonts w:ascii="標楷體" w:eastAsia="標楷體" w:hAnsi="標楷體" w:hint="eastAsia"/>
          <w:b/>
          <w:sz w:val="22"/>
          <w:szCs w:val="22"/>
        </w:rPr>
        <w:t>依中觀者說，性空要於生死輪迴──緣起因果中去了解，要從即空的緣起中去觀察即緣起的空，決非離緣起而談不生。</w:t>
      </w:r>
      <w:r w:rsidRPr="00212D57">
        <w:rPr>
          <w:rFonts w:ascii="標楷體" w:eastAsia="標楷體" w:hAnsi="標楷體" w:hint="eastAsia"/>
          <w:sz w:val="22"/>
          <w:szCs w:val="22"/>
        </w:rPr>
        <w:t>若於緣起沒有深刻的了解，悟解空性是不可能的，也必是不正確的，會發生極大的流弊。</w:t>
      </w:r>
      <w:r w:rsidRPr="00BD627A">
        <w:rPr>
          <w:rFonts w:ascii="標楷體" w:eastAsia="標楷體" w:hAnsi="標楷體" w:hint="eastAsia"/>
          <w:sz w:val="22"/>
          <w:szCs w:val="22"/>
          <w:shd w:val="pct15" w:color="auto" w:fill="FFFFFF"/>
        </w:rPr>
        <w:t>……</w:t>
      </w:r>
    </w:p>
    <w:p w:rsidR="00157EF6" w:rsidRPr="00212D57" w:rsidRDefault="00157EF6" w:rsidP="00807D20">
      <w:pPr>
        <w:snapToGrid w:val="0"/>
        <w:ind w:leftChars="105" w:left="252"/>
        <w:jc w:val="both"/>
        <w:rPr>
          <w:rFonts w:ascii="標楷體" w:eastAsia="標楷體" w:hAnsi="標楷體"/>
          <w:sz w:val="22"/>
          <w:szCs w:val="22"/>
        </w:rPr>
      </w:pPr>
      <w:r w:rsidRPr="00212D57">
        <w:rPr>
          <w:rFonts w:ascii="標楷體" w:eastAsia="標楷體" w:hAnsi="標楷體" w:hint="eastAsia"/>
          <w:sz w:val="22"/>
          <w:szCs w:val="22"/>
        </w:rPr>
        <w:t>佛法的正常道，應先於緣起的因果善惡得善巧，再依緣起而觀空；或</w:t>
      </w:r>
      <w:r w:rsidRPr="00212D57">
        <w:rPr>
          <w:rFonts w:ascii="標楷體" w:eastAsia="標楷體" w:hAnsi="標楷體" w:hint="eastAsia"/>
          <w:b/>
          <w:sz w:val="22"/>
          <w:szCs w:val="22"/>
        </w:rPr>
        <w:t>先觀性空不礙緣起，即緣起而觀性空</w:t>
      </w:r>
      <w:r w:rsidRPr="00212D57">
        <w:rPr>
          <w:rFonts w:ascii="標楷體" w:eastAsia="標楷體" w:hAnsi="標楷體" w:hint="eastAsia"/>
          <w:sz w:val="22"/>
          <w:szCs w:val="22"/>
        </w:rPr>
        <w:t>。總之，「不依世俗諦，不得第一義」。</w:t>
      </w:r>
    </w:p>
  </w:footnote>
  <w:footnote w:id="50">
    <w:p w:rsidR="00157EF6" w:rsidRPr="00212D57" w:rsidRDefault="00157EF6" w:rsidP="00807D20">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印順法師，</w:t>
      </w:r>
      <w:r w:rsidRPr="00212D57">
        <w:rPr>
          <w:rFonts w:hint="eastAsia"/>
          <w:szCs w:val="22"/>
        </w:rPr>
        <w:t>《中觀今論》，</w:t>
      </w:r>
      <w:r w:rsidRPr="00212D57">
        <w:rPr>
          <w:rFonts w:cs="Times Ext Roman"/>
          <w:szCs w:val="22"/>
        </w:rPr>
        <w:t>第</w:t>
      </w:r>
      <w:r w:rsidRPr="00761EF3">
        <w:rPr>
          <w:rFonts w:hint="eastAsia"/>
          <w:szCs w:val="22"/>
        </w:rPr>
        <w:t>4</w:t>
      </w:r>
      <w:r w:rsidRPr="00212D57">
        <w:rPr>
          <w:rFonts w:cs="Times Ext Roman"/>
          <w:szCs w:val="22"/>
        </w:rPr>
        <w:t>章〈中道之方法論〉</w:t>
      </w:r>
      <w:r w:rsidRPr="00212D57">
        <w:rPr>
          <w:rFonts w:cs="Times Ext Roman" w:hint="eastAsia"/>
          <w:szCs w:val="22"/>
        </w:rPr>
        <w:t>，</w:t>
      </w:r>
      <w:r w:rsidRPr="00212D57">
        <w:rPr>
          <w:rFonts w:cs="Times Ext Roman"/>
          <w:szCs w:val="22"/>
        </w:rPr>
        <w:t>第</w:t>
      </w:r>
      <w:r w:rsidRPr="00761EF3">
        <w:rPr>
          <w:rFonts w:hint="eastAsia"/>
          <w:szCs w:val="22"/>
        </w:rPr>
        <w:t>2</w:t>
      </w:r>
      <w:r w:rsidRPr="00212D57">
        <w:rPr>
          <w:rFonts w:cs="Times Ext Roman"/>
          <w:szCs w:val="22"/>
        </w:rPr>
        <w:t>節〈</w:t>
      </w:r>
      <w:r w:rsidRPr="00212D57">
        <w:rPr>
          <w:rFonts w:cs="Times Ext Roman" w:hint="eastAsia"/>
          <w:szCs w:val="22"/>
        </w:rPr>
        <w:t>因明與中觀</w:t>
      </w:r>
      <w:r w:rsidRPr="00212D57">
        <w:rPr>
          <w:rFonts w:cs="Times Ext Roman"/>
          <w:szCs w:val="22"/>
        </w:rPr>
        <w:t>〉，</w:t>
      </w:r>
      <w:r w:rsidRPr="00761EF3">
        <w:rPr>
          <w:szCs w:val="22"/>
        </w:rPr>
        <w:t>pp</w:t>
      </w:r>
      <w:r w:rsidRPr="00212D57">
        <w:rPr>
          <w:szCs w:val="22"/>
        </w:rPr>
        <w:t>.</w:t>
      </w:r>
      <w:r w:rsidRPr="00761EF3">
        <w:rPr>
          <w:szCs w:val="22"/>
        </w:rPr>
        <w:t>48</w:t>
      </w:r>
      <w:r w:rsidRPr="00212D57">
        <w:rPr>
          <w:szCs w:val="22"/>
        </w:rPr>
        <w:t>-</w:t>
      </w:r>
      <w:r w:rsidRPr="00761EF3">
        <w:rPr>
          <w:szCs w:val="22"/>
        </w:rPr>
        <w:t>49</w:t>
      </w:r>
      <w:r w:rsidRPr="00212D57">
        <w:rPr>
          <w:szCs w:val="22"/>
        </w:rPr>
        <w:t>：</w:t>
      </w:r>
    </w:p>
    <w:p w:rsidR="00157EF6" w:rsidRPr="00212D57" w:rsidRDefault="00157EF6" w:rsidP="00807D20">
      <w:pPr>
        <w:snapToGrid w:val="0"/>
        <w:ind w:leftChars="105" w:left="252"/>
        <w:jc w:val="both"/>
        <w:rPr>
          <w:rFonts w:ascii="標楷體" w:eastAsia="標楷體" w:hAnsi="標楷體" w:cs="細明體"/>
          <w:b/>
          <w:sz w:val="22"/>
          <w:szCs w:val="22"/>
        </w:rPr>
      </w:pPr>
      <w:r w:rsidRPr="00212D57">
        <w:rPr>
          <w:rFonts w:ascii="標楷體" w:eastAsia="標楷體" w:hAnsi="標楷體" w:cs="細明體" w:hint="eastAsia"/>
          <w:b/>
          <w:sz w:val="22"/>
          <w:szCs w:val="22"/>
        </w:rPr>
        <w:t>空宗與有宗所諍的，主要為對於空的論法不同。</w:t>
      </w:r>
    </w:p>
    <w:p w:rsidR="00157EF6" w:rsidRPr="00212D57" w:rsidRDefault="00157EF6" w:rsidP="00807D20">
      <w:pPr>
        <w:snapToGrid w:val="0"/>
        <w:ind w:leftChars="105" w:left="252"/>
        <w:jc w:val="both"/>
        <w:rPr>
          <w:rFonts w:ascii="標楷體" w:eastAsia="標楷體" w:hAnsi="標楷體" w:cs="細明體"/>
          <w:sz w:val="22"/>
          <w:szCs w:val="22"/>
        </w:rPr>
      </w:pPr>
      <w:r w:rsidRPr="00212D57">
        <w:rPr>
          <w:rFonts w:ascii="標楷體" w:eastAsia="標楷體" w:hAnsi="標楷體" w:cs="細明體" w:hint="eastAsia"/>
          <w:sz w:val="22"/>
          <w:szCs w:val="22"/>
        </w:rPr>
        <w:t>空宗說：一切法是本性空的；因為一切法的自性本空，所以一切法是緣起有的。「空中無色」而「色即是空」，所以空與有不相礙，一切空而可能建立一切因果、罪福，以及凡聖的流轉和還滅。</w:t>
      </w:r>
    </w:p>
    <w:p w:rsidR="00157EF6" w:rsidRPr="00212D57" w:rsidRDefault="00157EF6" w:rsidP="00807D20">
      <w:pPr>
        <w:snapToGrid w:val="0"/>
        <w:ind w:leftChars="105" w:left="252"/>
        <w:jc w:val="both"/>
        <w:rPr>
          <w:rFonts w:ascii="標楷體" w:eastAsia="標楷體" w:hAnsi="標楷體" w:cs="細明體"/>
          <w:sz w:val="22"/>
          <w:szCs w:val="22"/>
        </w:rPr>
      </w:pPr>
      <w:r w:rsidRPr="00212D57">
        <w:rPr>
          <w:rFonts w:ascii="標楷體" w:eastAsia="標楷體" w:hAnsi="標楷體" w:cs="細明體" w:hint="eastAsia"/>
          <w:sz w:val="22"/>
          <w:szCs w:val="22"/>
        </w:rPr>
        <w:t>這點，中觀以外的學者，都難以承認。他們以為空是空的，即不是有的；有是有的，即不是空的。聽說「一切皆空」，就以為是毀壞一切的惡見，以為一切因果、罪福，甚麼都不能有了，所以至少非有些不空的纔對。依這種認識而開展的思想，不但外道、小乘，就是大乘的唯識學──有宗，也不免如此。因之，對於經中的「一切皆空」，不是根本的反對它，就給以非本義的修正：空是不了義的，這是依某種意義說的，其實某些某些是不空的。</w:t>
      </w:r>
    </w:p>
    <w:p w:rsidR="00157EF6" w:rsidRPr="00212D57" w:rsidRDefault="00157EF6" w:rsidP="00807D20">
      <w:pPr>
        <w:snapToGrid w:val="0"/>
        <w:ind w:leftChars="105" w:left="252"/>
        <w:jc w:val="both"/>
        <w:rPr>
          <w:rFonts w:ascii="標楷體" w:eastAsia="標楷體" w:hAnsi="標楷體" w:cs="細明體"/>
          <w:sz w:val="22"/>
          <w:szCs w:val="22"/>
        </w:rPr>
      </w:pPr>
      <w:r w:rsidRPr="00212D57">
        <w:rPr>
          <w:rFonts w:ascii="標楷體" w:eastAsia="標楷體" w:hAnsi="標楷體" w:cs="細明體" w:hint="eastAsia"/>
          <w:sz w:val="22"/>
          <w:szCs w:val="22"/>
        </w:rPr>
        <w:t>總之，他們勢必尋出一些不空的作根基，才能建立他們的宇宙觀與人生觀，建立他們的流轉論與還滅論。</w:t>
      </w:r>
    </w:p>
    <w:p w:rsidR="00157EF6" w:rsidRPr="00212D57" w:rsidRDefault="00157EF6" w:rsidP="00807D20">
      <w:pPr>
        <w:snapToGrid w:val="0"/>
        <w:ind w:leftChars="105" w:left="252"/>
        <w:jc w:val="both"/>
        <w:rPr>
          <w:rFonts w:ascii="標楷體" w:eastAsia="標楷體" w:hAnsi="標楷體"/>
          <w:sz w:val="22"/>
          <w:szCs w:val="22"/>
        </w:rPr>
      </w:pPr>
      <w:r w:rsidRPr="00212D57">
        <w:rPr>
          <w:rFonts w:ascii="標楷體" w:eastAsia="標楷體" w:hAnsi="標楷體" w:cs="細明體" w:hint="eastAsia"/>
          <w:b/>
          <w:sz w:val="22"/>
          <w:szCs w:val="22"/>
        </w:rPr>
        <w:t>空有二宗的諍論不已，根本即淵源於此種認識以及論理方式的不同。</w:t>
      </w:r>
      <w:r w:rsidRPr="00212D57">
        <w:rPr>
          <w:rFonts w:ascii="標楷體" w:eastAsia="標楷體" w:hAnsi="標楷體" w:cs="細明體" w:hint="eastAsia"/>
          <w:sz w:val="22"/>
          <w:szCs w:val="22"/>
        </w:rPr>
        <w:t>所以假如說：中觀的論理方法，處處合於唯識家的因明，那簡直是大外行！</w:t>
      </w:r>
    </w:p>
  </w:footnote>
  <w:footnote w:id="51">
    <w:p w:rsidR="00157EF6" w:rsidRPr="00212D57" w:rsidRDefault="00157EF6" w:rsidP="00807D20">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009160B5">
        <w:rPr>
          <w:szCs w:val="22"/>
        </w:rPr>
        <w:t>參見：印</w:t>
      </w:r>
      <w:r w:rsidRPr="00212D57">
        <w:rPr>
          <w:szCs w:val="22"/>
        </w:rPr>
        <w:t>順法師，《中觀今論》，第</w:t>
      </w:r>
      <w:r w:rsidRPr="00761EF3">
        <w:rPr>
          <w:szCs w:val="22"/>
        </w:rPr>
        <w:t>4</w:t>
      </w:r>
      <w:r w:rsidRPr="00212D57">
        <w:rPr>
          <w:szCs w:val="22"/>
        </w:rPr>
        <w:t>章〈中道之方法論〉，</w:t>
      </w:r>
      <w:r w:rsidRPr="00761EF3">
        <w:rPr>
          <w:szCs w:val="22"/>
        </w:rPr>
        <w:t>pp</w:t>
      </w:r>
      <w:r w:rsidRPr="00212D57">
        <w:rPr>
          <w:szCs w:val="22"/>
        </w:rPr>
        <w:t>.</w:t>
      </w:r>
      <w:r w:rsidRPr="00761EF3">
        <w:rPr>
          <w:szCs w:val="22"/>
        </w:rPr>
        <w:t>41</w:t>
      </w:r>
      <w:r w:rsidRPr="00212D57">
        <w:rPr>
          <w:szCs w:val="22"/>
        </w:rPr>
        <w:t>-</w:t>
      </w:r>
      <w:r w:rsidRPr="00761EF3">
        <w:rPr>
          <w:szCs w:val="22"/>
        </w:rPr>
        <w:t>58</w:t>
      </w:r>
      <w:r w:rsidRPr="00212D57">
        <w:rPr>
          <w:szCs w:val="22"/>
        </w:rPr>
        <w:t>。</w:t>
      </w:r>
    </w:p>
  </w:footnote>
  <w:footnote w:id="52">
    <w:p w:rsidR="00157EF6" w:rsidRPr="00212D57" w:rsidRDefault="00157EF6" w:rsidP="00807D20">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szCs w:val="22"/>
        </w:rPr>
        <w:t>泛泛（同「汎汎」）：</w:t>
      </w:r>
      <w:r w:rsidRPr="00761EF3">
        <w:rPr>
          <w:szCs w:val="22"/>
        </w:rPr>
        <w:t>6</w:t>
      </w:r>
      <w:r w:rsidRPr="00212D57">
        <w:rPr>
          <w:szCs w:val="22"/>
        </w:rPr>
        <w:t>.</w:t>
      </w:r>
      <w:r w:rsidRPr="00212D57">
        <w:rPr>
          <w:szCs w:val="22"/>
        </w:rPr>
        <w:t>浮淺，尋常。（《漢語大詞典》（五），</w:t>
      </w:r>
      <w:r w:rsidRPr="00761EF3">
        <w:rPr>
          <w:szCs w:val="22"/>
        </w:rPr>
        <w:t>p</w:t>
      </w:r>
      <w:r w:rsidRPr="00212D57">
        <w:rPr>
          <w:szCs w:val="22"/>
        </w:rPr>
        <w:t>.</w:t>
      </w:r>
      <w:r w:rsidRPr="00761EF3">
        <w:rPr>
          <w:szCs w:val="22"/>
        </w:rPr>
        <w:t>928</w:t>
      </w:r>
      <w:r w:rsidRPr="00212D57">
        <w:rPr>
          <w:szCs w:val="22"/>
        </w:rPr>
        <w:t>）</w:t>
      </w:r>
    </w:p>
  </w:footnote>
  <w:footnote w:id="53">
    <w:p w:rsidR="00157EF6" w:rsidRPr="00212D57" w:rsidRDefault="00157EF6" w:rsidP="00807D20">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szCs w:val="22"/>
        </w:rPr>
        <w:t>和會：</w:t>
      </w:r>
      <w:r w:rsidRPr="00761EF3">
        <w:rPr>
          <w:szCs w:val="22"/>
        </w:rPr>
        <w:t>3</w:t>
      </w:r>
      <w:r w:rsidRPr="00212D57">
        <w:rPr>
          <w:szCs w:val="22"/>
        </w:rPr>
        <w:t>.</w:t>
      </w:r>
      <w:r w:rsidRPr="00212D57">
        <w:rPr>
          <w:szCs w:val="22"/>
        </w:rPr>
        <w:t>謂會合、折衷。（《漢語大詞典》（三），</w:t>
      </w:r>
      <w:r w:rsidRPr="00761EF3">
        <w:rPr>
          <w:szCs w:val="22"/>
        </w:rPr>
        <w:t>p</w:t>
      </w:r>
      <w:r w:rsidRPr="00212D57">
        <w:rPr>
          <w:szCs w:val="22"/>
        </w:rPr>
        <w:t>.</w:t>
      </w:r>
      <w:r w:rsidRPr="00761EF3">
        <w:rPr>
          <w:szCs w:val="22"/>
        </w:rPr>
        <w:t>274</w:t>
      </w:r>
      <w:r w:rsidRPr="00212D57">
        <w:rPr>
          <w:szCs w:val="22"/>
        </w:rPr>
        <w:t>）</w:t>
      </w:r>
    </w:p>
  </w:footnote>
  <w:footnote w:id="54">
    <w:p w:rsidR="00157EF6" w:rsidRPr="00212D57" w:rsidRDefault="00157EF6" w:rsidP="00807D20">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009160B5">
        <w:rPr>
          <w:szCs w:val="22"/>
        </w:rPr>
        <w:t>參見：印</w:t>
      </w:r>
      <w:r w:rsidRPr="00212D57">
        <w:rPr>
          <w:szCs w:val="22"/>
        </w:rPr>
        <w:t>順法師，《中觀今論》，第</w:t>
      </w:r>
      <w:r w:rsidRPr="00761EF3">
        <w:rPr>
          <w:szCs w:val="22"/>
        </w:rPr>
        <w:t>9</w:t>
      </w:r>
      <w:r w:rsidRPr="00212D57">
        <w:rPr>
          <w:szCs w:val="22"/>
        </w:rPr>
        <w:t>章〈現象與實性之中道〉，第</w:t>
      </w:r>
      <w:r w:rsidRPr="00761EF3">
        <w:rPr>
          <w:szCs w:val="22"/>
        </w:rPr>
        <w:t>10</w:t>
      </w:r>
      <w:r w:rsidRPr="00212D57">
        <w:rPr>
          <w:szCs w:val="22"/>
        </w:rPr>
        <w:t>章〈談二諦〉，第</w:t>
      </w:r>
      <w:r w:rsidRPr="00761EF3">
        <w:rPr>
          <w:szCs w:val="22"/>
        </w:rPr>
        <w:t>11</w:t>
      </w:r>
      <w:r w:rsidRPr="00212D57">
        <w:rPr>
          <w:szCs w:val="22"/>
        </w:rPr>
        <w:t>章〈中道之實踐〉，第</w:t>
      </w:r>
      <w:r w:rsidRPr="00761EF3">
        <w:rPr>
          <w:szCs w:val="22"/>
        </w:rPr>
        <w:t>12</w:t>
      </w:r>
      <w:r w:rsidRPr="00212D57">
        <w:rPr>
          <w:szCs w:val="22"/>
        </w:rPr>
        <w:t>章〈空宗與有宗〉。</w:t>
      </w:r>
    </w:p>
  </w:footnote>
  <w:footnote w:id="55">
    <w:p w:rsidR="00157EF6" w:rsidRPr="00212D57" w:rsidRDefault="00157EF6" w:rsidP="00807D20">
      <w:pPr>
        <w:pStyle w:val="a5"/>
        <w:spacing w:line="0" w:lineRule="atLeast"/>
        <w:ind w:left="253" w:hangingChars="115" w:hanging="253"/>
        <w:jc w:val="both"/>
        <w:rPr>
          <w:rFonts w:cs="Times Ext Roman"/>
          <w:szCs w:val="22"/>
        </w:rPr>
      </w:pPr>
      <w:r w:rsidRPr="00212D57">
        <w:rPr>
          <w:rStyle w:val="a6"/>
          <w:szCs w:val="22"/>
        </w:rPr>
        <w:footnoteRef/>
      </w:r>
      <w:r w:rsidRPr="00212D57">
        <w:rPr>
          <w:szCs w:val="22"/>
        </w:rPr>
        <w:t xml:space="preserve"> </w:t>
      </w:r>
      <w:r w:rsidRPr="00212D57">
        <w:rPr>
          <w:szCs w:val="22"/>
        </w:rPr>
        <w:t>一以貫</w:t>
      </w:r>
      <w:r w:rsidRPr="00212D57">
        <w:rPr>
          <w:rFonts w:cs="Times Ext Roman"/>
          <w:szCs w:val="22"/>
        </w:rPr>
        <w:t>之：原指孔子的忠恕之道貫穿在一切事物中。後亦泛指一種思想或理論貫通始終。（《漢語大詞典》（</w:t>
      </w:r>
      <w:r w:rsidRPr="00212D57">
        <w:rPr>
          <w:rFonts w:cs="Times Ext Roman" w:hint="eastAsia"/>
          <w:szCs w:val="22"/>
        </w:rPr>
        <w:t>一</w:t>
      </w:r>
      <w:r w:rsidRPr="00212D57">
        <w:rPr>
          <w:rFonts w:cs="Times Ext Roman"/>
          <w:szCs w:val="22"/>
        </w:rPr>
        <w:t>），</w:t>
      </w:r>
      <w:r w:rsidRPr="00761EF3">
        <w:rPr>
          <w:szCs w:val="22"/>
        </w:rPr>
        <w:t>p</w:t>
      </w:r>
      <w:r w:rsidRPr="00212D57">
        <w:rPr>
          <w:szCs w:val="22"/>
        </w:rPr>
        <w:t>.</w:t>
      </w:r>
      <w:r w:rsidRPr="00761EF3">
        <w:rPr>
          <w:rFonts w:hint="eastAsia"/>
          <w:szCs w:val="22"/>
        </w:rPr>
        <w:t>20</w:t>
      </w:r>
      <w:r w:rsidRPr="00212D57">
        <w:rPr>
          <w:rFonts w:cs="Times Ext Roman"/>
          <w:szCs w:val="22"/>
        </w:rPr>
        <w:t>）</w:t>
      </w:r>
    </w:p>
  </w:footnote>
  <w:footnote w:id="56">
    <w:p w:rsidR="00157EF6" w:rsidRPr="00212D57" w:rsidRDefault="00157EF6" w:rsidP="009E0A5A">
      <w:pPr>
        <w:pStyle w:val="a5"/>
        <w:spacing w:line="0" w:lineRule="atLeast"/>
        <w:ind w:left="704" w:hangingChars="320" w:hanging="704"/>
        <w:jc w:val="both"/>
        <w:rPr>
          <w:rFonts w:eastAsia="標楷體"/>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szCs w:val="22"/>
        </w:rPr>
        <w:t>1</w:t>
      </w:r>
      <w:r w:rsidRPr="00212D57">
        <w:rPr>
          <w:rFonts w:hint="eastAsia"/>
          <w:szCs w:val="22"/>
        </w:rPr>
        <w:t>）</w:t>
      </w:r>
      <w:r w:rsidRPr="00A23157">
        <w:rPr>
          <w:rFonts w:hint="eastAsia"/>
          <w:spacing w:val="-4"/>
          <w:szCs w:val="22"/>
        </w:rPr>
        <w:t>龍樹菩薩造，［後魏</w:t>
      </w:r>
      <w:r w:rsidRPr="00A23157">
        <w:rPr>
          <w:spacing w:val="-4"/>
          <w:szCs w:val="22"/>
        </w:rPr>
        <w:t>］</w:t>
      </w:r>
      <w:r w:rsidRPr="00A23157">
        <w:rPr>
          <w:rFonts w:hint="eastAsia"/>
          <w:spacing w:val="-4"/>
          <w:szCs w:val="22"/>
        </w:rPr>
        <w:t>毘目智仙共瞿曇流支譯，《迴諍論》（大正</w:t>
      </w:r>
      <w:r w:rsidRPr="00A23157">
        <w:rPr>
          <w:rFonts w:eastAsia="標楷體"/>
          <w:spacing w:val="-4"/>
          <w:szCs w:val="22"/>
        </w:rPr>
        <w:t>32</w:t>
      </w:r>
      <w:r w:rsidRPr="00A23157">
        <w:rPr>
          <w:rFonts w:eastAsia="標楷體" w:hint="eastAsia"/>
          <w:spacing w:val="-4"/>
          <w:szCs w:val="22"/>
        </w:rPr>
        <w:t>，</w:t>
      </w:r>
      <w:r w:rsidRPr="00A23157">
        <w:rPr>
          <w:rFonts w:eastAsia="標楷體"/>
          <w:spacing w:val="-4"/>
          <w:szCs w:val="22"/>
        </w:rPr>
        <w:t>15a26-27</w:t>
      </w:r>
      <w:r w:rsidRPr="00A23157">
        <w:rPr>
          <w:rFonts w:eastAsia="標楷體" w:hint="eastAsia"/>
          <w:spacing w:val="-4"/>
          <w:szCs w:val="22"/>
        </w:rPr>
        <w:t>；</w:t>
      </w:r>
      <w:r w:rsidRPr="00A23157">
        <w:rPr>
          <w:rFonts w:eastAsia="標楷體"/>
          <w:spacing w:val="-4"/>
          <w:szCs w:val="22"/>
        </w:rPr>
        <w:t>23a21-22</w:t>
      </w:r>
      <w:r w:rsidRPr="00A23157">
        <w:rPr>
          <w:rFonts w:eastAsia="標楷體"/>
          <w:spacing w:val="-4"/>
          <w:szCs w:val="22"/>
        </w:rPr>
        <w:t>）</w:t>
      </w:r>
      <w:r w:rsidRPr="00212D57">
        <w:rPr>
          <w:rFonts w:eastAsia="標楷體" w:hint="eastAsia"/>
          <w:szCs w:val="22"/>
        </w:rPr>
        <w:t>：</w:t>
      </w:r>
    </w:p>
    <w:p w:rsidR="00157EF6" w:rsidRPr="00212D57" w:rsidRDefault="00157EF6" w:rsidP="00B23570">
      <w:pPr>
        <w:pStyle w:val="a5"/>
        <w:spacing w:line="0" w:lineRule="atLeast"/>
        <w:ind w:leftChars="300" w:left="720"/>
        <w:jc w:val="both"/>
        <w:rPr>
          <w:rFonts w:eastAsia="標楷體"/>
          <w:szCs w:val="22"/>
        </w:rPr>
      </w:pPr>
      <w:r w:rsidRPr="00212D57">
        <w:rPr>
          <w:rFonts w:eastAsia="標楷體" w:hint="eastAsia"/>
          <w:b/>
          <w:szCs w:val="22"/>
        </w:rPr>
        <w:t>空</w:t>
      </w:r>
      <w:r w:rsidRPr="00212D57">
        <w:rPr>
          <w:rFonts w:eastAsia="標楷體" w:hint="eastAsia"/>
          <w:szCs w:val="22"/>
        </w:rPr>
        <w:t>自體、</w:t>
      </w:r>
      <w:r w:rsidRPr="00212D57">
        <w:rPr>
          <w:rFonts w:eastAsia="標楷體" w:hint="eastAsia"/>
          <w:b/>
          <w:szCs w:val="22"/>
        </w:rPr>
        <w:t>因緣</w:t>
      </w:r>
      <w:r w:rsidRPr="00212D57">
        <w:rPr>
          <w:rFonts w:eastAsia="標楷體" w:hint="eastAsia"/>
          <w:szCs w:val="22"/>
        </w:rPr>
        <w:t>，三一</w:t>
      </w:r>
      <w:r w:rsidRPr="00212D57">
        <w:rPr>
          <w:rFonts w:eastAsia="標楷體" w:hint="eastAsia"/>
          <w:b/>
          <w:szCs w:val="22"/>
        </w:rPr>
        <w:t>中道</w:t>
      </w:r>
      <w:r>
        <w:rPr>
          <w:rFonts w:eastAsia="標楷體" w:hint="eastAsia"/>
          <w:szCs w:val="22"/>
        </w:rPr>
        <w:t>說，我歸命禮彼，無上大智慧。</w:t>
      </w:r>
    </w:p>
    <w:p w:rsidR="00157EF6" w:rsidRPr="00212D57" w:rsidRDefault="00157EF6" w:rsidP="00CF31DE">
      <w:pPr>
        <w:pStyle w:val="a5"/>
        <w:ind w:leftChars="80" w:left="731" w:hangingChars="245" w:hanging="539"/>
        <w:jc w:val="both"/>
        <w:rPr>
          <w:szCs w:val="22"/>
        </w:rPr>
      </w:pPr>
      <w:r w:rsidRPr="00212D57">
        <w:rPr>
          <w:rFonts w:eastAsia="標楷體" w:hint="eastAsia"/>
          <w:szCs w:val="22"/>
        </w:rPr>
        <w:t>（</w:t>
      </w:r>
      <w:r w:rsidRPr="00761EF3">
        <w:rPr>
          <w:rFonts w:eastAsia="標楷體"/>
          <w:szCs w:val="22"/>
        </w:rPr>
        <w:t>2</w:t>
      </w:r>
      <w:r w:rsidRPr="00212D57">
        <w:rPr>
          <w:rFonts w:eastAsia="標楷體" w:hint="eastAsia"/>
          <w:szCs w:val="22"/>
        </w:rPr>
        <w:t>）</w:t>
      </w:r>
      <w:r w:rsidRPr="00212D57">
        <w:rPr>
          <w:rFonts w:ascii="新細明體" w:hAnsi="新細明體" w:hint="eastAsia"/>
          <w:szCs w:val="22"/>
        </w:rPr>
        <w:t>宗喀巴</w:t>
      </w:r>
      <w:r>
        <w:rPr>
          <w:szCs w:val="22"/>
        </w:rPr>
        <w:t>大師</w:t>
      </w:r>
      <w:r w:rsidRPr="00212D57">
        <w:rPr>
          <w:szCs w:val="22"/>
        </w:rPr>
        <w:t>著</w:t>
      </w:r>
      <w:r w:rsidRPr="00212D57">
        <w:rPr>
          <w:rFonts w:ascii="新細明體" w:hAnsi="新細明體" w:hint="eastAsia"/>
          <w:szCs w:val="22"/>
        </w:rPr>
        <w:t>，法尊</w:t>
      </w:r>
      <w:r>
        <w:rPr>
          <w:szCs w:val="22"/>
        </w:rPr>
        <w:t>法師</w:t>
      </w:r>
      <w:r w:rsidRPr="00212D57">
        <w:rPr>
          <w:rFonts w:ascii="新細明體" w:hAnsi="新細明體" w:hint="eastAsia"/>
          <w:szCs w:val="22"/>
        </w:rPr>
        <w:t>譯，</w:t>
      </w:r>
      <w:r w:rsidRPr="00212D57">
        <w:rPr>
          <w:rFonts w:hint="eastAsia"/>
          <w:szCs w:val="22"/>
        </w:rPr>
        <w:t>《菩提道次第廣論》卷</w:t>
      </w:r>
      <w:r w:rsidRPr="00761EF3">
        <w:rPr>
          <w:szCs w:val="22"/>
        </w:rPr>
        <w:t>17</w:t>
      </w:r>
      <w:r>
        <w:rPr>
          <w:rFonts w:eastAsia="標楷體" w:hint="eastAsia"/>
          <w:szCs w:val="22"/>
        </w:rPr>
        <w:t>，</w:t>
      </w:r>
      <w:r w:rsidR="00AD14BF">
        <w:rPr>
          <w:rFonts w:hint="eastAsia"/>
          <w:szCs w:val="22"/>
        </w:rPr>
        <w:t>台北，福智之聲</w:t>
      </w:r>
      <w:r w:rsidRPr="00212D57">
        <w:rPr>
          <w:rFonts w:hint="eastAsia"/>
          <w:szCs w:val="22"/>
        </w:rPr>
        <w:t>出版社，</w:t>
      </w:r>
      <w:r>
        <w:rPr>
          <w:rFonts w:hint="eastAsia"/>
          <w:szCs w:val="22"/>
        </w:rPr>
        <w:t>1995</w:t>
      </w:r>
      <w:r w:rsidRPr="00212D57">
        <w:rPr>
          <w:rFonts w:hint="eastAsia"/>
          <w:szCs w:val="22"/>
        </w:rPr>
        <w:t>年</w:t>
      </w:r>
      <w:r w:rsidRPr="00761EF3">
        <w:rPr>
          <w:szCs w:val="22"/>
        </w:rPr>
        <w:t>3</w:t>
      </w:r>
      <w:r w:rsidRPr="00212D57">
        <w:rPr>
          <w:rFonts w:hint="eastAsia"/>
          <w:szCs w:val="22"/>
        </w:rPr>
        <w:t>月修訂版，</w:t>
      </w:r>
      <w:r w:rsidRPr="00761EF3">
        <w:rPr>
          <w:szCs w:val="22"/>
        </w:rPr>
        <w:t>p</w:t>
      </w:r>
      <w:r w:rsidRPr="00212D57">
        <w:rPr>
          <w:szCs w:val="22"/>
        </w:rPr>
        <w:t>.</w:t>
      </w:r>
      <w:r w:rsidRPr="00761EF3">
        <w:rPr>
          <w:szCs w:val="22"/>
        </w:rPr>
        <w:t>414</w:t>
      </w:r>
      <w:r w:rsidRPr="00212D57">
        <w:rPr>
          <w:rFonts w:hint="eastAsia"/>
          <w:szCs w:val="22"/>
        </w:rPr>
        <w:t>：</w:t>
      </w:r>
    </w:p>
    <w:p w:rsidR="00157EF6" w:rsidRPr="00212D57" w:rsidRDefault="00157EF6" w:rsidP="00B23570">
      <w:pPr>
        <w:pStyle w:val="a5"/>
        <w:spacing w:line="0" w:lineRule="atLeast"/>
        <w:ind w:leftChars="305" w:left="732"/>
        <w:jc w:val="both"/>
        <w:rPr>
          <w:rFonts w:eastAsia="標楷體"/>
          <w:szCs w:val="22"/>
        </w:rPr>
      </w:pPr>
      <w:r w:rsidRPr="00212D57">
        <w:rPr>
          <w:rFonts w:eastAsia="標楷體" w:hint="eastAsia"/>
          <w:szCs w:val="22"/>
        </w:rPr>
        <w:t>《迴諍論》云：「若誰有此空，彼有一切義</w:t>
      </w:r>
      <w:r w:rsidR="000C79F9">
        <w:rPr>
          <w:rFonts w:eastAsia="標楷體" w:hint="eastAsia"/>
          <w:color w:val="FF0000"/>
          <w:szCs w:val="22"/>
          <w:highlight w:val="yellow"/>
        </w:rPr>
        <w:t>；</w:t>
      </w:r>
      <w:r w:rsidRPr="00212D57">
        <w:rPr>
          <w:rFonts w:eastAsia="標楷體" w:hint="eastAsia"/>
          <w:szCs w:val="22"/>
        </w:rPr>
        <w:t>若誰無空性，彼一切非有。</w:t>
      </w:r>
    </w:p>
    <w:p w:rsidR="00157EF6" w:rsidRPr="00212D57" w:rsidRDefault="00157EF6" w:rsidP="00B23570">
      <w:pPr>
        <w:pStyle w:val="a5"/>
        <w:spacing w:line="0" w:lineRule="atLeast"/>
        <w:ind w:leftChars="305" w:left="732"/>
        <w:jc w:val="both"/>
        <w:rPr>
          <w:rFonts w:eastAsia="標楷體"/>
          <w:szCs w:val="22"/>
        </w:rPr>
      </w:pPr>
      <w:r w:rsidRPr="00212D57">
        <w:rPr>
          <w:rFonts w:eastAsia="標楷體" w:hint="eastAsia"/>
          <w:b/>
          <w:szCs w:val="22"/>
        </w:rPr>
        <w:t>諸說空緣起，中道為一義，無等第一語，敬禮如是佛。</w:t>
      </w:r>
      <w:r w:rsidRPr="00212D57">
        <w:rPr>
          <w:rFonts w:eastAsia="標楷體" w:hint="eastAsia"/>
          <w:szCs w:val="22"/>
        </w:rPr>
        <w:t>」</w:t>
      </w:r>
    </w:p>
    <w:p w:rsidR="00157EF6" w:rsidRPr="00212D57" w:rsidRDefault="00157EF6" w:rsidP="00CF31DE">
      <w:pPr>
        <w:pStyle w:val="a5"/>
        <w:ind w:leftChars="80" w:left="731" w:hangingChars="245" w:hanging="539"/>
        <w:jc w:val="both"/>
        <w:rPr>
          <w:szCs w:val="22"/>
        </w:rPr>
      </w:pPr>
      <w:r w:rsidRPr="00212D57">
        <w:rPr>
          <w:rFonts w:eastAsia="標楷體" w:hint="eastAsia"/>
          <w:szCs w:val="22"/>
        </w:rPr>
        <w:t>（</w:t>
      </w:r>
      <w:r w:rsidRPr="00761EF3">
        <w:rPr>
          <w:rFonts w:eastAsia="標楷體"/>
          <w:szCs w:val="22"/>
        </w:rPr>
        <w:t>3</w:t>
      </w:r>
      <w:r w:rsidRPr="00212D57">
        <w:rPr>
          <w:rFonts w:eastAsia="標楷體" w:hint="eastAsia"/>
          <w:szCs w:val="22"/>
        </w:rPr>
        <w:t>）</w:t>
      </w:r>
      <w:r w:rsidRPr="00212D57">
        <w:rPr>
          <w:rFonts w:hint="eastAsia"/>
          <w:szCs w:val="22"/>
        </w:rPr>
        <w:t>印順法師，《空之探究》，第</w:t>
      </w:r>
      <w:r w:rsidRPr="00761EF3">
        <w:rPr>
          <w:szCs w:val="22"/>
        </w:rPr>
        <w:t>4</w:t>
      </w:r>
      <w:r w:rsidRPr="00212D57">
        <w:rPr>
          <w:rFonts w:hint="eastAsia"/>
          <w:szCs w:val="22"/>
        </w:rPr>
        <w:t>章</w:t>
      </w:r>
      <w:r w:rsidRPr="00212D57">
        <w:rPr>
          <w:rFonts w:ascii="新細明體" w:hAnsi="新細明體" w:cs="新細明體" w:hint="eastAsia"/>
          <w:szCs w:val="22"/>
        </w:rPr>
        <w:t>，</w:t>
      </w:r>
      <w:r w:rsidRPr="00212D57">
        <w:rPr>
          <w:rFonts w:hint="eastAsia"/>
          <w:szCs w:val="22"/>
        </w:rPr>
        <w:t>第</w:t>
      </w:r>
      <w:r w:rsidRPr="00761EF3">
        <w:rPr>
          <w:szCs w:val="22"/>
        </w:rPr>
        <w:t>3</w:t>
      </w:r>
      <w:r w:rsidRPr="00212D57">
        <w:rPr>
          <w:rFonts w:hint="eastAsia"/>
          <w:szCs w:val="22"/>
        </w:rPr>
        <w:t>節〈《中論》之中心思想〉，</w:t>
      </w:r>
      <w:r w:rsidRPr="00761EF3">
        <w:rPr>
          <w:szCs w:val="22"/>
        </w:rPr>
        <w:t>p</w:t>
      </w:r>
      <w:r w:rsidRPr="00212D57">
        <w:rPr>
          <w:szCs w:val="22"/>
        </w:rPr>
        <w:t>.</w:t>
      </w:r>
      <w:r w:rsidRPr="00761EF3">
        <w:rPr>
          <w:szCs w:val="22"/>
        </w:rPr>
        <w:t>217</w:t>
      </w:r>
      <w:r w:rsidRPr="00212D57">
        <w:rPr>
          <w:rFonts w:hint="eastAsia"/>
          <w:szCs w:val="22"/>
        </w:rPr>
        <w:t>：</w:t>
      </w:r>
    </w:p>
    <w:p w:rsidR="00157EF6" w:rsidRPr="00212D57" w:rsidRDefault="00157EF6" w:rsidP="00B23570">
      <w:pPr>
        <w:pStyle w:val="a5"/>
        <w:spacing w:line="0" w:lineRule="atLeast"/>
        <w:ind w:leftChars="305" w:left="732"/>
        <w:jc w:val="both"/>
        <w:rPr>
          <w:rFonts w:eastAsia="標楷體"/>
          <w:szCs w:val="22"/>
        </w:rPr>
      </w:pPr>
      <w:r w:rsidRPr="00212D57">
        <w:rPr>
          <w:rFonts w:hint="eastAsia"/>
          <w:szCs w:val="22"/>
        </w:rPr>
        <w:t>《</w:t>
      </w:r>
      <w:r w:rsidRPr="00212D57">
        <w:rPr>
          <w:rFonts w:eastAsia="標楷體" w:hint="eastAsia"/>
          <w:szCs w:val="22"/>
        </w:rPr>
        <w:t>迴諍論</w:t>
      </w:r>
      <w:r w:rsidRPr="00212D57">
        <w:rPr>
          <w:rFonts w:hint="eastAsia"/>
          <w:szCs w:val="22"/>
        </w:rPr>
        <w:t>》</w:t>
      </w:r>
      <w:r w:rsidRPr="00212D57">
        <w:rPr>
          <w:rFonts w:eastAsia="標楷體" w:hint="eastAsia"/>
          <w:szCs w:val="22"/>
        </w:rPr>
        <w:t>，列舉了空、緣起、中道三名，而表示為同一內容。這兩部龍樹論，都表示了空與緣起的關係。說得更完備的，如《中論》卷四（大正三</w:t>
      </w:r>
      <w:r w:rsidRPr="00212D57">
        <w:rPr>
          <w:rFonts w:ascii="標楷體" w:eastAsia="標楷體" w:hAnsi="標楷體"/>
          <w:szCs w:val="22"/>
        </w:rPr>
        <w:t>○</w:t>
      </w:r>
      <w:r w:rsidRPr="00212D57">
        <w:rPr>
          <w:rFonts w:ascii="新細明體" w:hAnsi="新細明體" w:cs="新細明體" w:hint="eastAsia"/>
          <w:szCs w:val="22"/>
        </w:rPr>
        <w:t>，</w:t>
      </w:r>
      <w:r w:rsidRPr="00212D57">
        <w:rPr>
          <w:rFonts w:eastAsia="標楷體" w:hint="eastAsia"/>
          <w:szCs w:val="22"/>
        </w:rPr>
        <w:t>三三中）說：「眾因緣生法，我說即是空，亦為是假名，亦是中道義。未曾有一法，不從因緣生，是故一切法，無不是空者。」</w:t>
      </w:r>
    </w:p>
    <w:p w:rsidR="00157EF6" w:rsidRPr="00212D57" w:rsidRDefault="00157EF6" w:rsidP="00CF31DE">
      <w:pPr>
        <w:pStyle w:val="a5"/>
        <w:ind w:leftChars="80" w:left="731" w:hangingChars="245" w:hanging="539"/>
        <w:jc w:val="both"/>
        <w:rPr>
          <w:szCs w:val="22"/>
        </w:rPr>
      </w:pPr>
      <w:r w:rsidRPr="00212D57">
        <w:rPr>
          <w:rFonts w:eastAsia="標楷體" w:hint="eastAsia"/>
          <w:szCs w:val="22"/>
        </w:rPr>
        <w:t>（</w:t>
      </w:r>
      <w:r w:rsidRPr="00761EF3">
        <w:rPr>
          <w:rFonts w:eastAsia="標楷體"/>
          <w:szCs w:val="22"/>
        </w:rPr>
        <w:t>4</w:t>
      </w:r>
      <w:r w:rsidRPr="00212D57">
        <w:rPr>
          <w:rFonts w:eastAsia="標楷體" w:hint="eastAsia"/>
          <w:szCs w:val="22"/>
        </w:rPr>
        <w:t>）</w:t>
      </w:r>
      <w:r w:rsidRPr="00212D57">
        <w:rPr>
          <w:rFonts w:hint="eastAsia"/>
          <w:szCs w:val="22"/>
        </w:rPr>
        <w:t>《中論》卷</w:t>
      </w:r>
      <w:r w:rsidRPr="00761EF3">
        <w:rPr>
          <w:szCs w:val="22"/>
        </w:rPr>
        <w:t>4</w:t>
      </w:r>
      <w:r w:rsidRPr="00212D57">
        <w:rPr>
          <w:rFonts w:hint="eastAsia"/>
          <w:szCs w:val="22"/>
        </w:rPr>
        <w:t>〈</w:t>
      </w:r>
      <w:r w:rsidRPr="00761EF3">
        <w:rPr>
          <w:szCs w:val="22"/>
        </w:rPr>
        <w:t>24</w:t>
      </w:r>
      <w:r w:rsidRPr="00212D57">
        <w:rPr>
          <w:szCs w:val="22"/>
        </w:rPr>
        <w:t xml:space="preserve"> </w:t>
      </w:r>
      <w:r w:rsidRPr="00212D57">
        <w:rPr>
          <w:rFonts w:hint="eastAsia"/>
          <w:szCs w:val="22"/>
        </w:rPr>
        <w:t>觀四諦品〉（大正</w:t>
      </w:r>
      <w:r w:rsidRPr="00761EF3">
        <w:rPr>
          <w:szCs w:val="22"/>
        </w:rPr>
        <w:t>30</w:t>
      </w:r>
      <w:r w:rsidRPr="00212D57">
        <w:rPr>
          <w:rFonts w:hint="eastAsia"/>
          <w:szCs w:val="22"/>
        </w:rPr>
        <w:t>，</w:t>
      </w:r>
      <w:r w:rsidRPr="00761EF3">
        <w:rPr>
          <w:szCs w:val="22"/>
        </w:rPr>
        <w:t>33b11</w:t>
      </w:r>
      <w:r w:rsidRPr="00212D57">
        <w:rPr>
          <w:szCs w:val="22"/>
        </w:rPr>
        <w:t>-</w:t>
      </w:r>
      <w:r w:rsidRPr="00761EF3">
        <w:rPr>
          <w:szCs w:val="22"/>
        </w:rPr>
        <w:t>14</w:t>
      </w:r>
      <w:r w:rsidRPr="00212D57">
        <w:rPr>
          <w:rFonts w:hint="eastAsia"/>
          <w:szCs w:val="22"/>
        </w:rPr>
        <w:t>）：</w:t>
      </w:r>
    </w:p>
    <w:p w:rsidR="00157EF6" w:rsidRPr="00212D57" w:rsidRDefault="00157EF6" w:rsidP="00B23570">
      <w:pPr>
        <w:pStyle w:val="a5"/>
        <w:spacing w:line="0" w:lineRule="atLeast"/>
        <w:ind w:leftChars="305" w:left="732"/>
        <w:jc w:val="both"/>
        <w:rPr>
          <w:rFonts w:eastAsia="標楷體"/>
          <w:szCs w:val="22"/>
        </w:rPr>
      </w:pPr>
      <w:r w:rsidRPr="00212D57">
        <w:rPr>
          <w:rFonts w:eastAsia="標楷體" w:hint="eastAsia"/>
          <w:b/>
          <w:szCs w:val="22"/>
        </w:rPr>
        <w:t>眾因緣生法</w:t>
      </w:r>
      <w:r w:rsidRPr="00212D57">
        <w:rPr>
          <w:rFonts w:eastAsia="標楷體" w:hint="eastAsia"/>
          <w:szCs w:val="22"/>
        </w:rPr>
        <w:t>，我說即是</w:t>
      </w:r>
      <w:r w:rsidRPr="00212D57">
        <w:rPr>
          <w:rFonts w:eastAsia="標楷體" w:hint="eastAsia"/>
          <w:b/>
          <w:szCs w:val="22"/>
        </w:rPr>
        <w:t>空</w:t>
      </w:r>
      <w:r w:rsidRPr="00212D57">
        <w:rPr>
          <w:rFonts w:eastAsia="標楷體" w:hint="eastAsia"/>
          <w:szCs w:val="22"/>
        </w:rPr>
        <w:t>，亦為是</w:t>
      </w:r>
      <w:r w:rsidRPr="00212D57">
        <w:rPr>
          <w:rFonts w:eastAsia="標楷體" w:hint="eastAsia"/>
          <w:b/>
          <w:szCs w:val="22"/>
        </w:rPr>
        <w:t>假名</w:t>
      </w:r>
      <w:r w:rsidRPr="00212D57">
        <w:rPr>
          <w:rFonts w:eastAsia="標楷體" w:hint="eastAsia"/>
          <w:szCs w:val="22"/>
        </w:rPr>
        <w:t>，亦是</w:t>
      </w:r>
      <w:r w:rsidRPr="00212D57">
        <w:rPr>
          <w:rFonts w:eastAsia="標楷體" w:hint="eastAsia"/>
          <w:b/>
          <w:szCs w:val="22"/>
        </w:rPr>
        <w:t>中道</w:t>
      </w:r>
      <w:r w:rsidRPr="00212D57">
        <w:rPr>
          <w:rFonts w:eastAsia="標楷體" w:hint="eastAsia"/>
          <w:szCs w:val="22"/>
        </w:rPr>
        <w:t>義。</w:t>
      </w:r>
    </w:p>
    <w:p w:rsidR="00157EF6" w:rsidRPr="00212D57" w:rsidRDefault="00157EF6" w:rsidP="00B23570">
      <w:pPr>
        <w:pStyle w:val="a5"/>
        <w:spacing w:line="0" w:lineRule="atLeast"/>
        <w:ind w:leftChars="305" w:left="732"/>
        <w:jc w:val="both"/>
        <w:rPr>
          <w:szCs w:val="22"/>
        </w:rPr>
      </w:pPr>
      <w:r w:rsidRPr="00212D57">
        <w:rPr>
          <w:rFonts w:eastAsia="標楷體" w:hint="eastAsia"/>
          <w:szCs w:val="22"/>
        </w:rPr>
        <w:t>未曾有一法，不從因緣生，是故一切法，無不是空者。</w:t>
      </w:r>
    </w:p>
  </w:footnote>
  <w:footnote w:id="57">
    <w:p w:rsidR="00157EF6" w:rsidRPr="00212D57" w:rsidRDefault="00157EF6" w:rsidP="00CB198A">
      <w:pPr>
        <w:pStyle w:val="a5"/>
        <w:ind w:left="187" w:hangingChars="85" w:hanging="187"/>
        <w:jc w:val="both"/>
        <w:rPr>
          <w:szCs w:val="22"/>
        </w:rPr>
      </w:pPr>
      <w:r w:rsidRPr="00212D57">
        <w:rPr>
          <w:rStyle w:val="a6"/>
          <w:szCs w:val="22"/>
        </w:rPr>
        <w:footnoteRef/>
      </w:r>
      <w:r w:rsidRPr="00212D57">
        <w:rPr>
          <w:szCs w:val="22"/>
        </w:rPr>
        <w:t xml:space="preserve"> </w:t>
      </w:r>
      <w:r w:rsidRPr="00212D57">
        <w:rPr>
          <w:rFonts w:hint="eastAsia"/>
          <w:szCs w:val="22"/>
        </w:rPr>
        <w:t>詳見印順法師，《空之探究》，</w:t>
      </w:r>
      <w:r w:rsidRPr="00761EF3">
        <w:rPr>
          <w:szCs w:val="22"/>
        </w:rPr>
        <w:t>pp</w:t>
      </w:r>
      <w:r w:rsidRPr="00212D57">
        <w:rPr>
          <w:szCs w:val="22"/>
        </w:rPr>
        <w:t>.</w:t>
      </w:r>
      <w:r w:rsidRPr="00761EF3">
        <w:rPr>
          <w:szCs w:val="22"/>
        </w:rPr>
        <w:t>216</w:t>
      </w:r>
      <w:r w:rsidRPr="00212D57">
        <w:rPr>
          <w:szCs w:val="22"/>
        </w:rPr>
        <w:t>-</w:t>
      </w:r>
      <w:r w:rsidRPr="00761EF3">
        <w:rPr>
          <w:szCs w:val="22"/>
        </w:rPr>
        <w:t>261</w:t>
      </w:r>
      <w:r w:rsidRPr="00212D57">
        <w:rPr>
          <w:rFonts w:hint="eastAsia"/>
          <w:szCs w:val="22"/>
        </w:rPr>
        <w:t>。</w:t>
      </w:r>
    </w:p>
  </w:footnote>
  <w:footnote w:id="58">
    <w:p w:rsidR="00157EF6" w:rsidRPr="00212D57" w:rsidRDefault="00157EF6" w:rsidP="00CB198A">
      <w:pPr>
        <w:pStyle w:val="a5"/>
        <w:ind w:left="187" w:hangingChars="85" w:hanging="187"/>
        <w:jc w:val="both"/>
        <w:rPr>
          <w:szCs w:val="22"/>
        </w:rPr>
      </w:pPr>
      <w:r w:rsidRPr="00212D57">
        <w:rPr>
          <w:rStyle w:val="a6"/>
          <w:szCs w:val="22"/>
        </w:rPr>
        <w:footnoteRef/>
      </w:r>
      <w:r w:rsidRPr="00212D57">
        <w:rPr>
          <w:szCs w:val="22"/>
        </w:rPr>
        <w:t xml:space="preserve"> </w:t>
      </w:r>
      <w:r w:rsidR="009160B5">
        <w:rPr>
          <w:rFonts w:hint="eastAsia"/>
          <w:szCs w:val="22"/>
        </w:rPr>
        <w:t>參見：印</w:t>
      </w:r>
      <w:r w:rsidRPr="00212D57">
        <w:rPr>
          <w:rFonts w:hint="eastAsia"/>
          <w:szCs w:val="22"/>
        </w:rPr>
        <w:t>順法師，《空之探究》，第</w:t>
      </w:r>
      <w:r w:rsidRPr="00761EF3">
        <w:rPr>
          <w:szCs w:val="22"/>
        </w:rPr>
        <w:t>4</w:t>
      </w:r>
      <w:r w:rsidRPr="00212D57">
        <w:rPr>
          <w:rFonts w:hint="eastAsia"/>
          <w:szCs w:val="22"/>
        </w:rPr>
        <w:t>章</w:t>
      </w:r>
      <w:r w:rsidRPr="00212D57">
        <w:rPr>
          <w:rFonts w:ascii="新細明體" w:hAnsi="新細明體" w:cs="新細明體" w:hint="eastAsia"/>
          <w:szCs w:val="22"/>
        </w:rPr>
        <w:t>，</w:t>
      </w:r>
      <w:r w:rsidRPr="00212D57">
        <w:rPr>
          <w:rFonts w:hint="eastAsia"/>
          <w:szCs w:val="22"/>
        </w:rPr>
        <w:t>第</w:t>
      </w:r>
      <w:r w:rsidRPr="00761EF3">
        <w:rPr>
          <w:szCs w:val="22"/>
        </w:rPr>
        <w:t>6</w:t>
      </w:r>
      <w:r w:rsidRPr="00212D57">
        <w:rPr>
          <w:rFonts w:hint="eastAsia"/>
          <w:szCs w:val="22"/>
        </w:rPr>
        <w:t>節〈空性</w:t>
      </w:r>
      <w:r w:rsidRPr="00212D57">
        <w:rPr>
          <w:szCs w:val="22"/>
        </w:rPr>
        <w:t>——</w:t>
      </w:r>
      <w:r w:rsidRPr="00212D57">
        <w:rPr>
          <w:rFonts w:hint="eastAsia"/>
          <w:szCs w:val="22"/>
        </w:rPr>
        <w:t>無自性空〉，</w:t>
      </w:r>
      <w:r w:rsidRPr="00761EF3">
        <w:rPr>
          <w:szCs w:val="22"/>
        </w:rPr>
        <w:t>p</w:t>
      </w:r>
      <w:r w:rsidRPr="00212D57">
        <w:rPr>
          <w:szCs w:val="22"/>
        </w:rPr>
        <w:t>.</w:t>
      </w:r>
      <w:r w:rsidRPr="00761EF3">
        <w:rPr>
          <w:szCs w:val="22"/>
        </w:rPr>
        <w:t>244</w:t>
      </w:r>
      <w:r w:rsidRPr="00212D57">
        <w:rPr>
          <w:rFonts w:hint="eastAsia"/>
          <w:szCs w:val="22"/>
        </w:rPr>
        <w:t>：</w:t>
      </w:r>
    </w:p>
    <w:p w:rsidR="00157EF6" w:rsidRDefault="00157EF6" w:rsidP="00091862">
      <w:pPr>
        <w:pStyle w:val="a5"/>
        <w:ind w:leftChars="65" w:left="156"/>
        <w:jc w:val="both"/>
        <w:rPr>
          <w:rFonts w:eastAsia="標楷體"/>
          <w:szCs w:val="22"/>
        </w:rPr>
      </w:pPr>
      <w:r w:rsidRPr="00212D57">
        <w:rPr>
          <w:rFonts w:eastAsia="標楷體" w:hint="eastAsia"/>
          <w:szCs w:val="22"/>
        </w:rPr>
        <w:t>自性（</w:t>
      </w:r>
      <w:r w:rsidRPr="00761EF3">
        <w:rPr>
          <w:rFonts w:eastAsia="標楷體"/>
          <w:szCs w:val="22"/>
        </w:rPr>
        <w:t>svabhāva</w:t>
      </w:r>
      <w:r w:rsidRPr="00212D57">
        <w:rPr>
          <w:rFonts w:eastAsia="標楷體" w:hint="eastAsia"/>
          <w:szCs w:val="22"/>
        </w:rPr>
        <w:t>），是「自有」自成的，與眾緣和合而有，恰好相反。所以，凡是眾緣有的，就沒有自性；如說法有自性，那就不從緣生了。一切是依因緣而有的，所以一切是無自性的；一切無自性，也就一切法無不是空了。進一步說，由於一切法無自性空，所以一切依因緣而成立，「以有空義故，一切法得成。」</w:t>
      </w:r>
      <w:r w:rsidR="000C79F9" w:rsidRPr="000C79F9">
        <w:rPr>
          <w:rFonts w:eastAsia="標楷體" w:hint="eastAsia"/>
          <w:szCs w:val="22"/>
          <w:shd w:val="pct15" w:color="auto" w:fill="FFFFFF"/>
          <w:vertAlign w:val="superscript"/>
        </w:rPr>
        <w:t>[8]</w:t>
      </w:r>
      <w:r w:rsidRPr="00212D57">
        <w:rPr>
          <w:rFonts w:eastAsia="標楷體" w:hint="eastAsia"/>
          <w:szCs w:val="22"/>
        </w:rPr>
        <w:t>顯示了龍樹學的特色。</w:t>
      </w:r>
    </w:p>
    <w:p w:rsidR="000C79F9" w:rsidRPr="000C79F9" w:rsidRDefault="000C79F9" w:rsidP="00091862">
      <w:pPr>
        <w:pStyle w:val="a5"/>
        <w:ind w:leftChars="65" w:left="156"/>
        <w:jc w:val="both"/>
        <w:rPr>
          <w:szCs w:val="22"/>
        </w:rPr>
      </w:pPr>
      <w:r w:rsidRPr="000C79F9">
        <w:rPr>
          <w:rFonts w:hint="eastAsia"/>
          <w:szCs w:val="22"/>
        </w:rPr>
        <w:t>[</w:t>
      </w:r>
      <w:r w:rsidRPr="000C79F9">
        <w:rPr>
          <w:rFonts w:hint="eastAsia"/>
          <w:szCs w:val="22"/>
        </w:rPr>
        <w:t>原書註</w:t>
      </w:r>
      <w:r>
        <w:rPr>
          <w:rFonts w:hint="eastAsia"/>
          <w:szCs w:val="22"/>
        </w:rPr>
        <w:t>8</w:t>
      </w:r>
      <w:r w:rsidRPr="000C79F9">
        <w:rPr>
          <w:rFonts w:hint="eastAsia"/>
          <w:szCs w:val="22"/>
        </w:rPr>
        <w:t>]</w:t>
      </w:r>
      <w:r w:rsidRPr="00212D57">
        <w:rPr>
          <w:rFonts w:hint="eastAsia"/>
          <w:szCs w:val="22"/>
        </w:rPr>
        <w:t>《中論》卷</w:t>
      </w:r>
      <w:r w:rsidRPr="00761EF3">
        <w:rPr>
          <w:szCs w:val="22"/>
        </w:rPr>
        <w:t>4</w:t>
      </w:r>
      <w:r w:rsidRPr="00212D57">
        <w:rPr>
          <w:rFonts w:eastAsia="標楷體" w:hint="eastAsia"/>
          <w:szCs w:val="22"/>
        </w:rPr>
        <w:t>（</w:t>
      </w:r>
      <w:r w:rsidRPr="00212D57">
        <w:rPr>
          <w:rFonts w:hint="eastAsia"/>
          <w:szCs w:val="22"/>
        </w:rPr>
        <w:t>大正</w:t>
      </w:r>
      <w:r w:rsidRPr="00761EF3">
        <w:rPr>
          <w:szCs w:val="22"/>
        </w:rPr>
        <w:t>30</w:t>
      </w:r>
      <w:r w:rsidRPr="00212D57">
        <w:rPr>
          <w:rFonts w:hint="eastAsia"/>
          <w:szCs w:val="22"/>
        </w:rPr>
        <w:t>，</w:t>
      </w:r>
      <w:r w:rsidRPr="00761EF3">
        <w:rPr>
          <w:szCs w:val="22"/>
        </w:rPr>
        <w:t>33a</w:t>
      </w:r>
      <w:r w:rsidRPr="00212D57">
        <w:rPr>
          <w:rFonts w:eastAsia="標楷體" w:hint="eastAsia"/>
          <w:szCs w:val="22"/>
        </w:rPr>
        <w:t>）</w:t>
      </w:r>
      <w:r>
        <w:rPr>
          <w:rFonts w:eastAsia="標楷體" w:hint="eastAsia"/>
          <w:szCs w:val="22"/>
        </w:rPr>
        <w:t>。</w:t>
      </w:r>
    </w:p>
  </w:footnote>
  <w:footnote w:id="59">
    <w:p w:rsidR="00157EF6" w:rsidRPr="00212D57" w:rsidRDefault="00157EF6" w:rsidP="00CB198A">
      <w:pPr>
        <w:pStyle w:val="a5"/>
        <w:ind w:left="187" w:hangingChars="85" w:hanging="187"/>
        <w:jc w:val="both"/>
        <w:rPr>
          <w:szCs w:val="22"/>
        </w:rPr>
      </w:pPr>
      <w:r w:rsidRPr="00212D57">
        <w:rPr>
          <w:rStyle w:val="a6"/>
          <w:szCs w:val="22"/>
        </w:rPr>
        <w:footnoteRef/>
      </w:r>
      <w:r w:rsidRPr="00212D57">
        <w:rPr>
          <w:szCs w:val="22"/>
        </w:rPr>
        <w:t xml:space="preserve"> </w:t>
      </w:r>
      <w:r w:rsidRPr="00212D57">
        <w:rPr>
          <w:rFonts w:hint="eastAsia"/>
          <w:szCs w:val="22"/>
        </w:rPr>
        <w:t>洗盪：</w:t>
      </w:r>
      <w:r w:rsidRPr="00761EF3">
        <w:rPr>
          <w:szCs w:val="22"/>
        </w:rPr>
        <w:t>1</w:t>
      </w:r>
      <w:r w:rsidRPr="00212D57">
        <w:rPr>
          <w:szCs w:val="22"/>
        </w:rPr>
        <w:t>.</w:t>
      </w:r>
      <w:r w:rsidRPr="00212D57">
        <w:rPr>
          <w:rFonts w:hint="eastAsia"/>
          <w:szCs w:val="22"/>
        </w:rPr>
        <w:t>滌除，去除。（《漢語大詞典》（五），</w:t>
      </w:r>
      <w:r w:rsidRPr="00761EF3">
        <w:rPr>
          <w:szCs w:val="22"/>
        </w:rPr>
        <w:t>p</w:t>
      </w:r>
      <w:r w:rsidRPr="00212D57">
        <w:rPr>
          <w:szCs w:val="22"/>
        </w:rPr>
        <w:t>.</w:t>
      </w:r>
      <w:r w:rsidRPr="00761EF3">
        <w:rPr>
          <w:szCs w:val="22"/>
        </w:rPr>
        <w:t>1157</w:t>
      </w:r>
      <w:r w:rsidRPr="00212D57">
        <w:rPr>
          <w:rFonts w:hint="eastAsia"/>
          <w:szCs w:val="22"/>
        </w:rPr>
        <w:t>）</w:t>
      </w:r>
      <w:r w:rsidRPr="00212D57">
        <w:rPr>
          <w:szCs w:val="22"/>
        </w:rPr>
        <w:t xml:space="preserve"> </w:t>
      </w:r>
    </w:p>
  </w:footnote>
  <w:footnote w:id="60">
    <w:p w:rsidR="00157EF6" w:rsidRPr="00212D57" w:rsidRDefault="00157EF6" w:rsidP="00AF06F1">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szCs w:val="22"/>
        </w:rPr>
        <w:t>1</w:t>
      </w:r>
      <w:r w:rsidRPr="00212D57">
        <w:rPr>
          <w:rFonts w:hint="eastAsia"/>
          <w:szCs w:val="22"/>
        </w:rPr>
        <w:t>）蕭然：</w:t>
      </w:r>
      <w:r w:rsidRPr="00761EF3">
        <w:rPr>
          <w:szCs w:val="22"/>
        </w:rPr>
        <w:t>2</w:t>
      </w:r>
      <w:r w:rsidRPr="00212D57">
        <w:rPr>
          <w:szCs w:val="22"/>
        </w:rPr>
        <w:t>.</w:t>
      </w:r>
      <w:r w:rsidRPr="00212D57">
        <w:rPr>
          <w:rFonts w:hint="eastAsia"/>
          <w:szCs w:val="22"/>
        </w:rPr>
        <w:t>空寂，蕭條。（《漢語大詞典》（九），</w:t>
      </w:r>
      <w:r w:rsidRPr="00761EF3">
        <w:rPr>
          <w:szCs w:val="22"/>
        </w:rPr>
        <w:t>p</w:t>
      </w:r>
      <w:r w:rsidRPr="00212D57">
        <w:rPr>
          <w:szCs w:val="22"/>
        </w:rPr>
        <w:t>.</w:t>
      </w:r>
      <w:r w:rsidRPr="00761EF3">
        <w:rPr>
          <w:szCs w:val="22"/>
        </w:rPr>
        <w:t>581</w:t>
      </w:r>
      <w:r w:rsidRPr="00212D57">
        <w:rPr>
          <w:rFonts w:hint="eastAsia"/>
          <w:szCs w:val="22"/>
        </w:rPr>
        <w:t>）</w:t>
      </w:r>
    </w:p>
    <w:p w:rsidR="00157EF6" w:rsidRPr="00212D57" w:rsidRDefault="00157EF6" w:rsidP="00AF06F1">
      <w:pPr>
        <w:pStyle w:val="a5"/>
        <w:ind w:leftChars="80" w:left="731" w:hangingChars="245" w:hanging="539"/>
        <w:jc w:val="both"/>
        <w:rPr>
          <w:szCs w:val="22"/>
        </w:rPr>
      </w:pPr>
      <w:r w:rsidRPr="00212D57">
        <w:rPr>
          <w:rFonts w:hint="eastAsia"/>
          <w:szCs w:val="22"/>
        </w:rPr>
        <w:t>（</w:t>
      </w:r>
      <w:r w:rsidRPr="00761EF3">
        <w:rPr>
          <w:szCs w:val="22"/>
        </w:rPr>
        <w:t>2</w:t>
      </w:r>
      <w:r w:rsidRPr="00212D57">
        <w:rPr>
          <w:rFonts w:hint="eastAsia"/>
          <w:szCs w:val="22"/>
        </w:rPr>
        <w:t>）無寄：沒有著落，無所寄託。（《漢語大詞典》（七），</w:t>
      </w:r>
      <w:r w:rsidRPr="00761EF3">
        <w:rPr>
          <w:szCs w:val="22"/>
        </w:rPr>
        <w:t>p</w:t>
      </w:r>
      <w:r w:rsidRPr="00212D57">
        <w:rPr>
          <w:szCs w:val="22"/>
        </w:rPr>
        <w:t>.</w:t>
      </w:r>
      <w:r w:rsidRPr="00761EF3">
        <w:rPr>
          <w:szCs w:val="22"/>
        </w:rPr>
        <w:t>134</w:t>
      </w:r>
      <w:r w:rsidRPr="00212D57">
        <w:rPr>
          <w:rFonts w:hint="eastAsia"/>
          <w:szCs w:val="22"/>
        </w:rPr>
        <w:t>）</w:t>
      </w:r>
    </w:p>
    <w:p w:rsidR="00157EF6" w:rsidRPr="00212D57" w:rsidRDefault="00157EF6" w:rsidP="00AF06F1">
      <w:pPr>
        <w:pStyle w:val="a5"/>
        <w:ind w:leftChars="80" w:left="731" w:hangingChars="245" w:hanging="539"/>
        <w:jc w:val="both"/>
        <w:rPr>
          <w:szCs w:val="22"/>
        </w:rPr>
      </w:pPr>
      <w:r w:rsidRPr="00212D57">
        <w:rPr>
          <w:szCs w:val="22"/>
        </w:rPr>
        <w:t>（</w:t>
      </w:r>
      <w:r w:rsidRPr="00761EF3">
        <w:rPr>
          <w:szCs w:val="22"/>
        </w:rPr>
        <w:t>3</w:t>
      </w:r>
      <w:r w:rsidRPr="00212D57">
        <w:rPr>
          <w:szCs w:val="22"/>
        </w:rPr>
        <w:t>）〔隋〕吉藏撰，《淨名玄論》卷</w:t>
      </w:r>
      <w:r w:rsidRPr="00761EF3">
        <w:rPr>
          <w:szCs w:val="22"/>
        </w:rPr>
        <w:t>3</w:t>
      </w:r>
      <w:r w:rsidR="00434424" w:rsidRPr="00212D57">
        <w:rPr>
          <w:szCs w:val="22"/>
        </w:rPr>
        <w:t>（大正</w:t>
      </w:r>
      <w:r w:rsidR="00434424" w:rsidRPr="00761EF3">
        <w:rPr>
          <w:szCs w:val="22"/>
        </w:rPr>
        <w:t>38</w:t>
      </w:r>
      <w:r w:rsidR="00434424" w:rsidRPr="00212D57">
        <w:rPr>
          <w:szCs w:val="22"/>
        </w:rPr>
        <w:t>，</w:t>
      </w:r>
      <w:r w:rsidR="00434424" w:rsidRPr="00761EF3">
        <w:rPr>
          <w:szCs w:val="22"/>
        </w:rPr>
        <w:t>874c4</w:t>
      </w:r>
      <w:r w:rsidR="00434424" w:rsidRPr="00212D57">
        <w:rPr>
          <w:szCs w:val="22"/>
        </w:rPr>
        <w:t>-</w:t>
      </w:r>
      <w:r w:rsidR="00434424" w:rsidRPr="00761EF3">
        <w:rPr>
          <w:szCs w:val="22"/>
        </w:rPr>
        <w:t>5</w:t>
      </w:r>
      <w:r w:rsidR="00434424" w:rsidRPr="00212D57">
        <w:rPr>
          <w:szCs w:val="22"/>
        </w:rPr>
        <w:t>）</w:t>
      </w:r>
      <w:r w:rsidRPr="00212D57">
        <w:rPr>
          <w:szCs w:val="22"/>
        </w:rPr>
        <w:t>：「</w:t>
      </w:r>
      <w:r w:rsidRPr="00212D57">
        <w:rPr>
          <w:rFonts w:eastAsia="標楷體"/>
          <w:szCs w:val="22"/>
        </w:rPr>
        <w:t>今若能愚智雙棄，凡聖兩捨，即是</w:t>
      </w:r>
      <w:r w:rsidRPr="00212D57">
        <w:rPr>
          <w:rFonts w:eastAsia="標楷體"/>
          <w:b/>
          <w:szCs w:val="22"/>
        </w:rPr>
        <w:t>蕭然無寄</w:t>
      </w:r>
      <w:r w:rsidRPr="00212D57">
        <w:rPr>
          <w:rFonts w:eastAsia="標楷體"/>
          <w:szCs w:val="22"/>
        </w:rPr>
        <w:t>，名為解脫。</w:t>
      </w:r>
      <w:r w:rsidRPr="00212D57">
        <w:rPr>
          <w:szCs w:val="22"/>
        </w:rPr>
        <w:t>」</w:t>
      </w:r>
    </w:p>
  </w:footnote>
  <w:footnote w:id="61">
    <w:p w:rsidR="00157EF6" w:rsidRPr="00212D57" w:rsidRDefault="00157EF6" w:rsidP="00CB198A">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rFonts w:hint="eastAsia"/>
          <w:szCs w:val="22"/>
        </w:rPr>
        <w:t>《大智度論》卷</w:t>
      </w:r>
      <w:r w:rsidRPr="00761EF3">
        <w:rPr>
          <w:szCs w:val="22"/>
        </w:rPr>
        <w:t>74</w:t>
      </w:r>
      <w:r w:rsidR="00AC0462" w:rsidRPr="00AC0462">
        <w:rPr>
          <w:rFonts w:hint="eastAsia"/>
          <w:color w:val="FF0000"/>
          <w:szCs w:val="22"/>
          <w:highlight w:val="yellow"/>
        </w:rPr>
        <w:t>釋〈</w:t>
      </w:r>
      <w:r w:rsidR="00AC0462" w:rsidRPr="00AC0462">
        <w:rPr>
          <w:rFonts w:hint="eastAsia"/>
          <w:color w:val="FF0000"/>
          <w:szCs w:val="22"/>
          <w:highlight w:val="yellow"/>
        </w:rPr>
        <w:t xml:space="preserve">57 </w:t>
      </w:r>
      <w:r w:rsidR="00AC0462" w:rsidRPr="00AC0462">
        <w:rPr>
          <w:rFonts w:hint="eastAsia"/>
          <w:color w:val="FF0000"/>
          <w:szCs w:val="22"/>
          <w:highlight w:val="yellow"/>
        </w:rPr>
        <w:t>燈炷品〉</w:t>
      </w:r>
      <w:r w:rsidRPr="00212D57">
        <w:rPr>
          <w:rFonts w:hint="eastAsia"/>
          <w:szCs w:val="22"/>
        </w:rPr>
        <w:t>（大正</w:t>
      </w:r>
      <w:r w:rsidRPr="00761EF3">
        <w:rPr>
          <w:szCs w:val="22"/>
        </w:rPr>
        <w:t>25</w:t>
      </w:r>
      <w:r w:rsidRPr="00212D57">
        <w:rPr>
          <w:rFonts w:hint="eastAsia"/>
          <w:szCs w:val="22"/>
        </w:rPr>
        <w:t>，</w:t>
      </w:r>
      <w:r w:rsidRPr="00761EF3">
        <w:rPr>
          <w:szCs w:val="22"/>
        </w:rPr>
        <w:t>581b29</w:t>
      </w:r>
      <w:r w:rsidRPr="00212D57">
        <w:rPr>
          <w:szCs w:val="22"/>
        </w:rPr>
        <w:t>-</w:t>
      </w:r>
      <w:r w:rsidRPr="00761EF3">
        <w:rPr>
          <w:szCs w:val="22"/>
        </w:rPr>
        <w:t>c7</w:t>
      </w:r>
      <w:r w:rsidRPr="00212D57">
        <w:rPr>
          <w:rFonts w:hint="eastAsia"/>
          <w:szCs w:val="22"/>
        </w:rPr>
        <w:t>）：</w:t>
      </w:r>
    </w:p>
    <w:p w:rsidR="00157EF6" w:rsidRPr="00212D57" w:rsidRDefault="00157EF6" w:rsidP="00604872">
      <w:pPr>
        <w:pStyle w:val="a5"/>
        <w:ind w:leftChars="75" w:left="180"/>
        <w:jc w:val="both"/>
        <w:rPr>
          <w:szCs w:val="22"/>
        </w:rPr>
      </w:pPr>
      <w:r w:rsidRPr="00212D57">
        <w:rPr>
          <w:rFonts w:eastAsia="標楷體" w:hint="eastAsia"/>
          <w:szCs w:val="22"/>
        </w:rPr>
        <w:t>此中說</w:t>
      </w:r>
      <w:r w:rsidR="000C79F9">
        <w:rPr>
          <w:rFonts w:ascii="標楷體" w:eastAsia="標楷體" w:hAnsi="標楷體" w:hint="eastAsia"/>
          <w:color w:val="FF0000"/>
          <w:spacing w:val="-4"/>
          <w:kern w:val="0"/>
          <w:highlight w:val="yellow"/>
        </w:rPr>
        <w:t>：</w:t>
      </w:r>
      <w:r w:rsidRPr="00212D57">
        <w:rPr>
          <w:rFonts w:eastAsia="標楷體" w:hint="eastAsia"/>
          <w:szCs w:val="22"/>
        </w:rPr>
        <w:t>離是二邊</w:t>
      </w:r>
      <w:r w:rsidR="000C79F9">
        <w:rPr>
          <w:rFonts w:ascii="標楷體" w:eastAsia="標楷體" w:hAnsi="標楷體" w:hint="eastAsia"/>
          <w:color w:val="FF0000"/>
          <w:kern w:val="0"/>
          <w:highlight w:val="yellow"/>
        </w:rPr>
        <w:t>，</w:t>
      </w:r>
      <w:r w:rsidRPr="00212D57">
        <w:rPr>
          <w:rFonts w:eastAsia="標楷體" w:hint="eastAsia"/>
          <w:szCs w:val="22"/>
        </w:rPr>
        <w:t>說中道，所謂諸法</w:t>
      </w:r>
      <w:r w:rsidR="000C79F9">
        <w:rPr>
          <w:rFonts w:ascii="標楷體" w:eastAsia="標楷體" w:hAnsi="標楷體" w:hint="eastAsia"/>
          <w:color w:val="FF0000"/>
          <w:kern w:val="0"/>
          <w:highlight w:val="yellow"/>
        </w:rPr>
        <w:t>，</w:t>
      </w:r>
      <w:r w:rsidRPr="00212D57">
        <w:rPr>
          <w:rFonts w:eastAsia="標楷體" w:hint="eastAsia"/>
          <w:szCs w:val="22"/>
        </w:rPr>
        <w:t>因緣和合生，是和合</w:t>
      </w:r>
      <w:r w:rsidRPr="000C79F9">
        <w:rPr>
          <w:rFonts w:eastAsia="標楷體" w:hint="eastAsia"/>
          <w:szCs w:val="22"/>
          <w:highlight w:val="yellow"/>
        </w:rPr>
        <w:t>法無</w:t>
      </w:r>
      <w:r w:rsidRPr="00212D57">
        <w:rPr>
          <w:rFonts w:eastAsia="標楷體" w:hint="eastAsia"/>
          <w:szCs w:val="22"/>
        </w:rPr>
        <w:t>有一定法故空。何以故？因緣生法無自性，無自性故即是畢竟空。是畢竟空，從本以來空，非佛所作，亦非餘人所作，</w:t>
      </w:r>
      <w:r w:rsidRPr="00212D57">
        <w:rPr>
          <w:rFonts w:eastAsia="標楷體" w:hint="eastAsia"/>
          <w:b/>
          <w:szCs w:val="22"/>
        </w:rPr>
        <w:t>諸佛為可度眾生</w:t>
      </w:r>
      <w:r w:rsidRPr="000C79F9">
        <w:rPr>
          <w:rFonts w:eastAsia="標楷體" w:hint="eastAsia"/>
          <w:b/>
          <w:szCs w:val="22"/>
          <w:highlight w:val="yellow"/>
        </w:rPr>
        <w:t>故說</w:t>
      </w:r>
      <w:r w:rsidRPr="00212D57">
        <w:rPr>
          <w:rFonts w:eastAsia="標楷體" w:hint="eastAsia"/>
          <w:b/>
          <w:szCs w:val="22"/>
        </w:rPr>
        <w:t>是畢竟空相</w:t>
      </w:r>
      <w:r w:rsidRPr="00212D57">
        <w:rPr>
          <w:rFonts w:eastAsia="標楷體" w:hint="eastAsia"/>
          <w:szCs w:val="22"/>
        </w:rPr>
        <w:t>。是空是一切諸法實體，不因內外有</w:t>
      </w:r>
      <w:r w:rsidR="000C79F9">
        <w:rPr>
          <w:rFonts w:ascii="標楷體" w:eastAsia="標楷體" w:hAnsi="標楷體" w:hint="eastAsia"/>
          <w:color w:val="FF0000"/>
          <w:kern w:val="0"/>
          <w:highlight w:val="yellow"/>
        </w:rPr>
        <w:t>。</w:t>
      </w:r>
      <w:r w:rsidRPr="00212D57">
        <w:rPr>
          <w:rFonts w:eastAsia="標楷體" w:hint="eastAsia"/>
          <w:szCs w:val="22"/>
        </w:rPr>
        <w:t>是空相有種種名字，所謂</w:t>
      </w:r>
      <w:r w:rsidR="000C79F9">
        <w:rPr>
          <w:rFonts w:ascii="標楷體" w:eastAsia="標楷體" w:hAnsi="標楷體" w:hint="eastAsia"/>
          <w:bCs/>
          <w:color w:val="FF0000"/>
          <w:kern w:val="0"/>
          <w:highlight w:val="yellow"/>
        </w:rPr>
        <w:t>「</w:t>
      </w:r>
      <w:r w:rsidRPr="00212D57">
        <w:rPr>
          <w:rFonts w:eastAsia="標楷體" w:hint="eastAsia"/>
          <w:szCs w:val="22"/>
        </w:rPr>
        <w:t>無相</w:t>
      </w:r>
      <w:r w:rsidR="000C79F9">
        <w:rPr>
          <w:rFonts w:ascii="標楷體" w:eastAsia="標楷體" w:hAnsi="標楷體" w:hint="eastAsia"/>
          <w:bCs/>
          <w:color w:val="FF0000"/>
          <w:kern w:val="0"/>
          <w:highlight w:val="yellow"/>
        </w:rPr>
        <w:t>」</w:t>
      </w:r>
      <w:r w:rsidRPr="00212D57">
        <w:rPr>
          <w:rFonts w:eastAsia="標楷體" w:hint="eastAsia"/>
          <w:szCs w:val="22"/>
        </w:rPr>
        <w:t>、</w:t>
      </w:r>
      <w:r w:rsidR="000C79F9">
        <w:rPr>
          <w:rFonts w:ascii="標楷體" w:eastAsia="標楷體" w:hAnsi="標楷體" w:hint="eastAsia"/>
          <w:bCs/>
          <w:color w:val="FF0000"/>
          <w:kern w:val="0"/>
          <w:highlight w:val="yellow"/>
        </w:rPr>
        <w:t>「</w:t>
      </w:r>
      <w:r w:rsidRPr="00212D57">
        <w:rPr>
          <w:rFonts w:eastAsia="標楷體" w:hint="eastAsia"/>
          <w:szCs w:val="22"/>
        </w:rPr>
        <w:t>無作</w:t>
      </w:r>
      <w:r w:rsidR="000C79F9">
        <w:rPr>
          <w:rFonts w:ascii="標楷體" w:eastAsia="標楷體" w:hAnsi="標楷體" w:hint="eastAsia"/>
          <w:bCs/>
          <w:color w:val="FF0000"/>
          <w:kern w:val="0"/>
          <w:highlight w:val="yellow"/>
        </w:rPr>
        <w:t>」</w:t>
      </w:r>
      <w:r w:rsidRPr="00212D57">
        <w:rPr>
          <w:rFonts w:eastAsia="標楷體" w:hint="eastAsia"/>
          <w:szCs w:val="22"/>
        </w:rPr>
        <w:t>、</w:t>
      </w:r>
      <w:r w:rsidR="000C79F9">
        <w:rPr>
          <w:rFonts w:ascii="標楷體" w:eastAsia="標楷體" w:hAnsi="標楷體" w:hint="eastAsia"/>
          <w:bCs/>
          <w:color w:val="FF0000"/>
          <w:kern w:val="0"/>
          <w:highlight w:val="yellow"/>
        </w:rPr>
        <w:t>「</w:t>
      </w:r>
      <w:r w:rsidRPr="00212D57">
        <w:rPr>
          <w:rFonts w:eastAsia="標楷體" w:hint="eastAsia"/>
          <w:szCs w:val="22"/>
        </w:rPr>
        <w:t>寂滅</w:t>
      </w:r>
      <w:r w:rsidR="000C79F9">
        <w:rPr>
          <w:rFonts w:ascii="標楷體" w:eastAsia="標楷體" w:hAnsi="標楷體" w:hint="eastAsia"/>
          <w:bCs/>
          <w:color w:val="FF0000"/>
          <w:kern w:val="0"/>
          <w:highlight w:val="yellow"/>
        </w:rPr>
        <w:t>」</w:t>
      </w:r>
      <w:r w:rsidRPr="00212D57">
        <w:rPr>
          <w:rFonts w:eastAsia="標楷體" w:hint="eastAsia"/>
          <w:szCs w:val="22"/>
        </w:rPr>
        <w:t>、</w:t>
      </w:r>
      <w:r w:rsidR="000C79F9">
        <w:rPr>
          <w:rFonts w:ascii="標楷體" w:eastAsia="標楷體" w:hAnsi="標楷體" w:hint="eastAsia"/>
          <w:bCs/>
          <w:color w:val="FF0000"/>
          <w:kern w:val="0"/>
          <w:highlight w:val="yellow"/>
        </w:rPr>
        <w:t>「</w:t>
      </w:r>
      <w:r w:rsidRPr="00212D57">
        <w:rPr>
          <w:rFonts w:eastAsia="標楷體" w:hint="eastAsia"/>
          <w:szCs w:val="22"/>
        </w:rPr>
        <w:t>離</w:t>
      </w:r>
      <w:r w:rsidR="000C79F9">
        <w:rPr>
          <w:rFonts w:ascii="標楷體" w:eastAsia="標楷體" w:hAnsi="標楷體" w:hint="eastAsia"/>
          <w:bCs/>
          <w:color w:val="FF0000"/>
          <w:kern w:val="0"/>
          <w:highlight w:val="yellow"/>
        </w:rPr>
        <w:t>」</w:t>
      </w:r>
      <w:r w:rsidRPr="00212D57">
        <w:rPr>
          <w:rFonts w:eastAsia="標楷體" w:hint="eastAsia"/>
          <w:szCs w:val="22"/>
        </w:rPr>
        <w:t>、</w:t>
      </w:r>
      <w:r w:rsidR="000C79F9">
        <w:rPr>
          <w:rFonts w:ascii="標楷體" w:eastAsia="標楷體" w:hAnsi="標楷體" w:hint="eastAsia"/>
          <w:bCs/>
          <w:color w:val="FF0000"/>
          <w:kern w:val="0"/>
          <w:highlight w:val="yellow"/>
        </w:rPr>
        <w:t>「</w:t>
      </w:r>
      <w:r w:rsidRPr="00212D57">
        <w:rPr>
          <w:rFonts w:eastAsia="標楷體" w:hint="eastAsia"/>
          <w:szCs w:val="22"/>
        </w:rPr>
        <w:t>涅槃</w:t>
      </w:r>
      <w:r w:rsidR="000C79F9">
        <w:rPr>
          <w:rFonts w:ascii="標楷體" w:eastAsia="標楷體" w:hAnsi="標楷體" w:hint="eastAsia"/>
          <w:bCs/>
          <w:color w:val="FF0000"/>
          <w:kern w:val="0"/>
          <w:highlight w:val="yellow"/>
        </w:rPr>
        <w:t>」</w:t>
      </w:r>
      <w:r w:rsidRPr="00212D57">
        <w:rPr>
          <w:rFonts w:eastAsia="標楷體" w:hint="eastAsia"/>
          <w:szCs w:val="22"/>
        </w:rPr>
        <w:t>等。</w:t>
      </w:r>
    </w:p>
  </w:footnote>
  <w:footnote w:id="62">
    <w:p w:rsidR="00157EF6" w:rsidRPr="00212D57" w:rsidRDefault="00157EF6" w:rsidP="00CB198A">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rFonts w:hint="eastAsia"/>
          <w:szCs w:val="22"/>
        </w:rPr>
        <w:t>《中論》卷</w:t>
      </w:r>
      <w:r w:rsidRPr="00761EF3">
        <w:rPr>
          <w:szCs w:val="22"/>
        </w:rPr>
        <w:t>4</w:t>
      </w:r>
      <w:r w:rsidRPr="00212D57">
        <w:rPr>
          <w:rFonts w:hint="eastAsia"/>
          <w:szCs w:val="22"/>
        </w:rPr>
        <w:t>〈</w:t>
      </w:r>
      <w:r w:rsidRPr="00761EF3">
        <w:rPr>
          <w:szCs w:val="22"/>
        </w:rPr>
        <w:t>24</w:t>
      </w:r>
      <w:r w:rsidRPr="00212D57">
        <w:rPr>
          <w:szCs w:val="22"/>
        </w:rPr>
        <w:t xml:space="preserve"> </w:t>
      </w:r>
      <w:r w:rsidRPr="00212D57">
        <w:rPr>
          <w:rFonts w:hint="eastAsia"/>
          <w:szCs w:val="22"/>
        </w:rPr>
        <w:t>觀四諦品〉（青目釋）（大正</w:t>
      </w:r>
      <w:r w:rsidRPr="00761EF3">
        <w:rPr>
          <w:szCs w:val="22"/>
        </w:rPr>
        <w:t>30</w:t>
      </w:r>
      <w:r w:rsidRPr="00212D57">
        <w:rPr>
          <w:rFonts w:hint="eastAsia"/>
          <w:szCs w:val="22"/>
        </w:rPr>
        <w:t>，</w:t>
      </w:r>
      <w:r w:rsidRPr="00761EF3">
        <w:rPr>
          <w:szCs w:val="22"/>
        </w:rPr>
        <w:t>33b15</w:t>
      </w:r>
      <w:r w:rsidRPr="00212D57">
        <w:rPr>
          <w:szCs w:val="22"/>
        </w:rPr>
        <w:t>-</w:t>
      </w:r>
      <w:r w:rsidRPr="00761EF3">
        <w:rPr>
          <w:szCs w:val="22"/>
        </w:rPr>
        <w:t>18</w:t>
      </w:r>
      <w:r w:rsidRPr="00212D57">
        <w:rPr>
          <w:rFonts w:hint="eastAsia"/>
          <w:szCs w:val="22"/>
        </w:rPr>
        <w:t>）：</w:t>
      </w:r>
    </w:p>
    <w:p w:rsidR="00157EF6" w:rsidRPr="00212D57" w:rsidRDefault="00157EF6" w:rsidP="00604872">
      <w:pPr>
        <w:pStyle w:val="a5"/>
        <w:ind w:leftChars="75" w:left="180"/>
        <w:jc w:val="both"/>
        <w:rPr>
          <w:szCs w:val="22"/>
        </w:rPr>
      </w:pPr>
      <w:r w:rsidRPr="00212D57">
        <w:rPr>
          <w:rFonts w:eastAsia="標楷體" w:hint="eastAsia"/>
          <w:szCs w:val="22"/>
        </w:rPr>
        <w:t>眾因緣生法，我說即是空。何以故？眾緣具足和合而物生，是物屬眾因緣故無自性，無自性故空。</w:t>
      </w:r>
      <w:r w:rsidRPr="00212D57">
        <w:rPr>
          <w:rFonts w:eastAsia="標楷體" w:hint="eastAsia"/>
          <w:b/>
          <w:szCs w:val="22"/>
        </w:rPr>
        <w:t>空亦復空，但為引眾生故以假名說</w:t>
      </w:r>
      <w:r w:rsidRPr="00212D57">
        <w:rPr>
          <w:rFonts w:eastAsia="標楷體" w:hint="eastAsia"/>
          <w:szCs w:val="22"/>
        </w:rPr>
        <w:t>。</w:t>
      </w:r>
    </w:p>
  </w:footnote>
  <w:footnote w:id="63">
    <w:p w:rsidR="00157EF6" w:rsidRPr="00212D57" w:rsidRDefault="00157EF6" w:rsidP="00CB198A">
      <w:pPr>
        <w:pStyle w:val="a5"/>
        <w:ind w:left="187" w:hangingChars="85" w:hanging="187"/>
        <w:jc w:val="both"/>
        <w:rPr>
          <w:szCs w:val="22"/>
        </w:rPr>
      </w:pPr>
      <w:r w:rsidRPr="00212D57">
        <w:rPr>
          <w:rStyle w:val="a6"/>
          <w:szCs w:val="22"/>
        </w:rPr>
        <w:footnoteRef/>
      </w:r>
      <w:r w:rsidRPr="00212D57">
        <w:rPr>
          <w:szCs w:val="22"/>
        </w:rPr>
        <w:t xml:space="preserve"> </w:t>
      </w:r>
      <w:r w:rsidRPr="00212D57">
        <w:rPr>
          <w:rFonts w:hint="eastAsia"/>
          <w:szCs w:val="22"/>
        </w:rPr>
        <w:t>豁（ㄏㄨㄛ）：</w:t>
      </w:r>
      <w:r w:rsidRPr="00761EF3">
        <w:rPr>
          <w:szCs w:val="22"/>
        </w:rPr>
        <w:t>2</w:t>
      </w:r>
      <w:r w:rsidRPr="00212D57">
        <w:rPr>
          <w:szCs w:val="22"/>
        </w:rPr>
        <w:t>.</w:t>
      </w:r>
      <w:r w:rsidRPr="00212D57">
        <w:rPr>
          <w:rFonts w:hint="eastAsia"/>
          <w:szCs w:val="22"/>
        </w:rPr>
        <w:t>割破，裂開。（《漢語大詞典》（十），</w:t>
      </w:r>
      <w:r w:rsidRPr="00761EF3">
        <w:rPr>
          <w:szCs w:val="22"/>
        </w:rPr>
        <w:t>p</w:t>
      </w:r>
      <w:r w:rsidRPr="00212D57">
        <w:rPr>
          <w:szCs w:val="22"/>
        </w:rPr>
        <w:t>.</w:t>
      </w:r>
      <w:r w:rsidRPr="00761EF3">
        <w:rPr>
          <w:szCs w:val="22"/>
        </w:rPr>
        <w:t>1323</w:t>
      </w:r>
      <w:r w:rsidRPr="00212D57">
        <w:rPr>
          <w:rFonts w:hint="eastAsia"/>
          <w:szCs w:val="22"/>
        </w:rPr>
        <w:t>）</w:t>
      </w:r>
    </w:p>
  </w:footnote>
  <w:footnote w:id="64">
    <w:p w:rsidR="00157EF6" w:rsidRPr="00212D57" w:rsidRDefault="00157EF6" w:rsidP="00CF31DE">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szCs w:val="22"/>
        </w:rPr>
        <w:t>1</w:t>
      </w:r>
      <w:r w:rsidRPr="00212D57">
        <w:rPr>
          <w:rFonts w:hint="eastAsia"/>
          <w:szCs w:val="22"/>
        </w:rPr>
        <w:t>）</w:t>
      </w:r>
      <w:r w:rsidRPr="00212D57">
        <w:rPr>
          <w:spacing w:val="4"/>
          <w:szCs w:val="22"/>
        </w:rPr>
        <w:t>〔姚秦〕</w:t>
      </w:r>
      <w:r w:rsidRPr="00212D57">
        <w:rPr>
          <w:rFonts w:hint="eastAsia"/>
          <w:spacing w:val="4"/>
          <w:szCs w:val="22"/>
        </w:rPr>
        <w:t>鳩摩羅什譯，《中論》卷</w:t>
      </w:r>
      <w:r w:rsidRPr="00761EF3">
        <w:rPr>
          <w:spacing w:val="4"/>
          <w:szCs w:val="22"/>
        </w:rPr>
        <w:t>4</w:t>
      </w:r>
      <w:r w:rsidRPr="00212D57">
        <w:rPr>
          <w:rFonts w:hint="eastAsia"/>
          <w:spacing w:val="4"/>
          <w:szCs w:val="22"/>
        </w:rPr>
        <w:t>〈</w:t>
      </w:r>
      <w:r w:rsidRPr="00761EF3">
        <w:rPr>
          <w:spacing w:val="4"/>
          <w:szCs w:val="22"/>
        </w:rPr>
        <w:t>24</w:t>
      </w:r>
      <w:r w:rsidRPr="00212D57">
        <w:rPr>
          <w:spacing w:val="4"/>
          <w:szCs w:val="22"/>
        </w:rPr>
        <w:t xml:space="preserve"> </w:t>
      </w:r>
      <w:r w:rsidRPr="00212D57">
        <w:rPr>
          <w:rFonts w:hint="eastAsia"/>
          <w:spacing w:val="4"/>
          <w:szCs w:val="22"/>
        </w:rPr>
        <w:t>觀四諦品〉（第</w:t>
      </w:r>
      <w:r w:rsidRPr="00761EF3">
        <w:rPr>
          <w:spacing w:val="4"/>
          <w:szCs w:val="22"/>
        </w:rPr>
        <w:t>18</w:t>
      </w:r>
      <w:r w:rsidRPr="00212D57">
        <w:rPr>
          <w:rFonts w:hint="eastAsia"/>
          <w:spacing w:val="4"/>
          <w:szCs w:val="22"/>
        </w:rPr>
        <w:t>頌）</w:t>
      </w:r>
      <w:r w:rsidRPr="00212D57">
        <w:rPr>
          <w:rFonts w:eastAsia="標楷體" w:hint="eastAsia"/>
          <w:spacing w:val="4"/>
          <w:szCs w:val="22"/>
        </w:rPr>
        <w:t>（</w:t>
      </w:r>
      <w:r w:rsidRPr="00212D57">
        <w:rPr>
          <w:rFonts w:hint="eastAsia"/>
          <w:spacing w:val="4"/>
          <w:szCs w:val="22"/>
        </w:rPr>
        <w:t>大正</w:t>
      </w:r>
      <w:r w:rsidRPr="00761EF3">
        <w:rPr>
          <w:spacing w:val="4"/>
          <w:szCs w:val="22"/>
        </w:rPr>
        <w:t>30</w:t>
      </w:r>
      <w:r w:rsidRPr="00212D57">
        <w:rPr>
          <w:rFonts w:hint="eastAsia"/>
          <w:spacing w:val="4"/>
          <w:szCs w:val="22"/>
        </w:rPr>
        <w:t>，</w:t>
      </w:r>
      <w:r w:rsidRPr="00761EF3">
        <w:rPr>
          <w:spacing w:val="4"/>
          <w:szCs w:val="22"/>
        </w:rPr>
        <w:t>33b11</w:t>
      </w:r>
      <w:r w:rsidRPr="00212D57">
        <w:rPr>
          <w:spacing w:val="4"/>
          <w:szCs w:val="22"/>
        </w:rPr>
        <w:t>-</w:t>
      </w:r>
      <w:r w:rsidRPr="00761EF3">
        <w:rPr>
          <w:spacing w:val="4"/>
          <w:szCs w:val="22"/>
        </w:rPr>
        <w:t>12</w:t>
      </w:r>
      <w:r w:rsidRPr="00212D57">
        <w:rPr>
          <w:rFonts w:eastAsia="標楷體" w:hint="eastAsia"/>
          <w:spacing w:val="4"/>
          <w:szCs w:val="22"/>
        </w:rPr>
        <w:t>）</w:t>
      </w:r>
      <w:r w:rsidRPr="00212D57">
        <w:rPr>
          <w:rFonts w:hint="eastAsia"/>
          <w:spacing w:val="4"/>
          <w:szCs w:val="22"/>
        </w:rPr>
        <w:t>：</w:t>
      </w:r>
    </w:p>
    <w:p w:rsidR="00157EF6" w:rsidRPr="00212D57" w:rsidRDefault="00157EF6" w:rsidP="00604872">
      <w:pPr>
        <w:pStyle w:val="a5"/>
        <w:ind w:leftChars="300" w:left="720"/>
        <w:jc w:val="both"/>
        <w:rPr>
          <w:szCs w:val="22"/>
        </w:rPr>
      </w:pPr>
      <w:r w:rsidRPr="00212D57">
        <w:rPr>
          <w:rFonts w:eastAsia="標楷體" w:hint="eastAsia"/>
          <w:szCs w:val="22"/>
        </w:rPr>
        <w:t>眾因緣生法，我說即是</w:t>
      </w:r>
      <w:r w:rsidRPr="00212D57">
        <w:rPr>
          <w:rFonts w:eastAsia="標楷體" w:hint="eastAsia"/>
          <w:szCs w:val="22"/>
          <w:u w:val="single"/>
        </w:rPr>
        <w:t>無</w:t>
      </w:r>
      <w:r w:rsidRPr="00212D57">
        <w:rPr>
          <w:rFonts w:eastAsia="標楷體" w:hint="eastAsia"/>
          <w:szCs w:val="22"/>
        </w:rPr>
        <w:t>，亦為是假名，亦是中道義。</w:t>
      </w:r>
    </w:p>
    <w:p w:rsidR="00157EF6" w:rsidRPr="00212D57" w:rsidRDefault="00157EF6" w:rsidP="00CF31DE">
      <w:pPr>
        <w:pStyle w:val="a5"/>
        <w:ind w:leftChars="80" w:left="731" w:hangingChars="245" w:hanging="539"/>
        <w:jc w:val="both"/>
        <w:rPr>
          <w:rFonts w:eastAsia="全真楷書"/>
          <w:szCs w:val="22"/>
        </w:rPr>
      </w:pPr>
      <w:r w:rsidRPr="00212D57">
        <w:rPr>
          <w:rFonts w:hint="eastAsia"/>
          <w:szCs w:val="22"/>
        </w:rPr>
        <w:t>（</w:t>
      </w:r>
      <w:r w:rsidRPr="00761EF3">
        <w:rPr>
          <w:szCs w:val="22"/>
        </w:rPr>
        <w:t>2</w:t>
      </w:r>
      <w:r w:rsidRPr="00212D57">
        <w:rPr>
          <w:rFonts w:hint="eastAsia"/>
          <w:szCs w:val="22"/>
        </w:rPr>
        <w:t>）梵文</w:t>
      </w:r>
      <w:r w:rsidRPr="00212D57">
        <w:rPr>
          <w:rFonts w:eastAsia="全真楷書" w:hint="eastAsia"/>
          <w:szCs w:val="22"/>
        </w:rPr>
        <w:t>：</w:t>
      </w:r>
      <w:r w:rsidRPr="00761EF3">
        <w:rPr>
          <w:rFonts w:eastAsia="全真楷書"/>
          <w:szCs w:val="22"/>
        </w:rPr>
        <w:t>yaḥ</w:t>
      </w:r>
      <w:r w:rsidRPr="00212D57">
        <w:rPr>
          <w:rFonts w:eastAsia="全真楷書"/>
          <w:szCs w:val="22"/>
        </w:rPr>
        <w:t xml:space="preserve"> </w:t>
      </w:r>
      <w:r w:rsidRPr="00761EF3">
        <w:rPr>
          <w:rFonts w:eastAsia="全真楷書"/>
          <w:szCs w:val="22"/>
        </w:rPr>
        <w:t>pratītyasamutpādaḥ</w:t>
      </w:r>
      <w:r w:rsidRPr="00212D57">
        <w:rPr>
          <w:rFonts w:eastAsia="全真楷書"/>
          <w:szCs w:val="22"/>
        </w:rPr>
        <w:t xml:space="preserve"> </w:t>
      </w:r>
      <w:r w:rsidRPr="00761EF3">
        <w:rPr>
          <w:rFonts w:eastAsia="全真楷書"/>
          <w:szCs w:val="22"/>
        </w:rPr>
        <w:t>śūnyatāṃ</w:t>
      </w:r>
      <w:r w:rsidRPr="00212D57">
        <w:rPr>
          <w:rFonts w:eastAsia="全真楷書"/>
          <w:szCs w:val="22"/>
        </w:rPr>
        <w:t xml:space="preserve"> </w:t>
      </w:r>
      <w:r w:rsidRPr="00761EF3">
        <w:rPr>
          <w:rFonts w:eastAsia="全真楷書"/>
          <w:szCs w:val="22"/>
        </w:rPr>
        <w:t>tāṃ</w:t>
      </w:r>
      <w:r w:rsidRPr="00212D57">
        <w:rPr>
          <w:rFonts w:eastAsia="全真楷書"/>
          <w:szCs w:val="22"/>
        </w:rPr>
        <w:t xml:space="preserve"> </w:t>
      </w:r>
      <w:r w:rsidRPr="00761EF3">
        <w:rPr>
          <w:rFonts w:eastAsia="全真楷書"/>
          <w:szCs w:val="22"/>
        </w:rPr>
        <w:t>pracakṣmahe</w:t>
      </w:r>
      <w:r w:rsidRPr="00212D57">
        <w:rPr>
          <w:rFonts w:eastAsia="全真楷書"/>
          <w:szCs w:val="22"/>
        </w:rPr>
        <w:t xml:space="preserve"> /[</w:t>
      </w:r>
      <w:r w:rsidRPr="00761EF3">
        <w:rPr>
          <w:rFonts w:eastAsia="全真楷書"/>
          <w:szCs w:val="22"/>
        </w:rPr>
        <w:t>503</w:t>
      </w:r>
      <w:r w:rsidRPr="00212D57">
        <w:rPr>
          <w:rFonts w:eastAsia="全真楷書"/>
          <w:szCs w:val="22"/>
        </w:rPr>
        <w:t>-</w:t>
      </w:r>
      <w:r w:rsidRPr="00761EF3">
        <w:rPr>
          <w:rFonts w:eastAsia="全真楷書"/>
          <w:szCs w:val="22"/>
        </w:rPr>
        <w:t>10</w:t>
      </w:r>
      <w:r w:rsidRPr="00212D57">
        <w:rPr>
          <w:rFonts w:eastAsia="全真楷書"/>
          <w:szCs w:val="22"/>
        </w:rPr>
        <w:t>]</w:t>
      </w:r>
    </w:p>
    <w:p w:rsidR="00157EF6" w:rsidRPr="00212D57" w:rsidRDefault="00157EF6" w:rsidP="00CF31DE">
      <w:pPr>
        <w:pStyle w:val="af"/>
        <w:snapToGrid w:val="0"/>
        <w:ind w:leftChars="580" w:left="1392"/>
        <w:jc w:val="both"/>
        <w:rPr>
          <w:rFonts w:ascii="Times New Roman" w:eastAsia="全真楷書" w:hAnsi="Times New Roman" w:cs="Times New Roman"/>
          <w:sz w:val="22"/>
          <w:szCs w:val="22"/>
        </w:rPr>
      </w:pPr>
      <w:r w:rsidRPr="00761EF3">
        <w:rPr>
          <w:rFonts w:ascii="Times New Roman" w:eastAsia="全真楷書" w:hAnsi="Times New Roman" w:cs="Times New Roman"/>
          <w:sz w:val="22"/>
          <w:szCs w:val="22"/>
        </w:rPr>
        <w:t>sā</w:t>
      </w:r>
      <w:r w:rsidRPr="00212D57">
        <w:rPr>
          <w:rFonts w:ascii="Times New Roman" w:eastAsia="全真楷書" w:hAnsi="Times New Roman" w:cs="Times New Roman"/>
          <w:sz w:val="22"/>
          <w:szCs w:val="22"/>
        </w:rPr>
        <w:t xml:space="preserve"> </w:t>
      </w:r>
      <w:r w:rsidRPr="00761EF3">
        <w:rPr>
          <w:rFonts w:ascii="Times New Roman" w:eastAsia="全真楷書" w:hAnsi="Times New Roman" w:cs="Times New Roman"/>
          <w:sz w:val="22"/>
          <w:szCs w:val="22"/>
        </w:rPr>
        <w:t>prajñaptir</w:t>
      </w:r>
      <w:r w:rsidRPr="00212D57">
        <w:rPr>
          <w:rFonts w:ascii="Times New Roman" w:eastAsia="全真楷書" w:hAnsi="Times New Roman" w:cs="Times New Roman"/>
          <w:sz w:val="22"/>
          <w:szCs w:val="22"/>
        </w:rPr>
        <w:t xml:space="preserve"> </w:t>
      </w:r>
      <w:r w:rsidRPr="00761EF3">
        <w:rPr>
          <w:rFonts w:ascii="Times New Roman" w:eastAsia="全真楷書" w:hAnsi="Times New Roman" w:cs="Times New Roman"/>
          <w:sz w:val="22"/>
          <w:szCs w:val="22"/>
        </w:rPr>
        <w:t>upādāya</w:t>
      </w:r>
      <w:r w:rsidRPr="00212D57">
        <w:rPr>
          <w:rFonts w:ascii="Times New Roman" w:eastAsia="全真楷書" w:hAnsi="Times New Roman" w:cs="Times New Roman"/>
          <w:sz w:val="22"/>
          <w:szCs w:val="22"/>
        </w:rPr>
        <w:t xml:space="preserve"> </w:t>
      </w:r>
      <w:r w:rsidRPr="00761EF3">
        <w:rPr>
          <w:rFonts w:ascii="Times New Roman" w:eastAsia="全真楷書" w:hAnsi="Times New Roman" w:cs="Times New Roman"/>
          <w:sz w:val="22"/>
          <w:szCs w:val="22"/>
        </w:rPr>
        <w:t>pratipat</w:t>
      </w:r>
      <w:r w:rsidRPr="00212D57">
        <w:rPr>
          <w:rFonts w:ascii="Times New Roman" w:eastAsia="全真楷書" w:hAnsi="Times New Roman" w:cs="Times New Roman"/>
          <w:sz w:val="22"/>
          <w:szCs w:val="22"/>
        </w:rPr>
        <w:t xml:space="preserve"> </w:t>
      </w:r>
      <w:r w:rsidRPr="00761EF3">
        <w:rPr>
          <w:rFonts w:ascii="Times New Roman" w:eastAsia="全真楷書" w:hAnsi="Times New Roman" w:cs="Times New Roman"/>
          <w:sz w:val="22"/>
          <w:szCs w:val="22"/>
        </w:rPr>
        <w:t>saiva</w:t>
      </w:r>
      <w:r w:rsidRPr="00212D57">
        <w:rPr>
          <w:rFonts w:ascii="Times New Roman" w:eastAsia="全真楷書" w:hAnsi="Times New Roman" w:cs="Times New Roman"/>
          <w:sz w:val="22"/>
          <w:szCs w:val="22"/>
        </w:rPr>
        <w:t xml:space="preserve"> </w:t>
      </w:r>
      <w:r w:rsidRPr="00761EF3">
        <w:rPr>
          <w:rFonts w:ascii="Times New Roman" w:eastAsia="全真楷書" w:hAnsi="Times New Roman" w:cs="Times New Roman"/>
          <w:sz w:val="22"/>
          <w:szCs w:val="22"/>
        </w:rPr>
        <w:t>madhyamā</w:t>
      </w:r>
      <w:r w:rsidRPr="00212D57">
        <w:rPr>
          <w:rFonts w:ascii="Times New Roman" w:eastAsia="全真楷書" w:hAnsi="Times New Roman" w:cs="Times New Roman"/>
          <w:sz w:val="22"/>
          <w:szCs w:val="22"/>
        </w:rPr>
        <w:t xml:space="preserve"> // [</w:t>
      </w:r>
      <w:r w:rsidRPr="00761EF3">
        <w:rPr>
          <w:rFonts w:ascii="Times New Roman" w:eastAsia="全真楷書" w:hAnsi="Times New Roman" w:cs="Times New Roman"/>
          <w:sz w:val="22"/>
          <w:szCs w:val="22"/>
        </w:rPr>
        <w:t>503</w:t>
      </w:r>
      <w:r w:rsidRPr="00212D57">
        <w:rPr>
          <w:rFonts w:ascii="Times New Roman" w:eastAsia="全真楷書" w:hAnsi="Times New Roman" w:cs="Times New Roman"/>
          <w:sz w:val="22"/>
          <w:szCs w:val="22"/>
        </w:rPr>
        <w:t>-</w:t>
      </w:r>
      <w:r w:rsidRPr="00761EF3">
        <w:rPr>
          <w:rFonts w:ascii="Times New Roman" w:eastAsia="全真楷書" w:hAnsi="Times New Roman" w:cs="Times New Roman"/>
          <w:sz w:val="22"/>
          <w:szCs w:val="22"/>
        </w:rPr>
        <w:t>11</w:t>
      </w:r>
      <w:r w:rsidRPr="00212D57">
        <w:rPr>
          <w:rFonts w:ascii="Times New Roman" w:eastAsia="全真楷書" w:hAnsi="Times New Roman" w:cs="Times New Roman"/>
          <w:sz w:val="22"/>
          <w:szCs w:val="22"/>
        </w:rPr>
        <w:t>]</w:t>
      </w:r>
    </w:p>
    <w:p w:rsidR="00157EF6" w:rsidRPr="00212D57" w:rsidRDefault="00157EF6" w:rsidP="00CF31DE">
      <w:pPr>
        <w:pStyle w:val="af"/>
        <w:snapToGrid w:val="0"/>
        <w:ind w:leftChars="305" w:left="732"/>
        <w:jc w:val="both"/>
        <w:rPr>
          <w:rFonts w:ascii="Times New Roman" w:hAnsi="Times New Roman" w:cs="Times New Roman"/>
          <w:sz w:val="22"/>
          <w:szCs w:val="22"/>
        </w:rPr>
      </w:pPr>
      <w:r w:rsidRPr="00212D57">
        <w:rPr>
          <w:rFonts w:ascii="Times New Roman" w:eastAsia="新細明體" w:hAnsi="Times New Roman" w:cs="Times New Roman" w:hint="eastAsia"/>
          <w:sz w:val="22"/>
          <w:szCs w:val="22"/>
        </w:rPr>
        <w:t>（</w:t>
      </w:r>
      <w:r w:rsidRPr="00761EF3">
        <w:rPr>
          <w:rFonts w:ascii="Times New Roman" w:hAnsi="Times New Roman" w:cs="Times New Roman"/>
          <w:sz w:val="22"/>
          <w:szCs w:val="22"/>
        </w:rPr>
        <w:t>Poussin</w:t>
      </w:r>
      <w:r w:rsidRPr="00212D57">
        <w:rPr>
          <w:rFonts w:ascii="Times New Roman" w:hAnsi="Times New Roman" w:cs="Times New Roman"/>
          <w:sz w:val="22"/>
          <w:szCs w:val="22"/>
        </w:rPr>
        <w:t xml:space="preserve">: </w:t>
      </w:r>
      <w:r w:rsidRPr="00761EF3">
        <w:rPr>
          <w:rFonts w:ascii="Times New Roman" w:hAnsi="Times New Roman" w:cs="Times New Roman"/>
          <w:i/>
          <w:sz w:val="22"/>
          <w:szCs w:val="22"/>
        </w:rPr>
        <w:t>Mūlamadhyamakakārikās</w:t>
      </w:r>
      <w:r w:rsidRPr="00212D57">
        <w:rPr>
          <w:rFonts w:ascii="Times New Roman" w:hAnsi="Times New Roman" w:cs="Times New Roman"/>
          <w:i/>
          <w:sz w:val="22"/>
          <w:szCs w:val="22"/>
        </w:rPr>
        <w:t xml:space="preserve"> </w:t>
      </w:r>
      <w:r w:rsidRPr="00212D57">
        <w:rPr>
          <w:rFonts w:ascii="Times New Roman" w:hAnsi="Times New Roman" w:cs="Times New Roman" w:hint="eastAsia"/>
          <w:i/>
          <w:sz w:val="22"/>
          <w:szCs w:val="22"/>
        </w:rPr>
        <w:t>（</w:t>
      </w:r>
      <w:r w:rsidRPr="00761EF3">
        <w:rPr>
          <w:rFonts w:ascii="Times New Roman" w:hAnsi="Times New Roman" w:cs="Times New Roman"/>
          <w:i/>
          <w:sz w:val="22"/>
          <w:szCs w:val="22"/>
        </w:rPr>
        <w:t>Mādhyamikasūtras</w:t>
      </w:r>
      <w:r w:rsidRPr="00212D57">
        <w:rPr>
          <w:rFonts w:ascii="Times New Roman" w:hAnsi="Times New Roman" w:cs="Times New Roman"/>
          <w:i/>
          <w:sz w:val="22"/>
          <w:szCs w:val="22"/>
        </w:rPr>
        <w:t xml:space="preserve">) </w:t>
      </w:r>
      <w:r w:rsidRPr="00761EF3">
        <w:rPr>
          <w:rFonts w:ascii="Times New Roman" w:hAnsi="Times New Roman" w:cs="Times New Roman"/>
          <w:i/>
          <w:sz w:val="22"/>
          <w:szCs w:val="22"/>
        </w:rPr>
        <w:t>de</w:t>
      </w:r>
      <w:r w:rsidRPr="00212D57">
        <w:rPr>
          <w:rFonts w:ascii="Times New Roman" w:hAnsi="Times New Roman" w:cs="Times New Roman"/>
          <w:i/>
          <w:sz w:val="22"/>
          <w:szCs w:val="22"/>
        </w:rPr>
        <w:t xml:space="preserve"> </w:t>
      </w:r>
      <w:r w:rsidRPr="00761EF3">
        <w:rPr>
          <w:rFonts w:ascii="Times New Roman" w:hAnsi="Times New Roman" w:cs="Times New Roman"/>
          <w:i/>
          <w:sz w:val="22"/>
          <w:szCs w:val="22"/>
        </w:rPr>
        <w:t>Nāgārjuna</w:t>
      </w:r>
      <w:r w:rsidRPr="00212D57">
        <w:rPr>
          <w:rFonts w:ascii="Times New Roman" w:hAnsi="Times New Roman" w:cs="Times New Roman"/>
          <w:i/>
          <w:sz w:val="22"/>
          <w:szCs w:val="22"/>
        </w:rPr>
        <w:t xml:space="preserve">. </w:t>
      </w:r>
      <w:r w:rsidRPr="00761EF3">
        <w:rPr>
          <w:rFonts w:ascii="Times New Roman" w:hAnsi="Times New Roman" w:cs="Times New Roman"/>
          <w:i/>
          <w:sz w:val="22"/>
          <w:szCs w:val="22"/>
        </w:rPr>
        <w:t>avec</w:t>
      </w:r>
      <w:r w:rsidRPr="00212D57">
        <w:rPr>
          <w:rFonts w:ascii="Times New Roman" w:hAnsi="Times New Roman" w:cs="Times New Roman"/>
          <w:i/>
          <w:sz w:val="22"/>
          <w:szCs w:val="22"/>
        </w:rPr>
        <w:t xml:space="preserve"> </w:t>
      </w:r>
      <w:r w:rsidRPr="00761EF3">
        <w:rPr>
          <w:rFonts w:ascii="Times New Roman" w:hAnsi="Times New Roman" w:cs="Times New Roman"/>
          <w:i/>
          <w:sz w:val="22"/>
          <w:szCs w:val="22"/>
        </w:rPr>
        <w:t>la</w:t>
      </w:r>
      <w:r w:rsidRPr="00212D57">
        <w:rPr>
          <w:rFonts w:ascii="Times New Roman" w:hAnsi="Times New Roman" w:cs="Times New Roman"/>
          <w:i/>
          <w:sz w:val="22"/>
          <w:szCs w:val="22"/>
        </w:rPr>
        <w:t xml:space="preserve"> </w:t>
      </w:r>
      <w:r w:rsidRPr="00761EF3">
        <w:rPr>
          <w:rFonts w:ascii="Times New Roman" w:hAnsi="Times New Roman" w:cs="Times New Roman"/>
          <w:i/>
          <w:sz w:val="22"/>
          <w:szCs w:val="22"/>
        </w:rPr>
        <w:t>Prasannapadā</w:t>
      </w:r>
      <w:r w:rsidRPr="00212D57">
        <w:rPr>
          <w:rFonts w:ascii="Times New Roman" w:hAnsi="Times New Roman" w:cs="Times New Roman"/>
          <w:i/>
          <w:sz w:val="22"/>
          <w:szCs w:val="22"/>
        </w:rPr>
        <w:t xml:space="preserve"> </w:t>
      </w:r>
      <w:r w:rsidRPr="00761EF3">
        <w:rPr>
          <w:rFonts w:ascii="Times New Roman" w:hAnsi="Times New Roman" w:cs="Times New Roman"/>
          <w:i/>
          <w:sz w:val="22"/>
          <w:szCs w:val="22"/>
        </w:rPr>
        <w:t>Commentaire</w:t>
      </w:r>
      <w:r w:rsidRPr="00212D57">
        <w:rPr>
          <w:rFonts w:ascii="Times New Roman" w:hAnsi="Times New Roman" w:cs="Times New Roman"/>
          <w:i/>
          <w:sz w:val="22"/>
          <w:szCs w:val="22"/>
        </w:rPr>
        <w:t xml:space="preserve"> </w:t>
      </w:r>
      <w:r w:rsidRPr="00761EF3">
        <w:rPr>
          <w:rFonts w:ascii="Times New Roman" w:hAnsi="Times New Roman" w:cs="Times New Roman"/>
          <w:i/>
          <w:sz w:val="22"/>
          <w:szCs w:val="22"/>
        </w:rPr>
        <w:t>de</w:t>
      </w:r>
      <w:r w:rsidRPr="00212D57">
        <w:rPr>
          <w:rFonts w:ascii="Times New Roman" w:hAnsi="Times New Roman" w:cs="Times New Roman"/>
          <w:i/>
          <w:sz w:val="22"/>
          <w:szCs w:val="22"/>
        </w:rPr>
        <w:t xml:space="preserve"> </w:t>
      </w:r>
      <w:r w:rsidRPr="00761EF3">
        <w:rPr>
          <w:rFonts w:ascii="Times New Roman" w:hAnsi="Times New Roman" w:cs="Times New Roman"/>
          <w:i/>
          <w:sz w:val="22"/>
          <w:szCs w:val="22"/>
        </w:rPr>
        <w:t>Candrak</w:t>
      </w:r>
      <w:r w:rsidRPr="00761EF3">
        <w:rPr>
          <w:rFonts w:ascii="Times New Roman" w:eastAsia="全真楷書" w:hAnsi="Times New Roman" w:cs="Times New Roman"/>
          <w:i/>
          <w:sz w:val="22"/>
          <w:szCs w:val="22"/>
        </w:rPr>
        <w:t>ī</w:t>
      </w:r>
      <w:r w:rsidRPr="00761EF3">
        <w:rPr>
          <w:rFonts w:ascii="Times New Roman" w:hAnsi="Times New Roman" w:cs="Times New Roman"/>
          <w:i/>
          <w:sz w:val="22"/>
          <w:szCs w:val="22"/>
        </w:rPr>
        <w:t>rti</w:t>
      </w:r>
      <w:r w:rsidRPr="00212D57">
        <w:rPr>
          <w:rFonts w:ascii="Times New Roman" w:hAnsi="Times New Roman" w:cs="Times New Roman"/>
          <w:sz w:val="22"/>
          <w:szCs w:val="22"/>
        </w:rPr>
        <w:t xml:space="preserve">, </w:t>
      </w:r>
      <w:r w:rsidRPr="00761EF3">
        <w:rPr>
          <w:rFonts w:ascii="Times New Roman" w:hAnsi="Times New Roman" w:cs="Times New Roman"/>
          <w:sz w:val="22"/>
          <w:szCs w:val="22"/>
        </w:rPr>
        <w:t>Bibliotheca</w:t>
      </w:r>
      <w:r w:rsidRPr="00212D57">
        <w:rPr>
          <w:rFonts w:ascii="Times New Roman" w:hAnsi="Times New Roman" w:cs="Times New Roman"/>
          <w:sz w:val="22"/>
          <w:szCs w:val="22"/>
        </w:rPr>
        <w:t xml:space="preserve"> </w:t>
      </w:r>
      <w:r w:rsidRPr="00761EF3">
        <w:rPr>
          <w:rFonts w:ascii="Times New Roman" w:hAnsi="Times New Roman" w:cs="Times New Roman"/>
          <w:sz w:val="22"/>
          <w:szCs w:val="22"/>
        </w:rPr>
        <w:t>Buddhica</w:t>
      </w:r>
      <w:r w:rsidRPr="00212D57">
        <w:rPr>
          <w:rFonts w:ascii="Times New Roman" w:hAnsi="Times New Roman" w:cs="Times New Roman"/>
          <w:sz w:val="22"/>
          <w:szCs w:val="22"/>
        </w:rPr>
        <w:t xml:space="preserve"> </w:t>
      </w:r>
      <w:r w:rsidRPr="00212D57">
        <w:rPr>
          <w:rFonts w:ascii="新細明體" w:eastAsia="新細明體" w:hAnsi="新細明體" w:cs="新細明體" w:hint="eastAsia"/>
          <w:sz w:val="22"/>
          <w:szCs w:val="22"/>
        </w:rPr>
        <w:t>Ⅳ</w:t>
      </w:r>
      <w:r w:rsidRPr="00212D57">
        <w:rPr>
          <w:rFonts w:ascii="Times New Roman" w:hAnsi="Times New Roman" w:cs="Times New Roman"/>
          <w:sz w:val="22"/>
          <w:szCs w:val="22"/>
        </w:rPr>
        <w:t xml:space="preserve">. </w:t>
      </w:r>
      <w:r w:rsidRPr="00761EF3">
        <w:rPr>
          <w:rFonts w:ascii="Times New Roman" w:hAnsi="Times New Roman" w:cs="Times New Roman"/>
          <w:sz w:val="22"/>
          <w:szCs w:val="22"/>
        </w:rPr>
        <w:t>St</w:t>
      </w:r>
      <w:r w:rsidRPr="00212D57">
        <w:rPr>
          <w:rFonts w:ascii="Times New Roman" w:hAnsi="Times New Roman" w:cs="Times New Roman"/>
          <w:sz w:val="22"/>
          <w:szCs w:val="22"/>
        </w:rPr>
        <w:t xml:space="preserve">. </w:t>
      </w:r>
      <w:r w:rsidRPr="00761EF3">
        <w:rPr>
          <w:rFonts w:ascii="Times New Roman" w:hAnsi="Times New Roman" w:cs="Times New Roman"/>
          <w:sz w:val="22"/>
          <w:szCs w:val="22"/>
        </w:rPr>
        <w:t>Petersbourg</w:t>
      </w:r>
      <w:r w:rsidRPr="00212D57">
        <w:rPr>
          <w:rFonts w:ascii="Times New Roman" w:hAnsi="Times New Roman" w:cs="Times New Roman"/>
          <w:sz w:val="22"/>
          <w:szCs w:val="22"/>
        </w:rPr>
        <w:t xml:space="preserve">, </w:t>
      </w:r>
      <w:r w:rsidRPr="00761EF3">
        <w:rPr>
          <w:rFonts w:ascii="Times New Roman" w:hAnsi="Times New Roman" w:cs="Times New Roman"/>
          <w:sz w:val="22"/>
          <w:szCs w:val="22"/>
        </w:rPr>
        <w:t>1903</w:t>
      </w:r>
      <w:r w:rsidRPr="00212D57">
        <w:rPr>
          <w:rFonts w:ascii="Times New Roman" w:hAnsi="Times New Roman" w:cs="Times New Roman"/>
          <w:sz w:val="22"/>
          <w:szCs w:val="22"/>
        </w:rPr>
        <w:t>-</w:t>
      </w:r>
      <w:r w:rsidRPr="00761EF3">
        <w:rPr>
          <w:rFonts w:ascii="Times New Roman" w:hAnsi="Times New Roman" w:cs="Times New Roman"/>
          <w:sz w:val="22"/>
          <w:szCs w:val="22"/>
        </w:rPr>
        <w:t>1913</w:t>
      </w:r>
      <w:r w:rsidRPr="00212D57">
        <w:rPr>
          <w:rFonts w:ascii="Times New Roman" w:hAnsi="Times New Roman" w:cs="Times New Roman"/>
          <w:sz w:val="22"/>
          <w:szCs w:val="22"/>
        </w:rPr>
        <w:t xml:space="preserve">. </w:t>
      </w:r>
      <w:r w:rsidRPr="00761EF3">
        <w:rPr>
          <w:rFonts w:ascii="Times New Roman" w:hAnsi="Times New Roman" w:cs="Times New Roman"/>
          <w:sz w:val="22"/>
          <w:szCs w:val="22"/>
        </w:rPr>
        <w:t>reprint</w:t>
      </w:r>
      <w:r w:rsidRPr="00212D57">
        <w:rPr>
          <w:rFonts w:ascii="Times New Roman" w:hAnsi="Times New Roman" w:cs="Times New Roman"/>
          <w:sz w:val="22"/>
          <w:szCs w:val="22"/>
        </w:rPr>
        <w:t xml:space="preserve">. </w:t>
      </w:r>
      <w:r w:rsidRPr="00761EF3">
        <w:rPr>
          <w:rFonts w:ascii="Times New Roman" w:hAnsi="Times New Roman" w:cs="Times New Roman"/>
          <w:sz w:val="22"/>
          <w:szCs w:val="22"/>
        </w:rPr>
        <w:t>Tokyo</w:t>
      </w:r>
      <w:r w:rsidRPr="00212D57">
        <w:rPr>
          <w:rFonts w:ascii="Times New Roman" w:hAnsi="Times New Roman" w:cs="Times New Roman" w:hint="eastAsia"/>
          <w:sz w:val="22"/>
          <w:szCs w:val="22"/>
        </w:rPr>
        <w:t>，名著普及會，</w:t>
      </w:r>
      <w:r w:rsidRPr="00761EF3">
        <w:rPr>
          <w:rFonts w:ascii="Times New Roman" w:hAnsi="Times New Roman" w:cs="Times New Roman"/>
          <w:sz w:val="22"/>
          <w:szCs w:val="22"/>
        </w:rPr>
        <w:t>1977</w:t>
      </w:r>
      <w:r w:rsidRPr="00212D57">
        <w:rPr>
          <w:rFonts w:ascii="Times New Roman" w:hAnsi="Times New Roman" w:cs="Times New Roman" w:hint="eastAsia"/>
          <w:sz w:val="22"/>
          <w:szCs w:val="22"/>
        </w:rPr>
        <w:t>。）</w:t>
      </w:r>
    </w:p>
    <w:p w:rsidR="00157EF6" w:rsidRPr="00212D57" w:rsidRDefault="00157EF6" w:rsidP="00CF31DE">
      <w:pPr>
        <w:pStyle w:val="a5"/>
        <w:ind w:leftChars="80" w:left="731" w:hangingChars="245" w:hanging="539"/>
        <w:jc w:val="both"/>
        <w:rPr>
          <w:szCs w:val="22"/>
        </w:rPr>
      </w:pPr>
      <w:r w:rsidRPr="00212D57">
        <w:rPr>
          <w:rFonts w:hint="eastAsia"/>
          <w:szCs w:val="22"/>
        </w:rPr>
        <w:t>（</w:t>
      </w:r>
      <w:r w:rsidRPr="00761EF3">
        <w:rPr>
          <w:szCs w:val="22"/>
        </w:rPr>
        <w:t>3</w:t>
      </w:r>
      <w:r w:rsidRPr="00212D57">
        <w:rPr>
          <w:rFonts w:hint="eastAsia"/>
          <w:szCs w:val="22"/>
        </w:rPr>
        <w:t>）萬金川，《中觀思想講錄》，</w:t>
      </w:r>
      <w:r w:rsidRPr="00761EF3">
        <w:rPr>
          <w:szCs w:val="22"/>
        </w:rPr>
        <w:t>p</w:t>
      </w:r>
      <w:r w:rsidRPr="00212D57">
        <w:rPr>
          <w:szCs w:val="22"/>
        </w:rPr>
        <w:t>.</w:t>
      </w:r>
      <w:r w:rsidRPr="00761EF3">
        <w:rPr>
          <w:szCs w:val="22"/>
        </w:rPr>
        <w:t>144</w:t>
      </w:r>
      <w:r w:rsidRPr="00212D57">
        <w:rPr>
          <w:rFonts w:hint="eastAsia"/>
          <w:szCs w:val="22"/>
        </w:rPr>
        <w:t>：</w:t>
      </w:r>
    </w:p>
    <w:p w:rsidR="00157EF6" w:rsidRPr="00212D57" w:rsidRDefault="00157EF6" w:rsidP="007A2FAB">
      <w:pPr>
        <w:pStyle w:val="a5"/>
        <w:ind w:leftChars="305" w:left="732"/>
        <w:jc w:val="both"/>
        <w:rPr>
          <w:szCs w:val="22"/>
        </w:rPr>
      </w:pPr>
      <w:r w:rsidRPr="00212D57">
        <w:rPr>
          <w:rFonts w:eastAsia="標楷體" w:hint="eastAsia"/>
          <w:szCs w:val="22"/>
        </w:rPr>
        <w:t>從梵文原詩頌的的語法結構來看，「假名」與「中道」這兩個概念並不是直指「緣起」，而是就「空性」來說的。在什公的漢譯裡，我們似乎只能看到「眾因緣生法」這個主語，而「空、假、中」三者是用來論謂此一主語的。但從梵文的語法結構來看，「假、中」兩者所論謂的乃是「空性」而非「眾因緣生法」，因此整首詩頌字面上的意思是說：「</w:t>
      </w:r>
      <w:r w:rsidRPr="00212D57">
        <w:rPr>
          <w:rFonts w:eastAsia="標楷體" w:hint="eastAsia"/>
          <w:b/>
          <w:szCs w:val="22"/>
        </w:rPr>
        <w:t>空性」是我們用來描述「緣起法」的，而「空性」乃是「假名」，也是「中道</w:t>
      </w:r>
      <w:r w:rsidRPr="00212D57">
        <w:rPr>
          <w:rFonts w:eastAsia="標楷體" w:hint="eastAsia"/>
          <w:szCs w:val="22"/>
        </w:rPr>
        <w:t>」。</w:t>
      </w:r>
    </w:p>
  </w:footnote>
  <w:footnote w:id="65">
    <w:p w:rsidR="00157EF6" w:rsidRPr="00212D57" w:rsidRDefault="00157EF6" w:rsidP="00807D20">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szCs w:val="22"/>
        </w:rPr>
        <w:t>1</w:t>
      </w:r>
      <w:r w:rsidRPr="00212D57">
        <w:rPr>
          <w:rFonts w:hint="eastAsia"/>
          <w:szCs w:val="22"/>
        </w:rPr>
        <w:t>）《中論》卷</w:t>
      </w:r>
      <w:r w:rsidRPr="00761EF3">
        <w:rPr>
          <w:szCs w:val="22"/>
        </w:rPr>
        <w:t>1</w:t>
      </w:r>
      <w:r w:rsidRPr="00212D57">
        <w:rPr>
          <w:rFonts w:hint="eastAsia"/>
          <w:szCs w:val="22"/>
        </w:rPr>
        <w:t>〈</w:t>
      </w:r>
      <w:r w:rsidRPr="00761EF3">
        <w:rPr>
          <w:szCs w:val="22"/>
        </w:rPr>
        <w:t>1</w:t>
      </w:r>
      <w:r w:rsidRPr="00212D57">
        <w:rPr>
          <w:szCs w:val="22"/>
        </w:rPr>
        <w:t xml:space="preserve"> </w:t>
      </w:r>
      <w:r w:rsidRPr="00212D57">
        <w:rPr>
          <w:rFonts w:hint="eastAsia"/>
          <w:szCs w:val="22"/>
        </w:rPr>
        <w:t>觀因緣品〉（大正</w:t>
      </w:r>
      <w:r w:rsidRPr="00761EF3">
        <w:rPr>
          <w:szCs w:val="22"/>
        </w:rPr>
        <w:t>30</w:t>
      </w:r>
      <w:r w:rsidRPr="00212D57">
        <w:rPr>
          <w:rFonts w:hint="eastAsia"/>
          <w:szCs w:val="22"/>
        </w:rPr>
        <w:t>，</w:t>
      </w:r>
      <w:r w:rsidRPr="00761EF3">
        <w:rPr>
          <w:szCs w:val="22"/>
        </w:rPr>
        <w:t>1c8</w:t>
      </w:r>
      <w:r w:rsidRPr="00212D57">
        <w:rPr>
          <w:szCs w:val="22"/>
        </w:rPr>
        <w:t>-</w:t>
      </w:r>
      <w:r w:rsidRPr="00761EF3">
        <w:rPr>
          <w:szCs w:val="22"/>
        </w:rPr>
        <w:t>11</w:t>
      </w:r>
      <w:r w:rsidRPr="00212D57">
        <w:rPr>
          <w:rFonts w:hint="eastAsia"/>
          <w:szCs w:val="22"/>
        </w:rPr>
        <w:t>）。</w:t>
      </w:r>
    </w:p>
    <w:p w:rsidR="00157EF6" w:rsidRPr="00212D57" w:rsidRDefault="00157EF6" w:rsidP="00807D20">
      <w:pPr>
        <w:pStyle w:val="a5"/>
        <w:ind w:leftChars="105" w:left="791" w:hangingChars="245" w:hanging="539"/>
        <w:jc w:val="both"/>
        <w:rPr>
          <w:szCs w:val="22"/>
        </w:rPr>
      </w:pPr>
      <w:r w:rsidRPr="00212D57">
        <w:rPr>
          <w:rFonts w:hint="eastAsia"/>
          <w:szCs w:val="22"/>
        </w:rPr>
        <w:t>（</w:t>
      </w:r>
      <w:r w:rsidRPr="00761EF3">
        <w:rPr>
          <w:szCs w:val="22"/>
        </w:rPr>
        <w:t>2</w:t>
      </w:r>
      <w:r w:rsidRPr="00212D57">
        <w:rPr>
          <w:rFonts w:hint="eastAsia"/>
          <w:szCs w:val="22"/>
        </w:rPr>
        <w:t>）</w:t>
      </w:r>
      <w:r w:rsidRPr="00212D57">
        <w:rPr>
          <w:rStyle w:val="byline"/>
          <w:rFonts w:hAnsi="新細明體" w:hint="eastAsia"/>
          <w:color w:val="auto"/>
          <w:sz w:val="22"/>
          <w:szCs w:val="22"/>
        </w:rPr>
        <w:t>萬金川</w:t>
      </w:r>
      <w:r w:rsidRPr="00212D57">
        <w:rPr>
          <w:rFonts w:hint="eastAsia"/>
          <w:szCs w:val="22"/>
        </w:rPr>
        <w:t>，《中觀思想講錄》，</w:t>
      </w:r>
      <w:r w:rsidRPr="00761EF3">
        <w:rPr>
          <w:szCs w:val="22"/>
        </w:rPr>
        <w:t>p</w:t>
      </w:r>
      <w:r w:rsidRPr="00212D57">
        <w:rPr>
          <w:szCs w:val="22"/>
        </w:rPr>
        <w:t>.</w:t>
      </w:r>
      <w:r w:rsidRPr="00761EF3">
        <w:rPr>
          <w:szCs w:val="22"/>
        </w:rPr>
        <w:t>75</w:t>
      </w:r>
      <w:r w:rsidRPr="00212D57">
        <w:rPr>
          <w:rFonts w:hint="eastAsia"/>
          <w:szCs w:val="22"/>
        </w:rPr>
        <w:t>：</w:t>
      </w:r>
    </w:p>
    <w:p w:rsidR="00157EF6" w:rsidRPr="00212D57" w:rsidRDefault="00157EF6" w:rsidP="007A2FAB">
      <w:pPr>
        <w:pStyle w:val="a5"/>
        <w:ind w:leftChars="335" w:left="804"/>
        <w:jc w:val="both"/>
        <w:rPr>
          <w:szCs w:val="22"/>
        </w:rPr>
      </w:pPr>
      <w:r w:rsidRPr="00212D57">
        <w:rPr>
          <w:rFonts w:eastAsia="標楷體" w:hint="eastAsia"/>
          <w:szCs w:val="22"/>
        </w:rPr>
        <w:t>圓滿的覺悟者宣說「緣起」，是不生、不滅、不常、不斷、不一、不異、不來、不去、戲論止息而寂靜安穩的，我向這位說法中的至尊行禮致敬。</w:t>
      </w:r>
    </w:p>
  </w:footnote>
  <w:footnote w:id="66">
    <w:p w:rsidR="00157EF6" w:rsidRPr="00212D57" w:rsidRDefault="00157EF6" w:rsidP="00807D20">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rFonts w:hint="eastAsia"/>
          <w:szCs w:val="22"/>
        </w:rPr>
        <w:t>宗極：</w:t>
      </w:r>
      <w:r w:rsidRPr="00761EF3">
        <w:rPr>
          <w:szCs w:val="22"/>
        </w:rPr>
        <w:t>1</w:t>
      </w:r>
      <w:r w:rsidRPr="00212D57">
        <w:rPr>
          <w:szCs w:val="22"/>
        </w:rPr>
        <w:t>.</w:t>
      </w:r>
      <w:r w:rsidRPr="00212D57">
        <w:rPr>
          <w:rFonts w:hint="eastAsia"/>
          <w:szCs w:val="22"/>
        </w:rPr>
        <w:t>至高無上。</w:t>
      </w:r>
      <w:r w:rsidRPr="00761EF3">
        <w:rPr>
          <w:szCs w:val="22"/>
        </w:rPr>
        <w:t>2</w:t>
      </w:r>
      <w:r w:rsidRPr="00212D57">
        <w:rPr>
          <w:szCs w:val="22"/>
        </w:rPr>
        <w:t>.</w:t>
      </w:r>
      <w:r w:rsidRPr="00212D57">
        <w:rPr>
          <w:rFonts w:hint="eastAsia"/>
          <w:szCs w:val="22"/>
        </w:rPr>
        <w:t>引申指至理，根源。（《漢語大詞典》（三），</w:t>
      </w:r>
      <w:r w:rsidRPr="00761EF3">
        <w:rPr>
          <w:szCs w:val="22"/>
        </w:rPr>
        <w:t>p</w:t>
      </w:r>
      <w:r w:rsidRPr="00212D57">
        <w:rPr>
          <w:szCs w:val="22"/>
        </w:rPr>
        <w:t>.</w:t>
      </w:r>
      <w:r w:rsidRPr="00761EF3">
        <w:rPr>
          <w:szCs w:val="22"/>
        </w:rPr>
        <w:t>1356</w:t>
      </w:r>
      <w:r w:rsidRPr="00212D57">
        <w:rPr>
          <w:rFonts w:hint="eastAsia"/>
          <w:szCs w:val="22"/>
        </w:rPr>
        <w:t>）</w:t>
      </w:r>
    </w:p>
  </w:footnote>
  <w:footnote w:id="67">
    <w:p w:rsidR="00157EF6" w:rsidRPr="00212D57" w:rsidRDefault="00157EF6" w:rsidP="00807D20">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rFonts w:hint="eastAsia"/>
          <w:szCs w:val="22"/>
        </w:rPr>
        <w:t>「</w:t>
      </w:r>
      <w:r w:rsidRPr="00212D57">
        <w:rPr>
          <w:rFonts w:hint="eastAsia"/>
          <w:b/>
          <w:szCs w:val="22"/>
        </w:rPr>
        <w:t>觀</w:t>
      </w:r>
      <w:r w:rsidRPr="00212D57">
        <w:rPr>
          <w:rFonts w:hint="eastAsia"/>
          <w:szCs w:val="22"/>
        </w:rPr>
        <w:t>因緣品第一」之梵文為「</w:t>
      </w:r>
      <w:r w:rsidRPr="00761EF3">
        <w:rPr>
          <w:rFonts w:eastAsia="Roman Unicode"/>
          <w:szCs w:val="22"/>
          <w:lang w:eastAsia="ja-JP"/>
        </w:rPr>
        <w:t>pratyaya</w:t>
      </w:r>
      <w:r w:rsidRPr="00761EF3">
        <w:rPr>
          <w:rFonts w:eastAsia="Roman Unicode"/>
          <w:b/>
          <w:szCs w:val="22"/>
          <w:lang w:eastAsia="ja-JP"/>
        </w:rPr>
        <w:t>parīkṣā</w:t>
      </w:r>
      <w:r w:rsidRPr="00212D57">
        <w:rPr>
          <w:szCs w:val="22"/>
          <w:lang w:eastAsia="ja-JP"/>
        </w:rPr>
        <w:t xml:space="preserve">  </w:t>
      </w:r>
      <w:r w:rsidRPr="00761EF3">
        <w:rPr>
          <w:rFonts w:eastAsia="Roman Unicode"/>
          <w:szCs w:val="22"/>
          <w:lang w:eastAsia="ja-JP"/>
        </w:rPr>
        <w:t>nāma</w:t>
      </w:r>
      <w:r w:rsidRPr="00212D57">
        <w:rPr>
          <w:szCs w:val="22"/>
          <w:lang w:eastAsia="ja-JP"/>
        </w:rPr>
        <w:t xml:space="preserve">  </w:t>
      </w:r>
      <w:r w:rsidRPr="00761EF3">
        <w:rPr>
          <w:rFonts w:eastAsia="Roman Unicode"/>
          <w:szCs w:val="22"/>
          <w:lang w:eastAsia="ja-JP"/>
        </w:rPr>
        <w:t>prathamaṃ</w:t>
      </w:r>
      <w:r w:rsidRPr="00212D57">
        <w:rPr>
          <w:szCs w:val="22"/>
          <w:lang w:eastAsia="ja-JP"/>
        </w:rPr>
        <w:t xml:space="preserve">  </w:t>
      </w:r>
      <w:r w:rsidRPr="00761EF3">
        <w:rPr>
          <w:rFonts w:eastAsia="Roman Unicode"/>
          <w:szCs w:val="22"/>
          <w:lang w:eastAsia="ja-JP"/>
        </w:rPr>
        <w:t>prakaraṇam</w:t>
      </w:r>
      <w:r w:rsidRPr="00212D57">
        <w:rPr>
          <w:szCs w:val="22"/>
        </w:rPr>
        <w:t>」，其中的「</w:t>
      </w:r>
      <w:r w:rsidRPr="00761EF3">
        <w:rPr>
          <w:rFonts w:eastAsia="Roman Unicode"/>
          <w:b/>
          <w:szCs w:val="22"/>
          <w:lang w:eastAsia="ja-JP"/>
        </w:rPr>
        <w:t>parīkṣā</w:t>
      </w:r>
      <w:r w:rsidRPr="00212D57">
        <w:rPr>
          <w:szCs w:val="22"/>
        </w:rPr>
        <w:t>」有「觀察、思擇、考察」等意。</w:t>
      </w:r>
    </w:p>
  </w:footnote>
  <w:footnote w:id="68">
    <w:p w:rsidR="00157EF6" w:rsidRPr="00212D57" w:rsidRDefault="00157EF6" w:rsidP="00807D20">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szCs w:val="22"/>
        </w:rPr>
        <w:t>1</w:t>
      </w:r>
      <w:r w:rsidRPr="00212D57">
        <w:rPr>
          <w:rFonts w:hint="eastAsia"/>
          <w:szCs w:val="22"/>
        </w:rPr>
        <w:t>）水野弘元著，惠敏法師譯，《佛教教理研究》，</w:t>
      </w:r>
      <w:r w:rsidRPr="00761EF3">
        <w:rPr>
          <w:szCs w:val="22"/>
        </w:rPr>
        <w:t>pp</w:t>
      </w:r>
      <w:r w:rsidRPr="00212D57">
        <w:rPr>
          <w:szCs w:val="22"/>
        </w:rPr>
        <w:t>.</w:t>
      </w:r>
      <w:r w:rsidRPr="00761EF3">
        <w:rPr>
          <w:szCs w:val="22"/>
        </w:rPr>
        <w:t>186</w:t>
      </w:r>
      <w:r w:rsidRPr="00212D57">
        <w:rPr>
          <w:szCs w:val="22"/>
        </w:rPr>
        <w:t>-</w:t>
      </w:r>
      <w:r w:rsidRPr="00761EF3">
        <w:rPr>
          <w:szCs w:val="22"/>
        </w:rPr>
        <w:t>187</w:t>
      </w:r>
      <w:r w:rsidRPr="00212D57">
        <w:rPr>
          <w:rFonts w:hint="eastAsia"/>
          <w:szCs w:val="22"/>
        </w:rPr>
        <w:t>。</w:t>
      </w:r>
    </w:p>
    <w:p w:rsidR="00157EF6" w:rsidRPr="00212D57" w:rsidRDefault="00157EF6" w:rsidP="007A2FAB">
      <w:pPr>
        <w:pStyle w:val="a5"/>
        <w:ind w:leftChars="335" w:left="804"/>
        <w:jc w:val="both"/>
        <w:rPr>
          <w:szCs w:val="22"/>
        </w:rPr>
      </w:pPr>
      <w:r w:rsidRPr="00212D57">
        <w:rPr>
          <w:rFonts w:eastAsia="標楷體" w:hint="eastAsia"/>
          <w:szCs w:val="22"/>
        </w:rPr>
        <w:t>現觀的原文是</w:t>
      </w:r>
      <w:r w:rsidRPr="00212D57">
        <w:rPr>
          <w:szCs w:val="22"/>
        </w:rPr>
        <w:t>“</w:t>
      </w:r>
      <w:r w:rsidRPr="00761EF3">
        <w:rPr>
          <w:rFonts w:eastAsia="Roman Unicode"/>
          <w:szCs w:val="22"/>
        </w:rPr>
        <w:t>abhisamaya</w:t>
      </w:r>
      <w:r w:rsidRPr="00212D57">
        <w:rPr>
          <w:szCs w:val="22"/>
        </w:rPr>
        <w:t>”</w:t>
      </w:r>
      <w:r w:rsidRPr="00212D57">
        <w:rPr>
          <w:rFonts w:eastAsia="標楷體" w:hint="eastAsia"/>
          <w:szCs w:val="22"/>
        </w:rPr>
        <w:t>，它是由</w:t>
      </w:r>
      <w:r w:rsidRPr="00212D57">
        <w:rPr>
          <w:szCs w:val="22"/>
        </w:rPr>
        <w:t>“</w:t>
      </w:r>
      <w:r w:rsidRPr="00761EF3">
        <w:rPr>
          <w:rFonts w:eastAsia="Roman Unicode"/>
          <w:szCs w:val="22"/>
        </w:rPr>
        <w:t>abhisam</w:t>
      </w:r>
      <w:r w:rsidRPr="00212D57">
        <w:rPr>
          <w:szCs w:val="22"/>
        </w:rPr>
        <w:t>-</w:t>
      </w:r>
      <w:r w:rsidRPr="00761EF3">
        <w:rPr>
          <w:rFonts w:eastAsia="Roman Unicode"/>
          <w:szCs w:val="22"/>
        </w:rPr>
        <w:t>i</w:t>
      </w:r>
      <w:r w:rsidRPr="00212D57">
        <w:rPr>
          <w:szCs w:val="22"/>
        </w:rPr>
        <w:t>”</w:t>
      </w:r>
      <w:r w:rsidRPr="00212D57">
        <w:rPr>
          <w:rFonts w:eastAsia="標楷體" w:hint="eastAsia"/>
          <w:szCs w:val="22"/>
        </w:rPr>
        <w:t>所成，動詞是</w:t>
      </w:r>
      <w:r w:rsidRPr="00212D57">
        <w:rPr>
          <w:szCs w:val="22"/>
        </w:rPr>
        <w:t>“</w:t>
      </w:r>
      <w:r w:rsidRPr="00761EF3">
        <w:rPr>
          <w:rFonts w:eastAsia="Roman Unicode"/>
          <w:szCs w:val="22"/>
        </w:rPr>
        <w:t>abhisameti</w:t>
      </w:r>
      <w:r w:rsidRPr="00212D57">
        <w:rPr>
          <w:szCs w:val="22"/>
        </w:rPr>
        <w:t>”</w:t>
      </w:r>
      <w:r w:rsidRPr="00212D57">
        <w:rPr>
          <w:rFonts w:hint="eastAsia"/>
          <w:szCs w:val="22"/>
        </w:rPr>
        <w:t>，</w:t>
      </w:r>
      <w:r w:rsidRPr="00212D57">
        <w:rPr>
          <w:rFonts w:eastAsia="標楷體" w:hint="eastAsia"/>
          <w:szCs w:val="22"/>
        </w:rPr>
        <w:t>名詞是</w:t>
      </w:r>
      <w:r w:rsidRPr="00212D57">
        <w:rPr>
          <w:rFonts w:eastAsia="標楷體"/>
          <w:szCs w:val="22"/>
        </w:rPr>
        <w:t xml:space="preserve"> </w:t>
      </w:r>
      <w:r w:rsidRPr="00212D57">
        <w:rPr>
          <w:szCs w:val="22"/>
        </w:rPr>
        <w:t>“</w:t>
      </w:r>
      <w:r w:rsidRPr="00761EF3">
        <w:rPr>
          <w:rFonts w:eastAsia="Roman Unicode"/>
          <w:szCs w:val="22"/>
        </w:rPr>
        <w:t>abhisamaya</w:t>
      </w:r>
      <w:r w:rsidRPr="00212D57">
        <w:rPr>
          <w:szCs w:val="22"/>
        </w:rPr>
        <w:t>”</w:t>
      </w:r>
      <w:r w:rsidRPr="00212D57">
        <w:rPr>
          <w:rFonts w:eastAsia="標楷體" w:hint="eastAsia"/>
          <w:szCs w:val="22"/>
        </w:rPr>
        <w:t>。根據</w:t>
      </w:r>
      <w:r w:rsidRPr="00761EF3">
        <w:rPr>
          <w:rFonts w:eastAsia="Roman Unicode"/>
          <w:szCs w:val="22"/>
        </w:rPr>
        <w:t>P</w:t>
      </w:r>
      <w:r w:rsidRPr="00212D57">
        <w:rPr>
          <w:rFonts w:eastAsia="標楷體"/>
          <w:szCs w:val="22"/>
        </w:rPr>
        <w:t>.</w:t>
      </w:r>
      <w:r w:rsidRPr="00761EF3">
        <w:rPr>
          <w:rFonts w:eastAsia="Roman Unicode"/>
          <w:szCs w:val="22"/>
        </w:rPr>
        <w:t>T</w:t>
      </w:r>
      <w:r w:rsidRPr="00212D57">
        <w:rPr>
          <w:rFonts w:eastAsia="標楷體"/>
          <w:szCs w:val="22"/>
        </w:rPr>
        <w:t>.</w:t>
      </w:r>
      <w:r w:rsidRPr="00761EF3">
        <w:rPr>
          <w:rFonts w:eastAsia="Roman Unicode"/>
          <w:szCs w:val="22"/>
        </w:rPr>
        <w:t>S</w:t>
      </w:r>
      <w:r w:rsidRPr="00212D57">
        <w:rPr>
          <w:rFonts w:eastAsia="標楷體"/>
          <w:szCs w:val="22"/>
        </w:rPr>
        <w:t xml:space="preserve">. </w:t>
      </w:r>
      <w:r w:rsidRPr="00212D57">
        <w:rPr>
          <w:rFonts w:eastAsia="標楷體" w:hint="eastAsia"/>
          <w:szCs w:val="22"/>
        </w:rPr>
        <w:t>的《巴利辭典》，此語的意思是「完全地理解」、「洞見」、「了解」、「實解」、「明確地理解」、「徹見」等，此語的複合語，在巴利語中有</w:t>
      </w:r>
      <w:r w:rsidRPr="00212D57">
        <w:rPr>
          <w:szCs w:val="22"/>
        </w:rPr>
        <w:t>“</w:t>
      </w:r>
      <w:r w:rsidRPr="00761EF3">
        <w:rPr>
          <w:rFonts w:eastAsia="Roman Unicode"/>
          <w:szCs w:val="22"/>
        </w:rPr>
        <w:t>dhamma</w:t>
      </w:r>
      <w:r w:rsidRPr="00212D57">
        <w:rPr>
          <w:szCs w:val="22"/>
        </w:rPr>
        <w:t>-</w:t>
      </w:r>
      <w:r w:rsidRPr="00761EF3">
        <w:rPr>
          <w:rFonts w:eastAsia="Roman Unicode"/>
          <w:szCs w:val="22"/>
        </w:rPr>
        <w:t>abhisamaya</w:t>
      </w:r>
      <w:r w:rsidRPr="00212D57">
        <w:rPr>
          <w:szCs w:val="22"/>
        </w:rPr>
        <w:t>”</w:t>
      </w:r>
      <w:r w:rsidRPr="00212D57">
        <w:rPr>
          <w:rFonts w:eastAsia="標楷體" w:hint="eastAsia"/>
          <w:szCs w:val="22"/>
        </w:rPr>
        <w:t>（法現觀）、</w:t>
      </w:r>
      <w:r w:rsidRPr="00212D57">
        <w:rPr>
          <w:szCs w:val="22"/>
        </w:rPr>
        <w:t>“</w:t>
      </w:r>
      <w:r w:rsidRPr="00761EF3">
        <w:rPr>
          <w:rFonts w:eastAsia="Roman Unicode"/>
          <w:szCs w:val="22"/>
        </w:rPr>
        <w:t>aṭṭḥa</w:t>
      </w:r>
      <w:r w:rsidRPr="00212D57">
        <w:rPr>
          <w:szCs w:val="22"/>
        </w:rPr>
        <w:t>-</w:t>
      </w:r>
      <w:r w:rsidRPr="00761EF3">
        <w:rPr>
          <w:rFonts w:eastAsia="Roman Unicode"/>
          <w:szCs w:val="22"/>
        </w:rPr>
        <w:t>abhisamaya</w:t>
      </w:r>
      <w:r w:rsidRPr="00212D57">
        <w:rPr>
          <w:szCs w:val="22"/>
        </w:rPr>
        <w:t>”</w:t>
      </w:r>
      <w:r w:rsidRPr="00212D57">
        <w:rPr>
          <w:rFonts w:eastAsia="標楷體" w:hint="eastAsia"/>
          <w:szCs w:val="22"/>
        </w:rPr>
        <w:t>（義現觀）、</w:t>
      </w:r>
      <w:r w:rsidRPr="00212D57">
        <w:rPr>
          <w:szCs w:val="22"/>
        </w:rPr>
        <w:t>“</w:t>
      </w:r>
      <w:r w:rsidRPr="00761EF3">
        <w:rPr>
          <w:rFonts w:eastAsia="Roman Unicode"/>
          <w:szCs w:val="22"/>
        </w:rPr>
        <w:t>sacca</w:t>
      </w:r>
      <w:r w:rsidRPr="00212D57">
        <w:rPr>
          <w:szCs w:val="22"/>
        </w:rPr>
        <w:t>-</w:t>
      </w:r>
      <w:r w:rsidRPr="00761EF3">
        <w:rPr>
          <w:rFonts w:eastAsia="Roman Unicode"/>
          <w:szCs w:val="22"/>
        </w:rPr>
        <w:t>abhisamaya</w:t>
      </w:r>
      <w:r w:rsidRPr="00212D57">
        <w:rPr>
          <w:szCs w:val="22"/>
        </w:rPr>
        <w:t>”</w:t>
      </w:r>
      <w:r w:rsidRPr="00212D57">
        <w:rPr>
          <w:rFonts w:eastAsia="標楷體" w:hint="eastAsia"/>
          <w:szCs w:val="22"/>
        </w:rPr>
        <w:t>（諦現觀）</w:t>
      </w:r>
      <w:r w:rsidRPr="00212D57">
        <w:rPr>
          <w:rFonts w:hint="eastAsia"/>
          <w:szCs w:val="22"/>
        </w:rPr>
        <w:t>、</w:t>
      </w:r>
      <w:r w:rsidRPr="00212D57">
        <w:rPr>
          <w:szCs w:val="22"/>
        </w:rPr>
        <w:t>“</w:t>
      </w:r>
      <w:r w:rsidRPr="00761EF3">
        <w:rPr>
          <w:rFonts w:eastAsia="Roman Unicode"/>
          <w:szCs w:val="22"/>
        </w:rPr>
        <w:t>catusacca</w:t>
      </w:r>
      <w:r w:rsidRPr="00212D57">
        <w:rPr>
          <w:szCs w:val="22"/>
        </w:rPr>
        <w:t>-</w:t>
      </w:r>
      <w:r w:rsidRPr="00761EF3">
        <w:rPr>
          <w:rFonts w:eastAsia="Roman Unicode"/>
          <w:szCs w:val="22"/>
        </w:rPr>
        <w:t>abhisamaya</w:t>
      </w:r>
      <w:r w:rsidRPr="00212D57">
        <w:rPr>
          <w:szCs w:val="22"/>
        </w:rPr>
        <w:t>”</w:t>
      </w:r>
      <w:r w:rsidRPr="00212D57">
        <w:rPr>
          <w:rFonts w:eastAsia="標楷體" w:hint="eastAsia"/>
          <w:szCs w:val="22"/>
        </w:rPr>
        <w:t>（四諦現觀）、</w:t>
      </w:r>
      <w:r w:rsidRPr="00212D57">
        <w:rPr>
          <w:szCs w:val="22"/>
        </w:rPr>
        <w:t>“</w:t>
      </w:r>
      <w:r w:rsidRPr="00761EF3">
        <w:rPr>
          <w:rFonts w:eastAsia="Roman Unicode"/>
          <w:szCs w:val="22"/>
        </w:rPr>
        <w:t>ariya</w:t>
      </w:r>
      <w:r w:rsidRPr="00212D57">
        <w:rPr>
          <w:szCs w:val="22"/>
        </w:rPr>
        <w:t>-</w:t>
      </w:r>
      <w:r w:rsidRPr="00761EF3">
        <w:rPr>
          <w:rFonts w:eastAsia="Roman Unicode"/>
          <w:szCs w:val="22"/>
        </w:rPr>
        <w:t>saccānam</w:t>
      </w:r>
      <w:r w:rsidRPr="00212D57">
        <w:rPr>
          <w:szCs w:val="22"/>
        </w:rPr>
        <w:t xml:space="preserve"> </w:t>
      </w:r>
      <w:r w:rsidRPr="00761EF3">
        <w:rPr>
          <w:rFonts w:eastAsia="Roman Unicode"/>
          <w:szCs w:val="22"/>
        </w:rPr>
        <w:t>abhisamaya</w:t>
      </w:r>
      <w:r w:rsidRPr="00212D57">
        <w:rPr>
          <w:szCs w:val="22"/>
        </w:rPr>
        <w:t>”</w:t>
      </w:r>
      <w:r w:rsidRPr="00212D57">
        <w:rPr>
          <w:rFonts w:eastAsia="標楷體" w:hint="eastAsia"/>
          <w:szCs w:val="22"/>
        </w:rPr>
        <w:t>（諸聖諦之現觀）等。</w:t>
      </w:r>
      <w:r w:rsidRPr="00212D57">
        <w:rPr>
          <w:rFonts w:ascii="標楷體" w:eastAsia="標楷體" w:hAnsi="標楷體" w:hint="eastAsia"/>
          <w:szCs w:val="22"/>
        </w:rPr>
        <w:t>……</w:t>
      </w:r>
      <w:r w:rsidRPr="00212D57">
        <w:rPr>
          <w:rFonts w:eastAsia="標楷體" w:hint="eastAsia"/>
          <w:szCs w:val="22"/>
        </w:rPr>
        <w:t>根據前述之複合語，現觀的內容包括法（真理）、義、四諦等，表示正確地、理論性地正確理解，徹見社會人生的真理、意義。現觀一詞是玄奘的新譯，漢譯阿含經中則是舊譯「無間等」。無間等之譯語，或許是無間</w:t>
      </w:r>
      <w:r w:rsidRPr="00212D57">
        <w:rPr>
          <w:rFonts w:hint="eastAsia"/>
          <w:szCs w:val="22"/>
        </w:rPr>
        <w:t>（</w:t>
      </w:r>
      <w:r w:rsidRPr="00761EF3">
        <w:rPr>
          <w:rFonts w:eastAsia="Roman Unicode"/>
          <w:szCs w:val="22"/>
        </w:rPr>
        <w:t>abhi</w:t>
      </w:r>
      <w:r w:rsidRPr="00212D57">
        <w:rPr>
          <w:rFonts w:hint="eastAsia"/>
          <w:szCs w:val="22"/>
        </w:rPr>
        <w:t>）</w:t>
      </w:r>
      <w:r w:rsidRPr="00212D57">
        <w:rPr>
          <w:rFonts w:eastAsia="標楷體" w:hint="eastAsia"/>
          <w:szCs w:val="22"/>
        </w:rPr>
        <w:t>等</w:t>
      </w:r>
      <w:r w:rsidRPr="00212D57">
        <w:rPr>
          <w:rFonts w:hint="eastAsia"/>
          <w:szCs w:val="22"/>
        </w:rPr>
        <w:t>（</w:t>
      </w:r>
      <w:r w:rsidRPr="00761EF3">
        <w:rPr>
          <w:rFonts w:eastAsia="Roman Unicode"/>
          <w:szCs w:val="22"/>
        </w:rPr>
        <w:t>samaya</w:t>
      </w:r>
      <w:r w:rsidRPr="00212D57">
        <w:rPr>
          <w:szCs w:val="22"/>
        </w:rPr>
        <w:t>）</w:t>
      </w:r>
      <w:r w:rsidRPr="00212D57">
        <w:rPr>
          <w:rFonts w:hint="eastAsia"/>
          <w:szCs w:val="22"/>
        </w:rPr>
        <w:t>。</w:t>
      </w:r>
    </w:p>
    <w:p w:rsidR="00157EF6" w:rsidRPr="00212D57" w:rsidRDefault="00157EF6" w:rsidP="00807D20">
      <w:pPr>
        <w:pStyle w:val="a5"/>
        <w:ind w:leftChars="105" w:left="791" w:hangingChars="245" w:hanging="539"/>
        <w:jc w:val="both"/>
        <w:rPr>
          <w:szCs w:val="22"/>
        </w:rPr>
      </w:pPr>
      <w:r w:rsidRPr="00212D57">
        <w:rPr>
          <w:rFonts w:hint="eastAsia"/>
          <w:szCs w:val="22"/>
        </w:rPr>
        <w:t>（</w:t>
      </w:r>
      <w:r w:rsidRPr="00761EF3">
        <w:rPr>
          <w:szCs w:val="22"/>
        </w:rPr>
        <w:t>2</w:t>
      </w:r>
      <w:r w:rsidRPr="00212D57">
        <w:rPr>
          <w:rFonts w:hint="eastAsia"/>
          <w:szCs w:val="22"/>
        </w:rPr>
        <w:t>）印順法師，《中觀論頌講記》，</w:t>
      </w:r>
      <w:r w:rsidRPr="00761EF3">
        <w:rPr>
          <w:szCs w:val="22"/>
        </w:rPr>
        <w:t>p</w:t>
      </w:r>
      <w:r w:rsidRPr="00212D57">
        <w:rPr>
          <w:szCs w:val="22"/>
        </w:rPr>
        <w:t>.</w:t>
      </w:r>
      <w:r w:rsidRPr="00761EF3">
        <w:rPr>
          <w:szCs w:val="22"/>
        </w:rPr>
        <w:t>309</w:t>
      </w:r>
      <w:r w:rsidRPr="00212D57">
        <w:rPr>
          <w:rFonts w:hint="eastAsia"/>
          <w:szCs w:val="22"/>
        </w:rPr>
        <w:t>：</w:t>
      </w:r>
    </w:p>
    <w:p w:rsidR="00157EF6" w:rsidRPr="00212D57" w:rsidRDefault="00157EF6" w:rsidP="007A2FAB">
      <w:pPr>
        <w:pStyle w:val="a5"/>
        <w:ind w:leftChars="335" w:left="804"/>
        <w:jc w:val="both"/>
        <w:rPr>
          <w:szCs w:val="22"/>
        </w:rPr>
      </w:pPr>
      <w:r w:rsidRPr="00212D57">
        <w:rPr>
          <w:rFonts w:eastAsia="標楷體" w:hint="eastAsia"/>
          <w:szCs w:val="22"/>
        </w:rPr>
        <w:t>現觀是超越能所的認識關係而冥證的直觀；近於一般人所說的神秘經驗。</w:t>
      </w:r>
    </w:p>
  </w:footnote>
  <w:footnote w:id="69">
    <w:p w:rsidR="00157EF6" w:rsidRPr="00212D57" w:rsidRDefault="00157EF6" w:rsidP="00807D20">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rFonts w:hint="eastAsia"/>
          <w:szCs w:val="22"/>
        </w:rPr>
        <w:t>中國所傳之大乘八宗派：律宗、三論宗、淨土宗、禪宗、天台宗、華嚴宗、法相宗、密宗。日本佛教界所傳，即華嚴、法相、三論、成實、俱舍、律等南都（奈良）六宗，以及天台、真言之北京（平安）二宗。（《佛光大辭典》（一），</w:t>
      </w:r>
      <w:r w:rsidRPr="00761EF3">
        <w:rPr>
          <w:szCs w:val="22"/>
        </w:rPr>
        <w:t>p</w:t>
      </w:r>
      <w:r w:rsidRPr="00212D57">
        <w:rPr>
          <w:szCs w:val="22"/>
        </w:rPr>
        <w:t>.</w:t>
      </w:r>
      <w:r w:rsidRPr="00761EF3">
        <w:rPr>
          <w:szCs w:val="22"/>
        </w:rPr>
        <w:t>285</w:t>
      </w:r>
      <w:r w:rsidRPr="00212D57">
        <w:rPr>
          <w:rFonts w:hint="eastAsia"/>
          <w:szCs w:val="22"/>
        </w:rPr>
        <w:t>）</w:t>
      </w:r>
    </w:p>
  </w:footnote>
  <w:footnote w:id="70">
    <w:p w:rsidR="00157EF6" w:rsidRPr="00212D57" w:rsidRDefault="00157EF6" w:rsidP="00807D20">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rFonts w:hint="eastAsia"/>
          <w:szCs w:val="22"/>
        </w:rPr>
        <w:t>案：「靜命」即「寂護」。參見如</w:t>
      </w:r>
      <w:r w:rsidR="00F75349">
        <w:rPr>
          <w:rFonts w:hint="eastAsia"/>
          <w:szCs w:val="22"/>
        </w:rPr>
        <w:t>：</w:t>
      </w:r>
      <w:r w:rsidRPr="00212D57">
        <w:rPr>
          <w:rFonts w:hint="eastAsia"/>
          <w:szCs w:val="22"/>
        </w:rPr>
        <w:t>印順法師，《印度佛教思想史》，</w:t>
      </w:r>
      <w:r w:rsidRPr="00761EF3">
        <w:rPr>
          <w:szCs w:val="22"/>
        </w:rPr>
        <w:t>p</w:t>
      </w:r>
      <w:r w:rsidRPr="00212D57">
        <w:rPr>
          <w:szCs w:val="22"/>
        </w:rPr>
        <w:t>.</w:t>
      </w:r>
      <w:r w:rsidRPr="00761EF3">
        <w:rPr>
          <w:szCs w:val="22"/>
        </w:rPr>
        <w:t>376</w:t>
      </w:r>
      <w:r w:rsidRPr="00212D57">
        <w:rPr>
          <w:rFonts w:hint="eastAsia"/>
          <w:szCs w:val="22"/>
        </w:rPr>
        <w:t>：「</w:t>
      </w:r>
      <w:r w:rsidRPr="00F75349">
        <w:rPr>
          <w:rFonts w:ascii="標楷體" w:eastAsia="標楷體" w:hAnsi="標楷體" w:hint="eastAsia"/>
          <w:szCs w:val="22"/>
          <w:shd w:val="pct15" w:color="auto" w:fill="FFFFFF"/>
        </w:rPr>
        <w:t>……</w:t>
      </w:r>
      <w:r w:rsidRPr="00212D57">
        <w:rPr>
          <w:rFonts w:eastAsia="標楷體" w:hint="eastAsia"/>
          <w:szCs w:val="22"/>
        </w:rPr>
        <w:t>勉強說綜合中觀與瑜伽的，是</w:t>
      </w:r>
      <w:r w:rsidRPr="00212D57">
        <w:rPr>
          <w:rFonts w:eastAsia="標楷體" w:hint="eastAsia"/>
          <w:b/>
          <w:szCs w:val="22"/>
        </w:rPr>
        <w:t>寂護，或譯靜命</w:t>
      </w:r>
      <w:r w:rsidRPr="00212D57">
        <w:rPr>
          <w:rFonts w:eastAsia="標楷體" w:hint="eastAsia"/>
          <w:szCs w:val="22"/>
        </w:rPr>
        <w:t>（</w:t>
      </w:r>
      <w:r w:rsidRPr="00761EF3">
        <w:rPr>
          <w:rFonts w:eastAsia="MS Mincho"/>
          <w:szCs w:val="22"/>
        </w:rPr>
        <w:t>Śā</w:t>
      </w:r>
      <w:r w:rsidRPr="00761EF3">
        <w:rPr>
          <w:rFonts w:eastAsia="標楷體"/>
          <w:szCs w:val="22"/>
        </w:rPr>
        <w:t>ntirakṣita</w:t>
      </w:r>
      <w:r w:rsidRPr="00212D57">
        <w:rPr>
          <w:rFonts w:eastAsia="標楷體" w:hint="eastAsia"/>
          <w:szCs w:val="22"/>
        </w:rPr>
        <w:t>）系。</w:t>
      </w:r>
      <w:r w:rsidRPr="00212D57">
        <w:rPr>
          <w:rFonts w:hint="eastAsia"/>
          <w:szCs w:val="22"/>
        </w:rPr>
        <w:t>」</w:t>
      </w:r>
    </w:p>
  </w:footnote>
  <w:footnote w:id="71">
    <w:p w:rsidR="00157EF6" w:rsidRPr="00212D57" w:rsidRDefault="00157EF6" w:rsidP="00807D20">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rFonts w:hint="eastAsia"/>
          <w:szCs w:val="22"/>
        </w:rPr>
        <w:t>印順法師，《印度佛教思想史》，</w:t>
      </w:r>
      <w:r w:rsidRPr="00761EF3">
        <w:rPr>
          <w:rFonts w:eastAsia="Roman Unicode"/>
          <w:szCs w:val="22"/>
        </w:rPr>
        <w:t>p</w:t>
      </w:r>
      <w:r w:rsidRPr="00212D57">
        <w:rPr>
          <w:szCs w:val="22"/>
        </w:rPr>
        <w:t>.</w:t>
      </w:r>
      <w:r w:rsidRPr="00761EF3">
        <w:rPr>
          <w:szCs w:val="22"/>
        </w:rPr>
        <w:t>363</w:t>
      </w:r>
      <w:r w:rsidRPr="00212D57">
        <w:rPr>
          <w:rFonts w:hint="eastAsia"/>
          <w:szCs w:val="22"/>
        </w:rPr>
        <w:t>：</w:t>
      </w:r>
    </w:p>
    <w:p w:rsidR="00157EF6" w:rsidRPr="00212D57" w:rsidRDefault="00157EF6" w:rsidP="00807D20">
      <w:pPr>
        <w:snapToGrid w:val="0"/>
        <w:ind w:leftChars="105" w:left="252"/>
        <w:jc w:val="both"/>
        <w:rPr>
          <w:sz w:val="22"/>
          <w:szCs w:val="22"/>
        </w:rPr>
      </w:pPr>
      <w:r w:rsidRPr="00212D57">
        <w:rPr>
          <w:rFonts w:ascii="Times New Roman" w:eastAsia="標楷體" w:hAnsi="Times New Roman" w:hint="eastAsia"/>
          <w:sz w:val="22"/>
          <w:szCs w:val="22"/>
        </w:rPr>
        <w:t>世俗，有覆障的意義。緣起如幻，而在眾生（無明覆障）心境，現起諦實相，如來也就隨世俗而稱之為（世俗）諦。在聖者的心境，緣起如幻，可說「唯世俗」而不再是「諦」了。《中論》青目釋也說：「一切法性空，而世間顛倒故生虛妄法，於世間是實</w:t>
      </w:r>
      <w:r>
        <w:rPr>
          <w:rFonts w:ascii="Times New Roman" w:eastAsia="標楷體" w:hAnsi="Times New Roman" w:hint="eastAsia"/>
          <w:sz w:val="22"/>
          <w:szCs w:val="22"/>
        </w:rPr>
        <w:t>。」</w:t>
      </w:r>
      <w:r w:rsidRPr="00212D57">
        <w:rPr>
          <w:rFonts w:ascii="Times New Roman" w:eastAsia="標楷體" w:hAnsi="Times New Roman" w:hint="eastAsia"/>
          <w:sz w:val="22"/>
          <w:szCs w:val="22"/>
        </w:rPr>
        <w:t>從破他的方法中，發見清辨所說的因緣生法，世俗諦是自相有的，應「自立量」以破他，所以稱為「自續」或「自立量派」（</w:t>
      </w:r>
      <w:r w:rsidRPr="00761EF3">
        <w:rPr>
          <w:rFonts w:ascii="Times New Roman" w:eastAsia="標楷體" w:hAnsi="Times New Roman"/>
          <w:sz w:val="22"/>
          <w:szCs w:val="22"/>
        </w:rPr>
        <w:t>Sv</w:t>
      </w:r>
      <w:r w:rsidRPr="00761EF3">
        <w:rPr>
          <w:rFonts w:ascii="Times New Roman" w:hAnsi="Times New Roman"/>
          <w:sz w:val="22"/>
          <w:szCs w:val="22"/>
        </w:rPr>
        <w:t>ā</w:t>
      </w:r>
      <w:r w:rsidRPr="00761EF3">
        <w:rPr>
          <w:rFonts w:ascii="Times New Roman" w:eastAsia="標楷體" w:hAnsi="Times New Roman"/>
          <w:sz w:val="22"/>
          <w:szCs w:val="22"/>
        </w:rPr>
        <w:t>tantrika</w:t>
      </w:r>
      <w:r w:rsidRPr="00212D57">
        <w:rPr>
          <w:rFonts w:ascii="Times New Roman" w:eastAsia="標楷體" w:hAnsi="Times New Roman" w:hint="eastAsia"/>
          <w:sz w:val="22"/>
          <w:szCs w:val="22"/>
        </w:rPr>
        <w:t>）。佛護與月稱，隨他所說而難破，所以稱為「應成」或「隨應破派」（</w:t>
      </w:r>
      <w:r w:rsidRPr="00761EF3">
        <w:rPr>
          <w:rFonts w:ascii="Times New Roman" w:eastAsia="標楷體" w:hAnsi="Times New Roman"/>
          <w:sz w:val="22"/>
          <w:szCs w:val="22"/>
        </w:rPr>
        <w:t>Pr</w:t>
      </w:r>
      <w:r w:rsidRPr="00761EF3">
        <w:rPr>
          <w:rFonts w:ascii="Times New Roman" w:hAnsi="Times New Roman"/>
          <w:sz w:val="22"/>
          <w:szCs w:val="22"/>
        </w:rPr>
        <w:t>ā</w:t>
      </w:r>
      <w:r w:rsidRPr="00761EF3">
        <w:rPr>
          <w:rFonts w:ascii="Times New Roman" w:eastAsia="標楷體" w:hAnsi="Times New Roman"/>
          <w:sz w:val="22"/>
          <w:szCs w:val="22"/>
        </w:rPr>
        <w:t>saṅgika</w:t>
      </w:r>
      <w:r w:rsidRPr="00212D57">
        <w:rPr>
          <w:rFonts w:ascii="Times New Roman" w:eastAsia="標楷體" w:hAnsi="Times New Roman" w:hint="eastAsia"/>
          <w:sz w:val="22"/>
          <w:szCs w:val="22"/>
        </w:rPr>
        <w:t>）。這是有關勝義的觀察與二諦安立的。</w:t>
      </w:r>
    </w:p>
  </w:footnote>
  <w:footnote w:id="72">
    <w:p w:rsidR="00157EF6" w:rsidRPr="00212D57" w:rsidRDefault="00157EF6" w:rsidP="00807D20">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rFonts w:hint="eastAsia"/>
          <w:szCs w:val="22"/>
        </w:rPr>
        <w:t>參證：參考驗證。（《漢語大詞典》（二），</w:t>
      </w:r>
      <w:r w:rsidRPr="00761EF3">
        <w:rPr>
          <w:szCs w:val="22"/>
        </w:rPr>
        <w:t>p</w:t>
      </w:r>
      <w:r w:rsidRPr="00212D57">
        <w:rPr>
          <w:szCs w:val="22"/>
        </w:rPr>
        <w:t>.</w:t>
      </w:r>
      <w:r w:rsidRPr="00761EF3">
        <w:rPr>
          <w:szCs w:val="22"/>
        </w:rPr>
        <w:t>850</w:t>
      </w:r>
      <w:r w:rsidRPr="00212D57">
        <w:rPr>
          <w:rFonts w:hint="eastAsia"/>
          <w:szCs w:val="22"/>
        </w:rPr>
        <w:t>）</w:t>
      </w:r>
    </w:p>
  </w:footnote>
  <w:footnote w:id="73">
    <w:p w:rsidR="00157EF6" w:rsidRPr="00212D57" w:rsidRDefault="00157EF6" w:rsidP="009E0A5A">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八正道：（</w:t>
      </w:r>
      <w:r w:rsidRPr="00761EF3">
        <w:rPr>
          <w:szCs w:val="22"/>
        </w:rPr>
        <w:t>1</w:t>
      </w:r>
      <w:r w:rsidRPr="00212D57">
        <w:rPr>
          <w:szCs w:val="22"/>
        </w:rPr>
        <w:t>）正見，（</w:t>
      </w:r>
      <w:r w:rsidRPr="00761EF3">
        <w:rPr>
          <w:szCs w:val="22"/>
        </w:rPr>
        <w:t>2</w:t>
      </w:r>
      <w:r w:rsidRPr="00212D57">
        <w:rPr>
          <w:szCs w:val="22"/>
        </w:rPr>
        <w:t>）正思惟，（</w:t>
      </w:r>
      <w:r w:rsidRPr="00761EF3">
        <w:rPr>
          <w:szCs w:val="22"/>
        </w:rPr>
        <w:t>3</w:t>
      </w:r>
      <w:r w:rsidRPr="00212D57">
        <w:rPr>
          <w:szCs w:val="22"/>
        </w:rPr>
        <w:t>）正語，（</w:t>
      </w:r>
      <w:r w:rsidRPr="00761EF3">
        <w:rPr>
          <w:szCs w:val="22"/>
        </w:rPr>
        <w:t>4</w:t>
      </w:r>
      <w:r w:rsidRPr="00212D57">
        <w:rPr>
          <w:szCs w:val="22"/>
        </w:rPr>
        <w:t>）正業，（</w:t>
      </w:r>
      <w:r w:rsidRPr="00761EF3">
        <w:rPr>
          <w:szCs w:val="22"/>
        </w:rPr>
        <w:t>5</w:t>
      </w:r>
      <w:r w:rsidRPr="00212D57">
        <w:rPr>
          <w:szCs w:val="22"/>
        </w:rPr>
        <w:t>）正命，（</w:t>
      </w:r>
      <w:r w:rsidRPr="00761EF3">
        <w:rPr>
          <w:szCs w:val="22"/>
        </w:rPr>
        <w:t>6</w:t>
      </w:r>
      <w:r w:rsidRPr="00212D57">
        <w:rPr>
          <w:szCs w:val="22"/>
        </w:rPr>
        <w:t>）正精進，（</w:t>
      </w:r>
      <w:r w:rsidRPr="00761EF3">
        <w:rPr>
          <w:szCs w:val="22"/>
        </w:rPr>
        <w:t>7</w:t>
      </w:r>
      <w:r w:rsidRPr="00212D57">
        <w:rPr>
          <w:szCs w:val="22"/>
        </w:rPr>
        <w:t>）正念，（</w:t>
      </w:r>
      <w:r w:rsidRPr="00761EF3">
        <w:rPr>
          <w:szCs w:val="22"/>
        </w:rPr>
        <w:t>8</w:t>
      </w:r>
      <w:r w:rsidRPr="00212D57">
        <w:rPr>
          <w:szCs w:val="22"/>
        </w:rPr>
        <w:t>）正定。</w:t>
      </w:r>
    </w:p>
  </w:footnote>
  <w:footnote w:id="74">
    <w:p w:rsidR="00157EF6" w:rsidRPr="00212D57" w:rsidRDefault="00157EF6" w:rsidP="00B23570">
      <w:pPr>
        <w:pStyle w:val="a5"/>
        <w:spacing w:line="0" w:lineRule="atLeast"/>
        <w:ind w:left="726" w:hangingChars="330" w:hanging="726"/>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212D57">
        <w:rPr>
          <w:spacing w:val="4"/>
          <w:szCs w:val="22"/>
        </w:rPr>
        <w:t>參見巴利本</w:t>
      </w:r>
      <w:r w:rsidRPr="00761EF3">
        <w:rPr>
          <w:spacing w:val="4"/>
          <w:szCs w:val="22"/>
        </w:rPr>
        <w:t>SN</w:t>
      </w:r>
      <w:r w:rsidRPr="00212D57">
        <w:rPr>
          <w:spacing w:val="4"/>
          <w:szCs w:val="22"/>
        </w:rPr>
        <w:t>.</w:t>
      </w:r>
      <w:r w:rsidRPr="00212D57">
        <w:rPr>
          <w:rFonts w:hint="eastAsia"/>
          <w:spacing w:val="4"/>
          <w:szCs w:val="22"/>
        </w:rPr>
        <w:t xml:space="preserve"> </w:t>
      </w:r>
      <w:r w:rsidRPr="00761EF3">
        <w:rPr>
          <w:spacing w:val="4"/>
          <w:szCs w:val="22"/>
        </w:rPr>
        <w:t>56</w:t>
      </w:r>
      <w:r w:rsidRPr="00212D57">
        <w:rPr>
          <w:spacing w:val="4"/>
          <w:szCs w:val="22"/>
        </w:rPr>
        <w:t>.</w:t>
      </w:r>
      <w:r w:rsidRPr="00212D57">
        <w:rPr>
          <w:rFonts w:hint="eastAsia"/>
          <w:spacing w:val="4"/>
          <w:szCs w:val="22"/>
        </w:rPr>
        <w:t xml:space="preserve"> </w:t>
      </w:r>
      <w:r w:rsidRPr="00761EF3">
        <w:rPr>
          <w:spacing w:val="4"/>
          <w:szCs w:val="22"/>
        </w:rPr>
        <w:t>11</w:t>
      </w:r>
      <w:r w:rsidRPr="00212D57">
        <w:rPr>
          <w:rFonts w:hint="eastAsia"/>
          <w:spacing w:val="4"/>
          <w:szCs w:val="22"/>
        </w:rPr>
        <w:t>-</w:t>
      </w:r>
      <w:r w:rsidRPr="00761EF3">
        <w:rPr>
          <w:rFonts w:hint="eastAsia"/>
          <w:spacing w:val="4"/>
          <w:szCs w:val="22"/>
        </w:rPr>
        <w:t>12</w:t>
      </w:r>
      <w:r w:rsidRPr="00212D57">
        <w:rPr>
          <w:spacing w:val="4"/>
          <w:szCs w:val="22"/>
        </w:rPr>
        <w:t>，</w:t>
      </w:r>
      <w:r w:rsidRPr="00761EF3">
        <w:rPr>
          <w:spacing w:val="4"/>
          <w:szCs w:val="22"/>
        </w:rPr>
        <w:t>vol</w:t>
      </w:r>
      <w:r w:rsidRPr="00212D57">
        <w:rPr>
          <w:spacing w:val="4"/>
          <w:szCs w:val="22"/>
        </w:rPr>
        <w:t xml:space="preserve">. </w:t>
      </w:r>
      <w:r w:rsidRPr="00761EF3">
        <w:rPr>
          <w:spacing w:val="4"/>
          <w:szCs w:val="22"/>
        </w:rPr>
        <w:t>V</w:t>
      </w:r>
      <w:r w:rsidRPr="00212D57">
        <w:rPr>
          <w:spacing w:val="4"/>
          <w:szCs w:val="22"/>
        </w:rPr>
        <w:t>,</w:t>
      </w:r>
      <w:r w:rsidRPr="00212D57">
        <w:rPr>
          <w:rFonts w:hint="eastAsia"/>
          <w:spacing w:val="4"/>
          <w:szCs w:val="22"/>
        </w:rPr>
        <w:t xml:space="preserve"> </w:t>
      </w:r>
      <w:r w:rsidRPr="00761EF3">
        <w:rPr>
          <w:rFonts w:hint="eastAsia"/>
          <w:spacing w:val="4"/>
          <w:szCs w:val="22"/>
        </w:rPr>
        <w:t>p</w:t>
      </w:r>
      <w:r w:rsidRPr="00761EF3">
        <w:rPr>
          <w:spacing w:val="4"/>
          <w:szCs w:val="22"/>
        </w:rPr>
        <w:t>p</w:t>
      </w:r>
      <w:r w:rsidRPr="00212D57">
        <w:rPr>
          <w:spacing w:val="4"/>
          <w:szCs w:val="22"/>
        </w:rPr>
        <w:t>.</w:t>
      </w:r>
      <w:r w:rsidRPr="00761EF3">
        <w:rPr>
          <w:spacing w:val="4"/>
          <w:szCs w:val="22"/>
        </w:rPr>
        <w:t>421</w:t>
      </w:r>
      <w:r w:rsidRPr="00212D57">
        <w:rPr>
          <w:rFonts w:hint="eastAsia"/>
          <w:spacing w:val="4"/>
          <w:szCs w:val="22"/>
        </w:rPr>
        <w:t>-</w:t>
      </w:r>
      <w:r w:rsidRPr="00761EF3">
        <w:rPr>
          <w:spacing w:val="4"/>
          <w:szCs w:val="22"/>
        </w:rPr>
        <w:t>422</w:t>
      </w:r>
      <w:r w:rsidRPr="00212D57">
        <w:rPr>
          <w:rFonts w:hint="eastAsia"/>
          <w:spacing w:val="4"/>
          <w:szCs w:val="22"/>
        </w:rPr>
        <w:t>；</w:t>
      </w:r>
      <w:r w:rsidRPr="00212D57">
        <w:rPr>
          <w:spacing w:val="4"/>
          <w:szCs w:val="22"/>
        </w:rPr>
        <w:t>《日譯南傳大藏經》《相應部》</w:t>
      </w:r>
      <w:r w:rsidRPr="00212D57">
        <w:rPr>
          <w:szCs w:val="22"/>
        </w:rPr>
        <w:t>〈第</w:t>
      </w:r>
      <w:r w:rsidRPr="00761EF3">
        <w:rPr>
          <w:szCs w:val="22"/>
        </w:rPr>
        <w:t>12</w:t>
      </w:r>
      <w:r w:rsidRPr="00212D57">
        <w:rPr>
          <w:szCs w:val="22"/>
        </w:rPr>
        <w:t>諦相應，第</w:t>
      </w:r>
      <w:r w:rsidRPr="00761EF3">
        <w:rPr>
          <w:szCs w:val="22"/>
        </w:rPr>
        <w:t>2</w:t>
      </w:r>
      <w:r w:rsidRPr="00212D57">
        <w:rPr>
          <w:szCs w:val="22"/>
        </w:rPr>
        <w:t>轉法輪品〉</w:t>
      </w:r>
      <w:r w:rsidRPr="00212D57">
        <w:rPr>
          <w:rFonts w:hint="eastAsia"/>
          <w:szCs w:val="22"/>
        </w:rPr>
        <w:t>，</w:t>
      </w:r>
      <w:r w:rsidRPr="00212D57">
        <w:rPr>
          <w:szCs w:val="22"/>
        </w:rPr>
        <w:t>第</w:t>
      </w:r>
      <w:r w:rsidRPr="00761EF3">
        <w:rPr>
          <w:szCs w:val="22"/>
        </w:rPr>
        <w:t>16</w:t>
      </w:r>
      <w:r w:rsidRPr="00212D57">
        <w:rPr>
          <w:rFonts w:hint="eastAsia"/>
          <w:szCs w:val="22"/>
        </w:rPr>
        <w:t>卷</w:t>
      </w:r>
      <w:r w:rsidRPr="00212D57">
        <w:rPr>
          <w:szCs w:val="22"/>
        </w:rPr>
        <w:t>下，</w:t>
      </w:r>
      <w:r w:rsidRPr="00761EF3">
        <w:rPr>
          <w:rFonts w:hint="eastAsia"/>
          <w:szCs w:val="22"/>
        </w:rPr>
        <w:t>p</w:t>
      </w:r>
      <w:r w:rsidRPr="00761EF3">
        <w:rPr>
          <w:szCs w:val="22"/>
        </w:rPr>
        <w:t>p</w:t>
      </w:r>
      <w:r w:rsidRPr="00212D57">
        <w:rPr>
          <w:szCs w:val="22"/>
        </w:rPr>
        <w:t>.</w:t>
      </w:r>
      <w:r w:rsidRPr="00761EF3">
        <w:rPr>
          <w:szCs w:val="22"/>
        </w:rPr>
        <w:t>339</w:t>
      </w:r>
      <w:r w:rsidRPr="00212D57">
        <w:rPr>
          <w:rFonts w:hint="eastAsia"/>
          <w:szCs w:val="22"/>
        </w:rPr>
        <w:t>-</w:t>
      </w:r>
      <w:r w:rsidRPr="00761EF3">
        <w:rPr>
          <w:szCs w:val="22"/>
        </w:rPr>
        <w:t>340</w:t>
      </w:r>
      <w:r w:rsidRPr="00212D57">
        <w:rPr>
          <w:rFonts w:hint="eastAsia"/>
          <w:szCs w:val="22"/>
        </w:rPr>
        <w:t>；</w:t>
      </w:r>
      <w:r w:rsidRPr="00212D57">
        <w:rPr>
          <w:szCs w:val="22"/>
        </w:rPr>
        <w:t>《漢譯南傳大藏經》《相應部》</w:t>
      </w:r>
      <w:r w:rsidRPr="00212D57">
        <w:rPr>
          <w:rFonts w:hint="eastAsia"/>
          <w:szCs w:val="22"/>
        </w:rPr>
        <w:t>（</w:t>
      </w:r>
      <w:r w:rsidRPr="00212D57">
        <w:rPr>
          <w:szCs w:val="22"/>
        </w:rPr>
        <w:t>六</w:t>
      </w:r>
      <w:r w:rsidRPr="00212D57">
        <w:rPr>
          <w:rFonts w:hint="eastAsia"/>
          <w:szCs w:val="22"/>
        </w:rPr>
        <w:t>）</w:t>
      </w:r>
      <w:r w:rsidRPr="00212D57">
        <w:rPr>
          <w:szCs w:val="22"/>
        </w:rPr>
        <w:t>，第</w:t>
      </w:r>
      <w:r w:rsidRPr="00761EF3">
        <w:rPr>
          <w:szCs w:val="22"/>
        </w:rPr>
        <w:t>18</w:t>
      </w:r>
      <w:r w:rsidRPr="00212D57">
        <w:rPr>
          <w:szCs w:val="22"/>
        </w:rPr>
        <w:t>冊，</w:t>
      </w:r>
      <w:r w:rsidRPr="00761EF3">
        <w:rPr>
          <w:szCs w:val="22"/>
        </w:rPr>
        <w:t>pp</w:t>
      </w:r>
      <w:r w:rsidRPr="00212D57">
        <w:rPr>
          <w:szCs w:val="22"/>
        </w:rPr>
        <w:t>.</w:t>
      </w:r>
      <w:r w:rsidRPr="00761EF3">
        <w:rPr>
          <w:szCs w:val="22"/>
        </w:rPr>
        <w:t>311</w:t>
      </w:r>
      <w:r w:rsidRPr="00212D57">
        <w:rPr>
          <w:szCs w:val="22"/>
        </w:rPr>
        <w:t>-</w:t>
      </w:r>
      <w:r w:rsidRPr="00761EF3">
        <w:rPr>
          <w:szCs w:val="22"/>
        </w:rPr>
        <w:t>312</w:t>
      </w:r>
      <w:r w:rsidRPr="00212D57">
        <w:rPr>
          <w:rFonts w:hint="eastAsia"/>
          <w:szCs w:val="22"/>
        </w:rPr>
        <w:t>；</w:t>
      </w:r>
      <w:r w:rsidRPr="00212D57">
        <w:rPr>
          <w:szCs w:val="22"/>
        </w:rPr>
        <w:t>《</w:t>
      </w:r>
      <w:r w:rsidRPr="00212D57">
        <w:rPr>
          <w:rFonts w:hint="eastAsia"/>
          <w:szCs w:val="22"/>
        </w:rPr>
        <w:t>銅鍱律</w:t>
      </w:r>
      <w:r w:rsidRPr="00212D57">
        <w:rPr>
          <w:szCs w:val="22"/>
        </w:rPr>
        <w:t>》</w:t>
      </w:r>
      <w:r w:rsidRPr="00212D57">
        <w:rPr>
          <w:rFonts w:hint="eastAsia"/>
          <w:szCs w:val="22"/>
        </w:rPr>
        <w:t>（大品）</w:t>
      </w:r>
      <w:r w:rsidRPr="00212D57">
        <w:rPr>
          <w:szCs w:val="22"/>
        </w:rPr>
        <w:t>《日譯南傳大藏經》</w:t>
      </w:r>
      <w:r w:rsidRPr="00212D57">
        <w:rPr>
          <w:rFonts w:hint="eastAsia"/>
          <w:szCs w:val="22"/>
        </w:rPr>
        <w:t>，第</w:t>
      </w:r>
      <w:r w:rsidRPr="00761EF3">
        <w:rPr>
          <w:rFonts w:hint="eastAsia"/>
          <w:szCs w:val="22"/>
        </w:rPr>
        <w:t>3</w:t>
      </w:r>
      <w:r w:rsidRPr="00212D57">
        <w:rPr>
          <w:rFonts w:hint="eastAsia"/>
          <w:szCs w:val="22"/>
        </w:rPr>
        <w:t>卷，</w:t>
      </w:r>
      <w:r w:rsidRPr="00761EF3">
        <w:rPr>
          <w:rFonts w:hint="eastAsia"/>
          <w:szCs w:val="22"/>
        </w:rPr>
        <w:t>pp</w:t>
      </w:r>
      <w:r w:rsidRPr="00212D57">
        <w:rPr>
          <w:rFonts w:hint="eastAsia"/>
          <w:szCs w:val="22"/>
        </w:rPr>
        <w:t>.</w:t>
      </w:r>
      <w:r w:rsidRPr="00761EF3">
        <w:rPr>
          <w:rFonts w:hint="eastAsia"/>
          <w:szCs w:val="22"/>
        </w:rPr>
        <w:t>18</w:t>
      </w:r>
      <w:r w:rsidRPr="00212D57">
        <w:rPr>
          <w:rFonts w:hint="eastAsia"/>
          <w:szCs w:val="22"/>
        </w:rPr>
        <w:t>-</w:t>
      </w:r>
      <w:r w:rsidRPr="00761EF3">
        <w:rPr>
          <w:rFonts w:hint="eastAsia"/>
          <w:szCs w:val="22"/>
        </w:rPr>
        <w:t>19</w:t>
      </w:r>
      <w:r w:rsidRPr="00212D57">
        <w:rPr>
          <w:rFonts w:hint="eastAsia"/>
          <w:szCs w:val="22"/>
        </w:rPr>
        <w:t>。</w:t>
      </w:r>
    </w:p>
    <w:p w:rsidR="00157EF6" w:rsidRPr="00212D57" w:rsidRDefault="00157EF6" w:rsidP="008E68AA">
      <w:pPr>
        <w:pStyle w:val="a5"/>
        <w:ind w:leftChars="80" w:left="73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w:t>
      </w:r>
      <w:r w:rsidRPr="00212D57">
        <w:rPr>
          <w:rFonts w:cs="Times Ext Roman" w:hint="eastAsia"/>
          <w:szCs w:val="22"/>
        </w:rPr>
        <w:t>《轉法輪經》，參見</w:t>
      </w:r>
      <w:r w:rsidRPr="00212D57">
        <w:rPr>
          <w:szCs w:val="22"/>
        </w:rPr>
        <w:t>漢譯《雜阿含經》卷</w:t>
      </w:r>
      <w:r w:rsidRPr="00761EF3">
        <w:rPr>
          <w:szCs w:val="22"/>
        </w:rPr>
        <w:t>15</w:t>
      </w:r>
      <w:r w:rsidRPr="00212D57">
        <w:rPr>
          <w:szCs w:val="22"/>
        </w:rPr>
        <w:t>（</w:t>
      </w:r>
      <w:r w:rsidRPr="00761EF3">
        <w:rPr>
          <w:szCs w:val="22"/>
        </w:rPr>
        <w:t>379</w:t>
      </w:r>
      <w:r w:rsidRPr="00212D57">
        <w:rPr>
          <w:szCs w:val="22"/>
        </w:rPr>
        <w:t>經）《轉法輪經》（大正</w:t>
      </w:r>
      <w:r w:rsidRPr="00761EF3">
        <w:rPr>
          <w:szCs w:val="22"/>
        </w:rPr>
        <w:t>2</w:t>
      </w:r>
      <w:r w:rsidRPr="00212D57">
        <w:rPr>
          <w:szCs w:val="22"/>
        </w:rPr>
        <w:t>，</w:t>
      </w:r>
      <w:r w:rsidRPr="00761EF3">
        <w:rPr>
          <w:szCs w:val="22"/>
        </w:rPr>
        <w:t>103c</w:t>
      </w:r>
      <w:r w:rsidRPr="00212D57">
        <w:rPr>
          <w:rFonts w:hint="eastAsia"/>
          <w:szCs w:val="22"/>
        </w:rPr>
        <w:t>-</w:t>
      </w:r>
      <w:r w:rsidRPr="00761EF3">
        <w:rPr>
          <w:szCs w:val="22"/>
        </w:rPr>
        <w:t>104a</w:t>
      </w:r>
      <w:r w:rsidRPr="00212D57">
        <w:rPr>
          <w:szCs w:val="22"/>
        </w:rPr>
        <w:t>）</w:t>
      </w:r>
      <w:r w:rsidRPr="00212D57">
        <w:rPr>
          <w:rFonts w:hint="eastAsia"/>
          <w:szCs w:val="22"/>
        </w:rPr>
        <w:t>，但此處</w:t>
      </w:r>
      <w:r w:rsidRPr="00212D57">
        <w:rPr>
          <w:szCs w:val="22"/>
        </w:rPr>
        <w:t>沒有與「離苦樂二邊」對應的文句。</w:t>
      </w:r>
    </w:p>
    <w:p w:rsidR="00157EF6" w:rsidRPr="00212D57" w:rsidRDefault="00157EF6" w:rsidP="00B23570">
      <w:pPr>
        <w:pStyle w:val="a5"/>
        <w:ind w:leftChars="80" w:left="709" w:hangingChars="235" w:hanging="517"/>
        <w:jc w:val="both"/>
        <w:rPr>
          <w:szCs w:val="22"/>
        </w:rPr>
      </w:pPr>
      <w:r w:rsidRPr="00212D57">
        <w:rPr>
          <w:rFonts w:hint="eastAsia"/>
          <w:szCs w:val="22"/>
        </w:rPr>
        <w:t>（</w:t>
      </w:r>
      <w:r w:rsidRPr="00761EF3">
        <w:rPr>
          <w:rFonts w:hint="eastAsia"/>
          <w:szCs w:val="22"/>
        </w:rPr>
        <w:t>3</w:t>
      </w:r>
      <w:r w:rsidRPr="00212D57">
        <w:rPr>
          <w:rFonts w:hint="eastAsia"/>
          <w:szCs w:val="22"/>
        </w:rPr>
        <w:t>）參見</w:t>
      </w:r>
      <w:r w:rsidRPr="00212D57">
        <w:rPr>
          <w:szCs w:val="22"/>
        </w:rPr>
        <w:t>《中阿含經》卷</w:t>
      </w:r>
      <w:r w:rsidRPr="00761EF3">
        <w:rPr>
          <w:szCs w:val="22"/>
        </w:rPr>
        <w:t>43</w:t>
      </w:r>
      <w:r w:rsidRPr="00212D57">
        <w:rPr>
          <w:szCs w:val="22"/>
        </w:rPr>
        <w:t>（</w:t>
      </w:r>
      <w:r w:rsidRPr="00761EF3">
        <w:rPr>
          <w:szCs w:val="22"/>
        </w:rPr>
        <w:t>169</w:t>
      </w:r>
      <w:r w:rsidRPr="00212D57">
        <w:rPr>
          <w:szCs w:val="22"/>
        </w:rPr>
        <w:t>經）《拘樓瘦無諍經》</w:t>
      </w:r>
      <w:r w:rsidR="00434424" w:rsidRPr="00212D57">
        <w:rPr>
          <w:szCs w:val="22"/>
        </w:rPr>
        <w:t>（大正</w:t>
      </w:r>
      <w:r w:rsidR="00434424" w:rsidRPr="00761EF3">
        <w:rPr>
          <w:szCs w:val="22"/>
        </w:rPr>
        <w:t>1</w:t>
      </w:r>
      <w:r w:rsidR="00434424" w:rsidRPr="00212D57">
        <w:rPr>
          <w:szCs w:val="22"/>
        </w:rPr>
        <w:t>，</w:t>
      </w:r>
      <w:r w:rsidR="00434424" w:rsidRPr="00761EF3">
        <w:rPr>
          <w:szCs w:val="22"/>
        </w:rPr>
        <w:t>701c11</w:t>
      </w:r>
      <w:r w:rsidR="00434424" w:rsidRPr="00212D57">
        <w:rPr>
          <w:szCs w:val="22"/>
        </w:rPr>
        <w:t>-</w:t>
      </w:r>
      <w:r w:rsidR="00434424" w:rsidRPr="00761EF3">
        <w:rPr>
          <w:szCs w:val="22"/>
        </w:rPr>
        <w:t>17</w:t>
      </w:r>
      <w:r w:rsidR="00434424" w:rsidRPr="00212D57">
        <w:rPr>
          <w:szCs w:val="22"/>
        </w:rPr>
        <w:t>）</w:t>
      </w:r>
      <w:r w:rsidRPr="00212D57">
        <w:rPr>
          <w:szCs w:val="22"/>
        </w:rPr>
        <w:t>：「</w:t>
      </w:r>
      <w:r w:rsidRPr="00212D57">
        <w:rPr>
          <w:rFonts w:ascii="標楷體" w:eastAsia="標楷體" w:hAnsi="標楷體"/>
          <w:szCs w:val="22"/>
        </w:rPr>
        <w:t>莫求欲樂、極下賤業，為凡夫行；亦莫求自身苦行，至苦非聖行，無義相應者</w:t>
      </w:r>
      <w:r w:rsidR="000C79F9">
        <w:rPr>
          <w:rFonts w:ascii="標楷體" w:eastAsia="標楷體" w:hAnsi="標楷體" w:hint="eastAsia"/>
          <w:color w:val="FF0000"/>
          <w:kern w:val="0"/>
          <w:highlight w:val="yellow"/>
        </w:rPr>
        <w:t>。</w:t>
      </w:r>
      <w:r w:rsidRPr="00212D57">
        <w:rPr>
          <w:rFonts w:ascii="標楷體" w:eastAsia="標楷體" w:hAnsi="標楷體"/>
          <w:szCs w:val="22"/>
        </w:rPr>
        <w:t>因此故說</w:t>
      </w:r>
      <w:r w:rsidR="000C79F9">
        <w:rPr>
          <w:rFonts w:ascii="標楷體" w:eastAsia="標楷體" w:hAnsi="標楷體" w:hint="eastAsia"/>
          <w:color w:val="FF0000"/>
          <w:spacing w:val="-4"/>
          <w:kern w:val="0"/>
          <w:highlight w:val="yellow"/>
        </w:rPr>
        <w:t>：</w:t>
      </w:r>
      <w:r w:rsidRPr="00212D57">
        <w:rPr>
          <w:rFonts w:ascii="標楷體" w:eastAsia="標楷體" w:hAnsi="標楷體"/>
          <w:szCs w:val="22"/>
        </w:rPr>
        <w:t>離此二邊，則有中道，成眼</w:t>
      </w:r>
      <w:r w:rsidR="000C79F9">
        <w:rPr>
          <w:rFonts w:ascii="標楷體" w:eastAsia="標楷體" w:hAnsi="標楷體" w:hint="eastAsia"/>
          <w:color w:val="FF0000"/>
          <w:spacing w:val="-4"/>
          <w:kern w:val="0"/>
          <w:highlight w:val="yellow"/>
        </w:rPr>
        <w:t>、</w:t>
      </w:r>
      <w:r w:rsidRPr="00212D57">
        <w:rPr>
          <w:rFonts w:ascii="標楷體" w:eastAsia="標楷體" w:hAnsi="標楷體"/>
          <w:szCs w:val="22"/>
        </w:rPr>
        <w:t>成智，自在成定，趣智、趣覺、趣涅槃者</w:t>
      </w:r>
      <w:r w:rsidR="000C79F9">
        <w:rPr>
          <w:rFonts w:ascii="標楷體" w:eastAsia="標楷體" w:hAnsi="標楷體" w:hint="eastAsia"/>
          <w:color w:val="FF0000"/>
          <w:kern w:val="0"/>
          <w:highlight w:val="yellow"/>
        </w:rPr>
        <w:t>。</w:t>
      </w:r>
      <w:r w:rsidRPr="00212D57">
        <w:rPr>
          <w:rFonts w:ascii="標楷體" w:eastAsia="標楷體" w:hAnsi="標楷體"/>
          <w:szCs w:val="22"/>
        </w:rPr>
        <w:t>此何因說？有聖道八支：正</w:t>
      </w:r>
      <w:r w:rsidRPr="000C79F9">
        <w:rPr>
          <w:rFonts w:ascii="標楷體" w:eastAsia="標楷體" w:hAnsi="標楷體"/>
          <w:szCs w:val="22"/>
          <w:highlight w:val="yellow"/>
        </w:rPr>
        <w:t>見乃</w:t>
      </w:r>
      <w:r w:rsidRPr="00212D57">
        <w:rPr>
          <w:rFonts w:ascii="標楷體" w:eastAsia="標楷體" w:hAnsi="標楷體"/>
          <w:szCs w:val="22"/>
        </w:rPr>
        <w:t>至正定，是謂為八</w:t>
      </w:r>
      <w:r w:rsidR="000C79F9">
        <w:rPr>
          <w:rFonts w:ascii="標楷體" w:eastAsia="標楷體" w:hAnsi="標楷體" w:hint="eastAsia"/>
          <w:color w:val="FF0000"/>
          <w:kern w:val="0"/>
          <w:highlight w:val="yellow"/>
        </w:rPr>
        <w:t>，</w:t>
      </w:r>
      <w:r w:rsidRPr="00212D57">
        <w:rPr>
          <w:rFonts w:ascii="標楷體" w:eastAsia="標楷體" w:hAnsi="標楷體"/>
          <w:szCs w:val="22"/>
        </w:rPr>
        <w:t>離此二邊，則有中道，成眼</w:t>
      </w:r>
      <w:r w:rsidR="000C79F9">
        <w:rPr>
          <w:rFonts w:ascii="標楷體" w:eastAsia="標楷體" w:hAnsi="標楷體" w:hint="eastAsia"/>
          <w:color w:val="FF0000"/>
          <w:spacing w:val="-4"/>
          <w:kern w:val="0"/>
          <w:highlight w:val="yellow"/>
        </w:rPr>
        <w:t>、</w:t>
      </w:r>
      <w:r w:rsidRPr="00212D57">
        <w:rPr>
          <w:rFonts w:ascii="標楷體" w:eastAsia="標楷體" w:hAnsi="標楷體"/>
          <w:szCs w:val="22"/>
        </w:rPr>
        <w:t>成智，自在成定，趣智、趣覺、趣涅槃者，因此故說。</w:t>
      </w:r>
      <w:r w:rsidRPr="00212D57">
        <w:rPr>
          <w:szCs w:val="22"/>
        </w:rPr>
        <w:t>」</w:t>
      </w:r>
    </w:p>
    <w:p w:rsidR="00157EF6" w:rsidRPr="00212D57" w:rsidRDefault="00157EF6" w:rsidP="008E68AA">
      <w:pPr>
        <w:pStyle w:val="a5"/>
        <w:ind w:leftChars="80" w:left="731" w:hangingChars="245" w:hanging="539"/>
        <w:jc w:val="both"/>
        <w:rPr>
          <w:szCs w:val="22"/>
        </w:rPr>
      </w:pPr>
      <w:r w:rsidRPr="00212D57">
        <w:rPr>
          <w:rFonts w:hint="eastAsia"/>
          <w:szCs w:val="22"/>
        </w:rPr>
        <w:t>（</w:t>
      </w:r>
      <w:r w:rsidRPr="00761EF3">
        <w:rPr>
          <w:rFonts w:hint="eastAsia"/>
          <w:szCs w:val="22"/>
        </w:rPr>
        <w:t>4</w:t>
      </w:r>
      <w:r w:rsidRPr="00212D57">
        <w:rPr>
          <w:rFonts w:hint="eastAsia"/>
          <w:szCs w:val="22"/>
        </w:rPr>
        <w:t>）</w:t>
      </w:r>
      <w:r w:rsidRPr="00212D57">
        <w:rPr>
          <w:szCs w:val="22"/>
        </w:rPr>
        <w:t>另參見</w:t>
      </w:r>
      <w:r w:rsidR="000C79F9">
        <w:rPr>
          <w:rFonts w:hint="eastAsia"/>
          <w:szCs w:val="22"/>
        </w:rPr>
        <w:t>：</w:t>
      </w:r>
      <w:r w:rsidRPr="00212D57">
        <w:rPr>
          <w:szCs w:val="22"/>
        </w:rPr>
        <w:t>《增壹阿含經》卷</w:t>
      </w:r>
      <w:r w:rsidRPr="00761EF3">
        <w:rPr>
          <w:szCs w:val="22"/>
        </w:rPr>
        <w:t>10</w:t>
      </w:r>
      <w:r w:rsidRPr="00212D57">
        <w:rPr>
          <w:szCs w:val="22"/>
        </w:rPr>
        <w:t>〈</w:t>
      </w:r>
      <w:r w:rsidRPr="00761EF3">
        <w:rPr>
          <w:szCs w:val="22"/>
        </w:rPr>
        <w:t>19</w:t>
      </w:r>
      <w:r w:rsidRPr="00212D57">
        <w:rPr>
          <w:szCs w:val="22"/>
        </w:rPr>
        <w:t xml:space="preserve"> </w:t>
      </w:r>
      <w:r w:rsidRPr="00212D57">
        <w:rPr>
          <w:szCs w:val="22"/>
        </w:rPr>
        <w:t>勸請品〉（</w:t>
      </w:r>
      <w:r w:rsidRPr="00761EF3">
        <w:rPr>
          <w:szCs w:val="22"/>
        </w:rPr>
        <w:t>2</w:t>
      </w:r>
      <w:r w:rsidRPr="00212D57">
        <w:rPr>
          <w:szCs w:val="22"/>
        </w:rPr>
        <w:t>經）（大正</w:t>
      </w:r>
      <w:r w:rsidRPr="00761EF3">
        <w:rPr>
          <w:szCs w:val="22"/>
        </w:rPr>
        <w:t>2</w:t>
      </w:r>
      <w:r w:rsidRPr="00212D57">
        <w:rPr>
          <w:szCs w:val="22"/>
        </w:rPr>
        <w:t>，</w:t>
      </w:r>
      <w:r w:rsidRPr="00761EF3">
        <w:rPr>
          <w:szCs w:val="22"/>
        </w:rPr>
        <w:t>593b24</w:t>
      </w:r>
      <w:r w:rsidRPr="00212D57">
        <w:rPr>
          <w:szCs w:val="22"/>
        </w:rPr>
        <w:t>-</w:t>
      </w:r>
      <w:r w:rsidRPr="00761EF3">
        <w:rPr>
          <w:szCs w:val="22"/>
        </w:rPr>
        <w:t>c10</w:t>
      </w:r>
      <w:r w:rsidRPr="00212D57">
        <w:rPr>
          <w:szCs w:val="22"/>
        </w:rPr>
        <w:t>）</w:t>
      </w:r>
      <w:r w:rsidRPr="00212D57">
        <w:rPr>
          <w:rFonts w:hint="eastAsia"/>
          <w:szCs w:val="22"/>
        </w:rPr>
        <w:t>；</w:t>
      </w:r>
      <w:r w:rsidRPr="00212D57">
        <w:rPr>
          <w:szCs w:val="22"/>
        </w:rPr>
        <w:t>《</w:t>
      </w:r>
      <w:r w:rsidRPr="00212D57">
        <w:rPr>
          <w:rFonts w:hint="eastAsia"/>
          <w:szCs w:val="22"/>
        </w:rPr>
        <w:t>五分律</w:t>
      </w:r>
      <w:r w:rsidRPr="00212D57">
        <w:rPr>
          <w:szCs w:val="22"/>
        </w:rPr>
        <w:t>》</w:t>
      </w:r>
      <w:r w:rsidRPr="00212D57">
        <w:rPr>
          <w:rFonts w:hint="eastAsia"/>
          <w:szCs w:val="22"/>
        </w:rPr>
        <w:t>卷</w:t>
      </w:r>
      <w:r w:rsidRPr="00761EF3">
        <w:rPr>
          <w:rFonts w:hint="eastAsia"/>
          <w:szCs w:val="22"/>
        </w:rPr>
        <w:t>15</w:t>
      </w:r>
      <w:r w:rsidRPr="00212D57">
        <w:rPr>
          <w:rFonts w:hint="eastAsia"/>
          <w:szCs w:val="22"/>
        </w:rPr>
        <w:t>（大正</w:t>
      </w:r>
      <w:r w:rsidRPr="00761EF3">
        <w:rPr>
          <w:rFonts w:hint="eastAsia"/>
          <w:szCs w:val="22"/>
        </w:rPr>
        <w:t>15</w:t>
      </w:r>
      <w:r w:rsidRPr="00212D57">
        <w:rPr>
          <w:rFonts w:hint="eastAsia"/>
          <w:szCs w:val="22"/>
        </w:rPr>
        <w:t>，</w:t>
      </w:r>
      <w:r w:rsidRPr="00761EF3">
        <w:rPr>
          <w:rFonts w:hint="eastAsia"/>
          <w:szCs w:val="22"/>
        </w:rPr>
        <w:t>104b8</w:t>
      </w:r>
      <w:r w:rsidRPr="00212D57">
        <w:rPr>
          <w:rFonts w:hint="eastAsia"/>
          <w:szCs w:val="22"/>
        </w:rPr>
        <w:t>-</w:t>
      </w:r>
      <w:r w:rsidRPr="00761EF3">
        <w:rPr>
          <w:rFonts w:hint="eastAsia"/>
          <w:szCs w:val="22"/>
        </w:rPr>
        <w:t>c24</w:t>
      </w:r>
      <w:r w:rsidRPr="00212D57">
        <w:rPr>
          <w:rFonts w:hint="eastAsia"/>
          <w:szCs w:val="22"/>
        </w:rPr>
        <w:t>）</w:t>
      </w:r>
      <w:r w:rsidRPr="00212D57">
        <w:rPr>
          <w:szCs w:val="22"/>
        </w:rPr>
        <w:t>。</w:t>
      </w:r>
    </w:p>
  </w:footnote>
  <w:footnote w:id="75">
    <w:p w:rsidR="00157EF6" w:rsidRPr="00212D57" w:rsidRDefault="00157EF6" w:rsidP="00CB198A">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標揭：顯明</w:t>
      </w:r>
      <w:r w:rsidRPr="00212D57">
        <w:rPr>
          <w:rFonts w:hint="eastAsia"/>
          <w:szCs w:val="22"/>
        </w:rPr>
        <w:t>。</w:t>
      </w:r>
      <w:r w:rsidRPr="00212D57">
        <w:rPr>
          <w:szCs w:val="22"/>
        </w:rPr>
        <w:t>（《漢語大詞典》（四），</w:t>
      </w:r>
      <w:r w:rsidRPr="00761EF3">
        <w:rPr>
          <w:szCs w:val="22"/>
        </w:rPr>
        <w:t>p</w:t>
      </w:r>
      <w:r w:rsidRPr="00212D57">
        <w:rPr>
          <w:szCs w:val="22"/>
        </w:rPr>
        <w:t>.</w:t>
      </w:r>
      <w:r w:rsidRPr="00761EF3">
        <w:rPr>
          <w:szCs w:val="22"/>
        </w:rPr>
        <w:t>1266</w:t>
      </w:r>
      <w:r w:rsidRPr="00212D57">
        <w:rPr>
          <w:szCs w:val="22"/>
        </w:rPr>
        <w:t>）</w:t>
      </w:r>
    </w:p>
  </w:footnote>
  <w:footnote w:id="76">
    <w:p w:rsidR="00157EF6" w:rsidRPr="00212D57" w:rsidRDefault="00157EF6" w:rsidP="00CB198A">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rFonts w:hint="eastAsia"/>
          <w:spacing w:val="-2"/>
          <w:szCs w:val="22"/>
        </w:rPr>
        <w:t>參見《中國大百科全書》（哲學</w:t>
      </w:r>
      <w:r w:rsidRPr="00212D57">
        <w:rPr>
          <w:rFonts w:ascii="新細明體" w:hAnsi="新細明體" w:hint="eastAsia"/>
          <w:spacing w:val="-2"/>
          <w:szCs w:val="22"/>
        </w:rPr>
        <w:t>Ⅱ），錦繡出版事業股份有限公</w:t>
      </w:r>
      <w:r w:rsidRPr="00212D57">
        <w:rPr>
          <w:spacing w:val="-2"/>
          <w:szCs w:val="22"/>
        </w:rPr>
        <w:t>司，</w:t>
      </w:r>
      <w:r w:rsidRPr="00761EF3">
        <w:rPr>
          <w:spacing w:val="-2"/>
          <w:szCs w:val="22"/>
        </w:rPr>
        <w:t>1993</w:t>
      </w:r>
      <w:r w:rsidRPr="00212D57">
        <w:rPr>
          <w:spacing w:val="-2"/>
          <w:szCs w:val="22"/>
        </w:rPr>
        <w:t>年，</w:t>
      </w:r>
      <w:r w:rsidRPr="00761EF3">
        <w:rPr>
          <w:rFonts w:hint="eastAsia"/>
          <w:spacing w:val="-2"/>
          <w:szCs w:val="22"/>
        </w:rPr>
        <w:t>pp</w:t>
      </w:r>
      <w:r w:rsidRPr="00212D57">
        <w:rPr>
          <w:rFonts w:hint="eastAsia"/>
          <w:spacing w:val="-2"/>
          <w:szCs w:val="22"/>
        </w:rPr>
        <w:t>.</w:t>
      </w:r>
      <w:r w:rsidRPr="00761EF3">
        <w:rPr>
          <w:rFonts w:hint="eastAsia"/>
          <w:spacing w:val="-2"/>
          <w:szCs w:val="22"/>
        </w:rPr>
        <w:t>815</w:t>
      </w:r>
      <w:r w:rsidRPr="00212D57">
        <w:rPr>
          <w:rFonts w:hint="eastAsia"/>
          <w:spacing w:val="-2"/>
          <w:szCs w:val="22"/>
        </w:rPr>
        <w:t>-</w:t>
      </w:r>
      <w:r w:rsidRPr="00761EF3">
        <w:rPr>
          <w:rFonts w:hint="eastAsia"/>
          <w:spacing w:val="-2"/>
          <w:szCs w:val="22"/>
        </w:rPr>
        <w:t>816</w:t>
      </w:r>
      <w:r w:rsidRPr="00212D57">
        <w:rPr>
          <w:rFonts w:hint="eastAsia"/>
          <w:spacing w:val="-2"/>
          <w:szCs w:val="22"/>
        </w:rPr>
        <w:t>：</w:t>
      </w:r>
    </w:p>
    <w:p w:rsidR="00157EF6" w:rsidRPr="00212D57" w:rsidRDefault="00157EF6" w:rsidP="00B23570">
      <w:pPr>
        <w:pStyle w:val="a5"/>
        <w:ind w:leftChars="75" w:left="180"/>
        <w:jc w:val="both"/>
        <w:rPr>
          <w:szCs w:val="22"/>
        </w:rPr>
      </w:pPr>
      <w:r w:rsidRPr="00212D57">
        <w:rPr>
          <w:rFonts w:ascii="標楷體" w:eastAsia="標楷體" w:hAnsi="標楷體" w:hint="eastAsia"/>
          <w:szCs w:val="22"/>
        </w:rPr>
        <w:t>叔本華，</w:t>
      </w:r>
      <w:r w:rsidRPr="00761EF3">
        <w:rPr>
          <w:rFonts w:eastAsia="標楷體"/>
          <w:szCs w:val="22"/>
        </w:rPr>
        <w:t>A</w:t>
      </w:r>
      <w:r w:rsidRPr="00212D57">
        <w:rPr>
          <w:rFonts w:eastAsia="標楷體" w:hint="eastAsia"/>
          <w:szCs w:val="22"/>
        </w:rPr>
        <w:t xml:space="preserve">. </w:t>
      </w:r>
      <w:r w:rsidRPr="00761EF3">
        <w:rPr>
          <w:rFonts w:eastAsia="標楷體"/>
          <w:szCs w:val="22"/>
        </w:rPr>
        <w:t>Arthur</w:t>
      </w:r>
      <w:r w:rsidRPr="00212D57">
        <w:rPr>
          <w:rFonts w:eastAsia="標楷體"/>
          <w:szCs w:val="22"/>
        </w:rPr>
        <w:t xml:space="preserve"> </w:t>
      </w:r>
      <w:r w:rsidRPr="00761EF3">
        <w:rPr>
          <w:rFonts w:eastAsia="標楷體"/>
          <w:szCs w:val="22"/>
        </w:rPr>
        <w:t>Schopenhauer</w:t>
      </w:r>
      <w:r w:rsidRPr="00212D57">
        <w:rPr>
          <w:rFonts w:ascii="標楷體" w:eastAsia="標楷體" w:hAnsi="標楷體" w:hint="eastAsia"/>
          <w:szCs w:val="22"/>
        </w:rPr>
        <w:t xml:space="preserve"> </w:t>
      </w:r>
      <w:r w:rsidRPr="00212D57">
        <w:rPr>
          <w:rFonts w:eastAsia="標楷體"/>
          <w:szCs w:val="22"/>
        </w:rPr>
        <w:t>（</w:t>
      </w:r>
      <w:r w:rsidRPr="00761EF3">
        <w:rPr>
          <w:rFonts w:eastAsia="標楷體"/>
          <w:szCs w:val="22"/>
        </w:rPr>
        <w:t>1788</w:t>
      </w:r>
      <w:r w:rsidRPr="00212D57">
        <w:rPr>
          <w:rFonts w:eastAsia="標楷體"/>
          <w:szCs w:val="22"/>
        </w:rPr>
        <w:t>～</w:t>
      </w:r>
      <w:r w:rsidRPr="00761EF3">
        <w:rPr>
          <w:rFonts w:eastAsia="標楷體"/>
          <w:szCs w:val="22"/>
        </w:rPr>
        <w:t>1860</w:t>
      </w:r>
      <w:r w:rsidRPr="00212D57">
        <w:rPr>
          <w:rFonts w:eastAsia="標楷體"/>
          <w:szCs w:val="22"/>
        </w:rPr>
        <w:t>）：</w:t>
      </w:r>
    </w:p>
    <w:p w:rsidR="00157EF6" w:rsidRPr="00212D57" w:rsidRDefault="00157EF6" w:rsidP="00B23570">
      <w:pPr>
        <w:pStyle w:val="a5"/>
        <w:ind w:leftChars="75" w:left="180"/>
        <w:jc w:val="both"/>
        <w:rPr>
          <w:rFonts w:ascii="標楷體" w:eastAsia="標楷體" w:hAnsi="標楷體"/>
          <w:szCs w:val="22"/>
        </w:rPr>
      </w:pPr>
      <w:r w:rsidRPr="00212D57">
        <w:rPr>
          <w:rFonts w:ascii="標楷體" w:eastAsia="標楷體" w:hAnsi="標楷體" w:hint="eastAsia"/>
          <w:szCs w:val="22"/>
        </w:rPr>
        <w:t>叔本華深受柏拉圖、康德和佛教的影響，企圖把三者的思想融合起來。他認為，康德所說的“物自體”就是意志，人受盲目的求生意志的支配，不斷追求，始終得不到滿足，因而產生苦惱和煩悶。解脫之道，一是佛教的涅槃，二是哲學和道德，三是藝術。因此，藝術在叔本華的哲學中佔有突出的地位。</w:t>
      </w:r>
      <w:r w:rsidRPr="001D5F17">
        <w:rPr>
          <w:rFonts w:ascii="標楷體" w:eastAsia="標楷體" w:hAnsi="標楷體" w:hint="eastAsia"/>
          <w:szCs w:val="22"/>
          <w:shd w:val="pct15" w:color="auto" w:fill="FFFFFF"/>
        </w:rPr>
        <w:t>…</w:t>
      </w:r>
      <w:r w:rsidRPr="001D5F17" w:rsidDel="00DC6A83">
        <w:rPr>
          <w:rFonts w:ascii="標楷體" w:eastAsia="標楷體" w:hAnsi="標楷體" w:hint="eastAsia"/>
          <w:szCs w:val="22"/>
          <w:shd w:val="pct15" w:color="auto" w:fill="FFFFFF"/>
        </w:rPr>
        <w:t>…</w:t>
      </w:r>
      <w:r w:rsidRPr="00212D57">
        <w:rPr>
          <w:rFonts w:ascii="標楷體" w:eastAsia="標楷體" w:hAnsi="標楷體" w:hint="eastAsia"/>
          <w:szCs w:val="22"/>
        </w:rPr>
        <w:t>他也非常重視悲劇，這是因為悲劇所寫的是人生的可怕方面。悲劇的目的不在於改變人生的不幸，而在於把人生的不幸揭示出來，使人認識到人生是一場惡夢，無可留戀，因而斷念（</w:t>
      </w:r>
      <w:r w:rsidRPr="00761EF3">
        <w:rPr>
          <w:rFonts w:eastAsia="標楷體"/>
          <w:szCs w:val="22"/>
        </w:rPr>
        <w:t>resignation</w:t>
      </w:r>
      <w:r w:rsidRPr="00212D57">
        <w:rPr>
          <w:rFonts w:ascii="標楷體" w:eastAsia="標楷體" w:hAnsi="標楷體" w:hint="eastAsia"/>
          <w:szCs w:val="22"/>
        </w:rPr>
        <w:t>）。斷念是對於生存意志的拒絕或否定。這反映了叔本華美學的悲觀主義傾向。（作者：蔣孔陽）</w:t>
      </w:r>
    </w:p>
  </w:footnote>
  <w:footnote w:id="77">
    <w:p w:rsidR="00157EF6" w:rsidRPr="00212D57" w:rsidRDefault="00157EF6" w:rsidP="00091862">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《雜阿含經》卷</w:t>
      </w:r>
      <w:r w:rsidRPr="00761EF3">
        <w:rPr>
          <w:szCs w:val="22"/>
        </w:rPr>
        <w:t>28</w:t>
      </w:r>
      <w:r w:rsidRPr="00212D57">
        <w:rPr>
          <w:szCs w:val="22"/>
        </w:rPr>
        <w:t>（</w:t>
      </w:r>
      <w:r w:rsidRPr="00761EF3">
        <w:rPr>
          <w:szCs w:val="22"/>
        </w:rPr>
        <w:t>748</w:t>
      </w:r>
      <w:r w:rsidRPr="00212D57">
        <w:rPr>
          <w:szCs w:val="22"/>
        </w:rPr>
        <w:t>經）</w:t>
      </w:r>
      <w:r w:rsidR="00434424" w:rsidRPr="00212D57">
        <w:rPr>
          <w:szCs w:val="22"/>
        </w:rPr>
        <w:t>（大正</w:t>
      </w:r>
      <w:r w:rsidR="00434424" w:rsidRPr="00761EF3">
        <w:rPr>
          <w:szCs w:val="22"/>
        </w:rPr>
        <w:t>2</w:t>
      </w:r>
      <w:r w:rsidR="00434424" w:rsidRPr="00212D57">
        <w:rPr>
          <w:szCs w:val="22"/>
        </w:rPr>
        <w:t>，</w:t>
      </w:r>
      <w:r w:rsidR="00434424" w:rsidRPr="00761EF3">
        <w:rPr>
          <w:szCs w:val="22"/>
        </w:rPr>
        <w:t>198</w:t>
      </w:r>
      <w:r w:rsidR="00434424" w:rsidRPr="00212D57">
        <w:rPr>
          <w:szCs w:val="22"/>
        </w:rPr>
        <w:t xml:space="preserve"> </w:t>
      </w:r>
      <w:r w:rsidR="00434424" w:rsidRPr="00761EF3">
        <w:rPr>
          <w:szCs w:val="22"/>
        </w:rPr>
        <w:t>b6</w:t>
      </w:r>
      <w:r w:rsidR="00434424" w:rsidRPr="00212D57">
        <w:rPr>
          <w:szCs w:val="22"/>
        </w:rPr>
        <w:t>-</w:t>
      </w:r>
      <w:r w:rsidR="00434424" w:rsidRPr="00761EF3">
        <w:rPr>
          <w:szCs w:val="22"/>
        </w:rPr>
        <w:t>9</w:t>
      </w:r>
      <w:r w:rsidR="00434424" w:rsidRPr="00212D57">
        <w:rPr>
          <w:szCs w:val="22"/>
        </w:rPr>
        <w:t>）</w:t>
      </w:r>
      <w:r w:rsidRPr="00212D57">
        <w:rPr>
          <w:szCs w:val="22"/>
        </w:rPr>
        <w:t>：「</w:t>
      </w:r>
      <w:r w:rsidRPr="00212D57">
        <w:rPr>
          <w:rFonts w:ascii="標楷體" w:eastAsia="標楷體" w:hAnsi="標楷體"/>
          <w:szCs w:val="22"/>
        </w:rPr>
        <w:t>世尊告諸比丘：如日出前相，謂明相初光</w:t>
      </w:r>
      <w:r w:rsidR="005140EF">
        <w:rPr>
          <w:rFonts w:ascii="標楷體" w:eastAsia="標楷體" w:hAnsi="標楷體" w:hint="eastAsia"/>
          <w:color w:val="FF0000"/>
          <w:szCs w:val="22"/>
          <w:highlight w:val="yellow"/>
        </w:rPr>
        <w:t>；</w:t>
      </w:r>
      <w:r w:rsidRPr="00212D57">
        <w:rPr>
          <w:rFonts w:ascii="標楷體" w:eastAsia="標楷體" w:hAnsi="標楷體"/>
          <w:szCs w:val="22"/>
        </w:rPr>
        <w:t>如是比丘正盡苦邊，究竟苦邊前相者，所謂正見。彼正見者，能起正志、正語、正業、正命、正方便、正念、正定。</w:t>
      </w:r>
      <w:r w:rsidRPr="00212D57">
        <w:rPr>
          <w:szCs w:val="22"/>
        </w:rPr>
        <w:t>」</w:t>
      </w:r>
    </w:p>
  </w:footnote>
  <w:footnote w:id="78">
    <w:p w:rsidR="00157EF6" w:rsidRPr="00212D57" w:rsidRDefault="00157EF6" w:rsidP="00091862">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《摩訶般若波羅蜜經》卷</w:t>
      </w:r>
      <w:r w:rsidRPr="00761EF3">
        <w:rPr>
          <w:szCs w:val="22"/>
        </w:rPr>
        <w:t>11</w:t>
      </w:r>
      <w:r w:rsidRPr="00212D57">
        <w:rPr>
          <w:rFonts w:ascii="新細明體" w:hAnsi="新細明體" w:hint="eastAsia"/>
          <w:szCs w:val="22"/>
        </w:rPr>
        <w:t>〈</w:t>
      </w:r>
      <w:r w:rsidRPr="00761EF3">
        <w:rPr>
          <w:szCs w:val="22"/>
        </w:rPr>
        <w:t>40</w:t>
      </w:r>
      <w:r w:rsidRPr="00212D57">
        <w:rPr>
          <w:szCs w:val="22"/>
        </w:rPr>
        <w:t xml:space="preserve"> </w:t>
      </w:r>
      <w:r w:rsidRPr="00212D57">
        <w:rPr>
          <w:rFonts w:ascii="新細明體" w:hAnsi="新細明體" w:hint="eastAsia"/>
          <w:szCs w:val="22"/>
        </w:rPr>
        <w:t>照明品〉</w:t>
      </w:r>
      <w:r w:rsidR="00434424" w:rsidRPr="00212D57">
        <w:rPr>
          <w:szCs w:val="22"/>
        </w:rPr>
        <w:t>（大正</w:t>
      </w:r>
      <w:r w:rsidR="00434424" w:rsidRPr="00761EF3">
        <w:rPr>
          <w:szCs w:val="22"/>
        </w:rPr>
        <w:t>8</w:t>
      </w:r>
      <w:r w:rsidR="00434424" w:rsidRPr="00212D57">
        <w:rPr>
          <w:szCs w:val="22"/>
        </w:rPr>
        <w:t>，</w:t>
      </w:r>
      <w:r w:rsidR="00434424" w:rsidRPr="00761EF3">
        <w:rPr>
          <w:szCs w:val="22"/>
        </w:rPr>
        <w:t>302b26</w:t>
      </w:r>
      <w:r w:rsidR="00434424" w:rsidRPr="00212D57">
        <w:rPr>
          <w:szCs w:val="22"/>
        </w:rPr>
        <w:t>-</w:t>
      </w:r>
      <w:r w:rsidR="00434424" w:rsidRPr="00761EF3">
        <w:rPr>
          <w:szCs w:val="22"/>
        </w:rPr>
        <w:t>c3</w:t>
      </w:r>
      <w:r w:rsidR="00434424" w:rsidRPr="00212D57">
        <w:rPr>
          <w:szCs w:val="22"/>
        </w:rPr>
        <w:t>）</w:t>
      </w:r>
      <w:r w:rsidRPr="00212D57">
        <w:rPr>
          <w:szCs w:val="22"/>
        </w:rPr>
        <w:t>：「</w:t>
      </w:r>
      <w:r w:rsidRPr="00212D57">
        <w:rPr>
          <w:rFonts w:ascii="標楷體" w:eastAsia="標楷體" w:hAnsi="標楷體"/>
          <w:szCs w:val="22"/>
        </w:rPr>
        <w:t>譬如生盲人若百、若千、若百千，而無前導，不能趣道入城。憍尸迦！五波羅蜜亦如是，離般若波羅蜜，如盲無導</w:t>
      </w:r>
      <w:r w:rsidR="000C79F9">
        <w:rPr>
          <w:rFonts w:ascii="標楷體" w:eastAsia="標楷體" w:hAnsi="標楷體" w:hint="eastAsia"/>
          <w:color w:val="FF0000"/>
          <w:kern w:val="0"/>
          <w:highlight w:val="yellow"/>
        </w:rPr>
        <w:t>，</w:t>
      </w:r>
      <w:r w:rsidRPr="00212D57">
        <w:rPr>
          <w:rFonts w:ascii="標楷體" w:eastAsia="標楷體" w:hAnsi="標楷體"/>
          <w:szCs w:val="22"/>
        </w:rPr>
        <w:t>不能趣道，不能得一切智。憍尸迦！若五波羅蜜得般若波羅蜜將導，是時五波羅蜜名為有眼，般若波羅蜜將導，得</w:t>
      </w:r>
      <w:r w:rsidR="000C79F9">
        <w:rPr>
          <w:rFonts w:ascii="標楷體" w:eastAsia="標楷體" w:hAnsi="標楷體" w:hint="eastAsia"/>
          <w:color w:val="FF0000"/>
          <w:kern w:val="0"/>
          <w:highlight w:val="yellow"/>
        </w:rPr>
        <w:t>『</w:t>
      </w:r>
      <w:r w:rsidRPr="00212D57">
        <w:rPr>
          <w:rFonts w:ascii="標楷體" w:eastAsia="標楷體" w:hAnsi="標楷體"/>
          <w:szCs w:val="22"/>
        </w:rPr>
        <w:t>波羅蜜</w:t>
      </w:r>
      <w:r w:rsidR="000C79F9">
        <w:rPr>
          <w:rFonts w:ascii="標楷體" w:eastAsia="標楷體" w:hAnsi="標楷體" w:hint="eastAsia"/>
          <w:color w:val="FF0000"/>
          <w:kern w:val="0"/>
          <w:highlight w:val="yellow"/>
        </w:rPr>
        <w:t>』</w:t>
      </w:r>
      <w:r w:rsidRPr="00212D57">
        <w:rPr>
          <w:rFonts w:ascii="標楷體" w:eastAsia="標楷體" w:hAnsi="標楷體"/>
          <w:szCs w:val="22"/>
        </w:rPr>
        <w:t>名字。</w:t>
      </w:r>
      <w:r w:rsidRPr="00212D57">
        <w:rPr>
          <w:szCs w:val="22"/>
        </w:rPr>
        <w:t>」</w:t>
      </w:r>
    </w:p>
  </w:footnote>
  <w:footnote w:id="79">
    <w:p w:rsidR="00157EF6" w:rsidRPr="00212D57" w:rsidRDefault="00157EF6" w:rsidP="00CB198A">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rFonts w:hint="eastAsia"/>
          <w:szCs w:val="22"/>
        </w:rPr>
        <w:t>《雜阿含經》卷</w:t>
      </w:r>
      <w:r w:rsidRPr="00761EF3">
        <w:rPr>
          <w:szCs w:val="22"/>
        </w:rPr>
        <w:t>10</w:t>
      </w:r>
      <w:r w:rsidRPr="00212D57">
        <w:rPr>
          <w:szCs w:val="22"/>
        </w:rPr>
        <w:t>（</w:t>
      </w:r>
      <w:r w:rsidRPr="00761EF3">
        <w:rPr>
          <w:rFonts w:hint="eastAsia"/>
          <w:szCs w:val="22"/>
        </w:rPr>
        <w:t>262</w:t>
      </w:r>
      <w:r w:rsidRPr="00212D57">
        <w:rPr>
          <w:rFonts w:hint="eastAsia"/>
          <w:szCs w:val="22"/>
        </w:rPr>
        <w:t>經</w:t>
      </w:r>
      <w:r w:rsidRPr="00212D57">
        <w:rPr>
          <w:szCs w:val="22"/>
        </w:rPr>
        <w:t>）（</w:t>
      </w:r>
      <w:r w:rsidRPr="00212D57">
        <w:rPr>
          <w:rFonts w:eastAsia="細明體"/>
          <w:szCs w:val="22"/>
        </w:rPr>
        <w:t>大正</w:t>
      </w:r>
      <w:r w:rsidRPr="00761EF3">
        <w:rPr>
          <w:rFonts w:eastAsia="細明體"/>
          <w:szCs w:val="22"/>
        </w:rPr>
        <w:t>2</w:t>
      </w:r>
      <w:r w:rsidRPr="00212D57">
        <w:rPr>
          <w:rFonts w:eastAsia="細明體"/>
          <w:szCs w:val="22"/>
        </w:rPr>
        <w:t>，</w:t>
      </w:r>
      <w:r w:rsidRPr="00761EF3">
        <w:rPr>
          <w:rFonts w:eastAsia="細明體"/>
          <w:szCs w:val="22"/>
        </w:rPr>
        <w:t>66c25</w:t>
      </w:r>
      <w:r w:rsidRPr="00212D57">
        <w:rPr>
          <w:rFonts w:eastAsia="細明體"/>
          <w:szCs w:val="22"/>
        </w:rPr>
        <w:t>-</w:t>
      </w:r>
      <w:r w:rsidRPr="00761EF3">
        <w:rPr>
          <w:rFonts w:eastAsia="細明體"/>
          <w:szCs w:val="22"/>
        </w:rPr>
        <w:t>67a9</w:t>
      </w:r>
      <w:r w:rsidRPr="00212D57">
        <w:rPr>
          <w:rFonts w:eastAsia="細明體"/>
          <w:szCs w:val="22"/>
        </w:rPr>
        <w:t>）</w:t>
      </w:r>
      <w:r w:rsidRPr="00212D57">
        <w:rPr>
          <w:rFonts w:hint="eastAsia"/>
          <w:szCs w:val="22"/>
        </w:rPr>
        <w:t>：</w:t>
      </w:r>
    </w:p>
    <w:p w:rsidR="000C79F9" w:rsidRDefault="00157EF6" w:rsidP="00B23570">
      <w:pPr>
        <w:pStyle w:val="a5"/>
        <w:ind w:leftChars="75" w:left="180"/>
        <w:jc w:val="both"/>
        <w:rPr>
          <w:rFonts w:ascii="標楷體" w:eastAsia="標楷體" w:hAnsi="標楷體"/>
          <w:szCs w:val="22"/>
        </w:rPr>
      </w:pPr>
      <w:r w:rsidRPr="00212D57">
        <w:rPr>
          <w:rFonts w:ascii="標楷體" w:eastAsia="標楷體" w:hAnsi="標楷體"/>
          <w:szCs w:val="22"/>
        </w:rPr>
        <w:t>阿難語闡陀言：</w:t>
      </w:r>
      <w:r w:rsidRPr="00212D57">
        <w:rPr>
          <w:rFonts w:ascii="標楷體" w:eastAsia="標楷體" w:hAnsi="標楷體" w:hint="eastAsia"/>
          <w:szCs w:val="22"/>
        </w:rPr>
        <w:t>「</w:t>
      </w:r>
      <w:r w:rsidRPr="00212D57">
        <w:rPr>
          <w:rFonts w:ascii="標楷體" w:eastAsia="標楷體" w:hAnsi="標楷體"/>
          <w:szCs w:val="22"/>
        </w:rPr>
        <w:t>我親從佛聞，教摩訶迦旃延言：</w:t>
      </w:r>
      <w:r w:rsidRPr="00212D57">
        <w:rPr>
          <w:rFonts w:ascii="標楷體" w:eastAsia="標楷體" w:hAnsi="標楷體"/>
          <w:b/>
          <w:szCs w:val="22"/>
        </w:rPr>
        <w:t>世人顛倒，依於二邊，若有、若無。</w:t>
      </w:r>
      <w:r w:rsidRPr="00212D57">
        <w:rPr>
          <w:rFonts w:ascii="標楷體" w:eastAsia="標楷體" w:hAnsi="標楷體"/>
          <w:szCs w:val="22"/>
        </w:rPr>
        <w:t>世人取諸境界，心便計著。迦旃延！若不受，不取</w:t>
      </w:r>
      <w:r w:rsidR="000C79F9">
        <w:rPr>
          <w:rFonts w:ascii="標楷體" w:eastAsia="標楷體" w:hAnsi="標楷體" w:hint="eastAsia"/>
          <w:color w:val="FF0000"/>
          <w:spacing w:val="-4"/>
          <w:kern w:val="0"/>
          <w:highlight w:val="yellow"/>
        </w:rPr>
        <w:t>、</w:t>
      </w:r>
      <w:r w:rsidRPr="00212D57">
        <w:rPr>
          <w:rFonts w:ascii="標楷體" w:eastAsia="標楷體" w:hAnsi="標楷體"/>
          <w:szCs w:val="22"/>
        </w:rPr>
        <w:t>不住</w:t>
      </w:r>
      <w:r w:rsidR="000C79F9">
        <w:rPr>
          <w:rFonts w:ascii="標楷體" w:eastAsia="標楷體" w:hAnsi="標楷體" w:hint="eastAsia"/>
          <w:color w:val="FF0000"/>
          <w:spacing w:val="-4"/>
          <w:kern w:val="0"/>
          <w:highlight w:val="yellow"/>
        </w:rPr>
        <w:t>、</w:t>
      </w:r>
      <w:r w:rsidRPr="00212D57">
        <w:rPr>
          <w:rFonts w:ascii="標楷體" w:eastAsia="標楷體" w:hAnsi="標楷體"/>
          <w:szCs w:val="22"/>
        </w:rPr>
        <w:t>不計於我，此苦生時生、滅時滅。迦旃延！於此不疑、不惑，不由於他而能自如，是名正見</w:t>
      </w:r>
      <w:r w:rsidR="0014580D">
        <w:rPr>
          <w:rFonts w:ascii="標楷體" w:eastAsia="標楷體" w:hAnsi="標楷體" w:hint="eastAsia"/>
          <w:color w:val="FF0000"/>
          <w:kern w:val="0"/>
          <w:highlight w:val="yellow"/>
        </w:rPr>
        <w:t>，</w:t>
      </w:r>
      <w:r w:rsidRPr="00212D57">
        <w:rPr>
          <w:rFonts w:ascii="標楷體" w:eastAsia="標楷體" w:hAnsi="標楷體"/>
          <w:szCs w:val="22"/>
        </w:rPr>
        <w:t>如來所說。所以者何？</w:t>
      </w:r>
      <w:r w:rsidRPr="00212D57">
        <w:rPr>
          <w:rFonts w:ascii="標楷體" w:eastAsia="標楷體" w:hAnsi="標楷體"/>
          <w:b/>
          <w:szCs w:val="22"/>
        </w:rPr>
        <w:t>迦旃延！如實正觀世間集者，則不生世間無見；如實正觀世間滅，則不生世間有見。迦旃延！如來離於二邊，說於中道</w:t>
      </w:r>
      <w:r w:rsidR="000C79F9">
        <w:rPr>
          <w:rFonts w:ascii="標楷體" w:eastAsia="標楷體" w:hAnsi="標楷體" w:hint="eastAsia"/>
          <w:color w:val="FF0000"/>
          <w:kern w:val="0"/>
          <w:highlight w:val="yellow"/>
        </w:rPr>
        <w:t>，</w:t>
      </w:r>
      <w:r w:rsidRPr="00212D57">
        <w:rPr>
          <w:rFonts w:ascii="標楷體" w:eastAsia="標楷體" w:hAnsi="標楷體"/>
          <w:b/>
          <w:szCs w:val="22"/>
        </w:rPr>
        <w:t>所謂</w:t>
      </w:r>
      <w:r w:rsidR="000C79F9">
        <w:rPr>
          <w:rFonts w:ascii="標楷體" w:eastAsia="標楷體" w:hAnsi="標楷體" w:hint="eastAsia"/>
          <w:color w:val="FF0000"/>
          <w:kern w:val="0"/>
          <w:highlight w:val="yellow"/>
        </w:rPr>
        <w:t>『</w:t>
      </w:r>
      <w:r w:rsidRPr="00212D57">
        <w:rPr>
          <w:rFonts w:ascii="標楷體" w:eastAsia="標楷體" w:hAnsi="標楷體"/>
          <w:b/>
          <w:szCs w:val="22"/>
        </w:rPr>
        <w:t>此有故彼有，此生故彼生</w:t>
      </w:r>
      <w:r w:rsidR="000C79F9">
        <w:rPr>
          <w:rFonts w:ascii="標楷體" w:eastAsia="標楷體" w:hAnsi="標楷體" w:hint="eastAsia"/>
          <w:color w:val="FF0000"/>
          <w:kern w:val="0"/>
          <w:highlight w:val="yellow"/>
        </w:rPr>
        <w:t>』</w:t>
      </w:r>
      <w:r w:rsidRPr="00212D57">
        <w:rPr>
          <w:rFonts w:ascii="標楷體" w:eastAsia="標楷體" w:hAnsi="標楷體"/>
          <w:szCs w:val="22"/>
        </w:rPr>
        <w:t>，謂緣無明有行，乃至生老病</w:t>
      </w:r>
      <w:r w:rsidRPr="000C79F9">
        <w:rPr>
          <w:rFonts w:ascii="標楷體" w:eastAsia="標楷體" w:hAnsi="標楷體"/>
          <w:szCs w:val="22"/>
          <w:highlight w:val="yellow"/>
        </w:rPr>
        <w:t>死憂</w:t>
      </w:r>
      <w:r w:rsidRPr="00212D57">
        <w:rPr>
          <w:rFonts w:ascii="標楷體" w:eastAsia="標楷體" w:hAnsi="標楷體"/>
          <w:szCs w:val="22"/>
        </w:rPr>
        <w:t>悲惱苦集</w:t>
      </w:r>
      <w:r w:rsidR="000C79F9">
        <w:rPr>
          <w:rFonts w:ascii="標楷體" w:eastAsia="標楷體" w:hAnsi="標楷體" w:hint="eastAsia"/>
          <w:color w:val="FF0000"/>
          <w:spacing w:val="-4"/>
          <w:kern w:val="0"/>
          <w:highlight w:val="yellow"/>
        </w:rPr>
        <w:t>；</w:t>
      </w:r>
      <w:r w:rsidRPr="00212D57">
        <w:rPr>
          <w:rFonts w:ascii="標楷體" w:eastAsia="標楷體" w:hAnsi="標楷體"/>
          <w:szCs w:val="22"/>
        </w:rPr>
        <w:t>所謂</w:t>
      </w:r>
      <w:r w:rsidR="000C79F9">
        <w:rPr>
          <w:rFonts w:ascii="標楷體" w:eastAsia="標楷體" w:hAnsi="標楷體" w:hint="eastAsia"/>
          <w:color w:val="FF0000"/>
          <w:kern w:val="0"/>
          <w:highlight w:val="yellow"/>
        </w:rPr>
        <w:t>『</w:t>
      </w:r>
      <w:r w:rsidRPr="00212D57">
        <w:rPr>
          <w:rFonts w:ascii="標楷體" w:eastAsia="標楷體" w:hAnsi="標楷體"/>
          <w:szCs w:val="22"/>
        </w:rPr>
        <w:t>此無故彼無，此滅故彼滅</w:t>
      </w:r>
      <w:r w:rsidR="000C79F9">
        <w:rPr>
          <w:rFonts w:ascii="標楷體" w:eastAsia="標楷體" w:hAnsi="標楷體" w:hint="eastAsia"/>
          <w:color w:val="FF0000"/>
          <w:kern w:val="0"/>
          <w:highlight w:val="yellow"/>
        </w:rPr>
        <w:t>』</w:t>
      </w:r>
      <w:r w:rsidRPr="00212D57">
        <w:rPr>
          <w:rFonts w:ascii="標楷體" w:eastAsia="標楷體" w:hAnsi="標楷體"/>
          <w:szCs w:val="22"/>
        </w:rPr>
        <w:t>，謂無明滅則行滅，乃至生老病</w:t>
      </w:r>
      <w:r w:rsidRPr="000C79F9">
        <w:rPr>
          <w:rFonts w:ascii="標楷體" w:eastAsia="標楷體" w:hAnsi="標楷體"/>
          <w:szCs w:val="22"/>
          <w:highlight w:val="yellow"/>
        </w:rPr>
        <w:t>死憂</w:t>
      </w:r>
      <w:r w:rsidRPr="00212D57">
        <w:rPr>
          <w:rFonts w:ascii="標楷體" w:eastAsia="標楷體" w:hAnsi="標楷體"/>
          <w:szCs w:val="22"/>
        </w:rPr>
        <w:t>悲惱苦滅。</w:t>
      </w:r>
      <w:r w:rsidRPr="00212D57">
        <w:rPr>
          <w:rFonts w:ascii="標楷體" w:eastAsia="標楷體" w:hAnsi="標楷體" w:hint="eastAsia"/>
          <w:szCs w:val="22"/>
        </w:rPr>
        <w:t>」</w:t>
      </w:r>
    </w:p>
    <w:p w:rsidR="00157EF6" w:rsidRPr="00212D57" w:rsidRDefault="00157EF6" w:rsidP="00B23570">
      <w:pPr>
        <w:pStyle w:val="a5"/>
        <w:ind w:leftChars="75" w:left="180"/>
        <w:jc w:val="both"/>
        <w:rPr>
          <w:szCs w:val="22"/>
        </w:rPr>
      </w:pPr>
      <w:r w:rsidRPr="00212D57">
        <w:rPr>
          <w:rFonts w:ascii="標楷體" w:eastAsia="標楷體" w:hAnsi="標楷體"/>
          <w:szCs w:val="22"/>
        </w:rPr>
        <w:t>尊者阿難說是法時，闡陀比丘遠塵、離垢，得法眼淨。</w:t>
      </w:r>
    </w:p>
  </w:footnote>
  <w:footnote w:id="80">
    <w:p w:rsidR="00157EF6" w:rsidRPr="00212D57" w:rsidRDefault="00157EF6" w:rsidP="008E68AA">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szCs w:val="22"/>
        </w:rPr>
        <w:t>1</w:t>
      </w:r>
      <w:r w:rsidRPr="00212D57">
        <w:rPr>
          <w:rFonts w:hint="eastAsia"/>
          <w:szCs w:val="22"/>
        </w:rPr>
        <w:t>）</w:t>
      </w:r>
      <w:r w:rsidRPr="00212D57">
        <w:rPr>
          <w:szCs w:val="22"/>
        </w:rPr>
        <w:t>印順法師，《如來藏之研究》，</w:t>
      </w:r>
      <w:r w:rsidRPr="00761EF3">
        <w:rPr>
          <w:szCs w:val="22"/>
        </w:rPr>
        <w:t>pp</w:t>
      </w:r>
      <w:r w:rsidRPr="00212D57">
        <w:rPr>
          <w:szCs w:val="22"/>
        </w:rPr>
        <w:t>.</w:t>
      </w:r>
      <w:r w:rsidRPr="00761EF3">
        <w:rPr>
          <w:szCs w:val="22"/>
        </w:rPr>
        <w:t>42</w:t>
      </w:r>
      <w:r w:rsidRPr="00212D57">
        <w:rPr>
          <w:szCs w:val="22"/>
        </w:rPr>
        <w:t>-</w:t>
      </w:r>
      <w:r w:rsidRPr="00761EF3">
        <w:rPr>
          <w:szCs w:val="22"/>
        </w:rPr>
        <w:t>43</w:t>
      </w:r>
      <w:r w:rsidRPr="00212D57">
        <w:rPr>
          <w:szCs w:val="22"/>
        </w:rPr>
        <w:t>：</w:t>
      </w:r>
    </w:p>
    <w:p w:rsidR="00157EF6" w:rsidRPr="00212D57" w:rsidRDefault="00157EF6" w:rsidP="00B23570">
      <w:pPr>
        <w:pStyle w:val="a5"/>
        <w:spacing w:line="0" w:lineRule="atLeast"/>
        <w:ind w:leftChars="300" w:left="720"/>
        <w:jc w:val="both"/>
        <w:rPr>
          <w:rFonts w:ascii="標楷體" w:eastAsia="標楷體" w:hAnsi="標楷體"/>
          <w:b/>
          <w:szCs w:val="22"/>
        </w:rPr>
      </w:pPr>
      <w:r w:rsidRPr="00212D57">
        <w:rPr>
          <w:rFonts w:ascii="標楷體" w:eastAsia="標楷體" w:hAnsi="標楷體"/>
          <w:szCs w:val="22"/>
        </w:rPr>
        <w:t>釋尊為了破除神學及一般人的迷執，所以宣說「無我」。依釋尊的正觀，種種的「我」說，不外乎「命異身異」，「命即是身」的二根本見。身是身心和合的自身，命是我的別名。</w:t>
      </w:r>
      <w:r w:rsidRPr="00212D57">
        <w:rPr>
          <w:rFonts w:ascii="標楷體" w:eastAsia="標楷體" w:hAnsi="標楷體"/>
          <w:b/>
          <w:szCs w:val="22"/>
        </w:rPr>
        <w:t>「命異身異」，以為我與身心不同，我是身心以外的另一實體。身體死了，身外的我還是存在的，流轉於生死中，這是常見。「命即是身」，以為我不離身心，身死而我也就沒有了，這是近於唯物論的，是斷見。</w:t>
      </w:r>
    </w:p>
    <w:p w:rsidR="00157EF6" w:rsidRPr="00212D57" w:rsidRDefault="00157EF6" w:rsidP="008E68AA">
      <w:pPr>
        <w:pStyle w:val="a5"/>
        <w:ind w:leftChars="80" w:left="731" w:hangingChars="245" w:hanging="539"/>
        <w:jc w:val="both"/>
        <w:rPr>
          <w:szCs w:val="22"/>
        </w:rPr>
      </w:pPr>
      <w:r w:rsidRPr="00212D57">
        <w:rPr>
          <w:rFonts w:hint="eastAsia"/>
          <w:szCs w:val="22"/>
        </w:rPr>
        <w:t>（</w:t>
      </w:r>
      <w:r w:rsidRPr="00761EF3">
        <w:rPr>
          <w:szCs w:val="22"/>
        </w:rPr>
        <w:t>2</w:t>
      </w:r>
      <w:r w:rsidRPr="00212D57">
        <w:rPr>
          <w:rFonts w:hint="eastAsia"/>
          <w:szCs w:val="22"/>
        </w:rPr>
        <w:t>）</w:t>
      </w:r>
      <w:r w:rsidR="009160B5">
        <w:rPr>
          <w:szCs w:val="22"/>
        </w:rPr>
        <w:t>參見：印</w:t>
      </w:r>
      <w:r w:rsidRPr="00212D57">
        <w:rPr>
          <w:szCs w:val="22"/>
        </w:rPr>
        <w:t>順法師</w:t>
      </w:r>
      <w:r w:rsidRPr="00212D57">
        <w:rPr>
          <w:rFonts w:hint="eastAsia"/>
          <w:szCs w:val="22"/>
        </w:rPr>
        <w:t>，</w:t>
      </w:r>
      <w:r w:rsidRPr="00212D57">
        <w:rPr>
          <w:szCs w:val="22"/>
        </w:rPr>
        <w:t>《空之探究》</w:t>
      </w:r>
      <w:r w:rsidRPr="00212D57">
        <w:rPr>
          <w:rFonts w:hint="eastAsia"/>
          <w:szCs w:val="22"/>
        </w:rPr>
        <w:t>，</w:t>
      </w:r>
      <w:r w:rsidRPr="00761EF3">
        <w:rPr>
          <w:szCs w:val="22"/>
        </w:rPr>
        <w:t>pp</w:t>
      </w:r>
      <w:r w:rsidRPr="00212D57">
        <w:rPr>
          <w:szCs w:val="22"/>
        </w:rPr>
        <w:t>.</w:t>
      </w:r>
      <w:r w:rsidRPr="00761EF3">
        <w:rPr>
          <w:szCs w:val="22"/>
        </w:rPr>
        <w:t>8</w:t>
      </w:r>
      <w:r w:rsidRPr="00761EF3">
        <w:rPr>
          <w:rFonts w:hint="eastAsia"/>
          <w:szCs w:val="22"/>
        </w:rPr>
        <w:t>4</w:t>
      </w:r>
      <w:r w:rsidRPr="00212D57">
        <w:rPr>
          <w:szCs w:val="22"/>
        </w:rPr>
        <w:t>-</w:t>
      </w:r>
      <w:r w:rsidRPr="00761EF3">
        <w:rPr>
          <w:szCs w:val="22"/>
        </w:rPr>
        <w:t>85</w:t>
      </w:r>
      <w:r w:rsidRPr="00212D57">
        <w:rPr>
          <w:szCs w:val="22"/>
        </w:rPr>
        <w:t>：</w:t>
      </w:r>
    </w:p>
    <w:p w:rsidR="00157EF6" w:rsidRPr="00212D57" w:rsidRDefault="00157EF6" w:rsidP="00B23570">
      <w:pPr>
        <w:pStyle w:val="a5"/>
        <w:ind w:leftChars="300" w:left="720"/>
        <w:jc w:val="both"/>
        <w:rPr>
          <w:rFonts w:eastAsia="標楷體"/>
          <w:szCs w:val="22"/>
        </w:rPr>
      </w:pPr>
      <w:r w:rsidRPr="00212D57">
        <w:rPr>
          <w:rFonts w:eastAsia="標楷體"/>
          <w:szCs w:val="22"/>
        </w:rPr>
        <w:t>《大空經》所說，是否定「老死（等）是我」，「老死屬我」的邪見，與「命即是身」，「命異身異」的二邊邪見相同，而說十二緣起的中道正見。</w:t>
      </w:r>
    </w:p>
    <w:p w:rsidR="00157EF6" w:rsidRPr="00212D57" w:rsidRDefault="00157EF6" w:rsidP="00B23570">
      <w:pPr>
        <w:pStyle w:val="a5"/>
        <w:ind w:leftChars="400" w:left="960"/>
        <w:jc w:val="both"/>
        <w:rPr>
          <w:rFonts w:eastAsia="標楷體"/>
          <w:szCs w:val="22"/>
        </w:rPr>
      </w:pPr>
      <w:r w:rsidRPr="00212D57">
        <w:rPr>
          <w:rFonts w:eastAsia="標楷體"/>
          <w:szCs w:val="22"/>
        </w:rPr>
        <w:t>命即是身</w:t>
      </w:r>
      <w:r w:rsidRPr="00212D57">
        <w:rPr>
          <w:rFonts w:ascii="新細明體" w:hAnsi="新細明體"/>
          <w:szCs w:val="22"/>
        </w:rPr>
        <w:t>──</w:t>
      </w:r>
      <w:r w:rsidRPr="00212D57">
        <w:rPr>
          <w:rFonts w:eastAsia="標楷體"/>
          <w:szCs w:val="22"/>
        </w:rPr>
        <w:t>我即老死（以身為我）</w:t>
      </w:r>
    </w:p>
    <w:p w:rsidR="00157EF6" w:rsidRPr="00212D57" w:rsidRDefault="00157EF6" w:rsidP="00B23570">
      <w:pPr>
        <w:pStyle w:val="a5"/>
        <w:ind w:leftChars="400" w:left="960"/>
        <w:jc w:val="both"/>
        <w:rPr>
          <w:rFonts w:eastAsia="標楷體"/>
          <w:szCs w:val="22"/>
        </w:rPr>
      </w:pPr>
      <w:r w:rsidRPr="00212D57">
        <w:rPr>
          <w:rFonts w:eastAsia="標楷體"/>
          <w:szCs w:val="22"/>
        </w:rPr>
        <w:t>命異身異</w:t>
      </w:r>
      <w:r w:rsidRPr="00212D57">
        <w:rPr>
          <w:rFonts w:ascii="新細明體" w:hAnsi="新細明體"/>
          <w:szCs w:val="22"/>
        </w:rPr>
        <w:t>──</w:t>
      </w:r>
      <w:r w:rsidRPr="00212D57">
        <w:rPr>
          <w:rFonts w:eastAsia="標楷體"/>
          <w:szCs w:val="22"/>
        </w:rPr>
        <w:t>老死屬我（以身為我所）</w:t>
      </w:r>
    </w:p>
    <w:p w:rsidR="00157EF6" w:rsidRPr="00212D57" w:rsidRDefault="00157EF6" w:rsidP="00B23570">
      <w:pPr>
        <w:pStyle w:val="a5"/>
        <w:ind w:leftChars="300" w:left="720"/>
        <w:jc w:val="both"/>
        <w:rPr>
          <w:rFonts w:ascii="標楷體" w:eastAsia="標楷體" w:hAnsi="標楷體"/>
          <w:szCs w:val="22"/>
        </w:rPr>
      </w:pPr>
      <w:r w:rsidRPr="00212D57">
        <w:rPr>
          <w:rFonts w:eastAsia="標楷體"/>
          <w:szCs w:val="22"/>
        </w:rPr>
        <w:t>命（</w:t>
      </w:r>
      <w:r w:rsidRPr="00761EF3">
        <w:rPr>
          <w:rFonts w:eastAsia="標楷體"/>
          <w:szCs w:val="22"/>
        </w:rPr>
        <w:t>j</w:t>
      </w:r>
      <w:r w:rsidRPr="00761EF3">
        <w:rPr>
          <w:szCs w:val="22"/>
        </w:rPr>
        <w:t>ī</w:t>
      </w:r>
      <w:r w:rsidRPr="00761EF3">
        <w:rPr>
          <w:rFonts w:eastAsia="標楷體"/>
          <w:szCs w:val="22"/>
        </w:rPr>
        <w:t>va</w:t>
      </w:r>
      <w:r w:rsidRPr="00212D57">
        <w:rPr>
          <w:rFonts w:eastAsia="標楷體"/>
          <w:szCs w:val="22"/>
        </w:rPr>
        <w:t>）是一般信仰的生命自體，也就是我（</w:t>
      </w:r>
      <w:r w:rsidRPr="00761EF3">
        <w:rPr>
          <w:szCs w:val="22"/>
        </w:rPr>
        <w:t>ā</w:t>
      </w:r>
      <w:r w:rsidRPr="00761EF3">
        <w:rPr>
          <w:rFonts w:eastAsia="標楷體"/>
          <w:szCs w:val="22"/>
        </w:rPr>
        <w:t>tman</w:t>
      </w:r>
      <w:r w:rsidRPr="00212D57">
        <w:rPr>
          <w:rFonts w:eastAsia="標楷體"/>
          <w:szCs w:val="22"/>
        </w:rPr>
        <w:t>）的別名。身是身體（肉體），這裡引申為生死流轉（十二支，也可約五陰，六處說）的身心綜合體。假如說：我即老死（生、有等），那是以身為自我</w:t>
      </w:r>
      <w:r w:rsidRPr="00212D57">
        <w:rPr>
          <w:rFonts w:ascii="新細明體" w:hAnsi="新細明體"/>
          <w:szCs w:val="22"/>
        </w:rPr>
        <w:t>──</w:t>
      </w:r>
      <w:r w:rsidRPr="00212D57">
        <w:rPr>
          <w:rFonts w:eastAsia="標楷體"/>
          <w:szCs w:val="22"/>
        </w:rPr>
        <w:t>「命即是身」了。假如說：老死屬於我，那是以身為不是我</w:t>
      </w:r>
      <w:r w:rsidRPr="00212D57">
        <w:rPr>
          <w:rFonts w:ascii="新細明體" w:hAnsi="新細明體"/>
          <w:szCs w:val="22"/>
        </w:rPr>
        <w:t>──</w:t>
      </w:r>
      <w:r w:rsidRPr="00212D57">
        <w:rPr>
          <w:rFonts w:eastAsia="標楷體"/>
          <w:szCs w:val="22"/>
        </w:rPr>
        <w:t>「命異身異」了。身是屬於我的，我所有的，所以命是我而身是我所（</w:t>
      </w:r>
      <w:r w:rsidRPr="00761EF3">
        <w:rPr>
          <w:rFonts w:eastAsia="標楷體"/>
          <w:szCs w:val="22"/>
        </w:rPr>
        <w:t>mama</w:t>
      </w:r>
      <w:r w:rsidRPr="00212D57">
        <w:rPr>
          <w:rFonts w:eastAsia="標楷體"/>
          <w:szCs w:val="22"/>
        </w:rPr>
        <w:t>-</w:t>
      </w:r>
      <w:r w:rsidRPr="00761EF3">
        <w:rPr>
          <w:rFonts w:eastAsia="標楷體"/>
          <w:szCs w:val="22"/>
        </w:rPr>
        <w:t>k</w:t>
      </w:r>
      <w:r w:rsidRPr="00761EF3">
        <w:rPr>
          <w:szCs w:val="22"/>
        </w:rPr>
        <w:t>ā</w:t>
      </w:r>
      <w:r w:rsidRPr="00761EF3">
        <w:rPr>
          <w:rFonts w:eastAsia="標楷體"/>
          <w:szCs w:val="22"/>
        </w:rPr>
        <w:t>ra</w:t>
      </w:r>
      <w:r w:rsidRPr="00212D57">
        <w:rPr>
          <w:rFonts w:eastAsia="標楷體"/>
          <w:szCs w:val="22"/>
        </w:rPr>
        <w:t>）。這一則經文，《相應部》「因緣相應」中，也是有的，但沒有《大空經》的名稱。那末，有部所誦的《雜阿含經》，特地稱之為《大空經》，到底意義何在？《瑜伽論》解說為：「一切無我，無有差別，總名為空，謂補特伽羅無我及法無我。補特伽羅無我者，謂離一切緣生行外，別有實我不可得故。法無我者，謂即一切緣生諸行，性非實我，是無常故。如是二種略攝為一，彼處說此名為大空</w:t>
      </w:r>
      <w:r>
        <w:rPr>
          <w:rFonts w:eastAsia="標楷體"/>
          <w:szCs w:val="22"/>
        </w:rPr>
        <w:t>。</w:t>
      </w:r>
      <w:r w:rsidRPr="00212D57">
        <w:rPr>
          <w:rFonts w:eastAsia="標楷體"/>
          <w:szCs w:val="22"/>
        </w:rPr>
        <w:t>」依《瑜伽論》說：補特伽羅無我與法無我，總名為大空。補特伽羅無我，是「命異身異」的，身外的實我不可得。法無我是「命即是身」的，即身的實我不可得，這二種無我，也可說是二種空，所以總名為大空。所說的法無我，與「一切法空」說不同，只是法不是實我，還是「法有我無」說。不過，有的就解說「大空」為我法皆空了。</w:t>
      </w:r>
    </w:p>
  </w:footnote>
  <w:footnote w:id="81">
    <w:p w:rsidR="00157EF6" w:rsidRPr="00212D57" w:rsidRDefault="00157EF6" w:rsidP="008E68AA">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rFonts w:hint="eastAsia"/>
          <w:szCs w:val="22"/>
        </w:rPr>
        <w:t>《雜阿含經》卷</w:t>
      </w:r>
      <w:r w:rsidRPr="00761EF3">
        <w:rPr>
          <w:szCs w:val="22"/>
        </w:rPr>
        <w:t>12</w:t>
      </w:r>
      <w:r w:rsidRPr="00212D57">
        <w:rPr>
          <w:szCs w:val="22"/>
        </w:rPr>
        <w:t>（</w:t>
      </w:r>
      <w:r w:rsidRPr="00761EF3">
        <w:rPr>
          <w:rFonts w:hint="eastAsia"/>
          <w:szCs w:val="22"/>
        </w:rPr>
        <w:t>297</w:t>
      </w:r>
      <w:r w:rsidRPr="00212D57">
        <w:rPr>
          <w:rFonts w:hint="eastAsia"/>
          <w:szCs w:val="22"/>
        </w:rPr>
        <w:t>經</w:t>
      </w:r>
      <w:r w:rsidRPr="00212D57">
        <w:rPr>
          <w:szCs w:val="22"/>
        </w:rPr>
        <w:t>）（</w:t>
      </w:r>
      <w:r w:rsidRPr="00212D57">
        <w:rPr>
          <w:rFonts w:hint="eastAsia"/>
          <w:szCs w:val="22"/>
        </w:rPr>
        <w:t>大正</w:t>
      </w:r>
      <w:r w:rsidRPr="00761EF3">
        <w:rPr>
          <w:szCs w:val="22"/>
        </w:rPr>
        <w:t>2</w:t>
      </w:r>
      <w:r w:rsidRPr="00212D57">
        <w:rPr>
          <w:szCs w:val="22"/>
        </w:rPr>
        <w:t>，</w:t>
      </w:r>
      <w:r w:rsidRPr="00761EF3">
        <w:rPr>
          <w:szCs w:val="22"/>
        </w:rPr>
        <w:t>84c20</w:t>
      </w:r>
      <w:r w:rsidRPr="00212D57">
        <w:rPr>
          <w:rFonts w:hint="eastAsia"/>
          <w:szCs w:val="22"/>
        </w:rPr>
        <w:t>-</w:t>
      </w:r>
      <w:r w:rsidRPr="00761EF3">
        <w:rPr>
          <w:szCs w:val="22"/>
        </w:rPr>
        <w:t>25</w:t>
      </w:r>
      <w:r w:rsidRPr="00212D57">
        <w:rPr>
          <w:szCs w:val="22"/>
        </w:rPr>
        <w:t>）</w:t>
      </w:r>
      <w:r w:rsidRPr="00212D57">
        <w:rPr>
          <w:rFonts w:hint="eastAsia"/>
          <w:szCs w:val="22"/>
        </w:rPr>
        <w:t>：</w:t>
      </w:r>
    </w:p>
    <w:p w:rsidR="00157EF6" w:rsidRPr="00212D57" w:rsidRDefault="00157EF6" w:rsidP="00B23570">
      <w:pPr>
        <w:pStyle w:val="a5"/>
        <w:ind w:leftChars="75" w:left="180"/>
        <w:jc w:val="both"/>
        <w:rPr>
          <w:rFonts w:ascii="標楷體" w:eastAsia="標楷體" w:hAnsi="標楷體"/>
          <w:b/>
          <w:szCs w:val="22"/>
        </w:rPr>
      </w:pPr>
      <w:r w:rsidRPr="00212D57">
        <w:rPr>
          <w:rFonts w:ascii="標楷體" w:eastAsia="標楷體" w:hAnsi="標楷體" w:hint="eastAsia"/>
          <w:szCs w:val="22"/>
        </w:rPr>
        <w:t>云何為</w:t>
      </w:r>
      <w:r w:rsidR="000C79F9">
        <w:rPr>
          <w:rFonts w:ascii="標楷體" w:eastAsia="標楷體" w:hAnsi="標楷體" w:hint="eastAsia"/>
          <w:bCs/>
          <w:color w:val="FF0000"/>
          <w:kern w:val="0"/>
          <w:highlight w:val="yellow"/>
        </w:rPr>
        <w:t>「</w:t>
      </w:r>
      <w:r w:rsidRPr="00212D57">
        <w:rPr>
          <w:rFonts w:ascii="標楷體" w:eastAsia="標楷體" w:hAnsi="標楷體" w:hint="eastAsia"/>
          <w:b/>
          <w:szCs w:val="22"/>
        </w:rPr>
        <w:t>大空法經</w:t>
      </w:r>
      <w:r w:rsidR="000C79F9">
        <w:rPr>
          <w:rFonts w:ascii="標楷體" w:eastAsia="標楷體" w:hAnsi="標楷體" w:hint="eastAsia"/>
          <w:bCs/>
          <w:color w:val="FF0000"/>
          <w:kern w:val="0"/>
          <w:highlight w:val="yellow"/>
        </w:rPr>
        <w:t>」</w:t>
      </w:r>
      <w:r w:rsidRPr="00212D57">
        <w:rPr>
          <w:rFonts w:ascii="標楷體" w:eastAsia="標楷體" w:hAnsi="標楷體" w:hint="eastAsia"/>
          <w:szCs w:val="22"/>
        </w:rPr>
        <w:t>？所謂</w:t>
      </w:r>
      <w:r w:rsidR="000C79F9">
        <w:rPr>
          <w:rFonts w:ascii="標楷體" w:eastAsia="標楷體" w:hAnsi="標楷體" w:hint="eastAsia"/>
          <w:bCs/>
          <w:color w:val="FF0000"/>
          <w:kern w:val="0"/>
          <w:highlight w:val="yellow"/>
        </w:rPr>
        <w:t>「</w:t>
      </w:r>
      <w:r w:rsidRPr="00212D57">
        <w:rPr>
          <w:rFonts w:ascii="標楷體" w:eastAsia="標楷體" w:hAnsi="標楷體" w:hint="eastAsia"/>
          <w:szCs w:val="22"/>
        </w:rPr>
        <w:t>此有故彼有，此起故彼起</w:t>
      </w:r>
      <w:r w:rsidR="000C79F9">
        <w:rPr>
          <w:rFonts w:ascii="標楷體" w:eastAsia="標楷體" w:hAnsi="標楷體" w:hint="eastAsia"/>
          <w:bCs/>
          <w:color w:val="FF0000"/>
          <w:kern w:val="0"/>
          <w:highlight w:val="yellow"/>
        </w:rPr>
        <w:t>」</w:t>
      </w:r>
      <w:r w:rsidRPr="00212D57">
        <w:rPr>
          <w:rFonts w:ascii="標楷體" w:eastAsia="標楷體" w:hAnsi="標楷體" w:hint="eastAsia"/>
          <w:szCs w:val="22"/>
        </w:rPr>
        <w:t>，謂緣無明行，緣行識，乃至純大苦聚集。</w:t>
      </w:r>
      <w:r w:rsidR="000C79F9">
        <w:rPr>
          <w:rFonts w:ascii="標楷體" w:eastAsia="標楷體" w:hAnsi="標楷體" w:hint="eastAsia"/>
          <w:bCs/>
          <w:color w:val="FF0000"/>
          <w:kern w:val="0"/>
          <w:highlight w:val="yellow"/>
        </w:rPr>
        <w:t>「</w:t>
      </w:r>
      <w:r w:rsidRPr="00212D57">
        <w:rPr>
          <w:rFonts w:ascii="標楷體" w:eastAsia="標楷體" w:hAnsi="標楷體" w:hint="eastAsia"/>
          <w:szCs w:val="22"/>
        </w:rPr>
        <w:t>緣生老死</w:t>
      </w:r>
      <w:r w:rsidR="000C79F9">
        <w:rPr>
          <w:rFonts w:ascii="標楷體" w:eastAsia="標楷體" w:hAnsi="標楷體" w:hint="eastAsia"/>
          <w:bCs/>
          <w:color w:val="FF0000"/>
          <w:kern w:val="0"/>
          <w:highlight w:val="yellow"/>
        </w:rPr>
        <w:t>」</w:t>
      </w:r>
      <w:r w:rsidRPr="00212D57">
        <w:rPr>
          <w:rFonts w:ascii="標楷體" w:eastAsia="標楷體" w:hAnsi="標楷體" w:hint="eastAsia"/>
          <w:szCs w:val="22"/>
        </w:rPr>
        <w:t>者，若有問言：</w:t>
      </w:r>
      <w:r w:rsidR="000C79F9">
        <w:rPr>
          <w:rFonts w:ascii="標楷體" w:eastAsia="標楷體" w:hAnsi="標楷體" w:hint="eastAsia"/>
          <w:bCs/>
          <w:color w:val="FF0000"/>
          <w:kern w:val="0"/>
          <w:highlight w:val="yellow"/>
        </w:rPr>
        <w:t>「</w:t>
      </w:r>
      <w:r w:rsidRPr="00212D57">
        <w:rPr>
          <w:rFonts w:ascii="標楷體" w:eastAsia="標楷體" w:hAnsi="標楷體" w:hint="eastAsia"/>
          <w:szCs w:val="22"/>
        </w:rPr>
        <w:t>彼誰老死？老死屬誰？</w:t>
      </w:r>
      <w:r w:rsidR="000C79F9">
        <w:rPr>
          <w:rFonts w:ascii="標楷體" w:eastAsia="標楷體" w:hAnsi="標楷體" w:hint="eastAsia"/>
          <w:bCs/>
          <w:color w:val="FF0000"/>
          <w:kern w:val="0"/>
          <w:highlight w:val="yellow"/>
        </w:rPr>
        <w:t>」</w:t>
      </w:r>
      <w:r w:rsidRPr="00212D57">
        <w:rPr>
          <w:rFonts w:ascii="標楷體" w:eastAsia="標楷體" w:hAnsi="標楷體" w:hint="eastAsia"/>
          <w:szCs w:val="22"/>
        </w:rPr>
        <w:t>彼則答言：</w:t>
      </w:r>
      <w:r w:rsidR="000C79F9">
        <w:rPr>
          <w:rFonts w:ascii="標楷體" w:eastAsia="標楷體" w:hAnsi="標楷體" w:hint="eastAsia"/>
          <w:bCs/>
          <w:color w:val="FF0000"/>
          <w:kern w:val="0"/>
          <w:highlight w:val="yellow"/>
        </w:rPr>
        <w:t>「</w:t>
      </w:r>
      <w:r w:rsidRPr="00212D57">
        <w:rPr>
          <w:rFonts w:ascii="標楷體" w:eastAsia="標楷體" w:hAnsi="標楷體" w:hint="eastAsia"/>
          <w:szCs w:val="22"/>
        </w:rPr>
        <w:t>我即老死；今老死屬我，老死是我所。</w:t>
      </w:r>
      <w:r w:rsidR="000C79F9">
        <w:rPr>
          <w:rFonts w:ascii="標楷體" w:eastAsia="標楷體" w:hAnsi="標楷體" w:hint="eastAsia"/>
          <w:bCs/>
          <w:color w:val="FF0000"/>
          <w:kern w:val="0"/>
          <w:highlight w:val="yellow"/>
        </w:rPr>
        <w:t>」</w:t>
      </w:r>
      <w:r w:rsidRPr="00212D57">
        <w:rPr>
          <w:rFonts w:ascii="標楷體" w:eastAsia="標楷體" w:hAnsi="標楷體" w:hint="eastAsia"/>
          <w:szCs w:val="22"/>
        </w:rPr>
        <w:t>言</w:t>
      </w:r>
      <w:r w:rsidR="000C79F9">
        <w:rPr>
          <w:rFonts w:ascii="標楷體" w:eastAsia="標楷體" w:hAnsi="標楷體" w:hint="eastAsia"/>
          <w:bCs/>
          <w:color w:val="FF0000"/>
          <w:kern w:val="0"/>
          <w:highlight w:val="yellow"/>
        </w:rPr>
        <w:t>「</w:t>
      </w:r>
      <w:r w:rsidRPr="00212D57">
        <w:rPr>
          <w:rFonts w:ascii="標楷體" w:eastAsia="標楷體" w:hAnsi="標楷體" w:hint="eastAsia"/>
          <w:szCs w:val="22"/>
        </w:rPr>
        <w:t>命即是身</w:t>
      </w:r>
      <w:r w:rsidR="000C79F9">
        <w:rPr>
          <w:rFonts w:ascii="標楷體" w:eastAsia="標楷體" w:hAnsi="標楷體" w:hint="eastAsia"/>
          <w:bCs/>
          <w:color w:val="FF0000"/>
          <w:kern w:val="0"/>
          <w:highlight w:val="yellow"/>
        </w:rPr>
        <w:t>」</w:t>
      </w:r>
      <w:r w:rsidRPr="00212D57">
        <w:rPr>
          <w:rFonts w:ascii="標楷體" w:eastAsia="標楷體" w:hAnsi="標楷體" w:hint="eastAsia"/>
          <w:szCs w:val="22"/>
        </w:rPr>
        <w:t>，或言</w:t>
      </w:r>
      <w:r w:rsidR="000C79F9">
        <w:rPr>
          <w:rFonts w:ascii="標楷體" w:eastAsia="標楷體" w:hAnsi="標楷體" w:hint="eastAsia"/>
          <w:bCs/>
          <w:color w:val="FF0000"/>
          <w:kern w:val="0"/>
          <w:highlight w:val="yellow"/>
        </w:rPr>
        <w:t>「</w:t>
      </w:r>
      <w:r w:rsidRPr="00212D57">
        <w:rPr>
          <w:rFonts w:ascii="標楷體" w:eastAsia="標楷體" w:hAnsi="標楷體" w:hint="eastAsia"/>
          <w:szCs w:val="22"/>
        </w:rPr>
        <w:t>命異身異</w:t>
      </w:r>
      <w:r w:rsidR="000C79F9">
        <w:rPr>
          <w:rFonts w:ascii="標楷體" w:eastAsia="標楷體" w:hAnsi="標楷體" w:hint="eastAsia"/>
          <w:bCs/>
          <w:color w:val="FF0000"/>
          <w:kern w:val="0"/>
          <w:highlight w:val="yellow"/>
        </w:rPr>
        <w:t>」</w:t>
      </w:r>
      <w:r w:rsidRPr="00212D57">
        <w:rPr>
          <w:rFonts w:ascii="標楷體" w:eastAsia="標楷體" w:hAnsi="標楷體" w:hint="eastAsia"/>
          <w:szCs w:val="22"/>
        </w:rPr>
        <w:t>，此則一義而說有種種。</w:t>
      </w:r>
      <w:r w:rsidRPr="00212D57">
        <w:rPr>
          <w:rFonts w:ascii="標楷體" w:eastAsia="標楷體" w:hAnsi="標楷體" w:hint="eastAsia"/>
          <w:b/>
          <w:szCs w:val="22"/>
        </w:rPr>
        <w:t>若見言</w:t>
      </w:r>
      <w:r w:rsidR="000C79F9">
        <w:rPr>
          <w:rFonts w:ascii="標楷體" w:eastAsia="標楷體" w:hAnsi="標楷體" w:hint="eastAsia"/>
          <w:bCs/>
          <w:color w:val="FF0000"/>
          <w:kern w:val="0"/>
          <w:highlight w:val="yellow"/>
        </w:rPr>
        <w:t>「</w:t>
      </w:r>
      <w:r w:rsidRPr="00212D57">
        <w:rPr>
          <w:rFonts w:ascii="標楷體" w:eastAsia="標楷體" w:hAnsi="標楷體" w:hint="eastAsia"/>
          <w:b/>
          <w:szCs w:val="22"/>
        </w:rPr>
        <w:t>命即是身</w:t>
      </w:r>
      <w:r w:rsidR="000C79F9">
        <w:rPr>
          <w:rFonts w:ascii="標楷體" w:eastAsia="標楷體" w:hAnsi="標楷體" w:hint="eastAsia"/>
          <w:bCs/>
          <w:color w:val="FF0000"/>
          <w:kern w:val="0"/>
          <w:highlight w:val="yellow"/>
        </w:rPr>
        <w:t>」</w:t>
      </w:r>
      <w:r w:rsidRPr="00212D57">
        <w:rPr>
          <w:rFonts w:ascii="標楷體" w:eastAsia="標楷體" w:hAnsi="標楷體" w:hint="eastAsia"/>
          <w:b/>
          <w:szCs w:val="22"/>
        </w:rPr>
        <w:t>，彼梵行者所無有；若復見言</w:t>
      </w:r>
      <w:r w:rsidR="000C79F9">
        <w:rPr>
          <w:rFonts w:ascii="標楷體" w:eastAsia="標楷體" w:hAnsi="標楷體" w:hint="eastAsia"/>
          <w:bCs/>
          <w:color w:val="FF0000"/>
          <w:kern w:val="0"/>
          <w:highlight w:val="yellow"/>
        </w:rPr>
        <w:t>「</w:t>
      </w:r>
      <w:r w:rsidRPr="00212D57">
        <w:rPr>
          <w:rFonts w:ascii="標楷體" w:eastAsia="標楷體" w:hAnsi="標楷體" w:hint="eastAsia"/>
          <w:b/>
          <w:szCs w:val="22"/>
        </w:rPr>
        <w:t>命異身異</w:t>
      </w:r>
      <w:r w:rsidR="000C79F9">
        <w:rPr>
          <w:rFonts w:ascii="標楷體" w:eastAsia="標楷體" w:hAnsi="標楷體" w:hint="eastAsia"/>
          <w:bCs/>
          <w:color w:val="FF0000"/>
          <w:kern w:val="0"/>
          <w:highlight w:val="yellow"/>
        </w:rPr>
        <w:t>」</w:t>
      </w:r>
      <w:r w:rsidRPr="00212D57">
        <w:rPr>
          <w:rFonts w:ascii="標楷體" w:eastAsia="標楷體" w:hAnsi="標楷體" w:hint="eastAsia"/>
          <w:b/>
          <w:szCs w:val="22"/>
        </w:rPr>
        <w:t>，梵行者所無有。於此二邊，心所不隨，正向中道，賢聖出世如實不顛倒正見，謂</w:t>
      </w:r>
      <w:r w:rsidR="00A42B78">
        <w:rPr>
          <w:rFonts w:ascii="標楷體" w:eastAsia="標楷體" w:hAnsi="標楷體" w:hint="eastAsia"/>
          <w:bCs/>
          <w:color w:val="FF0000"/>
          <w:kern w:val="0"/>
          <w:highlight w:val="yellow"/>
        </w:rPr>
        <w:t>「</w:t>
      </w:r>
      <w:r w:rsidRPr="00212D57">
        <w:rPr>
          <w:rFonts w:ascii="標楷體" w:eastAsia="標楷體" w:hAnsi="標楷體" w:hint="eastAsia"/>
          <w:b/>
          <w:szCs w:val="22"/>
        </w:rPr>
        <w:t>緣生</w:t>
      </w:r>
      <w:r w:rsidR="00A42B78">
        <w:rPr>
          <w:rFonts w:ascii="標楷體" w:eastAsia="標楷體" w:hAnsi="標楷體" w:hint="eastAsia"/>
          <w:color w:val="FF0000"/>
          <w:kern w:val="0"/>
          <w:highlight w:val="yellow"/>
        </w:rPr>
        <w:t>，</w:t>
      </w:r>
      <w:r w:rsidRPr="00212D57">
        <w:rPr>
          <w:rFonts w:ascii="標楷體" w:eastAsia="標楷體" w:hAnsi="標楷體" w:hint="eastAsia"/>
          <w:b/>
          <w:szCs w:val="22"/>
        </w:rPr>
        <w:t>老死</w:t>
      </w:r>
      <w:bookmarkStart w:id="15" w:name="0084c24"/>
      <w:r w:rsidR="000C79F9">
        <w:rPr>
          <w:rFonts w:ascii="標楷體" w:eastAsia="標楷體" w:hAnsi="標楷體" w:hint="eastAsia"/>
          <w:color w:val="FF0000"/>
          <w:spacing w:val="-4"/>
          <w:kern w:val="0"/>
          <w:highlight w:val="yellow"/>
        </w:rPr>
        <w:t>；</w:t>
      </w:r>
      <w:r w:rsidRPr="00212D57">
        <w:rPr>
          <w:rFonts w:ascii="標楷體" w:eastAsia="標楷體" w:hAnsi="標楷體"/>
          <w:szCs w:val="22"/>
        </w:rPr>
        <w:t>如是生</w:t>
      </w:r>
      <w:r w:rsidRPr="00212D57">
        <w:rPr>
          <w:rFonts w:ascii="標楷體" w:eastAsia="標楷體" w:hAnsi="標楷體" w:hint="eastAsia"/>
          <w:szCs w:val="22"/>
        </w:rPr>
        <w:t>、</w:t>
      </w:r>
      <w:r w:rsidRPr="00212D57">
        <w:rPr>
          <w:rFonts w:ascii="標楷體" w:eastAsia="標楷體" w:hAnsi="標楷體"/>
          <w:szCs w:val="22"/>
        </w:rPr>
        <w:t>有</w:t>
      </w:r>
      <w:r w:rsidRPr="00212D57">
        <w:rPr>
          <w:rFonts w:ascii="標楷體" w:eastAsia="標楷體" w:hAnsi="標楷體" w:hint="eastAsia"/>
          <w:szCs w:val="22"/>
        </w:rPr>
        <w:t>、</w:t>
      </w:r>
      <w:r w:rsidRPr="00212D57">
        <w:rPr>
          <w:rFonts w:ascii="標楷體" w:eastAsia="標楷體" w:hAnsi="標楷體"/>
          <w:szCs w:val="22"/>
        </w:rPr>
        <w:t>取</w:t>
      </w:r>
      <w:r w:rsidRPr="00212D57">
        <w:rPr>
          <w:rFonts w:ascii="標楷體" w:eastAsia="標楷體" w:hAnsi="標楷體" w:hint="eastAsia"/>
          <w:szCs w:val="22"/>
        </w:rPr>
        <w:t>、</w:t>
      </w:r>
      <w:r w:rsidRPr="00212D57">
        <w:rPr>
          <w:rFonts w:ascii="標楷體" w:eastAsia="標楷體" w:hAnsi="標楷體"/>
          <w:szCs w:val="22"/>
        </w:rPr>
        <w:t>愛</w:t>
      </w:r>
      <w:r w:rsidRPr="00212D57">
        <w:rPr>
          <w:rFonts w:ascii="標楷體" w:eastAsia="標楷體" w:hAnsi="標楷體" w:hint="eastAsia"/>
          <w:szCs w:val="22"/>
        </w:rPr>
        <w:t>、</w:t>
      </w:r>
      <w:r w:rsidRPr="00212D57">
        <w:rPr>
          <w:rFonts w:ascii="標楷體" w:eastAsia="標楷體" w:hAnsi="標楷體"/>
          <w:szCs w:val="22"/>
        </w:rPr>
        <w:t>受</w:t>
      </w:r>
      <w:r w:rsidRPr="00212D57">
        <w:rPr>
          <w:rFonts w:ascii="標楷體" w:eastAsia="標楷體" w:hAnsi="標楷體" w:hint="eastAsia"/>
          <w:szCs w:val="22"/>
        </w:rPr>
        <w:t>、</w:t>
      </w:r>
      <w:r w:rsidRPr="00212D57">
        <w:rPr>
          <w:rFonts w:ascii="標楷體" w:eastAsia="標楷體" w:hAnsi="標楷體"/>
          <w:szCs w:val="22"/>
        </w:rPr>
        <w:t>觸</w:t>
      </w:r>
      <w:r w:rsidRPr="00212D57">
        <w:rPr>
          <w:rFonts w:ascii="標楷體" w:eastAsia="標楷體" w:hAnsi="標楷體" w:hint="eastAsia"/>
          <w:szCs w:val="22"/>
        </w:rPr>
        <w:t>、</w:t>
      </w:r>
      <w:r w:rsidRPr="00212D57">
        <w:rPr>
          <w:rFonts w:ascii="標楷體" w:eastAsia="標楷體" w:hAnsi="標楷體"/>
          <w:szCs w:val="22"/>
        </w:rPr>
        <w:t>六入處</w:t>
      </w:r>
      <w:r w:rsidRPr="00212D57">
        <w:rPr>
          <w:rFonts w:ascii="標楷體" w:eastAsia="標楷體" w:hAnsi="標楷體" w:hint="eastAsia"/>
          <w:szCs w:val="22"/>
        </w:rPr>
        <w:t>、</w:t>
      </w:r>
      <w:r w:rsidRPr="00212D57">
        <w:rPr>
          <w:rFonts w:ascii="標楷體" w:eastAsia="標楷體" w:hAnsi="標楷體"/>
          <w:szCs w:val="22"/>
        </w:rPr>
        <w:t>名色</w:t>
      </w:r>
      <w:r w:rsidRPr="00212D57">
        <w:rPr>
          <w:rFonts w:ascii="標楷體" w:eastAsia="標楷體" w:hAnsi="標楷體" w:hint="eastAsia"/>
          <w:szCs w:val="22"/>
        </w:rPr>
        <w:t>、</w:t>
      </w:r>
      <w:r w:rsidRPr="00212D57">
        <w:rPr>
          <w:rFonts w:ascii="標楷體" w:eastAsia="標楷體" w:hAnsi="標楷體"/>
          <w:szCs w:val="22"/>
        </w:rPr>
        <w:t>識</w:t>
      </w:r>
      <w:r w:rsidRPr="00212D57">
        <w:rPr>
          <w:rFonts w:ascii="標楷體" w:eastAsia="標楷體" w:hAnsi="標楷體" w:hint="eastAsia"/>
          <w:szCs w:val="22"/>
        </w:rPr>
        <w:t>、</w:t>
      </w:r>
      <w:r w:rsidRPr="00212D57">
        <w:rPr>
          <w:rFonts w:ascii="標楷體" w:eastAsia="標楷體" w:hAnsi="標楷體"/>
          <w:szCs w:val="22"/>
        </w:rPr>
        <w:t>行</w:t>
      </w:r>
      <w:bookmarkStart w:id="16" w:name="0084c25"/>
      <w:bookmarkEnd w:id="15"/>
      <w:r w:rsidR="000C79F9">
        <w:rPr>
          <w:rFonts w:ascii="標楷體" w:eastAsia="標楷體" w:hAnsi="標楷體" w:hint="eastAsia"/>
          <w:color w:val="FF0000"/>
          <w:spacing w:val="-4"/>
          <w:kern w:val="0"/>
          <w:highlight w:val="yellow"/>
        </w:rPr>
        <w:t>；</w:t>
      </w:r>
      <w:r w:rsidRPr="00212D57">
        <w:rPr>
          <w:rFonts w:ascii="標楷體" w:eastAsia="標楷體" w:hAnsi="標楷體"/>
          <w:b/>
          <w:szCs w:val="22"/>
        </w:rPr>
        <w:t>緣無明故有行</w:t>
      </w:r>
      <w:r w:rsidR="00A42B78">
        <w:rPr>
          <w:rFonts w:ascii="標楷體" w:eastAsia="標楷體" w:hAnsi="標楷體" w:hint="eastAsia"/>
          <w:bCs/>
          <w:color w:val="FF0000"/>
          <w:kern w:val="0"/>
          <w:highlight w:val="yellow"/>
        </w:rPr>
        <w:t>」</w:t>
      </w:r>
      <w:r w:rsidRPr="00212D57">
        <w:rPr>
          <w:rFonts w:ascii="標楷體" w:eastAsia="標楷體" w:hAnsi="標楷體"/>
          <w:b/>
          <w:szCs w:val="22"/>
        </w:rPr>
        <w:t>。</w:t>
      </w:r>
      <w:bookmarkEnd w:id="16"/>
    </w:p>
    <w:p w:rsidR="00157EF6" w:rsidRPr="00212D57" w:rsidRDefault="00157EF6" w:rsidP="00B23570">
      <w:pPr>
        <w:pStyle w:val="a5"/>
        <w:ind w:leftChars="75" w:left="180"/>
        <w:jc w:val="both"/>
        <w:rPr>
          <w:szCs w:val="22"/>
        </w:rPr>
      </w:pPr>
      <w:r w:rsidRPr="00212D57">
        <w:rPr>
          <w:rFonts w:ascii="標楷體" w:eastAsia="標楷體" w:hAnsi="標楷體" w:hint="eastAsia"/>
          <w:szCs w:val="22"/>
        </w:rPr>
        <w:t>諸比丘！若無明離欲而生明，彼誰老死，老死屬誰者，老死則斷，則知斷其根本，如截多羅樹頭，於未來世成不生法。</w:t>
      </w:r>
      <w:r w:rsidRPr="001E00A5">
        <w:rPr>
          <w:rFonts w:ascii="標楷體" w:eastAsia="標楷體" w:hAnsi="標楷體" w:hint="eastAsia"/>
          <w:szCs w:val="22"/>
          <w:shd w:val="pct15" w:color="auto" w:fill="FFFFFF"/>
        </w:rPr>
        <w:t>…</w:t>
      </w:r>
      <w:r w:rsidRPr="001E00A5" w:rsidDel="00DC6A83">
        <w:rPr>
          <w:rFonts w:ascii="標楷體" w:eastAsia="標楷體" w:hAnsi="標楷體" w:hint="eastAsia"/>
          <w:szCs w:val="22"/>
          <w:shd w:val="pct15" w:color="auto" w:fill="FFFFFF"/>
        </w:rPr>
        <w:t>…</w:t>
      </w:r>
      <w:r w:rsidRPr="00212D57">
        <w:rPr>
          <w:rFonts w:ascii="標楷體" w:eastAsia="標楷體" w:hAnsi="標楷體" w:hint="eastAsia"/>
          <w:szCs w:val="22"/>
        </w:rPr>
        <w:t>。若比丘！無明離欲而生明，彼無明滅則行滅，乃至純大苦聚滅</w:t>
      </w:r>
      <w:r w:rsidR="000C79F9">
        <w:rPr>
          <w:rFonts w:ascii="標楷體" w:eastAsia="標楷體" w:hAnsi="標楷體" w:hint="eastAsia"/>
          <w:color w:val="FF0000"/>
          <w:kern w:val="0"/>
          <w:highlight w:val="yellow"/>
        </w:rPr>
        <w:t>。</w:t>
      </w:r>
      <w:r w:rsidRPr="00212D57">
        <w:rPr>
          <w:rFonts w:ascii="標楷體" w:eastAsia="標楷體" w:hAnsi="標楷體" w:hint="eastAsia"/>
          <w:szCs w:val="22"/>
        </w:rPr>
        <w:t>是名</w:t>
      </w:r>
      <w:r w:rsidR="000C79F9">
        <w:rPr>
          <w:rFonts w:ascii="標楷體" w:eastAsia="標楷體" w:hAnsi="標楷體" w:hint="eastAsia"/>
          <w:bCs/>
          <w:color w:val="FF0000"/>
          <w:kern w:val="0"/>
          <w:highlight w:val="yellow"/>
        </w:rPr>
        <w:t>「</w:t>
      </w:r>
      <w:r w:rsidRPr="00212D57">
        <w:rPr>
          <w:rFonts w:ascii="標楷體" w:eastAsia="標楷體" w:hAnsi="標楷體" w:hint="eastAsia"/>
          <w:b/>
          <w:szCs w:val="22"/>
        </w:rPr>
        <w:t>大空法經</w:t>
      </w:r>
      <w:r w:rsidR="000C79F9">
        <w:rPr>
          <w:rFonts w:ascii="標楷體" w:eastAsia="標楷體" w:hAnsi="標楷體" w:hint="eastAsia"/>
          <w:bCs/>
          <w:color w:val="FF0000"/>
          <w:kern w:val="0"/>
          <w:highlight w:val="yellow"/>
        </w:rPr>
        <w:t>」</w:t>
      </w:r>
      <w:r w:rsidRPr="00212D57">
        <w:rPr>
          <w:rFonts w:ascii="標楷體" w:eastAsia="標楷體" w:hAnsi="標楷體" w:hint="eastAsia"/>
          <w:szCs w:val="22"/>
        </w:rPr>
        <w:t>。</w:t>
      </w:r>
    </w:p>
  </w:footnote>
  <w:footnote w:id="82">
    <w:p w:rsidR="00157EF6" w:rsidRPr="00212D57" w:rsidRDefault="00157EF6" w:rsidP="00807D20">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另參見《雜阿含經》卷</w:t>
      </w:r>
      <w:r w:rsidRPr="00761EF3">
        <w:rPr>
          <w:szCs w:val="22"/>
        </w:rPr>
        <w:t>34</w:t>
      </w:r>
      <w:r w:rsidRPr="00212D57">
        <w:rPr>
          <w:szCs w:val="22"/>
        </w:rPr>
        <w:t>（</w:t>
      </w:r>
      <w:r w:rsidRPr="00761EF3">
        <w:rPr>
          <w:szCs w:val="22"/>
        </w:rPr>
        <w:t>961</w:t>
      </w:r>
      <w:r w:rsidRPr="00212D57">
        <w:rPr>
          <w:szCs w:val="22"/>
        </w:rPr>
        <w:t>經）</w:t>
      </w:r>
      <w:r w:rsidRPr="00212D57">
        <w:rPr>
          <w:rFonts w:hint="eastAsia"/>
          <w:szCs w:val="22"/>
        </w:rPr>
        <w:t>（</w:t>
      </w:r>
      <w:r w:rsidRPr="00212D57">
        <w:rPr>
          <w:szCs w:val="22"/>
        </w:rPr>
        <w:t>大正</w:t>
      </w:r>
      <w:r w:rsidRPr="00761EF3">
        <w:rPr>
          <w:szCs w:val="22"/>
        </w:rPr>
        <w:t>2</w:t>
      </w:r>
      <w:r w:rsidRPr="00212D57">
        <w:rPr>
          <w:szCs w:val="22"/>
        </w:rPr>
        <w:t>，</w:t>
      </w:r>
      <w:r w:rsidRPr="00761EF3">
        <w:rPr>
          <w:szCs w:val="22"/>
        </w:rPr>
        <w:t>245b</w:t>
      </w:r>
      <w:r w:rsidRPr="00212D57">
        <w:rPr>
          <w:rFonts w:hint="eastAsia"/>
          <w:szCs w:val="22"/>
        </w:rPr>
        <w:t>）</w:t>
      </w:r>
      <w:r w:rsidRPr="00212D57">
        <w:rPr>
          <w:szCs w:val="22"/>
        </w:rPr>
        <w:t>。</w:t>
      </w:r>
    </w:p>
  </w:footnote>
  <w:footnote w:id="83">
    <w:p w:rsidR="00157EF6" w:rsidRPr="00212D57" w:rsidRDefault="00157EF6" w:rsidP="00807D20">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另</w:t>
      </w:r>
      <w:r w:rsidR="009160B5">
        <w:rPr>
          <w:szCs w:val="22"/>
        </w:rPr>
        <w:t>參見：印</w:t>
      </w:r>
      <w:r w:rsidRPr="00212D57">
        <w:rPr>
          <w:szCs w:val="22"/>
        </w:rPr>
        <w:t>順法師，《</w:t>
      </w:r>
      <w:r w:rsidRPr="00212D57">
        <w:rPr>
          <w:rFonts w:hint="eastAsia"/>
          <w:szCs w:val="22"/>
        </w:rPr>
        <w:t>以佛法研究佛法》</w:t>
      </w:r>
      <w:r w:rsidRPr="00212D57">
        <w:rPr>
          <w:szCs w:val="22"/>
        </w:rPr>
        <w:t>，</w:t>
      </w:r>
      <w:r w:rsidRPr="00761EF3">
        <w:rPr>
          <w:szCs w:val="22"/>
        </w:rPr>
        <w:t>p</w:t>
      </w:r>
      <w:r w:rsidRPr="00212D57">
        <w:rPr>
          <w:szCs w:val="22"/>
        </w:rPr>
        <w:t>.</w:t>
      </w:r>
      <w:r w:rsidRPr="00761EF3">
        <w:rPr>
          <w:szCs w:val="22"/>
        </w:rPr>
        <w:t>115</w:t>
      </w:r>
      <w:r w:rsidRPr="00212D57">
        <w:rPr>
          <w:szCs w:val="22"/>
        </w:rPr>
        <w:t>：</w:t>
      </w:r>
    </w:p>
    <w:p w:rsidR="00157EF6" w:rsidRPr="00212D57" w:rsidRDefault="00157EF6" w:rsidP="00DC1149">
      <w:pPr>
        <w:pStyle w:val="a5"/>
        <w:ind w:leftChars="105" w:left="252"/>
        <w:jc w:val="both"/>
        <w:rPr>
          <w:rFonts w:ascii="標楷體" w:eastAsia="標楷體" w:hAnsi="標楷體"/>
          <w:szCs w:val="22"/>
        </w:rPr>
      </w:pPr>
      <w:r w:rsidRPr="00212D57">
        <w:rPr>
          <w:rFonts w:ascii="標楷體" w:eastAsia="標楷體" w:hAnsi="標楷體" w:hint="eastAsia"/>
          <w:szCs w:val="22"/>
        </w:rPr>
        <w:t>「法說，義說」。</w:t>
      </w:r>
      <w:r w:rsidRPr="00212D57">
        <w:rPr>
          <w:rFonts w:ascii="標楷體" w:eastAsia="標楷體" w:hAnsi="標楷體" w:hint="eastAsia"/>
          <w:b/>
          <w:szCs w:val="22"/>
        </w:rPr>
        <w:t>法是如實知見的緣起支</w:t>
      </w:r>
      <w:r w:rsidRPr="00212D57">
        <w:rPr>
          <w:rFonts w:ascii="標楷體" w:eastAsia="標楷體" w:hAnsi="標楷體" w:hint="eastAsia"/>
          <w:szCs w:val="22"/>
        </w:rPr>
        <w:t>，</w:t>
      </w:r>
      <w:r w:rsidRPr="00212D57">
        <w:rPr>
          <w:rFonts w:ascii="標楷體" w:eastAsia="標楷體" w:hAnsi="標楷體" w:hint="eastAsia"/>
          <w:b/>
          <w:szCs w:val="22"/>
        </w:rPr>
        <w:t>義是緣起支的別別解說</w:t>
      </w:r>
      <w:r w:rsidRPr="00212D57">
        <w:rPr>
          <w:rFonts w:ascii="標楷體" w:eastAsia="標楷體" w:hAnsi="標楷體" w:hint="eastAsia"/>
          <w:szCs w:val="22"/>
        </w:rPr>
        <w:t>。與此相當的《相應部》（一二‧一──二），雖作「法說、分別說」，然據四無礙解的法無礙解、義無礙解；及四依的依法不依人，依義不依語而說，</w:t>
      </w:r>
      <w:r w:rsidRPr="00212D57">
        <w:rPr>
          <w:rFonts w:ascii="標楷體" w:eastAsia="標楷體" w:hAnsi="標楷體" w:hint="eastAsia"/>
          <w:b/>
          <w:szCs w:val="22"/>
        </w:rPr>
        <w:t>法為聖道所現見的</w:t>
      </w:r>
      <w:r w:rsidRPr="00212D57">
        <w:rPr>
          <w:rFonts w:ascii="標楷體" w:eastAsia="標楷體" w:hAnsi="標楷體" w:hint="eastAsia"/>
          <w:szCs w:val="22"/>
        </w:rPr>
        <w:t>，</w:t>
      </w:r>
      <w:r w:rsidRPr="00212D57">
        <w:rPr>
          <w:rFonts w:ascii="標楷體" w:eastAsia="標楷體" w:hAnsi="標楷體" w:hint="eastAsia"/>
          <w:b/>
          <w:szCs w:val="22"/>
        </w:rPr>
        <w:t>義是所含內容的分別</w:t>
      </w:r>
      <w:r w:rsidRPr="00212D57">
        <w:rPr>
          <w:rFonts w:ascii="標楷體" w:eastAsia="標楷體" w:hAnsi="標楷體" w:hint="eastAsia"/>
          <w:szCs w:val="22"/>
        </w:rPr>
        <w:t>，是非常恰當的。法與義的這一對說，是重於開示解說的（教法）。</w:t>
      </w:r>
    </w:p>
  </w:footnote>
  <w:footnote w:id="84">
    <w:p w:rsidR="00157EF6" w:rsidRPr="00212D57" w:rsidRDefault="00157EF6" w:rsidP="00DC1149">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）《雜阿含經》卷</w:t>
      </w:r>
      <w:r w:rsidRPr="00761EF3">
        <w:rPr>
          <w:szCs w:val="22"/>
        </w:rPr>
        <w:t>12</w:t>
      </w:r>
      <w:r w:rsidRPr="00212D57">
        <w:rPr>
          <w:szCs w:val="22"/>
        </w:rPr>
        <w:t>（</w:t>
      </w:r>
      <w:r w:rsidRPr="00761EF3">
        <w:rPr>
          <w:szCs w:val="22"/>
        </w:rPr>
        <w:t>300</w:t>
      </w:r>
      <w:r w:rsidRPr="00212D57">
        <w:rPr>
          <w:szCs w:val="22"/>
        </w:rPr>
        <w:t>經）（大正</w:t>
      </w:r>
      <w:r w:rsidRPr="00761EF3">
        <w:rPr>
          <w:szCs w:val="22"/>
        </w:rPr>
        <w:t>2</w:t>
      </w:r>
      <w:r w:rsidRPr="00212D57">
        <w:rPr>
          <w:szCs w:val="22"/>
        </w:rPr>
        <w:t>，</w:t>
      </w:r>
      <w:r w:rsidRPr="00761EF3">
        <w:rPr>
          <w:szCs w:val="22"/>
        </w:rPr>
        <w:t>85c10</w:t>
      </w:r>
      <w:r w:rsidRPr="00212D57">
        <w:rPr>
          <w:rFonts w:hint="eastAsia"/>
          <w:szCs w:val="22"/>
        </w:rPr>
        <w:t>-</w:t>
      </w:r>
      <w:r w:rsidRPr="00761EF3">
        <w:rPr>
          <w:szCs w:val="22"/>
        </w:rPr>
        <w:t>15</w:t>
      </w:r>
      <w:r w:rsidRPr="00212D57">
        <w:rPr>
          <w:szCs w:val="22"/>
        </w:rPr>
        <w:t>）：</w:t>
      </w:r>
    </w:p>
    <w:p w:rsidR="00157EF6" w:rsidRPr="00212D57" w:rsidRDefault="00157EF6" w:rsidP="00717FD5">
      <w:pPr>
        <w:pStyle w:val="a5"/>
        <w:ind w:leftChars="335" w:left="804"/>
        <w:jc w:val="both"/>
        <w:rPr>
          <w:szCs w:val="22"/>
        </w:rPr>
      </w:pPr>
      <w:r w:rsidRPr="00212D57">
        <w:rPr>
          <w:rFonts w:eastAsia="標楷體"/>
          <w:szCs w:val="22"/>
        </w:rPr>
        <w:t>佛告婆羅門：</w:t>
      </w:r>
      <w:r w:rsidR="000C79F9">
        <w:rPr>
          <w:rFonts w:ascii="標楷體" w:eastAsia="標楷體" w:hAnsi="標楷體" w:hint="eastAsia"/>
          <w:bCs/>
          <w:color w:val="FF0000"/>
          <w:kern w:val="0"/>
          <w:highlight w:val="yellow"/>
        </w:rPr>
        <w:t>「</w:t>
      </w:r>
      <w:r w:rsidRPr="00212D57">
        <w:rPr>
          <w:rFonts w:eastAsia="標楷體"/>
          <w:b/>
          <w:szCs w:val="22"/>
        </w:rPr>
        <w:t>自作自覺，則墮常見；他作他覺，則墮斷見。義說、法說，離此二邊，處於中道而說法，所謂</w:t>
      </w:r>
      <w:r w:rsidR="000C79F9">
        <w:rPr>
          <w:rFonts w:ascii="標楷體" w:eastAsia="標楷體" w:hAnsi="標楷體" w:hint="eastAsia"/>
          <w:color w:val="FF0000"/>
          <w:kern w:val="0"/>
          <w:highlight w:val="yellow"/>
        </w:rPr>
        <w:t>『</w:t>
      </w:r>
      <w:r w:rsidRPr="00212D57">
        <w:rPr>
          <w:rFonts w:eastAsia="標楷體"/>
          <w:b/>
          <w:szCs w:val="22"/>
        </w:rPr>
        <w:t>此有故彼有，此起故彼起</w:t>
      </w:r>
      <w:r w:rsidR="000C79F9">
        <w:rPr>
          <w:rFonts w:ascii="標楷體" w:eastAsia="標楷體" w:hAnsi="標楷體" w:hint="eastAsia"/>
          <w:color w:val="FF0000"/>
          <w:kern w:val="0"/>
          <w:highlight w:val="yellow"/>
        </w:rPr>
        <w:t>』</w:t>
      </w:r>
      <w:r w:rsidRPr="00212D57">
        <w:rPr>
          <w:rFonts w:eastAsia="標楷體"/>
          <w:szCs w:val="22"/>
        </w:rPr>
        <w:t>，緣無明行</w:t>
      </w:r>
      <w:r w:rsidR="000C79F9">
        <w:rPr>
          <w:rFonts w:ascii="標楷體" w:eastAsia="標楷體" w:hAnsi="標楷體" w:hint="eastAsia"/>
          <w:color w:val="FF0000"/>
          <w:kern w:val="0"/>
          <w:highlight w:val="yellow"/>
        </w:rPr>
        <w:t>，</w:t>
      </w:r>
      <w:r w:rsidRPr="00212D57">
        <w:rPr>
          <w:rFonts w:eastAsia="標楷體"/>
          <w:szCs w:val="22"/>
        </w:rPr>
        <w:t>乃至純大苦聚集</w:t>
      </w:r>
      <w:r w:rsidR="000C79F9">
        <w:rPr>
          <w:rFonts w:ascii="標楷體" w:eastAsia="標楷體" w:hAnsi="標楷體" w:hint="eastAsia"/>
          <w:color w:val="FF0000"/>
          <w:spacing w:val="-4"/>
          <w:kern w:val="0"/>
          <w:highlight w:val="yellow"/>
        </w:rPr>
        <w:t>；</w:t>
      </w:r>
      <w:r w:rsidRPr="00212D57">
        <w:rPr>
          <w:rFonts w:eastAsia="標楷體"/>
          <w:szCs w:val="22"/>
        </w:rPr>
        <w:t>無明滅則行滅</w:t>
      </w:r>
      <w:r w:rsidR="000C79F9">
        <w:rPr>
          <w:rFonts w:ascii="標楷體" w:eastAsia="標楷體" w:hAnsi="標楷體" w:hint="eastAsia"/>
          <w:color w:val="FF0000"/>
          <w:spacing w:val="-4"/>
          <w:kern w:val="0"/>
          <w:highlight w:val="yellow"/>
        </w:rPr>
        <w:t>；</w:t>
      </w:r>
      <w:r w:rsidRPr="00212D57">
        <w:rPr>
          <w:rFonts w:eastAsia="標楷體"/>
          <w:szCs w:val="22"/>
        </w:rPr>
        <w:t>乃至純大苦聚滅。</w:t>
      </w:r>
      <w:r w:rsidR="000C79F9">
        <w:rPr>
          <w:rFonts w:ascii="標楷體" w:eastAsia="標楷體" w:hAnsi="標楷體" w:hint="eastAsia"/>
          <w:bCs/>
          <w:color w:val="FF0000"/>
          <w:kern w:val="0"/>
          <w:highlight w:val="yellow"/>
        </w:rPr>
        <w:t>」</w:t>
      </w:r>
    </w:p>
    <w:p w:rsidR="00157EF6" w:rsidRPr="00212D57" w:rsidRDefault="00157EF6" w:rsidP="00DC1149">
      <w:pPr>
        <w:pStyle w:val="a5"/>
        <w:ind w:leftChars="105" w:left="79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w:t>
      </w:r>
      <w:r w:rsidRPr="00212D57">
        <w:rPr>
          <w:szCs w:val="22"/>
        </w:rPr>
        <w:t>印順法師，《</w:t>
      </w:r>
      <w:r w:rsidRPr="00212D57">
        <w:rPr>
          <w:rFonts w:hint="eastAsia"/>
          <w:szCs w:val="22"/>
        </w:rPr>
        <w:t>佛法概論》，</w:t>
      </w:r>
      <w:r w:rsidRPr="00761EF3">
        <w:rPr>
          <w:rFonts w:hint="eastAsia"/>
          <w:szCs w:val="22"/>
        </w:rPr>
        <w:t>p</w:t>
      </w:r>
      <w:r w:rsidRPr="00212D57">
        <w:rPr>
          <w:rFonts w:hint="eastAsia"/>
          <w:szCs w:val="22"/>
        </w:rPr>
        <w:t>.</w:t>
      </w:r>
      <w:r w:rsidRPr="00761EF3">
        <w:rPr>
          <w:rFonts w:hint="eastAsia"/>
          <w:szCs w:val="22"/>
        </w:rPr>
        <w:t>92</w:t>
      </w:r>
      <w:r w:rsidRPr="00212D57">
        <w:rPr>
          <w:rFonts w:hint="eastAsia"/>
          <w:szCs w:val="22"/>
        </w:rPr>
        <w:t>：</w:t>
      </w:r>
    </w:p>
    <w:p w:rsidR="00157EF6" w:rsidRPr="00212D57" w:rsidRDefault="00157EF6" w:rsidP="00717FD5">
      <w:pPr>
        <w:pStyle w:val="a5"/>
        <w:ind w:leftChars="335" w:left="804"/>
        <w:jc w:val="both"/>
        <w:rPr>
          <w:szCs w:val="22"/>
        </w:rPr>
      </w:pPr>
      <w:r w:rsidRPr="00212D57">
        <w:rPr>
          <w:rFonts w:ascii="標楷體" w:eastAsia="標楷體" w:hAnsi="標楷體" w:hint="eastAsia"/>
          <w:szCs w:val="22"/>
        </w:rPr>
        <w:t>印度舊有的「業」說，無論為傳統的一元論，新起的二元論，總是與「我」相結合的。或</w:t>
      </w:r>
      <w:r w:rsidRPr="00212D57">
        <w:rPr>
          <w:rFonts w:ascii="標楷體" w:eastAsia="標楷體" w:hAnsi="標楷體" w:hint="eastAsia"/>
          <w:b/>
          <w:szCs w:val="22"/>
        </w:rPr>
        <w:t>以業為自我所幻現的──自作</w:t>
      </w:r>
      <w:r w:rsidRPr="00212D57">
        <w:rPr>
          <w:rFonts w:ascii="標楷體" w:eastAsia="標楷體" w:hAnsi="標楷體" w:hint="eastAsia"/>
          <w:szCs w:val="22"/>
        </w:rPr>
        <w:t>，或</w:t>
      </w:r>
      <w:r w:rsidRPr="00212D57">
        <w:rPr>
          <w:rFonts w:ascii="標楷體" w:eastAsia="標楷體" w:hAnsi="標楷體" w:hint="eastAsia"/>
          <w:b/>
          <w:szCs w:val="22"/>
        </w:rPr>
        <w:t>以業為我以外的動作──他作</w:t>
      </w:r>
      <w:r w:rsidRPr="00212D57">
        <w:rPr>
          <w:rFonts w:ascii="標楷體" w:eastAsia="標楷體" w:hAnsi="標楷體" w:hint="eastAsia"/>
          <w:szCs w:val="22"/>
        </w:rPr>
        <w:t>，都相信由於業而創闢一新的環境──身心、世界，「我」即幽囚於其中。釋尊的正覺，即根本否定此我，所以非自作，非他作，即依中道的緣起，說明此生死的流轉。</w:t>
      </w:r>
    </w:p>
  </w:footnote>
  <w:footnote w:id="85">
    <w:p w:rsidR="00C77DD6" w:rsidRPr="00212D57" w:rsidRDefault="00C77DD6" w:rsidP="00C77DD6">
      <w:pPr>
        <w:pStyle w:val="a5"/>
        <w:spacing w:line="0" w:lineRule="atLeast"/>
        <w:ind w:left="792" w:hangingChars="360" w:hanging="792"/>
        <w:jc w:val="both"/>
        <w:rPr>
          <w:bCs/>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w:t>
      </w:r>
      <w:r>
        <w:rPr>
          <w:spacing w:val="2"/>
          <w:szCs w:val="22"/>
        </w:rPr>
        <w:t>參見：印</w:t>
      </w:r>
      <w:r w:rsidRPr="00212D57">
        <w:rPr>
          <w:spacing w:val="2"/>
          <w:szCs w:val="22"/>
        </w:rPr>
        <w:t>順法師</w:t>
      </w:r>
      <w:r w:rsidRPr="00212D57">
        <w:rPr>
          <w:rFonts w:hint="eastAsia"/>
          <w:spacing w:val="2"/>
          <w:szCs w:val="22"/>
        </w:rPr>
        <w:t>，</w:t>
      </w:r>
      <w:r w:rsidRPr="00212D57">
        <w:rPr>
          <w:spacing w:val="2"/>
          <w:szCs w:val="22"/>
        </w:rPr>
        <w:t>《空之探究》</w:t>
      </w:r>
      <w:r w:rsidRPr="00212D57">
        <w:rPr>
          <w:rFonts w:hint="eastAsia"/>
          <w:spacing w:val="2"/>
          <w:szCs w:val="22"/>
        </w:rPr>
        <w:t>，</w:t>
      </w:r>
      <w:r w:rsidRPr="00212D57">
        <w:rPr>
          <w:spacing w:val="2"/>
          <w:szCs w:val="22"/>
        </w:rPr>
        <w:t>第</w:t>
      </w:r>
      <w:r w:rsidRPr="00761EF3">
        <w:rPr>
          <w:rFonts w:hint="eastAsia"/>
          <w:spacing w:val="2"/>
          <w:szCs w:val="22"/>
        </w:rPr>
        <w:t>4</w:t>
      </w:r>
      <w:r w:rsidRPr="00212D57">
        <w:rPr>
          <w:spacing w:val="2"/>
          <w:szCs w:val="22"/>
        </w:rPr>
        <w:t>章</w:t>
      </w:r>
      <w:r w:rsidRPr="00212D57">
        <w:rPr>
          <w:rFonts w:ascii="新細明體" w:hAnsi="新細明體" w:cs="新細明體" w:hint="eastAsia"/>
          <w:spacing w:val="2"/>
          <w:szCs w:val="22"/>
        </w:rPr>
        <w:t>，</w:t>
      </w:r>
      <w:r w:rsidRPr="00212D57">
        <w:rPr>
          <w:spacing w:val="2"/>
          <w:szCs w:val="22"/>
        </w:rPr>
        <w:t>第</w:t>
      </w:r>
      <w:r w:rsidRPr="00761EF3">
        <w:rPr>
          <w:rFonts w:hint="eastAsia"/>
          <w:spacing w:val="2"/>
          <w:szCs w:val="22"/>
        </w:rPr>
        <w:t>7</w:t>
      </w:r>
      <w:r w:rsidRPr="00212D57">
        <w:rPr>
          <w:spacing w:val="2"/>
          <w:szCs w:val="22"/>
        </w:rPr>
        <w:t>節〈中道</w:t>
      </w:r>
      <w:r w:rsidRPr="00212D57">
        <w:rPr>
          <w:spacing w:val="2"/>
          <w:szCs w:val="22"/>
        </w:rPr>
        <w:t>——</w:t>
      </w:r>
      <w:r w:rsidRPr="00212D57">
        <w:rPr>
          <w:spacing w:val="2"/>
          <w:szCs w:val="22"/>
        </w:rPr>
        <w:t>中論與中觀〉，</w:t>
      </w:r>
      <w:r w:rsidRPr="00761EF3">
        <w:rPr>
          <w:bCs/>
          <w:spacing w:val="2"/>
          <w:szCs w:val="22"/>
        </w:rPr>
        <w:t>pp</w:t>
      </w:r>
      <w:r w:rsidRPr="00212D57">
        <w:rPr>
          <w:bCs/>
          <w:spacing w:val="2"/>
          <w:szCs w:val="22"/>
        </w:rPr>
        <w:t>.</w:t>
      </w:r>
      <w:r w:rsidRPr="00761EF3">
        <w:rPr>
          <w:bCs/>
          <w:spacing w:val="2"/>
          <w:szCs w:val="22"/>
        </w:rPr>
        <w:t>256</w:t>
      </w:r>
      <w:r w:rsidRPr="00212D57">
        <w:rPr>
          <w:bCs/>
          <w:spacing w:val="2"/>
          <w:szCs w:val="22"/>
        </w:rPr>
        <w:t>-</w:t>
      </w:r>
      <w:r w:rsidRPr="00761EF3">
        <w:rPr>
          <w:bCs/>
          <w:szCs w:val="22"/>
        </w:rPr>
        <w:t>257</w:t>
      </w:r>
      <w:r w:rsidRPr="00212D57">
        <w:rPr>
          <w:bCs/>
          <w:szCs w:val="22"/>
        </w:rPr>
        <w:t>：</w:t>
      </w:r>
    </w:p>
    <w:p w:rsidR="00C77DD6" w:rsidRPr="00212D57" w:rsidRDefault="00C77DD6" w:rsidP="00C77DD6">
      <w:pPr>
        <w:pStyle w:val="a5"/>
        <w:ind w:leftChars="330" w:left="792"/>
        <w:jc w:val="both"/>
        <w:rPr>
          <w:rFonts w:ascii="標楷體" w:eastAsia="標楷體" w:hAnsi="標楷體"/>
          <w:bCs/>
          <w:szCs w:val="22"/>
        </w:rPr>
      </w:pPr>
      <w:r w:rsidRPr="00212D57">
        <w:rPr>
          <w:rFonts w:ascii="標楷體" w:eastAsia="標楷體" w:hAnsi="標楷體"/>
          <w:bCs/>
          <w:szCs w:val="22"/>
        </w:rPr>
        <w:t>中道，是佛法也是佛弟子遵循的唯一原則。</w:t>
      </w:r>
      <w:r w:rsidRPr="00212D57">
        <w:rPr>
          <w:rFonts w:ascii="標楷體" w:eastAsia="標楷體" w:hAnsi="標楷體"/>
          <w:b/>
          <w:bCs/>
          <w:szCs w:val="22"/>
        </w:rPr>
        <w:t>一切行為，一切知見，最正確而又最恰當的，就是中道</w:t>
      </w:r>
      <w:r w:rsidRPr="00212D57">
        <w:rPr>
          <w:rFonts w:ascii="標楷體" w:eastAsia="標楷體" w:hAnsi="標楷體"/>
          <w:bCs/>
          <w:szCs w:val="22"/>
        </w:rPr>
        <w:t>，中是不落於二邊──偏邪、極端的。</w:t>
      </w:r>
      <w:r w:rsidRPr="00212D57">
        <w:rPr>
          <w:rFonts w:ascii="標楷體" w:eastAsia="標楷體" w:hAnsi="標楷體"/>
          <w:b/>
          <w:bCs/>
          <w:szCs w:val="22"/>
        </w:rPr>
        <w:t>以行來說</w:t>
      </w:r>
      <w:r w:rsidRPr="00212D57">
        <w:rPr>
          <w:rFonts w:ascii="標楷體" w:eastAsia="標楷體" w:hAnsi="標楷體"/>
          <w:bCs/>
          <w:szCs w:val="22"/>
        </w:rPr>
        <w:t>：《拘樓瘦無諍經</w:t>
      </w:r>
      <w:r w:rsidRPr="00212D57">
        <w:rPr>
          <w:rFonts w:ascii="標楷體" w:eastAsia="標楷體" w:hAnsi="標楷體"/>
          <w:szCs w:val="22"/>
        </w:rPr>
        <w:t>》</w:t>
      </w:r>
      <w:r w:rsidRPr="00212D57">
        <w:rPr>
          <w:rFonts w:ascii="標楷體" w:eastAsia="標楷體" w:hAnsi="標楷體"/>
          <w:bCs/>
          <w:szCs w:val="22"/>
        </w:rPr>
        <w:t>說：耽著庸俗的欲樂是一邊，無義利的自苦行是一邊，「離此二邊，則有中道」，中道是八聖道。</w:t>
      </w:r>
      <w:r w:rsidRPr="001E00A5">
        <w:rPr>
          <w:rFonts w:ascii="標楷體" w:eastAsia="標楷體" w:hAnsi="標楷體"/>
          <w:bCs/>
          <w:szCs w:val="22"/>
          <w:shd w:val="pct15" w:color="auto" w:fill="FFFFFF"/>
        </w:rPr>
        <w:t>…</w:t>
      </w:r>
      <w:r w:rsidRPr="001E00A5" w:rsidDel="00DC6A83">
        <w:rPr>
          <w:rFonts w:ascii="標楷體" w:eastAsia="標楷體" w:hAnsi="標楷體"/>
          <w:bCs/>
          <w:szCs w:val="22"/>
          <w:shd w:val="pct15" w:color="auto" w:fill="FFFFFF"/>
        </w:rPr>
        <w:t>…</w:t>
      </w:r>
    </w:p>
    <w:p w:rsidR="00C77DD6" w:rsidRPr="00212D57" w:rsidRDefault="00C77DD6" w:rsidP="00C77DD6">
      <w:pPr>
        <w:pStyle w:val="a5"/>
        <w:ind w:leftChars="330" w:left="792"/>
        <w:jc w:val="both"/>
        <w:rPr>
          <w:bCs/>
          <w:szCs w:val="22"/>
        </w:rPr>
      </w:pPr>
      <w:r w:rsidRPr="00212D57">
        <w:rPr>
          <w:rFonts w:ascii="標楷體" w:eastAsia="標楷體" w:hAnsi="標楷體"/>
          <w:bCs/>
          <w:szCs w:val="22"/>
        </w:rPr>
        <w:t>這一原則，</w:t>
      </w:r>
      <w:r w:rsidRPr="00212D57">
        <w:rPr>
          <w:rFonts w:ascii="標楷體" w:eastAsia="標楷體" w:hAnsi="標楷體"/>
          <w:b/>
          <w:bCs/>
          <w:szCs w:val="22"/>
        </w:rPr>
        <w:t>應用於知見的，就是「處中說法」的緣起</w:t>
      </w:r>
      <w:r w:rsidRPr="00212D57">
        <w:rPr>
          <w:rFonts w:ascii="標楷體" w:eastAsia="標楷體" w:hAnsi="標楷體"/>
          <w:bCs/>
          <w:szCs w:val="22"/>
        </w:rPr>
        <w:t>，緣起法不落二邊──一與異，斷與常，有與無的。正確而恰當的中道，不是折中，不是模稜兩可，更不是兩極端的調和，而是出離種種執見，息滅一切戲論的。</w:t>
      </w:r>
    </w:p>
    <w:p w:rsidR="00C77DD6" w:rsidRPr="00212D57" w:rsidRDefault="00C77DD6" w:rsidP="00C77DD6">
      <w:pPr>
        <w:pStyle w:val="a5"/>
        <w:ind w:leftChars="105" w:left="791" w:hangingChars="245" w:hanging="539"/>
        <w:jc w:val="both"/>
        <w:rPr>
          <w:bCs/>
          <w:szCs w:val="22"/>
        </w:rPr>
      </w:pPr>
      <w:r w:rsidRPr="00212D57">
        <w:rPr>
          <w:bCs/>
          <w:szCs w:val="22"/>
        </w:rPr>
        <w:t>（</w:t>
      </w:r>
      <w:r w:rsidRPr="00761EF3">
        <w:rPr>
          <w:bCs/>
          <w:szCs w:val="22"/>
        </w:rPr>
        <w:t>2</w:t>
      </w:r>
      <w:r w:rsidRPr="00212D57">
        <w:rPr>
          <w:bCs/>
          <w:szCs w:val="22"/>
        </w:rPr>
        <w:t>）</w:t>
      </w:r>
      <w:r w:rsidRPr="00212D57">
        <w:rPr>
          <w:szCs w:val="22"/>
        </w:rPr>
        <w:t>印順法師，《性空學探源》</w:t>
      </w:r>
      <w:r w:rsidRPr="00212D57">
        <w:rPr>
          <w:rFonts w:hint="eastAsia"/>
          <w:szCs w:val="22"/>
        </w:rPr>
        <w:t>，</w:t>
      </w:r>
      <w:r w:rsidRPr="00761EF3">
        <w:rPr>
          <w:szCs w:val="22"/>
        </w:rPr>
        <w:t>pp</w:t>
      </w:r>
      <w:r w:rsidRPr="00212D57">
        <w:rPr>
          <w:szCs w:val="22"/>
        </w:rPr>
        <w:t>.</w:t>
      </w:r>
      <w:r w:rsidRPr="00761EF3">
        <w:rPr>
          <w:szCs w:val="22"/>
        </w:rPr>
        <w:t>22</w:t>
      </w:r>
      <w:r w:rsidRPr="00212D57">
        <w:rPr>
          <w:szCs w:val="22"/>
        </w:rPr>
        <w:t>-</w:t>
      </w:r>
      <w:r w:rsidRPr="00761EF3">
        <w:rPr>
          <w:szCs w:val="22"/>
        </w:rPr>
        <w:t>23</w:t>
      </w:r>
      <w:r w:rsidRPr="00212D57">
        <w:rPr>
          <w:szCs w:val="22"/>
        </w:rPr>
        <w:t>：</w:t>
      </w:r>
    </w:p>
    <w:p w:rsidR="00C77DD6" w:rsidRPr="00212D57" w:rsidRDefault="00C77DD6" w:rsidP="00C77DD6">
      <w:pPr>
        <w:pStyle w:val="a5"/>
        <w:ind w:leftChars="335" w:left="804"/>
        <w:jc w:val="both"/>
        <w:rPr>
          <w:rFonts w:ascii="標楷體" w:eastAsia="標楷體" w:hAnsi="標楷體"/>
          <w:szCs w:val="22"/>
        </w:rPr>
      </w:pPr>
      <w:r w:rsidRPr="00212D57">
        <w:rPr>
          <w:rFonts w:ascii="標楷體" w:eastAsia="標楷體" w:hAnsi="標楷體"/>
          <w:szCs w:val="22"/>
        </w:rPr>
        <w:t>中道，本形容中正不偏。《阿含經》中，就行為實踐</w:t>
      </w:r>
      <w:r>
        <w:rPr>
          <w:rFonts w:ascii="標楷體" w:eastAsia="標楷體" w:hAnsi="標楷體"/>
          <w:szCs w:val="22"/>
        </w:rPr>
        <w:t>上說的，是離苦樂二邊的不苦不樂的中道行（八正道）。在</w:t>
      </w:r>
      <w:r w:rsidRPr="00212D57">
        <w:rPr>
          <w:rFonts w:ascii="標楷體" w:eastAsia="標楷體" w:hAnsi="標楷體"/>
          <w:szCs w:val="22"/>
        </w:rPr>
        <w:t>事理上說的，即緣起法。</w:t>
      </w:r>
    </w:p>
  </w:footnote>
  <w:footnote w:id="86">
    <w:p w:rsidR="00157EF6" w:rsidRPr="00212D57" w:rsidRDefault="00157EF6" w:rsidP="00DC1149">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212D57">
        <w:rPr>
          <w:szCs w:val="22"/>
        </w:rPr>
        <w:t>《雜阿含經》卷</w:t>
      </w:r>
      <w:r w:rsidRPr="00761EF3">
        <w:rPr>
          <w:szCs w:val="22"/>
        </w:rPr>
        <w:t>12</w:t>
      </w:r>
      <w:r w:rsidRPr="00212D57">
        <w:rPr>
          <w:szCs w:val="22"/>
        </w:rPr>
        <w:t>（</w:t>
      </w:r>
      <w:r w:rsidRPr="00761EF3">
        <w:rPr>
          <w:szCs w:val="22"/>
        </w:rPr>
        <w:t>293</w:t>
      </w:r>
      <w:r w:rsidRPr="00212D57">
        <w:rPr>
          <w:szCs w:val="22"/>
        </w:rPr>
        <w:t>經）</w:t>
      </w:r>
      <w:r w:rsidRPr="00212D57">
        <w:rPr>
          <w:rFonts w:hint="eastAsia"/>
          <w:szCs w:val="22"/>
        </w:rPr>
        <w:t>（</w:t>
      </w:r>
      <w:r w:rsidRPr="00212D57">
        <w:rPr>
          <w:szCs w:val="22"/>
        </w:rPr>
        <w:t>大正</w:t>
      </w:r>
      <w:r w:rsidRPr="00761EF3">
        <w:rPr>
          <w:szCs w:val="22"/>
        </w:rPr>
        <w:t>2</w:t>
      </w:r>
      <w:r w:rsidRPr="00212D57">
        <w:rPr>
          <w:szCs w:val="22"/>
        </w:rPr>
        <w:t>，</w:t>
      </w:r>
      <w:r w:rsidRPr="00761EF3">
        <w:rPr>
          <w:szCs w:val="22"/>
        </w:rPr>
        <w:t>83c2</w:t>
      </w:r>
      <w:r w:rsidRPr="00212D57">
        <w:rPr>
          <w:rFonts w:hint="eastAsia"/>
          <w:szCs w:val="22"/>
        </w:rPr>
        <w:t>-</w:t>
      </w:r>
      <w:r w:rsidRPr="00761EF3">
        <w:rPr>
          <w:szCs w:val="22"/>
        </w:rPr>
        <w:t>20</w:t>
      </w:r>
      <w:r w:rsidRPr="00212D57">
        <w:rPr>
          <w:rFonts w:hint="eastAsia"/>
          <w:szCs w:val="22"/>
        </w:rPr>
        <w:t>）</w:t>
      </w:r>
      <w:r w:rsidRPr="00212D57">
        <w:rPr>
          <w:szCs w:val="22"/>
        </w:rPr>
        <w:t>：</w:t>
      </w:r>
    </w:p>
    <w:p w:rsidR="000C79F9" w:rsidRDefault="00157EF6" w:rsidP="00717FD5">
      <w:pPr>
        <w:pStyle w:val="a5"/>
        <w:ind w:leftChars="335" w:left="804"/>
        <w:jc w:val="both"/>
        <w:rPr>
          <w:rFonts w:ascii="標楷體" w:eastAsia="標楷體" w:hAnsi="標楷體"/>
          <w:szCs w:val="22"/>
        </w:rPr>
      </w:pPr>
      <w:r w:rsidRPr="00212D57">
        <w:rPr>
          <w:rFonts w:ascii="標楷體" w:eastAsia="標楷體" w:hAnsi="標楷體"/>
          <w:szCs w:val="22"/>
        </w:rPr>
        <w:t>爾時、世尊告異比丘：「我已度疑，離於猶豫，拔邪見刺，不復退轉</w:t>
      </w:r>
      <w:r w:rsidR="000C79F9">
        <w:rPr>
          <w:rFonts w:ascii="標楷體" w:eastAsia="標楷體" w:hAnsi="標楷體" w:hint="eastAsia"/>
          <w:color w:val="FF0000"/>
          <w:kern w:val="0"/>
          <w:highlight w:val="yellow"/>
        </w:rPr>
        <w:t>，</w:t>
      </w:r>
      <w:r w:rsidRPr="00212D57">
        <w:rPr>
          <w:rFonts w:ascii="標楷體" w:eastAsia="標楷體" w:hAnsi="標楷體"/>
          <w:szCs w:val="22"/>
        </w:rPr>
        <w:t>心無所著故，何處有我？為彼比丘說法，為彼比丘說</w:t>
      </w:r>
      <w:r w:rsidRPr="00212D57">
        <w:rPr>
          <w:rFonts w:ascii="標楷體" w:eastAsia="標楷體" w:hAnsi="標楷體"/>
          <w:b/>
          <w:szCs w:val="22"/>
        </w:rPr>
        <w:t>賢聖出世空相應緣起隨順法</w:t>
      </w:r>
      <w:r w:rsidR="000C79F9">
        <w:rPr>
          <w:rFonts w:ascii="標楷體" w:eastAsia="標楷體" w:hAnsi="標楷體" w:hint="eastAsia"/>
          <w:color w:val="FF0000"/>
          <w:kern w:val="0"/>
          <w:highlight w:val="yellow"/>
        </w:rPr>
        <w:t>，</w:t>
      </w:r>
      <w:r w:rsidRPr="00212D57">
        <w:rPr>
          <w:rFonts w:ascii="標楷體" w:eastAsia="標楷體" w:hAnsi="標楷體"/>
          <w:szCs w:val="22"/>
        </w:rPr>
        <w:t>所謂</w:t>
      </w:r>
      <w:r w:rsidR="000C79F9">
        <w:rPr>
          <w:rFonts w:ascii="標楷體" w:eastAsia="標楷體" w:hAnsi="標楷體" w:hint="eastAsia"/>
          <w:color w:val="FF0000"/>
          <w:kern w:val="0"/>
          <w:highlight w:val="yellow"/>
        </w:rPr>
        <w:t>『</w:t>
      </w:r>
      <w:r w:rsidRPr="00212D57">
        <w:rPr>
          <w:rFonts w:ascii="標楷體" w:eastAsia="標楷體" w:hAnsi="標楷體"/>
          <w:szCs w:val="22"/>
        </w:rPr>
        <w:t>有是故是事有，是事有故是事起</w:t>
      </w:r>
      <w:r w:rsidR="000C79F9">
        <w:rPr>
          <w:rFonts w:ascii="標楷體" w:eastAsia="標楷體" w:hAnsi="標楷體" w:hint="eastAsia"/>
          <w:color w:val="FF0000"/>
          <w:kern w:val="0"/>
          <w:highlight w:val="yellow"/>
        </w:rPr>
        <w:t>』</w:t>
      </w:r>
      <w:r w:rsidRPr="00212D57">
        <w:rPr>
          <w:rFonts w:ascii="標楷體" w:eastAsia="標楷體" w:hAnsi="標楷體"/>
          <w:szCs w:val="22"/>
        </w:rPr>
        <w:t>，所謂緣無明行，緣行識，緣識名色，緣名色六入處，緣六入處觸，緣觸受，緣受愛，緣愛取，緣取有，緣有生，緣生老死、憂悲惱苦，如是如是純大苦聚集</w:t>
      </w:r>
      <w:r w:rsidR="000C79F9">
        <w:rPr>
          <w:rFonts w:ascii="標楷體" w:eastAsia="標楷體" w:hAnsi="標楷體" w:hint="eastAsia"/>
          <w:color w:val="FF0000"/>
          <w:spacing w:val="-4"/>
          <w:kern w:val="0"/>
          <w:highlight w:val="yellow"/>
        </w:rPr>
        <w:t>；</w:t>
      </w:r>
      <w:r w:rsidRPr="00212D57">
        <w:rPr>
          <w:rFonts w:ascii="標楷體" w:eastAsia="標楷體" w:hAnsi="標楷體"/>
          <w:szCs w:val="22"/>
        </w:rPr>
        <w:t>乃至如是純大苦聚滅。如是說法，而彼比丘猶有疑惑、猶豫</w:t>
      </w:r>
      <w:r w:rsidR="000C79F9">
        <w:rPr>
          <w:rFonts w:ascii="標楷體" w:eastAsia="標楷體" w:hAnsi="標楷體" w:hint="eastAsia"/>
          <w:color w:val="FF0000"/>
          <w:kern w:val="0"/>
          <w:highlight w:val="yellow"/>
        </w:rPr>
        <w:t>，</w:t>
      </w:r>
      <w:r w:rsidRPr="00212D57">
        <w:rPr>
          <w:rFonts w:ascii="標楷體" w:eastAsia="標楷體" w:hAnsi="標楷體"/>
          <w:szCs w:val="22"/>
        </w:rPr>
        <w:t>先不得得想</w:t>
      </w:r>
      <w:r w:rsidR="000C79F9">
        <w:rPr>
          <w:rFonts w:ascii="標楷體" w:eastAsia="標楷體" w:hAnsi="標楷體" w:hint="eastAsia"/>
          <w:color w:val="FF0000"/>
          <w:spacing w:val="-4"/>
          <w:kern w:val="0"/>
          <w:highlight w:val="yellow"/>
        </w:rPr>
        <w:t>、</w:t>
      </w:r>
      <w:r w:rsidR="000C79F9">
        <w:rPr>
          <w:rFonts w:ascii="標楷體" w:eastAsia="標楷體" w:hAnsi="標楷體"/>
          <w:szCs w:val="22"/>
        </w:rPr>
        <w:t>不獲獲想</w:t>
      </w:r>
      <w:r w:rsidR="000C79F9">
        <w:rPr>
          <w:rFonts w:ascii="標楷體" w:eastAsia="標楷體" w:hAnsi="標楷體" w:hint="eastAsia"/>
          <w:color w:val="FF0000"/>
          <w:spacing w:val="-4"/>
          <w:kern w:val="0"/>
          <w:highlight w:val="yellow"/>
        </w:rPr>
        <w:t>、</w:t>
      </w:r>
      <w:r w:rsidRPr="00212D57">
        <w:rPr>
          <w:rFonts w:ascii="標楷體" w:eastAsia="標楷體" w:hAnsi="標楷體"/>
          <w:szCs w:val="22"/>
        </w:rPr>
        <w:t>不證證想；今聞法已，心生憂苦、悔恨、朦沒、障礙。所以者何？</w:t>
      </w:r>
      <w:r w:rsidRPr="00212D57">
        <w:rPr>
          <w:rFonts w:ascii="標楷體" w:eastAsia="標楷體" w:hAnsi="標楷體"/>
          <w:b/>
          <w:szCs w:val="22"/>
        </w:rPr>
        <w:t>此甚深處，所謂緣起；倍復甚深難見，所謂一切取離、愛盡、無欲、寂滅、涅槃。如此二法，謂有為、無為</w:t>
      </w:r>
      <w:r w:rsidR="000C79F9">
        <w:rPr>
          <w:rFonts w:ascii="標楷體" w:eastAsia="標楷體" w:hAnsi="標楷體" w:hint="eastAsia"/>
          <w:color w:val="FF0000"/>
          <w:kern w:val="0"/>
          <w:highlight w:val="yellow"/>
        </w:rPr>
        <w:t>──</w:t>
      </w:r>
      <w:r w:rsidRPr="00212D57">
        <w:rPr>
          <w:rFonts w:ascii="標楷體" w:eastAsia="標楷體" w:hAnsi="標楷體"/>
          <w:b/>
          <w:szCs w:val="22"/>
        </w:rPr>
        <w:t>有為者，若生、若住、若異、若滅；無為者，不生、不住、不異、不滅：是名</w:t>
      </w:r>
      <w:r w:rsidR="000C79F9">
        <w:rPr>
          <w:rFonts w:ascii="標楷體" w:eastAsia="標楷體" w:hAnsi="標楷體" w:hint="eastAsia"/>
          <w:color w:val="FF0000"/>
          <w:kern w:val="0"/>
          <w:highlight w:val="yellow"/>
        </w:rPr>
        <w:t>，</w:t>
      </w:r>
      <w:r w:rsidRPr="00212D57">
        <w:rPr>
          <w:rFonts w:ascii="標楷體" w:eastAsia="標楷體" w:hAnsi="標楷體"/>
          <w:b/>
          <w:szCs w:val="22"/>
        </w:rPr>
        <w:t>比丘</w:t>
      </w:r>
      <w:r w:rsidR="000C79F9">
        <w:rPr>
          <w:rFonts w:ascii="標楷體" w:eastAsia="標楷體" w:hAnsi="標楷體" w:hint="eastAsia"/>
          <w:color w:val="FF0000"/>
          <w:kern w:val="0"/>
          <w:highlight w:val="yellow"/>
        </w:rPr>
        <w:t>！</w:t>
      </w:r>
      <w:r w:rsidRPr="00212D57">
        <w:rPr>
          <w:rFonts w:ascii="標楷體" w:eastAsia="標楷體" w:hAnsi="標楷體"/>
          <w:b/>
          <w:szCs w:val="22"/>
        </w:rPr>
        <w:t>諸行苦、寂滅涅槃。</w:t>
      </w:r>
      <w:r w:rsidRPr="00212D57">
        <w:rPr>
          <w:rFonts w:ascii="標楷體" w:eastAsia="標楷體" w:hAnsi="標楷體"/>
          <w:szCs w:val="22"/>
        </w:rPr>
        <w:t>因集故苦集，因滅故苦滅，斷諸逕路，滅於相續，相續滅</w:t>
      </w:r>
      <w:r w:rsidR="000C79F9" w:rsidRPr="00212D57">
        <w:rPr>
          <w:rFonts w:ascii="標楷體" w:eastAsia="標楷體" w:hAnsi="標楷體"/>
          <w:szCs w:val="22"/>
        </w:rPr>
        <w:t>滅</w:t>
      </w:r>
      <w:r w:rsidR="000C79F9" w:rsidRPr="000C79F9">
        <w:rPr>
          <w:rFonts w:eastAsia="標楷體" w:hint="eastAsia"/>
          <w:color w:val="FF0000"/>
          <w:szCs w:val="22"/>
          <w:shd w:val="pct15" w:color="auto" w:fill="FFFFFF"/>
        </w:rPr>
        <w:t>*</w:t>
      </w:r>
      <w:r w:rsidRPr="00212D57">
        <w:rPr>
          <w:rFonts w:ascii="標楷體" w:eastAsia="標楷體" w:hAnsi="標楷體"/>
          <w:szCs w:val="22"/>
        </w:rPr>
        <w:t>，是名苦邊。比丘！彼何所滅？謂有餘苦。彼若滅、止、清涼、息、沒，所謂一切取滅、愛盡、無欲、寂滅、涅槃</w:t>
      </w:r>
      <w:r>
        <w:rPr>
          <w:rFonts w:ascii="標楷體" w:eastAsia="標楷體" w:hAnsi="標楷體"/>
          <w:szCs w:val="22"/>
        </w:rPr>
        <w:t>。</w:t>
      </w:r>
      <w:r w:rsidRPr="00212D57">
        <w:rPr>
          <w:rFonts w:ascii="標楷體" w:eastAsia="標楷體" w:hAnsi="標楷體"/>
          <w:szCs w:val="22"/>
        </w:rPr>
        <w:t>」</w:t>
      </w:r>
    </w:p>
    <w:p w:rsidR="000C79F9" w:rsidRDefault="000C79F9" w:rsidP="00717FD5">
      <w:pPr>
        <w:pStyle w:val="a5"/>
        <w:ind w:leftChars="335" w:left="804"/>
        <w:jc w:val="both"/>
        <w:rPr>
          <w:rFonts w:cs="Times Ext Roman"/>
          <w:color w:val="FF0000"/>
          <w:szCs w:val="22"/>
        </w:rPr>
      </w:pPr>
      <w:r w:rsidRPr="00AE2274">
        <w:rPr>
          <w:rFonts w:eastAsia="標楷體" w:cs="Times Ext Roman" w:hint="eastAsia"/>
          <w:color w:val="FF0000"/>
          <w:szCs w:val="22"/>
          <w:shd w:val="pct15" w:color="auto" w:fill="FFFFFF"/>
        </w:rPr>
        <w:t>*</w:t>
      </w:r>
      <w:r w:rsidRPr="00AE2274">
        <w:rPr>
          <w:rFonts w:ascii="新細明體" w:hAnsi="新細明體" w:cs="Times Ext Roman" w:hint="eastAsia"/>
          <w:color w:val="FF0000"/>
          <w:szCs w:val="22"/>
          <w:highlight w:val="yellow"/>
        </w:rPr>
        <w:t>依</w:t>
      </w:r>
      <w:r w:rsidRPr="00AE2274">
        <w:rPr>
          <w:rFonts w:ascii="新細明體" w:hAnsi="新細明體" w:cs="Times Ext Roman"/>
          <w:color w:val="FF0000"/>
          <w:szCs w:val="22"/>
          <w:highlight w:val="yellow"/>
        </w:rPr>
        <w:t>《雜阿含經論會編》（中</w:t>
      </w:r>
      <w:r w:rsidRPr="00AE2274">
        <w:rPr>
          <w:rFonts w:cs="Times Ext Roman"/>
          <w:color w:val="FF0000"/>
          <w:szCs w:val="22"/>
          <w:highlight w:val="yellow"/>
        </w:rPr>
        <w:t>）</w:t>
      </w:r>
      <w:r w:rsidRPr="00AE2274">
        <w:rPr>
          <w:color w:val="FF0000"/>
          <w:szCs w:val="22"/>
          <w:highlight w:val="yellow"/>
        </w:rPr>
        <w:t>p.2</w:t>
      </w:r>
      <w:r w:rsidRPr="00AE2274">
        <w:rPr>
          <w:rFonts w:hint="eastAsia"/>
          <w:color w:val="FF0000"/>
          <w:szCs w:val="22"/>
          <w:highlight w:val="yellow"/>
        </w:rPr>
        <w:t>7</w:t>
      </w:r>
      <w:r w:rsidRPr="00AE2274">
        <w:rPr>
          <w:rFonts w:hint="eastAsia"/>
          <w:color w:val="FF0000"/>
          <w:szCs w:val="22"/>
          <w:highlight w:val="yellow"/>
        </w:rPr>
        <w:t>注腳</w:t>
      </w:r>
      <w:r w:rsidR="009015C6">
        <w:rPr>
          <w:rFonts w:hint="eastAsia"/>
          <w:color w:val="FF0000"/>
          <w:szCs w:val="22"/>
          <w:highlight w:val="yellow"/>
        </w:rPr>
        <w:t>1</w:t>
      </w:r>
      <w:r>
        <w:rPr>
          <w:rFonts w:cs="Times Ext Roman" w:hint="eastAsia"/>
          <w:color w:val="FF0000"/>
          <w:szCs w:val="22"/>
          <w:highlight w:val="yellow"/>
        </w:rPr>
        <w:t>，「</w:t>
      </w:r>
      <w:r w:rsidRPr="00AE2274">
        <w:rPr>
          <w:rFonts w:ascii="標楷體" w:eastAsia="標楷體" w:hAnsi="標楷體" w:cs="Times Ext Roman" w:hint="eastAsia"/>
          <w:color w:val="FF0000"/>
          <w:szCs w:val="22"/>
          <w:highlight w:val="yellow"/>
        </w:rPr>
        <w:t>相續滅滅</w:t>
      </w:r>
      <w:r>
        <w:rPr>
          <w:rFonts w:cs="Times Ext Roman" w:hint="eastAsia"/>
          <w:color w:val="FF0000"/>
          <w:szCs w:val="22"/>
          <w:highlight w:val="yellow"/>
        </w:rPr>
        <w:t>」應改作「</w:t>
      </w:r>
      <w:r w:rsidRPr="00AE2274">
        <w:rPr>
          <w:rFonts w:ascii="標楷體" w:eastAsia="標楷體" w:hAnsi="標楷體" w:cs="Times Ext Roman" w:hint="eastAsia"/>
          <w:color w:val="FF0000"/>
          <w:szCs w:val="22"/>
          <w:highlight w:val="yellow"/>
        </w:rPr>
        <w:t>相續滅</w:t>
      </w:r>
      <w:r>
        <w:rPr>
          <w:rFonts w:cs="Times Ext Roman" w:hint="eastAsia"/>
          <w:color w:val="FF0000"/>
          <w:szCs w:val="22"/>
          <w:highlight w:val="yellow"/>
        </w:rPr>
        <w:t>」。</w:t>
      </w:r>
    </w:p>
    <w:p w:rsidR="00157EF6" w:rsidRPr="00212D57" w:rsidRDefault="00157EF6" w:rsidP="00717FD5">
      <w:pPr>
        <w:pStyle w:val="a5"/>
        <w:ind w:leftChars="335" w:left="804"/>
        <w:jc w:val="both"/>
        <w:rPr>
          <w:szCs w:val="22"/>
        </w:rPr>
      </w:pPr>
      <w:r w:rsidRPr="00212D57">
        <w:rPr>
          <w:szCs w:val="22"/>
        </w:rPr>
        <w:t>（</w:t>
      </w:r>
      <w:r w:rsidR="009160B5">
        <w:rPr>
          <w:szCs w:val="22"/>
        </w:rPr>
        <w:t>參見：印</w:t>
      </w:r>
      <w:r w:rsidRPr="00212D57">
        <w:rPr>
          <w:szCs w:val="22"/>
        </w:rPr>
        <w:t>順法師</w:t>
      </w:r>
      <w:r w:rsidRPr="00212D57">
        <w:rPr>
          <w:rFonts w:hint="eastAsia"/>
          <w:szCs w:val="22"/>
        </w:rPr>
        <w:t>，</w:t>
      </w:r>
      <w:r w:rsidRPr="00212D57">
        <w:rPr>
          <w:szCs w:val="22"/>
        </w:rPr>
        <w:t>《雜阿含經論會編》（中）</w:t>
      </w:r>
      <w:r w:rsidRPr="00212D57">
        <w:rPr>
          <w:rFonts w:hint="eastAsia"/>
          <w:szCs w:val="22"/>
        </w:rPr>
        <w:t>，</w:t>
      </w:r>
      <w:r w:rsidRPr="00761EF3">
        <w:rPr>
          <w:szCs w:val="22"/>
        </w:rPr>
        <w:t>pp</w:t>
      </w:r>
      <w:r w:rsidRPr="00212D57">
        <w:rPr>
          <w:szCs w:val="22"/>
        </w:rPr>
        <w:t>.</w:t>
      </w:r>
      <w:r w:rsidRPr="00761EF3">
        <w:rPr>
          <w:szCs w:val="22"/>
        </w:rPr>
        <w:t>25</w:t>
      </w:r>
      <w:r w:rsidRPr="00212D57">
        <w:rPr>
          <w:szCs w:val="22"/>
        </w:rPr>
        <w:t>-</w:t>
      </w:r>
      <w:r w:rsidRPr="00761EF3">
        <w:rPr>
          <w:szCs w:val="22"/>
        </w:rPr>
        <w:t>26</w:t>
      </w:r>
      <w:r w:rsidRPr="00212D57">
        <w:rPr>
          <w:szCs w:val="22"/>
        </w:rPr>
        <w:t>）</w:t>
      </w:r>
    </w:p>
    <w:p w:rsidR="00157EF6" w:rsidRPr="00212D57" w:rsidRDefault="00157EF6" w:rsidP="00DC1149">
      <w:pPr>
        <w:pStyle w:val="a5"/>
        <w:ind w:leftChars="105" w:left="79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w:t>
      </w:r>
      <w:r w:rsidRPr="00212D57">
        <w:rPr>
          <w:szCs w:val="22"/>
        </w:rPr>
        <w:t>印順法師，《初期大乘佛教之起源與開展》</w:t>
      </w:r>
      <w:r w:rsidRPr="00212D57">
        <w:rPr>
          <w:rFonts w:hint="eastAsia"/>
          <w:szCs w:val="22"/>
        </w:rPr>
        <w:t>，</w:t>
      </w:r>
      <w:r w:rsidRPr="00761EF3">
        <w:rPr>
          <w:rFonts w:hint="eastAsia"/>
          <w:szCs w:val="22"/>
        </w:rPr>
        <w:t>p</w:t>
      </w:r>
      <w:r w:rsidRPr="00212D57">
        <w:rPr>
          <w:rFonts w:hint="eastAsia"/>
          <w:szCs w:val="22"/>
        </w:rPr>
        <w:t>.</w:t>
      </w:r>
      <w:r w:rsidRPr="00761EF3">
        <w:rPr>
          <w:szCs w:val="22"/>
        </w:rPr>
        <w:t>241</w:t>
      </w:r>
      <w:r w:rsidRPr="00212D57">
        <w:rPr>
          <w:rFonts w:hint="eastAsia"/>
          <w:szCs w:val="22"/>
        </w:rPr>
        <w:t>：</w:t>
      </w:r>
    </w:p>
    <w:p w:rsidR="00157EF6" w:rsidRPr="00212D57" w:rsidRDefault="00157EF6" w:rsidP="00717FD5">
      <w:pPr>
        <w:pStyle w:val="a5"/>
        <w:ind w:leftChars="335" w:left="804"/>
        <w:jc w:val="both"/>
        <w:rPr>
          <w:rFonts w:ascii="標楷體" w:eastAsia="標楷體" w:hAnsi="標楷體"/>
          <w:szCs w:val="22"/>
        </w:rPr>
      </w:pPr>
      <w:r w:rsidRPr="00212D57">
        <w:rPr>
          <w:rFonts w:ascii="標楷體" w:eastAsia="標楷體" w:hAnsi="標楷體"/>
          <w:szCs w:val="22"/>
        </w:rPr>
        <w:t>一切法性是空的；因為是空的，所以無常──常恆不變易法空，無我──我我所空。法性自空，只因為一切法是緣起的，所以說：「賢聖出世空相應緣起。」依空相應緣起，觀無常、無我而趣入涅槃（觀無常入無願解脫門；觀無我入空解脫門；向涅槃入無相解脫門），是釋尊立教的心要。</w:t>
      </w:r>
    </w:p>
    <w:p w:rsidR="00157EF6" w:rsidRPr="00212D57" w:rsidRDefault="00157EF6" w:rsidP="00DC1149">
      <w:pPr>
        <w:pStyle w:val="a5"/>
        <w:ind w:leftChars="105" w:left="791" w:hangingChars="245" w:hanging="539"/>
        <w:jc w:val="both"/>
        <w:rPr>
          <w:szCs w:val="22"/>
        </w:rPr>
      </w:pPr>
      <w:r w:rsidRPr="00212D57">
        <w:rPr>
          <w:rFonts w:hint="eastAsia"/>
          <w:szCs w:val="22"/>
        </w:rPr>
        <w:t>（</w:t>
      </w:r>
      <w:r w:rsidRPr="00761EF3">
        <w:rPr>
          <w:rFonts w:hint="eastAsia"/>
          <w:szCs w:val="22"/>
        </w:rPr>
        <w:t>3</w:t>
      </w:r>
      <w:r w:rsidRPr="00212D57">
        <w:rPr>
          <w:rFonts w:hint="eastAsia"/>
          <w:szCs w:val="22"/>
        </w:rPr>
        <w:t>）</w:t>
      </w:r>
      <w:r w:rsidRPr="00212D57">
        <w:rPr>
          <w:szCs w:val="22"/>
        </w:rPr>
        <w:t>印順法師，《佛法是救世之光》，〈色即是空，空即是色〉，</w:t>
      </w:r>
      <w:r w:rsidRPr="00761EF3">
        <w:rPr>
          <w:szCs w:val="22"/>
        </w:rPr>
        <w:t>pp</w:t>
      </w:r>
      <w:r w:rsidRPr="00212D57">
        <w:rPr>
          <w:szCs w:val="22"/>
        </w:rPr>
        <w:t>.</w:t>
      </w:r>
      <w:r w:rsidRPr="00761EF3">
        <w:rPr>
          <w:szCs w:val="22"/>
        </w:rPr>
        <w:t>202</w:t>
      </w:r>
      <w:r w:rsidRPr="00212D57">
        <w:rPr>
          <w:szCs w:val="22"/>
        </w:rPr>
        <w:t>-</w:t>
      </w:r>
      <w:r w:rsidRPr="00761EF3">
        <w:rPr>
          <w:szCs w:val="22"/>
        </w:rPr>
        <w:t>203</w:t>
      </w:r>
      <w:r w:rsidRPr="00212D57">
        <w:rPr>
          <w:szCs w:val="22"/>
        </w:rPr>
        <w:t>：</w:t>
      </w:r>
    </w:p>
    <w:p w:rsidR="00157EF6" w:rsidRPr="00212D57" w:rsidRDefault="00157EF6" w:rsidP="00717FD5">
      <w:pPr>
        <w:pStyle w:val="a5"/>
        <w:ind w:leftChars="335" w:left="804"/>
        <w:jc w:val="both"/>
        <w:rPr>
          <w:rFonts w:ascii="標楷體" w:eastAsia="標楷體" w:hAnsi="標楷體"/>
          <w:szCs w:val="22"/>
        </w:rPr>
      </w:pPr>
      <w:r w:rsidRPr="00212D57">
        <w:rPr>
          <w:rFonts w:ascii="標楷體" w:eastAsia="標楷體" w:hAnsi="標楷體"/>
          <w:szCs w:val="22"/>
        </w:rPr>
        <w:t>經上說：「空相應緣起。」依中觀者說，這是沒有自性的，與空相應的緣起法。依因緣而有，所以沒有孤立的獨存（一）性。依因緣而起滅變異，所以沒有永恆的不變異（常）性。非一（也就不是異），非常（也就不是斷）的因緣有，是非實有（也就非實無）性的。這樣的因緣生法，從沒有自性說，名為空，是勝義空，順於勝義的（現證的勝義，是不能安立的），雖然空無自性，而緣起法相，卻在因緣關係下顯現。這是「唯名唯表唯假施設」的世俗有。古人簡略的稱為：「</w:t>
      </w:r>
      <w:r w:rsidRPr="00212D57">
        <w:rPr>
          <w:rFonts w:ascii="標楷體" w:eastAsia="標楷體" w:hAnsi="標楷體"/>
          <w:b/>
          <w:szCs w:val="22"/>
        </w:rPr>
        <w:t>畢竟空而宛然有，宛然有而畢竟空</w:t>
      </w:r>
      <w:r w:rsidRPr="00212D57">
        <w:rPr>
          <w:rFonts w:ascii="標楷體" w:eastAsia="標楷體" w:hAnsi="標楷體"/>
          <w:szCs w:val="22"/>
        </w:rPr>
        <w:t>。」如幻、化、陽燄一樣，說是真實的嗎，深求起來，卻沒有一些真實性可得。說沒有嗎，卻是可見可聞，分明顯現。在世間施設中，因果分明，絲毫不亂。所以空而不礙因緣有，有而不礙自性空（「色即是空，空即是色」）。進一步說，正因為是因緣有的，所以是性空的；如不是因緣有，也就不是性空了。反之，因為一切性空，所以才依因緣而有；如不是性空，是實有自性的，那就是實有性，是一是常，也不會待因緣而有了。這樣，不但依因緣有而顯示性空，也就依空義而能成立一切法。這樣的因緣有與無自性空，相依相成，相即而無礙。如有而不是空的，就是實（執）有；空而不能有的，就是撥無因果現實的邪空。遠離這樣的二邊妄執，空有無礙，才是中道的正觀。</w:t>
      </w:r>
    </w:p>
  </w:footnote>
  <w:footnote w:id="87">
    <w:p w:rsidR="00157EF6" w:rsidRPr="00212D57" w:rsidRDefault="00157EF6" w:rsidP="009E0A5A">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）僧叡，《中論》</w:t>
      </w:r>
      <w:r w:rsidR="0082225E">
        <w:rPr>
          <w:rFonts w:hint="eastAsia"/>
          <w:szCs w:val="22"/>
        </w:rPr>
        <w:t>〈</w:t>
      </w:r>
      <w:r w:rsidR="0082225E" w:rsidRPr="00212D57">
        <w:rPr>
          <w:rFonts w:hint="eastAsia"/>
          <w:szCs w:val="22"/>
        </w:rPr>
        <w:t>序</w:t>
      </w:r>
      <w:r w:rsidR="0082225E">
        <w:rPr>
          <w:rFonts w:hint="eastAsia"/>
          <w:szCs w:val="22"/>
        </w:rPr>
        <w:t>〉</w:t>
      </w:r>
      <w:r w:rsidRPr="00212D57">
        <w:rPr>
          <w:szCs w:val="22"/>
        </w:rPr>
        <w:t>（大正</w:t>
      </w:r>
      <w:r w:rsidRPr="00761EF3">
        <w:rPr>
          <w:szCs w:val="22"/>
        </w:rPr>
        <w:t>30</w:t>
      </w:r>
      <w:r w:rsidRPr="00212D57">
        <w:rPr>
          <w:szCs w:val="22"/>
        </w:rPr>
        <w:t>，</w:t>
      </w:r>
      <w:r w:rsidRPr="00761EF3">
        <w:rPr>
          <w:szCs w:val="22"/>
        </w:rPr>
        <w:t>1a4</w:t>
      </w:r>
      <w:r w:rsidRPr="00212D57">
        <w:rPr>
          <w:rFonts w:hint="eastAsia"/>
          <w:szCs w:val="22"/>
        </w:rPr>
        <w:t>-</w:t>
      </w:r>
      <w:r w:rsidRPr="00761EF3">
        <w:rPr>
          <w:szCs w:val="22"/>
        </w:rPr>
        <w:t>7</w:t>
      </w:r>
      <w:r w:rsidRPr="00212D57">
        <w:rPr>
          <w:szCs w:val="22"/>
        </w:rPr>
        <w:t>）：</w:t>
      </w:r>
    </w:p>
    <w:p w:rsidR="00157EF6" w:rsidRPr="00212D57" w:rsidRDefault="00157EF6" w:rsidP="00B23570">
      <w:pPr>
        <w:pStyle w:val="a5"/>
        <w:spacing w:line="0" w:lineRule="atLeast"/>
        <w:ind w:leftChars="300" w:left="720"/>
        <w:jc w:val="both"/>
        <w:rPr>
          <w:szCs w:val="22"/>
        </w:rPr>
      </w:pPr>
      <w:r w:rsidRPr="00212D57">
        <w:rPr>
          <w:rFonts w:ascii="標楷體" w:eastAsia="標楷體" w:hAnsi="標楷體"/>
          <w:szCs w:val="22"/>
        </w:rPr>
        <w:t>《中論》有五百偈，龍樹菩薩之所造也</w:t>
      </w:r>
      <w:r w:rsidRPr="00212D57">
        <w:rPr>
          <w:rFonts w:ascii="標楷體" w:eastAsia="標楷體" w:hAnsi="標楷體" w:hint="eastAsia"/>
          <w:szCs w:val="22"/>
        </w:rPr>
        <w:t>。</w:t>
      </w:r>
      <w:r w:rsidRPr="00212D57">
        <w:rPr>
          <w:rFonts w:ascii="標楷體" w:eastAsia="標楷體" w:hAnsi="標楷體"/>
          <w:b/>
          <w:szCs w:val="22"/>
        </w:rPr>
        <w:t>以</w:t>
      </w:r>
      <w:r w:rsidR="000C79F9">
        <w:rPr>
          <w:rFonts w:ascii="標楷體" w:eastAsia="標楷體" w:hAnsi="標楷體" w:hint="eastAsia"/>
          <w:bCs/>
          <w:color w:val="FF0000"/>
          <w:kern w:val="0"/>
          <w:highlight w:val="yellow"/>
        </w:rPr>
        <w:t>「</w:t>
      </w:r>
      <w:r w:rsidRPr="00212D57">
        <w:rPr>
          <w:rFonts w:ascii="標楷體" w:eastAsia="標楷體" w:hAnsi="標楷體"/>
          <w:b/>
          <w:szCs w:val="22"/>
        </w:rPr>
        <w:t>中</w:t>
      </w:r>
      <w:r w:rsidR="000C79F9">
        <w:rPr>
          <w:rFonts w:ascii="標楷體" w:eastAsia="標楷體" w:hAnsi="標楷體" w:hint="eastAsia"/>
          <w:bCs/>
          <w:color w:val="FF0000"/>
          <w:kern w:val="0"/>
          <w:highlight w:val="yellow"/>
        </w:rPr>
        <w:t>」</w:t>
      </w:r>
      <w:r w:rsidRPr="00212D57">
        <w:rPr>
          <w:rFonts w:ascii="標楷體" w:eastAsia="標楷體" w:hAnsi="標楷體"/>
          <w:b/>
          <w:szCs w:val="22"/>
        </w:rPr>
        <w:t>為名者，照其實也</w:t>
      </w:r>
      <w:r w:rsidRPr="00212D57">
        <w:rPr>
          <w:rFonts w:ascii="標楷體" w:eastAsia="標楷體" w:hAnsi="標楷體"/>
          <w:szCs w:val="22"/>
        </w:rPr>
        <w:t>；以</w:t>
      </w:r>
      <w:r w:rsidR="000C79F9">
        <w:rPr>
          <w:rFonts w:ascii="標楷體" w:eastAsia="標楷體" w:hAnsi="標楷體" w:hint="eastAsia"/>
          <w:bCs/>
          <w:color w:val="FF0000"/>
          <w:kern w:val="0"/>
          <w:highlight w:val="yellow"/>
        </w:rPr>
        <w:t>「</w:t>
      </w:r>
      <w:r w:rsidRPr="00212D57">
        <w:rPr>
          <w:rFonts w:ascii="標楷體" w:eastAsia="標楷體" w:hAnsi="標楷體"/>
          <w:szCs w:val="22"/>
        </w:rPr>
        <w:t>論</w:t>
      </w:r>
      <w:r w:rsidR="000C79F9">
        <w:rPr>
          <w:rFonts w:ascii="標楷體" w:eastAsia="標楷體" w:hAnsi="標楷體" w:hint="eastAsia"/>
          <w:bCs/>
          <w:color w:val="FF0000"/>
          <w:kern w:val="0"/>
          <w:highlight w:val="yellow"/>
        </w:rPr>
        <w:t>」</w:t>
      </w:r>
      <w:r w:rsidRPr="00212D57">
        <w:rPr>
          <w:rFonts w:ascii="標楷體" w:eastAsia="標楷體" w:hAnsi="標楷體"/>
          <w:szCs w:val="22"/>
        </w:rPr>
        <w:t>為稱者，盡其言也。</w:t>
      </w:r>
      <w:r w:rsidR="000C79F9">
        <w:rPr>
          <w:rFonts w:ascii="標楷體" w:eastAsia="標楷體" w:hAnsi="標楷體" w:hint="eastAsia"/>
          <w:bCs/>
          <w:color w:val="FF0000"/>
          <w:kern w:val="0"/>
          <w:highlight w:val="yellow"/>
        </w:rPr>
        <w:t>「</w:t>
      </w:r>
      <w:r w:rsidRPr="00212D57">
        <w:rPr>
          <w:rFonts w:ascii="標楷體" w:eastAsia="標楷體" w:hAnsi="標楷體"/>
          <w:szCs w:val="22"/>
        </w:rPr>
        <w:t>實</w:t>
      </w:r>
      <w:r w:rsidR="000C79F9">
        <w:rPr>
          <w:rFonts w:ascii="標楷體" w:eastAsia="標楷體" w:hAnsi="標楷體" w:hint="eastAsia"/>
          <w:bCs/>
          <w:color w:val="FF0000"/>
          <w:kern w:val="0"/>
          <w:highlight w:val="yellow"/>
        </w:rPr>
        <w:t>」</w:t>
      </w:r>
      <w:r w:rsidRPr="00212D57">
        <w:rPr>
          <w:rFonts w:ascii="標楷體" w:eastAsia="標楷體" w:hAnsi="標楷體"/>
          <w:szCs w:val="22"/>
        </w:rPr>
        <w:t>非</w:t>
      </w:r>
      <w:r w:rsidR="000C79F9">
        <w:rPr>
          <w:rFonts w:ascii="標楷體" w:eastAsia="標楷體" w:hAnsi="標楷體" w:hint="eastAsia"/>
          <w:bCs/>
          <w:color w:val="FF0000"/>
          <w:kern w:val="0"/>
          <w:highlight w:val="yellow"/>
        </w:rPr>
        <w:t>「</w:t>
      </w:r>
      <w:r w:rsidRPr="00212D57">
        <w:rPr>
          <w:rFonts w:ascii="標楷體" w:eastAsia="標楷體" w:hAnsi="標楷體"/>
          <w:szCs w:val="22"/>
        </w:rPr>
        <w:t>名</w:t>
      </w:r>
      <w:r w:rsidR="000C79F9">
        <w:rPr>
          <w:rFonts w:ascii="標楷體" w:eastAsia="標楷體" w:hAnsi="標楷體" w:hint="eastAsia"/>
          <w:bCs/>
          <w:color w:val="FF0000"/>
          <w:kern w:val="0"/>
          <w:highlight w:val="yellow"/>
        </w:rPr>
        <w:t>」</w:t>
      </w:r>
      <w:r w:rsidRPr="00212D57">
        <w:rPr>
          <w:rFonts w:ascii="標楷體" w:eastAsia="標楷體" w:hAnsi="標楷體"/>
          <w:szCs w:val="22"/>
        </w:rPr>
        <w:t>不悟，故寄</w:t>
      </w:r>
      <w:r w:rsidRPr="00212D57">
        <w:rPr>
          <w:szCs w:val="22"/>
        </w:rPr>
        <w:t>「</w:t>
      </w:r>
      <w:r w:rsidRPr="00212D57">
        <w:rPr>
          <w:rFonts w:ascii="標楷體" w:eastAsia="標楷體" w:hAnsi="標楷體"/>
          <w:szCs w:val="22"/>
        </w:rPr>
        <w:t>中</w:t>
      </w:r>
      <w:r w:rsidRPr="00212D57">
        <w:rPr>
          <w:szCs w:val="22"/>
        </w:rPr>
        <w:t>」</w:t>
      </w:r>
      <w:r w:rsidRPr="00212D57">
        <w:rPr>
          <w:rFonts w:ascii="標楷體" w:eastAsia="標楷體" w:hAnsi="標楷體"/>
          <w:szCs w:val="22"/>
        </w:rPr>
        <w:t>以宣之</w:t>
      </w:r>
      <w:r w:rsidRPr="00212D57">
        <w:rPr>
          <w:rFonts w:ascii="標楷體" w:eastAsia="標楷體" w:hAnsi="標楷體" w:hint="eastAsia"/>
          <w:szCs w:val="22"/>
        </w:rPr>
        <w:t>；</w:t>
      </w:r>
      <w:r w:rsidR="000C79F9">
        <w:rPr>
          <w:rFonts w:ascii="標楷體" w:eastAsia="標楷體" w:hAnsi="標楷體" w:hint="eastAsia"/>
          <w:bCs/>
          <w:color w:val="FF0000"/>
          <w:kern w:val="0"/>
          <w:highlight w:val="yellow"/>
        </w:rPr>
        <w:t>「</w:t>
      </w:r>
      <w:r w:rsidRPr="00212D57">
        <w:rPr>
          <w:rFonts w:ascii="標楷體" w:eastAsia="標楷體" w:hAnsi="標楷體"/>
          <w:szCs w:val="22"/>
        </w:rPr>
        <w:t>言</w:t>
      </w:r>
      <w:r w:rsidR="000C79F9">
        <w:rPr>
          <w:rFonts w:ascii="標楷體" w:eastAsia="標楷體" w:hAnsi="標楷體" w:hint="eastAsia"/>
          <w:bCs/>
          <w:color w:val="FF0000"/>
          <w:kern w:val="0"/>
          <w:highlight w:val="yellow"/>
        </w:rPr>
        <w:t>」</w:t>
      </w:r>
      <w:r w:rsidRPr="00212D57">
        <w:rPr>
          <w:rFonts w:ascii="標楷體" w:eastAsia="標楷體" w:hAnsi="標楷體"/>
          <w:szCs w:val="22"/>
        </w:rPr>
        <w:t>非釋不盡，故假</w:t>
      </w:r>
      <w:r w:rsidRPr="00212D57">
        <w:rPr>
          <w:szCs w:val="22"/>
        </w:rPr>
        <w:t>「</w:t>
      </w:r>
      <w:r w:rsidRPr="00212D57">
        <w:rPr>
          <w:rFonts w:ascii="標楷體" w:eastAsia="標楷體" w:hAnsi="標楷體"/>
          <w:szCs w:val="22"/>
        </w:rPr>
        <w:t>論</w:t>
      </w:r>
      <w:r w:rsidRPr="00212D57">
        <w:rPr>
          <w:szCs w:val="22"/>
        </w:rPr>
        <w:t>」</w:t>
      </w:r>
      <w:r w:rsidRPr="00212D57">
        <w:rPr>
          <w:rFonts w:ascii="標楷體" w:eastAsia="標楷體" w:hAnsi="標楷體"/>
          <w:szCs w:val="22"/>
        </w:rPr>
        <w:t>以明之。</w:t>
      </w:r>
    </w:p>
    <w:p w:rsidR="00157EF6" w:rsidRPr="00212D57" w:rsidRDefault="00157EF6" w:rsidP="008E68AA">
      <w:pPr>
        <w:pStyle w:val="a5"/>
        <w:ind w:leftChars="80" w:left="731" w:hangingChars="245" w:hanging="539"/>
        <w:jc w:val="both"/>
        <w:rPr>
          <w:szCs w:val="22"/>
        </w:rPr>
      </w:pPr>
      <w:r w:rsidRPr="00212D57">
        <w:rPr>
          <w:szCs w:val="22"/>
        </w:rPr>
        <w:t>（</w:t>
      </w:r>
      <w:r w:rsidRPr="00761EF3">
        <w:rPr>
          <w:szCs w:val="22"/>
        </w:rPr>
        <w:t>2</w:t>
      </w:r>
      <w:r w:rsidRPr="00212D57">
        <w:rPr>
          <w:szCs w:val="22"/>
        </w:rPr>
        <w:t>）</w:t>
      </w:r>
      <w:r w:rsidRPr="00212D57">
        <w:rPr>
          <w:rFonts w:hint="eastAsia"/>
          <w:szCs w:val="22"/>
        </w:rPr>
        <w:t>〔隋〕</w:t>
      </w:r>
      <w:r w:rsidRPr="00212D57">
        <w:rPr>
          <w:szCs w:val="22"/>
        </w:rPr>
        <w:t>吉藏</w:t>
      </w:r>
      <w:r w:rsidRPr="00212D57">
        <w:rPr>
          <w:rFonts w:hint="eastAsia"/>
          <w:szCs w:val="22"/>
        </w:rPr>
        <w:t>撰，</w:t>
      </w:r>
      <w:r w:rsidRPr="00212D57">
        <w:rPr>
          <w:szCs w:val="22"/>
        </w:rPr>
        <w:t>《三論玄義》卷</w:t>
      </w:r>
      <w:r w:rsidRPr="00761EF3">
        <w:rPr>
          <w:szCs w:val="22"/>
        </w:rPr>
        <w:t>1</w:t>
      </w:r>
      <w:r w:rsidRPr="00212D57">
        <w:rPr>
          <w:szCs w:val="22"/>
        </w:rPr>
        <w:t>（大正</w:t>
      </w:r>
      <w:r w:rsidRPr="00761EF3">
        <w:rPr>
          <w:szCs w:val="22"/>
        </w:rPr>
        <w:t>45</w:t>
      </w:r>
      <w:r w:rsidRPr="00212D57">
        <w:rPr>
          <w:szCs w:val="22"/>
        </w:rPr>
        <w:t>，</w:t>
      </w:r>
      <w:r w:rsidRPr="00761EF3">
        <w:rPr>
          <w:szCs w:val="22"/>
        </w:rPr>
        <w:t>14a24</w:t>
      </w:r>
      <w:r w:rsidRPr="00212D57">
        <w:rPr>
          <w:szCs w:val="22"/>
        </w:rPr>
        <w:t>-</w:t>
      </w:r>
      <w:r w:rsidRPr="00761EF3">
        <w:rPr>
          <w:szCs w:val="22"/>
        </w:rPr>
        <w:t>b2</w:t>
      </w:r>
      <w:r w:rsidRPr="00212D57">
        <w:rPr>
          <w:szCs w:val="22"/>
        </w:rPr>
        <w:t>）：</w:t>
      </w:r>
    </w:p>
    <w:p w:rsidR="00157EF6" w:rsidRDefault="00157EF6" w:rsidP="00B23570">
      <w:pPr>
        <w:pStyle w:val="a5"/>
        <w:spacing w:line="0" w:lineRule="atLeast"/>
        <w:ind w:leftChars="300" w:left="720"/>
        <w:jc w:val="both"/>
        <w:rPr>
          <w:rFonts w:ascii="標楷體" w:eastAsia="標楷體" w:hAnsi="標楷體"/>
          <w:szCs w:val="22"/>
        </w:rPr>
      </w:pPr>
      <w:r w:rsidRPr="00212D57">
        <w:rPr>
          <w:rFonts w:ascii="標楷體" w:eastAsia="標楷體" w:hAnsi="標楷體"/>
          <w:szCs w:val="22"/>
        </w:rPr>
        <w:t>叡師《中論》〈序〉云：</w:t>
      </w:r>
      <w:r w:rsidR="000C79F9">
        <w:rPr>
          <w:rFonts w:ascii="標楷體" w:eastAsia="標楷體" w:hAnsi="標楷體" w:hint="eastAsia"/>
          <w:bCs/>
          <w:color w:val="FF0000"/>
          <w:kern w:val="0"/>
          <w:highlight w:val="yellow"/>
        </w:rPr>
        <w:t>「</w:t>
      </w:r>
      <w:r w:rsidRPr="00212D57">
        <w:rPr>
          <w:rFonts w:ascii="標楷體" w:eastAsia="標楷體" w:hAnsi="標楷體"/>
          <w:szCs w:val="22"/>
        </w:rPr>
        <w:t>以</w:t>
      </w:r>
      <w:r w:rsidR="000C79F9">
        <w:rPr>
          <w:rFonts w:ascii="標楷體" w:eastAsia="標楷體" w:hAnsi="標楷體" w:hint="eastAsia"/>
          <w:color w:val="FF0000"/>
          <w:kern w:val="0"/>
          <w:highlight w:val="yellow"/>
        </w:rPr>
        <w:t>『</w:t>
      </w:r>
      <w:r w:rsidRPr="00212D57">
        <w:rPr>
          <w:rFonts w:ascii="標楷體" w:eastAsia="標楷體" w:hAnsi="標楷體"/>
          <w:b/>
          <w:szCs w:val="22"/>
        </w:rPr>
        <w:t>中</w:t>
      </w:r>
      <w:r w:rsidR="000C79F9">
        <w:rPr>
          <w:rFonts w:ascii="標楷體" w:eastAsia="標楷體" w:hAnsi="標楷體" w:hint="eastAsia"/>
          <w:color w:val="FF0000"/>
          <w:kern w:val="0"/>
          <w:highlight w:val="yellow"/>
        </w:rPr>
        <w:t>』</w:t>
      </w:r>
      <w:r w:rsidRPr="00212D57">
        <w:rPr>
          <w:rFonts w:ascii="標楷體" w:eastAsia="標楷體" w:hAnsi="標楷體"/>
          <w:szCs w:val="22"/>
        </w:rPr>
        <w:t>為名者，照其</w:t>
      </w:r>
      <w:r w:rsidRPr="00212D57">
        <w:rPr>
          <w:rFonts w:ascii="標楷體" w:eastAsia="標楷體" w:hAnsi="標楷體"/>
          <w:b/>
          <w:szCs w:val="22"/>
        </w:rPr>
        <w:t>實</w:t>
      </w:r>
      <w:r w:rsidRPr="00212D57">
        <w:rPr>
          <w:rFonts w:ascii="標楷體" w:eastAsia="標楷體" w:hAnsi="標楷體"/>
          <w:szCs w:val="22"/>
        </w:rPr>
        <w:t>也。</w:t>
      </w:r>
      <w:r w:rsidR="000C79F9">
        <w:rPr>
          <w:rFonts w:ascii="標楷體" w:eastAsia="標楷體" w:hAnsi="標楷體" w:hint="eastAsia"/>
          <w:bCs/>
          <w:color w:val="FF0000"/>
          <w:kern w:val="0"/>
          <w:highlight w:val="yellow"/>
        </w:rPr>
        <w:t>」「</w:t>
      </w:r>
      <w:r w:rsidRPr="00212D57">
        <w:rPr>
          <w:rFonts w:ascii="標楷體" w:eastAsia="標楷體" w:hAnsi="標楷體"/>
          <w:szCs w:val="22"/>
        </w:rPr>
        <w:t>照</w:t>
      </w:r>
      <w:r w:rsidR="000C79F9">
        <w:rPr>
          <w:rFonts w:ascii="標楷體" w:eastAsia="標楷體" w:hAnsi="標楷體" w:hint="eastAsia"/>
          <w:bCs/>
          <w:color w:val="FF0000"/>
          <w:kern w:val="0"/>
          <w:highlight w:val="yellow"/>
        </w:rPr>
        <w:t>」</w:t>
      </w:r>
      <w:r w:rsidRPr="00212D57">
        <w:rPr>
          <w:rFonts w:ascii="標楷體" w:eastAsia="標楷體" w:hAnsi="標楷體"/>
          <w:szCs w:val="22"/>
        </w:rPr>
        <w:t>謂</w:t>
      </w:r>
      <w:r w:rsidR="000C79F9">
        <w:rPr>
          <w:rFonts w:ascii="標楷體" w:eastAsia="標楷體" w:hAnsi="標楷體" w:hint="eastAsia"/>
          <w:bCs/>
          <w:color w:val="FF0000"/>
          <w:kern w:val="0"/>
          <w:highlight w:val="yellow"/>
        </w:rPr>
        <w:t>「</w:t>
      </w:r>
      <w:r w:rsidRPr="00212D57">
        <w:rPr>
          <w:rFonts w:ascii="標楷體" w:eastAsia="標楷體" w:hAnsi="標楷體"/>
          <w:szCs w:val="22"/>
        </w:rPr>
        <w:t>顯</w:t>
      </w:r>
      <w:r w:rsidR="000C79F9">
        <w:rPr>
          <w:rFonts w:ascii="標楷體" w:eastAsia="標楷體" w:hAnsi="標楷體" w:hint="eastAsia"/>
          <w:bCs/>
          <w:color w:val="FF0000"/>
          <w:kern w:val="0"/>
          <w:highlight w:val="yellow"/>
        </w:rPr>
        <w:t>」</w:t>
      </w:r>
      <w:r w:rsidRPr="00212D57">
        <w:rPr>
          <w:rFonts w:ascii="標楷體" w:eastAsia="標楷體" w:hAnsi="標楷體"/>
          <w:szCs w:val="22"/>
        </w:rPr>
        <w:t>也</w:t>
      </w:r>
      <w:r w:rsidR="000C79F9">
        <w:rPr>
          <w:rFonts w:ascii="標楷體" w:eastAsia="標楷體" w:hAnsi="標楷體" w:hint="eastAsia"/>
          <w:color w:val="FF0000"/>
          <w:kern w:val="0"/>
          <w:highlight w:val="yellow"/>
        </w:rPr>
        <w:t>。</w:t>
      </w:r>
      <w:r w:rsidRPr="00212D57">
        <w:rPr>
          <w:rFonts w:ascii="標楷體" w:eastAsia="標楷體" w:hAnsi="標楷體"/>
          <w:szCs w:val="22"/>
        </w:rPr>
        <w:t>立於</w:t>
      </w:r>
      <w:r w:rsidR="000C79F9">
        <w:rPr>
          <w:rFonts w:ascii="標楷體" w:eastAsia="標楷體" w:hAnsi="標楷體" w:hint="eastAsia"/>
          <w:bCs/>
          <w:color w:val="FF0000"/>
          <w:kern w:val="0"/>
          <w:highlight w:val="yellow"/>
        </w:rPr>
        <w:t>「</w:t>
      </w:r>
      <w:r w:rsidRPr="00212D57">
        <w:rPr>
          <w:rFonts w:ascii="標楷體" w:eastAsia="標楷體" w:hAnsi="標楷體"/>
          <w:szCs w:val="22"/>
        </w:rPr>
        <w:t>中</w:t>
      </w:r>
      <w:r w:rsidR="000C79F9">
        <w:rPr>
          <w:rFonts w:ascii="標楷體" w:eastAsia="標楷體" w:hAnsi="標楷體" w:hint="eastAsia"/>
          <w:bCs/>
          <w:color w:val="FF0000"/>
          <w:kern w:val="0"/>
          <w:highlight w:val="yellow"/>
        </w:rPr>
        <w:t>」</w:t>
      </w:r>
      <w:r w:rsidRPr="00212D57">
        <w:rPr>
          <w:rFonts w:ascii="標楷體" w:eastAsia="標楷體" w:hAnsi="標楷體"/>
          <w:szCs w:val="22"/>
        </w:rPr>
        <w:t>名，為欲顯諸法實</w:t>
      </w:r>
      <w:r w:rsidR="000C79F9">
        <w:rPr>
          <w:rFonts w:ascii="標楷體" w:eastAsia="標楷體" w:hAnsi="標楷體" w:hint="eastAsia"/>
          <w:color w:val="FF0000"/>
          <w:kern w:val="0"/>
          <w:highlight w:val="yellow"/>
        </w:rPr>
        <w:t>，</w:t>
      </w:r>
      <w:r w:rsidRPr="000C79F9">
        <w:rPr>
          <w:rFonts w:ascii="標楷體" w:eastAsia="標楷體" w:hAnsi="標楷體"/>
          <w:szCs w:val="22"/>
          <w:highlight w:val="yellow"/>
        </w:rPr>
        <w:t>故云</w:t>
      </w:r>
      <w:r w:rsidR="000C79F9">
        <w:rPr>
          <w:rFonts w:ascii="標楷體" w:eastAsia="標楷體" w:hAnsi="標楷體" w:hint="eastAsia"/>
          <w:bCs/>
          <w:color w:val="FF0000"/>
          <w:kern w:val="0"/>
          <w:highlight w:val="yellow"/>
        </w:rPr>
        <w:t>「</w:t>
      </w:r>
      <w:r w:rsidRPr="00212D57">
        <w:rPr>
          <w:rFonts w:ascii="標楷體" w:eastAsia="標楷體" w:hAnsi="標楷體"/>
          <w:szCs w:val="22"/>
        </w:rPr>
        <w:t>照其實</w:t>
      </w:r>
      <w:r w:rsidR="000C79F9">
        <w:rPr>
          <w:rFonts w:ascii="標楷體" w:eastAsia="標楷體" w:hAnsi="標楷體" w:hint="eastAsia"/>
          <w:bCs/>
          <w:color w:val="FF0000"/>
          <w:kern w:val="0"/>
          <w:highlight w:val="yellow"/>
        </w:rPr>
        <w:t>」</w:t>
      </w:r>
      <w:r w:rsidRPr="00212D57">
        <w:rPr>
          <w:rFonts w:ascii="標楷體" w:eastAsia="標楷體" w:hAnsi="標楷體"/>
          <w:szCs w:val="22"/>
        </w:rPr>
        <w:t>也。所言</w:t>
      </w:r>
      <w:r w:rsidRPr="00212D57">
        <w:rPr>
          <w:szCs w:val="22"/>
        </w:rPr>
        <w:t>「</w:t>
      </w:r>
      <w:r w:rsidRPr="00212D57">
        <w:rPr>
          <w:rFonts w:ascii="標楷體" w:eastAsia="標楷體" w:hAnsi="標楷體"/>
          <w:szCs w:val="22"/>
        </w:rPr>
        <w:t>正</w:t>
      </w:r>
      <w:r w:rsidRPr="00212D57">
        <w:rPr>
          <w:szCs w:val="22"/>
        </w:rPr>
        <w:t>」</w:t>
      </w:r>
      <w:r w:rsidRPr="00212D57">
        <w:rPr>
          <w:rFonts w:ascii="標楷體" w:eastAsia="標楷體" w:hAnsi="標楷體"/>
          <w:szCs w:val="22"/>
        </w:rPr>
        <w:t>者，《華嚴》云：</w:t>
      </w:r>
      <w:r w:rsidR="000C79F9">
        <w:rPr>
          <w:rFonts w:ascii="標楷體" w:eastAsia="標楷體" w:hAnsi="標楷體" w:hint="eastAsia"/>
          <w:bCs/>
          <w:color w:val="FF0000"/>
          <w:kern w:val="0"/>
          <w:highlight w:val="yellow"/>
        </w:rPr>
        <w:t>「</w:t>
      </w:r>
      <w:r w:rsidRPr="00212D57">
        <w:rPr>
          <w:rFonts w:ascii="標楷體" w:eastAsia="標楷體" w:hAnsi="標楷體"/>
          <w:szCs w:val="22"/>
        </w:rPr>
        <w:t>正法性遠離一切言語道，一切趣非趣，悉皆寂滅相。</w:t>
      </w:r>
      <w:r w:rsidR="000C79F9">
        <w:rPr>
          <w:rFonts w:ascii="標楷體" w:eastAsia="標楷體" w:hAnsi="標楷體" w:hint="eastAsia"/>
          <w:bCs/>
          <w:color w:val="FF0000"/>
          <w:kern w:val="0"/>
          <w:highlight w:val="yellow"/>
        </w:rPr>
        <w:t>」</w:t>
      </w:r>
      <w:r w:rsidR="00E51FE6" w:rsidRPr="00E51FE6">
        <w:rPr>
          <w:rFonts w:eastAsia="標楷體" w:hint="eastAsia"/>
          <w:color w:val="FF0000"/>
          <w:szCs w:val="22"/>
          <w:shd w:val="pct15" w:color="auto" w:fill="FFFFFF"/>
        </w:rPr>
        <w:t>*</w:t>
      </w:r>
      <w:r w:rsidRPr="00212D57">
        <w:rPr>
          <w:rFonts w:ascii="標楷體" w:eastAsia="標楷體" w:hAnsi="標楷體"/>
          <w:szCs w:val="22"/>
        </w:rPr>
        <w:t>此之</w:t>
      </w:r>
      <w:r w:rsidR="000C79F9">
        <w:rPr>
          <w:rFonts w:ascii="標楷體" w:eastAsia="標楷體" w:hAnsi="標楷體" w:hint="eastAsia"/>
          <w:bCs/>
          <w:color w:val="FF0000"/>
          <w:kern w:val="0"/>
          <w:highlight w:val="yellow"/>
        </w:rPr>
        <w:t>「</w:t>
      </w:r>
      <w:r w:rsidRPr="00212D57">
        <w:rPr>
          <w:rFonts w:ascii="標楷體" w:eastAsia="標楷體" w:hAnsi="標楷體"/>
          <w:szCs w:val="22"/>
        </w:rPr>
        <w:t>正法</w:t>
      </w:r>
      <w:r w:rsidR="000C79F9">
        <w:rPr>
          <w:rFonts w:ascii="標楷體" w:eastAsia="標楷體" w:hAnsi="標楷體" w:hint="eastAsia"/>
          <w:bCs/>
          <w:color w:val="FF0000"/>
          <w:kern w:val="0"/>
          <w:highlight w:val="yellow"/>
        </w:rPr>
        <w:t>」</w:t>
      </w:r>
      <w:r w:rsidRPr="00212D57">
        <w:rPr>
          <w:rFonts w:ascii="標楷體" w:eastAsia="標楷體" w:hAnsi="標楷體"/>
          <w:szCs w:val="22"/>
        </w:rPr>
        <w:t>即是中道</w:t>
      </w:r>
      <w:r w:rsidR="000C79F9">
        <w:rPr>
          <w:rFonts w:ascii="標楷體" w:eastAsia="標楷體" w:hAnsi="標楷體" w:hint="eastAsia"/>
          <w:color w:val="FF0000"/>
          <w:kern w:val="0"/>
          <w:highlight w:val="yellow"/>
        </w:rPr>
        <w:t>。</w:t>
      </w:r>
      <w:r w:rsidRPr="00212D57">
        <w:rPr>
          <w:rFonts w:ascii="標楷體" w:eastAsia="標楷體" w:hAnsi="標楷體"/>
          <w:szCs w:val="22"/>
        </w:rPr>
        <w:t>離</w:t>
      </w:r>
      <w:r w:rsidR="000C79F9">
        <w:rPr>
          <w:rFonts w:ascii="標楷體" w:eastAsia="標楷體" w:hAnsi="標楷體" w:hint="eastAsia"/>
          <w:bCs/>
          <w:color w:val="FF0000"/>
          <w:kern w:val="0"/>
          <w:highlight w:val="yellow"/>
        </w:rPr>
        <w:t>「</w:t>
      </w:r>
      <w:r w:rsidRPr="00212D57">
        <w:rPr>
          <w:rFonts w:ascii="標楷體" w:eastAsia="標楷體" w:hAnsi="標楷體"/>
          <w:szCs w:val="22"/>
        </w:rPr>
        <w:t>偏</w:t>
      </w:r>
      <w:r w:rsidR="000C79F9">
        <w:rPr>
          <w:rFonts w:ascii="標楷體" w:eastAsia="標楷體" w:hAnsi="標楷體" w:hint="eastAsia"/>
          <w:bCs/>
          <w:color w:val="FF0000"/>
          <w:kern w:val="0"/>
          <w:highlight w:val="yellow"/>
        </w:rPr>
        <w:t>」</w:t>
      </w:r>
      <w:r w:rsidRPr="00212D57">
        <w:rPr>
          <w:rFonts w:ascii="標楷體" w:eastAsia="標楷體" w:hAnsi="標楷體"/>
          <w:szCs w:val="22"/>
        </w:rPr>
        <w:t>曰</w:t>
      </w:r>
      <w:r w:rsidRPr="00212D57">
        <w:rPr>
          <w:szCs w:val="22"/>
        </w:rPr>
        <w:t>「</w:t>
      </w:r>
      <w:r w:rsidRPr="00212D57">
        <w:rPr>
          <w:rFonts w:ascii="標楷體" w:eastAsia="標楷體" w:hAnsi="標楷體"/>
          <w:szCs w:val="22"/>
        </w:rPr>
        <w:t>中</w:t>
      </w:r>
      <w:r w:rsidRPr="00212D57">
        <w:rPr>
          <w:szCs w:val="22"/>
        </w:rPr>
        <w:t>」</w:t>
      </w:r>
      <w:r w:rsidRPr="00212D57">
        <w:rPr>
          <w:rFonts w:ascii="標楷體" w:eastAsia="標楷體" w:hAnsi="標楷體"/>
          <w:szCs w:val="22"/>
        </w:rPr>
        <w:t>，對</w:t>
      </w:r>
      <w:r w:rsidR="000C79F9">
        <w:rPr>
          <w:rFonts w:ascii="標楷體" w:eastAsia="標楷體" w:hAnsi="標楷體" w:hint="eastAsia"/>
          <w:bCs/>
          <w:color w:val="FF0000"/>
          <w:kern w:val="0"/>
          <w:highlight w:val="yellow"/>
        </w:rPr>
        <w:t>「</w:t>
      </w:r>
      <w:r w:rsidRPr="00212D57">
        <w:rPr>
          <w:rFonts w:ascii="標楷體" w:eastAsia="標楷體" w:hAnsi="標楷體"/>
          <w:szCs w:val="22"/>
        </w:rPr>
        <w:t>邪</w:t>
      </w:r>
      <w:r w:rsidR="000C79F9">
        <w:rPr>
          <w:rFonts w:ascii="標楷體" w:eastAsia="標楷體" w:hAnsi="標楷體" w:hint="eastAsia"/>
          <w:bCs/>
          <w:color w:val="FF0000"/>
          <w:kern w:val="0"/>
          <w:highlight w:val="yellow"/>
        </w:rPr>
        <w:t>」</w:t>
      </w:r>
      <w:r w:rsidRPr="00212D57">
        <w:rPr>
          <w:rFonts w:ascii="標楷體" w:eastAsia="標楷體" w:hAnsi="標楷體"/>
          <w:szCs w:val="22"/>
        </w:rPr>
        <w:t>名</w:t>
      </w:r>
      <w:r w:rsidRPr="00212D57">
        <w:rPr>
          <w:szCs w:val="22"/>
        </w:rPr>
        <w:t>「</w:t>
      </w:r>
      <w:r w:rsidRPr="00212D57">
        <w:rPr>
          <w:rFonts w:ascii="標楷體" w:eastAsia="標楷體" w:hAnsi="標楷體"/>
          <w:szCs w:val="22"/>
        </w:rPr>
        <w:t>正</w:t>
      </w:r>
      <w:r w:rsidRPr="00212D57">
        <w:rPr>
          <w:szCs w:val="22"/>
        </w:rPr>
        <w:t>」</w:t>
      </w:r>
      <w:r w:rsidRPr="00212D57">
        <w:rPr>
          <w:rFonts w:ascii="標楷體" w:eastAsia="標楷體" w:hAnsi="標楷體"/>
          <w:szCs w:val="22"/>
        </w:rPr>
        <w:t>。</w:t>
      </w:r>
      <w:r w:rsidRPr="00212D57">
        <w:rPr>
          <w:rFonts w:ascii="標楷體" w:eastAsia="標楷體" w:hAnsi="標楷體"/>
          <w:b/>
          <w:szCs w:val="22"/>
        </w:rPr>
        <w:t>肇公《物不遷論》云：</w:t>
      </w:r>
      <w:r w:rsidR="000C79F9">
        <w:rPr>
          <w:rFonts w:ascii="標楷體" w:eastAsia="標楷體" w:hAnsi="標楷體" w:hint="eastAsia"/>
          <w:bCs/>
          <w:color w:val="FF0000"/>
          <w:kern w:val="0"/>
          <w:highlight w:val="yellow"/>
        </w:rPr>
        <w:t>「</w:t>
      </w:r>
      <w:r w:rsidRPr="00212D57">
        <w:rPr>
          <w:rFonts w:ascii="標楷體" w:eastAsia="標楷體" w:hAnsi="標楷體"/>
          <w:b/>
          <w:szCs w:val="22"/>
        </w:rPr>
        <w:t>《正觀論》</w:t>
      </w:r>
      <w:r w:rsidRPr="00212D57">
        <w:rPr>
          <w:rFonts w:ascii="標楷體" w:eastAsia="標楷體" w:hAnsi="標楷體"/>
          <w:szCs w:val="22"/>
        </w:rPr>
        <w:t>曰：</w:t>
      </w:r>
      <w:r w:rsidR="000C79F9">
        <w:rPr>
          <w:rFonts w:ascii="標楷體" w:eastAsia="標楷體" w:hAnsi="標楷體" w:hint="eastAsia"/>
          <w:color w:val="FF0000"/>
          <w:kern w:val="0"/>
          <w:highlight w:val="yellow"/>
        </w:rPr>
        <w:t>『</w:t>
      </w:r>
      <w:r w:rsidRPr="00212D57">
        <w:rPr>
          <w:rFonts w:ascii="標楷體" w:eastAsia="標楷體" w:hAnsi="標楷體"/>
          <w:szCs w:val="22"/>
        </w:rPr>
        <w:t>觀方知彼去，去者不至方</w:t>
      </w:r>
      <w:r w:rsidR="000C79F9">
        <w:rPr>
          <w:rFonts w:ascii="標楷體" w:eastAsia="標楷體" w:hAnsi="標楷體" w:hint="eastAsia"/>
          <w:color w:val="FF0000"/>
          <w:kern w:val="0"/>
          <w:highlight w:val="yellow"/>
        </w:rPr>
        <w:t>』</w:t>
      </w:r>
      <w:r w:rsidRPr="00212D57">
        <w:rPr>
          <w:rFonts w:ascii="標楷體" w:eastAsia="標楷體" w:hAnsi="標楷體"/>
          <w:szCs w:val="22"/>
        </w:rPr>
        <w:t>。</w:t>
      </w:r>
      <w:r w:rsidR="00E51FE6">
        <w:rPr>
          <w:rFonts w:ascii="標楷體" w:eastAsia="標楷體" w:hAnsi="標楷體" w:hint="eastAsia"/>
          <w:bCs/>
          <w:color w:val="FF0000"/>
          <w:kern w:val="0"/>
          <w:highlight w:val="yellow"/>
        </w:rPr>
        <w:t>」</w:t>
      </w:r>
      <w:r w:rsidRPr="00212D57">
        <w:rPr>
          <w:rFonts w:ascii="標楷體" w:eastAsia="標楷體" w:hAnsi="標楷體"/>
          <w:szCs w:val="22"/>
        </w:rPr>
        <w:t>故知</w:t>
      </w:r>
      <w:r w:rsidRPr="00212D57">
        <w:rPr>
          <w:szCs w:val="22"/>
        </w:rPr>
        <w:t>「</w:t>
      </w:r>
      <w:r w:rsidRPr="00212D57">
        <w:rPr>
          <w:rFonts w:ascii="標楷體" w:eastAsia="標楷體" w:hAnsi="標楷體"/>
          <w:szCs w:val="22"/>
        </w:rPr>
        <w:t>中</w:t>
      </w:r>
      <w:r w:rsidRPr="00212D57">
        <w:rPr>
          <w:szCs w:val="22"/>
        </w:rPr>
        <w:t>」</w:t>
      </w:r>
      <w:r w:rsidRPr="00212D57">
        <w:rPr>
          <w:rFonts w:ascii="標楷體" w:eastAsia="標楷體" w:hAnsi="標楷體"/>
          <w:szCs w:val="22"/>
        </w:rPr>
        <w:t>以</w:t>
      </w:r>
      <w:r w:rsidRPr="00212D57">
        <w:rPr>
          <w:szCs w:val="22"/>
        </w:rPr>
        <w:t>「</w:t>
      </w:r>
      <w:r w:rsidRPr="00212D57">
        <w:rPr>
          <w:rFonts w:ascii="標楷體" w:eastAsia="標楷體" w:hAnsi="標楷體"/>
          <w:szCs w:val="22"/>
        </w:rPr>
        <w:t>正</w:t>
      </w:r>
      <w:r w:rsidRPr="00212D57">
        <w:rPr>
          <w:szCs w:val="22"/>
        </w:rPr>
        <w:t>」</w:t>
      </w:r>
      <w:r w:rsidRPr="00212D57">
        <w:rPr>
          <w:rFonts w:ascii="標楷體" w:eastAsia="標楷體" w:hAnsi="標楷體"/>
          <w:szCs w:val="22"/>
        </w:rPr>
        <w:t>為義也。</w:t>
      </w:r>
    </w:p>
    <w:p w:rsidR="00E51FE6" w:rsidRPr="00E51FE6" w:rsidRDefault="00E51FE6" w:rsidP="00B23570">
      <w:pPr>
        <w:pStyle w:val="a5"/>
        <w:spacing w:line="0" w:lineRule="atLeast"/>
        <w:ind w:leftChars="300" w:left="720"/>
        <w:jc w:val="both"/>
        <w:rPr>
          <w:color w:val="FF0000"/>
          <w:szCs w:val="22"/>
          <w:highlight w:val="yellow"/>
          <w:shd w:val="pct15" w:color="auto" w:fill="FFFFFF"/>
        </w:rPr>
      </w:pPr>
      <w:r w:rsidRPr="00E51FE6">
        <w:rPr>
          <w:rFonts w:eastAsia="標楷體" w:hint="eastAsia"/>
          <w:color w:val="FF0000"/>
          <w:szCs w:val="22"/>
          <w:shd w:val="pct15" w:color="auto" w:fill="FFFFFF"/>
        </w:rPr>
        <w:t>*</w:t>
      </w:r>
      <w:r w:rsidRPr="00E51FE6">
        <w:rPr>
          <w:rFonts w:hint="eastAsia"/>
          <w:color w:val="FF0000"/>
          <w:szCs w:val="22"/>
          <w:highlight w:val="yellow"/>
          <w:shd w:val="pct15" w:color="auto" w:fill="FFFFFF"/>
        </w:rPr>
        <w:t>《大方廣佛華嚴經》卷</w:t>
      </w:r>
      <w:r w:rsidRPr="00E51FE6">
        <w:rPr>
          <w:rFonts w:hint="eastAsia"/>
          <w:color w:val="FF0000"/>
          <w:szCs w:val="22"/>
          <w:highlight w:val="yellow"/>
          <w:shd w:val="pct15" w:color="auto" w:fill="FFFFFF"/>
        </w:rPr>
        <w:t>34</w:t>
      </w:r>
      <w:r w:rsidRPr="00E51FE6">
        <w:rPr>
          <w:rFonts w:hint="eastAsia"/>
          <w:color w:val="FF0000"/>
          <w:szCs w:val="22"/>
          <w:highlight w:val="yellow"/>
          <w:shd w:val="pct15" w:color="auto" w:fill="FFFFFF"/>
        </w:rPr>
        <w:t>〈</w:t>
      </w:r>
      <w:r w:rsidRPr="00E51FE6">
        <w:rPr>
          <w:rFonts w:hint="eastAsia"/>
          <w:color w:val="FF0000"/>
          <w:szCs w:val="22"/>
          <w:highlight w:val="yellow"/>
          <w:shd w:val="pct15" w:color="auto" w:fill="FFFFFF"/>
        </w:rPr>
        <w:t>32</w:t>
      </w:r>
      <w:r>
        <w:rPr>
          <w:rFonts w:hint="eastAsia"/>
          <w:color w:val="FF0000"/>
          <w:szCs w:val="22"/>
          <w:highlight w:val="yellow"/>
          <w:shd w:val="pct15" w:color="auto" w:fill="FFFFFF"/>
        </w:rPr>
        <w:t xml:space="preserve"> </w:t>
      </w:r>
      <w:r w:rsidRPr="00E51FE6">
        <w:rPr>
          <w:rFonts w:hint="eastAsia"/>
          <w:color w:val="FF0000"/>
          <w:szCs w:val="22"/>
          <w:highlight w:val="yellow"/>
          <w:shd w:val="pct15" w:color="auto" w:fill="FFFFFF"/>
        </w:rPr>
        <w:t>寶王如來性起品〉</w:t>
      </w:r>
      <w:r w:rsidRPr="00E51FE6">
        <w:rPr>
          <w:rFonts w:hint="eastAsia"/>
          <w:color w:val="FF0000"/>
          <w:szCs w:val="22"/>
          <w:highlight w:val="yellow"/>
        </w:rPr>
        <w:t>（大正</w:t>
      </w:r>
      <w:r w:rsidRPr="00E51FE6">
        <w:rPr>
          <w:rFonts w:hint="eastAsia"/>
          <w:color w:val="FF0000"/>
          <w:szCs w:val="22"/>
          <w:highlight w:val="yellow"/>
          <w:shd w:val="pct15" w:color="auto" w:fill="FFFFFF"/>
        </w:rPr>
        <w:t>9</w:t>
      </w:r>
      <w:r>
        <w:rPr>
          <w:rFonts w:hint="eastAsia"/>
          <w:color w:val="FF0000"/>
          <w:szCs w:val="22"/>
          <w:highlight w:val="yellow"/>
          <w:shd w:val="pct15" w:color="auto" w:fill="FFFFFF"/>
        </w:rPr>
        <w:t>，</w:t>
      </w:r>
      <w:r w:rsidRPr="00E51FE6">
        <w:rPr>
          <w:rFonts w:hint="eastAsia"/>
          <w:color w:val="FF0000"/>
          <w:szCs w:val="22"/>
          <w:highlight w:val="yellow"/>
          <w:shd w:val="pct15" w:color="auto" w:fill="FFFFFF"/>
        </w:rPr>
        <w:t>615a3-4</w:t>
      </w:r>
      <w:r w:rsidRPr="00E51FE6">
        <w:rPr>
          <w:rFonts w:hint="eastAsia"/>
          <w:color w:val="FF0000"/>
          <w:szCs w:val="22"/>
          <w:highlight w:val="yellow"/>
        </w:rPr>
        <w:t>）</w:t>
      </w:r>
      <w:r w:rsidRPr="00E51FE6">
        <w:rPr>
          <w:rFonts w:eastAsia="標楷體" w:hint="eastAsia"/>
          <w:color w:val="FF0000"/>
          <w:szCs w:val="22"/>
          <w:highlight w:val="yellow"/>
          <w:shd w:val="pct15" w:color="auto" w:fill="FFFFFF"/>
        </w:rPr>
        <w:t>。</w:t>
      </w:r>
    </w:p>
    <w:p w:rsidR="00157EF6" w:rsidRPr="00212D57" w:rsidRDefault="00157EF6" w:rsidP="008E68AA">
      <w:pPr>
        <w:pStyle w:val="a5"/>
        <w:ind w:leftChars="80" w:left="731" w:hangingChars="245" w:hanging="539"/>
        <w:jc w:val="both"/>
        <w:rPr>
          <w:rFonts w:ascii="新細明體" w:hAnsi="新細明體"/>
          <w:szCs w:val="22"/>
        </w:rPr>
      </w:pPr>
      <w:r w:rsidRPr="00212D57">
        <w:rPr>
          <w:rFonts w:hint="eastAsia"/>
          <w:szCs w:val="22"/>
        </w:rPr>
        <w:t>（</w:t>
      </w:r>
      <w:r w:rsidRPr="00761EF3">
        <w:rPr>
          <w:rFonts w:hint="eastAsia"/>
          <w:szCs w:val="22"/>
        </w:rPr>
        <w:t>3</w:t>
      </w:r>
      <w:r w:rsidRPr="00212D57">
        <w:rPr>
          <w:rFonts w:hint="eastAsia"/>
          <w:szCs w:val="22"/>
        </w:rPr>
        <w:t>）〔後秦〕僧肇作，《肇論》（大正</w:t>
      </w:r>
      <w:r w:rsidRPr="00761EF3">
        <w:rPr>
          <w:rFonts w:hint="eastAsia"/>
          <w:szCs w:val="22"/>
        </w:rPr>
        <w:t>45</w:t>
      </w:r>
      <w:r w:rsidRPr="00212D57">
        <w:rPr>
          <w:rFonts w:hint="eastAsia"/>
          <w:szCs w:val="22"/>
        </w:rPr>
        <w:t>，</w:t>
      </w:r>
      <w:r w:rsidRPr="00761EF3">
        <w:rPr>
          <w:rFonts w:hint="eastAsia"/>
          <w:szCs w:val="22"/>
        </w:rPr>
        <w:t>151a20</w:t>
      </w:r>
      <w:r w:rsidRPr="00212D57">
        <w:rPr>
          <w:rFonts w:hint="eastAsia"/>
          <w:szCs w:val="22"/>
        </w:rPr>
        <w:t>-</w:t>
      </w:r>
      <w:r w:rsidRPr="00761EF3">
        <w:rPr>
          <w:rFonts w:hint="eastAsia"/>
          <w:szCs w:val="22"/>
        </w:rPr>
        <w:t>27</w:t>
      </w:r>
      <w:r w:rsidR="00CC5CAB">
        <w:rPr>
          <w:rFonts w:hint="eastAsia"/>
          <w:szCs w:val="22"/>
        </w:rPr>
        <w:t>）：</w:t>
      </w:r>
    </w:p>
    <w:p w:rsidR="00157EF6" w:rsidRDefault="00157EF6" w:rsidP="00B23570">
      <w:pPr>
        <w:pStyle w:val="a5"/>
        <w:spacing w:line="0" w:lineRule="atLeast"/>
        <w:ind w:leftChars="300" w:left="720"/>
        <w:jc w:val="both"/>
        <w:rPr>
          <w:rFonts w:ascii="標楷體" w:eastAsia="標楷體" w:hAnsi="標楷體"/>
          <w:szCs w:val="22"/>
        </w:rPr>
      </w:pPr>
      <w:r w:rsidRPr="00212D57">
        <w:rPr>
          <w:rFonts w:ascii="標楷體" w:eastAsia="標楷體" w:hAnsi="標楷體" w:hint="eastAsia"/>
          <w:szCs w:val="22"/>
        </w:rPr>
        <w:t>《道行》云：「諸法本無所從來，去亦無所至。」</w:t>
      </w:r>
      <w:r w:rsidR="00E51FE6" w:rsidRPr="00E51FE6">
        <w:rPr>
          <w:rFonts w:eastAsia="標楷體" w:hint="eastAsia"/>
          <w:color w:val="FF0000"/>
          <w:szCs w:val="22"/>
          <w:shd w:val="pct15" w:color="auto" w:fill="FFFFFF"/>
        </w:rPr>
        <w:t>*</w:t>
      </w:r>
      <w:r w:rsidR="004E0B7B" w:rsidRPr="004E0B7B">
        <w:rPr>
          <w:rFonts w:eastAsia="標楷體" w:hint="eastAsia"/>
          <w:color w:val="FF0000"/>
          <w:szCs w:val="22"/>
          <w:shd w:val="pct15" w:color="auto" w:fill="FFFFFF"/>
          <w:vertAlign w:val="superscript"/>
        </w:rPr>
        <w:t>1</w:t>
      </w:r>
      <w:r w:rsidRPr="00212D57">
        <w:rPr>
          <w:rFonts w:ascii="標楷體" w:eastAsia="標楷體" w:hAnsi="標楷體" w:hint="eastAsia"/>
          <w:b/>
          <w:szCs w:val="22"/>
        </w:rPr>
        <w:t>《中觀》云：「觀方知彼去，去者不至方。</w:t>
      </w:r>
      <w:r w:rsidRPr="00212D57">
        <w:rPr>
          <w:rFonts w:ascii="標楷體" w:eastAsia="標楷體" w:hAnsi="標楷體" w:hint="eastAsia"/>
          <w:szCs w:val="22"/>
        </w:rPr>
        <w:t>」</w:t>
      </w:r>
      <w:r w:rsidR="004E0B7B" w:rsidRPr="00E51FE6">
        <w:rPr>
          <w:rFonts w:eastAsia="標楷體" w:hint="eastAsia"/>
          <w:color w:val="FF0000"/>
          <w:szCs w:val="22"/>
          <w:shd w:val="pct15" w:color="auto" w:fill="FFFFFF"/>
        </w:rPr>
        <w:t>*</w:t>
      </w:r>
      <w:r w:rsidR="004E0B7B">
        <w:rPr>
          <w:rFonts w:eastAsia="標楷體" w:hint="eastAsia"/>
          <w:color w:val="FF0000"/>
          <w:szCs w:val="22"/>
          <w:shd w:val="pct15" w:color="auto" w:fill="FFFFFF"/>
          <w:vertAlign w:val="superscript"/>
        </w:rPr>
        <w:t>2</w:t>
      </w:r>
      <w:r w:rsidRPr="00212D57">
        <w:rPr>
          <w:rFonts w:ascii="標楷體" w:eastAsia="標楷體" w:hAnsi="標楷體" w:hint="eastAsia"/>
          <w:szCs w:val="22"/>
        </w:rPr>
        <w:t>斯皆即動而求靜，以知</w:t>
      </w:r>
      <w:r w:rsidR="000C79F9">
        <w:rPr>
          <w:rFonts w:ascii="標楷體" w:eastAsia="標楷體" w:hAnsi="標楷體" w:hint="eastAsia"/>
          <w:bCs/>
          <w:color w:val="FF0000"/>
          <w:kern w:val="0"/>
          <w:highlight w:val="yellow"/>
        </w:rPr>
        <w:t>「</w:t>
      </w:r>
      <w:r w:rsidRPr="00212D57">
        <w:rPr>
          <w:rFonts w:ascii="標楷體" w:eastAsia="標楷體" w:hAnsi="標楷體" w:hint="eastAsia"/>
          <w:szCs w:val="22"/>
        </w:rPr>
        <w:t>物不遷</w:t>
      </w:r>
      <w:r w:rsidR="000C79F9">
        <w:rPr>
          <w:rFonts w:ascii="標楷體" w:eastAsia="標楷體" w:hAnsi="標楷體" w:hint="eastAsia"/>
          <w:bCs/>
          <w:color w:val="FF0000"/>
          <w:kern w:val="0"/>
          <w:highlight w:val="yellow"/>
        </w:rPr>
        <w:t>」</w:t>
      </w:r>
      <w:r w:rsidRPr="00212D57">
        <w:rPr>
          <w:rFonts w:ascii="標楷體" w:eastAsia="標楷體" w:hAnsi="標楷體" w:hint="eastAsia"/>
          <w:szCs w:val="22"/>
        </w:rPr>
        <w:t>，明矣</w:t>
      </w:r>
      <w:r w:rsidR="004E0B7B">
        <w:rPr>
          <w:rFonts w:ascii="標楷體" w:eastAsia="標楷體" w:hAnsi="標楷體" w:hint="eastAsia"/>
          <w:color w:val="FF0000"/>
          <w:szCs w:val="22"/>
          <w:highlight w:val="yellow"/>
        </w:rPr>
        <w:t>！</w:t>
      </w:r>
      <w:r w:rsidRPr="00212D57">
        <w:rPr>
          <w:rFonts w:ascii="標楷體" w:eastAsia="標楷體" w:hAnsi="標楷體" w:hint="eastAsia"/>
          <w:szCs w:val="22"/>
        </w:rPr>
        <w:t>夫人之所謂動者，以昔物不至今，故曰</w:t>
      </w:r>
      <w:r w:rsidR="000C79F9">
        <w:rPr>
          <w:rFonts w:ascii="標楷體" w:eastAsia="標楷體" w:hAnsi="標楷體" w:hint="eastAsia"/>
          <w:bCs/>
          <w:color w:val="FF0000"/>
          <w:kern w:val="0"/>
          <w:highlight w:val="yellow"/>
        </w:rPr>
        <w:t>「</w:t>
      </w:r>
      <w:r w:rsidRPr="00212D57">
        <w:rPr>
          <w:rFonts w:ascii="標楷體" w:eastAsia="標楷體" w:hAnsi="標楷體" w:hint="eastAsia"/>
          <w:szCs w:val="22"/>
        </w:rPr>
        <w:t>動而非靜</w:t>
      </w:r>
      <w:r w:rsidR="000C79F9">
        <w:rPr>
          <w:rFonts w:ascii="標楷體" w:eastAsia="標楷體" w:hAnsi="標楷體" w:hint="eastAsia"/>
          <w:bCs/>
          <w:color w:val="FF0000"/>
          <w:kern w:val="0"/>
          <w:highlight w:val="yellow"/>
        </w:rPr>
        <w:t>」</w:t>
      </w:r>
      <w:r w:rsidR="000C79F9">
        <w:rPr>
          <w:rFonts w:ascii="標楷體" w:eastAsia="標楷體" w:hAnsi="標楷體" w:hint="eastAsia"/>
          <w:color w:val="FF0000"/>
          <w:spacing w:val="-4"/>
          <w:kern w:val="0"/>
          <w:highlight w:val="yellow"/>
        </w:rPr>
        <w:t>；</w:t>
      </w:r>
      <w:r w:rsidRPr="00212D57">
        <w:rPr>
          <w:rFonts w:ascii="標楷體" w:eastAsia="標楷體" w:hAnsi="標楷體" w:hint="eastAsia"/>
          <w:szCs w:val="22"/>
        </w:rPr>
        <w:t>我之所謂靜者，亦以昔物不至今，故曰</w:t>
      </w:r>
      <w:r w:rsidR="000C79F9">
        <w:rPr>
          <w:rFonts w:ascii="標楷體" w:eastAsia="標楷體" w:hAnsi="標楷體" w:hint="eastAsia"/>
          <w:bCs/>
          <w:color w:val="FF0000"/>
          <w:kern w:val="0"/>
          <w:highlight w:val="yellow"/>
        </w:rPr>
        <w:t>「</w:t>
      </w:r>
      <w:r w:rsidRPr="00212D57">
        <w:rPr>
          <w:rFonts w:ascii="標楷體" w:eastAsia="標楷體" w:hAnsi="標楷體" w:hint="eastAsia"/>
          <w:szCs w:val="22"/>
        </w:rPr>
        <w:t>靜而非動</w:t>
      </w:r>
      <w:r w:rsidR="000C79F9">
        <w:rPr>
          <w:rFonts w:ascii="標楷體" w:eastAsia="標楷體" w:hAnsi="標楷體" w:hint="eastAsia"/>
          <w:bCs/>
          <w:color w:val="FF0000"/>
          <w:kern w:val="0"/>
          <w:highlight w:val="yellow"/>
        </w:rPr>
        <w:t>」</w:t>
      </w:r>
      <w:r w:rsidRPr="00212D57">
        <w:rPr>
          <w:rFonts w:ascii="標楷體" w:eastAsia="標楷體" w:hAnsi="標楷體" w:hint="eastAsia"/>
          <w:szCs w:val="22"/>
        </w:rPr>
        <w:t>。</w:t>
      </w:r>
      <w:r w:rsidR="000C79F9">
        <w:rPr>
          <w:rFonts w:ascii="標楷體" w:eastAsia="標楷體" w:hAnsi="標楷體" w:hint="eastAsia"/>
          <w:bCs/>
          <w:color w:val="FF0000"/>
          <w:kern w:val="0"/>
          <w:highlight w:val="yellow"/>
        </w:rPr>
        <w:t>「</w:t>
      </w:r>
      <w:r w:rsidRPr="00212D57">
        <w:rPr>
          <w:rFonts w:ascii="標楷體" w:eastAsia="標楷體" w:hAnsi="標楷體" w:hint="eastAsia"/>
          <w:szCs w:val="22"/>
        </w:rPr>
        <w:t>動而非靜</w:t>
      </w:r>
      <w:r w:rsidR="000C79F9">
        <w:rPr>
          <w:rFonts w:ascii="標楷體" w:eastAsia="標楷體" w:hAnsi="標楷體" w:hint="eastAsia"/>
          <w:bCs/>
          <w:color w:val="FF0000"/>
          <w:kern w:val="0"/>
          <w:highlight w:val="yellow"/>
        </w:rPr>
        <w:t>」</w:t>
      </w:r>
      <w:r w:rsidRPr="00212D57">
        <w:rPr>
          <w:rFonts w:ascii="標楷體" w:eastAsia="標楷體" w:hAnsi="標楷體" w:hint="eastAsia"/>
          <w:szCs w:val="22"/>
        </w:rPr>
        <w:t>，以其不來；</w:t>
      </w:r>
      <w:r w:rsidR="000C79F9">
        <w:rPr>
          <w:rFonts w:ascii="標楷體" w:eastAsia="標楷體" w:hAnsi="標楷體" w:hint="eastAsia"/>
          <w:bCs/>
          <w:color w:val="FF0000"/>
          <w:kern w:val="0"/>
          <w:highlight w:val="yellow"/>
        </w:rPr>
        <w:t>「</w:t>
      </w:r>
      <w:r w:rsidRPr="00212D57">
        <w:rPr>
          <w:rFonts w:ascii="標楷體" w:eastAsia="標楷體" w:hAnsi="標楷體" w:hint="eastAsia"/>
          <w:szCs w:val="22"/>
        </w:rPr>
        <w:t>靜而非動</w:t>
      </w:r>
      <w:r w:rsidR="000C79F9">
        <w:rPr>
          <w:rFonts w:ascii="標楷體" w:eastAsia="標楷體" w:hAnsi="標楷體" w:hint="eastAsia"/>
          <w:bCs/>
          <w:color w:val="FF0000"/>
          <w:kern w:val="0"/>
          <w:highlight w:val="yellow"/>
        </w:rPr>
        <w:t>」</w:t>
      </w:r>
      <w:r w:rsidR="00234D5A">
        <w:rPr>
          <w:rFonts w:ascii="標楷體" w:eastAsia="標楷體" w:hAnsi="標楷體" w:hint="eastAsia"/>
          <w:szCs w:val="22"/>
        </w:rPr>
        <w:t>，</w:t>
      </w:r>
      <w:r w:rsidRPr="00212D57">
        <w:rPr>
          <w:rFonts w:ascii="標楷體" w:eastAsia="標楷體" w:hAnsi="標楷體" w:hint="eastAsia"/>
          <w:szCs w:val="22"/>
        </w:rPr>
        <w:t>以其不去。然則所造未嘗異</w:t>
      </w:r>
      <w:r w:rsidR="000C79F9">
        <w:rPr>
          <w:rFonts w:ascii="標楷體" w:eastAsia="標楷體" w:hAnsi="標楷體" w:hint="eastAsia"/>
          <w:color w:val="FF0000"/>
          <w:spacing w:val="-4"/>
          <w:kern w:val="0"/>
          <w:highlight w:val="yellow"/>
        </w:rPr>
        <w:t>、</w:t>
      </w:r>
      <w:r w:rsidRPr="00212D57">
        <w:rPr>
          <w:rFonts w:ascii="標楷體" w:eastAsia="標楷體" w:hAnsi="標楷體" w:hint="eastAsia"/>
          <w:szCs w:val="22"/>
        </w:rPr>
        <w:t>所見未嘗同。逆之</w:t>
      </w:r>
      <w:r w:rsidR="000C79F9">
        <w:rPr>
          <w:rFonts w:ascii="標楷體" w:eastAsia="標楷體" w:hAnsi="標楷體" w:hint="eastAsia"/>
          <w:color w:val="FF0000"/>
          <w:kern w:val="0"/>
          <w:highlight w:val="yellow"/>
        </w:rPr>
        <w:t>，</w:t>
      </w:r>
      <w:r w:rsidR="000C79F9">
        <w:rPr>
          <w:rFonts w:ascii="標楷體" w:eastAsia="標楷體" w:hAnsi="標楷體" w:hint="eastAsia"/>
          <w:szCs w:val="22"/>
        </w:rPr>
        <w:t>所謂塞</w:t>
      </w:r>
      <w:r w:rsidR="000C79F9">
        <w:rPr>
          <w:rFonts w:ascii="標楷體" w:eastAsia="標楷體" w:hAnsi="標楷體" w:hint="eastAsia"/>
          <w:color w:val="FF0000"/>
          <w:spacing w:val="-4"/>
          <w:kern w:val="0"/>
          <w:highlight w:val="yellow"/>
        </w:rPr>
        <w:t>；</w:t>
      </w:r>
      <w:r w:rsidRPr="00212D57">
        <w:rPr>
          <w:rFonts w:ascii="標楷體" w:eastAsia="標楷體" w:hAnsi="標楷體" w:hint="eastAsia"/>
          <w:szCs w:val="22"/>
        </w:rPr>
        <w:t>順之</w:t>
      </w:r>
      <w:r w:rsidR="000C79F9">
        <w:rPr>
          <w:rFonts w:ascii="標楷體" w:eastAsia="標楷體" w:hAnsi="標楷體" w:hint="eastAsia"/>
          <w:color w:val="FF0000"/>
          <w:kern w:val="0"/>
          <w:highlight w:val="yellow"/>
        </w:rPr>
        <w:t>，</w:t>
      </w:r>
      <w:r w:rsidRPr="00212D57">
        <w:rPr>
          <w:rFonts w:ascii="標楷體" w:eastAsia="標楷體" w:hAnsi="標楷體" w:hint="eastAsia"/>
          <w:szCs w:val="22"/>
        </w:rPr>
        <w:t>所謂通。苟得其道，復何滯哉！」</w:t>
      </w:r>
    </w:p>
    <w:p w:rsidR="00E51FE6" w:rsidRDefault="00E51FE6" w:rsidP="00E51FE6">
      <w:pPr>
        <w:pStyle w:val="a5"/>
        <w:spacing w:line="0" w:lineRule="atLeast"/>
        <w:ind w:leftChars="300" w:left="720"/>
        <w:jc w:val="both"/>
        <w:rPr>
          <w:rFonts w:eastAsia="標楷體"/>
          <w:color w:val="FF0000"/>
          <w:szCs w:val="22"/>
          <w:highlight w:val="yellow"/>
          <w:shd w:val="pct15" w:color="auto" w:fill="FFFFFF"/>
        </w:rPr>
      </w:pPr>
      <w:r w:rsidRPr="00E51FE6">
        <w:rPr>
          <w:rFonts w:eastAsia="標楷體" w:hint="eastAsia"/>
          <w:color w:val="FF0000"/>
          <w:szCs w:val="22"/>
          <w:shd w:val="pct15" w:color="auto" w:fill="FFFFFF"/>
        </w:rPr>
        <w:t>*</w:t>
      </w:r>
      <w:r w:rsidR="004E0B7B">
        <w:rPr>
          <w:rFonts w:eastAsia="標楷體" w:hint="eastAsia"/>
          <w:color w:val="FF0000"/>
          <w:szCs w:val="22"/>
          <w:shd w:val="pct15" w:color="auto" w:fill="FFFFFF"/>
        </w:rPr>
        <w:t>1</w:t>
      </w:r>
      <w:r w:rsidRPr="00E51FE6">
        <w:rPr>
          <w:rFonts w:hint="eastAsia"/>
          <w:color w:val="FF0000"/>
          <w:szCs w:val="22"/>
          <w:highlight w:val="yellow"/>
          <w:shd w:val="pct15" w:color="auto" w:fill="FFFFFF"/>
        </w:rPr>
        <w:t>如《道行般若經》卷</w:t>
      </w:r>
      <w:r w:rsidRPr="00E51FE6">
        <w:rPr>
          <w:rFonts w:hint="eastAsia"/>
          <w:color w:val="FF0000"/>
          <w:szCs w:val="22"/>
          <w:highlight w:val="yellow"/>
          <w:shd w:val="pct15" w:color="auto" w:fill="FFFFFF"/>
        </w:rPr>
        <w:t>9</w:t>
      </w:r>
      <w:r w:rsidRPr="00E51FE6">
        <w:rPr>
          <w:rFonts w:hint="eastAsia"/>
          <w:color w:val="FF0000"/>
          <w:szCs w:val="22"/>
          <w:highlight w:val="yellow"/>
          <w:shd w:val="pct15" w:color="auto" w:fill="FFFFFF"/>
        </w:rPr>
        <w:t>〈</w:t>
      </w:r>
      <w:r w:rsidRPr="00E51FE6">
        <w:rPr>
          <w:rFonts w:eastAsia="標楷體" w:hint="eastAsia"/>
          <w:color w:val="FF0000"/>
          <w:szCs w:val="22"/>
          <w:highlight w:val="yellow"/>
          <w:shd w:val="pct15" w:color="auto" w:fill="FFFFFF"/>
        </w:rPr>
        <w:t xml:space="preserve">28 </w:t>
      </w:r>
      <w:r w:rsidRPr="00E51FE6">
        <w:rPr>
          <w:rFonts w:hint="eastAsia"/>
          <w:color w:val="FF0000"/>
          <w:szCs w:val="22"/>
          <w:highlight w:val="yellow"/>
          <w:shd w:val="pct15" w:color="auto" w:fill="FFFFFF"/>
        </w:rPr>
        <w:t>薩陀波倫菩薩</w:t>
      </w:r>
      <w:r w:rsidRPr="00E51FE6">
        <w:rPr>
          <w:rFonts w:ascii="新細明體" w:hAnsi="新細明體" w:hint="eastAsia"/>
          <w:color w:val="FF0000"/>
          <w:szCs w:val="22"/>
          <w:highlight w:val="yellow"/>
          <w:shd w:val="pct15" w:color="auto" w:fill="FFFFFF"/>
        </w:rPr>
        <w:t>品</w:t>
      </w:r>
      <w:r w:rsidRPr="00E51FE6">
        <w:rPr>
          <w:rFonts w:eastAsia="標楷體" w:hint="eastAsia"/>
          <w:color w:val="FF0000"/>
          <w:szCs w:val="22"/>
          <w:highlight w:val="yellow"/>
          <w:shd w:val="pct15" w:color="auto" w:fill="FFFFFF"/>
        </w:rPr>
        <w:t>〉</w:t>
      </w:r>
      <w:r w:rsidRPr="00E51FE6">
        <w:rPr>
          <w:rFonts w:hint="eastAsia"/>
          <w:color w:val="FF0000"/>
          <w:szCs w:val="22"/>
          <w:highlight w:val="yellow"/>
        </w:rPr>
        <w:t>（大正</w:t>
      </w:r>
      <w:r w:rsidRPr="00E51FE6">
        <w:rPr>
          <w:rFonts w:eastAsia="標楷體" w:hint="eastAsia"/>
          <w:color w:val="FF0000"/>
          <w:szCs w:val="22"/>
          <w:highlight w:val="yellow"/>
          <w:shd w:val="pct15" w:color="auto" w:fill="FFFFFF"/>
        </w:rPr>
        <w:t>8</w:t>
      </w:r>
      <w:r w:rsidRPr="00E51FE6">
        <w:rPr>
          <w:rFonts w:eastAsia="標楷體" w:hint="eastAsia"/>
          <w:color w:val="FF0000"/>
          <w:szCs w:val="22"/>
          <w:highlight w:val="yellow"/>
          <w:shd w:val="pct15" w:color="auto" w:fill="FFFFFF"/>
        </w:rPr>
        <w:t>，</w:t>
      </w:r>
      <w:r w:rsidRPr="00E51FE6">
        <w:rPr>
          <w:rFonts w:eastAsia="標楷體" w:hint="eastAsia"/>
          <w:color w:val="FF0000"/>
          <w:szCs w:val="22"/>
          <w:highlight w:val="yellow"/>
          <w:shd w:val="pct15" w:color="auto" w:fill="FFFFFF"/>
        </w:rPr>
        <w:t>473c9-24</w:t>
      </w:r>
      <w:r w:rsidRPr="00E51FE6">
        <w:rPr>
          <w:rFonts w:hint="eastAsia"/>
          <w:color w:val="FF0000"/>
          <w:szCs w:val="22"/>
          <w:highlight w:val="yellow"/>
        </w:rPr>
        <w:t>）</w:t>
      </w:r>
      <w:r w:rsidRPr="00E51FE6">
        <w:rPr>
          <w:rFonts w:eastAsia="標楷體" w:hint="eastAsia"/>
          <w:color w:val="FF0000"/>
          <w:szCs w:val="22"/>
          <w:highlight w:val="yellow"/>
          <w:shd w:val="pct15" w:color="auto" w:fill="FFFFFF"/>
        </w:rPr>
        <w:t>。</w:t>
      </w:r>
    </w:p>
    <w:p w:rsidR="004E0B7B" w:rsidRPr="004E0B7B" w:rsidRDefault="004E0B7B" w:rsidP="004E0B7B">
      <w:pPr>
        <w:pStyle w:val="a5"/>
        <w:spacing w:line="0" w:lineRule="atLeast"/>
        <w:ind w:leftChars="300" w:left="1160" w:hangingChars="200" w:hanging="440"/>
        <w:jc w:val="both"/>
        <w:rPr>
          <w:rFonts w:ascii="新細明體" w:hAnsi="新細明體"/>
          <w:color w:val="FF0000"/>
          <w:szCs w:val="22"/>
          <w:highlight w:val="yellow"/>
        </w:rPr>
      </w:pPr>
      <w:r w:rsidRPr="00E51FE6">
        <w:rPr>
          <w:rFonts w:eastAsia="標楷體" w:hint="eastAsia"/>
          <w:color w:val="FF0000"/>
          <w:szCs w:val="22"/>
          <w:shd w:val="pct15" w:color="auto" w:fill="FFFFFF"/>
        </w:rPr>
        <w:t>*</w:t>
      </w:r>
      <w:r>
        <w:rPr>
          <w:rFonts w:eastAsia="標楷體" w:hint="eastAsia"/>
          <w:color w:val="FF0000"/>
          <w:szCs w:val="22"/>
          <w:shd w:val="pct15" w:color="auto" w:fill="FFFFFF"/>
        </w:rPr>
        <w:t>2</w:t>
      </w:r>
      <w:r w:rsidRPr="004E0B7B">
        <w:rPr>
          <w:rFonts w:hint="eastAsia"/>
          <w:color w:val="FF0000"/>
          <w:szCs w:val="22"/>
          <w:highlight w:val="yellow"/>
        </w:rPr>
        <w:t>［唐］釋元康撰《肇論疏》卷上（大正</w:t>
      </w:r>
      <w:r w:rsidRPr="004E0B7B">
        <w:rPr>
          <w:rFonts w:hint="eastAsia"/>
          <w:color w:val="FF0000"/>
          <w:szCs w:val="22"/>
          <w:highlight w:val="yellow"/>
        </w:rPr>
        <w:t>45</w:t>
      </w:r>
      <w:r w:rsidRPr="004E0B7B">
        <w:rPr>
          <w:rFonts w:hint="eastAsia"/>
          <w:color w:val="FF0000"/>
          <w:szCs w:val="22"/>
          <w:highlight w:val="yellow"/>
        </w:rPr>
        <w:t>，</w:t>
      </w:r>
      <w:r w:rsidRPr="004E0B7B">
        <w:rPr>
          <w:rFonts w:hint="eastAsia"/>
          <w:color w:val="FF0000"/>
          <w:szCs w:val="22"/>
          <w:highlight w:val="yellow"/>
        </w:rPr>
        <w:t>167c18-21</w:t>
      </w:r>
      <w:r w:rsidRPr="004E0B7B">
        <w:rPr>
          <w:rFonts w:hint="eastAsia"/>
          <w:color w:val="FF0000"/>
          <w:szCs w:val="22"/>
          <w:highlight w:val="yellow"/>
        </w:rPr>
        <w:t>）</w:t>
      </w:r>
      <w:r w:rsidRPr="004E0B7B">
        <w:rPr>
          <w:rFonts w:ascii="新細明體" w:hAnsi="新細明體" w:hint="eastAsia"/>
          <w:color w:val="FF0000"/>
          <w:szCs w:val="22"/>
          <w:highlight w:val="yellow"/>
        </w:rPr>
        <w:t>：</w:t>
      </w:r>
    </w:p>
    <w:p w:rsidR="004E0B7B" w:rsidRPr="006D42A7" w:rsidRDefault="004E0B7B" w:rsidP="004E0B7B">
      <w:pPr>
        <w:pStyle w:val="a5"/>
        <w:spacing w:line="0" w:lineRule="atLeast"/>
        <w:ind w:leftChars="400" w:left="960"/>
        <w:jc w:val="both"/>
        <w:rPr>
          <w:rFonts w:ascii="標楷體" w:eastAsia="標楷體" w:hAnsi="標楷體"/>
          <w:color w:val="FF0000"/>
          <w:szCs w:val="22"/>
          <w:highlight w:val="yellow"/>
        </w:rPr>
      </w:pPr>
      <w:r w:rsidRPr="004E0B7B">
        <w:rPr>
          <w:rFonts w:ascii="標楷體" w:eastAsia="標楷體" w:hAnsi="標楷體" w:hint="eastAsia"/>
          <w:color w:val="FF0000"/>
          <w:szCs w:val="22"/>
          <w:shd w:val="pct15" w:color="auto" w:fill="FFFFFF"/>
        </w:rPr>
        <w:t>……</w:t>
      </w:r>
      <w:r w:rsidRPr="004E0B7B">
        <w:rPr>
          <w:rFonts w:ascii="標楷體" w:eastAsia="標楷體" w:hAnsi="標楷體" w:hint="eastAsia"/>
          <w:color w:val="FF0000"/>
          <w:szCs w:val="22"/>
          <w:highlight w:val="yellow"/>
        </w:rPr>
        <w:t>然彼論中無有此語，應是取〈去來品〉意耳。〈去來品〉云：「已去無</w:t>
      </w:r>
      <w:r w:rsidRPr="006D42A7">
        <w:rPr>
          <w:rFonts w:ascii="標楷體" w:eastAsia="標楷體" w:hAnsi="標楷體" w:hint="eastAsia"/>
          <w:color w:val="FF0000"/>
          <w:szCs w:val="22"/>
          <w:highlight w:val="yellow"/>
        </w:rPr>
        <w:t>有去，未去亦無去，離已去、未去，去時亦無去。</w:t>
      </w:r>
      <w:r w:rsidRPr="006D42A7">
        <w:rPr>
          <w:rFonts w:hint="eastAsia"/>
          <w:color w:val="FF0000"/>
          <w:szCs w:val="22"/>
          <w:highlight w:val="yellow"/>
        </w:rPr>
        <w:t>」</w:t>
      </w:r>
      <w:r w:rsidRPr="006D42A7">
        <w:rPr>
          <w:rFonts w:hint="eastAsia"/>
          <w:color w:val="FF0000"/>
          <w:szCs w:val="22"/>
          <w:shd w:val="pct15" w:color="auto" w:fill="FFFFFF"/>
          <w:vertAlign w:val="superscript"/>
        </w:rPr>
        <w:t>※</w:t>
      </w:r>
      <w:r w:rsidRPr="006D42A7">
        <w:rPr>
          <w:rFonts w:ascii="標楷體" w:eastAsia="標楷體" w:hAnsi="標楷體" w:hint="eastAsia"/>
          <w:color w:val="FF0000"/>
          <w:szCs w:val="22"/>
          <w:highlight w:val="yellow"/>
        </w:rPr>
        <w:t>今取此意，故云「去者不至方</w:t>
      </w:r>
      <w:r w:rsidRPr="006D42A7">
        <w:rPr>
          <w:rFonts w:hint="eastAsia"/>
          <w:color w:val="FF0000"/>
          <w:szCs w:val="22"/>
          <w:highlight w:val="yellow"/>
        </w:rPr>
        <w:t>」</w:t>
      </w:r>
      <w:r w:rsidRPr="006D42A7">
        <w:rPr>
          <w:rFonts w:ascii="標楷體" w:eastAsia="標楷體" w:hAnsi="標楷體" w:hint="eastAsia"/>
          <w:color w:val="FF0000"/>
          <w:szCs w:val="22"/>
          <w:highlight w:val="yellow"/>
        </w:rPr>
        <w:t>也。</w:t>
      </w:r>
    </w:p>
    <w:p w:rsidR="004E0B7B" w:rsidRPr="006D42A7" w:rsidRDefault="004E0B7B" w:rsidP="004E0B7B">
      <w:pPr>
        <w:pStyle w:val="a5"/>
        <w:spacing w:line="0" w:lineRule="atLeast"/>
        <w:ind w:leftChars="400" w:left="960"/>
        <w:jc w:val="both"/>
        <w:rPr>
          <w:color w:val="FF0000"/>
          <w:szCs w:val="22"/>
          <w:highlight w:val="yellow"/>
        </w:rPr>
      </w:pPr>
      <w:r w:rsidRPr="006D42A7">
        <w:rPr>
          <w:rFonts w:hint="eastAsia"/>
          <w:color w:val="FF0000"/>
          <w:szCs w:val="22"/>
          <w:shd w:val="pct15" w:color="auto" w:fill="FFFFFF"/>
        </w:rPr>
        <w:t>※</w:t>
      </w:r>
      <w:r w:rsidRPr="006D42A7">
        <w:rPr>
          <w:rFonts w:hint="eastAsia"/>
          <w:color w:val="FF0000"/>
          <w:szCs w:val="22"/>
          <w:highlight w:val="yellow"/>
        </w:rPr>
        <w:t>《中論》卷</w:t>
      </w:r>
      <w:r w:rsidRPr="006D42A7">
        <w:rPr>
          <w:rFonts w:hint="eastAsia"/>
          <w:color w:val="FF0000"/>
          <w:szCs w:val="22"/>
          <w:highlight w:val="yellow"/>
        </w:rPr>
        <w:t>1</w:t>
      </w:r>
      <w:r w:rsidRPr="006D42A7">
        <w:rPr>
          <w:rFonts w:hint="eastAsia"/>
          <w:color w:val="FF0000"/>
          <w:szCs w:val="22"/>
          <w:highlight w:val="yellow"/>
        </w:rPr>
        <w:t>〈</w:t>
      </w:r>
      <w:r w:rsidRPr="006D42A7">
        <w:rPr>
          <w:rFonts w:hint="eastAsia"/>
          <w:color w:val="FF0000"/>
          <w:szCs w:val="22"/>
          <w:highlight w:val="yellow"/>
        </w:rPr>
        <w:t xml:space="preserve">2 </w:t>
      </w:r>
      <w:r w:rsidRPr="006D42A7">
        <w:rPr>
          <w:rFonts w:hint="eastAsia"/>
          <w:color w:val="FF0000"/>
          <w:szCs w:val="22"/>
          <w:highlight w:val="yellow"/>
        </w:rPr>
        <w:t>觀去來品〉</w:t>
      </w:r>
      <w:r w:rsidRPr="006D42A7">
        <w:rPr>
          <w:color w:val="FF0000"/>
          <w:szCs w:val="22"/>
          <w:highlight w:val="yellow"/>
        </w:rPr>
        <w:t>（大正</w:t>
      </w:r>
      <w:r w:rsidRPr="006D42A7">
        <w:rPr>
          <w:rFonts w:hint="eastAsia"/>
          <w:color w:val="FF0000"/>
          <w:szCs w:val="22"/>
          <w:highlight w:val="yellow"/>
        </w:rPr>
        <w:t>30</w:t>
      </w:r>
      <w:r w:rsidRPr="006D42A7">
        <w:rPr>
          <w:rFonts w:hint="eastAsia"/>
          <w:color w:val="FF0000"/>
          <w:szCs w:val="22"/>
          <w:highlight w:val="yellow"/>
        </w:rPr>
        <w:t>，</w:t>
      </w:r>
      <w:r w:rsidRPr="006D42A7">
        <w:rPr>
          <w:rFonts w:hint="eastAsia"/>
          <w:color w:val="FF0000"/>
          <w:szCs w:val="22"/>
          <w:highlight w:val="yellow"/>
        </w:rPr>
        <w:t>3c8-9</w:t>
      </w:r>
      <w:r w:rsidRPr="006D42A7">
        <w:rPr>
          <w:color w:val="FF0000"/>
          <w:szCs w:val="22"/>
          <w:highlight w:val="yellow"/>
        </w:rPr>
        <w:t>）</w:t>
      </w:r>
      <w:r w:rsidRPr="006D42A7">
        <w:rPr>
          <w:rFonts w:hint="eastAsia"/>
          <w:color w:val="FF0000"/>
          <w:szCs w:val="22"/>
          <w:highlight w:val="yellow"/>
        </w:rPr>
        <w:t>。</w:t>
      </w:r>
    </w:p>
  </w:footnote>
  <w:footnote w:id="88">
    <w:p w:rsidR="00157EF6" w:rsidRPr="006D42A7" w:rsidRDefault="00157EF6" w:rsidP="00CB198A">
      <w:pPr>
        <w:pStyle w:val="a5"/>
        <w:ind w:left="187" w:hangingChars="85" w:hanging="187"/>
        <w:jc w:val="both"/>
        <w:rPr>
          <w:szCs w:val="22"/>
        </w:rPr>
      </w:pPr>
      <w:r w:rsidRPr="006D42A7">
        <w:rPr>
          <w:rStyle w:val="a6"/>
          <w:szCs w:val="22"/>
        </w:rPr>
        <w:footnoteRef/>
      </w:r>
      <w:r w:rsidRPr="006D42A7">
        <w:rPr>
          <w:szCs w:val="22"/>
        </w:rPr>
        <w:t xml:space="preserve"> </w:t>
      </w:r>
      <w:r w:rsidRPr="006D42A7">
        <w:rPr>
          <w:szCs w:val="22"/>
        </w:rPr>
        <w:t>印順法師，《佛法概論》，</w:t>
      </w:r>
      <w:r w:rsidRPr="006D42A7">
        <w:rPr>
          <w:szCs w:val="22"/>
        </w:rPr>
        <w:t>p.148</w:t>
      </w:r>
      <w:r w:rsidRPr="006D42A7">
        <w:rPr>
          <w:szCs w:val="22"/>
        </w:rPr>
        <w:t>：</w:t>
      </w:r>
    </w:p>
    <w:p w:rsidR="00157EF6" w:rsidRPr="006D42A7" w:rsidRDefault="00157EF6" w:rsidP="00B23570">
      <w:pPr>
        <w:pStyle w:val="a5"/>
        <w:ind w:leftChars="75" w:left="180"/>
        <w:jc w:val="both"/>
        <w:rPr>
          <w:rFonts w:ascii="標楷體" w:eastAsia="標楷體" w:hAnsi="標楷體"/>
          <w:szCs w:val="22"/>
        </w:rPr>
      </w:pPr>
      <w:r w:rsidRPr="006D42A7">
        <w:rPr>
          <w:rFonts w:ascii="標楷體" w:eastAsia="標楷體" w:hAnsi="標楷體" w:hint="eastAsia"/>
          <w:szCs w:val="22"/>
        </w:rPr>
        <w:t>愚癡的凡夫，對於世間的一切，覺得紛雜而沒有頭緒，佛陀卻能</w:t>
      </w:r>
      <w:r w:rsidRPr="006D42A7">
        <w:rPr>
          <w:rFonts w:ascii="標楷體" w:eastAsia="標楷體" w:hAnsi="標楷體" w:hint="eastAsia"/>
          <w:b/>
          <w:szCs w:val="22"/>
        </w:rPr>
        <w:t>在這複雜紛繁中，悟到一遍通而必然的法則</w:t>
      </w:r>
      <w:r w:rsidRPr="006D42A7">
        <w:rPr>
          <w:rFonts w:ascii="標楷體" w:eastAsia="標楷體" w:hAnsi="標楷體" w:hint="eastAsia"/>
          <w:szCs w:val="22"/>
        </w:rPr>
        <w:t>。觀察到有情在無限生死延續中的必然過程，知道一切有情莫不如此，於是就在不離這一切現象中，得到必然的理則，這即是</w:t>
      </w:r>
      <w:r w:rsidRPr="006D42A7">
        <w:rPr>
          <w:rFonts w:ascii="標楷體" w:eastAsia="標楷體" w:hAnsi="標楷體" w:hint="eastAsia"/>
          <w:b/>
          <w:szCs w:val="22"/>
        </w:rPr>
        <w:t>緣起法</w:t>
      </w:r>
      <w:r w:rsidRPr="006D42A7">
        <w:rPr>
          <w:rFonts w:ascii="標楷體" w:eastAsia="標楷體" w:hAnsi="標楷體" w:hint="eastAsia"/>
          <w:szCs w:val="22"/>
        </w:rPr>
        <w:t>。</w:t>
      </w:r>
    </w:p>
  </w:footnote>
  <w:footnote w:id="89">
    <w:p w:rsidR="00157EF6" w:rsidRPr="006D42A7" w:rsidRDefault="00157EF6" w:rsidP="008E68AA">
      <w:pPr>
        <w:pStyle w:val="a5"/>
        <w:spacing w:line="0" w:lineRule="atLeast"/>
        <w:ind w:left="704" w:hangingChars="320" w:hanging="704"/>
        <w:jc w:val="both"/>
        <w:rPr>
          <w:szCs w:val="22"/>
        </w:rPr>
      </w:pPr>
      <w:r w:rsidRPr="006D42A7">
        <w:rPr>
          <w:rStyle w:val="a6"/>
          <w:szCs w:val="22"/>
        </w:rPr>
        <w:footnoteRef/>
      </w:r>
      <w:r w:rsidRPr="006D42A7">
        <w:rPr>
          <w:rFonts w:hint="eastAsia"/>
          <w:szCs w:val="22"/>
        </w:rPr>
        <w:t xml:space="preserve"> </w:t>
      </w:r>
      <w:r w:rsidRPr="006D42A7">
        <w:rPr>
          <w:szCs w:val="22"/>
        </w:rPr>
        <w:t>（</w:t>
      </w:r>
      <w:r w:rsidRPr="006D42A7">
        <w:rPr>
          <w:szCs w:val="22"/>
        </w:rPr>
        <w:t>1</w:t>
      </w:r>
      <w:r w:rsidRPr="006D42A7">
        <w:rPr>
          <w:szCs w:val="22"/>
        </w:rPr>
        <w:t>）〔隋〕吉藏撰，《三論玄義》（大正</w:t>
      </w:r>
      <w:r w:rsidRPr="006D42A7">
        <w:rPr>
          <w:szCs w:val="22"/>
        </w:rPr>
        <w:t>45</w:t>
      </w:r>
      <w:r w:rsidRPr="006D42A7">
        <w:rPr>
          <w:szCs w:val="22"/>
        </w:rPr>
        <w:t>，</w:t>
      </w:r>
      <w:r w:rsidRPr="006D42A7">
        <w:rPr>
          <w:szCs w:val="22"/>
        </w:rPr>
        <w:t>14a29-b2</w:t>
      </w:r>
      <w:r w:rsidRPr="006D42A7">
        <w:rPr>
          <w:szCs w:val="22"/>
        </w:rPr>
        <w:t>）：</w:t>
      </w:r>
    </w:p>
    <w:p w:rsidR="00157EF6" w:rsidRPr="006D42A7" w:rsidRDefault="00157EF6" w:rsidP="00B23570">
      <w:pPr>
        <w:pStyle w:val="a5"/>
        <w:spacing w:line="0" w:lineRule="atLeast"/>
        <w:ind w:leftChars="300" w:left="720"/>
        <w:jc w:val="both"/>
        <w:rPr>
          <w:szCs w:val="22"/>
        </w:rPr>
      </w:pPr>
      <w:r w:rsidRPr="006D42A7">
        <w:rPr>
          <w:rFonts w:eastAsia="標楷體"/>
          <w:szCs w:val="22"/>
        </w:rPr>
        <w:t>肇公《物不遷論》云：</w:t>
      </w:r>
      <w:r w:rsidR="004E0B7B" w:rsidRPr="006D42A7">
        <w:rPr>
          <w:rFonts w:ascii="標楷體" w:eastAsia="標楷體" w:hAnsi="標楷體" w:hint="eastAsia"/>
          <w:bCs/>
          <w:color w:val="FF0000"/>
          <w:kern w:val="0"/>
          <w:szCs w:val="22"/>
          <w:highlight w:val="yellow"/>
        </w:rPr>
        <w:t>「</w:t>
      </w:r>
      <w:r w:rsidRPr="006D42A7">
        <w:rPr>
          <w:rFonts w:eastAsia="標楷體"/>
          <w:b/>
          <w:szCs w:val="22"/>
        </w:rPr>
        <w:t>《正觀論》</w:t>
      </w:r>
      <w:r w:rsidRPr="006D42A7">
        <w:rPr>
          <w:rFonts w:eastAsia="標楷體"/>
          <w:szCs w:val="22"/>
        </w:rPr>
        <w:t>曰：</w:t>
      </w:r>
      <w:r w:rsidR="004E0B7B" w:rsidRPr="006D42A7">
        <w:rPr>
          <w:rFonts w:ascii="標楷體" w:eastAsia="標楷體" w:hAnsi="標楷體" w:hint="eastAsia"/>
          <w:color w:val="FF0000"/>
          <w:kern w:val="0"/>
          <w:szCs w:val="22"/>
          <w:highlight w:val="yellow"/>
        </w:rPr>
        <w:t>『</w:t>
      </w:r>
      <w:r w:rsidRPr="006D42A7">
        <w:rPr>
          <w:rFonts w:eastAsia="標楷體"/>
          <w:szCs w:val="22"/>
        </w:rPr>
        <w:t>觀方知彼去，去者不至方。</w:t>
      </w:r>
      <w:r w:rsidR="004E0B7B" w:rsidRPr="006D42A7">
        <w:rPr>
          <w:rFonts w:ascii="標楷體" w:eastAsia="標楷體" w:hAnsi="標楷體" w:hint="eastAsia"/>
          <w:color w:val="FF0000"/>
          <w:kern w:val="0"/>
          <w:szCs w:val="22"/>
          <w:highlight w:val="yellow"/>
        </w:rPr>
        <w:t>』</w:t>
      </w:r>
      <w:r w:rsidR="004E0B7B" w:rsidRPr="006D42A7">
        <w:rPr>
          <w:rFonts w:ascii="標楷體" w:eastAsia="標楷體" w:hAnsi="標楷體" w:hint="eastAsia"/>
          <w:bCs/>
          <w:color w:val="FF0000"/>
          <w:kern w:val="0"/>
          <w:szCs w:val="22"/>
          <w:highlight w:val="yellow"/>
        </w:rPr>
        <w:t>」</w:t>
      </w:r>
      <w:r w:rsidRPr="006D42A7">
        <w:rPr>
          <w:rFonts w:eastAsia="標楷體"/>
          <w:szCs w:val="22"/>
        </w:rPr>
        <w:t>故知</w:t>
      </w:r>
      <w:r w:rsidRPr="006D42A7">
        <w:rPr>
          <w:szCs w:val="22"/>
        </w:rPr>
        <w:t>「</w:t>
      </w:r>
      <w:r w:rsidRPr="006D42A7">
        <w:rPr>
          <w:rFonts w:eastAsia="標楷體"/>
          <w:szCs w:val="22"/>
        </w:rPr>
        <w:t>中</w:t>
      </w:r>
      <w:r w:rsidRPr="006D42A7">
        <w:rPr>
          <w:szCs w:val="22"/>
        </w:rPr>
        <w:t>」</w:t>
      </w:r>
      <w:r w:rsidRPr="006D42A7">
        <w:rPr>
          <w:rFonts w:eastAsia="標楷體"/>
          <w:szCs w:val="22"/>
        </w:rPr>
        <w:t>以</w:t>
      </w:r>
      <w:r w:rsidRPr="006D42A7">
        <w:rPr>
          <w:szCs w:val="22"/>
        </w:rPr>
        <w:t>「</w:t>
      </w:r>
      <w:r w:rsidRPr="006D42A7">
        <w:rPr>
          <w:rFonts w:eastAsia="標楷體"/>
          <w:szCs w:val="22"/>
        </w:rPr>
        <w:t>正</w:t>
      </w:r>
      <w:r w:rsidRPr="006D42A7">
        <w:rPr>
          <w:szCs w:val="22"/>
        </w:rPr>
        <w:t>」</w:t>
      </w:r>
      <w:r w:rsidRPr="006D42A7">
        <w:rPr>
          <w:rFonts w:eastAsia="標楷體"/>
          <w:szCs w:val="22"/>
        </w:rPr>
        <w:t>為義也。</w:t>
      </w:r>
    </w:p>
    <w:p w:rsidR="00157EF6" w:rsidRPr="006D42A7" w:rsidRDefault="00157EF6" w:rsidP="008E68AA">
      <w:pPr>
        <w:pStyle w:val="a5"/>
        <w:ind w:leftChars="80" w:left="731" w:hangingChars="245" w:hanging="539"/>
        <w:jc w:val="both"/>
        <w:rPr>
          <w:szCs w:val="22"/>
        </w:rPr>
      </w:pPr>
      <w:r w:rsidRPr="006D42A7">
        <w:rPr>
          <w:szCs w:val="22"/>
        </w:rPr>
        <w:t>（</w:t>
      </w:r>
      <w:r w:rsidRPr="006D42A7">
        <w:rPr>
          <w:szCs w:val="22"/>
        </w:rPr>
        <w:t>2</w:t>
      </w:r>
      <w:r w:rsidRPr="006D42A7">
        <w:rPr>
          <w:szCs w:val="22"/>
        </w:rPr>
        <w:t>）參見〔隋〕吉藏撰，《大乘玄論》卷</w:t>
      </w:r>
      <w:r w:rsidRPr="006D42A7">
        <w:rPr>
          <w:szCs w:val="22"/>
        </w:rPr>
        <w:t>2</w:t>
      </w:r>
      <w:r w:rsidRPr="006D42A7">
        <w:rPr>
          <w:szCs w:val="22"/>
        </w:rPr>
        <w:t>（大正</w:t>
      </w:r>
      <w:r w:rsidRPr="006D42A7">
        <w:rPr>
          <w:szCs w:val="22"/>
        </w:rPr>
        <w:t>45</w:t>
      </w:r>
      <w:r w:rsidRPr="006D42A7">
        <w:rPr>
          <w:szCs w:val="22"/>
        </w:rPr>
        <w:t>，</w:t>
      </w:r>
      <w:r w:rsidRPr="006D42A7">
        <w:rPr>
          <w:szCs w:val="22"/>
        </w:rPr>
        <w:t>30c16-18</w:t>
      </w:r>
      <w:r w:rsidRPr="006D42A7">
        <w:rPr>
          <w:szCs w:val="22"/>
        </w:rPr>
        <w:t>）：</w:t>
      </w:r>
    </w:p>
    <w:p w:rsidR="00157EF6" w:rsidRPr="006D42A7" w:rsidRDefault="00157EF6" w:rsidP="00E03184">
      <w:pPr>
        <w:pStyle w:val="a5"/>
        <w:spacing w:line="0" w:lineRule="atLeast"/>
        <w:ind w:leftChars="300" w:left="1160" w:hangingChars="200" w:hanging="440"/>
        <w:jc w:val="both"/>
        <w:rPr>
          <w:rFonts w:eastAsia="標楷體"/>
          <w:szCs w:val="22"/>
        </w:rPr>
      </w:pPr>
      <w:r w:rsidRPr="006D42A7">
        <w:rPr>
          <w:rFonts w:eastAsia="標楷體"/>
          <w:szCs w:val="22"/>
        </w:rPr>
        <w:t>問：釋論中指</w:t>
      </w:r>
      <w:r w:rsidR="004E0B7B" w:rsidRPr="006D42A7">
        <w:rPr>
          <w:rFonts w:ascii="標楷體" w:eastAsia="標楷體" w:hAnsi="標楷體" w:hint="eastAsia"/>
          <w:bCs/>
          <w:color w:val="FF0000"/>
          <w:kern w:val="0"/>
          <w:szCs w:val="22"/>
          <w:highlight w:val="yellow"/>
        </w:rPr>
        <w:t>「</w:t>
      </w:r>
      <w:r w:rsidRPr="006D42A7">
        <w:rPr>
          <w:rFonts w:eastAsia="標楷體"/>
          <w:b/>
          <w:szCs w:val="22"/>
        </w:rPr>
        <w:t>《正觀論》</w:t>
      </w:r>
      <w:r w:rsidR="004E0B7B" w:rsidRPr="006D42A7">
        <w:rPr>
          <w:rFonts w:ascii="標楷體" w:eastAsia="標楷體" w:hAnsi="標楷體" w:hint="eastAsia"/>
          <w:bCs/>
          <w:color w:val="FF0000"/>
          <w:kern w:val="0"/>
          <w:szCs w:val="22"/>
          <w:highlight w:val="yellow"/>
        </w:rPr>
        <w:t>」</w:t>
      </w:r>
      <w:r w:rsidRPr="006D42A7">
        <w:rPr>
          <w:rFonts w:eastAsia="標楷體"/>
          <w:szCs w:val="22"/>
        </w:rPr>
        <w:t>者，何必是</w:t>
      </w:r>
      <w:r w:rsidRPr="006D42A7">
        <w:rPr>
          <w:rFonts w:eastAsia="標楷體"/>
          <w:b/>
          <w:szCs w:val="22"/>
        </w:rPr>
        <w:t>《中論》</w:t>
      </w:r>
      <w:r w:rsidRPr="006D42A7">
        <w:rPr>
          <w:rFonts w:eastAsia="標楷體"/>
          <w:szCs w:val="22"/>
        </w:rPr>
        <w:t>耶？</w:t>
      </w:r>
    </w:p>
    <w:p w:rsidR="00157EF6" w:rsidRPr="006D42A7" w:rsidRDefault="00157EF6" w:rsidP="00E03184">
      <w:pPr>
        <w:pStyle w:val="a5"/>
        <w:spacing w:line="0" w:lineRule="atLeast"/>
        <w:ind w:leftChars="300" w:left="1160" w:hangingChars="200" w:hanging="440"/>
        <w:jc w:val="both"/>
        <w:rPr>
          <w:szCs w:val="22"/>
        </w:rPr>
      </w:pPr>
      <w:r w:rsidRPr="006D42A7">
        <w:rPr>
          <w:rFonts w:eastAsia="標楷體"/>
          <w:szCs w:val="22"/>
        </w:rPr>
        <w:t>答：</w:t>
      </w:r>
      <w:r w:rsidRPr="006D42A7">
        <w:rPr>
          <w:rFonts w:eastAsia="標楷體"/>
          <w:b/>
          <w:szCs w:val="22"/>
        </w:rPr>
        <w:t>《</w:t>
      </w:r>
      <w:r w:rsidRPr="006D42A7">
        <w:rPr>
          <w:rFonts w:eastAsia="標楷體"/>
          <w:szCs w:val="22"/>
        </w:rPr>
        <w:t>中論</w:t>
      </w:r>
      <w:r w:rsidRPr="006D42A7">
        <w:rPr>
          <w:rFonts w:ascii="新細明體" w:hAnsi="新細明體" w:cs="新細明體" w:hint="eastAsia"/>
          <w:szCs w:val="22"/>
        </w:rPr>
        <w:t>‧</w:t>
      </w:r>
      <w:r w:rsidRPr="006D42A7">
        <w:rPr>
          <w:rFonts w:eastAsia="標楷體"/>
          <w:szCs w:val="22"/>
        </w:rPr>
        <w:t>觀法品</w:t>
      </w:r>
      <w:r w:rsidRPr="006D42A7">
        <w:rPr>
          <w:rFonts w:eastAsia="標楷體"/>
          <w:b/>
          <w:szCs w:val="22"/>
        </w:rPr>
        <w:t>》</w:t>
      </w:r>
      <w:r w:rsidRPr="006D42A7">
        <w:rPr>
          <w:rFonts w:eastAsia="標楷體"/>
          <w:szCs w:val="22"/>
        </w:rPr>
        <w:t>云</w:t>
      </w:r>
      <w:r w:rsidR="004E0B7B" w:rsidRPr="006D42A7">
        <w:rPr>
          <w:rFonts w:ascii="標楷體" w:eastAsia="標楷體" w:hAnsi="標楷體" w:hint="eastAsia"/>
          <w:bCs/>
          <w:color w:val="FF0000"/>
          <w:kern w:val="0"/>
          <w:szCs w:val="22"/>
          <w:highlight w:val="yellow"/>
        </w:rPr>
        <w:t>「</w:t>
      </w:r>
      <w:r w:rsidRPr="006D42A7">
        <w:rPr>
          <w:rFonts w:eastAsia="標楷體"/>
          <w:szCs w:val="22"/>
        </w:rPr>
        <w:t>正觀</w:t>
      </w:r>
      <w:r w:rsidR="004E0B7B" w:rsidRPr="006D42A7">
        <w:rPr>
          <w:rFonts w:ascii="標楷體" w:eastAsia="標楷體" w:hAnsi="標楷體" w:hint="eastAsia"/>
          <w:color w:val="FF0000"/>
          <w:kern w:val="0"/>
          <w:szCs w:val="22"/>
          <w:highlight w:val="yellow"/>
        </w:rPr>
        <w:t>，</w:t>
      </w:r>
      <w:r w:rsidRPr="006D42A7">
        <w:rPr>
          <w:rFonts w:eastAsia="標楷體"/>
          <w:szCs w:val="22"/>
        </w:rPr>
        <w:t>論之稱</w:t>
      </w:r>
      <w:r w:rsidR="004E0B7B" w:rsidRPr="006D42A7">
        <w:rPr>
          <w:rFonts w:ascii="標楷體" w:eastAsia="標楷體" w:hAnsi="標楷體" w:hint="eastAsia"/>
          <w:bCs/>
          <w:color w:val="FF0000"/>
          <w:kern w:val="0"/>
          <w:szCs w:val="22"/>
          <w:highlight w:val="yellow"/>
        </w:rPr>
        <w:t>」</w:t>
      </w:r>
      <w:r w:rsidR="004E0B7B" w:rsidRPr="006D42A7">
        <w:rPr>
          <w:rFonts w:eastAsia="標楷體"/>
          <w:szCs w:val="22"/>
        </w:rPr>
        <w:t>，</w:t>
      </w:r>
      <w:r w:rsidRPr="006D42A7">
        <w:rPr>
          <w:rFonts w:eastAsia="標楷體"/>
          <w:szCs w:val="22"/>
        </w:rPr>
        <w:t>故知</w:t>
      </w:r>
      <w:r w:rsidRPr="006D42A7">
        <w:rPr>
          <w:rFonts w:eastAsia="標楷體"/>
          <w:b/>
          <w:szCs w:val="22"/>
        </w:rPr>
        <w:t>《中論》</w:t>
      </w:r>
      <w:r w:rsidRPr="006D42A7">
        <w:rPr>
          <w:rFonts w:eastAsia="標楷體"/>
          <w:szCs w:val="22"/>
        </w:rPr>
        <w:t>是</w:t>
      </w:r>
      <w:r w:rsidRPr="006D42A7">
        <w:rPr>
          <w:rFonts w:eastAsia="標楷體"/>
          <w:b/>
          <w:szCs w:val="22"/>
        </w:rPr>
        <w:t>《正觀論》</w:t>
      </w:r>
      <w:r w:rsidRPr="006D42A7">
        <w:rPr>
          <w:rFonts w:eastAsia="標楷體"/>
          <w:szCs w:val="22"/>
        </w:rPr>
        <w:t>也。</w:t>
      </w:r>
    </w:p>
  </w:footnote>
  <w:footnote w:id="90">
    <w:p w:rsidR="00157EF6" w:rsidRPr="006D42A7" w:rsidRDefault="00157EF6" w:rsidP="00CB198A">
      <w:pPr>
        <w:pStyle w:val="a5"/>
        <w:ind w:left="187" w:hangingChars="85" w:hanging="187"/>
        <w:jc w:val="both"/>
        <w:rPr>
          <w:szCs w:val="22"/>
        </w:rPr>
      </w:pPr>
      <w:r w:rsidRPr="006D42A7">
        <w:rPr>
          <w:rStyle w:val="a6"/>
          <w:szCs w:val="22"/>
        </w:rPr>
        <w:footnoteRef/>
      </w:r>
      <w:r w:rsidRPr="006D42A7">
        <w:rPr>
          <w:rFonts w:hint="eastAsia"/>
          <w:szCs w:val="22"/>
        </w:rPr>
        <w:t xml:space="preserve"> </w:t>
      </w:r>
      <w:r w:rsidRPr="006D42A7">
        <w:rPr>
          <w:szCs w:val="22"/>
        </w:rPr>
        <w:t>龍樹之中道思想，</w:t>
      </w:r>
      <w:r w:rsidR="009160B5" w:rsidRPr="006D42A7">
        <w:rPr>
          <w:szCs w:val="22"/>
        </w:rPr>
        <w:t>參見：印</w:t>
      </w:r>
      <w:r w:rsidRPr="006D42A7">
        <w:rPr>
          <w:szCs w:val="22"/>
        </w:rPr>
        <w:t>順法師，《空之探究》</w:t>
      </w:r>
      <w:r w:rsidRPr="006D42A7">
        <w:rPr>
          <w:rFonts w:hint="eastAsia"/>
          <w:szCs w:val="22"/>
        </w:rPr>
        <w:t>，</w:t>
      </w:r>
      <w:r w:rsidRPr="006D42A7">
        <w:rPr>
          <w:szCs w:val="22"/>
        </w:rPr>
        <w:t>第</w:t>
      </w:r>
      <w:r w:rsidRPr="006D42A7">
        <w:rPr>
          <w:rFonts w:hint="eastAsia"/>
          <w:szCs w:val="22"/>
        </w:rPr>
        <w:t>4</w:t>
      </w:r>
      <w:r w:rsidRPr="006D42A7">
        <w:rPr>
          <w:szCs w:val="22"/>
        </w:rPr>
        <w:t>章</w:t>
      </w:r>
      <w:r w:rsidRPr="006D42A7">
        <w:rPr>
          <w:rFonts w:ascii="新細明體" w:hAnsi="新細明體" w:cs="新細明體" w:hint="eastAsia"/>
          <w:szCs w:val="22"/>
        </w:rPr>
        <w:t>，</w:t>
      </w:r>
      <w:r w:rsidRPr="006D42A7">
        <w:rPr>
          <w:szCs w:val="22"/>
        </w:rPr>
        <w:t>第</w:t>
      </w:r>
      <w:r w:rsidRPr="006D42A7">
        <w:rPr>
          <w:rFonts w:hint="eastAsia"/>
          <w:szCs w:val="22"/>
        </w:rPr>
        <w:t>7</w:t>
      </w:r>
      <w:r w:rsidRPr="006D42A7">
        <w:rPr>
          <w:szCs w:val="22"/>
        </w:rPr>
        <w:t>節〈中道</w:t>
      </w:r>
      <w:r w:rsidRPr="006D42A7">
        <w:rPr>
          <w:szCs w:val="22"/>
        </w:rPr>
        <w:t>——</w:t>
      </w:r>
      <w:r w:rsidRPr="006D42A7">
        <w:rPr>
          <w:szCs w:val="22"/>
        </w:rPr>
        <w:t>中論與中觀〉，</w:t>
      </w:r>
      <w:r w:rsidRPr="006D42A7">
        <w:rPr>
          <w:szCs w:val="22"/>
        </w:rPr>
        <w:t>pp.255-261</w:t>
      </w:r>
      <w:r w:rsidRPr="006D42A7">
        <w:rPr>
          <w:szCs w:val="22"/>
        </w:rPr>
        <w:t>。</w:t>
      </w:r>
    </w:p>
  </w:footnote>
  <w:footnote w:id="91">
    <w:p w:rsidR="00157EF6" w:rsidRPr="00212D57" w:rsidRDefault="00157EF6" w:rsidP="00CB198A">
      <w:pPr>
        <w:pStyle w:val="a5"/>
        <w:ind w:left="187" w:hangingChars="85" w:hanging="187"/>
        <w:jc w:val="both"/>
        <w:rPr>
          <w:szCs w:val="22"/>
        </w:rPr>
      </w:pPr>
      <w:r w:rsidRPr="00212D57">
        <w:rPr>
          <w:rStyle w:val="a6"/>
          <w:szCs w:val="22"/>
        </w:rPr>
        <w:footnoteRef/>
      </w:r>
      <w:r w:rsidRPr="00212D57">
        <w:rPr>
          <w:rFonts w:cs="Times Ext Roman" w:hint="eastAsia"/>
          <w:szCs w:val="22"/>
        </w:rPr>
        <w:t xml:space="preserve"> </w:t>
      </w:r>
      <w:r w:rsidRPr="00212D57">
        <w:rPr>
          <w:rFonts w:cs="Times Ext Roman" w:hint="eastAsia"/>
          <w:szCs w:val="22"/>
        </w:rPr>
        <w:t>《大智度論》卷</w:t>
      </w:r>
      <w:r w:rsidRPr="00761EF3">
        <w:rPr>
          <w:rFonts w:cs="Times Ext Roman" w:hint="eastAsia"/>
          <w:szCs w:val="22"/>
        </w:rPr>
        <w:t>6</w:t>
      </w:r>
      <w:r w:rsidR="00AC0462" w:rsidRPr="00AC0462">
        <w:rPr>
          <w:rFonts w:hint="eastAsia"/>
          <w:color w:val="FF0000"/>
          <w:szCs w:val="22"/>
          <w:highlight w:val="yellow"/>
        </w:rPr>
        <w:t>釋</w:t>
      </w:r>
      <w:r w:rsidR="00AC0462">
        <w:rPr>
          <w:rFonts w:hint="eastAsia"/>
          <w:color w:val="FF0000"/>
          <w:szCs w:val="22"/>
          <w:highlight w:val="yellow"/>
        </w:rPr>
        <w:t>〈</w:t>
      </w:r>
      <w:r w:rsidR="00AC0462">
        <w:rPr>
          <w:rFonts w:hint="eastAsia"/>
          <w:color w:val="FF0000"/>
          <w:szCs w:val="22"/>
          <w:highlight w:val="yellow"/>
        </w:rPr>
        <w:t xml:space="preserve">1 </w:t>
      </w:r>
      <w:r w:rsidR="00AC0462">
        <w:rPr>
          <w:rFonts w:hint="eastAsia"/>
          <w:color w:val="FF0000"/>
          <w:szCs w:val="22"/>
          <w:highlight w:val="yellow"/>
        </w:rPr>
        <w:t>序品〉</w:t>
      </w:r>
      <w:r w:rsidRPr="00212D57">
        <w:rPr>
          <w:szCs w:val="22"/>
        </w:rPr>
        <w:t>（大正</w:t>
      </w:r>
      <w:r w:rsidRPr="00761EF3">
        <w:rPr>
          <w:szCs w:val="22"/>
        </w:rPr>
        <w:t>25</w:t>
      </w:r>
      <w:r w:rsidRPr="00212D57">
        <w:rPr>
          <w:szCs w:val="22"/>
        </w:rPr>
        <w:t>，</w:t>
      </w:r>
      <w:r w:rsidRPr="00761EF3">
        <w:rPr>
          <w:szCs w:val="22"/>
        </w:rPr>
        <w:t>105a9</w:t>
      </w:r>
      <w:r w:rsidRPr="00212D57">
        <w:rPr>
          <w:rFonts w:hint="eastAsia"/>
          <w:szCs w:val="22"/>
        </w:rPr>
        <w:t>-</w:t>
      </w:r>
      <w:r w:rsidRPr="00761EF3">
        <w:rPr>
          <w:szCs w:val="22"/>
        </w:rPr>
        <w:t>10</w:t>
      </w:r>
      <w:r w:rsidRPr="00212D57">
        <w:rPr>
          <w:szCs w:val="22"/>
        </w:rPr>
        <w:t>）</w:t>
      </w:r>
      <w:r w:rsidRPr="00212D57">
        <w:rPr>
          <w:rFonts w:hint="eastAsia"/>
          <w:szCs w:val="22"/>
        </w:rPr>
        <w:t>。</w:t>
      </w:r>
    </w:p>
  </w:footnote>
  <w:footnote w:id="92">
    <w:p w:rsidR="00B33BB9" w:rsidRPr="00212D57" w:rsidRDefault="00B33BB9" w:rsidP="00B33BB9">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rFonts w:hint="eastAsia"/>
          <w:szCs w:val="22"/>
        </w:rPr>
        <w:t>《大智度論》卷</w:t>
      </w:r>
      <w:r w:rsidRPr="00761EF3">
        <w:rPr>
          <w:szCs w:val="22"/>
        </w:rPr>
        <w:t>4</w:t>
      </w:r>
      <w:r w:rsidR="00AC0462">
        <w:rPr>
          <w:rFonts w:hint="eastAsia"/>
          <w:color w:val="FF0000"/>
          <w:szCs w:val="22"/>
          <w:highlight w:val="yellow"/>
        </w:rPr>
        <w:t>釋</w:t>
      </w:r>
      <w:r w:rsidR="00AC0462" w:rsidRPr="00AC0462">
        <w:rPr>
          <w:rFonts w:hint="eastAsia"/>
          <w:color w:val="FF0000"/>
          <w:szCs w:val="22"/>
          <w:highlight w:val="yellow"/>
        </w:rPr>
        <w:t>〈</w:t>
      </w:r>
      <w:r w:rsidR="00AC0462" w:rsidRPr="00AC0462">
        <w:rPr>
          <w:rFonts w:hint="eastAsia"/>
          <w:color w:val="FF0000"/>
          <w:szCs w:val="22"/>
          <w:highlight w:val="yellow"/>
        </w:rPr>
        <w:t xml:space="preserve">9 </w:t>
      </w:r>
      <w:r w:rsidR="00AC0462" w:rsidRPr="00AC0462">
        <w:rPr>
          <w:rFonts w:hint="eastAsia"/>
          <w:color w:val="FF0000"/>
          <w:szCs w:val="22"/>
          <w:highlight w:val="yellow"/>
        </w:rPr>
        <w:t>集散品〉</w:t>
      </w:r>
      <w:r w:rsidRPr="00212D57">
        <w:rPr>
          <w:rFonts w:eastAsia="標楷體"/>
          <w:szCs w:val="22"/>
        </w:rPr>
        <w:t>（</w:t>
      </w:r>
      <w:r w:rsidRPr="00212D57">
        <w:rPr>
          <w:szCs w:val="22"/>
        </w:rPr>
        <w:t>大正</w:t>
      </w:r>
      <w:r w:rsidRPr="00761EF3">
        <w:rPr>
          <w:szCs w:val="22"/>
        </w:rPr>
        <w:t>25</w:t>
      </w:r>
      <w:r w:rsidRPr="00212D57">
        <w:rPr>
          <w:szCs w:val="22"/>
        </w:rPr>
        <w:t>，</w:t>
      </w:r>
      <w:r w:rsidRPr="00761EF3">
        <w:rPr>
          <w:szCs w:val="22"/>
        </w:rPr>
        <w:t>370a21</w:t>
      </w:r>
      <w:r w:rsidRPr="00212D57">
        <w:rPr>
          <w:rFonts w:hint="eastAsia"/>
          <w:szCs w:val="22"/>
        </w:rPr>
        <w:t>-</w:t>
      </w:r>
      <w:r w:rsidRPr="00761EF3">
        <w:rPr>
          <w:szCs w:val="22"/>
        </w:rPr>
        <w:t>b9</w:t>
      </w:r>
      <w:r w:rsidRPr="00212D57">
        <w:rPr>
          <w:rFonts w:eastAsia="標楷體"/>
          <w:szCs w:val="22"/>
        </w:rPr>
        <w:t>）</w:t>
      </w:r>
      <w:r w:rsidRPr="00212D57">
        <w:rPr>
          <w:rFonts w:hint="eastAsia"/>
          <w:szCs w:val="22"/>
        </w:rPr>
        <w:t>：</w:t>
      </w:r>
    </w:p>
    <w:p w:rsidR="00B33BB9" w:rsidRPr="00212D57" w:rsidRDefault="004E0B7B" w:rsidP="00B33BB9">
      <w:pPr>
        <w:pStyle w:val="ad"/>
        <w:snapToGrid w:val="0"/>
        <w:spacing w:after="0"/>
        <w:ind w:leftChars="75" w:left="180"/>
        <w:jc w:val="both"/>
        <w:rPr>
          <w:rFonts w:ascii="標楷體" w:eastAsia="標楷體" w:hAnsi="標楷體"/>
          <w:sz w:val="22"/>
          <w:szCs w:val="22"/>
        </w:rPr>
      </w:pPr>
      <w:r>
        <w:rPr>
          <w:rFonts w:ascii="標楷體" w:eastAsia="標楷體" w:hAnsi="標楷體" w:hint="eastAsia"/>
          <w:bCs/>
          <w:color w:val="FF0000"/>
          <w:kern w:val="0"/>
          <w:sz w:val="22"/>
          <w:highlight w:val="yellow"/>
        </w:rPr>
        <w:t>「</w:t>
      </w:r>
      <w:r w:rsidR="00B33BB9" w:rsidRPr="00212D57">
        <w:rPr>
          <w:rFonts w:ascii="標楷體" w:eastAsia="標楷體" w:hAnsi="標楷體"/>
          <w:sz w:val="22"/>
          <w:szCs w:val="22"/>
        </w:rPr>
        <w:t>般若波羅蜜</w:t>
      </w:r>
      <w:r>
        <w:rPr>
          <w:rFonts w:ascii="標楷體" w:eastAsia="標楷體" w:hAnsi="標楷體" w:hint="eastAsia"/>
          <w:bCs/>
          <w:color w:val="FF0000"/>
          <w:kern w:val="0"/>
          <w:sz w:val="22"/>
          <w:highlight w:val="yellow"/>
        </w:rPr>
        <w:t>」</w:t>
      </w:r>
      <w:r w:rsidR="00B33BB9" w:rsidRPr="00212D57">
        <w:rPr>
          <w:rFonts w:ascii="標楷體" w:eastAsia="標楷體" w:hAnsi="標楷體"/>
          <w:sz w:val="22"/>
          <w:szCs w:val="22"/>
        </w:rPr>
        <w:t>者，是一切諸法實相</w:t>
      </w:r>
      <w:r w:rsidR="00B33BB9" w:rsidRPr="00212D57">
        <w:rPr>
          <w:rFonts w:ascii="標楷體" w:eastAsia="標楷體" w:hAnsi="標楷體" w:hint="eastAsia"/>
          <w:sz w:val="22"/>
          <w:szCs w:val="22"/>
        </w:rPr>
        <w:t>，</w:t>
      </w:r>
      <w:r w:rsidR="00B33BB9" w:rsidRPr="00212D57">
        <w:rPr>
          <w:rFonts w:ascii="標楷體" w:eastAsia="標楷體" w:hAnsi="標楷體"/>
          <w:sz w:val="22"/>
          <w:szCs w:val="22"/>
        </w:rPr>
        <w:t>不可破</w:t>
      </w:r>
      <w:r w:rsidR="00B33BB9" w:rsidRPr="00212D57">
        <w:rPr>
          <w:rFonts w:ascii="標楷體" w:eastAsia="標楷體" w:hAnsi="標楷體" w:hint="eastAsia"/>
          <w:sz w:val="22"/>
          <w:szCs w:val="22"/>
        </w:rPr>
        <w:t>，</w:t>
      </w:r>
      <w:r w:rsidR="00B33BB9" w:rsidRPr="00212D57">
        <w:rPr>
          <w:rFonts w:ascii="標楷體" w:eastAsia="標楷體" w:hAnsi="標楷體"/>
          <w:sz w:val="22"/>
          <w:szCs w:val="22"/>
        </w:rPr>
        <w:t>不可壞，若有佛</w:t>
      </w:r>
      <w:r w:rsidR="00B33BB9" w:rsidRPr="00212D57">
        <w:rPr>
          <w:rFonts w:ascii="標楷體" w:eastAsia="標楷體" w:hAnsi="標楷體" w:hint="eastAsia"/>
          <w:sz w:val="22"/>
          <w:szCs w:val="22"/>
        </w:rPr>
        <w:t>、</w:t>
      </w:r>
      <w:r w:rsidR="00B33BB9" w:rsidRPr="00212D57">
        <w:rPr>
          <w:rFonts w:ascii="標楷體" w:eastAsia="標楷體" w:hAnsi="標楷體"/>
          <w:sz w:val="22"/>
          <w:szCs w:val="22"/>
        </w:rPr>
        <w:t>若無佛</w:t>
      </w:r>
      <w:r w:rsidR="00B33BB9" w:rsidRPr="00212D57">
        <w:rPr>
          <w:rFonts w:ascii="標楷體" w:eastAsia="標楷體" w:hAnsi="標楷體" w:hint="eastAsia"/>
          <w:sz w:val="22"/>
          <w:szCs w:val="22"/>
        </w:rPr>
        <w:t>，</w:t>
      </w:r>
      <w:r w:rsidR="00B33BB9" w:rsidRPr="00212D57">
        <w:rPr>
          <w:rFonts w:ascii="標楷體" w:eastAsia="標楷體" w:hAnsi="標楷體"/>
          <w:sz w:val="22"/>
          <w:szCs w:val="22"/>
        </w:rPr>
        <w:t>常住</w:t>
      </w:r>
      <w:r>
        <w:rPr>
          <w:rFonts w:ascii="標楷體" w:eastAsia="標楷體" w:hAnsi="標楷體" w:hint="eastAsia"/>
          <w:color w:val="FF0000"/>
          <w:kern w:val="0"/>
          <w:sz w:val="22"/>
          <w:highlight w:val="yellow"/>
        </w:rPr>
        <w:t>，</w:t>
      </w:r>
      <w:r w:rsidR="00B33BB9" w:rsidRPr="00212D57">
        <w:rPr>
          <w:rFonts w:ascii="標楷體" w:eastAsia="標楷體" w:hAnsi="標楷體"/>
          <w:sz w:val="22"/>
          <w:szCs w:val="22"/>
        </w:rPr>
        <w:t>諸法相</w:t>
      </w:r>
      <w:r w:rsidR="00B33BB9" w:rsidRPr="00212D57">
        <w:rPr>
          <w:rFonts w:ascii="標楷體" w:eastAsia="標楷體" w:hAnsi="標楷體" w:hint="eastAsia"/>
          <w:sz w:val="22"/>
          <w:szCs w:val="22"/>
        </w:rPr>
        <w:t>、</w:t>
      </w:r>
      <w:r w:rsidR="00B33BB9" w:rsidRPr="00212D57">
        <w:rPr>
          <w:rFonts w:ascii="標楷體" w:eastAsia="標楷體" w:hAnsi="標楷體"/>
          <w:sz w:val="22"/>
          <w:szCs w:val="22"/>
        </w:rPr>
        <w:t>法位，非佛</w:t>
      </w:r>
      <w:r w:rsidR="00B33BB9" w:rsidRPr="00212D57">
        <w:rPr>
          <w:rFonts w:ascii="標楷體" w:eastAsia="標楷體" w:hAnsi="標楷體" w:hint="eastAsia"/>
          <w:sz w:val="22"/>
          <w:szCs w:val="22"/>
        </w:rPr>
        <w:t>、</w:t>
      </w:r>
      <w:r w:rsidR="00B33BB9" w:rsidRPr="00212D57">
        <w:rPr>
          <w:rFonts w:ascii="標楷體" w:eastAsia="標楷體" w:hAnsi="標楷體"/>
          <w:sz w:val="22"/>
          <w:szCs w:val="22"/>
        </w:rPr>
        <w:t>非辟支佛</w:t>
      </w:r>
      <w:r w:rsidR="00B33BB9" w:rsidRPr="00212D57">
        <w:rPr>
          <w:rFonts w:ascii="標楷體" w:eastAsia="標楷體" w:hAnsi="標楷體" w:hint="eastAsia"/>
          <w:sz w:val="22"/>
          <w:szCs w:val="22"/>
        </w:rPr>
        <w:t>、</w:t>
      </w:r>
      <w:r w:rsidR="00B33BB9" w:rsidRPr="00212D57">
        <w:rPr>
          <w:rFonts w:ascii="標楷體" w:eastAsia="標楷體" w:hAnsi="標楷體"/>
          <w:sz w:val="22"/>
          <w:szCs w:val="22"/>
        </w:rPr>
        <w:t>非菩薩</w:t>
      </w:r>
      <w:r w:rsidR="00B33BB9" w:rsidRPr="00212D57">
        <w:rPr>
          <w:rFonts w:ascii="標楷體" w:eastAsia="標楷體" w:hAnsi="標楷體" w:hint="eastAsia"/>
          <w:sz w:val="22"/>
          <w:szCs w:val="22"/>
        </w:rPr>
        <w:t>、</w:t>
      </w:r>
      <w:r w:rsidR="00B33BB9" w:rsidRPr="00212D57">
        <w:rPr>
          <w:rFonts w:ascii="標楷體" w:eastAsia="標楷體" w:hAnsi="標楷體"/>
          <w:sz w:val="22"/>
          <w:szCs w:val="22"/>
        </w:rPr>
        <w:t>非聲聞</w:t>
      </w:r>
      <w:r w:rsidR="00B33BB9" w:rsidRPr="00212D57">
        <w:rPr>
          <w:rFonts w:ascii="標楷體" w:eastAsia="標楷體" w:hAnsi="標楷體" w:hint="eastAsia"/>
          <w:sz w:val="22"/>
          <w:szCs w:val="22"/>
        </w:rPr>
        <w:t>、</w:t>
      </w:r>
      <w:r w:rsidR="00B33BB9" w:rsidRPr="00212D57">
        <w:rPr>
          <w:rFonts w:ascii="標楷體" w:eastAsia="標楷體" w:hAnsi="標楷體"/>
          <w:sz w:val="22"/>
          <w:szCs w:val="22"/>
        </w:rPr>
        <w:t>非天人所作，何況其餘小眾生？</w:t>
      </w:r>
    </w:p>
    <w:p w:rsidR="00B33BB9" w:rsidRPr="00212D57" w:rsidRDefault="00B33BB9" w:rsidP="00B33BB9">
      <w:pPr>
        <w:pStyle w:val="ad"/>
        <w:snapToGrid w:val="0"/>
        <w:spacing w:after="0"/>
        <w:ind w:leftChars="75" w:left="180"/>
        <w:jc w:val="both"/>
        <w:rPr>
          <w:rFonts w:ascii="標楷體" w:eastAsia="標楷體" w:hAnsi="標楷體"/>
          <w:sz w:val="22"/>
          <w:szCs w:val="22"/>
        </w:rPr>
      </w:pPr>
      <w:r w:rsidRPr="00212D57">
        <w:rPr>
          <w:rFonts w:ascii="標楷體" w:eastAsia="標楷體" w:hAnsi="標楷體"/>
          <w:sz w:val="22"/>
          <w:szCs w:val="22"/>
        </w:rPr>
        <w:t>復次</w:t>
      </w:r>
      <w:r w:rsidRPr="00212D57">
        <w:rPr>
          <w:rFonts w:ascii="標楷體" w:eastAsia="標楷體" w:hAnsi="標楷體" w:hint="eastAsia"/>
          <w:sz w:val="22"/>
          <w:szCs w:val="22"/>
        </w:rPr>
        <w:t>，</w:t>
      </w:r>
      <w:r w:rsidRPr="00212D57">
        <w:rPr>
          <w:rFonts w:ascii="標楷體" w:eastAsia="標楷體" w:hAnsi="標楷體"/>
          <w:b/>
          <w:sz w:val="22"/>
          <w:szCs w:val="22"/>
        </w:rPr>
        <w:t>常是一邊，斷滅是一邊</w:t>
      </w:r>
      <w:r w:rsidR="004E0B7B" w:rsidRPr="004E0B7B">
        <w:rPr>
          <w:rFonts w:ascii="標楷體" w:eastAsia="標楷體" w:hAnsi="標楷體" w:hint="eastAsia"/>
          <w:b/>
          <w:color w:val="FF0000"/>
          <w:kern w:val="0"/>
          <w:sz w:val="22"/>
          <w:highlight w:val="yellow"/>
        </w:rPr>
        <w:t>──</w:t>
      </w:r>
      <w:r w:rsidRPr="004E0B7B">
        <w:rPr>
          <w:rFonts w:ascii="標楷體" w:eastAsia="標楷體" w:hAnsi="標楷體"/>
          <w:b/>
          <w:sz w:val="22"/>
          <w:szCs w:val="22"/>
        </w:rPr>
        <w:t>離是二邊</w:t>
      </w:r>
      <w:r w:rsidR="004E0B7B" w:rsidRPr="004E0B7B">
        <w:rPr>
          <w:rFonts w:ascii="標楷體" w:eastAsia="標楷體" w:hAnsi="標楷體" w:hint="eastAsia"/>
          <w:b/>
          <w:color w:val="FF0000"/>
          <w:kern w:val="0"/>
          <w:sz w:val="22"/>
          <w:highlight w:val="yellow"/>
        </w:rPr>
        <w:t>，</w:t>
      </w:r>
      <w:r w:rsidRPr="00212D57">
        <w:rPr>
          <w:rFonts w:ascii="標楷體" w:eastAsia="標楷體" w:hAnsi="標楷體"/>
          <w:b/>
          <w:sz w:val="22"/>
          <w:szCs w:val="22"/>
        </w:rPr>
        <w:t>行中道，是為</w:t>
      </w:r>
      <w:r w:rsidR="004E0B7B" w:rsidRPr="004E0B7B">
        <w:rPr>
          <w:rFonts w:ascii="標楷體" w:eastAsia="標楷體" w:hAnsi="標楷體" w:hint="eastAsia"/>
          <w:b/>
          <w:bCs/>
          <w:color w:val="FF0000"/>
          <w:kern w:val="0"/>
          <w:sz w:val="22"/>
          <w:highlight w:val="yellow"/>
        </w:rPr>
        <w:t>「</w:t>
      </w:r>
      <w:r w:rsidR="004E0B7B" w:rsidRPr="004E0B7B">
        <w:rPr>
          <w:rFonts w:ascii="標楷體" w:eastAsia="標楷體" w:hAnsi="標楷體" w:hint="eastAsia"/>
          <w:b/>
          <w:sz w:val="22"/>
          <w:szCs w:val="22"/>
        </w:rPr>
        <w:t>般若波羅蜜</w:t>
      </w:r>
      <w:r w:rsidR="004E0B7B" w:rsidRPr="004E0B7B">
        <w:rPr>
          <w:rFonts w:ascii="標楷體" w:eastAsia="標楷體" w:hAnsi="標楷體" w:hint="eastAsia"/>
          <w:b/>
          <w:bCs/>
          <w:color w:val="FF0000"/>
          <w:kern w:val="0"/>
          <w:sz w:val="22"/>
          <w:highlight w:val="yellow"/>
        </w:rPr>
        <w:t>」</w:t>
      </w:r>
      <w:r w:rsidRPr="00212D57">
        <w:rPr>
          <w:rFonts w:ascii="標楷體" w:eastAsia="標楷體" w:hAnsi="標楷體"/>
          <w:b/>
          <w:sz w:val="22"/>
          <w:szCs w:val="22"/>
        </w:rPr>
        <w:t>。</w:t>
      </w:r>
      <w:r w:rsidRPr="00212D57">
        <w:rPr>
          <w:rFonts w:ascii="標楷體" w:eastAsia="標楷體" w:hAnsi="標楷體"/>
          <w:sz w:val="22"/>
          <w:szCs w:val="22"/>
        </w:rPr>
        <w:t>又復</w:t>
      </w:r>
      <w:r w:rsidR="004E0B7B">
        <w:rPr>
          <w:rFonts w:ascii="標楷體" w:eastAsia="標楷體" w:hAnsi="標楷體" w:hint="eastAsia"/>
          <w:bCs/>
          <w:color w:val="FF0000"/>
          <w:kern w:val="0"/>
          <w:sz w:val="22"/>
          <w:highlight w:val="yellow"/>
        </w:rPr>
        <w:t>「</w:t>
      </w:r>
      <w:r w:rsidRPr="00212D57">
        <w:rPr>
          <w:rFonts w:ascii="標楷體" w:eastAsia="標楷體" w:hAnsi="標楷體"/>
          <w:sz w:val="22"/>
          <w:szCs w:val="22"/>
        </w:rPr>
        <w:t>常</w:t>
      </w:r>
      <w:r w:rsidRPr="00212D57">
        <w:rPr>
          <w:rFonts w:ascii="標楷體" w:eastAsia="標楷體" w:hAnsi="標楷體" w:hint="eastAsia"/>
          <w:sz w:val="22"/>
          <w:szCs w:val="22"/>
        </w:rPr>
        <w:t>、</w:t>
      </w:r>
      <w:r w:rsidRPr="00212D57">
        <w:rPr>
          <w:rFonts w:ascii="標楷體" w:eastAsia="標楷體" w:hAnsi="標楷體"/>
          <w:sz w:val="22"/>
          <w:szCs w:val="22"/>
        </w:rPr>
        <w:t>無常</w:t>
      </w:r>
      <w:r w:rsidR="004E0B7B">
        <w:rPr>
          <w:rFonts w:ascii="標楷體" w:eastAsia="標楷體" w:hAnsi="標楷體" w:hint="eastAsia"/>
          <w:bCs/>
          <w:color w:val="FF0000"/>
          <w:kern w:val="0"/>
          <w:sz w:val="22"/>
          <w:highlight w:val="yellow"/>
        </w:rPr>
        <w:t>」</w:t>
      </w:r>
      <w:r w:rsidR="004E0B7B">
        <w:rPr>
          <w:rFonts w:ascii="標楷體" w:eastAsia="標楷體" w:hAnsi="標楷體" w:hint="eastAsia"/>
          <w:color w:val="FF0000"/>
          <w:spacing w:val="-4"/>
          <w:kern w:val="0"/>
          <w:sz w:val="22"/>
          <w:highlight w:val="yellow"/>
        </w:rPr>
        <w:t>、</w:t>
      </w:r>
      <w:r w:rsidR="004E0B7B">
        <w:rPr>
          <w:rFonts w:ascii="標楷體" w:eastAsia="標楷體" w:hAnsi="標楷體" w:hint="eastAsia"/>
          <w:bCs/>
          <w:color w:val="FF0000"/>
          <w:kern w:val="0"/>
          <w:sz w:val="22"/>
          <w:highlight w:val="yellow"/>
        </w:rPr>
        <w:t>「</w:t>
      </w:r>
      <w:r w:rsidRPr="00212D57">
        <w:rPr>
          <w:rFonts w:ascii="標楷體" w:eastAsia="標楷體" w:hAnsi="標楷體"/>
          <w:sz w:val="22"/>
          <w:szCs w:val="22"/>
        </w:rPr>
        <w:t>苦</w:t>
      </w:r>
      <w:r w:rsidRPr="00212D57">
        <w:rPr>
          <w:rFonts w:ascii="標楷體" w:eastAsia="標楷體" w:hAnsi="標楷體" w:hint="eastAsia"/>
          <w:sz w:val="22"/>
          <w:szCs w:val="22"/>
        </w:rPr>
        <w:t>、</w:t>
      </w:r>
      <w:r w:rsidRPr="00212D57">
        <w:rPr>
          <w:rFonts w:ascii="標楷體" w:eastAsia="標楷體" w:hAnsi="標楷體"/>
          <w:sz w:val="22"/>
          <w:szCs w:val="22"/>
        </w:rPr>
        <w:t>樂</w:t>
      </w:r>
      <w:r w:rsidR="004E0B7B">
        <w:rPr>
          <w:rFonts w:ascii="標楷體" w:eastAsia="標楷體" w:hAnsi="標楷體" w:hint="eastAsia"/>
          <w:bCs/>
          <w:color w:val="FF0000"/>
          <w:kern w:val="0"/>
          <w:sz w:val="22"/>
          <w:highlight w:val="yellow"/>
        </w:rPr>
        <w:t>」</w:t>
      </w:r>
      <w:r w:rsidR="004E0B7B">
        <w:rPr>
          <w:rFonts w:ascii="標楷體" w:eastAsia="標楷體" w:hAnsi="標楷體" w:hint="eastAsia"/>
          <w:color w:val="FF0000"/>
          <w:spacing w:val="-4"/>
          <w:kern w:val="0"/>
          <w:sz w:val="22"/>
          <w:highlight w:val="yellow"/>
        </w:rPr>
        <w:t>、</w:t>
      </w:r>
      <w:r w:rsidR="004E0B7B">
        <w:rPr>
          <w:rFonts w:ascii="標楷體" w:eastAsia="標楷體" w:hAnsi="標楷體" w:hint="eastAsia"/>
          <w:bCs/>
          <w:color w:val="FF0000"/>
          <w:kern w:val="0"/>
          <w:sz w:val="22"/>
          <w:highlight w:val="yellow"/>
        </w:rPr>
        <w:t>「</w:t>
      </w:r>
      <w:r w:rsidRPr="00212D57">
        <w:rPr>
          <w:rFonts w:ascii="標楷體" w:eastAsia="標楷體" w:hAnsi="標楷體"/>
          <w:sz w:val="22"/>
          <w:szCs w:val="22"/>
        </w:rPr>
        <w:t>空</w:t>
      </w:r>
      <w:r w:rsidRPr="00212D57">
        <w:rPr>
          <w:rFonts w:ascii="標楷體" w:eastAsia="標楷體" w:hAnsi="標楷體" w:hint="eastAsia"/>
          <w:sz w:val="22"/>
          <w:szCs w:val="22"/>
        </w:rPr>
        <w:t>、</w:t>
      </w:r>
      <w:r w:rsidR="004E0B7B">
        <w:rPr>
          <w:rFonts w:ascii="標楷體" w:eastAsia="標楷體" w:hAnsi="標楷體"/>
          <w:sz w:val="22"/>
          <w:szCs w:val="22"/>
        </w:rPr>
        <w:t>實</w:t>
      </w:r>
      <w:r w:rsidR="004E0B7B">
        <w:rPr>
          <w:rFonts w:ascii="標楷體" w:eastAsia="標楷體" w:hAnsi="標楷體" w:hint="eastAsia"/>
          <w:bCs/>
          <w:color w:val="FF0000"/>
          <w:kern w:val="0"/>
          <w:sz w:val="22"/>
          <w:highlight w:val="yellow"/>
        </w:rPr>
        <w:t>」</w:t>
      </w:r>
      <w:r w:rsidR="004E0B7B">
        <w:rPr>
          <w:rFonts w:ascii="標楷體" w:eastAsia="標楷體" w:hAnsi="標楷體" w:hint="eastAsia"/>
          <w:color w:val="FF0000"/>
          <w:spacing w:val="-4"/>
          <w:kern w:val="0"/>
          <w:sz w:val="22"/>
          <w:highlight w:val="yellow"/>
        </w:rPr>
        <w:t>、</w:t>
      </w:r>
      <w:r w:rsidR="004E0B7B">
        <w:rPr>
          <w:rFonts w:ascii="標楷體" w:eastAsia="標楷體" w:hAnsi="標楷體" w:hint="eastAsia"/>
          <w:bCs/>
          <w:color w:val="FF0000"/>
          <w:kern w:val="0"/>
          <w:sz w:val="22"/>
          <w:highlight w:val="yellow"/>
        </w:rPr>
        <w:t>「</w:t>
      </w:r>
      <w:r w:rsidRPr="00212D57">
        <w:rPr>
          <w:rFonts w:ascii="標楷體" w:eastAsia="標楷體" w:hAnsi="標楷體"/>
          <w:sz w:val="22"/>
          <w:szCs w:val="22"/>
        </w:rPr>
        <w:t>我</w:t>
      </w:r>
      <w:r w:rsidRPr="00212D57">
        <w:rPr>
          <w:rFonts w:ascii="標楷體" w:eastAsia="標楷體" w:hAnsi="標楷體" w:hint="eastAsia"/>
          <w:sz w:val="22"/>
          <w:szCs w:val="22"/>
        </w:rPr>
        <w:t>、</w:t>
      </w:r>
      <w:r w:rsidRPr="00212D57">
        <w:rPr>
          <w:rFonts w:ascii="標楷體" w:eastAsia="標楷體" w:hAnsi="標楷體"/>
          <w:sz w:val="22"/>
          <w:szCs w:val="22"/>
        </w:rPr>
        <w:t>無我</w:t>
      </w:r>
      <w:r w:rsidR="004E0B7B">
        <w:rPr>
          <w:rFonts w:ascii="標楷體" w:eastAsia="標楷體" w:hAnsi="標楷體" w:hint="eastAsia"/>
          <w:bCs/>
          <w:color w:val="FF0000"/>
          <w:kern w:val="0"/>
          <w:sz w:val="22"/>
          <w:highlight w:val="yellow"/>
        </w:rPr>
        <w:t>」</w:t>
      </w:r>
      <w:r w:rsidRPr="00212D57">
        <w:rPr>
          <w:rFonts w:ascii="標楷體" w:eastAsia="標楷體" w:hAnsi="標楷體"/>
          <w:sz w:val="22"/>
          <w:szCs w:val="22"/>
        </w:rPr>
        <w:t>等</w:t>
      </w:r>
      <w:r w:rsidR="004E0B7B">
        <w:rPr>
          <w:rFonts w:ascii="標楷體" w:eastAsia="標楷體" w:hAnsi="標楷體" w:hint="eastAsia"/>
          <w:color w:val="FF0000"/>
          <w:kern w:val="0"/>
          <w:sz w:val="22"/>
          <w:highlight w:val="yellow"/>
        </w:rPr>
        <w:t>，</w:t>
      </w:r>
      <w:r w:rsidRPr="00212D57">
        <w:rPr>
          <w:rFonts w:ascii="標楷體" w:eastAsia="標楷體" w:hAnsi="標楷體"/>
          <w:sz w:val="22"/>
          <w:szCs w:val="22"/>
        </w:rPr>
        <w:t>亦如是</w:t>
      </w:r>
      <w:r w:rsidRPr="00212D57">
        <w:rPr>
          <w:rFonts w:ascii="標楷體" w:eastAsia="標楷體" w:hAnsi="標楷體" w:hint="eastAsia"/>
          <w:sz w:val="22"/>
          <w:szCs w:val="22"/>
        </w:rPr>
        <w:t>。</w:t>
      </w:r>
    </w:p>
    <w:p w:rsidR="00B33BB9" w:rsidRPr="00212D57" w:rsidRDefault="00B33BB9" w:rsidP="00B33BB9">
      <w:pPr>
        <w:pStyle w:val="ad"/>
        <w:snapToGrid w:val="0"/>
        <w:spacing w:after="0"/>
        <w:ind w:leftChars="75" w:left="180"/>
        <w:jc w:val="both"/>
        <w:rPr>
          <w:rFonts w:ascii="標楷體" w:eastAsia="標楷體" w:hAnsi="標楷體"/>
          <w:sz w:val="22"/>
          <w:szCs w:val="22"/>
        </w:rPr>
      </w:pPr>
      <w:r w:rsidRPr="00212D57">
        <w:rPr>
          <w:rFonts w:ascii="標楷體" w:eastAsia="標楷體" w:hAnsi="標楷體"/>
          <w:sz w:val="22"/>
          <w:szCs w:val="22"/>
        </w:rPr>
        <w:t>色法是一邊，無色法是一邊</w:t>
      </w:r>
      <w:r w:rsidR="004E0B7B">
        <w:rPr>
          <w:rFonts w:ascii="標楷體" w:eastAsia="標楷體" w:hAnsi="標楷體" w:hint="eastAsia"/>
          <w:color w:val="FF0000"/>
          <w:spacing w:val="-4"/>
          <w:kern w:val="0"/>
          <w:sz w:val="22"/>
          <w:highlight w:val="yellow"/>
        </w:rPr>
        <w:t>；</w:t>
      </w:r>
      <w:r w:rsidR="004E0B7B">
        <w:rPr>
          <w:rFonts w:ascii="標楷體" w:eastAsia="標楷體" w:hAnsi="標楷體" w:hint="eastAsia"/>
          <w:bCs/>
          <w:color w:val="FF0000"/>
          <w:kern w:val="0"/>
          <w:sz w:val="22"/>
          <w:highlight w:val="yellow"/>
        </w:rPr>
        <w:t>「</w:t>
      </w:r>
      <w:r w:rsidRPr="00212D57">
        <w:rPr>
          <w:rFonts w:ascii="標楷體" w:eastAsia="標楷體" w:hAnsi="標楷體"/>
          <w:b/>
          <w:sz w:val="22"/>
          <w:szCs w:val="22"/>
        </w:rPr>
        <w:t>可見法</w:t>
      </w:r>
      <w:r w:rsidRPr="00212D57">
        <w:rPr>
          <w:rFonts w:ascii="標楷體" w:eastAsia="標楷體" w:hAnsi="標楷體" w:hint="eastAsia"/>
          <w:b/>
          <w:sz w:val="22"/>
          <w:szCs w:val="22"/>
        </w:rPr>
        <w:t>、</w:t>
      </w:r>
      <w:r w:rsidRPr="00212D57">
        <w:rPr>
          <w:rFonts w:ascii="標楷體" w:eastAsia="標楷體" w:hAnsi="標楷體"/>
          <w:b/>
          <w:sz w:val="22"/>
          <w:szCs w:val="22"/>
        </w:rPr>
        <w:t>不可見法</w:t>
      </w:r>
      <w:r w:rsidR="004E0B7B">
        <w:rPr>
          <w:rFonts w:ascii="標楷體" w:eastAsia="標楷體" w:hAnsi="標楷體" w:hint="eastAsia"/>
          <w:bCs/>
          <w:color w:val="FF0000"/>
          <w:kern w:val="0"/>
          <w:sz w:val="22"/>
          <w:highlight w:val="yellow"/>
        </w:rPr>
        <w:t>」</w:t>
      </w:r>
      <w:r w:rsidR="004E0B7B">
        <w:rPr>
          <w:rFonts w:ascii="標楷體" w:eastAsia="標楷體" w:hAnsi="標楷體" w:hint="eastAsia"/>
          <w:color w:val="FF0000"/>
          <w:spacing w:val="-4"/>
          <w:kern w:val="0"/>
          <w:sz w:val="22"/>
          <w:highlight w:val="yellow"/>
        </w:rPr>
        <w:t>、</w:t>
      </w:r>
      <w:r w:rsidR="004E0B7B">
        <w:rPr>
          <w:rFonts w:ascii="標楷體" w:eastAsia="標楷體" w:hAnsi="標楷體" w:hint="eastAsia"/>
          <w:bCs/>
          <w:color w:val="FF0000"/>
          <w:kern w:val="0"/>
          <w:sz w:val="22"/>
          <w:highlight w:val="yellow"/>
        </w:rPr>
        <w:t>「</w:t>
      </w:r>
      <w:r w:rsidRPr="00212D57">
        <w:rPr>
          <w:rFonts w:ascii="標楷體" w:eastAsia="標楷體" w:hAnsi="標楷體"/>
          <w:sz w:val="22"/>
          <w:szCs w:val="22"/>
        </w:rPr>
        <w:t>有對</w:t>
      </w:r>
      <w:r w:rsidRPr="00212D57">
        <w:rPr>
          <w:rFonts w:ascii="標楷體" w:eastAsia="標楷體" w:hAnsi="標楷體" w:hint="eastAsia"/>
          <w:sz w:val="22"/>
          <w:szCs w:val="22"/>
        </w:rPr>
        <w:t>、</w:t>
      </w:r>
      <w:r w:rsidRPr="00212D57">
        <w:rPr>
          <w:rFonts w:ascii="標楷體" w:eastAsia="標楷體" w:hAnsi="標楷體"/>
          <w:sz w:val="22"/>
          <w:szCs w:val="22"/>
        </w:rPr>
        <w:t>無對</w:t>
      </w:r>
      <w:r w:rsidR="004E0B7B">
        <w:rPr>
          <w:rFonts w:ascii="標楷體" w:eastAsia="標楷體" w:hAnsi="標楷體" w:hint="eastAsia"/>
          <w:bCs/>
          <w:color w:val="FF0000"/>
          <w:kern w:val="0"/>
          <w:sz w:val="22"/>
          <w:highlight w:val="yellow"/>
        </w:rPr>
        <w:t>」</w:t>
      </w:r>
      <w:r w:rsidR="004E0B7B">
        <w:rPr>
          <w:rFonts w:ascii="標楷體" w:eastAsia="標楷體" w:hAnsi="標楷體" w:hint="eastAsia"/>
          <w:color w:val="FF0000"/>
          <w:spacing w:val="-4"/>
          <w:kern w:val="0"/>
          <w:sz w:val="22"/>
          <w:highlight w:val="yellow"/>
        </w:rPr>
        <w:t>、</w:t>
      </w:r>
      <w:r w:rsidR="004E0B7B">
        <w:rPr>
          <w:rFonts w:ascii="標楷體" w:eastAsia="標楷體" w:hAnsi="標楷體" w:hint="eastAsia"/>
          <w:bCs/>
          <w:color w:val="FF0000"/>
          <w:kern w:val="0"/>
          <w:sz w:val="22"/>
          <w:highlight w:val="yellow"/>
        </w:rPr>
        <w:t>「</w:t>
      </w:r>
      <w:r w:rsidRPr="00212D57">
        <w:rPr>
          <w:rFonts w:ascii="標楷體" w:eastAsia="標楷體" w:hAnsi="標楷體"/>
          <w:sz w:val="22"/>
          <w:szCs w:val="22"/>
        </w:rPr>
        <w:t>有為</w:t>
      </w:r>
      <w:r w:rsidRPr="00212D57">
        <w:rPr>
          <w:rFonts w:ascii="標楷體" w:eastAsia="標楷體" w:hAnsi="標楷體" w:hint="eastAsia"/>
          <w:sz w:val="22"/>
          <w:szCs w:val="22"/>
        </w:rPr>
        <w:t>、</w:t>
      </w:r>
      <w:r w:rsidRPr="00212D57">
        <w:rPr>
          <w:rFonts w:ascii="標楷體" w:eastAsia="標楷體" w:hAnsi="標楷體"/>
          <w:sz w:val="22"/>
          <w:szCs w:val="22"/>
        </w:rPr>
        <w:t>無為</w:t>
      </w:r>
      <w:r w:rsidR="004E0B7B">
        <w:rPr>
          <w:rFonts w:ascii="標楷體" w:eastAsia="標楷體" w:hAnsi="標楷體" w:hint="eastAsia"/>
          <w:bCs/>
          <w:color w:val="FF0000"/>
          <w:kern w:val="0"/>
          <w:sz w:val="22"/>
          <w:highlight w:val="yellow"/>
        </w:rPr>
        <w:t>」</w:t>
      </w:r>
      <w:r w:rsidR="004E0B7B">
        <w:rPr>
          <w:rFonts w:ascii="標楷體" w:eastAsia="標楷體" w:hAnsi="標楷體" w:hint="eastAsia"/>
          <w:color w:val="FF0000"/>
          <w:spacing w:val="-4"/>
          <w:kern w:val="0"/>
          <w:sz w:val="22"/>
          <w:highlight w:val="yellow"/>
        </w:rPr>
        <w:t>、</w:t>
      </w:r>
      <w:r w:rsidR="004E0B7B">
        <w:rPr>
          <w:rFonts w:ascii="標楷體" w:eastAsia="標楷體" w:hAnsi="標楷體" w:hint="eastAsia"/>
          <w:bCs/>
          <w:color w:val="FF0000"/>
          <w:kern w:val="0"/>
          <w:sz w:val="22"/>
          <w:highlight w:val="yellow"/>
        </w:rPr>
        <w:t>「</w:t>
      </w:r>
      <w:r w:rsidRPr="00212D57">
        <w:rPr>
          <w:rFonts w:ascii="標楷體" w:eastAsia="標楷體" w:hAnsi="標楷體"/>
          <w:sz w:val="22"/>
          <w:szCs w:val="22"/>
        </w:rPr>
        <w:t>有漏</w:t>
      </w:r>
      <w:r w:rsidRPr="00212D57">
        <w:rPr>
          <w:rFonts w:ascii="標楷體" w:eastAsia="標楷體" w:hAnsi="標楷體" w:hint="eastAsia"/>
          <w:sz w:val="22"/>
          <w:szCs w:val="22"/>
        </w:rPr>
        <w:t>、</w:t>
      </w:r>
      <w:r w:rsidRPr="00212D57">
        <w:rPr>
          <w:rFonts w:ascii="標楷體" w:eastAsia="標楷體" w:hAnsi="標楷體"/>
          <w:sz w:val="22"/>
          <w:szCs w:val="22"/>
        </w:rPr>
        <w:t>無漏</w:t>
      </w:r>
      <w:r w:rsidR="004E0B7B">
        <w:rPr>
          <w:rFonts w:ascii="標楷體" w:eastAsia="標楷體" w:hAnsi="標楷體" w:hint="eastAsia"/>
          <w:bCs/>
          <w:color w:val="FF0000"/>
          <w:kern w:val="0"/>
          <w:sz w:val="22"/>
          <w:highlight w:val="yellow"/>
        </w:rPr>
        <w:t>」</w:t>
      </w:r>
      <w:r w:rsidR="004E0B7B">
        <w:rPr>
          <w:rFonts w:ascii="標楷體" w:eastAsia="標楷體" w:hAnsi="標楷體" w:hint="eastAsia"/>
          <w:color w:val="FF0000"/>
          <w:spacing w:val="-4"/>
          <w:kern w:val="0"/>
          <w:sz w:val="22"/>
          <w:highlight w:val="yellow"/>
        </w:rPr>
        <w:t>、</w:t>
      </w:r>
      <w:r w:rsidR="004E0B7B">
        <w:rPr>
          <w:rFonts w:ascii="標楷體" w:eastAsia="標楷體" w:hAnsi="標楷體" w:hint="eastAsia"/>
          <w:bCs/>
          <w:color w:val="FF0000"/>
          <w:kern w:val="0"/>
          <w:sz w:val="22"/>
          <w:highlight w:val="yellow"/>
        </w:rPr>
        <w:t>「</w:t>
      </w:r>
      <w:r w:rsidRPr="00212D57">
        <w:rPr>
          <w:rFonts w:ascii="標楷體" w:eastAsia="標楷體" w:hAnsi="標楷體"/>
          <w:sz w:val="22"/>
          <w:szCs w:val="22"/>
        </w:rPr>
        <w:t>世間</w:t>
      </w:r>
      <w:r w:rsidRPr="00212D57">
        <w:rPr>
          <w:rFonts w:ascii="標楷體" w:eastAsia="標楷體" w:hAnsi="標楷體" w:hint="eastAsia"/>
          <w:sz w:val="22"/>
          <w:szCs w:val="22"/>
        </w:rPr>
        <w:t>、</w:t>
      </w:r>
      <w:r w:rsidRPr="00212D57">
        <w:rPr>
          <w:rFonts w:ascii="標楷體" w:eastAsia="標楷體" w:hAnsi="標楷體"/>
          <w:sz w:val="22"/>
          <w:szCs w:val="22"/>
        </w:rPr>
        <w:t>出世間</w:t>
      </w:r>
      <w:r w:rsidR="004E0B7B">
        <w:rPr>
          <w:rFonts w:ascii="標楷體" w:eastAsia="標楷體" w:hAnsi="標楷體" w:hint="eastAsia"/>
          <w:bCs/>
          <w:color w:val="FF0000"/>
          <w:kern w:val="0"/>
          <w:sz w:val="22"/>
          <w:highlight w:val="yellow"/>
        </w:rPr>
        <w:t>」</w:t>
      </w:r>
      <w:r w:rsidRPr="00212D57">
        <w:rPr>
          <w:rFonts w:ascii="標楷體" w:eastAsia="標楷體" w:hAnsi="標楷體"/>
          <w:sz w:val="22"/>
          <w:szCs w:val="22"/>
        </w:rPr>
        <w:t>等諸二法</w:t>
      </w:r>
      <w:r w:rsidR="004E0B7B">
        <w:rPr>
          <w:rFonts w:ascii="標楷體" w:eastAsia="標楷體" w:hAnsi="標楷體" w:hint="eastAsia"/>
          <w:color w:val="FF0000"/>
          <w:kern w:val="0"/>
          <w:sz w:val="22"/>
          <w:highlight w:val="yellow"/>
        </w:rPr>
        <w:t>，</w:t>
      </w:r>
      <w:r w:rsidRPr="00212D57">
        <w:rPr>
          <w:rFonts w:ascii="標楷體" w:eastAsia="標楷體" w:hAnsi="標楷體"/>
          <w:sz w:val="22"/>
          <w:szCs w:val="22"/>
        </w:rPr>
        <w:t>亦如是。</w:t>
      </w:r>
    </w:p>
    <w:p w:rsidR="00B33BB9" w:rsidRPr="00212D57" w:rsidRDefault="00B33BB9" w:rsidP="00B33BB9">
      <w:pPr>
        <w:pStyle w:val="ad"/>
        <w:snapToGrid w:val="0"/>
        <w:spacing w:after="0"/>
        <w:ind w:leftChars="75" w:left="180"/>
        <w:jc w:val="both"/>
        <w:rPr>
          <w:rFonts w:ascii="標楷體" w:eastAsia="標楷體" w:hAnsi="標楷體"/>
          <w:sz w:val="22"/>
          <w:szCs w:val="22"/>
        </w:rPr>
      </w:pPr>
      <w:r w:rsidRPr="00212D57">
        <w:rPr>
          <w:rFonts w:ascii="標楷體" w:eastAsia="標楷體" w:hAnsi="標楷體" w:hint="eastAsia"/>
          <w:sz w:val="22"/>
          <w:szCs w:val="22"/>
        </w:rPr>
        <w:t>復次，無明是一邊，無明盡是一邊；乃至老死是一邊，老死盡是一邊；諸法有是一邊，諸法無是一邊</w:t>
      </w:r>
      <w:r w:rsidR="004E0B7B">
        <w:rPr>
          <w:rFonts w:ascii="標楷體" w:eastAsia="標楷體" w:hAnsi="標楷體" w:hint="eastAsia"/>
          <w:color w:val="FF0000"/>
          <w:kern w:val="0"/>
          <w:sz w:val="22"/>
          <w:highlight w:val="yellow"/>
        </w:rPr>
        <w:t>──</w:t>
      </w:r>
      <w:r w:rsidRPr="00212D57">
        <w:rPr>
          <w:rFonts w:ascii="標楷體" w:eastAsia="標楷體" w:hAnsi="標楷體" w:hint="eastAsia"/>
          <w:sz w:val="22"/>
          <w:szCs w:val="22"/>
        </w:rPr>
        <w:t>離是二邊</w:t>
      </w:r>
      <w:r w:rsidR="004E0B7B">
        <w:rPr>
          <w:rFonts w:ascii="標楷體" w:eastAsia="標楷體" w:hAnsi="標楷體" w:hint="eastAsia"/>
          <w:color w:val="FF0000"/>
          <w:kern w:val="0"/>
          <w:sz w:val="22"/>
          <w:highlight w:val="yellow"/>
        </w:rPr>
        <w:t>，</w:t>
      </w:r>
      <w:r w:rsidRPr="00212D57">
        <w:rPr>
          <w:rFonts w:ascii="標楷體" w:eastAsia="標楷體" w:hAnsi="標楷體" w:hint="eastAsia"/>
          <w:sz w:val="22"/>
          <w:szCs w:val="22"/>
        </w:rPr>
        <w:t>行中道，是為</w:t>
      </w:r>
      <w:r w:rsidR="004E0B7B">
        <w:rPr>
          <w:rFonts w:ascii="標楷體" w:eastAsia="標楷體" w:hAnsi="標楷體" w:hint="eastAsia"/>
          <w:bCs/>
          <w:color w:val="FF0000"/>
          <w:kern w:val="0"/>
          <w:sz w:val="22"/>
          <w:highlight w:val="yellow"/>
        </w:rPr>
        <w:t>「</w:t>
      </w:r>
      <w:r w:rsidRPr="00212D57">
        <w:rPr>
          <w:rFonts w:ascii="標楷體" w:eastAsia="標楷體" w:hAnsi="標楷體" w:hint="eastAsia"/>
          <w:sz w:val="22"/>
          <w:szCs w:val="22"/>
        </w:rPr>
        <w:t>般若波羅蜜</w:t>
      </w:r>
      <w:r w:rsidR="004E0B7B">
        <w:rPr>
          <w:rFonts w:ascii="標楷體" w:eastAsia="標楷體" w:hAnsi="標楷體" w:hint="eastAsia"/>
          <w:bCs/>
          <w:color w:val="FF0000"/>
          <w:kern w:val="0"/>
          <w:sz w:val="22"/>
          <w:highlight w:val="yellow"/>
        </w:rPr>
        <w:t>」</w:t>
      </w:r>
      <w:r w:rsidRPr="00212D57">
        <w:rPr>
          <w:rFonts w:ascii="標楷體" w:eastAsia="標楷體" w:hAnsi="標楷體" w:hint="eastAsia"/>
          <w:sz w:val="22"/>
          <w:szCs w:val="22"/>
        </w:rPr>
        <w:t>。</w:t>
      </w:r>
    </w:p>
    <w:p w:rsidR="00B33BB9" w:rsidRPr="00212D57" w:rsidRDefault="00B33BB9" w:rsidP="00B33BB9">
      <w:pPr>
        <w:pStyle w:val="ad"/>
        <w:snapToGrid w:val="0"/>
        <w:spacing w:after="0"/>
        <w:ind w:leftChars="75" w:left="180"/>
        <w:jc w:val="both"/>
        <w:rPr>
          <w:rFonts w:ascii="標楷體" w:eastAsia="標楷體" w:hAnsi="標楷體"/>
          <w:b/>
          <w:sz w:val="22"/>
          <w:szCs w:val="22"/>
        </w:rPr>
      </w:pPr>
      <w:r w:rsidRPr="00212D57">
        <w:rPr>
          <w:rFonts w:ascii="標楷體" w:eastAsia="標楷體" w:hAnsi="標楷體" w:hint="eastAsia"/>
          <w:b/>
          <w:sz w:val="22"/>
          <w:szCs w:val="22"/>
        </w:rPr>
        <w:t>菩薩是一邊，六波羅蜜是一邊；佛是一邊，菩提是一</w:t>
      </w:r>
      <w:r w:rsidRPr="004E0B7B">
        <w:rPr>
          <w:rFonts w:ascii="標楷體" w:eastAsia="標楷體" w:hAnsi="標楷體" w:hint="eastAsia"/>
          <w:b/>
          <w:sz w:val="22"/>
          <w:szCs w:val="22"/>
        </w:rPr>
        <w:t>邊</w:t>
      </w:r>
      <w:r w:rsidR="004E0B7B" w:rsidRPr="004E0B7B">
        <w:rPr>
          <w:rFonts w:ascii="標楷體" w:eastAsia="標楷體" w:hAnsi="標楷體" w:hint="eastAsia"/>
          <w:b/>
          <w:color w:val="FF0000"/>
          <w:kern w:val="0"/>
          <w:sz w:val="22"/>
          <w:highlight w:val="yellow"/>
        </w:rPr>
        <w:t>──</w:t>
      </w:r>
      <w:r w:rsidRPr="004E0B7B">
        <w:rPr>
          <w:rFonts w:ascii="標楷體" w:eastAsia="標楷體" w:hAnsi="標楷體" w:hint="eastAsia"/>
          <w:b/>
          <w:sz w:val="22"/>
          <w:szCs w:val="22"/>
        </w:rPr>
        <w:t>離是二邊</w:t>
      </w:r>
      <w:r w:rsidR="004E0B7B" w:rsidRPr="004E0B7B">
        <w:rPr>
          <w:rFonts w:ascii="標楷體" w:eastAsia="標楷體" w:hAnsi="標楷體" w:hint="eastAsia"/>
          <w:b/>
          <w:color w:val="FF0000"/>
          <w:kern w:val="0"/>
          <w:sz w:val="22"/>
          <w:highlight w:val="yellow"/>
        </w:rPr>
        <w:t>，</w:t>
      </w:r>
      <w:r w:rsidRPr="00212D57">
        <w:rPr>
          <w:rFonts w:ascii="標楷體" w:eastAsia="標楷體" w:hAnsi="標楷體" w:hint="eastAsia"/>
          <w:b/>
          <w:sz w:val="22"/>
          <w:szCs w:val="22"/>
        </w:rPr>
        <w:t>行中道，是為</w:t>
      </w:r>
      <w:r w:rsidR="004E0B7B">
        <w:rPr>
          <w:rFonts w:ascii="標楷體" w:eastAsia="標楷體" w:hAnsi="標楷體" w:hint="eastAsia"/>
          <w:bCs/>
          <w:color w:val="FF0000"/>
          <w:kern w:val="0"/>
          <w:sz w:val="22"/>
          <w:highlight w:val="yellow"/>
        </w:rPr>
        <w:t>「</w:t>
      </w:r>
      <w:r w:rsidRPr="00212D57">
        <w:rPr>
          <w:rFonts w:ascii="標楷體" w:eastAsia="標楷體" w:hAnsi="標楷體" w:hint="eastAsia"/>
          <w:b/>
          <w:sz w:val="22"/>
          <w:szCs w:val="22"/>
        </w:rPr>
        <w:t>般若波羅蜜</w:t>
      </w:r>
      <w:r w:rsidR="004E0B7B">
        <w:rPr>
          <w:rFonts w:ascii="標楷體" w:eastAsia="標楷體" w:hAnsi="標楷體" w:hint="eastAsia"/>
          <w:bCs/>
          <w:color w:val="FF0000"/>
          <w:kern w:val="0"/>
          <w:sz w:val="22"/>
          <w:highlight w:val="yellow"/>
        </w:rPr>
        <w:t>」</w:t>
      </w:r>
      <w:r w:rsidRPr="00212D57">
        <w:rPr>
          <w:rFonts w:ascii="標楷體" w:eastAsia="標楷體" w:hAnsi="標楷體" w:hint="eastAsia"/>
          <w:b/>
          <w:sz w:val="22"/>
          <w:szCs w:val="22"/>
        </w:rPr>
        <w:t>。</w:t>
      </w:r>
    </w:p>
    <w:p w:rsidR="00B33BB9" w:rsidRPr="00212D57" w:rsidRDefault="00B33BB9" w:rsidP="00B33BB9">
      <w:pPr>
        <w:pStyle w:val="ad"/>
        <w:snapToGrid w:val="0"/>
        <w:spacing w:after="0"/>
        <w:ind w:leftChars="75" w:left="180"/>
        <w:jc w:val="both"/>
        <w:rPr>
          <w:rFonts w:ascii="標楷體" w:eastAsia="標楷體" w:hAnsi="標楷體"/>
          <w:sz w:val="22"/>
          <w:szCs w:val="22"/>
        </w:rPr>
      </w:pPr>
      <w:r w:rsidRPr="00212D57">
        <w:rPr>
          <w:rFonts w:ascii="標楷體" w:eastAsia="標楷體" w:hAnsi="標楷體" w:hint="eastAsia"/>
          <w:sz w:val="22"/>
          <w:szCs w:val="22"/>
        </w:rPr>
        <w:t>略說</w:t>
      </w:r>
      <w:r w:rsidR="004E0B7B">
        <w:rPr>
          <w:rFonts w:ascii="標楷體" w:eastAsia="標楷體" w:hAnsi="標楷體" w:hint="eastAsia"/>
          <w:color w:val="FF0000"/>
          <w:spacing w:val="-4"/>
          <w:kern w:val="0"/>
          <w:sz w:val="22"/>
          <w:highlight w:val="yellow"/>
        </w:rPr>
        <w:t>：</w:t>
      </w:r>
      <w:r w:rsidRPr="00212D57">
        <w:rPr>
          <w:rFonts w:ascii="標楷體" w:eastAsia="標楷體" w:hAnsi="標楷體" w:hint="eastAsia"/>
          <w:sz w:val="22"/>
          <w:szCs w:val="22"/>
        </w:rPr>
        <w:t>內六情是一邊，外六塵是一邊</w:t>
      </w:r>
      <w:r w:rsidR="004E0B7B">
        <w:rPr>
          <w:rFonts w:ascii="標楷體" w:eastAsia="標楷體" w:hAnsi="標楷體" w:hint="eastAsia"/>
          <w:color w:val="FF0000"/>
          <w:kern w:val="0"/>
          <w:sz w:val="22"/>
          <w:highlight w:val="yellow"/>
        </w:rPr>
        <w:t>──</w:t>
      </w:r>
      <w:r w:rsidRPr="00212D57">
        <w:rPr>
          <w:rFonts w:ascii="標楷體" w:eastAsia="標楷體" w:hAnsi="標楷體" w:hint="eastAsia"/>
          <w:sz w:val="22"/>
          <w:szCs w:val="22"/>
        </w:rPr>
        <w:t>離是二邊</w:t>
      </w:r>
      <w:r w:rsidR="004E0B7B">
        <w:rPr>
          <w:rFonts w:ascii="標楷體" w:eastAsia="標楷體" w:hAnsi="標楷體" w:hint="eastAsia"/>
          <w:color w:val="FF0000"/>
          <w:kern w:val="0"/>
          <w:sz w:val="22"/>
          <w:highlight w:val="yellow"/>
        </w:rPr>
        <w:t>，</w:t>
      </w:r>
      <w:r w:rsidRPr="00212D57">
        <w:rPr>
          <w:rFonts w:ascii="標楷體" w:eastAsia="標楷體" w:hAnsi="標楷體" w:hint="eastAsia"/>
          <w:sz w:val="22"/>
          <w:szCs w:val="22"/>
        </w:rPr>
        <w:t>行中道，是名</w:t>
      </w:r>
      <w:r w:rsidR="004E0B7B">
        <w:rPr>
          <w:rFonts w:ascii="標楷體" w:eastAsia="標楷體" w:hAnsi="標楷體" w:hint="eastAsia"/>
          <w:bCs/>
          <w:color w:val="FF0000"/>
          <w:kern w:val="0"/>
          <w:sz w:val="22"/>
          <w:highlight w:val="yellow"/>
        </w:rPr>
        <w:t>「</w:t>
      </w:r>
      <w:r w:rsidRPr="00212D57">
        <w:rPr>
          <w:rFonts w:ascii="標楷體" w:eastAsia="標楷體" w:hAnsi="標楷體" w:hint="eastAsia"/>
          <w:sz w:val="22"/>
          <w:szCs w:val="22"/>
        </w:rPr>
        <w:t>般若波羅蜜</w:t>
      </w:r>
      <w:r w:rsidR="004E0B7B">
        <w:rPr>
          <w:rFonts w:ascii="標楷體" w:eastAsia="標楷體" w:hAnsi="標楷體" w:hint="eastAsia"/>
          <w:bCs/>
          <w:color w:val="FF0000"/>
          <w:kern w:val="0"/>
          <w:sz w:val="22"/>
          <w:highlight w:val="yellow"/>
        </w:rPr>
        <w:t>」</w:t>
      </w:r>
      <w:r w:rsidRPr="00212D57">
        <w:rPr>
          <w:rFonts w:ascii="標楷體" w:eastAsia="標楷體" w:hAnsi="標楷體" w:hint="eastAsia"/>
          <w:sz w:val="22"/>
          <w:szCs w:val="22"/>
        </w:rPr>
        <w:t>。</w:t>
      </w:r>
    </w:p>
    <w:p w:rsidR="00B33BB9" w:rsidRPr="00212D57" w:rsidRDefault="00B33BB9" w:rsidP="00B33BB9">
      <w:pPr>
        <w:pStyle w:val="a5"/>
        <w:ind w:leftChars="75" w:left="180"/>
        <w:jc w:val="both"/>
        <w:rPr>
          <w:b/>
          <w:szCs w:val="22"/>
        </w:rPr>
      </w:pPr>
      <w:r w:rsidRPr="00212D57">
        <w:rPr>
          <w:rFonts w:ascii="標楷體" w:eastAsia="標楷體" w:hAnsi="標楷體" w:hint="eastAsia"/>
          <w:b/>
          <w:szCs w:val="22"/>
        </w:rPr>
        <w:t>此般若波羅蜜是一邊，此非般若波羅蜜是一邊</w:t>
      </w:r>
      <w:r w:rsidR="004E0B7B" w:rsidRPr="004E0B7B">
        <w:rPr>
          <w:rFonts w:ascii="標楷體" w:eastAsia="標楷體" w:hAnsi="標楷體" w:hint="eastAsia"/>
          <w:b/>
          <w:color w:val="FF0000"/>
          <w:kern w:val="0"/>
          <w:highlight w:val="yellow"/>
        </w:rPr>
        <w:t>──</w:t>
      </w:r>
      <w:r w:rsidRPr="004E0B7B">
        <w:rPr>
          <w:rFonts w:ascii="標楷體" w:eastAsia="標楷體" w:hAnsi="標楷體" w:hint="eastAsia"/>
          <w:b/>
          <w:szCs w:val="22"/>
        </w:rPr>
        <w:t>離是二邊</w:t>
      </w:r>
      <w:r w:rsidR="004E0B7B" w:rsidRPr="004E0B7B">
        <w:rPr>
          <w:rFonts w:ascii="標楷體" w:eastAsia="標楷體" w:hAnsi="標楷體" w:hint="eastAsia"/>
          <w:b/>
          <w:color w:val="FF0000"/>
          <w:kern w:val="0"/>
          <w:highlight w:val="yellow"/>
        </w:rPr>
        <w:t>，</w:t>
      </w:r>
      <w:r w:rsidRPr="00212D57">
        <w:rPr>
          <w:rFonts w:ascii="標楷體" w:eastAsia="標楷體" w:hAnsi="標楷體" w:hint="eastAsia"/>
          <w:b/>
          <w:szCs w:val="22"/>
        </w:rPr>
        <w:t>行中道，是名般</w:t>
      </w:r>
      <w:r w:rsidR="004E0B7B">
        <w:rPr>
          <w:rFonts w:ascii="標楷體" w:eastAsia="標楷體" w:hAnsi="標楷體" w:hint="eastAsia"/>
          <w:bCs/>
          <w:color w:val="FF0000"/>
          <w:kern w:val="0"/>
          <w:highlight w:val="yellow"/>
        </w:rPr>
        <w:t>「</w:t>
      </w:r>
      <w:r w:rsidR="004E0B7B" w:rsidRPr="00212D57">
        <w:rPr>
          <w:rFonts w:ascii="標楷體" w:eastAsia="標楷體" w:hAnsi="標楷體" w:hint="eastAsia"/>
          <w:b/>
          <w:szCs w:val="22"/>
        </w:rPr>
        <w:t>般若波羅蜜</w:t>
      </w:r>
      <w:r w:rsidR="004E0B7B">
        <w:rPr>
          <w:rFonts w:ascii="標楷體" w:eastAsia="標楷體" w:hAnsi="標楷體" w:hint="eastAsia"/>
          <w:bCs/>
          <w:color w:val="FF0000"/>
          <w:kern w:val="0"/>
          <w:highlight w:val="yellow"/>
        </w:rPr>
        <w:t>」</w:t>
      </w:r>
      <w:r w:rsidRPr="00212D57">
        <w:rPr>
          <w:rFonts w:ascii="標楷體" w:eastAsia="標楷體" w:hAnsi="標楷體" w:hint="eastAsia"/>
          <w:b/>
          <w:szCs w:val="22"/>
        </w:rPr>
        <w:t>。</w:t>
      </w:r>
    </w:p>
  </w:footnote>
  <w:footnote w:id="93">
    <w:p w:rsidR="00157EF6" w:rsidRPr="00212D57" w:rsidRDefault="00157EF6" w:rsidP="00CB198A">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rFonts w:hint="eastAsia"/>
          <w:szCs w:val="22"/>
        </w:rPr>
        <w:t>印順法師，</w:t>
      </w:r>
      <w:r w:rsidRPr="00212D57">
        <w:rPr>
          <w:szCs w:val="22"/>
        </w:rPr>
        <w:t>《空之探究》</w:t>
      </w:r>
      <w:r w:rsidRPr="00212D57">
        <w:rPr>
          <w:rFonts w:hint="eastAsia"/>
          <w:szCs w:val="22"/>
        </w:rPr>
        <w:t>，</w:t>
      </w:r>
      <w:r w:rsidRPr="00212D57">
        <w:rPr>
          <w:szCs w:val="22"/>
        </w:rPr>
        <w:t>第</w:t>
      </w:r>
      <w:r w:rsidRPr="00761EF3">
        <w:rPr>
          <w:rFonts w:hint="eastAsia"/>
          <w:szCs w:val="22"/>
        </w:rPr>
        <w:t>4</w:t>
      </w:r>
      <w:r w:rsidRPr="00212D57">
        <w:rPr>
          <w:szCs w:val="22"/>
        </w:rPr>
        <w:t>章</w:t>
      </w:r>
      <w:r w:rsidRPr="00212D57">
        <w:rPr>
          <w:rFonts w:ascii="新細明體" w:hAnsi="新細明體" w:cs="新細明體" w:hint="eastAsia"/>
          <w:szCs w:val="22"/>
        </w:rPr>
        <w:t>，</w:t>
      </w:r>
      <w:r w:rsidRPr="00212D57">
        <w:rPr>
          <w:szCs w:val="22"/>
        </w:rPr>
        <w:t>第</w:t>
      </w:r>
      <w:r w:rsidRPr="00761EF3">
        <w:rPr>
          <w:rFonts w:hint="eastAsia"/>
          <w:szCs w:val="22"/>
        </w:rPr>
        <w:t>7</w:t>
      </w:r>
      <w:r w:rsidRPr="00212D57">
        <w:rPr>
          <w:szCs w:val="22"/>
        </w:rPr>
        <w:t>節〈中道</w:t>
      </w:r>
      <w:r w:rsidRPr="00212D57">
        <w:rPr>
          <w:szCs w:val="22"/>
        </w:rPr>
        <w:t>——</w:t>
      </w:r>
      <w:r w:rsidRPr="00212D57">
        <w:rPr>
          <w:szCs w:val="22"/>
        </w:rPr>
        <w:t>中論與中觀〉，</w:t>
      </w:r>
      <w:r w:rsidRPr="00761EF3">
        <w:rPr>
          <w:szCs w:val="22"/>
        </w:rPr>
        <w:t>p</w:t>
      </w:r>
      <w:r w:rsidRPr="00212D57">
        <w:rPr>
          <w:szCs w:val="22"/>
        </w:rPr>
        <w:t>.</w:t>
      </w:r>
      <w:r w:rsidRPr="00761EF3">
        <w:rPr>
          <w:szCs w:val="22"/>
        </w:rPr>
        <w:t>259</w:t>
      </w:r>
      <w:r w:rsidRPr="00212D57">
        <w:rPr>
          <w:szCs w:val="22"/>
        </w:rPr>
        <w:t>：</w:t>
      </w:r>
    </w:p>
    <w:p w:rsidR="00157EF6" w:rsidRPr="00212D57" w:rsidRDefault="00157EF6" w:rsidP="008E68AA">
      <w:pPr>
        <w:pStyle w:val="a5"/>
        <w:ind w:leftChars="75" w:left="180"/>
        <w:jc w:val="both"/>
        <w:rPr>
          <w:rFonts w:ascii="標楷體" w:eastAsia="標楷體" w:hAnsi="標楷體"/>
          <w:szCs w:val="22"/>
        </w:rPr>
      </w:pPr>
      <w:r w:rsidRPr="00212D57">
        <w:rPr>
          <w:rFonts w:ascii="標楷體" w:eastAsia="標楷體" w:hAnsi="標楷體"/>
          <w:szCs w:val="22"/>
        </w:rPr>
        <w:t>引人轉迷向覺，依世俗諦說法：緣起無自性故空，空故依緣起有──中道說，能善立一切法，遠離一切見，可說是非常善巧的教說！不過世俗的名言是「二」，是沒有決定性的；名義內在的相對性，在適應眾生，隨時隨地而流行中，不免會引起異議，那也是世間常法。依第一義諦，空，無生等，只是一個符號，並不等於第一義。如空以離諸見為用，著空也就不是中了，所以說：「空亦復空」，「空亦不可得」。而且，在緣起即空的觀行中，要隨時善巧的適得其中。</w:t>
      </w:r>
    </w:p>
  </w:footnote>
  <w:footnote w:id="94">
    <w:p w:rsidR="00157EF6" w:rsidRPr="00212D57" w:rsidRDefault="00157EF6" w:rsidP="00CB198A">
      <w:pPr>
        <w:pStyle w:val="a5"/>
        <w:ind w:left="187" w:hangingChars="85" w:hanging="187"/>
        <w:jc w:val="both"/>
        <w:rPr>
          <w:szCs w:val="22"/>
        </w:rPr>
      </w:pPr>
      <w:r w:rsidRPr="00212D57">
        <w:rPr>
          <w:rStyle w:val="a6"/>
          <w:szCs w:val="22"/>
        </w:rPr>
        <w:footnoteRef/>
      </w:r>
      <w:r w:rsidRPr="00212D57">
        <w:rPr>
          <w:rStyle w:val="byline"/>
          <w:rFonts w:hint="eastAsia"/>
          <w:color w:val="auto"/>
          <w:sz w:val="22"/>
          <w:szCs w:val="22"/>
        </w:rPr>
        <w:t xml:space="preserve"> </w:t>
      </w:r>
      <w:r w:rsidRPr="00212D57">
        <w:rPr>
          <w:rFonts w:hint="eastAsia"/>
          <w:szCs w:val="22"/>
        </w:rPr>
        <w:t>參見</w:t>
      </w:r>
      <w:r w:rsidRPr="00212D57">
        <w:rPr>
          <w:szCs w:val="22"/>
        </w:rPr>
        <w:t>〔宋〕師會述，</w:t>
      </w:r>
      <w:r w:rsidRPr="00212D57">
        <w:rPr>
          <w:rFonts w:hint="eastAsia"/>
          <w:szCs w:val="22"/>
        </w:rPr>
        <w:t>《般若心經略疏連珠記》卷</w:t>
      </w:r>
      <w:r w:rsidR="00FC5651">
        <w:rPr>
          <w:rFonts w:hint="eastAsia"/>
          <w:color w:val="FF0000"/>
          <w:szCs w:val="22"/>
          <w:highlight w:val="yellow"/>
        </w:rPr>
        <w:t>上</w:t>
      </w:r>
      <w:r w:rsidRPr="00212D57">
        <w:rPr>
          <w:rFonts w:hint="eastAsia"/>
          <w:szCs w:val="22"/>
        </w:rPr>
        <w:t>（大正</w:t>
      </w:r>
      <w:r w:rsidRPr="00761EF3">
        <w:rPr>
          <w:szCs w:val="22"/>
        </w:rPr>
        <w:t>33</w:t>
      </w:r>
      <w:r w:rsidRPr="00212D57">
        <w:rPr>
          <w:szCs w:val="22"/>
        </w:rPr>
        <w:t>，</w:t>
      </w:r>
      <w:r w:rsidRPr="00761EF3">
        <w:rPr>
          <w:szCs w:val="22"/>
        </w:rPr>
        <w:t>556a19</w:t>
      </w:r>
      <w:r w:rsidRPr="00212D57">
        <w:rPr>
          <w:szCs w:val="22"/>
        </w:rPr>
        <w:t>-</w:t>
      </w:r>
      <w:r w:rsidRPr="00761EF3">
        <w:rPr>
          <w:szCs w:val="22"/>
        </w:rPr>
        <w:t>24</w:t>
      </w:r>
      <w:r w:rsidRPr="00212D57">
        <w:rPr>
          <w:szCs w:val="22"/>
        </w:rPr>
        <w:t>）</w:t>
      </w:r>
      <w:r w:rsidRPr="00212D57">
        <w:rPr>
          <w:rFonts w:hint="eastAsia"/>
          <w:szCs w:val="22"/>
        </w:rPr>
        <w:t>：</w:t>
      </w:r>
    </w:p>
    <w:p w:rsidR="00157EF6" w:rsidRDefault="00157EF6" w:rsidP="008E68AA">
      <w:pPr>
        <w:pStyle w:val="a5"/>
        <w:ind w:leftChars="75" w:left="180"/>
        <w:jc w:val="both"/>
        <w:rPr>
          <w:rFonts w:ascii="標楷體" w:eastAsia="標楷體" w:hAnsi="標楷體"/>
          <w:szCs w:val="22"/>
        </w:rPr>
      </w:pPr>
      <w:r w:rsidRPr="00212D57">
        <w:rPr>
          <w:rFonts w:ascii="標楷體" w:eastAsia="標楷體" w:hAnsi="標楷體" w:hint="eastAsia"/>
          <w:szCs w:val="22"/>
        </w:rPr>
        <w:t>然彼欲學者</w:t>
      </w:r>
      <w:r w:rsidR="004E0B7B">
        <w:rPr>
          <w:rFonts w:ascii="標楷體" w:eastAsia="標楷體" w:hAnsi="標楷體" w:hint="eastAsia"/>
          <w:color w:val="FF0000"/>
          <w:kern w:val="0"/>
          <w:highlight w:val="yellow"/>
        </w:rPr>
        <w:t>，</w:t>
      </w:r>
      <w:r w:rsidRPr="00212D57">
        <w:rPr>
          <w:rFonts w:ascii="標楷體" w:eastAsia="標楷體" w:hAnsi="標楷體" w:hint="eastAsia"/>
          <w:szCs w:val="22"/>
        </w:rPr>
        <w:t>捨詮而求旨也</w:t>
      </w:r>
      <w:r w:rsidR="00B33BB9">
        <w:rPr>
          <w:rFonts w:ascii="標楷體" w:eastAsia="標楷體" w:hAnsi="標楷體" w:hint="eastAsia"/>
          <w:color w:val="FF0000"/>
          <w:szCs w:val="22"/>
          <w:highlight w:val="yellow"/>
        </w:rPr>
        <w:t>。</w:t>
      </w:r>
      <w:r w:rsidRPr="00212D57">
        <w:rPr>
          <w:rFonts w:ascii="標楷體" w:eastAsia="標楷體" w:hAnsi="標楷體" w:hint="eastAsia"/>
          <w:szCs w:val="22"/>
        </w:rPr>
        <w:t>今之疏者，乃謂妙空真覺</w:t>
      </w:r>
      <w:r w:rsidR="00B33BB9" w:rsidRPr="00B33BB9">
        <w:rPr>
          <w:rFonts w:ascii="標楷體" w:eastAsia="標楷體" w:hAnsi="標楷體" w:hint="eastAsia"/>
          <w:color w:val="FF0000"/>
          <w:szCs w:val="22"/>
          <w:highlight w:val="yellow"/>
        </w:rPr>
        <w:t>，</w:t>
      </w:r>
      <w:r w:rsidRPr="00212D57">
        <w:rPr>
          <w:rFonts w:ascii="標楷體" w:eastAsia="標楷體" w:hAnsi="標楷體" w:hint="eastAsia"/>
          <w:b/>
          <w:szCs w:val="22"/>
        </w:rPr>
        <w:t>理圓言偏</w:t>
      </w:r>
      <w:r w:rsidR="00B33BB9" w:rsidRPr="00B33BB9">
        <w:rPr>
          <w:rFonts w:ascii="標楷體" w:eastAsia="標楷體" w:hAnsi="標楷體" w:hint="eastAsia"/>
          <w:b/>
          <w:color w:val="FF0000"/>
          <w:szCs w:val="22"/>
          <w:highlight w:val="yellow"/>
        </w:rPr>
        <w:t>，</w:t>
      </w:r>
      <w:r w:rsidRPr="00212D57">
        <w:rPr>
          <w:rFonts w:ascii="標楷體" w:eastAsia="標楷體" w:hAnsi="標楷體" w:hint="eastAsia"/>
          <w:szCs w:val="22"/>
        </w:rPr>
        <w:t>畢竟不可說相</w:t>
      </w:r>
      <w:r w:rsidR="00B33BB9" w:rsidRPr="00B33BB9">
        <w:rPr>
          <w:rFonts w:ascii="標楷體" w:eastAsia="標楷體" w:hAnsi="標楷體" w:hint="eastAsia"/>
          <w:color w:val="FF0000"/>
          <w:szCs w:val="22"/>
          <w:highlight w:val="yellow"/>
        </w:rPr>
        <w:t>，</w:t>
      </w:r>
      <w:r w:rsidRPr="00212D57">
        <w:rPr>
          <w:rFonts w:ascii="標楷體" w:eastAsia="標楷體" w:hAnsi="標楷體" w:hint="eastAsia"/>
          <w:szCs w:val="22"/>
        </w:rPr>
        <w:t>故疏主曰：</w:t>
      </w:r>
      <w:r w:rsidR="00FC5651">
        <w:rPr>
          <w:rFonts w:ascii="標楷體" w:eastAsia="標楷體" w:hAnsi="標楷體" w:hint="eastAsia"/>
          <w:bCs/>
          <w:color w:val="FF0000"/>
          <w:kern w:val="0"/>
          <w:highlight w:val="yellow"/>
        </w:rPr>
        <w:t>「</w:t>
      </w:r>
      <w:r w:rsidRPr="00212D57">
        <w:rPr>
          <w:rFonts w:ascii="標楷體" w:eastAsia="標楷體" w:hAnsi="標楷體" w:hint="eastAsia"/>
          <w:szCs w:val="22"/>
        </w:rPr>
        <w:t>渺渺玄猷</w:t>
      </w:r>
      <w:r w:rsidR="00B33BB9" w:rsidRPr="00B33BB9">
        <w:rPr>
          <w:rFonts w:ascii="標楷體" w:eastAsia="標楷體" w:hAnsi="標楷體" w:hint="eastAsia"/>
          <w:color w:val="FF0000"/>
          <w:szCs w:val="22"/>
          <w:highlight w:val="yellow"/>
        </w:rPr>
        <w:t>，</w:t>
      </w:r>
      <w:r w:rsidRPr="00212D57">
        <w:rPr>
          <w:rFonts w:ascii="標楷體" w:eastAsia="標楷體" w:hAnsi="標楷體" w:hint="eastAsia"/>
          <w:szCs w:val="22"/>
        </w:rPr>
        <w:t>名言罕尋其際</w:t>
      </w:r>
      <w:r w:rsidR="00B33BB9">
        <w:rPr>
          <w:rFonts w:ascii="標楷體" w:eastAsia="標楷體" w:hAnsi="標楷體" w:hint="eastAsia"/>
          <w:color w:val="FF0000"/>
          <w:szCs w:val="22"/>
          <w:highlight w:val="yellow"/>
        </w:rPr>
        <w:t>；</w:t>
      </w:r>
      <w:r w:rsidRPr="00212D57">
        <w:rPr>
          <w:rFonts w:ascii="標楷體" w:eastAsia="標楷體" w:hAnsi="標楷體" w:hint="eastAsia"/>
          <w:szCs w:val="22"/>
        </w:rPr>
        <w:t>茫茫素範</w:t>
      </w:r>
      <w:r w:rsidR="00B33BB9" w:rsidRPr="00B33BB9">
        <w:rPr>
          <w:rFonts w:ascii="標楷體" w:eastAsia="標楷體" w:hAnsi="標楷體" w:hint="eastAsia"/>
          <w:color w:val="FF0000"/>
          <w:szCs w:val="22"/>
          <w:highlight w:val="yellow"/>
        </w:rPr>
        <w:t>，</w:t>
      </w:r>
      <w:r w:rsidRPr="00212D57">
        <w:rPr>
          <w:rFonts w:ascii="標楷體" w:eastAsia="標楷體" w:hAnsi="標楷體" w:hint="eastAsia"/>
          <w:szCs w:val="22"/>
        </w:rPr>
        <w:t>相見靡究其源</w:t>
      </w:r>
      <w:r w:rsidR="00B33BB9">
        <w:rPr>
          <w:rFonts w:ascii="標楷體" w:eastAsia="標楷體" w:hAnsi="標楷體" w:hint="eastAsia"/>
          <w:color w:val="FF0000"/>
          <w:szCs w:val="22"/>
          <w:highlight w:val="yellow"/>
        </w:rPr>
        <w:t>。</w:t>
      </w:r>
      <w:r w:rsidR="00FC5651">
        <w:rPr>
          <w:rFonts w:ascii="標楷體" w:eastAsia="標楷體" w:hAnsi="標楷體" w:hint="eastAsia"/>
          <w:bCs/>
          <w:color w:val="FF0000"/>
          <w:kern w:val="0"/>
          <w:highlight w:val="yellow"/>
        </w:rPr>
        <w:t>」</w:t>
      </w:r>
      <w:r w:rsidR="00FC5651" w:rsidRPr="00FC5651">
        <w:rPr>
          <w:rFonts w:eastAsia="標楷體" w:hint="eastAsia"/>
          <w:bCs/>
          <w:color w:val="FF0000"/>
          <w:kern w:val="0"/>
          <w:shd w:val="pct15" w:color="auto" w:fill="FFFFFF"/>
        </w:rPr>
        <w:t>*</w:t>
      </w:r>
      <w:r w:rsidRPr="00212D57">
        <w:rPr>
          <w:rFonts w:ascii="標楷體" w:eastAsia="標楷體" w:hAnsi="標楷體" w:hint="eastAsia"/>
          <w:szCs w:val="22"/>
        </w:rPr>
        <w:t>是則即言忘言</w:t>
      </w:r>
      <w:r w:rsidR="00B33BB9" w:rsidRPr="00B33BB9">
        <w:rPr>
          <w:rFonts w:ascii="標楷體" w:eastAsia="標楷體" w:hAnsi="標楷體" w:hint="eastAsia"/>
          <w:color w:val="FF0000"/>
          <w:szCs w:val="22"/>
          <w:highlight w:val="yellow"/>
        </w:rPr>
        <w:t>、</w:t>
      </w:r>
      <w:r w:rsidRPr="00212D57">
        <w:rPr>
          <w:rFonts w:ascii="標楷體" w:eastAsia="標楷體" w:hAnsi="標楷體" w:hint="eastAsia"/>
          <w:szCs w:val="22"/>
        </w:rPr>
        <w:t>即相忘相，非謂</w:t>
      </w:r>
      <w:r w:rsidR="006E34F2">
        <w:rPr>
          <w:rFonts w:ascii="標楷體" w:eastAsia="標楷體" w:hAnsi="標楷體" w:hint="eastAsia"/>
          <w:bCs/>
          <w:color w:val="FF0000"/>
          <w:kern w:val="0"/>
          <w:highlight w:val="yellow"/>
        </w:rPr>
        <w:t>「</w:t>
      </w:r>
      <w:r w:rsidRPr="00212D57">
        <w:rPr>
          <w:rFonts w:ascii="標楷體" w:eastAsia="標楷體" w:hAnsi="標楷體" w:hint="eastAsia"/>
          <w:szCs w:val="22"/>
        </w:rPr>
        <w:t>滌除萬物，相塞視聽，寂寥虛豁，然後為真者也</w:t>
      </w:r>
      <w:r w:rsidR="006E34F2">
        <w:rPr>
          <w:rFonts w:ascii="標楷體" w:eastAsia="標楷體" w:hAnsi="標楷體" w:hint="eastAsia"/>
          <w:bCs/>
          <w:color w:val="FF0000"/>
          <w:kern w:val="0"/>
          <w:highlight w:val="yellow"/>
        </w:rPr>
        <w:t>」</w:t>
      </w:r>
      <w:r w:rsidRPr="00212D57">
        <w:rPr>
          <w:rFonts w:ascii="標楷體" w:eastAsia="標楷體" w:hAnsi="標楷體" w:hint="eastAsia"/>
          <w:szCs w:val="22"/>
        </w:rPr>
        <w:t>。</w:t>
      </w:r>
    </w:p>
    <w:p w:rsidR="00FC5651" w:rsidRPr="00212D57" w:rsidRDefault="00FC5651" w:rsidP="00FC5651">
      <w:pPr>
        <w:pStyle w:val="a5"/>
        <w:ind w:leftChars="75" w:left="180"/>
        <w:jc w:val="both"/>
        <w:rPr>
          <w:szCs w:val="22"/>
        </w:rPr>
      </w:pPr>
      <w:r w:rsidRPr="00FC5651">
        <w:rPr>
          <w:rFonts w:hint="eastAsia"/>
          <w:color w:val="FF0000"/>
          <w:szCs w:val="22"/>
          <w:shd w:val="pct15" w:color="auto" w:fill="FFFFFF"/>
        </w:rPr>
        <w:t>*</w:t>
      </w:r>
      <w:r w:rsidRPr="00FC5651">
        <w:rPr>
          <w:rFonts w:hint="eastAsia"/>
          <w:color w:val="FF0000"/>
          <w:szCs w:val="22"/>
          <w:highlight w:val="yellow"/>
        </w:rPr>
        <w:t>［唐］法藏述《華嚴經探玄記》卷</w:t>
      </w:r>
      <w:r w:rsidRPr="00FC5651">
        <w:rPr>
          <w:rFonts w:hint="eastAsia"/>
          <w:color w:val="FF0000"/>
          <w:szCs w:val="22"/>
          <w:highlight w:val="yellow"/>
        </w:rPr>
        <w:t>1</w:t>
      </w:r>
      <w:r w:rsidRPr="00FC5651">
        <w:rPr>
          <w:color w:val="FF0000"/>
          <w:szCs w:val="22"/>
          <w:highlight w:val="yellow"/>
        </w:rPr>
        <w:t>（大正</w:t>
      </w:r>
      <w:r w:rsidRPr="00FC5651">
        <w:rPr>
          <w:rFonts w:hint="eastAsia"/>
          <w:color w:val="FF0000"/>
          <w:szCs w:val="22"/>
          <w:highlight w:val="yellow"/>
        </w:rPr>
        <w:t>35</w:t>
      </w:r>
      <w:r w:rsidRPr="00FC5651">
        <w:rPr>
          <w:rFonts w:hint="eastAsia"/>
          <w:color w:val="FF0000"/>
          <w:szCs w:val="22"/>
          <w:highlight w:val="yellow"/>
        </w:rPr>
        <w:t>，</w:t>
      </w:r>
      <w:r w:rsidRPr="00FC5651">
        <w:rPr>
          <w:rFonts w:hint="eastAsia"/>
          <w:color w:val="FF0000"/>
          <w:szCs w:val="22"/>
          <w:highlight w:val="yellow"/>
        </w:rPr>
        <w:t>107a15-16</w:t>
      </w:r>
      <w:r w:rsidRPr="00FC5651">
        <w:rPr>
          <w:rFonts w:hint="eastAsia"/>
          <w:color w:val="FF0000"/>
          <w:szCs w:val="22"/>
          <w:highlight w:val="yellow"/>
        </w:rPr>
        <w:t>）。</w:t>
      </w:r>
    </w:p>
  </w:footnote>
  <w:footnote w:id="95">
    <w:p w:rsidR="00157EF6" w:rsidRPr="00212D57" w:rsidRDefault="00157EF6" w:rsidP="007A2FAB">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rFonts w:hint="eastAsia"/>
          <w:szCs w:val="22"/>
        </w:rPr>
        <w:t>《大智度論》卷</w:t>
      </w:r>
      <w:r w:rsidRPr="00761EF3">
        <w:rPr>
          <w:szCs w:val="22"/>
        </w:rPr>
        <w:t>80</w:t>
      </w:r>
      <w:r w:rsidR="00AC0462">
        <w:rPr>
          <w:rFonts w:hint="eastAsia"/>
          <w:color w:val="FF0000"/>
          <w:szCs w:val="22"/>
          <w:highlight w:val="yellow"/>
        </w:rPr>
        <w:t>釋</w:t>
      </w:r>
      <w:r w:rsidR="00AC0462" w:rsidRPr="00AC0462">
        <w:rPr>
          <w:rFonts w:hint="eastAsia"/>
          <w:color w:val="FF0000"/>
          <w:szCs w:val="22"/>
          <w:highlight w:val="yellow"/>
        </w:rPr>
        <w:t>〈</w:t>
      </w:r>
      <w:r w:rsidR="00AC0462" w:rsidRPr="00AC0462">
        <w:rPr>
          <w:rFonts w:hint="eastAsia"/>
          <w:color w:val="FF0000"/>
          <w:szCs w:val="22"/>
          <w:highlight w:val="yellow"/>
        </w:rPr>
        <w:t xml:space="preserve">67 </w:t>
      </w:r>
      <w:r w:rsidR="00AC0462" w:rsidRPr="00AC0462">
        <w:rPr>
          <w:rFonts w:hint="eastAsia"/>
          <w:color w:val="FF0000"/>
          <w:szCs w:val="22"/>
          <w:highlight w:val="yellow"/>
        </w:rPr>
        <w:t>無盡方便品〉</w:t>
      </w:r>
      <w:r w:rsidR="00434424" w:rsidRPr="00212D57">
        <w:rPr>
          <w:szCs w:val="22"/>
        </w:rPr>
        <w:t>（大正</w:t>
      </w:r>
      <w:r w:rsidR="00434424" w:rsidRPr="00761EF3">
        <w:rPr>
          <w:szCs w:val="22"/>
        </w:rPr>
        <w:t>25</w:t>
      </w:r>
      <w:r w:rsidR="00434424" w:rsidRPr="00212D57">
        <w:rPr>
          <w:szCs w:val="22"/>
        </w:rPr>
        <w:t>，</w:t>
      </w:r>
      <w:r w:rsidR="00434424" w:rsidRPr="00761EF3">
        <w:rPr>
          <w:szCs w:val="22"/>
        </w:rPr>
        <w:t>622a</w:t>
      </w:r>
      <w:r w:rsidR="003E00AE">
        <w:rPr>
          <w:rFonts w:hint="eastAsia"/>
          <w:color w:val="FF0000"/>
          <w:szCs w:val="22"/>
          <w:highlight w:val="yellow"/>
        </w:rPr>
        <w:t>9</w:t>
      </w:r>
      <w:r w:rsidR="00434424" w:rsidRPr="00212D57">
        <w:rPr>
          <w:szCs w:val="22"/>
        </w:rPr>
        <w:t>-</w:t>
      </w:r>
      <w:r w:rsidR="00434424" w:rsidRPr="00761EF3">
        <w:rPr>
          <w:szCs w:val="22"/>
        </w:rPr>
        <w:t>14</w:t>
      </w:r>
      <w:r w:rsidR="00434424" w:rsidRPr="00212D57">
        <w:rPr>
          <w:szCs w:val="22"/>
        </w:rPr>
        <w:t>）</w:t>
      </w:r>
      <w:r w:rsidRPr="00212D57">
        <w:rPr>
          <w:rFonts w:hint="eastAsia"/>
          <w:szCs w:val="22"/>
        </w:rPr>
        <w:t>：「</w:t>
      </w:r>
      <w:r w:rsidR="003E00AE" w:rsidRPr="003E00AE">
        <w:rPr>
          <w:rFonts w:ascii="標楷體" w:eastAsia="標楷體" w:hAnsi="標楷體" w:hint="eastAsia"/>
          <w:color w:val="FF0000"/>
          <w:szCs w:val="22"/>
          <w:highlight w:val="yellow"/>
        </w:rPr>
        <w:t>復次，</w:t>
      </w:r>
      <w:r w:rsidR="00AC0462">
        <w:rPr>
          <w:rFonts w:ascii="標楷體" w:eastAsia="標楷體" w:hAnsi="標楷體" w:hint="eastAsia"/>
          <w:color w:val="FF0000"/>
          <w:szCs w:val="22"/>
          <w:highlight w:val="yellow"/>
        </w:rPr>
        <w:t>『</w:t>
      </w:r>
      <w:r w:rsidR="003E00AE" w:rsidRPr="003E00AE">
        <w:rPr>
          <w:rFonts w:ascii="標楷體" w:eastAsia="標楷體" w:hAnsi="標楷體" w:hint="eastAsia"/>
          <w:color w:val="FF0000"/>
          <w:szCs w:val="22"/>
          <w:highlight w:val="yellow"/>
        </w:rPr>
        <w:t>應生般若</w:t>
      </w:r>
      <w:r w:rsidR="00AC0462">
        <w:rPr>
          <w:rFonts w:ascii="標楷體" w:eastAsia="標楷體" w:hAnsi="標楷體" w:hint="eastAsia"/>
          <w:color w:val="FF0000"/>
          <w:szCs w:val="22"/>
          <w:highlight w:val="yellow"/>
        </w:rPr>
        <w:t>』</w:t>
      </w:r>
      <w:r w:rsidR="003E00AE" w:rsidRPr="003E00AE">
        <w:rPr>
          <w:rFonts w:ascii="標楷體" w:eastAsia="標楷體" w:hAnsi="標楷體" w:hint="eastAsia"/>
          <w:color w:val="FF0000"/>
          <w:szCs w:val="22"/>
          <w:highlight w:val="yellow"/>
        </w:rPr>
        <w:t>者，無明、虛空不可盡故。</w:t>
      </w:r>
      <w:r w:rsidRPr="00212D57">
        <w:rPr>
          <w:rFonts w:eastAsia="標楷體"/>
          <w:b/>
          <w:szCs w:val="22"/>
        </w:rPr>
        <w:t>若人但觀畢竟空，多墮斷滅邊；若觀有，多墮常邊</w:t>
      </w:r>
      <w:r w:rsidR="00FC5651">
        <w:rPr>
          <w:rFonts w:eastAsia="標楷體" w:hint="eastAsia"/>
          <w:b/>
          <w:color w:val="FF0000"/>
          <w:szCs w:val="22"/>
          <w:highlight w:val="yellow"/>
        </w:rPr>
        <w:t>。</w:t>
      </w:r>
      <w:r w:rsidRPr="00212D57">
        <w:rPr>
          <w:rFonts w:eastAsia="標楷體"/>
          <w:b/>
          <w:szCs w:val="22"/>
        </w:rPr>
        <w:t>離是二邊故</w:t>
      </w:r>
      <w:r w:rsidR="00FC5651" w:rsidRPr="00FC5651">
        <w:rPr>
          <w:rFonts w:eastAsia="標楷體" w:hint="eastAsia"/>
          <w:b/>
          <w:color w:val="FF0000"/>
          <w:szCs w:val="22"/>
          <w:highlight w:val="yellow"/>
        </w:rPr>
        <w:t>，</w:t>
      </w:r>
      <w:r w:rsidRPr="00212D57">
        <w:rPr>
          <w:rFonts w:eastAsia="標楷體"/>
          <w:b/>
          <w:szCs w:val="22"/>
        </w:rPr>
        <w:t>說</w:t>
      </w:r>
      <w:r w:rsidR="00FC5651" w:rsidRPr="00FC5651">
        <w:rPr>
          <w:rFonts w:ascii="標楷體" w:eastAsia="標楷體" w:hAnsi="標楷體" w:hint="eastAsia"/>
          <w:b/>
          <w:bCs/>
          <w:color w:val="FF0000"/>
          <w:kern w:val="0"/>
          <w:highlight w:val="yellow"/>
        </w:rPr>
        <w:t>「</w:t>
      </w:r>
      <w:r w:rsidRPr="00212D57">
        <w:rPr>
          <w:rFonts w:eastAsia="標楷體"/>
          <w:b/>
          <w:szCs w:val="22"/>
        </w:rPr>
        <w:t>十二因緣空</w:t>
      </w:r>
      <w:r w:rsidR="00FC5651" w:rsidRPr="00FC5651">
        <w:rPr>
          <w:rFonts w:ascii="標楷體" w:eastAsia="標楷體" w:hAnsi="標楷體" w:hint="eastAsia"/>
          <w:b/>
          <w:bCs/>
          <w:color w:val="FF0000"/>
          <w:kern w:val="0"/>
          <w:highlight w:val="yellow"/>
        </w:rPr>
        <w:t>」</w:t>
      </w:r>
      <w:r w:rsidRPr="00212D57">
        <w:rPr>
          <w:rFonts w:eastAsia="標楷體"/>
          <w:b/>
          <w:szCs w:val="22"/>
        </w:rPr>
        <w:t>。</w:t>
      </w:r>
      <w:r w:rsidRPr="00212D57">
        <w:rPr>
          <w:rFonts w:eastAsia="標楷體"/>
          <w:szCs w:val="22"/>
        </w:rPr>
        <w:t>何以故？若法從因緣和合生，是法無有定性；若法無定性，即是畢竟空寂滅相</w:t>
      </w:r>
      <w:r w:rsidR="00FC5651">
        <w:rPr>
          <w:rFonts w:eastAsia="標楷體" w:hint="eastAsia"/>
          <w:color w:val="FF0000"/>
          <w:szCs w:val="22"/>
          <w:highlight w:val="yellow"/>
        </w:rPr>
        <w:t>。</w:t>
      </w:r>
      <w:r w:rsidRPr="00212D57">
        <w:rPr>
          <w:rFonts w:eastAsia="標楷體"/>
          <w:b/>
          <w:szCs w:val="22"/>
        </w:rPr>
        <w:t>離二邊故，假名為</w:t>
      </w:r>
      <w:r w:rsidR="00FC5651" w:rsidRPr="00FC5651">
        <w:rPr>
          <w:rFonts w:ascii="標楷體" w:eastAsia="標楷體" w:hAnsi="標楷體" w:hint="eastAsia"/>
          <w:b/>
          <w:color w:val="FF0000"/>
          <w:kern w:val="0"/>
          <w:highlight w:val="yellow"/>
        </w:rPr>
        <w:t>『</w:t>
      </w:r>
      <w:r w:rsidRPr="00FC5651">
        <w:rPr>
          <w:rFonts w:eastAsia="標楷體"/>
          <w:b/>
          <w:szCs w:val="22"/>
        </w:rPr>
        <w:t>中道</w:t>
      </w:r>
      <w:r w:rsidR="00FC5651" w:rsidRPr="00FC5651">
        <w:rPr>
          <w:rFonts w:ascii="標楷體" w:eastAsia="標楷體" w:hAnsi="標楷體" w:hint="eastAsia"/>
          <w:b/>
          <w:color w:val="FF0000"/>
          <w:kern w:val="0"/>
          <w:highlight w:val="yellow"/>
        </w:rPr>
        <w:t>』</w:t>
      </w:r>
      <w:r w:rsidRPr="00212D57">
        <w:rPr>
          <w:rFonts w:eastAsia="標楷體"/>
          <w:b/>
          <w:szCs w:val="22"/>
        </w:rPr>
        <w:t>。</w:t>
      </w:r>
      <w:r w:rsidRPr="00212D57">
        <w:rPr>
          <w:rFonts w:hint="eastAsia"/>
          <w:szCs w:val="22"/>
        </w:rPr>
        <w:t>」</w:t>
      </w:r>
    </w:p>
  </w:footnote>
  <w:footnote w:id="96">
    <w:p w:rsidR="00157EF6" w:rsidRPr="00212D57" w:rsidRDefault="00157EF6" w:rsidP="007A2FAB">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rFonts w:hint="eastAsia"/>
          <w:szCs w:val="22"/>
        </w:rPr>
        <w:t>印順法師，</w:t>
      </w:r>
      <w:r w:rsidRPr="00212D57">
        <w:rPr>
          <w:szCs w:val="22"/>
        </w:rPr>
        <w:t>《空之探究》，第</w:t>
      </w:r>
      <w:r w:rsidRPr="00761EF3">
        <w:rPr>
          <w:rFonts w:hint="eastAsia"/>
          <w:szCs w:val="22"/>
        </w:rPr>
        <w:t>4</w:t>
      </w:r>
      <w:r w:rsidRPr="00212D57">
        <w:rPr>
          <w:szCs w:val="22"/>
        </w:rPr>
        <w:t>章</w:t>
      </w:r>
      <w:r w:rsidRPr="00212D57">
        <w:rPr>
          <w:rFonts w:ascii="新細明體" w:hAnsi="新細明體" w:cs="新細明體" w:hint="eastAsia"/>
          <w:szCs w:val="22"/>
        </w:rPr>
        <w:t>，</w:t>
      </w:r>
      <w:r w:rsidRPr="00212D57">
        <w:rPr>
          <w:szCs w:val="22"/>
        </w:rPr>
        <w:t>第</w:t>
      </w:r>
      <w:r w:rsidRPr="00761EF3">
        <w:rPr>
          <w:rFonts w:hint="eastAsia"/>
          <w:szCs w:val="22"/>
        </w:rPr>
        <w:t>7</w:t>
      </w:r>
      <w:r w:rsidRPr="00212D57">
        <w:rPr>
          <w:szCs w:val="22"/>
        </w:rPr>
        <w:t>節〈中道</w:t>
      </w:r>
      <w:r w:rsidRPr="00212D57">
        <w:rPr>
          <w:szCs w:val="22"/>
        </w:rPr>
        <w:t>——</w:t>
      </w:r>
      <w:r w:rsidRPr="00212D57">
        <w:rPr>
          <w:szCs w:val="22"/>
        </w:rPr>
        <w:t>中論與中觀〉，</w:t>
      </w:r>
      <w:r w:rsidRPr="00761EF3">
        <w:rPr>
          <w:szCs w:val="22"/>
        </w:rPr>
        <w:t>pp</w:t>
      </w:r>
      <w:r w:rsidRPr="00212D57">
        <w:rPr>
          <w:szCs w:val="22"/>
        </w:rPr>
        <w:t>.</w:t>
      </w:r>
      <w:r w:rsidRPr="00761EF3">
        <w:rPr>
          <w:szCs w:val="22"/>
        </w:rPr>
        <w:t>258</w:t>
      </w:r>
      <w:r w:rsidRPr="00212D57">
        <w:rPr>
          <w:szCs w:val="22"/>
        </w:rPr>
        <w:t>-</w:t>
      </w:r>
      <w:r w:rsidRPr="00761EF3">
        <w:rPr>
          <w:szCs w:val="22"/>
        </w:rPr>
        <w:t>259</w:t>
      </w:r>
      <w:r w:rsidRPr="00212D57">
        <w:rPr>
          <w:rFonts w:hint="eastAsia"/>
          <w:szCs w:val="22"/>
        </w:rPr>
        <w:t>：</w:t>
      </w:r>
    </w:p>
    <w:p w:rsidR="00157EF6" w:rsidRPr="00212D57" w:rsidRDefault="00157EF6" w:rsidP="007A2FAB">
      <w:pPr>
        <w:pStyle w:val="a5"/>
        <w:ind w:leftChars="105" w:left="252"/>
        <w:jc w:val="both"/>
        <w:rPr>
          <w:szCs w:val="22"/>
        </w:rPr>
      </w:pPr>
      <w:r w:rsidRPr="00212D57">
        <w:rPr>
          <w:rFonts w:ascii="標楷體" w:eastAsia="標楷體" w:hAnsi="標楷體"/>
          <w:szCs w:val="22"/>
        </w:rPr>
        <w:t>《般若經》說：一切法是假名，通達自性空寂，這就是二諦說。《中論》依緣起立論：緣起法即</w:t>
      </w:r>
      <w:r w:rsidRPr="00212D57">
        <w:rPr>
          <w:rFonts w:ascii="標楷體" w:eastAsia="標楷體" w:hAnsi="標楷體"/>
          <w:b/>
          <w:szCs w:val="22"/>
        </w:rPr>
        <w:t>空性，顯第一義</w:t>
      </w:r>
      <w:r w:rsidRPr="00212D57">
        <w:rPr>
          <w:rFonts w:ascii="標楷體" w:eastAsia="標楷體" w:hAnsi="標楷體"/>
          <w:szCs w:val="22"/>
        </w:rPr>
        <w:t>；緣起即</w:t>
      </w:r>
      <w:r w:rsidRPr="00212D57">
        <w:rPr>
          <w:rFonts w:ascii="標楷體" w:eastAsia="標楷體" w:hAnsi="標楷體"/>
          <w:b/>
          <w:szCs w:val="22"/>
        </w:rPr>
        <w:t>假名，明世俗諦</w:t>
      </w:r>
      <w:r w:rsidRPr="00212D57">
        <w:rPr>
          <w:rFonts w:ascii="標楷體" w:eastAsia="標楷體" w:hAnsi="標楷體"/>
          <w:szCs w:val="22"/>
        </w:rPr>
        <w:t>。這樣的假有即性空，性空（也是依假名說）不礙假有，就是緣起離二邊的中道。</w:t>
      </w:r>
    </w:p>
  </w:footnote>
  <w:footnote w:id="97">
    <w:p w:rsidR="007A250A" w:rsidRDefault="007A250A">
      <w:pPr>
        <w:pStyle w:val="a5"/>
      </w:pPr>
      <w:r w:rsidRPr="007A250A">
        <w:rPr>
          <w:rStyle w:val="a6"/>
          <w:color w:val="FF0000"/>
          <w:highlight w:val="yellow"/>
        </w:rPr>
        <w:footnoteRef/>
      </w:r>
      <w:r>
        <w:rPr>
          <w:rFonts w:hint="eastAsia"/>
        </w:rPr>
        <w:t xml:space="preserve"> </w:t>
      </w:r>
      <w:r w:rsidRPr="007A250A">
        <w:rPr>
          <w:rFonts w:hint="eastAsia"/>
          <w:color w:val="FF0000"/>
          <w:highlight w:val="yellow"/>
        </w:rPr>
        <w:t>流弊：亦作「流蔽」。相沿而成的弊病。</w:t>
      </w:r>
      <w:r w:rsidRPr="007A250A">
        <w:rPr>
          <w:rFonts w:cs="Times Ext Roman" w:hint="eastAsia"/>
          <w:color w:val="FF0000"/>
          <w:szCs w:val="22"/>
          <w:highlight w:val="yellow"/>
        </w:rPr>
        <w:t>（</w:t>
      </w:r>
      <w:r w:rsidRPr="007A250A">
        <w:rPr>
          <w:rFonts w:hint="eastAsia"/>
          <w:color w:val="FF0000"/>
          <w:szCs w:val="22"/>
          <w:highlight w:val="yellow"/>
        </w:rPr>
        <w:t>《漢語大詞典》（五），</w:t>
      </w:r>
      <w:r w:rsidRPr="007A250A">
        <w:rPr>
          <w:rFonts w:hint="eastAsia"/>
          <w:color w:val="FF0000"/>
          <w:szCs w:val="22"/>
          <w:highlight w:val="yellow"/>
        </w:rPr>
        <w:t>p</w:t>
      </w:r>
      <w:r w:rsidRPr="007A250A">
        <w:rPr>
          <w:color w:val="FF0000"/>
          <w:szCs w:val="22"/>
          <w:highlight w:val="yellow"/>
        </w:rPr>
        <w:t>.</w:t>
      </w:r>
      <w:r w:rsidRPr="007A250A">
        <w:rPr>
          <w:rFonts w:hint="eastAsia"/>
          <w:color w:val="FF0000"/>
          <w:szCs w:val="22"/>
          <w:highlight w:val="yellow"/>
        </w:rPr>
        <w:t>1273</w:t>
      </w:r>
      <w:r w:rsidRPr="007A250A">
        <w:rPr>
          <w:rFonts w:cs="Times Ext Roman" w:hint="eastAsia"/>
          <w:color w:val="FF0000"/>
          <w:szCs w:val="22"/>
          <w:highlight w:val="yellow"/>
        </w:rPr>
        <w:t>）</w:t>
      </w:r>
    </w:p>
  </w:footnote>
  <w:footnote w:id="98">
    <w:p w:rsidR="00157EF6" w:rsidRPr="00212D57" w:rsidRDefault="00157EF6" w:rsidP="007A2FAB">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rFonts w:cs="Times Ext Roman" w:hint="eastAsia"/>
          <w:szCs w:val="22"/>
        </w:rPr>
        <w:t>流布：</w:t>
      </w:r>
      <w:r w:rsidRPr="00761EF3">
        <w:rPr>
          <w:rFonts w:cs="Times Ext Roman" w:hint="eastAsia"/>
          <w:szCs w:val="22"/>
        </w:rPr>
        <w:t>1</w:t>
      </w:r>
      <w:r w:rsidRPr="00212D57">
        <w:rPr>
          <w:rFonts w:cs="Times Ext Roman" w:hint="eastAsia"/>
          <w:szCs w:val="22"/>
        </w:rPr>
        <w:t>.</w:t>
      </w:r>
      <w:r w:rsidRPr="00212D57">
        <w:rPr>
          <w:rFonts w:cs="Times Ext Roman" w:hint="eastAsia"/>
          <w:szCs w:val="22"/>
        </w:rPr>
        <w:t>流傳散布。</w:t>
      </w:r>
      <w:r w:rsidRPr="00761EF3">
        <w:rPr>
          <w:rFonts w:cs="Times Ext Roman" w:hint="eastAsia"/>
          <w:szCs w:val="22"/>
        </w:rPr>
        <w:t>2</w:t>
      </w:r>
      <w:r w:rsidRPr="00212D57">
        <w:rPr>
          <w:rFonts w:cs="Times Ext Roman" w:hint="eastAsia"/>
          <w:szCs w:val="22"/>
        </w:rPr>
        <w:t>.</w:t>
      </w:r>
      <w:r w:rsidRPr="00212D57">
        <w:rPr>
          <w:rFonts w:cs="Times Ext Roman" w:hint="eastAsia"/>
          <w:szCs w:val="22"/>
        </w:rPr>
        <w:t>流露，表達。（</w:t>
      </w:r>
      <w:r w:rsidRPr="00212D57">
        <w:rPr>
          <w:rFonts w:hint="eastAsia"/>
          <w:szCs w:val="22"/>
        </w:rPr>
        <w:t>《漢語大詞典》（五），</w:t>
      </w:r>
      <w:r w:rsidRPr="00761EF3">
        <w:rPr>
          <w:rFonts w:hint="eastAsia"/>
          <w:szCs w:val="22"/>
        </w:rPr>
        <w:t>p</w:t>
      </w:r>
      <w:r w:rsidRPr="00212D57">
        <w:rPr>
          <w:szCs w:val="22"/>
        </w:rPr>
        <w:t>.</w:t>
      </w:r>
      <w:r w:rsidRPr="00761EF3">
        <w:rPr>
          <w:rFonts w:hint="eastAsia"/>
          <w:szCs w:val="22"/>
        </w:rPr>
        <w:t>1259</w:t>
      </w:r>
      <w:r w:rsidRPr="00212D57">
        <w:rPr>
          <w:rFonts w:cs="Times Ext Roman" w:hint="eastAsia"/>
          <w:szCs w:val="22"/>
        </w:rPr>
        <w:t>）</w:t>
      </w:r>
    </w:p>
  </w:footnote>
  <w:footnote w:id="99">
    <w:p w:rsidR="00157EF6" w:rsidRPr="00212D57" w:rsidRDefault="00157EF6" w:rsidP="007A2FAB">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rFonts w:hint="eastAsia"/>
          <w:szCs w:val="22"/>
        </w:rPr>
        <w:t>《大智度論》卷</w:t>
      </w:r>
      <w:r w:rsidRPr="00761EF3">
        <w:rPr>
          <w:rFonts w:hint="eastAsia"/>
          <w:szCs w:val="22"/>
        </w:rPr>
        <w:t>1</w:t>
      </w:r>
      <w:r w:rsidR="007B0351">
        <w:rPr>
          <w:rFonts w:hint="eastAsia"/>
          <w:color w:val="FF0000"/>
          <w:szCs w:val="22"/>
          <w:highlight w:val="yellow"/>
        </w:rPr>
        <w:t>釋</w:t>
      </w:r>
      <w:r w:rsidRPr="00212D57">
        <w:rPr>
          <w:rFonts w:hint="eastAsia"/>
          <w:szCs w:val="22"/>
        </w:rPr>
        <w:t>〈</w:t>
      </w:r>
      <w:r w:rsidRPr="00761EF3">
        <w:rPr>
          <w:rFonts w:hint="eastAsia"/>
          <w:szCs w:val="22"/>
        </w:rPr>
        <w:t>1</w:t>
      </w:r>
      <w:r w:rsidRPr="00212D57">
        <w:rPr>
          <w:rFonts w:hint="eastAsia"/>
          <w:szCs w:val="22"/>
        </w:rPr>
        <w:t xml:space="preserve"> </w:t>
      </w:r>
      <w:r w:rsidRPr="00212D57">
        <w:rPr>
          <w:rFonts w:hint="eastAsia"/>
          <w:szCs w:val="22"/>
        </w:rPr>
        <w:t>序品〉（大正</w:t>
      </w:r>
      <w:r w:rsidRPr="00761EF3">
        <w:rPr>
          <w:rFonts w:hint="eastAsia"/>
          <w:szCs w:val="22"/>
        </w:rPr>
        <w:t>25</w:t>
      </w:r>
      <w:r w:rsidRPr="00212D57">
        <w:rPr>
          <w:rFonts w:hint="eastAsia"/>
          <w:szCs w:val="22"/>
        </w:rPr>
        <w:t>，</w:t>
      </w:r>
      <w:r w:rsidRPr="00761EF3">
        <w:rPr>
          <w:rFonts w:hint="eastAsia"/>
          <w:szCs w:val="22"/>
        </w:rPr>
        <w:t>61a28</w:t>
      </w:r>
      <w:r w:rsidRPr="00212D57">
        <w:rPr>
          <w:rFonts w:hint="eastAsia"/>
          <w:szCs w:val="22"/>
        </w:rPr>
        <w:t>-</w:t>
      </w:r>
      <w:r w:rsidRPr="00761EF3">
        <w:rPr>
          <w:rFonts w:hint="eastAsia"/>
          <w:szCs w:val="22"/>
        </w:rPr>
        <w:t>b1</w:t>
      </w:r>
      <w:r w:rsidRPr="00212D57">
        <w:rPr>
          <w:rFonts w:hint="eastAsia"/>
          <w:szCs w:val="22"/>
        </w:rPr>
        <w:t>）：</w:t>
      </w:r>
    </w:p>
    <w:p w:rsidR="00157EF6" w:rsidRPr="00212D57" w:rsidRDefault="00157EF6" w:rsidP="007A2FAB">
      <w:pPr>
        <w:pStyle w:val="a5"/>
        <w:ind w:leftChars="105" w:left="252"/>
        <w:jc w:val="both"/>
        <w:rPr>
          <w:szCs w:val="22"/>
        </w:rPr>
      </w:pPr>
      <w:r w:rsidRPr="00212D57">
        <w:rPr>
          <w:rFonts w:ascii="標楷體" w:eastAsia="標楷體" w:hAnsi="標楷體" w:hint="eastAsia"/>
          <w:szCs w:val="22"/>
        </w:rPr>
        <w:t>更有佛法中</w:t>
      </w:r>
      <w:r w:rsidRPr="00212D57">
        <w:rPr>
          <w:rFonts w:ascii="標楷體" w:eastAsia="標楷體" w:hAnsi="標楷體" w:hint="eastAsia"/>
          <w:b/>
          <w:szCs w:val="22"/>
        </w:rPr>
        <w:t>方廣道人</w:t>
      </w:r>
      <w:r w:rsidRPr="00212D57">
        <w:rPr>
          <w:rFonts w:ascii="標楷體" w:eastAsia="標楷體" w:hAnsi="標楷體" w:hint="eastAsia"/>
          <w:szCs w:val="22"/>
        </w:rPr>
        <w:t>言：「一切法不生不滅，空無所有，譬如兔角龜毛常無。</w:t>
      </w:r>
      <w:r w:rsidRPr="00212D57">
        <w:rPr>
          <w:rFonts w:hint="eastAsia"/>
          <w:szCs w:val="22"/>
        </w:rPr>
        <w:t>」</w:t>
      </w:r>
    </w:p>
  </w:footnote>
  <w:footnote w:id="100">
    <w:p w:rsidR="00157EF6" w:rsidRPr="00212D57" w:rsidRDefault="00157EF6" w:rsidP="007A2FAB">
      <w:pPr>
        <w:pStyle w:val="a5"/>
        <w:spacing w:line="0" w:lineRule="atLeast"/>
        <w:ind w:left="253" w:hangingChars="115" w:hanging="253"/>
        <w:jc w:val="both"/>
        <w:rPr>
          <w:szCs w:val="22"/>
        </w:rPr>
      </w:pPr>
      <w:r w:rsidRPr="00212D57">
        <w:rPr>
          <w:rStyle w:val="a6"/>
          <w:szCs w:val="22"/>
        </w:rPr>
        <w:footnoteRef/>
      </w:r>
      <w:r w:rsidRPr="00212D57">
        <w:rPr>
          <w:rFonts w:cs="Times Ext Roman" w:hint="eastAsia"/>
          <w:szCs w:val="22"/>
        </w:rPr>
        <w:t xml:space="preserve"> </w:t>
      </w:r>
      <w:r w:rsidRPr="00212D57">
        <w:rPr>
          <w:rFonts w:cs="Times Ext Roman" w:hint="eastAsia"/>
          <w:szCs w:val="22"/>
        </w:rPr>
        <w:t>拯（</w:t>
      </w:r>
      <w:r w:rsidRPr="00212D57">
        <w:rPr>
          <w:rFonts w:ascii="標楷體" w:eastAsia="標楷體" w:hAnsi="標楷體" w:cs="Times Ext Roman" w:hint="eastAsia"/>
          <w:szCs w:val="22"/>
        </w:rPr>
        <w:t>ㄓㄥˇ</w:t>
      </w:r>
      <w:r w:rsidRPr="00212D57">
        <w:rPr>
          <w:rFonts w:cs="Times Ext Roman" w:hint="eastAsia"/>
          <w:szCs w:val="22"/>
        </w:rPr>
        <w:t>）拔：從困境中拯救或解脫。（</w:t>
      </w:r>
      <w:r w:rsidRPr="00212D57">
        <w:rPr>
          <w:rFonts w:hint="eastAsia"/>
          <w:szCs w:val="22"/>
        </w:rPr>
        <w:t>《漢語大詞典》（六），</w:t>
      </w:r>
      <w:r w:rsidRPr="00761EF3">
        <w:rPr>
          <w:rFonts w:hint="eastAsia"/>
          <w:szCs w:val="22"/>
        </w:rPr>
        <w:t>p</w:t>
      </w:r>
      <w:r w:rsidRPr="00212D57">
        <w:rPr>
          <w:rFonts w:hint="eastAsia"/>
          <w:szCs w:val="22"/>
        </w:rPr>
        <w:t>.</w:t>
      </w:r>
      <w:r w:rsidRPr="00761EF3">
        <w:rPr>
          <w:rFonts w:hint="eastAsia"/>
          <w:szCs w:val="22"/>
        </w:rPr>
        <w:t>594</w:t>
      </w:r>
      <w:r w:rsidRPr="00212D57">
        <w:rPr>
          <w:rFonts w:cs="Times Ext Roman" w:hint="eastAsia"/>
          <w:szCs w:val="22"/>
        </w:rPr>
        <w:t>）</w:t>
      </w:r>
    </w:p>
  </w:footnote>
  <w:footnote w:id="101">
    <w:p w:rsidR="00157EF6" w:rsidRPr="00212D57" w:rsidRDefault="00157EF6" w:rsidP="007A2FAB">
      <w:pPr>
        <w:pStyle w:val="a5"/>
        <w:spacing w:line="0" w:lineRule="atLeast"/>
        <w:ind w:left="253" w:hangingChars="115" w:hanging="253"/>
        <w:jc w:val="both"/>
        <w:rPr>
          <w:szCs w:val="22"/>
        </w:rPr>
      </w:pPr>
      <w:r w:rsidRPr="00212D57">
        <w:rPr>
          <w:rStyle w:val="a6"/>
          <w:szCs w:val="22"/>
        </w:rPr>
        <w:footnoteRef/>
      </w:r>
      <w:r w:rsidRPr="00212D57">
        <w:rPr>
          <w:rFonts w:cs="Times Ext Roman" w:hint="eastAsia"/>
          <w:szCs w:val="22"/>
        </w:rPr>
        <w:t xml:space="preserve"> </w:t>
      </w:r>
      <w:r w:rsidRPr="00212D57">
        <w:rPr>
          <w:rFonts w:cs="Times Ext Roman" w:hint="eastAsia"/>
          <w:szCs w:val="22"/>
        </w:rPr>
        <w:t>返歸：回轉，返回。（</w:t>
      </w:r>
      <w:r w:rsidRPr="00212D57">
        <w:rPr>
          <w:rFonts w:hint="eastAsia"/>
          <w:szCs w:val="22"/>
        </w:rPr>
        <w:t>《漢語大詞典》（十），</w:t>
      </w:r>
      <w:r w:rsidRPr="00761EF3">
        <w:rPr>
          <w:rFonts w:hint="eastAsia"/>
          <w:szCs w:val="22"/>
        </w:rPr>
        <w:t>p</w:t>
      </w:r>
      <w:r w:rsidRPr="00212D57">
        <w:rPr>
          <w:szCs w:val="22"/>
        </w:rPr>
        <w:t>.</w:t>
      </w:r>
      <w:r w:rsidRPr="00761EF3">
        <w:rPr>
          <w:rFonts w:hint="eastAsia"/>
          <w:szCs w:val="22"/>
        </w:rPr>
        <w:t>743</w:t>
      </w:r>
      <w:r w:rsidRPr="00212D57">
        <w:rPr>
          <w:rFonts w:cs="Times Ext Roman" w:hint="eastAsia"/>
          <w:szCs w:val="22"/>
        </w:rPr>
        <w:t>）</w:t>
      </w:r>
    </w:p>
  </w:footnote>
  <w:footnote w:id="102">
    <w:p w:rsidR="00157EF6" w:rsidRPr="00212D57" w:rsidRDefault="00157EF6" w:rsidP="007A2FAB">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009160B5">
        <w:rPr>
          <w:szCs w:val="22"/>
        </w:rPr>
        <w:t>參見：印</w:t>
      </w:r>
      <w:r w:rsidRPr="00212D57">
        <w:rPr>
          <w:szCs w:val="22"/>
        </w:rPr>
        <w:t>順法師，《中觀今論》，第</w:t>
      </w:r>
      <w:r w:rsidRPr="00761EF3">
        <w:rPr>
          <w:rFonts w:hint="eastAsia"/>
          <w:szCs w:val="22"/>
        </w:rPr>
        <w:t>8</w:t>
      </w:r>
      <w:r w:rsidRPr="00212D57">
        <w:rPr>
          <w:szCs w:val="22"/>
        </w:rPr>
        <w:t>章</w:t>
      </w:r>
      <w:r w:rsidRPr="00212D57">
        <w:rPr>
          <w:rFonts w:ascii="新細明體" w:hAnsi="新細明體" w:cs="新細明體" w:hint="eastAsia"/>
          <w:szCs w:val="22"/>
        </w:rPr>
        <w:t>，</w:t>
      </w:r>
      <w:r w:rsidRPr="00212D57">
        <w:rPr>
          <w:szCs w:val="22"/>
        </w:rPr>
        <w:t>第</w:t>
      </w:r>
      <w:r w:rsidRPr="00761EF3">
        <w:rPr>
          <w:rFonts w:hint="eastAsia"/>
          <w:szCs w:val="22"/>
        </w:rPr>
        <w:t>2</w:t>
      </w:r>
      <w:r w:rsidRPr="00212D57">
        <w:rPr>
          <w:szCs w:val="22"/>
        </w:rPr>
        <w:t>節〈性</w:t>
      </w:r>
      <w:r w:rsidRPr="00212D57">
        <w:rPr>
          <w:rFonts w:hint="eastAsia"/>
          <w:szCs w:val="22"/>
        </w:rPr>
        <w:t>、</w:t>
      </w:r>
      <w:r w:rsidRPr="00212D57">
        <w:rPr>
          <w:szCs w:val="22"/>
        </w:rPr>
        <w:t>相〉，</w:t>
      </w:r>
      <w:r w:rsidRPr="00761EF3">
        <w:rPr>
          <w:szCs w:val="22"/>
        </w:rPr>
        <w:t>pp</w:t>
      </w:r>
      <w:r w:rsidRPr="00212D57">
        <w:rPr>
          <w:szCs w:val="22"/>
        </w:rPr>
        <w:t>.</w:t>
      </w:r>
      <w:r w:rsidRPr="00761EF3">
        <w:rPr>
          <w:szCs w:val="22"/>
        </w:rPr>
        <w:t>147</w:t>
      </w:r>
      <w:r w:rsidRPr="00212D57">
        <w:rPr>
          <w:szCs w:val="22"/>
        </w:rPr>
        <w:t>-</w:t>
      </w:r>
      <w:r w:rsidRPr="00761EF3">
        <w:rPr>
          <w:szCs w:val="22"/>
        </w:rPr>
        <w:t>162</w:t>
      </w:r>
      <w:r w:rsidRPr="00212D57">
        <w:rPr>
          <w:rFonts w:hint="eastAsia"/>
          <w:szCs w:val="22"/>
        </w:rPr>
        <w:t>）</w:t>
      </w:r>
      <w:r w:rsidRPr="00212D57">
        <w:rPr>
          <w:szCs w:val="22"/>
        </w:rPr>
        <w:t>。</w:t>
      </w:r>
    </w:p>
  </w:footnote>
  <w:footnote w:id="103">
    <w:p w:rsidR="00157EF6" w:rsidRPr="00212D57" w:rsidRDefault="00157EF6" w:rsidP="007A2FAB">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009160B5">
        <w:rPr>
          <w:szCs w:val="22"/>
        </w:rPr>
        <w:t>參見：印</w:t>
      </w:r>
      <w:r w:rsidRPr="00212D57">
        <w:rPr>
          <w:szCs w:val="22"/>
        </w:rPr>
        <w:t>順法師，《中觀今論》，第</w:t>
      </w:r>
      <w:r w:rsidRPr="00761EF3">
        <w:rPr>
          <w:rFonts w:hint="eastAsia"/>
          <w:szCs w:val="22"/>
        </w:rPr>
        <w:t>11</w:t>
      </w:r>
      <w:r w:rsidRPr="00212D57">
        <w:rPr>
          <w:szCs w:val="22"/>
        </w:rPr>
        <w:t>章</w:t>
      </w:r>
      <w:r w:rsidRPr="00212D57">
        <w:rPr>
          <w:rFonts w:ascii="新細明體" w:hAnsi="新細明體" w:cs="新細明體" w:hint="eastAsia"/>
          <w:szCs w:val="22"/>
        </w:rPr>
        <w:t>，</w:t>
      </w:r>
      <w:r w:rsidRPr="00212D57">
        <w:rPr>
          <w:szCs w:val="22"/>
        </w:rPr>
        <w:t>第</w:t>
      </w:r>
      <w:r w:rsidRPr="00761EF3">
        <w:rPr>
          <w:rFonts w:hint="eastAsia"/>
          <w:szCs w:val="22"/>
        </w:rPr>
        <w:t>2</w:t>
      </w:r>
      <w:r w:rsidRPr="00212D57">
        <w:rPr>
          <w:szCs w:val="22"/>
        </w:rPr>
        <w:t>節〈緣起空有〉，</w:t>
      </w:r>
      <w:r w:rsidRPr="00761EF3">
        <w:rPr>
          <w:szCs w:val="22"/>
        </w:rPr>
        <w:t>pp</w:t>
      </w:r>
      <w:r w:rsidRPr="00212D57">
        <w:rPr>
          <w:szCs w:val="22"/>
        </w:rPr>
        <w:t>.</w:t>
      </w:r>
      <w:r w:rsidRPr="00761EF3">
        <w:rPr>
          <w:szCs w:val="22"/>
        </w:rPr>
        <w:t>237</w:t>
      </w:r>
      <w:r w:rsidRPr="00212D57">
        <w:rPr>
          <w:szCs w:val="22"/>
        </w:rPr>
        <w:t>-</w:t>
      </w:r>
      <w:r w:rsidRPr="00761EF3">
        <w:rPr>
          <w:szCs w:val="22"/>
        </w:rPr>
        <w:t>252</w:t>
      </w:r>
      <w:r w:rsidRPr="00212D57">
        <w:rPr>
          <w:rFonts w:hint="eastAsia"/>
          <w:szCs w:val="22"/>
        </w:rPr>
        <w:t>）</w:t>
      </w:r>
      <w:r w:rsidRPr="00212D57">
        <w:rPr>
          <w:szCs w:val="22"/>
        </w:rPr>
        <w:t>。</w:t>
      </w:r>
    </w:p>
  </w:footnote>
  <w:footnote w:id="104">
    <w:p w:rsidR="00157EF6" w:rsidRPr="00212D57" w:rsidRDefault="00157EF6" w:rsidP="007A2FAB">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）《楞伽阿跋多羅寶經》卷</w:t>
      </w:r>
      <w:r w:rsidRPr="00761EF3">
        <w:rPr>
          <w:rFonts w:hint="eastAsia"/>
          <w:szCs w:val="22"/>
        </w:rPr>
        <w:t>3</w:t>
      </w:r>
      <w:r w:rsidRPr="00212D57">
        <w:rPr>
          <w:rFonts w:hint="eastAsia"/>
          <w:szCs w:val="22"/>
        </w:rPr>
        <w:t>〈</w:t>
      </w:r>
      <w:r w:rsidRPr="00761EF3">
        <w:rPr>
          <w:rFonts w:hint="eastAsia"/>
          <w:szCs w:val="22"/>
        </w:rPr>
        <w:t>3</w:t>
      </w:r>
      <w:r w:rsidRPr="00212D57">
        <w:rPr>
          <w:szCs w:val="22"/>
        </w:rPr>
        <w:t xml:space="preserve"> </w:t>
      </w:r>
      <w:r w:rsidRPr="00212D57">
        <w:rPr>
          <w:rFonts w:hint="eastAsia"/>
          <w:szCs w:val="22"/>
        </w:rPr>
        <w:t>一切佛語心品〉（大正</w:t>
      </w:r>
      <w:r w:rsidRPr="00761EF3">
        <w:rPr>
          <w:rFonts w:hint="eastAsia"/>
          <w:szCs w:val="22"/>
        </w:rPr>
        <w:t>16</w:t>
      </w:r>
      <w:r w:rsidRPr="00212D57">
        <w:rPr>
          <w:rFonts w:hint="eastAsia"/>
          <w:szCs w:val="22"/>
        </w:rPr>
        <w:t>，</w:t>
      </w:r>
      <w:r w:rsidRPr="00761EF3">
        <w:rPr>
          <w:rFonts w:hint="eastAsia"/>
          <w:szCs w:val="22"/>
        </w:rPr>
        <w:t>503a19</w:t>
      </w:r>
      <w:r w:rsidRPr="00212D57">
        <w:rPr>
          <w:rFonts w:hint="eastAsia"/>
          <w:szCs w:val="22"/>
        </w:rPr>
        <w:t>-</w:t>
      </w:r>
      <w:r w:rsidRPr="00761EF3">
        <w:rPr>
          <w:rFonts w:hint="eastAsia"/>
          <w:szCs w:val="22"/>
        </w:rPr>
        <w:t>b1</w:t>
      </w:r>
      <w:r w:rsidRPr="00212D57">
        <w:rPr>
          <w:rFonts w:hint="eastAsia"/>
          <w:szCs w:val="22"/>
        </w:rPr>
        <w:t>）：</w:t>
      </w:r>
    </w:p>
    <w:p w:rsidR="00157EF6" w:rsidRPr="00212D57" w:rsidRDefault="00157EF6" w:rsidP="007A2FAB">
      <w:pPr>
        <w:pStyle w:val="a5"/>
        <w:ind w:leftChars="335" w:left="804"/>
        <w:jc w:val="both"/>
        <w:rPr>
          <w:rFonts w:ascii="標楷體" w:eastAsia="標楷體" w:hAnsi="標楷體"/>
          <w:szCs w:val="22"/>
        </w:rPr>
      </w:pPr>
      <w:r w:rsidRPr="00212D57">
        <w:rPr>
          <w:rFonts w:ascii="標楷體" w:eastAsia="標楷體" w:hAnsi="標楷體" w:hint="eastAsia"/>
          <w:szCs w:val="22"/>
        </w:rPr>
        <w:t>佛告大慧：「三世如</w:t>
      </w:r>
      <w:r w:rsidRPr="003E00AE">
        <w:rPr>
          <w:rFonts w:ascii="標楷體" w:eastAsia="標楷體" w:hAnsi="標楷體" w:hint="eastAsia"/>
          <w:szCs w:val="22"/>
          <w:highlight w:val="yellow"/>
        </w:rPr>
        <w:t>來有</w:t>
      </w:r>
      <w:r w:rsidRPr="00212D57">
        <w:rPr>
          <w:rFonts w:ascii="標楷體" w:eastAsia="標楷體" w:hAnsi="標楷體" w:hint="eastAsia"/>
          <w:szCs w:val="22"/>
        </w:rPr>
        <w:t>二種法通，謂</w:t>
      </w:r>
      <w:r w:rsidR="00FC5651">
        <w:rPr>
          <w:rFonts w:ascii="標楷體" w:eastAsia="標楷體" w:hAnsi="標楷體" w:hint="eastAsia"/>
          <w:color w:val="FF0000"/>
          <w:kern w:val="0"/>
          <w:highlight w:val="yellow"/>
        </w:rPr>
        <w:t>『</w:t>
      </w:r>
      <w:r w:rsidRPr="00212D57">
        <w:rPr>
          <w:rFonts w:ascii="標楷體" w:eastAsia="標楷體" w:hAnsi="標楷體" w:hint="eastAsia"/>
          <w:szCs w:val="22"/>
        </w:rPr>
        <w:t>說通</w:t>
      </w:r>
      <w:r w:rsidR="00FC5651">
        <w:rPr>
          <w:rFonts w:ascii="標楷體" w:eastAsia="標楷體" w:hAnsi="標楷體" w:hint="eastAsia"/>
          <w:color w:val="FF0000"/>
          <w:kern w:val="0"/>
          <w:highlight w:val="yellow"/>
        </w:rPr>
        <w:t>』</w:t>
      </w:r>
      <w:r w:rsidRPr="00212D57">
        <w:rPr>
          <w:rFonts w:ascii="標楷體" w:eastAsia="標楷體" w:hAnsi="標楷體" w:hint="eastAsia"/>
          <w:szCs w:val="22"/>
        </w:rPr>
        <w:t>及</w:t>
      </w:r>
      <w:r w:rsidR="00FC5651">
        <w:rPr>
          <w:rFonts w:ascii="標楷體" w:eastAsia="標楷體" w:hAnsi="標楷體" w:hint="eastAsia"/>
          <w:color w:val="FF0000"/>
          <w:kern w:val="0"/>
          <w:highlight w:val="yellow"/>
        </w:rPr>
        <w:t>『</w:t>
      </w:r>
      <w:r w:rsidRPr="00212D57">
        <w:rPr>
          <w:rFonts w:ascii="標楷體" w:eastAsia="標楷體" w:hAnsi="標楷體" w:hint="eastAsia"/>
          <w:szCs w:val="22"/>
        </w:rPr>
        <w:t>自宗通</w:t>
      </w:r>
      <w:r w:rsidR="00FC5651">
        <w:rPr>
          <w:rFonts w:ascii="標楷體" w:eastAsia="標楷體" w:hAnsi="標楷體" w:hint="eastAsia"/>
          <w:color w:val="FF0000"/>
          <w:kern w:val="0"/>
          <w:highlight w:val="yellow"/>
        </w:rPr>
        <w:t>』</w:t>
      </w:r>
      <w:r w:rsidRPr="00212D57">
        <w:rPr>
          <w:rFonts w:ascii="標楷體" w:eastAsia="標楷體" w:hAnsi="標楷體" w:hint="eastAsia"/>
          <w:szCs w:val="22"/>
        </w:rPr>
        <w:t>。</w:t>
      </w:r>
      <w:r w:rsidR="003E00AE" w:rsidRPr="003E00AE">
        <w:rPr>
          <w:rFonts w:ascii="標楷體" w:eastAsia="標楷體" w:hAnsi="標楷體" w:hint="eastAsia"/>
          <w:color w:val="FF0000"/>
          <w:szCs w:val="22"/>
          <w:highlight w:val="yellow"/>
        </w:rPr>
        <w:t>『</w:t>
      </w:r>
      <w:r w:rsidRPr="00212D57">
        <w:rPr>
          <w:rFonts w:ascii="標楷體" w:eastAsia="標楷體" w:hAnsi="標楷體" w:hint="eastAsia"/>
          <w:szCs w:val="22"/>
        </w:rPr>
        <w:t>說通</w:t>
      </w:r>
      <w:r w:rsidR="003E00AE">
        <w:rPr>
          <w:rFonts w:ascii="標楷體" w:eastAsia="標楷體" w:hAnsi="標楷體" w:hint="eastAsia"/>
          <w:color w:val="FF0000"/>
          <w:szCs w:val="22"/>
          <w:highlight w:val="yellow"/>
        </w:rPr>
        <w:t>』</w:t>
      </w:r>
      <w:r w:rsidRPr="00212D57">
        <w:rPr>
          <w:rFonts w:ascii="標楷體" w:eastAsia="標楷體" w:hAnsi="標楷體" w:hint="eastAsia"/>
          <w:szCs w:val="22"/>
        </w:rPr>
        <w:t>者，謂隨眾生心之所應，為說種種眾具契經──是名</w:t>
      </w:r>
      <w:r w:rsidR="003E00AE" w:rsidRPr="003E00AE">
        <w:rPr>
          <w:rFonts w:ascii="標楷體" w:eastAsia="標楷體" w:hAnsi="標楷體" w:hint="eastAsia"/>
          <w:color w:val="FF0000"/>
          <w:szCs w:val="22"/>
          <w:highlight w:val="yellow"/>
        </w:rPr>
        <w:t>『</w:t>
      </w:r>
      <w:r w:rsidRPr="00212D57">
        <w:rPr>
          <w:rFonts w:ascii="標楷體" w:eastAsia="標楷體" w:hAnsi="標楷體" w:hint="eastAsia"/>
          <w:szCs w:val="22"/>
        </w:rPr>
        <w:t>說通</w:t>
      </w:r>
      <w:r w:rsidR="003E00AE">
        <w:rPr>
          <w:rFonts w:ascii="標楷體" w:eastAsia="標楷體" w:hAnsi="標楷體" w:hint="eastAsia"/>
          <w:color w:val="FF0000"/>
          <w:szCs w:val="22"/>
          <w:highlight w:val="yellow"/>
        </w:rPr>
        <w:t>』</w:t>
      </w:r>
      <w:r w:rsidRPr="00212D57">
        <w:rPr>
          <w:rFonts w:ascii="標楷體" w:eastAsia="標楷體" w:hAnsi="標楷體" w:hint="eastAsia"/>
          <w:szCs w:val="22"/>
        </w:rPr>
        <w:t>。</w:t>
      </w:r>
      <w:r w:rsidR="003E00AE" w:rsidRPr="003E00AE">
        <w:rPr>
          <w:rFonts w:ascii="標楷體" w:eastAsia="標楷體" w:hAnsi="標楷體" w:hint="eastAsia"/>
          <w:color w:val="FF0000"/>
          <w:szCs w:val="22"/>
          <w:highlight w:val="yellow"/>
        </w:rPr>
        <w:t>『</w:t>
      </w:r>
      <w:r w:rsidRPr="00212D57">
        <w:rPr>
          <w:rFonts w:ascii="標楷體" w:eastAsia="標楷體" w:hAnsi="標楷體" w:hint="eastAsia"/>
          <w:szCs w:val="22"/>
        </w:rPr>
        <w:t>自宗通</w:t>
      </w:r>
      <w:r w:rsidR="003E00AE">
        <w:rPr>
          <w:rFonts w:ascii="標楷體" w:eastAsia="標楷體" w:hAnsi="標楷體" w:hint="eastAsia"/>
          <w:color w:val="FF0000"/>
          <w:szCs w:val="22"/>
          <w:highlight w:val="yellow"/>
        </w:rPr>
        <w:t>』</w:t>
      </w:r>
      <w:r w:rsidRPr="00212D57">
        <w:rPr>
          <w:rFonts w:ascii="標楷體" w:eastAsia="標楷體" w:hAnsi="標楷體" w:hint="eastAsia"/>
          <w:szCs w:val="22"/>
        </w:rPr>
        <w:t>者，謂修行者離自心現種種妄想，謂不墮一</w:t>
      </w:r>
      <w:r w:rsidR="00FC5651">
        <w:rPr>
          <w:rFonts w:ascii="標楷體" w:eastAsia="標楷體" w:hAnsi="標楷體" w:hint="eastAsia"/>
          <w:color w:val="FF0000"/>
          <w:spacing w:val="-4"/>
          <w:kern w:val="0"/>
          <w:highlight w:val="yellow"/>
        </w:rPr>
        <w:t>、</w:t>
      </w:r>
      <w:r w:rsidRPr="00212D57">
        <w:rPr>
          <w:rFonts w:ascii="標楷體" w:eastAsia="標楷體" w:hAnsi="標楷體" w:hint="eastAsia"/>
          <w:szCs w:val="22"/>
        </w:rPr>
        <w:t>異、俱</w:t>
      </w:r>
      <w:r w:rsidR="00FC5651">
        <w:rPr>
          <w:rFonts w:ascii="標楷體" w:eastAsia="標楷體" w:hAnsi="標楷體" w:hint="eastAsia"/>
          <w:color w:val="FF0000"/>
          <w:spacing w:val="-4"/>
          <w:kern w:val="0"/>
          <w:highlight w:val="yellow"/>
        </w:rPr>
        <w:t>、</w:t>
      </w:r>
      <w:r w:rsidRPr="00212D57">
        <w:rPr>
          <w:rFonts w:ascii="標楷體" w:eastAsia="標楷體" w:hAnsi="標楷體" w:hint="eastAsia"/>
          <w:szCs w:val="22"/>
        </w:rPr>
        <w:t>不俱品，超度一切心、意、意識</w:t>
      </w:r>
      <w:r w:rsidR="003E00AE">
        <w:rPr>
          <w:rFonts w:ascii="標楷體" w:eastAsia="標楷體" w:hAnsi="標楷體" w:hint="eastAsia"/>
          <w:color w:val="FF0000"/>
          <w:szCs w:val="22"/>
          <w:highlight w:val="yellow"/>
        </w:rPr>
        <w:t>，</w:t>
      </w:r>
      <w:r w:rsidRPr="00212D57">
        <w:rPr>
          <w:rFonts w:ascii="標楷體" w:eastAsia="標楷體" w:hAnsi="標楷體" w:hint="eastAsia"/>
          <w:szCs w:val="22"/>
        </w:rPr>
        <w:t>自覺聖境界，離因成見相，一切外道、聲聞、緣覺</w:t>
      </w:r>
      <w:r w:rsidR="003E00AE" w:rsidRPr="003E00AE">
        <w:rPr>
          <w:rFonts w:ascii="標楷體" w:eastAsia="標楷體" w:hAnsi="標楷體" w:hint="eastAsia"/>
          <w:color w:val="FF0000"/>
          <w:szCs w:val="22"/>
          <w:highlight w:val="yellow"/>
        </w:rPr>
        <w:t>、</w:t>
      </w:r>
      <w:r w:rsidRPr="00212D57">
        <w:rPr>
          <w:rFonts w:ascii="標楷體" w:eastAsia="標楷體" w:hAnsi="標楷體" w:hint="eastAsia"/>
          <w:szCs w:val="22"/>
        </w:rPr>
        <w:t>墮二邊</w:t>
      </w:r>
      <w:r w:rsidRPr="003E00AE">
        <w:rPr>
          <w:rFonts w:ascii="標楷體" w:eastAsia="標楷體" w:hAnsi="標楷體" w:hint="eastAsia"/>
          <w:szCs w:val="22"/>
          <w:highlight w:val="yellow"/>
        </w:rPr>
        <w:t>者所</w:t>
      </w:r>
      <w:r w:rsidRPr="00212D57">
        <w:rPr>
          <w:rFonts w:ascii="標楷體" w:eastAsia="標楷體" w:hAnsi="標楷體" w:hint="eastAsia"/>
          <w:szCs w:val="22"/>
        </w:rPr>
        <w:t>不能知──我說是名</w:t>
      </w:r>
      <w:r w:rsidR="003E00AE" w:rsidRPr="003E00AE">
        <w:rPr>
          <w:rFonts w:ascii="標楷體" w:eastAsia="標楷體" w:hAnsi="標楷體" w:hint="eastAsia"/>
          <w:color w:val="FF0000"/>
          <w:szCs w:val="22"/>
          <w:highlight w:val="yellow"/>
        </w:rPr>
        <w:t>『</w:t>
      </w:r>
      <w:r w:rsidRPr="00212D57">
        <w:rPr>
          <w:rFonts w:ascii="標楷體" w:eastAsia="標楷體" w:hAnsi="標楷體" w:hint="eastAsia"/>
          <w:szCs w:val="22"/>
        </w:rPr>
        <w:t>自宗通法</w:t>
      </w:r>
      <w:r w:rsidR="003E00AE">
        <w:rPr>
          <w:rFonts w:ascii="標楷體" w:eastAsia="標楷體" w:hAnsi="標楷體" w:hint="eastAsia"/>
          <w:color w:val="FF0000"/>
          <w:szCs w:val="22"/>
          <w:highlight w:val="yellow"/>
        </w:rPr>
        <w:t>』</w:t>
      </w:r>
      <w:r w:rsidRPr="00212D57">
        <w:rPr>
          <w:rFonts w:ascii="標楷體" w:eastAsia="標楷體" w:hAnsi="標楷體" w:hint="eastAsia"/>
          <w:szCs w:val="22"/>
        </w:rPr>
        <w:t>。大慧！是名</w:t>
      </w:r>
      <w:r w:rsidR="003E00AE" w:rsidRPr="003E00AE">
        <w:rPr>
          <w:rFonts w:ascii="標楷體" w:eastAsia="標楷體" w:hAnsi="標楷體" w:hint="eastAsia"/>
          <w:color w:val="FF0000"/>
          <w:szCs w:val="22"/>
          <w:highlight w:val="yellow"/>
        </w:rPr>
        <w:t>『</w:t>
      </w:r>
      <w:r w:rsidRPr="00212D57">
        <w:rPr>
          <w:rFonts w:ascii="標楷體" w:eastAsia="標楷體" w:hAnsi="標楷體" w:hint="eastAsia"/>
          <w:szCs w:val="22"/>
        </w:rPr>
        <w:t>自宗通</w:t>
      </w:r>
      <w:r w:rsidR="003E00AE">
        <w:rPr>
          <w:rFonts w:ascii="標楷體" w:eastAsia="標楷體" w:hAnsi="標楷體" w:hint="eastAsia"/>
          <w:color w:val="FF0000"/>
          <w:szCs w:val="22"/>
          <w:highlight w:val="yellow"/>
        </w:rPr>
        <w:t>』</w:t>
      </w:r>
      <w:r w:rsidRPr="00212D57">
        <w:rPr>
          <w:rFonts w:ascii="標楷體" w:eastAsia="標楷體" w:hAnsi="標楷體" w:hint="eastAsia"/>
          <w:szCs w:val="22"/>
        </w:rPr>
        <w:t>及</w:t>
      </w:r>
      <w:r w:rsidR="003E00AE" w:rsidRPr="003E00AE">
        <w:rPr>
          <w:rFonts w:ascii="標楷體" w:eastAsia="標楷體" w:hAnsi="標楷體" w:hint="eastAsia"/>
          <w:color w:val="FF0000"/>
          <w:szCs w:val="22"/>
          <w:highlight w:val="yellow"/>
        </w:rPr>
        <w:t>『</w:t>
      </w:r>
      <w:r w:rsidRPr="00212D57">
        <w:rPr>
          <w:rFonts w:ascii="標楷體" w:eastAsia="標楷體" w:hAnsi="標楷體" w:hint="eastAsia"/>
          <w:szCs w:val="22"/>
        </w:rPr>
        <w:t>說通</w:t>
      </w:r>
      <w:r w:rsidR="003E00AE">
        <w:rPr>
          <w:rFonts w:ascii="標楷體" w:eastAsia="標楷體" w:hAnsi="標楷體" w:hint="eastAsia"/>
          <w:color w:val="FF0000"/>
          <w:szCs w:val="22"/>
          <w:highlight w:val="yellow"/>
        </w:rPr>
        <w:t>』</w:t>
      </w:r>
      <w:r w:rsidRPr="00212D57">
        <w:rPr>
          <w:rFonts w:ascii="標楷體" w:eastAsia="標楷體" w:hAnsi="標楷體" w:hint="eastAsia"/>
          <w:szCs w:val="22"/>
        </w:rPr>
        <w:t>相。汝及餘菩薩摩訶</w:t>
      </w:r>
      <w:r w:rsidRPr="003E00AE">
        <w:rPr>
          <w:rFonts w:ascii="標楷體" w:eastAsia="標楷體" w:hAnsi="標楷體" w:hint="eastAsia"/>
          <w:szCs w:val="22"/>
          <w:highlight w:val="yellow"/>
        </w:rPr>
        <w:t>薩應</w:t>
      </w:r>
      <w:r w:rsidRPr="00212D57">
        <w:rPr>
          <w:rFonts w:ascii="標楷體" w:eastAsia="標楷體" w:hAnsi="標楷體" w:hint="eastAsia"/>
          <w:szCs w:val="22"/>
        </w:rPr>
        <w:t>當修學。」</w:t>
      </w:r>
    </w:p>
    <w:p w:rsidR="00157EF6" w:rsidRPr="00212D57" w:rsidRDefault="00157EF6" w:rsidP="007A2FAB">
      <w:pPr>
        <w:pStyle w:val="a5"/>
        <w:ind w:leftChars="335" w:left="804"/>
        <w:jc w:val="both"/>
        <w:rPr>
          <w:rFonts w:ascii="標楷體" w:eastAsia="標楷體" w:hAnsi="標楷體"/>
          <w:szCs w:val="22"/>
        </w:rPr>
      </w:pPr>
      <w:r w:rsidRPr="00212D57">
        <w:rPr>
          <w:rFonts w:ascii="標楷體" w:eastAsia="標楷體" w:hAnsi="標楷體" w:hint="eastAsia"/>
          <w:szCs w:val="22"/>
        </w:rPr>
        <w:t>爾時，世尊欲重宣此義而說偈言：</w:t>
      </w:r>
    </w:p>
    <w:p w:rsidR="00157EF6" w:rsidRPr="00212D57" w:rsidRDefault="00157EF6" w:rsidP="007A2FAB">
      <w:pPr>
        <w:pStyle w:val="a5"/>
        <w:ind w:leftChars="335" w:left="804"/>
        <w:jc w:val="both"/>
        <w:rPr>
          <w:szCs w:val="22"/>
        </w:rPr>
      </w:pPr>
      <w:r w:rsidRPr="00212D57">
        <w:rPr>
          <w:rFonts w:ascii="標楷體" w:eastAsia="標楷體" w:hAnsi="標楷體" w:hint="eastAsia"/>
          <w:szCs w:val="22"/>
        </w:rPr>
        <w:t>「謂我二種通，宗通及言說，說者授童蒙，宗為修行者。」</w:t>
      </w:r>
    </w:p>
    <w:p w:rsidR="00157EF6" w:rsidRPr="00212D57" w:rsidRDefault="00157EF6" w:rsidP="007A2FAB">
      <w:pPr>
        <w:pStyle w:val="a5"/>
        <w:ind w:leftChars="105" w:left="79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w:t>
      </w:r>
      <w:r w:rsidRPr="00212D57">
        <w:rPr>
          <w:szCs w:val="22"/>
        </w:rPr>
        <w:t>印順法師，《我之宗教觀》，</w:t>
      </w:r>
      <w:r w:rsidRPr="00761EF3">
        <w:rPr>
          <w:szCs w:val="22"/>
        </w:rPr>
        <w:t>p</w:t>
      </w:r>
      <w:r w:rsidRPr="00212D57">
        <w:rPr>
          <w:szCs w:val="22"/>
        </w:rPr>
        <w:t>.</w:t>
      </w:r>
      <w:r w:rsidRPr="00761EF3">
        <w:rPr>
          <w:szCs w:val="22"/>
        </w:rPr>
        <w:t>3</w:t>
      </w:r>
      <w:r w:rsidRPr="00212D57">
        <w:rPr>
          <w:rFonts w:hint="eastAsia"/>
          <w:szCs w:val="22"/>
        </w:rPr>
        <w:t>：</w:t>
      </w:r>
    </w:p>
    <w:p w:rsidR="00157EF6" w:rsidRPr="00212D57" w:rsidRDefault="00157EF6" w:rsidP="007A2FAB">
      <w:pPr>
        <w:pStyle w:val="a5"/>
        <w:ind w:leftChars="335" w:left="804"/>
        <w:jc w:val="both"/>
        <w:rPr>
          <w:rFonts w:ascii="標楷體" w:eastAsia="標楷體" w:hAnsi="標楷體"/>
          <w:szCs w:val="22"/>
        </w:rPr>
      </w:pPr>
      <w:r w:rsidRPr="00212D57">
        <w:rPr>
          <w:rFonts w:ascii="標楷體" w:eastAsia="標楷體" w:hAnsi="標楷體"/>
          <w:szCs w:val="22"/>
        </w:rPr>
        <w:t>宗（證）與教，出於《楞伽經》等，意義是不同的。</w:t>
      </w:r>
      <w:r w:rsidRPr="00FC5651">
        <w:rPr>
          <w:rFonts w:ascii="標楷體" w:eastAsia="標楷體" w:hAnsi="標楷體"/>
          <w:szCs w:val="22"/>
          <w:shd w:val="pct15" w:color="auto" w:fill="FFFFFF"/>
        </w:rPr>
        <w:t>……</w:t>
      </w:r>
    </w:p>
    <w:p w:rsidR="00157EF6" w:rsidRPr="00212D57" w:rsidRDefault="00157EF6" w:rsidP="007A2FAB">
      <w:pPr>
        <w:pStyle w:val="a5"/>
        <w:ind w:leftChars="335" w:left="804"/>
        <w:jc w:val="both"/>
        <w:rPr>
          <w:rFonts w:ascii="標楷體" w:eastAsia="標楷體" w:hAnsi="標楷體"/>
          <w:szCs w:val="22"/>
        </w:rPr>
      </w:pPr>
      <w:r w:rsidRPr="00212D57">
        <w:rPr>
          <w:rFonts w:ascii="標楷體" w:eastAsia="標楷體" w:hAnsi="標楷體"/>
          <w:szCs w:val="22"/>
        </w:rPr>
        <w:t>如釋迦牟尼佛在菩提樹下的證悟，名為</w:t>
      </w:r>
      <w:r w:rsidRPr="00212D57">
        <w:rPr>
          <w:rFonts w:ascii="標楷體" w:eastAsia="標楷體" w:hAnsi="標楷體"/>
          <w:b/>
          <w:szCs w:val="22"/>
        </w:rPr>
        <w:t>宗</w:t>
      </w:r>
      <w:r w:rsidRPr="00212D57">
        <w:rPr>
          <w:rFonts w:ascii="標楷體" w:eastAsia="標楷體" w:hAnsi="標楷體"/>
          <w:szCs w:val="22"/>
        </w:rPr>
        <w:t>；佛因教化眾生而說法，名為</w:t>
      </w:r>
      <w:r w:rsidRPr="00212D57">
        <w:rPr>
          <w:rFonts w:ascii="標楷體" w:eastAsia="標楷體" w:hAnsi="標楷體"/>
          <w:b/>
          <w:szCs w:val="22"/>
        </w:rPr>
        <w:t>教</w:t>
      </w:r>
      <w:r w:rsidRPr="00212D57">
        <w:rPr>
          <w:rFonts w:ascii="標楷體" w:eastAsia="標楷體" w:hAnsi="標楷體"/>
          <w:szCs w:val="22"/>
        </w:rPr>
        <w:t>。</w:t>
      </w:r>
    </w:p>
    <w:p w:rsidR="00157EF6" w:rsidRPr="00212D57" w:rsidRDefault="00157EF6" w:rsidP="007A2FAB">
      <w:pPr>
        <w:pStyle w:val="a5"/>
        <w:ind w:leftChars="335" w:left="804"/>
        <w:jc w:val="both"/>
        <w:rPr>
          <w:rFonts w:ascii="標楷體" w:eastAsia="標楷體" w:hAnsi="標楷體"/>
          <w:szCs w:val="22"/>
        </w:rPr>
      </w:pPr>
      <w:r w:rsidRPr="00212D57">
        <w:rPr>
          <w:rFonts w:ascii="標楷體" w:eastAsia="標楷體" w:hAnsi="標楷體"/>
          <w:szCs w:val="22"/>
        </w:rPr>
        <w:t>我們如依佛所說的</w:t>
      </w:r>
      <w:r w:rsidRPr="00212D57">
        <w:rPr>
          <w:rFonts w:ascii="標楷體" w:eastAsia="標楷體" w:hAnsi="標楷體"/>
          <w:b/>
          <w:szCs w:val="22"/>
        </w:rPr>
        <w:t>教</w:t>
      </w:r>
      <w:r w:rsidRPr="00212D57">
        <w:rPr>
          <w:rFonts w:ascii="標楷體" w:eastAsia="標楷體" w:hAnsi="標楷體"/>
          <w:szCs w:val="22"/>
        </w:rPr>
        <w:t>去實行，也能達到佛那樣的證入（</w:t>
      </w:r>
      <w:r w:rsidRPr="00212D57">
        <w:rPr>
          <w:rFonts w:ascii="標楷體" w:eastAsia="標楷體" w:hAnsi="標楷體"/>
          <w:b/>
          <w:szCs w:val="22"/>
        </w:rPr>
        <w:t>宗</w:t>
      </w:r>
      <w:r w:rsidRPr="00212D57">
        <w:rPr>
          <w:rFonts w:ascii="標楷體" w:eastAsia="標楷體" w:hAnsi="標楷體"/>
          <w:szCs w:val="22"/>
        </w:rPr>
        <w:t>）。</w:t>
      </w:r>
    </w:p>
    <w:p w:rsidR="00157EF6" w:rsidRPr="00212D57" w:rsidRDefault="00157EF6" w:rsidP="007A2FAB">
      <w:pPr>
        <w:pStyle w:val="a5"/>
        <w:ind w:leftChars="335" w:left="804"/>
        <w:jc w:val="both"/>
        <w:rPr>
          <w:rFonts w:ascii="標楷體" w:eastAsia="標楷體" w:hAnsi="標楷體"/>
          <w:szCs w:val="22"/>
        </w:rPr>
      </w:pPr>
      <w:r w:rsidRPr="00212D57">
        <w:rPr>
          <w:rFonts w:ascii="標楷體" w:eastAsia="標楷體" w:hAnsi="標楷體"/>
          <w:szCs w:val="22"/>
        </w:rPr>
        <w:t>所以，</w:t>
      </w:r>
      <w:r w:rsidRPr="00212D57">
        <w:rPr>
          <w:rFonts w:ascii="標楷體" w:eastAsia="標楷體" w:hAnsi="標楷體"/>
          <w:b/>
          <w:szCs w:val="22"/>
        </w:rPr>
        <w:t>宗是直覺的特殊經驗，教是用文字表達的</w:t>
      </w:r>
      <w:r w:rsidRPr="00212D57">
        <w:rPr>
          <w:rFonts w:ascii="標楷體" w:eastAsia="標楷體" w:hAnsi="標楷體"/>
          <w:szCs w:val="22"/>
        </w:rPr>
        <w:t>。</w:t>
      </w:r>
    </w:p>
    <w:p w:rsidR="00157EF6" w:rsidRPr="00212D57" w:rsidRDefault="00157EF6" w:rsidP="007A2FAB">
      <w:pPr>
        <w:pStyle w:val="a5"/>
        <w:ind w:leftChars="335" w:left="804"/>
        <w:jc w:val="both"/>
        <w:rPr>
          <w:rFonts w:ascii="標楷體" w:eastAsia="標楷體" w:hAnsi="標楷體"/>
          <w:szCs w:val="22"/>
        </w:rPr>
      </w:pPr>
      <w:r w:rsidRPr="00212D57">
        <w:rPr>
          <w:rFonts w:ascii="標楷體" w:eastAsia="標楷體" w:hAnsi="標楷體"/>
          <w:szCs w:val="22"/>
        </w:rPr>
        <w:t>依此，凡重於了解的，稱為</w:t>
      </w:r>
      <w:r w:rsidRPr="00212D57">
        <w:rPr>
          <w:rFonts w:ascii="標楷體" w:eastAsia="標楷體" w:hAnsi="標楷體"/>
          <w:b/>
          <w:szCs w:val="22"/>
        </w:rPr>
        <w:t>教</w:t>
      </w:r>
      <w:r w:rsidRPr="00212D57">
        <w:rPr>
          <w:rFonts w:ascii="標楷體" w:eastAsia="標楷體" w:hAnsi="標楷體"/>
          <w:szCs w:val="22"/>
        </w:rPr>
        <w:t>；重於行證的，名為</w:t>
      </w:r>
      <w:r w:rsidRPr="00212D57">
        <w:rPr>
          <w:rFonts w:ascii="標楷體" w:eastAsia="標楷體" w:hAnsi="標楷體"/>
          <w:b/>
          <w:szCs w:val="22"/>
        </w:rPr>
        <w:t>宗</w:t>
      </w:r>
      <w:r w:rsidRPr="00212D57">
        <w:rPr>
          <w:rFonts w:ascii="標楷體" w:eastAsia="標楷體" w:hAnsi="標楷體"/>
          <w:szCs w:val="22"/>
        </w:rPr>
        <w:t>。</w:t>
      </w:r>
    </w:p>
    <w:p w:rsidR="00157EF6" w:rsidRPr="00212D57" w:rsidRDefault="00157EF6" w:rsidP="007A2FAB">
      <w:pPr>
        <w:pStyle w:val="a5"/>
        <w:ind w:leftChars="335" w:left="804"/>
        <w:jc w:val="both"/>
        <w:rPr>
          <w:rFonts w:ascii="標楷體" w:eastAsia="標楷體" w:hAnsi="標楷體"/>
          <w:szCs w:val="22"/>
        </w:rPr>
      </w:pPr>
      <w:r w:rsidRPr="00212D57">
        <w:rPr>
          <w:rFonts w:ascii="標楷體" w:eastAsia="標楷體" w:hAnsi="標楷體"/>
          <w:szCs w:val="22"/>
        </w:rPr>
        <w:t>這樣的宗教定義，不但合於佛教，其他的宗教，也可以符合。</w:t>
      </w:r>
    </w:p>
  </w:footnote>
  <w:footnote w:id="105">
    <w:p w:rsidR="00157EF6" w:rsidRPr="00212D57" w:rsidRDefault="00157EF6" w:rsidP="00091862">
      <w:pPr>
        <w:tabs>
          <w:tab w:val="left" w:pos="1596"/>
        </w:tabs>
        <w:snapToGrid w:val="0"/>
        <w:jc w:val="both"/>
        <w:rPr>
          <w:rFonts w:ascii="Times New Roman" w:hAnsi="Times New Roman"/>
          <w:sz w:val="22"/>
          <w:szCs w:val="22"/>
        </w:rPr>
      </w:pPr>
      <w:r w:rsidRPr="00212D57">
        <w:rPr>
          <w:rStyle w:val="a6"/>
          <w:rFonts w:ascii="Times New Roman" w:hAnsi="Times New Roman"/>
          <w:sz w:val="22"/>
          <w:szCs w:val="22"/>
        </w:rPr>
        <w:footnoteRef/>
      </w:r>
      <w:r w:rsidRPr="00212D57">
        <w:rPr>
          <w:rFonts w:ascii="Times New Roman" w:hAnsi="Times New Roman"/>
          <w:sz w:val="22"/>
          <w:szCs w:val="22"/>
        </w:rPr>
        <w:tab/>
      </w:r>
      <w:r w:rsidRPr="00212D57">
        <w:rPr>
          <w:rFonts w:ascii="新細明體" w:hAnsi="新細明體" w:hint="eastAsia"/>
          <w:sz w:val="22"/>
          <w:szCs w:val="22"/>
        </w:rPr>
        <w:t>┌中實：</w:t>
      </w:r>
      <w:r w:rsidRPr="00212D57">
        <w:rPr>
          <w:rFonts w:ascii="Times New Roman" w:hAnsi="Times New Roman" w:hint="eastAsia"/>
          <w:sz w:val="22"/>
          <w:szCs w:val="22"/>
        </w:rPr>
        <w:t>不取著名相、不落於對待</w:t>
      </w:r>
      <w:r w:rsidRPr="00212D57">
        <w:rPr>
          <w:rFonts w:ascii="新細明體" w:hAnsi="新細明體" w:hint="eastAsia"/>
          <w:sz w:val="22"/>
          <w:szCs w:val="22"/>
        </w:rPr>
        <w:t>──</w:t>
      </w:r>
      <w:r w:rsidRPr="00212D57">
        <w:rPr>
          <w:rFonts w:ascii="Times New Roman" w:hAnsi="Times New Roman" w:hint="eastAsia"/>
          <w:sz w:val="22"/>
          <w:szCs w:val="22"/>
        </w:rPr>
        <w:t>（「宗」歸一實）</w:t>
      </w:r>
    </w:p>
    <w:p w:rsidR="00157EF6" w:rsidRPr="00212D57" w:rsidRDefault="00157EF6" w:rsidP="00091862">
      <w:pPr>
        <w:tabs>
          <w:tab w:val="left" w:pos="1596"/>
        </w:tabs>
        <w:snapToGrid w:val="0"/>
        <w:ind w:leftChars="105" w:left="252"/>
        <w:jc w:val="both"/>
        <w:rPr>
          <w:rFonts w:ascii="Times New Roman" w:hAnsi="Times New Roman"/>
          <w:sz w:val="22"/>
          <w:szCs w:val="22"/>
        </w:rPr>
      </w:pPr>
      <w:r w:rsidRPr="00212D57">
        <w:rPr>
          <w:rFonts w:ascii="Times New Roman" w:hAnsi="Times New Roman" w:hint="eastAsia"/>
          <w:sz w:val="22"/>
          <w:szCs w:val="22"/>
        </w:rPr>
        <w:t>龍樹的中道論</w:t>
      </w:r>
      <w:r w:rsidRPr="00212D57">
        <w:rPr>
          <w:rFonts w:ascii="Times New Roman" w:hAnsi="Times New Roman"/>
          <w:sz w:val="22"/>
          <w:szCs w:val="22"/>
        </w:rPr>
        <w:tab/>
      </w:r>
      <w:r w:rsidRPr="00212D57">
        <w:rPr>
          <w:rFonts w:ascii="新細明體" w:hAnsi="新細明體" w:hint="eastAsia"/>
          <w:sz w:val="22"/>
          <w:szCs w:val="22"/>
        </w:rPr>
        <w:t>┤</w:t>
      </w:r>
    </w:p>
    <w:p w:rsidR="00157EF6" w:rsidRPr="00212D57" w:rsidRDefault="00157EF6" w:rsidP="00091862">
      <w:pPr>
        <w:tabs>
          <w:tab w:val="left" w:pos="1596"/>
        </w:tabs>
        <w:snapToGrid w:val="0"/>
        <w:jc w:val="both"/>
        <w:rPr>
          <w:rFonts w:ascii="Times New Roman" w:hAnsi="Times New Roman" w:cs="Times Ext Roman"/>
          <w:sz w:val="22"/>
          <w:szCs w:val="22"/>
        </w:rPr>
      </w:pPr>
      <w:r w:rsidRPr="00212D57">
        <w:rPr>
          <w:rFonts w:ascii="新細明體" w:hAnsi="新細明體"/>
          <w:sz w:val="22"/>
          <w:szCs w:val="22"/>
        </w:rPr>
        <w:tab/>
      </w:r>
      <w:r w:rsidRPr="00212D57">
        <w:rPr>
          <w:rFonts w:ascii="新細明體" w:hAnsi="新細明體" w:hint="eastAsia"/>
          <w:sz w:val="22"/>
          <w:szCs w:val="22"/>
        </w:rPr>
        <w:t>└中正：</w:t>
      </w:r>
      <w:r w:rsidRPr="00212D57">
        <w:rPr>
          <w:rFonts w:ascii="Times New Roman" w:hAnsi="Times New Roman" w:hint="eastAsia"/>
          <w:sz w:val="22"/>
          <w:szCs w:val="22"/>
        </w:rPr>
        <w:t>綜貫「性相」及「空有」</w:t>
      </w:r>
      <w:r w:rsidRPr="00212D57">
        <w:rPr>
          <w:rFonts w:ascii="新細明體" w:hAnsi="新細明體" w:hint="eastAsia"/>
          <w:sz w:val="22"/>
          <w:szCs w:val="22"/>
        </w:rPr>
        <w:t>──</w:t>
      </w:r>
      <w:r w:rsidRPr="00212D57">
        <w:rPr>
          <w:rFonts w:ascii="Times New Roman" w:hAnsi="Times New Roman" w:hint="eastAsia"/>
          <w:sz w:val="22"/>
          <w:szCs w:val="22"/>
        </w:rPr>
        <w:t>（「教」申二諦）</w:t>
      </w:r>
    </w:p>
  </w:footnote>
  <w:footnote w:id="106">
    <w:p w:rsidR="00E45D18" w:rsidRPr="00212D57" w:rsidRDefault="00E45D18" w:rsidP="009E0A5A">
      <w:pPr>
        <w:pStyle w:val="a5"/>
        <w:ind w:left="187" w:hangingChars="85" w:hanging="187"/>
        <w:jc w:val="both"/>
        <w:rPr>
          <w:szCs w:val="22"/>
        </w:rPr>
      </w:pPr>
      <w:r w:rsidRPr="00212D57">
        <w:rPr>
          <w:rStyle w:val="a6"/>
          <w:szCs w:val="22"/>
        </w:rPr>
        <w:footnoteRef/>
      </w:r>
      <w:r w:rsidRPr="00212D57">
        <w:rPr>
          <w:rFonts w:hint="eastAsia"/>
          <w:szCs w:val="22"/>
        </w:rPr>
        <w:t xml:space="preserve"> </w:t>
      </w:r>
      <w:r>
        <w:rPr>
          <w:szCs w:val="22"/>
        </w:rPr>
        <w:t>參見：印</w:t>
      </w:r>
      <w:r w:rsidRPr="00212D57">
        <w:rPr>
          <w:szCs w:val="22"/>
        </w:rPr>
        <w:t>順法師</w:t>
      </w:r>
      <w:r w:rsidRPr="00212D57">
        <w:rPr>
          <w:rFonts w:hint="eastAsia"/>
          <w:szCs w:val="22"/>
        </w:rPr>
        <w:t>，</w:t>
      </w:r>
      <w:r w:rsidRPr="00212D57">
        <w:rPr>
          <w:szCs w:val="22"/>
        </w:rPr>
        <w:t>《印度佛教思想史》，</w:t>
      </w:r>
      <w:r w:rsidRPr="00761EF3">
        <w:rPr>
          <w:szCs w:val="22"/>
        </w:rPr>
        <w:t>pp</w:t>
      </w:r>
      <w:r w:rsidRPr="00212D57">
        <w:rPr>
          <w:szCs w:val="22"/>
        </w:rPr>
        <w:t>.</w:t>
      </w:r>
      <w:r w:rsidRPr="00761EF3">
        <w:rPr>
          <w:szCs w:val="22"/>
        </w:rPr>
        <w:t>119</w:t>
      </w:r>
      <w:r w:rsidRPr="00212D57">
        <w:rPr>
          <w:szCs w:val="22"/>
        </w:rPr>
        <w:t>-</w:t>
      </w:r>
      <w:r w:rsidRPr="00761EF3">
        <w:rPr>
          <w:szCs w:val="22"/>
        </w:rPr>
        <w:t>120</w:t>
      </w:r>
      <w:r w:rsidRPr="00212D57">
        <w:rPr>
          <w:szCs w:val="22"/>
        </w:rPr>
        <w:t>：</w:t>
      </w:r>
    </w:p>
    <w:p w:rsidR="00E45D18" w:rsidRPr="00212D57" w:rsidRDefault="00E45D18" w:rsidP="00E45D18">
      <w:pPr>
        <w:pStyle w:val="a5"/>
        <w:ind w:leftChars="75" w:left="180"/>
        <w:jc w:val="both"/>
        <w:rPr>
          <w:rFonts w:eastAsia="標楷體"/>
          <w:szCs w:val="22"/>
        </w:rPr>
      </w:pPr>
      <w:r w:rsidRPr="00212D57">
        <w:rPr>
          <w:rFonts w:eastAsia="標楷體"/>
          <w:szCs w:val="22"/>
        </w:rPr>
        <w:t>羅什譯出的《龍樹菩薩傳》說：</w:t>
      </w:r>
      <w:r>
        <w:rPr>
          <w:rFonts w:eastAsia="標楷體" w:hint="eastAsia"/>
          <w:szCs w:val="22"/>
        </w:rPr>
        <w:t>「</w:t>
      </w:r>
      <w:r w:rsidRPr="00212D57">
        <w:rPr>
          <w:rFonts w:eastAsia="標楷體"/>
          <w:szCs w:val="22"/>
        </w:rPr>
        <w:t>去此世以來，至今始過百歲。</w:t>
      </w:r>
      <w:r>
        <w:rPr>
          <w:rFonts w:eastAsia="標楷體" w:hint="eastAsia"/>
          <w:szCs w:val="22"/>
        </w:rPr>
        <w:t>」</w:t>
      </w:r>
      <w:r w:rsidRPr="00212D57">
        <w:rPr>
          <w:rFonts w:eastAsia="標楷體"/>
          <w:szCs w:val="22"/>
        </w:rPr>
        <w:t>羅什二十歲以前，在西域學得龍樹的大乘法門。</w:t>
      </w:r>
      <w:r w:rsidRPr="00761EF3">
        <w:rPr>
          <w:rFonts w:eastAsia="標楷體"/>
          <w:szCs w:val="22"/>
        </w:rPr>
        <w:t>20</w:t>
      </w:r>
      <w:r w:rsidRPr="00212D57">
        <w:rPr>
          <w:rFonts w:eastAsia="標楷體"/>
          <w:szCs w:val="22"/>
        </w:rPr>
        <w:t>歲以後，住在龜茲。前秦建元</w:t>
      </w:r>
      <w:r w:rsidRPr="00761EF3">
        <w:rPr>
          <w:rFonts w:eastAsia="標楷體"/>
          <w:szCs w:val="22"/>
        </w:rPr>
        <w:t>18</w:t>
      </w:r>
      <w:r w:rsidRPr="00212D57">
        <w:rPr>
          <w:rFonts w:eastAsia="標楷體"/>
          <w:szCs w:val="22"/>
        </w:rPr>
        <w:t>年（西元</w:t>
      </w:r>
      <w:r w:rsidRPr="00761EF3">
        <w:rPr>
          <w:rFonts w:eastAsia="標楷體"/>
          <w:szCs w:val="22"/>
        </w:rPr>
        <w:t>382</w:t>
      </w:r>
      <w:r w:rsidRPr="00212D57">
        <w:rPr>
          <w:rFonts w:eastAsia="標楷體"/>
          <w:szCs w:val="22"/>
        </w:rPr>
        <w:t>），羅什離龜茲而到了姑臧，住了</w:t>
      </w:r>
      <w:r w:rsidRPr="00761EF3">
        <w:rPr>
          <w:rFonts w:eastAsia="標楷體"/>
          <w:szCs w:val="22"/>
        </w:rPr>
        <w:t>19</w:t>
      </w:r>
      <w:r w:rsidRPr="00212D57">
        <w:rPr>
          <w:rFonts w:eastAsia="標楷體"/>
          <w:szCs w:val="22"/>
        </w:rPr>
        <w:t>年，才到長安。可見《龍樹傳》的成立，一定在西元</w:t>
      </w:r>
      <w:r w:rsidRPr="00761EF3">
        <w:rPr>
          <w:rFonts w:eastAsia="標楷體"/>
          <w:szCs w:val="22"/>
        </w:rPr>
        <w:t>382</w:t>
      </w:r>
      <w:r w:rsidRPr="00212D57">
        <w:rPr>
          <w:rFonts w:eastAsia="標楷體"/>
          <w:szCs w:val="22"/>
        </w:rPr>
        <w:t>年以前。那時，龍樹已去世百零年了，所以推定為：龍樹約生於西元</w:t>
      </w:r>
      <w:r w:rsidRPr="00761EF3">
        <w:rPr>
          <w:rFonts w:eastAsia="標楷體"/>
          <w:szCs w:val="22"/>
        </w:rPr>
        <w:t>150</w:t>
      </w:r>
      <w:r w:rsidRPr="00212D57">
        <w:rPr>
          <w:rFonts w:ascii="新細明體" w:hAnsi="新細明體"/>
          <w:szCs w:val="22"/>
        </w:rPr>
        <w:t>──</w:t>
      </w:r>
      <w:r w:rsidRPr="00761EF3">
        <w:rPr>
          <w:rFonts w:eastAsia="標楷體"/>
          <w:szCs w:val="22"/>
        </w:rPr>
        <w:t>250</w:t>
      </w:r>
      <w:r w:rsidRPr="00212D57">
        <w:rPr>
          <w:rFonts w:eastAsia="標楷體"/>
          <w:szCs w:val="22"/>
        </w:rPr>
        <w:t>年，這也是很長壽了！</w:t>
      </w:r>
    </w:p>
  </w:footnote>
  <w:footnote w:id="107">
    <w:p w:rsidR="00157EF6" w:rsidRPr="00212D57" w:rsidRDefault="00157EF6" w:rsidP="005F2F48">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〔姚秦〕鳩摩羅什譯</w:t>
      </w:r>
      <w:r w:rsidRPr="00212D57">
        <w:rPr>
          <w:rFonts w:hint="eastAsia"/>
          <w:szCs w:val="22"/>
        </w:rPr>
        <w:t>，</w:t>
      </w:r>
      <w:r w:rsidRPr="00212D57">
        <w:rPr>
          <w:szCs w:val="22"/>
        </w:rPr>
        <w:t>《龍樹菩薩傳》（大正</w:t>
      </w:r>
      <w:r w:rsidRPr="00761EF3">
        <w:rPr>
          <w:szCs w:val="22"/>
        </w:rPr>
        <w:t>50</w:t>
      </w:r>
      <w:r w:rsidRPr="00212D57">
        <w:rPr>
          <w:szCs w:val="22"/>
        </w:rPr>
        <w:t>，</w:t>
      </w:r>
      <w:r w:rsidRPr="00761EF3">
        <w:rPr>
          <w:szCs w:val="22"/>
        </w:rPr>
        <w:t>184</w:t>
      </w:r>
      <w:r w:rsidRPr="00761EF3">
        <w:rPr>
          <w:rFonts w:hint="eastAsia"/>
          <w:szCs w:val="22"/>
        </w:rPr>
        <w:t>a19</w:t>
      </w:r>
      <w:r w:rsidRPr="00212D57">
        <w:rPr>
          <w:rFonts w:hint="eastAsia"/>
          <w:szCs w:val="22"/>
        </w:rPr>
        <w:t>-</w:t>
      </w:r>
      <w:r w:rsidRPr="00761EF3">
        <w:rPr>
          <w:szCs w:val="22"/>
        </w:rPr>
        <w:t>b28</w:t>
      </w:r>
      <w:r w:rsidRPr="00212D57">
        <w:rPr>
          <w:szCs w:val="22"/>
        </w:rPr>
        <w:t>）</w:t>
      </w:r>
      <w:r w:rsidRPr="00212D57">
        <w:rPr>
          <w:rFonts w:hint="eastAsia"/>
          <w:szCs w:val="22"/>
        </w:rPr>
        <w:t>：</w:t>
      </w:r>
    </w:p>
    <w:p w:rsidR="00157EF6" w:rsidRPr="00212D57" w:rsidRDefault="00E45D18" w:rsidP="008E68AA">
      <w:pPr>
        <w:pStyle w:val="a5"/>
        <w:ind w:leftChars="75" w:left="180"/>
        <w:jc w:val="both"/>
        <w:rPr>
          <w:rFonts w:ascii="標楷體" w:eastAsia="標楷體" w:hAnsi="標楷體"/>
          <w:szCs w:val="22"/>
        </w:rPr>
      </w:pPr>
      <w:r>
        <w:rPr>
          <w:rFonts w:ascii="標楷體" w:eastAsia="標楷體" w:hAnsi="標楷體" w:hint="eastAsia"/>
          <w:bCs/>
          <w:color w:val="FF0000"/>
          <w:kern w:val="0"/>
          <w:highlight w:val="yellow"/>
        </w:rPr>
        <w:t>「</w:t>
      </w:r>
      <w:r w:rsidR="00157EF6" w:rsidRPr="00212D57">
        <w:rPr>
          <w:rFonts w:ascii="標楷體" w:eastAsia="標楷體" w:hAnsi="標楷體" w:hint="eastAsia"/>
          <w:szCs w:val="22"/>
        </w:rPr>
        <w:t>龍樹菩薩</w:t>
      </w:r>
      <w:r>
        <w:rPr>
          <w:rFonts w:ascii="標楷體" w:eastAsia="標楷體" w:hAnsi="標楷體" w:hint="eastAsia"/>
          <w:bCs/>
          <w:color w:val="FF0000"/>
          <w:kern w:val="0"/>
          <w:highlight w:val="yellow"/>
        </w:rPr>
        <w:t>」</w:t>
      </w:r>
      <w:r w:rsidR="00157EF6" w:rsidRPr="00212D57">
        <w:rPr>
          <w:rFonts w:ascii="標楷體" w:eastAsia="標楷體" w:hAnsi="標楷體" w:hint="eastAsia"/>
          <w:szCs w:val="22"/>
        </w:rPr>
        <w:t>者，出南天竺</w:t>
      </w:r>
      <w:r>
        <w:rPr>
          <w:rFonts w:ascii="標楷體" w:eastAsia="標楷體" w:hAnsi="標楷體" w:hint="eastAsia"/>
          <w:color w:val="FF0000"/>
          <w:kern w:val="0"/>
          <w:highlight w:val="yellow"/>
        </w:rPr>
        <w:t>，</w:t>
      </w:r>
      <w:r w:rsidR="00157EF6" w:rsidRPr="00212D57">
        <w:rPr>
          <w:rFonts w:ascii="標楷體" w:eastAsia="標楷體" w:hAnsi="標楷體" w:hint="eastAsia"/>
          <w:szCs w:val="22"/>
        </w:rPr>
        <w:t>梵志種也</w:t>
      </w:r>
      <w:r>
        <w:rPr>
          <w:rFonts w:ascii="標楷體" w:eastAsia="標楷體" w:hAnsi="標楷體" w:hint="eastAsia"/>
          <w:color w:val="FF0000"/>
          <w:spacing w:val="-4"/>
          <w:kern w:val="0"/>
          <w:highlight w:val="yellow"/>
        </w:rPr>
        <w:t>；</w:t>
      </w:r>
      <w:r w:rsidR="00157EF6" w:rsidRPr="00212D57">
        <w:rPr>
          <w:rFonts w:ascii="標楷體" w:eastAsia="標楷體" w:hAnsi="標楷體" w:hint="eastAsia"/>
          <w:szCs w:val="22"/>
        </w:rPr>
        <w:t>天聰奇悟</w:t>
      </w:r>
      <w:r>
        <w:rPr>
          <w:rFonts w:ascii="標楷體" w:eastAsia="標楷體" w:hAnsi="標楷體" w:hint="eastAsia"/>
          <w:color w:val="FF0000"/>
          <w:kern w:val="0"/>
          <w:highlight w:val="yellow"/>
        </w:rPr>
        <w:t>，</w:t>
      </w:r>
      <w:r w:rsidR="00157EF6" w:rsidRPr="00212D57">
        <w:rPr>
          <w:rFonts w:ascii="標楷體" w:eastAsia="標楷體" w:hAnsi="標楷體" w:hint="eastAsia"/>
          <w:szCs w:val="22"/>
        </w:rPr>
        <w:t>事不再告。在乳餔之中，聞諸梵志誦四圍陀典</w:t>
      </w:r>
      <w:r>
        <w:rPr>
          <w:rFonts w:ascii="標楷體" w:eastAsia="標楷體" w:hAnsi="標楷體" w:hint="eastAsia"/>
          <w:color w:val="FF0000"/>
          <w:kern w:val="0"/>
          <w:highlight w:val="yellow"/>
        </w:rPr>
        <w:t>，</w:t>
      </w:r>
      <w:r w:rsidR="00157EF6" w:rsidRPr="00212D57">
        <w:rPr>
          <w:rFonts w:ascii="標楷體" w:eastAsia="標楷體" w:hAnsi="標楷體" w:hint="eastAsia"/>
          <w:szCs w:val="22"/>
        </w:rPr>
        <w:t>各四萬偈，偈有三十二字，皆諷其文而領其義。弱冠馳名，獨步諸國，天文</w:t>
      </w:r>
      <w:r>
        <w:rPr>
          <w:rFonts w:ascii="標楷體" w:eastAsia="標楷體" w:hAnsi="標楷體" w:hint="eastAsia"/>
          <w:color w:val="FF0000"/>
          <w:spacing w:val="-4"/>
          <w:kern w:val="0"/>
          <w:highlight w:val="yellow"/>
        </w:rPr>
        <w:t>、</w:t>
      </w:r>
      <w:r w:rsidR="00157EF6" w:rsidRPr="00212D57">
        <w:rPr>
          <w:rFonts w:ascii="標楷體" w:eastAsia="標楷體" w:hAnsi="標楷體" w:hint="eastAsia"/>
          <w:szCs w:val="22"/>
        </w:rPr>
        <w:t>地理</w:t>
      </w:r>
      <w:r>
        <w:rPr>
          <w:rFonts w:ascii="標楷體" w:eastAsia="標楷體" w:hAnsi="標楷體" w:hint="eastAsia"/>
          <w:color w:val="FF0000"/>
          <w:spacing w:val="-4"/>
          <w:kern w:val="0"/>
          <w:highlight w:val="yellow"/>
        </w:rPr>
        <w:t>、</w:t>
      </w:r>
      <w:r w:rsidR="00157EF6" w:rsidRPr="00212D57">
        <w:rPr>
          <w:rFonts w:ascii="標楷體" w:eastAsia="標楷體" w:hAnsi="標楷體" w:hint="eastAsia"/>
          <w:szCs w:val="22"/>
        </w:rPr>
        <w:t>圖緯</w:t>
      </w:r>
      <w:r>
        <w:rPr>
          <w:rFonts w:ascii="標楷體" w:eastAsia="標楷體" w:hAnsi="標楷體" w:hint="eastAsia"/>
          <w:color w:val="FF0000"/>
          <w:spacing w:val="-4"/>
          <w:kern w:val="0"/>
          <w:highlight w:val="yellow"/>
        </w:rPr>
        <w:t>、</w:t>
      </w:r>
      <w:r w:rsidR="00157EF6" w:rsidRPr="00212D57">
        <w:rPr>
          <w:rFonts w:ascii="標楷體" w:eastAsia="標楷體" w:hAnsi="標楷體" w:hint="eastAsia"/>
          <w:szCs w:val="22"/>
        </w:rPr>
        <w:t>祕</w:t>
      </w:r>
      <w:r w:rsidR="00157EF6" w:rsidRPr="00E45D18">
        <w:rPr>
          <w:rFonts w:ascii="標楷體" w:eastAsia="標楷體" w:hAnsi="標楷體" w:hint="eastAsia"/>
          <w:szCs w:val="22"/>
          <w:highlight w:val="yellow"/>
        </w:rPr>
        <w:t>讖及</w:t>
      </w:r>
      <w:r w:rsidR="00157EF6" w:rsidRPr="00212D57">
        <w:rPr>
          <w:rFonts w:ascii="標楷體" w:eastAsia="標楷體" w:hAnsi="標楷體" w:hint="eastAsia"/>
          <w:szCs w:val="22"/>
        </w:rPr>
        <w:t>諸道術無不悉綜。</w:t>
      </w:r>
      <w:r w:rsidR="00C31BFC">
        <w:rPr>
          <w:rFonts w:ascii="標楷體" w:eastAsia="標楷體" w:hAnsi="標楷體" w:hint="eastAsia"/>
          <w:bCs/>
          <w:szCs w:val="22"/>
          <w:shd w:val="pct15" w:color="auto" w:fill="FFFFFF"/>
        </w:rPr>
        <w:t>……</w:t>
      </w:r>
    </w:p>
    <w:p w:rsidR="00157EF6" w:rsidRPr="00212D57" w:rsidRDefault="00157EF6" w:rsidP="008E68AA">
      <w:pPr>
        <w:pStyle w:val="a5"/>
        <w:ind w:leftChars="75" w:left="180"/>
        <w:jc w:val="both"/>
        <w:rPr>
          <w:rFonts w:ascii="標楷體" w:eastAsia="標楷體" w:hAnsi="標楷體"/>
          <w:szCs w:val="22"/>
        </w:rPr>
      </w:pPr>
      <w:r w:rsidRPr="00212D57">
        <w:rPr>
          <w:rFonts w:ascii="標楷體" w:eastAsia="標楷體" w:hAnsi="標楷體" w:hint="eastAsia"/>
          <w:szCs w:val="22"/>
        </w:rPr>
        <w:t>常入王宮，宮中美人皆被侵淩</w:t>
      </w:r>
      <w:r w:rsidR="00E45D18">
        <w:rPr>
          <w:rFonts w:ascii="標楷體" w:eastAsia="標楷體" w:hAnsi="標楷體" w:hint="eastAsia"/>
          <w:color w:val="FF0000"/>
          <w:spacing w:val="-4"/>
          <w:kern w:val="0"/>
          <w:highlight w:val="yellow"/>
        </w:rPr>
        <w:t>；</w:t>
      </w:r>
      <w:r w:rsidRPr="00212D57">
        <w:rPr>
          <w:rFonts w:ascii="標楷體" w:eastAsia="標楷體" w:hAnsi="標楷體" w:hint="eastAsia"/>
          <w:szCs w:val="22"/>
        </w:rPr>
        <w:t>百餘日後</w:t>
      </w:r>
      <w:r w:rsidR="00E45D18">
        <w:rPr>
          <w:rFonts w:ascii="標楷體" w:eastAsia="標楷體" w:hAnsi="標楷體" w:hint="eastAsia"/>
          <w:color w:val="FF0000"/>
          <w:kern w:val="0"/>
          <w:highlight w:val="yellow"/>
        </w:rPr>
        <w:t>，</w:t>
      </w:r>
      <w:r w:rsidRPr="00212D57">
        <w:rPr>
          <w:rFonts w:ascii="標楷體" w:eastAsia="標楷體" w:hAnsi="標楷體" w:hint="eastAsia"/>
          <w:szCs w:val="22"/>
        </w:rPr>
        <w:t>宮中人有懷姙者，懅以白王</w:t>
      </w:r>
      <w:r w:rsidR="00E45D18">
        <w:rPr>
          <w:rFonts w:ascii="標楷體" w:eastAsia="標楷體" w:hAnsi="標楷體" w:hint="eastAsia"/>
          <w:color w:val="FF0000"/>
          <w:kern w:val="0"/>
          <w:highlight w:val="yellow"/>
        </w:rPr>
        <w:t>，</w:t>
      </w:r>
      <w:r w:rsidRPr="00212D57">
        <w:rPr>
          <w:rFonts w:ascii="標楷體" w:eastAsia="標楷體" w:hAnsi="標楷體" w:hint="eastAsia"/>
          <w:szCs w:val="22"/>
        </w:rPr>
        <w:t>庶免罪咎。王大不悅</w:t>
      </w:r>
      <w:r w:rsidR="00E45D18">
        <w:rPr>
          <w:rFonts w:ascii="標楷體" w:eastAsia="標楷體" w:hAnsi="標楷體" w:hint="eastAsia"/>
          <w:color w:val="FF0000"/>
          <w:spacing w:val="-4"/>
          <w:kern w:val="0"/>
          <w:highlight w:val="yellow"/>
        </w:rPr>
        <w:t>：</w:t>
      </w:r>
      <w:r w:rsidR="00E45D18">
        <w:rPr>
          <w:rFonts w:ascii="標楷體" w:eastAsia="標楷體" w:hAnsi="標楷體" w:hint="eastAsia"/>
          <w:bCs/>
          <w:color w:val="FF0000"/>
          <w:kern w:val="0"/>
          <w:highlight w:val="yellow"/>
        </w:rPr>
        <w:t>「</w:t>
      </w:r>
      <w:r w:rsidRPr="00212D57">
        <w:rPr>
          <w:rFonts w:ascii="標楷體" w:eastAsia="標楷體" w:hAnsi="標楷體" w:hint="eastAsia"/>
          <w:szCs w:val="22"/>
        </w:rPr>
        <w:t>此何不祥為怪乃爾</w:t>
      </w:r>
      <w:r w:rsidR="00E45D18">
        <w:rPr>
          <w:rFonts w:ascii="標楷體" w:eastAsia="標楷體" w:hAnsi="標楷體" w:hint="eastAsia"/>
          <w:color w:val="FF0000"/>
          <w:spacing w:val="-4"/>
          <w:kern w:val="0"/>
          <w:highlight w:val="yellow"/>
        </w:rPr>
        <w:t>？</w:t>
      </w:r>
      <w:r w:rsidR="00E45D18">
        <w:rPr>
          <w:rFonts w:ascii="標楷體" w:eastAsia="標楷體" w:hAnsi="標楷體" w:hint="eastAsia"/>
          <w:bCs/>
          <w:color w:val="FF0000"/>
          <w:kern w:val="0"/>
          <w:highlight w:val="yellow"/>
        </w:rPr>
        <w:t>」</w:t>
      </w:r>
      <w:r w:rsidRPr="00212D57">
        <w:rPr>
          <w:rFonts w:ascii="標楷體" w:eastAsia="標楷體" w:hAnsi="標楷體" w:hint="eastAsia"/>
          <w:szCs w:val="22"/>
        </w:rPr>
        <w:t>召諸智臣以謀此事。</w:t>
      </w:r>
    </w:p>
    <w:p w:rsidR="00157EF6" w:rsidRPr="00212D57" w:rsidRDefault="00157EF6" w:rsidP="008E68AA">
      <w:pPr>
        <w:pStyle w:val="a5"/>
        <w:ind w:leftChars="75" w:left="180"/>
        <w:jc w:val="both"/>
        <w:rPr>
          <w:rFonts w:ascii="標楷體" w:eastAsia="標楷體" w:hAnsi="標楷體"/>
          <w:szCs w:val="22"/>
        </w:rPr>
      </w:pPr>
      <w:r w:rsidRPr="00212D57">
        <w:rPr>
          <w:rFonts w:ascii="標楷體" w:eastAsia="標楷體" w:hAnsi="標楷體" w:hint="eastAsia"/>
          <w:szCs w:val="22"/>
        </w:rPr>
        <w:t>有舊老者言：「凡如此事應有二種：或是鬼魅，或是方術。可以細土置諸門中，令有司守之斷諸行者</w:t>
      </w:r>
      <w:r w:rsidR="00E45D18">
        <w:rPr>
          <w:rFonts w:ascii="標楷體" w:eastAsia="標楷體" w:hAnsi="標楷體" w:hint="eastAsia"/>
          <w:color w:val="FF0000"/>
          <w:kern w:val="0"/>
          <w:highlight w:val="yellow"/>
        </w:rPr>
        <w:t>──</w:t>
      </w:r>
      <w:r w:rsidRPr="00212D57">
        <w:rPr>
          <w:rFonts w:ascii="標楷體" w:eastAsia="標楷體" w:hAnsi="標楷體" w:hint="eastAsia"/>
          <w:szCs w:val="22"/>
        </w:rPr>
        <w:t>若是術人，其跡自現，可以兵除；若是鬼魅，入而無跡，可以術滅。」</w:t>
      </w:r>
    </w:p>
    <w:p w:rsidR="00157EF6" w:rsidRPr="00212D57" w:rsidRDefault="00157EF6" w:rsidP="008E68AA">
      <w:pPr>
        <w:pStyle w:val="a5"/>
        <w:ind w:leftChars="75" w:left="180"/>
        <w:jc w:val="both"/>
        <w:rPr>
          <w:rFonts w:ascii="標楷體" w:eastAsia="標楷體" w:hAnsi="標楷體"/>
          <w:szCs w:val="22"/>
        </w:rPr>
      </w:pPr>
      <w:r w:rsidRPr="00212D57">
        <w:rPr>
          <w:rFonts w:ascii="標楷體" w:eastAsia="標楷體" w:hAnsi="標楷體" w:hint="eastAsia"/>
          <w:szCs w:val="22"/>
        </w:rPr>
        <w:t>即勅門者備法試之，見四人跡</w:t>
      </w:r>
      <w:r w:rsidR="00E45D18">
        <w:rPr>
          <w:rFonts w:ascii="標楷體" w:eastAsia="標楷體" w:hAnsi="標楷體" w:hint="eastAsia"/>
          <w:color w:val="FF0000"/>
          <w:kern w:val="0"/>
          <w:highlight w:val="yellow"/>
        </w:rPr>
        <w:t>，</w:t>
      </w:r>
      <w:r w:rsidRPr="00212D57">
        <w:rPr>
          <w:rFonts w:ascii="標楷體" w:eastAsia="標楷體" w:hAnsi="標楷體" w:hint="eastAsia"/>
          <w:szCs w:val="22"/>
        </w:rPr>
        <w:t>驟以聞王。王將力士數百人入宮，悉閉諸門，令諸力士揮刀空斬，三人即死，唯有龍樹斂身屏氣依王頭側，王頭側七尺，刀所不至。</w:t>
      </w:r>
    </w:p>
    <w:p w:rsidR="00157EF6" w:rsidRPr="00212D57" w:rsidRDefault="00157EF6" w:rsidP="008E68AA">
      <w:pPr>
        <w:pStyle w:val="a5"/>
        <w:ind w:leftChars="75" w:left="180"/>
        <w:jc w:val="both"/>
        <w:rPr>
          <w:rFonts w:eastAsia="標楷體"/>
          <w:szCs w:val="22"/>
        </w:rPr>
      </w:pPr>
      <w:r w:rsidRPr="00212D57">
        <w:rPr>
          <w:rFonts w:ascii="標楷體" w:eastAsia="標楷體" w:hAnsi="標楷體" w:hint="eastAsia"/>
          <w:szCs w:val="22"/>
        </w:rPr>
        <w:t>是時</w:t>
      </w:r>
      <w:r w:rsidRPr="00E45D18">
        <w:rPr>
          <w:rFonts w:ascii="標楷體" w:eastAsia="標楷體" w:hAnsi="標楷體" w:hint="eastAsia"/>
          <w:szCs w:val="22"/>
        </w:rPr>
        <w:t>始悟</w:t>
      </w:r>
      <w:r w:rsidR="00E45D18">
        <w:rPr>
          <w:rFonts w:ascii="標楷體" w:eastAsia="標楷體" w:hAnsi="標楷體" w:hint="eastAsia"/>
          <w:bCs/>
          <w:color w:val="FF0000"/>
          <w:kern w:val="0"/>
          <w:highlight w:val="yellow"/>
        </w:rPr>
        <w:t>「</w:t>
      </w:r>
      <w:r w:rsidRPr="00212D57">
        <w:rPr>
          <w:rFonts w:ascii="標楷體" w:eastAsia="標楷體" w:hAnsi="標楷體" w:hint="eastAsia"/>
          <w:b/>
          <w:szCs w:val="22"/>
        </w:rPr>
        <w:t>欲為苦本，眾禍之根，敗德危身，皆由此起</w:t>
      </w:r>
      <w:r w:rsidR="00E45D18">
        <w:rPr>
          <w:rFonts w:ascii="標楷體" w:eastAsia="標楷體" w:hAnsi="標楷體" w:hint="eastAsia"/>
          <w:bCs/>
          <w:color w:val="FF0000"/>
          <w:kern w:val="0"/>
          <w:highlight w:val="yellow"/>
        </w:rPr>
        <w:t>」</w:t>
      </w:r>
      <w:r w:rsidRPr="00212D57">
        <w:rPr>
          <w:rFonts w:ascii="標楷體" w:eastAsia="標楷體" w:hAnsi="標楷體" w:hint="eastAsia"/>
          <w:szCs w:val="22"/>
        </w:rPr>
        <w:t>，即自誓曰：「我若得脫，當詣沙門</w:t>
      </w:r>
      <w:r w:rsidR="00E45D18">
        <w:rPr>
          <w:rFonts w:ascii="標楷體" w:eastAsia="標楷體" w:hAnsi="標楷體" w:hint="eastAsia"/>
          <w:color w:val="FF0000"/>
          <w:kern w:val="0"/>
          <w:highlight w:val="yellow"/>
        </w:rPr>
        <w:t>，</w:t>
      </w:r>
      <w:r w:rsidRPr="00212D57">
        <w:rPr>
          <w:rFonts w:ascii="標楷體" w:eastAsia="標楷體" w:hAnsi="標楷體" w:hint="eastAsia"/>
          <w:szCs w:val="22"/>
        </w:rPr>
        <w:t>受出家法。」既出入山，詣一佛塔</w:t>
      </w:r>
      <w:r w:rsidR="00E45D18">
        <w:rPr>
          <w:rFonts w:ascii="標楷體" w:eastAsia="標楷體" w:hAnsi="標楷體" w:hint="eastAsia"/>
          <w:color w:val="FF0000"/>
          <w:kern w:val="0"/>
          <w:highlight w:val="yellow"/>
        </w:rPr>
        <w:t>，</w:t>
      </w:r>
      <w:r w:rsidRPr="00212D57">
        <w:rPr>
          <w:rFonts w:ascii="標楷體" w:eastAsia="標楷體" w:hAnsi="標楷體" w:hint="eastAsia"/>
          <w:szCs w:val="22"/>
        </w:rPr>
        <w:t>出家受戒，九十日中誦三藏盡，更求異經，都無得處；</w:t>
      </w:r>
      <w:r w:rsidRPr="00212D57">
        <w:rPr>
          <w:rFonts w:ascii="標楷體" w:eastAsia="標楷體" w:hAnsi="標楷體" w:hint="eastAsia"/>
          <w:b/>
          <w:szCs w:val="22"/>
        </w:rPr>
        <w:t>遂入雪山，山中有塔，塔中有一老比丘，以摩訶衍經典與之</w:t>
      </w:r>
      <w:r w:rsidR="00E45D18">
        <w:rPr>
          <w:rFonts w:ascii="標楷體" w:eastAsia="標楷體" w:hAnsi="標楷體" w:hint="eastAsia"/>
          <w:color w:val="FF0000"/>
          <w:kern w:val="0"/>
          <w:highlight w:val="yellow"/>
        </w:rPr>
        <w:t>，</w:t>
      </w:r>
      <w:r w:rsidRPr="00212D57">
        <w:rPr>
          <w:rFonts w:ascii="標楷體" w:eastAsia="標楷體" w:hAnsi="標楷體" w:hint="eastAsia"/>
          <w:szCs w:val="22"/>
        </w:rPr>
        <w:t>誦受愛樂</w:t>
      </w:r>
      <w:r w:rsidR="00E45D18">
        <w:rPr>
          <w:rFonts w:ascii="標楷體" w:eastAsia="標楷體" w:hAnsi="標楷體" w:hint="eastAsia"/>
          <w:color w:val="FF0000"/>
          <w:spacing w:val="-4"/>
          <w:kern w:val="0"/>
          <w:highlight w:val="yellow"/>
        </w:rPr>
        <w:t>；</w:t>
      </w:r>
      <w:r w:rsidRPr="00212D57">
        <w:rPr>
          <w:rFonts w:ascii="標楷體" w:eastAsia="標楷體" w:hAnsi="標楷體" w:hint="eastAsia"/>
          <w:szCs w:val="22"/>
        </w:rPr>
        <w:t>雖知實義，未得通利，周遊諸國，更求餘經，於閻浮提中遍求不得</w:t>
      </w:r>
      <w:r w:rsidR="00E45D18">
        <w:rPr>
          <w:rFonts w:ascii="標楷體" w:eastAsia="標楷體" w:hAnsi="標楷體" w:hint="eastAsia"/>
          <w:color w:val="FF0000"/>
          <w:kern w:val="0"/>
          <w:highlight w:val="yellow"/>
        </w:rPr>
        <w:t>。</w:t>
      </w:r>
      <w:r w:rsidRPr="00212D57">
        <w:rPr>
          <w:rFonts w:ascii="標楷體" w:eastAsia="標楷體" w:hAnsi="標楷體" w:hint="eastAsia"/>
          <w:szCs w:val="22"/>
        </w:rPr>
        <w:t>外道論師沙門義宗咸皆摧伏</w:t>
      </w:r>
      <w:r w:rsidR="00E45D18">
        <w:rPr>
          <w:rFonts w:ascii="標楷體" w:eastAsia="標楷體" w:hAnsi="標楷體" w:hint="eastAsia"/>
          <w:color w:val="FF0000"/>
          <w:kern w:val="0"/>
          <w:highlight w:val="yellow"/>
        </w:rPr>
        <w:t>，</w:t>
      </w:r>
      <w:r w:rsidR="00E45D18" w:rsidRPr="00E45D18">
        <w:rPr>
          <w:rFonts w:ascii="標楷體" w:eastAsia="標楷體" w:hAnsi="標楷體" w:hint="eastAsia"/>
          <w:bCs/>
          <w:color w:val="FF0000"/>
          <w:szCs w:val="22"/>
          <w:shd w:val="pct15" w:color="auto" w:fill="FFFFFF"/>
        </w:rPr>
        <w:t>……</w:t>
      </w:r>
    </w:p>
  </w:footnote>
  <w:footnote w:id="108">
    <w:p w:rsidR="00157EF6" w:rsidRPr="00212D57" w:rsidRDefault="00157EF6" w:rsidP="005F2F48">
      <w:pPr>
        <w:pStyle w:val="a5"/>
        <w:ind w:left="187" w:hangingChars="85" w:hanging="187"/>
        <w:jc w:val="both"/>
        <w:rPr>
          <w:szCs w:val="22"/>
        </w:rPr>
      </w:pPr>
      <w:r w:rsidRPr="00212D57">
        <w:rPr>
          <w:rStyle w:val="a6"/>
          <w:szCs w:val="22"/>
        </w:rPr>
        <w:footnoteRef/>
      </w:r>
      <w:r w:rsidRPr="00212D57">
        <w:rPr>
          <w:szCs w:val="22"/>
        </w:rPr>
        <w:t xml:space="preserve"> </w:t>
      </w:r>
      <w:r w:rsidRPr="00212D57">
        <w:rPr>
          <w:szCs w:val="22"/>
        </w:rPr>
        <w:t>拘泥：</w:t>
      </w:r>
      <w:r w:rsidRPr="00761EF3">
        <w:rPr>
          <w:szCs w:val="22"/>
        </w:rPr>
        <w:t>1</w:t>
      </w:r>
      <w:r w:rsidRPr="00212D57">
        <w:rPr>
          <w:szCs w:val="22"/>
        </w:rPr>
        <w:t>.</w:t>
      </w:r>
      <w:r w:rsidRPr="00212D57">
        <w:rPr>
          <w:szCs w:val="22"/>
        </w:rPr>
        <w:t>固執而不知變通。（《漢語大詞典》（六），</w:t>
      </w:r>
      <w:r w:rsidRPr="00761EF3">
        <w:rPr>
          <w:szCs w:val="22"/>
        </w:rPr>
        <w:t>p</w:t>
      </w:r>
      <w:r w:rsidRPr="00212D57">
        <w:rPr>
          <w:szCs w:val="22"/>
        </w:rPr>
        <w:t>.</w:t>
      </w:r>
      <w:r w:rsidRPr="00761EF3">
        <w:rPr>
          <w:szCs w:val="22"/>
        </w:rPr>
        <w:t>483</w:t>
      </w:r>
      <w:r w:rsidRPr="00212D57">
        <w:rPr>
          <w:szCs w:val="22"/>
        </w:rPr>
        <w:t>）</w:t>
      </w:r>
    </w:p>
  </w:footnote>
  <w:footnote w:id="109">
    <w:p w:rsidR="00157EF6" w:rsidRPr="00212D57" w:rsidRDefault="00157EF6" w:rsidP="005F2F48">
      <w:pPr>
        <w:pStyle w:val="a5"/>
        <w:ind w:left="187" w:hangingChars="85" w:hanging="187"/>
        <w:jc w:val="both"/>
        <w:rPr>
          <w:szCs w:val="22"/>
        </w:rPr>
      </w:pPr>
      <w:r w:rsidRPr="00212D57">
        <w:rPr>
          <w:rStyle w:val="a6"/>
          <w:szCs w:val="22"/>
        </w:rPr>
        <w:footnoteRef/>
      </w:r>
      <w:r w:rsidRPr="00212D57">
        <w:rPr>
          <w:szCs w:val="22"/>
        </w:rPr>
        <w:t xml:space="preserve"> </w:t>
      </w:r>
      <w:r w:rsidRPr="00212D57">
        <w:rPr>
          <w:rFonts w:hint="eastAsia"/>
          <w:szCs w:val="22"/>
        </w:rPr>
        <w:t>偏頗：偏向一方；不公平，不公正。</w:t>
      </w:r>
      <w:r w:rsidRPr="00212D57">
        <w:rPr>
          <w:szCs w:val="22"/>
        </w:rPr>
        <w:t>（《漢語大詞典》（</w:t>
      </w:r>
      <w:r w:rsidRPr="00212D57">
        <w:rPr>
          <w:rFonts w:hint="eastAsia"/>
          <w:szCs w:val="22"/>
        </w:rPr>
        <w:t>一</w:t>
      </w:r>
      <w:r w:rsidRPr="00212D57">
        <w:rPr>
          <w:szCs w:val="22"/>
        </w:rPr>
        <w:t>），</w:t>
      </w:r>
      <w:r w:rsidRPr="00761EF3">
        <w:rPr>
          <w:szCs w:val="22"/>
        </w:rPr>
        <w:t>p</w:t>
      </w:r>
      <w:r w:rsidRPr="00212D57">
        <w:rPr>
          <w:szCs w:val="22"/>
        </w:rPr>
        <w:t>.</w:t>
      </w:r>
      <w:r w:rsidRPr="00761EF3">
        <w:rPr>
          <w:rFonts w:hint="eastAsia"/>
          <w:szCs w:val="22"/>
        </w:rPr>
        <w:t>1570</w:t>
      </w:r>
      <w:r w:rsidRPr="00212D57">
        <w:rPr>
          <w:szCs w:val="22"/>
        </w:rPr>
        <w:t>）</w:t>
      </w:r>
    </w:p>
  </w:footnote>
  <w:footnote w:id="110">
    <w:p w:rsidR="00286DF2" w:rsidRPr="00286DF2" w:rsidRDefault="00286DF2" w:rsidP="00286DF2">
      <w:pPr>
        <w:adjustRightInd w:val="0"/>
        <w:snapToGrid w:val="0"/>
        <w:rPr>
          <w:rStyle w:val="refandcopytitlefront"/>
          <w:rFonts w:ascii="Times New Roman" w:hAnsi="Times New Roman"/>
          <w:color w:val="FF0000"/>
          <w:sz w:val="22"/>
          <w:szCs w:val="22"/>
          <w:highlight w:val="yellow"/>
        </w:rPr>
      </w:pPr>
      <w:r w:rsidRPr="000C6D3F">
        <w:rPr>
          <w:rStyle w:val="a6"/>
          <w:rFonts w:ascii="Times New Roman" w:hAnsi="Times New Roman"/>
          <w:color w:val="FF0000"/>
          <w:sz w:val="22"/>
          <w:szCs w:val="22"/>
          <w:highlight w:val="yellow"/>
        </w:rPr>
        <w:footnoteRef/>
      </w:r>
      <w:r w:rsidRPr="00286DF2">
        <w:rPr>
          <w:rFonts w:ascii="Times New Roman" w:hAnsi="Times New Roman"/>
          <w:sz w:val="22"/>
          <w:szCs w:val="22"/>
        </w:rPr>
        <w:t xml:space="preserve"> </w:t>
      </w:r>
      <w:r w:rsidRPr="00286DF2">
        <w:rPr>
          <w:rStyle w:val="refandcopytitlefront"/>
          <w:rFonts w:ascii="Times New Roman" w:hAnsi="Times New Roman"/>
          <w:color w:val="FF0000"/>
          <w:sz w:val="22"/>
          <w:szCs w:val="22"/>
          <w:highlight w:val="yellow"/>
        </w:rPr>
        <w:t>《空之探究》</w:t>
      </w:r>
      <w:r w:rsidRPr="00286DF2">
        <w:rPr>
          <w:rStyle w:val="refandcopytitlefront"/>
          <w:rFonts w:ascii="Times New Roman" w:hAnsi="Times New Roman" w:hint="eastAsia"/>
          <w:color w:val="FF0000"/>
          <w:sz w:val="22"/>
          <w:szCs w:val="22"/>
          <w:highlight w:val="yellow"/>
        </w:rPr>
        <w:t>，</w:t>
      </w:r>
      <w:r w:rsidRPr="00286DF2">
        <w:rPr>
          <w:rStyle w:val="refandcopylinebook"/>
          <w:rFonts w:ascii="Times New Roman" w:hAnsi="Times New Roman"/>
          <w:color w:val="FF0000"/>
          <w:sz w:val="22"/>
          <w:szCs w:val="22"/>
          <w:highlight w:val="yellow"/>
        </w:rPr>
        <w:t>pp</w:t>
      </w:r>
      <w:r w:rsidRPr="00286DF2">
        <w:rPr>
          <w:rStyle w:val="refandcopylinebook"/>
          <w:rFonts w:ascii="Times New Roman" w:hAnsi="Times New Roman" w:hint="eastAsia"/>
          <w:color w:val="FF0000"/>
          <w:sz w:val="22"/>
          <w:szCs w:val="22"/>
          <w:highlight w:val="yellow"/>
        </w:rPr>
        <w:t>.</w:t>
      </w:r>
      <w:r w:rsidRPr="00286DF2">
        <w:rPr>
          <w:rStyle w:val="refandcopylinebook"/>
          <w:rFonts w:ascii="Times New Roman" w:hAnsi="Times New Roman"/>
          <w:color w:val="FF0000"/>
          <w:sz w:val="22"/>
          <w:szCs w:val="22"/>
          <w:highlight w:val="yellow"/>
        </w:rPr>
        <w:t>205-206</w:t>
      </w:r>
      <w:r w:rsidRPr="00286DF2">
        <w:rPr>
          <w:rStyle w:val="refandcopytitlefront"/>
          <w:rFonts w:ascii="Times New Roman" w:hAnsi="Times New Roman"/>
          <w:color w:val="FF0000"/>
          <w:sz w:val="22"/>
          <w:szCs w:val="22"/>
          <w:highlight w:val="yellow"/>
        </w:rPr>
        <w:t>：</w:t>
      </w:r>
    </w:p>
    <w:p w:rsidR="00286DF2" w:rsidRPr="00286DF2" w:rsidRDefault="00286DF2" w:rsidP="00286DF2">
      <w:pPr>
        <w:pStyle w:val="a5"/>
        <w:ind w:leftChars="75" w:left="180"/>
        <w:jc w:val="both"/>
        <w:rPr>
          <w:rStyle w:val="refandcopypunctuation"/>
          <w:rFonts w:eastAsia="標楷體"/>
          <w:color w:val="FF0000"/>
          <w:szCs w:val="22"/>
          <w:highlight w:val="yellow"/>
        </w:rPr>
      </w:pPr>
      <w:r w:rsidRPr="00286DF2">
        <w:rPr>
          <w:rStyle w:val="refandcopymaintext"/>
          <w:rFonts w:eastAsia="標楷體"/>
          <w:color w:val="FF0000"/>
          <w:szCs w:val="22"/>
          <w:highlight w:val="yellow"/>
        </w:rPr>
        <w:t>龍樹的論著</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可分為三類</w:t>
      </w:r>
      <w:r w:rsidRPr="00286DF2">
        <w:rPr>
          <w:rStyle w:val="refandcopypunctuation"/>
          <w:rFonts w:eastAsia="標楷體"/>
          <w:color w:val="FF0000"/>
          <w:szCs w:val="22"/>
          <w:highlight w:val="yellow"/>
        </w:rPr>
        <w:t>：</w:t>
      </w:r>
    </w:p>
    <w:p w:rsidR="00286DF2" w:rsidRPr="00286DF2" w:rsidRDefault="00286DF2" w:rsidP="00286DF2">
      <w:pPr>
        <w:pStyle w:val="a5"/>
        <w:ind w:leftChars="75" w:left="620" w:hangingChars="200" w:hanging="440"/>
        <w:jc w:val="both"/>
        <w:rPr>
          <w:rStyle w:val="refandcopypunctuation"/>
          <w:rFonts w:eastAsia="標楷體"/>
          <w:color w:val="FF0000"/>
          <w:szCs w:val="22"/>
          <w:highlight w:val="yellow"/>
        </w:rPr>
      </w:pPr>
      <w:r w:rsidRPr="00286DF2">
        <w:rPr>
          <w:rStyle w:val="refandcopymaintext"/>
          <w:rFonts w:eastAsia="標楷體"/>
          <w:color w:val="FF0000"/>
          <w:szCs w:val="22"/>
          <w:highlight w:val="yellow"/>
        </w:rPr>
        <w:t>一</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西藏傳譯有</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中論</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頌</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六十頌如理論</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七十空性論</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迴諍論</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大乘破有論</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稱為五正理聚</w:t>
      </w:r>
      <w:r w:rsidRPr="00286DF2">
        <w:rPr>
          <w:rStyle w:val="refandcopypunctuation"/>
          <w:rFonts w:eastAsia="標楷體"/>
          <w:color w:val="FF0000"/>
          <w:szCs w:val="22"/>
          <w:highlight w:val="yellow"/>
        </w:rPr>
        <w:t>。</w:t>
      </w:r>
    </w:p>
    <w:p w:rsidR="00286DF2" w:rsidRPr="00286DF2" w:rsidRDefault="00286DF2" w:rsidP="00286DF2">
      <w:pPr>
        <w:pStyle w:val="a5"/>
        <w:ind w:leftChars="260" w:left="624"/>
        <w:jc w:val="both"/>
        <w:rPr>
          <w:rStyle w:val="refandcopypunctuation"/>
          <w:rFonts w:eastAsia="標楷體"/>
          <w:color w:val="FF0000"/>
          <w:szCs w:val="22"/>
          <w:highlight w:val="yellow"/>
        </w:rPr>
      </w:pPr>
      <w:r w:rsidRPr="00286DF2">
        <w:rPr>
          <w:rStyle w:val="refandcopymaintext"/>
          <w:rFonts w:eastAsia="標楷體"/>
          <w:color w:val="FF0000"/>
          <w:szCs w:val="22"/>
          <w:highlight w:val="yellow"/>
        </w:rPr>
        <w:t>漢譯與之相當的</w:t>
      </w:r>
      <w:r w:rsidRPr="00286DF2">
        <w:rPr>
          <w:rStyle w:val="refandcopypunctuation"/>
          <w:rFonts w:eastAsia="標楷體"/>
          <w:color w:val="FF0000"/>
          <w:szCs w:val="22"/>
          <w:highlight w:val="yellow"/>
        </w:rPr>
        <w:t>，</w:t>
      </w:r>
    </w:p>
    <w:p w:rsidR="00286DF2" w:rsidRPr="00286DF2" w:rsidRDefault="00286DF2" w:rsidP="00286DF2">
      <w:pPr>
        <w:pStyle w:val="a5"/>
        <w:ind w:leftChars="260" w:left="789" w:hangingChars="75" w:hanging="165"/>
        <w:jc w:val="both"/>
        <w:rPr>
          <w:rStyle w:val="refandcopypunctuation"/>
          <w:rFonts w:eastAsia="標楷體"/>
          <w:color w:val="FF0000"/>
          <w:szCs w:val="22"/>
          <w:highlight w:val="yellow"/>
        </w:rPr>
      </w:pPr>
      <w:r w:rsidRPr="00286DF2">
        <w:rPr>
          <w:rStyle w:val="refandcopymaintext"/>
          <w:rFonts w:eastAsia="標楷體"/>
          <w:color w:val="FF0000"/>
          <w:szCs w:val="22"/>
          <w:highlight w:val="yellow"/>
        </w:rPr>
        <w:t>1</w:t>
      </w:r>
      <w:r w:rsidRPr="00286DF2">
        <w:rPr>
          <w:rStyle w:val="refandcopypunctuation"/>
          <w:rFonts w:eastAsia="標楷體"/>
          <w:color w:val="FF0000"/>
          <w:szCs w:val="22"/>
          <w:highlight w:val="yellow"/>
        </w:rPr>
        <w:t>.</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中論</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頌釋</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有鳩摩羅什所譯的青目釋</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中論</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唐波羅頗迦羅蜜多羅</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Prabhākaramitra</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所譯</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分別明</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清辨</w:t>
      </w:r>
      <w:r w:rsidRPr="00286DF2">
        <w:rPr>
          <w:rStyle w:val="refandcopymaintext"/>
          <w:rFonts w:eastAsia="標楷體"/>
          <w:color w:val="FF0000"/>
          <w:szCs w:val="22"/>
          <w:highlight w:val="yellow"/>
        </w:rPr>
        <w:t xml:space="preserve"> Bhāvaviveka</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所造的</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般若燈論</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趙宋惟淨所譯的</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安慧</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Sthiramati</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所造的</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大乘中觀釋論</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w:t>
      </w:r>
      <w:r w:rsidRPr="00286DF2">
        <w:rPr>
          <w:rStyle w:val="refandcopymaintext"/>
          <w:rFonts w:eastAsia="標楷體"/>
          <w:color w:val="FF0000"/>
          <w:szCs w:val="22"/>
          <w:highlight w:val="yellow"/>
        </w:rPr>
        <w:t>三部</w:t>
      </w:r>
      <w:r w:rsidRPr="00286DF2">
        <w:rPr>
          <w:rStyle w:val="refandcopypunctuation"/>
          <w:rFonts w:eastAsia="標楷體"/>
          <w:color w:val="FF0000"/>
          <w:szCs w:val="22"/>
          <w:highlight w:val="yellow"/>
        </w:rPr>
        <w:t>。</w:t>
      </w:r>
    </w:p>
    <w:p w:rsidR="00286DF2" w:rsidRPr="00286DF2" w:rsidRDefault="00286DF2" w:rsidP="00286DF2">
      <w:pPr>
        <w:pStyle w:val="a5"/>
        <w:ind w:leftChars="260" w:left="789" w:hangingChars="75" w:hanging="165"/>
        <w:jc w:val="both"/>
        <w:rPr>
          <w:rStyle w:val="refandcopypunctuation"/>
          <w:rFonts w:eastAsia="標楷體"/>
          <w:color w:val="FF0000"/>
          <w:szCs w:val="22"/>
          <w:highlight w:val="yellow"/>
        </w:rPr>
      </w:pPr>
      <w:r w:rsidRPr="00286DF2">
        <w:rPr>
          <w:rStyle w:val="refandcopymaintext"/>
          <w:rFonts w:eastAsia="標楷體"/>
          <w:color w:val="FF0000"/>
          <w:szCs w:val="22"/>
          <w:highlight w:val="yellow"/>
        </w:rPr>
        <w:t>2</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後魏毘目智仙</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Vimokṣaprajñāṛṣi</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與瞿曇</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般若</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流支</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Gautamaprajñāruci</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共譯的</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迴諍論</w:t>
      </w:r>
      <w:r w:rsidRPr="00286DF2">
        <w:rPr>
          <w:rStyle w:val="refandcopypunctuation"/>
          <w:rFonts w:eastAsia="標楷體"/>
          <w:color w:val="FF0000"/>
          <w:szCs w:val="22"/>
          <w:highlight w:val="yellow"/>
        </w:rPr>
        <w:t>》。</w:t>
      </w:r>
    </w:p>
    <w:p w:rsidR="00286DF2" w:rsidRPr="00286DF2" w:rsidRDefault="00286DF2" w:rsidP="00286DF2">
      <w:pPr>
        <w:pStyle w:val="a5"/>
        <w:ind w:leftChars="260" w:left="789" w:hangingChars="75" w:hanging="165"/>
        <w:jc w:val="both"/>
        <w:rPr>
          <w:rStyle w:val="refandcopypunctuation"/>
          <w:rFonts w:eastAsia="標楷體"/>
          <w:color w:val="FF0000"/>
          <w:szCs w:val="22"/>
          <w:highlight w:val="yellow"/>
        </w:rPr>
      </w:pPr>
      <w:r w:rsidRPr="00286DF2">
        <w:rPr>
          <w:rStyle w:val="refandcopymaintext"/>
          <w:rFonts w:eastAsia="標楷體"/>
          <w:color w:val="FF0000"/>
          <w:szCs w:val="22"/>
          <w:highlight w:val="yellow"/>
        </w:rPr>
        <w:t>3</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宋施護</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Dānapāla</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所譯的</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六十頌如理論</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及</w:t>
      </w:r>
      <w:r w:rsidRPr="00286DF2">
        <w:rPr>
          <w:rStyle w:val="refandcopymaintext"/>
          <w:rFonts w:eastAsia="標楷體"/>
          <w:color w:val="FF0000"/>
          <w:szCs w:val="22"/>
          <w:highlight w:val="yellow"/>
        </w:rPr>
        <w:t>4</w:t>
      </w:r>
      <w:r w:rsidRPr="00286DF2">
        <w:rPr>
          <w:rStyle w:val="refandcopypunctuation"/>
          <w:rFonts w:eastAsia="標楷體"/>
          <w:color w:val="FF0000"/>
          <w:szCs w:val="22"/>
          <w:highlight w:val="yellow"/>
        </w:rPr>
        <w:t>.</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大乘破有論</w:t>
      </w:r>
      <w:r w:rsidRPr="00286DF2">
        <w:rPr>
          <w:rStyle w:val="refandcopypunctuation"/>
          <w:rFonts w:eastAsia="標楷體"/>
          <w:color w:val="FF0000"/>
          <w:szCs w:val="22"/>
          <w:highlight w:val="yellow"/>
        </w:rPr>
        <w:t>》。</w:t>
      </w:r>
    </w:p>
    <w:p w:rsidR="00286DF2" w:rsidRPr="00286DF2" w:rsidRDefault="00286DF2" w:rsidP="00286DF2">
      <w:pPr>
        <w:pStyle w:val="a5"/>
        <w:ind w:leftChars="260" w:left="789" w:hangingChars="75" w:hanging="165"/>
        <w:jc w:val="both"/>
        <w:rPr>
          <w:rStyle w:val="refandcopypunctuation"/>
          <w:rFonts w:eastAsia="標楷體"/>
          <w:color w:val="FF0000"/>
          <w:szCs w:val="22"/>
          <w:highlight w:val="yellow"/>
        </w:rPr>
      </w:pPr>
      <w:r w:rsidRPr="00286DF2">
        <w:rPr>
          <w:rStyle w:val="refandcopymaintext"/>
          <w:rFonts w:eastAsia="標楷體"/>
          <w:color w:val="FF0000"/>
          <w:szCs w:val="22"/>
          <w:highlight w:val="yellow"/>
        </w:rPr>
        <w:t>5</w:t>
      </w:r>
      <w:r w:rsidRPr="00286DF2">
        <w:rPr>
          <w:rStyle w:val="refandcopypunctuation"/>
          <w:rFonts w:eastAsia="標楷體"/>
          <w:color w:val="FF0000"/>
          <w:szCs w:val="22"/>
          <w:highlight w:val="yellow"/>
        </w:rPr>
        <w:t>.</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七十空性論</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法尊於民國</w:t>
      </w:r>
      <w:r w:rsidRPr="00286DF2">
        <w:rPr>
          <w:rStyle w:val="refandcopymaintext"/>
          <w:rFonts w:eastAsia="標楷體" w:hint="eastAsia"/>
          <w:color w:val="FF0000"/>
          <w:szCs w:val="22"/>
          <w:highlight w:val="yellow"/>
        </w:rPr>
        <w:t>33</w:t>
      </w:r>
      <w:r w:rsidRPr="00286DF2">
        <w:rPr>
          <w:rStyle w:val="refandcopymaintext"/>
          <w:rFonts w:eastAsia="標楷體"/>
          <w:color w:val="FF0000"/>
          <w:szCs w:val="22"/>
          <w:highlight w:val="yellow"/>
        </w:rPr>
        <w:t>年</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在四川漢藏教理院譯出</w:t>
      </w:r>
      <w:r w:rsidRPr="00286DF2">
        <w:rPr>
          <w:rStyle w:val="refandcopypunctuation"/>
          <w:rFonts w:eastAsia="標楷體"/>
          <w:color w:val="FF0000"/>
          <w:szCs w:val="22"/>
          <w:highlight w:val="yellow"/>
        </w:rPr>
        <w:t>。</w:t>
      </w:r>
    </w:p>
    <w:p w:rsidR="00286DF2" w:rsidRPr="00286DF2" w:rsidRDefault="00286DF2" w:rsidP="00286DF2">
      <w:pPr>
        <w:pStyle w:val="a5"/>
        <w:ind w:leftChars="260" w:left="789" w:hangingChars="75" w:hanging="165"/>
        <w:jc w:val="both"/>
        <w:rPr>
          <w:rStyle w:val="refandcopypunctuation"/>
          <w:rFonts w:eastAsia="標楷體"/>
          <w:color w:val="FF0000"/>
          <w:szCs w:val="22"/>
          <w:highlight w:val="yellow"/>
        </w:rPr>
      </w:pPr>
      <w:r w:rsidRPr="00286DF2">
        <w:rPr>
          <w:rStyle w:val="refandcopymaintext"/>
          <w:rFonts w:eastAsia="標楷體"/>
          <w:color w:val="FF0000"/>
          <w:szCs w:val="22"/>
          <w:highlight w:val="yellow"/>
        </w:rPr>
        <w:t>這五部</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都是抉擇甚深義的</w:t>
      </w:r>
      <w:r w:rsidRPr="00286DF2">
        <w:rPr>
          <w:rStyle w:val="refandcopypunctuation"/>
          <w:rFonts w:eastAsia="標楷體"/>
          <w:color w:val="FF0000"/>
          <w:szCs w:val="22"/>
          <w:highlight w:val="yellow"/>
        </w:rPr>
        <w:t>。</w:t>
      </w:r>
    </w:p>
    <w:p w:rsidR="00286DF2" w:rsidRPr="00286DF2" w:rsidRDefault="00286DF2" w:rsidP="00286DF2">
      <w:pPr>
        <w:pStyle w:val="a5"/>
        <w:ind w:leftChars="260" w:left="624"/>
        <w:jc w:val="both"/>
        <w:rPr>
          <w:rStyle w:val="refandcopypunctuation"/>
          <w:rFonts w:eastAsia="標楷體"/>
          <w:color w:val="FF0000"/>
          <w:szCs w:val="22"/>
          <w:highlight w:val="yellow"/>
        </w:rPr>
      </w:pPr>
      <w:r w:rsidRPr="00286DF2">
        <w:rPr>
          <w:rStyle w:val="refandcopymaintext"/>
          <w:rFonts w:eastAsia="標楷體"/>
          <w:color w:val="FF0000"/>
          <w:szCs w:val="22"/>
          <w:highlight w:val="yellow"/>
        </w:rPr>
        <w:t>鳩摩羅什所譯的</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十二門論</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瞿曇般若流支譯的</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壹輸盧迦論</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都屬於抉擇甚深</w:t>
      </w:r>
      <w:r w:rsidRPr="00286DF2">
        <w:rPr>
          <w:rFonts w:ascii="標楷體" w:hAnsi="標楷體"/>
          <w:color w:val="FF0000"/>
          <w:highlight w:val="yellow"/>
        </w:rPr>
        <w:t>義</w:t>
      </w:r>
      <w:r w:rsidRPr="00286DF2">
        <w:rPr>
          <w:rStyle w:val="refandcopymaintext"/>
          <w:rFonts w:eastAsia="標楷體"/>
          <w:color w:val="FF0000"/>
          <w:szCs w:val="22"/>
          <w:highlight w:val="yellow"/>
        </w:rPr>
        <w:t>的一類</w:t>
      </w:r>
      <w:r w:rsidRPr="00286DF2">
        <w:rPr>
          <w:rStyle w:val="refandcopypunctuation"/>
          <w:rFonts w:eastAsia="標楷體"/>
          <w:color w:val="FF0000"/>
          <w:szCs w:val="22"/>
          <w:highlight w:val="yellow"/>
        </w:rPr>
        <w:t>。</w:t>
      </w:r>
    </w:p>
    <w:p w:rsidR="00286DF2" w:rsidRPr="00286DF2" w:rsidRDefault="00286DF2" w:rsidP="00286DF2">
      <w:pPr>
        <w:pStyle w:val="a5"/>
        <w:ind w:leftChars="75" w:left="180"/>
        <w:jc w:val="both"/>
        <w:rPr>
          <w:rStyle w:val="refandcopypunctuation"/>
          <w:rFonts w:eastAsia="標楷體"/>
          <w:color w:val="FF0000"/>
          <w:szCs w:val="22"/>
          <w:highlight w:val="yellow"/>
        </w:rPr>
      </w:pPr>
      <w:r w:rsidRPr="00286DF2">
        <w:rPr>
          <w:rStyle w:val="refandcopymaintext"/>
          <w:rFonts w:eastAsia="標楷體"/>
          <w:color w:val="FF0000"/>
          <w:szCs w:val="22"/>
          <w:highlight w:val="yellow"/>
        </w:rPr>
        <w:t>二</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屬於菩薩廣大行的</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有三部</w:t>
      </w:r>
      <w:r w:rsidRPr="00286DF2">
        <w:rPr>
          <w:rStyle w:val="refandcopypunctuation"/>
          <w:rFonts w:eastAsia="標楷體"/>
          <w:color w:val="FF0000"/>
          <w:szCs w:val="22"/>
          <w:highlight w:val="yellow"/>
        </w:rPr>
        <w:t>：</w:t>
      </w:r>
    </w:p>
    <w:p w:rsidR="00286DF2" w:rsidRPr="00286DF2" w:rsidRDefault="00286DF2" w:rsidP="00286DF2">
      <w:pPr>
        <w:pStyle w:val="a5"/>
        <w:ind w:leftChars="260" w:left="789" w:hangingChars="75" w:hanging="165"/>
        <w:jc w:val="both"/>
        <w:rPr>
          <w:rStyle w:val="refandcopypunctuation"/>
          <w:rFonts w:eastAsia="標楷體"/>
          <w:color w:val="FF0000"/>
          <w:szCs w:val="22"/>
          <w:highlight w:val="yellow"/>
        </w:rPr>
      </w:pPr>
      <w:r w:rsidRPr="00286DF2">
        <w:rPr>
          <w:rStyle w:val="refandcopymaintext"/>
          <w:rFonts w:eastAsia="標楷體"/>
          <w:color w:val="FF0000"/>
          <w:szCs w:val="22"/>
          <w:highlight w:val="yellow"/>
        </w:rPr>
        <w:t>1</w:t>
      </w:r>
      <w:r w:rsidRPr="00286DF2">
        <w:rPr>
          <w:rStyle w:val="refandcopypunctuation"/>
          <w:rFonts w:eastAsia="標楷體"/>
          <w:color w:val="FF0000"/>
          <w:szCs w:val="22"/>
          <w:highlight w:val="yellow"/>
        </w:rPr>
        <w:t>.</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大智度論</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鳩摩羅什譯</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為</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中本般若</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經的釋論</w:t>
      </w:r>
      <w:r w:rsidRPr="00286DF2">
        <w:rPr>
          <w:rStyle w:val="refandcopypunctuation"/>
          <w:rFonts w:eastAsia="標楷體"/>
          <w:color w:val="FF0000"/>
          <w:szCs w:val="22"/>
          <w:highlight w:val="yellow"/>
        </w:rPr>
        <w:t>。</w:t>
      </w:r>
      <w:r w:rsidRPr="00286DF2">
        <w:rPr>
          <w:rStyle w:val="refandcopymaintext"/>
          <w:rFonts w:eastAsia="標楷體" w:hint="eastAsia"/>
          <w:color w:val="FF0000"/>
          <w:szCs w:val="22"/>
          <w:highlight w:val="yellow"/>
          <w:shd w:val="pct15" w:color="auto" w:fill="FFFFFF"/>
        </w:rPr>
        <w:t>……</w:t>
      </w:r>
      <w:r w:rsidRPr="00286DF2">
        <w:rPr>
          <w:rStyle w:val="refandcopypunctuation"/>
          <w:rFonts w:eastAsia="標楷體"/>
          <w:color w:val="FF0000"/>
          <w:szCs w:val="22"/>
          <w:highlight w:val="yellow"/>
        </w:rPr>
        <w:t>。</w:t>
      </w:r>
    </w:p>
    <w:p w:rsidR="00286DF2" w:rsidRPr="00286DF2" w:rsidRDefault="00286DF2" w:rsidP="00286DF2">
      <w:pPr>
        <w:pStyle w:val="a5"/>
        <w:ind w:leftChars="260" w:left="789" w:hangingChars="75" w:hanging="165"/>
        <w:jc w:val="both"/>
        <w:rPr>
          <w:rStyle w:val="refandcopypunctuation"/>
          <w:rFonts w:eastAsia="標楷體"/>
          <w:color w:val="FF0000"/>
          <w:szCs w:val="22"/>
          <w:highlight w:val="yellow"/>
        </w:rPr>
      </w:pPr>
      <w:r w:rsidRPr="00286DF2">
        <w:rPr>
          <w:rStyle w:val="refandcopymaintext"/>
          <w:rFonts w:eastAsia="標楷體"/>
          <w:color w:val="FF0000"/>
          <w:szCs w:val="22"/>
          <w:highlight w:val="yellow"/>
        </w:rPr>
        <w:t>2</w:t>
      </w:r>
      <w:r w:rsidRPr="00286DF2">
        <w:rPr>
          <w:rStyle w:val="refandcopypunctuation"/>
          <w:rFonts w:eastAsia="標楷體"/>
          <w:color w:val="FF0000"/>
          <w:szCs w:val="22"/>
          <w:highlight w:val="yellow"/>
        </w:rPr>
        <w:t>.</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十住毘婆沙論</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鳩摩羅什譯</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這是</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十地經</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華嚴經</w:t>
      </w:r>
      <w:r w:rsidRPr="00286DF2">
        <w:rPr>
          <w:rStyle w:val="refandcopypunctuation"/>
          <w:rFonts w:eastAsia="標楷體"/>
          <w:color w:val="FF0000"/>
          <w:szCs w:val="22"/>
          <w:highlight w:val="yellow"/>
        </w:rPr>
        <w:t>》</w:t>
      </w:r>
      <w:r w:rsidRPr="00286DF2">
        <w:rPr>
          <w:rStyle w:val="refandcopypunctuation"/>
          <w:rFonts w:eastAsia="標楷體" w:hint="eastAsia"/>
          <w:color w:val="FF0000"/>
          <w:szCs w:val="22"/>
          <w:highlight w:val="yellow"/>
        </w:rPr>
        <w:t>〈</w:t>
      </w:r>
      <w:r w:rsidRPr="00286DF2">
        <w:rPr>
          <w:rStyle w:val="refandcopymaintext"/>
          <w:rFonts w:eastAsia="標楷體"/>
          <w:color w:val="FF0000"/>
          <w:szCs w:val="22"/>
          <w:highlight w:val="yellow"/>
        </w:rPr>
        <w:t>十地品</w:t>
      </w:r>
      <w:r w:rsidRPr="00286DF2">
        <w:rPr>
          <w:rStyle w:val="refandcopymaintext"/>
          <w:rFonts w:eastAsia="標楷體" w:hint="eastAsia"/>
          <w:color w:val="FF0000"/>
          <w:szCs w:val="22"/>
          <w:highlight w:val="yellow"/>
        </w:rPr>
        <w:t>〉</w:t>
      </w:r>
      <w:r w:rsidRPr="00286DF2">
        <w:rPr>
          <w:rStyle w:val="refandcopymaintext"/>
          <w:rFonts w:eastAsia="標楷體"/>
          <w:color w:val="FF0000"/>
          <w:szCs w:val="22"/>
          <w:highlight w:val="yellow"/>
        </w:rPr>
        <w:t>的釋論</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共</w:t>
      </w:r>
      <w:r w:rsidRPr="00286DF2">
        <w:rPr>
          <w:rStyle w:val="refandcopymaintext"/>
          <w:rFonts w:eastAsia="標楷體" w:hint="eastAsia"/>
          <w:color w:val="FF0000"/>
          <w:szCs w:val="22"/>
          <w:highlight w:val="yellow"/>
        </w:rPr>
        <w:t>17</w:t>
      </w:r>
      <w:r w:rsidRPr="00286DF2">
        <w:rPr>
          <w:rStyle w:val="refandcopymaintext"/>
          <w:rFonts w:eastAsia="標楷體"/>
          <w:color w:val="FF0000"/>
          <w:szCs w:val="22"/>
          <w:highlight w:val="yellow"/>
        </w:rPr>
        <w:t>卷</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僅釋初二地</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此論是依</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十地經</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的偈頌</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而廣為解說的</w:t>
      </w:r>
      <w:r w:rsidRPr="00286DF2">
        <w:rPr>
          <w:rStyle w:val="refandcopypunctuation"/>
          <w:rFonts w:eastAsia="標楷體"/>
          <w:color w:val="FF0000"/>
          <w:szCs w:val="22"/>
          <w:highlight w:val="yellow"/>
        </w:rPr>
        <w:t>。</w:t>
      </w:r>
    </w:p>
    <w:p w:rsidR="00286DF2" w:rsidRPr="00286DF2" w:rsidRDefault="00286DF2" w:rsidP="00286DF2">
      <w:pPr>
        <w:pStyle w:val="a5"/>
        <w:ind w:leftChars="260" w:left="789" w:hangingChars="75" w:hanging="165"/>
        <w:jc w:val="both"/>
        <w:rPr>
          <w:rStyle w:val="refandcopypunctuation"/>
          <w:rFonts w:eastAsia="標楷體"/>
          <w:color w:val="FF0000"/>
          <w:szCs w:val="22"/>
          <w:highlight w:val="yellow"/>
        </w:rPr>
      </w:pPr>
      <w:r w:rsidRPr="00286DF2">
        <w:rPr>
          <w:rStyle w:val="refandcopymaintext"/>
          <w:rFonts w:eastAsia="標楷體"/>
          <w:color w:val="FF0000"/>
          <w:szCs w:val="22"/>
          <w:highlight w:val="yellow"/>
        </w:rPr>
        <w:t>3</w:t>
      </w:r>
      <w:r w:rsidRPr="00286DF2">
        <w:rPr>
          <w:rStyle w:val="refandcopypunctuation"/>
          <w:rFonts w:eastAsia="標楷體"/>
          <w:color w:val="FF0000"/>
          <w:szCs w:val="22"/>
          <w:highlight w:val="yellow"/>
        </w:rPr>
        <w:t>.</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菩提資糧論</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本頌是龍樹造</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隋達摩笈多</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Dharmagupta</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譯</w:t>
      </w:r>
      <w:r w:rsidRPr="00286DF2">
        <w:rPr>
          <w:rStyle w:val="refandcopypunctuation"/>
          <w:rFonts w:eastAsia="標楷體"/>
          <w:color w:val="FF0000"/>
          <w:szCs w:val="22"/>
          <w:highlight w:val="yellow"/>
        </w:rPr>
        <w:t>。</w:t>
      </w:r>
    </w:p>
    <w:p w:rsidR="00286DF2" w:rsidRPr="00286DF2" w:rsidRDefault="00286DF2" w:rsidP="00286DF2">
      <w:pPr>
        <w:pStyle w:val="a5"/>
        <w:ind w:leftChars="75" w:left="565" w:hangingChars="175" w:hanging="385"/>
        <w:jc w:val="both"/>
        <w:rPr>
          <w:rFonts w:eastAsia="標楷體"/>
          <w:sz w:val="24"/>
        </w:rPr>
      </w:pPr>
      <w:r w:rsidRPr="00286DF2">
        <w:rPr>
          <w:rStyle w:val="refandcopymaintext"/>
          <w:rFonts w:eastAsia="標楷體"/>
          <w:color w:val="FF0000"/>
          <w:szCs w:val="22"/>
          <w:highlight w:val="yellow"/>
        </w:rPr>
        <w:t>三</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唐義淨譯的</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龍樹菩薩勸誡王頌</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異譯有宋僧伽跋摩</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Saṃghavarman</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的</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勸發諸王要偈</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宋求那跋摩</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Guṇavarman</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的</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龍樹菩薩為禪陀迦王說法要偈</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這是為在家信者說法</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有淺有深</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有事有理</w:t>
      </w:r>
      <w:r w:rsidRPr="00286DF2">
        <w:rPr>
          <w:rStyle w:val="refandcopypunctuation"/>
          <w:rFonts w:eastAsia="標楷體"/>
          <w:color w:val="FF0000"/>
          <w:szCs w:val="22"/>
          <w:highlight w:val="yellow"/>
        </w:rPr>
        <w:t>，</w:t>
      </w:r>
      <w:r w:rsidRPr="00286DF2">
        <w:rPr>
          <w:rStyle w:val="refandcopymaintext"/>
          <w:rFonts w:eastAsia="標楷體"/>
          <w:color w:val="FF0000"/>
          <w:szCs w:val="22"/>
          <w:highlight w:val="yellow"/>
        </w:rPr>
        <w:t>自成一例</w:t>
      </w:r>
      <w:r w:rsidRPr="00286DF2">
        <w:rPr>
          <w:rStyle w:val="refandcopypunctuation"/>
          <w:rFonts w:eastAsia="標楷體"/>
          <w:color w:val="FF0000"/>
          <w:szCs w:val="22"/>
          <w:highlight w:val="yellow"/>
        </w:rPr>
        <w:t>。</w:t>
      </w:r>
    </w:p>
  </w:footnote>
  <w:footnote w:id="111">
    <w:p w:rsidR="00157EF6" w:rsidRPr="00212D57" w:rsidRDefault="00157EF6" w:rsidP="008E68AA">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w:t>
      </w:r>
      <w:r w:rsidR="009160B5">
        <w:rPr>
          <w:szCs w:val="22"/>
        </w:rPr>
        <w:t>參見：印</w:t>
      </w:r>
      <w:r w:rsidRPr="00212D57">
        <w:rPr>
          <w:szCs w:val="22"/>
        </w:rPr>
        <w:t>順法師，《學佛三要》，</w:t>
      </w:r>
      <w:r w:rsidRPr="00761EF3">
        <w:rPr>
          <w:szCs w:val="22"/>
        </w:rPr>
        <w:t>pp</w:t>
      </w:r>
      <w:r w:rsidRPr="00212D57">
        <w:rPr>
          <w:szCs w:val="22"/>
        </w:rPr>
        <w:t>.</w:t>
      </w:r>
      <w:r w:rsidRPr="00761EF3">
        <w:rPr>
          <w:szCs w:val="22"/>
        </w:rPr>
        <w:t>180</w:t>
      </w:r>
      <w:r w:rsidRPr="00212D57">
        <w:rPr>
          <w:szCs w:val="22"/>
        </w:rPr>
        <w:t>-</w:t>
      </w:r>
      <w:r w:rsidRPr="00761EF3">
        <w:rPr>
          <w:szCs w:val="22"/>
        </w:rPr>
        <w:t>181</w:t>
      </w:r>
      <w:r w:rsidRPr="00212D57">
        <w:rPr>
          <w:szCs w:val="22"/>
        </w:rPr>
        <w:t>：</w:t>
      </w:r>
    </w:p>
    <w:p w:rsidR="00157EF6" w:rsidRPr="00212D57" w:rsidRDefault="00157EF6" w:rsidP="008E68AA">
      <w:pPr>
        <w:pStyle w:val="a5"/>
        <w:ind w:leftChars="300" w:left="720"/>
        <w:jc w:val="both"/>
        <w:rPr>
          <w:rFonts w:eastAsia="標楷體"/>
          <w:szCs w:val="22"/>
        </w:rPr>
      </w:pPr>
      <w:r w:rsidRPr="00212D57">
        <w:rPr>
          <w:rFonts w:eastAsia="標楷體"/>
          <w:b/>
          <w:szCs w:val="22"/>
        </w:rPr>
        <w:t>聲聞者重於自我身心的觀察</w:t>
      </w:r>
      <w:r w:rsidRPr="00212D57">
        <w:rPr>
          <w:rFonts w:eastAsia="標楷體"/>
          <w:szCs w:val="22"/>
        </w:rPr>
        <w:t>，對外境似不大注意，祇要證知身心無我無我所，就可得到解脫。</w:t>
      </w:r>
    </w:p>
    <w:p w:rsidR="00157EF6" w:rsidRPr="00212D57" w:rsidRDefault="00157EF6" w:rsidP="008E68AA">
      <w:pPr>
        <w:pStyle w:val="a5"/>
        <w:ind w:leftChars="300" w:left="720"/>
        <w:jc w:val="both"/>
        <w:rPr>
          <w:rFonts w:eastAsia="標楷體"/>
          <w:szCs w:val="22"/>
        </w:rPr>
      </w:pPr>
      <w:r w:rsidRPr="00212D57">
        <w:rPr>
          <w:rFonts w:eastAsia="標楷體"/>
          <w:b/>
          <w:szCs w:val="22"/>
        </w:rPr>
        <w:t>大乘</w:t>
      </w:r>
      <w:r w:rsidRPr="00212D57">
        <w:rPr>
          <w:rFonts w:eastAsia="標楷體"/>
          <w:szCs w:val="22"/>
        </w:rPr>
        <w:t>則不然，</w:t>
      </w:r>
      <w:r w:rsidRPr="00212D57">
        <w:rPr>
          <w:rFonts w:eastAsia="標楷體"/>
          <w:b/>
          <w:szCs w:val="22"/>
        </w:rPr>
        <w:t>龍樹所開示的中觀修道次第，最後雖仍以觀察無我無我所而得解脫，但在前些階段，菩薩卻要廣觀一切法空。</w:t>
      </w:r>
      <w:r w:rsidRPr="006D547A">
        <w:rPr>
          <w:rFonts w:ascii="標楷體" w:eastAsia="標楷體" w:hAnsi="標楷體"/>
          <w:szCs w:val="22"/>
          <w:shd w:val="pct15" w:color="auto" w:fill="FFFFFF"/>
        </w:rPr>
        <w:t>……</w:t>
      </w:r>
      <w:r w:rsidRPr="00212D57">
        <w:rPr>
          <w:rFonts w:eastAsia="標楷體"/>
          <w:szCs w:val="22"/>
        </w:rPr>
        <w:t>大乘不共慧，約事相方面，除生死世間的因緣果報、身心現象，還有菩薩行為、佛果功德等等，都是它的觀境。以此世俗觀慧的信解，再加以法無我性</w:t>
      </w:r>
      <w:r w:rsidRPr="00212D57">
        <w:rPr>
          <w:rFonts w:ascii="標楷體" w:eastAsia="標楷體" w:hAnsi="標楷體"/>
          <w:szCs w:val="22"/>
        </w:rPr>
        <w:t>──法空性的勝義觀慧。依聞思修的不斷修習轉進，最後乃可證入諸法空性──真勝義諦。</w:t>
      </w:r>
      <w:r w:rsidRPr="00212D57">
        <w:rPr>
          <w:rFonts w:eastAsia="標楷體"/>
          <w:szCs w:val="22"/>
        </w:rPr>
        <w:t>修學大乘慧，貴在能夠就事即理，從俗入真，不使事理脫節</w:t>
      </w:r>
      <w:r w:rsidRPr="00212D57">
        <w:rPr>
          <w:rFonts w:eastAsia="標楷體" w:hint="eastAsia"/>
          <w:szCs w:val="22"/>
        </w:rPr>
        <w:t>、</w:t>
      </w:r>
      <w:r w:rsidRPr="00212D57">
        <w:rPr>
          <w:rFonts w:eastAsia="標楷體"/>
          <w:szCs w:val="22"/>
        </w:rPr>
        <w:t>真俗隔礙，所以究竟圓滿的大乘觀慧，必達理事圓融、真實平等無礙的最高境界。</w:t>
      </w:r>
    </w:p>
    <w:p w:rsidR="00157EF6" w:rsidRPr="00212D57" w:rsidRDefault="00157EF6" w:rsidP="008E68AA">
      <w:pPr>
        <w:pStyle w:val="a5"/>
        <w:ind w:leftChars="300" w:left="720"/>
        <w:jc w:val="both"/>
        <w:rPr>
          <w:rFonts w:eastAsia="標楷體"/>
          <w:szCs w:val="22"/>
        </w:rPr>
      </w:pPr>
      <w:r w:rsidRPr="00212D57">
        <w:rPr>
          <w:rFonts w:eastAsia="標楷體"/>
          <w:szCs w:val="22"/>
        </w:rPr>
        <w:t>然在初學者，即不能如此，因為圓融無礙，不是眾生的、初學的心境。印度諸大聖者所開導的修道次第，絕無一入門即觀事事無礙、法法圓融的，而是由信解因果緣起</w:t>
      </w:r>
      <w:r w:rsidRPr="00212D57">
        <w:rPr>
          <w:rFonts w:eastAsia="標楷體" w:hint="eastAsia"/>
          <w:szCs w:val="22"/>
        </w:rPr>
        <w:t>、</w:t>
      </w:r>
      <w:r w:rsidRPr="00212D57">
        <w:rPr>
          <w:rFonts w:eastAsia="標楷體"/>
          <w:szCs w:val="22"/>
        </w:rPr>
        <w:t>菩薩行願、佛果功德下手，然後由事入理、從俗證真，體悟諸法空性，離諸戲論，畢竟寂滅。此後乃能即理融事，從真出俗，漸達理性與事相</w:t>
      </w:r>
      <w:r w:rsidRPr="00212D57">
        <w:rPr>
          <w:rFonts w:eastAsia="標楷體" w:hint="eastAsia"/>
          <w:szCs w:val="22"/>
        </w:rPr>
        <w:t>、</w:t>
      </w:r>
      <w:r w:rsidRPr="00212D57">
        <w:rPr>
          <w:rFonts w:eastAsia="標楷體"/>
          <w:szCs w:val="22"/>
        </w:rPr>
        <w:t>真諦與俗諦的統一。</w:t>
      </w:r>
      <w:r w:rsidRPr="00212D57">
        <w:rPr>
          <w:rFonts w:eastAsia="標楷體"/>
          <w:b/>
          <w:szCs w:val="22"/>
        </w:rPr>
        <w:t>無著喻這修證過程，如金剛杵，首尾粗大而中間狹小。最初發心修學，觀境廣大，法門無量；及至將悟證時，唯一真如，無絲毫自性相可得，所謂</w:t>
      </w:r>
      <w:r w:rsidR="009F707C">
        <w:rPr>
          <w:rFonts w:eastAsia="標楷體" w:hint="eastAsia"/>
          <w:b/>
          <w:szCs w:val="22"/>
        </w:rPr>
        <w:t>「</w:t>
      </w:r>
      <w:r w:rsidRPr="00212D57">
        <w:rPr>
          <w:rFonts w:eastAsia="標楷體"/>
          <w:b/>
          <w:szCs w:val="22"/>
        </w:rPr>
        <w:t>無二寂靜之門</w:t>
      </w:r>
      <w:r w:rsidR="009F707C">
        <w:rPr>
          <w:rFonts w:eastAsia="標楷體" w:hint="eastAsia"/>
          <w:b/>
          <w:szCs w:val="22"/>
        </w:rPr>
        <w:t>」</w:t>
      </w:r>
      <w:r w:rsidRPr="00212D57">
        <w:rPr>
          <w:rFonts w:eastAsia="標楷體"/>
          <w:b/>
          <w:szCs w:val="22"/>
        </w:rPr>
        <w:t>；</w:t>
      </w:r>
      <w:r w:rsidR="009F707C">
        <w:rPr>
          <w:rFonts w:eastAsia="標楷體" w:hint="eastAsia"/>
          <w:b/>
          <w:szCs w:val="22"/>
        </w:rPr>
        <w:t>「</w:t>
      </w:r>
      <w:r w:rsidRPr="00212D57">
        <w:rPr>
          <w:rFonts w:eastAsia="標楷體"/>
          <w:b/>
          <w:szCs w:val="22"/>
        </w:rPr>
        <w:t>唯此一門</w:t>
      </w:r>
      <w:r w:rsidR="009F707C">
        <w:rPr>
          <w:rFonts w:eastAsia="標楷體" w:hint="eastAsia"/>
          <w:b/>
          <w:szCs w:val="22"/>
        </w:rPr>
        <w:t>」</w:t>
      </w:r>
      <w:r w:rsidRPr="00212D57">
        <w:rPr>
          <w:rFonts w:eastAsia="標楷體"/>
          <w:b/>
          <w:szCs w:val="22"/>
        </w:rPr>
        <w:t>。這一階段，離一切相，道極狹隘；要透過此門，真實獲證徹悟空性，才又起方便</w:t>
      </w:r>
      <w:r w:rsidRPr="00357F1D">
        <w:rPr>
          <w:rFonts w:ascii="標楷體" w:eastAsia="標楷體" w:hAnsi="標楷體" w:hint="eastAsia"/>
          <w:b/>
          <w:szCs w:val="22"/>
        </w:rPr>
        <w:t>──</w:t>
      </w:r>
      <w:r w:rsidRPr="00212D57">
        <w:rPr>
          <w:rFonts w:eastAsia="標楷體"/>
          <w:b/>
          <w:szCs w:val="22"/>
        </w:rPr>
        <w:t>後得智，廣觀無邊境相，起種種行。</w:t>
      </w:r>
      <w:r w:rsidRPr="00212D57">
        <w:rPr>
          <w:rFonts w:eastAsia="標楷體"/>
          <w:szCs w:val="22"/>
        </w:rPr>
        <w:t>漸入漸深，到達即事即理，即俗即真，圓融無礙之佛境。</w:t>
      </w:r>
    </w:p>
    <w:p w:rsidR="00157EF6" w:rsidRPr="00212D57" w:rsidRDefault="00157EF6" w:rsidP="008E68AA">
      <w:pPr>
        <w:pStyle w:val="a5"/>
        <w:ind w:leftChars="80" w:left="731" w:hangingChars="245" w:hanging="539"/>
        <w:jc w:val="both"/>
        <w:rPr>
          <w:szCs w:val="22"/>
        </w:rPr>
      </w:pPr>
      <w:r w:rsidRPr="00212D57">
        <w:rPr>
          <w:szCs w:val="22"/>
        </w:rPr>
        <w:t>（</w:t>
      </w:r>
      <w:r w:rsidRPr="00761EF3">
        <w:rPr>
          <w:szCs w:val="22"/>
        </w:rPr>
        <w:t>2</w:t>
      </w:r>
      <w:r w:rsidRPr="00212D57">
        <w:rPr>
          <w:szCs w:val="22"/>
        </w:rPr>
        <w:t>）</w:t>
      </w:r>
      <w:r w:rsidRPr="00212D57">
        <w:rPr>
          <w:spacing w:val="4"/>
          <w:szCs w:val="22"/>
        </w:rPr>
        <w:t>無著造，</w:t>
      </w:r>
      <w:r w:rsidRPr="00212D57">
        <w:rPr>
          <w:rFonts w:hint="eastAsia"/>
          <w:spacing w:val="4"/>
          <w:szCs w:val="22"/>
        </w:rPr>
        <w:t>［</w:t>
      </w:r>
      <w:r w:rsidRPr="00212D57">
        <w:rPr>
          <w:spacing w:val="4"/>
          <w:szCs w:val="22"/>
        </w:rPr>
        <w:t>隋］達磨笈多譯</w:t>
      </w:r>
      <w:r w:rsidRPr="00212D57">
        <w:rPr>
          <w:rFonts w:hint="eastAsia"/>
          <w:spacing w:val="4"/>
          <w:szCs w:val="22"/>
        </w:rPr>
        <w:t>，</w:t>
      </w:r>
      <w:r w:rsidRPr="00212D57">
        <w:rPr>
          <w:spacing w:val="4"/>
          <w:szCs w:val="22"/>
        </w:rPr>
        <w:t>《金剛般若論》</w:t>
      </w:r>
      <w:r w:rsidR="00434424" w:rsidRPr="00212D57">
        <w:rPr>
          <w:szCs w:val="22"/>
        </w:rPr>
        <w:t>（大正</w:t>
      </w:r>
      <w:r w:rsidR="00434424" w:rsidRPr="00761EF3">
        <w:rPr>
          <w:szCs w:val="22"/>
        </w:rPr>
        <w:t>25</w:t>
      </w:r>
      <w:r w:rsidR="00434424" w:rsidRPr="00212D57">
        <w:rPr>
          <w:szCs w:val="22"/>
        </w:rPr>
        <w:t>，</w:t>
      </w:r>
      <w:r w:rsidR="00434424" w:rsidRPr="00761EF3">
        <w:rPr>
          <w:szCs w:val="22"/>
        </w:rPr>
        <w:t>759a17</w:t>
      </w:r>
      <w:r w:rsidR="00434424" w:rsidRPr="00212D57">
        <w:rPr>
          <w:szCs w:val="22"/>
        </w:rPr>
        <w:t>-</w:t>
      </w:r>
      <w:r w:rsidR="00434424" w:rsidRPr="00761EF3">
        <w:rPr>
          <w:szCs w:val="22"/>
        </w:rPr>
        <w:t>19</w:t>
      </w:r>
      <w:r w:rsidR="00434424" w:rsidRPr="00212D57">
        <w:rPr>
          <w:szCs w:val="22"/>
        </w:rPr>
        <w:t>）</w:t>
      </w:r>
      <w:r w:rsidRPr="00212D57">
        <w:rPr>
          <w:spacing w:val="4"/>
          <w:szCs w:val="22"/>
        </w:rPr>
        <w:t>：「</w:t>
      </w:r>
      <w:r w:rsidRPr="00212D57">
        <w:rPr>
          <w:rFonts w:eastAsia="標楷體"/>
          <w:spacing w:val="4"/>
          <w:szCs w:val="22"/>
        </w:rPr>
        <w:t>又如畫金剛形，</w:t>
      </w:r>
      <w:r w:rsidR="00EB57EF">
        <w:rPr>
          <w:rFonts w:ascii="標楷體" w:eastAsia="標楷體" w:hAnsi="標楷體" w:hint="eastAsia"/>
          <w:bCs/>
          <w:color w:val="FF0000"/>
          <w:kern w:val="0"/>
          <w:highlight w:val="yellow"/>
        </w:rPr>
        <w:t>「</w:t>
      </w:r>
      <w:r w:rsidRPr="00212D57">
        <w:rPr>
          <w:rFonts w:eastAsia="標楷體"/>
          <w:spacing w:val="4"/>
          <w:szCs w:val="22"/>
        </w:rPr>
        <w:t>初</w:t>
      </w:r>
      <w:r w:rsidR="00EB57EF">
        <w:rPr>
          <w:rFonts w:ascii="標楷體" w:eastAsia="標楷體" w:hAnsi="標楷體" w:hint="eastAsia"/>
          <w:color w:val="FF0000"/>
          <w:spacing w:val="-4"/>
          <w:kern w:val="0"/>
          <w:highlight w:val="yellow"/>
        </w:rPr>
        <w:t>、</w:t>
      </w:r>
      <w:r w:rsidRPr="00212D57">
        <w:rPr>
          <w:rFonts w:eastAsia="標楷體"/>
          <w:spacing w:val="4"/>
          <w:szCs w:val="22"/>
        </w:rPr>
        <w:t>後</w:t>
      </w:r>
      <w:r w:rsidR="00EB57EF">
        <w:rPr>
          <w:rFonts w:ascii="標楷體" w:eastAsia="標楷體" w:hAnsi="標楷體" w:hint="eastAsia"/>
          <w:bCs/>
          <w:color w:val="FF0000"/>
          <w:kern w:val="0"/>
          <w:highlight w:val="yellow"/>
        </w:rPr>
        <w:t>」</w:t>
      </w:r>
      <w:r w:rsidRPr="00212D57">
        <w:rPr>
          <w:rFonts w:eastAsia="標楷體"/>
          <w:spacing w:val="4"/>
          <w:szCs w:val="22"/>
        </w:rPr>
        <w:t>闊，中則狹</w:t>
      </w:r>
      <w:r w:rsidR="00642953">
        <w:rPr>
          <w:rFonts w:ascii="標楷體" w:eastAsia="標楷體" w:hAnsi="標楷體" w:hint="eastAsia"/>
          <w:color w:val="FF0000"/>
          <w:spacing w:val="-4"/>
          <w:kern w:val="0"/>
          <w:highlight w:val="yellow"/>
        </w:rPr>
        <w:t>；</w:t>
      </w:r>
      <w:r w:rsidRPr="00212D57">
        <w:rPr>
          <w:rFonts w:eastAsia="標楷體"/>
          <w:szCs w:val="22"/>
        </w:rPr>
        <w:t>如是般若波羅蜜中</w:t>
      </w:r>
      <w:r w:rsidR="00642953">
        <w:rPr>
          <w:rFonts w:ascii="標楷體" w:eastAsia="標楷體" w:hAnsi="標楷體" w:hint="eastAsia"/>
          <w:color w:val="FF0000"/>
          <w:kern w:val="0"/>
          <w:highlight w:val="yellow"/>
        </w:rPr>
        <w:t>──</w:t>
      </w:r>
      <w:r w:rsidR="00EB57EF">
        <w:rPr>
          <w:rFonts w:ascii="標楷體" w:eastAsia="標楷體" w:hAnsi="標楷體" w:hint="eastAsia"/>
          <w:bCs/>
          <w:color w:val="FF0000"/>
          <w:kern w:val="0"/>
          <w:highlight w:val="yellow"/>
        </w:rPr>
        <w:t>「</w:t>
      </w:r>
      <w:r w:rsidRPr="00212D57">
        <w:rPr>
          <w:rFonts w:eastAsia="標楷體"/>
          <w:szCs w:val="22"/>
        </w:rPr>
        <w:t>狹</w:t>
      </w:r>
      <w:r w:rsidR="00EB57EF">
        <w:rPr>
          <w:rFonts w:ascii="標楷體" w:eastAsia="標楷體" w:hAnsi="標楷體" w:hint="eastAsia"/>
          <w:bCs/>
          <w:color w:val="FF0000"/>
          <w:kern w:val="0"/>
          <w:highlight w:val="yellow"/>
        </w:rPr>
        <w:t>」</w:t>
      </w:r>
      <w:r w:rsidRPr="00212D57">
        <w:rPr>
          <w:rFonts w:eastAsia="標楷體"/>
          <w:szCs w:val="22"/>
        </w:rPr>
        <w:t>者，謂</w:t>
      </w:r>
      <w:r w:rsidR="00EB57EF">
        <w:rPr>
          <w:rFonts w:ascii="標楷體" w:eastAsia="標楷體" w:hAnsi="標楷體" w:hint="eastAsia"/>
          <w:bCs/>
          <w:color w:val="FF0000"/>
          <w:kern w:val="0"/>
          <w:highlight w:val="yellow"/>
        </w:rPr>
        <w:t>「</w:t>
      </w:r>
      <w:r w:rsidRPr="00212D57">
        <w:rPr>
          <w:rFonts w:eastAsia="標楷體"/>
          <w:szCs w:val="22"/>
        </w:rPr>
        <w:t>淨心地</w:t>
      </w:r>
      <w:r w:rsidR="00EB57EF">
        <w:rPr>
          <w:rFonts w:ascii="標楷體" w:eastAsia="標楷體" w:hAnsi="標楷體" w:hint="eastAsia"/>
          <w:bCs/>
          <w:color w:val="FF0000"/>
          <w:kern w:val="0"/>
          <w:highlight w:val="yellow"/>
        </w:rPr>
        <w:t>」</w:t>
      </w:r>
      <w:r w:rsidRPr="00212D57">
        <w:rPr>
          <w:rFonts w:eastAsia="標楷體"/>
          <w:szCs w:val="22"/>
        </w:rPr>
        <w:t>；</w:t>
      </w:r>
      <w:r w:rsidR="00EB57EF">
        <w:rPr>
          <w:rFonts w:ascii="標楷體" w:eastAsia="標楷體" w:hAnsi="標楷體" w:hint="eastAsia"/>
          <w:bCs/>
          <w:color w:val="FF0000"/>
          <w:kern w:val="0"/>
          <w:highlight w:val="yellow"/>
        </w:rPr>
        <w:t>「</w:t>
      </w:r>
      <w:r w:rsidR="00EB57EF">
        <w:rPr>
          <w:rFonts w:ascii="標楷體" w:eastAsia="標楷體" w:hAnsi="標楷體" w:hint="eastAsia"/>
          <w:color w:val="FF0000"/>
          <w:kern w:val="0"/>
          <w:highlight w:val="yellow"/>
        </w:rPr>
        <w:t>『</w:t>
      </w:r>
      <w:r w:rsidRPr="00212D57">
        <w:rPr>
          <w:rFonts w:eastAsia="標楷體"/>
          <w:szCs w:val="22"/>
        </w:rPr>
        <w:t>初</w:t>
      </w:r>
      <w:r w:rsidR="00EB57EF">
        <w:rPr>
          <w:rFonts w:ascii="標楷體" w:eastAsia="標楷體" w:hAnsi="標楷體" w:hint="eastAsia"/>
          <w:color w:val="FF0000"/>
          <w:spacing w:val="-4"/>
          <w:kern w:val="0"/>
          <w:highlight w:val="yellow"/>
        </w:rPr>
        <w:t>、</w:t>
      </w:r>
      <w:r w:rsidRPr="00212D57">
        <w:rPr>
          <w:rFonts w:eastAsia="標楷體"/>
          <w:szCs w:val="22"/>
        </w:rPr>
        <w:t>後</w:t>
      </w:r>
      <w:r w:rsidR="00EB57EF">
        <w:rPr>
          <w:rFonts w:ascii="標楷體" w:eastAsia="標楷體" w:hAnsi="標楷體" w:hint="eastAsia"/>
          <w:color w:val="FF0000"/>
          <w:kern w:val="0"/>
          <w:highlight w:val="yellow"/>
        </w:rPr>
        <w:t>』</w:t>
      </w:r>
      <w:r w:rsidRPr="00212D57">
        <w:rPr>
          <w:rFonts w:eastAsia="標楷體"/>
          <w:szCs w:val="22"/>
        </w:rPr>
        <w:t>闊</w:t>
      </w:r>
      <w:r w:rsidR="00EB57EF">
        <w:rPr>
          <w:rFonts w:ascii="標楷體" w:eastAsia="標楷體" w:hAnsi="標楷體" w:hint="eastAsia"/>
          <w:bCs/>
          <w:color w:val="FF0000"/>
          <w:kern w:val="0"/>
          <w:highlight w:val="yellow"/>
        </w:rPr>
        <w:t>」</w:t>
      </w:r>
      <w:r w:rsidRPr="00212D57">
        <w:rPr>
          <w:rFonts w:eastAsia="標楷體"/>
          <w:szCs w:val="22"/>
        </w:rPr>
        <w:t>者，謂</w:t>
      </w:r>
      <w:r w:rsidR="00EB57EF">
        <w:rPr>
          <w:rFonts w:ascii="標楷體" w:eastAsia="標楷體" w:hAnsi="標楷體" w:hint="eastAsia"/>
          <w:bCs/>
          <w:color w:val="FF0000"/>
          <w:kern w:val="0"/>
          <w:highlight w:val="yellow"/>
        </w:rPr>
        <w:t>「</w:t>
      </w:r>
      <w:r w:rsidRPr="00212D57">
        <w:rPr>
          <w:rFonts w:eastAsia="標楷體"/>
          <w:szCs w:val="22"/>
        </w:rPr>
        <w:t>信行地、如來地</w:t>
      </w:r>
      <w:r w:rsidR="00EB57EF">
        <w:rPr>
          <w:rFonts w:ascii="標楷體" w:eastAsia="標楷體" w:hAnsi="標楷體" w:hint="eastAsia"/>
          <w:bCs/>
          <w:color w:val="FF0000"/>
          <w:kern w:val="0"/>
          <w:highlight w:val="yellow"/>
        </w:rPr>
        <w:t>」</w:t>
      </w:r>
      <w:r w:rsidRPr="00EB57EF">
        <w:rPr>
          <w:rFonts w:eastAsia="標楷體"/>
          <w:szCs w:val="22"/>
          <w:highlight w:val="yellow"/>
        </w:rPr>
        <w:t>。</w:t>
      </w:r>
    </w:p>
    <w:p w:rsidR="00157EF6" w:rsidRPr="00212D57" w:rsidRDefault="00157EF6" w:rsidP="008E68AA">
      <w:pPr>
        <w:pStyle w:val="a5"/>
        <w:ind w:leftChars="80" w:left="731" w:hangingChars="245" w:hanging="539"/>
        <w:jc w:val="both"/>
        <w:rPr>
          <w:rFonts w:eastAsia="標楷體"/>
          <w:szCs w:val="22"/>
        </w:rPr>
      </w:pPr>
      <w:r w:rsidRPr="00212D57">
        <w:rPr>
          <w:szCs w:val="22"/>
        </w:rPr>
        <w:t>（</w:t>
      </w:r>
      <w:r w:rsidRPr="00761EF3">
        <w:rPr>
          <w:szCs w:val="22"/>
        </w:rPr>
        <w:t>3</w:t>
      </w:r>
      <w:r w:rsidRPr="00212D57">
        <w:rPr>
          <w:szCs w:val="22"/>
        </w:rPr>
        <w:t>）無著造，［隋］達摩岌多譯，《金剛般若波羅蜜經論》（大正</w:t>
      </w:r>
      <w:r w:rsidRPr="00761EF3">
        <w:rPr>
          <w:szCs w:val="22"/>
        </w:rPr>
        <w:t>25</w:t>
      </w:r>
      <w:r w:rsidRPr="00212D57">
        <w:rPr>
          <w:szCs w:val="22"/>
        </w:rPr>
        <w:t>，</w:t>
      </w:r>
      <w:r w:rsidRPr="00761EF3">
        <w:rPr>
          <w:szCs w:val="22"/>
        </w:rPr>
        <w:t>767b22</w:t>
      </w:r>
      <w:r w:rsidRPr="00212D57">
        <w:rPr>
          <w:szCs w:val="22"/>
        </w:rPr>
        <w:t>-</w:t>
      </w:r>
      <w:r w:rsidRPr="00761EF3">
        <w:rPr>
          <w:szCs w:val="22"/>
        </w:rPr>
        <w:t>24</w:t>
      </w:r>
      <w:r w:rsidRPr="00212D57">
        <w:rPr>
          <w:szCs w:val="22"/>
        </w:rPr>
        <w:t>）。</w:t>
      </w:r>
    </w:p>
  </w:footnote>
  <w:footnote w:id="112">
    <w:p w:rsidR="00157EF6" w:rsidRPr="00212D57" w:rsidRDefault="00157EF6" w:rsidP="005F2F48">
      <w:pPr>
        <w:pStyle w:val="a5"/>
        <w:ind w:left="187" w:hangingChars="85" w:hanging="187"/>
        <w:jc w:val="both"/>
        <w:rPr>
          <w:szCs w:val="22"/>
        </w:rPr>
      </w:pPr>
      <w:r w:rsidRPr="00212D57">
        <w:rPr>
          <w:rStyle w:val="a6"/>
          <w:szCs w:val="22"/>
        </w:rPr>
        <w:footnoteRef/>
      </w:r>
      <w:r w:rsidRPr="00212D57">
        <w:rPr>
          <w:rFonts w:hint="eastAsia"/>
          <w:szCs w:val="22"/>
        </w:rPr>
        <w:t xml:space="preserve"> </w:t>
      </w:r>
      <w:r w:rsidR="009160B5">
        <w:rPr>
          <w:szCs w:val="22"/>
        </w:rPr>
        <w:t>參見：印</w:t>
      </w:r>
      <w:r w:rsidRPr="00212D57">
        <w:rPr>
          <w:szCs w:val="22"/>
        </w:rPr>
        <w:t>順法師，《印度佛教思想史》，</w:t>
      </w:r>
      <w:r w:rsidRPr="00761EF3">
        <w:rPr>
          <w:szCs w:val="22"/>
        </w:rPr>
        <w:t>pp</w:t>
      </w:r>
      <w:r w:rsidRPr="00212D57">
        <w:rPr>
          <w:szCs w:val="22"/>
        </w:rPr>
        <w:t>.</w:t>
      </w:r>
      <w:r w:rsidRPr="00761EF3">
        <w:rPr>
          <w:szCs w:val="22"/>
        </w:rPr>
        <w:t>122</w:t>
      </w:r>
      <w:r w:rsidRPr="00212D57">
        <w:rPr>
          <w:szCs w:val="22"/>
        </w:rPr>
        <w:t>-</w:t>
      </w:r>
      <w:r w:rsidRPr="00761EF3">
        <w:rPr>
          <w:szCs w:val="22"/>
        </w:rPr>
        <w:t>126</w:t>
      </w:r>
      <w:r w:rsidRPr="00212D57">
        <w:rPr>
          <w:szCs w:val="22"/>
        </w:rPr>
        <w:t>。</w:t>
      </w:r>
    </w:p>
  </w:footnote>
  <w:footnote w:id="113">
    <w:p w:rsidR="00157EF6" w:rsidRDefault="00157EF6" w:rsidP="008E68AA">
      <w:pPr>
        <w:pStyle w:val="a5"/>
        <w:spacing w:line="0" w:lineRule="atLeast"/>
        <w:ind w:left="704" w:hangingChars="320" w:hanging="704"/>
        <w:jc w:val="both"/>
        <w:rPr>
          <w:rFonts w:eastAsia="標楷體"/>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）〔姚秦〕鳩摩羅什譯</w:t>
      </w:r>
      <w:r w:rsidRPr="00212D57">
        <w:rPr>
          <w:rFonts w:hint="eastAsia"/>
          <w:szCs w:val="22"/>
        </w:rPr>
        <w:t>，</w:t>
      </w:r>
      <w:r w:rsidRPr="00212D57">
        <w:rPr>
          <w:szCs w:val="22"/>
        </w:rPr>
        <w:t>《龍樹菩薩傳</w:t>
      </w:r>
      <w:r w:rsidRPr="00B553D1">
        <w:rPr>
          <w:szCs w:val="22"/>
          <w:highlight w:val="yellow"/>
        </w:rPr>
        <w:t>》</w:t>
      </w:r>
      <w:r w:rsidR="00434424" w:rsidRPr="00B553D1">
        <w:rPr>
          <w:rFonts w:eastAsia="標楷體"/>
          <w:szCs w:val="22"/>
          <w:highlight w:val="yellow"/>
        </w:rPr>
        <w:t>（</w:t>
      </w:r>
      <w:r w:rsidR="00434424" w:rsidRPr="00212D57">
        <w:rPr>
          <w:szCs w:val="22"/>
        </w:rPr>
        <w:t>大正</w:t>
      </w:r>
      <w:r w:rsidR="00434424" w:rsidRPr="00761EF3">
        <w:rPr>
          <w:szCs w:val="22"/>
        </w:rPr>
        <w:t>50</w:t>
      </w:r>
      <w:r w:rsidR="00434424" w:rsidRPr="00212D57">
        <w:rPr>
          <w:szCs w:val="22"/>
        </w:rPr>
        <w:t>，</w:t>
      </w:r>
      <w:r w:rsidR="00B553D1" w:rsidRPr="00B553D1">
        <w:rPr>
          <w:rFonts w:hint="eastAsia"/>
          <w:color w:val="FF0000"/>
          <w:szCs w:val="22"/>
          <w:highlight w:val="yellow"/>
        </w:rPr>
        <w:t>no.2047a</w:t>
      </w:r>
      <w:r w:rsidR="00B553D1">
        <w:rPr>
          <w:rFonts w:hint="eastAsia"/>
          <w:szCs w:val="22"/>
        </w:rPr>
        <w:t>，</w:t>
      </w:r>
      <w:r w:rsidR="00434424" w:rsidRPr="00761EF3">
        <w:rPr>
          <w:szCs w:val="22"/>
        </w:rPr>
        <w:t>184c14</w:t>
      </w:r>
      <w:r w:rsidR="00434424" w:rsidRPr="00212D57">
        <w:rPr>
          <w:szCs w:val="22"/>
        </w:rPr>
        <w:t>-</w:t>
      </w:r>
      <w:r w:rsidR="00434424" w:rsidRPr="00761EF3">
        <w:rPr>
          <w:szCs w:val="22"/>
        </w:rPr>
        <w:t>21</w:t>
      </w:r>
      <w:r w:rsidR="00434424" w:rsidRPr="00212D57">
        <w:rPr>
          <w:szCs w:val="22"/>
        </w:rPr>
        <w:t>）</w:t>
      </w:r>
      <w:r w:rsidRPr="00212D57">
        <w:rPr>
          <w:szCs w:val="22"/>
        </w:rPr>
        <w:t>：「</w:t>
      </w:r>
      <w:r w:rsidRPr="00212D57">
        <w:rPr>
          <w:rFonts w:eastAsia="標楷體"/>
          <w:szCs w:val="22"/>
        </w:rPr>
        <w:t>龍言：</w:t>
      </w:r>
      <w:r w:rsidR="00B553D1">
        <w:rPr>
          <w:rFonts w:ascii="標楷體" w:eastAsia="標楷體" w:hAnsi="標楷體" w:hint="eastAsia"/>
          <w:color w:val="FF0000"/>
          <w:kern w:val="0"/>
          <w:highlight w:val="yellow"/>
        </w:rPr>
        <w:t>『</w:t>
      </w:r>
      <w:r w:rsidRPr="00212D57">
        <w:rPr>
          <w:rFonts w:eastAsia="標楷體"/>
          <w:szCs w:val="22"/>
        </w:rPr>
        <w:t>如我宮中所有經典，諸處此比</w:t>
      </w:r>
      <w:r w:rsidR="00B553D1">
        <w:rPr>
          <w:rFonts w:ascii="標楷體" w:eastAsia="標楷體" w:hAnsi="標楷體" w:hint="eastAsia"/>
          <w:color w:val="FF0000"/>
          <w:kern w:val="0"/>
          <w:highlight w:val="yellow"/>
        </w:rPr>
        <w:t>，</w:t>
      </w:r>
      <w:r w:rsidRPr="00212D57">
        <w:rPr>
          <w:rFonts w:eastAsia="標楷體"/>
          <w:szCs w:val="22"/>
        </w:rPr>
        <w:t>復不可數</w:t>
      </w:r>
      <w:r w:rsidR="00B553D1">
        <w:rPr>
          <w:rFonts w:ascii="標楷體" w:eastAsia="標楷體" w:hAnsi="標楷體" w:hint="eastAsia"/>
          <w:color w:val="FF0000"/>
          <w:kern w:val="0"/>
          <w:highlight w:val="yellow"/>
        </w:rPr>
        <w:t>。』</w:t>
      </w:r>
      <w:r w:rsidRPr="00212D57">
        <w:rPr>
          <w:rFonts w:eastAsia="標楷體"/>
          <w:b/>
          <w:szCs w:val="22"/>
        </w:rPr>
        <w:t>龍樹</w:t>
      </w:r>
      <w:r w:rsidRPr="00212D57">
        <w:rPr>
          <w:rFonts w:eastAsia="標楷體"/>
          <w:szCs w:val="22"/>
        </w:rPr>
        <w:t>既得諸經一</w:t>
      </w:r>
      <w:r w:rsidRPr="00B553D1">
        <w:rPr>
          <w:rFonts w:eastAsia="標楷體"/>
          <w:szCs w:val="22"/>
          <w:u w:val="wave"/>
        </w:rPr>
        <w:t>相</w:t>
      </w:r>
      <w:r w:rsidR="00B553D1" w:rsidRPr="00B553D1">
        <w:rPr>
          <w:rFonts w:eastAsia="標楷體" w:hint="eastAsia"/>
          <w:color w:val="FF0000"/>
          <w:szCs w:val="22"/>
          <w:shd w:val="pct15" w:color="auto" w:fill="FFFFFF"/>
        </w:rPr>
        <w:t>*</w:t>
      </w:r>
      <w:r w:rsidR="00B553D1">
        <w:rPr>
          <w:rFonts w:ascii="標楷體" w:eastAsia="標楷體" w:hAnsi="標楷體" w:hint="eastAsia"/>
          <w:color w:val="FF0000"/>
          <w:kern w:val="0"/>
          <w:highlight w:val="yellow"/>
        </w:rPr>
        <w:t>，</w:t>
      </w:r>
      <w:r w:rsidRPr="00212D57">
        <w:rPr>
          <w:rFonts w:eastAsia="標楷體"/>
          <w:szCs w:val="22"/>
        </w:rPr>
        <w:t>深入無生，二忍具足，龍還送出</w:t>
      </w:r>
      <w:r w:rsidR="00B553D1">
        <w:rPr>
          <w:rFonts w:ascii="標楷體" w:eastAsia="標楷體" w:hAnsi="標楷體" w:hint="eastAsia"/>
          <w:color w:val="FF0000"/>
          <w:kern w:val="0"/>
          <w:highlight w:val="yellow"/>
        </w:rPr>
        <w:t>。</w:t>
      </w:r>
      <w:r w:rsidRPr="00212D57">
        <w:rPr>
          <w:rFonts w:eastAsia="標楷體"/>
          <w:szCs w:val="22"/>
        </w:rPr>
        <w:t>於南天竺，大弘佛法</w:t>
      </w:r>
      <w:r w:rsidR="00B553D1">
        <w:rPr>
          <w:rFonts w:ascii="標楷體" w:eastAsia="標楷體" w:hAnsi="標楷體" w:hint="eastAsia"/>
          <w:color w:val="FF0000"/>
          <w:kern w:val="0"/>
          <w:highlight w:val="yellow"/>
        </w:rPr>
        <w:t>，</w:t>
      </w:r>
      <w:r w:rsidRPr="00212D57">
        <w:rPr>
          <w:rFonts w:eastAsia="標楷體"/>
          <w:szCs w:val="22"/>
        </w:rPr>
        <w:t>摧伏外道</w:t>
      </w:r>
      <w:r w:rsidR="00B553D1">
        <w:rPr>
          <w:rFonts w:ascii="標楷體" w:eastAsia="標楷體" w:hAnsi="標楷體" w:hint="eastAsia"/>
          <w:color w:val="FF0000"/>
          <w:kern w:val="0"/>
          <w:highlight w:val="yellow"/>
        </w:rPr>
        <w:t>。</w:t>
      </w:r>
      <w:r w:rsidRPr="00212D57">
        <w:rPr>
          <w:rFonts w:eastAsia="標楷體"/>
          <w:szCs w:val="22"/>
        </w:rPr>
        <w:t>廣明摩訶衍，作《優波提舍》十萬偈，又作《莊嚴佛道論》五千偈</w:t>
      </w:r>
      <w:r w:rsidR="00B553D1">
        <w:rPr>
          <w:rFonts w:ascii="標楷體" w:eastAsia="標楷體" w:hAnsi="標楷體" w:hint="eastAsia"/>
          <w:color w:val="FF0000"/>
          <w:spacing w:val="-4"/>
          <w:kern w:val="0"/>
          <w:highlight w:val="yellow"/>
        </w:rPr>
        <w:t>、</w:t>
      </w:r>
      <w:r w:rsidR="00B553D1">
        <w:rPr>
          <w:rFonts w:eastAsia="標楷體"/>
          <w:szCs w:val="22"/>
        </w:rPr>
        <w:t>《大慈方便論》五千偈</w:t>
      </w:r>
      <w:r w:rsidR="00B553D1">
        <w:rPr>
          <w:rFonts w:ascii="標楷體" w:eastAsia="標楷體" w:hAnsi="標楷體" w:hint="eastAsia"/>
          <w:color w:val="FF0000"/>
          <w:spacing w:val="-4"/>
          <w:kern w:val="0"/>
          <w:highlight w:val="yellow"/>
        </w:rPr>
        <w:t>、</w:t>
      </w:r>
      <w:r w:rsidR="00B553D1">
        <w:rPr>
          <w:rFonts w:eastAsia="標楷體"/>
          <w:szCs w:val="22"/>
        </w:rPr>
        <w:t>《中論》五百偈，令摩訶衍教大行於天竺</w:t>
      </w:r>
      <w:r w:rsidR="00B553D1">
        <w:rPr>
          <w:rFonts w:ascii="標楷體" w:eastAsia="標楷體" w:hAnsi="標楷體" w:hint="eastAsia"/>
          <w:color w:val="FF0000"/>
          <w:spacing w:val="-4"/>
          <w:kern w:val="0"/>
          <w:highlight w:val="yellow"/>
        </w:rPr>
        <w:t>；</w:t>
      </w:r>
      <w:r w:rsidRPr="00212D57">
        <w:rPr>
          <w:rFonts w:eastAsia="標楷體"/>
          <w:b/>
          <w:szCs w:val="22"/>
        </w:rPr>
        <w:t>又造《無畏論》十萬偈，《中論》出其中。</w:t>
      </w:r>
      <w:r w:rsidRPr="00212D57">
        <w:rPr>
          <w:rFonts w:eastAsia="標楷體"/>
          <w:szCs w:val="22"/>
        </w:rPr>
        <w:t>」</w:t>
      </w:r>
    </w:p>
    <w:p w:rsidR="00B553D1" w:rsidRPr="00B553D1" w:rsidRDefault="00B553D1" w:rsidP="00B553D1">
      <w:pPr>
        <w:pStyle w:val="a5"/>
        <w:spacing w:line="0" w:lineRule="atLeast"/>
        <w:ind w:leftChars="300" w:left="830" w:hangingChars="50" w:hanging="110"/>
        <w:jc w:val="both"/>
        <w:rPr>
          <w:color w:val="FF0000"/>
          <w:szCs w:val="22"/>
          <w:highlight w:val="yellow"/>
        </w:rPr>
      </w:pPr>
      <w:r w:rsidRPr="00B553D1">
        <w:rPr>
          <w:rFonts w:eastAsia="標楷體" w:hint="eastAsia"/>
          <w:color w:val="FF0000"/>
          <w:szCs w:val="22"/>
          <w:shd w:val="pct15" w:color="auto" w:fill="FFFFFF"/>
        </w:rPr>
        <w:t>*</w:t>
      </w:r>
      <w:r w:rsidRPr="00B553D1">
        <w:rPr>
          <w:color w:val="FF0000"/>
          <w:szCs w:val="22"/>
          <w:highlight w:val="yellow"/>
        </w:rPr>
        <w:t>〔姚秦〕鳩摩羅什譯</w:t>
      </w:r>
      <w:r w:rsidRPr="00B553D1">
        <w:rPr>
          <w:rFonts w:hint="eastAsia"/>
          <w:color w:val="FF0000"/>
          <w:szCs w:val="22"/>
          <w:highlight w:val="yellow"/>
        </w:rPr>
        <w:t>，《龍樹菩薩傳》</w:t>
      </w:r>
      <w:r w:rsidRPr="00B553D1">
        <w:rPr>
          <w:rFonts w:eastAsia="標楷體"/>
          <w:color w:val="FF0000"/>
          <w:szCs w:val="22"/>
          <w:highlight w:val="yellow"/>
        </w:rPr>
        <w:t>（</w:t>
      </w:r>
      <w:r w:rsidRPr="00B553D1">
        <w:rPr>
          <w:color w:val="FF0000"/>
          <w:szCs w:val="22"/>
          <w:highlight w:val="yellow"/>
        </w:rPr>
        <w:t>大正</w:t>
      </w:r>
      <w:r w:rsidRPr="00B553D1">
        <w:rPr>
          <w:color w:val="FF0000"/>
          <w:szCs w:val="22"/>
          <w:highlight w:val="yellow"/>
        </w:rPr>
        <w:t>50</w:t>
      </w:r>
      <w:r w:rsidRPr="00B553D1">
        <w:rPr>
          <w:color w:val="FF0000"/>
          <w:szCs w:val="22"/>
          <w:highlight w:val="yellow"/>
        </w:rPr>
        <w:t>，</w:t>
      </w:r>
      <w:r w:rsidRPr="00B553D1">
        <w:rPr>
          <w:rFonts w:hint="eastAsia"/>
          <w:color w:val="FF0000"/>
          <w:szCs w:val="22"/>
          <w:highlight w:val="yellow"/>
        </w:rPr>
        <w:t>no.2047b</w:t>
      </w:r>
      <w:r w:rsidRPr="00B553D1">
        <w:rPr>
          <w:rFonts w:hint="eastAsia"/>
          <w:color w:val="FF0000"/>
          <w:szCs w:val="22"/>
          <w:highlight w:val="yellow"/>
        </w:rPr>
        <w:t>，</w:t>
      </w:r>
      <w:r w:rsidRPr="00B553D1">
        <w:rPr>
          <w:rFonts w:hint="eastAsia"/>
          <w:color w:val="FF0000"/>
          <w:szCs w:val="22"/>
          <w:highlight w:val="yellow"/>
        </w:rPr>
        <w:t>186a15-16</w:t>
      </w:r>
      <w:r w:rsidRPr="00B553D1">
        <w:rPr>
          <w:color w:val="FF0000"/>
          <w:szCs w:val="22"/>
          <w:highlight w:val="yellow"/>
        </w:rPr>
        <w:t>）：</w:t>
      </w:r>
      <w:r w:rsidRPr="00B553D1">
        <w:rPr>
          <w:rFonts w:hint="eastAsia"/>
          <w:color w:val="FF0000"/>
          <w:szCs w:val="22"/>
          <w:highlight w:val="yellow"/>
        </w:rPr>
        <w:t>「</w:t>
      </w:r>
      <w:r w:rsidRPr="00B553D1">
        <w:rPr>
          <w:rFonts w:ascii="標楷體" w:eastAsia="標楷體" w:hAnsi="標楷體" w:hint="eastAsia"/>
          <w:color w:val="FF0000"/>
          <w:szCs w:val="22"/>
          <w:highlight w:val="yellow"/>
        </w:rPr>
        <w:t>龍樹即得諸經一</w:t>
      </w:r>
      <w:r w:rsidRPr="00B553D1">
        <w:rPr>
          <w:rFonts w:ascii="標楷體" w:eastAsia="標楷體" w:hAnsi="標楷體" w:hint="eastAsia"/>
          <w:color w:val="FF0000"/>
          <w:szCs w:val="22"/>
          <w:highlight w:val="yellow"/>
          <w:u w:val="wave"/>
        </w:rPr>
        <w:t>箱</w:t>
      </w:r>
      <w:r w:rsidRPr="00B553D1">
        <w:rPr>
          <w:rFonts w:ascii="標楷體" w:eastAsia="標楷體" w:hAnsi="標楷體" w:hint="eastAsia"/>
          <w:color w:val="FF0000"/>
          <w:szCs w:val="22"/>
          <w:highlight w:val="yellow"/>
        </w:rPr>
        <w:t>。</w:t>
      </w:r>
      <w:r w:rsidRPr="00B553D1">
        <w:rPr>
          <w:rFonts w:hint="eastAsia"/>
          <w:color w:val="FF0000"/>
          <w:szCs w:val="22"/>
          <w:highlight w:val="yellow"/>
        </w:rPr>
        <w:t>」</w:t>
      </w:r>
    </w:p>
    <w:p w:rsidR="00157EF6" w:rsidRPr="00212D57" w:rsidRDefault="00157EF6" w:rsidP="008E68AA">
      <w:pPr>
        <w:pStyle w:val="a5"/>
        <w:ind w:leftChars="80" w:left="731" w:hangingChars="245" w:hanging="539"/>
        <w:jc w:val="both"/>
        <w:rPr>
          <w:rFonts w:eastAsia="標楷體"/>
          <w:szCs w:val="22"/>
        </w:rPr>
      </w:pPr>
      <w:r w:rsidRPr="00212D57">
        <w:rPr>
          <w:szCs w:val="22"/>
        </w:rPr>
        <w:t>（</w:t>
      </w:r>
      <w:r w:rsidRPr="00761EF3">
        <w:rPr>
          <w:szCs w:val="22"/>
        </w:rPr>
        <w:t>2</w:t>
      </w:r>
      <w:r w:rsidRPr="00212D57">
        <w:rPr>
          <w:szCs w:val="22"/>
        </w:rPr>
        <w:t>）〔隋〕吉藏撰</w:t>
      </w:r>
      <w:r w:rsidRPr="00212D57">
        <w:rPr>
          <w:rFonts w:hint="eastAsia"/>
          <w:szCs w:val="22"/>
        </w:rPr>
        <w:t>，</w:t>
      </w:r>
      <w:r w:rsidRPr="00212D57">
        <w:rPr>
          <w:szCs w:val="22"/>
        </w:rPr>
        <w:t>《十二門論疏》卷</w:t>
      </w:r>
      <w:r w:rsidR="00B553D1">
        <w:rPr>
          <w:rFonts w:hint="eastAsia"/>
          <w:color w:val="FF0000"/>
          <w:szCs w:val="22"/>
          <w:highlight w:val="yellow"/>
        </w:rPr>
        <w:t>上</w:t>
      </w:r>
      <w:r w:rsidR="00434424" w:rsidRPr="00212D57">
        <w:rPr>
          <w:rFonts w:eastAsia="標楷體"/>
          <w:szCs w:val="22"/>
        </w:rPr>
        <w:t>（</w:t>
      </w:r>
      <w:r w:rsidR="00434424" w:rsidRPr="00212D57">
        <w:rPr>
          <w:szCs w:val="22"/>
        </w:rPr>
        <w:t>大正</w:t>
      </w:r>
      <w:r w:rsidR="00434424" w:rsidRPr="00761EF3">
        <w:rPr>
          <w:szCs w:val="22"/>
        </w:rPr>
        <w:t>42</w:t>
      </w:r>
      <w:r w:rsidR="00434424" w:rsidRPr="00212D57">
        <w:rPr>
          <w:szCs w:val="22"/>
        </w:rPr>
        <w:t>，</w:t>
      </w:r>
      <w:r w:rsidR="00434424" w:rsidRPr="00761EF3">
        <w:rPr>
          <w:szCs w:val="22"/>
        </w:rPr>
        <w:t>177b22</w:t>
      </w:r>
      <w:r w:rsidR="00434424" w:rsidRPr="00212D57">
        <w:rPr>
          <w:szCs w:val="22"/>
        </w:rPr>
        <w:t>-</w:t>
      </w:r>
      <w:r w:rsidR="00434424" w:rsidRPr="00761EF3">
        <w:rPr>
          <w:szCs w:val="22"/>
        </w:rPr>
        <w:t>25</w:t>
      </w:r>
      <w:r w:rsidR="00434424" w:rsidRPr="00212D57">
        <w:rPr>
          <w:szCs w:val="22"/>
        </w:rPr>
        <w:t>）</w:t>
      </w:r>
      <w:r w:rsidRPr="00212D57">
        <w:rPr>
          <w:szCs w:val="22"/>
        </w:rPr>
        <w:t>：「</w:t>
      </w:r>
      <w:r w:rsidRPr="00212D57">
        <w:rPr>
          <w:rFonts w:eastAsia="標楷體"/>
          <w:szCs w:val="22"/>
        </w:rPr>
        <w:t>龍樹自有三論：初造《無畏論》十萬偈；次從《無畏論》撰其要義五百偈，名為《中論》。《十二門》有二釋：一云：同《中論》，從《無畏》出</w:t>
      </w:r>
      <w:r w:rsidR="00B553D1">
        <w:rPr>
          <w:rFonts w:ascii="標楷體" w:eastAsia="標楷體" w:hAnsi="標楷體" w:hint="eastAsia"/>
          <w:color w:val="FF0000"/>
          <w:spacing w:val="-4"/>
          <w:kern w:val="0"/>
          <w:highlight w:val="yellow"/>
        </w:rPr>
        <w:t>；</w:t>
      </w:r>
      <w:r w:rsidRPr="00212D57">
        <w:rPr>
          <w:rFonts w:eastAsia="標楷體"/>
          <w:szCs w:val="22"/>
        </w:rPr>
        <w:t>二云：就《中論》內擇其精玄為《十二門》。」</w:t>
      </w:r>
    </w:p>
  </w:footnote>
  <w:footnote w:id="114">
    <w:p w:rsidR="00157EF6" w:rsidRPr="00212D57" w:rsidRDefault="00157EF6" w:rsidP="008E68AA">
      <w:pPr>
        <w:pStyle w:val="a5"/>
        <w:spacing w:line="0" w:lineRule="atLeast"/>
        <w:ind w:left="704" w:hangingChars="320" w:hanging="704"/>
        <w:jc w:val="both"/>
        <w:rPr>
          <w:rFonts w:eastAsia="標楷體"/>
          <w:szCs w:val="22"/>
        </w:rPr>
      </w:pPr>
      <w:r w:rsidRPr="00212D57">
        <w:rPr>
          <w:rStyle w:val="a6"/>
          <w:szCs w:val="22"/>
        </w:rPr>
        <w:footnoteRef/>
      </w:r>
      <w:r w:rsidRPr="00212D57">
        <w:rPr>
          <w:rFonts w:hint="eastAsia"/>
          <w:szCs w:val="22"/>
        </w:rPr>
        <w:t xml:space="preserve"> </w:t>
      </w:r>
      <w:r w:rsidRPr="00212D57">
        <w:rPr>
          <w:szCs w:val="22"/>
        </w:rPr>
        <w:t>（</w:t>
      </w:r>
      <w:r w:rsidRPr="00761EF3">
        <w:rPr>
          <w:rFonts w:hint="eastAsia"/>
          <w:szCs w:val="22"/>
        </w:rPr>
        <w:t>1</w:t>
      </w:r>
      <w:r w:rsidRPr="00212D57">
        <w:rPr>
          <w:szCs w:val="22"/>
        </w:rPr>
        <w:t>）〔姚秦〕鳩摩羅什譯</w:t>
      </w:r>
      <w:r w:rsidRPr="00212D57">
        <w:rPr>
          <w:rFonts w:hint="eastAsia"/>
          <w:szCs w:val="22"/>
        </w:rPr>
        <w:t>，</w:t>
      </w:r>
      <w:r w:rsidRPr="00212D57">
        <w:rPr>
          <w:szCs w:val="22"/>
        </w:rPr>
        <w:t>《龍樹菩薩傳》</w:t>
      </w:r>
      <w:r w:rsidRPr="00212D57">
        <w:rPr>
          <w:rFonts w:eastAsia="標楷體"/>
          <w:szCs w:val="22"/>
        </w:rPr>
        <w:t>（</w:t>
      </w:r>
      <w:r w:rsidRPr="00212D57">
        <w:rPr>
          <w:szCs w:val="22"/>
        </w:rPr>
        <w:t>大正</w:t>
      </w:r>
      <w:r w:rsidRPr="00761EF3">
        <w:rPr>
          <w:szCs w:val="22"/>
        </w:rPr>
        <w:t>50</w:t>
      </w:r>
      <w:r w:rsidRPr="00212D57">
        <w:rPr>
          <w:szCs w:val="22"/>
        </w:rPr>
        <w:t>，</w:t>
      </w:r>
      <w:r w:rsidRPr="00761EF3">
        <w:rPr>
          <w:szCs w:val="22"/>
        </w:rPr>
        <w:t>184c</w:t>
      </w:r>
      <w:r w:rsidR="00B553D1">
        <w:rPr>
          <w:rFonts w:hint="eastAsia"/>
          <w:color w:val="FF0000"/>
          <w:szCs w:val="22"/>
          <w:highlight w:val="yellow"/>
        </w:rPr>
        <w:t>20</w:t>
      </w:r>
      <w:r w:rsidRPr="00212D57">
        <w:rPr>
          <w:szCs w:val="22"/>
        </w:rPr>
        <w:t>-</w:t>
      </w:r>
      <w:r w:rsidRPr="00761EF3">
        <w:rPr>
          <w:szCs w:val="22"/>
        </w:rPr>
        <w:t>21</w:t>
      </w:r>
      <w:r w:rsidRPr="00212D57">
        <w:rPr>
          <w:szCs w:val="22"/>
        </w:rPr>
        <w:t>）</w:t>
      </w:r>
      <w:r w:rsidRPr="00212D57">
        <w:rPr>
          <w:rFonts w:hint="eastAsia"/>
          <w:szCs w:val="22"/>
        </w:rPr>
        <w:t>。</w:t>
      </w:r>
    </w:p>
    <w:p w:rsidR="00157EF6" w:rsidRPr="00212D57" w:rsidRDefault="00157EF6" w:rsidP="008E68AA">
      <w:pPr>
        <w:pStyle w:val="a5"/>
        <w:ind w:leftChars="80" w:left="731" w:hangingChars="245" w:hanging="539"/>
        <w:jc w:val="both"/>
        <w:rPr>
          <w:rFonts w:eastAsia="標楷體"/>
          <w:szCs w:val="22"/>
        </w:rPr>
      </w:pPr>
      <w:r w:rsidRPr="00212D57">
        <w:rPr>
          <w:szCs w:val="22"/>
        </w:rPr>
        <w:t>（</w:t>
      </w:r>
      <w:r w:rsidRPr="00761EF3">
        <w:rPr>
          <w:rFonts w:hint="eastAsia"/>
          <w:szCs w:val="22"/>
        </w:rPr>
        <w:t>2</w:t>
      </w:r>
      <w:r w:rsidRPr="00212D57">
        <w:rPr>
          <w:szCs w:val="22"/>
        </w:rPr>
        <w:t>）〔唐〕惠沼述</w:t>
      </w:r>
      <w:r w:rsidRPr="00212D57">
        <w:rPr>
          <w:rFonts w:hint="eastAsia"/>
          <w:szCs w:val="22"/>
        </w:rPr>
        <w:t>，</w:t>
      </w:r>
      <w:r w:rsidRPr="00212D57">
        <w:rPr>
          <w:szCs w:val="22"/>
        </w:rPr>
        <w:t>《成唯識論了義燈》卷</w:t>
      </w:r>
      <w:r w:rsidRPr="00761EF3">
        <w:rPr>
          <w:szCs w:val="22"/>
        </w:rPr>
        <w:t>1</w:t>
      </w:r>
      <w:r w:rsidR="00434424" w:rsidRPr="00212D57">
        <w:rPr>
          <w:szCs w:val="22"/>
        </w:rPr>
        <w:t>（大正</w:t>
      </w:r>
      <w:r w:rsidR="00434424" w:rsidRPr="00761EF3">
        <w:rPr>
          <w:szCs w:val="22"/>
        </w:rPr>
        <w:t>43</w:t>
      </w:r>
      <w:r w:rsidR="00434424" w:rsidRPr="00212D57">
        <w:rPr>
          <w:szCs w:val="22"/>
        </w:rPr>
        <w:t>，</w:t>
      </w:r>
      <w:r w:rsidR="00434424" w:rsidRPr="00761EF3">
        <w:rPr>
          <w:szCs w:val="22"/>
        </w:rPr>
        <w:t>659c10</w:t>
      </w:r>
      <w:r w:rsidR="00434424" w:rsidRPr="00212D57">
        <w:rPr>
          <w:szCs w:val="22"/>
        </w:rPr>
        <w:t>-</w:t>
      </w:r>
      <w:r w:rsidR="00434424" w:rsidRPr="00761EF3">
        <w:rPr>
          <w:szCs w:val="22"/>
        </w:rPr>
        <w:t>12</w:t>
      </w:r>
      <w:r w:rsidR="00434424" w:rsidRPr="00212D57">
        <w:rPr>
          <w:szCs w:val="22"/>
        </w:rPr>
        <w:t>）</w:t>
      </w:r>
      <w:r w:rsidRPr="00212D57">
        <w:rPr>
          <w:szCs w:val="22"/>
        </w:rPr>
        <w:t>：「</w:t>
      </w:r>
      <w:r w:rsidRPr="00212D57">
        <w:rPr>
          <w:rFonts w:eastAsia="標楷體"/>
          <w:szCs w:val="22"/>
        </w:rPr>
        <w:t>龍猛菩薩造《大智度論》釋《大品般若》</w:t>
      </w:r>
      <w:r w:rsidR="00B553D1">
        <w:rPr>
          <w:rFonts w:ascii="標楷體" w:eastAsia="標楷體" w:hAnsi="標楷體" w:hint="eastAsia"/>
          <w:color w:val="FF0000"/>
          <w:spacing w:val="-4"/>
          <w:kern w:val="0"/>
          <w:highlight w:val="yellow"/>
        </w:rPr>
        <w:t>；</w:t>
      </w:r>
      <w:r w:rsidRPr="00212D57">
        <w:rPr>
          <w:rFonts w:eastAsia="標楷體"/>
          <w:szCs w:val="22"/>
        </w:rPr>
        <w:t>造《無畏論》</w:t>
      </w:r>
      <w:r w:rsidR="00B553D1">
        <w:rPr>
          <w:rFonts w:ascii="標楷體" w:eastAsia="標楷體" w:hAnsi="標楷體" w:hint="eastAsia"/>
          <w:color w:val="FF0000"/>
          <w:kern w:val="0"/>
          <w:highlight w:val="yellow"/>
        </w:rPr>
        <w:t>，</w:t>
      </w:r>
      <w:r w:rsidRPr="00212D57">
        <w:rPr>
          <w:rFonts w:eastAsia="標楷體"/>
          <w:szCs w:val="22"/>
        </w:rPr>
        <w:t>滿十萬頌</w:t>
      </w:r>
      <w:r w:rsidRPr="00212D57">
        <w:rPr>
          <w:rFonts w:eastAsia="標楷體" w:hint="eastAsia"/>
          <w:szCs w:val="22"/>
        </w:rPr>
        <w:t>；</w:t>
      </w:r>
      <w:r w:rsidRPr="00212D57">
        <w:rPr>
          <w:rFonts w:eastAsia="標楷體"/>
          <w:szCs w:val="22"/>
        </w:rPr>
        <w:t>《中論》出於《無畏</w:t>
      </w:r>
      <w:r w:rsidR="00B553D1" w:rsidRPr="00B553D1">
        <w:rPr>
          <w:rFonts w:eastAsia="標楷體"/>
          <w:color w:val="FF0000"/>
          <w:szCs w:val="22"/>
          <w:highlight w:val="yellow"/>
        </w:rPr>
        <w:t>》</w:t>
      </w:r>
      <w:r w:rsidRPr="00B553D1">
        <w:rPr>
          <w:rFonts w:eastAsia="標楷體"/>
          <w:szCs w:val="22"/>
          <w:highlight w:val="yellow"/>
        </w:rPr>
        <w:t>部中</w:t>
      </w:r>
      <w:r w:rsidRPr="00212D57">
        <w:rPr>
          <w:rFonts w:eastAsia="標楷體" w:hint="eastAsia"/>
          <w:szCs w:val="22"/>
        </w:rPr>
        <w:t>，</w:t>
      </w:r>
      <w:r w:rsidRPr="00212D57">
        <w:rPr>
          <w:rFonts w:eastAsia="標楷體"/>
          <w:szCs w:val="22"/>
        </w:rPr>
        <w:t>有五百偈</w:t>
      </w:r>
      <w:r w:rsidRPr="00212D57">
        <w:rPr>
          <w:rFonts w:eastAsia="標楷體" w:hint="eastAsia"/>
          <w:szCs w:val="22"/>
        </w:rPr>
        <w:t>；</w:t>
      </w:r>
      <w:r w:rsidRPr="00212D57">
        <w:rPr>
          <w:rFonts w:eastAsia="標楷體"/>
          <w:szCs w:val="22"/>
        </w:rPr>
        <w:t>《十二門論》等。</w:t>
      </w:r>
      <w:r w:rsidRPr="00212D57">
        <w:rPr>
          <w:szCs w:val="22"/>
        </w:rPr>
        <w:t>」</w:t>
      </w:r>
    </w:p>
  </w:footnote>
  <w:footnote w:id="115">
    <w:p w:rsidR="00157EF6" w:rsidRPr="00212D57" w:rsidRDefault="00157EF6" w:rsidP="005F2F48">
      <w:pPr>
        <w:pStyle w:val="a5"/>
        <w:ind w:left="187" w:hangingChars="85" w:hanging="187"/>
        <w:jc w:val="both"/>
        <w:rPr>
          <w:szCs w:val="22"/>
        </w:rPr>
      </w:pPr>
      <w:r w:rsidRPr="00212D57">
        <w:rPr>
          <w:rStyle w:val="a6"/>
          <w:szCs w:val="22"/>
        </w:rPr>
        <w:footnoteRef/>
      </w:r>
      <w:r w:rsidRPr="00212D57">
        <w:rPr>
          <w:szCs w:val="22"/>
        </w:rPr>
        <w:t xml:space="preserve"> </w:t>
      </w:r>
      <w:r w:rsidRPr="00212D57">
        <w:rPr>
          <w:szCs w:val="22"/>
        </w:rPr>
        <w:t>〔唐〕道</w:t>
      </w:r>
      <w:r w:rsidR="006371B5">
        <w:rPr>
          <w:rFonts w:hint="eastAsia"/>
          <w:color w:val="FF0000"/>
          <w:szCs w:val="22"/>
          <w:highlight w:val="yellow"/>
        </w:rPr>
        <w:t>液</w:t>
      </w:r>
      <w:r w:rsidRPr="00212D57">
        <w:rPr>
          <w:szCs w:val="22"/>
        </w:rPr>
        <w:t>撰</w:t>
      </w:r>
      <w:r w:rsidRPr="00212D57">
        <w:rPr>
          <w:rFonts w:hint="eastAsia"/>
          <w:szCs w:val="22"/>
        </w:rPr>
        <w:t>，</w:t>
      </w:r>
      <w:r w:rsidRPr="00212D57">
        <w:rPr>
          <w:szCs w:val="22"/>
        </w:rPr>
        <w:t>《淨名經集解關中疏》卷</w:t>
      </w:r>
      <w:r w:rsidRPr="00761EF3">
        <w:rPr>
          <w:szCs w:val="22"/>
        </w:rPr>
        <w:t>1</w:t>
      </w:r>
      <w:r w:rsidRPr="00212D57">
        <w:rPr>
          <w:szCs w:val="22"/>
        </w:rPr>
        <w:t>（大正</w:t>
      </w:r>
      <w:r w:rsidRPr="00761EF3">
        <w:rPr>
          <w:szCs w:val="22"/>
        </w:rPr>
        <w:t>85</w:t>
      </w:r>
      <w:r w:rsidRPr="00212D57">
        <w:rPr>
          <w:szCs w:val="22"/>
        </w:rPr>
        <w:t>，</w:t>
      </w:r>
      <w:r w:rsidRPr="00761EF3">
        <w:rPr>
          <w:szCs w:val="22"/>
        </w:rPr>
        <w:t>440a12</w:t>
      </w:r>
      <w:r w:rsidRPr="00212D57">
        <w:rPr>
          <w:szCs w:val="22"/>
        </w:rPr>
        <w:t>-</w:t>
      </w:r>
      <w:r w:rsidRPr="00761EF3">
        <w:rPr>
          <w:szCs w:val="22"/>
        </w:rPr>
        <w:t>501b3</w:t>
      </w:r>
      <w:r w:rsidRPr="00212D57">
        <w:rPr>
          <w:szCs w:val="22"/>
        </w:rPr>
        <w:t>）。</w:t>
      </w:r>
    </w:p>
  </w:footnote>
  <w:footnote w:id="116">
    <w:p w:rsidR="00157EF6" w:rsidRPr="00212D57" w:rsidRDefault="00157EF6" w:rsidP="00B338E5">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szCs w:val="22"/>
        </w:rPr>
        <w:t>顯識論：梵名</w:t>
      </w:r>
      <w:r w:rsidRPr="00761EF3">
        <w:rPr>
          <w:szCs w:val="22"/>
        </w:rPr>
        <w:t>Vidyānirdeśa</w:t>
      </w:r>
      <w:r w:rsidRPr="00212D57">
        <w:rPr>
          <w:szCs w:val="22"/>
        </w:rPr>
        <w:t>-</w:t>
      </w:r>
      <w:r w:rsidRPr="00761EF3">
        <w:rPr>
          <w:szCs w:val="22"/>
        </w:rPr>
        <w:t>śāstra</w:t>
      </w:r>
      <w:r w:rsidRPr="00212D57">
        <w:rPr>
          <w:szCs w:val="22"/>
        </w:rPr>
        <w:t>全一卷。陳</w:t>
      </w:r>
      <w:r w:rsidRPr="00212D57">
        <w:rPr>
          <w:rFonts w:ascii="新細明體" w:hAnsi="新細明體" w:cs="新細明體" w:hint="eastAsia"/>
          <w:szCs w:val="22"/>
        </w:rPr>
        <w:t>‧</w:t>
      </w:r>
      <w:r w:rsidRPr="00212D57">
        <w:rPr>
          <w:szCs w:val="22"/>
        </w:rPr>
        <w:t>真諦譯。收於大正藏第三十一冊。內容闡明三界唯識之義。初說識有顯識、分別識等二種，次舉一切三界唯識等論旨。本論論題下有「</w:t>
      </w:r>
      <w:r w:rsidRPr="00212D57">
        <w:rPr>
          <w:rFonts w:ascii="標楷體" w:eastAsia="標楷體" w:hAnsi="標楷體"/>
          <w:szCs w:val="22"/>
        </w:rPr>
        <w:t>從</w:t>
      </w:r>
      <w:r w:rsidRPr="00212D57">
        <w:rPr>
          <w:rFonts w:ascii="標楷體" w:eastAsia="標楷體" w:hAnsi="標楷體"/>
          <w:b/>
          <w:bCs/>
          <w:szCs w:val="22"/>
        </w:rPr>
        <w:t>《無相論》</w:t>
      </w:r>
      <w:r w:rsidRPr="00212D57">
        <w:rPr>
          <w:rFonts w:ascii="標楷體" w:eastAsia="標楷體" w:hAnsi="標楷體"/>
          <w:szCs w:val="22"/>
        </w:rPr>
        <w:t>出</w:t>
      </w:r>
      <w:r w:rsidRPr="00212D57">
        <w:rPr>
          <w:szCs w:val="22"/>
        </w:rPr>
        <w:t>」之語，而同為真諦所譯之</w:t>
      </w:r>
      <w:r w:rsidRPr="00212D57">
        <w:rPr>
          <w:bCs/>
          <w:szCs w:val="22"/>
        </w:rPr>
        <w:t>《轉識論》</w:t>
      </w:r>
      <w:r w:rsidRPr="00212D57">
        <w:rPr>
          <w:szCs w:val="22"/>
        </w:rPr>
        <w:t>論題下亦有此語。又除高麗大藏經外，於宋、元、明三種版本中之本論卷首皆有「顯識品」三字，準此，推測本論係闡釋</w:t>
      </w:r>
      <w:r w:rsidRPr="00212D57">
        <w:rPr>
          <w:b/>
          <w:bCs/>
          <w:szCs w:val="22"/>
        </w:rPr>
        <w:t>《無相論》</w:t>
      </w:r>
      <w:r w:rsidRPr="00212D57">
        <w:rPr>
          <w:szCs w:val="22"/>
        </w:rPr>
        <w:t>中顯識品之作，然因</w:t>
      </w:r>
      <w:r w:rsidRPr="00212D57">
        <w:rPr>
          <w:b/>
          <w:bCs/>
          <w:szCs w:val="22"/>
        </w:rPr>
        <w:t>《無相論》</w:t>
      </w:r>
      <w:r w:rsidRPr="00212D57">
        <w:rPr>
          <w:szCs w:val="22"/>
        </w:rPr>
        <w:t>於漢譯中並無譯本，故亦無法確知作者究係何人。（《佛光大辭典》（七），</w:t>
      </w:r>
      <w:r w:rsidRPr="00761EF3">
        <w:rPr>
          <w:szCs w:val="22"/>
        </w:rPr>
        <w:t>p</w:t>
      </w:r>
      <w:r w:rsidRPr="00212D57">
        <w:rPr>
          <w:szCs w:val="22"/>
        </w:rPr>
        <w:t>.</w:t>
      </w:r>
      <w:r w:rsidRPr="00761EF3">
        <w:rPr>
          <w:szCs w:val="22"/>
        </w:rPr>
        <w:t>6926</w:t>
      </w:r>
      <w:r w:rsidRPr="00212D57">
        <w:rPr>
          <w:szCs w:val="22"/>
        </w:rPr>
        <w:t>）</w:t>
      </w:r>
    </w:p>
  </w:footnote>
  <w:footnote w:id="117">
    <w:p w:rsidR="00157EF6" w:rsidRPr="00212D57" w:rsidRDefault="00157EF6" w:rsidP="00B338E5">
      <w:pPr>
        <w:pStyle w:val="a5"/>
        <w:spacing w:line="0" w:lineRule="atLeast"/>
        <w:ind w:left="759" w:hangingChars="345" w:hanging="759"/>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w:t>
      </w:r>
      <w:r w:rsidRPr="00212D57">
        <w:rPr>
          <w:rFonts w:hint="eastAsia"/>
          <w:szCs w:val="22"/>
        </w:rPr>
        <w:t>印順法師，</w:t>
      </w:r>
      <w:r w:rsidRPr="00212D57">
        <w:rPr>
          <w:szCs w:val="22"/>
        </w:rPr>
        <w:t>《印度佛教思想史》</w:t>
      </w:r>
      <w:r w:rsidRPr="00212D57">
        <w:rPr>
          <w:rFonts w:hint="eastAsia"/>
          <w:szCs w:val="22"/>
        </w:rPr>
        <w:t>，</w:t>
      </w:r>
      <w:r w:rsidRPr="00761EF3">
        <w:rPr>
          <w:szCs w:val="22"/>
        </w:rPr>
        <w:t>pp</w:t>
      </w:r>
      <w:r w:rsidRPr="00212D57">
        <w:rPr>
          <w:szCs w:val="22"/>
        </w:rPr>
        <w:t>.</w:t>
      </w:r>
      <w:r w:rsidRPr="00761EF3">
        <w:rPr>
          <w:szCs w:val="22"/>
        </w:rPr>
        <w:t>123</w:t>
      </w:r>
      <w:r w:rsidRPr="00212D57">
        <w:rPr>
          <w:szCs w:val="22"/>
        </w:rPr>
        <w:t>-</w:t>
      </w:r>
      <w:r w:rsidRPr="00761EF3">
        <w:rPr>
          <w:szCs w:val="22"/>
        </w:rPr>
        <w:t>124</w:t>
      </w:r>
      <w:r w:rsidRPr="00212D57">
        <w:rPr>
          <w:szCs w:val="22"/>
        </w:rPr>
        <w:t>：「</w:t>
      </w:r>
      <w:r w:rsidRPr="00212D57">
        <w:rPr>
          <w:rFonts w:eastAsia="標楷體"/>
          <w:szCs w:val="22"/>
        </w:rPr>
        <w:t>西元七、八世紀，佛法傳入西藏；在藏文的譯本中，有眾多的龍樹作品。除傳說的秘密部外，主要的是『五正理聚』，顯示甚深義的五部論。一、</w:t>
      </w:r>
      <w:r w:rsidRPr="00212D57">
        <w:rPr>
          <w:rFonts w:eastAsia="標楷體"/>
          <w:b/>
          <w:bCs/>
          <w:szCs w:val="22"/>
        </w:rPr>
        <w:t>《根本中論頌》</w:t>
      </w:r>
      <w:r w:rsidRPr="00212D57">
        <w:rPr>
          <w:rFonts w:eastAsia="標楷體"/>
          <w:szCs w:val="22"/>
        </w:rPr>
        <w:t>。二、</w:t>
      </w:r>
      <w:r w:rsidRPr="00212D57">
        <w:rPr>
          <w:rFonts w:eastAsia="標楷體"/>
          <w:b/>
          <w:bCs/>
          <w:szCs w:val="22"/>
        </w:rPr>
        <w:t>《六十頌如理論》</w:t>
      </w:r>
      <w:r w:rsidRPr="00212D57">
        <w:rPr>
          <w:rFonts w:eastAsia="標楷體"/>
          <w:szCs w:val="22"/>
        </w:rPr>
        <w:t>：我國趙宋施護曾譯出龍樹的本頌。三、</w:t>
      </w:r>
      <w:r w:rsidRPr="00212D57">
        <w:rPr>
          <w:rFonts w:eastAsia="標楷體"/>
          <w:b/>
          <w:bCs/>
          <w:szCs w:val="22"/>
        </w:rPr>
        <w:t>《七十空性論》（頌及釋）</w:t>
      </w:r>
      <w:r w:rsidRPr="00212D57">
        <w:rPr>
          <w:rFonts w:eastAsia="標楷體"/>
          <w:szCs w:val="22"/>
        </w:rPr>
        <w:t>：近代法尊依藏文譯成漢文。四、</w:t>
      </w:r>
      <w:r w:rsidRPr="00212D57">
        <w:rPr>
          <w:rFonts w:eastAsia="標楷體"/>
          <w:b/>
          <w:bCs/>
          <w:szCs w:val="22"/>
        </w:rPr>
        <w:t>《迴諍論》</w:t>
      </w:r>
      <w:r w:rsidRPr="00212D57">
        <w:rPr>
          <w:rFonts w:eastAsia="標楷體"/>
          <w:szCs w:val="22"/>
        </w:rPr>
        <w:t>：後魏毘目智仙與瞿曇流支，曾譯出偈與釋。五、</w:t>
      </w:r>
      <w:r w:rsidRPr="00212D57">
        <w:rPr>
          <w:rFonts w:eastAsia="標楷體"/>
          <w:b/>
          <w:bCs/>
          <w:szCs w:val="22"/>
        </w:rPr>
        <w:t>《廣破經》</w:t>
      </w:r>
      <w:r w:rsidRPr="00212D57">
        <w:rPr>
          <w:rFonts w:eastAsia="標楷體"/>
          <w:szCs w:val="22"/>
        </w:rPr>
        <w:t>。後二部，是破斥印度的正理派的</w:t>
      </w:r>
      <w:r w:rsidRPr="00212D57">
        <w:rPr>
          <w:szCs w:val="22"/>
        </w:rPr>
        <w:t>。」</w:t>
      </w:r>
    </w:p>
    <w:p w:rsidR="00157EF6" w:rsidRPr="00212D57" w:rsidRDefault="00157EF6" w:rsidP="00B338E5">
      <w:pPr>
        <w:pStyle w:val="a5"/>
        <w:ind w:leftChars="105" w:left="791" w:hangingChars="245" w:hanging="539"/>
        <w:jc w:val="both"/>
        <w:rPr>
          <w:szCs w:val="22"/>
        </w:rPr>
      </w:pPr>
      <w:r w:rsidRPr="00212D57">
        <w:rPr>
          <w:szCs w:val="22"/>
        </w:rPr>
        <w:t>（</w:t>
      </w:r>
      <w:r w:rsidRPr="00761EF3">
        <w:rPr>
          <w:szCs w:val="22"/>
        </w:rPr>
        <w:t>2</w:t>
      </w:r>
      <w:r w:rsidRPr="00212D57">
        <w:rPr>
          <w:szCs w:val="22"/>
        </w:rPr>
        <w:t>）另</w:t>
      </w:r>
      <w:r w:rsidRPr="00212D57">
        <w:rPr>
          <w:rStyle w:val="byline"/>
          <w:rFonts w:hAnsi="新細明體"/>
          <w:color w:val="auto"/>
          <w:sz w:val="22"/>
          <w:szCs w:val="22"/>
        </w:rPr>
        <w:t>參見</w:t>
      </w:r>
      <w:r w:rsidR="00E21D23">
        <w:rPr>
          <w:rStyle w:val="byline"/>
          <w:rFonts w:hAnsi="新細明體" w:hint="eastAsia"/>
          <w:color w:val="auto"/>
          <w:sz w:val="22"/>
          <w:szCs w:val="22"/>
        </w:rPr>
        <w:t>：</w:t>
      </w:r>
      <w:r w:rsidRPr="00212D57">
        <w:rPr>
          <w:szCs w:val="22"/>
        </w:rPr>
        <w:t>萬金川，《中觀思想講錄》</w:t>
      </w:r>
      <w:r w:rsidRPr="00212D57">
        <w:rPr>
          <w:rFonts w:hint="eastAsia"/>
          <w:szCs w:val="22"/>
        </w:rPr>
        <w:t>，</w:t>
      </w:r>
      <w:r w:rsidRPr="00761EF3">
        <w:rPr>
          <w:szCs w:val="22"/>
        </w:rPr>
        <w:t>p</w:t>
      </w:r>
      <w:r w:rsidRPr="00212D57">
        <w:rPr>
          <w:szCs w:val="22"/>
        </w:rPr>
        <w:t>.</w:t>
      </w:r>
      <w:r w:rsidRPr="00761EF3">
        <w:rPr>
          <w:szCs w:val="22"/>
        </w:rPr>
        <w:t>49</w:t>
      </w:r>
      <w:r w:rsidRPr="00212D57">
        <w:rPr>
          <w:rFonts w:hint="eastAsia"/>
          <w:szCs w:val="22"/>
        </w:rPr>
        <w:t>：</w:t>
      </w:r>
    </w:p>
    <w:p w:rsidR="00157EF6" w:rsidRPr="00212D57" w:rsidRDefault="00157EF6" w:rsidP="00B338E5">
      <w:pPr>
        <w:widowControl/>
        <w:snapToGrid w:val="0"/>
        <w:ind w:leftChars="335" w:left="804"/>
        <w:jc w:val="both"/>
        <w:rPr>
          <w:rFonts w:ascii="標楷體" w:eastAsia="標楷體" w:hAnsi="標楷體" w:cs="新細明體"/>
          <w:sz w:val="22"/>
          <w:szCs w:val="22"/>
        </w:rPr>
      </w:pPr>
      <w:r w:rsidRPr="00212D57">
        <w:rPr>
          <w:rFonts w:ascii="標楷體" w:eastAsia="標楷體" w:hAnsi="標楷體" w:cs="新細明體"/>
          <w:sz w:val="22"/>
          <w:szCs w:val="22"/>
        </w:rPr>
        <w:t>在龍樹著作裡被歸成「深觀」一類的，其中最為核心的一部稱為「根本中」──</w:t>
      </w:r>
      <w:r w:rsidRPr="00212D57">
        <w:rPr>
          <w:rFonts w:ascii="標楷體" w:eastAsia="標楷體" w:hAnsi="標楷體" w:cs="新細明體"/>
          <w:b/>
          <w:sz w:val="22"/>
          <w:szCs w:val="22"/>
        </w:rPr>
        <w:t>《中論》</w:t>
      </w:r>
      <w:r w:rsidRPr="00212D57">
        <w:rPr>
          <w:rFonts w:ascii="標楷體" w:eastAsia="標楷體" w:hAnsi="標楷體" w:cs="新細明體"/>
          <w:sz w:val="22"/>
          <w:szCs w:val="22"/>
        </w:rPr>
        <w:t>；另外，其他性質類似的書籍被稱為「諸中論」，是「根本中」的「支分論」，包括：</w:t>
      </w:r>
      <w:r w:rsidRPr="00212D57">
        <w:rPr>
          <w:rFonts w:ascii="標楷體" w:eastAsia="標楷體" w:hAnsi="標楷體" w:cs="新細明體"/>
          <w:b/>
          <w:sz w:val="22"/>
          <w:szCs w:val="22"/>
        </w:rPr>
        <w:t>《七十空性論》</w:t>
      </w:r>
      <w:r w:rsidRPr="00212D57">
        <w:rPr>
          <w:rFonts w:ascii="標楷體" w:eastAsia="標楷體" w:hAnsi="標楷體" w:cs="新細明體"/>
          <w:sz w:val="22"/>
          <w:szCs w:val="22"/>
        </w:rPr>
        <w:t>──用七十首詩頌來說空性的道理；</w:t>
      </w:r>
      <w:r w:rsidRPr="00212D57">
        <w:rPr>
          <w:rFonts w:ascii="標楷體" w:eastAsia="標楷體" w:hAnsi="標楷體" w:cs="新細明體"/>
          <w:b/>
          <w:sz w:val="22"/>
          <w:szCs w:val="22"/>
        </w:rPr>
        <w:t>《六十如理論》</w:t>
      </w:r>
      <w:r w:rsidRPr="00212D57">
        <w:rPr>
          <w:rFonts w:ascii="標楷體" w:eastAsia="標楷體" w:hAnsi="標楷體" w:cs="新細明體"/>
          <w:sz w:val="22"/>
          <w:szCs w:val="22"/>
        </w:rPr>
        <w:t>──用六十首詩頌來說明緣起；</w:t>
      </w:r>
      <w:r w:rsidRPr="00212D57">
        <w:rPr>
          <w:rFonts w:ascii="標楷體" w:eastAsia="標楷體" w:hAnsi="標楷體" w:cs="新細明體"/>
          <w:b/>
          <w:sz w:val="22"/>
          <w:szCs w:val="22"/>
        </w:rPr>
        <w:t>《迴諍論》</w:t>
      </w:r>
      <w:r w:rsidRPr="00212D57">
        <w:rPr>
          <w:rFonts w:ascii="標楷體" w:eastAsia="標楷體" w:hAnsi="標楷體" w:cs="新細明體"/>
          <w:sz w:val="22"/>
          <w:szCs w:val="22"/>
        </w:rPr>
        <w:t>──龍樹答覆印度傳統的正理學派或有部等論敵的批判；</w:t>
      </w:r>
      <w:r w:rsidRPr="00212D57">
        <w:rPr>
          <w:rFonts w:ascii="標楷體" w:eastAsia="標楷體" w:hAnsi="標楷體" w:cs="新細明體"/>
          <w:b/>
          <w:sz w:val="22"/>
          <w:szCs w:val="22"/>
        </w:rPr>
        <w:t>《廣破論》</w:t>
      </w:r>
      <w:r w:rsidRPr="00212D57">
        <w:rPr>
          <w:rFonts w:ascii="標楷體" w:eastAsia="標楷體" w:hAnsi="標楷體" w:cs="新細明體"/>
          <w:sz w:val="22"/>
          <w:szCs w:val="22"/>
        </w:rPr>
        <w:t>──龍樹針對正理學派的理論展開辯破。</w:t>
      </w:r>
      <w:r w:rsidRPr="00DC7803">
        <w:rPr>
          <w:rFonts w:ascii="標楷體" w:eastAsia="標楷體" w:hAnsi="標楷體" w:cs="新細明體" w:hint="eastAsia"/>
          <w:sz w:val="22"/>
          <w:szCs w:val="22"/>
          <w:shd w:val="pct15" w:color="auto" w:fill="FFFFFF"/>
        </w:rPr>
        <w:t>……</w:t>
      </w:r>
    </w:p>
    <w:p w:rsidR="00157EF6" w:rsidRPr="00212D57" w:rsidRDefault="00157EF6" w:rsidP="00B338E5">
      <w:pPr>
        <w:widowControl/>
        <w:snapToGrid w:val="0"/>
        <w:ind w:leftChars="335" w:left="804"/>
        <w:jc w:val="both"/>
        <w:rPr>
          <w:rFonts w:ascii="Times New Roman" w:hAnsi="Times New Roman"/>
          <w:sz w:val="22"/>
          <w:szCs w:val="22"/>
        </w:rPr>
      </w:pPr>
      <w:r w:rsidRPr="00212D57">
        <w:rPr>
          <w:rFonts w:ascii="標楷體" w:eastAsia="標楷體" w:hAnsi="標楷體" w:cs="新細明體"/>
          <w:sz w:val="22"/>
          <w:szCs w:val="22"/>
        </w:rPr>
        <w:t>基本上，這五部論書的思維方式是一致的，其他如漢譯的</w:t>
      </w:r>
      <w:r w:rsidRPr="00212D57">
        <w:rPr>
          <w:rFonts w:ascii="標楷體" w:eastAsia="標楷體" w:hAnsi="標楷體" w:cs="新細明體"/>
          <w:b/>
          <w:sz w:val="22"/>
          <w:szCs w:val="22"/>
        </w:rPr>
        <w:t>《大乘二十論》</w:t>
      </w:r>
      <w:r w:rsidRPr="00212D57">
        <w:rPr>
          <w:rFonts w:ascii="標楷體" w:eastAsia="標楷體" w:hAnsi="標楷體" w:cs="新細明體"/>
          <w:sz w:val="22"/>
          <w:szCs w:val="22"/>
        </w:rPr>
        <w:t>，也被署名是龍樹所作，但今天很多學者認為其中有很多唯識思想，若此書為龍樹所作，那今天我們所看到的文本應該不是它的原樣吧！</w:t>
      </w:r>
    </w:p>
  </w:footnote>
  <w:footnote w:id="118">
    <w:p w:rsidR="00E21D23" w:rsidRPr="00E21D23" w:rsidRDefault="00E21D23" w:rsidP="00E21D23">
      <w:pPr>
        <w:pStyle w:val="a5"/>
        <w:spacing w:line="0" w:lineRule="atLeast"/>
        <w:ind w:left="1100" w:hangingChars="500" w:hanging="1100"/>
        <w:jc w:val="both"/>
        <w:rPr>
          <w:color w:val="FF0000"/>
          <w:szCs w:val="22"/>
          <w:highlight w:val="yellow"/>
        </w:rPr>
      </w:pPr>
      <w:r w:rsidRPr="00E21D23">
        <w:rPr>
          <w:rStyle w:val="a6"/>
          <w:color w:val="FF0000"/>
          <w:szCs w:val="22"/>
          <w:highlight w:val="yellow"/>
        </w:rPr>
        <w:footnoteRef/>
      </w:r>
      <w:r w:rsidRPr="00E21D23">
        <w:rPr>
          <w:rFonts w:hint="eastAsia"/>
          <w:color w:val="FF0000"/>
          <w:szCs w:val="22"/>
          <w:highlight w:val="yellow"/>
        </w:rPr>
        <w:t xml:space="preserve"> </w:t>
      </w:r>
      <w:r w:rsidRPr="00E21D23">
        <w:rPr>
          <w:rFonts w:hint="eastAsia"/>
          <w:color w:val="FF0000"/>
          <w:szCs w:val="22"/>
          <w:highlight w:val="yellow"/>
        </w:rPr>
        <w:t>重編案：</w:t>
      </w:r>
      <w:r w:rsidR="00DC7803">
        <w:rPr>
          <w:rFonts w:hint="eastAsia"/>
          <w:color w:val="FF0000"/>
          <w:szCs w:val="22"/>
          <w:highlight w:val="yellow"/>
        </w:rPr>
        <w:t>疑</w:t>
      </w:r>
      <w:r w:rsidRPr="00E21D23">
        <w:rPr>
          <w:rFonts w:hint="eastAsia"/>
          <w:color w:val="FF0000"/>
          <w:szCs w:val="22"/>
          <w:highlight w:val="yellow"/>
        </w:rPr>
        <w:t>應</w:t>
      </w:r>
      <w:r>
        <w:rPr>
          <w:rFonts w:hint="eastAsia"/>
          <w:color w:val="FF0000"/>
          <w:szCs w:val="22"/>
          <w:highlight w:val="yellow"/>
        </w:rPr>
        <w:t>改</w:t>
      </w:r>
      <w:r w:rsidRPr="00E21D23">
        <w:rPr>
          <w:rFonts w:hint="eastAsia"/>
          <w:color w:val="FF0000"/>
          <w:szCs w:val="22"/>
          <w:highlight w:val="yellow"/>
        </w:rPr>
        <w:t>作「《大乘破有論》」。</w:t>
      </w:r>
      <w:r>
        <w:rPr>
          <w:rFonts w:hint="eastAsia"/>
          <w:color w:val="FF0000"/>
          <w:szCs w:val="22"/>
          <w:highlight w:val="yellow"/>
        </w:rPr>
        <w:t>如：</w:t>
      </w:r>
      <w:r w:rsidRPr="00E21D23">
        <w:rPr>
          <w:rFonts w:hint="eastAsia"/>
          <w:color w:val="FF0000"/>
          <w:szCs w:val="22"/>
          <w:highlight w:val="yellow"/>
        </w:rPr>
        <w:t>印順法師，《空之探究》</w:t>
      </w:r>
      <w:r w:rsidRPr="00E21D23">
        <w:rPr>
          <w:rFonts w:hint="eastAsia"/>
          <w:color w:val="FF0000"/>
          <w:szCs w:val="22"/>
          <w:highlight w:val="yellow"/>
        </w:rPr>
        <w:t>p.205</w:t>
      </w:r>
      <w:r w:rsidRPr="00E21D23">
        <w:rPr>
          <w:rFonts w:hint="eastAsia"/>
          <w:color w:val="FF0000"/>
          <w:szCs w:val="22"/>
          <w:highlight w:val="yellow"/>
        </w:rPr>
        <w:t>：「</w:t>
      </w:r>
      <w:r w:rsidRPr="00E21D23">
        <w:rPr>
          <w:rFonts w:ascii="標楷體" w:eastAsia="標楷體" w:hAnsi="標楷體" w:hint="eastAsia"/>
          <w:color w:val="FF0000"/>
          <w:szCs w:val="22"/>
          <w:highlight w:val="yellow"/>
        </w:rPr>
        <w:t>龍樹的論著，可分為三類：一、西藏傳譯有《中論》（頌），《六十頌如理論》，《七十空性論》，《迴諍論》，《大乘破有論》，稱為五正理聚。</w:t>
      </w:r>
      <w:r w:rsidRPr="00E21D23">
        <w:rPr>
          <w:rFonts w:ascii="標楷體" w:eastAsia="標楷體" w:hAnsi="標楷體" w:hint="eastAsia"/>
          <w:color w:val="FF0000"/>
          <w:szCs w:val="22"/>
          <w:shd w:val="pct15" w:color="auto" w:fill="FFFFFF"/>
        </w:rPr>
        <w:t>……</w:t>
      </w:r>
      <w:r w:rsidRPr="00E21D23">
        <w:rPr>
          <w:rFonts w:hint="eastAsia"/>
          <w:color w:val="FF0000"/>
          <w:szCs w:val="22"/>
          <w:highlight w:val="yellow"/>
        </w:rPr>
        <w:t>」</w:t>
      </w:r>
    </w:p>
  </w:footnote>
  <w:footnote w:id="119">
    <w:p w:rsidR="00157EF6" w:rsidRPr="00212D57" w:rsidRDefault="00157EF6" w:rsidP="00D07458">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009160B5">
        <w:rPr>
          <w:szCs w:val="22"/>
        </w:rPr>
        <w:t>參見：印</w:t>
      </w:r>
      <w:r w:rsidRPr="00212D57">
        <w:rPr>
          <w:szCs w:val="22"/>
        </w:rPr>
        <w:t>順法師，《中觀論頌講記》，</w:t>
      </w:r>
      <w:r w:rsidRPr="00761EF3">
        <w:rPr>
          <w:szCs w:val="22"/>
        </w:rPr>
        <w:t>pp</w:t>
      </w:r>
      <w:r w:rsidRPr="00212D57">
        <w:rPr>
          <w:szCs w:val="22"/>
        </w:rPr>
        <w:t>.</w:t>
      </w:r>
      <w:r w:rsidRPr="00761EF3">
        <w:rPr>
          <w:szCs w:val="22"/>
        </w:rPr>
        <w:t>3</w:t>
      </w:r>
      <w:r w:rsidRPr="00212D57">
        <w:rPr>
          <w:szCs w:val="22"/>
        </w:rPr>
        <w:t>-</w:t>
      </w:r>
      <w:r w:rsidRPr="00761EF3">
        <w:rPr>
          <w:szCs w:val="22"/>
        </w:rPr>
        <w:t>4</w:t>
      </w:r>
      <w:r w:rsidRPr="00212D57">
        <w:rPr>
          <w:szCs w:val="22"/>
        </w:rPr>
        <w:t>：</w:t>
      </w:r>
    </w:p>
    <w:p w:rsidR="00157EF6" w:rsidRPr="00212D57" w:rsidRDefault="00157EF6" w:rsidP="00D07458">
      <w:pPr>
        <w:pStyle w:val="a5"/>
        <w:ind w:leftChars="105" w:left="252"/>
        <w:jc w:val="both"/>
        <w:rPr>
          <w:rFonts w:eastAsia="標楷體"/>
          <w:szCs w:val="22"/>
        </w:rPr>
      </w:pPr>
      <w:r w:rsidRPr="00212D57">
        <w:rPr>
          <w:rFonts w:eastAsia="標楷體"/>
          <w:szCs w:val="22"/>
        </w:rPr>
        <w:t>本論的釋者，舊傳有七十餘家。近據西藏的傳說，共有八部：一</w:t>
      </w:r>
      <w:r w:rsidRPr="00212D57">
        <w:rPr>
          <w:rFonts w:eastAsia="標楷體"/>
          <w:b/>
          <w:bCs/>
          <w:szCs w:val="22"/>
        </w:rPr>
        <w:t>、《無畏論》</w:t>
      </w:r>
      <w:r w:rsidRPr="00212D57">
        <w:rPr>
          <w:rFonts w:eastAsia="標楷體"/>
          <w:szCs w:val="22"/>
        </w:rPr>
        <w:t>，有說是龍樹自己作的。其實不是，這可從論中引用提婆的話上看出來。二、依《無畏論》而作的，有</w:t>
      </w:r>
      <w:r w:rsidRPr="00212D57">
        <w:rPr>
          <w:rFonts w:eastAsia="標楷體"/>
          <w:b/>
          <w:bCs/>
          <w:szCs w:val="22"/>
        </w:rPr>
        <w:t>佛護的《論釋》</w:t>
      </w:r>
      <w:r w:rsidRPr="00212D57">
        <w:rPr>
          <w:rFonts w:eastAsia="標楷體"/>
          <w:szCs w:val="22"/>
        </w:rPr>
        <w:t>。三、依佛護論而作的，有</w:t>
      </w:r>
      <w:r w:rsidRPr="00212D57">
        <w:rPr>
          <w:rFonts w:eastAsia="標楷體"/>
          <w:b/>
          <w:bCs/>
          <w:szCs w:val="22"/>
        </w:rPr>
        <w:t>月稱的《顯句論》</w:t>
      </w:r>
      <w:r w:rsidRPr="00212D57">
        <w:rPr>
          <w:rFonts w:eastAsia="標楷體"/>
          <w:szCs w:val="22"/>
        </w:rPr>
        <w:t>。四、</w:t>
      </w:r>
      <w:r w:rsidRPr="00212D57">
        <w:rPr>
          <w:rFonts w:eastAsia="標楷體"/>
          <w:b/>
          <w:bCs/>
          <w:szCs w:val="22"/>
        </w:rPr>
        <w:t>清辨論師的《般若燈論》</w:t>
      </w:r>
      <w:r w:rsidRPr="00212D57">
        <w:rPr>
          <w:rFonts w:eastAsia="標楷體"/>
          <w:szCs w:val="22"/>
        </w:rPr>
        <w:t>。五、</w:t>
      </w:r>
      <w:r w:rsidRPr="00212D57">
        <w:rPr>
          <w:rFonts w:eastAsia="標楷體"/>
          <w:b/>
          <w:bCs/>
          <w:szCs w:val="22"/>
        </w:rPr>
        <w:t>安慧的《釋論》</w:t>
      </w:r>
      <w:r w:rsidRPr="00212D57">
        <w:rPr>
          <w:rFonts w:eastAsia="標楷體"/>
          <w:szCs w:val="22"/>
        </w:rPr>
        <w:t>。六、</w:t>
      </w:r>
      <w:r w:rsidRPr="00212D57">
        <w:rPr>
          <w:rFonts w:eastAsia="標楷體"/>
          <w:b/>
          <w:bCs/>
          <w:szCs w:val="22"/>
        </w:rPr>
        <w:t>提婆薩摩（</w:t>
      </w:r>
      <w:r w:rsidRPr="00761EF3">
        <w:rPr>
          <w:rFonts w:eastAsia="標楷體"/>
          <w:b/>
          <w:bCs/>
          <w:szCs w:val="22"/>
        </w:rPr>
        <w:t>Devaśarman</w:t>
      </w:r>
      <w:r w:rsidRPr="00212D57">
        <w:rPr>
          <w:rFonts w:eastAsia="標楷體"/>
          <w:b/>
          <w:bCs/>
          <w:szCs w:val="22"/>
        </w:rPr>
        <w:t>）的《釋論》</w:t>
      </w:r>
      <w:r w:rsidRPr="00212D57">
        <w:rPr>
          <w:rFonts w:eastAsia="標楷體"/>
          <w:szCs w:val="22"/>
        </w:rPr>
        <w:t>。七、</w:t>
      </w:r>
      <w:r w:rsidRPr="00212D57">
        <w:rPr>
          <w:rFonts w:eastAsia="標楷體"/>
          <w:b/>
          <w:bCs/>
          <w:szCs w:val="22"/>
        </w:rPr>
        <w:t>古拏室利（</w:t>
      </w:r>
      <w:r w:rsidRPr="00761EF3">
        <w:rPr>
          <w:rFonts w:eastAsia="標楷體"/>
          <w:b/>
          <w:bCs/>
          <w:szCs w:val="22"/>
        </w:rPr>
        <w:t>Guṇaśrī</w:t>
      </w:r>
      <w:r w:rsidRPr="00212D57">
        <w:rPr>
          <w:rFonts w:eastAsia="標楷體"/>
          <w:b/>
          <w:bCs/>
          <w:szCs w:val="22"/>
        </w:rPr>
        <w:t>）的《釋論》</w:t>
      </w:r>
      <w:r w:rsidRPr="00212D57">
        <w:rPr>
          <w:rFonts w:eastAsia="標楷體"/>
          <w:szCs w:val="22"/>
        </w:rPr>
        <w:t>。八、</w:t>
      </w:r>
      <w:r w:rsidRPr="00212D57">
        <w:rPr>
          <w:rFonts w:eastAsia="標楷體"/>
          <w:b/>
          <w:bCs/>
          <w:szCs w:val="22"/>
        </w:rPr>
        <w:t>古拏末底（</w:t>
      </w:r>
      <w:r w:rsidRPr="00761EF3">
        <w:rPr>
          <w:rFonts w:eastAsia="標楷體"/>
          <w:b/>
          <w:bCs/>
          <w:szCs w:val="22"/>
        </w:rPr>
        <w:t>Guṇamati</w:t>
      </w:r>
      <w:r w:rsidRPr="00212D57">
        <w:rPr>
          <w:rFonts w:eastAsia="標楷體"/>
          <w:b/>
          <w:bCs/>
          <w:szCs w:val="22"/>
        </w:rPr>
        <w:t>）的《釋論》</w:t>
      </w:r>
      <w:r w:rsidRPr="00212D57">
        <w:rPr>
          <w:rFonts w:eastAsia="標楷體"/>
          <w:szCs w:val="22"/>
        </w:rPr>
        <w:t>。</w:t>
      </w:r>
    </w:p>
    <w:p w:rsidR="00157EF6" w:rsidRPr="00212D57" w:rsidRDefault="00157EF6" w:rsidP="00D07458">
      <w:pPr>
        <w:pStyle w:val="a5"/>
        <w:ind w:leftChars="105" w:left="252"/>
        <w:jc w:val="both"/>
        <w:rPr>
          <w:rFonts w:eastAsia="標楷體"/>
          <w:szCs w:val="22"/>
        </w:rPr>
      </w:pPr>
      <w:r w:rsidRPr="00212D57">
        <w:rPr>
          <w:rFonts w:eastAsia="標楷體"/>
          <w:szCs w:val="22"/>
        </w:rPr>
        <w:t>前四論是中觀家的正統思想，後四論是唯識學者對《中觀論》的別解。</w:t>
      </w:r>
    </w:p>
    <w:p w:rsidR="00157EF6" w:rsidRPr="00212D57" w:rsidRDefault="00157EF6" w:rsidP="00D07458">
      <w:pPr>
        <w:pStyle w:val="a5"/>
        <w:ind w:leftChars="105" w:left="252"/>
        <w:jc w:val="both"/>
        <w:rPr>
          <w:rFonts w:eastAsia="標楷體"/>
          <w:szCs w:val="22"/>
        </w:rPr>
      </w:pPr>
      <w:r w:rsidRPr="00212D57">
        <w:rPr>
          <w:rFonts w:eastAsia="標楷體"/>
          <w:szCs w:val="22"/>
        </w:rPr>
        <w:t>我國譯出的《中論》釋，主要是什公所譯的青目《論釋》，這與西藏傳的《無畏論》相近。文義簡要，可說是最早出的釋論。還有唐</w:t>
      </w:r>
      <w:r w:rsidRPr="00212D57">
        <w:rPr>
          <w:rFonts w:eastAsia="標楷體" w:hint="eastAsia"/>
          <w:szCs w:val="22"/>
        </w:rPr>
        <w:t>‧</w:t>
      </w:r>
      <w:r w:rsidRPr="00212D57">
        <w:rPr>
          <w:rFonts w:eastAsia="標楷體"/>
          <w:szCs w:val="22"/>
        </w:rPr>
        <w:t>明知識</w:t>
      </w:r>
      <w:r w:rsidRPr="00212D57">
        <w:rPr>
          <w:rFonts w:eastAsia="標楷體" w:hint="eastAsia"/>
          <w:szCs w:val="22"/>
        </w:rPr>
        <w:t>（案：</w:t>
      </w:r>
      <w:r w:rsidRPr="00212D57">
        <w:rPr>
          <w:rFonts w:eastAsia="標楷體"/>
          <w:szCs w:val="22"/>
        </w:rPr>
        <w:t>波羅頗蜜多羅</w:t>
      </w:r>
      <w:r w:rsidRPr="00212D57">
        <w:rPr>
          <w:rFonts w:eastAsia="標楷體" w:hint="eastAsia"/>
          <w:szCs w:val="22"/>
        </w:rPr>
        <w:t>）</w:t>
      </w:r>
      <w:r w:rsidRPr="00212D57">
        <w:rPr>
          <w:rFonts w:eastAsia="標楷體"/>
          <w:szCs w:val="22"/>
        </w:rPr>
        <w:t>譯的清辨的《般若燈論》，</w:t>
      </w:r>
      <w:r w:rsidRPr="00212D57">
        <w:rPr>
          <w:rFonts w:eastAsia="標楷體" w:hint="eastAsia"/>
          <w:szCs w:val="22"/>
        </w:rPr>
        <w:t>〔</w:t>
      </w:r>
      <w:r w:rsidRPr="00212D57">
        <w:rPr>
          <w:rFonts w:eastAsia="標楷體"/>
          <w:szCs w:val="22"/>
        </w:rPr>
        <w:t>宋</w:t>
      </w:r>
      <w:r w:rsidRPr="00212D57">
        <w:rPr>
          <w:rFonts w:eastAsia="標楷體" w:hint="eastAsia"/>
          <w:szCs w:val="22"/>
        </w:rPr>
        <w:t>〕</w:t>
      </w:r>
      <w:r w:rsidRPr="00212D57">
        <w:rPr>
          <w:rFonts w:eastAsia="標楷體"/>
          <w:szCs w:val="22"/>
        </w:rPr>
        <w:t>施護譯的安慧的《中觀釋論》，都可以參考。無著的《順中論》，略敘《中論》的大意。真諦譯過羅睺羅跋陀羅的釋論，既沒有譯全，譯出的部分，也早已散失了！</w:t>
      </w:r>
      <w:r w:rsidRPr="00212D57">
        <w:rPr>
          <w:szCs w:val="22"/>
        </w:rPr>
        <w:t>」</w:t>
      </w:r>
    </w:p>
  </w:footnote>
  <w:footnote w:id="120">
    <w:p w:rsidR="00157EF6" w:rsidRPr="00212D57" w:rsidRDefault="00157EF6" w:rsidP="00D07458">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《迴諍論》亦存有梵本、藏譯本。</w:t>
      </w:r>
    </w:p>
  </w:footnote>
  <w:footnote w:id="121">
    <w:p w:rsidR="00157EF6" w:rsidRPr="00212D57" w:rsidRDefault="00157EF6" w:rsidP="00F634D5">
      <w:pPr>
        <w:pStyle w:val="a5"/>
        <w:spacing w:line="300" w:lineRule="exac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《大乘二十頌論</w:t>
      </w:r>
      <w:r w:rsidRPr="00A65C2A">
        <w:rPr>
          <w:szCs w:val="22"/>
          <w:highlight w:val="yellow"/>
        </w:rPr>
        <w:t>》（</w:t>
      </w:r>
      <w:r w:rsidRPr="00212D57">
        <w:rPr>
          <w:szCs w:val="22"/>
        </w:rPr>
        <w:t>大正</w:t>
      </w:r>
      <w:r w:rsidRPr="00761EF3">
        <w:rPr>
          <w:szCs w:val="22"/>
        </w:rPr>
        <w:t>30</w:t>
      </w:r>
      <w:r w:rsidRPr="00212D57">
        <w:rPr>
          <w:szCs w:val="22"/>
        </w:rPr>
        <w:t>，</w:t>
      </w:r>
      <w:r w:rsidRPr="00761EF3">
        <w:rPr>
          <w:szCs w:val="22"/>
        </w:rPr>
        <w:t>256b29</w:t>
      </w:r>
      <w:r w:rsidRPr="00212D57">
        <w:rPr>
          <w:szCs w:val="22"/>
        </w:rPr>
        <w:t>-</w:t>
      </w:r>
      <w:r w:rsidRPr="00761EF3">
        <w:rPr>
          <w:szCs w:val="22"/>
        </w:rPr>
        <w:t>256c5</w:t>
      </w:r>
      <w:r w:rsidRPr="00212D57">
        <w:rPr>
          <w:szCs w:val="22"/>
        </w:rPr>
        <w:t>）：</w:t>
      </w:r>
    </w:p>
    <w:p w:rsidR="00157EF6" w:rsidRPr="00212D57" w:rsidRDefault="00157EF6" w:rsidP="00F634D5">
      <w:pPr>
        <w:pStyle w:val="a5"/>
        <w:spacing w:line="300" w:lineRule="exact"/>
        <w:ind w:leftChars="105" w:left="252"/>
        <w:jc w:val="both"/>
        <w:rPr>
          <w:rFonts w:eastAsia="標楷體"/>
          <w:szCs w:val="22"/>
        </w:rPr>
      </w:pPr>
      <w:r w:rsidRPr="00212D57">
        <w:rPr>
          <w:rFonts w:eastAsia="標楷體"/>
          <w:szCs w:val="22"/>
        </w:rPr>
        <w:t>若分別有生，眾生不如理，於生死法中，起常樂我想，</w:t>
      </w:r>
    </w:p>
    <w:p w:rsidR="00157EF6" w:rsidRPr="00212D57" w:rsidRDefault="00157EF6" w:rsidP="00F634D5">
      <w:pPr>
        <w:pStyle w:val="a5"/>
        <w:spacing w:line="300" w:lineRule="exact"/>
        <w:ind w:leftChars="105" w:left="252"/>
        <w:jc w:val="both"/>
        <w:rPr>
          <w:rFonts w:eastAsia="標楷體"/>
          <w:szCs w:val="22"/>
        </w:rPr>
      </w:pPr>
      <w:r w:rsidRPr="00212D57">
        <w:rPr>
          <w:rFonts w:eastAsia="標楷體"/>
          <w:szCs w:val="22"/>
        </w:rPr>
        <w:t>此一切唯心，安立幻化相，作善不善業，感善不善生，</w:t>
      </w:r>
    </w:p>
    <w:p w:rsidR="00157EF6" w:rsidRPr="00212D57" w:rsidRDefault="00157EF6" w:rsidP="00F634D5">
      <w:pPr>
        <w:pStyle w:val="a5"/>
        <w:spacing w:line="300" w:lineRule="exact"/>
        <w:ind w:leftChars="105" w:left="252"/>
        <w:jc w:val="both"/>
        <w:rPr>
          <w:szCs w:val="22"/>
        </w:rPr>
      </w:pPr>
      <w:r w:rsidRPr="00212D57">
        <w:rPr>
          <w:rFonts w:eastAsia="標楷體"/>
          <w:szCs w:val="22"/>
        </w:rPr>
        <w:t>若滅於心輪，即滅一切法，是諸法無我，諸法悉清淨。</w:t>
      </w:r>
    </w:p>
  </w:footnote>
  <w:footnote w:id="122">
    <w:p w:rsidR="00157EF6" w:rsidRPr="00212D57" w:rsidRDefault="00157EF6" w:rsidP="00F634D5">
      <w:pPr>
        <w:pStyle w:val="a5"/>
        <w:spacing w:line="300" w:lineRule="exact"/>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）《六十如理論》（大正</w:t>
      </w:r>
      <w:r w:rsidRPr="00761EF3">
        <w:rPr>
          <w:szCs w:val="22"/>
        </w:rPr>
        <w:t>30</w:t>
      </w:r>
      <w:r w:rsidRPr="00212D57">
        <w:rPr>
          <w:szCs w:val="22"/>
        </w:rPr>
        <w:t>，</w:t>
      </w:r>
      <w:r w:rsidRPr="00761EF3">
        <w:rPr>
          <w:szCs w:val="22"/>
        </w:rPr>
        <w:t>255b4</w:t>
      </w:r>
      <w:r w:rsidRPr="00212D57">
        <w:rPr>
          <w:szCs w:val="22"/>
        </w:rPr>
        <w:t>-</w:t>
      </w:r>
      <w:r w:rsidRPr="00761EF3">
        <w:rPr>
          <w:szCs w:val="22"/>
        </w:rPr>
        <w:t>5</w:t>
      </w:r>
      <w:r w:rsidRPr="00212D57">
        <w:rPr>
          <w:szCs w:val="22"/>
        </w:rPr>
        <w:t>）：</w:t>
      </w:r>
    </w:p>
    <w:p w:rsidR="00157EF6" w:rsidRPr="00212D57" w:rsidRDefault="00157EF6" w:rsidP="00F634D5">
      <w:pPr>
        <w:pStyle w:val="a5"/>
        <w:spacing w:line="300" w:lineRule="exact"/>
        <w:ind w:leftChars="335" w:left="804"/>
        <w:jc w:val="both"/>
        <w:rPr>
          <w:rFonts w:eastAsia="標楷體"/>
          <w:szCs w:val="22"/>
        </w:rPr>
      </w:pPr>
      <w:r w:rsidRPr="00212D57">
        <w:rPr>
          <w:rFonts w:eastAsia="標楷體"/>
          <w:szCs w:val="22"/>
        </w:rPr>
        <w:t>大種等及識，所說皆平等，彼智現證時，無妄無分別。</w:t>
      </w:r>
    </w:p>
    <w:p w:rsidR="00157EF6" w:rsidRPr="00212D57" w:rsidRDefault="00157EF6" w:rsidP="00F634D5">
      <w:pPr>
        <w:pStyle w:val="a5"/>
        <w:spacing w:line="300" w:lineRule="exact"/>
        <w:ind w:leftChars="105" w:left="791" w:hangingChars="245" w:hanging="539"/>
        <w:jc w:val="both"/>
        <w:rPr>
          <w:szCs w:val="22"/>
        </w:rPr>
      </w:pPr>
      <w:r w:rsidRPr="00212D57">
        <w:rPr>
          <w:szCs w:val="22"/>
        </w:rPr>
        <w:t>（</w:t>
      </w:r>
      <w:r w:rsidRPr="00761EF3">
        <w:rPr>
          <w:szCs w:val="22"/>
        </w:rPr>
        <w:t>2</w:t>
      </w:r>
      <w:r w:rsidRPr="00212D57">
        <w:rPr>
          <w:szCs w:val="22"/>
        </w:rPr>
        <w:t>）</w:t>
      </w:r>
      <w:r w:rsidRPr="001C2E6E">
        <w:rPr>
          <w:rFonts w:hint="eastAsia"/>
          <w:szCs w:val="22"/>
        </w:rPr>
        <w:t>印順法師，</w:t>
      </w:r>
      <w:r w:rsidRPr="00212D57">
        <w:rPr>
          <w:szCs w:val="22"/>
        </w:rPr>
        <w:t>《</w:t>
      </w:r>
      <w:r w:rsidRPr="00212D57">
        <w:rPr>
          <w:rStyle w:val="byline"/>
          <w:rFonts w:hAnsi="新細明體"/>
          <w:color w:val="auto"/>
          <w:sz w:val="22"/>
          <w:szCs w:val="22"/>
        </w:rPr>
        <w:t>印度</w:t>
      </w:r>
      <w:r w:rsidRPr="00212D57">
        <w:rPr>
          <w:szCs w:val="22"/>
        </w:rPr>
        <w:t>佛教思想史》，</w:t>
      </w:r>
      <w:r w:rsidRPr="00761EF3">
        <w:rPr>
          <w:szCs w:val="22"/>
        </w:rPr>
        <w:t>pp</w:t>
      </w:r>
      <w:r w:rsidRPr="00212D57">
        <w:rPr>
          <w:szCs w:val="22"/>
        </w:rPr>
        <w:t>.</w:t>
      </w:r>
      <w:r w:rsidRPr="00761EF3">
        <w:rPr>
          <w:szCs w:val="22"/>
        </w:rPr>
        <w:t>377</w:t>
      </w:r>
      <w:r w:rsidRPr="00212D57">
        <w:rPr>
          <w:szCs w:val="22"/>
        </w:rPr>
        <w:t>-</w:t>
      </w:r>
      <w:r w:rsidRPr="00761EF3">
        <w:rPr>
          <w:szCs w:val="22"/>
        </w:rPr>
        <w:t>378</w:t>
      </w:r>
      <w:r w:rsidRPr="00212D57">
        <w:rPr>
          <w:szCs w:val="22"/>
        </w:rPr>
        <w:t>：</w:t>
      </w:r>
    </w:p>
    <w:p w:rsidR="00157EF6" w:rsidRPr="00212D57" w:rsidRDefault="00157EF6" w:rsidP="00F634D5">
      <w:pPr>
        <w:pStyle w:val="a5"/>
        <w:spacing w:line="300" w:lineRule="exact"/>
        <w:ind w:leftChars="335" w:left="804"/>
        <w:jc w:val="both"/>
        <w:rPr>
          <w:rFonts w:eastAsia="標楷體"/>
          <w:szCs w:val="22"/>
        </w:rPr>
      </w:pPr>
      <w:r w:rsidRPr="00212D57">
        <w:rPr>
          <w:rFonts w:eastAsia="標楷體"/>
          <w:szCs w:val="22"/>
        </w:rPr>
        <w:t>寂護是自立量派，在世俗自相有中，取「唯識」說，所以不同於清辨，而被稱為「隨瑜伽行」。</w:t>
      </w:r>
      <w:r w:rsidR="00C31BFC">
        <w:rPr>
          <w:rFonts w:ascii="標楷體" w:eastAsia="標楷體" w:hAnsi="標楷體" w:hint="eastAsia"/>
          <w:bCs/>
          <w:szCs w:val="22"/>
          <w:shd w:val="pct15" w:color="auto" w:fill="FFFFFF"/>
        </w:rPr>
        <w:t>……</w:t>
      </w:r>
      <w:r w:rsidRPr="00212D57">
        <w:rPr>
          <w:rFonts w:eastAsia="標楷體"/>
          <w:szCs w:val="22"/>
        </w:rPr>
        <w:t>寂護在世俗諦中，成立唯識似外境現；進觀勝義，那是心也無自性了。如《中觀莊嚴論》說：「由依止唯心，當知無外事；次由依此理，當知心無我。」這是比較容易會通「後期大乘」的「唯心」說。</w:t>
      </w:r>
    </w:p>
    <w:p w:rsidR="00157EF6" w:rsidRDefault="00157EF6" w:rsidP="00F634D5">
      <w:pPr>
        <w:pStyle w:val="a5"/>
        <w:spacing w:line="300" w:lineRule="exact"/>
        <w:ind w:leftChars="335" w:left="804"/>
        <w:jc w:val="both"/>
        <w:rPr>
          <w:rFonts w:eastAsia="標楷體"/>
          <w:szCs w:val="22"/>
        </w:rPr>
      </w:pPr>
      <w:r w:rsidRPr="00212D57">
        <w:rPr>
          <w:rFonts w:eastAsia="標楷體"/>
          <w:szCs w:val="22"/>
        </w:rPr>
        <w:t>寂護以為：世俗唯識而勝義皆空，也是龍樹的意見，如《中觀莊嚴論》引（《六十頌如理論》）文說：「此中皆無生，亦皆無有滅，故知生滅法，當知唯是識。</w:t>
      </w:r>
      <w:r w:rsidRPr="00212D57">
        <w:rPr>
          <w:rFonts w:eastAsia="標楷體"/>
          <w:b/>
          <w:szCs w:val="22"/>
        </w:rPr>
        <w:t>宣說大種等，皆是識所攝，彼離智所見，豈非皆顛倒</w:t>
      </w:r>
      <w:r w:rsidRPr="00212D57">
        <w:rPr>
          <w:rFonts w:eastAsia="標楷體" w:hint="eastAsia"/>
          <w:szCs w:val="22"/>
        </w:rPr>
        <w:t>！</w:t>
      </w:r>
      <w:r w:rsidRPr="00212D57">
        <w:rPr>
          <w:rFonts w:eastAsia="標楷體"/>
          <w:szCs w:val="22"/>
        </w:rPr>
        <w:t>」</w:t>
      </w:r>
      <w:r w:rsidR="00F04C2A" w:rsidRPr="00F04C2A">
        <w:rPr>
          <w:rFonts w:eastAsia="標楷體" w:hint="eastAsia"/>
          <w:szCs w:val="22"/>
          <w:vertAlign w:val="superscript"/>
        </w:rPr>
        <w:t>[1</w:t>
      </w:r>
      <w:r w:rsidR="00F04C2A">
        <w:rPr>
          <w:rFonts w:eastAsia="標楷體" w:hint="eastAsia"/>
          <w:szCs w:val="22"/>
          <w:vertAlign w:val="superscript"/>
        </w:rPr>
        <w:t>4</w:t>
      </w:r>
      <w:r w:rsidR="00F04C2A" w:rsidRPr="00F04C2A">
        <w:rPr>
          <w:rFonts w:eastAsia="標楷體" w:hint="eastAsia"/>
          <w:szCs w:val="22"/>
          <w:vertAlign w:val="superscript"/>
        </w:rPr>
        <w:t>]</w:t>
      </w:r>
      <w:r w:rsidRPr="00212D57">
        <w:rPr>
          <w:rFonts w:eastAsia="標楷體"/>
          <w:szCs w:val="22"/>
        </w:rPr>
        <w:t>這樣，世俗唯心，勝義心空，瑜伽行與中觀的綜合，是龍樹的本意。不過這二頌，在宋施護所譯《六十頌如理論》，文意並不是這樣的。</w:t>
      </w:r>
      <w:r w:rsidR="00F04C2A" w:rsidRPr="00F04C2A">
        <w:rPr>
          <w:rFonts w:eastAsia="標楷體" w:hint="eastAsia"/>
          <w:szCs w:val="22"/>
          <w:vertAlign w:val="superscript"/>
        </w:rPr>
        <w:t>[15]</w:t>
      </w:r>
    </w:p>
    <w:p w:rsidR="00F04C2A" w:rsidRDefault="00F04C2A" w:rsidP="00F634D5">
      <w:pPr>
        <w:pStyle w:val="a5"/>
        <w:spacing w:line="300" w:lineRule="exact"/>
        <w:ind w:leftChars="335" w:left="804"/>
        <w:jc w:val="both"/>
        <w:rPr>
          <w:szCs w:val="22"/>
        </w:rPr>
      </w:pPr>
      <w:r w:rsidRPr="00F04C2A">
        <w:rPr>
          <w:rFonts w:hint="eastAsia"/>
          <w:szCs w:val="22"/>
        </w:rPr>
        <w:t>[</w:t>
      </w:r>
      <w:r w:rsidRPr="00F04C2A">
        <w:rPr>
          <w:rFonts w:hint="eastAsia"/>
          <w:szCs w:val="22"/>
        </w:rPr>
        <w:t>原書註</w:t>
      </w:r>
      <w:r>
        <w:rPr>
          <w:rFonts w:hint="eastAsia"/>
          <w:szCs w:val="22"/>
        </w:rPr>
        <w:t>14</w:t>
      </w:r>
      <w:r w:rsidRPr="00F04C2A">
        <w:rPr>
          <w:rFonts w:hint="eastAsia"/>
          <w:szCs w:val="22"/>
        </w:rPr>
        <w:t>]</w:t>
      </w:r>
      <w:r w:rsidRPr="00212D57">
        <w:rPr>
          <w:szCs w:val="22"/>
        </w:rPr>
        <w:t>《辨了不了義善說藏論》卷</w:t>
      </w:r>
      <w:r w:rsidRPr="00761EF3">
        <w:rPr>
          <w:szCs w:val="22"/>
        </w:rPr>
        <w:t>3</w:t>
      </w:r>
      <w:r w:rsidRPr="00212D57">
        <w:rPr>
          <w:szCs w:val="22"/>
        </w:rPr>
        <w:t>（漢院刊</w:t>
      </w:r>
      <w:r w:rsidRPr="00F04C2A">
        <w:rPr>
          <w:rFonts w:hint="eastAsia"/>
          <w:color w:val="FF0000"/>
          <w:szCs w:val="22"/>
          <w:highlight w:val="yellow"/>
        </w:rPr>
        <w:t>本</w:t>
      </w:r>
      <w:r w:rsidRPr="00212D57">
        <w:rPr>
          <w:rFonts w:hint="eastAsia"/>
          <w:szCs w:val="22"/>
        </w:rPr>
        <w:t>，</w:t>
      </w:r>
      <w:r w:rsidRPr="00761EF3">
        <w:rPr>
          <w:szCs w:val="22"/>
        </w:rPr>
        <w:t>p</w:t>
      </w:r>
      <w:r w:rsidRPr="00761EF3">
        <w:rPr>
          <w:rFonts w:hint="eastAsia"/>
          <w:szCs w:val="22"/>
        </w:rPr>
        <w:t>p</w:t>
      </w:r>
      <w:r w:rsidRPr="00212D57">
        <w:rPr>
          <w:szCs w:val="22"/>
        </w:rPr>
        <w:t>.</w:t>
      </w:r>
      <w:r w:rsidRPr="00761EF3">
        <w:rPr>
          <w:szCs w:val="22"/>
        </w:rPr>
        <w:t>19</w:t>
      </w:r>
      <w:r w:rsidRPr="00212D57">
        <w:rPr>
          <w:szCs w:val="22"/>
        </w:rPr>
        <w:t>-</w:t>
      </w:r>
      <w:r w:rsidRPr="00761EF3">
        <w:rPr>
          <w:szCs w:val="22"/>
        </w:rPr>
        <w:t>20</w:t>
      </w:r>
      <w:r w:rsidRPr="00212D57">
        <w:rPr>
          <w:szCs w:val="22"/>
        </w:rPr>
        <w:t>）</w:t>
      </w:r>
      <w:r>
        <w:rPr>
          <w:rFonts w:hint="eastAsia"/>
          <w:szCs w:val="22"/>
        </w:rPr>
        <w:t>。</w:t>
      </w:r>
    </w:p>
    <w:p w:rsidR="00F04C2A" w:rsidRPr="00F04C2A" w:rsidRDefault="00F04C2A" w:rsidP="00F04C2A">
      <w:pPr>
        <w:pStyle w:val="a5"/>
        <w:spacing w:line="300" w:lineRule="exact"/>
        <w:ind w:leftChars="335" w:left="1904" w:hangingChars="500" w:hanging="1100"/>
        <w:jc w:val="both"/>
        <w:rPr>
          <w:szCs w:val="22"/>
        </w:rPr>
      </w:pPr>
      <w:r w:rsidRPr="00F04C2A">
        <w:rPr>
          <w:rFonts w:hint="eastAsia"/>
          <w:szCs w:val="22"/>
        </w:rPr>
        <w:t>[</w:t>
      </w:r>
      <w:r w:rsidRPr="00F04C2A">
        <w:rPr>
          <w:rFonts w:hint="eastAsia"/>
          <w:szCs w:val="22"/>
        </w:rPr>
        <w:t>原書註</w:t>
      </w:r>
      <w:r>
        <w:rPr>
          <w:rFonts w:hint="eastAsia"/>
          <w:szCs w:val="22"/>
        </w:rPr>
        <w:t>15</w:t>
      </w:r>
      <w:r w:rsidRPr="00F04C2A">
        <w:rPr>
          <w:rFonts w:hint="eastAsia"/>
          <w:szCs w:val="22"/>
        </w:rPr>
        <w:t>]</w:t>
      </w:r>
      <w:r w:rsidRPr="00F04C2A">
        <w:rPr>
          <w:szCs w:val="22"/>
        </w:rPr>
        <w:t>宋施護所譯《六十頌如理論》，此二頌作：「</w:t>
      </w:r>
      <w:r w:rsidRPr="00F04C2A">
        <w:rPr>
          <w:rFonts w:ascii="標楷體" w:eastAsia="標楷體" w:hAnsi="標楷體"/>
          <w:szCs w:val="22"/>
        </w:rPr>
        <w:t>若生法滅法，二俱不可得，正智所觀察，從無明緣生</w:t>
      </w:r>
      <w:r w:rsidRPr="00F04C2A">
        <w:rPr>
          <w:szCs w:val="22"/>
        </w:rPr>
        <w:t>」；「</w:t>
      </w:r>
      <w:r w:rsidRPr="00F04C2A">
        <w:rPr>
          <w:rFonts w:ascii="標楷體" w:eastAsia="標楷體" w:hAnsi="標楷體"/>
          <w:szCs w:val="22"/>
        </w:rPr>
        <w:t>大種等及識，所說皆平等，彼智現證時，無妄無分別</w:t>
      </w:r>
      <w:r w:rsidRPr="00F04C2A">
        <w:rPr>
          <w:szCs w:val="22"/>
        </w:rPr>
        <w:t>」（大正</w:t>
      </w:r>
      <w:r w:rsidRPr="00F04C2A">
        <w:rPr>
          <w:szCs w:val="22"/>
        </w:rPr>
        <w:t>30</w:t>
      </w:r>
      <w:r w:rsidRPr="00F04C2A">
        <w:rPr>
          <w:szCs w:val="22"/>
        </w:rPr>
        <w:t>，</w:t>
      </w:r>
      <w:r w:rsidRPr="00F04C2A">
        <w:rPr>
          <w:szCs w:val="22"/>
        </w:rPr>
        <w:t>254c</w:t>
      </w:r>
      <w:r>
        <w:rPr>
          <w:rFonts w:hint="eastAsia"/>
          <w:szCs w:val="22"/>
        </w:rPr>
        <w:t>、</w:t>
      </w:r>
      <w:r w:rsidRPr="00F04C2A">
        <w:rPr>
          <w:szCs w:val="22"/>
        </w:rPr>
        <w:t>255b</w:t>
      </w:r>
      <w:r w:rsidRPr="00F04C2A">
        <w:rPr>
          <w:szCs w:val="22"/>
        </w:rPr>
        <w:t>）。</w:t>
      </w:r>
    </w:p>
  </w:footnote>
  <w:footnote w:id="123">
    <w:p w:rsidR="00157EF6" w:rsidRPr="00212D57" w:rsidRDefault="00157EF6" w:rsidP="00F634D5">
      <w:pPr>
        <w:pStyle w:val="a5"/>
        <w:spacing w:line="300" w:lineRule="exac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《大乘破有論》</w:t>
      </w:r>
      <w:r w:rsidR="00434424" w:rsidRPr="00212D57">
        <w:rPr>
          <w:szCs w:val="22"/>
        </w:rPr>
        <w:t>（大正</w:t>
      </w:r>
      <w:r w:rsidR="00434424" w:rsidRPr="00761EF3">
        <w:rPr>
          <w:szCs w:val="22"/>
        </w:rPr>
        <w:t>30</w:t>
      </w:r>
      <w:r w:rsidR="00434424" w:rsidRPr="00212D57">
        <w:rPr>
          <w:szCs w:val="22"/>
        </w:rPr>
        <w:t>，</w:t>
      </w:r>
      <w:r w:rsidR="00434424" w:rsidRPr="00761EF3">
        <w:rPr>
          <w:szCs w:val="22"/>
        </w:rPr>
        <w:t>254a16</w:t>
      </w:r>
      <w:r w:rsidR="00434424" w:rsidRPr="00212D57">
        <w:rPr>
          <w:szCs w:val="22"/>
        </w:rPr>
        <w:t>-</w:t>
      </w:r>
      <w:r w:rsidR="00434424" w:rsidRPr="00761EF3">
        <w:rPr>
          <w:szCs w:val="22"/>
        </w:rPr>
        <w:t>18</w:t>
      </w:r>
      <w:r w:rsidR="00434424" w:rsidRPr="00212D57">
        <w:rPr>
          <w:szCs w:val="22"/>
        </w:rPr>
        <w:t>）</w:t>
      </w:r>
      <w:r w:rsidRPr="00212D57">
        <w:rPr>
          <w:szCs w:val="22"/>
        </w:rPr>
        <w:t>：「</w:t>
      </w:r>
      <w:r w:rsidRPr="00212D57">
        <w:rPr>
          <w:rFonts w:eastAsia="標楷體"/>
          <w:szCs w:val="22"/>
        </w:rPr>
        <w:t>世間無實</w:t>
      </w:r>
      <w:r w:rsidR="00DC058D">
        <w:rPr>
          <w:rFonts w:ascii="標楷體" w:eastAsia="標楷體" w:hAnsi="標楷體" w:hint="eastAsia"/>
          <w:color w:val="FF0000"/>
          <w:kern w:val="0"/>
          <w:highlight w:val="yellow"/>
        </w:rPr>
        <w:t>，</w:t>
      </w:r>
      <w:r w:rsidRPr="00212D57">
        <w:rPr>
          <w:rFonts w:eastAsia="標楷體"/>
          <w:szCs w:val="22"/>
        </w:rPr>
        <w:t>從分別起</w:t>
      </w:r>
      <w:r w:rsidR="00DC058D">
        <w:rPr>
          <w:rFonts w:ascii="標楷體" w:eastAsia="標楷體" w:hAnsi="標楷體" w:hint="eastAsia"/>
          <w:color w:val="FF0000"/>
          <w:spacing w:val="-4"/>
          <w:kern w:val="0"/>
          <w:highlight w:val="yellow"/>
        </w:rPr>
        <w:t>；</w:t>
      </w:r>
      <w:r w:rsidRPr="00212D57">
        <w:rPr>
          <w:rFonts w:eastAsia="標楷體"/>
          <w:szCs w:val="22"/>
        </w:rPr>
        <w:t>此分別故</w:t>
      </w:r>
      <w:r w:rsidR="00DC058D">
        <w:rPr>
          <w:rFonts w:ascii="標楷體" w:eastAsia="標楷體" w:hAnsi="標楷體" w:hint="eastAsia"/>
          <w:color w:val="FF0000"/>
          <w:kern w:val="0"/>
          <w:highlight w:val="yellow"/>
        </w:rPr>
        <w:t>，</w:t>
      </w:r>
      <w:r w:rsidRPr="00212D57">
        <w:rPr>
          <w:rFonts w:eastAsia="標楷體"/>
          <w:szCs w:val="22"/>
        </w:rPr>
        <w:t>分別心生</w:t>
      </w:r>
      <w:r w:rsidR="00DC058D">
        <w:rPr>
          <w:rFonts w:ascii="標楷體" w:eastAsia="標楷體" w:hAnsi="標楷體" w:hint="eastAsia"/>
          <w:color w:val="FF0000"/>
          <w:spacing w:val="-4"/>
          <w:kern w:val="0"/>
          <w:highlight w:val="yellow"/>
        </w:rPr>
        <w:t>；</w:t>
      </w:r>
      <w:r w:rsidRPr="00212D57">
        <w:rPr>
          <w:rFonts w:eastAsia="標楷體"/>
          <w:b/>
          <w:szCs w:val="22"/>
        </w:rPr>
        <w:t>由此心為因，即有身生</w:t>
      </w:r>
      <w:r w:rsidRPr="00212D57">
        <w:rPr>
          <w:rFonts w:eastAsia="標楷體"/>
          <w:szCs w:val="22"/>
        </w:rPr>
        <w:t>，是故有身行於世間。」</w:t>
      </w:r>
    </w:p>
  </w:footnote>
  <w:footnote w:id="124">
    <w:p w:rsidR="00157EF6" w:rsidRPr="00212D57" w:rsidRDefault="00157EF6" w:rsidP="00F634D5">
      <w:pPr>
        <w:pStyle w:val="a5"/>
        <w:spacing w:line="300" w:lineRule="exact"/>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w:t>
      </w:r>
      <w:r w:rsidR="009160B5">
        <w:rPr>
          <w:szCs w:val="22"/>
        </w:rPr>
        <w:t>參見：印</w:t>
      </w:r>
      <w:r w:rsidRPr="00212D57">
        <w:rPr>
          <w:szCs w:val="22"/>
        </w:rPr>
        <w:t>順法師，《中觀今論》，第</w:t>
      </w:r>
      <w:r w:rsidRPr="00761EF3">
        <w:rPr>
          <w:rFonts w:hint="eastAsia"/>
          <w:szCs w:val="22"/>
        </w:rPr>
        <w:t>11</w:t>
      </w:r>
      <w:r w:rsidRPr="00212D57">
        <w:rPr>
          <w:szCs w:val="22"/>
        </w:rPr>
        <w:t>章</w:t>
      </w:r>
      <w:r w:rsidRPr="00212D57">
        <w:rPr>
          <w:rFonts w:ascii="新細明體" w:hAnsi="新細明體" w:cs="新細明體" w:hint="eastAsia"/>
          <w:szCs w:val="22"/>
        </w:rPr>
        <w:t>‧</w:t>
      </w:r>
      <w:r w:rsidRPr="00212D57">
        <w:rPr>
          <w:szCs w:val="22"/>
        </w:rPr>
        <w:t>第</w:t>
      </w:r>
      <w:r w:rsidRPr="00761EF3">
        <w:rPr>
          <w:rFonts w:hint="eastAsia"/>
          <w:szCs w:val="22"/>
        </w:rPr>
        <w:t>2</w:t>
      </w:r>
      <w:r w:rsidRPr="00212D57">
        <w:rPr>
          <w:szCs w:val="22"/>
        </w:rPr>
        <w:t>節〈</w:t>
      </w:r>
      <w:r w:rsidRPr="00212D57">
        <w:rPr>
          <w:rFonts w:hint="eastAsia"/>
          <w:szCs w:val="22"/>
        </w:rPr>
        <w:t>緣起空有</w:t>
      </w:r>
      <w:r w:rsidRPr="00212D57">
        <w:rPr>
          <w:szCs w:val="22"/>
        </w:rPr>
        <w:t>〉</w:t>
      </w:r>
      <w:r w:rsidRPr="00212D57">
        <w:rPr>
          <w:rFonts w:hint="eastAsia"/>
          <w:szCs w:val="22"/>
        </w:rPr>
        <w:t>，</w:t>
      </w:r>
      <w:r w:rsidRPr="00761EF3">
        <w:rPr>
          <w:szCs w:val="22"/>
        </w:rPr>
        <w:t>p</w:t>
      </w:r>
      <w:r w:rsidRPr="00212D57">
        <w:rPr>
          <w:szCs w:val="22"/>
        </w:rPr>
        <w:t>.</w:t>
      </w:r>
      <w:r w:rsidRPr="00761EF3">
        <w:rPr>
          <w:szCs w:val="22"/>
        </w:rPr>
        <w:t>241</w:t>
      </w:r>
      <w:r w:rsidRPr="00212D57">
        <w:rPr>
          <w:szCs w:val="22"/>
        </w:rPr>
        <w:t>：</w:t>
      </w:r>
    </w:p>
    <w:p w:rsidR="00157EF6" w:rsidRPr="00212D57" w:rsidRDefault="00157EF6" w:rsidP="00F634D5">
      <w:pPr>
        <w:pStyle w:val="a5"/>
        <w:spacing w:line="300" w:lineRule="exact"/>
        <w:ind w:leftChars="335" w:left="804"/>
        <w:jc w:val="both"/>
        <w:rPr>
          <w:rFonts w:eastAsia="標楷體"/>
          <w:szCs w:val="22"/>
        </w:rPr>
      </w:pPr>
      <w:r w:rsidRPr="00D57C93">
        <w:rPr>
          <w:rFonts w:ascii="標楷體" w:eastAsia="標楷體" w:hAnsi="標楷體"/>
          <w:szCs w:val="22"/>
        </w:rPr>
        <w:t>《六十如理論》說：</w:t>
      </w:r>
      <w:r w:rsidRPr="00D57C93">
        <w:rPr>
          <w:rFonts w:ascii="標楷體" w:eastAsia="標楷體" w:hAnsi="標楷體" w:hint="eastAsia"/>
          <w:szCs w:val="22"/>
        </w:rPr>
        <w:t>「</w:t>
      </w:r>
      <w:r w:rsidRPr="00212D57">
        <w:rPr>
          <w:rFonts w:eastAsia="標楷體"/>
          <w:szCs w:val="22"/>
        </w:rPr>
        <w:t>宣說大種等，皆是識所攝。</w:t>
      </w:r>
      <w:r w:rsidRPr="00212D57">
        <w:rPr>
          <w:rFonts w:eastAsia="標楷體" w:hint="eastAsia"/>
          <w:szCs w:val="22"/>
        </w:rPr>
        <w:t>」</w:t>
      </w:r>
      <w:r w:rsidRPr="00212D57">
        <w:rPr>
          <w:rFonts w:eastAsia="標楷體"/>
          <w:szCs w:val="22"/>
        </w:rPr>
        <w:t>《大乘二十頌論》也說：</w:t>
      </w:r>
      <w:r w:rsidRPr="00212D57">
        <w:rPr>
          <w:rFonts w:eastAsia="標楷體" w:hint="eastAsia"/>
          <w:szCs w:val="22"/>
        </w:rPr>
        <w:t>「</w:t>
      </w:r>
      <w:r w:rsidRPr="00212D57">
        <w:rPr>
          <w:rFonts w:eastAsia="標楷體"/>
          <w:szCs w:val="22"/>
        </w:rPr>
        <w:t>此一切唯心，安立幻化相，若滅於心輪，即滅一切法。</w:t>
      </w:r>
      <w:r w:rsidRPr="00212D57">
        <w:rPr>
          <w:rFonts w:eastAsia="標楷體" w:hint="eastAsia"/>
          <w:szCs w:val="22"/>
        </w:rPr>
        <w:t>」</w:t>
      </w:r>
      <w:r w:rsidRPr="00212D57">
        <w:rPr>
          <w:rFonts w:eastAsia="標楷體"/>
          <w:szCs w:val="22"/>
        </w:rPr>
        <w:t>這在後期唯心佛教的潮流中，中觀者也常提示此義，每為一般唯心論者所附會。然在中觀者的正見中，推尋此項思想的來源，本出於</w:t>
      </w:r>
      <w:r w:rsidRPr="00212D57">
        <w:rPr>
          <w:rFonts w:eastAsia="標楷體"/>
          <w:b/>
          <w:szCs w:val="22"/>
        </w:rPr>
        <w:t>《長阿含》的《堅固經》</w:t>
      </w:r>
      <w:r w:rsidRPr="00212D57">
        <w:rPr>
          <w:rFonts w:eastAsia="標楷體"/>
          <w:szCs w:val="22"/>
        </w:rPr>
        <w:t>。</w:t>
      </w:r>
    </w:p>
    <w:p w:rsidR="00157EF6" w:rsidRPr="00212D57" w:rsidRDefault="00157EF6" w:rsidP="00F634D5">
      <w:pPr>
        <w:pStyle w:val="a5"/>
        <w:spacing w:line="300" w:lineRule="exact"/>
        <w:ind w:leftChars="105" w:left="791" w:hangingChars="245" w:hanging="539"/>
        <w:jc w:val="both"/>
        <w:rPr>
          <w:szCs w:val="22"/>
        </w:rPr>
      </w:pPr>
      <w:r w:rsidRPr="00212D57">
        <w:rPr>
          <w:rFonts w:eastAsia="標楷體"/>
          <w:szCs w:val="22"/>
        </w:rPr>
        <w:t>（</w:t>
      </w:r>
      <w:r w:rsidRPr="00761EF3">
        <w:rPr>
          <w:rFonts w:eastAsia="標楷體"/>
          <w:szCs w:val="22"/>
        </w:rPr>
        <w:t>2</w:t>
      </w:r>
      <w:r w:rsidRPr="00212D57">
        <w:rPr>
          <w:rFonts w:eastAsia="標楷體"/>
          <w:szCs w:val="22"/>
        </w:rPr>
        <w:t>）</w:t>
      </w:r>
      <w:r w:rsidRPr="00212D57">
        <w:rPr>
          <w:szCs w:val="22"/>
        </w:rPr>
        <w:t>《長阿含經》卷</w:t>
      </w:r>
      <w:r w:rsidRPr="00761EF3">
        <w:rPr>
          <w:szCs w:val="22"/>
        </w:rPr>
        <w:t>16</w:t>
      </w:r>
      <w:r w:rsidRPr="00212D57">
        <w:rPr>
          <w:rFonts w:hint="eastAsia"/>
          <w:szCs w:val="22"/>
        </w:rPr>
        <w:t>（</w:t>
      </w:r>
      <w:r w:rsidRPr="00761EF3">
        <w:rPr>
          <w:rFonts w:hint="eastAsia"/>
          <w:szCs w:val="22"/>
        </w:rPr>
        <w:t>24</w:t>
      </w:r>
      <w:r w:rsidRPr="00212D57">
        <w:rPr>
          <w:rFonts w:hint="eastAsia"/>
          <w:szCs w:val="22"/>
        </w:rPr>
        <w:t>經）</w:t>
      </w:r>
      <w:r w:rsidRPr="00212D57">
        <w:rPr>
          <w:szCs w:val="22"/>
        </w:rPr>
        <w:t>《堅固經》</w:t>
      </w:r>
      <w:r w:rsidRPr="00212D57">
        <w:rPr>
          <w:rFonts w:hint="eastAsia"/>
          <w:szCs w:val="22"/>
        </w:rPr>
        <w:t>（</w:t>
      </w:r>
      <w:r w:rsidRPr="00212D57">
        <w:rPr>
          <w:rFonts w:ascii="新細明體" w:hAnsi="新細明體"/>
          <w:szCs w:val="22"/>
        </w:rPr>
        <w:t>大正</w:t>
      </w:r>
      <w:r w:rsidRPr="00761EF3">
        <w:rPr>
          <w:rFonts w:eastAsia="標楷體"/>
          <w:szCs w:val="22"/>
        </w:rPr>
        <w:t>1</w:t>
      </w:r>
      <w:r w:rsidRPr="00212D57">
        <w:rPr>
          <w:rFonts w:eastAsia="標楷體"/>
          <w:szCs w:val="22"/>
        </w:rPr>
        <w:t>，</w:t>
      </w:r>
      <w:r w:rsidRPr="00761EF3">
        <w:rPr>
          <w:rFonts w:eastAsia="標楷體"/>
          <w:szCs w:val="22"/>
        </w:rPr>
        <w:t>101b15</w:t>
      </w:r>
      <w:r w:rsidRPr="00212D57">
        <w:rPr>
          <w:rFonts w:eastAsia="標楷體"/>
          <w:szCs w:val="22"/>
        </w:rPr>
        <w:t>-</w:t>
      </w:r>
      <w:r w:rsidRPr="00761EF3">
        <w:rPr>
          <w:rFonts w:eastAsia="標楷體"/>
          <w:szCs w:val="22"/>
        </w:rPr>
        <w:t>102c23</w:t>
      </w:r>
      <w:r w:rsidRPr="00212D57">
        <w:rPr>
          <w:rFonts w:eastAsia="標楷體" w:hint="eastAsia"/>
          <w:szCs w:val="22"/>
        </w:rPr>
        <w:t>）</w:t>
      </w:r>
      <w:r w:rsidRPr="00212D57">
        <w:rPr>
          <w:rFonts w:eastAsia="標楷體"/>
          <w:szCs w:val="22"/>
        </w:rPr>
        <w:t>。</w:t>
      </w:r>
    </w:p>
  </w:footnote>
  <w:footnote w:id="125">
    <w:p w:rsidR="00157EF6" w:rsidRPr="00212D57" w:rsidRDefault="00157EF6" w:rsidP="00D07458">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009160B5">
        <w:rPr>
          <w:szCs w:val="22"/>
        </w:rPr>
        <w:t>參見：印</w:t>
      </w:r>
      <w:r w:rsidRPr="00212D57">
        <w:rPr>
          <w:szCs w:val="22"/>
        </w:rPr>
        <w:t>順法師</w:t>
      </w:r>
      <w:r w:rsidRPr="00212D57">
        <w:rPr>
          <w:rFonts w:hint="eastAsia"/>
          <w:szCs w:val="22"/>
        </w:rPr>
        <w:t>，</w:t>
      </w:r>
      <w:r w:rsidRPr="00212D57">
        <w:rPr>
          <w:szCs w:val="22"/>
        </w:rPr>
        <w:t>《印度佛教思想史》</w:t>
      </w:r>
      <w:r w:rsidRPr="00212D57">
        <w:rPr>
          <w:rFonts w:hint="eastAsia"/>
          <w:szCs w:val="22"/>
        </w:rPr>
        <w:t>，</w:t>
      </w:r>
      <w:r w:rsidRPr="00212D57">
        <w:rPr>
          <w:szCs w:val="22"/>
        </w:rPr>
        <w:t>第</w:t>
      </w:r>
      <w:r w:rsidRPr="00761EF3">
        <w:rPr>
          <w:rFonts w:hint="eastAsia"/>
          <w:szCs w:val="22"/>
        </w:rPr>
        <w:t>4</w:t>
      </w:r>
      <w:r w:rsidRPr="00212D57">
        <w:rPr>
          <w:szCs w:val="22"/>
        </w:rPr>
        <w:t>章</w:t>
      </w:r>
      <w:r w:rsidRPr="00212D57">
        <w:rPr>
          <w:rFonts w:ascii="新細明體" w:hAnsi="新細明體" w:cs="新細明體" w:hint="eastAsia"/>
          <w:szCs w:val="22"/>
        </w:rPr>
        <w:t>‧</w:t>
      </w:r>
      <w:r w:rsidRPr="00212D57">
        <w:rPr>
          <w:szCs w:val="22"/>
        </w:rPr>
        <w:t>第</w:t>
      </w:r>
      <w:r w:rsidRPr="00761EF3">
        <w:rPr>
          <w:rFonts w:hint="eastAsia"/>
          <w:szCs w:val="22"/>
        </w:rPr>
        <w:t>3</w:t>
      </w:r>
      <w:r w:rsidRPr="00212D57">
        <w:rPr>
          <w:szCs w:val="22"/>
        </w:rPr>
        <w:t>節〈提婆的「百」論〉</w:t>
      </w:r>
      <w:r w:rsidR="00DC7803">
        <w:rPr>
          <w:rFonts w:hint="eastAsia"/>
          <w:szCs w:val="22"/>
        </w:rPr>
        <w:t>，</w:t>
      </w:r>
      <w:r w:rsidRPr="00761EF3">
        <w:rPr>
          <w:szCs w:val="22"/>
        </w:rPr>
        <w:t>pp</w:t>
      </w:r>
      <w:r w:rsidRPr="00212D57">
        <w:rPr>
          <w:szCs w:val="22"/>
        </w:rPr>
        <w:t>.</w:t>
      </w:r>
      <w:r w:rsidRPr="00761EF3">
        <w:rPr>
          <w:szCs w:val="22"/>
        </w:rPr>
        <w:t>148</w:t>
      </w:r>
      <w:r w:rsidRPr="00212D57">
        <w:rPr>
          <w:szCs w:val="22"/>
        </w:rPr>
        <w:t>-</w:t>
      </w:r>
      <w:r w:rsidRPr="00761EF3">
        <w:rPr>
          <w:szCs w:val="22"/>
        </w:rPr>
        <w:t>152</w:t>
      </w:r>
      <w:r w:rsidRPr="00212D57">
        <w:rPr>
          <w:szCs w:val="22"/>
        </w:rPr>
        <w:t>。</w:t>
      </w:r>
    </w:p>
  </w:footnote>
  <w:footnote w:id="126">
    <w:p w:rsidR="00157EF6" w:rsidRPr="00212D57" w:rsidRDefault="00157EF6" w:rsidP="00D07458">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）聖天造</w:t>
      </w:r>
      <w:bookmarkStart w:id="23" w:name="0182a24"/>
      <w:bookmarkEnd w:id="23"/>
      <w:r w:rsidRPr="00212D57">
        <w:rPr>
          <w:szCs w:val="22"/>
        </w:rPr>
        <w:t>，</w:t>
      </w:r>
      <w:r w:rsidRPr="00212D57">
        <w:rPr>
          <w:rFonts w:hint="eastAsia"/>
          <w:szCs w:val="22"/>
        </w:rPr>
        <w:t>〔唐〕</w:t>
      </w:r>
      <w:r w:rsidRPr="00212D57">
        <w:rPr>
          <w:szCs w:val="22"/>
        </w:rPr>
        <w:t>玄奘譯</w:t>
      </w:r>
      <w:r w:rsidRPr="00212D57">
        <w:rPr>
          <w:rFonts w:hint="eastAsia"/>
          <w:szCs w:val="22"/>
        </w:rPr>
        <w:t>，</w:t>
      </w:r>
      <w:r w:rsidRPr="00212D57">
        <w:rPr>
          <w:szCs w:val="22"/>
        </w:rPr>
        <w:t>《廣百論本》</w:t>
      </w:r>
      <w:r w:rsidRPr="00212D57">
        <w:rPr>
          <w:rFonts w:hint="eastAsia"/>
          <w:szCs w:val="22"/>
        </w:rPr>
        <w:t>（</w:t>
      </w:r>
      <w:r w:rsidRPr="00761EF3">
        <w:rPr>
          <w:szCs w:val="22"/>
        </w:rPr>
        <w:t>1</w:t>
      </w:r>
      <w:r w:rsidRPr="00212D57">
        <w:rPr>
          <w:szCs w:val="22"/>
        </w:rPr>
        <w:t>卷</w:t>
      </w:r>
      <w:r w:rsidRPr="00212D57">
        <w:rPr>
          <w:rFonts w:hint="eastAsia"/>
          <w:szCs w:val="22"/>
        </w:rPr>
        <w:t>）</w:t>
      </w:r>
      <w:r w:rsidRPr="00212D57">
        <w:rPr>
          <w:szCs w:val="22"/>
        </w:rPr>
        <w:t>（大正</w:t>
      </w:r>
      <w:r w:rsidRPr="00761EF3">
        <w:rPr>
          <w:szCs w:val="22"/>
        </w:rPr>
        <w:t>30</w:t>
      </w:r>
      <w:r w:rsidRPr="00212D57">
        <w:rPr>
          <w:szCs w:val="22"/>
        </w:rPr>
        <w:t>，</w:t>
      </w:r>
      <w:r w:rsidRPr="00761EF3">
        <w:rPr>
          <w:szCs w:val="22"/>
        </w:rPr>
        <w:t>182a21</w:t>
      </w:r>
      <w:r w:rsidRPr="00212D57">
        <w:rPr>
          <w:szCs w:val="22"/>
        </w:rPr>
        <w:t>-</w:t>
      </w:r>
      <w:r w:rsidRPr="00761EF3">
        <w:rPr>
          <w:szCs w:val="22"/>
        </w:rPr>
        <w:t>187a1</w:t>
      </w:r>
      <w:r w:rsidRPr="00212D57">
        <w:rPr>
          <w:szCs w:val="22"/>
        </w:rPr>
        <w:t>）。</w:t>
      </w:r>
    </w:p>
    <w:p w:rsidR="00157EF6" w:rsidRPr="00212D57" w:rsidRDefault="00157EF6" w:rsidP="00D07458">
      <w:pPr>
        <w:pStyle w:val="a5"/>
        <w:ind w:leftChars="105" w:left="791" w:hangingChars="245" w:hanging="539"/>
        <w:jc w:val="both"/>
        <w:rPr>
          <w:szCs w:val="22"/>
        </w:rPr>
      </w:pPr>
      <w:r w:rsidRPr="00212D57">
        <w:rPr>
          <w:szCs w:val="22"/>
        </w:rPr>
        <w:t>（</w:t>
      </w:r>
      <w:r w:rsidRPr="00761EF3">
        <w:rPr>
          <w:szCs w:val="22"/>
        </w:rPr>
        <w:t>2</w:t>
      </w:r>
      <w:r w:rsidRPr="00212D57">
        <w:rPr>
          <w:szCs w:val="22"/>
        </w:rPr>
        <w:t>）聖天本，護法釋</w:t>
      </w:r>
      <w:bookmarkStart w:id="24" w:name="0187a09"/>
      <w:bookmarkEnd w:id="24"/>
      <w:r w:rsidRPr="00212D57">
        <w:rPr>
          <w:szCs w:val="22"/>
        </w:rPr>
        <w:t>，</w:t>
      </w:r>
      <w:r w:rsidRPr="00212D57">
        <w:rPr>
          <w:rFonts w:hint="eastAsia"/>
          <w:szCs w:val="22"/>
        </w:rPr>
        <w:t>〔唐〕</w:t>
      </w:r>
      <w:r w:rsidRPr="00212D57">
        <w:rPr>
          <w:szCs w:val="22"/>
        </w:rPr>
        <w:t>玄奘譯</w:t>
      </w:r>
      <w:r w:rsidRPr="00212D57">
        <w:rPr>
          <w:rFonts w:hint="eastAsia"/>
          <w:szCs w:val="22"/>
        </w:rPr>
        <w:t>，</w:t>
      </w:r>
      <w:r w:rsidRPr="00212D57">
        <w:rPr>
          <w:szCs w:val="22"/>
        </w:rPr>
        <w:t>《大乘廣百</w:t>
      </w:r>
      <w:r w:rsidRPr="00212D57">
        <w:rPr>
          <w:rFonts w:hint="eastAsia"/>
          <w:szCs w:val="22"/>
        </w:rPr>
        <w:t>論</w:t>
      </w:r>
      <w:r w:rsidRPr="00212D57">
        <w:rPr>
          <w:szCs w:val="22"/>
        </w:rPr>
        <w:t>釋論》（</w:t>
      </w:r>
      <w:r w:rsidRPr="00761EF3">
        <w:rPr>
          <w:szCs w:val="22"/>
        </w:rPr>
        <w:t>10</w:t>
      </w:r>
      <w:r w:rsidRPr="00212D57">
        <w:rPr>
          <w:szCs w:val="22"/>
        </w:rPr>
        <w:t>卷）（大正</w:t>
      </w:r>
      <w:r w:rsidRPr="00761EF3">
        <w:rPr>
          <w:szCs w:val="22"/>
        </w:rPr>
        <w:t>30</w:t>
      </w:r>
      <w:r w:rsidRPr="00212D57">
        <w:rPr>
          <w:szCs w:val="22"/>
        </w:rPr>
        <w:t>，</w:t>
      </w:r>
      <w:r w:rsidRPr="00761EF3">
        <w:rPr>
          <w:szCs w:val="22"/>
        </w:rPr>
        <w:t>187a7</w:t>
      </w:r>
      <w:r w:rsidRPr="00212D57">
        <w:rPr>
          <w:szCs w:val="22"/>
        </w:rPr>
        <w:t>-</w:t>
      </w:r>
      <w:r w:rsidRPr="00761EF3">
        <w:rPr>
          <w:szCs w:val="22"/>
        </w:rPr>
        <w:t>250b2</w:t>
      </w:r>
      <w:r w:rsidRPr="00212D57">
        <w:rPr>
          <w:szCs w:val="22"/>
        </w:rPr>
        <w:t>）。</w:t>
      </w:r>
    </w:p>
  </w:footnote>
  <w:footnote w:id="127">
    <w:p w:rsidR="00157EF6" w:rsidRPr="00212D57" w:rsidRDefault="00157EF6" w:rsidP="00D07458">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《一切經音義》卷</w:t>
      </w:r>
      <w:r w:rsidRPr="00761EF3">
        <w:rPr>
          <w:szCs w:val="22"/>
        </w:rPr>
        <w:t>16</w:t>
      </w:r>
      <w:r w:rsidR="00434424" w:rsidRPr="00212D57">
        <w:rPr>
          <w:rFonts w:hint="eastAsia"/>
          <w:szCs w:val="22"/>
        </w:rPr>
        <w:t>（大正</w:t>
      </w:r>
      <w:r w:rsidR="00434424" w:rsidRPr="00761EF3">
        <w:rPr>
          <w:rFonts w:hint="eastAsia"/>
          <w:szCs w:val="22"/>
        </w:rPr>
        <w:t>54</w:t>
      </w:r>
      <w:r w:rsidR="00434424" w:rsidRPr="00212D57">
        <w:rPr>
          <w:rFonts w:hint="eastAsia"/>
          <w:szCs w:val="22"/>
        </w:rPr>
        <w:t>，</w:t>
      </w:r>
      <w:r w:rsidR="00434424" w:rsidRPr="00761EF3">
        <w:rPr>
          <w:szCs w:val="22"/>
        </w:rPr>
        <w:t>407a13</w:t>
      </w:r>
      <w:r w:rsidR="00434424" w:rsidRPr="00212D57">
        <w:rPr>
          <w:rFonts w:hint="eastAsia"/>
          <w:szCs w:val="22"/>
        </w:rPr>
        <w:t>）</w:t>
      </w:r>
      <w:r w:rsidRPr="00212D57">
        <w:rPr>
          <w:szCs w:val="22"/>
        </w:rPr>
        <w:t>：「</w:t>
      </w:r>
      <w:r w:rsidRPr="00212D57">
        <w:rPr>
          <w:rFonts w:ascii="標楷體" w:eastAsia="標楷體" w:hAnsi="標楷體"/>
          <w:szCs w:val="22"/>
        </w:rPr>
        <w:t>開士</w:t>
      </w:r>
      <w:r w:rsidRPr="00212D57">
        <w:rPr>
          <w:rFonts w:ascii="標楷體" w:eastAsia="標楷體" w:hAnsi="標楷體" w:hint="eastAsia"/>
          <w:szCs w:val="22"/>
        </w:rPr>
        <w:t>（</w:t>
      </w:r>
      <w:r w:rsidRPr="00212D57">
        <w:rPr>
          <w:rFonts w:ascii="標楷體" w:eastAsia="標楷體" w:hAnsi="標楷體"/>
          <w:szCs w:val="22"/>
        </w:rPr>
        <w:t>梵語</w:t>
      </w:r>
      <w:r w:rsidR="00DC058D">
        <w:rPr>
          <w:rFonts w:ascii="標楷體" w:eastAsia="標楷體" w:hAnsi="標楷體" w:hint="eastAsia"/>
          <w:color w:val="FF0000"/>
          <w:kern w:val="0"/>
          <w:highlight w:val="yellow"/>
        </w:rPr>
        <w:t>『</w:t>
      </w:r>
      <w:r w:rsidRPr="00212D57">
        <w:rPr>
          <w:rFonts w:ascii="標楷體" w:eastAsia="標楷體" w:hAnsi="標楷體"/>
          <w:szCs w:val="22"/>
        </w:rPr>
        <w:t>菩薩</w:t>
      </w:r>
      <w:r w:rsidR="00DC058D">
        <w:rPr>
          <w:rFonts w:ascii="標楷體" w:eastAsia="標楷體" w:hAnsi="標楷體" w:hint="eastAsia"/>
          <w:color w:val="FF0000"/>
          <w:kern w:val="0"/>
          <w:highlight w:val="yellow"/>
        </w:rPr>
        <w:t>』</w:t>
      </w:r>
      <w:r w:rsidRPr="00212D57">
        <w:rPr>
          <w:rFonts w:ascii="標楷體" w:eastAsia="標楷體" w:hAnsi="標楷體"/>
          <w:szCs w:val="22"/>
        </w:rPr>
        <w:t>者也</w:t>
      </w:r>
      <w:r w:rsidRPr="00212D57">
        <w:rPr>
          <w:rFonts w:ascii="標楷體" w:eastAsia="標楷體" w:hAnsi="標楷體" w:hint="eastAsia"/>
          <w:szCs w:val="22"/>
        </w:rPr>
        <w:t>，</w:t>
      </w:r>
      <w:r w:rsidRPr="00212D57">
        <w:rPr>
          <w:rFonts w:ascii="標楷體" w:eastAsia="標楷體" w:hAnsi="標楷體"/>
          <w:szCs w:val="22"/>
        </w:rPr>
        <w:t>謂以法開道之士</w:t>
      </w:r>
      <w:r w:rsidRPr="00212D57">
        <w:rPr>
          <w:rFonts w:ascii="標楷體" w:eastAsia="標楷體" w:hAnsi="標楷體" w:hint="eastAsia"/>
          <w:szCs w:val="22"/>
        </w:rPr>
        <w:t>，</w:t>
      </w:r>
      <w:r w:rsidRPr="00212D57">
        <w:rPr>
          <w:rFonts w:ascii="標楷體" w:eastAsia="標楷體" w:hAnsi="標楷體"/>
          <w:szCs w:val="22"/>
        </w:rPr>
        <w:t>故名</w:t>
      </w:r>
      <w:r w:rsidR="00DC058D">
        <w:rPr>
          <w:rFonts w:ascii="標楷體" w:eastAsia="標楷體" w:hAnsi="標楷體" w:hint="eastAsia"/>
          <w:color w:val="FF0000"/>
          <w:kern w:val="0"/>
          <w:highlight w:val="yellow"/>
        </w:rPr>
        <w:t>『</w:t>
      </w:r>
      <w:r w:rsidRPr="00212D57">
        <w:rPr>
          <w:rFonts w:ascii="標楷體" w:eastAsia="標楷體" w:hAnsi="標楷體"/>
          <w:szCs w:val="22"/>
        </w:rPr>
        <w:t>開士</w:t>
      </w:r>
      <w:r w:rsidR="00DC058D">
        <w:rPr>
          <w:rFonts w:ascii="標楷體" w:eastAsia="標楷體" w:hAnsi="標楷體" w:hint="eastAsia"/>
          <w:color w:val="FF0000"/>
          <w:kern w:val="0"/>
          <w:highlight w:val="yellow"/>
        </w:rPr>
        <w:t>』</w:t>
      </w:r>
      <w:r w:rsidRPr="00212D57">
        <w:rPr>
          <w:rFonts w:ascii="標楷體" w:eastAsia="標楷體" w:hAnsi="標楷體"/>
          <w:szCs w:val="22"/>
        </w:rPr>
        <w:t>也</w:t>
      </w:r>
      <w:r w:rsidR="00DC058D">
        <w:rPr>
          <w:rFonts w:ascii="標楷體" w:eastAsia="標楷體" w:hAnsi="標楷體" w:hint="eastAsia"/>
          <w:color w:val="FF0000"/>
          <w:kern w:val="0"/>
          <w:highlight w:val="yellow"/>
        </w:rPr>
        <w:t>。</w:t>
      </w:r>
      <w:r w:rsidRPr="00DC058D">
        <w:rPr>
          <w:rFonts w:ascii="標楷體" w:eastAsia="標楷體" w:hAnsi="標楷體" w:hint="eastAsia"/>
          <w:szCs w:val="22"/>
          <w:highlight w:val="yellow"/>
        </w:rPr>
        <w:t>）</w:t>
      </w:r>
      <w:r w:rsidRPr="00DC058D">
        <w:rPr>
          <w:szCs w:val="22"/>
          <w:highlight w:val="yellow"/>
        </w:rPr>
        <w:t>」</w:t>
      </w:r>
    </w:p>
  </w:footnote>
  <w:footnote w:id="128">
    <w:p w:rsidR="00157EF6" w:rsidRPr="00212D57" w:rsidRDefault="00157EF6" w:rsidP="00D07458">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szCs w:val="22"/>
        </w:rPr>
        <w:t>提婆造</w:t>
      </w:r>
      <w:bookmarkStart w:id="25" w:name="0250b09"/>
      <w:bookmarkEnd w:id="25"/>
      <w:r w:rsidRPr="00212D57">
        <w:rPr>
          <w:szCs w:val="22"/>
        </w:rPr>
        <w:t>，</w:t>
      </w:r>
      <w:r w:rsidRPr="00212D57">
        <w:rPr>
          <w:rFonts w:hint="eastAsia"/>
          <w:szCs w:val="22"/>
        </w:rPr>
        <w:t>〔</w:t>
      </w:r>
      <w:r w:rsidRPr="00212D57">
        <w:rPr>
          <w:szCs w:val="22"/>
        </w:rPr>
        <w:t>後魏</w:t>
      </w:r>
      <w:r w:rsidRPr="00212D57">
        <w:rPr>
          <w:rFonts w:hint="eastAsia"/>
          <w:szCs w:val="22"/>
        </w:rPr>
        <w:t>〕</w:t>
      </w:r>
      <w:r w:rsidRPr="00212D57">
        <w:rPr>
          <w:szCs w:val="22"/>
        </w:rPr>
        <w:t>菩提流支譯</w:t>
      </w:r>
      <w:r w:rsidRPr="00212D57">
        <w:rPr>
          <w:rFonts w:hint="eastAsia"/>
          <w:szCs w:val="22"/>
        </w:rPr>
        <w:t>，</w:t>
      </w:r>
      <w:r w:rsidRPr="00212D57">
        <w:rPr>
          <w:szCs w:val="22"/>
        </w:rPr>
        <w:t>《百字論》（</w:t>
      </w:r>
      <w:r w:rsidRPr="00761EF3">
        <w:rPr>
          <w:szCs w:val="22"/>
        </w:rPr>
        <w:t>1</w:t>
      </w:r>
      <w:r w:rsidRPr="00212D57">
        <w:rPr>
          <w:szCs w:val="22"/>
        </w:rPr>
        <w:t>卷）（大正</w:t>
      </w:r>
      <w:r w:rsidRPr="00761EF3">
        <w:rPr>
          <w:szCs w:val="22"/>
        </w:rPr>
        <w:t>30</w:t>
      </w:r>
      <w:r w:rsidRPr="00212D57">
        <w:rPr>
          <w:szCs w:val="22"/>
        </w:rPr>
        <w:t>，</w:t>
      </w:r>
      <w:r w:rsidRPr="00761EF3">
        <w:rPr>
          <w:szCs w:val="22"/>
        </w:rPr>
        <w:t>250b6</w:t>
      </w:r>
      <w:r w:rsidRPr="00212D57">
        <w:rPr>
          <w:szCs w:val="22"/>
        </w:rPr>
        <w:t>-</w:t>
      </w:r>
      <w:r w:rsidRPr="00761EF3">
        <w:rPr>
          <w:szCs w:val="22"/>
        </w:rPr>
        <w:t>252c25</w:t>
      </w:r>
      <w:r w:rsidRPr="00212D57">
        <w:rPr>
          <w:szCs w:val="22"/>
        </w:rPr>
        <w:t>）。</w:t>
      </w:r>
    </w:p>
  </w:footnote>
  <w:footnote w:id="129">
    <w:p w:rsidR="00157EF6" w:rsidRPr="00212D57" w:rsidRDefault="00157EF6" w:rsidP="00D07458">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009160B5">
        <w:rPr>
          <w:szCs w:val="22"/>
        </w:rPr>
        <w:t>參見：印</w:t>
      </w:r>
      <w:r w:rsidRPr="00212D57">
        <w:rPr>
          <w:szCs w:val="22"/>
        </w:rPr>
        <w:t>順法師，《印度佛教思想史》，</w:t>
      </w:r>
      <w:r w:rsidRPr="00761EF3">
        <w:rPr>
          <w:szCs w:val="22"/>
        </w:rPr>
        <w:t>pp</w:t>
      </w:r>
      <w:r w:rsidRPr="00212D57">
        <w:rPr>
          <w:szCs w:val="22"/>
        </w:rPr>
        <w:t>.</w:t>
      </w:r>
      <w:r w:rsidRPr="00761EF3">
        <w:rPr>
          <w:szCs w:val="22"/>
        </w:rPr>
        <w:t>147</w:t>
      </w:r>
      <w:r w:rsidRPr="00212D57">
        <w:rPr>
          <w:szCs w:val="22"/>
        </w:rPr>
        <w:t>-</w:t>
      </w:r>
      <w:r w:rsidRPr="00761EF3">
        <w:rPr>
          <w:szCs w:val="22"/>
        </w:rPr>
        <w:t>148</w:t>
      </w:r>
      <w:r w:rsidRPr="00212D57">
        <w:rPr>
          <w:szCs w:val="22"/>
        </w:rPr>
        <w:t>：</w:t>
      </w:r>
    </w:p>
    <w:p w:rsidR="00D57C93" w:rsidRDefault="00157EF6" w:rsidP="00D07458">
      <w:pPr>
        <w:pStyle w:val="a5"/>
        <w:ind w:leftChars="105" w:left="252"/>
        <w:jc w:val="both"/>
        <w:rPr>
          <w:rFonts w:eastAsia="標楷體"/>
          <w:szCs w:val="22"/>
        </w:rPr>
      </w:pPr>
      <w:r w:rsidRPr="00212D57">
        <w:rPr>
          <w:rFonts w:eastAsia="標楷體"/>
          <w:szCs w:val="22"/>
        </w:rPr>
        <w:t>提婆的著作有：</w:t>
      </w:r>
    </w:p>
    <w:p w:rsidR="00157EF6" w:rsidRPr="00212D57" w:rsidRDefault="00157EF6" w:rsidP="00D57C93">
      <w:pPr>
        <w:pStyle w:val="a5"/>
        <w:ind w:leftChars="105" w:left="626" w:hangingChars="170" w:hanging="374"/>
        <w:jc w:val="both"/>
        <w:rPr>
          <w:rFonts w:eastAsia="標楷體"/>
          <w:szCs w:val="22"/>
        </w:rPr>
      </w:pPr>
      <w:r w:rsidRPr="00212D57">
        <w:rPr>
          <w:rFonts w:eastAsia="標楷體"/>
          <w:szCs w:val="22"/>
        </w:rPr>
        <w:t>一、《百論》，以百偈得名。鳩摩羅什（</w:t>
      </w:r>
      <w:r w:rsidRPr="00761EF3">
        <w:rPr>
          <w:rFonts w:eastAsia="標楷體"/>
          <w:szCs w:val="22"/>
        </w:rPr>
        <w:t>Kum</w:t>
      </w:r>
      <w:r w:rsidRPr="00761EF3">
        <w:rPr>
          <w:szCs w:val="22"/>
        </w:rPr>
        <w:t>ā</w:t>
      </w:r>
      <w:r w:rsidRPr="00761EF3">
        <w:rPr>
          <w:rFonts w:eastAsia="標楷體"/>
          <w:szCs w:val="22"/>
        </w:rPr>
        <w:t>raj</w:t>
      </w:r>
      <w:r w:rsidRPr="00761EF3">
        <w:rPr>
          <w:szCs w:val="22"/>
        </w:rPr>
        <w:t>ī</w:t>
      </w:r>
      <w:r w:rsidRPr="00761EF3">
        <w:rPr>
          <w:rFonts w:eastAsia="標楷體"/>
          <w:szCs w:val="22"/>
        </w:rPr>
        <w:t>va</w:t>
      </w:r>
      <w:r w:rsidRPr="00212D57">
        <w:rPr>
          <w:rFonts w:eastAsia="標楷體"/>
          <w:szCs w:val="22"/>
        </w:rPr>
        <w:t>）譯，不是全譯而是有所略的。提婆的本論，名為「修妒路」</w:t>
      </w:r>
      <w:r w:rsidRPr="00212D57">
        <w:rPr>
          <w:rFonts w:eastAsia="標楷體"/>
          <w:szCs w:val="22"/>
        </w:rPr>
        <w:t>[</w:t>
      </w:r>
      <w:r w:rsidRPr="00212D57">
        <w:rPr>
          <w:rFonts w:eastAsia="標楷體"/>
          <w:szCs w:val="22"/>
        </w:rPr>
        <w:t>經</w:t>
      </w:r>
      <w:r w:rsidRPr="00212D57">
        <w:rPr>
          <w:rFonts w:eastAsia="標楷體"/>
          <w:szCs w:val="22"/>
        </w:rPr>
        <w:t>]</w:t>
      </w:r>
      <w:r w:rsidRPr="00212D57">
        <w:rPr>
          <w:rFonts w:eastAsia="標楷體"/>
          <w:szCs w:val="22"/>
        </w:rPr>
        <w:t>，論釋是婆藪開士造的。有以為婆藪就是世親（</w:t>
      </w:r>
      <w:r w:rsidRPr="00761EF3">
        <w:rPr>
          <w:rFonts w:eastAsia="標楷體"/>
          <w:szCs w:val="22"/>
        </w:rPr>
        <w:t>Vasubanbhu</w:t>
      </w:r>
      <w:r w:rsidRPr="00212D57">
        <w:rPr>
          <w:rFonts w:eastAsia="標楷體"/>
          <w:szCs w:val="22"/>
        </w:rPr>
        <w:t>），然在年代上是不可能的。</w:t>
      </w:r>
    </w:p>
    <w:p w:rsidR="00157EF6" w:rsidRPr="00212D57" w:rsidRDefault="00157EF6" w:rsidP="00956FC9">
      <w:pPr>
        <w:pStyle w:val="a5"/>
        <w:ind w:leftChars="105" w:left="626" w:hangingChars="170" w:hanging="374"/>
        <w:jc w:val="both"/>
        <w:rPr>
          <w:rFonts w:eastAsia="標楷體"/>
          <w:szCs w:val="22"/>
        </w:rPr>
      </w:pPr>
      <w:r w:rsidRPr="00212D57">
        <w:rPr>
          <w:rFonts w:eastAsia="標楷體"/>
          <w:szCs w:val="22"/>
        </w:rPr>
        <w:t>二、「四百觀論」，西藏本作《瑜伽行地四百論》，四百偈。唐玄奘所譯《大乘廣百論釋論》，</w:t>
      </w:r>
      <w:r w:rsidRPr="00761EF3">
        <w:rPr>
          <w:rFonts w:eastAsia="標楷體"/>
          <w:szCs w:val="22"/>
        </w:rPr>
        <w:t>10</w:t>
      </w:r>
      <w:r w:rsidRPr="00212D57">
        <w:rPr>
          <w:rFonts w:eastAsia="標楷體"/>
          <w:szCs w:val="22"/>
        </w:rPr>
        <w:t>卷，是《四百論》的後二百偈，及瑜伽學者護法（</w:t>
      </w:r>
      <w:r w:rsidRPr="00761EF3">
        <w:rPr>
          <w:rFonts w:eastAsia="標楷體"/>
          <w:szCs w:val="22"/>
        </w:rPr>
        <w:t>Dharmap</w:t>
      </w:r>
      <w:r w:rsidRPr="00761EF3">
        <w:rPr>
          <w:szCs w:val="22"/>
        </w:rPr>
        <w:t>ā</w:t>
      </w:r>
      <w:r w:rsidRPr="00761EF3">
        <w:rPr>
          <w:rFonts w:eastAsia="標楷體"/>
          <w:szCs w:val="22"/>
        </w:rPr>
        <w:t>la</w:t>
      </w:r>
      <w:r w:rsidRPr="00212D57">
        <w:rPr>
          <w:rFonts w:eastAsia="標楷體"/>
          <w:szCs w:val="22"/>
        </w:rPr>
        <w:t>）的注釋。</w:t>
      </w:r>
    </w:p>
    <w:p w:rsidR="00D57C93" w:rsidRDefault="00157EF6" w:rsidP="00956FC9">
      <w:pPr>
        <w:pStyle w:val="a5"/>
        <w:ind w:leftChars="105" w:left="626" w:hangingChars="170" w:hanging="374"/>
        <w:jc w:val="both"/>
        <w:rPr>
          <w:rFonts w:eastAsia="標楷體"/>
          <w:szCs w:val="22"/>
        </w:rPr>
      </w:pPr>
      <w:r w:rsidRPr="00212D57">
        <w:rPr>
          <w:rFonts w:eastAsia="標楷體"/>
          <w:szCs w:val="22"/>
        </w:rPr>
        <w:t>三、《百字論》，元魏菩提流志（</w:t>
      </w:r>
      <w:r w:rsidRPr="00761EF3">
        <w:rPr>
          <w:rFonts w:eastAsia="標楷體"/>
          <w:szCs w:val="22"/>
        </w:rPr>
        <w:t>Bodhiruci</w:t>
      </w:r>
      <w:r w:rsidRPr="00212D57">
        <w:rPr>
          <w:rFonts w:eastAsia="標楷體"/>
          <w:szCs w:val="22"/>
        </w:rPr>
        <w:t>）譯，一卷。提婆本論僅百字，就是論末偈頌中，「</w:t>
      </w:r>
      <w:r w:rsidRPr="00212D57">
        <w:rPr>
          <w:rFonts w:eastAsia="標楷體"/>
          <w:b/>
          <w:szCs w:val="22"/>
        </w:rPr>
        <w:t>一切法是一</w:t>
      </w:r>
      <w:r w:rsidRPr="00C31BFC">
        <w:rPr>
          <w:rFonts w:hint="eastAsia"/>
          <w:szCs w:val="22"/>
          <w:shd w:val="pct15" w:color="auto" w:fill="FFFFFF"/>
          <w:vertAlign w:val="superscript"/>
        </w:rPr>
        <w:t>※</w:t>
      </w:r>
      <w:r w:rsidRPr="00212D57">
        <w:rPr>
          <w:rFonts w:eastAsia="標楷體"/>
          <w:szCs w:val="22"/>
        </w:rPr>
        <w:t>，如是法無異！</w:t>
      </w:r>
      <w:r w:rsidRPr="00212D57">
        <w:rPr>
          <w:rFonts w:ascii="標楷體" w:eastAsia="標楷體" w:hAnsi="標楷體"/>
          <w:szCs w:val="22"/>
        </w:rPr>
        <w:t>……</w:t>
      </w:r>
      <w:r w:rsidRPr="00212D57">
        <w:rPr>
          <w:rFonts w:eastAsia="標楷體"/>
          <w:szCs w:val="22"/>
        </w:rPr>
        <w:t>等如夢無異，</w:t>
      </w:r>
      <w:r w:rsidRPr="00212D57">
        <w:rPr>
          <w:rFonts w:eastAsia="標楷體"/>
          <w:b/>
          <w:szCs w:val="22"/>
        </w:rPr>
        <w:t>相亦無有體</w:t>
      </w:r>
      <w:r w:rsidRPr="00C31BFC">
        <w:rPr>
          <w:rFonts w:hint="eastAsia"/>
          <w:szCs w:val="22"/>
          <w:shd w:val="pct15" w:color="auto" w:fill="FFFFFF"/>
          <w:vertAlign w:val="superscript"/>
        </w:rPr>
        <w:t>※</w:t>
      </w:r>
      <w:r w:rsidRPr="00212D57">
        <w:rPr>
          <w:rFonts w:eastAsia="標楷體"/>
          <w:szCs w:val="22"/>
        </w:rPr>
        <w:t>」</w:t>
      </w:r>
      <w:r w:rsidRPr="00212D57">
        <w:rPr>
          <w:rFonts w:eastAsia="標楷體" w:hint="eastAsia"/>
          <w:szCs w:val="22"/>
        </w:rPr>
        <w:t>，</w:t>
      </w:r>
      <w:r w:rsidRPr="00212D57">
        <w:rPr>
          <w:rFonts w:eastAsia="標楷體"/>
          <w:szCs w:val="22"/>
        </w:rPr>
        <w:t>其餘論釋，不知是誰造的。此論在西藏，說是龍樹造的。</w:t>
      </w:r>
    </w:p>
    <w:p w:rsidR="00157EF6" w:rsidRPr="00212D57" w:rsidRDefault="00157EF6" w:rsidP="00D07458">
      <w:pPr>
        <w:pStyle w:val="a5"/>
        <w:ind w:leftChars="105" w:left="252"/>
        <w:jc w:val="both"/>
        <w:rPr>
          <w:szCs w:val="22"/>
        </w:rPr>
      </w:pPr>
      <w:r w:rsidRPr="00D57C93">
        <w:rPr>
          <w:rFonts w:eastAsia="標楷體"/>
          <w:szCs w:val="22"/>
          <w:highlight w:val="yellow"/>
        </w:rPr>
        <w:t>提</w:t>
      </w:r>
      <w:r w:rsidRPr="00212D57">
        <w:rPr>
          <w:rFonts w:eastAsia="標楷體"/>
          <w:szCs w:val="22"/>
        </w:rPr>
        <w:t>婆所造的論，都以「百」為名。這固然由於百字、百偈、四百偈的論偈數目，然在梵文中，百是</w:t>
      </w:r>
      <w:r w:rsidRPr="00761EF3">
        <w:rPr>
          <w:rFonts w:eastAsia="MS Mincho"/>
          <w:szCs w:val="22"/>
        </w:rPr>
        <w:t>ś</w:t>
      </w:r>
      <w:r w:rsidRPr="00761EF3">
        <w:rPr>
          <w:rFonts w:eastAsia="標楷體"/>
          <w:szCs w:val="22"/>
        </w:rPr>
        <w:t>ataka</w:t>
      </w:r>
      <w:r w:rsidRPr="00212D57">
        <w:rPr>
          <w:rFonts w:eastAsia="標楷體"/>
          <w:szCs w:val="22"/>
        </w:rPr>
        <w:t>，字根</w:t>
      </w:r>
      <w:r w:rsidRPr="00761EF3">
        <w:rPr>
          <w:rFonts w:eastAsia="MS Mincho"/>
          <w:szCs w:val="22"/>
        </w:rPr>
        <w:t>ś</w:t>
      </w:r>
      <w:r w:rsidRPr="00761EF3">
        <w:rPr>
          <w:rFonts w:eastAsia="標楷體"/>
          <w:szCs w:val="22"/>
        </w:rPr>
        <w:t>at</w:t>
      </w:r>
      <w:r w:rsidRPr="00212D57">
        <w:rPr>
          <w:rFonts w:eastAsia="標楷體"/>
          <w:szCs w:val="22"/>
        </w:rPr>
        <w:t>有破壞的意義，實表示了破斥摧壞一切異說的宗趣。</w:t>
      </w:r>
    </w:p>
    <w:p w:rsidR="00157EF6" w:rsidRPr="00212D57" w:rsidRDefault="00157EF6" w:rsidP="00D07458">
      <w:pPr>
        <w:pStyle w:val="a5"/>
        <w:ind w:leftChars="105" w:left="252"/>
        <w:jc w:val="both"/>
        <w:rPr>
          <w:szCs w:val="22"/>
        </w:rPr>
      </w:pPr>
      <w:r w:rsidRPr="00E87C66">
        <w:rPr>
          <w:rFonts w:hint="eastAsia"/>
          <w:szCs w:val="22"/>
          <w:shd w:val="pct15" w:color="auto" w:fill="FFFFFF"/>
        </w:rPr>
        <w:t>※</w:t>
      </w:r>
      <w:r w:rsidRPr="007E07CE">
        <w:rPr>
          <w:rFonts w:ascii="新細明體" w:hAnsi="新細明體" w:hint="eastAsia"/>
          <w:szCs w:val="22"/>
        </w:rPr>
        <w:t>「</w:t>
      </w:r>
      <w:r w:rsidRPr="00E87C66">
        <w:rPr>
          <w:rFonts w:ascii="標楷體" w:eastAsia="標楷體" w:hAnsi="標楷體"/>
          <w:b/>
          <w:szCs w:val="22"/>
        </w:rPr>
        <w:t>一切法是一</w:t>
      </w:r>
      <w:r w:rsidRPr="007E07CE">
        <w:rPr>
          <w:rFonts w:ascii="新細明體" w:hAnsi="新細明體" w:hint="eastAsia"/>
          <w:szCs w:val="22"/>
        </w:rPr>
        <w:t>」，《大正藏》作「</w:t>
      </w:r>
      <w:r w:rsidRPr="00E87C66">
        <w:rPr>
          <w:rFonts w:ascii="標楷體" w:eastAsia="標楷體" w:hAnsi="標楷體" w:hint="eastAsia"/>
          <w:szCs w:val="22"/>
        </w:rPr>
        <w:t>一切法</w:t>
      </w:r>
      <w:r w:rsidRPr="00E87C66">
        <w:rPr>
          <w:rFonts w:ascii="標楷體" w:eastAsia="標楷體" w:hAnsi="標楷體" w:hint="eastAsia"/>
          <w:b/>
          <w:szCs w:val="22"/>
        </w:rPr>
        <w:t>無</w:t>
      </w:r>
      <w:r w:rsidRPr="00E87C66">
        <w:rPr>
          <w:rFonts w:ascii="標楷體" w:eastAsia="標楷體" w:hAnsi="標楷體" w:hint="eastAsia"/>
          <w:szCs w:val="22"/>
        </w:rPr>
        <w:t>一</w:t>
      </w:r>
      <w:r w:rsidRPr="007E07CE">
        <w:rPr>
          <w:rFonts w:ascii="新細明體" w:hAnsi="新細明體" w:hint="eastAsia"/>
          <w:szCs w:val="22"/>
        </w:rPr>
        <w:t>」</w:t>
      </w:r>
      <w:r w:rsidRPr="00212D57">
        <w:rPr>
          <w:rFonts w:hint="eastAsia"/>
          <w:szCs w:val="22"/>
        </w:rPr>
        <w:t>（大正</w:t>
      </w:r>
      <w:r w:rsidRPr="00761EF3">
        <w:rPr>
          <w:rFonts w:hint="eastAsia"/>
          <w:szCs w:val="22"/>
        </w:rPr>
        <w:t>30</w:t>
      </w:r>
      <w:r w:rsidRPr="00212D57">
        <w:rPr>
          <w:rFonts w:hint="eastAsia"/>
          <w:szCs w:val="22"/>
        </w:rPr>
        <w:t>，</w:t>
      </w:r>
      <w:r w:rsidRPr="00761EF3">
        <w:rPr>
          <w:rFonts w:hint="eastAsia"/>
          <w:szCs w:val="22"/>
        </w:rPr>
        <w:t>252c14</w:t>
      </w:r>
      <w:r w:rsidRPr="00212D57">
        <w:rPr>
          <w:rFonts w:hint="eastAsia"/>
          <w:szCs w:val="22"/>
        </w:rPr>
        <w:t>）</w:t>
      </w:r>
      <w:r>
        <w:rPr>
          <w:rFonts w:hint="eastAsia"/>
          <w:szCs w:val="22"/>
        </w:rPr>
        <w:t>。</w:t>
      </w:r>
    </w:p>
    <w:p w:rsidR="00157EF6" w:rsidRPr="00212D57" w:rsidRDefault="00157EF6" w:rsidP="00283CA8">
      <w:pPr>
        <w:pStyle w:val="a5"/>
        <w:ind w:leftChars="105" w:left="472" w:hangingChars="100" w:hanging="220"/>
        <w:jc w:val="both"/>
        <w:rPr>
          <w:rFonts w:eastAsia="標楷體"/>
          <w:szCs w:val="22"/>
        </w:rPr>
      </w:pPr>
      <w:r w:rsidRPr="00E87C66">
        <w:rPr>
          <w:rFonts w:hint="eastAsia"/>
          <w:szCs w:val="22"/>
          <w:shd w:val="pct15" w:color="auto" w:fill="FFFFFF"/>
        </w:rPr>
        <w:t>※</w:t>
      </w:r>
      <w:r w:rsidRPr="007E07CE">
        <w:rPr>
          <w:rFonts w:ascii="新細明體" w:hAnsi="新細明體" w:hint="eastAsia"/>
          <w:szCs w:val="22"/>
        </w:rPr>
        <w:t>「</w:t>
      </w:r>
      <w:r w:rsidRPr="00E87C66">
        <w:rPr>
          <w:rFonts w:ascii="標楷體" w:eastAsia="標楷體" w:hAnsi="標楷體"/>
          <w:b/>
          <w:szCs w:val="22"/>
        </w:rPr>
        <w:t>相亦無有體</w:t>
      </w:r>
      <w:r w:rsidRPr="007E07CE">
        <w:rPr>
          <w:rFonts w:ascii="新細明體" w:hAnsi="新細明體" w:hint="eastAsia"/>
          <w:szCs w:val="22"/>
        </w:rPr>
        <w:t>」，《大正藏》作「</w:t>
      </w:r>
      <w:r w:rsidRPr="00E87C66">
        <w:rPr>
          <w:rFonts w:ascii="標楷體" w:eastAsia="標楷體" w:hAnsi="標楷體" w:hint="eastAsia"/>
          <w:szCs w:val="22"/>
        </w:rPr>
        <w:t>相亦無有</w:t>
      </w:r>
      <w:r w:rsidRPr="00E87C66">
        <w:rPr>
          <w:rFonts w:ascii="標楷體" w:eastAsia="標楷體" w:hAnsi="標楷體" w:hint="eastAsia"/>
          <w:b/>
          <w:szCs w:val="22"/>
        </w:rPr>
        <w:t>異</w:t>
      </w:r>
      <w:r w:rsidRPr="007E07CE">
        <w:rPr>
          <w:rFonts w:ascii="新細明體" w:hAnsi="新細明體" w:hint="eastAsia"/>
          <w:szCs w:val="22"/>
        </w:rPr>
        <w:t>」</w:t>
      </w:r>
      <w:r w:rsidRPr="00212D57">
        <w:rPr>
          <w:rFonts w:hint="eastAsia"/>
          <w:szCs w:val="22"/>
        </w:rPr>
        <w:t>（大正</w:t>
      </w:r>
      <w:r w:rsidRPr="00761EF3">
        <w:rPr>
          <w:rFonts w:hint="eastAsia"/>
          <w:szCs w:val="22"/>
        </w:rPr>
        <w:t>30</w:t>
      </w:r>
      <w:r w:rsidRPr="00212D57">
        <w:rPr>
          <w:rFonts w:hint="eastAsia"/>
          <w:szCs w:val="22"/>
        </w:rPr>
        <w:t>，</w:t>
      </w:r>
      <w:r w:rsidRPr="00761EF3">
        <w:rPr>
          <w:rFonts w:hint="eastAsia"/>
          <w:szCs w:val="22"/>
        </w:rPr>
        <w:t>252c23</w:t>
      </w:r>
      <w:r w:rsidRPr="00212D57">
        <w:rPr>
          <w:rFonts w:hint="eastAsia"/>
          <w:szCs w:val="22"/>
        </w:rPr>
        <w:t>）</w:t>
      </w:r>
      <w:r>
        <w:rPr>
          <w:rFonts w:hint="eastAsia"/>
          <w:szCs w:val="22"/>
        </w:rPr>
        <w:t>；</w:t>
      </w:r>
      <w:r w:rsidRPr="00212D57">
        <w:rPr>
          <w:szCs w:val="22"/>
        </w:rPr>
        <w:t>【宋】【元】【明】【宮】</w:t>
      </w:r>
      <w:r w:rsidRPr="00212D57">
        <w:rPr>
          <w:rFonts w:hint="eastAsia"/>
          <w:szCs w:val="22"/>
        </w:rPr>
        <w:t>本皆作「</w:t>
      </w:r>
      <w:r w:rsidRPr="007E07CE">
        <w:rPr>
          <w:rFonts w:ascii="新細明體" w:hAnsi="新細明體" w:hint="eastAsia"/>
          <w:szCs w:val="22"/>
        </w:rPr>
        <w:t>體</w:t>
      </w:r>
      <w:r w:rsidRPr="00212D57">
        <w:rPr>
          <w:rFonts w:hint="eastAsia"/>
          <w:szCs w:val="22"/>
        </w:rPr>
        <w:t>」。（大正</w:t>
      </w:r>
      <w:r w:rsidRPr="00761EF3">
        <w:rPr>
          <w:rFonts w:hint="eastAsia"/>
          <w:szCs w:val="22"/>
        </w:rPr>
        <w:t>30</w:t>
      </w:r>
      <w:r w:rsidRPr="00212D57">
        <w:rPr>
          <w:rFonts w:hint="eastAsia"/>
          <w:szCs w:val="22"/>
        </w:rPr>
        <w:t>，</w:t>
      </w:r>
      <w:r w:rsidRPr="00761EF3">
        <w:rPr>
          <w:rFonts w:hint="eastAsia"/>
          <w:szCs w:val="22"/>
        </w:rPr>
        <w:t>252d</w:t>
      </w:r>
      <w:r w:rsidRPr="00212D57">
        <w:rPr>
          <w:rFonts w:hint="eastAsia"/>
          <w:szCs w:val="22"/>
        </w:rPr>
        <w:t>，</w:t>
      </w:r>
      <w:r w:rsidRPr="00761EF3">
        <w:rPr>
          <w:rFonts w:hint="eastAsia"/>
          <w:szCs w:val="22"/>
        </w:rPr>
        <w:t>n</w:t>
      </w:r>
      <w:r w:rsidRPr="00212D57">
        <w:rPr>
          <w:rFonts w:hint="eastAsia"/>
          <w:szCs w:val="22"/>
        </w:rPr>
        <w:t>.</w:t>
      </w:r>
      <w:r w:rsidRPr="00761EF3">
        <w:rPr>
          <w:rFonts w:hint="eastAsia"/>
          <w:szCs w:val="22"/>
        </w:rPr>
        <w:t>7</w:t>
      </w:r>
      <w:r w:rsidRPr="00212D57">
        <w:rPr>
          <w:rFonts w:hint="eastAsia"/>
          <w:szCs w:val="22"/>
        </w:rPr>
        <w:t>）</w:t>
      </w:r>
    </w:p>
  </w:footnote>
  <w:footnote w:id="130">
    <w:p w:rsidR="00157EF6" w:rsidRPr="00212D57" w:rsidRDefault="00157EF6" w:rsidP="00283CA8">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《中論》卷</w:t>
      </w:r>
      <w:r w:rsidRPr="00761EF3">
        <w:rPr>
          <w:szCs w:val="22"/>
        </w:rPr>
        <w:t>1</w:t>
      </w:r>
      <w:r w:rsidRPr="00212D57">
        <w:rPr>
          <w:szCs w:val="22"/>
        </w:rPr>
        <w:t>〈</w:t>
      </w:r>
      <w:r w:rsidRPr="00761EF3">
        <w:rPr>
          <w:szCs w:val="22"/>
        </w:rPr>
        <w:t>1</w:t>
      </w:r>
      <w:r w:rsidRPr="00212D57">
        <w:rPr>
          <w:szCs w:val="22"/>
        </w:rPr>
        <w:t xml:space="preserve"> </w:t>
      </w:r>
      <w:r w:rsidRPr="00212D57">
        <w:rPr>
          <w:szCs w:val="22"/>
        </w:rPr>
        <w:t>觀因緣品〉（青目釋）（大正</w:t>
      </w:r>
      <w:r w:rsidRPr="00761EF3">
        <w:rPr>
          <w:szCs w:val="22"/>
        </w:rPr>
        <w:t>30</w:t>
      </w:r>
      <w:r w:rsidRPr="00212D57">
        <w:rPr>
          <w:szCs w:val="22"/>
        </w:rPr>
        <w:t>，</w:t>
      </w:r>
      <w:r w:rsidRPr="00761EF3">
        <w:rPr>
          <w:szCs w:val="22"/>
        </w:rPr>
        <w:t>1c8</w:t>
      </w:r>
      <w:r w:rsidRPr="00212D57">
        <w:rPr>
          <w:szCs w:val="22"/>
        </w:rPr>
        <w:t>-</w:t>
      </w:r>
      <w:r w:rsidRPr="00761EF3">
        <w:rPr>
          <w:szCs w:val="22"/>
        </w:rPr>
        <w:t>14</w:t>
      </w:r>
      <w:r w:rsidRPr="00212D57">
        <w:rPr>
          <w:szCs w:val="22"/>
        </w:rPr>
        <w:t>）：</w:t>
      </w:r>
    </w:p>
    <w:p w:rsidR="00157EF6" w:rsidRPr="00212D57" w:rsidRDefault="00157EF6" w:rsidP="00283CA8">
      <w:pPr>
        <w:pStyle w:val="a5"/>
        <w:ind w:leftChars="105" w:left="252"/>
        <w:jc w:val="both"/>
        <w:rPr>
          <w:rFonts w:eastAsia="標楷體"/>
          <w:b/>
          <w:szCs w:val="22"/>
        </w:rPr>
      </w:pPr>
      <w:r w:rsidRPr="00212D57">
        <w:rPr>
          <w:rFonts w:eastAsia="標楷體"/>
          <w:b/>
          <w:szCs w:val="22"/>
        </w:rPr>
        <w:t>不生亦不滅，不常亦不斷，不一亦不異，不來亦不出，</w:t>
      </w:r>
    </w:p>
    <w:p w:rsidR="00157EF6" w:rsidRPr="00212D57" w:rsidRDefault="00157EF6" w:rsidP="00283CA8">
      <w:pPr>
        <w:pStyle w:val="a5"/>
        <w:ind w:leftChars="105" w:left="252"/>
        <w:jc w:val="both"/>
        <w:rPr>
          <w:rFonts w:eastAsia="標楷體"/>
          <w:b/>
          <w:szCs w:val="22"/>
        </w:rPr>
      </w:pPr>
      <w:r w:rsidRPr="00212D57">
        <w:rPr>
          <w:rFonts w:eastAsia="標楷體"/>
          <w:b/>
          <w:szCs w:val="22"/>
        </w:rPr>
        <w:t>能說是因緣，善滅諸戲論，我稽首禮佛，諸說中第一。</w:t>
      </w:r>
    </w:p>
    <w:p w:rsidR="00157EF6" w:rsidRPr="00212D57" w:rsidRDefault="00157EF6" w:rsidP="00283CA8">
      <w:pPr>
        <w:pStyle w:val="a5"/>
        <w:ind w:leftChars="105" w:left="252"/>
        <w:jc w:val="both"/>
        <w:rPr>
          <w:rFonts w:eastAsia="標楷體"/>
          <w:szCs w:val="22"/>
        </w:rPr>
      </w:pPr>
      <w:r w:rsidRPr="00212D57">
        <w:rPr>
          <w:rFonts w:eastAsia="標楷體"/>
          <w:szCs w:val="22"/>
        </w:rPr>
        <w:t>以此二偈讚佛，則已略說</w:t>
      </w:r>
      <w:r w:rsidR="00DC7803" w:rsidRPr="00DC7803">
        <w:rPr>
          <w:rFonts w:eastAsia="標楷體" w:hint="eastAsia"/>
          <w:color w:val="FF0000"/>
          <w:szCs w:val="22"/>
          <w:highlight w:val="yellow"/>
        </w:rPr>
        <w:t>「</w:t>
      </w:r>
      <w:r w:rsidRPr="00212D57">
        <w:rPr>
          <w:rFonts w:eastAsia="標楷體"/>
          <w:szCs w:val="22"/>
        </w:rPr>
        <w:t>第一義</w:t>
      </w:r>
      <w:r w:rsidR="00DC7803" w:rsidRPr="00DC7803">
        <w:rPr>
          <w:rFonts w:eastAsia="標楷體" w:hint="eastAsia"/>
          <w:color w:val="FF0000"/>
          <w:szCs w:val="22"/>
          <w:highlight w:val="yellow"/>
        </w:rPr>
        <w:t>」</w:t>
      </w:r>
      <w:r w:rsidRPr="00212D57">
        <w:rPr>
          <w:rFonts w:eastAsia="標楷體"/>
          <w:szCs w:val="22"/>
        </w:rPr>
        <w:t>。</w:t>
      </w:r>
    </w:p>
    <w:p w:rsidR="00157EF6" w:rsidRPr="00212D57" w:rsidRDefault="00157EF6" w:rsidP="00E03184">
      <w:pPr>
        <w:pStyle w:val="a5"/>
        <w:ind w:leftChars="105" w:left="912" w:hangingChars="300" w:hanging="660"/>
        <w:jc w:val="both"/>
        <w:rPr>
          <w:rFonts w:eastAsia="標楷體"/>
          <w:szCs w:val="22"/>
        </w:rPr>
      </w:pPr>
      <w:r w:rsidRPr="00212D57">
        <w:rPr>
          <w:rFonts w:eastAsia="標楷體"/>
          <w:szCs w:val="22"/>
        </w:rPr>
        <w:t>問曰：諸法無量，何故但以此八事破？</w:t>
      </w:r>
    </w:p>
    <w:p w:rsidR="00157EF6" w:rsidRPr="00212D57" w:rsidRDefault="00157EF6" w:rsidP="00E03184">
      <w:pPr>
        <w:pStyle w:val="a5"/>
        <w:ind w:leftChars="105" w:left="912" w:hangingChars="300" w:hanging="660"/>
        <w:jc w:val="both"/>
        <w:rPr>
          <w:rFonts w:eastAsia="標楷體"/>
          <w:szCs w:val="22"/>
        </w:rPr>
      </w:pPr>
      <w:r w:rsidRPr="00212D57">
        <w:rPr>
          <w:rFonts w:eastAsia="標楷體"/>
          <w:szCs w:val="22"/>
        </w:rPr>
        <w:t>答曰：法雖無量，</w:t>
      </w:r>
      <w:r w:rsidRPr="00212D57">
        <w:rPr>
          <w:rFonts w:eastAsia="標楷體"/>
          <w:b/>
          <w:szCs w:val="22"/>
        </w:rPr>
        <w:t>略說八事</w:t>
      </w:r>
      <w:r w:rsidR="00DC058D">
        <w:rPr>
          <w:rFonts w:ascii="標楷體" w:eastAsia="標楷體" w:hAnsi="標楷體" w:hint="eastAsia"/>
          <w:color w:val="FF0000"/>
          <w:kern w:val="0"/>
          <w:highlight w:val="yellow"/>
        </w:rPr>
        <w:t>，</w:t>
      </w:r>
      <w:r w:rsidRPr="00212D57">
        <w:rPr>
          <w:rFonts w:eastAsia="標楷體"/>
          <w:b/>
          <w:szCs w:val="22"/>
        </w:rPr>
        <w:t>則為總破一切法</w:t>
      </w:r>
      <w:r w:rsidRPr="00212D57">
        <w:rPr>
          <w:rFonts w:eastAsia="標楷體"/>
          <w:szCs w:val="22"/>
        </w:rPr>
        <w:t>。</w:t>
      </w:r>
    </w:p>
  </w:footnote>
  <w:footnote w:id="131">
    <w:p w:rsidR="00157EF6" w:rsidRPr="00212D57" w:rsidRDefault="00157EF6" w:rsidP="009E0A5A">
      <w:pPr>
        <w:pStyle w:val="a5"/>
        <w:ind w:left="187" w:hangingChars="85" w:hanging="187"/>
        <w:jc w:val="both"/>
        <w:rPr>
          <w:szCs w:val="22"/>
        </w:rPr>
      </w:pPr>
      <w:r w:rsidRPr="00212D57">
        <w:rPr>
          <w:rStyle w:val="a6"/>
          <w:szCs w:val="22"/>
        </w:rPr>
        <w:footnoteRef/>
      </w:r>
      <w:r w:rsidRPr="00212D57">
        <w:rPr>
          <w:szCs w:val="22"/>
        </w:rPr>
        <w:t xml:space="preserve"> </w:t>
      </w:r>
      <w:r w:rsidRPr="00212D57">
        <w:rPr>
          <w:szCs w:val="22"/>
        </w:rPr>
        <w:t>深邃：精深，深奧。（《漢語大詞典》（五），</w:t>
      </w:r>
      <w:r w:rsidRPr="00761EF3">
        <w:rPr>
          <w:szCs w:val="22"/>
        </w:rPr>
        <w:t>p</w:t>
      </w:r>
      <w:r w:rsidRPr="00212D57">
        <w:rPr>
          <w:szCs w:val="22"/>
        </w:rPr>
        <w:t>.</w:t>
      </w:r>
      <w:r w:rsidRPr="00761EF3">
        <w:rPr>
          <w:szCs w:val="22"/>
        </w:rPr>
        <w:t>1433</w:t>
      </w:r>
      <w:r w:rsidRPr="00212D57">
        <w:rPr>
          <w:szCs w:val="22"/>
        </w:rPr>
        <w:t>）</w:t>
      </w:r>
    </w:p>
  </w:footnote>
  <w:footnote w:id="132">
    <w:p w:rsidR="00157EF6" w:rsidRPr="00212D57" w:rsidRDefault="00157EF6" w:rsidP="005F2F48">
      <w:pPr>
        <w:pStyle w:val="a5"/>
        <w:ind w:left="187" w:hangingChars="85" w:hanging="187"/>
        <w:jc w:val="both"/>
        <w:rPr>
          <w:szCs w:val="22"/>
        </w:rPr>
      </w:pPr>
      <w:r w:rsidRPr="00212D57">
        <w:rPr>
          <w:rStyle w:val="a6"/>
          <w:szCs w:val="22"/>
        </w:rPr>
        <w:footnoteRef/>
      </w:r>
      <w:r w:rsidRPr="00212D57">
        <w:rPr>
          <w:szCs w:val="22"/>
        </w:rPr>
        <w:t xml:space="preserve"> </w:t>
      </w:r>
      <w:r w:rsidR="009160B5">
        <w:rPr>
          <w:szCs w:val="22"/>
        </w:rPr>
        <w:t>參見：印</w:t>
      </w:r>
      <w:r w:rsidRPr="00212D57">
        <w:rPr>
          <w:szCs w:val="22"/>
        </w:rPr>
        <w:t>順法師，《空之探究》，</w:t>
      </w:r>
      <w:r w:rsidRPr="00761EF3">
        <w:rPr>
          <w:szCs w:val="22"/>
        </w:rPr>
        <w:t>pp</w:t>
      </w:r>
      <w:r w:rsidRPr="00212D57">
        <w:rPr>
          <w:szCs w:val="22"/>
        </w:rPr>
        <w:t>.</w:t>
      </w:r>
      <w:r w:rsidRPr="00761EF3">
        <w:rPr>
          <w:szCs w:val="22"/>
        </w:rPr>
        <w:t>211</w:t>
      </w:r>
      <w:r w:rsidRPr="00212D57">
        <w:rPr>
          <w:szCs w:val="22"/>
        </w:rPr>
        <w:t>-</w:t>
      </w:r>
      <w:r w:rsidRPr="00761EF3">
        <w:rPr>
          <w:szCs w:val="22"/>
        </w:rPr>
        <w:t>212</w:t>
      </w:r>
      <w:r w:rsidRPr="00212D57">
        <w:rPr>
          <w:szCs w:val="22"/>
        </w:rPr>
        <w:t>。</w:t>
      </w:r>
    </w:p>
  </w:footnote>
  <w:footnote w:id="133">
    <w:p w:rsidR="00157EF6" w:rsidRPr="00212D57" w:rsidRDefault="00157EF6" w:rsidP="008E68AA">
      <w:pPr>
        <w:pStyle w:val="a5"/>
        <w:spacing w:line="0" w:lineRule="atLeast"/>
        <w:ind w:left="704" w:hangingChars="320" w:hanging="704"/>
        <w:jc w:val="both"/>
        <w:rPr>
          <w:rFonts w:eastAsia="標楷體"/>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）《中論》卷</w:t>
      </w:r>
      <w:r w:rsidRPr="00761EF3">
        <w:rPr>
          <w:szCs w:val="22"/>
        </w:rPr>
        <w:t>2</w:t>
      </w:r>
      <w:r w:rsidRPr="00212D57">
        <w:rPr>
          <w:szCs w:val="22"/>
        </w:rPr>
        <w:t>〈</w:t>
      </w:r>
      <w:r w:rsidRPr="00761EF3">
        <w:rPr>
          <w:szCs w:val="22"/>
        </w:rPr>
        <w:t>11</w:t>
      </w:r>
      <w:r w:rsidRPr="00212D57">
        <w:rPr>
          <w:szCs w:val="22"/>
        </w:rPr>
        <w:t xml:space="preserve"> </w:t>
      </w:r>
      <w:r w:rsidRPr="00212D57">
        <w:rPr>
          <w:szCs w:val="22"/>
        </w:rPr>
        <w:t>觀本際品〉</w:t>
      </w:r>
      <w:r w:rsidR="00434424" w:rsidRPr="00212D57">
        <w:rPr>
          <w:szCs w:val="22"/>
        </w:rPr>
        <w:t>（大正</w:t>
      </w:r>
      <w:r w:rsidR="00434424" w:rsidRPr="00761EF3">
        <w:rPr>
          <w:szCs w:val="22"/>
        </w:rPr>
        <w:t>30</w:t>
      </w:r>
      <w:r w:rsidR="00434424" w:rsidRPr="00212D57">
        <w:rPr>
          <w:szCs w:val="22"/>
        </w:rPr>
        <w:t>，</w:t>
      </w:r>
      <w:r w:rsidR="00434424" w:rsidRPr="00761EF3">
        <w:rPr>
          <w:szCs w:val="22"/>
        </w:rPr>
        <w:t>16a8</w:t>
      </w:r>
      <w:r w:rsidR="00434424" w:rsidRPr="00212D57">
        <w:rPr>
          <w:szCs w:val="22"/>
        </w:rPr>
        <w:t>-</w:t>
      </w:r>
      <w:r w:rsidR="00434424" w:rsidRPr="00761EF3">
        <w:rPr>
          <w:szCs w:val="22"/>
        </w:rPr>
        <w:t>9</w:t>
      </w:r>
      <w:r w:rsidR="00434424" w:rsidRPr="00212D57">
        <w:rPr>
          <w:szCs w:val="22"/>
        </w:rPr>
        <w:t>）</w:t>
      </w:r>
      <w:r w:rsidRPr="00212D57">
        <w:rPr>
          <w:szCs w:val="22"/>
        </w:rPr>
        <w:t>：「</w:t>
      </w:r>
      <w:r w:rsidRPr="00212D57">
        <w:rPr>
          <w:rFonts w:eastAsia="標楷體"/>
          <w:szCs w:val="22"/>
        </w:rPr>
        <w:t>大聖之所說，本際不可得，生死無有始，亦復無有終。</w:t>
      </w:r>
      <w:r w:rsidRPr="00212D57">
        <w:rPr>
          <w:szCs w:val="22"/>
        </w:rPr>
        <w:t>」</w:t>
      </w:r>
    </w:p>
    <w:p w:rsidR="00157EF6" w:rsidRPr="00212D57" w:rsidRDefault="00157EF6" w:rsidP="008E68AA">
      <w:pPr>
        <w:pStyle w:val="a5"/>
        <w:ind w:leftChars="80" w:left="731" w:hangingChars="245" w:hanging="539"/>
        <w:jc w:val="both"/>
        <w:rPr>
          <w:rFonts w:eastAsia="標楷體"/>
          <w:szCs w:val="22"/>
        </w:rPr>
      </w:pPr>
      <w:r w:rsidRPr="00212D57">
        <w:rPr>
          <w:szCs w:val="22"/>
        </w:rPr>
        <w:t>（</w:t>
      </w:r>
      <w:r w:rsidRPr="00761EF3">
        <w:rPr>
          <w:szCs w:val="22"/>
        </w:rPr>
        <w:t>2</w:t>
      </w:r>
      <w:r w:rsidRPr="00212D57">
        <w:rPr>
          <w:szCs w:val="22"/>
        </w:rPr>
        <w:t>）</w:t>
      </w:r>
      <w:r w:rsidR="009160B5">
        <w:rPr>
          <w:szCs w:val="22"/>
        </w:rPr>
        <w:t>參見：印</w:t>
      </w:r>
      <w:r w:rsidRPr="00212D57">
        <w:rPr>
          <w:szCs w:val="22"/>
        </w:rPr>
        <w:t>順法師</w:t>
      </w:r>
      <w:r w:rsidRPr="00212D57">
        <w:rPr>
          <w:rFonts w:hint="eastAsia"/>
          <w:szCs w:val="22"/>
        </w:rPr>
        <w:t>，</w:t>
      </w:r>
      <w:r w:rsidRPr="00212D57">
        <w:rPr>
          <w:szCs w:val="22"/>
        </w:rPr>
        <w:t>《中觀論頌講記》</w:t>
      </w:r>
      <w:r w:rsidRPr="00212D57">
        <w:rPr>
          <w:rFonts w:hint="eastAsia"/>
          <w:szCs w:val="22"/>
        </w:rPr>
        <w:t>，</w:t>
      </w:r>
      <w:r w:rsidRPr="00761EF3">
        <w:rPr>
          <w:szCs w:val="22"/>
        </w:rPr>
        <w:t>p</w:t>
      </w:r>
      <w:r w:rsidRPr="00212D57">
        <w:rPr>
          <w:szCs w:val="22"/>
        </w:rPr>
        <w:t>.</w:t>
      </w:r>
      <w:r w:rsidRPr="00761EF3">
        <w:rPr>
          <w:szCs w:val="22"/>
        </w:rPr>
        <w:t>209</w:t>
      </w:r>
      <w:r w:rsidRPr="00212D57">
        <w:rPr>
          <w:szCs w:val="22"/>
        </w:rPr>
        <w:t>：</w:t>
      </w:r>
    </w:p>
    <w:p w:rsidR="00157EF6" w:rsidRPr="00212D57" w:rsidRDefault="00157EF6" w:rsidP="008E68AA">
      <w:pPr>
        <w:pStyle w:val="a5"/>
        <w:ind w:leftChars="305" w:left="732"/>
        <w:jc w:val="both"/>
        <w:rPr>
          <w:rFonts w:eastAsia="標楷體"/>
          <w:szCs w:val="22"/>
        </w:rPr>
      </w:pPr>
      <w:r w:rsidRPr="00212D57">
        <w:rPr>
          <w:rFonts w:eastAsia="標楷體"/>
          <w:szCs w:val="22"/>
        </w:rPr>
        <w:t>釋尊在經上說：</w:t>
      </w:r>
      <w:r w:rsidRPr="00212D57">
        <w:rPr>
          <w:rFonts w:eastAsia="標楷體" w:hint="eastAsia"/>
          <w:szCs w:val="22"/>
        </w:rPr>
        <w:t>「</w:t>
      </w:r>
      <w:r w:rsidRPr="00212D57">
        <w:rPr>
          <w:rFonts w:eastAsia="標楷體"/>
          <w:szCs w:val="22"/>
        </w:rPr>
        <w:t>眾生無始以來，生死本際不可得。</w:t>
      </w:r>
      <w:r w:rsidRPr="00212D57">
        <w:rPr>
          <w:rFonts w:eastAsia="標楷體" w:hint="eastAsia"/>
          <w:szCs w:val="22"/>
        </w:rPr>
        <w:t>」</w:t>
      </w:r>
    </w:p>
    <w:p w:rsidR="00157EF6" w:rsidRPr="00212D57" w:rsidRDefault="00157EF6" w:rsidP="008E68AA">
      <w:pPr>
        <w:pStyle w:val="a5"/>
        <w:ind w:leftChars="305" w:left="732"/>
        <w:jc w:val="both"/>
        <w:rPr>
          <w:rFonts w:eastAsia="標楷體"/>
          <w:szCs w:val="22"/>
        </w:rPr>
      </w:pPr>
      <w:r w:rsidRPr="00212D57">
        <w:rPr>
          <w:rFonts w:eastAsia="標楷體"/>
          <w:szCs w:val="22"/>
        </w:rPr>
        <w:t>什麼叫本際？為什麼不可得？</w:t>
      </w:r>
      <w:r w:rsidRPr="00212D57">
        <w:rPr>
          <w:rFonts w:eastAsia="標楷體"/>
          <w:b/>
          <w:szCs w:val="22"/>
        </w:rPr>
        <w:t>本際是本元邊際的意思，是時間上的最初邊，是元始</w:t>
      </w:r>
      <w:r w:rsidRPr="00212D57">
        <w:rPr>
          <w:rFonts w:eastAsia="標楷體"/>
          <w:szCs w:val="22"/>
        </w:rPr>
        <w:t>。眾生的生死流，只見他奔放不已，求他元初是從何而來的，卻找不到。時間的元始找不到，而世人卻偏要求得他。約一人的生命說，是生命的元始邊際；約宇宙說，是世界的最初形成。在現象中，尋求這最初的</w:t>
      </w:r>
      <w:r w:rsidRPr="00212D57">
        <w:rPr>
          <w:rFonts w:eastAsia="標楷體" w:hint="eastAsia"/>
          <w:szCs w:val="22"/>
        </w:rPr>
        <w:t>、</w:t>
      </w:r>
      <w:r w:rsidRPr="00212D57">
        <w:rPr>
          <w:rFonts w:eastAsia="標楷體"/>
          <w:szCs w:val="22"/>
        </w:rPr>
        <w:t>最究竟的，或最根本的，永不可得。</w:t>
      </w:r>
    </w:p>
  </w:footnote>
  <w:footnote w:id="134">
    <w:p w:rsidR="00157EF6" w:rsidRPr="00212D57" w:rsidRDefault="00157EF6" w:rsidP="005F2F48">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《雜阿含經》卷</w:t>
      </w:r>
      <w:r w:rsidRPr="00761EF3">
        <w:rPr>
          <w:szCs w:val="22"/>
        </w:rPr>
        <w:t>10</w:t>
      </w:r>
      <w:r w:rsidRPr="00212D57">
        <w:rPr>
          <w:szCs w:val="22"/>
        </w:rPr>
        <w:t>（</w:t>
      </w:r>
      <w:r w:rsidRPr="00761EF3">
        <w:rPr>
          <w:szCs w:val="22"/>
        </w:rPr>
        <w:t>266</w:t>
      </w:r>
      <w:r w:rsidRPr="00212D57">
        <w:rPr>
          <w:szCs w:val="22"/>
        </w:rPr>
        <w:t>經）（大正</w:t>
      </w:r>
      <w:r w:rsidRPr="00761EF3">
        <w:rPr>
          <w:szCs w:val="22"/>
        </w:rPr>
        <w:t>2</w:t>
      </w:r>
      <w:r w:rsidRPr="00212D57">
        <w:rPr>
          <w:szCs w:val="22"/>
        </w:rPr>
        <w:t>，</w:t>
      </w:r>
      <w:r w:rsidRPr="00761EF3">
        <w:rPr>
          <w:szCs w:val="22"/>
        </w:rPr>
        <w:t>69b5</w:t>
      </w:r>
      <w:r w:rsidRPr="00212D57">
        <w:rPr>
          <w:szCs w:val="22"/>
        </w:rPr>
        <w:t>-</w:t>
      </w:r>
      <w:r w:rsidRPr="00761EF3">
        <w:rPr>
          <w:szCs w:val="22"/>
        </w:rPr>
        <w:t>7</w:t>
      </w:r>
      <w:r w:rsidRPr="00212D57">
        <w:rPr>
          <w:szCs w:val="22"/>
        </w:rPr>
        <w:t>）：</w:t>
      </w:r>
    </w:p>
    <w:p w:rsidR="00157EF6" w:rsidRPr="00212D57" w:rsidRDefault="00157EF6" w:rsidP="008E68AA">
      <w:pPr>
        <w:pStyle w:val="a5"/>
        <w:ind w:leftChars="75" w:left="180"/>
        <w:jc w:val="both"/>
        <w:rPr>
          <w:rFonts w:eastAsia="標楷體"/>
          <w:szCs w:val="22"/>
        </w:rPr>
      </w:pPr>
      <w:r w:rsidRPr="00212D57">
        <w:rPr>
          <w:rFonts w:eastAsia="標楷體"/>
          <w:szCs w:val="22"/>
        </w:rPr>
        <w:t>佛告諸比丘：</w:t>
      </w:r>
      <w:r w:rsidRPr="00212D57">
        <w:rPr>
          <w:rFonts w:eastAsia="標楷體" w:hint="eastAsia"/>
          <w:szCs w:val="22"/>
        </w:rPr>
        <w:t>「</w:t>
      </w:r>
      <w:r w:rsidRPr="00212D57">
        <w:rPr>
          <w:rFonts w:eastAsia="標楷體"/>
          <w:szCs w:val="22"/>
        </w:rPr>
        <w:t>於無始生死，無明所蓋</w:t>
      </w:r>
      <w:r w:rsidR="00A00626">
        <w:rPr>
          <w:rFonts w:ascii="標楷體" w:eastAsia="標楷體" w:hAnsi="標楷體" w:hint="eastAsia"/>
          <w:color w:val="FF0000"/>
          <w:spacing w:val="-4"/>
          <w:kern w:val="0"/>
          <w:highlight w:val="yellow"/>
        </w:rPr>
        <w:t>、</w:t>
      </w:r>
      <w:r w:rsidRPr="00212D57">
        <w:rPr>
          <w:rFonts w:eastAsia="標楷體"/>
          <w:szCs w:val="22"/>
        </w:rPr>
        <w:t>愛結所繫，長夜輪迴，不知苦之本際。</w:t>
      </w:r>
      <w:r w:rsidRPr="00212D57">
        <w:rPr>
          <w:szCs w:val="22"/>
        </w:rPr>
        <w:t>」</w:t>
      </w:r>
    </w:p>
  </w:footnote>
  <w:footnote w:id="135">
    <w:p w:rsidR="00157EF6" w:rsidRPr="00212D57" w:rsidRDefault="00157EF6" w:rsidP="008E68AA">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212D57">
        <w:rPr>
          <w:szCs w:val="22"/>
        </w:rPr>
        <w:t>《中論》卷</w:t>
      </w:r>
      <w:r w:rsidRPr="00761EF3">
        <w:rPr>
          <w:szCs w:val="22"/>
        </w:rPr>
        <w:t>2</w:t>
      </w:r>
      <w:r w:rsidRPr="00212D57">
        <w:rPr>
          <w:szCs w:val="22"/>
        </w:rPr>
        <w:t>〈</w:t>
      </w:r>
      <w:r w:rsidRPr="00761EF3">
        <w:rPr>
          <w:szCs w:val="22"/>
        </w:rPr>
        <w:t>11</w:t>
      </w:r>
      <w:r w:rsidRPr="00212D57">
        <w:rPr>
          <w:szCs w:val="22"/>
        </w:rPr>
        <w:t xml:space="preserve"> </w:t>
      </w:r>
      <w:r w:rsidRPr="00212D57">
        <w:rPr>
          <w:szCs w:val="22"/>
        </w:rPr>
        <w:t>觀本際品〉</w:t>
      </w:r>
      <w:r w:rsidR="00434424" w:rsidRPr="00212D57">
        <w:rPr>
          <w:szCs w:val="22"/>
        </w:rPr>
        <w:t>（大正</w:t>
      </w:r>
      <w:r w:rsidR="00434424" w:rsidRPr="00761EF3">
        <w:rPr>
          <w:szCs w:val="22"/>
        </w:rPr>
        <w:t>30</w:t>
      </w:r>
      <w:r w:rsidR="00434424" w:rsidRPr="00212D57">
        <w:rPr>
          <w:szCs w:val="22"/>
        </w:rPr>
        <w:t>，</w:t>
      </w:r>
      <w:r w:rsidR="00434424" w:rsidRPr="00761EF3">
        <w:rPr>
          <w:szCs w:val="22"/>
        </w:rPr>
        <w:t>16b8</w:t>
      </w:r>
      <w:r w:rsidR="00434424" w:rsidRPr="00212D57">
        <w:rPr>
          <w:szCs w:val="22"/>
        </w:rPr>
        <w:t>-</w:t>
      </w:r>
      <w:r w:rsidR="00434424" w:rsidRPr="00761EF3">
        <w:rPr>
          <w:szCs w:val="22"/>
        </w:rPr>
        <w:t>9</w:t>
      </w:r>
      <w:r w:rsidR="00434424" w:rsidRPr="00212D57">
        <w:rPr>
          <w:szCs w:val="22"/>
        </w:rPr>
        <w:t>）</w:t>
      </w:r>
      <w:r w:rsidRPr="00212D57">
        <w:rPr>
          <w:szCs w:val="22"/>
        </w:rPr>
        <w:t>：「</w:t>
      </w:r>
      <w:r w:rsidRPr="00212D57">
        <w:rPr>
          <w:rFonts w:eastAsia="標楷體"/>
          <w:szCs w:val="22"/>
        </w:rPr>
        <w:t>若使初後共，是皆不然者，何故而戲論，謂有生老死</w:t>
      </w:r>
      <w:r w:rsidR="0023249F">
        <w:rPr>
          <w:rFonts w:eastAsia="標楷體" w:hint="eastAsia"/>
          <w:szCs w:val="22"/>
        </w:rPr>
        <w:t>？</w:t>
      </w:r>
      <w:r w:rsidRPr="00212D57">
        <w:rPr>
          <w:szCs w:val="22"/>
        </w:rPr>
        <w:t>」</w:t>
      </w:r>
    </w:p>
    <w:p w:rsidR="00157EF6" w:rsidRPr="00212D57" w:rsidRDefault="00157EF6" w:rsidP="008E68AA">
      <w:pPr>
        <w:pStyle w:val="a5"/>
        <w:ind w:leftChars="80" w:left="73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w:t>
      </w:r>
      <w:r w:rsidRPr="00212D57">
        <w:rPr>
          <w:szCs w:val="22"/>
        </w:rPr>
        <w:t>印順法師</w:t>
      </w:r>
      <w:r w:rsidRPr="00212D57">
        <w:rPr>
          <w:rFonts w:hint="eastAsia"/>
          <w:szCs w:val="22"/>
        </w:rPr>
        <w:t>，</w:t>
      </w:r>
      <w:r w:rsidRPr="00212D57">
        <w:rPr>
          <w:szCs w:val="22"/>
        </w:rPr>
        <w:t>《中觀論頌講記》</w:t>
      </w:r>
      <w:r w:rsidRPr="00212D57">
        <w:rPr>
          <w:rFonts w:hint="eastAsia"/>
          <w:szCs w:val="22"/>
        </w:rPr>
        <w:t>，</w:t>
      </w:r>
      <w:r w:rsidRPr="00761EF3">
        <w:rPr>
          <w:szCs w:val="22"/>
        </w:rPr>
        <w:t>p</w:t>
      </w:r>
      <w:r w:rsidRPr="00212D57">
        <w:rPr>
          <w:szCs w:val="22"/>
        </w:rPr>
        <w:t>.</w:t>
      </w:r>
      <w:r w:rsidRPr="00761EF3">
        <w:rPr>
          <w:szCs w:val="22"/>
        </w:rPr>
        <w:t>2</w:t>
      </w:r>
      <w:r w:rsidRPr="00761EF3">
        <w:rPr>
          <w:rFonts w:hint="eastAsia"/>
          <w:szCs w:val="22"/>
        </w:rPr>
        <w:t>15</w:t>
      </w:r>
      <w:r w:rsidRPr="00212D57">
        <w:rPr>
          <w:rFonts w:hint="eastAsia"/>
          <w:szCs w:val="22"/>
        </w:rPr>
        <w:t>：</w:t>
      </w:r>
    </w:p>
    <w:p w:rsidR="00157EF6" w:rsidRPr="00212D57" w:rsidRDefault="00157EF6" w:rsidP="008E68AA">
      <w:pPr>
        <w:pStyle w:val="a5"/>
        <w:ind w:leftChars="305" w:left="732"/>
        <w:jc w:val="both"/>
        <w:rPr>
          <w:rFonts w:ascii="標楷體" w:eastAsia="標楷體" w:hAnsi="標楷體"/>
          <w:szCs w:val="22"/>
        </w:rPr>
      </w:pPr>
      <w:r w:rsidRPr="00212D57">
        <w:rPr>
          <w:rFonts w:ascii="標楷體" w:eastAsia="標楷體" w:hAnsi="標楷體" w:hint="eastAsia"/>
          <w:szCs w:val="22"/>
        </w:rPr>
        <w:t>先有生後有死的「初」，生了以後有死的「後」，以及生死同時的「共」，都「是」「不然」的，那就該了解生死的無自性空，生死的本來寂滅，怎麼還要作無益的「戲論」，說「有生老死」的實性？外人雖然熟讀佛說的</w:t>
      </w:r>
      <w:r w:rsidR="009F707C">
        <w:rPr>
          <w:rFonts w:ascii="標楷體" w:eastAsia="標楷體" w:hAnsi="標楷體" w:hint="eastAsia"/>
          <w:szCs w:val="22"/>
        </w:rPr>
        <w:t>「</w:t>
      </w:r>
      <w:r w:rsidRPr="00212D57">
        <w:rPr>
          <w:rFonts w:ascii="標楷體" w:eastAsia="標楷體" w:hAnsi="標楷體" w:hint="eastAsia"/>
          <w:szCs w:val="22"/>
        </w:rPr>
        <w:t>生死本際不可得</w:t>
      </w:r>
      <w:r w:rsidR="009F707C">
        <w:rPr>
          <w:rFonts w:ascii="標楷體" w:eastAsia="標楷體" w:hAnsi="標楷體" w:hint="eastAsia"/>
          <w:szCs w:val="22"/>
        </w:rPr>
        <w:t>」</w:t>
      </w:r>
      <w:r w:rsidRPr="00212D57">
        <w:rPr>
          <w:rFonts w:ascii="標楷體" w:eastAsia="標楷體" w:hAnsi="標楷體" w:hint="eastAsia"/>
          <w:szCs w:val="22"/>
        </w:rPr>
        <w:t>，其實何嘗了解了生死？生死尚且不了解，了脫生死，那更是空談了！</w:t>
      </w:r>
    </w:p>
  </w:footnote>
  <w:footnote w:id="136">
    <w:p w:rsidR="00157EF6" w:rsidRPr="00212D57" w:rsidRDefault="00157EF6" w:rsidP="00091862">
      <w:pPr>
        <w:pStyle w:val="a5"/>
        <w:ind w:left="708" w:hangingChars="322" w:hanging="708"/>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）《中論》卷</w:t>
      </w:r>
      <w:r w:rsidRPr="00761EF3">
        <w:rPr>
          <w:szCs w:val="22"/>
        </w:rPr>
        <w:t>2</w:t>
      </w:r>
      <w:r w:rsidRPr="00212D57">
        <w:rPr>
          <w:szCs w:val="22"/>
        </w:rPr>
        <w:t>〈</w:t>
      </w:r>
      <w:r w:rsidRPr="00761EF3">
        <w:rPr>
          <w:szCs w:val="22"/>
        </w:rPr>
        <w:t>13</w:t>
      </w:r>
      <w:r w:rsidRPr="00212D57">
        <w:rPr>
          <w:szCs w:val="22"/>
        </w:rPr>
        <w:t xml:space="preserve"> </w:t>
      </w:r>
      <w:r w:rsidRPr="00212D57">
        <w:rPr>
          <w:szCs w:val="22"/>
        </w:rPr>
        <w:t>觀行品〉（青目釋）（大正</w:t>
      </w:r>
      <w:r w:rsidRPr="00761EF3">
        <w:rPr>
          <w:szCs w:val="22"/>
        </w:rPr>
        <w:t>30</w:t>
      </w:r>
      <w:r w:rsidRPr="00212D57">
        <w:rPr>
          <w:szCs w:val="22"/>
        </w:rPr>
        <w:t>，</w:t>
      </w:r>
      <w:r w:rsidRPr="00761EF3">
        <w:rPr>
          <w:szCs w:val="22"/>
        </w:rPr>
        <w:t>17a27</w:t>
      </w:r>
      <w:r w:rsidRPr="00212D57">
        <w:rPr>
          <w:szCs w:val="22"/>
        </w:rPr>
        <w:t>-</w:t>
      </w:r>
      <w:r w:rsidRPr="00761EF3">
        <w:rPr>
          <w:szCs w:val="22"/>
        </w:rPr>
        <w:t>b2</w:t>
      </w:r>
      <w:r w:rsidRPr="00212D57">
        <w:rPr>
          <w:szCs w:val="22"/>
        </w:rPr>
        <w:t>）：</w:t>
      </w:r>
    </w:p>
    <w:p w:rsidR="00157EF6" w:rsidRPr="00212D57" w:rsidRDefault="00157EF6" w:rsidP="008E68AA">
      <w:pPr>
        <w:pStyle w:val="a5"/>
        <w:ind w:leftChars="305" w:left="732"/>
        <w:jc w:val="both"/>
        <w:rPr>
          <w:rFonts w:eastAsia="標楷體"/>
          <w:b/>
          <w:szCs w:val="22"/>
        </w:rPr>
      </w:pPr>
      <w:r w:rsidRPr="00212D57">
        <w:rPr>
          <w:rFonts w:eastAsia="標楷體"/>
          <w:b/>
          <w:szCs w:val="22"/>
        </w:rPr>
        <w:t>如佛經所說，虛誑妄取相，諸行妄取故，是名為虛誑。</w:t>
      </w:r>
    </w:p>
    <w:p w:rsidR="00157EF6" w:rsidRPr="00212D57" w:rsidRDefault="00E87C66" w:rsidP="008E68AA">
      <w:pPr>
        <w:pStyle w:val="a5"/>
        <w:ind w:leftChars="305" w:left="732"/>
        <w:jc w:val="both"/>
        <w:rPr>
          <w:rFonts w:eastAsia="標楷體"/>
          <w:szCs w:val="22"/>
        </w:rPr>
      </w:pPr>
      <w:r>
        <w:rPr>
          <w:rFonts w:ascii="標楷體" w:eastAsia="標楷體" w:hAnsi="標楷體" w:hint="eastAsia"/>
          <w:bCs/>
          <w:color w:val="FF0000"/>
          <w:kern w:val="0"/>
          <w:highlight w:val="yellow"/>
        </w:rPr>
        <w:t>「</w:t>
      </w:r>
      <w:r w:rsidR="00157EF6" w:rsidRPr="00212D57">
        <w:rPr>
          <w:rFonts w:eastAsia="標楷體"/>
          <w:szCs w:val="22"/>
        </w:rPr>
        <w:t>虛誑</w:t>
      </w:r>
      <w:r>
        <w:rPr>
          <w:rFonts w:ascii="標楷體" w:eastAsia="標楷體" w:hAnsi="標楷體" w:hint="eastAsia"/>
          <w:bCs/>
          <w:color w:val="FF0000"/>
          <w:kern w:val="0"/>
          <w:highlight w:val="yellow"/>
        </w:rPr>
        <w:t>」</w:t>
      </w:r>
      <w:r w:rsidR="00157EF6" w:rsidRPr="00212D57">
        <w:rPr>
          <w:rFonts w:eastAsia="標楷體"/>
          <w:szCs w:val="22"/>
        </w:rPr>
        <w:t>者，即是妄取相；第一實者，所謂</w:t>
      </w:r>
      <w:r>
        <w:rPr>
          <w:rFonts w:ascii="標楷體" w:eastAsia="標楷體" w:hAnsi="標楷體" w:hint="eastAsia"/>
          <w:bCs/>
          <w:color w:val="FF0000"/>
          <w:kern w:val="0"/>
          <w:highlight w:val="yellow"/>
        </w:rPr>
        <w:t>「</w:t>
      </w:r>
      <w:r w:rsidR="00157EF6" w:rsidRPr="00212D57">
        <w:rPr>
          <w:rFonts w:eastAsia="標楷體"/>
          <w:szCs w:val="22"/>
        </w:rPr>
        <w:t>涅槃</w:t>
      </w:r>
      <w:r>
        <w:rPr>
          <w:rFonts w:ascii="標楷體" w:eastAsia="標楷體" w:hAnsi="標楷體" w:hint="eastAsia"/>
          <w:bCs/>
          <w:color w:val="FF0000"/>
          <w:kern w:val="0"/>
          <w:highlight w:val="yellow"/>
        </w:rPr>
        <w:t>」</w:t>
      </w:r>
      <w:r w:rsidR="00157EF6" w:rsidRPr="00212D57">
        <w:rPr>
          <w:rFonts w:eastAsia="標楷體"/>
          <w:szCs w:val="22"/>
        </w:rPr>
        <w:t>，非妄取相。以是經說故，當知有諸行虛誑妄取相。</w:t>
      </w:r>
    </w:p>
    <w:p w:rsidR="00157EF6" w:rsidRPr="00212D57" w:rsidRDefault="00157EF6" w:rsidP="008E68AA">
      <w:pPr>
        <w:pStyle w:val="a5"/>
        <w:ind w:leftChars="80" w:left="731" w:hangingChars="245" w:hanging="539"/>
        <w:jc w:val="both"/>
        <w:rPr>
          <w:szCs w:val="22"/>
        </w:rPr>
      </w:pPr>
      <w:r w:rsidRPr="00212D57">
        <w:rPr>
          <w:szCs w:val="22"/>
        </w:rPr>
        <w:t>（</w:t>
      </w:r>
      <w:r w:rsidRPr="00761EF3">
        <w:rPr>
          <w:szCs w:val="22"/>
        </w:rPr>
        <w:t>2</w:t>
      </w:r>
      <w:r w:rsidRPr="00212D57">
        <w:rPr>
          <w:szCs w:val="22"/>
        </w:rPr>
        <w:t>）參見</w:t>
      </w:r>
      <w:r w:rsidRPr="00761EF3">
        <w:rPr>
          <w:szCs w:val="22"/>
        </w:rPr>
        <w:t>Suttanipāta</w:t>
      </w:r>
      <w:r w:rsidRPr="00212D57">
        <w:rPr>
          <w:szCs w:val="22"/>
        </w:rPr>
        <w:t>（《經集》），</w:t>
      </w:r>
      <w:r w:rsidRPr="00761EF3">
        <w:rPr>
          <w:szCs w:val="22"/>
        </w:rPr>
        <w:t>739</w:t>
      </w:r>
      <w:r w:rsidRPr="00212D57">
        <w:rPr>
          <w:szCs w:val="22"/>
        </w:rPr>
        <w:t>：</w:t>
      </w:r>
    </w:p>
    <w:p w:rsidR="00157EF6" w:rsidRPr="00212D57" w:rsidRDefault="00157EF6" w:rsidP="008E68AA">
      <w:pPr>
        <w:pStyle w:val="a5"/>
        <w:ind w:leftChars="305" w:left="732"/>
        <w:jc w:val="both"/>
        <w:rPr>
          <w:szCs w:val="22"/>
        </w:rPr>
      </w:pPr>
      <w:r w:rsidRPr="00212D57">
        <w:rPr>
          <w:rFonts w:eastAsia="標楷體"/>
          <w:szCs w:val="22"/>
        </w:rPr>
        <w:t>此苦須當知，虛偽破壞法，此智觸衰滅，認斯可離貪，諸受滅盡故，無愛故寂滅。</w:t>
      </w:r>
      <w:r w:rsidRPr="00212D57">
        <w:rPr>
          <w:rFonts w:hint="eastAsia"/>
          <w:szCs w:val="22"/>
        </w:rPr>
        <w:t>（</w:t>
      </w:r>
      <w:r w:rsidRPr="00212D57">
        <w:rPr>
          <w:rStyle w:val="af3"/>
          <w:rFonts w:hint="eastAsia"/>
          <w:szCs w:val="22"/>
        </w:rPr>
        <w:t>雲庵譯，</w:t>
      </w:r>
      <w:r w:rsidRPr="00212D57">
        <w:rPr>
          <w:rFonts w:hint="eastAsia"/>
          <w:szCs w:val="22"/>
        </w:rPr>
        <w:t>《小部經典》（二），《漢譯南傳大藏經》</w:t>
      </w:r>
      <w:r w:rsidRPr="00761EF3">
        <w:rPr>
          <w:rFonts w:hint="eastAsia"/>
          <w:szCs w:val="22"/>
        </w:rPr>
        <w:t>27</w:t>
      </w:r>
      <w:r w:rsidRPr="00212D57">
        <w:rPr>
          <w:rFonts w:hint="eastAsia"/>
          <w:szCs w:val="22"/>
        </w:rPr>
        <w:t>冊，元亨寺妙林出版社，民國</w:t>
      </w:r>
      <w:r w:rsidRPr="00761EF3">
        <w:rPr>
          <w:rFonts w:hint="eastAsia"/>
          <w:szCs w:val="22"/>
        </w:rPr>
        <w:t>84</w:t>
      </w:r>
      <w:r w:rsidRPr="00212D57">
        <w:rPr>
          <w:rFonts w:hint="eastAsia"/>
          <w:szCs w:val="22"/>
        </w:rPr>
        <w:t>年，</w:t>
      </w:r>
      <w:r w:rsidRPr="00761EF3">
        <w:rPr>
          <w:rFonts w:hint="eastAsia"/>
          <w:szCs w:val="22"/>
        </w:rPr>
        <w:t>p</w:t>
      </w:r>
      <w:r w:rsidRPr="00212D57">
        <w:rPr>
          <w:rFonts w:hint="eastAsia"/>
          <w:szCs w:val="22"/>
        </w:rPr>
        <w:t>.</w:t>
      </w:r>
      <w:r w:rsidRPr="00761EF3">
        <w:rPr>
          <w:rFonts w:hint="eastAsia"/>
          <w:szCs w:val="22"/>
        </w:rPr>
        <w:t>205</w:t>
      </w:r>
      <w:r w:rsidRPr="00212D57">
        <w:rPr>
          <w:rFonts w:hint="eastAsia"/>
          <w:szCs w:val="22"/>
        </w:rPr>
        <w:t>）</w:t>
      </w:r>
    </w:p>
    <w:p w:rsidR="00157EF6" w:rsidRPr="00212D57" w:rsidRDefault="00157EF6" w:rsidP="008E68AA">
      <w:pPr>
        <w:pStyle w:val="a5"/>
        <w:ind w:leftChars="305" w:left="732"/>
        <w:jc w:val="both"/>
        <w:rPr>
          <w:szCs w:val="22"/>
        </w:rPr>
      </w:pPr>
      <w:r w:rsidRPr="00212D57">
        <w:rPr>
          <w:rFonts w:ascii="標楷體" w:eastAsia="標楷體" w:hAnsi="標楷體" w:hint="eastAsia"/>
          <w:szCs w:val="22"/>
        </w:rPr>
        <w:t>知道這是痛苦，一再接觸虛妄之物和毀滅之物，目睹一切消失，便厭惡諸受。比丘滅寂諸受，毫無欲望，達到徹底平靜。</w:t>
      </w:r>
      <w:r w:rsidRPr="00212D57">
        <w:rPr>
          <w:rFonts w:ascii="新細明體" w:hAnsi="新細明體" w:hint="eastAsia"/>
          <w:szCs w:val="22"/>
        </w:rPr>
        <w:t>（</w:t>
      </w:r>
      <w:r w:rsidRPr="00212D57">
        <w:rPr>
          <w:szCs w:val="22"/>
        </w:rPr>
        <w:t>郭良鋆譯</w:t>
      </w:r>
      <w:r w:rsidRPr="00212D57">
        <w:rPr>
          <w:rFonts w:hint="eastAsia"/>
          <w:szCs w:val="22"/>
        </w:rPr>
        <w:t>，</w:t>
      </w:r>
      <w:r w:rsidRPr="00212D57">
        <w:rPr>
          <w:szCs w:val="22"/>
        </w:rPr>
        <w:t>《巴利文經典</w:t>
      </w:r>
      <w:r w:rsidRPr="00212D57">
        <w:rPr>
          <w:rFonts w:ascii="新細明體" w:hAnsi="新細明體" w:hint="eastAsia"/>
          <w:szCs w:val="22"/>
        </w:rPr>
        <w:t>──</w:t>
      </w:r>
      <w:r w:rsidRPr="00212D57">
        <w:rPr>
          <w:szCs w:val="22"/>
        </w:rPr>
        <w:t>經集》，佛陀教育中心，</w:t>
      </w:r>
      <w:r w:rsidRPr="00761EF3">
        <w:rPr>
          <w:szCs w:val="22"/>
        </w:rPr>
        <w:t>1999</w:t>
      </w:r>
      <w:r w:rsidRPr="00212D57">
        <w:rPr>
          <w:szCs w:val="22"/>
        </w:rPr>
        <w:t>年</w:t>
      </w:r>
      <w:r w:rsidRPr="00212D57">
        <w:rPr>
          <w:rFonts w:hint="eastAsia"/>
          <w:szCs w:val="22"/>
        </w:rPr>
        <w:t>，</w:t>
      </w:r>
      <w:r w:rsidRPr="00761EF3">
        <w:rPr>
          <w:rFonts w:hint="eastAsia"/>
          <w:szCs w:val="22"/>
        </w:rPr>
        <w:t>p</w:t>
      </w:r>
      <w:r w:rsidRPr="00212D57">
        <w:rPr>
          <w:rFonts w:hint="eastAsia"/>
          <w:szCs w:val="22"/>
        </w:rPr>
        <w:t>.</w:t>
      </w:r>
      <w:r w:rsidRPr="00761EF3">
        <w:rPr>
          <w:rFonts w:hint="eastAsia"/>
          <w:szCs w:val="22"/>
        </w:rPr>
        <w:t>139</w:t>
      </w:r>
      <w:r w:rsidRPr="00212D57">
        <w:rPr>
          <w:rFonts w:hint="eastAsia"/>
          <w:szCs w:val="22"/>
        </w:rPr>
        <w:t>）</w:t>
      </w:r>
    </w:p>
    <w:p w:rsidR="00157EF6" w:rsidRPr="00212D57" w:rsidRDefault="00157EF6" w:rsidP="008E68AA">
      <w:pPr>
        <w:pStyle w:val="a5"/>
        <w:ind w:leftChars="80" w:left="731" w:hangingChars="245" w:hanging="539"/>
        <w:jc w:val="both"/>
        <w:rPr>
          <w:szCs w:val="22"/>
        </w:rPr>
      </w:pPr>
      <w:r w:rsidRPr="00212D57">
        <w:rPr>
          <w:szCs w:val="22"/>
        </w:rPr>
        <w:t>（</w:t>
      </w:r>
      <w:r w:rsidRPr="00761EF3">
        <w:rPr>
          <w:szCs w:val="22"/>
        </w:rPr>
        <w:t>3</w:t>
      </w:r>
      <w:r w:rsidRPr="00212D57">
        <w:rPr>
          <w:szCs w:val="22"/>
        </w:rPr>
        <w:t>）參見</w:t>
      </w:r>
      <w:r w:rsidRPr="00761EF3">
        <w:rPr>
          <w:szCs w:val="22"/>
        </w:rPr>
        <w:t>Suttanipāta</w:t>
      </w:r>
      <w:r w:rsidRPr="00212D57">
        <w:rPr>
          <w:szCs w:val="22"/>
        </w:rPr>
        <w:t>（《經集》），</w:t>
      </w:r>
      <w:r w:rsidRPr="00761EF3">
        <w:rPr>
          <w:szCs w:val="22"/>
        </w:rPr>
        <w:t>757</w:t>
      </w:r>
      <w:r w:rsidRPr="00212D57">
        <w:rPr>
          <w:szCs w:val="22"/>
        </w:rPr>
        <w:t>：</w:t>
      </w:r>
    </w:p>
    <w:p w:rsidR="00157EF6" w:rsidRPr="00212D57" w:rsidRDefault="00157EF6" w:rsidP="008E68AA">
      <w:pPr>
        <w:pStyle w:val="a5"/>
        <w:ind w:leftChars="305" w:left="732"/>
        <w:jc w:val="both"/>
        <w:rPr>
          <w:rFonts w:eastAsia="標楷體"/>
          <w:szCs w:val="22"/>
        </w:rPr>
      </w:pPr>
      <w:r w:rsidRPr="00212D57">
        <w:rPr>
          <w:rFonts w:eastAsia="標楷體"/>
          <w:szCs w:val="22"/>
        </w:rPr>
        <w:t>愚者如所思，由思為所異。愚思成虛妄，暫法虛妄法。</w:t>
      </w:r>
      <w:r w:rsidRPr="00212D57">
        <w:rPr>
          <w:rFonts w:hint="eastAsia"/>
          <w:szCs w:val="22"/>
        </w:rPr>
        <w:t>（</w:t>
      </w:r>
      <w:r w:rsidRPr="00212D57">
        <w:rPr>
          <w:rStyle w:val="af3"/>
          <w:rFonts w:hint="eastAsia"/>
          <w:szCs w:val="22"/>
        </w:rPr>
        <w:t>雲庵譯，</w:t>
      </w:r>
      <w:r w:rsidRPr="00212D57">
        <w:rPr>
          <w:rFonts w:hint="eastAsia"/>
          <w:szCs w:val="22"/>
        </w:rPr>
        <w:t>《漢譯南傳大藏經》</w:t>
      </w:r>
      <w:r w:rsidRPr="00761EF3">
        <w:rPr>
          <w:rFonts w:hint="eastAsia"/>
          <w:szCs w:val="22"/>
        </w:rPr>
        <w:t>27</w:t>
      </w:r>
      <w:r w:rsidRPr="00212D57">
        <w:rPr>
          <w:rFonts w:hint="eastAsia"/>
          <w:szCs w:val="22"/>
        </w:rPr>
        <w:t>冊，</w:t>
      </w:r>
      <w:r w:rsidRPr="00761EF3">
        <w:rPr>
          <w:rFonts w:hint="eastAsia"/>
          <w:szCs w:val="22"/>
        </w:rPr>
        <w:t>p</w:t>
      </w:r>
      <w:r w:rsidRPr="00212D57">
        <w:rPr>
          <w:rFonts w:hint="eastAsia"/>
          <w:szCs w:val="22"/>
        </w:rPr>
        <w:t>.</w:t>
      </w:r>
      <w:r w:rsidRPr="00761EF3">
        <w:rPr>
          <w:rFonts w:hint="eastAsia"/>
          <w:szCs w:val="22"/>
        </w:rPr>
        <w:t>211</w:t>
      </w:r>
      <w:r w:rsidRPr="00212D57">
        <w:rPr>
          <w:rFonts w:hint="eastAsia"/>
          <w:szCs w:val="22"/>
        </w:rPr>
        <w:t>）</w:t>
      </w:r>
    </w:p>
    <w:p w:rsidR="00157EF6" w:rsidRPr="00212D57" w:rsidRDefault="00157EF6" w:rsidP="008E68AA">
      <w:pPr>
        <w:pStyle w:val="a5"/>
        <w:ind w:leftChars="305" w:left="732"/>
        <w:jc w:val="both"/>
        <w:rPr>
          <w:szCs w:val="22"/>
        </w:rPr>
      </w:pPr>
      <w:r w:rsidRPr="00212D57">
        <w:rPr>
          <w:rFonts w:ascii="標楷體" w:eastAsia="標楷體" w:hAnsi="標楷體" w:hint="eastAsia"/>
          <w:szCs w:val="22"/>
        </w:rPr>
        <w:t>因爲他們認爲這樣那樣，實際並非如此；因爲這對於他是虛妄的，虛妄的事物變化無常。</w:t>
      </w:r>
      <w:r w:rsidRPr="00212D57">
        <w:rPr>
          <w:rFonts w:ascii="新細明體" w:hAnsi="新細明體" w:hint="eastAsia"/>
          <w:szCs w:val="22"/>
        </w:rPr>
        <w:t>（</w:t>
      </w:r>
      <w:r w:rsidRPr="00212D57">
        <w:rPr>
          <w:szCs w:val="22"/>
        </w:rPr>
        <w:t>郭良鋆譯</w:t>
      </w:r>
      <w:r w:rsidRPr="00212D57">
        <w:rPr>
          <w:rFonts w:hint="eastAsia"/>
          <w:szCs w:val="22"/>
        </w:rPr>
        <w:t>，</w:t>
      </w:r>
      <w:r w:rsidRPr="00212D57">
        <w:rPr>
          <w:szCs w:val="22"/>
        </w:rPr>
        <w:t>《巴利文經典</w:t>
      </w:r>
      <w:r w:rsidRPr="00212D57">
        <w:rPr>
          <w:rFonts w:ascii="新細明體" w:hAnsi="新細明體" w:hint="eastAsia"/>
          <w:szCs w:val="22"/>
        </w:rPr>
        <w:t>──</w:t>
      </w:r>
      <w:r w:rsidRPr="00212D57">
        <w:rPr>
          <w:szCs w:val="22"/>
        </w:rPr>
        <w:t>經集》</w:t>
      </w:r>
      <w:r w:rsidRPr="00212D57">
        <w:rPr>
          <w:rFonts w:hint="eastAsia"/>
          <w:szCs w:val="22"/>
        </w:rPr>
        <w:t>，</w:t>
      </w:r>
      <w:r w:rsidRPr="00761EF3">
        <w:rPr>
          <w:rFonts w:hint="eastAsia"/>
          <w:szCs w:val="22"/>
        </w:rPr>
        <w:t>p</w:t>
      </w:r>
      <w:r w:rsidRPr="00212D57">
        <w:rPr>
          <w:rFonts w:hint="eastAsia"/>
          <w:szCs w:val="22"/>
        </w:rPr>
        <w:t>.</w:t>
      </w:r>
      <w:r w:rsidRPr="00761EF3">
        <w:rPr>
          <w:rFonts w:hint="eastAsia"/>
          <w:szCs w:val="22"/>
        </w:rPr>
        <w:t>145</w:t>
      </w:r>
      <w:r w:rsidRPr="00212D57">
        <w:rPr>
          <w:rFonts w:hint="eastAsia"/>
          <w:szCs w:val="22"/>
        </w:rPr>
        <w:t>）</w:t>
      </w:r>
    </w:p>
    <w:p w:rsidR="00157EF6" w:rsidRPr="00212D57" w:rsidRDefault="00157EF6" w:rsidP="008E68AA">
      <w:pPr>
        <w:pStyle w:val="a5"/>
        <w:ind w:leftChars="80" w:left="731" w:hangingChars="245" w:hanging="539"/>
        <w:jc w:val="both"/>
        <w:rPr>
          <w:szCs w:val="22"/>
        </w:rPr>
      </w:pPr>
      <w:r w:rsidRPr="00212D57">
        <w:rPr>
          <w:szCs w:val="22"/>
        </w:rPr>
        <w:t>（</w:t>
      </w:r>
      <w:r w:rsidRPr="00761EF3">
        <w:rPr>
          <w:szCs w:val="22"/>
        </w:rPr>
        <w:t>4</w:t>
      </w:r>
      <w:r w:rsidRPr="00212D57">
        <w:rPr>
          <w:szCs w:val="22"/>
        </w:rPr>
        <w:t>）</w:t>
      </w:r>
      <w:r w:rsidRPr="00761EF3">
        <w:rPr>
          <w:szCs w:val="22"/>
        </w:rPr>
        <w:t>Suttanipāta</w:t>
      </w:r>
      <w:r w:rsidRPr="00212D57">
        <w:rPr>
          <w:szCs w:val="22"/>
        </w:rPr>
        <w:t>（《經集》），</w:t>
      </w:r>
      <w:r w:rsidRPr="00761EF3">
        <w:rPr>
          <w:szCs w:val="22"/>
        </w:rPr>
        <w:t>758</w:t>
      </w:r>
      <w:r w:rsidRPr="00212D57">
        <w:rPr>
          <w:szCs w:val="22"/>
        </w:rPr>
        <w:t>：</w:t>
      </w:r>
    </w:p>
    <w:p w:rsidR="00157EF6" w:rsidRPr="00212D57" w:rsidRDefault="00157EF6" w:rsidP="008E68AA">
      <w:pPr>
        <w:pStyle w:val="a5"/>
        <w:ind w:leftChars="305" w:left="732"/>
        <w:jc w:val="both"/>
        <w:rPr>
          <w:szCs w:val="22"/>
        </w:rPr>
      </w:pPr>
      <w:r w:rsidRPr="00212D57">
        <w:rPr>
          <w:rFonts w:eastAsia="標楷體"/>
          <w:szCs w:val="22"/>
        </w:rPr>
        <w:t>涅槃非妄法，諸聖知真實。彼等解真實，無愛故寂滅。</w:t>
      </w:r>
      <w:r w:rsidRPr="00212D57">
        <w:rPr>
          <w:rFonts w:hint="eastAsia"/>
          <w:szCs w:val="22"/>
        </w:rPr>
        <w:t>（</w:t>
      </w:r>
      <w:r w:rsidRPr="00212D57">
        <w:rPr>
          <w:rStyle w:val="af3"/>
          <w:rFonts w:hint="eastAsia"/>
          <w:szCs w:val="22"/>
        </w:rPr>
        <w:t>雲庵譯，</w:t>
      </w:r>
      <w:r w:rsidRPr="00212D57">
        <w:rPr>
          <w:rFonts w:hint="eastAsia"/>
          <w:szCs w:val="22"/>
        </w:rPr>
        <w:t>《漢譯南傳大藏經》</w:t>
      </w:r>
      <w:r w:rsidRPr="00761EF3">
        <w:rPr>
          <w:rFonts w:hint="eastAsia"/>
          <w:szCs w:val="22"/>
        </w:rPr>
        <w:t>27</w:t>
      </w:r>
      <w:r w:rsidRPr="00212D57">
        <w:rPr>
          <w:rFonts w:hint="eastAsia"/>
          <w:szCs w:val="22"/>
        </w:rPr>
        <w:t>冊，</w:t>
      </w:r>
      <w:r w:rsidRPr="00761EF3">
        <w:rPr>
          <w:rFonts w:hint="eastAsia"/>
          <w:szCs w:val="22"/>
        </w:rPr>
        <w:t>p</w:t>
      </w:r>
      <w:r w:rsidRPr="00212D57">
        <w:rPr>
          <w:rFonts w:hint="eastAsia"/>
          <w:szCs w:val="22"/>
        </w:rPr>
        <w:t>.</w:t>
      </w:r>
      <w:r w:rsidRPr="00761EF3">
        <w:rPr>
          <w:rFonts w:hint="eastAsia"/>
          <w:szCs w:val="22"/>
        </w:rPr>
        <w:t>211</w:t>
      </w:r>
      <w:r w:rsidRPr="00212D57">
        <w:rPr>
          <w:rFonts w:hint="eastAsia"/>
          <w:szCs w:val="22"/>
        </w:rPr>
        <w:t>）</w:t>
      </w:r>
    </w:p>
    <w:p w:rsidR="00157EF6" w:rsidRPr="00212D57" w:rsidRDefault="00157EF6" w:rsidP="008E68AA">
      <w:pPr>
        <w:pStyle w:val="a5"/>
        <w:ind w:leftChars="305" w:left="732"/>
        <w:jc w:val="both"/>
        <w:rPr>
          <w:szCs w:val="22"/>
        </w:rPr>
      </w:pPr>
      <w:r w:rsidRPr="00212D57">
        <w:rPr>
          <w:rFonts w:ascii="標楷體" w:eastAsia="標楷體" w:hAnsi="標楷體" w:hint="eastAsia"/>
          <w:szCs w:val="22"/>
        </w:rPr>
        <w:t>聖人真正懂得涅槃不虛妄，他們洞悉真實，沒有欲望，達到徹底平靜。</w:t>
      </w:r>
      <w:r w:rsidRPr="00212D57">
        <w:rPr>
          <w:rFonts w:ascii="新細明體" w:hAnsi="新細明體" w:hint="eastAsia"/>
          <w:szCs w:val="22"/>
        </w:rPr>
        <w:t>（</w:t>
      </w:r>
      <w:r w:rsidRPr="00212D57">
        <w:rPr>
          <w:szCs w:val="22"/>
        </w:rPr>
        <w:t>郭良鋆譯</w:t>
      </w:r>
      <w:r w:rsidRPr="00212D57">
        <w:rPr>
          <w:rFonts w:hint="eastAsia"/>
          <w:szCs w:val="22"/>
        </w:rPr>
        <w:t>，</w:t>
      </w:r>
      <w:r w:rsidRPr="00212D57">
        <w:rPr>
          <w:szCs w:val="22"/>
        </w:rPr>
        <w:t>《巴利文經典</w:t>
      </w:r>
      <w:r w:rsidRPr="00212D57">
        <w:rPr>
          <w:rFonts w:ascii="新細明體" w:hAnsi="新細明體" w:hint="eastAsia"/>
          <w:szCs w:val="22"/>
        </w:rPr>
        <w:t>──</w:t>
      </w:r>
      <w:r w:rsidRPr="00212D57">
        <w:rPr>
          <w:szCs w:val="22"/>
        </w:rPr>
        <w:t>經集》</w:t>
      </w:r>
      <w:r w:rsidRPr="00212D57">
        <w:rPr>
          <w:rFonts w:hint="eastAsia"/>
          <w:szCs w:val="22"/>
        </w:rPr>
        <w:t>，</w:t>
      </w:r>
      <w:r w:rsidRPr="00761EF3">
        <w:rPr>
          <w:rFonts w:hint="eastAsia"/>
          <w:szCs w:val="22"/>
        </w:rPr>
        <w:t>p</w:t>
      </w:r>
      <w:r w:rsidRPr="00212D57">
        <w:rPr>
          <w:rFonts w:hint="eastAsia"/>
          <w:szCs w:val="22"/>
        </w:rPr>
        <w:t>.</w:t>
      </w:r>
      <w:r w:rsidRPr="00761EF3">
        <w:rPr>
          <w:rFonts w:hint="eastAsia"/>
          <w:szCs w:val="22"/>
        </w:rPr>
        <w:t>145</w:t>
      </w:r>
      <w:r w:rsidRPr="00212D57">
        <w:rPr>
          <w:rFonts w:hint="eastAsia"/>
          <w:szCs w:val="22"/>
        </w:rPr>
        <w:t>）</w:t>
      </w:r>
    </w:p>
    <w:p w:rsidR="00157EF6" w:rsidRPr="00212D57" w:rsidRDefault="00157EF6" w:rsidP="008E68AA">
      <w:pPr>
        <w:pStyle w:val="a5"/>
        <w:ind w:leftChars="80" w:left="731" w:hangingChars="245" w:hanging="539"/>
        <w:jc w:val="both"/>
        <w:rPr>
          <w:szCs w:val="22"/>
        </w:rPr>
      </w:pPr>
      <w:r w:rsidRPr="00212D57">
        <w:rPr>
          <w:szCs w:val="22"/>
        </w:rPr>
        <w:t>（</w:t>
      </w:r>
      <w:r w:rsidRPr="00761EF3">
        <w:rPr>
          <w:rFonts w:hint="eastAsia"/>
          <w:szCs w:val="22"/>
        </w:rPr>
        <w:t>5</w:t>
      </w:r>
      <w:r w:rsidRPr="00212D57">
        <w:rPr>
          <w:szCs w:val="22"/>
        </w:rPr>
        <w:t>）</w:t>
      </w:r>
      <w:r w:rsidRPr="00212D57">
        <w:rPr>
          <w:spacing w:val="2"/>
          <w:szCs w:val="22"/>
        </w:rPr>
        <w:t>參見《雜阿含經》卷</w:t>
      </w:r>
      <w:r w:rsidRPr="00761EF3">
        <w:rPr>
          <w:spacing w:val="2"/>
          <w:szCs w:val="22"/>
        </w:rPr>
        <w:t>10</w:t>
      </w:r>
      <w:r w:rsidRPr="00212D57">
        <w:rPr>
          <w:spacing w:val="2"/>
          <w:szCs w:val="22"/>
        </w:rPr>
        <w:t>（</w:t>
      </w:r>
      <w:r w:rsidRPr="00761EF3">
        <w:rPr>
          <w:spacing w:val="2"/>
          <w:szCs w:val="22"/>
        </w:rPr>
        <w:t>265</w:t>
      </w:r>
      <w:r w:rsidRPr="00212D57">
        <w:rPr>
          <w:spacing w:val="2"/>
          <w:szCs w:val="22"/>
        </w:rPr>
        <w:t>經）</w:t>
      </w:r>
      <w:r w:rsidR="00434424" w:rsidRPr="00212D57">
        <w:rPr>
          <w:szCs w:val="22"/>
        </w:rPr>
        <w:t>（大正</w:t>
      </w:r>
      <w:r w:rsidR="00434424" w:rsidRPr="00761EF3">
        <w:rPr>
          <w:szCs w:val="22"/>
        </w:rPr>
        <w:t>2</w:t>
      </w:r>
      <w:r w:rsidR="00434424" w:rsidRPr="00212D57">
        <w:rPr>
          <w:szCs w:val="22"/>
        </w:rPr>
        <w:t>，</w:t>
      </w:r>
      <w:r w:rsidR="00434424" w:rsidRPr="00761EF3">
        <w:rPr>
          <w:szCs w:val="22"/>
        </w:rPr>
        <w:t>69a18</w:t>
      </w:r>
      <w:r w:rsidR="00434424" w:rsidRPr="00212D57">
        <w:rPr>
          <w:szCs w:val="22"/>
        </w:rPr>
        <w:t>-</w:t>
      </w:r>
      <w:r w:rsidR="00434424" w:rsidRPr="00761EF3">
        <w:rPr>
          <w:szCs w:val="22"/>
        </w:rPr>
        <w:t>b2</w:t>
      </w:r>
      <w:r w:rsidR="00434424" w:rsidRPr="00212D57">
        <w:rPr>
          <w:szCs w:val="22"/>
        </w:rPr>
        <w:t>）</w:t>
      </w:r>
      <w:r w:rsidRPr="00212D57">
        <w:rPr>
          <w:spacing w:val="2"/>
          <w:szCs w:val="22"/>
        </w:rPr>
        <w:t>：「</w:t>
      </w:r>
      <w:r w:rsidRPr="00212D57">
        <w:rPr>
          <w:rFonts w:eastAsia="標楷體"/>
          <w:b/>
          <w:bCs/>
          <w:spacing w:val="2"/>
          <w:szCs w:val="22"/>
        </w:rPr>
        <w:t>觀色如聚沫，受如水上泡，想如春時燄</w:t>
      </w:r>
      <w:r w:rsidRPr="00212D57">
        <w:rPr>
          <w:rFonts w:eastAsia="標楷體"/>
          <w:spacing w:val="2"/>
          <w:szCs w:val="22"/>
        </w:rPr>
        <w:t>，</w:t>
      </w:r>
      <w:r w:rsidRPr="00212D57">
        <w:rPr>
          <w:rFonts w:eastAsia="標楷體"/>
          <w:b/>
          <w:szCs w:val="22"/>
        </w:rPr>
        <w:t>諸行如芭蕉</w:t>
      </w:r>
      <w:r w:rsidRPr="00212D57">
        <w:rPr>
          <w:rFonts w:eastAsia="標楷體" w:hint="eastAsia"/>
          <w:szCs w:val="22"/>
        </w:rPr>
        <w:t>，</w:t>
      </w:r>
      <w:r w:rsidRPr="00212D57">
        <w:rPr>
          <w:rFonts w:eastAsia="標楷體"/>
          <w:b/>
          <w:bCs/>
          <w:szCs w:val="22"/>
        </w:rPr>
        <w:t>諸識法如幻</w:t>
      </w:r>
      <w:r w:rsidRPr="00212D57">
        <w:rPr>
          <w:rFonts w:eastAsia="標楷體"/>
          <w:szCs w:val="22"/>
        </w:rPr>
        <w:t>，日種姓尊說。周匝諦思惟，正念善觀察；無實不堅固，無有我我所。於此苦陰身，大智分別說</w:t>
      </w:r>
      <w:r w:rsidR="00E87C66">
        <w:rPr>
          <w:rFonts w:ascii="標楷體" w:eastAsia="標楷體" w:hAnsi="標楷體" w:hint="eastAsia"/>
          <w:color w:val="FF0000"/>
          <w:spacing w:val="-4"/>
          <w:kern w:val="0"/>
          <w:highlight w:val="yellow"/>
        </w:rPr>
        <w:t>：</w:t>
      </w:r>
      <w:r w:rsidRPr="00212D57">
        <w:rPr>
          <w:rFonts w:eastAsia="標楷體"/>
          <w:szCs w:val="22"/>
        </w:rPr>
        <w:t>離於三法者，身為成棄物。壽</w:t>
      </w:r>
      <w:r w:rsidR="00E87C66">
        <w:rPr>
          <w:rFonts w:ascii="標楷體" w:eastAsia="標楷體" w:hAnsi="標楷體" w:hint="eastAsia"/>
          <w:color w:val="FF0000"/>
          <w:spacing w:val="-4"/>
          <w:kern w:val="0"/>
          <w:highlight w:val="yellow"/>
        </w:rPr>
        <w:t>、</w:t>
      </w:r>
      <w:r w:rsidRPr="00212D57">
        <w:rPr>
          <w:rFonts w:eastAsia="標楷體"/>
          <w:szCs w:val="22"/>
        </w:rPr>
        <w:t>暖及諸識，離此</w:t>
      </w:r>
      <w:r w:rsidR="00E87C66">
        <w:rPr>
          <w:rFonts w:ascii="標楷體" w:eastAsia="標楷體" w:hAnsi="標楷體" w:hint="eastAsia"/>
          <w:color w:val="FF0000"/>
          <w:kern w:val="0"/>
          <w:highlight w:val="yellow"/>
        </w:rPr>
        <w:t>，</w:t>
      </w:r>
      <w:r w:rsidRPr="00212D57">
        <w:rPr>
          <w:rFonts w:eastAsia="標楷體"/>
          <w:szCs w:val="22"/>
        </w:rPr>
        <w:t>餘身分，永棄丘塚間，如木無識想。</w:t>
      </w:r>
      <w:r w:rsidRPr="00212D57">
        <w:rPr>
          <w:rFonts w:eastAsia="標楷體"/>
          <w:b/>
          <w:szCs w:val="22"/>
        </w:rPr>
        <w:t>此身常如是，幻偽誘愚夫</w:t>
      </w:r>
      <w:r w:rsidRPr="00212D57">
        <w:rPr>
          <w:rFonts w:eastAsia="標楷體"/>
          <w:szCs w:val="22"/>
        </w:rPr>
        <w:t>，如殺</w:t>
      </w:r>
      <w:r w:rsidR="00E87C66">
        <w:rPr>
          <w:rFonts w:ascii="標楷體" w:eastAsia="標楷體" w:hAnsi="標楷體" w:hint="eastAsia"/>
          <w:color w:val="FF0000"/>
          <w:spacing w:val="-4"/>
          <w:kern w:val="0"/>
          <w:highlight w:val="yellow"/>
        </w:rPr>
        <w:t>、</w:t>
      </w:r>
      <w:r w:rsidRPr="00212D57">
        <w:rPr>
          <w:rFonts w:eastAsia="標楷體"/>
          <w:szCs w:val="22"/>
        </w:rPr>
        <w:t>如毒刺，無有堅固者</w:t>
      </w:r>
      <w:r w:rsidR="00E87C66">
        <w:rPr>
          <w:rFonts w:ascii="標楷體" w:eastAsia="標楷體" w:hAnsi="標楷體" w:hint="eastAsia"/>
          <w:color w:val="FF0000"/>
          <w:kern w:val="0"/>
          <w:highlight w:val="yellow"/>
        </w:rPr>
        <w:t>。</w:t>
      </w:r>
      <w:r w:rsidRPr="00212D57">
        <w:rPr>
          <w:rFonts w:eastAsia="標楷體"/>
          <w:szCs w:val="22"/>
        </w:rPr>
        <w:t>比丘勤修習，觀察此陰身，</w:t>
      </w:r>
      <w:r w:rsidRPr="00212D57">
        <w:rPr>
          <w:rFonts w:eastAsia="標楷體"/>
          <w:b/>
          <w:szCs w:val="22"/>
        </w:rPr>
        <w:t>晝夜常專精，正智繫念住，有為行長息，永得清涼處。</w:t>
      </w:r>
      <w:r w:rsidRPr="00212D57">
        <w:rPr>
          <w:szCs w:val="22"/>
        </w:rPr>
        <w:t>」</w:t>
      </w:r>
    </w:p>
  </w:footnote>
  <w:footnote w:id="137">
    <w:p w:rsidR="00157EF6" w:rsidRPr="00212D57" w:rsidRDefault="00157EF6" w:rsidP="005F2F48">
      <w:pPr>
        <w:pStyle w:val="a5"/>
        <w:ind w:left="187" w:hangingChars="85" w:hanging="187"/>
        <w:jc w:val="both"/>
        <w:rPr>
          <w:szCs w:val="22"/>
        </w:rPr>
      </w:pPr>
      <w:r w:rsidRPr="00212D57">
        <w:rPr>
          <w:rStyle w:val="a6"/>
          <w:szCs w:val="22"/>
        </w:rPr>
        <w:footnoteRef/>
      </w:r>
      <w:r w:rsidRPr="00212D57">
        <w:rPr>
          <w:szCs w:val="22"/>
        </w:rPr>
        <w:t xml:space="preserve"> </w:t>
      </w:r>
      <w:r w:rsidRPr="00212D57">
        <w:rPr>
          <w:szCs w:val="22"/>
        </w:rPr>
        <w:t>《中論》卷</w:t>
      </w:r>
      <w:r w:rsidRPr="00761EF3">
        <w:rPr>
          <w:szCs w:val="22"/>
        </w:rPr>
        <w:t>2</w:t>
      </w:r>
      <w:r w:rsidRPr="00212D57">
        <w:rPr>
          <w:szCs w:val="22"/>
        </w:rPr>
        <w:t>〈</w:t>
      </w:r>
      <w:r w:rsidRPr="00761EF3">
        <w:rPr>
          <w:szCs w:val="22"/>
        </w:rPr>
        <w:t>13</w:t>
      </w:r>
      <w:r w:rsidRPr="00212D57">
        <w:rPr>
          <w:szCs w:val="22"/>
        </w:rPr>
        <w:t xml:space="preserve"> </w:t>
      </w:r>
      <w:r w:rsidRPr="00212D57">
        <w:rPr>
          <w:szCs w:val="22"/>
        </w:rPr>
        <w:t>觀行品〉（青目釋）（大正</w:t>
      </w:r>
      <w:r w:rsidRPr="00761EF3">
        <w:rPr>
          <w:szCs w:val="22"/>
        </w:rPr>
        <w:t>30</w:t>
      </w:r>
      <w:r w:rsidRPr="00212D57">
        <w:rPr>
          <w:szCs w:val="22"/>
        </w:rPr>
        <w:t>，</w:t>
      </w:r>
      <w:r w:rsidRPr="00761EF3">
        <w:rPr>
          <w:szCs w:val="22"/>
        </w:rPr>
        <w:t>17b3</w:t>
      </w:r>
      <w:r w:rsidRPr="00212D57">
        <w:rPr>
          <w:szCs w:val="22"/>
        </w:rPr>
        <w:t>-</w:t>
      </w:r>
      <w:r w:rsidRPr="00761EF3">
        <w:rPr>
          <w:szCs w:val="22"/>
        </w:rPr>
        <w:t>10</w:t>
      </w:r>
      <w:r w:rsidRPr="00212D57">
        <w:rPr>
          <w:szCs w:val="22"/>
        </w:rPr>
        <w:t>）：</w:t>
      </w:r>
    </w:p>
    <w:p w:rsidR="008E2BBC" w:rsidRDefault="008E2BBC" w:rsidP="008E2BBC">
      <w:pPr>
        <w:pStyle w:val="a5"/>
        <w:ind w:leftChars="75" w:left="180"/>
        <w:jc w:val="both"/>
        <w:rPr>
          <w:rFonts w:eastAsia="標楷體"/>
          <w:b/>
          <w:szCs w:val="22"/>
        </w:rPr>
      </w:pPr>
      <w:r>
        <w:rPr>
          <w:rFonts w:eastAsia="標楷體" w:hint="eastAsia"/>
          <w:b/>
          <w:szCs w:val="22"/>
        </w:rPr>
        <w:t>虛誑妄取者，是中何所取</w:t>
      </w:r>
      <w:r w:rsidR="00E87C66">
        <w:rPr>
          <w:rFonts w:ascii="標楷體" w:eastAsia="標楷體" w:hAnsi="標楷體" w:hint="eastAsia"/>
          <w:color w:val="FF0000"/>
          <w:spacing w:val="-4"/>
          <w:kern w:val="0"/>
          <w:highlight w:val="yellow"/>
        </w:rPr>
        <w:t>？</w:t>
      </w:r>
      <w:r>
        <w:rPr>
          <w:rFonts w:eastAsia="標楷體" w:hint="eastAsia"/>
          <w:b/>
          <w:szCs w:val="22"/>
        </w:rPr>
        <w:t>佛說如是事，欲以示空義。</w:t>
      </w:r>
    </w:p>
    <w:p w:rsidR="008E2BBC" w:rsidRDefault="008E2BBC" w:rsidP="008E2BBC">
      <w:pPr>
        <w:pStyle w:val="a5"/>
        <w:ind w:leftChars="75" w:left="180"/>
        <w:jc w:val="both"/>
        <w:rPr>
          <w:rFonts w:eastAsia="標楷體"/>
          <w:szCs w:val="22"/>
        </w:rPr>
      </w:pPr>
      <w:r>
        <w:rPr>
          <w:rFonts w:eastAsia="標楷體" w:hint="eastAsia"/>
          <w:szCs w:val="22"/>
        </w:rPr>
        <w:t>若妄取相法即是虛誑者，是諸行中</w:t>
      </w:r>
      <w:r>
        <w:rPr>
          <w:rFonts w:eastAsia="標楷體" w:hint="eastAsia"/>
          <w:color w:val="FF0000"/>
          <w:szCs w:val="22"/>
          <w:highlight w:val="yellow"/>
        </w:rPr>
        <w:t>，</w:t>
      </w:r>
      <w:r>
        <w:rPr>
          <w:rFonts w:eastAsia="標楷體" w:hint="eastAsia"/>
          <w:szCs w:val="22"/>
        </w:rPr>
        <w:t>為何所取？佛如是說，當知說空義。</w:t>
      </w:r>
    </w:p>
    <w:p w:rsidR="008E2BBC" w:rsidRDefault="008E2BBC" w:rsidP="008E2BBC">
      <w:pPr>
        <w:pStyle w:val="a5"/>
        <w:ind w:leftChars="75" w:left="840" w:hangingChars="300" w:hanging="660"/>
        <w:jc w:val="both"/>
        <w:rPr>
          <w:rFonts w:eastAsia="標楷體"/>
          <w:szCs w:val="22"/>
        </w:rPr>
      </w:pPr>
      <w:r>
        <w:rPr>
          <w:rFonts w:eastAsia="標楷體" w:hint="eastAsia"/>
          <w:szCs w:val="22"/>
        </w:rPr>
        <w:t>問曰：云何知</w:t>
      </w:r>
      <w:r w:rsidR="00E87C66">
        <w:rPr>
          <w:rFonts w:ascii="標楷體" w:eastAsia="標楷體" w:hAnsi="標楷體" w:hint="eastAsia"/>
          <w:bCs/>
          <w:color w:val="FF0000"/>
          <w:kern w:val="0"/>
          <w:highlight w:val="yellow"/>
        </w:rPr>
        <w:t>「</w:t>
      </w:r>
      <w:r>
        <w:rPr>
          <w:rFonts w:eastAsia="標楷體" w:hint="eastAsia"/>
          <w:szCs w:val="22"/>
        </w:rPr>
        <w:t>一切諸行皆是空</w:t>
      </w:r>
      <w:r w:rsidR="00E87C66">
        <w:rPr>
          <w:rFonts w:ascii="標楷體" w:eastAsia="標楷體" w:hAnsi="標楷體" w:hint="eastAsia"/>
          <w:bCs/>
          <w:color w:val="FF0000"/>
          <w:kern w:val="0"/>
          <w:highlight w:val="yellow"/>
        </w:rPr>
        <w:t>」</w:t>
      </w:r>
      <w:r>
        <w:rPr>
          <w:rFonts w:eastAsia="標楷體" w:hint="eastAsia"/>
          <w:szCs w:val="22"/>
        </w:rPr>
        <w:t>？</w:t>
      </w:r>
    </w:p>
    <w:p w:rsidR="00157EF6" w:rsidRPr="00212D57" w:rsidRDefault="008E2BBC" w:rsidP="008E2BBC">
      <w:pPr>
        <w:pStyle w:val="a5"/>
        <w:ind w:leftChars="75" w:left="840" w:hangingChars="300" w:hanging="660"/>
        <w:jc w:val="both"/>
        <w:rPr>
          <w:rFonts w:eastAsia="標楷體"/>
          <w:szCs w:val="22"/>
        </w:rPr>
      </w:pPr>
      <w:r>
        <w:rPr>
          <w:rFonts w:eastAsia="標楷體" w:hint="eastAsia"/>
          <w:szCs w:val="22"/>
        </w:rPr>
        <w:t>答曰：一切諸行虛妄相故空，諸行生滅不住</w:t>
      </w:r>
      <w:r w:rsidR="00E87C66">
        <w:rPr>
          <w:rFonts w:ascii="標楷體" w:eastAsia="標楷體" w:hAnsi="標楷體" w:hint="eastAsia"/>
          <w:color w:val="FF0000"/>
          <w:spacing w:val="-4"/>
          <w:kern w:val="0"/>
          <w:highlight w:val="yellow"/>
        </w:rPr>
        <w:t>、</w:t>
      </w:r>
      <w:r>
        <w:rPr>
          <w:rFonts w:eastAsia="標楷體" w:hint="eastAsia"/>
          <w:szCs w:val="22"/>
        </w:rPr>
        <w:t>無自性故空。</w:t>
      </w:r>
      <w:r>
        <w:rPr>
          <w:rFonts w:eastAsia="標楷體" w:hint="eastAsia"/>
          <w:color w:val="FF0000"/>
          <w:szCs w:val="22"/>
          <w:highlight w:val="yellow"/>
        </w:rPr>
        <w:t>「</w:t>
      </w:r>
      <w:r>
        <w:rPr>
          <w:rFonts w:eastAsia="標楷體" w:hint="eastAsia"/>
          <w:szCs w:val="22"/>
        </w:rPr>
        <w:t>諸行</w:t>
      </w:r>
      <w:r>
        <w:rPr>
          <w:rFonts w:eastAsia="標楷體" w:hint="eastAsia"/>
          <w:color w:val="FF0000"/>
          <w:szCs w:val="22"/>
          <w:highlight w:val="yellow"/>
        </w:rPr>
        <w:t>」</w:t>
      </w:r>
      <w:r>
        <w:rPr>
          <w:rFonts w:eastAsia="標楷體" w:hint="eastAsia"/>
          <w:szCs w:val="22"/>
        </w:rPr>
        <w:t>名</w:t>
      </w:r>
      <w:r>
        <w:rPr>
          <w:rFonts w:eastAsia="標楷體" w:hint="eastAsia"/>
          <w:color w:val="FF0000"/>
          <w:szCs w:val="22"/>
          <w:highlight w:val="yellow"/>
        </w:rPr>
        <w:t>「</w:t>
      </w:r>
      <w:r>
        <w:rPr>
          <w:rFonts w:eastAsia="標楷體" w:hint="eastAsia"/>
          <w:szCs w:val="22"/>
        </w:rPr>
        <w:t>五陰</w:t>
      </w:r>
      <w:r>
        <w:rPr>
          <w:rFonts w:eastAsia="標楷體" w:hint="eastAsia"/>
          <w:color w:val="FF0000"/>
          <w:szCs w:val="22"/>
          <w:highlight w:val="yellow"/>
        </w:rPr>
        <w:t>」</w:t>
      </w:r>
      <w:r w:rsidR="00E87C66">
        <w:rPr>
          <w:rFonts w:ascii="標楷體" w:eastAsia="標楷體" w:hAnsi="標楷體" w:hint="eastAsia"/>
          <w:color w:val="FF0000"/>
          <w:kern w:val="0"/>
          <w:highlight w:val="yellow"/>
        </w:rPr>
        <w:t>──</w:t>
      </w:r>
      <w:r>
        <w:rPr>
          <w:rFonts w:eastAsia="標楷體" w:hint="eastAsia"/>
          <w:szCs w:val="22"/>
        </w:rPr>
        <w:t>從</w:t>
      </w:r>
      <w:r>
        <w:rPr>
          <w:rFonts w:eastAsia="標楷體" w:hint="eastAsia"/>
          <w:color w:val="FF0000"/>
          <w:szCs w:val="22"/>
          <w:highlight w:val="yellow"/>
        </w:rPr>
        <w:t>「</w:t>
      </w:r>
      <w:r>
        <w:rPr>
          <w:rFonts w:eastAsia="標楷體" w:hint="eastAsia"/>
          <w:szCs w:val="22"/>
        </w:rPr>
        <w:t>行</w:t>
      </w:r>
      <w:r>
        <w:rPr>
          <w:rFonts w:eastAsia="標楷體" w:hint="eastAsia"/>
          <w:color w:val="FF0000"/>
          <w:szCs w:val="22"/>
          <w:highlight w:val="yellow"/>
        </w:rPr>
        <w:t>」</w:t>
      </w:r>
      <w:r>
        <w:rPr>
          <w:rFonts w:eastAsia="標楷體" w:hint="eastAsia"/>
          <w:szCs w:val="22"/>
        </w:rPr>
        <w:t>生故</w:t>
      </w:r>
      <w:r>
        <w:rPr>
          <w:rFonts w:eastAsia="標楷體" w:hint="eastAsia"/>
          <w:color w:val="FF0000"/>
          <w:szCs w:val="22"/>
          <w:highlight w:val="yellow"/>
        </w:rPr>
        <w:t>，「</w:t>
      </w:r>
      <w:r>
        <w:rPr>
          <w:rFonts w:eastAsia="標楷體" w:hint="eastAsia"/>
          <w:szCs w:val="22"/>
        </w:rPr>
        <w:t>五陰</w:t>
      </w:r>
      <w:r>
        <w:rPr>
          <w:rFonts w:eastAsia="標楷體" w:hint="eastAsia"/>
          <w:color w:val="FF0000"/>
          <w:szCs w:val="22"/>
          <w:highlight w:val="yellow"/>
        </w:rPr>
        <w:t>」</w:t>
      </w:r>
      <w:r>
        <w:rPr>
          <w:rFonts w:eastAsia="標楷體" w:hint="eastAsia"/>
          <w:szCs w:val="22"/>
        </w:rPr>
        <w:t>名</w:t>
      </w:r>
      <w:r>
        <w:rPr>
          <w:rFonts w:eastAsia="標楷體" w:hint="eastAsia"/>
          <w:color w:val="FF0000"/>
          <w:szCs w:val="22"/>
          <w:highlight w:val="yellow"/>
        </w:rPr>
        <w:t>「</w:t>
      </w:r>
      <w:r>
        <w:rPr>
          <w:rFonts w:eastAsia="標楷體" w:hint="eastAsia"/>
          <w:szCs w:val="22"/>
        </w:rPr>
        <w:t>行</w:t>
      </w:r>
      <w:r>
        <w:rPr>
          <w:rFonts w:eastAsia="標楷體" w:hint="eastAsia"/>
          <w:color w:val="FF0000"/>
          <w:szCs w:val="22"/>
          <w:highlight w:val="yellow"/>
        </w:rPr>
        <w:t>」。</w:t>
      </w:r>
      <w:r>
        <w:rPr>
          <w:rFonts w:eastAsia="標楷體" w:hint="eastAsia"/>
          <w:szCs w:val="22"/>
        </w:rPr>
        <w:t>是五陰皆虛妄</w:t>
      </w:r>
      <w:r>
        <w:rPr>
          <w:rFonts w:eastAsia="標楷體" w:hint="eastAsia"/>
          <w:color w:val="FF0000"/>
          <w:szCs w:val="22"/>
          <w:highlight w:val="yellow"/>
        </w:rPr>
        <w:t>、</w:t>
      </w:r>
      <w:r>
        <w:rPr>
          <w:rFonts w:eastAsia="標楷體" w:hint="eastAsia"/>
          <w:szCs w:val="22"/>
        </w:rPr>
        <w:t>無有定相</w:t>
      </w:r>
      <w:r w:rsidR="00157EF6" w:rsidRPr="00212D57">
        <w:rPr>
          <w:rFonts w:eastAsia="標楷體"/>
          <w:szCs w:val="22"/>
        </w:rPr>
        <w:t>。</w:t>
      </w:r>
    </w:p>
  </w:footnote>
  <w:footnote w:id="138">
    <w:p w:rsidR="00157EF6" w:rsidRPr="00212D57" w:rsidRDefault="00157EF6" w:rsidP="005F2F48">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《中論》卷</w:t>
      </w:r>
      <w:r w:rsidRPr="00761EF3">
        <w:rPr>
          <w:szCs w:val="22"/>
        </w:rPr>
        <w:t>3</w:t>
      </w:r>
      <w:r w:rsidRPr="00212D57">
        <w:rPr>
          <w:szCs w:val="22"/>
        </w:rPr>
        <w:t>〈</w:t>
      </w:r>
      <w:r w:rsidRPr="00761EF3">
        <w:rPr>
          <w:szCs w:val="22"/>
        </w:rPr>
        <w:t>15</w:t>
      </w:r>
      <w:r w:rsidRPr="00212D57">
        <w:rPr>
          <w:szCs w:val="22"/>
        </w:rPr>
        <w:t xml:space="preserve"> </w:t>
      </w:r>
      <w:r w:rsidRPr="00212D57">
        <w:rPr>
          <w:szCs w:val="22"/>
        </w:rPr>
        <w:t>觀有無品〉（大正</w:t>
      </w:r>
      <w:r w:rsidRPr="00761EF3">
        <w:rPr>
          <w:szCs w:val="22"/>
        </w:rPr>
        <w:t>30</w:t>
      </w:r>
      <w:r w:rsidRPr="00212D57">
        <w:rPr>
          <w:szCs w:val="22"/>
        </w:rPr>
        <w:t>，</w:t>
      </w:r>
      <w:r w:rsidRPr="00761EF3">
        <w:rPr>
          <w:szCs w:val="22"/>
        </w:rPr>
        <w:t>20b1</w:t>
      </w:r>
      <w:r w:rsidRPr="00212D57">
        <w:rPr>
          <w:szCs w:val="22"/>
        </w:rPr>
        <w:t>-</w:t>
      </w:r>
      <w:r w:rsidRPr="00761EF3">
        <w:rPr>
          <w:szCs w:val="22"/>
        </w:rPr>
        <w:t>2</w:t>
      </w:r>
      <w:r w:rsidRPr="00212D57">
        <w:rPr>
          <w:szCs w:val="22"/>
        </w:rPr>
        <w:t>）。</w:t>
      </w:r>
    </w:p>
  </w:footnote>
  <w:footnote w:id="139">
    <w:p w:rsidR="00157EF6" w:rsidRPr="00212D57" w:rsidRDefault="00157EF6" w:rsidP="008E68AA">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）《雜阿含經》卷</w:t>
      </w:r>
      <w:r w:rsidRPr="00761EF3">
        <w:rPr>
          <w:szCs w:val="22"/>
        </w:rPr>
        <w:t>12</w:t>
      </w:r>
      <w:r w:rsidRPr="00212D57">
        <w:rPr>
          <w:szCs w:val="22"/>
        </w:rPr>
        <w:t>（</w:t>
      </w:r>
      <w:r w:rsidRPr="00761EF3">
        <w:rPr>
          <w:szCs w:val="22"/>
        </w:rPr>
        <w:t>301</w:t>
      </w:r>
      <w:r w:rsidRPr="00212D57">
        <w:rPr>
          <w:szCs w:val="22"/>
        </w:rPr>
        <w:t>經）（大正</w:t>
      </w:r>
      <w:r w:rsidRPr="00761EF3">
        <w:rPr>
          <w:szCs w:val="22"/>
        </w:rPr>
        <w:t>2</w:t>
      </w:r>
      <w:r w:rsidRPr="00212D57">
        <w:rPr>
          <w:szCs w:val="22"/>
        </w:rPr>
        <w:t>，</w:t>
      </w:r>
      <w:r w:rsidRPr="00761EF3">
        <w:rPr>
          <w:szCs w:val="22"/>
        </w:rPr>
        <w:t>85c2</w:t>
      </w:r>
      <w:r w:rsidR="008E2BBC">
        <w:rPr>
          <w:rFonts w:hint="eastAsia"/>
          <w:color w:val="FF0000"/>
          <w:szCs w:val="22"/>
          <w:highlight w:val="yellow"/>
        </w:rPr>
        <w:t>0</w:t>
      </w:r>
      <w:r w:rsidRPr="00212D57">
        <w:rPr>
          <w:szCs w:val="22"/>
        </w:rPr>
        <w:t>-</w:t>
      </w:r>
      <w:r w:rsidR="008E2BBC" w:rsidRPr="008E2BBC">
        <w:rPr>
          <w:rFonts w:eastAsia="標楷體" w:hint="eastAsia"/>
          <w:color w:val="FF0000"/>
          <w:szCs w:val="22"/>
          <w:highlight w:val="yellow"/>
        </w:rPr>
        <w:t>86a3</w:t>
      </w:r>
      <w:r w:rsidRPr="00212D57">
        <w:rPr>
          <w:szCs w:val="22"/>
        </w:rPr>
        <w:t>）：</w:t>
      </w:r>
    </w:p>
    <w:p w:rsidR="008E2BBC" w:rsidRPr="008E2BBC" w:rsidRDefault="008E2BBC" w:rsidP="008E2BBC">
      <w:pPr>
        <w:pStyle w:val="a5"/>
        <w:ind w:leftChars="305" w:left="732"/>
        <w:jc w:val="both"/>
        <w:rPr>
          <w:rFonts w:eastAsia="標楷體"/>
          <w:color w:val="FF0000"/>
          <w:szCs w:val="22"/>
          <w:highlight w:val="yellow"/>
        </w:rPr>
      </w:pPr>
      <w:r w:rsidRPr="008E2BBC">
        <w:rPr>
          <w:rFonts w:eastAsia="標楷體" w:hint="eastAsia"/>
          <w:color w:val="FF0000"/>
          <w:szCs w:val="22"/>
          <w:highlight w:val="yellow"/>
        </w:rPr>
        <w:t>佛告</w:t>
      </w:r>
      <w:r w:rsidRPr="008E2BBC">
        <w:rPr>
          <w:rFonts w:ascii="新細明體-ExtB" w:eastAsia="新細明體-ExtB" w:hAnsi="新細明體-ExtB" w:cs="新細明體-ExtB" w:hint="eastAsia"/>
          <w:color w:val="FF0000"/>
          <w:szCs w:val="22"/>
          <w:highlight w:val="yellow"/>
        </w:rPr>
        <w:t>𨅖</w:t>
      </w:r>
      <w:r w:rsidRPr="008E2BBC">
        <w:rPr>
          <w:rFonts w:eastAsia="標楷體" w:hint="eastAsia"/>
          <w:color w:val="FF0000"/>
          <w:szCs w:val="22"/>
          <w:highlight w:val="yellow"/>
        </w:rPr>
        <w:t>陀迦旃延：「</w:t>
      </w:r>
      <w:r w:rsidR="00157EF6" w:rsidRPr="00212D57">
        <w:rPr>
          <w:rFonts w:eastAsia="標楷體"/>
          <w:szCs w:val="22"/>
        </w:rPr>
        <w:t>世間有二種依，若有、若無，為取所觸；取所觸故，或依有</w:t>
      </w:r>
      <w:r w:rsidR="0014580D">
        <w:rPr>
          <w:rFonts w:ascii="標楷體" w:eastAsia="標楷體" w:hAnsi="標楷體" w:hint="eastAsia"/>
          <w:color w:val="FF0000"/>
          <w:spacing w:val="-4"/>
          <w:kern w:val="0"/>
          <w:highlight w:val="yellow"/>
        </w:rPr>
        <w:t>、</w:t>
      </w:r>
      <w:r w:rsidR="00157EF6" w:rsidRPr="00212D57">
        <w:rPr>
          <w:rFonts w:eastAsia="標楷體"/>
          <w:szCs w:val="22"/>
        </w:rPr>
        <w:t>或依無。若無此取者，心境繫著、使，不取、不住</w:t>
      </w:r>
      <w:r w:rsidR="0014580D">
        <w:rPr>
          <w:rFonts w:ascii="標楷體" w:eastAsia="標楷體" w:hAnsi="標楷體" w:hint="eastAsia"/>
          <w:color w:val="FF0000"/>
          <w:spacing w:val="-4"/>
          <w:kern w:val="0"/>
          <w:highlight w:val="yellow"/>
        </w:rPr>
        <w:t>、</w:t>
      </w:r>
      <w:r w:rsidR="00157EF6" w:rsidRPr="00212D57">
        <w:rPr>
          <w:rFonts w:eastAsia="標楷體"/>
          <w:szCs w:val="22"/>
        </w:rPr>
        <w:t>不計我，苦生而生，苦滅而滅；於彼不疑、不惑，不由於他而自知，是名正見，是名如來所施設正見。所以者何？世間集，如實正知見，若世間無者不有；世間滅，如實正知見，若世間有者無有。是名離於二邊，說於中道</w:t>
      </w:r>
      <w:r w:rsidRPr="008E2BBC">
        <w:rPr>
          <w:rFonts w:eastAsia="標楷體" w:hint="eastAsia"/>
          <w:color w:val="FF0000"/>
          <w:szCs w:val="22"/>
          <w:highlight w:val="yellow"/>
        </w:rPr>
        <w:t>，所謂</w:t>
      </w:r>
      <w:r w:rsidR="0014580D">
        <w:rPr>
          <w:rFonts w:ascii="標楷體" w:eastAsia="標楷體" w:hAnsi="標楷體" w:hint="eastAsia"/>
          <w:color w:val="FF0000"/>
          <w:kern w:val="0"/>
          <w:highlight w:val="yellow"/>
        </w:rPr>
        <w:t>『</w:t>
      </w:r>
      <w:r w:rsidRPr="008E2BBC">
        <w:rPr>
          <w:rFonts w:eastAsia="標楷體" w:hint="eastAsia"/>
          <w:color w:val="FF0000"/>
          <w:szCs w:val="22"/>
          <w:highlight w:val="yellow"/>
        </w:rPr>
        <w:t>此有故彼有</w:t>
      </w:r>
      <w:r w:rsidR="0014580D">
        <w:rPr>
          <w:rFonts w:eastAsia="標楷體" w:hint="eastAsia"/>
          <w:color w:val="FF0000"/>
          <w:szCs w:val="22"/>
          <w:highlight w:val="yellow"/>
        </w:rPr>
        <w:t>，</w:t>
      </w:r>
      <w:r w:rsidRPr="008E2BBC">
        <w:rPr>
          <w:rFonts w:eastAsia="標楷體" w:hint="eastAsia"/>
          <w:color w:val="FF0000"/>
          <w:szCs w:val="22"/>
          <w:highlight w:val="yellow"/>
        </w:rPr>
        <w:t>此起故彼起</w:t>
      </w:r>
      <w:r w:rsidR="0014580D">
        <w:rPr>
          <w:rFonts w:ascii="標楷體" w:eastAsia="標楷體" w:hAnsi="標楷體" w:hint="eastAsia"/>
          <w:color w:val="FF0000"/>
          <w:kern w:val="0"/>
          <w:highlight w:val="yellow"/>
        </w:rPr>
        <w:t>』</w:t>
      </w:r>
      <w:r w:rsidRPr="008E2BBC">
        <w:rPr>
          <w:rFonts w:eastAsia="標楷體" w:hint="eastAsia"/>
          <w:color w:val="FF0000"/>
          <w:szCs w:val="22"/>
          <w:highlight w:val="yellow"/>
        </w:rPr>
        <w:t>，謂緣無明行</w:t>
      </w:r>
      <w:r w:rsidR="0014580D">
        <w:rPr>
          <w:rFonts w:eastAsia="標楷體" w:hint="eastAsia"/>
          <w:color w:val="FF0000"/>
          <w:szCs w:val="22"/>
          <w:highlight w:val="yellow"/>
        </w:rPr>
        <w:t>，</w:t>
      </w:r>
      <w:r w:rsidRPr="008E2BBC">
        <w:rPr>
          <w:rFonts w:eastAsia="標楷體" w:hint="eastAsia"/>
          <w:color w:val="FF0000"/>
          <w:szCs w:val="22"/>
          <w:highlight w:val="yellow"/>
        </w:rPr>
        <w:t>乃至純大苦聚集</w:t>
      </w:r>
      <w:r w:rsidR="0014580D">
        <w:rPr>
          <w:rFonts w:eastAsia="標楷體" w:hint="eastAsia"/>
          <w:color w:val="FF0000"/>
          <w:szCs w:val="22"/>
          <w:highlight w:val="yellow"/>
        </w:rPr>
        <w:t>；</w:t>
      </w:r>
      <w:r w:rsidRPr="008E2BBC">
        <w:rPr>
          <w:rFonts w:eastAsia="標楷體" w:hint="eastAsia"/>
          <w:color w:val="FF0000"/>
          <w:szCs w:val="22"/>
          <w:highlight w:val="yellow"/>
        </w:rPr>
        <w:t>無明滅故行滅，乃至純大苦聚滅。」</w:t>
      </w:r>
    </w:p>
    <w:p w:rsidR="00157EF6" w:rsidRPr="008E2BBC" w:rsidRDefault="008E2BBC" w:rsidP="008E2BBC">
      <w:pPr>
        <w:pStyle w:val="a5"/>
        <w:ind w:leftChars="305" w:left="732"/>
        <w:jc w:val="both"/>
        <w:rPr>
          <w:rFonts w:eastAsia="標楷體"/>
          <w:color w:val="FF0000"/>
          <w:szCs w:val="22"/>
          <w:highlight w:val="yellow"/>
        </w:rPr>
      </w:pPr>
      <w:r w:rsidRPr="008E2BBC">
        <w:rPr>
          <w:rFonts w:eastAsia="標楷體" w:hint="eastAsia"/>
          <w:color w:val="FF0000"/>
          <w:szCs w:val="22"/>
          <w:highlight w:val="yellow"/>
        </w:rPr>
        <w:t>佛說此經已，尊者</w:t>
      </w:r>
      <w:r w:rsidRPr="008E2BBC">
        <w:rPr>
          <w:rFonts w:ascii="新細明體-ExtB" w:eastAsia="新細明體-ExtB" w:hAnsi="新細明體-ExtB" w:cs="新細明體-ExtB" w:hint="eastAsia"/>
          <w:color w:val="FF0000"/>
          <w:szCs w:val="22"/>
          <w:highlight w:val="yellow"/>
        </w:rPr>
        <w:t>𨅖</w:t>
      </w:r>
      <w:r w:rsidRPr="008E2BBC">
        <w:rPr>
          <w:rFonts w:eastAsia="標楷體" w:hint="eastAsia"/>
          <w:color w:val="FF0000"/>
          <w:szCs w:val="22"/>
          <w:highlight w:val="yellow"/>
        </w:rPr>
        <w:t>陀迦旃延聞佛所說，不起諸漏，心得解脫，成阿羅漢。</w:t>
      </w:r>
    </w:p>
    <w:p w:rsidR="00157EF6" w:rsidRPr="00212D57" w:rsidRDefault="00157EF6" w:rsidP="008E68AA">
      <w:pPr>
        <w:pStyle w:val="a5"/>
        <w:ind w:leftChars="80" w:left="731" w:hangingChars="245" w:hanging="539"/>
        <w:jc w:val="both"/>
        <w:rPr>
          <w:szCs w:val="22"/>
        </w:rPr>
      </w:pPr>
      <w:r w:rsidRPr="00212D57">
        <w:rPr>
          <w:szCs w:val="22"/>
        </w:rPr>
        <w:t>（</w:t>
      </w:r>
      <w:r w:rsidRPr="00761EF3">
        <w:rPr>
          <w:szCs w:val="22"/>
        </w:rPr>
        <w:t>2</w:t>
      </w:r>
      <w:r w:rsidRPr="00212D57">
        <w:rPr>
          <w:szCs w:val="22"/>
        </w:rPr>
        <w:t>）《雜阿含經》卷</w:t>
      </w:r>
      <w:r w:rsidRPr="00761EF3">
        <w:rPr>
          <w:szCs w:val="22"/>
        </w:rPr>
        <w:t>10</w:t>
      </w:r>
      <w:r w:rsidRPr="00212D57">
        <w:rPr>
          <w:szCs w:val="22"/>
        </w:rPr>
        <w:t>（</w:t>
      </w:r>
      <w:r w:rsidRPr="00761EF3">
        <w:rPr>
          <w:szCs w:val="22"/>
        </w:rPr>
        <w:t>262</w:t>
      </w:r>
      <w:r w:rsidRPr="00212D57">
        <w:rPr>
          <w:szCs w:val="22"/>
        </w:rPr>
        <w:t>經）（大正</w:t>
      </w:r>
      <w:r w:rsidRPr="00761EF3">
        <w:rPr>
          <w:szCs w:val="22"/>
        </w:rPr>
        <w:t>2</w:t>
      </w:r>
      <w:r w:rsidRPr="00212D57">
        <w:rPr>
          <w:szCs w:val="22"/>
        </w:rPr>
        <w:t>，</w:t>
      </w:r>
      <w:r w:rsidRPr="00761EF3">
        <w:rPr>
          <w:szCs w:val="22"/>
        </w:rPr>
        <w:t>66c25</w:t>
      </w:r>
      <w:r w:rsidRPr="00212D57">
        <w:rPr>
          <w:szCs w:val="22"/>
        </w:rPr>
        <w:t>-</w:t>
      </w:r>
      <w:r w:rsidRPr="00761EF3">
        <w:rPr>
          <w:szCs w:val="22"/>
        </w:rPr>
        <w:t>67a9</w:t>
      </w:r>
      <w:r w:rsidRPr="00212D57">
        <w:rPr>
          <w:szCs w:val="22"/>
        </w:rPr>
        <w:t>）：</w:t>
      </w:r>
    </w:p>
    <w:p w:rsidR="0014580D" w:rsidRDefault="00157EF6" w:rsidP="008E68AA">
      <w:pPr>
        <w:pStyle w:val="a5"/>
        <w:ind w:leftChars="305" w:left="732"/>
        <w:jc w:val="both"/>
        <w:rPr>
          <w:rFonts w:eastAsia="標楷體"/>
          <w:szCs w:val="22"/>
        </w:rPr>
      </w:pPr>
      <w:r w:rsidRPr="00212D57">
        <w:rPr>
          <w:rFonts w:eastAsia="標楷體"/>
          <w:szCs w:val="22"/>
        </w:rPr>
        <w:t>阿難語闡陀言：</w:t>
      </w:r>
      <w:r w:rsidRPr="00212D57">
        <w:rPr>
          <w:rFonts w:eastAsia="標楷體" w:hint="eastAsia"/>
          <w:szCs w:val="22"/>
        </w:rPr>
        <w:t>「</w:t>
      </w:r>
      <w:r w:rsidRPr="00212D57">
        <w:rPr>
          <w:rFonts w:eastAsia="標楷體"/>
          <w:szCs w:val="22"/>
        </w:rPr>
        <w:t>我親從佛聞，教摩訶迦旃延言：</w:t>
      </w:r>
      <w:r w:rsidR="008E2BBC">
        <w:rPr>
          <w:rFonts w:eastAsia="標楷體" w:hint="eastAsia"/>
          <w:color w:val="FF0000"/>
          <w:szCs w:val="22"/>
          <w:highlight w:val="yellow"/>
        </w:rPr>
        <w:t>『</w:t>
      </w:r>
      <w:r w:rsidRPr="00212D57">
        <w:rPr>
          <w:rFonts w:eastAsia="標楷體"/>
          <w:szCs w:val="22"/>
        </w:rPr>
        <w:t>世人顛倒，依於二邊，若有、若無。世人取諸境界，心便計著。迦旃延！若不受，不取，不住，不計於我，此苦生時生、滅時滅。迦旃延！於此不疑、不惑，不由於他而能自如，是名正見</w:t>
      </w:r>
      <w:r w:rsidR="0014580D">
        <w:rPr>
          <w:rFonts w:ascii="標楷體" w:eastAsia="標楷體" w:hAnsi="標楷體" w:hint="eastAsia"/>
          <w:color w:val="FF0000"/>
          <w:kern w:val="0"/>
          <w:highlight w:val="yellow"/>
        </w:rPr>
        <w:t>，</w:t>
      </w:r>
      <w:r w:rsidRPr="00212D57">
        <w:rPr>
          <w:rFonts w:eastAsia="標楷體"/>
          <w:szCs w:val="22"/>
        </w:rPr>
        <w:t>如來所說。所以者何？迦旃延！如實正觀世間集者，則不生世間無見；如實正觀世間滅，則不生世間有見。迦旃延！如來離於二邊，說於中道</w:t>
      </w:r>
      <w:r w:rsidR="0014580D">
        <w:rPr>
          <w:rFonts w:ascii="標楷體" w:eastAsia="標楷體" w:hAnsi="標楷體" w:hint="eastAsia"/>
          <w:color w:val="FF0000"/>
          <w:kern w:val="0"/>
          <w:highlight w:val="yellow"/>
        </w:rPr>
        <w:t>，</w:t>
      </w:r>
      <w:r w:rsidRPr="00212D57">
        <w:rPr>
          <w:rFonts w:eastAsia="標楷體"/>
          <w:szCs w:val="22"/>
        </w:rPr>
        <w:t>所謂</w:t>
      </w:r>
      <w:r w:rsidR="0014580D">
        <w:rPr>
          <w:rFonts w:ascii="標楷體" w:eastAsia="標楷體" w:hAnsi="標楷體" w:hint="eastAsia"/>
          <w:color w:val="FF0000"/>
          <w:kern w:val="0"/>
          <w:highlight w:val="yellow"/>
        </w:rPr>
        <w:t>『</w:t>
      </w:r>
      <w:r w:rsidRPr="00212D57">
        <w:rPr>
          <w:rFonts w:eastAsia="標楷體"/>
          <w:szCs w:val="22"/>
        </w:rPr>
        <w:t>此有故彼有，此生故彼生</w:t>
      </w:r>
      <w:r w:rsidR="0014580D">
        <w:rPr>
          <w:rFonts w:ascii="標楷體" w:eastAsia="標楷體" w:hAnsi="標楷體" w:hint="eastAsia"/>
          <w:color w:val="FF0000"/>
          <w:kern w:val="0"/>
          <w:highlight w:val="yellow"/>
        </w:rPr>
        <w:t>』</w:t>
      </w:r>
      <w:r w:rsidRPr="00212D57">
        <w:rPr>
          <w:rFonts w:eastAsia="標楷體"/>
          <w:szCs w:val="22"/>
        </w:rPr>
        <w:t>，謂緣無明有行，乃至生老病</w:t>
      </w:r>
      <w:r w:rsidRPr="0014580D">
        <w:rPr>
          <w:rFonts w:eastAsia="標楷體"/>
          <w:szCs w:val="22"/>
          <w:highlight w:val="yellow"/>
        </w:rPr>
        <w:t>死憂</w:t>
      </w:r>
      <w:r w:rsidRPr="00212D57">
        <w:rPr>
          <w:rFonts w:eastAsia="標楷體"/>
          <w:szCs w:val="22"/>
        </w:rPr>
        <w:t>悲惱苦集</w:t>
      </w:r>
      <w:r w:rsidR="0014580D">
        <w:rPr>
          <w:rFonts w:ascii="標楷體" w:eastAsia="標楷體" w:hAnsi="標楷體" w:hint="eastAsia"/>
          <w:color w:val="FF0000"/>
          <w:spacing w:val="-4"/>
          <w:kern w:val="0"/>
          <w:highlight w:val="yellow"/>
        </w:rPr>
        <w:t>；</w:t>
      </w:r>
      <w:r w:rsidRPr="00212D57">
        <w:rPr>
          <w:rFonts w:eastAsia="標楷體"/>
          <w:szCs w:val="22"/>
        </w:rPr>
        <w:t>所謂</w:t>
      </w:r>
      <w:r w:rsidR="0014580D">
        <w:rPr>
          <w:rFonts w:ascii="標楷體" w:eastAsia="標楷體" w:hAnsi="標楷體" w:hint="eastAsia"/>
          <w:color w:val="FF0000"/>
          <w:kern w:val="0"/>
          <w:highlight w:val="yellow"/>
        </w:rPr>
        <w:t>『</w:t>
      </w:r>
      <w:r w:rsidRPr="00212D57">
        <w:rPr>
          <w:rFonts w:eastAsia="標楷體"/>
          <w:szCs w:val="22"/>
        </w:rPr>
        <w:t>此無故彼無，此滅故彼滅</w:t>
      </w:r>
      <w:r w:rsidR="0014580D">
        <w:rPr>
          <w:rFonts w:ascii="標楷體" w:eastAsia="標楷體" w:hAnsi="標楷體" w:hint="eastAsia"/>
          <w:color w:val="FF0000"/>
          <w:kern w:val="0"/>
          <w:highlight w:val="yellow"/>
        </w:rPr>
        <w:t>』</w:t>
      </w:r>
      <w:r w:rsidRPr="00212D57">
        <w:rPr>
          <w:rFonts w:eastAsia="標楷體"/>
          <w:szCs w:val="22"/>
        </w:rPr>
        <w:t>，謂無明滅則行滅，乃至生老病</w:t>
      </w:r>
      <w:r w:rsidRPr="0014580D">
        <w:rPr>
          <w:rFonts w:eastAsia="標楷體"/>
          <w:szCs w:val="22"/>
          <w:highlight w:val="yellow"/>
        </w:rPr>
        <w:t>死憂</w:t>
      </w:r>
      <w:r w:rsidRPr="00212D57">
        <w:rPr>
          <w:rFonts w:eastAsia="標楷體"/>
          <w:szCs w:val="22"/>
        </w:rPr>
        <w:t>悲惱苦滅。</w:t>
      </w:r>
      <w:r w:rsidR="008E2BBC">
        <w:rPr>
          <w:rFonts w:eastAsia="標楷體" w:hint="eastAsia"/>
          <w:color w:val="FF0000"/>
          <w:szCs w:val="22"/>
          <w:highlight w:val="yellow"/>
        </w:rPr>
        <w:t>』</w:t>
      </w:r>
      <w:r w:rsidRPr="00212D57">
        <w:rPr>
          <w:rFonts w:eastAsia="標楷體" w:hint="eastAsia"/>
          <w:szCs w:val="22"/>
        </w:rPr>
        <w:t>」</w:t>
      </w:r>
    </w:p>
    <w:p w:rsidR="00157EF6" w:rsidRPr="00212D57" w:rsidRDefault="00157EF6" w:rsidP="008E68AA">
      <w:pPr>
        <w:pStyle w:val="a5"/>
        <w:ind w:leftChars="305" w:left="732"/>
        <w:jc w:val="both"/>
        <w:rPr>
          <w:rFonts w:eastAsia="標楷體"/>
          <w:szCs w:val="22"/>
        </w:rPr>
      </w:pPr>
      <w:r w:rsidRPr="00212D57">
        <w:rPr>
          <w:rFonts w:eastAsia="標楷體"/>
          <w:szCs w:val="22"/>
        </w:rPr>
        <w:t>尊者阿難說是法時，闡陀比丘遠塵、離垢，得法眼淨。</w:t>
      </w:r>
    </w:p>
  </w:footnote>
  <w:footnote w:id="140">
    <w:p w:rsidR="00157EF6" w:rsidRPr="00212D57" w:rsidRDefault="00157EF6" w:rsidP="00C83630">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szCs w:val="22"/>
        </w:rPr>
        <w:t>參見</w:t>
      </w:r>
      <w:r w:rsidR="008E2BBC">
        <w:rPr>
          <w:rFonts w:hint="eastAsia"/>
          <w:szCs w:val="22"/>
        </w:rPr>
        <w:t>：</w:t>
      </w:r>
      <w:r w:rsidRPr="00212D57">
        <w:rPr>
          <w:szCs w:val="22"/>
        </w:rPr>
        <w:t>印順法師，《中觀今論》，</w:t>
      </w:r>
      <w:r w:rsidRPr="00761EF3">
        <w:rPr>
          <w:szCs w:val="22"/>
        </w:rPr>
        <w:t>pp</w:t>
      </w:r>
      <w:r w:rsidRPr="00212D57">
        <w:rPr>
          <w:szCs w:val="22"/>
        </w:rPr>
        <w:t>.</w:t>
      </w:r>
      <w:r w:rsidRPr="00761EF3">
        <w:rPr>
          <w:szCs w:val="22"/>
        </w:rPr>
        <w:t>7</w:t>
      </w:r>
      <w:r w:rsidRPr="00212D57">
        <w:rPr>
          <w:szCs w:val="22"/>
        </w:rPr>
        <w:t>-</w:t>
      </w:r>
      <w:r w:rsidRPr="00761EF3">
        <w:rPr>
          <w:szCs w:val="22"/>
        </w:rPr>
        <w:t>8</w:t>
      </w:r>
      <w:r w:rsidRPr="00212D57">
        <w:rPr>
          <w:szCs w:val="22"/>
        </w:rPr>
        <w:t>：</w:t>
      </w:r>
    </w:p>
    <w:p w:rsidR="00157EF6" w:rsidRPr="00212D57" w:rsidRDefault="00157EF6" w:rsidP="00C83630">
      <w:pPr>
        <w:pStyle w:val="a5"/>
        <w:ind w:leftChars="105" w:left="252"/>
        <w:jc w:val="both"/>
        <w:rPr>
          <w:rFonts w:eastAsia="標楷體"/>
          <w:szCs w:val="22"/>
        </w:rPr>
      </w:pPr>
      <w:r w:rsidRPr="00212D57">
        <w:rPr>
          <w:rFonts w:eastAsia="標楷體"/>
          <w:szCs w:val="22"/>
        </w:rPr>
        <w:t>正見為導的中道，即是從正見人生的實相中，增進、淨化此人生以及解脫、完成。正見人生的實相，佛在處處經中，也即說之為中道或中法。如《雜阿含經》（大正藏編號</w:t>
      </w:r>
      <w:r w:rsidR="004135CE">
        <w:rPr>
          <w:rFonts w:eastAsia="標楷體" w:hint="eastAsia"/>
          <w:szCs w:val="22"/>
        </w:rPr>
        <w:t>262</w:t>
      </w:r>
      <w:r w:rsidRPr="00212D57">
        <w:rPr>
          <w:rFonts w:eastAsia="標楷體"/>
          <w:szCs w:val="22"/>
        </w:rPr>
        <w:t>經）說：「世人顛倒，依於二邊，若有、若無。</w:t>
      </w:r>
      <w:r w:rsidRPr="00212D57">
        <w:rPr>
          <w:rFonts w:ascii="標楷體" w:eastAsia="標楷體" w:hAnsi="標楷體"/>
          <w:szCs w:val="22"/>
        </w:rPr>
        <w:t>……</w:t>
      </w:r>
      <w:r w:rsidRPr="00212D57">
        <w:rPr>
          <w:rFonts w:eastAsia="標楷體"/>
          <w:szCs w:val="22"/>
        </w:rPr>
        <w:t>迦旃延！如實正觀世間集者，則不生世間無見；如實正觀世間滅，則不生世間有見。迦旃延！如來離於二邊，說於中道，所謂此有故彼有，此生故彼生。」此是釋尊開示「正見」的教授，說明世人不依於有，則依於無，佛離有無二邊而說中道法。然所謂離有離無的中道，不是折中於有無，而說亦有亦無或半有半無的。釋迦所說者，為緣起法，依於緣起的正見，能得不落有無二邊的中道。</w:t>
      </w:r>
    </w:p>
  </w:footnote>
  <w:footnote w:id="141">
    <w:p w:rsidR="00157EF6" w:rsidRPr="00212D57" w:rsidRDefault="00157EF6" w:rsidP="00C83630">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《中論》卷</w:t>
      </w:r>
      <w:r w:rsidRPr="00761EF3">
        <w:rPr>
          <w:szCs w:val="22"/>
        </w:rPr>
        <w:t>4</w:t>
      </w:r>
      <w:r w:rsidRPr="00212D57">
        <w:rPr>
          <w:szCs w:val="22"/>
        </w:rPr>
        <w:t>〈</w:t>
      </w:r>
      <w:r w:rsidRPr="00761EF3">
        <w:rPr>
          <w:szCs w:val="22"/>
        </w:rPr>
        <w:t>24</w:t>
      </w:r>
      <w:r w:rsidRPr="00212D57">
        <w:rPr>
          <w:szCs w:val="22"/>
        </w:rPr>
        <w:t xml:space="preserve"> </w:t>
      </w:r>
      <w:r w:rsidRPr="00212D57">
        <w:rPr>
          <w:szCs w:val="22"/>
        </w:rPr>
        <w:t>觀四諦品〉（大正</w:t>
      </w:r>
      <w:r w:rsidRPr="00761EF3">
        <w:rPr>
          <w:szCs w:val="22"/>
        </w:rPr>
        <w:t>30</w:t>
      </w:r>
      <w:r w:rsidRPr="00212D57">
        <w:rPr>
          <w:szCs w:val="22"/>
        </w:rPr>
        <w:t>，</w:t>
      </w:r>
      <w:r w:rsidRPr="00761EF3">
        <w:rPr>
          <w:szCs w:val="22"/>
        </w:rPr>
        <w:t>33a14</w:t>
      </w:r>
      <w:r w:rsidRPr="00212D57">
        <w:rPr>
          <w:szCs w:val="22"/>
        </w:rPr>
        <w:t>-</w:t>
      </w:r>
      <w:r w:rsidRPr="00761EF3">
        <w:rPr>
          <w:szCs w:val="22"/>
        </w:rPr>
        <w:t>15</w:t>
      </w:r>
      <w:r w:rsidRPr="00212D57">
        <w:rPr>
          <w:szCs w:val="22"/>
        </w:rPr>
        <w:t>）。</w:t>
      </w:r>
    </w:p>
  </w:footnote>
  <w:footnote w:id="142">
    <w:p w:rsidR="00157EF6" w:rsidRPr="00212D57" w:rsidRDefault="00157EF6" w:rsidP="00C83630">
      <w:pPr>
        <w:pStyle w:val="a5"/>
        <w:spacing w:line="0" w:lineRule="atLeast"/>
        <w:ind w:left="253" w:hangingChars="115" w:hanging="253"/>
        <w:jc w:val="both"/>
        <w:rPr>
          <w:rFonts w:eastAsia="標楷體"/>
          <w:szCs w:val="22"/>
        </w:rPr>
      </w:pPr>
      <w:r w:rsidRPr="00212D57">
        <w:rPr>
          <w:rStyle w:val="a6"/>
          <w:szCs w:val="22"/>
        </w:rPr>
        <w:footnoteRef/>
      </w:r>
      <w:r w:rsidRPr="00212D57">
        <w:rPr>
          <w:rFonts w:hint="eastAsia"/>
          <w:szCs w:val="22"/>
        </w:rPr>
        <w:t xml:space="preserve"> </w:t>
      </w:r>
      <w:r w:rsidRPr="00212D57">
        <w:rPr>
          <w:szCs w:val="22"/>
        </w:rPr>
        <w:t>《增壹阿含經》卷</w:t>
      </w:r>
      <w:r w:rsidRPr="00761EF3">
        <w:rPr>
          <w:szCs w:val="22"/>
        </w:rPr>
        <w:t>10</w:t>
      </w:r>
      <w:r w:rsidRPr="00212D57">
        <w:rPr>
          <w:szCs w:val="22"/>
        </w:rPr>
        <w:t>〈</w:t>
      </w:r>
      <w:r w:rsidRPr="00761EF3">
        <w:rPr>
          <w:szCs w:val="22"/>
        </w:rPr>
        <w:t>19</w:t>
      </w:r>
      <w:r w:rsidRPr="00212D57">
        <w:rPr>
          <w:szCs w:val="22"/>
        </w:rPr>
        <w:t>勸請品〉</w:t>
      </w:r>
      <w:r w:rsidR="00434424" w:rsidRPr="00212D57">
        <w:rPr>
          <w:szCs w:val="22"/>
        </w:rPr>
        <w:t>（大正</w:t>
      </w:r>
      <w:r w:rsidR="00434424" w:rsidRPr="00761EF3">
        <w:rPr>
          <w:szCs w:val="22"/>
        </w:rPr>
        <w:t>2</w:t>
      </w:r>
      <w:r w:rsidR="00434424" w:rsidRPr="00212D57">
        <w:rPr>
          <w:szCs w:val="22"/>
        </w:rPr>
        <w:t>，</w:t>
      </w:r>
      <w:r w:rsidR="00434424" w:rsidRPr="00761EF3">
        <w:rPr>
          <w:szCs w:val="22"/>
        </w:rPr>
        <w:t>593a25</w:t>
      </w:r>
      <w:r w:rsidR="00434424" w:rsidRPr="00212D57">
        <w:rPr>
          <w:szCs w:val="22"/>
        </w:rPr>
        <w:t>-</w:t>
      </w:r>
      <w:r w:rsidR="00434424" w:rsidRPr="00761EF3">
        <w:rPr>
          <w:szCs w:val="22"/>
        </w:rPr>
        <w:t>29</w:t>
      </w:r>
      <w:r w:rsidR="00434424" w:rsidRPr="00212D57">
        <w:rPr>
          <w:szCs w:val="22"/>
        </w:rPr>
        <w:t>）</w:t>
      </w:r>
      <w:r w:rsidRPr="00212D57">
        <w:rPr>
          <w:szCs w:val="22"/>
        </w:rPr>
        <w:t>：「</w:t>
      </w:r>
      <w:r w:rsidRPr="00212D57">
        <w:rPr>
          <w:rFonts w:eastAsia="標楷體"/>
          <w:szCs w:val="22"/>
        </w:rPr>
        <w:t>我今甚深之法，難曉</w:t>
      </w:r>
      <w:r w:rsidR="00451A51">
        <w:rPr>
          <w:rFonts w:ascii="標楷體" w:eastAsia="標楷體" w:hAnsi="標楷體" w:hint="eastAsia"/>
          <w:color w:val="FF0000"/>
          <w:spacing w:val="-4"/>
          <w:kern w:val="0"/>
          <w:highlight w:val="yellow"/>
        </w:rPr>
        <w:t>、</w:t>
      </w:r>
      <w:r w:rsidRPr="00212D57">
        <w:rPr>
          <w:rFonts w:eastAsia="標楷體"/>
          <w:szCs w:val="22"/>
        </w:rPr>
        <w:t>難了</w:t>
      </w:r>
      <w:r w:rsidR="00451A51">
        <w:rPr>
          <w:rFonts w:ascii="標楷體" w:eastAsia="標楷體" w:hAnsi="標楷體" w:hint="eastAsia"/>
          <w:color w:val="FF0000"/>
          <w:spacing w:val="-4"/>
          <w:kern w:val="0"/>
          <w:highlight w:val="yellow"/>
        </w:rPr>
        <w:t>、</w:t>
      </w:r>
      <w:r w:rsidRPr="00212D57">
        <w:rPr>
          <w:rFonts w:eastAsia="標楷體"/>
          <w:szCs w:val="22"/>
        </w:rPr>
        <w:t>難可覺知</w:t>
      </w:r>
      <w:r w:rsidR="00451A51">
        <w:rPr>
          <w:rFonts w:ascii="標楷體" w:eastAsia="標楷體" w:hAnsi="標楷體" w:hint="eastAsia"/>
          <w:color w:val="FF0000"/>
          <w:spacing w:val="-4"/>
          <w:kern w:val="0"/>
          <w:highlight w:val="yellow"/>
        </w:rPr>
        <w:t>、</w:t>
      </w:r>
      <w:r w:rsidRPr="00212D57">
        <w:rPr>
          <w:rFonts w:eastAsia="標楷體"/>
          <w:szCs w:val="22"/>
        </w:rPr>
        <w:t>不可思惟</w:t>
      </w:r>
      <w:r w:rsidR="00451A51">
        <w:rPr>
          <w:rFonts w:ascii="標楷體" w:eastAsia="標楷體" w:hAnsi="標楷體" w:hint="eastAsia"/>
          <w:color w:val="FF0000"/>
          <w:spacing w:val="-4"/>
          <w:kern w:val="0"/>
          <w:highlight w:val="yellow"/>
        </w:rPr>
        <w:t>、</w:t>
      </w:r>
      <w:r w:rsidRPr="00212D57">
        <w:rPr>
          <w:rFonts w:eastAsia="標楷體"/>
          <w:szCs w:val="22"/>
        </w:rPr>
        <w:t>休息</w:t>
      </w:r>
      <w:r w:rsidR="00451A51">
        <w:rPr>
          <w:rFonts w:ascii="標楷體" w:eastAsia="標楷體" w:hAnsi="標楷體" w:hint="eastAsia"/>
          <w:color w:val="FF0000"/>
          <w:spacing w:val="-4"/>
          <w:kern w:val="0"/>
          <w:highlight w:val="yellow"/>
        </w:rPr>
        <w:t>、</w:t>
      </w:r>
      <w:r w:rsidRPr="00212D57">
        <w:rPr>
          <w:rFonts w:eastAsia="標楷體"/>
          <w:szCs w:val="22"/>
        </w:rPr>
        <w:t>微妙，智者所覺知，能分別義理，習之不厭，即得歡喜。設吾與人說妙法者，人不信受，亦不奉行者</w:t>
      </w:r>
      <w:r w:rsidR="00451A51">
        <w:rPr>
          <w:rFonts w:ascii="標楷體" w:eastAsia="標楷體" w:hAnsi="標楷體" w:hint="eastAsia"/>
          <w:color w:val="FF0000"/>
          <w:kern w:val="0"/>
          <w:highlight w:val="yellow"/>
        </w:rPr>
        <w:t>，</w:t>
      </w:r>
      <w:r w:rsidRPr="00212D57">
        <w:rPr>
          <w:rFonts w:eastAsia="標楷體"/>
          <w:szCs w:val="22"/>
        </w:rPr>
        <w:t>唐有其勞，則有所損</w:t>
      </w:r>
      <w:r w:rsidR="00451A51">
        <w:rPr>
          <w:rFonts w:ascii="標楷體" w:eastAsia="標楷體" w:hAnsi="標楷體" w:hint="eastAsia"/>
          <w:color w:val="FF0000"/>
          <w:kern w:val="0"/>
          <w:highlight w:val="yellow"/>
        </w:rPr>
        <w:t>。</w:t>
      </w:r>
      <w:r w:rsidRPr="00212D57">
        <w:rPr>
          <w:rFonts w:eastAsia="標楷體"/>
          <w:szCs w:val="22"/>
        </w:rPr>
        <w:t>我今宜可默然，何須說法</w:t>
      </w:r>
      <w:r w:rsidR="00451A51">
        <w:rPr>
          <w:rFonts w:ascii="標楷體" w:eastAsia="標楷體" w:hAnsi="標楷體" w:hint="eastAsia"/>
          <w:color w:val="FF0000"/>
          <w:kern w:val="0"/>
          <w:highlight w:val="yellow"/>
        </w:rPr>
        <w:t>！</w:t>
      </w:r>
      <w:r w:rsidRPr="00212D57">
        <w:rPr>
          <w:szCs w:val="22"/>
        </w:rPr>
        <w:t>」</w:t>
      </w:r>
    </w:p>
  </w:footnote>
  <w:footnote w:id="143">
    <w:p w:rsidR="00157EF6" w:rsidRPr="00212D57" w:rsidRDefault="00157EF6" w:rsidP="00C83630">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rFonts w:hint="eastAsia"/>
          <w:szCs w:val="22"/>
        </w:rPr>
        <w:t>1</w:t>
      </w:r>
      <w:r w:rsidRPr="00212D57">
        <w:rPr>
          <w:szCs w:val="22"/>
        </w:rPr>
        <w:t>）《長阿含經》卷</w:t>
      </w:r>
      <w:r w:rsidRPr="00761EF3">
        <w:rPr>
          <w:szCs w:val="22"/>
        </w:rPr>
        <w:t>1</w:t>
      </w:r>
      <w:r w:rsidRPr="00212D57">
        <w:rPr>
          <w:rFonts w:hint="eastAsia"/>
          <w:szCs w:val="22"/>
        </w:rPr>
        <w:t>（</w:t>
      </w:r>
      <w:r w:rsidRPr="00761EF3">
        <w:rPr>
          <w:rFonts w:hint="eastAsia"/>
          <w:szCs w:val="22"/>
        </w:rPr>
        <w:t>1</w:t>
      </w:r>
      <w:r w:rsidRPr="00212D57">
        <w:rPr>
          <w:rFonts w:hint="eastAsia"/>
          <w:szCs w:val="22"/>
        </w:rPr>
        <w:t>經）《大本經》</w:t>
      </w:r>
      <w:r w:rsidRPr="00212D57">
        <w:rPr>
          <w:szCs w:val="22"/>
        </w:rPr>
        <w:t>（大正</w:t>
      </w:r>
      <w:r w:rsidRPr="00761EF3">
        <w:rPr>
          <w:szCs w:val="22"/>
        </w:rPr>
        <w:t>1</w:t>
      </w:r>
      <w:r w:rsidRPr="00212D57">
        <w:rPr>
          <w:szCs w:val="22"/>
        </w:rPr>
        <w:t>，</w:t>
      </w:r>
      <w:r w:rsidRPr="00761EF3">
        <w:rPr>
          <w:szCs w:val="22"/>
        </w:rPr>
        <w:t>8b15</w:t>
      </w:r>
      <w:r w:rsidRPr="00212D57">
        <w:rPr>
          <w:szCs w:val="22"/>
        </w:rPr>
        <w:t>-</w:t>
      </w:r>
      <w:r w:rsidRPr="00761EF3">
        <w:rPr>
          <w:szCs w:val="22"/>
        </w:rPr>
        <w:t>c1</w:t>
      </w:r>
      <w:r w:rsidRPr="00212D57">
        <w:rPr>
          <w:szCs w:val="22"/>
        </w:rPr>
        <w:t>）。</w:t>
      </w:r>
    </w:p>
    <w:p w:rsidR="00157EF6" w:rsidRPr="00212D57" w:rsidRDefault="00157EF6" w:rsidP="00C83630">
      <w:pPr>
        <w:pStyle w:val="a5"/>
        <w:ind w:leftChars="105" w:left="791" w:hangingChars="245" w:hanging="539"/>
        <w:jc w:val="both"/>
        <w:rPr>
          <w:szCs w:val="22"/>
        </w:rPr>
      </w:pPr>
      <w:r w:rsidRPr="00212D57">
        <w:rPr>
          <w:szCs w:val="22"/>
        </w:rPr>
        <w:t>（</w:t>
      </w:r>
      <w:r w:rsidRPr="00761EF3">
        <w:rPr>
          <w:rFonts w:hint="eastAsia"/>
          <w:szCs w:val="22"/>
        </w:rPr>
        <w:t>2</w:t>
      </w:r>
      <w:r w:rsidRPr="00212D57">
        <w:rPr>
          <w:szCs w:val="22"/>
        </w:rPr>
        <w:t>）《雜阿含經》卷</w:t>
      </w:r>
      <w:r w:rsidRPr="00761EF3">
        <w:rPr>
          <w:szCs w:val="22"/>
        </w:rPr>
        <w:t>10</w:t>
      </w:r>
      <w:r w:rsidRPr="00212D57">
        <w:rPr>
          <w:szCs w:val="22"/>
        </w:rPr>
        <w:t>（</w:t>
      </w:r>
      <w:r w:rsidRPr="00761EF3">
        <w:rPr>
          <w:szCs w:val="22"/>
        </w:rPr>
        <w:t>272</w:t>
      </w:r>
      <w:r w:rsidRPr="00212D57">
        <w:rPr>
          <w:szCs w:val="22"/>
        </w:rPr>
        <w:t>經）（大正</w:t>
      </w:r>
      <w:r w:rsidRPr="00761EF3">
        <w:rPr>
          <w:szCs w:val="22"/>
        </w:rPr>
        <w:t>2</w:t>
      </w:r>
      <w:r w:rsidRPr="00212D57">
        <w:rPr>
          <w:szCs w:val="22"/>
        </w:rPr>
        <w:t>，</w:t>
      </w:r>
      <w:r w:rsidRPr="00761EF3">
        <w:rPr>
          <w:szCs w:val="22"/>
        </w:rPr>
        <w:t>71c14</w:t>
      </w:r>
      <w:r w:rsidRPr="00212D57">
        <w:rPr>
          <w:szCs w:val="22"/>
        </w:rPr>
        <w:t>-</w:t>
      </w:r>
      <w:r w:rsidRPr="00761EF3">
        <w:rPr>
          <w:szCs w:val="22"/>
        </w:rPr>
        <w:t>72a1</w:t>
      </w:r>
      <w:r w:rsidRPr="00212D57">
        <w:rPr>
          <w:szCs w:val="22"/>
        </w:rPr>
        <w:t>）。</w:t>
      </w:r>
    </w:p>
    <w:p w:rsidR="00157EF6" w:rsidRPr="00212D57" w:rsidRDefault="00157EF6" w:rsidP="00C83630">
      <w:pPr>
        <w:pStyle w:val="a5"/>
        <w:ind w:leftChars="105" w:left="791" w:hangingChars="245" w:hanging="539"/>
        <w:jc w:val="both"/>
        <w:rPr>
          <w:szCs w:val="22"/>
        </w:rPr>
      </w:pPr>
      <w:r w:rsidRPr="00212D57">
        <w:rPr>
          <w:szCs w:val="22"/>
        </w:rPr>
        <w:t>（</w:t>
      </w:r>
      <w:r w:rsidRPr="00761EF3">
        <w:rPr>
          <w:rFonts w:hint="eastAsia"/>
          <w:szCs w:val="22"/>
        </w:rPr>
        <w:t>3</w:t>
      </w:r>
      <w:r w:rsidRPr="00212D57">
        <w:rPr>
          <w:szCs w:val="22"/>
        </w:rPr>
        <w:t>）《雜阿含經》卷</w:t>
      </w:r>
      <w:r w:rsidRPr="00761EF3">
        <w:rPr>
          <w:szCs w:val="22"/>
        </w:rPr>
        <w:t>44</w:t>
      </w:r>
      <w:r w:rsidRPr="00212D57">
        <w:rPr>
          <w:szCs w:val="22"/>
        </w:rPr>
        <w:t>（</w:t>
      </w:r>
      <w:r w:rsidRPr="00761EF3">
        <w:rPr>
          <w:szCs w:val="22"/>
        </w:rPr>
        <w:t>1188</w:t>
      </w:r>
      <w:r w:rsidRPr="00212D57">
        <w:rPr>
          <w:szCs w:val="22"/>
        </w:rPr>
        <w:t>經）（大正</w:t>
      </w:r>
      <w:r w:rsidRPr="00761EF3">
        <w:rPr>
          <w:szCs w:val="22"/>
        </w:rPr>
        <w:t>2</w:t>
      </w:r>
      <w:r w:rsidRPr="00212D57">
        <w:rPr>
          <w:szCs w:val="22"/>
        </w:rPr>
        <w:t>，</w:t>
      </w:r>
      <w:r w:rsidRPr="00761EF3">
        <w:rPr>
          <w:szCs w:val="22"/>
        </w:rPr>
        <w:t>321c18</w:t>
      </w:r>
      <w:r w:rsidRPr="00212D57">
        <w:rPr>
          <w:szCs w:val="22"/>
        </w:rPr>
        <w:t>-</w:t>
      </w:r>
      <w:r w:rsidRPr="00761EF3">
        <w:rPr>
          <w:szCs w:val="22"/>
        </w:rPr>
        <w:t>322a27</w:t>
      </w:r>
      <w:r w:rsidRPr="00212D57">
        <w:rPr>
          <w:szCs w:val="22"/>
        </w:rPr>
        <w:t>）。</w:t>
      </w:r>
    </w:p>
    <w:p w:rsidR="00157EF6" w:rsidRPr="00212D57" w:rsidRDefault="00157EF6" w:rsidP="00C83630">
      <w:pPr>
        <w:pStyle w:val="a5"/>
        <w:ind w:leftChars="105" w:left="791" w:hangingChars="245" w:hanging="539"/>
        <w:jc w:val="both"/>
        <w:rPr>
          <w:szCs w:val="22"/>
        </w:rPr>
      </w:pPr>
      <w:r w:rsidRPr="00212D57">
        <w:rPr>
          <w:szCs w:val="22"/>
        </w:rPr>
        <w:t>（</w:t>
      </w:r>
      <w:r w:rsidRPr="00761EF3">
        <w:rPr>
          <w:rFonts w:hint="eastAsia"/>
          <w:szCs w:val="22"/>
        </w:rPr>
        <w:t>4</w:t>
      </w:r>
      <w:r w:rsidRPr="00212D57">
        <w:rPr>
          <w:szCs w:val="22"/>
        </w:rPr>
        <w:t>）《</w:t>
      </w:r>
      <w:r w:rsidRPr="00212D57">
        <w:rPr>
          <w:rStyle w:val="byline"/>
          <w:rFonts w:hAnsi="新細明體"/>
          <w:color w:val="auto"/>
          <w:sz w:val="22"/>
          <w:szCs w:val="22"/>
        </w:rPr>
        <w:t>四分</w:t>
      </w:r>
      <w:r w:rsidRPr="00212D57">
        <w:rPr>
          <w:szCs w:val="22"/>
        </w:rPr>
        <w:t>律》卷</w:t>
      </w:r>
      <w:r w:rsidRPr="00761EF3">
        <w:rPr>
          <w:szCs w:val="22"/>
        </w:rPr>
        <w:t>32</w:t>
      </w:r>
      <w:r w:rsidRPr="00212D57">
        <w:rPr>
          <w:szCs w:val="22"/>
        </w:rPr>
        <w:t>（大正</w:t>
      </w:r>
      <w:r w:rsidRPr="00761EF3">
        <w:rPr>
          <w:szCs w:val="22"/>
        </w:rPr>
        <w:t>22</w:t>
      </w:r>
      <w:r w:rsidRPr="00212D57">
        <w:rPr>
          <w:szCs w:val="22"/>
        </w:rPr>
        <w:t>，</w:t>
      </w:r>
      <w:r w:rsidRPr="00761EF3">
        <w:rPr>
          <w:szCs w:val="22"/>
        </w:rPr>
        <w:t>786c15</w:t>
      </w:r>
      <w:r w:rsidRPr="00212D57">
        <w:rPr>
          <w:szCs w:val="22"/>
        </w:rPr>
        <w:t>-</w:t>
      </w:r>
      <w:r w:rsidRPr="00761EF3">
        <w:rPr>
          <w:szCs w:val="22"/>
        </w:rPr>
        <w:t>787b4</w:t>
      </w:r>
      <w:r w:rsidRPr="00212D57">
        <w:rPr>
          <w:szCs w:val="22"/>
        </w:rPr>
        <w:t>）。</w:t>
      </w:r>
    </w:p>
    <w:p w:rsidR="00157EF6" w:rsidRPr="00212D57" w:rsidRDefault="00157EF6" w:rsidP="00C83630">
      <w:pPr>
        <w:pStyle w:val="a5"/>
        <w:ind w:leftChars="105" w:left="791" w:hangingChars="245" w:hanging="539"/>
        <w:jc w:val="both"/>
        <w:rPr>
          <w:szCs w:val="22"/>
        </w:rPr>
      </w:pPr>
      <w:r w:rsidRPr="00212D57">
        <w:rPr>
          <w:szCs w:val="22"/>
        </w:rPr>
        <w:t>（</w:t>
      </w:r>
      <w:r w:rsidRPr="00761EF3">
        <w:rPr>
          <w:szCs w:val="22"/>
        </w:rPr>
        <w:t>5</w:t>
      </w:r>
      <w:r w:rsidRPr="00212D57">
        <w:rPr>
          <w:szCs w:val="22"/>
        </w:rPr>
        <w:t>）《彌沙塞部和醯五分律》卷</w:t>
      </w:r>
      <w:r w:rsidRPr="00761EF3">
        <w:rPr>
          <w:szCs w:val="22"/>
        </w:rPr>
        <w:t>15</w:t>
      </w:r>
      <w:r w:rsidRPr="00212D57">
        <w:rPr>
          <w:szCs w:val="22"/>
        </w:rPr>
        <w:t>（大正</w:t>
      </w:r>
      <w:r w:rsidRPr="00761EF3">
        <w:rPr>
          <w:szCs w:val="22"/>
        </w:rPr>
        <w:t>22</w:t>
      </w:r>
      <w:r w:rsidRPr="00212D57">
        <w:rPr>
          <w:szCs w:val="22"/>
        </w:rPr>
        <w:t>，</w:t>
      </w:r>
      <w:r w:rsidRPr="00761EF3">
        <w:rPr>
          <w:szCs w:val="22"/>
        </w:rPr>
        <w:t>103c8</w:t>
      </w:r>
      <w:r w:rsidRPr="00212D57">
        <w:rPr>
          <w:szCs w:val="22"/>
        </w:rPr>
        <w:t>-</w:t>
      </w:r>
      <w:r w:rsidRPr="00761EF3">
        <w:rPr>
          <w:szCs w:val="22"/>
        </w:rPr>
        <w:t>104a11</w:t>
      </w:r>
      <w:r w:rsidRPr="00212D57">
        <w:rPr>
          <w:szCs w:val="22"/>
        </w:rPr>
        <w:t>）。</w:t>
      </w:r>
    </w:p>
    <w:p w:rsidR="00157EF6" w:rsidRPr="00212D57" w:rsidRDefault="00157EF6" w:rsidP="00C83630">
      <w:pPr>
        <w:pStyle w:val="a5"/>
        <w:ind w:leftChars="105" w:left="791" w:hangingChars="245" w:hanging="539"/>
        <w:jc w:val="both"/>
        <w:rPr>
          <w:szCs w:val="22"/>
        </w:rPr>
      </w:pPr>
      <w:r w:rsidRPr="00212D57">
        <w:rPr>
          <w:szCs w:val="22"/>
        </w:rPr>
        <w:t>（</w:t>
      </w:r>
      <w:r w:rsidRPr="00761EF3">
        <w:rPr>
          <w:rFonts w:hint="eastAsia"/>
          <w:szCs w:val="22"/>
        </w:rPr>
        <w:t>6</w:t>
      </w:r>
      <w:r w:rsidRPr="00212D57">
        <w:rPr>
          <w:szCs w:val="22"/>
        </w:rPr>
        <w:t>）《薩婆多毘尼毘婆沙》卷</w:t>
      </w:r>
      <w:r w:rsidRPr="00761EF3">
        <w:rPr>
          <w:szCs w:val="22"/>
        </w:rPr>
        <w:t>2</w:t>
      </w:r>
      <w:r w:rsidRPr="00212D57">
        <w:rPr>
          <w:szCs w:val="22"/>
        </w:rPr>
        <w:t>（大正</w:t>
      </w:r>
      <w:r w:rsidRPr="00761EF3">
        <w:rPr>
          <w:szCs w:val="22"/>
        </w:rPr>
        <w:t>23</w:t>
      </w:r>
      <w:r w:rsidRPr="00212D57">
        <w:rPr>
          <w:szCs w:val="22"/>
        </w:rPr>
        <w:t>，</w:t>
      </w:r>
      <w:r w:rsidRPr="00761EF3">
        <w:rPr>
          <w:szCs w:val="22"/>
        </w:rPr>
        <w:t>510b29</w:t>
      </w:r>
      <w:r w:rsidRPr="00212D57">
        <w:rPr>
          <w:szCs w:val="22"/>
        </w:rPr>
        <w:t>-</w:t>
      </w:r>
      <w:r w:rsidRPr="00761EF3">
        <w:rPr>
          <w:szCs w:val="22"/>
        </w:rPr>
        <w:t>c10</w:t>
      </w:r>
      <w:r w:rsidRPr="00212D57">
        <w:rPr>
          <w:szCs w:val="22"/>
        </w:rPr>
        <w:t>）。</w:t>
      </w:r>
    </w:p>
    <w:p w:rsidR="00157EF6" w:rsidRPr="00212D57" w:rsidRDefault="00157EF6" w:rsidP="00C83630">
      <w:pPr>
        <w:pStyle w:val="a5"/>
        <w:ind w:leftChars="105" w:left="791" w:hangingChars="245" w:hanging="539"/>
        <w:jc w:val="both"/>
        <w:rPr>
          <w:szCs w:val="22"/>
        </w:rPr>
      </w:pPr>
      <w:r w:rsidRPr="00212D57">
        <w:rPr>
          <w:szCs w:val="22"/>
        </w:rPr>
        <w:t>（</w:t>
      </w:r>
      <w:r w:rsidRPr="00761EF3">
        <w:rPr>
          <w:rFonts w:hint="eastAsia"/>
          <w:szCs w:val="22"/>
        </w:rPr>
        <w:t>7</w:t>
      </w:r>
      <w:r w:rsidRPr="00212D57">
        <w:rPr>
          <w:szCs w:val="22"/>
        </w:rPr>
        <w:t>）《根本說一切有部毘奈耶破僧事》卷</w:t>
      </w:r>
      <w:r w:rsidRPr="00761EF3">
        <w:rPr>
          <w:szCs w:val="22"/>
        </w:rPr>
        <w:t>5</w:t>
      </w:r>
      <w:r w:rsidRPr="00212D57">
        <w:rPr>
          <w:szCs w:val="22"/>
        </w:rPr>
        <w:t>（大正</w:t>
      </w:r>
      <w:r w:rsidRPr="00761EF3">
        <w:rPr>
          <w:szCs w:val="22"/>
        </w:rPr>
        <w:t>24</w:t>
      </w:r>
      <w:r w:rsidRPr="00212D57">
        <w:rPr>
          <w:szCs w:val="22"/>
        </w:rPr>
        <w:t>，</w:t>
      </w:r>
      <w:r w:rsidRPr="00761EF3">
        <w:rPr>
          <w:szCs w:val="22"/>
        </w:rPr>
        <w:t>126b</w:t>
      </w:r>
      <w:r w:rsidRPr="00212D57">
        <w:rPr>
          <w:szCs w:val="22"/>
        </w:rPr>
        <w:t>）。</w:t>
      </w:r>
    </w:p>
  </w:footnote>
  <w:footnote w:id="144">
    <w:p w:rsidR="00157EF6" w:rsidRPr="00212D57" w:rsidRDefault="00157EF6" w:rsidP="00C83630">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《中論》卷</w:t>
      </w:r>
      <w:r w:rsidRPr="00761EF3">
        <w:rPr>
          <w:szCs w:val="22"/>
        </w:rPr>
        <w:t>4</w:t>
      </w:r>
      <w:r w:rsidRPr="00212D57">
        <w:rPr>
          <w:szCs w:val="22"/>
        </w:rPr>
        <w:t>〈</w:t>
      </w:r>
      <w:r w:rsidRPr="00761EF3">
        <w:rPr>
          <w:szCs w:val="22"/>
        </w:rPr>
        <w:t>24</w:t>
      </w:r>
      <w:r w:rsidRPr="00212D57">
        <w:rPr>
          <w:szCs w:val="22"/>
        </w:rPr>
        <w:t xml:space="preserve"> </w:t>
      </w:r>
      <w:r w:rsidRPr="00212D57">
        <w:rPr>
          <w:szCs w:val="22"/>
        </w:rPr>
        <w:t>觀四諦品〉（大正</w:t>
      </w:r>
      <w:r w:rsidRPr="00761EF3">
        <w:rPr>
          <w:szCs w:val="22"/>
        </w:rPr>
        <w:t>30</w:t>
      </w:r>
      <w:r w:rsidRPr="00212D57">
        <w:rPr>
          <w:szCs w:val="22"/>
        </w:rPr>
        <w:t>，</w:t>
      </w:r>
      <w:r w:rsidRPr="00761EF3">
        <w:rPr>
          <w:szCs w:val="22"/>
        </w:rPr>
        <w:t>34c6</w:t>
      </w:r>
      <w:r w:rsidRPr="00212D57">
        <w:rPr>
          <w:szCs w:val="22"/>
        </w:rPr>
        <w:t>-</w:t>
      </w:r>
      <w:r w:rsidRPr="00761EF3">
        <w:rPr>
          <w:szCs w:val="22"/>
        </w:rPr>
        <w:t>7</w:t>
      </w:r>
      <w:r w:rsidRPr="00212D57">
        <w:rPr>
          <w:szCs w:val="22"/>
        </w:rPr>
        <w:t>）。</w:t>
      </w:r>
    </w:p>
  </w:footnote>
  <w:footnote w:id="145">
    <w:p w:rsidR="00157EF6" w:rsidRPr="00212D57" w:rsidRDefault="00157EF6" w:rsidP="00C83630">
      <w:pPr>
        <w:pStyle w:val="a5"/>
        <w:spacing w:line="0" w:lineRule="atLeast"/>
        <w:ind w:left="792" w:hangingChars="360" w:hanging="792"/>
        <w:jc w:val="both"/>
        <w:rPr>
          <w:rFonts w:eastAsia="標楷體"/>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）《增壹阿含經》卷</w:t>
      </w:r>
      <w:r w:rsidRPr="00761EF3">
        <w:rPr>
          <w:szCs w:val="22"/>
        </w:rPr>
        <w:t>28</w:t>
      </w:r>
      <w:r w:rsidRPr="00212D57">
        <w:rPr>
          <w:szCs w:val="22"/>
        </w:rPr>
        <w:t>〈</w:t>
      </w:r>
      <w:r w:rsidRPr="00761EF3">
        <w:rPr>
          <w:szCs w:val="22"/>
        </w:rPr>
        <w:t>36</w:t>
      </w:r>
      <w:r w:rsidRPr="00212D57">
        <w:rPr>
          <w:szCs w:val="22"/>
        </w:rPr>
        <w:t xml:space="preserve"> </w:t>
      </w:r>
      <w:r w:rsidRPr="00212D57">
        <w:rPr>
          <w:szCs w:val="22"/>
        </w:rPr>
        <w:t>聽法品〉</w:t>
      </w:r>
      <w:r w:rsidR="00434424" w:rsidRPr="00212D57">
        <w:rPr>
          <w:szCs w:val="22"/>
        </w:rPr>
        <w:t>（大正</w:t>
      </w:r>
      <w:r w:rsidR="00434424" w:rsidRPr="00761EF3">
        <w:rPr>
          <w:szCs w:val="22"/>
        </w:rPr>
        <w:t>2</w:t>
      </w:r>
      <w:r w:rsidR="00434424" w:rsidRPr="00212D57">
        <w:rPr>
          <w:szCs w:val="22"/>
        </w:rPr>
        <w:t>，</w:t>
      </w:r>
      <w:r w:rsidR="00434424" w:rsidRPr="00761EF3">
        <w:rPr>
          <w:szCs w:val="22"/>
        </w:rPr>
        <w:t>708a17</w:t>
      </w:r>
      <w:r w:rsidR="00434424" w:rsidRPr="00212D57">
        <w:rPr>
          <w:szCs w:val="22"/>
        </w:rPr>
        <w:t>-</w:t>
      </w:r>
      <w:r w:rsidR="00434424" w:rsidRPr="00761EF3">
        <w:rPr>
          <w:szCs w:val="22"/>
        </w:rPr>
        <w:t>20</w:t>
      </w:r>
      <w:r w:rsidR="00434424" w:rsidRPr="00212D57">
        <w:rPr>
          <w:szCs w:val="22"/>
        </w:rPr>
        <w:t>）</w:t>
      </w:r>
      <w:r w:rsidRPr="00212D57">
        <w:rPr>
          <w:szCs w:val="22"/>
        </w:rPr>
        <w:t>：「</w:t>
      </w:r>
      <w:r w:rsidRPr="00212D57">
        <w:rPr>
          <w:rFonts w:eastAsia="標楷體"/>
          <w:szCs w:val="22"/>
        </w:rPr>
        <w:t>善業以先禮，最初無過者，空無解脫門，此是禮佛義；若欲禮佛者，當來及過去，當觀空無法，此名禮佛義。</w:t>
      </w:r>
      <w:r w:rsidRPr="00212D57">
        <w:rPr>
          <w:szCs w:val="22"/>
        </w:rPr>
        <w:t>」</w:t>
      </w:r>
    </w:p>
    <w:p w:rsidR="00157EF6" w:rsidRPr="00212D57" w:rsidRDefault="00157EF6" w:rsidP="00C83630">
      <w:pPr>
        <w:pStyle w:val="a5"/>
        <w:ind w:leftChars="105" w:left="791" w:hangingChars="245" w:hanging="539"/>
        <w:jc w:val="both"/>
        <w:rPr>
          <w:szCs w:val="22"/>
        </w:rPr>
      </w:pPr>
      <w:r w:rsidRPr="00212D57">
        <w:rPr>
          <w:szCs w:val="22"/>
        </w:rPr>
        <w:t>（</w:t>
      </w:r>
      <w:r w:rsidRPr="00761EF3">
        <w:rPr>
          <w:szCs w:val="22"/>
        </w:rPr>
        <w:t>2</w:t>
      </w:r>
      <w:r w:rsidRPr="00212D57">
        <w:rPr>
          <w:szCs w:val="22"/>
        </w:rPr>
        <w:t>）</w:t>
      </w:r>
      <w:r w:rsidR="009160B5">
        <w:rPr>
          <w:rStyle w:val="byline"/>
          <w:rFonts w:hAnsi="新細明體"/>
          <w:color w:val="auto"/>
          <w:sz w:val="22"/>
          <w:szCs w:val="22"/>
        </w:rPr>
        <w:t>參見：印</w:t>
      </w:r>
      <w:r w:rsidRPr="00212D57">
        <w:rPr>
          <w:szCs w:val="22"/>
        </w:rPr>
        <w:t>順法師，《空之探究》，</w:t>
      </w:r>
      <w:r w:rsidRPr="00761EF3">
        <w:rPr>
          <w:szCs w:val="22"/>
        </w:rPr>
        <w:t>p</w:t>
      </w:r>
      <w:r w:rsidRPr="00212D57">
        <w:rPr>
          <w:szCs w:val="22"/>
        </w:rPr>
        <w:t>.</w:t>
      </w:r>
      <w:r w:rsidRPr="00761EF3">
        <w:rPr>
          <w:szCs w:val="22"/>
        </w:rPr>
        <w:t>212</w:t>
      </w:r>
      <w:r w:rsidRPr="00212D57">
        <w:rPr>
          <w:szCs w:val="22"/>
        </w:rPr>
        <w:t>：</w:t>
      </w:r>
    </w:p>
    <w:p w:rsidR="00157EF6" w:rsidRPr="00212D57" w:rsidRDefault="00157EF6" w:rsidP="00C83630">
      <w:pPr>
        <w:pStyle w:val="a5"/>
        <w:ind w:leftChars="335" w:left="804"/>
        <w:jc w:val="both"/>
        <w:rPr>
          <w:rFonts w:ascii="標楷體" w:eastAsia="標楷體" w:hAnsi="標楷體"/>
          <w:szCs w:val="22"/>
        </w:rPr>
      </w:pPr>
      <w:r w:rsidRPr="00212D57">
        <w:rPr>
          <w:rFonts w:eastAsia="標楷體"/>
          <w:szCs w:val="22"/>
        </w:rPr>
        <w:t>〈</w:t>
      </w:r>
      <w:r w:rsidRPr="00DA76AC">
        <w:rPr>
          <w:rFonts w:eastAsia="標楷體"/>
          <w:szCs w:val="22"/>
          <w:shd w:val="pct15" w:color="auto" w:fill="FFFFFF"/>
        </w:rPr>
        <w:t>24</w:t>
      </w:r>
      <w:r w:rsidRPr="00212D57">
        <w:rPr>
          <w:rFonts w:eastAsia="標楷體"/>
          <w:szCs w:val="22"/>
        </w:rPr>
        <w:t xml:space="preserve"> </w:t>
      </w:r>
      <w:r w:rsidRPr="00212D57">
        <w:rPr>
          <w:rFonts w:eastAsia="標楷體"/>
          <w:szCs w:val="22"/>
        </w:rPr>
        <w:t>觀四諦品〉</w:t>
      </w:r>
      <w:r w:rsidRPr="00212D57">
        <w:rPr>
          <w:rFonts w:ascii="標楷體" w:eastAsia="標楷體" w:hAnsi="標楷體"/>
          <w:szCs w:val="22"/>
        </w:rPr>
        <w:t>說「是故經中說：若見因緣法，則為能見佛，見苦集滅道」，如《稻</w:t>
      </w:r>
      <w:r w:rsidRPr="00212D57">
        <w:rPr>
          <w:rFonts w:eastAsia="標楷體"/>
          <w:szCs w:val="22"/>
        </w:rPr>
        <w:t>芉</w:t>
      </w:r>
      <w:r w:rsidRPr="00212D57">
        <w:rPr>
          <w:rFonts w:ascii="標楷體" w:eastAsia="標楷體" w:hAnsi="標楷體"/>
          <w:szCs w:val="22"/>
        </w:rPr>
        <w:t>經》說。</w:t>
      </w:r>
    </w:p>
    <w:p w:rsidR="00157EF6" w:rsidRPr="00212D57" w:rsidRDefault="00157EF6" w:rsidP="00C83630">
      <w:pPr>
        <w:pStyle w:val="a5"/>
        <w:ind w:leftChars="105" w:left="791" w:hangingChars="245" w:hanging="539"/>
        <w:jc w:val="both"/>
        <w:rPr>
          <w:szCs w:val="22"/>
        </w:rPr>
      </w:pPr>
      <w:r w:rsidRPr="00212D57">
        <w:rPr>
          <w:szCs w:val="22"/>
        </w:rPr>
        <w:t>（</w:t>
      </w:r>
      <w:r w:rsidRPr="00761EF3">
        <w:rPr>
          <w:szCs w:val="22"/>
        </w:rPr>
        <w:t>3</w:t>
      </w:r>
      <w:r w:rsidRPr="00212D57">
        <w:rPr>
          <w:szCs w:val="22"/>
        </w:rPr>
        <w:t>）《</w:t>
      </w:r>
      <w:r w:rsidRPr="00212D57">
        <w:rPr>
          <w:rStyle w:val="byline"/>
          <w:rFonts w:hAnsi="新細明體"/>
          <w:color w:val="auto"/>
          <w:sz w:val="22"/>
          <w:szCs w:val="22"/>
        </w:rPr>
        <w:t>佛說</w:t>
      </w:r>
      <w:r w:rsidRPr="00212D57">
        <w:rPr>
          <w:szCs w:val="22"/>
        </w:rPr>
        <w:t>稻</w:t>
      </w:r>
      <w:r w:rsidRPr="00212D57">
        <w:rPr>
          <w:rStyle w:val="gaiji"/>
          <w:bCs/>
          <w:szCs w:val="22"/>
        </w:rPr>
        <w:t>芉</w:t>
      </w:r>
      <w:r w:rsidRPr="00212D57">
        <w:rPr>
          <w:szCs w:val="22"/>
        </w:rPr>
        <w:t>經》</w:t>
      </w:r>
      <w:r w:rsidR="00434424" w:rsidRPr="00212D57">
        <w:rPr>
          <w:szCs w:val="22"/>
        </w:rPr>
        <w:t>（大正</w:t>
      </w:r>
      <w:r w:rsidR="00434424" w:rsidRPr="00761EF3">
        <w:rPr>
          <w:szCs w:val="22"/>
        </w:rPr>
        <w:t>16</w:t>
      </w:r>
      <w:r w:rsidR="00434424" w:rsidRPr="00212D57">
        <w:rPr>
          <w:szCs w:val="22"/>
        </w:rPr>
        <w:t>，</w:t>
      </w:r>
      <w:r w:rsidR="00434424" w:rsidRPr="00761EF3">
        <w:rPr>
          <w:szCs w:val="22"/>
        </w:rPr>
        <w:t>816c24</w:t>
      </w:r>
      <w:r w:rsidR="00434424" w:rsidRPr="00212D57">
        <w:rPr>
          <w:szCs w:val="22"/>
        </w:rPr>
        <w:t>-</w:t>
      </w:r>
      <w:r w:rsidR="00434424" w:rsidRPr="00761EF3">
        <w:rPr>
          <w:szCs w:val="22"/>
        </w:rPr>
        <w:t>25</w:t>
      </w:r>
      <w:r w:rsidR="00434424" w:rsidRPr="00212D57">
        <w:rPr>
          <w:szCs w:val="22"/>
        </w:rPr>
        <w:t>）</w:t>
      </w:r>
      <w:r w:rsidRPr="00212D57">
        <w:rPr>
          <w:szCs w:val="22"/>
        </w:rPr>
        <w:t>：「</w:t>
      </w:r>
      <w:r w:rsidRPr="00212D57">
        <w:rPr>
          <w:rFonts w:eastAsia="標楷體"/>
          <w:szCs w:val="22"/>
        </w:rPr>
        <w:t>今日世尊睹見稻芉而作是說：汝等比丘，見十二因緣，即是見法，即是見佛。</w:t>
      </w:r>
      <w:r w:rsidRPr="00212D57">
        <w:rPr>
          <w:szCs w:val="22"/>
        </w:rPr>
        <w:t>」</w:t>
      </w:r>
    </w:p>
    <w:p w:rsidR="00157EF6" w:rsidRPr="00212D57" w:rsidRDefault="00157EF6" w:rsidP="00C83630">
      <w:pPr>
        <w:pStyle w:val="a5"/>
        <w:ind w:leftChars="105" w:left="791" w:hangingChars="245" w:hanging="539"/>
        <w:jc w:val="both"/>
        <w:rPr>
          <w:szCs w:val="22"/>
        </w:rPr>
      </w:pPr>
      <w:r w:rsidRPr="00212D57">
        <w:rPr>
          <w:szCs w:val="22"/>
        </w:rPr>
        <w:t>（</w:t>
      </w:r>
      <w:r w:rsidRPr="00761EF3">
        <w:rPr>
          <w:szCs w:val="22"/>
        </w:rPr>
        <w:t>4</w:t>
      </w:r>
      <w:r w:rsidRPr="00212D57">
        <w:rPr>
          <w:szCs w:val="22"/>
        </w:rPr>
        <w:t>）稻稈經：梵名</w:t>
      </w:r>
      <w:r w:rsidRPr="00761EF3">
        <w:rPr>
          <w:rFonts w:eastAsia="Roman Unicode"/>
          <w:szCs w:val="22"/>
        </w:rPr>
        <w:t>Ś</w:t>
      </w:r>
      <w:r w:rsidRPr="00761EF3">
        <w:rPr>
          <w:szCs w:val="22"/>
        </w:rPr>
        <w:t>ālistamba</w:t>
      </w:r>
      <w:r w:rsidRPr="00212D57">
        <w:rPr>
          <w:szCs w:val="22"/>
        </w:rPr>
        <w:t>。全一卷。譯者不詳。又作稻芊經、稻</w:t>
      </w:r>
      <w:r w:rsidRPr="00212D57">
        <w:rPr>
          <w:szCs w:val="22"/>
        </w:rPr>
        <w:t>[</w:t>
      </w:r>
      <w:r w:rsidRPr="00212D57">
        <w:rPr>
          <w:szCs w:val="22"/>
        </w:rPr>
        <w:t>艹</w:t>
      </w:r>
      <w:r w:rsidRPr="00212D57">
        <w:rPr>
          <w:szCs w:val="22"/>
        </w:rPr>
        <w:t>/</w:t>
      </w:r>
      <w:r w:rsidRPr="00212D57">
        <w:rPr>
          <w:szCs w:val="22"/>
        </w:rPr>
        <w:t>幹</w:t>
      </w:r>
      <w:r w:rsidRPr="00212D57">
        <w:rPr>
          <w:szCs w:val="22"/>
        </w:rPr>
        <w:t>]</w:t>
      </w:r>
      <w:r w:rsidRPr="00212D57">
        <w:rPr>
          <w:szCs w:val="22"/>
        </w:rPr>
        <w:t>經。收於大正藏第十六冊。本經係彌勒應舍利弗之請，宣說因緣生法有內因緣與外因緣二種，並以稻芊之由種生芽、由芽生葉，乃至由華生實，比喻十二因緣之次第生起。三國吳之支謙所譯之</w:t>
      </w:r>
      <w:r w:rsidRPr="00212D57">
        <w:rPr>
          <w:b/>
          <w:bCs/>
          <w:szCs w:val="22"/>
        </w:rPr>
        <w:t>《了本生死經》</w:t>
      </w:r>
      <w:r w:rsidRPr="00212D57">
        <w:rPr>
          <w:szCs w:val="22"/>
        </w:rPr>
        <w:t>、唐代不空所譯之</w:t>
      </w:r>
      <w:r w:rsidRPr="00212D57">
        <w:rPr>
          <w:bCs/>
          <w:szCs w:val="22"/>
        </w:rPr>
        <w:t>《</w:t>
      </w:r>
      <w:r w:rsidRPr="00212D57">
        <w:rPr>
          <w:szCs w:val="22"/>
        </w:rPr>
        <w:t>慈氏菩薩所說</w:t>
      </w:r>
      <w:r w:rsidRPr="00212D57">
        <w:rPr>
          <w:b/>
          <w:bCs/>
          <w:szCs w:val="22"/>
        </w:rPr>
        <w:t>大乘緣生稻稈喻經》</w:t>
      </w:r>
      <w:r w:rsidRPr="00212D57">
        <w:rPr>
          <w:szCs w:val="22"/>
        </w:rPr>
        <w:t>、北宋施護所譯之</w:t>
      </w:r>
      <w:r w:rsidRPr="00212D57">
        <w:rPr>
          <w:b/>
          <w:bCs/>
          <w:szCs w:val="22"/>
        </w:rPr>
        <w:t>《大乘舍黎娑擔摩經》</w:t>
      </w:r>
      <w:r w:rsidRPr="00212D57">
        <w:rPr>
          <w:szCs w:val="22"/>
        </w:rPr>
        <w:t>，皆為本經之別譯。（《佛光大</w:t>
      </w:r>
      <w:r w:rsidRPr="00212D57">
        <w:rPr>
          <w:rFonts w:hint="eastAsia"/>
          <w:szCs w:val="22"/>
        </w:rPr>
        <w:t>辭</w:t>
      </w:r>
      <w:r w:rsidRPr="00212D57">
        <w:rPr>
          <w:szCs w:val="22"/>
        </w:rPr>
        <w:t>典》（七），</w:t>
      </w:r>
      <w:r w:rsidRPr="00761EF3">
        <w:rPr>
          <w:szCs w:val="22"/>
        </w:rPr>
        <w:t>p</w:t>
      </w:r>
      <w:r w:rsidRPr="00212D57">
        <w:rPr>
          <w:szCs w:val="22"/>
        </w:rPr>
        <w:t>.</w:t>
      </w:r>
      <w:r w:rsidRPr="00761EF3">
        <w:rPr>
          <w:szCs w:val="22"/>
        </w:rPr>
        <w:t>6118</w:t>
      </w:r>
      <w:r w:rsidRPr="00212D57">
        <w:rPr>
          <w:rFonts w:hint="eastAsia"/>
          <w:szCs w:val="22"/>
        </w:rPr>
        <w:t>.</w:t>
      </w:r>
      <w:r w:rsidRPr="00761EF3">
        <w:rPr>
          <w:rFonts w:hint="eastAsia"/>
          <w:szCs w:val="22"/>
        </w:rPr>
        <w:t>1</w:t>
      </w:r>
      <w:r w:rsidRPr="00212D57">
        <w:rPr>
          <w:szCs w:val="22"/>
        </w:rPr>
        <w:t>）</w:t>
      </w:r>
    </w:p>
  </w:footnote>
  <w:footnote w:id="146">
    <w:p w:rsidR="00157EF6" w:rsidRPr="00212D57" w:rsidRDefault="00157EF6" w:rsidP="00C83630">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《中阿含經》卷</w:t>
      </w:r>
      <w:r w:rsidRPr="00761EF3">
        <w:rPr>
          <w:szCs w:val="22"/>
        </w:rPr>
        <w:t>7</w:t>
      </w:r>
      <w:r w:rsidRPr="00212D57">
        <w:rPr>
          <w:szCs w:val="22"/>
        </w:rPr>
        <w:t>（</w:t>
      </w:r>
      <w:r w:rsidRPr="00761EF3">
        <w:rPr>
          <w:szCs w:val="22"/>
        </w:rPr>
        <w:t>30</w:t>
      </w:r>
      <w:r w:rsidRPr="00212D57">
        <w:rPr>
          <w:szCs w:val="22"/>
        </w:rPr>
        <w:t>經）《象跡喻經》</w:t>
      </w:r>
      <w:r w:rsidR="00434424" w:rsidRPr="00212D57">
        <w:rPr>
          <w:szCs w:val="22"/>
        </w:rPr>
        <w:t>（大正</w:t>
      </w:r>
      <w:r w:rsidR="00434424" w:rsidRPr="00761EF3">
        <w:rPr>
          <w:szCs w:val="22"/>
        </w:rPr>
        <w:t>1</w:t>
      </w:r>
      <w:r w:rsidR="00434424" w:rsidRPr="00212D57">
        <w:rPr>
          <w:szCs w:val="22"/>
        </w:rPr>
        <w:t>，</w:t>
      </w:r>
      <w:r w:rsidR="00434424" w:rsidRPr="00761EF3">
        <w:rPr>
          <w:szCs w:val="22"/>
        </w:rPr>
        <w:t>467a9</w:t>
      </w:r>
      <w:r w:rsidR="00434424" w:rsidRPr="00212D57">
        <w:rPr>
          <w:szCs w:val="22"/>
        </w:rPr>
        <w:t>-</w:t>
      </w:r>
      <w:r w:rsidR="00434424" w:rsidRPr="00761EF3">
        <w:rPr>
          <w:szCs w:val="22"/>
        </w:rPr>
        <w:t>10</w:t>
      </w:r>
      <w:r w:rsidR="00434424" w:rsidRPr="00212D57">
        <w:rPr>
          <w:szCs w:val="22"/>
        </w:rPr>
        <w:t>）</w:t>
      </w:r>
      <w:r w:rsidRPr="00212D57">
        <w:rPr>
          <w:szCs w:val="22"/>
        </w:rPr>
        <w:t>：</w:t>
      </w:r>
      <w:r w:rsidRPr="00212D57">
        <w:rPr>
          <w:rFonts w:eastAsia="標楷體"/>
          <w:szCs w:val="22"/>
        </w:rPr>
        <w:t>「世尊亦如是說：若見緣起</w:t>
      </w:r>
      <w:r w:rsidR="00451A51">
        <w:rPr>
          <w:rFonts w:ascii="標楷體" w:eastAsia="標楷體" w:hAnsi="標楷體" w:hint="eastAsia"/>
          <w:color w:val="FF0000"/>
          <w:kern w:val="0"/>
          <w:highlight w:val="yellow"/>
        </w:rPr>
        <w:t>，</w:t>
      </w:r>
      <w:r w:rsidRPr="00212D57">
        <w:rPr>
          <w:rFonts w:eastAsia="標楷體"/>
          <w:szCs w:val="22"/>
        </w:rPr>
        <w:t>便見法</w:t>
      </w:r>
      <w:r w:rsidR="00451A51">
        <w:rPr>
          <w:rFonts w:ascii="標楷體" w:eastAsia="標楷體" w:hAnsi="標楷體" w:hint="eastAsia"/>
          <w:color w:val="FF0000"/>
          <w:spacing w:val="-4"/>
          <w:kern w:val="0"/>
          <w:highlight w:val="yellow"/>
        </w:rPr>
        <w:t>；</w:t>
      </w:r>
      <w:r w:rsidRPr="00212D57">
        <w:rPr>
          <w:rFonts w:eastAsia="標楷體"/>
          <w:szCs w:val="22"/>
        </w:rPr>
        <w:t>若見法</w:t>
      </w:r>
      <w:r w:rsidR="00451A51">
        <w:rPr>
          <w:rFonts w:ascii="標楷體" w:eastAsia="標楷體" w:hAnsi="標楷體" w:hint="eastAsia"/>
          <w:color w:val="FF0000"/>
          <w:kern w:val="0"/>
          <w:highlight w:val="yellow"/>
        </w:rPr>
        <w:t>，</w:t>
      </w:r>
      <w:r w:rsidRPr="00212D57">
        <w:rPr>
          <w:rFonts w:eastAsia="標楷體"/>
          <w:szCs w:val="22"/>
        </w:rPr>
        <w:t>便見緣起。</w:t>
      </w:r>
      <w:r w:rsidRPr="00212D57">
        <w:rPr>
          <w:szCs w:val="22"/>
        </w:rPr>
        <w:t>」</w:t>
      </w:r>
    </w:p>
  </w:footnote>
  <w:footnote w:id="147">
    <w:p w:rsidR="00157EF6" w:rsidRPr="00212D57" w:rsidRDefault="00157EF6" w:rsidP="00C83630">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《中論》卷</w:t>
      </w:r>
      <w:r w:rsidRPr="00761EF3">
        <w:rPr>
          <w:szCs w:val="22"/>
        </w:rPr>
        <w:t>4</w:t>
      </w:r>
      <w:r w:rsidRPr="00212D57">
        <w:rPr>
          <w:szCs w:val="22"/>
        </w:rPr>
        <w:t>〈</w:t>
      </w:r>
      <w:r w:rsidRPr="00761EF3">
        <w:rPr>
          <w:szCs w:val="22"/>
        </w:rPr>
        <w:t>25</w:t>
      </w:r>
      <w:r w:rsidRPr="00212D57">
        <w:rPr>
          <w:szCs w:val="22"/>
        </w:rPr>
        <w:t xml:space="preserve"> </w:t>
      </w:r>
      <w:r w:rsidRPr="00212D57">
        <w:rPr>
          <w:szCs w:val="22"/>
        </w:rPr>
        <w:t>觀涅槃品〉</w:t>
      </w:r>
      <w:r w:rsidR="00434424" w:rsidRPr="00212D57">
        <w:rPr>
          <w:szCs w:val="22"/>
        </w:rPr>
        <w:t>（大正</w:t>
      </w:r>
      <w:r w:rsidR="00434424" w:rsidRPr="00761EF3">
        <w:rPr>
          <w:szCs w:val="22"/>
        </w:rPr>
        <w:t>30</w:t>
      </w:r>
      <w:r w:rsidR="00434424" w:rsidRPr="00212D57">
        <w:rPr>
          <w:szCs w:val="22"/>
        </w:rPr>
        <w:t>，</w:t>
      </w:r>
      <w:r w:rsidR="00434424" w:rsidRPr="00761EF3">
        <w:rPr>
          <w:szCs w:val="22"/>
        </w:rPr>
        <w:t>35b14</w:t>
      </w:r>
      <w:r w:rsidR="00434424" w:rsidRPr="00212D57">
        <w:rPr>
          <w:szCs w:val="22"/>
        </w:rPr>
        <w:t>-</w:t>
      </w:r>
      <w:r w:rsidR="00434424" w:rsidRPr="00761EF3">
        <w:rPr>
          <w:szCs w:val="22"/>
        </w:rPr>
        <w:t>15</w:t>
      </w:r>
      <w:r w:rsidR="00434424" w:rsidRPr="00212D57">
        <w:rPr>
          <w:szCs w:val="22"/>
        </w:rPr>
        <w:t>）</w:t>
      </w:r>
      <w:r w:rsidRPr="00212D57">
        <w:rPr>
          <w:szCs w:val="22"/>
        </w:rPr>
        <w:t>：「</w:t>
      </w:r>
      <w:r w:rsidRPr="00212D57">
        <w:rPr>
          <w:rFonts w:eastAsia="標楷體"/>
          <w:szCs w:val="22"/>
        </w:rPr>
        <w:t>如佛經中說，斷有</w:t>
      </w:r>
      <w:r w:rsidR="00451A51">
        <w:rPr>
          <w:rFonts w:ascii="標楷體" w:eastAsia="標楷體" w:hAnsi="標楷體" w:hint="eastAsia"/>
          <w:color w:val="FF0000"/>
          <w:spacing w:val="-4"/>
          <w:kern w:val="0"/>
          <w:highlight w:val="yellow"/>
        </w:rPr>
        <w:t>、</w:t>
      </w:r>
      <w:r w:rsidRPr="00212D57">
        <w:rPr>
          <w:rFonts w:eastAsia="標楷體"/>
          <w:szCs w:val="22"/>
        </w:rPr>
        <w:t>斷非有，是故知涅槃，非有亦非無。」</w:t>
      </w:r>
    </w:p>
  </w:footnote>
  <w:footnote w:id="148">
    <w:p w:rsidR="00157EF6" w:rsidRPr="00212D57" w:rsidRDefault="00157EF6" w:rsidP="00C83630">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《雜阿含經》卷</w:t>
      </w:r>
      <w:r w:rsidRPr="00761EF3">
        <w:rPr>
          <w:szCs w:val="22"/>
        </w:rPr>
        <w:t>9</w:t>
      </w:r>
      <w:r w:rsidRPr="00212D57">
        <w:rPr>
          <w:szCs w:val="22"/>
        </w:rPr>
        <w:t>（</w:t>
      </w:r>
      <w:r w:rsidRPr="00761EF3">
        <w:rPr>
          <w:szCs w:val="22"/>
        </w:rPr>
        <w:t>249</w:t>
      </w:r>
      <w:r w:rsidRPr="00212D57">
        <w:rPr>
          <w:szCs w:val="22"/>
        </w:rPr>
        <w:t>經）（大正</w:t>
      </w:r>
      <w:r w:rsidRPr="00761EF3">
        <w:rPr>
          <w:szCs w:val="22"/>
        </w:rPr>
        <w:t>2</w:t>
      </w:r>
      <w:r w:rsidRPr="00212D57">
        <w:rPr>
          <w:szCs w:val="22"/>
        </w:rPr>
        <w:t>，</w:t>
      </w:r>
      <w:r w:rsidRPr="00761EF3">
        <w:rPr>
          <w:szCs w:val="22"/>
        </w:rPr>
        <w:t>60a12</w:t>
      </w:r>
      <w:r w:rsidRPr="00212D57">
        <w:rPr>
          <w:szCs w:val="22"/>
        </w:rPr>
        <w:t>-</w:t>
      </w:r>
      <w:r w:rsidRPr="00761EF3">
        <w:rPr>
          <w:szCs w:val="22"/>
        </w:rPr>
        <w:t>21</w:t>
      </w:r>
      <w:r w:rsidRPr="00212D57">
        <w:rPr>
          <w:szCs w:val="22"/>
        </w:rPr>
        <w:t>）：</w:t>
      </w:r>
    </w:p>
    <w:p w:rsidR="00157EF6" w:rsidRPr="00212D57" w:rsidRDefault="00157EF6" w:rsidP="00C83630">
      <w:pPr>
        <w:pStyle w:val="a5"/>
        <w:ind w:leftChars="105" w:left="252"/>
        <w:jc w:val="both"/>
        <w:rPr>
          <w:rFonts w:eastAsia="標楷體"/>
          <w:szCs w:val="22"/>
        </w:rPr>
      </w:pPr>
      <w:r w:rsidRPr="00212D57">
        <w:rPr>
          <w:rFonts w:eastAsia="標楷體"/>
          <w:szCs w:val="22"/>
        </w:rPr>
        <w:t>尊者阿難又問舍利弗：</w:t>
      </w:r>
      <w:r w:rsidRPr="00212D57">
        <w:rPr>
          <w:rFonts w:eastAsia="標楷體" w:hint="eastAsia"/>
          <w:szCs w:val="22"/>
        </w:rPr>
        <w:t>「</w:t>
      </w:r>
      <w:r w:rsidRPr="00212D57">
        <w:rPr>
          <w:rFonts w:eastAsia="標楷體"/>
          <w:szCs w:val="22"/>
        </w:rPr>
        <w:t>如尊者所說</w:t>
      </w:r>
      <w:r w:rsidR="00A00626">
        <w:rPr>
          <w:rFonts w:ascii="標楷體" w:eastAsia="標楷體" w:hAnsi="標楷體" w:hint="eastAsia"/>
          <w:color w:val="FF0000"/>
          <w:spacing w:val="-4"/>
          <w:kern w:val="0"/>
          <w:highlight w:val="yellow"/>
        </w:rPr>
        <w:t>：</w:t>
      </w:r>
      <w:r w:rsidR="00DD58D9">
        <w:rPr>
          <w:rFonts w:ascii="標楷體" w:eastAsia="標楷體" w:hAnsi="標楷體" w:hint="eastAsia"/>
          <w:color w:val="FF0000"/>
          <w:spacing w:val="-4"/>
          <w:kern w:val="0"/>
          <w:highlight w:val="yellow"/>
        </w:rPr>
        <w:t>『</w:t>
      </w:r>
      <w:r w:rsidRPr="00212D57">
        <w:rPr>
          <w:rFonts w:eastAsia="標楷體"/>
          <w:szCs w:val="22"/>
        </w:rPr>
        <w:t>六觸入處盡</w:t>
      </w:r>
      <w:r w:rsidR="00A00626">
        <w:rPr>
          <w:rFonts w:ascii="標楷體" w:eastAsia="標楷體" w:hAnsi="標楷體" w:hint="eastAsia"/>
          <w:color w:val="FF0000"/>
          <w:spacing w:val="-4"/>
          <w:kern w:val="0"/>
          <w:highlight w:val="yellow"/>
        </w:rPr>
        <w:t>、</w:t>
      </w:r>
      <w:r w:rsidRPr="00212D57">
        <w:rPr>
          <w:rFonts w:eastAsia="標楷體"/>
          <w:szCs w:val="22"/>
        </w:rPr>
        <w:t>離欲、滅、息</w:t>
      </w:r>
      <w:r w:rsidR="00451A51">
        <w:rPr>
          <w:rFonts w:ascii="標楷體" w:eastAsia="標楷體" w:hAnsi="標楷體" w:hint="eastAsia"/>
          <w:color w:val="FF0000"/>
          <w:spacing w:val="-4"/>
          <w:kern w:val="0"/>
          <w:highlight w:val="yellow"/>
        </w:rPr>
        <w:t>、</w:t>
      </w:r>
      <w:r w:rsidRPr="00212D57">
        <w:rPr>
          <w:rFonts w:eastAsia="標楷體"/>
          <w:szCs w:val="22"/>
        </w:rPr>
        <w:t>沒已</w:t>
      </w:r>
      <w:r w:rsidR="00451A51">
        <w:rPr>
          <w:rFonts w:ascii="標楷體" w:eastAsia="標楷體" w:hAnsi="標楷體" w:hint="eastAsia"/>
          <w:color w:val="FF0000"/>
          <w:kern w:val="0"/>
          <w:highlight w:val="yellow"/>
        </w:rPr>
        <w:t>，</w:t>
      </w:r>
      <w:r w:rsidRPr="00212D57">
        <w:rPr>
          <w:rFonts w:eastAsia="標楷體"/>
          <w:b/>
          <w:szCs w:val="22"/>
        </w:rPr>
        <w:t>有亦不應說，無亦不應說，有無亦不應說，非有非無亦不應說</w:t>
      </w:r>
      <w:r w:rsidR="00DD58D9">
        <w:rPr>
          <w:rFonts w:ascii="標楷體" w:eastAsia="標楷體" w:hAnsi="標楷體" w:hint="eastAsia"/>
          <w:color w:val="FF0000"/>
          <w:kern w:val="0"/>
          <w:highlight w:val="yellow"/>
        </w:rPr>
        <w:t>。』</w:t>
      </w:r>
      <w:r w:rsidRPr="00212D57">
        <w:rPr>
          <w:rFonts w:eastAsia="標楷體"/>
          <w:szCs w:val="22"/>
        </w:rPr>
        <w:t>此語有何義？</w:t>
      </w:r>
      <w:r w:rsidRPr="00212D57">
        <w:rPr>
          <w:rFonts w:eastAsia="標楷體" w:hint="eastAsia"/>
          <w:szCs w:val="22"/>
        </w:rPr>
        <w:t>」</w:t>
      </w:r>
    </w:p>
    <w:p w:rsidR="00157EF6" w:rsidRPr="00212D57" w:rsidRDefault="00157EF6" w:rsidP="00C83630">
      <w:pPr>
        <w:pStyle w:val="a5"/>
        <w:ind w:leftChars="105" w:left="252"/>
        <w:jc w:val="both"/>
        <w:rPr>
          <w:rFonts w:eastAsia="標楷體"/>
          <w:szCs w:val="22"/>
        </w:rPr>
      </w:pPr>
      <w:r w:rsidRPr="00212D57">
        <w:rPr>
          <w:rFonts w:eastAsia="標楷體"/>
          <w:szCs w:val="22"/>
        </w:rPr>
        <w:t>尊者舍利弗語尊者阿難：</w:t>
      </w:r>
      <w:r w:rsidRPr="00212D57">
        <w:rPr>
          <w:rFonts w:eastAsia="標楷體" w:hint="eastAsia"/>
          <w:szCs w:val="22"/>
        </w:rPr>
        <w:t>「</w:t>
      </w:r>
      <w:r w:rsidRPr="00212D57">
        <w:rPr>
          <w:rFonts w:eastAsia="標楷體"/>
          <w:szCs w:val="22"/>
        </w:rPr>
        <w:t>六觸入處盡、離欲、滅、息、沒已，有餘耶？此則虛言</w:t>
      </w:r>
      <w:r w:rsidR="00451A51">
        <w:rPr>
          <w:rFonts w:ascii="標楷體" w:eastAsia="標楷體" w:hAnsi="標楷體" w:hint="eastAsia"/>
          <w:color w:val="FF0000"/>
          <w:spacing w:val="-4"/>
          <w:kern w:val="0"/>
          <w:highlight w:val="yellow"/>
        </w:rPr>
        <w:t>；</w:t>
      </w:r>
      <w:r w:rsidRPr="00212D57">
        <w:rPr>
          <w:rFonts w:eastAsia="標楷體"/>
          <w:szCs w:val="22"/>
        </w:rPr>
        <w:t>無餘耶？此則虛言</w:t>
      </w:r>
      <w:r w:rsidR="00451A51">
        <w:rPr>
          <w:rFonts w:ascii="標楷體" w:eastAsia="標楷體" w:hAnsi="標楷體" w:hint="eastAsia"/>
          <w:color w:val="FF0000"/>
          <w:spacing w:val="-4"/>
          <w:kern w:val="0"/>
          <w:highlight w:val="yellow"/>
        </w:rPr>
        <w:t>；</w:t>
      </w:r>
      <w:r w:rsidR="00451A51">
        <w:rPr>
          <w:rFonts w:eastAsia="標楷體"/>
          <w:szCs w:val="22"/>
        </w:rPr>
        <w:t>有餘無餘耶？此則虛言</w:t>
      </w:r>
      <w:r w:rsidR="00451A51">
        <w:rPr>
          <w:rFonts w:ascii="標楷體" w:eastAsia="標楷體" w:hAnsi="標楷體" w:hint="eastAsia"/>
          <w:color w:val="FF0000"/>
          <w:spacing w:val="-4"/>
          <w:kern w:val="0"/>
          <w:highlight w:val="yellow"/>
        </w:rPr>
        <w:t>；</w:t>
      </w:r>
      <w:r w:rsidRPr="00212D57">
        <w:rPr>
          <w:rFonts w:eastAsia="標楷體"/>
          <w:szCs w:val="22"/>
        </w:rPr>
        <w:t>非有餘非無餘耶？此則虛言。若言</w:t>
      </w:r>
      <w:r w:rsidR="00451A51">
        <w:rPr>
          <w:rFonts w:ascii="標楷體" w:eastAsia="標楷體" w:hAnsi="標楷體" w:hint="eastAsia"/>
          <w:color w:val="FF0000"/>
          <w:kern w:val="0"/>
          <w:highlight w:val="yellow"/>
        </w:rPr>
        <w:t>『</w:t>
      </w:r>
      <w:r w:rsidRPr="00212D57">
        <w:rPr>
          <w:rFonts w:eastAsia="標楷體"/>
          <w:szCs w:val="22"/>
        </w:rPr>
        <w:t>六觸入處盡、離欲、滅、息、沒已，離諸虛偽，得般涅槃</w:t>
      </w:r>
      <w:r w:rsidR="00451A51">
        <w:rPr>
          <w:rFonts w:ascii="標楷體" w:eastAsia="標楷體" w:hAnsi="標楷體" w:hint="eastAsia"/>
          <w:color w:val="FF0000"/>
          <w:kern w:val="0"/>
          <w:highlight w:val="yellow"/>
        </w:rPr>
        <w:t>』</w:t>
      </w:r>
      <w:r w:rsidRPr="00212D57">
        <w:rPr>
          <w:rFonts w:eastAsia="標楷體"/>
          <w:szCs w:val="22"/>
        </w:rPr>
        <w:t>，此則佛說。」</w:t>
      </w:r>
    </w:p>
  </w:footnote>
  <w:footnote w:id="149">
    <w:p w:rsidR="00157EF6" w:rsidRPr="00212D57" w:rsidRDefault="00157EF6" w:rsidP="00C83630">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009160B5">
        <w:rPr>
          <w:szCs w:val="22"/>
        </w:rPr>
        <w:t>參見：印</w:t>
      </w:r>
      <w:r w:rsidRPr="00212D57">
        <w:rPr>
          <w:szCs w:val="22"/>
        </w:rPr>
        <w:t>順法師，《空之探究》</w:t>
      </w:r>
      <w:r w:rsidRPr="00212D57">
        <w:rPr>
          <w:rFonts w:hint="eastAsia"/>
          <w:szCs w:val="22"/>
        </w:rPr>
        <w:t>，</w:t>
      </w:r>
      <w:r w:rsidRPr="00761EF3">
        <w:rPr>
          <w:szCs w:val="22"/>
        </w:rPr>
        <w:t>p</w:t>
      </w:r>
      <w:r w:rsidRPr="00761EF3">
        <w:rPr>
          <w:bCs/>
          <w:szCs w:val="22"/>
        </w:rPr>
        <w:t>p</w:t>
      </w:r>
      <w:r w:rsidRPr="00212D57">
        <w:rPr>
          <w:bCs/>
          <w:szCs w:val="22"/>
        </w:rPr>
        <w:t>.</w:t>
      </w:r>
      <w:r w:rsidRPr="00761EF3">
        <w:rPr>
          <w:bCs/>
          <w:szCs w:val="22"/>
        </w:rPr>
        <w:t>212</w:t>
      </w:r>
      <w:r w:rsidRPr="00212D57">
        <w:rPr>
          <w:bCs/>
          <w:szCs w:val="22"/>
        </w:rPr>
        <w:t>-</w:t>
      </w:r>
      <w:r w:rsidRPr="00761EF3">
        <w:rPr>
          <w:bCs/>
          <w:szCs w:val="22"/>
        </w:rPr>
        <w:t>213</w:t>
      </w:r>
      <w:r w:rsidRPr="00212D57">
        <w:rPr>
          <w:bCs/>
          <w:szCs w:val="22"/>
        </w:rPr>
        <w:t>。</w:t>
      </w:r>
    </w:p>
  </w:footnote>
  <w:footnote w:id="150">
    <w:p w:rsidR="006A170A" w:rsidRPr="00212D57" w:rsidRDefault="006A170A" w:rsidP="006A170A">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《中阿含經》卷</w:t>
      </w:r>
      <w:r w:rsidRPr="00761EF3">
        <w:rPr>
          <w:szCs w:val="22"/>
        </w:rPr>
        <w:t>34</w:t>
      </w:r>
      <w:r w:rsidRPr="00212D57">
        <w:rPr>
          <w:szCs w:val="22"/>
        </w:rPr>
        <w:t>（</w:t>
      </w:r>
      <w:r w:rsidRPr="00761EF3">
        <w:rPr>
          <w:szCs w:val="22"/>
        </w:rPr>
        <w:t>136</w:t>
      </w:r>
      <w:r w:rsidRPr="00212D57">
        <w:rPr>
          <w:szCs w:val="22"/>
        </w:rPr>
        <w:t>經）《商人求財經》（大正</w:t>
      </w:r>
      <w:r w:rsidRPr="00761EF3">
        <w:rPr>
          <w:szCs w:val="22"/>
        </w:rPr>
        <w:t>1</w:t>
      </w:r>
      <w:r w:rsidRPr="00212D57">
        <w:rPr>
          <w:szCs w:val="22"/>
        </w:rPr>
        <w:t>，</w:t>
      </w:r>
      <w:r w:rsidRPr="00761EF3">
        <w:rPr>
          <w:szCs w:val="22"/>
        </w:rPr>
        <w:t>644c11</w:t>
      </w:r>
      <w:r w:rsidRPr="00212D57">
        <w:rPr>
          <w:szCs w:val="22"/>
        </w:rPr>
        <w:t>-</w:t>
      </w:r>
      <w:r w:rsidRPr="00761EF3">
        <w:rPr>
          <w:szCs w:val="22"/>
        </w:rPr>
        <w:t>645b1</w:t>
      </w:r>
      <w:r w:rsidRPr="00212D57">
        <w:rPr>
          <w:szCs w:val="22"/>
        </w:rPr>
        <w:t>）。</w:t>
      </w:r>
    </w:p>
  </w:footnote>
  <w:footnote w:id="151">
    <w:p w:rsidR="00157EF6" w:rsidRPr="00212D57" w:rsidRDefault="00157EF6" w:rsidP="00C83630">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《舍利弗阿毘曇》</w:t>
      </w:r>
      <w:r w:rsidRPr="00212D57">
        <w:rPr>
          <w:rFonts w:hint="eastAsia"/>
          <w:szCs w:val="22"/>
        </w:rPr>
        <w:t>卷</w:t>
      </w:r>
      <w:r w:rsidRPr="00761EF3">
        <w:rPr>
          <w:rFonts w:hint="eastAsia"/>
          <w:szCs w:val="22"/>
        </w:rPr>
        <w:t>1</w:t>
      </w:r>
      <w:r w:rsidRPr="00212D57">
        <w:rPr>
          <w:szCs w:val="22"/>
        </w:rPr>
        <w:t>〈</w:t>
      </w:r>
      <w:r w:rsidRPr="00761EF3">
        <w:rPr>
          <w:szCs w:val="22"/>
        </w:rPr>
        <w:t>1</w:t>
      </w:r>
      <w:r w:rsidRPr="00212D57">
        <w:rPr>
          <w:szCs w:val="22"/>
        </w:rPr>
        <w:t xml:space="preserve"> </w:t>
      </w:r>
      <w:r w:rsidRPr="00212D57">
        <w:rPr>
          <w:szCs w:val="22"/>
        </w:rPr>
        <w:t>入品〉（大正</w:t>
      </w:r>
      <w:r w:rsidRPr="00761EF3">
        <w:rPr>
          <w:szCs w:val="22"/>
        </w:rPr>
        <w:t>28</w:t>
      </w:r>
      <w:r w:rsidRPr="00212D57">
        <w:rPr>
          <w:szCs w:val="22"/>
        </w:rPr>
        <w:t>，</w:t>
      </w:r>
      <w:r w:rsidRPr="00761EF3">
        <w:rPr>
          <w:szCs w:val="22"/>
        </w:rPr>
        <w:t>525c3</w:t>
      </w:r>
      <w:r w:rsidRPr="00212D57">
        <w:rPr>
          <w:szCs w:val="22"/>
        </w:rPr>
        <w:t>-</w:t>
      </w:r>
      <w:r w:rsidRPr="00761EF3">
        <w:rPr>
          <w:szCs w:val="22"/>
        </w:rPr>
        <w:t>534b4</w:t>
      </w:r>
      <w:r w:rsidRPr="00212D57">
        <w:rPr>
          <w:szCs w:val="22"/>
        </w:rPr>
        <w:t>）</w:t>
      </w:r>
      <w:r w:rsidRPr="00212D57">
        <w:rPr>
          <w:rFonts w:hint="eastAsia"/>
          <w:szCs w:val="22"/>
        </w:rPr>
        <w:t>，卷</w:t>
      </w:r>
      <w:r w:rsidRPr="00761EF3">
        <w:rPr>
          <w:rFonts w:hint="eastAsia"/>
          <w:szCs w:val="22"/>
        </w:rPr>
        <w:t>2</w:t>
      </w:r>
      <w:r w:rsidRPr="00212D57">
        <w:rPr>
          <w:szCs w:val="22"/>
        </w:rPr>
        <w:t>〈</w:t>
      </w:r>
      <w:r w:rsidRPr="00761EF3">
        <w:rPr>
          <w:szCs w:val="22"/>
        </w:rPr>
        <w:t>2</w:t>
      </w:r>
      <w:r w:rsidRPr="00212D57">
        <w:rPr>
          <w:szCs w:val="22"/>
        </w:rPr>
        <w:t xml:space="preserve"> </w:t>
      </w:r>
      <w:r w:rsidRPr="00212D57">
        <w:rPr>
          <w:szCs w:val="22"/>
        </w:rPr>
        <w:t>界品〉（大正</w:t>
      </w:r>
      <w:r w:rsidRPr="00761EF3">
        <w:rPr>
          <w:szCs w:val="22"/>
        </w:rPr>
        <w:t>28</w:t>
      </w:r>
      <w:r w:rsidRPr="00212D57">
        <w:rPr>
          <w:szCs w:val="22"/>
        </w:rPr>
        <w:t>，</w:t>
      </w:r>
      <w:r w:rsidRPr="00761EF3">
        <w:rPr>
          <w:szCs w:val="22"/>
        </w:rPr>
        <w:t>534b10</w:t>
      </w:r>
      <w:r w:rsidRPr="00212D57">
        <w:rPr>
          <w:szCs w:val="22"/>
        </w:rPr>
        <w:t>-</w:t>
      </w:r>
      <w:r w:rsidRPr="00761EF3">
        <w:rPr>
          <w:szCs w:val="22"/>
        </w:rPr>
        <w:t>543c29</w:t>
      </w:r>
      <w:r w:rsidRPr="00212D57">
        <w:rPr>
          <w:szCs w:val="22"/>
        </w:rPr>
        <w:t>）</w:t>
      </w:r>
      <w:r w:rsidRPr="00212D57">
        <w:rPr>
          <w:rFonts w:hint="eastAsia"/>
          <w:szCs w:val="22"/>
        </w:rPr>
        <w:t>，卷</w:t>
      </w:r>
      <w:r w:rsidRPr="00761EF3">
        <w:rPr>
          <w:rFonts w:hint="eastAsia"/>
          <w:szCs w:val="22"/>
        </w:rPr>
        <w:t>3</w:t>
      </w:r>
      <w:r w:rsidRPr="00212D57">
        <w:rPr>
          <w:szCs w:val="22"/>
        </w:rPr>
        <w:t>〈</w:t>
      </w:r>
      <w:r w:rsidRPr="00761EF3">
        <w:rPr>
          <w:szCs w:val="22"/>
        </w:rPr>
        <w:t>3</w:t>
      </w:r>
      <w:r w:rsidRPr="00212D57">
        <w:rPr>
          <w:szCs w:val="22"/>
        </w:rPr>
        <w:t xml:space="preserve"> </w:t>
      </w:r>
      <w:r w:rsidRPr="00212D57">
        <w:rPr>
          <w:szCs w:val="22"/>
        </w:rPr>
        <w:t>陰品〉（大正</w:t>
      </w:r>
      <w:r w:rsidRPr="00761EF3">
        <w:rPr>
          <w:szCs w:val="22"/>
        </w:rPr>
        <w:t>26</w:t>
      </w:r>
      <w:r w:rsidRPr="00212D57">
        <w:rPr>
          <w:szCs w:val="22"/>
        </w:rPr>
        <w:t>，</w:t>
      </w:r>
      <w:r w:rsidRPr="00761EF3">
        <w:rPr>
          <w:szCs w:val="22"/>
        </w:rPr>
        <w:t>543a6</w:t>
      </w:r>
      <w:r w:rsidRPr="00212D57">
        <w:rPr>
          <w:szCs w:val="22"/>
        </w:rPr>
        <w:t>-</w:t>
      </w:r>
      <w:r w:rsidRPr="00761EF3">
        <w:rPr>
          <w:szCs w:val="22"/>
        </w:rPr>
        <w:t>552c8</w:t>
      </w:r>
      <w:r w:rsidRPr="00212D57">
        <w:rPr>
          <w:szCs w:val="22"/>
        </w:rPr>
        <w:t>）。</w:t>
      </w:r>
    </w:p>
  </w:footnote>
  <w:footnote w:id="152">
    <w:p w:rsidR="00157EF6" w:rsidRPr="00212D57" w:rsidRDefault="00157EF6" w:rsidP="00C83630">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《法蘊足論》卷</w:t>
      </w:r>
      <w:r w:rsidRPr="00761EF3">
        <w:rPr>
          <w:szCs w:val="22"/>
        </w:rPr>
        <w:t>10</w:t>
      </w:r>
      <w:r w:rsidRPr="00212D57">
        <w:rPr>
          <w:szCs w:val="22"/>
        </w:rPr>
        <w:t>〈</w:t>
      </w:r>
      <w:r w:rsidRPr="00761EF3">
        <w:rPr>
          <w:szCs w:val="22"/>
        </w:rPr>
        <w:t>1</w:t>
      </w:r>
      <w:r w:rsidRPr="00761EF3">
        <w:rPr>
          <w:rFonts w:hint="eastAsia"/>
          <w:szCs w:val="22"/>
        </w:rPr>
        <w:t>8</w:t>
      </w:r>
      <w:r w:rsidRPr="00212D57">
        <w:rPr>
          <w:szCs w:val="22"/>
        </w:rPr>
        <w:t xml:space="preserve"> </w:t>
      </w:r>
      <w:r w:rsidRPr="00212D57">
        <w:rPr>
          <w:szCs w:val="22"/>
        </w:rPr>
        <w:t>處品〉（大正</w:t>
      </w:r>
      <w:r w:rsidRPr="00761EF3">
        <w:rPr>
          <w:szCs w:val="22"/>
        </w:rPr>
        <w:t>26</w:t>
      </w:r>
      <w:r w:rsidRPr="00212D57">
        <w:rPr>
          <w:szCs w:val="22"/>
        </w:rPr>
        <w:t>，</w:t>
      </w:r>
      <w:r w:rsidRPr="00761EF3">
        <w:rPr>
          <w:szCs w:val="22"/>
        </w:rPr>
        <w:t>499c25</w:t>
      </w:r>
      <w:r w:rsidRPr="00212D57">
        <w:rPr>
          <w:szCs w:val="22"/>
        </w:rPr>
        <w:t>-</w:t>
      </w:r>
      <w:r w:rsidRPr="00761EF3">
        <w:rPr>
          <w:szCs w:val="22"/>
        </w:rPr>
        <w:t>500c25</w:t>
      </w:r>
      <w:r w:rsidRPr="00212D57">
        <w:rPr>
          <w:szCs w:val="22"/>
        </w:rPr>
        <w:t>）</w:t>
      </w:r>
      <w:r w:rsidRPr="00212D57">
        <w:rPr>
          <w:rFonts w:hint="eastAsia"/>
          <w:szCs w:val="22"/>
        </w:rPr>
        <w:t>，</w:t>
      </w:r>
      <w:r w:rsidRPr="00212D57">
        <w:rPr>
          <w:szCs w:val="22"/>
        </w:rPr>
        <w:t>卷</w:t>
      </w:r>
      <w:r w:rsidRPr="00761EF3">
        <w:rPr>
          <w:szCs w:val="22"/>
        </w:rPr>
        <w:t>10</w:t>
      </w:r>
      <w:r w:rsidRPr="00212D57">
        <w:rPr>
          <w:szCs w:val="22"/>
        </w:rPr>
        <w:t>〈</w:t>
      </w:r>
      <w:r w:rsidRPr="00761EF3">
        <w:rPr>
          <w:rFonts w:hint="eastAsia"/>
          <w:szCs w:val="22"/>
        </w:rPr>
        <w:t>19</w:t>
      </w:r>
      <w:r w:rsidRPr="00212D57">
        <w:rPr>
          <w:szCs w:val="22"/>
        </w:rPr>
        <w:t xml:space="preserve"> </w:t>
      </w:r>
      <w:r w:rsidRPr="00212D57">
        <w:rPr>
          <w:szCs w:val="22"/>
        </w:rPr>
        <w:t>蘊品〉（大正</w:t>
      </w:r>
      <w:r w:rsidRPr="00761EF3">
        <w:rPr>
          <w:szCs w:val="22"/>
        </w:rPr>
        <w:t>26</w:t>
      </w:r>
      <w:r w:rsidRPr="00212D57">
        <w:rPr>
          <w:szCs w:val="22"/>
        </w:rPr>
        <w:t>，</w:t>
      </w:r>
      <w:r w:rsidRPr="00761EF3">
        <w:rPr>
          <w:szCs w:val="22"/>
        </w:rPr>
        <w:t>500c26</w:t>
      </w:r>
      <w:r w:rsidRPr="00212D57">
        <w:rPr>
          <w:szCs w:val="22"/>
        </w:rPr>
        <w:t>-</w:t>
      </w:r>
      <w:r w:rsidRPr="00761EF3">
        <w:rPr>
          <w:szCs w:val="22"/>
        </w:rPr>
        <w:t>501b24</w:t>
      </w:r>
      <w:r w:rsidRPr="00212D57">
        <w:rPr>
          <w:szCs w:val="22"/>
        </w:rPr>
        <w:t>）</w:t>
      </w:r>
      <w:r w:rsidRPr="00212D57">
        <w:rPr>
          <w:rFonts w:hint="eastAsia"/>
          <w:szCs w:val="22"/>
        </w:rPr>
        <w:t>，</w:t>
      </w:r>
      <w:r w:rsidRPr="00212D57">
        <w:rPr>
          <w:szCs w:val="22"/>
        </w:rPr>
        <w:t>卷</w:t>
      </w:r>
      <w:r w:rsidRPr="00761EF3">
        <w:rPr>
          <w:szCs w:val="22"/>
        </w:rPr>
        <w:t>10</w:t>
      </w:r>
      <w:r w:rsidRPr="00212D57">
        <w:rPr>
          <w:rFonts w:hint="eastAsia"/>
          <w:szCs w:val="22"/>
        </w:rPr>
        <w:t>-</w:t>
      </w:r>
      <w:r w:rsidRPr="00761EF3">
        <w:rPr>
          <w:rFonts w:hint="eastAsia"/>
          <w:szCs w:val="22"/>
        </w:rPr>
        <w:t>11</w:t>
      </w:r>
      <w:r w:rsidRPr="00212D57">
        <w:rPr>
          <w:szCs w:val="22"/>
        </w:rPr>
        <w:t>〈</w:t>
      </w:r>
      <w:r w:rsidRPr="00761EF3">
        <w:rPr>
          <w:rFonts w:hint="eastAsia"/>
          <w:szCs w:val="22"/>
        </w:rPr>
        <w:t>20</w:t>
      </w:r>
      <w:r w:rsidRPr="00212D57">
        <w:rPr>
          <w:szCs w:val="22"/>
        </w:rPr>
        <w:t xml:space="preserve"> </w:t>
      </w:r>
      <w:r w:rsidRPr="00212D57">
        <w:rPr>
          <w:rFonts w:hint="eastAsia"/>
          <w:szCs w:val="22"/>
        </w:rPr>
        <w:t>多</w:t>
      </w:r>
      <w:r w:rsidRPr="00212D57">
        <w:rPr>
          <w:szCs w:val="22"/>
        </w:rPr>
        <w:t>界品〉（大正</w:t>
      </w:r>
      <w:r w:rsidRPr="00761EF3">
        <w:rPr>
          <w:szCs w:val="22"/>
        </w:rPr>
        <w:t>26</w:t>
      </w:r>
      <w:r w:rsidRPr="00212D57">
        <w:rPr>
          <w:szCs w:val="22"/>
        </w:rPr>
        <w:t>，</w:t>
      </w:r>
      <w:r w:rsidRPr="00761EF3">
        <w:rPr>
          <w:szCs w:val="22"/>
        </w:rPr>
        <w:t>501b24</w:t>
      </w:r>
      <w:r w:rsidRPr="00212D57">
        <w:rPr>
          <w:szCs w:val="22"/>
        </w:rPr>
        <w:t>-</w:t>
      </w:r>
      <w:r w:rsidRPr="00761EF3">
        <w:rPr>
          <w:szCs w:val="22"/>
        </w:rPr>
        <w:t>50</w:t>
      </w:r>
      <w:r w:rsidRPr="00761EF3">
        <w:rPr>
          <w:rFonts w:hint="eastAsia"/>
          <w:szCs w:val="22"/>
        </w:rPr>
        <w:t>5a8</w:t>
      </w:r>
      <w:r w:rsidRPr="00212D57">
        <w:rPr>
          <w:szCs w:val="22"/>
        </w:rPr>
        <w:t>）。</w:t>
      </w:r>
    </w:p>
  </w:footnote>
  <w:footnote w:id="153">
    <w:p w:rsidR="00157EF6" w:rsidRPr="00212D57" w:rsidRDefault="00157EF6" w:rsidP="00C83630">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）《中論》卷</w:t>
      </w:r>
      <w:r w:rsidRPr="00761EF3">
        <w:rPr>
          <w:szCs w:val="22"/>
        </w:rPr>
        <w:t>1</w:t>
      </w:r>
      <w:r w:rsidRPr="00212D57">
        <w:rPr>
          <w:szCs w:val="22"/>
        </w:rPr>
        <w:t>〈</w:t>
      </w:r>
      <w:r w:rsidRPr="00761EF3">
        <w:rPr>
          <w:szCs w:val="22"/>
        </w:rPr>
        <w:t>3</w:t>
      </w:r>
      <w:r w:rsidRPr="00212D57">
        <w:rPr>
          <w:szCs w:val="22"/>
        </w:rPr>
        <w:t xml:space="preserve"> </w:t>
      </w:r>
      <w:r w:rsidRPr="00212D57">
        <w:rPr>
          <w:szCs w:val="22"/>
        </w:rPr>
        <w:t>觀六情品〉（大正</w:t>
      </w:r>
      <w:r w:rsidRPr="00761EF3">
        <w:rPr>
          <w:szCs w:val="22"/>
        </w:rPr>
        <w:t>30</w:t>
      </w:r>
      <w:r w:rsidRPr="00212D57">
        <w:rPr>
          <w:szCs w:val="22"/>
        </w:rPr>
        <w:t>，</w:t>
      </w:r>
      <w:r w:rsidRPr="00761EF3">
        <w:rPr>
          <w:szCs w:val="22"/>
        </w:rPr>
        <w:t>6b9</w:t>
      </w:r>
      <w:r w:rsidRPr="00212D57">
        <w:rPr>
          <w:szCs w:val="22"/>
        </w:rPr>
        <w:t>-</w:t>
      </w:r>
      <w:r w:rsidRPr="00761EF3">
        <w:rPr>
          <w:szCs w:val="22"/>
        </w:rPr>
        <w:t>10</w:t>
      </w:r>
      <w:r w:rsidRPr="00212D57">
        <w:rPr>
          <w:szCs w:val="22"/>
        </w:rPr>
        <w:t>）。</w:t>
      </w:r>
    </w:p>
    <w:p w:rsidR="00157EF6" w:rsidRPr="00212D57" w:rsidRDefault="00157EF6" w:rsidP="00C83630">
      <w:pPr>
        <w:pStyle w:val="a5"/>
        <w:ind w:leftChars="105" w:left="791" w:hangingChars="245" w:hanging="539"/>
        <w:jc w:val="both"/>
        <w:rPr>
          <w:szCs w:val="22"/>
        </w:rPr>
      </w:pPr>
      <w:r w:rsidRPr="00212D57">
        <w:rPr>
          <w:szCs w:val="22"/>
        </w:rPr>
        <w:t>（</w:t>
      </w:r>
      <w:r w:rsidRPr="00761EF3">
        <w:rPr>
          <w:szCs w:val="22"/>
        </w:rPr>
        <w:t>2</w:t>
      </w:r>
      <w:r w:rsidRPr="00212D57">
        <w:rPr>
          <w:szCs w:val="22"/>
        </w:rPr>
        <w:t>）</w:t>
      </w:r>
      <w:r w:rsidR="009160B5">
        <w:rPr>
          <w:szCs w:val="22"/>
        </w:rPr>
        <w:t>參見：印</w:t>
      </w:r>
      <w:r w:rsidRPr="00212D57">
        <w:rPr>
          <w:szCs w:val="22"/>
        </w:rPr>
        <w:t>順法師，《中觀論頌講記》，</w:t>
      </w:r>
      <w:r w:rsidRPr="00761EF3">
        <w:rPr>
          <w:szCs w:val="22"/>
        </w:rPr>
        <w:t>pp</w:t>
      </w:r>
      <w:r w:rsidRPr="00212D57">
        <w:rPr>
          <w:szCs w:val="22"/>
        </w:rPr>
        <w:t>.</w:t>
      </w:r>
      <w:r w:rsidRPr="00761EF3">
        <w:rPr>
          <w:szCs w:val="22"/>
        </w:rPr>
        <w:t>108</w:t>
      </w:r>
      <w:r w:rsidRPr="00212D57">
        <w:rPr>
          <w:szCs w:val="22"/>
        </w:rPr>
        <w:t>-</w:t>
      </w:r>
      <w:r w:rsidRPr="00761EF3">
        <w:rPr>
          <w:szCs w:val="22"/>
        </w:rPr>
        <w:t>109</w:t>
      </w:r>
      <w:r w:rsidRPr="00212D57">
        <w:rPr>
          <w:szCs w:val="22"/>
        </w:rPr>
        <w:t>：</w:t>
      </w:r>
    </w:p>
    <w:p w:rsidR="00157EF6" w:rsidRPr="00212D57" w:rsidRDefault="00157EF6" w:rsidP="00C83630">
      <w:pPr>
        <w:pStyle w:val="a5"/>
        <w:ind w:leftChars="335" w:left="804"/>
        <w:jc w:val="both"/>
        <w:rPr>
          <w:rFonts w:eastAsia="標楷體"/>
          <w:szCs w:val="22"/>
        </w:rPr>
      </w:pPr>
      <w:r w:rsidRPr="00212D57">
        <w:rPr>
          <w:rFonts w:eastAsia="標楷體"/>
          <w:szCs w:val="22"/>
        </w:rPr>
        <w:t>從自性</w:t>
      </w:r>
      <w:r w:rsidRPr="00212D57">
        <w:rPr>
          <w:rFonts w:eastAsia="標楷體"/>
          <w:b/>
          <w:szCs w:val="22"/>
        </w:rPr>
        <w:t>見根</w:t>
      </w:r>
      <w:r w:rsidRPr="00212D57">
        <w:rPr>
          <w:rFonts w:eastAsia="標楷體"/>
          <w:szCs w:val="22"/>
        </w:rPr>
        <w:t>與</w:t>
      </w:r>
      <w:r w:rsidRPr="00212D57">
        <w:rPr>
          <w:rFonts w:eastAsia="標楷體"/>
          <w:b/>
          <w:szCs w:val="22"/>
        </w:rPr>
        <w:t>可見境</w:t>
      </w:r>
      <w:r w:rsidRPr="00212D57">
        <w:rPr>
          <w:rFonts w:eastAsia="標楷體"/>
          <w:szCs w:val="22"/>
        </w:rPr>
        <w:t>的沒有，影響到從根境和合所生起的一切法，都無從建立。《阿含經》說：「內有眼根，外有色法，根境二合生識，識與根境三和合觸，觸緣受，受緣愛。</w:t>
      </w:r>
      <w:r w:rsidRPr="00212D57">
        <w:rPr>
          <w:rFonts w:eastAsia="標楷體" w:hint="eastAsia"/>
          <w:szCs w:val="22"/>
        </w:rPr>
        <w:t>」</w:t>
      </w:r>
      <w:r w:rsidRPr="00212D57">
        <w:rPr>
          <w:rFonts w:eastAsia="標楷體"/>
          <w:szCs w:val="22"/>
        </w:rPr>
        <w:t>這從根境而起的</w:t>
      </w:r>
      <w:r w:rsidRPr="00212D57">
        <w:rPr>
          <w:rFonts w:eastAsia="標楷體"/>
          <w:b/>
          <w:szCs w:val="22"/>
        </w:rPr>
        <w:t>識、觸、受、愛四法</w:t>
      </w:r>
      <w:r w:rsidRPr="00212D57">
        <w:rPr>
          <w:rFonts w:eastAsia="標楷體"/>
          <w:szCs w:val="22"/>
        </w:rPr>
        <w:t>，是心理活動的過程，都是要依根境的和合，才得發生。現在既沒有「見</w:t>
      </w:r>
      <w:r w:rsidRPr="00212D57">
        <w:rPr>
          <w:rFonts w:eastAsia="標楷體" w:hint="eastAsia"/>
          <w:szCs w:val="22"/>
        </w:rPr>
        <w:t>」</w:t>
      </w:r>
      <w:r w:rsidRPr="00212D57">
        <w:rPr>
          <w:rFonts w:eastAsia="標楷體"/>
          <w:szCs w:val="22"/>
        </w:rPr>
        <w:t>與「可見</w:t>
      </w:r>
      <w:r w:rsidRPr="00212D57">
        <w:rPr>
          <w:rFonts w:eastAsia="標楷體" w:hint="eastAsia"/>
          <w:szCs w:val="22"/>
        </w:rPr>
        <w:t>」</w:t>
      </w:r>
      <w:r w:rsidRPr="00212D57">
        <w:rPr>
          <w:rFonts w:eastAsia="標楷體"/>
          <w:szCs w:val="22"/>
        </w:rPr>
        <w:t>的自性，那能依的「識等四法」當然也無有了。經上說有六六法門：就是六根，六境，六識，六觸（眼根所生觸，耳根所生觸</w:t>
      </w:r>
      <w:r w:rsidRPr="00212D57">
        <w:rPr>
          <w:rFonts w:ascii="標楷體" w:eastAsia="標楷體" w:hAnsi="標楷體"/>
          <w:szCs w:val="22"/>
        </w:rPr>
        <w:t>……</w:t>
      </w:r>
      <w:r w:rsidRPr="00212D57">
        <w:rPr>
          <w:rFonts w:eastAsia="標楷體"/>
          <w:szCs w:val="22"/>
        </w:rPr>
        <w:t>意根所生觸），六受（眼觸所生受</w:t>
      </w:r>
      <w:r w:rsidRPr="00212D57">
        <w:rPr>
          <w:rFonts w:ascii="標楷體" w:eastAsia="標楷體" w:hAnsi="標楷體"/>
          <w:szCs w:val="22"/>
        </w:rPr>
        <w:t>……</w:t>
      </w:r>
      <w:r w:rsidRPr="00212D57">
        <w:rPr>
          <w:rFonts w:eastAsia="標楷體"/>
          <w:szCs w:val="22"/>
        </w:rPr>
        <w:t>意觸所生受），六愛（眼受所生愛</w:t>
      </w:r>
      <w:r w:rsidRPr="00212D57">
        <w:rPr>
          <w:rFonts w:ascii="標楷體" w:eastAsia="標楷體" w:hAnsi="標楷體"/>
          <w:szCs w:val="22"/>
        </w:rPr>
        <w:t>……</w:t>
      </w:r>
      <w:r w:rsidRPr="00212D57">
        <w:rPr>
          <w:rFonts w:eastAsia="標楷體"/>
          <w:szCs w:val="22"/>
        </w:rPr>
        <w:t>意受所生愛）。這就是說十二緣起中現實生命活動的一系：識是識，境是名色，根是六處，觸就是觸，受就是受，愛就是愛，這可見十二緣起的因果連繫，是以六根為中心的。他是前業感得的有情自體，依著他，又有煩惱業力的活動，招感未來的果報。愛，已到達了煩惱的活動，愛著生命與一切境界，再發展下去，就是取。</w:t>
      </w:r>
      <w:r w:rsidRPr="00212D57">
        <w:rPr>
          <w:rFonts w:eastAsia="標楷體"/>
          <w:b/>
          <w:szCs w:val="22"/>
        </w:rPr>
        <w:t>取有欲取、見取、戒禁取、我語取「四取」</w:t>
      </w:r>
      <w:r w:rsidRPr="00212D57">
        <w:rPr>
          <w:rFonts w:eastAsia="標楷體"/>
          <w:szCs w:val="22"/>
        </w:rPr>
        <w:t>。因了愛的染著繫縛，由染著而去追求執著，就是取。因愛取煩惱的衝動，造種種非法的身語惡業；縱然生起善業，也總是在自我的執著下，是有漏的生死業。業是身心活動而保存的功能，所以十二支中叫做有。有緣生，生緣老死，這種「諸緣」的因果相生，因根本（根境）的不成，都不能成立，所以說「云何當得有」？從緣起無自性的見地來看，自性有的十二有支，都不可得</w:t>
      </w:r>
      <w:r w:rsidRPr="00212D57">
        <w:rPr>
          <w:szCs w:val="22"/>
        </w:rPr>
        <w:t>。</w:t>
      </w:r>
    </w:p>
  </w:footnote>
  <w:footnote w:id="154">
    <w:p w:rsidR="00157EF6" w:rsidRPr="00212D57" w:rsidRDefault="00157EF6" w:rsidP="00C83630">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）《雜阿含經》卷</w:t>
      </w:r>
      <w:r w:rsidRPr="00761EF3">
        <w:rPr>
          <w:szCs w:val="22"/>
        </w:rPr>
        <w:t>12</w:t>
      </w:r>
      <w:r w:rsidRPr="00212D57">
        <w:rPr>
          <w:szCs w:val="22"/>
        </w:rPr>
        <w:t>（</w:t>
      </w:r>
      <w:r w:rsidRPr="00761EF3">
        <w:rPr>
          <w:szCs w:val="22"/>
        </w:rPr>
        <w:t>304</w:t>
      </w:r>
      <w:r w:rsidRPr="00212D57">
        <w:rPr>
          <w:szCs w:val="22"/>
        </w:rPr>
        <w:t>經）（大正</w:t>
      </w:r>
      <w:r w:rsidRPr="00761EF3">
        <w:rPr>
          <w:szCs w:val="22"/>
        </w:rPr>
        <w:t>2</w:t>
      </w:r>
      <w:r w:rsidRPr="00212D57">
        <w:rPr>
          <w:szCs w:val="22"/>
        </w:rPr>
        <w:t>，</w:t>
      </w:r>
      <w:r w:rsidRPr="00761EF3">
        <w:rPr>
          <w:szCs w:val="22"/>
        </w:rPr>
        <w:t>86c24</w:t>
      </w:r>
      <w:r w:rsidRPr="00212D57">
        <w:rPr>
          <w:szCs w:val="22"/>
        </w:rPr>
        <w:t>-</w:t>
      </w:r>
      <w:r w:rsidRPr="00761EF3">
        <w:rPr>
          <w:szCs w:val="22"/>
        </w:rPr>
        <w:t>87a8</w:t>
      </w:r>
      <w:r w:rsidRPr="00212D57">
        <w:rPr>
          <w:szCs w:val="22"/>
        </w:rPr>
        <w:t>）。</w:t>
      </w:r>
    </w:p>
    <w:p w:rsidR="00157EF6" w:rsidRPr="00212D57" w:rsidRDefault="00157EF6" w:rsidP="00C83630">
      <w:pPr>
        <w:pStyle w:val="a5"/>
        <w:ind w:leftChars="105" w:left="791" w:hangingChars="245" w:hanging="539"/>
        <w:jc w:val="both"/>
        <w:rPr>
          <w:szCs w:val="22"/>
        </w:rPr>
      </w:pPr>
      <w:r w:rsidRPr="00212D57">
        <w:rPr>
          <w:szCs w:val="22"/>
        </w:rPr>
        <w:t>（</w:t>
      </w:r>
      <w:r w:rsidRPr="00761EF3">
        <w:rPr>
          <w:szCs w:val="22"/>
        </w:rPr>
        <w:t>2</w:t>
      </w:r>
      <w:r w:rsidRPr="00212D57">
        <w:rPr>
          <w:szCs w:val="22"/>
        </w:rPr>
        <w:t>）</w:t>
      </w:r>
      <w:r w:rsidR="009160B5">
        <w:rPr>
          <w:szCs w:val="22"/>
        </w:rPr>
        <w:t>參見：印</w:t>
      </w:r>
      <w:r w:rsidRPr="00212D57">
        <w:rPr>
          <w:szCs w:val="22"/>
        </w:rPr>
        <w:t>順法師，《雜阿含經論會編》（上），</w:t>
      </w:r>
      <w:r w:rsidRPr="00761EF3">
        <w:rPr>
          <w:szCs w:val="22"/>
        </w:rPr>
        <w:t>pp</w:t>
      </w:r>
      <w:r w:rsidRPr="00212D57">
        <w:rPr>
          <w:szCs w:val="22"/>
        </w:rPr>
        <w:t>.</w:t>
      </w:r>
      <w:r w:rsidRPr="00761EF3">
        <w:rPr>
          <w:szCs w:val="22"/>
        </w:rPr>
        <w:t>383</w:t>
      </w:r>
      <w:r w:rsidRPr="00212D57">
        <w:rPr>
          <w:szCs w:val="22"/>
        </w:rPr>
        <w:t>-</w:t>
      </w:r>
      <w:r w:rsidRPr="00761EF3">
        <w:rPr>
          <w:szCs w:val="22"/>
        </w:rPr>
        <w:t>384</w:t>
      </w:r>
      <w:r w:rsidRPr="00212D57">
        <w:rPr>
          <w:szCs w:val="22"/>
        </w:rPr>
        <w:t>。</w:t>
      </w:r>
    </w:p>
  </w:footnote>
  <w:footnote w:id="155">
    <w:p w:rsidR="00157EF6" w:rsidRPr="00B33F54" w:rsidRDefault="00157EF6" w:rsidP="00C83630">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00B33F54" w:rsidRPr="00B33F54">
        <w:rPr>
          <w:szCs w:val="22"/>
        </w:rPr>
        <w:t>（</w:t>
      </w:r>
      <w:r w:rsidR="00B33F54" w:rsidRPr="00B33F54">
        <w:rPr>
          <w:szCs w:val="22"/>
        </w:rPr>
        <w:t>1</w:t>
      </w:r>
      <w:r w:rsidR="00B33F54" w:rsidRPr="00B33F54">
        <w:rPr>
          <w:szCs w:val="22"/>
        </w:rPr>
        <w:t>）</w:t>
      </w:r>
      <w:r w:rsidRPr="00B33F54">
        <w:rPr>
          <w:szCs w:val="22"/>
        </w:rPr>
        <w:t>參見《阿毘曇心論》卷</w:t>
      </w:r>
      <w:r w:rsidRPr="00B33F54">
        <w:rPr>
          <w:szCs w:val="22"/>
        </w:rPr>
        <w:t>1</w:t>
      </w:r>
      <w:r w:rsidRPr="00B33F54">
        <w:rPr>
          <w:szCs w:val="22"/>
        </w:rPr>
        <w:t>〈</w:t>
      </w:r>
      <w:r w:rsidRPr="00B33F54">
        <w:rPr>
          <w:szCs w:val="22"/>
        </w:rPr>
        <w:t xml:space="preserve">2 </w:t>
      </w:r>
      <w:r w:rsidRPr="00B33F54">
        <w:rPr>
          <w:szCs w:val="22"/>
        </w:rPr>
        <w:t>行品〉</w:t>
      </w:r>
      <w:r w:rsidRPr="00B33F54">
        <w:rPr>
          <w:rFonts w:eastAsia="標楷體"/>
          <w:szCs w:val="22"/>
        </w:rPr>
        <w:t>（</w:t>
      </w:r>
      <w:r w:rsidRPr="00B33F54">
        <w:rPr>
          <w:szCs w:val="22"/>
        </w:rPr>
        <w:t>大正</w:t>
      </w:r>
      <w:r w:rsidRPr="00B33F54">
        <w:rPr>
          <w:szCs w:val="22"/>
        </w:rPr>
        <w:t>28</w:t>
      </w:r>
      <w:r w:rsidRPr="00B33F54">
        <w:rPr>
          <w:szCs w:val="22"/>
        </w:rPr>
        <w:t>，</w:t>
      </w:r>
      <w:r w:rsidRPr="00B33F54">
        <w:rPr>
          <w:szCs w:val="22"/>
        </w:rPr>
        <w:t>810b17-812a16</w:t>
      </w:r>
      <w:r w:rsidRPr="00B33F54">
        <w:rPr>
          <w:szCs w:val="22"/>
        </w:rPr>
        <w:t>）。</w:t>
      </w:r>
    </w:p>
    <w:p w:rsidR="00B33F54" w:rsidRPr="00B33F54" w:rsidRDefault="00B33F54" w:rsidP="00B33F54">
      <w:pPr>
        <w:pStyle w:val="a5"/>
        <w:ind w:leftChars="105" w:left="791" w:hangingChars="245" w:hanging="539"/>
        <w:jc w:val="both"/>
        <w:rPr>
          <w:color w:val="FF0000"/>
          <w:szCs w:val="22"/>
          <w:highlight w:val="yellow"/>
        </w:rPr>
      </w:pPr>
      <w:r w:rsidRPr="00B33F54">
        <w:rPr>
          <w:color w:val="FF0000"/>
          <w:szCs w:val="22"/>
          <w:highlight w:val="yellow"/>
        </w:rPr>
        <w:t>（</w:t>
      </w:r>
      <w:r w:rsidRPr="00B33F54">
        <w:rPr>
          <w:color w:val="FF0000"/>
          <w:szCs w:val="22"/>
          <w:highlight w:val="yellow"/>
        </w:rPr>
        <w:t>2</w:t>
      </w:r>
      <w:r w:rsidRPr="00B33F54">
        <w:rPr>
          <w:color w:val="FF0000"/>
          <w:szCs w:val="22"/>
          <w:highlight w:val="yellow"/>
        </w:rPr>
        <w:t>）</w:t>
      </w:r>
      <w:r w:rsidRPr="00B33F54">
        <w:rPr>
          <w:rStyle w:val="refandcopytitlefront"/>
          <w:color w:val="FF0000"/>
          <w:szCs w:val="22"/>
          <w:highlight w:val="yellow"/>
        </w:rPr>
        <w:t>《說一切有部為主的論書與論師之研究》</w:t>
      </w:r>
      <w:r w:rsidRPr="00B33F54">
        <w:rPr>
          <w:rStyle w:val="refandcopytitlefront"/>
          <w:rFonts w:hint="eastAsia"/>
          <w:color w:val="FF0000"/>
          <w:szCs w:val="22"/>
          <w:highlight w:val="yellow"/>
        </w:rPr>
        <w:t>，</w:t>
      </w:r>
      <w:r w:rsidRPr="00B33F54">
        <w:rPr>
          <w:rStyle w:val="refandcopylinebook"/>
          <w:color w:val="FF0000"/>
          <w:szCs w:val="22"/>
          <w:highlight w:val="yellow"/>
        </w:rPr>
        <w:t>pp.488-489</w:t>
      </w:r>
      <w:r w:rsidRPr="00B33F54">
        <w:rPr>
          <w:rStyle w:val="refandcopytitlefront"/>
          <w:color w:val="FF0000"/>
          <w:szCs w:val="22"/>
          <w:highlight w:val="yellow"/>
        </w:rPr>
        <w:t>：</w:t>
      </w:r>
    </w:p>
    <w:p w:rsidR="00B33F54" w:rsidRPr="00B33F54" w:rsidRDefault="00B33F54" w:rsidP="00B33F54">
      <w:pPr>
        <w:pStyle w:val="a5"/>
        <w:ind w:leftChars="335" w:left="804"/>
        <w:jc w:val="both"/>
        <w:rPr>
          <w:szCs w:val="22"/>
        </w:rPr>
      </w:pPr>
      <w:r w:rsidRPr="00B33F54">
        <w:rPr>
          <w:rStyle w:val="refandcopypunctuation"/>
          <w:rFonts w:eastAsia="標楷體"/>
          <w:color w:val="FF0000"/>
          <w:szCs w:val="22"/>
          <w:highlight w:val="yellow"/>
        </w:rPr>
        <w:t>《</w:t>
      </w:r>
      <w:r w:rsidRPr="00B33F54">
        <w:rPr>
          <w:rStyle w:val="refandcopymaintext"/>
          <w:rFonts w:eastAsia="標楷體"/>
          <w:color w:val="FF0000"/>
          <w:szCs w:val="22"/>
          <w:highlight w:val="yellow"/>
        </w:rPr>
        <w:t>大毘婆沙論</w:t>
      </w:r>
      <w:r w:rsidRPr="00B33F54">
        <w:rPr>
          <w:rStyle w:val="refandcopypunctuation"/>
          <w:rFonts w:eastAsia="標楷體"/>
          <w:color w:val="FF0000"/>
          <w:szCs w:val="22"/>
          <w:highlight w:val="yellow"/>
        </w:rPr>
        <w:t>》</w:t>
      </w:r>
      <w:r w:rsidRPr="00B33F54">
        <w:rPr>
          <w:rStyle w:val="refandcopymaintext"/>
          <w:rFonts w:eastAsia="標楷體"/>
          <w:color w:val="FF0000"/>
          <w:szCs w:val="22"/>
          <w:highlight w:val="yellow"/>
        </w:rPr>
        <w:t>的集成</w:t>
      </w:r>
      <w:r w:rsidRPr="00B33F54">
        <w:rPr>
          <w:rStyle w:val="refandcopypunctuation"/>
          <w:rFonts w:eastAsia="標楷體"/>
          <w:color w:val="FF0000"/>
          <w:szCs w:val="22"/>
          <w:highlight w:val="yellow"/>
        </w:rPr>
        <w:t>，</w:t>
      </w:r>
      <w:r w:rsidRPr="00B33F54">
        <w:rPr>
          <w:rStyle w:val="refandcopymaintext"/>
          <w:rFonts w:eastAsia="標楷體"/>
          <w:color w:val="FF0000"/>
          <w:szCs w:val="22"/>
          <w:highlight w:val="yellow"/>
        </w:rPr>
        <w:t>約為西元二世紀中</w:t>
      </w:r>
      <w:r w:rsidRPr="00B33F54">
        <w:rPr>
          <w:rStyle w:val="refandcopymaintext"/>
          <w:rFonts w:ascii="標楷體" w:eastAsia="標楷體" w:hAnsi="標楷體" w:hint="eastAsia"/>
          <w:color w:val="FF0000"/>
          <w:szCs w:val="22"/>
          <w:highlight w:val="yellow"/>
        </w:rPr>
        <w:t>──</w:t>
      </w:r>
      <w:r w:rsidRPr="00B33F54">
        <w:rPr>
          <w:rStyle w:val="refandcopymaintext"/>
          <w:rFonts w:eastAsia="標楷體"/>
          <w:color w:val="FF0000"/>
          <w:szCs w:val="22"/>
          <w:highlight w:val="yellow"/>
        </w:rPr>
        <w:t>一五〇頃</w:t>
      </w:r>
      <w:r w:rsidRPr="00B33F54">
        <w:rPr>
          <w:rStyle w:val="refandcopypunctuation"/>
          <w:rFonts w:eastAsia="標楷體"/>
          <w:color w:val="FF0000"/>
          <w:szCs w:val="22"/>
          <w:highlight w:val="yellow"/>
        </w:rPr>
        <w:t>，</w:t>
      </w:r>
      <w:r w:rsidRPr="00B33F54">
        <w:rPr>
          <w:rStyle w:val="refandcopymaintext"/>
          <w:rFonts w:eastAsia="標楷體"/>
          <w:color w:val="FF0000"/>
          <w:szCs w:val="22"/>
          <w:highlight w:val="yellow"/>
        </w:rPr>
        <w:t>那麼</w:t>
      </w:r>
      <w:r w:rsidRPr="00B33F54">
        <w:rPr>
          <w:rStyle w:val="refandcopypunctuation"/>
          <w:rFonts w:eastAsia="標楷體"/>
          <w:color w:val="FF0000"/>
          <w:szCs w:val="22"/>
          <w:highlight w:val="yellow"/>
        </w:rPr>
        <w:t>《</w:t>
      </w:r>
      <w:r w:rsidRPr="00B33F54">
        <w:rPr>
          <w:rStyle w:val="refandcopymaintext"/>
          <w:rFonts w:eastAsia="標楷體"/>
          <w:color w:val="FF0000"/>
          <w:szCs w:val="22"/>
          <w:highlight w:val="yellow"/>
        </w:rPr>
        <w:t>心論</w:t>
      </w:r>
      <w:r w:rsidRPr="00B33F54">
        <w:rPr>
          <w:rStyle w:val="refandcopypunctuation"/>
          <w:rFonts w:eastAsia="標楷體"/>
          <w:color w:val="FF0000"/>
          <w:szCs w:val="22"/>
          <w:highlight w:val="yellow"/>
        </w:rPr>
        <w:t>》</w:t>
      </w:r>
      <w:r w:rsidRPr="00B33F54">
        <w:rPr>
          <w:rStyle w:val="refandcopymaintext"/>
          <w:rFonts w:eastAsia="標楷體"/>
          <w:color w:val="FF0000"/>
          <w:szCs w:val="22"/>
          <w:highlight w:val="yellow"/>
        </w:rPr>
        <w:t>的撰述</w:t>
      </w:r>
      <w:r w:rsidRPr="00B33F54">
        <w:rPr>
          <w:rStyle w:val="refandcopypunctuation"/>
          <w:rFonts w:eastAsia="標楷體"/>
          <w:color w:val="FF0000"/>
          <w:szCs w:val="22"/>
          <w:highlight w:val="yellow"/>
        </w:rPr>
        <w:t>，</w:t>
      </w:r>
      <w:r w:rsidRPr="00B33F54">
        <w:rPr>
          <w:rStyle w:val="refandcopymaintext"/>
          <w:rFonts w:eastAsia="標楷體"/>
          <w:color w:val="FF0000"/>
          <w:szCs w:val="22"/>
          <w:highlight w:val="yellow"/>
        </w:rPr>
        <w:t>可假定為西元三世紀中</w:t>
      </w:r>
      <w:r w:rsidRPr="00B33F54">
        <w:rPr>
          <w:rStyle w:val="refandcopymaintext"/>
          <w:rFonts w:ascii="標楷體" w:eastAsia="標楷體" w:hAnsi="標楷體" w:hint="eastAsia"/>
          <w:color w:val="FF0000"/>
          <w:szCs w:val="22"/>
          <w:highlight w:val="yellow"/>
        </w:rPr>
        <w:t>──</w:t>
      </w:r>
      <w:r w:rsidRPr="00B33F54">
        <w:rPr>
          <w:rStyle w:val="refandcopymaintext"/>
          <w:rFonts w:eastAsia="標楷體"/>
          <w:color w:val="FF0000"/>
          <w:szCs w:val="22"/>
          <w:highlight w:val="yellow"/>
        </w:rPr>
        <w:t>二五〇年後</w:t>
      </w:r>
      <w:r w:rsidRPr="00B33F54">
        <w:rPr>
          <w:rStyle w:val="refandcopypunctuation"/>
          <w:rFonts w:eastAsia="標楷體"/>
          <w:color w:val="FF0000"/>
          <w:szCs w:val="22"/>
          <w:highlight w:val="yellow"/>
        </w:rPr>
        <w:t>。</w:t>
      </w:r>
      <w:r w:rsidRPr="007128F9">
        <w:rPr>
          <w:rStyle w:val="refandcopymaintext"/>
          <w:rFonts w:eastAsia="標楷體" w:hint="eastAsia"/>
          <w:color w:val="FF0000"/>
          <w:szCs w:val="22"/>
          <w:shd w:val="pct15" w:color="auto" w:fill="FFFFFF"/>
        </w:rPr>
        <w:t>……</w:t>
      </w:r>
      <w:r w:rsidRPr="00B33F54">
        <w:rPr>
          <w:rStyle w:val="refandcopymaintext"/>
          <w:rFonts w:eastAsia="標楷體"/>
          <w:color w:val="FF0000"/>
          <w:szCs w:val="22"/>
          <w:highlight w:val="yellow"/>
        </w:rPr>
        <w:t>龍樹的</w:t>
      </w:r>
      <w:r w:rsidRPr="00B33F54">
        <w:rPr>
          <w:rStyle w:val="refandcopypunctuation"/>
          <w:rFonts w:eastAsia="標楷體"/>
          <w:color w:val="FF0000"/>
          <w:szCs w:val="22"/>
          <w:highlight w:val="yellow"/>
        </w:rPr>
        <w:t>《</w:t>
      </w:r>
      <w:r w:rsidRPr="00B33F54">
        <w:rPr>
          <w:rStyle w:val="refandcopymaintext"/>
          <w:rFonts w:eastAsia="標楷體"/>
          <w:color w:val="FF0000"/>
          <w:szCs w:val="22"/>
          <w:highlight w:val="yellow"/>
        </w:rPr>
        <w:t>大智度論</w:t>
      </w:r>
      <w:r w:rsidRPr="00B33F54">
        <w:rPr>
          <w:rStyle w:val="refandcopypunctuation"/>
          <w:rFonts w:eastAsia="標楷體"/>
          <w:color w:val="FF0000"/>
          <w:szCs w:val="22"/>
          <w:highlight w:val="yellow"/>
        </w:rPr>
        <w:t>》，</w:t>
      </w:r>
      <w:r w:rsidRPr="00B33F54">
        <w:rPr>
          <w:rStyle w:val="refandcopymaintext"/>
          <w:rFonts w:eastAsia="標楷體"/>
          <w:color w:val="FF0000"/>
          <w:szCs w:val="22"/>
          <w:highlight w:val="yellow"/>
        </w:rPr>
        <w:t>敘阿毘達磨論</w:t>
      </w:r>
      <w:r w:rsidRPr="00B33F54">
        <w:rPr>
          <w:rStyle w:val="refandcopypunctuation"/>
          <w:rFonts w:eastAsia="標楷體"/>
          <w:color w:val="FF0000"/>
          <w:szCs w:val="22"/>
          <w:highlight w:val="yellow"/>
        </w:rPr>
        <w:t>，</w:t>
      </w:r>
      <w:r w:rsidRPr="00B33F54">
        <w:rPr>
          <w:rStyle w:val="refandcopymaintext"/>
          <w:rFonts w:eastAsia="標楷體"/>
          <w:color w:val="FF0000"/>
          <w:szCs w:val="22"/>
          <w:highlight w:val="yellow"/>
        </w:rPr>
        <w:t>而沒有說到</w:t>
      </w:r>
      <w:r w:rsidRPr="00B33F54">
        <w:rPr>
          <w:rStyle w:val="refandcopypunctuation"/>
          <w:rFonts w:eastAsia="標楷體"/>
          <w:color w:val="FF0000"/>
          <w:szCs w:val="22"/>
          <w:highlight w:val="yellow"/>
        </w:rPr>
        <w:t>《</w:t>
      </w:r>
      <w:r w:rsidRPr="00B33F54">
        <w:rPr>
          <w:rStyle w:val="refandcopymaintext"/>
          <w:rFonts w:eastAsia="標楷體"/>
          <w:color w:val="FF0000"/>
          <w:szCs w:val="22"/>
          <w:highlight w:val="yellow"/>
        </w:rPr>
        <w:t>心論</w:t>
      </w:r>
      <w:r w:rsidRPr="00B33F54">
        <w:rPr>
          <w:rStyle w:val="refandcopypunctuation"/>
          <w:rFonts w:eastAsia="標楷體"/>
          <w:color w:val="FF0000"/>
          <w:szCs w:val="22"/>
          <w:highlight w:val="yellow"/>
        </w:rPr>
        <w:t>》。</w:t>
      </w:r>
      <w:r w:rsidRPr="00B33F54">
        <w:rPr>
          <w:rStyle w:val="refandcopymaintext"/>
          <w:rFonts w:eastAsia="標楷體"/>
          <w:color w:val="FF0000"/>
          <w:szCs w:val="22"/>
          <w:highlight w:val="yellow"/>
        </w:rPr>
        <w:t>所以</w:t>
      </w:r>
      <w:r w:rsidRPr="00B33F54">
        <w:rPr>
          <w:rStyle w:val="refandcopypunctuation"/>
          <w:rFonts w:eastAsia="標楷體"/>
          <w:color w:val="FF0000"/>
          <w:szCs w:val="22"/>
          <w:highlight w:val="yellow"/>
        </w:rPr>
        <w:t>，</w:t>
      </w:r>
      <w:r w:rsidRPr="00B33F54">
        <w:rPr>
          <w:rStyle w:val="refandcopymaintext"/>
          <w:rFonts w:eastAsia="標楷體"/>
          <w:color w:val="FF0000"/>
          <w:szCs w:val="22"/>
          <w:highlight w:val="yellow"/>
        </w:rPr>
        <w:t>應依嘉祥的傳說</w:t>
      </w:r>
      <w:r w:rsidRPr="00B33F54">
        <w:rPr>
          <w:rStyle w:val="refandcopypunctuation"/>
          <w:rFonts w:eastAsia="標楷體"/>
          <w:color w:val="FF0000"/>
          <w:szCs w:val="22"/>
          <w:highlight w:val="yellow"/>
        </w:rPr>
        <w:t>，</w:t>
      </w:r>
      <w:r w:rsidRPr="00B33F54">
        <w:rPr>
          <w:rStyle w:val="refandcopymaintext"/>
          <w:rFonts w:eastAsia="標楷體"/>
          <w:color w:val="FF0000"/>
          <w:szCs w:val="22"/>
          <w:highlight w:val="yellow"/>
        </w:rPr>
        <w:t>法勝遲於龍樹</w:t>
      </w:r>
      <w:r w:rsidRPr="00B33F54">
        <w:rPr>
          <w:rStyle w:val="refandcopypunctuation"/>
          <w:rFonts w:eastAsia="標楷體"/>
          <w:color w:val="FF0000"/>
          <w:szCs w:val="22"/>
          <w:highlight w:val="yellow"/>
        </w:rPr>
        <w:t>，</w:t>
      </w:r>
      <w:r w:rsidRPr="00B33F54">
        <w:rPr>
          <w:rStyle w:val="refandcopymaintext"/>
          <w:rFonts w:eastAsia="標楷體"/>
          <w:color w:val="FF0000"/>
          <w:szCs w:val="22"/>
          <w:highlight w:val="yellow"/>
        </w:rPr>
        <w:t>與提婆的時代相當</w:t>
      </w:r>
      <w:r w:rsidRPr="00B33F54">
        <w:rPr>
          <w:rStyle w:val="refandcopypunctuation"/>
          <w:rFonts w:eastAsia="標楷體"/>
          <w:color w:val="FF0000"/>
          <w:szCs w:val="22"/>
          <w:highlight w:val="yellow"/>
        </w:rPr>
        <w:t>，</w:t>
      </w:r>
      <w:r w:rsidRPr="00B33F54">
        <w:rPr>
          <w:rStyle w:val="refandcopymaintext"/>
          <w:rFonts w:eastAsia="標楷體"/>
          <w:color w:val="FF0000"/>
          <w:szCs w:val="22"/>
          <w:highlight w:val="yellow"/>
        </w:rPr>
        <w:t>較為合理</w:t>
      </w:r>
      <w:r w:rsidRPr="00B33F54">
        <w:rPr>
          <w:rStyle w:val="refandcopypunctuation"/>
          <w:rFonts w:eastAsia="標楷體"/>
          <w:color w:val="FF0000"/>
          <w:szCs w:val="22"/>
          <w:highlight w:val="yellow"/>
        </w:rPr>
        <w:t>。</w:t>
      </w:r>
    </w:p>
  </w:footnote>
  <w:footnote w:id="156">
    <w:p w:rsidR="00157EF6" w:rsidRPr="00212D57" w:rsidRDefault="00157EF6" w:rsidP="00C83630">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《雜阿含經》卷</w:t>
      </w:r>
      <w:r w:rsidRPr="00761EF3">
        <w:rPr>
          <w:szCs w:val="22"/>
        </w:rPr>
        <w:t>10</w:t>
      </w:r>
      <w:r w:rsidRPr="00212D57">
        <w:rPr>
          <w:szCs w:val="22"/>
        </w:rPr>
        <w:t>（</w:t>
      </w:r>
      <w:r w:rsidRPr="00761EF3">
        <w:rPr>
          <w:szCs w:val="22"/>
        </w:rPr>
        <w:t>266</w:t>
      </w:r>
      <w:r w:rsidRPr="00212D57">
        <w:rPr>
          <w:szCs w:val="22"/>
        </w:rPr>
        <w:t>經）（大正</w:t>
      </w:r>
      <w:r w:rsidRPr="00761EF3">
        <w:rPr>
          <w:szCs w:val="22"/>
        </w:rPr>
        <w:t>2</w:t>
      </w:r>
      <w:r w:rsidRPr="00212D57">
        <w:rPr>
          <w:szCs w:val="22"/>
        </w:rPr>
        <w:t>，</w:t>
      </w:r>
      <w:r w:rsidRPr="00761EF3">
        <w:rPr>
          <w:szCs w:val="22"/>
        </w:rPr>
        <w:t>69b4</w:t>
      </w:r>
      <w:r w:rsidRPr="00212D57">
        <w:rPr>
          <w:szCs w:val="22"/>
        </w:rPr>
        <w:t>-</w:t>
      </w:r>
      <w:r w:rsidRPr="00761EF3">
        <w:rPr>
          <w:szCs w:val="22"/>
        </w:rPr>
        <w:t>c1</w:t>
      </w:r>
      <w:r w:rsidRPr="00212D57">
        <w:rPr>
          <w:szCs w:val="22"/>
        </w:rPr>
        <w:t>）：</w:t>
      </w:r>
    </w:p>
    <w:p w:rsidR="00157EF6" w:rsidRPr="00212D57" w:rsidRDefault="00157EF6" w:rsidP="00C83630">
      <w:pPr>
        <w:pStyle w:val="a5"/>
        <w:ind w:leftChars="105" w:left="252"/>
        <w:jc w:val="both"/>
        <w:rPr>
          <w:rFonts w:eastAsia="標楷體"/>
          <w:szCs w:val="22"/>
        </w:rPr>
      </w:pPr>
      <w:r w:rsidRPr="00212D57">
        <w:rPr>
          <w:rFonts w:eastAsia="標楷體"/>
          <w:szCs w:val="22"/>
        </w:rPr>
        <w:t>如是我聞：一時，佛住舍衛國祇樹給孤獨園。爾時，佛告諸比丘：「</w:t>
      </w:r>
      <w:r w:rsidRPr="00212D57">
        <w:rPr>
          <w:rFonts w:eastAsia="標楷體"/>
          <w:b/>
          <w:bCs/>
          <w:szCs w:val="22"/>
        </w:rPr>
        <w:t>於無始生死，無明所蓋</w:t>
      </w:r>
      <w:r w:rsidR="00A00626">
        <w:rPr>
          <w:rFonts w:eastAsia="標楷體" w:hint="eastAsia"/>
          <w:b/>
          <w:bCs/>
          <w:color w:val="FF0000"/>
          <w:szCs w:val="22"/>
          <w:highlight w:val="yellow"/>
        </w:rPr>
        <w:t>、</w:t>
      </w:r>
      <w:r w:rsidRPr="00212D57">
        <w:rPr>
          <w:rFonts w:eastAsia="標楷體"/>
          <w:b/>
          <w:bCs/>
          <w:szCs w:val="22"/>
        </w:rPr>
        <w:t>愛結所繫，長夜輪迴，不知苦之本際</w:t>
      </w:r>
      <w:r w:rsidR="00146FAE">
        <w:rPr>
          <w:rFonts w:ascii="標楷體" w:eastAsia="標楷體" w:hAnsi="標楷體" w:hint="eastAsia"/>
          <w:color w:val="FF0000"/>
          <w:kern w:val="0"/>
          <w:highlight w:val="yellow"/>
        </w:rPr>
        <w:t>。</w:t>
      </w:r>
      <w:r w:rsidRPr="00212D57">
        <w:rPr>
          <w:rFonts w:eastAsia="標楷體"/>
          <w:szCs w:val="22"/>
        </w:rPr>
        <w:t>有時長久不雨，地之所生百穀草木，皆悉枯乾</w:t>
      </w:r>
      <w:r w:rsidR="00146FAE">
        <w:rPr>
          <w:rFonts w:ascii="標楷體" w:eastAsia="標楷體" w:hAnsi="標楷體" w:hint="eastAsia"/>
          <w:color w:val="FF0000"/>
          <w:spacing w:val="-4"/>
          <w:kern w:val="0"/>
          <w:highlight w:val="yellow"/>
        </w:rPr>
        <w:t>；</w:t>
      </w:r>
      <w:r w:rsidRPr="00212D57">
        <w:rPr>
          <w:rFonts w:eastAsia="標楷體"/>
          <w:szCs w:val="22"/>
        </w:rPr>
        <w:t>諸比丘！若無明所蓋</w:t>
      </w:r>
      <w:r w:rsidR="00A00626">
        <w:rPr>
          <w:rFonts w:eastAsia="標楷體" w:hint="eastAsia"/>
          <w:color w:val="FF0000"/>
          <w:szCs w:val="22"/>
          <w:highlight w:val="yellow"/>
        </w:rPr>
        <w:t>、</w:t>
      </w:r>
      <w:r w:rsidRPr="00212D57">
        <w:rPr>
          <w:rFonts w:eastAsia="標楷體"/>
          <w:szCs w:val="22"/>
        </w:rPr>
        <w:t>愛結所繫，眾生生死輪迴，愛結不斷，不盡苦邊。諸比丘！有時長夜不雨，大海水悉皆枯竭</w:t>
      </w:r>
      <w:r w:rsidR="00146FAE">
        <w:rPr>
          <w:rFonts w:ascii="標楷體" w:eastAsia="標楷體" w:hAnsi="標楷體" w:hint="eastAsia"/>
          <w:color w:val="FF0000"/>
          <w:spacing w:val="-4"/>
          <w:kern w:val="0"/>
          <w:highlight w:val="yellow"/>
        </w:rPr>
        <w:t>；</w:t>
      </w:r>
      <w:r w:rsidRPr="00212D57">
        <w:rPr>
          <w:rFonts w:eastAsia="標楷體"/>
          <w:szCs w:val="22"/>
        </w:rPr>
        <w:t>諸比丘！無明所蓋</w:t>
      </w:r>
      <w:r w:rsidR="00A00626">
        <w:rPr>
          <w:rFonts w:eastAsia="標楷體" w:hint="eastAsia"/>
          <w:color w:val="FF0000"/>
          <w:szCs w:val="22"/>
          <w:highlight w:val="yellow"/>
        </w:rPr>
        <w:t>、</w:t>
      </w:r>
      <w:r w:rsidRPr="00212D57">
        <w:rPr>
          <w:rFonts w:eastAsia="標楷體"/>
          <w:szCs w:val="22"/>
        </w:rPr>
        <w:t>愛結所繫，眾生生死輪迴，愛結不斷，不盡苦邊。諸比丘！有時長夜須彌山王皆悉崩落</w:t>
      </w:r>
      <w:r w:rsidR="00146FAE">
        <w:rPr>
          <w:rFonts w:ascii="標楷體" w:eastAsia="標楷體" w:hAnsi="標楷體" w:hint="eastAsia"/>
          <w:color w:val="FF0000"/>
          <w:spacing w:val="-4"/>
          <w:kern w:val="0"/>
          <w:highlight w:val="yellow"/>
        </w:rPr>
        <w:t>；</w:t>
      </w:r>
      <w:r w:rsidRPr="00212D57">
        <w:rPr>
          <w:rFonts w:eastAsia="標楷體"/>
          <w:szCs w:val="22"/>
        </w:rPr>
        <w:t>無明所蓋</w:t>
      </w:r>
      <w:r w:rsidR="00A00626">
        <w:rPr>
          <w:rFonts w:eastAsia="標楷體" w:hint="eastAsia"/>
          <w:color w:val="FF0000"/>
          <w:szCs w:val="22"/>
          <w:highlight w:val="yellow"/>
        </w:rPr>
        <w:t>、</w:t>
      </w:r>
      <w:r w:rsidRPr="00212D57">
        <w:rPr>
          <w:rFonts w:eastAsia="標楷體"/>
          <w:szCs w:val="22"/>
        </w:rPr>
        <w:t>愛結所繫，眾生長夜生死輪迴，愛結不斷，不盡苦邊。諸比丘！有時長夜此大地悉皆敗壞</w:t>
      </w:r>
      <w:r w:rsidR="00146FAE">
        <w:rPr>
          <w:rFonts w:ascii="標楷體" w:eastAsia="標楷體" w:hAnsi="標楷體" w:hint="eastAsia"/>
          <w:color w:val="FF0000"/>
          <w:spacing w:val="-4"/>
          <w:kern w:val="0"/>
          <w:highlight w:val="yellow"/>
        </w:rPr>
        <w:t>；</w:t>
      </w:r>
      <w:r w:rsidRPr="00212D57">
        <w:rPr>
          <w:rFonts w:eastAsia="標楷體"/>
          <w:szCs w:val="22"/>
        </w:rPr>
        <w:t>而眾生無明所蓋</w:t>
      </w:r>
      <w:r w:rsidR="00A00626">
        <w:rPr>
          <w:rFonts w:eastAsia="標楷體" w:hint="eastAsia"/>
          <w:color w:val="FF0000"/>
          <w:szCs w:val="22"/>
          <w:highlight w:val="yellow"/>
        </w:rPr>
        <w:t>、</w:t>
      </w:r>
      <w:r w:rsidRPr="00212D57">
        <w:rPr>
          <w:rFonts w:eastAsia="標楷體"/>
          <w:szCs w:val="22"/>
        </w:rPr>
        <w:t>愛結所繫，眾生長夜生死輪迴，愛結不斷，不盡苦邊。比丘！譬如狗子繫柱，彼繫不斷，長夜繞柱，輪迴而轉</w:t>
      </w:r>
      <w:r w:rsidR="00146FAE">
        <w:rPr>
          <w:rFonts w:ascii="標楷體" w:eastAsia="標楷體" w:hAnsi="標楷體" w:hint="eastAsia"/>
          <w:color w:val="FF0000"/>
          <w:spacing w:val="-4"/>
          <w:kern w:val="0"/>
          <w:highlight w:val="yellow"/>
        </w:rPr>
        <w:t>；</w:t>
      </w:r>
      <w:r w:rsidRPr="00212D57">
        <w:rPr>
          <w:rFonts w:eastAsia="標楷體"/>
          <w:szCs w:val="22"/>
        </w:rPr>
        <w:t>如是，比丘！愚夫眾生不如實知色、色集、色滅、色味、色患、色離，長夜輪迴，順色而轉</w:t>
      </w:r>
      <w:r w:rsidR="00146FAE">
        <w:rPr>
          <w:rFonts w:ascii="標楷體" w:eastAsia="標楷體" w:hAnsi="標楷體" w:hint="eastAsia"/>
          <w:color w:val="FF0000"/>
          <w:kern w:val="0"/>
          <w:highlight w:val="yellow"/>
        </w:rPr>
        <w:t>，</w:t>
      </w:r>
      <w:r w:rsidRPr="00212D57">
        <w:rPr>
          <w:rFonts w:eastAsia="標楷體"/>
          <w:szCs w:val="22"/>
        </w:rPr>
        <w:t>如是不如實知</w:t>
      </w:r>
      <w:r w:rsidR="00146FAE">
        <w:rPr>
          <w:rFonts w:ascii="標楷體" w:eastAsia="標楷體" w:hAnsi="標楷體" w:hint="eastAsia"/>
          <w:color w:val="FF0000"/>
          <w:kern w:val="0"/>
          <w:highlight w:val="yellow"/>
        </w:rPr>
        <w:t>『</w:t>
      </w:r>
      <w:r w:rsidRPr="00212D57">
        <w:rPr>
          <w:rFonts w:eastAsia="標楷體"/>
          <w:szCs w:val="22"/>
        </w:rPr>
        <w:t>受</w:t>
      </w:r>
      <w:r w:rsidR="00146FAE">
        <w:rPr>
          <w:rFonts w:ascii="標楷體" w:eastAsia="標楷體" w:hAnsi="標楷體" w:hint="eastAsia"/>
          <w:color w:val="FF0000"/>
          <w:spacing w:val="-4"/>
          <w:kern w:val="0"/>
          <w:highlight w:val="yellow"/>
        </w:rPr>
        <w:t>；</w:t>
      </w:r>
      <w:r w:rsidRPr="00212D57">
        <w:rPr>
          <w:rFonts w:eastAsia="標楷體"/>
          <w:szCs w:val="22"/>
        </w:rPr>
        <w:t>想</w:t>
      </w:r>
      <w:r w:rsidR="00146FAE">
        <w:rPr>
          <w:rFonts w:ascii="標楷體" w:eastAsia="標楷體" w:hAnsi="標楷體" w:hint="eastAsia"/>
          <w:color w:val="FF0000"/>
          <w:spacing w:val="-4"/>
          <w:kern w:val="0"/>
          <w:highlight w:val="yellow"/>
        </w:rPr>
        <w:t>；</w:t>
      </w:r>
      <w:r w:rsidRPr="00212D57">
        <w:rPr>
          <w:rFonts w:eastAsia="標楷體"/>
          <w:szCs w:val="22"/>
        </w:rPr>
        <w:t>行</w:t>
      </w:r>
      <w:r w:rsidR="00146FAE">
        <w:rPr>
          <w:rFonts w:ascii="標楷體" w:eastAsia="標楷體" w:hAnsi="標楷體" w:hint="eastAsia"/>
          <w:color w:val="FF0000"/>
          <w:spacing w:val="-4"/>
          <w:kern w:val="0"/>
          <w:highlight w:val="yellow"/>
        </w:rPr>
        <w:t>；</w:t>
      </w:r>
      <w:r w:rsidRPr="00212D57">
        <w:rPr>
          <w:rFonts w:eastAsia="標楷體"/>
          <w:szCs w:val="22"/>
        </w:rPr>
        <w:t>識、識集、識滅、識味、識患、識離</w:t>
      </w:r>
      <w:r w:rsidR="00146FAE">
        <w:rPr>
          <w:rFonts w:ascii="標楷體" w:eastAsia="標楷體" w:hAnsi="標楷體" w:hint="eastAsia"/>
          <w:color w:val="FF0000"/>
          <w:kern w:val="0"/>
          <w:highlight w:val="yellow"/>
        </w:rPr>
        <w:t>』</w:t>
      </w:r>
      <w:r w:rsidRPr="00212D57">
        <w:rPr>
          <w:rFonts w:eastAsia="標楷體"/>
          <w:szCs w:val="22"/>
        </w:rPr>
        <w:t>，長夜輪迴，順識而轉。諸比丘！隨色轉、隨受轉、隨想轉、隨行轉、隨識轉</w:t>
      </w:r>
      <w:r w:rsidR="00146FAE">
        <w:rPr>
          <w:rFonts w:ascii="標楷體" w:eastAsia="標楷體" w:hAnsi="標楷體" w:hint="eastAsia"/>
          <w:color w:val="FF0000"/>
          <w:spacing w:val="-4"/>
          <w:kern w:val="0"/>
          <w:highlight w:val="yellow"/>
        </w:rPr>
        <w:t>；</w:t>
      </w:r>
      <w:r w:rsidRPr="00212D57">
        <w:rPr>
          <w:rFonts w:eastAsia="標楷體"/>
          <w:szCs w:val="22"/>
        </w:rPr>
        <w:t>隨色轉故，不脫於色，隨</w:t>
      </w:r>
      <w:r w:rsidR="00146FAE">
        <w:rPr>
          <w:rFonts w:ascii="標楷體" w:eastAsia="標楷體" w:hAnsi="標楷體" w:hint="eastAsia"/>
          <w:color w:val="FF0000"/>
          <w:kern w:val="0"/>
          <w:highlight w:val="yellow"/>
        </w:rPr>
        <w:t>『</w:t>
      </w:r>
      <w:r w:rsidRPr="00212D57">
        <w:rPr>
          <w:rFonts w:eastAsia="標楷體"/>
          <w:szCs w:val="22"/>
        </w:rPr>
        <w:t>受</w:t>
      </w:r>
      <w:r w:rsidR="00146FAE">
        <w:rPr>
          <w:rFonts w:ascii="標楷體" w:eastAsia="標楷體" w:hAnsi="標楷體" w:hint="eastAsia"/>
          <w:color w:val="FF0000"/>
          <w:spacing w:val="-4"/>
          <w:kern w:val="0"/>
          <w:highlight w:val="yellow"/>
        </w:rPr>
        <w:t>；</w:t>
      </w:r>
      <w:r w:rsidRPr="00212D57">
        <w:rPr>
          <w:rFonts w:eastAsia="標楷體"/>
          <w:szCs w:val="22"/>
        </w:rPr>
        <w:t>想</w:t>
      </w:r>
      <w:r w:rsidR="00146FAE">
        <w:rPr>
          <w:rFonts w:ascii="標楷體" w:eastAsia="標楷體" w:hAnsi="標楷體" w:hint="eastAsia"/>
          <w:color w:val="FF0000"/>
          <w:spacing w:val="-4"/>
          <w:kern w:val="0"/>
          <w:highlight w:val="yellow"/>
        </w:rPr>
        <w:t>；</w:t>
      </w:r>
      <w:r w:rsidRPr="00212D57">
        <w:rPr>
          <w:rFonts w:eastAsia="標楷體"/>
          <w:szCs w:val="22"/>
        </w:rPr>
        <w:t>行</w:t>
      </w:r>
      <w:r w:rsidR="00146FAE">
        <w:rPr>
          <w:rFonts w:ascii="標楷體" w:eastAsia="標楷體" w:hAnsi="標楷體" w:hint="eastAsia"/>
          <w:color w:val="FF0000"/>
          <w:spacing w:val="-4"/>
          <w:kern w:val="0"/>
          <w:highlight w:val="yellow"/>
        </w:rPr>
        <w:t>；</w:t>
      </w:r>
      <w:r w:rsidRPr="00212D57">
        <w:rPr>
          <w:rFonts w:eastAsia="標楷體"/>
          <w:szCs w:val="22"/>
        </w:rPr>
        <w:t>識</w:t>
      </w:r>
      <w:r w:rsidR="00146FAE">
        <w:rPr>
          <w:rFonts w:ascii="標楷體" w:eastAsia="標楷體" w:hAnsi="標楷體" w:hint="eastAsia"/>
          <w:color w:val="FF0000"/>
          <w:kern w:val="0"/>
          <w:highlight w:val="yellow"/>
        </w:rPr>
        <w:t>』</w:t>
      </w:r>
      <w:r w:rsidRPr="00212D57">
        <w:rPr>
          <w:rFonts w:eastAsia="標楷體"/>
          <w:szCs w:val="22"/>
        </w:rPr>
        <w:t>轉故，不脫於識</w:t>
      </w:r>
      <w:r w:rsidR="00146FAE">
        <w:rPr>
          <w:rFonts w:ascii="標楷體" w:eastAsia="標楷體" w:hAnsi="標楷體" w:hint="eastAsia"/>
          <w:color w:val="FF0000"/>
          <w:spacing w:val="-4"/>
          <w:kern w:val="0"/>
          <w:highlight w:val="yellow"/>
        </w:rPr>
        <w:t>；</w:t>
      </w:r>
      <w:r w:rsidRPr="00212D57">
        <w:rPr>
          <w:rFonts w:eastAsia="標楷體"/>
          <w:szCs w:val="22"/>
        </w:rPr>
        <w:t>以不脫故，不脫生、老、病、死、憂、悲、惱、苦。多聞聖弟子如實知色、色集、色滅、色味、色患、色離，如實知</w:t>
      </w:r>
      <w:r w:rsidR="00146FAE">
        <w:rPr>
          <w:rFonts w:ascii="標楷體" w:eastAsia="標楷體" w:hAnsi="標楷體" w:hint="eastAsia"/>
          <w:color w:val="FF0000"/>
          <w:kern w:val="0"/>
          <w:highlight w:val="yellow"/>
        </w:rPr>
        <w:t>『</w:t>
      </w:r>
      <w:r w:rsidRPr="00212D57">
        <w:rPr>
          <w:rFonts w:eastAsia="標楷體"/>
          <w:szCs w:val="22"/>
        </w:rPr>
        <w:t>受</w:t>
      </w:r>
      <w:r w:rsidR="00146FAE">
        <w:rPr>
          <w:rFonts w:ascii="標楷體" w:eastAsia="標楷體" w:hAnsi="標楷體" w:hint="eastAsia"/>
          <w:color w:val="FF0000"/>
          <w:spacing w:val="-4"/>
          <w:kern w:val="0"/>
          <w:highlight w:val="yellow"/>
        </w:rPr>
        <w:t>；</w:t>
      </w:r>
      <w:r w:rsidRPr="00212D57">
        <w:rPr>
          <w:rFonts w:eastAsia="標楷體"/>
          <w:szCs w:val="22"/>
        </w:rPr>
        <w:t>想</w:t>
      </w:r>
      <w:r w:rsidR="00146FAE">
        <w:rPr>
          <w:rFonts w:ascii="標楷體" w:eastAsia="標楷體" w:hAnsi="標楷體" w:hint="eastAsia"/>
          <w:color w:val="FF0000"/>
          <w:spacing w:val="-4"/>
          <w:kern w:val="0"/>
          <w:highlight w:val="yellow"/>
        </w:rPr>
        <w:t>；</w:t>
      </w:r>
      <w:r w:rsidRPr="00212D57">
        <w:rPr>
          <w:rFonts w:eastAsia="標楷體"/>
          <w:szCs w:val="22"/>
        </w:rPr>
        <w:t>行</w:t>
      </w:r>
      <w:r w:rsidR="00146FAE">
        <w:rPr>
          <w:rFonts w:ascii="標楷體" w:eastAsia="標楷體" w:hAnsi="標楷體" w:hint="eastAsia"/>
          <w:color w:val="FF0000"/>
          <w:spacing w:val="-4"/>
          <w:kern w:val="0"/>
          <w:highlight w:val="yellow"/>
        </w:rPr>
        <w:t>；</w:t>
      </w:r>
      <w:r w:rsidRPr="00212D57">
        <w:rPr>
          <w:rFonts w:eastAsia="標楷體"/>
          <w:szCs w:val="22"/>
        </w:rPr>
        <w:t>識、識集、識滅、識味、識患、識離</w:t>
      </w:r>
      <w:r w:rsidR="00146FAE">
        <w:rPr>
          <w:rFonts w:ascii="標楷體" w:eastAsia="標楷體" w:hAnsi="標楷體" w:hint="eastAsia"/>
          <w:color w:val="FF0000"/>
          <w:kern w:val="0"/>
          <w:highlight w:val="yellow"/>
        </w:rPr>
        <w:t>』</w:t>
      </w:r>
      <w:r w:rsidRPr="00212D57">
        <w:rPr>
          <w:rFonts w:eastAsia="標楷體"/>
          <w:szCs w:val="22"/>
        </w:rPr>
        <w:t>故，不隨識轉</w:t>
      </w:r>
      <w:r w:rsidR="00146FAE">
        <w:rPr>
          <w:rFonts w:ascii="標楷體" w:eastAsia="標楷體" w:hAnsi="標楷體" w:hint="eastAsia"/>
          <w:color w:val="FF0000"/>
          <w:spacing w:val="-4"/>
          <w:kern w:val="0"/>
          <w:highlight w:val="yellow"/>
        </w:rPr>
        <w:t>；</w:t>
      </w:r>
      <w:r w:rsidRPr="00212D57">
        <w:rPr>
          <w:rFonts w:eastAsia="標楷體"/>
          <w:szCs w:val="22"/>
        </w:rPr>
        <w:t>不隨轉故，脫於色，脫於受、想、行、識，我說脫於生、老、病、死、憂、悲、惱、苦。」佛說此經已。時，諸比丘聞佛所說，歡喜奉行。</w:t>
      </w:r>
    </w:p>
  </w:footnote>
  <w:footnote w:id="157">
    <w:p w:rsidR="00157EF6" w:rsidRPr="00212D57" w:rsidRDefault="00157EF6" w:rsidP="00F634D5">
      <w:pPr>
        <w:pStyle w:val="a5"/>
        <w:ind w:left="253" w:hangingChars="115" w:hanging="253"/>
        <w:jc w:val="both"/>
        <w:rPr>
          <w:rFonts w:eastAsia="標楷體"/>
          <w:szCs w:val="22"/>
        </w:rPr>
      </w:pPr>
      <w:r w:rsidRPr="00212D57">
        <w:rPr>
          <w:rStyle w:val="a6"/>
          <w:szCs w:val="22"/>
        </w:rPr>
        <w:footnoteRef/>
      </w:r>
      <w:r w:rsidRPr="00212D57">
        <w:rPr>
          <w:rFonts w:hint="eastAsia"/>
          <w:szCs w:val="22"/>
        </w:rPr>
        <w:t xml:space="preserve"> </w:t>
      </w:r>
      <w:r w:rsidRPr="00212D57">
        <w:rPr>
          <w:szCs w:val="22"/>
        </w:rPr>
        <w:t>《雜阿含經》卷</w:t>
      </w:r>
      <w:r w:rsidRPr="00761EF3">
        <w:rPr>
          <w:szCs w:val="22"/>
        </w:rPr>
        <w:t>12</w:t>
      </w:r>
      <w:r w:rsidRPr="00212D57">
        <w:rPr>
          <w:szCs w:val="22"/>
        </w:rPr>
        <w:t>（</w:t>
      </w:r>
      <w:r w:rsidRPr="00761EF3">
        <w:rPr>
          <w:szCs w:val="22"/>
        </w:rPr>
        <w:t>302</w:t>
      </w:r>
      <w:r w:rsidRPr="00212D57">
        <w:rPr>
          <w:szCs w:val="22"/>
        </w:rPr>
        <w:t>經）</w:t>
      </w:r>
      <w:r w:rsidR="00434424" w:rsidRPr="00212D57">
        <w:rPr>
          <w:szCs w:val="22"/>
        </w:rPr>
        <w:t>（大正</w:t>
      </w:r>
      <w:r w:rsidR="00434424" w:rsidRPr="00761EF3">
        <w:rPr>
          <w:szCs w:val="22"/>
        </w:rPr>
        <w:t>2</w:t>
      </w:r>
      <w:r w:rsidR="00434424" w:rsidRPr="00212D57">
        <w:rPr>
          <w:szCs w:val="22"/>
        </w:rPr>
        <w:t>，</w:t>
      </w:r>
      <w:r w:rsidR="00434424" w:rsidRPr="00761EF3">
        <w:rPr>
          <w:szCs w:val="22"/>
        </w:rPr>
        <w:t>86a5</w:t>
      </w:r>
      <w:r w:rsidR="00434424" w:rsidRPr="00212D57">
        <w:rPr>
          <w:szCs w:val="22"/>
        </w:rPr>
        <w:t>-</w:t>
      </w:r>
      <w:r w:rsidR="00434424" w:rsidRPr="00761EF3">
        <w:rPr>
          <w:szCs w:val="22"/>
        </w:rPr>
        <w:t>b4</w:t>
      </w:r>
      <w:r w:rsidR="00434424" w:rsidRPr="00212D57">
        <w:rPr>
          <w:szCs w:val="22"/>
        </w:rPr>
        <w:t>）</w:t>
      </w:r>
      <w:r w:rsidRPr="00212D57">
        <w:rPr>
          <w:szCs w:val="22"/>
        </w:rPr>
        <w:t>：</w:t>
      </w:r>
      <w:r w:rsidRPr="00212D57">
        <w:rPr>
          <w:rFonts w:eastAsia="標楷體"/>
          <w:szCs w:val="22"/>
        </w:rPr>
        <w:t>「</w:t>
      </w:r>
      <w:r w:rsidR="00AF16E3">
        <w:rPr>
          <w:rFonts w:ascii="標楷體" w:eastAsia="標楷體" w:hAnsi="標楷體" w:hint="eastAsia"/>
          <w:color w:val="FF0000"/>
          <w:kern w:val="0"/>
          <w:highlight w:val="yellow"/>
        </w:rPr>
        <w:t>『</w:t>
      </w:r>
      <w:r w:rsidRPr="00212D57">
        <w:rPr>
          <w:rFonts w:eastAsia="標楷體"/>
          <w:szCs w:val="22"/>
        </w:rPr>
        <w:t>若受即自受者，我應說苦自作；若他受，他即受者，是則他作；若受自受他</w:t>
      </w:r>
      <w:r w:rsidRPr="004B2FE1">
        <w:rPr>
          <w:rFonts w:eastAsia="標楷體"/>
          <w:szCs w:val="22"/>
          <w:highlight w:val="yellow"/>
        </w:rPr>
        <w:t>受復</w:t>
      </w:r>
      <w:r w:rsidRPr="00212D57">
        <w:rPr>
          <w:rFonts w:eastAsia="標楷體"/>
          <w:szCs w:val="22"/>
        </w:rPr>
        <w:t>與苦者，如是者自他作，我亦不說；若不因自他，無因而生苦者，我亦不說。離此諸邊，說其中道。如來說法</w:t>
      </w:r>
      <w:r w:rsidR="00AF16E3">
        <w:rPr>
          <w:rFonts w:ascii="標楷體" w:eastAsia="標楷體" w:hAnsi="標楷體" w:hint="eastAsia"/>
          <w:color w:val="FF0000"/>
          <w:spacing w:val="-4"/>
          <w:kern w:val="0"/>
          <w:highlight w:val="yellow"/>
        </w:rPr>
        <w:t>：</w:t>
      </w:r>
      <w:r w:rsidRPr="00212D57">
        <w:rPr>
          <w:rFonts w:eastAsia="標楷體"/>
          <w:szCs w:val="22"/>
        </w:rPr>
        <w:t>此有故彼有，此起故彼起，謂緣無明行，乃至純大苦聚集</w:t>
      </w:r>
      <w:r w:rsidR="00AF16E3">
        <w:rPr>
          <w:rFonts w:ascii="標楷體" w:eastAsia="標楷體" w:hAnsi="標楷體" w:hint="eastAsia"/>
          <w:color w:val="FF0000"/>
          <w:spacing w:val="-4"/>
          <w:kern w:val="0"/>
          <w:highlight w:val="yellow"/>
        </w:rPr>
        <w:t>；</w:t>
      </w:r>
      <w:r w:rsidRPr="00212D57">
        <w:rPr>
          <w:rFonts w:eastAsia="標楷體"/>
          <w:szCs w:val="22"/>
        </w:rPr>
        <w:t>無明滅則行滅，乃至純大苦聚滅。</w:t>
      </w:r>
      <w:r w:rsidR="00AF16E3">
        <w:rPr>
          <w:rFonts w:ascii="標楷體" w:eastAsia="標楷體" w:hAnsi="標楷體" w:hint="eastAsia"/>
          <w:color w:val="FF0000"/>
          <w:kern w:val="0"/>
          <w:highlight w:val="yellow"/>
        </w:rPr>
        <w:t>』</w:t>
      </w:r>
      <w:r w:rsidRPr="00212D57">
        <w:rPr>
          <w:rFonts w:eastAsia="標楷體"/>
          <w:szCs w:val="22"/>
        </w:rPr>
        <w:t>佛說此經已，阿支羅迦葉遠塵離垢，得法眼淨。」</w:t>
      </w:r>
    </w:p>
  </w:footnote>
  <w:footnote w:id="158">
    <w:p w:rsidR="00157EF6" w:rsidRPr="00212D57" w:rsidRDefault="00157EF6" w:rsidP="00F634D5">
      <w:pPr>
        <w:pStyle w:val="a5"/>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《十二門論</w:t>
      </w:r>
      <w:r w:rsidRPr="00E4710E">
        <w:rPr>
          <w:szCs w:val="22"/>
          <w:highlight w:val="yellow"/>
        </w:rPr>
        <w:t>》〈</w:t>
      </w:r>
      <w:r w:rsidRPr="00761EF3">
        <w:rPr>
          <w:szCs w:val="22"/>
        </w:rPr>
        <w:t>10</w:t>
      </w:r>
      <w:r w:rsidRPr="00212D57">
        <w:rPr>
          <w:szCs w:val="22"/>
        </w:rPr>
        <w:t xml:space="preserve"> </w:t>
      </w:r>
      <w:r w:rsidRPr="00212D57">
        <w:rPr>
          <w:szCs w:val="22"/>
        </w:rPr>
        <w:t>觀作者門〉（大正</w:t>
      </w:r>
      <w:r w:rsidRPr="00761EF3">
        <w:rPr>
          <w:szCs w:val="22"/>
        </w:rPr>
        <w:t>30</w:t>
      </w:r>
      <w:r w:rsidRPr="00212D57">
        <w:rPr>
          <w:szCs w:val="22"/>
        </w:rPr>
        <w:t>，</w:t>
      </w:r>
      <w:r w:rsidRPr="00761EF3">
        <w:rPr>
          <w:szCs w:val="22"/>
        </w:rPr>
        <w:t>165c7</w:t>
      </w:r>
      <w:r w:rsidRPr="00212D57">
        <w:rPr>
          <w:szCs w:val="22"/>
        </w:rPr>
        <w:t>-</w:t>
      </w:r>
      <w:r w:rsidRPr="00761EF3">
        <w:rPr>
          <w:szCs w:val="22"/>
        </w:rPr>
        <w:t>166c17</w:t>
      </w:r>
      <w:r w:rsidRPr="00212D57">
        <w:rPr>
          <w:szCs w:val="22"/>
        </w:rPr>
        <w:t>）。</w:t>
      </w:r>
    </w:p>
  </w:footnote>
  <w:footnote w:id="159">
    <w:p w:rsidR="00157EF6" w:rsidRPr="00212D57" w:rsidRDefault="00157EF6" w:rsidP="00F634D5">
      <w:pPr>
        <w:pStyle w:val="a5"/>
        <w:ind w:left="253" w:hangingChars="115" w:hanging="253"/>
        <w:jc w:val="both"/>
        <w:rPr>
          <w:szCs w:val="22"/>
        </w:rPr>
      </w:pPr>
      <w:r w:rsidRPr="00212D57">
        <w:rPr>
          <w:rStyle w:val="a6"/>
          <w:szCs w:val="22"/>
        </w:rPr>
        <w:footnoteRef/>
      </w:r>
      <w:r w:rsidRPr="00212D57">
        <w:rPr>
          <w:szCs w:val="22"/>
        </w:rPr>
        <w:t xml:space="preserve"> </w:t>
      </w:r>
      <w:r w:rsidRPr="00212D57">
        <w:rPr>
          <w:szCs w:val="22"/>
        </w:rPr>
        <w:t>參見《雜阿含經》卷</w:t>
      </w:r>
      <w:r w:rsidRPr="00761EF3">
        <w:rPr>
          <w:szCs w:val="22"/>
        </w:rPr>
        <w:t>8</w:t>
      </w:r>
      <w:r w:rsidRPr="00212D57">
        <w:rPr>
          <w:szCs w:val="22"/>
        </w:rPr>
        <w:t>（</w:t>
      </w:r>
      <w:r w:rsidRPr="00761EF3">
        <w:rPr>
          <w:szCs w:val="22"/>
        </w:rPr>
        <w:t>27</w:t>
      </w:r>
      <w:r w:rsidRPr="00761EF3">
        <w:rPr>
          <w:rFonts w:hint="eastAsia"/>
          <w:szCs w:val="22"/>
        </w:rPr>
        <w:t>3</w:t>
      </w:r>
      <w:r w:rsidRPr="00212D57">
        <w:rPr>
          <w:szCs w:val="22"/>
        </w:rPr>
        <w:t>經）</w:t>
      </w:r>
      <w:r w:rsidR="00434424" w:rsidRPr="00212D57">
        <w:rPr>
          <w:szCs w:val="22"/>
        </w:rPr>
        <w:t>（大正</w:t>
      </w:r>
      <w:r w:rsidR="00434424" w:rsidRPr="00761EF3">
        <w:rPr>
          <w:szCs w:val="22"/>
        </w:rPr>
        <w:t>2</w:t>
      </w:r>
      <w:r w:rsidR="00434424" w:rsidRPr="00212D57">
        <w:rPr>
          <w:szCs w:val="22"/>
        </w:rPr>
        <w:t>，</w:t>
      </w:r>
      <w:r w:rsidR="00434424" w:rsidRPr="00761EF3">
        <w:rPr>
          <w:szCs w:val="22"/>
        </w:rPr>
        <w:t>72c8</w:t>
      </w:r>
      <w:r w:rsidR="00434424" w:rsidRPr="00212D57">
        <w:rPr>
          <w:szCs w:val="22"/>
        </w:rPr>
        <w:t>-</w:t>
      </w:r>
      <w:r w:rsidR="00434424" w:rsidRPr="00761EF3">
        <w:rPr>
          <w:szCs w:val="22"/>
        </w:rPr>
        <w:t>12</w:t>
      </w:r>
      <w:r w:rsidR="00434424" w:rsidRPr="00212D57">
        <w:rPr>
          <w:szCs w:val="22"/>
        </w:rPr>
        <w:t>）</w:t>
      </w:r>
      <w:r w:rsidRPr="00212D57">
        <w:rPr>
          <w:szCs w:val="22"/>
        </w:rPr>
        <w:t>：</w:t>
      </w:r>
      <w:r w:rsidRPr="00212D57">
        <w:rPr>
          <w:rFonts w:eastAsia="標楷體"/>
          <w:szCs w:val="22"/>
        </w:rPr>
        <w:t>「比丘！譬如兩手和合相對作聲</w:t>
      </w:r>
      <w:r w:rsidR="004B2FE1">
        <w:rPr>
          <w:rFonts w:ascii="標楷體" w:eastAsia="標楷體" w:hAnsi="標楷體" w:hint="eastAsia"/>
          <w:color w:val="FF0000"/>
          <w:spacing w:val="-4"/>
          <w:kern w:val="0"/>
          <w:highlight w:val="yellow"/>
        </w:rPr>
        <w:t>；</w:t>
      </w:r>
      <w:r w:rsidRPr="00212D57">
        <w:rPr>
          <w:rFonts w:eastAsia="標楷體"/>
          <w:szCs w:val="22"/>
        </w:rPr>
        <w:t>如是緣眼、</w:t>
      </w:r>
      <w:r w:rsidRPr="004B2FE1">
        <w:rPr>
          <w:rFonts w:eastAsia="標楷體"/>
          <w:szCs w:val="22"/>
          <w:highlight w:val="yellow"/>
        </w:rPr>
        <w:t>色生</w:t>
      </w:r>
      <w:r w:rsidRPr="00212D57">
        <w:rPr>
          <w:rFonts w:eastAsia="標楷體"/>
          <w:szCs w:val="22"/>
        </w:rPr>
        <w:t>眼識，三事和合觸，觸俱生受、想、思。此等諸法非我、非常，是無常之我，非恒、非安隱、變易之我。所以者何？比丘！謂生、老、死、沒、受生之法。</w:t>
      </w:r>
      <w:r w:rsidRPr="00212D57">
        <w:rPr>
          <w:szCs w:val="22"/>
        </w:rPr>
        <w:t>」</w:t>
      </w:r>
    </w:p>
  </w:footnote>
  <w:footnote w:id="160">
    <w:p w:rsidR="00157EF6" w:rsidRPr="00212D57" w:rsidRDefault="00157EF6" w:rsidP="00F634D5">
      <w:pPr>
        <w:pStyle w:val="a5"/>
        <w:ind w:left="792" w:hangingChars="360" w:hanging="792"/>
        <w:jc w:val="both"/>
        <w:rPr>
          <w:rFonts w:eastAsia="標楷體"/>
          <w:szCs w:val="22"/>
        </w:rPr>
      </w:pPr>
      <w:r w:rsidRPr="00212D57">
        <w:rPr>
          <w:rStyle w:val="a6"/>
          <w:szCs w:val="22"/>
        </w:rPr>
        <w:footnoteRef/>
      </w:r>
      <w:r w:rsidRPr="00212D57">
        <w:rPr>
          <w:rFonts w:eastAsia="標楷體" w:hint="eastAsia"/>
          <w:szCs w:val="22"/>
        </w:rPr>
        <w:t xml:space="preserve"> </w:t>
      </w:r>
      <w:r w:rsidRPr="00212D57">
        <w:rPr>
          <w:rFonts w:eastAsia="標楷體"/>
          <w:szCs w:val="22"/>
        </w:rPr>
        <w:t>（</w:t>
      </w:r>
      <w:r w:rsidRPr="00761EF3">
        <w:rPr>
          <w:rFonts w:eastAsia="標楷體" w:hint="eastAsia"/>
          <w:szCs w:val="22"/>
        </w:rPr>
        <w:t>1</w:t>
      </w:r>
      <w:r w:rsidRPr="00212D57">
        <w:rPr>
          <w:rFonts w:eastAsia="標楷體"/>
          <w:szCs w:val="22"/>
        </w:rPr>
        <w:t>）</w:t>
      </w:r>
      <w:r w:rsidRPr="00212D57">
        <w:rPr>
          <w:szCs w:val="22"/>
        </w:rPr>
        <w:t>《雜阿含經》卷</w:t>
      </w:r>
      <w:r w:rsidRPr="00761EF3">
        <w:rPr>
          <w:szCs w:val="22"/>
        </w:rPr>
        <w:t>10</w:t>
      </w:r>
      <w:r w:rsidRPr="00212D57">
        <w:rPr>
          <w:szCs w:val="22"/>
        </w:rPr>
        <w:t>（</w:t>
      </w:r>
      <w:r w:rsidRPr="00761EF3">
        <w:rPr>
          <w:szCs w:val="22"/>
        </w:rPr>
        <w:t>262</w:t>
      </w:r>
      <w:r w:rsidRPr="00212D57">
        <w:rPr>
          <w:szCs w:val="22"/>
        </w:rPr>
        <w:t>經）（大正</w:t>
      </w:r>
      <w:r w:rsidRPr="00761EF3">
        <w:rPr>
          <w:rFonts w:eastAsia="標楷體"/>
          <w:szCs w:val="22"/>
        </w:rPr>
        <w:t>2</w:t>
      </w:r>
      <w:r w:rsidRPr="00212D57">
        <w:rPr>
          <w:rFonts w:eastAsia="標楷體"/>
          <w:szCs w:val="22"/>
        </w:rPr>
        <w:t>，</w:t>
      </w:r>
      <w:r w:rsidRPr="00761EF3">
        <w:rPr>
          <w:rFonts w:eastAsia="標楷體"/>
          <w:szCs w:val="22"/>
        </w:rPr>
        <w:t>66c25</w:t>
      </w:r>
      <w:r w:rsidRPr="00212D57">
        <w:rPr>
          <w:rFonts w:eastAsia="標楷體"/>
          <w:szCs w:val="22"/>
        </w:rPr>
        <w:t>-</w:t>
      </w:r>
      <w:r w:rsidRPr="00761EF3">
        <w:rPr>
          <w:rFonts w:eastAsia="標楷體"/>
          <w:szCs w:val="22"/>
        </w:rPr>
        <w:t>67a9</w:t>
      </w:r>
      <w:r w:rsidRPr="00212D57">
        <w:rPr>
          <w:rFonts w:eastAsia="標楷體"/>
          <w:szCs w:val="22"/>
        </w:rPr>
        <w:t>）。</w:t>
      </w:r>
    </w:p>
    <w:p w:rsidR="00157EF6" w:rsidRPr="00212D57" w:rsidRDefault="00157EF6" w:rsidP="00F634D5">
      <w:pPr>
        <w:pStyle w:val="a5"/>
        <w:ind w:leftChars="105" w:left="791" w:hangingChars="245" w:hanging="539"/>
        <w:jc w:val="both"/>
        <w:rPr>
          <w:rFonts w:eastAsia="標楷體"/>
          <w:szCs w:val="22"/>
        </w:rPr>
      </w:pPr>
      <w:r w:rsidRPr="00212D57">
        <w:rPr>
          <w:szCs w:val="22"/>
        </w:rPr>
        <w:t>（</w:t>
      </w:r>
      <w:r w:rsidRPr="00761EF3">
        <w:rPr>
          <w:szCs w:val="22"/>
        </w:rPr>
        <w:t>2</w:t>
      </w:r>
      <w:r w:rsidRPr="00212D57">
        <w:rPr>
          <w:szCs w:val="22"/>
        </w:rPr>
        <w:t>）《</w:t>
      </w:r>
      <w:r w:rsidRPr="00212D57">
        <w:rPr>
          <w:rStyle w:val="byline"/>
          <w:rFonts w:hAnsi="新細明體"/>
          <w:color w:val="auto"/>
          <w:sz w:val="22"/>
          <w:szCs w:val="22"/>
        </w:rPr>
        <w:t>雜阿含經</w:t>
      </w:r>
      <w:r w:rsidRPr="00212D57">
        <w:rPr>
          <w:szCs w:val="22"/>
        </w:rPr>
        <w:t>》卷</w:t>
      </w:r>
      <w:r w:rsidRPr="00761EF3">
        <w:rPr>
          <w:szCs w:val="22"/>
        </w:rPr>
        <w:t>12</w:t>
      </w:r>
      <w:r w:rsidRPr="00212D57">
        <w:rPr>
          <w:szCs w:val="22"/>
        </w:rPr>
        <w:t>（</w:t>
      </w:r>
      <w:r w:rsidRPr="00761EF3">
        <w:rPr>
          <w:szCs w:val="22"/>
        </w:rPr>
        <w:t>301</w:t>
      </w:r>
      <w:r w:rsidRPr="00212D57">
        <w:rPr>
          <w:szCs w:val="22"/>
        </w:rPr>
        <w:t>經）（大正</w:t>
      </w:r>
      <w:r w:rsidRPr="00761EF3">
        <w:rPr>
          <w:szCs w:val="22"/>
        </w:rPr>
        <w:t>2</w:t>
      </w:r>
      <w:r w:rsidRPr="00212D57">
        <w:rPr>
          <w:szCs w:val="22"/>
        </w:rPr>
        <w:t>，</w:t>
      </w:r>
      <w:r w:rsidRPr="00761EF3">
        <w:rPr>
          <w:szCs w:val="22"/>
        </w:rPr>
        <w:t>85c21</w:t>
      </w:r>
      <w:r w:rsidRPr="00212D57">
        <w:rPr>
          <w:szCs w:val="22"/>
        </w:rPr>
        <w:t>-</w:t>
      </w:r>
      <w:r w:rsidRPr="00761EF3">
        <w:rPr>
          <w:szCs w:val="22"/>
        </w:rPr>
        <w:t>28</w:t>
      </w:r>
      <w:r w:rsidRPr="00212D57">
        <w:rPr>
          <w:szCs w:val="22"/>
        </w:rPr>
        <w:t>）。</w:t>
      </w:r>
    </w:p>
    <w:p w:rsidR="00157EF6" w:rsidRPr="00212D57" w:rsidRDefault="00157EF6" w:rsidP="00F634D5">
      <w:pPr>
        <w:pStyle w:val="a5"/>
        <w:ind w:leftChars="105" w:left="791" w:hangingChars="245" w:hanging="539"/>
        <w:jc w:val="both"/>
        <w:rPr>
          <w:szCs w:val="22"/>
        </w:rPr>
      </w:pPr>
      <w:r w:rsidRPr="00212D57">
        <w:rPr>
          <w:szCs w:val="22"/>
        </w:rPr>
        <w:t>（</w:t>
      </w:r>
      <w:r w:rsidRPr="00761EF3">
        <w:rPr>
          <w:rFonts w:hint="eastAsia"/>
          <w:szCs w:val="22"/>
        </w:rPr>
        <w:t>3</w:t>
      </w:r>
      <w:r w:rsidRPr="00212D57">
        <w:rPr>
          <w:szCs w:val="22"/>
        </w:rPr>
        <w:t>）《中論》卷</w:t>
      </w:r>
      <w:r w:rsidRPr="00761EF3">
        <w:rPr>
          <w:szCs w:val="22"/>
        </w:rPr>
        <w:t>3</w:t>
      </w:r>
      <w:r w:rsidRPr="00212D57">
        <w:rPr>
          <w:szCs w:val="22"/>
        </w:rPr>
        <w:t>〈</w:t>
      </w:r>
      <w:r w:rsidRPr="00761EF3">
        <w:rPr>
          <w:szCs w:val="22"/>
        </w:rPr>
        <w:t>15</w:t>
      </w:r>
      <w:r w:rsidRPr="00212D57">
        <w:rPr>
          <w:szCs w:val="22"/>
        </w:rPr>
        <w:t xml:space="preserve"> </w:t>
      </w:r>
      <w:r w:rsidRPr="00212D57">
        <w:rPr>
          <w:szCs w:val="22"/>
        </w:rPr>
        <w:t>觀有無品〉</w:t>
      </w:r>
      <w:r w:rsidR="00434424" w:rsidRPr="00212D57">
        <w:rPr>
          <w:szCs w:val="22"/>
        </w:rPr>
        <w:t>（大正</w:t>
      </w:r>
      <w:r w:rsidR="00434424" w:rsidRPr="00761EF3">
        <w:rPr>
          <w:szCs w:val="22"/>
        </w:rPr>
        <w:t>30</w:t>
      </w:r>
      <w:r w:rsidR="00434424" w:rsidRPr="00212D57">
        <w:rPr>
          <w:szCs w:val="22"/>
        </w:rPr>
        <w:t>，</w:t>
      </w:r>
      <w:r w:rsidR="00434424" w:rsidRPr="00761EF3">
        <w:rPr>
          <w:szCs w:val="22"/>
        </w:rPr>
        <w:t>20b1</w:t>
      </w:r>
      <w:r w:rsidR="00434424" w:rsidRPr="00212D57">
        <w:rPr>
          <w:szCs w:val="22"/>
        </w:rPr>
        <w:t>-</w:t>
      </w:r>
      <w:r w:rsidR="00434424" w:rsidRPr="00761EF3">
        <w:rPr>
          <w:szCs w:val="22"/>
        </w:rPr>
        <w:t>2</w:t>
      </w:r>
      <w:r w:rsidR="00434424" w:rsidRPr="00212D57">
        <w:rPr>
          <w:szCs w:val="22"/>
        </w:rPr>
        <w:t>）</w:t>
      </w:r>
      <w:r w:rsidRPr="00212D57">
        <w:rPr>
          <w:szCs w:val="22"/>
        </w:rPr>
        <w:t>：「</w:t>
      </w:r>
      <w:r w:rsidRPr="00212D57">
        <w:rPr>
          <w:rFonts w:ascii="標楷體" w:eastAsia="標楷體" w:hAnsi="標楷體"/>
          <w:szCs w:val="22"/>
        </w:rPr>
        <w:t>佛能滅有無，於化迦旃延經中之所說，離有亦離無。</w:t>
      </w:r>
      <w:r w:rsidRPr="00212D57">
        <w:rPr>
          <w:szCs w:val="22"/>
        </w:rPr>
        <w:t>」</w:t>
      </w:r>
    </w:p>
  </w:footnote>
  <w:footnote w:id="161">
    <w:p w:rsidR="00157EF6" w:rsidRPr="00212D57" w:rsidRDefault="00157EF6" w:rsidP="00C83630">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212D57">
        <w:rPr>
          <w:szCs w:val="22"/>
        </w:rPr>
        <w:t>十四無記：</w:t>
      </w:r>
      <w:r w:rsidRPr="00212D57">
        <w:rPr>
          <w:szCs w:val="22"/>
          <w:vertAlign w:val="superscript"/>
        </w:rPr>
        <w:t>（</w:t>
      </w:r>
      <w:r w:rsidRPr="00761EF3">
        <w:rPr>
          <w:szCs w:val="22"/>
          <w:vertAlign w:val="superscript"/>
        </w:rPr>
        <w:t>1</w:t>
      </w:r>
      <w:r w:rsidRPr="00212D57">
        <w:rPr>
          <w:szCs w:val="22"/>
          <w:vertAlign w:val="superscript"/>
        </w:rPr>
        <w:t>）</w:t>
      </w:r>
      <w:r w:rsidRPr="00212D57">
        <w:rPr>
          <w:szCs w:val="22"/>
        </w:rPr>
        <w:t>世間常，</w:t>
      </w:r>
      <w:r w:rsidRPr="00212D57">
        <w:rPr>
          <w:szCs w:val="22"/>
          <w:vertAlign w:val="superscript"/>
        </w:rPr>
        <w:t>（</w:t>
      </w:r>
      <w:r w:rsidRPr="00761EF3">
        <w:rPr>
          <w:szCs w:val="22"/>
          <w:vertAlign w:val="superscript"/>
        </w:rPr>
        <w:t>2</w:t>
      </w:r>
      <w:r w:rsidRPr="00212D57">
        <w:rPr>
          <w:szCs w:val="22"/>
          <w:vertAlign w:val="superscript"/>
        </w:rPr>
        <w:t>）</w:t>
      </w:r>
      <w:r w:rsidRPr="00212D57">
        <w:rPr>
          <w:szCs w:val="22"/>
        </w:rPr>
        <w:t>世間無常，</w:t>
      </w:r>
      <w:r w:rsidRPr="00212D57">
        <w:rPr>
          <w:szCs w:val="22"/>
          <w:vertAlign w:val="superscript"/>
        </w:rPr>
        <w:t>（</w:t>
      </w:r>
      <w:r w:rsidRPr="00761EF3">
        <w:rPr>
          <w:szCs w:val="22"/>
          <w:vertAlign w:val="superscript"/>
        </w:rPr>
        <w:t>3</w:t>
      </w:r>
      <w:r w:rsidRPr="00212D57">
        <w:rPr>
          <w:szCs w:val="22"/>
          <w:vertAlign w:val="superscript"/>
        </w:rPr>
        <w:t>）</w:t>
      </w:r>
      <w:r w:rsidRPr="00212D57">
        <w:rPr>
          <w:szCs w:val="22"/>
        </w:rPr>
        <w:t>世間亦常亦無常，</w:t>
      </w:r>
      <w:r w:rsidRPr="00212D57">
        <w:rPr>
          <w:szCs w:val="22"/>
          <w:vertAlign w:val="superscript"/>
        </w:rPr>
        <w:t>（</w:t>
      </w:r>
      <w:r w:rsidRPr="00761EF3">
        <w:rPr>
          <w:szCs w:val="22"/>
          <w:vertAlign w:val="superscript"/>
        </w:rPr>
        <w:t>4</w:t>
      </w:r>
      <w:r w:rsidRPr="00212D57">
        <w:rPr>
          <w:szCs w:val="22"/>
          <w:vertAlign w:val="superscript"/>
        </w:rPr>
        <w:t>）</w:t>
      </w:r>
      <w:r w:rsidRPr="00212D57">
        <w:rPr>
          <w:szCs w:val="22"/>
        </w:rPr>
        <w:t>世間非常非無常</w:t>
      </w:r>
      <w:r w:rsidRPr="00212D57">
        <w:rPr>
          <w:rFonts w:hint="eastAsia"/>
          <w:szCs w:val="22"/>
        </w:rPr>
        <w:t>；</w:t>
      </w:r>
      <w:r w:rsidRPr="00212D57">
        <w:rPr>
          <w:szCs w:val="22"/>
          <w:vertAlign w:val="superscript"/>
        </w:rPr>
        <w:t>（</w:t>
      </w:r>
      <w:r w:rsidRPr="00761EF3">
        <w:rPr>
          <w:szCs w:val="22"/>
          <w:vertAlign w:val="superscript"/>
        </w:rPr>
        <w:t>5</w:t>
      </w:r>
      <w:r w:rsidRPr="00212D57">
        <w:rPr>
          <w:szCs w:val="22"/>
          <w:vertAlign w:val="superscript"/>
        </w:rPr>
        <w:t>）</w:t>
      </w:r>
      <w:r w:rsidRPr="00212D57">
        <w:rPr>
          <w:szCs w:val="22"/>
        </w:rPr>
        <w:t>世間有邊，</w:t>
      </w:r>
      <w:r w:rsidRPr="00212D57">
        <w:rPr>
          <w:szCs w:val="22"/>
          <w:vertAlign w:val="superscript"/>
        </w:rPr>
        <w:t>（</w:t>
      </w:r>
      <w:r w:rsidRPr="00761EF3">
        <w:rPr>
          <w:szCs w:val="22"/>
          <w:vertAlign w:val="superscript"/>
        </w:rPr>
        <w:t>6</w:t>
      </w:r>
      <w:r w:rsidRPr="00212D57">
        <w:rPr>
          <w:szCs w:val="22"/>
          <w:vertAlign w:val="superscript"/>
        </w:rPr>
        <w:t>）</w:t>
      </w:r>
      <w:r w:rsidRPr="00212D57">
        <w:rPr>
          <w:szCs w:val="22"/>
        </w:rPr>
        <w:t>世間無邊，</w:t>
      </w:r>
      <w:r w:rsidRPr="00212D57">
        <w:rPr>
          <w:szCs w:val="22"/>
          <w:vertAlign w:val="superscript"/>
        </w:rPr>
        <w:t>（</w:t>
      </w:r>
      <w:r w:rsidRPr="00761EF3">
        <w:rPr>
          <w:szCs w:val="22"/>
          <w:vertAlign w:val="superscript"/>
        </w:rPr>
        <w:t>7</w:t>
      </w:r>
      <w:r w:rsidRPr="00212D57">
        <w:rPr>
          <w:szCs w:val="22"/>
          <w:vertAlign w:val="superscript"/>
        </w:rPr>
        <w:t>）</w:t>
      </w:r>
      <w:r w:rsidRPr="00212D57">
        <w:rPr>
          <w:szCs w:val="22"/>
        </w:rPr>
        <w:t>世間亦有邊亦無邊，</w:t>
      </w:r>
      <w:r w:rsidRPr="00212D57">
        <w:rPr>
          <w:szCs w:val="22"/>
          <w:vertAlign w:val="superscript"/>
        </w:rPr>
        <w:t>（</w:t>
      </w:r>
      <w:r w:rsidRPr="00761EF3">
        <w:rPr>
          <w:szCs w:val="22"/>
          <w:vertAlign w:val="superscript"/>
        </w:rPr>
        <w:t>8</w:t>
      </w:r>
      <w:r w:rsidRPr="00212D57">
        <w:rPr>
          <w:szCs w:val="22"/>
          <w:vertAlign w:val="superscript"/>
        </w:rPr>
        <w:t>）</w:t>
      </w:r>
      <w:r w:rsidRPr="00212D57">
        <w:rPr>
          <w:szCs w:val="22"/>
        </w:rPr>
        <w:t>世間非有邊非無邊</w:t>
      </w:r>
      <w:r w:rsidRPr="00212D57">
        <w:rPr>
          <w:rFonts w:hint="eastAsia"/>
          <w:szCs w:val="22"/>
        </w:rPr>
        <w:t>；</w:t>
      </w:r>
      <w:r w:rsidRPr="00212D57">
        <w:rPr>
          <w:szCs w:val="22"/>
          <w:vertAlign w:val="superscript"/>
        </w:rPr>
        <w:t>（</w:t>
      </w:r>
      <w:r w:rsidRPr="00761EF3">
        <w:rPr>
          <w:szCs w:val="22"/>
          <w:vertAlign w:val="superscript"/>
        </w:rPr>
        <w:t>9</w:t>
      </w:r>
      <w:r w:rsidRPr="00212D57">
        <w:rPr>
          <w:szCs w:val="22"/>
          <w:vertAlign w:val="superscript"/>
        </w:rPr>
        <w:t>）</w:t>
      </w:r>
      <w:r w:rsidRPr="00212D57">
        <w:rPr>
          <w:szCs w:val="22"/>
        </w:rPr>
        <w:t>如來死後有，</w:t>
      </w:r>
      <w:r w:rsidRPr="00212D57">
        <w:rPr>
          <w:szCs w:val="22"/>
          <w:vertAlign w:val="superscript"/>
        </w:rPr>
        <w:t>（</w:t>
      </w:r>
      <w:r w:rsidRPr="00761EF3">
        <w:rPr>
          <w:szCs w:val="22"/>
          <w:vertAlign w:val="superscript"/>
        </w:rPr>
        <w:t>10</w:t>
      </w:r>
      <w:r w:rsidRPr="00212D57">
        <w:rPr>
          <w:szCs w:val="22"/>
          <w:vertAlign w:val="superscript"/>
        </w:rPr>
        <w:t>）</w:t>
      </w:r>
      <w:r w:rsidRPr="00212D57">
        <w:rPr>
          <w:szCs w:val="22"/>
        </w:rPr>
        <w:t>如來死後無，</w:t>
      </w:r>
      <w:r w:rsidRPr="00212D57">
        <w:rPr>
          <w:szCs w:val="22"/>
          <w:vertAlign w:val="superscript"/>
        </w:rPr>
        <w:t>（</w:t>
      </w:r>
      <w:r w:rsidRPr="00761EF3">
        <w:rPr>
          <w:szCs w:val="22"/>
          <w:vertAlign w:val="superscript"/>
        </w:rPr>
        <w:t>11</w:t>
      </w:r>
      <w:r w:rsidRPr="00212D57">
        <w:rPr>
          <w:szCs w:val="22"/>
          <w:vertAlign w:val="superscript"/>
        </w:rPr>
        <w:t>）</w:t>
      </w:r>
      <w:r w:rsidRPr="00212D57">
        <w:rPr>
          <w:szCs w:val="22"/>
        </w:rPr>
        <w:t>如來死後亦有亦無，</w:t>
      </w:r>
      <w:r w:rsidRPr="00212D57">
        <w:rPr>
          <w:szCs w:val="22"/>
          <w:vertAlign w:val="superscript"/>
        </w:rPr>
        <w:t>（</w:t>
      </w:r>
      <w:r w:rsidRPr="00761EF3">
        <w:rPr>
          <w:szCs w:val="22"/>
          <w:vertAlign w:val="superscript"/>
        </w:rPr>
        <w:t>12</w:t>
      </w:r>
      <w:r w:rsidRPr="00212D57">
        <w:rPr>
          <w:szCs w:val="22"/>
          <w:vertAlign w:val="superscript"/>
        </w:rPr>
        <w:t>）</w:t>
      </w:r>
      <w:r w:rsidRPr="00212D57">
        <w:rPr>
          <w:szCs w:val="22"/>
        </w:rPr>
        <w:t>如來死後非有非無</w:t>
      </w:r>
      <w:r w:rsidRPr="00212D57">
        <w:rPr>
          <w:rFonts w:hint="eastAsia"/>
          <w:szCs w:val="22"/>
        </w:rPr>
        <w:t>；</w:t>
      </w:r>
      <w:r w:rsidRPr="00212D57">
        <w:rPr>
          <w:szCs w:val="22"/>
          <w:vertAlign w:val="superscript"/>
        </w:rPr>
        <w:t>（</w:t>
      </w:r>
      <w:r w:rsidRPr="00761EF3">
        <w:rPr>
          <w:szCs w:val="22"/>
          <w:vertAlign w:val="superscript"/>
        </w:rPr>
        <w:t>13</w:t>
      </w:r>
      <w:r w:rsidRPr="00212D57">
        <w:rPr>
          <w:szCs w:val="22"/>
          <w:vertAlign w:val="superscript"/>
        </w:rPr>
        <w:t>）</w:t>
      </w:r>
      <w:r w:rsidRPr="00212D57">
        <w:rPr>
          <w:szCs w:val="22"/>
        </w:rPr>
        <w:t>命與身一，</w:t>
      </w:r>
      <w:r w:rsidRPr="00212D57">
        <w:rPr>
          <w:szCs w:val="22"/>
          <w:vertAlign w:val="superscript"/>
        </w:rPr>
        <w:t>（</w:t>
      </w:r>
      <w:r w:rsidRPr="00761EF3">
        <w:rPr>
          <w:szCs w:val="22"/>
          <w:vertAlign w:val="superscript"/>
        </w:rPr>
        <w:t>14</w:t>
      </w:r>
      <w:r w:rsidRPr="00212D57">
        <w:rPr>
          <w:szCs w:val="22"/>
          <w:vertAlign w:val="superscript"/>
        </w:rPr>
        <w:t>）</w:t>
      </w:r>
      <w:r w:rsidRPr="00212D57">
        <w:rPr>
          <w:szCs w:val="22"/>
        </w:rPr>
        <w:t>命與身異。</w:t>
      </w:r>
    </w:p>
    <w:p w:rsidR="00157EF6" w:rsidRPr="00212D57" w:rsidRDefault="00157EF6" w:rsidP="00C83630">
      <w:pPr>
        <w:pStyle w:val="a5"/>
        <w:ind w:leftChars="105" w:left="79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w:t>
      </w:r>
      <w:r w:rsidRPr="00212D57">
        <w:rPr>
          <w:szCs w:val="22"/>
        </w:rPr>
        <w:t>參見《雜阿含經》卷</w:t>
      </w:r>
      <w:r w:rsidRPr="00761EF3">
        <w:rPr>
          <w:szCs w:val="22"/>
        </w:rPr>
        <w:t>34</w:t>
      </w:r>
      <w:r w:rsidRPr="00212D57">
        <w:rPr>
          <w:szCs w:val="22"/>
        </w:rPr>
        <w:t>（</w:t>
      </w:r>
      <w:r w:rsidRPr="00761EF3">
        <w:rPr>
          <w:szCs w:val="22"/>
        </w:rPr>
        <w:t>968</w:t>
      </w:r>
      <w:r w:rsidRPr="00212D57">
        <w:rPr>
          <w:szCs w:val="22"/>
        </w:rPr>
        <w:t>經）（大正</w:t>
      </w:r>
      <w:r w:rsidRPr="00761EF3">
        <w:rPr>
          <w:szCs w:val="22"/>
        </w:rPr>
        <w:t>2</w:t>
      </w:r>
      <w:r w:rsidRPr="00212D57">
        <w:rPr>
          <w:szCs w:val="22"/>
        </w:rPr>
        <w:t>，</w:t>
      </w:r>
      <w:r w:rsidRPr="00761EF3">
        <w:rPr>
          <w:szCs w:val="22"/>
        </w:rPr>
        <w:t>248c18</w:t>
      </w:r>
      <w:r w:rsidRPr="00212D57">
        <w:rPr>
          <w:szCs w:val="22"/>
        </w:rPr>
        <w:t>-</w:t>
      </w:r>
      <w:r w:rsidRPr="00761EF3">
        <w:rPr>
          <w:szCs w:val="22"/>
        </w:rPr>
        <w:t>249a15</w:t>
      </w:r>
      <w:r w:rsidRPr="00212D57">
        <w:rPr>
          <w:szCs w:val="22"/>
        </w:rPr>
        <w:t>）</w:t>
      </w:r>
      <w:r w:rsidRPr="00212D57">
        <w:rPr>
          <w:rFonts w:hint="eastAsia"/>
          <w:szCs w:val="22"/>
        </w:rPr>
        <w:t>。</w:t>
      </w:r>
    </w:p>
  </w:footnote>
  <w:footnote w:id="162">
    <w:p w:rsidR="00157EF6" w:rsidRPr="00212D57" w:rsidRDefault="00157EF6" w:rsidP="00C83630">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《大智度論》卷</w:t>
      </w:r>
      <w:r w:rsidRPr="00761EF3">
        <w:rPr>
          <w:szCs w:val="22"/>
        </w:rPr>
        <w:t>31</w:t>
      </w:r>
      <w:r w:rsidR="007B0351">
        <w:rPr>
          <w:rFonts w:hint="eastAsia"/>
          <w:color w:val="FF0000"/>
          <w:szCs w:val="22"/>
          <w:highlight w:val="yellow"/>
        </w:rPr>
        <w:t>釋</w:t>
      </w:r>
      <w:r w:rsidRPr="00212D57">
        <w:rPr>
          <w:szCs w:val="22"/>
        </w:rPr>
        <w:t>〈</w:t>
      </w:r>
      <w:r w:rsidRPr="00761EF3">
        <w:rPr>
          <w:szCs w:val="22"/>
        </w:rPr>
        <w:t>1</w:t>
      </w:r>
      <w:r w:rsidRPr="00212D57">
        <w:rPr>
          <w:szCs w:val="22"/>
        </w:rPr>
        <w:t xml:space="preserve"> </w:t>
      </w:r>
      <w:r w:rsidRPr="00212D57">
        <w:rPr>
          <w:szCs w:val="22"/>
        </w:rPr>
        <w:t>序品〉</w:t>
      </w:r>
      <w:r w:rsidR="00434424" w:rsidRPr="00212D57">
        <w:rPr>
          <w:szCs w:val="22"/>
        </w:rPr>
        <w:t>（大正</w:t>
      </w:r>
      <w:r w:rsidR="00434424" w:rsidRPr="00761EF3">
        <w:rPr>
          <w:szCs w:val="22"/>
        </w:rPr>
        <w:t>25</w:t>
      </w:r>
      <w:r w:rsidR="00434424" w:rsidRPr="00212D57">
        <w:rPr>
          <w:szCs w:val="22"/>
        </w:rPr>
        <w:t>，</w:t>
      </w:r>
      <w:r w:rsidR="00434424" w:rsidRPr="00761EF3">
        <w:rPr>
          <w:szCs w:val="22"/>
        </w:rPr>
        <w:t>285c25</w:t>
      </w:r>
      <w:r w:rsidR="00434424" w:rsidRPr="00212D57">
        <w:rPr>
          <w:szCs w:val="22"/>
        </w:rPr>
        <w:t>-</w:t>
      </w:r>
      <w:r w:rsidR="00434424" w:rsidRPr="00761EF3">
        <w:rPr>
          <w:szCs w:val="22"/>
        </w:rPr>
        <w:t>28</w:t>
      </w:r>
      <w:r w:rsidR="00434424" w:rsidRPr="00212D57">
        <w:rPr>
          <w:szCs w:val="22"/>
        </w:rPr>
        <w:t>）</w:t>
      </w:r>
      <w:r w:rsidRPr="00212D57">
        <w:rPr>
          <w:szCs w:val="22"/>
        </w:rPr>
        <w:t>：「</w:t>
      </w:r>
      <w:r w:rsidRPr="00212D57">
        <w:rPr>
          <w:rFonts w:eastAsia="標楷體"/>
          <w:szCs w:val="22"/>
        </w:rPr>
        <w:t>世間有四顛倒：不淨中有淨顛倒，苦中有樂顛倒，無常中有常顛倒，無我中有我顛倒。</w:t>
      </w:r>
      <w:r w:rsidRPr="00212D57">
        <w:rPr>
          <w:szCs w:val="22"/>
        </w:rPr>
        <w:t>」</w:t>
      </w:r>
    </w:p>
  </w:footnote>
  <w:footnote w:id="163">
    <w:p w:rsidR="00157EF6" w:rsidRPr="00212D57" w:rsidRDefault="00157EF6" w:rsidP="00C83630">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《中論》卷</w:t>
      </w:r>
      <w:r w:rsidRPr="00761EF3">
        <w:rPr>
          <w:szCs w:val="22"/>
        </w:rPr>
        <w:t>4</w:t>
      </w:r>
      <w:r w:rsidRPr="00212D57">
        <w:rPr>
          <w:szCs w:val="22"/>
        </w:rPr>
        <w:t>〈</w:t>
      </w:r>
      <w:r w:rsidRPr="00761EF3">
        <w:rPr>
          <w:szCs w:val="22"/>
        </w:rPr>
        <w:t>23</w:t>
      </w:r>
      <w:r w:rsidRPr="00212D57">
        <w:rPr>
          <w:szCs w:val="22"/>
        </w:rPr>
        <w:t xml:space="preserve"> </w:t>
      </w:r>
      <w:r w:rsidRPr="00212D57">
        <w:rPr>
          <w:szCs w:val="22"/>
        </w:rPr>
        <w:t>觀顛倒品〉</w:t>
      </w:r>
      <w:r w:rsidR="00434424" w:rsidRPr="00212D57">
        <w:rPr>
          <w:szCs w:val="22"/>
        </w:rPr>
        <w:t>（大正</w:t>
      </w:r>
      <w:r w:rsidR="00434424" w:rsidRPr="00761EF3">
        <w:rPr>
          <w:szCs w:val="22"/>
        </w:rPr>
        <w:t>30</w:t>
      </w:r>
      <w:r w:rsidR="00434424" w:rsidRPr="00212D57">
        <w:rPr>
          <w:szCs w:val="22"/>
        </w:rPr>
        <w:t>，</w:t>
      </w:r>
      <w:r w:rsidR="00434424" w:rsidRPr="00761EF3">
        <w:rPr>
          <w:szCs w:val="22"/>
        </w:rPr>
        <w:t>32a26</w:t>
      </w:r>
      <w:r w:rsidR="00434424" w:rsidRPr="00212D57">
        <w:rPr>
          <w:szCs w:val="22"/>
        </w:rPr>
        <w:t>-</w:t>
      </w:r>
      <w:r w:rsidR="00434424" w:rsidRPr="00761EF3">
        <w:rPr>
          <w:szCs w:val="22"/>
        </w:rPr>
        <w:t>27</w:t>
      </w:r>
      <w:r w:rsidR="00434424" w:rsidRPr="00212D57">
        <w:rPr>
          <w:szCs w:val="22"/>
        </w:rPr>
        <w:t>）</w:t>
      </w:r>
      <w:r w:rsidRPr="00212D57">
        <w:rPr>
          <w:szCs w:val="22"/>
        </w:rPr>
        <w:t>：「</w:t>
      </w:r>
      <w:r w:rsidRPr="00212D57">
        <w:rPr>
          <w:rFonts w:eastAsia="標楷體"/>
          <w:szCs w:val="22"/>
        </w:rPr>
        <w:t>如是顛倒滅，無明則亦滅；以無明滅故，諸行等亦滅。</w:t>
      </w:r>
      <w:r w:rsidRPr="00212D57">
        <w:rPr>
          <w:szCs w:val="22"/>
        </w:rPr>
        <w:t>」</w:t>
      </w:r>
    </w:p>
  </w:footnote>
  <w:footnote w:id="164">
    <w:p w:rsidR="00157EF6" w:rsidRPr="00212D57" w:rsidRDefault="00157EF6" w:rsidP="00C83630">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《中論》卷</w:t>
      </w:r>
      <w:r w:rsidRPr="00761EF3">
        <w:rPr>
          <w:szCs w:val="22"/>
        </w:rPr>
        <w:t>4</w:t>
      </w:r>
      <w:r w:rsidRPr="00212D57">
        <w:rPr>
          <w:szCs w:val="22"/>
        </w:rPr>
        <w:t>〈</w:t>
      </w:r>
      <w:r w:rsidRPr="00761EF3">
        <w:rPr>
          <w:szCs w:val="22"/>
        </w:rPr>
        <w:t>24</w:t>
      </w:r>
      <w:r w:rsidRPr="00212D57">
        <w:rPr>
          <w:szCs w:val="22"/>
        </w:rPr>
        <w:t xml:space="preserve"> </w:t>
      </w:r>
      <w:r w:rsidRPr="00212D57">
        <w:rPr>
          <w:szCs w:val="22"/>
        </w:rPr>
        <w:t>觀四諦品〉</w:t>
      </w:r>
      <w:r w:rsidR="00434424" w:rsidRPr="00212D57">
        <w:rPr>
          <w:szCs w:val="22"/>
        </w:rPr>
        <w:t>（大正</w:t>
      </w:r>
      <w:r w:rsidR="00434424" w:rsidRPr="00761EF3">
        <w:rPr>
          <w:szCs w:val="22"/>
        </w:rPr>
        <w:t>30</w:t>
      </w:r>
      <w:r w:rsidR="00434424" w:rsidRPr="00212D57">
        <w:rPr>
          <w:szCs w:val="22"/>
        </w:rPr>
        <w:t>，</w:t>
      </w:r>
      <w:r w:rsidR="00434424" w:rsidRPr="00761EF3">
        <w:rPr>
          <w:szCs w:val="22"/>
        </w:rPr>
        <w:t>34c6</w:t>
      </w:r>
      <w:r w:rsidR="00434424" w:rsidRPr="00212D57">
        <w:rPr>
          <w:szCs w:val="22"/>
        </w:rPr>
        <w:t>-</w:t>
      </w:r>
      <w:r w:rsidR="00434424" w:rsidRPr="00761EF3">
        <w:rPr>
          <w:szCs w:val="22"/>
        </w:rPr>
        <w:t>7</w:t>
      </w:r>
      <w:r w:rsidR="00434424" w:rsidRPr="00212D57">
        <w:rPr>
          <w:szCs w:val="22"/>
        </w:rPr>
        <w:t>）</w:t>
      </w:r>
      <w:r w:rsidRPr="00212D57">
        <w:rPr>
          <w:szCs w:val="22"/>
        </w:rPr>
        <w:t>：「</w:t>
      </w:r>
      <w:r w:rsidRPr="00212D57">
        <w:rPr>
          <w:rFonts w:eastAsia="標楷體"/>
          <w:szCs w:val="22"/>
        </w:rPr>
        <w:t>是故經中說</w:t>
      </w:r>
      <w:r w:rsidR="004B2FE1">
        <w:rPr>
          <w:rFonts w:ascii="標楷體" w:eastAsia="標楷體" w:hAnsi="標楷體" w:hint="eastAsia"/>
          <w:color w:val="FF0000"/>
          <w:spacing w:val="-4"/>
          <w:kern w:val="0"/>
          <w:highlight w:val="yellow"/>
        </w:rPr>
        <w:t>：</w:t>
      </w:r>
      <w:r w:rsidRPr="00212D57">
        <w:rPr>
          <w:rFonts w:eastAsia="標楷體"/>
          <w:szCs w:val="22"/>
        </w:rPr>
        <w:t>若見因緣法，則為能見佛，見苦集滅道。</w:t>
      </w:r>
      <w:r w:rsidRPr="00212D57">
        <w:rPr>
          <w:szCs w:val="22"/>
        </w:rPr>
        <w:t>」</w:t>
      </w:r>
    </w:p>
  </w:footnote>
  <w:footnote w:id="165">
    <w:p w:rsidR="00157EF6" w:rsidRDefault="00157EF6" w:rsidP="00C83630">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《雜阿含經》卷</w:t>
      </w:r>
      <w:r w:rsidRPr="00761EF3">
        <w:rPr>
          <w:szCs w:val="22"/>
        </w:rPr>
        <w:t>12</w:t>
      </w:r>
      <w:r w:rsidRPr="00212D57">
        <w:rPr>
          <w:szCs w:val="22"/>
        </w:rPr>
        <w:t>（</w:t>
      </w:r>
      <w:r w:rsidRPr="00761EF3">
        <w:rPr>
          <w:szCs w:val="22"/>
        </w:rPr>
        <w:t>293</w:t>
      </w:r>
      <w:r w:rsidRPr="00212D57">
        <w:rPr>
          <w:szCs w:val="22"/>
        </w:rPr>
        <w:t>經）</w:t>
      </w:r>
      <w:r w:rsidR="00434424" w:rsidRPr="00212D57">
        <w:rPr>
          <w:szCs w:val="22"/>
        </w:rPr>
        <w:t>（大正</w:t>
      </w:r>
      <w:r w:rsidR="00434424" w:rsidRPr="00761EF3">
        <w:rPr>
          <w:szCs w:val="22"/>
        </w:rPr>
        <w:t>2</w:t>
      </w:r>
      <w:r w:rsidR="00434424" w:rsidRPr="00212D57">
        <w:rPr>
          <w:szCs w:val="22"/>
        </w:rPr>
        <w:t>，</w:t>
      </w:r>
      <w:r w:rsidR="00434424" w:rsidRPr="00761EF3">
        <w:rPr>
          <w:szCs w:val="22"/>
        </w:rPr>
        <w:t>83c13</w:t>
      </w:r>
      <w:r w:rsidR="00434424" w:rsidRPr="00212D57">
        <w:rPr>
          <w:szCs w:val="22"/>
        </w:rPr>
        <w:t>-</w:t>
      </w:r>
      <w:r w:rsidR="00434424" w:rsidRPr="00761EF3">
        <w:rPr>
          <w:szCs w:val="22"/>
        </w:rPr>
        <w:t>21</w:t>
      </w:r>
      <w:r w:rsidR="00434424" w:rsidRPr="00212D57">
        <w:rPr>
          <w:szCs w:val="22"/>
        </w:rPr>
        <w:t>）</w:t>
      </w:r>
      <w:r w:rsidRPr="00212D57">
        <w:rPr>
          <w:szCs w:val="22"/>
        </w:rPr>
        <w:t>：「</w:t>
      </w:r>
      <w:r w:rsidRPr="00212D57">
        <w:rPr>
          <w:rFonts w:eastAsia="標楷體"/>
          <w:szCs w:val="22"/>
        </w:rPr>
        <w:t>此甚深處，所謂</w:t>
      </w:r>
      <w:r w:rsidR="007C01C8" w:rsidRPr="007C01C8">
        <w:rPr>
          <w:rFonts w:eastAsia="標楷體" w:hint="eastAsia"/>
          <w:color w:val="FF0000"/>
          <w:szCs w:val="22"/>
          <w:highlight w:val="yellow"/>
        </w:rPr>
        <w:t>『</w:t>
      </w:r>
      <w:r w:rsidRPr="00212D57">
        <w:rPr>
          <w:rFonts w:eastAsia="標楷體"/>
          <w:szCs w:val="22"/>
        </w:rPr>
        <w:t>緣起</w:t>
      </w:r>
      <w:r w:rsidR="007C01C8">
        <w:rPr>
          <w:rFonts w:eastAsia="標楷體" w:hint="eastAsia"/>
          <w:color w:val="FF0000"/>
          <w:szCs w:val="22"/>
          <w:highlight w:val="yellow"/>
        </w:rPr>
        <w:t>』</w:t>
      </w:r>
      <w:r w:rsidRPr="00212D57">
        <w:rPr>
          <w:rFonts w:eastAsia="標楷體"/>
          <w:szCs w:val="22"/>
        </w:rPr>
        <w:t>；倍復甚深難見，所謂</w:t>
      </w:r>
      <w:r w:rsidR="007C01C8">
        <w:rPr>
          <w:rFonts w:eastAsia="標楷體" w:hint="eastAsia"/>
          <w:color w:val="FF0000"/>
          <w:szCs w:val="22"/>
          <w:highlight w:val="yellow"/>
        </w:rPr>
        <w:t>『</w:t>
      </w:r>
      <w:r w:rsidRPr="00212D57">
        <w:rPr>
          <w:rFonts w:eastAsia="標楷體"/>
          <w:b/>
          <w:szCs w:val="22"/>
        </w:rPr>
        <w:t>一切取</w:t>
      </w:r>
      <w:r w:rsidR="007C01C8" w:rsidRPr="007C01C8">
        <w:rPr>
          <w:rFonts w:eastAsia="標楷體" w:hint="eastAsia"/>
          <w:b/>
          <w:color w:val="FF0000"/>
          <w:szCs w:val="22"/>
          <w:highlight w:val="yellow"/>
        </w:rPr>
        <w:t>離</w:t>
      </w:r>
      <w:r w:rsidRPr="00212D57">
        <w:rPr>
          <w:rFonts w:eastAsia="標楷體"/>
          <w:b/>
          <w:szCs w:val="22"/>
        </w:rPr>
        <w:t>、愛盡、無欲、寂滅、涅槃</w:t>
      </w:r>
      <w:r w:rsidR="007C01C8">
        <w:rPr>
          <w:rFonts w:eastAsia="標楷體" w:hint="eastAsia"/>
          <w:color w:val="FF0000"/>
          <w:szCs w:val="22"/>
          <w:highlight w:val="yellow"/>
        </w:rPr>
        <w:t>』。</w:t>
      </w:r>
      <w:r w:rsidRPr="00212D57">
        <w:rPr>
          <w:rFonts w:eastAsia="標楷體"/>
          <w:szCs w:val="22"/>
        </w:rPr>
        <w:t>如此二法，謂</w:t>
      </w:r>
      <w:r w:rsidR="007C01C8">
        <w:rPr>
          <w:rFonts w:eastAsia="標楷體" w:hint="eastAsia"/>
          <w:color w:val="FF0000"/>
          <w:szCs w:val="22"/>
          <w:highlight w:val="yellow"/>
        </w:rPr>
        <w:t>『</w:t>
      </w:r>
      <w:r w:rsidRPr="00212D57">
        <w:rPr>
          <w:rFonts w:eastAsia="標楷體"/>
          <w:szCs w:val="22"/>
        </w:rPr>
        <w:t>有為</w:t>
      </w:r>
      <w:r w:rsidR="007C01C8">
        <w:rPr>
          <w:rFonts w:eastAsia="標楷體" w:hint="eastAsia"/>
          <w:color w:val="FF0000"/>
          <w:szCs w:val="22"/>
          <w:highlight w:val="yellow"/>
        </w:rPr>
        <w:t>』</w:t>
      </w:r>
      <w:r w:rsidRPr="00212D57">
        <w:rPr>
          <w:rFonts w:eastAsia="標楷體"/>
          <w:szCs w:val="22"/>
        </w:rPr>
        <w:t>、</w:t>
      </w:r>
      <w:r w:rsidR="007C01C8">
        <w:rPr>
          <w:rFonts w:eastAsia="標楷體" w:hint="eastAsia"/>
          <w:color w:val="FF0000"/>
          <w:szCs w:val="22"/>
          <w:highlight w:val="yellow"/>
        </w:rPr>
        <w:t>『</w:t>
      </w:r>
      <w:r w:rsidRPr="00212D57">
        <w:rPr>
          <w:rFonts w:eastAsia="標楷體"/>
          <w:szCs w:val="22"/>
        </w:rPr>
        <w:t>無為</w:t>
      </w:r>
      <w:r w:rsidR="007C01C8">
        <w:rPr>
          <w:rFonts w:eastAsia="標楷體" w:hint="eastAsia"/>
          <w:color w:val="FF0000"/>
          <w:szCs w:val="22"/>
          <w:highlight w:val="yellow"/>
        </w:rPr>
        <w:t>』</w:t>
      </w:r>
      <w:r w:rsidR="007C01C8" w:rsidRPr="007C01C8">
        <w:rPr>
          <w:rFonts w:eastAsia="標楷體" w:hint="eastAsia"/>
          <w:color w:val="FF0000"/>
          <w:szCs w:val="22"/>
          <w:highlight w:val="yellow"/>
        </w:rPr>
        <w:t>──</w:t>
      </w:r>
      <w:r w:rsidR="007C01C8">
        <w:rPr>
          <w:rFonts w:eastAsia="標楷體" w:hint="eastAsia"/>
          <w:color w:val="FF0000"/>
          <w:szCs w:val="22"/>
          <w:highlight w:val="yellow"/>
        </w:rPr>
        <w:t>『</w:t>
      </w:r>
      <w:r w:rsidRPr="00212D57">
        <w:rPr>
          <w:rFonts w:eastAsia="標楷體"/>
          <w:szCs w:val="22"/>
        </w:rPr>
        <w:t>有為</w:t>
      </w:r>
      <w:r w:rsidR="007C01C8">
        <w:rPr>
          <w:rFonts w:eastAsia="標楷體" w:hint="eastAsia"/>
          <w:color w:val="FF0000"/>
          <w:szCs w:val="22"/>
          <w:highlight w:val="yellow"/>
        </w:rPr>
        <w:t>』</w:t>
      </w:r>
      <w:r w:rsidRPr="00212D57">
        <w:rPr>
          <w:rFonts w:eastAsia="標楷體"/>
          <w:szCs w:val="22"/>
        </w:rPr>
        <w:t>者</w:t>
      </w:r>
      <w:r w:rsidR="007C01C8" w:rsidRPr="007C01C8">
        <w:rPr>
          <w:rFonts w:eastAsia="標楷體" w:hint="eastAsia"/>
          <w:color w:val="FF0000"/>
          <w:szCs w:val="22"/>
          <w:highlight w:val="yellow"/>
        </w:rPr>
        <w:t>，</w:t>
      </w:r>
      <w:r w:rsidRPr="00212D57">
        <w:rPr>
          <w:rFonts w:eastAsia="標楷體"/>
          <w:szCs w:val="22"/>
        </w:rPr>
        <w:t>若生、若住、若異、若滅；</w:t>
      </w:r>
      <w:r w:rsidR="007C01C8">
        <w:rPr>
          <w:rFonts w:eastAsia="標楷體" w:hint="eastAsia"/>
          <w:color w:val="FF0000"/>
          <w:szCs w:val="22"/>
          <w:highlight w:val="yellow"/>
        </w:rPr>
        <w:t>『</w:t>
      </w:r>
      <w:r w:rsidRPr="00212D57">
        <w:rPr>
          <w:rFonts w:eastAsia="標楷體"/>
          <w:szCs w:val="22"/>
        </w:rPr>
        <w:t>無為</w:t>
      </w:r>
      <w:r w:rsidR="007C01C8">
        <w:rPr>
          <w:rFonts w:eastAsia="標楷體" w:hint="eastAsia"/>
          <w:color w:val="FF0000"/>
          <w:szCs w:val="22"/>
          <w:highlight w:val="yellow"/>
        </w:rPr>
        <w:t>』</w:t>
      </w:r>
      <w:r w:rsidRPr="00212D57">
        <w:rPr>
          <w:rFonts w:eastAsia="標楷體"/>
          <w:szCs w:val="22"/>
        </w:rPr>
        <w:t>者，不生、不住、不異、不滅</w:t>
      </w:r>
      <w:r w:rsidR="007C01C8" w:rsidRPr="007C01C8">
        <w:rPr>
          <w:rFonts w:eastAsia="標楷體" w:hint="eastAsia"/>
          <w:color w:val="FF0000"/>
          <w:szCs w:val="22"/>
          <w:highlight w:val="yellow"/>
        </w:rPr>
        <w:t>──</w:t>
      </w:r>
      <w:r w:rsidRPr="00212D57">
        <w:rPr>
          <w:rFonts w:eastAsia="標楷體"/>
          <w:szCs w:val="22"/>
        </w:rPr>
        <w:t>是名</w:t>
      </w:r>
      <w:r w:rsidR="007C01C8" w:rsidRPr="007C01C8">
        <w:rPr>
          <w:rFonts w:eastAsia="標楷體" w:hint="eastAsia"/>
          <w:color w:val="FF0000"/>
          <w:szCs w:val="22"/>
          <w:highlight w:val="yellow"/>
        </w:rPr>
        <w:t>，</w:t>
      </w:r>
      <w:r w:rsidRPr="00212D57">
        <w:rPr>
          <w:rFonts w:eastAsia="標楷體"/>
          <w:szCs w:val="22"/>
        </w:rPr>
        <w:t>比丘諸行苦</w:t>
      </w:r>
      <w:r w:rsidR="000C79F9">
        <w:rPr>
          <w:rFonts w:eastAsia="標楷體" w:hint="eastAsia"/>
          <w:color w:val="FF0000"/>
          <w:szCs w:val="22"/>
          <w:highlight w:val="yellow"/>
        </w:rPr>
        <w:t>、</w:t>
      </w:r>
      <w:r w:rsidRPr="00212D57">
        <w:rPr>
          <w:rFonts w:eastAsia="標楷體"/>
          <w:szCs w:val="22"/>
        </w:rPr>
        <w:t>寂滅涅槃</w:t>
      </w:r>
      <w:r w:rsidR="007C01C8">
        <w:rPr>
          <w:rFonts w:eastAsia="標楷體" w:hint="eastAsia"/>
          <w:color w:val="FF0000"/>
          <w:szCs w:val="22"/>
          <w:highlight w:val="yellow"/>
        </w:rPr>
        <w:t>』</w:t>
      </w:r>
      <w:r w:rsidRPr="00212D57">
        <w:rPr>
          <w:rFonts w:eastAsia="標楷體"/>
          <w:szCs w:val="22"/>
        </w:rPr>
        <w:t>。因集故苦集，因滅故苦滅</w:t>
      </w:r>
      <w:r w:rsidR="007C01C8">
        <w:rPr>
          <w:rFonts w:eastAsia="標楷體" w:hint="eastAsia"/>
          <w:color w:val="FF0000"/>
          <w:szCs w:val="22"/>
          <w:highlight w:val="yellow"/>
        </w:rPr>
        <w:t>，</w:t>
      </w:r>
      <w:r w:rsidRPr="00212D57">
        <w:rPr>
          <w:rFonts w:eastAsia="標楷體"/>
          <w:szCs w:val="22"/>
        </w:rPr>
        <w:t>斷諸逕路，滅於相續</w:t>
      </w:r>
      <w:r w:rsidR="007C01C8">
        <w:rPr>
          <w:rFonts w:eastAsia="標楷體" w:hint="eastAsia"/>
          <w:color w:val="FF0000"/>
          <w:szCs w:val="22"/>
          <w:highlight w:val="yellow"/>
        </w:rPr>
        <w:t>，</w:t>
      </w:r>
      <w:r w:rsidRPr="00212D57">
        <w:rPr>
          <w:rFonts w:eastAsia="標楷體"/>
          <w:szCs w:val="22"/>
        </w:rPr>
        <w:t>相續滅滅</w:t>
      </w:r>
      <w:r w:rsidR="000C79F9" w:rsidRPr="00AE2274">
        <w:rPr>
          <w:rFonts w:eastAsia="標楷體" w:cs="Times Ext Roman" w:hint="eastAsia"/>
          <w:color w:val="FF0000"/>
          <w:szCs w:val="22"/>
          <w:shd w:val="pct15" w:color="auto" w:fill="FFFFFF"/>
        </w:rPr>
        <w:t>*</w:t>
      </w:r>
      <w:r w:rsidRPr="00212D57">
        <w:rPr>
          <w:rFonts w:eastAsia="標楷體"/>
          <w:szCs w:val="22"/>
        </w:rPr>
        <w:t>，是名苦邊。比丘！彼何所滅</w:t>
      </w:r>
      <w:r w:rsidR="007C01C8">
        <w:rPr>
          <w:rFonts w:eastAsia="標楷體" w:hint="eastAsia"/>
          <w:color w:val="FF0000"/>
          <w:szCs w:val="22"/>
          <w:highlight w:val="yellow"/>
        </w:rPr>
        <w:t>？</w:t>
      </w:r>
      <w:r w:rsidRPr="00212D57">
        <w:rPr>
          <w:rFonts w:eastAsia="標楷體"/>
          <w:szCs w:val="22"/>
        </w:rPr>
        <w:t>謂有餘苦</w:t>
      </w:r>
      <w:r w:rsidR="007C01C8">
        <w:rPr>
          <w:rFonts w:eastAsia="標楷體" w:hint="eastAsia"/>
          <w:color w:val="FF0000"/>
          <w:szCs w:val="22"/>
          <w:highlight w:val="yellow"/>
        </w:rPr>
        <w:t>；</w:t>
      </w:r>
      <w:r w:rsidRPr="00212D57">
        <w:rPr>
          <w:rFonts w:eastAsia="標楷體"/>
          <w:szCs w:val="22"/>
        </w:rPr>
        <w:t>彼若滅</w:t>
      </w:r>
      <w:r w:rsidR="007C01C8" w:rsidRPr="007C01C8">
        <w:rPr>
          <w:rFonts w:eastAsia="標楷體" w:hint="eastAsia"/>
          <w:color w:val="FF0000"/>
          <w:szCs w:val="22"/>
          <w:highlight w:val="yellow"/>
        </w:rPr>
        <w:t>、</w:t>
      </w:r>
      <w:r w:rsidRPr="00212D57">
        <w:rPr>
          <w:rFonts w:eastAsia="標楷體"/>
          <w:szCs w:val="22"/>
        </w:rPr>
        <w:t>止</w:t>
      </w:r>
      <w:r w:rsidR="007C01C8">
        <w:rPr>
          <w:rFonts w:eastAsia="標楷體" w:hint="eastAsia"/>
          <w:color w:val="FF0000"/>
          <w:szCs w:val="22"/>
          <w:highlight w:val="yellow"/>
        </w:rPr>
        <w:t>、</w:t>
      </w:r>
      <w:r w:rsidRPr="00212D57">
        <w:rPr>
          <w:rFonts w:eastAsia="標楷體"/>
          <w:szCs w:val="22"/>
        </w:rPr>
        <w:t>清涼</w:t>
      </w:r>
      <w:r w:rsidR="007C01C8">
        <w:rPr>
          <w:rFonts w:eastAsia="標楷體" w:hint="eastAsia"/>
          <w:color w:val="FF0000"/>
          <w:szCs w:val="22"/>
          <w:highlight w:val="yellow"/>
        </w:rPr>
        <w:t>、</w:t>
      </w:r>
      <w:r w:rsidRPr="00212D57">
        <w:rPr>
          <w:rFonts w:eastAsia="標楷體"/>
          <w:szCs w:val="22"/>
        </w:rPr>
        <w:t>息</w:t>
      </w:r>
      <w:r w:rsidR="007C01C8">
        <w:rPr>
          <w:rFonts w:eastAsia="標楷體" w:hint="eastAsia"/>
          <w:color w:val="FF0000"/>
          <w:szCs w:val="22"/>
          <w:highlight w:val="yellow"/>
        </w:rPr>
        <w:t>、</w:t>
      </w:r>
      <w:r w:rsidRPr="00212D57">
        <w:rPr>
          <w:rFonts w:eastAsia="標楷體"/>
          <w:szCs w:val="22"/>
        </w:rPr>
        <w:t>沒，所謂一切取滅、愛盡、無欲、寂滅、涅槃</w:t>
      </w:r>
      <w:r w:rsidRPr="00212D57">
        <w:rPr>
          <w:szCs w:val="22"/>
        </w:rPr>
        <w:t>。」</w:t>
      </w:r>
    </w:p>
    <w:p w:rsidR="000C79F9" w:rsidRPr="00212D57" w:rsidRDefault="000C79F9" w:rsidP="00AA598B">
      <w:pPr>
        <w:pStyle w:val="a5"/>
        <w:spacing w:line="0" w:lineRule="atLeast"/>
        <w:ind w:leftChars="100" w:left="240"/>
        <w:jc w:val="both"/>
        <w:rPr>
          <w:rFonts w:eastAsia="標楷體"/>
          <w:b/>
          <w:szCs w:val="22"/>
        </w:rPr>
      </w:pPr>
      <w:r w:rsidRPr="00AE2274">
        <w:rPr>
          <w:rFonts w:eastAsia="標楷體" w:cs="Times Ext Roman" w:hint="eastAsia"/>
          <w:color w:val="FF0000"/>
          <w:szCs w:val="22"/>
          <w:shd w:val="pct15" w:color="auto" w:fill="FFFFFF"/>
        </w:rPr>
        <w:t>*</w:t>
      </w:r>
      <w:r w:rsidRPr="00AE2274">
        <w:rPr>
          <w:rFonts w:ascii="新細明體" w:hAnsi="新細明體" w:cs="Times Ext Roman" w:hint="eastAsia"/>
          <w:color w:val="FF0000"/>
          <w:szCs w:val="22"/>
          <w:highlight w:val="yellow"/>
        </w:rPr>
        <w:t>依</w:t>
      </w:r>
      <w:r w:rsidRPr="00AE2274">
        <w:rPr>
          <w:rFonts w:ascii="新細明體" w:hAnsi="新細明體" w:cs="Times Ext Roman"/>
          <w:color w:val="FF0000"/>
          <w:szCs w:val="22"/>
          <w:highlight w:val="yellow"/>
        </w:rPr>
        <w:t>《雜阿含經論會編》（中</w:t>
      </w:r>
      <w:r w:rsidRPr="00AE2274">
        <w:rPr>
          <w:rFonts w:cs="Times Ext Roman"/>
          <w:color w:val="FF0000"/>
          <w:szCs w:val="22"/>
          <w:highlight w:val="yellow"/>
        </w:rPr>
        <w:t>）</w:t>
      </w:r>
      <w:r w:rsidRPr="00AE2274">
        <w:rPr>
          <w:color w:val="FF0000"/>
          <w:szCs w:val="22"/>
          <w:highlight w:val="yellow"/>
        </w:rPr>
        <w:t>p.2</w:t>
      </w:r>
      <w:r w:rsidRPr="00AE2274">
        <w:rPr>
          <w:rFonts w:hint="eastAsia"/>
          <w:color w:val="FF0000"/>
          <w:szCs w:val="22"/>
          <w:highlight w:val="yellow"/>
        </w:rPr>
        <w:t>7</w:t>
      </w:r>
      <w:r w:rsidRPr="00AE2274">
        <w:rPr>
          <w:rFonts w:hint="eastAsia"/>
          <w:color w:val="FF0000"/>
          <w:szCs w:val="22"/>
          <w:highlight w:val="yellow"/>
        </w:rPr>
        <w:t>注腳</w:t>
      </w:r>
      <w:r>
        <w:rPr>
          <w:rFonts w:cs="Times Ext Roman" w:hint="eastAsia"/>
          <w:color w:val="FF0000"/>
          <w:szCs w:val="22"/>
          <w:highlight w:val="yellow"/>
        </w:rPr>
        <w:t>，「</w:t>
      </w:r>
      <w:r w:rsidRPr="00AE2274">
        <w:rPr>
          <w:rFonts w:ascii="標楷體" w:eastAsia="標楷體" w:hAnsi="標楷體" w:cs="Times Ext Roman" w:hint="eastAsia"/>
          <w:color w:val="FF0000"/>
          <w:szCs w:val="22"/>
          <w:highlight w:val="yellow"/>
        </w:rPr>
        <w:t>相續滅滅</w:t>
      </w:r>
      <w:r>
        <w:rPr>
          <w:rFonts w:cs="Times Ext Roman" w:hint="eastAsia"/>
          <w:color w:val="FF0000"/>
          <w:szCs w:val="22"/>
          <w:highlight w:val="yellow"/>
        </w:rPr>
        <w:t>」應改作「</w:t>
      </w:r>
      <w:r w:rsidRPr="00AE2274">
        <w:rPr>
          <w:rFonts w:ascii="標楷體" w:eastAsia="標楷體" w:hAnsi="標楷體" w:cs="Times Ext Roman" w:hint="eastAsia"/>
          <w:color w:val="FF0000"/>
          <w:szCs w:val="22"/>
          <w:highlight w:val="yellow"/>
        </w:rPr>
        <w:t>相續滅</w:t>
      </w:r>
      <w:r>
        <w:rPr>
          <w:rFonts w:cs="Times Ext Roman" w:hint="eastAsia"/>
          <w:color w:val="FF0000"/>
          <w:szCs w:val="22"/>
          <w:highlight w:val="yellow"/>
        </w:rPr>
        <w:t>」。</w:t>
      </w:r>
    </w:p>
  </w:footnote>
  <w:footnote w:id="166">
    <w:p w:rsidR="00B871C8" w:rsidRPr="00212D57" w:rsidRDefault="00EA2DF7" w:rsidP="00B871C8">
      <w:pPr>
        <w:pStyle w:val="a5"/>
        <w:spacing w:line="0" w:lineRule="atLeast"/>
        <w:ind w:left="253" w:hangingChars="115" w:hanging="253"/>
        <w:jc w:val="both"/>
        <w:rPr>
          <w:szCs w:val="22"/>
        </w:rPr>
      </w:pPr>
      <w:r w:rsidRPr="00212D57">
        <w:rPr>
          <w:rStyle w:val="a6"/>
          <w:szCs w:val="22"/>
        </w:rPr>
        <w:footnoteRef/>
      </w:r>
      <w:r w:rsidR="00B871C8" w:rsidRPr="00B871C8">
        <w:rPr>
          <w:rFonts w:hint="eastAsia"/>
          <w:szCs w:val="22"/>
        </w:rPr>
        <w:t>（</w:t>
      </w:r>
      <w:r w:rsidR="00B871C8" w:rsidRPr="00B871C8">
        <w:rPr>
          <w:rFonts w:hint="eastAsia"/>
          <w:szCs w:val="22"/>
        </w:rPr>
        <w:t>1</w:t>
      </w:r>
      <w:r w:rsidR="00B871C8" w:rsidRPr="00B871C8">
        <w:rPr>
          <w:rFonts w:hint="eastAsia"/>
          <w:szCs w:val="22"/>
        </w:rPr>
        <w:t>）</w:t>
      </w:r>
      <w:r w:rsidR="00B871C8" w:rsidRPr="00212D57">
        <w:rPr>
          <w:szCs w:val="22"/>
        </w:rPr>
        <w:t>《中論》卷</w:t>
      </w:r>
      <w:r w:rsidR="00B871C8" w:rsidRPr="00761EF3">
        <w:rPr>
          <w:szCs w:val="22"/>
        </w:rPr>
        <w:t>4</w:t>
      </w:r>
      <w:r w:rsidR="00B871C8" w:rsidRPr="00212D57">
        <w:rPr>
          <w:szCs w:val="22"/>
        </w:rPr>
        <w:t>〈</w:t>
      </w:r>
      <w:r w:rsidR="00B871C8" w:rsidRPr="00761EF3">
        <w:rPr>
          <w:szCs w:val="22"/>
        </w:rPr>
        <w:t>25</w:t>
      </w:r>
      <w:r w:rsidR="00B871C8" w:rsidRPr="00212D57">
        <w:rPr>
          <w:szCs w:val="22"/>
        </w:rPr>
        <w:t xml:space="preserve"> </w:t>
      </w:r>
      <w:r w:rsidR="00B871C8" w:rsidRPr="00212D57">
        <w:rPr>
          <w:szCs w:val="22"/>
        </w:rPr>
        <w:t>觀涅槃品〉（大正</w:t>
      </w:r>
      <w:r w:rsidR="00B871C8" w:rsidRPr="00761EF3">
        <w:rPr>
          <w:szCs w:val="22"/>
        </w:rPr>
        <w:t>30</w:t>
      </w:r>
      <w:r w:rsidR="00B871C8" w:rsidRPr="00212D57">
        <w:rPr>
          <w:szCs w:val="22"/>
        </w:rPr>
        <w:t>，</w:t>
      </w:r>
      <w:r w:rsidR="00B871C8" w:rsidRPr="00761EF3">
        <w:rPr>
          <w:szCs w:val="22"/>
        </w:rPr>
        <w:t>35c23</w:t>
      </w:r>
      <w:r w:rsidR="00B871C8" w:rsidRPr="00706771">
        <w:rPr>
          <w:rFonts w:hint="eastAsia"/>
          <w:color w:val="FF0000"/>
          <w:szCs w:val="22"/>
          <w:highlight w:val="yellow"/>
        </w:rPr>
        <w:t>-26</w:t>
      </w:r>
      <w:r w:rsidR="00B871C8" w:rsidRPr="00212D57">
        <w:rPr>
          <w:szCs w:val="22"/>
        </w:rPr>
        <w:t>）。</w:t>
      </w:r>
    </w:p>
    <w:p w:rsidR="00EA2DF7" w:rsidRPr="00212D57" w:rsidRDefault="00B871C8" w:rsidP="00B871C8">
      <w:pPr>
        <w:pStyle w:val="a5"/>
        <w:spacing w:line="0" w:lineRule="atLeast"/>
        <w:ind w:leftChars="50" w:left="120"/>
        <w:jc w:val="both"/>
        <w:rPr>
          <w:szCs w:val="22"/>
        </w:rPr>
      </w:pPr>
      <w:r w:rsidRPr="00B871C8">
        <w:rPr>
          <w:rFonts w:hint="eastAsia"/>
          <w:szCs w:val="22"/>
        </w:rPr>
        <w:t>（</w:t>
      </w:r>
      <w:r>
        <w:rPr>
          <w:rFonts w:hint="eastAsia"/>
          <w:szCs w:val="22"/>
        </w:rPr>
        <w:t>2</w:t>
      </w:r>
      <w:r w:rsidRPr="00B871C8">
        <w:rPr>
          <w:rFonts w:hint="eastAsia"/>
          <w:szCs w:val="22"/>
        </w:rPr>
        <w:t>）</w:t>
      </w:r>
      <w:r w:rsidR="00EA2DF7" w:rsidRPr="00212D57">
        <w:rPr>
          <w:szCs w:val="22"/>
        </w:rPr>
        <w:t>《中論》卷</w:t>
      </w:r>
      <w:r w:rsidR="00EA2DF7" w:rsidRPr="00761EF3">
        <w:rPr>
          <w:szCs w:val="22"/>
        </w:rPr>
        <w:t>4</w:t>
      </w:r>
      <w:r w:rsidR="00EA2DF7" w:rsidRPr="00212D57">
        <w:rPr>
          <w:szCs w:val="22"/>
        </w:rPr>
        <w:t>〈</w:t>
      </w:r>
      <w:r w:rsidR="00EA2DF7" w:rsidRPr="00761EF3">
        <w:rPr>
          <w:szCs w:val="22"/>
        </w:rPr>
        <w:t>25</w:t>
      </w:r>
      <w:r w:rsidR="00EA2DF7" w:rsidRPr="00212D57">
        <w:rPr>
          <w:szCs w:val="22"/>
        </w:rPr>
        <w:t xml:space="preserve"> </w:t>
      </w:r>
      <w:r w:rsidR="00EA2DF7" w:rsidRPr="00212D57">
        <w:rPr>
          <w:szCs w:val="22"/>
        </w:rPr>
        <w:t>觀涅槃品〉（大正</w:t>
      </w:r>
      <w:r w:rsidR="00EA2DF7" w:rsidRPr="00761EF3">
        <w:rPr>
          <w:szCs w:val="22"/>
        </w:rPr>
        <w:t>30</w:t>
      </w:r>
      <w:r w:rsidR="00EA2DF7" w:rsidRPr="00212D57">
        <w:rPr>
          <w:szCs w:val="22"/>
        </w:rPr>
        <w:t>，</w:t>
      </w:r>
      <w:r w:rsidR="00EA2DF7" w:rsidRPr="00761EF3">
        <w:rPr>
          <w:szCs w:val="22"/>
        </w:rPr>
        <w:t>36a27</w:t>
      </w:r>
      <w:r w:rsidR="00EA2DF7" w:rsidRPr="00EA2DF7">
        <w:rPr>
          <w:rFonts w:hint="eastAsia"/>
          <w:color w:val="FF0000"/>
          <w:szCs w:val="22"/>
          <w:highlight w:val="yellow"/>
        </w:rPr>
        <w:t>-b3</w:t>
      </w:r>
      <w:r w:rsidR="00EA2DF7" w:rsidRPr="00212D57">
        <w:rPr>
          <w:szCs w:val="22"/>
        </w:rPr>
        <w:t>）。</w:t>
      </w:r>
    </w:p>
  </w:footnote>
  <w:footnote w:id="167">
    <w:p w:rsidR="00157EF6" w:rsidRPr="00212D57" w:rsidRDefault="00157EF6" w:rsidP="00AB5DB4">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009160B5">
        <w:rPr>
          <w:szCs w:val="22"/>
        </w:rPr>
        <w:t>參見：印</w:t>
      </w:r>
      <w:r w:rsidRPr="00212D57">
        <w:rPr>
          <w:szCs w:val="22"/>
        </w:rPr>
        <w:t>順法師，《空之探究》，</w:t>
      </w:r>
      <w:r w:rsidRPr="00761EF3">
        <w:rPr>
          <w:szCs w:val="22"/>
        </w:rPr>
        <w:t>pp</w:t>
      </w:r>
      <w:r w:rsidRPr="00212D57">
        <w:rPr>
          <w:szCs w:val="22"/>
        </w:rPr>
        <w:t>.</w:t>
      </w:r>
      <w:r w:rsidRPr="00761EF3">
        <w:rPr>
          <w:szCs w:val="22"/>
        </w:rPr>
        <w:t>210</w:t>
      </w:r>
      <w:r w:rsidRPr="00212D57">
        <w:rPr>
          <w:szCs w:val="22"/>
        </w:rPr>
        <w:t>-</w:t>
      </w:r>
      <w:r w:rsidRPr="00761EF3">
        <w:rPr>
          <w:szCs w:val="22"/>
        </w:rPr>
        <w:t>211</w:t>
      </w:r>
      <w:r w:rsidRPr="00212D57">
        <w:rPr>
          <w:szCs w:val="22"/>
        </w:rPr>
        <w:t>。</w:t>
      </w:r>
    </w:p>
  </w:footnote>
  <w:footnote w:id="168">
    <w:p w:rsidR="007C48C2" w:rsidRPr="00212D57" w:rsidRDefault="007C48C2" w:rsidP="007C48C2">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《中論》卷</w:t>
      </w:r>
      <w:r w:rsidRPr="00761EF3">
        <w:rPr>
          <w:szCs w:val="22"/>
        </w:rPr>
        <w:t>1</w:t>
      </w:r>
      <w:r w:rsidRPr="00212D57">
        <w:rPr>
          <w:szCs w:val="22"/>
        </w:rPr>
        <w:t>〈</w:t>
      </w:r>
      <w:r w:rsidRPr="00761EF3">
        <w:rPr>
          <w:szCs w:val="22"/>
        </w:rPr>
        <w:t>1</w:t>
      </w:r>
      <w:r w:rsidRPr="00212D57">
        <w:rPr>
          <w:szCs w:val="22"/>
        </w:rPr>
        <w:t xml:space="preserve"> </w:t>
      </w:r>
      <w:r w:rsidRPr="00212D57">
        <w:rPr>
          <w:szCs w:val="22"/>
        </w:rPr>
        <w:t>觀因緣品〉（大正</w:t>
      </w:r>
      <w:r w:rsidRPr="00761EF3">
        <w:rPr>
          <w:szCs w:val="22"/>
        </w:rPr>
        <w:t>30</w:t>
      </w:r>
      <w:r w:rsidRPr="00212D57">
        <w:rPr>
          <w:szCs w:val="22"/>
        </w:rPr>
        <w:t>，</w:t>
      </w:r>
      <w:r w:rsidRPr="00761EF3">
        <w:rPr>
          <w:szCs w:val="22"/>
        </w:rPr>
        <w:t>1b11</w:t>
      </w:r>
      <w:r w:rsidRPr="00212D57">
        <w:rPr>
          <w:szCs w:val="22"/>
        </w:rPr>
        <w:t>-</w:t>
      </w:r>
      <w:r w:rsidRPr="00761EF3">
        <w:rPr>
          <w:szCs w:val="22"/>
        </w:rPr>
        <w:t>14</w:t>
      </w:r>
      <w:r w:rsidRPr="00212D57">
        <w:rPr>
          <w:szCs w:val="22"/>
        </w:rPr>
        <w:t>）：</w:t>
      </w:r>
    </w:p>
    <w:p w:rsidR="007C48C2" w:rsidRPr="00212D57" w:rsidRDefault="007C48C2" w:rsidP="007C48C2">
      <w:pPr>
        <w:pStyle w:val="a5"/>
        <w:ind w:leftChars="105" w:left="252"/>
        <w:jc w:val="both"/>
        <w:rPr>
          <w:rFonts w:eastAsia="標楷體"/>
          <w:szCs w:val="22"/>
        </w:rPr>
      </w:pPr>
      <w:r w:rsidRPr="00212D57">
        <w:rPr>
          <w:rFonts w:eastAsia="標楷體"/>
          <w:szCs w:val="22"/>
        </w:rPr>
        <w:t>不生亦不滅，不常亦不斷，不一亦不異，不來亦不出，</w:t>
      </w:r>
    </w:p>
    <w:p w:rsidR="007C48C2" w:rsidRPr="00212D57" w:rsidRDefault="007C48C2" w:rsidP="007C48C2">
      <w:pPr>
        <w:pStyle w:val="a5"/>
        <w:ind w:leftChars="105" w:left="252"/>
        <w:jc w:val="both"/>
        <w:rPr>
          <w:rFonts w:eastAsia="標楷體"/>
          <w:szCs w:val="22"/>
        </w:rPr>
      </w:pPr>
      <w:r w:rsidRPr="00212D57">
        <w:rPr>
          <w:rFonts w:eastAsia="標楷體"/>
          <w:szCs w:val="22"/>
        </w:rPr>
        <w:t>能說是因緣，善滅諸戲論，我稽首禮佛，諸說中第一。</w:t>
      </w:r>
    </w:p>
  </w:footnote>
  <w:footnote w:id="169">
    <w:p w:rsidR="007C48C2" w:rsidRPr="00212D57" w:rsidRDefault="007C48C2" w:rsidP="007C48C2">
      <w:pPr>
        <w:pStyle w:val="a5"/>
        <w:spacing w:line="0" w:lineRule="atLeast"/>
        <w:ind w:left="792" w:hangingChars="360" w:hanging="792"/>
        <w:jc w:val="both"/>
        <w:rPr>
          <w:rFonts w:eastAsia="標楷體"/>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）《雜阿含經》卷</w:t>
      </w:r>
      <w:r w:rsidRPr="00761EF3">
        <w:rPr>
          <w:szCs w:val="22"/>
        </w:rPr>
        <w:t>12</w:t>
      </w:r>
      <w:r w:rsidRPr="00212D57">
        <w:rPr>
          <w:szCs w:val="22"/>
        </w:rPr>
        <w:t>（</w:t>
      </w:r>
      <w:r w:rsidRPr="00761EF3">
        <w:rPr>
          <w:szCs w:val="22"/>
        </w:rPr>
        <w:t>300</w:t>
      </w:r>
      <w:r w:rsidRPr="00212D57">
        <w:rPr>
          <w:szCs w:val="22"/>
        </w:rPr>
        <w:t>經）（大正</w:t>
      </w:r>
      <w:r w:rsidRPr="00761EF3">
        <w:rPr>
          <w:szCs w:val="22"/>
        </w:rPr>
        <w:t>2</w:t>
      </w:r>
      <w:r w:rsidRPr="00212D57">
        <w:rPr>
          <w:szCs w:val="22"/>
        </w:rPr>
        <w:t>，</w:t>
      </w:r>
      <w:r w:rsidRPr="00761EF3">
        <w:rPr>
          <w:szCs w:val="22"/>
        </w:rPr>
        <w:t>85c10</w:t>
      </w:r>
      <w:r w:rsidRPr="00212D57">
        <w:rPr>
          <w:szCs w:val="22"/>
        </w:rPr>
        <w:t>-</w:t>
      </w:r>
      <w:r w:rsidRPr="00761EF3">
        <w:rPr>
          <w:szCs w:val="22"/>
        </w:rPr>
        <w:t>15</w:t>
      </w:r>
      <w:r w:rsidRPr="00212D57">
        <w:rPr>
          <w:szCs w:val="22"/>
        </w:rPr>
        <w:t>）：「</w:t>
      </w:r>
      <w:r w:rsidRPr="00212D57">
        <w:rPr>
          <w:rFonts w:eastAsia="標楷體"/>
          <w:szCs w:val="22"/>
        </w:rPr>
        <w:t>佛告婆羅門：自作自覺，則墮常見；他作他覺，則墮斷見。義說、法說，離此二邊，處於中道而說法，所謂</w:t>
      </w:r>
      <w:r>
        <w:rPr>
          <w:rFonts w:ascii="標楷體" w:eastAsia="標楷體" w:hAnsi="標楷體" w:hint="eastAsia"/>
          <w:color w:val="FF0000"/>
          <w:kern w:val="0"/>
          <w:highlight w:val="yellow"/>
        </w:rPr>
        <w:t>『</w:t>
      </w:r>
      <w:r w:rsidRPr="00212D57">
        <w:rPr>
          <w:rFonts w:eastAsia="標楷體"/>
          <w:szCs w:val="22"/>
        </w:rPr>
        <w:t>此有故彼有，此起故彼起</w:t>
      </w:r>
      <w:r>
        <w:rPr>
          <w:rFonts w:ascii="標楷體" w:eastAsia="標楷體" w:hAnsi="標楷體" w:hint="eastAsia"/>
          <w:color w:val="FF0000"/>
          <w:kern w:val="0"/>
          <w:highlight w:val="yellow"/>
        </w:rPr>
        <w:t>』</w:t>
      </w:r>
      <w:r w:rsidRPr="00212D57">
        <w:rPr>
          <w:rFonts w:eastAsia="標楷體"/>
          <w:szCs w:val="22"/>
        </w:rPr>
        <w:t>，緣無明行</w:t>
      </w:r>
      <w:r>
        <w:rPr>
          <w:rFonts w:ascii="標楷體" w:eastAsia="標楷體" w:hAnsi="標楷體" w:hint="eastAsia"/>
          <w:color w:val="FF0000"/>
          <w:kern w:val="0"/>
          <w:highlight w:val="yellow"/>
        </w:rPr>
        <w:t>，</w:t>
      </w:r>
      <w:r>
        <w:rPr>
          <w:rFonts w:eastAsia="標楷體"/>
          <w:szCs w:val="22"/>
        </w:rPr>
        <w:t>乃至純大苦聚集</w:t>
      </w:r>
      <w:r>
        <w:rPr>
          <w:rFonts w:ascii="標楷體" w:eastAsia="標楷體" w:hAnsi="標楷體" w:hint="eastAsia"/>
          <w:color w:val="FF0000"/>
          <w:spacing w:val="-4"/>
          <w:kern w:val="0"/>
          <w:highlight w:val="yellow"/>
        </w:rPr>
        <w:t>；</w:t>
      </w:r>
      <w:r w:rsidRPr="00212D57">
        <w:rPr>
          <w:rFonts w:eastAsia="標楷體"/>
          <w:szCs w:val="22"/>
        </w:rPr>
        <w:t>無明滅則行滅，乃至純大苦聚滅。」</w:t>
      </w:r>
    </w:p>
    <w:p w:rsidR="007C48C2" w:rsidRPr="00212D57" w:rsidRDefault="007C48C2" w:rsidP="007C48C2">
      <w:pPr>
        <w:pStyle w:val="a5"/>
        <w:ind w:leftChars="105" w:left="791" w:hangingChars="245" w:hanging="539"/>
        <w:jc w:val="both"/>
        <w:rPr>
          <w:szCs w:val="22"/>
        </w:rPr>
      </w:pPr>
      <w:r w:rsidRPr="00212D57">
        <w:rPr>
          <w:szCs w:val="22"/>
        </w:rPr>
        <w:t>（</w:t>
      </w:r>
      <w:r w:rsidRPr="00761EF3">
        <w:rPr>
          <w:szCs w:val="22"/>
        </w:rPr>
        <w:t>2</w:t>
      </w:r>
      <w:r w:rsidRPr="00212D57">
        <w:rPr>
          <w:szCs w:val="22"/>
        </w:rPr>
        <w:t>）《雜阿含經》卷</w:t>
      </w:r>
      <w:r w:rsidRPr="00761EF3">
        <w:rPr>
          <w:szCs w:val="22"/>
        </w:rPr>
        <w:t>34</w:t>
      </w:r>
      <w:r w:rsidRPr="00212D57">
        <w:rPr>
          <w:szCs w:val="22"/>
        </w:rPr>
        <w:t>（</w:t>
      </w:r>
      <w:r w:rsidRPr="00761EF3">
        <w:rPr>
          <w:rFonts w:hint="eastAsia"/>
          <w:szCs w:val="22"/>
        </w:rPr>
        <w:t>96</w:t>
      </w:r>
      <w:r w:rsidRPr="00761EF3">
        <w:rPr>
          <w:szCs w:val="22"/>
        </w:rPr>
        <w:t>1</w:t>
      </w:r>
      <w:r w:rsidRPr="00212D57">
        <w:rPr>
          <w:szCs w:val="22"/>
        </w:rPr>
        <w:t>經）（大正</w:t>
      </w:r>
      <w:r w:rsidRPr="00761EF3">
        <w:rPr>
          <w:szCs w:val="22"/>
        </w:rPr>
        <w:t>2</w:t>
      </w:r>
      <w:r w:rsidRPr="00212D57">
        <w:rPr>
          <w:szCs w:val="22"/>
        </w:rPr>
        <w:t>，</w:t>
      </w:r>
      <w:r w:rsidRPr="00761EF3">
        <w:rPr>
          <w:szCs w:val="22"/>
        </w:rPr>
        <w:t>245b9</w:t>
      </w:r>
      <w:r w:rsidRPr="00212D57">
        <w:rPr>
          <w:szCs w:val="22"/>
        </w:rPr>
        <w:t>-</w:t>
      </w:r>
      <w:r w:rsidRPr="00761EF3">
        <w:rPr>
          <w:szCs w:val="22"/>
        </w:rPr>
        <w:t>25</w:t>
      </w:r>
      <w:r w:rsidRPr="00212D57">
        <w:rPr>
          <w:szCs w:val="22"/>
        </w:rPr>
        <w:t>）：</w:t>
      </w:r>
    </w:p>
    <w:p w:rsidR="007C48C2" w:rsidRPr="00212D57" w:rsidRDefault="007C48C2" w:rsidP="007C48C2">
      <w:pPr>
        <w:pStyle w:val="a5"/>
        <w:ind w:leftChars="335" w:left="804"/>
        <w:jc w:val="both"/>
        <w:rPr>
          <w:rFonts w:eastAsia="標楷體"/>
          <w:szCs w:val="22"/>
        </w:rPr>
      </w:pPr>
      <w:r w:rsidRPr="00212D57">
        <w:rPr>
          <w:rFonts w:eastAsia="標楷體"/>
          <w:szCs w:val="22"/>
        </w:rPr>
        <w:t>如是我聞：一時，佛住王舍城迦蘭陀竹園。時，有婆蹉種出家來詣佛所，合掌問訊，問訊已，退坐一面，白佛言：「云何？瞿曇！為有我耶？」爾時，世尊默然不答。如是再三。爾時，世尊亦再三不答。爾時，婆蹉種出家作是念：「我已三問沙門瞿曇，而不見答，但當還去。」時，尊者阿難住於佛後，執扇扇佛。爾時，阿難白佛言：「世尊！彼婆蹉種出家三問，世尊何故不答？豈不增彼婆蹉種出家惡邪見，言沙門不能答其所問？」佛告阿難：「</w:t>
      </w:r>
      <w:r w:rsidRPr="00212D57">
        <w:rPr>
          <w:rFonts w:eastAsia="標楷體"/>
          <w:b/>
          <w:szCs w:val="22"/>
        </w:rPr>
        <w:t>我若答言有我，則增彼先來邪見；若答言無我，彼先癡惑豈不更增癡惑？言先有我從今斷滅。若先來有我則是常見，於今斷滅則是斷見。如來離於二邊，處中說法，所謂是事有故是事有，是事起故是事生，謂緣無明行，乃至生、老、病、死、憂、悲、惱、苦滅。</w:t>
      </w:r>
      <w:r w:rsidRPr="00212D57">
        <w:rPr>
          <w:rFonts w:eastAsia="標楷體"/>
          <w:szCs w:val="22"/>
        </w:rPr>
        <w:t>」佛說此經已，尊者阿難聞佛所說，歡喜奉行。</w:t>
      </w:r>
    </w:p>
  </w:footnote>
  <w:footnote w:id="170">
    <w:p w:rsidR="007C48C2" w:rsidRPr="00212D57" w:rsidRDefault="007C48C2" w:rsidP="007C48C2">
      <w:pPr>
        <w:pStyle w:val="a5"/>
        <w:spacing w:line="0" w:lineRule="atLeast"/>
        <w:ind w:left="253" w:hangingChars="115" w:hanging="253"/>
        <w:jc w:val="both"/>
        <w:rPr>
          <w:rFonts w:eastAsia="標楷體"/>
          <w:szCs w:val="22"/>
        </w:rPr>
      </w:pPr>
      <w:r w:rsidRPr="00212D57">
        <w:rPr>
          <w:rStyle w:val="a6"/>
          <w:szCs w:val="22"/>
        </w:rPr>
        <w:footnoteRef/>
      </w:r>
      <w:r w:rsidRPr="00212D57">
        <w:rPr>
          <w:rFonts w:hint="eastAsia"/>
          <w:szCs w:val="22"/>
        </w:rPr>
        <w:t xml:space="preserve"> </w:t>
      </w:r>
      <w:r w:rsidRPr="00212D57">
        <w:rPr>
          <w:szCs w:val="22"/>
        </w:rPr>
        <w:t>《雜阿含經》卷</w:t>
      </w:r>
      <w:r w:rsidRPr="00761EF3">
        <w:rPr>
          <w:szCs w:val="22"/>
        </w:rPr>
        <w:t>12</w:t>
      </w:r>
      <w:r w:rsidRPr="00212D57">
        <w:rPr>
          <w:szCs w:val="22"/>
        </w:rPr>
        <w:t>（</w:t>
      </w:r>
      <w:r w:rsidRPr="00761EF3">
        <w:rPr>
          <w:szCs w:val="22"/>
        </w:rPr>
        <w:t>297</w:t>
      </w:r>
      <w:r w:rsidRPr="00212D57">
        <w:rPr>
          <w:szCs w:val="22"/>
        </w:rPr>
        <w:t>經）（大正</w:t>
      </w:r>
      <w:r w:rsidRPr="00761EF3">
        <w:rPr>
          <w:szCs w:val="22"/>
        </w:rPr>
        <w:t>2</w:t>
      </w:r>
      <w:r w:rsidRPr="00212D57">
        <w:rPr>
          <w:szCs w:val="22"/>
        </w:rPr>
        <w:t>，</w:t>
      </w:r>
      <w:r w:rsidRPr="00761EF3">
        <w:rPr>
          <w:szCs w:val="22"/>
        </w:rPr>
        <w:t>84c20</w:t>
      </w:r>
      <w:r w:rsidRPr="00212D57">
        <w:rPr>
          <w:szCs w:val="22"/>
        </w:rPr>
        <w:t>-</w:t>
      </w:r>
      <w:r w:rsidRPr="00761EF3">
        <w:rPr>
          <w:szCs w:val="22"/>
        </w:rPr>
        <w:t>25</w:t>
      </w:r>
      <w:r w:rsidRPr="00212D57">
        <w:rPr>
          <w:szCs w:val="22"/>
        </w:rPr>
        <w:t>）：</w:t>
      </w:r>
      <w:r w:rsidRPr="00212D57">
        <w:rPr>
          <w:rFonts w:eastAsia="標楷體"/>
          <w:szCs w:val="22"/>
        </w:rPr>
        <w:t>「若見言</w:t>
      </w:r>
      <w:r>
        <w:rPr>
          <w:rFonts w:ascii="標楷體" w:eastAsia="標楷體" w:hAnsi="標楷體" w:hint="eastAsia"/>
          <w:color w:val="FF0000"/>
          <w:kern w:val="0"/>
          <w:highlight w:val="yellow"/>
        </w:rPr>
        <w:t>『</w:t>
      </w:r>
      <w:r w:rsidRPr="00212D57">
        <w:rPr>
          <w:rFonts w:eastAsia="標楷體"/>
          <w:b/>
          <w:szCs w:val="22"/>
        </w:rPr>
        <w:t>命即是身</w:t>
      </w:r>
      <w:r>
        <w:rPr>
          <w:rFonts w:ascii="標楷體" w:eastAsia="標楷體" w:hAnsi="標楷體" w:hint="eastAsia"/>
          <w:color w:val="FF0000"/>
          <w:kern w:val="0"/>
          <w:highlight w:val="yellow"/>
        </w:rPr>
        <w:t>』</w:t>
      </w:r>
      <w:r w:rsidRPr="00212D57">
        <w:rPr>
          <w:rFonts w:eastAsia="標楷體"/>
          <w:szCs w:val="22"/>
        </w:rPr>
        <w:t>，彼梵行者所無有；若復見言</w:t>
      </w:r>
      <w:r>
        <w:rPr>
          <w:rFonts w:ascii="標楷體" w:eastAsia="標楷體" w:hAnsi="標楷體" w:hint="eastAsia"/>
          <w:color w:val="FF0000"/>
          <w:kern w:val="0"/>
          <w:highlight w:val="yellow"/>
        </w:rPr>
        <w:t>『</w:t>
      </w:r>
      <w:r w:rsidRPr="00212D57">
        <w:rPr>
          <w:rFonts w:eastAsia="標楷體"/>
          <w:b/>
          <w:szCs w:val="22"/>
        </w:rPr>
        <w:t>命異身異</w:t>
      </w:r>
      <w:r>
        <w:rPr>
          <w:rFonts w:ascii="標楷體" w:eastAsia="標楷體" w:hAnsi="標楷體" w:hint="eastAsia"/>
          <w:color w:val="FF0000"/>
          <w:kern w:val="0"/>
          <w:highlight w:val="yellow"/>
        </w:rPr>
        <w:t>』</w:t>
      </w:r>
      <w:r w:rsidRPr="00212D57">
        <w:rPr>
          <w:rFonts w:eastAsia="標楷體"/>
          <w:szCs w:val="22"/>
        </w:rPr>
        <w:t>，梵行者所無有。於此二邊，心所不隨，正向中道，賢聖出世如實不顛倒正見，謂</w:t>
      </w:r>
      <w:r>
        <w:rPr>
          <w:rFonts w:ascii="標楷體" w:eastAsia="標楷體" w:hAnsi="標楷體" w:hint="eastAsia"/>
          <w:color w:val="FF0000"/>
          <w:kern w:val="0"/>
          <w:highlight w:val="yellow"/>
        </w:rPr>
        <w:t>『</w:t>
      </w:r>
      <w:r w:rsidRPr="00212D57">
        <w:rPr>
          <w:rFonts w:eastAsia="標楷體"/>
          <w:szCs w:val="22"/>
        </w:rPr>
        <w:t>緣生</w:t>
      </w:r>
      <w:r>
        <w:rPr>
          <w:rFonts w:ascii="標楷體" w:eastAsia="標楷體" w:hAnsi="標楷體" w:hint="eastAsia"/>
          <w:color w:val="FF0000"/>
          <w:kern w:val="0"/>
          <w:highlight w:val="yellow"/>
        </w:rPr>
        <w:t>，</w:t>
      </w:r>
      <w:r w:rsidRPr="00212D57">
        <w:rPr>
          <w:rFonts w:eastAsia="標楷體"/>
          <w:szCs w:val="22"/>
        </w:rPr>
        <w:t>老死</w:t>
      </w:r>
      <w:r>
        <w:rPr>
          <w:rFonts w:ascii="標楷體" w:eastAsia="標楷體" w:hAnsi="標楷體" w:hint="eastAsia"/>
          <w:color w:val="FF0000"/>
          <w:spacing w:val="-4"/>
          <w:kern w:val="0"/>
          <w:highlight w:val="yellow"/>
        </w:rPr>
        <w:t>；</w:t>
      </w:r>
      <w:r w:rsidRPr="00212D57">
        <w:rPr>
          <w:rFonts w:eastAsia="標楷體"/>
          <w:szCs w:val="22"/>
        </w:rPr>
        <w:t>如是生、有、取、愛、受、觸、六入處、名色、識、行</w:t>
      </w:r>
      <w:r>
        <w:rPr>
          <w:rFonts w:ascii="標楷體" w:eastAsia="標楷體" w:hAnsi="標楷體" w:hint="eastAsia"/>
          <w:color w:val="FF0000"/>
          <w:spacing w:val="-4"/>
          <w:kern w:val="0"/>
          <w:highlight w:val="yellow"/>
        </w:rPr>
        <w:t>；</w:t>
      </w:r>
      <w:r w:rsidRPr="00212D57">
        <w:rPr>
          <w:rFonts w:eastAsia="標楷體"/>
          <w:szCs w:val="22"/>
        </w:rPr>
        <w:t>緣無明故有行</w:t>
      </w:r>
      <w:r>
        <w:rPr>
          <w:rFonts w:ascii="標楷體" w:eastAsia="標楷體" w:hAnsi="標楷體" w:hint="eastAsia"/>
          <w:color w:val="FF0000"/>
          <w:kern w:val="0"/>
          <w:highlight w:val="yellow"/>
        </w:rPr>
        <w:t>』</w:t>
      </w:r>
      <w:r w:rsidRPr="00212D57">
        <w:rPr>
          <w:rFonts w:eastAsia="標楷體"/>
          <w:szCs w:val="22"/>
        </w:rPr>
        <w:t>。</w:t>
      </w:r>
      <w:r w:rsidRPr="00212D57">
        <w:rPr>
          <w:szCs w:val="22"/>
        </w:rPr>
        <w:t>」</w:t>
      </w:r>
    </w:p>
  </w:footnote>
  <w:footnote w:id="171">
    <w:p w:rsidR="007C48C2" w:rsidRPr="00212D57" w:rsidRDefault="007C48C2" w:rsidP="007C48C2">
      <w:pPr>
        <w:pStyle w:val="a5"/>
        <w:spacing w:line="0" w:lineRule="atLeast"/>
        <w:ind w:left="253" w:hangingChars="115" w:hanging="253"/>
        <w:jc w:val="both"/>
        <w:rPr>
          <w:rFonts w:eastAsia="標楷體"/>
          <w:szCs w:val="22"/>
        </w:rPr>
      </w:pPr>
      <w:r w:rsidRPr="00212D57">
        <w:rPr>
          <w:rStyle w:val="a6"/>
          <w:szCs w:val="22"/>
        </w:rPr>
        <w:footnoteRef/>
      </w:r>
      <w:r w:rsidRPr="00212D57">
        <w:rPr>
          <w:rFonts w:hint="eastAsia"/>
          <w:szCs w:val="22"/>
        </w:rPr>
        <w:t xml:space="preserve"> </w:t>
      </w:r>
      <w:r w:rsidRPr="00212D57">
        <w:rPr>
          <w:szCs w:val="22"/>
        </w:rPr>
        <w:t>《雜阿含經》卷</w:t>
      </w:r>
      <w:r w:rsidRPr="00761EF3">
        <w:rPr>
          <w:szCs w:val="22"/>
        </w:rPr>
        <w:t>13</w:t>
      </w:r>
      <w:r w:rsidRPr="00212D57">
        <w:rPr>
          <w:szCs w:val="22"/>
        </w:rPr>
        <w:t>（</w:t>
      </w:r>
      <w:r w:rsidRPr="00761EF3">
        <w:rPr>
          <w:szCs w:val="22"/>
        </w:rPr>
        <w:t>335</w:t>
      </w:r>
      <w:r w:rsidRPr="00212D57">
        <w:rPr>
          <w:szCs w:val="22"/>
        </w:rPr>
        <w:t>經）（大正</w:t>
      </w:r>
      <w:r w:rsidRPr="00761EF3">
        <w:rPr>
          <w:szCs w:val="22"/>
        </w:rPr>
        <w:t>2</w:t>
      </w:r>
      <w:r w:rsidRPr="00212D57">
        <w:rPr>
          <w:szCs w:val="22"/>
        </w:rPr>
        <w:t>，</w:t>
      </w:r>
      <w:r w:rsidRPr="00761EF3">
        <w:rPr>
          <w:szCs w:val="22"/>
        </w:rPr>
        <w:t>92c16</w:t>
      </w:r>
      <w:r w:rsidRPr="00212D57">
        <w:rPr>
          <w:szCs w:val="22"/>
        </w:rPr>
        <w:t>-</w:t>
      </w:r>
      <w:r w:rsidRPr="00761EF3">
        <w:rPr>
          <w:szCs w:val="22"/>
        </w:rPr>
        <w:t>24</w:t>
      </w:r>
      <w:r w:rsidRPr="00212D57">
        <w:rPr>
          <w:szCs w:val="22"/>
        </w:rPr>
        <w:t>）：「</w:t>
      </w:r>
      <w:r w:rsidRPr="00212D57">
        <w:rPr>
          <w:rFonts w:eastAsia="標楷體"/>
          <w:szCs w:val="22"/>
        </w:rPr>
        <w:t>云何為</w:t>
      </w:r>
      <w:r>
        <w:rPr>
          <w:rFonts w:ascii="標楷體" w:eastAsia="標楷體" w:hAnsi="標楷體" w:hint="eastAsia"/>
          <w:color w:val="FF0000"/>
          <w:kern w:val="0"/>
          <w:highlight w:val="yellow"/>
        </w:rPr>
        <w:t>『</w:t>
      </w:r>
      <w:r w:rsidRPr="00212D57">
        <w:rPr>
          <w:rFonts w:eastAsia="標楷體"/>
          <w:b/>
          <w:szCs w:val="22"/>
        </w:rPr>
        <w:t>第一義空經</w:t>
      </w:r>
      <w:r>
        <w:rPr>
          <w:rFonts w:ascii="標楷體" w:eastAsia="標楷體" w:hAnsi="標楷體" w:hint="eastAsia"/>
          <w:color w:val="FF0000"/>
          <w:kern w:val="0"/>
          <w:highlight w:val="yellow"/>
        </w:rPr>
        <w:t>』</w:t>
      </w:r>
      <w:r w:rsidRPr="00212D57">
        <w:rPr>
          <w:rFonts w:eastAsia="標楷體"/>
          <w:szCs w:val="22"/>
        </w:rPr>
        <w:t>？諸比丘！</w:t>
      </w:r>
      <w:r w:rsidRPr="00212D57">
        <w:rPr>
          <w:rFonts w:eastAsia="標楷體"/>
          <w:b/>
          <w:szCs w:val="22"/>
        </w:rPr>
        <w:t>眼生時無有來處，滅時無有去處</w:t>
      </w:r>
      <w:r>
        <w:rPr>
          <w:rFonts w:ascii="標楷體" w:eastAsia="標楷體" w:hAnsi="標楷體" w:hint="eastAsia"/>
          <w:color w:val="FF0000"/>
          <w:spacing w:val="-4"/>
          <w:kern w:val="0"/>
          <w:highlight w:val="yellow"/>
        </w:rPr>
        <w:t>；</w:t>
      </w:r>
      <w:r w:rsidRPr="00212D57">
        <w:rPr>
          <w:rFonts w:eastAsia="標楷體"/>
          <w:szCs w:val="22"/>
        </w:rPr>
        <w:t>如是</w:t>
      </w:r>
      <w:r w:rsidRPr="00F72B25">
        <w:rPr>
          <w:rFonts w:eastAsia="標楷體"/>
          <w:szCs w:val="22"/>
          <w:highlight w:val="yellow"/>
        </w:rPr>
        <w:t>眼不</w:t>
      </w:r>
      <w:r w:rsidRPr="00212D57">
        <w:rPr>
          <w:rFonts w:eastAsia="標楷體"/>
          <w:szCs w:val="22"/>
        </w:rPr>
        <w:t>實而生，生已盡滅</w:t>
      </w:r>
      <w:r>
        <w:rPr>
          <w:rFonts w:ascii="標楷體" w:eastAsia="標楷體" w:hAnsi="標楷體" w:hint="eastAsia"/>
          <w:color w:val="FF0000"/>
          <w:spacing w:val="-4"/>
          <w:kern w:val="0"/>
          <w:highlight w:val="yellow"/>
        </w:rPr>
        <w:t>；</w:t>
      </w:r>
      <w:r w:rsidRPr="00212D57">
        <w:rPr>
          <w:rFonts w:eastAsia="標楷體"/>
          <w:b/>
          <w:szCs w:val="22"/>
        </w:rPr>
        <w:t>有業報而無作者</w:t>
      </w:r>
      <w:r>
        <w:rPr>
          <w:rFonts w:ascii="標楷體" w:eastAsia="標楷體" w:hAnsi="標楷體" w:hint="eastAsia"/>
          <w:color w:val="FF0000"/>
          <w:spacing w:val="-4"/>
          <w:kern w:val="0"/>
          <w:highlight w:val="yellow"/>
        </w:rPr>
        <w:t>；</w:t>
      </w:r>
      <w:r w:rsidRPr="00212D57">
        <w:rPr>
          <w:rFonts w:eastAsia="標楷體"/>
          <w:b/>
          <w:szCs w:val="22"/>
        </w:rPr>
        <w:t>此陰滅已，異陰相續，除俗數法</w:t>
      </w:r>
      <w:r w:rsidRPr="00212D57">
        <w:rPr>
          <w:rFonts w:eastAsia="標楷體"/>
          <w:szCs w:val="22"/>
        </w:rPr>
        <w:t>。耳、鼻、舌、身、意，亦如是說，除俗數法。</w:t>
      </w:r>
      <w:r>
        <w:rPr>
          <w:rFonts w:ascii="標楷體" w:eastAsia="標楷體" w:hAnsi="標楷體" w:hint="eastAsia"/>
          <w:color w:val="FF0000"/>
          <w:kern w:val="0"/>
          <w:highlight w:val="yellow"/>
        </w:rPr>
        <w:t>『</w:t>
      </w:r>
      <w:r w:rsidRPr="00212D57">
        <w:rPr>
          <w:rFonts w:eastAsia="標楷體"/>
          <w:szCs w:val="22"/>
        </w:rPr>
        <w:t>俗數法</w:t>
      </w:r>
      <w:r>
        <w:rPr>
          <w:rFonts w:ascii="標楷體" w:eastAsia="標楷體" w:hAnsi="標楷體" w:hint="eastAsia"/>
          <w:color w:val="FF0000"/>
          <w:kern w:val="0"/>
          <w:highlight w:val="yellow"/>
        </w:rPr>
        <w:t>』</w:t>
      </w:r>
      <w:r w:rsidRPr="00212D57">
        <w:rPr>
          <w:rFonts w:eastAsia="標楷體"/>
          <w:szCs w:val="22"/>
        </w:rPr>
        <w:t>者，謂</w:t>
      </w:r>
      <w:r>
        <w:rPr>
          <w:rFonts w:ascii="標楷體" w:eastAsia="標楷體" w:hAnsi="標楷體" w:hint="eastAsia"/>
          <w:color w:val="FF0000"/>
          <w:kern w:val="0"/>
          <w:highlight w:val="yellow"/>
        </w:rPr>
        <w:t>『</w:t>
      </w:r>
      <w:r w:rsidRPr="00212D57">
        <w:rPr>
          <w:rFonts w:eastAsia="標楷體"/>
          <w:szCs w:val="22"/>
        </w:rPr>
        <w:t>此有故彼有，此起故彼起</w:t>
      </w:r>
      <w:r>
        <w:rPr>
          <w:rFonts w:ascii="標楷體" w:eastAsia="標楷體" w:hAnsi="標楷體" w:hint="eastAsia"/>
          <w:color w:val="FF0000"/>
          <w:kern w:val="0"/>
          <w:highlight w:val="yellow"/>
        </w:rPr>
        <w:t>』</w:t>
      </w:r>
      <w:r w:rsidRPr="00212D57">
        <w:rPr>
          <w:rFonts w:eastAsia="標楷體"/>
          <w:szCs w:val="22"/>
        </w:rPr>
        <w:t>，如無明緣行，行緣識，廣說乃至純大苦聚集起</w:t>
      </w:r>
      <w:r>
        <w:rPr>
          <w:rFonts w:ascii="標楷體" w:eastAsia="標楷體" w:hAnsi="標楷體" w:hint="eastAsia"/>
          <w:color w:val="FF0000"/>
          <w:spacing w:val="-4"/>
          <w:kern w:val="0"/>
          <w:highlight w:val="yellow"/>
        </w:rPr>
        <w:t>；</w:t>
      </w:r>
      <w:r w:rsidRPr="00212D57">
        <w:rPr>
          <w:rFonts w:eastAsia="標楷體"/>
          <w:szCs w:val="22"/>
        </w:rPr>
        <w:t>又復</w:t>
      </w:r>
      <w:r>
        <w:rPr>
          <w:rFonts w:ascii="標楷體" w:eastAsia="標楷體" w:hAnsi="標楷體" w:hint="eastAsia"/>
          <w:color w:val="FF0000"/>
          <w:kern w:val="0"/>
          <w:highlight w:val="yellow"/>
        </w:rPr>
        <w:t>『</w:t>
      </w:r>
      <w:r w:rsidRPr="00212D57">
        <w:rPr>
          <w:rFonts w:eastAsia="標楷體"/>
          <w:szCs w:val="22"/>
        </w:rPr>
        <w:t>此無故彼無，此滅故彼滅</w:t>
      </w:r>
      <w:r>
        <w:rPr>
          <w:rFonts w:ascii="標楷體" w:eastAsia="標楷體" w:hAnsi="標楷體" w:hint="eastAsia"/>
          <w:color w:val="FF0000"/>
          <w:kern w:val="0"/>
          <w:highlight w:val="yellow"/>
        </w:rPr>
        <w:t>』</w:t>
      </w:r>
      <w:r w:rsidRPr="00212D57">
        <w:rPr>
          <w:rFonts w:eastAsia="標楷體"/>
          <w:szCs w:val="22"/>
        </w:rPr>
        <w:t>，無明滅故行滅，行滅故識滅，如是廣說乃至純大苦聚滅。</w:t>
      </w:r>
      <w:r w:rsidRPr="00212D57">
        <w:rPr>
          <w:szCs w:val="22"/>
        </w:rPr>
        <w:t>」</w:t>
      </w:r>
    </w:p>
  </w:footnote>
  <w:footnote w:id="172">
    <w:p w:rsidR="007C48C2" w:rsidRPr="00212D57" w:rsidRDefault="007C48C2" w:rsidP="007C48C2">
      <w:pPr>
        <w:pStyle w:val="a5"/>
        <w:spacing w:line="0" w:lineRule="atLeast"/>
        <w:ind w:left="253" w:hangingChars="115" w:hanging="253"/>
        <w:jc w:val="both"/>
        <w:rPr>
          <w:rFonts w:eastAsia="標楷體"/>
          <w:szCs w:val="22"/>
        </w:rPr>
      </w:pPr>
      <w:r w:rsidRPr="00212D57">
        <w:rPr>
          <w:rStyle w:val="a6"/>
          <w:szCs w:val="22"/>
        </w:rPr>
        <w:footnoteRef/>
      </w:r>
      <w:r w:rsidRPr="00212D57">
        <w:rPr>
          <w:rFonts w:hint="eastAsia"/>
          <w:szCs w:val="22"/>
        </w:rPr>
        <w:t xml:space="preserve"> </w:t>
      </w:r>
      <w:r w:rsidRPr="00212D57">
        <w:rPr>
          <w:szCs w:val="22"/>
        </w:rPr>
        <w:t>《雜阿含經》卷</w:t>
      </w:r>
      <w:r w:rsidRPr="00761EF3">
        <w:rPr>
          <w:szCs w:val="22"/>
        </w:rPr>
        <w:t>12</w:t>
      </w:r>
      <w:r w:rsidRPr="00212D57">
        <w:rPr>
          <w:szCs w:val="22"/>
        </w:rPr>
        <w:t>（</w:t>
      </w:r>
      <w:r w:rsidRPr="00761EF3">
        <w:rPr>
          <w:szCs w:val="22"/>
        </w:rPr>
        <w:t>293</w:t>
      </w:r>
      <w:r w:rsidRPr="00212D57">
        <w:rPr>
          <w:szCs w:val="22"/>
        </w:rPr>
        <w:t>經）（大正</w:t>
      </w:r>
      <w:r w:rsidRPr="00761EF3">
        <w:rPr>
          <w:szCs w:val="22"/>
        </w:rPr>
        <w:t>2</w:t>
      </w:r>
      <w:r w:rsidRPr="00212D57">
        <w:rPr>
          <w:szCs w:val="22"/>
        </w:rPr>
        <w:t>，</w:t>
      </w:r>
      <w:r w:rsidRPr="00761EF3">
        <w:rPr>
          <w:szCs w:val="22"/>
        </w:rPr>
        <w:t>83c13</w:t>
      </w:r>
      <w:r w:rsidRPr="00212D57">
        <w:rPr>
          <w:szCs w:val="22"/>
        </w:rPr>
        <w:t>-</w:t>
      </w:r>
      <w:r w:rsidRPr="00761EF3">
        <w:rPr>
          <w:szCs w:val="22"/>
        </w:rPr>
        <w:t>17</w:t>
      </w:r>
      <w:r w:rsidRPr="00212D57">
        <w:rPr>
          <w:szCs w:val="22"/>
        </w:rPr>
        <w:t>）：</w:t>
      </w:r>
      <w:r w:rsidRPr="00212D57">
        <w:rPr>
          <w:rFonts w:eastAsia="標楷體"/>
          <w:szCs w:val="22"/>
        </w:rPr>
        <w:t>「此甚深處，所謂緣起；倍復甚深難見，所謂一切取離、愛盡、無欲、寂滅、涅槃。如此二法，謂有為、無為</w:t>
      </w:r>
      <w:r>
        <w:rPr>
          <w:rFonts w:ascii="標楷體" w:eastAsia="標楷體" w:hAnsi="標楷體" w:hint="eastAsia"/>
          <w:color w:val="FF0000"/>
          <w:kern w:val="0"/>
          <w:highlight w:val="yellow"/>
        </w:rPr>
        <w:t>──</w:t>
      </w:r>
      <w:r w:rsidRPr="00212D57">
        <w:rPr>
          <w:rFonts w:eastAsia="標楷體"/>
          <w:szCs w:val="22"/>
        </w:rPr>
        <w:t>有為者，若生、若住、若異、若滅；無為者，不生、不住、不異、不滅</w:t>
      </w:r>
      <w:r>
        <w:rPr>
          <w:rFonts w:ascii="標楷體" w:eastAsia="標楷體" w:hAnsi="標楷體" w:hint="eastAsia"/>
          <w:color w:val="FF0000"/>
          <w:kern w:val="0"/>
          <w:highlight w:val="yellow"/>
        </w:rPr>
        <w:t>。</w:t>
      </w:r>
      <w:r w:rsidRPr="00212D57">
        <w:rPr>
          <w:rFonts w:eastAsia="標楷體"/>
          <w:szCs w:val="22"/>
        </w:rPr>
        <w:t>是名</w:t>
      </w:r>
      <w:r>
        <w:rPr>
          <w:rFonts w:ascii="標楷體" w:eastAsia="標楷體" w:hAnsi="標楷體" w:hint="eastAsia"/>
          <w:color w:val="FF0000"/>
          <w:kern w:val="0"/>
          <w:highlight w:val="yellow"/>
        </w:rPr>
        <w:t>，</w:t>
      </w:r>
      <w:r w:rsidRPr="00212D57">
        <w:rPr>
          <w:rFonts w:eastAsia="標楷體"/>
          <w:szCs w:val="22"/>
        </w:rPr>
        <w:t>比丘</w:t>
      </w:r>
      <w:r>
        <w:rPr>
          <w:rFonts w:ascii="標楷體" w:eastAsia="標楷體" w:hAnsi="標楷體" w:hint="eastAsia"/>
          <w:color w:val="FF0000"/>
          <w:kern w:val="0"/>
          <w:highlight w:val="yellow"/>
        </w:rPr>
        <w:t>！</w:t>
      </w:r>
      <w:r w:rsidRPr="00212D57">
        <w:rPr>
          <w:rFonts w:eastAsia="標楷體"/>
          <w:szCs w:val="22"/>
        </w:rPr>
        <w:t>諸行苦、寂滅涅槃。</w:t>
      </w:r>
      <w:r w:rsidRPr="00212D57">
        <w:rPr>
          <w:szCs w:val="22"/>
        </w:rPr>
        <w:t>」</w:t>
      </w:r>
    </w:p>
  </w:footnote>
  <w:footnote w:id="173">
    <w:p w:rsidR="00157EF6" w:rsidRPr="00212D57" w:rsidRDefault="00157EF6" w:rsidP="00AB5DB4">
      <w:pPr>
        <w:pStyle w:val="a5"/>
        <w:spacing w:line="0" w:lineRule="atLeast"/>
        <w:ind w:left="253" w:hangingChars="115" w:hanging="253"/>
        <w:jc w:val="both"/>
        <w:rPr>
          <w:rFonts w:eastAsia="標楷體"/>
          <w:szCs w:val="22"/>
        </w:rPr>
      </w:pPr>
      <w:r w:rsidRPr="00212D57">
        <w:rPr>
          <w:rStyle w:val="a6"/>
          <w:szCs w:val="22"/>
        </w:rPr>
        <w:footnoteRef/>
      </w:r>
      <w:r w:rsidRPr="00212D57">
        <w:rPr>
          <w:szCs w:val="22"/>
        </w:rPr>
        <w:t xml:space="preserve"> </w:t>
      </w:r>
      <w:r w:rsidR="009160B5">
        <w:rPr>
          <w:szCs w:val="22"/>
        </w:rPr>
        <w:t>參見：印</w:t>
      </w:r>
      <w:r w:rsidRPr="00212D57">
        <w:rPr>
          <w:szCs w:val="22"/>
        </w:rPr>
        <w:t>順法師，《空之探究》，</w:t>
      </w:r>
      <w:r w:rsidRPr="00761EF3">
        <w:rPr>
          <w:szCs w:val="22"/>
        </w:rPr>
        <w:t>p</w:t>
      </w:r>
      <w:r w:rsidRPr="00212D57">
        <w:rPr>
          <w:szCs w:val="22"/>
        </w:rPr>
        <w:t>.</w:t>
      </w:r>
      <w:r w:rsidRPr="00761EF3">
        <w:rPr>
          <w:szCs w:val="22"/>
        </w:rPr>
        <w:t>211</w:t>
      </w:r>
      <w:r w:rsidRPr="00212D57">
        <w:rPr>
          <w:szCs w:val="22"/>
        </w:rPr>
        <w:t>：「</w:t>
      </w:r>
      <w:r w:rsidRPr="00212D57">
        <w:rPr>
          <w:rFonts w:eastAsia="標楷體"/>
          <w:b/>
          <w:szCs w:val="22"/>
        </w:rPr>
        <w:t>中道的不生不滅，《阿含經》約無為</w:t>
      </w:r>
      <w:r w:rsidRPr="00212D57">
        <w:rPr>
          <w:rFonts w:ascii="新細明體" w:hAnsi="新細明體"/>
          <w:b/>
          <w:szCs w:val="22"/>
        </w:rPr>
        <w:t>──</w:t>
      </w:r>
      <w:r w:rsidRPr="00212D57">
        <w:rPr>
          <w:rFonts w:eastAsia="標楷體"/>
          <w:b/>
          <w:szCs w:val="22"/>
        </w:rPr>
        <w:t>涅槃說</w:t>
      </w:r>
      <w:r w:rsidRPr="00212D57">
        <w:rPr>
          <w:rFonts w:eastAsia="標楷體"/>
          <w:szCs w:val="22"/>
        </w:rPr>
        <w:t>。涅槃是苦的止息、寂滅，在《阿含經》中，是依緣起的『此無故彼無，此滅故彼滅』而闡明的。</w:t>
      </w:r>
      <w:r w:rsidRPr="00212D57">
        <w:rPr>
          <w:szCs w:val="22"/>
        </w:rPr>
        <w:t>」</w:t>
      </w:r>
    </w:p>
  </w:footnote>
  <w:footnote w:id="174">
    <w:p w:rsidR="00157EF6" w:rsidRPr="00212D57" w:rsidRDefault="00157EF6" w:rsidP="00AB5DB4">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《中論》卷</w:t>
      </w:r>
      <w:r w:rsidRPr="00761EF3">
        <w:rPr>
          <w:szCs w:val="22"/>
        </w:rPr>
        <w:t>4</w:t>
      </w:r>
      <w:r w:rsidRPr="00212D57">
        <w:rPr>
          <w:szCs w:val="22"/>
        </w:rPr>
        <w:t>〈</w:t>
      </w:r>
      <w:r w:rsidRPr="00761EF3">
        <w:rPr>
          <w:szCs w:val="22"/>
        </w:rPr>
        <w:t>27</w:t>
      </w:r>
      <w:r w:rsidRPr="00212D57">
        <w:rPr>
          <w:szCs w:val="22"/>
        </w:rPr>
        <w:t xml:space="preserve"> </w:t>
      </w:r>
      <w:r w:rsidRPr="00212D57">
        <w:rPr>
          <w:szCs w:val="22"/>
        </w:rPr>
        <w:t>觀邪見品〉（大正</w:t>
      </w:r>
      <w:r w:rsidRPr="00761EF3">
        <w:rPr>
          <w:szCs w:val="22"/>
        </w:rPr>
        <w:t>30</w:t>
      </w:r>
      <w:r w:rsidRPr="00212D57">
        <w:rPr>
          <w:szCs w:val="22"/>
        </w:rPr>
        <w:t>，</w:t>
      </w:r>
      <w:r w:rsidRPr="00761EF3">
        <w:rPr>
          <w:szCs w:val="22"/>
        </w:rPr>
        <w:t>39b25</w:t>
      </w:r>
      <w:r w:rsidRPr="00212D57">
        <w:rPr>
          <w:szCs w:val="22"/>
        </w:rPr>
        <w:t>-</w:t>
      </w:r>
      <w:r w:rsidRPr="00761EF3">
        <w:rPr>
          <w:szCs w:val="22"/>
        </w:rPr>
        <w:t>26</w:t>
      </w:r>
      <w:r w:rsidRPr="00212D57">
        <w:rPr>
          <w:szCs w:val="22"/>
        </w:rPr>
        <w:t>）。</w:t>
      </w:r>
    </w:p>
  </w:footnote>
  <w:footnote w:id="175">
    <w:p w:rsidR="00157EF6" w:rsidRPr="00212D57" w:rsidRDefault="00157EF6" w:rsidP="00AB5DB4">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szCs w:val="22"/>
        </w:rPr>
        <w:t>關切：</w:t>
      </w:r>
      <w:r w:rsidRPr="00761EF3">
        <w:rPr>
          <w:szCs w:val="22"/>
        </w:rPr>
        <w:t>1</w:t>
      </w:r>
      <w:r w:rsidRPr="00212D57">
        <w:rPr>
          <w:szCs w:val="22"/>
        </w:rPr>
        <w:t>.</w:t>
      </w:r>
      <w:r w:rsidRPr="00212D57">
        <w:rPr>
          <w:szCs w:val="22"/>
        </w:rPr>
        <w:t>關係，關連。</w:t>
      </w:r>
      <w:r w:rsidRPr="00761EF3">
        <w:rPr>
          <w:szCs w:val="22"/>
        </w:rPr>
        <w:t>2</w:t>
      </w:r>
      <w:r w:rsidRPr="00212D57">
        <w:rPr>
          <w:szCs w:val="22"/>
        </w:rPr>
        <w:t>.</w:t>
      </w:r>
      <w:r w:rsidRPr="00212D57">
        <w:rPr>
          <w:szCs w:val="22"/>
        </w:rPr>
        <w:t>關係密切。</w:t>
      </w:r>
      <w:r w:rsidRPr="00212D57">
        <w:rPr>
          <w:rFonts w:hint="eastAsia"/>
          <w:szCs w:val="22"/>
        </w:rPr>
        <w:t>（《漢語大詞典》（十二），</w:t>
      </w:r>
      <w:r w:rsidRPr="00761EF3">
        <w:rPr>
          <w:rFonts w:hint="eastAsia"/>
          <w:szCs w:val="22"/>
        </w:rPr>
        <w:t>p</w:t>
      </w:r>
      <w:r w:rsidRPr="00212D57">
        <w:rPr>
          <w:rFonts w:hint="eastAsia"/>
          <w:szCs w:val="22"/>
        </w:rPr>
        <w:t>.</w:t>
      </w:r>
      <w:r w:rsidRPr="00761EF3">
        <w:rPr>
          <w:rFonts w:hint="eastAsia"/>
          <w:szCs w:val="22"/>
        </w:rPr>
        <w:t>156</w:t>
      </w:r>
      <w:r w:rsidRPr="00212D57">
        <w:rPr>
          <w:rFonts w:hint="eastAsia"/>
          <w:szCs w:val="22"/>
        </w:rPr>
        <w:t>）</w:t>
      </w:r>
    </w:p>
  </w:footnote>
  <w:footnote w:id="176">
    <w:p w:rsidR="00157EF6" w:rsidRPr="00212D57" w:rsidRDefault="00157EF6" w:rsidP="00AB5DB4">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《大智度論》卷</w:t>
      </w:r>
      <w:r w:rsidRPr="00761EF3">
        <w:rPr>
          <w:szCs w:val="22"/>
        </w:rPr>
        <w:t>1</w:t>
      </w:r>
      <w:r w:rsidR="007B0351">
        <w:rPr>
          <w:rFonts w:hint="eastAsia"/>
          <w:color w:val="FF0000"/>
          <w:szCs w:val="22"/>
          <w:highlight w:val="yellow"/>
        </w:rPr>
        <w:t>釋〈</w:t>
      </w:r>
      <w:r w:rsidR="007B0351">
        <w:rPr>
          <w:rFonts w:hint="eastAsia"/>
          <w:color w:val="FF0000"/>
          <w:szCs w:val="22"/>
          <w:highlight w:val="yellow"/>
        </w:rPr>
        <w:t xml:space="preserve">1 </w:t>
      </w:r>
      <w:r w:rsidR="007B0351">
        <w:rPr>
          <w:rFonts w:hint="eastAsia"/>
          <w:color w:val="FF0000"/>
          <w:szCs w:val="22"/>
          <w:highlight w:val="yellow"/>
        </w:rPr>
        <w:t>序品〉</w:t>
      </w:r>
      <w:r w:rsidRPr="00212D57">
        <w:rPr>
          <w:szCs w:val="22"/>
        </w:rPr>
        <w:t>（大正</w:t>
      </w:r>
      <w:r w:rsidRPr="00761EF3">
        <w:rPr>
          <w:szCs w:val="22"/>
        </w:rPr>
        <w:t>25</w:t>
      </w:r>
      <w:r w:rsidRPr="00212D57">
        <w:rPr>
          <w:szCs w:val="22"/>
        </w:rPr>
        <w:t>，</w:t>
      </w:r>
      <w:r w:rsidRPr="00761EF3">
        <w:rPr>
          <w:szCs w:val="22"/>
        </w:rPr>
        <w:t>60c7</w:t>
      </w:r>
      <w:r w:rsidRPr="00212D57">
        <w:rPr>
          <w:szCs w:val="22"/>
        </w:rPr>
        <w:t>-</w:t>
      </w:r>
      <w:r w:rsidRPr="00761EF3">
        <w:rPr>
          <w:szCs w:val="22"/>
        </w:rPr>
        <w:t>10</w:t>
      </w:r>
      <w:r w:rsidRPr="00212D57">
        <w:rPr>
          <w:szCs w:val="22"/>
        </w:rPr>
        <w:t>）：</w:t>
      </w:r>
    </w:p>
    <w:p w:rsidR="00157EF6" w:rsidRPr="00212D57" w:rsidRDefault="004A3AF1" w:rsidP="000F7709">
      <w:pPr>
        <w:pStyle w:val="a5"/>
        <w:spacing w:line="0" w:lineRule="atLeast"/>
        <w:ind w:leftChars="105" w:left="252"/>
        <w:jc w:val="both"/>
        <w:rPr>
          <w:rFonts w:eastAsia="標楷體"/>
          <w:szCs w:val="22"/>
        </w:rPr>
      </w:pPr>
      <w:r>
        <w:rPr>
          <w:rFonts w:ascii="標楷體" w:eastAsia="標楷體" w:hAnsi="標楷體" w:hint="eastAsia"/>
          <w:bCs/>
          <w:color w:val="FF0000"/>
          <w:kern w:val="0"/>
          <w:highlight w:val="yellow"/>
        </w:rPr>
        <w:t>「</w:t>
      </w:r>
      <w:r w:rsidR="00157EF6" w:rsidRPr="00212D57">
        <w:rPr>
          <w:rFonts w:eastAsia="標楷體"/>
          <w:szCs w:val="22"/>
        </w:rPr>
        <w:t>第一義悉檀</w:t>
      </w:r>
      <w:r>
        <w:rPr>
          <w:rFonts w:ascii="標楷體" w:eastAsia="標楷體" w:hAnsi="標楷體" w:hint="eastAsia"/>
          <w:bCs/>
          <w:color w:val="FF0000"/>
          <w:kern w:val="0"/>
          <w:highlight w:val="yellow"/>
        </w:rPr>
        <w:t>」</w:t>
      </w:r>
      <w:r w:rsidR="00157EF6" w:rsidRPr="00212D57">
        <w:rPr>
          <w:rFonts w:eastAsia="標楷體"/>
          <w:szCs w:val="22"/>
        </w:rPr>
        <w:t>者，一切法性，一切論議語言，一切是法非法，一一可分別破散；諸佛、辟支佛、阿羅漢所行真實法，不可破，不可散。上於三悉檀中所不通者，此中皆通。</w:t>
      </w:r>
    </w:p>
  </w:footnote>
  <w:footnote w:id="177">
    <w:p w:rsidR="00157EF6" w:rsidRPr="00212D57" w:rsidRDefault="00157EF6" w:rsidP="00AB5DB4">
      <w:pPr>
        <w:pStyle w:val="a5"/>
        <w:spacing w:line="0" w:lineRule="atLeast"/>
        <w:ind w:left="792" w:hangingChars="360" w:hanging="792"/>
        <w:jc w:val="both"/>
        <w:rPr>
          <w:rFonts w:eastAsia="標楷體"/>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）《大智度論》卷</w:t>
      </w:r>
      <w:r w:rsidRPr="00761EF3">
        <w:rPr>
          <w:szCs w:val="22"/>
        </w:rPr>
        <w:t>1</w:t>
      </w:r>
      <w:r w:rsidR="007B0351">
        <w:rPr>
          <w:rFonts w:hint="eastAsia"/>
          <w:color w:val="FF0000"/>
          <w:szCs w:val="22"/>
          <w:highlight w:val="yellow"/>
        </w:rPr>
        <w:t>釋</w:t>
      </w:r>
      <w:r w:rsidRPr="00212D57">
        <w:rPr>
          <w:szCs w:val="22"/>
        </w:rPr>
        <w:t>〈</w:t>
      </w:r>
      <w:r w:rsidRPr="00761EF3">
        <w:rPr>
          <w:szCs w:val="22"/>
        </w:rPr>
        <w:t>1</w:t>
      </w:r>
      <w:r w:rsidRPr="00212D57">
        <w:rPr>
          <w:szCs w:val="22"/>
        </w:rPr>
        <w:t xml:space="preserve"> </w:t>
      </w:r>
      <w:r w:rsidRPr="00212D57">
        <w:rPr>
          <w:szCs w:val="22"/>
        </w:rPr>
        <w:t>序品〉</w:t>
      </w:r>
      <w:r w:rsidRPr="00212D57">
        <w:rPr>
          <w:rFonts w:eastAsia="標楷體"/>
          <w:szCs w:val="22"/>
        </w:rPr>
        <w:t>（</w:t>
      </w:r>
      <w:r w:rsidRPr="00212D57">
        <w:rPr>
          <w:szCs w:val="22"/>
        </w:rPr>
        <w:t>大正</w:t>
      </w:r>
      <w:r w:rsidRPr="00761EF3">
        <w:rPr>
          <w:rFonts w:eastAsia="標楷體"/>
          <w:szCs w:val="22"/>
        </w:rPr>
        <w:t>25</w:t>
      </w:r>
      <w:r w:rsidRPr="00212D57">
        <w:rPr>
          <w:rFonts w:eastAsia="標楷體"/>
          <w:szCs w:val="22"/>
        </w:rPr>
        <w:t>，</w:t>
      </w:r>
      <w:r w:rsidRPr="00761EF3">
        <w:rPr>
          <w:rFonts w:eastAsia="標楷體"/>
          <w:szCs w:val="22"/>
        </w:rPr>
        <w:t>60c13</w:t>
      </w:r>
      <w:r w:rsidRPr="00212D57">
        <w:rPr>
          <w:rFonts w:eastAsia="標楷體"/>
          <w:szCs w:val="22"/>
        </w:rPr>
        <w:t>-</w:t>
      </w:r>
      <w:r w:rsidRPr="00761EF3">
        <w:rPr>
          <w:rFonts w:eastAsia="標楷體"/>
          <w:szCs w:val="22"/>
        </w:rPr>
        <w:t>61a3</w:t>
      </w:r>
      <w:r w:rsidRPr="00212D57">
        <w:rPr>
          <w:rFonts w:eastAsia="標楷體"/>
          <w:szCs w:val="22"/>
        </w:rPr>
        <w:t>）</w:t>
      </w:r>
      <w:r w:rsidRPr="00212D57">
        <w:rPr>
          <w:szCs w:val="22"/>
        </w:rPr>
        <w:t>：</w:t>
      </w:r>
    </w:p>
    <w:p w:rsidR="00157EF6" w:rsidRPr="00212D57" w:rsidRDefault="00157EF6" w:rsidP="00AB5DB4">
      <w:pPr>
        <w:pStyle w:val="a5"/>
        <w:ind w:leftChars="335" w:left="804"/>
        <w:jc w:val="both"/>
        <w:rPr>
          <w:rFonts w:eastAsia="標楷體"/>
          <w:szCs w:val="22"/>
        </w:rPr>
      </w:pPr>
      <w:r w:rsidRPr="00212D57">
        <w:rPr>
          <w:rFonts w:eastAsia="標楷體"/>
          <w:szCs w:val="22"/>
        </w:rPr>
        <w:t>如《眾義經》中所說偈：「各各自依見，戲論起諍競</w:t>
      </w:r>
      <w:r w:rsidRPr="00212D57">
        <w:rPr>
          <w:rFonts w:eastAsia="標楷體" w:hint="eastAsia"/>
          <w:szCs w:val="22"/>
        </w:rPr>
        <w:t>；</w:t>
      </w:r>
      <w:r w:rsidRPr="00212D57">
        <w:rPr>
          <w:rFonts w:eastAsia="標楷體"/>
          <w:szCs w:val="22"/>
        </w:rPr>
        <w:t>若能知彼非，是為知正見。不肯受他法，是名愚癡人</w:t>
      </w:r>
      <w:r w:rsidRPr="00212D57">
        <w:rPr>
          <w:rFonts w:eastAsia="標楷體" w:hint="eastAsia"/>
          <w:szCs w:val="22"/>
        </w:rPr>
        <w:t>；</w:t>
      </w:r>
      <w:r w:rsidRPr="00212D57">
        <w:rPr>
          <w:rFonts w:eastAsia="標楷體"/>
          <w:szCs w:val="22"/>
        </w:rPr>
        <w:t>作是論議者，真是愚癡人。若依自是見，而生諸戲論</w:t>
      </w:r>
      <w:r w:rsidRPr="00212D57">
        <w:rPr>
          <w:rFonts w:eastAsia="標楷體" w:hint="eastAsia"/>
          <w:szCs w:val="22"/>
        </w:rPr>
        <w:t>；</w:t>
      </w:r>
      <w:r w:rsidRPr="00212D57">
        <w:rPr>
          <w:rFonts w:eastAsia="標楷體"/>
          <w:szCs w:val="22"/>
        </w:rPr>
        <w:t>若此是淨智，無非淨智者。」此三偈中，佛說</w:t>
      </w:r>
      <w:r w:rsidR="004A3AF1">
        <w:rPr>
          <w:rFonts w:ascii="標楷體" w:eastAsia="標楷體" w:hAnsi="標楷體" w:hint="eastAsia"/>
          <w:bCs/>
          <w:color w:val="FF0000"/>
          <w:kern w:val="0"/>
          <w:highlight w:val="yellow"/>
        </w:rPr>
        <w:t>「</w:t>
      </w:r>
      <w:r w:rsidRPr="00212D57">
        <w:rPr>
          <w:rFonts w:eastAsia="標楷體"/>
          <w:szCs w:val="22"/>
        </w:rPr>
        <w:t>第一義悉檀相</w:t>
      </w:r>
      <w:r w:rsidR="004A3AF1">
        <w:rPr>
          <w:rFonts w:ascii="標楷體" w:eastAsia="標楷體" w:hAnsi="標楷體" w:hint="eastAsia"/>
          <w:bCs/>
          <w:color w:val="FF0000"/>
          <w:kern w:val="0"/>
          <w:highlight w:val="yellow"/>
        </w:rPr>
        <w:t>」</w:t>
      </w:r>
      <w:r w:rsidRPr="00212D57">
        <w:rPr>
          <w:rFonts w:eastAsia="標楷體"/>
          <w:szCs w:val="22"/>
        </w:rPr>
        <w:t>。</w:t>
      </w:r>
    </w:p>
    <w:p w:rsidR="00157EF6" w:rsidRPr="00F00F2D" w:rsidRDefault="00157EF6" w:rsidP="00AB5DB4">
      <w:pPr>
        <w:pStyle w:val="a5"/>
        <w:ind w:leftChars="105" w:left="791" w:hangingChars="245" w:hanging="539"/>
        <w:jc w:val="both"/>
        <w:rPr>
          <w:szCs w:val="22"/>
        </w:rPr>
      </w:pPr>
      <w:r w:rsidRPr="00212D57">
        <w:rPr>
          <w:szCs w:val="22"/>
        </w:rPr>
        <w:t>（</w:t>
      </w:r>
      <w:r w:rsidRPr="00761EF3">
        <w:rPr>
          <w:szCs w:val="22"/>
        </w:rPr>
        <w:t>2</w:t>
      </w:r>
      <w:r w:rsidRPr="00212D57">
        <w:rPr>
          <w:szCs w:val="22"/>
        </w:rPr>
        <w:t>）</w:t>
      </w:r>
      <w:r w:rsidRPr="00F00F2D">
        <w:rPr>
          <w:spacing w:val="4"/>
          <w:szCs w:val="22"/>
        </w:rPr>
        <w:t>Lamotte</w:t>
      </w:r>
      <w:r w:rsidRPr="00F00F2D">
        <w:rPr>
          <w:spacing w:val="4"/>
          <w:szCs w:val="22"/>
        </w:rPr>
        <w:t>教授認為《大智度論》此處所引的三個詩頌大致相當於巴利「義品</w:t>
      </w:r>
      <w:r w:rsidRPr="00F00F2D">
        <w:rPr>
          <w:szCs w:val="22"/>
        </w:rPr>
        <w:t>」第</w:t>
      </w:r>
      <w:r w:rsidRPr="00F00F2D">
        <w:rPr>
          <w:szCs w:val="22"/>
        </w:rPr>
        <w:t>12</w:t>
      </w:r>
      <w:r w:rsidRPr="00F00F2D">
        <w:rPr>
          <w:szCs w:val="22"/>
        </w:rPr>
        <w:t>經《小積集經》（</w:t>
      </w:r>
      <w:r w:rsidRPr="00F00F2D">
        <w:rPr>
          <w:szCs w:val="22"/>
        </w:rPr>
        <w:t>Cūlaviyūhasutta</w:t>
      </w:r>
      <w:r w:rsidRPr="00F00F2D">
        <w:rPr>
          <w:szCs w:val="22"/>
        </w:rPr>
        <w:t>）之前五節（</w:t>
      </w:r>
      <w:r w:rsidRPr="00F00F2D">
        <w:rPr>
          <w:szCs w:val="22"/>
        </w:rPr>
        <w:t>Suttanipāta, v.878-882</w:t>
      </w:r>
      <w:r w:rsidRPr="00F00F2D">
        <w:rPr>
          <w:szCs w:val="22"/>
        </w:rPr>
        <w:t>）。（參見</w:t>
      </w:r>
      <w:r w:rsidRPr="00F00F2D">
        <w:rPr>
          <w:szCs w:val="22"/>
        </w:rPr>
        <w:t>Lamotte, p.40, n.1</w:t>
      </w:r>
      <w:r w:rsidRPr="00F00F2D">
        <w:rPr>
          <w:szCs w:val="22"/>
        </w:rPr>
        <w:t>）</w:t>
      </w:r>
    </w:p>
    <w:p w:rsidR="00157EF6" w:rsidRPr="00212D57" w:rsidRDefault="00157EF6" w:rsidP="00AB5DB4">
      <w:pPr>
        <w:pStyle w:val="a5"/>
        <w:ind w:leftChars="335" w:left="804"/>
        <w:jc w:val="both"/>
        <w:rPr>
          <w:szCs w:val="22"/>
        </w:rPr>
      </w:pPr>
      <w:r w:rsidRPr="00F00F2D">
        <w:rPr>
          <w:szCs w:val="22"/>
        </w:rPr>
        <w:t>但印順法師認為《大智度論》此處所引，相當於</w:t>
      </w:r>
      <w:r w:rsidRPr="00212D57">
        <w:rPr>
          <w:szCs w:val="22"/>
        </w:rPr>
        <w:t>巴利「義品」（《經集》全部偈頌的數目）第</w:t>
      </w:r>
      <w:r w:rsidRPr="00761EF3">
        <w:rPr>
          <w:szCs w:val="22"/>
        </w:rPr>
        <w:t>796</w:t>
      </w:r>
      <w:r w:rsidRPr="00212D57">
        <w:rPr>
          <w:szCs w:val="22"/>
        </w:rPr>
        <w:t>、</w:t>
      </w:r>
      <w:r w:rsidRPr="00761EF3">
        <w:rPr>
          <w:szCs w:val="22"/>
        </w:rPr>
        <w:t>880</w:t>
      </w:r>
      <w:r w:rsidRPr="00212D57">
        <w:rPr>
          <w:szCs w:val="22"/>
        </w:rPr>
        <w:t>、</w:t>
      </w:r>
      <w:r w:rsidRPr="00761EF3">
        <w:rPr>
          <w:szCs w:val="22"/>
        </w:rPr>
        <w:t>881</w:t>
      </w:r>
      <w:r w:rsidRPr="00212D57">
        <w:rPr>
          <w:szCs w:val="22"/>
        </w:rPr>
        <w:t>偈。（</w:t>
      </w:r>
      <w:r w:rsidR="009160B5">
        <w:rPr>
          <w:szCs w:val="22"/>
        </w:rPr>
        <w:t>參見：印</w:t>
      </w:r>
      <w:r w:rsidRPr="00212D57">
        <w:rPr>
          <w:szCs w:val="22"/>
        </w:rPr>
        <w:t>順法師，《原始佛教聖典之集成》，</w:t>
      </w:r>
      <w:r w:rsidRPr="00761EF3">
        <w:rPr>
          <w:szCs w:val="22"/>
        </w:rPr>
        <w:t>p</w:t>
      </w:r>
      <w:r w:rsidRPr="00212D57">
        <w:rPr>
          <w:szCs w:val="22"/>
        </w:rPr>
        <w:t>.</w:t>
      </w:r>
      <w:r w:rsidRPr="00761EF3">
        <w:rPr>
          <w:szCs w:val="22"/>
        </w:rPr>
        <w:t>820</w:t>
      </w:r>
      <w:r w:rsidRPr="00212D57">
        <w:rPr>
          <w:szCs w:val="22"/>
        </w:rPr>
        <w:t>）</w:t>
      </w:r>
    </w:p>
  </w:footnote>
  <w:footnote w:id="178">
    <w:p w:rsidR="00157EF6" w:rsidRPr="00212D57" w:rsidRDefault="00157EF6" w:rsidP="00AB5DB4">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212D57">
        <w:rPr>
          <w:szCs w:val="22"/>
        </w:rPr>
        <w:t>三門：蜫勒門、阿毘曇門、空門</w:t>
      </w:r>
      <w:r w:rsidRPr="00212D57">
        <w:rPr>
          <w:rFonts w:hint="eastAsia"/>
          <w:szCs w:val="22"/>
        </w:rPr>
        <w:t>。</w:t>
      </w:r>
      <w:r w:rsidRPr="00212D57">
        <w:rPr>
          <w:szCs w:val="22"/>
        </w:rPr>
        <w:t>參見《大智度論》卷</w:t>
      </w:r>
      <w:r w:rsidRPr="00761EF3">
        <w:rPr>
          <w:szCs w:val="22"/>
        </w:rPr>
        <w:t>18</w:t>
      </w:r>
      <w:r w:rsidRPr="00212D57">
        <w:rPr>
          <w:szCs w:val="22"/>
        </w:rPr>
        <w:t>（大正</w:t>
      </w:r>
      <w:r w:rsidRPr="00761EF3">
        <w:rPr>
          <w:szCs w:val="22"/>
        </w:rPr>
        <w:t>25</w:t>
      </w:r>
      <w:r w:rsidRPr="00212D57">
        <w:rPr>
          <w:szCs w:val="22"/>
        </w:rPr>
        <w:t>，</w:t>
      </w:r>
      <w:r w:rsidRPr="00761EF3">
        <w:rPr>
          <w:szCs w:val="22"/>
        </w:rPr>
        <w:t>192a29</w:t>
      </w:r>
      <w:r w:rsidRPr="00212D57">
        <w:rPr>
          <w:szCs w:val="22"/>
        </w:rPr>
        <w:t>-</w:t>
      </w:r>
      <w:r w:rsidRPr="00761EF3">
        <w:rPr>
          <w:szCs w:val="22"/>
        </w:rPr>
        <w:t>194b1</w:t>
      </w:r>
      <w:r w:rsidRPr="00212D57">
        <w:rPr>
          <w:szCs w:val="22"/>
        </w:rPr>
        <w:t>）</w:t>
      </w:r>
      <w:r w:rsidRPr="00212D57">
        <w:rPr>
          <w:rFonts w:hint="eastAsia"/>
          <w:szCs w:val="22"/>
        </w:rPr>
        <w:t>。</w:t>
      </w:r>
    </w:p>
    <w:p w:rsidR="00157EF6" w:rsidRPr="00212D57" w:rsidRDefault="00157EF6" w:rsidP="00AB5DB4">
      <w:pPr>
        <w:pStyle w:val="a5"/>
        <w:ind w:leftChars="105" w:left="79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w:t>
      </w:r>
      <w:r w:rsidRPr="00F00F2D">
        <w:rPr>
          <w:spacing w:val="-4"/>
          <w:szCs w:val="22"/>
        </w:rPr>
        <w:t>蜫勒門</w:t>
      </w:r>
      <w:r w:rsidRPr="00F00F2D">
        <w:rPr>
          <w:rFonts w:hint="eastAsia"/>
          <w:spacing w:val="-4"/>
          <w:szCs w:val="22"/>
        </w:rPr>
        <w:t>，</w:t>
      </w:r>
      <w:r w:rsidR="009160B5">
        <w:rPr>
          <w:rFonts w:hint="eastAsia"/>
          <w:spacing w:val="-4"/>
          <w:szCs w:val="22"/>
        </w:rPr>
        <w:t>參見：印</w:t>
      </w:r>
      <w:r w:rsidRPr="00F00F2D">
        <w:rPr>
          <w:rFonts w:hint="eastAsia"/>
          <w:spacing w:val="-4"/>
          <w:szCs w:val="22"/>
        </w:rPr>
        <w:t>順法師，《說一切有部為主的論書與論師之研究》，</w:t>
      </w:r>
      <w:r w:rsidRPr="00F00F2D">
        <w:rPr>
          <w:rFonts w:hint="eastAsia"/>
          <w:spacing w:val="-4"/>
          <w:szCs w:val="22"/>
        </w:rPr>
        <w:t>pp.15-18</w:t>
      </w:r>
      <w:r w:rsidRPr="00F00F2D">
        <w:rPr>
          <w:rFonts w:hint="eastAsia"/>
          <w:spacing w:val="-4"/>
          <w:szCs w:val="22"/>
        </w:rPr>
        <w:t>。</w:t>
      </w:r>
    </w:p>
  </w:footnote>
  <w:footnote w:id="179">
    <w:p w:rsidR="007C48C2" w:rsidRPr="00212D57" w:rsidRDefault="007C48C2" w:rsidP="007C48C2">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212D57">
        <w:rPr>
          <w:szCs w:val="22"/>
        </w:rPr>
        <w:t>《大智度論》卷</w:t>
      </w:r>
      <w:r w:rsidRPr="00761EF3">
        <w:rPr>
          <w:szCs w:val="22"/>
        </w:rPr>
        <w:t>18</w:t>
      </w:r>
      <w:r w:rsidR="007B0351">
        <w:rPr>
          <w:rFonts w:hint="eastAsia"/>
          <w:color w:val="FF0000"/>
          <w:szCs w:val="22"/>
          <w:highlight w:val="yellow"/>
        </w:rPr>
        <w:t>釋</w:t>
      </w:r>
      <w:r w:rsidR="007B0351" w:rsidRPr="007B0351">
        <w:rPr>
          <w:color w:val="FF0000"/>
          <w:szCs w:val="22"/>
          <w:highlight w:val="yellow"/>
        </w:rPr>
        <w:t>〈</w:t>
      </w:r>
      <w:r w:rsidR="007B0351" w:rsidRPr="007B0351">
        <w:rPr>
          <w:color w:val="FF0000"/>
          <w:szCs w:val="22"/>
          <w:highlight w:val="yellow"/>
        </w:rPr>
        <w:t xml:space="preserve">1 </w:t>
      </w:r>
      <w:r w:rsidR="007B0351" w:rsidRPr="007B0351">
        <w:rPr>
          <w:color w:val="FF0000"/>
          <w:szCs w:val="22"/>
          <w:highlight w:val="yellow"/>
        </w:rPr>
        <w:t>序品〉</w:t>
      </w:r>
      <w:r w:rsidRPr="00212D57">
        <w:rPr>
          <w:szCs w:val="22"/>
        </w:rPr>
        <w:t>（大正</w:t>
      </w:r>
      <w:r w:rsidRPr="00761EF3">
        <w:rPr>
          <w:szCs w:val="22"/>
        </w:rPr>
        <w:t>25</w:t>
      </w:r>
      <w:r w:rsidRPr="00212D57">
        <w:rPr>
          <w:szCs w:val="22"/>
        </w:rPr>
        <w:t>，</w:t>
      </w:r>
      <w:r w:rsidRPr="00761EF3">
        <w:rPr>
          <w:szCs w:val="22"/>
        </w:rPr>
        <w:t>192c21</w:t>
      </w:r>
      <w:r w:rsidRPr="00212D57">
        <w:rPr>
          <w:szCs w:val="22"/>
        </w:rPr>
        <w:t>-</w:t>
      </w:r>
      <w:r w:rsidRPr="00761EF3">
        <w:rPr>
          <w:szCs w:val="22"/>
        </w:rPr>
        <w:t>193c1</w:t>
      </w:r>
      <w:r w:rsidRPr="00212D57">
        <w:rPr>
          <w:szCs w:val="22"/>
        </w:rPr>
        <w:t>）：</w:t>
      </w:r>
    </w:p>
    <w:p w:rsidR="007C48C2" w:rsidRDefault="007C48C2" w:rsidP="007C48C2">
      <w:pPr>
        <w:pStyle w:val="a5"/>
        <w:ind w:leftChars="335" w:left="804"/>
        <w:jc w:val="both"/>
        <w:rPr>
          <w:rFonts w:eastAsia="標楷體"/>
          <w:szCs w:val="22"/>
        </w:rPr>
      </w:pPr>
      <w:r w:rsidRPr="004A3AF1">
        <w:rPr>
          <w:rFonts w:ascii="標楷體" w:eastAsia="標楷體" w:hAnsi="標楷體" w:hint="eastAsia"/>
          <w:b/>
          <w:bCs/>
          <w:color w:val="FF0000"/>
          <w:kern w:val="0"/>
          <w:highlight w:val="yellow"/>
        </w:rPr>
        <w:t>「</w:t>
      </w:r>
      <w:r w:rsidRPr="004A3AF1">
        <w:rPr>
          <w:rFonts w:eastAsia="標楷體"/>
          <w:b/>
          <w:szCs w:val="22"/>
        </w:rPr>
        <w:t>空門</w:t>
      </w:r>
      <w:r w:rsidRPr="004A3AF1">
        <w:rPr>
          <w:rFonts w:ascii="標楷體" w:eastAsia="標楷體" w:hAnsi="標楷體" w:hint="eastAsia"/>
          <w:b/>
          <w:bCs/>
          <w:color w:val="FF0000"/>
          <w:kern w:val="0"/>
          <w:highlight w:val="yellow"/>
        </w:rPr>
        <w:t>」</w:t>
      </w:r>
      <w:r w:rsidRPr="00212D57">
        <w:rPr>
          <w:rFonts w:eastAsia="標楷體"/>
          <w:b/>
          <w:szCs w:val="22"/>
        </w:rPr>
        <w:t>者，生空、法空</w:t>
      </w:r>
      <w:r w:rsidRPr="00212D57">
        <w:rPr>
          <w:rFonts w:eastAsia="標楷體"/>
          <w:szCs w:val="22"/>
        </w:rPr>
        <w:t>。</w:t>
      </w:r>
    </w:p>
    <w:p w:rsidR="007C48C2" w:rsidRPr="00212D57" w:rsidRDefault="007C48C2" w:rsidP="007C48C2">
      <w:pPr>
        <w:pStyle w:val="a5"/>
        <w:ind w:leftChars="335" w:left="804"/>
        <w:jc w:val="both"/>
        <w:rPr>
          <w:rFonts w:eastAsia="標楷體"/>
          <w:szCs w:val="22"/>
        </w:rPr>
      </w:pPr>
      <w:r w:rsidRPr="004A3AF1">
        <w:rPr>
          <w:rFonts w:eastAsia="標楷體"/>
          <w:szCs w:val="22"/>
          <w:highlight w:val="yellow"/>
        </w:rPr>
        <w:t>如</w:t>
      </w:r>
      <w:r w:rsidRPr="00212D57">
        <w:rPr>
          <w:rFonts w:eastAsia="標楷體"/>
          <w:b/>
          <w:szCs w:val="22"/>
        </w:rPr>
        <w:t>《頻婆娑羅王迎經》</w:t>
      </w:r>
      <w:bookmarkStart w:id="30" w:name="0192c22"/>
      <w:bookmarkEnd w:id="30"/>
      <w:r w:rsidRPr="00212D57">
        <w:rPr>
          <w:rFonts w:eastAsia="標楷體"/>
          <w:szCs w:val="22"/>
        </w:rPr>
        <w:t>中，佛告大王：「色生時但空生，色滅時但空</w:t>
      </w:r>
      <w:bookmarkStart w:id="31" w:name="0192c23"/>
      <w:bookmarkEnd w:id="31"/>
      <w:r w:rsidRPr="00212D57">
        <w:rPr>
          <w:rFonts w:eastAsia="標楷體"/>
          <w:szCs w:val="22"/>
        </w:rPr>
        <w:t>滅</w:t>
      </w:r>
      <w:r>
        <w:rPr>
          <w:rFonts w:ascii="標楷體" w:eastAsia="標楷體" w:hAnsi="標楷體" w:hint="eastAsia"/>
          <w:color w:val="FF0000"/>
          <w:spacing w:val="-4"/>
          <w:kern w:val="0"/>
          <w:highlight w:val="yellow"/>
        </w:rPr>
        <w:t>；</w:t>
      </w:r>
      <w:r w:rsidRPr="00212D57">
        <w:rPr>
          <w:rFonts w:eastAsia="標楷體"/>
          <w:szCs w:val="22"/>
        </w:rPr>
        <w:t>諸行生時但空生，滅時但空滅。是中無吾</w:t>
      </w:r>
      <w:bookmarkStart w:id="32" w:name="0192c24"/>
      <w:bookmarkEnd w:id="32"/>
      <w:r>
        <w:rPr>
          <w:rFonts w:eastAsia="標楷體"/>
          <w:szCs w:val="22"/>
        </w:rPr>
        <w:t>我</w:t>
      </w:r>
      <w:r>
        <w:rPr>
          <w:rFonts w:ascii="標楷體" w:eastAsia="標楷體" w:hAnsi="標楷體" w:hint="eastAsia"/>
          <w:color w:val="FF0000"/>
          <w:spacing w:val="-4"/>
          <w:kern w:val="0"/>
          <w:highlight w:val="yellow"/>
        </w:rPr>
        <w:t>、</w:t>
      </w:r>
      <w:r w:rsidRPr="00212D57">
        <w:rPr>
          <w:rFonts w:eastAsia="標楷體"/>
          <w:szCs w:val="22"/>
        </w:rPr>
        <w:t>無人、無神</w:t>
      </w:r>
      <w:r>
        <w:rPr>
          <w:rFonts w:ascii="標楷體" w:eastAsia="標楷體" w:hAnsi="標楷體" w:hint="eastAsia"/>
          <w:color w:val="FF0000"/>
          <w:kern w:val="0"/>
          <w:highlight w:val="yellow"/>
        </w:rPr>
        <w:t>。</w:t>
      </w:r>
      <w:r w:rsidRPr="00212D57">
        <w:rPr>
          <w:rFonts w:eastAsia="標楷體"/>
          <w:szCs w:val="22"/>
        </w:rPr>
        <w:t>無人從今世至後世，除因</w:t>
      </w:r>
      <w:bookmarkStart w:id="33" w:name="0192c25"/>
      <w:bookmarkEnd w:id="33"/>
      <w:r w:rsidRPr="00212D57">
        <w:rPr>
          <w:rFonts w:eastAsia="標楷體"/>
          <w:szCs w:val="22"/>
        </w:rPr>
        <w:t>緣和合名字等眾生</w:t>
      </w:r>
      <w:r>
        <w:rPr>
          <w:rFonts w:ascii="標楷體" w:eastAsia="標楷體" w:hAnsi="標楷體" w:hint="eastAsia"/>
          <w:color w:val="FF0000"/>
          <w:kern w:val="0"/>
          <w:highlight w:val="yellow"/>
        </w:rPr>
        <w:t>。</w:t>
      </w:r>
      <w:r w:rsidRPr="00212D57">
        <w:rPr>
          <w:rFonts w:eastAsia="標楷體"/>
          <w:szCs w:val="22"/>
        </w:rPr>
        <w:t>凡夫愚人逐名求實。」</w:t>
      </w:r>
      <w:r w:rsidRPr="004F3CD4">
        <w:rPr>
          <w:rFonts w:eastAsia="標楷體" w:hint="eastAsia"/>
          <w:szCs w:val="22"/>
          <w:shd w:val="pct15" w:color="auto" w:fill="FFFFFF"/>
        </w:rPr>
        <w:t>*</w:t>
      </w:r>
      <w:r w:rsidRPr="004F3CD4">
        <w:rPr>
          <w:rFonts w:eastAsia="標楷體" w:hint="eastAsia"/>
          <w:szCs w:val="22"/>
          <w:shd w:val="pct15" w:color="auto" w:fill="FFFFFF"/>
          <w:vertAlign w:val="superscript"/>
        </w:rPr>
        <w:t>1</w:t>
      </w:r>
      <w:r w:rsidRPr="00212D57">
        <w:rPr>
          <w:rFonts w:eastAsia="標楷體"/>
          <w:szCs w:val="22"/>
        </w:rPr>
        <w:t>如</w:t>
      </w:r>
      <w:bookmarkStart w:id="34" w:name="0192c26"/>
      <w:bookmarkEnd w:id="34"/>
      <w:r w:rsidRPr="00212D57">
        <w:rPr>
          <w:rFonts w:eastAsia="標楷體"/>
          <w:szCs w:val="22"/>
        </w:rPr>
        <w:t>是等經中，佛說</w:t>
      </w:r>
      <w:r>
        <w:rPr>
          <w:rFonts w:ascii="標楷體" w:eastAsia="標楷體" w:hAnsi="標楷體" w:hint="eastAsia"/>
          <w:bCs/>
          <w:color w:val="FF0000"/>
          <w:kern w:val="0"/>
          <w:highlight w:val="yellow"/>
        </w:rPr>
        <w:t>「</w:t>
      </w:r>
      <w:r w:rsidRPr="00212D57">
        <w:rPr>
          <w:rFonts w:eastAsia="標楷體"/>
          <w:b/>
          <w:szCs w:val="22"/>
        </w:rPr>
        <w:t>生空</w:t>
      </w:r>
      <w:r>
        <w:rPr>
          <w:rFonts w:ascii="標楷體" w:eastAsia="標楷體" w:hAnsi="標楷體" w:hint="eastAsia"/>
          <w:bCs/>
          <w:color w:val="FF0000"/>
          <w:kern w:val="0"/>
          <w:highlight w:val="yellow"/>
        </w:rPr>
        <w:t>」</w:t>
      </w:r>
      <w:r w:rsidRPr="00212D57">
        <w:rPr>
          <w:rFonts w:eastAsia="標楷體"/>
          <w:szCs w:val="22"/>
        </w:rPr>
        <w:t>。</w:t>
      </w:r>
    </w:p>
    <w:p w:rsidR="007C48C2" w:rsidRPr="00212D57" w:rsidRDefault="007C48C2" w:rsidP="007C48C2">
      <w:pPr>
        <w:pStyle w:val="a5"/>
        <w:ind w:leftChars="335" w:left="804"/>
        <w:jc w:val="both"/>
        <w:rPr>
          <w:rFonts w:eastAsia="標楷體"/>
          <w:szCs w:val="22"/>
        </w:rPr>
      </w:pPr>
      <w:r>
        <w:rPr>
          <w:rFonts w:ascii="標楷體" w:eastAsia="標楷體" w:hAnsi="標楷體" w:hint="eastAsia"/>
          <w:bCs/>
          <w:color w:val="FF0000"/>
          <w:kern w:val="0"/>
          <w:highlight w:val="yellow"/>
        </w:rPr>
        <w:t>「</w:t>
      </w:r>
      <w:r w:rsidRPr="00212D57">
        <w:rPr>
          <w:rFonts w:eastAsia="標楷體"/>
          <w:b/>
          <w:szCs w:val="22"/>
        </w:rPr>
        <w:t>法空</w:t>
      </w:r>
      <w:r>
        <w:rPr>
          <w:rFonts w:ascii="標楷體" w:eastAsia="標楷體" w:hAnsi="標楷體" w:hint="eastAsia"/>
          <w:bCs/>
          <w:color w:val="FF0000"/>
          <w:kern w:val="0"/>
          <w:highlight w:val="yellow"/>
        </w:rPr>
        <w:t>」</w:t>
      </w:r>
      <w:r w:rsidRPr="00212D57">
        <w:rPr>
          <w:rFonts w:eastAsia="標楷體"/>
          <w:szCs w:val="22"/>
        </w:rPr>
        <w:t>者，如</w:t>
      </w:r>
      <w:r w:rsidRPr="00212D57">
        <w:rPr>
          <w:rFonts w:eastAsia="標楷體"/>
          <w:b/>
          <w:szCs w:val="22"/>
        </w:rPr>
        <w:t>《佛說大空</w:t>
      </w:r>
      <w:bookmarkStart w:id="35" w:name="0192c27"/>
      <w:bookmarkEnd w:id="35"/>
      <w:r w:rsidRPr="00212D57">
        <w:rPr>
          <w:rFonts w:eastAsia="標楷體"/>
          <w:b/>
          <w:szCs w:val="22"/>
        </w:rPr>
        <w:t>經》</w:t>
      </w:r>
      <w:r w:rsidRPr="00212D57">
        <w:rPr>
          <w:rFonts w:eastAsia="標楷體"/>
          <w:szCs w:val="22"/>
        </w:rPr>
        <w:t>中，十二因緣，無明乃至老死：若有人言「是</w:t>
      </w:r>
      <w:bookmarkStart w:id="36" w:name="0192c28"/>
      <w:bookmarkEnd w:id="36"/>
      <w:r w:rsidRPr="00212D57">
        <w:rPr>
          <w:rFonts w:eastAsia="標楷體"/>
          <w:szCs w:val="22"/>
        </w:rPr>
        <w:t>老死」</w:t>
      </w:r>
      <w:r>
        <w:rPr>
          <w:rFonts w:ascii="標楷體" w:eastAsia="標楷體" w:hAnsi="標楷體" w:hint="eastAsia"/>
          <w:color w:val="FF0000"/>
          <w:spacing w:val="-4"/>
          <w:kern w:val="0"/>
          <w:highlight w:val="yellow"/>
        </w:rPr>
        <w:t>、</w:t>
      </w:r>
      <w:r w:rsidRPr="00212D57">
        <w:rPr>
          <w:rFonts w:eastAsia="標楷體"/>
          <w:szCs w:val="22"/>
        </w:rPr>
        <w:t>若言「誰老死」，皆是邪見</w:t>
      </w:r>
      <w:r>
        <w:rPr>
          <w:rFonts w:ascii="標楷體" w:eastAsia="標楷體" w:hAnsi="標楷體" w:hint="eastAsia"/>
          <w:color w:val="FF0000"/>
          <w:spacing w:val="-4"/>
          <w:kern w:val="0"/>
          <w:highlight w:val="yellow"/>
        </w:rPr>
        <w:t>；</w:t>
      </w:r>
      <w:r w:rsidRPr="00212D57">
        <w:rPr>
          <w:rFonts w:eastAsia="標楷體"/>
          <w:szCs w:val="22"/>
        </w:rPr>
        <w:t>生、有、取、愛、受、觸、</w:t>
      </w:r>
      <w:bookmarkStart w:id="37" w:name="0192c29"/>
      <w:bookmarkEnd w:id="37"/>
      <w:r w:rsidRPr="00212D57">
        <w:rPr>
          <w:rFonts w:eastAsia="標楷體"/>
          <w:szCs w:val="22"/>
        </w:rPr>
        <w:t>六入、名色、識、行、無明，亦如是。若有人言「身即</w:t>
      </w:r>
      <w:bookmarkStart w:id="38" w:name="0193a01"/>
      <w:bookmarkEnd w:id="38"/>
      <w:r w:rsidRPr="00212D57">
        <w:rPr>
          <w:rFonts w:eastAsia="標楷體"/>
          <w:szCs w:val="22"/>
        </w:rPr>
        <w:t>是神」</w:t>
      </w:r>
      <w:r>
        <w:rPr>
          <w:rFonts w:ascii="標楷體" w:eastAsia="標楷體" w:hAnsi="標楷體" w:hint="eastAsia"/>
          <w:color w:val="FF0000"/>
          <w:spacing w:val="-4"/>
          <w:kern w:val="0"/>
          <w:highlight w:val="yellow"/>
        </w:rPr>
        <w:t>、</w:t>
      </w:r>
      <w:r w:rsidRPr="00212D57">
        <w:rPr>
          <w:rFonts w:eastAsia="標楷體"/>
          <w:szCs w:val="22"/>
        </w:rPr>
        <w:t>若言「身異於神」，是二雖異，同為邪見。</w:t>
      </w:r>
      <w:bookmarkStart w:id="39" w:name="0193a02"/>
      <w:bookmarkEnd w:id="39"/>
      <w:r w:rsidRPr="00212D57">
        <w:rPr>
          <w:rFonts w:eastAsia="標楷體"/>
          <w:szCs w:val="22"/>
        </w:rPr>
        <w:t>佛言：「身即是神，如是邪見，非我弟子；身異</w:t>
      </w:r>
      <w:bookmarkStart w:id="40" w:name="0193a03"/>
      <w:bookmarkEnd w:id="40"/>
      <w:r w:rsidRPr="00212D57">
        <w:rPr>
          <w:rFonts w:eastAsia="標楷體"/>
          <w:szCs w:val="22"/>
        </w:rPr>
        <w:t>於神，亦是邪見，非我弟子。」</w:t>
      </w:r>
      <w:r w:rsidRPr="004F3CD4">
        <w:rPr>
          <w:rFonts w:eastAsia="標楷體" w:hint="eastAsia"/>
          <w:szCs w:val="22"/>
          <w:shd w:val="pct15" w:color="auto" w:fill="FFFFFF"/>
        </w:rPr>
        <w:t>*</w:t>
      </w:r>
      <w:r>
        <w:rPr>
          <w:rFonts w:eastAsia="標楷體" w:hint="eastAsia"/>
          <w:szCs w:val="22"/>
          <w:shd w:val="pct15" w:color="auto" w:fill="FFFFFF"/>
          <w:vertAlign w:val="superscript"/>
        </w:rPr>
        <w:t>2</w:t>
      </w:r>
      <w:r w:rsidRPr="00212D57">
        <w:rPr>
          <w:rFonts w:eastAsia="標楷體"/>
          <w:szCs w:val="22"/>
        </w:rPr>
        <w:t>是經中，佛說</w:t>
      </w:r>
      <w:r>
        <w:rPr>
          <w:rFonts w:ascii="標楷體" w:eastAsia="標楷體" w:hAnsi="標楷體" w:hint="eastAsia"/>
          <w:bCs/>
          <w:color w:val="FF0000"/>
          <w:kern w:val="0"/>
          <w:highlight w:val="yellow"/>
        </w:rPr>
        <w:t>「</w:t>
      </w:r>
      <w:r w:rsidRPr="004A3AF1">
        <w:rPr>
          <w:rFonts w:eastAsia="標楷體"/>
          <w:b/>
          <w:szCs w:val="22"/>
        </w:rPr>
        <w:t>法</w:t>
      </w:r>
      <w:bookmarkStart w:id="41" w:name="0193a04"/>
      <w:bookmarkEnd w:id="41"/>
      <w:r w:rsidRPr="004A3AF1">
        <w:rPr>
          <w:rFonts w:eastAsia="標楷體"/>
          <w:b/>
          <w:szCs w:val="22"/>
        </w:rPr>
        <w:t>空</w:t>
      </w:r>
      <w:r>
        <w:rPr>
          <w:rFonts w:ascii="標楷體" w:eastAsia="標楷體" w:hAnsi="標楷體" w:hint="eastAsia"/>
          <w:bCs/>
          <w:color w:val="FF0000"/>
          <w:kern w:val="0"/>
          <w:highlight w:val="yellow"/>
        </w:rPr>
        <w:t>」</w:t>
      </w:r>
      <w:r w:rsidRPr="00212D57">
        <w:rPr>
          <w:rFonts w:eastAsia="標楷體"/>
          <w:szCs w:val="22"/>
        </w:rPr>
        <w:t>。若說「誰老死」，當知是虛妄</w:t>
      </w:r>
      <w:r>
        <w:rPr>
          <w:rFonts w:ascii="標楷體" w:eastAsia="標楷體" w:hAnsi="標楷體" w:hint="eastAsia"/>
          <w:color w:val="FF0000"/>
          <w:kern w:val="0"/>
          <w:highlight w:val="yellow"/>
        </w:rPr>
        <w:t>──</w:t>
      </w:r>
      <w:r w:rsidRPr="00212D57">
        <w:rPr>
          <w:rFonts w:eastAsia="標楷體"/>
          <w:szCs w:val="22"/>
        </w:rPr>
        <w:t>是名</w:t>
      </w:r>
      <w:r>
        <w:rPr>
          <w:rFonts w:ascii="標楷體" w:eastAsia="標楷體" w:hAnsi="標楷體" w:hint="eastAsia"/>
          <w:bCs/>
          <w:color w:val="FF0000"/>
          <w:kern w:val="0"/>
          <w:highlight w:val="yellow"/>
        </w:rPr>
        <w:t>「</w:t>
      </w:r>
      <w:r w:rsidRPr="004A3AF1">
        <w:rPr>
          <w:rFonts w:eastAsia="標楷體"/>
          <w:b/>
          <w:szCs w:val="22"/>
        </w:rPr>
        <w:t>生空</w:t>
      </w:r>
      <w:r>
        <w:rPr>
          <w:rFonts w:ascii="標楷體" w:eastAsia="標楷體" w:hAnsi="標楷體" w:hint="eastAsia"/>
          <w:bCs/>
          <w:color w:val="FF0000"/>
          <w:kern w:val="0"/>
          <w:highlight w:val="yellow"/>
        </w:rPr>
        <w:t>」</w:t>
      </w:r>
      <w:r w:rsidRPr="00212D57">
        <w:rPr>
          <w:rFonts w:eastAsia="標楷體"/>
          <w:szCs w:val="22"/>
        </w:rPr>
        <w:t>；若</w:t>
      </w:r>
      <w:bookmarkStart w:id="42" w:name="0193a05"/>
      <w:bookmarkEnd w:id="42"/>
      <w:r w:rsidRPr="00212D57">
        <w:rPr>
          <w:rFonts w:eastAsia="標楷體"/>
          <w:szCs w:val="22"/>
        </w:rPr>
        <w:t>說「是老死」，當知是虛妄</w:t>
      </w:r>
      <w:r>
        <w:rPr>
          <w:rFonts w:ascii="標楷體" w:eastAsia="標楷體" w:hAnsi="標楷體" w:hint="eastAsia"/>
          <w:color w:val="FF0000"/>
          <w:kern w:val="0"/>
          <w:highlight w:val="yellow"/>
        </w:rPr>
        <w:t>──</w:t>
      </w:r>
      <w:r w:rsidRPr="00212D57">
        <w:rPr>
          <w:rFonts w:eastAsia="標楷體"/>
          <w:szCs w:val="22"/>
        </w:rPr>
        <w:t>是名</w:t>
      </w:r>
      <w:r>
        <w:rPr>
          <w:rFonts w:ascii="標楷體" w:eastAsia="標楷體" w:hAnsi="標楷體" w:hint="eastAsia"/>
          <w:bCs/>
          <w:color w:val="FF0000"/>
          <w:kern w:val="0"/>
          <w:highlight w:val="yellow"/>
        </w:rPr>
        <w:t>「</w:t>
      </w:r>
      <w:r w:rsidRPr="00212D57">
        <w:rPr>
          <w:rFonts w:eastAsia="標楷體"/>
          <w:szCs w:val="22"/>
        </w:rPr>
        <w:t>法空</w:t>
      </w:r>
      <w:r>
        <w:rPr>
          <w:rFonts w:ascii="標楷體" w:eastAsia="標楷體" w:hAnsi="標楷體" w:hint="eastAsia"/>
          <w:bCs/>
          <w:color w:val="FF0000"/>
          <w:kern w:val="0"/>
          <w:highlight w:val="yellow"/>
        </w:rPr>
        <w:t>」</w:t>
      </w:r>
      <w:r w:rsidRPr="00212D57">
        <w:rPr>
          <w:rFonts w:eastAsia="標楷體"/>
          <w:szCs w:val="22"/>
        </w:rPr>
        <w:t>。乃至無</w:t>
      </w:r>
      <w:bookmarkStart w:id="43" w:name="0193a06"/>
      <w:bookmarkEnd w:id="43"/>
      <w:r w:rsidRPr="00212D57">
        <w:rPr>
          <w:rFonts w:eastAsia="標楷體"/>
          <w:szCs w:val="22"/>
        </w:rPr>
        <w:t>明</w:t>
      </w:r>
      <w:r>
        <w:rPr>
          <w:rFonts w:ascii="標楷體" w:eastAsia="標楷體" w:hAnsi="標楷體" w:hint="eastAsia"/>
          <w:color w:val="FF0000"/>
          <w:kern w:val="0"/>
          <w:highlight w:val="yellow"/>
        </w:rPr>
        <w:t>，</w:t>
      </w:r>
      <w:r w:rsidRPr="00212D57">
        <w:rPr>
          <w:rFonts w:eastAsia="標楷體"/>
          <w:szCs w:val="22"/>
        </w:rPr>
        <w:t>亦如是。</w:t>
      </w:r>
    </w:p>
    <w:p w:rsidR="007C48C2" w:rsidRPr="00212D57" w:rsidRDefault="007C48C2" w:rsidP="007C48C2">
      <w:pPr>
        <w:pStyle w:val="a5"/>
        <w:ind w:leftChars="335" w:left="804"/>
        <w:jc w:val="both"/>
        <w:rPr>
          <w:rFonts w:eastAsia="標楷體"/>
          <w:szCs w:val="22"/>
        </w:rPr>
      </w:pPr>
      <w:r w:rsidRPr="00212D57">
        <w:rPr>
          <w:rFonts w:eastAsia="標楷體"/>
          <w:szCs w:val="22"/>
        </w:rPr>
        <w:t>復次，</w:t>
      </w:r>
      <w:r w:rsidRPr="00212D57">
        <w:rPr>
          <w:rFonts w:eastAsia="標楷體"/>
          <w:b/>
          <w:szCs w:val="22"/>
        </w:rPr>
        <w:t>《佛說梵網經》</w:t>
      </w:r>
      <w:r w:rsidRPr="00212D57">
        <w:rPr>
          <w:rFonts w:eastAsia="標楷體"/>
          <w:szCs w:val="22"/>
        </w:rPr>
        <w:t>中，六十二見：若</w:t>
      </w:r>
      <w:bookmarkStart w:id="44" w:name="0193a07"/>
      <w:bookmarkEnd w:id="44"/>
      <w:r w:rsidRPr="00212D57">
        <w:rPr>
          <w:rFonts w:eastAsia="標楷體"/>
          <w:szCs w:val="22"/>
        </w:rPr>
        <w:t>有人言「神常，世間亦常」，是為邪見；若言「神</w:t>
      </w:r>
      <w:bookmarkStart w:id="45" w:name="0193a08"/>
      <w:bookmarkEnd w:id="45"/>
      <w:r w:rsidRPr="00212D57">
        <w:rPr>
          <w:rFonts w:eastAsia="標楷體"/>
          <w:szCs w:val="22"/>
        </w:rPr>
        <w:t>無常，世間無常」，是亦邪見；「神及世間常亦無</w:t>
      </w:r>
      <w:bookmarkStart w:id="46" w:name="0193a09"/>
      <w:bookmarkEnd w:id="46"/>
      <w:r w:rsidRPr="00212D57">
        <w:rPr>
          <w:rFonts w:eastAsia="標楷體"/>
          <w:szCs w:val="22"/>
        </w:rPr>
        <w:t>常」、「神及世間非常亦非非常」，皆是邪見。</w:t>
      </w:r>
      <w:r w:rsidRPr="004F3CD4">
        <w:rPr>
          <w:rFonts w:eastAsia="標楷體" w:hint="eastAsia"/>
          <w:szCs w:val="22"/>
          <w:shd w:val="pct15" w:color="auto" w:fill="FFFFFF"/>
        </w:rPr>
        <w:t>*</w:t>
      </w:r>
      <w:r>
        <w:rPr>
          <w:rFonts w:eastAsia="標楷體" w:hint="eastAsia"/>
          <w:szCs w:val="22"/>
          <w:shd w:val="pct15" w:color="auto" w:fill="FFFFFF"/>
          <w:vertAlign w:val="superscript"/>
        </w:rPr>
        <w:t>3</w:t>
      </w:r>
      <w:r w:rsidRPr="00212D57">
        <w:rPr>
          <w:rFonts w:eastAsia="標楷體"/>
          <w:szCs w:val="22"/>
        </w:rPr>
        <w:t>以是</w:t>
      </w:r>
      <w:bookmarkStart w:id="47" w:name="0193a10"/>
      <w:bookmarkEnd w:id="47"/>
      <w:r w:rsidRPr="004F3CD4">
        <w:rPr>
          <w:rFonts w:eastAsia="標楷體"/>
          <w:szCs w:val="22"/>
          <w:highlight w:val="yellow"/>
        </w:rPr>
        <w:t>故知</w:t>
      </w:r>
      <w:r>
        <w:rPr>
          <w:rFonts w:ascii="標楷體" w:eastAsia="標楷體" w:hAnsi="標楷體" w:hint="eastAsia"/>
          <w:color w:val="FF0000"/>
          <w:spacing w:val="-4"/>
          <w:kern w:val="0"/>
          <w:highlight w:val="yellow"/>
        </w:rPr>
        <w:t>：</w:t>
      </w:r>
      <w:r w:rsidRPr="00212D57">
        <w:rPr>
          <w:rFonts w:eastAsia="標楷體"/>
          <w:szCs w:val="22"/>
        </w:rPr>
        <w:t>諸法皆空，是為實。</w:t>
      </w:r>
      <w:r w:rsidRPr="004A3AF1">
        <w:rPr>
          <w:rFonts w:ascii="標楷體" w:eastAsia="標楷體" w:hAnsi="標楷體" w:hint="eastAsia"/>
          <w:szCs w:val="22"/>
          <w:shd w:val="pct15" w:color="auto" w:fill="FFFFFF"/>
        </w:rPr>
        <w:t>……</w:t>
      </w:r>
    </w:p>
    <w:p w:rsidR="007C48C2" w:rsidRPr="00212D57" w:rsidRDefault="007C48C2" w:rsidP="007C48C2">
      <w:pPr>
        <w:pStyle w:val="a5"/>
        <w:ind w:leftChars="335" w:left="804"/>
        <w:jc w:val="both"/>
        <w:rPr>
          <w:rFonts w:ascii="標楷體" w:eastAsia="標楷體" w:hAnsi="標楷體"/>
          <w:szCs w:val="22"/>
        </w:rPr>
      </w:pPr>
      <w:r w:rsidRPr="00212D57">
        <w:rPr>
          <w:rFonts w:ascii="標楷體" w:eastAsia="標楷體" w:hAnsi="標楷體" w:hint="eastAsia"/>
          <w:szCs w:val="22"/>
        </w:rPr>
        <w:t>是時</w:t>
      </w:r>
      <w:r>
        <w:rPr>
          <w:rFonts w:ascii="標楷體" w:eastAsia="標楷體" w:hAnsi="標楷體" w:hint="eastAsia"/>
          <w:color w:val="FF0000"/>
          <w:kern w:val="0"/>
          <w:highlight w:val="yellow"/>
        </w:rPr>
        <w:t>，</w:t>
      </w:r>
      <w:r w:rsidRPr="00212D57">
        <w:rPr>
          <w:rFonts w:ascii="標楷體" w:eastAsia="標楷體" w:hAnsi="標楷體" w:hint="eastAsia"/>
          <w:szCs w:val="22"/>
        </w:rPr>
        <w:t>佛說</w:t>
      </w:r>
      <w:r w:rsidRPr="00212D57">
        <w:rPr>
          <w:rFonts w:ascii="標楷體" w:eastAsia="標楷體" w:hAnsi="標楷體" w:hint="eastAsia"/>
          <w:b/>
          <w:szCs w:val="22"/>
        </w:rPr>
        <w:t>〈義品〉偈</w:t>
      </w:r>
      <w:r w:rsidRPr="00212D57">
        <w:rPr>
          <w:rFonts w:ascii="標楷體" w:eastAsia="標楷體" w:hAnsi="標楷體" w:hint="eastAsia"/>
          <w:szCs w:val="22"/>
        </w:rPr>
        <w:t>：</w:t>
      </w:r>
    </w:p>
    <w:p w:rsidR="007C48C2" w:rsidRPr="00212D57" w:rsidRDefault="007C48C2" w:rsidP="007C48C2">
      <w:pPr>
        <w:pStyle w:val="a5"/>
        <w:ind w:leftChars="335" w:left="804"/>
        <w:jc w:val="both"/>
        <w:rPr>
          <w:rFonts w:ascii="標楷體" w:eastAsia="標楷體" w:hAnsi="標楷體"/>
          <w:szCs w:val="22"/>
        </w:rPr>
      </w:pPr>
      <w:r w:rsidRPr="00212D57">
        <w:rPr>
          <w:rFonts w:ascii="標楷體" w:eastAsia="標楷體" w:hAnsi="標楷體" w:hint="eastAsia"/>
          <w:szCs w:val="22"/>
        </w:rPr>
        <w:t>各各謂究竟，而各自愛著，各自是非彼，是皆非究竟！</w:t>
      </w:r>
    </w:p>
    <w:p w:rsidR="007C48C2" w:rsidRPr="00212D57" w:rsidRDefault="007C48C2" w:rsidP="007C48C2">
      <w:pPr>
        <w:pStyle w:val="a5"/>
        <w:ind w:leftChars="335" w:left="804"/>
        <w:jc w:val="both"/>
        <w:rPr>
          <w:rFonts w:ascii="標楷體" w:eastAsia="標楷體" w:hAnsi="標楷體"/>
          <w:szCs w:val="22"/>
        </w:rPr>
      </w:pPr>
      <w:r w:rsidRPr="00212D57">
        <w:rPr>
          <w:rFonts w:ascii="標楷體" w:eastAsia="標楷體" w:hAnsi="標楷體" w:hint="eastAsia"/>
          <w:szCs w:val="22"/>
        </w:rPr>
        <w:t>是人入論眾，辯明義理時，各各相是非，勝負懷憂喜。</w:t>
      </w:r>
    </w:p>
    <w:p w:rsidR="007C48C2" w:rsidRPr="00212D57" w:rsidRDefault="007C48C2" w:rsidP="007C48C2">
      <w:pPr>
        <w:pStyle w:val="a5"/>
        <w:ind w:leftChars="335" w:left="804"/>
        <w:jc w:val="both"/>
        <w:rPr>
          <w:rFonts w:ascii="標楷體" w:eastAsia="標楷體" w:hAnsi="標楷體"/>
          <w:szCs w:val="22"/>
        </w:rPr>
      </w:pPr>
      <w:r w:rsidRPr="00212D57">
        <w:rPr>
          <w:rFonts w:ascii="標楷體" w:eastAsia="標楷體" w:hAnsi="標楷體" w:hint="eastAsia"/>
          <w:szCs w:val="22"/>
        </w:rPr>
        <w:t>勝者墮憍坑，負者墮憂獄；是故有智者，不隨此二法。</w:t>
      </w:r>
    </w:p>
    <w:p w:rsidR="007C48C2" w:rsidRPr="00212D57" w:rsidRDefault="007C48C2" w:rsidP="007C48C2">
      <w:pPr>
        <w:pStyle w:val="a5"/>
        <w:ind w:leftChars="335" w:left="804"/>
        <w:jc w:val="both"/>
        <w:rPr>
          <w:rFonts w:ascii="標楷體" w:eastAsia="標楷體" w:hAnsi="標楷體"/>
          <w:szCs w:val="22"/>
        </w:rPr>
      </w:pPr>
      <w:r w:rsidRPr="00212D57">
        <w:rPr>
          <w:rFonts w:ascii="標楷體" w:eastAsia="標楷體" w:hAnsi="標楷體" w:hint="eastAsia"/>
          <w:szCs w:val="22"/>
        </w:rPr>
        <w:t>論力</w:t>
      </w:r>
      <w:r>
        <w:rPr>
          <w:rFonts w:ascii="標楷體" w:eastAsia="標楷體" w:hAnsi="標楷體" w:hint="eastAsia"/>
          <w:color w:val="FF0000"/>
          <w:kern w:val="0"/>
          <w:highlight w:val="yellow"/>
        </w:rPr>
        <w:t>！</w:t>
      </w:r>
      <w:r w:rsidRPr="00212D57">
        <w:rPr>
          <w:rFonts w:ascii="標楷體" w:eastAsia="標楷體" w:hAnsi="標楷體" w:hint="eastAsia"/>
          <w:szCs w:val="22"/>
        </w:rPr>
        <w:t>汝當知</w:t>
      </w:r>
      <w:r>
        <w:rPr>
          <w:rFonts w:ascii="標楷體" w:eastAsia="標楷體" w:hAnsi="標楷體" w:hint="eastAsia"/>
          <w:color w:val="FF0000"/>
          <w:spacing w:val="-4"/>
          <w:kern w:val="0"/>
          <w:highlight w:val="yellow"/>
        </w:rPr>
        <w:t>：</w:t>
      </w:r>
      <w:r w:rsidRPr="00212D57">
        <w:rPr>
          <w:rFonts w:ascii="標楷體" w:eastAsia="標楷體" w:hAnsi="標楷體" w:hint="eastAsia"/>
          <w:szCs w:val="22"/>
        </w:rPr>
        <w:t>我諸弟子法，無虛亦無實</w:t>
      </w:r>
      <w:r>
        <w:rPr>
          <w:rFonts w:ascii="標楷體" w:eastAsia="標楷體" w:hAnsi="標楷體" w:hint="eastAsia"/>
          <w:color w:val="FF0000"/>
          <w:kern w:val="0"/>
          <w:highlight w:val="yellow"/>
        </w:rPr>
        <w:t>。</w:t>
      </w:r>
      <w:r w:rsidRPr="00212D57">
        <w:rPr>
          <w:rFonts w:ascii="標楷體" w:eastAsia="標楷體" w:hAnsi="標楷體" w:hint="eastAsia"/>
          <w:szCs w:val="22"/>
        </w:rPr>
        <w:t>汝欲何所求？</w:t>
      </w:r>
    </w:p>
    <w:p w:rsidR="007C48C2" w:rsidRPr="00212D57" w:rsidRDefault="007C48C2" w:rsidP="007C48C2">
      <w:pPr>
        <w:pStyle w:val="a5"/>
        <w:ind w:leftChars="335" w:left="804"/>
        <w:jc w:val="both"/>
        <w:rPr>
          <w:rFonts w:ascii="標楷體" w:eastAsia="標楷體" w:hAnsi="標楷體"/>
          <w:szCs w:val="22"/>
        </w:rPr>
      </w:pPr>
      <w:r w:rsidRPr="00212D57">
        <w:rPr>
          <w:rFonts w:ascii="標楷體" w:eastAsia="標楷體" w:hAnsi="標楷體" w:hint="eastAsia"/>
          <w:szCs w:val="22"/>
        </w:rPr>
        <w:t>汝欲壞我論，終已無此處，一切智難勝，適足自毀壞！</w:t>
      </w:r>
      <w:r w:rsidRPr="004F3CD4">
        <w:rPr>
          <w:rFonts w:hint="eastAsia"/>
          <w:szCs w:val="22"/>
          <w:shd w:val="pct15" w:color="auto" w:fill="FFFFFF"/>
        </w:rPr>
        <w:t>*</w:t>
      </w:r>
      <w:r w:rsidRPr="004F3CD4">
        <w:rPr>
          <w:rFonts w:hint="eastAsia"/>
          <w:szCs w:val="22"/>
          <w:shd w:val="pct15" w:color="auto" w:fill="FFFFFF"/>
          <w:vertAlign w:val="superscript"/>
        </w:rPr>
        <w:t>4</w:t>
      </w:r>
    </w:p>
    <w:p w:rsidR="007C48C2" w:rsidRPr="00212D57" w:rsidRDefault="007C48C2" w:rsidP="007C48C2">
      <w:pPr>
        <w:pStyle w:val="a5"/>
        <w:ind w:leftChars="335" w:left="804"/>
        <w:jc w:val="both"/>
        <w:rPr>
          <w:szCs w:val="22"/>
        </w:rPr>
      </w:pPr>
      <w:r w:rsidRPr="00212D57">
        <w:rPr>
          <w:rFonts w:ascii="標楷體" w:eastAsia="標楷體" w:hAnsi="標楷體" w:hint="eastAsia"/>
          <w:b/>
          <w:szCs w:val="22"/>
        </w:rPr>
        <w:t>如是等處處聲聞經</w:t>
      </w:r>
      <w:r w:rsidRPr="004A3AF1">
        <w:rPr>
          <w:rFonts w:ascii="標楷體" w:eastAsia="標楷體" w:hAnsi="標楷體" w:hint="eastAsia"/>
          <w:b/>
          <w:szCs w:val="22"/>
          <w:highlight w:val="yellow"/>
        </w:rPr>
        <w:t>中說</w:t>
      </w:r>
      <w:r w:rsidRPr="004A3AF1">
        <w:rPr>
          <w:rFonts w:ascii="標楷體" w:eastAsia="標楷體" w:hAnsi="標楷體" w:hint="eastAsia"/>
          <w:b/>
          <w:bCs/>
          <w:color w:val="FF0000"/>
          <w:kern w:val="0"/>
          <w:highlight w:val="yellow"/>
        </w:rPr>
        <w:t>「</w:t>
      </w:r>
      <w:r w:rsidRPr="004A3AF1">
        <w:rPr>
          <w:rFonts w:ascii="標楷體" w:eastAsia="標楷體" w:hAnsi="標楷體" w:hint="eastAsia"/>
          <w:b/>
          <w:szCs w:val="22"/>
        </w:rPr>
        <w:t>諸法空</w:t>
      </w:r>
      <w:r w:rsidRPr="004A3AF1">
        <w:rPr>
          <w:rFonts w:ascii="標楷體" w:eastAsia="標楷體" w:hAnsi="標楷體" w:hint="eastAsia"/>
          <w:b/>
          <w:bCs/>
          <w:color w:val="FF0000"/>
          <w:kern w:val="0"/>
          <w:highlight w:val="yellow"/>
        </w:rPr>
        <w:t>」</w:t>
      </w:r>
      <w:r w:rsidRPr="00212D57">
        <w:rPr>
          <w:rFonts w:ascii="標楷體" w:eastAsia="標楷體" w:hAnsi="標楷體" w:hint="eastAsia"/>
          <w:b/>
          <w:szCs w:val="22"/>
        </w:rPr>
        <w:t>。</w:t>
      </w:r>
    </w:p>
    <w:p w:rsidR="007C48C2" w:rsidRPr="00212D57" w:rsidRDefault="007C48C2" w:rsidP="007C48C2">
      <w:pPr>
        <w:pStyle w:val="a5"/>
        <w:ind w:leftChars="335" w:left="1024" w:hangingChars="100" w:hanging="220"/>
        <w:jc w:val="both"/>
        <w:rPr>
          <w:szCs w:val="22"/>
        </w:rPr>
      </w:pPr>
      <w:r w:rsidRPr="004F3CD4">
        <w:rPr>
          <w:rFonts w:hint="eastAsia"/>
          <w:szCs w:val="22"/>
          <w:shd w:val="pct15" w:color="auto" w:fill="FFFFFF"/>
        </w:rPr>
        <w:t>*1</w:t>
      </w:r>
      <w:r w:rsidRPr="00212D57">
        <w:rPr>
          <w:rFonts w:ascii="新細明體" w:hAnsi="新細明體"/>
          <w:szCs w:val="22"/>
        </w:rPr>
        <w:t>《頻婆娑羅王迎經》</w:t>
      </w:r>
      <w:r w:rsidRPr="00212D57">
        <w:rPr>
          <w:rFonts w:ascii="新細明體" w:hAnsi="新細明體" w:hint="eastAsia"/>
          <w:szCs w:val="22"/>
        </w:rPr>
        <w:t>，參見</w:t>
      </w:r>
      <w:r w:rsidRPr="00212D57">
        <w:rPr>
          <w:rFonts w:hint="eastAsia"/>
          <w:szCs w:val="22"/>
        </w:rPr>
        <w:t>《增壹阿含經》卷</w:t>
      </w:r>
      <w:r w:rsidRPr="00761EF3">
        <w:rPr>
          <w:rFonts w:hint="eastAsia"/>
          <w:szCs w:val="22"/>
        </w:rPr>
        <w:t>26</w:t>
      </w:r>
      <w:r w:rsidRPr="00212D57">
        <w:rPr>
          <w:rFonts w:hint="eastAsia"/>
          <w:szCs w:val="22"/>
        </w:rPr>
        <w:t>〈</w:t>
      </w:r>
      <w:r w:rsidRPr="00761EF3">
        <w:rPr>
          <w:rFonts w:hint="eastAsia"/>
          <w:szCs w:val="22"/>
        </w:rPr>
        <w:t>34</w:t>
      </w:r>
      <w:r w:rsidRPr="00212D57">
        <w:rPr>
          <w:szCs w:val="22"/>
        </w:rPr>
        <w:t xml:space="preserve"> </w:t>
      </w:r>
      <w:r w:rsidRPr="00212D57">
        <w:rPr>
          <w:rFonts w:hint="eastAsia"/>
          <w:szCs w:val="22"/>
        </w:rPr>
        <w:t>等見品〉（</w:t>
      </w:r>
      <w:r w:rsidRPr="00761EF3">
        <w:rPr>
          <w:rFonts w:hint="eastAsia"/>
          <w:szCs w:val="22"/>
        </w:rPr>
        <w:t>5</w:t>
      </w:r>
      <w:r w:rsidRPr="00212D57">
        <w:rPr>
          <w:rFonts w:hint="eastAsia"/>
          <w:szCs w:val="22"/>
        </w:rPr>
        <w:t>經）</w:t>
      </w:r>
      <w:r w:rsidRPr="00212D57">
        <w:rPr>
          <w:szCs w:val="22"/>
        </w:rPr>
        <w:t>（</w:t>
      </w:r>
      <w:r w:rsidRPr="00212D57">
        <w:rPr>
          <w:rFonts w:hint="eastAsia"/>
          <w:szCs w:val="22"/>
        </w:rPr>
        <w:t>大正</w:t>
      </w:r>
      <w:r w:rsidRPr="00761EF3">
        <w:rPr>
          <w:szCs w:val="22"/>
        </w:rPr>
        <w:t>2</w:t>
      </w:r>
      <w:r w:rsidRPr="00212D57">
        <w:rPr>
          <w:rFonts w:hint="eastAsia"/>
          <w:szCs w:val="22"/>
        </w:rPr>
        <w:t>，</w:t>
      </w:r>
      <w:r w:rsidRPr="00761EF3">
        <w:rPr>
          <w:szCs w:val="22"/>
        </w:rPr>
        <w:t>694a20</w:t>
      </w:r>
      <w:r w:rsidRPr="00212D57">
        <w:rPr>
          <w:szCs w:val="22"/>
        </w:rPr>
        <w:t>-</w:t>
      </w:r>
      <w:r w:rsidRPr="00761EF3">
        <w:rPr>
          <w:szCs w:val="22"/>
        </w:rPr>
        <w:t>697a11</w:t>
      </w:r>
      <w:r w:rsidRPr="00212D57">
        <w:rPr>
          <w:szCs w:val="22"/>
        </w:rPr>
        <w:t>）</w:t>
      </w:r>
      <w:r w:rsidRPr="00212D57">
        <w:rPr>
          <w:rFonts w:hint="eastAsia"/>
          <w:szCs w:val="22"/>
        </w:rPr>
        <w:t>，《中阿含經》卷</w:t>
      </w:r>
      <w:r w:rsidRPr="00761EF3">
        <w:rPr>
          <w:rFonts w:hint="eastAsia"/>
          <w:szCs w:val="22"/>
        </w:rPr>
        <w:t>11</w:t>
      </w:r>
      <w:r w:rsidRPr="00212D57">
        <w:rPr>
          <w:rFonts w:hint="eastAsia"/>
          <w:szCs w:val="22"/>
        </w:rPr>
        <w:t>（</w:t>
      </w:r>
      <w:r w:rsidRPr="00761EF3">
        <w:rPr>
          <w:rFonts w:hint="eastAsia"/>
          <w:szCs w:val="22"/>
        </w:rPr>
        <w:t>62</w:t>
      </w:r>
      <w:r w:rsidRPr="00212D57">
        <w:rPr>
          <w:rFonts w:hint="eastAsia"/>
          <w:szCs w:val="22"/>
        </w:rPr>
        <w:t>經）〈頻鞞娑邏王迎佛經〉</w:t>
      </w:r>
      <w:r w:rsidRPr="00212D57">
        <w:rPr>
          <w:szCs w:val="22"/>
        </w:rPr>
        <w:t>（大正</w:t>
      </w:r>
      <w:r w:rsidRPr="00761EF3">
        <w:rPr>
          <w:rFonts w:hint="eastAsia"/>
          <w:szCs w:val="22"/>
        </w:rPr>
        <w:t>1</w:t>
      </w:r>
      <w:r w:rsidRPr="00212D57">
        <w:rPr>
          <w:szCs w:val="22"/>
        </w:rPr>
        <w:t>，</w:t>
      </w:r>
      <w:r w:rsidRPr="00761EF3">
        <w:rPr>
          <w:szCs w:val="22"/>
        </w:rPr>
        <w:t>4</w:t>
      </w:r>
      <w:r w:rsidRPr="00761EF3">
        <w:rPr>
          <w:rFonts w:hint="eastAsia"/>
          <w:szCs w:val="22"/>
        </w:rPr>
        <w:t>97b04</w:t>
      </w:r>
      <w:r w:rsidRPr="00212D57">
        <w:rPr>
          <w:szCs w:val="22"/>
        </w:rPr>
        <w:t>-</w:t>
      </w:r>
      <w:r w:rsidRPr="00761EF3">
        <w:rPr>
          <w:rFonts w:hint="eastAsia"/>
          <w:szCs w:val="22"/>
        </w:rPr>
        <w:t>499a02</w:t>
      </w:r>
      <w:r w:rsidRPr="00212D57">
        <w:rPr>
          <w:szCs w:val="22"/>
        </w:rPr>
        <w:t>）</w:t>
      </w:r>
      <w:r w:rsidRPr="00212D57">
        <w:rPr>
          <w:rFonts w:hint="eastAsia"/>
          <w:szCs w:val="22"/>
        </w:rPr>
        <w:t>，《佛說</w:t>
      </w:r>
      <w:r w:rsidRPr="00212D57">
        <w:rPr>
          <w:szCs w:val="22"/>
        </w:rPr>
        <w:t>頻婆娑羅王經》（</w:t>
      </w:r>
      <w:r w:rsidRPr="00212D57">
        <w:rPr>
          <w:rFonts w:hint="eastAsia"/>
          <w:szCs w:val="22"/>
        </w:rPr>
        <w:t>大正</w:t>
      </w:r>
      <w:r w:rsidRPr="00761EF3">
        <w:rPr>
          <w:szCs w:val="22"/>
        </w:rPr>
        <w:t>1</w:t>
      </w:r>
      <w:r w:rsidRPr="00212D57">
        <w:rPr>
          <w:rFonts w:hint="eastAsia"/>
          <w:szCs w:val="22"/>
        </w:rPr>
        <w:t>，</w:t>
      </w:r>
      <w:r w:rsidRPr="00761EF3">
        <w:rPr>
          <w:szCs w:val="22"/>
        </w:rPr>
        <w:t>825a23</w:t>
      </w:r>
      <w:r w:rsidRPr="00212D57">
        <w:rPr>
          <w:szCs w:val="22"/>
        </w:rPr>
        <w:t>-</w:t>
      </w:r>
      <w:r>
        <w:rPr>
          <w:rFonts w:hint="eastAsia"/>
          <w:szCs w:val="22"/>
        </w:rPr>
        <w:t xml:space="preserve"> </w:t>
      </w:r>
      <w:r w:rsidRPr="00761EF3">
        <w:rPr>
          <w:szCs w:val="22"/>
        </w:rPr>
        <w:t>826c21</w:t>
      </w:r>
      <w:r w:rsidRPr="00212D57">
        <w:rPr>
          <w:szCs w:val="22"/>
        </w:rPr>
        <w:t>）。</w:t>
      </w:r>
    </w:p>
    <w:p w:rsidR="007C48C2" w:rsidRPr="00212D57" w:rsidRDefault="007C48C2" w:rsidP="007C48C2">
      <w:pPr>
        <w:pStyle w:val="a5"/>
        <w:ind w:leftChars="335" w:left="1024" w:hangingChars="100" w:hanging="220"/>
        <w:jc w:val="both"/>
        <w:rPr>
          <w:szCs w:val="22"/>
        </w:rPr>
      </w:pPr>
      <w:r w:rsidRPr="004F3CD4">
        <w:rPr>
          <w:rFonts w:hint="eastAsia"/>
          <w:szCs w:val="22"/>
          <w:shd w:val="pct15" w:color="auto" w:fill="FFFFFF"/>
        </w:rPr>
        <w:t>*</w:t>
      </w:r>
      <w:r>
        <w:rPr>
          <w:rFonts w:hint="eastAsia"/>
          <w:szCs w:val="22"/>
          <w:shd w:val="pct15" w:color="auto" w:fill="FFFFFF"/>
        </w:rPr>
        <w:t>2</w:t>
      </w:r>
      <w:r w:rsidRPr="00A90B4A">
        <w:rPr>
          <w:rFonts w:ascii="新細明體" w:hAnsi="新細明體"/>
          <w:spacing w:val="-4"/>
          <w:szCs w:val="22"/>
        </w:rPr>
        <w:t>《大空</w:t>
      </w:r>
      <w:r w:rsidRPr="00A90B4A">
        <w:rPr>
          <w:rFonts w:ascii="新細明體" w:hAnsi="新細明體" w:hint="eastAsia"/>
          <w:spacing w:val="-4"/>
          <w:szCs w:val="22"/>
        </w:rPr>
        <w:t>法</w:t>
      </w:r>
      <w:r w:rsidRPr="00A90B4A">
        <w:rPr>
          <w:rFonts w:ascii="新細明體" w:hAnsi="新細明體"/>
          <w:spacing w:val="-4"/>
          <w:szCs w:val="22"/>
        </w:rPr>
        <w:t>經》</w:t>
      </w:r>
      <w:r w:rsidRPr="00A90B4A">
        <w:rPr>
          <w:rFonts w:ascii="新細明體" w:hAnsi="新細明體" w:hint="eastAsia"/>
          <w:spacing w:val="-4"/>
          <w:szCs w:val="22"/>
        </w:rPr>
        <w:t>，</w:t>
      </w:r>
      <w:r w:rsidRPr="00A90B4A">
        <w:rPr>
          <w:spacing w:val="-4"/>
          <w:szCs w:val="22"/>
        </w:rPr>
        <w:t>參見《雜阿含經》卷</w:t>
      </w:r>
      <w:r w:rsidRPr="00A90B4A">
        <w:rPr>
          <w:spacing w:val="-4"/>
          <w:szCs w:val="22"/>
        </w:rPr>
        <w:t>14</w:t>
      </w:r>
      <w:r w:rsidRPr="00A90B4A">
        <w:rPr>
          <w:spacing w:val="-4"/>
          <w:szCs w:val="22"/>
        </w:rPr>
        <w:t>（</w:t>
      </w:r>
      <w:r w:rsidRPr="00A90B4A">
        <w:rPr>
          <w:spacing w:val="-4"/>
          <w:szCs w:val="22"/>
        </w:rPr>
        <w:t>297</w:t>
      </w:r>
      <w:r w:rsidRPr="00A90B4A">
        <w:rPr>
          <w:spacing w:val="-4"/>
          <w:szCs w:val="22"/>
        </w:rPr>
        <w:t>經）（大正</w:t>
      </w:r>
      <w:r w:rsidRPr="00A90B4A">
        <w:rPr>
          <w:spacing w:val="-4"/>
          <w:szCs w:val="22"/>
        </w:rPr>
        <w:t>2</w:t>
      </w:r>
      <w:r w:rsidRPr="00A90B4A">
        <w:rPr>
          <w:spacing w:val="-4"/>
          <w:szCs w:val="22"/>
        </w:rPr>
        <w:t>，</w:t>
      </w:r>
      <w:r w:rsidRPr="00A90B4A">
        <w:rPr>
          <w:spacing w:val="-4"/>
          <w:szCs w:val="22"/>
        </w:rPr>
        <w:t>84b10-85a10</w:t>
      </w:r>
      <w:r w:rsidRPr="00A90B4A">
        <w:rPr>
          <w:spacing w:val="-4"/>
          <w:szCs w:val="22"/>
        </w:rPr>
        <w:t>）。</w:t>
      </w:r>
    </w:p>
    <w:p w:rsidR="007C48C2" w:rsidRPr="00212D57" w:rsidRDefault="007C48C2" w:rsidP="007C48C2">
      <w:pPr>
        <w:pStyle w:val="a5"/>
        <w:ind w:leftChars="335" w:left="1024" w:hangingChars="100" w:hanging="220"/>
        <w:jc w:val="both"/>
        <w:rPr>
          <w:szCs w:val="22"/>
        </w:rPr>
      </w:pPr>
      <w:r w:rsidRPr="004F3CD4">
        <w:rPr>
          <w:rFonts w:hint="eastAsia"/>
          <w:szCs w:val="22"/>
          <w:shd w:val="pct15" w:color="auto" w:fill="FFFFFF"/>
        </w:rPr>
        <w:t>*</w:t>
      </w:r>
      <w:r>
        <w:rPr>
          <w:rFonts w:hint="eastAsia"/>
          <w:szCs w:val="22"/>
          <w:shd w:val="pct15" w:color="auto" w:fill="FFFFFF"/>
        </w:rPr>
        <w:t>3</w:t>
      </w:r>
      <w:r w:rsidRPr="00212D57">
        <w:rPr>
          <w:rFonts w:ascii="新細明體" w:hAnsi="新細明體"/>
          <w:szCs w:val="22"/>
        </w:rPr>
        <w:t>《佛說梵網經》</w:t>
      </w:r>
      <w:r w:rsidRPr="00212D57">
        <w:rPr>
          <w:rFonts w:ascii="新細明體" w:hAnsi="新細明體" w:hint="eastAsia"/>
          <w:szCs w:val="22"/>
        </w:rPr>
        <w:t>，</w:t>
      </w:r>
      <w:r w:rsidRPr="00212D57">
        <w:rPr>
          <w:szCs w:val="22"/>
        </w:rPr>
        <w:t>參見</w:t>
      </w:r>
      <w:r w:rsidRPr="00212D57">
        <w:rPr>
          <w:rFonts w:hint="eastAsia"/>
          <w:szCs w:val="22"/>
        </w:rPr>
        <w:t>《長阿含經》卷</w:t>
      </w:r>
      <w:r w:rsidRPr="00761EF3">
        <w:rPr>
          <w:rFonts w:hint="eastAsia"/>
          <w:szCs w:val="22"/>
        </w:rPr>
        <w:t>14</w:t>
      </w:r>
      <w:r w:rsidRPr="00212D57">
        <w:rPr>
          <w:rFonts w:hint="eastAsia"/>
          <w:szCs w:val="22"/>
        </w:rPr>
        <w:t>（</w:t>
      </w:r>
      <w:r w:rsidRPr="00761EF3">
        <w:rPr>
          <w:rFonts w:hint="eastAsia"/>
          <w:szCs w:val="22"/>
        </w:rPr>
        <w:t>21</w:t>
      </w:r>
      <w:r w:rsidRPr="00212D57">
        <w:rPr>
          <w:rFonts w:hint="eastAsia"/>
          <w:szCs w:val="22"/>
        </w:rPr>
        <w:t>經）</w:t>
      </w:r>
      <w:r w:rsidRPr="00212D57">
        <w:rPr>
          <w:szCs w:val="22"/>
        </w:rPr>
        <w:t>《梵動經》（大正</w:t>
      </w:r>
      <w:r w:rsidRPr="00761EF3">
        <w:rPr>
          <w:szCs w:val="22"/>
        </w:rPr>
        <w:t>1</w:t>
      </w:r>
      <w:r w:rsidRPr="00212D57">
        <w:rPr>
          <w:szCs w:val="22"/>
        </w:rPr>
        <w:t>，</w:t>
      </w:r>
      <w:r w:rsidRPr="00761EF3">
        <w:rPr>
          <w:szCs w:val="22"/>
        </w:rPr>
        <w:t>89c19</w:t>
      </w:r>
      <w:r w:rsidRPr="00212D57">
        <w:rPr>
          <w:szCs w:val="22"/>
        </w:rPr>
        <w:t>-</w:t>
      </w:r>
      <w:r>
        <w:rPr>
          <w:rFonts w:hint="eastAsia"/>
          <w:szCs w:val="22"/>
        </w:rPr>
        <w:t xml:space="preserve"> </w:t>
      </w:r>
      <w:r w:rsidRPr="00761EF3">
        <w:rPr>
          <w:szCs w:val="22"/>
        </w:rPr>
        <w:t>94a12</w:t>
      </w:r>
      <w:r w:rsidRPr="00212D57">
        <w:rPr>
          <w:szCs w:val="22"/>
        </w:rPr>
        <w:t>）</w:t>
      </w:r>
      <w:r w:rsidRPr="00212D57">
        <w:rPr>
          <w:rFonts w:hint="eastAsia"/>
          <w:szCs w:val="22"/>
        </w:rPr>
        <w:t>，《佛說梵網六十二見經》</w:t>
      </w:r>
      <w:r w:rsidRPr="00212D57">
        <w:rPr>
          <w:szCs w:val="22"/>
        </w:rPr>
        <w:t>（</w:t>
      </w:r>
      <w:r w:rsidRPr="00212D57">
        <w:rPr>
          <w:rFonts w:hint="eastAsia"/>
          <w:szCs w:val="22"/>
        </w:rPr>
        <w:t>大正</w:t>
      </w:r>
      <w:r w:rsidRPr="00761EF3">
        <w:rPr>
          <w:szCs w:val="22"/>
        </w:rPr>
        <w:t>1</w:t>
      </w:r>
      <w:r w:rsidRPr="00212D57">
        <w:rPr>
          <w:rFonts w:hint="eastAsia"/>
          <w:szCs w:val="22"/>
        </w:rPr>
        <w:t>，</w:t>
      </w:r>
      <w:r w:rsidRPr="00761EF3">
        <w:rPr>
          <w:szCs w:val="22"/>
        </w:rPr>
        <w:t>264a23</w:t>
      </w:r>
      <w:r w:rsidRPr="00212D57">
        <w:rPr>
          <w:szCs w:val="22"/>
        </w:rPr>
        <w:t>-</w:t>
      </w:r>
      <w:r w:rsidRPr="00761EF3">
        <w:rPr>
          <w:szCs w:val="22"/>
        </w:rPr>
        <w:t>270c22</w:t>
      </w:r>
      <w:r w:rsidRPr="00212D57">
        <w:rPr>
          <w:szCs w:val="22"/>
        </w:rPr>
        <w:t>）。</w:t>
      </w:r>
    </w:p>
    <w:p w:rsidR="007C48C2" w:rsidRPr="00212D57" w:rsidRDefault="007C48C2" w:rsidP="007C48C2">
      <w:pPr>
        <w:snapToGrid w:val="0"/>
        <w:ind w:leftChars="335" w:left="1024" w:hangingChars="100" w:hanging="220"/>
        <w:jc w:val="both"/>
        <w:rPr>
          <w:rFonts w:ascii="Times New Roman" w:hAnsi="Times New Roman"/>
          <w:sz w:val="22"/>
          <w:szCs w:val="22"/>
        </w:rPr>
      </w:pPr>
      <w:r w:rsidRPr="004F3CD4">
        <w:rPr>
          <w:rFonts w:ascii="Times New Roman" w:hAnsi="Times New Roman" w:hint="eastAsia"/>
          <w:sz w:val="22"/>
          <w:szCs w:val="22"/>
          <w:shd w:val="pct15" w:color="auto" w:fill="FFFFFF"/>
        </w:rPr>
        <w:t>*</w:t>
      </w:r>
      <w:r>
        <w:rPr>
          <w:rFonts w:ascii="Times New Roman" w:hAnsi="Times New Roman" w:hint="eastAsia"/>
          <w:sz w:val="22"/>
          <w:szCs w:val="22"/>
          <w:shd w:val="pct15" w:color="auto" w:fill="FFFFFF"/>
        </w:rPr>
        <w:t>4</w:t>
      </w:r>
      <w:r w:rsidRPr="00A90B4A">
        <w:rPr>
          <w:rFonts w:ascii="Times New Roman" w:hAnsi="Times New Roman"/>
          <w:spacing w:val="4"/>
          <w:sz w:val="22"/>
          <w:szCs w:val="22"/>
        </w:rPr>
        <w:t>《義品》：《經集</w:t>
      </w:r>
      <w:r w:rsidRPr="00A90B4A">
        <w:rPr>
          <w:rFonts w:ascii="Times New Roman" w:hAnsi="Times New Roman" w:hint="eastAsia"/>
          <w:spacing w:val="4"/>
          <w:sz w:val="22"/>
          <w:szCs w:val="22"/>
        </w:rPr>
        <w:t>‧</w:t>
      </w:r>
      <w:r w:rsidRPr="00A90B4A">
        <w:rPr>
          <w:rFonts w:ascii="Times New Roman" w:hAnsi="Times New Roman"/>
          <w:spacing w:val="4"/>
          <w:sz w:val="22"/>
          <w:szCs w:val="22"/>
        </w:rPr>
        <w:t>義品</w:t>
      </w:r>
      <w:r w:rsidRPr="00A90B4A">
        <w:rPr>
          <w:rFonts w:ascii="Times New Roman" w:hAnsi="Times New Roman" w:hint="eastAsia"/>
          <w:spacing w:val="4"/>
          <w:sz w:val="22"/>
          <w:szCs w:val="22"/>
        </w:rPr>
        <w:t>‧</w:t>
      </w:r>
      <w:r w:rsidRPr="00A90B4A">
        <w:rPr>
          <w:rFonts w:ascii="Times New Roman" w:hAnsi="Times New Roman"/>
          <w:spacing w:val="4"/>
          <w:sz w:val="22"/>
          <w:szCs w:val="22"/>
        </w:rPr>
        <w:t>波須羅經》（</w:t>
      </w:r>
      <w:r w:rsidRPr="00A90B4A">
        <w:rPr>
          <w:rFonts w:ascii="Times New Roman" w:hAnsi="Times New Roman"/>
          <w:spacing w:val="4"/>
          <w:sz w:val="22"/>
          <w:szCs w:val="22"/>
        </w:rPr>
        <w:t>824</w:t>
      </w:r>
      <w:r w:rsidRPr="00A90B4A">
        <w:rPr>
          <w:rFonts w:ascii="Times New Roman" w:hAnsi="Times New Roman"/>
          <w:spacing w:val="4"/>
          <w:sz w:val="22"/>
          <w:szCs w:val="22"/>
        </w:rPr>
        <w:t>〜</w:t>
      </w:r>
      <w:r w:rsidRPr="00A90B4A">
        <w:rPr>
          <w:rFonts w:ascii="Times New Roman" w:hAnsi="Times New Roman"/>
          <w:spacing w:val="4"/>
          <w:sz w:val="22"/>
          <w:szCs w:val="22"/>
        </w:rPr>
        <w:t>834</w:t>
      </w:r>
      <w:r w:rsidRPr="00A90B4A">
        <w:rPr>
          <w:rFonts w:ascii="Times New Roman" w:hAnsi="Times New Roman"/>
          <w:spacing w:val="4"/>
          <w:sz w:val="22"/>
          <w:szCs w:val="22"/>
        </w:rPr>
        <w:t>偈）</w:t>
      </w:r>
      <w:r w:rsidRPr="00A90B4A">
        <w:rPr>
          <w:rStyle w:val="11"/>
          <w:color w:val="auto"/>
          <w:spacing w:val="4"/>
          <w:szCs w:val="22"/>
        </w:rPr>
        <w:t>（日譯南傳</w:t>
      </w:r>
      <w:r w:rsidRPr="00A90B4A">
        <w:rPr>
          <w:rStyle w:val="11"/>
          <w:rFonts w:ascii="Times New Roman" w:hAnsi="Times New Roman"/>
          <w:color w:val="auto"/>
          <w:spacing w:val="4"/>
          <w:szCs w:val="22"/>
        </w:rPr>
        <w:t>24</w:t>
      </w:r>
      <w:r w:rsidRPr="00A90B4A">
        <w:rPr>
          <w:rStyle w:val="11"/>
          <w:color w:val="auto"/>
          <w:spacing w:val="4"/>
          <w:szCs w:val="22"/>
        </w:rPr>
        <w:t>，</w:t>
      </w:r>
      <w:r w:rsidRPr="00A90B4A">
        <w:rPr>
          <w:rStyle w:val="11"/>
          <w:rFonts w:ascii="Times New Roman" w:hAnsi="Times New Roman" w:hint="eastAsia"/>
          <w:color w:val="auto"/>
          <w:spacing w:val="4"/>
          <w:szCs w:val="22"/>
        </w:rPr>
        <w:t>p</w:t>
      </w:r>
      <w:r w:rsidRPr="00A90B4A">
        <w:rPr>
          <w:rStyle w:val="11"/>
          <w:rFonts w:ascii="Times New Roman" w:hAnsi="Times New Roman"/>
          <w:color w:val="auto"/>
          <w:spacing w:val="4"/>
          <w:szCs w:val="22"/>
        </w:rPr>
        <w:t>p</w:t>
      </w:r>
      <w:r w:rsidRPr="00A90B4A">
        <w:rPr>
          <w:rStyle w:val="11"/>
          <w:color w:val="auto"/>
          <w:spacing w:val="4"/>
          <w:szCs w:val="22"/>
        </w:rPr>
        <w:t>.</w:t>
      </w:r>
      <w:r w:rsidRPr="00A90B4A">
        <w:rPr>
          <w:rStyle w:val="11"/>
          <w:rFonts w:ascii="Times New Roman" w:hAnsi="Times New Roman"/>
          <w:color w:val="auto"/>
          <w:spacing w:val="4"/>
          <w:szCs w:val="22"/>
        </w:rPr>
        <w:t>320</w:t>
      </w:r>
      <w:r w:rsidRPr="00A90B4A">
        <w:rPr>
          <w:rStyle w:val="11"/>
          <w:rFonts w:hint="eastAsia"/>
          <w:color w:val="auto"/>
          <w:spacing w:val="4"/>
          <w:szCs w:val="22"/>
        </w:rPr>
        <w:t>-</w:t>
      </w:r>
      <w:r>
        <w:rPr>
          <w:rStyle w:val="11"/>
          <w:rFonts w:hint="eastAsia"/>
          <w:color w:val="auto"/>
          <w:spacing w:val="4"/>
          <w:szCs w:val="22"/>
        </w:rPr>
        <w:t xml:space="preserve"> </w:t>
      </w:r>
      <w:r w:rsidRPr="00A90B4A">
        <w:rPr>
          <w:rFonts w:ascii="Times New Roman" w:hAnsi="Times New Roman"/>
          <w:spacing w:val="4"/>
          <w:sz w:val="22"/>
          <w:szCs w:val="22"/>
        </w:rPr>
        <w:t>324</w:t>
      </w:r>
      <w:r w:rsidRPr="00A90B4A">
        <w:rPr>
          <w:rStyle w:val="11"/>
          <w:color w:val="auto"/>
          <w:spacing w:val="4"/>
          <w:szCs w:val="22"/>
        </w:rPr>
        <w:t>），</w:t>
      </w:r>
      <w:r w:rsidRPr="00212D57">
        <w:rPr>
          <w:rFonts w:ascii="Times New Roman" w:hAnsi="Times New Roman"/>
          <w:sz w:val="22"/>
          <w:szCs w:val="22"/>
        </w:rPr>
        <w:t>《佛說義足經》卷上〈</w:t>
      </w:r>
      <w:r w:rsidRPr="00761EF3">
        <w:rPr>
          <w:rFonts w:ascii="Times New Roman" w:hAnsi="Times New Roman" w:hint="eastAsia"/>
          <w:sz w:val="22"/>
          <w:szCs w:val="22"/>
        </w:rPr>
        <w:t>8</w:t>
      </w:r>
      <w:r w:rsidRPr="00212D57">
        <w:rPr>
          <w:rFonts w:ascii="Times New Roman" w:hAnsi="Times New Roman"/>
          <w:sz w:val="22"/>
          <w:szCs w:val="22"/>
        </w:rPr>
        <w:t xml:space="preserve"> </w:t>
      </w:r>
      <w:r w:rsidRPr="00212D57">
        <w:rPr>
          <w:rFonts w:ascii="Times New Roman" w:hAnsi="Times New Roman"/>
          <w:sz w:val="22"/>
          <w:szCs w:val="22"/>
        </w:rPr>
        <w:t>勇辭梵志經〉（大正</w:t>
      </w:r>
      <w:r w:rsidRPr="00761EF3">
        <w:rPr>
          <w:rFonts w:ascii="Times New Roman" w:hAnsi="Times New Roman"/>
          <w:sz w:val="22"/>
          <w:szCs w:val="22"/>
        </w:rPr>
        <w:t>4</w:t>
      </w:r>
      <w:r w:rsidRPr="00212D57">
        <w:rPr>
          <w:rFonts w:ascii="Times New Roman" w:hAnsi="Times New Roman"/>
          <w:sz w:val="22"/>
          <w:szCs w:val="22"/>
        </w:rPr>
        <w:t>，</w:t>
      </w:r>
      <w:r w:rsidRPr="00761EF3">
        <w:rPr>
          <w:rFonts w:ascii="Times New Roman" w:hAnsi="Times New Roman"/>
          <w:sz w:val="22"/>
          <w:szCs w:val="22"/>
        </w:rPr>
        <w:t>179c4</w:t>
      </w:r>
      <w:r w:rsidRPr="00212D57">
        <w:rPr>
          <w:rFonts w:ascii="Times New Roman" w:hAnsi="Times New Roman" w:hint="eastAsia"/>
          <w:sz w:val="22"/>
          <w:szCs w:val="22"/>
        </w:rPr>
        <w:t>-</w:t>
      </w:r>
      <w:r w:rsidRPr="00761EF3">
        <w:rPr>
          <w:rFonts w:ascii="Times New Roman" w:hAnsi="Times New Roman"/>
          <w:sz w:val="22"/>
          <w:szCs w:val="22"/>
        </w:rPr>
        <w:t>180a12</w:t>
      </w:r>
      <w:r w:rsidRPr="00212D57">
        <w:rPr>
          <w:rFonts w:ascii="Times New Roman" w:hAnsi="Times New Roman"/>
          <w:sz w:val="22"/>
          <w:szCs w:val="22"/>
        </w:rPr>
        <w:t>）。</w:t>
      </w:r>
    </w:p>
    <w:p w:rsidR="007C48C2" w:rsidRPr="00212D57" w:rsidRDefault="007C48C2" w:rsidP="007C48C2">
      <w:pPr>
        <w:pStyle w:val="a5"/>
        <w:ind w:leftChars="105" w:left="791" w:hangingChars="245" w:hanging="539"/>
        <w:jc w:val="both"/>
        <w:rPr>
          <w:szCs w:val="22"/>
        </w:rPr>
      </w:pPr>
      <w:r w:rsidRPr="00212D57">
        <w:rPr>
          <w:rFonts w:eastAsia="標楷體"/>
          <w:szCs w:val="22"/>
        </w:rPr>
        <w:t>（</w:t>
      </w:r>
      <w:r w:rsidRPr="00761EF3">
        <w:rPr>
          <w:rFonts w:eastAsia="標楷體"/>
          <w:szCs w:val="22"/>
        </w:rPr>
        <w:t>2</w:t>
      </w:r>
      <w:r w:rsidRPr="00212D57">
        <w:rPr>
          <w:rFonts w:eastAsia="標楷體"/>
          <w:szCs w:val="22"/>
        </w:rPr>
        <w:t>）</w:t>
      </w:r>
      <w:r>
        <w:rPr>
          <w:szCs w:val="22"/>
        </w:rPr>
        <w:t>參見：印</w:t>
      </w:r>
      <w:r w:rsidRPr="00212D57">
        <w:rPr>
          <w:szCs w:val="22"/>
        </w:rPr>
        <w:t>順法師，《空之探究》，第</w:t>
      </w:r>
      <w:r w:rsidRPr="00761EF3">
        <w:rPr>
          <w:rFonts w:hint="eastAsia"/>
          <w:szCs w:val="22"/>
        </w:rPr>
        <w:t>2</w:t>
      </w:r>
      <w:r w:rsidRPr="00212D57">
        <w:rPr>
          <w:szCs w:val="22"/>
        </w:rPr>
        <w:t>章</w:t>
      </w:r>
      <w:r w:rsidRPr="00212D57">
        <w:rPr>
          <w:rFonts w:ascii="新細明體" w:hAnsi="新細明體" w:cs="新細明體" w:hint="eastAsia"/>
          <w:szCs w:val="22"/>
        </w:rPr>
        <w:t>，</w:t>
      </w:r>
      <w:r w:rsidRPr="00212D57">
        <w:rPr>
          <w:szCs w:val="22"/>
        </w:rPr>
        <w:t>第</w:t>
      </w:r>
      <w:r w:rsidRPr="00761EF3">
        <w:rPr>
          <w:rFonts w:hint="eastAsia"/>
          <w:szCs w:val="22"/>
        </w:rPr>
        <w:t>4</w:t>
      </w:r>
      <w:r w:rsidRPr="00212D57">
        <w:rPr>
          <w:szCs w:val="22"/>
        </w:rPr>
        <w:t>節〈聲聞學派之我法二空說〉，</w:t>
      </w:r>
      <w:r w:rsidRPr="00761EF3">
        <w:rPr>
          <w:szCs w:val="22"/>
        </w:rPr>
        <w:t>pp</w:t>
      </w:r>
      <w:r w:rsidRPr="00212D57">
        <w:rPr>
          <w:szCs w:val="22"/>
        </w:rPr>
        <w:t>.</w:t>
      </w:r>
      <w:r w:rsidRPr="00761EF3">
        <w:rPr>
          <w:szCs w:val="22"/>
        </w:rPr>
        <w:t>92</w:t>
      </w:r>
      <w:r w:rsidRPr="00212D57">
        <w:rPr>
          <w:szCs w:val="22"/>
        </w:rPr>
        <w:t>-</w:t>
      </w:r>
      <w:r w:rsidRPr="00761EF3">
        <w:rPr>
          <w:szCs w:val="22"/>
        </w:rPr>
        <w:t>98</w:t>
      </w:r>
      <w:r w:rsidRPr="00212D57">
        <w:rPr>
          <w:szCs w:val="22"/>
        </w:rPr>
        <w:t>。</w:t>
      </w:r>
    </w:p>
  </w:footnote>
  <w:footnote w:id="180">
    <w:p w:rsidR="007C48C2" w:rsidRPr="00212D57" w:rsidRDefault="007C48C2" w:rsidP="007C48C2">
      <w:pPr>
        <w:pStyle w:val="a5"/>
        <w:spacing w:line="0" w:lineRule="atLeast"/>
        <w:ind w:left="792" w:hangingChars="360" w:hanging="792"/>
        <w:jc w:val="both"/>
        <w:rPr>
          <w:szCs w:val="22"/>
        </w:rPr>
      </w:pPr>
      <w:r w:rsidRPr="00212D57">
        <w:rPr>
          <w:szCs w:val="22"/>
          <w:vertAlign w:val="superscript"/>
        </w:rPr>
        <w:footnoteRef/>
      </w:r>
      <w:r w:rsidRPr="00212D57">
        <w:rPr>
          <w:rFonts w:hint="eastAsia"/>
          <w:szCs w:val="22"/>
        </w:rPr>
        <w:t xml:space="preserve"> </w:t>
      </w:r>
      <w:r w:rsidRPr="00212D57">
        <w:rPr>
          <w:szCs w:val="22"/>
        </w:rPr>
        <w:t>（</w:t>
      </w:r>
      <w:r w:rsidRPr="00761EF3">
        <w:rPr>
          <w:szCs w:val="22"/>
        </w:rPr>
        <w:t>1</w:t>
      </w:r>
      <w:r w:rsidRPr="00212D57">
        <w:rPr>
          <w:szCs w:val="22"/>
        </w:rPr>
        <w:t>）《大智度論》卷</w:t>
      </w:r>
      <w:r w:rsidRPr="00761EF3">
        <w:rPr>
          <w:szCs w:val="22"/>
        </w:rPr>
        <w:t>31</w:t>
      </w:r>
      <w:r w:rsidR="007B0351">
        <w:rPr>
          <w:rFonts w:hint="eastAsia"/>
          <w:color w:val="FF0000"/>
          <w:szCs w:val="22"/>
          <w:highlight w:val="yellow"/>
        </w:rPr>
        <w:t>釋</w:t>
      </w:r>
      <w:r w:rsidR="007B0351" w:rsidRPr="007B0351">
        <w:rPr>
          <w:color w:val="FF0000"/>
          <w:szCs w:val="22"/>
          <w:highlight w:val="yellow"/>
        </w:rPr>
        <w:t>〈</w:t>
      </w:r>
      <w:r w:rsidR="007B0351" w:rsidRPr="007B0351">
        <w:rPr>
          <w:color w:val="FF0000"/>
          <w:szCs w:val="22"/>
          <w:highlight w:val="yellow"/>
        </w:rPr>
        <w:t xml:space="preserve">1 </w:t>
      </w:r>
      <w:r w:rsidR="007B0351" w:rsidRPr="007B0351">
        <w:rPr>
          <w:color w:val="FF0000"/>
          <w:szCs w:val="22"/>
          <w:highlight w:val="yellow"/>
        </w:rPr>
        <w:t>序品〉</w:t>
      </w:r>
      <w:r w:rsidRPr="00212D57">
        <w:rPr>
          <w:szCs w:val="22"/>
        </w:rPr>
        <w:t>（大正</w:t>
      </w:r>
      <w:r w:rsidRPr="00761EF3">
        <w:rPr>
          <w:szCs w:val="22"/>
        </w:rPr>
        <w:t>25</w:t>
      </w:r>
      <w:r w:rsidRPr="00212D57">
        <w:rPr>
          <w:szCs w:val="22"/>
        </w:rPr>
        <w:t>，</w:t>
      </w:r>
      <w:r w:rsidRPr="00761EF3">
        <w:rPr>
          <w:szCs w:val="22"/>
        </w:rPr>
        <w:t>295b22</w:t>
      </w:r>
      <w:r w:rsidRPr="00212D57">
        <w:rPr>
          <w:szCs w:val="22"/>
        </w:rPr>
        <w:t>-</w:t>
      </w:r>
      <w:r w:rsidRPr="00761EF3">
        <w:rPr>
          <w:szCs w:val="22"/>
        </w:rPr>
        <w:t>c5</w:t>
      </w:r>
      <w:r w:rsidRPr="00212D57">
        <w:rPr>
          <w:szCs w:val="22"/>
        </w:rPr>
        <w:t>）。</w:t>
      </w:r>
    </w:p>
    <w:p w:rsidR="007C48C2" w:rsidRPr="00212D57" w:rsidRDefault="007C48C2" w:rsidP="007C48C2">
      <w:pPr>
        <w:pStyle w:val="a5"/>
        <w:ind w:leftChars="105" w:left="791" w:hangingChars="245" w:hanging="539"/>
        <w:jc w:val="both"/>
        <w:rPr>
          <w:szCs w:val="22"/>
        </w:rPr>
      </w:pPr>
      <w:r w:rsidRPr="00212D57">
        <w:rPr>
          <w:bCs/>
          <w:szCs w:val="22"/>
        </w:rPr>
        <w:t>（</w:t>
      </w:r>
      <w:r w:rsidRPr="00761EF3">
        <w:rPr>
          <w:rFonts w:hint="eastAsia"/>
          <w:bCs/>
          <w:szCs w:val="22"/>
        </w:rPr>
        <w:t>2</w:t>
      </w:r>
      <w:r w:rsidRPr="00212D57">
        <w:rPr>
          <w:bCs/>
          <w:szCs w:val="22"/>
        </w:rPr>
        <w:t>）《大智度論》卷</w:t>
      </w:r>
      <w:r w:rsidRPr="00761EF3">
        <w:rPr>
          <w:bCs/>
          <w:szCs w:val="22"/>
        </w:rPr>
        <w:t>31</w:t>
      </w:r>
      <w:r w:rsidRPr="00212D57">
        <w:rPr>
          <w:bCs/>
          <w:szCs w:val="22"/>
        </w:rPr>
        <w:t>所引</w:t>
      </w:r>
      <w:r w:rsidRPr="00212D57">
        <w:rPr>
          <w:szCs w:val="22"/>
        </w:rPr>
        <w:t>七經：</w:t>
      </w:r>
    </w:p>
    <w:p w:rsidR="007C48C2" w:rsidRPr="00212D57" w:rsidRDefault="007C48C2" w:rsidP="007C48C2">
      <w:pPr>
        <w:pStyle w:val="a5"/>
        <w:ind w:leftChars="334" w:left="1132" w:hangingChars="150" w:hanging="330"/>
        <w:jc w:val="both"/>
        <w:rPr>
          <w:szCs w:val="22"/>
        </w:rPr>
      </w:pPr>
      <w:r w:rsidRPr="00761EF3">
        <w:rPr>
          <w:szCs w:val="22"/>
        </w:rPr>
        <w:t>1</w:t>
      </w:r>
      <w:r w:rsidRPr="00212D57">
        <w:rPr>
          <w:szCs w:val="22"/>
        </w:rPr>
        <w:t>、《先尼梵志經》：《雜阿含經》卷</w:t>
      </w:r>
      <w:r w:rsidRPr="00761EF3">
        <w:rPr>
          <w:szCs w:val="22"/>
        </w:rPr>
        <w:t>5</w:t>
      </w:r>
      <w:r w:rsidRPr="00212D57">
        <w:rPr>
          <w:szCs w:val="22"/>
        </w:rPr>
        <w:t>（</w:t>
      </w:r>
      <w:r w:rsidRPr="00761EF3">
        <w:rPr>
          <w:szCs w:val="22"/>
        </w:rPr>
        <w:t>105</w:t>
      </w:r>
      <w:r w:rsidRPr="00212D57">
        <w:rPr>
          <w:szCs w:val="22"/>
        </w:rPr>
        <w:t>經）（大正</w:t>
      </w:r>
      <w:r w:rsidRPr="00761EF3">
        <w:rPr>
          <w:szCs w:val="22"/>
        </w:rPr>
        <w:t>2</w:t>
      </w:r>
      <w:r w:rsidRPr="00212D57">
        <w:rPr>
          <w:szCs w:val="22"/>
        </w:rPr>
        <w:t>，</w:t>
      </w:r>
      <w:r w:rsidRPr="00761EF3">
        <w:rPr>
          <w:szCs w:val="22"/>
        </w:rPr>
        <w:t>31c15</w:t>
      </w:r>
      <w:r w:rsidRPr="00212D57">
        <w:rPr>
          <w:szCs w:val="22"/>
        </w:rPr>
        <w:t>-</w:t>
      </w:r>
      <w:r w:rsidRPr="00761EF3">
        <w:rPr>
          <w:szCs w:val="22"/>
        </w:rPr>
        <w:t>32c1</w:t>
      </w:r>
      <w:r w:rsidRPr="00212D57">
        <w:rPr>
          <w:szCs w:val="22"/>
        </w:rPr>
        <w:t>）。</w:t>
      </w:r>
    </w:p>
    <w:p w:rsidR="007C48C2" w:rsidRPr="00212D57" w:rsidRDefault="007C48C2" w:rsidP="007C48C2">
      <w:pPr>
        <w:pStyle w:val="a5"/>
        <w:ind w:leftChars="334" w:left="1132" w:hangingChars="150" w:hanging="330"/>
        <w:jc w:val="both"/>
        <w:rPr>
          <w:szCs w:val="22"/>
        </w:rPr>
      </w:pPr>
      <w:r w:rsidRPr="00761EF3">
        <w:rPr>
          <w:szCs w:val="22"/>
        </w:rPr>
        <w:t>2</w:t>
      </w:r>
      <w:r w:rsidRPr="00212D57">
        <w:rPr>
          <w:szCs w:val="22"/>
        </w:rPr>
        <w:t>、《義品》（強論梵志）：《經集</w:t>
      </w:r>
      <w:r w:rsidRPr="00212D57">
        <w:rPr>
          <w:rFonts w:hint="eastAsia"/>
          <w:szCs w:val="22"/>
        </w:rPr>
        <w:t>‧</w:t>
      </w:r>
      <w:r w:rsidRPr="00212D57">
        <w:rPr>
          <w:szCs w:val="22"/>
        </w:rPr>
        <w:t>義品</w:t>
      </w:r>
      <w:r w:rsidRPr="00212D57">
        <w:rPr>
          <w:rFonts w:hint="eastAsia"/>
          <w:szCs w:val="22"/>
        </w:rPr>
        <w:t>‧</w:t>
      </w:r>
      <w:r w:rsidRPr="00212D57">
        <w:rPr>
          <w:szCs w:val="22"/>
        </w:rPr>
        <w:t>波須羅經》（</w:t>
      </w:r>
      <w:r w:rsidRPr="00761EF3">
        <w:rPr>
          <w:szCs w:val="22"/>
        </w:rPr>
        <w:t>824</w:t>
      </w:r>
      <w:r w:rsidRPr="00212D57">
        <w:rPr>
          <w:szCs w:val="22"/>
        </w:rPr>
        <w:t>-</w:t>
      </w:r>
      <w:r w:rsidRPr="00761EF3">
        <w:rPr>
          <w:szCs w:val="22"/>
        </w:rPr>
        <w:t>834</w:t>
      </w:r>
      <w:r w:rsidRPr="00212D57">
        <w:rPr>
          <w:szCs w:val="22"/>
        </w:rPr>
        <w:t>偈）（日譯南傳</w:t>
      </w:r>
      <w:r w:rsidRPr="00761EF3">
        <w:rPr>
          <w:szCs w:val="22"/>
        </w:rPr>
        <w:t>24</w:t>
      </w:r>
      <w:r w:rsidRPr="00212D57">
        <w:rPr>
          <w:szCs w:val="22"/>
        </w:rPr>
        <w:t>，</w:t>
      </w:r>
      <w:r w:rsidRPr="00761EF3">
        <w:rPr>
          <w:szCs w:val="22"/>
        </w:rPr>
        <w:t>pp</w:t>
      </w:r>
      <w:r w:rsidRPr="00212D57">
        <w:rPr>
          <w:szCs w:val="22"/>
        </w:rPr>
        <w:t>.</w:t>
      </w:r>
      <w:r w:rsidRPr="00761EF3">
        <w:rPr>
          <w:szCs w:val="22"/>
        </w:rPr>
        <w:t>320</w:t>
      </w:r>
      <w:r w:rsidRPr="00212D57">
        <w:rPr>
          <w:szCs w:val="22"/>
        </w:rPr>
        <w:t>-</w:t>
      </w:r>
      <w:r w:rsidRPr="00761EF3">
        <w:rPr>
          <w:szCs w:val="22"/>
        </w:rPr>
        <w:t>324</w:t>
      </w:r>
      <w:r w:rsidRPr="00212D57">
        <w:rPr>
          <w:szCs w:val="22"/>
        </w:rPr>
        <w:t>），《佛說義足經》卷上〈</w:t>
      </w:r>
      <w:r w:rsidRPr="00761EF3">
        <w:rPr>
          <w:rFonts w:hint="eastAsia"/>
          <w:szCs w:val="22"/>
        </w:rPr>
        <w:t>8</w:t>
      </w:r>
      <w:r w:rsidRPr="00212D57">
        <w:rPr>
          <w:szCs w:val="22"/>
        </w:rPr>
        <w:t xml:space="preserve"> </w:t>
      </w:r>
      <w:r w:rsidRPr="00212D57">
        <w:rPr>
          <w:szCs w:val="22"/>
        </w:rPr>
        <w:t>勇辭梵志經〉（大正</w:t>
      </w:r>
      <w:r w:rsidRPr="00761EF3">
        <w:rPr>
          <w:szCs w:val="22"/>
        </w:rPr>
        <w:t>4</w:t>
      </w:r>
      <w:r w:rsidRPr="00212D57">
        <w:rPr>
          <w:szCs w:val="22"/>
        </w:rPr>
        <w:t>，</w:t>
      </w:r>
      <w:r w:rsidRPr="00761EF3">
        <w:rPr>
          <w:szCs w:val="22"/>
        </w:rPr>
        <w:t>179c4</w:t>
      </w:r>
      <w:r w:rsidRPr="00212D57">
        <w:rPr>
          <w:szCs w:val="22"/>
        </w:rPr>
        <w:t>-</w:t>
      </w:r>
      <w:r>
        <w:rPr>
          <w:rFonts w:hint="eastAsia"/>
          <w:szCs w:val="22"/>
        </w:rPr>
        <w:t xml:space="preserve"> </w:t>
      </w:r>
      <w:r w:rsidRPr="00761EF3">
        <w:rPr>
          <w:szCs w:val="22"/>
        </w:rPr>
        <w:t>180a12</w:t>
      </w:r>
      <w:r w:rsidRPr="00212D57">
        <w:rPr>
          <w:szCs w:val="22"/>
        </w:rPr>
        <w:t>）。</w:t>
      </w:r>
    </w:p>
    <w:p w:rsidR="007C48C2" w:rsidRPr="00212D57" w:rsidRDefault="007C48C2" w:rsidP="007C48C2">
      <w:pPr>
        <w:pStyle w:val="a5"/>
        <w:ind w:leftChars="334" w:left="1132" w:hangingChars="150" w:hanging="330"/>
        <w:jc w:val="both"/>
        <w:rPr>
          <w:szCs w:val="22"/>
        </w:rPr>
      </w:pPr>
      <w:r w:rsidRPr="00761EF3">
        <w:rPr>
          <w:szCs w:val="22"/>
        </w:rPr>
        <w:t>3</w:t>
      </w:r>
      <w:r w:rsidRPr="00212D57">
        <w:rPr>
          <w:szCs w:val="22"/>
        </w:rPr>
        <w:t>、</w:t>
      </w:r>
      <w:r w:rsidRPr="00A90B4A">
        <w:rPr>
          <w:spacing w:val="-2"/>
          <w:szCs w:val="22"/>
        </w:rPr>
        <w:t>《大空</w:t>
      </w:r>
      <w:r w:rsidRPr="00A90B4A">
        <w:rPr>
          <w:rFonts w:hint="eastAsia"/>
          <w:spacing w:val="-2"/>
          <w:szCs w:val="22"/>
        </w:rPr>
        <w:t>〔</w:t>
      </w:r>
      <w:r w:rsidRPr="00A90B4A">
        <w:rPr>
          <w:spacing w:val="-2"/>
          <w:szCs w:val="22"/>
        </w:rPr>
        <w:t>法</w:t>
      </w:r>
      <w:r w:rsidRPr="00A90B4A">
        <w:rPr>
          <w:rFonts w:hint="eastAsia"/>
          <w:spacing w:val="-2"/>
          <w:szCs w:val="22"/>
        </w:rPr>
        <w:t>〕</w:t>
      </w:r>
      <w:r w:rsidRPr="00A90B4A">
        <w:rPr>
          <w:spacing w:val="-2"/>
          <w:szCs w:val="22"/>
        </w:rPr>
        <w:t>經》：《雜阿含經》卷</w:t>
      </w:r>
      <w:r w:rsidRPr="00A90B4A">
        <w:rPr>
          <w:spacing w:val="-2"/>
          <w:szCs w:val="22"/>
        </w:rPr>
        <w:t>12</w:t>
      </w:r>
      <w:r w:rsidRPr="00A90B4A">
        <w:rPr>
          <w:spacing w:val="-2"/>
          <w:szCs w:val="22"/>
        </w:rPr>
        <w:t>（</w:t>
      </w:r>
      <w:r w:rsidRPr="00A90B4A">
        <w:rPr>
          <w:spacing w:val="-2"/>
          <w:szCs w:val="22"/>
        </w:rPr>
        <w:t>297</w:t>
      </w:r>
      <w:r w:rsidRPr="00A90B4A">
        <w:rPr>
          <w:spacing w:val="-2"/>
          <w:szCs w:val="22"/>
        </w:rPr>
        <w:t>經）（大正</w:t>
      </w:r>
      <w:r w:rsidRPr="00A90B4A">
        <w:rPr>
          <w:spacing w:val="-2"/>
          <w:szCs w:val="22"/>
        </w:rPr>
        <w:t>2</w:t>
      </w:r>
      <w:r w:rsidRPr="00A90B4A">
        <w:rPr>
          <w:spacing w:val="-2"/>
          <w:szCs w:val="22"/>
        </w:rPr>
        <w:t>，</w:t>
      </w:r>
      <w:r w:rsidRPr="00A90B4A">
        <w:rPr>
          <w:spacing w:val="-2"/>
          <w:szCs w:val="22"/>
        </w:rPr>
        <w:t>84c11-85a10</w:t>
      </w:r>
      <w:r w:rsidRPr="00A90B4A">
        <w:rPr>
          <w:spacing w:val="-2"/>
          <w:szCs w:val="22"/>
        </w:rPr>
        <w:t>）。</w:t>
      </w:r>
    </w:p>
    <w:p w:rsidR="007C48C2" w:rsidRPr="00212D57" w:rsidRDefault="007C48C2" w:rsidP="007C48C2">
      <w:pPr>
        <w:pStyle w:val="a5"/>
        <w:ind w:leftChars="334" w:left="1132" w:hangingChars="150" w:hanging="330"/>
        <w:jc w:val="both"/>
        <w:rPr>
          <w:szCs w:val="22"/>
        </w:rPr>
      </w:pPr>
      <w:r w:rsidRPr="00761EF3">
        <w:rPr>
          <w:szCs w:val="22"/>
        </w:rPr>
        <w:t>4</w:t>
      </w:r>
      <w:r w:rsidRPr="00212D57">
        <w:rPr>
          <w:szCs w:val="22"/>
        </w:rPr>
        <w:t>、《羅陀經》：《雜阿含經》卷</w:t>
      </w:r>
      <w:r w:rsidRPr="00761EF3">
        <w:rPr>
          <w:szCs w:val="22"/>
        </w:rPr>
        <w:t>6</w:t>
      </w:r>
      <w:r w:rsidRPr="00212D57">
        <w:rPr>
          <w:szCs w:val="22"/>
        </w:rPr>
        <w:t>（</w:t>
      </w:r>
      <w:r w:rsidRPr="00761EF3">
        <w:rPr>
          <w:szCs w:val="22"/>
        </w:rPr>
        <w:t>122</w:t>
      </w:r>
      <w:r w:rsidRPr="00212D57">
        <w:rPr>
          <w:szCs w:val="22"/>
        </w:rPr>
        <w:t>經）（大正</w:t>
      </w:r>
      <w:r w:rsidRPr="00761EF3">
        <w:rPr>
          <w:szCs w:val="22"/>
        </w:rPr>
        <w:t>2</w:t>
      </w:r>
      <w:r w:rsidRPr="00212D57">
        <w:rPr>
          <w:szCs w:val="22"/>
        </w:rPr>
        <w:t>，</w:t>
      </w:r>
      <w:r w:rsidRPr="00761EF3">
        <w:rPr>
          <w:szCs w:val="22"/>
        </w:rPr>
        <w:t>40a4</w:t>
      </w:r>
      <w:r w:rsidRPr="00212D57">
        <w:rPr>
          <w:szCs w:val="22"/>
        </w:rPr>
        <w:t>-</w:t>
      </w:r>
      <w:r w:rsidRPr="00761EF3">
        <w:rPr>
          <w:szCs w:val="22"/>
        </w:rPr>
        <w:t>18</w:t>
      </w:r>
      <w:r w:rsidRPr="00212D57">
        <w:rPr>
          <w:szCs w:val="22"/>
        </w:rPr>
        <w:t>）。</w:t>
      </w:r>
    </w:p>
    <w:p w:rsidR="007C48C2" w:rsidRPr="00212D57" w:rsidRDefault="007C48C2" w:rsidP="007C48C2">
      <w:pPr>
        <w:pStyle w:val="a5"/>
        <w:ind w:leftChars="334" w:left="1132" w:hangingChars="150" w:hanging="330"/>
        <w:jc w:val="both"/>
        <w:rPr>
          <w:szCs w:val="22"/>
        </w:rPr>
      </w:pPr>
      <w:r w:rsidRPr="00761EF3">
        <w:rPr>
          <w:szCs w:val="22"/>
        </w:rPr>
        <w:t>5</w:t>
      </w:r>
      <w:r w:rsidRPr="00212D57">
        <w:rPr>
          <w:szCs w:val="22"/>
        </w:rPr>
        <w:t>、</w:t>
      </w:r>
      <w:r w:rsidRPr="00A90B4A">
        <w:rPr>
          <w:spacing w:val="-8"/>
          <w:szCs w:val="22"/>
        </w:rPr>
        <w:t>《筏喻經》：《中阿含經》卷</w:t>
      </w:r>
      <w:r w:rsidRPr="00A90B4A">
        <w:rPr>
          <w:spacing w:val="-8"/>
          <w:szCs w:val="22"/>
        </w:rPr>
        <w:t>54</w:t>
      </w:r>
      <w:r w:rsidRPr="00A90B4A">
        <w:rPr>
          <w:spacing w:val="-8"/>
          <w:szCs w:val="22"/>
        </w:rPr>
        <w:t>（</w:t>
      </w:r>
      <w:r w:rsidRPr="00A90B4A">
        <w:rPr>
          <w:spacing w:val="-8"/>
          <w:szCs w:val="22"/>
        </w:rPr>
        <w:t>200</w:t>
      </w:r>
      <w:r w:rsidRPr="00A90B4A">
        <w:rPr>
          <w:spacing w:val="-8"/>
          <w:szCs w:val="22"/>
        </w:rPr>
        <w:t>經）《阿梨吒經》（大正</w:t>
      </w:r>
      <w:r w:rsidRPr="00A90B4A">
        <w:rPr>
          <w:spacing w:val="-8"/>
          <w:szCs w:val="22"/>
        </w:rPr>
        <w:t>1</w:t>
      </w:r>
      <w:r w:rsidRPr="00A90B4A">
        <w:rPr>
          <w:spacing w:val="-8"/>
          <w:szCs w:val="22"/>
        </w:rPr>
        <w:t>，</w:t>
      </w:r>
      <w:r w:rsidRPr="00A90B4A">
        <w:rPr>
          <w:spacing w:val="-8"/>
          <w:szCs w:val="22"/>
        </w:rPr>
        <w:t>764b18-c14</w:t>
      </w:r>
      <w:r w:rsidRPr="00A90B4A">
        <w:rPr>
          <w:spacing w:val="-8"/>
          <w:szCs w:val="22"/>
        </w:rPr>
        <w:t>）。</w:t>
      </w:r>
    </w:p>
    <w:p w:rsidR="007C48C2" w:rsidRPr="00212D57" w:rsidRDefault="007C48C2" w:rsidP="007C48C2">
      <w:pPr>
        <w:pStyle w:val="a5"/>
        <w:ind w:leftChars="334" w:left="1132" w:hangingChars="150" w:hanging="330"/>
        <w:jc w:val="both"/>
        <w:rPr>
          <w:szCs w:val="22"/>
        </w:rPr>
      </w:pPr>
      <w:r w:rsidRPr="00761EF3">
        <w:rPr>
          <w:szCs w:val="22"/>
        </w:rPr>
        <w:t>6</w:t>
      </w:r>
      <w:r w:rsidRPr="00212D57">
        <w:rPr>
          <w:szCs w:val="22"/>
        </w:rPr>
        <w:t>、《波羅延經》：《經集</w:t>
      </w:r>
      <w:r w:rsidRPr="00212D57">
        <w:rPr>
          <w:rFonts w:hint="eastAsia"/>
          <w:szCs w:val="22"/>
        </w:rPr>
        <w:t>‧</w:t>
      </w:r>
      <w:r w:rsidRPr="00212D57">
        <w:rPr>
          <w:szCs w:val="22"/>
        </w:rPr>
        <w:t>彼岸道品》（日譯南傳</w:t>
      </w:r>
      <w:r w:rsidRPr="00761EF3">
        <w:rPr>
          <w:szCs w:val="22"/>
        </w:rPr>
        <w:t>24</w:t>
      </w:r>
      <w:r w:rsidRPr="00212D57">
        <w:rPr>
          <w:szCs w:val="22"/>
        </w:rPr>
        <w:t>，</w:t>
      </w:r>
      <w:r w:rsidRPr="00761EF3">
        <w:rPr>
          <w:szCs w:val="22"/>
        </w:rPr>
        <w:t>pp</w:t>
      </w:r>
      <w:r w:rsidRPr="00212D57">
        <w:rPr>
          <w:szCs w:val="22"/>
        </w:rPr>
        <w:t>.</w:t>
      </w:r>
      <w:r w:rsidRPr="00761EF3">
        <w:rPr>
          <w:szCs w:val="22"/>
        </w:rPr>
        <w:t>370</w:t>
      </w:r>
      <w:r w:rsidRPr="00212D57">
        <w:rPr>
          <w:szCs w:val="22"/>
        </w:rPr>
        <w:t>-</w:t>
      </w:r>
      <w:r w:rsidRPr="00761EF3">
        <w:rPr>
          <w:szCs w:val="22"/>
        </w:rPr>
        <w:t>436</w:t>
      </w:r>
      <w:r w:rsidRPr="00212D57">
        <w:rPr>
          <w:szCs w:val="22"/>
        </w:rPr>
        <w:t>）。</w:t>
      </w:r>
    </w:p>
    <w:p w:rsidR="007C48C2" w:rsidRPr="00212D57" w:rsidRDefault="007C48C2" w:rsidP="007C48C2">
      <w:pPr>
        <w:pStyle w:val="a5"/>
        <w:ind w:leftChars="334" w:left="1132" w:hangingChars="150" w:hanging="330"/>
        <w:jc w:val="both"/>
        <w:rPr>
          <w:szCs w:val="22"/>
        </w:rPr>
      </w:pPr>
      <w:r w:rsidRPr="00761EF3">
        <w:rPr>
          <w:szCs w:val="22"/>
        </w:rPr>
        <w:t>7</w:t>
      </w:r>
      <w:r w:rsidRPr="00212D57">
        <w:rPr>
          <w:szCs w:val="22"/>
        </w:rPr>
        <w:t>、《眾利經》：《經集》的《義品》〈第一八偈經〉（</w:t>
      </w:r>
      <w:r w:rsidRPr="00761EF3">
        <w:rPr>
          <w:szCs w:val="22"/>
        </w:rPr>
        <w:t>796</w:t>
      </w:r>
      <w:r w:rsidRPr="00212D57">
        <w:rPr>
          <w:szCs w:val="22"/>
        </w:rPr>
        <w:t>-</w:t>
      </w:r>
      <w:r w:rsidRPr="00761EF3">
        <w:rPr>
          <w:szCs w:val="22"/>
        </w:rPr>
        <w:t>803</w:t>
      </w:r>
      <w:r w:rsidRPr="00212D57">
        <w:rPr>
          <w:szCs w:val="22"/>
        </w:rPr>
        <w:t>偈）（日譯南傳</w:t>
      </w:r>
      <w:r w:rsidRPr="00761EF3">
        <w:rPr>
          <w:szCs w:val="22"/>
        </w:rPr>
        <w:t>24</w:t>
      </w:r>
      <w:r w:rsidRPr="00212D57">
        <w:rPr>
          <w:szCs w:val="22"/>
        </w:rPr>
        <w:t>，</w:t>
      </w:r>
      <w:r w:rsidRPr="00761EF3">
        <w:rPr>
          <w:szCs w:val="22"/>
        </w:rPr>
        <w:t>pp</w:t>
      </w:r>
      <w:r w:rsidRPr="00212D57">
        <w:rPr>
          <w:szCs w:val="22"/>
        </w:rPr>
        <w:t>.</w:t>
      </w:r>
      <w:r w:rsidRPr="00761EF3">
        <w:rPr>
          <w:szCs w:val="22"/>
        </w:rPr>
        <w:t>310</w:t>
      </w:r>
      <w:r w:rsidRPr="00212D57">
        <w:rPr>
          <w:szCs w:val="22"/>
        </w:rPr>
        <w:t>-</w:t>
      </w:r>
      <w:r w:rsidRPr="00761EF3">
        <w:rPr>
          <w:szCs w:val="22"/>
        </w:rPr>
        <w:t>312</w:t>
      </w:r>
      <w:r w:rsidRPr="00212D57">
        <w:rPr>
          <w:szCs w:val="22"/>
        </w:rPr>
        <w:t>）。</w:t>
      </w:r>
    </w:p>
    <w:p w:rsidR="007C48C2" w:rsidRPr="00212D57" w:rsidRDefault="007C48C2" w:rsidP="007C48C2">
      <w:pPr>
        <w:pStyle w:val="a5"/>
        <w:ind w:leftChars="105" w:left="802" w:hangingChars="250" w:hanging="550"/>
        <w:jc w:val="both"/>
        <w:rPr>
          <w:szCs w:val="22"/>
        </w:rPr>
      </w:pPr>
      <w:r w:rsidRPr="00212D57">
        <w:rPr>
          <w:szCs w:val="22"/>
        </w:rPr>
        <w:t>（</w:t>
      </w:r>
      <w:r w:rsidRPr="00761EF3">
        <w:rPr>
          <w:rFonts w:hint="eastAsia"/>
          <w:szCs w:val="22"/>
        </w:rPr>
        <w:t>3</w:t>
      </w:r>
      <w:r w:rsidRPr="00212D57">
        <w:rPr>
          <w:szCs w:val="22"/>
        </w:rPr>
        <w:t>）</w:t>
      </w:r>
      <w:r w:rsidRPr="00212D57">
        <w:rPr>
          <w:spacing w:val="4"/>
          <w:szCs w:val="22"/>
        </w:rPr>
        <w:t>印順法師，《空之探究》</w:t>
      </w:r>
      <w:r w:rsidRPr="00212D57">
        <w:rPr>
          <w:rFonts w:hint="eastAsia"/>
          <w:spacing w:val="4"/>
          <w:szCs w:val="22"/>
        </w:rPr>
        <w:t>，</w:t>
      </w:r>
      <w:r w:rsidRPr="00212D57">
        <w:rPr>
          <w:spacing w:val="4"/>
          <w:szCs w:val="22"/>
        </w:rPr>
        <w:t>第</w:t>
      </w:r>
      <w:r w:rsidRPr="00761EF3">
        <w:rPr>
          <w:rFonts w:hint="eastAsia"/>
          <w:spacing w:val="4"/>
          <w:szCs w:val="22"/>
        </w:rPr>
        <w:t>2</w:t>
      </w:r>
      <w:r w:rsidRPr="00212D57">
        <w:rPr>
          <w:spacing w:val="4"/>
          <w:szCs w:val="22"/>
        </w:rPr>
        <w:t>章</w:t>
      </w:r>
      <w:r w:rsidRPr="00212D57">
        <w:rPr>
          <w:rFonts w:hint="eastAsia"/>
          <w:spacing w:val="4"/>
          <w:szCs w:val="22"/>
        </w:rPr>
        <w:t>，</w:t>
      </w:r>
      <w:r w:rsidRPr="00212D57">
        <w:rPr>
          <w:spacing w:val="4"/>
          <w:szCs w:val="22"/>
        </w:rPr>
        <w:t>第</w:t>
      </w:r>
      <w:r w:rsidRPr="00761EF3">
        <w:rPr>
          <w:rFonts w:hint="eastAsia"/>
          <w:spacing w:val="4"/>
          <w:szCs w:val="22"/>
        </w:rPr>
        <w:t>4</w:t>
      </w:r>
      <w:r w:rsidRPr="00212D57">
        <w:rPr>
          <w:spacing w:val="4"/>
          <w:szCs w:val="22"/>
        </w:rPr>
        <w:t>節〈聲聞學派之我法二空說〉</w:t>
      </w:r>
      <w:r w:rsidRPr="00212D57">
        <w:rPr>
          <w:rFonts w:hint="eastAsia"/>
          <w:spacing w:val="4"/>
          <w:szCs w:val="22"/>
        </w:rPr>
        <w:t>，</w:t>
      </w:r>
      <w:r w:rsidRPr="00761EF3">
        <w:rPr>
          <w:rFonts w:hint="eastAsia"/>
          <w:spacing w:val="4"/>
          <w:szCs w:val="22"/>
        </w:rPr>
        <w:t>p</w:t>
      </w:r>
      <w:r w:rsidRPr="00761EF3">
        <w:rPr>
          <w:spacing w:val="4"/>
          <w:szCs w:val="22"/>
        </w:rPr>
        <w:t>p</w:t>
      </w:r>
      <w:r w:rsidRPr="00212D57">
        <w:rPr>
          <w:spacing w:val="4"/>
          <w:szCs w:val="22"/>
        </w:rPr>
        <w:t>.</w:t>
      </w:r>
      <w:r w:rsidRPr="00761EF3">
        <w:rPr>
          <w:spacing w:val="4"/>
          <w:szCs w:val="22"/>
        </w:rPr>
        <w:t>98</w:t>
      </w:r>
      <w:r w:rsidRPr="00212D57">
        <w:rPr>
          <w:spacing w:val="4"/>
          <w:szCs w:val="22"/>
        </w:rPr>
        <w:t>-</w:t>
      </w:r>
      <w:r w:rsidRPr="00761EF3">
        <w:rPr>
          <w:spacing w:val="4"/>
          <w:szCs w:val="22"/>
        </w:rPr>
        <w:t>101</w:t>
      </w:r>
      <w:r w:rsidRPr="00212D57">
        <w:rPr>
          <w:spacing w:val="4"/>
          <w:szCs w:val="22"/>
        </w:rPr>
        <w:t>。</w:t>
      </w:r>
    </w:p>
  </w:footnote>
  <w:footnote w:id="181">
    <w:p w:rsidR="004A3AF1" w:rsidRPr="00212D57" w:rsidRDefault="004A3AF1" w:rsidP="004A3AF1">
      <w:pPr>
        <w:pStyle w:val="a5"/>
        <w:spacing w:line="0" w:lineRule="atLeast"/>
        <w:ind w:left="792" w:hangingChars="360" w:hanging="792"/>
        <w:jc w:val="both"/>
        <w:rPr>
          <w:rFonts w:eastAsia="標楷體"/>
          <w:b/>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）《大智度論》卷</w:t>
      </w:r>
      <w:r w:rsidRPr="00761EF3">
        <w:rPr>
          <w:szCs w:val="22"/>
        </w:rPr>
        <w:t>35</w:t>
      </w:r>
      <w:r w:rsidR="007B0351">
        <w:rPr>
          <w:rFonts w:hint="eastAsia"/>
          <w:color w:val="FF0000"/>
          <w:szCs w:val="22"/>
          <w:highlight w:val="yellow"/>
        </w:rPr>
        <w:t>釋</w:t>
      </w:r>
      <w:r w:rsidR="007B0351" w:rsidRPr="007B0351">
        <w:rPr>
          <w:color w:val="FF0000"/>
          <w:szCs w:val="22"/>
          <w:highlight w:val="yellow"/>
        </w:rPr>
        <w:t>〈</w:t>
      </w:r>
      <w:r w:rsidR="007B0351">
        <w:rPr>
          <w:rFonts w:hint="eastAsia"/>
          <w:color w:val="FF0000"/>
          <w:szCs w:val="22"/>
          <w:highlight w:val="yellow"/>
        </w:rPr>
        <w:t xml:space="preserve">3 </w:t>
      </w:r>
      <w:r w:rsidR="007B0351" w:rsidRPr="007B0351">
        <w:rPr>
          <w:rFonts w:hint="eastAsia"/>
          <w:color w:val="FF0000"/>
          <w:szCs w:val="22"/>
          <w:highlight w:val="yellow"/>
        </w:rPr>
        <w:t>習相應品〉</w:t>
      </w:r>
      <w:r w:rsidRPr="00212D57">
        <w:rPr>
          <w:szCs w:val="22"/>
        </w:rPr>
        <w:t>（大正</w:t>
      </w:r>
      <w:r w:rsidRPr="00761EF3">
        <w:rPr>
          <w:szCs w:val="22"/>
        </w:rPr>
        <w:t>25</w:t>
      </w:r>
      <w:r w:rsidRPr="00212D57">
        <w:rPr>
          <w:szCs w:val="22"/>
        </w:rPr>
        <w:t>，</w:t>
      </w:r>
      <w:r w:rsidRPr="00761EF3">
        <w:rPr>
          <w:szCs w:val="22"/>
        </w:rPr>
        <w:t>322a8</w:t>
      </w:r>
      <w:r w:rsidRPr="00212D57">
        <w:rPr>
          <w:szCs w:val="22"/>
        </w:rPr>
        <w:t>-</w:t>
      </w:r>
      <w:r w:rsidRPr="00761EF3">
        <w:rPr>
          <w:szCs w:val="22"/>
        </w:rPr>
        <w:t>11</w:t>
      </w:r>
      <w:r w:rsidRPr="00212D57">
        <w:rPr>
          <w:szCs w:val="22"/>
        </w:rPr>
        <w:t>）：「</w:t>
      </w:r>
      <w:r w:rsidRPr="00212D57">
        <w:rPr>
          <w:rFonts w:eastAsia="標楷體"/>
          <w:szCs w:val="22"/>
        </w:rPr>
        <w:t>以舍利弗欲以須陀洹同得解脫</w:t>
      </w:r>
      <w:r w:rsidRPr="004A3AF1">
        <w:rPr>
          <w:rFonts w:eastAsia="標楷體"/>
          <w:szCs w:val="22"/>
          <w:highlight w:val="yellow"/>
        </w:rPr>
        <w:t>故與</w:t>
      </w:r>
      <w:r w:rsidRPr="00212D57">
        <w:rPr>
          <w:rFonts w:eastAsia="標楷體"/>
          <w:szCs w:val="22"/>
        </w:rPr>
        <w:t>諸</w:t>
      </w:r>
      <w:r w:rsidRPr="004A3AF1">
        <w:rPr>
          <w:rFonts w:eastAsia="標楷體"/>
          <w:szCs w:val="22"/>
          <w:highlight w:val="yellow"/>
        </w:rPr>
        <w:t>佛菩</w:t>
      </w:r>
      <w:r w:rsidRPr="00212D57">
        <w:rPr>
          <w:rFonts w:eastAsia="標楷體"/>
          <w:szCs w:val="22"/>
        </w:rPr>
        <w:t>薩等，而佛不聽</w:t>
      </w:r>
      <w:r>
        <w:rPr>
          <w:rFonts w:ascii="標楷體" w:eastAsia="標楷體" w:hAnsi="標楷體" w:hint="eastAsia"/>
          <w:color w:val="FF0000"/>
          <w:spacing w:val="-4"/>
          <w:kern w:val="0"/>
          <w:highlight w:val="yellow"/>
        </w:rPr>
        <w:t>；</w:t>
      </w:r>
      <w:r w:rsidRPr="00212D57">
        <w:rPr>
          <w:rFonts w:eastAsia="標楷體"/>
          <w:b/>
          <w:szCs w:val="22"/>
        </w:rPr>
        <w:t>譬如有</w:t>
      </w:r>
      <w:r w:rsidRPr="004A3AF1">
        <w:rPr>
          <w:rFonts w:eastAsia="標楷體"/>
          <w:b/>
          <w:szCs w:val="22"/>
          <w:highlight w:val="yellow"/>
        </w:rPr>
        <w:t>人欲</w:t>
      </w:r>
      <w:r w:rsidRPr="00212D57">
        <w:rPr>
          <w:rFonts w:eastAsia="標楷體"/>
          <w:b/>
          <w:szCs w:val="22"/>
        </w:rPr>
        <w:t>以毛孔之空與虛空等</w:t>
      </w:r>
      <w:r>
        <w:rPr>
          <w:rFonts w:ascii="標楷體" w:eastAsia="標楷體" w:hAnsi="標楷體" w:hint="eastAsia"/>
          <w:color w:val="FF0000"/>
          <w:kern w:val="0"/>
          <w:highlight w:val="yellow"/>
        </w:rPr>
        <w:t>。</w:t>
      </w:r>
      <w:r w:rsidRPr="00212D57">
        <w:rPr>
          <w:rFonts w:eastAsia="標楷體"/>
          <w:b/>
          <w:szCs w:val="22"/>
        </w:rPr>
        <w:t>以是故，佛重質其事。</w:t>
      </w:r>
      <w:r w:rsidRPr="00212D57">
        <w:rPr>
          <w:b/>
          <w:szCs w:val="22"/>
        </w:rPr>
        <w:t>」</w:t>
      </w:r>
    </w:p>
    <w:p w:rsidR="004A3AF1" w:rsidRPr="00212D57" w:rsidRDefault="004A3AF1" w:rsidP="004A3AF1">
      <w:pPr>
        <w:pStyle w:val="a5"/>
        <w:ind w:leftChars="105" w:left="791" w:hangingChars="245" w:hanging="539"/>
        <w:jc w:val="both"/>
        <w:rPr>
          <w:rFonts w:eastAsia="標楷體"/>
          <w:szCs w:val="22"/>
        </w:rPr>
      </w:pPr>
      <w:r w:rsidRPr="00212D57">
        <w:rPr>
          <w:szCs w:val="22"/>
        </w:rPr>
        <w:t>（</w:t>
      </w:r>
      <w:r w:rsidRPr="00761EF3">
        <w:rPr>
          <w:szCs w:val="22"/>
        </w:rPr>
        <w:t>2</w:t>
      </w:r>
      <w:r w:rsidRPr="00212D57">
        <w:rPr>
          <w:szCs w:val="22"/>
        </w:rPr>
        <w:t>）《大智度論》卷</w:t>
      </w:r>
      <w:r w:rsidRPr="00761EF3">
        <w:rPr>
          <w:szCs w:val="22"/>
        </w:rPr>
        <w:t>79</w:t>
      </w:r>
      <w:r w:rsidR="007B0351">
        <w:rPr>
          <w:rFonts w:hint="eastAsia"/>
          <w:color w:val="FF0000"/>
          <w:szCs w:val="22"/>
          <w:highlight w:val="yellow"/>
        </w:rPr>
        <w:t>釋</w:t>
      </w:r>
      <w:r w:rsidR="007B0351" w:rsidRPr="007B0351">
        <w:rPr>
          <w:rFonts w:hint="eastAsia"/>
          <w:color w:val="FF0000"/>
          <w:szCs w:val="22"/>
          <w:highlight w:val="yellow"/>
        </w:rPr>
        <w:t>〈</w:t>
      </w:r>
      <w:r w:rsidR="007B0351" w:rsidRPr="007B0351">
        <w:rPr>
          <w:rFonts w:hint="eastAsia"/>
          <w:color w:val="FF0000"/>
          <w:szCs w:val="22"/>
          <w:highlight w:val="yellow"/>
        </w:rPr>
        <w:t xml:space="preserve">66 </w:t>
      </w:r>
      <w:r w:rsidR="007B0351" w:rsidRPr="007B0351">
        <w:rPr>
          <w:rFonts w:hint="eastAsia"/>
          <w:color w:val="FF0000"/>
          <w:szCs w:val="22"/>
          <w:highlight w:val="yellow"/>
        </w:rPr>
        <w:t>囑累品〉</w:t>
      </w:r>
      <w:r w:rsidRPr="00212D57">
        <w:rPr>
          <w:szCs w:val="22"/>
        </w:rPr>
        <w:t>（大正</w:t>
      </w:r>
      <w:r w:rsidRPr="00761EF3">
        <w:rPr>
          <w:szCs w:val="22"/>
        </w:rPr>
        <w:t>25</w:t>
      </w:r>
      <w:r w:rsidRPr="00212D57">
        <w:rPr>
          <w:szCs w:val="22"/>
        </w:rPr>
        <w:t>，</w:t>
      </w:r>
      <w:r w:rsidRPr="00761EF3">
        <w:rPr>
          <w:szCs w:val="22"/>
        </w:rPr>
        <w:t>618c14</w:t>
      </w:r>
      <w:r w:rsidRPr="00212D57">
        <w:rPr>
          <w:szCs w:val="22"/>
        </w:rPr>
        <w:t>-</w:t>
      </w:r>
      <w:r w:rsidRPr="00761EF3">
        <w:rPr>
          <w:szCs w:val="22"/>
        </w:rPr>
        <w:t>17</w:t>
      </w:r>
      <w:r w:rsidRPr="00212D57">
        <w:rPr>
          <w:szCs w:val="22"/>
        </w:rPr>
        <w:t>）：「</w:t>
      </w:r>
      <w:r w:rsidRPr="00212D57">
        <w:rPr>
          <w:rFonts w:eastAsia="標楷體"/>
          <w:szCs w:val="22"/>
        </w:rPr>
        <w:t>二乘得空</w:t>
      </w:r>
      <w:r w:rsidRPr="00C12A1B">
        <w:rPr>
          <w:rFonts w:eastAsia="標楷體" w:hint="eastAsia"/>
          <w:color w:val="FF0000"/>
          <w:szCs w:val="22"/>
          <w:highlight w:val="yellow"/>
        </w:rPr>
        <w:t>，</w:t>
      </w:r>
      <w:r w:rsidRPr="00212D57">
        <w:rPr>
          <w:rFonts w:eastAsia="標楷體"/>
          <w:szCs w:val="22"/>
        </w:rPr>
        <w:t>有分有量</w:t>
      </w:r>
      <w:r>
        <w:rPr>
          <w:rFonts w:eastAsia="標楷體" w:hint="eastAsia"/>
          <w:color w:val="FF0000"/>
          <w:szCs w:val="22"/>
          <w:highlight w:val="yellow"/>
        </w:rPr>
        <w:t>；</w:t>
      </w:r>
      <w:r w:rsidRPr="00212D57">
        <w:rPr>
          <w:rFonts w:eastAsia="標楷體"/>
          <w:szCs w:val="22"/>
        </w:rPr>
        <w:t>諸</w:t>
      </w:r>
      <w:r w:rsidRPr="00C12A1B">
        <w:rPr>
          <w:rFonts w:eastAsia="標楷體"/>
          <w:szCs w:val="22"/>
          <w:highlight w:val="yellow"/>
        </w:rPr>
        <w:t>佛菩</w:t>
      </w:r>
      <w:r w:rsidRPr="00212D57">
        <w:rPr>
          <w:rFonts w:eastAsia="標楷體"/>
          <w:szCs w:val="22"/>
        </w:rPr>
        <w:t>薩</w:t>
      </w:r>
      <w:r w:rsidRPr="00C12A1B">
        <w:rPr>
          <w:rFonts w:eastAsia="標楷體" w:hint="eastAsia"/>
          <w:color w:val="FF0000"/>
          <w:szCs w:val="22"/>
          <w:highlight w:val="yellow"/>
        </w:rPr>
        <w:t>，</w:t>
      </w:r>
      <w:r w:rsidRPr="00212D57">
        <w:rPr>
          <w:rFonts w:eastAsia="標楷體"/>
          <w:szCs w:val="22"/>
        </w:rPr>
        <w:t>無分無量。如渴者飲河，不過自足</w:t>
      </w:r>
      <w:r>
        <w:rPr>
          <w:rFonts w:eastAsia="標楷體" w:hint="eastAsia"/>
          <w:color w:val="FF0000"/>
          <w:szCs w:val="22"/>
          <w:highlight w:val="yellow"/>
        </w:rPr>
        <w:t>。</w:t>
      </w:r>
      <w:r w:rsidRPr="00212D57">
        <w:rPr>
          <w:rFonts w:eastAsia="標楷體"/>
          <w:szCs w:val="22"/>
        </w:rPr>
        <w:t>何得言</w:t>
      </w:r>
      <w:r w:rsidRPr="00C12A1B">
        <w:rPr>
          <w:rFonts w:eastAsia="標楷體" w:hint="eastAsia"/>
          <w:color w:val="FF0000"/>
          <w:szCs w:val="22"/>
          <w:highlight w:val="yellow"/>
        </w:rPr>
        <w:t>『</w:t>
      </w:r>
      <w:r w:rsidRPr="00212D57">
        <w:rPr>
          <w:rFonts w:eastAsia="標楷體"/>
          <w:szCs w:val="22"/>
        </w:rPr>
        <w:t>俱行空</w:t>
      </w:r>
      <w:r w:rsidRPr="00C12A1B">
        <w:rPr>
          <w:rFonts w:eastAsia="標楷體" w:hint="eastAsia"/>
          <w:color w:val="FF0000"/>
          <w:szCs w:val="22"/>
          <w:highlight w:val="yellow"/>
        </w:rPr>
        <w:t>，</w:t>
      </w:r>
      <w:r w:rsidRPr="00212D57">
        <w:rPr>
          <w:rFonts w:eastAsia="標楷體"/>
          <w:szCs w:val="22"/>
        </w:rPr>
        <w:t>不應有異</w:t>
      </w:r>
      <w:r w:rsidRPr="00C12A1B">
        <w:rPr>
          <w:rFonts w:eastAsia="標楷體" w:hint="eastAsia"/>
          <w:color w:val="FF0000"/>
          <w:szCs w:val="22"/>
          <w:highlight w:val="yellow"/>
        </w:rPr>
        <w:t>』？</w:t>
      </w:r>
      <w:r w:rsidRPr="00212D57">
        <w:rPr>
          <w:rFonts w:eastAsia="標楷體"/>
          <w:szCs w:val="22"/>
        </w:rPr>
        <w:t>又</w:t>
      </w:r>
      <w:r w:rsidRPr="00212D57">
        <w:rPr>
          <w:rFonts w:eastAsia="標楷體"/>
          <w:b/>
          <w:szCs w:val="22"/>
        </w:rPr>
        <w:t>如毛孔之</w:t>
      </w:r>
      <w:r w:rsidRPr="00C12A1B">
        <w:rPr>
          <w:rFonts w:eastAsia="標楷體"/>
          <w:b/>
          <w:szCs w:val="22"/>
          <w:highlight w:val="yellow"/>
        </w:rPr>
        <w:t>空欲</w:t>
      </w:r>
      <w:r w:rsidRPr="00212D57">
        <w:rPr>
          <w:rFonts w:eastAsia="標楷體"/>
          <w:b/>
          <w:szCs w:val="22"/>
        </w:rPr>
        <w:t>比十方空，無有是理</w:t>
      </w:r>
      <w:r w:rsidRPr="00212D57">
        <w:rPr>
          <w:rFonts w:eastAsia="標楷體"/>
          <w:szCs w:val="22"/>
        </w:rPr>
        <w:t>。</w:t>
      </w:r>
      <w:r w:rsidRPr="00212D57">
        <w:rPr>
          <w:szCs w:val="22"/>
        </w:rPr>
        <w:t>」</w:t>
      </w:r>
    </w:p>
    <w:p w:rsidR="004A3AF1" w:rsidRPr="00212D57" w:rsidRDefault="004A3AF1" w:rsidP="004A3AF1">
      <w:pPr>
        <w:pStyle w:val="a5"/>
        <w:ind w:leftChars="105" w:left="791" w:hangingChars="245" w:hanging="539"/>
        <w:jc w:val="both"/>
        <w:rPr>
          <w:rFonts w:eastAsia="標楷體"/>
          <w:szCs w:val="22"/>
        </w:rPr>
      </w:pPr>
      <w:r w:rsidRPr="00212D57">
        <w:rPr>
          <w:szCs w:val="22"/>
        </w:rPr>
        <w:t>（</w:t>
      </w:r>
      <w:r w:rsidRPr="00761EF3">
        <w:rPr>
          <w:szCs w:val="22"/>
        </w:rPr>
        <w:t>3</w:t>
      </w:r>
      <w:r w:rsidRPr="00212D57">
        <w:rPr>
          <w:szCs w:val="22"/>
        </w:rPr>
        <w:t>）《大寶積經》卷</w:t>
      </w:r>
      <w:r w:rsidRPr="00761EF3">
        <w:rPr>
          <w:szCs w:val="22"/>
        </w:rPr>
        <w:t>112</w:t>
      </w:r>
      <w:r w:rsidRPr="00212D57">
        <w:rPr>
          <w:szCs w:val="22"/>
        </w:rPr>
        <w:t>〈</w:t>
      </w:r>
      <w:r w:rsidRPr="00761EF3">
        <w:rPr>
          <w:szCs w:val="22"/>
        </w:rPr>
        <w:t>43</w:t>
      </w:r>
      <w:r w:rsidRPr="00212D57">
        <w:rPr>
          <w:szCs w:val="22"/>
        </w:rPr>
        <w:t xml:space="preserve"> </w:t>
      </w:r>
      <w:r w:rsidRPr="00212D57">
        <w:rPr>
          <w:szCs w:val="22"/>
        </w:rPr>
        <w:t>普明菩薩會〉（大正</w:t>
      </w:r>
      <w:r w:rsidRPr="00761EF3">
        <w:rPr>
          <w:szCs w:val="22"/>
        </w:rPr>
        <w:t>11</w:t>
      </w:r>
      <w:r w:rsidRPr="00212D57">
        <w:rPr>
          <w:szCs w:val="22"/>
        </w:rPr>
        <w:t>，</w:t>
      </w:r>
      <w:r w:rsidRPr="00761EF3">
        <w:rPr>
          <w:szCs w:val="22"/>
        </w:rPr>
        <w:t>634b23</w:t>
      </w:r>
      <w:r w:rsidRPr="00212D57">
        <w:rPr>
          <w:szCs w:val="22"/>
        </w:rPr>
        <w:t>-</w:t>
      </w:r>
      <w:r w:rsidRPr="00761EF3">
        <w:rPr>
          <w:szCs w:val="22"/>
        </w:rPr>
        <w:t>26</w:t>
      </w:r>
      <w:r w:rsidRPr="00212D57">
        <w:rPr>
          <w:szCs w:val="22"/>
        </w:rPr>
        <w:t>）：「</w:t>
      </w:r>
      <w:r w:rsidRPr="00212D57">
        <w:rPr>
          <w:rFonts w:eastAsia="標楷體"/>
          <w:szCs w:val="22"/>
        </w:rPr>
        <w:t>迦葉！譬如</w:t>
      </w:r>
      <w:r w:rsidRPr="00212D57">
        <w:rPr>
          <w:rFonts w:eastAsia="標楷體"/>
          <w:b/>
          <w:szCs w:val="22"/>
        </w:rPr>
        <w:t>小芥子孔所有虛空</w:t>
      </w:r>
      <w:r w:rsidRPr="00212D57">
        <w:rPr>
          <w:rFonts w:eastAsia="標楷體"/>
          <w:szCs w:val="22"/>
        </w:rPr>
        <w:t>，一切聲聞有為智慧亦復如是。迦葉！譬如</w:t>
      </w:r>
      <w:r w:rsidRPr="00212D57">
        <w:rPr>
          <w:rFonts w:eastAsia="標楷體"/>
          <w:b/>
          <w:szCs w:val="22"/>
        </w:rPr>
        <w:t>十方虛空</w:t>
      </w:r>
      <w:r w:rsidRPr="00212D57">
        <w:rPr>
          <w:rFonts w:eastAsia="標楷體"/>
          <w:szCs w:val="22"/>
        </w:rPr>
        <w:t>無量無邊，菩薩有為智慧甚多為力無量亦復如是。</w:t>
      </w:r>
      <w:r w:rsidRPr="00212D57">
        <w:rPr>
          <w:szCs w:val="22"/>
        </w:rPr>
        <w:t>」</w:t>
      </w:r>
    </w:p>
  </w:footnote>
  <w:footnote w:id="182">
    <w:p w:rsidR="004A3AF1" w:rsidRPr="00212D57" w:rsidRDefault="004A3AF1" w:rsidP="004A3AF1">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《大智度論》卷</w:t>
      </w:r>
      <w:r w:rsidRPr="00761EF3">
        <w:rPr>
          <w:szCs w:val="22"/>
        </w:rPr>
        <w:t>4</w:t>
      </w:r>
      <w:r w:rsidR="007B0351">
        <w:rPr>
          <w:rFonts w:hint="eastAsia"/>
          <w:color w:val="FF0000"/>
          <w:szCs w:val="22"/>
          <w:highlight w:val="yellow"/>
        </w:rPr>
        <w:t>釋</w:t>
      </w:r>
      <w:r w:rsidR="007B0351" w:rsidRPr="007B0351">
        <w:rPr>
          <w:rFonts w:hint="eastAsia"/>
          <w:color w:val="FF0000"/>
          <w:szCs w:val="22"/>
          <w:highlight w:val="yellow"/>
        </w:rPr>
        <w:t>〈</w:t>
      </w:r>
      <w:r w:rsidR="007B0351" w:rsidRPr="007B0351">
        <w:rPr>
          <w:color w:val="FF0000"/>
          <w:szCs w:val="22"/>
          <w:highlight w:val="yellow"/>
        </w:rPr>
        <w:t xml:space="preserve">1 </w:t>
      </w:r>
      <w:r w:rsidR="007B0351" w:rsidRPr="007B0351">
        <w:rPr>
          <w:rFonts w:hint="eastAsia"/>
          <w:color w:val="FF0000"/>
          <w:szCs w:val="22"/>
          <w:highlight w:val="yellow"/>
        </w:rPr>
        <w:t>序品〉</w:t>
      </w:r>
      <w:r w:rsidRPr="00212D57">
        <w:rPr>
          <w:szCs w:val="22"/>
        </w:rPr>
        <w:t>（大正</w:t>
      </w:r>
      <w:r w:rsidRPr="00761EF3">
        <w:rPr>
          <w:szCs w:val="22"/>
        </w:rPr>
        <w:t>25</w:t>
      </w:r>
      <w:r w:rsidRPr="00212D57">
        <w:rPr>
          <w:szCs w:val="22"/>
        </w:rPr>
        <w:t>，</w:t>
      </w:r>
      <w:r w:rsidRPr="00761EF3">
        <w:rPr>
          <w:szCs w:val="22"/>
        </w:rPr>
        <w:t>85b18</w:t>
      </w:r>
      <w:r w:rsidRPr="00212D57">
        <w:rPr>
          <w:szCs w:val="22"/>
        </w:rPr>
        <w:t>-</w:t>
      </w:r>
      <w:r w:rsidRPr="00761EF3">
        <w:rPr>
          <w:szCs w:val="22"/>
        </w:rPr>
        <w:t>19</w:t>
      </w:r>
      <w:r w:rsidRPr="00212D57">
        <w:rPr>
          <w:szCs w:val="22"/>
        </w:rPr>
        <w:t>）。</w:t>
      </w:r>
    </w:p>
  </w:footnote>
  <w:footnote w:id="183">
    <w:p w:rsidR="004A3AF1" w:rsidRPr="00212D57" w:rsidRDefault="004A3AF1" w:rsidP="004A3AF1">
      <w:pPr>
        <w:pStyle w:val="a5"/>
        <w:spacing w:line="0" w:lineRule="atLeast"/>
        <w:ind w:left="253" w:hangingChars="115" w:hanging="253"/>
        <w:jc w:val="both"/>
        <w:rPr>
          <w:rFonts w:eastAsia="標楷體"/>
          <w:szCs w:val="22"/>
        </w:rPr>
      </w:pPr>
      <w:r w:rsidRPr="00212D57">
        <w:rPr>
          <w:rStyle w:val="a6"/>
          <w:szCs w:val="22"/>
        </w:rPr>
        <w:footnoteRef/>
      </w:r>
      <w:r w:rsidRPr="00212D57">
        <w:rPr>
          <w:rFonts w:hint="eastAsia"/>
          <w:szCs w:val="22"/>
        </w:rPr>
        <w:t xml:space="preserve"> </w:t>
      </w:r>
      <w:r w:rsidRPr="00212D57">
        <w:rPr>
          <w:szCs w:val="22"/>
        </w:rPr>
        <w:t>《大智度論》卷</w:t>
      </w:r>
      <w:r w:rsidRPr="00761EF3">
        <w:rPr>
          <w:szCs w:val="22"/>
        </w:rPr>
        <w:t>26</w:t>
      </w:r>
      <w:r w:rsidR="007B0351">
        <w:rPr>
          <w:rFonts w:hint="eastAsia"/>
          <w:color w:val="FF0000"/>
          <w:szCs w:val="22"/>
          <w:highlight w:val="yellow"/>
        </w:rPr>
        <w:t>釋〈</w:t>
      </w:r>
      <w:r w:rsidR="007B0351">
        <w:rPr>
          <w:color w:val="FF0000"/>
          <w:szCs w:val="22"/>
          <w:highlight w:val="yellow"/>
        </w:rPr>
        <w:t xml:space="preserve">1 </w:t>
      </w:r>
      <w:r w:rsidR="007B0351">
        <w:rPr>
          <w:rFonts w:hint="eastAsia"/>
          <w:color w:val="FF0000"/>
          <w:szCs w:val="22"/>
          <w:highlight w:val="yellow"/>
        </w:rPr>
        <w:t>序品〉</w:t>
      </w:r>
      <w:r w:rsidRPr="00212D57">
        <w:rPr>
          <w:szCs w:val="22"/>
        </w:rPr>
        <w:t>（大正</w:t>
      </w:r>
      <w:r w:rsidRPr="00761EF3">
        <w:rPr>
          <w:szCs w:val="22"/>
        </w:rPr>
        <w:t>25</w:t>
      </w:r>
      <w:r w:rsidRPr="00212D57">
        <w:rPr>
          <w:szCs w:val="22"/>
        </w:rPr>
        <w:t>，</w:t>
      </w:r>
      <w:r w:rsidRPr="00761EF3">
        <w:rPr>
          <w:szCs w:val="22"/>
        </w:rPr>
        <w:t>254a14</w:t>
      </w:r>
      <w:r w:rsidRPr="00212D57">
        <w:rPr>
          <w:szCs w:val="22"/>
        </w:rPr>
        <w:t>-</w:t>
      </w:r>
      <w:r w:rsidRPr="00761EF3">
        <w:rPr>
          <w:szCs w:val="22"/>
        </w:rPr>
        <w:t>16</w:t>
      </w:r>
      <w:r w:rsidRPr="00212D57">
        <w:rPr>
          <w:szCs w:val="22"/>
        </w:rPr>
        <w:t>）：「</w:t>
      </w:r>
      <w:r w:rsidRPr="00212D57">
        <w:rPr>
          <w:rFonts w:eastAsia="標楷體"/>
          <w:szCs w:val="22"/>
        </w:rPr>
        <w:t>佛法二種說：若了了說，則言</w:t>
      </w:r>
      <w:r w:rsidRPr="00C12A1B">
        <w:rPr>
          <w:rFonts w:eastAsia="標楷體" w:hint="eastAsia"/>
          <w:color w:val="FF0000"/>
          <w:szCs w:val="22"/>
          <w:highlight w:val="yellow"/>
        </w:rPr>
        <w:t>『</w:t>
      </w:r>
      <w:r w:rsidRPr="00212D57">
        <w:rPr>
          <w:rFonts w:eastAsia="標楷體"/>
          <w:szCs w:val="22"/>
        </w:rPr>
        <w:t>一切諸法空</w:t>
      </w:r>
      <w:r w:rsidRPr="00C12A1B">
        <w:rPr>
          <w:rFonts w:eastAsia="標楷體" w:hint="eastAsia"/>
          <w:color w:val="FF0000"/>
          <w:szCs w:val="22"/>
          <w:highlight w:val="yellow"/>
        </w:rPr>
        <w:t>』</w:t>
      </w:r>
      <w:r w:rsidRPr="00212D57">
        <w:rPr>
          <w:rFonts w:eastAsia="標楷體"/>
          <w:szCs w:val="22"/>
        </w:rPr>
        <w:t>；若方便說，則言</w:t>
      </w:r>
      <w:r w:rsidRPr="00C12A1B">
        <w:rPr>
          <w:rFonts w:eastAsia="標楷體" w:hint="eastAsia"/>
          <w:color w:val="FF0000"/>
          <w:szCs w:val="22"/>
          <w:highlight w:val="yellow"/>
        </w:rPr>
        <w:t>『</w:t>
      </w:r>
      <w:r w:rsidRPr="00212D57">
        <w:rPr>
          <w:rFonts w:eastAsia="標楷體"/>
          <w:szCs w:val="22"/>
        </w:rPr>
        <w:t>無我</w:t>
      </w:r>
      <w:r w:rsidRPr="00C12A1B">
        <w:rPr>
          <w:rFonts w:eastAsia="標楷體" w:hint="eastAsia"/>
          <w:color w:val="FF0000"/>
          <w:szCs w:val="22"/>
          <w:highlight w:val="yellow"/>
        </w:rPr>
        <w:t>』</w:t>
      </w:r>
      <w:r w:rsidRPr="00212D57">
        <w:rPr>
          <w:rFonts w:eastAsia="標楷體"/>
          <w:szCs w:val="22"/>
        </w:rPr>
        <w:t>。是二種說法，皆入般若</w:t>
      </w:r>
      <w:r w:rsidRPr="00212D57">
        <w:rPr>
          <w:rFonts w:eastAsia="標楷體" w:hint="eastAsia"/>
          <w:szCs w:val="22"/>
        </w:rPr>
        <w:t>波</w:t>
      </w:r>
      <w:r w:rsidRPr="00212D57">
        <w:rPr>
          <w:rFonts w:eastAsia="標楷體"/>
          <w:szCs w:val="22"/>
        </w:rPr>
        <w:t>羅蜜相中。」</w:t>
      </w:r>
    </w:p>
  </w:footnote>
  <w:footnote w:id="184">
    <w:p w:rsidR="00157EF6" w:rsidRPr="00212D57" w:rsidRDefault="00157EF6" w:rsidP="009461CE">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szCs w:val="22"/>
        </w:rPr>
        <w:t>辨詰：</w:t>
      </w:r>
      <w:r w:rsidRPr="00761EF3">
        <w:rPr>
          <w:szCs w:val="22"/>
        </w:rPr>
        <w:t>2</w:t>
      </w:r>
      <w:r w:rsidRPr="00212D57">
        <w:rPr>
          <w:szCs w:val="22"/>
        </w:rPr>
        <w:t>.</w:t>
      </w:r>
      <w:r w:rsidRPr="00212D57">
        <w:rPr>
          <w:szCs w:val="22"/>
        </w:rPr>
        <w:t>辯難詰問。辨，通</w:t>
      </w:r>
      <w:r w:rsidRPr="00212D57">
        <w:rPr>
          <w:szCs w:val="22"/>
        </w:rPr>
        <w:t xml:space="preserve">“ </w:t>
      </w:r>
      <w:r w:rsidRPr="00212D57">
        <w:rPr>
          <w:szCs w:val="22"/>
        </w:rPr>
        <w:t>辯</w:t>
      </w:r>
      <w:r w:rsidRPr="00212D57">
        <w:rPr>
          <w:szCs w:val="22"/>
        </w:rPr>
        <w:t xml:space="preserve"> ”</w:t>
      </w:r>
      <w:r w:rsidRPr="00212D57">
        <w:rPr>
          <w:szCs w:val="22"/>
        </w:rPr>
        <w:t>。（《漢語大詞典》（</w:t>
      </w:r>
      <w:r w:rsidRPr="00212D57">
        <w:rPr>
          <w:rFonts w:hint="eastAsia"/>
          <w:szCs w:val="22"/>
        </w:rPr>
        <w:t>十一</w:t>
      </w:r>
      <w:r w:rsidRPr="00212D57">
        <w:rPr>
          <w:szCs w:val="22"/>
        </w:rPr>
        <w:t>），</w:t>
      </w:r>
      <w:r w:rsidRPr="00761EF3">
        <w:rPr>
          <w:szCs w:val="22"/>
        </w:rPr>
        <w:t>p</w:t>
      </w:r>
      <w:r w:rsidRPr="00212D57">
        <w:rPr>
          <w:szCs w:val="22"/>
        </w:rPr>
        <w:t>.</w:t>
      </w:r>
      <w:r w:rsidRPr="00761EF3">
        <w:rPr>
          <w:rFonts w:hint="eastAsia"/>
          <w:szCs w:val="22"/>
        </w:rPr>
        <w:t>497</w:t>
      </w:r>
      <w:r w:rsidRPr="00212D57">
        <w:rPr>
          <w:szCs w:val="22"/>
        </w:rPr>
        <w:t>）</w:t>
      </w:r>
    </w:p>
  </w:footnote>
  <w:footnote w:id="185">
    <w:p w:rsidR="00157EF6" w:rsidRPr="00212D57" w:rsidRDefault="00157EF6" w:rsidP="009461CE">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szCs w:val="22"/>
        </w:rPr>
        <w:t>樹：樹立，建立。（《漢語大詞典》（四），</w:t>
      </w:r>
      <w:r w:rsidRPr="00761EF3">
        <w:rPr>
          <w:szCs w:val="22"/>
        </w:rPr>
        <w:t>p</w:t>
      </w:r>
      <w:r w:rsidRPr="00212D57">
        <w:rPr>
          <w:szCs w:val="22"/>
        </w:rPr>
        <w:t>.</w:t>
      </w:r>
      <w:r w:rsidRPr="00761EF3">
        <w:rPr>
          <w:szCs w:val="22"/>
        </w:rPr>
        <w:t>1299</w:t>
      </w:r>
      <w:r w:rsidRPr="00212D57">
        <w:rPr>
          <w:szCs w:val="22"/>
        </w:rPr>
        <w:t>）</w:t>
      </w:r>
    </w:p>
  </w:footnote>
  <w:footnote w:id="186">
    <w:p w:rsidR="00157EF6" w:rsidRPr="00212D57" w:rsidRDefault="00157EF6" w:rsidP="009461CE">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szCs w:val="22"/>
        </w:rPr>
        <w:t>磐石：厚而大的石頭。比喻穩定堅固。（《漢語大詞典》（七），</w:t>
      </w:r>
      <w:r w:rsidRPr="00761EF3">
        <w:rPr>
          <w:szCs w:val="22"/>
        </w:rPr>
        <w:t>p</w:t>
      </w:r>
      <w:r w:rsidRPr="00212D57">
        <w:rPr>
          <w:szCs w:val="22"/>
        </w:rPr>
        <w:t>.</w:t>
      </w:r>
      <w:r w:rsidRPr="00761EF3">
        <w:rPr>
          <w:szCs w:val="22"/>
        </w:rPr>
        <w:t>1090</w:t>
      </w:r>
      <w:r w:rsidRPr="00212D57">
        <w:rPr>
          <w:szCs w:val="22"/>
        </w:rPr>
        <w:t>）</w:t>
      </w:r>
    </w:p>
  </w:footnote>
  <w:footnote w:id="187">
    <w:p w:rsidR="00157EF6" w:rsidRPr="00212D57" w:rsidRDefault="00157EF6" w:rsidP="009E0A5A">
      <w:pPr>
        <w:pStyle w:val="a5"/>
        <w:spacing w:line="0" w:lineRule="atLeast"/>
        <w:ind w:left="737" w:hangingChars="335" w:hanging="737"/>
        <w:jc w:val="both"/>
        <w:rPr>
          <w:szCs w:val="22"/>
        </w:rPr>
      </w:pPr>
      <w:r w:rsidRPr="00212D57">
        <w:rPr>
          <w:rStyle w:val="a6"/>
          <w:szCs w:val="22"/>
        </w:rPr>
        <w:footnoteRef/>
      </w:r>
      <w:r w:rsidRPr="00212D57">
        <w:rPr>
          <w:rFonts w:ascii="新細明體" w:hAnsi="新細明體" w:hint="eastAsia"/>
          <w:szCs w:val="22"/>
        </w:rPr>
        <w:t xml:space="preserve"> （</w:t>
      </w:r>
      <w:r w:rsidRPr="00761EF3">
        <w:rPr>
          <w:rFonts w:eastAsia="標楷體"/>
          <w:szCs w:val="22"/>
        </w:rPr>
        <w:t>1</w:t>
      </w:r>
      <w:r w:rsidRPr="00212D57">
        <w:rPr>
          <w:rFonts w:ascii="新細明體" w:hAnsi="新細明體" w:hint="eastAsia"/>
          <w:szCs w:val="22"/>
        </w:rPr>
        <w:t>）</w:t>
      </w:r>
      <w:r w:rsidRPr="00212D57">
        <w:rPr>
          <w:spacing w:val="4"/>
          <w:szCs w:val="22"/>
        </w:rPr>
        <w:t>參見</w:t>
      </w:r>
      <w:r w:rsidR="009D3F77">
        <w:rPr>
          <w:rFonts w:hint="eastAsia"/>
          <w:spacing w:val="4"/>
          <w:szCs w:val="22"/>
        </w:rPr>
        <w:t>：</w:t>
      </w:r>
      <w:r w:rsidRPr="00212D57">
        <w:rPr>
          <w:spacing w:val="4"/>
          <w:szCs w:val="22"/>
        </w:rPr>
        <w:t>印順法師</w:t>
      </w:r>
      <w:r w:rsidRPr="00212D57">
        <w:rPr>
          <w:rFonts w:hint="eastAsia"/>
          <w:spacing w:val="4"/>
          <w:szCs w:val="22"/>
        </w:rPr>
        <w:t>，</w:t>
      </w:r>
      <w:r w:rsidRPr="00212D57">
        <w:rPr>
          <w:spacing w:val="4"/>
          <w:szCs w:val="22"/>
        </w:rPr>
        <w:t>《空之探究》</w:t>
      </w:r>
      <w:r w:rsidRPr="00212D57">
        <w:rPr>
          <w:rFonts w:hint="eastAsia"/>
          <w:spacing w:val="4"/>
          <w:szCs w:val="22"/>
        </w:rPr>
        <w:t>，</w:t>
      </w:r>
      <w:r w:rsidRPr="00212D57">
        <w:rPr>
          <w:spacing w:val="4"/>
          <w:szCs w:val="22"/>
        </w:rPr>
        <w:t>第</w:t>
      </w:r>
      <w:r w:rsidRPr="00761EF3">
        <w:rPr>
          <w:rFonts w:hint="eastAsia"/>
          <w:spacing w:val="4"/>
          <w:szCs w:val="22"/>
        </w:rPr>
        <w:t>4</w:t>
      </w:r>
      <w:r w:rsidRPr="00212D57">
        <w:rPr>
          <w:spacing w:val="4"/>
          <w:szCs w:val="22"/>
        </w:rPr>
        <w:t>章</w:t>
      </w:r>
      <w:r w:rsidRPr="00212D57">
        <w:rPr>
          <w:rFonts w:ascii="新細明體" w:hAnsi="新細明體" w:cs="新細明體" w:hint="eastAsia"/>
          <w:spacing w:val="4"/>
          <w:szCs w:val="22"/>
        </w:rPr>
        <w:t>，</w:t>
      </w:r>
      <w:r w:rsidRPr="00212D57">
        <w:rPr>
          <w:spacing w:val="4"/>
          <w:szCs w:val="22"/>
        </w:rPr>
        <w:t>第</w:t>
      </w:r>
      <w:r w:rsidRPr="00761EF3">
        <w:rPr>
          <w:rFonts w:hint="eastAsia"/>
          <w:spacing w:val="4"/>
          <w:szCs w:val="22"/>
        </w:rPr>
        <w:t>4</w:t>
      </w:r>
      <w:r w:rsidRPr="00212D57">
        <w:rPr>
          <w:spacing w:val="4"/>
          <w:szCs w:val="22"/>
        </w:rPr>
        <w:t>節〈緣起</w:t>
      </w:r>
      <w:r w:rsidRPr="00212D57">
        <w:rPr>
          <w:spacing w:val="4"/>
          <w:szCs w:val="22"/>
        </w:rPr>
        <w:t>——</w:t>
      </w:r>
      <w:r w:rsidRPr="00212D57">
        <w:rPr>
          <w:spacing w:val="4"/>
          <w:szCs w:val="22"/>
        </w:rPr>
        <w:t>八不緣起〉</w:t>
      </w:r>
      <w:r w:rsidRPr="00212D57">
        <w:rPr>
          <w:rFonts w:hint="eastAsia"/>
          <w:spacing w:val="4"/>
          <w:szCs w:val="22"/>
        </w:rPr>
        <w:t>，</w:t>
      </w:r>
      <w:r w:rsidRPr="00761EF3">
        <w:rPr>
          <w:spacing w:val="4"/>
          <w:szCs w:val="22"/>
        </w:rPr>
        <w:t>pp</w:t>
      </w:r>
      <w:r w:rsidRPr="00212D57">
        <w:rPr>
          <w:spacing w:val="4"/>
          <w:szCs w:val="22"/>
        </w:rPr>
        <w:t>.</w:t>
      </w:r>
      <w:r w:rsidRPr="00761EF3">
        <w:rPr>
          <w:spacing w:val="4"/>
          <w:szCs w:val="22"/>
        </w:rPr>
        <w:t>221</w:t>
      </w:r>
      <w:r w:rsidRPr="00212D57">
        <w:rPr>
          <w:spacing w:val="4"/>
          <w:szCs w:val="22"/>
        </w:rPr>
        <w:t>-</w:t>
      </w:r>
      <w:r w:rsidRPr="00761EF3">
        <w:rPr>
          <w:spacing w:val="4"/>
          <w:szCs w:val="22"/>
        </w:rPr>
        <w:t>222</w:t>
      </w:r>
      <w:r w:rsidRPr="00212D57">
        <w:rPr>
          <w:spacing w:val="4"/>
          <w:szCs w:val="22"/>
        </w:rPr>
        <w:t>。</w:t>
      </w:r>
    </w:p>
    <w:p w:rsidR="00157EF6" w:rsidRPr="00212D57" w:rsidRDefault="00157EF6" w:rsidP="00604872">
      <w:pPr>
        <w:pStyle w:val="a5"/>
        <w:ind w:leftChars="80" w:left="731" w:hangingChars="245" w:hanging="539"/>
        <w:jc w:val="both"/>
        <w:rPr>
          <w:szCs w:val="22"/>
        </w:rPr>
      </w:pPr>
      <w:r w:rsidRPr="00212D57">
        <w:rPr>
          <w:szCs w:val="22"/>
        </w:rPr>
        <w:t>（</w:t>
      </w:r>
      <w:r w:rsidRPr="00761EF3">
        <w:rPr>
          <w:szCs w:val="22"/>
        </w:rPr>
        <w:t>2</w:t>
      </w:r>
      <w:r w:rsidRPr="00212D57">
        <w:rPr>
          <w:szCs w:val="22"/>
        </w:rPr>
        <w:t>）《阿毘達磨大毘婆沙論》卷</w:t>
      </w:r>
      <w:r w:rsidRPr="00761EF3">
        <w:rPr>
          <w:szCs w:val="22"/>
        </w:rPr>
        <w:t>23</w:t>
      </w:r>
      <w:r w:rsidRPr="00212D57">
        <w:rPr>
          <w:szCs w:val="22"/>
        </w:rPr>
        <w:t>（大正</w:t>
      </w:r>
      <w:r w:rsidRPr="00761EF3">
        <w:rPr>
          <w:szCs w:val="22"/>
        </w:rPr>
        <w:t>27</w:t>
      </w:r>
      <w:r w:rsidRPr="00212D57">
        <w:rPr>
          <w:szCs w:val="22"/>
        </w:rPr>
        <w:t>，</w:t>
      </w:r>
      <w:r w:rsidRPr="00761EF3">
        <w:rPr>
          <w:szCs w:val="22"/>
        </w:rPr>
        <w:t>116c4</w:t>
      </w:r>
      <w:r w:rsidRPr="00212D57">
        <w:rPr>
          <w:szCs w:val="22"/>
        </w:rPr>
        <w:t>-</w:t>
      </w:r>
      <w:r w:rsidRPr="00761EF3">
        <w:rPr>
          <w:szCs w:val="22"/>
        </w:rPr>
        <w:t>23</w:t>
      </w:r>
      <w:r w:rsidRPr="00212D57">
        <w:rPr>
          <w:szCs w:val="22"/>
        </w:rPr>
        <w:t>）：</w:t>
      </w:r>
    </w:p>
    <w:p w:rsidR="00157EF6" w:rsidRPr="00212D57" w:rsidRDefault="00157EF6" w:rsidP="00604872">
      <w:pPr>
        <w:pStyle w:val="a5"/>
        <w:ind w:leftChars="300" w:left="720"/>
        <w:jc w:val="both"/>
        <w:rPr>
          <w:rFonts w:ascii="標楷體" w:eastAsia="標楷體" w:hAnsi="標楷體"/>
          <w:szCs w:val="22"/>
        </w:rPr>
      </w:pPr>
      <w:r w:rsidRPr="00212D57">
        <w:rPr>
          <w:rFonts w:ascii="標楷體" w:eastAsia="標楷體" w:hAnsi="標楷體"/>
          <w:szCs w:val="22"/>
        </w:rPr>
        <w:t>或復有執</w:t>
      </w:r>
      <w:r w:rsidR="009D3F77" w:rsidRPr="009D3F77">
        <w:rPr>
          <w:rFonts w:ascii="標楷體" w:eastAsia="標楷體" w:hAnsi="標楷體" w:hint="eastAsia"/>
          <w:color w:val="FF0000"/>
          <w:szCs w:val="22"/>
          <w:highlight w:val="yellow"/>
        </w:rPr>
        <w:t>「</w:t>
      </w:r>
      <w:r w:rsidR="008A10F4">
        <w:rPr>
          <w:rFonts w:eastAsia="標楷體" w:hint="eastAsia"/>
          <w:color w:val="FF0000"/>
          <w:szCs w:val="22"/>
          <w:highlight w:val="yellow"/>
        </w:rPr>
        <w:t>『</w:t>
      </w:r>
      <w:r w:rsidRPr="00212D57">
        <w:rPr>
          <w:rFonts w:ascii="標楷體" w:eastAsia="標楷體" w:hAnsi="標楷體"/>
          <w:szCs w:val="22"/>
        </w:rPr>
        <w:t>緣起</w:t>
      </w:r>
      <w:r w:rsidR="008A10F4">
        <w:rPr>
          <w:rFonts w:eastAsia="標楷體" w:hint="eastAsia"/>
          <w:color w:val="FF0000"/>
          <w:szCs w:val="22"/>
          <w:highlight w:val="yellow"/>
        </w:rPr>
        <w:t>』</w:t>
      </w:r>
      <w:r w:rsidRPr="00212D57">
        <w:rPr>
          <w:rFonts w:ascii="標楷體" w:eastAsia="標楷體" w:hAnsi="標楷體"/>
          <w:szCs w:val="22"/>
        </w:rPr>
        <w:t>是無為</w:t>
      </w:r>
      <w:r w:rsidR="009D3F77">
        <w:rPr>
          <w:rFonts w:ascii="標楷體" w:eastAsia="標楷體" w:hAnsi="標楷體" w:hint="eastAsia"/>
          <w:color w:val="FF0000"/>
          <w:szCs w:val="22"/>
          <w:highlight w:val="yellow"/>
        </w:rPr>
        <w:t>」</w:t>
      </w:r>
      <w:r w:rsidRPr="00212D57">
        <w:rPr>
          <w:rFonts w:ascii="標楷體" w:eastAsia="標楷體" w:hAnsi="標楷體"/>
          <w:szCs w:val="22"/>
        </w:rPr>
        <w:t>，如分別論者。</w:t>
      </w:r>
    </w:p>
    <w:p w:rsidR="00157EF6" w:rsidRPr="00212D57" w:rsidRDefault="00157EF6" w:rsidP="00604872">
      <w:pPr>
        <w:pStyle w:val="a5"/>
        <w:ind w:leftChars="300" w:left="1160" w:hangingChars="200" w:hanging="440"/>
        <w:jc w:val="both"/>
        <w:rPr>
          <w:rFonts w:ascii="標楷體" w:eastAsia="標楷體" w:hAnsi="標楷體"/>
          <w:szCs w:val="22"/>
        </w:rPr>
      </w:pPr>
      <w:r w:rsidRPr="00212D57">
        <w:rPr>
          <w:rFonts w:ascii="標楷體" w:eastAsia="標楷體" w:hAnsi="標楷體"/>
          <w:szCs w:val="22"/>
        </w:rPr>
        <w:t>問：彼因何故作如是執？</w:t>
      </w:r>
    </w:p>
    <w:p w:rsidR="00884EBC" w:rsidRDefault="00157EF6" w:rsidP="00604872">
      <w:pPr>
        <w:pStyle w:val="a5"/>
        <w:ind w:leftChars="300" w:left="1160" w:hangingChars="200" w:hanging="440"/>
        <w:jc w:val="both"/>
        <w:rPr>
          <w:rFonts w:ascii="標楷體" w:eastAsia="標楷體" w:hAnsi="標楷體"/>
          <w:szCs w:val="22"/>
        </w:rPr>
      </w:pPr>
      <w:r w:rsidRPr="00212D57">
        <w:rPr>
          <w:rFonts w:ascii="標楷體" w:eastAsia="標楷體" w:hAnsi="標楷體"/>
          <w:szCs w:val="22"/>
        </w:rPr>
        <w:t>答：彼因經故</w:t>
      </w:r>
      <w:r w:rsidR="009D3F77">
        <w:rPr>
          <w:rFonts w:ascii="標楷體" w:eastAsia="標楷體" w:hAnsi="標楷體" w:hint="eastAsia"/>
          <w:color w:val="FF0000"/>
          <w:szCs w:val="22"/>
          <w:highlight w:val="yellow"/>
        </w:rPr>
        <w:t>。</w:t>
      </w:r>
      <w:r w:rsidRPr="00212D57">
        <w:rPr>
          <w:rFonts w:ascii="標楷體" w:eastAsia="標楷體" w:hAnsi="標楷體"/>
          <w:szCs w:val="22"/>
        </w:rPr>
        <w:t>謂</w:t>
      </w:r>
      <w:r w:rsidRPr="009D3F77">
        <w:rPr>
          <w:rFonts w:ascii="標楷體" w:eastAsia="標楷體" w:hAnsi="標楷體"/>
          <w:szCs w:val="22"/>
          <w:highlight w:val="yellow"/>
        </w:rPr>
        <w:t>契經</w:t>
      </w:r>
      <w:r w:rsidRPr="00212D57">
        <w:rPr>
          <w:rFonts w:ascii="標楷體" w:eastAsia="標楷體" w:hAnsi="標楷體"/>
          <w:szCs w:val="22"/>
        </w:rPr>
        <w:t>說：「如來出世</w:t>
      </w:r>
      <w:r w:rsidRPr="00212D57">
        <w:rPr>
          <w:rFonts w:ascii="新細明體" w:hAnsi="新細明體" w:hint="eastAsia"/>
          <w:szCs w:val="22"/>
        </w:rPr>
        <w:t>、</w:t>
      </w:r>
      <w:r w:rsidRPr="00212D57">
        <w:rPr>
          <w:rFonts w:ascii="標楷體" w:eastAsia="標楷體" w:hAnsi="標楷體"/>
          <w:szCs w:val="22"/>
        </w:rPr>
        <w:t>若不出世</w:t>
      </w:r>
      <w:r w:rsidRPr="00212D57">
        <w:rPr>
          <w:rFonts w:ascii="新細明體" w:hAnsi="新細明體" w:hint="eastAsia"/>
          <w:szCs w:val="22"/>
        </w:rPr>
        <w:t>，</w:t>
      </w:r>
      <w:r w:rsidRPr="00212D57">
        <w:rPr>
          <w:rFonts w:ascii="標楷體" w:eastAsia="標楷體" w:hAnsi="標楷體"/>
          <w:szCs w:val="22"/>
        </w:rPr>
        <w:t>法住</w:t>
      </w:r>
      <w:r w:rsidRPr="00212D57">
        <w:rPr>
          <w:rFonts w:ascii="新細明體" w:hAnsi="新細明體" w:hint="eastAsia"/>
          <w:szCs w:val="22"/>
        </w:rPr>
        <w:t>、</w:t>
      </w:r>
      <w:r w:rsidRPr="00212D57">
        <w:rPr>
          <w:rFonts w:ascii="標楷體" w:eastAsia="標楷體" w:hAnsi="標楷體"/>
          <w:szCs w:val="22"/>
        </w:rPr>
        <w:t>法性</w:t>
      </w:r>
      <w:r w:rsidRPr="00884EBC">
        <w:rPr>
          <w:rFonts w:ascii="標楷體" w:eastAsia="標楷體" w:hAnsi="標楷體"/>
          <w:szCs w:val="22"/>
          <w:highlight w:val="yellow"/>
        </w:rPr>
        <w:t>。佛</w:t>
      </w:r>
      <w:r w:rsidRPr="00212D57">
        <w:rPr>
          <w:rFonts w:ascii="標楷體" w:eastAsia="標楷體" w:hAnsi="標楷體"/>
          <w:szCs w:val="22"/>
        </w:rPr>
        <w:t>自等覺</w:t>
      </w:r>
      <w:r w:rsidR="009D3F77" w:rsidRPr="009D3F77">
        <w:rPr>
          <w:rFonts w:ascii="標楷體" w:eastAsia="標楷體" w:hAnsi="標楷體" w:hint="eastAsia"/>
          <w:color w:val="FF0000"/>
          <w:szCs w:val="22"/>
          <w:highlight w:val="yellow"/>
        </w:rPr>
        <w:t>，</w:t>
      </w:r>
      <w:r w:rsidRPr="00212D57">
        <w:rPr>
          <w:rFonts w:ascii="標楷體" w:eastAsia="標楷體" w:hAnsi="標楷體"/>
          <w:szCs w:val="22"/>
        </w:rPr>
        <w:t>為他開示</w:t>
      </w:r>
      <w:r w:rsidR="00884EBC">
        <w:rPr>
          <w:rFonts w:ascii="標楷體" w:eastAsia="標楷體" w:hAnsi="標楷體" w:hint="eastAsia"/>
          <w:bCs/>
          <w:color w:val="FF0000"/>
          <w:kern w:val="0"/>
          <w:highlight w:val="yellow"/>
        </w:rPr>
        <w:t>」</w:t>
      </w:r>
      <w:r w:rsidR="009D3F77" w:rsidRPr="009D3F77">
        <w:rPr>
          <w:rFonts w:ascii="標楷體" w:eastAsia="標楷體" w:hAnsi="標楷體" w:hint="eastAsia"/>
          <w:color w:val="FF0000"/>
          <w:szCs w:val="22"/>
          <w:highlight w:val="yellow"/>
        </w:rPr>
        <w:t>，</w:t>
      </w:r>
      <w:r w:rsidRPr="00212D57">
        <w:rPr>
          <w:rFonts w:ascii="標楷體" w:eastAsia="標楷體" w:hAnsi="標楷體"/>
          <w:szCs w:val="22"/>
        </w:rPr>
        <w:t>乃</w:t>
      </w:r>
      <w:r w:rsidR="009D3F77" w:rsidRPr="009D3F77">
        <w:rPr>
          <w:rFonts w:ascii="標楷體" w:eastAsia="標楷體" w:hAnsi="標楷體" w:hint="eastAsia"/>
          <w:color w:val="FF0000"/>
          <w:szCs w:val="22"/>
          <w:highlight w:val="yellow"/>
        </w:rPr>
        <w:t>至</w:t>
      </w:r>
      <w:r w:rsidRPr="00212D57">
        <w:rPr>
          <w:rFonts w:ascii="標楷體" w:eastAsia="標楷體" w:hAnsi="標楷體"/>
          <w:szCs w:val="22"/>
        </w:rPr>
        <w:t>廣說</w:t>
      </w:r>
      <w:r w:rsidR="009D3F77">
        <w:rPr>
          <w:rFonts w:ascii="標楷體" w:eastAsia="標楷體" w:hAnsi="標楷體" w:hint="eastAsia"/>
          <w:color w:val="FF0000"/>
          <w:szCs w:val="22"/>
          <w:highlight w:val="yellow"/>
        </w:rPr>
        <w:t>。</w:t>
      </w:r>
      <w:r w:rsidRPr="00212D57">
        <w:rPr>
          <w:rFonts w:ascii="標楷體" w:eastAsia="標楷體" w:hAnsi="標楷體"/>
          <w:szCs w:val="22"/>
        </w:rPr>
        <w:t>故知</w:t>
      </w:r>
      <w:r w:rsidR="009D3F77">
        <w:rPr>
          <w:rFonts w:ascii="標楷體" w:eastAsia="標楷體" w:hAnsi="標楷體" w:hint="eastAsia"/>
          <w:color w:val="FF0000"/>
          <w:szCs w:val="22"/>
          <w:highlight w:val="yellow"/>
        </w:rPr>
        <w:t>「</w:t>
      </w:r>
      <w:r w:rsidR="00884EBC">
        <w:rPr>
          <w:rFonts w:ascii="標楷體" w:eastAsia="標楷體" w:hAnsi="標楷體" w:hint="eastAsia"/>
          <w:color w:val="FF0000"/>
          <w:kern w:val="0"/>
          <w:highlight w:val="yellow"/>
        </w:rPr>
        <w:t>『</w:t>
      </w:r>
      <w:r w:rsidRPr="00212D57">
        <w:rPr>
          <w:rFonts w:ascii="標楷體" w:eastAsia="標楷體" w:hAnsi="標楷體"/>
          <w:szCs w:val="22"/>
        </w:rPr>
        <w:t>緣起</w:t>
      </w:r>
      <w:r w:rsidR="00884EBC">
        <w:rPr>
          <w:rFonts w:ascii="標楷體" w:eastAsia="標楷體" w:hAnsi="標楷體" w:hint="eastAsia"/>
          <w:color w:val="FF0000"/>
          <w:kern w:val="0"/>
          <w:highlight w:val="yellow"/>
        </w:rPr>
        <w:t>』</w:t>
      </w:r>
      <w:r w:rsidRPr="00212D57">
        <w:rPr>
          <w:rFonts w:ascii="標楷體" w:eastAsia="標楷體" w:hAnsi="標楷體"/>
          <w:szCs w:val="22"/>
        </w:rPr>
        <w:t>是無為法</w:t>
      </w:r>
      <w:r w:rsidR="009D3F77">
        <w:rPr>
          <w:rFonts w:ascii="標楷體" w:eastAsia="標楷體" w:hAnsi="標楷體" w:hint="eastAsia"/>
          <w:color w:val="FF0000"/>
          <w:szCs w:val="22"/>
          <w:highlight w:val="yellow"/>
        </w:rPr>
        <w:t>」</w:t>
      </w:r>
      <w:r w:rsidRPr="00212D57">
        <w:rPr>
          <w:rFonts w:ascii="標楷體" w:eastAsia="標楷體" w:hAnsi="標楷體"/>
          <w:szCs w:val="22"/>
        </w:rPr>
        <w:t>。</w:t>
      </w:r>
    </w:p>
    <w:p w:rsidR="00157EF6" w:rsidRPr="00212D57" w:rsidRDefault="00157EF6" w:rsidP="00604872">
      <w:pPr>
        <w:pStyle w:val="a5"/>
        <w:ind w:leftChars="300" w:left="1160" w:hangingChars="200" w:hanging="440"/>
        <w:jc w:val="both"/>
        <w:rPr>
          <w:rFonts w:ascii="標楷體" w:eastAsia="標楷體" w:hAnsi="標楷體"/>
          <w:b/>
          <w:szCs w:val="22"/>
        </w:rPr>
      </w:pPr>
      <w:r w:rsidRPr="00884EBC">
        <w:rPr>
          <w:rFonts w:ascii="標楷體" w:eastAsia="標楷體" w:hAnsi="標楷體"/>
          <w:b/>
          <w:szCs w:val="22"/>
          <w:highlight w:val="yellow"/>
        </w:rPr>
        <w:t>為</w:t>
      </w:r>
      <w:r w:rsidRPr="00212D57">
        <w:rPr>
          <w:rFonts w:ascii="標楷體" w:eastAsia="標楷體" w:hAnsi="標楷體"/>
          <w:b/>
          <w:szCs w:val="22"/>
        </w:rPr>
        <w:t>止彼宗，顯示</w:t>
      </w:r>
      <w:r w:rsidR="009D3F77">
        <w:rPr>
          <w:rFonts w:ascii="標楷體" w:eastAsia="標楷體" w:hAnsi="標楷體" w:hint="eastAsia"/>
          <w:color w:val="FF0000"/>
          <w:szCs w:val="22"/>
          <w:highlight w:val="yellow"/>
        </w:rPr>
        <w:t>「</w:t>
      </w:r>
      <w:r w:rsidRPr="00212D57">
        <w:rPr>
          <w:rFonts w:ascii="標楷體" w:eastAsia="標楷體" w:hAnsi="標楷體"/>
          <w:b/>
          <w:szCs w:val="22"/>
        </w:rPr>
        <w:t>緣起是有為法</w:t>
      </w:r>
      <w:r w:rsidR="009D3F77">
        <w:rPr>
          <w:rFonts w:ascii="標楷體" w:eastAsia="標楷體" w:hAnsi="標楷體" w:hint="eastAsia"/>
          <w:color w:val="FF0000"/>
          <w:szCs w:val="22"/>
          <w:highlight w:val="yellow"/>
        </w:rPr>
        <w:t>」</w:t>
      </w:r>
      <w:r w:rsidR="009D3F77" w:rsidRPr="009D3F77">
        <w:rPr>
          <w:rFonts w:ascii="標楷體" w:eastAsia="標楷體" w:hAnsi="標楷體" w:hint="eastAsia"/>
          <w:b/>
          <w:color w:val="FF0000"/>
          <w:szCs w:val="22"/>
          <w:highlight w:val="yellow"/>
        </w:rPr>
        <w:t>，</w:t>
      </w:r>
      <w:r w:rsidRPr="00212D57">
        <w:rPr>
          <w:rFonts w:ascii="標楷體" w:eastAsia="標楷體" w:hAnsi="標楷體"/>
          <w:b/>
          <w:szCs w:val="22"/>
        </w:rPr>
        <w:t>墮三世故，無</w:t>
      </w:r>
      <w:r w:rsidR="009D3F77">
        <w:rPr>
          <w:rFonts w:ascii="標楷體" w:eastAsia="標楷體" w:hAnsi="標楷體" w:hint="eastAsia"/>
          <w:color w:val="FF0000"/>
          <w:szCs w:val="22"/>
          <w:highlight w:val="yellow"/>
        </w:rPr>
        <w:t>「</w:t>
      </w:r>
      <w:r w:rsidRPr="00212D57">
        <w:rPr>
          <w:rFonts w:ascii="標楷體" w:eastAsia="標楷體" w:hAnsi="標楷體"/>
          <w:b/>
          <w:szCs w:val="22"/>
        </w:rPr>
        <w:t>無為法墮在三世</w:t>
      </w:r>
      <w:r w:rsidR="009D3F77">
        <w:rPr>
          <w:rFonts w:ascii="標楷體" w:eastAsia="標楷體" w:hAnsi="標楷體" w:hint="eastAsia"/>
          <w:color w:val="FF0000"/>
          <w:szCs w:val="22"/>
          <w:highlight w:val="yellow"/>
        </w:rPr>
        <w:t>」</w:t>
      </w:r>
      <w:r w:rsidRPr="00212D57">
        <w:rPr>
          <w:rFonts w:ascii="標楷體" w:eastAsia="標楷體" w:hAnsi="標楷體"/>
          <w:b/>
          <w:szCs w:val="22"/>
        </w:rPr>
        <w:t>。</w:t>
      </w:r>
    </w:p>
    <w:p w:rsidR="00157EF6" w:rsidRPr="00212D57" w:rsidRDefault="00157EF6" w:rsidP="00604872">
      <w:pPr>
        <w:pStyle w:val="a5"/>
        <w:ind w:leftChars="300" w:left="1160" w:hangingChars="200" w:hanging="440"/>
        <w:jc w:val="both"/>
        <w:rPr>
          <w:rFonts w:ascii="標楷體" w:eastAsia="標楷體" w:hAnsi="標楷體"/>
          <w:szCs w:val="22"/>
        </w:rPr>
      </w:pPr>
      <w:r w:rsidRPr="00212D57">
        <w:rPr>
          <w:rFonts w:ascii="標楷體" w:eastAsia="標楷體" w:hAnsi="標楷體"/>
          <w:szCs w:val="22"/>
        </w:rPr>
        <w:t>問：若</w:t>
      </w:r>
      <w:r w:rsidR="008A10F4">
        <w:rPr>
          <w:rFonts w:ascii="標楷體" w:eastAsia="標楷體" w:hAnsi="標楷體" w:hint="eastAsia"/>
          <w:color w:val="FF0000"/>
          <w:szCs w:val="22"/>
          <w:highlight w:val="yellow"/>
        </w:rPr>
        <w:t>「</w:t>
      </w:r>
      <w:r w:rsidRPr="00212D57">
        <w:rPr>
          <w:rFonts w:ascii="標楷體" w:eastAsia="標楷體" w:hAnsi="標楷體"/>
          <w:szCs w:val="22"/>
        </w:rPr>
        <w:t>緣起法</w:t>
      </w:r>
      <w:r w:rsidR="008A10F4">
        <w:rPr>
          <w:rFonts w:ascii="標楷體" w:eastAsia="標楷體" w:hAnsi="標楷體" w:hint="eastAsia"/>
          <w:color w:val="FF0000"/>
          <w:szCs w:val="22"/>
          <w:highlight w:val="yellow"/>
        </w:rPr>
        <w:t>」</w:t>
      </w:r>
      <w:r w:rsidRPr="00212D57">
        <w:rPr>
          <w:rFonts w:ascii="標楷體" w:eastAsia="標楷體" w:hAnsi="標楷體"/>
          <w:szCs w:val="22"/>
        </w:rPr>
        <w:t>非</w:t>
      </w:r>
      <w:r w:rsidR="008A10F4">
        <w:rPr>
          <w:rFonts w:ascii="標楷體" w:eastAsia="標楷體" w:hAnsi="標楷體" w:hint="eastAsia"/>
          <w:color w:val="FF0000"/>
          <w:szCs w:val="22"/>
          <w:highlight w:val="yellow"/>
        </w:rPr>
        <w:t>「</w:t>
      </w:r>
      <w:r w:rsidRPr="00212D57">
        <w:rPr>
          <w:rFonts w:ascii="標楷體" w:eastAsia="標楷體" w:hAnsi="標楷體"/>
          <w:szCs w:val="22"/>
        </w:rPr>
        <w:t>無為</w:t>
      </w:r>
      <w:r w:rsidR="008A10F4">
        <w:rPr>
          <w:rFonts w:ascii="標楷體" w:eastAsia="標楷體" w:hAnsi="標楷體" w:hint="eastAsia"/>
          <w:color w:val="FF0000"/>
          <w:szCs w:val="22"/>
          <w:highlight w:val="yellow"/>
        </w:rPr>
        <w:t>」</w:t>
      </w:r>
      <w:r w:rsidRPr="00212D57">
        <w:rPr>
          <w:rFonts w:ascii="標楷體" w:eastAsia="標楷體" w:hAnsi="標楷體"/>
          <w:szCs w:val="22"/>
        </w:rPr>
        <w:t>者，如何會釋彼所引經</w:t>
      </w:r>
      <w:r w:rsidRPr="00212D57">
        <w:rPr>
          <w:rFonts w:ascii="標楷體" w:eastAsia="標楷體" w:hAnsi="標楷體" w:hint="eastAsia"/>
          <w:szCs w:val="22"/>
        </w:rPr>
        <w:t>？</w:t>
      </w:r>
    </w:p>
    <w:p w:rsidR="008A10F4" w:rsidRDefault="00157EF6" w:rsidP="00604872">
      <w:pPr>
        <w:pStyle w:val="a5"/>
        <w:ind w:leftChars="300" w:left="1160" w:hangingChars="200" w:hanging="440"/>
        <w:jc w:val="both"/>
        <w:rPr>
          <w:rFonts w:ascii="標楷體" w:eastAsia="標楷體" w:hAnsi="標楷體"/>
          <w:szCs w:val="22"/>
        </w:rPr>
      </w:pPr>
      <w:r w:rsidRPr="00212D57">
        <w:rPr>
          <w:rFonts w:ascii="標楷體" w:eastAsia="標楷體" w:hAnsi="標楷體"/>
          <w:szCs w:val="22"/>
        </w:rPr>
        <w:t>答：經說</w:t>
      </w:r>
      <w:r w:rsidR="009D3F77">
        <w:rPr>
          <w:rFonts w:ascii="標楷體" w:eastAsia="標楷體" w:hAnsi="標楷體" w:hint="eastAsia"/>
          <w:color w:val="FF0000"/>
          <w:szCs w:val="22"/>
          <w:highlight w:val="yellow"/>
        </w:rPr>
        <w:t>「</w:t>
      </w:r>
      <w:r w:rsidRPr="00212D57">
        <w:rPr>
          <w:rFonts w:ascii="標楷體" w:eastAsia="標楷體" w:hAnsi="標楷體"/>
          <w:szCs w:val="22"/>
        </w:rPr>
        <w:t>因果決定</w:t>
      </w:r>
      <w:r w:rsidR="009D3F77">
        <w:rPr>
          <w:rFonts w:ascii="標楷體" w:eastAsia="標楷體" w:hAnsi="標楷體" w:hint="eastAsia"/>
          <w:color w:val="FF0000"/>
          <w:szCs w:val="22"/>
          <w:highlight w:val="yellow"/>
        </w:rPr>
        <w:t>」</w:t>
      </w:r>
      <w:r w:rsidRPr="00212D57">
        <w:rPr>
          <w:rFonts w:ascii="標楷體" w:eastAsia="標楷體" w:hAnsi="標楷體"/>
          <w:szCs w:val="22"/>
        </w:rPr>
        <w:t>義故，謂</w:t>
      </w:r>
      <w:r w:rsidR="009A79F4">
        <w:rPr>
          <w:rFonts w:ascii="標楷體" w:eastAsia="標楷體" w:hAnsi="標楷體" w:hint="eastAsia"/>
          <w:color w:val="FF0000"/>
          <w:szCs w:val="22"/>
          <w:highlight w:val="yellow"/>
        </w:rPr>
        <w:t>「</w:t>
      </w:r>
      <w:r w:rsidRPr="00212D57">
        <w:rPr>
          <w:rFonts w:ascii="標楷體" w:eastAsia="標楷體" w:hAnsi="標楷體"/>
          <w:szCs w:val="22"/>
        </w:rPr>
        <w:t>佛出世</w:t>
      </w:r>
      <w:r w:rsidR="009A79F4">
        <w:rPr>
          <w:rFonts w:eastAsia="標楷體" w:hint="eastAsia"/>
          <w:color w:val="FF0000"/>
          <w:szCs w:val="22"/>
          <w:highlight w:val="yellow"/>
        </w:rPr>
        <w:t>、</w:t>
      </w:r>
      <w:r w:rsidRPr="00212D57">
        <w:rPr>
          <w:rFonts w:ascii="標楷體" w:eastAsia="標楷體" w:hAnsi="標楷體"/>
          <w:szCs w:val="22"/>
        </w:rPr>
        <w:t>若不出世，</w:t>
      </w:r>
      <w:r w:rsidR="00101655">
        <w:rPr>
          <w:rFonts w:ascii="標楷體" w:eastAsia="標楷體" w:hAnsi="標楷體" w:hint="eastAsia"/>
          <w:color w:val="FF0000"/>
          <w:kern w:val="0"/>
          <w:highlight w:val="yellow"/>
        </w:rPr>
        <w:t>『</w:t>
      </w:r>
      <w:r w:rsidRPr="00212D57">
        <w:rPr>
          <w:rFonts w:ascii="標楷體" w:eastAsia="標楷體" w:hAnsi="標楷體"/>
          <w:szCs w:val="22"/>
        </w:rPr>
        <w:t>無明</w:t>
      </w:r>
      <w:r w:rsidR="00101655">
        <w:rPr>
          <w:rFonts w:ascii="標楷體" w:eastAsia="標楷體" w:hAnsi="標楷體" w:hint="eastAsia"/>
          <w:color w:val="FF0000"/>
          <w:kern w:val="0"/>
          <w:highlight w:val="yellow"/>
        </w:rPr>
        <w:t>』</w:t>
      </w:r>
      <w:r w:rsidRPr="00212D57">
        <w:rPr>
          <w:rFonts w:ascii="標楷體" w:eastAsia="標楷體" w:hAnsi="標楷體"/>
          <w:szCs w:val="22"/>
        </w:rPr>
        <w:t>決定是</w:t>
      </w:r>
      <w:r w:rsidR="00101655">
        <w:rPr>
          <w:rFonts w:ascii="標楷體" w:eastAsia="標楷體" w:hAnsi="標楷體" w:hint="eastAsia"/>
          <w:color w:val="FF0000"/>
          <w:kern w:val="0"/>
          <w:highlight w:val="yellow"/>
        </w:rPr>
        <w:t>『</w:t>
      </w:r>
      <w:r w:rsidRPr="00212D57">
        <w:rPr>
          <w:rFonts w:ascii="標楷體" w:eastAsia="標楷體" w:hAnsi="標楷體"/>
          <w:szCs w:val="22"/>
        </w:rPr>
        <w:t>諸行</w:t>
      </w:r>
      <w:r w:rsidR="00101655">
        <w:rPr>
          <w:rFonts w:ascii="標楷體" w:eastAsia="標楷體" w:hAnsi="標楷體" w:hint="eastAsia"/>
          <w:color w:val="FF0000"/>
          <w:kern w:val="0"/>
          <w:highlight w:val="yellow"/>
        </w:rPr>
        <w:t>』</w:t>
      </w:r>
      <w:r w:rsidRPr="00212D57">
        <w:rPr>
          <w:rFonts w:ascii="標楷體" w:eastAsia="標楷體" w:hAnsi="標楷體"/>
          <w:szCs w:val="22"/>
        </w:rPr>
        <w:t>因，</w:t>
      </w:r>
      <w:r w:rsidR="00101655">
        <w:rPr>
          <w:rFonts w:ascii="標楷體" w:eastAsia="標楷體" w:hAnsi="標楷體" w:hint="eastAsia"/>
          <w:color w:val="FF0000"/>
          <w:kern w:val="0"/>
          <w:highlight w:val="yellow"/>
        </w:rPr>
        <w:t>『</w:t>
      </w:r>
      <w:r w:rsidRPr="00212D57">
        <w:rPr>
          <w:rFonts w:ascii="標楷體" w:eastAsia="標楷體" w:hAnsi="標楷體"/>
          <w:szCs w:val="22"/>
        </w:rPr>
        <w:t>諸行</w:t>
      </w:r>
      <w:r w:rsidR="00101655">
        <w:rPr>
          <w:rFonts w:ascii="標楷體" w:eastAsia="標楷體" w:hAnsi="標楷體" w:hint="eastAsia"/>
          <w:color w:val="FF0000"/>
          <w:kern w:val="0"/>
          <w:highlight w:val="yellow"/>
        </w:rPr>
        <w:t>』</w:t>
      </w:r>
      <w:r w:rsidRPr="00212D57">
        <w:rPr>
          <w:rFonts w:ascii="標楷體" w:eastAsia="標楷體" w:hAnsi="標楷體"/>
          <w:szCs w:val="22"/>
        </w:rPr>
        <w:t>決定是</w:t>
      </w:r>
      <w:r w:rsidR="00101655">
        <w:rPr>
          <w:rFonts w:ascii="標楷體" w:eastAsia="標楷體" w:hAnsi="標楷體" w:hint="eastAsia"/>
          <w:color w:val="FF0000"/>
          <w:kern w:val="0"/>
          <w:highlight w:val="yellow"/>
        </w:rPr>
        <w:t>『</w:t>
      </w:r>
      <w:r w:rsidRPr="00212D57">
        <w:rPr>
          <w:rFonts w:ascii="標楷體" w:eastAsia="標楷體" w:hAnsi="標楷體"/>
          <w:szCs w:val="22"/>
        </w:rPr>
        <w:t>無明</w:t>
      </w:r>
      <w:r w:rsidR="00101655">
        <w:rPr>
          <w:rFonts w:ascii="標楷體" w:eastAsia="標楷體" w:hAnsi="標楷體" w:hint="eastAsia"/>
          <w:color w:val="FF0000"/>
          <w:kern w:val="0"/>
          <w:highlight w:val="yellow"/>
        </w:rPr>
        <w:t>』</w:t>
      </w:r>
      <w:r w:rsidRPr="00212D57">
        <w:rPr>
          <w:rFonts w:ascii="標楷體" w:eastAsia="標楷體" w:hAnsi="標楷體"/>
          <w:szCs w:val="22"/>
        </w:rPr>
        <w:t>果</w:t>
      </w:r>
      <w:r w:rsidR="009A79F4">
        <w:rPr>
          <w:rFonts w:ascii="標楷體" w:eastAsia="標楷體" w:hAnsi="標楷體" w:hint="eastAsia"/>
          <w:color w:val="FF0000"/>
          <w:szCs w:val="22"/>
          <w:highlight w:val="yellow"/>
        </w:rPr>
        <w:t>」</w:t>
      </w:r>
      <w:r w:rsidRPr="00212D57">
        <w:rPr>
          <w:rFonts w:ascii="標楷體" w:eastAsia="標楷體" w:hAnsi="標楷體"/>
          <w:szCs w:val="22"/>
        </w:rPr>
        <w:t>，如是乃至</w:t>
      </w:r>
      <w:r w:rsidR="009A79F4">
        <w:rPr>
          <w:rFonts w:ascii="標楷體" w:eastAsia="標楷體" w:hAnsi="標楷體" w:hint="eastAsia"/>
          <w:color w:val="FF0000"/>
          <w:szCs w:val="22"/>
          <w:highlight w:val="yellow"/>
        </w:rPr>
        <w:t>「</w:t>
      </w:r>
      <w:r w:rsidR="00101655">
        <w:rPr>
          <w:rFonts w:ascii="標楷體" w:eastAsia="標楷體" w:hAnsi="標楷體" w:hint="eastAsia"/>
          <w:color w:val="FF0000"/>
          <w:kern w:val="0"/>
          <w:highlight w:val="yellow"/>
        </w:rPr>
        <w:t>『</w:t>
      </w:r>
      <w:r w:rsidRPr="00212D57">
        <w:rPr>
          <w:rFonts w:ascii="標楷體" w:eastAsia="標楷體" w:hAnsi="標楷體"/>
          <w:szCs w:val="22"/>
        </w:rPr>
        <w:t>生</w:t>
      </w:r>
      <w:r w:rsidR="00101655">
        <w:rPr>
          <w:rFonts w:ascii="標楷體" w:eastAsia="標楷體" w:hAnsi="標楷體" w:hint="eastAsia"/>
          <w:color w:val="FF0000"/>
          <w:kern w:val="0"/>
          <w:highlight w:val="yellow"/>
        </w:rPr>
        <w:t>』</w:t>
      </w:r>
      <w:r w:rsidRPr="00212D57">
        <w:rPr>
          <w:rFonts w:ascii="標楷體" w:eastAsia="標楷體" w:hAnsi="標楷體"/>
          <w:szCs w:val="22"/>
        </w:rPr>
        <w:t>決定是</w:t>
      </w:r>
      <w:r w:rsidR="00101655">
        <w:rPr>
          <w:rFonts w:ascii="標楷體" w:eastAsia="標楷體" w:hAnsi="標楷體" w:hint="eastAsia"/>
          <w:color w:val="FF0000"/>
          <w:kern w:val="0"/>
          <w:highlight w:val="yellow"/>
        </w:rPr>
        <w:t>『</w:t>
      </w:r>
      <w:r w:rsidRPr="00212D57">
        <w:rPr>
          <w:rFonts w:ascii="標楷體" w:eastAsia="標楷體" w:hAnsi="標楷體"/>
          <w:szCs w:val="22"/>
        </w:rPr>
        <w:t>老死</w:t>
      </w:r>
      <w:r w:rsidR="00101655">
        <w:rPr>
          <w:rFonts w:ascii="標楷體" w:eastAsia="標楷體" w:hAnsi="標楷體" w:hint="eastAsia"/>
          <w:color w:val="FF0000"/>
          <w:kern w:val="0"/>
          <w:highlight w:val="yellow"/>
        </w:rPr>
        <w:t>』</w:t>
      </w:r>
      <w:r w:rsidRPr="00212D57">
        <w:rPr>
          <w:rFonts w:ascii="標楷體" w:eastAsia="標楷體" w:hAnsi="標楷體"/>
          <w:szCs w:val="22"/>
        </w:rPr>
        <w:t>因，</w:t>
      </w:r>
      <w:r w:rsidR="00101655">
        <w:rPr>
          <w:rFonts w:ascii="標楷體" w:eastAsia="標楷體" w:hAnsi="標楷體" w:hint="eastAsia"/>
          <w:color w:val="FF0000"/>
          <w:kern w:val="0"/>
          <w:highlight w:val="yellow"/>
        </w:rPr>
        <w:t>『</w:t>
      </w:r>
      <w:r w:rsidRPr="00212D57">
        <w:rPr>
          <w:rFonts w:ascii="標楷體" w:eastAsia="標楷體" w:hAnsi="標楷體"/>
          <w:szCs w:val="22"/>
        </w:rPr>
        <w:t>老死</w:t>
      </w:r>
      <w:r w:rsidR="00101655">
        <w:rPr>
          <w:rFonts w:ascii="標楷體" w:eastAsia="標楷體" w:hAnsi="標楷體" w:hint="eastAsia"/>
          <w:color w:val="FF0000"/>
          <w:kern w:val="0"/>
          <w:highlight w:val="yellow"/>
        </w:rPr>
        <w:t>』</w:t>
      </w:r>
      <w:r w:rsidRPr="00212D57">
        <w:rPr>
          <w:rFonts w:ascii="標楷體" w:eastAsia="標楷體" w:hAnsi="標楷體"/>
          <w:szCs w:val="22"/>
        </w:rPr>
        <w:t>決定是</w:t>
      </w:r>
      <w:r w:rsidR="00101655">
        <w:rPr>
          <w:rFonts w:ascii="標楷體" w:eastAsia="標楷體" w:hAnsi="標楷體" w:hint="eastAsia"/>
          <w:color w:val="FF0000"/>
          <w:kern w:val="0"/>
          <w:highlight w:val="yellow"/>
        </w:rPr>
        <w:t>『</w:t>
      </w:r>
      <w:r w:rsidRPr="00212D57">
        <w:rPr>
          <w:rFonts w:ascii="標楷體" w:eastAsia="標楷體" w:hAnsi="標楷體"/>
          <w:szCs w:val="22"/>
        </w:rPr>
        <w:t>生</w:t>
      </w:r>
      <w:r w:rsidR="00101655">
        <w:rPr>
          <w:rFonts w:ascii="標楷體" w:eastAsia="標楷體" w:hAnsi="標楷體" w:hint="eastAsia"/>
          <w:color w:val="FF0000"/>
          <w:kern w:val="0"/>
          <w:highlight w:val="yellow"/>
        </w:rPr>
        <w:t>』</w:t>
      </w:r>
      <w:r w:rsidRPr="00212D57">
        <w:rPr>
          <w:rFonts w:ascii="標楷體" w:eastAsia="標楷體" w:hAnsi="標楷體"/>
          <w:szCs w:val="22"/>
        </w:rPr>
        <w:t>果</w:t>
      </w:r>
      <w:r w:rsidR="009A79F4">
        <w:rPr>
          <w:rFonts w:ascii="標楷體" w:eastAsia="標楷體" w:hAnsi="標楷體" w:hint="eastAsia"/>
          <w:color w:val="FF0000"/>
          <w:szCs w:val="22"/>
          <w:highlight w:val="yellow"/>
        </w:rPr>
        <w:t>」。「</w:t>
      </w:r>
      <w:r w:rsidRPr="00212D57">
        <w:rPr>
          <w:rFonts w:ascii="標楷體" w:eastAsia="標楷體" w:hAnsi="標楷體"/>
          <w:szCs w:val="22"/>
        </w:rPr>
        <w:t>法住</w:t>
      </w:r>
      <w:r w:rsidR="009A79F4" w:rsidRPr="009A79F4">
        <w:rPr>
          <w:rFonts w:ascii="標楷體" w:eastAsia="標楷體" w:hAnsi="標楷體" w:hint="eastAsia"/>
          <w:color w:val="FF0000"/>
          <w:szCs w:val="22"/>
          <w:highlight w:val="yellow"/>
        </w:rPr>
        <w:t>、</w:t>
      </w:r>
      <w:r w:rsidRPr="00212D57">
        <w:rPr>
          <w:rFonts w:ascii="標楷體" w:eastAsia="標楷體" w:hAnsi="標楷體"/>
          <w:szCs w:val="22"/>
        </w:rPr>
        <w:t>法性</w:t>
      </w:r>
      <w:r w:rsidR="009A79F4">
        <w:rPr>
          <w:rFonts w:ascii="標楷體" w:eastAsia="標楷體" w:hAnsi="標楷體" w:hint="eastAsia"/>
          <w:color w:val="FF0000"/>
          <w:szCs w:val="22"/>
          <w:highlight w:val="yellow"/>
        </w:rPr>
        <w:t>」</w:t>
      </w:r>
      <w:r w:rsidRPr="00212D57">
        <w:rPr>
          <w:rFonts w:ascii="標楷體" w:eastAsia="標楷體" w:hAnsi="標楷體"/>
          <w:szCs w:val="22"/>
        </w:rPr>
        <w:t>是</w:t>
      </w:r>
      <w:r w:rsidR="009A79F4">
        <w:rPr>
          <w:rFonts w:ascii="標楷體" w:eastAsia="標楷體" w:hAnsi="標楷體" w:hint="eastAsia"/>
          <w:color w:val="FF0000"/>
          <w:szCs w:val="22"/>
          <w:highlight w:val="yellow"/>
        </w:rPr>
        <w:t>「</w:t>
      </w:r>
      <w:r w:rsidRPr="00212D57">
        <w:rPr>
          <w:rFonts w:ascii="標楷體" w:eastAsia="標楷體" w:hAnsi="標楷體"/>
          <w:szCs w:val="22"/>
        </w:rPr>
        <w:t>決定</w:t>
      </w:r>
      <w:r w:rsidR="009A79F4">
        <w:rPr>
          <w:rFonts w:ascii="標楷體" w:eastAsia="標楷體" w:hAnsi="標楷體" w:hint="eastAsia"/>
          <w:color w:val="FF0000"/>
          <w:szCs w:val="22"/>
          <w:highlight w:val="yellow"/>
        </w:rPr>
        <w:t>」</w:t>
      </w:r>
      <w:r w:rsidRPr="00212D57">
        <w:rPr>
          <w:rFonts w:ascii="標楷體" w:eastAsia="標楷體" w:hAnsi="標楷體"/>
          <w:szCs w:val="22"/>
        </w:rPr>
        <w:t>義，非</w:t>
      </w:r>
      <w:r w:rsidR="009A79F4">
        <w:rPr>
          <w:rFonts w:ascii="標楷體" w:eastAsia="標楷體" w:hAnsi="標楷體" w:hint="eastAsia"/>
          <w:color w:val="FF0000"/>
          <w:szCs w:val="22"/>
          <w:highlight w:val="yellow"/>
        </w:rPr>
        <w:t>「</w:t>
      </w:r>
      <w:r w:rsidRPr="00212D57">
        <w:rPr>
          <w:rFonts w:ascii="標楷體" w:eastAsia="標楷體" w:hAnsi="標楷體"/>
          <w:szCs w:val="22"/>
        </w:rPr>
        <w:t>無為</w:t>
      </w:r>
      <w:r w:rsidR="009A79F4">
        <w:rPr>
          <w:rFonts w:ascii="標楷體" w:eastAsia="標楷體" w:hAnsi="標楷體" w:hint="eastAsia"/>
          <w:color w:val="FF0000"/>
          <w:szCs w:val="22"/>
          <w:highlight w:val="yellow"/>
        </w:rPr>
        <w:t>」</w:t>
      </w:r>
      <w:r w:rsidRPr="00212D57">
        <w:rPr>
          <w:rFonts w:ascii="標楷體" w:eastAsia="標楷體" w:hAnsi="標楷體"/>
          <w:szCs w:val="22"/>
        </w:rPr>
        <w:t>義</w:t>
      </w:r>
      <w:r w:rsidR="009A79F4">
        <w:rPr>
          <w:rFonts w:eastAsia="標楷體" w:hint="eastAsia"/>
          <w:color w:val="FF0000"/>
          <w:szCs w:val="22"/>
          <w:highlight w:val="yellow"/>
        </w:rPr>
        <w:t>──</w:t>
      </w:r>
      <w:r w:rsidRPr="00212D57">
        <w:rPr>
          <w:rFonts w:ascii="標楷體" w:eastAsia="標楷體" w:hAnsi="標楷體"/>
          <w:szCs w:val="22"/>
        </w:rPr>
        <w:t>經意如是</w:t>
      </w:r>
      <w:r w:rsidR="009A79F4">
        <w:rPr>
          <w:rFonts w:ascii="標楷體" w:eastAsia="標楷體" w:hAnsi="標楷體" w:hint="eastAsia"/>
          <w:color w:val="FF0000"/>
          <w:szCs w:val="22"/>
          <w:highlight w:val="yellow"/>
        </w:rPr>
        <w:t>。</w:t>
      </w:r>
      <w:r w:rsidRPr="00212D57">
        <w:rPr>
          <w:rFonts w:ascii="標楷體" w:eastAsia="標楷體" w:hAnsi="標楷體"/>
          <w:szCs w:val="22"/>
        </w:rPr>
        <w:t>若不爾者，</w:t>
      </w:r>
      <w:r w:rsidRPr="009A79F4">
        <w:rPr>
          <w:rFonts w:ascii="標楷體" w:eastAsia="標楷體" w:hAnsi="標楷體"/>
          <w:szCs w:val="22"/>
          <w:highlight w:val="yellow"/>
        </w:rPr>
        <w:t>契經</w:t>
      </w:r>
      <w:r w:rsidRPr="00212D57">
        <w:rPr>
          <w:rFonts w:ascii="標楷體" w:eastAsia="標楷體" w:hAnsi="標楷體"/>
          <w:szCs w:val="22"/>
        </w:rPr>
        <w:t>亦說「如來出世</w:t>
      </w:r>
      <w:r w:rsidR="009A79F4">
        <w:rPr>
          <w:rFonts w:ascii="標楷體" w:eastAsia="標楷體" w:hAnsi="標楷體" w:hint="eastAsia"/>
          <w:color w:val="FF0000"/>
          <w:szCs w:val="22"/>
          <w:highlight w:val="yellow"/>
        </w:rPr>
        <w:t>、</w:t>
      </w:r>
      <w:r w:rsidRPr="00212D57">
        <w:rPr>
          <w:rFonts w:ascii="標楷體" w:eastAsia="標楷體" w:hAnsi="標楷體"/>
          <w:szCs w:val="22"/>
        </w:rPr>
        <w:t>若不出世，法住</w:t>
      </w:r>
      <w:r w:rsidR="009A79F4" w:rsidRPr="009A79F4">
        <w:rPr>
          <w:rFonts w:ascii="標楷體" w:eastAsia="標楷體" w:hAnsi="標楷體" w:hint="eastAsia"/>
          <w:color w:val="FF0000"/>
          <w:szCs w:val="22"/>
          <w:highlight w:val="yellow"/>
        </w:rPr>
        <w:t>、</w:t>
      </w:r>
      <w:r w:rsidRPr="00212D57">
        <w:rPr>
          <w:rFonts w:ascii="標楷體" w:eastAsia="標楷體" w:hAnsi="標楷體"/>
          <w:szCs w:val="22"/>
        </w:rPr>
        <w:t>法性，色常色相，乃至識常識相</w:t>
      </w:r>
      <w:r w:rsidR="009A79F4">
        <w:rPr>
          <w:rFonts w:ascii="標楷體" w:eastAsia="標楷體" w:hAnsi="標楷體" w:hint="eastAsia"/>
          <w:color w:val="FF0000"/>
          <w:szCs w:val="22"/>
          <w:highlight w:val="yellow"/>
        </w:rPr>
        <w:t>；</w:t>
      </w:r>
      <w:r w:rsidRPr="00212D57">
        <w:rPr>
          <w:rFonts w:ascii="標楷體" w:eastAsia="標楷體" w:hAnsi="標楷體"/>
          <w:szCs w:val="22"/>
        </w:rPr>
        <w:t>地常堅相</w:t>
      </w:r>
      <w:r w:rsidR="009A79F4" w:rsidRPr="009A79F4">
        <w:rPr>
          <w:rFonts w:ascii="標楷體" w:eastAsia="標楷體" w:hAnsi="標楷體" w:hint="eastAsia"/>
          <w:color w:val="FF0000"/>
          <w:szCs w:val="22"/>
          <w:highlight w:val="yellow"/>
        </w:rPr>
        <w:t>，</w:t>
      </w:r>
      <w:r w:rsidRPr="00212D57">
        <w:rPr>
          <w:rFonts w:ascii="標楷體" w:eastAsia="標楷體" w:hAnsi="標楷體"/>
          <w:szCs w:val="22"/>
        </w:rPr>
        <w:t>乃至風常動相</w:t>
      </w:r>
      <w:r w:rsidR="009A79F4">
        <w:rPr>
          <w:rFonts w:ascii="標楷體" w:eastAsia="標楷體" w:hAnsi="標楷體" w:hint="eastAsia"/>
          <w:color w:val="FF0000"/>
          <w:szCs w:val="22"/>
          <w:highlight w:val="yellow"/>
        </w:rPr>
        <w:t>；</w:t>
      </w:r>
      <w:r w:rsidRPr="00212D57">
        <w:rPr>
          <w:rFonts w:ascii="標楷體" w:eastAsia="標楷體" w:hAnsi="標楷體"/>
          <w:szCs w:val="22"/>
        </w:rPr>
        <w:t>喝梨德雞常是苦味，羯竹迦盧呬尼常是辛味</w:t>
      </w:r>
      <w:r w:rsidRPr="00212D57">
        <w:rPr>
          <w:rFonts w:ascii="標楷體" w:eastAsia="標楷體" w:hAnsi="標楷體" w:hint="eastAsia"/>
          <w:szCs w:val="22"/>
        </w:rPr>
        <w:t>」</w:t>
      </w:r>
      <w:r w:rsidRPr="00212D57">
        <w:rPr>
          <w:rFonts w:ascii="標楷體" w:eastAsia="標楷體" w:hAnsi="標楷體"/>
          <w:szCs w:val="22"/>
        </w:rPr>
        <w:t>，豈五蘊等亦是無為？</w:t>
      </w:r>
      <w:r w:rsidRPr="00212D57">
        <w:rPr>
          <w:rFonts w:ascii="標楷體" w:eastAsia="標楷體" w:hAnsi="標楷體"/>
          <w:b/>
          <w:szCs w:val="22"/>
        </w:rPr>
        <w:t>彼既有為，</w:t>
      </w:r>
      <w:r w:rsidR="009A79F4">
        <w:rPr>
          <w:rFonts w:ascii="標楷體" w:eastAsia="標楷體" w:hAnsi="標楷體" w:hint="eastAsia"/>
          <w:color w:val="FF0000"/>
          <w:szCs w:val="22"/>
          <w:highlight w:val="yellow"/>
        </w:rPr>
        <w:t>「</w:t>
      </w:r>
      <w:r w:rsidRPr="00212D57">
        <w:rPr>
          <w:rFonts w:ascii="標楷體" w:eastAsia="標楷體" w:hAnsi="標楷體"/>
          <w:b/>
          <w:szCs w:val="22"/>
        </w:rPr>
        <w:t>緣起</w:t>
      </w:r>
      <w:r w:rsidR="009A79F4">
        <w:rPr>
          <w:rFonts w:ascii="標楷體" w:eastAsia="標楷體" w:hAnsi="標楷體" w:hint="eastAsia"/>
          <w:color w:val="FF0000"/>
          <w:szCs w:val="22"/>
          <w:highlight w:val="yellow"/>
        </w:rPr>
        <w:t>」</w:t>
      </w:r>
      <w:r w:rsidRPr="00212D57">
        <w:rPr>
          <w:rFonts w:ascii="標楷體" w:eastAsia="標楷體" w:hAnsi="標楷體"/>
          <w:b/>
          <w:szCs w:val="22"/>
        </w:rPr>
        <w:t>亦爾，謂</w:t>
      </w:r>
      <w:r w:rsidR="009A79F4">
        <w:rPr>
          <w:rFonts w:ascii="標楷體" w:eastAsia="標楷體" w:hAnsi="標楷體" w:hint="eastAsia"/>
          <w:color w:val="FF0000"/>
          <w:szCs w:val="22"/>
          <w:highlight w:val="yellow"/>
        </w:rPr>
        <w:t>「</w:t>
      </w:r>
      <w:r w:rsidRPr="00212D57">
        <w:rPr>
          <w:rFonts w:ascii="標楷體" w:eastAsia="標楷體" w:hAnsi="標楷體"/>
          <w:b/>
          <w:szCs w:val="22"/>
        </w:rPr>
        <w:t>五蘊等自相決定</w:t>
      </w:r>
      <w:r w:rsidR="009A79F4">
        <w:rPr>
          <w:rFonts w:ascii="標楷體" w:eastAsia="標楷體" w:hAnsi="標楷體" w:hint="eastAsia"/>
          <w:color w:val="FF0000"/>
          <w:szCs w:val="22"/>
          <w:highlight w:val="yellow"/>
        </w:rPr>
        <w:t>」，</w:t>
      </w:r>
      <w:r w:rsidRPr="00212D57">
        <w:rPr>
          <w:rFonts w:ascii="標楷體" w:eastAsia="標楷體" w:hAnsi="標楷體"/>
          <w:b/>
          <w:szCs w:val="22"/>
        </w:rPr>
        <w:t>說如是言</w:t>
      </w:r>
      <w:r w:rsidR="009A79F4">
        <w:rPr>
          <w:rFonts w:ascii="標楷體" w:eastAsia="標楷體" w:hAnsi="標楷體" w:hint="eastAsia"/>
          <w:b/>
          <w:color w:val="FF0000"/>
          <w:szCs w:val="22"/>
          <w:highlight w:val="yellow"/>
        </w:rPr>
        <w:t>；</w:t>
      </w:r>
      <w:r w:rsidR="009A79F4">
        <w:rPr>
          <w:rFonts w:ascii="標楷體" w:eastAsia="標楷體" w:hAnsi="標楷體" w:hint="eastAsia"/>
          <w:color w:val="FF0000"/>
          <w:szCs w:val="22"/>
          <w:highlight w:val="yellow"/>
        </w:rPr>
        <w:t>「</w:t>
      </w:r>
      <w:r w:rsidRPr="00212D57">
        <w:rPr>
          <w:rFonts w:ascii="標楷體" w:eastAsia="標楷體" w:hAnsi="標楷體"/>
          <w:b/>
          <w:szCs w:val="22"/>
        </w:rPr>
        <w:t>緣起</w:t>
      </w:r>
      <w:r w:rsidR="009A79F4">
        <w:rPr>
          <w:rFonts w:ascii="標楷體" w:eastAsia="標楷體" w:hAnsi="標楷體" w:hint="eastAsia"/>
          <w:color w:val="FF0000"/>
          <w:szCs w:val="22"/>
          <w:highlight w:val="yellow"/>
        </w:rPr>
        <w:t>」</w:t>
      </w:r>
      <w:r w:rsidRPr="00212D57">
        <w:rPr>
          <w:rFonts w:ascii="標楷體" w:eastAsia="標楷體" w:hAnsi="標楷體"/>
          <w:b/>
          <w:szCs w:val="22"/>
        </w:rPr>
        <w:t>亦依</w:t>
      </w:r>
      <w:r w:rsidR="009A79F4">
        <w:rPr>
          <w:rFonts w:ascii="標楷體" w:eastAsia="標楷體" w:hAnsi="標楷體" w:hint="eastAsia"/>
          <w:color w:val="FF0000"/>
          <w:szCs w:val="22"/>
          <w:highlight w:val="yellow"/>
        </w:rPr>
        <w:t>「</w:t>
      </w:r>
      <w:r w:rsidRPr="00212D57">
        <w:rPr>
          <w:rFonts w:ascii="標楷體" w:eastAsia="標楷體" w:hAnsi="標楷體"/>
          <w:b/>
          <w:szCs w:val="22"/>
        </w:rPr>
        <w:t>因果決定</w:t>
      </w:r>
      <w:r w:rsidR="009A79F4">
        <w:rPr>
          <w:rFonts w:ascii="標楷體" w:eastAsia="標楷體" w:hAnsi="標楷體" w:hint="eastAsia"/>
          <w:color w:val="FF0000"/>
          <w:szCs w:val="22"/>
          <w:highlight w:val="yellow"/>
        </w:rPr>
        <w:t>」</w:t>
      </w:r>
      <w:r w:rsidRPr="00212D57">
        <w:rPr>
          <w:rFonts w:ascii="標楷體" w:eastAsia="標楷體" w:hAnsi="標楷體"/>
          <w:b/>
          <w:szCs w:val="22"/>
        </w:rPr>
        <w:t>作如是說</w:t>
      </w:r>
      <w:r w:rsidRPr="00212D57">
        <w:rPr>
          <w:rFonts w:ascii="標楷體" w:eastAsia="標楷體" w:hAnsi="標楷體"/>
          <w:szCs w:val="22"/>
        </w:rPr>
        <w:t>。</w:t>
      </w:r>
    </w:p>
    <w:p w:rsidR="00157EF6" w:rsidRPr="00212D57" w:rsidRDefault="00157EF6" w:rsidP="00604872">
      <w:pPr>
        <w:pStyle w:val="a5"/>
        <w:ind w:leftChars="300" w:left="1160" w:hangingChars="200" w:hanging="440"/>
        <w:jc w:val="both"/>
        <w:rPr>
          <w:szCs w:val="22"/>
        </w:rPr>
      </w:pPr>
      <w:r w:rsidRPr="00212D57">
        <w:rPr>
          <w:rFonts w:ascii="標楷體" w:eastAsia="標楷體" w:hAnsi="標楷體"/>
          <w:szCs w:val="22"/>
        </w:rPr>
        <w:t>為止如是他宗異執</w:t>
      </w:r>
      <w:r w:rsidR="009A79F4">
        <w:rPr>
          <w:rFonts w:ascii="標楷體" w:eastAsia="標楷體" w:hAnsi="標楷體" w:hint="eastAsia"/>
          <w:color w:val="FF0000"/>
          <w:szCs w:val="22"/>
          <w:highlight w:val="yellow"/>
        </w:rPr>
        <w:t>，</w:t>
      </w:r>
      <w:r w:rsidRPr="00212D57">
        <w:rPr>
          <w:rFonts w:ascii="標楷體" w:eastAsia="標楷體" w:hAnsi="標楷體"/>
          <w:szCs w:val="22"/>
        </w:rPr>
        <w:t>顯示正理</w:t>
      </w:r>
      <w:r w:rsidR="009A79F4" w:rsidRPr="009A79F4">
        <w:rPr>
          <w:rFonts w:ascii="標楷體" w:eastAsia="標楷體" w:hAnsi="標楷體" w:hint="eastAsia"/>
          <w:color w:val="FF0000"/>
          <w:szCs w:val="22"/>
          <w:highlight w:val="yellow"/>
        </w:rPr>
        <w:t>，</w:t>
      </w:r>
      <w:r w:rsidRPr="00212D57">
        <w:rPr>
          <w:rFonts w:ascii="標楷體" w:eastAsia="標楷體" w:hAnsi="標楷體"/>
          <w:szCs w:val="22"/>
        </w:rPr>
        <w:t>故作斯論。</w:t>
      </w:r>
    </w:p>
  </w:footnote>
  <w:footnote w:id="188">
    <w:p w:rsidR="00157EF6" w:rsidRPr="00212D57" w:rsidRDefault="00157EF6" w:rsidP="00604872">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rFonts w:hint="eastAsia"/>
          <w:szCs w:val="22"/>
        </w:rPr>
        <w:t>）</w:t>
      </w:r>
      <w:r w:rsidRPr="00212D57">
        <w:rPr>
          <w:szCs w:val="22"/>
        </w:rPr>
        <w:t>《阿毘達磨俱舍論》卷</w:t>
      </w:r>
      <w:r w:rsidRPr="00761EF3">
        <w:rPr>
          <w:szCs w:val="22"/>
        </w:rPr>
        <w:t>2</w:t>
      </w:r>
      <w:r w:rsidRPr="00212D57">
        <w:rPr>
          <w:szCs w:val="22"/>
        </w:rPr>
        <w:t>〈</w:t>
      </w:r>
      <w:r w:rsidRPr="00761EF3">
        <w:rPr>
          <w:szCs w:val="22"/>
        </w:rPr>
        <w:t>1</w:t>
      </w:r>
      <w:r w:rsidRPr="00212D57">
        <w:rPr>
          <w:szCs w:val="22"/>
        </w:rPr>
        <w:t xml:space="preserve"> </w:t>
      </w:r>
      <w:r w:rsidRPr="00212D57">
        <w:rPr>
          <w:szCs w:val="22"/>
        </w:rPr>
        <w:t>分別界品〉（大正</w:t>
      </w:r>
      <w:r w:rsidRPr="00761EF3">
        <w:rPr>
          <w:szCs w:val="22"/>
        </w:rPr>
        <w:t>29</w:t>
      </w:r>
      <w:r w:rsidRPr="00212D57">
        <w:rPr>
          <w:szCs w:val="22"/>
        </w:rPr>
        <w:t>，</w:t>
      </w:r>
      <w:r w:rsidRPr="00761EF3">
        <w:rPr>
          <w:szCs w:val="22"/>
        </w:rPr>
        <w:t>11b1</w:t>
      </w:r>
      <w:r w:rsidRPr="00212D57">
        <w:rPr>
          <w:szCs w:val="22"/>
        </w:rPr>
        <w:t>-</w:t>
      </w:r>
      <w:r w:rsidRPr="00761EF3">
        <w:rPr>
          <w:szCs w:val="22"/>
        </w:rPr>
        <w:t>6</w:t>
      </w:r>
      <w:r w:rsidRPr="00212D57">
        <w:rPr>
          <w:szCs w:val="22"/>
        </w:rPr>
        <w:t>）：</w:t>
      </w:r>
    </w:p>
    <w:p w:rsidR="00157EF6" w:rsidRPr="00212D57" w:rsidRDefault="00157EF6" w:rsidP="003F3D70">
      <w:pPr>
        <w:pStyle w:val="a5"/>
        <w:ind w:leftChars="300" w:left="720"/>
        <w:jc w:val="both"/>
        <w:rPr>
          <w:szCs w:val="22"/>
        </w:rPr>
      </w:pPr>
      <w:r w:rsidRPr="00212D57">
        <w:rPr>
          <w:rFonts w:eastAsia="標楷體"/>
          <w:szCs w:val="22"/>
        </w:rPr>
        <w:t>經部諸師有作是說：如何共聚楂掣虛空？</w:t>
      </w:r>
      <w:r w:rsidR="005254DC" w:rsidRPr="005254DC">
        <w:rPr>
          <w:rFonts w:eastAsia="標楷體" w:hint="eastAsia"/>
          <w:szCs w:val="22"/>
          <w:shd w:val="pct15" w:color="auto" w:fill="FFFFFF"/>
        </w:rPr>
        <w:t>*</w:t>
      </w:r>
      <w:r w:rsidR="005254DC">
        <w:rPr>
          <w:rFonts w:cs="新細明體" w:hint="eastAsia"/>
          <w:szCs w:val="22"/>
          <w:shd w:val="pct15" w:color="auto" w:fill="FFFFFF"/>
          <w:vertAlign w:val="superscript"/>
        </w:rPr>
        <w:t>1</w:t>
      </w:r>
      <w:r w:rsidR="00101655">
        <w:rPr>
          <w:rFonts w:ascii="標楷體" w:eastAsia="標楷體" w:hAnsi="標楷體" w:hint="eastAsia"/>
          <w:bCs/>
          <w:color w:val="FF0000"/>
          <w:kern w:val="0"/>
          <w:highlight w:val="yellow"/>
        </w:rPr>
        <w:t>「</w:t>
      </w:r>
      <w:r w:rsidRPr="00212D57">
        <w:rPr>
          <w:rFonts w:eastAsia="標楷體"/>
          <w:szCs w:val="22"/>
        </w:rPr>
        <w:t>眼</w:t>
      </w:r>
      <w:r w:rsidR="00101655">
        <w:rPr>
          <w:rFonts w:ascii="標楷體" w:eastAsia="標楷體" w:hAnsi="標楷體" w:hint="eastAsia"/>
          <w:bCs/>
          <w:color w:val="FF0000"/>
          <w:kern w:val="0"/>
          <w:highlight w:val="yellow"/>
        </w:rPr>
        <w:t>」</w:t>
      </w:r>
      <w:r w:rsidR="00101655">
        <w:rPr>
          <w:rFonts w:ascii="標楷體" w:eastAsia="標楷體" w:hAnsi="標楷體" w:hint="eastAsia"/>
          <w:color w:val="FF0000"/>
          <w:spacing w:val="-4"/>
          <w:kern w:val="0"/>
          <w:highlight w:val="yellow"/>
        </w:rPr>
        <w:t>、</w:t>
      </w:r>
      <w:r w:rsidR="00101655">
        <w:rPr>
          <w:rFonts w:ascii="標楷體" w:eastAsia="標楷體" w:hAnsi="標楷體" w:hint="eastAsia"/>
          <w:bCs/>
          <w:color w:val="FF0000"/>
          <w:kern w:val="0"/>
          <w:highlight w:val="yellow"/>
        </w:rPr>
        <w:t>「</w:t>
      </w:r>
      <w:r w:rsidRPr="00212D57">
        <w:rPr>
          <w:rFonts w:eastAsia="標楷體"/>
          <w:szCs w:val="22"/>
        </w:rPr>
        <w:t>色</w:t>
      </w:r>
      <w:r w:rsidR="00101655">
        <w:rPr>
          <w:rFonts w:ascii="標楷體" w:eastAsia="標楷體" w:hAnsi="標楷體" w:hint="eastAsia"/>
          <w:bCs/>
          <w:color w:val="FF0000"/>
          <w:kern w:val="0"/>
          <w:highlight w:val="yellow"/>
        </w:rPr>
        <w:t>」</w:t>
      </w:r>
      <w:r w:rsidRPr="00212D57">
        <w:rPr>
          <w:rFonts w:eastAsia="標楷體"/>
          <w:szCs w:val="22"/>
        </w:rPr>
        <w:t>等緣生於</w:t>
      </w:r>
      <w:r w:rsidR="00101655">
        <w:rPr>
          <w:rFonts w:ascii="標楷體" w:eastAsia="標楷體" w:hAnsi="標楷體" w:hint="eastAsia"/>
          <w:bCs/>
          <w:color w:val="FF0000"/>
          <w:kern w:val="0"/>
          <w:highlight w:val="yellow"/>
        </w:rPr>
        <w:t>「</w:t>
      </w:r>
      <w:r w:rsidRPr="00212D57">
        <w:rPr>
          <w:rFonts w:eastAsia="標楷體"/>
          <w:szCs w:val="22"/>
        </w:rPr>
        <w:t>眼識</w:t>
      </w:r>
      <w:r w:rsidR="00101655">
        <w:rPr>
          <w:rFonts w:ascii="標楷體" w:eastAsia="標楷體" w:hAnsi="標楷體" w:hint="eastAsia"/>
          <w:bCs/>
          <w:color w:val="FF0000"/>
          <w:kern w:val="0"/>
          <w:highlight w:val="yellow"/>
        </w:rPr>
        <w:t>」</w:t>
      </w:r>
      <w:r w:rsidRPr="00212D57">
        <w:rPr>
          <w:rFonts w:eastAsia="標楷體"/>
          <w:szCs w:val="22"/>
        </w:rPr>
        <w:t>。此等於</w:t>
      </w:r>
      <w:r w:rsidR="00101655">
        <w:rPr>
          <w:rFonts w:ascii="標楷體" w:eastAsia="標楷體" w:hAnsi="標楷體" w:hint="eastAsia"/>
          <w:bCs/>
          <w:color w:val="FF0000"/>
          <w:kern w:val="0"/>
          <w:highlight w:val="yellow"/>
        </w:rPr>
        <w:t>「</w:t>
      </w:r>
      <w:r w:rsidRPr="00212D57">
        <w:rPr>
          <w:rFonts w:eastAsia="標楷體"/>
          <w:szCs w:val="22"/>
        </w:rPr>
        <w:t>見</w:t>
      </w:r>
      <w:r w:rsidR="00101655">
        <w:rPr>
          <w:rFonts w:ascii="標楷體" w:eastAsia="標楷體" w:hAnsi="標楷體" w:hint="eastAsia"/>
          <w:bCs/>
          <w:color w:val="FF0000"/>
          <w:kern w:val="0"/>
          <w:highlight w:val="yellow"/>
        </w:rPr>
        <w:t>」</w:t>
      </w:r>
      <w:r w:rsidRPr="00212D57">
        <w:rPr>
          <w:rFonts w:eastAsia="標楷體"/>
          <w:szCs w:val="22"/>
        </w:rPr>
        <w:t>孰為能</w:t>
      </w:r>
      <w:r w:rsidR="00101655">
        <w:rPr>
          <w:rFonts w:ascii="標楷體" w:eastAsia="標楷體" w:hAnsi="標楷體" w:hint="eastAsia"/>
          <w:color w:val="FF0000"/>
          <w:spacing w:val="-4"/>
          <w:kern w:val="0"/>
          <w:highlight w:val="yellow"/>
        </w:rPr>
        <w:t>、</w:t>
      </w:r>
      <w:r w:rsidRPr="00212D57">
        <w:rPr>
          <w:rFonts w:eastAsia="標楷體"/>
          <w:szCs w:val="22"/>
        </w:rPr>
        <w:t>所</w:t>
      </w:r>
      <w:r w:rsidR="00101655">
        <w:rPr>
          <w:rFonts w:ascii="標楷體" w:eastAsia="標楷體" w:hAnsi="標楷體" w:hint="eastAsia"/>
          <w:color w:val="FF0000"/>
          <w:spacing w:val="-4"/>
          <w:kern w:val="0"/>
          <w:highlight w:val="yellow"/>
        </w:rPr>
        <w:t>？</w:t>
      </w:r>
      <w:r w:rsidRPr="00212D57">
        <w:rPr>
          <w:rFonts w:eastAsia="標楷體"/>
          <w:b/>
          <w:szCs w:val="22"/>
        </w:rPr>
        <w:t>唯法因果，實無作用</w:t>
      </w:r>
      <w:r w:rsidR="005254DC" w:rsidRPr="005254DC">
        <w:rPr>
          <w:rFonts w:eastAsia="標楷體" w:hint="eastAsia"/>
          <w:b/>
          <w:color w:val="FF0000"/>
          <w:szCs w:val="22"/>
          <w:highlight w:val="yellow"/>
        </w:rPr>
        <w:t>。</w:t>
      </w:r>
      <w:r w:rsidRPr="00212D57">
        <w:rPr>
          <w:rFonts w:eastAsia="標楷體"/>
          <w:szCs w:val="22"/>
        </w:rPr>
        <w:t>為順世情，假興言說</w:t>
      </w:r>
      <w:r w:rsidR="005254DC" w:rsidRPr="005254DC">
        <w:rPr>
          <w:rFonts w:eastAsia="標楷體" w:hint="eastAsia"/>
          <w:color w:val="FF0000"/>
          <w:szCs w:val="22"/>
          <w:highlight w:val="yellow"/>
        </w:rPr>
        <w:t>：</w:t>
      </w:r>
      <w:r w:rsidR="00101655">
        <w:rPr>
          <w:rFonts w:ascii="標楷體" w:eastAsia="標楷體" w:hAnsi="標楷體" w:hint="eastAsia"/>
          <w:bCs/>
          <w:color w:val="FF0000"/>
          <w:kern w:val="0"/>
          <w:highlight w:val="yellow"/>
        </w:rPr>
        <w:t>「</w:t>
      </w:r>
      <w:r w:rsidR="00101655">
        <w:rPr>
          <w:rFonts w:ascii="標楷體" w:eastAsia="標楷體" w:hAnsi="標楷體" w:hint="eastAsia"/>
          <w:color w:val="FF0000"/>
          <w:kern w:val="0"/>
          <w:highlight w:val="yellow"/>
        </w:rPr>
        <w:t>『</w:t>
      </w:r>
      <w:r w:rsidRPr="00212D57">
        <w:rPr>
          <w:rFonts w:eastAsia="標楷體"/>
          <w:szCs w:val="22"/>
        </w:rPr>
        <w:t>眼</w:t>
      </w:r>
      <w:r w:rsidR="00101655">
        <w:rPr>
          <w:rFonts w:ascii="標楷體" w:eastAsia="標楷體" w:hAnsi="標楷體" w:hint="eastAsia"/>
          <w:color w:val="FF0000"/>
          <w:kern w:val="0"/>
          <w:highlight w:val="yellow"/>
        </w:rPr>
        <w:t>』</w:t>
      </w:r>
      <w:r w:rsidRPr="00212D57">
        <w:rPr>
          <w:rFonts w:eastAsia="標楷體"/>
          <w:szCs w:val="22"/>
        </w:rPr>
        <w:t>名</w:t>
      </w:r>
      <w:r w:rsidR="00101655">
        <w:rPr>
          <w:rFonts w:ascii="標楷體" w:eastAsia="標楷體" w:hAnsi="標楷體" w:hint="eastAsia"/>
          <w:color w:val="FF0000"/>
          <w:kern w:val="0"/>
          <w:highlight w:val="yellow"/>
        </w:rPr>
        <w:t>『</w:t>
      </w:r>
      <w:r w:rsidRPr="00212D57">
        <w:rPr>
          <w:rFonts w:eastAsia="標楷體"/>
          <w:szCs w:val="22"/>
        </w:rPr>
        <w:t>能見</w:t>
      </w:r>
      <w:r w:rsidR="00101655">
        <w:rPr>
          <w:rFonts w:ascii="標楷體" w:eastAsia="標楷體" w:hAnsi="標楷體" w:hint="eastAsia"/>
          <w:color w:val="FF0000"/>
          <w:kern w:val="0"/>
          <w:highlight w:val="yellow"/>
        </w:rPr>
        <w:t>』</w:t>
      </w:r>
      <w:r w:rsidRPr="00212D57">
        <w:rPr>
          <w:rFonts w:eastAsia="標楷體"/>
          <w:szCs w:val="22"/>
        </w:rPr>
        <w:t>，</w:t>
      </w:r>
      <w:r w:rsidR="00101655">
        <w:rPr>
          <w:rFonts w:ascii="標楷體" w:eastAsia="標楷體" w:hAnsi="標楷體" w:hint="eastAsia"/>
          <w:color w:val="FF0000"/>
          <w:kern w:val="0"/>
          <w:highlight w:val="yellow"/>
        </w:rPr>
        <w:t>『</w:t>
      </w:r>
      <w:r w:rsidRPr="00212D57">
        <w:rPr>
          <w:rFonts w:eastAsia="標楷體"/>
          <w:szCs w:val="22"/>
        </w:rPr>
        <w:t>識</w:t>
      </w:r>
      <w:r w:rsidR="00101655">
        <w:rPr>
          <w:rFonts w:ascii="標楷體" w:eastAsia="標楷體" w:hAnsi="標楷體" w:hint="eastAsia"/>
          <w:color w:val="FF0000"/>
          <w:kern w:val="0"/>
          <w:highlight w:val="yellow"/>
        </w:rPr>
        <w:t>』</w:t>
      </w:r>
      <w:r w:rsidRPr="00212D57">
        <w:rPr>
          <w:rFonts w:eastAsia="標楷體"/>
          <w:szCs w:val="22"/>
        </w:rPr>
        <w:t>名</w:t>
      </w:r>
      <w:r w:rsidR="00101655">
        <w:rPr>
          <w:rFonts w:ascii="標楷體" w:eastAsia="標楷體" w:hAnsi="標楷體" w:hint="eastAsia"/>
          <w:color w:val="FF0000"/>
          <w:kern w:val="0"/>
          <w:highlight w:val="yellow"/>
        </w:rPr>
        <w:t>『</w:t>
      </w:r>
      <w:r w:rsidRPr="00212D57">
        <w:rPr>
          <w:rFonts w:eastAsia="標楷體"/>
          <w:szCs w:val="22"/>
        </w:rPr>
        <w:t>能了</w:t>
      </w:r>
      <w:r w:rsidR="00101655">
        <w:rPr>
          <w:rFonts w:ascii="標楷體" w:eastAsia="標楷體" w:hAnsi="標楷體" w:hint="eastAsia"/>
          <w:color w:val="FF0000"/>
          <w:kern w:val="0"/>
          <w:highlight w:val="yellow"/>
        </w:rPr>
        <w:t>』</w:t>
      </w:r>
      <w:r w:rsidR="005254DC">
        <w:rPr>
          <w:rFonts w:ascii="標楷體" w:eastAsia="標楷體" w:hAnsi="標楷體" w:hint="eastAsia"/>
          <w:color w:val="FF0000"/>
          <w:kern w:val="0"/>
          <w:highlight w:val="yellow"/>
        </w:rPr>
        <w:t>。</w:t>
      </w:r>
      <w:r w:rsidR="00101655">
        <w:rPr>
          <w:rFonts w:ascii="標楷體" w:eastAsia="標楷體" w:hAnsi="標楷體" w:hint="eastAsia"/>
          <w:bCs/>
          <w:color w:val="FF0000"/>
          <w:kern w:val="0"/>
          <w:highlight w:val="yellow"/>
        </w:rPr>
        <w:t>」</w:t>
      </w:r>
      <w:r w:rsidRPr="00212D57">
        <w:rPr>
          <w:rFonts w:eastAsia="標楷體"/>
          <w:szCs w:val="22"/>
        </w:rPr>
        <w:t>智者於中不應封著</w:t>
      </w:r>
      <w:r w:rsidR="00101655">
        <w:rPr>
          <w:rFonts w:ascii="標楷體" w:eastAsia="標楷體" w:hAnsi="標楷體" w:hint="eastAsia"/>
          <w:color w:val="FF0000"/>
          <w:spacing w:val="-4"/>
          <w:kern w:val="0"/>
          <w:highlight w:val="yellow"/>
        </w:rPr>
        <w:t>；</w:t>
      </w:r>
      <w:r w:rsidRPr="00212D57">
        <w:rPr>
          <w:rFonts w:eastAsia="標楷體"/>
          <w:szCs w:val="22"/>
        </w:rPr>
        <w:t>如世尊說：「方域言詞</w:t>
      </w:r>
      <w:r w:rsidR="00101655">
        <w:rPr>
          <w:rFonts w:ascii="標楷體" w:eastAsia="標楷體" w:hAnsi="標楷體" w:hint="eastAsia"/>
          <w:color w:val="FF0000"/>
          <w:kern w:val="0"/>
          <w:highlight w:val="yellow"/>
        </w:rPr>
        <w:t>，</w:t>
      </w:r>
      <w:r w:rsidRPr="00212D57">
        <w:rPr>
          <w:rFonts w:eastAsia="標楷體"/>
          <w:szCs w:val="22"/>
        </w:rPr>
        <w:t>不應堅執</w:t>
      </w:r>
      <w:r w:rsidR="00101655">
        <w:rPr>
          <w:rFonts w:ascii="標楷體" w:eastAsia="標楷體" w:hAnsi="標楷體" w:hint="eastAsia"/>
          <w:color w:val="FF0000"/>
          <w:spacing w:val="-4"/>
          <w:kern w:val="0"/>
          <w:highlight w:val="yellow"/>
        </w:rPr>
        <w:t>；</w:t>
      </w:r>
      <w:r w:rsidRPr="00212D57">
        <w:rPr>
          <w:rFonts w:eastAsia="標楷體"/>
          <w:szCs w:val="22"/>
        </w:rPr>
        <w:t>世俗名想</w:t>
      </w:r>
      <w:r w:rsidR="00101655">
        <w:rPr>
          <w:rFonts w:ascii="標楷體" w:eastAsia="標楷體" w:hAnsi="標楷體" w:hint="eastAsia"/>
          <w:color w:val="FF0000"/>
          <w:kern w:val="0"/>
          <w:highlight w:val="yellow"/>
        </w:rPr>
        <w:t>，</w:t>
      </w:r>
      <w:r w:rsidRPr="00212D57">
        <w:rPr>
          <w:rFonts w:eastAsia="標楷體"/>
          <w:szCs w:val="22"/>
        </w:rPr>
        <w:t>不應固求。」</w:t>
      </w:r>
      <w:r w:rsidR="005254DC" w:rsidRPr="005254DC">
        <w:rPr>
          <w:rFonts w:eastAsia="標楷體" w:hint="eastAsia"/>
          <w:color w:val="FF0000"/>
          <w:szCs w:val="22"/>
          <w:shd w:val="pct15" w:color="auto" w:fill="FFFFFF"/>
        </w:rPr>
        <w:t>*</w:t>
      </w:r>
      <w:r w:rsidR="005254DC">
        <w:rPr>
          <w:rFonts w:cs="新細明體" w:hint="eastAsia"/>
          <w:color w:val="FF0000"/>
          <w:szCs w:val="22"/>
          <w:shd w:val="pct15" w:color="auto" w:fill="FFFFFF"/>
          <w:vertAlign w:val="superscript"/>
        </w:rPr>
        <w:t>2</w:t>
      </w:r>
    </w:p>
    <w:p w:rsidR="00157EF6" w:rsidRPr="00212D57" w:rsidRDefault="005254DC" w:rsidP="005254DC">
      <w:pPr>
        <w:pStyle w:val="a5"/>
        <w:ind w:leftChars="300" w:left="940" w:hangingChars="100" w:hanging="220"/>
        <w:jc w:val="both"/>
        <w:rPr>
          <w:szCs w:val="22"/>
        </w:rPr>
      </w:pPr>
      <w:r w:rsidRPr="005254DC">
        <w:rPr>
          <w:rFonts w:hint="eastAsia"/>
          <w:szCs w:val="22"/>
          <w:shd w:val="pct15" w:color="auto" w:fill="FFFFFF"/>
        </w:rPr>
        <w:t>*1</w:t>
      </w:r>
      <w:r w:rsidRPr="005254DC">
        <w:rPr>
          <w:rFonts w:hint="eastAsia"/>
          <w:szCs w:val="22"/>
        </w:rPr>
        <w:t xml:space="preserve"> </w:t>
      </w:r>
      <w:r w:rsidR="00157EF6" w:rsidRPr="00761EF3">
        <w:rPr>
          <w:rFonts w:eastAsia="Roman Unicode"/>
          <w:szCs w:val="22"/>
        </w:rPr>
        <w:t>kim</w:t>
      </w:r>
      <w:r w:rsidR="00157EF6" w:rsidRPr="00212D57">
        <w:rPr>
          <w:rFonts w:eastAsia="Roman Unicode"/>
          <w:szCs w:val="22"/>
        </w:rPr>
        <w:t xml:space="preserve"> </w:t>
      </w:r>
      <w:r w:rsidR="00157EF6" w:rsidRPr="00761EF3">
        <w:rPr>
          <w:rFonts w:eastAsia="Roman Unicode"/>
          <w:szCs w:val="22"/>
        </w:rPr>
        <w:t>idam</w:t>
      </w:r>
      <w:r w:rsidR="00157EF6" w:rsidRPr="00212D57">
        <w:rPr>
          <w:rFonts w:eastAsia="Roman Unicode"/>
          <w:szCs w:val="22"/>
        </w:rPr>
        <w:t xml:space="preserve"> </w:t>
      </w:r>
      <w:r w:rsidR="00157EF6" w:rsidRPr="00761EF3">
        <w:rPr>
          <w:rFonts w:eastAsia="Roman Unicode"/>
          <w:szCs w:val="22"/>
        </w:rPr>
        <w:t>ākāśaṃ</w:t>
      </w:r>
      <w:r w:rsidR="00157EF6" w:rsidRPr="00212D57">
        <w:rPr>
          <w:szCs w:val="22"/>
        </w:rPr>
        <w:t>［虛空］</w:t>
      </w:r>
      <w:r w:rsidR="00157EF6" w:rsidRPr="00761EF3">
        <w:rPr>
          <w:rFonts w:eastAsia="Roman Unicode"/>
          <w:szCs w:val="22"/>
        </w:rPr>
        <w:t>khādyate</w:t>
      </w:r>
      <w:r w:rsidR="00157EF6" w:rsidRPr="00212D57">
        <w:rPr>
          <w:szCs w:val="22"/>
        </w:rPr>
        <w:t>［破壞］？</w:t>
      </w:r>
    </w:p>
    <w:p w:rsidR="00157EF6" w:rsidRDefault="00157EF6" w:rsidP="005254DC">
      <w:pPr>
        <w:pStyle w:val="a5"/>
        <w:ind w:leftChars="350" w:left="840"/>
        <w:jc w:val="both"/>
        <w:rPr>
          <w:szCs w:val="22"/>
        </w:rPr>
      </w:pPr>
      <w:r w:rsidRPr="00212D57">
        <w:rPr>
          <w:rFonts w:hint="eastAsia"/>
          <w:szCs w:val="22"/>
        </w:rPr>
        <w:t>〔</w:t>
      </w:r>
      <w:r w:rsidRPr="00212D57">
        <w:rPr>
          <w:szCs w:val="22"/>
        </w:rPr>
        <w:t>陳</w:t>
      </w:r>
      <w:r w:rsidRPr="00212D57">
        <w:rPr>
          <w:rFonts w:hint="eastAsia"/>
          <w:szCs w:val="22"/>
        </w:rPr>
        <w:t>〕</w:t>
      </w:r>
      <w:r w:rsidRPr="00212D57">
        <w:rPr>
          <w:szCs w:val="22"/>
        </w:rPr>
        <w:t>真諦譯</w:t>
      </w:r>
      <w:r w:rsidRPr="00212D57">
        <w:rPr>
          <w:rFonts w:hint="eastAsia"/>
          <w:szCs w:val="22"/>
        </w:rPr>
        <w:t>，</w:t>
      </w:r>
      <w:r w:rsidRPr="00212D57">
        <w:rPr>
          <w:szCs w:val="22"/>
        </w:rPr>
        <w:t>《俱舍釋論》卷</w:t>
      </w:r>
      <w:r w:rsidRPr="00761EF3">
        <w:rPr>
          <w:szCs w:val="22"/>
        </w:rPr>
        <w:t>2</w:t>
      </w:r>
      <w:r w:rsidRPr="00212D57">
        <w:rPr>
          <w:szCs w:val="22"/>
        </w:rPr>
        <w:t>〈</w:t>
      </w:r>
      <w:r w:rsidRPr="00761EF3">
        <w:rPr>
          <w:szCs w:val="22"/>
        </w:rPr>
        <w:t>1</w:t>
      </w:r>
      <w:r w:rsidRPr="00212D57">
        <w:rPr>
          <w:szCs w:val="22"/>
        </w:rPr>
        <w:t xml:space="preserve"> </w:t>
      </w:r>
      <w:r w:rsidRPr="00212D57">
        <w:rPr>
          <w:szCs w:val="22"/>
        </w:rPr>
        <w:t>分別界品〉</w:t>
      </w:r>
      <w:r w:rsidR="00006BC3" w:rsidRPr="00212D57">
        <w:rPr>
          <w:szCs w:val="22"/>
        </w:rPr>
        <w:t>（大正</w:t>
      </w:r>
      <w:r w:rsidR="00006BC3" w:rsidRPr="00761EF3">
        <w:rPr>
          <w:szCs w:val="22"/>
        </w:rPr>
        <w:t>29</w:t>
      </w:r>
      <w:r w:rsidR="00006BC3" w:rsidRPr="00212D57">
        <w:rPr>
          <w:szCs w:val="22"/>
        </w:rPr>
        <w:t>，</w:t>
      </w:r>
      <w:r w:rsidR="00006BC3" w:rsidRPr="00761EF3">
        <w:rPr>
          <w:szCs w:val="22"/>
        </w:rPr>
        <w:t>171a20</w:t>
      </w:r>
      <w:r w:rsidR="00006BC3" w:rsidRPr="00212D57">
        <w:rPr>
          <w:szCs w:val="22"/>
        </w:rPr>
        <w:t>-</w:t>
      </w:r>
      <w:r w:rsidR="00006BC3" w:rsidRPr="00761EF3">
        <w:rPr>
          <w:szCs w:val="22"/>
        </w:rPr>
        <w:t>21</w:t>
      </w:r>
      <w:r w:rsidR="00006BC3" w:rsidRPr="00212D57">
        <w:rPr>
          <w:szCs w:val="22"/>
        </w:rPr>
        <w:t>）</w:t>
      </w:r>
      <w:r w:rsidRPr="00212D57">
        <w:rPr>
          <w:szCs w:val="22"/>
        </w:rPr>
        <w:t>：「</w:t>
      </w:r>
      <w:r w:rsidRPr="00212D57">
        <w:rPr>
          <w:rFonts w:eastAsia="標楷體"/>
          <w:szCs w:val="22"/>
        </w:rPr>
        <w:t>何故共聚</w:t>
      </w:r>
      <w:r w:rsidRPr="00212D57">
        <w:rPr>
          <w:rFonts w:eastAsia="標楷體"/>
          <w:b/>
          <w:szCs w:val="22"/>
        </w:rPr>
        <w:t>破空</w:t>
      </w:r>
      <w:r w:rsidRPr="00212D57">
        <w:rPr>
          <w:rFonts w:eastAsia="標楷體"/>
          <w:szCs w:val="22"/>
        </w:rPr>
        <w:t>？</w:t>
      </w:r>
      <w:r w:rsidRPr="00212D57">
        <w:rPr>
          <w:szCs w:val="22"/>
        </w:rPr>
        <w:t>」</w:t>
      </w:r>
    </w:p>
    <w:p w:rsidR="005254DC" w:rsidRPr="00EB57EF" w:rsidRDefault="005254DC" w:rsidP="005254DC">
      <w:pPr>
        <w:pStyle w:val="a5"/>
        <w:ind w:leftChars="300" w:left="940" w:hangingChars="100" w:hanging="220"/>
        <w:jc w:val="both"/>
        <w:rPr>
          <w:rFonts w:eastAsia="標楷體"/>
          <w:szCs w:val="22"/>
        </w:rPr>
      </w:pPr>
      <w:r w:rsidRPr="00EB57EF">
        <w:rPr>
          <w:rFonts w:hint="eastAsia"/>
          <w:color w:val="FF0000"/>
          <w:szCs w:val="22"/>
          <w:shd w:val="pct15" w:color="auto" w:fill="FFFFFF"/>
        </w:rPr>
        <w:t>*2</w:t>
      </w:r>
      <w:r w:rsidRPr="00EB57EF">
        <w:rPr>
          <w:rFonts w:hint="eastAsia"/>
          <w:color w:val="FF0000"/>
          <w:szCs w:val="22"/>
          <w:highlight w:val="yellow"/>
        </w:rPr>
        <w:t>《中阿含經》（</w:t>
      </w:r>
      <w:r w:rsidRPr="00EB57EF">
        <w:rPr>
          <w:color w:val="FF0000"/>
          <w:szCs w:val="22"/>
          <w:highlight w:val="yellow"/>
        </w:rPr>
        <w:t>169</w:t>
      </w:r>
      <w:r w:rsidRPr="00EB57EF">
        <w:rPr>
          <w:rFonts w:hint="eastAsia"/>
          <w:color w:val="FF0000"/>
          <w:szCs w:val="22"/>
          <w:highlight w:val="yellow"/>
        </w:rPr>
        <w:t>經）卷</w:t>
      </w:r>
      <w:r w:rsidRPr="00EB57EF">
        <w:rPr>
          <w:color w:val="FF0000"/>
          <w:szCs w:val="22"/>
          <w:highlight w:val="yellow"/>
        </w:rPr>
        <w:t>43</w:t>
      </w:r>
      <w:r w:rsidRPr="00EB57EF">
        <w:rPr>
          <w:rFonts w:hint="eastAsia"/>
          <w:color w:val="FF0000"/>
          <w:szCs w:val="22"/>
          <w:highlight w:val="yellow"/>
        </w:rPr>
        <w:t>《拘樓瘦無諍經》（大正</w:t>
      </w:r>
      <w:r w:rsidRPr="00EB57EF">
        <w:rPr>
          <w:color w:val="FF0000"/>
          <w:szCs w:val="22"/>
          <w:highlight w:val="yellow"/>
        </w:rPr>
        <w:t>1</w:t>
      </w:r>
      <w:r w:rsidRPr="00EB57EF">
        <w:rPr>
          <w:rFonts w:hint="eastAsia"/>
          <w:color w:val="FF0000"/>
          <w:szCs w:val="22"/>
          <w:highlight w:val="yellow"/>
        </w:rPr>
        <w:t>，</w:t>
      </w:r>
      <w:r w:rsidRPr="00EB57EF">
        <w:rPr>
          <w:color w:val="FF0000"/>
          <w:szCs w:val="22"/>
          <w:highlight w:val="yellow"/>
        </w:rPr>
        <w:t>703a2-15</w:t>
      </w:r>
      <w:r w:rsidRPr="00EB57EF">
        <w:rPr>
          <w:rFonts w:hint="eastAsia"/>
          <w:color w:val="FF0000"/>
          <w:szCs w:val="22"/>
          <w:highlight w:val="yellow"/>
        </w:rPr>
        <w:t>）。</w:t>
      </w:r>
    </w:p>
    <w:p w:rsidR="00157EF6" w:rsidRPr="00212D57" w:rsidRDefault="00157EF6" w:rsidP="003F3D70">
      <w:pPr>
        <w:pStyle w:val="a5"/>
        <w:ind w:leftChars="80" w:left="731" w:hangingChars="245" w:hanging="539"/>
        <w:jc w:val="both"/>
        <w:rPr>
          <w:szCs w:val="22"/>
        </w:rPr>
      </w:pPr>
      <w:r w:rsidRPr="00212D57">
        <w:rPr>
          <w:szCs w:val="22"/>
        </w:rPr>
        <w:t>（</w:t>
      </w:r>
      <w:r w:rsidRPr="00761EF3">
        <w:rPr>
          <w:szCs w:val="22"/>
        </w:rPr>
        <w:t>2</w:t>
      </w:r>
      <w:r w:rsidRPr="00212D57">
        <w:rPr>
          <w:szCs w:val="22"/>
        </w:rPr>
        <w:t>）參見</w:t>
      </w:r>
      <w:r w:rsidRPr="00212D57">
        <w:rPr>
          <w:rFonts w:hint="eastAsia"/>
          <w:szCs w:val="22"/>
        </w:rPr>
        <w:t>〔</w:t>
      </w:r>
      <w:r w:rsidRPr="00212D57">
        <w:rPr>
          <w:szCs w:val="22"/>
        </w:rPr>
        <w:t>唐</w:t>
      </w:r>
      <w:r w:rsidRPr="00212D57">
        <w:rPr>
          <w:rFonts w:hint="eastAsia"/>
          <w:szCs w:val="22"/>
        </w:rPr>
        <w:t>〕</w:t>
      </w:r>
      <w:r w:rsidRPr="00212D57">
        <w:rPr>
          <w:szCs w:val="22"/>
        </w:rPr>
        <w:t>普光述</w:t>
      </w:r>
      <w:r w:rsidRPr="00212D57">
        <w:rPr>
          <w:rFonts w:hint="eastAsia"/>
          <w:szCs w:val="22"/>
        </w:rPr>
        <w:t>，</w:t>
      </w:r>
      <w:r w:rsidRPr="00212D57">
        <w:rPr>
          <w:szCs w:val="22"/>
        </w:rPr>
        <w:t>《俱舍論記》卷</w:t>
      </w:r>
      <w:r w:rsidRPr="00761EF3">
        <w:rPr>
          <w:szCs w:val="22"/>
        </w:rPr>
        <w:t>2</w:t>
      </w:r>
      <w:r w:rsidRPr="00212D57">
        <w:rPr>
          <w:szCs w:val="22"/>
        </w:rPr>
        <w:t>（大正</w:t>
      </w:r>
      <w:r w:rsidRPr="00761EF3">
        <w:rPr>
          <w:szCs w:val="22"/>
        </w:rPr>
        <w:t>41</w:t>
      </w:r>
      <w:r w:rsidRPr="00212D57">
        <w:rPr>
          <w:szCs w:val="22"/>
        </w:rPr>
        <w:t>，</w:t>
      </w:r>
      <w:r w:rsidRPr="00761EF3">
        <w:rPr>
          <w:szCs w:val="22"/>
        </w:rPr>
        <w:t>50b26</w:t>
      </w:r>
      <w:r w:rsidRPr="00212D57">
        <w:rPr>
          <w:szCs w:val="22"/>
        </w:rPr>
        <w:t>-</w:t>
      </w:r>
      <w:r w:rsidRPr="00761EF3">
        <w:rPr>
          <w:szCs w:val="22"/>
        </w:rPr>
        <w:t>c8</w:t>
      </w:r>
      <w:r w:rsidRPr="00212D57">
        <w:rPr>
          <w:szCs w:val="22"/>
        </w:rPr>
        <w:t>）。</w:t>
      </w:r>
    </w:p>
    <w:p w:rsidR="00157EF6" w:rsidRPr="00212D57" w:rsidRDefault="00157EF6" w:rsidP="000F6419">
      <w:pPr>
        <w:pStyle w:val="a5"/>
        <w:ind w:leftChars="80" w:left="742" w:hangingChars="250" w:hanging="550"/>
        <w:jc w:val="both"/>
        <w:rPr>
          <w:szCs w:val="22"/>
        </w:rPr>
      </w:pPr>
      <w:r w:rsidRPr="00212D57">
        <w:rPr>
          <w:szCs w:val="22"/>
        </w:rPr>
        <w:t>（</w:t>
      </w:r>
      <w:r w:rsidRPr="00761EF3">
        <w:rPr>
          <w:szCs w:val="22"/>
        </w:rPr>
        <w:t>3</w:t>
      </w:r>
      <w:r w:rsidRPr="00212D57">
        <w:rPr>
          <w:szCs w:val="22"/>
        </w:rPr>
        <w:t>）</w:t>
      </w:r>
      <w:r w:rsidRPr="00212D57">
        <w:rPr>
          <w:spacing w:val="4"/>
          <w:szCs w:val="22"/>
        </w:rPr>
        <w:t>印順法師，《性空學探源》</w:t>
      </w:r>
      <w:r w:rsidRPr="00212D57">
        <w:rPr>
          <w:rFonts w:hint="eastAsia"/>
          <w:spacing w:val="4"/>
          <w:szCs w:val="22"/>
        </w:rPr>
        <w:t>，第</w:t>
      </w:r>
      <w:r w:rsidRPr="00761EF3">
        <w:rPr>
          <w:rFonts w:hint="eastAsia"/>
          <w:spacing w:val="4"/>
          <w:szCs w:val="22"/>
        </w:rPr>
        <w:t>3</w:t>
      </w:r>
      <w:r w:rsidRPr="00212D57">
        <w:rPr>
          <w:rFonts w:hint="eastAsia"/>
          <w:spacing w:val="4"/>
          <w:szCs w:val="22"/>
        </w:rPr>
        <w:t>章〈阿毘曇之空〉</w:t>
      </w:r>
      <w:r w:rsidRPr="00212D57">
        <w:rPr>
          <w:rFonts w:ascii="新細明體" w:hAnsi="新細明體" w:hint="eastAsia"/>
          <w:spacing w:val="4"/>
          <w:szCs w:val="22"/>
        </w:rPr>
        <w:t>，</w:t>
      </w:r>
      <w:r w:rsidRPr="00212D57">
        <w:rPr>
          <w:rFonts w:hint="eastAsia"/>
          <w:spacing w:val="4"/>
          <w:szCs w:val="22"/>
        </w:rPr>
        <w:t>第</w:t>
      </w:r>
      <w:r w:rsidRPr="00761EF3">
        <w:rPr>
          <w:rFonts w:hint="eastAsia"/>
          <w:spacing w:val="4"/>
          <w:szCs w:val="22"/>
        </w:rPr>
        <w:t>3</w:t>
      </w:r>
      <w:r w:rsidRPr="00212D57">
        <w:rPr>
          <w:rFonts w:hint="eastAsia"/>
          <w:spacing w:val="4"/>
          <w:szCs w:val="22"/>
        </w:rPr>
        <w:t>項〈法體假實〉，</w:t>
      </w:r>
      <w:r w:rsidRPr="00761EF3">
        <w:rPr>
          <w:spacing w:val="4"/>
          <w:szCs w:val="22"/>
        </w:rPr>
        <w:t>p</w:t>
      </w:r>
      <w:r w:rsidRPr="00212D57">
        <w:rPr>
          <w:spacing w:val="4"/>
          <w:szCs w:val="22"/>
        </w:rPr>
        <w:t>.</w:t>
      </w:r>
      <w:r w:rsidRPr="00761EF3">
        <w:rPr>
          <w:spacing w:val="4"/>
          <w:szCs w:val="22"/>
        </w:rPr>
        <w:t>197</w:t>
      </w:r>
      <w:r w:rsidRPr="00212D57">
        <w:rPr>
          <w:spacing w:val="4"/>
          <w:szCs w:val="22"/>
        </w:rPr>
        <w:t>：</w:t>
      </w:r>
    </w:p>
    <w:p w:rsidR="00157EF6" w:rsidRPr="00212D57" w:rsidRDefault="00157EF6" w:rsidP="003F3D70">
      <w:pPr>
        <w:pStyle w:val="a5"/>
        <w:ind w:leftChars="300" w:left="720"/>
        <w:jc w:val="both"/>
        <w:rPr>
          <w:rFonts w:ascii="標楷體" w:eastAsia="標楷體" w:hAnsi="標楷體"/>
          <w:szCs w:val="22"/>
        </w:rPr>
      </w:pPr>
      <w:r w:rsidRPr="00212D57">
        <w:rPr>
          <w:rFonts w:ascii="標楷體" w:eastAsia="標楷體" w:hAnsi="標楷體"/>
          <w:szCs w:val="22"/>
        </w:rPr>
        <w:t>經部師認為作用是假有的，眼見色、識了境等，只是在因緣和合下，依世情假安立的言說。否則，你說眼根本身就具有見色的作用，那就應不待因緣，常見不息。既待因緣才能見色，可見「見色」的作用並不是眼根自體所已完成的。</w:t>
      </w:r>
    </w:p>
    <w:p w:rsidR="00157EF6" w:rsidRPr="00212D57" w:rsidRDefault="00157EF6" w:rsidP="003F3D70">
      <w:pPr>
        <w:pStyle w:val="a5"/>
        <w:ind w:leftChars="80" w:left="731" w:hangingChars="245" w:hanging="539"/>
        <w:jc w:val="both"/>
        <w:rPr>
          <w:szCs w:val="22"/>
        </w:rPr>
      </w:pPr>
      <w:r w:rsidRPr="00212D57">
        <w:rPr>
          <w:szCs w:val="22"/>
        </w:rPr>
        <w:t>（</w:t>
      </w:r>
      <w:r w:rsidRPr="00761EF3">
        <w:rPr>
          <w:szCs w:val="22"/>
        </w:rPr>
        <w:t>4</w:t>
      </w:r>
      <w:r w:rsidRPr="00212D57">
        <w:rPr>
          <w:szCs w:val="22"/>
        </w:rPr>
        <w:t>）印順法師，《說一切有部為主的論書與論師之研究》</w:t>
      </w:r>
      <w:r w:rsidRPr="00212D57">
        <w:rPr>
          <w:rFonts w:hint="eastAsia"/>
          <w:szCs w:val="22"/>
        </w:rPr>
        <w:t>，</w:t>
      </w:r>
      <w:r w:rsidRPr="00761EF3">
        <w:rPr>
          <w:szCs w:val="22"/>
        </w:rPr>
        <w:t>pp</w:t>
      </w:r>
      <w:r w:rsidRPr="00212D57">
        <w:rPr>
          <w:szCs w:val="22"/>
        </w:rPr>
        <w:t>.</w:t>
      </w:r>
      <w:r w:rsidRPr="00761EF3">
        <w:rPr>
          <w:szCs w:val="22"/>
        </w:rPr>
        <w:t>565</w:t>
      </w:r>
      <w:r w:rsidRPr="00212D57">
        <w:rPr>
          <w:szCs w:val="22"/>
        </w:rPr>
        <w:t>-</w:t>
      </w:r>
      <w:r w:rsidRPr="00761EF3">
        <w:rPr>
          <w:szCs w:val="22"/>
        </w:rPr>
        <w:t>566</w:t>
      </w:r>
      <w:r w:rsidRPr="00212D57">
        <w:rPr>
          <w:szCs w:val="22"/>
        </w:rPr>
        <w:t>：</w:t>
      </w:r>
    </w:p>
    <w:p w:rsidR="00157EF6" w:rsidRDefault="00157EF6" w:rsidP="003F3D70">
      <w:pPr>
        <w:pStyle w:val="a5"/>
        <w:ind w:leftChars="300" w:left="720"/>
        <w:jc w:val="both"/>
        <w:rPr>
          <w:rFonts w:ascii="標楷體" w:eastAsia="標楷體" w:hAnsi="標楷體"/>
          <w:szCs w:val="22"/>
        </w:rPr>
      </w:pPr>
      <w:r w:rsidRPr="00212D57">
        <w:rPr>
          <w:rFonts w:ascii="標楷體" w:eastAsia="標楷體" w:hAnsi="標楷體" w:hint="eastAsia"/>
          <w:b/>
          <w:szCs w:val="22"/>
        </w:rPr>
        <w:t>「唯法因果，實無作用」</w:t>
      </w:r>
      <w:r w:rsidRPr="00212D57">
        <w:rPr>
          <w:rFonts w:ascii="標楷體" w:eastAsia="標楷體" w:hAnsi="標楷體" w:hint="eastAsia"/>
          <w:szCs w:val="22"/>
        </w:rPr>
        <w:t>，是經部譬喻師的名言。</w:t>
      </w:r>
      <w:r w:rsidRPr="00212D57">
        <w:rPr>
          <w:rFonts w:ascii="標楷體" w:eastAsia="標楷體" w:hAnsi="標楷體" w:hint="eastAsia"/>
          <w:b/>
          <w:szCs w:val="22"/>
        </w:rPr>
        <w:t>勝義有的，就是剎那的因果諸行。從一一能生界性，起一一界法，可說是勝義有的。然從一一法成為所依根、所緣境而生識來說，都沒有實作用的。</w:t>
      </w:r>
      <w:r w:rsidRPr="00212D57">
        <w:rPr>
          <w:rFonts w:ascii="標楷體" w:eastAsia="標楷體" w:hAnsi="標楷體" w:hint="eastAsia"/>
          <w:szCs w:val="22"/>
        </w:rPr>
        <w:t>所以說：「五識（所）依（根、所）緣（境），俱非實有。極微一一不成所依所緣事故；眾微和合方成所依所緣事故。」這是說，不論那一極微，都沒有為所依根，及所緣的作用。為識所依所緣的事用，都是眾多極微和合而成的；和合而成的，就是假施設。不但根與境如此，識也是如此，如上座說：「識是了者，此非勝義。」</w:t>
      </w:r>
      <w:r w:rsidR="00C63102" w:rsidRPr="00C63102">
        <w:rPr>
          <w:rFonts w:eastAsia="標楷體" w:hint="eastAsia"/>
          <w:szCs w:val="22"/>
          <w:vertAlign w:val="superscript"/>
        </w:rPr>
        <w:t>[24]</w:t>
      </w:r>
      <w:r w:rsidRPr="00212D57">
        <w:rPr>
          <w:rFonts w:ascii="標楷體" w:eastAsia="標楷體" w:hAnsi="標楷體" w:hint="eastAsia"/>
          <w:szCs w:val="22"/>
        </w:rPr>
        <w:t>識的了別，也是從依根緣境的和合中顯出，並非識有了別的自性用。經部譬喻師，肯定諸行的因果實性──界；而在依根緣境，成為認識的活動中，是沒有自性的──處門。界門的因果諸行，等於《瑜伽論》師，實有依他離言自性。而所緣境的非實有性，更直接的，為唯識無境說的先聲，與唯識學合流。</w:t>
      </w:r>
    </w:p>
    <w:p w:rsidR="00C63102" w:rsidRPr="00C63102" w:rsidRDefault="00C63102" w:rsidP="003F3D70">
      <w:pPr>
        <w:pStyle w:val="a5"/>
        <w:ind w:leftChars="300" w:left="720"/>
        <w:jc w:val="both"/>
        <w:rPr>
          <w:color w:val="FF0000"/>
          <w:szCs w:val="22"/>
          <w:highlight w:val="yellow"/>
        </w:rPr>
      </w:pPr>
      <w:r w:rsidRPr="00C63102">
        <w:rPr>
          <w:rFonts w:hint="eastAsia"/>
          <w:color w:val="FF0000"/>
          <w:szCs w:val="22"/>
          <w:highlight w:val="yellow"/>
        </w:rPr>
        <w:t>[</w:t>
      </w:r>
      <w:r w:rsidRPr="00C63102">
        <w:rPr>
          <w:rFonts w:hint="eastAsia"/>
          <w:color w:val="FF0000"/>
          <w:szCs w:val="22"/>
          <w:highlight w:val="yellow"/>
        </w:rPr>
        <w:t>原書註</w:t>
      </w:r>
      <w:r w:rsidRPr="00C63102">
        <w:rPr>
          <w:rFonts w:hint="eastAsia"/>
          <w:color w:val="FF0000"/>
          <w:szCs w:val="22"/>
          <w:highlight w:val="yellow"/>
        </w:rPr>
        <w:t>24]</w:t>
      </w:r>
      <w:r w:rsidRPr="00C63102">
        <w:rPr>
          <w:rFonts w:hint="eastAsia"/>
          <w:color w:val="FF0000"/>
          <w:szCs w:val="22"/>
          <w:highlight w:val="yellow"/>
        </w:rPr>
        <w:t>《順正理論》卷</w:t>
      </w:r>
      <w:r w:rsidRPr="00C63102">
        <w:rPr>
          <w:rFonts w:hint="eastAsia"/>
          <w:color w:val="FF0000"/>
          <w:szCs w:val="22"/>
          <w:highlight w:val="yellow"/>
        </w:rPr>
        <w:t>25</w:t>
      </w:r>
      <w:r w:rsidRPr="00C63102">
        <w:rPr>
          <w:rFonts w:hint="eastAsia"/>
          <w:color w:val="FF0000"/>
          <w:szCs w:val="22"/>
          <w:highlight w:val="yellow"/>
        </w:rPr>
        <w:t>（大正</w:t>
      </w:r>
      <w:r w:rsidRPr="00C63102">
        <w:rPr>
          <w:rFonts w:hint="eastAsia"/>
          <w:color w:val="FF0000"/>
          <w:szCs w:val="22"/>
          <w:highlight w:val="yellow"/>
        </w:rPr>
        <w:t>29</w:t>
      </w:r>
      <w:r w:rsidRPr="00C63102">
        <w:rPr>
          <w:rFonts w:hint="eastAsia"/>
          <w:color w:val="FF0000"/>
          <w:szCs w:val="22"/>
          <w:highlight w:val="yellow"/>
        </w:rPr>
        <w:t>，</w:t>
      </w:r>
      <w:r w:rsidRPr="00C63102">
        <w:rPr>
          <w:rFonts w:hint="eastAsia"/>
          <w:color w:val="FF0000"/>
          <w:szCs w:val="22"/>
          <w:highlight w:val="yellow"/>
        </w:rPr>
        <w:t>484b</w:t>
      </w:r>
      <w:r w:rsidRPr="00C63102">
        <w:rPr>
          <w:rFonts w:hint="eastAsia"/>
          <w:color w:val="FF0000"/>
          <w:szCs w:val="22"/>
          <w:highlight w:val="yellow"/>
        </w:rPr>
        <w:t>）。</w:t>
      </w:r>
    </w:p>
  </w:footnote>
  <w:footnote w:id="189">
    <w:p w:rsidR="00157EF6" w:rsidRPr="00212D57" w:rsidRDefault="00157EF6" w:rsidP="005F2F48">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《雜阿含經》卷</w:t>
      </w:r>
      <w:r w:rsidRPr="00761EF3">
        <w:rPr>
          <w:szCs w:val="22"/>
        </w:rPr>
        <w:t>12</w:t>
      </w:r>
      <w:r w:rsidRPr="00212D57">
        <w:rPr>
          <w:szCs w:val="22"/>
        </w:rPr>
        <w:t>（</w:t>
      </w:r>
      <w:r w:rsidRPr="00761EF3">
        <w:rPr>
          <w:szCs w:val="22"/>
        </w:rPr>
        <w:t>296</w:t>
      </w:r>
      <w:r w:rsidRPr="00212D57">
        <w:rPr>
          <w:szCs w:val="22"/>
        </w:rPr>
        <w:t>經）（大正</w:t>
      </w:r>
      <w:r w:rsidRPr="00761EF3">
        <w:rPr>
          <w:szCs w:val="22"/>
        </w:rPr>
        <w:t>2</w:t>
      </w:r>
      <w:r w:rsidRPr="00212D57">
        <w:rPr>
          <w:szCs w:val="22"/>
        </w:rPr>
        <w:t>，</w:t>
      </w:r>
      <w:r w:rsidRPr="00761EF3">
        <w:rPr>
          <w:szCs w:val="22"/>
        </w:rPr>
        <w:t>84b14</w:t>
      </w:r>
      <w:r w:rsidRPr="00212D57">
        <w:rPr>
          <w:szCs w:val="22"/>
        </w:rPr>
        <w:t>-</w:t>
      </w:r>
      <w:r w:rsidRPr="00761EF3">
        <w:rPr>
          <w:szCs w:val="22"/>
        </w:rPr>
        <w:t>21</w:t>
      </w:r>
      <w:r w:rsidRPr="00212D57">
        <w:rPr>
          <w:szCs w:val="22"/>
        </w:rPr>
        <w:t>）：</w:t>
      </w:r>
    </w:p>
    <w:p w:rsidR="00E75A4A" w:rsidRDefault="00157EF6" w:rsidP="003F3D70">
      <w:pPr>
        <w:pStyle w:val="a5"/>
        <w:ind w:leftChars="75" w:left="180"/>
        <w:jc w:val="both"/>
        <w:rPr>
          <w:rFonts w:ascii="標楷體" w:eastAsia="標楷體" w:hAnsi="標楷體"/>
          <w:szCs w:val="22"/>
        </w:rPr>
      </w:pPr>
      <w:r w:rsidRPr="00212D57">
        <w:rPr>
          <w:rFonts w:ascii="標楷體" w:eastAsia="標楷體" w:hAnsi="標楷體"/>
          <w:szCs w:val="22"/>
        </w:rPr>
        <w:t>世尊告諸比丘：我今當說</w:t>
      </w:r>
      <w:r w:rsidR="00132293">
        <w:rPr>
          <w:rFonts w:ascii="標楷體" w:eastAsia="標楷體" w:hAnsi="標楷體" w:hint="eastAsia"/>
          <w:bCs/>
          <w:color w:val="FF0000"/>
          <w:kern w:val="0"/>
          <w:highlight w:val="yellow"/>
        </w:rPr>
        <w:t>「</w:t>
      </w:r>
      <w:r w:rsidRPr="00212D57">
        <w:rPr>
          <w:rFonts w:ascii="標楷體" w:eastAsia="標楷體" w:hAnsi="標楷體"/>
          <w:szCs w:val="22"/>
        </w:rPr>
        <w:t>因緣法</w:t>
      </w:r>
      <w:r w:rsidR="00132293">
        <w:rPr>
          <w:rFonts w:ascii="標楷體" w:eastAsia="標楷體" w:hAnsi="標楷體" w:hint="eastAsia"/>
          <w:bCs/>
          <w:color w:val="FF0000"/>
          <w:kern w:val="0"/>
          <w:highlight w:val="yellow"/>
        </w:rPr>
        <w:t>」</w:t>
      </w:r>
      <w:r w:rsidRPr="00212D57">
        <w:rPr>
          <w:rFonts w:ascii="標楷體" w:eastAsia="標楷體" w:hAnsi="標楷體"/>
          <w:szCs w:val="22"/>
        </w:rPr>
        <w:t>及</w:t>
      </w:r>
      <w:r w:rsidR="00132293">
        <w:rPr>
          <w:rFonts w:ascii="標楷體" w:eastAsia="標楷體" w:hAnsi="標楷體" w:hint="eastAsia"/>
          <w:bCs/>
          <w:color w:val="FF0000"/>
          <w:kern w:val="0"/>
          <w:highlight w:val="yellow"/>
        </w:rPr>
        <w:t>「</w:t>
      </w:r>
      <w:r w:rsidRPr="00212D57">
        <w:rPr>
          <w:rFonts w:ascii="標楷體" w:eastAsia="標楷體" w:hAnsi="標楷體"/>
          <w:szCs w:val="22"/>
        </w:rPr>
        <w:t>緣生法</w:t>
      </w:r>
      <w:r w:rsidR="00132293">
        <w:rPr>
          <w:rFonts w:ascii="標楷體" w:eastAsia="標楷體" w:hAnsi="標楷體" w:hint="eastAsia"/>
          <w:bCs/>
          <w:color w:val="FF0000"/>
          <w:kern w:val="0"/>
          <w:highlight w:val="yellow"/>
        </w:rPr>
        <w:t>」</w:t>
      </w:r>
      <w:r w:rsidRPr="00212D57">
        <w:rPr>
          <w:rFonts w:ascii="標楷體" w:eastAsia="標楷體" w:hAnsi="標楷體"/>
          <w:szCs w:val="22"/>
        </w:rPr>
        <w:t>。</w:t>
      </w:r>
    </w:p>
    <w:p w:rsidR="00E75A4A" w:rsidRDefault="00157EF6" w:rsidP="003F3D70">
      <w:pPr>
        <w:pStyle w:val="a5"/>
        <w:ind w:leftChars="75" w:left="180"/>
        <w:jc w:val="both"/>
        <w:rPr>
          <w:rFonts w:ascii="標楷體" w:eastAsia="標楷體" w:hAnsi="標楷體"/>
          <w:szCs w:val="22"/>
        </w:rPr>
      </w:pPr>
      <w:r w:rsidRPr="00212D57">
        <w:rPr>
          <w:rFonts w:ascii="標楷體" w:eastAsia="標楷體" w:hAnsi="標楷體"/>
          <w:szCs w:val="22"/>
        </w:rPr>
        <w:t>云何為</w:t>
      </w:r>
      <w:r w:rsidR="00132293">
        <w:rPr>
          <w:rFonts w:ascii="標楷體" w:eastAsia="標楷體" w:hAnsi="標楷體" w:hint="eastAsia"/>
          <w:bCs/>
          <w:color w:val="FF0000"/>
          <w:kern w:val="0"/>
          <w:highlight w:val="yellow"/>
        </w:rPr>
        <w:t>「</w:t>
      </w:r>
      <w:r w:rsidRPr="00212D57">
        <w:rPr>
          <w:rFonts w:ascii="標楷體" w:eastAsia="標楷體" w:hAnsi="標楷體"/>
          <w:szCs w:val="22"/>
        </w:rPr>
        <w:t>因緣法</w:t>
      </w:r>
      <w:r w:rsidR="00132293">
        <w:rPr>
          <w:rFonts w:ascii="標楷體" w:eastAsia="標楷體" w:hAnsi="標楷體" w:hint="eastAsia"/>
          <w:bCs/>
          <w:color w:val="FF0000"/>
          <w:kern w:val="0"/>
          <w:highlight w:val="yellow"/>
        </w:rPr>
        <w:t>」</w:t>
      </w:r>
      <w:r w:rsidRPr="00212D57">
        <w:rPr>
          <w:rFonts w:ascii="標楷體" w:eastAsia="標楷體" w:hAnsi="標楷體"/>
          <w:szCs w:val="22"/>
        </w:rPr>
        <w:t>？謂此有故彼有，謂緣無明行，緣行識，乃至如是如是純大苦聚集。</w:t>
      </w:r>
    </w:p>
    <w:p w:rsidR="00132293" w:rsidRDefault="00157EF6" w:rsidP="003F3D70">
      <w:pPr>
        <w:pStyle w:val="a5"/>
        <w:ind w:leftChars="75" w:left="180"/>
        <w:jc w:val="both"/>
        <w:rPr>
          <w:rFonts w:ascii="標楷體" w:eastAsia="標楷體" w:hAnsi="標楷體"/>
          <w:szCs w:val="22"/>
        </w:rPr>
      </w:pPr>
      <w:r w:rsidRPr="00212D57">
        <w:rPr>
          <w:rFonts w:ascii="標楷體" w:eastAsia="標楷體" w:hAnsi="標楷體"/>
          <w:szCs w:val="22"/>
        </w:rPr>
        <w:t>云何</w:t>
      </w:r>
      <w:r w:rsidR="00132293">
        <w:rPr>
          <w:rFonts w:ascii="標楷體" w:eastAsia="標楷體" w:hAnsi="標楷體" w:hint="eastAsia"/>
          <w:bCs/>
          <w:color w:val="FF0000"/>
          <w:kern w:val="0"/>
          <w:highlight w:val="yellow"/>
        </w:rPr>
        <w:t>「</w:t>
      </w:r>
      <w:r w:rsidRPr="00212D57">
        <w:rPr>
          <w:rFonts w:ascii="標楷體" w:eastAsia="標楷體" w:hAnsi="標楷體"/>
          <w:szCs w:val="22"/>
        </w:rPr>
        <w:t>緣生法</w:t>
      </w:r>
      <w:r w:rsidR="00132293">
        <w:rPr>
          <w:rFonts w:ascii="標楷體" w:eastAsia="標楷體" w:hAnsi="標楷體" w:hint="eastAsia"/>
          <w:bCs/>
          <w:color w:val="FF0000"/>
          <w:kern w:val="0"/>
          <w:highlight w:val="yellow"/>
        </w:rPr>
        <w:t>」</w:t>
      </w:r>
      <w:r w:rsidRPr="00212D57">
        <w:rPr>
          <w:rFonts w:ascii="標楷體" w:eastAsia="標楷體" w:hAnsi="標楷體"/>
          <w:szCs w:val="22"/>
        </w:rPr>
        <w:t>？謂無明、行。</w:t>
      </w:r>
    </w:p>
    <w:p w:rsidR="00E75A4A" w:rsidRDefault="00157EF6" w:rsidP="003F3D70">
      <w:pPr>
        <w:pStyle w:val="a5"/>
        <w:ind w:leftChars="75" w:left="180"/>
        <w:jc w:val="both"/>
        <w:rPr>
          <w:rFonts w:ascii="標楷體" w:eastAsia="標楷體" w:hAnsi="標楷體"/>
          <w:szCs w:val="22"/>
        </w:rPr>
      </w:pPr>
      <w:r w:rsidRPr="00212D57">
        <w:rPr>
          <w:rFonts w:ascii="標楷體" w:eastAsia="標楷體" w:hAnsi="標楷體"/>
          <w:b/>
          <w:szCs w:val="22"/>
        </w:rPr>
        <w:t>若佛出世</w:t>
      </w:r>
      <w:r w:rsidR="00E75A4A" w:rsidRPr="00E75A4A">
        <w:rPr>
          <w:rFonts w:ascii="標楷體" w:eastAsia="標楷體" w:hAnsi="標楷體" w:hint="eastAsia"/>
          <w:b/>
          <w:color w:val="FF0000"/>
          <w:szCs w:val="22"/>
          <w:highlight w:val="yellow"/>
        </w:rPr>
        <w:t>、</w:t>
      </w:r>
      <w:r w:rsidRPr="00212D57">
        <w:rPr>
          <w:rFonts w:ascii="標楷體" w:eastAsia="標楷體" w:hAnsi="標楷體"/>
          <w:b/>
          <w:szCs w:val="22"/>
        </w:rPr>
        <w:t>若未出世，此法常住，法住、法界</w:t>
      </w:r>
      <w:r w:rsidRPr="00212D57">
        <w:rPr>
          <w:rFonts w:ascii="標楷體" w:eastAsia="標楷體" w:hAnsi="標楷體"/>
          <w:szCs w:val="22"/>
        </w:rPr>
        <w:t>，彼如來自所覺知，成等正覺，為人演說，開示、顯發，謂緣無明有行，乃至緣生有老死。</w:t>
      </w:r>
      <w:r w:rsidRPr="00212D57">
        <w:rPr>
          <w:rFonts w:ascii="標楷體" w:eastAsia="標楷體" w:hAnsi="標楷體"/>
          <w:bCs/>
          <w:szCs w:val="22"/>
        </w:rPr>
        <w:t>若佛出世</w:t>
      </w:r>
      <w:r w:rsidR="00E75A4A">
        <w:rPr>
          <w:rFonts w:ascii="標楷體" w:eastAsia="標楷體" w:hAnsi="標楷體" w:hint="eastAsia"/>
          <w:bCs/>
          <w:color w:val="FF0000"/>
          <w:szCs w:val="22"/>
          <w:highlight w:val="yellow"/>
        </w:rPr>
        <w:t>、</w:t>
      </w:r>
      <w:r w:rsidRPr="00212D57">
        <w:rPr>
          <w:rFonts w:ascii="標楷體" w:eastAsia="標楷體" w:hAnsi="標楷體"/>
          <w:bCs/>
          <w:szCs w:val="22"/>
        </w:rPr>
        <w:t>若未出世，此法常住，法住、法界</w:t>
      </w:r>
      <w:r w:rsidRPr="00212D57">
        <w:rPr>
          <w:rFonts w:ascii="標楷體" w:eastAsia="標楷體" w:hAnsi="標楷體"/>
          <w:b/>
          <w:bCs/>
          <w:szCs w:val="22"/>
        </w:rPr>
        <w:t>，</w:t>
      </w:r>
      <w:r w:rsidRPr="00212D57">
        <w:rPr>
          <w:rFonts w:ascii="標楷體" w:eastAsia="標楷體" w:hAnsi="標楷體"/>
          <w:szCs w:val="22"/>
        </w:rPr>
        <w:t>彼如來自覺</w:t>
      </w:r>
      <w:r w:rsidRPr="00E75A4A">
        <w:rPr>
          <w:rFonts w:ascii="標楷體" w:eastAsia="標楷體" w:hAnsi="標楷體"/>
          <w:szCs w:val="22"/>
          <w:highlight w:val="yellow"/>
        </w:rPr>
        <w:t>知成</w:t>
      </w:r>
      <w:r w:rsidRPr="00212D57">
        <w:rPr>
          <w:rFonts w:ascii="標楷體" w:eastAsia="標楷體" w:hAnsi="標楷體"/>
          <w:szCs w:val="22"/>
        </w:rPr>
        <w:t>等正覺，為人演說、開示、顯發，謂緣生故有老病</w:t>
      </w:r>
      <w:r w:rsidRPr="00132293">
        <w:rPr>
          <w:rFonts w:ascii="標楷體" w:eastAsia="標楷體" w:hAnsi="標楷體"/>
          <w:szCs w:val="22"/>
          <w:highlight w:val="yellow"/>
        </w:rPr>
        <w:t>死憂</w:t>
      </w:r>
      <w:r w:rsidRPr="00212D57">
        <w:rPr>
          <w:rFonts w:ascii="標楷體" w:eastAsia="標楷體" w:hAnsi="標楷體"/>
          <w:szCs w:val="22"/>
        </w:rPr>
        <w:t>悲惱苦。</w:t>
      </w:r>
    </w:p>
    <w:p w:rsidR="00157EF6" w:rsidRPr="00212D57" w:rsidRDefault="00157EF6" w:rsidP="003F3D70">
      <w:pPr>
        <w:pStyle w:val="a5"/>
        <w:ind w:leftChars="75" w:left="180"/>
        <w:jc w:val="both"/>
        <w:rPr>
          <w:szCs w:val="22"/>
        </w:rPr>
      </w:pPr>
      <w:r w:rsidRPr="00212D57">
        <w:rPr>
          <w:szCs w:val="22"/>
        </w:rPr>
        <w:t>（參見印順法師，《雜阿含經論會編》（中），</w:t>
      </w:r>
      <w:r w:rsidRPr="00761EF3">
        <w:rPr>
          <w:szCs w:val="22"/>
        </w:rPr>
        <w:t>pp</w:t>
      </w:r>
      <w:r w:rsidRPr="00212D57">
        <w:rPr>
          <w:szCs w:val="22"/>
        </w:rPr>
        <w:t>.</w:t>
      </w:r>
      <w:r w:rsidRPr="00761EF3">
        <w:rPr>
          <w:szCs w:val="22"/>
        </w:rPr>
        <w:t>34</w:t>
      </w:r>
      <w:r w:rsidRPr="00212D57">
        <w:rPr>
          <w:szCs w:val="22"/>
        </w:rPr>
        <w:t>-</w:t>
      </w:r>
      <w:r w:rsidRPr="00761EF3">
        <w:rPr>
          <w:szCs w:val="22"/>
        </w:rPr>
        <w:t>35</w:t>
      </w:r>
      <w:r w:rsidRPr="00212D57">
        <w:rPr>
          <w:szCs w:val="22"/>
        </w:rPr>
        <w:t>）</w:t>
      </w:r>
    </w:p>
  </w:footnote>
  <w:footnote w:id="190">
    <w:p w:rsidR="00157EF6" w:rsidRPr="00212D57" w:rsidRDefault="00157EF6" w:rsidP="005F2F48">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印順法師</w:t>
      </w:r>
      <w:r w:rsidRPr="00212D57">
        <w:rPr>
          <w:rFonts w:hint="eastAsia"/>
          <w:szCs w:val="22"/>
        </w:rPr>
        <w:t>，</w:t>
      </w:r>
      <w:r w:rsidRPr="00212D57">
        <w:rPr>
          <w:szCs w:val="22"/>
        </w:rPr>
        <w:t>《空之</w:t>
      </w:r>
      <w:r w:rsidRPr="00212D57">
        <w:rPr>
          <w:rFonts w:hint="eastAsia"/>
          <w:szCs w:val="22"/>
        </w:rPr>
        <w:t>探究</w:t>
      </w:r>
      <w:r w:rsidRPr="00212D57">
        <w:rPr>
          <w:szCs w:val="22"/>
        </w:rPr>
        <w:t>》</w:t>
      </w:r>
      <w:r w:rsidRPr="00212D57">
        <w:rPr>
          <w:rFonts w:hint="eastAsia"/>
          <w:szCs w:val="22"/>
        </w:rPr>
        <w:t>，第</w:t>
      </w:r>
      <w:r w:rsidRPr="00761EF3">
        <w:rPr>
          <w:rFonts w:hint="eastAsia"/>
          <w:szCs w:val="22"/>
        </w:rPr>
        <w:t>4</w:t>
      </w:r>
      <w:r w:rsidRPr="00212D57">
        <w:rPr>
          <w:rFonts w:hint="eastAsia"/>
          <w:szCs w:val="22"/>
        </w:rPr>
        <w:t>章</w:t>
      </w:r>
      <w:r w:rsidRPr="00212D57">
        <w:rPr>
          <w:rFonts w:ascii="新細明體" w:hAnsi="新細明體" w:cs="新細明體" w:hint="eastAsia"/>
          <w:szCs w:val="22"/>
        </w:rPr>
        <w:t>，</w:t>
      </w:r>
      <w:r w:rsidRPr="00212D57">
        <w:rPr>
          <w:szCs w:val="22"/>
        </w:rPr>
        <w:t>第</w:t>
      </w:r>
      <w:r w:rsidRPr="00761EF3">
        <w:rPr>
          <w:rFonts w:hint="eastAsia"/>
          <w:szCs w:val="22"/>
        </w:rPr>
        <w:t>4</w:t>
      </w:r>
      <w:r w:rsidRPr="00212D57">
        <w:rPr>
          <w:szCs w:val="22"/>
        </w:rPr>
        <w:t>節〈緣起</w:t>
      </w:r>
      <w:r w:rsidRPr="00212D57">
        <w:rPr>
          <w:szCs w:val="22"/>
        </w:rPr>
        <w:t>——</w:t>
      </w:r>
      <w:r w:rsidRPr="00212D57">
        <w:rPr>
          <w:szCs w:val="22"/>
        </w:rPr>
        <w:t>八不緣起〉</w:t>
      </w:r>
      <w:r w:rsidRPr="00212D57">
        <w:rPr>
          <w:rFonts w:hint="eastAsia"/>
          <w:szCs w:val="22"/>
        </w:rPr>
        <w:t>，</w:t>
      </w:r>
      <w:r w:rsidRPr="00761EF3">
        <w:rPr>
          <w:szCs w:val="22"/>
        </w:rPr>
        <w:t>pp</w:t>
      </w:r>
      <w:r w:rsidRPr="00212D57">
        <w:rPr>
          <w:szCs w:val="22"/>
        </w:rPr>
        <w:t>.</w:t>
      </w:r>
      <w:r w:rsidRPr="00761EF3">
        <w:rPr>
          <w:szCs w:val="22"/>
        </w:rPr>
        <w:t>220</w:t>
      </w:r>
      <w:r w:rsidRPr="00212D57">
        <w:rPr>
          <w:szCs w:val="22"/>
        </w:rPr>
        <w:t>-</w:t>
      </w:r>
      <w:r w:rsidRPr="00761EF3">
        <w:rPr>
          <w:szCs w:val="22"/>
        </w:rPr>
        <w:t>221</w:t>
      </w:r>
      <w:r w:rsidRPr="00212D57">
        <w:rPr>
          <w:szCs w:val="22"/>
        </w:rPr>
        <w:t>：</w:t>
      </w:r>
    </w:p>
    <w:p w:rsidR="00157EF6" w:rsidRDefault="00157EF6" w:rsidP="003F3D70">
      <w:pPr>
        <w:pStyle w:val="a5"/>
        <w:ind w:leftChars="75" w:left="180"/>
        <w:jc w:val="both"/>
        <w:rPr>
          <w:rFonts w:ascii="標楷體" w:eastAsia="標楷體" w:hAnsi="標楷體"/>
          <w:szCs w:val="22"/>
        </w:rPr>
      </w:pPr>
      <w:r w:rsidRPr="00212D57">
        <w:rPr>
          <w:rFonts w:ascii="標楷體" w:eastAsia="標楷體" w:hAnsi="標楷體"/>
          <w:szCs w:val="22"/>
        </w:rPr>
        <w:t>緣起與緣生，同樣的是無明、行等十二支，而意義卻顯然不同。緣生法，是無常滅盡的有為法，是緣已生──從緣所生的果法。而緣起，是佛出世也如此，佛不出世也如此的。「法住法界」，是形容緣起的。《相應部》經作：「法定、法住，即緣性</w:t>
      </w:r>
      <w:r>
        <w:rPr>
          <w:rFonts w:ascii="標楷體" w:eastAsia="標楷體" w:hAnsi="標楷體"/>
          <w:szCs w:val="22"/>
        </w:rPr>
        <w:t>。</w:t>
      </w:r>
      <w:r w:rsidRPr="00212D57">
        <w:rPr>
          <w:rFonts w:ascii="標楷體" w:eastAsia="標楷體" w:hAnsi="標楷體"/>
          <w:szCs w:val="22"/>
        </w:rPr>
        <w:t>」</w:t>
      </w:r>
      <w:r w:rsidR="00723DBA" w:rsidRPr="00723DBA">
        <w:rPr>
          <w:rFonts w:eastAsia="標楷體" w:hint="eastAsia"/>
          <w:color w:val="FF0000"/>
          <w:szCs w:val="22"/>
          <w:highlight w:val="yellow"/>
          <w:vertAlign w:val="superscript"/>
        </w:rPr>
        <w:t>[6]</w:t>
      </w:r>
      <w:r w:rsidRPr="00212D57">
        <w:rPr>
          <w:rFonts w:ascii="標楷體" w:eastAsia="標楷體" w:hAnsi="標楷體"/>
          <w:szCs w:val="22"/>
        </w:rPr>
        <w:t>緣性，或譯為相依性。《法蘊足論》所引經，下文還說到：「此中所有法性、法定、法理、法趣，是真、是實、是諦、是如，非妄、非虛、非倒、非異」。</w:t>
      </w:r>
      <w:r w:rsidR="00723DBA" w:rsidRPr="00132293">
        <w:rPr>
          <w:rFonts w:eastAsia="標楷體" w:hint="eastAsia"/>
          <w:color w:val="FF0000"/>
          <w:szCs w:val="22"/>
          <w:highlight w:val="yellow"/>
          <w:vertAlign w:val="superscript"/>
        </w:rPr>
        <w:t>[7]</w:t>
      </w:r>
      <w:r w:rsidRPr="00212D57">
        <w:rPr>
          <w:rFonts w:ascii="標楷體" w:eastAsia="標楷體" w:hAnsi="標楷體"/>
          <w:szCs w:val="22"/>
        </w:rPr>
        <w:t>這些緣起的形容詞，使大眾部一分，及化地部等說：緣起是無為</w:t>
      </w:r>
      <w:r w:rsidR="00723DBA" w:rsidRPr="00723DBA">
        <w:rPr>
          <w:rFonts w:eastAsia="標楷體" w:hint="eastAsia"/>
          <w:color w:val="FF0000"/>
          <w:szCs w:val="22"/>
          <w:highlight w:val="yellow"/>
          <w:vertAlign w:val="superscript"/>
        </w:rPr>
        <w:t>[</w:t>
      </w:r>
      <w:r w:rsidR="00723DBA">
        <w:rPr>
          <w:rFonts w:eastAsia="標楷體" w:hint="eastAsia"/>
          <w:color w:val="FF0000"/>
          <w:szCs w:val="22"/>
          <w:highlight w:val="yellow"/>
          <w:vertAlign w:val="superscript"/>
        </w:rPr>
        <w:t>8</w:t>
      </w:r>
      <w:r w:rsidR="00723DBA" w:rsidRPr="00723DBA">
        <w:rPr>
          <w:rFonts w:eastAsia="標楷體" w:hint="eastAsia"/>
          <w:color w:val="FF0000"/>
          <w:szCs w:val="22"/>
          <w:highlight w:val="yellow"/>
          <w:vertAlign w:val="superscript"/>
        </w:rPr>
        <w:t>]</w:t>
      </w:r>
      <w:r w:rsidRPr="00212D57">
        <w:rPr>
          <w:rFonts w:ascii="標楷體" w:eastAsia="標楷體" w:hAnsi="標楷體"/>
          <w:szCs w:val="22"/>
        </w:rPr>
        <w:t>；《舍利弗阿毘曇論》也這樣說。這是離開因果事相，而論定為永恆不變的抽象理性。</w:t>
      </w:r>
    </w:p>
    <w:p w:rsidR="00723DBA" w:rsidRPr="00723DBA" w:rsidRDefault="00723DBA" w:rsidP="003F3D70">
      <w:pPr>
        <w:pStyle w:val="a5"/>
        <w:ind w:leftChars="75" w:left="180"/>
        <w:jc w:val="both"/>
        <w:rPr>
          <w:color w:val="FF0000"/>
          <w:szCs w:val="22"/>
          <w:highlight w:val="yellow"/>
        </w:rPr>
      </w:pPr>
      <w:r w:rsidRPr="00723DBA">
        <w:rPr>
          <w:rFonts w:hint="eastAsia"/>
          <w:color w:val="FF0000"/>
          <w:szCs w:val="22"/>
          <w:highlight w:val="yellow"/>
        </w:rPr>
        <w:t>[</w:t>
      </w:r>
      <w:r w:rsidRPr="00723DBA">
        <w:rPr>
          <w:rFonts w:hint="eastAsia"/>
          <w:color w:val="FF0000"/>
          <w:szCs w:val="22"/>
          <w:highlight w:val="yellow"/>
        </w:rPr>
        <w:t>原書註</w:t>
      </w:r>
      <w:r w:rsidRPr="00723DBA">
        <w:rPr>
          <w:rFonts w:hint="eastAsia"/>
          <w:color w:val="FF0000"/>
          <w:szCs w:val="22"/>
          <w:highlight w:val="yellow"/>
        </w:rPr>
        <w:t>6]</w:t>
      </w:r>
      <w:r w:rsidRPr="00723DBA">
        <w:rPr>
          <w:rFonts w:hint="eastAsia"/>
          <w:color w:val="FF0000"/>
          <w:szCs w:val="22"/>
          <w:highlight w:val="yellow"/>
        </w:rPr>
        <w:t>《相應部》（一二）「因緣相應」（南傳</w:t>
      </w:r>
      <w:r w:rsidRPr="00723DBA">
        <w:rPr>
          <w:rFonts w:hint="eastAsia"/>
          <w:color w:val="FF0000"/>
          <w:szCs w:val="22"/>
          <w:highlight w:val="yellow"/>
        </w:rPr>
        <w:t>13</w:t>
      </w:r>
      <w:r w:rsidRPr="00723DBA">
        <w:rPr>
          <w:rFonts w:hint="eastAsia"/>
          <w:color w:val="FF0000"/>
          <w:szCs w:val="22"/>
          <w:highlight w:val="yellow"/>
        </w:rPr>
        <w:t>‧</w:t>
      </w:r>
      <w:r w:rsidRPr="00723DBA">
        <w:rPr>
          <w:rFonts w:hint="eastAsia"/>
          <w:color w:val="FF0000"/>
          <w:szCs w:val="22"/>
          <w:highlight w:val="yellow"/>
        </w:rPr>
        <w:t>36</w:t>
      </w:r>
      <w:r w:rsidRPr="00723DBA">
        <w:rPr>
          <w:rFonts w:hint="eastAsia"/>
          <w:color w:val="FF0000"/>
          <w:szCs w:val="22"/>
          <w:highlight w:val="yellow"/>
        </w:rPr>
        <w:t>）。</w:t>
      </w:r>
    </w:p>
    <w:p w:rsidR="00723DBA" w:rsidRPr="00723DBA" w:rsidRDefault="00723DBA" w:rsidP="003F3D70">
      <w:pPr>
        <w:pStyle w:val="a5"/>
        <w:ind w:leftChars="75" w:left="180"/>
        <w:jc w:val="both"/>
        <w:rPr>
          <w:color w:val="FF0000"/>
          <w:szCs w:val="22"/>
          <w:highlight w:val="yellow"/>
        </w:rPr>
      </w:pPr>
      <w:r w:rsidRPr="00723DBA">
        <w:rPr>
          <w:rFonts w:hint="eastAsia"/>
          <w:color w:val="FF0000"/>
          <w:szCs w:val="22"/>
          <w:highlight w:val="yellow"/>
        </w:rPr>
        <w:t>[</w:t>
      </w:r>
      <w:r w:rsidRPr="00723DBA">
        <w:rPr>
          <w:rFonts w:hint="eastAsia"/>
          <w:color w:val="FF0000"/>
          <w:szCs w:val="22"/>
          <w:highlight w:val="yellow"/>
        </w:rPr>
        <w:t>原書註</w:t>
      </w:r>
      <w:r w:rsidRPr="00723DBA">
        <w:rPr>
          <w:rFonts w:hint="eastAsia"/>
          <w:color w:val="FF0000"/>
          <w:szCs w:val="22"/>
          <w:highlight w:val="yellow"/>
        </w:rPr>
        <w:t>7]</w:t>
      </w:r>
      <w:r w:rsidRPr="00723DBA">
        <w:rPr>
          <w:rFonts w:hint="eastAsia"/>
          <w:color w:val="FF0000"/>
          <w:szCs w:val="22"/>
          <w:highlight w:val="yellow"/>
        </w:rPr>
        <w:t>《阿毘達磨法蘊足論》卷</w:t>
      </w:r>
      <w:r w:rsidRPr="00723DBA">
        <w:rPr>
          <w:rFonts w:hint="eastAsia"/>
          <w:color w:val="FF0000"/>
          <w:szCs w:val="22"/>
          <w:highlight w:val="yellow"/>
        </w:rPr>
        <w:t>11</w:t>
      </w:r>
      <w:r w:rsidRPr="00723DBA">
        <w:rPr>
          <w:rFonts w:hint="eastAsia"/>
          <w:color w:val="FF0000"/>
          <w:szCs w:val="22"/>
          <w:highlight w:val="yellow"/>
        </w:rPr>
        <w:t>（大正</w:t>
      </w:r>
      <w:r w:rsidRPr="00723DBA">
        <w:rPr>
          <w:rFonts w:hint="eastAsia"/>
          <w:color w:val="FF0000"/>
          <w:szCs w:val="22"/>
          <w:highlight w:val="yellow"/>
        </w:rPr>
        <w:t>26</w:t>
      </w:r>
      <w:r w:rsidRPr="00723DBA">
        <w:rPr>
          <w:rFonts w:hint="eastAsia"/>
          <w:color w:val="FF0000"/>
          <w:szCs w:val="22"/>
          <w:highlight w:val="yellow"/>
        </w:rPr>
        <w:t>，</w:t>
      </w:r>
      <w:r w:rsidRPr="00723DBA">
        <w:rPr>
          <w:rFonts w:hint="eastAsia"/>
          <w:color w:val="FF0000"/>
          <w:szCs w:val="22"/>
          <w:highlight w:val="yellow"/>
        </w:rPr>
        <w:t>505a</w:t>
      </w:r>
      <w:r w:rsidRPr="00723DBA">
        <w:rPr>
          <w:rFonts w:hint="eastAsia"/>
          <w:color w:val="FF0000"/>
          <w:szCs w:val="22"/>
          <w:highlight w:val="yellow"/>
        </w:rPr>
        <w:t>）。</w:t>
      </w:r>
    </w:p>
    <w:p w:rsidR="00723DBA" w:rsidRPr="00212D57" w:rsidRDefault="00723DBA" w:rsidP="003F3D70">
      <w:pPr>
        <w:pStyle w:val="a5"/>
        <w:ind w:leftChars="75" w:left="180"/>
        <w:jc w:val="both"/>
        <w:rPr>
          <w:szCs w:val="22"/>
        </w:rPr>
      </w:pPr>
      <w:r w:rsidRPr="00723DBA">
        <w:rPr>
          <w:rFonts w:hint="eastAsia"/>
          <w:color w:val="FF0000"/>
          <w:szCs w:val="22"/>
          <w:highlight w:val="yellow"/>
        </w:rPr>
        <w:t>[</w:t>
      </w:r>
      <w:r w:rsidRPr="00723DBA">
        <w:rPr>
          <w:rFonts w:hint="eastAsia"/>
          <w:color w:val="FF0000"/>
          <w:szCs w:val="22"/>
          <w:highlight w:val="yellow"/>
        </w:rPr>
        <w:t>原書註</w:t>
      </w:r>
      <w:r w:rsidRPr="00723DBA">
        <w:rPr>
          <w:rFonts w:hint="eastAsia"/>
          <w:color w:val="FF0000"/>
          <w:szCs w:val="22"/>
          <w:highlight w:val="yellow"/>
        </w:rPr>
        <w:t>8]</w:t>
      </w:r>
      <w:r w:rsidRPr="00723DBA">
        <w:rPr>
          <w:rFonts w:hint="eastAsia"/>
          <w:color w:val="FF0000"/>
          <w:szCs w:val="22"/>
          <w:highlight w:val="yellow"/>
        </w:rPr>
        <w:t>《異部宗輪論》（大正</w:t>
      </w:r>
      <w:r w:rsidRPr="00723DBA">
        <w:rPr>
          <w:rFonts w:hint="eastAsia"/>
          <w:color w:val="FF0000"/>
          <w:szCs w:val="22"/>
          <w:highlight w:val="yellow"/>
        </w:rPr>
        <w:t>49</w:t>
      </w:r>
      <w:r w:rsidRPr="00723DBA">
        <w:rPr>
          <w:rFonts w:hint="eastAsia"/>
          <w:color w:val="FF0000"/>
          <w:szCs w:val="22"/>
          <w:highlight w:val="yellow"/>
        </w:rPr>
        <w:t>，</w:t>
      </w:r>
      <w:r w:rsidRPr="00723DBA">
        <w:rPr>
          <w:rFonts w:hint="eastAsia"/>
          <w:color w:val="FF0000"/>
          <w:szCs w:val="22"/>
          <w:highlight w:val="yellow"/>
        </w:rPr>
        <w:t>15c</w:t>
      </w:r>
      <w:r w:rsidRPr="00723DBA">
        <w:rPr>
          <w:rFonts w:hint="eastAsia"/>
          <w:color w:val="FF0000"/>
          <w:szCs w:val="22"/>
          <w:highlight w:val="yellow"/>
        </w:rPr>
        <w:t>、</w:t>
      </w:r>
      <w:r w:rsidRPr="00723DBA">
        <w:rPr>
          <w:rFonts w:hint="eastAsia"/>
          <w:color w:val="FF0000"/>
          <w:szCs w:val="22"/>
          <w:highlight w:val="yellow"/>
        </w:rPr>
        <w:t>17a</w:t>
      </w:r>
      <w:r w:rsidRPr="00723DBA">
        <w:rPr>
          <w:rFonts w:hint="eastAsia"/>
          <w:color w:val="FF0000"/>
          <w:szCs w:val="22"/>
          <w:highlight w:val="yellow"/>
        </w:rPr>
        <w:t>）。</w:t>
      </w:r>
    </w:p>
  </w:footnote>
  <w:footnote w:id="191">
    <w:p w:rsidR="00A73CA0" w:rsidRPr="00212D57" w:rsidRDefault="00A73CA0" w:rsidP="00A73CA0">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參見</w:t>
      </w:r>
      <w:r>
        <w:rPr>
          <w:rFonts w:hint="eastAsia"/>
          <w:szCs w:val="22"/>
        </w:rPr>
        <w:t>：</w:t>
      </w:r>
      <w:r w:rsidRPr="00212D57">
        <w:rPr>
          <w:szCs w:val="22"/>
        </w:rPr>
        <w:t>龍樹菩薩造偈，分別明菩薩釋論</w:t>
      </w:r>
      <w:r w:rsidRPr="00212D57">
        <w:rPr>
          <w:rFonts w:hint="eastAsia"/>
          <w:szCs w:val="22"/>
        </w:rPr>
        <w:t>，</w:t>
      </w:r>
      <w:r w:rsidRPr="00212D57">
        <w:rPr>
          <w:szCs w:val="22"/>
        </w:rPr>
        <w:t>《般若燈論釋》卷</w:t>
      </w:r>
      <w:r w:rsidRPr="00761EF3">
        <w:rPr>
          <w:szCs w:val="22"/>
        </w:rPr>
        <w:t>1</w:t>
      </w:r>
      <w:r w:rsidRPr="00212D57">
        <w:rPr>
          <w:rFonts w:hint="eastAsia"/>
          <w:szCs w:val="22"/>
        </w:rPr>
        <w:t>〈</w:t>
      </w:r>
      <w:r w:rsidRPr="00761EF3">
        <w:rPr>
          <w:rFonts w:hint="eastAsia"/>
          <w:szCs w:val="22"/>
        </w:rPr>
        <w:t>1</w:t>
      </w:r>
      <w:r w:rsidRPr="00212D57">
        <w:rPr>
          <w:rFonts w:hint="eastAsia"/>
          <w:szCs w:val="22"/>
        </w:rPr>
        <w:t xml:space="preserve"> </w:t>
      </w:r>
      <w:r w:rsidRPr="00212D57">
        <w:rPr>
          <w:rFonts w:hint="eastAsia"/>
          <w:szCs w:val="22"/>
        </w:rPr>
        <w:t>觀緣品〉</w:t>
      </w:r>
      <w:r w:rsidRPr="00212D57">
        <w:rPr>
          <w:szCs w:val="22"/>
        </w:rPr>
        <w:t>（大正</w:t>
      </w:r>
      <w:r w:rsidRPr="00761EF3">
        <w:rPr>
          <w:szCs w:val="22"/>
        </w:rPr>
        <w:t>30</w:t>
      </w:r>
      <w:r w:rsidRPr="00212D57">
        <w:rPr>
          <w:szCs w:val="22"/>
        </w:rPr>
        <w:t>，</w:t>
      </w:r>
      <w:r w:rsidRPr="00761EF3">
        <w:rPr>
          <w:szCs w:val="22"/>
        </w:rPr>
        <w:t>5</w:t>
      </w:r>
      <w:r w:rsidRPr="00761EF3">
        <w:rPr>
          <w:rFonts w:hint="eastAsia"/>
          <w:szCs w:val="22"/>
        </w:rPr>
        <w:t>1c</w:t>
      </w:r>
      <w:r w:rsidRPr="00212D57">
        <w:rPr>
          <w:szCs w:val="22"/>
        </w:rPr>
        <w:t>-</w:t>
      </w:r>
      <w:r w:rsidRPr="00761EF3">
        <w:rPr>
          <w:rFonts w:hint="eastAsia"/>
          <w:szCs w:val="22"/>
        </w:rPr>
        <w:t>52b</w:t>
      </w:r>
      <w:r w:rsidRPr="00212D57">
        <w:rPr>
          <w:szCs w:val="22"/>
        </w:rPr>
        <w:t>）</w:t>
      </w:r>
      <w:r w:rsidRPr="00212D57">
        <w:rPr>
          <w:rFonts w:ascii="新細明體" w:hAnsi="新細明體" w:hint="eastAsia"/>
          <w:szCs w:val="22"/>
        </w:rPr>
        <w:t>。</w:t>
      </w:r>
    </w:p>
  </w:footnote>
  <w:footnote w:id="192">
    <w:p w:rsidR="00C8381B" w:rsidRPr="00212D57" w:rsidRDefault="00C8381B" w:rsidP="00C8381B">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）《維摩詰所說經》卷上</w:t>
      </w:r>
      <w:r w:rsidRPr="00212D57">
        <w:rPr>
          <w:rFonts w:hint="eastAsia"/>
          <w:szCs w:val="22"/>
        </w:rPr>
        <w:t>（</w:t>
      </w:r>
      <w:r w:rsidRPr="00212D57">
        <w:rPr>
          <w:szCs w:val="22"/>
        </w:rPr>
        <w:t>大正</w:t>
      </w:r>
      <w:r w:rsidRPr="00761EF3">
        <w:rPr>
          <w:szCs w:val="22"/>
        </w:rPr>
        <w:t>14</w:t>
      </w:r>
      <w:r w:rsidRPr="00212D57">
        <w:rPr>
          <w:szCs w:val="22"/>
        </w:rPr>
        <w:t>，</w:t>
      </w:r>
      <w:r w:rsidRPr="00761EF3">
        <w:rPr>
          <w:szCs w:val="22"/>
        </w:rPr>
        <w:t>541a12</w:t>
      </w:r>
      <w:r w:rsidRPr="00212D57">
        <w:rPr>
          <w:szCs w:val="22"/>
        </w:rPr>
        <w:t>-</w:t>
      </w:r>
      <w:r w:rsidRPr="00761EF3">
        <w:rPr>
          <w:szCs w:val="22"/>
        </w:rPr>
        <w:t>23</w:t>
      </w:r>
      <w:r w:rsidRPr="00212D57">
        <w:rPr>
          <w:rFonts w:hint="eastAsia"/>
          <w:szCs w:val="22"/>
        </w:rPr>
        <w:t>）</w:t>
      </w:r>
      <w:r w:rsidRPr="00212D57">
        <w:rPr>
          <w:szCs w:val="22"/>
        </w:rPr>
        <w:t>：</w:t>
      </w:r>
    </w:p>
    <w:p w:rsidR="00C8381B" w:rsidRPr="00212D57" w:rsidRDefault="00C8381B" w:rsidP="00C8381B">
      <w:pPr>
        <w:pStyle w:val="a5"/>
        <w:ind w:leftChars="300" w:left="720"/>
        <w:jc w:val="both"/>
        <w:rPr>
          <w:rFonts w:ascii="標楷體" w:eastAsia="標楷體" w:hAnsi="標楷體"/>
          <w:szCs w:val="22"/>
        </w:rPr>
      </w:pPr>
      <w:r w:rsidRPr="00212D57">
        <w:rPr>
          <w:rFonts w:ascii="標楷體" w:eastAsia="標楷體" w:hAnsi="標楷體"/>
          <w:szCs w:val="22"/>
        </w:rPr>
        <w:t>佛告摩訶迦旃延：「汝行詣維摩詰問疾</w:t>
      </w:r>
      <w:r w:rsidRPr="00212D57">
        <w:rPr>
          <w:rFonts w:ascii="標楷體" w:eastAsia="標楷體" w:hAnsi="標楷體" w:hint="eastAsia"/>
          <w:szCs w:val="22"/>
        </w:rPr>
        <w:t>。</w:t>
      </w:r>
      <w:r w:rsidRPr="00212D57">
        <w:rPr>
          <w:rFonts w:ascii="標楷體" w:eastAsia="標楷體" w:hAnsi="標楷體"/>
          <w:szCs w:val="22"/>
        </w:rPr>
        <w:t>」</w:t>
      </w:r>
    </w:p>
    <w:p w:rsidR="00C8381B" w:rsidRPr="00212D57" w:rsidRDefault="00C8381B" w:rsidP="00C8381B">
      <w:pPr>
        <w:pStyle w:val="a5"/>
        <w:ind w:leftChars="300" w:left="720"/>
        <w:jc w:val="both"/>
        <w:rPr>
          <w:rFonts w:ascii="標楷體" w:eastAsia="標楷體" w:hAnsi="標楷體"/>
          <w:szCs w:val="22"/>
        </w:rPr>
      </w:pPr>
      <w:r w:rsidRPr="00212D57">
        <w:rPr>
          <w:rFonts w:ascii="標楷體" w:eastAsia="標楷體" w:hAnsi="標楷體"/>
          <w:szCs w:val="22"/>
        </w:rPr>
        <w:t>迦旃延白佛言：「世尊</w:t>
      </w:r>
      <w:r w:rsidRPr="00212D57">
        <w:rPr>
          <w:rFonts w:ascii="標楷體" w:eastAsia="標楷體" w:hAnsi="標楷體" w:hint="eastAsia"/>
          <w:szCs w:val="22"/>
        </w:rPr>
        <w:t>！</w:t>
      </w:r>
      <w:r w:rsidRPr="00212D57">
        <w:rPr>
          <w:rFonts w:ascii="標楷體" w:eastAsia="標楷體" w:hAnsi="標楷體"/>
          <w:szCs w:val="22"/>
        </w:rPr>
        <w:t>我不堪任詣彼問疾。所以者何？憶念</w:t>
      </w:r>
      <w:r>
        <w:rPr>
          <w:rFonts w:ascii="標楷體" w:eastAsia="標楷體" w:hAnsi="標楷體" w:hint="eastAsia"/>
          <w:color w:val="FF0000"/>
          <w:spacing w:val="-4"/>
          <w:kern w:val="0"/>
          <w:highlight w:val="yellow"/>
        </w:rPr>
        <w:t>：</w:t>
      </w:r>
      <w:r w:rsidRPr="00212D57">
        <w:rPr>
          <w:rFonts w:ascii="標楷體" w:eastAsia="標楷體" w:hAnsi="標楷體"/>
          <w:szCs w:val="22"/>
        </w:rPr>
        <w:t>昔者</w:t>
      </w:r>
      <w:r>
        <w:rPr>
          <w:rFonts w:ascii="標楷體" w:eastAsia="標楷體" w:hAnsi="標楷體" w:hint="eastAsia"/>
          <w:color w:val="FF0000"/>
          <w:kern w:val="0"/>
          <w:highlight w:val="yellow"/>
        </w:rPr>
        <w:t>，</w:t>
      </w:r>
      <w:r w:rsidRPr="00212D57">
        <w:rPr>
          <w:rFonts w:ascii="標楷體" w:eastAsia="標楷體" w:hAnsi="標楷體"/>
          <w:szCs w:val="22"/>
        </w:rPr>
        <w:t>佛為諸比丘略說法要，我即於後敷演其義，謂</w:t>
      </w:r>
      <w:r>
        <w:rPr>
          <w:rFonts w:ascii="標楷體" w:eastAsia="標楷體" w:hAnsi="標楷體" w:hint="eastAsia"/>
          <w:color w:val="FF0000"/>
          <w:kern w:val="0"/>
          <w:highlight w:val="yellow"/>
        </w:rPr>
        <w:t>『</w:t>
      </w:r>
      <w:r w:rsidRPr="00212D57">
        <w:rPr>
          <w:rFonts w:ascii="標楷體" w:eastAsia="標楷體" w:hAnsi="標楷體"/>
          <w:szCs w:val="22"/>
        </w:rPr>
        <w:t>無常</w:t>
      </w:r>
      <w:r>
        <w:rPr>
          <w:rFonts w:ascii="標楷體" w:eastAsia="標楷體" w:hAnsi="標楷體" w:hint="eastAsia"/>
          <w:color w:val="FF0000"/>
          <w:kern w:val="0"/>
          <w:highlight w:val="yellow"/>
        </w:rPr>
        <w:t>』</w:t>
      </w:r>
      <w:r w:rsidRPr="00212D57">
        <w:rPr>
          <w:rFonts w:ascii="標楷體" w:eastAsia="標楷體" w:hAnsi="標楷體"/>
          <w:szCs w:val="22"/>
        </w:rPr>
        <w:t>義、</w:t>
      </w:r>
      <w:r>
        <w:rPr>
          <w:rFonts w:ascii="標楷體" w:eastAsia="標楷體" w:hAnsi="標楷體" w:hint="eastAsia"/>
          <w:color w:val="FF0000"/>
          <w:kern w:val="0"/>
          <w:highlight w:val="yellow"/>
        </w:rPr>
        <w:t>『</w:t>
      </w:r>
      <w:r w:rsidRPr="00212D57">
        <w:rPr>
          <w:rFonts w:ascii="標楷體" w:eastAsia="標楷體" w:hAnsi="標楷體"/>
          <w:szCs w:val="22"/>
        </w:rPr>
        <w:t>苦</w:t>
      </w:r>
      <w:r>
        <w:rPr>
          <w:rFonts w:ascii="標楷體" w:eastAsia="標楷體" w:hAnsi="標楷體" w:hint="eastAsia"/>
          <w:color w:val="FF0000"/>
          <w:kern w:val="0"/>
          <w:highlight w:val="yellow"/>
        </w:rPr>
        <w:t>』</w:t>
      </w:r>
      <w:r w:rsidRPr="00212D57">
        <w:rPr>
          <w:rFonts w:ascii="標楷體" w:eastAsia="標楷體" w:hAnsi="標楷體"/>
          <w:szCs w:val="22"/>
        </w:rPr>
        <w:t>義、</w:t>
      </w:r>
      <w:r>
        <w:rPr>
          <w:rFonts w:ascii="標楷體" w:eastAsia="標楷體" w:hAnsi="標楷體" w:hint="eastAsia"/>
          <w:color w:val="FF0000"/>
          <w:kern w:val="0"/>
          <w:highlight w:val="yellow"/>
        </w:rPr>
        <w:t>『</w:t>
      </w:r>
      <w:r w:rsidRPr="00212D57">
        <w:rPr>
          <w:rFonts w:ascii="標楷體" w:eastAsia="標楷體" w:hAnsi="標楷體"/>
          <w:szCs w:val="22"/>
        </w:rPr>
        <w:t>空</w:t>
      </w:r>
      <w:r>
        <w:rPr>
          <w:rFonts w:ascii="標楷體" w:eastAsia="標楷體" w:hAnsi="標楷體" w:hint="eastAsia"/>
          <w:color w:val="FF0000"/>
          <w:kern w:val="0"/>
          <w:highlight w:val="yellow"/>
        </w:rPr>
        <w:t>』</w:t>
      </w:r>
      <w:r w:rsidRPr="00212D57">
        <w:rPr>
          <w:rFonts w:ascii="標楷體" w:eastAsia="標楷體" w:hAnsi="標楷體"/>
          <w:szCs w:val="22"/>
        </w:rPr>
        <w:t>義、</w:t>
      </w:r>
      <w:r>
        <w:rPr>
          <w:rFonts w:ascii="標楷體" w:eastAsia="標楷體" w:hAnsi="標楷體" w:hint="eastAsia"/>
          <w:color w:val="FF0000"/>
          <w:kern w:val="0"/>
          <w:highlight w:val="yellow"/>
        </w:rPr>
        <w:t>『</w:t>
      </w:r>
      <w:r w:rsidRPr="00212D57">
        <w:rPr>
          <w:rFonts w:ascii="標楷體" w:eastAsia="標楷體" w:hAnsi="標楷體"/>
          <w:szCs w:val="22"/>
        </w:rPr>
        <w:t>無我</w:t>
      </w:r>
      <w:r>
        <w:rPr>
          <w:rFonts w:ascii="標楷體" w:eastAsia="標楷體" w:hAnsi="標楷體" w:hint="eastAsia"/>
          <w:color w:val="FF0000"/>
          <w:kern w:val="0"/>
          <w:highlight w:val="yellow"/>
        </w:rPr>
        <w:t>』</w:t>
      </w:r>
      <w:r w:rsidRPr="00212D57">
        <w:rPr>
          <w:rFonts w:ascii="標楷體" w:eastAsia="標楷體" w:hAnsi="標楷體"/>
          <w:szCs w:val="22"/>
        </w:rPr>
        <w:t>義、</w:t>
      </w:r>
      <w:r>
        <w:rPr>
          <w:rFonts w:ascii="標楷體" w:eastAsia="標楷體" w:hAnsi="標楷體" w:hint="eastAsia"/>
          <w:color w:val="FF0000"/>
          <w:kern w:val="0"/>
          <w:highlight w:val="yellow"/>
        </w:rPr>
        <w:t>『</w:t>
      </w:r>
      <w:r w:rsidRPr="00212D57">
        <w:rPr>
          <w:rFonts w:ascii="標楷體" w:eastAsia="標楷體" w:hAnsi="標楷體"/>
          <w:szCs w:val="22"/>
        </w:rPr>
        <w:t>寂滅</w:t>
      </w:r>
      <w:r>
        <w:rPr>
          <w:rFonts w:ascii="標楷體" w:eastAsia="標楷體" w:hAnsi="標楷體" w:hint="eastAsia"/>
          <w:color w:val="FF0000"/>
          <w:kern w:val="0"/>
          <w:highlight w:val="yellow"/>
        </w:rPr>
        <w:t>』</w:t>
      </w:r>
      <w:r w:rsidRPr="00212D57">
        <w:rPr>
          <w:rFonts w:ascii="標楷體" w:eastAsia="標楷體" w:hAnsi="標楷體"/>
          <w:szCs w:val="22"/>
        </w:rPr>
        <w:t>義。時維摩詰來謂我言：『唯迦旃延！無以生滅心行說實相法。迦旃延！</w:t>
      </w:r>
      <w:r w:rsidRPr="00212D57">
        <w:rPr>
          <w:rFonts w:ascii="標楷體" w:eastAsia="標楷體" w:hAnsi="標楷體"/>
          <w:b/>
          <w:szCs w:val="22"/>
        </w:rPr>
        <w:t>諸法畢竟不生不滅</w:t>
      </w:r>
      <w:r>
        <w:rPr>
          <w:rFonts w:ascii="標楷體" w:eastAsia="標楷體" w:hAnsi="標楷體" w:hint="eastAsia"/>
          <w:color w:val="FF0000"/>
          <w:kern w:val="0"/>
          <w:highlight w:val="yellow"/>
        </w:rPr>
        <w:t>，</w:t>
      </w:r>
      <w:r w:rsidRPr="00212D57">
        <w:rPr>
          <w:rFonts w:ascii="標楷體" w:eastAsia="標楷體" w:hAnsi="標楷體"/>
          <w:b/>
          <w:szCs w:val="22"/>
        </w:rPr>
        <w:t>是</w:t>
      </w:r>
      <w:r>
        <w:rPr>
          <w:rFonts w:ascii="標楷體" w:eastAsia="標楷體" w:hAnsi="標楷體" w:hint="eastAsia"/>
          <w:bCs/>
          <w:color w:val="FF0000"/>
          <w:kern w:val="0"/>
          <w:highlight w:val="yellow"/>
        </w:rPr>
        <w:t>「</w:t>
      </w:r>
      <w:r w:rsidRPr="00212D57">
        <w:rPr>
          <w:rFonts w:ascii="標楷體" w:eastAsia="標楷體" w:hAnsi="標楷體"/>
          <w:b/>
          <w:szCs w:val="22"/>
        </w:rPr>
        <w:t>無常</w:t>
      </w:r>
      <w:r>
        <w:rPr>
          <w:rFonts w:ascii="標楷體" w:eastAsia="標楷體" w:hAnsi="標楷體" w:hint="eastAsia"/>
          <w:bCs/>
          <w:color w:val="FF0000"/>
          <w:kern w:val="0"/>
          <w:highlight w:val="yellow"/>
        </w:rPr>
        <w:t>」</w:t>
      </w:r>
      <w:r w:rsidRPr="00212D57">
        <w:rPr>
          <w:rFonts w:ascii="標楷體" w:eastAsia="標楷體" w:hAnsi="標楷體"/>
          <w:b/>
          <w:szCs w:val="22"/>
        </w:rPr>
        <w:t>義</w:t>
      </w:r>
      <w:r>
        <w:rPr>
          <w:rFonts w:ascii="標楷體" w:eastAsia="標楷體" w:hAnsi="標楷體" w:hint="eastAsia"/>
          <w:color w:val="FF0000"/>
          <w:spacing w:val="-4"/>
          <w:kern w:val="0"/>
          <w:highlight w:val="yellow"/>
        </w:rPr>
        <w:t>；</w:t>
      </w:r>
      <w:r w:rsidRPr="00212D57">
        <w:rPr>
          <w:rFonts w:ascii="標楷體" w:eastAsia="標楷體" w:hAnsi="標楷體"/>
          <w:szCs w:val="22"/>
        </w:rPr>
        <w:t>五受陰洞達空無所起</w:t>
      </w:r>
      <w:r>
        <w:rPr>
          <w:rFonts w:ascii="標楷體" w:eastAsia="標楷體" w:hAnsi="標楷體" w:hint="eastAsia"/>
          <w:color w:val="FF0000"/>
          <w:kern w:val="0"/>
          <w:highlight w:val="yellow"/>
        </w:rPr>
        <w:t>，</w:t>
      </w:r>
      <w:r w:rsidRPr="00212D57">
        <w:rPr>
          <w:rFonts w:ascii="標楷體" w:eastAsia="標楷體" w:hAnsi="標楷體"/>
          <w:szCs w:val="22"/>
        </w:rPr>
        <w:t>是</w:t>
      </w:r>
      <w:r>
        <w:rPr>
          <w:rFonts w:ascii="標楷體" w:eastAsia="標楷體" w:hAnsi="標楷體" w:hint="eastAsia"/>
          <w:bCs/>
          <w:color w:val="FF0000"/>
          <w:kern w:val="0"/>
          <w:highlight w:val="yellow"/>
        </w:rPr>
        <w:t>「</w:t>
      </w:r>
      <w:r w:rsidRPr="00212D57">
        <w:rPr>
          <w:rFonts w:ascii="標楷體" w:eastAsia="標楷體" w:hAnsi="標楷體"/>
          <w:szCs w:val="22"/>
        </w:rPr>
        <w:t>苦</w:t>
      </w:r>
      <w:r>
        <w:rPr>
          <w:rFonts w:ascii="標楷體" w:eastAsia="標楷體" w:hAnsi="標楷體" w:hint="eastAsia"/>
          <w:bCs/>
          <w:color w:val="FF0000"/>
          <w:kern w:val="0"/>
          <w:highlight w:val="yellow"/>
        </w:rPr>
        <w:t>」</w:t>
      </w:r>
      <w:r w:rsidRPr="00212D57">
        <w:rPr>
          <w:rFonts w:ascii="標楷體" w:eastAsia="標楷體" w:hAnsi="標楷體"/>
          <w:szCs w:val="22"/>
        </w:rPr>
        <w:t>義</w:t>
      </w:r>
      <w:r>
        <w:rPr>
          <w:rFonts w:ascii="標楷體" w:eastAsia="標楷體" w:hAnsi="標楷體" w:hint="eastAsia"/>
          <w:color w:val="FF0000"/>
          <w:spacing w:val="-4"/>
          <w:kern w:val="0"/>
          <w:highlight w:val="yellow"/>
        </w:rPr>
        <w:t>；</w:t>
      </w:r>
      <w:r>
        <w:rPr>
          <w:rFonts w:ascii="標楷體" w:eastAsia="標楷體" w:hAnsi="標楷體"/>
          <w:szCs w:val="22"/>
        </w:rPr>
        <w:t>諸法究竟無所有</w:t>
      </w:r>
      <w:r>
        <w:rPr>
          <w:rFonts w:ascii="標楷體" w:eastAsia="標楷體" w:hAnsi="標楷體" w:hint="eastAsia"/>
          <w:color w:val="FF0000"/>
          <w:kern w:val="0"/>
          <w:highlight w:val="yellow"/>
        </w:rPr>
        <w:t>，</w:t>
      </w:r>
      <w:r>
        <w:rPr>
          <w:rFonts w:ascii="標楷體" w:eastAsia="標楷體" w:hAnsi="標楷體"/>
          <w:szCs w:val="22"/>
        </w:rPr>
        <w:t>是</w:t>
      </w:r>
      <w:r>
        <w:rPr>
          <w:rFonts w:ascii="標楷體" w:eastAsia="標楷體" w:hAnsi="標楷體" w:hint="eastAsia"/>
          <w:bCs/>
          <w:color w:val="FF0000"/>
          <w:kern w:val="0"/>
          <w:highlight w:val="yellow"/>
        </w:rPr>
        <w:t>「</w:t>
      </w:r>
      <w:r>
        <w:rPr>
          <w:rFonts w:ascii="標楷體" w:eastAsia="標楷體" w:hAnsi="標楷體"/>
          <w:szCs w:val="22"/>
        </w:rPr>
        <w:t>空</w:t>
      </w:r>
      <w:r>
        <w:rPr>
          <w:rFonts w:ascii="標楷體" w:eastAsia="標楷體" w:hAnsi="標楷體" w:hint="eastAsia"/>
          <w:bCs/>
          <w:color w:val="FF0000"/>
          <w:kern w:val="0"/>
          <w:highlight w:val="yellow"/>
        </w:rPr>
        <w:t>」</w:t>
      </w:r>
      <w:r>
        <w:rPr>
          <w:rFonts w:ascii="標楷體" w:eastAsia="標楷體" w:hAnsi="標楷體"/>
          <w:szCs w:val="22"/>
        </w:rPr>
        <w:t>義</w:t>
      </w:r>
      <w:r>
        <w:rPr>
          <w:rFonts w:ascii="標楷體" w:eastAsia="標楷體" w:hAnsi="標楷體" w:hint="eastAsia"/>
          <w:color w:val="FF0000"/>
          <w:spacing w:val="-4"/>
          <w:kern w:val="0"/>
          <w:highlight w:val="yellow"/>
        </w:rPr>
        <w:t>；</w:t>
      </w:r>
      <w:r w:rsidRPr="00212D57">
        <w:rPr>
          <w:rFonts w:ascii="標楷體" w:eastAsia="標楷體" w:hAnsi="標楷體"/>
          <w:szCs w:val="22"/>
        </w:rPr>
        <w:t>於</w:t>
      </w:r>
      <w:r>
        <w:rPr>
          <w:rFonts w:ascii="標楷體" w:eastAsia="標楷體" w:hAnsi="標楷體" w:hint="eastAsia"/>
          <w:bCs/>
          <w:color w:val="FF0000"/>
          <w:kern w:val="0"/>
          <w:highlight w:val="yellow"/>
        </w:rPr>
        <w:t>「</w:t>
      </w:r>
      <w:r w:rsidRPr="00212D57">
        <w:rPr>
          <w:rFonts w:ascii="標楷體" w:eastAsia="標楷體" w:hAnsi="標楷體"/>
          <w:szCs w:val="22"/>
        </w:rPr>
        <w:t>我、無我</w:t>
      </w:r>
      <w:r>
        <w:rPr>
          <w:rFonts w:ascii="標楷體" w:eastAsia="標楷體" w:hAnsi="標楷體" w:hint="eastAsia"/>
          <w:bCs/>
          <w:color w:val="FF0000"/>
          <w:kern w:val="0"/>
          <w:highlight w:val="yellow"/>
        </w:rPr>
        <w:t>」</w:t>
      </w:r>
      <w:r w:rsidRPr="00212D57">
        <w:rPr>
          <w:rFonts w:ascii="標楷體" w:eastAsia="標楷體" w:hAnsi="標楷體"/>
          <w:szCs w:val="22"/>
        </w:rPr>
        <w:t>而不二</w:t>
      </w:r>
      <w:r>
        <w:rPr>
          <w:rFonts w:ascii="標楷體" w:eastAsia="標楷體" w:hAnsi="標楷體" w:hint="eastAsia"/>
          <w:color w:val="FF0000"/>
          <w:kern w:val="0"/>
          <w:highlight w:val="yellow"/>
        </w:rPr>
        <w:t>，</w:t>
      </w:r>
      <w:r w:rsidRPr="00212D57">
        <w:rPr>
          <w:rFonts w:ascii="標楷體" w:eastAsia="標楷體" w:hAnsi="標楷體"/>
          <w:szCs w:val="22"/>
        </w:rPr>
        <w:t>是</w:t>
      </w:r>
      <w:r>
        <w:rPr>
          <w:rFonts w:ascii="標楷體" w:eastAsia="標楷體" w:hAnsi="標楷體" w:hint="eastAsia"/>
          <w:bCs/>
          <w:color w:val="FF0000"/>
          <w:kern w:val="0"/>
          <w:highlight w:val="yellow"/>
        </w:rPr>
        <w:t>「</w:t>
      </w:r>
      <w:r w:rsidRPr="00212D57">
        <w:rPr>
          <w:rFonts w:ascii="標楷體" w:eastAsia="標楷體" w:hAnsi="標楷體"/>
          <w:szCs w:val="22"/>
        </w:rPr>
        <w:t>無我</w:t>
      </w:r>
      <w:r>
        <w:rPr>
          <w:rFonts w:ascii="標楷體" w:eastAsia="標楷體" w:hAnsi="標楷體" w:hint="eastAsia"/>
          <w:bCs/>
          <w:color w:val="FF0000"/>
          <w:kern w:val="0"/>
          <w:highlight w:val="yellow"/>
        </w:rPr>
        <w:t>」</w:t>
      </w:r>
      <w:r w:rsidRPr="00212D57">
        <w:rPr>
          <w:rFonts w:ascii="標楷體" w:eastAsia="標楷體" w:hAnsi="標楷體"/>
          <w:szCs w:val="22"/>
        </w:rPr>
        <w:t>義</w:t>
      </w:r>
      <w:r>
        <w:rPr>
          <w:rFonts w:ascii="標楷體" w:eastAsia="標楷體" w:hAnsi="標楷體" w:hint="eastAsia"/>
          <w:color w:val="FF0000"/>
          <w:spacing w:val="-4"/>
          <w:kern w:val="0"/>
          <w:highlight w:val="yellow"/>
        </w:rPr>
        <w:t>；</w:t>
      </w:r>
      <w:r w:rsidRPr="00212D57">
        <w:rPr>
          <w:rFonts w:ascii="標楷體" w:eastAsia="標楷體" w:hAnsi="標楷體"/>
          <w:szCs w:val="22"/>
        </w:rPr>
        <w:t>法本不然，今則無滅</w:t>
      </w:r>
      <w:r>
        <w:rPr>
          <w:rFonts w:ascii="標楷體" w:eastAsia="標楷體" w:hAnsi="標楷體" w:hint="eastAsia"/>
          <w:color w:val="FF0000"/>
          <w:kern w:val="0"/>
          <w:highlight w:val="yellow"/>
        </w:rPr>
        <w:t>，</w:t>
      </w:r>
      <w:r w:rsidRPr="00212D57">
        <w:rPr>
          <w:rFonts w:ascii="標楷體" w:eastAsia="標楷體" w:hAnsi="標楷體"/>
          <w:szCs w:val="22"/>
        </w:rPr>
        <w:t>是</w:t>
      </w:r>
      <w:r>
        <w:rPr>
          <w:rFonts w:ascii="標楷體" w:eastAsia="標楷體" w:hAnsi="標楷體" w:hint="eastAsia"/>
          <w:bCs/>
          <w:color w:val="FF0000"/>
          <w:kern w:val="0"/>
          <w:highlight w:val="yellow"/>
        </w:rPr>
        <w:t>「</w:t>
      </w:r>
      <w:r w:rsidRPr="00212D57">
        <w:rPr>
          <w:rFonts w:ascii="標楷體" w:eastAsia="標楷體" w:hAnsi="標楷體"/>
          <w:szCs w:val="22"/>
        </w:rPr>
        <w:t>寂滅</w:t>
      </w:r>
      <w:r>
        <w:rPr>
          <w:rFonts w:ascii="標楷體" w:eastAsia="標楷體" w:hAnsi="標楷體" w:hint="eastAsia"/>
          <w:bCs/>
          <w:color w:val="FF0000"/>
          <w:kern w:val="0"/>
          <w:highlight w:val="yellow"/>
        </w:rPr>
        <w:t>」</w:t>
      </w:r>
      <w:r w:rsidRPr="00212D57">
        <w:rPr>
          <w:rFonts w:ascii="標楷體" w:eastAsia="標楷體" w:hAnsi="標楷體"/>
          <w:szCs w:val="22"/>
        </w:rPr>
        <w:t>義。』說是法時，彼諸比丘心得解脫</w:t>
      </w:r>
      <w:r>
        <w:rPr>
          <w:rFonts w:ascii="標楷體" w:eastAsia="標楷體" w:hAnsi="標楷體" w:hint="eastAsia"/>
          <w:color w:val="FF0000"/>
          <w:kern w:val="0"/>
          <w:highlight w:val="yellow"/>
        </w:rPr>
        <w:t>。</w:t>
      </w:r>
      <w:r w:rsidRPr="00212D57">
        <w:rPr>
          <w:rFonts w:ascii="標楷體" w:eastAsia="標楷體" w:hAnsi="標楷體"/>
          <w:szCs w:val="22"/>
        </w:rPr>
        <w:t>故我不任詣彼問疾。」</w:t>
      </w:r>
    </w:p>
    <w:p w:rsidR="00C8381B" w:rsidRPr="00212D57" w:rsidRDefault="00C8381B" w:rsidP="00C8381B">
      <w:pPr>
        <w:pStyle w:val="a5"/>
        <w:ind w:leftChars="80" w:left="731" w:hangingChars="245" w:hanging="539"/>
        <w:jc w:val="both"/>
        <w:rPr>
          <w:szCs w:val="22"/>
        </w:rPr>
      </w:pPr>
      <w:r w:rsidRPr="00212D57">
        <w:rPr>
          <w:szCs w:val="22"/>
        </w:rPr>
        <w:t>（</w:t>
      </w:r>
      <w:r w:rsidRPr="00761EF3">
        <w:rPr>
          <w:szCs w:val="22"/>
        </w:rPr>
        <w:t>2</w:t>
      </w:r>
      <w:r w:rsidRPr="00212D57">
        <w:rPr>
          <w:szCs w:val="22"/>
        </w:rPr>
        <w:t>）印順法師</w:t>
      </w:r>
      <w:r w:rsidRPr="00212D57">
        <w:rPr>
          <w:rFonts w:hint="eastAsia"/>
          <w:szCs w:val="22"/>
        </w:rPr>
        <w:t>，</w:t>
      </w:r>
      <w:r w:rsidRPr="00212D57">
        <w:rPr>
          <w:szCs w:val="22"/>
        </w:rPr>
        <w:t>《印度佛教思想史》</w:t>
      </w:r>
      <w:r w:rsidRPr="00212D57">
        <w:rPr>
          <w:rFonts w:hint="eastAsia"/>
          <w:szCs w:val="22"/>
        </w:rPr>
        <w:t>，第</w:t>
      </w:r>
      <w:r w:rsidRPr="00761EF3">
        <w:rPr>
          <w:rFonts w:hint="eastAsia"/>
          <w:szCs w:val="22"/>
        </w:rPr>
        <w:t>4</w:t>
      </w:r>
      <w:r w:rsidRPr="00212D57">
        <w:rPr>
          <w:rFonts w:hint="eastAsia"/>
          <w:szCs w:val="22"/>
        </w:rPr>
        <w:t>章〈中觀大乘──「性空唯名論」〉，</w:t>
      </w:r>
      <w:r w:rsidRPr="00761EF3">
        <w:rPr>
          <w:szCs w:val="22"/>
        </w:rPr>
        <w:t>pp</w:t>
      </w:r>
      <w:r w:rsidRPr="00212D57">
        <w:rPr>
          <w:szCs w:val="22"/>
        </w:rPr>
        <w:t>.</w:t>
      </w:r>
      <w:r w:rsidRPr="00761EF3">
        <w:rPr>
          <w:szCs w:val="22"/>
        </w:rPr>
        <w:t>131</w:t>
      </w:r>
      <w:r w:rsidRPr="00212D57">
        <w:rPr>
          <w:szCs w:val="22"/>
        </w:rPr>
        <w:t>-</w:t>
      </w:r>
      <w:r w:rsidRPr="00761EF3">
        <w:rPr>
          <w:szCs w:val="22"/>
        </w:rPr>
        <w:t>132</w:t>
      </w:r>
      <w:r w:rsidRPr="00212D57">
        <w:rPr>
          <w:szCs w:val="22"/>
        </w:rPr>
        <w:t>：</w:t>
      </w:r>
    </w:p>
    <w:p w:rsidR="00C8381B" w:rsidRPr="00212D57" w:rsidRDefault="00C8381B" w:rsidP="00C8381B">
      <w:pPr>
        <w:pStyle w:val="a5"/>
        <w:ind w:leftChars="300" w:left="720"/>
        <w:jc w:val="both"/>
        <w:rPr>
          <w:rFonts w:ascii="標楷體" w:eastAsia="標楷體" w:hAnsi="標楷體"/>
          <w:szCs w:val="22"/>
        </w:rPr>
      </w:pPr>
      <w:r w:rsidRPr="00212D57">
        <w:rPr>
          <w:rFonts w:ascii="標楷體" w:eastAsia="標楷體" w:hAnsi="標楷體"/>
          <w:szCs w:val="22"/>
        </w:rPr>
        <w:t>如「佛法」說三法印──「諸行無常」，「諸法無我」，「涅槃寂靜」；而大乘說一實相印，即一切法本空、本不生、本來寂滅。知一切行無常，無常故苦，苦故無我我所，以無我我所執而得涅槃，是《阿含經》的一致意見。</w:t>
      </w:r>
    </w:p>
    <w:p w:rsidR="00C8381B" w:rsidRPr="00212D57" w:rsidRDefault="00C8381B" w:rsidP="00C8381B">
      <w:pPr>
        <w:pStyle w:val="a5"/>
        <w:ind w:leftChars="300" w:left="720"/>
        <w:jc w:val="both"/>
        <w:rPr>
          <w:szCs w:val="22"/>
        </w:rPr>
      </w:pPr>
      <w:r w:rsidRPr="00212D57">
        <w:rPr>
          <w:rFonts w:ascii="標楷體" w:eastAsia="標楷體" w:hAnsi="標楷體"/>
          <w:szCs w:val="22"/>
        </w:rPr>
        <w:t>「大乘佛法」依據一切法本不生的見地，竟說：「色是無常，</w:t>
      </w:r>
      <w:r w:rsidRPr="00212D57">
        <w:rPr>
          <w:rFonts w:ascii="標楷體" w:eastAsia="標楷體" w:hAnsi="標楷體" w:hint="eastAsia"/>
          <w:szCs w:val="22"/>
        </w:rPr>
        <w:t>……</w:t>
      </w:r>
      <w:r w:rsidRPr="00212D57">
        <w:rPr>
          <w:rFonts w:ascii="標楷體" w:eastAsia="標楷體" w:hAnsi="標楷體"/>
          <w:szCs w:val="22"/>
        </w:rPr>
        <w:t>受想行識是無常，</w:t>
      </w:r>
      <w:r w:rsidRPr="00212D57">
        <w:rPr>
          <w:rFonts w:ascii="標楷體" w:eastAsia="標楷體" w:hAnsi="標楷體" w:hint="eastAsia"/>
          <w:szCs w:val="22"/>
        </w:rPr>
        <w:t>……</w:t>
      </w:r>
      <w:r w:rsidRPr="00212D57">
        <w:rPr>
          <w:rFonts w:ascii="標楷體" w:eastAsia="標楷體" w:hAnsi="標楷體"/>
          <w:szCs w:val="22"/>
        </w:rPr>
        <w:t>是名說相似般若波羅蜜。」應該說：「不壞色故觀色無常，不壞受想行識觀識</w:t>
      </w:r>
      <w:r w:rsidRPr="00132293">
        <w:rPr>
          <w:rFonts w:ascii="新細明體" w:hAnsi="新細明體"/>
          <w:szCs w:val="22"/>
        </w:rPr>
        <w:t>（等）</w:t>
      </w:r>
      <w:r w:rsidRPr="00212D57">
        <w:rPr>
          <w:rFonts w:ascii="標楷體" w:eastAsia="標楷體" w:hAnsi="標楷體"/>
          <w:szCs w:val="22"/>
        </w:rPr>
        <w:t>無常。」不壞，是沒有變易的。不壞色等觀無常，也就是《維摩詰經》所說：「不生不滅是無常義。」不生不滅，怎麼說是無常呢</w:t>
      </w:r>
      <w:r w:rsidRPr="00212D57">
        <w:rPr>
          <w:rFonts w:ascii="標楷體" w:eastAsia="標楷體" w:hAnsi="標楷體" w:hint="eastAsia"/>
          <w:szCs w:val="22"/>
        </w:rPr>
        <w:t>？《</w:t>
      </w:r>
      <w:r w:rsidRPr="00212D57">
        <w:rPr>
          <w:szCs w:val="22"/>
        </w:rPr>
        <w:t>大智度論》卷</w:t>
      </w:r>
      <w:r w:rsidRPr="00761EF3">
        <w:rPr>
          <w:szCs w:val="22"/>
        </w:rPr>
        <w:t>22</w:t>
      </w:r>
      <w:r w:rsidRPr="00212D57">
        <w:rPr>
          <w:szCs w:val="22"/>
        </w:rPr>
        <w:t>（大正</w:t>
      </w:r>
      <w:r w:rsidRPr="00761EF3">
        <w:rPr>
          <w:szCs w:val="22"/>
        </w:rPr>
        <w:t>25</w:t>
      </w:r>
      <w:r w:rsidRPr="00212D57">
        <w:rPr>
          <w:rFonts w:ascii="新細明體" w:hAnsi="新細明體" w:cs="新細明體" w:hint="eastAsia"/>
          <w:szCs w:val="22"/>
        </w:rPr>
        <w:t>，</w:t>
      </w:r>
      <w:r w:rsidRPr="00761EF3">
        <w:rPr>
          <w:szCs w:val="22"/>
        </w:rPr>
        <w:t>222b</w:t>
      </w:r>
      <w:r w:rsidRPr="00212D57">
        <w:rPr>
          <w:szCs w:val="22"/>
        </w:rPr>
        <w:t>-</w:t>
      </w:r>
      <w:r w:rsidRPr="00761EF3">
        <w:rPr>
          <w:szCs w:val="22"/>
        </w:rPr>
        <w:t>c</w:t>
      </w:r>
      <w:r>
        <w:rPr>
          <w:rFonts w:hint="eastAsia"/>
          <w:color w:val="FF0000"/>
          <w:szCs w:val="22"/>
          <w:highlight w:val="yellow"/>
        </w:rPr>
        <w:t>、</w:t>
      </w:r>
      <w:r w:rsidRPr="00761EF3">
        <w:rPr>
          <w:szCs w:val="22"/>
        </w:rPr>
        <w:t>223b</w:t>
      </w:r>
      <w:r w:rsidRPr="00212D57">
        <w:rPr>
          <w:szCs w:val="22"/>
        </w:rPr>
        <w:t>）說：</w:t>
      </w:r>
    </w:p>
    <w:p w:rsidR="00C8381B" w:rsidRPr="00212D57" w:rsidRDefault="00C8381B" w:rsidP="00C8381B">
      <w:pPr>
        <w:pStyle w:val="a5"/>
        <w:ind w:leftChars="300" w:left="720"/>
        <w:jc w:val="both"/>
        <w:rPr>
          <w:rFonts w:ascii="標楷體" w:eastAsia="標楷體" w:hAnsi="標楷體"/>
          <w:szCs w:val="22"/>
        </w:rPr>
      </w:pPr>
      <w:r w:rsidRPr="00212D57">
        <w:rPr>
          <w:rFonts w:ascii="標楷體" w:eastAsia="標楷體" w:hAnsi="標楷體"/>
          <w:szCs w:val="22"/>
        </w:rPr>
        <w:t>「問曰：摩訶衍</w:t>
      </w:r>
      <w:r w:rsidRPr="00DA76AC">
        <w:rPr>
          <w:rFonts w:hint="eastAsia"/>
          <w:color w:val="FF0000"/>
          <w:sz w:val="18"/>
          <w:szCs w:val="22"/>
        </w:rPr>
        <w:t>[</w:t>
      </w:r>
      <w:r w:rsidRPr="00DA76AC">
        <w:rPr>
          <w:rFonts w:hint="eastAsia"/>
          <w:color w:val="FF0000"/>
          <w:sz w:val="18"/>
          <w:szCs w:val="22"/>
        </w:rPr>
        <w:t>大乘</w:t>
      </w:r>
      <w:r w:rsidRPr="00DA76AC">
        <w:rPr>
          <w:rFonts w:hint="eastAsia"/>
          <w:color w:val="FF0000"/>
          <w:sz w:val="18"/>
          <w:szCs w:val="22"/>
        </w:rPr>
        <w:t>]</w:t>
      </w:r>
      <w:r w:rsidRPr="00212D57">
        <w:rPr>
          <w:rFonts w:ascii="標楷體" w:eastAsia="標楷體" w:hAnsi="標楷體"/>
          <w:szCs w:val="22"/>
        </w:rPr>
        <w:t>中說諸法不生不滅，一相所謂無相，此中云何說一切有為作法無常，名為法印？二法云何不相違？答曰：觀無常即是觀空因緣，如觀色念念無常，即知為空。</w:t>
      </w:r>
      <w:r w:rsidRPr="00212D57">
        <w:rPr>
          <w:rFonts w:ascii="標楷體" w:eastAsia="標楷體" w:hAnsi="標楷體" w:hint="eastAsia"/>
          <w:szCs w:val="22"/>
        </w:rPr>
        <w:t>……</w:t>
      </w:r>
      <w:r w:rsidRPr="00212D57">
        <w:rPr>
          <w:rFonts w:ascii="標楷體" w:eastAsia="標楷體" w:hAnsi="標楷體"/>
          <w:szCs w:val="22"/>
        </w:rPr>
        <w:t>空即是無生無滅；無生無滅及生滅，其實是一，說有廣略。」</w:t>
      </w:r>
    </w:p>
    <w:p w:rsidR="00C8381B" w:rsidRPr="00212D57" w:rsidRDefault="00C8381B" w:rsidP="00C8381B">
      <w:pPr>
        <w:pStyle w:val="a5"/>
        <w:ind w:leftChars="300" w:left="720"/>
        <w:jc w:val="both"/>
        <w:rPr>
          <w:szCs w:val="22"/>
        </w:rPr>
      </w:pPr>
      <w:r w:rsidRPr="00212D57">
        <w:rPr>
          <w:rFonts w:ascii="標楷體" w:eastAsia="標楷體" w:hAnsi="標楷體"/>
          <w:szCs w:val="22"/>
        </w:rPr>
        <w:t>「摩訶衍中有一實，今何以說三實</w:t>
      </w:r>
      <w:r w:rsidRPr="00132293">
        <w:rPr>
          <w:rFonts w:ascii="新細明體" w:hAnsi="新細明體"/>
          <w:szCs w:val="22"/>
        </w:rPr>
        <w:t>（法印）</w:t>
      </w:r>
      <w:r w:rsidRPr="00212D57">
        <w:rPr>
          <w:rFonts w:ascii="標楷體" w:eastAsia="標楷體" w:hAnsi="標楷體"/>
          <w:szCs w:val="22"/>
        </w:rPr>
        <w:t>？答曰</w:t>
      </w:r>
      <w:r w:rsidRPr="00212D57">
        <w:rPr>
          <w:rFonts w:ascii="標楷體" w:eastAsia="標楷體" w:hAnsi="標楷體" w:hint="eastAsia"/>
          <w:szCs w:val="22"/>
        </w:rPr>
        <w:t>……</w:t>
      </w:r>
      <w:r w:rsidRPr="00212D57">
        <w:rPr>
          <w:rFonts w:ascii="標楷體" w:eastAsia="標楷體" w:hAnsi="標楷體"/>
          <w:szCs w:val="22"/>
        </w:rPr>
        <w:t>有為法無常，念念生滅故皆屬因緣，無有自在，無有自在故無我。無常無我無相故心不著，無相不著故即是寂滅涅槃。以是故，摩訶衍法中</w:t>
      </w:r>
      <w:r w:rsidRPr="00212D57">
        <w:rPr>
          <w:rFonts w:ascii="標楷體" w:eastAsia="標楷體" w:hAnsi="標楷體" w:hint="eastAsia"/>
          <w:szCs w:val="22"/>
        </w:rPr>
        <w:t>，</w:t>
      </w:r>
      <w:r w:rsidRPr="00212D57">
        <w:rPr>
          <w:rFonts w:ascii="標楷體" w:eastAsia="標楷體" w:hAnsi="標楷體"/>
          <w:szCs w:val="22"/>
        </w:rPr>
        <w:t>雖說一切法不生不滅，一相所謂無相，</w:t>
      </w:r>
      <w:r w:rsidRPr="00132293">
        <w:rPr>
          <w:rFonts w:ascii="新細明體" w:hAnsi="新細明體"/>
          <w:szCs w:val="22"/>
        </w:rPr>
        <w:t>（其實）</w:t>
      </w:r>
      <w:r w:rsidRPr="00212D57">
        <w:rPr>
          <w:rFonts w:ascii="標楷體" w:eastAsia="標楷體" w:hAnsi="標楷體"/>
          <w:szCs w:val="22"/>
        </w:rPr>
        <w:t>無相即寂滅涅槃。」</w:t>
      </w:r>
    </w:p>
    <w:p w:rsidR="00C8381B" w:rsidRPr="00212D57" w:rsidRDefault="00C8381B" w:rsidP="00C8381B">
      <w:pPr>
        <w:pStyle w:val="a5"/>
        <w:ind w:leftChars="300" w:left="720"/>
        <w:jc w:val="both"/>
        <w:rPr>
          <w:szCs w:val="22"/>
        </w:rPr>
      </w:pPr>
      <w:r w:rsidRPr="00212D57">
        <w:rPr>
          <w:rFonts w:ascii="標楷體" w:eastAsia="標楷體" w:hAnsi="標楷體"/>
          <w:szCs w:val="22"/>
        </w:rPr>
        <w:t>無常是念念生滅的，涅槃是不生不滅，一般每以此而看作不相同的二法。然「佛法」以無常（苦）故無我我所，以無我我所能契入涅槃。無我我所是空義，龍樹以空（即無我我所）為中心，無常故空；空即無相涅槃。以空貫通了生滅與無生滅，而有「無生無滅及生滅，其實是一」的結論。</w:t>
      </w:r>
    </w:p>
  </w:footnote>
  <w:footnote w:id="193">
    <w:p w:rsidR="00157EF6" w:rsidRPr="00212D57" w:rsidRDefault="00157EF6" w:rsidP="0029007C">
      <w:pPr>
        <w:pStyle w:val="a5"/>
        <w:ind w:left="187" w:hangingChars="85" w:hanging="187"/>
        <w:jc w:val="both"/>
        <w:rPr>
          <w:szCs w:val="22"/>
        </w:rPr>
      </w:pPr>
      <w:r w:rsidRPr="00212D57">
        <w:rPr>
          <w:rStyle w:val="a6"/>
          <w:szCs w:val="22"/>
        </w:rPr>
        <w:footnoteRef/>
      </w:r>
      <w:r w:rsidRPr="00212D57">
        <w:rPr>
          <w:szCs w:val="22"/>
        </w:rPr>
        <w:t xml:space="preserve"> </w:t>
      </w:r>
      <w:r w:rsidRPr="00212D57">
        <w:rPr>
          <w:szCs w:val="22"/>
        </w:rPr>
        <w:t>《雜阿含經》卷</w:t>
      </w:r>
      <w:r w:rsidRPr="00761EF3">
        <w:rPr>
          <w:szCs w:val="22"/>
        </w:rPr>
        <w:t>12</w:t>
      </w:r>
      <w:r w:rsidRPr="00212D57">
        <w:rPr>
          <w:szCs w:val="22"/>
        </w:rPr>
        <w:t>（</w:t>
      </w:r>
      <w:r w:rsidRPr="00761EF3">
        <w:rPr>
          <w:szCs w:val="22"/>
        </w:rPr>
        <w:t>293</w:t>
      </w:r>
      <w:r w:rsidRPr="00212D57">
        <w:rPr>
          <w:szCs w:val="22"/>
        </w:rPr>
        <w:t>經）</w:t>
      </w:r>
      <w:r w:rsidR="00006BC3" w:rsidRPr="00212D57">
        <w:rPr>
          <w:szCs w:val="22"/>
        </w:rPr>
        <w:t>（大正</w:t>
      </w:r>
      <w:r w:rsidR="00006BC3" w:rsidRPr="00761EF3">
        <w:rPr>
          <w:szCs w:val="22"/>
        </w:rPr>
        <w:t>2</w:t>
      </w:r>
      <w:r w:rsidR="00006BC3" w:rsidRPr="00212D57">
        <w:rPr>
          <w:szCs w:val="22"/>
        </w:rPr>
        <w:t>，</w:t>
      </w:r>
      <w:r w:rsidR="00006BC3" w:rsidRPr="00761EF3">
        <w:rPr>
          <w:szCs w:val="22"/>
        </w:rPr>
        <w:t>83c16</w:t>
      </w:r>
      <w:r w:rsidR="00006BC3" w:rsidRPr="00212D57">
        <w:rPr>
          <w:szCs w:val="22"/>
        </w:rPr>
        <w:t>-</w:t>
      </w:r>
      <w:r w:rsidR="00006BC3" w:rsidRPr="00761EF3">
        <w:rPr>
          <w:szCs w:val="22"/>
        </w:rPr>
        <w:t>17</w:t>
      </w:r>
      <w:r w:rsidR="00006BC3" w:rsidRPr="00212D57">
        <w:rPr>
          <w:szCs w:val="22"/>
        </w:rPr>
        <w:t>）</w:t>
      </w:r>
      <w:r w:rsidRPr="00212D57">
        <w:rPr>
          <w:szCs w:val="22"/>
        </w:rPr>
        <w:t>：「</w:t>
      </w:r>
      <w:r w:rsidR="003944FC">
        <w:rPr>
          <w:rFonts w:eastAsia="標楷體" w:hint="eastAsia"/>
          <w:color w:val="FF0000"/>
          <w:szCs w:val="22"/>
          <w:highlight w:val="yellow"/>
        </w:rPr>
        <w:t>『</w:t>
      </w:r>
      <w:r w:rsidRPr="00212D57">
        <w:rPr>
          <w:rFonts w:ascii="標楷體" w:eastAsia="標楷體" w:hAnsi="標楷體"/>
          <w:szCs w:val="22"/>
        </w:rPr>
        <w:t>無為</w:t>
      </w:r>
      <w:r w:rsidR="003944FC">
        <w:rPr>
          <w:rFonts w:eastAsia="標楷體" w:hint="eastAsia"/>
          <w:color w:val="FF0000"/>
          <w:szCs w:val="22"/>
          <w:highlight w:val="yellow"/>
        </w:rPr>
        <w:t>』</w:t>
      </w:r>
      <w:r w:rsidRPr="00212D57">
        <w:rPr>
          <w:rFonts w:ascii="標楷體" w:eastAsia="標楷體" w:hAnsi="標楷體"/>
          <w:szCs w:val="22"/>
        </w:rPr>
        <w:t>者</w:t>
      </w:r>
      <w:r w:rsidR="003944FC" w:rsidRPr="003944FC">
        <w:rPr>
          <w:rFonts w:ascii="標楷體" w:eastAsia="標楷體" w:hAnsi="標楷體" w:hint="eastAsia"/>
          <w:color w:val="FF0000"/>
          <w:szCs w:val="22"/>
          <w:highlight w:val="yellow"/>
        </w:rPr>
        <w:t>，</w:t>
      </w:r>
      <w:r w:rsidRPr="00212D57">
        <w:rPr>
          <w:rFonts w:ascii="標楷體" w:eastAsia="標楷體" w:hAnsi="標楷體"/>
          <w:szCs w:val="22"/>
        </w:rPr>
        <w:t>不生、不住、不異、不滅</w:t>
      </w:r>
      <w:r w:rsidR="00132293">
        <w:rPr>
          <w:rFonts w:ascii="標楷體" w:eastAsia="標楷體" w:hAnsi="標楷體" w:hint="eastAsia"/>
          <w:color w:val="FF0000"/>
          <w:kern w:val="0"/>
          <w:highlight w:val="yellow"/>
        </w:rPr>
        <w:t>。</w:t>
      </w:r>
      <w:r w:rsidRPr="00212D57">
        <w:rPr>
          <w:rFonts w:ascii="標楷體" w:eastAsia="標楷體" w:hAnsi="標楷體"/>
          <w:szCs w:val="22"/>
        </w:rPr>
        <w:t>是名</w:t>
      </w:r>
      <w:r w:rsidR="003944FC" w:rsidRPr="003944FC">
        <w:rPr>
          <w:rFonts w:ascii="標楷體" w:eastAsia="標楷體" w:hAnsi="標楷體" w:hint="eastAsia"/>
          <w:color w:val="FF0000"/>
          <w:szCs w:val="22"/>
          <w:highlight w:val="yellow"/>
        </w:rPr>
        <w:t>，</w:t>
      </w:r>
      <w:r w:rsidRPr="00212D57">
        <w:rPr>
          <w:rFonts w:ascii="標楷體" w:eastAsia="標楷體" w:hAnsi="標楷體"/>
          <w:szCs w:val="22"/>
        </w:rPr>
        <w:t>比丘</w:t>
      </w:r>
      <w:r w:rsidR="003944FC" w:rsidRPr="003944FC">
        <w:rPr>
          <w:rFonts w:ascii="標楷體" w:eastAsia="標楷體" w:hAnsi="標楷體" w:hint="eastAsia"/>
          <w:color w:val="FF0000"/>
          <w:szCs w:val="22"/>
          <w:highlight w:val="yellow"/>
        </w:rPr>
        <w:t>！</w:t>
      </w:r>
      <w:r w:rsidR="003944FC">
        <w:rPr>
          <w:rFonts w:eastAsia="標楷體" w:hint="eastAsia"/>
          <w:color w:val="FF0000"/>
          <w:szCs w:val="22"/>
          <w:highlight w:val="yellow"/>
        </w:rPr>
        <w:t>『</w:t>
      </w:r>
      <w:r w:rsidRPr="00212D57">
        <w:rPr>
          <w:rFonts w:ascii="標楷體" w:eastAsia="標楷體" w:hAnsi="標楷體"/>
          <w:szCs w:val="22"/>
        </w:rPr>
        <w:t>諸行苦</w:t>
      </w:r>
      <w:r w:rsidR="003944FC">
        <w:rPr>
          <w:rFonts w:eastAsia="標楷體" w:hint="eastAsia"/>
          <w:color w:val="FF0000"/>
          <w:szCs w:val="22"/>
          <w:highlight w:val="yellow"/>
        </w:rPr>
        <w:t>』、『</w:t>
      </w:r>
      <w:r w:rsidRPr="00212D57">
        <w:rPr>
          <w:rFonts w:ascii="標楷體" w:eastAsia="標楷體" w:hAnsi="標楷體"/>
          <w:szCs w:val="22"/>
        </w:rPr>
        <w:t>寂滅涅槃</w:t>
      </w:r>
      <w:r w:rsidR="003944FC">
        <w:rPr>
          <w:rFonts w:eastAsia="標楷體" w:hint="eastAsia"/>
          <w:color w:val="FF0000"/>
          <w:szCs w:val="22"/>
          <w:highlight w:val="yellow"/>
        </w:rPr>
        <w:t>』</w:t>
      </w:r>
      <w:r w:rsidRPr="00212D57">
        <w:rPr>
          <w:rFonts w:ascii="標楷體" w:eastAsia="標楷體" w:hAnsi="標楷體"/>
          <w:szCs w:val="22"/>
        </w:rPr>
        <w:t>。</w:t>
      </w:r>
      <w:r w:rsidRPr="00212D57">
        <w:rPr>
          <w:szCs w:val="22"/>
        </w:rPr>
        <w:t>」</w:t>
      </w:r>
    </w:p>
  </w:footnote>
  <w:footnote w:id="194">
    <w:p w:rsidR="00157EF6" w:rsidRPr="00212D57" w:rsidRDefault="00157EF6" w:rsidP="007A233A">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）涅槃的梵語：</w:t>
      </w:r>
      <w:r w:rsidRPr="00761EF3">
        <w:rPr>
          <w:szCs w:val="22"/>
        </w:rPr>
        <w:t>nirvāṇa</w:t>
      </w:r>
      <w:r w:rsidRPr="00212D57">
        <w:rPr>
          <w:szCs w:val="22"/>
        </w:rPr>
        <w:t>。</w:t>
      </w:r>
    </w:p>
    <w:p w:rsidR="00157EF6" w:rsidRPr="00212D57" w:rsidRDefault="00157EF6" w:rsidP="007A233A">
      <w:pPr>
        <w:pStyle w:val="a5"/>
        <w:ind w:leftChars="80" w:left="731" w:hangingChars="245" w:hanging="539"/>
        <w:jc w:val="both"/>
        <w:rPr>
          <w:szCs w:val="22"/>
        </w:rPr>
      </w:pPr>
      <w:r w:rsidRPr="00212D57">
        <w:rPr>
          <w:szCs w:val="22"/>
        </w:rPr>
        <w:t>（</w:t>
      </w:r>
      <w:r w:rsidRPr="00761EF3">
        <w:rPr>
          <w:szCs w:val="22"/>
        </w:rPr>
        <w:t>2</w:t>
      </w:r>
      <w:r w:rsidRPr="00212D57">
        <w:rPr>
          <w:szCs w:val="22"/>
        </w:rPr>
        <w:t>）《阿毘達磨大毘婆沙論》卷</w:t>
      </w:r>
      <w:r w:rsidRPr="00761EF3">
        <w:rPr>
          <w:szCs w:val="22"/>
        </w:rPr>
        <w:t>28</w:t>
      </w:r>
      <w:r w:rsidRPr="00212D57">
        <w:rPr>
          <w:szCs w:val="22"/>
        </w:rPr>
        <w:t>（大正</w:t>
      </w:r>
      <w:r w:rsidRPr="00761EF3">
        <w:rPr>
          <w:rFonts w:cs="Times Ext Roman"/>
          <w:szCs w:val="22"/>
        </w:rPr>
        <w:t>27</w:t>
      </w:r>
      <w:r w:rsidRPr="00212D57">
        <w:rPr>
          <w:rFonts w:cs="Times Ext Roman"/>
          <w:szCs w:val="22"/>
        </w:rPr>
        <w:t>，</w:t>
      </w:r>
      <w:r w:rsidRPr="00761EF3">
        <w:rPr>
          <w:rFonts w:cs="Times Ext Roman"/>
          <w:szCs w:val="22"/>
        </w:rPr>
        <w:t>147b6</w:t>
      </w:r>
      <w:r w:rsidRPr="00212D57">
        <w:rPr>
          <w:rFonts w:cs="Times Ext Roman"/>
          <w:szCs w:val="22"/>
        </w:rPr>
        <w:t>-</w:t>
      </w:r>
      <w:r w:rsidRPr="00761EF3">
        <w:rPr>
          <w:rFonts w:cs="Times Ext Roman"/>
          <w:szCs w:val="22"/>
        </w:rPr>
        <w:t>18</w:t>
      </w:r>
      <w:r w:rsidRPr="00212D57">
        <w:rPr>
          <w:szCs w:val="22"/>
        </w:rPr>
        <w:t>）：</w:t>
      </w:r>
    </w:p>
    <w:p w:rsidR="00157EF6" w:rsidRPr="00212D57" w:rsidRDefault="00157EF6" w:rsidP="000F6419">
      <w:pPr>
        <w:pStyle w:val="a5"/>
        <w:ind w:leftChars="300" w:left="1160" w:hangingChars="200" w:hanging="440"/>
        <w:jc w:val="both"/>
        <w:rPr>
          <w:rFonts w:eastAsia="標楷體"/>
          <w:szCs w:val="22"/>
        </w:rPr>
      </w:pPr>
      <w:r w:rsidRPr="00212D57">
        <w:rPr>
          <w:rFonts w:eastAsia="標楷體"/>
          <w:szCs w:val="22"/>
        </w:rPr>
        <w:t>問：以何義故，名曰</w:t>
      </w:r>
      <w:r w:rsidR="003944FC">
        <w:rPr>
          <w:rFonts w:ascii="標楷體" w:eastAsia="標楷體" w:hAnsi="標楷體" w:hint="eastAsia"/>
          <w:color w:val="FF0000"/>
          <w:szCs w:val="22"/>
          <w:highlight w:val="yellow"/>
        </w:rPr>
        <w:t>「</w:t>
      </w:r>
      <w:r w:rsidRPr="00212D57">
        <w:rPr>
          <w:rFonts w:eastAsia="標楷體"/>
          <w:szCs w:val="22"/>
        </w:rPr>
        <w:t>涅槃</w:t>
      </w:r>
      <w:r w:rsidR="003944FC">
        <w:rPr>
          <w:rFonts w:ascii="標楷體" w:eastAsia="標楷體" w:hAnsi="標楷體" w:hint="eastAsia"/>
          <w:color w:val="FF0000"/>
          <w:szCs w:val="22"/>
          <w:highlight w:val="yellow"/>
        </w:rPr>
        <w:t>」</w:t>
      </w:r>
      <w:r w:rsidRPr="00212D57">
        <w:rPr>
          <w:rFonts w:eastAsia="標楷體"/>
          <w:szCs w:val="22"/>
        </w:rPr>
        <w:t>？</w:t>
      </w:r>
    </w:p>
    <w:p w:rsidR="00157EF6" w:rsidRPr="00212D57" w:rsidRDefault="00157EF6" w:rsidP="000F6419">
      <w:pPr>
        <w:pStyle w:val="a5"/>
        <w:ind w:leftChars="300" w:left="1160" w:hangingChars="200" w:hanging="440"/>
        <w:jc w:val="both"/>
        <w:rPr>
          <w:szCs w:val="22"/>
        </w:rPr>
      </w:pPr>
      <w:r w:rsidRPr="00212D57">
        <w:rPr>
          <w:rFonts w:eastAsia="標楷體"/>
          <w:szCs w:val="22"/>
        </w:rPr>
        <w:t>答：煩惱滅故，名為</w:t>
      </w:r>
      <w:r w:rsidR="003944FC">
        <w:rPr>
          <w:rFonts w:ascii="標楷體" w:eastAsia="標楷體" w:hAnsi="標楷體" w:hint="eastAsia"/>
          <w:color w:val="FF0000"/>
          <w:szCs w:val="22"/>
          <w:highlight w:val="yellow"/>
        </w:rPr>
        <w:t>「</w:t>
      </w:r>
      <w:r w:rsidR="003944FC" w:rsidRPr="00212D57">
        <w:rPr>
          <w:rFonts w:eastAsia="標楷體"/>
          <w:szCs w:val="22"/>
        </w:rPr>
        <w:t>涅槃</w:t>
      </w:r>
      <w:r w:rsidR="003944FC">
        <w:rPr>
          <w:rFonts w:ascii="標楷體" w:eastAsia="標楷體" w:hAnsi="標楷體" w:hint="eastAsia"/>
          <w:color w:val="FF0000"/>
          <w:szCs w:val="22"/>
          <w:highlight w:val="yellow"/>
        </w:rPr>
        <w:t>」</w:t>
      </w:r>
      <w:r w:rsidRPr="00212D57">
        <w:rPr>
          <w:rFonts w:eastAsia="標楷體"/>
          <w:szCs w:val="22"/>
        </w:rPr>
        <w:t>。復</w:t>
      </w:r>
      <w:r w:rsidRPr="00212D57">
        <w:rPr>
          <w:rFonts w:ascii="標楷體" w:eastAsia="標楷體" w:hAnsi="標楷體"/>
          <w:szCs w:val="22"/>
        </w:rPr>
        <w:t>次，三火息故，名為</w:t>
      </w:r>
      <w:r w:rsidR="003944FC">
        <w:rPr>
          <w:rFonts w:ascii="標楷體" w:eastAsia="標楷體" w:hAnsi="標楷體" w:hint="eastAsia"/>
          <w:color w:val="FF0000"/>
          <w:szCs w:val="22"/>
          <w:highlight w:val="yellow"/>
        </w:rPr>
        <w:t>「</w:t>
      </w:r>
      <w:r w:rsidR="003944FC" w:rsidRPr="00212D57">
        <w:rPr>
          <w:rFonts w:eastAsia="標楷體"/>
          <w:szCs w:val="22"/>
        </w:rPr>
        <w:t>涅槃</w:t>
      </w:r>
      <w:r w:rsidR="003944FC">
        <w:rPr>
          <w:rFonts w:ascii="標楷體" w:eastAsia="標楷體" w:hAnsi="標楷體" w:hint="eastAsia"/>
          <w:color w:val="FF0000"/>
          <w:szCs w:val="22"/>
          <w:highlight w:val="yellow"/>
        </w:rPr>
        <w:t>」</w:t>
      </w:r>
      <w:r w:rsidRPr="00212D57">
        <w:rPr>
          <w:rFonts w:ascii="標楷體" w:eastAsia="標楷體" w:hAnsi="標楷體"/>
          <w:szCs w:val="22"/>
        </w:rPr>
        <w:t>。復次，三相寂故，名為</w:t>
      </w:r>
      <w:r w:rsidR="003944FC">
        <w:rPr>
          <w:rFonts w:ascii="標楷體" w:eastAsia="標楷體" w:hAnsi="標楷體" w:hint="eastAsia"/>
          <w:color w:val="FF0000"/>
          <w:szCs w:val="22"/>
          <w:highlight w:val="yellow"/>
        </w:rPr>
        <w:t>「</w:t>
      </w:r>
      <w:r w:rsidR="003944FC" w:rsidRPr="00212D57">
        <w:rPr>
          <w:rFonts w:eastAsia="標楷體"/>
          <w:szCs w:val="22"/>
        </w:rPr>
        <w:t>涅槃</w:t>
      </w:r>
      <w:r w:rsidR="003944FC">
        <w:rPr>
          <w:rFonts w:ascii="標楷體" w:eastAsia="標楷體" w:hAnsi="標楷體" w:hint="eastAsia"/>
          <w:color w:val="FF0000"/>
          <w:szCs w:val="22"/>
          <w:highlight w:val="yellow"/>
        </w:rPr>
        <w:t>」</w:t>
      </w:r>
      <w:r w:rsidRPr="00212D57">
        <w:rPr>
          <w:rFonts w:ascii="標楷體" w:eastAsia="標楷體" w:hAnsi="標楷體"/>
          <w:szCs w:val="22"/>
        </w:rPr>
        <w:t>。復次，離臭穢故，名為</w:t>
      </w:r>
      <w:r w:rsidR="003944FC">
        <w:rPr>
          <w:rFonts w:ascii="標楷體" w:eastAsia="標楷體" w:hAnsi="標楷體" w:hint="eastAsia"/>
          <w:color w:val="FF0000"/>
          <w:szCs w:val="22"/>
          <w:highlight w:val="yellow"/>
        </w:rPr>
        <w:t>「</w:t>
      </w:r>
      <w:r w:rsidR="003944FC" w:rsidRPr="00212D57">
        <w:rPr>
          <w:rFonts w:eastAsia="標楷體"/>
          <w:szCs w:val="22"/>
        </w:rPr>
        <w:t>涅槃</w:t>
      </w:r>
      <w:r w:rsidR="003944FC">
        <w:rPr>
          <w:rFonts w:ascii="標楷體" w:eastAsia="標楷體" w:hAnsi="標楷體" w:hint="eastAsia"/>
          <w:color w:val="FF0000"/>
          <w:szCs w:val="22"/>
          <w:highlight w:val="yellow"/>
        </w:rPr>
        <w:t>」</w:t>
      </w:r>
      <w:r w:rsidRPr="00212D57">
        <w:rPr>
          <w:rFonts w:ascii="標楷體" w:eastAsia="標楷體" w:hAnsi="標楷體"/>
          <w:szCs w:val="22"/>
        </w:rPr>
        <w:t>。復次，離諸趣故，名為</w:t>
      </w:r>
      <w:r w:rsidR="003944FC">
        <w:rPr>
          <w:rFonts w:ascii="標楷體" w:eastAsia="標楷體" w:hAnsi="標楷體" w:hint="eastAsia"/>
          <w:color w:val="FF0000"/>
          <w:szCs w:val="22"/>
          <w:highlight w:val="yellow"/>
        </w:rPr>
        <w:t>「</w:t>
      </w:r>
      <w:r w:rsidR="003944FC" w:rsidRPr="00212D57">
        <w:rPr>
          <w:rFonts w:eastAsia="標楷體"/>
          <w:szCs w:val="22"/>
        </w:rPr>
        <w:t>涅槃</w:t>
      </w:r>
      <w:r w:rsidR="003944FC">
        <w:rPr>
          <w:rFonts w:ascii="標楷體" w:eastAsia="標楷體" w:hAnsi="標楷體" w:hint="eastAsia"/>
          <w:color w:val="FF0000"/>
          <w:szCs w:val="22"/>
          <w:highlight w:val="yellow"/>
        </w:rPr>
        <w:t>」</w:t>
      </w:r>
      <w:r w:rsidRPr="00212D57">
        <w:rPr>
          <w:rFonts w:ascii="標楷體" w:eastAsia="標楷體" w:hAnsi="標楷體"/>
          <w:szCs w:val="22"/>
        </w:rPr>
        <w:t>。復次，</w:t>
      </w:r>
      <w:r w:rsidR="003944FC">
        <w:rPr>
          <w:rFonts w:ascii="標楷體" w:eastAsia="標楷體" w:hAnsi="標楷體" w:hint="eastAsia"/>
          <w:color w:val="FF0000"/>
          <w:szCs w:val="22"/>
          <w:highlight w:val="yellow"/>
        </w:rPr>
        <w:t>「</w:t>
      </w:r>
      <w:r w:rsidRPr="00212D57">
        <w:rPr>
          <w:rFonts w:ascii="標楷體" w:eastAsia="標楷體" w:hAnsi="標楷體"/>
          <w:szCs w:val="22"/>
        </w:rPr>
        <w:t>槃</w:t>
      </w:r>
      <w:r w:rsidR="003944FC">
        <w:rPr>
          <w:rFonts w:ascii="標楷體" w:eastAsia="標楷體" w:hAnsi="標楷體" w:hint="eastAsia"/>
          <w:color w:val="FF0000"/>
          <w:szCs w:val="22"/>
          <w:highlight w:val="yellow"/>
        </w:rPr>
        <w:t>」</w:t>
      </w:r>
      <w:r w:rsidRPr="00212D57">
        <w:rPr>
          <w:rFonts w:ascii="標楷體" w:eastAsia="標楷體" w:hAnsi="標楷體"/>
          <w:szCs w:val="22"/>
        </w:rPr>
        <w:t>名</w:t>
      </w:r>
      <w:r w:rsidR="003944FC">
        <w:rPr>
          <w:rFonts w:ascii="標楷體" w:eastAsia="標楷體" w:hAnsi="標楷體" w:hint="eastAsia"/>
          <w:color w:val="FF0000"/>
          <w:szCs w:val="22"/>
          <w:highlight w:val="yellow"/>
        </w:rPr>
        <w:t>「</w:t>
      </w:r>
      <w:r w:rsidRPr="00212D57">
        <w:rPr>
          <w:rFonts w:ascii="標楷體" w:eastAsia="標楷體" w:hAnsi="標楷體"/>
          <w:szCs w:val="22"/>
        </w:rPr>
        <w:t>稠林</w:t>
      </w:r>
      <w:r w:rsidR="003944FC">
        <w:rPr>
          <w:rFonts w:ascii="標楷體" w:eastAsia="標楷體" w:hAnsi="標楷體" w:hint="eastAsia"/>
          <w:color w:val="FF0000"/>
          <w:szCs w:val="22"/>
          <w:highlight w:val="yellow"/>
        </w:rPr>
        <w:t>」</w:t>
      </w:r>
      <w:r w:rsidRPr="00212D57">
        <w:rPr>
          <w:rFonts w:ascii="標楷體" w:eastAsia="標楷體" w:hAnsi="標楷體"/>
          <w:szCs w:val="22"/>
        </w:rPr>
        <w:t>，</w:t>
      </w:r>
      <w:r w:rsidR="003944FC">
        <w:rPr>
          <w:rFonts w:ascii="標楷體" w:eastAsia="標楷體" w:hAnsi="標楷體" w:hint="eastAsia"/>
          <w:color w:val="FF0000"/>
          <w:szCs w:val="22"/>
          <w:highlight w:val="yellow"/>
        </w:rPr>
        <w:t>「</w:t>
      </w:r>
      <w:r w:rsidRPr="00212D57">
        <w:rPr>
          <w:rFonts w:ascii="標楷體" w:eastAsia="標楷體" w:hAnsi="標楷體"/>
          <w:szCs w:val="22"/>
        </w:rPr>
        <w:t>涅</w:t>
      </w:r>
      <w:r w:rsidR="003944FC">
        <w:rPr>
          <w:rFonts w:ascii="標楷體" w:eastAsia="標楷體" w:hAnsi="標楷體" w:hint="eastAsia"/>
          <w:color w:val="FF0000"/>
          <w:szCs w:val="22"/>
          <w:highlight w:val="yellow"/>
        </w:rPr>
        <w:t>」</w:t>
      </w:r>
      <w:r w:rsidRPr="00212D57">
        <w:rPr>
          <w:rFonts w:ascii="標楷體" w:eastAsia="標楷體" w:hAnsi="標楷體"/>
          <w:szCs w:val="22"/>
        </w:rPr>
        <w:t>名為</w:t>
      </w:r>
      <w:r w:rsidR="003944FC">
        <w:rPr>
          <w:rFonts w:ascii="標楷體" w:eastAsia="標楷體" w:hAnsi="標楷體" w:hint="eastAsia"/>
          <w:color w:val="FF0000"/>
          <w:szCs w:val="22"/>
          <w:highlight w:val="yellow"/>
        </w:rPr>
        <w:t>「</w:t>
      </w:r>
      <w:r w:rsidRPr="00212D57">
        <w:rPr>
          <w:rFonts w:ascii="標楷體" w:eastAsia="標楷體" w:hAnsi="標楷體"/>
          <w:szCs w:val="22"/>
        </w:rPr>
        <w:t>出</w:t>
      </w:r>
      <w:r w:rsidR="003944FC">
        <w:rPr>
          <w:rFonts w:ascii="標楷體" w:eastAsia="標楷體" w:hAnsi="標楷體" w:hint="eastAsia"/>
          <w:color w:val="FF0000"/>
          <w:szCs w:val="22"/>
          <w:highlight w:val="yellow"/>
        </w:rPr>
        <w:t>」</w:t>
      </w:r>
      <w:r w:rsidR="00132293">
        <w:rPr>
          <w:rFonts w:ascii="標楷體" w:eastAsia="標楷體" w:hAnsi="標楷體" w:hint="eastAsia"/>
          <w:color w:val="FF0000"/>
          <w:kern w:val="0"/>
          <w:highlight w:val="yellow"/>
        </w:rPr>
        <w:t>──</w:t>
      </w:r>
      <w:r w:rsidRPr="00212D57">
        <w:rPr>
          <w:rFonts w:ascii="標楷體" w:eastAsia="標楷體" w:hAnsi="標楷體"/>
          <w:szCs w:val="22"/>
        </w:rPr>
        <w:t>出蘊稠林</w:t>
      </w:r>
      <w:r w:rsidR="003944FC" w:rsidRPr="003944FC">
        <w:rPr>
          <w:rFonts w:ascii="標楷體" w:eastAsia="標楷體" w:hAnsi="標楷體"/>
          <w:color w:val="FF0000"/>
          <w:szCs w:val="22"/>
          <w:highlight w:val="yellow"/>
        </w:rPr>
        <w:t>，</w:t>
      </w:r>
      <w:r w:rsidR="003944FC" w:rsidRPr="003944FC">
        <w:rPr>
          <w:rFonts w:ascii="標楷體" w:eastAsia="標楷體" w:hAnsi="標楷體"/>
          <w:szCs w:val="22"/>
          <w:highlight w:val="yellow"/>
        </w:rPr>
        <w:t>故</w:t>
      </w:r>
      <w:r w:rsidRPr="00212D57">
        <w:rPr>
          <w:rFonts w:ascii="標楷體" w:eastAsia="標楷體" w:hAnsi="標楷體"/>
          <w:szCs w:val="22"/>
        </w:rPr>
        <w:t>名</w:t>
      </w:r>
      <w:r w:rsidR="003944FC">
        <w:rPr>
          <w:rFonts w:ascii="標楷體" w:eastAsia="標楷體" w:hAnsi="標楷體" w:hint="eastAsia"/>
          <w:color w:val="FF0000"/>
          <w:szCs w:val="22"/>
          <w:highlight w:val="yellow"/>
        </w:rPr>
        <w:t>「</w:t>
      </w:r>
      <w:r w:rsidR="003944FC" w:rsidRPr="00212D57">
        <w:rPr>
          <w:rFonts w:eastAsia="標楷體"/>
          <w:szCs w:val="22"/>
        </w:rPr>
        <w:t>涅槃</w:t>
      </w:r>
      <w:r w:rsidR="003944FC">
        <w:rPr>
          <w:rFonts w:ascii="標楷體" w:eastAsia="標楷體" w:hAnsi="標楷體" w:hint="eastAsia"/>
          <w:color w:val="FF0000"/>
          <w:szCs w:val="22"/>
          <w:highlight w:val="yellow"/>
        </w:rPr>
        <w:t>」</w:t>
      </w:r>
      <w:r w:rsidRPr="00212D57">
        <w:rPr>
          <w:rFonts w:ascii="標楷體" w:eastAsia="標楷體" w:hAnsi="標楷體"/>
          <w:szCs w:val="22"/>
        </w:rPr>
        <w:t>。復次，</w:t>
      </w:r>
      <w:r w:rsidR="003944FC">
        <w:rPr>
          <w:rFonts w:ascii="標楷體" w:eastAsia="標楷體" w:hAnsi="標楷體" w:hint="eastAsia"/>
          <w:color w:val="FF0000"/>
          <w:szCs w:val="22"/>
          <w:highlight w:val="yellow"/>
        </w:rPr>
        <w:t>「</w:t>
      </w:r>
      <w:r w:rsidRPr="00212D57">
        <w:rPr>
          <w:rFonts w:ascii="標楷體" w:eastAsia="標楷體" w:hAnsi="標楷體"/>
          <w:szCs w:val="22"/>
        </w:rPr>
        <w:t>槃</w:t>
      </w:r>
      <w:r w:rsidR="003944FC">
        <w:rPr>
          <w:rFonts w:ascii="標楷體" w:eastAsia="標楷體" w:hAnsi="標楷體" w:hint="eastAsia"/>
          <w:color w:val="FF0000"/>
          <w:szCs w:val="22"/>
          <w:highlight w:val="yellow"/>
        </w:rPr>
        <w:t>」</w:t>
      </w:r>
      <w:r w:rsidRPr="00212D57">
        <w:rPr>
          <w:rFonts w:ascii="標楷體" w:eastAsia="標楷體" w:hAnsi="標楷體"/>
          <w:szCs w:val="22"/>
        </w:rPr>
        <w:t>名為</w:t>
      </w:r>
      <w:r w:rsidR="003944FC">
        <w:rPr>
          <w:rFonts w:ascii="標楷體" w:eastAsia="標楷體" w:hAnsi="標楷體" w:hint="eastAsia"/>
          <w:color w:val="FF0000"/>
          <w:szCs w:val="22"/>
          <w:highlight w:val="yellow"/>
        </w:rPr>
        <w:t>「</w:t>
      </w:r>
      <w:r w:rsidRPr="00212D57">
        <w:rPr>
          <w:rFonts w:ascii="標楷體" w:eastAsia="標楷體" w:hAnsi="標楷體"/>
          <w:szCs w:val="22"/>
        </w:rPr>
        <w:t>織</w:t>
      </w:r>
      <w:r w:rsidR="003944FC">
        <w:rPr>
          <w:rFonts w:ascii="標楷體" w:eastAsia="標楷體" w:hAnsi="標楷體" w:hint="eastAsia"/>
          <w:color w:val="FF0000"/>
          <w:szCs w:val="22"/>
          <w:highlight w:val="yellow"/>
        </w:rPr>
        <w:t>」</w:t>
      </w:r>
      <w:r w:rsidRPr="00212D57">
        <w:rPr>
          <w:rFonts w:ascii="標楷體" w:eastAsia="標楷體" w:hAnsi="標楷體"/>
          <w:szCs w:val="22"/>
        </w:rPr>
        <w:t>，</w:t>
      </w:r>
      <w:r w:rsidR="003944FC">
        <w:rPr>
          <w:rFonts w:ascii="標楷體" w:eastAsia="標楷體" w:hAnsi="標楷體" w:hint="eastAsia"/>
          <w:color w:val="FF0000"/>
          <w:szCs w:val="22"/>
          <w:highlight w:val="yellow"/>
        </w:rPr>
        <w:t>「</w:t>
      </w:r>
      <w:r w:rsidRPr="00212D57">
        <w:rPr>
          <w:rFonts w:ascii="標楷體" w:eastAsia="標楷體" w:hAnsi="標楷體"/>
          <w:szCs w:val="22"/>
        </w:rPr>
        <w:t>涅</w:t>
      </w:r>
      <w:r w:rsidR="003944FC">
        <w:rPr>
          <w:rFonts w:ascii="標楷體" w:eastAsia="標楷體" w:hAnsi="標楷體" w:hint="eastAsia"/>
          <w:color w:val="FF0000"/>
          <w:szCs w:val="22"/>
          <w:highlight w:val="yellow"/>
        </w:rPr>
        <w:t>」</w:t>
      </w:r>
      <w:r w:rsidRPr="00212D57">
        <w:rPr>
          <w:rFonts w:ascii="標楷體" w:eastAsia="標楷體" w:hAnsi="標楷體"/>
          <w:szCs w:val="22"/>
        </w:rPr>
        <w:t>名為</w:t>
      </w:r>
      <w:r w:rsidR="003944FC">
        <w:rPr>
          <w:rFonts w:ascii="標楷體" w:eastAsia="標楷體" w:hAnsi="標楷體" w:hint="eastAsia"/>
          <w:color w:val="FF0000"/>
          <w:szCs w:val="22"/>
          <w:highlight w:val="yellow"/>
        </w:rPr>
        <w:t>「</w:t>
      </w:r>
      <w:r w:rsidRPr="00212D57">
        <w:rPr>
          <w:rFonts w:ascii="標楷體" w:eastAsia="標楷體" w:hAnsi="標楷體"/>
          <w:szCs w:val="22"/>
        </w:rPr>
        <w:t>不</w:t>
      </w:r>
      <w:r w:rsidR="003944FC">
        <w:rPr>
          <w:rFonts w:ascii="標楷體" w:eastAsia="標楷體" w:hAnsi="標楷體" w:hint="eastAsia"/>
          <w:color w:val="FF0000"/>
          <w:szCs w:val="22"/>
          <w:highlight w:val="yellow"/>
        </w:rPr>
        <w:t>」</w:t>
      </w:r>
      <w:r w:rsidR="00132293">
        <w:rPr>
          <w:rFonts w:ascii="標楷體" w:eastAsia="標楷體" w:hAnsi="標楷體" w:hint="eastAsia"/>
          <w:color w:val="FF0000"/>
          <w:kern w:val="0"/>
          <w:highlight w:val="yellow"/>
        </w:rPr>
        <w:t>──</w:t>
      </w:r>
      <w:r w:rsidRPr="00212D57">
        <w:rPr>
          <w:rFonts w:ascii="標楷體" w:eastAsia="標楷體" w:hAnsi="標楷體"/>
          <w:szCs w:val="22"/>
        </w:rPr>
        <w:t>以不織故，名為</w:t>
      </w:r>
      <w:r w:rsidR="003944FC">
        <w:rPr>
          <w:rFonts w:ascii="標楷體" w:eastAsia="標楷體" w:hAnsi="標楷體" w:hint="eastAsia"/>
          <w:color w:val="FF0000"/>
          <w:szCs w:val="22"/>
          <w:highlight w:val="yellow"/>
        </w:rPr>
        <w:t>「</w:t>
      </w:r>
      <w:r w:rsidR="003944FC" w:rsidRPr="00212D57">
        <w:rPr>
          <w:rFonts w:eastAsia="標楷體"/>
          <w:szCs w:val="22"/>
        </w:rPr>
        <w:t>涅槃</w:t>
      </w:r>
      <w:r w:rsidR="003944FC">
        <w:rPr>
          <w:rFonts w:ascii="標楷體" w:eastAsia="標楷體" w:hAnsi="標楷體" w:hint="eastAsia"/>
          <w:color w:val="FF0000"/>
          <w:szCs w:val="22"/>
          <w:highlight w:val="yellow"/>
        </w:rPr>
        <w:t>」</w:t>
      </w:r>
      <w:r w:rsidRPr="00212D57">
        <w:rPr>
          <w:rFonts w:ascii="標楷體" w:eastAsia="標楷體" w:hAnsi="標楷體"/>
          <w:szCs w:val="22"/>
        </w:rPr>
        <w:t>。如有縷</w:t>
      </w:r>
      <w:r w:rsidRPr="003944FC">
        <w:rPr>
          <w:rFonts w:ascii="標楷體" w:eastAsia="標楷體" w:hAnsi="標楷體"/>
          <w:szCs w:val="22"/>
          <w:highlight w:val="yellow"/>
        </w:rPr>
        <w:t>者便</w:t>
      </w:r>
      <w:r w:rsidRPr="00212D57">
        <w:rPr>
          <w:rFonts w:ascii="標楷體" w:eastAsia="標楷體" w:hAnsi="標楷體"/>
          <w:szCs w:val="22"/>
        </w:rPr>
        <w:t>有所織，無則不然</w:t>
      </w:r>
      <w:r w:rsidR="003944FC">
        <w:rPr>
          <w:rFonts w:ascii="標楷體" w:eastAsia="標楷體" w:hAnsi="標楷體" w:hint="eastAsia"/>
          <w:color w:val="FF0000"/>
          <w:szCs w:val="22"/>
          <w:highlight w:val="yellow"/>
        </w:rPr>
        <w:t>；</w:t>
      </w:r>
      <w:r w:rsidRPr="00212D57">
        <w:rPr>
          <w:rFonts w:ascii="標楷體" w:eastAsia="標楷體" w:hAnsi="標楷體"/>
          <w:szCs w:val="22"/>
        </w:rPr>
        <w:t>如是若有業煩惱</w:t>
      </w:r>
      <w:r w:rsidRPr="003944FC">
        <w:rPr>
          <w:rFonts w:ascii="標楷體" w:eastAsia="標楷體" w:hAnsi="標楷體"/>
          <w:szCs w:val="22"/>
          <w:highlight w:val="yellow"/>
        </w:rPr>
        <w:t>者便</w:t>
      </w:r>
      <w:r w:rsidRPr="00212D57">
        <w:rPr>
          <w:rFonts w:ascii="標楷體" w:eastAsia="標楷體" w:hAnsi="標楷體"/>
          <w:szCs w:val="22"/>
        </w:rPr>
        <w:t>織生死，無學無有業煩惱</w:t>
      </w:r>
      <w:r w:rsidRPr="003944FC">
        <w:rPr>
          <w:rFonts w:ascii="標楷體" w:eastAsia="標楷體" w:hAnsi="標楷體"/>
          <w:szCs w:val="22"/>
          <w:highlight w:val="yellow"/>
        </w:rPr>
        <w:t>故不</w:t>
      </w:r>
      <w:r w:rsidRPr="00212D57">
        <w:rPr>
          <w:rFonts w:ascii="標楷體" w:eastAsia="標楷體" w:hAnsi="標楷體"/>
          <w:szCs w:val="22"/>
        </w:rPr>
        <w:t>織生死，故名</w:t>
      </w:r>
      <w:r w:rsidR="003944FC">
        <w:rPr>
          <w:rFonts w:ascii="標楷體" w:eastAsia="標楷體" w:hAnsi="標楷體" w:hint="eastAsia"/>
          <w:color w:val="FF0000"/>
          <w:szCs w:val="22"/>
          <w:highlight w:val="yellow"/>
        </w:rPr>
        <w:t>「</w:t>
      </w:r>
      <w:r w:rsidR="003944FC" w:rsidRPr="00212D57">
        <w:rPr>
          <w:rFonts w:eastAsia="標楷體"/>
          <w:szCs w:val="22"/>
        </w:rPr>
        <w:t>涅槃</w:t>
      </w:r>
      <w:r w:rsidR="003944FC">
        <w:rPr>
          <w:rFonts w:ascii="標楷體" w:eastAsia="標楷體" w:hAnsi="標楷體" w:hint="eastAsia"/>
          <w:color w:val="FF0000"/>
          <w:szCs w:val="22"/>
          <w:highlight w:val="yellow"/>
        </w:rPr>
        <w:t>」</w:t>
      </w:r>
      <w:r w:rsidRPr="00212D57">
        <w:rPr>
          <w:rFonts w:ascii="標楷體" w:eastAsia="標楷體" w:hAnsi="標楷體"/>
          <w:szCs w:val="22"/>
        </w:rPr>
        <w:t>。復次，</w:t>
      </w:r>
      <w:r w:rsidR="003944FC">
        <w:rPr>
          <w:rFonts w:ascii="標楷體" w:eastAsia="標楷體" w:hAnsi="標楷體" w:hint="eastAsia"/>
          <w:color w:val="FF0000"/>
          <w:szCs w:val="22"/>
          <w:highlight w:val="yellow"/>
        </w:rPr>
        <w:t>「</w:t>
      </w:r>
      <w:r w:rsidRPr="00212D57">
        <w:rPr>
          <w:rFonts w:ascii="標楷體" w:eastAsia="標楷體" w:hAnsi="標楷體"/>
          <w:szCs w:val="22"/>
        </w:rPr>
        <w:t>槃</w:t>
      </w:r>
      <w:r w:rsidR="003944FC">
        <w:rPr>
          <w:rFonts w:ascii="標楷體" w:eastAsia="標楷體" w:hAnsi="標楷體" w:hint="eastAsia"/>
          <w:color w:val="FF0000"/>
          <w:szCs w:val="22"/>
          <w:highlight w:val="yellow"/>
        </w:rPr>
        <w:t>」</w:t>
      </w:r>
      <w:r w:rsidRPr="00212D57">
        <w:rPr>
          <w:rFonts w:ascii="標楷體" w:eastAsia="標楷體" w:hAnsi="標楷體"/>
          <w:szCs w:val="22"/>
        </w:rPr>
        <w:t>名</w:t>
      </w:r>
      <w:r w:rsidR="003944FC">
        <w:rPr>
          <w:rFonts w:ascii="標楷體" w:eastAsia="標楷體" w:hAnsi="標楷體" w:hint="eastAsia"/>
          <w:color w:val="FF0000"/>
          <w:szCs w:val="22"/>
          <w:highlight w:val="yellow"/>
        </w:rPr>
        <w:t>「</w:t>
      </w:r>
      <w:r w:rsidRPr="00212D57">
        <w:rPr>
          <w:rFonts w:ascii="標楷體" w:eastAsia="標楷體" w:hAnsi="標楷體"/>
          <w:szCs w:val="22"/>
        </w:rPr>
        <w:t>後有</w:t>
      </w:r>
      <w:r w:rsidR="003944FC">
        <w:rPr>
          <w:rFonts w:ascii="標楷體" w:eastAsia="標楷體" w:hAnsi="標楷體" w:hint="eastAsia"/>
          <w:color w:val="FF0000"/>
          <w:szCs w:val="22"/>
          <w:highlight w:val="yellow"/>
        </w:rPr>
        <w:t>」</w:t>
      </w:r>
      <w:r w:rsidRPr="00212D57">
        <w:rPr>
          <w:rFonts w:ascii="標楷體" w:eastAsia="標楷體" w:hAnsi="標楷體"/>
          <w:szCs w:val="22"/>
        </w:rPr>
        <w:t>，</w:t>
      </w:r>
      <w:r w:rsidR="003944FC">
        <w:rPr>
          <w:rFonts w:ascii="標楷體" w:eastAsia="標楷體" w:hAnsi="標楷體" w:hint="eastAsia"/>
          <w:color w:val="FF0000"/>
          <w:szCs w:val="22"/>
          <w:highlight w:val="yellow"/>
        </w:rPr>
        <w:t>「</w:t>
      </w:r>
      <w:r w:rsidRPr="00212D57">
        <w:rPr>
          <w:rFonts w:ascii="標楷體" w:eastAsia="標楷體" w:hAnsi="標楷體"/>
          <w:szCs w:val="22"/>
        </w:rPr>
        <w:t>涅</w:t>
      </w:r>
      <w:r w:rsidR="003944FC">
        <w:rPr>
          <w:rFonts w:ascii="標楷體" w:eastAsia="標楷體" w:hAnsi="標楷體" w:hint="eastAsia"/>
          <w:color w:val="FF0000"/>
          <w:szCs w:val="22"/>
          <w:highlight w:val="yellow"/>
        </w:rPr>
        <w:t>」</w:t>
      </w:r>
      <w:r w:rsidRPr="00212D57">
        <w:rPr>
          <w:rFonts w:ascii="標楷體" w:eastAsia="標楷體" w:hAnsi="標楷體"/>
          <w:szCs w:val="22"/>
        </w:rPr>
        <w:t>名為</w:t>
      </w:r>
      <w:r w:rsidR="003944FC">
        <w:rPr>
          <w:rFonts w:ascii="標楷體" w:eastAsia="標楷體" w:hAnsi="標楷體" w:hint="eastAsia"/>
          <w:color w:val="FF0000"/>
          <w:szCs w:val="22"/>
          <w:highlight w:val="yellow"/>
        </w:rPr>
        <w:t>「</w:t>
      </w:r>
      <w:r w:rsidRPr="00212D57">
        <w:rPr>
          <w:rFonts w:ascii="標楷體" w:eastAsia="標楷體" w:hAnsi="標楷體"/>
          <w:szCs w:val="22"/>
        </w:rPr>
        <w:t>無</w:t>
      </w:r>
      <w:r w:rsidR="003944FC">
        <w:rPr>
          <w:rFonts w:ascii="標楷體" w:eastAsia="標楷體" w:hAnsi="標楷體" w:hint="eastAsia"/>
          <w:color w:val="FF0000"/>
          <w:szCs w:val="22"/>
          <w:highlight w:val="yellow"/>
        </w:rPr>
        <w:t>」</w:t>
      </w:r>
      <w:r w:rsidR="00132293">
        <w:rPr>
          <w:rFonts w:ascii="標楷體" w:eastAsia="標楷體" w:hAnsi="標楷體" w:hint="eastAsia"/>
          <w:color w:val="FF0000"/>
          <w:kern w:val="0"/>
          <w:highlight w:val="yellow"/>
        </w:rPr>
        <w:t>──</w:t>
      </w:r>
      <w:r w:rsidRPr="00212D57">
        <w:rPr>
          <w:rFonts w:ascii="標楷體" w:eastAsia="標楷體" w:hAnsi="標楷體"/>
          <w:szCs w:val="22"/>
        </w:rPr>
        <w:t>無</w:t>
      </w:r>
      <w:r w:rsidR="00132293">
        <w:rPr>
          <w:rFonts w:ascii="標楷體" w:eastAsia="標楷體" w:hAnsi="標楷體" w:hint="eastAsia"/>
          <w:bCs/>
          <w:color w:val="FF0000"/>
          <w:kern w:val="0"/>
          <w:highlight w:val="yellow"/>
        </w:rPr>
        <w:t>「</w:t>
      </w:r>
      <w:r w:rsidRPr="00212D57">
        <w:rPr>
          <w:rFonts w:ascii="標楷體" w:eastAsia="標楷體" w:hAnsi="標楷體"/>
          <w:szCs w:val="22"/>
        </w:rPr>
        <w:t>後有</w:t>
      </w:r>
      <w:r w:rsidR="00132293">
        <w:rPr>
          <w:rFonts w:ascii="標楷體" w:eastAsia="標楷體" w:hAnsi="標楷體" w:hint="eastAsia"/>
          <w:bCs/>
          <w:color w:val="FF0000"/>
          <w:kern w:val="0"/>
          <w:highlight w:val="yellow"/>
        </w:rPr>
        <w:t>」</w:t>
      </w:r>
      <w:r w:rsidRPr="00212D57">
        <w:rPr>
          <w:rFonts w:ascii="標楷體" w:eastAsia="標楷體" w:hAnsi="標楷體"/>
          <w:szCs w:val="22"/>
        </w:rPr>
        <w:t>故，名為</w:t>
      </w:r>
      <w:r w:rsidR="003944FC">
        <w:rPr>
          <w:rFonts w:ascii="標楷體" w:eastAsia="標楷體" w:hAnsi="標楷體" w:hint="eastAsia"/>
          <w:color w:val="FF0000"/>
          <w:szCs w:val="22"/>
          <w:highlight w:val="yellow"/>
        </w:rPr>
        <w:t>「</w:t>
      </w:r>
      <w:r w:rsidR="003944FC" w:rsidRPr="00212D57">
        <w:rPr>
          <w:rFonts w:eastAsia="標楷體"/>
          <w:szCs w:val="22"/>
        </w:rPr>
        <w:t>涅槃</w:t>
      </w:r>
      <w:r w:rsidR="003944FC">
        <w:rPr>
          <w:rFonts w:ascii="標楷體" w:eastAsia="標楷體" w:hAnsi="標楷體" w:hint="eastAsia"/>
          <w:color w:val="FF0000"/>
          <w:szCs w:val="22"/>
          <w:highlight w:val="yellow"/>
        </w:rPr>
        <w:t>」</w:t>
      </w:r>
      <w:r w:rsidRPr="00212D57">
        <w:rPr>
          <w:rFonts w:ascii="標楷體" w:eastAsia="標楷體" w:hAnsi="標楷體"/>
          <w:szCs w:val="22"/>
        </w:rPr>
        <w:t>。復次，</w:t>
      </w:r>
      <w:r w:rsidR="003944FC">
        <w:rPr>
          <w:rFonts w:ascii="標楷體" w:eastAsia="標楷體" w:hAnsi="標楷體" w:hint="eastAsia"/>
          <w:color w:val="FF0000"/>
          <w:szCs w:val="22"/>
          <w:highlight w:val="yellow"/>
        </w:rPr>
        <w:t>「</w:t>
      </w:r>
      <w:r w:rsidRPr="00212D57">
        <w:rPr>
          <w:rFonts w:ascii="標楷體" w:eastAsia="標楷體" w:hAnsi="標楷體"/>
          <w:szCs w:val="22"/>
        </w:rPr>
        <w:t>槃</w:t>
      </w:r>
      <w:r w:rsidR="003944FC">
        <w:rPr>
          <w:rFonts w:ascii="標楷體" w:eastAsia="標楷體" w:hAnsi="標楷體" w:hint="eastAsia"/>
          <w:color w:val="FF0000"/>
          <w:szCs w:val="22"/>
          <w:highlight w:val="yellow"/>
        </w:rPr>
        <w:t>」</w:t>
      </w:r>
      <w:r w:rsidRPr="00212D57">
        <w:rPr>
          <w:rFonts w:ascii="標楷體" w:eastAsia="標楷體" w:hAnsi="標楷體"/>
          <w:szCs w:val="22"/>
        </w:rPr>
        <w:t>名</w:t>
      </w:r>
      <w:r w:rsidR="003944FC">
        <w:rPr>
          <w:rFonts w:ascii="標楷體" w:eastAsia="標楷體" w:hAnsi="標楷體" w:hint="eastAsia"/>
          <w:color w:val="FF0000"/>
          <w:szCs w:val="22"/>
          <w:highlight w:val="yellow"/>
        </w:rPr>
        <w:t>「</w:t>
      </w:r>
      <w:r w:rsidRPr="00212D57">
        <w:rPr>
          <w:rFonts w:ascii="標楷體" w:eastAsia="標楷體" w:hAnsi="標楷體"/>
          <w:szCs w:val="22"/>
        </w:rPr>
        <w:t>繫縛</w:t>
      </w:r>
      <w:r w:rsidR="003944FC">
        <w:rPr>
          <w:rFonts w:ascii="標楷體" w:eastAsia="標楷體" w:hAnsi="標楷體" w:hint="eastAsia"/>
          <w:color w:val="FF0000"/>
          <w:szCs w:val="22"/>
          <w:highlight w:val="yellow"/>
        </w:rPr>
        <w:t>」</w:t>
      </w:r>
      <w:r w:rsidRPr="00212D57">
        <w:rPr>
          <w:rFonts w:ascii="標楷體" w:eastAsia="標楷體" w:hAnsi="標楷體"/>
          <w:szCs w:val="22"/>
        </w:rPr>
        <w:t>，</w:t>
      </w:r>
      <w:r w:rsidR="003944FC">
        <w:rPr>
          <w:rFonts w:ascii="標楷體" w:eastAsia="標楷體" w:hAnsi="標楷體" w:hint="eastAsia"/>
          <w:color w:val="FF0000"/>
          <w:szCs w:val="22"/>
          <w:highlight w:val="yellow"/>
        </w:rPr>
        <w:t>「</w:t>
      </w:r>
      <w:r w:rsidRPr="00212D57">
        <w:rPr>
          <w:rFonts w:ascii="標楷體" w:eastAsia="標楷體" w:hAnsi="標楷體"/>
          <w:szCs w:val="22"/>
        </w:rPr>
        <w:t>涅</w:t>
      </w:r>
      <w:r w:rsidR="003944FC">
        <w:rPr>
          <w:rFonts w:ascii="標楷體" w:eastAsia="標楷體" w:hAnsi="標楷體" w:hint="eastAsia"/>
          <w:color w:val="FF0000"/>
          <w:szCs w:val="22"/>
          <w:highlight w:val="yellow"/>
        </w:rPr>
        <w:t>」</w:t>
      </w:r>
      <w:r w:rsidRPr="00212D57">
        <w:rPr>
          <w:rFonts w:ascii="標楷體" w:eastAsia="標楷體" w:hAnsi="標楷體"/>
          <w:szCs w:val="22"/>
        </w:rPr>
        <w:t>名為</w:t>
      </w:r>
      <w:r w:rsidR="003944FC">
        <w:rPr>
          <w:rFonts w:ascii="標楷體" w:eastAsia="標楷體" w:hAnsi="標楷體" w:hint="eastAsia"/>
          <w:color w:val="FF0000"/>
          <w:szCs w:val="22"/>
          <w:highlight w:val="yellow"/>
        </w:rPr>
        <w:t>「</w:t>
      </w:r>
      <w:r w:rsidRPr="00212D57">
        <w:rPr>
          <w:rFonts w:ascii="標楷體" w:eastAsia="標楷體" w:hAnsi="標楷體"/>
          <w:szCs w:val="22"/>
        </w:rPr>
        <w:t>離</w:t>
      </w:r>
      <w:r w:rsidR="003944FC">
        <w:rPr>
          <w:rFonts w:ascii="標楷體" w:eastAsia="標楷體" w:hAnsi="標楷體" w:hint="eastAsia"/>
          <w:color w:val="FF0000"/>
          <w:szCs w:val="22"/>
          <w:highlight w:val="yellow"/>
        </w:rPr>
        <w:t>」</w:t>
      </w:r>
      <w:r w:rsidR="00132293">
        <w:rPr>
          <w:rFonts w:ascii="標楷體" w:eastAsia="標楷體" w:hAnsi="標楷體" w:hint="eastAsia"/>
          <w:color w:val="FF0000"/>
          <w:kern w:val="0"/>
          <w:highlight w:val="yellow"/>
        </w:rPr>
        <w:t>──</w:t>
      </w:r>
      <w:r w:rsidRPr="00212D57">
        <w:rPr>
          <w:rFonts w:ascii="標楷體" w:eastAsia="標楷體" w:hAnsi="標楷體"/>
          <w:szCs w:val="22"/>
        </w:rPr>
        <w:t>離繫縛故，名為</w:t>
      </w:r>
      <w:r w:rsidR="003944FC">
        <w:rPr>
          <w:rFonts w:ascii="標楷體" w:eastAsia="標楷體" w:hAnsi="標楷體" w:hint="eastAsia"/>
          <w:color w:val="FF0000"/>
          <w:szCs w:val="22"/>
          <w:highlight w:val="yellow"/>
        </w:rPr>
        <w:t>「</w:t>
      </w:r>
      <w:r w:rsidR="003944FC" w:rsidRPr="00212D57">
        <w:rPr>
          <w:rFonts w:eastAsia="標楷體"/>
          <w:szCs w:val="22"/>
        </w:rPr>
        <w:t>涅槃</w:t>
      </w:r>
      <w:r w:rsidR="003944FC">
        <w:rPr>
          <w:rFonts w:ascii="標楷體" w:eastAsia="標楷體" w:hAnsi="標楷體" w:hint="eastAsia"/>
          <w:color w:val="FF0000"/>
          <w:szCs w:val="22"/>
          <w:highlight w:val="yellow"/>
        </w:rPr>
        <w:t>」</w:t>
      </w:r>
      <w:r w:rsidRPr="00212D57">
        <w:rPr>
          <w:rFonts w:ascii="標楷體" w:eastAsia="標楷體" w:hAnsi="標楷體"/>
          <w:szCs w:val="22"/>
        </w:rPr>
        <w:t>。復次，</w:t>
      </w:r>
      <w:r w:rsidR="003944FC">
        <w:rPr>
          <w:rFonts w:ascii="標楷體" w:eastAsia="標楷體" w:hAnsi="標楷體" w:hint="eastAsia"/>
          <w:color w:val="FF0000"/>
          <w:szCs w:val="22"/>
          <w:highlight w:val="yellow"/>
        </w:rPr>
        <w:t>「</w:t>
      </w:r>
      <w:r w:rsidRPr="00212D57">
        <w:rPr>
          <w:rFonts w:ascii="標楷體" w:eastAsia="標楷體" w:hAnsi="標楷體"/>
          <w:szCs w:val="22"/>
        </w:rPr>
        <w:t>槃</w:t>
      </w:r>
      <w:r w:rsidR="003944FC">
        <w:rPr>
          <w:rFonts w:ascii="標楷體" w:eastAsia="標楷體" w:hAnsi="標楷體" w:hint="eastAsia"/>
          <w:color w:val="FF0000"/>
          <w:szCs w:val="22"/>
          <w:highlight w:val="yellow"/>
        </w:rPr>
        <w:t>」</w:t>
      </w:r>
      <w:r w:rsidRPr="00212D57">
        <w:rPr>
          <w:rFonts w:ascii="標楷體" w:eastAsia="標楷體" w:hAnsi="標楷體"/>
          <w:szCs w:val="22"/>
        </w:rPr>
        <w:t>名</w:t>
      </w:r>
      <w:r w:rsidR="003944FC">
        <w:rPr>
          <w:rFonts w:ascii="標楷體" w:eastAsia="標楷體" w:hAnsi="標楷體" w:hint="eastAsia"/>
          <w:color w:val="FF0000"/>
          <w:szCs w:val="22"/>
          <w:highlight w:val="yellow"/>
        </w:rPr>
        <w:t>「</w:t>
      </w:r>
      <w:r w:rsidRPr="00212D57">
        <w:rPr>
          <w:rFonts w:ascii="標楷體" w:eastAsia="標楷體" w:hAnsi="標楷體"/>
          <w:szCs w:val="22"/>
        </w:rPr>
        <w:t>一切生死苦難</w:t>
      </w:r>
      <w:r w:rsidR="003944FC">
        <w:rPr>
          <w:rFonts w:ascii="標楷體" w:eastAsia="標楷體" w:hAnsi="標楷體" w:hint="eastAsia"/>
          <w:color w:val="FF0000"/>
          <w:szCs w:val="22"/>
          <w:highlight w:val="yellow"/>
        </w:rPr>
        <w:t>」</w:t>
      </w:r>
      <w:r w:rsidRPr="00212D57">
        <w:rPr>
          <w:rFonts w:ascii="標楷體" w:eastAsia="標楷體" w:hAnsi="標楷體"/>
          <w:szCs w:val="22"/>
        </w:rPr>
        <w:t>，</w:t>
      </w:r>
      <w:r w:rsidR="003944FC">
        <w:rPr>
          <w:rFonts w:ascii="標楷體" w:eastAsia="標楷體" w:hAnsi="標楷體" w:hint="eastAsia"/>
          <w:color w:val="FF0000"/>
          <w:szCs w:val="22"/>
          <w:highlight w:val="yellow"/>
        </w:rPr>
        <w:t>「</w:t>
      </w:r>
      <w:r w:rsidRPr="00212D57">
        <w:rPr>
          <w:rFonts w:ascii="標楷體" w:eastAsia="標楷體" w:hAnsi="標楷體"/>
          <w:szCs w:val="22"/>
        </w:rPr>
        <w:t>涅</w:t>
      </w:r>
      <w:r w:rsidR="003944FC">
        <w:rPr>
          <w:rFonts w:ascii="標楷體" w:eastAsia="標楷體" w:hAnsi="標楷體" w:hint="eastAsia"/>
          <w:color w:val="FF0000"/>
          <w:szCs w:val="22"/>
          <w:highlight w:val="yellow"/>
        </w:rPr>
        <w:t>」</w:t>
      </w:r>
      <w:r w:rsidRPr="00212D57">
        <w:rPr>
          <w:rFonts w:ascii="標楷體" w:eastAsia="標楷體" w:hAnsi="標楷體"/>
          <w:szCs w:val="22"/>
        </w:rPr>
        <w:t>名</w:t>
      </w:r>
      <w:r w:rsidR="003944FC">
        <w:rPr>
          <w:rFonts w:ascii="標楷體" w:eastAsia="標楷體" w:hAnsi="標楷體" w:hint="eastAsia"/>
          <w:color w:val="FF0000"/>
          <w:szCs w:val="22"/>
          <w:highlight w:val="yellow"/>
        </w:rPr>
        <w:t>「</w:t>
      </w:r>
      <w:r w:rsidRPr="00212D57">
        <w:rPr>
          <w:rFonts w:ascii="標楷體" w:eastAsia="標楷體" w:hAnsi="標楷體"/>
          <w:szCs w:val="22"/>
        </w:rPr>
        <w:t>超度</w:t>
      </w:r>
      <w:r w:rsidR="00132293">
        <w:rPr>
          <w:rFonts w:ascii="標楷體" w:eastAsia="標楷體" w:hAnsi="標楷體" w:hint="eastAsia"/>
          <w:color w:val="FF0000"/>
          <w:kern w:val="0"/>
          <w:highlight w:val="yellow"/>
        </w:rPr>
        <w:t>──</w:t>
      </w:r>
      <w:r w:rsidRPr="00212D57">
        <w:rPr>
          <w:rFonts w:ascii="標楷體" w:eastAsia="標楷體" w:hAnsi="標楷體"/>
          <w:szCs w:val="22"/>
        </w:rPr>
        <w:t>超度一切生死苦難</w:t>
      </w:r>
      <w:r w:rsidR="003944FC" w:rsidRPr="003944FC">
        <w:rPr>
          <w:rFonts w:ascii="標楷體" w:eastAsia="標楷體" w:hAnsi="標楷體"/>
          <w:color w:val="FF0000"/>
          <w:szCs w:val="22"/>
          <w:highlight w:val="yellow"/>
        </w:rPr>
        <w:t>，</w:t>
      </w:r>
      <w:r w:rsidRPr="003944FC">
        <w:rPr>
          <w:rFonts w:ascii="標楷體" w:eastAsia="標楷體" w:hAnsi="標楷體"/>
          <w:szCs w:val="22"/>
          <w:highlight w:val="yellow"/>
        </w:rPr>
        <w:t>故</w:t>
      </w:r>
      <w:r w:rsidRPr="00212D57">
        <w:rPr>
          <w:rFonts w:ascii="標楷體" w:eastAsia="標楷體" w:hAnsi="標楷體"/>
          <w:szCs w:val="22"/>
        </w:rPr>
        <w:t>名</w:t>
      </w:r>
      <w:r w:rsidR="003944FC">
        <w:rPr>
          <w:rFonts w:ascii="標楷體" w:eastAsia="標楷體" w:hAnsi="標楷體" w:hint="eastAsia"/>
          <w:color w:val="FF0000"/>
          <w:szCs w:val="22"/>
          <w:highlight w:val="yellow"/>
        </w:rPr>
        <w:t>「</w:t>
      </w:r>
      <w:r w:rsidR="003944FC" w:rsidRPr="00212D57">
        <w:rPr>
          <w:rFonts w:eastAsia="標楷體"/>
          <w:szCs w:val="22"/>
        </w:rPr>
        <w:t>涅槃</w:t>
      </w:r>
      <w:r w:rsidR="003944FC">
        <w:rPr>
          <w:rFonts w:ascii="標楷體" w:eastAsia="標楷體" w:hAnsi="標楷體" w:hint="eastAsia"/>
          <w:color w:val="FF0000"/>
          <w:szCs w:val="22"/>
          <w:highlight w:val="yellow"/>
        </w:rPr>
        <w:t>」</w:t>
      </w:r>
      <w:r w:rsidRPr="00212D57">
        <w:rPr>
          <w:rFonts w:ascii="標楷體" w:eastAsia="標楷體" w:hAnsi="標楷體"/>
          <w:szCs w:val="22"/>
        </w:rPr>
        <w:t>。</w:t>
      </w:r>
    </w:p>
  </w:footnote>
  <w:footnote w:id="195">
    <w:p w:rsidR="00157EF6" w:rsidRPr="00212D57" w:rsidRDefault="00157EF6" w:rsidP="005F2F48">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rFonts w:hint="eastAsia"/>
          <w:szCs w:val="22"/>
        </w:rPr>
        <w:t>煩囂</w:t>
      </w:r>
      <w:r w:rsidRPr="00212D57">
        <w:rPr>
          <w:rFonts w:ascii="新細明體" w:hAnsi="新細明體" w:hint="eastAsia"/>
          <w:szCs w:val="22"/>
        </w:rPr>
        <w:t>：</w:t>
      </w:r>
      <w:r w:rsidRPr="00212D57">
        <w:rPr>
          <w:rFonts w:hint="eastAsia"/>
          <w:szCs w:val="22"/>
        </w:rPr>
        <w:t>喧擾，嘈雜。（《漢語大詞典》（七），</w:t>
      </w:r>
      <w:r w:rsidRPr="00761EF3">
        <w:rPr>
          <w:szCs w:val="22"/>
        </w:rPr>
        <w:t>p</w:t>
      </w:r>
      <w:r w:rsidRPr="00212D57">
        <w:rPr>
          <w:szCs w:val="22"/>
        </w:rPr>
        <w:t>.</w:t>
      </w:r>
      <w:r w:rsidRPr="00761EF3">
        <w:rPr>
          <w:rFonts w:hint="eastAsia"/>
          <w:szCs w:val="22"/>
        </w:rPr>
        <w:t>195</w:t>
      </w:r>
      <w:r w:rsidRPr="00212D57">
        <w:rPr>
          <w:rFonts w:hint="eastAsia"/>
          <w:szCs w:val="22"/>
        </w:rPr>
        <w:t>）</w:t>
      </w:r>
    </w:p>
  </w:footnote>
  <w:footnote w:id="196">
    <w:p w:rsidR="00157EF6" w:rsidRPr="00212D57" w:rsidRDefault="00157EF6" w:rsidP="000F6419">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《雜阿含經》卷</w:t>
      </w:r>
      <w:r w:rsidRPr="00761EF3">
        <w:rPr>
          <w:szCs w:val="22"/>
        </w:rPr>
        <w:t>18</w:t>
      </w:r>
      <w:r w:rsidRPr="00212D57">
        <w:rPr>
          <w:szCs w:val="22"/>
        </w:rPr>
        <w:t>（</w:t>
      </w:r>
      <w:r w:rsidRPr="00761EF3">
        <w:rPr>
          <w:szCs w:val="22"/>
        </w:rPr>
        <w:t>1478</w:t>
      </w:r>
      <w:r w:rsidRPr="00212D57">
        <w:rPr>
          <w:szCs w:val="22"/>
        </w:rPr>
        <w:t>經）（大正</w:t>
      </w:r>
      <w:r w:rsidRPr="00761EF3">
        <w:rPr>
          <w:szCs w:val="22"/>
        </w:rPr>
        <w:t>2</w:t>
      </w:r>
      <w:r w:rsidRPr="00212D57">
        <w:rPr>
          <w:szCs w:val="22"/>
        </w:rPr>
        <w:t>，</w:t>
      </w:r>
      <w:r w:rsidRPr="00761EF3">
        <w:rPr>
          <w:szCs w:val="22"/>
        </w:rPr>
        <w:t>126b2</w:t>
      </w:r>
      <w:r w:rsidRPr="00212D57">
        <w:rPr>
          <w:szCs w:val="22"/>
        </w:rPr>
        <w:t>-</w:t>
      </w:r>
      <w:r w:rsidRPr="00761EF3">
        <w:rPr>
          <w:szCs w:val="22"/>
        </w:rPr>
        <w:t>4</w:t>
      </w:r>
      <w:r w:rsidRPr="00212D57">
        <w:rPr>
          <w:szCs w:val="22"/>
        </w:rPr>
        <w:t>）：</w:t>
      </w:r>
    </w:p>
    <w:p w:rsidR="00157EF6" w:rsidRPr="00212D57" w:rsidRDefault="00157EF6" w:rsidP="000F6419">
      <w:pPr>
        <w:pStyle w:val="a5"/>
        <w:ind w:leftChars="105" w:left="252"/>
        <w:jc w:val="both"/>
        <w:rPr>
          <w:rFonts w:ascii="標楷體" w:eastAsia="標楷體" w:hAnsi="標楷體"/>
          <w:szCs w:val="22"/>
        </w:rPr>
      </w:pPr>
      <w:r w:rsidRPr="00212D57">
        <w:rPr>
          <w:rFonts w:ascii="標楷體" w:eastAsia="標楷體" w:hAnsi="標楷體"/>
          <w:szCs w:val="22"/>
        </w:rPr>
        <w:t>閻浮車問舍利弗：「謂</w:t>
      </w:r>
      <w:r w:rsidR="003944FC">
        <w:rPr>
          <w:rFonts w:eastAsia="標楷體" w:hint="eastAsia"/>
          <w:color w:val="FF0000"/>
          <w:szCs w:val="22"/>
          <w:highlight w:val="yellow"/>
        </w:rPr>
        <w:t>『</w:t>
      </w:r>
      <w:r w:rsidRPr="00212D57">
        <w:rPr>
          <w:rFonts w:ascii="標楷體" w:eastAsia="標楷體" w:hAnsi="標楷體"/>
          <w:szCs w:val="22"/>
        </w:rPr>
        <w:t>涅槃</w:t>
      </w:r>
      <w:r w:rsidR="003944FC">
        <w:rPr>
          <w:rFonts w:eastAsia="標楷體" w:hint="eastAsia"/>
          <w:color w:val="FF0000"/>
          <w:szCs w:val="22"/>
          <w:highlight w:val="yellow"/>
        </w:rPr>
        <w:t>』</w:t>
      </w:r>
      <w:r w:rsidRPr="00212D57">
        <w:rPr>
          <w:rFonts w:ascii="標楷體" w:eastAsia="標楷體" w:hAnsi="標楷體"/>
          <w:szCs w:val="22"/>
        </w:rPr>
        <w:t>者，云何為</w:t>
      </w:r>
      <w:r w:rsidR="003944FC">
        <w:rPr>
          <w:rFonts w:eastAsia="標楷體" w:hint="eastAsia"/>
          <w:color w:val="FF0000"/>
          <w:szCs w:val="22"/>
          <w:highlight w:val="yellow"/>
        </w:rPr>
        <w:t>『</w:t>
      </w:r>
      <w:r w:rsidRPr="00212D57">
        <w:rPr>
          <w:rFonts w:ascii="標楷體" w:eastAsia="標楷體" w:hAnsi="標楷體"/>
          <w:szCs w:val="22"/>
        </w:rPr>
        <w:t>涅槃</w:t>
      </w:r>
      <w:r w:rsidR="003944FC">
        <w:rPr>
          <w:rFonts w:eastAsia="標楷體" w:hint="eastAsia"/>
          <w:color w:val="FF0000"/>
          <w:szCs w:val="22"/>
          <w:highlight w:val="yellow"/>
        </w:rPr>
        <w:t>』</w:t>
      </w:r>
      <w:r w:rsidRPr="00212D57">
        <w:rPr>
          <w:rFonts w:ascii="標楷體" w:eastAsia="標楷體" w:hAnsi="標楷體"/>
          <w:szCs w:val="22"/>
        </w:rPr>
        <w:t>？」</w:t>
      </w:r>
    </w:p>
    <w:p w:rsidR="00157EF6" w:rsidRPr="00212D57" w:rsidRDefault="00157EF6" w:rsidP="000F6419">
      <w:pPr>
        <w:pStyle w:val="a5"/>
        <w:ind w:leftChars="105" w:left="252"/>
        <w:jc w:val="both"/>
        <w:rPr>
          <w:szCs w:val="22"/>
        </w:rPr>
      </w:pPr>
      <w:r w:rsidRPr="00212D57">
        <w:rPr>
          <w:rFonts w:ascii="標楷體" w:eastAsia="標楷體" w:hAnsi="標楷體"/>
          <w:szCs w:val="22"/>
        </w:rPr>
        <w:t>舍利弗言：「</w:t>
      </w:r>
      <w:r w:rsidR="003944FC">
        <w:rPr>
          <w:rFonts w:eastAsia="標楷體" w:hint="eastAsia"/>
          <w:color w:val="FF0000"/>
          <w:szCs w:val="22"/>
          <w:highlight w:val="yellow"/>
        </w:rPr>
        <w:t>『</w:t>
      </w:r>
      <w:r w:rsidRPr="00212D57">
        <w:rPr>
          <w:rFonts w:ascii="標楷體" w:eastAsia="標楷體" w:hAnsi="標楷體"/>
          <w:szCs w:val="22"/>
        </w:rPr>
        <w:t>涅槃</w:t>
      </w:r>
      <w:r w:rsidR="003944FC">
        <w:rPr>
          <w:rFonts w:eastAsia="標楷體" w:hint="eastAsia"/>
          <w:color w:val="FF0000"/>
          <w:szCs w:val="22"/>
          <w:highlight w:val="yellow"/>
        </w:rPr>
        <w:t>』</w:t>
      </w:r>
      <w:r w:rsidRPr="00212D57">
        <w:rPr>
          <w:rFonts w:ascii="標楷體" w:eastAsia="標楷體" w:hAnsi="標楷體"/>
          <w:szCs w:val="22"/>
        </w:rPr>
        <w:t>者，貪欲永盡</w:t>
      </w:r>
      <w:r w:rsidR="003944FC">
        <w:rPr>
          <w:rFonts w:eastAsia="標楷體" w:hint="eastAsia"/>
          <w:color w:val="FF0000"/>
          <w:szCs w:val="22"/>
          <w:highlight w:val="yellow"/>
        </w:rPr>
        <w:t>、</w:t>
      </w:r>
      <w:r w:rsidRPr="00212D57">
        <w:rPr>
          <w:rFonts w:ascii="標楷體" w:eastAsia="標楷體" w:hAnsi="標楷體"/>
          <w:szCs w:val="22"/>
        </w:rPr>
        <w:t>瞋恚永盡</w:t>
      </w:r>
      <w:r w:rsidR="003944FC">
        <w:rPr>
          <w:rFonts w:eastAsia="標楷體" w:hint="eastAsia"/>
          <w:color w:val="FF0000"/>
          <w:szCs w:val="22"/>
          <w:highlight w:val="yellow"/>
        </w:rPr>
        <w:t>、</w:t>
      </w:r>
      <w:r w:rsidRPr="00212D57">
        <w:rPr>
          <w:rFonts w:ascii="標楷體" w:eastAsia="標楷體" w:hAnsi="標楷體"/>
          <w:szCs w:val="22"/>
        </w:rPr>
        <w:t>愚癡永盡，一切諸煩惱永盡，是名</w:t>
      </w:r>
      <w:r w:rsidR="003944FC">
        <w:rPr>
          <w:rFonts w:eastAsia="標楷體" w:hint="eastAsia"/>
          <w:color w:val="FF0000"/>
          <w:szCs w:val="22"/>
          <w:highlight w:val="yellow"/>
        </w:rPr>
        <w:t>『</w:t>
      </w:r>
      <w:r w:rsidRPr="00212D57">
        <w:rPr>
          <w:rFonts w:ascii="標楷體" w:eastAsia="標楷體" w:hAnsi="標楷體"/>
          <w:szCs w:val="22"/>
        </w:rPr>
        <w:t>涅槃</w:t>
      </w:r>
      <w:r w:rsidR="003944FC">
        <w:rPr>
          <w:rFonts w:eastAsia="標楷體" w:hint="eastAsia"/>
          <w:color w:val="FF0000"/>
          <w:szCs w:val="22"/>
          <w:highlight w:val="yellow"/>
        </w:rPr>
        <w:t>』</w:t>
      </w:r>
      <w:r w:rsidRPr="00212D57">
        <w:rPr>
          <w:rFonts w:ascii="標楷體" w:eastAsia="標楷體" w:hAnsi="標楷體"/>
          <w:szCs w:val="22"/>
        </w:rPr>
        <w:t>。」</w:t>
      </w:r>
      <w:r w:rsidRPr="00212D57">
        <w:rPr>
          <w:szCs w:val="22"/>
        </w:rPr>
        <w:t>（參見印順法師，《雜阿含經論會編》（下）</w:t>
      </w:r>
      <w:r w:rsidRPr="00212D57">
        <w:rPr>
          <w:rFonts w:hint="eastAsia"/>
          <w:szCs w:val="22"/>
        </w:rPr>
        <w:t>，</w:t>
      </w:r>
      <w:r w:rsidRPr="00761EF3">
        <w:rPr>
          <w:szCs w:val="22"/>
        </w:rPr>
        <w:t>p</w:t>
      </w:r>
      <w:r w:rsidRPr="00212D57">
        <w:rPr>
          <w:szCs w:val="22"/>
        </w:rPr>
        <w:t>.</w:t>
      </w:r>
      <w:r w:rsidRPr="00761EF3">
        <w:rPr>
          <w:szCs w:val="22"/>
        </w:rPr>
        <w:t>374</w:t>
      </w:r>
      <w:r w:rsidRPr="00212D57">
        <w:rPr>
          <w:szCs w:val="22"/>
        </w:rPr>
        <w:t>）</w:t>
      </w:r>
    </w:p>
  </w:footnote>
  <w:footnote w:id="197">
    <w:p w:rsidR="00157EF6" w:rsidRPr="00212D57" w:rsidRDefault="00157EF6" w:rsidP="000F6419">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rFonts w:hint="eastAsia"/>
          <w:szCs w:val="22"/>
        </w:rPr>
        <w:t>印順法師，</w:t>
      </w:r>
      <w:r w:rsidRPr="00212D57">
        <w:rPr>
          <w:szCs w:val="22"/>
        </w:rPr>
        <w:t>《空之探究》</w:t>
      </w:r>
      <w:r w:rsidRPr="00212D57">
        <w:rPr>
          <w:rFonts w:hint="eastAsia"/>
          <w:szCs w:val="22"/>
        </w:rPr>
        <w:t>，</w:t>
      </w:r>
      <w:r w:rsidRPr="00212D57">
        <w:rPr>
          <w:szCs w:val="22"/>
        </w:rPr>
        <w:t>第</w:t>
      </w:r>
      <w:r w:rsidRPr="00761EF3">
        <w:rPr>
          <w:rFonts w:hint="eastAsia"/>
          <w:szCs w:val="22"/>
        </w:rPr>
        <w:t>3</w:t>
      </w:r>
      <w:r w:rsidRPr="00212D57">
        <w:rPr>
          <w:szCs w:val="22"/>
        </w:rPr>
        <w:t>章</w:t>
      </w:r>
      <w:r w:rsidRPr="00212D57">
        <w:rPr>
          <w:rFonts w:ascii="新細明體" w:hAnsi="新細明體" w:cs="新細明體" w:hint="eastAsia"/>
          <w:szCs w:val="22"/>
        </w:rPr>
        <w:t>，</w:t>
      </w:r>
      <w:r w:rsidRPr="00212D57">
        <w:rPr>
          <w:szCs w:val="22"/>
        </w:rPr>
        <w:t>第</w:t>
      </w:r>
      <w:r w:rsidRPr="00761EF3">
        <w:rPr>
          <w:rFonts w:hint="eastAsia"/>
          <w:szCs w:val="22"/>
        </w:rPr>
        <w:t>2</w:t>
      </w:r>
      <w:r w:rsidRPr="00212D57">
        <w:rPr>
          <w:szCs w:val="22"/>
        </w:rPr>
        <w:t>節〈</w:t>
      </w:r>
      <w:r w:rsidRPr="00212D57">
        <w:rPr>
          <w:rFonts w:hint="eastAsia"/>
          <w:szCs w:val="22"/>
        </w:rPr>
        <w:t>法空性是涅槃異名〉，</w:t>
      </w:r>
      <w:r w:rsidRPr="00761EF3">
        <w:rPr>
          <w:szCs w:val="22"/>
        </w:rPr>
        <w:t>p</w:t>
      </w:r>
      <w:r w:rsidRPr="00212D57">
        <w:rPr>
          <w:szCs w:val="22"/>
        </w:rPr>
        <w:t>.</w:t>
      </w:r>
      <w:r w:rsidRPr="00761EF3">
        <w:rPr>
          <w:szCs w:val="22"/>
        </w:rPr>
        <w:t>145</w:t>
      </w:r>
      <w:r w:rsidRPr="00212D57">
        <w:rPr>
          <w:szCs w:val="22"/>
        </w:rPr>
        <w:t>：</w:t>
      </w:r>
    </w:p>
    <w:p w:rsidR="00157EF6" w:rsidRPr="00212D57" w:rsidRDefault="00157EF6" w:rsidP="000F6419">
      <w:pPr>
        <w:pStyle w:val="a5"/>
        <w:ind w:leftChars="105" w:left="901" w:hangingChars="295" w:hanging="649"/>
        <w:jc w:val="both"/>
        <w:rPr>
          <w:rFonts w:ascii="新細明體" w:hAnsi="新細明體"/>
          <w:szCs w:val="22"/>
        </w:rPr>
      </w:pPr>
      <w:r w:rsidRPr="00212D57">
        <w:rPr>
          <w:rFonts w:ascii="新細明體" w:hAnsi="新細明體"/>
          <w:szCs w:val="22"/>
        </w:rPr>
        <w:t>（一）</w:t>
      </w:r>
      <w:r w:rsidRPr="00212D57">
        <w:rPr>
          <w:rFonts w:ascii="新細明體" w:hAnsi="新細明體"/>
          <w:b/>
          <w:spacing w:val="-2"/>
          <w:szCs w:val="22"/>
        </w:rPr>
        <w:t>果</w:t>
      </w:r>
      <w:r w:rsidRPr="00212D57">
        <w:rPr>
          <w:rFonts w:ascii="新細明體" w:hAnsi="新細明體"/>
          <w:spacing w:val="-2"/>
          <w:szCs w:val="22"/>
        </w:rPr>
        <w:t>：無生、無滅、無染、寂滅、離、涅槃：《阿含經》以來，就是表示涅</w:t>
      </w:r>
      <w:r w:rsidRPr="00212D57">
        <w:rPr>
          <w:rFonts w:ascii="新細明體" w:hAnsi="新細明體"/>
          <w:szCs w:val="22"/>
        </w:rPr>
        <w:t>槃（果）的。</w:t>
      </w:r>
    </w:p>
    <w:p w:rsidR="00157EF6" w:rsidRPr="00212D57" w:rsidRDefault="00157EF6" w:rsidP="000F6419">
      <w:pPr>
        <w:pStyle w:val="a5"/>
        <w:ind w:leftChars="105" w:left="894" w:hangingChars="292" w:hanging="642"/>
        <w:jc w:val="both"/>
        <w:rPr>
          <w:rFonts w:ascii="新細明體" w:hAnsi="新細明體"/>
          <w:szCs w:val="22"/>
        </w:rPr>
      </w:pPr>
      <w:r w:rsidRPr="00212D57">
        <w:rPr>
          <w:rFonts w:ascii="新細明體" w:hAnsi="新細明體"/>
          <w:szCs w:val="22"/>
        </w:rPr>
        <w:t>（二）</w:t>
      </w:r>
      <w:r w:rsidRPr="00212D57">
        <w:rPr>
          <w:rFonts w:ascii="新細明體" w:hAnsi="新細明體"/>
          <w:b/>
          <w:spacing w:val="-2"/>
          <w:szCs w:val="22"/>
        </w:rPr>
        <w:t>行</w:t>
      </w:r>
      <w:r w:rsidRPr="00212D57">
        <w:rPr>
          <w:rFonts w:ascii="新細明體" w:hAnsi="新細明體"/>
          <w:spacing w:val="-2"/>
          <w:szCs w:val="22"/>
        </w:rPr>
        <w:t>：空、無相、無願，是三解脫門。「出世空性」與「無相界」，《阿含經》</w:t>
      </w:r>
      <w:r w:rsidRPr="00212D57">
        <w:rPr>
          <w:rFonts w:ascii="新細明體" w:hAnsi="新細明體"/>
          <w:szCs w:val="22"/>
        </w:rPr>
        <w:t>已用來表示涅槃。三解脫是行門，依此而得（解脫）涅槃，也就依此來表示涅槃。</w:t>
      </w:r>
    </w:p>
    <w:p w:rsidR="00157EF6" w:rsidRPr="00212D57" w:rsidRDefault="00157EF6" w:rsidP="000F6419">
      <w:pPr>
        <w:pStyle w:val="a5"/>
        <w:ind w:leftChars="105" w:left="901" w:hangingChars="295" w:hanging="649"/>
        <w:jc w:val="both"/>
        <w:rPr>
          <w:rFonts w:ascii="新細明體" w:hAnsi="新細明體"/>
          <w:szCs w:val="22"/>
        </w:rPr>
      </w:pPr>
      <w:r w:rsidRPr="00212D57">
        <w:rPr>
          <w:rFonts w:ascii="新細明體" w:hAnsi="新細明體"/>
          <w:szCs w:val="22"/>
        </w:rPr>
        <w:t>（三）</w:t>
      </w:r>
      <w:r w:rsidRPr="00212D57">
        <w:rPr>
          <w:rFonts w:ascii="新細明體" w:hAnsi="新細明體"/>
          <w:b/>
          <w:szCs w:val="22"/>
        </w:rPr>
        <w:t>理境</w:t>
      </w:r>
      <w:r w:rsidRPr="00212D57">
        <w:rPr>
          <w:rFonts w:ascii="新細明體" w:hAnsi="新細明體"/>
          <w:szCs w:val="22"/>
        </w:rPr>
        <w:t>：真如、法界、法性、實際。實際是大乘特有的；真如等在《阿含經》中，是表示緣起與四諦理的。到「中本般若」，真如等作為般若體悟的甚深義。</w:t>
      </w:r>
    </w:p>
    <w:p w:rsidR="00157EF6" w:rsidRPr="00212D57" w:rsidRDefault="00157EF6" w:rsidP="000F6419">
      <w:pPr>
        <w:pStyle w:val="a5"/>
        <w:ind w:leftChars="105" w:left="252"/>
        <w:jc w:val="both"/>
        <w:rPr>
          <w:rFonts w:ascii="新細明體" w:hAnsi="新細明體"/>
          <w:b/>
          <w:szCs w:val="22"/>
        </w:rPr>
      </w:pPr>
      <w:r w:rsidRPr="00212D57">
        <w:rPr>
          <w:rFonts w:ascii="新細明體" w:hAnsi="新細明體"/>
          <w:b/>
          <w:szCs w:val="22"/>
        </w:rPr>
        <w:t>這三類──果，行，理境，所有的種種名字，都是表示甚深涅槃的。</w:t>
      </w:r>
    </w:p>
  </w:footnote>
  <w:footnote w:id="198">
    <w:p w:rsidR="00157EF6" w:rsidRPr="00212D57" w:rsidRDefault="00157EF6" w:rsidP="007C1AAE">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212D57">
        <w:rPr>
          <w:szCs w:val="22"/>
        </w:rPr>
        <w:t>《大方廣佛華嚴經》卷</w:t>
      </w:r>
      <w:r w:rsidRPr="00761EF3">
        <w:rPr>
          <w:szCs w:val="22"/>
        </w:rPr>
        <w:t>26</w:t>
      </w:r>
      <w:r w:rsidRPr="00212D57">
        <w:rPr>
          <w:szCs w:val="22"/>
        </w:rPr>
        <w:t>〈</w:t>
      </w:r>
      <w:r w:rsidRPr="00761EF3">
        <w:rPr>
          <w:rFonts w:hint="eastAsia"/>
          <w:szCs w:val="22"/>
        </w:rPr>
        <w:t>22</w:t>
      </w:r>
      <w:r w:rsidRPr="00212D57">
        <w:rPr>
          <w:rFonts w:hint="eastAsia"/>
          <w:szCs w:val="22"/>
        </w:rPr>
        <w:t xml:space="preserve"> </w:t>
      </w:r>
      <w:r w:rsidRPr="00212D57">
        <w:rPr>
          <w:szCs w:val="22"/>
        </w:rPr>
        <w:t>十地品〉（大正</w:t>
      </w:r>
      <w:r w:rsidRPr="00761EF3">
        <w:rPr>
          <w:szCs w:val="22"/>
        </w:rPr>
        <w:t>9</w:t>
      </w:r>
      <w:r w:rsidRPr="00212D57">
        <w:rPr>
          <w:szCs w:val="22"/>
        </w:rPr>
        <w:t>，</w:t>
      </w:r>
      <w:r w:rsidRPr="00761EF3">
        <w:rPr>
          <w:szCs w:val="22"/>
        </w:rPr>
        <w:t>564b15</w:t>
      </w:r>
      <w:r w:rsidRPr="00212D57">
        <w:rPr>
          <w:szCs w:val="22"/>
        </w:rPr>
        <w:t>-</w:t>
      </w:r>
      <w:r w:rsidRPr="00761EF3">
        <w:rPr>
          <w:szCs w:val="22"/>
        </w:rPr>
        <w:t>c14</w:t>
      </w:r>
      <w:r w:rsidRPr="00212D57">
        <w:rPr>
          <w:szCs w:val="22"/>
        </w:rPr>
        <w:t>）：</w:t>
      </w:r>
    </w:p>
    <w:p w:rsidR="00157EF6" w:rsidRPr="00212D57" w:rsidRDefault="00157EF6" w:rsidP="007C1AAE">
      <w:pPr>
        <w:pStyle w:val="a5"/>
        <w:ind w:leftChars="335" w:left="804"/>
        <w:jc w:val="both"/>
        <w:rPr>
          <w:rFonts w:ascii="標楷體" w:eastAsia="標楷體" w:hAnsi="標楷體"/>
          <w:szCs w:val="22"/>
        </w:rPr>
      </w:pPr>
      <w:r w:rsidRPr="004E6FE7">
        <w:rPr>
          <w:rFonts w:ascii="標楷體" w:eastAsia="標楷體" w:hAnsi="標楷體" w:hint="eastAsia"/>
          <w:szCs w:val="22"/>
          <w:shd w:val="pct15" w:color="auto" w:fill="FFFFFF"/>
        </w:rPr>
        <w:t>……</w:t>
      </w:r>
      <w:r w:rsidRPr="00212D57">
        <w:rPr>
          <w:rFonts w:ascii="標楷體" w:eastAsia="標楷體" w:hAnsi="標楷體"/>
          <w:szCs w:val="22"/>
        </w:rPr>
        <w:t>是名</w:t>
      </w:r>
      <w:r w:rsidR="00B244C7">
        <w:rPr>
          <w:rFonts w:ascii="標楷體" w:eastAsia="標楷體" w:hAnsi="標楷體" w:hint="eastAsia"/>
          <w:bCs/>
          <w:color w:val="FF0000"/>
          <w:kern w:val="0"/>
          <w:highlight w:val="yellow"/>
        </w:rPr>
        <w:t>「</w:t>
      </w:r>
      <w:r w:rsidRPr="00212D57">
        <w:rPr>
          <w:rFonts w:ascii="標楷體" w:eastAsia="標楷體" w:hAnsi="標楷體"/>
          <w:szCs w:val="22"/>
        </w:rPr>
        <w:t>菩薩得無生法忍</w:t>
      </w:r>
      <w:r w:rsidR="00B244C7">
        <w:rPr>
          <w:rFonts w:ascii="標楷體" w:eastAsia="標楷體" w:hAnsi="標楷體" w:hint="eastAsia"/>
          <w:bCs/>
          <w:color w:val="FF0000"/>
          <w:kern w:val="0"/>
          <w:highlight w:val="yellow"/>
        </w:rPr>
        <w:t>」</w:t>
      </w:r>
      <w:r w:rsidR="00B244C7">
        <w:rPr>
          <w:rFonts w:ascii="標楷體" w:eastAsia="標楷體" w:hAnsi="標楷體" w:hint="eastAsia"/>
          <w:color w:val="FF0000"/>
          <w:kern w:val="0"/>
          <w:highlight w:val="yellow"/>
        </w:rPr>
        <w:t>，</w:t>
      </w:r>
      <w:r w:rsidRPr="00212D57">
        <w:rPr>
          <w:rFonts w:ascii="標楷體" w:eastAsia="標楷體" w:hAnsi="標楷體"/>
          <w:szCs w:val="22"/>
        </w:rPr>
        <w:t>入第八地</w:t>
      </w:r>
      <w:r w:rsidR="00B244C7">
        <w:rPr>
          <w:rFonts w:ascii="標楷體" w:eastAsia="標楷體" w:hAnsi="標楷體" w:hint="eastAsia"/>
          <w:color w:val="FF0000"/>
          <w:kern w:val="0"/>
          <w:highlight w:val="yellow"/>
        </w:rPr>
        <w:t>。</w:t>
      </w:r>
      <w:r w:rsidRPr="00212D57">
        <w:rPr>
          <w:rFonts w:ascii="標楷體" w:eastAsia="標楷體" w:hAnsi="標楷體"/>
          <w:szCs w:val="22"/>
        </w:rPr>
        <w:t>入不動地，名為</w:t>
      </w:r>
      <w:r w:rsidR="00B244C7">
        <w:rPr>
          <w:rFonts w:ascii="標楷體" w:eastAsia="標楷體" w:hAnsi="標楷體" w:hint="eastAsia"/>
          <w:bCs/>
          <w:color w:val="FF0000"/>
          <w:kern w:val="0"/>
          <w:highlight w:val="yellow"/>
        </w:rPr>
        <w:t>「</w:t>
      </w:r>
      <w:r w:rsidRPr="00212D57">
        <w:rPr>
          <w:rFonts w:ascii="標楷體" w:eastAsia="標楷體" w:hAnsi="標楷體"/>
          <w:szCs w:val="22"/>
        </w:rPr>
        <w:t>深行菩薩</w:t>
      </w:r>
      <w:r w:rsidR="00B244C7">
        <w:rPr>
          <w:rFonts w:ascii="標楷體" w:eastAsia="標楷體" w:hAnsi="標楷體" w:hint="eastAsia"/>
          <w:bCs/>
          <w:color w:val="FF0000"/>
          <w:kern w:val="0"/>
          <w:highlight w:val="yellow"/>
        </w:rPr>
        <w:t>」</w:t>
      </w:r>
      <w:r w:rsidRPr="00212D57">
        <w:rPr>
          <w:rFonts w:ascii="標楷體" w:eastAsia="標楷體" w:hAnsi="標楷體"/>
          <w:szCs w:val="22"/>
        </w:rPr>
        <w:t>。</w:t>
      </w:r>
      <w:r w:rsidRPr="004E6FE7">
        <w:rPr>
          <w:rFonts w:ascii="標楷體" w:eastAsia="標楷體" w:hAnsi="標楷體" w:hint="eastAsia"/>
          <w:szCs w:val="22"/>
          <w:shd w:val="pct15" w:color="auto" w:fill="FFFFFF"/>
        </w:rPr>
        <w:t>……</w:t>
      </w:r>
      <w:r w:rsidRPr="00212D57">
        <w:rPr>
          <w:rFonts w:ascii="標楷體" w:eastAsia="標楷體" w:hAnsi="標楷體"/>
          <w:szCs w:val="22"/>
        </w:rPr>
        <w:t>菩薩住是地，諸勤方便身口意行，皆悉息滅，住大遠離</w:t>
      </w:r>
      <w:r w:rsidR="00B244C7">
        <w:rPr>
          <w:rFonts w:ascii="標楷體" w:eastAsia="標楷體" w:hAnsi="標楷體" w:hint="eastAsia"/>
          <w:color w:val="FF0000"/>
          <w:kern w:val="0"/>
          <w:highlight w:val="yellow"/>
        </w:rPr>
        <w:t>。</w:t>
      </w:r>
      <w:r w:rsidRPr="00212D57">
        <w:rPr>
          <w:rFonts w:ascii="標楷體" w:eastAsia="標楷體" w:hAnsi="標楷體"/>
          <w:szCs w:val="22"/>
        </w:rPr>
        <w:t>如人夢中欲渡深水，發大精進，施大方便，未渡之間，忽然便覺，諸方便事，皆悉放捨</w:t>
      </w:r>
      <w:r w:rsidR="00B244C7">
        <w:rPr>
          <w:rFonts w:ascii="標楷體" w:eastAsia="標楷體" w:hAnsi="標楷體" w:hint="eastAsia"/>
          <w:color w:val="FF0000"/>
          <w:spacing w:val="-4"/>
          <w:kern w:val="0"/>
          <w:highlight w:val="yellow"/>
        </w:rPr>
        <w:t>；</w:t>
      </w:r>
      <w:r w:rsidRPr="00212D57">
        <w:rPr>
          <w:rFonts w:ascii="標楷體" w:eastAsia="標楷體" w:hAnsi="標楷體"/>
          <w:szCs w:val="22"/>
        </w:rPr>
        <w:t>菩薩亦如是，從初已來，發大精進，廣修道行，至不動地，一切皆捨，不行二心，諸所憶想，不復現前。</w:t>
      </w:r>
      <w:r w:rsidRPr="004E6FE7">
        <w:rPr>
          <w:rFonts w:ascii="標楷體" w:eastAsia="標楷體" w:hAnsi="標楷體" w:hint="eastAsia"/>
          <w:szCs w:val="22"/>
          <w:shd w:val="pct15" w:color="auto" w:fill="FFFFFF"/>
        </w:rPr>
        <w:t>……</w:t>
      </w:r>
      <w:r w:rsidRPr="00212D57">
        <w:rPr>
          <w:rFonts w:ascii="標楷體" w:eastAsia="標楷體" w:hAnsi="標楷體"/>
          <w:szCs w:val="22"/>
        </w:rPr>
        <w:t>又諸佛為現其身，住在諸地法流水中，與如來智慧為作因緣，諸佛皆作是言：</w:t>
      </w:r>
      <w:r w:rsidR="00B244C7">
        <w:rPr>
          <w:rFonts w:ascii="標楷體" w:eastAsia="標楷體" w:hAnsi="標楷體" w:hint="eastAsia"/>
          <w:bCs/>
          <w:color w:val="FF0000"/>
          <w:kern w:val="0"/>
          <w:highlight w:val="yellow"/>
        </w:rPr>
        <w:t>「</w:t>
      </w:r>
      <w:r w:rsidRPr="00212D57">
        <w:rPr>
          <w:rFonts w:ascii="標楷體" w:eastAsia="標楷體" w:hAnsi="標楷體"/>
          <w:szCs w:val="22"/>
        </w:rPr>
        <w:t>善哉</w:t>
      </w:r>
      <w:r w:rsidR="00B244C7">
        <w:rPr>
          <w:rFonts w:ascii="標楷體" w:eastAsia="標楷體" w:hAnsi="標楷體" w:hint="eastAsia"/>
          <w:color w:val="FF0000"/>
          <w:kern w:val="0"/>
          <w:highlight w:val="yellow"/>
        </w:rPr>
        <w:t>！</w:t>
      </w:r>
      <w:r w:rsidRPr="00212D57">
        <w:rPr>
          <w:rFonts w:ascii="標楷體" w:eastAsia="標楷體" w:hAnsi="標楷體"/>
          <w:szCs w:val="22"/>
        </w:rPr>
        <w:t>善哉</w:t>
      </w:r>
      <w:r w:rsidR="00B244C7">
        <w:rPr>
          <w:rFonts w:ascii="標楷體" w:eastAsia="標楷體" w:hAnsi="標楷體" w:hint="eastAsia"/>
          <w:color w:val="FF0000"/>
          <w:kern w:val="0"/>
          <w:highlight w:val="yellow"/>
        </w:rPr>
        <w:t>！</w:t>
      </w:r>
      <w:r w:rsidRPr="004E6FE7">
        <w:rPr>
          <w:rFonts w:ascii="標楷體" w:eastAsia="標楷體" w:hAnsi="標楷體" w:hint="eastAsia"/>
          <w:szCs w:val="22"/>
          <w:shd w:val="pct15" w:color="auto" w:fill="FFFFFF"/>
        </w:rPr>
        <w:t>……</w:t>
      </w:r>
      <w:r w:rsidRPr="00212D57">
        <w:rPr>
          <w:rFonts w:ascii="標楷體" w:eastAsia="標楷體" w:hAnsi="標楷體"/>
          <w:szCs w:val="22"/>
        </w:rPr>
        <w:t>善男子！汝得是第一忍，順一切佛法。善男子！我有十力、四無所畏、十八不共法，汝今未得為得，是故勤加精進，亦莫捨此忍門。善男子！汝雖得此第一甚深寂滅解脫</w:t>
      </w:r>
      <w:r w:rsidR="00B244C7">
        <w:rPr>
          <w:rFonts w:ascii="標楷體" w:eastAsia="標楷體" w:hAnsi="標楷體" w:hint="eastAsia"/>
          <w:color w:val="FF0000"/>
          <w:kern w:val="0"/>
          <w:highlight w:val="yellow"/>
        </w:rPr>
        <w:t>，</w:t>
      </w:r>
      <w:r w:rsidRPr="00212D57">
        <w:rPr>
          <w:rFonts w:ascii="標楷體" w:eastAsia="標楷體" w:hAnsi="標楷體"/>
          <w:szCs w:val="22"/>
        </w:rPr>
        <w:t>一切凡夫離寂滅法，常為煩惱覺觀所害，汝當愍此一切眾生。又善男子！汝應念本所願</w:t>
      </w:r>
      <w:r w:rsidR="00B244C7">
        <w:rPr>
          <w:rFonts w:ascii="標楷體" w:eastAsia="標楷體" w:hAnsi="標楷體" w:hint="eastAsia"/>
          <w:color w:val="FF0000"/>
          <w:kern w:val="0"/>
          <w:highlight w:val="yellow"/>
        </w:rPr>
        <w:t>──</w:t>
      </w:r>
      <w:r w:rsidRPr="00212D57">
        <w:rPr>
          <w:rFonts w:ascii="標楷體" w:eastAsia="標楷體" w:hAnsi="標楷體"/>
          <w:szCs w:val="22"/>
        </w:rPr>
        <w:t>欲利益眾生，欲得不可思議智慧門。又善男子！一切法性</w:t>
      </w:r>
      <w:r w:rsidR="00B244C7">
        <w:rPr>
          <w:rFonts w:ascii="標楷體" w:eastAsia="標楷體" w:hAnsi="標楷體" w:hint="eastAsia"/>
          <w:color w:val="FF0000"/>
          <w:spacing w:val="-4"/>
          <w:kern w:val="0"/>
          <w:highlight w:val="yellow"/>
        </w:rPr>
        <w:t>、</w:t>
      </w:r>
      <w:r w:rsidRPr="00212D57">
        <w:rPr>
          <w:rFonts w:ascii="標楷體" w:eastAsia="標楷體" w:hAnsi="標楷體"/>
          <w:szCs w:val="22"/>
        </w:rPr>
        <w:t>一切法相，有佛</w:t>
      </w:r>
      <w:r w:rsidR="00B244C7">
        <w:rPr>
          <w:rFonts w:ascii="標楷體" w:eastAsia="標楷體" w:hAnsi="標楷體" w:hint="eastAsia"/>
          <w:color w:val="FF0000"/>
          <w:spacing w:val="-4"/>
          <w:kern w:val="0"/>
          <w:highlight w:val="yellow"/>
        </w:rPr>
        <w:t>、</w:t>
      </w:r>
      <w:r w:rsidRPr="00212D57">
        <w:rPr>
          <w:rFonts w:ascii="標楷體" w:eastAsia="標楷體" w:hAnsi="標楷體"/>
          <w:szCs w:val="22"/>
        </w:rPr>
        <w:t>無佛，常住不異</w:t>
      </w:r>
      <w:r w:rsidR="00B244C7">
        <w:rPr>
          <w:rFonts w:ascii="標楷體" w:eastAsia="標楷體" w:hAnsi="標楷體" w:hint="eastAsia"/>
          <w:color w:val="FF0000"/>
          <w:kern w:val="0"/>
          <w:highlight w:val="yellow"/>
        </w:rPr>
        <w:t>，</w:t>
      </w:r>
      <w:r w:rsidRPr="00212D57">
        <w:rPr>
          <w:rFonts w:ascii="標楷體" w:eastAsia="標楷體" w:hAnsi="標楷體"/>
          <w:szCs w:val="22"/>
        </w:rPr>
        <w:t>一切如來不以得此法</w:t>
      </w:r>
      <w:r w:rsidRPr="00B244C7">
        <w:rPr>
          <w:rFonts w:ascii="標楷體" w:eastAsia="標楷體" w:hAnsi="標楷體"/>
          <w:szCs w:val="22"/>
          <w:highlight w:val="yellow"/>
        </w:rPr>
        <w:t>故說</w:t>
      </w:r>
      <w:r w:rsidRPr="00212D57">
        <w:rPr>
          <w:rFonts w:ascii="標楷體" w:eastAsia="標楷體" w:hAnsi="標楷體"/>
          <w:szCs w:val="22"/>
        </w:rPr>
        <w:t>名為佛，聲聞、辟支佛亦得此寂滅無分別法。</w:t>
      </w:r>
      <w:r w:rsidR="00B244C7" w:rsidRPr="00B244C7">
        <w:rPr>
          <w:rFonts w:ascii="標楷體" w:eastAsia="標楷體" w:hAnsi="標楷體" w:hint="eastAsia"/>
          <w:color w:val="FF0000"/>
          <w:szCs w:val="22"/>
          <w:shd w:val="pct15" w:color="auto" w:fill="FFFFFF"/>
        </w:rPr>
        <w:t>……</w:t>
      </w:r>
      <w:r w:rsidR="00B244C7">
        <w:rPr>
          <w:rFonts w:ascii="標楷體" w:eastAsia="標楷體" w:hAnsi="標楷體" w:hint="eastAsia"/>
          <w:bCs/>
          <w:color w:val="FF0000"/>
          <w:kern w:val="0"/>
          <w:highlight w:val="yellow"/>
        </w:rPr>
        <w:t>」</w:t>
      </w:r>
    </w:p>
    <w:p w:rsidR="00157EF6" w:rsidRPr="00212D57" w:rsidRDefault="00157EF6" w:rsidP="007C1AAE">
      <w:pPr>
        <w:pStyle w:val="a5"/>
        <w:ind w:leftChars="105" w:left="79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w:t>
      </w:r>
      <w:r w:rsidRPr="00212D57">
        <w:rPr>
          <w:szCs w:val="22"/>
        </w:rPr>
        <w:t>另參見《大方廣佛華嚴經》卷</w:t>
      </w:r>
      <w:r w:rsidRPr="00761EF3">
        <w:rPr>
          <w:szCs w:val="22"/>
        </w:rPr>
        <w:t>38</w:t>
      </w:r>
      <w:r w:rsidRPr="00212D57">
        <w:rPr>
          <w:szCs w:val="22"/>
        </w:rPr>
        <w:t>〈</w:t>
      </w:r>
      <w:r w:rsidRPr="00761EF3">
        <w:rPr>
          <w:rFonts w:hint="eastAsia"/>
          <w:szCs w:val="22"/>
        </w:rPr>
        <w:t>26</w:t>
      </w:r>
      <w:r w:rsidRPr="00212D57">
        <w:rPr>
          <w:rFonts w:hint="eastAsia"/>
          <w:szCs w:val="22"/>
        </w:rPr>
        <w:t xml:space="preserve"> </w:t>
      </w:r>
      <w:r w:rsidRPr="00212D57">
        <w:rPr>
          <w:szCs w:val="22"/>
        </w:rPr>
        <w:t>十地品〉（大正</w:t>
      </w:r>
      <w:r w:rsidRPr="00761EF3">
        <w:rPr>
          <w:szCs w:val="22"/>
        </w:rPr>
        <w:t>10</w:t>
      </w:r>
      <w:r w:rsidRPr="00212D57">
        <w:rPr>
          <w:szCs w:val="22"/>
        </w:rPr>
        <w:t>，</w:t>
      </w:r>
      <w:r w:rsidRPr="00761EF3">
        <w:rPr>
          <w:szCs w:val="22"/>
        </w:rPr>
        <w:t>199a26</w:t>
      </w:r>
      <w:r w:rsidRPr="00212D57">
        <w:rPr>
          <w:szCs w:val="22"/>
        </w:rPr>
        <w:t>-</w:t>
      </w:r>
      <w:r w:rsidRPr="00761EF3">
        <w:rPr>
          <w:szCs w:val="22"/>
        </w:rPr>
        <w:t>b12</w:t>
      </w:r>
      <w:r w:rsidRPr="00212D57">
        <w:rPr>
          <w:szCs w:val="22"/>
        </w:rPr>
        <w:t>）</w:t>
      </w:r>
      <w:r w:rsidRPr="00212D57">
        <w:rPr>
          <w:rFonts w:hint="eastAsia"/>
          <w:szCs w:val="22"/>
        </w:rPr>
        <w:t>。</w:t>
      </w:r>
    </w:p>
  </w:footnote>
  <w:footnote w:id="199">
    <w:p w:rsidR="00157EF6" w:rsidRPr="00212D57" w:rsidRDefault="00157EF6" w:rsidP="007C1AAE">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《大智度論》卷</w:t>
      </w:r>
      <w:r w:rsidRPr="00761EF3">
        <w:rPr>
          <w:szCs w:val="22"/>
        </w:rPr>
        <w:t>75</w:t>
      </w:r>
      <w:r w:rsidR="00006BC3" w:rsidRPr="00212D57">
        <w:rPr>
          <w:szCs w:val="22"/>
        </w:rPr>
        <w:t>（大正</w:t>
      </w:r>
      <w:r w:rsidR="00006BC3" w:rsidRPr="00761EF3">
        <w:rPr>
          <w:szCs w:val="22"/>
        </w:rPr>
        <w:t>25</w:t>
      </w:r>
      <w:r w:rsidR="00006BC3" w:rsidRPr="00212D57">
        <w:rPr>
          <w:szCs w:val="22"/>
        </w:rPr>
        <w:t>，</w:t>
      </w:r>
      <w:r w:rsidR="00006BC3" w:rsidRPr="00761EF3">
        <w:rPr>
          <w:szCs w:val="22"/>
        </w:rPr>
        <w:t>590c11</w:t>
      </w:r>
      <w:r w:rsidR="00006BC3" w:rsidRPr="00212D57">
        <w:rPr>
          <w:szCs w:val="22"/>
        </w:rPr>
        <w:t>-</w:t>
      </w:r>
      <w:r w:rsidR="00006BC3" w:rsidRPr="00761EF3">
        <w:rPr>
          <w:szCs w:val="22"/>
        </w:rPr>
        <w:t>13</w:t>
      </w:r>
      <w:r w:rsidR="00006BC3" w:rsidRPr="00212D57">
        <w:rPr>
          <w:szCs w:val="22"/>
        </w:rPr>
        <w:t>）</w:t>
      </w:r>
      <w:r w:rsidRPr="00212D57">
        <w:rPr>
          <w:szCs w:val="22"/>
        </w:rPr>
        <w:t>：「</w:t>
      </w:r>
      <w:r w:rsidRPr="00212D57">
        <w:rPr>
          <w:rFonts w:ascii="標楷體" w:eastAsia="標楷體" w:hAnsi="標楷體"/>
          <w:szCs w:val="22"/>
        </w:rPr>
        <w:t>菩薩過聲</w:t>
      </w:r>
      <w:r w:rsidRPr="004E6FE7">
        <w:rPr>
          <w:rFonts w:ascii="標楷體" w:eastAsia="標楷體" w:hAnsi="標楷體"/>
          <w:szCs w:val="22"/>
          <w:highlight w:val="yellow"/>
        </w:rPr>
        <w:t>聞辟</w:t>
      </w:r>
      <w:r w:rsidRPr="00212D57">
        <w:rPr>
          <w:rFonts w:ascii="標楷體" w:eastAsia="標楷體" w:hAnsi="標楷體"/>
          <w:szCs w:val="22"/>
        </w:rPr>
        <w:t>支佛地，</w:t>
      </w:r>
      <w:r w:rsidRPr="00212D57">
        <w:rPr>
          <w:rFonts w:ascii="標楷體" w:eastAsia="標楷體" w:hAnsi="標楷體"/>
          <w:b/>
          <w:szCs w:val="22"/>
        </w:rPr>
        <w:t>得無生法忍、授記</w:t>
      </w:r>
      <w:r w:rsidR="004E6FE7">
        <w:rPr>
          <w:rFonts w:ascii="標楷體" w:eastAsia="標楷體" w:hAnsi="標楷體" w:hint="eastAsia"/>
          <w:b/>
          <w:color w:val="FF0000"/>
          <w:szCs w:val="22"/>
          <w:highlight w:val="yellow"/>
        </w:rPr>
        <w:t>，</w:t>
      </w:r>
      <w:r w:rsidRPr="00212D57">
        <w:rPr>
          <w:rFonts w:ascii="標楷體" w:eastAsia="標楷體" w:hAnsi="標楷體"/>
          <w:b/>
          <w:szCs w:val="22"/>
        </w:rPr>
        <w:t>更無餘事，唯行淨佛世界</w:t>
      </w:r>
      <w:r w:rsidR="004E6FE7">
        <w:rPr>
          <w:rFonts w:eastAsia="標楷體" w:hint="eastAsia"/>
          <w:color w:val="FF0000"/>
          <w:szCs w:val="22"/>
          <w:highlight w:val="yellow"/>
        </w:rPr>
        <w:t>、</w:t>
      </w:r>
      <w:r w:rsidRPr="00212D57">
        <w:rPr>
          <w:rFonts w:ascii="標楷體" w:eastAsia="標楷體" w:hAnsi="標楷體"/>
          <w:b/>
          <w:szCs w:val="22"/>
        </w:rPr>
        <w:t>成就眾生。</w:t>
      </w:r>
      <w:r w:rsidRPr="00212D57">
        <w:rPr>
          <w:szCs w:val="22"/>
        </w:rPr>
        <w:t>」</w:t>
      </w:r>
    </w:p>
  </w:footnote>
  <w:footnote w:id="200">
    <w:p w:rsidR="00157EF6" w:rsidRPr="00212D57" w:rsidRDefault="00157EF6" w:rsidP="007C1AAE">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《大智度論》卷</w:t>
      </w:r>
      <w:r w:rsidRPr="00761EF3">
        <w:rPr>
          <w:szCs w:val="22"/>
        </w:rPr>
        <w:t>5</w:t>
      </w:r>
      <w:r w:rsidR="00006BC3" w:rsidRPr="00212D57">
        <w:rPr>
          <w:szCs w:val="22"/>
        </w:rPr>
        <w:t>（大正</w:t>
      </w:r>
      <w:r w:rsidR="00006BC3" w:rsidRPr="00761EF3">
        <w:rPr>
          <w:szCs w:val="22"/>
        </w:rPr>
        <w:t>25</w:t>
      </w:r>
      <w:r w:rsidR="00006BC3" w:rsidRPr="00212D57">
        <w:rPr>
          <w:szCs w:val="22"/>
        </w:rPr>
        <w:t>，</w:t>
      </w:r>
      <w:r w:rsidR="00006BC3" w:rsidRPr="00761EF3">
        <w:rPr>
          <w:szCs w:val="22"/>
        </w:rPr>
        <w:t>97b25</w:t>
      </w:r>
      <w:r w:rsidR="00006BC3" w:rsidRPr="00212D57">
        <w:rPr>
          <w:szCs w:val="22"/>
        </w:rPr>
        <w:t>-</w:t>
      </w:r>
      <w:r w:rsidR="00006BC3" w:rsidRPr="00761EF3">
        <w:rPr>
          <w:szCs w:val="22"/>
        </w:rPr>
        <w:t>c4</w:t>
      </w:r>
      <w:r w:rsidR="00006BC3" w:rsidRPr="00212D57">
        <w:rPr>
          <w:szCs w:val="22"/>
        </w:rPr>
        <w:t>）</w:t>
      </w:r>
      <w:r w:rsidRPr="00212D57">
        <w:rPr>
          <w:szCs w:val="22"/>
        </w:rPr>
        <w:t>：「</w:t>
      </w:r>
      <w:r w:rsidRPr="00212D57">
        <w:rPr>
          <w:rFonts w:ascii="標楷體" w:eastAsia="標楷體" w:hAnsi="標楷體"/>
          <w:szCs w:val="22"/>
        </w:rPr>
        <w:t>諸法不生不滅</w:t>
      </w:r>
      <w:r w:rsidR="004E6FE7">
        <w:rPr>
          <w:rFonts w:eastAsia="標楷體" w:hint="eastAsia"/>
          <w:color w:val="FF0000"/>
          <w:szCs w:val="22"/>
          <w:highlight w:val="yellow"/>
        </w:rPr>
        <w:t>、</w:t>
      </w:r>
      <w:r w:rsidRPr="00212D57">
        <w:rPr>
          <w:rFonts w:ascii="標楷體" w:eastAsia="標楷體" w:hAnsi="標楷體"/>
          <w:szCs w:val="22"/>
        </w:rPr>
        <w:t>非不生非不滅</w:t>
      </w:r>
      <w:r w:rsidR="004E6FE7">
        <w:rPr>
          <w:rFonts w:eastAsia="標楷體" w:hint="eastAsia"/>
          <w:color w:val="FF0000"/>
          <w:szCs w:val="22"/>
          <w:highlight w:val="yellow"/>
        </w:rPr>
        <w:t>、</w:t>
      </w:r>
      <w:r w:rsidRPr="00212D57">
        <w:rPr>
          <w:rFonts w:ascii="標楷體" w:eastAsia="標楷體" w:hAnsi="標楷體"/>
          <w:szCs w:val="22"/>
        </w:rPr>
        <w:t>亦不生滅非不生滅</w:t>
      </w:r>
      <w:r w:rsidR="004E6FE7">
        <w:rPr>
          <w:rFonts w:eastAsia="標楷體" w:hint="eastAsia"/>
          <w:color w:val="FF0000"/>
          <w:szCs w:val="22"/>
          <w:highlight w:val="yellow"/>
        </w:rPr>
        <w:t>、</w:t>
      </w:r>
      <w:r w:rsidRPr="00212D57">
        <w:rPr>
          <w:rFonts w:ascii="標楷體" w:eastAsia="標楷體" w:hAnsi="標楷體"/>
          <w:szCs w:val="22"/>
        </w:rPr>
        <w:t>亦非不生滅非非不生滅。已得解脫，空、非空，是等悉捨，滅諸戲論，言語道斷，深入佛法，心通無礙，不動不退，名</w:t>
      </w:r>
      <w:r w:rsidR="004E6FE7">
        <w:rPr>
          <w:rFonts w:eastAsia="標楷體" w:hint="eastAsia"/>
          <w:color w:val="FF0000"/>
          <w:szCs w:val="22"/>
          <w:highlight w:val="yellow"/>
        </w:rPr>
        <w:t>『</w:t>
      </w:r>
      <w:r w:rsidRPr="00212D57">
        <w:rPr>
          <w:rFonts w:ascii="標楷體" w:eastAsia="標楷體" w:hAnsi="標楷體"/>
          <w:b/>
          <w:szCs w:val="22"/>
        </w:rPr>
        <w:t>無生忍</w:t>
      </w:r>
      <w:r w:rsidR="004E6FE7">
        <w:rPr>
          <w:rFonts w:eastAsia="標楷體" w:hint="eastAsia"/>
          <w:color w:val="FF0000"/>
          <w:szCs w:val="22"/>
          <w:highlight w:val="yellow"/>
        </w:rPr>
        <w:t>』</w:t>
      </w:r>
      <w:r w:rsidRPr="00212D57">
        <w:rPr>
          <w:rFonts w:ascii="標楷體" w:eastAsia="標楷體" w:hAnsi="標楷體"/>
          <w:b/>
          <w:szCs w:val="22"/>
        </w:rPr>
        <w:t>，是助佛道初門</w:t>
      </w:r>
      <w:r w:rsidRPr="00212D57">
        <w:rPr>
          <w:rFonts w:ascii="標楷體" w:eastAsia="標楷體" w:hAnsi="標楷體"/>
          <w:szCs w:val="22"/>
        </w:rPr>
        <w:t>。</w:t>
      </w:r>
      <w:r w:rsidRPr="00212D57">
        <w:rPr>
          <w:szCs w:val="22"/>
        </w:rPr>
        <w:t>」</w:t>
      </w:r>
    </w:p>
  </w:footnote>
  <w:footnote w:id="201">
    <w:p w:rsidR="00157EF6" w:rsidRPr="00212D57" w:rsidRDefault="00157EF6" w:rsidP="00091862">
      <w:pPr>
        <w:pStyle w:val="a5"/>
        <w:jc w:val="both"/>
        <w:rPr>
          <w:szCs w:val="22"/>
        </w:rPr>
      </w:pPr>
      <w:r w:rsidRPr="00212D57">
        <w:rPr>
          <w:rStyle w:val="a6"/>
          <w:szCs w:val="22"/>
        </w:rPr>
        <w:footnoteRef/>
      </w:r>
      <w:r w:rsidRPr="00212D57">
        <w:rPr>
          <w:rFonts w:hint="eastAsia"/>
          <w:szCs w:val="22"/>
        </w:rPr>
        <w:t xml:space="preserve"> </w:t>
      </w:r>
      <w:r w:rsidRPr="00212D57">
        <w:rPr>
          <w:rFonts w:hint="eastAsia"/>
          <w:szCs w:val="22"/>
        </w:rPr>
        <w:t>印順法師，</w:t>
      </w:r>
      <w:r w:rsidRPr="00212D57">
        <w:rPr>
          <w:szCs w:val="22"/>
        </w:rPr>
        <w:t>《中觀今論》，第</w:t>
      </w:r>
      <w:r w:rsidR="002B0576" w:rsidRPr="00B244C7">
        <w:rPr>
          <w:color w:val="FF0000"/>
          <w:szCs w:val="22"/>
          <w:highlight w:val="yellow"/>
        </w:rPr>
        <w:t>3</w:t>
      </w:r>
      <w:r w:rsidRPr="00212D57">
        <w:rPr>
          <w:szCs w:val="22"/>
        </w:rPr>
        <w:t>章</w:t>
      </w:r>
      <w:r w:rsidRPr="00212D57">
        <w:rPr>
          <w:rFonts w:ascii="新細明體" w:hAnsi="新細明體" w:cs="新細明體" w:hint="eastAsia"/>
          <w:szCs w:val="22"/>
        </w:rPr>
        <w:t>，</w:t>
      </w:r>
      <w:r w:rsidRPr="00212D57">
        <w:rPr>
          <w:szCs w:val="22"/>
        </w:rPr>
        <w:t>第</w:t>
      </w:r>
      <w:r w:rsidRPr="00761EF3">
        <w:rPr>
          <w:rFonts w:hint="eastAsia"/>
          <w:szCs w:val="22"/>
        </w:rPr>
        <w:t>1</w:t>
      </w:r>
      <w:r w:rsidRPr="00212D57">
        <w:rPr>
          <w:szCs w:val="22"/>
        </w:rPr>
        <w:t>節〈無生之共證與大乘不共〉，</w:t>
      </w:r>
      <w:r w:rsidR="00B244C7" w:rsidRPr="00B244C7">
        <w:rPr>
          <w:color w:val="FF0000"/>
          <w:szCs w:val="22"/>
          <w:highlight w:val="yellow"/>
        </w:rPr>
        <w:t>p</w:t>
      </w:r>
      <w:r w:rsidRPr="00B244C7">
        <w:rPr>
          <w:color w:val="FF0000"/>
          <w:szCs w:val="22"/>
          <w:highlight w:val="yellow"/>
        </w:rPr>
        <w:t>p.2</w:t>
      </w:r>
      <w:r w:rsidR="00B244C7" w:rsidRPr="00B244C7">
        <w:rPr>
          <w:rFonts w:hint="eastAsia"/>
          <w:color w:val="FF0000"/>
          <w:szCs w:val="22"/>
          <w:highlight w:val="yellow"/>
        </w:rPr>
        <w:t>7-28</w:t>
      </w:r>
      <w:r w:rsidRPr="00212D57">
        <w:rPr>
          <w:szCs w:val="22"/>
        </w:rPr>
        <w:t>。</w:t>
      </w:r>
    </w:p>
  </w:footnote>
  <w:footnote w:id="202">
    <w:p w:rsidR="00157EF6" w:rsidRPr="00212D57" w:rsidRDefault="00157EF6" w:rsidP="00091862">
      <w:pPr>
        <w:pStyle w:val="a5"/>
        <w:jc w:val="both"/>
        <w:rPr>
          <w:szCs w:val="22"/>
        </w:rPr>
      </w:pPr>
      <w:r w:rsidRPr="00212D57">
        <w:rPr>
          <w:rStyle w:val="a6"/>
          <w:szCs w:val="22"/>
        </w:rPr>
        <w:footnoteRef/>
      </w:r>
      <w:r w:rsidRPr="00212D57">
        <w:rPr>
          <w:szCs w:val="22"/>
        </w:rPr>
        <w:t xml:space="preserve"> </w:t>
      </w:r>
      <w:r w:rsidRPr="00212D57">
        <w:rPr>
          <w:szCs w:val="22"/>
        </w:rPr>
        <w:t>印定：謂固定不變。（《漢語大詞典》（二），</w:t>
      </w:r>
      <w:r w:rsidRPr="00761EF3">
        <w:rPr>
          <w:szCs w:val="22"/>
        </w:rPr>
        <w:t>p</w:t>
      </w:r>
      <w:r w:rsidRPr="00212D57">
        <w:rPr>
          <w:szCs w:val="22"/>
        </w:rPr>
        <w:t>.</w:t>
      </w:r>
      <w:r w:rsidRPr="00761EF3">
        <w:rPr>
          <w:szCs w:val="22"/>
        </w:rPr>
        <w:t>515</w:t>
      </w:r>
      <w:r w:rsidRPr="00212D57">
        <w:rPr>
          <w:szCs w:val="22"/>
        </w:rPr>
        <w:t>）</w:t>
      </w:r>
    </w:p>
  </w:footnote>
  <w:footnote w:id="203">
    <w:p w:rsidR="00157EF6" w:rsidRPr="00212D57" w:rsidRDefault="00157EF6" w:rsidP="0029007C">
      <w:pPr>
        <w:pStyle w:val="a5"/>
        <w:jc w:val="both"/>
        <w:rPr>
          <w:szCs w:val="22"/>
        </w:rPr>
      </w:pPr>
      <w:r w:rsidRPr="00212D57">
        <w:rPr>
          <w:rStyle w:val="a6"/>
          <w:szCs w:val="22"/>
        </w:rPr>
        <w:footnoteRef/>
      </w:r>
      <w:r w:rsidRPr="00212D57">
        <w:rPr>
          <w:rFonts w:hint="eastAsia"/>
          <w:szCs w:val="22"/>
        </w:rPr>
        <w:t xml:space="preserve"> </w:t>
      </w:r>
      <w:r w:rsidRPr="00212D57">
        <w:rPr>
          <w:szCs w:val="22"/>
        </w:rPr>
        <w:t>《雜阿含經》卷</w:t>
      </w:r>
      <w:r w:rsidRPr="00761EF3">
        <w:rPr>
          <w:szCs w:val="22"/>
        </w:rPr>
        <w:t>10</w:t>
      </w:r>
      <w:r w:rsidRPr="00212D57">
        <w:rPr>
          <w:szCs w:val="22"/>
        </w:rPr>
        <w:t>（</w:t>
      </w:r>
      <w:r w:rsidRPr="00761EF3">
        <w:rPr>
          <w:szCs w:val="22"/>
        </w:rPr>
        <w:t>270</w:t>
      </w:r>
      <w:r w:rsidRPr="00212D57">
        <w:rPr>
          <w:szCs w:val="22"/>
        </w:rPr>
        <w:t>經）（大正</w:t>
      </w:r>
      <w:r w:rsidRPr="00761EF3">
        <w:rPr>
          <w:szCs w:val="22"/>
        </w:rPr>
        <w:t>2</w:t>
      </w:r>
      <w:r w:rsidRPr="00212D57">
        <w:rPr>
          <w:szCs w:val="22"/>
        </w:rPr>
        <w:t>，</w:t>
      </w:r>
      <w:r w:rsidRPr="00761EF3">
        <w:rPr>
          <w:szCs w:val="22"/>
        </w:rPr>
        <w:t>71a1</w:t>
      </w:r>
      <w:r w:rsidRPr="00212D57">
        <w:rPr>
          <w:szCs w:val="22"/>
        </w:rPr>
        <w:t>-</w:t>
      </w:r>
      <w:r w:rsidRPr="00761EF3">
        <w:rPr>
          <w:szCs w:val="22"/>
        </w:rPr>
        <w:t>2</w:t>
      </w:r>
      <w:r w:rsidRPr="00212D57">
        <w:rPr>
          <w:szCs w:val="22"/>
        </w:rPr>
        <w:t>）。</w:t>
      </w:r>
    </w:p>
  </w:footnote>
  <w:footnote w:id="204">
    <w:p w:rsidR="00157EF6" w:rsidRPr="00212D57" w:rsidRDefault="00157EF6" w:rsidP="00091862">
      <w:pPr>
        <w:pStyle w:val="a5"/>
        <w:jc w:val="both"/>
        <w:rPr>
          <w:szCs w:val="22"/>
        </w:rPr>
      </w:pPr>
      <w:r w:rsidRPr="00212D57">
        <w:rPr>
          <w:rStyle w:val="a6"/>
          <w:szCs w:val="22"/>
        </w:rPr>
        <w:footnoteRef/>
      </w:r>
      <w:r w:rsidRPr="00212D57">
        <w:rPr>
          <w:szCs w:val="22"/>
        </w:rPr>
        <w:t xml:space="preserve"> </w:t>
      </w:r>
      <w:r w:rsidRPr="00212D57">
        <w:rPr>
          <w:szCs w:val="22"/>
        </w:rPr>
        <w:t>應運：順應期運</w:t>
      </w:r>
      <w:r w:rsidRPr="00212D57">
        <w:rPr>
          <w:rFonts w:hint="eastAsia"/>
          <w:szCs w:val="22"/>
        </w:rPr>
        <w:t>，</w:t>
      </w:r>
      <w:r w:rsidRPr="00212D57">
        <w:rPr>
          <w:szCs w:val="22"/>
        </w:rPr>
        <w:t>順應時勢。（《漢語大詞典》（七），</w:t>
      </w:r>
      <w:r w:rsidRPr="00761EF3">
        <w:rPr>
          <w:szCs w:val="22"/>
        </w:rPr>
        <w:t>p</w:t>
      </w:r>
      <w:r w:rsidRPr="00212D57">
        <w:rPr>
          <w:szCs w:val="22"/>
        </w:rPr>
        <w:t>.</w:t>
      </w:r>
      <w:r w:rsidRPr="00761EF3">
        <w:rPr>
          <w:szCs w:val="22"/>
        </w:rPr>
        <w:t>757</w:t>
      </w:r>
      <w:r w:rsidRPr="00212D57">
        <w:rPr>
          <w:szCs w:val="22"/>
        </w:rPr>
        <w:t>）</w:t>
      </w:r>
    </w:p>
  </w:footnote>
  <w:footnote w:id="205">
    <w:p w:rsidR="00157EF6" w:rsidRPr="00212D57" w:rsidRDefault="00157EF6" w:rsidP="0029007C">
      <w:pPr>
        <w:pStyle w:val="a5"/>
        <w:jc w:val="both"/>
        <w:rPr>
          <w:szCs w:val="22"/>
        </w:rPr>
      </w:pPr>
      <w:r w:rsidRPr="00212D57">
        <w:rPr>
          <w:rStyle w:val="a6"/>
          <w:szCs w:val="22"/>
        </w:rPr>
        <w:footnoteRef/>
      </w:r>
      <w:r w:rsidRPr="00212D57">
        <w:rPr>
          <w:rFonts w:hint="eastAsia"/>
          <w:szCs w:val="22"/>
        </w:rPr>
        <w:t xml:space="preserve"> </w:t>
      </w:r>
      <w:r w:rsidRPr="00212D57">
        <w:rPr>
          <w:szCs w:val="22"/>
        </w:rPr>
        <w:t>《佛說文殊師利淨律經</w:t>
      </w:r>
      <w:r w:rsidRPr="00B244C7">
        <w:rPr>
          <w:szCs w:val="22"/>
          <w:highlight w:val="yellow"/>
        </w:rPr>
        <w:t>》（</w:t>
      </w:r>
      <w:r w:rsidRPr="00212D57">
        <w:rPr>
          <w:szCs w:val="22"/>
        </w:rPr>
        <w:t>大正</w:t>
      </w:r>
      <w:r w:rsidRPr="00761EF3">
        <w:rPr>
          <w:szCs w:val="22"/>
        </w:rPr>
        <w:t>14</w:t>
      </w:r>
      <w:r w:rsidRPr="00212D57">
        <w:rPr>
          <w:szCs w:val="22"/>
        </w:rPr>
        <w:t>，</w:t>
      </w:r>
      <w:r w:rsidRPr="00761EF3">
        <w:rPr>
          <w:szCs w:val="22"/>
        </w:rPr>
        <w:t>448c25</w:t>
      </w:r>
      <w:r w:rsidRPr="00212D57">
        <w:rPr>
          <w:szCs w:val="22"/>
        </w:rPr>
        <w:t>-</w:t>
      </w:r>
      <w:r w:rsidRPr="00761EF3">
        <w:rPr>
          <w:szCs w:val="22"/>
        </w:rPr>
        <w:t>2</w:t>
      </w:r>
      <w:r w:rsidRPr="00B244C7">
        <w:rPr>
          <w:szCs w:val="22"/>
          <w:highlight w:val="yellow"/>
        </w:rPr>
        <w:t>6</w:t>
      </w:r>
      <w:r w:rsidRPr="00B244C7">
        <w:rPr>
          <w:szCs w:val="22"/>
          <w:highlight w:val="yellow"/>
        </w:rPr>
        <w:t>）</w:t>
      </w:r>
      <w:r w:rsidRPr="00212D57">
        <w:rPr>
          <w:szCs w:val="22"/>
        </w:rPr>
        <w:t>。</w:t>
      </w:r>
    </w:p>
  </w:footnote>
  <w:footnote w:id="206">
    <w:p w:rsidR="00157EF6" w:rsidRPr="00212D57" w:rsidRDefault="00157EF6" w:rsidP="006841C0">
      <w:pPr>
        <w:pStyle w:val="a5"/>
        <w:spacing w:line="300" w:lineRule="exact"/>
        <w:ind w:left="726" w:hangingChars="330" w:hanging="726"/>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w:t>
      </w:r>
      <w:r w:rsidRPr="00212D57">
        <w:rPr>
          <w:spacing w:val="4"/>
          <w:szCs w:val="22"/>
        </w:rPr>
        <w:t>印順法師，《空之探究》</w:t>
      </w:r>
      <w:r w:rsidRPr="00212D57">
        <w:rPr>
          <w:rFonts w:hint="eastAsia"/>
          <w:spacing w:val="4"/>
          <w:szCs w:val="22"/>
        </w:rPr>
        <w:t>，</w:t>
      </w:r>
      <w:r w:rsidRPr="00212D57">
        <w:rPr>
          <w:spacing w:val="4"/>
          <w:szCs w:val="22"/>
        </w:rPr>
        <w:t>第</w:t>
      </w:r>
      <w:r w:rsidRPr="00761EF3">
        <w:rPr>
          <w:rFonts w:hint="eastAsia"/>
          <w:spacing w:val="4"/>
          <w:szCs w:val="22"/>
        </w:rPr>
        <w:t>3</w:t>
      </w:r>
      <w:r w:rsidRPr="00212D57">
        <w:rPr>
          <w:spacing w:val="4"/>
          <w:szCs w:val="22"/>
        </w:rPr>
        <w:t>章</w:t>
      </w:r>
      <w:r w:rsidRPr="00212D57">
        <w:rPr>
          <w:rFonts w:ascii="新細明體" w:hAnsi="新細明體" w:cs="新細明體" w:hint="eastAsia"/>
          <w:spacing w:val="4"/>
          <w:szCs w:val="22"/>
        </w:rPr>
        <w:t>，</w:t>
      </w:r>
      <w:r w:rsidRPr="00212D57">
        <w:rPr>
          <w:spacing w:val="4"/>
          <w:szCs w:val="22"/>
        </w:rPr>
        <w:t>第</w:t>
      </w:r>
      <w:r w:rsidRPr="00761EF3">
        <w:rPr>
          <w:rFonts w:hint="eastAsia"/>
          <w:spacing w:val="4"/>
          <w:szCs w:val="22"/>
        </w:rPr>
        <w:t>3</w:t>
      </w:r>
      <w:r w:rsidRPr="00212D57">
        <w:rPr>
          <w:spacing w:val="4"/>
          <w:szCs w:val="22"/>
        </w:rPr>
        <w:t>節〈大乘《般若》與《阿含經》〉</w:t>
      </w:r>
      <w:r w:rsidRPr="00212D57">
        <w:rPr>
          <w:rFonts w:hint="eastAsia"/>
          <w:spacing w:val="4"/>
          <w:szCs w:val="22"/>
        </w:rPr>
        <w:t>，</w:t>
      </w:r>
      <w:r w:rsidRPr="00761EF3">
        <w:rPr>
          <w:spacing w:val="4"/>
          <w:szCs w:val="22"/>
        </w:rPr>
        <w:t>p</w:t>
      </w:r>
      <w:r w:rsidRPr="00212D57">
        <w:rPr>
          <w:spacing w:val="4"/>
          <w:szCs w:val="22"/>
        </w:rPr>
        <w:t>.</w:t>
      </w:r>
      <w:r w:rsidRPr="00761EF3">
        <w:rPr>
          <w:spacing w:val="4"/>
          <w:szCs w:val="22"/>
        </w:rPr>
        <w:t>149</w:t>
      </w:r>
      <w:r w:rsidRPr="00212D57">
        <w:rPr>
          <w:spacing w:val="4"/>
          <w:szCs w:val="22"/>
        </w:rPr>
        <w:t>：</w:t>
      </w:r>
    </w:p>
    <w:p w:rsidR="00157EF6" w:rsidRPr="00212D57" w:rsidRDefault="00157EF6" w:rsidP="006841C0">
      <w:pPr>
        <w:pStyle w:val="a5"/>
        <w:spacing w:line="300" w:lineRule="exact"/>
        <w:ind w:leftChars="300" w:left="720"/>
        <w:jc w:val="both"/>
        <w:rPr>
          <w:rFonts w:eastAsia="標楷體"/>
          <w:szCs w:val="22"/>
        </w:rPr>
      </w:pPr>
      <w:r w:rsidRPr="00212D57">
        <w:rPr>
          <w:rFonts w:eastAsia="標楷體"/>
          <w:szCs w:val="22"/>
        </w:rPr>
        <w:t>初期大乘經雖有多方面的獨到開展，而本於一切法性不可得</w:t>
      </w:r>
      <w:r w:rsidRPr="00212D57">
        <w:rPr>
          <w:rFonts w:ascii="標楷體" w:eastAsia="標楷體" w:hAnsi="標楷體" w:hint="eastAsia"/>
          <w:szCs w:val="22"/>
        </w:rPr>
        <w:t>──</w:t>
      </w:r>
      <w:r w:rsidRPr="00212D57">
        <w:rPr>
          <w:rFonts w:eastAsia="標楷體"/>
          <w:szCs w:val="22"/>
        </w:rPr>
        <w:t>空性的立場，與《般若經》是一致的。這一立場，與《阿含經》以來的傳統佛法，從現實身心（五蘊、六處等）出發，指導知、斷、證、修以達理想</w:t>
      </w:r>
      <w:r w:rsidRPr="00212D57">
        <w:rPr>
          <w:rFonts w:ascii="標楷體" w:eastAsia="標楷體" w:hAnsi="標楷體" w:hint="eastAsia"/>
          <w:szCs w:val="22"/>
        </w:rPr>
        <w:t>──</w:t>
      </w:r>
      <w:r w:rsidRPr="00212D57">
        <w:rPr>
          <w:rFonts w:eastAsia="標楷體"/>
          <w:szCs w:val="22"/>
        </w:rPr>
        <w:t>涅槃的實現，方法是截然不同的。如《佛說文殊師利淨律經》</w:t>
      </w:r>
      <w:r w:rsidR="00B244C7" w:rsidRPr="00212D57">
        <w:rPr>
          <w:rFonts w:eastAsia="標楷體"/>
          <w:szCs w:val="22"/>
        </w:rPr>
        <w:t>（</w:t>
      </w:r>
      <w:r w:rsidR="00B244C7" w:rsidRPr="00212D57">
        <w:rPr>
          <w:szCs w:val="22"/>
        </w:rPr>
        <w:t>大正</w:t>
      </w:r>
      <w:r w:rsidR="00B244C7" w:rsidRPr="00761EF3">
        <w:rPr>
          <w:rFonts w:eastAsia="標楷體"/>
          <w:szCs w:val="22"/>
        </w:rPr>
        <w:t>14</w:t>
      </w:r>
      <w:r w:rsidR="00B244C7" w:rsidRPr="00212D57">
        <w:rPr>
          <w:rFonts w:eastAsia="標楷體"/>
          <w:szCs w:val="22"/>
        </w:rPr>
        <w:t>，</w:t>
      </w:r>
      <w:r w:rsidR="00B244C7" w:rsidRPr="00761EF3">
        <w:rPr>
          <w:rFonts w:eastAsia="標楷體"/>
          <w:szCs w:val="22"/>
        </w:rPr>
        <w:t>448c23</w:t>
      </w:r>
      <w:r w:rsidR="00B244C7" w:rsidRPr="00212D57">
        <w:rPr>
          <w:rFonts w:eastAsia="標楷體"/>
          <w:szCs w:val="22"/>
        </w:rPr>
        <w:t>-</w:t>
      </w:r>
      <w:r w:rsidR="00B244C7" w:rsidRPr="00761EF3">
        <w:rPr>
          <w:rFonts w:eastAsia="標楷體"/>
          <w:szCs w:val="22"/>
        </w:rPr>
        <w:t>26</w:t>
      </w:r>
      <w:r w:rsidR="00B244C7" w:rsidRPr="00212D57">
        <w:rPr>
          <w:rFonts w:eastAsia="標楷體"/>
          <w:szCs w:val="22"/>
        </w:rPr>
        <w:t>）</w:t>
      </w:r>
      <w:r w:rsidRPr="00212D57">
        <w:rPr>
          <w:rFonts w:eastAsia="標楷體"/>
          <w:szCs w:val="22"/>
        </w:rPr>
        <w:t>說：「問：其佛說法，何所興為？何所滅除？答曰：其本淨者，以無起滅，不以生盡</w:t>
      </w:r>
      <w:r w:rsidRPr="00036D97">
        <w:rPr>
          <w:rFonts w:ascii="新細明體" w:hAnsi="新細明體"/>
          <w:szCs w:val="22"/>
        </w:rPr>
        <w:t>[滅]</w:t>
      </w:r>
      <w:r w:rsidRPr="00212D57">
        <w:rPr>
          <w:rFonts w:eastAsia="標楷體"/>
          <w:szCs w:val="22"/>
        </w:rPr>
        <w:t>。所以者何？</w:t>
      </w:r>
      <w:r w:rsidRPr="00212D57">
        <w:rPr>
          <w:rFonts w:eastAsia="標楷體"/>
          <w:b/>
          <w:bCs/>
          <w:szCs w:val="22"/>
        </w:rPr>
        <w:t>彼土眾生，了真諦義以為元首，不以緣合為第一也。</w:t>
      </w:r>
      <w:r w:rsidRPr="00212D57">
        <w:rPr>
          <w:rFonts w:eastAsia="標楷體"/>
          <w:szCs w:val="22"/>
        </w:rPr>
        <w:t>」</w:t>
      </w:r>
    </w:p>
    <w:p w:rsidR="00157EF6" w:rsidRPr="00212D57" w:rsidRDefault="00157EF6" w:rsidP="006841C0">
      <w:pPr>
        <w:pStyle w:val="a5"/>
        <w:spacing w:line="300" w:lineRule="exact"/>
        <w:ind w:leftChars="300" w:left="720"/>
        <w:jc w:val="both"/>
        <w:rPr>
          <w:rFonts w:eastAsia="標楷體"/>
          <w:b/>
          <w:szCs w:val="22"/>
        </w:rPr>
      </w:pPr>
      <w:r w:rsidRPr="00212D57">
        <w:rPr>
          <w:rFonts w:eastAsia="標楷體"/>
          <w:szCs w:val="22"/>
        </w:rPr>
        <w:t>文殊師利是從東方寶英佛土來的。文殊說：彼土的佛法，是以真諦無生滅法為首的；不如此土的佛法，以緣合（因緣和合生或緣起）為第一，出發於因緣生滅，呵責煩惱等教說。</w:t>
      </w:r>
      <w:r w:rsidRPr="00212D57">
        <w:rPr>
          <w:rFonts w:eastAsia="標楷體"/>
          <w:b/>
          <w:szCs w:val="22"/>
        </w:rPr>
        <w:t>文殊所說的彼土佛法，代表了印度（東南）新起的大乘；此土以緣合為第一，當然是固有的，釋迦佛以來的傳統佛法。</w:t>
      </w:r>
    </w:p>
    <w:p w:rsidR="00157EF6" w:rsidRDefault="00157EF6" w:rsidP="006841C0">
      <w:pPr>
        <w:pStyle w:val="a5"/>
        <w:spacing w:line="300" w:lineRule="exact"/>
        <w:ind w:leftChars="300" w:left="720"/>
        <w:jc w:val="both"/>
        <w:rPr>
          <w:rFonts w:eastAsia="標楷體"/>
          <w:szCs w:val="22"/>
        </w:rPr>
      </w:pPr>
      <w:r w:rsidRPr="00212D57">
        <w:rPr>
          <w:rFonts w:eastAsia="標楷體"/>
          <w:szCs w:val="22"/>
        </w:rPr>
        <w:t>這兩大不同類型的佛法，在方法上是對立的。如《阿含經》從生滅無常下手：「無常故苦，苦故無我」</w:t>
      </w:r>
      <w:r w:rsidRPr="00212D57">
        <w:rPr>
          <w:rFonts w:ascii="標楷體" w:eastAsia="標楷體" w:hAnsi="標楷體" w:hint="eastAsia"/>
          <w:szCs w:val="22"/>
        </w:rPr>
        <w:t>──</w:t>
      </w:r>
      <w:r w:rsidRPr="00212D57">
        <w:rPr>
          <w:rFonts w:eastAsia="標楷體"/>
          <w:szCs w:val="22"/>
        </w:rPr>
        <w:t>空。甚至說：「若人壽百歲，不觀生滅法，不如一日中，而解生滅法。」</w:t>
      </w:r>
      <w:r w:rsidR="00036D97" w:rsidRPr="00B244C7">
        <w:rPr>
          <w:rFonts w:eastAsia="標楷體" w:hint="eastAsia"/>
          <w:szCs w:val="22"/>
          <w:vertAlign w:val="superscript"/>
        </w:rPr>
        <w:t>[3]</w:t>
      </w:r>
      <w:r w:rsidRPr="00212D57">
        <w:rPr>
          <w:rFonts w:eastAsia="標楷體"/>
          <w:szCs w:val="22"/>
        </w:rPr>
        <w:t>如實知生滅無常的重要性，可想而知！</w:t>
      </w:r>
    </w:p>
    <w:p w:rsidR="00036D97" w:rsidRPr="00212D57" w:rsidRDefault="00036D97" w:rsidP="006841C0">
      <w:pPr>
        <w:pStyle w:val="a5"/>
        <w:spacing w:line="300" w:lineRule="exact"/>
        <w:ind w:leftChars="300" w:left="720"/>
        <w:jc w:val="both"/>
        <w:rPr>
          <w:szCs w:val="22"/>
        </w:rPr>
      </w:pPr>
      <w:r w:rsidRPr="00036D97">
        <w:rPr>
          <w:rFonts w:hint="eastAsia"/>
          <w:szCs w:val="22"/>
        </w:rPr>
        <w:t>[</w:t>
      </w:r>
      <w:r w:rsidRPr="00036D97">
        <w:rPr>
          <w:rFonts w:hint="eastAsia"/>
          <w:szCs w:val="22"/>
        </w:rPr>
        <w:t>原書註</w:t>
      </w:r>
      <w:r w:rsidRPr="00036D97">
        <w:rPr>
          <w:rFonts w:hint="eastAsia"/>
          <w:szCs w:val="22"/>
        </w:rPr>
        <w:t>3</w:t>
      </w:r>
      <w:r>
        <w:rPr>
          <w:rFonts w:eastAsia="標楷體" w:hint="eastAsia"/>
          <w:szCs w:val="22"/>
        </w:rPr>
        <w:t>]</w:t>
      </w:r>
      <w:r w:rsidRPr="00212D57">
        <w:rPr>
          <w:szCs w:val="22"/>
        </w:rPr>
        <w:t>《法集要頌經》卷</w:t>
      </w:r>
      <w:r>
        <w:rPr>
          <w:rFonts w:hint="eastAsia"/>
          <w:color w:val="FF0000"/>
          <w:szCs w:val="22"/>
          <w:highlight w:val="yellow"/>
        </w:rPr>
        <w:t>3</w:t>
      </w:r>
      <w:r w:rsidRPr="00212D57">
        <w:rPr>
          <w:szCs w:val="22"/>
        </w:rPr>
        <w:t>（大正</w:t>
      </w:r>
      <w:r w:rsidRPr="00761EF3">
        <w:rPr>
          <w:szCs w:val="22"/>
        </w:rPr>
        <w:t>4</w:t>
      </w:r>
      <w:r w:rsidRPr="00212D57">
        <w:rPr>
          <w:szCs w:val="22"/>
        </w:rPr>
        <w:t>，</w:t>
      </w:r>
      <w:r w:rsidRPr="00761EF3">
        <w:rPr>
          <w:szCs w:val="22"/>
        </w:rPr>
        <w:t>789a21</w:t>
      </w:r>
      <w:r w:rsidRPr="00212D57">
        <w:rPr>
          <w:szCs w:val="22"/>
        </w:rPr>
        <w:t>-</w:t>
      </w:r>
      <w:r w:rsidRPr="00761EF3">
        <w:rPr>
          <w:szCs w:val="22"/>
        </w:rPr>
        <w:t>22</w:t>
      </w:r>
      <w:r w:rsidRPr="00212D57">
        <w:rPr>
          <w:szCs w:val="22"/>
        </w:rPr>
        <w:t>）</w:t>
      </w:r>
      <w:r>
        <w:rPr>
          <w:rFonts w:hint="eastAsia"/>
          <w:szCs w:val="22"/>
        </w:rPr>
        <w:t>。</w:t>
      </w:r>
    </w:p>
    <w:p w:rsidR="00157EF6" w:rsidRPr="00212D57" w:rsidRDefault="00157EF6" w:rsidP="006841C0">
      <w:pPr>
        <w:pStyle w:val="a5"/>
        <w:spacing w:line="300" w:lineRule="exact"/>
        <w:ind w:leftChars="80" w:left="731" w:hangingChars="245" w:hanging="539"/>
        <w:jc w:val="both"/>
        <w:rPr>
          <w:szCs w:val="22"/>
        </w:rPr>
      </w:pPr>
      <w:r w:rsidRPr="00212D57">
        <w:rPr>
          <w:szCs w:val="22"/>
        </w:rPr>
        <w:t>（</w:t>
      </w:r>
      <w:r w:rsidRPr="00761EF3">
        <w:rPr>
          <w:szCs w:val="22"/>
        </w:rPr>
        <w:t>2</w:t>
      </w:r>
      <w:r w:rsidRPr="00212D57">
        <w:rPr>
          <w:szCs w:val="22"/>
        </w:rPr>
        <w:t>）另參見</w:t>
      </w:r>
      <w:r w:rsidR="00036D97">
        <w:rPr>
          <w:rFonts w:hint="eastAsia"/>
          <w:szCs w:val="22"/>
        </w:rPr>
        <w:t>：</w:t>
      </w:r>
      <w:r w:rsidRPr="00212D57">
        <w:rPr>
          <w:szCs w:val="22"/>
        </w:rPr>
        <w:t>印順法師，《印度佛教思想史》，</w:t>
      </w:r>
      <w:r w:rsidRPr="00761EF3">
        <w:rPr>
          <w:szCs w:val="22"/>
        </w:rPr>
        <w:t>pp</w:t>
      </w:r>
      <w:r w:rsidRPr="00212D57">
        <w:rPr>
          <w:szCs w:val="22"/>
        </w:rPr>
        <w:t>.</w:t>
      </w:r>
      <w:r w:rsidRPr="00761EF3">
        <w:rPr>
          <w:szCs w:val="22"/>
        </w:rPr>
        <w:t>91</w:t>
      </w:r>
      <w:r w:rsidRPr="00212D57">
        <w:rPr>
          <w:szCs w:val="22"/>
        </w:rPr>
        <w:t>-</w:t>
      </w:r>
      <w:r w:rsidRPr="00761EF3">
        <w:rPr>
          <w:szCs w:val="22"/>
        </w:rPr>
        <w:t>92</w:t>
      </w:r>
      <w:r w:rsidRPr="00212D57">
        <w:rPr>
          <w:szCs w:val="22"/>
        </w:rPr>
        <w:t>。</w:t>
      </w:r>
    </w:p>
  </w:footnote>
  <w:footnote w:id="207">
    <w:p w:rsidR="00157EF6" w:rsidRPr="00212D57" w:rsidRDefault="00157EF6" w:rsidP="006841C0">
      <w:pPr>
        <w:pStyle w:val="a5"/>
        <w:spacing w:line="300" w:lineRule="exact"/>
        <w:ind w:left="704" w:hangingChars="320" w:hanging="704"/>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）印順法師，《勝鬘經講記》，</w:t>
      </w:r>
      <w:r w:rsidRPr="00761EF3">
        <w:rPr>
          <w:rFonts w:hint="eastAsia"/>
          <w:szCs w:val="22"/>
        </w:rPr>
        <w:t>pp</w:t>
      </w:r>
      <w:r w:rsidRPr="00212D57">
        <w:rPr>
          <w:rFonts w:hint="eastAsia"/>
          <w:szCs w:val="22"/>
        </w:rPr>
        <w:t>.</w:t>
      </w:r>
      <w:r w:rsidRPr="00761EF3">
        <w:rPr>
          <w:rFonts w:hint="eastAsia"/>
          <w:szCs w:val="22"/>
        </w:rPr>
        <w:t>209</w:t>
      </w:r>
      <w:r w:rsidRPr="00212D57">
        <w:rPr>
          <w:rFonts w:hint="eastAsia"/>
          <w:szCs w:val="22"/>
        </w:rPr>
        <w:t>-</w:t>
      </w:r>
      <w:r w:rsidRPr="00761EF3">
        <w:rPr>
          <w:rFonts w:hint="eastAsia"/>
          <w:szCs w:val="22"/>
        </w:rPr>
        <w:t>210</w:t>
      </w:r>
      <w:r w:rsidRPr="00212D57">
        <w:rPr>
          <w:rFonts w:hint="eastAsia"/>
          <w:szCs w:val="22"/>
        </w:rPr>
        <w:t>：</w:t>
      </w:r>
    </w:p>
    <w:p w:rsidR="00157EF6" w:rsidRPr="00212D57" w:rsidRDefault="00157EF6" w:rsidP="006841C0">
      <w:pPr>
        <w:snapToGrid w:val="0"/>
        <w:spacing w:line="300" w:lineRule="exact"/>
        <w:ind w:leftChars="300" w:left="720"/>
        <w:jc w:val="both"/>
        <w:rPr>
          <w:rFonts w:ascii="標楷體" w:eastAsia="標楷體" w:hAnsi="標楷體"/>
          <w:sz w:val="22"/>
          <w:szCs w:val="22"/>
        </w:rPr>
      </w:pPr>
      <w:r w:rsidRPr="00212D57">
        <w:rPr>
          <w:rFonts w:ascii="標楷體" w:eastAsia="標楷體" w:hAnsi="標楷體" w:hint="eastAsia"/>
          <w:sz w:val="22"/>
          <w:szCs w:val="22"/>
        </w:rPr>
        <w:t>如即如如，無二無別的諦理，真諦是法法如是的。如如，本沒有什麼來不來。如寶珠，本來明淨，即無所謂來不來，然約琢磨寶珠的塵垢，使寶珠的明淨，能具體的顯露出來，所以名來。因此，如來即體如而來，而如如實沒有來不來可說。如──如來，即法空性。如《金剛經》說：</w:t>
      </w:r>
      <w:r w:rsidR="009F707C">
        <w:rPr>
          <w:rFonts w:ascii="標楷體" w:eastAsia="標楷體" w:hAnsi="標楷體" w:hint="eastAsia"/>
          <w:sz w:val="22"/>
          <w:szCs w:val="22"/>
        </w:rPr>
        <w:t>「</w:t>
      </w:r>
      <w:r w:rsidRPr="00212D57">
        <w:rPr>
          <w:rFonts w:ascii="標楷體" w:eastAsia="標楷體" w:hAnsi="標楷體" w:hint="eastAsia"/>
          <w:sz w:val="22"/>
          <w:szCs w:val="22"/>
        </w:rPr>
        <w:t>如來者，即諸法如義。</w:t>
      </w:r>
      <w:r w:rsidR="009F707C">
        <w:rPr>
          <w:rFonts w:ascii="標楷體" w:eastAsia="標楷體" w:hAnsi="標楷體" w:hint="eastAsia"/>
          <w:sz w:val="22"/>
          <w:szCs w:val="22"/>
        </w:rPr>
        <w:t>」</w:t>
      </w:r>
      <w:r w:rsidRPr="00212D57">
        <w:rPr>
          <w:rFonts w:ascii="標楷體" w:eastAsia="標楷體" w:hAnsi="標楷體" w:hint="eastAsia"/>
          <w:b/>
          <w:sz w:val="22"/>
          <w:szCs w:val="22"/>
        </w:rPr>
        <w:t>約所證說，但名如如；約能證說，即如如智</w:t>
      </w:r>
      <w:r w:rsidRPr="00212D57">
        <w:rPr>
          <w:rFonts w:ascii="標楷體" w:eastAsia="標楷體" w:hAnsi="標楷體" w:hint="eastAsia"/>
          <w:sz w:val="22"/>
          <w:szCs w:val="22"/>
        </w:rPr>
        <w:t>；如如、如如智，平等不二，名為如來。</w:t>
      </w:r>
    </w:p>
    <w:p w:rsidR="00157EF6" w:rsidRPr="00212D57" w:rsidRDefault="00157EF6" w:rsidP="006841C0">
      <w:pPr>
        <w:pStyle w:val="a5"/>
        <w:spacing w:line="300" w:lineRule="exact"/>
        <w:ind w:leftChars="80" w:left="73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）印順法師，《攝大乘論講記》，</w:t>
      </w:r>
      <w:r w:rsidRPr="00761EF3">
        <w:rPr>
          <w:rFonts w:hint="eastAsia"/>
          <w:szCs w:val="22"/>
        </w:rPr>
        <w:t>p</w:t>
      </w:r>
      <w:r w:rsidRPr="00212D57">
        <w:rPr>
          <w:rFonts w:hint="eastAsia"/>
          <w:szCs w:val="22"/>
        </w:rPr>
        <w:t>.</w:t>
      </w:r>
      <w:r w:rsidRPr="00761EF3">
        <w:rPr>
          <w:rFonts w:hint="eastAsia"/>
          <w:szCs w:val="22"/>
        </w:rPr>
        <w:t>452</w:t>
      </w:r>
      <w:r w:rsidRPr="00212D57">
        <w:rPr>
          <w:rFonts w:hint="eastAsia"/>
          <w:szCs w:val="22"/>
        </w:rPr>
        <w:t>：</w:t>
      </w:r>
    </w:p>
    <w:p w:rsidR="00157EF6" w:rsidRPr="00212D57" w:rsidRDefault="00157EF6" w:rsidP="006841C0">
      <w:pPr>
        <w:snapToGrid w:val="0"/>
        <w:spacing w:line="300" w:lineRule="exact"/>
        <w:ind w:leftChars="300" w:left="720"/>
        <w:jc w:val="both"/>
        <w:rPr>
          <w:rFonts w:ascii="標楷體" w:eastAsia="標楷體" w:hAnsi="標楷體"/>
          <w:sz w:val="22"/>
          <w:szCs w:val="22"/>
        </w:rPr>
      </w:pPr>
      <w:r w:rsidRPr="00212D57">
        <w:rPr>
          <w:rFonts w:ascii="標楷體" w:eastAsia="標楷體" w:hAnsi="標楷體" w:hint="eastAsia"/>
          <w:sz w:val="22"/>
          <w:szCs w:val="22"/>
        </w:rPr>
        <w:t>《般若經》中的安住般若，依龍樹菩薩說，是實相般若。</w:t>
      </w:r>
      <w:r w:rsidRPr="00212D57">
        <w:rPr>
          <w:rFonts w:ascii="標楷體" w:eastAsia="標楷體" w:hAnsi="標楷體" w:hint="eastAsia"/>
          <w:b/>
          <w:sz w:val="22"/>
          <w:szCs w:val="22"/>
        </w:rPr>
        <w:t>實相是如如境，般若是如如智</w:t>
      </w:r>
      <w:r w:rsidRPr="00212D57">
        <w:rPr>
          <w:rFonts w:ascii="標楷體" w:eastAsia="標楷體" w:hAnsi="標楷體" w:hint="eastAsia"/>
          <w:sz w:val="22"/>
          <w:szCs w:val="22"/>
        </w:rPr>
        <w:t>，智如冥一，即智是如，即如是智，正指這融然一味的聖境，叫安住實相般若。</w:t>
      </w:r>
    </w:p>
  </w:footnote>
  <w:footnote w:id="208">
    <w:p w:rsidR="00157EF6" w:rsidRPr="00212D57" w:rsidRDefault="00157EF6" w:rsidP="006841C0">
      <w:pPr>
        <w:pStyle w:val="a5"/>
        <w:spacing w:line="300" w:lineRule="exact"/>
        <w:jc w:val="both"/>
        <w:rPr>
          <w:szCs w:val="22"/>
        </w:rPr>
      </w:pPr>
      <w:r w:rsidRPr="00212D57">
        <w:rPr>
          <w:rStyle w:val="a6"/>
          <w:szCs w:val="22"/>
        </w:rPr>
        <w:footnoteRef/>
      </w:r>
      <w:r w:rsidRPr="00212D57">
        <w:rPr>
          <w:szCs w:val="22"/>
        </w:rPr>
        <w:t xml:space="preserve"> </w:t>
      </w:r>
      <w:r w:rsidRPr="00212D57">
        <w:rPr>
          <w:szCs w:val="22"/>
        </w:rPr>
        <w:t>鳥瞰：</w:t>
      </w:r>
      <w:r w:rsidRPr="00761EF3">
        <w:rPr>
          <w:szCs w:val="22"/>
        </w:rPr>
        <w:t>1</w:t>
      </w:r>
      <w:r w:rsidRPr="00212D57">
        <w:rPr>
          <w:szCs w:val="22"/>
        </w:rPr>
        <w:t>.</w:t>
      </w:r>
      <w:r w:rsidRPr="00212D57">
        <w:rPr>
          <w:szCs w:val="22"/>
        </w:rPr>
        <w:t>從高處俯視。（《漢語大詞典》（十二），</w:t>
      </w:r>
      <w:r w:rsidRPr="00761EF3">
        <w:rPr>
          <w:szCs w:val="22"/>
        </w:rPr>
        <w:t>p</w:t>
      </w:r>
      <w:r w:rsidRPr="00212D57">
        <w:rPr>
          <w:szCs w:val="22"/>
        </w:rPr>
        <w:t>.</w:t>
      </w:r>
      <w:r w:rsidRPr="00761EF3">
        <w:rPr>
          <w:szCs w:val="22"/>
        </w:rPr>
        <w:t>1036</w:t>
      </w:r>
      <w:r w:rsidRPr="00212D57">
        <w:rPr>
          <w:szCs w:val="22"/>
        </w:rPr>
        <w:t>）</w:t>
      </w:r>
    </w:p>
  </w:footnote>
  <w:footnote w:id="209">
    <w:p w:rsidR="00157EF6" w:rsidRPr="00212D57" w:rsidRDefault="00157EF6" w:rsidP="0029007C">
      <w:pPr>
        <w:pStyle w:val="a5"/>
        <w:ind w:left="330" w:hangingChars="150" w:hanging="330"/>
        <w:jc w:val="both"/>
        <w:rPr>
          <w:szCs w:val="22"/>
        </w:rPr>
      </w:pPr>
      <w:r w:rsidRPr="00212D57">
        <w:rPr>
          <w:rStyle w:val="a6"/>
          <w:szCs w:val="22"/>
        </w:rPr>
        <w:footnoteRef/>
      </w:r>
      <w:r>
        <w:rPr>
          <w:rFonts w:hint="eastAsia"/>
          <w:szCs w:val="22"/>
        </w:rPr>
        <w:t xml:space="preserve"> </w:t>
      </w:r>
      <w:r w:rsidRPr="00B8416E">
        <w:rPr>
          <w:rFonts w:hint="eastAsia"/>
          <w:szCs w:val="22"/>
        </w:rPr>
        <w:t>印順法師，</w:t>
      </w:r>
      <w:r w:rsidRPr="00212D57">
        <w:rPr>
          <w:szCs w:val="22"/>
        </w:rPr>
        <w:t>《中觀今論》，第</w:t>
      </w:r>
      <w:r w:rsidRPr="00761EF3">
        <w:rPr>
          <w:rFonts w:hint="eastAsia"/>
          <w:szCs w:val="22"/>
        </w:rPr>
        <w:t>3</w:t>
      </w:r>
      <w:r w:rsidRPr="00212D57">
        <w:rPr>
          <w:szCs w:val="22"/>
        </w:rPr>
        <w:t>章</w:t>
      </w:r>
      <w:r w:rsidRPr="00212D57">
        <w:rPr>
          <w:rFonts w:ascii="新細明體" w:hAnsi="新細明體" w:cs="新細明體" w:hint="eastAsia"/>
          <w:szCs w:val="22"/>
        </w:rPr>
        <w:t>，</w:t>
      </w:r>
      <w:r w:rsidRPr="00212D57">
        <w:rPr>
          <w:szCs w:val="22"/>
        </w:rPr>
        <w:t>第</w:t>
      </w:r>
      <w:r w:rsidRPr="00761EF3">
        <w:rPr>
          <w:rFonts w:hint="eastAsia"/>
          <w:szCs w:val="22"/>
        </w:rPr>
        <w:t>2</w:t>
      </w:r>
      <w:r w:rsidRPr="00212D57">
        <w:rPr>
          <w:szCs w:val="22"/>
        </w:rPr>
        <w:t>節〈聲聞常道與大乘深論〉，</w:t>
      </w:r>
      <w:r w:rsidRPr="00761EF3">
        <w:rPr>
          <w:szCs w:val="22"/>
        </w:rPr>
        <w:t>pp</w:t>
      </w:r>
      <w:r w:rsidRPr="00212D57">
        <w:rPr>
          <w:szCs w:val="22"/>
        </w:rPr>
        <w:t>.</w:t>
      </w:r>
      <w:r w:rsidRPr="00761EF3">
        <w:rPr>
          <w:szCs w:val="22"/>
        </w:rPr>
        <w:t>31</w:t>
      </w:r>
      <w:r w:rsidRPr="00212D57">
        <w:rPr>
          <w:szCs w:val="22"/>
        </w:rPr>
        <w:t>-</w:t>
      </w:r>
      <w:r w:rsidRPr="00761EF3">
        <w:rPr>
          <w:szCs w:val="22"/>
        </w:rPr>
        <w:t>32</w:t>
      </w:r>
      <w:r w:rsidRPr="00212D57">
        <w:rPr>
          <w:szCs w:val="22"/>
        </w:rPr>
        <w:t>：</w:t>
      </w:r>
    </w:p>
    <w:p w:rsidR="00157EF6" w:rsidRPr="00212D57" w:rsidRDefault="00157EF6" w:rsidP="0029007C">
      <w:pPr>
        <w:pStyle w:val="a5"/>
        <w:ind w:leftChars="65" w:left="156"/>
        <w:jc w:val="both"/>
        <w:rPr>
          <w:szCs w:val="22"/>
        </w:rPr>
      </w:pPr>
      <w:r w:rsidRPr="00212D57">
        <w:rPr>
          <w:rFonts w:eastAsia="標楷體"/>
          <w:szCs w:val="22"/>
        </w:rPr>
        <w:t>大乘行者從</w:t>
      </w:r>
      <w:r w:rsidRPr="00212D57">
        <w:rPr>
          <w:rFonts w:eastAsia="標楷體" w:hint="eastAsia"/>
          <w:szCs w:val="22"/>
        </w:rPr>
        <w:t>「</w:t>
      </w:r>
      <w:r w:rsidRPr="00212D57">
        <w:rPr>
          <w:rFonts w:eastAsia="標楷體"/>
          <w:szCs w:val="22"/>
        </w:rPr>
        <w:t>一切法本不生</w:t>
      </w:r>
      <w:r w:rsidRPr="00212D57">
        <w:rPr>
          <w:rFonts w:eastAsia="標楷體" w:hint="eastAsia"/>
          <w:szCs w:val="22"/>
        </w:rPr>
        <w:t>」</w:t>
      </w:r>
      <w:r w:rsidRPr="00212D57">
        <w:rPr>
          <w:rFonts w:eastAsia="標楷體"/>
          <w:szCs w:val="22"/>
        </w:rPr>
        <w:t>的無生體悟中，揭發諸法本性空寂的真實，直示聖賢悟證的真相。</w:t>
      </w:r>
    </w:p>
  </w:footnote>
  <w:footnote w:id="210">
    <w:p w:rsidR="00157EF6" w:rsidRPr="00212D57" w:rsidRDefault="00157EF6" w:rsidP="007C1AAE">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szCs w:val="22"/>
        </w:rPr>
        <w:t>歸宗：</w:t>
      </w:r>
      <w:r w:rsidRPr="00761EF3">
        <w:rPr>
          <w:szCs w:val="22"/>
        </w:rPr>
        <w:t>5</w:t>
      </w:r>
      <w:r w:rsidRPr="00212D57">
        <w:rPr>
          <w:szCs w:val="22"/>
        </w:rPr>
        <w:t>.</w:t>
      </w:r>
      <w:r w:rsidRPr="00212D57">
        <w:rPr>
          <w:szCs w:val="22"/>
        </w:rPr>
        <w:t>猶歸結。（《漢語大詞典》（五），</w:t>
      </w:r>
      <w:r w:rsidRPr="00761EF3">
        <w:rPr>
          <w:rFonts w:eastAsia="標楷體"/>
          <w:szCs w:val="22"/>
        </w:rPr>
        <w:t>p</w:t>
      </w:r>
      <w:r w:rsidRPr="00212D57">
        <w:rPr>
          <w:rFonts w:eastAsia="標楷體"/>
          <w:szCs w:val="22"/>
        </w:rPr>
        <w:t>.</w:t>
      </w:r>
      <w:r w:rsidRPr="00761EF3">
        <w:rPr>
          <w:rFonts w:eastAsia="標楷體"/>
          <w:szCs w:val="22"/>
        </w:rPr>
        <w:t>371</w:t>
      </w:r>
      <w:r w:rsidRPr="00212D57">
        <w:rPr>
          <w:szCs w:val="22"/>
        </w:rPr>
        <w:t>）</w:t>
      </w:r>
    </w:p>
  </w:footnote>
  <w:footnote w:id="211">
    <w:p w:rsidR="00157EF6" w:rsidRPr="00212D57" w:rsidRDefault="00157EF6" w:rsidP="007C1AAE">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szCs w:val="22"/>
        </w:rPr>
        <w:t>拘泥：</w:t>
      </w:r>
      <w:r w:rsidRPr="00761EF3">
        <w:rPr>
          <w:szCs w:val="22"/>
        </w:rPr>
        <w:t>1</w:t>
      </w:r>
      <w:r w:rsidRPr="00212D57">
        <w:rPr>
          <w:szCs w:val="22"/>
        </w:rPr>
        <w:t>.</w:t>
      </w:r>
      <w:r w:rsidRPr="00212D57">
        <w:rPr>
          <w:szCs w:val="22"/>
        </w:rPr>
        <w:t>固執而不知變通。（《漢語大詞典》（六），</w:t>
      </w:r>
      <w:r w:rsidRPr="00761EF3">
        <w:rPr>
          <w:szCs w:val="22"/>
        </w:rPr>
        <w:t>p</w:t>
      </w:r>
      <w:r w:rsidRPr="00212D57">
        <w:rPr>
          <w:szCs w:val="22"/>
        </w:rPr>
        <w:t>.</w:t>
      </w:r>
      <w:r w:rsidRPr="00761EF3">
        <w:rPr>
          <w:szCs w:val="22"/>
        </w:rPr>
        <w:t>483</w:t>
      </w:r>
      <w:r w:rsidRPr="00212D57">
        <w:rPr>
          <w:szCs w:val="22"/>
        </w:rPr>
        <w:t>）</w:t>
      </w:r>
    </w:p>
  </w:footnote>
  <w:footnote w:id="212">
    <w:p w:rsidR="00157EF6" w:rsidRPr="00212D57" w:rsidRDefault="00157EF6" w:rsidP="007C1AAE">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）《阿毘達磨俱舍論》卷</w:t>
      </w:r>
      <w:r w:rsidRPr="00761EF3">
        <w:rPr>
          <w:szCs w:val="22"/>
        </w:rPr>
        <w:t>6</w:t>
      </w:r>
      <w:r w:rsidRPr="00212D57">
        <w:rPr>
          <w:szCs w:val="22"/>
        </w:rPr>
        <w:t>（大正</w:t>
      </w:r>
      <w:r w:rsidRPr="00761EF3">
        <w:rPr>
          <w:szCs w:val="22"/>
        </w:rPr>
        <w:t>29</w:t>
      </w:r>
      <w:r w:rsidRPr="00212D57">
        <w:rPr>
          <w:szCs w:val="22"/>
        </w:rPr>
        <w:t>，</w:t>
      </w:r>
      <w:r w:rsidRPr="00761EF3">
        <w:rPr>
          <w:szCs w:val="22"/>
        </w:rPr>
        <w:t>34a10</w:t>
      </w:r>
      <w:r w:rsidRPr="00212D57">
        <w:rPr>
          <w:szCs w:val="22"/>
        </w:rPr>
        <w:t>-</w:t>
      </w:r>
      <w:r w:rsidRPr="00761EF3">
        <w:rPr>
          <w:szCs w:val="22"/>
        </w:rPr>
        <w:t>12</w:t>
      </w:r>
      <w:r w:rsidRPr="00212D57">
        <w:rPr>
          <w:szCs w:val="22"/>
        </w:rPr>
        <w:t>）：</w:t>
      </w:r>
    </w:p>
    <w:p w:rsidR="00157EF6" w:rsidRPr="00212D57" w:rsidRDefault="00157EF6" w:rsidP="007C1AAE">
      <w:pPr>
        <w:pStyle w:val="a5"/>
        <w:ind w:leftChars="335" w:left="804"/>
        <w:jc w:val="both"/>
        <w:rPr>
          <w:szCs w:val="22"/>
        </w:rPr>
      </w:pPr>
      <w:r w:rsidRPr="00212D57">
        <w:rPr>
          <w:rFonts w:eastAsia="標楷體"/>
          <w:szCs w:val="22"/>
        </w:rPr>
        <w:t>此法自性</w:t>
      </w:r>
      <w:r w:rsidR="00036D97" w:rsidRPr="00036D97">
        <w:rPr>
          <w:rFonts w:eastAsia="標楷體" w:hint="eastAsia"/>
          <w:color w:val="FF0000"/>
          <w:szCs w:val="22"/>
          <w:highlight w:val="yellow"/>
        </w:rPr>
        <w:t>，</w:t>
      </w:r>
      <w:r w:rsidRPr="00212D57">
        <w:rPr>
          <w:rFonts w:eastAsia="標楷體"/>
          <w:szCs w:val="22"/>
        </w:rPr>
        <w:t>實有</w:t>
      </w:r>
      <w:r w:rsidR="00036D97">
        <w:rPr>
          <w:rFonts w:eastAsia="標楷體" w:hint="eastAsia"/>
          <w:color w:val="FF0000"/>
          <w:szCs w:val="22"/>
          <w:highlight w:val="yellow"/>
        </w:rPr>
        <w:t>、</w:t>
      </w:r>
      <w:r w:rsidRPr="00212D57">
        <w:rPr>
          <w:rFonts w:eastAsia="標楷體"/>
          <w:szCs w:val="22"/>
        </w:rPr>
        <w:t>離言，唯諸聖者各別內證，但可方便總相說言：是善</w:t>
      </w:r>
      <w:r w:rsidR="00036D97" w:rsidRPr="00036D97">
        <w:rPr>
          <w:rFonts w:eastAsia="標楷體" w:hint="eastAsia"/>
          <w:color w:val="FF0000"/>
          <w:szCs w:val="22"/>
          <w:highlight w:val="yellow"/>
        </w:rPr>
        <w:t>、</w:t>
      </w:r>
      <w:r w:rsidRPr="00212D57">
        <w:rPr>
          <w:rFonts w:eastAsia="標楷體"/>
          <w:szCs w:val="22"/>
        </w:rPr>
        <w:t>是常，別有實物</w:t>
      </w:r>
      <w:r w:rsidR="00036D97" w:rsidRPr="00036D97">
        <w:rPr>
          <w:rFonts w:eastAsia="標楷體" w:hint="eastAsia"/>
          <w:color w:val="FF0000"/>
          <w:szCs w:val="22"/>
          <w:highlight w:val="yellow"/>
        </w:rPr>
        <w:t>，</w:t>
      </w:r>
      <w:r w:rsidRPr="00212D57">
        <w:rPr>
          <w:rFonts w:eastAsia="標楷體"/>
          <w:szCs w:val="22"/>
        </w:rPr>
        <w:t>名為</w:t>
      </w:r>
      <w:r w:rsidR="00036D97" w:rsidRPr="00036D97">
        <w:rPr>
          <w:rFonts w:eastAsia="標楷體" w:hint="eastAsia"/>
          <w:color w:val="FF0000"/>
          <w:szCs w:val="22"/>
          <w:highlight w:val="yellow"/>
        </w:rPr>
        <w:t>「</w:t>
      </w:r>
      <w:r w:rsidRPr="00212D57">
        <w:rPr>
          <w:rFonts w:eastAsia="標楷體"/>
          <w:szCs w:val="22"/>
        </w:rPr>
        <w:t>擇滅</w:t>
      </w:r>
      <w:r w:rsidR="00036D97">
        <w:rPr>
          <w:rFonts w:eastAsia="標楷體" w:hint="eastAsia"/>
          <w:color w:val="FF0000"/>
          <w:szCs w:val="22"/>
          <w:highlight w:val="yellow"/>
        </w:rPr>
        <w:t>」</w:t>
      </w:r>
      <w:r w:rsidRPr="00212D57">
        <w:rPr>
          <w:rFonts w:eastAsia="標楷體"/>
          <w:szCs w:val="22"/>
        </w:rPr>
        <w:t>，亦名</w:t>
      </w:r>
      <w:r w:rsidR="00036D97" w:rsidRPr="00036D97">
        <w:rPr>
          <w:rFonts w:eastAsia="標楷體" w:hint="eastAsia"/>
          <w:color w:val="FF0000"/>
          <w:szCs w:val="22"/>
          <w:highlight w:val="yellow"/>
        </w:rPr>
        <w:t>「</w:t>
      </w:r>
      <w:r w:rsidRPr="00212D57">
        <w:rPr>
          <w:rFonts w:eastAsia="標楷體"/>
          <w:szCs w:val="22"/>
        </w:rPr>
        <w:t>離繫</w:t>
      </w:r>
      <w:r w:rsidR="00036D97">
        <w:rPr>
          <w:rFonts w:eastAsia="標楷體" w:hint="eastAsia"/>
          <w:color w:val="FF0000"/>
          <w:szCs w:val="22"/>
          <w:highlight w:val="yellow"/>
        </w:rPr>
        <w:t>」</w:t>
      </w:r>
      <w:r w:rsidRPr="00212D57">
        <w:rPr>
          <w:rFonts w:eastAsia="標楷體"/>
          <w:szCs w:val="22"/>
        </w:rPr>
        <w:t>。</w:t>
      </w:r>
    </w:p>
    <w:p w:rsidR="00157EF6" w:rsidRPr="00212D57" w:rsidRDefault="00157EF6" w:rsidP="007C1AAE">
      <w:pPr>
        <w:pStyle w:val="a5"/>
        <w:ind w:leftChars="105" w:left="791" w:hangingChars="245" w:hanging="539"/>
        <w:jc w:val="both"/>
        <w:rPr>
          <w:szCs w:val="22"/>
        </w:rPr>
      </w:pPr>
      <w:r w:rsidRPr="00212D57">
        <w:rPr>
          <w:szCs w:val="22"/>
        </w:rPr>
        <w:t>（</w:t>
      </w:r>
      <w:r w:rsidRPr="00761EF3">
        <w:rPr>
          <w:szCs w:val="22"/>
        </w:rPr>
        <w:t>2</w:t>
      </w:r>
      <w:r w:rsidRPr="00212D57">
        <w:rPr>
          <w:szCs w:val="22"/>
        </w:rPr>
        <w:t>）印順法師</w:t>
      </w:r>
      <w:r w:rsidRPr="00212D57">
        <w:rPr>
          <w:rFonts w:hint="eastAsia"/>
          <w:szCs w:val="22"/>
        </w:rPr>
        <w:t>，</w:t>
      </w:r>
      <w:r w:rsidRPr="00212D57">
        <w:rPr>
          <w:szCs w:val="22"/>
        </w:rPr>
        <w:t>《性空學探源》</w:t>
      </w:r>
      <w:r w:rsidRPr="00212D57">
        <w:rPr>
          <w:rFonts w:hint="eastAsia"/>
          <w:szCs w:val="22"/>
        </w:rPr>
        <w:t>，</w:t>
      </w:r>
      <w:r w:rsidRPr="00212D57">
        <w:rPr>
          <w:szCs w:val="22"/>
        </w:rPr>
        <w:t>第</w:t>
      </w:r>
      <w:r w:rsidRPr="00761EF3">
        <w:rPr>
          <w:rFonts w:hint="eastAsia"/>
          <w:szCs w:val="22"/>
        </w:rPr>
        <w:t>3</w:t>
      </w:r>
      <w:r w:rsidRPr="00212D57">
        <w:rPr>
          <w:szCs w:val="22"/>
        </w:rPr>
        <w:t>章</w:t>
      </w:r>
      <w:r w:rsidRPr="00212D57">
        <w:rPr>
          <w:rFonts w:ascii="新細明體" w:hAnsi="新細明體" w:cs="新細明體" w:hint="eastAsia"/>
          <w:szCs w:val="22"/>
        </w:rPr>
        <w:t>，</w:t>
      </w:r>
      <w:r w:rsidRPr="00212D57">
        <w:rPr>
          <w:szCs w:val="22"/>
        </w:rPr>
        <w:t>第</w:t>
      </w:r>
      <w:r w:rsidRPr="00761EF3">
        <w:rPr>
          <w:rFonts w:hint="eastAsia"/>
          <w:szCs w:val="22"/>
        </w:rPr>
        <w:t>3</w:t>
      </w:r>
      <w:r w:rsidRPr="00212D57">
        <w:rPr>
          <w:szCs w:val="22"/>
        </w:rPr>
        <w:t>節〈終歸於空〉</w:t>
      </w:r>
      <w:r w:rsidRPr="00212D57">
        <w:rPr>
          <w:rFonts w:hint="eastAsia"/>
          <w:szCs w:val="22"/>
        </w:rPr>
        <w:t>，</w:t>
      </w:r>
      <w:r w:rsidRPr="00761EF3">
        <w:rPr>
          <w:szCs w:val="22"/>
        </w:rPr>
        <w:t>p</w:t>
      </w:r>
      <w:r w:rsidRPr="00212D57">
        <w:rPr>
          <w:szCs w:val="22"/>
        </w:rPr>
        <w:t>.</w:t>
      </w:r>
      <w:r w:rsidRPr="00761EF3">
        <w:rPr>
          <w:szCs w:val="22"/>
        </w:rPr>
        <w:t>226</w:t>
      </w:r>
      <w:r w:rsidRPr="00212D57">
        <w:rPr>
          <w:szCs w:val="22"/>
        </w:rPr>
        <w:t>：</w:t>
      </w:r>
    </w:p>
    <w:p w:rsidR="00157EF6" w:rsidRPr="00212D57" w:rsidRDefault="00157EF6" w:rsidP="007C1AAE">
      <w:pPr>
        <w:pStyle w:val="a5"/>
        <w:ind w:leftChars="335" w:left="804"/>
        <w:jc w:val="both"/>
        <w:rPr>
          <w:szCs w:val="22"/>
        </w:rPr>
      </w:pPr>
      <w:r w:rsidRPr="00212D57">
        <w:rPr>
          <w:rFonts w:eastAsia="標楷體"/>
          <w:szCs w:val="22"/>
        </w:rPr>
        <w:t>涅槃體性的擇滅無為，有部認為實有，是說涅槃離繫，有漏法不生，不單是消極的不生，是另有擇滅無為的實法，有力能使有漏法滅而不生。</w:t>
      </w:r>
    </w:p>
  </w:footnote>
  <w:footnote w:id="213">
    <w:p w:rsidR="00157EF6" w:rsidRPr="00212D57" w:rsidRDefault="00157EF6" w:rsidP="00006BC3">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）《阿毘達磨俱舍論》卷</w:t>
      </w:r>
      <w:r w:rsidRPr="00761EF3">
        <w:rPr>
          <w:szCs w:val="22"/>
        </w:rPr>
        <w:t>6</w:t>
      </w:r>
      <w:r w:rsidR="009F707C" w:rsidRPr="00212D57">
        <w:rPr>
          <w:szCs w:val="22"/>
        </w:rPr>
        <w:t>（大正</w:t>
      </w:r>
      <w:r w:rsidR="009F707C" w:rsidRPr="00761EF3">
        <w:rPr>
          <w:szCs w:val="22"/>
        </w:rPr>
        <w:t>29</w:t>
      </w:r>
      <w:r w:rsidR="009F707C" w:rsidRPr="00212D57">
        <w:rPr>
          <w:szCs w:val="22"/>
        </w:rPr>
        <w:t>，</w:t>
      </w:r>
      <w:r w:rsidR="009F707C" w:rsidRPr="00761EF3">
        <w:rPr>
          <w:szCs w:val="22"/>
        </w:rPr>
        <w:t>34a12</w:t>
      </w:r>
      <w:r w:rsidR="009F707C" w:rsidRPr="00212D57">
        <w:rPr>
          <w:szCs w:val="22"/>
        </w:rPr>
        <w:t>-</w:t>
      </w:r>
      <w:r w:rsidR="009F707C" w:rsidRPr="00761EF3">
        <w:rPr>
          <w:szCs w:val="22"/>
        </w:rPr>
        <w:t>14</w:t>
      </w:r>
      <w:r w:rsidR="009F707C" w:rsidRPr="00212D57">
        <w:rPr>
          <w:szCs w:val="22"/>
        </w:rPr>
        <w:t>）</w:t>
      </w:r>
      <w:r w:rsidRPr="00212D57">
        <w:rPr>
          <w:szCs w:val="22"/>
        </w:rPr>
        <w:t>：「</w:t>
      </w:r>
      <w:r w:rsidRPr="00212D57">
        <w:rPr>
          <w:rFonts w:eastAsia="標楷體"/>
          <w:szCs w:val="22"/>
        </w:rPr>
        <w:t>經部師說：一切無為皆非實有</w:t>
      </w:r>
      <w:r w:rsidR="001C34B0">
        <w:rPr>
          <w:rFonts w:eastAsia="標楷體" w:hint="eastAsia"/>
          <w:color w:val="FF0000"/>
          <w:szCs w:val="22"/>
          <w:highlight w:val="yellow"/>
        </w:rPr>
        <w:t>──</w:t>
      </w:r>
      <w:r w:rsidR="00B244C7">
        <w:rPr>
          <w:rFonts w:ascii="標楷體" w:eastAsia="標楷體" w:hAnsi="標楷體" w:hint="eastAsia"/>
          <w:color w:val="FF0000"/>
          <w:kern w:val="0"/>
          <w:highlight w:val="yellow"/>
        </w:rPr>
        <w:t>『</w:t>
      </w:r>
      <w:r w:rsidRPr="00212D57">
        <w:rPr>
          <w:rFonts w:eastAsia="標楷體"/>
          <w:szCs w:val="22"/>
        </w:rPr>
        <w:t>色</w:t>
      </w:r>
      <w:r w:rsidR="00B244C7">
        <w:rPr>
          <w:rFonts w:ascii="標楷體" w:eastAsia="標楷體" w:hAnsi="標楷體" w:hint="eastAsia"/>
          <w:color w:val="FF0000"/>
          <w:kern w:val="0"/>
          <w:highlight w:val="yellow"/>
        </w:rPr>
        <w:t>』</w:t>
      </w:r>
      <w:r w:rsidRPr="00212D57">
        <w:rPr>
          <w:rFonts w:eastAsia="標楷體"/>
          <w:szCs w:val="22"/>
        </w:rPr>
        <w:t>、</w:t>
      </w:r>
      <w:r w:rsidR="00B244C7">
        <w:rPr>
          <w:rFonts w:ascii="標楷體" w:eastAsia="標楷體" w:hAnsi="標楷體" w:hint="eastAsia"/>
          <w:color w:val="FF0000"/>
          <w:kern w:val="0"/>
          <w:highlight w:val="yellow"/>
        </w:rPr>
        <w:t>『</w:t>
      </w:r>
      <w:r w:rsidRPr="00212D57">
        <w:rPr>
          <w:rFonts w:eastAsia="標楷體"/>
          <w:szCs w:val="22"/>
        </w:rPr>
        <w:t>受</w:t>
      </w:r>
      <w:r w:rsidR="00B244C7">
        <w:rPr>
          <w:rFonts w:ascii="標楷體" w:eastAsia="標楷體" w:hAnsi="標楷體" w:hint="eastAsia"/>
          <w:color w:val="FF0000"/>
          <w:kern w:val="0"/>
          <w:highlight w:val="yellow"/>
        </w:rPr>
        <w:t>』</w:t>
      </w:r>
      <w:r w:rsidRPr="00212D57">
        <w:rPr>
          <w:rFonts w:eastAsia="標楷體"/>
          <w:szCs w:val="22"/>
        </w:rPr>
        <w:t>等別有實物，此所無故。</w:t>
      </w:r>
      <w:r w:rsidRPr="00212D57">
        <w:rPr>
          <w:szCs w:val="22"/>
        </w:rPr>
        <w:t>」</w:t>
      </w:r>
    </w:p>
    <w:p w:rsidR="00157EF6" w:rsidRPr="00212D57" w:rsidRDefault="00157EF6" w:rsidP="007C1AAE">
      <w:pPr>
        <w:pStyle w:val="a5"/>
        <w:ind w:leftChars="105" w:left="791" w:hangingChars="245" w:hanging="539"/>
        <w:jc w:val="both"/>
        <w:rPr>
          <w:szCs w:val="22"/>
        </w:rPr>
      </w:pPr>
      <w:r w:rsidRPr="00212D57">
        <w:rPr>
          <w:szCs w:val="22"/>
        </w:rPr>
        <w:t>（</w:t>
      </w:r>
      <w:r w:rsidRPr="00761EF3">
        <w:rPr>
          <w:szCs w:val="22"/>
        </w:rPr>
        <w:t>2</w:t>
      </w:r>
      <w:r w:rsidRPr="00212D57">
        <w:rPr>
          <w:szCs w:val="22"/>
        </w:rPr>
        <w:t>）印順法師</w:t>
      </w:r>
      <w:r w:rsidRPr="00212D57">
        <w:rPr>
          <w:rFonts w:hint="eastAsia"/>
          <w:szCs w:val="22"/>
        </w:rPr>
        <w:t>，</w:t>
      </w:r>
      <w:r w:rsidRPr="00212D57">
        <w:rPr>
          <w:szCs w:val="22"/>
        </w:rPr>
        <w:t>《性空學探源》</w:t>
      </w:r>
      <w:r w:rsidRPr="00212D57">
        <w:rPr>
          <w:rFonts w:hint="eastAsia"/>
          <w:szCs w:val="22"/>
        </w:rPr>
        <w:t>，</w:t>
      </w:r>
      <w:r w:rsidRPr="00212D57">
        <w:rPr>
          <w:szCs w:val="22"/>
        </w:rPr>
        <w:t>第</w:t>
      </w:r>
      <w:r w:rsidRPr="00761EF3">
        <w:rPr>
          <w:rFonts w:hint="eastAsia"/>
          <w:szCs w:val="22"/>
        </w:rPr>
        <w:t>3</w:t>
      </w:r>
      <w:r w:rsidRPr="00212D57">
        <w:rPr>
          <w:szCs w:val="22"/>
        </w:rPr>
        <w:t>章</w:t>
      </w:r>
      <w:r w:rsidRPr="00212D57">
        <w:rPr>
          <w:rFonts w:ascii="新細明體" w:hAnsi="新細明體" w:cs="新細明體" w:hint="eastAsia"/>
          <w:szCs w:val="22"/>
        </w:rPr>
        <w:t>，</w:t>
      </w:r>
      <w:r w:rsidRPr="00212D57">
        <w:rPr>
          <w:szCs w:val="22"/>
        </w:rPr>
        <w:t>第</w:t>
      </w:r>
      <w:r w:rsidRPr="00761EF3">
        <w:rPr>
          <w:rFonts w:hint="eastAsia"/>
          <w:szCs w:val="22"/>
        </w:rPr>
        <w:t>3</w:t>
      </w:r>
      <w:r w:rsidRPr="00212D57">
        <w:rPr>
          <w:szCs w:val="22"/>
        </w:rPr>
        <w:t>節〈終歸於空〉</w:t>
      </w:r>
      <w:r w:rsidRPr="00212D57">
        <w:rPr>
          <w:rFonts w:hint="eastAsia"/>
          <w:szCs w:val="22"/>
        </w:rPr>
        <w:t>，</w:t>
      </w:r>
      <w:r w:rsidRPr="00761EF3">
        <w:rPr>
          <w:szCs w:val="22"/>
        </w:rPr>
        <w:t>pp</w:t>
      </w:r>
      <w:r w:rsidRPr="00212D57">
        <w:rPr>
          <w:szCs w:val="22"/>
        </w:rPr>
        <w:t>.</w:t>
      </w:r>
      <w:r w:rsidRPr="00761EF3">
        <w:rPr>
          <w:szCs w:val="22"/>
        </w:rPr>
        <w:t>226</w:t>
      </w:r>
      <w:r w:rsidRPr="00212D57">
        <w:rPr>
          <w:szCs w:val="22"/>
        </w:rPr>
        <w:t>-</w:t>
      </w:r>
      <w:r w:rsidRPr="00761EF3">
        <w:rPr>
          <w:szCs w:val="22"/>
        </w:rPr>
        <w:t>22</w:t>
      </w:r>
      <w:r w:rsidRPr="00761EF3">
        <w:rPr>
          <w:rFonts w:hint="eastAsia"/>
          <w:szCs w:val="22"/>
        </w:rPr>
        <w:t>8</w:t>
      </w:r>
      <w:r w:rsidRPr="00212D57">
        <w:rPr>
          <w:szCs w:val="22"/>
        </w:rPr>
        <w:t>：</w:t>
      </w:r>
    </w:p>
    <w:p w:rsidR="00157EF6" w:rsidRPr="00212D57" w:rsidRDefault="00157EF6" w:rsidP="007C1AAE">
      <w:pPr>
        <w:pStyle w:val="a5"/>
        <w:ind w:leftChars="335" w:left="804"/>
        <w:jc w:val="both"/>
        <w:rPr>
          <w:rFonts w:eastAsia="標楷體"/>
          <w:szCs w:val="22"/>
        </w:rPr>
      </w:pPr>
      <w:r w:rsidRPr="00212D57">
        <w:rPr>
          <w:rFonts w:eastAsia="標楷體"/>
          <w:szCs w:val="22"/>
        </w:rPr>
        <w:t>經部譬喻師，認為擇滅非實有。表面上看，這主張似乎與大乘空宗相同；實質上，終究是上座系的見解。大眾分別說系側重在理性的空義，</w:t>
      </w:r>
      <w:r w:rsidRPr="00212D57">
        <w:rPr>
          <w:rFonts w:eastAsia="標楷體"/>
          <w:b/>
          <w:szCs w:val="22"/>
        </w:rPr>
        <w:t>譬喻者卻在常識法相的不生面說明涅槃非有。重事相而忽略理性</w:t>
      </w:r>
      <w:r w:rsidRPr="00212D57">
        <w:rPr>
          <w:rFonts w:eastAsia="標楷體"/>
          <w:szCs w:val="22"/>
        </w:rPr>
        <w:t>，雖主張無體，反而接近了薩婆多部。如《順正理論》的兩段介紹說：「煩惱畢竟不生，名為涅槃。」「由得對治，證得當起煩惱後有畢竟相違所依身故，名得涅槃。」</w:t>
      </w:r>
      <w:r w:rsidR="007A78DE" w:rsidRPr="007A78DE">
        <w:rPr>
          <w:rFonts w:eastAsia="標楷體" w:hint="eastAsia"/>
          <w:szCs w:val="22"/>
          <w:shd w:val="pct15" w:color="auto" w:fill="FFFFFF"/>
        </w:rPr>
        <w:t>*</w:t>
      </w:r>
      <w:r w:rsidRPr="00212D57">
        <w:rPr>
          <w:rFonts w:eastAsia="標楷體"/>
          <w:szCs w:val="22"/>
        </w:rPr>
        <w:t>煩惱決定不生曰涅槃。所說的煩惱，不像有部的三世實有，是在有情六處中的煩惱功能。現在智慧現前，使煩惱功能不再潛動，決定不再生起煩惱，身心得到清淨，叫做得涅槃。所以，</w:t>
      </w:r>
      <w:r w:rsidRPr="00212D57">
        <w:rPr>
          <w:rFonts w:eastAsia="標楷體"/>
          <w:b/>
          <w:szCs w:val="22"/>
        </w:rPr>
        <w:t>譬喻者說的涅槃，專在煩惱的不生上安立，不是另有實體可得</w:t>
      </w:r>
      <w:r w:rsidRPr="00212D57">
        <w:rPr>
          <w:rFonts w:eastAsia="標楷體"/>
          <w:szCs w:val="22"/>
        </w:rPr>
        <w:t>。</w:t>
      </w:r>
    </w:p>
    <w:p w:rsidR="00157EF6" w:rsidRDefault="00157EF6" w:rsidP="007C1AAE">
      <w:pPr>
        <w:pStyle w:val="a5"/>
        <w:ind w:leftChars="335" w:left="804"/>
        <w:jc w:val="both"/>
        <w:rPr>
          <w:rFonts w:eastAsia="標楷體"/>
          <w:b/>
          <w:szCs w:val="22"/>
        </w:rPr>
      </w:pPr>
      <w:r w:rsidRPr="00212D57">
        <w:rPr>
          <w:rFonts w:eastAsia="標楷體"/>
          <w:szCs w:val="22"/>
        </w:rPr>
        <w:t>後來，大乘常用破瓶的譬喻說明這思想：如說破瓶，是在完整瓶子的否定上說，不是另有一種叫「破」的實在東西。所以</w:t>
      </w:r>
      <w:r w:rsidRPr="00212D57">
        <w:rPr>
          <w:rFonts w:eastAsia="標楷體"/>
          <w:b/>
          <w:szCs w:val="22"/>
        </w:rPr>
        <w:t>經部說的擇滅非實有，純粹從消極面，在事相的否定上說，幾乎沒有接觸到理性。他們思想與大乘空宗的距離，就在這一點。</w:t>
      </w:r>
    </w:p>
    <w:p w:rsidR="007A78DE" w:rsidRPr="007A78DE" w:rsidRDefault="007A78DE" w:rsidP="007C1AAE">
      <w:pPr>
        <w:pStyle w:val="a5"/>
        <w:ind w:leftChars="335" w:left="804"/>
        <w:jc w:val="both"/>
        <w:rPr>
          <w:szCs w:val="22"/>
        </w:rPr>
      </w:pPr>
      <w:r w:rsidRPr="007A78DE">
        <w:rPr>
          <w:rFonts w:hint="eastAsia"/>
          <w:szCs w:val="22"/>
          <w:shd w:val="pct15" w:color="auto" w:fill="FFFFFF"/>
        </w:rPr>
        <w:t>*</w:t>
      </w:r>
      <w:r w:rsidRPr="007A78DE">
        <w:rPr>
          <w:rFonts w:ascii="新細明體" w:hAnsi="新細明體"/>
          <w:szCs w:val="22"/>
        </w:rPr>
        <w:t>《順正理論》</w:t>
      </w:r>
      <w:r w:rsidRPr="007A78DE">
        <w:rPr>
          <w:szCs w:val="22"/>
        </w:rPr>
        <w:t>卷</w:t>
      </w:r>
      <w:r w:rsidRPr="007A78DE">
        <w:rPr>
          <w:rFonts w:eastAsia="標楷體"/>
          <w:szCs w:val="22"/>
        </w:rPr>
        <w:t>17</w:t>
      </w:r>
      <w:r w:rsidRPr="007A78DE">
        <w:rPr>
          <w:rFonts w:eastAsia="標楷體"/>
          <w:szCs w:val="22"/>
        </w:rPr>
        <w:t>（</w:t>
      </w:r>
      <w:r w:rsidRPr="007A78DE">
        <w:rPr>
          <w:szCs w:val="22"/>
        </w:rPr>
        <w:t>大正</w:t>
      </w:r>
      <w:r w:rsidRPr="007A78DE">
        <w:rPr>
          <w:rFonts w:eastAsia="標楷體"/>
          <w:szCs w:val="22"/>
        </w:rPr>
        <w:t>29</w:t>
      </w:r>
      <w:r w:rsidRPr="007A78DE">
        <w:rPr>
          <w:rFonts w:eastAsia="標楷體"/>
          <w:szCs w:val="22"/>
        </w:rPr>
        <w:t>，</w:t>
      </w:r>
      <w:r w:rsidRPr="007A78DE">
        <w:rPr>
          <w:rFonts w:eastAsia="標楷體"/>
          <w:szCs w:val="22"/>
        </w:rPr>
        <w:t>431a27-28</w:t>
      </w:r>
      <w:r w:rsidRPr="007A78DE">
        <w:rPr>
          <w:rFonts w:eastAsia="標楷體" w:hint="eastAsia"/>
          <w:szCs w:val="22"/>
        </w:rPr>
        <w:t>、</w:t>
      </w:r>
      <w:r w:rsidRPr="007A78DE">
        <w:rPr>
          <w:rFonts w:eastAsia="標楷體"/>
          <w:szCs w:val="22"/>
        </w:rPr>
        <w:t>431a10-11</w:t>
      </w:r>
      <w:r w:rsidRPr="007A78DE">
        <w:rPr>
          <w:rFonts w:eastAsia="標楷體"/>
          <w:szCs w:val="22"/>
        </w:rPr>
        <w:t>）</w:t>
      </w:r>
      <w:r>
        <w:rPr>
          <w:rFonts w:eastAsia="標楷體" w:hint="eastAsia"/>
          <w:szCs w:val="22"/>
        </w:rPr>
        <w:t>。</w:t>
      </w:r>
    </w:p>
  </w:footnote>
  <w:footnote w:id="214">
    <w:p w:rsidR="00157EF6" w:rsidRPr="00212D57" w:rsidRDefault="00157EF6" w:rsidP="007C1AAE">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szCs w:val="22"/>
        </w:rPr>
        <w:t>三諦：苦諦、集諦、道諦。</w:t>
      </w:r>
    </w:p>
  </w:footnote>
  <w:footnote w:id="215">
    <w:p w:rsidR="00157EF6" w:rsidRDefault="00157EF6" w:rsidP="00006BC3">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szCs w:val="22"/>
        </w:rPr>
        <w:t>《摩訶止觀》卷</w:t>
      </w:r>
      <w:r w:rsidRPr="00761EF3">
        <w:rPr>
          <w:szCs w:val="22"/>
        </w:rPr>
        <w:t>1</w:t>
      </w:r>
      <w:r w:rsidR="009F707C" w:rsidRPr="00212D57">
        <w:rPr>
          <w:szCs w:val="22"/>
        </w:rPr>
        <w:t>（大正</w:t>
      </w:r>
      <w:r w:rsidR="009F707C" w:rsidRPr="00761EF3">
        <w:rPr>
          <w:szCs w:val="22"/>
        </w:rPr>
        <w:t>46</w:t>
      </w:r>
      <w:r w:rsidR="009F707C" w:rsidRPr="00212D57">
        <w:rPr>
          <w:szCs w:val="22"/>
        </w:rPr>
        <w:t>，</w:t>
      </w:r>
      <w:r w:rsidR="009F707C" w:rsidRPr="00761EF3">
        <w:rPr>
          <w:szCs w:val="22"/>
        </w:rPr>
        <w:t>6a16</w:t>
      </w:r>
      <w:r w:rsidR="009F707C" w:rsidRPr="00212D57">
        <w:rPr>
          <w:szCs w:val="22"/>
        </w:rPr>
        <w:t>-</w:t>
      </w:r>
      <w:r w:rsidR="009F707C" w:rsidRPr="00761EF3">
        <w:rPr>
          <w:szCs w:val="22"/>
        </w:rPr>
        <w:t>17</w:t>
      </w:r>
      <w:r w:rsidR="009F707C" w:rsidRPr="00212D57">
        <w:rPr>
          <w:szCs w:val="22"/>
        </w:rPr>
        <w:t>）</w:t>
      </w:r>
      <w:r w:rsidRPr="00212D57">
        <w:rPr>
          <w:szCs w:val="22"/>
        </w:rPr>
        <w:t>：「</w:t>
      </w:r>
      <w:r w:rsidRPr="00212D57">
        <w:rPr>
          <w:rFonts w:eastAsia="標楷體"/>
          <w:szCs w:val="22"/>
        </w:rPr>
        <w:t>經言：</w:t>
      </w:r>
      <w:r w:rsidRPr="00212D57">
        <w:rPr>
          <w:rFonts w:hint="eastAsia"/>
          <w:szCs w:val="22"/>
        </w:rPr>
        <w:t>『</w:t>
      </w:r>
      <w:r w:rsidRPr="00212D57">
        <w:rPr>
          <w:rFonts w:eastAsia="標楷體"/>
          <w:szCs w:val="22"/>
        </w:rPr>
        <w:t>滅非真諦，</w:t>
      </w:r>
      <w:r w:rsidR="00C8381B" w:rsidRPr="00C8381B">
        <w:rPr>
          <w:rFonts w:eastAsia="標楷體" w:hint="eastAsia"/>
          <w:color w:val="FF0000"/>
          <w:szCs w:val="22"/>
          <w:shd w:val="pct15" w:color="auto" w:fill="FFFFFF"/>
        </w:rPr>
        <w:t>*</w:t>
      </w:r>
      <w:r w:rsidRPr="00212D57">
        <w:rPr>
          <w:rFonts w:eastAsia="標楷體"/>
          <w:szCs w:val="22"/>
        </w:rPr>
        <w:t>因滅會真</w:t>
      </w:r>
      <w:r w:rsidRPr="00212D57">
        <w:rPr>
          <w:szCs w:val="22"/>
        </w:rPr>
        <w:t>。</w:t>
      </w:r>
      <w:r w:rsidR="001C34B0" w:rsidRPr="001C34B0">
        <w:rPr>
          <w:rFonts w:eastAsia="標楷體"/>
          <w:color w:val="FF0000"/>
          <w:szCs w:val="22"/>
          <w:highlight w:val="yellow"/>
        </w:rPr>
        <w:t>』</w:t>
      </w:r>
      <w:r w:rsidRPr="00212D57">
        <w:rPr>
          <w:rFonts w:eastAsia="標楷體"/>
          <w:b/>
          <w:bCs/>
          <w:szCs w:val="22"/>
        </w:rPr>
        <w:t>滅尚非真，三諦焉是</w:t>
      </w:r>
      <w:r w:rsidRPr="001C34B0">
        <w:rPr>
          <w:rFonts w:eastAsia="標楷體"/>
          <w:szCs w:val="22"/>
          <w:highlight w:val="yellow"/>
        </w:rPr>
        <w:t>？</w:t>
      </w:r>
      <w:r w:rsidRPr="001C34B0">
        <w:rPr>
          <w:szCs w:val="22"/>
          <w:highlight w:val="yellow"/>
        </w:rPr>
        <w:t>」</w:t>
      </w:r>
    </w:p>
    <w:p w:rsidR="00C8381B" w:rsidRPr="00735A93" w:rsidRDefault="00C8381B" w:rsidP="00C8381B">
      <w:pPr>
        <w:pStyle w:val="a5"/>
        <w:spacing w:line="0" w:lineRule="atLeast"/>
        <w:ind w:leftChars="100" w:left="240"/>
        <w:jc w:val="both"/>
        <w:rPr>
          <w:color w:val="FF0000"/>
          <w:szCs w:val="22"/>
        </w:rPr>
      </w:pPr>
      <w:r w:rsidRPr="00C8381B">
        <w:rPr>
          <w:rFonts w:eastAsia="標楷體" w:hint="eastAsia"/>
          <w:color w:val="FF0000"/>
          <w:szCs w:val="22"/>
          <w:shd w:val="pct15" w:color="auto" w:fill="FFFFFF"/>
        </w:rPr>
        <w:t>*</w:t>
      </w:r>
      <w:r w:rsidRPr="00735A93">
        <w:rPr>
          <w:rFonts w:hint="eastAsia"/>
          <w:color w:val="FF0000"/>
          <w:szCs w:val="22"/>
          <w:highlight w:val="yellow"/>
        </w:rPr>
        <w:t>重編案：意相近者，諸如：</w:t>
      </w:r>
    </w:p>
    <w:p w:rsidR="00C8381B" w:rsidRPr="00C8381B" w:rsidRDefault="00C8381B" w:rsidP="00C8381B">
      <w:pPr>
        <w:pStyle w:val="a5"/>
        <w:spacing w:line="0" w:lineRule="atLeast"/>
        <w:ind w:leftChars="100" w:left="240"/>
        <w:jc w:val="both"/>
        <w:rPr>
          <w:color w:val="FF0000"/>
          <w:szCs w:val="22"/>
          <w:highlight w:val="yellow"/>
        </w:rPr>
      </w:pPr>
      <w:r w:rsidRPr="00C8381B">
        <w:rPr>
          <w:rFonts w:hint="eastAsia"/>
          <w:color w:val="FF0000"/>
          <w:szCs w:val="22"/>
          <w:highlight w:val="yellow"/>
        </w:rPr>
        <w:t>《摩訶般若波羅蜜經》卷</w:t>
      </w:r>
      <w:r w:rsidRPr="00C8381B">
        <w:rPr>
          <w:rFonts w:hint="eastAsia"/>
          <w:color w:val="FF0000"/>
          <w:szCs w:val="22"/>
          <w:highlight w:val="yellow"/>
        </w:rPr>
        <w:t>8</w:t>
      </w:r>
      <w:r w:rsidRPr="00C8381B">
        <w:rPr>
          <w:rFonts w:hint="eastAsia"/>
          <w:color w:val="FF0000"/>
          <w:szCs w:val="22"/>
          <w:highlight w:val="yellow"/>
        </w:rPr>
        <w:t>〈</w:t>
      </w:r>
      <w:r w:rsidRPr="00C8381B">
        <w:rPr>
          <w:rFonts w:hint="eastAsia"/>
          <w:color w:val="FF0000"/>
          <w:szCs w:val="22"/>
          <w:highlight w:val="yellow"/>
        </w:rPr>
        <w:t xml:space="preserve">28 </w:t>
      </w:r>
      <w:r w:rsidRPr="00C8381B">
        <w:rPr>
          <w:rFonts w:hint="eastAsia"/>
          <w:color w:val="FF0000"/>
          <w:szCs w:val="22"/>
          <w:highlight w:val="yellow"/>
        </w:rPr>
        <w:t>幻聽品〉</w:t>
      </w:r>
      <w:r w:rsidRPr="00C8381B">
        <w:rPr>
          <w:color w:val="FF0000"/>
          <w:szCs w:val="22"/>
          <w:highlight w:val="yellow"/>
        </w:rPr>
        <w:t>（大正</w:t>
      </w:r>
      <w:r w:rsidRPr="00C8381B">
        <w:rPr>
          <w:rFonts w:hint="eastAsia"/>
          <w:color w:val="FF0000"/>
          <w:szCs w:val="22"/>
          <w:highlight w:val="yellow"/>
        </w:rPr>
        <w:t>8</w:t>
      </w:r>
      <w:r w:rsidRPr="00C8381B">
        <w:rPr>
          <w:color w:val="FF0000"/>
          <w:szCs w:val="22"/>
          <w:highlight w:val="yellow"/>
        </w:rPr>
        <w:t>，</w:t>
      </w:r>
      <w:r w:rsidRPr="00C8381B">
        <w:rPr>
          <w:rFonts w:hint="eastAsia"/>
          <w:color w:val="FF0000"/>
          <w:szCs w:val="22"/>
          <w:highlight w:val="yellow"/>
        </w:rPr>
        <w:t>276b4-9</w:t>
      </w:r>
      <w:r w:rsidRPr="00C8381B">
        <w:rPr>
          <w:color w:val="FF0000"/>
          <w:szCs w:val="22"/>
          <w:highlight w:val="yellow"/>
        </w:rPr>
        <w:t>）</w:t>
      </w:r>
      <w:r w:rsidRPr="00C8381B">
        <w:rPr>
          <w:rFonts w:hint="eastAsia"/>
          <w:color w:val="FF0000"/>
          <w:szCs w:val="22"/>
          <w:highlight w:val="yellow"/>
        </w:rPr>
        <w:t>：</w:t>
      </w:r>
    </w:p>
    <w:p w:rsidR="00C8381B" w:rsidRPr="00C8381B" w:rsidRDefault="00C8381B" w:rsidP="00C8381B">
      <w:pPr>
        <w:pStyle w:val="a5"/>
        <w:spacing w:line="0" w:lineRule="atLeast"/>
        <w:ind w:leftChars="200" w:left="480"/>
        <w:jc w:val="both"/>
        <w:rPr>
          <w:rFonts w:ascii="標楷體" w:eastAsia="標楷體" w:hAnsi="標楷體"/>
          <w:color w:val="FF0000"/>
          <w:szCs w:val="22"/>
          <w:highlight w:val="yellow"/>
        </w:rPr>
      </w:pPr>
      <w:r w:rsidRPr="00C8381B">
        <w:rPr>
          <w:rFonts w:ascii="標楷體" w:eastAsia="標楷體" w:hAnsi="標楷體" w:hint="eastAsia"/>
          <w:color w:val="FF0000"/>
          <w:szCs w:val="22"/>
          <w:highlight w:val="yellow"/>
        </w:rPr>
        <w:t>爾時，諸天子問須菩提：「汝說『佛道如幻如夢』；汝說『涅槃亦復如幻如夢』耶？」</w:t>
      </w:r>
    </w:p>
    <w:p w:rsidR="00C8381B" w:rsidRPr="00C8381B" w:rsidRDefault="00C8381B" w:rsidP="00C8381B">
      <w:pPr>
        <w:pStyle w:val="a5"/>
        <w:spacing w:line="0" w:lineRule="atLeast"/>
        <w:ind w:leftChars="200" w:left="480"/>
        <w:jc w:val="both"/>
        <w:rPr>
          <w:rFonts w:ascii="標楷體" w:eastAsia="標楷體" w:hAnsi="標楷體"/>
          <w:color w:val="FF0000"/>
          <w:szCs w:val="22"/>
          <w:highlight w:val="yellow"/>
        </w:rPr>
      </w:pPr>
      <w:r w:rsidRPr="00C8381B">
        <w:rPr>
          <w:rFonts w:ascii="標楷體" w:eastAsia="標楷體" w:hAnsi="標楷體" w:hint="eastAsia"/>
          <w:color w:val="FF0000"/>
          <w:szCs w:val="22"/>
          <w:highlight w:val="yellow"/>
        </w:rPr>
        <w:t>須菩提語諸天子：「我說『佛道如幻如夢』，我說『涅槃亦如幻如夢』；若當有法勝於涅槃者，我說亦復如幻如夢。何以故？諸天子！是幻</w:t>
      </w:r>
      <w:r w:rsidR="00B844FE">
        <w:rPr>
          <w:rFonts w:ascii="標楷體" w:eastAsia="標楷體" w:hAnsi="標楷體" w:hint="eastAsia"/>
          <w:color w:val="FF0000"/>
          <w:szCs w:val="22"/>
          <w:highlight w:val="yellow"/>
        </w:rPr>
        <w:t>.</w:t>
      </w:r>
      <w:r w:rsidRPr="00C8381B">
        <w:rPr>
          <w:rFonts w:ascii="標楷體" w:eastAsia="標楷體" w:hAnsi="標楷體" w:hint="eastAsia"/>
          <w:color w:val="FF0000"/>
          <w:szCs w:val="22"/>
          <w:highlight w:val="yellow"/>
        </w:rPr>
        <w:t>夢、涅槃不二不別。」</w:t>
      </w:r>
    </w:p>
    <w:p w:rsidR="00C8381B" w:rsidRPr="00C8381B" w:rsidRDefault="00C8381B" w:rsidP="00C8381B">
      <w:pPr>
        <w:pStyle w:val="a5"/>
        <w:spacing w:line="0" w:lineRule="atLeast"/>
        <w:ind w:leftChars="100" w:left="240"/>
        <w:jc w:val="both"/>
        <w:rPr>
          <w:color w:val="FF0000"/>
          <w:szCs w:val="22"/>
          <w:highlight w:val="yellow"/>
        </w:rPr>
      </w:pPr>
      <w:r w:rsidRPr="00C8381B">
        <w:rPr>
          <w:rFonts w:hint="eastAsia"/>
          <w:color w:val="FF0000"/>
          <w:szCs w:val="22"/>
          <w:highlight w:val="yellow"/>
        </w:rPr>
        <w:t>《摩訶般若波羅蜜經》卷</w:t>
      </w:r>
      <w:r w:rsidRPr="00C8381B">
        <w:rPr>
          <w:rFonts w:hint="eastAsia"/>
          <w:color w:val="FF0000"/>
          <w:szCs w:val="22"/>
          <w:highlight w:val="yellow"/>
        </w:rPr>
        <w:t>26</w:t>
      </w:r>
      <w:r w:rsidRPr="00C8381B">
        <w:rPr>
          <w:rFonts w:hint="eastAsia"/>
          <w:color w:val="FF0000"/>
          <w:szCs w:val="22"/>
          <w:highlight w:val="yellow"/>
        </w:rPr>
        <w:t>〈</w:t>
      </w:r>
      <w:r w:rsidRPr="00C8381B">
        <w:rPr>
          <w:rFonts w:hint="eastAsia"/>
          <w:color w:val="FF0000"/>
          <w:szCs w:val="22"/>
          <w:highlight w:val="yellow"/>
        </w:rPr>
        <w:t xml:space="preserve">87 </w:t>
      </w:r>
      <w:r w:rsidRPr="00C8381B">
        <w:rPr>
          <w:rFonts w:hint="eastAsia"/>
          <w:color w:val="FF0000"/>
          <w:szCs w:val="22"/>
          <w:highlight w:val="yellow"/>
        </w:rPr>
        <w:t>如化品〉</w:t>
      </w:r>
      <w:r w:rsidRPr="00C8381B">
        <w:rPr>
          <w:color w:val="FF0000"/>
          <w:szCs w:val="22"/>
          <w:highlight w:val="yellow"/>
        </w:rPr>
        <w:t>（大正</w:t>
      </w:r>
      <w:r w:rsidRPr="00C8381B">
        <w:rPr>
          <w:rFonts w:hint="eastAsia"/>
          <w:color w:val="FF0000"/>
          <w:szCs w:val="22"/>
          <w:highlight w:val="yellow"/>
        </w:rPr>
        <w:t>8</w:t>
      </w:r>
      <w:r w:rsidRPr="00C8381B">
        <w:rPr>
          <w:color w:val="FF0000"/>
          <w:szCs w:val="22"/>
          <w:highlight w:val="yellow"/>
        </w:rPr>
        <w:t>，</w:t>
      </w:r>
      <w:r w:rsidRPr="00C8381B">
        <w:rPr>
          <w:rFonts w:hint="eastAsia"/>
          <w:color w:val="FF0000"/>
          <w:szCs w:val="22"/>
          <w:highlight w:val="yellow"/>
        </w:rPr>
        <w:t>416a9-14</w:t>
      </w:r>
      <w:r w:rsidRPr="00C8381B">
        <w:rPr>
          <w:color w:val="FF0000"/>
          <w:szCs w:val="22"/>
          <w:highlight w:val="yellow"/>
        </w:rPr>
        <w:t>）</w:t>
      </w:r>
      <w:r w:rsidRPr="00C8381B">
        <w:rPr>
          <w:rFonts w:hint="eastAsia"/>
          <w:color w:val="FF0000"/>
          <w:szCs w:val="22"/>
          <w:highlight w:val="yellow"/>
        </w:rPr>
        <w:t>：</w:t>
      </w:r>
    </w:p>
    <w:p w:rsidR="00C8381B" w:rsidRPr="00C8381B" w:rsidRDefault="00C8381B" w:rsidP="00C8381B">
      <w:pPr>
        <w:pStyle w:val="a5"/>
        <w:spacing w:line="0" w:lineRule="atLeast"/>
        <w:ind w:leftChars="200" w:left="480"/>
        <w:jc w:val="both"/>
        <w:rPr>
          <w:rFonts w:ascii="標楷體" w:eastAsia="標楷體" w:hAnsi="標楷體"/>
          <w:szCs w:val="22"/>
        </w:rPr>
      </w:pPr>
      <w:r w:rsidRPr="00C8381B">
        <w:rPr>
          <w:rFonts w:ascii="標楷體" w:eastAsia="標楷體" w:hAnsi="標楷體" w:hint="eastAsia"/>
          <w:color w:val="FF0000"/>
          <w:szCs w:val="22"/>
          <w:highlight w:val="yellow"/>
        </w:rPr>
        <w:t>佛告須菩提：「如是，如是！諸法平等，非聲聞所作，乃至性空即是涅槃。若新發意菩薩聞是『一切法畢竟性空』乃至『涅槃亦皆如化』，心則驚怖。為是新發意菩薩故，分別『生滅者如化，不生不滅者不如化』。」</w:t>
      </w:r>
    </w:p>
  </w:footnote>
  <w:footnote w:id="216">
    <w:p w:rsidR="00157EF6" w:rsidRPr="00212D57" w:rsidRDefault="00157EF6" w:rsidP="00006BC3">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w:t>
      </w:r>
      <w:r w:rsidRPr="00212D57">
        <w:rPr>
          <w:spacing w:val="2"/>
          <w:szCs w:val="22"/>
        </w:rPr>
        <w:t>《異部宗輪論</w:t>
      </w:r>
      <w:r w:rsidRPr="001C34B0">
        <w:rPr>
          <w:spacing w:val="2"/>
          <w:szCs w:val="22"/>
          <w:highlight w:val="yellow"/>
        </w:rPr>
        <w:t>》</w:t>
      </w:r>
      <w:r w:rsidR="009F707C" w:rsidRPr="001C34B0">
        <w:rPr>
          <w:szCs w:val="22"/>
          <w:highlight w:val="yellow"/>
        </w:rPr>
        <w:t>（</w:t>
      </w:r>
      <w:r w:rsidR="009F707C" w:rsidRPr="00212D57">
        <w:rPr>
          <w:szCs w:val="22"/>
        </w:rPr>
        <w:t>大正</w:t>
      </w:r>
      <w:r w:rsidR="009F707C" w:rsidRPr="00761EF3">
        <w:rPr>
          <w:szCs w:val="22"/>
        </w:rPr>
        <w:t>49</w:t>
      </w:r>
      <w:r w:rsidR="009F707C" w:rsidRPr="00212D57">
        <w:rPr>
          <w:szCs w:val="22"/>
        </w:rPr>
        <w:t>，</w:t>
      </w:r>
      <w:r w:rsidR="009F707C" w:rsidRPr="00761EF3">
        <w:rPr>
          <w:szCs w:val="22"/>
        </w:rPr>
        <w:t>15b25</w:t>
      </w:r>
      <w:r w:rsidR="009F707C" w:rsidRPr="00212D57">
        <w:rPr>
          <w:szCs w:val="22"/>
        </w:rPr>
        <w:t>-</w:t>
      </w:r>
      <w:r w:rsidR="009F707C" w:rsidRPr="00761EF3">
        <w:rPr>
          <w:szCs w:val="22"/>
        </w:rPr>
        <w:t>c27</w:t>
      </w:r>
      <w:r w:rsidR="009F707C" w:rsidRPr="00212D57">
        <w:rPr>
          <w:szCs w:val="22"/>
        </w:rPr>
        <w:t>）</w:t>
      </w:r>
      <w:r w:rsidRPr="00212D57">
        <w:rPr>
          <w:spacing w:val="2"/>
          <w:szCs w:val="22"/>
        </w:rPr>
        <w:t>：「</w:t>
      </w:r>
      <w:r w:rsidRPr="00212D57">
        <w:rPr>
          <w:rFonts w:eastAsia="標楷體"/>
          <w:spacing w:val="2"/>
          <w:szCs w:val="22"/>
        </w:rPr>
        <w:t>大眾部、一說部、說出世部、雞胤部，</w:t>
      </w:r>
      <w:r w:rsidRPr="006D0171">
        <w:rPr>
          <w:rFonts w:ascii="標楷體" w:eastAsia="標楷體" w:hAnsi="標楷體"/>
          <w:spacing w:val="2"/>
          <w:szCs w:val="22"/>
          <w:shd w:val="pct15" w:color="auto" w:fill="FFFFFF"/>
        </w:rPr>
        <w:t>……</w:t>
      </w:r>
      <w:r w:rsidRPr="00212D57">
        <w:rPr>
          <w:rFonts w:ascii="標楷體" w:eastAsia="標楷體" w:hAnsi="標楷體"/>
          <w:spacing w:val="2"/>
          <w:szCs w:val="22"/>
        </w:rPr>
        <w:t>四部同說：</w:t>
      </w:r>
      <w:r w:rsidRPr="006D0171">
        <w:rPr>
          <w:rFonts w:ascii="標楷體" w:eastAsia="標楷體" w:hAnsi="標楷體"/>
          <w:spacing w:val="2"/>
          <w:szCs w:val="22"/>
          <w:shd w:val="pct15" w:color="auto" w:fill="FFFFFF"/>
        </w:rPr>
        <w:t>……</w:t>
      </w:r>
      <w:r w:rsidRPr="00212D57">
        <w:rPr>
          <w:rFonts w:eastAsia="標楷體"/>
          <w:szCs w:val="22"/>
        </w:rPr>
        <w:t>無為法有九種：一、擇滅，二、非擇滅，三、虛空，四、空無邊處，五、識無邊處，六、無所有處，七、非想非非想處，八、緣起支性，九、聖道支性。</w:t>
      </w:r>
      <w:r w:rsidRPr="00212D57">
        <w:rPr>
          <w:szCs w:val="22"/>
        </w:rPr>
        <w:t>」</w:t>
      </w:r>
    </w:p>
    <w:p w:rsidR="00157EF6" w:rsidRPr="00212D57" w:rsidRDefault="00157EF6" w:rsidP="00006BC3">
      <w:pPr>
        <w:pStyle w:val="a5"/>
        <w:ind w:leftChars="105" w:left="791" w:hangingChars="245" w:hanging="539"/>
        <w:jc w:val="both"/>
        <w:rPr>
          <w:szCs w:val="22"/>
        </w:rPr>
      </w:pPr>
      <w:r w:rsidRPr="00212D57">
        <w:rPr>
          <w:szCs w:val="22"/>
        </w:rPr>
        <w:t>（</w:t>
      </w:r>
      <w:r w:rsidRPr="00761EF3">
        <w:rPr>
          <w:szCs w:val="22"/>
        </w:rPr>
        <w:t>2</w:t>
      </w:r>
      <w:r w:rsidRPr="00212D57">
        <w:rPr>
          <w:szCs w:val="22"/>
        </w:rPr>
        <w:t>）</w:t>
      </w:r>
      <w:r w:rsidRPr="00212D57">
        <w:rPr>
          <w:spacing w:val="-4"/>
          <w:szCs w:val="22"/>
        </w:rPr>
        <w:t>印順</w:t>
      </w:r>
      <w:r w:rsidRPr="00212D57">
        <w:rPr>
          <w:rStyle w:val="byline"/>
          <w:rFonts w:hAnsi="新細明體"/>
          <w:color w:val="auto"/>
          <w:spacing w:val="-4"/>
          <w:sz w:val="22"/>
          <w:szCs w:val="22"/>
        </w:rPr>
        <w:t>法師</w:t>
      </w:r>
      <w:r w:rsidRPr="00212D57">
        <w:rPr>
          <w:spacing w:val="-4"/>
          <w:szCs w:val="22"/>
        </w:rPr>
        <w:t>，《印度佛教思想史》，第</w:t>
      </w:r>
      <w:r w:rsidRPr="00761EF3">
        <w:rPr>
          <w:rFonts w:hint="eastAsia"/>
          <w:spacing w:val="-4"/>
          <w:szCs w:val="22"/>
        </w:rPr>
        <w:t>2</w:t>
      </w:r>
      <w:r w:rsidRPr="00212D57">
        <w:rPr>
          <w:spacing w:val="-4"/>
          <w:szCs w:val="22"/>
        </w:rPr>
        <w:t>章</w:t>
      </w:r>
      <w:r w:rsidRPr="00212D57">
        <w:rPr>
          <w:rFonts w:ascii="新細明體" w:hAnsi="新細明體" w:cs="新細明體" w:hint="eastAsia"/>
          <w:spacing w:val="-4"/>
          <w:szCs w:val="22"/>
        </w:rPr>
        <w:t>，</w:t>
      </w:r>
      <w:r w:rsidRPr="00212D57">
        <w:rPr>
          <w:spacing w:val="-4"/>
          <w:szCs w:val="22"/>
        </w:rPr>
        <w:t>第</w:t>
      </w:r>
      <w:r w:rsidRPr="00761EF3">
        <w:rPr>
          <w:rFonts w:hint="eastAsia"/>
          <w:spacing w:val="-4"/>
          <w:szCs w:val="22"/>
        </w:rPr>
        <w:t>3</w:t>
      </w:r>
      <w:r w:rsidRPr="00212D57">
        <w:rPr>
          <w:spacing w:val="-4"/>
          <w:szCs w:val="22"/>
        </w:rPr>
        <w:t>節〈部派思想泛論〉，</w:t>
      </w:r>
      <w:r w:rsidRPr="00761EF3">
        <w:rPr>
          <w:spacing w:val="-4"/>
          <w:szCs w:val="22"/>
        </w:rPr>
        <w:t>p</w:t>
      </w:r>
      <w:r w:rsidRPr="00212D57">
        <w:rPr>
          <w:spacing w:val="-4"/>
          <w:szCs w:val="22"/>
        </w:rPr>
        <w:t>.</w:t>
      </w:r>
      <w:r w:rsidRPr="00761EF3">
        <w:rPr>
          <w:spacing w:val="-4"/>
          <w:szCs w:val="22"/>
        </w:rPr>
        <w:t>66</w:t>
      </w:r>
      <w:r w:rsidRPr="00212D57">
        <w:rPr>
          <w:spacing w:val="-4"/>
          <w:szCs w:val="22"/>
        </w:rPr>
        <w:t>：「</w:t>
      </w:r>
      <w:r w:rsidRPr="00212D57">
        <w:rPr>
          <w:rFonts w:eastAsia="標楷體"/>
          <w:spacing w:val="-4"/>
          <w:szCs w:val="22"/>
        </w:rPr>
        <w:t>大</w:t>
      </w:r>
      <w:r w:rsidRPr="00212D57">
        <w:rPr>
          <w:rFonts w:eastAsia="標楷體"/>
          <w:szCs w:val="22"/>
        </w:rPr>
        <w:t>眾系及（流行印度的）分別說系，立種種無為，都是在推究永恆不變的理性；傾向於形而上的理性探究。</w:t>
      </w:r>
      <w:r w:rsidRPr="00212D57">
        <w:rPr>
          <w:szCs w:val="22"/>
        </w:rPr>
        <w:t>」</w:t>
      </w:r>
    </w:p>
  </w:footnote>
  <w:footnote w:id="217">
    <w:p w:rsidR="00562AE7" w:rsidRPr="00562AE7" w:rsidRDefault="00562AE7" w:rsidP="00562AE7">
      <w:pPr>
        <w:pStyle w:val="a5"/>
        <w:spacing w:line="0" w:lineRule="atLeast"/>
        <w:ind w:left="253" w:hangingChars="115" w:hanging="253"/>
        <w:jc w:val="both"/>
        <w:rPr>
          <w:color w:val="FF0000"/>
          <w:szCs w:val="22"/>
          <w:highlight w:val="yellow"/>
        </w:rPr>
      </w:pPr>
      <w:r w:rsidRPr="00562AE7">
        <w:rPr>
          <w:rStyle w:val="a6"/>
          <w:color w:val="FF0000"/>
          <w:szCs w:val="22"/>
          <w:highlight w:val="yellow"/>
        </w:rPr>
        <w:footnoteRef/>
      </w:r>
      <w:r>
        <w:rPr>
          <w:rFonts w:eastAsia="標楷體" w:hint="eastAsia"/>
          <w:szCs w:val="22"/>
        </w:rPr>
        <w:t xml:space="preserve"> </w:t>
      </w:r>
      <w:r w:rsidRPr="00562AE7">
        <w:rPr>
          <w:rFonts w:hint="eastAsia"/>
          <w:color w:val="FF0000"/>
          <w:szCs w:val="22"/>
          <w:highlight w:val="yellow"/>
        </w:rPr>
        <w:t>《大般若波羅蜜多經》（第二分）卷</w:t>
      </w:r>
      <w:r w:rsidRPr="00562AE7">
        <w:rPr>
          <w:rFonts w:hint="eastAsia"/>
          <w:color w:val="FF0000"/>
          <w:szCs w:val="22"/>
          <w:highlight w:val="yellow"/>
        </w:rPr>
        <w:t>415</w:t>
      </w:r>
      <w:r w:rsidRPr="00562AE7">
        <w:rPr>
          <w:rFonts w:hint="eastAsia"/>
          <w:color w:val="FF0000"/>
          <w:szCs w:val="22"/>
          <w:highlight w:val="yellow"/>
        </w:rPr>
        <w:t>〈</w:t>
      </w:r>
      <w:r w:rsidRPr="00562AE7">
        <w:rPr>
          <w:rFonts w:hint="eastAsia"/>
          <w:color w:val="FF0000"/>
          <w:szCs w:val="22"/>
          <w:highlight w:val="yellow"/>
        </w:rPr>
        <w:t xml:space="preserve">17 </w:t>
      </w:r>
      <w:r w:rsidRPr="00562AE7">
        <w:rPr>
          <w:rFonts w:hint="eastAsia"/>
          <w:color w:val="FF0000"/>
          <w:szCs w:val="22"/>
          <w:highlight w:val="yellow"/>
        </w:rPr>
        <w:t>念住等品〉</w:t>
      </w:r>
      <w:r w:rsidRPr="00562AE7">
        <w:rPr>
          <w:color w:val="FF0000"/>
          <w:szCs w:val="22"/>
          <w:highlight w:val="yellow"/>
        </w:rPr>
        <w:t>（大正</w:t>
      </w:r>
      <w:r w:rsidRPr="00562AE7">
        <w:rPr>
          <w:rFonts w:hint="eastAsia"/>
          <w:color w:val="FF0000"/>
          <w:szCs w:val="22"/>
          <w:highlight w:val="yellow"/>
        </w:rPr>
        <w:t>7</w:t>
      </w:r>
      <w:r w:rsidRPr="00562AE7">
        <w:rPr>
          <w:color w:val="FF0000"/>
          <w:szCs w:val="22"/>
          <w:highlight w:val="yellow"/>
        </w:rPr>
        <w:t>，</w:t>
      </w:r>
      <w:r w:rsidRPr="00562AE7">
        <w:rPr>
          <w:rFonts w:hint="eastAsia"/>
          <w:color w:val="FF0000"/>
          <w:szCs w:val="22"/>
          <w:highlight w:val="yellow"/>
        </w:rPr>
        <w:t>81c12-13</w:t>
      </w:r>
      <w:r w:rsidRPr="00562AE7">
        <w:rPr>
          <w:color w:val="FF0000"/>
          <w:szCs w:val="22"/>
          <w:highlight w:val="yellow"/>
        </w:rPr>
        <w:t>）：</w:t>
      </w:r>
    </w:p>
    <w:p w:rsidR="00562AE7" w:rsidRPr="00212D57" w:rsidRDefault="00562AE7" w:rsidP="00562AE7">
      <w:pPr>
        <w:pStyle w:val="a5"/>
        <w:ind w:leftChars="105" w:left="912" w:hangingChars="300" w:hanging="660"/>
        <w:jc w:val="both"/>
        <w:rPr>
          <w:szCs w:val="22"/>
        </w:rPr>
      </w:pPr>
      <w:r w:rsidRPr="00562AE7">
        <w:rPr>
          <w:rFonts w:eastAsia="標楷體" w:hint="eastAsia"/>
          <w:color w:val="FF0000"/>
          <w:szCs w:val="22"/>
          <w:highlight w:val="yellow"/>
        </w:rPr>
        <w:t>入「</w:t>
      </w:r>
      <w:r w:rsidRPr="00562AE7">
        <w:rPr>
          <w:rFonts w:ascii="新細明體-ExtB" w:eastAsia="新細明體-ExtB" w:hAnsi="新細明體-ExtB" w:cs="新細明體-ExtB" w:hint="eastAsia"/>
          <w:color w:val="FF0000"/>
          <w:szCs w:val="22"/>
          <w:highlight w:val="yellow"/>
        </w:rPr>
        <w:t>𧙃</w:t>
      </w:r>
      <w:r w:rsidRPr="00562AE7">
        <w:rPr>
          <w:rFonts w:eastAsia="標楷體" w:hint="eastAsia"/>
          <w:color w:val="FF0000"/>
          <w:szCs w:val="22"/>
          <w:highlight w:val="yellow"/>
        </w:rPr>
        <w:t>字門」，悟一切法本不生故。</w:t>
      </w:r>
    </w:p>
  </w:footnote>
  <w:footnote w:id="218">
    <w:p w:rsidR="00157EF6" w:rsidRPr="00212D57" w:rsidRDefault="00157EF6" w:rsidP="00E9224A">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《大智度論》卷</w:t>
      </w:r>
      <w:r w:rsidRPr="00761EF3">
        <w:rPr>
          <w:szCs w:val="22"/>
        </w:rPr>
        <w:t>22</w:t>
      </w:r>
      <w:r w:rsidRPr="00212D57">
        <w:rPr>
          <w:szCs w:val="22"/>
        </w:rPr>
        <w:t>（大正</w:t>
      </w:r>
      <w:r w:rsidRPr="00761EF3">
        <w:rPr>
          <w:szCs w:val="22"/>
        </w:rPr>
        <w:t>25</w:t>
      </w:r>
      <w:r w:rsidRPr="00212D57">
        <w:rPr>
          <w:szCs w:val="22"/>
        </w:rPr>
        <w:t>，</w:t>
      </w:r>
      <w:r w:rsidRPr="00761EF3">
        <w:rPr>
          <w:szCs w:val="22"/>
        </w:rPr>
        <w:t>223b3</w:t>
      </w:r>
      <w:r w:rsidRPr="00212D57">
        <w:rPr>
          <w:szCs w:val="22"/>
        </w:rPr>
        <w:t>-</w:t>
      </w:r>
      <w:r w:rsidRPr="00761EF3">
        <w:rPr>
          <w:szCs w:val="22"/>
        </w:rPr>
        <w:t>12</w:t>
      </w:r>
      <w:r w:rsidRPr="00212D57">
        <w:rPr>
          <w:szCs w:val="22"/>
        </w:rPr>
        <w:t>）：</w:t>
      </w:r>
    </w:p>
    <w:p w:rsidR="00157EF6" w:rsidRPr="00212D57" w:rsidRDefault="00157EF6" w:rsidP="00E9224A">
      <w:pPr>
        <w:pStyle w:val="a5"/>
        <w:ind w:leftChars="105" w:left="912" w:hangingChars="300" w:hanging="660"/>
        <w:jc w:val="both"/>
        <w:rPr>
          <w:rFonts w:eastAsia="標楷體"/>
          <w:szCs w:val="22"/>
        </w:rPr>
      </w:pPr>
      <w:r w:rsidRPr="00212D57">
        <w:rPr>
          <w:rFonts w:eastAsia="標楷體" w:hint="eastAsia"/>
          <w:szCs w:val="22"/>
        </w:rPr>
        <w:t>問</w:t>
      </w:r>
      <w:r w:rsidRPr="00212D57">
        <w:rPr>
          <w:rFonts w:eastAsia="標楷體"/>
          <w:szCs w:val="22"/>
        </w:rPr>
        <w:t>曰：佛說聲聞法有四種實，摩訶衍中有一實，今何以故說三實？</w:t>
      </w:r>
    </w:p>
    <w:p w:rsidR="00157EF6" w:rsidRPr="00212D57" w:rsidRDefault="00157EF6" w:rsidP="001C34B0">
      <w:pPr>
        <w:pStyle w:val="a5"/>
        <w:ind w:leftChars="105" w:left="912" w:hangingChars="300" w:hanging="660"/>
        <w:jc w:val="both"/>
        <w:rPr>
          <w:rFonts w:eastAsia="標楷體"/>
          <w:szCs w:val="22"/>
        </w:rPr>
      </w:pPr>
      <w:r w:rsidRPr="00212D57">
        <w:rPr>
          <w:rFonts w:eastAsia="標楷體"/>
          <w:szCs w:val="22"/>
        </w:rPr>
        <w:t>答曰：</w:t>
      </w:r>
      <w:r w:rsidRPr="00212D57">
        <w:rPr>
          <w:rFonts w:eastAsia="標楷體"/>
          <w:spacing w:val="-4"/>
          <w:szCs w:val="22"/>
        </w:rPr>
        <w:t>佛說三種實法印，廣說則四種，略說則一種。</w:t>
      </w:r>
      <w:r w:rsidR="001C34B0" w:rsidRPr="001C34B0">
        <w:rPr>
          <w:rFonts w:eastAsia="標楷體" w:hint="eastAsia"/>
          <w:color w:val="FF0000"/>
          <w:spacing w:val="-4"/>
          <w:szCs w:val="22"/>
          <w:highlight w:val="yellow"/>
        </w:rPr>
        <w:t>「</w:t>
      </w:r>
      <w:r w:rsidRPr="00212D57">
        <w:rPr>
          <w:rFonts w:eastAsia="標楷體"/>
          <w:spacing w:val="-4"/>
          <w:szCs w:val="22"/>
        </w:rPr>
        <w:t>無常</w:t>
      </w:r>
      <w:r w:rsidR="001C34B0">
        <w:rPr>
          <w:rFonts w:eastAsia="標楷體" w:hint="eastAsia"/>
          <w:color w:val="FF0000"/>
          <w:spacing w:val="-4"/>
          <w:szCs w:val="22"/>
          <w:highlight w:val="yellow"/>
        </w:rPr>
        <w:t>」</w:t>
      </w:r>
      <w:r w:rsidRPr="00212D57">
        <w:rPr>
          <w:rFonts w:eastAsia="標楷體"/>
          <w:spacing w:val="-4"/>
          <w:szCs w:val="22"/>
        </w:rPr>
        <w:t>即是</w:t>
      </w:r>
      <w:r w:rsidR="001C34B0">
        <w:rPr>
          <w:rFonts w:eastAsia="標楷體" w:hint="eastAsia"/>
          <w:color w:val="FF0000"/>
          <w:spacing w:val="-4"/>
          <w:szCs w:val="22"/>
          <w:highlight w:val="yellow"/>
        </w:rPr>
        <w:t>「</w:t>
      </w:r>
      <w:r w:rsidRPr="00212D57">
        <w:rPr>
          <w:rFonts w:eastAsia="標楷體"/>
          <w:spacing w:val="-4"/>
          <w:szCs w:val="22"/>
        </w:rPr>
        <w:t>苦諦、集諦、道諦</w:t>
      </w:r>
      <w:r w:rsidR="001C34B0">
        <w:rPr>
          <w:rFonts w:eastAsia="標楷體" w:hint="eastAsia"/>
          <w:color w:val="FF0000"/>
          <w:spacing w:val="-4"/>
          <w:szCs w:val="22"/>
          <w:highlight w:val="yellow"/>
        </w:rPr>
        <w:t>」</w:t>
      </w:r>
      <w:r w:rsidRPr="00212D57">
        <w:rPr>
          <w:rFonts w:eastAsia="標楷體"/>
          <w:spacing w:val="-4"/>
          <w:szCs w:val="22"/>
        </w:rPr>
        <w:t>；</w:t>
      </w:r>
      <w:r w:rsidRPr="00212D57">
        <w:rPr>
          <w:rFonts w:eastAsia="標楷體"/>
          <w:szCs w:val="22"/>
        </w:rPr>
        <w:t>說</w:t>
      </w:r>
      <w:r w:rsidR="001C34B0">
        <w:rPr>
          <w:rFonts w:eastAsia="標楷體" w:hint="eastAsia"/>
          <w:color w:val="FF0000"/>
          <w:spacing w:val="-4"/>
          <w:szCs w:val="22"/>
          <w:highlight w:val="yellow"/>
        </w:rPr>
        <w:t>「</w:t>
      </w:r>
      <w:r w:rsidRPr="00212D57">
        <w:rPr>
          <w:rFonts w:eastAsia="標楷體"/>
          <w:szCs w:val="22"/>
        </w:rPr>
        <w:t>無我</w:t>
      </w:r>
      <w:r w:rsidR="001C34B0">
        <w:rPr>
          <w:rFonts w:eastAsia="標楷體" w:hint="eastAsia"/>
          <w:color w:val="FF0000"/>
          <w:spacing w:val="-4"/>
          <w:szCs w:val="22"/>
          <w:highlight w:val="yellow"/>
        </w:rPr>
        <w:t>」</w:t>
      </w:r>
      <w:r w:rsidR="003A4B1B">
        <w:rPr>
          <w:rFonts w:ascii="標楷體" w:eastAsia="標楷體" w:hAnsi="標楷體" w:hint="eastAsia"/>
          <w:color w:val="FF0000"/>
          <w:kern w:val="0"/>
          <w:highlight w:val="yellow"/>
        </w:rPr>
        <w:t>，</w:t>
      </w:r>
      <w:r w:rsidRPr="00212D57">
        <w:rPr>
          <w:rFonts w:eastAsia="標楷體"/>
          <w:szCs w:val="22"/>
        </w:rPr>
        <w:t>則</w:t>
      </w:r>
      <w:r w:rsidR="001C34B0">
        <w:rPr>
          <w:rFonts w:eastAsia="標楷體" w:hint="eastAsia"/>
          <w:color w:val="FF0000"/>
          <w:spacing w:val="-4"/>
          <w:szCs w:val="22"/>
          <w:highlight w:val="yellow"/>
        </w:rPr>
        <w:t>「</w:t>
      </w:r>
      <w:r w:rsidRPr="00212D57">
        <w:rPr>
          <w:rFonts w:eastAsia="標楷體"/>
          <w:szCs w:val="22"/>
        </w:rPr>
        <w:t>一切法</w:t>
      </w:r>
      <w:r w:rsidR="001C34B0">
        <w:rPr>
          <w:rFonts w:eastAsia="標楷體" w:hint="eastAsia"/>
          <w:color w:val="FF0000"/>
          <w:spacing w:val="-4"/>
          <w:szCs w:val="22"/>
          <w:highlight w:val="yellow"/>
        </w:rPr>
        <w:t>」</w:t>
      </w:r>
      <w:r w:rsidRPr="00212D57">
        <w:rPr>
          <w:rFonts w:eastAsia="標楷體"/>
          <w:szCs w:val="22"/>
        </w:rPr>
        <w:t>；說</w:t>
      </w:r>
      <w:r w:rsidR="001C34B0">
        <w:rPr>
          <w:rFonts w:eastAsia="標楷體" w:hint="eastAsia"/>
          <w:color w:val="FF0000"/>
          <w:spacing w:val="-4"/>
          <w:szCs w:val="22"/>
          <w:highlight w:val="yellow"/>
        </w:rPr>
        <w:t>「</w:t>
      </w:r>
      <w:r w:rsidRPr="00212D57">
        <w:rPr>
          <w:rFonts w:eastAsia="標楷體"/>
          <w:szCs w:val="22"/>
        </w:rPr>
        <w:t>寂滅涅槃</w:t>
      </w:r>
      <w:r w:rsidR="001C34B0">
        <w:rPr>
          <w:rFonts w:eastAsia="標楷體" w:hint="eastAsia"/>
          <w:color w:val="FF0000"/>
          <w:spacing w:val="-4"/>
          <w:szCs w:val="22"/>
          <w:highlight w:val="yellow"/>
        </w:rPr>
        <w:t>」</w:t>
      </w:r>
      <w:r w:rsidR="003A4B1B">
        <w:rPr>
          <w:rFonts w:ascii="標楷體" w:eastAsia="標楷體" w:hAnsi="標楷體" w:hint="eastAsia"/>
          <w:color w:val="FF0000"/>
          <w:kern w:val="0"/>
          <w:highlight w:val="yellow"/>
        </w:rPr>
        <w:t>，</w:t>
      </w:r>
      <w:r w:rsidRPr="00212D57">
        <w:rPr>
          <w:rFonts w:eastAsia="標楷體"/>
          <w:szCs w:val="22"/>
        </w:rPr>
        <w:t>即是</w:t>
      </w:r>
      <w:r w:rsidR="001C34B0">
        <w:rPr>
          <w:rFonts w:eastAsia="標楷體" w:hint="eastAsia"/>
          <w:color w:val="FF0000"/>
          <w:spacing w:val="-4"/>
          <w:szCs w:val="22"/>
          <w:highlight w:val="yellow"/>
        </w:rPr>
        <w:t>「</w:t>
      </w:r>
      <w:r w:rsidRPr="00212D57">
        <w:rPr>
          <w:rFonts w:eastAsia="標楷體"/>
          <w:szCs w:val="22"/>
        </w:rPr>
        <w:t>盡諦</w:t>
      </w:r>
      <w:r w:rsidR="001C34B0">
        <w:rPr>
          <w:rFonts w:eastAsia="標楷體" w:hint="eastAsia"/>
          <w:color w:val="FF0000"/>
          <w:spacing w:val="-4"/>
          <w:szCs w:val="22"/>
          <w:highlight w:val="yellow"/>
        </w:rPr>
        <w:t>」</w:t>
      </w:r>
      <w:r w:rsidRPr="00212D57">
        <w:rPr>
          <w:rFonts w:eastAsia="標楷體"/>
          <w:szCs w:val="22"/>
        </w:rPr>
        <w:t>。</w:t>
      </w:r>
    </w:p>
    <w:p w:rsidR="00157EF6" w:rsidRPr="00212D57" w:rsidRDefault="00157EF6" w:rsidP="00E9224A">
      <w:pPr>
        <w:pStyle w:val="a5"/>
        <w:ind w:leftChars="380" w:left="912"/>
        <w:jc w:val="both"/>
        <w:rPr>
          <w:szCs w:val="22"/>
        </w:rPr>
      </w:pPr>
      <w:r w:rsidRPr="00212D57">
        <w:rPr>
          <w:rFonts w:eastAsia="標楷體"/>
          <w:szCs w:val="22"/>
        </w:rPr>
        <w:t>復次，</w:t>
      </w:r>
      <w:r w:rsidRPr="00212D57">
        <w:rPr>
          <w:rFonts w:eastAsia="標楷體"/>
          <w:b/>
          <w:szCs w:val="22"/>
        </w:rPr>
        <w:t>有為法</w:t>
      </w:r>
      <w:r w:rsidR="001C34B0" w:rsidRPr="001C34B0">
        <w:rPr>
          <w:rFonts w:eastAsia="標楷體" w:hint="eastAsia"/>
          <w:b/>
          <w:color w:val="FF0000"/>
          <w:szCs w:val="22"/>
          <w:highlight w:val="yellow"/>
        </w:rPr>
        <w:t>──</w:t>
      </w:r>
      <w:r w:rsidR="001C34B0">
        <w:rPr>
          <w:rFonts w:eastAsia="標楷體" w:hint="eastAsia"/>
          <w:color w:val="FF0000"/>
          <w:spacing w:val="-4"/>
          <w:szCs w:val="22"/>
          <w:highlight w:val="yellow"/>
        </w:rPr>
        <w:t>「</w:t>
      </w:r>
      <w:r w:rsidRPr="00212D57">
        <w:rPr>
          <w:rFonts w:eastAsia="標楷體"/>
          <w:b/>
          <w:szCs w:val="22"/>
        </w:rPr>
        <w:t>無常</w:t>
      </w:r>
      <w:r w:rsidR="001C34B0">
        <w:rPr>
          <w:rFonts w:eastAsia="標楷體" w:hint="eastAsia"/>
          <w:color w:val="FF0000"/>
          <w:spacing w:val="-4"/>
          <w:szCs w:val="22"/>
          <w:highlight w:val="yellow"/>
        </w:rPr>
        <w:t>」</w:t>
      </w:r>
      <w:r w:rsidRPr="00212D57">
        <w:rPr>
          <w:rFonts w:eastAsia="標楷體"/>
          <w:b/>
          <w:szCs w:val="22"/>
        </w:rPr>
        <w:t>，念念生滅故</w:t>
      </w:r>
      <w:r w:rsidR="001C34B0">
        <w:rPr>
          <w:rFonts w:eastAsia="標楷體" w:hint="eastAsia"/>
          <w:b/>
          <w:color w:val="FF0000"/>
          <w:szCs w:val="22"/>
          <w:highlight w:val="yellow"/>
        </w:rPr>
        <w:t>；</w:t>
      </w:r>
      <w:r w:rsidRPr="00212D57">
        <w:rPr>
          <w:rFonts w:eastAsia="標楷體"/>
          <w:b/>
          <w:szCs w:val="22"/>
        </w:rPr>
        <w:t>皆屬因緣</w:t>
      </w:r>
      <w:r w:rsidR="001C34B0">
        <w:rPr>
          <w:rFonts w:eastAsia="標楷體" w:hint="eastAsia"/>
          <w:b/>
          <w:color w:val="FF0000"/>
          <w:szCs w:val="22"/>
          <w:highlight w:val="yellow"/>
        </w:rPr>
        <w:t>，</w:t>
      </w:r>
      <w:r w:rsidRPr="00212D57">
        <w:rPr>
          <w:rFonts w:eastAsia="標楷體"/>
          <w:b/>
          <w:szCs w:val="22"/>
        </w:rPr>
        <w:t>無有自在，無有自在故</w:t>
      </w:r>
      <w:r w:rsidR="001C34B0">
        <w:rPr>
          <w:rFonts w:eastAsia="標楷體" w:hint="eastAsia"/>
          <w:color w:val="FF0000"/>
          <w:spacing w:val="-4"/>
          <w:szCs w:val="22"/>
          <w:highlight w:val="yellow"/>
        </w:rPr>
        <w:t>「</w:t>
      </w:r>
      <w:r w:rsidRPr="00212D57">
        <w:rPr>
          <w:rFonts w:eastAsia="標楷體"/>
          <w:b/>
          <w:szCs w:val="22"/>
        </w:rPr>
        <w:t>無我</w:t>
      </w:r>
      <w:r w:rsidR="001C34B0">
        <w:rPr>
          <w:rFonts w:eastAsia="標楷體" w:hint="eastAsia"/>
          <w:color w:val="FF0000"/>
          <w:spacing w:val="-4"/>
          <w:szCs w:val="22"/>
          <w:highlight w:val="yellow"/>
        </w:rPr>
        <w:t>」</w:t>
      </w:r>
      <w:r w:rsidRPr="00212D57">
        <w:rPr>
          <w:rFonts w:eastAsia="標楷體"/>
          <w:b/>
          <w:szCs w:val="22"/>
        </w:rPr>
        <w:t>。</w:t>
      </w:r>
      <w:r w:rsidR="001C34B0">
        <w:rPr>
          <w:rFonts w:eastAsia="標楷體" w:hint="eastAsia"/>
          <w:color w:val="FF0000"/>
          <w:spacing w:val="-4"/>
          <w:szCs w:val="22"/>
          <w:highlight w:val="yellow"/>
        </w:rPr>
        <w:t>「</w:t>
      </w:r>
      <w:r w:rsidRPr="00212D57">
        <w:rPr>
          <w:rFonts w:eastAsia="標楷體"/>
          <w:b/>
          <w:szCs w:val="22"/>
        </w:rPr>
        <w:t>無常、無我</w:t>
      </w:r>
      <w:r w:rsidR="001C34B0">
        <w:rPr>
          <w:rFonts w:eastAsia="標楷體" w:hint="eastAsia"/>
          <w:color w:val="FF0000"/>
          <w:spacing w:val="-4"/>
          <w:szCs w:val="22"/>
          <w:highlight w:val="yellow"/>
        </w:rPr>
        <w:t>」</w:t>
      </w:r>
      <w:r w:rsidR="001C34B0">
        <w:rPr>
          <w:rFonts w:eastAsia="標楷體" w:hint="eastAsia"/>
          <w:b/>
          <w:color w:val="FF0000"/>
          <w:szCs w:val="22"/>
          <w:highlight w:val="yellow"/>
        </w:rPr>
        <w:t>──</w:t>
      </w:r>
      <w:r w:rsidRPr="00212D57">
        <w:rPr>
          <w:rFonts w:eastAsia="標楷體"/>
          <w:b/>
          <w:szCs w:val="22"/>
        </w:rPr>
        <w:t>無相</w:t>
      </w:r>
      <w:r w:rsidRPr="001C34B0">
        <w:rPr>
          <w:rFonts w:eastAsia="標楷體"/>
          <w:b/>
          <w:szCs w:val="22"/>
          <w:highlight w:val="yellow"/>
        </w:rPr>
        <w:t>故心</w:t>
      </w:r>
      <w:r w:rsidRPr="00212D57">
        <w:rPr>
          <w:rFonts w:eastAsia="標楷體"/>
          <w:b/>
          <w:szCs w:val="22"/>
        </w:rPr>
        <w:t>不著，無相</w:t>
      </w:r>
      <w:r w:rsidR="001C34B0" w:rsidRPr="001C34B0">
        <w:rPr>
          <w:rFonts w:eastAsia="標楷體" w:hint="eastAsia"/>
          <w:b/>
          <w:color w:val="FF0000"/>
          <w:szCs w:val="22"/>
          <w:highlight w:val="yellow"/>
        </w:rPr>
        <w:t>、</w:t>
      </w:r>
      <w:r w:rsidRPr="00212D57">
        <w:rPr>
          <w:rFonts w:eastAsia="標楷體"/>
          <w:b/>
          <w:szCs w:val="22"/>
        </w:rPr>
        <w:t>不著</w:t>
      </w:r>
      <w:r w:rsidRPr="001C34B0">
        <w:rPr>
          <w:rFonts w:eastAsia="標楷體"/>
          <w:b/>
          <w:szCs w:val="22"/>
          <w:highlight w:val="yellow"/>
        </w:rPr>
        <w:t>故即</w:t>
      </w:r>
      <w:r w:rsidRPr="00212D57">
        <w:rPr>
          <w:rFonts w:eastAsia="標楷體"/>
          <w:b/>
          <w:szCs w:val="22"/>
        </w:rPr>
        <w:t>是</w:t>
      </w:r>
      <w:r w:rsidR="001C34B0">
        <w:rPr>
          <w:rFonts w:eastAsia="標楷體" w:hint="eastAsia"/>
          <w:color w:val="FF0000"/>
          <w:spacing w:val="-4"/>
          <w:szCs w:val="22"/>
          <w:highlight w:val="yellow"/>
        </w:rPr>
        <w:t>「</w:t>
      </w:r>
      <w:r w:rsidRPr="00212D57">
        <w:rPr>
          <w:rFonts w:eastAsia="標楷體"/>
          <w:b/>
          <w:szCs w:val="22"/>
        </w:rPr>
        <w:t>寂滅涅槃</w:t>
      </w:r>
      <w:r w:rsidR="001C34B0">
        <w:rPr>
          <w:rFonts w:eastAsia="標楷體" w:hint="eastAsia"/>
          <w:color w:val="FF0000"/>
          <w:spacing w:val="-4"/>
          <w:szCs w:val="22"/>
          <w:highlight w:val="yellow"/>
        </w:rPr>
        <w:t>」</w:t>
      </w:r>
      <w:r w:rsidRPr="00212D57">
        <w:rPr>
          <w:rFonts w:eastAsia="標楷體"/>
          <w:b/>
          <w:szCs w:val="22"/>
        </w:rPr>
        <w:t>。</w:t>
      </w:r>
      <w:r w:rsidRPr="00212D57">
        <w:rPr>
          <w:rFonts w:eastAsia="標楷體"/>
          <w:szCs w:val="22"/>
        </w:rPr>
        <w:t>以是故，摩訶衍法</w:t>
      </w:r>
      <w:r w:rsidRPr="001C34B0">
        <w:rPr>
          <w:rFonts w:eastAsia="標楷體"/>
          <w:szCs w:val="22"/>
          <w:highlight w:val="yellow"/>
        </w:rPr>
        <w:t>中雖</w:t>
      </w:r>
      <w:r w:rsidRPr="00212D57">
        <w:rPr>
          <w:rFonts w:eastAsia="標楷體"/>
          <w:szCs w:val="22"/>
        </w:rPr>
        <w:t>說</w:t>
      </w:r>
      <w:r w:rsidR="001C34B0">
        <w:rPr>
          <w:rFonts w:eastAsia="標楷體" w:hint="eastAsia"/>
          <w:color w:val="FF0000"/>
          <w:spacing w:val="-4"/>
          <w:szCs w:val="22"/>
          <w:highlight w:val="yellow"/>
        </w:rPr>
        <w:t>「</w:t>
      </w:r>
      <w:r w:rsidRPr="00212D57">
        <w:rPr>
          <w:rFonts w:eastAsia="標楷體"/>
          <w:szCs w:val="22"/>
        </w:rPr>
        <w:t>一切法不生不滅</w:t>
      </w:r>
      <w:r w:rsidR="0042460F" w:rsidRPr="0042460F">
        <w:rPr>
          <w:rFonts w:eastAsia="標楷體" w:hint="eastAsia"/>
          <w:color w:val="FF0000"/>
          <w:szCs w:val="22"/>
          <w:highlight w:val="yellow"/>
        </w:rPr>
        <w:t>、</w:t>
      </w:r>
      <w:r w:rsidRPr="00212D57">
        <w:rPr>
          <w:rFonts w:eastAsia="標楷體"/>
          <w:szCs w:val="22"/>
        </w:rPr>
        <w:t>一相所謂</w:t>
      </w:r>
      <w:r w:rsidR="003A4B1B">
        <w:rPr>
          <w:rFonts w:ascii="標楷體" w:eastAsia="標楷體" w:hAnsi="標楷體" w:hint="eastAsia"/>
          <w:color w:val="FF0000"/>
          <w:kern w:val="0"/>
          <w:highlight w:val="yellow"/>
        </w:rPr>
        <w:t>『</w:t>
      </w:r>
      <w:r w:rsidRPr="00212D57">
        <w:rPr>
          <w:rFonts w:eastAsia="標楷體"/>
          <w:szCs w:val="22"/>
        </w:rPr>
        <w:t>無相</w:t>
      </w:r>
      <w:r w:rsidR="003A4B1B">
        <w:rPr>
          <w:rFonts w:ascii="標楷體" w:eastAsia="標楷體" w:hAnsi="標楷體" w:hint="eastAsia"/>
          <w:color w:val="FF0000"/>
          <w:kern w:val="0"/>
          <w:highlight w:val="yellow"/>
        </w:rPr>
        <w:t>』</w:t>
      </w:r>
      <w:r w:rsidR="001C34B0">
        <w:rPr>
          <w:rFonts w:eastAsia="標楷體" w:hint="eastAsia"/>
          <w:color w:val="FF0000"/>
          <w:spacing w:val="-4"/>
          <w:szCs w:val="22"/>
          <w:highlight w:val="yellow"/>
        </w:rPr>
        <w:t>」</w:t>
      </w:r>
      <w:r w:rsidRPr="00212D57">
        <w:rPr>
          <w:rFonts w:eastAsia="標楷體"/>
          <w:szCs w:val="22"/>
        </w:rPr>
        <w:t>，</w:t>
      </w:r>
      <w:r w:rsidR="001C34B0">
        <w:rPr>
          <w:rFonts w:eastAsia="標楷體" w:hint="eastAsia"/>
          <w:color w:val="FF0000"/>
          <w:spacing w:val="-4"/>
          <w:szCs w:val="22"/>
          <w:highlight w:val="yellow"/>
        </w:rPr>
        <w:t>「</w:t>
      </w:r>
      <w:r w:rsidRPr="00212D57">
        <w:rPr>
          <w:rFonts w:eastAsia="標楷體"/>
          <w:szCs w:val="22"/>
        </w:rPr>
        <w:t>無相</w:t>
      </w:r>
      <w:r w:rsidR="001C34B0">
        <w:rPr>
          <w:rFonts w:eastAsia="標楷體" w:hint="eastAsia"/>
          <w:color w:val="FF0000"/>
          <w:spacing w:val="-4"/>
          <w:szCs w:val="22"/>
          <w:highlight w:val="yellow"/>
        </w:rPr>
        <w:t>」</w:t>
      </w:r>
      <w:r w:rsidRPr="00212D57">
        <w:rPr>
          <w:rFonts w:eastAsia="標楷體"/>
          <w:szCs w:val="22"/>
        </w:rPr>
        <w:t>即</w:t>
      </w:r>
      <w:r w:rsidR="001C34B0">
        <w:rPr>
          <w:rFonts w:eastAsia="標楷體" w:hint="eastAsia"/>
          <w:color w:val="FF0000"/>
          <w:spacing w:val="-4"/>
          <w:szCs w:val="22"/>
          <w:highlight w:val="yellow"/>
        </w:rPr>
        <w:t>「</w:t>
      </w:r>
      <w:r w:rsidRPr="00212D57">
        <w:rPr>
          <w:rFonts w:eastAsia="標楷體"/>
          <w:szCs w:val="22"/>
        </w:rPr>
        <w:t>寂滅涅槃</w:t>
      </w:r>
      <w:r w:rsidR="001C34B0">
        <w:rPr>
          <w:rFonts w:eastAsia="標楷體" w:hint="eastAsia"/>
          <w:color w:val="FF0000"/>
          <w:spacing w:val="-4"/>
          <w:szCs w:val="22"/>
          <w:highlight w:val="yellow"/>
        </w:rPr>
        <w:t>」</w:t>
      </w:r>
      <w:r w:rsidRPr="00212D57">
        <w:rPr>
          <w:rFonts w:eastAsia="標楷體"/>
          <w:szCs w:val="22"/>
        </w:rPr>
        <w:t>。</w:t>
      </w:r>
    </w:p>
  </w:footnote>
  <w:footnote w:id="219">
    <w:p w:rsidR="00157EF6" w:rsidRPr="00212D57" w:rsidRDefault="00157EF6" w:rsidP="00E9224A">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《大智度論》卷</w:t>
      </w:r>
      <w:r w:rsidRPr="00761EF3">
        <w:rPr>
          <w:szCs w:val="22"/>
        </w:rPr>
        <w:t>15</w:t>
      </w:r>
      <w:r w:rsidRPr="00212D57">
        <w:rPr>
          <w:szCs w:val="22"/>
        </w:rPr>
        <w:t>（大正</w:t>
      </w:r>
      <w:r w:rsidRPr="00761EF3">
        <w:rPr>
          <w:szCs w:val="22"/>
        </w:rPr>
        <w:t>25</w:t>
      </w:r>
      <w:r w:rsidRPr="00212D57">
        <w:rPr>
          <w:szCs w:val="22"/>
        </w:rPr>
        <w:t>，</w:t>
      </w:r>
      <w:r w:rsidRPr="00761EF3">
        <w:rPr>
          <w:szCs w:val="22"/>
        </w:rPr>
        <w:t>171b1</w:t>
      </w:r>
      <w:r w:rsidRPr="00212D57">
        <w:rPr>
          <w:szCs w:val="22"/>
        </w:rPr>
        <w:t>-</w:t>
      </w:r>
      <w:r w:rsidRPr="00761EF3">
        <w:rPr>
          <w:szCs w:val="22"/>
        </w:rPr>
        <w:t>5</w:t>
      </w:r>
      <w:r w:rsidRPr="00212D57">
        <w:rPr>
          <w:szCs w:val="22"/>
        </w:rPr>
        <w:t>）：</w:t>
      </w:r>
    </w:p>
    <w:p w:rsidR="00157EF6" w:rsidRPr="00212D57" w:rsidRDefault="00157EF6" w:rsidP="000F7709">
      <w:pPr>
        <w:pStyle w:val="a5"/>
        <w:spacing w:line="0" w:lineRule="atLeast"/>
        <w:ind w:leftChars="105" w:left="252"/>
        <w:jc w:val="both"/>
        <w:rPr>
          <w:szCs w:val="22"/>
        </w:rPr>
      </w:pPr>
      <w:r w:rsidRPr="00212D57">
        <w:rPr>
          <w:rFonts w:eastAsia="標楷體"/>
          <w:szCs w:val="22"/>
        </w:rPr>
        <w:t>行者觀心生滅如流水</w:t>
      </w:r>
      <w:r w:rsidRPr="00212D57">
        <w:rPr>
          <w:rFonts w:eastAsia="標楷體" w:hint="eastAsia"/>
          <w:szCs w:val="22"/>
        </w:rPr>
        <w:t>、</w:t>
      </w:r>
      <w:r w:rsidRPr="00212D57">
        <w:rPr>
          <w:rFonts w:eastAsia="標楷體"/>
          <w:szCs w:val="22"/>
        </w:rPr>
        <w:t>燈焰，此名</w:t>
      </w:r>
      <w:r w:rsidR="00D120BF">
        <w:rPr>
          <w:rFonts w:eastAsia="標楷體" w:hint="eastAsia"/>
          <w:color w:val="FF0000"/>
          <w:spacing w:val="-4"/>
          <w:szCs w:val="22"/>
          <w:highlight w:val="yellow"/>
        </w:rPr>
        <w:t>「</w:t>
      </w:r>
      <w:r w:rsidRPr="00212D57">
        <w:rPr>
          <w:rFonts w:eastAsia="標楷體"/>
          <w:szCs w:val="22"/>
        </w:rPr>
        <w:t>入空智門</w:t>
      </w:r>
      <w:r w:rsidR="00D120BF">
        <w:rPr>
          <w:rFonts w:eastAsia="標楷體" w:hint="eastAsia"/>
          <w:color w:val="FF0000"/>
          <w:spacing w:val="-4"/>
          <w:szCs w:val="22"/>
          <w:highlight w:val="yellow"/>
        </w:rPr>
        <w:t>」</w:t>
      </w:r>
      <w:r w:rsidRPr="00212D57">
        <w:rPr>
          <w:rFonts w:eastAsia="標楷體"/>
          <w:szCs w:val="22"/>
        </w:rPr>
        <w:t>。何以故？若一時生，餘時中滅者，此心應常。何以故？此極少時中無滅故</w:t>
      </w:r>
      <w:r w:rsidR="00D120BF">
        <w:rPr>
          <w:rFonts w:eastAsia="標楷體" w:hint="eastAsia"/>
          <w:color w:val="FF0000"/>
          <w:szCs w:val="22"/>
          <w:highlight w:val="yellow"/>
        </w:rPr>
        <w:t>；</w:t>
      </w:r>
      <w:r w:rsidRPr="00212D57">
        <w:rPr>
          <w:rFonts w:eastAsia="標楷體"/>
          <w:szCs w:val="22"/>
        </w:rPr>
        <w:t>若一時中無滅者，應終始無滅。</w:t>
      </w:r>
    </w:p>
  </w:footnote>
  <w:footnote w:id="220">
    <w:p w:rsidR="00157EF6" w:rsidRPr="00212D57" w:rsidRDefault="00157EF6" w:rsidP="00E9224A">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《大智度論》卷</w:t>
      </w:r>
      <w:r w:rsidRPr="00761EF3">
        <w:rPr>
          <w:szCs w:val="22"/>
        </w:rPr>
        <w:t>22</w:t>
      </w:r>
      <w:r w:rsidRPr="00212D57">
        <w:rPr>
          <w:szCs w:val="22"/>
        </w:rPr>
        <w:t>（大正</w:t>
      </w:r>
      <w:r w:rsidRPr="00761EF3">
        <w:rPr>
          <w:szCs w:val="22"/>
        </w:rPr>
        <w:t>25</w:t>
      </w:r>
      <w:r w:rsidRPr="00212D57">
        <w:rPr>
          <w:szCs w:val="22"/>
        </w:rPr>
        <w:t>，</w:t>
      </w:r>
      <w:r w:rsidRPr="00761EF3">
        <w:rPr>
          <w:szCs w:val="22"/>
        </w:rPr>
        <w:t>222b27</w:t>
      </w:r>
      <w:r w:rsidRPr="00212D57">
        <w:rPr>
          <w:szCs w:val="22"/>
        </w:rPr>
        <w:t>-</w:t>
      </w:r>
      <w:r w:rsidRPr="00761EF3">
        <w:rPr>
          <w:szCs w:val="22"/>
        </w:rPr>
        <w:t>c6</w:t>
      </w:r>
      <w:r w:rsidRPr="00212D57">
        <w:rPr>
          <w:szCs w:val="22"/>
        </w:rPr>
        <w:t>）：</w:t>
      </w:r>
    </w:p>
    <w:p w:rsidR="00157EF6" w:rsidRPr="00212D57" w:rsidRDefault="00157EF6" w:rsidP="00E9224A">
      <w:pPr>
        <w:pStyle w:val="a5"/>
        <w:ind w:leftChars="105" w:left="912" w:hangingChars="300" w:hanging="660"/>
        <w:jc w:val="both"/>
        <w:rPr>
          <w:rFonts w:eastAsia="標楷體"/>
          <w:szCs w:val="22"/>
        </w:rPr>
      </w:pPr>
      <w:r w:rsidRPr="00212D57">
        <w:rPr>
          <w:rFonts w:eastAsia="標楷體"/>
          <w:szCs w:val="22"/>
        </w:rPr>
        <w:t>問曰：摩訶衍中說</w:t>
      </w:r>
      <w:r w:rsidR="00D120BF">
        <w:rPr>
          <w:rFonts w:eastAsia="標楷體" w:hint="eastAsia"/>
          <w:color w:val="FF0000"/>
          <w:spacing w:val="-4"/>
          <w:szCs w:val="22"/>
          <w:highlight w:val="yellow"/>
        </w:rPr>
        <w:t>「</w:t>
      </w:r>
      <w:r w:rsidRPr="00212D57">
        <w:rPr>
          <w:rFonts w:eastAsia="標楷體"/>
          <w:szCs w:val="22"/>
        </w:rPr>
        <w:t>諸法不生不滅，一相，所謂無相</w:t>
      </w:r>
      <w:r w:rsidR="00D120BF">
        <w:rPr>
          <w:rFonts w:eastAsia="標楷體" w:hint="eastAsia"/>
          <w:color w:val="FF0000"/>
          <w:spacing w:val="-4"/>
          <w:szCs w:val="22"/>
          <w:highlight w:val="yellow"/>
        </w:rPr>
        <w:t>」</w:t>
      </w:r>
      <w:r w:rsidRPr="00212D57">
        <w:rPr>
          <w:rFonts w:eastAsia="標楷體"/>
          <w:szCs w:val="22"/>
        </w:rPr>
        <w:t>，此中云何說</w:t>
      </w:r>
      <w:r w:rsidR="00D120BF">
        <w:rPr>
          <w:rFonts w:eastAsia="標楷體" w:hint="eastAsia"/>
          <w:color w:val="FF0000"/>
          <w:spacing w:val="-4"/>
          <w:szCs w:val="22"/>
          <w:highlight w:val="yellow"/>
        </w:rPr>
        <w:t>「</w:t>
      </w:r>
      <w:r w:rsidRPr="00212D57">
        <w:rPr>
          <w:rFonts w:eastAsia="標楷體"/>
          <w:szCs w:val="22"/>
        </w:rPr>
        <w:t>一切有為作法無常</w:t>
      </w:r>
      <w:r w:rsidR="00D120BF">
        <w:rPr>
          <w:rFonts w:eastAsia="標楷體" w:hint="eastAsia"/>
          <w:color w:val="FF0000"/>
          <w:spacing w:val="-4"/>
          <w:szCs w:val="22"/>
          <w:highlight w:val="yellow"/>
        </w:rPr>
        <w:t>」</w:t>
      </w:r>
      <w:r w:rsidRPr="00212D57">
        <w:rPr>
          <w:rFonts w:eastAsia="標楷體"/>
          <w:szCs w:val="22"/>
        </w:rPr>
        <w:t>名為</w:t>
      </w:r>
      <w:r w:rsidR="00D120BF">
        <w:rPr>
          <w:rFonts w:eastAsia="標楷體" w:hint="eastAsia"/>
          <w:color w:val="FF0000"/>
          <w:spacing w:val="-4"/>
          <w:szCs w:val="22"/>
          <w:highlight w:val="yellow"/>
        </w:rPr>
        <w:t>「</w:t>
      </w:r>
      <w:r w:rsidRPr="00212D57">
        <w:rPr>
          <w:rFonts w:eastAsia="標楷體"/>
          <w:szCs w:val="22"/>
        </w:rPr>
        <w:t>法印</w:t>
      </w:r>
      <w:r w:rsidR="00D120BF">
        <w:rPr>
          <w:rFonts w:eastAsia="標楷體" w:hint="eastAsia"/>
          <w:color w:val="FF0000"/>
          <w:spacing w:val="-4"/>
          <w:szCs w:val="22"/>
          <w:highlight w:val="yellow"/>
        </w:rPr>
        <w:t>」</w:t>
      </w:r>
      <w:r w:rsidRPr="00212D57">
        <w:rPr>
          <w:rFonts w:eastAsia="標楷體"/>
          <w:szCs w:val="22"/>
        </w:rPr>
        <w:t>？二法云何不相違？</w:t>
      </w:r>
    </w:p>
    <w:p w:rsidR="00157EF6" w:rsidRPr="00212D57" w:rsidRDefault="00157EF6" w:rsidP="00E9224A">
      <w:pPr>
        <w:pStyle w:val="a5"/>
        <w:ind w:leftChars="105" w:left="912" w:hangingChars="300" w:hanging="660"/>
        <w:jc w:val="both"/>
        <w:rPr>
          <w:szCs w:val="22"/>
        </w:rPr>
      </w:pPr>
      <w:r w:rsidRPr="00212D57">
        <w:rPr>
          <w:rFonts w:eastAsia="標楷體"/>
          <w:szCs w:val="22"/>
        </w:rPr>
        <w:t>答曰：</w:t>
      </w:r>
      <w:r w:rsidR="003A4B1B" w:rsidRPr="003A4B1B">
        <w:rPr>
          <w:rFonts w:ascii="標楷體" w:eastAsia="標楷體" w:hAnsi="標楷體" w:hint="eastAsia"/>
          <w:b/>
          <w:bCs/>
          <w:color w:val="FF0000"/>
          <w:kern w:val="0"/>
          <w:highlight w:val="yellow"/>
        </w:rPr>
        <w:t>「</w:t>
      </w:r>
      <w:r w:rsidRPr="003A4B1B">
        <w:rPr>
          <w:rFonts w:eastAsia="標楷體"/>
          <w:b/>
          <w:szCs w:val="22"/>
        </w:rPr>
        <w:t>觀</w:t>
      </w:r>
      <w:r w:rsidR="003A4B1B" w:rsidRPr="003A4B1B">
        <w:rPr>
          <w:rFonts w:ascii="標楷體" w:eastAsia="標楷體" w:hAnsi="標楷體" w:hint="eastAsia"/>
          <w:b/>
          <w:color w:val="FF0000"/>
          <w:kern w:val="0"/>
          <w:highlight w:val="yellow"/>
        </w:rPr>
        <w:t>『</w:t>
      </w:r>
      <w:r w:rsidRPr="003A4B1B">
        <w:rPr>
          <w:rFonts w:eastAsia="標楷體"/>
          <w:b/>
          <w:szCs w:val="22"/>
        </w:rPr>
        <w:t>無常</w:t>
      </w:r>
      <w:r w:rsidR="003A4B1B" w:rsidRPr="003A4B1B">
        <w:rPr>
          <w:rFonts w:ascii="標楷體" w:eastAsia="標楷體" w:hAnsi="標楷體" w:hint="eastAsia"/>
          <w:b/>
          <w:color w:val="FF0000"/>
          <w:kern w:val="0"/>
          <w:highlight w:val="yellow"/>
        </w:rPr>
        <w:t>』</w:t>
      </w:r>
      <w:r w:rsidR="003A4B1B" w:rsidRPr="003A4B1B">
        <w:rPr>
          <w:rFonts w:ascii="標楷體" w:eastAsia="標楷體" w:hAnsi="標楷體" w:hint="eastAsia"/>
          <w:b/>
          <w:bCs/>
          <w:color w:val="FF0000"/>
          <w:kern w:val="0"/>
          <w:highlight w:val="yellow"/>
        </w:rPr>
        <w:t>」</w:t>
      </w:r>
      <w:r w:rsidRPr="003A4B1B">
        <w:rPr>
          <w:rFonts w:eastAsia="標楷體"/>
          <w:b/>
          <w:szCs w:val="22"/>
        </w:rPr>
        <w:t>，即是</w:t>
      </w:r>
      <w:r w:rsidR="003A4B1B" w:rsidRPr="003A4B1B">
        <w:rPr>
          <w:rFonts w:ascii="標楷體" w:eastAsia="標楷體" w:hAnsi="標楷體" w:hint="eastAsia"/>
          <w:b/>
          <w:bCs/>
          <w:color w:val="FF0000"/>
          <w:kern w:val="0"/>
          <w:highlight w:val="yellow"/>
        </w:rPr>
        <w:t>「</w:t>
      </w:r>
      <w:r w:rsidRPr="003A4B1B">
        <w:rPr>
          <w:rFonts w:eastAsia="標楷體"/>
          <w:b/>
          <w:szCs w:val="22"/>
        </w:rPr>
        <w:t>觀</w:t>
      </w:r>
      <w:r w:rsidR="003A4B1B" w:rsidRPr="003A4B1B">
        <w:rPr>
          <w:rFonts w:ascii="標楷體" w:eastAsia="標楷體" w:hAnsi="標楷體" w:hint="eastAsia"/>
          <w:b/>
          <w:color w:val="FF0000"/>
          <w:kern w:val="0"/>
          <w:highlight w:val="yellow"/>
        </w:rPr>
        <w:t>『</w:t>
      </w:r>
      <w:r w:rsidRPr="003A4B1B">
        <w:rPr>
          <w:rFonts w:eastAsia="標楷體"/>
          <w:b/>
          <w:szCs w:val="22"/>
        </w:rPr>
        <w:t>空</w:t>
      </w:r>
      <w:r w:rsidR="003A4B1B" w:rsidRPr="003A4B1B">
        <w:rPr>
          <w:rFonts w:ascii="標楷體" w:eastAsia="標楷體" w:hAnsi="標楷體" w:hint="eastAsia"/>
          <w:b/>
          <w:color w:val="FF0000"/>
          <w:kern w:val="0"/>
          <w:highlight w:val="yellow"/>
        </w:rPr>
        <w:t>』</w:t>
      </w:r>
      <w:r w:rsidR="003A4B1B" w:rsidRPr="003A4B1B">
        <w:rPr>
          <w:rFonts w:ascii="標楷體" w:eastAsia="標楷體" w:hAnsi="標楷體" w:hint="eastAsia"/>
          <w:b/>
          <w:bCs/>
          <w:color w:val="FF0000"/>
          <w:kern w:val="0"/>
          <w:highlight w:val="yellow"/>
        </w:rPr>
        <w:t>」</w:t>
      </w:r>
      <w:r w:rsidRPr="00212D57">
        <w:rPr>
          <w:rFonts w:eastAsia="標楷體"/>
          <w:b/>
          <w:szCs w:val="22"/>
        </w:rPr>
        <w:t>因緣</w:t>
      </w:r>
      <w:r w:rsidRPr="00212D57">
        <w:rPr>
          <w:rFonts w:eastAsia="標楷體"/>
          <w:szCs w:val="22"/>
        </w:rPr>
        <w:t>；如觀色</w:t>
      </w:r>
      <w:r w:rsidR="00D120BF">
        <w:rPr>
          <w:rFonts w:eastAsia="標楷體" w:hint="eastAsia"/>
          <w:color w:val="FF0000"/>
          <w:spacing w:val="-4"/>
          <w:szCs w:val="22"/>
          <w:highlight w:val="yellow"/>
        </w:rPr>
        <w:t>「</w:t>
      </w:r>
      <w:r w:rsidRPr="00212D57">
        <w:rPr>
          <w:rFonts w:eastAsia="標楷體"/>
          <w:szCs w:val="22"/>
        </w:rPr>
        <w:t>念念無常</w:t>
      </w:r>
      <w:r w:rsidR="00D120BF">
        <w:rPr>
          <w:rFonts w:eastAsia="標楷體" w:hint="eastAsia"/>
          <w:color w:val="FF0000"/>
          <w:spacing w:val="-4"/>
          <w:szCs w:val="22"/>
          <w:highlight w:val="yellow"/>
        </w:rPr>
        <w:t>」</w:t>
      </w:r>
      <w:r w:rsidRPr="00212D57">
        <w:rPr>
          <w:rFonts w:eastAsia="標楷體"/>
          <w:szCs w:val="22"/>
        </w:rPr>
        <w:t>，即知為</w:t>
      </w:r>
      <w:r w:rsidR="00D120BF">
        <w:rPr>
          <w:rFonts w:eastAsia="標楷體" w:hint="eastAsia"/>
          <w:color w:val="FF0000"/>
          <w:spacing w:val="-4"/>
          <w:szCs w:val="22"/>
          <w:highlight w:val="yellow"/>
        </w:rPr>
        <w:t>「</w:t>
      </w:r>
      <w:r w:rsidRPr="00212D57">
        <w:rPr>
          <w:rFonts w:eastAsia="標楷體"/>
          <w:szCs w:val="22"/>
        </w:rPr>
        <w:t>空</w:t>
      </w:r>
      <w:r w:rsidR="00D120BF">
        <w:rPr>
          <w:rFonts w:eastAsia="標楷體" w:hint="eastAsia"/>
          <w:color w:val="FF0000"/>
          <w:spacing w:val="-4"/>
          <w:szCs w:val="22"/>
          <w:highlight w:val="yellow"/>
        </w:rPr>
        <w:t>」</w:t>
      </w:r>
      <w:r w:rsidRPr="00212D57">
        <w:rPr>
          <w:rFonts w:eastAsia="標楷體"/>
          <w:szCs w:val="22"/>
        </w:rPr>
        <w:t>。過去色滅壞，不可見</w:t>
      </w:r>
      <w:r w:rsidR="00D120BF" w:rsidRPr="00D120BF">
        <w:rPr>
          <w:rFonts w:eastAsia="標楷體" w:hint="eastAsia"/>
          <w:color w:val="FF0000"/>
          <w:szCs w:val="22"/>
          <w:highlight w:val="yellow"/>
        </w:rPr>
        <w:t>，</w:t>
      </w:r>
      <w:r w:rsidRPr="00D120BF">
        <w:rPr>
          <w:rFonts w:eastAsia="標楷體"/>
          <w:szCs w:val="22"/>
          <w:highlight w:val="yellow"/>
        </w:rPr>
        <w:t>故無</w:t>
      </w:r>
      <w:r w:rsidRPr="00212D57">
        <w:rPr>
          <w:rFonts w:eastAsia="標楷體"/>
          <w:szCs w:val="22"/>
        </w:rPr>
        <w:t>色相；未來色不生，無作無用，不可見</w:t>
      </w:r>
      <w:r w:rsidR="00D120BF" w:rsidRPr="00D120BF">
        <w:rPr>
          <w:rFonts w:eastAsia="標楷體" w:hint="eastAsia"/>
          <w:color w:val="FF0000"/>
          <w:szCs w:val="22"/>
          <w:highlight w:val="yellow"/>
        </w:rPr>
        <w:t>，</w:t>
      </w:r>
      <w:r w:rsidR="00D120BF" w:rsidRPr="00D120BF">
        <w:rPr>
          <w:rFonts w:eastAsia="標楷體"/>
          <w:szCs w:val="22"/>
          <w:highlight w:val="yellow"/>
        </w:rPr>
        <w:t>故無</w:t>
      </w:r>
      <w:r w:rsidRPr="00212D57">
        <w:rPr>
          <w:rFonts w:eastAsia="標楷體"/>
          <w:szCs w:val="22"/>
        </w:rPr>
        <w:t>色相；現在色亦無住，不可見、不可分別知</w:t>
      </w:r>
      <w:r w:rsidR="00D120BF" w:rsidRPr="00D120BF">
        <w:rPr>
          <w:rFonts w:eastAsia="標楷體" w:hint="eastAsia"/>
          <w:color w:val="FF0000"/>
          <w:szCs w:val="22"/>
          <w:highlight w:val="yellow"/>
        </w:rPr>
        <w:t>，</w:t>
      </w:r>
      <w:r w:rsidR="00D120BF" w:rsidRPr="00D120BF">
        <w:rPr>
          <w:rFonts w:eastAsia="標楷體"/>
          <w:szCs w:val="22"/>
          <w:highlight w:val="yellow"/>
        </w:rPr>
        <w:t>故無</w:t>
      </w:r>
      <w:r w:rsidRPr="00212D57">
        <w:rPr>
          <w:rFonts w:eastAsia="標楷體"/>
          <w:szCs w:val="22"/>
        </w:rPr>
        <w:t>色相</w:t>
      </w:r>
      <w:r w:rsidR="003A4B1B">
        <w:rPr>
          <w:rFonts w:ascii="標楷體" w:eastAsia="標楷體" w:hAnsi="標楷體" w:hint="eastAsia"/>
          <w:color w:val="FF0000"/>
          <w:kern w:val="0"/>
          <w:highlight w:val="yellow"/>
        </w:rPr>
        <w:t>──</w:t>
      </w:r>
      <w:r w:rsidR="00D120BF">
        <w:rPr>
          <w:rFonts w:eastAsia="標楷體" w:hint="eastAsia"/>
          <w:color w:val="FF0000"/>
          <w:spacing w:val="-4"/>
          <w:szCs w:val="22"/>
          <w:highlight w:val="yellow"/>
        </w:rPr>
        <w:t>「</w:t>
      </w:r>
      <w:r w:rsidRPr="00212D57">
        <w:rPr>
          <w:rFonts w:eastAsia="標楷體"/>
          <w:szCs w:val="22"/>
        </w:rPr>
        <w:t>無色相</w:t>
      </w:r>
      <w:r w:rsidR="00D120BF">
        <w:rPr>
          <w:rFonts w:eastAsia="標楷體" w:hint="eastAsia"/>
          <w:color w:val="FF0000"/>
          <w:spacing w:val="-4"/>
          <w:szCs w:val="22"/>
          <w:highlight w:val="yellow"/>
        </w:rPr>
        <w:t>」</w:t>
      </w:r>
      <w:r w:rsidRPr="00212D57">
        <w:rPr>
          <w:rFonts w:eastAsia="標楷體"/>
          <w:szCs w:val="22"/>
        </w:rPr>
        <w:t>即是</w:t>
      </w:r>
      <w:r w:rsidR="00D120BF">
        <w:rPr>
          <w:rFonts w:eastAsia="標楷體" w:hint="eastAsia"/>
          <w:color w:val="FF0000"/>
          <w:spacing w:val="-4"/>
          <w:szCs w:val="22"/>
          <w:highlight w:val="yellow"/>
        </w:rPr>
        <w:t>「</w:t>
      </w:r>
      <w:r w:rsidRPr="00212D57">
        <w:rPr>
          <w:rFonts w:eastAsia="標楷體"/>
          <w:szCs w:val="22"/>
        </w:rPr>
        <w:t>空</w:t>
      </w:r>
      <w:r w:rsidR="00D120BF">
        <w:rPr>
          <w:rFonts w:eastAsia="標楷體" w:hint="eastAsia"/>
          <w:color w:val="FF0000"/>
          <w:spacing w:val="-4"/>
          <w:szCs w:val="22"/>
          <w:highlight w:val="yellow"/>
        </w:rPr>
        <w:t>」</w:t>
      </w:r>
      <w:r w:rsidRPr="00212D57">
        <w:rPr>
          <w:rFonts w:eastAsia="標楷體"/>
          <w:szCs w:val="22"/>
        </w:rPr>
        <w:t>，</w:t>
      </w:r>
      <w:r w:rsidR="00D120BF" w:rsidRPr="00D120BF">
        <w:rPr>
          <w:rFonts w:eastAsia="標楷體" w:hint="eastAsia"/>
          <w:b/>
          <w:color w:val="FF0000"/>
          <w:spacing w:val="-4"/>
          <w:szCs w:val="22"/>
          <w:highlight w:val="yellow"/>
        </w:rPr>
        <w:t>「</w:t>
      </w:r>
      <w:r w:rsidRPr="00D120BF">
        <w:rPr>
          <w:rFonts w:eastAsia="標楷體"/>
          <w:b/>
          <w:szCs w:val="22"/>
        </w:rPr>
        <w:t>空</w:t>
      </w:r>
      <w:r w:rsidR="00D120BF" w:rsidRPr="00D120BF">
        <w:rPr>
          <w:rFonts w:eastAsia="標楷體" w:hint="eastAsia"/>
          <w:b/>
          <w:color w:val="FF0000"/>
          <w:spacing w:val="-4"/>
          <w:szCs w:val="22"/>
          <w:highlight w:val="yellow"/>
        </w:rPr>
        <w:t>」</w:t>
      </w:r>
      <w:r w:rsidRPr="00D120BF">
        <w:rPr>
          <w:rFonts w:eastAsia="標楷體"/>
          <w:b/>
          <w:szCs w:val="22"/>
        </w:rPr>
        <w:t>即是</w:t>
      </w:r>
      <w:r w:rsidR="00D120BF" w:rsidRPr="00D120BF">
        <w:rPr>
          <w:rFonts w:eastAsia="標楷體" w:hint="eastAsia"/>
          <w:b/>
          <w:color w:val="FF0000"/>
          <w:spacing w:val="-4"/>
          <w:szCs w:val="22"/>
          <w:highlight w:val="yellow"/>
        </w:rPr>
        <w:t>「</w:t>
      </w:r>
      <w:r w:rsidRPr="00D120BF">
        <w:rPr>
          <w:rFonts w:eastAsia="標楷體"/>
          <w:b/>
          <w:szCs w:val="22"/>
        </w:rPr>
        <w:t>無生無滅</w:t>
      </w:r>
      <w:r w:rsidR="00D120BF" w:rsidRPr="00D120BF">
        <w:rPr>
          <w:rFonts w:eastAsia="標楷體" w:hint="eastAsia"/>
          <w:b/>
          <w:color w:val="FF0000"/>
          <w:spacing w:val="-4"/>
          <w:szCs w:val="22"/>
          <w:highlight w:val="yellow"/>
        </w:rPr>
        <w:t>」</w:t>
      </w:r>
      <w:r w:rsidRPr="00D120BF">
        <w:rPr>
          <w:rFonts w:eastAsia="標楷體"/>
          <w:b/>
          <w:szCs w:val="22"/>
        </w:rPr>
        <w:t>。</w:t>
      </w:r>
      <w:r w:rsidR="00D120BF" w:rsidRPr="00D120BF">
        <w:rPr>
          <w:rFonts w:eastAsia="標楷體" w:hint="eastAsia"/>
          <w:b/>
          <w:color w:val="FF0000"/>
          <w:spacing w:val="-4"/>
          <w:szCs w:val="22"/>
          <w:highlight w:val="yellow"/>
        </w:rPr>
        <w:t>「</w:t>
      </w:r>
      <w:r w:rsidRPr="00D120BF">
        <w:rPr>
          <w:rFonts w:eastAsia="標楷體"/>
          <w:b/>
          <w:szCs w:val="22"/>
        </w:rPr>
        <w:t>無生無滅</w:t>
      </w:r>
      <w:r w:rsidR="00D120BF" w:rsidRPr="00D120BF">
        <w:rPr>
          <w:rFonts w:eastAsia="標楷體" w:hint="eastAsia"/>
          <w:b/>
          <w:color w:val="FF0000"/>
          <w:spacing w:val="-4"/>
          <w:szCs w:val="22"/>
          <w:highlight w:val="yellow"/>
        </w:rPr>
        <w:t>」</w:t>
      </w:r>
      <w:r w:rsidRPr="00D120BF">
        <w:rPr>
          <w:rFonts w:eastAsia="標楷體"/>
          <w:b/>
          <w:szCs w:val="22"/>
        </w:rPr>
        <w:t>及</w:t>
      </w:r>
      <w:r w:rsidR="00D120BF" w:rsidRPr="00D120BF">
        <w:rPr>
          <w:rFonts w:eastAsia="標楷體" w:hint="eastAsia"/>
          <w:b/>
          <w:color w:val="FF0000"/>
          <w:spacing w:val="-4"/>
          <w:szCs w:val="22"/>
          <w:highlight w:val="yellow"/>
        </w:rPr>
        <w:t>「</w:t>
      </w:r>
      <w:r w:rsidRPr="00D120BF">
        <w:rPr>
          <w:rFonts w:eastAsia="標楷體"/>
          <w:b/>
          <w:szCs w:val="22"/>
        </w:rPr>
        <w:t>生滅</w:t>
      </w:r>
      <w:r w:rsidR="00D120BF" w:rsidRPr="00D120BF">
        <w:rPr>
          <w:rFonts w:eastAsia="標楷體" w:hint="eastAsia"/>
          <w:b/>
          <w:color w:val="FF0000"/>
          <w:spacing w:val="-4"/>
          <w:szCs w:val="22"/>
          <w:highlight w:val="yellow"/>
        </w:rPr>
        <w:t>」</w:t>
      </w:r>
      <w:r w:rsidRPr="00D120BF">
        <w:rPr>
          <w:rFonts w:eastAsia="標楷體"/>
          <w:b/>
          <w:szCs w:val="22"/>
        </w:rPr>
        <w:t>其實</w:t>
      </w:r>
      <w:r w:rsidRPr="00212D57">
        <w:rPr>
          <w:rFonts w:eastAsia="標楷體"/>
          <w:b/>
          <w:szCs w:val="22"/>
        </w:rPr>
        <w:t>是一，說有廣略。</w:t>
      </w:r>
    </w:p>
  </w:footnote>
  <w:footnote w:id="221">
    <w:p w:rsidR="00157EF6" w:rsidRPr="00212D57" w:rsidRDefault="00157EF6" w:rsidP="00E50589">
      <w:pPr>
        <w:pStyle w:val="a5"/>
        <w:spacing w:line="300" w:lineRule="exac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《雜阿含經》卷</w:t>
      </w:r>
      <w:r w:rsidRPr="00761EF3">
        <w:rPr>
          <w:szCs w:val="22"/>
        </w:rPr>
        <w:t>9</w:t>
      </w:r>
      <w:r w:rsidRPr="00212D57">
        <w:rPr>
          <w:szCs w:val="22"/>
        </w:rPr>
        <w:t>（</w:t>
      </w:r>
      <w:r w:rsidRPr="00761EF3">
        <w:rPr>
          <w:szCs w:val="22"/>
        </w:rPr>
        <w:t>232</w:t>
      </w:r>
      <w:r w:rsidRPr="00212D57">
        <w:rPr>
          <w:szCs w:val="22"/>
        </w:rPr>
        <w:t>經）（大正</w:t>
      </w:r>
      <w:r w:rsidRPr="00761EF3">
        <w:rPr>
          <w:szCs w:val="22"/>
        </w:rPr>
        <w:t>2</w:t>
      </w:r>
      <w:r w:rsidRPr="00212D57">
        <w:rPr>
          <w:szCs w:val="22"/>
        </w:rPr>
        <w:t>，</w:t>
      </w:r>
      <w:r w:rsidRPr="00761EF3">
        <w:rPr>
          <w:szCs w:val="22"/>
        </w:rPr>
        <w:t>56b22</w:t>
      </w:r>
      <w:r w:rsidRPr="00212D57">
        <w:rPr>
          <w:szCs w:val="22"/>
        </w:rPr>
        <w:t>-</w:t>
      </w:r>
      <w:r w:rsidRPr="00761EF3">
        <w:rPr>
          <w:szCs w:val="22"/>
        </w:rPr>
        <w:t>29</w:t>
      </w:r>
      <w:r w:rsidRPr="00212D57">
        <w:rPr>
          <w:szCs w:val="22"/>
        </w:rPr>
        <w:t>）：</w:t>
      </w:r>
    </w:p>
    <w:p w:rsidR="00157EF6" w:rsidRPr="00212D57" w:rsidRDefault="00157EF6" w:rsidP="00E50589">
      <w:pPr>
        <w:pStyle w:val="a5"/>
        <w:spacing w:line="300" w:lineRule="exact"/>
        <w:ind w:leftChars="105" w:left="252"/>
        <w:jc w:val="both"/>
        <w:rPr>
          <w:rFonts w:eastAsia="標楷體"/>
          <w:szCs w:val="22"/>
        </w:rPr>
      </w:pPr>
      <w:r w:rsidRPr="00212D57">
        <w:rPr>
          <w:rFonts w:eastAsia="標楷體"/>
          <w:szCs w:val="22"/>
        </w:rPr>
        <w:t>時有比丘名三彌離提，往詣佛所，稽首佛足，退坐一面</w:t>
      </w:r>
      <w:r w:rsidR="003A4B1B">
        <w:rPr>
          <w:rFonts w:ascii="標楷體" w:eastAsia="標楷體" w:hAnsi="標楷體" w:hint="eastAsia"/>
          <w:color w:val="FF0000"/>
          <w:kern w:val="0"/>
          <w:highlight w:val="yellow"/>
        </w:rPr>
        <w:t>，</w:t>
      </w:r>
      <w:r w:rsidRPr="00212D57">
        <w:rPr>
          <w:rFonts w:eastAsia="標楷體"/>
          <w:szCs w:val="22"/>
        </w:rPr>
        <w:t>白佛言：「世尊！所謂</w:t>
      </w:r>
      <w:r w:rsidR="003A4B1B">
        <w:rPr>
          <w:rFonts w:ascii="標楷體" w:eastAsia="標楷體" w:hAnsi="標楷體" w:hint="eastAsia"/>
          <w:color w:val="FF0000"/>
          <w:kern w:val="0"/>
          <w:highlight w:val="yellow"/>
        </w:rPr>
        <w:t>『</w:t>
      </w:r>
      <w:r w:rsidRPr="00212D57">
        <w:rPr>
          <w:rFonts w:eastAsia="標楷體"/>
          <w:szCs w:val="22"/>
        </w:rPr>
        <w:t>世間空</w:t>
      </w:r>
      <w:r w:rsidR="003A4B1B">
        <w:rPr>
          <w:rFonts w:ascii="標楷體" w:eastAsia="標楷體" w:hAnsi="標楷體" w:hint="eastAsia"/>
          <w:color w:val="FF0000"/>
          <w:kern w:val="0"/>
          <w:highlight w:val="yellow"/>
        </w:rPr>
        <w:t>』</w:t>
      </w:r>
      <w:r w:rsidRPr="00212D57">
        <w:rPr>
          <w:rFonts w:eastAsia="標楷體"/>
          <w:szCs w:val="22"/>
        </w:rPr>
        <w:t>，云何名為</w:t>
      </w:r>
      <w:r w:rsidR="003A4B1B">
        <w:rPr>
          <w:rFonts w:ascii="標楷體" w:eastAsia="標楷體" w:hAnsi="標楷體" w:hint="eastAsia"/>
          <w:color w:val="FF0000"/>
          <w:kern w:val="0"/>
          <w:highlight w:val="yellow"/>
        </w:rPr>
        <w:t>『</w:t>
      </w:r>
      <w:r w:rsidRPr="00212D57">
        <w:rPr>
          <w:rFonts w:eastAsia="標楷體"/>
          <w:szCs w:val="22"/>
        </w:rPr>
        <w:t>世間空</w:t>
      </w:r>
      <w:r w:rsidR="003A4B1B">
        <w:rPr>
          <w:rFonts w:ascii="標楷體" w:eastAsia="標楷體" w:hAnsi="標楷體" w:hint="eastAsia"/>
          <w:color w:val="FF0000"/>
          <w:kern w:val="0"/>
          <w:highlight w:val="yellow"/>
        </w:rPr>
        <w:t>』</w:t>
      </w:r>
      <w:r w:rsidRPr="00212D57">
        <w:rPr>
          <w:rFonts w:eastAsia="標楷體"/>
          <w:szCs w:val="22"/>
        </w:rPr>
        <w:t>？」</w:t>
      </w:r>
    </w:p>
    <w:p w:rsidR="00157EF6" w:rsidRPr="00212D57" w:rsidRDefault="00157EF6" w:rsidP="00E50589">
      <w:pPr>
        <w:pStyle w:val="a5"/>
        <w:spacing w:line="300" w:lineRule="exact"/>
        <w:ind w:leftChars="105" w:left="252"/>
        <w:jc w:val="both"/>
        <w:rPr>
          <w:szCs w:val="22"/>
        </w:rPr>
      </w:pPr>
      <w:r w:rsidRPr="00212D57">
        <w:rPr>
          <w:rFonts w:eastAsia="標楷體"/>
          <w:szCs w:val="22"/>
        </w:rPr>
        <w:t>佛告三彌離提：「</w:t>
      </w:r>
      <w:r w:rsidRPr="00212D57">
        <w:rPr>
          <w:rFonts w:eastAsia="標楷體"/>
          <w:b/>
          <w:szCs w:val="22"/>
        </w:rPr>
        <w:t>眼空，常、恒、不變易法空，我所空。所以者何？此性自爾。</w:t>
      </w:r>
      <w:r w:rsidRPr="00212D57">
        <w:rPr>
          <w:rFonts w:eastAsia="標楷體"/>
          <w:szCs w:val="22"/>
        </w:rPr>
        <w:t>若色，眼識，眼觸，眼觸因緣生受</w:t>
      </w:r>
      <w:r w:rsidRPr="00212D57">
        <w:rPr>
          <w:rFonts w:ascii="標楷體" w:eastAsia="標楷體" w:hAnsi="標楷體"/>
          <w:szCs w:val="22"/>
        </w:rPr>
        <w:t>──</w:t>
      </w:r>
      <w:r w:rsidRPr="00212D57">
        <w:rPr>
          <w:rFonts w:eastAsia="標楷體"/>
          <w:szCs w:val="22"/>
        </w:rPr>
        <w:t>若苦、若樂、不苦不樂，彼亦空，常、恒、不變易法空，我所空。所以者何？此性自爾。耳、鼻、舌、身、意，亦復如是，是名</w:t>
      </w:r>
      <w:r w:rsidR="003A4B1B">
        <w:rPr>
          <w:rFonts w:ascii="標楷體" w:eastAsia="標楷體" w:hAnsi="標楷體" w:hint="eastAsia"/>
          <w:color w:val="FF0000"/>
          <w:kern w:val="0"/>
          <w:highlight w:val="yellow"/>
        </w:rPr>
        <w:t>『</w:t>
      </w:r>
      <w:r w:rsidRPr="00212D57">
        <w:rPr>
          <w:rFonts w:eastAsia="標楷體"/>
          <w:szCs w:val="22"/>
        </w:rPr>
        <w:t>空世間</w:t>
      </w:r>
      <w:r w:rsidR="003A4B1B">
        <w:rPr>
          <w:rFonts w:ascii="標楷體" w:eastAsia="標楷體" w:hAnsi="標楷體" w:hint="eastAsia"/>
          <w:color w:val="FF0000"/>
          <w:kern w:val="0"/>
          <w:highlight w:val="yellow"/>
        </w:rPr>
        <w:t>』</w:t>
      </w:r>
      <w:r w:rsidRPr="00212D57">
        <w:rPr>
          <w:szCs w:val="22"/>
        </w:rPr>
        <w:t>。</w:t>
      </w:r>
      <w:r w:rsidRPr="00212D57">
        <w:rPr>
          <w:rFonts w:eastAsia="標楷體"/>
          <w:szCs w:val="22"/>
        </w:rPr>
        <w:t>」</w:t>
      </w:r>
    </w:p>
  </w:footnote>
  <w:footnote w:id="222">
    <w:p w:rsidR="00157EF6" w:rsidRPr="00212D57" w:rsidRDefault="00157EF6" w:rsidP="00E50589">
      <w:pPr>
        <w:pStyle w:val="a5"/>
        <w:spacing w:line="300" w:lineRule="exac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《雜阿含經》卷</w:t>
      </w:r>
      <w:r w:rsidRPr="00761EF3">
        <w:rPr>
          <w:szCs w:val="22"/>
        </w:rPr>
        <w:t>11</w:t>
      </w:r>
      <w:r w:rsidRPr="00212D57">
        <w:rPr>
          <w:szCs w:val="22"/>
        </w:rPr>
        <w:t>（</w:t>
      </w:r>
      <w:r w:rsidRPr="00761EF3">
        <w:rPr>
          <w:szCs w:val="22"/>
        </w:rPr>
        <w:t>273</w:t>
      </w:r>
      <w:r w:rsidRPr="00212D57">
        <w:rPr>
          <w:szCs w:val="22"/>
        </w:rPr>
        <w:t>經）（大正</w:t>
      </w:r>
      <w:r w:rsidRPr="00761EF3">
        <w:rPr>
          <w:szCs w:val="22"/>
        </w:rPr>
        <w:t>2</w:t>
      </w:r>
      <w:r w:rsidRPr="00212D57">
        <w:rPr>
          <w:szCs w:val="22"/>
        </w:rPr>
        <w:t>，</w:t>
      </w:r>
      <w:r w:rsidRPr="00761EF3">
        <w:rPr>
          <w:szCs w:val="22"/>
        </w:rPr>
        <w:t>72c12</w:t>
      </w:r>
      <w:r w:rsidRPr="00212D57">
        <w:rPr>
          <w:szCs w:val="22"/>
        </w:rPr>
        <w:t>-</w:t>
      </w:r>
      <w:r w:rsidRPr="00761EF3">
        <w:rPr>
          <w:szCs w:val="22"/>
        </w:rPr>
        <w:t>15</w:t>
      </w:r>
      <w:r w:rsidRPr="00212D57">
        <w:rPr>
          <w:szCs w:val="22"/>
        </w:rPr>
        <w:t>）：</w:t>
      </w:r>
    </w:p>
    <w:p w:rsidR="00157EF6" w:rsidRPr="00212D57" w:rsidRDefault="00157EF6" w:rsidP="00E50589">
      <w:pPr>
        <w:pStyle w:val="a5"/>
        <w:spacing w:line="300" w:lineRule="exact"/>
        <w:ind w:leftChars="105" w:left="252"/>
        <w:jc w:val="both"/>
        <w:rPr>
          <w:szCs w:val="22"/>
        </w:rPr>
      </w:pPr>
      <w:r w:rsidRPr="00212D57">
        <w:rPr>
          <w:rFonts w:eastAsia="標楷體"/>
          <w:szCs w:val="22"/>
        </w:rPr>
        <w:t>比丘！諸行如幻，如炎，剎那時頃盡朽，不</w:t>
      </w:r>
      <w:r w:rsidR="003A4B1B">
        <w:rPr>
          <w:rFonts w:ascii="標楷體" w:eastAsia="標楷體" w:hAnsi="標楷體" w:hint="eastAsia"/>
          <w:bCs/>
          <w:color w:val="FF0000"/>
          <w:kern w:val="0"/>
          <w:highlight w:val="yellow"/>
        </w:rPr>
        <w:t>「</w:t>
      </w:r>
      <w:r w:rsidRPr="00212D57">
        <w:rPr>
          <w:rFonts w:eastAsia="標楷體"/>
          <w:szCs w:val="22"/>
        </w:rPr>
        <w:t>實來、實去</w:t>
      </w:r>
      <w:r w:rsidR="003A4B1B">
        <w:rPr>
          <w:rFonts w:ascii="標楷體" w:eastAsia="標楷體" w:hAnsi="標楷體" w:hint="eastAsia"/>
          <w:bCs/>
          <w:color w:val="FF0000"/>
          <w:kern w:val="0"/>
          <w:highlight w:val="yellow"/>
        </w:rPr>
        <w:t>」</w:t>
      </w:r>
      <w:r w:rsidRPr="00212D57">
        <w:rPr>
          <w:rFonts w:eastAsia="標楷體"/>
          <w:szCs w:val="22"/>
        </w:rPr>
        <w:t>，是故</w:t>
      </w:r>
      <w:r w:rsidR="003A4B1B">
        <w:rPr>
          <w:rFonts w:ascii="標楷體" w:eastAsia="標楷體" w:hAnsi="標楷體" w:hint="eastAsia"/>
          <w:color w:val="FF0000"/>
          <w:kern w:val="0"/>
          <w:highlight w:val="yellow"/>
        </w:rPr>
        <w:t>，</w:t>
      </w:r>
      <w:r w:rsidRPr="00212D57">
        <w:rPr>
          <w:rFonts w:eastAsia="標楷體"/>
          <w:szCs w:val="22"/>
        </w:rPr>
        <w:t>比丘</w:t>
      </w:r>
      <w:r w:rsidR="003A4B1B">
        <w:rPr>
          <w:rFonts w:ascii="標楷體" w:eastAsia="標楷體" w:hAnsi="標楷體" w:hint="eastAsia"/>
          <w:color w:val="FF0000"/>
          <w:kern w:val="0"/>
          <w:highlight w:val="yellow"/>
        </w:rPr>
        <w:t>！</w:t>
      </w:r>
      <w:r w:rsidRPr="00212D57">
        <w:rPr>
          <w:rFonts w:eastAsia="標楷體"/>
          <w:szCs w:val="22"/>
        </w:rPr>
        <w:t>於空諸行，當知、當喜、當念：</w:t>
      </w:r>
      <w:r w:rsidRPr="00212D57">
        <w:rPr>
          <w:rFonts w:eastAsia="標楷體"/>
          <w:b/>
          <w:szCs w:val="22"/>
        </w:rPr>
        <w:t>空諸行</w:t>
      </w:r>
      <w:r w:rsidRPr="00212D57">
        <w:rPr>
          <w:rFonts w:eastAsia="標楷體"/>
          <w:szCs w:val="22"/>
        </w:rPr>
        <w:t>，常、恆、住、不變易法空，無我</w:t>
      </w:r>
      <w:r w:rsidR="003A4B1B">
        <w:rPr>
          <w:rFonts w:ascii="標楷體" w:eastAsia="標楷體" w:hAnsi="標楷體" w:hint="eastAsia"/>
          <w:color w:val="FF0000"/>
          <w:kern w:val="0"/>
          <w:highlight w:val="yellow"/>
        </w:rPr>
        <w:t>.</w:t>
      </w:r>
      <w:r w:rsidRPr="00212D57">
        <w:rPr>
          <w:rFonts w:eastAsia="標楷體"/>
          <w:szCs w:val="22"/>
        </w:rPr>
        <w:t>我所。</w:t>
      </w:r>
    </w:p>
  </w:footnote>
  <w:footnote w:id="223">
    <w:p w:rsidR="00157EF6" w:rsidRPr="00212D57" w:rsidRDefault="00157EF6" w:rsidP="00E50589">
      <w:pPr>
        <w:pStyle w:val="a5"/>
        <w:spacing w:line="300" w:lineRule="exac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《中阿含經》卷</w:t>
      </w:r>
      <w:r w:rsidRPr="00761EF3">
        <w:rPr>
          <w:szCs w:val="22"/>
        </w:rPr>
        <w:t>49</w:t>
      </w:r>
      <w:r w:rsidRPr="00212D57">
        <w:rPr>
          <w:szCs w:val="22"/>
        </w:rPr>
        <w:t>（</w:t>
      </w:r>
      <w:r w:rsidRPr="00761EF3">
        <w:rPr>
          <w:szCs w:val="22"/>
        </w:rPr>
        <w:t>190</w:t>
      </w:r>
      <w:r w:rsidRPr="00212D57">
        <w:rPr>
          <w:szCs w:val="22"/>
        </w:rPr>
        <w:t>經）《小空經》（大正</w:t>
      </w:r>
      <w:r w:rsidRPr="00761EF3">
        <w:rPr>
          <w:szCs w:val="22"/>
        </w:rPr>
        <w:t>1</w:t>
      </w:r>
      <w:r w:rsidRPr="00212D57">
        <w:rPr>
          <w:szCs w:val="22"/>
        </w:rPr>
        <w:t>，</w:t>
      </w:r>
      <w:r w:rsidRPr="00761EF3">
        <w:rPr>
          <w:szCs w:val="22"/>
        </w:rPr>
        <w:t>737a4</w:t>
      </w:r>
      <w:r w:rsidRPr="00212D57">
        <w:rPr>
          <w:szCs w:val="22"/>
        </w:rPr>
        <w:t>）。</w:t>
      </w:r>
    </w:p>
  </w:footnote>
  <w:footnote w:id="224">
    <w:p w:rsidR="00157EF6" w:rsidRPr="00212D57" w:rsidRDefault="00157EF6" w:rsidP="00E9224A">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《瑜伽師地論》卷</w:t>
      </w:r>
      <w:r w:rsidRPr="00761EF3">
        <w:rPr>
          <w:szCs w:val="22"/>
        </w:rPr>
        <w:t>90</w:t>
      </w:r>
      <w:r w:rsidRPr="00212D57">
        <w:rPr>
          <w:szCs w:val="22"/>
        </w:rPr>
        <w:t>（大正</w:t>
      </w:r>
      <w:r w:rsidRPr="00761EF3">
        <w:rPr>
          <w:szCs w:val="22"/>
        </w:rPr>
        <w:t>30</w:t>
      </w:r>
      <w:r w:rsidRPr="00212D57">
        <w:rPr>
          <w:szCs w:val="22"/>
        </w:rPr>
        <w:t>，</w:t>
      </w:r>
      <w:r w:rsidRPr="00761EF3">
        <w:rPr>
          <w:szCs w:val="22"/>
        </w:rPr>
        <w:t>812c28</w:t>
      </w:r>
      <w:r w:rsidRPr="00212D57">
        <w:rPr>
          <w:szCs w:val="22"/>
        </w:rPr>
        <w:t>-</w:t>
      </w:r>
      <w:r w:rsidRPr="00761EF3">
        <w:rPr>
          <w:szCs w:val="22"/>
        </w:rPr>
        <w:t>a10</w:t>
      </w:r>
      <w:r w:rsidRPr="00212D57">
        <w:rPr>
          <w:szCs w:val="22"/>
        </w:rPr>
        <w:t>）：</w:t>
      </w:r>
    </w:p>
    <w:p w:rsidR="00157EF6" w:rsidRPr="00212D57" w:rsidRDefault="00157EF6" w:rsidP="00676405">
      <w:pPr>
        <w:pStyle w:val="a5"/>
        <w:ind w:leftChars="105" w:left="252"/>
        <w:jc w:val="both"/>
        <w:rPr>
          <w:rFonts w:eastAsia="標楷體"/>
          <w:szCs w:val="22"/>
        </w:rPr>
      </w:pPr>
      <w:r w:rsidRPr="00212D57">
        <w:rPr>
          <w:rFonts w:eastAsia="標楷體"/>
          <w:szCs w:val="22"/>
        </w:rPr>
        <w:t>以世間道修習空，當知為趣乃至上極無所有</w:t>
      </w:r>
      <w:r w:rsidRPr="00452177">
        <w:rPr>
          <w:rFonts w:eastAsia="標楷體"/>
          <w:szCs w:val="22"/>
          <w:highlight w:val="yellow"/>
        </w:rPr>
        <w:t>處漸</w:t>
      </w:r>
      <w:r w:rsidRPr="00212D57">
        <w:rPr>
          <w:rFonts w:eastAsia="標楷體"/>
          <w:szCs w:val="22"/>
        </w:rPr>
        <w:t>次離欲，自斯已後修聖道行，漸次除去無常行等，能趣非想非非想</w:t>
      </w:r>
      <w:r w:rsidRPr="005F6C56">
        <w:rPr>
          <w:rFonts w:eastAsia="標楷體"/>
          <w:szCs w:val="22"/>
          <w:highlight w:val="yellow"/>
        </w:rPr>
        <w:t>處畢</w:t>
      </w:r>
      <w:r w:rsidRPr="00212D57">
        <w:rPr>
          <w:rFonts w:eastAsia="標楷體"/>
          <w:szCs w:val="22"/>
        </w:rPr>
        <w:t>竟離欲。彼於爾</w:t>
      </w:r>
      <w:r w:rsidRPr="00452177">
        <w:rPr>
          <w:rFonts w:eastAsia="標楷體"/>
          <w:szCs w:val="22"/>
          <w:highlight w:val="yellow"/>
        </w:rPr>
        <w:t>時自</w:t>
      </w:r>
      <w:r w:rsidRPr="00212D57">
        <w:rPr>
          <w:rFonts w:eastAsia="標楷體"/>
          <w:szCs w:val="22"/>
        </w:rPr>
        <w:t>觀身中空無諸想，謂一切漏一向寂靜，永離熾然</w:t>
      </w:r>
      <w:r w:rsidR="005F6C56">
        <w:rPr>
          <w:rFonts w:eastAsia="標楷體" w:hint="eastAsia"/>
          <w:color w:val="FF0000"/>
          <w:szCs w:val="22"/>
          <w:highlight w:val="yellow"/>
        </w:rPr>
        <w:t>；</w:t>
      </w:r>
      <w:r w:rsidRPr="00212D57">
        <w:rPr>
          <w:rFonts w:eastAsia="標楷體"/>
          <w:szCs w:val="22"/>
        </w:rPr>
        <w:t>又觀身中有法不空</w:t>
      </w:r>
      <w:r w:rsidRPr="00212D57">
        <w:rPr>
          <w:rFonts w:eastAsia="標楷體" w:hint="eastAsia"/>
          <w:szCs w:val="22"/>
        </w:rPr>
        <w:t>，</w:t>
      </w:r>
      <w:r w:rsidRPr="00212D57">
        <w:rPr>
          <w:rFonts w:eastAsia="標楷體"/>
          <w:szCs w:val="22"/>
        </w:rPr>
        <w:t>謂此依止為緣，六處展轉互相任持，乃至壽住為緣</w:t>
      </w:r>
      <w:r w:rsidRPr="00212D57">
        <w:rPr>
          <w:rFonts w:eastAsia="標楷體" w:hint="eastAsia"/>
          <w:szCs w:val="22"/>
        </w:rPr>
        <w:t>，</w:t>
      </w:r>
      <w:r w:rsidRPr="00212D57">
        <w:rPr>
          <w:rFonts w:eastAsia="標楷體"/>
          <w:szCs w:val="22"/>
        </w:rPr>
        <w:t>諸清淨法無有壞滅。</w:t>
      </w:r>
      <w:r w:rsidRPr="00212D57">
        <w:rPr>
          <w:rFonts w:eastAsia="標楷體"/>
          <w:b/>
          <w:szCs w:val="22"/>
        </w:rPr>
        <w:t>當知</w:t>
      </w:r>
      <w:r w:rsidR="00452177" w:rsidRPr="00452177">
        <w:rPr>
          <w:rFonts w:eastAsia="標楷體" w:hint="eastAsia"/>
          <w:b/>
          <w:color w:val="FF0000"/>
          <w:szCs w:val="22"/>
          <w:highlight w:val="yellow"/>
        </w:rPr>
        <w:t>：</w:t>
      </w:r>
      <w:r w:rsidRPr="00212D57">
        <w:rPr>
          <w:rFonts w:eastAsia="標楷體"/>
          <w:b/>
          <w:szCs w:val="22"/>
        </w:rPr>
        <w:t>世尊於昔修習菩薩行</w:t>
      </w:r>
      <w:r w:rsidRPr="00452177">
        <w:rPr>
          <w:rFonts w:eastAsia="標楷體"/>
          <w:b/>
          <w:szCs w:val="22"/>
          <w:highlight w:val="yellow"/>
        </w:rPr>
        <w:t>位多</w:t>
      </w:r>
      <w:r w:rsidRPr="00212D57">
        <w:rPr>
          <w:rFonts w:eastAsia="標楷體"/>
          <w:b/>
          <w:szCs w:val="22"/>
        </w:rPr>
        <w:t>修</w:t>
      </w:r>
      <w:r w:rsidR="003A4B1B" w:rsidRPr="003A4B1B">
        <w:rPr>
          <w:rFonts w:ascii="標楷體" w:eastAsia="標楷體" w:hAnsi="標楷體" w:hint="eastAsia"/>
          <w:b/>
          <w:bCs/>
          <w:color w:val="FF0000"/>
          <w:kern w:val="0"/>
          <w:highlight w:val="yellow"/>
        </w:rPr>
        <w:t>「</w:t>
      </w:r>
      <w:r w:rsidRPr="003A4B1B">
        <w:rPr>
          <w:rFonts w:eastAsia="標楷體"/>
          <w:b/>
          <w:szCs w:val="22"/>
        </w:rPr>
        <w:t>空住</w:t>
      </w:r>
      <w:r w:rsidR="003A4B1B" w:rsidRPr="003A4B1B">
        <w:rPr>
          <w:rFonts w:ascii="標楷體" w:eastAsia="標楷體" w:hAnsi="標楷體" w:hint="eastAsia"/>
          <w:b/>
          <w:bCs/>
          <w:color w:val="FF0000"/>
          <w:kern w:val="0"/>
          <w:highlight w:val="yellow"/>
        </w:rPr>
        <w:t>」</w:t>
      </w:r>
      <w:r w:rsidRPr="003A4B1B">
        <w:rPr>
          <w:rFonts w:eastAsia="標楷體"/>
          <w:b/>
          <w:szCs w:val="22"/>
        </w:rPr>
        <w:t>，故能速證阿耨多羅三藐三菩提，非如思惟</w:t>
      </w:r>
      <w:r w:rsidR="003A4B1B" w:rsidRPr="003A4B1B">
        <w:rPr>
          <w:rFonts w:ascii="標楷體" w:eastAsia="標楷體" w:hAnsi="標楷體" w:hint="eastAsia"/>
          <w:b/>
          <w:bCs/>
          <w:color w:val="FF0000"/>
          <w:kern w:val="0"/>
          <w:highlight w:val="yellow"/>
        </w:rPr>
        <w:t>「</w:t>
      </w:r>
      <w:r w:rsidR="003A4B1B" w:rsidRPr="003A4B1B">
        <w:rPr>
          <w:rFonts w:ascii="標楷體" w:eastAsia="標楷體" w:hAnsi="標楷體" w:hint="eastAsia"/>
          <w:b/>
          <w:color w:val="FF0000"/>
          <w:kern w:val="0"/>
          <w:highlight w:val="yellow"/>
        </w:rPr>
        <w:t>『</w:t>
      </w:r>
      <w:r w:rsidRPr="003A4B1B">
        <w:rPr>
          <w:rFonts w:eastAsia="標楷體"/>
          <w:b/>
          <w:szCs w:val="22"/>
        </w:rPr>
        <w:t>無常</w:t>
      </w:r>
      <w:r w:rsidR="003A4B1B" w:rsidRPr="003A4B1B">
        <w:rPr>
          <w:rFonts w:ascii="標楷體" w:eastAsia="標楷體" w:hAnsi="標楷體" w:hint="eastAsia"/>
          <w:b/>
          <w:color w:val="FF0000"/>
          <w:spacing w:val="-4"/>
          <w:kern w:val="0"/>
          <w:highlight w:val="yellow"/>
        </w:rPr>
        <w:t>、</w:t>
      </w:r>
      <w:r w:rsidRPr="003A4B1B">
        <w:rPr>
          <w:rFonts w:eastAsia="標楷體"/>
          <w:b/>
          <w:szCs w:val="22"/>
        </w:rPr>
        <w:t>苦</w:t>
      </w:r>
      <w:r w:rsidR="003A4B1B" w:rsidRPr="003A4B1B">
        <w:rPr>
          <w:rFonts w:ascii="標楷體" w:eastAsia="標楷體" w:hAnsi="標楷體" w:hint="eastAsia"/>
          <w:b/>
          <w:color w:val="FF0000"/>
          <w:kern w:val="0"/>
          <w:highlight w:val="yellow"/>
        </w:rPr>
        <w:t>』</w:t>
      </w:r>
      <w:r w:rsidRPr="003A4B1B">
        <w:rPr>
          <w:rFonts w:eastAsia="標楷體"/>
          <w:b/>
          <w:szCs w:val="22"/>
        </w:rPr>
        <w:t>住</w:t>
      </w:r>
      <w:r w:rsidR="003A4B1B" w:rsidRPr="003A4B1B">
        <w:rPr>
          <w:rFonts w:ascii="標楷體" w:eastAsia="標楷體" w:hAnsi="標楷體" w:hint="eastAsia"/>
          <w:b/>
          <w:bCs/>
          <w:color w:val="FF0000"/>
          <w:kern w:val="0"/>
          <w:highlight w:val="yellow"/>
        </w:rPr>
        <w:t>」</w:t>
      </w:r>
      <w:r w:rsidR="00452177" w:rsidRPr="003A4B1B">
        <w:rPr>
          <w:rFonts w:eastAsia="標楷體" w:hint="eastAsia"/>
          <w:b/>
          <w:color w:val="FF0000"/>
          <w:szCs w:val="22"/>
          <w:highlight w:val="yellow"/>
        </w:rPr>
        <w:t>；</w:t>
      </w:r>
      <w:r w:rsidRPr="003A4B1B">
        <w:rPr>
          <w:rFonts w:eastAsia="標楷體"/>
          <w:b/>
          <w:szCs w:val="22"/>
        </w:rPr>
        <w:t>是故今者證得上妙菩提住已，由昔串習隨轉力故，多依</w:t>
      </w:r>
      <w:r w:rsidR="003A4B1B" w:rsidRPr="003A4B1B">
        <w:rPr>
          <w:rFonts w:ascii="標楷體" w:eastAsia="標楷體" w:hAnsi="標楷體" w:hint="eastAsia"/>
          <w:b/>
          <w:bCs/>
          <w:color w:val="FF0000"/>
          <w:kern w:val="0"/>
          <w:highlight w:val="yellow"/>
        </w:rPr>
        <w:t>「</w:t>
      </w:r>
      <w:r w:rsidRPr="003A4B1B">
        <w:rPr>
          <w:rFonts w:eastAsia="標楷體"/>
          <w:b/>
          <w:szCs w:val="22"/>
        </w:rPr>
        <w:t>空住</w:t>
      </w:r>
      <w:r w:rsidR="003A4B1B" w:rsidRPr="003A4B1B">
        <w:rPr>
          <w:rFonts w:ascii="標楷體" w:eastAsia="標楷體" w:hAnsi="標楷體" w:hint="eastAsia"/>
          <w:b/>
          <w:bCs/>
          <w:color w:val="FF0000"/>
          <w:kern w:val="0"/>
          <w:highlight w:val="yellow"/>
        </w:rPr>
        <w:t>」</w:t>
      </w:r>
      <w:r w:rsidRPr="00212D57">
        <w:rPr>
          <w:rFonts w:eastAsia="標楷體"/>
          <w:b/>
          <w:szCs w:val="22"/>
        </w:rPr>
        <w:t>。</w:t>
      </w:r>
    </w:p>
  </w:footnote>
  <w:footnote w:id="225">
    <w:p w:rsidR="00157EF6" w:rsidRPr="00212D57" w:rsidRDefault="00157EF6" w:rsidP="009E0A5A">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參見</w:t>
      </w:r>
      <w:r w:rsidR="006B3B05">
        <w:rPr>
          <w:rFonts w:hint="eastAsia"/>
          <w:szCs w:val="22"/>
        </w:rPr>
        <w:t>：</w:t>
      </w:r>
      <w:r w:rsidRPr="00212D57">
        <w:rPr>
          <w:szCs w:val="22"/>
        </w:rPr>
        <w:t>印順法師，《以佛法研究佛法》，〈</w:t>
      </w:r>
      <w:r w:rsidRPr="00212D57">
        <w:rPr>
          <w:rFonts w:hint="eastAsia"/>
          <w:szCs w:val="22"/>
        </w:rPr>
        <w:t>大乘是佛說論</w:t>
      </w:r>
      <w:r w:rsidRPr="00212D57">
        <w:rPr>
          <w:szCs w:val="22"/>
        </w:rPr>
        <w:t>〉</w:t>
      </w:r>
      <w:r w:rsidRPr="00212D57">
        <w:rPr>
          <w:rFonts w:ascii="新細明體" w:hAnsi="新細明體"/>
          <w:szCs w:val="22"/>
        </w:rPr>
        <w:t>，</w:t>
      </w:r>
      <w:r w:rsidRPr="00761EF3">
        <w:rPr>
          <w:szCs w:val="22"/>
        </w:rPr>
        <w:t>pp</w:t>
      </w:r>
      <w:r w:rsidRPr="00212D57">
        <w:rPr>
          <w:szCs w:val="22"/>
        </w:rPr>
        <w:t>.</w:t>
      </w:r>
      <w:r w:rsidRPr="00761EF3">
        <w:rPr>
          <w:szCs w:val="22"/>
        </w:rPr>
        <w:t>190</w:t>
      </w:r>
      <w:r w:rsidRPr="00212D57">
        <w:rPr>
          <w:szCs w:val="22"/>
        </w:rPr>
        <w:t>-</w:t>
      </w:r>
      <w:r w:rsidRPr="00761EF3">
        <w:rPr>
          <w:szCs w:val="22"/>
        </w:rPr>
        <w:t>192</w:t>
      </w:r>
      <w:r w:rsidR="006B3B05" w:rsidRPr="006B3B05">
        <w:rPr>
          <w:rFonts w:hint="eastAsia"/>
          <w:color w:val="FF0000"/>
          <w:szCs w:val="22"/>
          <w:highlight w:val="yellow"/>
        </w:rPr>
        <w:t>：</w:t>
      </w:r>
    </w:p>
    <w:p w:rsidR="00696C2F" w:rsidRDefault="00157EF6" w:rsidP="0041064E">
      <w:pPr>
        <w:pStyle w:val="a5"/>
        <w:ind w:leftChars="75" w:left="180"/>
        <w:jc w:val="both"/>
        <w:rPr>
          <w:rFonts w:eastAsia="標楷體"/>
          <w:szCs w:val="22"/>
        </w:rPr>
      </w:pPr>
      <w:r w:rsidRPr="00212D57">
        <w:rPr>
          <w:rFonts w:eastAsia="標楷體"/>
          <w:szCs w:val="22"/>
        </w:rPr>
        <w:t>佛世的佛教，是無限差別而一味的。三法印，在釋尊的證覺中，自然是一貫無礙。</w:t>
      </w:r>
    </w:p>
    <w:p w:rsidR="00157EF6" w:rsidRPr="00212D57" w:rsidRDefault="00157EF6" w:rsidP="0041064E">
      <w:pPr>
        <w:pStyle w:val="a5"/>
        <w:ind w:leftChars="75" w:left="180"/>
        <w:jc w:val="both"/>
        <w:rPr>
          <w:rFonts w:eastAsia="標楷體"/>
          <w:szCs w:val="22"/>
        </w:rPr>
      </w:pPr>
      <w:r w:rsidRPr="00212D57">
        <w:rPr>
          <w:rFonts w:eastAsia="標楷體"/>
          <w:szCs w:val="22"/>
        </w:rPr>
        <w:t>從初期聖典所表現的看來，這是行踐的理性，是厭苦、離欲、向滅的法則，是知苦、斷集、證滅的所修聖道的歷程。所以在</w:t>
      </w:r>
      <w:r w:rsidRPr="00212D57">
        <w:rPr>
          <w:rFonts w:eastAsia="標楷體"/>
          <w:b/>
          <w:szCs w:val="22"/>
        </w:rPr>
        <w:t>初期聲聞行者</w:t>
      </w:r>
      <w:r w:rsidRPr="00212D57">
        <w:rPr>
          <w:rFonts w:eastAsia="標楷體"/>
          <w:szCs w:val="22"/>
        </w:rPr>
        <w:t>的認識上，這含有很大的厭離情緒。</w:t>
      </w:r>
      <w:r w:rsidRPr="00212D57">
        <w:rPr>
          <w:rFonts w:eastAsia="標楷體"/>
          <w:b/>
          <w:szCs w:val="22"/>
        </w:rPr>
        <w:t>他把生死無常與涅槃寂靜截為兩件事，所以特別深切的痛感無常故苦，形成無常為門的聲聞行了</w:t>
      </w:r>
      <w:r w:rsidRPr="00212D57">
        <w:rPr>
          <w:rFonts w:eastAsia="標楷體"/>
          <w:szCs w:val="22"/>
        </w:rPr>
        <w:t>！</w:t>
      </w:r>
    </w:p>
    <w:p w:rsidR="00157EF6" w:rsidRPr="00212D57" w:rsidRDefault="00157EF6" w:rsidP="0041064E">
      <w:pPr>
        <w:pStyle w:val="a5"/>
        <w:ind w:leftChars="75" w:left="180"/>
        <w:jc w:val="both"/>
        <w:rPr>
          <w:rFonts w:eastAsia="標楷體"/>
          <w:szCs w:val="22"/>
        </w:rPr>
      </w:pPr>
      <w:r w:rsidRPr="00212D57">
        <w:rPr>
          <w:rFonts w:eastAsia="標楷體"/>
          <w:szCs w:val="22"/>
        </w:rPr>
        <w:t>原來，</w:t>
      </w:r>
      <w:r w:rsidRPr="00212D57">
        <w:rPr>
          <w:rFonts w:eastAsia="標楷體"/>
          <w:b/>
          <w:szCs w:val="22"/>
        </w:rPr>
        <w:t>三法印是依緣起而開顯的</w:t>
      </w:r>
      <w:r w:rsidRPr="00212D57">
        <w:rPr>
          <w:rFonts w:eastAsia="標楷體"/>
          <w:szCs w:val="22"/>
        </w:rPr>
        <w:t>：緣起的生滅，是諸行無常；緣起的寂滅，是涅槃寂靜。</w:t>
      </w:r>
    </w:p>
    <w:p w:rsidR="00157EF6" w:rsidRPr="00212D57" w:rsidRDefault="00157EF6" w:rsidP="0041064E">
      <w:pPr>
        <w:pStyle w:val="a5"/>
        <w:ind w:leftChars="75" w:left="180"/>
        <w:jc w:val="both"/>
        <w:rPr>
          <w:rFonts w:eastAsia="標楷體"/>
          <w:szCs w:val="22"/>
        </w:rPr>
      </w:pPr>
      <w:r w:rsidRPr="00212D57">
        <w:rPr>
          <w:rFonts w:eastAsia="標楷體"/>
          <w:b/>
          <w:szCs w:val="22"/>
        </w:rPr>
        <w:t>初期</w:t>
      </w:r>
      <w:r w:rsidRPr="00212D57">
        <w:rPr>
          <w:rFonts w:eastAsia="標楷體"/>
          <w:szCs w:val="22"/>
        </w:rPr>
        <w:t>急於厭離的學者，從</w:t>
      </w:r>
      <w:r w:rsidRPr="00212D57">
        <w:rPr>
          <w:rFonts w:eastAsia="標楷體"/>
          <w:b/>
          <w:szCs w:val="22"/>
        </w:rPr>
        <w:t>緣起生滅相</w:t>
      </w:r>
      <w:r w:rsidRPr="00212D57">
        <w:rPr>
          <w:rFonts w:eastAsia="標楷體"/>
          <w:szCs w:val="22"/>
        </w:rPr>
        <w:t>去看，所以見他的歷別而三法印分離了。但真能從無常入無我，從無我證無生寂滅的聖者，也決不別執（他的四諦，也稱生滅的，有量的，有作的）。</w:t>
      </w:r>
    </w:p>
    <w:p w:rsidR="00696C2F" w:rsidRDefault="00157EF6" w:rsidP="0041064E">
      <w:pPr>
        <w:pStyle w:val="a5"/>
        <w:ind w:leftChars="75" w:left="180"/>
        <w:jc w:val="both"/>
        <w:rPr>
          <w:rFonts w:eastAsia="標楷體"/>
          <w:szCs w:val="22"/>
        </w:rPr>
      </w:pPr>
      <w:r w:rsidRPr="00212D57">
        <w:rPr>
          <w:rFonts w:eastAsia="標楷體"/>
          <w:szCs w:val="22"/>
        </w:rPr>
        <w:t>菩薩行者，從緣起的生滅中徹見寂滅性，體現一切法的無差別性。從這畢竟空寂的觀點看一切，三法印即是一實相印（他的四諦，也稱不生滅的，無量的，無作的）。</w:t>
      </w:r>
    </w:p>
    <w:p w:rsidR="00157EF6" w:rsidRPr="00212D57" w:rsidRDefault="00157EF6" w:rsidP="0041064E">
      <w:pPr>
        <w:pStyle w:val="a5"/>
        <w:ind w:leftChars="75" w:left="180"/>
        <w:jc w:val="both"/>
        <w:rPr>
          <w:rFonts w:eastAsia="標楷體"/>
          <w:szCs w:val="22"/>
        </w:rPr>
      </w:pPr>
      <w:r w:rsidRPr="00696C2F">
        <w:rPr>
          <w:rFonts w:eastAsia="標楷體"/>
          <w:szCs w:val="22"/>
          <w:highlight w:val="yellow"/>
        </w:rPr>
        <w:t>一</w:t>
      </w:r>
      <w:r w:rsidRPr="00212D57">
        <w:rPr>
          <w:rFonts w:eastAsia="標楷體"/>
          <w:szCs w:val="22"/>
        </w:rPr>
        <w:t>從差別的見地，漸入而會歸一滅；一從無別的見地，見性空而遍通三法印。古人說的拙度、巧度，也只是這個。</w:t>
      </w:r>
    </w:p>
    <w:p w:rsidR="00157EF6" w:rsidRPr="00212D57" w:rsidRDefault="00157EF6" w:rsidP="0041064E">
      <w:pPr>
        <w:pStyle w:val="a5"/>
        <w:ind w:leftChars="75" w:left="180"/>
        <w:jc w:val="both"/>
        <w:rPr>
          <w:rFonts w:eastAsia="標楷體"/>
          <w:szCs w:val="22"/>
        </w:rPr>
      </w:pPr>
      <w:r w:rsidRPr="00212D57">
        <w:rPr>
          <w:rFonts w:eastAsia="標楷體"/>
          <w:szCs w:val="22"/>
        </w:rPr>
        <w:t>這樣，生滅相即寂滅性，生死即涅槃，不妨離聲聞厭離行而別走菩薩等觀的性空行了！</w:t>
      </w:r>
    </w:p>
    <w:p w:rsidR="00157EF6" w:rsidRPr="00212D57" w:rsidRDefault="00157EF6" w:rsidP="0041064E">
      <w:pPr>
        <w:pStyle w:val="a5"/>
        <w:ind w:leftChars="75" w:left="180"/>
        <w:jc w:val="both"/>
        <w:rPr>
          <w:rFonts w:eastAsia="標楷體"/>
          <w:szCs w:val="22"/>
        </w:rPr>
      </w:pPr>
      <w:r w:rsidRPr="00212D57">
        <w:rPr>
          <w:rFonts w:eastAsia="標楷體"/>
          <w:szCs w:val="22"/>
        </w:rPr>
        <w:t>我們的見解，《第一義空經》，《大空經》等，本是聖典舊物。所以性空門的發揚，決非否定，抨擊根本的聖典，反而是開顯他。即空的一切，只是蘊、界、處、緣起等；無我（三解脫門）是入道的不二門；無餘涅槃，是三乘共證而究竟的；但為菩薩說，而二乘也應該列席學般若。這一切，是怎樣的闡發釋尊正覺的本懷，不違舊來的聲聞行！</w:t>
      </w:r>
    </w:p>
    <w:p w:rsidR="00157EF6" w:rsidRPr="00212D57" w:rsidRDefault="00157EF6" w:rsidP="006B3B05">
      <w:pPr>
        <w:pStyle w:val="a5"/>
        <w:ind w:leftChars="75" w:left="180"/>
        <w:jc w:val="both"/>
        <w:rPr>
          <w:rFonts w:eastAsia="標楷體"/>
          <w:szCs w:val="22"/>
        </w:rPr>
      </w:pPr>
      <w:r w:rsidRPr="00212D57">
        <w:rPr>
          <w:rFonts w:eastAsia="標楷體"/>
          <w:b/>
          <w:szCs w:val="22"/>
        </w:rPr>
        <w:t>第二期</w:t>
      </w:r>
      <w:r w:rsidRPr="00212D57">
        <w:rPr>
          <w:rFonts w:eastAsia="標楷體"/>
          <w:szCs w:val="22"/>
        </w:rPr>
        <w:t>是</w:t>
      </w:r>
      <w:r w:rsidRPr="00212D57">
        <w:rPr>
          <w:rFonts w:eastAsia="標楷體"/>
          <w:b/>
          <w:szCs w:val="22"/>
        </w:rPr>
        <w:t>無我法印的開顯</w:t>
      </w:r>
      <w:r w:rsidRPr="00212D57">
        <w:rPr>
          <w:rFonts w:eastAsia="標楷體"/>
          <w:szCs w:val="22"/>
        </w:rPr>
        <w:t>，</w:t>
      </w:r>
      <w:r w:rsidRPr="00212D57">
        <w:rPr>
          <w:rFonts w:eastAsia="標楷體"/>
          <w:b/>
          <w:szCs w:val="22"/>
        </w:rPr>
        <w:t>第三期</w:t>
      </w:r>
      <w:r w:rsidRPr="00212D57">
        <w:rPr>
          <w:rFonts w:eastAsia="標楷體"/>
          <w:szCs w:val="22"/>
        </w:rPr>
        <w:t>是</w:t>
      </w:r>
      <w:r w:rsidRPr="00212D57">
        <w:rPr>
          <w:rFonts w:eastAsia="標楷體"/>
          <w:b/>
          <w:szCs w:val="22"/>
        </w:rPr>
        <w:t>涅槃法印的開顯</w:t>
      </w:r>
      <w:r w:rsidRPr="00212D57">
        <w:rPr>
          <w:rFonts w:eastAsia="標楷體"/>
          <w:szCs w:val="22"/>
        </w:rPr>
        <w:t>：我曾這麼說，但大有語病，容易起誤會。要知</w:t>
      </w:r>
      <w:r w:rsidRPr="00212D57">
        <w:rPr>
          <w:rFonts w:eastAsia="標楷體"/>
          <w:b/>
          <w:szCs w:val="22"/>
        </w:rPr>
        <w:t>三法印是依緣起的生滅與寂滅而說的</w:t>
      </w:r>
      <w:r w:rsidRPr="00212D57">
        <w:rPr>
          <w:rFonts w:eastAsia="標楷體"/>
          <w:szCs w:val="22"/>
        </w:rPr>
        <w:t>，法印有三，生滅與不生滅，卻只有二義。性空大乘的空寂，是我空、法空，是人無我與法無我，這自然是無我我所的開顯。但一切法空，就是諸法寂滅性，這就是涅槃；在諸法本空上，顯示諸法本寂滅，所以空也就是涅槃寂靜印的開顯。在同一的性空中，顯示無我與涅槃二義。</w:t>
      </w:r>
    </w:p>
    <w:p w:rsidR="00157EF6" w:rsidRPr="00212D57" w:rsidRDefault="00157EF6" w:rsidP="000F7EF7">
      <w:pPr>
        <w:pStyle w:val="a5"/>
        <w:spacing w:line="300" w:lineRule="exact"/>
        <w:ind w:leftChars="75" w:left="180"/>
        <w:jc w:val="both"/>
        <w:rPr>
          <w:rFonts w:eastAsia="標楷體"/>
          <w:szCs w:val="22"/>
        </w:rPr>
      </w:pPr>
      <w:r w:rsidRPr="00212D57">
        <w:rPr>
          <w:rFonts w:eastAsia="標楷體"/>
          <w:szCs w:val="22"/>
        </w:rPr>
        <w:t>這</w:t>
      </w:r>
      <w:r w:rsidRPr="00212D57">
        <w:rPr>
          <w:rFonts w:eastAsia="標楷體"/>
          <w:b/>
          <w:szCs w:val="22"/>
        </w:rPr>
        <w:t>第一</w:t>
      </w:r>
      <w:r w:rsidRPr="00212D57">
        <w:rPr>
          <w:rFonts w:eastAsia="標楷體"/>
          <w:szCs w:val="22"/>
        </w:rPr>
        <w:t>、法印有三，生滅與寂滅只有二。諸法無我是遍通的，從生滅邊說，無常是相續中的非常，無我是和合中的非實。從寂滅邊說，無我約所無說，寂滅約所無的當處說。</w:t>
      </w:r>
      <w:r w:rsidRPr="00212D57">
        <w:rPr>
          <w:rFonts w:eastAsia="標楷體"/>
          <w:b/>
          <w:szCs w:val="22"/>
        </w:rPr>
        <w:t>性空行，就是從無常的非實自性中，離自性而見空寂。</w:t>
      </w:r>
    </w:p>
    <w:p w:rsidR="00157EF6" w:rsidRPr="00212D57" w:rsidRDefault="00157EF6" w:rsidP="000F7EF7">
      <w:pPr>
        <w:pStyle w:val="a5"/>
        <w:spacing w:line="300" w:lineRule="exact"/>
        <w:ind w:leftChars="75" w:left="180"/>
        <w:jc w:val="both"/>
        <w:rPr>
          <w:rFonts w:eastAsia="標楷體"/>
          <w:szCs w:val="22"/>
        </w:rPr>
      </w:pPr>
      <w:r w:rsidRPr="00212D57">
        <w:rPr>
          <w:rFonts w:eastAsia="標楷體"/>
          <w:b/>
          <w:szCs w:val="22"/>
        </w:rPr>
        <w:t>第二</w:t>
      </w:r>
      <w:r w:rsidRPr="00212D57">
        <w:rPr>
          <w:rFonts w:eastAsia="標楷體"/>
          <w:szCs w:val="22"/>
        </w:rPr>
        <w:t>、在聖典中，涅槃是不許擬議的。因為一切是有餘的，是世間的；如用世間的去作著相的描寫擬議，那就必然要神化。他只能從無常無我中去體現，要加以言說思惟，只能說空、無、非、不、離。</w:t>
      </w:r>
    </w:p>
    <w:p w:rsidR="00157EF6" w:rsidRPr="00212D57" w:rsidRDefault="00157EF6" w:rsidP="000F7EF7">
      <w:pPr>
        <w:pStyle w:val="a5"/>
        <w:spacing w:line="300" w:lineRule="exact"/>
        <w:ind w:leftChars="75" w:left="180"/>
        <w:jc w:val="both"/>
        <w:rPr>
          <w:rFonts w:eastAsia="標楷體"/>
          <w:szCs w:val="22"/>
        </w:rPr>
      </w:pPr>
      <w:r w:rsidRPr="00212D57">
        <w:rPr>
          <w:rFonts w:eastAsia="標楷體"/>
          <w:b/>
          <w:szCs w:val="22"/>
        </w:rPr>
        <w:t>第三</w:t>
      </w:r>
      <w:r w:rsidRPr="00212D57">
        <w:rPr>
          <w:rFonts w:eastAsia="標楷體"/>
          <w:szCs w:val="22"/>
        </w:rPr>
        <w:t>、無可說明中的說明，不出二途：生死是此有故彼有；所以涅槃是此無故彼無，就是無性空。無自性空，自性涅槃，這是用實有非有的空來顯示的。</w:t>
      </w:r>
    </w:p>
    <w:p w:rsidR="00157EF6" w:rsidRPr="00212D57" w:rsidRDefault="00157EF6" w:rsidP="000F7EF7">
      <w:pPr>
        <w:pStyle w:val="a5"/>
        <w:spacing w:line="300" w:lineRule="exact"/>
        <w:ind w:leftChars="75" w:left="180"/>
        <w:jc w:val="both"/>
        <w:rPr>
          <w:rFonts w:eastAsia="標楷體"/>
          <w:szCs w:val="22"/>
        </w:rPr>
      </w:pPr>
      <w:r w:rsidRPr="00212D57">
        <w:rPr>
          <w:rFonts w:eastAsia="標楷體"/>
          <w:szCs w:val="22"/>
        </w:rPr>
        <w:t>又，生死是此生故彼生，所以涅槃是此滅故彼滅，就是寂滅。以生滅故，寂滅為樂，這是用生者不生的無生來顯示的。</w:t>
      </w:r>
    </w:p>
    <w:p w:rsidR="00696C2F" w:rsidRDefault="00157EF6" w:rsidP="000F7EF7">
      <w:pPr>
        <w:pStyle w:val="a5"/>
        <w:spacing w:line="300" w:lineRule="exact"/>
        <w:ind w:leftChars="75" w:left="180"/>
        <w:jc w:val="both"/>
        <w:rPr>
          <w:szCs w:val="22"/>
        </w:rPr>
      </w:pPr>
      <w:r w:rsidRPr="00212D57">
        <w:rPr>
          <w:rFonts w:eastAsia="標楷體"/>
          <w:szCs w:val="22"/>
        </w:rPr>
        <w:t>所以說三時思潮的遞代，是三法印的次第開顯；這在後期的大乘者，他們確是自覺為發揮真常妙有的大寂滅的，其實卻不盡然</w:t>
      </w:r>
      <w:r w:rsidRPr="00212D57">
        <w:rPr>
          <w:szCs w:val="22"/>
        </w:rPr>
        <w:t>。</w:t>
      </w:r>
    </w:p>
    <w:p w:rsidR="00696C2F" w:rsidRPr="009812DD" w:rsidRDefault="00696C2F" w:rsidP="00696C2F">
      <w:pPr>
        <w:tabs>
          <w:tab w:val="left" w:pos="2002"/>
          <w:tab w:val="left" w:pos="2884"/>
          <w:tab w:val="left" w:pos="3094"/>
          <w:tab w:val="left" w:pos="4606"/>
          <w:tab w:val="left" w:pos="6117"/>
        </w:tabs>
        <w:ind w:leftChars="75" w:left="180"/>
        <w:jc w:val="both"/>
        <w:rPr>
          <w:rFonts w:ascii="標楷體" w:eastAsia="標楷體" w:hAnsi="標楷體"/>
          <w:sz w:val="22"/>
          <w:szCs w:val="22"/>
        </w:rPr>
      </w:pPr>
      <w:r w:rsidRPr="009812DD">
        <w:rPr>
          <w:rFonts w:ascii="標楷體" w:eastAsia="標楷體" w:hAnsi="標楷體"/>
          <w:sz w:val="22"/>
          <w:szCs w:val="22"/>
        </w:rPr>
        <w:t>諸行無常</w:t>
      </w:r>
      <w:r w:rsidRPr="009812DD">
        <w:rPr>
          <w:rFonts w:ascii="標楷體" w:eastAsia="標楷體" w:hAnsi="標楷體" w:hint="eastAsia"/>
          <w:sz w:val="22"/>
          <w:szCs w:val="22"/>
        </w:rPr>
        <w:t>───</w:t>
      </w:r>
      <w:r w:rsidRPr="009812DD">
        <w:rPr>
          <w:rFonts w:ascii="標楷體" w:eastAsia="標楷體" w:hAnsi="標楷體"/>
          <w:sz w:val="22"/>
          <w:szCs w:val="22"/>
        </w:rPr>
        <w:t>從緣起生滅相說</w:t>
      </w:r>
      <w:r w:rsidRPr="009812DD">
        <w:rPr>
          <w:rFonts w:ascii="標楷體" w:eastAsia="標楷體" w:hAnsi="標楷體" w:hint="eastAsia"/>
          <w:sz w:val="22"/>
          <w:szCs w:val="22"/>
        </w:rPr>
        <w:t>──</w:t>
      </w:r>
      <w:r w:rsidRPr="009812DD">
        <w:rPr>
          <w:rFonts w:ascii="標楷體" w:eastAsia="標楷體" w:hAnsi="標楷體"/>
          <w:sz w:val="22"/>
          <w:szCs w:val="22"/>
        </w:rPr>
        <w:t>三法印的漸入一滅</w:t>
      </w:r>
      <w:r w:rsidRPr="009812DD">
        <w:rPr>
          <w:rFonts w:ascii="標楷體" w:eastAsia="標楷體" w:hAnsi="標楷體" w:hint="eastAsia"/>
          <w:sz w:val="22"/>
          <w:szCs w:val="22"/>
        </w:rPr>
        <w:t>──</w:t>
      </w:r>
      <w:r w:rsidRPr="009812DD">
        <w:rPr>
          <w:rFonts w:ascii="標楷體" w:eastAsia="標楷體" w:hAnsi="標楷體"/>
          <w:sz w:val="22"/>
          <w:szCs w:val="22"/>
        </w:rPr>
        <w:t>聲聞行時代</w:t>
      </w:r>
    </w:p>
    <w:p w:rsidR="00696C2F" w:rsidRPr="009812DD" w:rsidRDefault="00696C2F" w:rsidP="00696C2F">
      <w:pPr>
        <w:tabs>
          <w:tab w:val="left" w:pos="2002"/>
          <w:tab w:val="left" w:pos="2884"/>
          <w:tab w:val="left" w:pos="3094"/>
          <w:tab w:val="left" w:pos="4606"/>
          <w:tab w:val="left" w:pos="6117"/>
        </w:tabs>
        <w:spacing w:line="0" w:lineRule="atLeast"/>
        <w:ind w:leftChars="75" w:left="180"/>
        <w:jc w:val="both"/>
        <w:rPr>
          <w:rFonts w:ascii="標楷體" w:eastAsia="標楷體" w:hAnsi="標楷體"/>
          <w:sz w:val="22"/>
          <w:szCs w:val="22"/>
        </w:rPr>
      </w:pPr>
      <w:r w:rsidRPr="009812DD">
        <w:rPr>
          <w:rFonts w:ascii="標楷體" w:eastAsia="標楷體" w:hAnsi="標楷體"/>
          <w:sz w:val="22"/>
          <w:szCs w:val="22"/>
        </w:rPr>
        <w:tab/>
        <w:t>無常……無我……不生</w:t>
      </w:r>
      <w:r w:rsidRPr="009812DD">
        <w:rPr>
          <w:rFonts w:ascii="標楷體" w:eastAsia="標楷體" w:hAnsi="標楷體"/>
          <w:sz w:val="22"/>
          <w:szCs w:val="22"/>
        </w:rPr>
        <w:tab/>
      </w:r>
      <w:r w:rsidRPr="009812DD">
        <w:rPr>
          <w:rFonts w:ascii="標楷體" w:eastAsia="標楷體" w:hAnsi="標楷體"/>
          <w:sz w:val="22"/>
          <w:szCs w:val="22"/>
          <w:bdr w:val="single" w:sz="4" w:space="0" w:color="auto"/>
        </w:rPr>
        <w:t>證入涅槃</w:t>
      </w:r>
      <w:r w:rsidRPr="009812DD">
        <w:rPr>
          <w:rFonts w:ascii="標楷體" w:eastAsia="標楷體" w:hAnsi="標楷體"/>
          <w:sz w:val="22"/>
          <w:szCs w:val="22"/>
        </w:rPr>
        <w:tab/>
        <w:t>己利行</w:t>
      </w:r>
    </w:p>
    <w:p w:rsidR="00696C2F" w:rsidRPr="009812DD" w:rsidRDefault="00696C2F" w:rsidP="00696C2F">
      <w:pPr>
        <w:tabs>
          <w:tab w:val="left" w:pos="2002"/>
          <w:tab w:val="left" w:pos="2884"/>
          <w:tab w:val="left" w:pos="3094"/>
          <w:tab w:val="left" w:pos="4606"/>
          <w:tab w:val="left" w:pos="6117"/>
        </w:tabs>
        <w:spacing w:line="0" w:lineRule="atLeast"/>
        <w:ind w:leftChars="75" w:left="180"/>
        <w:jc w:val="both"/>
        <w:rPr>
          <w:rFonts w:ascii="標楷體" w:eastAsia="標楷體" w:hAnsi="標楷體"/>
          <w:sz w:val="22"/>
          <w:szCs w:val="22"/>
        </w:rPr>
      </w:pPr>
      <w:r w:rsidRPr="009812DD">
        <w:rPr>
          <w:rFonts w:ascii="標楷體" w:eastAsia="標楷體" w:hAnsi="標楷體"/>
          <w:sz w:val="22"/>
          <w:szCs w:val="22"/>
        </w:rPr>
        <w:t>諸法無我</w:t>
      </w:r>
      <w:r w:rsidRPr="009812DD">
        <w:rPr>
          <w:rFonts w:ascii="標楷體" w:eastAsia="標楷體" w:hAnsi="標楷體"/>
          <w:sz w:val="22"/>
          <w:szCs w:val="22"/>
        </w:rPr>
        <w:tab/>
      </w:r>
      <w:r w:rsidRPr="009812DD">
        <w:rPr>
          <w:rFonts w:ascii="標楷體" w:eastAsia="標楷體" w:hAnsi="標楷體"/>
          <w:sz w:val="22"/>
          <w:szCs w:val="22"/>
        </w:rPr>
        <w:tab/>
      </w:r>
      <w:r>
        <w:rPr>
          <w:rFonts w:ascii="標楷體" w:eastAsia="標楷體" w:hAnsi="標楷體"/>
          <w:sz w:val="22"/>
          <w:szCs w:val="22"/>
        </w:rPr>
        <w:tab/>
      </w:r>
      <w:r w:rsidRPr="009812DD">
        <w:rPr>
          <w:rFonts w:ascii="標楷體" w:eastAsia="標楷體" w:hAnsi="標楷體"/>
          <w:sz w:val="22"/>
          <w:szCs w:val="22"/>
        </w:rPr>
        <w:t>（無常性）</w:t>
      </w:r>
    </w:p>
    <w:p w:rsidR="00696C2F" w:rsidRPr="009812DD" w:rsidRDefault="00696C2F" w:rsidP="00696C2F">
      <w:pPr>
        <w:tabs>
          <w:tab w:val="left" w:pos="2002"/>
          <w:tab w:val="left" w:pos="2884"/>
          <w:tab w:val="left" w:pos="3094"/>
          <w:tab w:val="left" w:pos="4606"/>
          <w:tab w:val="left" w:pos="6117"/>
        </w:tabs>
        <w:spacing w:line="0" w:lineRule="atLeast"/>
        <w:ind w:leftChars="75" w:left="180"/>
        <w:jc w:val="both"/>
        <w:rPr>
          <w:rFonts w:ascii="標楷體" w:eastAsia="標楷體" w:hAnsi="標楷體"/>
          <w:sz w:val="22"/>
          <w:szCs w:val="22"/>
        </w:rPr>
      </w:pPr>
      <w:r w:rsidRPr="009812DD">
        <w:rPr>
          <w:rFonts w:ascii="標楷體" w:eastAsia="標楷體" w:hAnsi="標楷體"/>
          <w:sz w:val="22"/>
          <w:szCs w:val="22"/>
        </w:rPr>
        <w:tab/>
        <w:t>無自性空</w:t>
      </w:r>
      <w:r>
        <w:rPr>
          <w:rFonts w:ascii="標楷體" w:eastAsia="標楷體" w:hAnsi="標楷體"/>
          <w:sz w:val="22"/>
          <w:szCs w:val="22"/>
        </w:rPr>
        <w:tab/>
      </w:r>
      <w:r>
        <w:rPr>
          <w:rFonts w:ascii="標楷體" w:eastAsia="標楷體" w:hAnsi="標楷體"/>
          <w:sz w:val="22"/>
          <w:szCs w:val="22"/>
        </w:rPr>
        <w:tab/>
      </w:r>
      <w:r w:rsidRPr="009812DD">
        <w:rPr>
          <w:rFonts w:ascii="標楷體" w:eastAsia="標楷體" w:hAnsi="標楷體"/>
          <w:sz w:val="22"/>
          <w:szCs w:val="22"/>
        </w:rPr>
        <w:t>（無我性）</w:t>
      </w:r>
      <w:r w:rsidRPr="009812DD">
        <w:rPr>
          <w:rFonts w:ascii="標楷體" w:eastAsia="標楷體" w:hAnsi="標楷體"/>
          <w:sz w:val="22"/>
          <w:szCs w:val="22"/>
        </w:rPr>
        <w:tab/>
      </w:r>
      <w:r w:rsidRPr="009812DD">
        <w:rPr>
          <w:rFonts w:ascii="標楷體" w:eastAsia="標楷體" w:hAnsi="標楷體"/>
          <w:sz w:val="22"/>
          <w:szCs w:val="22"/>
          <w:bdr w:val="single" w:sz="4" w:space="0" w:color="auto"/>
        </w:rPr>
        <w:t>自性寂滅</w:t>
      </w:r>
      <w:r w:rsidRPr="006B3B05">
        <w:rPr>
          <w:rFonts w:ascii="標楷體" w:eastAsia="標楷體" w:hAnsi="標楷體" w:hint="eastAsia"/>
          <w:sz w:val="22"/>
          <w:szCs w:val="22"/>
        </w:rPr>
        <w:t xml:space="preserve">      </w:t>
      </w:r>
    </w:p>
    <w:p w:rsidR="00696C2F" w:rsidRPr="009812DD" w:rsidRDefault="00696C2F" w:rsidP="00696C2F">
      <w:pPr>
        <w:tabs>
          <w:tab w:val="left" w:pos="2002"/>
          <w:tab w:val="left" w:pos="2884"/>
          <w:tab w:val="left" w:pos="3094"/>
          <w:tab w:val="left" w:pos="4606"/>
          <w:tab w:val="left" w:pos="6117"/>
        </w:tabs>
        <w:ind w:leftChars="75" w:left="180"/>
        <w:jc w:val="both"/>
        <w:rPr>
          <w:rFonts w:ascii="標楷體" w:eastAsia="標楷體" w:hAnsi="標楷體"/>
          <w:sz w:val="22"/>
          <w:szCs w:val="22"/>
        </w:rPr>
      </w:pPr>
      <w:r w:rsidRPr="009812DD">
        <w:rPr>
          <w:rFonts w:ascii="標楷體" w:eastAsia="標楷體" w:hAnsi="標楷體"/>
          <w:sz w:val="22"/>
          <w:szCs w:val="22"/>
        </w:rPr>
        <w:tab/>
      </w:r>
      <w:r w:rsidRPr="009812DD">
        <w:rPr>
          <w:rFonts w:ascii="標楷體" w:eastAsia="標楷體" w:hAnsi="標楷體"/>
          <w:sz w:val="22"/>
          <w:szCs w:val="22"/>
        </w:rPr>
        <w:tab/>
      </w:r>
      <w:r>
        <w:rPr>
          <w:rFonts w:ascii="標楷體" w:eastAsia="標楷體" w:hAnsi="標楷體"/>
          <w:sz w:val="22"/>
          <w:szCs w:val="22"/>
        </w:rPr>
        <w:tab/>
      </w:r>
      <w:r w:rsidRPr="009812DD">
        <w:rPr>
          <w:rFonts w:ascii="標楷體" w:eastAsia="標楷體" w:hAnsi="標楷體"/>
          <w:sz w:val="22"/>
          <w:szCs w:val="22"/>
        </w:rPr>
        <w:t>（無生性）</w:t>
      </w:r>
      <w:r w:rsidRPr="009812DD">
        <w:rPr>
          <w:rFonts w:ascii="標楷體" w:eastAsia="標楷體" w:hAnsi="標楷體"/>
          <w:sz w:val="22"/>
          <w:szCs w:val="22"/>
        </w:rPr>
        <w:tab/>
      </w:r>
      <w:r w:rsidRPr="009812DD">
        <w:rPr>
          <w:rFonts w:ascii="標楷體" w:eastAsia="標楷體" w:hAnsi="標楷體"/>
          <w:sz w:val="22"/>
          <w:szCs w:val="22"/>
        </w:rPr>
        <w:tab/>
        <w:t>普賢行</w:t>
      </w:r>
    </w:p>
    <w:p w:rsidR="00157EF6" w:rsidRPr="00212D57" w:rsidRDefault="00696C2F" w:rsidP="00696C2F">
      <w:pPr>
        <w:pStyle w:val="a5"/>
        <w:spacing w:line="300" w:lineRule="exact"/>
        <w:ind w:leftChars="75" w:left="180"/>
        <w:jc w:val="both"/>
        <w:rPr>
          <w:rFonts w:eastAsia="標楷體"/>
          <w:szCs w:val="22"/>
        </w:rPr>
      </w:pPr>
      <w:r w:rsidRPr="009812DD">
        <w:rPr>
          <w:rFonts w:ascii="標楷體" w:eastAsia="標楷體" w:hAnsi="標楷體"/>
          <w:szCs w:val="22"/>
        </w:rPr>
        <w:t>涅槃寂靜</w:t>
      </w:r>
      <w:r w:rsidRPr="009812DD">
        <w:rPr>
          <w:rFonts w:ascii="標楷體" w:eastAsia="標楷體" w:hAnsi="標楷體" w:hint="eastAsia"/>
          <w:szCs w:val="22"/>
        </w:rPr>
        <w:t>───</w:t>
      </w:r>
      <w:r w:rsidRPr="009812DD">
        <w:rPr>
          <w:rFonts w:ascii="標楷體" w:eastAsia="標楷體" w:hAnsi="標楷體"/>
          <w:szCs w:val="22"/>
        </w:rPr>
        <w:t>從緣起寂滅性說</w:t>
      </w:r>
      <w:r w:rsidRPr="009812DD">
        <w:rPr>
          <w:rFonts w:ascii="標楷體" w:eastAsia="標楷體" w:hAnsi="標楷體" w:hint="eastAsia"/>
          <w:szCs w:val="22"/>
        </w:rPr>
        <w:t>──</w:t>
      </w:r>
      <w:r w:rsidRPr="009812DD">
        <w:rPr>
          <w:rFonts w:ascii="標楷體" w:eastAsia="標楷體" w:hAnsi="標楷體"/>
          <w:szCs w:val="22"/>
        </w:rPr>
        <w:t>一實相的圓見三印</w:t>
      </w:r>
      <w:r w:rsidRPr="009812DD">
        <w:rPr>
          <w:rFonts w:ascii="標楷體" w:eastAsia="標楷體" w:hAnsi="標楷體" w:hint="eastAsia"/>
          <w:szCs w:val="22"/>
        </w:rPr>
        <w:t>──</w:t>
      </w:r>
      <w:r w:rsidRPr="009812DD">
        <w:rPr>
          <w:rFonts w:ascii="標楷體" w:eastAsia="標楷體" w:hAnsi="標楷體"/>
          <w:szCs w:val="22"/>
        </w:rPr>
        <w:t>菩薩行時代</w:t>
      </w:r>
    </w:p>
  </w:footnote>
  <w:footnote w:id="226">
    <w:p w:rsidR="00157EF6" w:rsidRPr="00212D57" w:rsidRDefault="00157EF6" w:rsidP="000F7EF7">
      <w:pPr>
        <w:pStyle w:val="a5"/>
        <w:spacing w:line="300" w:lineRule="exact"/>
        <w:ind w:left="704" w:hangingChars="320" w:hanging="704"/>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）《阿毘達磨大毘婆沙論》卷</w:t>
      </w:r>
      <w:r w:rsidRPr="00761EF3">
        <w:rPr>
          <w:szCs w:val="22"/>
        </w:rPr>
        <w:t>104</w:t>
      </w:r>
      <w:r w:rsidRPr="00212D57">
        <w:rPr>
          <w:szCs w:val="22"/>
        </w:rPr>
        <w:t>（大正</w:t>
      </w:r>
      <w:r w:rsidRPr="00761EF3">
        <w:rPr>
          <w:szCs w:val="22"/>
        </w:rPr>
        <w:t>27</w:t>
      </w:r>
      <w:r w:rsidRPr="00212D57">
        <w:rPr>
          <w:szCs w:val="22"/>
        </w:rPr>
        <w:t>，</w:t>
      </w:r>
      <w:r w:rsidRPr="00761EF3">
        <w:rPr>
          <w:szCs w:val="22"/>
        </w:rPr>
        <w:t>538c6</w:t>
      </w:r>
      <w:r w:rsidRPr="00212D57">
        <w:rPr>
          <w:szCs w:val="22"/>
        </w:rPr>
        <w:t>-</w:t>
      </w:r>
      <w:r w:rsidRPr="00761EF3">
        <w:rPr>
          <w:szCs w:val="22"/>
        </w:rPr>
        <w:t>9</w:t>
      </w:r>
      <w:r w:rsidRPr="00212D57">
        <w:rPr>
          <w:szCs w:val="22"/>
        </w:rPr>
        <w:t>）：</w:t>
      </w:r>
    </w:p>
    <w:p w:rsidR="00157EF6" w:rsidRPr="00212D57" w:rsidRDefault="00157EF6" w:rsidP="000F7EF7">
      <w:pPr>
        <w:pStyle w:val="a5"/>
        <w:spacing w:line="300" w:lineRule="exact"/>
        <w:ind w:leftChars="300" w:left="720"/>
        <w:jc w:val="both"/>
        <w:rPr>
          <w:rFonts w:eastAsia="標楷體"/>
          <w:szCs w:val="22"/>
        </w:rPr>
      </w:pPr>
      <w:r w:rsidRPr="00212D57">
        <w:rPr>
          <w:rFonts w:eastAsia="標楷體"/>
          <w:szCs w:val="22"/>
        </w:rPr>
        <w:t>三三摩地皆依行相差別建立，謂空三摩地</w:t>
      </w:r>
      <w:r w:rsidR="00E414C9">
        <w:rPr>
          <w:rFonts w:eastAsia="標楷體" w:hint="eastAsia"/>
          <w:color w:val="FF0000"/>
          <w:szCs w:val="22"/>
          <w:highlight w:val="yellow"/>
        </w:rPr>
        <w:t>，</w:t>
      </w:r>
      <w:r w:rsidRPr="00212D57">
        <w:rPr>
          <w:rFonts w:eastAsia="標楷體"/>
          <w:szCs w:val="22"/>
        </w:rPr>
        <w:t>有</w:t>
      </w:r>
      <w:r w:rsidR="00E414C9" w:rsidRPr="00E414C9">
        <w:rPr>
          <w:rFonts w:eastAsia="標楷體" w:hint="eastAsia"/>
          <w:color w:val="FF0000"/>
          <w:szCs w:val="22"/>
          <w:highlight w:val="yellow"/>
        </w:rPr>
        <w:t>「</w:t>
      </w:r>
      <w:r w:rsidRPr="00212D57">
        <w:rPr>
          <w:rFonts w:eastAsia="標楷體"/>
          <w:szCs w:val="22"/>
        </w:rPr>
        <w:t>空、非我</w:t>
      </w:r>
      <w:r w:rsidR="00E414C9">
        <w:rPr>
          <w:rFonts w:eastAsia="標楷體" w:hint="eastAsia"/>
          <w:color w:val="FF0000"/>
          <w:szCs w:val="22"/>
          <w:highlight w:val="yellow"/>
        </w:rPr>
        <w:t>」</w:t>
      </w:r>
      <w:r w:rsidRPr="00212D57">
        <w:rPr>
          <w:rFonts w:eastAsia="標楷體"/>
          <w:szCs w:val="22"/>
        </w:rPr>
        <w:t>二行相；無願三摩地</w:t>
      </w:r>
      <w:r w:rsidR="00E414C9">
        <w:rPr>
          <w:rFonts w:eastAsia="標楷體" w:hint="eastAsia"/>
          <w:color w:val="FF0000"/>
          <w:szCs w:val="22"/>
          <w:highlight w:val="yellow"/>
        </w:rPr>
        <w:t>，</w:t>
      </w:r>
      <w:r w:rsidRPr="00212D57">
        <w:rPr>
          <w:rFonts w:eastAsia="標楷體"/>
          <w:szCs w:val="22"/>
        </w:rPr>
        <w:t>有</w:t>
      </w:r>
      <w:r w:rsidR="00E414C9" w:rsidRPr="00E414C9">
        <w:rPr>
          <w:rFonts w:eastAsia="標楷體" w:hint="eastAsia"/>
          <w:color w:val="FF0000"/>
          <w:szCs w:val="22"/>
          <w:highlight w:val="yellow"/>
        </w:rPr>
        <w:t>「</w:t>
      </w:r>
      <w:r w:rsidRPr="00212D57">
        <w:rPr>
          <w:rFonts w:eastAsia="標楷體"/>
          <w:szCs w:val="22"/>
        </w:rPr>
        <w:t>苦、非常</w:t>
      </w:r>
      <w:r w:rsidR="00E414C9">
        <w:rPr>
          <w:rFonts w:eastAsia="標楷體" w:hint="eastAsia"/>
          <w:color w:val="FF0000"/>
          <w:szCs w:val="22"/>
          <w:highlight w:val="yellow"/>
        </w:rPr>
        <w:t>」</w:t>
      </w:r>
      <w:r w:rsidRPr="00212D57">
        <w:rPr>
          <w:rFonts w:eastAsia="標楷體"/>
          <w:szCs w:val="22"/>
        </w:rPr>
        <w:t>及</w:t>
      </w:r>
      <w:r w:rsidR="00E414C9" w:rsidRPr="00E414C9">
        <w:rPr>
          <w:rFonts w:eastAsia="標楷體" w:hint="eastAsia"/>
          <w:color w:val="FF0000"/>
          <w:szCs w:val="22"/>
          <w:highlight w:val="yellow"/>
        </w:rPr>
        <w:t>「</w:t>
      </w:r>
      <w:r w:rsidRPr="00212D57">
        <w:rPr>
          <w:rFonts w:eastAsia="標楷體"/>
          <w:szCs w:val="22"/>
        </w:rPr>
        <w:t>集、道</w:t>
      </w:r>
      <w:r w:rsidR="00E414C9">
        <w:rPr>
          <w:rFonts w:eastAsia="標楷體" w:hint="eastAsia"/>
          <w:color w:val="FF0000"/>
          <w:szCs w:val="22"/>
          <w:highlight w:val="yellow"/>
        </w:rPr>
        <w:t>」</w:t>
      </w:r>
      <w:r w:rsidRPr="00212D57">
        <w:rPr>
          <w:rFonts w:eastAsia="標楷體"/>
          <w:szCs w:val="22"/>
        </w:rPr>
        <w:t>各四行相；無相三摩地</w:t>
      </w:r>
      <w:r w:rsidR="00E414C9">
        <w:rPr>
          <w:rFonts w:eastAsia="標楷體" w:hint="eastAsia"/>
          <w:color w:val="FF0000"/>
          <w:szCs w:val="22"/>
          <w:highlight w:val="yellow"/>
        </w:rPr>
        <w:t>，</w:t>
      </w:r>
      <w:r w:rsidRPr="00212D57">
        <w:rPr>
          <w:rFonts w:eastAsia="標楷體"/>
          <w:szCs w:val="22"/>
        </w:rPr>
        <w:t>有</w:t>
      </w:r>
      <w:r w:rsidR="00E414C9" w:rsidRPr="00E414C9">
        <w:rPr>
          <w:rFonts w:eastAsia="標楷體" w:hint="eastAsia"/>
          <w:color w:val="FF0000"/>
          <w:szCs w:val="22"/>
          <w:highlight w:val="yellow"/>
        </w:rPr>
        <w:t>「</w:t>
      </w:r>
      <w:r w:rsidRPr="00212D57">
        <w:rPr>
          <w:rFonts w:eastAsia="標楷體"/>
          <w:szCs w:val="22"/>
        </w:rPr>
        <w:t>滅</w:t>
      </w:r>
      <w:r w:rsidR="00E414C9">
        <w:rPr>
          <w:rFonts w:eastAsia="標楷體" w:hint="eastAsia"/>
          <w:color w:val="FF0000"/>
          <w:szCs w:val="22"/>
          <w:highlight w:val="yellow"/>
        </w:rPr>
        <w:t>」</w:t>
      </w:r>
      <w:r w:rsidRPr="00212D57">
        <w:rPr>
          <w:rFonts w:eastAsia="標楷體"/>
          <w:szCs w:val="22"/>
        </w:rPr>
        <w:t>四行相。</w:t>
      </w:r>
    </w:p>
    <w:p w:rsidR="00157EF6" w:rsidRPr="00212D57" w:rsidRDefault="00157EF6" w:rsidP="000F7EF7">
      <w:pPr>
        <w:pStyle w:val="a5"/>
        <w:spacing w:line="300" w:lineRule="exact"/>
        <w:ind w:leftChars="80" w:left="742" w:hangingChars="250" w:hanging="550"/>
        <w:jc w:val="both"/>
        <w:rPr>
          <w:szCs w:val="22"/>
        </w:rPr>
      </w:pPr>
      <w:r w:rsidRPr="00212D57">
        <w:rPr>
          <w:szCs w:val="22"/>
        </w:rPr>
        <w:t>（</w:t>
      </w:r>
      <w:r w:rsidRPr="00761EF3">
        <w:rPr>
          <w:szCs w:val="22"/>
        </w:rPr>
        <w:t>2</w:t>
      </w:r>
      <w:r w:rsidRPr="00212D57">
        <w:rPr>
          <w:szCs w:val="22"/>
        </w:rPr>
        <w:t>）參見</w:t>
      </w:r>
      <w:r w:rsidR="006B3B05">
        <w:rPr>
          <w:rFonts w:hint="eastAsia"/>
          <w:szCs w:val="22"/>
        </w:rPr>
        <w:t>：</w:t>
      </w:r>
      <w:r w:rsidRPr="00212D57">
        <w:rPr>
          <w:szCs w:val="22"/>
        </w:rPr>
        <w:t>印順法師，《空之探究》</w:t>
      </w:r>
      <w:r w:rsidRPr="00212D57">
        <w:rPr>
          <w:rFonts w:hint="eastAsia"/>
          <w:szCs w:val="22"/>
        </w:rPr>
        <w:t>，</w:t>
      </w:r>
      <w:r w:rsidRPr="00212D57">
        <w:rPr>
          <w:szCs w:val="22"/>
        </w:rPr>
        <w:t>第</w:t>
      </w:r>
      <w:r w:rsidRPr="00761EF3">
        <w:rPr>
          <w:rFonts w:hint="eastAsia"/>
          <w:szCs w:val="22"/>
        </w:rPr>
        <w:t>1</w:t>
      </w:r>
      <w:r w:rsidRPr="00212D57">
        <w:rPr>
          <w:szCs w:val="22"/>
        </w:rPr>
        <w:t>章</w:t>
      </w:r>
      <w:r w:rsidRPr="00212D57">
        <w:rPr>
          <w:rFonts w:ascii="新細明體" w:hAnsi="新細明體" w:cs="新細明體" w:hint="eastAsia"/>
          <w:szCs w:val="22"/>
        </w:rPr>
        <w:t>，</w:t>
      </w:r>
      <w:r w:rsidRPr="00212D57">
        <w:rPr>
          <w:szCs w:val="22"/>
        </w:rPr>
        <w:t>第</w:t>
      </w:r>
      <w:r w:rsidRPr="00761EF3">
        <w:rPr>
          <w:rFonts w:hint="eastAsia"/>
          <w:szCs w:val="22"/>
        </w:rPr>
        <w:t>9</w:t>
      </w:r>
      <w:r w:rsidRPr="00212D57">
        <w:rPr>
          <w:szCs w:val="22"/>
        </w:rPr>
        <w:t>節〈三三昧</w:t>
      </w:r>
      <w:r w:rsidRPr="00212D57">
        <w:rPr>
          <w:rFonts w:hint="eastAsia"/>
          <w:szCs w:val="22"/>
        </w:rPr>
        <w:t>、</w:t>
      </w:r>
      <w:r w:rsidRPr="00212D57">
        <w:rPr>
          <w:szCs w:val="22"/>
        </w:rPr>
        <w:t>三觸</w:t>
      </w:r>
      <w:r w:rsidRPr="00212D57">
        <w:rPr>
          <w:rFonts w:hint="eastAsia"/>
          <w:szCs w:val="22"/>
        </w:rPr>
        <w:t>、</w:t>
      </w:r>
      <w:r w:rsidRPr="00212D57">
        <w:rPr>
          <w:szCs w:val="22"/>
        </w:rPr>
        <w:t>三法印〉，</w:t>
      </w:r>
      <w:r w:rsidRPr="00761EF3">
        <w:rPr>
          <w:szCs w:val="22"/>
        </w:rPr>
        <w:t>pp</w:t>
      </w:r>
      <w:r w:rsidRPr="00212D57">
        <w:rPr>
          <w:szCs w:val="22"/>
        </w:rPr>
        <w:t>.</w:t>
      </w:r>
      <w:r w:rsidRPr="00761EF3">
        <w:rPr>
          <w:szCs w:val="22"/>
        </w:rPr>
        <w:t>60</w:t>
      </w:r>
      <w:r w:rsidRPr="00212D57">
        <w:rPr>
          <w:szCs w:val="22"/>
        </w:rPr>
        <w:t>-</w:t>
      </w:r>
      <w:r w:rsidRPr="00761EF3">
        <w:rPr>
          <w:szCs w:val="22"/>
        </w:rPr>
        <w:t>67</w:t>
      </w:r>
      <w:r w:rsidRPr="00212D57">
        <w:rPr>
          <w:szCs w:val="22"/>
        </w:rPr>
        <w:t>。</w:t>
      </w:r>
    </w:p>
  </w:footnote>
  <w:footnote w:id="227">
    <w:p w:rsidR="006B3B05" w:rsidRPr="00212D57" w:rsidRDefault="006B3B05" w:rsidP="006B3B05">
      <w:pPr>
        <w:pStyle w:val="a5"/>
        <w:spacing w:line="300" w:lineRule="exact"/>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《雜阿含經》卷</w:t>
      </w:r>
      <w:r w:rsidRPr="00761EF3">
        <w:rPr>
          <w:szCs w:val="22"/>
        </w:rPr>
        <w:t>10</w:t>
      </w:r>
      <w:r w:rsidRPr="00212D57">
        <w:rPr>
          <w:szCs w:val="22"/>
        </w:rPr>
        <w:t>（</w:t>
      </w:r>
      <w:r w:rsidRPr="00761EF3">
        <w:rPr>
          <w:szCs w:val="22"/>
        </w:rPr>
        <w:t>260</w:t>
      </w:r>
      <w:r w:rsidRPr="00212D57">
        <w:rPr>
          <w:szCs w:val="22"/>
        </w:rPr>
        <w:t>經）（大正</w:t>
      </w:r>
      <w:r w:rsidRPr="00761EF3">
        <w:rPr>
          <w:szCs w:val="22"/>
        </w:rPr>
        <w:t>2</w:t>
      </w:r>
      <w:r w:rsidRPr="00212D57">
        <w:rPr>
          <w:szCs w:val="22"/>
        </w:rPr>
        <w:t>，</w:t>
      </w:r>
      <w:r w:rsidRPr="00761EF3">
        <w:rPr>
          <w:szCs w:val="22"/>
        </w:rPr>
        <w:t>65c18</w:t>
      </w:r>
      <w:r w:rsidRPr="00212D57">
        <w:rPr>
          <w:szCs w:val="22"/>
        </w:rPr>
        <w:t>-</w:t>
      </w:r>
      <w:r w:rsidRPr="00761EF3">
        <w:rPr>
          <w:szCs w:val="22"/>
        </w:rPr>
        <w:t>19</w:t>
      </w:r>
      <w:r w:rsidRPr="00212D57">
        <w:rPr>
          <w:szCs w:val="22"/>
        </w:rPr>
        <w:t>）：「</w:t>
      </w:r>
      <w:r w:rsidRPr="00212D57">
        <w:rPr>
          <w:rFonts w:eastAsia="標楷體"/>
          <w:szCs w:val="22"/>
        </w:rPr>
        <w:t>五受陰是本行所作</w:t>
      </w:r>
      <w:r w:rsidR="00101A54">
        <w:rPr>
          <w:rFonts w:ascii="標楷體" w:eastAsia="標楷體" w:hAnsi="標楷體" w:hint="eastAsia"/>
          <w:color w:val="FF0000"/>
          <w:spacing w:val="-4"/>
          <w:kern w:val="0"/>
          <w:highlight w:val="yellow"/>
        </w:rPr>
        <w:t>、</w:t>
      </w:r>
      <w:r w:rsidRPr="00212D57">
        <w:rPr>
          <w:rFonts w:eastAsia="標楷體"/>
          <w:szCs w:val="22"/>
        </w:rPr>
        <w:t>本所思願，是無常、滅法；彼法滅故，是名為</w:t>
      </w:r>
      <w:r w:rsidR="00101A54">
        <w:rPr>
          <w:rFonts w:ascii="標楷體" w:eastAsia="標楷體" w:hAnsi="標楷體" w:hint="eastAsia"/>
          <w:color w:val="FF0000"/>
          <w:kern w:val="0"/>
          <w:highlight w:val="yellow"/>
        </w:rPr>
        <w:t>『</w:t>
      </w:r>
      <w:r w:rsidRPr="00212D57">
        <w:rPr>
          <w:rFonts w:eastAsia="標楷體"/>
          <w:szCs w:val="22"/>
        </w:rPr>
        <w:t>滅</w:t>
      </w:r>
      <w:r w:rsidR="00101A54">
        <w:rPr>
          <w:rFonts w:ascii="標楷體" w:eastAsia="標楷體" w:hAnsi="標楷體" w:hint="eastAsia"/>
          <w:color w:val="FF0000"/>
          <w:kern w:val="0"/>
          <w:highlight w:val="yellow"/>
        </w:rPr>
        <w:t>』</w:t>
      </w:r>
      <w:r w:rsidRPr="00212D57">
        <w:rPr>
          <w:rFonts w:eastAsia="標楷體"/>
          <w:szCs w:val="22"/>
        </w:rPr>
        <w:t>。」</w:t>
      </w:r>
    </w:p>
  </w:footnote>
  <w:footnote w:id="228">
    <w:p w:rsidR="00157EF6" w:rsidRPr="00212D57" w:rsidRDefault="00157EF6" w:rsidP="005B547D">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《法集要頌經》卷</w:t>
      </w:r>
      <w:r w:rsidRPr="00761EF3">
        <w:rPr>
          <w:szCs w:val="22"/>
        </w:rPr>
        <w:t>2</w:t>
      </w:r>
      <w:r w:rsidRPr="00212D57">
        <w:rPr>
          <w:szCs w:val="22"/>
        </w:rPr>
        <w:t>（大正</w:t>
      </w:r>
      <w:r w:rsidRPr="00761EF3">
        <w:rPr>
          <w:szCs w:val="22"/>
        </w:rPr>
        <w:t>4</w:t>
      </w:r>
      <w:r w:rsidRPr="00212D57">
        <w:rPr>
          <w:szCs w:val="22"/>
        </w:rPr>
        <w:t>，</w:t>
      </w:r>
      <w:r w:rsidRPr="00761EF3">
        <w:rPr>
          <w:szCs w:val="22"/>
        </w:rPr>
        <w:t>789a21</w:t>
      </w:r>
      <w:r w:rsidRPr="00212D57">
        <w:rPr>
          <w:szCs w:val="22"/>
        </w:rPr>
        <w:t>-</w:t>
      </w:r>
      <w:r w:rsidRPr="00761EF3">
        <w:rPr>
          <w:szCs w:val="22"/>
        </w:rPr>
        <w:t>22</w:t>
      </w:r>
      <w:r w:rsidRPr="00212D57">
        <w:rPr>
          <w:szCs w:val="22"/>
        </w:rPr>
        <w:t>）。</w:t>
      </w:r>
    </w:p>
  </w:footnote>
  <w:footnote w:id="229">
    <w:p w:rsidR="00157EF6" w:rsidRPr="00212D57" w:rsidRDefault="00157EF6" w:rsidP="0041064E">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）《大般涅槃經》卷</w:t>
      </w:r>
      <w:r w:rsidR="003A6DF1">
        <w:rPr>
          <w:rFonts w:hint="eastAsia"/>
          <w:color w:val="FF0000"/>
          <w:szCs w:val="22"/>
          <w:highlight w:val="yellow"/>
        </w:rPr>
        <w:t>下</w:t>
      </w:r>
      <w:r w:rsidR="006B3827" w:rsidRPr="00212D57">
        <w:rPr>
          <w:szCs w:val="22"/>
        </w:rPr>
        <w:t>（大正</w:t>
      </w:r>
      <w:r w:rsidR="006B3827" w:rsidRPr="00761EF3">
        <w:rPr>
          <w:szCs w:val="22"/>
        </w:rPr>
        <w:t>1</w:t>
      </w:r>
      <w:r w:rsidR="006B3827" w:rsidRPr="00212D57">
        <w:rPr>
          <w:szCs w:val="22"/>
        </w:rPr>
        <w:t>，</w:t>
      </w:r>
      <w:r w:rsidR="006B3827" w:rsidRPr="00761EF3">
        <w:rPr>
          <w:szCs w:val="22"/>
        </w:rPr>
        <w:t>204c23</w:t>
      </w:r>
      <w:r w:rsidR="006B3827" w:rsidRPr="00212D57">
        <w:rPr>
          <w:szCs w:val="22"/>
        </w:rPr>
        <w:t>-</w:t>
      </w:r>
      <w:r w:rsidR="006B3827" w:rsidRPr="00761EF3">
        <w:rPr>
          <w:szCs w:val="22"/>
        </w:rPr>
        <w:t>24</w:t>
      </w:r>
      <w:r w:rsidR="006B3827" w:rsidRPr="00212D57">
        <w:rPr>
          <w:szCs w:val="22"/>
        </w:rPr>
        <w:t>）</w:t>
      </w:r>
      <w:r w:rsidRPr="00212D57">
        <w:rPr>
          <w:szCs w:val="22"/>
        </w:rPr>
        <w:t>：「</w:t>
      </w:r>
      <w:r w:rsidRPr="00212D57">
        <w:rPr>
          <w:rFonts w:eastAsia="標楷體"/>
          <w:szCs w:val="22"/>
        </w:rPr>
        <w:t>諸行無常，是生滅法</w:t>
      </w:r>
      <w:r w:rsidR="00101A54">
        <w:rPr>
          <w:rFonts w:ascii="標楷體" w:eastAsia="標楷體" w:hAnsi="標楷體" w:hint="eastAsia"/>
          <w:color w:val="FF0000"/>
          <w:spacing w:val="-4"/>
          <w:kern w:val="0"/>
          <w:highlight w:val="yellow"/>
        </w:rPr>
        <w:t>；</w:t>
      </w:r>
      <w:r w:rsidRPr="00212D57">
        <w:rPr>
          <w:rFonts w:eastAsia="標楷體"/>
          <w:szCs w:val="22"/>
        </w:rPr>
        <w:t>生滅滅已，寂滅為樂。</w:t>
      </w:r>
      <w:r w:rsidRPr="00212D57">
        <w:rPr>
          <w:szCs w:val="22"/>
        </w:rPr>
        <w:t>」</w:t>
      </w:r>
    </w:p>
    <w:p w:rsidR="00157EF6" w:rsidRPr="000C6D5D" w:rsidRDefault="00157EF6" w:rsidP="0041064E">
      <w:pPr>
        <w:pStyle w:val="a5"/>
        <w:ind w:leftChars="80" w:left="731" w:hangingChars="245" w:hanging="539"/>
        <w:jc w:val="both"/>
        <w:rPr>
          <w:szCs w:val="22"/>
        </w:rPr>
      </w:pPr>
      <w:r w:rsidRPr="00212D57">
        <w:rPr>
          <w:szCs w:val="22"/>
        </w:rPr>
        <w:t>（</w:t>
      </w:r>
      <w:r w:rsidRPr="00761EF3">
        <w:rPr>
          <w:szCs w:val="22"/>
        </w:rPr>
        <w:t>2</w:t>
      </w:r>
      <w:r w:rsidRPr="00212D57">
        <w:rPr>
          <w:szCs w:val="22"/>
        </w:rPr>
        <w:t>）《雜阿含經》卷</w:t>
      </w:r>
      <w:r w:rsidRPr="00761EF3">
        <w:rPr>
          <w:szCs w:val="22"/>
        </w:rPr>
        <w:t>34</w:t>
      </w:r>
      <w:r w:rsidRPr="00212D57">
        <w:rPr>
          <w:szCs w:val="22"/>
        </w:rPr>
        <w:t>（</w:t>
      </w:r>
      <w:r w:rsidRPr="00761EF3">
        <w:rPr>
          <w:szCs w:val="22"/>
        </w:rPr>
        <w:t>956</w:t>
      </w:r>
      <w:r w:rsidRPr="00212D57">
        <w:rPr>
          <w:szCs w:val="22"/>
        </w:rPr>
        <w:t>經）</w:t>
      </w:r>
      <w:r w:rsidR="006B3827" w:rsidRPr="00212D57">
        <w:rPr>
          <w:szCs w:val="22"/>
        </w:rPr>
        <w:t>（大正</w:t>
      </w:r>
      <w:r w:rsidR="006B3827" w:rsidRPr="00761EF3">
        <w:rPr>
          <w:szCs w:val="22"/>
        </w:rPr>
        <w:t>2</w:t>
      </w:r>
      <w:r w:rsidR="006B3827" w:rsidRPr="00212D57">
        <w:rPr>
          <w:szCs w:val="22"/>
        </w:rPr>
        <w:t>，</w:t>
      </w:r>
      <w:r w:rsidR="006B3827" w:rsidRPr="000C6D5D">
        <w:rPr>
          <w:szCs w:val="22"/>
        </w:rPr>
        <w:t>244a6-7</w:t>
      </w:r>
      <w:r w:rsidR="006B3827" w:rsidRPr="000C6D5D">
        <w:rPr>
          <w:szCs w:val="22"/>
        </w:rPr>
        <w:t>）</w:t>
      </w:r>
      <w:r w:rsidRPr="00212D57">
        <w:rPr>
          <w:szCs w:val="22"/>
        </w:rPr>
        <w:t>：「</w:t>
      </w:r>
      <w:r w:rsidRPr="00212D57">
        <w:rPr>
          <w:rFonts w:eastAsia="標楷體"/>
          <w:szCs w:val="22"/>
        </w:rPr>
        <w:t>一切行無常，悉皆生滅法，有生無不盡，唯寂滅為樂</w:t>
      </w:r>
      <w:r w:rsidRPr="00212D57">
        <w:rPr>
          <w:szCs w:val="22"/>
        </w:rPr>
        <w:t>。」</w:t>
      </w:r>
    </w:p>
    <w:p w:rsidR="00157EF6" w:rsidRPr="000C6D5D" w:rsidRDefault="00157EF6" w:rsidP="0041064E">
      <w:pPr>
        <w:pStyle w:val="a5"/>
        <w:ind w:leftChars="80" w:left="731" w:hangingChars="245" w:hanging="539"/>
        <w:jc w:val="both"/>
        <w:rPr>
          <w:szCs w:val="22"/>
        </w:rPr>
      </w:pPr>
      <w:r w:rsidRPr="000C6D5D">
        <w:rPr>
          <w:szCs w:val="22"/>
        </w:rPr>
        <w:t>（</w:t>
      </w:r>
      <w:r w:rsidRPr="000C6D5D">
        <w:rPr>
          <w:szCs w:val="22"/>
        </w:rPr>
        <w:t>3</w:t>
      </w:r>
      <w:r w:rsidRPr="000C6D5D">
        <w:rPr>
          <w:szCs w:val="22"/>
        </w:rPr>
        <w:t>）印順法師</w:t>
      </w:r>
      <w:r w:rsidRPr="000C6D5D">
        <w:rPr>
          <w:rFonts w:hint="eastAsia"/>
          <w:szCs w:val="22"/>
        </w:rPr>
        <w:t>，</w:t>
      </w:r>
      <w:r w:rsidRPr="000C6D5D">
        <w:rPr>
          <w:szCs w:val="22"/>
        </w:rPr>
        <w:t>《性空學探源》</w:t>
      </w:r>
      <w:r w:rsidRPr="000C6D5D">
        <w:rPr>
          <w:rFonts w:hint="eastAsia"/>
          <w:szCs w:val="22"/>
        </w:rPr>
        <w:t>，第</w:t>
      </w:r>
      <w:r w:rsidRPr="000C6D5D">
        <w:rPr>
          <w:rFonts w:hint="eastAsia"/>
          <w:szCs w:val="22"/>
        </w:rPr>
        <w:t>2</w:t>
      </w:r>
      <w:r w:rsidRPr="000C6D5D">
        <w:rPr>
          <w:rFonts w:hint="eastAsia"/>
          <w:szCs w:val="22"/>
        </w:rPr>
        <w:t>章〈阿含之空〉，</w:t>
      </w:r>
      <w:r w:rsidRPr="000C6D5D">
        <w:rPr>
          <w:rFonts w:hint="eastAsia"/>
          <w:szCs w:val="22"/>
        </w:rPr>
        <w:t>p</w:t>
      </w:r>
      <w:r w:rsidRPr="000C6D5D">
        <w:rPr>
          <w:szCs w:val="22"/>
        </w:rPr>
        <w:t>p.41-42</w:t>
      </w:r>
      <w:r w:rsidRPr="000C6D5D">
        <w:rPr>
          <w:szCs w:val="22"/>
        </w:rPr>
        <w:t>：</w:t>
      </w:r>
    </w:p>
    <w:p w:rsidR="00157EF6" w:rsidRPr="00212D57" w:rsidRDefault="00157EF6" w:rsidP="004A4FEB">
      <w:pPr>
        <w:pStyle w:val="a5"/>
        <w:tabs>
          <w:tab w:val="left" w:pos="142"/>
        </w:tabs>
        <w:ind w:leftChars="305" w:left="732"/>
        <w:jc w:val="both"/>
        <w:rPr>
          <w:rFonts w:eastAsia="標楷體"/>
          <w:szCs w:val="22"/>
        </w:rPr>
      </w:pPr>
      <w:r w:rsidRPr="000C6D5D">
        <w:rPr>
          <w:rFonts w:eastAsia="標楷體"/>
          <w:szCs w:val="22"/>
        </w:rPr>
        <w:t>無常是生滅義，生者必滅，一切一切</w:t>
      </w:r>
      <w:r w:rsidRPr="00212D57">
        <w:rPr>
          <w:rFonts w:eastAsia="標楷體"/>
          <w:szCs w:val="22"/>
        </w:rPr>
        <w:t>，確都是滅盡之法。世人固或知之，但他們偏注重到生生不已的生的一面，忽略了滅。生生不已，佛法並不否認；但生者必然要滅，一切痛苦依此生生不已而存在，確又是赤裸裸的事實。</w:t>
      </w:r>
      <w:r w:rsidRPr="00212D57">
        <w:rPr>
          <w:rFonts w:eastAsia="標楷體"/>
          <w:b/>
          <w:szCs w:val="22"/>
        </w:rPr>
        <w:t>佛法就是要在這生滅不已之中，設法使它滅而不生，以之解決一切痛苦。</w:t>
      </w:r>
      <w:r w:rsidRPr="00212D57">
        <w:rPr>
          <w:rFonts w:eastAsia="標楷體"/>
          <w:szCs w:val="22"/>
        </w:rPr>
        <w:t>滅，不是佛法的故意破壞，它是諸法本來如是的必然性（法性自爾）。</w:t>
      </w:r>
      <w:r w:rsidRPr="00212D57">
        <w:rPr>
          <w:rFonts w:eastAsia="標楷體"/>
          <w:b/>
          <w:szCs w:val="22"/>
        </w:rPr>
        <w:t>因有了某種特殊的因緣連繫縛著了，所以滅了之後又要生；現在把這連繫截斷；就可以無生滅而解決痛苦了。所以經說：「諸行無常，是生滅法；生滅滅已，寂滅為樂。」</w:t>
      </w:r>
      <w:r w:rsidRPr="00212D57">
        <w:rPr>
          <w:rFonts w:eastAsia="標楷體"/>
          <w:szCs w:val="22"/>
        </w:rPr>
        <w:t>或依三法印，從諸行生滅無常，體解我性的不可得。眾生因妄執常、我而生死，現在能夠了解蘊性無常、無我，離常、我的執見，則因無常生滅而厭、離欲，便可以達到涅槃之滅。</w:t>
      </w:r>
    </w:p>
    <w:p w:rsidR="00157EF6" w:rsidRPr="00212D57" w:rsidRDefault="00157EF6" w:rsidP="0041064E">
      <w:pPr>
        <w:pStyle w:val="a5"/>
        <w:ind w:leftChars="80" w:left="731" w:hangingChars="245" w:hanging="539"/>
        <w:jc w:val="both"/>
        <w:rPr>
          <w:szCs w:val="22"/>
        </w:rPr>
      </w:pPr>
      <w:r w:rsidRPr="00212D57">
        <w:rPr>
          <w:szCs w:val="22"/>
        </w:rPr>
        <w:t>（</w:t>
      </w:r>
      <w:r w:rsidRPr="00761EF3">
        <w:rPr>
          <w:rFonts w:hint="eastAsia"/>
          <w:szCs w:val="22"/>
        </w:rPr>
        <w:t>4</w:t>
      </w:r>
      <w:r w:rsidRPr="00212D57">
        <w:rPr>
          <w:szCs w:val="22"/>
        </w:rPr>
        <w:t>）另參見</w:t>
      </w:r>
      <w:r w:rsidR="003A6DF1">
        <w:rPr>
          <w:rFonts w:hint="eastAsia"/>
          <w:szCs w:val="22"/>
        </w:rPr>
        <w:t>：</w:t>
      </w:r>
      <w:r w:rsidRPr="00212D57">
        <w:rPr>
          <w:szCs w:val="22"/>
        </w:rPr>
        <w:t>印順法師</w:t>
      </w:r>
      <w:r w:rsidRPr="00212D57">
        <w:rPr>
          <w:rFonts w:hint="eastAsia"/>
          <w:szCs w:val="22"/>
        </w:rPr>
        <w:t>，《</w:t>
      </w:r>
      <w:r w:rsidRPr="00212D57">
        <w:rPr>
          <w:szCs w:val="22"/>
        </w:rPr>
        <w:t>佛法是救世之光》</w:t>
      </w:r>
      <w:r w:rsidRPr="00212D57">
        <w:rPr>
          <w:rFonts w:hint="eastAsia"/>
          <w:szCs w:val="22"/>
        </w:rPr>
        <w:t>，</w:t>
      </w:r>
      <w:r w:rsidRPr="00761EF3">
        <w:rPr>
          <w:rFonts w:hint="eastAsia"/>
          <w:szCs w:val="22"/>
        </w:rPr>
        <w:t>p</w:t>
      </w:r>
      <w:r w:rsidRPr="00761EF3">
        <w:rPr>
          <w:szCs w:val="22"/>
        </w:rPr>
        <w:t>p</w:t>
      </w:r>
      <w:r w:rsidRPr="00212D57">
        <w:rPr>
          <w:szCs w:val="22"/>
        </w:rPr>
        <w:t>.</w:t>
      </w:r>
      <w:r w:rsidRPr="00761EF3">
        <w:rPr>
          <w:szCs w:val="22"/>
        </w:rPr>
        <w:t>281</w:t>
      </w:r>
      <w:r w:rsidRPr="00212D57">
        <w:rPr>
          <w:szCs w:val="22"/>
        </w:rPr>
        <w:t>-</w:t>
      </w:r>
      <w:r w:rsidRPr="00761EF3">
        <w:rPr>
          <w:szCs w:val="22"/>
        </w:rPr>
        <w:t>282</w:t>
      </w:r>
      <w:r w:rsidRPr="00212D57">
        <w:rPr>
          <w:rFonts w:hint="eastAsia"/>
          <w:szCs w:val="22"/>
        </w:rPr>
        <w:t>。</w:t>
      </w:r>
    </w:p>
  </w:footnote>
  <w:footnote w:id="230">
    <w:p w:rsidR="00157EF6" w:rsidRPr="00212D57" w:rsidRDefault="00157EF6" w:rsidP="0041064E">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w:t>
      </w:r>
      <w:r w:rsidRPr="00212D57">
        <w:rPr>
          <w:spacing w:val="6"/>
          <w:szCs w:val="22"/>
        </w:rPr>
        <w:t>《摩訶般若波羅蜜經》卷</w:t>
      </w:r>
      <w:r w:rsidRPr="00761EF3">
        <w:rPr>
          <w:spacing w:val="6"/>
          <w:szCs w:val="22"/>
        </w:rPr>
        <w:t>15</w:t>
      </w:r>
      <w:r w:rsidRPr="00212D57">
        <w:rPr>
          <w:spacing w:val="6"/>
          <w:szCs w:val="22"/>
        </w:rPr>
        <w:t>〈</w:t>
      </w:r>
      <w:r w:rsidRPr="00761EF3">
        <w:rPr>
          <w:spacing w:val="6"/>
          <w:szCs w:val="22"/>
        </w:rPr>
        <w:t>52</w:t>
      </w:r>
      <w:r w:rsidRPr="00212D57">
        <w:rPr>
          <w:spacing w:val="6"/>
          <w:szCs w:val="22"/>
        </w:rPr>
        <w:t xml:space="preserve"> </w:t>
      </w:r>
      <w:r w:rsidRPr="00212D57">
        <w:rPr>
          <w:spacing w:val="6"/>
          <w:szCs w:val="22"/>
        </w:rPr>
        <w:t>知識品〉</w:t>
      </w:r>
      <w:r w:rsidR="006B3827" w:rsidRPr="00212D57">
        <w:rPr>
          <w:szCs w:val="22"/>
        </w:rPr>
        <w:t>（大正</w:t>
      </w:r>
      <w:r w:rsidR="006B3827" w:rsidRPr="00761EF3">
        <w:rPr>
          <w:szCs w:val="22"/>
        </w:rPr>
        <w:t>8</w:t>
      </w:r>
      <w:r w:rsidR="006B3827" w:rsidRPr="00212D57">
        <w:rPr>
          <w:szCs w:val="22"/>
        </w:rPr>
        <w:t>，</w:t>
      </w:r>
      <w:r w:rsidR="006B3827" w:rsidRPr="00761EF3">
        <w:rPr>
          <w:szCs w:val="22"/>
        </w:rPr>
        <w:t>333b5</w:t>
      </w:r>
      <w:r w:rsidR="006B3827" w:rsidRPr="00212D57">
        <w:rPr>
          <w:szCs w:val="22"/>
        </w:rPr>
        <w:t>-</w:t>
      </w:r>
      <w:r w:rsidR="006B3827" w:rsidRPr="00761EF3">
        <w:rPr>
          <w:szCs w:val="22"/>
        </w:rPr>
        <w:t>6</w:t>
      </w:r>
      <w:r w:rsidR="006B3827" w:rsidRPr="00212D57">
        <w:rPr>
          <w:szCs w:val="22"/>
        </w:rPr>
        <w:t>）</w:t>
      </w:r>
      <w:r w:rsidRPr="00212D57">
        <w:rPr>
          <w:spacing w:val="6"/>
          <w:szCs w:val="22"/>
        </w:rPr>
        <w:t>：「</w:t>
      </w:r>
      <w:r w:rsidRPr="00212D57">
        <w:rPr>
          <w:rFonts w:eastAsia="標楷體"/>
          <w:b/>
          <w:spacing w:val="6"/>
          <w:szCs w:val="22"/>
        </w:rPr>
        <w:t>一切法趣</w:t>
      </w:r>
      <w:r w:rsidR="00101A54" w:rsidRPr="00101A54">
        <w:rPr>
          <w:rFonts w:ascii="標楷體" w:eastAsia="標楷體" w:hAnsi="標楷體" w:hint="eastAsia"/>
          <w:b/>
          <w:color w:val="FF0000"/>
          <w:kern w:val="0"/>
          <w:highlight w:val="yellow"/>
        </w:rPr>
        <w:t>『</w:t>
      </w:r>
      <w:r w:rsidRPr="00101A54">
        <w:rPr>
          <w:rFonts w:eastAsia="標楷體"/>
          <w:b/>
          <w:spacing w:val="6"/>
          <w:szCs w:val="22"/>
        </w:rPr>
        <w:t>如</w:t>
      </w:r>
      <w:r w:rsidR="00101A54" w:rsidRPr="00101A54">
        <w:rPr>
          <w:rFonts w:ascii="標楷體" w:eastAsia="標楷體" w:hAnsi="標楷體" w:hint="eastAsia"/>
          <w:b/>
          <w:color w:val="FF0000"/>
          <w:kern w:val="0"/>
          <w:highlight w:val="yellow"/>
        </w:rPr>
        <w:t>』</w:t>
      </w:r>
      <w:r w:rsidRPr="00212D57">
        <w:rPr>
          <w:rFonts w:eastAsia="標楷體"/>
          <w:spacing w:val="6"/>
          <w:szCs w:val="22"/>
        </w:rPr>
        <w:t>，是趣不過。何以故？</w:t>
      </w:r>
      <w:r w:rsidR="00101A54">
        <w:rPr>
          <w:rFonts w:ascii="標楷體" w:eastAsia="標楷體" w:hAnsi="標楷體" w:hint="eastAsia"/>
          <w:color w:val="FF0000"/>
          <w:kern w:val="0"/>
          <w:highlight w:val="yellow"/>
        </w:rPr>
        <w:t>『</w:t>
      </w:r>
      <w:r w:rsidRPr="00212D57">
        <w:rPr>
          <w:rFonts w:eastAsia="標楷體"/>
          <w:szCs w:val="22"/>
        </w:rPr>
        <w:t>如</w:t>
      </w:r>
      <w:r w:rsidR="00101A54">
        <w:rPr>
          <w:rFonts w:ascii="標楷體" w:eastAsia="標楷體" w:hAnsi="標楷體" w:hint="eastAsia"/>
          <w:color w:val="FF0000"/>
          <w:kern w:val="0"/>
          <w:highlight w:val="yellow"/>
        </w:rPr>
        <w:t>』</w:t>
      </w:r>
      <w:r w:rsidRPr="00212D57">
        <w:rPr>
          <w:rFonts w:eastAsia="標楷體"/>
          <w:szCs w:val="22"/>
        </w:rPr>
        <w:t>中無來無去故。</w:t>
      </w:r>
      <w:r w:rsidRPr="00212D57">
        <w:rPr>
          <w:szCs w:val="22"/>
        </w:rPr>
        <w:t>」</w:t>
      </w:r>
    </w:p>
    <w:p w:rsidR="00157EF6" w:rsidRPr="00212D57" w:rsidRDefault="00157EF6" w:rsidP="0041064E">
      <w:pPr>
        <w:pStyle w:val="a5"/>
        <w:ind w:leftChars="80" w:left="731" w:hangingChars="245" w:hanging="539"/>
        <w:jc w:val="both"/>
        <w:rPr>
          <w:szCs w:val="22"/>
        </w:rPr>
      </w:pPr>
      <w:r w:rsidRPr="00212D57">
        <w:rPr>
          <w:szCs w:val="22"/>
        </w:rPr>
        <w:t>（</w:t>
      </w:r>
      <w:r w:rsidRPr="00761EF3">
        <w:rPr>
          <w:szCs w:val="22"/>
        </w:rPr>
        <w:t>2</w:t>
      </w:r>
      <w:r w:rsidRPr="00212D57">
        <w:rPr>
          <w:szCs w:val="22"/>
        </w:rPr>
        <w:t>）《維摩詰所說經》卷上〈</w:t>
      </w:r>
      <w:r w:rsidRPr="00761EF3">
        <w:rPr>
          <w:szCs w:val="22"/>
        </w:rPr>
        <w:t>4</w:t>
      </w:r>
      <w:r w:rsidRPr="00212D57">
        <w:rPr>
          <w:szCs w:val="22"/>
        </w:rPr>
        <w:t xml:space="preserve"> </w:t>
      </w:r>
      <w:r w:rsidRPr="00212D57">
        <w:rPr>
          <w:szCs w:val="22"/>
        </w:rPr>
        <w:t>菩薩品〉</w:t>
      </w:r>
      <w:r w:rsidR="006B3827" w:rsidRPr="00212D57">
        <w:rPr>
          <w:szCs w:val="22"/>
        </w:rPr>
        <w:t>（大正</w:t>
      </w:r>
      <w:r w:rsidR="006B3827" w:rsidRPr="00761EF3">
        <w:rPr>
          <w:szCs w:val="22"/>
        </w:rPr>
        <w:t>14</w:t>
      </w:r>
      <w:r w:rsidR="006B3827" w:rsidRPr="00212D57">
        <w:rPr>
          <w:szCs w:val="22"/>
        </w:rPr>
        <w:t>，</w:t>
      </w:r>
      <w:r w:rsidR="006B3827" w:rsidRPr="00761EF3">
        <w:rPr>
          <w:szCs w:val="22"/>
        </w:rPr>
        <w:t>542b8</w:t>
      </w:r>
      <w:r w:rsidR="006B3827" w:rsidRPr="00212D57">
        <w:rPr>
          <w:szCs w:val="22"/>
        </w:rPr>
        <w:t>-</w:t>
      </w:r>
      <w:r w:rsidR="006B3827" w:rsidRPr="00761EF3">
        <w:rPr>
          <w:szCs w:val="22"/>
        </w:rPr>
        <w:t>16</w:t>
      </w:r>
      <w:r w:rsidR="006B3827" w:rsidRPr="00212D57">
        <w:rPr>
          <w:szCs w:val="22"/>
        </w:rPr>
        <w:t>）</w:t>
      </w:r>
      <w:r w:rsidRPr="00212D57">
        <w:rPr>
          <w:szCs w:val="22"/>
        </w:rPr>
        <w:t>：「</w:t>
      </w:r>
      <w:r w:rsidRPr="00212D57">
        <w:rPr>
          <w:rFonts w:eastAsia="標楷體"/>
          <w:szCs w:val="22"/>
        </w:rPr>
        <w:t>云何彌勒受一生記乎？為從</w:t>
      </w:r>
      <w:r w:rsidR="00101A54">
        <w:rPr>
          <w:rFonts w:ascii="標楷體" w:eastAsia="標楷體" w:hAnsi="標楷體" w:hint="eastAsia"/>
          <w:color w:val="FF0000"/>
          <w:kern w:val="0"/>
          <w:highlight w:val="yellow"/>
        </w:rPr>
        <w:t>『</w:t>
      </w:r>
      <w:r w:rsidR="00101A54" w:rsidRPr="00212D57">
        <w:rPr>
          <w:rFonts w:eastAsia="標楷體"/>
          <w:szCs w:val="22"/>
        </w:rPr>
        <w:t>如</w:t>
      </w:r>
      <w:r w:rsidR="00101A54">
        <w:rPr>
          <w:rFonts w:ascii="標楷體" w:eastAsia="標楷體" w:hAnsi="標楷體" w:hint="eastAsia"/>
          <w:color w:val="FF0000"/>
          <w:kern w:val="0"/>
          <w:highlight w:val="yellow"/>
        </w:rPr>
        <w:t>』</w:t>
      </w:r>
      <w:r w:rsidRPr="00212D57">
        <w:rPr>
          <w:rFonts w:eastAsia="標楷體"/>
          <w:szCs w:val="22"/>
        </w:rPr>
        <w:t>生得受記耶？為從</w:t>
      </w:r>
      <w:r w:rsidR="00101A54">
        <w:rPr>
          <w:rFonts w:ascii="標楷體" w:eastAsia="標楷體" w:hAnsi="標楷體" w:hint="eastAsia"/>
          <w:color w:val="FF0000"/>
          <w:kern w:val="0"/>
          <w:highlight w:val="yellow"/>
        </w:rPr>
        <w:t>『</w:t>
      </w:r>
      <w:r w:rsidR="00101A54" w:rsidRPr="00212D57">
        <w:rPr>
          <w:rFonts w:eastAsia="標楷體"/>
          <w:szCs w:val="22"/>
        </w:rPr>
        <w:t>如</w:t>
      </w:r>
      <w:r w:rsidR="00101A54">
        <w:rPr>
          <w:rFonts w:ascii="標楷體" w:eastAsia="標楷體" w:hAnsi="標楷體" w:hint="eastAsia"/>
          <w:color w:val="FF0000"/>
          <w:kern w:val="0"/>
          <w:highlight w:val="yellow"/>
        </w:rPr>
        <w:t>』</w:t>
      </w:r>
      <w:r w:rsidRPr="00212D57">
        <w:rPr>
          <w:rFonts w:eastAsia="標楷體"/>
          <w:szCs w:val="22"/>
        </w:rPr>
        <w:t>滅得受記耶？若以</w:t>
      </w:r>
      <w:r w:rsidR="00101A54">
        <w:rPr>
          <w:rFonts w:ascii="標楷體" w:eastAsia="標楷體" w:hAnsi="標楷體" w:hint="eastAsia"/>
          <w:color w:val="FF0000"/>
          <w:kern w:val="0"/>
          <w:highlight w:val="yellow"/>
        </w:rPr>
        <w:t>『</w:t>
      </w:r>
      <w:r w:rsidR="00101A54" w:rsidRPr="00212D57">
        <w:rPr>
          <w:rFonts w:eastAsia="標楷體"/>
          <w:szCs w:val="22"/>
        </w:rPr>
        <w:t>如</w:t>
      </w:r>
      <w:r w:rsidR="00101A54">
        <w:rPr>
          <w:rFonts w:ascii="標楷體" w:eastAsia="標楷體" w:hAnsi="標楷體" w:hint="eastAsia"/>
          <w:color w:val="FF0000"/>
          <w:kern w:val="0"/>
          <w:highlight w:val="yellow"/>
        </w:rPr>
        <w:t>』</w:t>
      </w:r>
      <w:r w:rsidRPr="00212D57">
        <w:rPr>
          <w:rFonts w:eastAsia="標楷體"/>
          <w:szCs w:val="22"/>
        </w:rPr>
        <w:t>生得受記者，</w:t>
      </w:r>
      <w:r w:rsidR="00101A54">
        <w:rPr>
          <w:rFonts w:ascii="標楷體" w:eastAsia="標楷體" w:hAnsi="標楷體" w:hint="eastAsia"/>
          <w:color w:val="FF0000"/>
          <w:kern w:val="0"/>
          <w:highlight w:val="yellow"/>
        </w:rPr>
        <w:t>『</w:t>
      </w:r>
      <w:r w:rsidR="00101A54" w:rsidRPr="00212D57">
        <w:rPr>
          <w:rFonts w:eastAsia="標楷體"/>
          <w:szCs w:val="22"/>
        </w:rPr>
        <w:t>如</w:t>
      </w:r>
      <w:r w:rsidR="00101A54">
        <w:rPr>
          <w:rFonts w:ascii="標楷體" w:eastAsia="標楷體" w:hAnsi="標楷體" w:hint="eastAsia"/>
          <w:color w:val="FF0000"/>
          <w:kern w:val="0"/>
          <w:highlight w:val="yellow"/>
        </w:rPr>
        <w:t>』</w:t>
      </w:r>
      <w:r w:rsidRPr="00212D57">
        <w:rPr>
          <w:rFonts w:eastAsia="標楷體"/>
          <w:szCs w:val="22"/>
        </w:rPr>
        <w:t>無有生</w:t>
      </w:r>
      <w:r w:rsidR="00296217">
        <w:rPr>
          <w:rFonts w:eastAsia="標楷體" w:hint="eastAsia"/>
          <w:szCs w:val="22"/>
        </w:rPr>
        <w:t>；</w:t>
      </w:r>
      <w:r w:rsidRPr="00212D57">
        <w:rPr>
          <w:rFonts w:eastAsia="標楷體"/>
          <w:szCs w:val="22"/>
        </w:rPr>
        <w:t>若以</w:t>
      </w:r>
      <w:r w:rsidR="00101A54">
        <w:rPr>
          <w:rFonts w:ascii="標楷體" w:eastAsia="標楷體" w:hAnsi="標楷體" w:hint="eastAsia"/>
          <w:color w:val="FF0000"/>
          <w:kern w:val="0"/>
          <w:highlight w:val="yellow"/>
        </w:rPr>
        <w:t>『</w:t>
      </w:r>
      <w:r w:rsidR="00101A54" w:rsidRPr="00212D57">
        <w:rPr>
          <w:rFonts w:eastAsia="標楷體"/>
          <w:szCs w:val="22"/>
        </w:rPr>
        <w:t>如</w:t>
      </w:r>
      <w:r w:rsidR="00101A54">
        <w:rPr>
          <w:rFonts w:ascii="標楷體" w:eastAsia="標楷體" w:hAnsi="標楷體" w:hint="eastAsia"/>
          <w:color w:val="FF0000"/>
          <w:kern w:val="0"/>
          <w:highlight w:val="yellow"/>
        </w:rPr>
        <w:t>』</w:t>
      </w:r>
      <w:r w:rsidRPr="00212D57">
        <w:rPr>
          <w:rFonts w:eastAsia="標楷體"/>
          <w:szCs w:val="22"/>
        </w:rPr>
        <w:t>滅得受記者，</w:t>
      </w:r>
      <w:r w:rsidR="00101A54">
        <w:rPr>
          <w:rFonts w:ascii="標楷體" w:eastAsia="標楷體" w:hAnsi="標楷體" w:hint="eastAsia"/>
          <w:color w:val="FF0000"/>
          <w:kern w:val="0"/>
          <w:highlight w:val="yellow"/>
        </w:rPr>
        <w:t>『</w:t>
      </w:r>
      <w:r w:rsidR="00101A54" w:rsidRPr="00212D57">
        <w:rPr>
          <w:rFonts w:eastAsia="標楷體"/>
          <w:szCs w:val="22"/>
        </w:rPr>
        <w:t>如</w:t>
      </w:r>
      <w:r w:rsidR="00101A54">
        <w:rPr>
          <w:rFonts w:ascii="標楷體" w:eastAsia="標楷體" w:hAnsi="標楷體" w:hint="eastAsia"/>
          <w:color w:val="FF0000"/>
          <w:kern w:val="0"/>
          <w:highlight w:val="yellow"/>
        </w:rPr>
        <w:t>』</w:t>
      </w:r>
      <w:r w:rsidRPr="00212D57">
        <w:rPr>
          <w:rFonts w:eastAsia="標楷體"/>
          <w:szCs w:val="22"/>
        </w:rPr>
        <w:t>無有滅</w:t>
      </w:r>
      <w:r w:rsidR="00296217">
        <w:rPr>
          <w:rFonts w:eastAsia="標楷體" w:hint="eastAsia"/>
          <w:szCs w:val="22"/>
        </w:rPr>
        <w:t>。</w:t>
      </w:r>
      <w:r w:rsidRPr="00212D57">
        <w:rPr>
          <w:rFonts w:eastAsia="標楷體"/>
          <w:b/>
          <w:szCs w:val="22"/>
        </w:rPr>
        <w:t>一切眾生皆</w:t>
      </w:r>
      <w:r w:rsidR="00101A54" w:rsidRPr="00101A54">
        <w:rPr>
          <w:rFonts w:ascii="標楷體" w:eastAsia="標楷體" w:hAnsi="標楷體" w:hint="eastAsia"/>
          <w:b/>
          <w:color w:val="FF0000"/>
          <w:kern w:val="0"/>
          <w:highlight w:val="yellow"/>
        </w:rPr>
        <w:t>『</w:t>
      </w:r>
      <w:r w:rsidR="00101A54" w:rsidRPr="00101A54">
        <w:rPr>
          <w:rFonts w:eastAsia="標楷體"/>
          <w:b/>
          <w:spacing w:val="6"/>
          <w:szCs w:val="22"/>
        </w:rPr>
        <w:t>如</w:t>
      </w:r>
      <w:r w:rsidR="00101A54" w:rsidRPr="00101A54">
        <w:rPr>
          <w:rFonts w:ascii="標楷體" w:eastAsia="標楷體" w:hAnsi="標楷體" w:hint="eastAsia"/>
          <w:b/>
          <w:color w:val="FF0000"/>
          <w:kern w:val="0"/>
          <w:highlight w:val="yellow"/>
        </w:rPr>
        <w:t>』</w:t>
      </w:r>
      <w:r w:rsidRPr="00212D57">
        <w:rPr>
          <w:rFonts w:eastAsia="標楷體"/>
          <w:b/>
          <w:szCs w:val="22"/>
        </w:rPr>
        <w:t>也，一切法亦</w:t>
      </w:r>
      <w:r w:rsidR="00101A54" w:rsidRPr="00101A54">
        <w:rPr>
          <w:rFonts w:ascii="標楷體" w:eastAsia="標楷體" w:hAnsi="標楷體" w:hint="eastAsia"/>
          <w:b/>
          <w:color w:val="FF0000"/>
          <w:kern w:val="0"/>
          <w:highlight w:val="yellow"/>
        </w:rPr>
        <w:t>『</w:t>
      </w:r>
      <w:r w:rsidR="00101A54" w:rsidRPr="00101A54">
        <w:rPr>
          <w:rFonts w:eastAsia="標楷體"/>
          <w:b/>
          <w:spacing w:val="6"/>
          <w:szCs w:val="22"/>
        </w:rPr>
        <w:t>如</w:t>
      </w:r>
      <w:r w:rsidR="00101A54" w:rsidRPr="00101A54">
        <w:rPr>
          <w:rFonts w:ascii="標楷體" w:eastAsia="標楷體" w:hAnsi="標楷體" w:hint="eastAsia"/>
          <w:b/>
          <w:color w:val="FF0000"/>
          <w:kern w:val="0"/>
          <w:highlight w:val="yellow"/>
        </w:rPr>
        <w:t>』</w:t>
      </w:r>
      <w:r w:rsidRPr="00212D57">
        <w:rPr>
          <w:rFonts w:eastAsia="標楷體"/>
          <w:b/>
          <w:szCs w:val="22"/>
        </w:rPr>
        <w:t>也，眾聖賢亦</w:t>
      </w:r>
      <w:r w:rsidR="00101A54" w:rsidRPr="00101A54">
        <w:rPr>
          <w:rFonts w:ascii="標楷體" w:eastAsia="標楷體" w:hAnsi="標楷體" w:hint="eastAsia"/>
          <w:b/>
          <w:color w:val="FF0000"/>
          <w:kern w:val="0"/>
          <w:highlight w:val="yellow"/>
        </w:rPr>
        <w:t>『</w:t>
      </w:r>
      <w:r w:rsidR="00101A54" w:rsidRPr="00101A54">
        <w:rPr>
          <w:rFonts w:eastAsia="標楷體"/>
          <w:b/>
          <w:spacing w:val="6"/>
          <w:szCs w:val="22"/>
        </w:rPr>
        <w:t>如</w:t>
      </w:r>
      <w:r w:rsidR="00101A54" w:rsidRPr="00101A54">
        <w:rPr>
          <w:rFonts w:ascii="標楷體" w:eastAsia="標楷體" w:hAnsi="標楷體" w:hint="eastAsia"/>
          <w:b/>
          <w:color w:val="FF0000"/>
          <w:kern w:val="0"/>
          <w:highlight w:val="yellow"/>
        </w:rPr>
        <w:t>』</w:t>
      </w:r>
      <w:r w:rsidRPr="00212D57">
        <w:rPr>
          <w:rFonts w:eastAsia="標楷體"/>
          <w:b/>
          <w:szCs w:val="22"/>
        </w:rPr>
        <w:t>也</w:t>
      </w:r>
      <w:r w:rsidR="00101A54">
        <w:rPr>
          <w:rFonts w:ascii="標楷體" w:eastAsia="標楷體" w:hAnsi="標楷體" w:hint="eastAsia"/>
          <w:color w:val="FF0000"/>
          <w:kern w:val="0"/>
          <w:highlight w:val="yellow"/>
        </w:rPr>
        <w:t>，</w:t>
      </w:r>
      <w:r w:rsidRPr="00212D57">
        <w:rPr>
          <w:rFonts w:eastAsia="標楷體"/>
          <w:szCs w:val="22"/>
        </w:rPr>
        <w:t>至於彌勒亦</w:t>
      </w:r>
      <w:r w:rsidR="00101A54">
        <w:rPr>
          <w:rFonts w:ascii="標楷體" w:eastAsia="標楷體" w:hAnsi="標楷體" w:hint="eastAsia"/>
          <w:color w:val="FF0000"/>
          <w:kern w:val="0"/>
          <w:highlight w:val="yellow"/>
        </w:rPr>
        <w:t>『</w:t>
      </w:r>
      <w:r w:rsidR="00101A54">
        <w:rPr>
          <w:rFonts w:eastAsia="標楷體" w:hint="eastAsia"/>
          <w:szCs w:val="22"/>
        </w:rPr>
        <w:t>如</w:t>
      </w:r>
      <w:r w:rsidR="00101A54">
        <w:rPr>
          <w:rFonts w:ascii="標楷體" w:eastAsia="標楷體" w:hAnsi="標楷體" w:hint="eastAsia"/>
          <w:color w:val="FF0000"/>
          <w:kern w:val="0"/>
          <w:highlight w:val="yellow"/>
        </w:rPr>
        <w:t>』</w:t>
      </w:r>
      <w:r w:rsidRPr="00212D57">
        <w:rPr>
          <w:rFonts w:eastAsia="標楷體"/>
          <w:szCs w:val="22"/>
        </w:rPr>
        <w:t>也。若彌勒得受記者，一切眾生亦應受記。所以者何？夫</w:t>
      </w:r>
      <w:r w:rsidR="00101A54">
        <w:rPr>
          <w:rFonts w:ascii="標楷體" w:eastAsia="標楷體" w:hAnsi="標楷體" w:hint="eastAsia"/>
          <w:color w:val="FF0000"/>
          <w:kern w:val="0"/>
          <w:highlight w:val="yellow"/>
        </w:rPr>
        <w:t>『</w:t>
      </w:r>
      <w:r w:rsidR="00101A54">
        <w:rPr>
          <w:rFonts w:eastAsia="標楷體" w:hint="eastAsia"/>
          <w:szCs w:val="22"/>
        </w:rPr>
        <w:t>如</w:t>
      </w:r>
      <w:r w:rsidR="00101A54">
        <w:rPr>
          <w:rFonts w:ascii="標楷體" w:eastAsia="標楷體" w:hAnsi="標楷體" w:hint="eastAsia"/>
          <w:color w:val="FF0000"/>
          <w:kern w:val="0"/>
          <w:highlight w:val="yellow"/>
        </w:rPr>
        <w:t>』</w:t>
      </w:r>
      <w:r w:rsidRPr="00212D57">
        <w:rPr>
          <w:rFonts w:eastAsia="標楷體"/>
          <w:szCs w:val="22"/>
        </w:rPr>
        <w:t>者</w:t>
      </w:r>
      <w:r w:rsidR="00101A54">
        <w:rPr>
          <w:rFonts w:ascii="標楷體" w:eastAsia="標楷體" w:hAnsi="標楷體" w:hint="eastAsia"/>
          <w:color w:val="FF0000"/>
          <w:kern w:val="0"/>
          <w:highlight w:val="yellow"/>
        </w:rPr>
        <w:t>，</w:t>
      </w:r>
      <w:r w:rsidRPr="00212D57">
        <w:rPr>
          <w:rFonts w:eastAsia="標楷體"/>
          <w:szCs w:val="22"/>
        </w:rPr>
        <w:t>不二不異</w:t>
      </w:r>
      <w:r w:rsidR="00101A54">
        <w:rPr>
          <w:rFonts w:ascii="標楷體" w:eastAsia="標楷體" w:hAnsi="標楷體" w:hint="eastAsia"/>
          <w:color w:val="FF0000"/>
          <w:spacing w:val="-4"/>
          <w:kern w:val="0"/>
          <w:highlight w:val="yellow"/>
        </w:rPr>
        <w:t>；</w:t>
      </w:r>
      <w:r w:rsidRPr="00212D57">
        <w:rPr>
          <w:rFonts w:eastAsia="標楷體"/>
          <w:szCs w:val="22"/>
        </w:rPr>
        <w:t>若彌勒得阿耨多羅三藐三菩提者，一切眾生皆亦應得。</w:t>
      </w:r>
      <w:r w:rsidRPr="00212D57">
        <w:rPr>
          <w:szCs w:val="22"/>
        </w:rPr>
        <w:t>」</w:t>
      </w:r>
    </w:p>
  </w:footnote>
  <w:footnote w:id="231">
    <w:p w:rsidR="00130A2E" w:rsidRPr="00130A2E" w:rsidRDefault="00130A2E" w:rsidP="00130A2E">
      <w:pPr>
        <w:pStyle w:val="a5"/>
        <w:jc w:val="both"/>
        <w:rPr>
          <w:rStyle w:val="a6"/>
          <w:color w:val="FF0000"/>
          <w:szCs w:val="22"/>
          <w:highlight w:val="yellow"/>
          <w:vertAlign w:val="baseline"/>
        </w:rPr>
      </w:pPr>
      <w:r w:rsidRPr="00130A2E">
        <w:rPr>
          <w:rStyle w:val="a6"/>
          <w:color w:val="FF0000"/>
          <w:szCs w:val="22"/>
          <w:highlight w:val="yellow"/>
        </w:rPr>
        <w:footnoteRef/>
      </w:r>
      <w:r>
        <w:rPr>
          <w:rFonts w:eastAsia="標楷體" w:hint="eastAsia"/>
          <w:szCs w:val="22"/>
        </w:rPr>
        <w:t xml:space="preserve"> </w:t>
      </w:r>
      <w:r w:rsidRPr="00130A2E">
        <w:rPr>
          <w:rStyle w:val="a6"/>
          <w:rFonts w:hint="eastAsia"/>
          <w:color w:val="FF0000"/>
          <w:szCs w:val="22"/>
          <w:highlight w:val="yellow"/>
          <w:vertAlign w:val="baseline"/>
        </w:rPr>
        <w:t>《大智度論》卷</w:t>
      </w:r>
      <w:r w:rsidRPr="00130A2E">
        <w:rPr>
          <w:rStyle w:val="a6"/>
          <w:rFonts w:hint="eastAsia"/>
          <w:color w:val="FF0000"/>
          <w:szCs w:val="22"/>
          <w:highlight w:val="yellow"/>
          <w:vertAlign w:val="baseline"/>
        </w:rPr>
        <w:t>19</w:t>
      </w:r>
      <w:r w:rsidRPr="00130A2E">
        <w:rPr>
          <w:color w:val="FF0000"/>
          <w:szCs w:val="22"/>
          <w:highlight w:val="yellow"/>
        </w:rPr>
        <w:t>（大正</w:t>
      </w:r>
      <w:r w:rsidRPr="00130A2E">
        <w:rPr>
          <w:color w:val="FF0000"/>
          <w:szCs w:val="22"/>
          <w:highlight w:val="yellow"/>
        </w:rPr>
        <w:t>25</w:t>
      </w:r>
      <w:r w:rsidRPr="00130A2E">
        <w:rPr>
          <w:color w:val="FF0000"/>
          <w:szCs w:val="22"/>
          <w:highlight w:val="yellow"/>
        </w:rPr>
        <w:t>，</w:t>
      </w:r>
      <w:r w:rsidRPr="00130A2E">
        <w:rPr>
          <w:rStyle w:val="a6"/>
          <w:rFonts w:hint="eastAsia"/>
          <w:color w:val="FF0000"/>
          <w:szCs w:val="22"/>
          <w:highlight w:val="yellow"/>
          <w:vertAlign w:val="baseline"/>
        </w:rPr>
        <w:t>197c29-198a9</w:t>
      </w:r>
      <w:r w:rsidRPr="00130A2E">
        <w:rPr>
          <w:color w:val="FF0000"/>
          <w:szCs w:val="22"/>
          <w:highlight w:val="yellow"/>
        </w:rPr>
        <w:t>）：</w:t>
      </w:r>
    </w:p>
    <w:p w:rsidR="00130A2E" w:rsidRPr="00130A2E" w:rsidRDefault="00130A2E" w:rsidP="00130A2E">
      <w:pPr>
        <w:pStyle w:val="a5"/>
        <w:ind w:leftChars="75" w:left="180"/>
        <w:jc w:val="both"/>
        <w:rPr>
          <w:rFonts w:eastAsia="標楷體"/>
          <w:color w:val="FF0000"/>
          <w:szCs w:val="22"/>
          <w:highlight w:val="yellow"/>
        </w:rPr>
      </w:pPr>
      <w:r w:rsidRPr="00130A2E">
        <w:rPr>
          <w:rFonts w:eastAsia="標楷體" w:hint="eastAsia"/>
          <w:color w:val="FF0000"/>
          <w:szCs w:val="22"/>
          <w:highlight w:val="yellow"/>
        </w:rPr>
        <w:t>復次，聲聞辟支佛法中不說「世間即是涅槃</w:t>
      </w:r>
      <w:r w:rsidRPr="00130A2E">
        <w:rPr>
          <w:color w:val="FF0000"/>
          <w:szCs w:val="22"/>
          <w:highlight w:val="yellow"/>
        </w:rPr>
        <w:t>」</w:t>
      </w:r>
      <w:r w:rsidRPr="00130A2E">
        <w:rPr>
          <w:rFonts w:hint="eastAsia"/>
          <w:color w:val="FF0000"/>
          <w:szCs w:val="22"/>
          <w:highlight w:val="yellow"/>
        </w:rPr>
        <w:t>，</w:t>
      </w:r>
      <w:r w:rsidRPr="00130A2E">
        <w:rPr>
          <w:rFonts w:eastAsia="標楷體" w:hint="eastAsia"/>
          <w:color w:val="FF0000"/>
          <w:szCs w:val="22"/>
          <w:highlight w:val="yellow"/>
        </w:rPr>
        <w:t>何以故？智慧不深入諸法故。</w:t>
      </w:r>
    </w:p>
    <w:p w:rsidR="00130A2E" w:rsidRPr="00130A2E" w:rsidRDefault="00130A2E" w:rsidP="00130A2E">
      <w:pPr>
        <w:pStyle w:val="a5"/>
        <w:ind w:leftChars="75" w:left="180"/>
        <w:jc w:val="both"/>
        <w:rPr>
          <w:rFonts w:eastAsia="標楷體"/>
          <w:color w:val="FF0000"/>
          <w:szCs w:val="22"/>
          <w:highlight w:val="yellow"/>
        </w:rPr>
      </w:pPr>
      <w:r w:rsidRPr="00130A2E">
        <w:rPr>
          <w:rFonts w:eastAsia="標楷體" w:hint="eastAsia"/>
          <w:color w:val="FF0000"/>
          <w:szCs w:val="22"/>
          <w:highlight w:val="yellow"/>
        </w:rPr>
        <w:t>菩薩法中說「世間即是涅槃</w:t>
      </w:r>
      <w:r w:rsidRPr="00130A2E">
        <w:rPr>
          <w:color w:val="FF0000"/>
          <w:szCs w:val="22"/>
          <w:highlight w:val="yellow"/>
        </w:rPr>
        <w:t>」</w:t>
      </w:r>
      <w:r w:rsidRPr="00130A2E">
        <w:rPr>
          <w:rFonts w:eastAsia="標楷體" w:hint="eastAsia"/>
          <w:color w:val="FF0000"/>
          <w:szCs w:val="22"/>
          <w:highlight w:val="yellow"/>
        </w:rPr>
        <w:t>，智慧深入諸法故。</w:t>
      </w:r>
    </w:p>
    <w:p w:rsidR="00130A2E" w:rsidRPr="00130A2E" w:rsidRDefault="00130A2E" w:rsidP="00130A2E">
      <w:pPr>
        <w:pStyle w:val="a5"/>
        <w:ind w:leftChars="75" w:left="180"/>
        <w:jc w:val="both"/>
        <w:rPr>
          <w:rFonts w:eastAsia="標楷體"/>
          <w:color w:val="FF0000"/>
          <w:szCs w:val="22"/>
          <w:highlight w:val="yellow"/>
        </w:rPr>
      </w:pPr>
      <w:r w:rsidRPr="00130A2E">
        <w:rPr>
          <w:rFonts w:eastAsia="標楷體" w:hint="eastAsia"/>
          <w:color w:val="FF0000"/>
          <w:szCs w:val="22"/>
          <w:highlight w:val="yellow"/>
        </w:rPr>
        <w:t>如佛告須菩提：「色即是空，空即是色；受、想、行、識即是空，空即是受、想、行、識。」「空</w:t>
      </w:r>
      <w:r w:rsidRPr="00130A2E">
        <w:rPr>
          <w:color w:val="FF0000"/>
          <w:szCs w:val="22"/>
          <w:highlight w:val="yellow"/>
        </w:rPr>
        <w:t>」</w:t>
      </w:r>
      <w:r w:rsidRPr="00130A2E">
        <w:rPr>
          <w:rFonts w:eastAsia="標楷體" w:hint="eastAsia"/>
          <w:color w:val="FF0000"/>
          <w:szCs w:val="22"/>
          <w:highlight w:val="yellow"/>
        </w:rPr>
        <w:t>即是「涅槃</w:t>
      </w:r>
      <w:r w:rsidRPr="00130A2E">
        <w:rPr>
          <w:color w:val="FF0000"/>
          <w:szCs w:val="22"/>
          <w:highlight w:val="yellow"/>
        </w:rPr>
        <w:t>」</w:t>
      </w:r>
      <w:r w:rsidRPr="00130A2E">
        <w:rPr>
          <w:rFonts w:eastAsia="標楷體" w:hint="eastAsia"/>
          <w:color w:val="FF0000"/>
          <w:szCs w:val="22"/>
          <w:highlight w:val="yellow"/>
        </w:rPr>
        <w:t>，「涅槃</w:t>
      </w:r>
      <w:r w:rsidRPr="00130A2E">
        <w:rPr>
          <w:color w:val="FF0000"/>
          <w:szCs w:val="22"/>
          <w:highlight w:val="yellow"/>
        </w:rPr>
        <w:t>」</w:t>
      </w:r>
      <w:r w:rsidRPr="00130A2E">
        <w:rPr>
          <w:rFonts w:eastAsia="標楷體" w:hint="eastAsia"/>
          <w:color w:val="FF0000"/>
          <w:szCs w:val="22"/>
          <w:highlight w:val="yellow"/>
        </w:rPr>
        <w:t>即是「空</w:t>
      </w:r>
      <w:r w:rsidRPr="00130A2E">
        <w:rPr>
          <w:color w:val="FF0000"/>
          <w:szCs w:val="22"/>
          <w:highlight w:val="yellow"/>
        </w:rPr>
        <w:t>」</w:t>
      </w:r>
      <w:r w:rsidRPr="00130A2E">
        <w:rPr>
          <w:rFonts w:eastAsia="標楷體" w:hint="eastAsia"/>
          <w:color w:val="FF0000"/>
          <w:szCs w:val="22"/>
          <w:highlight w:val="yellow"/>
        </w:rPr>
        <w:t>。</w:t>
      </w:r>
    </w:p>
    <w:p w:rsidR="00130A2E" w:rsidRPr="00130A2E" w:rsidRDefault="00130A2E" w:rsidP="00130A2E">
      <w:pPr>
        <w:pStyle w:val="a5"/>
        <w:ind w:leftChars="75" w:left="180"/>
        <w:jc w:val="both"/>
        <w:rPr>
          <w:rFonts w:eastAsia="標楷體"/>
          <w:color w:val="FF0000"/>
          <w:szCs w:val="22"/>
          <w:highlight w:val="yellow"/>
        </w:rPr>
      </w:pPr>
      <w:r w:rsidRPr="00130A2E">
        <w:rPr>
          <w:rFonts w:eastAsia="標楷體" w:hint="eastAsia"/>
          <w:color w:val="FF0000"/>
          <w:szCs w:val="22"/>
          <w:highlight w:val="yellow"/>
        </w:rPr>
        <w:t>《中論》中亦說：「涅槃不異世間，世間不異涅槃。涅槃際世間際一際無有異故。」</w:t>
      </w:r>
      <w:r w:rsidR="000F22B6" w:rsidRPr="000F22B6">
        <w:rPr>
          <w:rFonts w:eastAsia="標楷體" w:hint="eastAsia"/>
          <w:color w:val="FF0000"/>
          <w:szCs w:val="22"/>
          <w:shd w:val="pct15" w:color="auto" w:fill="FFFFFF"/>
        </w:rPr>
        <w:t>*</w:t>
      </w:r>
    </w:p>
    <w:p w:rsidR="00130A2E" w:rsidRDefault="00130A2E" w:rsidP="00130A2E">
      <w:pPr>
        <w:pStyle w:val="a5"/>
        <w:ind w:leftChars="75" w:left="180"/>
        <w:jc w:val="both"/>
        <w:rPr>
          <w:rFonts w:eastAsia="標楷體"/>
          <w:color w:val="FF0000"/>
          <w:szCs w:val="22"/>
        </w:rPr>
      </w:pPr>
      <w:r w:rsidRPr="00130A2E">
        <w:rPr>
          <w:rFonts w:eastAsia="標楷體" w:hint="eastAsia"/>
          <w:color w:val="FF0000"/>
          <w:szCs w:val="22"/>
          <w:highlight w:val="yellow"/>
        </w:rPr>
        <w:t>菩薩摩訶薩得是實相故，不厭世間，不樂涅槃；三十七品是實智之地。</w:t>
      </w:r>
    </w:p>
    <w:p w:rsidR="000F22B6" w:rsidRPr="00C75D11" w:rsidRDefault="000F22B6" w:rsidP="000F22B6">
      <w:pPr>
        <w:pStyle w:val="a5"/>
        <w:ind w:leftChars="75" w:left="180"/>
        <w:jc w:val="both"/>
        <w:rPr>
          <w:rFonts w:ascii="標楷體" w:eastAsia="標楷體" w:hAnsi="標楷體"/>
          <w:color w:val="FF0000"/>
          <w:highlight w:val="yellow"/>
        </w:rPr>
      </w:pPr>
      <w:r w:rsidRPr="000F22B6">
        <w:rPr>
          <w:rFonts w:eastAsia="標楷體" w:hint="eastAsia"/>
          <w:color w:val="FF0000"/>
          <w:szCs w:val="22"/>
          <w:shd w:val="pct15" w:color="auto" w:fill="FFFFFF"/>
        </w:rPr>
        <w:t>*</w:t>
      </w:r>
      <w:r w:rsidRPr="00C75D11">
        <w:rPr>
          <w:rFonts w:hint="eastAsia"/>
          <w:color w:val="FF0000"/>
          <w:highlight w:val="yellow"/>
        </w:rPr>
        <w:t>《中論》卷</w:t>
      </w:r>
      <w:r w:rsidRPr="00C75D11">
        <w:rPr>
          <w:rFonts w:hint="eastAsia"/>
          <w:color w:val="FF0000"/>
          <w:highlight w:val="yellow"/>
        </w:rPr>
        <w:t>4</w:t>
      </w:r>
      <w:r w:rsidRPr="00C75D11">
        <w:rPr>
          <w:rFonts w:hint="eastAsia"/>
          <w:color w:val="FF0000"/>
          <w:highlight w:val="yellow"/>
        </w:rPr>
        <w:t>〈</w:t>
      </w:r>
      <w:r w:rsidRPr="00C75D11">
        <w:rPr>
          <w:rFonts w:hint="eastAsia"/>
          <w:color w:val="FF0000"/>
          <w:highlight w:val="yellow"/>
        </w:rPr>
        <w:t xml:space="preserve">25 </w:t>
      </w:r>
      <w:r w:rsidRPr="00C75D11">
        <w:rPr>
          <w:rFonts w:hint="eastAsia"/>
          <w:color w:val="FF0000"/>
          <w:highlight w:val="yellow"/>
        </w:rPr>
        <w:t>觀涅槃品〉</w:t>
      </w:r>
      <w:r w:rsidRPr="00C75D11">
        <w:rPr>
          <w:color w:val="FF0000"/>
          <w:szCs w:val="22"/>
          <w:highlight w:val="yellow"/>
        </w:rPr>
        <w:t>（大正</w:t>
      </w:r>
      <w:r w:rsidRPr="00C75D11">
        <w:rPr>
          <w:rFonts w:hint="eastAsia"/>
          <w:color w:val="FF0000"/>
          <w:highlight w:val="yellow"/>
        </w:rPr>
        <w:t>30</w:t>
      </w:r>
      <w:r w:rsidR="00C75D11" w:rsidRPr="00C75D11">
        <w:rPr>
          <w:rFonts w:hint="eastAsia"/>
          <w:color w:val="FF0000"/>
          <w:highlight w:val="yellow"/>
        </w:rPr>
        <w:t>，</w:t>
      </w:r>
      <w:r w:rsidRPr="00C75D11">
        <w:rPr>
          <w:rFonts w:hint="eastAsia"/>
          <w:color w:val="FF0000"/>
          <w:highlight w:val="yellow"/>
        </w:rPr>
        <w:t>36a10-11</w:t>
      </w:r>
      <w:r w:rsidR="00C75D11" w:rsidRPr="00C75D11">
        <w:rPr>
          <w:color w:val="FF0000"/>
          <w:szCs w:val="22"/>
          <w:highlight w:val="yellow"/>
        </w:rPr>
        <w:t>）：</w:t>
      </w:r>
      <w:r w:rsidRPr="00C75D11">
        <w:rPr>
          <w:rFonts w:hint="eastAsia"/>
          <w:color w:val="FF0000"/>
          <w:highlight w:val="yellow"/>
        </w:rPr>
        <w:t>「</w:t>
      </w:r>
      <w:r w:rsidRPr="00C75D11">
        <w:rPr>
          <w:rFonts w:ascii="標楷體" w:eastAsia="標楷體" w:hAnsi="標楷體" w:hint="eastAsia"/>
          <w:color w:val="FF0000"/>
          <w:highlight w:val="yellow"/>
        </w:rPr>
        <w:t>涅槃之實際及與世間際</w:t>
      </w:r>
      <w:r w:rsidR="00C75D11" w:rsidRPr="00C75D11">
        <w:rPr>
          <w:rFonts w:ascii="標楷體" w:eastAsia="標楷體" w:hAnsi="標楷體" w:hint="eastAsia"/>
          <w:color w:val="FF0000"/>
          <w:highlight w:val="yellow"/>
        </w:rPr>
        <w:t>，</w:t>
      </w:r>
    </w:p>
    <w:p w:rsidR="000F22B6" w:rsidRPr="00130A2E" w:rsidRDefault="000F22B6" w:rsidP="000F22B6">
      <w:pPr>
        <w:pStyle w:val="a5"/>
        <w:ind w:leftChars="75" w:left="180"/>
        <w:jc w:val="both"/>
      </w:pPr>
      <w:r w:rsidRPr="00C75D11">
        <w:rPr>
          <w:rFonts w:ascii="標楷體" w:eastAsia="標楷體" w:hAnsi="標楷體" w:hint="eastAsia"/>
          <w:color w:val="FF0000"/>
          <w:highlight w:val="yellow"/>
        </w:rPr>
        <w:t xml:space="preserve">　如是二際者無毫釐差別</w:t>
      </w:r>
      <w:r w:rsidR="00C75D11" w:rsidRPr="00C75D11">
        <w:rPr>
          <w:rFonts w:ascii="標楷體" w:eastAsia="標楷體" w:hAnsi="標楷體" w:hint="eastAsia"/>
          <w:color w:val="FF0000"/>
          <w:highlight w:val="yellow"/>
        </w:rPr>
        <w:t>。</w:t>
      </w:r>
      <w:r w:rsidRPr="00C75D11">
        <w:rPr>
          <w:rFonts w:hint="eastAsia"/>
          <w:color w:val="FF0000"/>
          <w:highlight w:val="yellow"/>
        </w:rPr>
        <w:t>」</w:t>
      </w:r>
    </w:p>
  </w:footnote>
  <w:footnote w:id="232">
    <w:p w:rsidR="00157EF6" w:rsidRPr="00212D57" w:rsidRDefault="00157EF6" w:rsidP="005B547D">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《大智度論》卷</w:t>
      </w:r>
      <w:r w:rsidRPr="00761EF3">
        <w:rPr>
          <w:szCs w:val="22"/>
        </w:rPr>
        <w:t>15</w:t>
      </w:r>
      <w:r w:rsidRPr="00212D57">
        <w:rPr>
          <w:szCs w:val="22"/>
        </w:rPr>
        <w:t>（大正</w:t>
      </w:r>
      <w:r w:rsidRPr="00761EF3">
        <w:rPr>
          <w:szCs w:val="22"/>
        </w:rPr>
        <w:t>25</w:t>
      </w:r>
      <w:r w:rsidRPr="00212D57">
        <w:rPr>
          <w:szCs w:val="22"/>
        </w:rPr>
        <w:t>，</w:t>
      </w:r>
      <w:r w:rsidRPr="00761EF3">
        <w:rPr>
          <w:szCs w:val="22"/>
        </w:rPr>
        <w:t>172a3</w:t>
      </w:r>
      <w:r w:rsidRPr="00212D57">
        <w:rPr>
          <w:szCs w:val="22"/>
        </w:rPr>
        <w:t>-</w:t>
      </w:r>
      <w:r w:rsidRPr="00761EF3">
        <w:rPr>
          <w:szCs w:val="22"/>
        </w:rPr>
        <w:t>4</w:t>
      </w:r>
      <w:r w:rsidRPr="00212D57">
        <w:rPr>
          <w:szCs w:val="22"/>
        </w:rPr>
        <w:t>）。</w:t>
      </w:r>
    </w:p>
  </w:footnote>
  <w:footnote w:id="233">
    <w:p w:rsidR="003A6DF1" w:rsidRPr="00212D57" w:rsidRDefault="003A6DF1" w:rsidP="003A6DF1">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《解深密經》卷</w:t>
      </w:r>
      <w:r w:rsidRPr="00761EF3">
        <w:rPr>
          <w:szCs w:val="22"/>
        </w:rPr>
        <w:t>3</w:t>
      </w:r>
      <w:r w:rsidRPr="00212D57">
        <w:rPr>
          <w:szCs w:val="22"/>
        </w:rPr>
        <w:t>〈</w:t>
      </w:r>
      <w:r w:rsidRPr="00761EF3">
        <w:rPr>
          <w:szCs w:val="22"/>
        </w:rPr>
        <w:t>5</w:t>
      </w:r>
      <w:r w:rsidRPr="00212D57">
        <w:rPr>
          <w:szCs w:val="22"/>
        </w:rPr>
        <w:t xml:space="preserve"> </w:t>
      </w:r>
      <w:r w:rsidRPr="00212D57">
        <w:rPr>
          <w:szCs w:val="22"/>
        </w:rPr>
        <w:t>無自性相品〉（大正</w:t>
      </w:r>
      <w:r w:rsidRPr="00761EF3">
        <w:rPr>
          <w:szCs w:val="22"/>
        </w:rPr>
        <w:t>16</w:t>
      </w:r>
      <w:r w:rsidRPr="00212D57">
        <w:rPr>
          <w:szCs w:val="22"/>
        </w:rPr>
        <w:t>，</w:t>
      </w:r>
      <w:r w:rsidRPr="00761EF3">
        <w:rPr>
          <w:szCs w:val="22"/>
        </w:rPr>
        <w:t>697a23</w:t>
      </w:r>
      <w:r w:rsidRPr="00212D57">
        <w:rPr>
          <w:szCs w:val="22"/>
        </w:rPr>
        <w:t>-</w:t>
      </w:r>
      <w:r w:rsidRPr="00761EF3">
        <w:rPr>
          <w:szCs w:val="22"/>
        </w:rPr>
        <w:t>b</w:t>
      </w:r>
      <w:r w:rsidR="00B97255">
        <w:rPr>
          <w:rFonts w:hint="eastAsia"/>
          <w:color w:val="FF0000"/>
          <w:szCs w:val="22"/>
          <w:highlight w:val="yellow"/>
        </w:rPr>
        <w:t>9</w:t>
      </w:r>
      <w:r w:rsidRPr="00212D57">
        <w:rPr>
          <w:szCs w:val="22"/>
        </w:rPr>
        <w:t>）：</w:t>
      </w:r>
    </w:p>
    <w:p w:rsidR="003A6DF1" w:rsidRPr="00212D57" w:rsidRDefault="003A6DF1" w:rsidP="003A6DF1">
      <w:pPr>
        <w:pStyle w:val="a5"/>
        <w:ind w:leftChars="75" w:left="180"/>
        <w:jc w:val="both"/>
        <w:rPr>
          <w:rFonts w:eastAsia="標楷體"/>
          <w:szCs w:val="22"/>
        </w:rPr>
      </w:pPr>
      <w:r w:rsidRPr="00212D57">
        <w:rPr>
          <w:rFonts w:eastAsia="標楷體"/>
          <w:szCs w:val="22"/>
        </w:rPr>
        <w:t>爾時勝義生菩薩復白佛言：</w:t>
      </w:r>
      <w:r w:rsidRPr="00212D57">
        <w:rPr>
          <w:rFonts w:eastAsia="標楷體" w:hint="eastAsia"/>
          <w:szCs w:val="22"/>
        </w:rPr>
        <w:t>「</w:t>
      </w:r>
      <w:r w:rsidRPr="00212D57">
        <w:rPr>
          <w:rFonts w:eastAsia="標楷體"/>
          <w:szCs w:val="22"/>
        </w:rPr>
        <w:t>世尊！</w:t>
      </w:r>
      <w:r w:rsidRPr="00212D57">
        <w:rPr>
          <w:rFonts w:eastAsia="標楷體"/>
          <w:b/>
          <w:szCs w:val="22"/>
        </w:rPr>
        <w:t>初於一時</w:t>
      </w:r>
      <w:r w:rsidRPr="00212D57">
        <w:rPr>
          <w:rFonts w:eastAsia="標楷體"/>
          <w:szCs w:val="22"/>
        </w:rPr>
        <w:t>在婆羅痆斯仙人墮處施鹿林中</w:t>
      </w:r>
      <w:r w:rsidR="00101A54">
        <w:rPr>
          <w:rFonts w:ascii="標楷體" w:eastAsia="標楷體" w:hAnsi="標楷體" w:hint="eastAsia"/>
          <w:color w:val="FF0000"/>
          <w:kern w:val="0"/>
          <w:highlight w:val="yellow"/>
        </w:rPr>
        <w:t>，</w:t>
      </w:r>
      <w:r w:rsidRPr="00212D57">
        <w:rPr>
          <w:rFonts w:eastAsia="標楷體"/>
          <w:b/>
          <w:szCs w:val="22"/>
        </w:rPr>
        <w:t>惟為發趣聲聞乘者，以四諦相轉正法輪。</w:t>
      </w:r>
      <w:r w:rsidRPr="00212D57">
        <w:rPr>
          <w:rFonts w:eastAsia="標楷體"/>
          <w:szCs w:val="22"/>
        </w:rPr>
        <w:t>雖是甚奇</w:t>
      </w:r>
      <w:r w:rsidR="00101A54">
        <w:rPr>
          <w:rFonts w:ascii="標楷體" w:eastAsia="標楷體" w:hAnsi="標楷體" w:hint="eastAsia"/>
          <w:color w:val="FF0000"/>
          <w:spacing w:val="-4"/>
          <w:kern w:val="0"/>
          <w:highlight w:val="yellow"/>
        </w:rPr>
        <w:t>、</w:t>
      </w:r>
      <w:r w:rsidRPr="00212D57">
        <w:rPr>
          <w:rFonts w:eastAsia="標楷體"/>
          <w:szCs w:val="22"/>
        </w:rPr>
        <w:t>甚為希有，一切世間諸天</w:t>
      </w:r>
      <w:r w:rsidR="00101A54">
        <w:rPr>
          <w:rFonts w:ascii="標楷體" w:eastAsia="標楷體" w:hAnsi="標楷體" w:hint="eastAsia"/>
          <w:color w:val="FF0000"/>
          <w:kern w:val="0"/>
          <w:highlight w:val="yellow"/>
        </w:rPr>
        <w:t>.</w:t>
      </w:r>
      <w:r w:rsidRPr="00212D57">
        <w:rPr>
          <w:rFonts w:eastAsia="標楷體"/>
          <w:szCs w:val="22"/>
        </w:rPr>
        <w:t>人等先無有能如法轉者，而於彼時所轉法輪，有上</w:t>
      </w:r>
      <w:r w:rsidR="00101A54">
        <w:rPr>
          <w:rFonts w:ascii="標楷體" w:eastAsia="標楷體" w:hAnsi="標楷體" w:hint="eastAsia"/>
          <w:color w:val="FF0000"/>
          <w:spacing w:val="-4"/>
          <w:kern w:val="0"/>
          <w:highlight w:val="yellow"/>
        </w:rPr>
        <w:t>、</w:t>
      </w:r>
      <w:r w:rsidRPr="00212D57">
        <w:rPr>
          <w:rFonts w:eastAsia="標楷體"/>
          <w:szCs w:val="22"/>
        </w:rPr>
        <w:t>有容</w:t>
      </w:r>
      <w:r w:rsidR="00101A54">
        <w:rPr>
          <w:rFonts w:ascii="標楷體" w:eastAsia="標楷體" w:hAnsi="標楷體" w:hint="eastAsia"/>
          <w:color w:val="FF0000"/>
          <w:kern w:val="0"/>
          <w:highlight w:val="yellow"/>
        </w:rPr>
        <w:t>，</w:t>
      </w:r>
      <w:r w:rsidRPr="00212D57">
        <w:rPr>
          <w:rFonts w:eastAsia="標楷體"/>
          <w:szCs w:val="22"/>
        </w:rPr>
        <w:t>是未了義，是諸諍論安足處所。</w:t>
      </w:r>
    </w:p>
    <w:p w:rsidR="003A6DF1" w:rsidRPr="00212D57" w:rsidRDefault="003A6DF1" w:rsidP="003A6DF1">
      <w:pPr>
        <w:pStyle w:val="a5"/>
        <w:ind w:leftChars="75" w:left="180"/>
        <w:jc w:val="both"/>
        <w:rPr>
          <w:rFonts w:eastAsia="標楷體"/>
          <w:szCs w:val="22"/>
        </w:rPr>
      </w:pPr>
      <w:r w:rsidRPr="00212D57">
        <w:rPr>
          <w:rFonts w:eastAsia="標楷體"/>
          <w:szCs w:val="22"/>
        </w:rPr>
        <w:t>世尊！</w:t>
      </w:r>
      <w:r w:rsidRPr="00212D57">
        <w:rPr>
          <w:rFonts w:eastAsia="標楷體"/>
          <w:b/>
          <w:szCs w:val="22"/>
        </w:rPr>
        <w:t>在昔第二時中</w:t>
      </w:r>
      <w:r w:rsidR="00101A54">
        <w:rPr>
          <w:rFonts w:ascii="標楷體" w:eastAsia="標楷體" w:hAnsi="標楷體" w:hint="eastAsia"/>
          <w:color w:val="FF0000"/>
          <w:kern w:val="0"/>
          <w:highlight w:val="yellow"/>
        </w:rPr>
        <w:t>，</w:t>
      </w:r>
      <w:r w:rsidRPr="00212D57">
        <w:rPr>
          <w:rFonts w:eastAsia="標楷體"/>
          <w:b/>
          <w:szCs w:val="22"/>
        </w:rPr>
        <w:t>惟為發趣修大乘者，依一切法皆無自性</w:t>
      </w:r>
      <w:r w:rsidR="00101A54">
        <w:rPr>
          <w:rFonts w:ascii="標楷體" w:eastAsia="標楷體" w:hAnsi="標楷體" w:hint="eastAsia"/>
          <w:color w:val="FF0000"/>
          <w:spacing w:val="-4"/>
          <w:kern w:val="0"/>
          <w:highlight w:val="yellow"/>
        </w:rPr>
        <w:t>、</w:t>
      </w:r>
      <w:r w:rsidRPr="00212D57">
        <w:rPr>
          <w:rFonts w:eastAsia="標楷體"/>
          <w:b/>
          <w:szCs w:val="22"/>
        </w:rPr>
        <w:t>無生無滅</w:t>
      </w:r>
      <w:r w:rsidR="00101A54">
        <w:rPr>
          <w:rFonts w:ascii="標楷體" w:eastAsia="標楷體" w:hAnsi="標楷體" w:hint="eastAsia"/>
          <w:color w:val="FF0000"/>
          <w:spacing w:val="-4"/>
          <w:kern w:val="0"/>
          <w:highlight w:val="yellow"/>
        </w:rPr>
        <w:t>、</w:t>
      </w:r>
      <w:r w:rsidRPr="00212D57">
        <w:rPr>
          <w:rFonts w:eastAsia="標楷體"/>
          <w:b/>
          <w:szCs w:val="22"/>
        </w:rPr>
        <w:t>本來寂靜</w:t>
      </w:r>
      <w:r w:rsidR="00101A54">
        <w:rPr>
          <w:rFonts w:ascii="標楷體" w:eastAsia="標楷體" w:hAnsi="標楷體" w:hint="eastAsia"/>
          <w:color w:val="FF0000"/>
          <w:spacing w:val="-4"/>
          <w:kern w:val="0"/>
          <w:highlight w:val="yellow"/>
        </w:rPr>
        <w:t>、</w:t>
      </w:r>
      <w:r w:rsidRPr="00212D57">
        <w:rPr>
          <w:rFonts w:eastAsia="標楷體"/>
          <w:b/>
          <w:szCs w:val="22"/>
        </w:rPr>
        <w:t>自性涅槃，以隱密相轉正法輪。</w:t>
      </w:r>
      <w:r w:rsidRPr="00212D57">
        <w:rPr>
          <w:rFonts w:eastAsia="標楷體"/>
          <w:szCs w:val="22"/>
        </w:rPr>
        <w:t>雖更甚奇</w:t>
      </w:r>
      <w:r w:rsidR="00101A54">
        <w:rPr>
          <w:rFonts w:ascii="標楷體" w:eastAsia="標楷體" w:hAnsi="標楷體" w:hint="eastAsia"/>
          <w:color w:val="FF0000"/>
          <w:spacing w:val="-4"/>
          <w:kern w:val="0"/>
          <w:highlight w:val="yellow"/>
        </w:rPr>
        <w:t>、</w:t>
      </w:r>
      <w:r w:rsidRPr="00212D57">
        <w:rPr>
          <w:rFonts w:eastAsia="標楷體"/>
          <w:szCs w:val="22"/>
        </w:rPr>
        <w:t>甚為希有，而於彼時所轉法輪，亦是有上</w:t>
      </w:r>
      <w:r w:rsidR="00101A54">
        <w:rPr>
          <w:rFonts w:ascii="標楷體" w:eastAsia="標楷體" w:hAnsi="標楷體" w:hint="eastAsia"/>
          <w:color w:val="FF0000"/>
          <w:spacing w:val="-4"/>
          <w:kern w:val="0"/>
          <w:highlight w:val="yellow"/>
        </w:rPr>
        <w:t>、</w:t>
      </w:r>
      <w:r w:rsidRPr="00212D57">
        <w:rPr>
          <w:rFonts w:eastAsia="標楷體"/>
          <w:szCs w:val="22"/>
        </w:rPr>
        <w:t>有所容受，猶未了義，是諸諍論安足處所。</w:t>
      </w:r>
    </w:p>
    <w:p w:rsidR="003A6DF1" w:rsidRPr="00212D57" w:rsidRDefault="003A6DF1" w:rsidP="003A6DF1">
      <w:pPr>
        <w:pStyle w:val="a5"/>
        <w:ind w:leftChars="75" w:left="180"/>
        <w:jc w:val="both"/>
        <w:rPr>
          <w:szCs w:val="22"/>
        </w:rPr>
      </w:pPr>
      <w:r w:rsidRPr="00212D57">
        <w:rPr>
          <w:rFonts w:eastAsia="標楷體"/>
          <w:szCs w:val="22"/>
        </w:rPr>
        <w:t>世尊！</w:t>
      </w:r>
      <w:r w:rsidRPr="00212D57">
        <w:rPr>
          <w:rFonts w:eastAsia="標楷體"/>
          <w:b/>
          <w:szCs w:val="22"/>
        </w:rPr>
        <w:t>於今第三時中，普為發趣一切乘者，依一切法皆無自性</w:t>
      </w:r>
      <w:r w:rsidR="00101A54">
        <w:rPr>
          <w:rFonts w:ascii="標楷體" w:eastAsia="標楷體" w:hAnsi="標楷體" w:hint="eastAsia"/>
          <w:color w:val="FF0000"/>
          <w:spacing w:val="-4"/>
          <w:kern w:val="0"/>
          <w:highlight w:val="yellow"/>
        </w:rPr>
        <w:t>、</w:t>
      </w:r>
      <w:r w:rsidRPr="00212D57">
        <w:rPr>
          <w:rFonts w:eastAsia="標楷體"/>
          <w:b/>
          <w:szCs w:val="22"/>
        </w:rPr>
        <w:t>無生無滅</w:t>
      </w:r>
      <w:r w:rsidR="00101A54">
        <w:rPr>
          <w:rFonts w:ascii="標楷體" w:eastAsia="標楷體" w:hAnsi="標楷體" w:hint="eastAsia"/>
          <w:color w:val="FF0000"/>
          <w:spacing w:val="-4"/>
          <w:kern w:val="0"/>
          <w:highlight w:val="yellow"/>
        </w:rPr>
        <w:t>、</w:t>
      </w:r>
      <w:r w:rsidRPr="00212D57">
        <w:rPr>
          <w:rFonts w:eastAsia="標楷體"/>
          <w:b/>
          <w:szCs w:val="22"/>
        </w:rPr>
        <w:t>本來寂靜</w:t>
      </w:r>
      <w:r w:rsidR="00101A54">
        <w:rPr>
          <w:rFonts w:ascii="標楷體" w:eastAsia="標楷體" w:hAnsi="標楷體" w:hint="eastAsia"/>
          <w:color w:val="FF0000"/>
          <w:spacing w:val="-4"/>
          <w:kern w:val="0"/>
          <w:highlight w:val="yellow"/>
        </w:rPr>
        <w:t>、</w:t>
      </w:r>
      <w:r w:rsidRPr="00212D57">
        <w:rPr>
          <w:rFonts w:eastAsia="標楷體"/>
          <w:b/>
          <w:szCs w:val="22"/>
        </w:rPr>
        <w:t>自性涅槃</w:t>
      </w:r>
      <w:r w:rsidR="00101A54">
        <w:rPr>
          <w:rFonts w:ascii="標楷體" w:eastAsia="標楷體" w:hAnsi="標楷體" w:hint="eastAsia"/>
          <w:color w:val="FF0000"/>
          <w:spacing w:val="-4"/>
          <w:kern w:val="0"/>
          <w:highlight w:val="yellow"/>
        </w:rPr>
        <w:t>、</w:t>
      </w:r>
      <w:r w:rsidRPr="00212D57">
        <w:rPr>
          <w:rFonts w:eastAsia="標楷體"/>
          <w:b/>
          <w:szCs w:val="22"/>
        </w:rPr>
        <w:t>無自性性，以顯了相轉正法輪</w:t>
      </w:r>
      <w:r w:rsidRPr="00212D57">
        <w:rPr>
          <w:rFonts w:eastAsia="標楷體"/>
          <w:szCs w:val="22"/>
        </w:rPr>
        <w:t>，第一甚奇</w:t>
      </w:r>
      <w:r w:rsidR="00101A54">
        <w:rPr>
          <w:rFonts w:ascii="標楷體" w:eastAsia="標楷體" w:hAnsi="標楷體" w:hint="eastAsia"/>
          <w:color w:val="FF0000"/>
          <w:spacing w:val="-4"/>
          <w:kern w:val="0"/>
          <w:highlight w:val="yellow"/>
        </w:rPr>
        <w:t>、</w:t>
      </w:r>
      <w:r w:rsidRPr="00212D57">
        <w:rPr>
          <w:rFonts w:eastAsia="標楷體"/>
          <w:szCs w:val="22"/>
        </w:rPr>
        <w:t>最為希有</w:t>
      </w:r>
      <w:r w:rsidR="00101A54">
        <w:rPr>
          <w:rFonts w:ascii="標楷體" w:eastAsia="標楷體" w:hAnsi="標楷體" w:hint="eastAsia"/>
          <w:color w:val="FF0000"/>
          <w:kern w:val="0"/>
          <w:highlight w:val="yellow"/>
        </w:rPr>
        <w:t>！</w:t>
      </w:r>
      <w:r w:rsidRPr="00212D57">
        <w:rPr>
          <w:rFonts w:eastAsia="標楷體"/>
          <w:szCs w:val="22"/>
        </w:rPr>
        <w:t>于今世尊所轉法輪，無上</w:t>
      </w:r>
      <w:r w:rsidR="00101A54">
        <w:rPr>
          <w:rFonts w:ascii="標楷體" w:eastAsia="標楷體" w:hAnsi="標楷體" w:hint="eastAsia"/>
          <w:color w:val="FF0000"/>
          <w:spacing w:val="-4"/>
          <w:kern w:val="0"/>
          <w:highlight w:val="yellow"/>
        </w:rPr>
        <w:t>、</w:t>
      </w:r>
      <w:r w:rsidRPr="00212D57">
        <w:rPr>
          <w:rFonts w:eastAsia="標楷體"/>
          <w:szCs w:val="22"/>
        </w:rPr>
        <w:t>無容</w:t>
      </w:r>
      <w:r w:rsidR="00101A54">
        <w:rPr>
          <w:rFonts w:ascii="標楷體" w:eastAsia="標楷體" w:hAnsi="標楷體" w:hint="eastAsia"/>
          <w:color w:val="FF0000"/>
          <w:kern w:val="0"/>
          <w:highlight w:val="yellow"/>
        </w:rPr>
        <w:t>，</w:t>
      </w:r>
      <w:r w:rsidRPr="00212D57">
        <w:rPr>
          <w:rFonts w:eastAsia="標楷體"/>
          <w:szCs w:val="22"/>
        </w:rPr>
        <w:t>是真了義，非諸諍論安足處所</w:t>
      </w:r>
      <w:r w:rsidRPr="00B97255">
        <w:rPr>
          <w:rFonts w:eastAsia="標楷體"/>
          <w:szCs w:val="22"/>
          <w:highlight w:val="yellow"/>
        </w:rPr>
        <w:t>。</w:t>
      </w:r>
      <w:r w:rsidRPr="00B97255">
        <w:rPr>
          <w:szCs w:val="22"/>
          <w:highlight w:val="yellow"/>
        </w:rPr>
        <w:t>」</w:t>
      </w:r>
    </w:p>
  </w:footnote>
  <w:footnote w:id="234">
    <w:p w:rsidR="00157EF6" w:rsidRPr="00212D57" w:rsidRDefault="00157EF6" w:rsidP="005B547D">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《中論》卷</w:t>
      </w:r>
      <w:r w:rsidRPr="00761EF3">
        <w:rPr>
          <w:szCs w:val="22"/>
        </w:rPr>
        <w:t>2</w:t>
      </w:r>
      <w:r w:rsidRPr="00212D57">
        <w:rPr>
          <w:szCs w:val="22"/>
        </w:rPr>
        <w:t>〈</w:t>
      </w:r>
      <w:r w:rsidRPr="00761EF3">
        <w:rPr>
          <w:rFonts w:hint="eastAsia"/>
          <w:szCs w:val="22"/>
        </w:rPr>
        <w:t>13</w:t>
      </w:r>
      <w:r w:rsidRPr="00212D57">
        <w:rPr>
          <w:szCs w:val="22"/>
        </w:rPr>
        <w:t xml:space="preserve"> </w:t>
      </w:r>
      <w:r w:rsidRPr="00212D57">
        <w:rPr>
          <w:szCs w:val="22"/>
        </w:rPr>
        <w:t>觀行品〉（大正</w:t>
      </w:r>
      <w:r w:rsidRPr="00761EF3">
        <w:rPr>
          <w:szCs w:val="22"/>
        </w:rPr>
        <w:t>30</w:t>
      </w:r>
      <w:r w:rsidRPr="00212D57">
        <w:rPr>
          <w:szCs w:val="22"/>
        </w:rPr>
        <w:t>，</w:t>
      </w:r>
      <w:r w:rsidRPr="00761EF3">
        <w:rPr>
          <w:szCs w:val="22"/>
        </w:rPr>
        <w:t>18c16</w:t>
      </w:r>
      <w:r w:rsidRPr="00212D57">
        <w:rPr>
          <w:szCs w:val="22"/>
        </w:rPr>
        <w:t>-</w:t>
      </w:r>
      <w:r w:rsidRPr="00761EF3">
        <w:rPr>
          <w:szCs w:val="22"/>
        </w:rPr>
        <w:t>17</w:t>
      </w:r>
      <w:r w:rsidRPr="00212D57">
        <w:rPr>
          <w:szCs w:val="22"/>
        </w:rPr>
        <w:t>）。</w:t>
      </w:r>
    </w:p>
  </w:footnote>
  <w:footnote w:id="235">
    <w:p w:rsidR="00157EF6" w:rsidRPr="00212D57" w:rsidRDefault="00157EF6" w:rsidP="004A4FEB">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《大方廣寶篋經》卷上（大正</w:t>
      </w:r>
      <w:r w:rsidRPr="00761EF3">
        <w:rPr>
          <w:szCs w:val="22"/>
        </w:rPr>
        <w:t>14</w:t>
      </w:r>
      <w:r w:rsidRPr="00212D57">
        <w:rPr>
          <w:szCs w:val="22"/>
        </w:rPr>
        <w:t>，</w:t>
      </w:r>
      <w:r w:rsidRPr="00761EF3">
        <w:rPr>
          <w:szCs w:val="22"/>
        </w:rPr>
        <w:t>467a16</w:t>
      </w:r>
      <w:r w:rsidRPr="00212D57">
        <w:rPr>
          <w:szCs w:val="22"/>
        </w:rPr>
        <w:t>-</w:t>
      </w:r>
      <w:r w:rsidRPr="00761EF3">
        <w:rPr>
          <w:szCs w:val="22"/>
        </w:rPr>
        <w:t>21</w:t>
      </w:r>
      <w:r w:rsidRPr="00212D57">
        <w:rPr>
          <w:szCs w:val="22"/>
        </w:rPr>
        <w:t>）：</w:t>
      </w:r>
    </w:p>
    <w:p w:rsidR="00157EF6" w:rsidRPr="00212D57" w:rsidRDefault="00157EF6" w:rsidP="004A4FEB">
      <w:pPr>
        <w:pStyle w:val="a5"/>
        <w:ind w:leftChars="105" w:left="252"/>
        <w:jc w:val="both"/>
        <w:rPr>
          <w:rFonts w:eastAsia="標楷體"/>
          <w:szCs w:val="22"/>
        </w:rPr>
      </w:pPr>
      <w:r w:rsidRPr="00212D57">
        <w:rPr>
          <w:rFonts w:eastAsia="標楷體"/>
          <w:szCs w:val="22"/>
        </w:rPr>
        <w:t>須菩提言：「</w:t>
      </w:r>
      <w:r w:rsidR="009D72EA" w:rsidRPr="009D72EA">
        <w:rPr>
          <w:rFonts w:ascii="標楷體" w:eastAsia="標楷體" w:hAnsi="標楷體" w:hint="eastAsia"/>
          <w:b/>
          <w:color w:val="FF0000"/>
          <w:kern w:val="0"/>
          <w:highlight w:val="yellow"/>
        </w:rPr>
        <w:t>『</w:t>
      </w:r>
      <w:r w:rsidRPr="009D72EA">
        <w:rPr>
          <w:rFonts w:eastAsia="標楷體"/>
          <w:b/>
          <w:szCs w:val="22"/>
        </w:rPr>
        <w:t>空</w:t>
      </w:r>
      <w:r w:rsidR="009D72EA" w:rsidRPr="009D72EA">
        <w:rPr>
          <w:rFonts w:ascii="標楷體" w:eastAsia="標楷體" w:hAnsi="標楷體" w:hint="eastAsia"/>
          <w:b/>
          <w:color w:val="FF0000"/>
          <w:kern w:val="0"/>
          <w:highlight w:val="yellow"/>
        </w:rPr>
        <w:t>』</w:t>
      </w:r>
      <w:r w:rsidRPr="009D72EA">
        <w:rPr>
          <w:rFonts w:eastAsia="標楷體"/>
          <w:b/>
          <w:szCs w:val="22"/>
        </w:rPr>
        <w:t>之與</w:t>
      </w:r>
      <w:r w:rsidR="009D72EA" w:rsidRPr="009D72EA">
        <w:rPr>
          <w:rFonts w:ascii="標楷體" w:eastAsia="標楷體" w:hAnsi="標楷體" w:hint="eastAsia"/>
          <w:b/>
          <w:color w:val="FF0000"/>
          <w:kern w:val="0"/>
          <w:highlight w:val="yellow"/>
        </w:rPr>
        <w:t>『</w:t>
      </w:r>
      <w:r w:rsidRPr="009D72EA">
        <w:rPr>
          <w:rFonts w:eastAsia="標楷體"/>
          <w:b/>
          <w:szCs w:val="22"/>
        </w:rPr>
        <w:t>寂</w:t>
      </w:r>
      <w:r w:rsidR="009D72EA" w:rsidRPr="009D72EA">
        <w:rPr>
          <w:rFonts w:ascii="標楷體" w:eastAsia="標楷體" w:hAnsi="標楷體" w:hint="eastAsia"/>
          <w:b/>
          <w:color w:val="FF0000"/>
          <w:kern w:val="0"/>
          <w:highlight w:val="yellow"/>
        </w:rPr>
        <w:t>』</w:t>
      </w:r>
      <w:r w:rsidRPr="00212D57">
        <w:rPr>
          <w:rFonts w:eastAsia="標楷體"/>
          <w:b/>
          <w:szCs w:val="22"/>
        </w:rPr>
        <w:t>有何差別</w:t>
      </w:r>
      <w:r w:rsidRPr="00212D57">
        <w:rPr>
          <w:rFonts w:eastAsia="標楷體"/>
          <w:szCs w:val="22"/>
        </w:rPr>
        <w:t>？」</w:t>
      </w:r>
    </w:p>
    <w:p w:rsidR="00157EF6" w:rsidRPr="00212D57" w:rsidRDefault="00157EF6" w:rsidP="004A4FEB">
      <w:pPr>
        <w:pStyle w:val="a5"/>
        <w:ind w:leftChars="105" w:left="252"/>
        <w:jc w:val="both"/>
        <w:rPr>
          <w:rFonts w:eastAsia="標楷體"/>
          <w:szCs w:val="22"/>
          <w:u w:val="single"/>
        </w:rPr>
      </w:pPr>
      <w:r w:rsidRPr="00212D57">
        <w:rPr>
          <w:rFonts w:eastAsia="標楷體"/>
          <w:szCs w:val="22"/>
        </w:rPr>
        <w:t>文殊師利言：「大德須菩提！於意云何？</w:t>
      </w:r>
      <w:r w:rsidRPr="00212D57">
        <w:rPr>
          <w:rFonts w:eastAsia="標楷體"/>
          <w:b/>
          <w:szCs w:val="22"/>
        </w:rPr>
        <w:t>如生金與熟金有何差別</w:t>
      </w:r>
      <w:r w:rsidRPr="00212D57">
        <w:rPr>
          <w:rFonts w:eastAsia="標楷體"/>
          <w:szCs w:val="22"/>
        </w:rPr>
        <w:t>？」</w:t>
      </w:r>
    </w:p>
    <w:p w:rsidR="00157EF6" w:rsidRPr="00212D57" w:rsidRDefault="00157EF6" w:rsidP="004A4FEB">
      <w:pPr>
        <w:pStyle w:val="a5"/>
        <w:ind w:leftChars="105" w:left="252"/>
        <w:jc w:val="both"/>
        <w:rPr>
          <w:rFonts w:eastAsia="標楷體"/>
          <w:szCs w:val="22"/>
        </w:rPr>
      </w:pPr>
      <w:r w:rsidRPr="00212D57">
        <w:rPr>
          <w:rFonts w:eastAsia="標楷體"/>
          <w:szCs w:val="22"/>
        </w:rPr>
        <w:t>答言：「以言說故而有差別。」</w:t>
      </w:r>
    </w:p>
    <w:p w:rsidR="00157EF6" w:rsidRPr="00212D57" w:rsidRDefault="00157EF6" w:rsidP="004A4FEB">
      <w:pPr>
        <w:pStyle w:val="a5"/>
        <w:ind w:leftChars="105" w:left="252"/>
        <w:jc w:val="both"/>
        <w:rPr>
          <w:szCs w:val="22"/>
        </w:rPr>
      </w:pPr>
      <w:r w:rsidRPr="00212D57">
        <w:rPr>
          <w:rFonts w:eastAsia="標楷體"/>
          <w:szCs w:val="22"/>
        </w:rPr>
        <w:t>文殊師利言：「如是大德須菩提！以言說故言</w:t>
      </w:r>
      <w:r w:rsidR="009D72EA">
        <w:rPr>
          <w:rFonts w:ascii="標楷體" w:eastAsia="標楷體" w:hAnsi="標楷體" w:hint="eastAsia"/>
          <w:color w:val="FF0000"/>
          <w:kern w:val="0"/>
          <w:highlight w:val="yellow"/>
        </w:rPr>
        <w:t>『</w:t>
      </w:r>
      <w:r w:rsidRPr="00212D57">
        <w:rPr>
          <w:rFonts w:eastAsia="標楷體"/>
          <w:szCs w:val="22"/>
        </w:rPr>
        <w:t>空</w:t>
      </w:r>
      <w:r w:rsidR="009D72EA">
        <w:rPr>
          <w:rFonts w:ascii="標楷體" w:eastAsia="標楷體" w:hAnsi="標楷體" w:hint="eastAsia"/>
          <w:color w:val="FF0000"/>
          <w:kern w:val="0"/>
          <w:highlight w:val="yellow"/>
        </w:rPr>
        <w:t>』</w:t>
      </w:r>
      <w:r w:rsidR="009D72EA">
        <w:rPr>
          <w:rFonts w:ascii="標楷體" w:eastAsia="標楷體" w:hAnsi="標楷體" w:hint="eastAsia"/>
          <w:color w:val="FF0000"/>
          <w:spacing w:val="-4"/>
          <w:kern w:val="0"/>
          <w:highlight w:val="yellow"/>
        </w:rPr>
        <w:t>、</w:t>
      </w:r>
      <w:r w:rsidRPr="00212D57">
        <w:rPr>
          <w:rFonts w:eastAsia="標楷體"/>
          <w:szCs w:val="22"/>
        </w:rPr>
        <w:t>言</w:t>
      </w:r>
      <w:r w:rsidR="009D72EA">
        <w:rPr>
          <w:rFonts w:ascii="標楷體" w:eastAsia="標楷體" w:hAnsi="標楷體" w:hint="eastAsia"/>
          <w:color w:val="FF0000"/>
          <w:kern w:val="0"/>
          <w:highlight w:val="yellow"/>
        </w:rPr>
        <w:t>『</w:t>
      </w:r>
      <w:r w:rsidRPr="00212D57">
        <w:rPr>
          <w:rFonts w:eastAsia="標楷體"/>
          <w:szCs w:val="22"/>
        </w:rPr>
        <w:t>寂</w:t>
      </w:r>
      <w:r w:rsidR="009D72EA">
        <w:rPr>
          <w:rFonts w:ascii="標楷體" w:eastAsia="標楷體" w:hAnsi="標楷體" w:hint="eastAsia"/>
          <w:color w:val="FF0000"/>
          <w:kern w:val="0"/>
          <w:highlight w:val="yellow"/>
        </w:rPr>
        <w:t>』。</w:t>
      </w:r>
      <w:r w:rsidRPr="00212D57">
        <w:rPr>
          <w:rFonts w:eastAsia="標楷體"/>
          <w:szCs w:val="22"/>
        </w:rPr>
        <w:t>若有智者</w:t>
      </w:r>
      <w:r w:rsidR="009D72EA">
        <w:rPr>
          <w:rFonts w:ascii="標楷體" w:eastAsia="標楷體" w:hAnsi="標楷體" w:hint="eastAsia"/>
          <w:color w:val="FF0000"/>
          <w:kern w:val="0"/>
          <w:highlight w:val="yellow"/>
        </w:rPr>
        <w:t>，</w:t>
      </w:r>
      <w:r w:rsidRPr="00212D57">
        <w:rPr>
          <w:rFonts w:eastAsia="標楷體"/>
          <w:szCs w:val="22"/>
        </w:rPr>
        <w:t>不著文字</w:t>
      </w:r>
      <w:r w:rsidR="009D72EA">
        <w:rPr>
          <w:rFonts w:ascii="標楷體" w:eastAsia="標楷體" w:hAnsi="標楷體" w:hint="eastAsia"/>
          <w:color w:val="FF0000"/>
          <w:spacing w:val="-4"/>
          <w:kern w:val="0"/>
          <w:highlight w:val="yellow"/>
        </w:rPr>
        <w:t>、</w:t>
      </w:r>
      <w:r w:rsidRPr="00212D57">
        <w:rPr>
          <w:rFonts w:eastAsia="標楷體"/>
          <w:szCs w:val="22"/>
        </w:rPr>
        <w:t>不執文字。</w:t>
      </w:r>
      <w:r w:rsidRPr="00212D57">
        <w:rPr>
          <w:szCs w:val="22"/>
        </w:rPr>
        <w:t>」</w:t>
      </w:r>
    </w:p>
  </w:footnote>
  <w:footnote w:id="236">
    <w:p w:rsidR="00157EF6" w:rsidRPr="00212D57" w:rsidRDefault="00157EF6" w:rsidP="004A4FEB">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《大智度論》卷</w:t>
      </w:r>
      <w:r w:rsidRPr="00761EF3">
        <w:rPr>
          <w:szCs w:val="22"/>
        </w:rPr>
        <w:t>35</w:t>
      </w:r>
      <w:r w:rsidR="006B3827" w:rsidRPr="00212D57">
        <w:rPr>
          <w:szCs w:val="22"/>
        </w:rPr>
        <w:t>（大正</w:t>
      </w:r>
      <w:r w:rsidR="006B3827" w:rsidRPr="00761EF3">
        <w:rPr>
          <w:szCs w:val="22"/>
        </w:rPr>
        <w:t>25</w:t>
      </w:r>
      <w:r w:rsidR="006B3827" w:rsidRPr="00212D57">
        <w:rPr>
          <w:szCs w:val="22"/>
        </w:rPr>
        <w:t>，</w:t>
      </w:r>
      <w:r w:rsidR="006B3827" w:rsidRPr="00761EF3">
        <w:rPr>
          <w:szCs w:val="22"/>
        </w:rPr>
        <w:t>319a11</w:t>
      </w:r>
      <w:r w:rsidR="006B3827" w:rsidRPr="00212D57">
        <w:rPr>
          <w:szCs w:val="22"/>
        </w:rPr>
        <w:t>-</w:t>
      </w:r>
      <w:r w:rsidR="006B3827" w:rsidRPr="00761EF3">
        <w:rPr>
          <w:szCs w:val="22"/>
        </w:rPr>
        <w:t>12</w:t>
      </w:r>
      <w:r w:rsidR="006B3827" w:rsidRPr="00212D57">
        <w:rPr>
          <w:szCs w:val="22"/>
        </w:rPr>
        <w:t>）</w:t>
      </w:r>
      <w:r w:rsidRPr="00212D57">
        <w:rPr>
          <w:szCs w:val="22"/>
        </w:rPr>
        <w:t>：「</w:t>
      </w:r>
      <w:r w:rsidR="009D72EA">
        <w:rPr>
          <w:rFonts w:ascii="標楷體" w:eastAsia="標楷體" w:hAnsi="標楷體" w:hint="eastAsia"/>
          <w:color w:val="FF0000"/>
          <w:kern w:val="0"/>
          <w:highlight w:val="yellow"/>
        </w:rPr>
        <w:t>『</w:t>
      </w:r>
      <w:r w:rsidRPr="00212D57">
        <w:rPr>
          <w:rFonts w:eastAsia="標楷體"/>
          <w:szCs w:val="22"/>
        </w:rPr>
        <w:t>般若波羅蜜</w:t>
      </w:r>
      <w:r w:rsidR="009D72EA">
        <w:rPr>
          <w:rFonts w:ascii="標楷體" w:eastAsia="標楷體" w:hAnsi="標楷體" w:hint="eastAsia"/>
          <w:color w:val="FF0000"/>
          <w:kern w:val="0"/>
          <w:highlight w:val="yellow"/>
        </w:rPr>
        <w:t>』</w:t>
      </w:r>
      <w:r w:rsidRPr="00212D57">
        <w:rPr>
          <w:rFonts w:eastAsia="標楷體"/>
          <w:szCs w:val="22"/>
        </w:rPr>
        <w:t>分為二分</w:t>
      </w:r>
      <w:r w:rsidRPr="00212D57">
        <w:rPr>
          <w:szCs w:val="22"/>
        </w:rPr>
        <w:t>：</w:t>
      </w:r>
      <w:r w:rsidRPr="00212D57">
        <w:rPr>
          <w:rFonts w:eastAsia="標楷體"/>
          <w:b/>
          <w:szCs w:val="22"/>
        </w:rPr>
        <w:t>成就者</w:t>
      </w:r>
      <w:r w:rsidR="004922B7" w:rsidRPr="004922B7">
        <w:rPr>
          <w:rFonts w:eastAsia="標楷體" w:hint="eastAsia"/>
          <w:b/>
          <w:color w:val="FF0000"/>
          <w:szCs w:val="22"/>
          <w:highlight w:val="yellow"/>
        </w:rPr>
        <w:t>，</w:t>
      </w:r>
      <w:r w:rsidRPr="00212D57">
        <w:rPr>
          <w:rFonts w:eastAsia="標楷體"/>
          <w:b/>
          <w:szCs w:val="22"/>
        </w:rPr>
        <w:t>名為</w:t>
      </w:r>
      <w:r w:rsidR="004922B7" w:rsidRPr="004922B7">
        <w:rPr>
          <w:rFonts w:eastAsia="標楷體" w:hint="eastAsia"/>
          <w:b/>
          <w:color w:val="FF0000"/>
          <w:szCs w:val="22"/>
          <w:highlight w:val="yellow"/>
        </w:rPr>
        <w:t>『</w:t>
      </w:r>
      <w:r w:rsidRPr="00212D57">
        <w:rPr>
          <w:rFonts w:eastAsia="標楷體"/>
          <w:b/>
          <w:szCs w:val="22"/>
        </w:rPr>
        <w:t>菩提</w:t>
      </w:r>
      <w:r w:rsidR="004922B7" w:rsidRPr="004922B7">
        <w:rPr>
          <w:rFonts w:eastAsia="標楷體" w:hint="eastAsia"/>
          <w:b/>
          <w:color w:val="FF0000"/>
          <w:szCs w:val="22"/>
          <w:highlight w:val="yellow"/>
        </w:rPr>
        <w:t>』</w:t>
      </w:r>
      <w:r w:rsidR="004922B7">
        <w:rPr>
          <w:rFonts w:eastAsia="標楷體" w:hint="eastAsia"/>
          <w:b/>
          <w:color w:val="FF0000"/>
          <w:szCs w:val="22"/>
          <w:highlight w:val="yellow"/>
        </w:rPr>
        <w:t>；</w:t>
      </w:r>
      <w:r w:rsidRPr="00212D57">
        <w:rPr>
          <w:rFonts w:eastAsia="標楷體"/>
          <w:b/>
          <w:szCs w:val="22"/>
        </w:rPr>
        <w:t>未成就者</w:t>
      </w:r>
      <w:r w:rsidR="004922B7" w:rsidRPr="004922B7">
        <w:rPr>
          <w:rFonts w:eastAsia="標楷體" w:hint="eastAsia"/>
          <w:b/>
          <w:color w:val="FF0000"/>
          <w:szCs w:val="22"/>
          <w:highlight w:val="yellow"/>
        </w:rPr>
        <w:t>，</w:t>
      </w:r>
      <w:r w:rsidRPr="00212D57">
        <w:rPr>
          <w:rFonts w:eastAsia="標楷體"/>
          <w:b/>
          <w:szCs w:val="22"/>
        </w:rPr>
        <w:t>名為</w:t>
      </w:r>
      <w:r w:rsidR="004922B7" w:rsidRPr="004922B7">
        <w:rPr>
          <w:rFonts w:eastAsia="標楷體" w:hint="eastAsia"/>
          <w:b/>
          <w:color w:val="FF0000"/>
          <w:szCs w:val="22"/>
          <w:highlight w:val="yellow"/>
        </w:rPr>
        <w:t>『</w:t>
      </w:r>
      <w:r w:rsidRPr="00212D57">
        <w:rPr>
          <w:rFonts w:eastAsia="標楷體"/>
          <w:b/>
          <w:szCs w:val="22"/>
        </w:rPr>
        <w:t>空</w:t>
      </w:r>
      <w:r w:rsidR="004922B7" w:rsidRPr="004922B7">
        <w:rPr>
          <w:rFonts w:eastAsia="標楷體" w:hint="eastAsia"/>
          <w:b/>
          <w:color w:val="FF0000"/>
          <w:szCs w:val="22"/>
          <w:highlight w:val="yellow"/>
        </w:rPr>
        <w:t>』</w:t>
      </w:r>
      <w:r w:rsidRPr="00212D57">
        <w:rPr>
          <w:rFonts w:eastAsia="標楷體"/>
          <w:b/>
          <w:szCs w:val="22"/>
        </w:rPr>
        <w:t>。</w:t>
      </w:r>
      <w:r w:rsidRPr="00212D57">
        <w:rPr>
          <w:rFonts w:eastAsia="標楷體"/>
          <w:szCs w:val="22"/>
        </w:rPr>
        <w:t>」</w:t>
      </w:r>
    </w:p>
  </w:footnote>
  <w:footnote w:id="237">
    <w:p w:rsidR="00157EF6" w:rsidRDefault="00157EF6" w:rsidP="004A4FEB">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）《大智度論》卷</w:t>
      </w:r>
      <w:r w:rsidRPr="00761EF3">
        <w:rPr>
          <w:szCs w:val="22"/>
        </w:rPr>
        <w:t>5</w:t>
      </w:r>
      <w:r w:rsidRPr="00212D57">
        <w:rPr>
          <w:szCs w:val="22"/>
        </w:rPr>
        <w:t>（大正</w:t>
      </w:r>
      <w:r w:rsidRPr="00761EF3">
        <w:rPr>
          <w:szCs w:val="22"/>
        </w:rPr>
        <w:t>25</w:t>
      </w:r>
      <w:r w:rsidRPr="00212D57">
        <w:rPr>
          <w:szCs w:val="22"/>
        </w:rPr>
        <w:t>，</w:t>
      </w:r>
      <w:r w:rsidRPr="00761EF3">
        <w:rPr>
          <w:szCs w:val="22"/>
        </w:rPr>
        <w:t>97b27</w:t>
      </w:r>
      <w:r w:rsidRPr="00212D57">
        <w:rPr>
          <w:szCs w:val="22"/>
        </w:rPr>
        <w:t>-</w:t>
      </w:r>
      <w:r w:rsidRPr="00761EF3">
        <w:rPr>
          <w:szCs w:val="22"/>
        </w:rPr>
        <w:t>c4</w:t>
      </w:r>
      <w:r w:rsidRPr="00212D57">
        <w:rPr>
          <w:szCs w:val="22"/>
        </w:rPr>
        <w:t>）：</w:t>
      </w:r>
    </w:p>
    <w:p w:rsidR="00157EF6" w:rsidRPr="00212D57" w:rsidRDefault="00157EF6" w:rsidP="0065356D">
      <w:pPr>
        <w:pStyle w:val="a5"/>
        <w:ind w:leftChars="335" w:left="804"/>
        <w:jc w:val="both"/>
        <w:rPr>
          <w:szCs w:val="22"/>
        </w:rPr>
      </w:pPr>
      <w:r w:rsidRPr="00212D57">
        <w:rPr>
          <w:rFonts w:eastAsia="標楷體"/>
          <w:szCs w:val="22"/>
        </w:rPr>
        <w:t>諸法不生不滅</w:t>
      </w:r>
      <w:r w:rsidR="00DC0062">
        <w:rPr>
          <w:rFonts w:ascii="標楷體" w:eastAsia="標楷體" w:hAnsi="標楷體" w:hint="eastAsia"/>
          <w:color w:val="FF0000"/>
          <w:spacing w:val="-4"/>
          <w:kern w:val="0"/>
          <w:highlight w:val="yellow"/>
        </w:rPr>
        <w:t>、</w:t>
      </w:r>
      <w:r w:rsidRPr="00212D57">
        <w:rPr>
          <w:rFonts w:eastAsia="標楷體"/>
          <w:szCs w:val="22"/>
        </w:rPr>
        <w:t>非不生非不滅</w:t>
      </w:r>
      <w:r w:rsidR="00DC0062">
        <w:rPr>
          <w:rFonts w:ascii="標楷體" w:eastAsia="標楷體" w:hAnsi="標楷體" w:hint="eastAsia"/>
          <w:color w:val="FF0000"/>
          <w:spacing w:val="-4"/>
          <w:kern w:val="0"/>
          <w:highlight w:val="yellow"/>
        </w:rPr>
        <w:t>、</w:t>
      </w:r>
      <w:r w:rsidRPr="00212D57">
        <w:rPr>
          <w:rFonts w:eastAsia="標楷體"/>
          <w:szCs w:val="22"/>
        </w:rPr>
        <w:t>亦不生滅非不生滅</w:t>
      </w:r>
      <w:r w:rsidR="00DC0062">
        <w:rPr>
          <w:rFonts w:ascii="標楷體" w:eastAsia="標楷體" w:hAnsi="標楷體" w:hint="eastAsia"/>
          <w:color w:val="FF0000"/>
          <w:spacing w:val="-4"/>
          <w:kern w:val="0"/>
          <w:highlight w:val="yellow"/>
        </w:rPr>
        <w:t>、</w:t>
      </w:r>
      <w:r w:rsidRPr="00212D57">
        <w:rPr>
          <w:rFonts w:eastAsia="標楷體"/>
          <w:szCs w:val="22"/>
        </w:rPr>
        <w:t>亦非不生滅非非不生滅。已得解脫，空、非空，是等悉捨，滅諸戲論，言語道斷，深入佛法，心通無礙，不動不退，名</w:t>
      </w:r>
      <w:r w:rsidR="004922B7" w:rsidRPr="004922B7">
        <w:rPr>
          <w:rFonts w:eastAsia="標楷體" w:hint="eastAsia"/>
          <w:b/>
          <w:color w:val="FF0000"/>
          <w:szCs w:val="22"/>
          <w:highlight w:val="yellow"/>
        </w:rPr>
        <w:t>『</w:t>
      </w:r>
      <w:r w:rsidRPr="00212D57">
        <w:rPr>
          <w:rFonts w:eastAsia="標楷體"/>
          <w:szCs w:val="22"/>
        </w:rPr>
        <w:t>無生忍</w:t>
      </w:r>
      <w:r w:rsidR="004922B7" w:rsidRPr="004922B7">
        <w:rPr>
          <w:rFonts w:eastAsia="標楷體" w:hint="eastAsia"/>
          <w:b/>
          <w:color w:val="FF0000"/>
          <w:szCs w:val="22"/>
          <w:highlight w:val="yellow"/>
        </w:rPr>
        <w:t>』</w:t>
      </w:r>
      <w:r w:rsidRPr="00212D57">
        <w:rPr>
          <w:rFonts w:eastAsia="標楷體"/>
          <w:szCs w:val="22"/>
        </w:rPr>
        <w:t>，是助佛道初門。</w:t>
      </w:r>
    </w:p>
    <w:p w:rsidR="00157EF6" w:rsidRPr="00212D57" w:rsidRDefault="00157EF6" w:rsidP="004A4FEB">
      <w:pPr>
        <w:pStyle w:val="a5"/>
        <w:ind w:leftChars="105" w:left="791" w:hangingChars="245" w:hanging="539"/>
        <w:jc w:val="both"/>
        <w:rPr>
          <w:szCs w:val="22"/>
        </w:rPr>
      </w:pPr>
      <w:r w:rsidRPr="00212D57">
        <w:rPr>
          <w:szCs w:val="22"/>
        </w:rPr>
        <w:t>（</w:t>
      </w:r>
      <w:r w:rsidRPr="00761EF3">
        <w:rPr>
          <w:szCs w:val="22"/>
        </w:rPr>
        <w:t>2</w:t>
      </w:r>
      <w:r w:rsidRPr="00212D57">
        <w:rPr>
          <w:szCs w:val="22"/>
        </w:rPr>
        <w:t>）《大智度論》卷</w:t>
      </w:r>
      <w:r w:rsidRPr="00761EF3">
        <w:rPr>
          <w:szCs w:val="22"/>
        </w:rPr>
        <w:t>27</w:t>
      </w:r>
      <w:r w:rsidRPr="00212D57">
        <w:rPr>
          <w:szCs w:val="22"/>
        </w:rPr>
        <w:t>（大正</w:t>
      </w:r>
      <w:r w:rsidRPr="00761EF3">
        <w:rPr>
          <w:szCs w:val="22"/>
        </w:rPr>
        <w:t>25</w:t>
      </w:r>
      <w:r w:rsidRPr="00212D57">
        <w:rPr>
          <w:szCs w:val="22"/>
        </w:rPr>
        <w:t>，</w:t>
      </w:r>
      <w:r w:rsidRPr="00761EF3">
        <w:rPr>
          <w:szCs w:val="22"/>
        </w:rPr>
        <w:t>259c21</w:t>
      </w:r>
      <w:r w:rsidRPr="00212D57">
        <w:rPr>
          <w:szCs w:val="22"/>
        </w:rPr>
        <w:t>-</w:t>
      </w:r>
      <w:r w:rsidRPr="00761EF3">
        <w:rPr>
          <w:szCs w:val="22"/>
        </w:rPr>
        <w:t>260</w:t>
      </w:r>
      <w:r w:rsidRPr="00212D57">
        <w:rPr>
          <w:szCs w:val="22"/>
        </w:rPr>
        <w:t xml:space="preserve"> </w:t>
      </w:r>
      <w:r w:rsidRPr="00761EF3">
        <w:rPr>
          <w:szCs w:val="22"/>
        </w:rPr>
        <w:t>a2</w:t>
      </w:r>
      <w:r w:rsidRPr="00212D57">
        <w:rPr>
          <w:szCs w:val="22"/>
        </w:rPr>
        <w:t>）：</w:t>
      </w:r>
    </w:p>
    <w:p w:rsidR="00157EF6" w:rsidRPr="00212D57" w:rsidRDefault="00157EF6" w:rsidP="004A4FEB">
      <w:pPr>
        <w:pStyle w:val="a5"/>
        <w:ind w:leftChars="335" w:left="804"/>
        <w:jc w:val="both"/>
        <w:rPr>
          <w:rFonts w:eastAsia="標楷體"/>
          <w:szCs w:val="22"/>
        </w:rPr>
      </w:pPr>
      <w:r w:rsidRPr="00212D57">
        <w:rPr>
          <w:rFonts w:eastAsia="標楷體"/>
          <w:szCs w:val="22"/>
        </w:rPr>
        <w:t>一切法，所謂有法、無法，亦有亦無法；空法、實法、非空非實法；所緣法、能緣法、非所緣非能緣法。</w:t>
      </w:r>
    </w:p>
    <w:p w:rsidR="00157EF6" w:rsidRPr="00212D57" w:rsidRDefault="00157EF6" w:rsidP="004A4FEB">
      <w:pPr>
        <w:pStyle w:val="a5"/>
        <w:ind w:leftChars="335" w:left="804"/>
        <w:jc w:val="both"/>
        <w:rPr>
          <w:rFonts w:eastAsia="標楷體"/>
          <w:szCs w:val="22"/>
        </w:rPr>
      </w:pPr>
      <w:r w:rsidRPr="00212D57">
        <w:rPr>
          <w:rFonts w:eastAsia="標楷體"/>
          <w:szCs w:val="22"/>
        </w:rPr>
        <w:t>復次，一切法，所謂</w:t>
      </w:r>
      <w:r w:rsidRPr="00212D57">
        <w:rPr>
          <w:rFonts w:eastAsia="標楷體"/>
          <w:b/>
          <w:szCs w:val="22"/>
        </w:rPr>
        <w:t>有法、無法</w:t>
      </w:r>
      <w:r w:rsidRPr="00212D57">
        <w:rPr>
          <w:rFonts w:eastAsia="標楷體"/>
          <w:szCs w:val="22"/>
        </w:rPr>
        <w:t>、亦有亦無法、非有非無法；</w:t>
      </w:r>
      <w:r w:rsidRPr="00212D57">
        <w:rPr>
          <w:rFonts w:eastAsia="標楷體"/>
          <w:b/>
          <w:szCs w:val="22"/>
        </w:rPr>
        <w:t>空法、不空法</w:t>
      </w:r>
      <w:r w:rsidRPr="00212D57">
        <w:rPr>
          <w:rFonts w:eastAsia="標楷體"/>
          <w:szCs w:val="22"/>
        </w:rPr>
        <w:t>、空不空法、非空非不空法；</w:t>
      </w:r>
      <w:r w:rsidRPr="00212D57">
        <w:rPr>
          <w:rFonts w:eastAsia="標楷體"/>
          <w:b/>
          <w:szCs w:val="22"/>
        </w:rPr>
        <w:t>生法、滅法</w:t>
      </w:r>
      <w:r w:rsidRPr="00212D57">
        <w:rPr>
          <w:rFonts w:eastAsia="標楷體"/>
          <w:szCs w:val="22"/>
        </w:rPr>
        <w:t>、生滅法、非生非滅法；</w:t>
      </w:r>
      <w:r w:rsidRPr="00212D57">
        <w:rPr>
          <w:rFonts w:eastAsia="標楷體"/>
          <w:b/>
          <w:szCs w:val="22"/>
        </w:rPr>
        <w:t>不生不滅法</w:t>
      </w:r>
      <w:r w:rsidRPr="00212D57">
        <w:rPr>
          <w:rFonts w:eastAsia="標楷體"/>
          <w:szCs w:val="22"/>
        </w:rPr>
        <w:t>、非不生非不滅法、不生不滅亦非不生非不滅法、非不生非不滅亦非不不生亦非不不滅法。</w:t>
      </w:r>
    </w:p>
    <w:p w:rsidR="004922B7" w:rsidRDefault="00157EF6" w:rsidP="004A4FEB">
      <w:pPr>
        <w:pStyle w:val="a5"/>
        <w:ind w:leftChars="335" w:left="804"/>
        <w:jc w:val="both"/>
        <w:rPr>
          <w:rFonts w:eastAsia="標楷體"/>
          <w:b/>
          <w:szCs w:val="22"/>
        </w:rPr>
      </w:pPr>
      <w:r w:rsidRPr="00212D57">
        <w:rPr>
          <w:rFonts w:eastAsia="標楷體"/>
          <w:szCs w:val="22"/>
        </w:rPr>
        <w:t>復次，一切法，所謂</w:t>
      </w:r>
      <w:r w:rsidRPr="00212D57">
        <w:rPr>
          <w:rFonts w:eastAsia="標楷體"/>
          <w:b/>
          <w:szCs w:val="22"/>
        </w:rPr>
        <w:t>有法、無法</w:t>
      </w:r>
      <w:r w:rsidRPr="00212D57">
        <w:rPr>
          <w:rFonts w:eastAsia="標楷體"/>
          <w:szCs w:val="22"/>
        </w:rPr>
        <w:t>、有無法、非有非無法、</w:t>
      </w:r>
      <w:r w:rsidRPr="00212D57">
        <w:rPr>
          <w:rFonts w:eastAsia="標楷體"/>
          <w:b/>
          <w:szCs w:val="22"/>
        </w:rPr>
        <w:t>捨是四句法。</w:t>
      </w:r>
    </w:p>
    <w:p w:rsidR="00157EF6" w:rsidRPr="00212D57" w:rsidRDefault="00157EF6" w:rsidP="004A4FEB">
      <w:pPr>
        <w:pStyle w:val="a5"/>
        <w:ind w:leftChars="335" w:left="804"/>
        <w:jc w:val="both"/>
        <w:rPr>
          <w:szCs w:val="22"/>
        </w:rPr>
      </w:pPr>
      <w:r w:rsidRPr="00DC0062">
        <w:rPr>
          <w:rFonts w:eastAsia="標楷體"/>
          <w:b/>
          <w:szCs w:val="22"/>
          <w:highlight w:val="yellow"/>
        </w:rPr>
        <w:t>空</w:t>
      </w:r>
      <w:r w:rsidRPr="00212D57">
        <w:rPr>
          <w:rFonts w:eastAsia="標楷體" w:hint="eastAsia"/>
          <w:b/>
          <w:szCs w:val="22"/>
        </w:rPr>
        <w:t>、</w:t>
      </w:r>
      <w:r w:rsidRPr="00212D57">
        <w:rPr>
          <w:rFonts w:eastAsia="標楷體"/>
          <w:b/>
          <w:szCs w:val="22"/>
        </w:rPr>
        <w:t>不空，生</w:t>
      </w:r>
      <w:r w:rsidRPr="00212D57">
        <w:rPr>
          <w:rFonts w:eastAsia="標楷體" w:hint="eastAsia"/>
          <w:b/>
          <w:szCs w:val="22"/>
        </w:rPr>
        <w:t>、</w:t>
      </w:r>
      <w:r w:rsidRPr="00212D57">
        <w:rPr>
          <w:rFonts w:eastAsia="標楷體"/>
          <w:b/>
          <w:szCs w:val="22"/>
        </w:rPr>
        <w:t>滅，不生不滅</w:t>
      </w:r>
      <w:r w:rsidRPr="004922B7">
        <w:rPr>
          <w:rFonts w:ascii="標楷體" w:eastAsia="標楷體" w:hAnsi="標楷體"/>
          <w:b/>
          <w:szCs w:val="22"/>
        </w:rPr>
        <w:t>――</w:t>
      </w:r>
      <w:r w:rsidRPr="00212D57">
        <w:rPr>
          <w:rFonts w:eastAsia="標楷體"/>
          <w:b/>
          <w:szCs w:val="22"/>
        </w:rPr>
        <w:t>五句</w:t>
      </w:r>
      <w:r w:rsidR="004922B7" w:rsidRPr="004922B7">
        <w:rPr>
          <w:rFonts w:eastAsia="標楷體" w:hint="eastAsia"/>
          <w:b/>
          <w:color w:val="FF0000"/>
          <w:szCs w:val="22"/>
          <w:highlight w:val="yellow"/>
        </w:rPr>
        <w:t>，</w:t>
      </w:r>
      <w:r w:rsidRPr="00212D57">
        <w:rPr>
          <w:rFonts w:eastAsia="標楷體"/>
          <w:b/>
          <w:szCs w:val="22"/>
        </w:rPr>
        <w:t>皆亦如是。</w:t>
      </w:r>
      <w:r w:rsidRPr="00212D57">
        <w:rPr>
          <w:szCs w:val="22"/>
        </w:rPr>
        <w:t>」</w:t>
      </w:r>
    </w:p>
  </w:footnote>
  <w:footnote w:id="238">
    <w:p w:rsidR="00157EF6" w:rsidRPr="00212D57" w:rsidRDefault="00157EF6" w:rsidP="009E0A5A">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rFonts w:hint="eastAsia"/>
          <w:szCs w:val="22"/>
        </w:rPr>
        <w:t>印順法師，</w:t>
      </w:r>
      <w:r w:rsidRPr="00212D57">
        <w:rPr>
          <w:szCs w:val="22"/>
        </w:rPr>
        <w:t>《空之探究》，</w:t>
      </w:r>
      <w:r w:rsidRPr="00212D57">
        <w:rPr>
          <w:rFonts w:hint="eastAsia"/>
          <w:szCs w:val="22"/>
        </w:rPr>
        <w:t>第</w:t>
      </w:r>
      <w:r w:rsidRPr="00761EF3">
        <w:rPr>
          <w:rFonts w:hint="eastAsia"/>
          <w:szCs w:val="22"/>
        </w:rPr>
        <w:t>4</w:t>
      </w:r>
      <w:r w:rsidRPr="00212D57">
        <w:rPr>
          <w:rFonts w:hint="eastAsia"/>
          <w:szCs w:val="22"/>
        </w:rPr>
        <w:t>章，第</w:t>
      </w:r>
      <w:r w:rsidRPr="00761EF3">
        <w:rPr>
          <w:rFonts w:hint="eastAsia"/>
          <w:szCs w:val="22"/>
        </w:rPr>
        <w:t>3</w:t>
      </w:r>
      <w:r w:rsidRPr="00212D57">
        <w:rPr>
          <w:rFonts w:ascii="新細明體" w:hAnsi="新細明體" w:hint="eastAsia"/>
          <w:szCs w:val="22"/>
        </w:rPr>
        <w:t>節</w:t>
      </w:r>
      <w:r w:rsidRPr="00212D57">
        <w:rPr>
          <w:szCs w:val="22"/>
        </w:rPr>
        <w:t>〈</w:t>
      </w:r>
      <w:r w:rsidRPr="00212D57">
        <w:rPr>
          <w:rFonts w:hint="eastAsia"/>
          <w:szCs w:val="22"/>
        </w:rPr>
        <w:t>《中論》之中心思想〉，</w:t>
      </w:r>
      <w:r w:rsidRPr="00761EF3">
        <w:rPr>
          <w:rFonts w:hint="eastAsia"/>
          <w:szCs w:val="22"/>
        </w:rPr>
        <w:t>p</w:t>
      </w:r>
      <w:r w:rsidRPr="00761EF3">
        <w:rPr>
          <w:szCs w:val="22"/>
        </w:rPr>
        <w:t>p</w:t>
      </w:r>
      <w:r w:rsidRPr="00212D57">
        <w:rPr>
          <w:szCs w:val="22"/>
        </w:rPr>
        <w:t>.</w:t>
      </w:r>
      <w:r w:rsidRPr="00761EF3">
        <w:rPr>
          <w:szCs w:val="22"/>
        </w:rPr>
        <w:t>224</w:t>
      </w:r>
      <w:r w:rsidRPr="00212D57">
        <w:rPr>
          <w:szCs w:val="22"/>
        </w:rPr>
        <w:t>-</w:t>
      </w:r>
      <w:r w:rsidRPr="00761EF3">
        <w:rPr>
          <w:szCs w:val="22"/>
        </w:rPr>
        <w:t>225</w:t>
      </w:r>
      <w:r w:rsidRPr="00212D57">
        <w:rPr>
          <w:szCs w:val="22"/>
        </w:rPr>
        <w:t>：</w:t>
      </w:r>
    </w:p>
    <w:p w:rsidR="00157EF6" w:rsidRDefault="00157EF6" w:rsidP="0041064E">
      <w:pPr>
        <w:pStyle w:val="a5"/>
        <w:ind w:leftChars="75" w:left="180"/>
        <w:jc w:val="both"/>
        <w:rPr>
          <w:rFonts w:eastAsia="標楷體"/>
          <w:szCs w:val="22"/>
        </w:rPr>
      </w:pPr>
      <w:r w:rsidRPr="00212D57">
        <w:rPr>
          <w:rFonts w:eastAsia="標楷體"/>
          <w:szCs w:val="22"/>
        </w:rPr>
        <w:t>佛說的緣起，是「諸說中第一」，不共世間（外道等）學的。但佛教在部派分化中，雖一致的宣說緣起，卻不免著相推求，緣起的定義，也就異說紛紜了。大都著重依緣而生起，忽略依緣而滅無。不知「此有故彼有，此生故彼生」，固然是緣起；而「此無故彼無，此滅故彼滅」，也還是緣起。《雜阿含經》卷</w:t>
      </w:r>
      <w:r w:rsidRPr="00761EF3">
        <w:rPr>
          <w:rFonts w:eastAsia="標楷體"/>
          <w:szCs w:val="22"/>
        </w:rPr>
        <w:t>2</w:t>
      </w:r>
      <w:r w:rsidRPr="00212D57">
        <w:rPr>
          <w:rFonts w:eastAsia="標楷體"/>
          <w:szCs w:val="22"/>
        </w:rPr>
        <w:t>（</w:t>
      </w:r>
      <w:r w:rsidRPr="00761EF3">
        <w:rPr>
          <w:rFonts w:eastAsia="標楷體"/>
          <w:szCs w:val="22"/>
        </w:rPr>
        <w:t>53</w:t>
      </w:r>
      <w:r w:rsidRPr="00212D57">
        <w:rPr>
          <w:rFonts w:eastAsia="標楷體"/>
          <w:szCs w:val="22"/>
        </w:rPr>
        <w:t>經）正是這樣說：「有因有緣集世間，有因有緣世間集；有因有緣滅世間，有因有緣世間滅。」</w:t>
      </w:r>
      <w:r w:rsidR="002E1B88" w:rsidRPr="002E1B88">
        <w:rPr>
          <w:rFonts w:eastAsia="標楷體" w:hint="eastAsia"/>
          <w:szCs w:val="22"/>
          <w:vertAlign w:val="superscript"/>
        </w:rPr>
        <w:t>[15]</w:t>
      </w:r>
      <w:r w:rsidRPr="00212D57">
        <w:rPr>
          <w:rFonts w:eastAsia="標楷體"/>
          <w:szCs w:val="22"/>
        </w:rPr>
        <w:t>佛的緣起說，是通於集與滅的。</w:t>
      </w:r>
    </w:p>
    <w:p w:rsidR="002E1B88" w:rsidRPr="00DC0062" w:rsidRDefault="002E1B88" w:rsidP="0041064E">
      <w:pPr>
        <w:pStyle w:val="a5"/>
        <w:ind w:leftChars="75" w:left="180"/>
        <w:jc w:val="both"/>
        <w:rPr>
          <w:szCs w:val="22"/>
        </w:rPr>
      </w:pPr>
      <w:r w:rsidRPr="002E1B88">
        <w:rPr>
          <w:rFonts w:hint="eastAsia"/>
          <w:szCs w:val="22"/>
        </w:rPr>
        <w:t>[</w:t>
      </w:r>
      <w:r w:rsidRPr="002E1B88">
        <w:rPr>
          <w:rFonts w:hint="eastAsia"/>
          <w:szCs w:val="22"/>
        </w:rPr>
        <w:t>原書</w:t>
      </w:r>
      <w:r w:rsidRPr="00DC0062">
        <w:rPr>
          <w:rFonts w:hint="eastAsia"/>
          <w:szCs w:val="22"/>
        </w:rPr>
        <w:t>註</w:t>
      </w:r>
      <w:r w:rsidRPr="00DC0062">
        <w:rPr>
          <w:rFonts w:eastAsia="標楷體" w:hint="eastAsia"/>
          <w:szCs w:val="22"/>
        </w:rPr>
        <w:t>15]</w:t>
      </w:r>
      <w:r w:rsidRPr="00DC0062">
        <w:rPr>
          <w:szCs w:val="22"/>
        </w:rPr>
        <w:t>《雜阿含經》卷</w:t>
      </w:r>
      <w:r w:rsidRPr="00DC0062">
        <w:rPr>
          <w:szCs w:val="22"/>
        </w:rPr>
        <w:t>2</w:t>
      </w:r>
      <w:r w:rsidRPr="00DC0062">
        <w:rPr>
          <w:szCs w:val="22"/>
        </w:rPr>
        <w:t>（大正</w:t>
      </w:r>
      <w:r w:rsidRPr="00DC0062">
        <w:rPr>
          <w:szCs w:val="22"/>
        </w:rPr>
        <w:t>2</w:t>
      </w:r>
      <w:r w:rsidRPr="00DC0062">
        <w:rPr>
          <w:szCs w:val="22"/>
        </w:rPr>
        <w:t>，</w:t>
      </w:r>
      <w:r w:rsidRPr="00DC0062">
        <w:rPr>
          <w:szCs w:val="22"/>
        </w:rPr>
        <w:t>12c23-25</w:t>
      </w:r>
      <w:r w:rsidRPr="00DC0062">
        <w:rPr>
          <w:szCs w:val="22"/>
        </w:rPr>
        <w:t>）</w:t>
      </w:r>
      <w:r w:rsidRPr="00DC0062">
        <w:rPr>
          <w:rFonts w:hint="eastAsia"/>
          <w:szCs w:val="22"/>
        </w:rPr>
        <w:t>。</w:t>
      </w:r>
    </w:p>
  </w:footnote>
  <w:footnote w:id="239">
    <w:p w:rsidR="00157EF6" w:rsidRPr="00212D57" w:rsidRDefault="00157EF6" w:rsidP="005B547D">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《雜阿含經》卷</w:t>
      </w:r>
      <w:r w:rsidRPr="00761EF3">
        <w:rPr>
          <w:szCs w:val="22"/>
        </w:rPr>
        <w:t>12</w:t>
      </w:r>
      <w:r w:rsidRPr="00212D57">
        <w:rPr>
          <w:szCs w:val="22"/>
        </w:rPr>
        <w:t>（</w:t>
      </w:r>
      <w:r w:rsidRPr="00761EF3">
        <w:rPr>
          <w:szCs w:val="22"/>
        </w:rPr>
        <w:t>293</w:t>
      </w:r>
      <w:r w:rsidRPr="00212D57">
        <w:rPr>
          <w:szCs w:val="22"/>
        </w:rPr>
        <w:t>經）（大正</w:t>
      </w:r>
      <w:r w:rsidRPr="00761EF3">
        <w:rPr>
          <w:szCs w:val="22"/>
        </w:rPr>
        <w:t>2</w:t>
      </w:r>
      <w:r w:rsidRPr="00212D57">
        <w:rPr>
          <w:szCs w:val="22"/>
        </w:rPr>
        <w:t>，</w:t>
      </w:r>
      <w:r w:rsidRPr="00761EF3">
        <w:rPr>
          <w:szCs w:val="22"/>
        </w:rPr>
        <w:t>83c13</w:t>
      </w:r>
      <w:r w:rsidRPr="00212D57">
        <w:rPr>
          <w:szCs w:val="22"/>
        </w:rPr>
        <w:t>-</w:t>
      </w:r>
      <w:r w:rsidRPr="00761EF3">
        <w:rPr>
          <w:szCs w:val="22"/>
        </w:rPr>
        <w:t>17</w:t>
      </w:r>
      <w:r w:rsidRPr="00212D57">
        <w:rPr>
          <w:szCs w:val="22"/>
        </w:rPr>
        <w:t>）。</w:t>
      </w:r>
    </w:p>
  </w:footnote>
  <w:footnote w:id="240">
    <w:p w:rsidR="002E1B88" w:rsidRPr="00212D57" w:rsidRDefault="002E1B88" w:rsidP="002E1B88">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）《雜阿含經》卷</w:t>
      </w:r>
      <w:r w:rsidRPr="00761EF3">
        <w:rPr>
          <w:szCs w:val="22"/>
        </w:rPr>
        <w:t>12</w:t>
      </w:r>
      <w:r w:rsidRPr="00212D57">
        <w:rPr>
          <w:szCs w:val="22"/>
        </w:rPr>
        <w:t>（</w:t>
      </w:r>
      <w:r w:rsidRPr="00761EF3">
        <w:rPr>
          <w:szCs w:val="22"/>
        </w:rPr>
        <w:t>296</w:t>
      </w:r>
      <w:r w:rsidRPr="00212D57">
        <w:rPr>
          <w:szCs w:val="22"/>
        </w:rPr>
        <w:t>經）（大正</w:t>
      </w:r>
      <w:r w:rsidRPr="00761EF3">
        <w:rPr>
          <w:szCs w:val="22"/>
        </w:rPr>
        <w:t>2</w:t>
      </w:r>
      <w:r w:rsidRPr="00212D57">
        <w:rPr>
          <w:szCs w:val="22"/>
        </w:rPr>
        <w:t>，</w:t>
      </w:r>
      <w:r w:rsidRPr="00761EF3">
        <w:rPr>
          <w:szCs w:val="22"/>
        </w:rPr>
        <w:t>84b13</w:t>
      </w:r>
      <w:r w:rsidRPr="00212D57">
        <w:rPr>
          <w:szCs w:val="22"/>
        </w:rPr>
        <w:t>-</w:t>
      </w:r>
      <w:r w:rsidRPr="00761EF3">
        <w:rPr>
          <w:szCs w:val="22"/>
        </w:rPr>
        <w:t>26</w:t>
      </w:r>
      <w:r w:rsidRPr="00212D57">
        <w:rPr>
          <w:szCs w:val="22"/>
        </w:rPr>
        <w:t>）：</w:t>
      </w:r>
    </w:p>
    <w:p w:rsidR="002E1B88" w:rsidRPr="00212D57" w:rsidRDefault="002E1B88" w:rsidP="002E1B88">
      <w:pPr>
        <w:pStyle w:val="a5"/>
        <w:ind w:leftChars="300" w:left="720"/>
        <w:jc w:val="both"/>
        <w:rPr>
          <w:rFonts w:eastAsia="標楷體"/>
          <w:szCs w:val="22"/>
        </w:rPr>
      </w:pPr>
      <w:r w:rsidRPr="00212D57">
        <w:rPr>
          <w:rFonts w:eastAsia="標楷體"/>
          <w:szCs w:val="22"/>
        </w:rPr>
        <w:t>爾時、世尊告諸比丘：「我今當說</w:t>
      </w:r>
      <w:r w:rsidR="00DC0062">
        <w:rPr>
          <w:rFonts w:ascii="標楷體" w:eastAsia="標楷體" w:hAnsi="標楷體" w:hint="eastAsia"/>
          <w:color w:val="FF0000"/>
          <w:kern w:val="0"/>
          <w:highlight w:val="yellow"/>
        </w:rPr>
        <w:t>『</w:t>
      </w:r>
      <w:r w:rsidRPr="00212D57">
        <w:rPr>
          <w:rFonts w:eastAsia="標楷體"/>
          <w:szCs w:val="22"/>
        </w:rPr>
        <w:t>因緣法</w:t>
      </w:r>
      <w:r w:rsidR="00DC0062">
        <w:rPr>
          <w:rFonts w:ascii="標楷體" w:eastAsia="標楷體" w:hAnsi="標楷體" w:hint="eastAsia"/>
          <w:color w:val="FF0000"/>
          <w:kern w:val="0"/>
          <w:highlight w:val="yellow"/>
        </w:rPr>
        <w:t>』</w:t>
      </w:r>
      <w:r w:rsidRPr="00212D57">
        <w:rPr>
          <w:rFonts w:eastAsia="標楷體"/>
          <w:szCs w:val="22"/>
        </w:rPr>
        <w:t>及</w:t>
      </w:r>
      <w:r w:rsidR="00DC0062">
        <w:rPr>
          <w:rFonts w:ascii="標楷體" w:eastAsia="標楷體" w:hAnsi="標楷體" w:hint="eastAsia"/>
          <w:color w:val="FF0000"/>
          <w:kern w:val="0"/>
          <w:highlight w:val="yellow"/>
        </w:rPr>
        <w:t>『</w:t>
      </w:r>
      <w:r w:rsidRPr="00212D57">
        <w:rPr>
          <w:rFonts w:eastAsia="標楷體"/>
          <w:szCs w:val="22"/>
        </w:rPr>
        <w:t>緣生法</w:t>
      </w:r>
      <w:r w:rsidR="00DC0062">
        <w:rPr>
          <w:rFonts w:ascii="標楷體" w:eastAsia="標楷體" w:hAnsi="標楷體" w:hint="eastAsia"/>
          <w:color w:val="FF0000"/>
          <w:kern w:val="0"/>
          <w:highlight w:val="yellow"/>
        </w:rPr>
        <w:t>』</w:t>
      </w:r>
      <w:r w:rsidRPr="00212D57">
        <w:rPr>
          <w:rFonts w:eastAsia="標楷體"/>
          <w:szCs w:val="22"/>
        </w:rPr>
        <w:t>。</w:t>
      </w:r>
    </w:p>
    <w:p w:rsidR="002E1B88" w:rsidRPr="00212D57" w:rsidRDefault="002E1B88" w:rsidP="002E1B88">
      <w:pPr>
        <w:pStyle w:val="a5"/>
        <w:ind w:leftChars="300" w:left="720"/>
        <w:jc w:val="both"/>
        <w:rPr>
          <w:rFonts w:eastAsia="標楷體"/>
          <w:szCs w:val="22"/>
        </w:rPr>
      </w:pPr>
      <w:r w:rsidRPr="00212D57">
        <w:rPr>
          <w:rFonts w:eastAsia="標楷體"/>
          <w:szCs w:val="22"/>
        </w:rPr>
        <w:t>云何為</w:t>
      </w:r>
      <w:r w:rsidR="00DC0062">
        <w:rPr>
          <w:rFonts w:ascii="標楷體" w:eastAsia="標楷體" w:hAnsi="標楷體" w:hint="eastAsia"/>
          <w:color w:val="FF0000"/>
          <w:kern w:val="0"/>
          <w:highlight w:val="yellow"/>
        </w:rPr>
        <w:t>『</w:t>
      </w:r>
      <w:r w:rsidRPr="00212D57">
        <w:rPr>
          <w:rFonts w:eastAsia="標楷體"/>
          <w:szCs w:val="22"/>
        </w:rPr>
        <w:t>因緣法</w:t>
      </w:r>
      <w:r w:rsidR="00DC0062">
        <w:rPr>
          <w:rFonts w:ascii="標楷體" w:eastAsia="標楷體" w:hAnsi="標楷體" w:hint="eastAsia"/>
          <w:color w:val="FF0000"/>
          <w:kern w:val="0"/>
          <w:highlight w:val="yellow"/>
        </w:rPr>
        <w:t>』</w:t>
      </w:r>
      <w:r w:rsidRPr="00212D57">
        <w:rPr>
          <w:rFonts w:eastAsia="標楷體"/>
          <w:szCs w:val="22"/>
        </w:rPr>
        <w:t>？謂</w:t>
      </w:r>
      <w:r w:rsidR="00DC0062">
        <w:rPr>
          <w:rFonts w:ascii="標楷體" w:eastAsia="標楷體" w:hAnsi="標楷體" w:hint="eastAsia"/>
          <w:color w:val="FF0000"/>
          <w:kern w:val="0"/>
          <w:highlight w:val="yellow"/>
        </w:rPr>
        <w:t>『</w:t>
      </w:r>
      <w:r w:rsidRPr="00212D57">
        <w:rPr>
          <w:rFonts w:eastAsia="標楷體"/>
          <w:szCs w:val="22"/>
        </w:rPr>
        <w:t>此有故彼有</w:t>
      </w:r>
      <w:r w:rsidR="00DC0062">
        <w:rPr>
          <w:rFonts w:ascii="標楷體" w:eastAsia="標楷體" w:hAnsi="標楷體" w:hint="eastAsia"/>
          <w:color w:val="FF0000"/>
          <w:kern w:val="0"/>
          <w:highlight w:val="yellow"/>
        </w:rPr>
        <w:t>』</w:t>
      </w:r>
      <w:r w:rsidRPr="00212D57">
        <w:rPr>
          <w:rFonts w:eastAsia="標楷體"/>
          <w:szCs w:val="22"/>
        </w:rPr>
        <w:t>，謂緣無明行，緣行識，乃至如是如是純大苦聚集。</w:t>
      </w:r>
    </w:p>
    <w:p w:rsidR="002E1B88" w:rsidRDefault="002E1B88" w:rsidP="002E1B88">
      <w:pPr>
        <w:pStyle w:val="a5"/>
        <w:spacing w:line="300" w:lineRule="exact"/>
        <w:ind w:leftChars="300" w:left="720"/>
        <w:jc w:val="both"/>
        <w:rPr>
          <w:rFonts w:eastAsia="標楷體"/>
          <w:szCs w:val="22"/>
        </w:rPr>
      </w:pPr>
      <w:r w:rsidRPr="00212D57">
        <w:rPr>
          <w:rFonts w:eastAsia="標楷體"/>
          <w:szCs w:val="22"/>
        </w:rPr>
        <w:t>云何</w:t>
      </w:r>
      <w:r w:rsidR="00DC0062">
        <w:rPr>
          <w:rFonts w:ascii="標楷體" w:eastAsia="標楷體" w:hAnsi="標楷體" w:hint="eastAsia"/>
          <w:color w:val="FF0000"/>
          <w:kern w:val="0"/>
          <w:highlight w:val="yellow"/>
        </w:rPr>
        <w:t>『</w:t>
      </w:r>
      <w:r w:rsidRPr="00212D57">
        <w:rPr>
          <w:rFonts w:eastAsia="標楷體"/>
          <w:szCs w:val="22"/>
        </w:rPr>
        <w:t>緣生法</w:t>
      </w:r>
      <w:r w:rsidR="00DC0062">
        <w:rPr>
          <w:rFonts w:ascii="標楷體" w:eastAsia="標楷體" w:hAnsi="標楷體" w:hint="eastAsia"/>
          <w:color w:val="FF0000"/>
          <w:kern w:val="0"/>
          <w:highlight w:val="yellow"/>
        </w:rPr>
        <w:t>』</w:t>
      </w:r>
      <w:r w:rsidRPr="00212D57">
        <w:rPr>
          <w:rFonts w:eastAsia="標楷體"/>
          <w:szCs w:val="22"/>
        </w:rPr>
        <w:t>？謂無明、行。若佛出世</w:t>
      </w:r>
      <w:r>
        <w:rPr>
          <w:rFonts w:eastAsia="標楷體" w:hint="eastAsia"/>
          <w:color w:val="FF0000"/>
          <w:szCs w:val="22"/>
          <w:highlight w:val="yellow"/>
        </w:rPr>
        <w:t>、</w:t>
      </w:r>
      <w:r w:rsidRPr="00212D57">
        <w:rPr>
          <w:rFonts w:eastAsia="標楷體"/>
          <w:szCs w:val="22"/>
        </w:rPr>
        <w:t>若未出世，此法常住，法住、法界，彼如來自所覺知，成等正覺，為人演說</w:t>
      </w:r>
      <w:r w:rsidRPr="00212D57">
        <w:rPr>
          <w:rFonts w:eastAsia="標楷體" w:hint="eastAsia"/>
          <w:szCs w:val="22"/>
        </w:rPr>
        <w:t>、</w:t>
      </w:r>
      <w:r w:rsidRPr="00212D57">
        <w:rPr>
          <w:rFonts w:eastAsia="標楷體"/>
          <w:szCs w:val="22"/>
        </w:rPr>
        <w:t>開示、顯發，謂緣無明有行，乃至緣生有老死。若佛出世</w:t>
      </w:r>
      <w:r>
        <w:rPr>
          <w:rFonts w:eastAsia="標楷體" w:hint="eastAsia"/>
          <w:color w:val="FF0000"/>
          <w:szCs w:val="22"/>
          <w:highlight w:val="yellow"/>
        </w:rPr>
        <w:t>、</w:t>
      </w:r>
      <w:r w:rsidRPr="00212D57">
        <w:rPr>
          <w:rFonts w:eastAsia="標楷體"/>
          <w:szCs w:val="22"/>
        </w:rPr>
        <w:t>若未出世，此法常住，法住、法界，彼如來自覺知，成等正覺，為人演說、開示、顯發，謂緣生故有老病</w:t>
      </w:r>
      <w:r w:rsidRPr="00DC0062">
        <w:rPr>
          <w:rFonts w:eastAsia="標楷體"/>
          <w:szCs w:val="22"/>
          <w:highlight w:val="yellow"/>
        </w:rPr>
        <w:t>死憂</w:t>
      </w:r>
      <w:r w:rsidRPr="00212D57">
        <w:rPr>
          <w:rFonts w:eastAsia="標楷體"/>
          <w:szCs w:val="22"/>
        </w:rPr>
        <w:t>悲惱苦。此等諸法，法住</w:t>
      </w:r>
      <w:r>
        <w:rPr>
          <w:rFonts w:eastAsia="標楷體" w:hint="eastAsia"/>
          <w:color w:val="FF0000"/>
          <w:szCs w:val="22"/>
          <w:highlight w:val="yellow"/>
        </w:rPr>
        <w:t>、</w:t>
      </w:r>
      <w:r w:rsidRPr="00212D57">
        <w:rPr>
          <w:rFonts w:eastAsia="標楷體"/>
          <w:szCs w:val="22"/>
        </w:rPr>
        <w:t>法定</w:t>
      </w:r>
      <w:r w:rsidRPr="00EB57EF">
        <w:rPr>
          <w:rFonts w:eastAsia="標楷體" w:hint="eastAsia"/>
          <w:color w:val="FF0000"/>
          <w:szCs w:val="22"/>
          <w:shd w:val="pct15" w:color="auto" w:fill="FFFFFF"/>
        </w:rPr>
        <w:t>*</w:t>
      </w:r>
      <w:r>
        <w:rPr>
          <w:rFonts w:eastAsia="標楷體" w:hint="eastAsia"/>
          <w:color w:val="FF0000"/>
          <w:szCs w:val="22"/>
          <w:highlight w:val="yellow"/>
        </w:rPr>
        <w:t>、</w:t>
      </w:r>
      <w:r w:rsidRPr="00212D57">
        <w:rPr>
          <w:rFonts w:eastAsia="標楷體"/>
          <w:szCs w:val="22"/>
        </w:rPr>
        <w:t>法如</w:t>
      </w:r>
      <w:r>
        <w:rPr>
          <w:rFonts w:eastAsia="標楷體" w:hint="eastAsia"/>
          <w:color w:val="FF0000"/>
          <w:szCs w:val="22"/>
          <w:highlight w:val="yellow"/>
        </w:rPr>
        <w:t>、</w:t>
      </w:r>
      <w:r>
        <w:rPr>
          <w:rFonts w:eastAsia="標楷體"/>
          <w:szCs w:val="22"/>
        </w:rPr>
        <w:t>法爾，法不離如</w:t>
      </w:r>
      <w:r>
        <w:rPr>
          <w:rFonts w:eastAsia="標楷體" w:hint="eastAsia"/>
          <w:color w:val="FF0000"/>
          <w:szCs w:val="22"/>
          <w:highlight w:val="yellow"/>
        </w:rPr>
        <w:t>、</w:t>
      </w:r>
      <w:r w:rsidRPr="00212D57">
        <w:rPr>
          <w:rFonts w:eastAsia="標楷體"/>
          <w:szCs w:val="22"/>
        </w:rPr>
        <w:t>法不異如，審諦、真、實、不顛倒。如是隨順緣起，是名</w:t>
      </w:r>
      <w:r>
        <w:rPr>
          <w:rFonts w:eastAsia="標楷體" w:hint="eastAsia"/>
          <w:color w:val="FF0000"/>
          <w:szCs w:val="22"/>
          <w:highlight w:val="yellow"/>
        </w:rPr>
        <w:t>「</w:t>
      </w:r>
      <w:r w:rsidRPr="00212D57">
        <w:rPr>
          <w:rFonts w:eastAsia="標楷體"/>
          <w:szCs w:val="22"/>
        </w:rPr>
        <w:t>緣生法</w:t>
      </w:r>
      <w:r>
        <w:rPr>
          <w:rFonts w:eastAsia="標楷體" w:hint="eastAsia"/>
          <w:color w:val="FF0000"/>
          <w:szCs w:val="22"/>
          <w:highlight w:val="yellow"/>
        </w:rPr>
        <w:t>」</w:t>
      </w:r>
      <w:r w:rsidRPr="00212D57">
        <w:rPr>
          <w:rFonts w:eastAsia="標楷體"/>
          <w:szCs w:val="22"/>
        </w:rPr>
        <w:t>，謂無明、行、識、名色、六入處、觸、受、愛、取、有、生、老病死憂悲惱苦，是名</w:t>
      </w:r>
      <w:r>
        <w:rPr>
          <w:rFonts w:eastAsia="標楷體" w:hint="eastAsia"/>
          <w:color w:val="FF0000"/>
          <w:szCs w:val="22"/>
          <w:highlight w:val="yellow"/>
        </w:rPr>
        <w:t>「</w:t>
      </w:r>
      <w:r w:rsidRPr="00212D57">
        <w:rPr>
          <w:rFonts w:eastAsia="標楷體"/>
          <w:szCs w:val="22"/>
        </w:rPr>
        <w:t>緣生法</w:t>
      </w:r>
      <w:r>
        <w:rPr>
          <w:rFonts w:eastAsia="標楷體" w:hint="eastAsia"/>
          <w:color w:val="FF0000"/>
          <w:szCs w:val="22"/>
          <w:highlight w:val="yellow"/>
        </w:rPr>
        <w:t>」</w:t>
      </w:r>
      <w:r w:rsidRPr="00212D57">
        <w:rPr>
          <w:rFonts w:eastAsia="標楷體"/>
          <w:szCs w:val="22"/>
        </w:rPr>
        <w:t>。</w:t>
      </w:r>
    </w:p>
    <w:p w:rsidR="002E1B88" w:rsidRDefault="002E1B88" w:rsidP="002E1B88">
      <w:pPr>
        <w:pStyle w:val="a5"/>
        <w:spacing w:line="300" w:lineRule="exact"/>
        <w:ind w:leftChars="300" w:left="720"/>
        <w:jc w:val="both"/>
        <w:rPr>
          <w:szCs w:val="22"/>
        </w:rPr>
      </w:pPr>
      <w:r w:rsidRPr="00212D57">
        <w:rPr>
          <w:szCs w:val="22"/>
        </w:rPr>
        <w:t>（參見</w:t>
      </w:r>
      <w:r>
        <w:rPr>
          <w:rFonts w:hint="eastAsia"/>
          <w:szCs w:val="22"/>
        </w:rPr>
        <w:t>：</w:t>
      </w:r>
      <w:r w:rsidRPr="00212D57">
        <w:rPr>
          <w:rFonts w:hint="eastAsia"/>
          <w:szCs w:val="22"/>
        </w:rPr>
        <w:t>印順</w:t>
      </w:r>
      <w:r w:rsidRPr="00212D57">
        <w:rPr>
          <w:szCs w:val="22"/>
        </w:rPr>
        <w:t>法師，《雜阿含經論會編》（中），</w:t>
      </w:r>
      <w:r w:rsidRPr="00761EF3">
        <w:rPr>
          <w:szCs w:val="22"/>
        </w:rPr>
        <w:t>pp</w:t>
      </w:r>
      <w:r w:rsidRPr="00212D57">
        <w:rPr>
          <w:szCs w:val="22"/>
        </w:rPr>
        <w:t>.</w:t>
      </w:r>
      <w:r w:rsidRPr="00761EF3">
        <w:rPr>
          <w:szCs w:val="22"/>
        </w:rPr>
        <w:t>34</w:t>
      </w:r>
      <w:r w:rsidRPr="00212D57">
        <w:rPr>
          <w:szCs w:val="22"/>
        </w:rPr>
        <w:t>-</w:t>
      </w:r>
      <w:r w:rsidRPr="00761EF3">
        <w:rPr>
          <w:szCs w:val="22"/>
        </w:rPr>
        <w:t>35</w:t>
      </w:r>
      <w:r w:rsidRPr="00212D57">
        <w:rPr>
          <w:szCs w:val="22"/>
        </w:rPr>
        <w:t>）</w:t>
      </w:r>
    </w:p>
    <w:p w:rsidR="002E1B88" w:rsidRPr="002E1B88" w:rsidRDefault="002E1B88" w:rsidP="002E1B88">
      <w:pPr>
        <w:pStyle w:val="a5"/>
        <w:spacing w:line="300" w:lineRule="exact"/>
        <w:ind w:leftChars="300" w:left="720"/>
        <w:jc w:val="both"/>
        <w:rPr>
          <w:color w:val="FF0000"/>
          <w:szCs w:val="22"/>
          <w:highlight w:val="yellow"/>
        </w:rPr>
      </w:pPr>
      <w:r w:rsidRPr="002E1B88">
        <w:rPr>
          <w:rFonts w:hint="eastAsia"/>
          <w:color w:val="FF0000"/>
          <w:szCs w:val="22"/>
          <w:shd w:val="pct15" w:color="auto" w:fill="FFFFFF"/>
        </w:rPr>
        <w:t>*</w:t>
      </w:r>
      <w:r w:rsidRPr="002E1B88">
        <w:rPr>
          <w:rFonts w:hint="eastAsia"/>
          <w:color w:val="FF0000"/>
          <w:szCs w:val="22"/>
          <w:highlight w:val="yellow"/>
        </w:rPr>
        <w:t>《雜阿含經論會編》（中），</w:t>
      </w:r>
      <w:r w:rsidRPr="002E1B88">
        <w:rPr>
          <w:rFonts w:hint="eastAsia"/>
          <w:color w:val="FF0000"/>
          <w:szCs w:val="22"/>
          <w:highlight w:val="yellow"/>
        </w:rPr>
        <w:t>p.36</w:t>
      </w:r>
      <w:r w:rsidRPr="002E1B88">
        <w:rPr>
          <w:rFonts w:hint="eastAsia"/>
          <w:color w:val="FF0000"/>
          <w:szCs w:val="22"/>
          <w:highlight w:val="yellow"/>
        </w:rPr>
        <w:t>，註</w:t>
      </w:r>
      <w:r w:rsidRPr="002E1B88">
        <w:rPr>
          <w:rFonts w:hint="eastAsia"/>
          <w:color w:val="FF0000"/>
          <w:szCs w:val="22"/>
          <w:highlight w:val="yellow"/>
        </w:rPr>
        <w:t>2</w:t>
      </w:r>
      <w:r w:rsidRPr="002E1B88">
        <w:rPr>
          <w:rFonts w:hint="eastAsia"/>
          <w:color w:val="FF0000"/>
          <w:szCs w:val="22"/>
          <w:highlight w:val="yellow"/>
        </w:rPr>
        <w:t>：「</w:t>
      </w:r>
      <w:r w:rsidRPr="001A2EAB">
        <w:rPr>
          <w:rFonts w:ascii="標楷體" w:eastAsia="標楷體" w:hAnsi="標楷體" w:hint="eastAsia"/>
          <w:color w:val="FF0000"/>
          <w:szCs w:val="22"/>
          <w:highlight w:val="yellow"/>
        </w:rPr>
        <w:t>定</w:t>
      </w:r>
      <w:r w:rsidRPr="002E1B88">
        <w:rPr>
          <w:rFonts w:hint="eastAsia"/>
          <w:color w:val="FF0000"/>
          <w:szCs w:val="22"/>
          <w:highlight w:val="yellow"/>
        </w:rPr>
        <w:t>」，原本誤作「</w:t>
      </w:r>
      <w:r w:rsidRPr="001A2EAB">
        <w:rPr>
          <w:rFonts w:ascii="標楷體" w:eastAsia="標楷體" w:hAnsi="標楷體" w:hint="eastAsia"/>
          <w:color w:val="FF0000"/>
          <w:szCs w:val="22"/>
          <w:highlight w:val="yellow"/>
        </w:rPr>
        <w:t>空</w:t>
      </w:r>
      <w:r w:rsidRPr="002E1B88">
        <w:rPr>
          <w:rFonts w:hint="eastAsia"/>
          <w:color w:val="FF0000"/>
          <w:szCs w:val="22"/>
          <w:highlight w:val="yellow"/>
        </w:rPr>
        <w:t>」，今依論改。</w:t>
      </w:r>
    </w:p>
    <w:p w:rsidR="002E1B88" w:rsidRPr="00212D57" w:rsidRDefault="002E1B88" w:rsidP="002E1B88">
      <w:pPr>
        <w:pStyle w:val="a5"/>
        <w:spacing w:line="300" w:lineRule="exact"/>
        <w:ind w:leftChars="80" w:left="731" w:hangingChars="245" w:hanging="539"/>
        <w:jc w:val="both"/>
        <w:rPr>
          <w:szCs w:val="22"/>
        </w:rPr>
      </w:pPr>
      <w:r w:rsidRPr="00212D57">
        <w:rPr>
          <w:szCs w:val="22"/>
        </w:rPr>
        <w:t>（</w:t>
      </w:r>
      <w:r w:rsidRPr="00761EF3">
        <w:rPr>
          <w:szCs w:val="22"/>
        </w:rPr>
        <w:t>2</w:t>
      </w:r>
      <w:r w:rsidRPr="00212D57">
        <w:rPr>
          <w:szCs w:val="22"/>
        </w:rPr>
        <w:t>）《阿毘達磨法蘊足論》卷</w:t>
      </w:r>
      <w:r w:rsidRPr="00761EF3">
        <w:rPr>
          <w:szCs w:val="22"/>
        </w:rPr>
        <w:t>11</w:t>
      </w:r>
      <w:r w:rsidRPr="00212D57">
        <w:rPr>
          <w:szCs w:val="22"/>
        </w:rPr>
        <w:t>〈</w:t>
      </w:r>
      <w:r w:rsidRPr="00761EF3">
        <w:rPr>
          <w:rFonts w:hint="eastAsia"/>
          <w:szCs w:val="22"/>
        </w:rPr>
        <w:t>21</w:t>
      </w:r>
      <w:r w:rsidRPr="00212D57">
        <w:rPr>
          <w:szCs w:val="22"/>
        </w:rPr>
        <w:t xml:space="preserve"> </w:t>
      </w:r>
      <w:r w:rsidRPr="00212D57">
        <w:rPr>
          <w:szCs w:val="22"/>
        </w:rPr>
        <w:t>緣起品〉（大正</w:t>
      </w:r>
      <w:r w:rsidRPr="00761EF3">
        <w:rPr>
          <w:szCs w:val="22"/>
        </w:rPr>
        <w:t>26</w:t>
      </w:r>
      <w:r w:rsidRPr="00212D57">
        <w:rPr>
          <w:szCs w:val="22"/>
        </w:rPr>
        <w:t>，</w:t>
      </w:r>
      <w:r w:rsidRPr="00761EF3">
        <w:rPr>
          <w:szCs w:val="22"/>
        </w:rPr>
        <w:t>505a10</w:t>
      </w:r>
      <w:r w:rsidRPr="00212D57">
        <w:rPr>
          <w:szCs w:val="22"/>
        </w:rPr>
        <w:t>-</w:t>
      </w:r>
      <w:r w:rsidRPr="00761EF3">
        <w:rPr>
          <w:szCs w:val="22"/>
        </w:rPr>
        <w:t>27</w:t>
      </w:r>
      <w:r w:rsidRPr="00212D57">
        <w:rPr>
          <w:szCs w:val="22"/>
        </w:rPr>
        <w:t>）：</w:t>
      </w:r>
    </w:p>
    <w:p w:rsidR="002E1B88" w:rsidRDefault="002E1B88" w:rsidP="002E1B88">
      <w:pPr>
        <w:pStyle w:val="a5"/>
        <w:spacing w:line="300" w:lineRule="exact"/>
        <w:ind w:leftChars="305" w:left="732"/>
        <w:jc w:val="both"/>
        <w:rPr>
          <w:rFonts w:eastAsia="標楷體"/>
          <w:szCs w:val="22"/>
        </w:rPr>
      </w:pPr>
      <w:r w:rsidRPr="00212D57">
        <w:rPr>
          <w:rFonts w:eastAsia="標楷體"/>
          <w:szCs w:val="22"/>
        </w:rPr>
        <w:t>引契經云：一時</w:t>
      </w:r>
      <w:r w:rsidRPr="002E1B88">
        <w:rPr>
          <w:rFonts w:eastAsia="標楷體" w:hint="eastAsia"/>
          <w:color w:val="FF0000"/>
          <w:szCs w:val="22"/>
          <w:highlight w:val="yellow"/>
        </w:rPr>
        <w:t>，</w:t>
      </w:r>
      <w:r w:rsidRPr="00212D57">
        <w:rPr>
          <w:rFonts w:eastAsia="標楷體"/>
          <w:szCs w:val="22"/>
        </w:rPr>
        <w:t>薄伽</w:t>
      </w:r>
      <w:r w:rsidRPr="002E1B88">
        <w:rPr>
          <w:rFonts w:eastAsia="標楷體"/>
          <w:szCs w:val="22"/>
          <w:highlight w:val="yellow"/>
        </w:rPr>
        <w:t>梵在</w:t>
      </w:r>
      <w:r w:rsidRPr="00212D57">
        <w:rPr>
          <w:rFonts w:eastAsia="標楷體"/>
          <w:szCs w:val="22"/>
        </w:rPr>
        <w:t>室羅筏住逝多林給孤獨園。爾時，世尊告苾芻眾：吾當為汝宣說</w:t>
      </w:r>
      <w:r w:rsidRPr="002E1B88">
        <w:rPr>
          <w:rFonts w:eastAsia="標楷體" w:hint="eastAsia"/>
          <w:color w:val="FF0000"/>
          <w:szCs w:val="22"/>
          <w:highlight w:val="yellow"/>
        </w:rPr>
        <w:t>「</w:t>
      </w:r>
      <w:r w:rsidRPr="00212D57">
        <w:rPr>
          <w:rFonts w:eastAsia="標楷體"/>
          <w:szCs w:val="22"/>
        </w:rPr>
        <w:t>緣起</w:t>
      </w:r>
      <w:r>
        <w:rPr>
          <w:rFonts w:eastAsia="標楷體" w:hint="eastAsia"/>
          <w:color w:val="FF0000"/>
          <w:szCs w:val="22"/>
          <w:highlight w:val="yellow"/>
        </w:rPr>
        <w:t>」</w:t>
      </w:r>
      <w:r w:rsidRPr="00212D57">
        <w:rPr>
          <w:rFonts w:eastAsia="標楷體"/>
          <w:szCs w:val="22"/>
        </w:rPr>
        <w:t>、</w:t>
      </w:r>
      <w:r w:rsidRPr="002E1B88">
        <w:rPr>
          <w:rFonts w:eastAsia="標楷體" w:hint="eastAsia"/>
          <w:color w:val="FF0000"/>
          <w:szCs w:val="22"/>
          <w:highlight w:val="yellow"/>
        </w:rPr>
        <w:t>「</w:t>
      </w:r>
      <w:r w:rsidRPr="00212D57">
        <w:rPr>
          <w:rFonts w:eastAsia="標楷體"/>
          <w:szCs w:val="22"/>
        </w:rPr>
        <w:t>緣已生法</w:t>
      </w:r>
      <w:r>
        <w:rPr>
          <w:rFonts w:eastAsia="標楷體" w:hint="eastAsia"/>
          <w:color w:val="FF0000"/>
          <w:szCs w:val="22"/>
          <w:highlight w:val="yellow"/>
        </w:rPr>
        <w:t>」</w:t>
      </w:r>
      <w:r w:rsidRPr="00212D57">
        <w:rPr>
          <w:rFonts w:eastAsia="標楷體"/>
          <w:szCs w:val="22"/>
        </w:rPr>
        <w:t>，汝應諦聽，極善作意。</w:t>
      </w:r>
    </w:p>
    <w:p w:rsidR="002E1B88" w:rsidRPr="00212D57" w:rsidRDefault="002E1B88" w:rsidP="002E1B88">
      <w:pPr>
        <w:pStyle w:val="a5"/>
        <w:spacing w:line="300" w:lineRule="exact"/>
        <w:ind w:leftChars="305" w:left="732"/>
        <w:jc w:val="both"/>
        <w:rPr>
          <w:rFonts w:eastAsia="標楷體"/>
          <w:szCs w:val="22"/>
        </w:rPr>
      </w:pPr>
      <w:r w:rsidRPr="00212D57">
        <w:rPr>
          <w:rFonts w:eastAsia="標楷體"/>
          <w:szCs w:val="22"/>
        </w:rPr>
        <w:t>云何</w:t>
      </w:r>
      <w:r w:rsidRPr="002E1B88">
        <w:rPr>
          <w:rFonts w:eastAsia="標楷體" w:hint="eastAsia"/>
          <w:color w:val="FF0000"/>
          <w:szCs w:val="22"/>
          <w:highlight w:val="yellow"/>
        </w:rPr>
        <w:t>「</w:t>
      </w:r>
      <w:r w:rsidRPr="00212D57">
        <w:rPr>
          <w:rFonts w:eastAsia="標楷體"/>
          <w:szCs w:val="22"/>
        </w:rPr>
        <w:t>緣起</w:t>
      </w:r>
      <w:r>
        <w:rPr>
          <w:rFonts w:eastAsia="標楷體" w:hint="eastAsia"/>
          <w:color w:val="FF0000"/>
          <w:szCs w:val="22"/>
          <w:highlight w:val="yellow"/>
        </w:rPr>
        <w:t>」</w:t>
      </w:r>
      <w:r w:rsidRPr="00212D57">
        <w:rPr>
          <w:rFonts w:eastAsia="標楷體"/>
          <w:szCs w:val="22"/>
        </w:rPr>
        <w:t>？謂依此有彼有，此生故彼生，謂無明緣行，行緣識，識緣名色，名色緣六處，六處緣觸，觸緣受，受緣愛，愛緣取，取緣有，有緣生，生緣老死，發生愁、歎、苦、憂、擾、惱，如是便集純大苦蘊</w:t>
      </w:r>
      <w:r>
        <w:rPr>
          <w:rFonts w:eastAsia="標楷體" w:hint="eastAsia"/>
          <w:color w:val="FF0000"/>
          <w:szCs w:val="22"/>
          <w:highlight w:val="yellow"/>
        </w:rPr>
        <w:t>。</w:t>
      </w:r>
      <w:r w:rsidRPr="00212D57">
        <w:rPr>
          <w:rFonts w:eastAsia="標楷體"/>
          <w:szCs w:val="22"/>
        </w:rPr>
        <w:t>苾芻</w:t>
      </w:r>
      <w:r w:rsidRPr="002E1B88">
        <w:rPr>
          <w:rFonts w:eastAsia="標楷體" w:hint="eastAsia"/>
          <w:color w:val="FF0000"/>
          <w:szCs w:val="22"/>
          <w:highlight w:val="yellow"/>
        </w:rPr>
        <w:t>！</w:t>
      </w:r>
      <w:r w:rsidRPr="00212D57">
        <w:rPr>
          <w:rFonts w:eastAsia="標楷體"/>
          <w:szCs w:val="22"/>
        </w:rPr>
        <w:t>當知</w:t>
      </w:r>
      <w:r>
        <w:rPr>
          <w:rFonts w:eastAsia="標楷體" w:hint="eastAsia"/>
          <w:color w:val="FF0000"/>
          <w:szCs w:val="22"/>
          <w:highlight w:val="yellow"/>
        </w:rPr>
        <w:t>：</w:t>
      </w:r>
      <w:r w:rsidRPr="00212D57">
        <w:rPr>
          <w:rFonts w:eastAsia="標楷體"/>
          <w:szCs w:val="22"/>
        </w:rPr>
        <w:t>生緣老死，若佛出世</w:t>
      </w:r>
      <w:r>
        <w:rPr>
          <w:rFonts w:eastAsia="標楷體" w:hint="eastAsia"/>
          <w:color w:val="FF0000"/>
          <w:szCs w:val="22"/>
          <w:highlight w:val="yellow"/>
        </w:rPr>
        <w:t>、</w:t>
      </w:r>
      <w:r w:rsidRPr="00212D57">
        <w:rPr>
          <w:rFonts w:eastAsia="標楷體"/>
          <w:szCs w:val="22"/>
        </w:rPr>
        <w:t>若不出世，如是緣起，法住、法界，一切如來自然通達等覺</w:t>
      </w:r>
      <w:r w:rsidRPr="002E1B88">
        <w:rPr>
          <w:rFonts w:eastAsia="標楷體" w:hint="eastAsia"/>
          <w:color w:val="FF0000"/>
          <w:szCs w:val="22"/>
          <w:highlight w:val="yellow"/>
        </w:rPr>
        <w:t>，</w:t>
      </w:r>
      <w:r w:rsidRPr="00212D57">
        <w:rPr>
          <w:rFonts w:eastAsia="標楷體"/>
          <w:szCs w:val="22"/>
        </w:rPr>
        <w:t>宣說</w:t>
      </w:r>
      <w:r>
        <w:rPr>
          <w:rFonts w:eastAsia="標楷體" w:hint="eastAsia"/>
          <w:color w:val="FF0000"/>
          <w:szCs w:val="22"/>
          <w:highlight w:val="yellow"/>
        </w:rPr>
        <w:t>、</w:t>
      </w:r>
      <w:r w:rsidRPr="00212D57">
        <w:rPr>
          <w:rFonts w:eastAsia="標楷體"/>
          <w:szCs w:val="22"/>
        </w:rPr>
        <w:t>施設</w:t>
      </w:r>
      <w:r>
        <w:rPr>
          <w:rFonts w:eastAsia="標楷體" w:hint="eastAsia"/>
          <w:color w:val="FF0000"/>
          <w:szCs w:val="22"/>
          <w:highlight w:val="yellow"/>
        </w:rPr>
        <w:t>、</w:t>
      </w:r>
      <w:r w:rsidRPr="00212D57">
        <w:rPr>
          <w:rFonts w:eastAsia="標楷體"/>
          <w:szCs w:val="22"/>
        </w:rPr>
        <w:t>建立設</w:t>
      </w:r>
      <w:r>
        <w:rPr>
          <w:rFonts w:eastAsia="標楷體" w:hint="eastAsia"/>
          <w:color w:val="FF0000"/>
          <w:szCs w:val="22"/>
          <w:highlight w:val="yellow"/>
        </w:rPr>
        <w:t>、</w:t>
      </w:r>
      <w:r w:rsidRPr="00212D57">
        <w:rPr>
          <w:rFonts w:eastAsia="標楷體"/>
          <w:szCs w:val="22"/>
        </w:rPr>
        <w:t>分別設</w:t>
      </w:r>
      <w:r>
        <w:rPr>
          <w:rFonts w:eastAsia="標楷體" w:hint="eastAsia"/>
          <w:color w:val="FF0000"/>
          <w:szCs w:val="22"/>
          <w:highlight w:val="yellow"/>
        </w:rPr>
        <w:t>、</w:t>
      </w:r>
      <w:r w:rsidRPr="00212D57">
        <w:rPr>
          <w:rFonts w:eastAsia="標楷體"/>
          <w:szCs w:val="22"/>
        </w:rPr>
        <w:t>開示，令其顯了，謂生緣老死，如是乃至無明緣行，應知亦爾。此中所有法性、法定、法理、法趣，是真、是實、是諦、是如，非妄</w:t>
      </w:r>
      <w:r>
        <w:rPr>
          <w:rFonts w:eastAsia="標楷體" w:hint="eastAsia"/>
          <w:color w:val="FF0000"/>
          <w:szCs w:val="22"/>
          <w:highlight w:val="yellow"/>
        </w:rPr>
        <w:t>、</w:t>
      </w:r>
      <w:r w:rsidRPr="00212D57">
        <w:rPr>
          <w:rFonts w:eastAsia="標楷體"/>
          <w:szCs w:val="22"/>
        </w:rPr>
        <w:t>非虛</w:t>
      </w:r>
      <w:r>
        <w:rPr>
          <w:rFonts w:eastAsia="標楷體" w:hint="eastAsia"/>
          <w:color w:val="FF0000"/>
          <w:szCs w:val="22"/>
          <w:highlight w:val="yellow"/>
        </w:rPr>
        <w:t>、</w:t>
      </w:r>
      <w:r w:rsidRPr="00212D57">
        <w:rPr>
          <w:rFonts w:eastAsia="標楷體"/>
          <w:szCs w:val="22"/>
        </w:rPr>
        <w:t>非倒</w:t>
      </w:r>
      <w:r>
        <w:rPr>
          <w:rFonts w:eastAsia="標楷體" w:hint="eastAsia"/>
          <w:color w:val="FF0000"/>
          <w:szCs w:val="22"/>
          <w:highlight w:val="yellow"/>
        </w:rPr>
        <w:t>、</w:t>
      </w:r>
      <w:r w:rsidRPr="00212D57">
        <w:rPr>
          <w:rFonts w:eastAsia="標楷體"/>
          <w:szCs w:val="22"/>
        </w:rPr>
        <w:t>非異，是名</w:t>
      </w:r>
      <w:r w:rsidRPr="002E1B88">
        <w:rPr>
          <w:rFonts w:eastAsia="標楷體" w:hint="eastAsia"/>
          <w:color w:val="FF0000"/>
          <w:szCs w:val="22"/>
          <w:highlight w:val="yellow"/>
        </w:rPr>
        <w:t>「</w:t>
      </w:r>
      <w:r w:rsidRPr="00212D57">
        <w:rPr>
          <w:rFonts w:eastAsia="標楷體"/>
          <w:szCs w:val="22"/>
        </w:rPr>
        <w:t>緣起</w:t>
      </w:r>
      <w:r>
        <w:rPr>
          <w:rFonts w:eastAsia="標楷體" w:hint="eastAsia"/>
          <w:color w:val="FF0000"/>
          <w:szCs w:val="22"/>
          <w:highlight w:val="yellow"/>
        </w:rPr>
        <w:t>」</w:t>
      </w:r>
      <w:r w:rsidRPr="00212D57">
        <w:rPr>
          <w:rFonts w:eastAsia="標楷體"/>
          <w:szCs w:val="22"/>
        </w:rPr>
        <w:t>。</w:t>
      </w:r>
    </w:p>
    <w:p w:rsidR="002E1B88" w:rsidRPr="00212D57" w:rsidRDefault="002E1B88" w:rsidP="002E1B88">
      <w:pPr>
        <w:pStyle w:val="a5"/>
        <w:spacing w:line="300" w:lineRule="exact"/>
        <w:ind w:leftChars="305" w:left="732"/>
        <w:jc w:val="both"/>
        <w:rPr>
          <w:szCs w:val="22"/>
        </w:rPr>
      </w:pPr>
      <w:r w:rsidRPr="00212D57">
        <w:rPr>
          <w:rFonts w:eastAsia="標楷體"/>
          <w:szCs w:val="22"/>
        </w:rPr>
        <w:t>云何名為</w:t>
      </w:r>
      <w:r w:rsidRPr="002E1B88">
        <w:rPr>
          <w:rFonts w:eastAsia="標楷體" w:hint="eastAsia"/>
          <w:color w:val="FF0000"/>
          <w:szCs w:val="22"/>
          <w:highlight w:val="yellow"/>
        </w:rPr>
        <w:t>「</w:t>
      </w:r>
      <w:r w:rsidRPr="00212D57">
        <w:rPr>
          <w:rFonts w:eastAsia="標楷體"/>
          <w:szCs w:val="22"/>
        </w:rPr>
        <w:t>緣已生法</w:t>
      </w:r>
      <w:r>
        <w:rPr>
          <w:rFonts w:eastAsia="標楷體" w:hint="eastAsia"/>
          <w:color w:val="FF0000"/>
          <w:szCs w:val="22"/>
          <w:highlight w:val="yellow"/>
        </w:rPr>
        <w:t>」</w:t>
      </w:r>
      <w:r w:rsidRPr="00212D57">
        <w:rPr>
          <w:rFonts w:eastAsia="標楷體"/>
          <w:szCs w:val="22"/>
        </w:rPr>
        <w:t>？謂無明、行、識、名色、六處、觸、受、愛、取、有、生、老死，是名為</w:t>
      </w:r>
      <w:r w:rsidRPr="002E1B88">
        <w:rPr>
          <w:rFonts w:eastAsia="標楷體" w:hint="eastAsia"/>
          <w:color w:val="FF0000"/>
          <w:szCs w:val="22"/>
          <w:highlight w:val="yellow"/>
        </w:rPr>
        <w:t>「</w:t>
      </w:r>
      <w:r w:rsidRPr="00212D57">
        <w:rPr>
          <w:rFonts w:eastAsia="標楷體"/>
          <w:szCs w:val="22"/>
        </w:rPr>
        <w:t>緣已生法</w:t>
      </w:r>
      <w:r>
        <w:rPr>
          <w:rFonts w:eastAsia="標楷體" w:hint="eastAsia"/>
          <w:color w:val="FF0000"/>
          <w:szCs w:val="22"/>
          <w:highlight w:val="yellow"/>
        </w:rPr>
        <w:t>」</w:t>
      </w:r>
      <w:r w:rsidRPr="00212D57">
        <w:rPr>
          <w:rFonts w:eastAsia="標楷體"/>
          <w:szCs w:val="22"/>
        </w:rPr>
        <w:t>。苾芻</w:t>
      </w:r>
      <w:r w:rsidRPr="002E1B88">
        <w:rPr>
          <w:rFonts w:eastAsia="標楷體" w:hint="eastAsia"/>
          <w:color w:val="FF0000"/>
          <w:szCs w:val="22"/>
          <w:highlight w:val="yellow"/>
        </w:rPr>
        <w:t>！</w:t>
      </w:r>
      <w:r w:rsidRPr="00212D57">
        <w:rPr>
          <w:rFonts w:eastAsia="標楷體"/>
          <w:szCs w:val="22"/>
        </w:rPr>
        <w:t>當知</w:t>
      </w:r>
      <w:r>
        <w:rPr>
          <w:rFonts w:eastAsia="標楷體" w:hint="eastAsia"/>
          <w:color w:val="FF0000"/>
          <w:szCs w:val="22"/>
          <w:highlight w:val="yellow"/>
        </w:rPr>
        <w:t>：</w:t>
      </w:r>
      <w:r w:rsidRPr="00212D57">
        <w:rPr>
          <w:rFonts w:eastAsia="標楷體"/>
          <w:szCs w:val="22"/>
        </w:rPr>
        <w:t>老死是無常</w:t>
      </w:r>
      <w:r>
        <w:rPr>
          <w:rFonts w:eastAsia="標楷體" w:hint="eastAsia"/>
          <w:color w:val="FF0000"/>
          <w:szCs w:val="22"/>
          <w:highlight w:val="yellow"/>
        </w:rPr>
        <w:t>、</w:t>
      </w:r>
      <w:r w:rsidRPr="00212D57">
        <w:rPr>
          <w:rFonts w:eastAsia="標楷體"/>
          <w:szCs w:val="22"/>
        </w:rPr>
        <w:t>是有為</w:t>
      </w:r>
      <w:r>
        <w:rPr>
          <w:rFonts w:eastAsia="標楷體" w:hint="eastAsia"/>
          <w:color w:val="FF0000"/>
          <w:szCs w:val="22"/>
          <w:highlight w:val="yellow"/>
        </w:rPr>
        <w:t>、</w:t>
      </w:r>
      <w:r w:rsidRPr="00212D57">
        <w:rPr>
          <w:rFonts w:eastAsia="標楷體"/>
          <w:szCs w:val="22"/>
        </w:rPr>
        <w:t>是所造作，是緣已生，盡法</w:t>
      </w:r>
      <w:r>
        <w:rPr>
          <w:rFonts w:eastAsia="標楷體" w:hint="eastAsia"/>
          <w:color w:val="FF0000"/>
          <w:szCs w:val="22"/>
          <w:highlight w:val="yellow"/>
        </w:rPr>
        <w:t>、</w:t>
      </w:r>
      <w:r w:rsidRPr="00212D57">
        <w:rPr>
          <w:rFonts w:eastAsia="標楷體"/>
          <w:szCs w:val="22"/>
        </w:rPr>
        <w:t>沒法</w:t>
      </w:r>
      <w:r>
        <w:rPr>
          <w:rFonts w:eastAsia="標楷體" w:hint="eastAsia"/>
          <w:color w:val="FF0000"/>
          <w:szCs w:val="22"/>
          <w:highlight w:val="yellow"/>
        </w:rPr>
        <w:t>、</w:t>
      </w:r>
      <w:r w:rsidRPr="00212D57">
        <w:rPr>
          <w:rFonts w:eastAsia="標楷體"/>
          <w:szCs w:val="22"/>
        </w:rPr>
        <w:t>離法</w:t>
      </w:r>
      <w:r>
        <w:rPr>
          <w:rFonts w:eastAsia="標楷體" w:hint="eastAsia"/>
          <w:color w:val="FF0000"/>
          <w:szCs w:val="22"/>
          <w:highlight w:val="yellow"/>
        </w:rPr>
        <w:t>、</w:t>
      </w:r>
      <w:r w:rsidRPr="00212D57">
        <w:rPr>
          <w:rFonts w:eastAsia="標楷體"/>
          <w:szCs w:val="22"/>
        </w:rPr>
        <w:t>滅法</w:t>
      </w:r>
      <w:r w:rsidRPr="00212D57">
        <w:rPr>
          <w:rFonts w:eastAsia="標楷體" w:hint="eastAsia"/>
          <w:szCs w:val="22"/>
        </w:rPr>
        <w:t>；</w:t>
      </w:r>
      <w:r w:rsidRPr="00212D57">
        <w:rPr>
          <w:rFonts w:eastAsia="標楷體"/>
          <w:szCs w:val="22"/>
        </w:rPr>
        <w:t>生</w:t>
      </w:r>
      <w:r>
        <w:rPr>
          <w:rFonts w:eastAsia="標楷體" w:hint="eastAsia"/>
          <w:color w:val="FF0000"/>
          <w:szCs w:val="22"/>
          <w:highlight w:val="yellow"/>
        </w:rPr>
        <w:t>、</w:t>
      </w:r>
      <w:r w:rsidRPr="00212D57">
        <w:rPr>
          <w:rFonts w:eastAsia="標楷體"/>
          <w:szCs w:val="22"/>
        </w:rPr>
        <w:t>有</w:t>
      </w:r>
      <w:r>
        <w:rPr>
          <w:rFonts w:eastAsia="標楷體" w:hint="eastAsia"/>
          <w:color w:val="FF0000"/>
          <w:szCs w:val="22"/>
          <w:highlight w:val="yellow"/>
        </w:rPr>
        <w:t>、</w:t>
      </w:r>
      <w:r w:rsidRPr="00212D57">
        <w:rPr>
          <w:rFonts w:eastAsia="標楷體"/>
          <w:szCs w:val="22"/>
        </w:rPr>
        <w:t>取</w:t>
      </w:r>
      <w:r>
        <w:rPr>
          <w:rFonts w:eastAsia="標楷體" w:hint="eastAsia"/>
          <w:color w:val="FF0000"/>
          <w:szCs w:val="22"/>
          <w:highlight w:val="yellow"/>
        </w:rPr>
        <w:t>、</w:t>
      </w:r>
      <w:r w:rsidRPr="00212D57">
        <w:rPr>
          <w:rFonts w:eastAsia="標楷體"/>
          <w:szCs w:val="22"/>
        </w:rPr>
        <w:t>愛</w:t>
      </w:r>
      <w:r>
        <w:rPr>
          <w:rFonts w:eastAsia="標楷體" w:hint="eastAsia"/>
          <w:color w:val="FF0000"/>
          <w:szCs w:val="22"/>
          <w:highlight w:val="yellow"/>
        </w:rPr>
        <w:t>、</w:t>
      </w:r>
      <w:r w:rsidRPr="00212D57">
        <w:rPr>
          <w:rFonts w:eastAsia="標楷體"/>
          <w:szCs w:val="22"/>
        </w:rPr>
        <w:t>受</w:t>
      </w:r>
      <w:r>
        <w:rPr>
          <w:rFonts w:eastAsia="標楷體" w:hint="eastAsia"/>
          <w:color w:val="FF0000"/>
          <w:szCs w:val="22"/>
          <w:highlight w:val="yellow"/>
        </w:rPr>
        <w:t>、</w:t>
      </w:r>
      <w:r w:rsidRPr="00212D57">
        <w:rPr>
          <w:rFonts w:eastAsia="標楷體"/>
          <w:szCs w:val="22"/>
        </w:rPr>
        <w:t>觸</w:t>
      </w:r>
      <w:r>
        <w:rPr>
          <w:rFonts w:eastAsia="標楷體" w:hint="eastAsia"/>
          <w:color w:val="FF0000"/>
          <w:szCs w:val="22"/>
          <w:highlight w:val="yellow"/>
        </w:rPr>
        <w:t>、</w:t>
      </w:r>
      <w:r w:rsidRPr="00212D57">
        <w:rPr>
          <w:rFonts w:eastAsia="標楷體"/>
          <w:szCs w:val="22"/>
        </w:rPr>
        <w:t>六處</w:t>
      </w:r>
      <w:r>
        <w:rPr>
          <w:rFonts w:eastAsia="標楷體" w:hint="eastAsia"/>
          <w:color w:val="FF0000"/>
          <w:szCs w:val="22"/>
          <w:highlight w:val="yellow"/>
        </w:rPr>
        <w:t>、</w:t>
      </w:r>
      <w:r w:rsidRPr="00212D57">
        <w:rPr>
          <w:rFonts w:eastAsia="標楷體"/>
          <w:szCs w:val="22"/>
        </w:rPr>
        <w:t>名色</w:t>
      </w:r>
      <w:r>
        <w:rPr>
          <w:rFonts w:eastAsia="標楷體" w:hint="eastAsia"/>
          <w:color w:val="FF0000"/>
          <w:szCs w:val="22"/>
          <w:highlight w:val="yellow"/>
        </w:rPr>
        <w:t>、</w:t>
      </w:r>
      <w:r w:rsidRPr="00212D57">
        <w:rPr>
          <w:rFonts w:eastAsia="標楷體"/>
          <w:szCs w:val="22"/>
        </w:rPr>
        <w:t>識</w:t>
      </w:r>
      <w:r>
        <w:rPr>
          <w:rFonts w:eastAsia="標楷體" w:hint="eastAsia"/>
          <w:color w:val="FF0000"/>
          <w:szCs w:val="22"/>
          <w:highlight w:val="yellow"/>
        </w:rPr>
        <w:t>、</w:t>
      </w:r>
      <w:r w:rsidRPr="00212D57">
        <w:rPr>
          <w:rFonts w:eastAsia="標楷體"/>
          <w:szCs w:val="22"/>
        </w:rPr>
        <w:t>行</w:t>
      </w:r>
      <w:r>
        <w:rPr>
          <w:rFonts w:eastAsia="標楷體" w:hint="eastAsia"/>
          <w:color w:val="FF0000"/>
          <w:szCs w:val="22"/>
          <w:highlight w:val="yellow"/>
        </w:rPr>
        <w:t>、</w:t>
      </w:r>
      <w:r w:rsidRPr="00212D57">
        <w:rPr>
          <w:rFonts w:eastAsia="標楷體"/>
          <w:szCs w:val="22"/>
        </w:rPr>
        <w:t>無明</w:t>
      </w:r>
      <w:r w:rsidRPr="002E1B88">
        <w:rPr>
          <w:rFonts w:eastAsia="標楷體" w:hint="eastAsia"/>
          <w:color w:val="FF0000"/>
          <w:szCs w:val="22"/>
          <w:highlight w:val="yellow"/>
        </w:rPr>
        <w:t>，</w:t>
      </w:r>
      <w:r w:rsidRPr="00212D57">
        <w:rPr>
          <w:rFonts w:eastAsia="標楷體"/>
          <w:szCs w:val="22"/>
        </w:rPr>
        <w:t>亦爾。</w:t>
      </w:r>
    </w:p>
  </w:footnote>
  <w:footnote w:id="241">
    <w:p w:rsidR="002E1B88" w:rsidRPr="00212D57" w:rsidRDefault="002E1B88" w:rsidP="002E1B88">
      <w:pPr>
        <w:pStyle w:val="a5"/>
        <w:spacing w:line="300" w:lineRule="exact"/>
        <w:ind w:left="187" w:hangingChars="85" w:hanging="187"/>
        <w:jc w:val="both"/>
        <w:rPr>
          <w:szCs w:val="22"/>
        </w:rPr>
      </w:pPr>
      <w:r w:rsidRPr="00212D57">
        <w:rPr>
          <w:rStyle w:val="a6"/>
          <w:szCs w:val="22"/>
        </w:rPr>
        <w:footnoteRef/>
      </w:r>
      <w:r w:rsidRPr="00212D57">
        <w:rPr>
          <w:rFonts w:hint="eastAsia"/>
          <w:szCs w:val="22"/>
        </w:rPr>
        <w:t xml:space="preserve"> </w:t>
      </w:r>
      <w:r w:rsidRPr="00212D57">
        <w:rPr>
          <w:rFonts w:hint="eastAsia"/>
          <w:szCs w:val="22"/>
        </w:rPr>
        <w:t>印順</w:t>
      </w:r>
      <w:r w:rsidRPr="00212D57">
        <w:rPr>
          <w:szCs w:val="22"/>
        </w:rPr>
        <w:t>法師，《空之探究》，</w:t>
      </w:r>
      <w:r w:rsidRPr="00212D57">
        <w:rPr>
          <w:rFonts w:hint="eastAsia"/>
          <w:szCs w:val="22"/>
        </w:rPr>
        <w:t>第</w:t>
      </w:r>
      <w:r w:rsidRPr="00761EF3">
        <w:rPr>
          <w:rFonts w:hint="eastAsia"/>
          <w:szCs w:val="22"/>
        </w:rPr>
        <w:t>4</w:t>
      </w:r>
      <w:r w:rsidRPr="00212D57">
        <w:rPr>
          <w:rFonts w:hint="eastAsia"/>
          <w:szCs w:val="22"/>
        </w:rPr>
        <w:t>章，第</w:t>
      </w:r>
      <w:r w:rsidRPr="00761EF3">
        <w:rPr>
          <w:rFonts w:hint="eastAsia"/>
          <w:szCs w:val="22"/>
        </w:rPr>
        <w:t>3</w:t>
      </w:r>
      <w:r w:rsidRPr="00212D57">
        <w:rPr>
          <w:rFonts w:ascii="新細明體" w:hAnsi="新細明體" w:hint="eastAsia"/>
          <w:szCs w:val="22"/>
        </w:rPr>
        <w:t>節</w:t>
      </w:r>
      <w:r w:rsidRPr="00212D57">
        <w:rPr>
          <w:szCs w:val="22"/>
        </w:rPr>
        <w:t>〈</w:t>
      </w:r>
      <w:r w:rsidRPr="00212D57">
        <w:rPr>
          <w:rFonts w:hint="eastAsia"/>
          <w:szCs w:val="22"/>
        </w:rPr>
        <w:t>《中論》之中心思想〉，</w:t>
      </w:r>
      <w:r w:rsidRPr="00761EF3">
        <w:rPr>
          <w:rFonts w:hint="eastAsia"/>
          <w:szCs w:val="22"/>
        </w:rPr>
        <w:t>p</w:t>
      </w:r>
      <w:r w:rsidRPr="00212D57">
        <w:rPr>
          <w:szCs w:val="22"/>
        </w:rPr>
        <w:t>.</w:t>
      </w:r>
      <w:r w:rsidRPr="00761EF3">
        <w:rPr>
          <w:szCs w:val="22"/>
        </w:rPr>
        <w:t>220</w:t>
      </w:r>
      <w:r w:rsidRPr="00212D57">
        <w:rPr>
          <w:szCs w:val="22"/>
        </w:rPr>
        <w:t>：</w:t>
      </w:r>
    </w:p>
    <w:p w:rsidR="002E1B88" w:rsidRPr="00212D57" w:rsidRDefault="002E1B88" w:rsidP="002E1B88">
      <w:pPr>
        <w:pStyle w:val="a5"/>
        <w:spacing w:line="300" w:lineRule="exact"/>
        <w:ind w:leftChars="75" w:left="180"/>
        <w:jc w:val="both"/>
        <w:rPr>
          <w:szCs w:val="22"/>
        </w:rPr>
      </w:pPr>
      <w:r w:rsidRPr="00212D57">
        <w:rPr>
          <w:rFonts w:eastAsia="標楷體"/>
          <w:szCs w:val="22"/>
        </w:rPr>
        <w:t>緣起與緣生，同樣的是無明、行等十二支，而意義卻顯然不同。緣生法，是無常滅盡的有為法，是緣已生</w:t>
      </w:r>
      <w:r w:rsidRPr="00212D57">
        <w:rPr>
          <w:rFonts w:ascii="新細明體" w:hAnsi="新細明體"/>
          <w:szCs w:val="22"/>
        </w:rPr>
        <w:t>──</w:t>
      </w:r>
      <w:r w:rsidRPr="00212D57">
        <w:rPr>
          <w:rFonts w:eastAsia="標楷體"/>
          <w:szCs w:val="22"/>
        </w:rPr>
        <w:t>從緣所生的果法。而緣起，是佛出世也如此，佛不出世也如此的。「法住法界」，是形容緣起的。</w:t>
      </w:r>
    </w:p>
  </w:footnote>
  <w:footnote w:id="242">
    <w:p w:rsidR="00157EF6" w:rsidRPr="00212D57" w:rsidRDefault="00157EF6" w:rsidP="006841C0">
      <w:pPr>
        <w:pStyle w:val="a5"/>
        <w:spacing w:line="300" w:lineRule="exact"/>
        <w:ind w:left="187" w:hangingChars="85" w:hanging="187"/>
        <w:jc w:val="both"/>
        <w:rPr>
          <w:szCs w:val="22"/>
        </w:rPr>
      </w:pPr>
      <w:r w:rsidRPr="00212D57">
        <w:rPr>
          <w:rStyle w:val="a6"/>
          <w:szCs w:val="22"/>
        </w:rPr>
        <w:footnoteRef/>
      </w:r>
      <w:r w:rsidRPr="00212D57">
        <w:rPr>
          <w:rFonts w:hint="eastAsia"/>
          <w:szCs w:val="22"/>
        </w:rPr>
        <w:t xml:space="preserve"> </w:t>
      </w:r>
      <w:r w:rsidRPr="00212D57">
        <w:rPr>
          <w:rFonts w:hint="eastAsia"/>
          <w:szCs w:val="22"/>
        </w:rPr>
        <w:t>印順</w:t>
      </w:r>
      <w:r w:rsidRPr="00212D57">
        <w:rPr>
          <w:szCs w:val="22"/>
        </w:rPr>
        <w:t>法師，《空之探究》，</w:t>
      </w:r>
      <w:r w:rsidRPr="00212D57">
        <w:rPr>
          <w:rFonts w:hint="eastAsia"/>
          <w:szCs w:val="22"/>
        </w:rPr>
        <w:t>第</w:t>
      </w:r>
      <w:r w:rsidRPr="00761EF3">
        <w:rPr>
          <w:rFonts w:hint="eastAsia"/>
          <w:szCs w:val="22"/>
        </w:rPr>
        <w:t>4</w:t>
      </w:r>
      <w:r w:rsidRPr="00212D57">
        <w:rPr>
          <w:rFonts w:hint="eastAsia"/>
          <w:szCs w:val="22"/>
        </w:rPr>
        <w:t>章，第</w:t>
      </w:r>
      <w:r w:rsidRPr="00761EF3">
        <w:rPr>
          <w:rFonts w:hint="eastAsia"/>
          <w:szCs w:val="22"/>
        </w:rPr>
        <w:t>3</w:t>
      </w:r>
      <w:r w:rsidRPr="00212D57">
        <w:rPr>
          <w:rFonts w:ascii="新細明體" w:hAnsi="新細明體" w:hint="eastAsia"/>
          <w:szCs w:val="22"/>
        </w:rPr>
        <w:t>節</w:t>
      </w:r>
      <w:r w:rsidRPr="00212D57">
        <w:rPr>
          <w:szCs w:val="22"/>
        </w:rPr>
        <w:t>〈</w:t>
      </w:r>
      <w:r w:rsidRPr="00212D57">
        <w:rPr>
          <w:rFonts w:hint="eastAsia"/>
          <w:szCs w:val="22"/>
        </w:rPr>
        <w:t>《中論》之中心思想〉，</w:t>
      </w:r>
      <w:r w:rsidRPr="00761EF3">
        <w:rPr>
          <w:szCs w:val="22"/>
        </w:rPr>
        <w:t>p</w:t>
      </w:r>
      <w:r w:rsidRPr="00212D57">
        <w:rPr>
          <w:szCs w:val="22"/>
        </w:rPr>
        <w:t>.</w:t>
      </w:r>
      <w:r w:rsidRPr="00761EF3">
        <w:rPr>
          <w:szCs w:val="22"/>
        </w:rPr>
        <w:t>222</w:t>
      </w:r>
      <w:r w:rsidRPr="00212D57">
        <w:rPr>
          <w:szCs w:val="22"/>
        </w:rPr>
        <w:t>。</w:t>
      </w:r>
    </w:p>
    <w:p w:rsidR="00157EF6" w:rsidRPr="00212D57" w:rsidRDefault="00157EF6" w:rsidP="006841C0">
      <w:pPr>
        <w:pStyle w:val="a5"/>
        <w:spacing w:line="300" w:lineRule="exact"/>
        <w:ind w:leftChars="75" w:left="180"/>
        <w:jc w:val="both"/>
        <w:rPr>
          <w:rFonts w:eastAsia="標楷體"/>
          <w:szCs w:val="22"/>
        </w:rPr>
      </w:pPr>
      <w:r w:rsidRPr="00212D57">
        <w:rPr>
          <w:rFonts w:eastAsia="標楷體" w:hint="eastAsia"/>
          <w:szCs w:val="22"/>
        </w:rPr>
        <w:t>緣起與緣生，都是有為法，差別在：緣起約因性說，緣生約果法說。緣起是有為，在世俗的說明中，龍樹論顯然是與說一切有部相同的。</w:t>
      </w:r>
    </w:p>
  </w:footnote>
  <w:footnote w:id="243">
    <w:p w:rsidR="00157EF6" w:rsidRPr="00212D57" w:rsidRDefault="00157EF6" w:rsidP="005B547D">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《雜阿含經》卷</w:t>
      </w:r>
      <w:r w:rsidRPr="00761EF3">
        <w:rPr>
          <w:szCs w:val="22"/>
        </w:rPr>
        <w:t>12</w:t>
      </w:r>
      <w:r w:rsidRPr="00212D57">
        <w:rPr>
          <w:szCs w:val="22"/>
        </w:rPr>
        <w:t>（</w:t>
      </w:r>
      <w:r w:rsidRPr="00761EF3">
        <w:rPr>
          <w:szCs w:val="22"/>
        </w:rPr>
        <w:t>296</w:t>
      </w:r>
      <w:r w:rsidRPr="00212D57">
        <w:rPr>
          <w:szCs w:val="22"/>
        </w:rPr>
        <w:t>經）（大正</w:t>
      </w:r>
      <w:r w:rsidRPr="00761EF3">
        <w:rPr>
          <w:szCs w:val="22"/>
        </w:rPr>
        <w:t>2</w:t>
      </w:r>
      <w:r w:rsidRPr="00212D57">
        <w:rPr>
          <w:szCs w:val="22"/>
        </w:rPr>
        <w:t>，</w:t>
      </w:r>
      <w:r w:rsidRPr="00761EF3">
        <w:rPr>
          <w:szCs w:val="22"/>
        </w:rPr>
        <w:t>84b13</w:t>
      </w:r>
      <w:r w:rsidRPr="00212D57">
        <w:rPr>
          <w:szCs w:val="22"/>
        </w:rPr>
        <w:t>-</w:t>
      </w:r>
      <w:r w:rsidRPr="00761EF3">
        <w:rPr>
          <w:szCs w:val="22"/>
        </w:rPr>
        <w:t>18</w:t>
      </w:r>
      <w:r w:rsidRPr="00212D57">
        <w:rPr>
          <w:szCs w:val="22"/>
        </w:rPr>
        <w:t>）。</w:t>
      </w:r>
    </w:p>
  </w:footnote>
  <w:footnote w:id="244">
    <w:p w:rsidR="00157EF6" w:rsidRPr="00212D57" w:rsidRDefault="00157EF6" w:rsidP="005B547D">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《阿毘達磨大毘婆沙論》卷</w:t>
      </w:r>
      <w:r w:rsidRPr="00761EF3">
        <w:rPr>
          <w:szCs w:val="22"/>
        </w:rPr>
        <w:t>23</w:t>
      </w:r>
      <w:r w:rsidRPr="00212D57">
        <w:rPr>
          <w:szCs w:val="22"/>
        </w:rPr>
        <w:t>（大正</w:t>
      </w:r>
      <w:r w:rsidRPr="00761EF3">
        <w:rPr>
          <w:szCs w:val="22"/>
        </w:rPr>
        <w:t>27</w:t>
      </w:r>
      <w:r w:rsidRPr="00212D57">
        <w:rPr>
          <w:szCs w:val="22"/>
        </w:rPr>
        <w:t>，</w:t>
      </w:r>
      <w:r w:rsidRPr="00761EF3">
        <w:rPr>
          <w:szCs w:val="22"/>
        </w:rPr>
        <w:t>116c4</w:t>
      </w:r>
      <w:r w:rsidRPr="00212D57">
        <w:rPr>
          <w:szCs w:val="22"/>
        </w:rPr>
        <w:t>-</w:t>
      </w:r>
      <w:r w:rsidRPr="00761EF3">
        <w:rPr>
          <w:szCs w:val="22"/>
        </w:rPr>
        <w:t>8</w:t>
      </w:r>
      <w:r w:rsidRPr="00212D57">
        <w:rPr>
          <w:szCs w:val="22"/>
        </w:rPr>
        <w:t>）：</w:t>
      </w:r>
    </w:p>
    <w:p w:rsidR="00157EF6" w:rsidRPr="00212D57" w:rsidRDefault="00157EF6" w:rsidP="0041064E">
      <w:pPr>
        <w:pStyle w:val="a5"/>
        <w:ind w:leftChars="75" w:left="180"/>
        <w:jc w:val="both"/>
        <w:rPr>
          <w:rFonts w:eastAsia="標楷體"/>
          <w:szCs w:val="22"/>
        </w:rPr>
      </w:pPr>
      <w:r w:rsidRPr="00212D57">
        <w:rPr>
          <w:rFonts w:eastAsia="標楷體"/>
          <w:szCs w:val="22"/>
        </w:rPr>
        <w:t>或復有執</w:t>
      </w:r>
      <w:r w:rsidR="00B52350">
        <w:rPr>
          <w:rFonts w:eastAsia="標楷體" w:hint="eastAsia"/>
          <w:color w:val="FF0000"/>
          <w:szCs w:val="22"/>
          <w:highlight w:val="yellow"/>
        </w:rPr>
        <w:t>「</w:t>
      </w:r>
      <w:r w:rsidR="00884EBC">
        <w:rPr>
          <w:rFonts w:ascii="標楷體" w:eastAsia="標楷體" w:hAnsi="標楷體" w:hint="eastAsia"/>
          <w:color w:val="FF0000"/>
          <w:kern w:val="0"/>
          <w:highlight w:val="yellow"/>
        </w:rPr>
        <w:t>『</w:t>
      </w:r>
      <w:r w:rsidRPr="00212D57">
        <w:rPr>
          <w:rFonts w:eastAsia="標楷體"/>
          <w:szCs w:val="22"/>
        </w:rPr>
        <w:t>緣起</w:t>
      </w:r>
      <w:r w:rsidR="00884EBC">
        <w:rPr>
          <w:rFonts w:ascii="標楷體" w:eastAsia="標楷體" w:hAnsi="標楷體" w:hint="eastAsia"/>
          <w:color w:val="FF0000"/>
          <w:kern w:val="0"/>
          <w:highlight w:val="yellow"/>
        </w:rPr>
        <w:t>』</w:t>
      </w:r>
      <w:r w:rsidRPr="00212D57">
        <w:rPr>
          <w:rFonts w:eastAsia="標楷體"/>
          <w:szCs w:val="22"/>
        </w:rPr>
        <w:t>是無為</w:t>
      </w:r>
      <w:r w:rsidR="00B52350">
        <w:rPr>
          <w:rFonts w:eastAsia="標楷體" w:hint="eastAsia"/>
          <w:color w:val="FF0000"/>
          <w:szCs w:val="22"/>
          <w:highlight w:val="yellow"/>
        </w:rPr>
        <w:t>」</w:t>
      </w:r>
      <w:r w:rsidRPr="00212D57">
        <w:rPr>
          <w:rFonts w:eastAsia="標楷體"/>
          <w:szCs w:val="22"/>
        </w:rPr>
        <w:t>，如分別論者。</w:t>
      </w:r>
    </w:p>
    <w:p w:rsidR="00157EF6" w:rsidRPr="00212D57" w:rsidRDefault="00157EF6" w:rsidP="0041064E">
      <w:pPr>
        <w:pStyle w:val="a5"/>
        <w:ind w:leftChars="75" w:left="620" w:hangingChars="200" w:hanging="440"/>
        <w:jc w:val="both"/>
        <w:rPr>
          <w:rFonts w:eastAsia="標楷體"/>
          <w:szCs w:val="22"/>
        </w:rPr>
      </w:pPr>
      <w:r w:rsidRPr="00212D57">
        <w:rPr>
          <w:rFonts w:eastAsia="標楷體"/>
          <w:szCs w:val="22"/>
        </w:rPr>
        <w:t>問：彼因何故作如是執？</w:t>
      </w:r>
    </w:p>
    <w:p w:rsidR="00157EF6" w:rsidRPr="00212D57" w:rsidRDefault="00157EF6" w:rsidP="0041064E">
      <w:pPr>
        <w:pStyle w:val="a5"/>
        <w:ind w:leftChars="75" w:left="620" w:hangingChars="200" w:hanging="440"/>
        <w:jc w:val="both"/>
        <w:rPr>
          <w:szCs w:val="22"/>
        </w:rPr>
      </w:pPr>
      <w:r w:rsidRPr="00212D57">
        <w:rPr>
          <w:rFonts w:eastAsia="標楷體"/>
          <w:szCs w:val="22"/>
        </w:rPr>
        <w:t>答：彼因經故</w:t>
      </w:r>
      <w:r w:rsidR="00B52350">
        <w:rPr>
          <w:rFonts w:eastAsia="標楷體" w:hint="eastAsia"/>
          <w:color w:val="FF0000"/>
          <w:szCs w:val="22"/>
          <w:highlight w:val="yellow"/>
        </w:rPr>
        <w:t>。</w:t>
      </w:r>
      <w:r w:rsidRPr="00212D57">
        <w:rPr>
          <w:rFonts w:eastAsia="標楷體"/>
          <w:szCs w:val="22"/>
        </w:rPr>
        <w:t>謂契經說：「如來出世</w:t>
      </w:r>
      <w:r w:rsidR="00B52350">
        <w:rPr>
          <w:rFonts w:eastAsia="標楷體" w:hint="eastAsia"/>
          <w:color w:val="FF0000"/>
          <w:szCs w:val="22"/>
          <w:highlight w:val="yellow"/>
        </w:rPr>
        <w:t>、</w:t>
      </w:r>
      <w:r w:rsidRPr="00212D57">
        <w:rPr>
          <w:rFonts w:eastAsia="標楷體"/>
          <w:szCs w:val="22"/>
        </w:rPr>
        <w:t>若不出世</w:t>
      </w:r>
      <w:r w:rsidR="00B52350">
        <w:rPr>
          <w:rFonts w:eastAsia="標楷體" w:hint="eastAsia"/>
          <w:color w:val="FF0000"/>
          <w:szCs w:val="22"/>
          <w:highlight w:val="yellow"/>
        </w:rPr>
        <w:t>，</w:t>
      </w:r>
      <w:r w:rsidRPr="00212D57">
        <w:rPr>
          <w:rFonts w:eastAsia="標楷體"/>
          <w:szCs w:val="22"/>
        </w:rPr>
        <w:t>法住</w:t>
      </w:r>
      <w:r w:rsidR="00B52350">
        <w:rPr>
          <w:rFonts w:eastAsia="標楷體" w:hint="eastAsia"/>
          <w:color w:val="FF0000"/>
          <w:szCs w:val="22"/>
          <w:highlight w:val="yellow"/>
        </w:rPr>
        <w:t>、</w:t>
      </w:r>
      <w:r w:rsidR="00B52350">
        <w:rPr>
          <w:rFonts w:eastAsia="標楷體"/>
          <w:szCs w:val="22"/>
        </w:rPr>
        <w:t>法性</w:t>
      </w:r>
      <w:r w:rsidR="00B52350">
        <w:rPr>
          <w:rFonts w:eastAsia="標楷體" w:hint="eastAsia"/>
          <w:color w:val="FF0000"/>
          <w:szCs w:val="22"/>
          <w:highlight w:val="yellow"/>
        </w:rPr>
        <w:t>，</w:t>
      </w:r>
      <w:r w:rsidRPr="00212D57">
        <w:rPr>
          <w:rFonts w:eastAsia="標楷體"/>
          <w:szCs w:val="22"/>
        </w:rPr>
        <w:t>佛自等覺</w:t>
      </w:r>
      <w:r w:rsidR="00B52350">
        <w:rPr>
          <w:rFonts w:eastAsia="標楷體" w:hint="eastAsia"/>
          <w:color w:val="FF0000"/>
          <w:szCs w:val="22"/>
          <w:highlight w:val="yellow"/>
        </w:rPr>
        <w:t>、</w:t>
      </w:r>
      <w:r w:rsidRPr="00212D57">
        <w:rPr>
          <w:rFonts w:eastAsia="標楷體"/>
          <w:szCs w:val="22"/>
        </w:rPr>
        <w:t>為他開示</w:t>
      </w:r>
      <w:r w:rsidR="00B52350">
        <w:rPr>
          <w:rFonts w:eastAsia="標楷體" w:hint="eastAsia"/>
          <w:color w:val="FF0000"/>
          <w:szCs w:val="22"/>
          <w:highlight w:val="yellow"/>
        </w:rPr>
        <w:t>」</w:t>
      </w:r>
      <w:r w:rsidRPr="00212D57">
        <w:rPr>
          <w:rFonts w:eastAsia="標楷體"/>
          <w:szCs w:val="22"/>
        </w:rPr>
        <w:t>乃至廣說</w:t>
      </w:r>
      <w:r w:rsidR="00884EBC">
        <w:rPr>
          <w:rFonts w:ascii="標楷體" w:eastAsia="標楷體" w:hAnsi="標楷體" w:hint="eastAsia"/>
          <w:color w:val="FF0000"/>
          <w:spacing w:val="-4"/>
          <w:kern w:val="0"/>
          <w:highlight w:val="yellow"/>
        </w:rPr>
        <w:t>；</w:t>
      </w:r>
      <w:r w:rsidRPr="00212D57">
        <w:rPr>
          <w:rFonts w:eastAsia="標楷體"/>
          <w:szCs w:val="22"/>
        </w:rPr>
        <w:t>故知</w:t>
      </w:r>
      <w:r w:rsidR="00B52350">
        <w:rPr>
          <w:rFonts w:eastAsia="標楷體" w:hint="eastAsia"/>
          <w:color w:val="FF0000"/>
          <w:szCs w:val="22"/>
          <w:highlight w:val="yellow"/>
        </w:rPr>
        <w:t>「</w:t>
      </w:r>
      <w:r w:rsidR="00884EBC">
        <w:rPr>
          <w:rFonts w:ascii="標楷體" w:eastAsia="標楷體" w:hAnsi="標楷體" w:hint="eastAsia"/>
          <w:color w:val="FF0000"/>
          <w:kern w:val="0"/>
          <w:highlight w:val="yellow"/>
        </w:rPr>
        <w:t>『</w:t>
      </w:r>
      <w:r w:rsidRPr="00212D57">
        <w:rPr>
          <w:rFonts w:eastAsia="標楷體"/>
          <w:szCs w:val="22"/>
        </w:rPr>
        <w:t>緣起</w:t>
      </w:r>
      <w:r w:rsidR="00884EBC">
        <w:rPr>
          <w:rFonts w:ascii="標楷體" w:eastAsia="標楷體" w:hAnsi="標楷體" w:hint="eastAsia"/>
          <w:color w:val="FF0000"/>
          <w:kern w:val="0"/>
          <w:highlight w:val="yellow"/>
        </w:rPr>
        <w:t>』</w:t>
      </w:r>
      <w:r w:rsidRPr="00212D57">
        <w:rPr>
          <w:rFonts w:eastAsia="標楷體"/>
          <w:szCs w:val="22"/>
        </w:rPr>
        <w:t>是無為法</w:t>
      </w:r>
      <w:r w:rsidR="00B52350">
        <w:rPr>
          <w:rFonts w:eastAsia="標楷體" w:hint="eastAsia"/>
          <w:color w:val="FF0000"/>
          <w:szCs w:val="22"/>
          <w:highlight w:val="yellow"/>
        </w:rPr>
        <w:t>」</w:t>
      </w:r>
      <w:r w:rsidRPr="00212D57">
        <w:rPr>
          <w:rFonts w:eastAsia="標楷體"/>
          <w:szCs w:val="22"/>
        </w:rPr>
        <w:t>。</w:t>
      </w:r>
    </w:p>
  </w:footnote>
  <w:footnote w:id="245">
    <w:p w:rsidR="00157EF6" w:rsidRPr="00212D57" w:rsidRDefault="00157EF6" w:rsidP="009E0A5A">
      <w:pPr>
        <w:pStyle w:val="a5"/>
        <w:ind w:left="187" w:hangingChars="85" w:hanging="187"/>
        <w:jc w:val="both"/>
        <w:rPr>
          <w:szCs w:val="22"/>
        </w:rPr>
      </w:pPr>
      <w:r w:rsidRPr="00212D57">
        <w:rPr>
          <w:rStyle w:val="a6"/>
          <w:szCs w:val="22"/>
        </w:rPr>
        <w:footnoteRef/>
      </w:r>
      <w:r w:rsidRPr="00212D57">
        <w:rPr>
          <w:rFonts w:hint="eastAsia"/>
          <w:szCs w:val="22"/>
        </w:rPr>
        <w:t xml:space="preserve"> </w:t>
      </w:r>
      <w:r>
        <w:rPr>
          <w:rFonts w:hint="eastAsia"/>
          <w:szCs w:val="22"/>
        </w:rPr>
        <w:t>印順法師，</w:t>
      </w:r>
      <w:r w:rsidRPr="00212D57">
        <w:rPr>
          <w:rFonts w:hint="eastAsia"/>
          <w:szCs w:val="22"/>
        </w:rPr>
        <w:t>《中觀論頌講記》，</w:t>
      </w:r>
      <w:r w:rsidRPr="00761EF3">
        <w:rPr>
          <w:rFonts w:hint="eastAsia"/>
          <w:szCs w:val="22"/>
        </w:rPr>
        <w:t>p</w:t>
      </w:r>
      <w:r w:rsidRPr="00212D57">
        <w:rPr>
          <w:rFonts w:hint="eastAsia"/>
          <w:szCs w:val="22"/>
        </w:rPr>
        <w:t>.</w:t>
      </w:r>
      <w:r w:rsidRPr="00761EF3">
        <w:rPr>
          <w:rFonts w:hint="eastAsia"/>
          <w:szCs w:val="22"/>
        </w:rPr>
        <w:t>6</w:t>
      </w:r>
      <w:r w:rsidRPr="00212D57">
        <w:rPr>
          <w:rFonts w:hint="eastAsia"/>
          <w:szCs w:val="22"/>
        </w:rPr>
        <w:t>：</w:t>
      </w:r>
    </w:p>
    <w:p w:rsidR="00157EF6" w:rsidRPr="00212D57" w:rsidRDefault="00157EF6" w:rsidP="002B682F">
      <w:pPr>
        <w:pStyle w:val="a5"/>
        <w:ind w:leftChars="75" w:left="180"/>
        <w:jc w:val="both"/>
        <w:rPr>
          <w:szCs w:val="22"/>
        </w:rPr>
      </w:pPr>
      <w:r w:rsidRPr="00212D57">
        <w:rPr>
          <w:rFonts w:ascii="標楷體" w:eastAsia="標楷體" w:hAnsi="標楷體" w:hint="eastAsia"/>
          <w:b/>
          <w:szCs w:val="22"/>
        </w:rPr>
        <w:t>中</w:t>
      </w:r>
      <w:r w:rsidRPr="00212D57">
        <w:rPr>
          <w:rFonts w:ascii="標楷體" w:eastAsia="標楷體" w:hAnsi="標楷體" w:hint="eastAsia"/>
          <w:szCs w:val="22"/>
        </w:rPr>
        <w:t>是正確真實，離顛倒戲論而不落空有的二邊。</w:t>
      </w:r>
      <w:r w:rsidRPr="00212D57">
        <w:rPr>
          <w:rFonts w:ascii="標楷體" w:eastAsia="標楷體" w:hAnsi="標楷體" w:hint="eastAsia"/>
          <w:b/>
          <w:szCs w:val="22"/>
        </w:rPr>
        <w:t>觀</w:t>
      </w:r>
      <w:r w:rsidRPr="00212D57">
        <w:rPr>
          <w:rFonts w:ascii="標楷體" w:eastAsia="標楷體" w:hAnsi="標楷體" w:hint="eastAsia"/>
          <w:szCs w:val="22"/>
        </w:rPr>
        <w:t>體是智慧，</w:t>
      </w:r>
      <w:r w:rsidRPr="00212D57">
        <w:rPr>
          <w:rFonts w:ascii="標楷體" w:eastAsia="標楷體" w:hAnsi="標楷體" w:hint="eastAsia"/>
          <w:b/>
          <w:szCs w:val="22"/>
        </w:rPr>
        <w:t>觀</w:t>
      </w:r>
      <w:r w:rsidRPr="00212D57">
        <w:rPr>
          <w:rFonts w:ascii="標楷體" w:eastAsia="標楷體" w:hAnsi="標楷體" w:hint="eastAsia"/>
          <w:szCs w:val="22"/>
        </w:rPr>
        <w:t>用是觀察、體悟。以智慧去觀察一切諸法的真實，不觀有無顛倒的「知諸法實相慧」，名為</w:t>
      </w:r>
      <w:r w:rsidRPr="00212D57">
        <w:rPr>
          <w:rFonts w:ascii="標楷體" w:eastAsia="標楷體" w:hAnsi="標楷體" w:hint="eastAsia"/>
          <w:b/>
          <w:szCs w:val="22"/>
        </w:rPr>
        <w:t>中觀</w:t>
      </w:r>
      <w:r w:rsidRPr="00212D57">
        <w:rPr>
          <w:rFonts w:ascii="標楷體" w:eastAsia="標楷體" w:hAnsi="標楷體" w:hint="eastAsia"/>
          <w:szCs w:val="22"/>
        </w:rPr>
        <w:t>。</w:t>
      </w:r>
    </w:p>
  </w:footnote>
  <w:footnote w:id="246">
    <w:p w:rsidR="00157EF6" w:rsidRPr="00212D57" w:rsidRDefault="00157EF6" w:rsidP="002B682F">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rFonts w:hint="eastAsia"/>
          <w:szCs w:val="22"/>
        </w:rPr>
        <w:t>《唯識三十論頌》（大正</w:t>
      </w:r>
      <w:r w:rsidRPr="00761EF3">
        <w:rPr>
          <w:rFonts w:hint="eastAsia"/>
          <w:szCs w:val="22"/>
        </w:rPr>
        <w:t>31</w:t>
      </w:r>
      <w:r w:rsidRPr="00212D57">
        <w:rPr>
          <w:rFonts w:hint="eastAsia"/>
          <w:szCs w:val="22"/>
        </w:rPr>
        <w:t>，</w:t>
      </w:r>
      <w:r w:rsidRPr="00761EF3">
        <w:rPr>
          <w:rFonts w:hint="eastAsia"/>
          <w:szCs w:val="22"/>
        </w:rPr>
        <w:t>60b11</w:t>
      </w:r>
      <w:r w:rsidRPr="00212D57">
        <w:rPr>
          <w:rFonts w:hint="eastAsia"/>
          <w:szCs w:val="22"/>
        </w:rPr>
        <w:t>）。</w:t>
      </w:r>
    </w:p>
  </w:footnote>
  <w:footnote w:id="247">
    <w:p w:rsidR="00157EF6" w:rsidRPr="00212D57" w:rsidRDefault="00157EF6" w:rsidP="002B682F">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rFonts w:hint="eastAsia"/>
          <w:szCs w:val="22"/>
        </w:rPr>
        <w:t>《唯識三十論頌》</w:t>
      </w:r>
      <w:r w:rsidR="006B3827" w:rsidRPr="00212D57">
        <w:rPr>
          <w:rFonts w:hint="eastAsia"/>
          <w:szCs w:val="22"/>
        </w:rPr>
        <w:t>（大正</w:t>
      </w:r>
      <w:r w:rsidR="006B3827" w:rsidRPr="00761EF3">
        <w:rPr>
          <w:rFonts w:hint="eastAsia"/>
          <w:szCs w:val="22"/>
        </w:rPr>
        <w:t>31</w:t>
      </w:r>
      <w:r w:rsidR="006B3827" w:rsidRPr="00212D57">
        <w:rPr>
          <w:rFonts w:hint="eastAsia"/>
          <w:szCs w:val="22"/>
        </w:rPr>
        <w:t>，</w:t>
      </w:r>
      <w:r w:rsidR="006B3827" w:rsidRPr="00761EF3">
        <w:rPr>
          <w:rFonts w:hint="eastAsia"/>
          <w:szCs w:val="22"/>
        </w:rPr>
        <w:t>60b19</w:t>
      </w:r>
      <w:r w:rsidR="006B3827" w:rsidRPr="00212D57">
        <w:rPr>
          <w:rFonts w:hint="eastAsia"/>
          <w:szCs w:val="22"/>
        </w:rPr>
        <w:t>）</w:t>
      </w:r>
      <w:r w:rsidRPr="00212D57">
        <w:rPr>
          <w:rFonts w:hint="eastAsia"/>
          <w:szCs w:val="22"/>
        </w:rPr>
        <w:t>：「</w:t>
      </w:r>
      <w:r w:rsidRPr="00212D57">
        <w:rPr>
          <w:rFonts w:ascii="標楷體" w:eastAsia="標楷體" w:hAnsi="標楷體" w:hint="eastAsia"/>
          <w:szCs w:val="22"/>
        </w:rPr>
        <w:t>了境為性相</w:t>
      </w:r>
      <w:r w:rsidRPr="00212D57">
        <w:rPr>
          <w:rFonts w:hint="eastAsia"/>
          <w:szCs w:val="22"/>
        </w:rPr>
        <w:t>。」</w:t>
      </w:r>
    </w:p>
  </w:footnote>
  <w:footnote w:id="248">
    <w:p w:rsidR="00157EF6" w:rsidRPr="00212D57" w:rsidRDefault="00157EF6" w:rsidP="002B682F">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《大般若波羅蜜多經》卷</w:t>
      </w:r>
      <w:r w:rsidRPr="00761EF3">
        <w:rPr>
          <w:szCs w:val="22"/>
        </w:rPr>
        <w:t>409</w:t>
      </w:r>
      <w:r w:rsidRPr="00212D57">
        <w:rPr>
          <w:rFonts w:hint="eastAsia"/>
          <w:szCs w:val="22"/>
        </w:rPr>
        <w:t>〈</w:t>
      </w:r>
      <w:r w:rsidRPr="00761EF3">
        <w:rPr>
          <w:rFonts w:hint="eastAsia"/>
          <w:szCs w:val="22"/>
        </w:rPr>
        <w:t>8</w:t>
      </w:r>
      <w:r w:rsidRPr="00212D57">
        <w:rPr>
          <w:rFonts w:hint="eastAsia"/>
          <w:szCs w:val="22"/>
        </w:rPr>
        <w:t xml:space="preserve"> </w:t>
      </w:r>
      <w:r w:rsidRPr="00212D57">
        <w:rPr>
          <w:rFonts w:hint="eastAsia"/>
          <w:szCs w:val="22"/>
        </w:rPr>
        <w:t>勝軍品〉（</w:t>
      </w:r>
      <w:r w:rsidRPr="00212D57">
        <w:rPr>
          <w:szCs w:val="22"/>
        </w:rPr>
        <w:t>大正</w:t>
      </w:r>
      <w:r w:rsidRPr="00761EF3">
        <w:rPr>
          <w:szCs w:val="22"/>
        </w:rPr>
        <w:t>7</w:t>
      </w:r>
      <w:r w:rsidRPr="00212D57">
        <w:rPr>
          <w:szCs w:val="22"/>
        </w:rPr>
        <w:t>，</w:t>
      </w:r>
      <w:r w:rsidRPr="00761EF3">
        <w:rPr>
          <w:szCs w:val="22"/>
        </w:rPr>
        <w:t>48b1</w:t>
      </w:r>
      <w:r w:rsidRPr="00761EF3">
        <w:rPr>
          <w:rFonts w:hint="eastAsia"/>
          <w:szCs w:val="22"/>
        </w:rPr>
        <w:t>7</w:t>
      </w:r>
      <w:r w:rsidRPr="00212D57">
        <w:rPr>
          <w:rFonts w:hint="eastAsia"/>
          <w:szCs w:val="22"/>
        </w:rPr>
        <w:t>-</w:t>
      </w:r>
      <w:r w:rsidRPr="00761EF3">
        <w:rPr>
          <w:szCs w:val="22"/>
        </w:rPr>
        <w:t>23</w:t>
      </w:r>
      <w:r w:rsidRPr="00212D57">
        <w:rPr>
          <w:rFonts w:hint="eastAsia"/>
          <w:szCs w:val="22"/>
        </w:rPr>
        <w:t>）：</w:t>
      </w:r>
    </w:p>
    <w:p w:rsidR="00157EF6" w:rsidRPr="00212D57" w:rsidRDefault="00157EF6" w:rsidP="002B682F">
      <w:pPr>
        <w:snapToGrid w:val="0"/>
        <w:ind w:leftChars="75" w:left="180"/>
        <w:jc w:val="both"/>
        <w:rPr>
          <w:rFonts w:ascii="標楷體" w:eastAsia="標楷體" w:hAnsi="標楷體"/>
          <w:sz w:val="22"/>
          <w:szCs w:val="22"/>
        </w:rPr>
      </w:pPr>
      <w:r w:rsidRPr="00212D57">
        <w:rPr>
          <w:rFonts w:ascii="標楷體" w:eastAsia="標楷體" w:hAnsi="標楷體" w:hint="eastAsia"/>
          <w:sz w:val="22"/>
          <w:szCs w:val="22"/>
        </w:rPr>
        <w:t>不以內得現觀而觀一切智智，不以外得現觀而觀一切智智，不以內外得現觀而觀一切智智，不以無智得現觀而觀一切智智，不以餘得現觀而觀一切智智，亦不以不得現觀而觀一切智智。</w:t>
      </w:r>
      <w:r w:rsidRPr="00212D57">
        <w:rPr>
          <w:rFonts w:ascii="標楷體" w:eastAsia="標楷體" w:hAnsi="標楷體"/>
          <w:sz w:val="22"/>
          <w:szCs w:val="22"/>
        </w:rPr>
        <w:t>所以者何？是勝軍梵志</w:t>
      </w:r>
      <w:r w:rsidRPr="00212D57">
        <w:rPr>
          <w:rFonts w:ascii="標楷體" w:eastAsia="標楷體" w:hAnsi="標楷體" w:hint="eastAsia"/>
          <w:sz w:val="22"/>
          <w:szCs w:val="22"/>
        </w:rPr>
        <w:t>，</w:t>
      </w:r>
      <w:r w:rsidRPr="00212D57">
        <w:rPr>
          <w:rFonts w:ascii="標楷體" w:eastAsia="標楷體" w:hAnsi="標楷體"/>
          <w:sz w:val="22"/>
          <w:szCs w:val="22"/>
        </w:rPr>
        <w:t>不見</w:t>
      </w:r>
      <w:r w:rsidRPr="00212D57">
        <w:rPr>
          <w:rFonts w:ascii="標楷體" w:eastAsia="標楷體" w:hAnsi="標楷體"/>
          <w:b/>
          <w:sz w:val="22"/>
          <w:szCs w:val="22"/>
        </w:rPr>
        <w:t>所觀</w:t>
      </w:r>
      <w:r w:rsidRPr="00212D57">
        <w:rPr>
          <w:rFonts w:ascii="標楷體" w:eastAsia="標楷體" w:hAnsi="標楷體"/>
          <w:sz w:val="22"/>
          <w:szCs w:val="22"/>
        </w:rPr>
        <w:t>一切智智</w:t>
      </w:r>
      <w:r w:rsidRPr="00212D57">
        <w:rPr>
          <w:rFonts w:ascii="標楷體" w:eastAsia="標楷體" w:hAnsi="標楷體" w:hint="eastAsia"/>
          <w:sz w:val="22"/>
          <w:szCs w:val="22"/>
        </w:rPr>
        <w:t>，</w:t>
      </w:r>
      <w:r w:rsidRPr="00212D57">
        <w:rPr>
          <w:rFonts w:ascii="標楷體" w:eastAsia="標楷體" w:hAnsi="標楷體"/>
          <w:sz w:val="22"/>
          <w:szCs w:val="22"/>
        </w:rPr>
        <w:t>不見</w:t>
      </w:r>
      <w:r w:rsidRPr="00212D57">
        <w:rPr>
          <w:rFonts w:ascii="標楷體" w:eastAsia="標楷體" w:hAnsi="標楷體"/>
          <w:b/>
          <w:sz w:val="22"/>
          <w:szCs w:val="22"/>
          <w:u w:val="single"/>
        </w:rPr>
        <w:t>能觀</w:t>
      </w:r>
      <w:r w:rsidRPr="00212D57">
        <w:rPr>
          <w:rFonts w:ascii="標楷體" w:eastAsia="標楷體" w:hAnsi="標楷體"/>
          <w:sz w:val="22"/>
          <w:szCs w:val="22"/>
        </w:rPr>
        <w:t>般若</w:t>
      </w:r>
      <w:r w:rsidRPr="00212D57">
        <w:rPr>
          <w:rFonts w:ascii="標楷體" w:eastAsia="標楷體" w:hAnsi="標楷體" w:hint="eastAsia"/>
          <w:sz w:val="22"/>
          <w:szCs w:val="22"/>
        </w:rPr>
        <w:t>，</w:t>
      </w:r>
      <w:r w:rsidRPr="00212D57">
        <w:rPr>
          <w:rFonts w:ascii="標楷體" w:eastAsia="標楷體" w:hAnsi="標楷體"/>
          <w:sz w:val="22"/>
          <w:szCs w:val="22"/>
        </w:rPr>
        <w:t>不見</w:t>
      </w:r>
      <w:r w:rsidRPr="00212D57">
        <w:rPr>
          <w:rFonts w:ascii="標楷體" w:eastAsia="標楷體" w:hAnsi="標楷體"/>
          <w:b/>
          <w:sz w:val="22"/>
          <w:szCs w:val="22"/>
        </w:rPr>
        <w:t>觀者、觀所依處</w:t>
      </w:r>
      <w:r w:rsidRPr="00212D57">
        <w:rPr>
          <w:rFonts w:ascii="標楷體" w:eastAsia="標楷體" w:hAnsi="標楷體"/>
          <w:sz w:val="22"/>
          <w:szCs w:val="22"/>
        </w:rPr>
        <w:t>及</w:t>
      </w:r>
      <w:r w:rsidRPr="00212D57">
        <w:rPr>
          <w:rFonts w:ascii="標楷體" w:eastAsia="標楷體" w:hAnsi="標楷體"/>
          <w:b/>
          <w:sz w:val="22"/>
          <w:szCs w:val="22"/>
        </w:rPr>
        <w:t>起觀時</w:t>
      </w:r>
      <w:r w:rsidRPr="00212D57">
        <w:rPr>
          <w:rFonts w:ascii="標楷體" w:eastAsia="標楷體" w:hAnsi="標楷體"/>
          <w:sz w:val="22"/>
          <w:szCs w:val="22"/>
        </w:rPr>
        <w:t>。</w:t>
      </w:r>
    </w:p>
  </w:footnote>
  <w:footnote w:id="249">
    <w:p w:rsidR="00157EF6" w:rsidRPr="00212D57" w:rsidRDefault="00157EF6" w:rsidP="002B682F">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）〔隋〕吉藏</w:t>
      </w:r>
      <w:r>
        <w:rPr>
          <w:rFonts w:hint="eastAsia"/>
          <w:szCs w:val="22"/>
        </w:rPr>
        <w:t>撰</w:t>
      </w:r>
      <w:r w:rsidRPr="00212D57">
        <w:rPr>
          <w:rFonts w:hint="eastAsia"/>
          <w:szCs w:val="22"/>
        </w:rPr>
        <w:t>，《中觀論疏》卷</w:t>
      </w:r>
      <w:r w:rsidRPr="00761EF3">
        <w:rPr>
          <w:rFonts w:hint="eastAsia"/>
          <w:szCs w:val="22"/>
        </w:rPr>
        <w:t>1</w:t>
      </w:r>
      <w:r w:rsidRPr="00212D57">
        <w:rPr>
          <w:rFonts w:hint="eastAsia"/>
          <w:szCs w:val="22"/>
        </w:rPr>
        <w:t>（大正</w:t>
      </w:r>
      <w:r w:rsidRPr="00761EF3">
        <w:rPr>
          <w:rFonts w:hint="eastAsia"/>
          <w:szCs w:val="22"/>
        </w:rPr>
        <w:t>42</w:t>
      </w:r>
      <w:r w:rsidRPr="00212D57">
        <w:rPr>
          <w:rFonts w:hint="eastAsia"/>
          <w:szCs w:val="22"/>
        </w:rPr>
        <w:t>，</w:t>
      </w:r>
      <w:r w:rsidRPr="00761EF3">
        <w:rPr>
          <w:rFonts w:hint="eastAsia"/>
          <w:szCs w:val="22"/>
        </w:rPr>
        <w:t>5c15</w:t>
      </w:r>
      <w:r w:rsidRPr="00212D57">
        <w:rPr>
          <w:rFonts w:hint="eastAsia"/>
          <w:szCs w:val="22"/>
        </w:rPr>
        <w:t>-</w:t>
      </w:r>
      <w:r w:rsidRPr="00761EF3">
        <w:rPr>
          <w:rFonts w:hint="eastAsia"/>
          <w:szCs w:val="22"/>
        </w:rPr>
        <w:t>16</w:t>
      </w:r>
      <w:r w:rsidRPr="00212D57">
        <w:rPr>
          <w:rFonts w:hint="eastAsia"/>
          <w:szCs w:val="22"/>
        </w:rPr>
        <w:t>）：</w:t>
      </w:r>
    </w:p>
    <w:p w:rsidR="00157EF6" w:rsidRPr="00212D57" w:rsidRDefault="00157EF6" w:rsidP="002B682F">
      <w:pPr>
        <w:pStyle w:val="a5"/>
        <w:ind w:leftChars="305" w:left="732"/>
        <w:jc w:val="both"/>
        <w:rPr>
          <w:szCs w:val="22"/>
        </w:rPr>
      </w:pPr>
      <w:r w:rsidRPr="00212D57">
        <w:rPr>
          <w:rFonts w:ascii="標楷體" w:eastAsia="標楷體" w:hAnsi="標楷體" w:hint="eastAsia"/>
          <w:szCs w:val="22"/>
        </w:rPr>
        <w:t>即此</w:t>
      </w:r>
      <w:r w:rsidR="00DF3562">
        <w:rPr>
          <w:rFonts w:ascii="標楷體" w:eastAsia="標楷體" w:hAnsi="標楷體" w:hint="eastAsia"/>
          <w:bCs/>
          <w:color w:val="FF0000"/>
          <w:kern w:val="0"/>
          <w:highlight w:val="yellow"/>
        </w:rPr>
        <w:t>「</w:t>
      </w:r>
      <w:r w:rsidR="00DF3562">
        <w:rPr>
          <w:rFonts w:ascii="標楷體" w:eastAsia="標楷體" w:hAnsi="標楷體" w:hint="eastAsia"/>
          <w:color w:val="FF0000"/>
          <w:kern w:val="0"/>
          <w:highlight w:val="yellow"/>
        </w:rPr>
        <w:t>『</w:t>
      </w:r>
      <w:r w:rsidRPr="00212D57">
        <w:rPr>
          <w:rFonts w:ascii="標楷體" w:eastAsia="標楷體" w:hAnsi="標楷體" w:hint="eastAsia"/>
          <w:szCs w:val="22"/>
        </w:rPr>
        <w:t>觀</w:t>
      </w:r>
      <w:r w:rsidR="00DF3562">
        <w:rPr>
          <w:rFonts w:ascii="標楷體" w:eastAsia="標楷體" w:hAnsi="標楷體" w:hint="eastAsia"/>
          <w:color w:val="FF0000"/>
          <w:kern w:val="0"/>
          <w:highlight w:val="yellow"/>
        </w:rPr>
        <w:t>』</w:t>
      </w:r>
      <w:r w:rsidRPr="00212D57">
        <w:rPr>
          <w:rFonts w:ascii="標楷體" w:eastAsia="標楷體" w:hAnsi="標楷體" w:hint="eastAsia"/>
          <w:szCs w:val="22"/>
        </w:rPr>
        <w:t>名</w:t>
      </w:r>
      <w:r w:rsidR="00DF3562">
        <w:rPr>
          <w:rFonts w:ascii="標楷體" w:eastAsia="標楷體" w:hAnsi="標楷體" w:hint="eastAsia"/>
          <w:bCs/>
          <w:color w:val="FF0000"/>
          <w:kern w:val="0"/>
          <w:highlight w:val="yellow"/>
        </w:rPr>
        <w:t>」</w:t>
      </w:r>
      <w:r w:rsidRPr="00212D57">
        <w:rPr>
          <w:rFonts w:ascii="標楷體" w:eastAsia="標楷體" w:hAnsi="標楷體" w:hint="eastAsia"/>
          <w:szCs w:val="22"/>
        </w:rPr>
        <w:t>是</w:t>
      </w:r>
      <w:r w:rsidR="00DF3562">
        <w:rPr>
          <w:rFonts w:ascii="標楷體" w:eastAsia="標楷體" w:hAnsi="標楷體" w:hint="eastAsia"/>
          <w:bCs/>
          <w:color w:val="FF0000"/>
          <w:kern w:val="0"/>
          <w:highlight w:val="yellow"/>
        </w:rPr>
        <w:t>「</w:t>
      </w:r>
      <w:r w:rsidR="00DF3562">
        <w:rPr>
          <w:rFonts w:ascii="標楷體" w:eastAsia="標楷體" w:hAnsi="標楷體" w:hint="eastAsia"/>
          <w:color w:val="FF0000"/>
          <w:kern w:val="0"/>
          <w:highlight w:val="yellow"/>
        </w:rPr>
        <w:t>『</w:t>
      </w:r>
      <w:r w:rsidRPr="00212D57">
        <w:rPr>
          <w:rFonts w:ascii="標楷體" w:eastAsia="標楷體" w:hAnsi="標楷體" w:hint="eastAsia"/>
          <w:szCs w:val="22"/>
        </w:rPr>
        <w:t>論</w:t>
      </w:r>
      <w:r w:rsidR="00DF3562">
        <w:rPr>
          <w:rFonts w:ascii="標楷體" w:eastAsia="標楷體" w:hAnsi="標楷體" w:hint="eastAsia"/>
          <w:color w:val="FF0000"/>
          <w:kern w:val="0"/>
          <w:highlight w:val="yellow"/>
        </w:rPr>
        <w:t>』</w:t>
      </w:r>
      <w:r w:rsidRPr="00212D57">
        <w:rPr>
          <w:rFonts w:ascii="標楷體" w:eastAsia="標楷體" w:hAnsi="標楷體" w:hint="eastAsia"/>
          <w:szCs w:val="22"/>
        </w:rPr>
        <w:t>字</w:t>
      </w:r>
      <w:r w:rsidR="00DF3562">
        <w:rPr>
          <w:rFonts w:ascii="標楷體" w:eastAsia="標楷體" w:hAnsi="標楷體" w:hint="eastAsia"/>
          <w:bCs/>
          <w:color w:val="FF0000"/>
          <w:kern w:val="0"/>
          <w:highlight w:val="yellow"/>
        </w:rPr>
        <w:t>」</w:t>
      </w:r>
      <w:r w:rsidRPr="00212D57">
        <w:rPr>
          <w:rFonts w:ascii="標楷體" w:eastAsia="標楷體" w:hAnsi="標楷體" w:hint="eastAsia"/>
          <w:szCs w:val="22"/>
        </w:rPr>
        <w:t>也，</w:t>
      </w:r>
      <w:r w:rsidRPr="00212D57">
        <w:rPr>
          <w:rFonts w:ascii="標楷體" w:eastAsia="標楷體" w:hAnsi="標楷體" w:hint="eastAsia"/>
          <w:b/>
          <w:szCs w:val="22"/>
        </w:rPr>
        <w:t>以</w:t>
      </w:r>
      <w:r w:rsidR="00DF3562">
        <w:rPr>
          <w:rFonts w:ascii="標楷體" w:eastAsia="標楷體" w:hAnsi="標楷體" w:hint="eastAsia"/>
          <w:bCs/>
          <w:color w:val="FF0000"/>
          <w:kern w:val="0"/>
          <w:highlight w:val="yellow"/>
        </w:rPr>
        <w:t>「</w:t>
      </w:r>
      <w:r w:rsidRPr="00212D57">
        <w:rPr>
          <w:rFonts w:ascii="標楷體" w:eastAsia="標楷體" w:hAnsi="標楷體" w:hint="eastAsia"/>
          <w:b/>
          <w:szCs w:val="22"/>
        </w:rPr>
        <w:t>觀</w:t>
      </w:r>
      <w:r w:rsidR="00DF3562">
        <w:rPr>
          <w:rFonts w:ascii="標楷體" w:eastAsia="標楷體" w:hAnsi="標楷體" w:hint="eastAsia"/>
          <w:bCs/>
          <w:color w:val="FF0000"/>
          <w:kern w:val="0"/>
          <w:highlight w:val="yellow"/>
        </w:rPr>
        <w:t>」</w:t>
      </w:r>
      <w:r w:rsidR="00DF3562">
        <w:rPr>
          <w:rFonts w:ascii="標楷體" w:eastAsia="標楷體" w:hAnsi="標楷體" w:hint="eastAsia"/>
          <w:b/>
          <w:szCs w:val="22"/>
        </w:rPr>
        <w:t>辨於心</w:t>
      </w:r>
      <w:r w:rsidR="00DF3562">
        <w:rPr>
          <w:rFonts w:ascii="標楷體" w:eastAsia="標楷體" w:hAnsi="標楷體" w:hint="eastAsia"/>
          <w:color w:val="FF0000"/>
          <w:spacing w:val="-4"/>
          <w:kern w:val="0"/>
          <w:highlight w:val="yellow"/>
        </w:rPr>
        <w:t>、</w:t>
      </w:r>
      <w:r w:rsidR="00DF3562">
        <w:rPr>
          <w:rFonts w:ascii="標楷體" w:eastAsia="標楷體" w:hAnsi="標楷體" w:hint="eastAsia"/>
          <w:bCs/>
          <w:color w:val="FF0000"/>
          <w:kern w:val="0"/>
          <w:highlight w:val="yellow"/>
        </w:rPr>
        <w:t>「</w:t>
      </w:r>
      <w:r w:rsidRPr="00212D57">
        <w:rPr>
          <w:rFonts w:ascii="標楷體" w:eastAsia="標楷體" w:hAnsi="標楷體" w:hint="eastAsia"/>
          <w:b/>
          <w:szCs w:val="22"/>
        </w:rPr>
        <w:t>論</w:t>
      </w:r>
      <w:r w:rsidR="00DF3562">
        <w:rPr>
          <w:rFonts w:ascii="標楷體" w:eastAsia="標楷體" w:hAnsi="標楷體" w:hint="eastAsia"/>
          <w:bCs/>
          <w:color w:val="FF0000"/>
          <w:kern w:val="0"/>
          <w:highlight w:val="yellow"/>
        </w:rPr>
        <w:t>」</w:t>
      </w:r>
      <w:r w:rsidRPr="00212D57">
        <w:rPr>
          <w:rFonts w:ascii="標楷體" w:eastAsia="標楷體" w:hAnsi="標楷體" w:hint="eastAsia"/>
          <w:b/>
          <w:szCs w:val="22"/>
        </w:rPr>
        <w:t>宣於口</w:t>
      </w:r>
      <w:r w:rsidRPr="00212D57">
        <w:rPr>
          <w:rFonts w:ascii="標楷體" w:eastAsia="標楷體" w:hAnsi="標楷體" w:hint="eastAsia"/>
          <w:szCs w:val="22"/>
        </w:rPr>
        <w:t>。</w:t>
      </w:r>
    </w:p>
    <w:p w:rsidR="00157EF6" w:rsidRPr="00212D57" w:rsidRDefault="00157EF6" w:rsidP="002B682F">
      <w:pPr>
        <w:pStyle w:val="a5"/>
        <w:ind w:leftChars="80" w:left="73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）〔隋〕吉藏</w:t>
      </w:r>
      <w:r>
        <w:rPr>
          <w:rFonts w:hint="eastAsia"/>
          <w:szCs w:val="22"/>
        </w:rPr>
        <w:t>撰</w:t>
      </w:r>
      <w:r w:rsidRPr="00212D57">
        <w:rPr>
          <w:rFonts w:hint="eastAsia"/>
          <w:szCs w:val="22"/>
        </w:rPr>
        <w:t>，《三論玄義》卷</w:t>
      </w:r>
      <w:r w:rsidRPr="00761EF3">
        <w:rPr>
          <w:rFonts w:hint="eastAsia"/>
          <w:szCs w:val="22"/>
        </w:rPr>
        <w:t>1</w:t>
      </w:r>
      <w:r w:rsidRPr="00212D57">
        <w:rPr>
          <w:rFonts w:hint="eastAsia"/>
          <w:szCs w:val="22"/>
        </w:rPr>
        <w:t>（大正</w:t>
      </w:r>
      <w:r w:rsidRPr="00761EF3">
        <w:rPr>
          <w:rFonts w:hint="eastAsia"/>
          <w:szCs w:val="22"/>
        </w:rPr>
        <w:t>45</w:t>
      </w:r>
      <w:r w:rsidRPr="00212D57">
        <w:rPr>
          <w:rFonts w:hint="eastAsia"/>
          <w:szCs w:val="22"/>
        </w:rPr>
        <w:t>，</w:t>
      </w:r>
      <w:r w:rsidRPr="00761EF3">
        <w:rPr>
          <w:rFonts w:hint="eastAsia"/>
          <w:szCs w:val="22"/>
        </w:rPr>
        <w:t>13b27</w:t>
      </w:r>
      <w:r w:rsidRPr="00212D57">
        <w:rPr>
          <w:rFonts w:hint="eastAsia"/>
          <w:szCs w:val="22"/>
        </w:rPr>
        <w:t>-</w:t>
      </w:r>
      <w:r w:rsidRPr="00761EF3">
        <w:rPr>
          <w:rFonts w:hint="eastAsia"/>
          <w:szCs w:val="22"/>
        </w:rPr>
        <w:t>29</w:t>
      </w:r>
      <w:r w:rsidRPr="00212D57">
        <w:rPr>
          <w:rFonts w:hint="eastAsia"/>
          <w:szCs w:val="22"/>
        </w:rPr>
        <w:t>）：</w:t>
      </w:r>
    </w:p>
    <w:p w:rsidR="00DF3562" w:rsidRDefault="00157EF6" w:rsidP="002B682F">
      <w:pPr>
        <w:pStyle w:val="a5"/>
        <w:ind w:leftChars="305" w:left="732"/>
        <w:jc w:val="both"/>
        <w:rPr>
          <w:rFonts w:ascii="標楷體" w:eastAsia="標楷體" w:hAnsi="標楷體"/>
          <w:szCs w:val="22"/>
        </w:rPr>
      </w:pPr>
      <w:r w:rsidRPr="00212D57">
        <w:rPr>
          <w:rFonts w:ascii="標楷體" w:eastAsia="標楷體" w:hAnsi="標楷體" w:hint="eastAsia"/>
          <w:szCs w:val="22"/>
        </w:rPr>
        <w:t>影法師《中論》</w:t>
      </w:r>
      <w:r w:rsidR="001C14E0" w:rsidRPr="001C14E0">
        <w:rPr>
          <w:rFonts w:ascii="標楷體" w:eastAsia="標楷體" w:hAnsi="標楷體" w:hint="eastAsia"/>
          <w:szCs w:val="22"/>
          <w:highlight w:val="yellow"/>
        </w:rPr>
        <w:t>序</w:t>
      </w:r>
      <w:r w:rsidRPr="00212D57">
        <w:rPr>
          <w:rFonts w:ascii="標楷體" w:eastAsia="標楷體" w:hAnsi="標楷體" w:hint="eastAsia"/>
          <w:szCs w:val="22"/>
        </w:rPr>
        <w:t>云：寂此諸邊</w:t>
      </w:r>
      <w:r w:rsidR="00DF3562">
        <w:rPr>
          <w:rFonts w:ascii="標楷體" w:eastAsia="標楷體" w:hAnsi="標楷體" w:hint="eastAsia"/>
          <w:color w:val="FF0000"/>
          <w:kern w:val="0"/>
          <w:highlight w:val="yellow"/>
        </w:rPr>
        <w:t>，</w:t>
      </w:r>
      <w:r w:rsidRPr="00212D57">
        <w:rPr>
          <w:rFonts w:ascii="標楷體" w:eastAsia="標楷體" w:hAnsi="標楷體" w:hint="eastAsia"/>
          <w:szCs w:val="22"/>
        </w:rPr>
        <w:t>名之為「中」</w:t>
      </w:r>
      <w:r w:rsidR="00DF3562">
        <w:rPr>
          <w:rFonts w:ascii="標楷體" w:eastAsia="標楷體" w:hAnsi="標楷體" w:hint="eastAsia"/>
          <w:color w:val="FF0000"/>
          <w:spacing w:val="-4"/>
          <w:kern w:val="0"/>
          <w:highlight w:val="yellow"/>
        </w:rPr>
        <w:t>；</w:t>
      </w:r>
      <w:r w:rsidRPr="00212D57">
        <w:rPr>
          <w:rFonts w:ascii="標楷體" w:eastAsia="標楷體" w:hAnsi="標楷體" w:hint="eastAsia"/>
          <w:szCs w:val="22"/>
        </w:rPr>
        <w:t>問答拆</w:t>
      </w:r>
      <w:r w:rsidR="00DF3562" w:rsidRPr="00DF3562">
        <w:rPr>
          <w:rFonts w:eastAsia="標楷體" w:hint="eastAsia"/>
          <w:szCs w:val="22"/>
          <w:shd w:val="pct15" w:color="auto" w:fill="FFFFFF"/>
        </w:rPr>
        <w:t>*</w:t>
      </w:r>
      <w:r w:rsidRPr="00212D57">
        <w:rPr>
          <w:rFonts w:ascii="標楷體" w:eastAsia="標楷體" w:hAnsi="標楷體" w:hint="eastAsia"/>
          <w:szCs w:val="22"/>
        </w:rPr>
        <w:t>徵</w:t>
      </w:r>
      <w:r w:rsidR="00DF3562">
        <w:rPr>
          <w:rFonts w:ascii="標楷體" w:eastAsia="標楷體" w:hAnsi="標楷體" w:hint="eastAsia"/>
          <w:color w:val="FF0000"/>
          <w:kern w:val="0"/>
          <w:highlight w:val="yellow"/>
        </w:rPr>
        <w:t>，</w:t>
      </w:r>
      <w:r w:rsidRPr="00212D57">
        <w:rPr>
          <w:rFonts w:ascii="標楷體" w:eastAsia="標楷體" w:hAnsi="標楷體" w:hint="eastAsia"/>
          <w:szCs w:val="22"/>
        </w:rPr>
        <w:t>稱之為「論」。</w:t>
      </w:r>
    </w:p>
    <w:p w:rsidR="00157EF6" w:rsidRDefault="00157EF6" w:rsidP="002B682F">
      <w:pPr>
        <w:pStyle w:val="a5"/>
        <w:ind w:leftChars="305" w:left="732"/>
        <w:jc w:val="both"/>
        <w:rPr>
          <w:rFonts w:ascii="標楷體" w:eastAsia="標楷體" w:hAnsi="標楷體"/>
          <w:szCs w:val="22"/>
        </w:rPr>
      </w:pPr>
      <w:r w:rsidRPr="00212D57">
        <w:rPr>
          <w:rFonts w:ascii="標楷體" w:eastAsia="標楷體" w:hAnsi="標楷體" w:hint="eastAsia"/>
          <w:szCs w:val="22"/>
        </w:rPr>
        <w:t>又云：觀者直</w:t>
      </w:r>
      <w:r w:rsidRPr="00212D57">
        <w:rPr>
          <w:rFonts w:ascii="標楷體" w:eastAsia="標楷體" w:hAnsi="標楷體" w:hint="eastAsia"/>
          <w:b/>
          <w:szCs w:val="22"/>
        </w:rPr>
        <w:t>以觀辨於心，論宣於口</w:t>
      </w:r>
      <w:r w:rsidRPr="00212D57">
        <w:rPr>
          <w:rFonts w:ascii="標楷體" w:eastAsia="標楷體" w:hAnsi="標楷體" w:hint="eastAsia"/>
          <w:szCs w:val="22"/>
        </w:rPr>
        <w:t>耳。</w:t>
      </w:r>
    </w:p>
    <w:p w:rsidR="00DF3562" w:rsidRPr="00DF3562" w:rsidRDefault="00DF3562" w:rsidP="002B682F">
      <w:pPr>
        <w:pStyle w:val="a5"/>
        <w:ind w:leftChars="305" w:left="732"/>
        <w:jc w:val="both"/>
        <w:rPr>
          <w:rFonts w:ascii="新細明體" w:hAnsi="新細明體"/>
          <w:szCs w:val="22"/>
        </w:rPr>
      </w:pPr>
      <w:r w:rsidRPr="00DF3562">
        <w:rPr>
          <w:rFonts w:eastAsia="標楷體" w:hint="eastAsia"/>
          <w:szCs w:val="22"/>
          <w:shd w:val="pct15" w:color="auto" w:fill="FFFFFF"/>
        </w:rPr>
        <w:t>*</w:t>
      </w:r>
      <w:r w:rsidRPr="00DF3562">
        <w:rPr>
          <w:rFonts w:ascii="新細明體" w:hAnsi="新細明體" w:hint="eastAsia"/>
          <w:szCs w:val="22"/>
        </w:rPr>
        <w:t>重編案：「</w:t>
      </w:r>
      <w:r w:rsidRPr="00212D57">
        <w:rPr>
          <w:rFonts w:ascii="標楷體" w:eastAsia="標楷體" w:hAnsi="標楷體" w:hint="eastAsia"/>
          <w:szCs w:val="22"/>
        </w:rPr>
        <w:t>拆</w:t>
      </w:r>
      <w:r w:rsidRPr="00DF3562">
        <w:rPr>
          <w:rFonts w:ascii="新細明體" w:hAnsi="新細明體" w:hint="eastAsia"/>
          <w:szCs w:val="22"/>
        </w:rPr>
        <w:t>」，疑應作「析」。</w:t>
      </w:r>
    </w:p>
    <w:p w:rsidR="00157EF6" w:rsidRPr="00212D57" w:rsidRDefault="00157EF6" w:rsidP="002B682F">
      <w:pPr>
        <w:pStyle w:val="a5"/>
        <w:ind w:leftChars="80" w:left="731" w:hangingChars="245" w:hanging="539"/>
        <w:jc w:val="both"/>
        <w:rPr>
          <w:spacing w:val="4"/>
          <w:szCs w:val="22"/>
        </w:rPr>
      </w:pPr>
      <w:r w:rsidRPr="00212D57">
        <w:rPr>
          <w:rFonts w:hint="eastAsia"/>
          <w:szCs w:val="22"/>
        </w:rPr>
        <w:t>（</w:t>
      </w:r>
      <w:r w:rsidRPr="00761EF3">
        <w:rPr>
          <w:rFonts w:hint="eastAsia"/>
          <w:szCs w:val="22"/>
        </w:rPr>
        <w:t>3</w:t>
      </w:r>
      <w:r w:rsidRPr="00212D57">
        <w:rPr>
          <w:rFonts w:hint="eastAsia"/>
          <w:szCs w:val="22"/>
        </w:rPr>
        <w:t>）</w:t>
      </w:r>
      <w:r w:rsidRPr="00212D57">
        <w:rPr>
          <w:rFonts w:hint="eastAsia"/>
          <w:spacing w:val="4"/>
          <w:szCs w:val="22"/>
        </w:rPr>
        <w:t>參見</w:t>
      </w:r>
      <w:r w:rsidRPr="00212D57">
        <w:rPr>
          <w:spacing w:val="4"/>
          <w:szCs w:val="22"/>
        </w:rPr>
        <w:t>〔</w:t>
      </w:r>
      <w:r w:rsidRPr="00212D57">
        <w:rPr>
          <w:rFonts w:hint="eastAsia"/>
          <w:spacing w:val="4"/>
          <w:szCs w:val="22"/>
        </w:rPr>
        <w:t>梁</w:t>
      </w:r>
      <w:r w:rsidRPr="00212D57">
        <w:rPr>
          <w:spacing w:val="4"/>
          <w:szCs w:val="22"/>
        </w:rPr>
        <w:t>〕</w:t>
      </w:r>
      <w:r w:rsidRPr="00212D57">
        <w:rPr>
          <w:rFonts w:hint="eastAsia"/>
          <w:spacing w:val="4"/>
          <w:szCs w:val="22"/>
        </w:rPr>
        <w:t>僧祐</w:t>
      </w:r>
      <w:r>
        <w:rPr>
          <w:rFonts w:hint="eastAsia"/>
          <w:spacing w:val="4"/>
          <w:szCs w:val="22"/>
        </w:rPr>
        <w:t>撰</w:t>
      </w:r>
      <w:r w:rsidRPr="00212D57">
        <w:rPr>
          <w:rFonts w:hint="eastAsia"/>
          <w:spacing w:val="4"/>
          <w:szCs w:val="22"/>
        </w:rPr>
        <w:t>，《出三藏記集》卷</w:t>
      </w:r>
      <w:r w:rsidRPr="00761EF3">
        <w:rPr>
          <w:rFonts w:hint="eastAsia"/>
          <w:spacing w:val="4"/>
          <w:szCs w:val="22"/>
        </w:rPr>
        <w:t>11</w:t>
      </w:r>
      <w:r w:rsidRPr="00212D57">
        <w:rPr>
          <w:rFonts w:hint="eastAsia"/>
          <w:spacing w:val="4"/>
          <w:szCs w:val="22"/>
        </w:rPr>
        <w:t>〈影法師《中論》</w:t>
      </w:r>
      <w:r w:rsidR="001C14E0" w:rsidRPr="001C14E0">
        <w:rPr>
          <w:rFonts w:hint="eastAsia"/>
          <w:spacing w:val="4"/>
          <w:szCs w:val="22"/>
          <w:highlight w:val="yellow"/>
        </w:rPr>
        <w:t>序</w:t>
      </w:r>
      <w:r w:rsidRPr="00212D57">
        <w:rPr>
          <w:rFonts w:hint="eastAsia"/>
          <w:spacing w:val="4"/>
          <w:szCs w:val="22"/>
        </w:rPr>
        <w:t>〉（大正</w:t>
      </w:r>
      <w:r w:rsidRPr="00761EF3">
        <w:rPr>
          <w:rFonts w:hint="eastAsia"/>
          <w:spacing w:val="4"/>
          <w:szCs w:val="22"/>
        </w:rPr>
        <w:t>55</w:t>
      </w:r>
      <w:r w:rsidRPr="00212D57">
        <w:rPr>
          <w:rFonts w:hint="eastAsia"/>
          <w:spacing w:val="4"/>
          <w:szCs w:val="22"/>
        </w:rPr>
        <w:t>，</w:t>
      </w:r>
      <w:r w:rsidRPr="00761EF3">
        <w:rPr>
          <w:rFonts w:hint="eastAsia"/>
          <w:spacing w:val="4"/>
          <w:szCs w:val="22"/>
        </w:rPr>
        <w:t>77b6</w:t>
      </w:r>
      <w:r w:rsidRPr="00212D57">
        <w:rPr>
          <w:rFonts w:hint="eastAsia"/>
          <w:spacing w:val="4"/>
          <w:szCs w:val="22"/>
        </w:rPr>
        <w:t>-</w:t>
      </w:r>
      <w:r w:rsidRPr="00761EF3">
        <w:rPr>
          <w:rFonts w:hint="eastAsia"/>
          <w:spacing w:val="4"/>
          <w:szCs w:val="22"/>
        </w:rPr>
        <w:t>8</w:t>
      </w:r>
      <w:r w:rsidRPr="00212D57">
        <w:rPr>
          <w:rFonts w:hint="eastAsia"/>
          <w:spacing w:val="4"/>
          <w:szCs w:val="22"/>
        </w:rPr>
        <w:t>）：</w:t>
      </w:r>
    </w:p>
    <w:p w:rsidR="00157EF6" w:rsidRPr="00212D57" w:rsidRDefault="00157EF6" w:rsidP="002B682F">
      <w:pPr>
        <w:pStyle w:val="a5"/>
        <w:ind w:leftChars="305" w:left="732"/>
        <w:jc w:val="both"/>
        <w:rPr>
          <w:szCs w:val="22"/>
        </w:rPr>
      </w:pPr>
      <w:r w:rsidRPr="00212D57">
        <w:rPr>
          <w:rFonts w:ascii="標楷體" w:eastAsia="標楷體" w:hAnsi="標楷體" w:hint="eastAsia"/>
          <w:szCs w:val="22"/>
        </w:rPr>
        <w:t>寂此諸邊，故名曰「中」；問答析微，所以為「論」</w:t>
      </w:r>
      <w:r w:rsidR="00DF3562">
        <w:rPr>
          <w:rFonts w:ascii="標楷體" w:eastAsia="標楷體" w:hAnsi="標楷體" w:hint="eastAsia"/>
          <w:color w:val="FF0000"/>
          <w:kern w:val="0"/>
          <w:highlight w:val="yellow"/>
        </w:rPr>
        <w:t>。</w:t>
      </w:r>
      <w:r w:rsidRPr="00212D57">
        <w:rPr>
          <w:rFonts w:ascii="標楷體" w:eastAsia="標楷體" w:hAnsi="標楷體" w:hint="eastAsia"/>
          <w:szCs w:val="22"/>
        </w:rPr>
        <w:t>是作者之大意也。亦云</w:t>
      </w:r>
      <w:r w:rsidR="00DF3562">
        <w:rPr>
          <w:rFonts w:ascii="標楷體" w:eastAsia="標楷體" w:hAnsi="標楷體" w:hint="eastAsia"/>
          <w:bCs/>
          <w:color w:val="FF0000"/>
          <w:kern w:val="0"/>
          <w:highlight w:val="yellow"/>
        </w:rPr>
        <w:t>「</w:t>
      </w:r>
      <w:r w:rsidRPr="00212D57">
        <w:rPr>
          <w:rFonts w:ascii="標楷體" w:eastAsia="標楷體" w:hAnsi="標楷體" w:hint="eastAsia"/>
          <w:szCs w:val="22"/>
        </w:rPr>
        <w:t>中觀</w:t>
      </w:r>
      <w:r w:rsidR="00DF3562">
        <w:rPr>
          <w:rFonts w:ascii="標楷體" w:eastAsia="標楷體" w:hAnsi="標楷體" w:hint="eastAsia"/>
          <w:bCs/>
          <w:color w:val="FF0000"/>
          <w:kern w:val="0"/>
          <w:highlight w:val="yellow"/>
        </w:rPr>
        <w:t>」</w:t>
      </w:r>
      <w:r w:rsidRPr="00212D57">
        <w:rPr>
          <w:rFonts w:ascii="標楷體" w:eastAsia="標楷體" w:hAnsi="標楷體" w:hint="eastAsia"/>
          <w:szCs w:val="22"/>
        </w:rPr>
        <w:t>，直</w:t>
      </w:r>
      <w:r w:rsidRPr="00212D57">
        <w:rPr>
          <w:rFonts w:ascii="標楷體" w:eastAsia="標楷體" w:hAnsi="標楷體" w:hint="eastAsia"/>
          <w:b/>
          <w:szCs w:val="22"/>
        </w:rPr>
        <w:t>以</w:t>
      </w:r>
      <w:r w:rsidR="00DF3562">
        <w:rPr>
          <w:rFonts w:ascii="標楷體" w:eastAsia="標楷體" w:hAnsi="標楷體" w:hint="eastAsia"/>
          <w:bCs/>
          <w:color w:val="FF0000"/>
          <w:kern w:val="0"/>
          <w:highlight w:val="yellow"/>
        </w:rPr>
        <w:t>「</w:t>
      </w:r>
      <w:r w:rsidRPr="00212D57">
        <w:rPr>
          <w:rFonts w:ascii="標楷體" w:eastAsia="標楷體" w:hAnsi="標楷體" w:hint="eastAsia"/>
          <w:b/>
          <w:szCs w:val="22"/>
        </w:rPr>
        <w:t>觀</w:t>
      </w:r>
      <w:r w:rsidR="00DF3562">
        <w:rPr>
          <w:rFonts w:ascii="標楷體" w:eastAsia="標楷體" w:hAnsi="標楷體" w:hint="eastAsia"/>
          <w:bCs/>
          <w:color w:val="FF0000"/>
          <w:kern w:val="0"/>
          <w:highlight w:val="yellow"/>
        </w:rPr>
        <w:t>」</w:t>
      </w:r>
      <w:r w:rsidR="00DF3562">
        <w:rPr>
          <w:rFonts w:ascii="標楷體" w:eastAsia="標楷體" w:hAnsi="標楷體" w:hint="eastAsia"/>
          <w:b/>
          <w:szCs w:val="22"/>
        </w:rPr>
        <w:t>辯於心</w:t>
      </w:r>
      <w:r w:rsidR="00DF3562">
        <w:rPr>
          <w:rFonts w:ascii="標楷體" w:eastAsia="標楷體" w:hAnsi="標楷體" w:hint="eastAsia"/>
          <w:color w:val="FF0000"/>
          <w:spacing w:val="-4"/>
          <w:kern w:val="0"/>
          <w:highlight w:val="yellow"/>
        </w:rPr>
        <w:t>、</w:t>
      </w:r>
      <w:r w:rsidR="00DF3562">
        <w:rPr>
          <w:rFonts w:ascii="標楷體" w:eastAsia="標楷體" w:hAnsi="標楷體" w:hint="eastAsia"/>
          <w:bCs/>
          <w:color w:val="FF0000"/>
          <w:kern w:val="0"/>
          <w:highlight w:val="yellow"/>
        </w:rPr>
        <w:t>「</w:t>
      </w:r>
      <w:r w:rsidRPr="00212D57">
        <w:rPr>
          <w:rFonts w:ascii="標楷體" w:eastAsia="標楷體" w:hAnsi="標楷體" w:hint="eastAsia"/>
          <w:b/>
          <w:szCs w:val="22"/>
        </w:rPr>
        <w:t>論</w:t>
      </w:r>
      <w:r w:rsidR="00DF3562">
        <w:rPr>
          <w:rFonts w:ascii="標楷體" w:eastAsia="標楷體" w:hAnsi="標楷體" w:hint="eastAsia"/>
          <w:bCs/>
          <w:color w:val="FF0000"/>
          <w:kern w:val="0"/>
          <w:highlight w:val="yellow"/>
        </w:rPr>
        <w:t>」</w:t>
      </w:r>
      <w:r w:rsidRPr="00212D57">
        <w:rPr>
          <w:rFonts w:ascii="標楷體" w:eastAsia="標楷體" w:hAnsi="標楷體" w:hint="eastAsia"/>
          <w:b/>
          <w:szCs w:val="22"/>
        </w:rPr>
        <w:t>宣於口</w:t>
      </w:r>
      <w:r w:rsidR="00DF3562">
        <w:rPr>
          <w:rFonts w:ascii="標楷體" w:eastAsia="標楷體" w:hAnsi="標楷體" w:hint="eastAsia"/>
          <w:szCs w:val="22"/>
        </w:rPr>
        <w:t>耳</w:t>
      </w:r>
      <w:r w:rsidR="00DF3562" w:rsidRPr="00DF3562">
        <w:rPr>
          <w:rFonts w:ascii="標楷體" w:eastAsia="標楷體" w:hAnsi="標楷體" w:hint="eastAsia"/>
          <w:szCs w:val="22"/>
          <w:highlight w:val="yellow"/>
        </w:rPr>
        <w:t>。</w:t>
      </w:r>
    </w:p>
  </w:footnote>
  <w:footnote w:id="250">
    <w:p w:rsidR="00157EF6" w:rsidRPr="00212D57" w:rsidRDefault="00157EF6" w:rsidP="002B682F">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rFonts w:hint="eastAsia"/>
          <w:szCs w:val="22"/>
        </w:rPr>
        <w:t>印順法師，《以佛法研究佛法》，</w:t>
      </w:r>
      <w:r w:rsidRPr="00761EF3">
        <w:rPr>
          <w:rFonts w:hint="eastAsia"/>
          <w:szCs w:val="22"/>
        </w:rPr>
        <w:t>pp</w:t>
      </w:r>
      <w:r w:rsidRPr="00212D57">
        <w:rPr>
          <w:rFonts w:hint="eastAsia"/>
          <w:szCs w:val="22"/>
        </w:rPr>
        <w:t>.</w:t>
      </w:r>
      <w:r w:rsidRPr="00761EF3">
        <w:rPr>
          <w:rFonts w:hint="eastAsia"/>
          <w:szCs w:val="22"/>
        </w:rPr>
        <w:t>110</w:t>
      </w:r>
      <w:r w:rsidRPr="00212D57">
        <w:rPr>
          <w:rFonts w:hint="eastAsia"/>
          <w:szCs w:val="22"/>
        </w:rPr>
        <w:t>-</w:t>
      </w:r>
      <w:r w:rsidRPr="00761EF3">
        <w:rPr>
          <w:rFonts w:hint="eastAsia"/>
          <w:szCs w:val="22"/>
        </w:rPr>
        <w:t>111</w:t>
      </w:r>
      <w:r w:rsidRPr="00212D57">
        <w:rPr>
          <w:rFonts w:hint="eastAsia"/>
          <w:szCs w:val="22"/>
        </w:rPr>
        <w:t>：</w:t>
      </w:r>
    </w:p>
    <w:p w:rsidR="00157EF6" w:rsidRPr="00212D57" w:rsidRDefault="00157EF6" w:rsidP="002B682F">
      <w:pPr>
        <w:pStyle w:val="a5"/>
        <w:ind w:leftChars="75" w:left="180"/>
        <w:jc w:val="both"/>
        <w:rPr>
          <w:rFonts w:eastAsia="標楷體"/>
          <w:szCs w:val="22"/>
        </w:rPr>
      </w:pPr>
      <w:r w:rsidRPr="00212D57">
        <w:rPr>
          <w:rFonts w:eastAsia="標楷體"/>
          <w:b/>
          <w:szCs w:val="22"/>
        </w:rPr>
        <w:t>法住、法界等，是從種種方面，來形容表示緣起</w:t>
      </w:r>
      <w:r w:rsidRPr="00212D57">
        <w:rPr>
          <w:rFonts w:ascii="新細明體" w:hAnsi="新細明體"/>
          <w:b/>
          <w:szCs w:val="22"/>
        </w:rPr>
        <w:t>──</w:t>
      </w:r>
      <w:r w:rsidRPr="00212D57">
        <w:rPr>
          <w:rFonts w:eastAsia="標楷體"/>
          <w:b/>
          <w:szCs w:val="22"/>
        </w:rPr>
        <w:t>法的意義</w:t>
      </w:r>
      <w:r w:rsidRPr="00212D57">
        <w:rPr>
          <w:rFonts w:eastAsia="標楷體"/>
          <w:szCs w:val="22"/>
        </w:rPr>
        <w:t>。《雜阿含經》（卷</w:t>
      </w:r>
      <w:r w:rsidR="001C14E0" w:rsidRPr="001C14E0">
        <w:rPr>
          <w:rFonts w:eastAsia="標楷體" w:hint="eastAsia"/>
          <w:szCs w:val="22"/>
        </w:rPr>
        <w:t>30</w:t>
      </w:r>
      <w:r w:rsidRPr="00212D57">
        <w:rPr>
          <w:rFonts w:eastAsia="標楷體"/>
          <w:szCs w:val="22"/>
        </w:rPr>
        <w:t>）說：「此法（緣起）常住、法住、法界。」玄奘在《瑜伽師地論》中，譯作「法性、法住、法界常住」。什麼叫</w:t>
      </w:r>
      <w:r w:rsidRPr="00212D57">
        <w:rPr>
          <w:rFonts w:eastAsia="標楷體"/>
          <w:b/>
          <w:szCs w:val="22"/>
        </w:rPr>
        <w:t>「法性」</w:t>
      </w:r>
      <w:r w:rsidRPr="00212D57">
        <w:rPr>
          <w:rFonts w:eastAsia="標楷體" w:hint="eastAsia"/>
          <w:b/>
          <w:szCs w:val="22"/>
        </w:rPr>
        <w:t>（</w:t>
      </w:r>
      <w:r w:rsidRPr="00761EF3">
        <w:rPr>
          <w:rFonts w:eastAsia="標楷體"/>
          <w:b/>
          <w:szCs w:val="22"/>
        </w:rPr>
        <w:t>dharmat</w:t>
      </w:r>
      <w:r w:rsidRPr="00761EF3">
        <w:rPr>
          <w:rFonts w:eastAsia="MS Mincho"/>
          <w:b/>
          <w:szCs w:val="22"/>
        </w:rPr>
        <w:t>ā</w:t>
      </w:r>
      <w:r w:rsidRPr="00212D57">
        <w:rPr>
          <w:rFonts w:hint="eastAsia"/>
          <w:b/>
          <w:szCs w:val="22"/>
        </w:rPr>
        <w:t>）</w:t>
      </w:r>
      <w:r w:rsidRPr="00212D57">
        <w:rPr>
          <w:rFonts w:eastAsia="標楷體"/>
          <w:szCs w:val="22"/>
        </w:rPr>
        <w:t>？</w:t>
      </w:r>
    </w:p>
    <w:p w:rsidR="00157EF6" w:rsidRPr="00212D57" w:rsidRDefault="00157EF6" w:rsidP="002B682F">
      <w:pPr>
        <w:pStyle w:val="a5"/>
        <w:ind w:leftChars="75" w:left="180"/>
        <w:jc w:val="both"/>
        <w:rPr>
          <w:rFonts w:eastAsia="標楷體"/>
          <w:szCs w:val="22"/>
        </w:rPr>
      </w:pPr>
      <w:r w:rsidRPr="00212D57">
        <w:rPr>
          <w:rFonts w:eastAsia="標楷體"/>
          <w:szCs w:val="22"/>
        </w:rPr>
        <w:t>如《增支部》</w:t>
      </w:r>
      <w:r w:rsidRPr="00A27095">
        <w:rPr>
          <w:rFonts w:eastAsia="標楷體"/>
          <w:szCs w:val="22"/>
        </w:rPr>
        <w:t>（</w:t>
      </w:r>
      <w:r w:rsidR="00711293" w:rsidRPr="00A27095">
        <w:rPr>
          <w:rFonts w:eastAsia="標楷體" w:hint="eastAsia"/>
          <w:szCs w:val="22"/>
        </w:rPr>
        <w:t>10</w:t>
      </w:r>
      <w:r w:rsidRPr="00A27095">
        <w:rPr>
          <w:rFonts w:eastAsia="標楷體" w:hint="eastAsia"/>
          <w:szCs w:val="22"/>
        </w:rPr>
        <w:t>‧</w:t>
      </w:r>
      <w:r w:rsidR="00711293" w:rsidRPr="00A27095">
        <w:rPr>
          <w:rFonts w:eastAsia="標楷體" w:hint="eastAsia"/>
          <w:szCs w:val="22"/>
        </w:rPr>
        <w:t>2</w:t>
      </w:r>
      <w:r w:rsidRPr="00212D57">
        <w:rPr>
          <w:rFonts w:eastAsia="標楷體"/>
          <w:szCs w:val="22"/>
        </w:rPr>
        <w:t>）說：「凡持戒具戒者，不應思我起無憂，於持戒具戒者而無憂生，是為法性。</w:t>
      </w:r>
      <w:r w:rsidRPr="00212D57">
        <w:rPr>
          <w:rFonts w:ascii="新細明體" w:hAnsi="新細明體"/>
          <w:szCs w:val="22"/>
        </w:rPr>
        <w:t>……</w:t>
      </w:r>
      <w:r w:rsidRPr="00212D57">
        <w:rPr>
          <w:rFonts w:eastAsia="標楷體"/>
          <w:szCs w:val="22"/>
        </w:rPr>
        <w:t>厭離者不應思我現證解脫知見，於厭離者而現證解脫知見，是為法性。」《中阿含經》（卷</w:t>
      </w:r>
      <w:r w:rsidR="001C14E0" w:rsidRPr="001C14E0">
        <w:rPr>
          <w:rFonts w:eastAsia="標楷體" w:hint="eastAsia"/>
          <w:szCs w:val="22"/>
        </w:rPr>
        <w:t>10</w:t>
      </w:r>
      <w:r w:rsidRPr="00212D57">
        <w:rPr>
          <w:rFonts w:eastAsia="標楷體"/>
          <w:szCs w:val="22"/>
        </w:rPr>
        <w:t>）譯</w:t>
      </w:r>
      <w:r w:rsidRPr="00212D57">
        <w:rPr>
          <w:rFonts w:eastAsia="標楷體"/>
          <w:b/>
          <w:szCs w:val="22"/>
        </w:rPr>
        <w:t>法性</w:t>
      </w:r>
      <w:r w:rsidRPr="00212D57">
        <w:rPr>
          <w:rFonts w:eastAsia="標楷體"/>
          <w:szCs w:val="22"/>
        </w:rPr>
        <w:t>為</w:t>
      </w:r>
      <w:r w:rsidRPr="00212D57">
        <w:rPr>
          <w:rFonts w:eastAsia="標楷體"/>
          <w:b/>
          <w:szCs w:val="22"/>
        </w:rPr>
        <w:t>「法自然」</w:t>
      </w:r>
      <w:r w:rsidRPr="00212D57">
        <w:rPr>
          <w:rFonts w:eastAsia="標楷體"/>
          <w:szCs w:val="22"/>
        </w:rPr>
        <w:t>。這是說</w:t>
      </w:r>
      <w:r w:rsidRPr="00212D57">
        <w:rPr>
          <w:rFonts w:eastAsia="標楷體"/>
          <w:b/>
          <w:szCs w:val="22"/>
        </w:rPr>
        <w:t>修道</w:t>
      </w:r>
      <w:r w:rsidRPr="00212D57">
        <w:rPr>
          <w:rFonts w:ascii="新細明體" w:hAnsi="新細明體"/>
          <w:b/>
          <w:szCs w:val="22"/>
        </w:rPr>
        <w:t>──</w:t>
      </w:r>
      <w:r w:rsidRPr="00212D57">
        <w:rPr>
          <w:rFonts w:eastAsia="標楷體"/>
          <w:b/>
          <w:szCs w:val="22"/>
        </w:rPr>
        <w:t>持戒、得定、如實知見，這些道法，如能修習，會自然的引生一定的效果</w:t>
      </w:r>
      <w:r w:rsidRPr="00212D57">
        <w:rPr>
          <w:rFonts w:eastAsia="標楷體"/>
          <w:szCs w:val="22"/>
        </w:rPr>
        <w:t>。</w:t>
      </w:r>
    </w:p>
    <w:p w:rsidR="00157EF6" w:rsidRPr="00212D57" w:rsidRDefault="00157EF6" w:rsidP="002B682F">
      <w:pPr>
        <w:pStyle w:val="a5"/>
        <w:ind w:leftChars="75" w:left="180"/>
        <w:jc w:val="both"/>
        <w:rPr>
          <w:rFonts w:eastAsia="標楷體"/>
          <w:szCs w:val="22"/>
        </w:rPr>
      </w:pPr>
      <w:r w:rsidRPr="00212D57">
        <w:rPr>
          <w:rFonts w:eastAsia="標楷體"/>
          <w:b/>
          <w:szCs w:val="22"/>
        </w:rPr>
        <w:t>法是這樣自然而然的，「性自爾故」，所以叫法性</w:t>
      </w:r>
      <w:r w:rsidRPr="00212D57">
        <w:rPr>
          <w:rFonts w:eastAsia="標楷體"/>
          <w:szCs w:val="22"/>
        </w:rPr>
        <w:t>。又如《雜阿含經》（卷</w:t>
      </w:r>
      <w:r w:rsidR="001C14E0" w:rsidRPr="001C14E0">
        <w:rPr>
          <w:rFonts w:eastAsia="標楷體" w:hint="eastAsia"/>
          <w:szCs w:val="22"/>
        </w:rPr>
        <w:t>44</w:t>
      </w:r>
      <w:r w:rsidRPr="00212D57">
        <w:rPr>
          <w:rFonts w:eastAsia="標楷體"/>
          <w:szCs w:val="22"/>
        </w:rPr>
        <w:t>）說：「過去等正覺，及未來諸佛，現在佛世尊，能除眾生憂。一切（佛）恭敬法，依正法而住；如是恭敬者，是則諸佛法。」</w:t>
      </w:r>
    </w:p>
    <w:p w:rsidR="00157EF6" w:rsidRPr="00212D57" w:rsidRDefault="00157EF6" w:rsidP="002B682F">
      <w:pPr>
        <w:pStyle w:val="a5"/>
        <w:ind w:leftChars="75" w:left="180"/>
        <w:jc w:val="both"/>
        <w:rPr>
          <w:rFonts w:eastAsia="標楷體"/>
          <w:szCs w:val="22"/>
        </w:rPr>
      </w:pPr>
      <w:r w:rsidRPr="00212D57">
        <w:rPr>
          <w:rFonts w:eastAsia="標楷體"/>
          <w:szCs w:val="22"/>
        </w:rPr>
        <w:t>「是則諸佛法」，據巴利藏，應作「是諸佛之法性」。意思說，諸佛於法是自然的、當然會這樣的</w:t>
      </w:r>
      <w:r w:rsidRPr="00212D57">
        <w:rPr>
          <w:rFonts w:ascii="新細明體" w:hAnsi="新細明體"/>
          <w:szCs w:val="22"/>
        </w:rPr>
        <w:t>──</w:t>
      </w:r>
      <w:r w:rsidRPr="00212D57">
        <w:rPr>
          <w:rFonts w:eastAsia="標楷體"/>
          <w:szCs w:val="22"/>
        </w:rPr>
        <w:t>依正法而住的。依法而住與恭敬法，就是以法為師的意思。「法性」本形容法的自然性，但一般解說為法的體性、實性，法與法性被對立起來，而法的本義也漸被忽略了。這些形容法的詞類，都應該這樣的去解說。如法（緣起）是</w:t>
      </w:r>
      <w:r w:rsidRPr="00212D57">
        <w:rPr>
          <w:rFonts w:eastAsia="標楷體"/>
          <w:b/>
          <w:szCs w:val="22"/>
        </w:rPr>
        <w:t>安住</w:t>
      </w:r>
      <w:r w:rsidRPr="00212D57">
        <w:rPr>
          <w:rFonts w:eastAsia="標楷體"/>
          <w:szCs w:val="22"/>
        </w:rPr>
        <w:t>的，</w:t>
      </w:r>
      <w:r w:rsidRPr="00212D57">
        <w:rPr>
          <w:rFonts w:eastAsia="標楷體"/>
          <w:b/>
          <w:szCs w:val="22"/>
        </w:rPr>
        <w:t>確立而不改</w:t>
      </w:r>
      <w:r w:rsidRPr="00212D57">
        <w:rPr>
          <w:rFonts w:eastAsia="標楷體"/>
          <w:szCs w:val="22"/>
        </w:rPr>
        <w:t>的，所以叫「</w:t>
      </w:r>
      <w:r w:rsidRPr="00212D57">
        <w:rPr>
          <w:rFonts w:eastAsia="標楷體"/>
          <w:b/>
          <w:szCs w:val="22"/>
        </w:rPr>
        <w:t>法住</w:t>
      </w:r>
      <w:r w:rsidRPr="00212D57">
        <w:rPr>
          <w:rFonts w:eastAsia="標楷體"/>
          <w:szCs w:val="22"/>
        </w:rPr>
        <w:t>」。法是</w:t>
      </w:r>
      <w:r w:rsidRPr="00212D57">
        <w:rPr>
          <w:rFonts w:eastAsia="標楷體"/>
          <w:b/>
          <w:szCs w:val="22"/>
        </w:rPr>
        <w:t>普遍的、常住的</w:t>
      </w:r>
      <w:r w:rsidRPr="00212D57">
        <w:rPr>
          <w:rFonts w:eastAsia="標楷體"/>
          <w:szCs w:val="22"/>
        </w:rPr>
        <w:t>，所以叫「</w:t>
      </w:r>
      <w:r w:rsidRPr="00212D57">
        <w:rPr>
          <w:rFonts w:eastAsia="標楷體"/>
          <w:b/>
          <w:szCs w:val="22"/>
        </w:rPr>
        <w:t>法界</w:t>
      </w:r>
      <w:r w:rsidRPr="00212D57">
        <w:rPr>
          <w:rFonts w:eastAsia="標楷體"/>
          <w:szCs w:val="22"/>
        </w:rPr>
        <w:t>常住」。</w:t>
      </w:r>
    </w:p>
  </w:footnote>
  <w:footnote w:id="251">
    <w:p w:rsidR="00157EF6" w:rsidRPr="00212D57" w:rsidRDefault="00157EF6" w:rsidP="002B682F">
      <w:pPr>
        <w:pStyle w:val="a5"/>
        <w:ind w:left="187" w:hangingChars="85" w:hanging="187"/>
        <w:jc w:val="both"/>
        <w:rPr>
          <w:szCs w:val="22"/>
        </w:rPr>
      </w:pPr>
      <w:r w:rsidRPr="00212D57">
        <w:rPr>
          <w:rStyle w:val="a6"/>
          <w:szCs w:val="22"/>
        </w:rPr>
        <w:footnoteRef/>
      </w:r>
      <w:r w:rsidRPr="00212D57">
        <w:rPr>
          <w:szCs w:val="22"/>
        </w:rPr>
        <w:t xml:space="preserve"> </w:t>
      </w:r>
      <w:r w:rsidRPr="00212D57">
        <w:rPr>
          <w:rFonts w:hint="eastAsia"/>
          <w:szCs w:val="22"/>
        </w:rPr>
        <w:t>參見</w:t>
      </w:r>
      <w:r w:rsidR="001C14E0">
        <w:rPr>
          <w:rFonts w:hint="eastAsia"/>
          <w:szCs w:val="22"/>
        </w:rPr>
        <w:t>：</w:t>
      </w:r>
      <w:r w:rsidRPr="00212D57">
        <w:rPr>
          <w:rFonts w:hint="eastAsia"/>
          <w:szCs w:val="22"/>
        </w:rPr>
        <w:t>印順法師，《以佛法研究佛法》，</w:t>
      </w:r>
      <w:r w:rsidRPr="00761EF3">
        <w:rPr>
          <w:rFonts w:hint="eastAsia"/>
          <w:szCs w:val="22"/>
        </w:rPr>
        <w:t>pp</w:t>
      </w:r>
      <w:r w:rsidRPr="00212D57">
        <w:rPr>
          <w:rFonts w:hint="eastAsia"/>
          <w:szCs w:val="22"/>
        </w:rPr>
        <w:t>.</w:t>
      </w:r>
      <w:r w:rsidRPr="00761EF3">
        <w:rPr>
          <w:rFonts w:hint="eastAsia"/>
          <w:szCs w:val="22"/>
        </w:rPr>
        <w:t>1</w:t>
      </w:r>
      <w:r w:rsidRPr="00212D57">
        <w:rPr>
          <w:rFonts w:hint="eastAsia"/>
          <w:szCs w:val="22"/>
        </w:rPr>
        <w:t>-</w:t>
      </w:r>
      <w:r w:rsidRPr="00761EF3">
        <w:rPr>
          <w:rFonts w:hint="eastAsia"/>
          <w:szCs w:val="22"/>
        </w:rPr>
        <w:t>2</w:t>
      </w:r>
      <w:r w:rsidRPr="00212D57">
        <w:rPr>
          <w:rFonts w:hint="eastAsia"/>
          <w:szCs w:val="22"/>
        </w:rPr>
        <w:t>：</w:t>
      </w:r>
    </w:p>
    <w:p w:rsidR="00157EF6" w:rsidRPr="00212D57" w:rsidRDefault="00157EF6" w:rsidP="002B682F">
      <w:pPr>
        <w:pStyle w:val="a5"/>
        <w:ind w:leftChars="75" w:left="180"/>
        <w:jc w:val="both"/>
        <w:rPr>
          <w:rFonts w:ascii="標楷體" w:eastAsia="標楷體" w:hAnsi="標楷體"/>
          <w:szCs w:val="22"/>
        </w:rPr>
      </w:pPr>
      <w:r w:rsidRPr="00212D57">
        <w:rPr>
          <w:rFonts w:ascii="標楷體" w:eastAsia="標楷體" w:hAnsi="標楷體" w:hint="eastAsia"/>
          <w:szCs w:val="22"/>
        </w:rPr>
        <w:t>我，也是自以為「以佛法來研究佛法」的。我以為</w:t>
      </w:r>
      <w:r w:rsidRPr="00212D57">
        <w:rPr>
          <w:rFonts w:ascii="標楷體" w:eastAsia="標楷體" w:hAnsi="標楷體" w:hint="eastAsia"/>
          <w:b/>
          <w:szCs w:val="22"/>
        </w:rPr>
        <w:t>所研究的佛法</w:t>
      </w:r>
      <w:r w:rsidRPr="00212D57">
        <w:rPr>
          <w:rFonts w:ascii="標楷體" w:eastAsia="標楷體" w:hAnsi="標楷體" w:hint="eastAsia"/>
          <w:szCs w:val="22"/>
        </w:rPr>
        <w:t>，不但是空有</w:t>
      </w:r>
      <w:r w:rsidR="00711293" w:rsidRPr="003B7900">
        <w:rPr>
          <w:rFonts w:ascii="標楷體" w:eastAsia="標楷體" w:hAnsi="標楷體" w:hint="eastAsia"/>
          <w:color w:val="FF0000"/>
          <w:szCs w:val="22"/>
          <w:shd w:val="pct15" w:color="auto" w:fill="FFFFFF"/>
        </w:rPr>
        <w:t>、</w:t>
      </w:r>
      <w:r w:rsidRPr="00212D57">
        <w:rPr>
          <w:rFonts w:ascii="標楷體" w:eastAsia="標楷體" w:hAnsi="標楷體" w:hint="eastAsia"/>
          <w:szCs w:val="22"/>
        </w:rPr>
        <w:t>理事</w:t>
      </w:r>
      <w:r w:rsidR="00711293" w:rsidRPr="003B7900">
        <w:rPr>
          <w:rFonts w:ascii="標楷體" w:eastAsia="標楷體" w:hAnsi="標楷體" w:hint="eastAsia"/>
          <w:color w:val="FF0000"/>
          <w:szCs w:val="22"/>
          <w:shd w:val="pct15" w:color="auto" w:fill="FFFFFF"/>
        </w:rPr>
        <w:t>、</w:t>
      </w:r>
      <w:r w:rsidRPr="00212D57">
        <w:rPr>
          <w:rFonts w:ascii="標楷體" w:eastAsia="標楷體" w:hAnsi="標楷體" w:hint="eastAsia"/>
          <w:szCs w:val="22"/>
        </w:rPr>
        <w:t>心性，應該是佛教所有的一切──教，理，行，果。教，是一切經律論；也可包含得佛教的藝術品，六塵都是教體，這都有表詮佛法的功能。理，是一切義理，究竟深義。行，是個人的修行方法；大眾的和合軌律。果，是聲聞、緣覺與佛陀的聖果。</w:t>
      </w:r>
    </w:p>
    <w:p w:rsidR="00157EF6" w:rsidRPr="00212D57" w:rsidRDefault="00157EF6" w:rsidP="002B682F">
      <w:pPr>
        <w:pStyle w:val="a5"/>
        <w:ind w:leftChars="75" w:left="180"/>
        <w:jc w:val="both"/>
        <w:rPr>
          <w:rFonts w:ascii="標楷體" w:eastAsia="標楷體" w:hAnsi="標楷體"/>
          <w:szCs w:val="22"/>
        </w:rPr>
      </w:pPr>
      <w:r w:rsidRPr="00212D57">
        <w:rPr>
          <w:rFonts w:ascii="標楷體" w:eastAsia="標楷體" w:hAnsi="標楷體" w:hint="eastAsia"/>
          <w:szCs w:val="22"/>
        </w:rPr>
        <w:t>這一切佛法，要以什麼去研究，才算以佛法研究佛法？</w:t>
      </w:r>
    </w:p>
    <w:p w:rsidR="00157EF6" w:rsidRPr="00212D57" w:rsidRDefault="00157EF6" w:rsidP="002B682F">
      <w:pPr>
        <w:pStyle w:val="a5"/>
        <w:ind w:leftChars="75" w:left="180"/>
        <w:jc w:val="both"/>
        <w:rPr>
          <w:rFonts w:ascii="標楷體" w:eastAsia="標楷體" w:hAnsi="標楷體"/>
          <w:szCs w:val="22"/>
        </w:rPr>
      </w:pPr>
      <w:r w:rsidRPr="00212D57">
        <w:rPr>
          <w:rFonts w:ascii="標楷體" w:eastAsia="標楷體" w:hAnsi="標楷體" w:hint="eastAsia"/>
          <w:szCs w:val="22"/>
        </w:rPr>
        <w:t>我以為：</w:t>
      </w:r>
    </w:p>
    <w:p w:rsidR="00157EF6" w:rsidRPr="00212D57" w:rsidRDefault="00157EF6" w:rsidP="002B682F">
      <w:pPr>
        <w:pStyle w:val="a5"/>
        <w:ind w:leftChars="75" w:left="180"/>
        <w:jc w:val="both"/>
        <w:rPr>
          <w:rFonts w:ascii="標楷體" w:eastAsia="標楷體" w:hAnsi="標楷體"/>
          <w:b/>
          <w:szCs w:val="22"/>
        </w:rPr>
      </w:pPr>
      <w:r w:rsidRPr="00212D57">
        <w:rPr>
          <w:rFonts w:ascii="標楷體" w:eastAsia="標楷體" w:hAnsi="標楷體" w:hint="eastAsia"/>
          <w:b/>
          <w:szCs w:val="22"/>
        </w:rPr>
        <w:t>所研究的佛法，是佛教的一切內容；</w:t>
      </w:r>
    </w:p>
    <w:p w:rsidR="00157EF6" w:rsidRPr="00212D57" w:rsidRDefault="00157EF6" w:rsidP="002B682F">
      <w:pPr>
        <w:pStyle w:val="a5"/>
        <w:ind w:leftChars="75" w:left="180"/>
        <w:jc w:val="both"/>
        <w:rPr>
          <w:rFonts w:ascii="標楷體" w:eastAsia="標楷體" w:hAnsi="標楷體"/>
          <w:szCs w:val="22"/>
        </w:rPr>
      </w:pPr>
      <w:r w:rsidRPr="00212D57">
        <w:rPr>
          <w:rFonts w:ascii="標楷體" w:eastAsia="標楷體" w:hAnsi="標楷體" w:hint="eastAsia"/>
          <w:szCs w:val="22"/>
        </w:rPr>
        <w:t>作為</w:t>
      </w:r>
      <w:r w:rsidRPr="00212D57">
        <w:rPr>
          <w:rFonts w:ascii="標楷體" w:eastAsia="標楷體" w:hAnsi="標楷體" w:hint="eastAsia"/>
          <w:b/>
          <w:szCs w:val="22"/>
        </w:rPr>
        <w:t>能研究的方法的佛法，是佛法的根本法則，普遍法則──也可說最高法則</w:t>
      </w:r>
      <w:r w:rsidRPr="00212D57">
        <w:rPr>
          <w:rFonts w:ascii="標楷體" w:eastAsia="標楷體" w:hAnsi="標楷體" w:hint="eastAsia"/>
          <w:szCs w:val="22"/>
        </w:rPr>
        <w:t>。佛所說的「法性，法住，法界」，就是有本然性，安定性，普遍性的正法。這是遍一切處，遍一切時，遍一切法的正法。大而器界，小而微塵，內而身心，一切的一切，都契合於正法，不出於正法，所以說「無有一法出法性外」；「一切法皆如也」。這是一切的根本法，普遍法，如依據他，應用他來研究一切佛法，這才是以佛法來研究佛法。研究的方法，研究的成果，才不會是變了質的，違反佛法的佛法。</w:t>
      </w:r>
    </w:p>
  </w:footnote>
  <w:footnote w:id="252">
    <w:p w:rsidR="00157EF6" w:rsidRPr="00212D57" w:rsidRDefault="00157EF6" w:rsidP="009E0A5A">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rFonts w:hint="eastAsia"/>
          <w:szCs w:val="22"/>
        </w:rPr>
        <w:t>印順法師，《印度佛教思想史》，</w:t>
      </w:r>
      <w:r w:rsidRPr="00761EF3">
        <w:rPr>
          <w:rFonts w:hint="eastAsia"/>
          <w:szCs w:val="22"/>
        </w:rPr>
        <w:t>p</w:t>
      </w:r>
      <w:r w:rsidRPr="00212D57">
        <w:rPr>
          <w:rFonts w:hint="eastAsia"/>
          <w:szCs w:val="22"/>
        </w:rPr>
        <w:t>.</w:t>
      </w:r>
      <w:r w:rsidRPr="00761EF3">
        <w:rPr>
          <w:rFonts w:hint="eastAsia"/>
          <w:szCs w:val="22"/>
        </w:rPr>
        <w:t>350</w:t>
      </w:r>
      <w:r w:rsidRPr="00212D57">
        <w:rPr>
          <w:rFonts w:hint="eastAsia"/>
          <w:szCs w:val="22"/>
        </w:rPr>
        <w:t>：</w:t>
      </w:r>
    </w:p>
    <w:p w:rsidR="00157EF6" w:rsidRPr="00212D57" w:rsidRDefault="00157EF6" w:rsidP="002B682F">
      <w:pPr>
        <w:pStyle w:val="a5"/>
        <w:ind w:leftChars="75" w:left="180"/>
        <w:jc w:val="both"/>
        <w:rPr>
          <w:rFonts w:ascii="標楷體" w:eastAsia="標楷體" w:hAnsi="標楷體"/>
          <w:szCs w:val="22"/>
        </w:rPr>
      </w:pPr>
      <w:r w:rsidRPr="00212D57">
        <w:rPr>
          <w:rFonts w:hint="eastAsia"/>
          <w:szCs w:val="22"/>
        </w:rPr>
        <w:t>「</w:t>
      </w:r>
      <w:r w:rsidRPr="00212D57">
        <w:rPr>
          <w:rFonts w:ascii="標楷體" w:eastAsia="標楷體" w:hAnsi="標楷體" w:hint="eastAsia"/>
          <w:szCs w:val="22"/>
        </w:rPr>
        <w:t>正理」，本是真理的意義，其後演化為思惟論究真理的方法。大抵由於種種沙門團興起，印度傳統的婆羅門教徒，迫得發展辯論術。其中特重思辨以求真理得解脫的，形成尼夜耶派，有《正理經》</w:t>
      </w:r>
      <w:r w:rsidRPr="00212D57">
        <w:rPr>
          <w:rFonts w:eastAsia="標楷體" w:hint="eastAsia"/>
          <w:szCs w:val="22"/>
        </w:rPr>
        <w:t>;</w:t>
      </w:r>
      <w:r w:rsidRPr="00212D57">
        <w:rPr>
          <w:rFonts w:ascii="標楷體" w:eastAsia="標楷體" w:hAnsi="標楷體" w:hint="eastAsia"/>
          <w:szCs w:val="22"/>
        </w:rPr>
        <w:t>勝論也以究理著名；數論，彌曼薩等，婆羅門教分流出的教派，都多少有論理的學風，西元一世紀起，漸漸的流行起來。</w:t>
      </w:r>
    </w:p>
  </w:footnote>
  <w:footnote w:id="253">
    <w:p w:rsidR="0050649B" w:rsidRPr="00212D57" w:rsidRDefault="0050649B" w:rsidP="0050649B">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）邏格思：又稱「邏各斯」。</w:t>
      </w:r>
    </w:p>
    <w:p w:rsidR="0050649B" w:rsidRPr="00212D57" w:rsidRDefault="0050649B" w:rsidP="0050649B">
      <w:pPr>
        <w:pStyle w:val="a5"/>
        <w:ind w:leftChars="80" w:left="73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w:t>
      </w:r>
      <w:r w:rsidRPr="00212D57">
        <w:rPr>
          <w:rFonts w:eastAsia="標楷體"/>
          <w:szCs w:val="22"/>
        </w:rPr>
        <w:t>邏各斯（</w:t>
      </w:r>
      <w:r w:rsidRPr="00761EF3">
        <w:rPr>
          <w:rFonts w:eastAsia="標楷體"/>
          <w:szCs w:val="22"/>
        </w:rPr>
        <w:t>logos</w:t>
      </w:r>
      <w:r w:rsidRPr="00212D57">
        <w:rPr>
          <w:rFonts w:eastAsia="標楷體"/>
          <w:szCs w:val="22"/>
        </w:rPr>
        <w:t>）：歐洲古代和中世紀常用的哲學概念。一般指世界的可理解的規律，因而也有語言或</w:t>
      </w:r>
      <w:r w:rsidRPr="00212D57">
        <w:rPr>
          <w:rFonts w:eastAsia="標楷體"/>
          <w:szCs w:val="22"/>
        </w:rPr>
        <w:t>“</w:t>
      </w:r>
      <w:r w:rsidRPr="00212D57">
        <w:rPr>
          <w:rFonts w:eastAsia="標楷體"/>
          <w:szCs w:val="22"/>
        </w:rPr>
        <w:t>理性</w:t>
      </w:r>
      <w:r w:rsidRPr="00212D57">
        <w:rPr>
          <w:rFonts w:eastAsia="標楷體"/>
          <w:szCs w:val="22"/>
        </w:rPr>
        <w:t>”</w:t>
      </w:r>
      <w:r w:rsidRPr="00212D57">
        <w:rPr>
          <w:rFonts w:eastAsia="標楷體"/>
          <w:szCs w:val="22"/>
        </w:rPr>
        <w:t>的意義。希臘文這個詞本來有多方面的含義，如語言、說明、比例、尺度等。赫拉克利特最早將這個概念引入哲學，在他的著作殘篇中，這個詞也具有上述多種含義，但他主要是用來說明萬物的生滅變化具有一定的尺度，雖然它變幻無常，但人們能夠把握它。在這個意義上，邏各斯是西方哲學史上最早提出的關於規律性的哲學（範疇）。亞里士多德用這個詞表示事物的定義或公式，具有事物本質的意思。西方各門科學如</w:t>
      </w:r>
      <w:r w:rsidRPr="00212D57">
        <w:rPr>
          <w:rFonts w:eastAsia="標楷體"/>
          <w:szCs w:val="22"/>
        </w:rPr>
        <w:t>“</w:t>
      </w:r>
      <w:r w:rsidRPr="00212D57">
        <w:rPr>
          <w:rFonts w:eastAsia="標楷體"/>
          <w:szCs w:val="22"/>
        </w:rPr>
        <w:t>生物學</w:t>
      </w:r>
      <w:r w:rsidRPr="00212D57">
        <w:rPr>
          <w:rFonts w:eastAsia="標楷體"/>
          <w:szCs w:val="22"/>
        </w:rPr>
        <w:t>”</w:t>
      </w:r>
      <w:r w:rsidRPr="00212D57">
        <w:rPr>
          <w:rFonts w:eastAsia="標楷體"/>
          <w:szCs w:val="22"/>
        </w:rPr>
        <w:t>、</w:t>
      </w:r>
      <w:r w:rsidRPr="00212D57">
        <w:rPr>
          <w:rFonts w:eastAsia="標楷體"/>
          <w:szCs w:val="22"/>
        </w:rPr>
        <w:t>“</w:t>
      </w:r>
      <w:r w:rsidRPr="00212D57">
        <w:rPr>
          <w:rFonts w:eastAsia="標楷體"/>
          <w:szCs w:val="22"/>
        </w:rPr>
        <w:t>地質學</w:t>
      </w:r>
      <w:r w:rsidRPr="00212D57">
        <w:rPr>
          <w:rFonts w:eastAsia="標楷體"/>
          <w:szCs w:val="22"/>
        </w:rPr>
        <w:t>”</w:t>
      </w:r>
      <w:r w:rsidRPr="00212D57">
        <w:rPr>
          <w:rFonts w:eastAsia="標楷體"/>
          <w:szCs w:val="22"/>
        </w:rPr>
        <w:t>中詞尾的</w:t>
      </w:r>
      <w:r w:rsidRPr="00212D57">
        <w:rPr>
          <w:rFonts w:eastAsia="標楷體"/>
          <w:szCs w:val="22"/>
        </w:rPr>
        <w:t>“</w:t>
      </w:r>
      <w:r w:rsidRPr="00212D57">
        <w:rPr>
          <w:rFonts w:eastAsia="標楷體"/>
          <w:szCs w:val="22"/>
        </w:rPr>
        <w:t>學</w:t>
      </w:r>
      <w:r w:rsidRPr="00212D57">
        <w:rPr>
          <w:rFonts w:eastAsia="標楷體"/>
          <w:szCs w:val="22"/>
        </w:rPr>
        <w:t>”</w:t>
      </w:r>
      <w:r w:rsidRPr="00212D57">
        <w:rPr>
          <w:rFonts w:eastAsia="標楷體"/>
          <w:szCs w:val="22"/>
        </w:rPr>
        <w:t>字（</w:t>
      </w:r>
      <w:r w:rsidRPr="00212D57">
        <w:rPr>
          <w:rFonts w:eastAsia="標楷體"/>
          <w:szCs w:val="22"/>
        </w:rPr>
        <w:t>-</w:t>
      </w:r>
      <w:r w:rsidRPr="00761EF3">
        <w:rPr>
          <w:rFonts w:eastAsia="標楷體"/>
          <w:szCs w:val="22"/>
        </w:rPr>
        <w:t>logy</w:t>
      </w:r>
      <w:r w:rsidRPr="00212D57">
        <w:rPr>
          <w:rFonts w:eastAsia="標楷體"/>
          <w:szCs w:val="22"/>
        </w:rPr>
        <w:t>），均起源於邏各斯這個詞，</w:t>
      </w:r>
      <w:r w:rsidRPr="00212D57">
        <w:rPr>
          <w:rFonts w:eastAsia="標楷體"/>
          <w:szCs w:val="22"/>
        </w:rPr>
        <w:t>“</w:t>
      </w:r>
      <w:r w:rsidRPr="00212D57">
        <w:rPr>
          <w:rFonts w:eastAsia="標楷體"/>
          <w:szCs w:val="22"/>
        </w:rPr>
        <w:t>邏輯</w:t>
      </w:r>
      <w:r w:rsidRPr="00212D57">
        <w:rPr>
          <w:rFonts w:eastAsia="標楷體"/>
          <w:szCs w:val="22"/>
        </w:rPr>
        <w:t>”</w:t>
      </w:r>
      <w:r w:rsidRPr="00212D57">
        <w:rPr>
          <w:rFonts w:eastAsia="標楷體"/>
          <w:szCs w:val="22"/>
        </w:rPr>
        <w:t>（</w:t>
      </w:r>
      <w:r w:rsidRPr="00761EF3">
        <w:rPr>
          <w:rFonts w:eastAsia="標楷體"/>
          <w:szCs w:val="22"/>
        </w:rPr>
        <w:t>logic</w:t>
      </w:r>
      <w:r w:rsidRPr="00212D57">
        <w:rPr>
          <w:rFonts w:eastAsia="標楷體"/>
          <w:szCs w:val="22"/>
        </w:rPr>
        <w:t>）一詞也是由它引申出來的。</w:t>
      </w:r>
      <w:r w:rsidRPr="00212D57">
        <w:rPr>
          <w:rFonts w:ascii="新細明體" w:hAnsi="新細明體" w:hint="eastAsia"/>
          <w:szCs w:val="22"/>
        </w:rPr>
        <w:t>（葉秀山撰）（</w:t>
      </w:r>
      <w:r w:rsidRPr="00212D57">
        <w:rPr>
          <w:rFonts w:hint="eastAsia"/>
          <w:szCs w:val="22"/>
        </w:rPr>
        <w:t>《中國大百科全書》（哲學Ⅰ</w:t>
      </w:r>
      <w:r w:rsidRPr="00212D57">
        <w:rPr>
          <w:rFonts w:ascii="新細明體" w:hAnsi="新細明體" w:hint="eastAsia"/>
          <w:szCs w:val="22"/>
        </w:rPr>
        <w:t>），錦繡出版事業股份有限公</w:t>
      </w:r>
      <w:r w:rsidRPr="00212D57">
        <w:rPr>
          <w:szCs w:val="22"/>
        </w:rPr>
        <w:t>司，</w:t>
      </w:r>
      <w:r w:rsidRPr="00761EF3">
        <w:rPr>
          <w:szCs w:val="22"/>
        </w:rPr>
        <w:t>1993</w:t>
      </w:r>
      <w:r w:rsidRPr="00212D57">
        <w:rPr>
          <w:szCs w:val="22"/>
        </w:rPr>
        <w:t>年，</w:t>
      </w:r>
      <w:r w:rsidRPr="00761EF3">
        <w:rPr>
          <w:rFonts w:hint="eastAsia"/>
          <w:szCs w:val="22"/>
        </w:rPr>
        <w:t>pp</w:t>
      </w:r>
      <w:r w:rsidRPr="00212D57">
        <w:rPr>
          <w:rFonts w:hint="eastAsia"/>
          <w:szCs w:val="22"/>
        </w:rPr>
        <w:t>.</w:t>
      </w:r>
      <w:r w:rsidRPr="00761EF3">
        <w:rPr>
          <w:rFonts w:hint="eastAsia"/>
          <w:szCs w:val="22"/>
        </w:rPr>
        <w:t>533</w:t>
      </w:r>
      <w:r w:rsidRPr="00212D57">
        <w:rPr>
          <w:rFonts w:hint="eastAsia"/>
          <w:szCs w:val="22"/>
        </w:rPr>
        <w:t>-</w:t>
      </w:r>
      <w:r w:rsidRPr="00761EF3">
        <w:rPr>
          <w:rFonts w:hint="eastAsia"/>
          <w:szCs w:val="22"/>
        </w:rPr>
        <w:t>534</w:t>
      </w:r>
      <w:r w:rsidRPr="00212D57">
        <w:rPr>
          <w:rFonts w:hint="eastAsia"/>
          <w:szCs w:val="22"/>
        </w:rPr>
        <w:t>）</w:t>
      </w:r>
    </w:p>
  </w:footnote>
  <w:footnote w:id="254">
    <w:p w:rsidR="00157EF6" w:rsidRPr="00212D57" w:rsidRDefault="00157EF6" w:rsidP="002B682F">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）印順法師，</w:t>
      </w:r>
      <w:r w:rsidRPr="00212D57">
        <w:rPr>
          <w:rFonts w:hAnsi="新細明體"/>
          <w:szCs w:val="22"/>
        </w:rPr>
        <w:t>《印度佛教思想史》，</w:t>
      </w:r>
      <w:r w:rsidRPr="00761EF3">
        <w:rPr>
          <w:szCs w:val="22"/>
        </w:rPr>
        <w:t>pp</w:t>
      </w:r>
      <w:r w:rsidRPr="00212D57">
        <w:rPr>
          <w:szCs w:val="22"/>
        </w:rPr>
        <w:t>.</w:t>
      </w:r>
      <w:r w:rsidRPr="00761EF3">
        <w:rPr>
          <w:szCs w:val="22"/>
        </w:rPr>
        <w:t>350</w:t>
      </w:r>
      <w:r w:rsidRPr="00212D57">
        <w:rPr>
          <w:szCs w:val="22"/>
        </w:rPr>
        <w:t>-</w:t>
      </w:r>
      <w:r w:rsidRPr="00761EF3">
        <w:rPr>
          <w:szCs w:val="22"/>
        </w:rPr>
        <w:t>351</w:t>
      </w:r>
      <w:r w:rsidRPr="00212D57">
        <w:rPr>
          <w:szCs w:val="22"/>
        </w:rPr>
        <w:t>：</w:t>
      </w:r>
    </w:p>
    <w:p w:rsidR="00157EF6" w:rsidRPr="00212D57" w:rsidRDefault="00157EF6" w:rsidP="002B682F">
      <w:pPr>
        <w:pStyle w:val="a5"/>
        <w:ind w:leftChars="300" w:left="720"/>
        <w:jc w:val="both"/>
        <w:rPr>
          <w:szCs w:val="22"/>
        </w:rPr>
      </w:pPr>
      <w:r w:rsidRPr="00212D57">
        <w:rPr>
          <w:rFonts w:eastAsia="標楷體"/>
          <w:szCs w:val="22"/>
        </w:rPr>
        <w:t>尼夜耶派的《正理經》，明十六諦（或作十六句義）：（</w:t>
      </w:r>
      <w:r w:rsidRPr="00761EF3">
        <w:rPr>
          <w:rFonts w:eastAsia="標楷體"/>
          <w:szCs w:val="22"/>
        </w:rPr>
        <w:t>1</w:t>
      </w:r>
      <w:r w:rsidRPr="00212D57">
        <w:rPr>
          <w:rFonts w:eastAsia="標楷體"/>
          <w:szCs w:val="22"/>
        </w:rPr>
        <w:t>）</w:t>
      </w:r>
      <w:r w:rsidRPr="00212D57">
        <w:rPr>
          <w:rFonts w:eastAsia="標楷體"/>
          <w:b/>
          <w:szCs w:val="22"/>
        </w:rPr>
        <w:t>量</w:t>
      </w:r>
      <w:r w:rsidRPr="00212D57">
        <w:rPr>
          <w:rFonts w:eastAsia="標楷體"/>
          <w:szCs w:val="22"/>
        </w:rPr>
        <w:t>（</w:t>
      </w:r>
      <w:r w:rsidRPr="00761EF3">
        <w:rPr>
          <w:rFonts w:eastAsia="標楷體"/>
          <w:szCs w:val="22"/>
        </w:rPr>
        <w:t>pram</w:t>
      </w:r>
      <w:r w:rsidRPr="00761EF3">
        <w:rPr>
          <w:rFonts w:eastAsia="MS Mincho"/>
          <w:szCs w:val="22"/>
        </w:rPr>
        <w:t>ā</w:t>
      </w:r>
      <w:r w:rsidRPr="00761EF3">
        <w:rPr>
          <w:rFonts w:eastAsia="標楷體"/>
          <w:szCs w:val="22"/>
        </w:rPr>
        <w:t>ṇa</w:t>
      </w:r>
      <w:r w:rsidRPr="00212D57">
        <w:rPr>
          <w:rFonts w:eastAsia="標楷體"/>
          <w:szCs w:val="22"/>
        </w:rPr>
        <w:t>），立現量，比量，譬喻量，聲量（教量）。量是正確的知識，可作為知識的準量。正確的知識，依此四量而得，所以《方便心論》</w:t>
      </w:r>
      <w:r w:rsidRPr="001A2EAB">
        <w:rPr>
          <w:szCs w:val="22"/>
          <w:shd w:val="pct15" w:color="auto" w:fill="FFFFFF"/>
        </w:rPr>
        <w:t>（卷</w:t>
      </w:r>
      <w:r w:rsidRPr="001A2EAB">
        <w:rPr>
          <w:szCs w:val="22"/>
          <w:shd w:val="pct15" w:color="auto" w:fill="FFFFFF"/>
        </w:rPr>
        <w:t>1</w:t>
      </w:r>
      <w:r w:rsidRPr="001A2EAB">
        <w:rPr>
          <w:szCs w:val="22"/>
          <w:shd w:val="pct15" w:color="auto" w:fill="FFFFFF"/>
        </w:rPr>
        <w:t>，大正</w:t>
      </w:r>
      <w:r w:rsidRPr="001A2EAB">
        <w:rPr>
          <w:szCs w:val="22"/>
          <w:shd w:val="pct15" w:color="auto" w:fill="FFFFFF"/>
        </w:rPr>
        <w:t>32</w:t>
      </w:r>
      <w:r w:rsidRPr="001A2EAB">
        <w:rPr>
          <w:szCs w:val="22"/>
          <w:shd w:val="pct15" w:color="auto" w:fill="FFFFFF"/>
        </w:rPr>
        <w:t>，</w:t>
      </w:r>
      <w:r w:rsidRPr="001A2EAB">
        <w:rPr>
          <w:szCs w:val="22"/>
          <w:shd w:val="pct15" w:color="auto" w:fill="FFFFFF"/>
        </w:rPr>
        <w:t>23c29-24a2</w:t>
      </w:r>
      <w:r w:rsidRPr="001A2EAB">
        <w:rPr>
          <w:szCs w:val="22"/>
          <w:shd w:val="pct15" w:color="auto" w:fill="FFFFFF"/>
        </w:rPr>
        <w:t>）</w:t>
      </w:r>
      <w:r w:rsidRPr="00212D57">
        <w:rPr>
          <w:rFonts w:eastAsia="標楷體"/>
          <w:szCs w:val="22"/>
        </w:rPr>
        <w:t>說知四量名「知因」。（</w:t>
      </w:r>
      <w:r w:rsidRPr="00761EF3">
        <w:rPr>
          <w:rFonts w:eastAsia="標楷體"/>
          <w:szCs w:val="22"/>
        </w:rPr>
        <w:t>2</w:t>
      </w:r>
      <w:r w:rsidRPr="00212D57">
        <w:rPr>
          <w:rFonts w:eastAsia="標楷體"/>
          <w:szCs w:val="22"/>
        </w:rPr>
        <w:t>）</w:t>
      </w:r>
      <w:r w:rsidRPr="00212D57">
        <w:rPr>
          <w:rFonts w:eastAsia="標楷體"/>
          <w:b/>
          <w:szCs w:val="22"/>
        </w:rPr>
        <w:t>所量</w:t>
      </w:r>
      <w:r w:rsidRPr="00212D57">
        <w:rPr>
          <w:rFonts w:eastAsia="標楷體"/>
          <w:szCs w:val="22"/>
        </w:rPr>
        <w:t>（</w:t>
      </w:r>
      <w:r w:rsidRPr="00761EF3">
        <w:rPr>
          <w:rFonts w:eastAsia="標楷體"/>
          <w:szCs w:val="22"/>
        </w:rPr>
        <w:t>prameya</w:t>
      </w:r>
      <w:r w:rsidRPr="00212D57">
        <w:rPr>
          <w:rFonts w:eastAsia="標楷體"/>
          <w:szCs w:val="22"/>
        </w:rPr>
        <w:t>），是所知的對象。（</w:t>
      </w:r>
      <w:r w:rsidRPr="00761EF3">
        <w:rPr>
          <w:rFonts w:eastAsia="標楷體"/>
          <w:szCs w:val="22"/>
        </w:rPr>
        <w:t>3</w:t>
      </w:r>
      <w:r w:rsidRPr="00212D57">
        <w:rPr>
          <w:rFonts w:eastAsia="標楷體"/>
          <w:szCs w:val="22"/>
        </w:rPr>
        <w:t>）</w:t>
      </w:r>
      <w:r w:rsidRPr="00212D57">
        <w:rPr>
          <w:rFonts w:eastAsia="標楷體"/>
          <w:b/>
          <w:szCs w:val="22"/>
        </w:rPr>
        <w:t>疑</w:t>
      </w:r>
      <w:r w:rsidRPr="00212D57">
        <w:rPr>
          <w:rFonts w:eastAsia="標楷體"/>
          <w:szCs w:val="22"/>
        </w:rPr>
        <w:t>（</w:t>
      </w:r>
      <w:r w:rsidRPr="00761EF3">
        <w:rPr>
          <w:rFonts w:eastAsia="標楷體"/>
          <w:szCs w:val="22"/>
        </w:rPr>
        <w:t>saṃ</w:t>
      </w:r>
      <w:r w:rsidRPr="00761EF3">
        <w:rPr>
          <w:rFonts w:eastAsia="MS Mincho"/>
          <w:szCs w:val="22"/>
        </w:rPr>
        <w:t>ś</w:t>
      </w:r>
      <w:r w:rsidRPr="00761EF3">
        <w:rPr>
          <w:rFonts w:eastAsia="標楷體"/>
          <w:szCs w:val="22"/>
        </w:rPr>
        <w:t>aya</w:t>
      </w:r>
      <w:r w:rsidRPr="00212D57">
        <w:rPr>
          <w:rFonts w:eastAsia="標楷體"/>
          <w:szCs w:val="22"/>
        </w:rPr>
        <w:t>）。（</w:t>
      </w:r>
      <w:r w:rsidRPr="00761EF3">
        <w:rPr>
          <w:rFonts w:eastAsia="標楷體"/>
          <w:szCs w:val="22"/>
        </w:rPr>
        <w:t>4</w:t>
      </w:r>
      <w:r w:rsidRPr="00212D57">
        <w:rPr>
          <w:rFonts w:eastAsia="標楷體"/>
          <w:szCs w:val="22"/>
        </w:rPr>
        <w:t>）</w:t>
      </w:r>
      <w:r w:rsidRPr="00212D57">
        <w:rPr>
          <w:rFonts w:eastAsia="標楷體"/>
          <w:b/>
          <w:szCs w:val="22"/>
        </w:rPr>
        <w:t>用</w:t>
      </w:r>
      <w:r w:rsidRPr="00212D57">
        <w:rPr>
          <w:rFonts w:eastAsia="標楷體"/>
          <w:szCs w:val="22"/>
        </w:rPr>
        <w:t>（</w:t>
      </w:r>
      <w:r w:rsidRPr="00761EF3">
        <w:rPr>
          <w:rFonts w:eastAsia="標楷體"/>
          <w:szCs w:val="22"/>
        </w:rPr>
        <w:t>prayojana</w:t>
      </w:r>
      <w:r w:rsidRPr="00212D57">
        <w:rPr>
          <w:rFonts w:eastAsia="標楷體"/>
          <w:szCs w:val="22"/>
        </w:rPr>
        <w:t>）：對所知見的事理，不能確定</w:t>
      </w:r>
      <w:r w:rsidRPr="00212D57">
        <w:rPr>
          <w:rFonts w:eastAsia="標楷體"/>
          <w:szCs w:val="22"/>
        </w:rPr>
        <w:t>[</w:t>
      </w:r>
      <w:r w:rsidRPr="00212D57">
        <w:rPr>
          <w:rFonts w:eastAsia="標楷體"/>
          <w:szCs w:val="22"/>
        </w:rPr>
        <w:t>疑</w:t>
      </w:r>
      <w:r w:rsidRPr="00212D57">
        <w:rPr>
          <w:rFonts w:eastAsia="標楷體"/>
          <w:szCs w:val="22"/>
        </w:rPr>
        <w:t>]</w:t>
      </w:r>
      <w:r w:rsidRPr="00212D57">
        <w:rPr>
          <w:rFonts w:eastAsia="標楷體"/>
          <w:szCs w:val="22"/>
        </w:rPr>
        <w:t>；所以有求解決的作用。（</w:t>
      </w:r>
      <w:r w:rsidRPr="00761EF3">
        <w:rPr>
          <w:rFonts w:eastAsia="標楷體"/>
          <w:szCs w:val="22"/>
        </w:rPr>
        <w:t>5</w:t>
      </w:r>
      <w:r w:rsidRPr="00212D57">
        <w:rPr>
          <w:rFonts w:eastAsia="標楷體"/>
          <w:szCs w:val="22"/>
        </w:rPr>
        <w:t>）</w:t>
      </w:r>
      <w:r w:rsidRPr="00212D57">
        <w:rPr>
          <w:rFonts w:eastAsia="標楷體"/>
          <w:b/>
          <w:szCs w:val="22"/>
        </w:rPr>
        <w:t>宗</w:t>
      </w:r>
      <w:r w:rsidRPr="00212D57">
        <w:rPr>
          <w:rFonts w:ascii="標楷體" w:eastAsia="標楷體" w:hAnsi="標楷體"/>
          <w:szCs w:val="22"/>
        </w:rPr>
        <w:t>──</w:t>
      </w:r>
      <w:r w:rsidRPr="00212D57">
        <w:rPr>
          <w:rFonts w:eastAsia="標楷體"/>
          <w:szCs w:val="22"/>
        </w:rPr>
        <w:t>悉檀（</w:t>
      </w:r>
      <w:r w:rsidRPr="00761EF3">
        <w:rPr>
          <w:rFonts w:eastAsia="標楷體"/>
          <w:szCs w:val="22"/>
        </w:rPr>
        <w:t>siddh</w:t>
      </w:r>
      <w:r w:rsidRPr="00761EF3">
        <w:rPr>
          <w:rFonts w:eastAsia="MS Mincho"/>
          <w:szCs w:val="22"/>
        </w:rPr>
        <w:t>ā</w:t>
      </w:r>
      <w:r w:rsidRPr="00761EF3">
        <w:rPr>
          <w:rFonts w:eastAsia="標楷體"/>
          <w:szCs w:val="22"/>
        </w:rPr>
        <w:t>nta</w:t>
      </w:r>
      <w:r w:rsidRPr="00212D57">
        <w:rPr>
          <w:rFonts w:eastAsia="標楷體"/>
          <w:szCs w:val="22"/>
        </w:rPr>
        <w:t>），是立者所主張的，有遍所許宗，先稟承宗，傍準義宗，不顧論宗</w:t>
      </w:r>
      <w:r w:rsidRPr="00212D57">
        <w:rPr>
          <w:rFonts w:ascii="標楷體" w:eastAsia="標楷體" w:hAnsi="標楷體"/>
          <w:szCs w:val="22"/>
        </w:rPr>
        <w:t>──</w:t>
      </w:r>
      <w:r w:rsidRPr="00212D57">
        <w:rPr>
          <w:rFonts w:eastAsia="標楷體"/>
          <w:szCs w:val="22"/>
        </w:rPr>
        <w:t>四宗</w:t>
      </w:r>
      <w:r w:rsidRPr="003D38D9">
        <w:rPr>
          <w:szCs w:val="22"/>
          <w:shd w:val="pct15" w:color="auto" w:fill="FFFFFF"/>
        </w:rPr>
        <w:t>（《因明入正理論疏》卷</w:t>
      </w:r>
      <w:r w:rsidR="003D38D9" w:rsidRPr="003D38D9">
        <w:rPr>
          <w:rFonts w:hint="eastAsia"/>
          <w:color w:val="FF0000"/>
          <w:szCs w:val="22"/>
          <w:shd w:val="pct15" w:color="auto" w:fill="FFFFFF"/>
        </w:rPr>
        <w:t>上</w:t>
      </w:r>
      <w:r w:rsidRPr="003D38D9">
        <w:rPr>
          <w:szCs w:val="22"/>
          <w:shd w:val="pct15" w:color="auto" w:fill="FFFFFF"/>
        </w:rPr>
        <w:t>，大正</w:t>
      </w:r>
      <w:r w:rsidRPr="003D38D9">
        <w:rPr>
          <w:szCs w:val="22"/>
          <w:shd w:val="pct15" w:color="auto" w:fill="FFFFFF"/>
        </w:rPr>
        <w:t>44</w:t>
      </w:r>
      <w:r w:rsidRPr="003D38D9">
        <w:rPr>
          <w:szCs w:val="22"/>
          <w:shd w:val="pct15" w:color="auto" w:fill="FFFFFF"/>
        </w:rPr>
        <w:t>，</w:t>
      </w:r>
      <w:r w:rsidRPr="003D38D9">
        <w:rPr>
          <w:szCs w:val="22"/>
          <w:shd w:val="pct15" w:color="auto" w:fill="FFFFFF"/>
        </w:rPr>
        <w:t>100b27-c3</w:t>
      </w:r>
      <w:r w:rsidRPr="003D38D9">
        <w:rPr>
          <w:szCs w:val="22"/>
          <w:shd w:val="pct15" w:color="auto" w:fill="FFFFFF"/>
        </w:rPr>
        <w:t>）</w:t>
      </w:r>
      <w:r w:rsidRPr="00212D57">
        <w:rPr>
          <w:rFonts w:eastAsia="標楷體"/>
          <w:szCs w:val="22"/>
        </w:rPr>
        <w:t>。（</w:t>
      </w:r>
      <w:r w:rsidRPr="00761EF3">
        <w:rPr>
          <w:rFonts w:eastAsia="標楷體"/>
          <w:szCs w:val="22"/>
        </w:rPr>
        <w:t>6</w:t>
      </w:r>
      <w:r w:rsidRPr="00212D57">
        <w:rPr>
          <w:rFonts w:eastAsia="標楷體"/>
          <w:szCs w:val="22"/>
        </w:rPr>
        <w:t>）</w:t>
      </w:r>
      <w:r w:rsidRPr="00212D57">
        <w:rPr>
          <w:rFonts w:eastAsia="標楷體"/>
          <w:b/>
          <w:szCs w:val="22"/>
        </w:rPr>
        <w:t>喻</w:t>
      </w:r>
      <w:r w:rsidRPr="00212D57">
        <w:rPr>
          <w:rFonts w:eastAsia="標楷體"/>
          <w:szCs w:val="22"/>
        </w:rPr>
        <w:t>（</w:t>
      </w:r>
      <w:r w:rsidRPr="00761EF3">
        <w:rPr>
          <w:rFonts w:eastAsia="標楷體"/>
          <w:szCs w:val="22"/>
        </w:rPr>
        <w:t>dṛṣṭ</w:t>
      </w:r>
      <w:r w:rsidRPr="00761EF3">
        <w:rPr>
          <w:rFonts w:eastAsia="MS Mincho"/>
          <w:szCs w:val="22"/>
        </w:rPr>
        <w:t>ā</w:t>
      </w:r>
      <w:r w:rsidRPr="00761EF3">
        <w:rPr>
          <w:rFonts w:eastAsia="標楷體"/>
          <w:szCs w:val="22"/>
        </w:rPr>
        <w:t>nta</w:t>
      </w:r>
      <w:r w:rsidRPr="00212D57">
        <w:rPr>
          <w:rFonts w:eastAsia="標楷體"/>
          <w:szCs w:val="22"/>
        </w:rPr>
        <w:t>），是舉例。（</w:t>
      </w:r>
      <w:r w:rsidRPr="00761EF3">
        <w:rPr>
          <w:rFonts w:eastAsia="標楷體"/>
          <w:szCs w:val="22"/>
        </w:rPr>
        <w:t>7</w:t>
      </w:r>
      <w:r w:rsidRPr="00212D57">
        <w:rPr>
          <w:rFonts w:eastAsia="標楷體"/>
          <w:szCs w:val="22"/>
        </w:rPr>
        <w:t>）</w:t>
      </w:r>
      <w:r w:rsidRPr="00212D57">
        <w:rPr>
          <w:rFonts w:eastAsia="標楷體"/>
          <w:b/>
          <w:szCs w:val="22"/>
        </w:rPr>
        <w:t>支分</w:t>
      </w:r>
      <w:r w:rsidRPr="00212D57">
        <w:rPr>
          <w:rFonts w:eastAsia="標楷體"/>
          <w:szCs w:val="22"/>
        </w:rPr>
        <w:t>（</w:t>
      </w:r>
      <w:r w:rsidRPr="00761EF3">
        <w:rPr>
          <w:rFonts w:eastAsia="標楷體"/>
          <w:szCs w:val="22"/>
        </w:rPr>
        <w:t>avayava</w:t>
      </w:r>
      <w:r w:rsidRPr="00212D57">
        <w:rPr>
          <w:rFonts w:eastAsia="標楷體"/>
          <w:szCs w:val="22"/>
        </w:rPr>
        <w:t>），就是比量的五支：宗，因，喻，合，結（決定）。（</w:t>
      </w:r>
      <w:r w:rsidRPr="00761EF3">
        <w:rPr>
          <w:rFonts w:eastAsia="標楷體"/>
          <w:szCs w:val="22"/>
        </w:rPr>
        <w:t>8</w:t>
      </w:r>
      <w:r w:rsidRPr="00212D57">
        <w:rPr>
          <w:rFonts w:eastAsia="標楷體"/>
          <w:szCs w:val="22"/>
        </w:rPr>
        <w:t>）</w:t>
      </w:r>
      <w:r w:rsidRPr="00212D57">
        <w:rPr>
          <w:rFonts w:eastAsia="標楷體"/>
          <w:b/>
          <w:szCs w:val="22"/>
        </w:rPr>
        <w:t>思擇</w:t>
      </w:r>
      <w:r w:rsidRPr="00212D57">
        <w:rPr>
          <w:rFonts w:eastAsia="標楷體"/>
          <w:szCs w:val="22"/>
        </w:rPr>
        <w:t>（</w:t>
      </w:r>
      <w:r w:rsidRPr="00761EF3">
        <w:rPr>
          <w:rFonts w:eastAsia="標楷體"/>
          <w:szCs w:val="22"/>
        </w:rPr>
        <w:t>tarka</w:t>
      </w:r>
      <w:r w:rsidRPr="00212D57">
        <w:rPr>
          <w:rFonts w:eastAsia="標楷體"/>
          <w:szCs w:val="22"/>
        </w:rPr>
        <w:t>）。（</w:t>
      </w:r>
      <w:r w:rsidRPr="00761EF3">
        <w:rPr>
          <w:rFonts w:eastAsia="標楷體"/>
          <w:szCs w:val="22"/>
        </w:rPr>
        <w:t>9</w:t>
      </w:r>
      <w:r w:rsidRPr="00212D57">
        <w:rPr>
          <w:rFonts w:eastAsia="標楷體"/>
          <w:szCs w:val="22"/>
        </w:rPr>
        <w:t>）</w:t>
      </w:r>
      <w:r w:rsidRPr="00212D57">
        <w:rPr>
          <w:rFonts w:eastAsia="標楷體"/>
          <w:b/>
          <w:szCs w:val="22"/>
        </w:rPr>
        <w:t>決</w:t>
      </w:r>
      <w:r w:rsidRPr="00212D57">
        <w:rPr>
          <w:rFonts w:eastAsia="標楷體"/>
          <w:szCs w:val="22"/>
        </w:rPr>
        <w:t>（</w:t>
      </w:r>
      <w:r w:rsidRPr="00761EF3">
        <w:rPr>
          <w:rFonts w:eastAsia="標楷體"/>
          <w:szCs w:val="22"/>
        </w:rPr>
        <w:t>nirṇaya</w:t>
      </w:r>
      <w:r w:rsidRPr="00212D57">
        <w:rPr>
          <w:rFonts w:eastAsia="標楷體"/>
          <w:szCs w:val="22"/>
        </w:rPr>
        <w:t>），義理決定。以上，是論證的重要事項。以下，是實際論辯，論證的謬誤或失敗。（</w:t>
      </w:r>
      <w:r w:rsidRPr="00761EF3">
        <w:rPr>
          <w:rFonts w:eastAsia="標楷體"/>
          <w:szCs w:val="22"/>
        </w:rPr>
        <w:t>10</w:t>
      </w:r>
      <w:r w:rsidRPr="00212D57">
        <w:rPr>
          <w:rFonts w:eastAsia="標楷體"/>
          <w:szCs w:val="22"/>
        </w:rPr>
        <w:t>）</w:t>
      </w:r>
      <w:r w:rsidRPr="00212D57">
        <w:rPr>
          <w:rFonts w:eastAsia="標楷體"/>
          <w:b/>
          <w:szCs w:val="22"/>
        </w:rPr>
        <w:t>論議</w:t>
      </w:r>
      <w:r w:rsidRPr="00212D57">
        <w:rPr>
          <w:rFonts w:eastAsia="標楷體"/>
          <w:szCs w:val="22"/>
        </w:rPr>
        <w:t>（</w:t>
      </w:r>
      <w:r w:rsidRPr="00761EF3">
        <w:rPr>
          <w:rFonts w:eastAsia="標楷體"/>
          <w:szCs w:val="22"/>
        </w:rPr>
        <w:t>v</w:t>
      </w:r>
      <w:r w:rsidRPr="00761EF3">
        <w:rPr>
          <w:rFonts w:eastAsia="MS Mincho"/>
          <w:szCs w:val="22"/>
        </w:rPr>
        <w:t>ā</w:t>
      </w:r>
      <w:r w:rsidRPr="00761EF3">
        <w:rPr>
          <w:rFonts w:eastAsia="標楷體"/>
          <w:szCs w:val="22"/>
        </w:rPr>
        <w:t>da</w:t>
      </w:r>
      <w:r w:rsidRPr="00212D57">
        <w:rPr>
          <w:rFonts w:eastAsia="標楷體"/>
          <w:szCs w:val="22"/>
        </w:rPr>
        <w:t>），彼此互相論議。（</w:t>
      </w:r>
      <w:r w:rsidRPr="00761EF3">
        <w:rPr>
          <w:rFonts w:eastAsia="標楷體"/>
          <w:szCs w:val="22"/>
        </w:rPr>
        <w:t>11</w:t>
      </w:r>
      <w:r w:rsidRPr="00212D57">
        <w:rPr>
          <w:rFonts w:eastAsia="標楷體"/>
          <w:szCs w:val="22"/>
        </w:rPr>
        <w:t>）</w:t>
      </w:r>
      <w:r w:rsidRPr="00212D57">
        <w:rPr>
          <w:rFonts w:eastAsia="標楷體"/>
          <w:b/>
          <w:szCs w:val="22"/>
        </w:rPr>
        <w:t>紛議</w:t>
      </w:r>
      <w:r w:rsidRPr="00212D57">
        <w:rPr>
          <w:rFonts w:eastAsia="標楷體"/>
          <w:szCs w:val="22"/>
        </w:rPr>
        <w:t>（</w:t>
      </w:r>
      <w:r w:rsidRPr="00761EF3">
        <w:rPr>
          <w:rFonts w:eastAsia="標楷體"/>
          <w:szCs w:val="22"/>
        </w:rPr>
        <w:t>jalpa</w:t>
      </w:r>
      <w:r w:rsidRPr="00212D57">
        <w:rPr>
          <w:rFonts w:eastAsia="標楷體"/>
          <w:szCs w:val="22"/>
        </w:rPr>
        <w:t>）。（</w:t>
      </w:r>
      <w:r w:rsidRPr="00761EF3">
        <w:rPr>
          <w:rFonts w:eastAsia="標楷體"/>
          <w:szCs w:val="22"/>
        </w:rPr>
        <w:t>12</w:t>
      </w:r>
      <w:r w:rsidRPr="00212D57">
        <w:rPr>
          <w:rFonts w:eastAsia="標楷體"/>
          <w:szCs w:val="22"/>
        </w:rPr>
        <w:t>）</w:t>
      </w:r>
      <w:r w:rsidRPr="00212D57">
        <w:rPr>
          <w:rFonts w:eastAsia="標楷體"/>
          <w:b/>
          <w:szCs w:val="22"/>
        </w:rPr>
        <w:t>壞義</w:t>
      </w:r>
      <w:r w:rsidRPr="00212D57">
        <w:rPr>
          <w:rFonts w:eastAsia="標楷體"/>
          <w:szCs w:val="22"/>
        </w:rPr>
        <w:t>（</w:t>
      </w:r>
      <w:r w:rsidRPr="00761EF3">
        <w:rPr>
          <w:rFonts w:eastAsia="標楷體"/>
          <w:szCs w:val="22"/>
        </w:rPr>
        <w:t>vitaṇḍ</w:t>
      </w:r>
      <w:r w:rsidRPr="00761EF3">
        <w:rPr>
          <w:rFonts w:eastAsia="MS Mincho"/>
          <w:szCs w:val="22"/>
        </w:rPr>
        <w:t>ā</w:t>
      </w:r>
      <w:r w:rsidRPr="00212D57">
        <w:rPr>
          <w:rFonts w:eastAsia="標楷體"/>
          <w:szCs w:val="22"/>
        </w:rPr>
        <w:t>）。（</w:t>
      </w:r>
      <w:r w:rsidRPr="00761EF3">
        <w:rPr>
          <w:rFonts w:eastAsia="標楷體"/>
          <w:szCs w:val="22"/>
        </w:rPr>
        <w:t>13</w:t>
      </w:r>
      <w:r w:rsidRPr="00212D57">
        <w:rPr>
          <w:rFonts w:eastAsia="標楷體"/>
          <w:szCs w:val="22"/>
        </w:rPr>
        <w:t>）</w:t>
      </w:r>
      <w:r w:rsidRPr="00212D57">
        <w:rPr>
          <w:rFonts w:eastAsia="標楷體"/>
          <w:b/>
          <w:szCs w:val="22"/>
        </w:rPr>
        <w:t>似因</w:t>
      </w:r>
      <w:r w:rsidRPr="00212D57">
        <w:rPr>
          <w:rFonts w:eastAsia="標楷體"/>
          <w:szCs w:val="22"/>
        </w:rPr>
        <w:t>（</w:t>
      </w:r>
      <w:r w:rsidRPr="00761EF3">
        <w:rPr>
          <w:rFonts w:eastAsia="MS Mincho"/>
          <w:szCs w:val="22"/>
        </w:rPr>
        <w:t>ā</w:t>
      </w:r>
      <w:r w:rsidRPr="00761EF3">
        <w:rPr>
          <w:rFonts w:eastAsia="標楷體"/>
          <w:szCs w:val="22"/>
        </w:rPr>
        <w:t>bh</w:t>
      </w:r>
      <w:r w:rsidRPr="00761EF3">
        <w:rPr>
          <w:rFonts w:eastAsia="MS Mincho"/>
          <w:szCs w:val="22"/>
        </w:rPr>
        <w:t>ā</w:t>
      </w:r>
      <w:r w:rsidRPr="00761EF3">
        <w:rPr>
          <w:rFonts w:eastAsia="標楷體"/>
          <w:szCs w:val="22"/>
        </w:rPr>
        <w:t>sa</w:t>
      </w:r>
      <w:r w:rsidRPr="00212D57">
        <w:rPr>
          <w:rFonts w:eastAsia="標楷體"/>
          <w:szCs w:val="22"/>
        </w:rPr>
        <w:t>）。（</w:t>
      </w:r>
      <w:r w:rsidRPr="00761EF3">
        <w:rPr>
          <w:rFonts w:eastAsia="標楷體"/>
          <w:szCs w:val="22"/>
        </w:rPr>
        <w:t>14</w:t>
      </w:r>
      <w:r w:rsidRPr="00212D57">
        <w:rPr>
          <w:rFonts w:eastAsia="標楷體"/>
          <w:szCs w:val="22"/>
        </w:rPr>
        <w:t>）</w:t>
      </w:r>
      <w:r w:rsidRPr="00212D57">
        <w:rPr>
          <w:rFonts w:eastAsia="標楷體"/>
          <w:b/>
          <w:szCs w:val="22"/>
        </w:rPr>
        <w:t>難難</w:t>
      </w:r>
      <w:r w:rsidRPr="00212D57">
        <w:rPr>
          <w:rFonts w:eastAsia="標楷體"/>
          <w:szCs w:val="22"/>
        </w:rPr>
        <w:t>（</w:t>
      </w:r>
      <w:r w:rsidRPr="00761EF3">
        <w:rPr>
          <w:rFonts w:eastAsia="標楷體"/>
          <w:szCs w:val="22"/>
        </w:rPr>
        <w:t>chala</w:t>
      </w:r>
      <w:r w:rsidRPr="00212D57">
        <w:rPr>
          <w:rFonts w:eastAsia="標楷體"/>
          <w:szCs w:val="22"/>
        </w:rPr>
        <w:t>）。（</w:t>
      </w:r>
      <w:r w:rsidRPr="00761EF3">
        <w:rPr>
          <w:rFonts w:eastAsia="標楷體"/>
          <w:szCs w:val="22"/>
        </w:rPr>
        <w:t>15</w:t>
      </w:r>
      <w:r w:rsidRPr="00212D57">
        <w:rPr>
          <w:rFonts w:eastAsia="標楷體"/>
          <w:szCs w:val="22"/>
        </w:rPr>
        <w:t>）</w:t>
      </w:r>
      <w:r w:rsidRPr="00212D57">
        <w:rPr>
          <w:rFonts w:eastAsia="標楷體"/>
          <w:b/>
          <w:szCs w:val="22"/>
        </w:rPr>
        <w:t>諍論</w:t>
      </w:r>
      <w:r w:rsidRPr="00212D57">
        <w:rPr>
          <w:rFonts w:eastAsia="標楷體"/>
          <w:szCs w:val="22"/>
        </w:rPr>
        <w:t>（</w:t>
      </w:r>
      <w:r w:rsidRPr="00761EF3">
        <w:rPr>
          <w:rFonts w:eastAsia="標楷體"/>
          <w:szCs w:val="22"/>
        </w:rPr>
        <w:t>j</w:t>
      </w:r>
      <w:r w:rsidRPr="00761EF3">
        <w:rPr>
          <w:rFonts w:eastAsia="MS Mincho"/>
          <w:szCs w:val="22"/>
        </w:rPr>
        <w:t>ā</w:t>
      </w:r>
      <w:r w:rsidRPr="00761EF3">
        <w:rPr>
          <w:rFonts w:eastAsia="標楷體"/>
          <w:szCs w:val="22"/>
        </w:rPr>
        <w:t>ti</w:t>
      </w:r>
      <w:r w:rsidRPr="00212D57">
        <w:rPr>
          <w:rFonts w:eastAsia="標楷體"/>
          <w:szCs w:val="22"/>
        </w:rPr>
        <w:t>）。（</w:t>
      </w:r>
      <w:r w:rsidRPr="00761EF3">
        <w:rPr>
          <w:rFonts w:eastAsia="標楷體"/>
          <w:szCs w:val="22"/>
        </w:rPr>
        <w:t>16</w:t>
      </w:r>
      <w:r w:rsidRPr="00212D57">
        <w:rPr>
          <w:rFonts w:eastAsia="標楷體"/>
          <w:szCs w:val="22"/>
        </w:rPr>
        <w:t>）</w:t>
      </w:r>
      <w:r w:rsidRPr="00212D57">
        <w:rPr>
          <w:rFonts w:eastAsia="標楷體"/>
          <w:b/>
          <w:szCs w:val="22"/>
        </w:rPr>
        <w:t>墮負</w:t>
      </w:r>
      <w:r w:rsidRPr="00212D57">
        <w:rPr>
          <w:rFonts w:eastAsia="標楷體"/>
          <w:szCs w:val="22"/>
        </w:rPr>
        <w:t>（</w:t>
      </w:r>
      <w:r w:rsidRPr="00761EF3">
        <w:rPr>
          <w:rFonts w:eastAsia="標楷體"/>
          <w:szCs w:val="22"/>
        </w:rPr>
        <w:t>nigrahasth</w:t>
      </w:r>
      <w:r w:rsidRPr="00761EF3">
        <w:rPr>
          <w:rFonts w:eastAsia="MS Mincho"/>
          <w:szCs w:val="22"/>
        </w:rPr>
        <w:t>ā</w:t>
      </w:r>
      <w:r w:rsidRPr="00761EF3">
        <w:rPr>
          <w:rFonts w:eastAsia="標楷體"/>
          <w:szCs w:val="22"/>
        </w:rPr>
        <w:t>na</w:t>
      </w:r>
      <w:r w:rsidRPr="00212D57">
        <w:rPr>
          <w:rFonts w:eastAsia="標楷體"/>
          <w:szCs w:val="22"/>
        </w:rPr>
        <w:t>），論議失敗。</w:t>
      </w:r>
    </w:p>
    <w:p w:rsidR="00157EF6" w:rsidRPr="00212D57" w:rsidRDefault="00157EF6" w:rsidP="002B682F">
      <w:pPr>
        <w:pStyle w:val="a5"/>
        <w:ind w:leftChars="80" w:left="73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w:t>
      </w:r>
      <w:r w:rsidRPr="00212D57">
        <w:rPr>
          <w:szCs w:val="22"/>
        </w:rPr>
        <w:t>另參見</w:t>
      </w:r>
      <w:r w:rsidR="0050649B">
        <w:rPr>
          <w:rFonts w:hint="eastAsia"/>
          <w:szCs w:val="22"/>
        </w:rPr>
        <w:t>：</w:t>
      </w:r>
      <w:r w:rsidRPr="00212D57">
        <w:rPr>
          <w:rFonts w:hint="eastAsia"/>
          <w:szCs w:val="22"/>
        </w:rPr>
        <w:t>〔隋〕</w:t>
      </w:r>
      <w:r w:rsidRPr="00212D57">
        <w:rPr>
          <w:szCs w:val="22"/>
        </w:rPr>
        <w:t>吉藏</w:t>
      </w:r>
      <w:r w:rsidRPr="00212D57">
        <w:rPr>
          <w:rFonts w:hint="eastAsia"/>
          <w:szCs w:val="22"/>
        </w:rPr>
        <w:t>，</w:t>
      </w:r>
      <w:r w:rsidRPr="00212D57">
        <w:rPr>
          <w:szCs w:val="22"/>
        </w:rPr>
        <w:t>《百論疏》卷</w:t>
      </w:r>
      <w:r w:rsidRPr="00761EF3">
        <w:rPr>
          <w:szCs w:val="22"/>
        </w:rPr>
        <w:t>1</w:t>
      </w:r>
      <w:r w:rsidRPr="00212D57">
        <w:rPr>
          <w:szCs w:val="22"/>
        </w:rPr>
        <w:t>（大正</w:t>
      </w:r>
      <w:r w:rsidRPr="00761EF3">
        <w:rPr>
          <w:szCs w:val="22"/>
        </w:rPr>
        <w:t>42</w:t>
      </w:r>
      <w:r w:rsidRPr="00212D57">
        <w:rPr>
          <w:szCs w:val="22"/>
        </w:rPr>
        <w:t>，</w:t>
      </w:r>
      <w:r w:rsidRPr="00761EF3">
        <w:rPr>
          <w:szCs w:val="22"/>
        </w:rPr>
        <w:t>247c1</w:t>
      </w:r>
      <w:r w:rsidRPr="00212D57">
        <w:rPr>
          <w:szCs w:val="22"/>
        </w:rPr>
        <w:t>-</w:t>
      </w:r>
      <w:r w:rsidRPr="00761EF3">
        <w:rPr>
          <w:szCs w:val="22"/>
        </w:rPr>
        <w:t>18</w:t>
      </w:r>
      <w:r w:rsidRPr="00212D57">
        <w:rPr>
          <w:szCs w:val="22"/>
        </w:rPr>
        <w:t>）。</w:t>
      </w:r>
    </w:p>
  </w:footnote>
  <w:footnote w:id="255">
    <w:p w:rsidR="00157EF6" w:rsidRPr="00212D57" w:rsidRDefault="00157EF6" w:rsidP="002B682F">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）五分論法：宗（主張），因（理由），喻（實例），合（適用），結（結論）。舉例：</w:t>
      </w:r>
      <w:r w:rsidRPr="00761EF3">
        <w:rPr>
          <w:szCs w:val="22"/>
        </w:rPr>
        <w:t>1</w:t>
      </w:r>
      <w:r w:rsidRPr="00212D57">
        <w:rPr>
          <w:szCs w:val="22"/>
        </w:rPr>
        <w:t>、宗：彼山有火。</w:t>
      </w:r>
      <w:r w:rsidRPr="00761EF3">
        <w:rPr>
          <w:szCs w:val="22"/>
        </w:rPr>
        <w:t>2</w:t>
      </w:r>
      <w:r w:rsidRPr="00212D57">
        <w:rPr>
          <w:szCs w:val="22"/>
        </w:rPr>
        <w:t>、因：有煙故。</w:t>
      </w:r>
      <w:r w:rsidRPr="00761EF3">
        <w:rPr>
          <w:szCs w:val="22"/>
        </w:rPr>
        <w:t>3</w:t>
      </w:r>
      <w:r w:rsidRPr="00212D57">
        <w:rPr>
          <w:szCs w:val="22"/>
        </w:rPr>
        <w:t>、喻：有煙之處必有火，如灶。</w:t>
      </w:r>
      <w:r w:rsidRPr="00761EF3">
        <w:rPr>
          <w:szCs w:val="22"/>
        </w:rPr>
        <w:t>4</w:t>
      </w:r>
      <w:r w:rsidRPr="00212D57">
        <w:rPr>
          <w:szCs w:val="22"/>
        </w:rPr>
        <w:t>、合：如有煙之灶有火，而彼山亦有煙。</w:t>
      </w:r>
      <w:r w:rsidRPr="00761EF3">
        <w:rPr>
          <w:szCs w:val="22"/>
        </w:rPr>
        <w:t>5</w:t>
      </w:r>
      <w:r w:rsidRPr="00212D57">
        <w:rPr>
          <w:szCs w:val="22"/>
        </w:rPr>
        <w:t>、結：故知彼山有火。</w:t>
      </w:r>
    </w:p>
    <w:p w:rsidR="00157EF6" w:rsidRPr="00212D57" w:rsidRDefault="00157EF6" w:rsidP="002B682F">
      <w:pPr>
        <w:pStyle w:val="a5"/>
        <w:ind w:leftChars="80" w:left="731" w:hangingChars="245" w:hanging="539"/>
        <w:jc w:val="both"/>
        <w:rPr>
          <w:szCs w:val="22"/>
        </w:rPr>
      </w:pPr>
      <w:r w:rsidRPr="00212D57">
        <w:rPr>
          <w:szCs w:val="22"/>
        </w:rPr>
        <w:t>（</w:t>
      </w:r>
      <w:r w:rsidRPr="00761EF3">
        <w:rPr>
          <w:szCs w:val="22"/>
        </w:rPr>
        <w:t>2</w:t>
      </w:r>
      <w:r w:rsidRPr="00212D57">
        <w:rPr>
          <w:szCs w:val="22"/>
        </w:rPr>
        <w:t>）參見</w:t>
      </w:r>
      <w:r w:rsidR="0050649B">
        <w:rPr>
          <w:rFonts w:hint="eastAsia"/>
          <w:szCs w:val="22"/>
        </w:rPr>
        <w:t>：</w:t>
      </w:r>
      <w:r w:rsidRPr="00212D57">
        <w:rPr>
          <w:szCs w:val="22"/>
        </w:rPr>
        <w:t>真諦譯</w:t>
      </w:r>
      <w:r w:rsidRPr="00212D57">
        <w:rPr>
          <w:rFonts w:hint="eastAsia"/>
          <w:szCs w:val="22"/>
        </w:rPr>
        <w:t>，</w:t>
      </w:r>
      <w:r w:rsidRPr="00212D57">
        <w:rPr>
          <w:szCs w:val="22"/>
        </w:rPr>
        <w:t>《如實論》（大正</w:t>
      </w:r>
      <w:r w:rsidRPr="00761EF3">
        <w:rPr>
          <w:szCs w:val="22"/>
        </w:rPr>
        <w:t>32</w:t>
      </w:r>
      <w:r w:rsidRPr="00212D57">
        <w:rPr>
          <w:szCs w:val="22"/>
        </w:rPr>
        <w:t>，</w:t>
      </w:r>
      <w:r w:rsidRPr="00761EF3">
        <w:rPr>
          <w:szCs w:val="22"/>
        </w:rPr>
        <w:t>35b18</w:t>
      </w:r>
      <w:r w:rsidRPr="00212D57">
        <w:rPr>
          <w:szCs w:val="22"/>
        </w:rPr>
        <w:t>-</w:t>
      </w:r>
      <w:r w:rsidRPr="00761EF3">
        <w:rPr>
          <w:szCs w:val="22"/>
        </w:rPr>
        <w:t>23</w:t>
      </w:r>
      <w:r w:rsidRPr="00212D57">
        <w:rPr>
          <w:szCs w:val="22"/>
        </w:rPr>
        <w:t>）</w:t>
      </w:r>
      <w:r w:rsidRPr="00212D57">
        <w:rPr>
          <w:rFonts w:hint="eastAsia"/>
          <w:szCs w:val="22"/>
        </w:rPr>
        <w:t>。</w:t>
      </w:r>
    </w:p>
  </w:footnote>
  <w:footnote w:id="256">
    <w:p w:rsidR="00157EF6" w:rsidRPr="00212D57" w:rsidRDefault="00157EF6" w:rsidP="002B682F">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）印順法師，《印度佛教思想史》，</w:t>
      </w:r>
      <w:r w:rsidRPr="00761EF3">
        <w:rPr>
          <w:szCs w:val="22"/>
        </w:rPr>
        <w:t>pp</w:t>
      </w:r>
      <w:r w:rsidRPr="00212D57">
        <w:rPr>
          <w:szCs w:val="22"/>
        </w:rPr>
        <w:t>.</w:t>
      </w:r>
      <w:r w:rsidRPr="00761EF3">
        <w:rPr>
          <w:szCs w:val="22"/>
        </w:rPr>
        <w:t>352</w:t>
      </w:r>
      <w:r w:rsidRPr="00212D57">
        <w:rPr>
          <w:szCs w:val="22"/>
        </w:rPr>
        <w:t>-</w:t>
      </w:r>
      <w:r w:rsidRPr="00761EF3">
        <w:rPr>
          <w:szCs w:val="22"/>
        </w:rPr>
        <w:t>353</w:t>
      </w:r>
      <w:r w:rsidRPr="00212D57">
        <w:rPr>
          <w:szCs w:val="22"/>
        </w:rPr>
        <w:t>：</w:t>
      </w:r>
    </w:p>
    <w:p w:rsidR="00157EF6" w:rsidRPr="00212D57" w:rsidRDefault="00157EF6" w:rsidP="002B682F">
      <w:pPr>
        <w:pStyle w:val="a5"/>
        <w:ind w:leftChars="300" w:left="720"/>
        <w:jc w:val="both"/>
        <w:rPr>
          <w:szCs w:val="22"/>
        </w:rPr>
      </w:pPr>
      <w:r w:rsidRPr="00212D57">
        <w:rPr>
          <w:rFonts w:eastAsia="標楷體"/>
          <w:szCs w:val="22"/>
        </w:rPr>
        <w:t>舊時是五支作法，陳那簡化為三支：宗，因，喻。如立「聲無常</w:t>
      </w:r>
      <w:r w:rsidRPr="00241E6A">
        <w:rPr>
          <w:rFonts w:ascii="新細明體" w:hAnsi="新細明體"/>
          <w:szCs w:val="22"/>
        </w:rPr>
        <w:t>[宗]</w:t>
      </w:r>
      <w:r w:rsidRPr="00212D57">
        <w:rPr>
          <w:rFonts w:eastAsia="標楷體"/>
          <w:szCs w:val="22"/>
        </w:rPr>
        <w:t>，所作性故</w:t>
      </w:r>
      <w:r w:rsidRPr="00241E6A">
        <w:rPr>
          <w:rFonts w:ascii="新細明體" w:hAnsi="新細明體"/>
          <w:szCs w:val="22"/>
        </w:rPr>
        <w:t>[因]</w:t>
      </w:r>
      <w:r w:rsidRPr="00212D57">
        <w:rPr>
          <w:rFonts w:eastAsia="標楷體"/>
          <w:szCs w:val="22"/>
        </w:rPr>
        <w:t>。諸所作者，皆見無常，如瓶等</w:t>
      </w:r>
      <w:r w:rsidRPr="00241E6A">
        <w:rPr>
          <w:rFonts w:ascii="新細明體" w:hAnsi="新細明體"/>
          <w:szCs w:val="22"/>
        </w:rPr>
        <w:t>[同喻]</w:t>
      </w:r>
      <w:r w:rsidRPr="00212D57">
        <w:rPr>
          <w:rFonts w:eastAsia="標楷體"/>
          <w:szCs w:val="22"/>
        </w:rPr>
        <w:t>；諸是常者，見非所作，如虛空等</w:t>
      </w:r>
      <w:r w:rsidRPr="00241E6A">
        <w:rPr>
          <w:rFonts w:ascii="新細明體" w:hAnsi="新細明體"/>
          <w:szCs w:val="22"/>
        </w:rPr>
        <w:t>[異喻]</w:t>
      </w:r>
      <w:r w:rsidRPr="00212D57">
        <w:rPr>
          <w:rFonts w:eastAsia="標楷體"/>
          <w:szCs w:val="22"/>
        </w:rPr>
        <w:t>」。</w:t>
      </w:r>
    </w:p>
    <w:p w:rsidR="00157EF6" w:rsidRPr="00212D57" w:rsidRDefault="00157EF6" w:rsidP="002B682F">
      <w:pPr>
        <w:pStyle w:val="a5"/>
        <w:ind w:leftChars="80" w:left="731" w:hangingChars="245" w:hanging="539"/>
        <w:jc w:val="both"/>
        <w:rPr>
          <w:szCs w:val="22"/>
        </w:rPr>
      </w:pPr>
      <w:r w:rsidRPr="00212D57">
        <w:rPr>
          <w:szCs w:val="22"/>
        </w:rPr>
        <w:t>（</w:t>
      </w:r>
      <w:r w:rsidRPr="00761EF3">
        <w:rPr>
          <w:szCs w:val="22"/>
        </w:rPr>
        <w:t>2</w:t>
      </w:r>
      <w:r w:rsidRPr="00212D57">
        <w:rPr>
          <w:szCs w:val="22"/>
        </w:rPr>
        <w:t>）印順法師，《印度佛教思想史》</w:t>
      </w:r>
      <w:r w:rsidRPr="00212D57">
        <w:rPr>
          <w:rFonts w:hint="eastAsia"/>
          <w:szCs w:val="22"/>
        </w:rPr>
        <w:t>，</w:t>
      </w:r>
      <w:r w:rsidRPr="00761EF3">
        <w:rPr>
          <w:szCs w:val="22"/>
        </w:rPr>
        <w:t>p</w:t>
      </w:r>
      <w:r w:rsidRPr="00212D57">
        <w:rPr>
          <w:szCs w:val="22"/>
        </w:rPr>
        <w:t>.</w:t>
      </w:r>
      <w:r w:rsidRPr="00761EF3">
        <w:rPr>
          <w:szCs w:val="22"/>
        </w:rPr>
        <w:t>354</w:t>
      </w:r>
      <w:r w:rsidRPr="00212D57">
        <w:rPr>
          <w:szCs w:val="22"/>
        </w:rPr>
        <w:t>：</w:t>
      </w:r>
    </w:p>
    <w:p w:rsidR="00157EF6" w:rsidRPr="00212D57" w:rsidRDefault="00157EF6" w:rsidP="002B682F">
      <w:pPr>
        <w:pStyle w:val="a5"/>
        <w:ind w:leftChars="300" w:left="720"/>
        <w:jc w:val="both"/>
        <w:rPr>
          <w:rFonts w:ascii="標楷體" w:eastAsia="標楷體" w:hAnsi="標楷體"/>
          <w:szCs w:val="22"/>
        </w:rPr>
      </w:pPr>
      <w:r w:rsidRPr="00212D57">
        <w:rPr>
          <w:rFonts w:ascii="標楷體" w:eastAsia="標楷體" w:hAnsi="標楷體"/>
          <w:szCs w:val="22"/>
        </w:rPr>
        <w:t>如</w:t>
      </w:r>
      <w:r w:rsidRPr="00212D57">
        <w:rPr>
          <w:rFonts w:ascii="標楷體" w:eastAsia="標楷體" w:hAnsi="標楷體"/>
          <w:b/>
          <w:szCs w:val="22"/>
        </w:rPr>
        <w:t>陳那</w:t>
      </w:r>
      <w:r w:rsidRPr="00212D57">
        <w:rPr>
          <w:rFonts w:ascii="標楷體" w:eastAsia="標楷體" w:hAnsi="標楷體"/>
          <w:szCs w:val="22"/>
        </w:rPr>
        <w:t>的宗、因、喻──三支，還是傳統五支說的簡化。對他而成立自宗，或評破對方的主張，一定要先揭出自</w:t>
      </w:r>
      <w:r w:rsidRPr="00212D57">
        <w:rPr>
          <w:rFonts w:ascii="標楷體" w:eastAsia="標楷體" w:hAnsi="標楷體" w:hint="eastAsia"/>
          <w:szCs w:val="22"/>
        </w:rPr>
        <w:t>己</w:t>
      </w:r>
      <w:r w:rsidRPr="00212D57">
        <w:rPr>
          <w:rFonts w:ascii="標楷體" w:eastAsia="標楷體" w:hAnsi="標楷體"/>
          <w:szCs w:val="22"/>
        </w:rPr>
        <w:t>的見解（或否定對方的主張）──</w:t>
      </w:r>
      <w:r w:rsidRPr="00212D57">
        <w:rPr>
          <w:rFonts w:ascii="標楷體" w:eastAsia="標楷體" w:hAnsi="標楷體"/>
          <w:b/>
          <w:bCs/>
          <w:szCs w:val="22"/>
        </w:rPr>
        <w:t>宗</w:t>
      </w:r>
      <w:r w:rsidRPr="00212D57">
        <w:rPr>
          <w:rFonts w:ascii="標楷體" w:eastAsia="標楷體" w:hAnsi="標楷體"/>
          <w:szCs w:val="22"/>
        </w:rPr>
        <w:t>；其次說明理由──</w:t>
      </w:r>
      <w:r w:rsidRPr="00212D57">
        <w:rPr>
          <w:rFonts w:ascii="標楷體" w:eastAsia="標楷體" w:hAnsi="標楷體"/>
          <w:b/>
          <w:bCs/>
          <w:szCs w:val="22"/>
        </w:rPr>
        <w:t>因</w:t>
      </w:r>
      <w:r w:rsidRPr="00212D57">
        <w:rPr>
          <w:rFonts w:ascii="標楷體" w:eastAsia="標楷體" w:hAnsi="標楷體"/>
          <w:szCs w:val="22"/>
        </w:rPr>
        <w:t>；然後從同類、異類兩方面，舉事例來證成──</w:t>
      </w:r>
      <w:r w:rsidRPr="00212D57">
        <w:rPr>
          <w:rFonts w:ascii="標楷體" w:eastAsia="標楷體" w:hAnsi="標楷體"/>
          <w:b/>
          <w:bCs/>
          <w:szCs w:val="22"/>
        </w:rPr>
        <w:t>喻</w:t>
      </w:r>
      <w:r w:rsidRPr="00212D57">
        <w:rPr>
          <w:rFonts w:ascii="標楷體" w:eastAsia="標楷體" w:hAnsi="標楷體"/>
          <w:szCs w:val="22"/>
        </w:rPr>
        <w:t>。宗、因、喻的三支次第，</w:t>
      </w:r>
      <w:r w:rsidRPr="00212D57">
        <w:rPr>
          <w:rFonts w:ascii="標楷體" w:eastAsia="標楷體" w:hAnsi="標楷體"/>
          <w:bCs/>
          <w:szCs w:val="22"/>
        </w:rPr>
        <w:t>主要</w:t>
      </w:r>
      <w:r w:rsidRPr="00212D57">
        <w:rPr>
          <w:rFonts w:ascii="標楷體" w:eastAsia="標楷體" w:hAnsi="標楷體"/>
          <w:szCs w:val="22"/>
        </w:rPr>
        <w:t>是適合於對他的辯論。</w:t>
      </w:r>
    </w:p>
    <w:p w:rsidR="00157EF6" w:rsidRPr="00212D57" w:rsidRDefault="00157EF6" w:rsidP="002B682F">
      <w:pPr>
        <w:pStyle w:val="a5"/>
        <w:ind w:leftChars="300" w:left="720"/>
        <w:jc w:val="both"/>
        <w:rPr>
          <w:szCs w:val="22"/>
        </w:rPr>
      </w:pPr>
      <w:r w:rsidRPr="00212D57">
        <w:rPr>
          <w:rFonts w:ascii="標楷體" w:eastAsia="標楷體" w:hAnsi="標楷體"/>
          <w:b/>
          <w:bCs/>
          <w:szCs w:val="22"/>
        </w:rPr>
        <w:t>法稱</w:t>
      </w:r>
      <w:r w:rsidRPr="00212D57">
        <w:rPr>
          <w:rFonts w:ascii="標楷體" w:eastAsia="標楷體" w:hAnsi="標楷體"/>
          <w:szCs w:val="22"/>
        </w:rPr>
        <w:t>修改為近於</w:t>
      </w:r>
      <w:r w:rsidRPr="00212D57">
        <w:rPr>
          <w:rFonts w:ascii="標楷體" w:eastAsia="標楷體" w:hAnsi="標楷體"/>
          <w:b/>
          <w:szCs w:val="22"/>
        </w:rPr>
        <w:t>喻、因、宗</w:t>
      </w:r>
      <w:r w:rsidRPr="00212D57">
        <w:rPr>
          <w:rFonts w:ascii="標楷體" w:eastAsia="標楷體" w:hAnsi="標楷體"/>
          <w:szCs w:val="22"/>
        </w:rPr>
        <w:t>的次第：如凡是所作法，都是無常的，如瓶盆等；聲也是所作法；因而得到「聲是無常」的結論。</w:t>
      </w:r>
      <w:r w:rsidRPr="00212D57">
        <w:rPr>
          <w:rFonts w:ascii="標楷體" w:eastAsia="標楷體" w:hAnsi="標楷體" w:hint="eastAsia"/>
          <w:szCs w:val="22"/>
        </w:rPr>
        <w:t>這一次第，近於西方邏輯的三段論法，是順於自己正確推理的次第（自比量）。法稱著重於自己正確的推理，使這一方法，能普遍應用於自己對佛法的正確思惟，所以《釋量論》四品，第一品就是〈自義比量品〉。</w:t>
      </w:r>
    </w:p>
  </w:footnote>
  <w:footnote w:id="257">
    <w:p w:rsidR="00157EF6" w:rsidRPr="00212D57" w:rsidRDefault="00157EF6" w:rsidP="002B682F">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rFonts w:hint="eastAsia"/>
          <w:szCs w:val="22"/>
        </w:rPr>
        <w:t>師資：</w:t>
      </w:r>
      <w:r w:rsidRPr="00761EF3">
        <w:rPr>
          <w:rFonts w:hint="eastAsia"/>
          <w:szCs w:val="22"/>
        </w:rPr>
        <w:t>3</w:t>
      </w:r>
      <w:r w:rsidRPr="00212D57">
        <w:rPr>
          <w:rFonts w:hint="eastAsia"/>
          <w:szCs w:val="22"/>
        </w:rPr>
        <w:t>.</w:t>
      </w:r>
      <w:r w:rsidRPr="00212D57">
        <w:rPr>
          <w:rFonts w:hint="eastAsia"/>
          <w:szCs w:val="22"/>
        </w:rPr>
        <w:t>猶師生，師徒。</w:t>
      </w:r>
      <w:r w:rsidRPr="00212D57">
        <w:rPr>
          <w:szCs w:val="22"/>
        </w:rPr>
        <w:t>（</w:t>
      </w:r>
      <w:r w:rsidRPr="00212D57">
        <w:rPr>
          <w:rFonts w:hint="eastAsia"/>
          <w:szCs w:val="22"/>
        </w:rPr>
        <w:t>《漢語大詞典》（三），</w:t>
      </w:r>
      <w:r w:rsidRPr="00761EF3">
        <w:rPr>
          <w:szCs w:val="22"/>
        </w:rPr>
        <w:t>p</w:t>
      </w:r>
      <w:r w:rsidRPr="00212D57">
        <w:rPr>
          <w:szCs w:val="22"/>
        </w:rPr>
        <w:t>.</w:t>
      </w:r>
      <w:r w:rsidRPr="00761EF3">
        <w:rPr>
          <w:rFonts w:hint="eastAsia"/>
          <w:szCs w:val="22"/>
        </w:rPr>
        <w:t>715</w:t>
      </w:r>
      <w:r w:rsidRPr="00212D57">
        <w:rPr>
          <w:szCs w:val="22"/>
        </w:rPr>
        <w:t>）</w:t>
      </w:r>
    </w:p>
  </w:footnote>
  <w:footnote w:id="258">
    <w:p w:rsidR="00157EF6" w:rsidRPr="00212D57" w:rsidRDefault="00157EF6" w:rsidP="002B682F">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rFonts w:hint="eastAsia"/>
          <w:szCs w:val="22"/>
        </w:rPr>
        <w:t>參見大域龍菩薩造，〔唐〕玄奘譯，《因明正理門論本》（大正</w:t>
      </w:r>
      <w:r w:rsidRPr="00761EF3">
        <w:rPr>
          <w:rFonts w:hint="eastAsia"/>
          <w:szCs w:val="22"/>
        </w:rPr>
        <w:t>32</w:t>
      </w:r>
      <w:r w:rsidRPr="00212D57">
        <w:rPr>
          <w:rFonts w:hint="eastAsia"/>
          <w:szCs w:val="22"/>
        </w:rPr>
        <w:t>，</w:t>
      </w:r>
      <w:r w:rsidRPr="00761EF3">
        <w:rPr>
          <w:rFonts w:hint="eastAsia"/>
          <w:szCs w:val="22"/>
        </w:rPr>
        <w:t>1a7</w:t>
      </w:r>
      <w:r w:rsidRPr="00212D57">
        <w:rPr>
          <w:rFonts w:hint="eastAsia"/>
          <w:szCs w:val="22"/>
        </w:rPr>
        <w:t>-</w:t>
      </w:r>
      <w:r w:rsidRPr="00761EF3">
        <w:rPr>
          <w:rFonts w:hint="eastAsia"/>
          <w:szCs w:val="22"/>
        </w:rPr>
        <w:t>6a6</w:t>
      </w:r>
      <w:r w:rsidRPr="00212D57">
        <w:rPr>
          <w:rFonts w:hint="eastAsia"/>
          <w:szCs w:val="22"/>
        </w:rPr>
        <w:t>），大域龍菩薩造，〔唐〕義淨譯，《因明正理門論》（大正</w:t>
      </w:r>
      <w:r w:rsidRPr="00761EF3">
        <w:rPr>
          <w:rFonts w:hint="eastAsia"/>
          <w:szCs w:val="22"/>
        </w:rPr>
        <w:t>32</w:t>
      </w:r>
      <w:r w:rsidRPr="00212D57">
        <w:rPr>
          <w:rFonts w:hint="eastAsia"/>
          <w:szCs w:val="22"/>
        </w:rPr>
        <w:t>，</w:t>
      </w:r>
      <w:r w:rsidRPr="00761EF3">
        <w:rPr>
          <w:szCs w:val="22"/>
        </w:rPr>
        <w:t>6a11</w:t>
      </w:r>
      <w:r w:rsidRPr="00212D57">
        <w:rPr>
          <w:szCs w:val="22"/>
        </w:rPr>
        <w:t>-</w:t>
      </w:r>
      <w:r w:rsidRPr="00761EF3">
        <w:rPr>
          <w:szCs w:val="22"/>
        </w:rPr>
        <w:t>11a19</w:t>
      </w:r>
      <w:r w:rsidRPr="00212D57">
        <w:rPr>
          <w:szCs w:val="22"/>
        </w:rPr>
        <w:t>）</w:t>
      </w:r>
      <w:r w:rsidRPr="00212D57">
        <w:rPr>
          <w:rFonts w:hint="eastAsia"/>
          <w:szCs w:val="22"/>
        </w:rPr>
        <w:t>。</w:t>
      </w:r>
    </w:p>
  </w:footnote>
  <w:footnote w:id="259">
    <w:p w:rsidR="00157EF6" w:rsidRPr="00212D57" w:rsidRDefault="00157EF6" w:rsidP="002B682F">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rFonts w:hint="eastAsia"/>
          <w:szCs w:val="22"/>
        </w:rPr>
        <w:t>參見商羯羅主菩薩造，〔唐〕玄奘譯，《因明入正理論》（大正</w:t>
      </w:r>
      <w:r w:rsidRPr="00761EF3">
        <w:rPr>
          <w:rFonts w:hint="eastAsia"/>
          <w:szCs w:val="22"/>
        </w:rPr>
        <w:t>32</w:t>
      </w:r>
      <w:r w:rsidRPr="00212D57">
        <w:rPr>
          <w:rFonts w:hint="eastAsia"/>
          <w:szCs w:val="22"/>
        </w:rPr>
        <w:t>，</w:t>
      </w:r>
      <w:r w:rsidRPr="00761EF3">
        <w:rPr>
          <w:rFonts w:hint="eastAsia"/>
          <w:szCs w:val="22"/>
        </w:rPr>
        <w:t>11a24</w:t>
      </w:r>
      <w:r w:rsidRPr="00212D57">
        <w:rPr>
          <w:rFonts w:hint="eastAsia"/>
          <w:szCs w:val="22"/>
        </w:rPr>
        <w:t>-</w:t>
      </w:r>
      <w:r w:rsidRPr="00761EF3">
        <w:rPr>
          <w:rFonts w:hint="eastAsia"/>
          <w:szCs w:val="22"/>
        </w:rPr>
        <w:t>12c22</w:t>
      </w:r>
      <w:r w:rsidRPr="00212D57">
        <w:rPr>
          <w:rFonts w:hint="eastAsia"/>
          <w:szCs w:val="22"/>
        </w:rPr>
        <w:t>）。</w:t>
      </w:r>
    </w:p>
  </w:footnote>
  <w:footnote w:id="260">
    <w:p w:rsidR="00157EF6" w:rsidRPr="00212D57" w:rsidRDefault="00157EF6" w:rsidP="002B682F">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）印順法師，《中觀今論》，</w:t>
      </w:r>
      <w:r w:rsidRPr="00761EF3">
        <w:rPr>
          <w:rFonts w:hint="eastAsia"/>
          <w:szCs w:val="22"/>
        </w:rPr>
        <w:t>p</w:t>
      </w:r>
      <w:r w:rsidRPr="00212D57">
        <w:rPr>
          <w:rFonts w:hint="eastAsia"/>
          <w:szCs w:val="22"/>
        </w:rPr>
        <w:t>.</w:t>
      </w:r>
      <w:r w:rsidRPr="00761EF3">
        <w:rPr>
          <w:rFonts w:hint="eastAsia"/>
          <w:szCs w:val="22"/>
        </w:rPr>
        <w:t>16</w:t>
      </w:r>
      <w:r w:rsidRPr="00212D57">
        <w:rPr>
          <w:rFonts w:hint="eastAsia"/>
          <w:szCs w:val="22"/>
        </w:rPr>
        <w:t>：</w:t>
      </w:r>
    </w:p>
    <w:p w:rsidR="00157EF6" w:rsidRPr="00212D57" w:rsidRDefault="00157EF6" w:rsidP="002B682F">
      <w:pPr>
        <w:pStyle w:val="a5"/>
        <w:ind w:leftChars="300" w:left="720"/>
        <w:jc w:val="both"/>
        <w:rPr>
          <w:szCs w:val="22"/>
        </w:rPr>
      </w:pPr>
      <w:r w:rsidRPr="00212D57">
        <w:rPr>
          <w:rFonts w:ascii="標楷體" w:eastAsia="標楷體" w:hAnsi="標楷體" w:hint="eastAsia"/>
          <w:szCs w:val="22"/>
        </w:rPr>
        <w:t>根本論與支論，總有五正理聚：即一、《根本中論》，二、《迴諍論》，三、《七十空論》，四、《六十如理論》，五、《大乘二十論》。這五部論，為印度後期中觀師所依據的，認為都是龍樹造的。</w:t>
      </w:r>
    </w:p>
    <w:p w:rsidR="00157EF6" w:rsidRPr="00212D57" w:rsidRDefault="00157EF6" w:rsidP="002B682F">
      <w:pPr>
        <w:pStyle w:val="a5"/>
        <w:ind w:leftChars="80" w:left="73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）印順法師，</w:t>
      </w:r>
      <w:r w:rsidRPr="00212D57">
        <w:rPr>
          <w:szCs w:val="22"/>
        </w:rPr>
        <w:t>《空之探究》</w:t>
      </w:r>
      <w:r w:rsidRPr="00212D57">
        <w:rPr>
          <w:rFonts w:hint="eastAsia"/>
          <w:szCs w:val="22"/>
        </w:rPr>
        <w:t>，</w:t>
      </w:r>
      <w:r w:rsidRPr="00761EF3">
        <w:rPr>
          <w:szCs w:val="22"/>
        </w:rPr>
        <w:t>p</w:t>
      </w:r>
      <w:r w:rsidRPr="00212D57">
        <w:rPr>
          <w:szCs w:val="22"/>
        </w:rPr>
        <w:t>.</w:t>
      </w:r>
      <w:r w:rsidRPr="00761EF3">
        <w:rPr>
          <w:szCs w:val="22"/>
        </w:rPr>
        <w:t>205</w:t>
      </w:r>
      <w:r w:rsidRPr="00212D57">
        <w:rPr>
          <w:szCs w:val="22"/>
        </w:rPr>
        <w:t>：</w:t>
      </w:r>
    </w:p>
    <w:p w:rsidR="00157EF6" w:rsidRPr="00212D57" w:rsidRDefault="00157EF6" w:rsidP="002B682F">
      <w:pPr>
        <w:pStyle w:val="a5"/>
        <w:ind w:leftChars="300" w:left="720"/>
        <w:jc w:val="both"/>
        <w:rPr>
          <w:szCs w:val="22"/>
        </w:rPr>
      </w:pPr>
      <w:r w:rsidRPr="00212D57">
        <w:rPr>
          <w:rFonts w:eastAsia="標楷體"/>
          <w:szCs w:val="22"/>
        </w:rPr>
        <w:t>一、西藏傳譯有《中論》（頌），《六十頌如理論》，《七十空性論》，《迴諍論》，《大乘破有論》，稱為五正理聚。漢譯與之相當的，</w:t>
      </w:r>
      <w:r w:rsidRPr="00761EF3">
        <w:rPr>
          <w:rFonts w:eastAsia="標楷體"/>
          <w:szCs w:val="22"/>
        </w:rPr>
        <w:t>1</w:t>
      </w:r>
      <w:r w:rsidRPr="00212D57">
        <w:rPr>
          <w:rFonts w:eastAsia="標楷體"/>
          <w:szCs w:val="22"/>
        </w:rPr>
        <w:t>.</w:t>
      </w:r>
      <w:r w:rsidRPr="00212D57">
        <w:rPr>
          <w:rFonts w:eastAsia="標楷體"/>
          <w:szCs w:val="22"/>
        </w:rPr>
        <w:t>《中論》頌釋，有鳩摩羅什所譯的青目釋《中論》；唐波羅頗迦羅蜜多羅</w:t>
      </w:r>
      <w:r w:rsidRPr="00212D57">
        <w:rPr>
          <w:rFonts w:eastAsia="標楷體" w:hint="eastAsia"/>
          <w:szCs w:val="22"/>
        </w:rPr>
        <w:t>（</w:t>
      </w:r>
      <w:r w:rsidRPr="00761EF3">
        <w:rPr>
          <w:rFonts w:eastAsia="標楷體"/>
          <w:szCs w:val="22"/>
        </w:rPr>
        <w:t>Prabh</w:t>
      </w:r>
      <w:r w:rsidRPr="00761EF3">
        <w:rPr>
          <w:rFonts w:eastAsia="MS Mincho"/>
          <w:szCs w:val="22"/>
        </w:rPr>
        <w:t>ā</w:t>
      </w:r>
      <w:r w:rsidRPr="00761EF3">
        <w:rPr>
          <w:rFonts w:eastAsia="標楷體"/>
          <w:szCs w:val="22"/>
        </w:rPr>
        <w:t>karamitra</w:t>
      </w:r>
      <w:r w:rsidRPr="00212D57">
        <w:rPr>
          <w:rFonts w:eastAsia="標楷體" w:hint="eastAsia"/>
          <w:szCs w:val="22"/>
        </w:rPr>
        <w:t>）</w:t>
      </w:r>
      <w:r w:rsidRPr="00212D57">
        <w:rPr>
          <w:rFonts w:eastAsia="標楷體"/>
          <w:szCs w:val="22"/>
        </w:rPr>
        <w:t>所譯，分別明（清辨</w:t>
      </w:r>
      <w:r w:rsidRPr="00212D57">
        <w:rPr>
          <w:rFonts w:eastAsia="標楷體" w:hint="eastAsia"/>
          <w:szCs w:val="22"/>
        </w:rPr>
        <w:t>，</w:t>
      </w:r>
      <w:r w:rsidRPr="00761EF3">
        <w:rPr>
          <w:rFonts w:eastAsia="標楷體"/>
          <w:szCs w:val="22"/>
        </w:rPr>
        <w:t>Bh</w:t>
      </w:r>
      <w:r w:rsidRPr="00761EF3">
        <w:rPr>
          <w:rFonts w:eastAsia="MS Mincho"/>
          <w:szCs w:val="22"/>
        </w:rPr>
        <w:t>ā</w:t>
      </w:r>
      <w:r w:rsidRPr="00761EF3">
        <w:rPr>
          <w:rFonts w:eastAsia="標楷體"/>
          <w:szCs w:val="22"/>
        </w:rPr>
        <w:t>vaviveka</w:t>
      </w:r>
      <w:r w:rsidRPr="00212D57">
        <w:rPr>
          <w:rFonts w:eastAsia="標楷體"/>
          <w:szCs w:val="22"/>
        </w:rPr>
        <w:t>）所造的《般若燈論》；趙宋惟淨所譯的，安慧所造的《大乘中觀釋論》</w:t>
      </w:r>
      <w:r w:rsidRPr="00212D57">
        <w:rPr>
          <w:rFonts w:ascii="新細明體" w:hAnsi="新細明體"/>
          <w:szCs w:val="22"/>
        </w:rPr>
        <w:t>──</w:t>
      </w:r>
      <w:r w:rsidRPr="00212D57">
        <w:rPr>
          <w:rFonts w:eastAsia="標楷體"/>
          <w:szCs w:val="22"/>
        </w:rPr>
        <w:t>三部。</w:t>
      </w:r>
      <w:r w:rsidRPr="00761EF3">
        <w:rPr>
          <w:rFonts w:eastAsia="標楷體"/>
          <w:szCs w:val="22"/>
        </w:rPr>
        <w:t>2</w:t>
      </w:r>
      <w:r w:rsidRPr="00212D57">
        <w:rPr>
          <w:rFonts w:eastAsia="標楷體"/>
          <w:szCs w:val="22"/>
        </w:rPr>
        <w:t>.</w:t>
      </w:r>
      <w:r w:rsidRPr="00212D57">
        <w:rPr>
          <w:rFonts w:eastAsia="標楷體"/>
          <w:szCs w:val="22"/>
        </w:rPr>
        <w:t>後魏毘目智仙與瞿曇（般若）流支共譯的《迴諍論》。</w:t>
      </w:r>
      <w:r w:rsidRPr="00761EF3">
        <w:rPr>
          <w:rFonts w:eastAsia="標楷體"/>
          <w:szCs w:val="22"/>
        </w:rPr>
        <w:t>3</w:t>
      </w:r>
      <w:r w:rsidRPr="00212D57">
        <w:rPr>
          <w:rFonts w:eastAsia="標楷體"/>
          <w:szCs w:val="22"/>
        </w:rPr>
        <w:t>.</w:t>
      </w:r>
      <w:r w:rsidRPr="00212D57">
        <w:rPr>
          <w:rFonts w:eastAsia="標楷體"/>
          <w:szCs w:val="22"/>
        </w:rPr>
        <w:t>宋施護所譯的《六十頌如理論》；及</w:t>
      </w:r>
      <w:r w:rsidRPr="00761EF3">
        <w:rPr>
          <w:rFonts w:eastAsia="標楷體"/>
          <w:szCs w:val="22"/>
        </w:rPr>
        <w:t>4</w:t>
      </w:r>
      <w:r w:rsidRPr="00212D57">
        <w:rPr>
          <w:rFonts w:eastAsia="標楷體"/>
          <w:szCs w:val="22"/>
        </w:rPr>
        <w:t>.</w:t>
      </w:r>
      <w:r w:rsidRPr="00212D57">
        <w:rPr>
          <w:rFonts w:eastAsia="標楷體"/>
          <w:szCs w:val="22"/>
        </w:rPr>
        <w:t>《大乘破有論》。</w:t>
      </w:r>
      <w:r w:rsidRPr="00761EF3">
        <w:rPr>
          <w:rFonts w:eastAsia="標楷體"/>
          <w:szCs w:val="22"/>
        </w:rPr>
        <w:t>5</w:t>
      </w:r>
      <w:r w:rsidRPr="00212D57">
        <w:rPr>
          <w:rFonts w:eastAsia="標楷體"/>
          <w:szCs w:val="22"/>
        </w:rPr>
        <w:t>.</w:t>
      </w:r>
      <w:r w:rsidRPr="00212D57">
        <w:rPr>
          <w:rFonts w:eastAsia="標楷體"/>
          <w:szCs w:val="22"/>
        </w:rPr>
        <w:t>《七十空性論》，法尊於民國</w:t>
      </w:r>
      <w:r w:rsidR="00241E6A" w:rsidRPr="00241E6A">
        <w:rPr>
          <w:rFonts w:eastAsia="標楷體" w:hint="eastAsia"/>
          <w:szCs w:val="22"/>
        </w:rPr>
        <w:t>33</w:t>
      </w:r>
      <w:r w:rsidRPr="00212D57">
        <w:rPr>
          <w:rFonts w:eastAsia="標楷體"/>
          <w:szCs w:val="22"/>
        </w:rPr>
        <w:t>年（？），在四川漢藏教理院譯出。這五部，都是抉擇甚深義的。</w:t>
      </w:r>
    </w:p>
    <w:p w:rsidR="00157EF6" w:rsidRPr="00212D57" w:rsidRDefault="00157EF6" w:rsidP="002B682F">
      <w:pPr>
        <w:pStyle w:val="a5"/>
        <w:ind w:leftChars="80" w:left="731" w:hangingChars="245" w:hanging="539"/>
        <w:jc w:val="both"/>
        <w:rPr>
          <w:szCs w:val="22"/>
        </w:rPr>
      </w:pPr>
      <w:r w:rsidRPr="00212D57">
        <w:rPr>
          <w:rFonts w:hint="eastAsia"/>
          <w:szCs w:val="22"/>
        </w:rPr>
        <w:t>（</w:t>
      </w:r>
      <w:r w:rsidRPr="00761EF3">
        <w:rPr>
          <w:rFonts w:hint="eastAsia"/>
          <w:szCs w:val="22"/>
        </w:rPr>
        <w:t>3</w:t>
      </w:r>
      <w:r w:rsidRPr="00212D57">
        <w:rPr>
          <w:rFonts w:hint="eastAsia"/>
          <w:szCs w:val="22"/>
        </w:rPr>
        <w:t>）印順法師，《印度佛教思想史》，</w:t>
      </w:r>
      <w:r w:rsidRPr="00761EF3">
        <w:rPr>
          <w:rFonts w:hint="eastAsia"/>
          <w:szCs w:val="22"/>
        </w:rPr>
        <w:t>pp</w:t>
      </w:r>
      <w:r w:rsidRPr="00212D57">
        <w:rPr>
          <w:rFonts w:hint="eastAsia"/>
          <w:szCs w:val="22"/>
        </w:rPr>
        <w:t>.</w:t>
      </w:r>
      <w:r w:rsidRPr="00761EF3">
        <w:rPr>
          <w:rFonts w:hint="eastAsia"/>
          <w:szCs w:val="22"/>
        </w:rPr>
        <w:t>123</w:t>
      </w:r>
      <w:r w:rsidRPr="00212D57">
        <w:rPr>
          <w:rFonts w:hint="eastAsia"/>
          <w:szCs w:val="22"/>
        </w:rPr>
        <w:t>-</w:t>
      </w:r>
      <w:r w:rsidRPr="00761EF3">
        <w:rPr>
          <w:rFonts w:hint="eastAsia"/>
          <w:szCs w:val="22"/>
        </w:rPr>
        <w:t>124</w:t>
      </w:r>
      <w:r w:rsidRPr="00212D57">
        <w:rPr>
          <w:rFonts w:hint="eastAsia"/>
          <w:szCs w:val="22"/>
        </w:rPr>
        <w:t>：</w:t>
      </w:r>
    </w:p>
    <w:p w:rsidR="00157EF6" w:rsidRPr="00212D57" w:rsidRDefault="00241E6A" w:rsidP="002B682F">
      <w:pPr>
        <w:pStyle w:val="a5"/>
        <w:ind w:leftChars="300" w:left="720"/>
        <w:jc w:val="both"/>
        <w:rPr>
          <w:szCs w:val="22"/>
        </w:rPr>
      </w:pPr>
      <w:r w:rsidRPr="00241E6A">
        <w:rPr>
          <w:rFonts w:eastAsia="標楷體" w:hint="eastAsia"/>
          <w:color w:val="FF0000"/>
          <w:szCs w:val="22"/>
          <w:highlight w:val="yellow"/>
        </w:rPr>
        <w:t>西元七、八世紀，佛法傳入西藏；在藏文的譯本中，有眾多的龍樹作品</w:t>
      </w:r>
      <w:r>
        <w:rPr>
          <w:rFonts w:eastAsia="標楷體" w:hint="eastAsia"/>
          <w:color w:val="FF0000"/>
          <w:szCs w:val="22"/>
          <w:highlight w:val="yellow"/>
        </w:rPr>
        <w:t>。</w:t>
      </w:r>
      <w:r w:rsidRPr="00241E6A">
        <w:rPr>
          <w:rFonts w:eastAsia="標楷體" w:hint="eastAsia"/>
          <w:color w:val="FF0000"/>
          <w:szCs w:val="22"/>
          <w:shd w:val="pct15" w:color="auto" w:fill="FFFFFF"/>
        </w:rPr>
        <w:t>……</w:t>
      </w:r>
      <w:r w:rsidR="00157EF6" w:rsidRPr="00212D57">
        <w:rPr>
          <w:rFonts w:eastAsia="標楷體"/>
          <w:szCs w:val="22"/>
        </w:rPr>
        <w:t>主要的是「五正理聚」，顯示甚深義的五部論。一、《根本中論頌》。二、《六十頌如理論》：我國趙宋施護曾譯出龍樹的本頌。三、《七十空性論》（頌及釋）：近代法尊依藏文譯成漢文。四、《迴諍論》：後魏毘目智仙與瞿曇流支，曾譯出偈與釋。五、《廣破經》。</w:t>
      </w:r>
    </w:p>
    <w:p w:rsidR="00157EF6" w:rsidRPr="00212D57" w:rsidRDefault="00157EF6" w:rsidP="002B682F">
      <w:pPr>
        <w:pStyle w:val="a5"/>
        <w:ind w:leftChars="80" w:left="731" w:hangingChars="245" w:hanging="539"/>
        <w:jc w:val="both"/>
        <w:rPr>
          <w:szCs w:val="22"/>
        </w:rPr>
      </w:pPr>
      <w:r w:rsidRPr="00212D57">
        <w:rPr>
          <w:rFonts w:hint="eastAsia"/>
          <w:szCs w:val="22"/>
        </w:rPr>
        <w:t>（</w:t>
      </w:r>
      <w:r w:rsidRPr="00761EF3">
        <w:rPr>
          <w:rFonts w:hint="eastAsia"/>
          <w:szCs w:val="22"/>
        </w:rPr>
        <w:t>4</w:t>
      </w:r>
      <w:r w:rsidRPr="00212D57">
        <w:rPr>
          <w:rFonts w:hint="eastAsia"/>
          <w:szCs w:val="22"/>
        </w:rPr>
        <w:t>）案：在印順法師的三本著作中所提的「五正理聚」，有四部是相同的，即《中論》、《迴諍論》、《七十空性論》、《六十頌如理論》；不同的有《大乘二十［頌］論》、《大乘破有論》、《廣破經》，前二部都是宋施護所譯，最後的《廣破經》沒有漢譯本，該經在萬金川撰寫的《中觀思想講錄》，〈中觀學知見書目舉隅〉</w:t>
      </w:r>
      <w:r w:rsidRPr="00212D57">
        <w:rPr>
          <w:szCs w:val="22"/>
        </w:rPr>
        <w:t>（嘉義：香光書鄉</w:t>
      </w:r>
      <w:r w:rsidRPr="00212D57">
        <w:rPr>
          <w:rFonts w:hint="eastAsia"/>
          <w:szCs w:val="22"/>
        </w:rPr>
        <w:t>，</w:t>
      </w:r>
      <w:r w:rsidRPr="00761EF3">
        <w:rPr>
          <w:szCs w:val="22"/>
        </w:rPr>
        <w:t>1998</w:t>
      </w:r>
      <w:r w:rsidRPr="00212D57">
        <w:rPr>
          <w:szCs w:val="22"/>
        </w:rPr>
        <w:t>年</w:t>
      </w:r>
      <w:r w:rsidRPr="00212D57">
        <w:rPr>
          <w:rFonts w:hint="eastAsia"/>
          <w:szCs w:val="22"/>
        </w:rPr>
        <w:t>，</w:t>
      </w:r>
      <w:r w:rsidRPr="00761EF3">
        <w:rPr>
          <w:rFonts w:hint="eastAsia"/>
          <w:szCs w:val="22"/>
        </w:rPr>
        <w:t>pp</w:t>
      </w:r>
      <w:r w:rsidRPr="00212D57">
        <w:rPr>
          <w:rFonts w:hint="eastAsia"/>
          <w:szCs w:val="22"/>
        </w:rPr>
        <w:t>.</w:t>
      </w:r>
      <w:r w:rsidRPr="00761EF3">
        <w:rPr>
          <w:rFonts w:hint="eastAsia"/>
          <w:szCs w:val="22"/>
        </w:rPr>
        <w:t>272</w:t>
      </w:r>
      <w:r w:rsidRPr="00212D57">
        <w:rPr>
          <w:rFonts w:hint="eastAsia"/>
          <w:szCs w:val="22"/>
        </w:rPr>
        <w:t>-</w:t>
      </w:r>
      <w:r w:rsidRPr="00761EF3">
        <w:rPr>
          <w:rFonts w:hint="eastAsia"/>
          <w:szCs w:val="22"/>
        </w:rPr>
        <w:t>273</w:t>
      </w:r>
      <w:r w:rsidRPr="00212D57">
        <w:rPr>
          <w:rFonts w:hint="eastAsia"/>
          <w:szCs w:val="22"/>
        </w:rPr>
        <w:t>）中曾提到，本書的「經」與「論」二者都但存藏譯而已。此書的日文與英文譯本，可參見梶山雄一、瓜生津隆真共譯，《大乘佛典（</w:t>
      </w:r>
      <w:r w:rsidRPr="00761EF3">
        <w:rPr>
          <w:rFonts w:hint="eastAsia"/>
          <w:szCs w:val="22"/>
        </w:rPr>
        <w:t>14</w:t>
      </w:r>
      <w:r w:rsidRPr="00212D57">
        <w:rPr>
          <w:rFonts w:hint="eastAsia"/>
          <w:szCs w:val="22"/>
        </w:rPr>
        <w:t>），龍樹論集》，東京：中央公論社，</w:t>
      </w:r>
      <w:r w:rsidRPr="00761EF3">
        <w:rPr>
          <w:rFonts w:hint="eastAsia"/>
          <w:szCs w:val="22"/>
        </w:rPr>
        <w:t>1974</w:t>
      </w:r>
      <w:r w:rsidRPr="00212D57">
        <w:rPr>
          <w:rFonts w:hint="eastAsia"/>
          <w:szCs w:val="22"/>
        </w:rPr>
        <w:t>，</w:t>
      </w:r>
      <w:r w:rsidRPr="00761EF3">
        <w:rPr>
          <w:rFonts w:hint="eastAsia"/>
          <w:szCs w:val="22"/>
        </w:rPr>
        <w:t>pp</w:t>
      </w:r>
      <w:r w:rsidRPr="00212D57">
        <w:rPr>
          <w:rFonts w:hint="eastAsia"/>
          <w:szCs w:val="22"/>
        </w:rPr>
        <w:t>.</w:t>
      </w:r>
      <w:r w:rsidRPr="00761EF3">
        <w:rPr>
          <w:rFonts w:hint="eastAsia"/>
          <w:szCs w:val="22"/>
        </w:rPr>
        <w:t>185</w:t>
      </w:r>
      <w:r w:rsidRPr="00212D57">
        <w:rPr>
          <w:rFonts w:hint="eastAsia"/>
          <w:szCs w:val="22"/>
        </w:rPr>
        <w:t>-</w:t>
      </w:r>
      <w:r w:rsidRPr="00761EF3">
        <w:rPr>
          <w:rFonts w:hint="eastAsia"/>
          <w:szCs w:val="22"/>
        </w:rPr>
        <w:t>229</w:t>
      </w:r>
      <w:r w:rsidRPr="00212D57">
        <w:rPr>
          <w:rFonts w:hint="eastAsia"/>
          <w:szCs w:val="22"/>
        </w:rPr>
        <w:t>，或</w:t>
      </w:r>
      <w:r w:rsidRPr="00761EF3">
        <w:rPr>
          <w:szCs w:val="22"/>
        </w:rPr>
        <w:t>Tola</w:t>
      </w:r>
      <w:r w:rsidRPr="00212D57">
        <w:rPr>
          <w:szCs w:val="22"/>
        </w:rPr>
        <w:t xml:space="preserve">, </w:t>
      </w:r>
      <w:r w:rsidRPr="00761EF3">
        <w:rPr>
          <w:szCs w:val="22"/>
        </w:rPr>
        <w:t>F</w:t>
      </w:r>
      <w:r w:rsidRPr="00212D57">
        <w:rPr>
          <w:szCs w:val="22"/>
        </w:rPr>
        <w:t xml:space="preserve">. </w:t>
      </w:r>
      <w:r w:rsidRPr="00761EF3">
        <w:rPr>
          <w:szCs w:val="22"/>
        </w:rPr>
        <w:t>and</w:t>
      </w:r>
      <w:r w:rsidRPr="00212D57">
        <w:rPr>
          <w:szCs w:val="22"/>
        </w:rPr>
        <w:t xml:space="preserve"> </w:t>
      </w:r>
      <w:r w:rsidRPr="00761EF3">
        <w:rPr>
          <w:szCs w:val="22"/>
        </w:rPr>
        <w:t>Dragonetti</w:t>
      </w:r>
      <w:r w:rsidRPr="00212D57">
        <w:rPr>
          <w:szCs w:val="22"/>
        </w:rPr>
        <w:t xml:space="preserve">, </w:t>
      </w:r>
      <w:r w:rsidRPr="00761EF3">
        <w:rPr>
          <w:szCs w:val="22"/>
        </w:rPr>
        <w:t>C</w:t>
      </w:r>
      <w:r w:rsidRPr="00212D57">
        <w:rPr>
          <w:szCs w:val="22"/>
        </w:rPr>
        <w:t xml:space="preserve">., </w:t>
      </w:r>
      <w:r w:rsidRPr="00761EF3">
        <w:rPr>
          <w:i/>
          <w:szCs w:val="22"/>
        </w:rPr>
        <w:t>N</w:t>
      </w:r>
      <w:r w:rsidRPr="00761EF3">
        <w:rPr>
          <w:rFonts w:eastAsia="MS Mincho"/>
          <w:szCs w:val="22"/>
        </w:rPr>
        <w:t>ā</w:t>
      </w:r>
      <w:r w:rsidRPr="00761EF3">
        <w:rPr>
          <w:i/>
          <w:szCs w:val="22"/>
        </w:rPr>
        <w:t>garjuna</w:t>
      </w:r>
      <w:r w:rsidRPr="00212D57">
        <w:rPr>
          <w:i/>
          <w:szCs w:val="22"/>
        </w:rPr>
        <w:t>'</w:t>
      </w:r>
      <w:r w:rsidRPr="00761EF3">
        <w:rPr>
          <w:i/>
          <w:szCs w:val="22"/>
        </w:rPr>
        <w:t>s</w:t>
      </w:r>
      <w:r w:rsidRPr="00212D57">
        <w:rPr>
          <w:i/>
          <w:szCs w:val="22"/>
        </w:rPr>
        <w:t xml:space="preserve"> </w:t>
      </w:r>
      <w:r w:rsidRPr="00761EF3">
        <w:rPr>
          <w:i/>
          <w:szCs w:val="22"/>
        </w:rPr>
        <w:t>Refutation</w:t>
      </w:r>
      <w:r w:rsidRPr="00212D57">
        <w:rPr>
          <w:i/>
          <w:szCs w:val="22"/>
        </w:rPr>
        <w:t xml:space="preserve"> </w:t>
      </w:r>
      <w:r w:rsidRPr="00761EF3">
        <w:rPr>
          <w:i/>
          <w:szCs w:val="22"/>
        </w:rPr>
        <w:t>of</w:t>
      </w:r>
      <w:r w:rsidRPr="00212D57">
        <w:rPr>
          <w:i/>
          <w:szCs w:val="22"/>
        </w:rPr>
        <w:t xml:space="preserve"> </w:t>
      </w:r>
      <w:r w:rsidRPr="00761EF3">
        <w:rPr>
          <w:i/>
          <w:szCs w:val="22"/>
        </w:rPr>
        <w:t>Logic</w:t>
      </w:r>
      <w:r w:rsidRPr="00212D57">
        <w:rPr>
          <w:i/>
          <w:szCs w:val="22"/>
        </w:rPr>
        <w:t xml:space="preserve"> </w:t>
      </w:r>
      <w:r w:rsidRPr="00212D57">
        <w:rPr>
          <w:i/>
          <w:szCs w:val="22"/>
        </w:rPr>
        <w:t>（</w:t>
      </w:r>
      <w:r w:rsidRPr="00761EF3">
        <w:rPr>
          <w:i/>
          <w:szCs w:val="22"/>
        </w:rPr>
        <w:t>Nyaya</w:t>
      </w:r>
      <w:r w:rsidRPr="00212D57">
        <w:rPr>
          <w:i/>
          <w:szCs w:val="22"/>
        </w:rPr>
        <w:t>）</w:t>
      </w:r>
      <w:r w:rsidRPr="00212D57">
        <w:rPr>
          <w:rFonts w:hint="eastAsia"/>
          <w:szCs w:val="22"/>
        </w:rPr>
        <w:t xml:space="preserve"> , </w:t>
      </w:r>
      <w:r w:rsidRPr="00761EF3">
        <w:rPr>
          <w:rFonts w:hint="eastAsia"/>
          <w:szCs w:val="22"/>
        </w:rPr>
        <w:t>Delhi</w:t>
      </w:r>
      <w:r w:rsidRPr="00212D57">
        <w:rPr>
          <w:rFonts w:hint="eastAsia"/>
          <w:szCs w:val="22"/>
        </w:rPr>
        <w:t xml:space="preserve"> : </w:t>
      </w:r>
      <w:r w:rsidRPr="00761EF3">
        <w:rPr>
          <w:rFonts w:hint="eastAsia"/>
          <w:szCs w:val="22"/>
        </w:rPr>
        <w:t>Motital</w:t>
      </w:r>
      <w:r w:rsidRPr="00212D57">
        <w:rPr>
          <w:rFonts w:hint="eastAsia"/>
          <w:szCs w:val="22"/>
        </w:rPr>
        <w:t xml:space="preserve"> </w:t>
      </w:r>
      <w:r w:rsidRPr="00761EF3">
        <w:rPr>
          <w:rFonts w:hint="eastAsia"/>
          <w:szCs w:val="22"/>
        </w:rPr>
        <w:t>Branarsidass</w:t>
      </w:r>
      <w:r w:rsidRPr="00212D57">
        <w:rPr>
          <w:rFonts w:hint="eastAsia"/>
          <w:szCs w:val="22"/>
        </w:rPr>
        <w:t xml:space="preserve"> </w:t>
      </w:r>
      <w:r w:rsidRPr="00761EF3">
        <w:rPr>
          <w:rFonts w:hint="eastAsia"/>
          <w:szCs w:val="22"/>
        </w:rPr>
        <w:t>Publishers</w:t>
      </w:r>
      <w:r w:rsidRPr="00212D57">
        <w:rPr>
          <w:rFonts w:hint="eastAsia"/>
          <w:szCs w:val="22"/>
        </w:rPr>
        <w:t xml:space="preserve">, </w:t>
      </w:r>
      <w:r w:rsidRPr="00761EF3">
        <w:rPr>
          <w:rFonts w:hint="eastAsia"/>
          <w:szCs w:val="22"/>
        </w:rPr>
        <w:t>1995</w:t>
      </w:r>
      <w:r w:rsidRPr="00212D57">
        <w:rPr>
          <w:rFonts w:hint="eastAsia"/>
          <w:szCs w:val="22"/>
        </w:rPr>
        <w:t xml:space="preserve">, </w:t>
      </w:r>
      <w:r w:rsidRPr="00761EF3">
        <w:rPr>
          <w:rFonts w:hint="eastAsia"/>
          <w:szCs w:val="22"/>
        </w:rPr>
        <w:t>pp</w:t>
      </w:r>
      <w:r w:rsidRPr="00212D57">
        <w:rPr>
          <w:rFonts w:hint="eastAsia"/>
          <w:szCs w:val="22"/>
        </w:rPr>
        <w:t>.</w:t>
      </w:r>
      <w:r w:rsidRPr="00761EF3">
        <w:rPr>
          <w:rFonts w:hint="eastAsia"/>
          <w:szCs w:val="22"/>
        </w:rPr>
        <w:t>57</w:t>
      </w:r>
      <w:r w:rsidRPr="00212D57">
        <w:rPr>
          <w:rFonts w:hint="eastAsia"/>
          <w:szCs w:val="22"/>
        </w:rPr>
        <w:t>-</w:t>
      </w:r>
      <w:r w:rsidRPr="00761EF3">
        <w:rPr>
          <w:rFonts w:hint="eastAsia"/>
          <w:szCs w:val="22"/>
        </w:rPr>
        <w:t>95</w:t>
      </w:r>
      <w:r w:rsidRPr="00212D57">
        <w:rPr>
          <w:rFonts w:hint="eastAsia"/>
          <w:szCs w:val="22"/>
        </w:rPr>
        <w:t>。</w:t>
      </w:r>
    </w:p>
  </w:footnote>
  <w:footnote w:id="261">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212D57">
        <w:rPr>
          <w:rFonts w:hint="eastAsia"/>
          <w:b/>
          <w:szCs w:val="22"/>
        </w:rPr>
        <w:t>三論宗</w:t>
      </w:r>
      <w:r w:rsidRPr="00212D57">
        <w:rPr>
          <w:rFonts w:hint="eastAsia"/>
          <w:szCs w:val="22"/>
        </w:rPr>
        <w:t>：……係以《中論》、《百論》、《十二門論》等三論為所依，宣揚空、無相、八不中道等義理之宗派。以著重闡揚諸法性空，故又稱法性宗。……</w:t>
      </w:r>
    </w:p>
    <w:p w:rsidR="00157EF6" w:rsidRPr="00212D57" w:rsidRDefault="00157EF6" w:rsidP="002B682F">
      <w:pPr>
        <w:pStyle w:val="a5"/>
        <w:ind w:leftChars="330" w:left="792"/>
        <w:jc w:val="both"/>
        <w:rPr>
          <w:szCs w:val="22"/>
        </w:rPr>
      </w:pPr>
      <w:r w:rsidRPr="00212D57">
        <w:rPr>
          <w:szCs w:val="22"/>
        </w:rPr>
        <w:t>此宗傳入我國，其派有二：姚秦時代由鳩摩羅什傳來者，稱為</w:t>
      </w:r>
      <w:r w:rsidRPr="00212D57">
        <w:rPr>
          <w:b/>
          <w:szCs w:val="22"/>
        </w:rPr>
        <w:t>古三論</w:t>
      </w:r>
      <w:r w:rsidRPr="00212D57">
        <w:rPr>
          <w:rFonts w:hint="eastAsia"/>
          <w:szCs w:val="22"/>
        </w:rPr>
        <w:t>。</w:t>
      </w:r>
    </w:p>
    <w:p w:rsidR="00157EF6" w:rsidRPr="00212D57" w:rsidRDefault="00157EF6" w:rsidP="002B682F">
      <w:pPr>
        <w:pStyle w:val="a5"/>
        <w:ind w:leftChars="330" w:left="792"/>
        <w:jc w:val="both"/>
        <w:rPr>
          <w:szCs w:val="22"/>
        </w:rPr>
      </w:pPr>
      <w:r w:rsidRPr="00212D57">
        <w:rPr>
          <w:b/>
          <w:szCs w:val="22"/>
        </w:rPr>
        <w:t>日照三藏</w:t>
      </w:r>
      <w:r w:rsidRPr="00212D57">
        <w:rPr>
          <w:szCs w:val="22"/>
        </w:rPr>
        <w:t>於唐高宗儀鳳年間（</w:t>
      </w:r>
      <w:r w:rsidRPr="00761EF3">
        <w:rPr>
          <w:szCs w:val="22"/>
        </w:rPr>
        <w:t>676</w:t>
      </w:r>
      <w:r w:rsidRPr="00212D57">
        <w:rPr>
          <w:szCs w:val="22"/>
        </w:rPr>
        <w:t>～</w:t>
      </w:r>
      <w:r w:rsidRPr="00761EF3">
        <w:rPr>
          <w:szCs w:val="22"/>
        </w:rPr>
        <w:t>678</w:t>
      </w:r>
      <w:r w:rsidRPr="00212D57">
        <w:rPr>
          <w:szCs w:val="22"/>
        </w:rPr>
        <w:t>）傳入之清辯、智光二論師之系統，則稱</w:t>
      </w:r>
      <w:r w:rsidRPr="00212D57">
        <w:rPr>
          <w:b/>
          <w:szCs w:val="22"/>
        </w:rPr>
        <w:t>新三論</w:t>
      </w:r>
      <w:r w:rsidRPr="00212D57">
        <w:rPr>
          <w:szCs w:val="22"/>
        </w:rPr>
        <w:t>。</w:t>
      </w:r>
      <w:r w:rsidRPr="00212D57">
        <w:rPr>
          <w:rFonts w:hint="eastAsia"/>
          <w:szCs w:val="22"/>
        </w:rPr>
        <w:t>（《佛光大辭典》（一），</w:t>
      </w:r>
      <w:r w:rsidRPr="00761EF3">
        <w:rPr>
          <w:rFonts w:hint="eastAsia"/>
          <w:szCs w:val="22"/>
        </w:rPr>
        <w:t>p</w:t>
      </w:r>
      <w:r w:rsidRPr="00212D57">
        <w:rPr>
          <w:rFonts w:hint="eastAsia"/>
          <w:szCs w:val="22"/>
        </w:rPr>
        <w:t>.</w:t>
      </w:r>
      <w:r w:rsidRPr="00761EF3">
        <w:rPr>
          <w:rFonts w:hint="eastAsia"/>
          <w:szCs w:val="22"/>
        </w:rPr>
        <w:t>676</w:t>
      </w:r>
      <w:r w:rsidRPr="00212D57">
        <w:rPr>
          <w:rFonts w:hint="eastAsia"/>
          <w:szCs w:val="22"/>
        </w:rPr>
        <w:t>.</w:t>
      </w:r>
      <w:r w:rsidRPr="00761EF3">
        <w:rPr>
          <w:rFonts w:hint="eastAsia"/>
          <w:szCs w:val="22"/>
        </w:rPr>
        <w:t>2</w:t>
      </w:r>
      <w:r w:rsidRPr="00212D57">
        <w:rPr>
          <w:rFonts w:hint="eastAsia"/>
          <w:szCs w:val="22"/>
        </w:rPr>
        <w:t>-</w:t>
      </w:r>
      <w:r w:rsidRPr="00761EF3">
        <w:rPr>
          <w:rFonts w:hint="eastAsia"/>
          <w:szCs w:val="22"/>
        </w:rPr>
        <w:t>676</w:t>
      </w:r>
      <w:r w:rsidRPr="00212D57">
        <w:rPr>
          <w:rFonts w:hint="eastAsia"/>
          <w:szCs w:val="22"/>
        </w:rPr>
        <w:t>.</w:t>
      </w:r>
      <w:r w:rsidRPr="00761EF3">
        <w:rPr>
          <w:rFonts w:hint="eastAsia"/>
          <w:szCs w:val="22"/>
        </w:rPr>
        <w:t>3</w:t>
      </w:r>
      <w:r w:rsidRPr="00212D57">
        <w:rPr>
          <w:rFonts w:hint="eastAsia"/>
          <w:szCs w:val="22"/>
        </w:rPr>
        <w:t>）</w:t>
      </w:r>
    </w:p>
    <w:p w:rsidR="00157EF6" w:rsidRPr="00212D57" w:rsidRDefault="00157EF6" w:rsidP="002B682F">
      <w:pPr>
        <w:pStyle w:val="a5"/>
        <w:ind w:leftChars="105" w:left="79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w:t>
      </w:r>
      <w:r w:rsidR="009160B5">
        <w:rPr>
          <w:rFonts w:hint="eastAsia"/>
          <w:szCs w:val="22"/>
        </w:rPr>
        <w:t>參見：印</w:t>
      </w:r>
      <w:r w:rsidRPr="00212D57">
        <w:rPr>
          <w:rFonts w:hint="eastAsia"/>
          <w:szCs w:val="22"/>
        </w:rPr>
        <w:t>順法師，《佛教史地考論》，</w:t>
      </w:r>
      <w:r w:rsidRPr="00761EF3">
        <w:rPr>
          <w:rFonts w:hint="eastAsia"/>
          <w:szCs w:val="22"/>
        </w:rPr>
        <w:t>p</w:t>
      </w:r>
      <w:r w:rsidRPr="00212D57">
        <w:rPr>
          <w:rFonts w:hint="eastAsia"/>
          <w:szCs w:val="22"/>
        </w:rPr>
        <w:t>.</w:t>
      </w:r>
      <w:r w:rsidRPr="00761EF3">
        <w:rPr>
          <w:rFonts w:hint="eastAsia"/>
          <w:szCs w:val="22"/>
        </w:rPr>
        <w:t>47</w:t>
      </w:r>
      <w:r w:rsidRPr="00212D57">
        <w:rPr>
          <w:rFonts w:hint="eastAsia"/>
          <w:szCs w:val="22"/>
        </w:rPr>
        <w:t>：</w:t>
      </w:r>
    </w:p>
    <w:p w:rsidR="00157EF6" w:rsidRPr="00212D57" w:rsidRDefault="00157EF6" w:rsidP="002B682F">
      <w:pPr>
        <w:pStyle w:val="a5"/>
        <w:ind w:leftChars="335" w:left="804"/>
        <w:jc w:val="both"/>
        <w:rPr>
          <w:rFonts w:ascii="標楷體" w:eastAsia="標楷體" w:hAnsi="標楷體"/>
          <w:szCs w:val="22"/>
        </w:rPr>
      </w:pPr>
      <w:r w:rsidRPr="00212D57">
        <w:rPr>
          <w:rFonts w:ascii="標楷體" w:eastAsia="標楷體" w:hAnsi="標楷體" w:hint="eastAsia"/>
          <w:b/>
          <w:szCs w:val="22"/>
        </w:rPr>
        <w:t>日照</w:t>
      </w:r>
      <w:r w:rsidRPr="00212D57">
        <w:rPr>
          <w:rFonts w:ascii="標楷體" w:eastAsia="標楷體" w:hAnsi="標楷體" w:hint="eastAsia"/>
          <w:szCs w:val="22"/>
        </w:rPr>
        <w:t>（</w:t>
      </w:r>
      <w:r w:rsidRPr="00212D57">
        <w:rPr>
          <w:rFonts w:eastAsia="標楷體" w:hint="eastAsia"/>
          <w:szCs w:val="22"/>
        </w:rPr>
        <w:t>高宗儀</w:t>
      </w:r>
      <w:r w:rsidRPr="00212D57">
        <w:rPr>
          <w:rFonts w:ascii="標楷體" w:eastAsia="標楷體" w:hAnsi="標楷體" w:hint="eastAsia"/>
          <w:szCs w:val="22"/>
        </w:rPr>
        <w:t>鳳初來華──六七六）譯《密嚴》，藏為之疏；且從問性空之學，著《十二門論宗致義記》，傳印度中觀家智光之三時判教，以抗奘傳《深密經》之三時，因有所謂「</w:t>
      </w:r>
      <w:r w:rsidRPr="00212D57">
        <w:rPr>
          <w:rFonts w:ascii="標楷體" w:eastAsia="標楷體" w:hAnsi="標楷體" w:hint="eastAsia"/>
          <w:b/>
          <w:szCs w:val="22"/>
        </w:rPr>
        <w:t>新三論宗</w:t>
      </w:r>
      <w:r w:rsidRPr="00212D57">
        <w:rPr>
          <w:rFonts w:ascii="標楷體" w:eastAsia="標楷體" w:hAnsi="標楷體" w:hint="eastAsia"/>
          <w:szCs w:val="22"/>
        </w:rPr>
        <w:t>」，為華嚴家附習法門。</w:t>
      </w:r>
    </w:p>
    <w:p w:rsidR="00157EF6" w:rsidRPr="00212D57" w:rsidRDefault="00157EF6" w:rsidP="002B682F">
      <w:pPr>
        <w:pStyle w:val="a5"/>
        <w:ind w:leftChars="105" w:left="791" w:hangingChars="245" w:hanging="539"/>
        <w:jc w:val="both"/>
        <w:rPr>
          <w:szCs w:val="22"/>
        </w:rPr>
      </w:pPr>
      <w:r w:rsidRPr="00212D57">
        <w:rPr>
          <w:rFonts w:hint="eastAsia"/>
          <w:szCs w:val="22"/>
        </w:rPr>
        <w:t>（</w:t>
      </w:r>
      <w:r w:rsidRPr="00761EF3">
        <w:rPr>
          <w:rFonts w:hint="eastAsia"/>
          <w:szCs w:val="22"/>
        </w:rPr>
        <w:t>3</w:t>
      </w:r>
      <w:r w:rsidRPr="00212D57">
        <w:rPr>
          <w:rFonts w:hint="eastAsia"/>
          <w:szCs w:val="22"/>
        </w:rPr>
        <w:t>）案：古三論師、新三論師的分判，有種種異說，參見平井俊榮，《中國般若思想史研究》，東京：春秋社，</w:t>
      </w:r>
      <w:r w:rsidRPr="00761EF3">
        <w:rPr>
          <w:rFonts w:hint="eastAsia"/>
          <w:szCs w:val="22"/>
        </w:rPr>
        <w:t>1976</w:t>
      </w:r>
      <w:r w:rsidRPr="00212D57">
        <w:rPr>
          <w:rFonts w:hint="eastAsia"/>
          <w:szCs w:val="22"/>
        </w:rPr>
        <w:t>年，</w:t>
      </w:r>
      <w:r w:rsidRPr="00761EF3">
        <w:rPr>
          <w:rFonts w:hint="eastAsia"/>
          <w:szCs w:val="22"/>
        </w:rPr>
        <w:t>pp</w:t>
      </w:r>
      <w:r w:rsidRPr="00212D57">
        <w:rPr>
          <w:rFonts w:hint="eastAsia"/>
          <w:szCs w:val="22"/>
        </w:rPr>
        <w:t>.</w:t>
      </w:r>
      <w:r w:rsidRPr="00761EF3">
        <w:rPr>
          <w:rFonts w:hint="eastAsia"/>
          <w:szCs w:val="22"/>
        </w:rPr>
        <w:t>232</w:t>
      </w:r>
      <w:r w:rsidRPr="00212D57">
        <w:rPr>
          <w:rFonts w:hint="eastAsia"/>
          <w:szCs w:val="22"/>
        </w:rPr>
        <w:t>-</w:t>
      </w:r>
      <w:r w:rsidRPr="00761EF3">
        <w:rPr>
          <w:rFonts w:hint="eastAsia"/>
          <w:szCs w:val="22"/>
        </w:rPr>
        <w:t>240</w:t>
      </w:r>
      <w:r w:rsidRPr="00212D57">
        <w:rPr>
          <w:rFonts w:hint="eastAsia"/>
          <w:szCs w:val="22"/>
        </w:rPr>
        <w:t>。</w:t>
      </w:r>
    </w:p>
  </w:footnote>
  <w:footnote w:id="262">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）案：「賢首」即</w:t>
      </w:r>
      <w:r w:rsidRPr="00212D57">
        <w:rPr>
          <w:rFonts w:hint="eastAsia"/>
          <w:szCs w:val="22"/>
        </w:rPr>
        <w:t>「</w:t>
      </w:r>
      <w:r w:rsidRPr="00212D57">
        <w:rPr>
          <w:szCs w:val="22"/>
        </w:rPr>
        <w:t>法藏</w:t>
      </w:r>
      <w:r w:rsidRPr="00212D57">
        <w:rPr>
          <w:rFonts w:hint="eastAsia"/>
          <w:szCs w:val="22"/>
        </w:rPr>
        <w:t>」</w:t>
      </w:r>
      <w:r w:rsidRPr="00212D57">
        <w:rPr>
          <w:szCs w:val="22"/>
        </w:rPr>
        <w:t>。</w:t>
      </w:r>
    </w:p>
    <w:p w:rsidR="00157EF6" w:rsidRPr="00212D57" w:rsidRDefault="00157EF6" w:rsidP="002B682F">
      <w:pPr>
        <w:pStyle w:val="a5"/>
        <w:ind w:leftChars="105" w:left="791" w:hangingChars="245" w:hanging="539"/>
        <w:jc w:val="both"/>
        <w:rPr>
          <w:szCs w:val="22"/>
        </w:rPr>
      </w:pPr>
      <w:r w:rsidRPr="00212D57">
        <w:rPr>
          <w:szCs w:val="22"/>
        </w:rPr>
        <w:t>（</w:t>
      </w:r>
      <w:r w:rsidRPr="00761EF3">
        <w:rPr>
          <w:szCs w:val="22"/>
        </w:rPr>
        <w:t>2</w:t>
      </w:r>
      <w:r w:rsidRPr="00212D57">
        <w:rPr>
          <w:szCs w:val="22"/>
        </w:rPr>
        <w:t>）法藏：（</w:t>
      </w:r>
      <w:r w:rsidRPr="00761EF3">
        <w:rPr>
          <w:szCs w:val="22"/>
        </w:rPr>
        <w:t>643</w:t>
      </w:r>
      <w:r w:rsidRPr="00212D57">
        <w:rPr>
          <w:szCs w:val="22"/>
        </w:rPr>
        <w:t>～</w:t>
      </w:r>
      <w:r w:rsidRPr="00761EF3">
        <w:rPr>
          <w:szCs w:val="22"/>
        </w:rPr>
        <w:t>712</w:t>
      </w:r>
      <w:r w:rsidRPr="00212D57">
        <w:rPr>
          <w:szCs w:val="22"/>
        </w:rPr>
        <w:t>）唐代僧。為華嚴宗第三祖。字</w:t>
      </w:r>
      <w:r w:rsidRPr="00212D57">
        <w:rPr>
          <w:b/>
          <w:szCs w:val="22"/>
        </w:rPr>
        <w:t>賢首</w:t>
      </w:r>
      <w:r w:rsidRPr="00212D57">
        <w:rPr>
          <w:szCs w:val="22"/>
        </w:rPr>
        <w:t>，號國一法師。又稱香象大師、康藏國師。</w:t>
      </w:r>
      <w:r w:rsidRPr="00212D57">
        <w:rPr>
          <w:rFonts w:hint="eastAsia"/>
          <w:szCs w:val="22"/>
        </w:rPr>
        <w:t>俗姓康，祖先康居國人，至其祖父，舉族遷至中土，居於長安。……師一生宣講《華嚴》三十餘遍，致力於華嚴教學之組織大成。（《佛光大辭典》（四），</w:t>
      </w:r>
      <w:r w:rsidRPr="00761EF3">
        <w:rPr>
          <w:rFonts w:hint="eastAsia"/>
          <w:szCs w:val="22"/>
        </w:rPr>
        <w:t>pp</w:t>
      </w:r>
      <w:r w:rsidRPr="00212D57">
        <w:rPr>
          <w:rFonts w:hint="eastAsia"/>
          <w:szCs w:val="22"/>
        </w:rPr>
        <w:t>.</w:t>
      </w:r>
      <w:r w:rsidRPr="00761EF3">
        <w:rPr>
          <w:rFonts w:hint="eastAsia"/>
          <w:szCs w:val="22"/>
        </w:rPr>
        <w:t>3428</w:t>
      </w:r>
      <w:r w:rsidRPr="00212D57">
        <w:rPr>
          <w:rFonts w:hint="eastAsia"/>
          <w:szCs w:val="22"/>
        </w:rPr>
        <w:t>.</w:t>
      </w:r>
      <w:r w:rsidRPr="00761EF3">
        <w:rPr>
          <w:rFonts w:hint="eastAsia"/>
          <w:szCs w:val="22"/>
        </w:rPr>
        <w:t>3</w:t>
      </w:r>
      <w:r w:rsidRPr="00212D57">
        <w:rPr>
          <w:rFonts w:hint="eastAsia"/>
          <w:szCs w:val="22"/>
        </w:rPr>
        <w:t>-</w:t>
      </w:r>
      <w:r w:rsidRPr="00761EF3">
        <w:rPr>
          <w:rFonts w:hint="eastAsia"/>
          <w:szCs w:val="22"/>
        </w:rPr>
        <w:t>3429</w:t>
      </w:r>
      <w:r w:rsidRPr="00212D57">
        <w:rPr>
          <w:rFonts w:hint="eastAsia"/>
          <w:szCs w:val="22"/>
        </w:rPr>
        <w:t>.</w:t>
      </w:r>
      <w:r w:rsidRPr="00761EF3">
        <w:rPr>
          <w:rFonts w:hint="eastAsia"/>
          <w:szCs w:val="22"/>
        </w:rPr>
        <w:t>1</w:t>
      </w:r>
      <w:r w:rsidRPr="00212D57">
        <w:rPr>
          <w:rFonts w:hint="eastAsia"/>
          <w:szCs w:val="22"/>
        </w:rPr>
        <w:t>）</w:t>
      </w:r>
    </w:p>
  </w:footnote>
  <w:footnote w:id="263">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rFonts w:hint="eastAsia"/>
          <w:b/>
          <w:szCs w:val="22"/>
        </w:rPr>
        <w:t>日照</w:t>
      </w:r>
      <w:r w:rsidRPr="00212D57">
        <w:rPr>
          <w:rFonts w:hint="eastAsia"/>
          <w:szCs w:val="22"/>
        </w:rPr>
        <w:t>：</w:t>
      </w:r>
      <w:r w:rsidRPr="00212D57">
        <w:rPr>
          <w:szCs w:val="22"/>
        </w:rPr>
        <w:t>（</w:t>
      </w:r>
      <w:r w:rsidRPr="00761EF3">
        <w:rPr>
          <w:szCs w:val="22"/>
        </w:rPr>
        <w:t>613</w:t>
      </w:r>
      <w:r w:rsidRPr="00212D57">
        <w:rPr>
          <w:szCs w:val="22"/>
        </w:rPr>
        <w:t>～</w:t>
      </w:r>
      <w:r w:rsidRPr="00761EF3">
        <w:rPr>
          <w:szCs w:val="22"/>
        </w:rPr>
        <w:t>687</w:t>
      </w:r>
      <w:r w:rsidRPr="00212D57">
        <w:rPr>
          <w:szCs w:val="22"/>
        </w:rPr>
        <w:t>）唐代僧。梵名</w:t>
      </w:r>
      <w:bookmarkStart w:id="71" w:name="divakara"/>
      <w:r w:rsidRPr="00761EF3">
        <w:rPr>
          <w:szCs w:val="22"/>
        </w:rPr>
        <w:t>Div</w:t>
      </w:r>
      <w:r w:rsidRPr="00761EF3">
        <w:rPr>
          <w:rFonts w:eastAsia="hzk1 ys"/>
          <w:szCs w:val="22"/>
        </w:rPr>
        <w:t>ā</w:t>
      </w:r>
      <w:r w:rsidRPr="00761EF3">
        <w:rPr>
          <w:szCs w:val="22"/>
        </w:rPr>
        <w:t>kara</w:t>
      </w:r>
      <w:bookmarkEnd w:id="71"/>
      <w:r w:rsidRPr="00212D57">
        <w:rPr>
          <w:szCs w:val="22"/>
        </w:rPr>
        <w:t>，音譯</w:t>
      </w:r>
      <w:r w:rsidRPr="00212D57">
        <w:rPr>
          <w:b/>
          <w:szCs w:val="22"/>
        </w:rPr>
        <w:t>地婆訶羅</w:t>
      </w:r>
      <w:r w:rsidRPr="00212D57">
        <w:rPr>
          <w:szCs w:val="22"/>
        </w:rPr>
        <w:t>。中印度人。廣通三藏，兼善五明。高宗儀鳳（</w:t>
      </w:r>
      <w:r w:rsidRPr="00761EF3">
        <w:rPr>
          <w:szCs w:val="22"/>
        </w:rPr>
        <w:t>676</w:t>
      </w:r>
      <w:r w:rsidRPr="00212D57">
        <w:rPr>
          <w:szCs w:val="22"/>
        </w:rPr>
        <w:t>～</w:t>
      </w:r>
      <w:r w:rsidRPr="00761EF3">
        <w:rPr>
          <w:szCs w:val="22"/>
        </w:rPr>
        <w:t>678</w:t>
      </w:r>
      <w:r w:rsidRPr="00212D57">
        <w:rPr>
          <w:szCs w:val="22"/>
        </w:rPr>
        <w:t>）初年至唐，介紹印度中觀派之新學說，就鳩摩羅什以來之三論而言，稱</w:t>
      </w:r>
      <w:r w:rsidRPr="00212D57">
        <w:rPr>
          <w:b/>
          <w:szCs w:val="22"/>
        </w:rPr>
        <w:t>新三論</w:t>
      </w:r>
      <w:r w:rsidRPr="00212D57">
        <w:rPr>
          <w:szCs w:val="22"/>
        </w:rPr>
        <w:t>。</w:t>
      </w:r>
      <w:r w:rsidRPr="00212D57">
        <w:rPr>
          <w:rFonts w:hint="eastAsia"/>
          <w:szCs w:val="22"/>
        </w:rPr>
        <w:t>（《佛光大辭典》（二），</w:t>
      </w:r>
      <w:r w:rsidRPr="00761EF3">
        <w:rPr>
          <w:rFonts w:hint="eastAsia"/>
          <w:szCs w:val="22"/>
        </w:rPr>
        <w:t>pp</w:t>
      </w:r>
      <w:r w:rsidRPr="00212D57">
        <w:rPr>
          <w:rFonts w:hint="eastAsia"/>
          <w:szCs w:val="22"/>
        </w:rPr>
        <w:t>.</w:t>
      </w:r>
      <w:r w:rsidRPr="00761EF3">
        <w:rPr>
          <w:rFonts w:hint="eastAsia"/>
          <w:szCs w:val="22"/>
        </w:rPr>
        <w:t>1455</w:t>
      </w:r>
      <w:r w:rsidRPr="00212D57">
        <w:rPr>
          <w:rFonts w:hint="eastAsia"/>
          <w:szCs w:val="22"/>
        </w:rPr>
        <w:t>.</w:t>
      </w:r>
      <w:r w:rsidRPr="00761EF3">
        <w:rPr>
          <w:rFonts w:hint="eastAsia"/>
          <w:szCs w:val="22"/>
        </w:rPr>
        <w:t>3</w:t>
      </w:r>
      <w:r w:rsidRPr="00212D57">
        <w:rPr>
          <w:rFonts w:hint="eastAsia"/>
          <w:szCs w:val="22"/>
        </w:rPr>
        <w:t>-</w:t>
      </w:r>
      <w:r w:rsidRPr="00761EF3">
        <w:rPr>
          <w:rFonts w:hint="eastAsia"/>
          <w:szCs w:val="22"/>
        </w:rPr>
        <w:t>1456</w:t>
      </w:r>
      <w:r w:rsidRPr="00212D57">
        <w:rPr>
          <w:rFonts w:hint="eastAsia"/>
          <w:szCs w:val="22"/>
        </w:rPr>
        <w:t>.</w:t>
      </w:r>
      <w:r w:rsidRPr="00761EF3">
        <w:rPr>
          <w:rFonts w:hint="eastAsia"/>
          <w:szCs w:val="22"/>
        </w:rPr>
        <w:t>1</w:t>
      </w:r>
      <w:r w:rsidRPr="00212D57">
        <w:rPr>
          <w:rFonts w:hint="eastAsia"/>
          <w:szCs w:val="22"/>
        </w:rPr>
        <w:t>）</w:t>
      </w:r>
    </w:p>
  </w:footnote>
  <w:footnote w:id="264">
    <w:p w:rsidR="00E4710E" w:rsidRPr="00212D57" w:rsidRDefault="00E4710E" w:rsidP="00E4710E">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rFonts w:hint="eastAsia"/>
          <w:szCs w:val="22"/>
        </w:rPr>
        <w:t>參見</w:t>
      </w:r>
      <w:r w:rsidRPr="00212D57">
        <w:rPr>
          <w:szCs w:val="22"/>
        </w:rPr>
        <w:t>〔唐〕</w:t>
      </w:r>
      <w:r w:rsidRPr="00212D57">
        <w:rPr>
          <w:rFonts w:hint="eastAsia"/>
          <w:szCs w:val="22"/>
        </w:rPr>
        <w:t>法藏述，《十二門論宗致義記》卷</w:t>
      </w:r>
      <w:r w:rsidRPr="00E4710E">
        <w:rPr>
          <w:rFonts w:hint="eastAsia"/>
          <w:color w:val="FF0000"/>
          <w:szCs w:val="22"/>
          <w:highlight w:val="yellow"/>
        </w:rPr>
        <w:t>上</w:t>
      </w:r>
      <w:r w:rsidRPr="00212D57">
        <w:rPr>
          <w:rFonts w:hint="eastAsia"/>
          <w:szCs w:val="22"/>
        </w:rPr>
        <w:t>（大正</w:t>
      </w:r>
      <w:r w:rsidRPr="00761EF3">
        <w:rPr>
          <w:rFonts w:hint="eastAsia"/>
          <w:szCs w:val="22"/>
        </w:rPr>
        <w:t>42</w:t>
      </w:r>
      <w:r w:rsidRPr="00212D57">
        <w:rPr>
          <w:rFonts w:hint="eastAsia"/>
          <w:szCs w:val="22"/>
        </w:rPr>
        <w:t>，</w:t>
      </w:r>
      <w:r w:rsidRPr="00761EF3">
        <w:rPr>
          <w:rFonts w:hint="eastAsia"/>
          <w:szCs w:val="22"/>
        </w:rPr>
        <w:t>214c21</w:t>
      </w:r>
      <w:r w:rsidRPr="00212D57">
        <w:rPr>
          <w:rFonts w:hint="eastAsia"/>
          <w:szCs w:val="22"/>
        </w:rPr>
        <w:t>-</w:t>
      </w:r>
      <w:r w:rsidRPr="00761EF3">
        <w:rPr>
          <w:rFonts w:hint="eastAsia"/>
          <w:szCs w:val="22"/>
        </w:rPr>
        <w:t>25</w:t>
      </w:r>
      <w:r w:rsidRPr="00212D57">
        <w:rPr>
          <w:rFonts w:hint="eastAsia"/>
          <w:szCs w:val="22"/>
        </w:rPr>
        <w:t>）。</w:t>
      </w:r>
    </w:p>
  </w:footnote>
  <w:footnote w:id="265">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rFonts w:hint="eastAsia"/>
          <w:szCs w:val="22"/>
        </w:rPr>
        <w:t>參見〔隋〕吉藏</w:t>
      </w:r>
      <w:r>
        <w:rPr>
          <w:rFonts w:hint="eastAsia"/>
          <w:szCs w:val="22"/>
        </w:rPr>
        <w:t>撰</w:t>
      </w:r>
      <w:r w:rsidRPr="00212D57">
        <w:rPr>
          <w:rFonts w:hint="eastAsia"/>
          <w:szCs w:val="22"/>
        </w:rPr>
        <w:t>，《中觀論疏》卷</w:t>
      </w:r>
      <w:r w:rsidRPr="00761EF3">
        <w:rPr>
          <w:rFonts w:hint="eastAsia"/>
          <w:szCs w:val="22"/>
        </w:rPr>
        <w:t>2</w:t>
      </w:r>
      <w:r w:rsidRPr="00212D57">
        <w:rPr>
          <w:rFonts w:hint="eastAsia"/>
          <w:szCs w:val="22"/>
        </w:rPr>
        <w:t>〈</w:t>
      </w:r>
      <w:r w:rsidRPr="00761EF3">
        <w:rPr>
          <w:rFonts w:hint="eastAsia"/>
          <w:szCs w:val="22"/>
        </w:rPr>
        <w:t>1</w:t>
      </w:r>
      <w:r w:rsidRPr="00212D57">
        <w:rPr>
          <w:rFonts w:hint="eastAsia"/>
          <w:szCs w:val="22"/>
        </w:rPr>
        <w:t xml:space="preserve"> </w:t>
      </w:r>
      <w:r w:rsidRPr="00212D57">
        <w:rPr>
          <w:rFonts w:hint="eastAsia"/>
          <w:szCs w:val="22"/>
        </w:rPr>
        <w:t>因緣品〉（大正</w:t>
      </w:r>
      <w:r w:rsidRPr="00761EF3">
        <w:rPr>
          <w:szCs w:val="22"/>
        </w:rPr>
        <w:t>42</w:t>
      </w:r>
      <w:r w:rsidRPr="00212D57">
        <w:rPr>
          <w:rFonts w:hint="eastAsia"/>
          <w:szCs w:val="22"/>
        </w:rPr>
        <w:t>，</w:t>
      </w:r>
      <w:r w:rsidRPr="00761EF3">
        <w:rPr>
          <w:szCs w:val="22"/>
        </w:rPr>
        <w:t>28a10</w:t>
      </w:r>
      <w:r w:rsidRPr="00212D57">
        <w:rPr>
          <w:szCs w:val="22"/>
        </w:rPr>
        <w:t>-</w:t>
      </w:r>
      <w:r w:rsidRPr="00761EF3">
        <w:rPr>
          <w:szCs w:val="22"/>
        </w:rPr>
        <w:t>22</w:t>
      </w:r>
      <w:r w:rsidRPr="00212D57">
        <w:rPr>
          <w:szCs w:val="22"/>
        </w:rPr>
        <w:t>）</w:t>
      </w:r>
      <w:r w:rsidRPr="00212D57">
        <w:rPr>
          <w:rFonts w:hint="eastAsia"/>
          <w:szCs w:val="22"/>
        </w:rPr>
        <w:t>。</w:t>
      </w:r>
    </w:p>
  </w:footnote>
  <w:footnote w:id="266">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）〔隋〕吉藏</w:t>
      </w:r>
      <w:r>
        <w:rPr>
          <w:rFonts w:hint="eastAsia"/>
          <w:szCs w:val="22"/>
        </w:rPr>
        <w:t>撰</w:t>
      </w:r>
      <w:r w:rsidRPr="00212D57">
        <w:rPr>
          <w:rFonts w:hint="eastAsia"/>
          <w:szCs w:val="22"/>
        </w:rPr>
        <w:t>，《中觀論疏》卷</w:t>
      </w:r>
      <w:r w:rsidRPr="00761EF3">
        <w:rPr>
          <w:rFonts w:hint="eastAsia"/>
          <w:szCs w:val="22"/>
        </w:rPr>
        <w:t>1</w:t>
      </w:r>
      <w:r w:rsidRPr="00212D57">
        <w:rPr>
          <w:rFonts w:hint="eastAsia"/>
          <w:szCs w:val="22"/>
        </w:rPr>
        <w:t>（大正</w:t>
      </w:r>
      <w:r w:rsidRPr="00761EF3">
        <w:rPr>
          <w:rFonts w:hint="eastAsia"/>
          <w:szCs w:val="22"/>
        </w:rPr>
        <w:t>42</w:t>
      </w:r>
      <w:r w:rsidRPr="00212D57">
        <w:rPr>
          <w:rFonts w:hint="eastAsia"/>
          <w:szCs w:val="22"/>
        </w:rPr>
        <w:t>，</w:t>
      </w:r>
      <w:r w:rsidRPr="00761EF3">
        <w:rPr>
          <w:rFonts w:hint="eastAsia"/>
          <w:szCs w:val="22"/>
        </w:rPr>
        <w:t>11a29</w:t>
      </w:r>
      <w:r w:rsidRPr="00212D57">
        <w:rPr>
          <w:rFonts w:hint="eastAsia"/>
          <w:szCs w:val="22"/>
        </w:rPr>
        <w:t>-</w:t>
      </w:r>
      <w:r w:rsidRPr="00761EF3">
        <w:rPr>
          <w:rFonts w:hint="eastAsia"/>
          <w:szCs w:val="22"/>
        </w:rPr>
        <w:t>b5</w:t>
      </w:r>
      <w:r w:rsidRPr="00212D57">
        <w:rPr>
          <w:rFonts w:hint="eastAsia"/>
          <w:szCs w:val="22"/>
        </w:rPr>
        <w:t>）：</w:t>
      </w:r>
    </w:p>
    <w:p w:rsidR="00157EF6" w:rsidRPr="00212D57" w:rsidRDefault="00157EF6" w:rsidP="002B682F">
      <w:pPr>
        <w:pStyle w:val="a5"/>
        <w:ind w:leftChars="335" w:left="804"/>
        <w:jc w:val="both"/>
        <w:rPr>
          <w:szCs w:val="22"/>
        </w:rPr>
      </w:pPr>
      <w:r w:rsidRPr="00212D57">
        <w:rPr>
          <w:rFonts w:ascii="標楷體" w:eastAsia="標楷體" w:hAnsi="標楷體" w:hint="eastAsia"/>
          <w:szCs w:val="22"/>
        </w:rPr>
        <w:t>他有有可有，則有生可生</w:t>
      </w:r>
      <w:r w:rsidR="00DF3562">
        <w:rPr>
          <w:rFonts w:ascii="標楷體" w:eastAsia="標楷體" w:hAnsi="標楷體" w:hint="eastAsia"/>
          <w:color w:val="FF0000"/>
          <w:spacing w:val="-4"/>
          <w:kern w:val="0"/>
          <w:highlight w:val="yellow"/>
        </w:rPr>
        <w:t>；</w:t>
      </w:r>
      <w:r w:rsidRPr="00212D57">
        <w:rPr>
          <w:rFonts w:ascii="標楷體" w:eastAsia="標楷體" w:hAnsi="標楷體" w:hint="eastAsia"/>
          <w:szCs w:val="22"/>
        </w:rPr>
        <w:t>則有生可生，則有滅可滅。有生可生，生不由滅；有滅可滅，滅不由生。生不由滅，生非滅生；滅不由生，滅非生滅。生非滅生，故生是自生；滅非生滅，故滅是自滅。自生則是實生，自滅則是實滅</w:t>
      </w:r>
      <w:r w:rsidR="00DF3562">
        <w:rPr>
          <w:rFonts w:ascii="標楷體" w:eastAsia="標楷體" w:hAnsi="標楷體" w:hint="eastAsia"/>
          <w:color w:val="FF0000"/>
          <w:spacing w:val="-4"/>
          <w:kern w:val="0"/>
          <w:highlight w:val="yellow"/>
        </w:rPr>
        <w:t>；</w:t>
      </w:r>
      <w:r w:rsidRPr="00212D57">
        <w:rPr>
          <w:rFonts w:ascii="標楷體" w:eastAsia="標楷體" w:hAnsi="標楷體" w:hint="eastAsia"/>
          <w:szCs w:val="22"/>
        </w:rPr>
        <w:t>實生實滅則是二邊，故非中道。</w:t>
      </w:r>
    </w:p>
    <w:p w:rsidR="00157EF6" w:rsidRPr="00212D57" w:rsidRDefault="00157EF6" w:rsidP="002B682F">
      <w:pPr>
        <w:pStyle w:val="a5"/>
        <w:ind w:leftChars="105" w:left="791" w:hangingChars="245" w:hanging="539"/>
        <w:jc w:val="both"/>
        <w:rPr>
          <w:rFonts w:hAnsi="新細明體"/>
          <w:szCs w:val="22"/>
        </w:rPr>
      </w:pPr>
      <w:r w:rsidRPr="00212D57">
        <w:rPr>
          <w:rFonts w:hint="eastAsia"/>
          <w:szCs w:val="22"/>
        </w:rPr>
        <w:t>（</w:t>
      </w:r>
      <w:r w:rsidRPr="00761EF3">
        <w:rPr>
          <w:rFonts w:hint="eastAsia"/>
          <w:szCs w:val="22"/>
        </w:rPr>
        <w:t>2</w:t>
      </w:r>
      <w:r w:rsidRPr="00212D57">
        <w:rPr>
          <w:rFonts w:hint="eastAsia"/>
          <w:szCs w:val="22"/>
        </w:rPr>
        <w:t>）</w:t>
      </w:r>
      <w:r w:rsidRPr="00212D57">
        <w:rPr>
          <w:rStyle w:val="byline"/>
          <w:color w:val="auto"/>
          <w:sz w:val="22"/>
          <w:szCs w:val="22"/>
        </w:rPr>
        <w:t>有生</w:t>
      </w:r>
      <w:r w:rsidRPr="00212D57">
        <w:rPr>
          <w:rFonts w:hAnsi="新細明體"/>
          <w:szCs w:val="22"/>
        </w:rPr>
        <w:t>可生</w:t>
      </w:r>
      <w:r w:rsidRPr="00212D57">
        <w:rPr>
          <w:rFonts w:hint="eastAsia"/>
          <w:szCs w:val="22"/>
        </w:rPr>
        <w:t xml:space="preserve"> </w:t>
      </w:r>
      <w:r w:rsidRPr="00212D57">
        <w:rPr>
          <w:rFonts w:hAnsi="新細明體" w:hint="eastAsia"/>
          <w:szCs w:val="22"/>
        </w:rPr>
        <w:t>→</w:t>
      </w:r>
      <w:r w:rsidRPr="00212D57">
        <w:rPr>
          <w:rFonts w:hint="eastAsia"/>
          <w:szCs w:val="22"/>
        </w:rPr>
        <w:t xml:space="preserve"> </w:t>
      </w:r>
      <w:r w:rsidRPr="00212D57">
        <w:rPr>
          <w:rFonts w:hAnsi="新細明體"/>
          <w:szCs w:val="22"/>
        </w:rPr>
        <w:t>生不由滅</w:t>
      </w:r>
      <w:r w:rsidRPr="00212D57">
        <w:rPr>
          <w:rFonts w:hint="eastAsia"/>
          <w:szCs w:val="22"/>
        </w:rPr>
        <w:t xml:space="preserve"> </w:t>
      </w:r>
      <w:r w:rsidRPr="00212D57">
        <w:rPr>
          <w:rFonts w:hAnsi="新細明體" w:hint="eastAsia"/>
          <w:szCs w:val="22"/>
        </w:rPr>
        <w:t>→</w:t>
      </w:r>
      <w:r w:rsidRPr="00212D57">
        <w:rPr>
          <w:rFonts w:hint="eastAsia"/>
          <w:szCs w:val="22"/>
        </w:rPr>
        <w:t xml:space="preserve"> </w:t>
      </w:r>
      <w:r w:rsidRPr="00212D57">
        <w:rPr>
          <w:rFonts w:hAnsi="新細明體"/>
          <w:szCs w:val="22"/>
        </w:rPr>
        <w:t>生非滅生</w:t>
      </w:r>
      <w:r w:rsidRPr="00212D57">
        <w:rPr>
          <w:rFonts w:hint="eastAsia"/>
          <w:szCs w:val="22"/>
        </w:rPr>
        <w:t xml:space="preserve"> </w:t>
      </w:r>
      <w:r w:rsidRPr="00212D57">
        <w:rPr>
          <w:rFonts w:hAnsi="新細明體" w:hint="eastAsia"/>
          <w:szCs w:val="22"/>
        </w:rPr>
        <w:t>→</w:t>
      </w:r>
      <w:r w:rsidRPr="00212D57">
        <w:rPr>
          <w:szCs w:val="22"/>
        </w:rPr>
        <w:t xml:space="preserve"> </w:t>
      </w:r>
      <w:r w:rsidRPr="00212D57">
        <w:rPr>
          <w:rFonts w:hAnsi="新細明體"/>
          <w:szCs w:val="22"/>
        </w:rPr>
        <w:t>生是自生（實生）。</w:t>
      </w:r>
    </w:p>
    <w:p w:rsidR="00157EF6" w:rsidRPr="00212D57" w:rsidRDefault="00157EF6" w:rsidP="002B682F">
      <w:pPr>
        <w:pStyle w:val="a5"/>
        <w:ind w:leftChars="335" w:left="804"/>
        <w:jc w:val="both"/>
        <w:rPr>
          <w:szCs w:val="22"/>
        </w:rPr>
      </w:pPr>
      <w:r w:rsidRPr="00212D57">
        <w:rPr>
          <w:rFonts w:hAnsi="新細明體"/>
          <w:szCs w:val="22"/>
        </w:rPr>
        <w:t>有滅可滅</w:t>
      </w:r>
      <w:r w:rsidRPr="00212D57">
        <w:rPr>
          <w:rFonts w:hint="eastAsia"/>
          <w:szCs w:val="22"/>
        </w:rPr>
        <w:t xml:space="preserve"> </w:t>
      </w:r>
      <w:r w:rsidRPr="00212D57">
        <w:rPr>
          <w:rFonts w:hAnsi="新細明體" w:hint="eastAsia"/>
          <w:szCs w:val="22"/>
        </w:rPr>
        <w:t>→</w:t>
      </w:r>
      <w:r w:rsidRPr="00212D57">
        <w:rPr>
          <w:szCs w:val="22"/>
        </w:rPr>
        <w:t xml:space="preserve"> </w:t>
      </w:r>
      <w:r w:rsidRPr="00212D57">
        <w:rPr>
          <w:rFonts w:hAnsi="新細明體"/>
          <w:szCs w:val="22"/>
        </w:rPr>
        <w:t>滅不由生</w:t>
      </w:r>
      <w:r w:rsidRPr="00212D57">
        <w:rPr>
          <w:rFonts w:hint="eastAsia"/>
          <w:szCs w:val="22"/>
        </w:rPr>
        <w:t xml:space="preserve"> </w:t>
      </w:r>
      <w:r w:rsidRPr="00212D57">
        <w:rPr>
          <w:rFonts w:hAnsi="新細明體" w:hint="eastAsia"/>
          <w:szCs w:val="22"/>
        </w:rPr>
        <w:t>→</w:t>
      </w:r>
      <w:r w:rsidRPr="00212D57">
        <w:rPr>
          <w:szCs w:val="22"/>
        </w:rPr>
        <w:t xml:space="preserve"> </w:t>
      </w:r>
      <w:r w:rsidRPr="00212D57">
        <w:rPr>
          <w:rFonts w:hAnsi="新細明體"/>
          <w:szCs w:val="22"/>
        </w:rPr>
        <w:t>滅非生滅</w:t>
      </w:r>
      <w:r w:rsidRPr="00212D57">
        <w:rPr>
          <w:rFonts w:hint="eastAsia"/>
          <w:szCs w:val="22"/>
        </w:rPr>
        <w:t xml:space="preserve"> </w:t>
      </w:r>
      <w:r w:rsidRPr="00212D57">
        <w:rPr>
          <w:rFonts w:hAnsi="新細明體" w:hint="eastAsia"/>
          <w:szCs w:val="22"/>
        </w:rPr>
        <w:t>→</w:t>
      </w:r>
      <w:r w:rsidRPr="00212D57">
        <w:rPr>
          <w:szCs w:val="22"/>
        </w:rPr>
        <w:t xml:space="preserve"> </w:t>
      </w:r>
      <w:r w:rsidRPr="00212D57">
        <w:rPr>
          <w:rFonts w:hAnsi="新細明體"/>
          <w:szCs w:val="22"/>
        </w:rPr>
        <w:t>滅是自滅（實滅）。</w:t>
      </w:r>
    </w:p>
  </w:footnote>
  <w:footnote w:id="267">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w:t>
      </w:r>
      <w:r w:rsidRPr="007D7D59">
        <w:rPr>
          <w:rFonts w:hint="eastAsia"/>
          <w:spacing w:val="-6"/>
          <w:szCs w:val="22"/>
        </w:rPr>
        <w:t>參見〔隋〕吉藏撰，《中觀論疏》卷</w:t>
      </w:r>
      <w:r w:rsidRPr="007D7D59">
        <w:rPr>
          <w:rFonts w:hint="eastAsia"/>
          <w:spacing w:val="-6"/>
          <w:szCs w:val="22"/>
        </w:rPr>
        <w:t>1</w:t>
      </w:r>
      <w:r w:rsidRPr="007D7D59">
        <w:rPr>
          <w:spacing w:val="-6"/>
          <w:szCs w:val="22"/>
        </w:rPr>
        <w:t>〈</w:t>
      </w:r>
      <w:r w:rsidRPr="007D7D59">
        <w:rPr>
          <w:spacing w:val="-6"/>
          <w:szCs w:val="22"/>
        </w:rPr>
        <w:t xml:space="preserve">1 </w:t>
      </w:r>
      <w:r w:rsidRPr="007D7D59">
        <w:rPr>
          <w:spacing w:val="-6"/>
          <w:szCs w:val="22"/>
        </w:rPr>
        <w:t>因緣品〉</w:t>
      </w:r>
      <w:r w:rsidRPr="007D7D59">
        <w:rPr>
          <w:rFonts w:hint="eastAsia"/>
          <w:spacing w:val="-6"/>
          <w:szCs w:val="22"/>
        </w:rPr>
        <w:t>（大正</w:t>
      </w:r>
      <w:r w:rsidRPr="007D7D59">
        <w:rPr>
          <w:rFonts w:hint="eastAsia"/>
          <w:spacing w:val="-6"/>
          <w:szCs w:val="22"/>
        </w:rPr>
        <w:t>42</w:t>
      </w:r>
      <w:r w:rsidRPr="007D7D59">
        <w:rPr>
          <w:rFonts w:hint="eastAsia"/>
          <w:spacing w:val="-6"/>
          <w:szCs w:val="22"/>
        </w:rPr>
        <w:t>，</w:t>
      </w:r>
      <w:r w:rsidRPr="007D7D59">
        <w:rPr>
          <w:rFonts w:hint="eastAsia"/>
          <w:spacing w:val="-6"/>
          <w:szCs w:val="22"/>
        </w:rPr>
        <w:t>11b6-20</w:t>
      </w:r>
      <w:r w:rsidRPr="007D7D59">
        <w:rPr>
          <w:rFonts w:hint="eastAsia"/>
          <w:spacing w:val="-6"/>
          <w:szCs w:val="22"/>
        </w:rPr>
        <w:t>）；〔隋〕</w:t>
      </w:r>
      <w:r w:rsidRPr="00212D57">
        <w:rPr>
          <w:rFonts w:hint="eastAsia"/>
          <w:szCs w:val="22"/>
        </w:rPr>
        <w:t>吉藏</w:t>
      </w:r>
      <w:r>
        <w:rPr>
          <w:rFonts w:hint="eastAsia"/>
          <w:szCs w:val="22"/>
        </w:rPr>
        <w:t>撰</w:t>
      </w:r>
      <w:r w:rsidRPr="00212D57">
        <w:rPr>
          <w:rFonts w:hint="eastAsia"/>
          <w:szCs w:val="22"/>
        </w:rPr>
        <w:t>，《大乘玄論》卷</w:t>
      </w:r>
      <w:r w:rsidRPr="00761EF3">
        <w:rPr>
          <w:rFonts w:hint="eastAsia"/>
          <w:szCs w:val="22"/>
        </w:rPr>
        <w:t>2</w:t>
      </w:r>
      <w:r w:rsidRPr="00212D57">
        <w:rPr>
          <w:rFonts w:hint="eastAsia"/>
          <w:szCs w:val="22"/>
        </w:rPr>
        <w:t>（大正</w:t>
      </w:r>
      <w:r w:rsidRPr="00761EF3">
        <w:rPr>
          <w:rFonts w:hint="eastAsia"/>
          <w:szCs w:val="22"/>
        </w:rPr>
        <w:t>45</w:t>
      </w:r>
      <w:r w:rsidRPr="00212D57">
        <w:rPr>
          <w:rFonts w:hint="eastAsia"/>
          <w:szCs w:val="22"/>
        </w:rPr>
        <w:t>，</w:t>
      </w:r>
      <w:r w:rsidRPr="00761EF3">
        <w:rPr>
          <w:rFonts w:hint="eastAsia"/>
          <w:szCs w:val="22"/>
        </w:rPr>
        <w:t>27c8</w:t>
      </w:r>
      <w:r w:rsidRPr="00212D57">
        <w:rPr>
          <w:rFonts w:hint="eastAsia"/>
          <w:szCs w:val="22"/>
        </w:rPr>
        <w:t>-</w:t>
      </w:r>
      <w:r w:rsidRPr="00761EF3">
        <w:rPr>
          <w:rFonts w:hint="eastAsia"/>
          <w:szCs w:val="22"/>
        </w:rPr>
        <w:t>27</w:t>
      </w:r>
      <w:r w:rsidRPr="00212D57">
        <w:rPr>
          <w:rFonts w:hint="eastAsia"/>
          <w:szCs w:val="22"/>
        </w:rPr>
        <w:t>）。</w:t>
      </w:r>
    </w:p>
    <w:p w:rsidR="00157EF6" w:rsidRPr="00212D57" w:rsidRDefault="00157EF6" w:rsidP="002B682F">
      <w:pPr>
        <w:pStyle w:val="a5"/>
        <w:ind w:leftChars="105" w:left="791" w:hangingChars="245" w:hanging="539"/>
        <w:jc w:val="both"/>
        <w:rPr>
          <w:rFonts w:hAnsi="新細明體"/>
          <w:szCs w:val="22"/>
        </w:rPr>
      </w:pPr>
      <w:r w:rsidRPr="00212D57">
        <w:rPr>
          <w:rFonts w:hint="eastAsia"/>
          <w:szCs w:val="22"/>
        </w:rPr>
        <w:t>（</w:t>
      </w:r>
      <w:r w:rsidRPr="00761EF3">
        <w:rPr>
          <w:rFonts w:hint="eastAsia"/>
          <w:szCs w:val="22"/>
        </w:rPr>
        <w:t>2</w:t>
      </w:r>
      <w:r w:rsidRPr="00212D57">
        <w:rPr>
          <w:rFonts w:hint="eastAsia"/>
          <w:szCs w:val="22"/>
        </w:rPr>
        <w:t>）</w:t>
      </w:r>
      <w:r w:rsidRPr="00212D57">
        <w:rPr>
          <w:rFonts w:hAnsi="新細明體" w:hint="eastAsia"/>
          <w:szCs w:val="22"/>
        </w:rPr>
        <w:t>無</w:t>
      </w:r>
      <w:r w:rsidRPr="00212D57">
        <w:rPr>
          <w:rFonts w:hAnsi="新細明體"/>
          <w:szCs w:val="22"/>
        </w:rPr>
        <w:t>生可生</w:t>
      </w:r>
      <w:r w:rsidRPr="00212D57">
        <w:rPr>
          <w:rFonts w:hint="eastAsia"/>
          <w:szCs w:val="22"/>
        </w:rPr>
        <w:t xml:space="preserve"> </w:t>
      </w:r>
      <w:r w:rsidRPr="00212D57">
        <w:rPr>
          <w:rFonts w:hAnsi="新細明體" w:hint="eastAsia"/>
          <w:szCs w:val="22"/>
        </w:rPr>
        <w:t>→</w:t>
      </w:r>
      <w:r w:rsidRPr="00212D57">
        <w:rPr>
          <w:rFonts w:hint="eastAsia"/>
          <w:szCs w:val="22"/>
        </w:rPr>
        <w:t xml:space="preserve"> </w:t>
      </w:r>
      <w:r w:rsidRPr="00212D57">
        <w:rPr>
          <w:rFonts w:hAnsi="新細明體"/>
          <w:szCs w:val="22"/>
        </w:rPr>
        <w:t>由滅</w:t>
      </w:r>
      <w:r w:rsidRPr="00212D57">
        <w:rPr>
          <w:rFonts w:hAnsi="新細明體" w:hint="eastAsia"/>
          <w:szCs w:val="22"/>
        </w:rPr>
        <w:t>故生</w:t>
      </w:r>
      <w:r w:rsidRPr="00212D57">
        <w:rPr>
          <w:rFonts w:hint="eastAsia"/>
          <w:szCs w:val="22"/>
        </w:rPr>
        <w:t xml:space="preserve"> </w:t>
      </w:r>
      <w:r w:rsidRPr="00212D57">
        <w:rPr>
          <w:rFonts w:hAnsi="新細明體" w:hint="eastAsia"/>
          <w:szCs w:val="22"/>
        </w:rPr>
        <w:t>→</w:t>
      </w:r>
      <w:r w:rsidRPr="00212D57">
        <w:rPr>
          <w:rFonts w:hint="eastAsia"/>
          <w:szCs w:val="22"/>
        </w:rPr>
        <w:t xml:space="preserve"> </w:t>
      </w:r>
      <w:r w:rsidRPr="00212D57">
        <w:rPr>
          <w:rFonts w:hAnsi="新細明體"/>
          <w:szCs w:val="22"/>
        </w:rPr>
        <w:t>生</w:t>
      </w:r>
      <w:r w:rsidRPr="00212D57">
        <w:rPr>
          <w:rFonts w:hAnsi="新細明體" w:hint="eastAsia"/>
          <w:szCs w:val="22"/>
        </w:rPr>
        <w:t>是</w:t>
      </w:r>
      <w:r w:rsidRPr="00212D57">
        <w:rPr>
          <w:rFonts w:hAnsi="新細明體"/>
          <w:szCs w:val="22"/>
        </w:rPr>
        <w:t>滅生</w:t>
      </w:r>
      <w:r w:rsidRPr="00212D57">
        <w:rPr>
          <w:rFonts w:hint="eastAsia"/>
          <w:szCs w:val="22"/>
        </w:rPr>
        <w:t xml:space="preserve"> </w:t>
      </w:r>
      <w:r w:rsidRPr="00212D57">
        <w:rPr>
          <w:rFonts w:hAnsi="新細明體" w:hint="eastAsia"/>
          <w:szCs w:val="22"/>
        </w:rPr>
        <w:t>→</w:t>
      </w:r>
      <w:r w:rsidRPr="00212D57">
        <w:rPr>
          <w:szCs w:val="22"/>
        </w:rPr>
        <w:t xml:space="preserve"> </w:t>
      </w:r>
      <w:r w:rsidRPr="00212D57">
        <w:rPr>
          <w:rFonts w:hint="eastAsia"/>
          <w:szCs w:val="22"/>
        </w:rPr>
        <w:t>滅</w:t>
      </w:r>
      <w:r w:rsidRPr="00212D57">
        <w:rPr>
          <w:rFonts w:hAnsi="新細明體"/>
          <w:szCs w:val="22"/>
        </w:rPr>
        <w:t>生</w:t>
      </w:r>
      <w:r w:rsidRPr="00212D57">
        <w:rPr>
          <w:rFonts w:hAnsi="新細明體" w:hint="eastAsia"/>
          <w:szCs w:val="22"/>
        </w:rPr>
        <w:t>即非</w:t>
      </w:r>
      <w:r w:rsidRPr="00212D57">
        <w:rPr>
          <w:rFonts w:hAnsi="新細明體"/>
          <w:szCs w:val="22"/>
        </w:rPr>
        <w:t>生</w:t>
      </w:r>
      <w:r w:rsidRPr="00212D57">
        <w:rPr>
          <w:rFonts w:hAnsi="新細明體" w:hint="eastAsia"/>
          <w:szCs w:val="22"/>
        </w:rPr>
        <w:t>（非實生）</w:t>
      </w:r>
      <w:r w:rsidRPr="00212D57">
        <w:rPr>
          <w:rFonts w:hAnsi="新細明體"/>
          <w:szCs w:val="22"/>
        </w:rPr>
        <w:t>。</w:t>
      </w:r>
    </w:p>
    <w:p w:rsidR="00157EF6" w:rsidRPr="00212D57" w:rsidRDefault="00157EF6" w:rsidP="002B682F">
      <w:pPr>
        <w:pStyle w:val="a5"/>
        <w:ind w:leftChars="335" w:left="804"/>
        <w:jc w:val="both"/>
        <w:rPr>
          <w:szCs w:val="22"/>
        </w:rPr>
      </w:pPr>
      <w:r w:rsidRPr="00212D57">
        <w:rPr>
          <w:rFonts w:hAnsi="新細明體" w:hint="eastAsia"/>
          <w:szCs w:val="22"/>
        </w:rPr>
        <w:t>無</w:t>
      </w:r>
      <w:r w:rsidRPr="00212D57">
        <w:rPr>
          <w:rFonts w:hAnsi="新細明體"/>
          <w:szCs w:val="22"/>
        </w:rPr>
        <w:t>滅可滅</w:t>
      </w:r>
      <w:r w:rsidRPr="00212D57">
        <w:rPr>
          <w:rFonts w:hint="eastAsia"/>
          <w:szCs w:val="22"/>
        </w:rPr>
        <w:t xml:space="preserve"> </w:t>
      </w:r>
      <w:r w:rsidRPr="00212D57">
        <w:rPr>
          <w:rFonts w:hAnsi="新細明體" w:hint="eastAsia"/>
          <w:szCs w:val="22"/>
        </w:rPr>
        <w:t>→</w:t>
      </w:r>
      <w:r w:rsidRPr="00212D57">
        <w:rPr>
          <w:szCs w:val="22"/>
        </w:rPr>
        <w:t xml:space="preserve"> </w:t>
      </w:r>
      <w:r w:rsidRPr="00212D57">
        <w:rPr>
          <w:rFonts w:hAnsi="新細明體"/>
          <w:szCs w:val="22"/>
        </w:rPr>
        <w:t>由生</w:t>
      </w:r>
      <w:r w:rsidRPr="00212D57">
        <w:rPr>
          <w:rFonts w:hAnsi="新細明體" w:hint="eastAsia"/>
          <w:szCs w:val="22"/>
        </w:rPr>
        <w:t>故滅</w:t>
      </w:r>
      <w:r w:rsidRPr="00212D57">
        <w:rPr>
          <w:rFonts w:hint="eastAsia"/>
          <w:szCs w:val="22"/>
        </w:rPr>
        <w:t xml:space="preserve"> </w:t>
      </w:r>
      <w:r w:rsidRPr="00212D57">
        <w:rPr>
          <w:rFonts w:hAnsi="新細明體" w:hint="eastAsia"/>
          <w:szCs w:val="22"/>
        </w:rPr>
        <w:t>→</w:t>
      </w:r>
      <w:r w:rsidRPr="00212D57">
        <w:rPr>
          <w:szCs w:val="22"/>
        </w:rPr>
        <w:t xml:space="preserve"> </w:t>
      </w:r>
      <w:r w:rsidRPr="00212D57">
        <w:rPr>
          <w:rFonts w:hAnsi="新細明體"/>
          <w:szCs w:val="22"/>
        </w:rPr>
        <w:t>滅</w:t>
      </w:r>
      <w:r w:rsidRPr="00212D57">
        <w:rPr>
          <w:rFonts w:hAnsi="新細明體" w:hint="eastAsia"/>
          <w:szCs w:val="22"/>
        </w:rPr>
        <w:t>是</w:t>
      </w:r>
      <w:r w:rsidRPr="00212D57">
        <w:rPr>
          <w:rFonts w:hAnsi="新細明體"/>
          <w:szCs w:val="22"/>
        </w:rPr>
        <w:t>生滅</w:t>
      </w:r>
      <w:r w:rsidRPr="00212D57">
        <w:rPr>
          <w:rFonts w:hint="eastAsia"/>
          <w:szCs w:val="22"/>
        </w:rPr>
        <w:t xml:space="preserve"> </w:t>
      </w:r>
      <w:r w:rsidRPr="00212D57">
        <w:rPr>
          <w:rFonts w:hAnsi="新細明體" w:hint="eastAsia"/>
          <w:szCs w:val="22"/>
        </w:rPr>
        <w:t>→</w:t>
      </w:r>
      <w:r w:rsidRPr="00212D57">
        <w:rPr>
          <w:szCs w:val="22"/>
        </w:rPr>
        <w:t xml:space="preserve"> </w:t>
      </w:r>
      <w:r w:rsidRPr="00212D57">
        <w:rPr>
          <w:rFonts w:hint="eastAsia"/>
          <w:szCs w:val="22"/>
        </w:rPr>
        <w:t>生</w:t>
      </w:r>
      <w:r w:rsidRPr="00212D57">
        <w:rPr>
          <w:rFonts w:hAnsi="新細明體"/>
          <w:szCs w:val="22"/>
        </w:rPr>
        <w:t>滅</w:t>
      </w:r>
      <w:r w:rsidRPr="00212D57">
        <w:rPr>
          <w:rFonts w:hAnsi="新細明體" w:hint="eastAsia"/>
          <w:szCs w:val="22"/>
        </w:rPr>
        <w:t>即非</w:t>
      </w:r>
      <w:r w:rsidRPr="00212D57">
        <w:rPr>
          <w:rFonts w:hAnsi="新細明體"/>
          <w:szCs w:val="22"/>
        </w:rPr>
        <w:t>滅（</w:t>
      </w:r>
      <w:r w:rsidRPr="00212D57">
        <w:rPr>
          <w:rFonts w:hAnsi="新細明體" w:hint="eastAsia"/>
          <w:szCs w:val="22"/>
        </w:rPr>
        <w:t>非</w:t>
      </w:r>
      <w:r w:rsidRPr="00212D57">
        <w:rPr>
          <w:rFonts w:hAnsi="新細明體"/>
          <w:szCs w:val="22"/>
        </w:rPr>
        <w:t>實滅）。</w:t>
      </w:r>
    </w:p>
  </w:footnote>
  <w:footnote w:id="268">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rFonts w:hint="eastAsia"/>
          <w:szCs w:val="22"/>
        </w:rPr>
        <w:t>印順法師，《中觀今論》，</w:t>
      </w:r>
      <w:r w:rsidRPr="00761EF3">
        <w:rPr>
          <w:rFonts w:hint="eastAsia"/>
          <w:szCs w:val="22"/>
        </w:rPr>
        <w:t>p</w:t>
      </w:r>
      <w:r w:rsidRPr="00212D57">
        <w:rPr>
          <w:rFonts w:hint="eastAsia"/>
          <w:szCs w:val="22"/>
        </w:rPr>
        <w:t>.</w:t>
      </w:r>
      <w:r w:rsidRPr="00761EF3">
        <w:rPr>
          <w:rFonts w:hint="eastAsia"/>
          <w:szCs w:val="22"/>
        </w:rPr>
        <w:t>138</w:t>
      </w:r>
      <w:r w:rsidRPr="00212D57">
        <w:rPr>
          <w:rFonts w:hint="eastAsia"/>
          <w:szCs w:val="22"/>
        </w:rPr>
        <w:t>：</w:t>
      </w:r>
    </w:p>
    <w:p w:rsidR="00157EF6" w:rsidRPr="00212D57" w:rsidRDefault="00157EF6" w:rsidP="002B682F">
      <w:pPr>
        <w:pStyle w:val="a5"/>
        <w:ind w:leftChars="105" w:left="252"/>
        <w:jc w:val="both"/>
        <w:rPr>
          <w:szCs w:val="22"/>
        </w:rPr>
      </w:pPr>
      <w:r w:rsidRPr="00212D57">
        <w:rPr>
          <w:rFonts w:ascii="標楷體" w:eastAsia="標楷體" w:hAnsi="標楷體" w:hint="eastAsia"/>
          <w:szCs w:val="22"/>
        </w:rPr>
        <w:t>生是起有相，滅是還無相；此有與無，不是凡外的實有見、實無見。無是依有而幻現的，是有──存在的矛盾性即相反的幻相；如沒有存在──有，無即談不到，所以說：</w:t>
      </w:r>
      <w:r w:rsidR="00F140C4">
        <w:rPr>
          <w:rFonts w:ascii="標楷體" w:eastAsia="標楷體" w:hAnsi="標楷體" w:hint="eastAsia"/>
          <w:szCs w:val="22"/>
        </w:rPr>
        <w:t>「</w:t>
      </w:r>
      <w:r w:rsidRPr="00212D57">
        <w:rPr>
          <w:rFonts w:ascii="標楷體" w:eastAsia="標楷體" w:hAnsi="標楷體" w:hint="eastAsia"/>
          <w:szCs w:val="22"/>
        </w:rPr>
        <w:t>若使無有有，云何當有無。</w:t>
      </w:r>
      <w:r w:rsidR="00F140C4">
        <w:rPr>
          <w:rFonts w:ascii="標楷體" w:eastAsia="標楷體" w:hAnsi="標楷體" w:hint="eastAsia"/>
          <w:szCs w:val="22"/>
        </w:rPr>
        <w:t>」</w:t>
      </w:r>
      <w:r w:rsidRPr="00212D57">
        <w:rPr>
          <w:rFonts w:ascii="標楷體" w:eastAsia="標楷體" w:hAnsi="標楷體" w:hint="eastAsia"/>
          <w:szCs w:val="22"/>
        </w:rPr>
        <w:t>離有則無無，離生則無滅，滅並非灰斷的全無。</w:t>
      </w:r>
    </w:p>
  </w:footnote>
  <w:footnote w:id="269">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rFonts w:hint="eastAsia"/>
          <w:szCs w:val="22"/>
        </w:rPr>
        <w:t>三段論法：</w:t>
      </w:r>
      <w:r w:rsidRPr="00761EF3">
        <w:rPr>
          <w:rFonts w:hint="eastAsia"/>
          <w:szCs w:val="22"/>
        </w:rPr>
        <w:t>1</w:t>
      </w:r>
      <w:r w:rsidRPr="00212D57">
        <w:rPr>
          <w:rFonts w:hint="eastAsia"/>
          <w:szCs w:val="22"/>
        </w:rPr>
        <w:t>、大</w:t>
      </w:r>
      <w:r w:rsidRPr="00212D57">
        <w:rPr>
          <w:szCs w:val="22"/>
        </w:rPr>
        <w:t>前提</w:t>
      </w:r>
      <w:r w:rsidRPr="00212D57">
        <w:rPr>
          <w:rFonts w:hint="eastAsia"/>
          <w:szCs w:val="22"/>
        </w:rPr>
        <w:t>（</w:t>
      </w:r>
      <w:r w:rsidRPr="00212D57">
        <w:rPr>
          <w:szCs w:val="22"/>
        </w:rPr>
        <w:t>人皆</w:t>
      </w:r>
      <w:r w:rsidRPr="00212D57">
        <w:rPr>
          <w:rFonts w:hint="eastAsia"/>
          <w:szCs w:val="22"/>
        </w:rPr>
        <w:t>會</w:t>
      </w:r>
      <w:r w:rsidRPr="00212D57">
        <w:rPr>
          <w:szCs w:val="22"/>
        </w:rPr>
        <w:t>死）</w:t>
      </w:r>
      <w:r w:rsidRPr="00212D57">
        <w:rPr>
          <w:rFonts w:hint="eastAsia"/>
          <w:szCs w:val="22"/>
        </w:rPr>
        <w:t>；</w:t>
      </w:r>
      <w:r w:rsidRPr="00761EF3">
        <w:rPr>
          <w:rFonts w:hint="eastAsia"/>
          <w:szCs w:val="22"/>
        </w:rPr>
        <w:t>2</w:t>
      </w:r>
      <w:r w:rsidRPr="00212D57">
        <w:rPr>
          <w:rFonts w:hint="eastAsia"/>
          <w:szCs w:val="22"/>
        </w:rPr>
        <w:t>、</w:t>
      </w:r>
      <w:r w:rsidRPr="00212D57">
        <w:rPr>
          <w:szCs w:val="22"/>
        </w:rPr>
        <w:t>小前提（</w:t>
      </w:r>
      <w:r w:rsidRPr="00212D57">
        <w:rPr>
          <w:rFonts w:hint="eastAsia"/>
          <w:szCs w:val="22"/>
        </w:rPr>
        <w:t>張三</w:t>
      </w:r>
      <w:r w:rsidRPr="00212D57">
        <w:rPr>
          <w:szCs w:val="22"/>
        </w:rPr>
        <w:t>是人）</w:t>
      </w:r>
      <w:r w:rsidRPr="00212D57">
        <w:rPr>
          <w:rFonts w:hint="eastAsia"/>
          <w:szCs w:val="22"/>
        </w:rPr>
        <w:t>；</w:t>
      </w:r>
      <w:r w:rsidRPr="00761EF3">
        <w:rPr>
          <w:rFonts w:hint="eastAsia"/>
          <w:szCs w:val="22"/>
        </w:rPr>
        <w:t>3</w:t>
      </w:r>
      <w:r w:rsidRPr="00212D57">
        <w:rPr>
          <w:rFonts w:hint="eastAsia"/>
          <w:szCs w:val="22"/>
        </w:rPr>
        <w:t>、</w:t>
      </w:r>
      <w:r w:rsidRPr="00212D57">
        <w:rPr>
          <w:szCs w:val="22"/>
        </w:rPr>
        <w:t>結論（故</w:t>
      </w:r>
      <w:r w:rsidRPr="00212D57">
        <w:rPr>
          <w:rFonts w:hint="eastAsia"/>
          <w:szCs w:val="22"/>
        </w:rPr>
        <w:t>張三會</w:t>
      </w:r>
      <w:r w:rsidRPr="00212D57">
        <w:rPr>
          <w:szCs w:val="22"/>
        </w:rPr>
        <w:t>死）。</w:t>
      </w:r>
    </w:p>
  </w:footnote>
  <w:footnote w:id="270">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曾仰如</w:t>
      </w:r>
      <w:r w:rsidRPr="00212D57">
        <w:rPr>
          <w:rFonts w:hint="eastAsia"/>
          <w:szCs w:val="22"/>
        </w:rPr>
        <w:t>，</w:t>
      </w:r>
      <w:r w:rsidRPr="00212D57">
        <w:rPr>
          <w:szCs w:val="22"/>
        </w:rPr>
        <w:t>《形上學》</w:t>
      </w:r>
      <w:r w:rsidRPr="00212D57">
        <w:rPr>
          <w:rFonts w:hint="eastAsia"/>
          <w:szCs w:val="22"/>
        </w:rPr>
        <w:t>，</w:t>
      </w:r>
      <w:r w:rsidRPr="00212D57">
        <w:rPr>
          <w:szCs w:val="22"/>
        </w:rPr>
        <w:t>台北市</w:t>
      </w:r>
      <w:r w:rsidRPr="00212D57">
        <w:rPr>
          <w:rFonts w:hint="eastAsia"/>
          <w:szCs w:val="22"/>
        </w:rPr>
        <w:t>：</w:t>
      </w:r>
      <w:r w:rsidRPr="00212D57">
        <w:rPr>
          <w:szCs w:val="22"/>
        </w:rPr>
        <w:t>台灣商務印書館，</w:t>
      </w:r>
      <w:r w:rsidRPr="00761EF3">
        <w:rPr>
          <w:szCs w:val="22"/>
        </w:rPr>
        <w:t>1994</w:t>
      </w:r>
      <w:r w:rsidRPr="00212D57">
        <w:rPr>
          <w:rFonts w:hint="eastAsia"/>
          <w:szCs w:val="22"/>
        </w:rPr>
        <w:t>年，</w:t>
      </w:r>
      <w:r w:rsidRPr="00761EF3">
        <w:rPr>
          <w:rFonts w:hint="eastAsia"/>
          <w:szCs w:val="22"/>
        </w:rPr>
        <w:t>p</w:t>
      </w:r>
      <w:r w:rsidRPr="00212D57">
        <w:rPr>
          <w:rFonts w:hint="eastAsia"/>
          <w:szCs w:val="22"/>
        </w:rPr>
        <w:t>.</w:t>
      </w:r>
      <w:r w:rsidRPr="00761EF3">
        <w:rPr>
          <w:rFonts w:hint="eastAsia"/>
          <w:szCs w:val="22"/>
        </w:rPr>
        <w:t>55</w:t>
      </w:r>
      <w:r w:rsidRPr="00212D57">
        <w:rPr>
          <w:rFonts w:hint="eastAsia"/>
          <w:szCs w:val="22"/>
        </w:rPr>
        <w:t>：</w:t>
      </w:r>
    </w:p>
    <w:p w:rsidR="00157EF6" w:rsidRPr="00212D57" w:rsidRDefault="00157EF6" w:rsidP="002B682F">
      <w:pPr>
        <w:pStyle w:val="a5"/>
        <w:ind w:leftChars="105" w:left="252"/>
        <w:jc w:val="both"/>
        <w:rPr>
          <w:szCs w:val="22"/>
        </w:rPr>
      </w:pPr>
      <w:r w:rsidRPr="00212D57">
        <w:rPr>
          <w:rFonts w:ascii="標楷體" w:eastAsia="標楷體" w:hAnsi="標楷體" w:hint="eastAsia"/>
          <w:b/>
          <w:szCs w:val="22"/>
        </w:rPr>
        <w:t>排中律</w:t>
      </w:r>
      <w:r w:rsidRPr="00212D57">
        <w:rPr>
          <w:rFonts w:ascii="標楷體" w:eastAsia="標楷體" w:hAnsi="標楷體" w:hint="eastAsia"/>
          <w:szCs w:val="22"/>
        </w:rPr>
        <w:t>的基本意義是，</w:t>
      </w:r>
      <w:r w:rsidRPr="00212D57">
        <w:rPr>
          <w:rFonts w:ascii="標楷體" w:eastAsia="標楷體" w:hAnsi="標楷體" w:hint="eastAsia"/>
          <w:b/>
          <w:szCs w:val="22"/>
        </w:rPr>
        <w:t>一個東西只能是實有或虛無，二者中必居其一，沒有成為第三者的可能性</w:t>
      </w:r>
      <w:r w:rsidRPr="00212D57">
        <w:rPr>
          <w:rFonts w:ascii="標楷體" w:eastAsia="標楷體" w:hAnsi="標楷體" w:hint="eastAsia"/>
          <w:szCs w:val="22"/>
        </w:rPr>
        <w:t>。此原理亦好像前二原理一樣，直接建立於「有」及「非有」的觀念上，而其有效性基於矛盾律的有效性，因「有」不能同時是「非有」，那麼此物必定是「有」或「非有」二者中必居其一，沒有第三者的可能性，故此原理與前二原理一樣可適合於所有物，不能有例外。故二矛盾之物，在任何情形之下，即從任何觀點來看，都必定是「或是這個，或是那個，二者中必居其一」，絕不可能是這個，同時及從同一觀點看又是那個，例如，神或是無限的，或是有限的；是永久的，或是非永久的；是受造的，或是非受造的；是全知的，或是非全知的；</w:t>
      </w:r>
      <w:r w:rsidRPr="00212D57">
        <w:rPr>
          <w:rFonts w:ascii="標楷體" w:eastAsia="標楷體" w:hAnsi="標楷體"/>
          <w:szCs w:val="22"/>
        </w:rPr>
        <w:t>張三是黃種人，或是非黃種人；是健康的，或是非健康的；是聰明的，或是不聰明的，二者中必居其一，一物在任何情形下絕不可能同時具有兩矛盾特性。</w:t>
      </w:r>
    </w:p>
  </w:footnote>
  <w:footnote w:id="271">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rFonts w:hint="eastAsia"/>
          <w:szCs w:val="22"/>
        </w:rPr>
        <w:t>印順法師，《中觀今論》，第</w:t>
      </w:r>
      <w:r w:rsidRPr="00761EF3">
        <w:rPr>
          <w:rFonts w:hint="eastAsia"/>
          <w:szCs w:val="22"/>
        </w:rPr>
        <w:t>10</w:t>
      </w:r>
      <w:r w:rsidRPr="00212D57">
        <w:rPr>
          <w:rFonts w:hint="eastAsia"/>
          <w:szCs w:val="22"/>
        </w:rPr>
        <w:t>章‧第</w:t>
      </w:r>
      <w:r w:rsidRPr="00761EF3">
        <w:rPr>
          <w:rFonts w:hint="eastAsia"/>
          <w:szCs w:val="22"/>
        </w:rPr>
        <w:t>3</w:t>
      </w:r>
      <w:r w:rsidRPr="00212D57">
        <w:rPr>
          <w:rFonts w:hint="eastAsia"/>
          <w:szCs w:val="22"/>
        </w:rPr>
        <w:t>節〈二諦之抉擇〉，</w:t>
      </w:r>
      <w:r w:rsidRPr="00761EF3">
        <w:rPr>
          <w:rFonts w:hint="eastAsia"/>
          <w:szCs w:val="22"/>
        </w:rPr>
        <w:t>pp</w:t>
      </w:r>
      <w:r w:rsidRPr="00212D57">
        <w:rPr>
          <w:rFonts w:hint="eastAsia"/>
          <w:szCs w:val="22"/>
        </w:rPr>
        <w:t>.</w:t>
      </w:r>
      <w:r w:rsidRPr="00761EF3">
        <w:rPr>
          <w:rFonts w:hint="eastAsia"/>
          <w:szCs w:val="22"/>
        </w:rPr>
        <w:t>225</w:t>
      </w:r>
      <w:r w:rsidRPr="00212D57">
        <w:rPr>
          <w:rFonts w:hint="eastAsia"/>
          <w:szCs w:val="22"/>
        </w:rPr>
        <w:t>-</w:t>
      </w:r>
      <w:r w:rsidRPr="00761EF3">
        <w:rPr>
          <w:rFonts w:hint="eastAsia"/>
          <w:szCs w:val="22"/>
        </w:rPr>
        <w:t>226</w:t>
      </w:r>
      <w:r w:rsidRPr="00212D57">
        <w:rPr>
          <w:rFonts w:hint="eastAsia"/>
          <w:szCs w:val="22"/>
        </w:rPr>
        <w:t>：</w:t>
      </w:r>
    </w:p>
    <w:p w:rsidR="00157EF6" w:rsidRPr="00212D57" w:rsidRDefault="00157EF6" w:rsidP="002B682F">
      <w:pPr>
        <w:pStyle w:val="a5"/>
        <w:ind w:leftChars="105" w:left="252"/>
        <w:jc w:val="both"/>
        <w:rPr>
          <w:rFonts w:ascii="標楷體" w:eastAsia="標楷體" w:hAnsi="標楷體"/>
          <w:b/>
          <w:szCs w:val="22"/>
        </w:rPr>
      </w:pPr>
      <w:r w:rsidRPr="00212D57">
        <w:rPr>
          <w:rFonts w:ascii="標楷體" w:eastAsia="標楷體" w:hAnsi="標楷體"/>
          <w:b/>
          <w:szCs w:val="22"/>
        </w:rPr>
        <w:t>依辯證法，有是肯定的──正，空是否定的──反；亦有亦空是綜合的──合。他所說的合，實是更高級的正。正反合的辯證過程，都是順於世俗名言而安立的。換言之，即唯橫而無豎的。因為所說的合，它還歸於正，不過是更完滿的正而已。</w:t>
      </w:r>
    </w:p>
    <w:p w:rsidR="00157EF6" w:rsidRPr="00212D57" w:rsidRDefault="00157EF6" w:rsidP="002B682F">
      <w:pPr>
        <w:pStyle w:val="a5"/>
        <w:ind w:leftChars="105" w:left="252"/>
        <w:jc w:val="both"/>
        <w:rPr>
          <w:rFonts w:ascii="標楷體" w:eastAsia="標楷體" w:hAnsi="標楷體"/>
          <w:szCs w:val="22"/>
        </w:rPr>
      </w:pPr>
      <w:r w:rsidRPr="00212D57">
        <w:rPr>
          <w:rFonts w:ascii="標楷體" w:eastAsia="標楷體" w:hAnsi="標楷體"/>
          <w:szCs w:val="22"/>
        </w:rPr>
        <w:t>三論宗所說的橫豎單複，都是順於勝義的。如說有是正，</w:t>
      </w:r>
      <w:r w:rsidRPr="00212D57">
        <w:rPr>
          <w:rFonts w:ascii="標楷體" w:eastAsia="標楷體" w:hAnsi="標楷體" w:hint="eastAsia"/>
          <w:szCs w:val="22"/>
        </w:rPr>
        <w:t>空是反。</w:t>
      </w:r>
    </w:p>
    <w:p w:rsidR="00157EF6" w:rsidRPr="00212D57" w:rsidRDefault="00157EF6" w:rsidP="002B682F">
      <w:pPr>
        <w:pStyle w:val="a5"/>
        <w:ind w:leftChars="105" w:left="252"/>
        <w:jc w:val="both"/>
        <w:rPr>
          <w:szCs w:val="22"/>
        </w:rPr>
      </w:pPr>
      <w:r w:rsidRPr="00212D57">
        <w:rPr>
          <w:rFonts w:ascii="標楷體" w:eastAsia="標楷體" w:hAnsi="標楷體" w:hint="eastAsia"/>
          <w:szCs w:val="22"/>
        </w:rPr>
        <w:t>空義雖含有二種性質：（一）否定它──錯亂的執相，（二）不礙它──緣起的假名，但不礙有的空與否定戲論的空，還是空觀的過程，而不是究極的。因離執而悟得畢竟寂滅，才是空的真意。</w:t>
      </w:r>
      <w:r w:rsidRPr="00212D57">
        <w:rPr>
          <w:rFonts w:ascii="標楷體" w:eastAsia="標楷體" w:hAnsi="標楷體" w:hint="eastAsia"/>
          <w:b/>
          <w:szCs w:val="22"/>
        </w:rPr>
        <w:t>佛法為引導眾生悟入勝義，所以論辯的過程，雖與辯證的過程相近，而說空，說非，卻不滯於有空的總合。</w:t>
      </w:r>
      <w:r w:rsidRPr="00212D57">
        <w:rPr>
          <w:rFonts w:ascii="標楷體" w:eastAsia="標楷體" w:hAnsi="標楷體" w:hint="eastAsia"/>
          <w:szCs w:val="22"/>
        </w:rPr>
        <w:t>眾生的根性，是順於世俗的，即總是順於正或綜合（正）的。如</w:t>
      </w:r>
      <w:r w:rsidRPr="00212D57">
        <w:rPr>
          <w:rFonts w:ascii="標楷體" w:eastAsia="標楷體" w:hAnsi="標楷體" w:hint="eastAsia"/>
          <w:b/>
          <w:szCs w:val="22"/>
        </w:rPr>
        <w:t>佛說俗有與真空，佛說的空用意是豎的，超越的，但眾生從相對的見地去看，以為空是偏於一邊的，亦有亦空的綜合，才比較圓滿。</w:t>
      </w:r>
    </w:p>
  </w:footnote>
  <w:footnote w:id="272">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自續派（自立量）：以清辨、觀誓為代表。應成派（隨應破）：以佛護、月稱為代表。</w:t>
      </w:r>
    </w:p>
  </w:footnote>
  <w:footnote w:id="273">
    <w:p w:rsidR="00157EF6" w:rsidRPr="00212D57" w:rsidRDefault="00157EF6" w:rsidP="002B682F">
      <w:pPr>
        <w:pStyle w:val="a5"/>
        <w:spacing w:line="0" w:lineRule="atLeast"/>
        <w:ind w:left="253" w:hangingChars="115" w:hanging="253"/>
        <w:jc w:val="both"/>
        <w:rPr>
          <w:rFonts w:cs="Calibri"/>
          <w:szCs w:val="22"/>
        </w:rPr>
      </w:pPr>
      <w:r w:rsidRPr="00212D57">
        <w:rPr>
          <w:rStyle w:val="a6"/>
          <w:szCs w:val="22"/>
        </w:rPr>
        <w:footnoteRef/>
      </w:r>
      <w:r w:rsidRPr="00212D57">
        <w:rPr>
          <w:rFonts w:hint="eastAsia"/>
          <w:szCs w:val="22"/>
        </w:rPr>
        <w:t xml:space="preserve"> </w:t>
      </w:r>
      <w:r w:rsidRPr="00212D57">
        <w:rPr>
          <w:rFonts w:cs="Calibri" w:hint="eastAsia"/>
          <w:szCs w:val="22"/>
        </w:rPr>
        <w:t>《</w:t>
      </w:r>
      <w:r w:rsidRPr="00212D57">
        <w:rPr>
          <w:rFonts w:hint="eastAsia"/>
          <w:szCs w:val="22"/>
        </w:rPr>
        <w:t>大乘</w:t>
      </w:r>
      <w:r w:rsidRPr="00212D57">
        <w:rPr>
          <w:rFonts w:cs="Calibri" w:hint="eastAsia"/>
          <w:szCs w:val="22"/>
        </w:rPr>
        <w:t>掌珍論》卷</w:t>
      </w:r>
      <w:r w:rsidR="00212687">
        <w:rPr>
          <w:rFonts w:hint="eastAsia"/>
          <w:color w:val="FF0000"/>
          <w:szCs w:val="22"/>
          <w:highlight w:val="yellow"/>
        </w:rPr>
        <w:t>上</w:t>
      </w:r>
      <w:r w:rsidRPr="00212D57">
        <w:rPr>
          <w:rFonts w:cs="Calibri" w:hint="eastAsia"/>
          <w:szCs w:val="22"/>
        </w:rPr>
        <w:t>（大正</w:t>
      </w:r>
      <w:r w:rsidRPr="00761EF3">
        <w:rPr>
          <w:rFonts w:hint="eastAsia"/>
          <w:szCs w:val="22"/>
        </w:rPr>
        <w:t>30</w:t>
      </w:r>
      <w:r w:rsidRPr="00212D57">
        <w:rPr>
          <w:rFonts w:cs="Calibri" w:hint="eastAsia"/>
          <w:szCs w:val="22"/>
        </w:rPr>
        <w:t>，</w:t>
      </w:r>
      <w:r w:rsidRPr="00761EF3">
        <w:rPr>
          <w:rFonts w:hint="eastAsia"/>
          <w:szCs w:val="22"/>
        </w:rPr>
        <w:t>268c12</w:t>
      </w:r>
      <w:r w:rsidRPr="00212D57">
        <w:rPr>
          <w:rFonts w:hint="eastAsia"/>
          <w:szCs w:val="22"/>
        </w:rPr>
        <w:t>-</w:t>
      </w:r>
      <w:r w:rsidRPr="00761EF3">
        <w:rPr>
          <w:rFonts w:hint="eastAsia"/>
          <w:szCs w:val="22"/>
        </w:rPr>
        <w:t>2</w:t>
      </w:r>
      <w:r w:rsidR="00212687">
        <w:rPr>
          <w:rFonts w:hint="eastAsia"/>
          <w:color w:val="FF0000"/>
          <w:szCs w:val="22"/>
          <w:highlight w:val="yellow"/>
        </w:rPr>
        <w:t>9</w:t>
      </w:r>
      <w:r w:rsidRPr="00212D57">
        <w:rPr>
          <w:rFonts w:cs="Calibri" w:hint="eastAsia"/>
          <w:szCs w:val="22"/>
        </w:rPr>
        <w:t>）：</w:t>
      </w:r>
    </w:p>
    <w:p w:rsidR="00157EF6" w:rsidRPr="00212D57" w:rsidRDefault="00157EF6" w:rsidP="002B682F">
      <w:pPr>
        <w:pStyle w:val="a5"/>
        <w:ind w:leftChars="105" w:left="252"/>
        <w:jc w:val="both"/>
        <w:rPr>
          <w:rFonts w:ascii="標楷體" w:eastAsia="標楷體" w:hAnsi="標楷體" w:cs="Calibri"/>
          <w:szCs w:val="22"/>
        </w:rPr>
      </w:pPr>
      <w:r w:rsidRPr="00212D57">
        <w:rPr>
          <w:rFonts w:ascii="標楷體" w:eastAsia="標楷體" w:hAnsi="標楷體" w:cs="Calibri" w:hint="eastAsia"/>
          <w:b/>
          <w:szCs w:val="22"/>
        </w:rPr>
        <w:t>真義自體</w:t>
      </w:r>
      <w:r w:rsidRPr="00212D57">
        <w:rPr>
          <w:rFonts w:ascii="標楷體" w:eastAsia="標楷體" w:hAnsi="標楷體" w:cs="Calibri" w:hint="eastAsia"/>
          <w:szCs w:val="22"/>
        </w:rPr>
        <w:t>說名</w:t>
      </w:r>
      <w:r w:rsidR="00212687">
        <w:rPr>
          <w:rFonts w:ascii="標楷體" w:eastAsia="標楷體" w:hAnsi="標楷體" w:cs="Calibri" w:hint="eastAsia"/>
          <w:color w:val="FF0000"/>
          <w:szCs w:val="22"/>
          <w:highlight w:val="yellow"/>
        </w:rPr>
        <w:t>「</w:t>
      </w:r>
      <w:r w:rsidRPr="00212D57">
        <w:rPr>
          <w:rFonts w:ascii="標楷體" w:eastAsia="標楷體" w:hAnsi="標楷體" w:cs="Calibri" w:hint="eastAsia"/>
          <w:b/>
          <w:szCs w:val="22"/>
        </w:rPr>
        <w:t>真性</w:t>
      </w:r>
      <w:r w:rsidR="00212687">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，即</w:t>
      </w:r>
      <w:r w:rsidR="00212687">
        <w:rPr>
          <w:rFonts w:ascii="標楷體" w:eastAsia="標楷體" w:hAnsi="標楷體" w:cs="Calibri" w:hint="eastAsia"/>
          <w:color w:val="FF0000"/>
          <w:szCs w:val="22"/>
          <w:highlight w:val="yellow"/>
        </w:rPr>
        <w:t>「</w:t>
      </w:r>
      <w:r w:rsidRPr="00212D57">
        <w:rPr>
          <w:rFonts w:ascii="標楷體" w:eastAsia="標楷體" w:hAnsi="標楷體" w:cs="Calibri" w:hint="eastAsia"/>
          <w:b/>
          <w:szCs w:val="22"/>
        </w:rPr>
        <w:t>勝義諦</w:t>
      </w:r>
      <w:r w:rsidR="00212687">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w:t>
      </w:r>
      <w:r w:rsidRPr="00212D57">
        <w:rPr>
          <w:rFonts w:ascii="標楷體" w:eastAsia="標楷體" w:hAnsi="標楷體" w:cs="Calibri" w:hint="eastAsia"/>
          <w:b/>
          <w:szCs w:val="22"/>
        </w:rPr>
        <w:t>就</w:t>
      </w:r>
      <w:r w:rsidR="00212687">
        <w:rPr>
          <w:rFonts w:ascii="標楷體" w:eastAsia="標楷體" w:hAnsi="標楷體" w:cs="Calibri" w:hint="eastAsia"/>
          <w:color w:val="FF0000"/>
          <w:szCs w:val="22"/>
          <w:highlight w:val="yellow"/>
        </w:rPr>
        <w:t>「</w:t>
      </w:r>
      <w:r w:rsidRPr="00212D57">
        <w:rPr>
          <w:rFonts w:ascii="標楷體" w:eastAsia="標楷體" w:hAnsi="標楷體" w:cs="Calibri" w:hint="eastAsia"/>
          <w:b/>
          <w:szCs w:val="22"/>
        </w:rPr>
        <w:t>勝義諦</w:t>
      </w:r>
      <w:r w:rsidR="00212687">
        <w:rPr>
          <w:rFonts w:ascii="標楷體" w:eastAsia="標楷體" w:hAnsi="標楷體" w:cs="Calibri" w:hint="eastAsia"/>
          <w:color w:val="FF0000"/>
          <w:szCs w:val="22"/>
          <w:highlight w:val="yellow"/>
        </w:rPr>
        <w:t>」，</w:t>
      </w:r>
      <w:r w:rsidRPr="00212D57">
        <w:rPr>
          <w:rFonts w:ascii="標楷體" w:eastAsia="標楷體" w:hAnsi="標楷體" w:cs="Calibri" w:hint="eastAsia"/>
          <w:b/>
          <w:szCs w:val="22"/>
        </w:rPr>
        <w:t>立</w:t>
      </w:r>
      <w:r w:rsidR="00212687">
        <w:rPr>
          <w:rFonts w:ascii="標楷體" w:eastAsia="標楷體" w:hAnsi="標楷體" w:cs="Calibri" w:hint="eastAsia"/>
          <w:color w:val="FF0000"/>
          <w:szCs w:val="22"/>
          <w:highlight w:val="yellow"/>
        </w:rPr>
        <w:t>「</w:t>
      </w:r>
      <w:r w:rsidRPr="00212D57">
        <w:rPr>
          <w:rFonts w:ascii="標楷體" w:eastAsia="標楷體" w:hAnsi="標楷體" w:cs="Calibri" w:hint="eastAsia"/>
          <w:b/>
          <w:szCs w:val="22"/>
        </w:rPr>
        <w:t>有為空</w:t>
      </w:r>
      <w:r w:rsidR="00212687">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，非就</w:t>
      </w:r>
      <w:r w:rsidR="00212687">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世俗</w:t>
      </w:r>
      <w:r w:rsidR="00212687">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眾緣合成</w:t>
      </w:r>
      <w:r w:rsidR="00AD67D3" w:rsidRP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有所造作</w:t>
      </w:r>
      <w:r w:rsidR="00AD67D3" w:rsidRP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故名</w:t>
      </w:r>
      <w:r w:rsid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有為</w:t>
      </w:r>
      <w:r w:rsid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，即十二處，唯除法處一分</w:t>
      </w:r>
      <w:r w:rsid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虛空、</w:t>
      </w:r>
      <w:r w:rsidR="00286BA9">
        <w:rPr>
          <w:rFonts w:ascii="標楷體" w:eastAsia="標楷體" w:hAnsi="標楷體" w:hint="eastAsia"/>
          <w:color w:val="FF0000"/>
          <w:kern w:val="0"/>
          <w:highlight w:val="yellow"/>
        </w:rPr>
        <w:t>『</w:t>
      </w:r>
      <w:r w:rsidRPr="00212D57">
        <w:rPr>
          <w:rFonts w:ascii="標楷體" w:eastAsia="標楷體" w:hAnsi="標楷體" w:cs="Calibri" w:hint="eastAsia"/>
          <w:szCs w:val="22"/>
        </w:rPr>
        <w:t>擇、非擇</w:t>
      </w:r>
      <w:r w:rsidR="00286BA9">
        <w:rPr>
          <w:rFonts w:ascii="標楷體" w:eastAsia="標楷體" w:hAnsi="標楷體" w:hint="eastAsia"/>
          <w:color w:val="FF0000"/>
          <w:kern w:val="0"/>
          <w:highlight w:val="yellow"/>
        </w:rPr>
        <w:t>』</w:t>
      </w:r>
      <w:r w:rsidRPr="00212D57">
        <w:rPr>
          <w:rFonts w:ascii="標楷體" w:eastAsia="標楷體" w:hAnsi="標楷體" w:cs="Calibri" w:hint="eastAsia"/>
          <w:szCs w:val="22"/>
        </w:rPr>
        <w:t>滅及真如性</w:t>
      </w:r>
      <w:r w:rsid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，此中復除他宗所許虛妄顯</w:t>
      </w:r>
      <w:r w:rsidRPr="00AD67D3">
        <w:rPr>
          <w:rFonts w:ascii="標楷體" w:eastAsia="標楷體" w:hAnsi="標楷體" w:cs="Calibri" w:hint="eastAsia"/>
          <w:szCs w:val="22"/>
          <w:highlight w:val="yellow"/>
        </w:rPr>
        <w:t>現幻</w:t>
      </w:r>
      <w:r w:rsidRPr="00212D57">
        <w:rPr>
          <w:rFonts w:ascii="標楷體" w:eastAsia="標楷體" w:hAnsi="標楷體" w:cs="Calibri" w:hint="eastAsia"/>
          <w:szCs w:val="22"/>
        </w:rPr>
        <w:t>等有為</w:t>
      </w:r>
      <w:r w:rsidR="00AD67D3" w:rsidRP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若立彼為空，立已成過故。若他</w:t>
      </w:r>
      <w:r w:rsid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遍計所執有為，就</w:t>
      </w:r>
      <w:r w:rsid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勝義諦實有自性</w:t>
      </w:r>
      <w:r w:rsid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今立為空</w:t>
      </w:r>
      <w:r w:rsidR="00AD67D3" w:rsidRP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且如眼處一種有為，就</w:t>
      </w:r>
      <w:r w:rsid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勝義諦</w:t>
      </w:r>
      <w:r w:rsidR="00AD67D3">
        <w:rPr>
          <w:rFonts w:ascii="標楷體" w:eastAsia="標楷體" w:hAnsi="標楷體" w:cs="Calibri" w:hint="eastAsia"/>
          <w:color w:val="FF0000"/>
          <w:szCs w:val="22"/>
          <w:highlight w:val="yellow"/>
        </w:rPr>
        <w:t>」，</w:t>
      </w:r>
      <w:r w:rsidR="00AD67D3">
        <w:rPr>
          <w:rFonts w:ascii="標楷體" w:eastAsia="標楷體" w:hAnsi="標楷體" w:cs="Calibri" w:hint="eastAsia"/>
          <w:szCs w:val="22"/>
        </w:rPr>
        <w:t>辯其體空</w:t>
      </w:r>
      <w:r w:rsidR="00AD67D3" w:rsidRP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空與無性虛妄顯現門之差別</w:t>
      </w:r>
      <w:r w:rsid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是名立</w:t>
      </w:r>
      <w:r w:rsidRPr="00A304CD">
        <w:rPr>
          <w:rFonts w:ascii="標楷體" w:eastAsia="標楷體" w:hAnsi="標楷體" w:cs="Calibri" w:hint="eastAsia"/>
          <w:b/>
          <w:szCs w:val="22"/>
        </w:rPr>
        <w:t>宗</w:t>
      </w:r>
      <w:r w:rsidRPr="00212D57">
        <w:rPr>
          <w:rFonts w:ascii="標楷體" w:eastAsia="標楷體" w:hAnsi="標楷體" w:cs="Calibri" w:hint="eastAsia"/>
          <w:szCs w:val="22"/>
        </w:rPr>
        <w:t>。</w:t>
      </w:r>
    </w:p>
    <w:p w:rsidR="00157EF6" w:rsidRPr="00212D57" w:rsidRDefault="00157EF6" w:rsidP="002B682F">
      <w:pPr>
        <w:pStyle w:val="a5"/>
        <w:ind w:leftChars="105" w:left="252"/>
        <w:jc w:val="both"/>
        <w:rPr>
          <w:rFonts w:ascii="標楷體" w:eastAsia="標楷體" w:hAnsi="標楷體" w:cs="Calibri"/>
          <w:szCs w:val="22"/>
        </w:rPr>
      </w:pPr>
      <w:r w:rsidRPr="00212D57">
        <w:rPr>
          <w:rFonts w:ascii="標楷體" w:eastAsia="標楷體" w:hAnsi="標楷體" w:cs="Calibri" w:hint="eastAsia"/>
          <w:szCs w:val="22"/>
        </w:rPr>
        <w:t>眾緣所起男、女、羊、鹿、諸幻事等，自性實無，顯現似有，</w:t>
      </w:r>
      <w:r w:rsidR="00286BA9">
        <w:rPr>
          <w:rFonts w:ascii="標楷體" w:eastAsia="標楷體" w:hAnsi="標楷體" w:hint="eastAsia"/>
          <w:bCs/>
          <w:color w:val="FF0000"/>
          <w:kern w:val="0"/>
          <w:highlight w:val="yellow"/>
        </w:rPr>
        <w:t>「</w:t>
      </w:r>
      <w:r w:rsidR="00286BA9">
        <w:rPr>
          <w:rFonts w:ascii="標楷體" w:eastAsia="標楷體" w:hAnsi="標楷體" w:hint="eastAsia"/>
          <w:color w:val="FF0000"/>
          <w:kern w:val="0"/>
          <w:highlight w:val="yellow"/>
        </w:rPr>
        <w:t>『</w:t>
      </w:r>
      <w:r w:rsidRPr="00212D57">
        <w:rPr>
          <w:rFonts w:ascii="標楷體" w:eastAsia="標楷體" w:hAnsi="標楷體" w:cs="Calibri" w:hint="eastAsia"/>
          <w:szCs w:val="22"/>
        </w:rPr>
        <w:t>所立、能立</w:t>
      </w:r>
      <w:r w:rsidR="00286BA9">
        <w:rPr>
          <w:rFonts w:ascii="標楷體" w:eastAsia="標楷體" w:hAnsi="標楷體" w:hint="eastAsia"/>
          <w:color w:val="FF0000"/>
          <w:kern w:val="0"/>
          <w:highlight w:val="yellow"/>
        </w:rPr>
        <w:t>』</w:t>
      </w:r>
      <w:r w:rsidRPr="00212D57">
        <w:rPr>
          <w:rFonts w:ascii="標楷體" w:eastAsia="標楷體" w:hAnsi="標楷體" w:cs="Calibri" w:hint="eastAsia"/>
          <w:szCs w:val="22"/>
        </w:rPr>
        <w:t>法</w:t>
      </w:r>
      <w:r w:rsidR="00286BA9">
        <w:rPr>
          <w:rFonts w:ascii="標楷體" w:eastAsia="標楷體" w:hAnsi="標楷體" w:hint="eastAsia"/>
          <w:bCs/>
          <w:color w:val="FF0000"/>
          <w:kern w:val="0"/>
          <w:highlight w:val="yellow"/>
        </w:rPr>
        <w:t>」</w:t>
      </w:r>
      <w:r w:rsidRPr="00212D57">
        <w:rPr>
          <w:rFonts w:ascii="標楷體" w:eastAsia="標楷體" w:hAnsi="標楷體" w:cs="Calibri" w:hint="eastAsia"/>
          <w:szCs w:val="22"/>
        </w:rPr>
        <w:t>皆通有，為同法</w:t>
      </w:r>
      <w:r w:rsidRPr="00A304CD">
        <w:rPr>
          <w:rFonts w:ascii="標楷體" w:eastAsia="標楷體" w:hAnsi="標楷體" w:cs="Calibri" w:hint="eastAsia"/>
          <w:b/>
          <w:szCs w:val="22"/>
        </w:rPr>
        <w:t>喻</w:t>
      </w:r>
      <w:r w:rsid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故說</w:t>
      </w:r>
      <w:r w:rsidR="00AD67D3">
        <w:rPr>
          <w:rFonts w:ascii="標楷體" w:eastAsia="標楷體" w:hAnsi="標楷體" w:cs="Calibri" w:hint="eastAsia"/>
          <w:color w:val="FF0000"/>
          <w:szCs w:val="22"/>
          <w:highlight w:val="yellow"/>
        </w:rPr>
        <w:t>「</w:t>
      </w:r>
      <w:r w:rsidRPr="00212D57">
        <w:rPr>
          <w:rFonts w:ascii="標楷體" w:eastAsia="標楷體" w:hAnsi="標楷體" w:cs="Calibri" w:hint="eastAsia"/>
          <w:b/>
          <w:szCs w:val="22"/>
        </w:rPr>
        <w:t>如幻</w:t>
      </w:r>
      <w:r w:rsid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。隨其所應假說</w:t>
      </w:r>
      <w:r w:rsidR="00286BA9">
        <w:rPr>
          <w:rFonts w:ascii="標楷體" w:eastAsia="標楷體" w:hAnsi="標楷體" w:hint="eastAsia"/>
          <w:bCs/>
          <w:color w:val="FF0000"/>
          <w:kern w:val="0"/>
          <w:highlight w:val="yellow"/>
        </w:rPr>
        <w:t>「</w:t>
      </w:r>
      <w:r w:rsidR="00286BA9">
        <w:rPr>
          <w:rFonts w:ascii="標楷體" w:eastAsia="標楷體" w:hAnsi="標楷體" w:hint="eastAsia"/>
          <w:color w:val="FF0000"/>
          <w:kern w:val="0"/>
          <w:highlight w:val="yellow"/>
        </w:rPr>
        <w:t>『</w:t>
      </w:r>
      <w:r w:rsidRPr="00212D57">
        <w:rPr>
          <w:rFonts w:ascii="標楷體" w:eastAsia="標楷體" w:hAnsi="標楷體" w:cs="Calibri" w:hint="eastAsia"/>
          <w:szCs w:val="22"/>
        </w:rPr>
        <w:t>所立、能立</w:t>
      </w:r>
      <w:r w:rsidR="00286BA9">
        <w:rPr>
          <w:rFonts w:ascii="標楷體" w:eastAsia="標楷體" w:hAnsi="標楷體" w:hint="eastAsia"/>
          <w:color w:val="FF0000"/>
          <w:kern w:val="0"/>
          <w:highlight w:val="yellow"/>
        </w:rPr>
        <w:t>』</w:t>
      </w:r>
      <w:r w:rsidRPr="00212D57">
        <w:rPr>
          <w:rFonts w:ascii="標楷體" w:eastAsia="標楷體" w:hAnsi="標楷體" w:cs="Calibri" w:hint="eastAsia"/>
          <w:szCs w:val="22"/>
        </w:rPr>
        <w:t>法</w:t>
      </w:r>
      <w:r w:rsidR="00286BA9">
        <w:rPr>
          <w:rFonts w:ascii="標楷體" w:eastAsia="標楷體" w:hAnsi="標楷體" w:hint="eastAsia"/>
          <w:bCs/>
          <w:color w:val="FF0000"/>
          <w:kern w:val="0"/>
          <w:highlight w:val="yellow"/>
        </w:rPr>
        <w:t>」</w:t>
      </w:r>
      <w:r w:rsidRPr="00212D57">
        <w:rPr>
          <w:rFonts w:ascii="標楷體" w:eastAsia="標楷體" w:hAnsi="標楷體" w:cs="Calibri" w:hint="eastAsia"/>
          <w:szCs w:val="22"/>
        </w:rPr>
        <w:t>同；假說同故，不可一切同喻上法皆難令有。如說</w:t>
      </w:r>
      <w:r w:rsid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女面端嚴如月</w:t>
      </w:r>
      <w:r w:rsid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，不可難令一切月法皆面上有。隨結頌法</w:t>
      </w:r>
      <w:r w:rsidR="00AD67D3">
        <w:rPr>
          <w:rFonts w:ascii="標楷體" w:eastAsia="標楷體" w:hAnsi="標楷體" w:cs="Calibri" w:hint="eastAsia"/>
          <w:color w:val="FF0000"/>
          <w:szCs w:val="22"/>
          <w:highlight w:val="yellow"/>
        </w:rPr>
        <w:t>，</w:t>
      </w:r>
      <w:r w:rsidR="00AD67D3">
        <w:rPr>
          <w:rFonts w:ascii="標楷體" w:eastAsia="標楷體" w:hAnsi="標楷體" w:cs="Calibri" w:hint="eastAsia"/>
          <w:szCs w:val="22"/>
        </w:rPr>
        <w:t>說此同喻</w:t>
      </w:r>
      <w:r w:rsid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如是次第</w:t>
      </w:r>
      <w:r w:rsid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由此半頌，是略本處</w:t>
      </w:r>
      <w:r w:rsid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故無有失。</w:t>
      </w:r>
    </w:p>
    <w:p w:rsidR="00157EF6" w:rsidRPr="00212D57" w:rsidRDefault="00157EF6" w:rsidP="002B682F">
      <w:pPr>
        <w:pStyle w:val="a5"/>
        <w:ind w:leftChars="100" w:left="240"/>
        <w:jc w:val="both"/>
        <w:rPr>
          <w:szCs w:val="22"/>
        </w:rPr>
      </w:pPr>
      <w:r w:rsidRPr="00212D57">
        <w:rPr>
          <w:rFonts w:ascii="標楷體" w:eastAsia="標楷體" w:hAnsi="標楷體" w:cs="Calibri" w:hint="eastAsia"/>
          <w:szCs w:val="22"/>
        </w:rPr>
        <w:t>所立有法皆從緣生，為立此</w:t>
      </w:r>
      <w:r w:rsidRPr="00A304CD">
        <w:rPr>
          <w:rFonts w:ascii="標楷體" w:eastAsia="標楷體" w:hAnsi="標楷體" w:cs="Calibri" w:hint="eastAsia"/>
          <w:b/>
          <w:szCs w:val="22"/>
        </w:rPr>
        <w:t>因</w:t>
      </w:r>
      <w:r w:rsid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說</w:t>
      </w:r>
      <w:r w:rsidR="00AD67D3">
        <w:rPr>
          <w:rFonts w:ascii="標楷體" w:eastAsia="標楷體" w:hAnsi="標楷體" w:cs="Calibri" w:hint="eastAsia"/>
          <w:color w:val="FF0000"/>
          <w:szCs w:val="22"/>
          <w:highlight w:val="yellow"/>
        </w:rPr>
        <w:t>「</w:t>
      </w:r>
      <w:r w:rsidRPr="00212D57">
        <w:rPr>
          <w:rFonts w:ascii="標楷體" w:eastAsia="標楷體" w:hAnsi="標楷體" w:cs="Calibri" w:hint="eastAsia"/>
          <w:b/>
          <w:szCs w:val="22"/>
        </w:rPr>
        <w:t>緣生故</w:t>
      </w:r>
      <w:r w:rsid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。因等眾緣共所生故，說名</w:t>
      </w:r>
      <w:r w:rsidR="00AD67D3">
        <w:rPr>
          <w:rFonts w:ascii="標楷體" w:eastAsia="標楷體" w:hAnsi="標楷體" w:cs="Calibri" w:hint="eastAsia"/>
          <w:color w:val="FF0000"/>
          <w:szCs w:val="22"/>
          <w:highlight w:val="yellow"/>
        </w:rPr>
        <w:t>「</w:t>
      </w:r>
      <w:r w:rsidRPr="00212D57">
        <w:rPr>
          <w:rFonts w:ascii="標楷體" w:eastAsia="標楷體" w:hAnsi="標楷體" w:cs="Calibri" w:hint="eastAsia"/>
          <w:b/>
          <w:szCs w:val="22"/>
        </w:rPr>
        <w:t>緣生</w:t>
      </w:r>
      <w:r w:rsid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，即</w:t>
      </w:r>
      <w:r w:rsid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緣所起、緣所現</w:t>
      </w:r>
      <w:r w:rsidR="00AD67D3">
        <w:rPr>
          <w:rFonts w:ascii="標楷體" w:eastAsia="標楷體" w:hAnsi="標楷體" w:cs="Calibri" w:hint="eastAsia"/>
          <w:color w:val="FF0000"/>
          <w:szCs w:val="22"/>
          <w:highlight w:val="yellow"/>
        </w:rPr>
        <w:t>」</w:t>
      </w:r>
      <w:r w:rsidRPr="00212D57">
        <w:rPr>
          <w:rFonts w:ascii="標楷體" w:eastAsia="標楷體" w:hAnsi="標楷體" w:cs="Calibri" w:hint="eastAsia"/>
          <w:szCs w:val="22"/>
        </w:rPr>
        <w:t>義。</w:t>
      </w:r>
      <w:r w:rsidR="00212687" w:rsidRPr="00212687">
        <w:rPr>
          <w:rFonts w:ascii="標楷體" w:eastAsia="標楷體" w:hAnsi="標楷體" w:cs="Calibri" w:hint="eastAsia"/>
          <w:color w:val="FF0000"/>
          <w:szCs w:val="22"/>
          <w:highlight w:val="yellow"/>
        </w:rPr>
        <w:t>為遮異品</w:t>
      </w:r>
      <w:r w:rsidR="00212687">
        <w:rPr>
          <w:rFonts w:ascii="標楷體" w:eastAsia="標楷體" w:hAnsi="標楷體" w:cs="Calibri" w:hint="eastAsia"/>
          <w:color w:val="FF0000"/>
          <w:szCs w:val="22"/>
          <w:highlight w:val="yellow"/>
        </w:rPr>
        <w:t>，</w:t>
      </w:r>
      <w:r w:rsidR="00212687" w:rsidRPr="00212687">
        <w:rPr>
          <w:rFonts w:ascii="標楷體" w:eastAsia="標楷體" w:hAnsi="標楷體" w:cs="Calibri" w:hint="eastAsia"/>
          <w:color w:val="FF0000"/>
          <w:szCs w:val="22"/>
          <w:highlight w:val="yellow"/>
        </w:rPr>
        <w:t>立</w:t>
      </w:r>
      <w:r w:rsidR="00212687">
        <w:rPr>
          <w:rFonts w:ascii="標楷體" w:eastAsia="標楷體" w:hAnsi="標楷體" w:cs="Calibri" w:hint="eastAsia"/>
          <w:color w:val="FF0000"/>
          <w:szCs w:val="22"/>
          <w:highlight w:val="yellow"/>
        </w:rPr>
        <w:t>「</w:t>
      </w:r>
      <w:r w:rsidR="00212687" w:rsidRPr="00212687">
        <w:rPr>
          <w:rFonts w:ascii="標楷體" w:eastAsia="標楷體" w:hAnsi="標楷體" w:cs="Calibri" w:hint="eastAsia"/>
          <w:color w:val="FF0000"/>
          <w:szCs w:val="22"/>
          <w:highlight w:val="yellow"/>
        </w:rPr>
        <w:t>異法喻</w:t>
      </w:r>
      <w:r w:rsidR="00212687">
        <w:rPr>
          <w:rFonts w:ascii="標楷體" w:eastAsia="標楷體" w:hAnsi="標楷體" w:cs="Calibri" w:hint="eastAsia"/>
          <w:color w:val="FF0000"/>
          <w:szCs w:val="22"/>
          <w:highlight w:val="yellow"/>
        </w:rPr>
        <w:t>」；</w:t>
      </w:r>
      <w:r w:rsidR="00212687" w:rsidRPr="00212687">
        <w:rPr>
          <w:rFonts w:ascii="標楷體" w:eastAsia="標楷體" w:hAnsi="標楷體" w:cs="Calibri" w:hint="eastAsia"/>
          <w:color w:val="FF0000"/>
          <w:szCs w:val="22"/>
          <w:highlight w:val="yellow"/>
        </w:rPr>
        <w:t>異品無故</w:t>
      </w:r>
      <w:r w:rsidR="00212687">
        <w:rPr>
          <w:rFonts w:ascii="標楷體" w:eastAsia="標楷體" w:hAnsi="標楷體" w:cs="Calibri" w:hint="eastAsia"/>
          <w:color w:val="FF0000"/>
          <w:szCs w:val="22"/>
          <w:highlight w:val="yellow"/>
        </w:rPr>
        <w:t>，</w:t>
      </w:r>
      <w:r w:rsidR="00212687" w:rsidRPr="00212687">
        <w:rPr>
          <w:rFonts w:ascii="標楷體" w:eastAsia="標楷體" w:hAnsi="標楷體" w:cs="Calibri" w:hint="eastAsia"/>
          <w:color w:val="FF0000"/>
          <w:szCs w:val="22"/>
          <w:highlight w:val="yellow"/>
        </w:rPr>
        <w:t>遮義已成</w:t>
      </w:r>
      <w:r w:rsidR="00212687">
        <w:rPr>
          <w:rFonts w:ascii="標楷體" w:eastAsia="標楷體" w:hAnsi="標楷體" w:cs="Calibri" w:hint="eastAsia"/>
          <w:color w:val="FF0000"/>
          <w:szCs w:val="22"/>
          <w:highlight w:val="yellow"/>
        </w:rPr>
        <w:t>，</w:t>
      </w:r>
      <w:r w:rsidR="00212687" w:rsidRPr="00212687">
        <w:rPr>
          <w:rFonts w:ascii="標楷體" w:eastAsia="標楷體" w:hAnsi="標楷體" w:cs="Calibri" w:hint="eastAsia"/>
          <w:color w:val="FF0000"/>
          <w:szCs w:val="22"/>
          <w:highlight w:val="yellow"/>
        </w:rPr>
        <w:t>是故不說。</w:t>
      </w:r>
    </w:p>
  </w:footnote>
  <w:footnote w:id="274">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rFonts w:hint="eastAsia"/>
          <w:szCs w:val="22"/>
        </w:rPr>
        <w:t>《大乘掌珍論》卷</w:t>
      </w:r>
      <w:r w:rsidR="00212687">
        <w:rPr>
          <w:rFonts w:hint="eastAsia"/>
          <w:color w:val="FF0000"/>
          <w:szCs w:val="22"/>
          <w:highlight w:val="yellow"/>
        </w:rPr>
        <w:t>下</w:t>
      </w:r>
      <w:r w:rsidRPr="00212D57">
        <w:rPr>
          <w:rFonts w:hint="eastAsia"/>
          <w:szCs w:val="22"/>
        </w:rPr>
        <w:t>（大正</w:t>
      </w:r>
      <w:r w:rsidRPr="00761EF3">
        <w:rPr>
          <w:rFonts w:hint="eastAsia"/>
          <w:szCs w:val="22"/>
        </w:rPr>
        <w:t>30</w:t>
      </w:r>
      <w:r w:rsidRPr="00212D57">
        <w:rPr>
          <w:rFonts w:hint="eastAsia"/>
          <w:szCs w:val="22"/>
        </w:rPr>
        <w:t>，</w:t>
      </w:r>
      <w:r w:rsidRPr="00761EF3">
        <w:rPr>
          <w:rFonts w:hint="eastAsia"/>
          <w:szCs w:val="22"/>
        </w:rPr>
        <w:t>273c2</w:t>
      </w:r>
      <w:r w:rsidRPr="00212D57">
        <w:rPr>
          <w:rFonts w:hint="eastAsia"/>
          <w:szCs w:val="22"/>
        </w:rPr>
        <w:t>-</w:t>
      </w:r>
      <w:r w:rsidRPr="00761EF3">
        <w:rPr>
          <w:rFonts w:hint="eastAsia"/>
          <w:szCs w:val="22"/>
        </w:rPr>
        <w:t>16</w:t>
      </w:r>
      <w:r w:rsidRPr="00212D57">
        <w:rPr>
          <w:rFonts w:hint="eastAsia"/>
          <w:szCs w:val="22"/>
        </w:rPr>
        <w:t>）：</w:t>
      </w:r>
    </w:p>
    <w:p w:rsidR="00157EF6" w:rsidRPr="00212D57" w:rsidRDefault="00F009A0" w:rsidP="002B682F">
      <w:pPr>
        <w:pStyle w:val="a5"/>
        <w:ind w:leftChars="105" w:left="252"/>
        <w:jc w:val="both"/>
        <w:rPr>
          <w:rFonts w:ascii="標楷體" w:eastAsia="標楷體" w:hAnsi="標楷體"/>
          <w:szCs w:val="22"/>
        </w:rPr>
      </w:pPr>
      <w:r>
        <w:rPr>
          <w:rFonts w:ascii="標楷體" w:eastAsia="標楷體" w:hAnsi="標楷體" w:cs="Calibri" w:hint="eastAsia"/>
          <w:color w:val="FF0000"/>
          <w:szCs w:val="22"/>
          <w:highlight w:val="yellow"/>
        </w:rPr>
        <w:t>「</w:t>
      </w:r>
      <w:r w:rsidR="00157EF6" w:rsidRPr="00212D57">
        <w:rPr>
          <w:rFonts w:ascii="標楷體" w:eastAsia="標楷體" w:hAnsi="標楷體" w:hint="eastAsia"/>
          <w:b/>
          <w:szCs w:val="22"/>
        </w:rPr>
        <w:t>無為無有實，不起，似空花</w:t>
      </w:r>
      <w:r>
        <w:rPr>
          <w:rFonts w:ascii="標楷體" w:eastAsia="標楷體" w:hAnsi="標楷體" w:cs="Calibri" w:hint="eastAsia"/>
          <w:color w:val="FF0000"/>
          <w:szCs w:val="22"/>
          <w:highlight w:val="yellow"/>
        </w:rPr>
        <w:t>」：</w:t>
      </w:r>
      <w:r w:rsidR="00157EF6" w:rsidRPr="00212D57">
        <w:rPr>
          <w:rFonts w:ascii="標楷體" w:eastAsia="標楷體" w:hAnsi="標楷體" w:hint="eastAsia"/>
          <w:szCs w:val="22"/>
        </w:rPr>
        <w:t>此中簡別立宗言詞，即上「真性」，須簡別意</w:t>
      </w:r>
      <w:r>
        <w:rPr>
          <w:rFonts w:ascii="標楷體" w:eastAsia="標楷體" w:hAnsi="標楷體" w:cs="Calibri" w:hint="eastAsia"/>
          <w:color w:val="FF0000"/>
          <w:szCs w:val="22"/>
          <w:highlight w:val="yellow"/>
        </w:rPr>
        <w:t>，</w:t>
      </w:r>
      <w:r w:rsidR="00157EF6" w:rsidRPr="00212D57">
        <w:rPr>
          <w:rFonts w:ascii="標楷體" w:eastAsia="標楷體" w:hAnsi="標楷體" w:hint="eastAsia"/>
          <w:szCs w:val="22"/>
        </w:rPr>
        <w:t>如前</w:t>
      </w:r>
      <w:r w:rsidRPr="00F009A0">
        <w:rPr>
          <w:rFonts w:ascii="標楷體" w:eastAsia="標楷體" w:hAnsi="標楷體" w:hint="eastAsia"/>
          <w:color w:val="FF0000"/>
          <w:szCs w:val="22"/>
          <w:highlight w:val="yellow"/>
        </w:rPr>
        <w:t>，</w:t>
      </w:r>
      <w:r w:rsidR="00157EF6" w:rsidRPr="00212D57">
        <w:rPr>
          <w:rFonts w:ascii="標楷體" w:eastAsia="標楷體" w:hAnsi="標楷體" w:hint="eastAsia"/>
          <w:szCs w:val="22"/>
        </w:rPr>
        <w:t>應知</w:t>
      </w:r>
      <w:r>
        <w:rPr>
          <w:rFonts w:ascii="標楷體" w:eastAsia="標楷體" w:hAnsi="標楷體" w:cs="Calibri" w:hint="eastAsia"/>
          <w:color w:val="FF0000"/>
          <w:szCs w:val="22"/>
          <w:highlight w:val="yellow"/>
        </w:rPr>
        <w:t>。</w:t>
      </w:r>
      <w:r w:rsidR="00157EF6" w:rsidRPr="00212D57">
        <w:rPr>
          <w:rFonts w:ascii="標楷體" w:eastAsia="標楷體" w:hAnsi="標楷體" w:hint="eastAsia"/>
          <w:b/>
          <w:szCs w:val="22"/>
        </w:rPr>
        <w:t>就</w:t>
      </w:r>
      <w:r>
        <w:rPr>
          <w:rFonts w:ascii="標楷體" w:eastAsia="標楷體" w:hAnsi="標楷體" w:cs="Calibri" w:hint="eastAsia"/>
          <w:color w:val="FF0000"/>
          <w:szCs w:val="22"/>
          <w:highlight w:val="yellow"/>
        </w:rPr>
        <w:t>「</w:t>
      </w:r>
      <w:r w:rsidR="00157EF6" w:rsidRPr="00212D57">
        <w:rPr>
          <w:rFonts w:ascii="標楷體" w:eastAsia="標楷體" w:hAnsi="標楷體" w:hint="eastAsia"/>
          <w:b/>
          <w:szCs w:val="22"/>
        </w:rPr>
        <w:t>真性</w:t>
      </w:r>
      <w:r>
        <w:rPr>
          <w:rFonts w:ascii="標楷體" w:eastAsia="標楷體" w:hAnsi="標楷體" w:cs="Calibri" w:hint="eastAsia"/>
          <w:color w:val="FF0000"/>
          <w:szCs w:val="22"/>
          <w:highlight w:val="yellow"/>
        </w:rPr>
        <w:t>」</w:t>
      </w:r>
      <w:r w:rsidR="00157EF6" w:rsidRPr="00212D57">
        <w:rPr>
          <w:rFonts w:ascii="標楷體" w:eastAsia="標楷體" w:hAnsi="標楷體" w:hint="eastAsia"/>
          <w:b/>
          <w:szCs w:val="22"/>
        </w:rPr>
        <w:t>故立</w:t>
      </w:r>
      <w:r>
        <w:rPr>
          <w:rFonts w:ascii="標楷體" w:eastAsia="標楷體" w:hAnsi="標楷體" w:cs="Calibri" w:hint="eastAsia"/>
          <w:color w:val="FF0000"/>
          <w:szCs w:val="22"/>
          <w:highlight w:val="yellow"/>
        </w:rPr>
        <w:t>「</w:t>
      </w:r>
      <w:r w:rsidR="00157EF6" w:rsidRPr="00212D57">
        <w:rPr>
          <w:rFonts w:ascii="標楷體" w:eastAsia="標楷體" w:hAnsi="標楷體" w:hint="eastAsia"/>
          <w:b/>
          <w:szCs w:val="22"/>
        </w:rPr>
        <w:t>無為空</w:t>
      </w:r>
      <w:r>
        <w:rPr>
          <w:rFonts w:ascii="標楷體" w:eastAsia="標楷體" w:hAnsi="標楷體" w:cs="Calibri" w:hint="eastAsia"/>
          <w:color w:val="FF0000"/>
          <w:szCs w:val="22"/>
          <w:highlight w:val="yellow"/>
        </w:rPr>
        <w:t>」</w:t>
      </w:r>
      <w:r w:rsidR="00157EF6" w:rsidRPr="00212D57">
        <w:rPr>
          <w:rFonts w:ascii="標楷體" w:eastAsia="標楷體" w:hAnsi="標楷體" w:hint="eastAsia"/>
          <w:b/>
          <w:szCs w:val="22"/>
        </w:rPr>
        <w:t>，非就</w:t>
      </w:r>
      <w:r>
        <w:rPr>
          <w:rFonts w:ascii="標楷體" w:eastAsia="標楷體" w:hAnsi="標楷體" w:cs="Calibri" w:hint="eastAsia"/>
          <w:color w:val="FF0000"/>
          <w:szCs w:val="22"/>
          <w:highlight w:val="yellow"/>
        </w:rPr>
        <w:t>「</w:t>
      </w:r>
      <w:r w:rsidR="00157EF6" w:rsidRPr="00212D57">
        <w:rPr>
          <w:rFonts w:ascii="標楷體" w:eastAsia="標楷體" w:hAnsi="標楷體" w:hint="eastAsia"/>
          <w:b/>
          <w:szCs w:val="22"/>
        </w:rPr>
        <w:t>世俗</w:t>
      </w:r>
      <w:r>
        <w:rPr>
          <w:rFonts w:ascii="標楷體" w:eastAsia="標楷體" w:hAnsi="標楷體" w:cs="Calibri" w:hint="eastAsia"/>
          <w:color w:val="FF0000"/>
          <w:szCs w:val="22"/>
          <w:highlight w:val="yellow"/>
        </w:rPr>
        <w:t>」</w:t>
      </w:r>
      <w:r w:rsidR="00157EF6" w:rsidRPr="00212D57">
        <w:rPr>
          <w:rFonts w:ascii="標楷體" w:eastAsia="標楷體" w:hAnsi="標楷體" w:hint="eastAsia"/>
          <w:b/>
          <w:szCs w:val="22"/>
        </w:rPr>
        <w:t>。</w:t>
      </w:r>
      <w:r w:rsidR="00157EF6" w:rsidRPr="00212D57">
        <w:rPr>
          <w:rFonts w:ascii="標楷體" w:eastAsia="標楷體" w:hAnsi="標楷體" w:hint="eastAsia"/>
          <w:szCs w:val="22"/>
        </w:rPr>
        <w:t>非有為故，說名</w:t>
      </w:r>
      <w:r>
        <w:rPr>
          <w:rFonts w:ascii="標楷體" w:eastAsia="標楷體" w:hAnsi="標楷體" w:cs="Calibri" w:hint="eastAsia"/>
          <w:color w:val="FF0000"/>
          <w:szCs w:val="22"/>
          <w:highlight w:val="yellow"/>
        </w:rPr>
        <w:t>「</w:t>
      </w:r>
      <w:r w:rsidR="00157EF6" w:rsidRPr="00212D57">
        <w:rPr>
          <w:rFonts w:ascii="標楷體" w:eastAsia="標楷體" w:hAnsi="標楷體" w:hint="eastAsia"/>
          <w:szCs w:val="22"/>
        </w:rPr>
        <w:t>無為</w:t>
      </w:r>
      <w:r>
        <w:rPr>
          <w:rFonts w:ascii="標楷體" w:eastAsia="標楷體" w:hAnsi="標楷體" w:cs="Calibri" w:hint="eastAsia"/>
          <w:color w:val="FF0000"/>
          <w:szCs w:val="22"/>
          <w:highlight w:val="yellow"/>
        </w:rPr>
        <w:t>」</w:t>
      </w:r>
      <w:r w:rsidR="00157EF6" w:rsidRPr="00212D57">
        <w:rPr>
          <w:rFonts w:ascii="標楷體" w:eastAsia="標楷體" w:hAnsi="標楷體" w:hint="eastAsia"/>
          <w:szCs w:val="22"/>
        </w:rPr>
        <w:t>，翻對</w:t>
      </w:r>
      <w:r>
        <w:rPr>
          <w:rFonts w:ascii="標楷體" w:eastAsia="標楷體" w:hAnsi="標楷體" w:cs="Calibri" w:hint="eastAsia"/>
          <w:color w:val="FF0000"/>
          <w:szCs w:val="22"/>
          <w:highlight w:val="yellow"/>
        </w:rPr>
        <w:t>「</w:t>
      </w:r>
      <w:r w:rsidR="00157EF6" w:rsidRPr="00212D57">
        <w:rPr>
          <w:rFonts w:ascii="標楷體" w:eastAsia="標楷體" w:hAnsi="標楷體" w:hint="eastAsia"/>
          <w:szCs w:val="22"/>
        </w:rPr>
        <w:t>有為</w:t>
      </w:r>
      <w:r>
        <w:rPr>
          <w:rFonts w:ascii="標楷體" w:eastAsia="標楷體" w:hAnsi="標楷體" w:cs="Calibri" w:hint="eastAsia"/>
          <w:color w:val="FF0000"/>
          <w:szCs w:val="22"/>
          <w:highlight w:val="yellow"/>
        </w:rPr>
        <w:t>」</w:t>
      </w:r>
      <w:r w:rsidR="00157EF6" w:rsidRPr="00212D57">
        <w:rPr>
          <w:rFonts w:ascii="標楷體" w:eastAsia="標楷體" w:hAnsi="標楷體" w:hint="eastAsia"/>
          <w:szCs w:val="22"/>
        </w:rPr>
        <w:t>是</w:t>
      </w:r>
      <w:r>
        <w:rPr>
          <w:rFonts w:ascii="標楷體" w:eastAsia="標楷體" w:hAnsi="標楷體" w:cs="Calibri" w:hint="eastAsia"/>
          <w:color w:val="FF0000"/>
          <w:szCs w:val="22"/>
          <w:highlight w:val="yellow"/>
        </w:rPr>
        <w:t>「</w:t>
      </w:r>
      <w:r w:rsidR="00157EF6" w:rsidRPr="00212D57">
        <w:rPr>
          <w:rFonts w:ascii="標楷體" w:eastAsia="標楷體" w:hAnsi="標楷體" w:hint="eastAsia"/>
          <w:szCs w:val="22"/>
        </w:rPr>
        <w:t>無為</w:t>
      </w:r>
      <w:r>
        <w:rPr>
          <w:rFonts w:ascii="標楷體" w:eastAsia="標楷體" w:hAnsi="標楷體" w:cs="Calibri" w:hint="eastAsia"/>
          <w:color w:val="FF0000"/>
          <w:szCs w:val="22"/>
          <w:highlight w:val="yellow"/>
        </w:rPr>
        <w:t>」</w:t>
      </w:r>
      <w:r w:rsidR="00157EF6" w:rsidRPr="00212D57">
        <w:rPr>
          <w:rFonts w:ascii="標楷體" w:eastAsia="標楷體" w:hAnsi="標楷體" w:hint="eastAsia"/>
          <w:szCs w:val="22"/>
        </w:rPr>
        <w:t>義，即是</w:t>
      </w:r>
      <w:r>
        <w:rPr>
          <w:rFonts w:ascii="標楷體" w:eastAsia="標楷體" w:hAnsi="標楷體" w:cs="Calibri" w:hint="eastAsia"/>
          <w:color w:val="FF0000"/>
          <w:szCs w:val="22"/>
          <w:highlight w:val="yellow"/>
        </w:rPr>
        <w:t>「</w:t>
      </w:r>
      <w:r w:rsidR="00157EF6" w:rsidRPr="00212D57">
        <w:rPr>
          <w:rFonts w:ascii="標楷體" w:eastAsia="標楷體" w:hAnsi="標楷體" w:hint="eastAsia"/>
          <w:szCs w:val="22"/>
        </w:rPr>
        <w:t>虛空、擇、非擇滅及真如性</w:t>
      </w:r>
      <w:r>
        <w:rPr>
          <w:rFonts w:ascii="標楷體" w:eastAsia="標楷體" w:hAnsi="標楷體" w:cs="Calibri" w:hint="eastAsia"/>
          <w:color w:val="FF0000"/>
          <w:szCs w:val="22"/>
          <w:highlight w:val="yellow"/>
        </w:rPr>
        <w:t>」</w:t>
      </w:r>
      <w:r w:rsidR="00157EF6" w:rsidRPr="00212D57">
        <w:rPr>
          <w:rFonts w:ascii="標楷體" w:eastAsia="標楷體" w:hAnsi="標楷體" w:hint="eastAsia"/>
          <w:szCs w:val="22"/>
        </w:rPr>
        <w:t>，謂前所除法處一分</w:t>
      </w:r>
      <w:r>
        <w:rPr>
          <w:rFonts w:ascii="標楷體" w:eastAsia="標楷體" w:hAnsi="標楷體" w:cs="Calibri" w:hint="eastAsia"/>
          <w:color w:val="FF0000"/>
          <w:szCs w:val="22"/>
          <w:highlight w:val="yellow"/>
        </w:rPr>
        <w:t>。</w:t>
      </w:r>
      <w:r w:rsidR="00157EF6" w:rsidRPr="00212D57">
        <w:rPr>
          <w:rFonts w:ascii="標楷體" w:eastAsia="標楷體" w:hAnsi="標楷體" w:hint="eastAsia"/>
          <w:szCs w:val="22"/>
        </w:rPr>
        <w:t>先顯悟</w:t>
      </w:r>
      <w:r w:rsidR="00157EF6" w:rsidRPr="00F009A0">
        <w:rPr>
          <w:rFonts w:ascii="標楷體" w:eastAsia="標楷體" w:hAnsi="標楷體" w:hint="eastAsia"/>
          <w:szCs w:val="22"/>
          <w:highlight w:val="yellow"/>
        </w:rPr>
        <w:t>入</w:t>
      </w:r>
      <w:r>
        <w:rPr>
          <w:rFonts w:ascii="標楷體" w:eastAsia="標楷體" w:hAnsi="標楷體" w:cs="Calibri" w:hint="eastAsia"/>
          <w:color w:val="FF0000"/>
          <w:szCs w:val="22"/>
          <w:highlight w:val="yellow"/>
        </w:rPr>
        <w:t>「</w:t>
      </w:r>
      <w:r w:rsidR="00157EF6" w:rsidRPr="00F009A0">
        <w:rPr>
          <w:rFonts w:ascii="標楷體" w:eastAsia="標楷體" w:hAnsi="標楷體" w:hint="eastAsia"/>
          <w:szCs w:val="22"/>
          <w:highlight w:val="yellow"/>
        </w:rPr>
        <w:t>虛</w:t>
      </w:r>
      <w:r w:rsidR="00157EF6" w:rsidRPr="00212D57">
        <w:rPr>
          <w:rFonts w:ascii="標楷體" w:eastAsia="標楷體" w:hAnsi="標楷體" w:hint="eastAsia"/>
          <w:szCs w:val="22"/>
        </w:rPr>
        <w:t>空性空</w:t>
      </w:r>
      <w:r>
        <w:rPr>
          <w:rFonts w:ascii="標楷體" w:eastAsia="標楷體" w:hAnsi="標楷體" w:cs="Calibri" w:hint="eastAsia"/>
          <w:color w:val="FF0000"/>
          <w:szCs w:val="22"/>
          <w:highlight w:val="yellow"/>
        </w:rPr>
        <w:t>」，</w:t>
      </w:r>
      <w:r w:rsidR="00157EF6" w:rsidRPr="00212D57">
        <w:rPr>
          <w:rFonts w:ascii="標楷體" w:eastAsia="標楷體" w:hAnsi="標楷體" w:hint="eastAsia"/>
          <w:szCs w:val="22"/>
        </w:rPr>
        <w:t>易開示故，唯就</w:t>
      </w:r>
      <w:r>
        <w:rPr>
          <w:rFonts w:ascii="標楷體" w:eastAsia="標楷體" w:hAnsi="標楷體" w:cs="Calibri" w:hint="eastAsia"/>
          <w:color w:val="FF0000"/>
          <w:szCs w:val="22"/>
          <w:highlight w:val="yellow"/>
        </w:rPr>
        <w:t>「</w:t>
      </w:r>
      <w:r w:rsidR="00157EF6" w:rsidRPr="00212D57">
        <w:rPr>
          <w:rFonts w:ascii="標楷體" w:eastAsia="標楷體" w:hAnsi="標楷體" w:hint="eastAsia"/>
          <w:szCs w:val="22"/>
        </w:rPr>
        <w:t>空無有質礙物</w:t>
      </w:r>
      <w:r>
        <w:rPr>
          <w:rFonts w:ascii="標楷體" w:eastAsia="標楷體" w:hAnsi="標楷體" w:cs="Calibri" w:hint="eastAsia"/>
          <w:color w:val="FF0000"/>
          <w:szCs w:val="22"/>
          <w:highlight w:val="yellow"/>
        </w:rPr>
        <w:t>」</w:t>
      </w:r>
      <w:r w:rsidR="00157EF6" w:rsidRPr="00212D57">
        <w:rPr>
          <w:rFonts w:ascii="標楷體" w:eastAsia="標楷體" w:hAnsi="標楷體" w:hint="eastAsia"/>
          <w:szCs w:val="22"/>
        </w:rPr>
        <w:t>，世間共立名</w:t>
      </w:r>
      <w:r>
        <w:rPr>
          <w:rFonts w:ascii="標楷體" w:eastAsia="標楷體" w:hAnsi="標楷體" w:cs="Calibri" w:hint="eastAsia"/>
          <w:color w:val="FF0000"/>
          <w:szCs w:val="22"/>
          <w:highlight w:val="yellow"/>
        </w:rPr>
        <w:t>「</w:t>
      </w:r>
      <w:r w:rsidR="00157EF6" w:rsidRPr="00212D57">
        <w:rPr>
          <w:rFonts w:ascii="標楷體" w:eastAsia="標楷體" w:hAnsi="標楷體" w:hint="eastAsia"/>
          <w:szCs w:val="22"/>
        </w:rPr>
        <w:t>虛空</w:t>
      </w:r>
      <w:r>
        <w:rPr>
          <w:rFonts w:ascii="標楷體" w:eastAsia="標楷體" w:hAnsi="標楷體" w:cs="Calibri" w:hint="eastAsia"/>
          <w:color w:val="FF0000"/>
          <w:szCs w:val="22"/>
          <w:highlight w:val="yellow"/>
        </w:rPr>
        <w:t>」</w:t>
      </w:r>
      <w:r w:rsidR="00157EF6" w:rsidRPr="00212D57">
        <w:rPr>
          <w:rFonts w:ascii="標楷體" w:eastAsia="標楷體" w:hAnsi="標楷體" w:hint="eastAsia"/>
          <w:szCs w:val="22"/>
        </w:rPr>
        <w:t>故</w:t>
      </w:r>
      <w:r>
        <w:rPr>
          <w:rFonts w:ascii="標楷體" w:eastAsia="標楷體" w:hAnsi="標楷體" w:cs="Calibri" w:hint="eastAsia"/>
          <w:color w:val="FF0000"/>
          <w:szCs w:val="22"/>
          <w:highlight w:val="yellow"/>
        </w:rPr>
        <w:t>；</w:t>
      </w:r>
      <w:r w:rsidR="00157EF6" w:rsidRPr="00212D57">
        <w:rPr>
          <w:rFonts w:ascii="標楷體" w:eastAsia="標楷體" w:hAnsi="標楷體" w:hint="eastAsia"/>
          <w:szCs w:val="22"/>
        </w:rPr>
        <w:t>由此為門</w:t>
      </w:r>
      <w:r>
        <w:rPr>
          <w:rFonts w:ascii="標楷體" w:eastAsia="標楷體" w:hAnsi="標楷體" w:cs="Calibri" w:hint="eastAsia"/>
          <w:color w:val="FF0000"/>
          <w:szCs w:val="22"/>
          <w:highlight w:val="yellow"/>
        </w:rPr>
        <w:t>，</w:t>
      </w:r>
      <w:r w:rsidR="00157EF6" w:rsidRPr="00212D57">
        <w:rPr>
          <w:rFonts w:ascii="標楷體" w:eastAsia="標楷體" w:hAnsi="標楷體" w:hint="eastAsia"/>
          <w:szCs w:val="22"/>
        </w:rPr>
        <w:t>悟入</w:t>
      </w:r>
      <w:r>
        <w:rPr>
          <w:rFonts w:ascii="標楷體" w:eastAsia="標楷體" w:hAnsi="標楷體" w:cs="Calibri" w:hint="eastAsia"/>
          <w:color w:val="FF0000"/>
          <w:szCs w:val="22"/>
          <w:highlight w:val="yellow"/>
        </w:rPr>
        <w:t>「</w:t>
      </w:r>
      <w:r w:rsidR="00157EF6" w:rsidRPr="00212D57">
        <w:rPr>
          <w:rFonts w:ascii="標楷體" w:eastAsia="標楷體" w:hAnsi="標楷體" w:hint="eastAsia"/>
          <w:szCs w:val="22"/>
        </w:rPr>
        <w:t>所餘無為空性</w:t>
      </w:r>
      <w:r>
        <w:rPr>
          <w:rFonts w:ascii="標楷體" w:eastAsia="標楷體" w:hAnsi="標楷體" w:cs="Calibri" w:hint="eastAsia"/>
          <w:color w:val="FF0000"/>
          <w:szCs w:val="22"/>
          <w:highlight w:val="yellow"/>
        </w:rPr>
        <w:t>」。</w:t>
      </w:r>
      <w:r w:rsidR="00157EF6" w:rsidRPr="00212D57">
        <w:rPr>
          <w:rFonts w:ascii="標楷體" w:eastAsia="標楷體" w:hAnsi="標楷體" w:hint="eastAsia"/>
          <w:szCs w:val="22"/>
        </w:rPr>
        <w:t>即此世間所知虛空，</w:t>
      </w:r>
      <w:r w:rsidR="00157EF6" w:rsidRPr="00212D57">
        <w:rPr>
          <w:rFonts w:ascii="標楷體" w:eastAsia="標楷體" w:hAnsi="標楷體" w:hint="eastAsia"/>
          <w:b/>
          <w:szCs w:val="22"/>
        </w:rPr>
        <w:t>就</w:t>
      </w:r>
      <w:r>
        <w:rPr>
          <w:rFonts w:ascii="標楷體" w:eastAsia="標楷體" w:hAnsi="標楷體" w:cs="Calibri" w:hint="eastAsia"/>
          <w:color w:val="FF0000"/>
          <w:szCs w:val="22"/>
          <w:highlight w:val="yellow"/>
        </w:rPr>
        <w:t>「</w:t>
      </w:r>
      <w:r w:rsidR="00157EF6" w:rsidRPr="00212D57">
        <w:rPr>
          <w:rFonts w:ascii="標楷體" w:eastAsia="標楷體" w:hAnsi="標楷體" w:hint="eastAsia"/>
          <w:b/>
          <w:szCs w:val="22"/>
        </w:rPr>
        <w:t>真性</w:t>
      </w:r>
      <w:r>
        <w:rPr>
          <w:rFonts w:ascii="標楷體" w:eastAsia="標楷體" w:hAnsi="標楷體" w:cs="Calibri" w:hint="eastAsia"/>
          <w:color w:val="FF0000"/>
          <w:szCs w:val="22"/>
          <w:highlight w:val="yellow"/>
        </w:rPr>
        <w:t>」</w:t>
      </w:r>
      <w:r w:rsidR="00157EF6" w:rsidRPr="00212D57">
        <w:rPr>
          <w:rFonts w:ascii="標楷體" w:eastAsia="標楷體" w:hAnsi="標楷體" w:hint="eastAsia"/>
          <w:b/>
          <w:szCs w:val="22"/>
        </w:rPr>
        <w:t>故</w:t>
      </w:r>
      <w:r>
        <w:rPr>
          <w:rFonts w:ascii="標楷體" w:eastAsia="標楷體" w:hAnsi="標楷體" w:cs="Calibri" w:hint="eastAsia"/>
          <w:color w:val="FF0000"/>
          <w:szCs w:val="22"/>
          <w:highlight w:val="yellow"/>
        </w:rPr>
        <w:t>，</w:t>
      </w:r>
      <w:r w:rsidR="00157EF6" w:rsidRPr="00212D57">
        <w:rPr>
          <w:rFonts w:ascii="標楷體" w:eastAsia="標楷體" w:hAnsi="標楷體" w:hint="eastAsia"/>
          <w:b/>
          <w:szCs w:val="22"/>
        </w:rPr>
        <w:t>空無有實</w:t>
      </w:r>
      <w:r>
        <w:rPr>
          <w:rFonts w:ascii="標楷體" w:eastAsia="標楷體" w:hAnsi="標楷體" w:cs="Calibri" w:hint="eastAsia"/>
          <w:color w:val="FF0000"/>
          <w:szCs w:val="22"/>
          <w:highlight w:val="yellow"/>
        </w:rPr>
        <w:t>。</w:t>
      </w:r>
      <w:r w:rsidR="00157EF6" w:rsidRPr="00212D57">
        <w:rPr>
          <w:rFonts w:ascii="標楷體" w:eastAsia="標楷體" w:hAnsi="標楷體" w:hint="eastAsia"/>
          <w:szCs w:val="22"/>
        </w:rPr>
        <w:t>是名</w:t>
      </w:r>
      <w:r w:rsidR="00157EF6" w:rsidRPr="00A304CD">
        <w:rPr>
          <w:rFonts w:ascii="標楷體" w:eastAsia="標楷體" w:hAnsi="標楷體" w:hint="eastAsia"/>
          <w:szCs w:val="22"/>
        </w:rPr>
        <w:t>立</w:t>
      </w:r>
      <w:r w:rsidR="00157EF6" w:rsidRPr="00212D57">
        <w:rPr>
          <w:rFonts w:ascii="標楷體" w:eastAsia="標楷體" w:hAnsi="標楷體" w:hint="eastAsia"/>
          <w:b/>
          <w:szCs w:val="22"/>
        </w:rPr>
        <w:t>宗</w:t>
      </w:r>
      <w:r w:rsidR="00157EF6" w:rsidRPr="00212D57">
        <w:rPr>
          <w:rFonts w:ascii="標楷體" w:eastAsia="標楷體" w:hAnsi="標楷體" w:hint="eastAsia"/>
          <w:szCs w:val="22"/>
        </w:rPr>
        <w:t>。</w:t>
      </w:r>
    </w:p>
    <w:p w:rsidR="00F009A0" w:rsidRDefault="00157EF6" w:rsidP="002B682F">
      <w:pPr>
        <w:pStyle w:val="a5"/>
        <w:ind w:leftChars="105" w:left="252"/>
        <w:jc w:val="both"/>
        <w:rPr>
          <w:rFonts w:ascii="標楷體" w:eastAsia="標楷體" w:hAnsi="標楷體"/>
          <w:szCs w:val="22"/>
        </w:rPr>
      </w:pPr>
      <w:r w:rsidRPr="00212D57">
        <w:rPr>
          <w:rFonts w:ascii="標楷體" w:eastAsia="標楷體" w:hAnsi="標楷體" w:hint="eastAsia"/>
          <w:szCs w:val="22"/>
        </w:rPr>
        <w:t>即此所立</w:t>
      </w:r>
      <w:r w:rsidR="00F009A0">
        <w:rPr>
          <w:rFonts w:ascii="標楷體" w:eastAsia="標楷體" w:hAnsi="標楷體" w:cs="Calibri" w:hint="eastAsia"/>
          <w:color w:val="FF0000"/>
          <w:szCs w:val="22"/>
          <w:highlight w:val="yellow"/>
        </w:rPr>
        <w:t>，</w:t>
      </w:r>
      <w:r w:rsidRPr="00212D57">
        <w:rPr>
          <w:rFonts w:ascii="標楷體" w:eastAsia="標楷體" w:hAnsi="標楷體" w:hint="eastAsia"/>
          <w:szCs w:val="22"/>
        </w:rPr>
        <w:t>就</w:t>
      </w:r>
      <w:r w:rsidR="00F009A0">
        <w:rPr>
          <w:rFonts w:ascii="標楷體" w:eastAsia="標楷體" w:hAnsi="標楷體" w:cs="Calibri" w:hint="eastAsia"/>
          <w:color w:val="FF0000"/>
          <w:szCs w:val="22"/>
          <w:highlight w:val="yellow"/>
        </w:rPr>
        <w:t>「</w:t>
      </w:r>
      <w:r w:rsidRPr="00212D57">
        <w:rPr>
          <w:rFonts w:ascii="標楷體" w:eastAsia="標楷體" w:hAnsi="標楷體" w:hint="eastAsia"/>
          <w:szCs w:val="22"/>
        </w:rPr>
        <w:t>真性</w:t>
      </w:r>
      <w:r w:rsidR="00F009A0">
        <w:rPr>
          <w:rFonts w:ascii="標楷體" w:eastAsia="標楷體" w:hAnsi="標楷體" w:cs="Calibri" w:hint="eastAsia"/>
          <w:color w:val="FF0000"/>
          <w:szCs w:val="22"/>
          <w:highlight w:val="yellow"/>
        </w:rPr>
        <w:t>」</w:t>
      </w:r>
      <w:r w:rsidRPr="00212D57">
        <w:rPr>
          <w:rFonts w:ascii="標楷體" w:eastAsia="標楷體" w:hAnsi="標楷體" w:hint="eastAsia"/>
          <w:szCs w:val="22"/>
        </w:rPr>
        <w:t>故</w:t>
      </w:r>
      <w:r w:rsidR="00F009A0">
        <w:rPr>
          <w:rFonts w:ascii="標楷體" w:eastAsia="標楷體" w:hAnsi="標楷體" w:cs="Calibri" w:hint="eastAsia"/>
          <w:color w:val="FF0000"/>
          <w:szCs w:val="22"/>
          <w:highlight w:val="yellow"/>
        </w:rPr>
        <w:t>，</w:t>
      </w:r>
      <w:r w:rsidRPr="00212D57">
        <w:rPr>
          <w:rFonts w:ascii="標楷體" w:eastAsia="標楷體" w:hAnsi="標楷體" w:hint="eastAsia"/>
          <w:szCs w:val="22"/>
        </w:rPr>
        <w:t>無實</w:t>
      </w:r>
      <w:r w:rsidR="00F009A0">
        <w:rPr>
          <w:rFonts w:ascii="標楷體" w:eastAsia="標楷體" w:hAnsi="標楷體" w:cs="Calibri" w:hint="eastAsia"/>
          <w:color w:val="FF0000"/>
          <w:szCs w:val="22"/>
          <w:highlight w:val="yellow"/>
        </w:rPr>
        <w:t>「</w:t>
      </w:r>
      <w:r w:rsidRPr="00212D57">
        <w:rPr>
          <w:rFonts w:ascii="標楷體" w:eastAsia="標楷體" w:hAnsi="標楷體" w:hint="eastAsia"/>
          <w:szCs w:val="22"/>
        </w:rPr>
        <w:t>虛空</w:t>
      </w:r>
      <w:r w:rsidR="00F009A0">
        <w:rPr>
          <w:rFonts w:ascii="標楷體" w:eastAsia="標楷體" w:hAnsi="標楷體" w:cs="Calibri" w:hint="eastAsia"/>
          <w:color w:val="FF0000"/>
          <w:szCs w:val="22"/>
          <w:highlight w:val="yellow"/>
        </w:rPr>
        <w:t>」</w:t>
      </w:r>
      <w:r w:rsidRPr="00212D57">
        <w:rPr>
          <w:rFonts w:ascii="標楷體" w:eastAsia="標楷體" w:hAnsi="標楷體" w:hint="eastAsia"/>
          <w:szCs w:val="22"/>
        </w:rPr>
        <w:t>，二宗皆許為</w:t>
      </w:r>
      <w:r w:rsidR="00F009A0">
        <w:rPr>
          <w:rFonts w:ascii="標楷體" w:eastAsia="標楷體" w:hAnsi="標楷體" w:cs="Calibri" w:hint="eastAsia"/>
          <w:color w:val="FF0000"/>
          <w:szCs w:val="22"/>
          <w:highlight w:val="yellow"/>
        </w:rPr>
        <w:t>「</w:t>
      </w:r>
      <w:r w:rsidRPr="00212D57">
        <w:rPr>
          <w:rFonts w:ascii="標楷體" w:eastAsia="標楷體" w:hAnsi="標楷體" w:hint="eastAsia"/>
          <w:szCs w:val="22"/>
        </w:rPr>
        <w:t>不起</w:t>
      </w:r>
      <w:r w:rsidR="00F009A0">
        <w:rPr>
          <w:rFonts w:ascii="標楷體" w:eastAsia="標楷體" w:hAnsi="標楷體" w:cs="Calibri" w:hint="eastAsia"/>
          <w:color w:val="FF0000"/>
          <w:szCs w:val="22"/>
          <w:highlight w:val="yellow"/>
        </w:rPr>
        <w:t>」</w:t>
      </w:r>
      <w:r w:rsidRPr="00212D57">
        <w:rPr>
          <w:rFonts w:ascii="標楷體" w:eastAsia="標楷體" w:hAnsi="標楷體" w:hint="eastAsia"/>
          <w:szCs w:val="22"/>
        </w:rPr>
        <w:t>故，或假立為不起法故，說名為</w:t>
      </w:r>
      <w:r w:rsidRPr="00A304CD">
        <w:rPr>
          <w:rFonts w:ascii="標楷體" w:eastAsia="標楷體" w:hAnsi="標楷體" w:hint="eastAsia"/>
          <w:b/>
          <w:szCs w:val="22"/>
        </w:rPr>
        <w:t>因</w:t>
      </w:r>
      <w:r w:rsidRPr="00212D57">
        <w:rPr>
          <w:rFonts w:ascii="標楷體" w:eastAsia="標楷體" w:hAnsi="標楷體" w:hint="eastAsia"/>
          <w:szCs w:val="22"/>
        </w:rPr>
        <w:t>。</w:t>
      </w:r>
    </w:p>
    <w:p w:rsidR="00157EF6" w:rsidRPr="00212D57" w:rsidRDefault="00F009A0" w:rsidP="002B682F">
      <w:pPr>
        <w:pStyle w:val="a5"/>
        <w:ind w:leftChars="105" w:left="252"/>
        <w:jc w:val="both"/>
        <w:rPr>
          <w:rFonts w:ascii="標楷體" w:eastAsia="標楷體" w:hAnsi="標楷體"/>
          <w:szCs w:val="22"/>
        </w:rPr>
      </w:pPr>
      <w:r>
        <w:rPr>
          <w:rFonts w:ascii="標楷體" w:eastAsia="標楷體" w:hAnsi="標楷體" w:cs="Calibri" w:hint="eastAsia"/>
          <w:color w:val="FF0000"/>
          <w:szCs w:val="22"/>
          <w:highlight w:val="yellow"/>
        </w:rPr>
        <w:t>「</w:t>
      </w:r>
      <w:r w:rsidR="00157EF6" w:rsidRPr="00212D57">
        <w:rPr>
          <w:rFonts w:ascii="標楷體" w:eastAsia="標楷體" w:hAnsi="標楷體" w:hint="eastAsia"/>
          <w:b/>
          <w:szCs w:val="22"/>
        </w:rPr>
        <w:t>空花</w:t>
      </w:r>
      <w:r>
        <w:rPr>
          <w:rFonts w:ascii="標楷體" w:eastAsia="標楷體" w:hAnsi="標楷體" w:cs="Calibri" w:hint="eastAsia"/>
          <w:color w:val="FF0000"/>
          <w:szCs w:val="22"/>
          <w:highlight w:val="yellow"/>
        </w:rPr>
        <w:t>」，</w:t>
      </w:r>
      <w:r w:rsidR="00157EF6" w:rsidRPr="00212D57">
        <w:rPr>
          <w:rFonts w:ascii="標楷體" w:eastAsia="標楷體" w:hAnsi="標楷體" w:hint="eastAsia"/>
          <w:szCs w:val="22"/>
        </w:rPr>
        <w:t>無實</w:t>
      </w:r>
      <w:r>
        <w:rPr>
          <w:rFonts w:ascii="標楷體" w:eastAsia="標楷體" w:hAnsi="標楷體" w:hint="eastAsia"/>
          <w:color w:val="FF0000"/>
          <w:szCs w:val="22"/>
          <w:highlight w:val="yellow"/>
        </w:rPr>
        <w:t>，</w:t>
      </w:r>
      <w:r w:rsidR="00157EF6" w:rsidRPr="00212D57">
        <w:rPr>
          <w:rFonts w:ascii="標楷體" w:eastAsia="標楷體" w:hAnsi="標楷體" w:hint="eastAsia"/>
          <w:szCs w:val="22"/>
        </w:rPr>
        <w:t>亦不起故，立為同</w:t>
      </w:r>
      <w:r w:rsidR="00157EF6" w:rsidRPr="00A304CD">
        <w:rPr>
          <w:rFonts w:ascii="標楷體" w:eastAsia="標楷體" w:hAnsi="標楷體" w:hint="eastAsia"/>
          <w:b/>
          <w:szCs w:val="22"/>
        </w:rPr>
        <w:t>喻</w:t>
      </w:r>
      <w:r>
        <w:rPr>
          <w:rFonts w:ascii="標楷體" w:eastAsia="標楷體" w:hAnsi="標楷體" w:hint="eastAsia"/>
          <w:color w:val="FF0000"/>
          <w:szCs w:val="22"/>
          <w:highlight w:val="yellow"/>
        </w:rPr>
        <w:t>。</w:t>
      </w:r>
      <w:r w:rsidR="00157EF6" w:rsidRPr="00212D57">
        <w:rPr>
          <w:rFonts w:ascii="標楷體" w:eastAsia="標楷體" w:hAnsi="標楷體" w:hint="eastAsia"/>
          <w:szCs w:val="22"/>
        </w:rPr>
        <w:t>不說遮止異</w:t>
      </w:r>
      <w:r w:rsidR="00157EF6" w:rsidRPr="00F009A0">
        <w:rPr>
          <w:rFonts w:ascii="標楷體" w:eastAsia="標楷體" w:hAnsi="標楷體" w:hint="eastAsia"/>
          <w:szCs w:val="22"/>
          <w:highlight w:val="yellow"/>
        </w:rPr>
        <w:t>品立</w:t>
      </w:r>
      <w:r w:rsidR="00157EF6" w:rsidRPr="00212D57">
        <w:rPr>
          <w:rFonts w:ascii="標楷體" w:eastAsia="標楷體" w:hAnsi="標楷體" w:hint="eastAsia"/>
          <w:szCs w:val="22"/>
        </w:rPr>
        <w:t>為不同法喻</w:t>
      </w:r>
      <w:r>
        <w:rPr>
          <w:rFonts w:ascii="標楷體" w:eastAsia="標楷體" w:hAnsi="標楷體" w:cs="Calibri" w:hint="eastAsia"/>
          <w:color w:val="FF0000"/>
          <w:szCs w:val="22"/>
          <w:highlight w:val="yellow"/>
        </w:rPr>
        <w:t>，</w:t>
      </w:r>
      <w:r w:rsidR="00157EF6" w:rsidRPr="00212D57">
        <w:rPr>
          <w:rFonts w:ascii="標楷體" w:eastAsia="標楷體" w:hAnsi="標楷體" w:hint="eastAsia"/>
          <w:szCs w:val="22"/>
        </w:rPr>
        <w:t>如前</w:t>
      </w:r>
      <w:r>
        <w:rPr>
          <w:rFonts w:ascii="標楷體" w:eastAsia="標楷體" w:hAnsi="標楷體" w:cs="Calibri" w:hint="eastAsia"/>
          <w:color w:val="FF0000"/>
          <w:szCs w:val="22"/>
          <w:highlight w:val="yellow"/>
        </w:rPr>
        <w:t>，</w:t>
      </w:r>
      <w:r w:rsidR="00157EF6" w:rsidRPr="00212D57">
        <w:rPr>
          <w:rFonts w:ascii="標楷體" w:eastAsia="標楷體" w:hAnsi="標楷體" w:hint="eastAsia"/>
          <w:szCs w:val="22"/>
        </w:rPr>
        <w:t>應知。</w:t>
      </w:r>
    </w:p>
    <w:p w:rsidR="00157EF6" w:rsidRPr="00212D57" w:rsidRDefault="00157EF6" w:rsidP="002B682F">
      <w:pPr>
        <w:pStyle w:val="a5"/>
        <w:ind w:leftChars="105" w:left="252"/>
        <w:jc w:val="both"/>
        <w:rPr>
          <w:szCs w:val="22"/>
        </w:rPr>
      </w:pPr>
      <w:r w:rsidRPr="00212D57">
        <w:rPr>
          <w:rFonts w:ascii="標楷體" w:eastAsia="標楷體" w:hAnsi="標楷體" w:hint="eastAsia"/>
          <w:szCs w:val="22"/>
        </w:rPr>
        <w:t>云何此中建立比量？謂就</w:t>
      </w:r>
      <w:r w:rsidR="00F009A0">
        <w:rPr>
          <w:rFonts w:ascii="標楷體" w:eastAsia="標楷體" w:hAnsi="標楷體" w:cs="Calibri" w:hint="eastAsia"/>
          <w:color w:val="FF0000"/>
          <w:szCs w:val="22"/>
          <w:highlight w:val="yellow"/>
        </w:rPr>
        <w:t>「</w:t>
      </w:r>
      <w:r w:rsidRPr="00212D57">
        <w:rPr>
          <w:rFonts w:ascii="標楷體" w:eastAsia="標楷體" w:hAnsi="標楷體" w:hint="eastAsia"/>
          <w:szCs w:val="22"/>
        </w:rPr>
        <w:t>真性</w:t>
      </w:r>
      <w:r w:rsidR="00F009A0">
        <w:rPr>
          <w:rFonts w:ascii="標楷體" w:eastAsia="標楷體" w:hAnsi="標楷體" w:cs="Calibri" w:hint="eastAsia"/>
          <w:color w:val="FF0000"/>
          <w:szCs w:val="22"/>
          <w:highlight w:val="yellow"/>
        </w:rPr>
        <w:t>」</w:t>
      </w:r>
      <w:r w:rsidRPr="00212D57">
        <w:rPr>
          <w:rFonts w:ascii="標楷體" w:eastAsia="標楷體" w:hAnsi="標楷體" w:hint="eastAsia"/>
          <w:szCs w:val="22"/>
        </w:rPr>
        <w:t>，</w:t>
      </w:r>
      <w:r w:rsidR="00F009A0">
        <w:rPr>
          <w:rFonts w:ascii="標楷體" w:eastAsia="標楷體" w:hAnsi="標楷體" w:cs="Calibri" w:hint="eastAsia"/>
          <w:color w:val="FF0000"/>
          <w:szCs w:val="22"/>
          <w:highlight w:val="yellow"/>
        </w:rPr>
        <w:t>「</w:t>
      </w:r>
      <w:r w:rsidRPr="00212D57">
        <w:rPr>
          <w:rFonts w:ascii="標楷體" w:eastAsia="標楷體" w:hAnsi="標楷體" w:hint="eastAsia"/>
          <w:szCs w:val="22"/>
        </w:rPr>
        <w:t>虛空</w:t>
      </w:r>
      <w:r w:rsidR="00F009A0">
        <w:rPr>
          <w:rFonts w:ascii="標楷體" w:eastAsia="標楷體" w:hAnsi="標楷體" w:cs="Calibri" w:hint="eastAsia"/>
          <w:color w:val="FF0000"/>
          <w:szCs w:val="22"/>
          <w:highlight w:val="yellow"/>
        </w:rPr>
        <w:t>」</w:t>
      </w:r>
      <w:r w:rsidRPr="00212D57">
        <w:rPr>
          <w:rFonts w:ascii="標楷體" w:eastAsia="標楷體" w:hAnsi="標楷體" w:hint="eastAsia"/>
          <w:szCs w:val="22"/>
        </w:rPr>
        <w:t>無實，以不起故。諸不起者</w:t>
      </w:r>
      <w:r w:rsidR="00F009A0">
        <w:rPr>
          <w:rFonts w:ascii="標楷體" w:eastAsia="標楷體" w:hAnsi="標楷體" w:cs="Calibri" w:hint="eastAsia"/>
          <w:color w:val="FF0000"/>
          <w:szCs w:val="22"/>
          <w:highlight w:val="yellow"/>
        </w:rPr>
        <w:t>，</w:t>
      </w:r>
      <w:r w:rsidRPr="00212D57">
        <w:rPr>
          <w:rFonts w:ascii="標楷體" w:eastAsia="標楷體" w:hAnsi="標楷體" w:hint="eastAsia"/>
          <w:szCs w:val="22"/>
        </w:rPr>
        <w:t>愚智同</w:t>
      </w:r>
      <w:r w:rsidRPr="00F009A0">
        <w:rPr>
          <w:rFonts w:ascii="標楷體" w:eastAsia="標楷體" w:hAnsi="標楷體" w:hint="eastAsia"/>
          <w:szCs w:val="22"/>
          <w:highlight w:val="yellow"/>
        </w:rPr>
        <w:t>知其</w:t>
      </w:r>
      <w:r w:rsidRPr="00212D57">
        <w:rPr>
          <w:rFonts w:ascii="標楷體" w:eastAsia="標楷體" w:hAnsi="標楷體" w:hint="eastAsia"/>
          <w:szCs w:val="22"/>
        </w:rPr>
        <w:t>性無實</w:t>
      </w:r>
      <w:r w:rsidR="00F009A0">
        <w:rPr>
          <w:rFonts w:ascii="標楷體" w:eastAsia="標楷體" w:hAnsi="標楷體" w:cs="Calibri" w:hint="eastAsia"/>
          <w:color w:val="FF0000"/>
          <w:szCs w:val="22"/>
          <w:highlight w:val="yellow"/>
        </w:rPr>
        <w:t>，</w:t>
      </w:r>
      <w:r w:rsidRPr="00212D57">
        <w:rPr>
          <w:rFonts w:ascii="標楷體" w:eastAsia="標楷體" w:hAnsi="標楷體" w:hint="eastAsia"/>
          <w:szCs w:val="22"/>
        </w:rPr>
        <w:t>猶如空花。</w:t>
      </w:r>
    </w:p>
  </w:footnote>
  <w:footnote w:id="275">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rFonts w:hint="eastAsia"/>
          <w:szCs w:val="22"/>
        </w:rPr>
        <w:t>《大乘掌珍論》</w:t>
      </w:r>
      <w:r w:rsidR="00F009A0" w:rsidRPr="00F009A0">
        <w:rPr>
          <w:rFonts w:hint="eastAsia"/>
          <w:color w:val="FF0000"/>
          <w:szCs w:val="22"/>
          <w:highlight w:val="yellow"/>
        </w:rPr>
        <w:t>卷</w:t>
      </w:r>
      <w:r w:rsidR="00F009A0">
        <w:rPr>
          <w:rFonts w:hint="eastAsia"/>
          <w:color w:val="FF0000"/>
          <w:szCs w:val="22"/>
          <w:highlight w:val="yellow"/>
        </w:rPr>
        <w:t>上</w:t>
      </w:r>
      <w:r w:rsidRPr="00212D57">
        <w:rPr>
          <w:rFonts w:hint="eastAsia"/>
          <w:szCs w:val="22"/>
        </w:rPr>
        <w:t>（大正</w:t>
      </w:r>
      <w:r w:rsidRPr="00761EF3">
        <w:rPr>
          <w:rFonts w:hint="eastAsia"/>
          <w:szCs w:val="22"/>
        </w:rPr>
        <w:t>30</w:t>
      </w:r>
      <w:r w:rsidRPr="00212D57">
        <w:rPr>
          <w:rFonts w:hint="eastAsia"/>
          <w:szCs w:val="22"/>
        </w:rPr>
        <w:t>，</w:t>
      </w:r>
      <w:r w:rsidRPr="00761EF3">
        <w:rPr>
          <w:rFonts w:hint="eastAsia"/>
          <w:szCs w:val="22"/>
        </w:rPr>
        <w:t>268b21</w:t>
      </w:r>
      <w:r w:rsidRPr="00212D57">
        <w:rPr>
          <w:rFonts w:hint="eastAsia"/>
          <w:szCs w:val="22"/>
        </w:rPr>
        <w:t>-</w:t>
      </w:r>
      <w:r w:rsidRPr="00761EF3">
        <w:rPr>
          <w:rFonts w:hint="eastAsia"/>
          <w:szCs w:val="22"/>
        </w:rPr>
        <w:t>22</w:t>
      </w:r>
      <w:r w:rsidRPr="00212D57">
        <w:rPr>
          <w:rFonts w:hint="eastAsia"/>
          <w:szCs w:val="22"/>
        </w:rPr>
        <w:t>）：</w:t>
      </w:r>
    </w:p>
    <w:p w:rsidR="00157EF6" w:rsidRPr="00212D57" w:rsidRDefault="00157EF6" w:rsidP="002B682F">
      <w:pPr>
        <w:pStyle w:val="a5"/>
        <w:ind w:leftChars="105" w:left="252"/>
        <w:jc w:val="both"/>
        <w:rPr>
          <w:rFonts w:ascii="標楷體" w:eastAsia="標楷體" w:hAnsi="標楷體"/>
          <w:szCs w:val="22"/>
        </w:rPr>
      </w:pPr>
      <w:r w:rsidRPr="00212D57">
        <w:rPr>
          <w:rFonts w:ascii="標楷體" w:eastAsia="標楷體" w:hAnsi="標楷體"/>
          <w:szCs w:val="22"/>
        </w:rPr>
        <w:t>真性有為空</w:t>
      </w:r>
      <w:r w:rsidRPr="00F009A0">
        <w:rPr>
          <w:rFonts w:ascii="新細明體" w:hAnsi="新細明體" w:hint="eastAsia"/>
          <w:szCs w:val="22"/>
          <w:shd w:val="pct15" w:color="auto" w:fill="FFFFFF"/>
        </w:rPr>
        <w:t>（宗）</w:t>
      </w:r>
      <w:r w:rsidRPr="00212D57">
        <w:rPr>
          <w:rFonts w:ascii="標楷體" w:eastAsia="標楷體" w:hAnsi="標楷體"/>
          <w:szCs w:val="22"/>
        </w:rPr>
        <w:t>，如幻</w:t>
      </w:r>
      <w:r w:rsidRPr="00F009A0">
        <w:rPr>
          <w:rFonts w:ascii="新細明體" w:hAnsi="新細明體" w:hint="eastAsia"/>
          <w:szCs w:val="22"/>
          <w:shd w:val="pct15" w:color="auto" w:fill="FFFFFF"/>
        </w:rPr>
        <w:t>（喻）</w:t>
      </w:r>
      <w:r w:rsidRPr="00212D57">
        <w:rPr>
          <w:rFonts w:ascii="標楷體" w:eastAsia="標楷體" w:hAnsi="標楷體" w:hint="eastAsia"/>
          <w:szCs w:val="22"/>
        </w:rPr>
        <w:t>，</w:t>
      </w:r>
      <w:r w:rsidRPr="00212D57">
        <w:rPr>
          <w:rFonts w:ascii="標楷體" w:eastAsia="標楷體" w:hAnsi="標楷體"/>
          <w:szCs w:val="22"/>
        </w:rPr>
        <w:t>緣生故</w:t>
      </w:r>
      <w:r w:rsidRPr="00F009A0">
        <w:rPr>
          <w:rFonts w:ascii="新細明體" w:hAnsi="新細明體" w:hint="eastAsia"/>
          <w:szCs w:val="22"/>
          <w:shd w:val="pct15" w:color="auto" w:fill="FFFFFF"/>
        </w:rPr>
        <w:t>（因）</w:t>
      </w:r>
      <w:r w:rsidRPr="00212D57">
        <w:rPr>
          <w:rFonts w:ascii="標楷體" w:eastAsia="標楷體" w:hAnsi="標楷體" w:hint="eastAsia"/>
          <w:szCs w:val="22"/>
        </w:rPr>
        <w:t>。</w:t>
      </w:r>
    </w:p>
    <w:p w:rsidR="00157EF6" w:rsidRPr="00212D57" w:rsidRDefault="00157EF6" w:rsidP="002B682F">
      <w:pPr>
        <w:pStyle w:val="a5"/>
        <w:ind w:leftChars="105" w:left="252"/>
        <w:jc w:val="both"/>
        <w:rPr>
          <w:szCs w:val="22"/>
        </w:rPr>
      </w:pPr>
      <w:r w:rsidRPr="00212D57">
        <w:rPr>
          <w:rFonts w:ascii="標楷體" w:eastAsia="標楷體" w:hAnsi="標楷體"/>
          <w:szCs w:val="22"/>
        </w:rPr>
        <w:t>無為無有實</w:t>
      </w:r>
      <w:r w:rsidRPr="00F009A0">
        <w:rPr>
          <w:rFonts w:ascii="新細明體" w:hAnsi="新細明體" w:hint="eastAsia"/>
          <w:szCs w:val="22"/>
          <w:shd w:val="pct15" w:color="auto" w:fill="FFFFFF"/>
        </w:rPr>
        <w:t>（宗）</w:t>
      </w:r>
      <w:r w:rsidRPr="00212D57">
        <w:rPr>
          <w:rFonts w:ascii="標楷體" w:eastAsia="標楷體" w:hAnsi="標楷體"/>
          <w:szCs w:val="22"/>
        </w:rPr>
        <w:t>，不起</w:t>
      </w:r>
      <w:r w:rsidRPr="00F009A0">
        <w:rPr>
          <w:rFonts w:ascii="新細明體" w:hAnsi="新細明體" w:hint="eastAsia"/>
          <w:szCs w:val="22"/>
          <w:shd w:val="pct15" w:color="auto" w:fill="FFFFFF"/>
        </w:rPr>
        <w:t>（因）</w:t>
      </w:r>
      <w:r w:rsidRPr="00212D57">
        <w:rPr>
          <w:rFonts w:ascii="標楷體" w:eastAsia="標楷體" w:hAnsi="標楷體" w:hint="eastAsia"/>
          <w:szCs w:val="22"/>
        </w:rPr>
        <w:t>，</w:t>
      </w:r>
      <w:r w:rsidRPr="00212D57">
        <w:rPr>
          <w:rFonts w:ascii="標楷體" w:eastAsia="標楷體" w:hAnsi="標楷體"/>
          <w:szCs w:val="22"/>
        </w:rPr>
        <w:t>似空華</w:t>
      </w:r>
      <w:r w:rsidRPr="00F009A0">
        <w:rPr>
          <w:rFonts w:ascii="新細明體" w:hAnsi="新細明體" w:hint="eastAsia"/>
          <w:szCs w:val="22"/>
          <w:shd w:val="pct15" w:color="auto" w:fill="FFFFFF"/>
        </w:rPr>
        <w:t>（喻）</w:t>
      </w:r>
      <w:r w:rsidRPr="00212D57">
        <w:rPr>
          <w:szCs w:val="22"/>
        </w:rPr>
        <w:t>。</w:t>
      </w:r>
    </w:p>
  </w:footnote>
  <w:footnote w:id="276">
    <w:p w:rsidR="003D38D9"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rFonts w:hint="eastAsia"/>
          <w:szCs w:val="22"/>
        </w:rPr>
        <w:t>〔明〕智旭，《真唯識量略解》</w:t>
      </w:r>
      <w:r w:rsidR="003D38D9" w:rsidRPr="00212D57">
        <w:rPr>
          <w:rFonts w:hint="eastAsia"/>
          <w:szCs w:val="22"/>
        </w:rPr>
        <w:t>（</w:t>
      </w:r>
      <w:r w:rsidR="003D38D9" w:rsidRPr="00212D57">
        <w:rPr>
          <w:szCs w:val="22"/>
        </w:rPr>
        <w:t>卍新續</w:t>
      </w:r>
      <w:r w:rsidR="003D38D9" w:rsidRPr="00212D57">
        <w:rPr>
          <w:rFonts w:hint="eastAsia"/>
          <w:szCs w:val="22"/>
        </w:rPr>
        <w:t>藏</w:t>
      </w:r>
      <w:r w:rsidR="003D38D9" w:rsidRPr="00761EF3">
        <w:rPr>
          <w:rFonts w:hint="eastAsia"/>
          <w:szCs w:val="22"/>
        </w:rPr>
        <w:t>53</w:t>
      </w:r>
      <w:r w:rsidR="003D38D9" w:rsidRPr="00212D57">
        <w:rPr>
          <w:rFonts w:hint="eastAsia"/>
          <w:szCs w:val="22"/>
        </w:rPr>
        <w:t>，</w:t>
      </w:r>
      <w:r w:rsidR="003D38D9" w:rsidRPr="00761EF3">
        <w:rPr>
          <w:rFonts w:hint="eastAsia"/>
          <w:szCs w:val="22"/>
        </w:rPr>
        <w:t>962a22</w:t>
      </w:r>
      <w:r w:rsidR="003D38D9" w:rsidRPr="00212D57">
        <w:rPr>
          <w:rFonts w:hint="eastAsia"/>
          <w:szCs w:val="22"/>
        </w:rPr>
        <w:t>）</w:t>
      </w:r>
      <w:r w:rsidRPr="00212D57">
        <w:rPr>
          <w:rFonts w:hint="eastAsia"/>
          <w:szCs w:val="22"/>
        </w:rPr>
        <w:t>：</w:t>
      </w:r>
    </w:p>
    <w:p w:rsidR="00157EF6" w:rsidRPr="003D38D9" w:rsidRDefault="00157EF6" w:rsidP="009B2FC7">
      <w:pPr>
        <w:pStyle w:val="a5"/>
        <w:ind w:leftChars="105" w:left="252"/>
        <w:jc w:val="both"/>
        <w:rPr>
          <w:rFonts w:ascii="標楷體" w:eastAsia="標楷體" w:hAnsi="標楷體"/>
          <w:szCs w:val="22"/>
        </w:rPr>
      </w:pPr>
      <w:r w:rsidRPr="003D38D9">
        <w:rPr>
          <w:rFonts w:ascii="標楷體" w:eastAsia="標楷體" w:hAnsi="標楷體" w:hint="eastAsia"/>
          <w:color w:val="FF0000"/>
          <w:szCs w:val="22"/>
          <w:highlight w:val="yellow"/>
        </w:rPr>
        <w:t>「</w:t>
      </w:r>
      <w:r w:rsidRPr="003D38D9">
        <w:rPr>
          <w:rFonts w:ascii="標楷體" w:eastAsia="標楷體" w:hAnsi="標楷體" w:hint="eastAsia"/>
          <w:szCs w:val="22"/>
        </w:rPr>
        <w:t>立</w:t>
      </w:r>
      <w:r w:rsidR="003D38D9" w:rsidRPr="003D38D9">
        <w:rPr>
          <w:rFonts w:ascii="標楷體" w:eastAsia="標楷體" w:hAnsi="標楷體" w:hint="eastAsia"/>
          <w:color w:val="FF0000"/>
          <w:szCs w:val="22"/>
          <w:highlight w:val="yellow"/>
        </w:rPr>
        <w:t>」</w:t>
      </w:r>
      <w:r w:rsidRPr="003D38D9">
        <w:rPr>
          <w:rFonts w:ascii="標楷體" w:eastAsia="標楷體" w:hAnsi="標楷體" w:hint="eastAsia"/>
          <w:szCs w:val="22"/>
        </w:rPr>
        <w:t>者即許，</w:t>
      </w:r>
      <w:r w:rsidR="003D38D9" w:rsidRPr="003D38D9">
        <w:rPr>
          <w:rFonts w:ascii="標楷體" w:eastAsia="標楷體" w:hAnsi="標楷體" w:hint="eastAsia"/>
          <w:color w:val="FF0000"/>
          <w:szCs w:val="22"/>
          <w:highlight w:val="yellow"/>
        </w:rPr>
        <w:t>「</w:t>
      </w:r>
      <w:r w:rsidRPr="003D38D9">
        <w:rPr>
          <w:rFonts w:ascii="標楷體" w:eastAsia="標楷體" w:hAnsi="標楷體" w:hint="eastAsia"/>
          <w:szCs w:val="22"/>
        </w:rPr>
        <w:t>敵</w:t>
      </w:r>
      <w:r w:rsidR="003D38D9" w:rsidRPr="003D38D9">
        <w:rPr>
          <w:rFonts w:ascii="標楷體" w:eastAsia="標楷體" w:hAnsi="標楷體" w:hint="eastAsia"/>
          <w:color w:val="FF0000"/>
          <w:szCs w:val="22"/>
          <w:highlight w:val="yellow"/>
        </w:rPr>
        <w:t>」</w:t>
      </w:r>
      <w:r w:rsidRPr="003D38D9">
        <w:rPr>
          <w:rFonts w:ascii="標楷體" w:eastAsia="標楷體" w:hAnsi="標楷體" w:hint="eastAsia"/>
          <w:szCs w:val="22"/>
        </w:rPr>
        <w:t>者不許</w:t>
      </w:r>
      <w:r w:rsidR="003D38D9">
        <w:rPr>
          <w:rFonts w:ascii="標楷體" w:eastAsia="標楷體" w:hAnsi="標楷體" w:hint="eastAsia"/>
          <w:color w:val="FF0000"/>
          <w:szCs w:val="22"/>
          <w:highlight w:val="yellow"/>
        </w:rPr>
        <w:t>；</w:t>
      </w:r>
      <w:r w:rsidRPr="003D38D9">
        <w:rPr>
          <w:rFonts w:ascii="標楷體" w:eastAsia="標楷體" w:hAnsi="標楷體" w:hint="eastAsia"/>
          <w:szCs w:val="22"/>
        </w:rPr>
        <w:t>立敵共諍，名為</w:t>
      </w:r>
      <w:r w:rsidR="00B702D6" w:rsidRPr="003D38D9">
        <w:rPr>
          <w:rFonts w:ascii="標楷體" w:eastAsia="標楷體" w:hAnsi="標楷體" w:hint="eastAsia"/>
          <w:color w:val="FF0000"/>
          <w:szCs w:val="22"/>
          <w:highlight w:val="yellow"/>
        </w:rPr>
        <w:t>「</w:t>
      </w:r>
      <w:r w:rsidR="00B702D6" w:rsidRPr="00B702D6">
        <w:rPr>
          <w:rFonts w:ascii="標楷體" w:eastAsia="標楷體" w:hAnsi="標楷體" w:hint="eastAsia"/>
          <w:color w:val="FF0000"/>
          <w:szCs w:val="22"/>
          <w:highlight w:val="yellow"/>
        </w:rPr>
        <w:t>『</w:t>
      </w:r>
      <w:r w:rsidRPr="003D38D9">
        <w:rPr>
          <w:rFonts w:ascii="標楷體" w:eastAsia="標楷體" w:hAnsi="標楷體" w:hint="eastAsia"/>
          <w:szCs w:val="22"/>
        </w:rPr>
        <w:t>宗</w:t>
      </w:r>
      <w:r w:rsidR="00B702D6" w:rsidRPr="00B702D6">
        <w:rPr>
          <w:rFonts w:ascii="標楷體" w:eastAsia="標楷體" w:hAnsi="標楷體" w:hint="eastAsia"/>
          <w:color w:val="FF0000"/>
          <w:szCs w:val="22"/>
          <w:highlight w:val="yellow"/>
        </w:rPr>
        <w:t>』</w:t>
      </w:r>
      <w:r w:rsidRPr="003D38D9">
        <w:rPr>
          <w:rFonts w:ascii="標楷體" w:eastAsia="標楷體" w:hAnsi="標楷體" w:hint="eastAsia"/>
          <w:szCs w:val="22"/>
        </w:rPr>
        <w:t>體</w:t>
      </w:r>
      <w:r w:rsidR="00B702D6" w:rsidRPr="003D38D9">
        <w:rPr>
          <w:rFonts w:ascii="標楷體" w:eastAsia="標楷體" w:hAnsi="標楷體" w:hint="eastAsia"/>
          <w:color w:val="FF0000"/>
          <w:szCs w:val="22"/>
          <w:highlight w:val="yellow"/>
        </w:rPr>
        <w:t>」</w:t>
      </w:r>
      <w:r w:rsidRPr="003D38D9">
        <w:rPr>
          <w:rFonts w:ascii="標楷體" w:eastAsia="標楷體" w:hAnsi="標楷體" w:hint="eastAsia"/>
          <w:szCs w:val="22"/>
        </w:rPr>
        <w:t>。</w:t>
      </w:r>
    </w:p>
  </w:footnote>
  <w:footnote w:id="277">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412A9C">
        <w:rPr>
          <w:rFonts w:hint="eastAsia"/>
          <w:szCs w:val="22"/>
        </w:rPr>
        <w:t>〔唐〕</w:t>
      </w:r>
      <w:r w:rsidRPr="00212D57">
        <w:rPr>
          <w:rFonts w:hint="eastAsia"/>
          <w:szCs w:val="22"/>
        </w:rPr>
        <w:t>窺基</w:t>
      </w:r>
      <w:r>
        <w:rPr>
          <w:rFonts w:hint="eastAsia"/>
          <w:szCs w:val="22"/>
        </w:rPr>
        <w:t>撰</w:t>
      </w:r>
      <w:r w:rsidRPr="00212D57">
        <w:rPr>
          <w:rFonts w:hint="eastAsia"/>
          <w:szCs w:val="22"/>
        </w:rPr>
        <w:t>，</w:t>
      </w:r>
      <w:r w:rsidRPr="00212D57">
        <w:rPr>
          <w:szCs w:val="22"/>
        </w:rPr>
        <w:t>《因明入正理論疏》</w:t>
      </w:r>
      <w:r w:rsidRPr="00212D57">
        <w:rPr>
          <w:rFonts w:hint="eastAsia"/>
          <w:szCs w:val="22"/>
        </w:rPr>
        <w:t>卷</w:t>
      </w:r>
      <w:r w:rsidR="001400D5">
        <w:rPr>
          <w:rFonts w:hint="eastAsia"/>
          <w:color w:val="FF0000"/>
          <w:szCs w:val="22"/>
          <w:highlight w:val="yellow"/>
        </w:rPr>
        <w:t>上</w:t>
      </w:r>
      <w:r w:rsidRPr="00212D57">
        <w:rPr>
          <w:rFonts w:hint="eastAsia"/>
          <w:szCs w:val="22"/>
        </w:rPr>
        <w:t>（大正</w:t>
      </w:r>
      <w:r w:rsidRPr="00761EF3">
        <w:rPr>
          <w:szCs w:val="22"/>
        </w:rPr>
        <w:t>44</w:t>
      </w:r>
      <w:r w:rsidRPr="00212D57">
        <w:rPr>
          <w:rFonts w:hint="eastAsia"/>
          <w:szCs w:val="22"/>
        </w:rPr>
        <w:t>，</w:t>
      </w:r>
      <w:r w:rsidRPr="00761EF3">
        <w:rPr>
          <w:szCs w:val="22"/>
        </w:rPr>
        <w:t>98c10</w:t>
      </w:r>
      <w:r w:rsidRPr="00212D57">
        <w:rPr>
          <w:rFonts w:hint="eastAsia"/>
          <w:szCs w:val="22"/>
        </w:rPr>
        <w:t>-</w:t>
      </w:r>
      <w:r w:rsidRPr="00761EF3">
        <w:rPr>
          <w:szCs w:val="22"/>
        </w:rPr>
        <w:t>13</w:t>
      </w:r>
      <w:r w:rsidRPr="00212D57">
        <w:rPr>
          <w:rFonts w:hint="eastAsia"/>
          <w:szCs w:val="22"/>
        </w:rPr>
        <w:t>）：</w:t>
      </w:r>
    </w:p>
    <w:p w:rsidR="00157EF6" w:rsidRPr="00212D57" w:rsidRDefault="00157EF6" w:rsidP="002B682F">
      <w:pPr>
        <w:pStyle w:val="a5"/>
        <w:ind w:leftChars="335" w:left="804"/>
        <w:jc w:val="both"/>
        <w:rPr>
          <w:rFonts w:ascii="標楷體" w:eastAsia="標楷體" w:hAnsi="標楷體"/>
          <w:szCs w:val="22"/>
        </w:rPr>
      </w:pPr>
      <w:r w:rsidRPr="00212D57">
        <w:rPr>
          <w:rFonts w:ascii="標楷體" w:eastAsia="標楷體" w:hAnsi="標楷體" w:hint="eastAsia"/>
          <w:szCs w:val="22"/>
        </w:rPr>
        <w:t>初所陳，唯具一義，能持自體，義不殊勝，不得「法」名；後之所陳，具足兩義，能持復軌，義殊勝故，獨得「法」名。前之所陳，能有後法，復名「有法」。</w:t>
      </w:r>
    </w:p>
    <w:p w:rsidR="00157EF6" w:rsidRPr="00212D57" w:rsidRDefault="00157EF6" w:rsidP="002B682F">
      <w:pPr>
        <w:pStyle w:val="a5"/>
        <w:ind w:leftChars="105" w:left="791" w:hangingChars="245" w:hanging="539"/>
        <w:jc w:val="both"/>
        <w:rPr>
          <w:rFonts w:ascii="標楷體" w:eastAsia="標楷體" w:hAnsi="標楷體"/>
          <w:szCs w:val="22"/>
        </w:rPr>
      </w:pPr>
      <w:r w:rsidRPr="00212D57">
        <w:rPr>
          <w:rFonts w:hint="eastAsia"/>
          <w:szCs w:val="22"/>
        </w:rPr>
        <w:t>（</w:t>
      </w:r>
      <w:r w:rsidRPr="00761EF3">
        <w:rPr>
          <w:rFonts w:hint="eastAsia"/>
          <w:szCs w:val="22"/>
        </w:rPr>
        <w:t>2</w:t>
      </w:r>
      <w:r w:rsidRPr="00212D57">
        <w:rPr>
          <w:rFonts w:hint="eastAsia"/>
          <w:szCs w:val="22"/>
        </w:rPr>
        <w:t>）</w:t>
      </w:r>
      <w:r w:rsidRPr="00212D57">
        <w:rPr>
          <w:rFonts w:ascii="新細明體" w:hAnsi="新細明體" w:hint="eastAsia"/>
          <w:b/>
          <w:spacing w:val="2"/>
          <w:szCs w:val="22"/>
        </w:rPr>
        <w:t>有法</w:t>
      </w:r>
      <w:r w:rsidRPr="00212D57">
        <w:rPr>
          <w:rFonts w:ascii="標楷體" w:eastAsia="標楷體" w:hAnsi="標楷體" w:hint="eastAsia"/>
          <w:spacing w:val="2"/>
          <w:szCs w:val="22"/>
        </w:rPr>
        <w:t>：</w:t>
      </w:r>
      <w:r w:rsidRPr="00C33B2B">
        <w:rPr>
          <w:rFonts w:ascii="新細明體" w:hAnsi="新細明體" w:hint="eastAsia"/>
          <w:spacing w:val="2"/>
          <w:szCs w:val="22"/>
        </w:rPr>
        <w:t>因明用語。因明論式中，將</w:t>
      </w:r>
      <w:r w:rsidRPr="00C33B2B">
        <w:rPr>
          <w:rFonts w:ascii="新細明體" w:hAnsi="新細明體" w:hint="eastAsia"/>
          <w:b/>
          <w:spacing w:val="2"/>
          <w:szCs w:val="22"/>
        </w:rPr>
        <w:t>宗（命題）之主詞稱「有法」，述詞稱「法」</w:t>
      </w:r>
      <w:r w:rsidRPr="00C33B2B">
        <w:rPr>
          <w:rFonts w:ascii="新細明體" w:hAnsi="新細明體" w:hint="eastAsia"/>
          <w:spacing w:val="2"/>
          <w:szCs w:val="22"/>
        </w:rPr>
        <w:t>，</w:t>
      </w:r>
      <w:r w:rsidRPr="00C33B2B">
        <w:rPr>
          <w:rFonts w:ascii="新細明體" w:hAnsi="新細明體" w:hint="eastAsia"/>
          <w:szCs w:val="22"/>
        </w:rPr>
        <w:t>即宗之主詞含有述詞之法義。如立「聲為無常」之宗，</w:t>
      </w:r>
      <w:r w:rsidRPr="00C33B2B">
        <w:rPr>
          <w:rFonts w:ascii="新細明體" w:hAnsi="新細明體" w:hint="eastAsia"/>
          <w:b/>
          <w:szCs w:val="22"/>
        </w:rPr>
        <w:t>「聲」即為宗之「有法」，「無常」為宗之「法」</w:t>
      </w:r>
      <w:r w:rsidRPr="00C33B2B">
        <w:rPr>
          <w:rFonts w:ascii="新細明體" w:hAnsi="新細明體" w:hint="eastAsia"/>
          <w:szCs w:val="22"/>
        </w:rPr>
        <w:t>。</w:t>
      </w:r>
      <w:r w:rsidRPr="00212D57">
        <w:rPr>
          <w:rFonts w:ascii="標楷體" w:eastAsia="標楷體" w:hAnsi="標楷體" w:hint="eastAsia"/>
          <w:szCs w:val="22"/>
        </w:rPr>
        <w:t>（</w:t>
      </w:r>
      <w:r w:rsidRPr="00212D57">
        <w:rPr>
          <w:rFonts w:hint="eastAsia"/>
          <w:szCs w:val="22"/>
        </w:rPr>
        <w:t>《佛光大辭典》（三），</w:t>
      </w:r>
      <w:r w:rsidRPr="00761EF3">
        <w:rPr>
          <w:rFonts w:hint="eastAsia"/>
          <w:szCs w:val="22"/>
        </w:rPr>
        <w:t>p</w:t>
      </w:r>
      <w:r w:rsidRPr="00212D57">
        <w:rPr>
          <w:rFonts w:hint="eastAsia"/>
          <w:szCs w:val="22"/>
        </w:rPr>
        <w:t>.</w:t>
      </w:r>
      <w:r w:rsidRPr="00761EF3">
        <w:rPr>
          <w:rFonts w:hint="eastAsia"/>
          <w:szCs w:val="22"/>
        </w:rPr>
        <w:t>2434</w:t>
      </w:r>
      <w:r w:rsidRPr="00212D57">
        <w:rPr>
          <w:rFonts w:hint="eastAsia"/>
          <w:szCs w:val="22"/>
        </w:rPr>
        <w:t>.</w:t>
      </w:r>
      <w:r w:rsidRPr="00761EF3">
        <w:rPr>
          <w:rFonts w:hint="eastAsia"/>
          <w:szCs w:val="22"/>
        </w:rPr>
        <w:t>1</w:t>
      </w:r>
      <w:r w:rsidRPr="00212D57">
        <w:rPr>
          <w:rFonts w:hint="eastAsia"/>
          <w:szCs w:val="22"/>
        </w:rPr>
        <w:t>）</w:t>
      </w:r>
    </w:p>
  </w:footnote>
  <w:footnote w:id="278">
    <w:p w:rsidR="00157EF6" w:rsidRPr="00212D57" w:rsidRDefault="00157EF6" w:rsidP="002B682F">
      <w:pPr>
        <w:pStyle w:val="a5"/>
        <w:spacing w:line="0" w:lineRule="atLeast"/>
        <w:ind w:left="253" w:hangingChars="115" w:hanging="253"/>
        <w:jc w:val="both"/>
        <w:rPr>
          <w:rFonts w:ascii="標楷體" w:eastAsia="標楷體" w:hAnsi="標楷體"/>
          <w:szCs w:val="22"/>
        </w:rPr>
      </w:pPr>
      <w:r w:rsidRPr="00212D57">
        <w:rPr>
          <w:rStyle w:val="a6"/>
          <w:szCs w:val="22"/>
        </w:rPr>
        <w:footnoteRef/>
      </w:r>
      <w:r w:rsidRPr="00212D57">
        <w:rPr>
          <w:rFonts w:eastAsia="標楷體" w:hint="eastAsia"/>
          <w:szCs w:val="22"/>
        </w:rPr>
        <w:t xml:space="preserve"> </w:t>
      </w:r>
      <w:r w:rsidRPr="00C33B2B">
        <w:rPr>
          <w:rFonts w:ascii="新細明體" w:hAnsi="新細明體" w:hint="eastAsia"/>
          <w:b/>
          <w:szCs w:val="22"/>
        </w:rPr>
        <w:t>能別</w:t>
      </w:r>
      <w:r w:rsidRPr="00C33B2B">
        <w:rPr>
          <w:rFonts w:ascii="新細明體" w:hAnsi="新細明體" w:hint="eastAsia"/>
          <w:szCs w:val="22"/>
        </w:rPr>
        <w:t>：因明用語。「所別」之對稱。又作後陳。與法、差別合稱因明宗義之三名。因明論式中，宗（命題）之前陳（主詞）為後陳所分別者，而後陳具有能分別前陳之能力，故稱前陳為所別，後陳為能別。如立「聲為無常」之宗，前陳「聲」為所別，後陳「無常」為能別。</w:t>
      </w:r>
      <w:r w:rsidRPr="00212D57">
        <w:rPr>
          <w:rFonts w:ascii="標楷體" w:eastAsia="標楷體" w:hAnsi="標楷體" w:hint="eastAsia"/>
          <w:szCs w:val="22"/>
        </w:rPr>
        <w:t>（</w:t>
      </w:r>
      <w:r w:rsidRPr="00212D57">
        <w:rPr>
          <w:rFonts w:hint="eastAsia"/>
          <w:szCs w:val="22"/>
        </w:rPr>
        <w:t>《佛光大辭典》（五），</w:t>
      </w:r>
      <w:r w:rsidRPr="00761EF3">
        <w:rPr>
          <w:rFonts w:hint="eastAsia"/>
          <w:szCs w:val="22"/>
        </w:rPr>
        <w:t>p</w:t>
      </w:r>
      <w:r w:rsidRPr="00212D57">
        <w:rPr>
          <w:rFonts w:hint="eastAsia"/>
          <w:szCs w:val="22"/>
        </w:rPr>
        <w:t>.</w:t>
      </w:r>
      <w:r w:rsidRPr="00761EF3">
        <w:rPr>
          <w:rFonts w:hint="eastAsia"/>
          <w:szCs w:val="22"/>
        </w:rPr>
        <w:t>4295</w:t>
      </w:r>
      <w:r w:rsidRPr="00212D57">
        <w:rPr>
          <w:rFonts w:hint="eastAsia"/>
          <w:szCs w:val="22"/>
        </w:rPr>
        <w:t>.</w:t>
      </w:r>
      <w:r w:rsidRPr="00761EF3">
        <w:rPr>
          <w:rFonts w:hint="eastAsia"/>
          <w:szCs w:val="22"/>
        </w:rPr>
        <w:t>1</w:t>
      </w:r>
      <w:r w:rsidRPr="00212D57">
        <w:rPr>
          <w:rFonts w:hint="eastAsia"/>
          <w:szCs w:val="22"/>
        </w:rPr>
        <w:t>-</w:t>
      </w:r>
      <w:r w:rsidRPr="00761EF3">
        <w:rPr>
          <w:rFonts w:hint="eastAsia"/>
          <w:szCs w:val="22"/>
        </w:rPr>
        <w:t>4295</w:t>
      </w:r>
      <w:r w:rsidRPr="00212D57">
        <w:rPr>
          <w:rFonts w:hint="eastAsia"/>
          <w:szCs w:val="22"/>
        </w:rPr>
        <w:t>.</w:t>
      </w:r>
      <w:r w:rsidRPr="00761EF3">
        <w:rPr>
          <w:rFonts w:hint="eastAsia"/>
          <w:szCs w:val="22"/>
        </w:rPr>
        <w:t>2</w:t>
      </w:r>
      <w:r w:rsidRPr="00212D57">
        <w:rPr>
          <w:rFonts w:hint="eastAsia"/>
          <w:szCs w:val="22"/>
        </w:rPr>
        <w:t>）</w:t>
      </w:r>
    </w:p>
  </w:footnote>
  <w:footnote w:id="279">
    <w:p w:rsidR="00157EF6" w:rsidRPr="00212D57" w:rsidRDefault="00157EF6" w:rsidP="002B682F">
      <w:pPr>
        <w:pStyle w:val="a5"/>
        <w:spacing w:line="0" w:lineRule="atLeast"/>
        <w:ind w:left="792" w:hangingChars="360" w:hanging="792"/>
        <w:jc w:val="both"/>
        <w:rPr>
          <w:rFonts w:ascii="標楷體" w:eastAsia="標楷體" w:hAnsi="標楷體"/>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212D57">
        <w:rPr>
          <w:rFonts w:hint="eastAsia"/>
          <w:spacing w:val="2"/>
          <w:szCs w:val="22"/>
        </w:rPr>
        <w:t>〔唐〕文軌，《因明入正理論疏》</w:t>
      </w:r>
      <w:r w:rsidR="00A304CD" w:rsidRPr="00212D57">
        <w:rPr>
          <w:rFonts w:hint="eastAsia"/>
          <w:spacing w:val="2"/>
          <w:szCs w:val="22"/>
        </w:rPr>
        <w:t>（</w:t>
      </w:r>
      <w:r w:rsidR="00A304CD" w:rsidRPr="00212D57">
        <w:rPr>
          <w:spacing w:val="2"/>
          <w:szCs w:val="22"/>
        </w:rPr>
        <w:t>卍</w:t>
      </w:r>
      <w:r w:rsidR="00A304CD" w:rsidRPr="00212D57">
        <w:rPr>
          <w:szCs w:val="22"/>
        </w:rPr>
        <w:t>新續</w:t>
      </w:r>
      <w:r w:rsidR="00A304CD" w:rsidRPr="00212D57">
        <w:rPr>
          <w:rFonts w:hint="eastAsia"/>
          <w:szCs w:val="22"/>
        </w:rPr>
        <w:t>藏</w:t>
      </w:r>
      <w:r w:rsidR="00A304CD" w:rsidRPr="00761EF3">
        <w:rPr>
          <w:rFonts w:hint="eastAsia"/>
          <w:szCs w:val="22"/>
        </w:rPr>
        <w:t>53</w:t>
      </w:r>
      <w:r w:rsidR="00A304CD" w:rsidRPr="00212D57">
        <w:rPr>
          <w:rFonts w:hint="eastAsia"/>
          <w:szCs w:val="22"/>
        </w:rPr>
        <w:t>，</w:t>
      </w:r>
      <w:r w:rsidR="00A304CD" w:rsidRPr="00761EF3">
        <w:rPr>
          <w:rFonts w:hint="eastAsia"/>
          <w:szCs w:val="22"/>
        </w:rPr>
        <w:t>682a22</w:t>
      </w:r>
      <w:r w:rsidR="00A304CD" w:rsidRPr="00212D57">
        <w:rPr>
          <w:rFonts w:hint="eastAsia"/>
          <w:szCs w:val="22"/>
        </w:rPr>
        <w:t>-</w:t>
      </w:r>
      <w:r w:rsidR="00A304CD" w:rsidRPr="00761EF3">
        <w:rPr>
          <w:rFonts w:hint="eastAsia"/>
          <w:szCs w:val="22"/>
        </w:rPr>
        <w:t>23</w:t>
      </w:r>
      <w:r w:rsidR="00A304CD" w:rsidRPr="00212D57">
        <w:rPr>
          <w:rFonts w:hint="eastAsia"/>
          <w:szCs w:val="22"/>
        </w:rPr>
        <w:t>）</w:t>
      </w:r>
      <w:r w:rsidRPr="00212D57">
        <w:rPr>
          <w:rFonts w:hint="eastAsia"/>
          <w:spacing w:val="2"/>
          <w:szCs w:val="22"/>
        </w:rPr>
        <w:t>：「</w:t>
      </w:r>
      <w:r w:rsidRPr="00212D57">
        <w:rPr>
          <w:rFonts w:ascii="標楷體" w:eastAsia="標楷體" w:hAnsi="標楷體" w:hint="eastAsia"/>
          <w:spacing w:val="2"/>
          <w:szCs w:val="22"/>
        </w:rPr>
        <w:t>言</w:t>
      </w:r>
      <w:r w:rsidR="00A304CD">
        <w:rPr>
          <w:rFonts w:ascii="標楷體" w:eastAsia="標楷體" w:hAnsi="標楷體" w:hint="eastAsia"/>
          <w:color w:val="FF0000"/>
          <w:kern w:val="0"/>
          <w:highlight w:val="yellow"/>
        </w:rPr>
        <w:t>『</w:t>
      </w:r>
      <w:r w:rsidRPr="00212D57">
        <w:rPr>
          <w:rFonts w:ascii="標楷體" w:eastAsia="標楷體" w:hAnsi="標楷體" w:hint="eastAsia"/>
          <w:spacing w:val="2"/>
          <w:szCs w:val="22"/>
        </w:rPr>
        <w:t>極成</w:t>
      </w:r>
      <w:r w:rsidR="00A304CD">
        <w:rPr>
          <w:rFonts w:ascii="標楷體" w:eastAsia="標楷體" w:hAnsi="標楷體" w:hint="eastAsia"/>
          <w:color w:val="FF0000"/>
          <w:kern w:val="0"/>
          <w:highlight w:val="yellow"/>
        </w:rPr>
        <w:t>』</w:t>
      </w:r>
      <w:r w:rsidRPr="00212D57">
        <w:rPr>
          <w:rFonts w:ascii="標楷體" w:eastAsia="標楷體" w:hAnsi="標楷體" w:hint="eastAsia"/>
          <w:spacing w:val="2"/>
          <w:szCs w:val="22"/>
        </w:rPr>
        <w:t>者，主賓俱許，名為</w:t>
      </w:r>
      <w:r w:rsidR="00A304CD">
        <w:rPr>
          <w:rFonts w:ascii="標楷體" w:eastAsia="標楷體" w:hAnsi="標楷體" w:hint="eastAsia"/>
          <w:color w:val="FF0000"/>
          <w:kern w:val="0"/>
          <w:highlight w:val="yellow"/>
        </w:rPr>
        <w:t>『</w:t>
      </w:r>
      <w:r w:rsidRPr="00212D57">
        <w:rPr>
          <w:rFonts w:ascii="標楷體" w:eastAsia="標楷體" w:hAnsi="標楷體" w:hint="eastAsia"/>
          <w:spacing w:val="2"/>
          <w:szCs w:val="22"/>
        </w:rPr>
        <w:t>極成法</w:t>
      </w:r>
      <w:r w:rsidR="00A304CD">
        <w:rPr>
          <w:rFonts w:ascii="標楷體" w:eastAsia="標楷體" w:hAnsi="標楷體" w:hint="eastAsia"/>
          <w:color w:val="FF0000"/>
          <w:kern w:val="0"/>
          <w:highlight w:val="yellow"/>
        </w:rPr>
        <w:t>』</w:t>
      </w:r>
      <w:r w:rsidRPr="00212D57">
        <w:rPr>
          <w:rFonts w:ascii="標楷體" w:eastAsia="標楷體" w:hAnsi="標楷體" w:hint="eastAsia"/>
          <w:spacing w:val="2"/>
          <w:szCs w:val="22"/>
        </w:rPr>
        <w:t>。」</w:t>
      </w:r>
    </w:p>
    <w:p w:rsidR="00157EF6" w:rsidRPr="004A77AD" w:rsidRDefault="00157EF6" w:rsidP="002B682F">
      <w:pPr>
        <w:pStyle w:val="a5"/>
        <w:ind w:leftChars="105" w:left="79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）〔明〕智旭，《因明入正理論直解》</w:t>
      </w:r>
      <w:r w:rsidR="00A304CD" w:rsidRPr="00212D57">
        <w:rPr>
          <w:rFonts w:hint="eastAsia"/>
          <w:szCs w:val="22"/>
        </w:rPr>
        <w:t>（</w:t>
      </w:r>
      <w:r w:rsidR="00A304CD" w:rsidRPr="00212D57">
        <w:rPr>
          <w:szCs w:val="22"/>
        </w:rPr>
        <w:t>卍新續</w:t>
      </w:r>
      <w:r w:rsidR="00A304CD" w:rsidRPr="00212D57">
        <w:rPr>
          <w:rFonts w:hint="eastAsia"/>
          <w:szCs w:val="22"/>
        </w:rPr>
        <w:t>藏</w:t>
      </w:r>
      <w:r w:rsidR="00A304CD" w:rsidRPr="00761EF3">
        <w:rPr>
          <w:rFonts w:hint="eastAsia"/>
          <w:szCs w:val="22"/>
        </w:rPr>
        <w:t>53</w:t>
      </w:r>
      <w:r w:rsidR="00A304CD" w:rsidRPr="00212D57">
        <w:rPr>
          <w:rFonts w:hint="eastAsia"/>
          <w:szCs w:val="22"/>
        </w:rPr>
        <w:t>，</w:t>
      </w:r>
      <w:r w:rsidR="00A304CD" w:rsidRPr="00761EF3">
        <w:rPr>
          <w:rFonts w:hint="eastAsia"/>
          <w:szCs w:val="22"/>
        </w:rPr>
        <w:t>942c4</w:t>
      </w:r>
      <w:r w:rsidR="00A304CD" w:rsidRPr="00212D57">
        <w:rPr>
          <w:rFonts w:hint="eastAsia"/>
          <w:szCs w:val="22"/>
        </w:rPr>
        <w:t>）</w:t>
      </w:r>
      <w:r w:rsidRPr="00212D57">
        <w:rPr>
          <w:rFonts w:hint="eastAsia"/>
          <w:szCs w:val="22"/>
        </w:rPr>
        <w:t>：「</w:t>
      </w:r>
      <w:r w:rsidRPr="00212D57">
        <w:rPr>
          <w:rFonts w:ascii="標楷體" w:eastAsia="標楷體" w:hAnsi="標楷體" w:hint="eastAsia"/>
          <w:szCs w:val="22"/>
        </w:rPr>
        <w:t>言</w:t>
      </w:r>
      <w:r w:rsidR="00A304CD">
        <w:rPr>
          <w:rFonts w:ascii="標楷體" w:eastAsia="標楷體" w:hAnsi="標楷體" w:hint="eastAsia"/>
          <w:color w:val="FF0000"/>
          <w:kern w:val="0"/>
          <w:highlight w:val="yellow"/>
        </w:rPr>
        <w:t>『</w:t>
      </w:r>
      <w:r w:rsidRPr="00212D57">
        <w:rPr>
          <w:rFonts w:ascii="標楷體" w:eastAsia="標楷體" w:hAnsi="標楷體" w:hint="eastAsia"/>
          <w:szCs w:val="22"/>
        </w:rPr>
        <w:t>極成</w:t>
      </w:r>
      <w:r w:rsidR="00A304CD">
        <w:rPr>
          <w:rFonts w:ascii="標楷體" w:eastAsia="標楷體" w:hAnsi="標楷體" w:hint="eastAsia"/>
          <w:color w:val="FF0000"/>
          <w:kern w:val="0"/>
          <w:highlight w:val="yellow"/>
        </w:rPr>
        <w:t>』</w:t>
      </w:r>
      <w:r w:rsidRPr="00212D57">
        <w:rPr>
          <w:rFonts w:ascii="標楷體" w:eastAsia="標楷體" w:hAnsi="標楷體" w:hint="eastAsia"/>
          <w:szCs w:val="22"/>
        </w:rPr>
        <w:t>者，</w:t>
      </w:r>
      <w:r w:rsidRPr="004A77AD">
        <w:rPr>
          <w:rFonts w:eastAsia="標楷體" w:hint="eastAsia"/>
          <w:szCs w:val="22"/>
        </w:rPr>
        <w:t>謂道理決定成就，無有互不相許之過。</w:t>
      </w:r>
      <w:r w:rsidRPr="004A77AD">
        <w:rPr>
          <w:rFonts w:hint="eastAsia"/>
          <w:szCs w:val="22"/>
        </w:rPr>
        <w:t>」</w:t>
      </w:r>
    </w:p>
  </w:footnote>
  <w:footnote w:id="280">
    <w:p w:rsidR="00241E6A" w:rsidRPr="00212D57" w:rsidRDefault="00241E6A" w:rsidP="00B47F0F">
      <w:pPr>
        <w:pStyle w:val="a5"/>
        <w:ind w:left="220" w:hangingChars="100" w:hanging="220"/>
        <w:jc w:val="both"/>
        <w:rPr>
          <w:szCs w:val="22"/>
        </w:rPr>
      </w:pPr>
      <w:r w:rsidRPr="00B47F0F">
        <w:rPr>
          <w:rStyle w:val="a6"/>
          <w:color w:val="FF0000"/>
          <w:szCs w:val="22"/>
          <w:highlight w:val="yellow"/>
        </w:rPr>
        <w:footnoteRef/>
      </w:r>
      <w:r w:rsidRPr="004A77AD">
        <w:rPr>
          <w:rFonts w:hint="eastAsia"/>
          <w:szCs w:val="22"/>
        </w:rPr>
        <w:t xml:space="preserve"> </w:t>
      </w:r>
      <w:r w:rsidRPr="00B47F0F">
        <w:rPr>
          <w:rFonts w:hint="eastAsia"/>
          <w:color w:val="FF0000"/>
          <w:szCs w:val="22"/>
          <w:highlight w:val="yellow"/>
        </w:rPr>
        <w:t>關於「聲無常，所作性故，如瓶」</w:t>
      </w:r>
      <w:r w:rsidR="004A77AD" w:rsidRPr="00B47F0F">
        <w:rPr>
          <w:rFonts w:hint="eastAsia"/>
          <w:color w:val="FF0000"/>
          <w:szCs w:val="22"/>
          <w:highlight w:val="yellow"/>
        </w:rPr>
        <w:t>等［外人所立］內容</w:t>
      </w:r>
      <w:r w:rsidRPr="00B47F0F">
        <w:rPr>
          <w:rFonts w:hint="eastAsia"/>
          <w:color w:val="FF0000"/>
          <w:szCs w:val="22"/>
          <w:highlight w:val="yellow"/>
        </w:rPr>
        <w:t>，於多</w:t>
      </w:r>
      <w:r w:rsidR="004A77AD" w:rsidRPr="00B47F0F">
        <w:rPr>
          <w:rFonts w:hint="eastAsia"/>
          <w:color w:val="FF0000"/>
          <w:szCs w:val="22"/>
          <w:highlight w:val="yellow"/>
        </w:rPr>
        <w:t>部</w:t>
      </w:r>
      <w:r w:rsidRPr="00B47F0F">
        <w:rPr>
          <w:rFonts w:hint="eastAsia"/>
          <w:color w:val="FF0000"/>
          <w:szCs w:val="22"/>
          <w:highlight w:val="yellow"/>
        </w:rPr>
        <w:t>論</w:t>
      </w:r>
      <w:r w:rsidR="004A77AD" w:rsidRPr="00B47F0F">
        <w:rPr>
          <w:rFonts w:hint="eastAsia"/>
          <w:color w:val="FF0000"/>
          <w:szCs w:val="22"/>
          <w:highlight w:val="yellow"/>
        </w:rPr>
        <w:t>書</w:t>
      </w:r>
      <w:r w:rsidRPr="00B47F0F">
        <w:rPr>
          <w:rFonts w:hint="eastAsia"/>
          <w:color w:val="FF0000"/>
          <w:szCs w:val="22"/>
          <w:highlight w:val="yellow"/>
        </w:rPr>
        <w:t>皆</w:t>
      </w:r>
      <w:r w:rsidR="004A77AD" w:rsidRPr="00B47F0F">
        <w:rPr>
          <w:rFonts w:hint="eastAsia"/>
          <w:color w:val="FF0000"/>
          <w:szCs w:val="22"/>
          <w:highlight w:val="yellow"/>
        </w:rPr>
        <w:t>曾</w:t>
      </w:r>
      <w:r w:rsidRPr="00B47F0F">
        <w:rPr>
          <w:rFonts w:hint="eastAsia"/>
          <w:color w:val="FF0000"/>
          <w:szCs w:val="22"/>
          <w:highlight w:val="yellow"/>
        </w:rPr>
        <w:t>提及</w:t>
      </w:r>
      <w:r w:rsidR="004A77AD" w:rsidRPr="00B47F0F">
        <w:rPr>
          <w:rFonts w:hint="eastAsia"/>
          <w:color w:val="FF0000"/>
          <w:szCs w:val="22"/>
          <w:highlight w:val="yellow"/>
        </w:rPr>
        <w:t>：《百字論》</w:t>
      </w:r>
      <w:r w:rsidR="00B47F0F" w:rsidRPr="00B47F0F">
        <w:rPr>
          <w:rFonts w:hint="eastAsia"/>
          <w:color w:val="FF0000"/>
          <w:szCs w:val="22"/>
          <w:highlight w:val="yellow"/>
        </w:rPr>
        <w:t>（大正</w:t>
      </w:r>
      <w:r w:rsidR="00B47F0F" w:rsidRPr="00B47F0F">
        <w:rPr>
          <w:rFonts w:hint="eastAsia"/>
          <w:color w:val="FF0000"/>
          <w:szCs w:val="22"/>
          <w:highlight w:val="yellow"/>
        </w:rPr>
        <w:t>30</w:t>
      </w:r>
      <w:r w:rsidR="00B47F0F" w:rsidRPr="00B47F0F">
        <w:rPr>
          <w:rFonts w:hint="eastAsia"/>
          <w:color w:val="FF0000"/>
          <w:szCs w:val="22"/>
          <w:highlight w:val="yellow"/>
        </w:rPr>
        <w:t>，</w:t>
      </w:r>
      <w:r w:rsidR="00B47F0F">
        <w:rPr>
          <w:rFonts w:hint="eastAsia"/>
          <w:color w:val="FF0000"/>
          <w:szCs w:val="22"/>
          <w:highlight w:val="yellow"/>
        </w:rPr>
        <w:t xml:space="preserve"> </w:t>
      </w:r>
      <w:r w:rsidR="004A77AD" w:rsidRPr="00B47F0F">
        <w:rPr>
          <w:color w:val="FF0000"/>
          <w:szCs w:val="22"/>
          <w:highlight w:val="yellow"/>
        </w:rPr>
        <w:t>251a28-b3</w:t>
      </w:r>
      <w:r w:rsidR="00B47F0F" w:rsidRPr="00B47F0F">
        <w:rPr>
          <w:rFonts w:hint="eastAsia"/>
          <w:color w:val="FF0000"/>
          <w:szCs w:val="22"/>
          <w:highlight w:val="yellow"/>
        </w:rPr>
        <w:t>）、</w:t>
      </w:r>
      <w:r w:rsidR="004A77AD" w:rsidRPr="00B47F0F">
        <w:rPr>
          <w:rFonts w:hint="eastAsia"/>
          <w:color w:val="FF0000"/>
          <w:szCs w:val="22"/>
          <w:highlight w:val="yellow"/>
        </w:rPr>
        <w:t>《大乘掌珍論》卷上</w:t>
      </w:r>
      <w:r w:rsidR="00B47F0F" w:rsidRPr="00B47F0F">
        <w:rPr>
          <w:rFonts w:hint="eastAsia"/>
          <w:color w:val="FF0000"/>
          <w:szCs w:val="22"/>
          <w:highlight w:val="yellow"/>
        </w:rPr>
        <w:t>（大正</w:t>
      </w:r>
      <w:r w:rsidR="004A77AD" w:rsidRPr="00B47F0F">
        <w:rPr>
          <w:rFonts w:hint="eastAsia"/>
          <w:color w:val="FF0000"/>
          <w:szCs w:val="22"/>
          <w:highlight w:val="yellow"/>
        </w:rPr>
        <w:t>30</w:t>
      </w:r>
      <w:r w:rsidR="00B47F0F" w:rsidRPr="00B47F0F">
        <w:rPr>
          <w:rFonts w:hint="eastAsia"/>
          <w:color w:val="FF0000"/>
          <w:szCs w:val="22"/>
          <w:highlight w:val="yellow"/>
        </w:rPr>
        <w:t>，</w:t>
      </w:r>
      <w:r w:rsidR="004A77AD" w:rsidRPr="00B47F0F">
        <w:rPr>
          <w:rFonts w:hint="eastAsia"/>
          <w:color w:val="FF0000"/>
          <w:szCs w:val="22"/>
          <w:highlight w:val="yellow"/>
        </w:rPr>
        <w:t>269c21-22</w:t>
      </w:r>
      <w:r w:rsidR="00B47F0F" w:rsidRPr="00B47F0F">
        <w:rPr>
          <w:rFonts w:hint="eastAsia"/>
          <w:color w:val="FF0000"/>
          <w:szCs w:val="22"/>
          <w:highlight w:val="yellow"/>
        </w:rPr>
        <w:t>）、</w:t>
      </w:r>
      <w:r w:rsidR="004A77AD" w:rsidRPr="00B47F0F">
        <w:rPr>
          <w:rFonts w:hint="eastAsia"/>
          <w:color w:val="FF0000"/>
          <w:szCs w:val="22"/>
          <w:highlight w:val="yellow"/>
        </w:rPr>
        <w:t>《順中論》卷上</w:t>
      </w:r>
      <w:r w:rsidR="00B47F0F" w:rsidRPr="00B47F0F">
        <w:rPr>
          <w:rFonts w:hint="eastAsia"/>
          <w:color w:val="FF0000"/>
          <w:szCs w:val="22"/>
          <w:highlight w:val="yellow"/>
        </w:rPr>
        <w:t>（大正</w:t>
      </w:r>
      <w:r w:rsidR="004A77AD" w:rsidRPr="00B47F0F">
        <w:rPr>
          <w:rFonts w:hint="eastAsia"/>
          <w:color w:val="FF0000"/>
          <w:szCs w:val="22"/>
          <w:highlight w:val="yellow"/>
        </w:rPr>
        <w:t>30</w:t>
      </w:r>
      <w:r w:rsidR="00B47F0F" w:rsidRPr="00B47F0F">
        <w:rPr>
          <w:rFonts w:hint="eastAsia"/>
          <w:color w:val="FF0000"/>
          <w:szCs w:val="22"/>
          <w:highlight w:val="yellow"/>
        </w:rPr>
        <w:t>，</w:t>
      </w:r>
      <w:r w:rsidR="004A77AD" w:rsidRPr="00B47F0F">
        <w:rPr>
          <w:rFonts w:hint="eastAsia"/>
          <w:color w:val="FF0000"/>
          <w:szCs w:val="22"/>
          <w:highlight w:val="yellow"/>
        </w:rPr>
        <w:t>42a24-27</w:t>
      </w:r>
      <w:r w:rsidR="00B47F0F" w:rsidRPr="00B47F0F">
        <w:rPr>
          <w:rFonts w:hint="eastAsia"/>
          <w:color w:val="FF0000"/>
          <w:szCs w:val="22"/>
          <w:highlight w:val="yellow"/>
        </w:rPr>
        <w:t>）、</w:t>
      </w:r>
      <w:r w:rsidR="004A77AD" w:rsidRPr="00B47F0F">
        <w:rPr>
          <w:rFonts w:hint="eastAsia"/>
          <w:color w:val="FF0000"/>
          <w:szCs w:val="22"/>
          <w:highlight w:val="yellow"/>
        </w:rPr>
        <w:t>《因明入正理論》</w:t>
      </w:r>
      <w:r w:rsidR="00B47F0F" w:rsidRPr="00B47F0F">
        <w:rPr>
          <w:rFonts w:hint="eastAsia"/>
          <w:color w:val="FF0000"/>
          <w:szCs w:val="22"/>
          <w:highlight w:val="yellow"/>
        </w:rPr>
        <w:t>（大正</w:t>
      </w:r>
      <w:r w:rsidR="004A77AD" w:rsidRPr="00B47F0F">
        <w:rPr>
          <w:rFonts w:hint="eastAsia"/>
          <w:color w:val="FF0000"/>
          <w:szCs w:val="22"/>
          <w:highlight w:val="yellow"/>
        </w:rPr>
        <w:t>32</w:t>
      </w:r>
      <w:r w:rsidR="00B47F0F" w:rsidRPr="00B47F0F">
        <w:rPr>
          <w:rFonts w:hint="eastAsia"/>
          <w:color w:val="FF0000"/>
          <w:szCs w:val="22"/>
          <w:highlight w:val="yellow"/>
        </w:rPr>
        <w:t>，</w:t>
      </w:r>
      <w:r w:rsidR="004A77AD" w:rsidRPr="00B47F0F">
        <w:rPr>
          <w:rFonts w:hint="eastAsia"/>
          <w:color w:val="FF0000"/>
          <w:szCs w:val="22"/>
          <w:highlight w:val="yellow"/>
        </w:rPr>
        <w:t>11b19-23</w:t>
      </w:r>
      <w:r w:rsidR="00B47F0F" w:rsidRPr="00B47F0F">
        <w:rPr>
          <w:rFonts w:hint="eastAsia"/>
          <w:color w:val="FF0000"/>
          <w:szCs w:val="22"/>
          <w:highlight w:val="yellow"/>
        </w:rPr>
        <w:t>）</w:t>
      </w:r>
      <w:r w:rsidR="004A77AD" w:rsidRPr="00B47F0F">
        <w:rPr>
          <w:rFonts w:hint="eastAsia"/>
          <w:color w:val="FF0000"/>
          <w:szCs w:val="22"/>
          <w:highlight w:val="yellow"/>
        </w:rPr>
        <w:t>等。</w:t>
      </w:r>
    </w:p>
  </w:footnote>
  <w:footnote w:id="281">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rFonts w:hint="eastAsia"/>
          <w:szCs w:val="22"/>
        </w:rPr>
        <w:t>矛楯：《韓非子‧難一》：“楚人有鬻楯與矛者，譽之曰：‘吾楯之堅，物莫能陷也。’又譽其矛曰：‘吾矛之利，於物無不陷也。’或曰：‘以子之矛，陷子之楯，何如？’其人弗能應也。”後以“矛楯（盾）”連舉比喻言語或行為相互抵觸，互不相容。</w:t>
      </w:r>
      <w:r w:rsidRPr="00212D57">
        <w:rPr>
          <w:szCs w:val="22"/>
        </w:rPr>
        <w:t>（</w:t>
      </w:r>
      <w:r w:rsidRPr="00212D57">
        <w:rPr>
          <w:rFonts w:hint="eastAsia"/>
          <w:szCs w:val="22"/>
        </w:rPr>
        <w:t>《漢語大詞典》（八），</w:t>
      </w:r>
      <w:r w:rsidRPr="00761EF3">
        <w:rPr>
          <w:szCs w:val="22"/>
        </w:rPr>
        <w:t>p</w:t>
      </w:r>
      <w:r w:rsidRPr="00212D57">
        <w:rPr>
          <w:szCs w:val="22"/>
        </w:rPr>
        <w:t>.</w:t>
      </w:r>
      <w:r w:rsidRPr="00761EF3">
        <w:rPr>
          <w:rFonts w:hint="eastAsia"/>
          <w:szCs w:val="22"/>
        </w:rPr>
        <w:t>579</w:t>
      </w:r>
      <w:r w:rsidRPr="00212D57">
        <w:rPr>
          <w:szCs w:val="22"/>
        </w:rPr>
        <w:t>）</w:t>
      </w:r>
    </w:p>
  </w:footnote>
  <w:footnote w:id="282">
    <w:p w:rsidR="00A304CD" w:rsidRDefault="00157EF6" w:rsidP="002B682F">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rFonts w:hint="eastAsia"/>
          <w:szCs w:val="22"/>
        </w:rPr>
        <w:t>未嘗：</w:t>
      </w:r>
      <w:r w:rsidRPr="00761EF3">
        <w:rPr>
          <w:rFonts w:hint="eastAsia"/>
          <w:szCs w:val="22"/>
        </w:rPr>
        <w:t>3</w:t>
      </w:r>
      <w:r w:rsidRPr="00212D57">
        <w:rPr>
          <w:rFonts w:hint="eastAsia"/>
          <w:szCs w:val="22"/>
        </w:rPr>
        <w:t>.</w:t>
      </w:r>
      <w:r w:rsidRPr="00212D57">
        <w:rPr>
          <w:rFonts w:hint="eastAsia"/>
          <w:szCs w:val="22"/>
        </w:rPr>
        <w:t>用於否定詞前，構成雙重否定，使語氣委婉。猶並非，未必。</w:t>
      </w:r>
    </w:p>
    <w:p w:rsidR="00157EF6" w:rsidRPr="00212D57" w:rsidRDefault="00157EF6" w:rsidP="00A304CD">
      <w:pPr>
        <w:pStyle w:val="a5"/>
        <w:spacing w:line="0" w:lineRule="atLeast"/>
        <w:ind w:left="253" w:hangingChars="115" w:hanging="253"/>
        <w:jc w:val="right"/>
        <w:rPr>
          <w:szCs w:val="22"/>
        </w:rPr>
      </w:pPr>
      <w:r w:rsidRPr="00212D57">
        <w:rPr>
          <w:szCs w:val="22"/>
        </w:rPr>
        <w:t>（</w:t>
      </w:r>
      <w:r w:rsidRPr="00212D57">
        <w:rPr>
          <w:rFonts w:hint="eastAsia"/>
          <w:szCs w:val="22"/>
        </w:rPr>
        <w:t>《漢語大詞典》（四），</w:t>
      </w:r>
      <w:r w:rsidRPr="00761EF3">
        <w:rPr>
          <w:rFonts w:hint="eastAsia"/>
          <w:szCs w:val="22"/>
        </w:rPr>
        <w:t>p</w:t>
      </w:r>
      <w:r w:rsidRPr="00212D57">
        <w:rPr>
          <w:rFonts w:hint="eastAsia"/>
          <w:szCs w:val="22"/>
        </w:rPr>
        <w:t>.</w:t>
      </w:r>
      <w:r w:rsidRPr="00761EF3">
        <w:rPr>
          <w:rFonts w:hint="eastAsia"/>
          <w:szCs w:val="22"/>
        </w:rPr>
        <w:t>684</w:t>
      </w:r>
      <w:r w:rsidRPr="00212D57">
        <w:rPr>
          <w:szCs w:val="22"/>
        </w:rPr>
        <w:t>）</w:t>
      </w:r>
    </w:p>
  </w:footnote>
  <w:footnote w:id="283">
    <w:p w:rsidR="00B47F0F" w:rsidRPr="00212D57" w:rsidRDefault="00B47F0F" w:rsidP="00B47F0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法藏述</w:t>
      </w:r>
      <w:r w:rsidRPr="00212D57">
        <w:rPr>
          <w:rFonts w:hint="eastAsia"/>
          <w:szCs w:val="22"/>
        </w:rPr>
        <w:t>，《十二門論宗致義記》卷上（大正</w:t>
      </w:r>
      <w:r w:rsidRPr="00761EF3">
        <w:rPr>
          <w:rFonts w:hint="eastAsia"/>
          <w:szCs w:val="22"/>
        </w:rPr>
        <w:t>42</w:t>
      </w:r>
      <w:r w:rsidRPr="00212D57">
        <w:rPr>
          <w:rFonts w:hint="eastAsia"/>
          <w:szCs w:val="22"/>
        </w:rPr>
        <w:t>，</w:t>
      </w:r>
      <w:r w:rsidRPr="00761EF3">
        <w:rPr>
          <w:rFonts w:hint="eastAsia"/>
          <w:szCs w:val="22"/>
        </w:rPr>
        <w:t>214</w:t>
      </w:r>
      <w:r w:rsidRPr="00761EF3">
        <w:rPr>
          <w:szCs w:val="22"/>
        </w:rPr>
        <w:t>c17</w:t>
      </w:r>
      <w:r w:rsidRPr="00212D57">
        <w:rPr>
          <w:szCs w:val="22"/>
        </w:rPr>
        <w:t>-</w:t>
      </w:r>
      <w:r w:rsidRPr="00761EF3">
        <w:rPr>
          <w:szCs w:val="22"/>
        </w:rPr>
        <w:t>25</w:t>
      </w:r>
      <w:r w:rsidRPr="00212D57">
        <w:rPr>
          <w:rFonts w:hint="eastAsia"/>
          <w:szCs w:val="22"/>
        </w:rPr>
        <w:t>）：</w:t>
      </w:r>
    </w:p>
    <w:p w:rsidR="00B47F0F" w:rsidRPr="00212D57" w:rsidRDefault="00B47F0F" w:rsidP="00B47F0F">
      <w:pPr>
        <w:pStyle w:val="a5"/>
        <w:ind w:leftChars="105" w:left="252"/>
        <w:jc w:val="both"/>
        <w:rPr>
          <w:szCs w:val="22"/>
        </w:rPr>
      </w:pPr>
      <w:r w:rsidRPr="00212D57">
        <w:rPr>
          <w:rFonts w:ascii="標楷體" w:eastAsia="標楷體" w:hAnsi="標楷體" w:hint="eastAsia"/>
          <w:szCs w:val="22"/>
        </w:rPr>
        <w:t>是故當知</w:t>
      </w:r>
      <w:r>
        <w:rPr>
          <w:rFonts w:ascii="標楷體" w:eastAsia="標楷體" w:hAnsi="標楷體" w:hint="eastAsia"/>
          <w:color w:val="FF0000"/>
          <w:spacing w:val="-4"/>
          <w:kern w:val="0"/>
          <w:highlight w:val="yellow"/>
        </w:rPr>
        <w:t>：</w:t>
      </w:r>
      <w:r w:rsidRPr="00212D57">
        <w:rPr>
          <w:rFonts w:ascii="標楷體" w:eastAsia="標楷體" w:hAnsi="標楷體" w:hint="eastAsia"/>
          <w:szCs w:val="22"/>
        </w:rPr>
        <w:t>如上所說立</w:t>
      </w:r>
      <w:r>
        <w:rPr>
          <w:rFonts w:ascii="標楷體" w:eastAsia="標楷體" w:hAnsi="標楷體" w:hint="eastAsia"/>
          <w:color w:val="FF0000"/>
          <w:kern w:val="0"/>
          <w:highlight w:val="yellow"/>
        </w:rPr>
        <w:t>.</w:t>
      </w:r>
      <w:r w:rsidRPr="00212D57">
        <w:rPr>
          <w:rFonts w:ascii="標楷體" w:eastAsia="標楷體" w:hAnsi="標楷體" w:hint="eastAsia"/>
          <w:szCs w:val="22"/>
        </w:rPr>
        <w:t>破等義，並悉方便，務令前機歸伏生信，未必得具佛法深旨</w:t>
      </w:r>
      <w:r>
        <w:rPr>
          <w:rFonts w:ascii="標楷體" w:eastAsia="標楷體" w:hAnsi="標楷體" w:hint="eastAsia"/>
          <w:color w:val="FF0000"/>
          <w:kern w:val="0"/>
          <w:highlight w:val="yellow"/>
        </w:rPr>
        <w:t>。</w:t>
      </w:r>
      <w:r w:rsidRPr="00212D57">
        <w:rPr>
          <w:rFonts w:ascii="標楷體" w:eastAsia="標楷體" w:hAnsi="標楷體" w:hint="eastAsia"/>
          <w:szCs w:val="22"/>
        </w:rPr>
        <w:t>且如</w:t>
      </w:r>
      <w:r>
        <w:rPr>
          <w:rFonts w:ascii="標楷體" w:eastAsia="標楷體" w:hAnsi="標楷體" w:hint="eastAsia"/>
          <w:bCs/>
          <w:color w:val="FF0000"/>
          <w:kern w:val="0"/>
          <w:highlight w:val="yellow"/>
        </w:rPr>
        <w:t>「</w:t>
      </w:r>
      <w:r w:rsidRPr="00A304CD">
        <w:rPr>
          <w:rFonts w:ascii="標楷體" w:eastAsia="標楷體" w:hAnsi="標楷體" w:hint="eastAsia"/>
          <w:b/>
          <w:color w:val="FF0000"/>
          <w:kern w:val="0"/>
          <w:highlight w:val="yellow"/>
        </w:rPr>
        <w:t>『</w:t>
      </w:r>
      <w:r w:rsidRPr="00A304CD">
        <w:rPr>
          <w:rFonts w:ascii="標楷體" w:eastAsia="標楷體" w:hAnsi="標楷體" w:hint="eastAsia"/>
          <w:b/>
          <w:szCs w:val="22"/>
        </w:rPr>
        <w:t>真如</w:t>
      </w:r>
      <w:r w:rsidRPr="00A304CD">
        <w:rPr>
          <w:rFonts w:ascii="標楷體" w:eastAsia="標楷體" w:hAnsi="標楷體" w:hint="eastAsia"/>
          <w:b/>
          <w:color w:val="FF0000"/>
          <w:kern w:val="0"/>
          <w:highlight w:val="yellow"/>
        </w:rPr>
        <w:t>』</w:t>
      </w:r>
      <w:r w:rsidRPr="00212D57">
        <w:rPr>
          <w:rFonts w:ascii="標楷體" w:eastAsia="標楷體" w:hAnsi="標楷體" w:hint="eastAsia"/>
          <w:b/>
          <w:szCs w:val="22"/>
        </w:rPr>
        <w:t>無同法喻</w:t>
      </w:r>
      <w:r>
        <w:rPr>
          <w:rFonts w:ascii="標楷體" w:eastAsia="標楷體" w:hAnsi="標楷體" w:hint="eastAsia"/>
          <w:bCs/>
          <w:color w:val="FF0000"/>
          <w:kern w:val="0"/>
          <w:highlight w:val="yellow"/>
        </w:rPr>
        <w:t>」</w:t>
      </w:r>
      <w:r w:rsidRPr="00212D57">
        <w:rPr>
          <w:rFonts w:ascii="標楷體" w:eastAsia="標楷體" w:hAnsi="標楷體" w:hint="eastAsia"/>
          <w:szCs w:val="22"/>
        </w:rPr>
        <w:t>故不得立者，豈可</w:t>
      </w:r>
      <w:r>
        <w:rPr>
          <w:rFonts w:ascii="標楷體" w:eastAsia="標楷體" w:hAnsi="標楷體" w:hint="eastAsia"/>
          <w:bCs/>
          <w:color w:val="FF0000"/>
          <w:kern w:val="0"/>
          <w:highlight w:val="yellow"/>
        </w:rPr>
        <w:t>「</w:t>
      </w:r>
      <w:r>
        <w:rPr>
          <w:rFonts w:ascii="標楷體" w:eastAsia="標楷體" w:hAnsi="標楷體" w:hint="eastAsia"/>
          <w:color w:val="FF0000"/>
          <w:kern w:val="0"/>
          <w:highlight w:val="yellow"/>
        </w:rPr>
        <w:t>『</w:t>
      </w:r>
      <w:r w:rsidRPr="00212D57">
        <w:rPr>
          <w:rFonts w:ascii="標楷體" w:eastAsia="標楷體" w:hAnsi="標楷體" w:hint="eastAsia"/>
          <w:szCs w:val="22"/>
        </w:rPr>
        <w:t>真如</w:t>
      </w:r>
      <w:r>
        <w:rPr>
          <w:rFonts w:ascii="標楷體" w:eastAsia="標楷體" w:hAnsi="標楷體" w:hint="eastAsia"/>
          <w:color w:val="FF0000"/>
          <w:kern w:val="0"/>
          <w:highlight w:val="yellow"/>
        </w:rPr>
        <w:t>』</w:t>
      </w:r>
      <w:r w:rsidRPr="00212D57">
        <w:rPr>
          <w:rFonts w:ascii="標楷體" w:eastAsia="標楷體" w:hAnsi="標楷體" w:hint="eastAsia"/>
          <w:szCs w:val="22"/>
        </w:rPr>
        <w:t>為非法</w:t>
      </w:r>
      <w:r>
        <w:rPr>
          <w:rFonts w:ascii="標楷體" w:eastAsia="標楷體" w:hAnsi="標楷體" w:hint="eastAsia"/>
          <w:bCs/>
          <w:color w:val="FF0000"/>
          <w:kern w:val="0"/>
          <w:highlight w:val="yellow"/>
        </w:rPr>
        <w:t>」</w:t>
      </w:r>
      <w:r w:rsidRPr="00212D57">
        <w:rPr>
          <w:rFonts w:ascii="標楷體" w:eastAsia="標楷體" w:hAnsi="標楷體" w:hint="eastAsia"/>
          <w:szCs w:val="22"/>
        </w:rPr>
        <w:t>也</w:t>
      </w:r>
      <w:r>
        <w:rPr>
          <w:rFonts w:ascii="標楷體" w:eastAsia="標楷體" w:hAnsi="標楷體" w:hint="eastAsia"/>
          <w:color w:val="FF0000"/>
          <w:kern w:val="0"/>
          <w:highlight w:val="yellow"/>
        </w:rPr>
        <w:t>！</w:t>
      </w:r>
      <w:r w:rsidRPr="00212D57">
        <w:rPr>
          <w:rFonts w:ascii="標楷體" w:eastAsia="標楷體" w:hAnsi="標楷體" w:hint="eastAsia"/>
          <w:szCs w:val="22"/>
        </w:rPr>
        <w:t>是故要當離此立</w:t>
      </w:r>
      <w:r>
        <w:rPr>
          <w:rFonts w:ascii="標楷體" w:eastAsia="標楷體" w:hAnsi="標楷體" w:hint="eastAsia"/>
          <w:color w:val="FF0000"/>
          <w:kern w:val="0"/>
          <w:highlight w:val="yellow"/>
        </w:rPr>
        <w:t>.</w:t>
      </w:r>
      <w:r w:rsidRPr="00212D57">
        <w:rPr>
          <w:rFonts w:ascii="標楷體" w:eastAsia="標楷體" w:hAnsi="標楷體" w:hint="eastAsia"/>
          <w:szCs w:val="22"/>
        </w:rPr>
        <w:t>破之諍論等，方為順實究竟義也。</w:t>
      </w:r>
    </w:p>
  </w:footnote>
  <w:footnote w:id="284">
    <w:p w:rsidR="00B47F0F" w:rsidRPr="00212D57" w:rsidRDefault="00B47F0F" w:rsidP="00B47F0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6C4E94">
        <w:rPr>
          <w:rFonts w:hint="eastAsia"/>
          <w:color w:val="FF0000"/>
          <w:szCs w:val="22"/>
          <w:highlight w:val="yellow"/>
        </w:rPr>
        <w:t>無著造，</w:t>
      </w:r>
      <w:r>
        <w:rPr>
          <w:rFonts w:hint="eastAsia"/>
          <w:color w:val="FF0000"/>
          <w:szCs w:val="22"/>
          <w:highlight w:val="yellow"/>
        </w:rPr>
        <w:t>［陳］</w:t>
      </w:r>
      <w:r w:rsidRPr="006C4E94">
        <w:rPr>
          <w:rFonts w:hint="eastAsia"/>
          <w:color w:val="FF0000"/>
          <w:szCs w:val="22"/>
          <w:highlight w:val="yellow"/>
        </w:rPr>
        <w:t>真諦譯，</w:t>
      </w:r>
      <w:r w:rsidRPr="00212D57">
        <w:rPr>
          <w:rFonts w:hint="eastAsia"/>
          <w:szCs w:val="22"/>
        </w:rPr>
        <w:t>《攝大乘論》卷</w:t>
      </w:r>
      <w:r>
        <w:rPr>
          <w:rFonts w:hint="eastAsia"/>
          <w:color w:val="FF0000"/>
          <w:szCs w:val="22"/>
          <w:highlight w:val="yellow"/>
        </w:rPr>
        <w:t>下</w:t>
      </w:r>
      <w:r w:rsidRPr="00212D57">
        <w:rPr>
          <w:rFonts w:hint="eastAsia"/>
          <w:szCs w:val="22"/>
        </w:rPr>
        <w:t>〈</w:t>
      </w:r>
      <w:r w:rsidRPr="00761EF3">
        <w:rPr>
          <w:rFonts w:hint="eastAsia"/>
          <w:szCs w:val="22"/>
        </w:rPr>
        <w:t>10</w:t>
      </w:r>
      <w:r w:rsidRPr="00212D57">
        <w:rPr>
          <w:rFonts w:hint="eastAsia"/>
          <w:szCs w:val="22"/>
        </w:rPr>
        <w:t xml:space="preserve"> </w:t>
      </w:r>
      <w:r w:rsidRPr="00212D57">
        <w:rPr>
          <w:rFonts w:hint="eastAsia"/>
          <w:szCs w:val="22"/>
        </w:rPr>
        <w:t>智差別勝相品〉（大正</w:t>
      </w:r>
      <w:r w:rsidRPr="00761EF3">
        <w:rPr>
          <w:rFonts w:hint="eastAsia"/>
          <w:szCs w:val="22"/>
        </w:rPr>
        <w:t>31</w:t>
      </w:r>
      <w:r w:rsidRPr="00212D57">
        <w:rPr>
          <w:rFonts w:hint="eastAsia"/>
          <w:szCs w:val="22"/>
        </w:rPr>
        <w:t>，</w:t>
      </w:r>
      <w:r w:rsidRPr="00761EF3">
        <w:rPr>
          <w:rFonts w:hint="eastAsia"/>
          <w:szCs w:val="22"/>
        </w:rPr>
        <w:t>130a</w:t>
      </w:r>
      <w:r w:rsidRPr="006C4E94">
        <w:rPr>
          <w:rFonts w:hint="eastAsia"/>
          <w:color w:val="FF0000"/>
          <w:szCs w:val="22"/>
          <w:highlight w:val="yellow"/>
        </w:rPr>
        <w:t>7-9</w:t>
      </w:r>
      <w:r w:rsidRPr="00212D57">
        <w:rPr>
          <w:rFonts w:hint="eastAsia"/>
          <w:szCs w:val="22"/>
        </w:rPr>
        <w:t>）：「</w:t>
      </w:r>
      <w:r w:rsidRPr="006C4E94">
        <w:rPr>
          <w:rFonts w:ascii="標楷體" w:eastAsia="標楷體" w:hAnsi="標楷體" w:hint="eastAsia"/>
          <w:color w:val="FF0000"/>
          <w:szCs w:val="22"/>
          <w:highlight w:val="yellow"/>
        </w:rPr>
        <w:t>五不可思議為相：</w:t>
      </w:r>
      <w:r w:rsidRPr="00212D57">
        <w:rPr>
          <w:rFonts w:ascii="標楷體" w:eastAsia="標楷體" w:hAnsi="標楷體" w:hint="eastAsia"/>
          <w:szCs w:val="22"/>
        </w:rPr>
        <w:t>是真如</w:t>
      </w:r>
      <w:r>
        <w:rPr>
          <w:rFonts w:ascii="標楷體" w:eastAsia="標楷體" w:hAnsi="標楷體" w:cs="Calibri" w:hint="eastAsia"/>
          <w:color w:val="FF0000"/>
          <w:szCs w:val="22"/>
          <w:highlight w:val="yellow"/>
        </w:rPr>
        <w:t>，</w:t>
      </w:r>
      <w:r w:rsidRPr="00212D57">
        <w:rPr>
          <w:rFonts w:ascii="標楷體" w:eastAsia="標楷體" w:hAnsi="標楷體" w:hint="eastAsia"/>
          <w:szCs w:val="22"/>
        </w:rPr>
        <w:t>清淨</w:t>
      </w:r>
      <w:r>
        <w:rPr>
          <w:rFonts w:ascii="標楷體" w:eastAsia="標楷體" w:hAnsi="標楷體" w:cs="Calibri" w:hint="eastAsia"/>
          <w:color w:val="FF0000"/>
          <w:szCs w:val="22"/>
          <w:highlight w:val="yellow"/>
        </w:rPr>
        <w:t>，</w:t>
      </w:r>
      <w:r w:rsidRPr="00212D57">
        <w:rPr>
          <w:rFonts w:ascii="標楷體" w:eastAsia="標楷體" w:hAnsi="標楷體" w:hint="eastAsia"/>
          <w:szCs w:val="22"/>
        </w:rPr>
        <w:t>自證智所知故，無譬喻故</w:t>
      </w:r>
      <w:r w:rsidRPr="006C4E94">
        <w:rPr>
          <w:rFonts w:ascii="標楷體" w:eastAsia="標楷體" w:hAnsi="標楷體" w:hint="eastAsia"/>
          <w:color w:val="FF0000"/>
          <w:szCs w:val="22"/>
          <w:highlight w:val="yellow"/>
        </w:rPr>
        <w:t>，非覺觀行處故</w:t>
      </w:r>
      <w:r w:rsidRPr="00212D57">
        <w:rPr>
          <w:rFonts w:ascii="標楷體" w:eastAsia="標楷體" w:hAnsi="標楷體" w:hint="eastAsia"/>
          <w:szCs w:val="22"/>
        </w:rPr>
        <w:t>。</w:t>
      </w:r>
      <w:r w:rsidRPr="00212D57">
        <w:rPr>
          <w:rFonts w:hint="eastAsia"/>
          <w:szCs w:val="22"/>
        </w:rPr>
        <w:t>」</w:t>
      </w:r>
    </w:p>
  </w:footnote>
  <w:footnote w:id="285">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212D57">
        <w:rPr>
          <w:szCs w:val="22"/>
        </w:rPr>
        <w:t>《大乘入楞伽經》卷</w:t>
      </w:r>
      <w:r w:rsidRPr="00761EF3">
        <w:rPr>
          <w:szCs w:val="22"/>
        </w:rPr>
        <w:t>7</w:t>
      </w:r>
      <w:r w:rsidRPr="00212D57">
        <w:rPr>
          <w:rFonts w:hint="eastAsia"/>
          <w:szCs w:val="22"/>
        </w:rPr>
        <w:t>〈</w:t>
      </w:r>
      <w:r w:rsidRPr="00761EF3">
        <w:rPr>
          <w:rFonts w:hint="eastAsia"/>
          <w:szCs w:val="22"/>
        </w:rPr>
        <w:t>10</w:t>
      </w:r>
      <w:r w:rsidRPr="00212D57">
        <w:rPr>
          <w:rFonts w:hint="eastAsia"/>
          <w:szCs w:val="22"/>
        </w:rPr>
        <w:t xml:space="preserve"> </w:t>
      </w:r>
      <w:r w:rsidRPr="00212D57">
        <w:rPr>
          <w:rFonts w:hint="eastAsia"/>
          <w:szCs w:val="22"/>
        </w:rPr>
        <w:t>偈頌品〉（</w:t>
      </w:r>
      <w:r w:rsidRPr="00212D57">
        <w:rPr>
          <w:szCs w:val="22"/>
        </w:rPr>
        <w:t>大正</w:t>
      </w:r>
      <w:r w:rsidRPr="00761EF3">
        <w:rPr>
          <w:szCs w:val="22"/>
        </w:rPr>
        <w:t>16</w:t>
      </w:r>
      <w:r w:rsidRPr="00212D57">
        <w:rPr>
          <w:szCs w:val="22"/>
        </w:rPr>
        <w:t>，</w:t>
      </w:r>
      <w:r w:rsidRPr="00761EF3">
        <w:rPr>
          <w:szCs w:val="22"/>
        </w:rPr>
        <w:t>632c1</w:t>
      </w:r>
      <w:r w:rsidRPr="00212D57">
        <w:rPr>
          <w:szCs w:val="22"/>
        </w:rPr>
        <w:t>-</w:t>
      </w:r>
      <w:r w:rsidRPr="00761EF3">
        <w:rPr>
          <w:rFonts w:hint="eastAsia"/>
          <w:szCs w:val="22"/>
        </w:rPr>
        <w:t>10</w:t>
      </w:r>
      <w:r w:rsidRPr="00212D57">
        <w:rPr>
          <w:rFonts w:hint="eastAsia"/>
          <w:szCs w:val="22"/>
        </w:rPr>
        <w:t>）</w:t>
      </w:r>
      <w:r w:rsidRPr="00212D57">
        <w:rPr>
          <w:szCs w:val="22"/>
        </w:rPr>
        <w:t>：</w:t>
      </w:r>
    </w:p>
    <w:p w:rsidR="00157EF6" w:rsidRPr="00212D57" w:rsidRDefault="00157EF6" w:rsidP="002B682F">
      <w:pPr>
        <w:snapToGrid w:val="0"/>
        <w:ind w:leftChars="335" w:left="804"/>
        <w:jc w:val="both"/>
        <w:rPr>
          <w:sz w:val="22"/>
          <w:szCs w:val="22"/>
        </w:rPr>
      </w:pPr>
      <w:r w:rsidRPr="00212D57">
        <w:rPr>
          <w:rFonts w:ascii="標楷體" w:eastAsia="標楷體" w:hAnsi="標楷體"/>
          <w:sz w:val="22"/>
          <w:szCs w:val="22"/>
        </w:rPr>
        <w:t>一一觀世間，皆是自心現</w:t>
      </w:r>
      <w:r w:rsidRPr="00212D57">
        <w:rPr>
          <w:rFonts w:ascii="標楷體" w:eastAsia="標楷體" w:hAnsi="標楷體" w:hint="eastAsia"/>
          <w:sz w:val="22"/>
          <w:szCs w:val="22"/>
        </w:rPr>
        <w:t>，</w:t>
      </w:r>
      <w:r w:rsidRPr="00212D57">
        <w:rPr>
          <w:rFonts w:ascii="標楷體" w:eastAsia="標楷體" w:hAnsi="標楷體"/>
          <w:sz w:val="22"/>
          <w:szCs w:val="22"/>
        </w:rPr>
        <w:t>於煩惱隨眠，離苦得解脫。聲聞為盡智</w:t>
      </w:r>
      <w:r w:rsidR="00A304CD">
        <w:rPr>
          <w:rFonts w:ascii="標楷體" w:eastAsia="標楷體" w:hAnsi="標楷體" w:hint="eastAsia"/>
          <w:color w:val="FF0000"/>
          <w:spacing w:val="-4"/>
          <w:kern w:val="0"/>
          <w:sz w:val="22"/>
          <w:highlight w:val="yellow"/>
        </w:rPr>
        <w:t>；</w:t>
      </w:r>
      <w:r w:rsidRPr="00212D57">
        <w:rPr>
          <w:rFonts w:ascii="標楷體" w:eastAsia="標楷體" w:hAnsi="標楷體"/>
          <w:sz w:val="22"/>
          <w:szCs w:val="22"/>
        </w:rPr>
        <w:t>緣覺寂靜智</w:t>
      </w:r>
      <w:r w:rsidR="00A304CD">
        <w:rPr>
          <w:rFonts w:ascii="標楷體" w:eastAsia="標楷體" w:hAnsi="標楷體" w:hint="eastAsia"/>
          <w:color w:val="FF0000"/>
          <w:spacing w:val="-4"/>
          <w:kern w:val="0"/>
          <w:sz w:val="22"/>
          <w:highlight w:val="yellow"/>
        </w:rPr>
        <w:t>；</w:t>
      </w:r>
      <w:r w:rsidRPr="00212D57">
        <w:rPr>
          <w:rFonts w:ascii="標楷體" w:eastAsia="標楷體" w:hAnsi="標楷體"/>
          <w:sz w:val="22"/>
          <w:szCs w:val="22"/>
        </w:rPr>
        <w:t>如來之智慧，生起無窮盡。外實無有色，惟自心所現</w:t>
      </w:r>
      <w:r w:rsidRPr="00212D57">
        <w:rPr>
          <w:rFonts w:ascii="標楷體" w:eastAsia="標楷體" w:hAnsi="標楷體" w:hint="eastAsia"/>
          <w:sz w:val="22"/>
          <w:szCs w:val="22"/>
        </w:rPr>
        <w:t>；</w:t>
      </w:r>
      <w:r w:rsidRPr="00212D57">
        <w:rPr>
          <w:rFonts w:ascii="標楷體" w:eastAsia="標楷體" w:hAnsi="標楷體"/>
          <w:sz w:val="22"/>
          <w:szCs w:val="22"/>
        </w:rPr>
        <w:t>愚夫不覺知，妄分別有為</w:t>
      </w:r>
      <w:r w:rsidR="00A304CD">
        <w:rPr>
          <w:rFonts w:ascii="標楷體" w:eastAsia="標楷體" w:hAnsi="標楷體" w:hint="eastAsia"/>
          <w:color w:val="FF0000"/>
          <w:kern w:val="0"/>
          <w:sz w:val="22"/>
          <w:highlight w:val="yellow"/>
        </w:rPr>
        <w:t>，</w:t>
      </w:r>
      <w:r w:rsidRPr="00212D57">
        <w:rPr>
          <w:rFonts w:ascii="標楷體" w:eastAsia="標楷體" w:hAnsi="標楷體"/>
          <w:sz w:val="22"/>
          <w:szCs w:val="22"/>
        </w:rPr>
        <w:t>不知外境界，種種皆自心</w:t>
      </w:r>
      <w:r w:rsidR="00A304CD">
        <w:rPr>
          <w:rFonts w:ascii="標楷體" w:eastAsia="標楷體" w:hAnsi="標楷體" w:hint="eastAsia"/>
          <w:color w:val="FF0000"/>
          <w:kern w:val="0"/>
          <w:sz w:val="22"/>
          <w:highlight w:val="yellow"/>
        </w:rPr>
        <w:t>。</w:t>
      </w:r>
      <w:r w:rsidRPr="00212D57">
        <w:rPr>
          <w:rFonts w:ascii="標楷體" w:eastAsia="標楷體" w:hAnsi="標楷體"/>
          <w:b/>
          <w:sz w:val="22"/>
          <w:szCs w:val="22"/>
        </w:rPr>
        <w:t>愚夫以因</w:t>
      </w:r>
      <w:r w:rsidRPr="00713D2A">
        <w:rPr>
          <w:rFonts w:ascii="標楷體" w:eastAsia="標楷體" w:hAnsi="標楷體"/>
          <w:b/>
          <w:sz w:val="22"/>
          <w:szCs w:val="22"/>
          <w:highlight w:val="yellow"/>
        </w:rPr>
        <w:t>喻四</w:t>
      </w:r>
      <w:r w:rsidRPr="00212D57">
        <w:rPr>
          <w:rFonts w:ascii="標楷體" w:eastAsia="標楷體" w:hAnsi="標楷體"/>
          <w:b/>
          <w:sz w:val="22"/>
          <w:szCs w:val="22"/>
        </w:rPr>
        <w:t>句而成立</w:t>
      </w:r>
      <w:r w:rsidR="00A304CD" w:rsidRPr="00A304CD">
        <w:rPr>
          <w:rFonts w:ascii="標楷體" w:eastAsia="標楷體" w:hAnsi="標楷體" w:hint="eastAsia"/>
          <w:b/>
          <w:color w:val="FF0000"/>
          <w:spacing w:val="-4"/>
          <w:kern w:val="0"/>
          <w:sz w:val="22"/>
          <w:highlight w:val="yellow"/>
        </w:rPr>
        <w:t>；</w:t>
      </w:r>
      <w:r w:rsidRPr="00212D57">
        <w:rPr>
          <w:rFonts w:ascii="標楷體" w:eastAsia="標楷體" w:hAnsi="標楷體"/>
          <w:b/>
          <w:sz w:val="22"/>
          <w:szCs w:val="22"/>
        </w:rPr>
        <w:t>智者悉了知，境界自心現</w:t>
      </w:r>
      <w:r w:rsidRPr="00212D57">
        <w:rPr>
          <w:rFonts w:ascii="標楷體" w:eastAsia="標楷體" w:hAnsi="標楷體" w:hint="eastAsia"/>
          <w:b/>
          <w:sz w:val="22"/>
          <w:szCs w:val="22"/>
        </w:rPr>
        <w:t>，</w:t>
      </w:r>
      <w:r w:rsidRPr="00212D57">
        <w:rPr>
          <w:rFonts w:ascii="標楷體" w:eastAsia="標楷體" w:hAnsi="標楷體"/>
          <w:b/>
          <w:sz w:val="22"/>
          <w:szCs w:val="22"/>
        </w:rPr>
        <w:t>不以宗因</w:t>
      </w:r>
      <w:r w:rsidRPr="00713D2A">
        <w:rPr>
          <w:rFonts w:ascii="標楷體" w:eastAsia="標楷體" w:hAnsi="標楷體"/>
          <w:b/>
          <w:sz w:val="22"/>
          <w:szCs w:val="22"/>
          <w:highlight w:val="yellow"/>
        </w:rPr>
        <w:t>喻諸</w:t>
      </w:r>
      <w:r w:rsidRPr="00212D57">
        <w:rPr>
          <w:rFonts w:ascii="標楷體" w:eastAsia="標楷體" w:hAnsi="標楷體"/>
          <w:b/>
          <w:sz w:val="22"/>
          <w:szCs w:val="22"/>
        </w:rPr>
        <w:t>句而成立</w:t>
      </w:r>
      <w:r w:rsidRPr="00212D57">
        <w:rPr>
          <w:rFonts w:ascii="標楷體" w:eastAsia="標楷體" w:hAnsi="標楷體"/>
          <w:sz w:val="22"/>
          <w:szCs w:val="22"/>
        </w:rPr>
        <w:t>。</w:t>
      </w:r>
    </w:p>
    <w:p w:rsidR="00157EF6" w:rsidRPr="00212D57" w:rsidRDefault="00157EF6" w:rsidP="00713D2A">
      <w:pPr>
        <w:pStyle w:val="a5"/>
        <w:ind w:leftChars="105" w:left="79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）另參見</w:t>
      </w:r>
      <w:r w:rsidRPr="00212D57">
        <w:rPr>
          <w:szCs w:val="22"/>
        </w:rPr>
        <w:t>《大乘入楞伽經》</w:t>
      </w:r>
      <w:r w:rsidR="00713D2A" w:rsidRPr="00713D2A">
        <w:rPr>
          <w:rFonts w:hint="eastAsia"/>
          <w:color w:val="FF0000"/>
          <w:szCs w:val="22"/>
          <w:highlight w:val="yellow"/>
        </w:rPr>
        <w:t>卷</w:t>
      </w:r>
      <w:r w:rsidR="00713D2A" w:rsidRPr="00713D2A">
        <w:rPr>
          <w:rFonts w:hint="eastAsia"/>
          <w:color w:val="FF0000"/>
          <w:szCs w:val="22"/>
          <w:highlight w:val="yellow"/>
        </w:rPr>
        <w:t>3</w:t>
      </w:r>
      <w:r w:rsidR="00713D2A" w:rsidRPr="00713D2A">
        <w:rPr>
          <w:rFonts w:hint="eastAsia"/>
          <w:color w:val="FF0000"/>
          <w:szCs w:val="22"/>
          <w:highlight w:val="yellow"/>
        </w:rPr>
        <w:t>〈</w:t>
      </w:r>
      <w:r w:rsidR="00713D2A" w:rsidRPr="00713D2A">
        <w:rPr>
          <w:rFonts w:hint="eastAsia"/>
          <w:color w:val="FF0000"/>
          <w:szCs w:val="22"/>
          <w:highlight w:val="yellow"/>
        </w:rPr>
        <w:t>2</w:t>
      </w:r>
      <w:r w:rsidR="00713D2A" w:rsidRPr="00713D2A">
        <w:rPr>
          <w:rFonts w:hint="eastAsia"/>
          <w:color w:val="FF0000"/>
          <w:szCs w:val="22"/>
          <w:highlight w:val="yellow"/>
        </w:rPr>
        <w:t>集一切法品〉（</w:t>
      </w:r>
      <w:r w:rsidR="00713D2A" w:rsidRPr="00713D2A">
        <w:rPr>
          <w:color w:val="FF0000"/>
          <w:szCs w:val="22"/>
          <w:highlight w:val="yellow"/>
        </w:rPr>
        <w:t>大正</w:t>
      </w:r>
      <w:r w:rsidR="00713D2A" w:rsidRPr="00713D2A">
        <w:rPr>
          <w:color w:val="FF0000"/>
          <w:szCs w:val="22"/>
          <w:highlight w:val="yellow"/>
        </w:rPr>
        <w:t>16</w:t>
      </w:r>
      <w:r w:rsidR="00713D2A" w:rsidRPr="00713D2A">
        <w:rPr>
          <w:color w:val="FF0000"/>
          <w:szCs w:val="22"/>
          <w:highlight w:val="yellow"/>
        </w:rPr>
        <w:t>，</w:t>
      </w:r>
      <w:r w:rsidR="00713D2A" w:rsidRPr="00713D2A">
        <w:rPr>
          <w:rFonts w:hint="eastAsia"/>
          <w:color w:val="FF0000"/>
          <w:szCs w:val="22"/>
          <w:highlight w:val="yellow"/>
        </w:rPr>
        <w:t>605b14-18</w:t>
      </w:r>
      <w:r w:rsidR="00713D2A" w:rsidRPr="00713D2A">
        <w:rPr>
          <w:rFonts w:hint="eastAsia"/>
          <w:color w:val="FF0000"/>
          <w:szCs w:val="22"/>
          <w:highlight w:val="yellow"/>
        </w:rPr>
        <w:t>）、</w:t>
      </w:r>
      <w:r w:rsidRPr="00713D2A">
        <w:rPr>
          <w:szCs w:val="22"/>
        </w:rPr>
        <w:t>卷</w:t>
      </w:r>
      <w:r w:rsidRPr="00713D2A">
        <w:rPr>
          <w:szCs w:val="22"/>
        </w:rPr>
        <w:t>4</w:t>
      </w:r>
      <w:r w:rsidRPr="00713D2A">
        <w:rPr>
          <w:rFonts w:hint="eastAsia"/>
          <w:szCs w:val="22"/>
        </w:rPr>
        <w:t>〈</w:t>
      </w:r>
      <w:r w:rsidRPr="00713D2A">
        <w:rPr>
          <w:rFonts w:hint="eastAsia"/>
          <w:szCs w:val="22"/>
        </w:rPr>
        <w:t xml:space="preserve">3 </w:t>
      </w:r>
      <w:r w:rsidRPr="00713D2A">
        <w:rPr>
          <w:rFonts w:hint="eastAsia"/>
          <w:szCs w:val="22"/>
        </w:rPr>
        <w:t>無常品〉（</w:t>
      </w:r>
      <w:r w:rsidRPr="00212D57">
        <w:rPr>
          <w:szCs w:val="22"/>
        </w:rPr>
        <w:t>大正</w:t>
      </w:r>
      <w:r w:rsidRPr="00761EF3">
        <w:rPr>
          <w:szCs w:val="22"/>
        </w:rPr>
        <w:t>16</w:t>
      </w:r>
      <w:r w:rsidRPr="00212D57">
        <w:rPr>
          <w:szCs w:val="22"/>
        </w:rPr>
        <w:t>，</w:t>
      </w:r>
      <w:r w:rsidRPr="00761EF3">
        <w:rPr>
          <w:szCs w:val="22"/>
        </w:rPr>
        <w:t>612b29</w:t>
      </w:r>
      <w:r w:rsidRPr="00212D57">
        <w:rPr>
          <w:rFonts w:hint="eastAsia"/>
          <w:szCs w:val="22"/>
        </w:rPr>
        <w:t>-</w:t>
      </w:r>
      <w:r w:rsidRPr="00761EF3">
        <w:rPr>
          <w:szCs w:val="22"/>
        </w:rPr>
        <w:t>c11</w:t>
      </w:r>
      <w:r w:rsidRPr="00212D57">
        <w:rPr>
          <w:rFonts w:hint="eastAsia"/>
          <w:szCs w:val="22"/>
        </w:rPr>
        <w:t>）</w:t>
      </w:r>
      <w:r w:rsidRPr="00212D57">
        <w:rPr>
          <w:szCs w:val="22"/>
        </w:rPr>
        <w:t>。</w:t>
      </w:r>
    </w:p>
  </w:footnote>
  <w:footnote w:id="286">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212D57">
        <w:rPr>
          <w:szCs w:val="22"/>
        </w:rPr>
        <w:t>《中論》卷</w:t>
      </w:r>
      <w:r w:rsidRPr="00761EF3">
        <w:rPr>
          <w:szCs w:val="22"/>
        </w:rPr>
        <w:t>1</w:t>
      </w:r>
      <w:r w:rsidRPr="00212D57">
        <w:rPr>
          <w:szCs w:val="22"/>
        </w:rPr>
        <w:t>〈</w:t>
      </w:r>
      <w:r w:rsidRPr="00761EF3">
        <w:rPr>
          <w:szCs w:val="22"/>
        </w:rPr>
        <w:t>4</w:t>
      </w:r>
      <w:r w:rsidRPr="00212D57">
        <w:rPr>
          <w:szCs w:val="22"/>
        </w:rPr>
        <w:t xml:space="preserve"> </w:t>
      </w:r>
      <w:r w:rsidRPr="00212D57">
        <w:rPr>
          <w:szCs w:val="22"/>
        </w:rPr>
        <w:t>觀五陰品〉</w:t>
      </w:r>
      <w:r w:rsidRPr="00212D57">
        <w:rPr>
          <w:rFonts w:hint="eastAsia"/>
          <w:szCs w:val="22"/>
        </w:rPr>
        <w:t>（</w:t>
      </w:r>
      <w:r w:rsidRPr="00212D57">
        <w:rPr>
          <w:szCs w:val="22"/>
        </w:rPr>
        <w:t>大正</w:t>
      </w:r>
      <w:r w:rsidRPr="00761EF3">
        <w:rPr>
          <w:szCs w:val="22"/>
        </w:rPr>
        <w:t>30</w:t>
      </w:r>
      <w:r w:rsidRPr="00212D57">
        <w:rPr>
          <w:szCs w:val="22"/>
        </w:rPr>
        <w:t>，</w:t>
      </w:r>
      <w:r w:rsidRPr="00761EF3">
        <w:rPr>
          <w:szCs w:val="22"/>
        </w:rPr>
        <w:t>7a17</w:t>
      </w:r>
      <w:r w:rsidRPr="00212D57">
        <w:rPr>
          <w:rFonts w:hint="eastAsia"/>
          <w:szCs w:val="22"/>
        </w:rPr>
        <w:t>-</w:t>
      </w:r>
      <w:r w:rsidRPr="00761EF3">
        <w:rPr>
          <w:szCs w:val="22"/>
        </w:rPr>
        <w:t>20</w:t>
      </w:r>
      <w:r w:rsidRPr="00212D57">
        <w:rPr>
          <w:rFonts w:hint="eastAsia"/>
          <w:szCs w:val="22"/>
        </w:rPr>
        <w:t>）。</w:t>
      </w:r>
    </w:p>
    <w:p w:rsidR="00157EF6" w:rsidRPr="00212D57" w:rsidRDefault="00157EF6" w:rsidP="002B682F">
      <w:pPr>
        <w:pStyle w:val="a5"/>
        <w:ind w:leftChars="105" w:left="79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）印順法師，《中觀論頌講記》，</w:t>
      </w:r>
      <w:r w:rsidRPr="00761EF3">
        <w:rPr>
          <w:rFonts w:hint="eastAsia"/>
          <w:szCs w:val="22"/>
        </w:rPr>
        <w:t>p</w:t>
      </w:r>
      <w:r w:rsidRPr="00212D57">
        <w:rPr>
          <w:rFonts w:hint="eastAsia"/>
          <w:szCs w:val="22"/>
        </w:rPr>
        <w:t>.</w:t>
      </w:r>
      <w:r w:rsidRPr="00761EF3">
        <w:rPr>
          <w:rFonts w:hint="eastAsia"/>
          <w:szCs w:val="22"/>
        </w:rPr>
        <w:t>119</w:t>
      </w:r>
      <w:r w:rsidRPr="00212D57">
        <w:rPr>
          <w:rFonts w:hint="eastAsia"/>
          <w:szCs w:val="22"/>
        </w:rPr>
        <w:t>：</w:t>
      </w:r>
    </w:p>
    <w:p w:rsidR="00157EF6" w:rsidRPr="00212D57" w:rsidRDefault="00157EF6" w:rsidP="002B682F">
      <w:pPr>
        <w:pStyle w:val="a5"/>
        <w:ind w:leftChars="335" w:left="804"/>
        <w:jc w:val="both"/>
        <w:rPr>
          <w:rFonts w:ascii="標楷體" w:eastAsia="標楷體" w:hAnsi="標楷體"/>
          <w:szCs w:val="22"/>
        </w:rPr>
      </w:pPr>
      <w:r w:rsidRPr="00212D57">
        <w:rPr>
          <w:rFonts w:ascii="標楷體" w:eastAsia="標楷體" w:hAnsi="標楷體" w:hint="eastAsia"/>
          <w:szCs w:val="22"/>
        </w:rPr>
        <w:t>比方有人向你討論或請問，諸法的現象或實體，假使你不理解空，離卻空義去答覆他，這絕對不能成為答覆的。因為你所答覆的道理，最後還是同他一樣的墮在疑惑當中，不能得到問題的解決。或者，有人想難問其他學派的理論，說他的思想如何錯誤，這也須依據正確的性空觀，顯出他的過失。否則，離卻正確的性空，宣說他人的過謬，這還是不成為難問的，因為他所批評的，並沒有評到他的根本，結果，也還是同他一樣的墮在疑惑裡。第一頌是立不成立的似立，第二頌是破不成破的似破。</w:t>
      </w:r>
    </w:p>
  </w:footnote>
  <w:footnote w:id="287">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印順法師，</w:t>
      </w:r>
      <w:r w:rsidRPr="00212D57">
        <w:rPr>
          <w:szCs w:val="22"/>
        </w:rPr>
        <w:t>《印度佛教思想史》</w:t>
      </w:r>
      <w:r w:rsidRPr="00212D57">
        <w:rPr>
          <w:rFonts w:hint="eastAsia"/>
          <w:szCs w:val="22"/>
        </w:rPr>
        <w:t>，</w:t>
      </w:r>
      <w:r w:rsidRPr="00761EF3">
        <w:rPr>
          <w:szCs w:val="22"/>
        </w:rPr>
        <w:t>p</w:t>
      </w:r>
      <w:r w:rsidRPr="00212D57">
        <w:rPr>
          <w:szCs w:val="22"/>
        </w:rPr>
        <w:t>.</w:t>
      </w:r>
      <w:r w:rsidRPr="00761EF3">
        <w:rPr>
          <w:szCs w:val="22"/>
        </w:rPr>
        <w:t>354</w:t>
      </w:r>
      <w:r w:rsidRPr="00212D57">
        <w:rPr>
          <w:szCs w:val="22"/>
        </w:rPr>
        <w:t>：</w:t>
      </w:r>
    </w:p>
    <w:p w:rsidR="00157EF6" w:rsidRPr="00212D57" w:rsidRDefault="00157EF6" w:rsidP="002B682F">
      <w:pPr>
        <w:pStyle w:val="a5"/>
        <w:ind w:leftChars="105" w:left="252"/>
        <w:jc w:val="both"/>
        <w:rPr>
          <w:rFonts w:ascii="標楷體" w:eastAsia="標楷體" w:hAnsi="標楷體"/>
          <w:szCs w:val="22"/>
        </w:rPr>
      </w:pPr>
      <w:r w:rsidRPr="00212D57">
        <w:rPr>
          <w:rFonts w:ascii="標楷體" w:eastAsia="標楷體" w:hAnsi="標楷體"/>
          <w:szCs w:val="22"/>
        </w:rPr>
        <w:t>陳那在「宗過」中，有「決定相違」：如甲方以三支比量，成立自宗；乙方也成立一比量，與甲方的立義相反，而比量的三支卻都沒有過失。這就成了立敵雙方對立，相持不下的局面，名「相違決定」。「</w:t>
      </w:r>
      <w:r w:rsidRPr="00212D57">
        <w:rPr>
          <w:rFonts w:ascii="標楷體" w:eastAsia="標楷體" w:hAnsi="標楷體"/>
          <w:b/>
          <w:szCs w:val="22"/>
        </w:rPr>
        <w:t>相違決定</w:t>
      </w:r>
      <w:r w:rsidRPr="00212D57">
        <w:rPr>
          <w:rFonts w:ascii="標楷體" w:eastAsia="標楷體" w:hAnsi="標楷體"/>
          <w:szCs w:val="22"/>
        </w:rPr>
        <w:t>」，近於西方邏輯中的「二律背反」。</w:t>
      </w:r>
    </w:p>
  </w:footnote>
  <w:footnote w:id="288">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szCs w:val="22"/>
        </w:rPr>
        <w:t xml:space="preserve"> </w:t>
      </w:r>
      <w:r w:rsidRPr="00212D57">
        <w:rPr>
          <w:szCs w:val="22"/>
        </w:rPr>
        <w:t>傅偉勳</w:t>
      </w:r>
      <w:r w:rsidRPr="00212D57">
        <w:rPr>
          <w:rFonts w:hint="eastAsia"/>
          <w:szCs w:val="22"/>
        </w:rPr>
        <w:t>，</w:t>
      </w:r>
      <w:r w:rsidRPr="00212D57">
        <w:rPr>
          <w:szCs w:val="22"/>
        </w:rPr>
        <w:t>《西洋哲學史》</w:t>
      </w:r>
      <w:r w:rsidRPr="00212D57">
        <w:rPr>
          <w:rFonts w:hint="eastAsia"/>
          <w:szCs w:val="22"/>
        </w:rPr>
        <w:t>，台北市：三民書局，</w:t>
      </w:r>
      <w:r w:rsidRPr="00761EF3">
        <w:rPr>
          <w:rFonts w:hint="eastAsia"/>
          <w:szCs w:val="22"/>
        </w:rPr>
        <w:t>1996</w:t>
      </w:r>
      <w:r w:rsidRPr="00212D57">
        <w:rPr>
          <w:rFonts w:hint="eastAsia"/>
          <w:szCs w:val="22"/>
        </w:rPr>
        <w:t>年，</w:t>
      </w:r>
      <w:r w:rsidRPr="00761EF3">
        <w:rPr>
          <w:szCs w:val="22"/>
        </w:rPr>
        <w:t>pp</w:t>
      </w:r>
      <w:r w:rsidRPr="00212D57">
        <w:rPr>
          <w:szCs w:val="22"/>
        </w:rPr>
        <w:t>.</w:t>
      </w:r>
      <w:r w:rsidRPr="00761EF3">
        <w:rPr>
          <w:szCs w:val="22"/>
        </w:rPr>
        <w:t>402</w:t>
      </w:r>
      <w:r w:rsidRPr="00212D57">
        <w:rPr>
          <w:szCs w:val="22"/>
        </w:rPr>
        <w:t>-</w:t>
      </w:r>
      <w:r w:rsidRPr="00761EF3">
        <w:rPr>
          <w:szCs w:val="22"/>
        </w:rPr>
        <w:t>403</w:t>
      </w:r>
      <w:r w:rsidRPr="00212D57">
        <w:rPr>
          <w:szCs w:val="22"/>
        </w:rPr>
        <w:t>：</w:t>
      </w:r>
    </w:p>
    <w:p w:rsidR="00157EF6" w:rsidRPr="00212D57" w:rsidRDefault="00157EF6" w:rsidP="002B682F">
      <w:pPr>
        <w:pStyle w:val="a5"/>
        <w:ind w:leftChars="105" w:left="252"/>
        <w:jc w:val="both"/>
        <w:rPr>
          <w:rFonts w:eastAsia="標楷體"/>
          <w:szCs w:val="22"/>
        </w:rPr>
      </w:pPr>
      <w:r w:rsidRPr="00212D57">
        <w:rPr>
          <w:rFonts w:eastAsia="標楷體"/>
          <w:szCs w:val="22"/>
        </w:rPr>
        <w:t>康德藉用四分法提出四組所謂純粹理性的「二律背反」（</w:t>
      </w:r>
      <w:r w:rsidRPr="00761EF3">
        <w:rPr>
          <w:rFonts w:eastAsia="標楷體" w:hint="eastAsia"/>
          <w:szCs w:val="22"/>
        </w:rPr>
        <w:t>a</w:t>
      </w:r>
      <w:r w:rsidRPr="00761EF3">
        <w:rPr>
          <w:rFonts w:eastAsia="標楷體"/>
          <w:szCs w:val="22"/>
        </w:rPr>
        <w:t>ntinomie</w:t>
      </w:r>
      <w:r w:rsidRPr="00212D57">
        <w:rPr>
          <w:rFonts w:eastAsia="標楷體"/>
          <w:szCs w:val="22"/>
        </w:rPr>
        <w:t>）或即「正反兩論」。</w:t>
      </w:r>
    </w:p>
    <w:p w:rsidR="00157EF6" w:rsidRPr="00212D57" w:rsidRDefault="00157EF6" w:rsidP="002B682F">
      <w:pPr>
        <w:pStyle w:val="a5"/>
        <w:ind w:leftChars="105" w:left="802" w:hangingChars="250" w:hanging="550"/>
        <w:jc w:val="both"/>
        <w:rPr>
          <w:rFonts w:eastAsia="標楷體"/>
          <w:szCs w:val="22"/>
        </w:rPr>
      </w:pPr>
      <w:r w:rsidRPr="00212D57">
        <w:rPr>
          <w:rFonts w:eastAsia="標楷體"/>
          <w:szCs w:val="22"/>
        </w:rPr>
        <w:t>（</w:t>
      </w:r>
      <w:r w:rsidRPr="00761EF3">
        <w:rPr>
          <w:rFonts w:eastAsia="標楷體"/>
          <w:szCs w:val="22"/>
        </w:rPr>
        <w:t>1</w:t>
      </w:r>
      <w:r w:rsidRPr="00212D57">
        <w:rPr>
          <w:rFonts w:eastAsia="標楷體"/>
          <w:szCs w:val="22"/>
        </w:rPr>
        <w:t>）就分量方面言，可有兩論對立：世界在時間上有其始源，在空間上則是有限（正論）；世界在時間上是無始無限，在空間上亦是無有限制（反論）。</w:t>
      </w:r>
    </w:p>
    <w:p w:rsidR="00157EF6" w:rsidRPr="00212D57" w:rsidRDefault="00157EF6" w:rsidP="002B682F">
      <w:pPr>
        <w:pStyle w:val="a5"/>
        <w:ind w:leftChars="105" w:left="802" w:hangingChars="250" w:hanging="550"/>
        <w:jc w:val="both"/>
        <w:rPr>
          <w:rFonts w:eastAsia="標楷體"/>
          <w:szCs w:val="22"/>
        </w:rPr>
      </w:pPr>
      <w:r w:rsidRPr="00212D57">
        <w:rPr>
          <w:rFonts w:eastAsia="標楷體"/>
          <w:szCs w:val="22"/>
        </w:rPr>
        <w:t>（</w:t>
      </w:r>
      <w:r w:rsidRPr="00761EF3">
        <w:rPr>
          <w:rFonts w:eastAsia="標楷體"/>
          <w:szCs w:val="22"/>
        </w:rPr>
        <w:t>2</w:t>
      </w:r>
      <w:r w:rsidRPr="00212D57">
        <w:rPr>
          <w:rFonts w:eastAsia="標楷體"/>
          <w:szCs w:val="22"/>
        </w:rPr>
        <w:t>）就性質方面言，可有兩論對立：世界的一切（複合）事物乃由不可再分的極微（原子）構成（正論）；世界的一切事物非由極微（原子）構成，世界（內之事物）可以無限地分割（反論）。</w:t>
      </w:r>
    </w:p>
    <w:p w:rsidR="00157EF6" w:rsidRPr="00212D57" w:rsidRDefault="00157EF6" w:rsidP="002B682F">
      <w:pPr>
        <w:pStyle w:val="a5"/>
        <w:ind w:leftChars="105" w:left="802" w:hangingChars="250" w:hanging="550"/>
        <w:jc w:val="both"/>
        <w:rPr>
          <w:rFonts w:eastAsia="標楷體"/>
          <w:szCs w:val="22"/>
        </w:rPr>
      </w:pPr>
      <w:r w:rsidRPr="00212D57">
        <w:rPr>
          <w:rFonts w:eastAsia="標楷體"/>
          <w:szCs w:val="22"/>
        </w:rPr>
        <w:t>（</w:t>
      </w:r>
      <w:r w:rsidRPr="00761EF3">
        <w:rPr>
          <w:rFonts w:eastAsia="標楷體"/>
          <w:szCs w:val="22"/>
        </w:rPr>
        <w:t>3</w:t>
      </w:r>
      <w:r w:rsidRPr="00212D57">
        <w:rPr>
          <w:rFonts w:eastAsia="標楷體"/>
          <w:szCs w:val="22"/>
        </w:rPr>
        <w:t>）就關係方面言，可有兩論對立：在世界之中除了機械因果律之外必有另一無制約的自由原因（正論）；世界的一切事物皆依自然本身的因果律生滅變化，無有例外，亦無任何所謂自由當做原因（反論）。</w:t>
      </w:r>
    </w:p>
    <w:p w:rsidR="00157EF6" w:rsidRPr="00212D57" w:rsidRDefault="00157EF6" w:rsidP="002B682F">
      <w:pPr>
        <w:pStyle w:val="a5"/>
        <w:ind w:leftChars="105" w:left="802" w:hangingChars="250" w:hanging="550"/>
        <w:jc w:val="both"/>
        <w:rPr>
          <w:rFonts w:eastAsia="標楷體"/>
          <w:szCs w:val="22"/>
        </w:rPr>
      </w:pPr>
      <w:r w:rsidRPr="00212D57">
        <w:rPr>
          <w:rFonts w:eastAsia="標楷體"/>
          <w:szCs w:val="22"/>
        </w:rPr>
        <w:t>（</w:t>
      </w:r>
      <w:r w:rsidRPr="00761EF3">
        <w:rPr>
          <w:rFonts w:eastAsia="標楷體"/>
          <w:szCs w:val="22"/>
        </w:rPr>
        <w:t>4</w:t>
      </w:r>
      <w:r w:rsidRPr="00212D57">
        <w:rPr>
          <w:rFonts w:eastAsia="標楷體"/>
          <w:szCs w:val="22"/>
        </w:rPr>
        <w:t>）就樣態方面言，可有兩論對立：在世界中有不受制的絕對的必然者存在，或為世界之部份，抑為世界之原因（正論）；在世界中決無對立必然者存在，亦不可能存於世界之外，而為世界之原因（反論）。</w:t>
      </w:r>
    </w:p>
    <w:p w:rsidR="00157EF6" w:rsidRPr="00212D57" w:rsidRDefault="00157EF6" w:rsidP="002B682F">
      <w:pPr>
        <w:pStyle w:val="a5"/>
        <w:ind w:leftChars="105" w:left="252"/>
        <w:jc w:val="both"/>
        <w:rPr>
          <w:rFonts w:eastAsia="標楷體"/>
          <w:szCs w:val="22"/>
        </w:rPr>
      </w:pPr>
      <w:r w:rsidRPr="00212D57">
        <w:rPr>
          <w:rFonts w:eastAsia="標楷體"/>
          <w:szCs w:val="22"/>
        </w:rPr>
        <w:t>以上四組二律背反，大致地說形上學家主張正論之為是，經驗論者或一般科學家則以反論為是。如果單獨討論正論或反論，各有各的見地。康德稱呼前二組為「數學的二律背反」，正反兩論在邏輯上不許兩立，因為兩者同時涉及經驗世界整體之故。他稱後二組為「力學的二律背反」，正反兩論可以兩立，因為兩者關涉不同的世界；正論關涉超感性的世界，反論者則只關涉經驗世界的整體。</w:t>
      </w:r>
    </w:p>
  </w:footnote>
  <w:footnote w:id="289">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）《中論》卷</w:t>
      </w:r>
      <w:r w:rsidRPr="00761EF3">
        <w:rPr>
          <w:szCs w:val="22"/>
        </w:rPr>
        <w:t>4</w:t>
      </w:r>
      <w:r w:rsidRPr="00212D57">
        <w:rPr>
          <w:szCs w:val="22"/>
        </w:rPr>
        <w:t>〈</w:t>
      </w:r>
      <w:r w:rsidRPr="00761EF3">
        <w:rPr>
          <w:szCs w:val="22"/>
        </w:rPr>
        <w:t>24</w:t>
      </w:r>
      <w:r w:rsidRPr="00212D57">
        <w:rPr>
          <w:szCs w:val="22"/>
        </w:rPr>
        <w:t xml:space="preserve"> </w:t>
      </w:r>
      <w:r w:rsidRPr="00212D57">
        <w:rPr>
          <w:szCs w:val="22"/>
        </w:rPr>
        <w:t>觀四諦品〉</w:t>
      </w:r>
      <w:r w:rsidR="006B3827" w:rsidRPr="00212D57">
        <w:rPr>
          <w:szCs w:val="22"/>
        </w:rPr>
        <w:t>（大正</w:t>
      </w:r>
      <w:r w:rsidR="006B3827" w:rsidRPr="00761EF3">
        <w:rPr>
          <w:szCs w:val="22"/>
        </w:rPr>
        <w:t>30</w:t>
      </w:r>
      <w:r w:rsidR="006B3827" w:rsidRPr="00212D57">
        <w:rPr>
          <w:szCs w:val="22"/>
        </w:rPr>
        <w:t>，</w:t>
      </w:r>
      <w:r w:rsidR="006B3827" w:rsidRPr="00761EF3">
        <w:rPr>
          <w:szCs w:val="22"/>
        </w:rPr>
        <w:t>33a22</w:t>
      </w:r>
      <w:r w:rsidR="006B3827" w:rsidRPr="00212D57">
        <w:rPr>
          <w:szCs w:val="22"/>
        </w:rPr>
        <w:t>-</w:t>
      </w:r>
      <w:r w:rsidR="006B3827" w:rsidRPr="00761EF3">
        <w:rPr>
          <w:szCs w:val="22"/>
        </w:rPr>
        <w:t>23</w:t>
      </w:r>
      <w:r w:rsidR="006B3827" w:rsidRPr="00212D57">
        <w:rPr>
          <w:szCs w:val="22"/>
        </w:rPr>
        <w:t>）</w:t>
      </w:r>
      <w:r w:rsidRPr="00212D57">
        <w:rPr>
          <w:szCs w:val="22"/>
        </w:rPr>
        <w:t>：「</w:t>
      </w:r>
      <w:r w:rsidRPr="00212D57">
        <w:rPr>
          <w:rFonts w:eastAsia="標楷體"/>
          <w:szCs w:val="22"/>
        </w:rPr>
        <w:t>以有空義故，一切法得成；若無空義者，一切則不成。</w:t>
      </w:r>
      <w:r w:rsidRPr="00212D57">
        <w:rPr>
          <w:szCs w:val="22"/>
        </w:rPr>
        <w:t>」</w:t>
      </w:r>
    </w:p>
    <w:p w:rsidR="00157EF6" w:rsidRPr="00212D57" w:rsidRDefault="00157EF6" w:rsidP="002B682F">
      <w:pPr>
        <w:pStyle w:val="a5"/>
        <w:ind w:leftChars="105" w:left="791" w:hangingChars="245" w:hanging="539"/>
        <w:jc w:val="both"/>
        <w:rPr>
          <w:szCs w:val="22"/>
        </w:rPr>
      </w:pPr>
      <w:r w:rsidRPr="00212D57">
        <w:rPr>
          <w:szCs w:val="22"/>
        </w:rPr>
        <w:t>（</w:t>
      </w:r>
      <w:r w:rsidRPr="00761EF3">
        <w:rPr>
          <w:szCs w:val="22"/>
        </w:rPr>
        <w:t>2</w:t>
      </w:r>
      <w:r w:rsidRPr="00212D57">
        <w:rPr>
          <w:szCs w:val="22"/>
        </w:rPr>
        <w:t>）</w:t>
      </w:r>
      <w:r>
        <w:rPr>
          <w:szCs w:val="22"/>
        </w:rPr>
        <w:t>印順法師，</w:t>
      </w:r>
      <w:r w:rsidRPr="00212D57">
        <w:rPr>
          <w:szCs w:val="22"/>
        </w:rPr>
        <w:t>《中觀論頌講記》</w:t>
      </w:r>
      <w:r w:rsidRPr="00212D57">
        <w:rPr>
          <w:rFonts w:hint="eastAsia"/>
          <w:szCs w:val="22"/>
        </w:rPr>
        <w:t>，</w:t>
      </w:r>
      <w:r w:rsidRPr="00761EF3">
        <w:rPr>
          <w:szCs w:val="22"/>
        </w:rPr>
        <w:t>pp</w:t>
      </w:r>
      <w:r w:rsidRPr="00212D57">
        <w:rPr>
          <w:szCs w:val="22"/>
        </w:rPr>
        <w:t>.</w:t>
      </w:r>
      <w:r w:rsidRPr="00761EF3">
        <w:rPr>
          <w:szCs w:val="22"/>
        </w:rPr>
        <w:t>458</w:t>
      </w:r>
      <w:r w:rsidRPr="00212D57">
        <w:rPr>
          <w:szCs w:val="22"/>
        </w:rPr>
        <w:t>-</w:t>
      </w:r>
      <w:r w:rsidRPr="00761EF3">
        <w:rPr>
          <w:szCs w:val="22"/>
        </w:rPr>
        <w:t>459</w:t>
      </w:r>
      <w:r w:rsidRPr="00212D57">
        <w:rPr>
          <w:szCs w:val="22"/>
        </w:rPr>
        <w:t>：</w:t>
      </w:r>
    </w:p>
    <w:p w:rsidR="00157EF6" w:rsidRPr="00212D57" w:rsidRDefault="00157EF6" w:rsidP="002B682F">
      <w:pPr>
        <w:snapToGrid w:val="0"/>
        <w:ind w:leftChars="335" w:left="804"/>
        <w:jc w:val="both"/>
        <w:rPr>
          <w:rFonts w:ascii="Times New Roman" w:eastAsia="標楷體" w:hAnsi="Times New Roman"/>
          <w:sz w:val="22"/>
          <w:szCs w:val="22"/>
        </w:rPr>
      </w:pPr>
      <w:r w:rsidRPr="00212D57">
        <w:rPr>
          <w:rFonts w:ascii="Times New Roman" w:eastAsia="標楷體" w:hAnsi="Times New Roman"/>
          <w:b/>
          <w:sz w:val="22"/>
          <w:szCs w:val="22"/>
        </w:rPr>
        <w:t>空是無自性義，世間的一切，都是相依相待，一切是關係的存在</w:t>
      </w:r>
      <w:r w:rsidRPr="00212D57">
        <w:rPr>
          <w:rFonts w:ascii="Times New Roman" w:eastAsia="標楷體" w:hAnsi="Times New Roman"/>
          <w:sz w:val="22"/>
          <w:szCs w:val="22"/>
        </w:rPr>
        <w:t>。因緣生法，所以是空的；空的，所以才有因緣有而不是自性有。如明白空是無自性義，是勝義無自性，而不是世俗無緣起，即能知由空成立一切了。</w:t>
      </w:r>
    </w:p>
    <w:p w:rsidR="00157EF6" w:rsidRPr="00212D57" w:rsidRDefault="00157EF6" w:rsidP="002B682F">
      <w:pPr>
        <w:snapToGrid w:val="0"/>
        <w:ind w:leftChars="335" w:left="804"/>
        <w:jc w:val="both"/>
        <w:rPr>
          <w:rFonts w:ascii="Times New Roman" w:eastAsia="標楷體" w:hAnsi="Times New Roman"/>
          <w:sz w:val="22"/>
          <w:szCs w:val="22"/>
        </w:rPr>
      </w:pPr>
      <w:r w:rsidRPr="00212D57">
        <w:rPr>
          <w:rFonts w:ascii="Times New Roman" w:eastAsia="標楷體" w:hAnsi="Times New Roman"/>
          <w:sz w:val="22"/>
          <w:szCs w:val="22"/>
        </w:rPr>
        <w:t>但有見深厚的人，總覺得諸法無自性空，不能成立一切，多少要有點實在性，才可以搭起空架來。如一切是空，因果間沒有絲毫的自性，為什麼會有因果法則？為什麼會有種種差別？</w:t>
      </w:r>
    </w:p>
    <w:p w:rsidR="00157EF6" w:rsidRPr="00212D57" w:rsidRDefault="00157EF6" w:rsidP="002B682F">
      <w:pPr>
        <w:snapToGrid w:val="0"/>
        <w:ind w:leftChars="335" w:left="804"/>
        <w:jc w:val="both"/>
        <w:rPr>
          <w:rFonts w:ascii="Times New Roman" w:hAnsi="Times New Roman"/>
          <w:sz w:val="22"/>
          <w:szCs w:val="22"/>
        </w:rPr>
      </w:pPr>
      <w:r w:rsidRPr="00212D57">
        <w:rPr>
          <w:rFonts w:ascii="Times New Roman" w:eastAsia="標楷體" w:hAnsi="Times New Roman"/>
          <w:sz w:val="22"/>
          <w:szCs w:val="22"/>
        </w:rPr>
        <w:t>這仍是落於自性見，有見根深確是不易了解真空的。</w:t>
      </w:r>
      <w:r w:rsidRPr="00212D57">
        <w:rPr>
          <w:rFonts w:ascii="Times New Roman" w:eastAsia="標楷體" w:hAnsi="Times New Roman"/>
          <w:b/>
          <w:sz w:val="22"/>
          <w:szCs w:val="22"/>
        </w:rPr>
        <w:t>空是無自性，一切因緣生法，因果法則，無不是無自性的。雖然世俗法都是虛妄的，錯亂的，但錯亂中也有他的條理和必然的法則。所以我們見了相對安立的事相理則，以為一切都是有條不紊，不錯不亂，必有他的真實性。不知境幻心也幻，幻幻之間，卻成為世俗的真實。</w:t>
      </w:r>
      <w:r w:rsidRPr="00212D57">
        <w:rPr>
          <w:rFonts w:ascii="Times New Roman" w:eastAsia="標楷體" w:hAnsi="Times New Roman"/>
          <w:sz w:val="22"/>
          <w:szCs w:val="22"/>
        </w:rPr>
        <w:t>如有一丈寬的大路，離遠了去看，就好像路愈遠愈小；這是錯亂。可是你到那裡，用尺一量，不寬不狹，剛剛還是一丈。如把尺放在那邊，走回來再看，路還是小小的，尺也縮得短短的。看來，路已狹了，尺已短了，但還是一丈。所以能量（尺）</w:t>
      </w:r>
      <w:r w:rsidRPr="00212D57">
        <w:rPr>
          <w:rFonts w:ascii="Times New Roman" w:eastAsia="標楷體" w:hAnsi="Times New Roman" w:hint="eastAsia"/>
          <w:sz w:val="22"/>
          <w:szCs w:val="22"/>
        </w:rPr>
        <w:t>、</w:t>
      </w:r>
      <w:r w:rsidRPr="00212D57">
        <w:rPr>
          <w:rFonts w:ascii="Times New Roman" w:eastAsia="標楷體" w:hAnsi="Times New Roman"/>
          <w:sz w:val="22"/>
          <w:szCs w:val="22"/>
        </w:rPr>
        <w:t>所量（路），在因緣下而如幻的幻現；但其間能成立安定的法則與關係的不錯亂。</w:t>
      </w:r>
      <w:r w:rsidRPr="00212D57">
        <w:rPr>
          <w:rFonts w:ascii="Times New Roman" w:eastAsia="標楷體" w:hAnsi="Times New Roman"/>
          <w:b/>
          <w:sz w:val="22"/>
          <w:szCs w:val="22"/>
        </w:rPr>
        <w:t>一切如幻，是可以成立世出世間因果的。我們說空，即是緣起的；緣起的必然表現出相待的特性，相待即是種種的。</w:t>
      </w:r>
    </w:p>
  </w:footnote>
  <w:footnote w:id="290">
    <w:p w:rsidR="00157EF6" w:rsidRPr="00212D57" w:rsidRDefault="00157EF6" w:rsidP="009E0A5A">
      <w:pPr>
        <w:pStyle w:val="a5"/>
        <w:ind w:left="187" w:hangingChars="85" w:hanging="187"/>
        <w:jc w:val="both"/>
        <w:rPr>
          <w:szCs w:val="22"/>
        </w:rPr>
      </w:pPr>
      <w:r w:rsidRPr="00212D57">
        <w:rPr>
          <w:rStyle w:val="a6"/>
          <w:szCs w:val="22"/>
        </w:rPr>
        <w:footnoteRef/>
      </w:r>
      <w:r w:rsidRPr="00212D57">
        <w:rPr>
          <w:szCs w:val="22"/>
        </w:rPr>
        <w:t xml:space="preserve"> </w:t>
      </w:r>
      <w:r w:rsidRPr="00212D57">
        <w:rPr>
          <w:rFonts w:hint="eastAsia"/>
          <w:szCs w:val="22"/>
        </w:rPr>
        <w:t>參見</w:t>
      </w:r>
      <w:r w:rsidR="006C4E94">
        <w:rPr>
          <w:rFonts w:hint="eastAsia"/>
          <w:szCs w:val="22"/>
        </w:rPr>
        <w:t>：</w:t>
      </w:r>
      <w:r w:rsidRPr="00212D57">
        <w:rPr>
          <w:rFonts w:hint="eastAsia"/>
          <w:szCs w:val="22"/>
        </w:rPr>
        <w:t>印順法師，《中觀今論》，第</w:t>
      </w:r>
      <w:r w:rsidRPr="00761EF3">
        <w:rPr>
          <w:szCs w:val="22"/>
        </w:rPr>
        <w:t>1</w:t>
      </w:r>
      <w:r w:rsidRPr="00212D57">
        <w:rPr>
          <w:rFonts w:hint="eastAsia"/>
          <w:szCs w:val="22"/>
        </w:rPr>
        <w:t>章，第</w:t>
      </w:r>
      <w:r w:rsidRPr="00761EF3">
        <w:rPr>
          <w:szCs w:val="22"/>
        </w:rPr>
        <w:t>2</w:t>
      </w:r>
      <w:r w:rsidRPr="00212D57">
        <w:rPr>
          <w:rFonts w:hint="eastAsia"/>
          <w:szCs w:val="22"/>
        </w:rPr>
        <w:t>節〈中道之意義〉，</w:t>
      </w:r>
      <w:r w:rsidRPr="00761EF3">
        <w:rPr>
          <w:szCs w:val="22"/>
        </w:rPr>
        <w:t>pp</w:t>
      </w:r>
      <w:r w:rsidRPr="00212D57">
        <w:rPr>
          <w:szCs w:val="22"/>
        </w:rPr>
        <w:t>.</w:t>
      </w:r>
      <w:r w:rsidRPr="00761EF3">
        <w:rPr>
          <w:szCs w:val="22"/>
        </w:rPr>
        <w:t>10</w:t>
      </w:r>
      <w:r w:rsidRPr="00212D57">
        <w:rPr>
          <w:szCs w:val="22"/>
        </w:rPr>
        <w:t>-</w:t>
      </w:r>
      <w:r w:rsidRPr="00761EF3">
        <w:rPr>
          <w:szCs w:val="22"/>
        </w:rPr>
        <w:t>11</w:t>
      </w:r>
      <w:r w:rsidRPr="00212D57">
        <w:rPr>
          <w:rFonts w:hint="eastAsia"/>
          <w:szCs w:val="22"/>
        </w:rPr>
        <w:t>：</w:t>
      </w:r>
    </w:p>
    <w:p w:rsidR="00157EF6" w:rsidRPr="00212D57" w:rsidRDefault="00157EF6" w:rsidP="002B682F">
      <w:pPr>
        <w:pStyle w:val="a5"/>
        <w:ind w:leftChars="75" w:left="180"/>
        <w:jc w:val="both"/>
        <w:rPr>
          <w:rFonts w:ascii="標楷體" w:eastAsia="標楷體" w:hAnsi="標楷體"/>
          <w:szCs w:val="22"/>
        </w:rPr>
      </w:pPr>
      <w:r w:rsidRPr="00212D57">
        <w:rPr>
          <w:rFonts w:ascii="標楷體" w:eastAsia="標楷體" w:hAnsi="標楷體" w:hint="eastAsia"/>
          <w:szCs w:val="22"/>
        </w:rPr>
        <w:t>龍樹發揚緣起、空、中道的深義，以「中」為宗而造論。他嚴格地把握那修道中心的立場，對於中道的解說，也不出於中實與中正。中實，本以正觀緣起性而遠離戲論的寂滅為主。這中實的寂滅，從實踐的意義去說，即是</w:t>
      </w:r>
      <w:r w:rsidRPr="00212D57">
        <w:rPr>
          <w:rFonts w:ascii="標楷體" w:eastAsia="標楷體" w:hAnsi="標楷體" w:hint="eastAsia"/>
          <w:b/>
          <w:szCs w:val="22"/>
        </w:rPr>
        <w:t>不著於名相，不落於對待</w:t>
      </w:r>
      <w:r w:rsidRPr="00212D57">
        <w:rPr>
          <w:rFonts w:ascii="標楷體" w:eastAsia="標楷體" w:hAnsi="標楷體" w:hint="eastAsia"/>
          <w:szCs w:val="22"/>
        </w:rPr>
        <w:t>。</w:t>
      </w:r>
    </w:p>
    <w:p w:rsidR="00157EF6" w:rsidRPr="00212D57" w:rsidRDefault="00157EF6" w:rsidP="002B682F">
      <w:pPr>
        <w:pStyle w:val="a5"/>
        <w:ind w:leftChars="75" w:left="620" w:hangingChars="200" w:hanging="440"/>
        <w:jc w:val="both"/>
        <w:rPr>
          <w:rFonts w:ascii="標楷體" w:eastAsia="標楷體" w:hAnsi="標楷體"/>
          <w:szCs w:val="22"/>
        </w:rPr>
      </w:pPr>
      <w:r w:rsidRPr="00212D57">
        <w:rPr>
          <w:rFonts w:ascii="標楷體" w:eastAsia="標楷體" w:hAnsi="標楷體" w:hint="eastAsia"/>
          <w:b/>
          <w:szCs w:val="22"/>
        </w:rPr>
        <w:t>一、不取著名相</w:t>
      </w:r>
      <w:r w:rsidRPr="00212D57">
        <w:rPr>
          <w:rFonts w:ascii="標楷體" w:eastAsia="標楷體" w:hAnsi="標楷體" w:hint="eastAsia"/>
          <w:szCs w:val="22"/>
        </w:rPr>
        <w:t>：這如《大智度論》卷</w:t>
      </w:r>
      <w:r w:rsidR="006C4E94" w:rsidRPr="006C4E94">
        <w:rPr>
          <w:rFonts w:eastAsia="標楷體" w:hint="eastAsia"/>
          <w:szCs w:val="22"/>
        </w:rPr>
        <w:t>6</w:t>
      </w:r>
      <w:r w:rsidRPr="00212D57">
        <w:rPr>
          <w:rFonts w:ascii="標楷體" w:eastAsia="標楷體" w:hAnsi="標楷體" w:hint="eastAsia"/>
          <w:szCs w:val="22"/>
        </w:rPr>
        <w:t>說：「非有亦非無，亦復非有無，此語亦不受，如是名中道。」中道，不但是非有非無，更進一步的說：「此語亦不受。」「受」即新譯的取。凡稱之為有、為無、為非有非無，都不過名言的概念。非有非無，本表示觀心的不落有無戲論，如以為是非有非無，這不能恰合中實的本意。所以必須即此「非非」的名相，也不再取著。</w:t>
      </w:r>
    </w:p>
    <w:p w:rsidR="00157EF6" w:rsidRPr="00212D57" w:rsidRDefault="00157EF6" w:rsidP="002B682F">
      <w:pPr>
        <w:pStyle w:val="a5"/>
        <w:ind w:leftChars="75" w:left="598" w:hangingChars="190" w:hanging="418"/>
        <w:jc w:val="both"/>
        <w:rPr>
          <w:szCs w:val="22"/>
        </w:rPr>
      </w:pPr>
      <w:r w:rsidRPr="00212D57">
        <w:rPr>
          <w:rFonts w:ascii="標楷體" w:eastAsia="標楷體" w:hAnsi="標楷體" w:hint="eastAsia"/>
          <w:b/>
          <w:szCs w:val="22"/>
        </w:rPr>
        <w:t>二、不落於對待</w:t>
      </w:r>
      <w:r w:rsidRPr="00212D57">
        <w:rPr>
          <w:rFonts w:ascii="標楷體" w:eastAsia="標楷體" w:hAnsi="標楷體" w:hint="eastAsia"/>
          <w:szCs w:val="22"/>
        </w:rPr>
        <w:t>：我們所認識的、所言說的，都是相對的。凡是相對的，即不契於如實絕待的中道。如《大智度論》卷</w:t>
      </w:r>
      <w:r w:rsidR="006C4E94" w:rsidRPr="006C4E94">
        <w:rPr>
          <w:rFonts w:eastAsia="標楷體" w:hint="eastAsia"/>
          <w:szCs w:val="22"/>
        </w:rPr>
        <w:t>43</w:t>
      </w:r>
      <w:r w:rsidRPr="00212D57">
        <w:rPr>
          <w:rFonts w:ascii="標楷體" w:eastAsia="標楷體" w:hAnsi="標楷體" w:hint="eastAsia"/>
          <w:szCs w:val="22"/>
        </w:rPr>
        <w:t>，說到種種的二邊，都結論說：「離是二邊行中道，是名般若。」這裏所說的種種二邊，如常無常、見無見等，都是二邊。進而至於能行能證的人──菩薩、佛是一邊，所行、所證的法──六度、大菩提是一邊；甚至般若是一邊，非般若是一邊，要離此二邊行中道。</w:t>
      </w:r>
      <w:r w:rsidRPr="00212D57">
        <w:rPr>
          <w:rFonts w:ascii="標楷體" w:eastAsia="標楷體" w:hAnsi="標楷體" w:hint="eastAsia"/>
          <w:b/>
          <w:szCs w:val="22"/>
        </w:rPr>
        <w:t>這不落對待的中道，即入不二法門，是順於勝義，依觀心的體悟說。</w:t>
      </w:r>
    </w:p>
  </w:footnote>
  <w:footnote w:id="291">
    <w:p w:rsidR="00713D2A" w:rsidRDefault="00157EF6" w:rsidP="002B682F">
      <w:pPr>
        <w:pStyle w:val="a5"/>
        <w:ind w:left="187" w:hangingChars="85" w:hanging="187"/>
        <w:jc w:val="both"/>
        <w:rPr>
          <w:szCs w:val="22"/>
        </w:rPr>
      </w:pPr>
      <w:r w:rsidRPr="00212D57">
        <w:rPr>
          <w:rStyle w:val="a6"/>
          <w:szCs w:val="22"/>
        </w:rPr>
        <w:footnoteRef/>
      </w:r>
      <w:r w:rsidRPr="00212D57">
        <w:rPr>
          <w:szCs w:val="22"/>
        </w:rPr>
        <w:t xml:space="preserve"> </w:t>
      </w:r>
      <w:r w:rsidRPr="00212D57">
        <w:rPr>
          <w:rFonts w:hint="eastAsia"/>
          <w:b/>
          <w:szCs w:val="22"/>
        </w:rPr>
        <w:t>量</w:t>
      </w:r>
      <w:r w:rsidRPr="00212D57">
        <w:rPr>
          <w:rFonts w:eastAsia="標楷體" w:hint="eastAsia"/>
          <w:szCs w:val="22"/>
        </w:rPr>
        <w:t>：</w:t>
      </w:r>
      <w:r w:rsidRPr="00792A2A">
        <w:rPr>
          <w:szCs w:val="22"/>
        </w:rPr>
        <w:t>梵語</w:t>
      </w:r>
      <w:r w:rsidRPr="00792A2A">
        <w:rPr>
          <w:szCs w:val="22"/>
        </w:rPr>
        <w:t>pramāṇa</w:t>
      </w:r>
      <w:r w:rsidRPr="00792A2A">
        <w:rPr>
          <w:szCs w:val="22"/>
        </w:rPr>
        <w:t>之意譯。有廣狹二義，狹義而言，指認識事物之標準、根據；廣義言之，則指認識作用之形式、過程、結果，及判斷知識真偽之標準等。又印度自古以來，在認知範疇中，一般皆將量知對象加以認識論證，泛稱為量。此量知之主體，稱為能量，或量者（梵</w:t>
      </w:r>
      <w:r w:rsidRPr="00792A2A">
        <w:rPr>
          <w:szCs w:val="22"/>
        </w:rPr>
        <w:t>pramātṛ</w:t>
      </w:r>
      <w:r w:rsidRPr="00792A2A">
        <w:rPr>
          <w:szCs w:val="22"/>
        </w:rPr>
        <w:t>）；被量知之事物，稱為所量（梵</w:t>
      </w:r>
      <w:r w:rsidRPr="00792A2A">
        <w:rPr>
          <w:szCs w:val="22"/>
        </w:rPr>
        <w:t>prameya</w:t>
      </w:r>
      <w:r w:rsidRPr="00792A2A">
        <w:rPr>
          <w:szCs w:val="22"/>
        </w:rPr>
        <w:t>）；量知之結果，或了知其結果，稱為量知（梵</w:t>
      </w:r>
      <w:r w:rsidRPr="00792A2A">
        <w:rPr>
          <w:szCs w:val="22"/>
        </w:rPr>
        <w:t>pramiti</w:t>
      </w:r>
      <w:r w:rsidRPr="00792A2A">
        <w:rPr>
          <w:szCs w:val="22"/>
        </w:rPr>
        <w:t>）或量果。以上三者稱為三量。</w:t>
      </w:r>
    </w:p>
    <w:p w:rsidR="00157EF6" w:rsidRPr="00212D57" w:rsidRDefault="00157EF6" w:rsidP="00713D2A">
      <w:pPr>
        <w:pStyle w:val="a5"/>
        <w:ind w:left="187" w:hangingChars="85" w:hanging="187"/>
        <w:jc w:val="right"/>
        <w:rPr>
          <w:szCs w:val="22"/>
        </w:rPr>
      </w:pPr>
      <w:r w:rsidRPr="00212D57">
        <w:rPr>
          <w:rFonts w:eastAsia="標楷體" w:hint="eastAsia"/>
          <w:szCs w:val="22"/>
        </w:rPr>
        <w:t>（</w:t>
      </w:r>
      <w:r w:rsidRPr="00212D57">
        <w:rPr>
          <w:rFonts w:hint="eastAsia"/>
          <w:szCs w:val="22"/>
        </w:rPr>
        <w:t>《佛光大辭典》（六），</w:t>
      </w:r>
      <w:r w:rsidRPr="00761EF3">
        <w:rPr>
          <w:szCs w:val="22"/>
        </w:rPr>
        <w:t>p</w:t>
      </w:r>
      <w:r w:rsidRPr="00212D57">
        <w:rPr>
          <w:szCs w:val="22"/>
        </w:rPr>
        <w:t>.</w:t>
      </w:r>
      <w:r w:rsidRPr="00761EF3">
        <w:rPr>
          <w:szCs w:val="22"/>
        </w:rPr>
        <w:t>5293</w:t>
      </w:r>
      <w:r w:rsidRPr="00212D57">
        <w:rPr>
          <w:szCs w:val="22"/>
        </w:rPr>
        <w:t>.</w:t>
      </w:r>
      <w:r w:rsidRPr="00761EF3">
        <w:rPr>
          <w:szCs w:val="22"/>
        </w:rPr>
        <w:t>1</w:t>
      </w:r>
      <w:r w:rsidRPr="00212D57">
        <w:rPr>
          <w:szCs w:val="22"/>
        </w:rPr>
        <w:t>-</w:t>
      </w:r>
      <w:r w:rsidRPr="00761EF3">
        <w:rPr>
          <w:szCs w:val="22"/>
        </w:rPr>
        <w:t>5293</w:t>
      </w:r>
      <w:r w:rsidRPr="00212D57">
        <w:rPr>
          <w:szCs w:val="22"/>
        </w:rPr>
        <w:t>.</w:t>
      </w:r>
      <w:r w:rsidRPr="00761EF3">
        <w:rPr>
          <w:szCs w:val="22"/>
        </w:rPr>
        <w:t>2</w:t>
      </w:r>
      <w:r w:rsidRPr="00212D57">
        <w:rPr>
          <w:rFonts w:hint="eastAsia"/>
          <w:szCs w:val="22"/>
        </w:rPr>
        <w:t>）</w:t>
      </w:r>
    </w:p>
  </w:footnote>
  <w:footnote w:id="292">
    <w:p w:rsidR="00157EF6" w:rsidRPr="00212D57" w:rsidRDefault="00157EF6" w:rsidP="002B682F">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szCs w:val="22"/>
        </w:rPr>
        <w:t>1</w:t>
      </w:r>
      <w:r w:rsidRPr="00212D57">
        <w:rPr>
          <w:rFonts w:hint="eastAsia"/>
          <w:szCs w:val="22"/>
        </w:rPr>
        <w:t>）〔唐〕窺基撰，《因明入正理論疏》（大正</w:t>
      </w:r>
      <w:r w:rsidRPr="00761EF3">
        <w:rPr>
          <w:szCs w:val="22"/>
        </w:rPr>
        <w:t>44</w:t>
      </w:r>
      <w:r w:rsidRPr="00212D57">
        <w:rPr>
          <w:szCs w:val="22"/>
        </w:rPr>
        <w:t>，</w:t>
      </w:r>
      <w:r w:rsidRPr="00761EF3">
        <w:rPr>
          <w:szCs w:val="22"/>
        </w:rPr>
        <w:t>95b13</w:t>
      </w:r>
      <w:r w:rsidRPr="00212D57">
        <w:rPr>
          <w:szCs w:val="22"/>
        </w:rPr>
        <w:t>-</w:t>
      </w:r>
      <w:r w:rsidRPr="00761EF3">
        <w:rPr>
          <w:szCs w:val="22"/>
        </w:rPr>
        <w:t>14</w:t>
      </w:r>
      <w:r w:rsidRPr="00212D57">
        <w:rPr>
          <w:rFonts w:hint="eastAsia"/>
          <w:szCs w:val="22"/>
        </w:rPr>
        <w:t>）：</w:t>
      </w:r>
    </w:p>
    <w:p w:rsidR="00157EF6" w:rsidRPr="00212D57" w:rsidRDefault="00157EF6" w:rsidP="002B682F">
      <w:pPr>
        <w:pStyle w:val="a5"/>
        <w:ind w:leftChars="305" w:left="732"/>
        <w:jc w:val="both"/>
        <w:rPr>
          <w:szCs w:val="22"/>
        </w:rPr>
      </w:pPr>
      <w:r w:rsidRPr="00212D57">
        <w:rPr>
          <w:rFonts w:eastAsia="標楷體" w:hint="eastAsia"/>
          <w:szCs w:val="22"/>
        </w:rPr>
        <w:t>諸量之中，</w:t>
      </w:r>
      <w:r w:rsidRPr="006C4E94">
        <w:rPr>
          <w:rFonts w:eastAsia="標楷體" w:hint="eastAsia"/>
          <w:szCs w:val="22"/>
          <w:highlight w:val="yellow"/>
        </w:rPr>
        <w:t>古說</w:t>
      </w:r>
      <w:r w:rsidR="006C4E94" w:rsidRPr="006C4E94">
        <w:rPr>
          <w:rFonts w:eastAsia="標楷體" w:hint="eastAsia"/>
          <w:color w:val="FF0000"/>
          <w:szCs w:val="22"/>
          <w:highlight w:val="yellow"/>
        </w:rPr>
        <w:t>，</w:t>
      </w:r>
      <w:r w:rsidRPr="00212D57">
        <w:rPr>
          <w:rFonts w:eastAsia="標楷體" w:hint="eastAsia"/>
          <w:szCs w:val="22"/>
        </w:rPr>
        <w:t>或三：現量、比量</w:t>
      </w:r>
      <w:r w:rsidR="006C4E94" w:rsidRPr="006C4E94">
        <w:rPr>
          <w:rFonts w:eastAsia="標楷體" w:hint="eastAsia"/>
          <w:color w:val="FF0000"/>
          <w:szCs w:val="22"/>
          <w:highlight w:val="yellow"/>
        </w:rPr>
        <w:t>，</w:t>
      </w:r>
      <w:r w:rsidRPr="00212D57">
        <w:rPr>
          <w:rFonts w:eastAsia="標楷體" w:hint="eastAsia"/>
          <w:szCs w:val="22"/>
        </w:rPr>
        <w:t>及聖教量</w:t>
      </w:r>
      <w:r w:rsidR="006C4E94" w:rsidRPr="006C4E94">
        <w:rPr>
          <w:rFonts w:eastAsia="標楷體" w:hint="eastAsia"/>
          <w:color w:val="FF0000"/>
          <w:szCs w:val="22"/>
          <w:highlight w:val="yellow"/>
        </w:rPr>
        <w:t>──</w:t>
      </w:r>
      <w:r w:rsidRPr="00212D57">
        <w:rPr>
          <w:rFonts w:eastAsia="標楷體" w:hint="eastAsia"/>
          <w:szCs w:val="22"/>
        </w:rPr>
        <w:t>亦名正教及</w:t>
      </w:r>
      <w:r w:rsidRPr="00212D57">
        <w:rPr>
          <w:rFonts w:eastAsia="標楷體" w:hint="eastAsia"/>
          <w:b/>
          <w:szCs w:val="22"/>
        </w:rPr>
        <w:t>至教量，或名聲量</w:t>
      </w:r>
      <w:r w:rsidR="006C4E94" w:rsidRPr="00713D2A">
        <w:rPr>
          <w:rFonts w:eastAsia="標楷體" w:hint="eastAsia"/>
          <w:color w:val="FF0000"/>
          <w:szCs w:val="22"/>
          <w:highlight w:val="yellow"/>
        </w:rPr>
        <w:t>，觀可信聲而比義故。或立四量，加譬喻量，</w:t>
      </w:r>
      <w:r w:rsidR="006C4E94" w:rsidRPr="00713D2A">
        <w:rPr>
          <w:rFonts w:eastAsia="標楷體" w:hint="eastAsia"/>
          <w:color w:val="FF0000"/>
          <w:szCs w:val="22"/>
          <w:shd w:val="pct15" w:color="auto" w:fill="FFFFFF"/>
        </w:rPr>
        <w:t>……</w:t>
      </w:r>
      <w:r w:rsidR="006C4E94" w:rsidRPr="00713D2A">
        <w:rPr>
          <w:rFonts w:eastAsia="標楷體" w:hint="eastAsia"/>
          <w:color w:val="FF0000"/>
          <w:szCs w:val="22"/>
          <w:highlight w:val="yellow"/>
        </w:rPr>
        <w:t>。或立五量，加義准量，</w:t>
      </w:r>
      <w:r w:rsidR="006C4E94" w:rsidRPr="00713D2A">
        <w:rPr>
          <w:rFonts w:eastAsia="標楷體" w:hint="eastAsia"/>
          <w:color w:val="FF0000"/>
          <w:szCs w:val="22"/>
          <w:shd w:val="pct15" w:color="auto" w:fill="FFFFFF"/>
        </w:rPr>
        <w:t>……</w:t>
      </w:r>
      <w:r w:rsidR="006C4E94" w:rsidRPr="00713D2A">
        <w:rPr>
          <w:rFonts w:eastAsia="標楷體" w:hint="eastAsia"/>
          <w:color w:val="FF0000"/>
          <w:szCs w:val="22"/>
          <w:highlight w:val="yellow"/>
        </w:rPr>
        <w:t>。或立六量，加無體量，</w:t>
      </w:r>
      <w:r w:rsidR="006C4E94" w:rsidRPr="00713D2A">
        <w:rPr>
          <w:rFonts w:eastAsia="標楷體" w:hint="eastAsia"/>
          <w:color w:val="FF0000"/>
          <w:szCs w:val="22"/>
          <w:shd w:val="pct15" w:color="auto" w:fill="FFFFFF"/>
        </w:rPr>
        <w:t>……</w:t>
      </w:r>
      <w:r w:rsidR="006C4E94">
        <w:rPr>
          <w:rFonts w:eastAsia="標楷體" w:hint="eastAsia"/>
          <w:szCs w:val="22"/>
        </w:rPr>
        <w:t>。</w:t>
      </w:r>
    </w:p>
  </w:footnote>
  <w:footnote w:id="293">
    <w:p w:rsidR="00B47F0F" w:rsidRPr="00212D57" w:rsidRDefault="00B47F0F" w:rsidP="00B47F0F">
      <w:pPr>
        <w:pStyle w:val="a5"/>
        <w:ind w:leftChars="80" w:left="731" w:hangingChars="245" w:hanging="539"/>
        <w:jc w:val="both"/>
        <w:rPr>
          <w:szCs w:val="22"/>
        </w:rPr>
      </w:pPr>
      <w:r w:rsidRPr="00212D57">
        <w:rPr>
          <w:rFonts w:hint="eastAsia"/>
          <w:szCs w:val="22"/>
        </w:rPr>
        <w:t>（</w:t>
      </w:r>
      <w:r w:rsidRPr="00761EF3">
        <w:rPr>
          <w:szCs w:val="22"/>
        </w:rPr>
        <w:t>2</w:t>
      </w:r>
      <w:r w:rsidRPr="00212D57">
        <w:rPr>
          <w:rFonts w:hint="eastAsia"/>
          <w:szCs w:val="22"/>
        </w:rPr>
        <w:t>）印順法師，《印度之佛教》，</w:t>
      </w:r>
      <w:r w:rsidRPr="00761EF3">
        <w:rPr>
          <w:szCs w:val="22"/>
        </w:rPr>
        <w:t>p</w:t>
      </w:r>
      <w:r w:rsidRPr="00212D57">
        <w:rPr>
          <w:szCs w:val="22"/>
        </w:rPr>
        <w:t>.</w:t>
      </w:r>
      <w:r w:rsidRPr="00761EF3">
        <w:rPr>
          <w:szCs w:val="22"/>
        </w:rPr>
        <w:t>232</w:t>
      </w:r>
      <w:r w:rsidRPr="00212D57">
        <w:rPr>
          <w:rFonts w:hint="eastAsia"/>
          <w:szCs w:val="22"/>
        </w:rPr>
        <w:t>：</w:t>
      </w:r>
    </w:p>
    <w:p w:rsidR="00B47F0F" w:rsidRPr="00212D57" w:rsidRDefault="00B47F0F" w:rsidP="00B47F0F">
      <w:pPr>
        <w:pStyle w:val="a5"/>
        <w:ind w:leftChars="305" w:left="732"/>
        <w:jc w:val="both"/>
        <w:rPr>
          <w:rFonts w:eastAsia="標楷體"/>
          <w:szCs w:val="22"/>
        </w:rPr>
      </w:pPr>
      <w:r w:rsidRPr="00212D57">
        <w:rPr>
          <w:rFonts w:eastAsia="標楷體" w:hint="eastAsia"/>
          <w:szCs w:val="22"/>
        </w:rPr>
        <w:t>依聖典聖說而得者曰</w:t>
      </w:r>
      <w:r w:rsidRPr="00212D57">
        <w:rPr>
          <w:rFonts w:eastAsia="標楷體" w:hint="eastAsia"/>
          <w:b/>
          <w:szCs w:val="22"/>
        </w:rPr>
        <w:t>聲量（即聖教量）</w:t>
      </w:r>
      <w:r w:rsidRPr="00212D57">
        <w:rPr>
          <w:rFonts w:eastAsia="標楷體" w:hint="eastAsia"/>
          <w:szCs w:val="22"/>
        </w:rPr>
        <w:t>。</w:t>
      </w:r>
    </w:p>
    <w:p w:rsidR="00B47F0F" w:rsidRPr="00212D57" w:rsidRDefault="00B47F0F" w:rsidP="00B47F0F">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szCs w:val="22"/>
        </w:rPr>
        <w:t>1</w:t>
      </w:r>
      <w:r w:rsidRPr="00212D57">
        <w:rPr>
          <w:rFonts w:hint="eastAsia"/>
          <w:szCs w:val="22"/>
        </w:rPr>
        <w:t>）</w:t>
      </w:r>
      <w:r w:rsidRPr="00212D57">
        <w:rPr>
          <w:rStyle w:val="21"/>
          <w:rFonts w:hint="eastAsia"/>
          <w:szCs w:val="22"/>
        </w:rPr>
        <w:t>世親菩薩造</w:t>
      </w:r>
      <w:bookmarkStart w:id="76" w:name="0331c07"/>
      <w:bookmarkEnd w:id="76"/>
      <w:r w:rsidRPr="00212D57">
        <w:rPr>
          <w:rStyle w:val="21"/>
          <w:rFonts w:hint="eastAsia"/>
          <w:szCs w:val="22"/>
        </w:rPr>
        <w:t>，〔唐〕玄奘譯</w:t>
      </w:r>
      <w:r w:rsidRPr="00212D57">
        <w:rPr>
          <w:rFonts w:hint="eastAsia"/>
          <w:szCs w:val="22"/>
        </w:rPr>
        <w:t>，《攝大乘論釋》卷</w:t>
      </w:r>
      <w:r w:rsidRPr="00761EF3">
        <w:rPr>
          <w:szCs w:val="22"/>
        </w:rPr>
        <w:t>3</w:t>
      </w:r>
      <w:r w:rsidRPr="00212D57">
        <w:rPr>
          <w:rFonts w:hint="eastAsia"/>
          <w:szCs w:val="22"/>
        </w:rPr>
        <w:t>（大正</w:t>
      </w:r>
      <w:r w:rsidRPr="00761EF3">
        <w:rPr>
          <w:szCs w:val="22"/>
        </w:rPr>
        <w:t>31</w:t>
      </w:r>
      <w:r w:rsidRPr="00212D57">
        <w:rPr>
          <w:rFonts w:hint="eastAsia"/>
          <w:szCs w:val="22"/>
        </w:rPr>
        <w:t>，</w:t>
      </w:r>
      <w:r w:rsidRPr="00761EF3">
        <w:rPr>
          <w:szCs w:val="22"/>
        </w:rPr>
        <w:t>333c14</w:t>
      </w:r>
      <w:r w:rsidRPr="00212D57">
        <w:rPr>
          <w:szCs w:val="22"/>
        </w:rPr>
        <w:t>-</w:t>
      </w:r>
      <w:r w:rsidRPr="00761EF3">
        <w:rPr>
          <w:szCs w:val="22"/>
        </w:rPr>
        <w:t>18</w:t>
      </w:r>
      <w:r w:rsidRPr="00212D57">
        <w:rPr>
          <w:rFonts w:hint="eastAsia"/>
          <w:szCs w:val="22"/>
        </w:rPr>
        <w:t>）：</w:t>
      </w:r>
    </w:p>
    <w:p w:rsidR="00B47F0F" w:rsidRPr="00212D57" w:rsidRDefault="00B47F0F" w:rsidP="00B47F0F">
      <w:pPr>
        <w:pStyle w:val="a5"/>
        <w:ind w:leftChars="305" w:left="732"/>
        <w:jc w:val="both"/>
        <w:rPr>
          <w:rFonts w:eastAsia="標楷體"/>
          <w:b/>
          <w:szCs w:val="22"/>
        </w:rPr>
      </w:pPr>
      <w:r>
        <w:rPr>
          <w:rFonts w:ascii="標楷體" w:eastAsia="標楷體" w:hAnsi="標楷體" w:hint="eastAsia"/>
          <w:bCs/>
          <w:color w:val="FF0000"/>
          <w:kern w:val="0"/>
          <w:highlight w:val="yellow"/>
        </w:rPr>
        <w:t>「</w:t>
      </w:r>
      <w:r w:rsidRPr="00212D57">
        <w:rPr>
          <w:rFonts w:eastAsia="標楷體" w:hAnsi="標楷體" w:hint="eastAsia"/>
          <w:szCs w:val="22"/>
        </w:rPr>
        <w:t>從最</w:t>
      </w:r>
      <w:r w:rsidRPr="00212D57">
        <w:rPr>
          <w:rFonts w:eastAsia="標楷體" w:hint="eastAsia"/>
          <w:szCs w:val="22"/>
        </w:rPr>
        <w:t>清淨</w:t>
      </w:r>
      <w:r w:rsidRPr="00212D57">
        <w:rPr>
          <w:rFonts w:eastAsia="標楷體" w:hAnsi="標楷體" w:hint="eastAsia"/>
          <w:szCs w:val="22"/>
        </w:rPr>
        <w:t>法界等流正聞熏習種子所生</w:t>
      </w:r>
      <w:r>
        <w:rPr>
          <w:rFonts w:ascii="標楷體" w:eastAsia="標楷體" w:hAnsi="標楷體" w:hint="eastAsia"/>
          <w:bCs/>
          <w:color w:val="FF0000"/>
          <w:kern w:val="0"/>
          <w:highlight w:val="yellow"/>
        </w:rPr>
        <w:t>」</w:t>
      </w:r>
      <w:r w:rsidRPr="00212D57">
        <w:rPr>
          <w:rFonts w:eastAsia="標楷體" w:hAnsi="標楷體" w:hint="eastAsia"/>
          <w:szCs w:val="22"/>
        </w:rPr>
        <w:t>者，為顯</w:t>
      </w:r>
      <w:r>
        <w:rPr>
          <w:rFonts w:ascii="標楷體" w:eastAsia="標楷體" w:hAnsi="標楷體" w:hint="eastAsia"/>
          <w:bCs/>
          <w:color w:val="FF0000"/>
          <w:kern w:val="0"/>
          <w:highlight w:val="yellow"/>
        </w:rPr>
        <w:t>「</w:t>
      </w:r>
      <w:r w:rsidRPr="00212D57">
        <w:rPr>
          <w:rFonts w:eastAsia="標楷體" w:hAnsi="標楷體" w:hint="eastAsia"/>
          <w:szCs w:val="22"/>
        </w:rPr>
        <w:t>法界異聲聞等</w:t>
      </w:r>
      <w:r>
        <w:rPr>
          <w:rFonts w:ascii="標楷體" w:eastAsia="標楷體" w:hAnsi="標楷體" w:hint="eastAsia"/>
          <w:bCs/>
          <w:color w:val="FF0000"/>
          <w:kern w:val="0"/>
          <w:highlight w:val="yellow"/>
        </w:rPr>
        <w:t>」</w:t>
      </w:r>
      <w:r w:rsidR="00C67255">
        <w:rPr>
          <w:rFonts w:eastAsia="標楷體" w:hAnsi="標楷體" w:hint="eastAsia"/>
          <w:color w:val="FF0000"/>
          <w:szCs w:val="22"/>
          <w:highlight w:val="yellow"/>
        </w:rPr>
        <w:t>，</w:t>
      </w:r>
      <w:r w:rsidRPr="00212D57">
        <w:rPr>
          <w:rFonts w:eastAsia="標楷體" w:hAnsi="標楷體" w:hint="eastAsia"/>
          <w:szCs w:val="22"/>
        </w:rPr>
        <w:t>言</w:t>
      </w:r>
      <w:r>
        <w:rPr>
          <w:rFonts w:ascii="標楷體" w:eastAsia="標楷體" w:hAnsi="標楷體" w:hint="eastAsia"/>
          <w:bCs/>
          <w:color w:val="FF0000"/>
          <w:kern w:val="0"/>
          <w:highlight w:val="yellow"/>
        </w:rPr>
        <w:t>「</w:t>
      </w:r>
      <w:r w:rsidRPr="00212D57">
        <w:rPr>
          <w:rFonts w:eastAsia="標楷體" w:hAnsi="標楷體" w:hint="eastAsia"/>
          <w:szCs w:val="22"/>
        </w:rPr>
        <w:t>最清淨</w:t>
      </w:r>
      <w:r>
        <w:rPr>
          <w:rFonts w:ascii="標楷體" w:eastAsia="標楷體" w:hAnsi="標楷體" w:hint="eastAsia"/>
          <w:bCs/>
          <w:color w:val="FF0000"/>
          <w:kern w:val="0"/>
          <w:highlight w:val="yellow"/>
        </w:rPr>
        <w:t>」</w:t>
      </w:r>
      <w:r w:rsidRPr="00212D57">
        <w:rPr>
          <w:rFonts w:eastAsia="標楷體" w:hAnsi="標楷體" w:hint="eastAsia"/>
          <w:szCs w:val="22"/>
        </w:rPr>
        <w:t>，由佛世尊所證法界，永斷</w:t>
      </w:r>
      <w:r>
        <w:rPr>
          <w:rFonts w:ascii="標楷體" w:eastAsia="標楷體" w:hAnsi="標楷體" w:hint="eastAsia"/>
          <w:bCs/>
          <w:color w:val="FF0000"/>
          <w:kern w:val="0"/>
          <w:highlight w:val="yellow"/>
        </w:rPr>
        <w:t>「</w:t>
      </w:r>
      <w:r>
        <w:rPr>
          <w:rFonts w:ascii="標楷體" w:eastAsia="標楷體" w:hAnsi="標楷體" w:hint="eastAsia"/>
          <w:color w:val="FF0000"/>
          <w:kern w:val="0"/>
          <w:highlight w:val="yellow"/>
        </w:rPr>
        <w:t>『</w:t>
      </w:r>
      <w:r w:rsidRPr="00212D57">
        <w:rPr>
          <w:rFonts w:eastAsia="標楷體" w:hAnsi="標楷體" w:hint="eastAsia"/>
          <w:szCs w:val="22"/>
        </w:rPr>
        <w:t>煩惱</w:t>
      </w:r>
      <w:r>
        <w:rPr>
          <w:rFonts w:ascii="標楷體" w:eastAsia="標楷體" w:hAnsi="標楷體" w:hint="eastAsia"/>
          <w:color w:val="FF0000"/>
          <w:spacing w:val="-4"/>
          <w:kern w:val="0"/>
          <w:highlight w:val="yellow"/>
        </w:rPr>
        <w:t>、</w:t>
      </w:r>
      <w:r w:rsidRPr="00212D57">
        <w:rPr>
          <w:rFonts w:eastAsia="標楷體" w:hAnsi="標楷體" w:hint="eastAsia"/>
          <w:szCs w:val="22"/>
        </w:rPr>
        <w:t>所知</w:t>
      </w:r>
      <w:r>
        <w:rPr>
          <w:rFonts w:ascii="標楷體" w:eastAsia="標楷體" w:hAnsi="標楷體" w:hint="eastAsia"/>
          <w:color w:val="FF0000"/>
          <w:kern w:val="0"/>
          <w:highlight w:val="yellow"/>
        </w:rPr>
        <w:t>』</w:t>
      </w:r>
      <w:r w:rsidRPr="00212D57">
        <w:rPr>
          <w:rFonts w:eastAsia="標楷體" w:hAnsi="標楷體" w:hint="eastAsia"/>
          <w:szCs w:val="22"/>
        </w:rPr>
        <w:t>障</w:t>
      </w:r>
      <w:r>
        <w:rPr>
          <w:rFonts w:ascii="標楷體" w:eastAsia="標楷體" w:hAnsi="標楷體" w:hint="eastAsia"/>
          <w:bCs/>
          <w:color w:val="FF0000"/>
          <w:kern w:val="0"/>
          <w:highlight w:val="yellow"/>
        </w:rPr>
        <w:t>」</w:t>
      </w:r>
      <w:r w:rsidRPr="00212D57">
        <w:rPr>
          <w:rFonts w:eastAsia="標楷體" w:hAnsi="標楷體" w:hint="eastAsia"/>
          <w:szCs w:val="22"/>
        </w:rPr>
        <w:t>故</w:t>
      </w:r>
      <w:r>
        <w:rPr>
          <w:rFonts w:ascii="標楷體" w:eastAsia="標楷體" w:hAnsi="標楷體" w:hint="eastAsia"/>
          <w:color w:val="FF0000"/>
          <w:spacing w:val="-4"/>
          <w:kern w:val="0"/>
          <w:highlight w:val="yellow"/>
        </w:rPr>
        <w:t>；</w:t>
      </w:r>
      <w:r w:rsidRPr="00212D57">
        <w:rPr>
          <w:rFonts w:eastAsia="標楷體" w:hAnsi="標楷體" w:hint="eastAsia"/>
          <w:szCs w:val="22"/>
        </w:rPr>
        <w:t>從最清淨法界所流經等教法，名</w:t>
      </w:r>
      <w:r w:rsidRPr="00713D2A">
        <w:rPr>
          <w:rFonts w:ascii="標楷體" w:eastAsia="標楷體" w:hAnsi="標楷體" w:hint="eastAsia"/>
          <w:b/>
          <w:bCs/>
          <w:color w:val="FF0000"/>
          <w:kern w:val="0"/>
          <w:highlight w:val="yellow"/>
        </w:rPr>
        <w:t>「</w:t>
      </w:r>
      <w:r w:rsidRPr="00713D2A">
        <w:rPr>
          <w:rFonts w:eastAsia="標楷體" w:hAnsi="標楷體" w:hint="eastAsia"/>
          <w:b/>
          <w:szCs w:val="22"/>
        </w:rPr>
        <w:t>最清淨法界等流</w:t>
      </w:r>
      <w:r w:rsidRPr="00713D2A">
        <w:rPr>
          <w:rFonts w:ascii="標楷體" w:eastAsia="標楷體" w:hAnsi="標楷體" w:hint="eastAsia"/>
          <w:b/>
          <w:bCs/>
          <w:color w:val="FF0000"/>
          <w:kern w:val="0"/>
          <w:highlight w:val="yellow"/>
        </w:rPr>
        <w:t>」</w:t>
      </w:r>
      <w:r w:rsidRPr="00713D2A">
        <w:rPr>
          <w:rFonts w:eastAsia="標楷體" w:hAnsi="標楷體" w:hint="eastAsia"/>
          <w:b/>
          <w:szCs w:val="22"/>
        </w:rPr>
        <w:t>。</w:t>
      </w:r>
    </w:p>
    <w:p w:rsidR="00B47F0F" w:rsidRPr="00212D57" w:rsidRDefault="00B47F0F" w:rsidP="00B47F0F">
      <w:pPr>
        <w:pStyle w:val="a5"/>
        <w:ind w:leftChars="80" w:left="731" w:hangingChars="245" w:hanging="539"/>
        <w:jc w:val="both"/>
        <w:rPr>
          <w:rFonts w:hAnsi="新細明體"/>
          <w:szCs w:val="22"/>
        </w:rPr>
      </w:pPr>
      <w:r w:rsidRPr="00212D57">
        <w:rPr>
          <w:rFonts w:hAnsi="新細明體" w:hint="eastAsia"/>
          <w:szCs w:val="22"/>
        </w:rPr>
        <w:t>（</w:t>
      </w:r>
      <w:r w:rsidRPr="00761EF3">
        <w:rPr>
          <w:szCs w:val="22"/>
        </w:rPr>
        <w:t>2</w:t>
      </w:r>
      <w:r w:rsidRPr="00212D57">
        <w:rPr>
          <w:rFonts w:hAnsi="新細明體" w:hint="eastAsia"/>
          <w:szCs w:val="22"/>
        </w:rPr>
        <w:t>）</w:t>
      </w:r>
      <w:r w:rsidRPr="00212D57">
        <w:rPr>
          <w:rFonts w:hint="eastAsia"/>
          <w:szCs w:val="22"/>
        </w:rPr>
        <w:t>印順法師，</w:t>
      </w:r>
      <w:r w:rsidRPr="00212D57">
        <w:rPr>
          <w:rFonts w:hAnsi="新細明體" w:hint="eastAsia"/>
          <w:szCs w:val="22"/>
        </w:rPr>
        <w:t>《攝大乘論講記</w:t>
      </w:r>
      <w:r w:rsidRPr="00212D57">
        <w:rPr>
          <w:rFonts w:hint="eastAsia"/>
          <w:szCs w:val="22"/>
        </w:rPr>
        <w:t>》，</w:t>
      </w:r>
      <w:r w:rsidRPr="00761EF3">
        <w:rPr>
          <w:szCs w:val="22"/>
        </w:rPr>
        <w:t>p</w:t>
      </w:r>
      <w:r w:rsidRPr="00212D57">
        <w:rPr>
          <w:szCs w:val="22"/>
        </w:rPr>
        <w:t>.</w:t>
      </w:r>
      <w:r w:rsidRPr="00761EF3">
        <w:rPr>
          <w:szCs w:val="22"/>
        </w:rPr>
        <w:t>135</w:t>
      </w:r>
      <w:r w:rsidRPr="00212D57">
        <w:rPr>
          <w:rFonts w:hAnsi="新細明體" w:hint="eastAsia"/>
          <w:szCs w:val="22"/>
        </w:rPr>
        <w:t>：</w:t>
      </w:r>
    </w:p>
    <w:p w:rsidR="00B47F0F" w:rsidRPr="00212D57" w:rsidRDefault="00B47F0F" w:rsidP="00B47F0F">
      <w:pPr>
        <w:pStyle w:val="a5"/>
        <w:ind w:leftChars="305" w:left="732"/>
        <w:jc w:val="both"/>
        <w:rPr>
          <w:rFonts w:ascii="標楷體" w:eastAsia="標楷體" w:hAnsi="標楷體"/>
          <w:szCs w:val="22"/>
        </w:rPr>
      </w:pPr>
      <w:r w:rsidRPr="00212D57">
        <w:rPr>
          <w:rFonts w:ascii="標楷體" w:eastAsia="標楷體" w:hAnsi="標楷體" w:hint="eastAsia"/>
          <w:szCs w:val="22"/>
        </w:rPr>
        <w:t>談到</w:t>
      </w:r>
      <w:r w:rsidRPr="00212D57">
        <w:rPr>
          <w:rFonts w:eastAsia="標楷體" w:hint="eastAsia"/>
          <w:szCs w:val="22"/>
        </w:rPr>
        <w:t>出世</w:t>
      </w:r>
      <w:r w:rsidRPr="00212D57">
        <w:rPr>
          <w:rFonts w:ascii="標楷體" w:eastAsia="標楷體" w:hAnsi="標楷體" w:hint="eastAsia"/>
          <w:szCs w:val="22"/>
        </w:rPr>
        <w:t>心的因緣，先要說到清淨種子的來源。清淨種子，就是正聞熏習；正聞熏習的來由，是因為聽聞</w:t>
      </w:r>
      <w:r w:rsidRPr="00212D57">
        <w:rPr>
          <w:rFonts w:ascii="標楷體" w:eastAsia="標楷體" w:hAnsi="標楷體" w:hint="eastAsia"/>
          <w:b/>
          <w:szCs w:val="22"/>
        </w:rPr>
        <w:t>最清淨法界的等流正法</w:t>
      </w:r>
      <w:r w:rsidRPr="00212D57">
        <w:rPr>
          <w:rFonts w:ascii="標楷體" w:eastAsia="標楷體" w:hAnsi="標楷體" w:hint="eastAsia"/>
          <w:szCs w:val="22"/>
        </w:rPr>
        <w:t>。三乘聖法從此生的法界，是本性清淨而離染顯現的，所以叫清淨法界。世尊遠離二障，親證這離言說相，不像小乘的但離煩惱障，所以最為清淨。</w:t>
      </w:r>
    </w:p>
    <w:p w:rsidR="00B47F0F" w:rsidRPr="00212D57" w:rsidRDefault="00B47F0F" w:rsidP="00B47F0F">
      <w:pPr>
        <w:pStyle w:val="a5"/>
        <w:ind w:leftChars="305" w:left="732"/>
        <w:jc w:val="both"/>
        <w:rPr>
          <w:rFonts w:ascii="標楷體" w:eastAsia="標楷體" w:hAnsi="標楷體"/>
          <w:szCs w:val="22"/>
        </w:rPr>
      </w:pPr>
      <w:r w:rsidRPr="00212D57">
        <w:rPr>
          <w:rFonts w:ascii="標楷體" w:eastAsia="標楷體" w:hAnsi="標楷體" w:hint="eastAsia"/>
          <w:szCs w:val="22"/>
        </w:rPr>
        <w:t>因大悲心的激發，憐愍救度一切苦惱有情，就從內自所證的清淨法界，用善巧的方法，宣說出來。</w:t>
      </w:r>
      <w:r w:rsidRPr="00212D57">
        <w:rPr>
          <w:rFonts w:ascii="標楷體" w:eastAsia="標楷體" w:hAnsi="標楷體" w:hint="eastAsia"/>
          <w:b/>
          <w:szCs w:val="22"/>
        </w:rPr>
        <w:t>這雖不就是法界，卻是從法界流出，是法界的流類，並且也還平等、相似。</w:t>
      </w:r>
      <w:r w:rsidRPr="00212D57">
        <w:rPr>
          <w:rFonts w:ascii="標楷體" w:eastAsia="標楷體" w:hAnsi="標楷體" w:hint="eastAsia"/>
          <w:szCs w:val="22"/>
        </w:rPr>
        <w:t>眾生聽此清淨法界等流正法的影像教，也就熏成了出世的清淨心種。</w:t>
      </w:r>
    </w:p>
    <w:p w:rsidR="00B47F0F" w:rsidRPr="00212D57" w:rsidRDefault="00B47F0F" w:rsidP="00B47F0F">
      <w:pPr>
        <w:pStyle w:val="a5"/>
        <w:ind w:leftChars="305" w:left="732"/>
        <w:jc w:val="both"/>
        <w:rPr>
          <w:rFonts w:ascii="標楷體" w:eastAsia="標楷體" w:hAnsi="標楷體"/>
          <w:szCs w:val="22"/>
        </w:rPr>
      </w:pPr>
      <w:r w:rsidRPr="00212D57">
        <w:rPr>
          <w:rFonts w:ascii="標楷體" w:eastAsia="標楷體" w:hAnsi="標楷體" w:hint="eastAsia"/>
          <w:szCs w:val="22"/>
        </w:rPr>
        <w:t>譬如某一名勝地，我們從未去過，也不曾知道；去過的人，要使大眾前往遊覽起見，就用攝影機把它映下來，公示大眾，並說明經過的山川道路。我們所看到的，當然只是這名勝的</w:t>
      </w:r>
      <w:r w:rsidRPr="00212D57">
        <w:rPr>
          <w:rFonts w:ascii="標楷體" w:eastAsia="標楷體" w:hAnsi="標楷體" w:hint="eastAsia"/>
          <w:b/>
          <w:szCs w:val="22"/>
        </w:rPr>
        <w:t>影像</w:t>
      </w:r>
      <w:r w:rsidRPr="00212D57">
        <w:rPr>
          <w:rFonts w:ascii="標楷體" w:eastAsia="標楷體" w:hAnsi="標楷體" w:hint="eastAsia"/>
          <w:szCs w:val="22"/>
        </w:rPr>
        <w:t>，並非本質，並非親歷其境，但因此我們心中就留下這名勝的影子，甚至發心前往遊歷。</w:t>
      </w:r>
    </w:p>
    <w:p w:rsidR="00B47F0F" w:rsidRPr="00212D57" w:rsidRDefault="00B47F0F" w:rsidP="00B47F0F">
      <w:pPr>
        <w:pStyle w:val="a5"/>
        <w:ind w:leftChars="305" w:left="732"/>
        <w:jc w:val="both"/>
        <w:rPr>
          <w:rFonts w:ascii="標楷體" w:eastAsia="標楷體" w:hAnsi="標楷體"/>
          <w:szCs w:val="22"/>
        </w:rPr>
      </w:pPr>
      <w:r w:rsidRPr="00212D57">
        <w:rPr>
          <w:rFonts w:ascii="標楷體" w:eastAsia="標楷體" w:hAnsi="標楷體" w:hint="eastAsia"/>
          <w:szCs w:val="22"/>
        </w:rPr>
        <w:t>正聞熏習也是這樣，清淨法界究竟是怎樣，眾生沒有親證到，但由佛陀大悲顯示出來，</w:t>
      </w:r>
      <w:r w:rsidRPr="00212D57">
        <w:rPr>
          <w:rFonts w:ascii="標楷體" w:eastAsia="標楷體" w:hAnsi="標楷體" w:hint="eastAsia"/>
          <w:b/>
          <w:szCs w:val="22"/>
        </w:rPr>
        <w:t>眾生聞此清淨法界等流的正法，也就熏習成清淨的種子了</w:t>
      </w:r>
      <w:r w:rsidRPr="00212D57">
        <w:rPr>
          <w:rFonts w:ascii="標楷體" w:eastAsia="標楷體" w:hAnsi="標楷體" w:hint="eastAsia"/>
          <w:szCs w:val="22"/>
        </w:rPr>
        <w:t>！</w:t>
      </w:r>
    </w:p>
    <w:p w:rsidR="00B47F0F" w:rsidRPr="00212D57" w:rsidRDefault="00B47F0F" w:rsidP="00B47F0F">
      <w:pPr>
        <w:pStyle w:val="a5"/>
        <w:ind w:leftChars="80" w:left="731" w:hangingChars="245" w:hanging="539"/>
        <w:jc w:val="both"/>
        <w:rPr>
          <w:szCs w:val="22"/>
        </w:rPr>
      </w:pPr>
      <w:r w:rsidRPr="00212D57">
        <w:rPr>
          <w:rFonts w:hint="eastAsia"/>
          <w:szCs w:val="22"/>
        </w:rPr>
        <w:t>（</w:t>
      </w:r>
      <w:r w:rsidRPr="00761EF3">
        <w:rPr>
          <w:szCs w:val="22"/>
        </w:rPr>
        <w:t>3</w:t>
      </w:r>
      <w:r w:rsidRPr="00212D57">
        <w:rPr>
          <w:rFonts w:hint="eastAsia"/>
          <w:szCs w:val="22"/>
        </w:rPr>
        <w:t>）印順法師，《佛法是救世之光》，</w:t>
      </w:r>
      <w:r w:rsidRPr="00761EF3">
        <w:rPr>
          <w:szCs w:val="22"/>
        </w:rPr>
        <w:t>p</w:t>
      </w:r>
      <w:r w:rsidRPr="00212D57">
        <w:rPr>
          <w:szCs w:val="22"/>
        </w:rPr>
        <w:t>.</w:t>
      </w:r>
      <w:r w:rsidRPr="00761EF3">
        <w:rPr>
          <w:szCs w:val="22"/>
        </w:rPr>
        <w:t>168</w:t>
      </w:r>
      <w:r w:rsidRPr="00212D57">
        <w:rPr>
          <w:rFonts w:hint="eastAsia"/>
          <w:szCs w:val="22"/>
        </w:rPr>
        <w:t>：</w:t>
      </w:r>
    </w:p>
    <w:p w:rsidR="00B47F0F" w:rsidRPr="00212D57" w:rsidRDefault="00B47F0F" w:rsidP="00B47F0F">
      <w:pPr>
        <w:pStyle w:val="a5"/>
        <w:ind w:leftChars="305" w:left="732"/>
        <w:jc w:val="both"/>
        <w:rPr>
          <w:rFonts w:eastAsia="標楷體"/>
          <w:szCs w:val="22"/>
        </w:rPr>
      </w:pPr>
      <w:r w:rsidRPr="00212D57">
        <w:rPr>
          <w:rFonts w:eastAsia="標楷體" w:hint="eastAsia"/>
          <w:szCs w:val="22"/>
        </w:rPr>
        <w:t>「法界等流」：</w:t>
      </w:r>
      <w:r w:rsidRPr="00212D57">
        <w:rPr>
          <w:rFonts w:eastAsia="標楷體" w:hint="eastAsia"/>
          <w:b/>
          <w:szCs w:val="22"/>
        </w:rPr>
        <w:t>法界即諸法實相</w:t>
      </w:r>
      <w:r w:rsidRPr="00212D57">
        <w:rPr>
          <w:rFonts w:eastAsia="標楷體" w:hint="eastAsia"/>
          <w:szCs w:val="22"/>
        </w:rPr>
        <w:t>，釋尊體證的諸法實相，本是遠離名言，不能假藉言說說明的，但釋尊不說，世界即無佛法。所以釋尊祇得以言說，相似相近的把它說出來，成為</w:t>
      </w:r>
      <w:r w:rsidRPr="00212D57">
        <w:rPr>
          <w:rFonts w:eastAsia="標楷體" w:hint="eastAsia"/>
          <w:b/>
          <w:szCs w:val="22"/>
        </w:rPr>
        <w:t>與法界平等流類的佛法</w:t>
      </w:r>
      <w:r w:rsidRPr="00212D57">
        <w:rPr>
          <w:rFonts w:eastAsia="標楷體" w:hint="eastAsia"/>
          <w:szCs w:val="22"/>
        </w:rPr>
        <w:t>。</w:t>
      </w:r>
    </w:p>
    <w:p w:rsidR="00B47F0F" w:rsidRPr="00212D57" w:rsidRDefault="00B47F0F" w:rsidP="00B47F0F">
      <w:pPr>
        <w:pStyle w:val="a5"/>
        <w:ind w:leftChars="80" w:left="731" w:hangingChars="245" w:hanging="539"/>
        <w:jc w:val="both"/>
        <w:rPr>
          <w:szCs w:val="22"/>
        </w:rPr>
      </w:pPr>
      <w:r w:rsidRPr="00212D57">
        <w:rPr>
          <w:rFonts w:hint="eastAsia"/>
          <w:szCs w:val="22"/>
        </w:rPr>
        <w:t>（</w:t>
      </w:r>
      <w:r w:rsidRPr="00761EF3">
        <w:rPr>
          <w:szCs w:val="22"/>
        </w:rPr>
        <w:t>4</w:t>
      </w:r>
      <w:r w:rsidRPr="00212D57">
        <w:rPr>
          <w:rFonts w:hint="eastAsia"/>
          <w:szCs w:val="22"/>
        </w:rPr>
        <w:t>）印順法師，《華雨集》（第一冊），</w:t>
      </w:r>
      <w:r w:rsidRPr="00761EF3">
        <w:rPr>
          <w:szCs w:val="22"/>
        </w:rPr>
        <w:t>p</w:t>
      </w:r>
      <w:r w:rsidRPr="00212D57">
        <w:rPr>
          <w:szCs w:val="22"/>
        </w:rPr>
        <w:t>.</w:t>
      </w:r>
      <w:r w:rsidRPr="00761EF3">
        <w:rPr>
          <w:szCs w:val="22"/>
        </w:rPr>
        <w:t>279</w:t>
      </w:r>
      <w:r w:rsidRPr="00212D57">
        <w:rPr>
          <w:rFonts w:hint="eastAsia"/>
          <w:szCs w:val="22"/>
        </w:rPr>
        <w:t>：</w:t>
      </w:r>
    </w:p>
    <w:p w:rsidR="00B47F0F" w:rsidRPr="00212D57" w:rsidRDefault="00B47F0F" w:rsidP="00B47F0F">
      <w:pPr>
        <w:pStyle w:val="a5"/>
        <w:ind w:leftChars="305" w:left="732"/>
        <w:jc w:val="both"/>
        <w:rPr>
          <w:szCs w:val="22"/>
        </w:rPr>
      </w:pPr>
      <w:r w:rsidRPr="00212D57">
        <w:rPr>
          <w:rFonts w:eastAsia="標楷體" w:hint="eastAsia"/>
          <w:szCs w:val="22"/>
        </w:rPr>
        <w:t>佛說的一切經法，是</w:t>
      </w:r>
      <w:r w:rsidRPr="00212D57">
        <w:rPr>
          <w:rFonts w:eastAsia="標楷體" w:hint="eastAsia"/>
          <w:b/>
          <w:szCs w:val="22"/>
        </w:rPr>
        <w:t>法界等流</w:t>
      </w:r>
      <w:r w:rsidRPr="00212D57">
        <w:rPr>
          <w:rFonts w:eastAsia="標楷體" w:hint="eastAsia"/>
          <w:szCs w:val="22"/>
        </w:rPr>
        <w:t>。這是說，佛證悟了清淨真如</w:t>
      </w:r>
      <w:r w:rsidRPr="00212D57">
        <w:rPr>
          <w:rFonts w:ascii="新細明體" w:hAnsi="新細明體" w:hint="eastAsia"/>
          <w:szCs w:val="22"/>
        </w:rPr>
        <w:t>──</w:t>
      </w:r>
      <w:r w:rsidRPr="00212D57">
        <w:rPr>
          <w:rFonts w:eastAsia="標楷體" w:hint="eastAsia"/>
          <w:szCs w:val="22"/>
        </w:rPr>
        <w:t>法界，悲願薰心，起方便善巧，將自己所修，所證得的說出來。佛為眾生方便開示，演說，是從證悟法界而來的，稱法界性，平等流出，所以叫「</w:t>
      </w:r>
      <w:r w:rsidRPr="00212D57">
        <w:rPr>
          <w:rFonts w:eastAsia="標楷體" w:hint="eastAsia"/>
          <w:b/>
          <w:szCs w:val="22"/>
        </w:rPr>
        <w:t>法界等流</w:t>
      </w:r>
      <w:r w:rsidRPr="00212D57">
        <w:rPr>
          <w:rFonts w:eastAsia="標楷體" w:hint="eastAsia"/>
          <w:szCs w:val="22"/>
        </w:rPr>
        <w:t>」。</w:t>
      </w:r>
    </w:p>
  </w:footnote>
  <w:footnote w:id="294">
    <w:p w:rsidR="00B47F0F" w:rsidRPr="00212D57" w:rsidRDefault="00B47F0F" w:rsidP="00B47F0F">
      <w:pPr>
        <w:pStyle w:val="a5"/>
        <w:ind w:left="187" w:hangingChars="85" w:hanging="187"/>
        <w:jc w:val="both"/>
        <w:rPr>
          <w:szCs w:val="22"/>
        </w:rPr>
      </w:pPr>
      <w:r w:rsidRPr="00212D57">
        <w:rPr>
          <w:rStyle w:val="a6"/>
          <w:szCs w:val="22"/>
        </w:rPr>
        <w:footnoteRef/>
      </w:r>
      <w:r w:rsidRPr="00212D57">
        <w:rPr>
          <w:szCs w:val="22"/>
        </w:rPr>
        <w:t xml:space="preserve"> </w:t>
      </w:r>
      <w:r w:rsidRPr="00212D57">
        <w:rPr>
          <w:rFonts w:hint="eastAsia"/>
          <w:szCs w:val="22"/>
        </w:rPr>
        <w:t>《大智度論》卷</w:t>
      </w:r>
      <w:r w:rsidRPr="00761EF3">
        <w:rPr>
          <w:szCs w:val="22"/>
        </w:rPr>
        <w:t>18</w:t>
      </w:r>
      <w:r w:rsidR="007B0351">
        <w:rPr>
          <w:rFonts w:hint="eastAsia"/>
          <w:color w:val="FF0000"/>
          <w:szCs w:val="22"/>
          <w:highlight w:val="yellow"/>
        </w:rPr>
        <w:t>釋〈</w:t>
      </w:r>
      <w:r w:rsidR="007B0351">
        <w:rPr>
          <w:color w:val="FF0000"/>
          <w:szCs w:val="22"/>
          <w:highlight w:val="yellow"/>
        </w:rPr>
        <w:t xml:space="preserve">1 </w:t>
      </w:r>
      <w:r w:rsidR="007B0351">
        <w:rPr>
          <w:rFonts w:hint="eastAsia"/>
          <w:color w:val="FF0000"/>
          <w:szCs w:val="22"/>
          <w:highlight w:val="yellow"/>
        </w:rPr>
        <w:t>序品〉</w:t>
      </w:r>
      <w:r w:rsidRPr="00212D57">
        <w:rPr>
          <w:rFonts w:hint="eastAsia"/>
          <w:szCs w:val="22"/>
        </w:rPr>
        <w:t>（大正</w:t>
      </w:r>
      <w:r w:rsidRPr="00761EF3">
        <w:rPr>
          <w:szCs w:val="22"/>
        </w:rPr>
        <w:t>25</w:t>
      </w:r>
      <w:r w:rsidRPr="00212D57">
        <w:rPr>
          <w:rFonts w:hint="eastAsia"/>
          <w:szCs w:val="22"/>
        </w:rPr>
        <w:t>，</w:t>
      </w:r>
      <w:r w:rsidRPr="00761EF3">
        <w:rPr>
          <w:szCs w:val="22"/>
        </w:rPr>
        <w:t>196a10</w:t>
      </w:r>
      <w:r w:rsidRPr="00212D57">
        <w:rPr>
          <w:szCs w:val="22"/>
        </w:rPr>
        <w:t>-</w:t>
      </w:r>
      <w:r w:rsidRPr="00761EF3">
        <w:rPr>
          <w:szCs w:val="22"/>
        </w:rPr>
        <w:t>15</w:t>
      </w:r>
      <w:r w:rsidRPr="00212D57">
        <w:rPr>
          <w:rFonts w:hint="eastAsia"/>
          <w:szCs w:val="22"/>
        </w:rPr>
        <w:t>）：</w:t>
      </w:r>
    </w:p>
    <w:p w:rsidR="00B47F0F" w:rsidRPr="00212D57" w:rsidRDefault="00B47F0F" w:rsidP="00B47F0F">
      <w:pPr>
        <w:pStyle w:val="a5"/>
        <w:ind w:leftChars="75" w:left="840" w:hangingChars="300" w:hanging="660"/>
        <w:jc w:val="both"/>
        <w:rPr>
          <w:rFonts w:eastAsia="標楷體" w:hAnsi="標楷體"/>
          <w:szCs w:val="22"/>
        </w:rPr>
      </w:pPr>
      <w:r w:rsidRPr="00212D57">
        <w:rPr>
          <w:rFonts w:eastAsia="標楷體" w:hAnsi="標楷體" w:hint="eastAsia"/>
          <w:szCs w:val="22"/>
        </w:rPr>
        <w:t>問曰：已知</w:t>
      </w:r>
      <w:r>
        <w:rPr>
          <w:rFonts w:ascii="標楷體" w:eastAsia="標楷體" w:hAnsi="標楷體" w:hint="eastAsia"/>
          <w:bCs/>
          <w:color w:val="FF0000"/>
          <w:kern w:val="0"/>
          <w:highlight w:val="yellow"/>
        </w:rPr>
        <w:t>「</w:t>
      </w:r>
      <w:r>
        <w:rPr>
          <w:rFonts w:ascii="標楷體" w:eastAsia="標楷體" w:hAnsi="標楷體" w:hint="eastAsia"/>
          <w:color w:val="FF0000"/>
          <w:kern w:val="0"/>
          <w:highlight w:val="yellow"/>
        </w:rPr>
        <w:t>『</w:t>
      </w:r>
      <w:r w:rsidRPr="00212D57">
        <w:rPr>
          <w:rFonts w:eastAsia="標楷體" w:hAnsi="標楷體" w:hint="eastAsia"/>
          <w:szCs w:val="22"/>
        </w:rPr>
        <w:t>般若體相</w:t>
      </w:r>
      <w:r>
        <w:rPr>
          <w:rFonts w:ascii="標楷體" w:eastAsia="標楷體" w:hAnsi="標楷體" w:hint="eastAsia"/>
          <w:color w:val="FF0000"/>
          <w:kern w:val="0"/>
          <w:highlight w:val="yellow"/>
        </w:rPr>
        <w:t>』</w:t>
      </w:r>
      <w:r w:rsidRPr="00212D57">
        <w:rPr>
          <w:rFonts w:eastAsia="標楷體" w:hAnsi="標楷體" w:hint="eastAsia"/>
          <w:szCs w:val="22"/>
        </w:rPr>
        <w:t>是</w:t>
      </w:r>
      <w:r>
        <w:rPr>
          <w:rFonts w:ascii="標楷體" w:eastAsia="標楷體" w:hAnsi="標楷體" w:hint="eastAsia"/>
          <w:color w:val="FF0000"/>
          <w:kern w:val="0"/>
          <w:highlight w:val="yellow"/>
        </w:rPr>
        <w:t>『</w:t>
      </w:r>
      <w:r w:rsidRPr="00212D57">
        <w:rPr>
          <w:rFonts w:eastAsia="標楷體" w:hAnsi="標楷體" w:hint="eastAsia"/>
          <w:szCs w:val="22"/>
        </w:rPr>
        <w:t>無相無得法</w:t>
      </w:r>
      <w:r>
        <w:rPr>
          <w:rFonts w:ascii="標楷體" w:eastAsia="標楷體" w:hAnsi="標楷體" w:hint="eastAsia"/>
          <w:color w:val="FF0000"/>
          <w:kern w:val="0"/>
          <w:highlight w:val="yellow"/>
        </w:rPr>
        <w:t>』</w:t>
      </w:r>
      <w:r>
        <w:rPr>
          <w:rFonts w:ascii="標楷體" w:eastAsia="標楷體" w:hAnsi="標楷體" w:hint="eastAsia"/>
          <w:bCs/>
          <w:color w:val="FF0000"/>
          <w:kern w:val="0"/>
          <w:highlight w:val="yellow"/>
        </w:rPr>
        <w:t>」</w:t>
      </w:r>
      <w:r w:rsidRPr="00212D57">
        <w:rPr>
          <w:rFonts w:eastAsia="標楷體" w:hAnsi="標楷體" w:hint="eastAsia"/>
          <w:szCs w:val="22"/>
        </w:rPr>
        <w:t>，行者云何能得是法？</w:t>
      </w:r>
    </w:p>
    <w:p w:rsidR="00B47F0F" w:rsidRPr="00212D57" w:rsidRDefault="00B47F0F" w:rsidP="00B47F0F">
      <w:pPr>
        <w:pStyle w:val="a5"/>
        <w:ind w:leftChars="75" w:left="840" w:hangingChars="300" w:hanging="660"/>
        <w:jc w:val="both"/>
        <w:rPr>
          <w:szCs w:val="22"/>
        </w:rPr>
      </w:pPr>
      <w:r w:rsidRPr="00212D57">
        <w:rPr>
          <w:rFonts w:eastAsia="標楷體" w:hAnsi="標楷體" w:hint="eastAsia"/>
          <w:szCs w:val="22"/>
        </w:rPr>
        <w:t>答曰：</w:t>
      </w:r>
      <w:r w:rsidRPr="00212D57">
        <w:rPr>
          <w:rFonts w:eastAsia="標楷體" w:hAnsi="標楷體" w:hint="eastAsia"/>
          <w:spacing w:val="-4"/>
          <w:szCs w:val="22"/>
        </w:rPr>
        <w:t>佛以方便說法，行者如所說行則得。譬如絕崖嶮道，假梯能上；又如深水，</w:t>
      </w:r>
      <w:r w:rsidRPr="00212D57">
        <w:rPr>
          <w:rFonts w:eastAsia="標楷體" w:hAnsi="標楷體" w:hint="eastAsia"/>
          <w:szCs w:val="22"/>
        </w:rPr>
        <w:t>因船得渡。初發心菩薩，</w:t>
      </w:r>
      <w:r w:rsidRPr="00212D57">
        <w:rPr>
          <w:rFonts w:eastAsia="標楷體" w:hAnsi="標楷體" w:hint="eastAsia"/>
          <w:b/>
          <w:szCs w:val="22"/>
        </w:rPr>
        <w:t>若從佛聞、若從弟子聞、若於經中聞</w:t>
      </w:r>
      <w:r w:rsidRPr="00212D57">
        <w:rPr>
          <w:rFonts w:eastAsia="標楷體" w:hAnsi="標楷體" w:hint="eastAsia"/>
          <w:szCs w:val="22"/>
        </w:rPr>
        <w:t>。</w:t>
      </w:r>
    </w:p>
  </w:footnote>
  <w:footnote w:id="295">
    <w:p w:rsidR="00157EF6" w:rsidRPr="00212D57" w:rsidRDefault="00157EF6" w:rsidP="002B682F">
      <w:pPr>
        <w:pStyle w:val="a5"/>
        <w:ind w:left="187" w:hangingChars="85" w:hanging="187"/>
        <w:jc w:val="both"/>
        <w:rPr>
          <w:szCs w:val="22"/>
        </w:rPr>
      </w:pPr>
      <w:r w:rsidRPr="00212D57">
        <w:rPr>
          <w:rStyle w:val="a6"/>
          <w:szCs w:val="22"/>
        </w:rPr>
        <w:footnoteRef/>
      </w:r>
      <w:r w:rsidRPr="00212D57">
        <w:rPr>
          <w:szCs w:val="22"/>
        </w:rPr>
        <w:t xml:space="preserve"> </w:t>
      </w:r>
      <w:r w:rsidRPr="00212D57">
        <w:rPr>
          <w:rFonts w:hint="eastAsia"/>
          <w:szCs w:val="22"/>
        </w:rPr>
        <w:t>正鵠：</w:t>
      </w:r>
      <w:r w:rsidRPr="00761EF3">
        <w:rPr>
          <w:szCs w:val="22"/>
        </w:rPr>
        <w:t>2</w:t>
      </w:r>
      <w:r w:rsidRPr="00212D57">
        <w:rPr>
          <w:szCs w:val="22"/>
        </w:rPr>
        <w:t>.</w:t>
      </w:r>
      <w:r w:rsidRPr="00212D57">
        <w:rPr>
          <w:rFonts w:hint="eastAsia"/>
          <w:szCs w:val="22"/>
        </w:rPr>
        <w:t>正確的目標。（《漢語大詞典》（五），</w:t>
      </w:r>
      <w:r w:rsidRPr="00761EF3">
        <w:rPr>
          <w:szCs w:val="22"/>
        </w:rPr>
        <w:t>p</w:t>
      </w:r>
      <w:r w:rsidRPr="00212D57">
        <w:rPr>
          <w:szCs w:val="22"/>
        </w:rPr>
        <w:t>.</w:t>
      </w:r>
      <w:r w:rsidRPr="00761EF3">
        <w:rPr>
          <w:szCs w:val="22"/>
        </w:rPr>
        <w:t>304</w:t>
      </w:r>
      <w:r w:rsidRPr="00212D57">
        <w:rPr>
          <w:rFonts w:hint="eastAsia"/>
          <w:szCs w:val="22"/>
        </w:rPr>
        <w:t>）</w:t>
      </w:r>
    </w:p>
  </w:footnote>
  <w:footnote w:id="296">
    <w:p w:rsidR="00157EF6" w:rsidRPr="00212D57" w:rsidRDefault="00157EF6" w:rsidP="002B682F">
      <w:pPr>
        <w:pStyle w:val="a5"/>
        <w:ind w:left="187" w:hangingChars="85" w:hanging="187"/>
        <w:jc w:val="both"/>
        <w:rPr>
          <w:szCs w:val="22"/>
        </w:rPr>
      </w:pPr>
      <w:r w:rsidRPr="00212D57">
        <w:rPr>
          <w:rStyle w:val="a6"/>
          <w:szCs w:val="22"/>
        </w:rPr>
        <w:footnoteRef/>
      </w:r>
      <w:r w:rsidRPr="00212D57">
        <w:rPr>
          <w:szCs w:val="22"/>
        </w:rPr>
        <w:t xml:space="preserve"> </w:t>
      </w:r>
      <w:r w:rsidRPr="00212D57">
        <w:rPr>
          <w:rFonts w:hint="eastAsia"/>
          <w:szCs w:val="22"/>
        </w:rPr>
        <w:t>十九：十分之九。謂絕大多數。（《漢語大詞典》（一），</w:t>
      </w:r>
      <w:r w:rsidRPr="00761EF3">
        <w:rPr>
          <w:szCs w:val="22"/>
        </w:rPr>
        <w:t>p</w:t>
      </w:r>
      <w:r w:rsidRPr="00212D57">
        <w:rPr>
          <w:szCs w:val="22"/>
        </w:rPr>
        <w:t>.</w:t>
      </w:r>
      <w:r w:rsidRPr="00761EF3">
        <w:rPr>
          <w:szCs w:val="22"/>
        </w:rPr>
        <w:t>804</w:t>
      </w:r>
      <w:r w:rsidRPr="00212D57">
        <w:rPr>
          <w:rFonts w:hint="eastAsia"/>
          <w:szCs w:val="22"/>
        </w:rPr>
        <w:t>）</w:t>
      </w:r>
    </w:p>
  </w:footnote>
  <w:footnote w:id="297">
    <w:p w:rsidR="00157EF6" w:rsidRPr="00212D57" w:rsidRDefault="00157EF6" w:rsidP="002B682F">
      <w:pPr>
        <w:pStyle w:val="a5"/>
        <w:ind w:left="187" w:hangingChars="85" w:hanging="187"/>
        <w:jc w:val="both"/>
        <w:rPr>
          <w:szCs w:val="22"/>
        </w:rPr>
      </w:pPr>
      <w:r w:rsidRPr="00212D57">
        <w:rPr>
          <w:szCs w:val="22"/>
          <w:vertAlign w:val="superscript"/>
        </w:rPr>
        <w:footnoteRef/>
      </w:r>
      <w:r w:rsidRPr="00212D57">
        <w:rPr>
          <w:szCs w:val="22"/>
        </w:rPr>
        <w:t xml:space="preserve"> </w:t>
      </w:r>
      <w:r w:rsidR="009160B5">
        <w:rPr>
          <w:rFonts w:hint="eastAsia"/>
          <w:szCs w:val="22"/>
        </w:rPr>
        <w:t>參見：印</w:t>
      </w:r>
      <w:r w:rsidRPr="00212D57">
        <w:rPr>
          <w:rFonts w:hint="eastAsia"/>
          <w:szCs w:val="22"/>
        </w:rPr>
        <w:t>順法師，《般若經講記》，</w:t>
      </w:r>
      <w:r w:rsidRPr="00761EF3">
        <w:rPr>
          <w:szCs w:val="22"/>
        </w:rPr>
        <w:t>p</w:t>
      </w:r>
      <w:r w:rsidRPr="00212D57">
        <w:rPr>
          <w:szCs w:val="22"/>
        </w:rPr>
        <w:t>.</w:t>
      </w:r>
      <w:r w:rsidRPr="00761EF3">
        <w:rPr>
          <w:szCs w:val="22"/>
        </w:rPr>
        <w:t>3</w:t>
      </w:r>
      <w:r w:rsidRPr="00212D57">
        <w:rPr>
          <w:rFonts w:hint="eastAsia"/>
          <w:szCs w:val="22"/>
        </w:rPr>
        <w:t>：</w:t>
      </w:r>
    </w:p>
    <w:p w:rsidR="00157EF6" w:rsidRPr="00212D57" w:rsidRDefault="00157EF6" w:rsidP="002B682F">
      <w:pPr>
        <w:pStyle w:val="a5"/>
        <w:ind w:leftChars="75" w:left="180"/>
        <w:jc w:val="both"/>
        <w:rPr>
          <w:rFonts w:eastAsia="標楷體"/>
          <w:szCs w:val="22"/>
        </w:rPr>
      </w:pPr>
      <w:r w:rsidRPr="00212D57">
        <w:rPr>
          <w:rFonts w:eastAsia="標楷體" w:hint="eastAsia"/>
          <w:szCs w:val="22"/>
        </w:rPr>
        <w:t>佛說的般若，到底是什麼？依佛所說的內容而論，略有三種：</w:t>
      </w:r>
    </w:p>
    <w:p w:rsidR="00157EF6" w:rsidRPr="00212D57" w:rsidRDefault="00157EF6" w:rsidP="002B682F">
      <w:pPr>
        <w:pStyle w:val="a5"/>
        <w:ind w:leftChars="75" w:left="730" w:hangingChars="250" w:hanging="550"/>
        <w:jc w:val="both"/>
        <w:rPr>
          <w:rFonts w:eastAsia="標楷體"/>
          <w:szCs w:val="22"/>
        </w:rPr>
      </w:pPr>
      <w:r w:rsidRPr="00212D57">
        <w:rPr>
          <w:rFonts w:eastAsia="標楷體" w:hint="eastAsia"/>
          <w:szCs w:val="22"/>
        </w:rPr>
        <w:t>（</w:t>
      </w:r>
      <w:r w:rsidRPr="00761EF3">
        <w:rPr>
          <w:rFonts w:eastAsia="標楷體"/>
          <w:szCs w:val="22"/>
        </w:rPr>
        <w:t>1</w:t>
      </w:r>
      <w:r w:rsidRPr="00212D57">
        <w:rPr>
          <w:rFonts w:eastAsia="標楷體" w:hint="eastAsia"/>
          <w:szCs w:val="22"/>
        </w:rPr>
        <w:t>）</w:t>
      </w:r>
      <w:r w:rsidRPr="002B4073">
        <w:rPr>
          <w:rFonts w:eastAsia="標楷體" w:hint="eastAsia"/>
          <w:spacing w:val="-4"/>
          <w:szCs w:val="22"/>
        </w:rPr>
        <w:t>實相般若：《大智度論》說：「般若者，即一切諸法實相，不可破，不可壞。」</w:t>
      </w:r>
      <w:r w:rsidRPr="00212D57">
        <w:rPr>
          <w:rFonts w:eastAsia="標楷體" w:hint="eastAsia"/>
          <w:szCs w:val="22"/>
        </w:rPr>
        <w:t>如經中說的「菩薩應安住般若波羅蜜」，即指實相而言。</w:t>
      </w:r>
    </w:p>
    <w:p w:rsidR="00157EF6" w:rsidRPr="00212D57" w:rsidRDefault="00157EF6" w:rsidP="002B682F">
      <w:pPr>
        <w:pStyle w:val="a5"/>
        <w:ind w:leftChars="75" w:left="730" w:hangingChars="250" w:hanging="550"/>
        <w:jc w:val="both"/>
        <w:rPr>
          <w:rFonts w:eastAsia="標楷體"/>
          <w:szCs w:val="22"/>
        </w:rPr>
      </w:pPr>
      <w:r w:rsidRPr="00212D57">
        <w:rPr>
          <w:rFonts w:eastAsia="標楷體" w:hint="eastAsia"/>
          <w:szCs w:val="22"/>
        </w:rPr>
        <w:t>（</w:t>
      </w:r>
      <w:r w:rsidRPr="00761EF3">
        <w:rPr>
          <w:rFonts w:eastAsia="標楷體"/>
          <w:szCs w:val="22"/>
        </w:rPr>
        <w:t>2</w:t>
      </w:r>
      <w:r w:rsidRPr="00212D57">
        <w:rPr>
          <w:rFonts w:eastAsia="標楷體" w:hint="eastAsia"/>
          <w:szCs w:val="22"/>
        </w:rPr>
        <w:t>）觀照般若：觀照，即觀察的智慧，《大智度論》說：「從初發心求一切種智，於其中間，知諸法實相慧，是般若波羅蜜。」</w:t>
      </w:r>
    </w:p>
    <w:p w:rsidR="00157EF6" w:rsidRPr="00212D57" w:rsidRDefault="00157EF6" w:rsidP="002B682F">
      <w:pPr>
        <w:pStyle w:val="a5"/>
        <w:ind w:leftChars="75" w:left="730" w:hangingChars="250" w:hanging="550"/>
        <w:jc w:val="both"/>
        <w:rPr>
          <w:szCs w:val="22"/>
        </w:rPr>
      </w:pPr>
      <w:r w:rsidRPr="00212D57">
        <w:rPr>
          <w:rFonts w:eastAsia="標楷體" w:hint="eastAsia"/>
          <w:szCs w:val="22"/>
        </w:rPr>
        <w:t>（</w:t>
      </w:r>
      <w:r w:rsidRPr="00761EF3">
        <w:rPr>
          <w:rFonts w:eastAsia="標楷體"/>
          <w:szCs w:val="22"/>
        </w:rPr>
        <w:t>3</w:t>
      </w:r>
      <w:r w:rsidRPr="00212D57">
        <w:rPr>
          <w:rFonts w:eastAsia="標楷體" w:hint="eastAsia"/>
          <w:szCs w:val="22"/>
        </w:rPr>
        <w:t>）文字般若：如經中說：「般若當於何求？當於須菩提所說中求</w:t>
      </w:r>
      <w:r>
        <w:rPr>
          <w:rFonts w:eastAsia="標楷體" w:hint="eastAsia"/>
          <w:szCs w:val="22"/>
        </w:rPr>
        <w:t>。</w:t>
      </w:r>
      <w:r w:rsidRPr="00212D57">
        <w:rPr>
          <w:rFonts w:eastAsia="標楷體" w:hint="eastAsia"/>
          <w:szCs w:val="22"/>
        </w:rPr>
        <w:t>」此即指章句經卷說的。</w:t>
      </w:r>
    </w:p>
  </w:footnote>
  <w:footnote w:id="298">
    <w:p w:rsidR="00157EF6" w:rsidRPr="00212D57" w:rsidRDefault="00157EF6" w:rsidP="002B682F">
      <w:pPr>
        <w:pStyle w:val="a5"/>
        <w:spacing w:line="0" w:lineRule="atLeast"/>
        <w:ind w:left="704" w:hangingChars="320" w:hanging="704"/>
        <w:jc w:val="both"/>
        <w:rPr>
          <w:rFonts w:hAnsi="新細明體"/>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szCs w:val="22"/>
        </w:rPr>
        <w:t>1</w:t>
      </w:r>
      <w:r w:rsidRPr="00212D57">
        <w:rPr>
          <w:rFonts w:hint="eastAsia"/>
          <w:szCs w:val="22"/>
        </w:rPr>
        <w:t>）</w:t>
      </w:r>
      <w:r w:rsidRPr="00212D57">
        <w:rPr>
          <w:rFonts w:hint="eastAsia"/>
          <w:spacing w:val="-6"/>
          <w:szCs w:val="22"/>
        </w:rPr>
        <w:t>始</w:t>
      </w:r>
      <w:r w:rsidRPr="00212D57">
        <w:rPr>
          <w:rFonts w:hAnsi="新細明體" w:hint="eastAsia"/>
          <w:spacing w:val="-6"/>
          <w:szCs w:val="22"/>
        </w:rPr>
        <w:t>：</w:t>
      </w:r>
      <w:r w:rsidRPr="00761EF3">
        <w:rPr>
          <w:spacing w:val="-6"/>
          <w:szCs w:val="22"/>
        </w:rPr>
        <w:t>1</w:t>
      </w:r>
      <w:r w:rsidRPr="00212D57">
        <w:rPr>
          <w:spacing w:val="-6"/>
          <w:szCs w:val="22"/>
        </w:rPr>
        <w:t>.</w:t>
      </w:r>
      <w:r w:rsidRPr="00212D57">
        <w:rPr>
          <w:rFonts w:hAnsi="新細明體" w:hint="eastAsia"/>
          <w:spacing w:val="-6"/>
          <w:szCs w:val="22"/>
        </w:rPr>
        <w:t>開始，開端。與</w:t>
      </w:r>
      <w:r w:rsidRPr="00212D57">
        <w:rPr>
          <w:spacing w:val="-6"/>
          <w:szCs w:val="22"/>
        </w:rPr>
        <w:t>“</w:t>
      </w:r>
      <w:r w:rsidRPr="00212D57">
        <w:rPr>
          <w:rFonts w:hAnsi="新細明體" w:hint="eastAsia"/>
          <w:spacing w:val="-6"/>
          <w:szCs w:val="22"/>
        </w:rPr>
        <w:t>終</w:t>
      </w:r>
      <w:r w:rsidRPr="00212D57">
        <w:rPr>
          <w:spacing w:val="-6"/>
          <w:szCs w:val="22"/>
        </w:rPr>
        <w:t>”</w:t>
      </w:r>
      <w:r w:rsidRPr="00212D57">
        <w:rPr>
          <w:rFonts w:hAnsi="新細明體" w:hint="eastAsia"/>
          <w:spacing w:val="-6"/>
          <w:szCs w:val="22"/>
        </w:rPr>
        <w:t>相對。</w:t>
      </w:r>
      <w:r w:rsidRPr="00761EF3">
        <w:rPr>
          <w:spacing w:val="-6"/>
          <w:szCs w:val="22"/>
        </w:rPr>
        <w:t>6</w:t>
      </w:r>
      <w:r w:rsidRPr="00212D57">
        <w:rPr>
          <w:spacing w:val="-6"/>
          <w:szCs w:val="22"/>
        </w:rPr>
        <w:t>.</w:t>
      </w:r>
      <w:r w:rsidRPr="00212D57">
        <w:rPr>
          <w:rFonts w:hAnsi="新細明體" w:hint="eastAsia"/>
          <w:spacing w:val="-6"/>
          <w:szCs w:val="22"/>
        </w:rPr>
        <w:t>根本，本源。</w:t>
      </w:r>
      <w:r w:rsidRPr="00212D57">
        <w:rPr>
          <w:rFonts w:hint="eastAsia"/>
          <w:spacing w:val="-6"/>
          <w:szCs w:val="22"/>
        </w:rPr>
        <w:t>（</w:t>
      </w:r>
      <w:r w:rsidRPr="00212D57">
        <w:rPr>
          <w:rFonts w:hAnsi="新細明體" w:hint="eastAsia"/>
          <w:spacing w:val="-6"/>
          <w:szCs w:val="22"/>
        </w:rPr>
        <w:t>《漢語大詞典》（四），</w:t>
      </w:r>
      <w:r w:rsidRPr="00761EF3">
        <w:rPr>
          <w:spacing w:val="-6"/>
          <w:szCs w:val="22"/>
        </w:rPr>
        <w:t>p</w:t>
      </w:r>
      <w:r w:rsidRPr="00212D57">
        <w:rPr>
          <w:spacing w:val="-6"/>
          <w:szCs w:val="22"/>
        </w:rPr>
        <w:t>.</w:t>
      </w:r>
      <w:r w:rsidRPr="00761EF3">
        <w:rPr>
          <w:spacing w:val="-6"/>
          <w:szCs w:val="22"/>
        </w:rPr>
        <w:t>335</w:t>
      </w:r>
      <w:r w:rsidRPr="00212D57">
        <w:rPr>
          <w:rFonts w:hint="eastAsia"/>
          <w:spacing w:val="-6"/>
          <w:szCs w:val="22"/>
        </w:rPr>
        <w:t>）</w:t>
      </w:r>
    </w:p>
    <w:p w:rsidR="00157EF6" w:rsidRPr="00212D57" w:rsidRDefault="00157EF6" w:rsidP="002B682F">
      <w:pPr>
        <w:pStyle w:val="a5"/>
        <w:ind w:leftChars="80" w:left="731" w:hangingChars="245" w:hanging="539"/>
        <w:jc w:val="both"/>
        <w:rPr>
          <w:szCs w:val="22"/>
        </w:rPr>
      </w:pPr>
      <w:r w:rsidRPr="00212D57">
        <w:rPr>
          <w:rFonts w:hint="eastAsia"/>
          <w:szCs w:val="22"/>
        </w:rPr>
        <w:t>（</w:t>
      </w:r>
      <w:r w:rsidRPr="00761EF3">
        <w:rPr>
          <w:szCs w:val="22"/>
        </w:rPr>
        <w:t>2</w:t>
      </w:r>
      <w:r w:rsidRPr="00212D57">
        <w:rPr>
          <w:rFonts w:hint="eastAsia"/>
          <w:szCs w:val="22"/>
        </w:rPr>
        <w:t>）基：</w:t>
      </w:r>
      <w:r w:rsidRPr="00761EF3">
        <w:rPr>
          <w:szCs w:val="22"/>
        </w:rPr>
        <w:t>3</w:t>
      </w:r>
      <w:r w:rsidRPr="00212D57">
        <w:rPr>
          <w:szCs w:val="22"/>
        </w:rPr>
        <w:t>.</w:t>
      </w:r>
      <w:r w:rsidRPr="00212D57">
        <w:rPr>
          <w:rFonts w:hint="eastAsia"/>
          <w:szCs w:val="22"/>
        </w:rPr>
        <w:t>事物的根本。</w:t>
      </w:r>
      <w:r w:rsidRPr="00761EF3">
        <w:rPr>
          <w:szCs w:val="22"/>
        </w:rPr>
        <w:t>4</w:t>
      </w:r>
      <w:r w:rsidRPr="00212D57">
        <w:rPr>
          <w:szCs w:val="22"/>
        </w:rPr>
        <w:t>.</w:t>
      </w:r>
      <w:r w:rsidRPr="00212D57">
        <w:rPr>
          <w:rFonts w:hAnsi="新細明體" w:hint="eastAsia"/>
          <w:szCs w:val="22"/>
        </w:rPr>
        <w:t>起始。</w:t>
      </w:r>
      <w:r w:rsidRPr="00212D57">
        <w:rPr>
          <w:rFonts w:hint="eastAsia"/>
          <w:szCs w:val="22"/>
        </w:rPr>
        <w:t>（</w:t>
      </w:r>
      <w:r w:rsidRPr="00212D57">
        <w:rPr>
          <w:rFonts w:hAnsi="新細明體" w:hint="eastAsia"/>
          <w:szCs w:val="22"/>
        </w:rPr>
        <w:t>《漢語大詞典》（二），</w:t>
      </w:r>
      <w:r w:rsidRPr="00761EF3">
        <w:rPr>
          <w:szCs w:val="22"/>
        </w:rPr>
        <w:t>p</w:t>
      </w:r>
      <w:r w:rsidRPr="00212D57">
        <w:rPr>
          <w:szCs w:val="22"/>
        </w:rPr>
        <w:t>.</w:t>
      </w:r>
      <w:r w:rsidRPr="00761EF3">
        <w:rPr>
          <w:szCs w:val="22"/>
        </w:rPr>
        <w:t>1110</w:t>
      </w:r>
      <w:r w:rsidRPr="00212D57">
        <w:rPr>
          <w:rFonts w:hint="eastAsia"/>
          <w:szCs w:val="22"/>
        </w:rPr>
        <w:t>）</w:t>
      </w:r>
    </w:p>
  </w:footnote>
  <w:footnote w:id="299">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rFonts w:hAnsi="新細明體" w:hint="eastAsia"/>
          <w:szCs w:val="22"/>
        </w:rPr>
        <w:t>《阿毘達磨大毘婆沙論》卷</w:t>
      </w:r>
      <w:r w:rsidRPr="00761EF3">
        <w:rPr>
          <w:szCs w:val="22"/>
        </w:rPr>
        <w:t>181</w:t>
      </w:r>
      <w:r w:rsidRPr="00212D57">
        <w:rPr>
          <w:rFonts w:hint="eastAsia"/>
          <w:szCs w:val="22"/>
        </w:rPr>
        <w:t>（</w:t>
      </w:r>
      <w:r w:rsidRPr="00212D57">
        <w:rPr>
          <w:rFonts w:hAnsi="新細明體" w:hint="eastAsia"/>
          <w:szCs w:val="22"/>
        </w:rPr>
        <w:t>大正</w:t>
      </w:r>
      <w:r w:rsidRPr="00761EF3">
        <w:rPr>
          <w:szCs w:val="22"/>
        </w:rPr>
        <w:t>27</w:t>
      </w:r>
      <w:r w:rsidRPr="00212D57">
        <w:rPr>
          <w:rFonts w:hAnsi="新細明體" w:hint="eastAsia"/>
          <w:szCs w:val="22"/>
        </w:rPr>
        <w:t>，</w:t>
      </w:r>
      <w:r w:rsidRPr="00761EF3">
        <w:rPr>
          <w:szCs w:val="22"/>
        </w:rPr>
        <w:t>910c12</w:t>
      </w:r>
      <w:r w:rsidRPr="00212D57">
        <w:rPr>
          <w:szCs w:val="22"/>
        </w:rPr>
        <w:t>-</w:t>
      </w:r>
      <w:r w:rsidRPr="00761EF3">
        <w:rPr>
          <w:szCs w:val="22"/>
        </w:rPr>
        <w:t>15</w:t>
      </w:r>
      <w:r w:rsidRPr="00212D57">
        <w:rPr>
          <w:rFonts w:hint="eastAsia"/>
          <w:szCs w:val="22"/>
        </w:rPr>
        <w:t>）</w:t>
      </w:r>
      <w:r w:rsidRPr="00212D57">
        <w:rPr>
          <w:rFonts w:hAnsi="新細明體" w:hint="eastAsia"/>
          <w:szCs w:val="22"/>
        </w:rPr>
        <w:t>：</w:t>
      </w:r>
    </w:p>
    <w:p w:rsidR="00157EF6" w:rsidRPr="00212D57" w:rsidRDefault="00157EF6" w:rsidP="002B682F">
      <w:pPr>
        <w:pStyle w:val="a5"/>
        <w:ind w:leftChars="105" w:left="252"/>
        <w:jc w:val="both"/>
        <w:rPr>
          <w:rFonts w:eastAsia="標楷體"/>
          <w:szCs w:val="22"/>
        </w:rPr>
      </w:pPr>
      <w:r w:rsidRPr="00212D57">
        <w:rPr>
          <w:rFonts w:eastAsia="標楷體" w:hint="eastAsia"/>
          <w:szCs w:val="22"/>
        </w:rPr>
        <w:t>云何</w:t>
      </w:r>
      <w:r w:rsidR="00713D2A">
        <w:rPr>
          <w:rFonts w:ascii="標楷體" w:eastAsia="標楷體" w:hAnsi="標楷體" w:hint="eastAsia"/>
          <w:bCs/>
          <w:color w:val="FF0000"/>
          <w:kern w:val="0"/>
          <w:highlight w:val="yellow"/>
        </w:rPr>
        <w:t>「</w:t>
      </w:r>
      <w:r w:rsidRPr="00212D57">
        <w:rPr>
          <w:rFonts w:eastAsia="標楷體" w:hint="eastAsia"/>
          <w:szCs w:val="22"/>
        </w:rPr>
        <w:t>法</w:t>
      </w:r>
      <w:r w:rsidR="00713D2A">
        <w:rPr>
          <w:rFonts w:ascii="標楷體" w:eastAsia="標楷體" w:hAnsi="標楷體" w:hint="eastAsia"/>
          <w:bCs/>
          <w:color w:val="FF0000"/>
          <w:kern w:val="0"/>
          <w:highlight w:val="yellow"/>
        </w:rPr>
        <w:t>」</w:t>
      </w:r>
      <w:r w:rsidRPr="00212D57">
        <w:rPr>
          <w:rFonts w:eastAsia="標楷體" w:hint="eastAsia"/>
          <w:szCs w:val="22"/>
        </w:rPr>
        <w:t>？答：寂滅涅槃。</w:t>
      </w:r>
    </w:p>
    <w:p w:rsidR="00157EF6" w:rsidRPr="00212D57" w:rsidRDefault="00157EF6" w:rsidP="002B682F">
      <w:pPr>
        <w:pStyle w:val="a5"/>
        <w:ind w:leftChars="105" w:left="252"/>
        <w:jc w:val="both"/>
        <w:rPr>
          <w:rFonts w:eastAsia="標楷體"/>
          <w:szCs w:val="22"/>
        </w:rPr>
      </w:pPr>
      <w:r w:rsidRPr="00212D57">
        <w:rPr>
          <w:rFonts w:eastAsia="標楷體" w:hint="eastAsia"/>
          <w:szCs w:val="22"/>
        </w:rPr>
        <w:t>云何</w:t>
      </w:r>
      <w:r w:rsidR="00713D2A">
        <w:rPr>
          <w:rFonts w:ascii="標楷體" w:eastAsia="標楷體" w:hAnsi="標楷體" w:hint="eastAsia"/>
          <w:bCs/>
          <w:color w:val="FF0000"/>
          <w:kern w:val="0"/>
          <w:highlight w:val="yellow"/>
        </w:rPr>
        <w:t>「</w:t>
      </w:r>
      <w:r w:rsidRPr="00212D57">
        <w:rPr>
          <w:rFonts w:eastAsia="標楷體" w:hint="eastAsia"/>
          <w:szCs w:val="22"/>
        </w:rPr>
        <w:t>隨法</w:t>
      </w:r>
      <w:r w:rsidR="00713D2A">
        <w:rPr>
          <w:rFonts w:ascii="標楷體" w:eastAsia="標楷體" w:hAnsi="標楷體" w:hint="eastAsia"/>
          <w:bCs/>
          <w:color w:val="FF0000"/>
          <w:kern w:val="0"/>
          <w:highlight w:val="yellow"/>
        </w:rPr>
        <w:t>」</w:t>
      </w:r>
      <w:r w:rsidRPr="00212D57">
        <w:rPr>
          <w:rFonts w:eastAsia="標楷體" w:hint="eastAsia"/>
          <w:szCs w:val="22"/>
        </w:rPr>
        <w:t>？答：八支聖道。</w:t>
      </w:r>
    </w:p>
    <w:p w:rsidR="00157EF6" w:rsidRPr="00212D57" w:rsidRDefault="00157EF6" w:rsidP="002B682F">
      <w:pPr>
        <w:pStyle w:val="a5"/>
        <w:ind w:leftChars="105" w:left="252"/>
        <w:jc w:val="both"/>
        <w:rPr>
          <w:szCs w:val="22"/>
        </w:rPr>
      </w:pPr>
      <w:r w:rsidRPr="00212D57">
        <w:rPr>
          <w:rFonts w:eastAsia="標楷體" w:hint="eastAsia"/>
          <w:szCs w:val="22"/>
        </w:rPr>
        <w:t>云何</w:t>
      </w:r>
      <w:r w:rsidR="00713D2A">
        <w:rPr>
          <w:rFonts w:ascii="標楷體" w:eastAsia="標楷體" w:hAnsi="標楷體" w:hint="eastAsia"/>
          <w:bCs/>
          <w:color w:val="FF0000"/>
          <w:kern w:val="0"/>
          <w:highlight w:val="yellow"/>
        </w:rPr>
        <w:t>「</w:t>
      </w:r>
      <w:r w:rsidRPr="00212D57">
        <w:rPr>
          <w:rFonts w:eastAsia="標楷體" w:hint="eastAsia"/>
          <w:b/>
          <w:szCs w:val="22"/>
        </w:rPr>
        <w:t>法隨法行</w:t>
      </w:r>
      <w:r w:rsidR="00713D2A">
        <w:rPr>
          <w:rFonts w:ascii="標楷體" w:eastAsia="標楷體" w:hAnsi="標楷體" w:hint="eastAsia"/>
          <w:bCs/>
          <w:color w:val="FF0000"/>
          <w:kern w:val="0"/>
          <w:highlight w:val="yellow"/>
        </w:rPr>
        <w:t>」</w:t>
      </w:r>
      <w:r w:rsidRPr="00212D57">
        <w:rPr>
          <w:rFonts w:eastAsia="標楷體" w:hint="eastAsia"/>
          <w:szCs w:val="22"/>
        </w:rPr>
        <w:t>？答：若於此中隨義而行，所謂為求涅槃故修習八支聖道，故名</w:t>
      </w:r>
      <w:r w:rsidR="00713D2A">
        <w:rPr>
          <w:rFonts w:ascii="標楷體" w:eastAsia="標楷體" w:hAnsi="標楷體" w:hint="eastAsia"/>
          <w:bCs/>
          <w:color w:val="FF0000"/>
          <w:kern w:val="0"/>
          <w:highlight w:val="yellow"/>
        </w:rPr>
        <w:t>「</w:t>
      </w:r>
      <w:r w:rsidRPr="00212D57">
        <w:rPr>
          <w:rFonts w:eastAsia="標楷體" w:hint="eastAsia"/>
          <w:b/>
          <w:szCs w:val="22"/>
        </w:rPr>
        <w:t>法隨法行</w:t>
      </w:r>
      <w:r w:rsidR="00713D2A">
        <w:rPr>
          <w:rFonts w:ascii="標楷體" w:eastAsia="標楷體" w:hAnsi="標楷體" w:hint="eastAsia"/>
          <w:bCs/>
          <w:color w:val="FF0000"/>
          <w:kern w:val="0"/>
          <w:highlight w:val="yellow"/>
        </w:rPr>
        <w:t>」</w:t>
      </w:r>
      <w:r w:rsidRPr="00212D57">
        <w:rPr>
          <w:rFonts w:eastAsia="標楷體" w:hint="eastAsia"/>
          <w:szCs w:val="22"/>
        </w:rPr>
        <w:t>。</w:t>
      </w:r>
    </w:p>
  </w:footnote>
  <w:footnote w:id="300">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rFonts w:hint="eastAsia"/>
          <w:szCs w:val="22"/>
        </w:rPr>
        <w:t>印順法師，《華雨集》（第二冊），</w:t>
      </w:r>
      <w:r w:rsidRPr="00761EF3">
        <w:rPr>
          <w:szCs w:val="22"/>
        </w:rPr>
        <w:t>p</w:t>
      </w:r>
      <w:r w:rsidRPr="00212D57">
        <w:rPr>
          <w:szCs w:val="22"/>
        </w:rPr>
        <w:t>.</w:t>
      </w:r>
      <w:r w:rsidRPr="00761EF3">
        <w:rPr>
          <w:szCs w:val="22"/>
        </w:rPr>
        <w:t>42</w:t>
      </w:r>
      <w:r w:rsidRPr="00212D57">
        <w:rPr>
          <w:rFonts w:hint="eastAsia"/>
          <w:szCs w:val="22"/>
        </w:rPr>
        <w:t>：</w:t>
      </w:r>
    </w:p>
    <w:p w:rsidR="00157EF6" w:rsidRPr="00212D57" w:rsidRDefault="00157EF6" w:rsidP="002B682F">
      <w:pPr>
        <w:snapToGrid w:val="0"/>
        <w:ind w:leftChars="105" w:left="252"/>
        <w:jc w:val="both"/>
        <w:rPr>
          <w:rFonts w:ascii="標楷體" w:eastAsia="標楷體" w:hAnsi="標楷體"/>
          <w:sz w:val="22"/>
          <w:szCs w:val="22"/>
        </w:rPr>
      </w:pPr>
      <w:r w:rsidRPr="00212D57">
        <w:rPr>
          <w:rFonts w:ascii="標楷體" w:eastAsia="標楷體" w:hAnsi="標楷體" w:hint="eastAsia"/>
          <w:sz w:val="22"/>
          <w:szCs w:val="22"/>
        </w:rPr>
        <w:t>龍樹說：「佛法從三處聞：從佛聞，從弟子聞，從經典聞。」</w:t>
      </w:r>
    </w:p>
    <w:p w:rsidR="00157EF6" w:rsidRPr="00212D57" w:rsidRDefault="00157EF6" w:rsidP="002B682F">
      <w:pPr>
        <w:snapToGrid w:val="0"/>
        <w:ind w:leftChars="105" w:left="252"/>
        <w:jc w:val="both"/>
        <w:rPr>
          <w:rFonts w:ascii="標楷體" w:eastAsia="標楷體" w:hAnsi="標楷體"/>
          <w:sz w:val="22"/>
          <w:szCs w:val="22"/>
        </w:rPr>
      </w:pPr>
      <w:r w:rsidRPr="00212D57">
        <w:rPr>
          <w:rFonts w:ascii="標楷體" w:eastAsia="標楷體" w:hAnsi="標楷體" w:hint="eastAsia"/>
          <w:b/>
          <w:sz w:val="22"/>
          <w:szCs w:val="22"/>
        </w:rPr>
        <w:t>無倒的聽聞正法，能成就「聞慧」</w:t>
      </w:r>
      <w:r w:rsidRPr="00212D57">
        <w:rPr>
          <w:rFonts w:ascii="標楷體" w:eastAsia="標楷體" w:hAnsi="標楷體" w:hint="eastAsia"/>
          <w:sz w:val="22"/>
          <w:szCs w:val="22"/>
        </w:rPr>
        <w:t>。</w:t>
      </w:r>
    </w:p>
    <w:p w:rsidR="00157EF6" w:rsidRPr="00212D57" w:rsidRDefault="00157EF6" w:rsidP="002B682F">
      <w:pPr>
        <w:snapToGrid w:val="0"/>
        <w:ind w:leftChars="105" w:left="252"/>
        <w:jc w:val="both"/>
        <w:rPr>
          <w:rFonts w:ascii="標楷體" w:eastAsia="標楷體" w:hAnsi="標楷體"/>
          <w:sz w:val="22"/>
          <w:szCs w:val="22"/>
        </w:rPr>
      </w:pPr>
      <w:r w:rsidRPr="00212D57">
        <w:rPr>
          <w:rFonts w:ascii="標楷體" w:eastAsia="標楷體" w:hAnsi="標楷體" w:hint="eastAsia"/>
          <w:sz w:val="22"/>
          <w:szCs w:val="22"/>
        </w:rPr>
        <w:t>如所聞的正法而審正思惟，</w:t>
      </w:r>
      <w:r w:rsidRPr="00212D57">
        <w:rPr>
          <w:rFonts w:ascii="標楷體" w:eastAsia="標楷體" w:hAnsi="標楷體" w:hint="eastAsia"/>
          <w:b/>
          <w:sz w:val="22"/>
          <w:szCs w:val="22"/>
        </w:rPr>
        <w:t>如理作意能成就「思慧」</w:t>
      </w:r>
      <w:r w:rsidRPr="00212D57">
        <w:rPr>
          <w:rFonts w:ascii="標楷體" w:eastAsia="標楷體" w:hAnsi="標楷體" w:hint="eastAsia"/>
          <w:sz w:val="22"/>
          <w:szCs w:val="22"/>
        </w:rPr>
        <w:t>。</w:t>
      </w:r>
    </w:p>
    <w:p w:rsidR="00157EF6" w:rsidRPr="00212D57" w:rsidRDefault="00157EF6" w:rsidP="002B682F">
      <w:pPr>
        <w:snapToGrid w:val="0"/>
        <w:ind w:leftChars="105" w:left="252"/>
        <w:jc w:val="both"/>
        <w:rPr>
          <w:rFonts w:ascii="標楷體" w:eastAsia="標楷體" w:hAnsi="標楷體"/>
          <w:sz w:val="22"/>
          <w:szCs w:val="22"/>
        </w:rPr>
      </w:pPr>
      <w:r w:rsidRPr="00212D57">
        <w:rPr>
          <w:rFonts w:ascii="標楷體" w:eastAsia="標楷體" w:hAnsi="標楷體" w:hint="eastAsia"/>
          <w:sz w:val="22"/>
          <w:szCs w:val="22"/>
        </w:rPr>
        <w:t>如法隨順法義而精勤修習，</w:t>
      </w:r>
      <w:r w:rsidRPr="00212D57">
        <w:rPr>
          <w:rFonts w:ascii="標楷體" w:eastAsia="標楷體" w:hAnsi="標楷體" w:hint="eastAsia"/>
          <w:b/>
          <w:sz w:val="22"/>
          <w:szCs w:val="22"/>
        </w:rPr>
        <w:t>法隨法行能成就「修慧」</w:t>
      </w:r>
      <w:r w:rsidRPr="00212D57">
        <w:rPr>
          <w:rFonts w:ascii="標楷體" w:eastAsia="標楷體" w:hAnsi="標楷體" w:hint="eastAsia"/>
          <w:sz w:val="22"/>
          <w:szCs w:val="22"/>
        </w:rPr>
        <w:t>。</w:t>
      </w:r>
    </w:p>
    <w:p w:rsidR="00157EF6" w:rsidRPr="00212D57" w:rsidRDefault="00157EF6" w:rsidP="002B682F">
      <w:pPr>
        <w:snapToGrid w:val="0"/>
        <w:ind w:leftChars="105" w:left="252"/>
        <w:jc w:val="both"/>
        <w:rPr>
          <w:sz w:val="22"/>
          <w:szCs w:val="22"/>
        </w:rPr>
      </w:pPr>
      <w:r w:rsidRPr="00212D57">
        <w:rPr>
          <w:rFonts w:ascii="標楷體" w:eastAsia="標楷體" w:hAnsi="標楷體" w:hint="eastAsia"/>
          <w:sz w:val="22"/>
          <w:szCs w:val="22"/>
        </w:rPr>
        <w:t>聞、思、修──三慧的進修，能見諦而得預流果。</w:t>
      </w:r>
    </w:p>
  </w:footnote>
  <w:footnote w:id="301">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rFonts w:hint="eastAsia"/>
          <w:szCs w:val="22"/>
        </w:rPr>
        <w:t>印順法師，《般若經講記》，</w:t>
      </w:r>
      <w:r w:rsidRPr="00761EF3">
        <w:rPr>
          <w:szCs w:val="22"/>
        </w:rPr>
        <w:t>pp</w:t>
      </w:r>
      <w:r w:rsidRPr="00212D57">
        <w:rPr>
          <w:szCs w:val="22"/>
        </w:rPr>
        <w:t>.</w:t>
      </w:r>
      <w:r w:rsidRPr="00761EF3">
        <w:rPr>
          <w:szCs w:val="22"/>
        </w:rPr>
        <w:t>6</w:t>
      </w:r>
      <w:r w:rsidRPr="00212D57">
        <w:rPr>
          <w:szCs w:val="22"/>
        </w:rPr>
        <w:t>-</w:t>
      </w:r>
      <w:r w:rsidRPr="00761EF3">
        <w:rPr>
          <w:szCs w:val="22"/>
        </w:rPr>
        <w:t>8</w:t>
      </w:r>
      <w:r w:rsidRPr="00212D57">
        <w:rPr>
          <w:rFonts w:hint="eastAsia"/>
          <w:szCs w:val="22"/>
        </w:rPr>
        <w:t>：</w:t>
      </w:r>
    </w:p>
    <w:p w:rsidR="00157EF6" w:rsidRPr="00212D57" w:rsidRDefault="00157EF6" w:rsidP="002B682F">
      <w:pPr>
        <w:pStyle w:val="a5"/>
        <w:ind w:leftChars="105" w:left="252"/>
        <w:jc w:val="both"/>
        <w:rPr>
          <w:rFonts w:ascii="標楷體" w:eastAsia="標楷體" w:hAnsi="標楷體"/>
          <w:szCs w:val="22"/>
        </w:rPr>
      </w:pPr>
      <w:r w:rsidRPr="00212D57">
        <w:rPr>
          <w:rFonts w:ascii="標楷體" w:eastAsia="標楷體" w:hAnsi="標楷體" w:hint="eastAsia"/>
          <w:b/>
          <w:szCs w:val="22"/>
        </w:rPr>
        <w:t>觀照般若：</w:t>
      </w:r>
      <w:r w:rsidRPr="00212D57">
        <w:rPr>
          <w:rFonts w:ascii="標楷體" w:eastAsia="標楷體" w:hAnsi="標楷體" w:hint="eastAsia"/>
          <w:szCs w:val="22"/>
        </w:rPr>
        <w:t>再作三節解說：凡、外、小智之料簡：</w:t>
      </w:r>
    </w:p>
    <w:p w:rsidR="00157EF6" w:rsidRPr="00212D57" w:rsidRDefault="00157EF6" w:rsidP="002B682F">
      <w:pPr>
        <w:pStyle w:val="a5"/>
        <w:ind w:leftChars="105" w:left="428" w:hangingChars="80" w:hanging="176"/>
        <w:jc w:val="both"/>
        <w:rPr>
          <w:rFonts w:eastAsia="標楷體"/>
          <w:szCs w:val="22"/>
        </w:rPr>
      </w:pPr>
      <w:r w:rsidRPr="00761EF3">
        <w:rPr>
          <w:rFonts w:eastAsia="標楷體"/>
          <w:b/>
          <w:szCs w:val="22"/>
        </w:rPr>
        <w:t>1</w:t>
      </w:r>
      <w:r w:rsidRPr="00212D57">
        <w:rPr>
          <w:rFonts w:eastAsia="標楷體"/>
          <w:b/>
          <w:szCs w:val="22"/>
        </w:rPr>
        <w:t>.</w:t>
      </w:r>
      <w:r w:rsidRPr="00212D57">
        <w:rPr>
          <w:rFonts w:eastAsia="標楷體" w:hint="eastAsia"/>
          <w:b/>
          <w:szCs w:val="22"/>
        </w:rPr>
        <w:t>世間凡夫也各有智慧</w:t>
      </w:r>
      <w:r w:rsidRPr="00212D57">
        <w:rPr>
          <w:rFonts w:eastAsia="標楷體" w:hint="eastAsia"/>
          <w:szCs w:val="22"/>
        </w:rPr>
        <w:t>，如文學的創作，藝術的優美，哲學與科學的昌明，以及政治、經濟等一切，都是智慧的結晶；沒有智慧，就不會有這些建樹。但這是世間的，利害參半的。如飛機的發明，在交通便利上，是有益人群的；但用它來作戰，就有害了。常人所有的「俗智俗慧」，偏於事相的，含有雜染的，不能說是般若。</w:t>
      </w:r>
    </w:p>
    <w:p w:rsidR="00157EF6" w:rsidRPr="00212D57" w:rsidRDefault="00157EF6" w:rsidP="002B682F">
      <w:pPr>
        <w:pStyle w:val="a5"/>
        <w:ind w:leftChars="105" w:left="428" w:hangingChars="80" w:hanging="176"/>
        <w:jc w:val="both"/>
        <w:rPr>
          <w:rFonts w:eastAsia="標楷體"/>
          <w:szCs w:val="22"/>
        </w:rPr>
      </w:pPr>
      <w:r w:rsidRPr="00761EF3">
        <w:rPr>
          <w:rFonts w:eastAsia="標楷體"/>
          <w:b/>
          <w:szCs w:val="22"/>
        </w:rPr>
        <w:t>2</w:t>
      </w:r>
      <w:r w:rsidRPr="00212D57">
        <w:rPr>
          <w:rFonts w:eastAsia="標楷體"/>
          <w:b/>
          <w:szCs w:val="22"/>
        </w:rPr>
        <w:t>.</w:t>
      </w:r>
      <w:r w:rsidRPr="00212D57">
        <w:rPr>
          <w:rFonts w:eastAsia="標楷體" w:hint="eastAsia"/>
          <w:b/>
          <w:szCs w:val="22"/>
        </w:rPr>
        <w:t>外道也有他們的智慧</w:t>
      </w:r>
      <w:r w:rsidRPr="00212D57">
        <w:rPr>
          <w:rFonts w:eastAsia="標楷體" w:hint="eastAsia"/>
          <w:szCs w:val="22"/>
        </w:rPr>
        <w:t>，像印度的婆羅門，西歐的基督教等。他們的智慧，以人間為醜惡的，痛苦的，要求升到一個美妙的、安樂的天國。於是乎行慈善，持戒，禱告，念誦，修定等。這種希求離此生彼的「邪智邪慧」，如尺蠖的取一捨一，沒有解脫的可能，不能說是般若。</w:t>
      </w:r>
    </w:p>
    <w:p w:rsidR="00157EF6" w:rsidRPr="00212D57" w:rsidRDefault="00157EF6" w:rsidP="002B682F">
      <w:pPr>
        <w:pStyle w:val="a5"/>
        <w:ind w:leftChars="105" w:left="428" w:hangingChars="80" w:hanging="176"/>
        <w:jc w:val="both"/>
        <w:rPr>
          <w:rFonts w:eastAsia="標楷體"/>
          <w:szCs w:val="22"/>
        </w:rPr>
      </w:pPr>
      <w:r w:rsidRPr="00761EF3">
        <w:rPr>
          <w:rFonts w:eastAsia="標楷體"/>
          <w:b/>
          <w:szCs w:val="22"/>
        </w:rPr>
        <w:t>3</w:t>
      </w:r>
      <w:r w:rsidRPr="00212D57">
        <w:rPr>
          <w:rFonts w:eastAsia="標楷體"/>
          <w:b/>
          <w:szCs w:val="22"/>
        </w:rPr>
        <w:t>.</w:t>
      </w:r>
      <w:r w:rsidRPr="00212D57">
        <w:rPr>
          <w:rFonts w:eastAsia="標楷體" w:hint="eastAsia"/>
          <w:b/>
          <w:szCs w:val="22"/>
        </w:rPr>
        <w:t>二乘行者得無我我所慧</w:t>
      </w:r>
      <w:r w:rsidRPr="00212D57">
        <w:rPr>
          <w:rFonts w:eastAsia="標楷體" w:hint="eastAsia"/>
          <w:szCs w:val="22"/>
        </w:rPr>
        <w:t>，解脫生死，可以稱為般若；但也不是《般若經》所說的般若。</w:t>
      </w:r>
    </w:p>
    <w:p w:rsidR="00157EF6" w:rsidRPr="00212D57" w:rsidRDefault="00157EF6" w:rsidP="002B682F">
      <w:pPr>
        <w:pStyle w:val="a5"/>
        <w:ind w:leftChars="105" w:left="252"/>
        <w:jc w:val="both"/>
        <w:rPr>
          <w:rFonts w:eastAsia="標楷體"/>
          <w:b/>
          <w:szCs w:val="22"/>
        </w:rPr>
      </w:pPr>
      <w:r w:rsidRPr="00212D57">
        <w:rPr>
          <w:rFonts w:eastAsia="標楷體" w:hint="eastAsia"/>
          <w:b/>
          <w:szCs w:val="22"/>
        </w:rPr>
        <w:t>大乘的諸法實相慧，要有大悲方便助成的；悲智不二的般若，決非二乘的「偏智偏慧」可比。離此三種，菩薩大悲相應的平等大慧，才是般若。</w:t>
      </w:r>
    </w:p>
    <w:p w:rsidR="00157EF6" w:rsidRPr="00212D57" w:rsidRDefault="00157EF6" w:rsidP="002B682F">
      <w:pPr>
        <w:pStyle w:val="a5"/>
        <w:ind w:leftChars="105" w:left="252"/>
        <w:jc w:val="both"/>
        <w:rPr>
          <w:rFonts w:ascii="標楷體" w:eastAsia="標楷體" w:hAnsi="標楷體"/>
          <w:szCs w:val="22"/>
        </w:rPr>
      </w:pPr>
      <w:r w:rsidRPr="00212D57">
        <w:rPr>
          <w:rFonts w:ascii="標楷體" w:eastAsia="標楷體" w:hAnsi="標楷體" w:hint="eastAsia"/>
          <w:szCs w:val="22"/>
        </w:rPr>
        <w:t>空、般若、菩提之轉化：《大智度論》說：「般若是一法，隨機而異稱。」如大乘行者從初抉擇觀察我法無性入門，所以名為空觀或空慧。不過，這時的空慧還沒有成就；如真能徹悟諸法空相，就轉名般若；所以《大智度論》說：「未成就名空，已成就名般若。」般若到了究竟圓滿，即名為無上菩提。所以說：「因名般若，果名薩婆若」──一切種智。羅什說：薩婆若即是老般若。約始終淺深說，有此三名，實際即是一般若。如幼年名孩童，讀書即名學生，長大務農作工又名為農夫或工人。因此說：「般若是一法，隨機而異稱。」</w:t>
      </w:r>
    </w:p>
    <w:p w:rsidR="00157EF6" w:rsidRPr="00212D57" w:rsidRDefault="00157EF6" w:rsidP="002B682F">
      <w:pPr>
        <w:pStyle w:val="a5"/>
        <w:ind w:leftChars="100" w:left="240"/>
        <w:jc w:val="both"/>
        <w:rPr>
          <w:szCs w:val="22"/>
        </w:rPr>
      </w:pPr>
      <w:r w:rsidRPr="00212D57">
        <w:rPr>
          <w:rFonts w:ascii="標楷體" w:eastAsia="標楷體" w:hAnsi="標楷體" w:hint="eastAsia"/>
          <w:szCs w:val="22"/>
        </w:rPr>
        <w:t>般若、方便之同異：般若是智慧，方便也是智慧。《大智度論》比喻說：般若如金，方便如熟煉了的金，可作種種飾物。菩薩初以般若慧觀一切法空，如通達諸法空性，即能引發無方的巧用，名為方便。經上說：「以無所得為方便。」假使離了性空慧，方便也就不成其為方便了！所以，般若與方便，不一不異：般若側重於法空的體證；方便側重於救濟眾生的大行，即以便宜的方法利濟眾生。《大智度論》這樣說：「般若將入畢竟空，絕諸戲論；方便將出畢竟空，嚴土熟生。」</w:t>
      </w:r>
    </w:p>
  </w:footnote>
  <w:footnote w:id="302">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rFonts w:hint="eastAsia"/>
          <w:szCs w:val="22"/>
        </w:rPr>
        <w:t>「緣起、緣生」，</w:t>
      </w:r>
      <w:r w:rsidR="009160B5">
        <w:rPr>
          <w:rFonts w:hint="eastAsia"/>
          <w:szCs w:val="22"/>
        </w:rPr>
        <w:t>參見：印</w:t>
      </w:r>
      <w:r w:rsidRPr="00212D57">
        <w:rPr>
          <w:rFonts w:hint="eastAsia"/>
          <w:szCs w:val="22"/>
        </w:rPr>
        <w:t>順法師，《中觀今論》，第</w:t>
      </w:r>
      <w:r w:rsidRPr="00761EF3">
        <w:rPr>
          <w:rFonts w:hint="eastAsia"/>
          <w:szCs w:val="22"/>
        </w:rPr>
        <w:t>3</w:t>
      </w:r>
      <w:r w:rsidRPr="00212D57">
        <w:rPr>
          <w:rFonts w:hint="eastAsia"/>
          <w:szCs w:val="22"/>
        </w:rPr>
        <w:t>章，第</w:t>
      </w:r>
      <w:r w:rsidRPr="00761EF3">
        <w:rPr>
          <w:rFonts w:hint="eastAsia"/>
          <w:szCs w:val="22"/>
        </w:rPr>
        <w:t>4</w:t>
      </w:r>
      <w:r w:rsidRPr="00212D57">
        <w:rPr>
          <w:rFonts w:hint="eastAsia"/>
          <w:szCs w:val="22"/>
        </w:rPr>
        <w:t>節〈緣起之綜貫性〉，</w:t>
      </w:r>
      <w:r w:rsidRPr="00761EF3">
        <w:rPr>
          <w:szCs w:val="22"/>
        </w:rPr>
        <w:t>pp</w:t>
      </w:r>
      <w:r w:rsidRPr="00212D57">
        <w:rPr>
          <w:szCs w:val="22"/>
        </w:rPr>
        <w:t>.</w:t>
      </w:r>
      <w:r w:rsidRPr="00761EF3">
        <w:rPr>
          <w:szCs w:val="22"/>
        </w:rPr>
        <w:t>37</w:t>
      </w:r>
      <w:r w:rsidRPr="00212D57">
        <w:rPr>
          <w:szCs w:val="22"/>
        </w:rPr>
        <w:t>-</w:t>
      </w:r>
      <w:r w:rsidRPr="00761EF3">
        <w:rPr>
          <w:szCs w:val="22"/>
        </w:rPr>
        <w:t>39</w:t>
      </w:r>
      <w:r w:rsidRPr="00212D57">
        <w:rPr>
          <w:rFonts w:hint="eastAsia"/>
          <w:szCs w:val="22"/>
        </w:rPr>
        <w:t>。</w:t>
      </w:r>
    </w:p>
  </w:footnote>
  <w:footnote w:id="303">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rFonts w:hint="eastAsia"/>
          <w:szCs w:val="22"/>
        </w:rPr>
        <w:t>凌：</w:t>
      </w:r>
      <w:r w:rsidRPr="00761EF3">
        <w:rPr>
          <w:szCs w:val="22"/>
        </w:rPr>
        <w:t>2</w:t>
      </w:r>
      <w:r w:rsidRPr="00212D57">
        <w:rPr>
          <w:szCs w:val="22"/>
        </w:rPr>
        <w:t>.</w:t>
      </w:r>
      <w:r w:rsidRPr="00212D57">
        <w:rPr>
          <w:rFonts w:hint="eastAsia"/>
          <w:szCs w:val="22"/>
        </w:rPr>
        <w:t>侵犯。</w:t>
      </w:r>
      <w:r w:rsidRPr="00761EF3">
        <w:rPr>
          <w:szCs w:val="22"/>
        </w:rPr>
        <w:t>4</w:t>
      </w:r>
      <w:r w:rsidRPr="00212D57">
        <w:rPr>
          <w:szCs w:val="22"/>
        </w:rPr>
        <w:t>.</w:t>
      </w:r>
      <w:r w:rsidRPr="00212D57">
        <w:rPr>
          <w:rFonts w:hint="eastAsia"/>
          <w:szCs w:val="22"/>
        </w:rPr>
        <w:t>壓倒，勝過。（《漢語大詞典》（二），</w:t>
      </w:r>
      <w:r w:rsidRPr="00761EF3">
        <w:rPr>
          <w:szCs w:val="22"/>
        </w:rPr>
        <w:t>p</w:t>
      </w:r>
      <w:r w:rsidRPr="00212D57">
        <w:rPr>
          <w:szCs w:val="22"/>
        </w:rPr>
        <w:t>.</w:t>
      </w:r>
      <w:r w:rsidRPr="00761EF3">
        <w:rPr>
          <w:szCs w:val="22"/>
        </w:rPr>
        <w:t>414</w:t>
      </w:r>
      <w:r w:rsidRPr="00212D57">
        <w:rPr>
          <w:rFonts w:hint="eastAsia"/>
          <w:szCs w:val="22"/>
        </w:rPr>
        <w:t>）</w:t>
      </w:r>
    </w:p>
  </w:footnote>
  <w:footnote w:id="304">
    <w:p w:rsidR="00B47F0F" w:rsidRPr="00B47F0F" w:rsidRDefault="00B47F0F" w:rsidP="00B47F0F">
      <w:pPr>
        <w:pStyle w:val="a5"/>
        <w:spacing w:line="0" w:lineRule="atLeast"/>
        <w:ind w:left="253" w:hangingChars="115" w:hanging="253"/>
        <w:jc w:val="both"/>
        <w:rPr>
          <w:color w:val="FF0000"/>
          <w:szCs w:val="22"/>
          <w:highlight w:val="yellow"/>
        </w:rPr>
      </w:pPr>
      <w:r w:rsidRPr="00B47F0F">
        <w:rPr>
          <w:rStyle w:val="a6"/>
          <w:color w:val="FF0000"/>
          <w:szCs w:val="22"/>
          <w:highlight w:val="yellow"/>
        </w:rPr>
        <w:footnoteRef/>
      </w:r>
      <w:r w:rsidRPr="00B47F0F">
        <w:rPr>
          <w:rFonts w:hint="eastAsia"/>
          <w:color w:val="FF0000"/>
          <w:szCs w:val="22"/>
        </w:rPr>
        <w:t xml:space="preserve"> </w:t>
      </w:r>
      <w:r w:rsidRPr="00B47F0F">
        <w:rPr>
          <w:rFonts w:hint="eastAsia"/>
          <w:color w:val="FF0000"/>
          <w:szCs w:val="22"/>
          <w:highlight w:val="yellow"/>
        </w:rPr>
        <w:t>《摩訶般若波羅蜜經》卷</w:t>
      </w:r>
      <w:r w:rsidRPr="00B47F0F">
        <w:rPr>
          <w:rFonts w:hint="eastAsia"/>
          <w:color w:val="FF0000"/>
          <w:szCs w:val="22"/>
          <w:highlight w:val="yellow"/>
        </w:rPr>
        <w:t>15</w:t>
      </w:r>
      <w:r w:rsidRPr="00B47F0F">
        <w:rPr>
          <w:rFonts w:hint="eastAsia"/>
          <w:color w:val="FF0000"/>
          <w:szCs w:val="22"/>
          <w:highlight w:val="yellow"/>
        </w:rPr>
        <w:t>〈</w:t>
      </w:r>
      <w:r w:rsidRPr="00B47F0F">
        <w:rPr>
          <w:rFonts w:hint="eastAsia"/>
          <w:color w:val="FF0000"/>
          <w:szCs w:val="22"/>
          <w:highlight w:val="yellow"/>
        </w:rPr>
        <w:t>52</w:t>
      </w:r>
      <w:r>
        <w:rPr>
          <w:rFonts w:hint="eastAsia"/>
          <w:color w:val="FF0000"/>
          <w:szCs w:val="22"/>
          <w:highlight w:val="yellow"/>
        </w:rPr>
        <w:t xml:space="preserve"> </w:t>
      </w:r>
      <w:r w:rsidRPr="00B47F0F">
        <w:rPr>
          <w:rFonts w:hint="eastAsia"/>
          <w:color w:val="FF0000"/>
          <w:szCs w:val="22"/>
          <w:highlight w:val="yellow"/>
        </w:rPr>
        <w:t>知識品〉</w:t>
      </w:r>
      <w:r>
        <w:rPr>
          <w:rFonts w:hint="eastAsia"/>
          <w:color w:val="FF0000"/>
          <w:szCs w:val="22"/>
          <w:highlight w:val="yellow"/>
        </w:rPr>
        <w:t>（大正</w:t>
      </w:r>
      <w:r w:rsidRPr="00B47F0F">
        <w:rPr>
          <w:rFonts w:hint="eastAsia"/>
          <w:color w:val="FF0000"/>
          <w:szCs w:val="22"/>
          <w:highlight w:val="yellow"/>
        </w:rPr>
        <w:t>8</w:t>
      </w:r>
      <w:r>
        <w:rPr>
          <w:rFonts w:hint="eastAsia"/>
          <w:color w:val="FF0000"/>
          <w:szCs w:val="22"/>
          <w:highlight w:val="yellow"/>
        </w:rPr>
        <w:t>，</w:t>
      </w:r>
      <w:r w:rsidRPr="00B47F0F">
        <w:rPr>
          <w:rFonts w:hint="eastAsia"/>
          <w:color w:val="FF0000"/>
          <w:szCs w:val="22"/>
          <w:highlight w:val="yellow"/>
        </w:rPr>
        <w:t>332c24-27</w:t>
      </w:r>
      <w:r>
        <w:rPr>
          <w:rFonts w:hint="eastAsia"/>
          <w:color w:val="FF0000"/>
          <w:szCs w:val="22"/>
          <w:highlight w:val="yellow"/>
        </w:rPr>
        <w:t>）：</w:t>
      </w:r>
      <w:r w:rsidRPr="00B47F0F">
        <w:rPr>
          <w:rFonts w:hint="eastAsia"/>
          <w:color w:val="FF0000"/>
          <w:szCs w:val="22"/>
          <w:highlight w:val="yellow"/>
        </w:rPr>
        <w:t>「</w:t>
      </w:r>
      <w:r w:rsidRPr="00B47F0F">
        <w:rPr>
          <w:rFonts w:eastAsia="標楷體" w:hint="eastAsia"/>
          <w:color w:val="FF0000"/>
          <w:szCs w:val="22"/>
          <w:highlight w:val="yellow"/>
        </w:rPr>
        <w:t>如是，須菩提！菩薩摩訶薩為世間趣故發阿耨多羅三藐三菩提心。何以故？一切法趣空，是趣不過。何以故？空中趣</w:t>
      </w:r>
      <w:r w:rsidRPr="00DD75F9">
        <w:rPr>
          <w:rFonts w:ascii="標楷體" w:eastAsia="標楷體" w:hAnsi="標楷體" w:hint="eastAsia"/>
          <w:color w:val="FF0000"/>
          <w:szCs w:val="22"/>
          <w:highlight w:val="yellow"/>
        </w:rPr>
        <w:t>.</w:t>
      </w:r>
      <w:r w:rsidRPr="00B47F0F">
        <w:rPr>
          <w:rFonts w:eastAsia="標楷體" w:hint="eastAsia"/>
          <w:color w:val="FF0000"/>
          <w:szCs w:val="22"/>
          <w:highlight w:val="yellow"/>
        </w:rPr>
        <w:t>不趣</w:t>
      </w:r>
      <w:r w:rsidRPr="00B47F0F">
        <w:rPr>
          <w:rFonts w:eastAsia="標楷體" w:hint="eastAsia"/>
          <w:color w:val="FF0000"/>
          <w:szCs w:val="22"/>
          <w:highlight w:val="yellow"/>
          <w:vertAlign w:val="superscript"/>
        </w:rPr>
        <w:t>[15]</w:t>
      </w:r>
      <w:r w:rsidRPr="00B47F0F">
        <w:rPr>
          <w:rFonts w:eastAsia="標楷體" w:hint="eastAsia"/>
          <w:color w:val="FF0000"/>
          <w:szCs w:val="22"/>
          <w:highlight w:val="yellow"/>
        </w:rPr>
        <w:t>不可得故。</w:t>
      </w:r>
      <w:r w:rsidRPr="00B47F0F">
        <w:rPr>
          <w:rFonts w:hint="eastAsia"/>
          <w:color w:val="FF0000"/>
          <w:szCs w:val="22"/>
          <w:highlight w:val="yellow"/>
        </w:rPr>
        <w:t>」</w:t>
      </w:r>
    </w:p>
    <w:p w:rsidR="00B47F0F" w:rsidRPr="00212D57" w:rsidRDefault="00B47F0F" w:rsidP="00B47F0F">
      <w:pPr>
        <w:pStyle w:val="a5"/>
        <w:spacing w:line="0" w:lineRule="atLeast"/>
        <w:ind w:leftChars="100" w:left="240"/>
        <w:jc w:val="both"/>
        <w:rPr>
          <w:szCs w:val="22"/>
        </w:rPr>
      </w:pPr>
      <w:r w:rsidRPr="00B47F0F">
        <w:rPr>
          <w:rFonts w:hint="eastAsia"/>
          <w:color w:val="FF0000"/>
          <w:szCs w:val="22"/>
          <w:highlight w:val="yellow"/>
        </w:rPr>
        <w:t>[15]</w:t>
      </w:r>
      <w:r w:rsidRPr="00B47F0F">
        <w:rPr>
          <w:rFonts w:hint="eastAsia"/>
          <w:color w:val="FF0000"/>
          <w:szCs w:val="22"/>
          <w:highlight w:val="yellow"/>
        </w:rPr>
        <w:t>不趣＝非趣【宋】【元】【明】【宮】【聖】【中】下同。</w:t>
      </w:r>
    </w:p>
  </w:footnote>
  <w:footnote w:id="305">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rFonts w:hint="eastAsia"/>
          <w:szCs w:val="22"/>
        </w:rPr>
        <w:t>印順法師，《中觀論頌講記》，</w:t>
      </w:r>
      <w:r w:rsidRPr="00761EF3">
        <w:rPr>
          <w:szCs w:val="22"/>
        </w:rPr>
        <w:t>p</w:t>
      </w:r>
      <w:r w:rsidRPr="00212D57">
        <w:rPr>
          <w:szCs w:val="22"/>
        </w:rPr>
        <w:t>.</w:t>
      </w:r>
      <w:r w:rsidRPr="00761EF3">
        <w:rPr>
          <w:szCs w:val="22"/>
        </w:rPr>
        <w:t>452</w:t>
      </w:r>
      <w:r w:rsidRPr="00212D57">
        <w:rPr>
          <w:rFonts w:hint="eastAsia"/>
          <w:szCs w:val="22"/>
        </w:rPr>
        <w:t>：</w:t>
      </w:r>
    </w:p>
    <w:p w:rsidR="00157EF6" w:rsidRPr="00212D57" w:rsidRDefault="00157EF6" w:rsidP="002B682F">
      <w:pPr>
        <w:pStyle w:val="a5"/>
        <w:ind w:leftChars="105" w:left="252"/>
        <w:jc w:val="both"/>
        <w:rPr>
          <w:szCs w:val="22"/>
        </w:rPr>
      </w:pPr>
      <w:r w:rsidRPr="00212D57">
        <w:rPr>
          <w:rFonts w:eastAsia="標楷體" w:hint="eastAsia"/>
          <w:szCs w:val="22"/>
        </w:rPr>
        <w:t>涅槃與第一義二者，依空性說，沒有差別的；約離一切虛妄顛倒而得解脫說，涅槃是果，勝義是境。</w:t>
      </w:r>
      <w:r w:rsidRPr="00212D57">
        <w:rPr>
          <w:rFonts w:eastAsia="標楷體" w:hint="eastAsia"/>
          <w:b/>
          <w:szCs w:val="22"/>
        </w:rPr>
        <w:t>勝義</w:t>
      </w:r>
      <w:r w:rsidRPr="00212D57">
        <w:rPr>
          <w:rFonts w:eastAsia="標楷體" w:hint="eastAsia"/>
          <w:szCs w:val="22"/>
        </w:rPr>
        <w:t>，不唯指最高無上的真勝義智，如但指無漏的勝義智，那就與世俗失卻連絡。所以，解說性空的言教，這是</w:t>
      </w:r>
      <w:r w:rsidRPr="00212D57">
        <w:rPr>
          <w:rFonts w:eastAsia="標楷體" w:hint="eastAsia"/>
          <w:b/>
          <w:szCs w:val="22"/>
        </w:rPr>
        <w:t>隨順勝義</w:t>
      </w:r>
      <w:r w:rsidRPr="00212D57">
        <w:rPr>
          <w:rFonts w:eastAsia="標楷體" w:hint="eastAsia"/>
          <w:szCs w:val="22"/>
        </w:rPr>
        <w:t>的言教；有漏的觀慧，學觀空性，這是</w:t>
      </w:r>
      <w:r w:rsidRPr="00212D57">
        <w:rPr>
          <w:rFonts w:eastAsia="標楷體" w:hint="eastAsia"/>
          <w:b/>
          <w:szCs w:val="22"/>
        </w:rPr>
        <w:t>隨順勝義</w:t>
      </w:r>
      <w:r w:rsidRPr="00212D57">
        <w:rPr>
          <w:rFonts w:eastAsia="標楷體" w:hint="eastAsia"/>
          <w:szCs w:val="22"/>
        </w:rPr>
        <w:t>的觀慧。前者是</w:t>
      </w:r>
      <w:r w:rsidRPr="00212D57">
        <w:rPr>
          <w:rFonts w:eastAsia="標楷體" w:hint="eastAsia"/>
          <w:b/>
          <w:szCs w:val="22"/>
        </w:rPr>
        <w:t>文字般若</w:t>
      </w:r>
      <w:r w:rsidRPr="00212D57">
        <w:rPr>
          <w:rFonts w:eastAsia="標楷體" w:hint="eastAsia"/>
          <w:szCs w:val="22"/>
        </w:rPr>
        <w:t>，後者是</w:t>
      </w:r>
      <w:r w:rsidRPr="00212D57">
        <w:rPr>
          <w:rFonts w:eastAsia="標楷體" w:hint="eastAsia"/>
          <w:b/>
          <w:szCs w:val="22"/>
        </w:rPr>
        <w:t>觀照般若</w:t>
      </w:r>
      <w:r w:rsidRPr="00212D57">
        <w:rPr>
          <w:rFonts w:eastAsia="標楷體" w:hint="eastAsia"/>
          <w:szCs w:val="22"/>
        </w:rPr>
        <w:t>。這二種，雖是世俗的，卻</w:t>
      </w:r>
      <w:r w:rsidRPr="00212D57">
        <w:rPr>
          <w:rFonts w:eastAsia="標楷體" w:hint="eastAsia"/>
          <w:b/>
          <w:szCs w:val="22"/>
        </w:rPr>
        <w:t>隨順般若勝義</w:t>
      </w:r>
      <w:r w:rsidRPr="00212D57">
        <w:rPr>
          <w:rFonts w:eastAsia="標楷體" w:hint="eastAsia"/>
          <w:szCs w:val="22"/>
        </w:rPr>
        <w:t>，才能趣入真的實相般若</w:t>
      </w:r>
      <w:r w:rsidRPr="00212D57">
        <w:rPr>
          <w:rFonts w:ascii="新細明體" w:hAnsi="新細明體" w:hint="eastAsia"/>
          <w:szCs w:val="22"/>
        </w:rPr>
        <w:t>──</w:t>
      </w:r>
      <w:r w:rsidRPr="00212D57">
        <w:rPr>
          <w:rFonts w:eastAsia="標楷體" w:hint="eastAsia"/>
          <w:szCs w:val="22"/>
        </w:rPr>
        <w:t>真勝義諦。如沒有</w:t>
      </w:r>
      <w:r w:rsidRPr="00212D57">
        <w:rPr>
          <w:rFonts w:eastAsia="標楷體" w:hint="eastAsia"/>
          <w:b/>
          <w:szCs w:val="22"/>
        </w:rPr>
        <w:t>隨順勝義的文字般若，趣向勝義的觀照般若</w:t>
      </w:r>
      <w:r w:rsidRPr="00212D57">
        <w:rPr>
          <w:rFonts w:eastAsia="標楷體" w:hint="eastAsia"/>
          <w:szCs w:val="22"/>
        </w:rPr>
        <w:t>，實相與世俗就脫節了。所以本文說，依世俗得</w:t>
      </w:r>
      <w:r w:rsidRPr="00212D57">
        <w:rPr>
          <w:rFonts w:eastAsia="標楷體" w:hint="eastAsia"/>
          <w:b/>
          <w:szCs w:val="22"/>
        </w:rPr>
        <w:t>勝義</w:t>
      </w:r>
      <w:r w:rsidRPr="00212D57">
        <w:rPr>
          <w:rFonts w:eastAsia="標楷體" w:hint="eastAsia"/>
          <w:szCs w:val="22"/>
        </w:rPr>
        <w:t>，依</w:t>
      </w:r>
      <w:r w:rsidRPr="00212D57">
        <w:rPr>
          <w:rFonts w:eastAsia="標楷體" w:hint="eastAsia"/>
          <w:b/>
          <w:szCs w:val="22"/>
        </w:rPr>
        <w:t>勝義</w:t>
      </w:r>
      <w:r w:rsidRPr="00212D57">
        <w:rPr>
          <w:rFonts w:eastAsia="標楷體" w:hint="eastAsia"/>
          <w:szCs w:val="22"/>
        </w:rPr>
        <w:t>得涅槃。因為如此，</w:t>
      </w:r>
      <w:r w:rsidRPr="00212D57">
        <w:rPr>
          <w:rFonts w:eastAsia="標楷體" w:hint="eastAsia"/>
          <w:b/>
          <w:szCs w:val="22"/>
        </w:rPr>
        <w:t>實相不二</w:t>
      </w:r>
      <w:r w:rsidRPr="00212D57">
        <w:rPr>
          <w:rFonts w:eastAsia="標楷體" w:hint="eastAsia"/>
          <w:szCs w:val="22"/>
        </w:rPr>
        <w:t>，而佛陀卻以二諦開宗。</w:t>
      </w:r>
    </w:p>
  </w:footnote>
  <w:footnote w:id="306">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szCs w:val="22"/>
        </w:rPr>
        <w:t>1</w:t>
      </w:r>
      <w:r w:rsidRPr="00212D57">
        <w:rPr>
          <w:rFonts w:hint="eastAsia"/>
          <w:szCs w:val="22"/>
        </w:rPr>
        <w:t>）狂：</w:t>
      </w:r>
      <w:r w:rsidRPr="00761EF3">
        <w:rPr>
          <w:szCs w:val="22"/>
        </w:rPr>
        <w:t>4</w:t>
      </w:r>
      <w:r w:rsidRPr="00212D57">
        <w:rPr>
          <w:szCs w:val="22"/>
        </w:rPr>
        <w:t>.</w:t>
      </w:r>
      <w:r w:rsidRPr="00212D57">
        <w:rPr>
          <w:rFonts w:hint="eastAsia"/>
          <w:szCs w:val="22"/>
        </w:rPr>
        <w:t>躁率，激進。</w:t>
      </w:r>
      <w:r w:rsidRPr="00761EF3">
        <w:rPr>
          <w:szCs w:val="22"/>
        </w:rPr>
        <w:t>15</w:t>
      </w:r>
      <w:r w:rsidRPr="00212D57">
        <w:rPr>
          <w:szCs w:val="22"/>
        </w:rPr>
        <w:t>.</w:t>
      </w:r>
      <w:r w:rsidRPr="00212D57">
        <w:rPr>
          <w:rFonts w:hint="eastAsia"/>
          <w:szCs w:val="22"/>
        </w:rPr>
        <w:t>猛烈。（《漢語大詞典》（五），</w:t>
      </w:r>
      <w:r w:rsidRPr="00761EF3">
        <w:rPr>
          <w:szCs w:val="22"/>
        </w:rPr>
        <w:t>p</w:t>
      </w:r>
      <w:r w:rsidRPr="00212D57">
        <w:rPr>
          <w:szCs w:val="22"/>
        </w:rPr>
        <w:t>.</w:t>
      </w:r>
      <w:r w:rsidRPr="00761EF3">
        <w:rPr>
          <w:szCs w:val="22"/>
        </w:rPr>
        <w:t>13</w:t>
      </w:r>
      <w:r w:rsidRPr="00212D57">
        <w:rPr>
          <w:rFonts w:hint="eastAsia"/>
          <w:szCs w:val="22"/>
        </w:rPr>
        <w:t>）</w:t>
      </w:r>
    </w:p>
    <w:p w:rsidR="00157EF6" w:rsidRPr="00212D57" w:rsidRDefault="00157EF6" w:rsidP="002B682F">
      <w:pPr>
        <w:pStyle w:val="a5"/>
        <w:ind w:leftChars="105" w:left="791" w:hangingChars="245" w:hanging="539"/>
        <w:jc w:val="both"/>
        <w:rPr>
          <w:szCs w:val="22"/>
        </w:rPr>
      </w:pPr>
      <w:r w:rsidRPr="00212D57">
        <w:rPr>
          <w:rFonts w:hint="eastAsia"/>
          <w:szCs w:val="22"/>
        </w:rPr>
        <w:t>（</w:t>
      </w:r>
      <w:r w:rsidRPr="00761EF3">
        <w:rPr>
          <w:szCs w:val="22"/>
        </w:rPr>
        <w:t>2</w:t>
      </w:r>
      <w:r w:rsidRPr="00212D57">
        <w:rPr>
          <w:rFonts w:hint="eastAsia"/>
          <w:szCs w:val="22"/>
        </w:rPr>
        <w:t>）躍：</w:t>
      </w:r>
      <w:r w:rsidRPr="00761EF3">
        <w:rPr>
          <w:szCs w:val="22"/>
        </w:rPr>
        <w:t>1</w:t>
      </w:r>
      <w:r w:rsidRPr="00212D57">
        <w:rPr>
          <w:szCs w:val="22"/>
        </w:rPr>
        <w:t>.</w:t>
      </w:r>
      <w:r w:rsidRPr="00212D57">
        <w:rPr>
          <w:rFonts w:hint="eastAsia"/>
          <w:szCs w:val="22"/>
        </w:rPr>
        <w:t>跳躍。（《漢語大詞典》（十），</w:t>
      </w:r>
      <w:r w:rsidRPr="00761EF3">
        <w:rPr>
          <w:szCs w:val="22"/>
        </w:rPr>
        <w:t>p</w:t>
      </w:r>
      <w:r w:rsidRPr="00212D57">
        <w:rPr>
          <w:szCs w:val="22"/>
        </w:rPr>
        <w:t>.</w:t>
      </w:r>
      <w:r w:rsidRPr="00761EF3">
        <w:rPr>
          <w:szCs w:val="22"/>
        </w:rPr>
        <w:t>564</w:t>
      </w:r>
      <w:r w:rsidRPr="00212D57">
        <w:rPr>
          <w:rFonts w:hint="eastAsia"/>
          <w:szCs w:val="22"/>
        </w:rPr>
        <w:t>）</w:t>
      </w:r>
    </w:p>
  </w:footnote>
  <w:footnote w:id="307">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rFonts w:hint="eastAsia"/>
          <w:szCs w:val="22"/>
        </w:rPr>
        <w:t>參見〔隋〕吉藏</w:t>
      </w:r>
      <w:r>
        <w:rPr>
          <w:rFonts w:hint="eastAsia"/>
          <w:szCs w:val="22"/>
        </w:rPr>
        <w:t>撰</w:t>
      </w:r>
      <w:r w:rsidRPr="00212D57">
        <w:rPr>
          <w:rFonts w:hint="eastAsia"/>
          <w:szCs w:val="22"/>
        </w:rPr>
        <w:t>，《中觀論疏》卷</w:t>
      </w:r>
      <w:r w:rsidRPr="00761EF3">
        <w:rPr>
          <w:szCs w:val="22"/>
        </w:rPr>
        <w:t>10</w:t>
      </w:r>
      <w:r w:rsidRPr="00212D57">
        <w:rPr>
          <w:rFonts w:hint="eastAsia"/>
          <w:szCs w:val="22"/>
        </w:rPr>
        <w:t>（大正</w:t>
      </w:r>
      <w:r w:rsidRPr="00761EF3">
        <w:rPr>
          <w:szCs w:val="22"/>
        </w:rPr>
        <w:t>42</w:t>
      </w:r>
      <w:r w:rsidRPr="00212D57">
        <w:rPr>
          <w:rFonts w:hint="eastAsia"/>
          <w:szCs w:val="22"/>
        </w:rPr>
        <w:t>，</w:t>
      </w:r>
      <w:r w:rsidRPr="00761EF3">
        <w:rPr>
          <w:szCs w:val="22"/>
        </w:rPr>
        <w:t>151a21</w:t>
      </w:r>
      <w:r w:rsidRPr="00212D57">
        <w:rPr>
          <w:szCs w:val="22"/>
        </w:rPr>
        <w:t>-</w:t>
      </w:r>
      <w:r w:rsidRPr="00761EF3">
        <w:rPr>
          <w:szCs w:val="22"/>
        </w:rPr>
        <w:t>25</w:t>
      </w:r>
      <w:r w:rsidRPr="00212D57">
        <w:rPr>
          <w:rFonts w:hint="eastAsia"/>
          <w:szCs w:val="22"/>
        </w:rPr>
        <w:t>）：</w:t>
      </w:r>
    </w:p>
    <w:p w:rsidR="00713D2A" w:rsidRDefault="00713D2A" w:rsidP="002B682F">
      <w:pPr>
        <w:pStyle w:val="a5"/>
        <w:ind w:leftChars="105" w:left="252"/>
        <w:jc w:val="both"/>
        <w:rPr>
          <w:rFonts w:eastAsia="標楷體"/>
          <w:szCs w:val="22"/>
        </w:rPr>
      </w:pPr>
      <w:r>
        <w:rPr>
          <w:rFonts w:ascii="標楷體" w:eastAsia="標楷體" w:hAnsi="標楷體" w:hint="eastAsia"/>
          <w:bCs/>
          <w:color w:val="FF0000"/>
          <w:kern w:val="0"/>
          <w:highlight w:val="yellow"/>
        </w:rPr>
        <w:t>「</w:t>
      </w:r>
      <w:r w:rsidR="00157EF6" w:rsidRPr="00212D57">
        <w:rPr>
          <w:rFonts w:eastAsia="標楷體" w:hint="eastAsia"/>
          <w:szCs w:val="22"/>
        </w:rPr>
        <w:t>世俗</w:t>
      </w:r>
      <w:r>
        <w:rPr>
          <w:rFonts w:ascii="標楷體" w:eastAsia="標楷體" w:hAnsi="標楷體" w:hint="eastAsia"/>
          <w:bCs/>
          <w:color w:val="FF0000"/>
          <w:kern w:val="0"/>
          <w:highlight w:val="yellow"/>
        </w:rPr>
        <w:t>」</w:t>
      </w:r>
      <w:r w:rsidR="00157EF6" w:rsidRPr="00212D57">
        <w:rPr>
          <w:rFonts w:eastAsia="標楷體" w:hint="eastAsia"/>
          <w:szCs w:val="22"/>
        </w:rPr>
        <w:t>雖是二</w:t>
      </w:r>
      <w:r w:rsidR="002F1DF6">
        <w:rPr>
          <w:rFonts w:ascii="標楷體" w:eastAsia="標楷體" w:hAnsi="標楷體" w:cs="Calibri" w:hint="eastAsia"/>
          <w:color w:val="FF0000"/>
          <w:szCs w:val="22"/>
          <w:highlight w:val="yellow"/>
        </w:rPr>
        <w:t>、</w:t>
      </w:r>
      <w:r w:rsidR="00157EF6" w:rsidRPr="00212D57">
        <w:rPr>
          <w:rFonts w:eastAsia="標楷體" w:hint="eastAsia"/>
          <w:szCs w:val="22"/>
        </w:rPr>
        <w:t>不實，但要因</w:t>
      </w:r>
      <w:r>
        <w:rPr>
          <w:rFonts w:ascii="標楷體" w:eastAsia="標楷體" w:hAnsi="標楷體" w:hint="eastAsia"/>
          <w:bCs/>
          <w:color w:val="FF0000"/>
          <w:kern w:val="0"/>
          <w:highlight w:val="yellow"/>
        </w:rPr>
        <w:t>「</w:t>
      </w:r>
      <w:r w:rsidR="00157EF6" w:rsidRPr="00212D57">
        <w:rPr>
          <w:rFonts w:eastAsia="標楷體" w:hint="eastAsia"/>
          <w:szCs w:val="22"/>
        </w:rPr>
        <w:t>世俗</w:t>
      </w:r>
      <w:r>
        <w:rPr>
          <w:rFonts w:ascii="標楷體" w:eastAsia="標楷體" w:hAnsi="標楷體" w:hint="eastAsia"/>
          <w:bCs/>
          <w:color w:val="FF0000"/>
          <w:kern w:val="0"/>
          <w:highlight w:val="yellow"/>
        </w:rPr>
        <w:t>」</w:t>
      </w:r>
      <w:r w:rsidR="00157EF6" w:rsidRPr="00212D57">
        <w:rPr>
          <w:rFonts w:eastAsia="標楷體" w:hint="eastAsia"/>
          <w:szCs w:val="22"/>
        </w:rPr>
        <w:t>為方便得顯</w:t>
      </w:r>
      <w:r>
        <w:rPr>
          <w:rFonts w:ascii="標楷體" w:eastAsia="標楷體" w:hAnsi="標楷體" w:hint="eastAsia"/>
          <w:bCs/>
          <w:color w:val="FF0000"/>
          <w:kern w:val="0"/>
          <w:highlight w:val="yellow"/>
        </w:rPr>
        <w:t>「</w:t>
      </w:r>
      <w:r w:rsidR="00157EF6" w:rsidRPr="00212D57">
        <w:rPr>
          <w:rFonts w:eastAsia="標楷體" w:hint="eastAsia"/>
          <w:szCs w:val="22"/>
        </w:rPr>
        <w:t>第一義</w:t>
      </w:r>
      <w:r>
        <w:rPr>
          <w:rFonts w:ascii="標楷體" w:eastAsia="標楷體" w:hAnsi="標楷體" w:hint="eastAsia"/>
          <w:bCs/>
          <w:color w:val="FF0000"/>
          <w:kern w:val="0"/>
          <w:highlight w:val="yellow"/>
        </w:rPr>
        <w:t>」</w:t>
      </w:r>
      <w:r w:rsidR="00157EF6" w:rsidRPr="00212D57">
        <w:rPr>
          <w:rFonts w:eastAsia="標楷體" w:hint="eastAsia"/>
          <w:szCs w:val="22"/>
        </w:rPr>
        <w:t>耳。如理雖無三，要因三為方便得悟一。</w:t>
      </w:r>
    </w:p>
    <w:p w:rsidR="00157EF6" w:rsidRPr="00713D2A" w:rsidRDefault="00157EF6" w:rsidP="002B682F">
      <w:pPr>
        <w:pStyle w:val="a5"/>
        <w:ind w:leftChars="105" w:left="252"/>
        <w:jc w:val="both"/>
        <w:rPr>
          <w:rFonts w:eastAsia="標楷體"/>
          <w:szCs w:val="22"/>
          <w:highlight w:val="yellow"/>
        </w:rPr>
      </w:pPr>
      <w:r w:rsidRPr="00713D2A">
        <w:rPr>
          <w:rFonts w:eastAsia="標楷體" w:hint="eastAsia"/>
          <w:szCs w:val="22"/>
          <w:highlight w:val="yellow"/>
        </w:rPr>
        <w:t>問：云</w:t>
      </w:r>
      <w:r w:rsidRPr="00212D57">
        <w:rPr>
          <w:rFonts w:eastAsia="標楷體" w:hint="eastAsia"/>
          <w:szCs w:val="22"/>
        </w:rPr>
        <w:t>何世俗為方便耶</w:t>
      </w:r>
      <w:r w:rsidRPr="00713D2A">
        <w:rPr>
          <w:rFonts w:eastAsia="標楷體" w:hint="eastAsia"/>
          <w:szCs w:val="22"/>
          <w:highlight w:val="yellow"/>
        </w:rPr>
        <w:t>？</w:t>
      </w:r>
    </w:p>
    <w:p w:rsidR="00157EF6" w:rsidRPr="00212D57" w:rsidRDefault="00157EF6" w:rsidP="002B682F">
      <w:pPr>
        <w:pStyle w:val="a5"/>
        <w:ind w:leftChars="105" w:left="252"/>
        <w:jc w:val="both"/>
        <w:rPr>
          <w:szCs w:val="22"/>
        </w:rPr>
      </w:pPr>
      <w:r w:rsidRPr="00212D57">
        <w:rPr>
          <w:rFonts w:eastAsia="標楷體" w:hint="eastAsia"/>
          <w:szCs w:val="22"/>
        </w:rPr>
        <w:t>答：「一切言</w:t>
      </w:r>
      <w:r w:rsidR="00713D2A">
        <w:rPr>
          <w:rFonts w:ascii="標楷體" w:eastAsia="標楷體" w:hAnsi="標楷體" w:hint="eastAsia"/>
          <w:bCs/>
          <w:color w:val="FF0000"/>
          <w:kern w:val="0"/>
          <w:highlight w:val="yellow"/>
        </w:rPr>
        <w:t>」</w:t>
      </w:r>
      <w:r w:rsidRPr="00212D57">
        <w:rPr>
          <w:rFonts w:eastAsia="標楷體" w:hint="eastAsia"/>
          <w:szCs w:val="22"/>
        </w:rPr>
        <w:t>皆是</w:t>
      </w:r>
      <w:r w:rsidR="00713D2A">
        <w:rPr>
          <w:rFonts w:ascii="標楷體" w:eastAsia="標楷體" w:hAnsi="標楷體" w:hint="eastAsia"/>
          <w:bCs/>
          <w:color w:val="FF0000"/>
          <w:kern w:val="0"/>
          <w:highlight w:val="yellow"/>
        </w:rPr>
        <w:t>「</w:t>
      </w:r>
      <w:r w:rsidRPr="00212D57">
        <w:rPr>
          <w:rFonts w:eastAsia="標楷體" w:hint="eastAsia"/>
          <w:szCs w:val="22"/>
        </w:rPr>
        <w:t>世俗</w:t>
      </w:r>
      <w:r w:rsidR="00713D2A">
        <w:rPr>
          <w:rFonts w:ascii="標楷體" w:eastAsia="標楷體" w:hAnsi="標楷體" w:hint="eastAsia"/>
          <w:bCs/>
          <w:color w:val="FF0000"/>
          <w:kern w:val="0"/>
          <w:highlight w:val="yellow"/>
        </w:rPr>
        <w:t>」</w:t>
      </w:r>
      <w:r w:rsidRPr="00212D57">
        <w:rPr>
          <w:rFonts w:eastAsia="標楷體" w:hint="eastAsia"/>
          <w:szCs w:val="22"/>
        </w:rPr>
        <w:t>，因</w:t>
      </w:r>
      <w:r w:rsidR="00713D2A">
        <w:rPr>
          <w:rFonts w:ascii="標楷體" w:eastAsia="標楷體" w:hAnsi="標楷體" w:hint="eastAsia"/>
          <w:bCs/>
          <w:color w:val="FF0000"/>
          <w:kern w:val="0"/>
          <w:highlight w:val="yellow"/>
        </w:rPr>
        <w:t>「</w:t>
      </w:r>
      <w:r w:rsidRPr="00212D57">
        <w:rPr>
          <w:rFonts w:eastAsia="標楷體" w:hint="eastAsia"/>
          <w:szCs w:val="22"/>
        </w:rPr>
        <w:t>世俗言</w:t>
      </w:r>
      <w:r w:rsidR="00713D2A">
        <w:rPr>
          <w:rFonts w:ascii="標楷體" w:eastAsia="標楷體" w:hAnsi="標楷體" w:hint="eastAsia"/>
          <w:bCs/>
          <w:color w:val="FF0000"/>
          <w:kern w:val="0"/>
          <w:highlight w:val="yellow"/>
        </w:rPr>
        <w:t>」</w:t>
      </w:r>
      <w:r w:rsidRPr="00212D57">
        <w:rPr>
          <w:rFonts w:eastAsia="標楷體" w:hint="eastAsia"/>
          <w:szCs w:val="22"/>
        </w:rPr>
        <w:t>得</w:t>
      </w:r>
      <w:r w:rsidR="00713D2A">
        <w:rPr>
          <w:rFonts w:ascii="標楷體" w:eastAsia="標楷體" w:hAnsi="標楷體" w:hint="eastAsia"/>
          <w:bCs/>
          <w:color w:val="FF0000"/>
          <w:kern w:val="0"/>
          <w:highlight w:val="yellow"/>
        </w:rPr>
        <w:t>「</w:t>
      </w:r>
      <w:r w:rsidRPr="00212D57">
        <w:rPr>
          <w:rFonts w:eastAsia="標楷體" w:hint="eastAsia"/>
          <w:szCs w:val="22"/>
        </w:rPr>
        <w:t>無言</w:t>
      </w:r>
      <w:r w:rsidR="00713D2A">
        <w:rPr>
          <w:rFonts w:ascii="標楷體" w:eastAsia="標楷體" w:hAnsi="標楷體" w:hint="eastAsia"/>
          <w:bCs/>
          <w:color w:val="FF0000"/>
          <w:kern w:val="0"/>
          <w:highlight w:val="yellow"/>
        </w:rPr>
        <w:t>」</w:t>
      </w:r>
      <w:r w:rsidRPr="00212D57">
        <w:rPr>
          <w:rFonts w:eastAsia="標楷體" w:hint="eastAsia"/>
          <w:szCs w:val="22"/>
        </w:rPr>
        <w:t>，故以</w:t>
      </w:r>
      <w:r w:rsidR="00713D2A">
        <w:rPr>
          <w:rFonts w:ascii="標楷體" w:eastAsia="標楷體" w:hAnsi="標楷體" w:hint="eastAsia"/>
          <w:bCs/>
          <w:color w:val="FF0000"/>
          <w:kern w:val="0"/>
          <w:highlight w:val="yellow"/>
        </w:rPr>
        <w:t>「</w:t>
      </w:r>
      <w:r w:rsidRPr="00212D57">
        <w:rPr>
          <w:rFonts w:eastAsia="標楷體" w:hint="eastAsia"/>
          <w:szCs w:val="22"/>
        </w:rPr>
        <w:t>無言言</w:t>
      </w:r>
      <w:r w:rsidR="00713D2A">
        <w:rPr>
          <w:rFonts w:ascii="標楷體" w:eastAsia="標楷體" w:hAnsi="標楷體" w:hint="eastAsia"/>
          <w:bCs/>
          <w:color w:val="FF0000"/>
          <w:kern w:val="0"/>
          <w:highlight w:val="yellow"/>
        </w:rPr>
        <w:t>」</w:t>
      </w:r>
      <w:r w:rsidRPr="00212D57">
        <w:rPr>
          <w:rFonts w:eastAsia="標楷體" w:hint="eastAsia"/>
          <w:szCs w:val="22"/>
        </w:rPr>
        <w:t>為</w:t>
      </w:r>
      <w:r w:rsidR="00713D2A">
        <w:rPr>
          <w:rFonts w:ascii="標楷體" w:eastAsia="標楷體" w:hAnsi="標楷體" w:hint="eastAsia"/>
          <w:bCs/>
          <w:color w:val="FF0000"/>
          <w:kern w:val="0"/>
          <w:highlight w:val="yellow"/>
        </w:rPr>
        <w:t>「</w:t>
      </w:r>
      <w:r w:rsidRPr="00212D57">
        <w:rPr>
          <w:rFonts w:eastAsia="標楷體" w:hint="eastAsia"/>
          <w:szCs w:val="22"/>
        </w:rPr>
        <w:t>世俗</w:t>
      </w:r>
      <w:r w:rsidR="00713D2A">
        <w:rPr>
          <w:rFonts w:ascii="標楷體" w:eastAsia="標楷體" w:hAnsi="標楷體" w:hint="eastAsia"/>
          <w:bCs/>
          <w:color w:val="FF0000"/>
          <w:kern w:val="0"/>
          <w:highlight w:val="yellow"/>
        </w:rPr>
        <w:t>」</w:t>
      </w:r>
      <w:r w:rsidR="00713D2A">
        <w:rPr>
          <w:rFonts w:ascii="標楷體" w:eastAsia="標楷體" w:hAnsi="標楷體" w:hint="eastAsia"/>
          <w:color w:val="FF0000"/>
          <w:spacing w:val="-4"/>
          <w:kern w:val="0"/>
          <w:highlight w:val="yellow"/>
        </w:rPr>
        <w:t>、</w:t>
      </w:r>
      <w:r w:rsidR="00713D2A">
        <w:rPr>
          <w:rFonts w:ascii="標楷體" w:eastAsia="標楷體" w:hAnsi="標楷體" w:hint="eastAsia"/>
          <w:bCs/>
          <w:color w:val="FF0000"/>
          <w:kern w:val="0"/>
          <w:highlight w:val="yellow"/>
        </w:rPr>
        <w:t>「</w:t>
      </w:r>
      <w:r w:rsidRPr="00212D57">
        <w:rPr>
          <w:rFonts w:eastAsia="標楷體" w:hint="eastAsia"/>
          <w:szCs w:val="22"/>
        </w:rPr>
        <w:t>言無言</w:t>
      </w:r>
      <w:r w:rsidR="00713D2A">
        <w:rPr>
          <w:rFonts w:ascii="標楷體" w:eastAsia="標楷體" w:hAnsi="標楷體" w:hint="eastAsia"/>
          <w:bCs/>
          <w:color w:val="FF0000"/>
          <w:kern w:val="0"/>
          <w:highlight w:val="yellow"/>
        </w:rPr>
        <w:t>」</w:t>
      </w:r>
      <w:r w:rsidRPr="00212D57">
        <w:rPr>
          <w:rFonts w:eastAsia="標楷體" w:hint="eastAsia"/>
          <w:szCs w:val="22"/>
        </w:rPr>
        <w:t>為</w:t>
      </w:r>
      <w:r w:rsidR="00713D2A">
        <w:rPr>
          <w:rFonts w:ascii="標楷體" w:eastAsia="標楷體" w:hAnsi="標楷體" w:hint="eastAsia"/>
          <w:bCs/>
          <w:color w:val="FF0000"/>
          <w:kern w:val="0"/>
          <w:highlight w:val="yellow"/>
        </w:rPr>
        <w:t>「</w:t>
      </w:r>
      <w:r w:rsidRPr="00212D57">
        <w:rPr>
          <w:rFonts w:eastAsia="標楷體" w:hint="eastAsia"/>
          <w:szCs w:val="22"/>
        </w:rPr>
        <w:t>第一義</w:t>
      </w:r>
      <w:r w:rsidR="00713D2A">
        <w:rPr>
          <w:rFonts w:ascii="標楷體" w:eastAsia="標楷體" w:hAnsi="標楷體" w:hint="eastAsia"/>
          <w:bCs/>
          <w:color w:val="FF0000"/>
          <w:kern w:val="0"/>
          <w:highlight w:val="yellow"/>
        </w:rPr>
        <w:t>」</w:t>
      </w:r>
      <w:r w:rsidRPr="00212D57">
        <w:rPr>
          <w:rFonts w:eastAsia="標楷體" w:hint="eastAsia"/>
          <w:szCs w:val="22"/>
        </w:rPr>
        <w:t>也</w:t>
      </w:r>
      <w:r w:rsidRPr="00713D2A">
        <w:rPr>
          <w:rFonts w:eastAsia="標楷體" w:hint="eastAsia"/>
          <w:szCs w:val="22"/>
          <w:highlight w:val="yellow"/>
        </w:rPr>
        <w:t>。</w:t>
      </w:r>
    </w:p>
  </w:footnote>
  <w:footnote w:id="308">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Pr>
          <w:rFonts w:hint="eastAsia"/>
          <w:szCs w:val="22"/>
        </w:rPr>
        <w:t xml:space="preserve"> </w:t>
      </w:r>
      <w:r w:rsidRPr="00400D3A">
        <w:rPr>
          <w:rFonts w:hint="eastAsia"/>
          <w:spacing w:val="-4"/>
          <w:szCs w:val="22"/>
        </w:rPr>
        <w:t>宗喀巴大師著，法尊法師譯，《菩提道次第廣論》卷</w:t>
      </w:r>
      <w:r w:rsidRPr="00400D3A">
        <w:rPr>
          <w:spacing w:val="-4"/>
          <w:szCs w:val="22"/>
        </w:rPr>
        <w:t>17</w:t>
      </w:r>
      <w:r w:rsidRPr="00400D3A">
        <w:rPr>
          <w:rFonts w:hint="eastAsia"/>
          <w:spacing w:val="-4"/>
          <w:szCs w:val="22"/>
        </w:rPr>
        <w:t>，</w:t>
      </w:r>
      <w:r w:rsidR="00AD14BF">
        <w:rPr>
          <w:rFonts w:hint="eastAsia"/>
          <w:spacing w:val="-4"/>
          <w:szCs w:val="22"/>
        </w:rPr>
        <w:t>台北，福智之聲</w:t>
      </w:r>
      <w:r w:rsidRPr="00400D3A">
        <w:rPr>
          <w:rFonts w:hint="eastAsia"/>
          <w:spacing w:val="-4"/>
          <w:szCs w:val="22"/>
        </w:rPr>
        <w:t>出版社，</w:t>
      </w:r>
      <w:r w:rsidRPr="00400D3A">
        <w:rPr>
          <w:spacing w:val="-4"/>
          <w:szCs w:val="22"/>
        </w:rPr>
        <w:t>p.403</w:t>
      </w:r>
      <w:r w:rsidRPr="00400D3A">
        <w:rPr>
          <w:rFonts w:hint="eastAsia"/>
          <w:spacing w:val="-4"/>
          <w:szCs w:val="22"/>
        </w:rPr>
        <w:t>：</w:t>
      </w:r>
    </w:p>
    <w:p w:rsidR="00157EF6" w:rsidRPr="00212D57" w:rsidRDefault="00157EF6" w:rsidP="002B682F">
      <w:pPr>
        <w:pStyle w:val="a5"/>
        <w:ind w:leftChars="105" w:left="252"/>
        <w:jc w:val="both"/>
        <w:rPr>
          <w:szCs w:val="22"/>
        </w:rPr>
      </w:pPr>
      <w:r w:rsidRPr="00212D57">
        <w:rPr>
          <w:rFonts w:eastAsia="標楷體" w:hint="eastAsia"/>
          <w:szCs w:val="22"/>
        </w:rPr>
        <w:t>如《中觀光明論》云：「何等名為了義？謂有正量，依於勝義增上而說。此義</w:t>
      </w:r>
      <w:r w:rsidR="002F1DF6" w:rsidRPr="00713D2A">
        <w:rPr>
          <w:rFonts w:ascii="標楷體" w:eastAsia="標楷體" w:hAnsi="標楷體" w:cs="Calibri" w:hint="eastAsia"/>
          <w:color w:val="FF0000"/>
          <w:szCs w:val="22"/>
          <w:shd w:val="pct15" w:color="auto" w:fill="FFFFFF"/>
        </w:rPr>
        <w:t>，</w:t>
      </w:r>
      <w:r w:rsidRPr="00212D57">
        <w:rPr>
          <w:rFonts w:eastAsia="標楷體" w:hint="eastAsia"/>
          <w:szCs w:val="22"/>
        </w:rPr>
        <w:t>除此，餘人不能向餘引故。」</w:t>
      </w:r>
    </w:p>
  </w:footnote>
  <w:footnote w:id="309">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Pr>
          <w:rFonts w:hint="eastAsia"/>
          <w:szCs w:val="22"/>
        </w:rPr>
        <w:t xml:space="preserve"> </w:t>
      </w:r>
      <w:r w:rsidRPr="00400D3A">
        <w:rPr>
          <w:rFonts w:hint="eastAsia"/>
          <w:spacing w:val="-4"/>
          <w:szCs w:val="22"/>
        </w:rPr>
        <w:t>宗喀巴大師著，法尊法師譯，《菩提道次第廣論》卷</w:t>
      </w:r>
      <w:r w:rsidRPr="00400D3A">
        <w:rPr>
          <w:spacing w:val="-4"/>
          <w:szCs w:val="22"/>
        </w:rPr>
        <w:t>20</w:t>
      </w:r>
      <w:r w:rsidRPr="00400D3A">
        <w:rPr>
          <w:rFonts w:hint="eastAsia"/>
          <w:spacing w:val="-4"/>
          <w:szCs w:val="22"/>
        </w:rPr>
        <w:t>，</w:t>
      </w:r>
      <w:r w:rsidR="00AD14BF">
        <w:rPr>
          <w:rFonts w:hint="eastAsia"/>
          <w:spacing w:val="-4"/>
          <w:szCs w:val="22"/>
        </w:rPr>
        <w:t>台北，福智之聲</w:t>
      </w:r>
      <w:r w:rsidRPr="00400D3A">
        <w:rPr>
          <w:rFonts w:hint="eastAsia"/>
          <w:spacing w:val="-4"/>
          <w:szCs w:val="22"/>
        </w:rPr>
        <w:t>出版社，</w:t>
      </w:r>
      <w:r w:rsidRPr="00400D3A">
        <w:rPr>
          <w:spacing w:val="-4"/>
          <w:szCs w:val="22"/>
        </w:rPr>
        <w:t>p.469</w:t>
      </w:r>
      <w:r w:rsidRPr="00400D3A">
        <w:rPr>
          <w:rFonts w:hint="eastAsia"/>
          <w:spacing w:val="-4"/>
          <w:szCs w:val="22"/>
        </w:rPr>
        <w:t>：</w:t>
      </w:r>
    </w:p>
    <w:p w:rsidR="00157EF6" w:rsidRPr="00212D57" w:rsidRDefault="00157EF6" w:rsidP="002B682F">
      <w:pPr>
        <w:snapToGrid w:val="0"/>
        <w:ind w:leftChars="105" w:left="252"/>
        <w:jc w:val="both"/>
        <w:rPr>
          <w:sz w:val="22"/>
          <w:szCs w:val="22"/>
        </w:rPr>
      </w:pPr>
      <w:r w:rsidRPr="00212D57">
        <w:rPr>
          <w:rFonts w:ascii="Times New Roman" w:eastAsia="標楷體" w:hAnsi="Times New Roman" w:hint="eastAsia"/>
          <w:sz w:val="22"/>
          <w:szCs w:val="22"/>
        </w:rPr>
        <w:t>如《中觀光明論》云：「言勝義無生等，其義通許一切聞、思、修所成</w:t>
      </w:r>
      <w:r w:rsidRPr="002F1DF6">
        <w:rPr>
          <w:rFonts w:ascii="Times New Roman" w:eastAsia="標楷體" w:hAnsi="Times New Roman" w:hint="eastAsia"/>
          <w:sz w:val="22"/>
          <w:szCs w:val="22"/>
          <w:highlight w:val="yellow"/>
        </w:rPr>
        <w:t>慧皆</w:t>
      </w:r>
      <w:r w:rsidRPr="00212D57">
        <w:rPr>
          <w:rFonts w:ascii="Times New Roman" w:eastAsia="標楷體" w:hAnsi="Times New Roman" w:hint="eastAsia"/>
          <w:sz w:val="22"/>
          <w:szCs w:val="22"/>
        </w:rPr>
        <w:t>名勝義，無倒心故。是此之勝義故，現與不現而有差別。由彼增上</w:t>
      </w:r>
      <w:r w:rsidR="002F1DF6" w:rsidRPr="00713D2A">
        <w:rPr>
          <w:rFonts w:ascii="標楷體" w:eastAsia="標楷體" w:hAnsi="標楷體" w:cs="Calibri" w:hint="eastAsia"/>
          <w:color w:val="FF0000"/>
          <w:sz w:val="22"/>
          <w:szCs w:val="22"/>
          <w:shd w:val="pct15" w:color="auto" w:fill="FFFFFF"/>
        </w:rPr>
        <w:t>，</w:t>
      </w:r>
      <w:r w:rsidRPr="00212D57">
        <w:rPr>
          <w:rFonts w:ascii="Times New Roman" w:eastAsia="標楷體" w:hAnsi="Times New Roman" w:hint="eastAsia"/>
          <w:sz w:val="22"/>
          <w:szCs w:val="22"/>
        </w:rPr>
        <w:t>知一切</w:t>
      </w:r>
      <w:r w:rsidRPr="002F1DF6">
        <w:rPr>
          <w:rFonts w:ascii="Times New Roman" w:eastAsia="標楷體" w:hAnsi="Times New Roman" w:hint="eastAsia"/>
          <w:sz w:val="22"/>
          <w:szCs w:val="22"/>
          <w:highlight w:val="yellow"/>
        </w:rPr>
        <w:t>法皆</w:t>
      </w:r>
      <w:r w:rsidRPr="00212D57">
        <w:rPr>
          <w:rFonts w:ascii="Times New Roman" w:eastAsia="標楷體" w:hAnsi="Times New Roman" w:hint="eastAsia"/>
          <w:sz w:val="22"/>
          <w:szCs w:val="22"/>
        </w:rPr>
        <w:t>為無生，故說勝義無生者，是說彼等由正知</w:t>
      </w:r>
      <w:r w:rsidRPr="002F1DF6">
        <w:rPr>
          <w:rFonts w:ascii="Times New Roman" w:eastAsia="標楷體" w:hAnsi="Times New Roman" w:hint="eastAsia"/>
          <w:sz w:val="22"/>
          <w:szCs w:val="22"/>
          <w:highlight w:val="yellow"/>
        </w:rPr>
        <w:t>故生</w:t>
      </w:r>
      <w:r w:rsidRPr="00212D57">
        <w:rPr>
          <w:rFonts w:ascii="Times New Roman" w:eastAsia="標楷體" w:hAnsi="Times New Roman" w:hint="eastAsia"/>
          <w:sz w:val="22"/>
          <w:szCs w:val="22"/>
        </w:rPr>
        <w:t>皆不成。」</w:t>
      </w:r>
    </w:p>
  </w:footnote>
  <w:footnote w:id="310">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Pr>
          <w:rFonts w:hint="eastAsia"/>
          <w:szCs w:val="22"/>
        </w:rPr>
        <w:t xml:space="preserve"> </w:t>
      </w:r>
      <w:r w:rsidRPr="00400D3A">
        <w:rPr>
          <w:rFonts w:hint="eastAsia"/>
          <w:spacing w:val="-4"/>
          <w:szCs w:val="22"/>
        </w:rPr>
        <w:t>宗喀巴大師著，法尊法師譯，《菩提道次第廣論》卷</w:t>
      </w:r>
      <w:r w:rsidRPr="00400D3A">
        <w:rPr>
          <w:spacing w:val="-4"/>
          <w:szCs w:val="22"/>
        </w:rPr>
        <w:t>20</w:t>
      </w:r>
      <w:r w:rsidRPr="00400D3A">
        <w:rPr>
          <w:rFonts w:hint="eastAsia"/>
          <w:spacing w:val="-4"/>
          <w:szCs w:val="22"/>
        </w:rPr>
        <w:t>，</w:t>
      </w:r>
      <w:r w:rsidR="00AD14BF">
        <w:rPr>
          <w:rFonts w:hint="eastAsia"/>
          <w:spacing w:val="-4"/>
          <w:szCs w:val="22"/>
        </w:rPr>
        <w:t>台北，福智之聲</w:t>
      </w:r>
      <w:r w:rsidRPr="00400D3A">
        <w:rPr>
          <w:rFonts w:hint="eastAsia"/>
          <w:spacing w:val="-4"/>
          <w:szCs w:val="22"/>
        </w:rPr>
        <w:t>出版社，</w:t>
      </w:r>
      <w:r w:rsidRPr="00400D3A">
        <w:rPr>
          <w:spacing w:val="-4"/>
          <w:szCs w:val="22"/>
        </w:rPr>
        <w:t>p.469</w:t>
      </w:r>
      <w:r w:rsidRPr="00400D3A">
        <w:rPr>
          <w:rFonts w:hint="eastAsia"/>
          <w:spacing w:val="-4"/>
          <w:szCs w:val="22"/>
        </w:rPr>
        <w:t>：</w:t>
      </w:r>
    </w:p>
    <w:p w:rsidR="00157EF6" w:rsidRPr="00212D57" w:rsidRDefault="00157EF6" w:rsidP="002B682F">
      <w:pPr>
        <w:pStyle w:val="a5"/>
        <w:ind w:leftChars="105" w:left="252"/>
        <w:jc w:val="both"/>
        <w:rPr>
          <w:szCs w:val="22"/>
        </w:rPr>
      </w:pPr>
      <w:r w:rsidRPr="00212D57">
        <w:rPr>
          <w:rFonts w:ascii="標楷體" w:eastAsia="標楷體" w:hAnsi="標楷體" w:hint="eastAsia"/>
          <w:szCs w:val="22"/>
        </w:rPr>
        <w:t>《中觀莊嚴論釋難》云：「</w:t>
      </w:r>
      <w:r w:rsidRPr="00212D57">
        <w:rPr>
          <w:rFonts w:eastAsia="標楷體" w:hint="eastAsia"/>
          <w:szCs w:val="22"/>
        </w:rPr>
        <w:t>何謂無自性性？謂於真實。言真實者，謂隨事勢轉比量所證真實義性。真實義相觀察即空，由此宣說真實及勝義。」</w:t>
      </w:r>
    </w:p>
  </w:footnote>
  <w:footnote w:id="311">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eastAsia="標楷體" w:hint="eastAsia"/>
          <w:szCs w:val="22"/>
        </w:rPr>
        <w:t xml:space="preserve"> </w:t>
      </w:r>
      <w:r w:rsidRPr="00212D57">
        <w:rPr>
          <w:rFonts w:eastAsia="標楷體" w:hint="eastAsia"/>
          <w:szCs w:val="22"/>
        </w:rPr>
        <w:t>（</w:t>
      </w:r>
      <w:r w:rsidRPr="00761EF3">
        <w:rPr>
          <w:rFonts w:eastAsia="標楷體"/>
          <w:szCs w:val="22"/>
        </w:rPr>
        <w:t>1</w:t>
      </w:r>
      <w:r w:rsidRPr="00212D57">
        <w:rPr>
          <w:rFonts w:eastAsia="標楷體" w:hint="eastAsia"/>
          <w:szCs w:val="22"/>
        </w:rPr>
        <w:t>）</w:t>
      </w:r>
      <w:r w:rsidRPr="00212D57">
        <w:rPr>
          <w:rFonts w:hint="eastAsia"/>
          <w:szCs w:val="22"/>
        </w:rPr>
        <w:t>《大智度論》卷</w:t>
      </w:r>
      <w:r w:rsidRPr="00761EF3">
        <w:rPr>
          <w:szCs w:val="22"/>
        </w:rPr>
        <w:t>18</w:t>
      </w:r>
      <w:r w:rsidR="007B0351">
        <w:rPr>
          <w:rFonts w:hint="eastAsia"/>
          <w:color w:val="FF0000"/>
          <w:szCs w:val="22"/>
          <w:highlight w:val="yellow"/>
        </w:rPr>
        <w:t>釋〈</w:t>
      </w:r>
      <w:r w:rsidR="007B0351">
        <w:rPr>
          <w:color w:val="FF0000"/>
          <w:szCs w:val="22"/>
          <w:highlight w:val="yellow"/>
        </w:rPr>
        <w:t xml:space="preserve">1 </w:t>
      </w:r>
      <w:r w:rsidR="007B0351">
        <w:rPr>
          <w:rFonts w:hint="eastAsia"/>
          <w:color w:val="FF0000"/>
          <w:szCs w:val="22"/>
          <w:highlight w:val="yellow"/>
        </w:rPr>
        <w:t>序品〉</w:t>
      </w:r>
      <w:r w:rsidRPr="00212D57">
        <w:rPr>
          <w:rFonts w:hint="eastAsia"/>
          <w:szCs w:val="22"/>
        </w:rPr>
        <w:t>（大正</w:t>
      </w:r>
      <w:r w:rsidRPr="00761EF3">
        <w:rPr>
          <w:szCs w:val="22"/>
        </w:rPr>
        <w:t>25</w:t>
      </w:r>
      <w:r w:rsidRPr="00212D57">
        <w:rPr>
          <w:rFonts w:hint="eastAsia"/>
          <w:szCs w:val="22"/>
        </w:rPr>
        <w:t>，</w:t>
      </w:r>
      <w:r w:rsidRPr="00761EF3">
        <w:rPr>
          <w:szCs w:val="22"/>
        </w:rPr>
        <w:t>190b10</w:t>
      </w:r>
      <w:r w:rsidRPr="00212D57">
        <w:rPr>
          <w:szCs w:val="22"/>
        </w:rPr>
        <w:t>-</w:t>
      </w:r>
      <w:r w:rsidRPr="00761EF3">
        <w:rPr>
          <w:szCs w:val="22"/>
        </w:rPr>
        <w:t>18</w:t>
      </w:r>
      <w:r w:rsidRPr="00212D57">
        <w:rPr>
          <w:rFonts w:hint="eastAsia"/>
          <w:szCs w:val="22"/>
        </w:rPr>
        <w:t>）：</w:t>
      </w:r>
    </w:p>
    <w:p w:rsidR="00157EF6" w:rsidRPr="00212D57" w:rsidRDefault="00157EF6" w:rsidP="002B682F">
      <w:pPr>
        <w:pStyle w:val="a5"/>
        <w:ind w:leftChars="335" w:left="804"/>
        <w:jc w:val="both"/>
        <w:rPr>
          <w:rFonts w:eastAsia="標楷體"/>
          <w:b/>
          <w:szCs w:val="22"/>
        </w:rPr>
      </w:pPr>
      <w:r w:rsidRPr="00212D57">
        <w:rPr>
          <w:rFonts w:eastAsia="標楷體" w:hint="eastAsia"/>
          <w:szCs w:val="22"/>
        </w:rPr>
        <w:t>云何是</w:t>
      </w:r>
      <w:r w:rsidR="00A846C3">
        <w:rPr>
          <w:rFonts w:ascii="標楷體" w:eastAsia="標楷體" w:hAnsi="標楷體" w:cs="Calibri" w:hint="eastAsia"/>
          <w:color w:val="FF0000"/>
          <w:szCs w:val="22"/>
          <w:highlight w:val="yellow"/>
        </w:rPr>
        <w:t>「</w:t>
      </w:r>
      <w:r w:rsidRPr="00212D57">
        <w:rPr>
          <w:rFonts w:eastAsia="標楷體" w:hint="eastAsia"/>
          <w:szCs w:val="22"/>
        </w:rPr>
        <w:t>諸法實相</w:t>
      </w:r>
      <w:r w:rsidR="00A846C3">
        <w:rPr>
          <w:rFonts w:ascii="標楷體" w:eastAsia="標楷體" w:hAnsi="標楷體" w:cs="Calibri" w:hint="eastAsia"/>
          <w:color w:val="FF0000"/>
          <w:szCs w:val="22"/>
          <w:highlight w:val="yellow"/>
        </w:rPr>
        <w:t>」</w:t>
      </w:r>
      <w:r w:rsidRPr="00212D57">
        <w:rPr>
          <w:rFonts w:eastAsia="標楷體" w:hint="eastAsia"/>
          <w:szCs w:val="22"/>
        </w:rPr>
        <w:t>？</w:t>
      </w:r>
      <w:r w:rsidR="00A846C3">
        <w:rPr>
          <w:rFonts w:eastAsia="標楷體" w:hint="eastAsia"/>
          <w:szCs w:val="22"/>
          <w:shd w:val="pct15" w:color="auto" w:fill="FFFFFF"/>
        </w:rPr>
        <w:t>……</w:t>
      </w:r>
      <w:r w:rsidRPr="00212D57">
        <w:rPr>
          <w:rFonts w:eastAsia="標楷體" w:hint="eastAsia"/>
          <w:b/>
          <w:szCs w:val="22"/>
        </w:rPr>
        <w:t>捨一切觀，滅一切言語，離諸心行，從本已</w:t>
      </w:r>
      <w:r w:rsidRPr="00A846C3">
        <w:rPr>
          <w:rFonts w:eastAsia="標楷體" w:hint="eastAsia"/>
          <w:b/>
          <w:szCs w:val="22"/>
          <w:highlight w:val="yellow"/>
        </w:rPr>
        <w:t>來不</w:t>
      </w:r>
      <w:r w:rsidRPr="00212D57">
        <w:rPr>
          <w:rFonts w:eastAsia="標楷體" w:hint="eastAsia"/>
          <w:b/>
          <w:szCs w:val="22"/>
        </w:rPr>
        <w:t>生不滅，如涅槃相</w:t>
      </w:r>
      <w:r w:rsidR="00A846C3">
        <w:rPr>
          <w:rFonts w:ascii="標楷體" w:eastAsia="標楷體" w:hAnsi="標楷體" w:cs="Calibri" w:hint="eastAsia"/>
          <w:color w:val="FF0000"/>
          <w:szCs w:val="22"/>
          <w:highlight w:val="yellow"/>
        </w:rPr>
        <w:t>，</w:t>
      </w:r>
      <w:r w:rsidRPr="00212D57">
        <w:rPr>
          <w:rFonts w:eastAsia="標楷體" w:hint="eastAsia"/>
          <w:b/>
          <w:szCs w:val="22"/>
        </w:rPr>
        <w:t>一切諸法相亦如是，是名</w:t>
      </w:r>
      <w:r w:rsidR="00A846C3">
        <w:rPr>
          <w:rFonts w:ascii="標楷體" w:eastAsia="標楷體" w:hAnsi="標楷體" w:cs="Calibri" w:hint="eastAsia"/>
          <w:color w:val="FF0000"/>
          <w:szCs w:val="22"/>
          <w:highlight w:val="yellow"/>
        </w:rPr>
        <w:t>「</w:t>
      </w:r>
      <w:r w:rsidRPr="00212D57">
        <w:rPr>
          <w:rFonts w:eastAsia="標楷體" w:hint="eastAsia"/>
          <w:b/>
          <w:szCs w:val="22"/>
        </w:rPr>
        <w:t>諸法實相</w:t>
      </w:r>
      <w:r w:rsidR="00A846C3">
        <w:rPr>
          <w:rFonts w:ascii="標楷體" w:eastAsia="標楷體" w:hAnsi="標楷體" w:cs="Calibri" w:hint="eastAsia"/>
          <w:color w:val="FF0000"/>
          <w:szCs w:val="22"/>
          <w:highlight w:val="yellow"/>
        </w:rPr>
        <w:t>」</w:t>
      </w:r>
      <w:r w:rsidRPr="00212D57">
        <w:rPr>
          <w:rFonts w:eastAsia="標楷體" w:hint="eastAsia"/>
          <w:szCs w:val="22"/>
        </w:rPr>
        <w:t>。</w:t>
      </w:r>
    </w:p>
    <w:p w:rsidR="00157EF6" w:rsidRPr="00212D57" w:rsidRDefault="00157EF6" w:rsidP="002B682F">
      <w:pPr>
        <w:pStyle w:val="a5"/>
        <w:ind w:leftChars="105" w:left="791" w:hangingChars="245" w:hanging="539"/>
        <w:jc w:val="both"/>
        <w:rPr>
          <w:szCs w:val="22"/>
        </w:rPr>
      </w:pPr>
      <w:r w:rsidRPr="00212D57">
        <w:rPr>
          <w:rFonts w:hint="eastAsia"/>
          <w:szCs w:val="22"/>
        </w:rPr>
        <w:t>（</w:t>
      </w:r>
      <w:r w:rsidRPr="00761EF3">
        <w:rPr>
          <w:szCs w:val="22"/>
        </w:rPr>
        <w:t>2</w:t>
      </w:r>
      <w:r w:rsidRPr="00212D57">
        <w:rPr>
          <w:rFonts w:hint="eastAsia"/>
          <w:szCs w:val="22"/>
        </w:rPr>
        <w:t>）《大智度論》卷</w:t>
      </w:r>
      <w:r w:rsidRPr="00761EF3">
        <w:rPr>
          <w:szCs w:val="22"/>
        </w:rPr>
        <w:t>43</w:t>
      </w:r>
      <w:r w:rsidR="007B0351">
        <w:rPr>
          <w:rFonts w:hint="eastAsia"/>
          <w:color w:val="FF0000"/>
          <w:szCs w:val="22"/>
          <w:highlight w:val="yellow"/>
        </w:rPr>
        <w:t>釋</w:t>
      </w:r>
      <w:r w:rsidR="007B0351" w:rsidRPr="007B0351">
        <w:rPr>
          <w:rFonts w:hint="eastAsia"/>
          <w:color w:val="FF0000"/>
          <w:szCs w:val="22"/>
          <w:highlight w:val="yellow"/>
        </w:rPr>
        <w:t>〈</w:t>
      </w:r>
      <w:r w:rsidR="007B0351" w:rsidRPr="007B0351">
        <w:rPr>
          <w:rFonts w:hint="eastAsia"/>
          <w:color w:val="FF0000"/>
          <w:szCs w:val="22"/>
          <w:highlight w:val="yellow"/>
        </w:rPr>
        <w:t xml:space="preserve">9 </w:t>
      </w:r>
      <w:r w:rsidR="007B0351" w:rsidRPr="007B0351">
        <w:rPr>
          <w:rFonts w:hint="eastAsia"/>
          <w:color w:val="FF0000"/>
          <w:szCs w:val="22"/>
          <w:highlight w:val="yellow"/>
        </w:rPr>
        <w:t>集散品〉</w:t>
      </w:r>
      <w:r w:rsidRPr="00212D57">
        <w:rPr>
          <w:rFonts w:hint="eastAsia"/>
          <w:szCs w:val="22"/>
        </w:rPr>
        <w:t>（大正</w:t>
      </w:r>
      <w:r w:rsidRPr="00761EF3">
        <w:rPr>
          <w:szCs w:val="22"/>
        </w:rPr>
        <w:t>25</w:t>
      </w:r>
      <w:r w:rsidRPr="00212D57">
        <w:rPr>
          <w:rFonts w:hint="eastAsia"/>
          <w:szCs w:val="22"/>
        </w:rPr>
        <w:t>，</w:t>
      </w:r>
      <w:r w:rsidRPr="00761EF3">
        <w:rPr>
          <w:szCs w:val="22"/>
        </w:rPr>
        <w:t>370</w:t>
      </w:r>
      <w:r w:rsidRPr="00212D57">
        <w:rPr>
          <w:szCs w:val="22"/>
        </w:rPr>
        <w:t xml:space="preserve"> </w:t>
      </w:r>
      <w:r w:rsidRPr="00761EF3">
        <w:rPr>
          <w:szCs w:val="22"/>
        </w:rPr>
        <w:t>a21</w:t>
      </w:r>
      <w:r w:rsidRPr="00212D57">
        <w:rPr>
          <w:szCs w:val="22"/>
        </w:rPr>
        <w:t>-</w:t>
      </w:r>
      <w:r w:rsidRPr="00761EF3">
        <w:rPr>
          <w:szCs w:val="22"/>
        </w:rPr>
        <w:t>b15</w:t>
      </w:r>
      <w:r w:rsidRPr="00212D57">
        <w:rPr>
          <w:rFonts w:hint="eastAsia"/>
          <w:szCs w:val="22"/>
        </w:rPr>
        <w:t>）：</w:t>
      </w:r>
    </w:p>
    <w:p w:rsidR="00157EF6" w:rsidRPr="00212D57" w:rsidRDefault="00713D2A" w:rsidP="00216329">
      <w:pPr>
        <w:pStyle w:val="a5"/>
        <w:ind w:leftChars="335" w:left="804"/>
        <w:jc w:val="both"/>
        <w:rPr>
          <w:rFonts w:eastAsia="標楷體"/>
          <w:szCs w:val="22"/>
        </w:rPr>
      </w:pPr>
      <w:r>
        <w:rPr>
          <w:rFonts w:ascii="標楷體" w:eastAsia="標楷體" w:hAnsi="標楷體" w:hint="eastAsia"/>
          <w:bCs/>
          <w:color w:val="FF0000"/>
          <w:kern w:val="0"/>
          <w:highlight w:val="yellow"/>
        </w:rPr>
        <w:t>「</w:t>
      </w:r>
      <w:r w:rsidR="00157EF6" w:rsidRPr="00212D57">
        <w:rPr>
          <w:rFonts w:eastAsia="標楷體" w:hint="eastAsia"/>
          <w:szCs w:val="22"/>
        </w:rPr>
        <w:t>般若波羅蜜</w:t>
      </w:r>
      <w:r>
        <w:rPr>
          <w:rFonts w:ascii="標楷體" w:eastAsia="標楷體" w:hAnsi="標楷體" w:hint="eastAsia"/>
          <w:bCs/>
          <w:color w:val="FF0000"/>
          <w:kern w:val="0"/>
          <w:highlight w:val="yellow"/>
        </w:rPr>
        <w:t>」</w:t>
      </w:r>
      <w:r w:rsidR="00157EF6" w:rsidRPr="00212D57">
        <w:rPr>
          <w:rFonts w:eastAsia="標楷體" w:hint="eastAsia"/>
          <w:szCs w:val="22"/>
        </w:rPr>
        <w:t>者，是一切諸法實相，不可破，不可壞；若有佛</w:t>
      </w:r>
      <w:r w:rsidR="00750E2D">
        <w:rPr>
          <w:rFonts w:ascii="標楷體" w:eastAsia="標楷體" w:hAnsi="標楷體" w:hint="eastAsia"/>
          <w:color w:val="FF0000"/>
          <w:spacing w:val="-4"/>
          <w:kern w:val="0"/>
          <w:highlight w:val="yellow"/>
        </w:rPr>
        <w:t>、</w:t>
      </w:r>
      <w:r w:rsidR="00157EF6" w:rsidRPr="00212D57">
        <w:rPr>
          <w:rFonts w:eastAsia="標楷體" w:hint="eastAsia"/>
          <w:szCs w:val="22"/>
        </w:rPr>
        <w:t>若無佛，常住</w:t>
      </w:r>
      <w:r w:rsidR="00750E2D">
        <w:rPr>
          <w:rFonts w:ascii="標楷體" w:eastAsia="標楷體" w:hAnsi="標楷體" w:hint="eastAsia"/>
          <w:color w:val="FF0000"/>
          <w:kern w:val="0"/>
          <w:highlight w:val="yellow"/>
        </w:rPr>
        <w:t>，</w:t>
      </w:r>
      <w:r w:rsidR="00157EF6" w:rsidRPr="00212D57">
        <w:rPr>
          <w:rFonts w:eastAsia="標楷體" w:hint="eastAsia"/>
          <w:szCs w:val="22"/>
        </w:rPr>
        <w:t>諸法相、法位</w:t>
      </w:r>
      <w:r w:rsidR="00750E2D">
        <w:rPr>
          <w:rFonts w:ascii="標楷體" w:eastAsia="標楷體" w:hAnsi="標楷體" w:hint="eastAsia"/>
          <w:color w:val="FF0000"/>
          <w:spacing w:val="-4"/>
          <w:kern w:val="0"/>
          <w:highlight w:val="yellow"/>
        </w:rPr>
        <w:t>；</w:t>
      </w:r>
      <w:r w:rsidR="00157EF6" w:rsidRPr="00212D57">
        <w:rPr>
          <w:rFonts w:eastAsia="標楷體" w:hint="eastAsia"/>
          <w:szCs w:val="22"/>
        </w:rPr>
        <w:t>非佛、非辟支佛、非菩薩、非聲聞、非天</w:t>
      </w:r>
      <w:r w:rsidR="00750E2D">
        <w:rPr>
          <w:rFonts w:ascii="標楷體" w:eastAsia="標楷體" w:hAnsi="標楷體" w:hint="eastAsia"/>
          <w:color w:val="FF0000"/>
          <w:kern w:val="0"/>
          <w:highlight w:val="yellow"/>
        </w:rPr>
        <w:t>.</w:t>
      </w:r>
      <w:r w:rsidR="00157EF6" w:rsidRPr="00212D57">
        <w:rPr>
          <w:rFonts w:eastAsia="標楷體" w:hint="eastAsia"/>
          <w:szCs w:val="22"/>
        </w:rPr>
        <w:t>人所作，何況其餘小眾生！</w:t>
      </w:r>
      <w:r w:rsidR="00A846C3">
        <w:rPr>
          <w:rFonts w:eastAsia="標楷體" w:hint="eastAsia"/>
          <w:szCs w:val="22"/>
          <w:shd w:val="pct15" w:color="auto" w:fill="FFFFFF"/>
        </w:rPr>
        <w:t>……</w:t>
      </w:r>
      <w:r w:rsidR="00216329" w:rsidRPr="00216329">
        <w:rPr>
          <w:rFonts w:eastAsia="標楷體" w:hint="eastAsia"/>
          <w:color w:val="FF0000"/>
          <w:szCs w:val="22"/>
          <w:highlight w:val="yellow"/>
        </w:rPr>
        <w:t>復次，須菩提此中自說：「是法無所有、不可得。」是</w:t>
      </w:r>
      <w:r w:rsidR="00216329">
        <w:rPr>
          <w:rFonts w:ascii="標楷體" w:eastAsia="標楷體" w:hAnsi="標楷體" w:hint="eastAsia"/>
          <w:bCs/>
          <w:color w:val="FF0000"/>
          <w:kern w:val="0"/>
          <w:highlight w:val="yellow"/>
        </w:rPr>
        <w:t>「</w:t>
      </w:r>
      <w:r w:rsidR="00157EF6" w:rsidRPr="00212D57">
        <w:rPr>
          <w:rFonts w:eastAsia="標楷體" w:hint="eastAsia"/>
          <w:szCs w:val="22"/>
        </w:rPr>
        <w:t>般若波羅蜜</w:t>
      </w:r>
      <w:r w:rsidR="00216329">
        <w:rPr>
          <w:rFonts w:ascii="標楷體" w:eastAsia="標楷體" w:hAnsi="標楷體" w:hint="eastAsia"/>
          <w:bCs/>
          <w:color w:val="FF0000"/>
          <w:kern w:val="0"/>
          <w:highlight w:val="yellow"/>
        </w:rPr>
        <w:t>」</w:t>
      </w:r>
      <w:r w:rsidR="00157EF6" w:rsidRPr="00212D57">
        <w:rPr>
          <w:rFonts w:eastAsia="標楷體" w:hint="eastAsia"/>
          <w:szCs w:val="22"/>
        </w:rPr>
        <w:t>，空故</w:t>
      </w:r>
      <w:r w:rsidR="00216329">
        <w:rPr>
          <w:rFonts w:ascii="標楷體" w:eastAsia="標楷體" w:hAnsi="標楷體" w:hint="eastAsia"/>
          <w:bCs/>
          <w:color w:val="FF0000"/>
          <w:kern w:val="0"/>
          <w:highlight w:val="yellow"/>
        </w:rPr>
        <w:t>「</w:t>
      </w:r>
      <w:r w:rsidR="00157EF6" w:rsidRPr="00212D57">
        <w:rPr>
          <w:rFonts w:eastAsia="標楷體" w:hint="eastAsia"/>
          <w:szCs w:val="22"/>
        </w:rPr>
        <w:t>無所有</w:t>
      </w:r>
      <w:r w:rsidR="00216329">
        <w:rPr>
          <w:rFonts w:ascii="標楷體" w:eastAsia="標楷體" w:hAnsi="標楷體" w:hint="eastAsia"/>
          <w:bCs/>
          <w:color w:val="FF0000"/>
          <w:kern w:val="0"/>
          <w:highlight w:val="yellow"/>
        </w:rPr>
        <w:t>」</w:t>
      </w:r>
      <w:r w:rsidR="00157EF6" w:rsidRPr="00212D57">
        <w:rPr>
          <w:rFonts w:eastAsia="標楷體" w:hint="eastAsia"/>
          <w:szCs w:val="22"/>
        </w:rPr>
        <w:t>，常、無常等諸</w:t>
      </w:r>
      <w:r w:rsidR="00157EF6" w:rsidRPr="00750E2D">
        <w:rPr>
          <w:rFonts w:eastAsia="標楷體" w:hint="eastAsia"/>
          <w:szCs w:val="22"/>
          <w:highlight w:val="yellow"/>
        </w:rPr>
        <w:t>觀求</w:t>
      </w:r>
      <w:r w:rsidR="00157EF6" w:rsidRPr="00212D57">
        <w:rPr>
          <w:rFonts w:eastAsia="標楷體" w:hint="eastAsia"/>
          <w:szCs w:val="22"/>
        </w:rPr>
        <w:t>覓無定</w:t>
      </w:r>
      <w:r w:rsidR="00157EF6" w:rsidRPr="00750E2D">
        <w:rPr>
          <w:rFonts w:eastAsia="標楷體" w:hint="eastAsia"/>
          <w:szCs w:val="22"/>
          <w:highlight w:val="yellow"/>
        </w:rPr>
        <w:t>相故</w:t>
      </w:r>
      <w:r w:rsidR="00216329">
        <w:rPr>
          <w:rFonts w:ascii="標楷體" w:eastAsia="標楷體" w:hAnsi="標楷體" w:hint="eastAsia"/>
          <w:bCs/>
          <w:color w:val="FF0000"/>
          <w:kern w:val="0"/>
          <w:highlight w:val="yellow"/>
        </w:rPr>
        <w:t>「</w:t>
      </w:r>
      <w:r w:rsidR="00157EF6" w:rsidRPr="00212D57">
        <w:rPr>
          <w:rFonts w:eastAsia="標楷體" w:hint="eastAsia"/>
          <w:szCs w:val="22"/>
        </w:rPr>
        <w:t>不可得</w:t>
      </w:r>
      <w:r w:rsidR="00216329">
        <w:rPr>
          <w:rFonts w:ascii="標楷體" w:eastAsia="標楷體" w:hAnsi="標楷體" w:hint="eastAsia"/>
          <w:bCs/>
          <w:color w:val="FF0000"/>
          <w:kern w:val="0"/>
          <w:highlight w:val="yellow"/>
        </w:rPr>
        <w:t>」</w:t>
      </w:r>
      <w:r w:rsidR="00157EF6" w:rsidRPr="00212D57">
        <w:rPr>
          <w:rFonts w:eastAsia="標楷體" w:hint="eastAsia"/>
          <w:szCs w:val="22"/>
        </w:rPr>
        <w:t>。</w:t>
      </w:r>
    </w:p>
    <w:p w:rsidR="00157EF6" w:rsidRPr="00212D57" w:rsidRDefault="00157EF6" w:rsidP="002B682F">
      <w:pPr>
        <w:pStyle w:val="a5"/>
        <w:ind w:leftChars="105" w:left="791" w:hangingChars="245" w:hanging="539"/>
        <w:jc w:val="both"/>
        <w:rPr>
          <w:szCs w:val="22"/>
        </w:rPr>
      </w:pPr>
      <w:r w:rsidRPr="00212D57">
        <w:rPr>
          <w:rFonts w:hint="eastAsia"/>
          <w:szCs w:val="22"/>
        </w:rPr>
        <w:t>（</w:t>
      </w:r>
      <w:r w:rsidRPr="00761EF3">
        <w:rPr>
          <w:szCs w:val="22"/>
        </w:rPr>
        <w:t>3</w:t>
      </w:r>
      <w:r w:rsidRPr="00212D57">
        <w:rPr>
          <w:rFonts w:hint="eastAsia"/>
          <w:szCs w:val="22"/>
        </w:rPr>
        <w:t>）印順法師，《般若經講記》，</w:t>
      </w:r>
      <w:r w:rsidRPr="00761EF3">
        <w:rPr>
          <w:szCs w:val="22"/>
        </w:rPr>
        <w:t>pp</w:t>
      </w:r>
      <w:r w:rsidRPr="00212D57">
        <w:rPr>
          <w:szCs w:val="22"/>
        </w:rPr>
        <w:t>.</w:t>
      </w:r>
      <w:r w:rsidRPr="00761EF3">
        <w:rPr>
          <w:szCs w:val="22"/>
        </w:rPr>
        <w:t>3</w:t>
      </w:r>
      <w:r w:rsidRPr="00212D57">
        <w:rPr>
          <w:szCs w:val="22"/>
        </w:rPr>
        <w:t>-</w:t>
      </w:r>
      <w:r w:rsidRPr="00761EF3">
        <w:rPr>
          <w:szCs w:val="22"/>
        </w:rPr>
        <w:t>6</w:t>
      </w:r>
      <w:r w:rsidRPr="00212D57">
        <w:rPr>
          <w:rFonts w:hint="eastAsia"/>
          <w:szCs w:val="22"/>
        </w:rPr>
        <w:t>：</w:t>
      </w:r>
    </w:p>
    <w:p w:rsidR="00157EF6" w:rsidRPr="00212D57" w:rsidRDefault="00157EF6" w:rsidP="002B682F">
      <w:pPr>
        <w:pStyle w:val="a5"/>
        <w:ind w:leftChars="335" w:left="804"/>
        <w:jc w:val="both"/>
        <w:rPr>
          <w:rFonts w:ascii="標楷體" w:eastAsia="標楷體" w:hAnsi="標楷體"/>
          <w:szCs w:val="22"/>
        </w:rPr>
      </w:pPr>
      <w:r w:rsidRPr="00212D57">
        <w:rPr>
          <w:rFonts w:ascii="標楷體" w:eastAsia="標楷體" w:hAnsi="標楷體" w:hint="eastAsia"/>
          <w:b/>
          <w:szCs w:val="22"/>
        </w:rPr>
        <w:t>實相般若</w:t>
      </w:r>
      <w:r w:rsidRPr="00212D57">
        <w:rPr>
          <w:rFonts w:ascii="標楷體" w:eastAsia="標楷體" w:hAnsi="標楷體" w:hint="eastAsia"/>
          <w:szCs w:val="22"/>
        </w:rPr>
        <w:t>：實相即諸法如實相，不可以「有」、「無」等去敘述他，也不可以「彼此」、「大小」等去想像他，實相是離一切相──言語相、文字相、心緣相，而無可取著的。《大智度論》說：「般若如大火聚，四邊不可觸</w:t>
      </w:r>
      <w:r>
        <w:rPr>
          <w:rFonts w:ascii="標楷體" w:eastAsia="標楷體" w:hAnsi="標楷體" w:hint="eastAsia"/>
          <w:szCs w:val="22"/>
        </w:rPr>
        <w:t>。</w:t>
      </w:r>
      <w:r w:rsidRPr="00212D57">
        <w:rPr>
          <w:rFonts w:ascii="標楷體" w:eastAsia="標楷體" w:hAnsi="標楷體" w:hint="eastAsia"/>
          <w:szCs w:val="22"/>
        </w:rPr>
        <w:t>」古德說：「說似一物即不中」，都指示這超越戲論而唯證相應的實相。凡夫的所知所見，無不為自性的戲論所亂，一切是錯誤的。這種虛誑妄取相，不但不見如實空相，也不能如實了達如幻的行相。從見中道而成佛的圓證實相說：從畢竟寂滅中，徹見一切法的體、用、因、果，離一切相，即一切法。如《法華經》說：「唯佛與佛乃能究盡諸法實相，所謂諸法如是相，如是性，如是體，如是力，如是作，如是因，如是緣，如是果，如是報，如是本末究竟等。」所以，空寂與緣起相，無不是如實的。但這是非凡愚的亂相、亂識所得，必須離戲論的虛誑妄取相，那就非「空無所得」不可。所以，經論所說的實相，每側重於如實空性、無性。要見性相、空有無礙的如實相，請先透此「都無所得」一關──迷悟的關鍵所在。</w:t>
      </w:r>
    </w:p>
    <w:p w:rsidR="00157EF6" w:rsidRPr="00212D57" w:rsidRDefault="00157EF6" w:rsidP="002B682F">
      <w:pPr>
        <w:pStyle w:val="a5"/>
        <w:ind w:leftChars="335" w:left="804"/>
        <w:jc w:val="both"/>
        <w:rPr>
          <w:rFonts w:ascii="標楷體" w:eastAsia="標楷體" w:hAnsi="標楷體"/>
          <w:szCs w:val="22"/>
        </w:rPr>
      </w:pPr>
      <w:r w:rsidRPr="00212D57">
        <w:rPr>
          <w:rFonts w:ascii="標楷體" w:eastAsia="標楷體" w:hAnsi="標楷體" w:hint="eastAsia"/>
          <w:szCs w:val="22"/>
        </w:rPr>
        <w:t>實相──約理性邊說，是空還是有？《中論》說：「空則不可說，非空不可說，共不共叵說，但以假名說。」實相非凡常的思想、世俗的語言可表達，這如何可以說是空是有，更因此而諍論？然而，實相非離一切而別有實體，所以不應離文字而說實相。同時，不假藉言說，更無法引導眾生離執而契入，所以「不壞假名而說法性」，即不妨以「有」、「空」去表示他。《中論》說：「一切實非實，亦實亦非實，非實非非實，是名諸佛法。」末句，或譯「諸法之實相」。眾生的不能徹悟實相，病根在執有我法的自性；所以見色聞聲時，總以為色聲的本質是這樣的，確實是這樣的，自己是這樣的。由於這一根本的執見，即為生死根本。所以，經中所說的實相，處處說非有，說自性不可得。本經也說：「凡所有相，皆是虛妄；若見諸相非相，則見如來。」高揚此實相無相的教說，尊為「不二解脫之門」。即是說：實相非空非有，而在「寄言離執」的教意說，實相是順於「空」的；但不要忘卻「為可度眾生說是畢竟空」！</w:t>
      </w:r>
    </w:p>
    <w:p w:rsidR="00157EF6" w:rsidRPr="00212D57" w:rsidRDefault="00157EF6" w:rsidP="002B682F">
      <w:pPr>
        <w:pStyle w:val="a5"/>
        <w:ind w:leftChars="335" w:left="804"/>
        <w:jc w:val="both"/>
        <w:rPr>
          <w:rFonts w:ascii="標楷體" w:eastAsia="標楷體" w:hAnsi="標楷體"/>
          <w:szCs w:val="22"/>
        </w:rPr>
      </w:pPr>
      <w:r w:rsidRPr="00212D57">
        <w:rPr>
          <w:rFonts w:ascii="標楷體" w:eastAsia="標楷體" w:hAnsi="標楷體" w:hint="eastAsia"/>
          <w:szCs w:val="22"/>
        </w:rPr>
        <w:t>有人說：實相是客觀真理，非佛作亦非餘人作，是般若所證的。</w:t>
      </w:r>
    </w:p>
    <w:p w:rsidR="00157EF6" w:rsidRPr="00212D57" w:rsidRDefault="00157EF6" w:rsidP="002B682F">
      <w:pPr>
        <w:pStyle w:val="a5"/>
        <w:ind w:leftChars="335" w:left="804"/>
        <w:jc w:val="both"/>
        <w:rPr>
          <w:rFonts w:ascii="標楷體" w:eastAsia="標楷體" w:hAnsi="標楷體"/>
          <w:szCs w:val="22"/>
        </w:rPr>
      </w:pPr>
      <w:r w:rsidRPr="00212D57">
        <w:rPr>
          <w:rFonts w:ascii="標楷體" w:eastAsia="標楷體" w:hAnsi="標楷體" w:hint="eastAsia"/>
          <w:szCs w:val="22"/>
        </w:rPr>
        <w:t>有人說：實相為超越能所的──絕對的主觀真心，即心自性。</w:t>
      </w:r>
    </w:p>
    <w:p w:rsidR="00157EF6" w:rsidRPr="00212D57" w:rsidRDefault="00157EF6" w:rsidP="002B682F">
      <w:pPr>
        <w:pStyle w:val="a5"/>
        <w:ind w:leftChars="335" w:left="804"/>
        <w:jc w:val="both"/>
        <w:rPr>
          <w:szCs w:val="22"/>
        </w:rPr>
      </w:pPr>
      <w:r w:rsidRPr="00212D57">
        <w:rPr>
          <w:rFonts w:ascii="標楷體" w:eastAsia="標楷體" w:hAnsi="標楷體" w:hint="eastAsia"/>
          <w:szCs w:val="22"/>
        </w:rPr>
        <w:t>依《大智度論》說：「觀是一邊，緣是一邊，離此二邊說中道。」離此客觀的真理與絕待的真心，纔能與實相相應。實相，在論理的說明上，是般若所證的，所以每被想像為「所」邊。同時，在定慧的修持上，即心離執而契入，所以每被倒執為「能」邊。其實，不落能所，更有什麼「所證」與「真心」可說！</w:t>
      </w:r>
    </w:p>
  </w:footnote>
  <w:footnote w:id="312">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rFonts w:hint="eastAsia"/>
          <w:szCs w:val="22"/>
        </w:rPr>
        <w:t>田地：</w:t>
      </w:r>
      <w:r w:rsidRPr="00761EF3">
        <w:rPr>
          <w:szCs w:val="22"/>
        </w:rPr>
        <w:t>4</w:t>
      </w:r>
      <w:r w:rsidRPr="00212D57">
        <w:rPr>
          <w:szCs w:val="22"/>
        </w:rPr>
        <w:t>.</w:t>
      </w:r>
      <w:r w:rsidRPr="00212D57">
        <w:rPr>
          <w:rFonts w:hint="eastAsia"/>
          <w:szCs w:val="22"/>
        </w:rPr>
        <w:t>地步，程度。（《漢語大詞典》（七），</w:t>
      </w:r>
      <w:r w:rsidRPr="00761EF3">
        <w:rPr>
          <w:szCs w:val="22"/>
        </w:rPr>
        <w:t>p</w:t>
      </w:r>
      <w:r w:rsidRPr="00212D57">
        <w:rPr>
          <w:szCs w:val="22"/>
        </w:rPr>
        <w:t>.</w:t>
      </w:r>
      <w:r w:rsidRPr="00761EF3">
        <w:rPr>
          <w:szCs w:val="22"/>
        </w:rPr>
        <w:t>1269</w:t>
      </w:r>
      <w:r w:rsidRPr="00212D57">
        <w:rPr>
          <w:rFonts w:hint="eastAsia"/>
          <w:szCs w:val="22"/>
        </w:rPr>
        <w:t>）</w:t>
      </w:r>
    </w:p>
  </w:footnote>
  <w:footnote w:id="313">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rFonts w:hint="eastAsia"/>
          <w:szCs w:val="22"/>
        </w:rPr>
        <w:t>中觀的方法論：以信順中觀教為本（聞量之文字般若），進而運用中觀的方法以觀察真理（比量之觀照般若），以趨入中觀的現證（現量之實相般若）。</w:t>
      </w:r>
    </w:p>
  </w:footnote>
  <w:footnote w:id="314">
    <w:p w:rsidR="00157EF6" w:rsidRPr="00212D57" w:rsidRDefault="00157EF6" w:rsidP="009E0A5A">
      <w:pPr>
        <w:pStyle w:val="a5"/>
        <w:spacing w:line="0" w:lineRule="atLeast"/>
        <w:ind w:left="704" w:hangingChars="320" w:hanging="704"/>
        <w:jc w:val="both"/>
        <w:rPr>
          <w:rFonts w:eastAsia="SimSun"/>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szCs w:val="22"/>
        </w:rPr>
        <w:t>1</w:t>
      </w:r>
      <w:r w:rsidRPr="00212D57">
        <w:rPr>
          <w:rFonts w:hint="eastAsia"/>
          <w:szCs w:val="22"/>
        </w:rPr>
        <w:t>）《中論》卷</w:t>
      </w:r>
      <w:r w:rsidRPr="00761EF3">
        <w:rPr>
          <w:szCs w:val="22"/>
        </w:rPr>
        <w:t>4</w:t>
      </w:r>
      <w:r w:rsidRPr="00212D57">
        <w:rPr>
          <w:rFonts w:hint="eastAsia"/>
          <w:szCs w:val="22"/>
        </w:rPr>
        <w:t>〈</w:t>
      </w:r>
      <w:r w:rsidRPr="00761EF3">
        <w:rPr>
          <w:szCs w:val="22"/>
        </w:rPr>
        <w:t>24</w:t>
      </w:r>
      <w:r w:rsidRPr="00212D57">
        <w:rPr>
          <w:szCs w:val="22"/>
        </w:rPr>
        <w:t xml:space="preserve"> </w:t>
      </w:r>
      <w:r w:rsidRPr="00212D57">
        <w:rPr>
          <w:rFonts w:hint="eastAsia"/>
          <w:szCs w:val="22"/>
        </w:rPr>
        <w:t>觀四諦品〉（大正</w:t>
      </w:r>
      <w:r w:rsidRPr="00761EF3">
        <w:rPr>
          <w:szCs w:val="22"/>
        </w:rPr>
        <w:t>30</w:t>
      </w:r>
      <w:r w:rsidRPr="00212D57">
        <w:rPr>
          <w:rFonts w:hint="eastAsia"/>
          <w:szCs w:val="22"/>
        </w:rPr>
        <w:t>，</w:t>
      </w:r>
      <w:r w:rsidRPr="00761EF3">
        <w:rPr>
          <w:szCs w:val="22"/>
        </w:rPr>
        <w:t>33b11</w:t>
      </w:r>
      <w:r w:rsidRPr="00212D57">
        <w:rPr>
          <w:szCs w:val="22"/>
        </w:rPr>
        <w:t>-</w:t>
      </w:r>
      <w:r w:rsidRPr="00761EF3">
        <w:rPr>
          <w:szCs w:val="22"/>
        </w:rPr>
        <w:t>14</w:t>
      </w:r>
      <w:r w:rsidRPr="00212D57">
        <w:rPr>
          <w:rFonts w:hint="eastAsia"/>
          <w:szCs w:val="22"/>
        </w:rPr>
        <w:t>）：</w:t>
      </w:r>
    </w:p>
    <w:p w:rsidR="00157EF6" w:rsidRPr="00212D57" w:rsidRDefault="00157EF6" w:rsidP="002B682F">
      <w:pPr>
        <w:pStyle w:val="a5"/>
        <w:ind w:leftChars="305" w:left="732"/>
        <w:jc w:val="both"/>
        <w:rPr>
          <w:rFonts w:ascii="標楷體" w:eastAsia="標楷體" w:hAnsi="標楷體"/>
          <w:szCs w:val="22"/>
        </w:rPr>
      </w:pPr>
      <w:r w:rsidRPr="00212D57">
        <w:rPr>
          <w:rFonts w:ascii="標楷體" w:eastAsia="標楷體" w:hAnsi="標楷體" w:hint="eastAsia"/>
          <w:b/>
          <w:szCs w:val="22"/>
        </w:rPr>
        <w:t>眾因緣生法，我說即是無</w:t>
      </w:r>
      <w:r w:rsidRPr="00774F73">
        <w:rPr>
          <w:rFonts w:hint="eastAsia"/>
          <w:szCs w:val="22"/>
          <w:shd w:val="pct15" w:color="auto" w:fill="FFFFFF"/>
          <w:vertAlign w:val="superscript"/>
        </w:rPr>
        <w:t>※</w:t>
      </w:r>
      <w:r w:rsidRPr="00212D57">
        <w:rPr>
          <w:rFonts w:ascii="標楷體" w:eastAsia="標楷體" w:hAnsi="標楷體" w:hint="eastAsia"/>
          <w:szCs w:val="22"/>
        </w:rPr>
        <w:t>，亦為是假名，亦是中道義。</w:t>
      </w:r>
    </w:p>
    <w:p w:rsidR="00157EF6" w:rsidRPr="00212D57" w:rsidRDefault="00157EF6" w:rsidP="002B682F">
      <w:pPr>
        <w:pStyle w:val="a5"/>
        <w:ind w:leftChars="305" w:left="732"/>
        <w:jc w:val="both"/>
        <w:rPr>
          <w:rFonts w:ascii="標楷體" w:eastAsia="標楷體" w:hAnsi="標楷體"/>
          <w:szCs w:val="22"/>
        </w:rPr>
      </w:pPr>
      <w:r w:rsidRPr="00212D57">
        <w:rPr>
          <w:rFonts w:ascii="標楷體" w:eastAsia="標楷體" w:hAnsi="標楷體" w:hint="eastAsia"/>
          <w:szCs w:val="22"/>
        </w:rPr>
        <w:t>未曾有一法，不從因緣生，是故一切法，無不是空者。</w:t>
      </w:r>
    </w:p>
    <w:p w:rsidR="00157EF6" w:rsidRPr="00212D57" w:rsidRDefault="00157EF6" w:rsidP="002B682F">
      <w:pPr>
        <w:pStyle w:val="a5"/>
        <w:ind w:leftChars="305" w:left="732"/>
        <w:jc w:val="both"/>
        <w:rPr>
          <w:rFonts w:ascii="新細明體" w:hAnsi="新細明體"/>
          <w:szCs w:val="22"/>
        </w:rPr>
      </w:pPr>
      <w:r w:rsidRPr="00774F73">
        <w:rPr>
          <w:rFonts w:ascii="新細明體" w:hAnsi="新細明體" w:hint="eastAsia"/>
          <w:szCs w:val="22"/>
          <w:shd w:val="pct15" w:color="auto" w:fill="FFFFFF"/>
        </w:rPr>
        <w:t>※</w:t>
      </w:r>
      <w:r w:rsidRPr="00212D57">
        <w:rPr>
          <w:rFonts w:ascii="新細明體" w:hAnsi="新細明體" w:hint="eastAsia"/>
          <w:szCs w:val="22"/>
        </w:rPr>
        <w:t>「</w:t>
      </w:r>
      <w:r w:rsidRPr="00774F73">
        <w:rPr>
          <w:rFonts w:ascii="標楷體" w:eastAsia="標楷體" w:hAnsi="標楷體" w:hint="eastAsia"/>
          <w:szCs w:val="22"/>
        </w:rPr>
        <w:t>無</w:t>
      </w:r>
      <w:r w:rsidRPr="00212D57">
        <w:rPr>
          <w:rFonts w:ascii="新細明體" w:hAnsi="新細明體" w:hint="eastAsia"/>
          <w:szCs w:val="22"/>
        </w:rPr>
        <w:t>」，依梵文原意是「空」。</w:t>
      </w:r>
    </w:p>
    <w:p w:rsidR="00157EF6" w:rsidRPr="00212D57" w:rsidRDefault="00157EF6" w:rsidP="002B682F">
      <w:pPr>
        <w:pStyle w:val="a5"/>
        <w:ind w:leftChars="80" w:left="731" w:hangingChars="245" w:hanging="539"/>
        <w:jc w:val="both"/>
        <w:rPr>
          <w:rFonts w:eastAsia="SimSun"/>
          <w:szCs w:val="22"/>
        </w:rPr>
      </w:pPr>
      <w:r w:rsidRPr="00212D57">
        <w:rPr>
          <w:rFonts w:hint="eastAsia"/>
          <w:szCs w:val="22"/>
        </w:rPr>
        <w:t>（</w:t>
      </w:r>
      <w:r w:rsidRPr="00761EF3">
        <w:rPr>
          <w:szCs w:val="22"/>
        </w:rPr>
        <w:t>2</w:t>
      </w:r>
      <w:r w:rsidRPr="00212D57">
        <w:rPr>
          <w:rFonts w:hint="eastAsia"/>
          <w:szCs w:val="22"/>
        </w:rPr>
        <w:t>）印順法師，《中觀論頌講記》，</w:t>
      </w:r>
      <w:r w:rsidRPr="00761EF3">
        <w:rPr>
          <w:szCs w:val="22"/>
        </w:rPr>
        <w:t>pp</w:t>
      </w:r>
      <w:r w:rsidRPr="00212D57">
        <w:rPr>
          <w:szCs w:val="22"/>
        </w:rPr>
        <w:t>.</w:t>
      </w:r>
      <w:r w:rsidRPr="00761EF3">
        <w:rPr>
          <w:rFonts w:eastAsia="SimSun"/>
          <w:szCs w:val="22"/>
        </w:rPr>
        <w:t>461</w:t>
      </w:r>
      <w:r w:rsidRPr="00212D57">
        <w:rPr>
          <w:szCs w:val="22"/>
        </w:rPr>
        <w:t>-</w:t>
      </w:r>
      <w:r w:rsidRPr="00761EF3">
        <w:rPr>
          <w:rFonts w:eastAsia="SimSun"/>
          <w:szCs w:val="22"/>
        </w:rPr>
        <w:t>463</w:t>
      </w:r>
      <w:r w:rsidRPr="00212D57">
        <w:rPr>
          <w:rFonts w:hint="eastAsia"/>
          <w:szCs w:val="22"/>
        </w:rPr>
        <w:t>：</w:t>
      </w:r>
    </w:p>
    <w:p w:rsidR="00157EF6" w:rsidRPr="00212D57" w:rsidRDefault="00157EF6" w:rsidP="002B682F">
      <w:pPr>
        <w:pStyle w:val="a5"/>
        <w:ind w:leftChars="305" w:left="732"/>
        <w:jc w:val="both"/>
        <w:rPr>
          <w:rFonts w:ascii="標楷體" w:eastAsia="標楷體" w:hAnsi="標楷體"/>
          <w:szCs w:val="22"/>
        </w:rPr>
      </w:pPr>
      <w:r w:rsidRPr="00212D57">
        <w:rPr>
          <w:rFonts w:ascii="標楷體" w:eastAsia="標楷體" w:hAnsi="標楷體" w:hint="eastAsia"/>
          <w:szCs w:val="22"/>
        </w:rPr>
        <w:t>一切「眾」多「因緣」所「生」的「法」，「我」佛「說」他就「是空」的。雖說是空，但並不是否認一切法。這空無自性的空法，「亦」說「為是假名」的。因離戲論的空寂中，空相也是不可得的。佛所以說緣生法是空，如《智度論》說：</w:t>
      </w:r>
      <w:r w:rsidR="00F140C4">
        <w:rPr>
          <w:rFonts w:ascii="標楷體" w:eastAsia="標楷體" w:hAnsi="標楷體" w:hint="eastAsia"/>
          <w:szCs w:val="22"/>
        </w:rPr>
        <w:t>「</w:t>
      </w:r>
      <w:r w:rsidRPr="00212D57">
        <w:rPr>
          <w:rFonts w:ascii="標楷體" w:eastAsia="標楷體" w:hAnsi="標楷體" w:hint="eastAsia"/>
          <w:szCs w:val="22"/>
        </w:rPr>
        <w:t>為可度眾生說是畢竟空</w:t>
      </w:r>
      <w:r>
        <w:rPr>
          <w:rFonts w:ascii="標楷體" w:eastAsia="標楷體" w:hAnsi="標楷體" w:hint="eastAsia"/>
          <w:szCs w:val="22"/>
        </w:rPr>
        <w:t>。</w:t>
      </w:r>
      <w:r w:rsidR="00F140C4">
        <w:rPr>
          <w:rFonts w:ascii="標楷體" w:eastAsia="標楷體" w:hAnsi="標楷體" w:hint="eastAsia"/>
          <w:szCs w:val="22"/>
        </w:rPr>
        <w:t>」</w:t>
      </w:r>
      <w:r w:rsidRPr="00212D57">
        <w:rPr>
          <w:rFonts w:ascii="標楷體" w:eastAsia="標楷體" w:hAnsi="標楷體" w:hint="eastAsia"/>
          <w:szCs w:val="22"/>
        </w:rPr>
        <w:t>目的在使眾生在緣起法中，離一切自性妄見；以無自性空的觀門，體證諸法寂滅的實相。所以一切法空，而不能以為勝義實相中，有此空相的。這即緣起有的性空，「亦是中道義」。……</w:t>
      </w:r>
    </w:p>
    <w:p w:rsidR="00157EF6" w:rsidRPr="00212D57" w:rsidRDefault="00157EF6" w:rsidP="002B682F">
      <w:pPr>
        <w:pStyle w:val="a5"/>
        <w:ind w:leftChars="305" w:left="732"/>
        <w:jc w:val="both"/>
        <w:rPr>
          <w:szCs w:val="22"/>
        </w:rPr>
      </w:pPr>
      <w:r w:rsidRPr="00212D57">
        <w:rPr>
          <w:rFonts w:ascii="標楷體" w:eastAsia="標楷體" w:hAnsi="標楷體" w:hint="eastAsia"/>
          <w:szCs w:val="22"/>
        </w:rPr>
        <w:t>上頌已成立緣生性空的空，是不礙有的，是不著空的正見；下頌才說明一切無不是緣生法，所以一切無不是空的。凡是存在的，無一不是緣生的。所以說：「未曾有一法，不從因緣生。」</w:t>
      </w:r>
      <w:r w:rsidRPr="00212D57">
        <w:rPr>
          <w:rFonts w:ascii="標楷體" w:eastAsia="標楷體" w:hAnsi="標楷體" w:hint="eastAsia"/>
          <w:b/>
          <w:szCs w:val="22"/>
        </w:rPr>
        <w:t>凡是從因緣生的，無一不是空無自性的</w:t>
      </w:r>
      <w:r w:rsidRPr="00212D57">
        <w:rPr>
          <w:rFonts w:ascii="標楷體" w:eastAsia="標楷體" w:hAnsi="標楷體" w:hint="eastAsia"/>
          <w:szCs w:val="22"/>
        </w:rPr>
        <w:t>。實有的緣生法，決定沒有的。所以說：「是故一切法，無不是空者。」這一頌與上一頌的意義，是連貫的，不能把他分開，而斷章取義的。離後頌而讀前頌，決定會作別解。論主所以引這兩頌，因外人與論主諍論，說性空者主張是破壞一切的；論主才引經證成自己，不特沒有過，而且這是佛法的精髓，是佛法的真義所在。</w:t>
      </w:r>
    </w:p>
  </w:footnote>
  <w:footnote w:id="315">
    <w:p w:rsidR="00157EF6" w:rsidRPr="00212D57" w:rsidRDefault="00157EF6" w:rsidP="002B682F">
      <w:pPr>
        <w:pStyle w:val="a5"/>
        <w:spacing w:line="0" w:lineRule="atLeast"/>
        <w:ind w:left="704" w:hangingChars="320" w:hanging="704"/>
        <w:jc w:val="both"/>
        <w:rPr>
          <w:rFonts w:eastAsia="SimSun"/>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szCs w:val="22"/>
        </w:rPr>
        <w:t>1</w:t>
      </w:r>
      <w:r w:rsidRPr="00212D57">
        <w:rPr>
          <w:rFonts w:hint="eastAsia"/>
          <w:szCs w:val="22"/>
        </w:rPr>
        <w:t>）《中論》卷</w:t>
      </w:r>
      <w:r w:rsidRPr="00761EF3">
        <w:rPr>
          <w:szCs w:val="22"/>
        </w:rPr>
        <w:t>2</w:t>
      </w:r>
      <w:r w:rsidRPr="00212D57">
        <w:rPr>
          <w:rFonts w:hint="eastAsia"/>
          <w:szCs w:val="22"/>
        </w:rPr>
        <w:t>〈</w:t>
      </w:r>
      <w:r w:rsidRPr="00761EF3">
        <w:rPr>
          <w:szCs w:val="22"/>
        </w:rPr>
        <w:t>7</w:t>
      </w:r>
      <w:r w:rsidRPr="00212D57">
        <w:rPr>
          <w:szCs w:val="22"/>
        </w:rPr>
        <w:t xml:space="preserve"> </w:t>
      </w:r>
      <w:r w:rsidRPr="00212D57">
        <w:rPr>
          <w:rFonts w:hint="eastAsia"/>
          <w:szCs w:val="22"/>
        </w:rPr>
        <w:t>觀三相品〉（大正</w:t>
      </w:r>
      <w:r w:rsidRPr="00761EF3">
        <w:rPr>
          <w:szCs w:val="22"/>
        </w:rPr>
        <w:t>30</w:t>
      </w:r>
      <w:r w:rsidRPr="00212D57">
        <w:rPr>
          <w:rFonts w:hint="eastAsia"/>
          <w:szCs w:val="22"/>
        </w:rPr>
        <w:t>，</w:t>
      </w:r>
      <w:r w:rsidRPr="00761EF3">
        <w:rPr>
          <w:szCs w:val="22"/>
        </w:rPr>
        <w:t>10c11</w:t>
      </w:r>
      <w:r w:rsidRPr="00212D57">
        <w:rPr>
          <w:szCs w:val="22"/>
        </w:rPr>
        <w:t>-</w:t>
      </w:r>
      <w:r w:rsidRPr="00761EF3">
        <w:rPr>
          <w:szCs w:val="22"/>
        </w:rPr>
        <w:t>12</w:t>
      </w:r>
      <w:r w:rsidRPr="00212D57">
        <w:rPr>
          <w:rFonts w:hint="eastAsia"/>
          <w:szCs w:val="22"/>
        </w:rPr>
        <w:t>）：</w:t>
      </w:r>
    </w:p>
    <w:p w:rsidR="00157EF6" w:rsidRPr="00212D57" w:rsidRDefault="00157EF6" w:rsidP="002B682F">
      <w:pPr>
        <w:pStyle w:val="a5"/>
        <w:ind w:leftChars="305" w:left="732"/>
        <w:jc w:val="both"/>
        <w:rPr>
          <w:rFonts w:ascii="標楷體" w:eastAsia="SimSun" w:hAnsi="標楷體"/>
          <w:szCs w:val="22"/>
        </w:rPr>
      </w:pPr>
      <w:r w:rsidRPr="00212D57">
        <w:rPr>
          <w:rFonts w:ascii="標楷體" w:eastAsia="標楷體" w:hAnsi="標楷體" w:hint="eastAsia"/>
          <w:szCs w:val="22"/>
        </w:rPr>
        <w:t>若法眾緣生，即是寂滅性，是故生</w:t>
      </w:r>
      <w:r w:rsidR="00A31B0F">
        <w:rPr>
          <w:rFonts w:ascii="標楷體" w:eastAsia="標楷體" w:hAnsi="標楷體" w:hint="eastAsia"/>
          <w:color w:val="FF0000"/>
          <w:spacing w:val="-4"/>
          <w:kern w:val="0"/>
          <w:highlight w:val="yellow"/>
        </w:rPr>
        <w:t>、</w:t>
      </w:r>
      <w:r w:rsidRPr="00212D57">
        <w:rPr>
          <w:rFonts w:ascii="標楷體" w:eastAsia="標楷體" w:hAnsi="標楷體" w:hint="eastAsia"/>
          <w:szCs w:val="22"/>
        </w:rPr>
        <w:t>生時，是二俱寂滅。</w:t>
      </w:r>
    </w:p>
    <w:p w:rsidR="00157EF6" w:rsidRPr="00212D57" w:rsidRDefault="00157EF6" w:rsidP="002B682F">
      <w:pPr>
        <w:pStyle w:val="a5"/>
        <w:ind w:leftChars="80" w:left="731" w:hangingChars="245" w:hanging="539"/>
        <w:jc w:val="both"/>
        <w:rPr>
          <w:rFonts w:eastAsia="SimSun"/>
          <w:szCs w:val="22"/>
        </w:rPr>
      </w:pPr>
      <w:r w:rsidRPr="00212D57">
        <w:rPr>
          <w:rFonts w:hint="eastAsia"/>
          <w:szCs w:val="22"/>
        </w:rPr>
        <w:t>（</w:t>
      </w:r>
      <w:r w:rsidRPr="00761EF3">
        <w:rPr>
          <w:szCs w:val="22"/>
        </w:rPr>
        <w:t>2</w:t>
      </w:r>
      <w:r w:rsidRPr="00212D57">
        <w:rPr>
          <w:rFonts w:hint="eastAsia"/>
          <w:szCs w:val="22"/>
        </w:rPr>
        <w:t>）印順法師，《中觀論頌講記》，</w:t>
      </w:r>
      <w:r w:rsidRPr="00761EF3">
        <w:rPr>
          <w:szCs w:val="22"/>
        </w:rPr>
        <w:t>pp</w:t>
      </w:r>
      <w:r w:rsidRPr="00212D57">
        <w:rPr>
          <w:szCs w:val="22"/>
        </w:rPr>
        <w:t>.</w:t>
      </w:r>
      <w:r w:rsidRPr="00761EF3">
        <w:rPr>
          <w:szCs w:val="22"/>
        </w:rPr>
        <w:t>158</w:t>
      </w:r>
      <w:r w:rsidRPr="00212D57">
        <w:rPr>
          <w:szCs w:val="22"/>
        </w:rPr>
        <w:t>-</w:t>
      </w:r>
      <w:r w:rsidRPr="00761EF3">
        <w:rPr>
          <w:szCs w:val="22"/>
        </w:rPr>
        <w:t>159</w:t>
      </w:r>
      <w:r w:rsidRPr="00212D57">
        <w:rPr>
          <w:rFonts w:hint="eastAsia"/>
          <w:szCs w:val="22"/>
        </w:rPr>
        <w:t>：</w:t>
      </w:r>
    </w:p>
    <w:p w:rsidR="00157EF6" w:rsidRPr="00212D57" w:rsidRDefault="00157EF6" w:rsidP="002B682F">
      <w:pPr>
        <w:pStyle w:val="a5"/>
        <w:ind w:leftChars="305" w:left="732"/>
        <w:jc w:val="both"/>
        <w:rPr>
          <w:szCs w:val="22"/>
        </w:rPr>
      </w:pPr>
      <w:r w:rsidRPr="00212D57">
        <w:rPr>
          <w:rFonts w:ascii="標楷體" w:eastAsia="標楷體" w:hAnsi="標楷體" w:hint="eastAsia"/>
          <w:szCs w:val="22"/>
        </w:rPr>
        <w:t>依中觀的正見，「若」諸「法眾緣」和合而「生」起，那就是無自性的；無自性的緣生，當體「是」本性空寂的「寂滅性」。寂滅性的緣生法，不應執有實在的自性法在生時生。所以「生」法與「生時」，「是」觀待的假名，在緣起的無自性中，「二」者都是「寂滅」無生的。</w:t>
      </w:r>
    </w:p>
  </w:footnote>
  <w:footnote w:id="316">
    <w:p w:rsidR="00157EF6" w:rsidRPr="00212D57" w:rsidRDefault="00157EF6" w:rsidP="002B682F">
      <w:pPr>
        <w:pStyle w:val="a5"/>
        <w:ind w:left="187" w:hangingChars="85" w:hanging="187"/>
        <w:jc w:val="both"/>
        <w:rPr>
          <w:rFonts w:ascii="標楷體" w:eastAsia="SimSun" w:hAnsi="標楷體"/>
          <w:szCs w:val="22"/>
        </w:rPr>
      </w:pPr>
      <w:r w:rsidRPr="00212D57">
        <w:rPr>
          <w:rStyle w:val="a6"/>
          <w:szCs w:val="22"/>
        </w:rPr>
        <w:footnoteRef/>
      </w:r>
      <w:r w:rsidRPr="00212D57">
        <w:rPr>
          <w:rFonts w:hint="eastAsia"/>
          <w:szCs w:val="22"/>
        </w:rPr>
        <w:t xml:space="preserve"> </w:t>
      </w:r>
      <w:r w:rsidRPr="00212D57">
        <w:rPr>
          <w:rFonts w:hint="eastAsia"/>
          <w:szCs w:val="22"/>
        </w:rPr>
        <w:t>《十二門論</w:t>
      </w:r>
      <w:r w:rsidRPr="00774F73">
        <w:rPr>
          <w:rFonts w:hint="eastAsia"/>
          <w:szCs w:val="22"/>
          <w:highlight w:val="yellow"/>
        </w:rPr>
        <w:t>》〈</w:t>
      </w:r>
      <w:r w:rsidRPr="00761EF3">
        <w:rPr>
          <w:szCs w:val="22"/>
        </w:rPr>
        <w:t>1</w:t>
      </w:r>
      <w:r w:rsidRPr="00212D57">
        <w:rPr>
          <w:szCs w:val="22"/>
        </w:rPr>
        <w:t xml:space="preserve"> </w:t>
      </w:r>
      <w:r w:rsidRPr="00212D57">
        <w:rPr>
          <w:rFonts w:hint="eastAsia"/>
          <w:szCs w:val="22"/>
        </w:rPr>
        <w:t>觀因緣門〉（大正</w:t>
      </w:r>
      <w:r w:rsidRPr="00761EF3">
        <w:rPr>
          <w:szCs w:val="22"/>
        </w:rPr>
        <w:t>30</w:t>
      </w:r>
      <w:r w:rsidRPr="00212D57">
        <w:rPr>
          <w:rFonts w:hint="eastAsia"/>
          <w:szCs w:val="22"/>
        </w:rPr>
        <w:t>，</w:t>
      </w:r>
      <w:r w:rsidRPr="00761EF3">
        <w:rPr>
          <w:szCs w:val="22"/>
        </w:rPr>
        <w:t>159c26</w:t>
      </w:r>
      <w:r w:rsidRPr="00212D57">
        <w:rPr>
          <w:szCs w:val="22"/>
        </w:rPr>
        <w:t>-</w:t>
      </w:r>
      <w:r w:rsidRPr="00761EF3">
        <w:rPr>
          <w:szCs w:val="22"/>
        </w:rPr>
        <w:t>27</w:t>
      </w:r>
      <w:r w:rsidRPr="00212D57">
        <w:rPr>
          <w:rFonts w:hint="eastAsia"/>
          <w:szCs w:val="22"/>
        </w:rPr>
        <w:t>）</w:t>
      </w:r>
      <w:r w:rsidRPr="00212D57">
        <w:rPr>
          <w:rFonts w:ascii="標楷體" w:eastAsia="標楷體" w:hAnsi="標楷體" w:hint="eastAsia"/>
          <w:szCs w:val="22"/>
        </w:rPr>
        <w:t>：</w:t>
      </w:r>
    </w:p>
    <w:p w:rsidR="00157EF6" w:rsidRPr="00212D57" w:rsidRDefault="00157EF6" w:rsidP="002B682F">
      <w:pPr>
        <w:pStyle w:val="a5"/>
        <w:ind w:leftChars="75" w:left="180"/>
        <w:jc w:val="both"/>
        <w:rPr>
          <w:szCs w:val="22"/>
        </w:rPr>
      </w:pPr>
      <w:r w:rsidRPr="00212D57">
        <w:rPr>
          <w:rFonts w:ascii="標楷體" w:eastAsia="標楷體" w:hAnsi="標楷體" w:hint="eastAsia"/>
          <w:szCs w:val="22"/>
        </w:rPr>
        <w:t>眾緣所生法，是即無自性，若無自性者，云何有是法？</w:t>
      </w:r>
    </w:p>
  </w:footnote>
  <w:footnote w:id="317">
    <w:p w:rsidR="00157EF6" w:rsidRPr="00212D57" w:rsidRDefault="00157EF6" w:rsidP="002B682F">
      <w:pPr>
        <w:pStyle w:val="a5"/>
        <w:ind w:left="187" w:hangingChars="85" w:hanging="187"/>
        <w:jc w:val="both"/>
        <w:rPr>
          <w:rFonts w:eastAsia="SimSun"/>
          <w:szCs w:val="22"/>
        </w:rPr>
      </w:pPr>
      <w:r w:rsidRPr="00212D57">
        <w:rPr>
          <w:rStyle w:val="a6"/>
          <w:szCs w:val="22"/>
        </w:rPr>
        <w:footnoteRef/>
      </w:r>
      <w:r w:rsidRPr="00212D57">
        <w:rPr>
          <w:rFonts w:hint="eastAsia"/>
          <w:szCs w:val="22"/>
        </w:rPr>
        <w:t xml:space="preserve"> </w:t>
      </w:r>
      <w:r w:rsidRPr="00212D57">
        <w:rPr>
          <w:rFonts w:hint="eastAsia"/>
          <w:szCs w:val="22"/>
        </w:rPr>
        <w:t>《雜阿含經》卷</w:t>
      </w:r>
      <w:r w:rsidRPr="00761EF3">
        <w:rPr>
          <w:szCs w:val="22"/>
        </w:rPr>
        <w:t>13</w:t>
      </w:r>
      <w:r w:rsidRPr="00212D57">
        <w:rPr>
          <w:rFonts w:hint="eastAsia"/>
          <w:szCs w:val="22"/>
        </w:rPr>
        <w:t>（</w:t>
      </w:r>
      <w:r w:rsidRPr="00761EF3">
        <w:rPr>
          <w:szCs w:val="22"/>
        </w:rPr>
        <w:t>335</w:t>
      </w:r>
      <w:r w:rsidRPr="00212D57">
        <w:rPr>
          <w:rFonts w:hint="eastAsia"/>
          <w:szCs w:val="22"/>
        </w:rPr>
        <w:t>經）（大正</w:t>
      </w:r>
      <w:r w:rsidRPr="00761EF3">
        <w:rPr>
          <w:szCs w:val="22"/>
        </w:rPr>
        <w:t>2</w:t>
      </w:r>
      <w:r w:rsidRPr="00212D57">
        <w:rPr>
          <w:rFonts w:hint="eastAsia"/>
          <w:szCs w:val="22"/>
        </w:rPr>
        <w:t>，</w:t>
      </w:r>
      <w:r w:rsidRPr="00761EF3">
        <w:rPr>
          <w:szCs w:val="22"/>
        </w:rPr>
        <w:t>92c20</w:t>
      </w:r>
      <w:r w:rsidRPr="00212D57">
        <w:rPr>
          <w:szCs w:val="22"/>
        </w:rPr>
        <w:t>-</w:t>
      </w:r>
      <w:r w:rsidRPr="00761EF3">
        <w:rPr>
          <w:szCs w:val="22"/>
        </w:rPr>
        <w:t>25</w:t>
      </w:r>
      <w:r w:rsidRPr="00212D57">
        <w:rPr>
          <w:rFonts w:hint="eastAsia"/>
          <w:szCs w:val="22"/>
        </w:rPr>
        <w:t>）：</w:t>
      </w:r>
    </w:p>
    <w:p w:rsidR="00157EF6" w:rsidRPr="00212D57" w:rsidRDefault="00A31B0F" w:rsidP="002B682F">
      <w:pPr>
        <w:pStyle w:val="a5"/>
        <w:ind w:leftChars="75" w:left="180"/>
        <w:jc w:val="both"/>
        <w:rPr>
          <w:szCs w:val="22"/>
        </w:rPr>
      </w:pPr>
      <w:r>
        <w:rPr>
          <w:rFonts w:ascii="標楷體" w:eastAsia="標楷體" w:hAnsi="標楷體" w:hint="eastAsia"/>
          <w:bCs/>
          <w:color w:val="FF0000"/>
          <w:kern w:val="0"/>
          <w:highlight w:val="yellow"/>
        </w:rPr>
        <w:t>「</w:t>
      </w:r>
      <w:r w:rsidR="00157EF6" w:rsidRPr="00212D57">
        <w:rPr>
          <w:rFonts w:ascii="標楷體" w:eastAsia="標楷體" w:hAnsi="標楷體" w:hint="eastAsia"/>
          <w:szCs w:val="22"/>
        </w:rPr>
        <w:t>俗數法</w:t>
      </w:r>
      <w:r>
        <w:rPr>
          <w:rFonts w:ascii="標楷體" w:eastAsia="標楷體" w:hAnsi="標楷體" w:hint="eastAsia"/>
          <w:bCs/>
          <w:color w:val="FF0000"/>
          <w:kern w:val="0"/>
          <w:highlight w:val="yellow"/>
        </w:rPr>
        <w:t>」</w:t>
      </w:r>
      <w:r w:rsidR="00157EF6" w:rsidRPr="00212D57">
        <w:rPr>
          <w:rFonts w:ascii="標楷體" w:eastAsia="標楷體" w:hAnsi="標楷體" w:hint="eastAsia"/>
          <w:szCs w:val="22"/>
        </w:rPr>
        <w:t>者，謂</w:t>
      </w:r>
      <w:r>
        <w:rPr>
          <w:rFonts w:ascii="標楷體" w:eastAsia="標楷體" w:hAnsi="標楷體" w:hint="eastAsia"/>
          <w:bCs/>
          <w:color w:val="FF0000"/>
          <w:kern w:val="0"/>
          <w:highlight w:val="yellow"/>
        </w:rPr>
        <w:t>「</w:t>
      </w:r>
      <w:r w:rsidR="00157EF6" w:rsidRPr="00212D57">
        <w:rPr>
          <w:rFonts w:ascii="標楷體" w:eastAsia="標楷體" w:hAnsi="標楷體" w:hint="eastAsia"/>
          <w:szCs w:val="22"/>
        </w:rPr>
        <w:t>此有故彼有，此起故彼起</w:t>
      </w:r>
      <w:r>
        <w:rPr>
          <w:rFonts w:ascii="標楷體" w:eastAsia="標楷體" w:hAnsi="標楷體" w:hint="eastAsia"/>
          <w:bCs/>
          <w:color w:val="FF0000"/>
          <w:kern w:val="0"/>
          <w:highlight w:val="yellow"/>
        </w:rPr>
        <w:t>」</w:t>
      </w:r>
      <w:r w:rsidR="00157EF6" w:rsidRPr="00212D57">
        <w:rPr>
          <w:rFonts w:ascii="標楷體" w:eastAsia="標楷體" w:hAnsi="標楷體" w:hint="eastAsia"/>
          <w:szCs w:val="22"/>
        </w:rPr>
        <w:t>，如無明緣行，行緣識，廣說乃至純大苦聚集起</w:t>
      </w:r>
      <w:r>
        <w:rPr>
          <w:rFonts w:ascii="標楷體" w:eastAsia="標楷體" w:hAnsi="標楷體" w:hint="eastAsia"/>
          <w:color w:val="FF0000"/>
          <w:spacing w:val="-4"/>
          <w:kern w:val="0"/>
          <w:highlight w:val="yellow"/>
        </w:rPr>
        <w:t>；</w:t>
      </w:r>
      <w:r w:rsidR="00157EF6" w:rsidRPr="00212D57">
        <w:rPr>
          <w:rFonts w:ascii="標楷體" w:eastAsia="標楷體" w:hAnsi="標楷體" w:hint="eastAsia"/>
          <w:szCs w:val="22"/>
        </w:rPr>
        <w:t>又復</w:t>
      </w:r>
      <w:r>
        <w:rPr>
          <w:rFonts w:ascii="標楷體" w:eastAsia="標楷體" w:hAnsi="標楷體" w:hint="eastAsia"/>
          <w:bCs/>
          <w:color w:val="FF0000"/>
          <w:kern w:val="0"/>
          <w:highlight w:val="yellow"/>
        </w:rPr>
        <w:t>「</w:t>
      </w:r>
      <w:r w:rsidR="00157EF6" w:rsidRPr="00212D57">
        <w:rPr>
          <w:rFonts w:ascii="標楷體" w:eastAsia="標楷體" w:hAnsi="標楷體" w:hint="eastAsia"/>
          <w:szCs w:val="22"/>
        </w:rPr>
        <w:t>此無故彼無，此滅故彼滅</w:t>
      </w:r>
      <w:r>
        <w:rPr>
          <w:rFonts w:ascii="標楷體" w:eastAsia="標楷體" w:hAnsi="標楷體" w:hint="eastAsia"/>
          <w:bCs/>
          <w:color w:val="FF0000"/>
          <w:kern w:val="0"/>
          <w:highlight w:val="yellow"/>
        </w:rPr>
        <w:t>」</w:t>
      </w:r>
      <w:r w:rsidR="00157EF6" w:rsidRPr="00212D57">
        <w:rPr>
          <w:rFonts w:ascii="標楷體" w:eastAsia="標楷體" w:hAnsi="標楷體" w:hint="eastAsia"/>
          <w:szCs w:val="22"/>
        </w:rPr>
        <w:t>，無明滅故行滅，行滅故識滅，如是廣說乃至純大苦聚滅。比丘！是名</w:t>
      </w:r>
      <w:r>
        <w:rPr>
          <w:rFonts w:ascii="標楷體" w:eastAsia="標楷體" w:hAnsi="標楷體" w:hint="eastAsia"/>
          <w:bCs/>
          <w:color w:val="FF0000"/>
          <w:kern w:val="0"/>
          <w:highlight w:val="yellow"/>
        </w:rPr>
        <w:t>「</w:t>
      </w:r>
      <w:r w:rsidR="00157EF6" w:rsidRPr="00212D57">
        <w:rPr>
          <w:rFonts w:ascii="標楷體" w:eastAsia="標楷體" w:hAnsi="標楷體" w:hint="eastAsia"/>
          <w:szCs w:val="22"/>
        </w:rPr>
        <w:t>第一義空法經</w:t>
      </w:r>
      <w:r>
        <w:rPr>
          <w:rFonts w:ascii="標楷體" w:eastAsia="標楷體" w:hAnsi="標楷體" w:hint="eastAsia"/>
          <w:bCs/>
          <w:color w:val="FF0000"/>
          <w:kern w:val="0"/>
          <w:highlight w:val="yellow"/>
        </w:rPr>
        <w:t>」</w:t>
      </w:r>
      <w:r w:rsidR="00157EF6" w:rsidRPr="00212D57">
        <w:rPr>
          <w:rFonts w:ascii="標楷體" w:eastAsia="標楷體" w:hAnsi="標楷體" w:hint="eastAsia"/>
          <w:szCs w:val="22"/>
        </w:rPr>
        <w:t>。</w:t>
      </w:r>
    </w:p>
  </w:footnote>
  <w:footnote w:id="318">
    <w:p w:rsidR="00C161CA" w:rsidRPr="00212D57" w:rsidRDefault="00C161CA" w:rsidP="00C161CA">
      <w:pPr>
        <w:pStyle w:val="a5"/>
        <w:spacing w:line="0" w:lineRule="atLeast"/>
        <w:ind w:left="704" w:hangingChars="320" w:hanging="704"/>
        <w:jc w:val="both"/>
        <w:rPr>
          <w:rFonts w:eastAsia="SimSun"/>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szCs w:val="22"/>
        </w:rPr>
        <w:t>1</w:t>
      </w:r>
      <w:r w:rsidRPr="00212D57">
        <w:rPr>
          <w:rFonts w:hint="eastAsia"/>
          <w:szCs w:val="22"/>
        </w:rPr>
        <w:t>）《阿毘達磨大毘婆沙論》卷</w:t>
      </w:r>
      <w:r w:rsidRPr="00761EF3">
        <w:rPr>
          <w:szCs w:val="22"/>
        </w:rPr>
        <w:t>23</w:t>
      </w:r>
      <w:r w:rsidRPr="00212D57">
        <w:rPr>
          <w:rFonts w:hint="eastAsia"/>
          <w:szCs w:val="22"/>
        </w:rPr>
        <w:t>（大正</w:t>
      </w:r>
      <w:r w:rsidRPr="00761EF3">
        <w:rPr>
          <w:szCs w:val="22"/>
        </w:rPr>
        <w:t>27</w:t>
      </w:r>
      <w:r w:rsidRPr="00212D57">
        <w:rPr>
          <w:rFonts w:hint="eastAsia"/>
          <w:szCs w:val="22"/>
        </w:rPr>
        <w:t>，</w:t>
      </w:r>
      <w:r w:rsidRPr="00761EF3">
        <w:rPr>
          <w:szCs w:val="22"/>
        </w:rPr>
        <w:t>117c3</w:t>
      </w:r>
      <w:r w:rsidRPr="00212D57">
        <w:rPr>
          <w:szCs w:val="22"/>
        </w:rPr>
        <w:t>-</w:t>
      </w:r>
      <w:r w:rsidRPr="00761EF3">
        <w:rPr>
          <w:szCs w:val="22"/>
        </w:rPr>
        <w:t>4</w:t>
      </w:r>
      <w:r w:rsidRPr="00212D57">
        <w:rPr>
          <w:rFonts w:hint="eastAsia"/>
          <w:szCs w:val="22"/>
        </w:rPr>
        <w:t>）：</w:t>
      </w:r>
    </w:p>
    <w:p w:rsidR="00C161CA" w:rsidRPr="00212D57" w:rsidRDefault="00C161CA" w:rsidP="00C161CA">
      <w:pPr>
        <w:pStyle w:val="a5"/>
        <w:ind w:leftChars="305" w:left="732"/>
        <w:jc w:val="both"/>
        <w:rPr>
          <w:rFonts w:ascii="標楷體" w:eastAsia="標楷體" w:hAnsi="標楷體"/>
          <w:szCs w:val="22"/>
        </w:rPr>
      </w:pPr>
      <w:r w:rsidRPr="00212D57">
        <w:rPr>
          <w:rFonts w:ascii="標楷體" w:eastAsia="標楷體" w:hAnsi="標楷體" w:hint="eastAsia"/>
          <w:szCs w:val="22"/>
        </w:rPr>
        <w:t>緣起有四種：一、剎那，二、連縛，三、分位，四、遠續。</w:t>
      </w:r>
    </w:p>
    <w:p w:rsidR="00C161CA" w:rsidRPr="00212D57" w:rsidRDefault="00C161CA" w:rsidP="00C161CA">
      <w:pPr>
        <w:pStyle w:val="a5"/>
        <w:ind w:leftChars="80" w:left="731" w:hangingChars="245" w:hanging="539"/>
        <w:jc w:val="both"/>
        <w:rPr>
          <w:rFonts w:eastAsia="SimSun"/>
          <w:szCs w:val="22"/>
        </w:rPr>
      </w:pPr>
      <w:r w:rsidRPr="00212D57">
        <w:rPr>
          <w:rFonts w:hint="eastAsia"/>
          <w:szCs w:val="22"/>
        </w:rPr>
        <w:t>（</w:t>
      </w:r>
      <w:r w:rsidRPr="00761EF3">
        <w:rPr>
          <w:szCs w:val="22"/>
        </w:rPr>
        <w:t>2</w:t>
      </w:r>
      <w:r w:rsidRPr="00212D57">
        <w:rPr>
          <w:rFonts w:hint="eastAsia"/>
          <w:szCs w:val="22"/>
        </w:rPr>
        <w:t>）印順法師，《說一切有部為主的論書與論師之研究》，</w:t>
      </w:r>
      <w:r w:rsidRPr="00761EF3">
        <w:rPr>
          <w:szCs w:val="22"/>
        </w:rPr>
        <w:t>p</w:t>
      </w:r>
      <w:r w:rsidRPr="00212D57">
        <w:rPr>
          <w:szCs w:val="22"/>
        </w:rPr>
        <w:t>.</w:t>
      </w:r>
      <w:r w:rsidRPr="00761EF3">
        <w:rPr>
          <w:szCs w:val="22"/>
        </w:rPr>
        <w:t>344</w:t>
      </w:r>
      <w:r w:rsidRPr="00212D57">
        <w:rPr>
          <w:rFonts w:hint="eastAsia"/>
          <w:szCs w:val="22"/>
        </w:rPr>
        <w:t>：</w:t>
      </w:r>
    </w:p>
    <w:p w:rsidR="00C161CA" w:rsidRPr="00212D57" w:rsidRDefault="00C161CA" w:rsidP="00C161CA">
      <w:pPr>
        <w:pStyle w:val="a5"/>
        <w:ind w:leftChars="305" w:left="732"/>
        <w:jc w:val="both"/>
        <w:rPr>
          <w:rFonts w:ascii="標楷體" w:eastAsia="標楷體" w:hAnsi="標楷體"/>
          <w:szCs w:val="22"/>
        </w:rPr>
      </w:pPr>
      <w:r w:rsidRPr="00212D57">
        <w:rPr>
          <w:rFonts w:ascii="標楷體" w:eastAsia="標楷體" w:hAnsi="標楷體" w:hint="eastAsia"/>
          <w:szCs w:val="22"/>
        </w:rPr>
        <w:t>寂授尊者的「剎那緣起」，與世友《品類論》的「剎那」或「連縛緣起」，提婆設摩《識身論》的「遠續緣起」，《發智論》的「分位緣起」，總稱</w:t>
      </w:r>
      <w:r w:rsidRPr="00212D57">
        <w:rPr>
          <w:rFonts w:ascii="標楷體" w:eastAsia="標楷體" w:hAnsi="標楷體" w:hint="eastAsia"/>
          <w:b/>
          <w:szCs w:val="22"/>
        </w:rPr>
        <w:t>四種緣起</w:t>
      </w:r>
      <w:r w:rsidRPr="00212D57">
        <w:rPr>
          <w:rFonts w:ascii="標楷體" w:eastAsia="標楷體" w:hAnsi="標楷體" w:hint="eastAsia"/>
          <w:szCs w:val="22"/>
        </w:rPr>
        <w:t>。</w:t>
      </w:r>
    </w:p>
    <w:p w:rsidR="00C161CA" w:rsidRPr="00212D57" w:rsidRDefault="00C161CA" w:rsidP="00C161CA">
      <w:pPr>
        <w:pStyle w:val="a5"/>
        <w:ind w:leftChars="80" w:left="731" w:hangingChars="245" w:hanging="539"/>
        <w:jc w:val="both"/>
        <w:rPr>
          <w:szCs w:val="22"/>
        </w:rPr>
      </w:pPr>
      <w:r w:rsidRPr="00212D57">
        <w:rPr>
          <w:rFonts w:hint="eastAsia"/>
          <w:szCs w:val="22"/>
        </w:rPr>
        <w:t>（</w:t>
      </w:r>
      <w:r w:rsidRPr="00761EF3">
        <w:rPr>
          <w:szCs w:val="22"/>
        </w:rPr>
        <w:t>3</w:t>
      </w:r>
      <w:r w:rsidRPr="00212D57">
        <w:rPr>
          <w:rFonts w:hint="eastAsia"/>
          <w:szCs w:val="22"/>
        </w:rPr>
        <w:t>）印順法師，《印度佛教思想史》，</w:t>
      </w:r>
      <w:r w:rsidRPr="00761EF3">
        <w:rPr>
          <w:szCs w:val="22"/>
        </w:rPr>
        <w:t>pp</w:t>
      </w:r>
      <w:r w:rsidRPr="00212D57">
        <w:rPr>
          <w:szCs w:val="22"/>
        </w:rPr>
        <w:t>.</w:t>
      </w:r>
      <w:r w:rsidRPr="00761EF3">
        <w:rPr>
          <w:szCs w:val="22"/>
        </w:rPr>
        <w:t>191</w:t>
      </w:r>
      <w:r w:rsidRPr="00212D57">
        <w:rPr>
          <w:szCs w:val="22"/>
        </w:rPr>
        <w:t>-</w:t>
      </w:r>
      <w:r w:rsidRPr="00761EF3">
        <w:rPr>
          <w:szCs w:val="22"/>
        </w:rPr>
        <w:t>192</w:t>
      </w:r>
      <w:r w:rsidRPr="00212D57">
        <w:rPr>
          <w:rFonts w:hint="eastAsia"/>
          <w:szCs w:val="22"/>
        </w:rPr>
        <w:t>：</w:t>
      </w:r>
    </w:p>
    <w:p w:rsidR="00C161CA" w:rsidRPr="00212D57" w:rsidRDefault="00C161CA" w:rsidP="00C161CA">
      <w:pPr>
        <w:pStyle w:val="a5"/>
        <w:ind w:leftChars="305" w:left="732"/>
        <w:jc w:val="both"/>
        <w:rPr>
          <w:rFonts w:ascii="標楷體" w:eastAsia="標楷體" w:hAnsi="標楷體"/>
          <w:szCs w:val="22"/>
        </w:rPr>
      </w:pPr>
      <w:r w:rsidRPr="00212D57">
        <w:rPr>
          <w:rFonts w:ascii="標楷體" w:eastAsia="標楷體" w:hAnsi="標楷體" w:hint="eastAsia"/>
          <w:szCs w:val="22"/>
        </w:rPr>
        <w:t>有部論師對緣起的解釋，各有所重，所以「緣起有四種：一、剎那，二、連縛，三、分位，四、遠續。</w:t>
      </w:r>
      <w:r>
        <w:rPr>
          <w:rFonts w:ascii="標楷體" w:eastAsia="標楷體" w:hAnsi="標楷體" w:hint="eastAsia"/>
          <w:bCs/>
          <w:color w:val="FF0000"/>
          <w:kern w:val="0"/>
          <w:highlight w:val="yellow"/>
        </w:rPr>
        <w:t>」</w:t>
      </w:r>
      <w:r w:rsidRPr="00A31B0F">
        <w:rPr>
          <w:rFonts w:eastAsia="標楷體" w:hint="eastAsia"/>
          <w:bCs/>
          <w:color w:val="FF0000"/>
          <w:kern w:val="0"/>
          <w:highlight w:val="yellow"/>
          <w:vertAlign w:val="superscript"/>
        </w:rPr>
        <w:t>[24]</w:t>
      </w:r>
    </w:p>
    <w:p w:rsidR="00C161CA" w:rsidRPr="00212D57" w:rsidRDefault="00C161CA" w:rsidP="00C161CA">
      <w:pPr>
        <w:pStyle w:val="a5"/>
        <w:ind w:leftChars="305" w:left="1172" w:hangingChars="200" w:hanging="440"/>
        <w:jc w:val="both"/>
        <w:rPr>
          <w:rFonts w:ascii="標楷體" w:eastAsia="標楷體" w:hAnsi="標楷體"/>
          <w:szCs w:val="22"/>
        </w:rPr>
      </w:pPr>
      <w:r w:rsidRPr="00212D57">
        <w:rPr>
          <w:rFonts w:ascii="標楷體" w:eastAsia="標楷體" w:hAnsi="標楷體" w:hint="eastAsia"/>
          <w:b/>
          <w:szCs w:val="22"/>
        </w:rPr>
        <w:t>一、剎那緣起</w:t>
      </w:r>
      <w:r w:rsidRPr="00212D57">
        <w:rPr>
          <w:rFonts w:ascii="標楷體" w:eastAsia="標楷體" w:hAnsi="標楷體" w:hint="eastAsia"/>
          <w:szCs w:val="22"/>
        </w:rPr>
        <w:t>：與迦旃延尼子同時的寂授──設摩達多所說。一剎那中，有無明、行……老死等十二支。一剎那中，與一念中相近。《華嚴經》〈十地品〉說「三界虛妄，但是一心作；十二緣分，是皆依心」；「知十二因緣，在於一心中」。</w:t>
      </w:r>
      <w:r w:rsidRPr="00A31B0F">
        <w:rPr>
          <w:rFonts w:eastAsia="標楷體" w:hint="eastAsia"/>
          <w:bCs/>
          <w:color w:val="FF0000"/>
          <w:kern w:val="0"/>
          <w:highlight w:val="yellow"/>
          <w:vertAlign w:val="superscript"/>
        </w:rPr>
        <w:t>[25]</w:t>
      </w:r>
      <w:r w:rsidRPr="00212D57">
        <w:rPr>
          <w:rFonts w:ascii="標楷體" w:eastAsia="標楷體" w:hAnsi="標楷體" w:hint="eastAsia"/>
          <w:szCs w:val="22"/>
        </w:rPr>
        <w:t>一心緣起，可說受到剎那緣起的影響。</w:t>
      </w:r>
    </w:p>
    <w:p w:rsidR="00C161CA" w:rsidRPr="00212D57" w:rsidRDefault="00C161CA" w:rsidP="00C161CA">
      <w:pPr>
        <w:pStyle w:val="a5"/>
        <w:ind w:leftChars="305" w:left="1172" w:hangingChars="200" w:hanging="440"/>
        <w:jc w:val="both"/>
        <w:rPr>
          <w:rFonts w:ascii="標楷體" w:eastAsia="標楷體" w:hAnsi="標楷體"/>
          <w:szCs w:val="22"/>
        </w:rPr>
      </w:pPr>
      <w:r w:rsidRPr="00212D57">
        <w:rPr>
          <w:rFonts w:ascii="標楷體" w:eastAsia="標楷體" w:hAnsi="標楷體" w:hint="eastAsia"/>
          <w:b/>
          <w:szCs w:val="22"/>
        </w:rPr>
        <w:t>二、連縛緣起</w:t>
      </w:r>
      <w:r w:rsidRPr="00212D57">
        <w:rPr>
          <w:rFonts w:ascii="標楷體" w:eastAsia="標楷體" w:hAnsi="標楷體" w:hint="eastAsia"/>
          <w:szCs w:val="22"/>
        </w:rPr>
        <w:t>：世友《品類足論》說</w:t>
      </w:r>
      <w:r>
        <w:rPr>
          <w:rFonts w:ascii="標楷體" w:eastAsia="標楷體" w:hAnsi="標楷體" w:hint="eastAsia"/>
          <w:szCs w:val="22"/>
        </w:rPr>
        <w:t>：</w:t>
      </w:r>
      <w:r w:rsidRPr="00212D57">
        <w:rPr>
          <w:rFonts w:ascii="標楷體" w:eastAsia="標楷體" w:hAnsi="標楷體" w:hint="eastAsia"/>
          <w:szCs w:val="22"/>
        </w:rPr>
        <w:t>「云何緣起？謂一切有為法。」一切有為法，通於有漏、無漏；有先後或同時的因果關係，所以名為連縛。</w:t>
      </w:r>
    </w:p>
    <w:p w:rsidR="00C161CA" w:rsidRPr="00212D57" w:rsidRDefault="00C161CA" w:rsidP="00C161CA">
      <w:pPr>
        <w:pStyle w:val="a5"/>
        <w:ind w:leftChars="305" w:left="1172" w:hangingChars="200" w:hanging="440"/>
        <w:jc w:val="both"/>
        <w:rPr>
          <w:rFonts w:ascii="標楷體" w:eastAsia="標楷體" w:hAnsi="標楷體"/>
          <w:szCs w:val="22"/>
        </w:rPr>
      </w:pPr>
      <w:r w:rsidRPr="00212D57">
        <w:rPr>
          <w:rFonts w:ascii="標楷體" w:eastAsia="標楷體" w:hAnsi="標楷體" w:hint="eastAsia"/>
          <w:b/>
          <w:szCs w:val="22"/>
        </w:rPr>
        <w:t>三、分位緣起</w:t>
      </w:r>
      <w:r w:rsidRPr="00212D57">
        <w:rPr>
          <w:rFonts w:ascii="標楷體" w:eastAsia="標楷體" w:hAnsi="標楷體" w:hint="eastAsia"/>
          <w:szCs w:val="22"/>
        </w:rPr>
        <w:t>：《發智論》說：無明、行，是前生的因；識、名色、六處、觸、受，是現生的果。愛、取、有，是現生的因；生、老死，是未來生的果。十二支通於三世，有兩重因果。所以名為分位，是階段的意思。以人來說，如識入母胎，新生命開始，名為「識」。胎中肉團，還沒有成形階段，名為「名色」。胎中人形成就，眼、耳等形成，名為「六處」。十二支，是三世因果的十二階段。每一階段，在欲、色界的，都具足五蘊，以五蘊為體。名為「無明」、「識」等，是約這一階段的特性而說，並非只是「無明」或「識」等。</w:t>
      </w:r>
    </w:p>
    <w:p w:rsidR="00C161CA" w:rsidRPr="00212D57" w:rsidRDefault="00C161CA" w:rsidP="00C161CA">
      <w:pPr>
        <w:pStyle w:val="a5"/>
        <w:ind w:leftChars="305" w:left="1172" w:hangingChars="200" w:hanging="440"/>
        <w:jc w:val="both"/>
        <w:rPr>
          <w:rFonts w:ascii="標楷體" w:eastAsia="標楷體" w:hAnsi="標楷體"/>
          <w:szCs w:val="22"/>
        </w:rPr>
      </w:pPr>
      <w:r w:rsidRPr="00212D57">
        <w:rPr>
          <w:rFonts w:ascii="標楷體" w:eastAsia="標楷體" w:hAnsi="標楷體" w:hint="eastAsia"/>
          <w:szCs w:val="22"/>
        </w:rPr>
        <w:t>四、</w:t>
      </w:r>
      <w:r w:rsidRPr="00212D57">
        <w:rPr>
          <w:rFonts w:ascii="標楷體" w:eastAsia="標楷體" w:hAnsi="標楷體" w:hint="eastAsia"/>
          <w:b/>
          <w:szCs w:val="22"/>
        </w:rPr>
        <w:t>遠續緣起</w:t>
      </w:r>
      <w:r w:rsidRPr="00212D57">
        <w:rPr>
          <w:rFonts w:ascii="標楷體" w:eastAsia="標楷體" w:hAnsi="標楷體" w:hint="eastAsia"/>
          <w:szCs w:val="22"/>
        </w:rPr>
        <w:t>：是《識身足論》說的。生死業報，是不限於前後二生的。可能很久以前的惑業因緣、到今生才受報；今生的惑業因緣，要多少生以後才受報。所以生死業報的十二支，是通於久遠的，名為「遠續」。</w:t>
      </w:r>
    </w:p>
    <w:p w:rsidR="00C161CA" w:rsidRDefault="00C161CA" w:rsidP="00C161CA">
      <w:pPr>
        <w:pStyle w:val="a5"/>
        <w:ind w:leftChars="305" w:left="732"/>
        <w:jc w:val="both"/>
        <w:rPr>
          <w:rFonts w:eastAsia="標楷體"/>
          <w:bCs/>
          <w:color w:val="FF0000"/>
          <w:kern w:val="0"/>
          <w:shd w:val="pct15" w:color="auto" w:fill="FFFFFF"/>
          <w:vertAlign w:val="superscript"/>
        </w:rPr>
      </w:pPr>
      <w:r w:rsidRPr="00212D57">
        <w:rPr>
          <w:rFonts w:ascii="標楷體" w:eastAsia="標楷體" w:hAnsi="標楷體" w:hint="eastAsia"/>
          <w:szCs w:val="22"/>
        </w:rPr>
        <w:t>這四說，毘婆沙師認為都是合理的；特別是世友的「連縛緣起」，通於一切有為法，受到《大毘婆沙論》編集者的稱讚：「是了義」說，「是勝義」說。然佛說十二緣起重於惑業苦的三世因果；聲聞乘法重於生死的解脫，所以毘婆沙師還是以「分位緣起」為主。</w:t>
      </w:r>
      <w:r w:rsidRPr="00A31B0F">
        <w:rPr>
          <w:rFonts w:eastAsia="標楷體" w:hint="eastAsia"/>
          <w:bCs/>
          <w:color w:val="FF0000"/>
          <w:kern w:val="0"/>
          <w:highlight w:val="yellow"/>
          <w:vertAlign w:val="superscript"/>
        </w:rPr>
        <w:t>[26]</w:t>
      </w:r>
    </w:p>
    <w:p w:rsidR="00C161CA" w:rsidRPr="00A31B0F" w:rsidRDefault="00C161CA" w:rsidP="00C161CA">
      <w:pPr>
        <w:pStyle w:val="a5"/>
        <w:ind w:leftChars="305" w:left="732"/>
        <w:jc w:val="both"/>
        <w:rPr>
          <w:bCs/>
          <w:color w:val="FF0000"/>
          <w:kern w:val="0"/>
          <w:highlight w:val="yellow"/>
        </w:rPr>
      </w:pPr>
      <w:r w:rsidRPr="00A31B0F">
        <w:rPr>
          <w:rFonts w:hint="eastAsia"/>
          <w:bCs/>
          <w:color w:val="FF0000"/>
          <w:kern w:val="0"/>
          <w:highlight w:val="yellow"/>
        </w:rPr>
        <w:t>[</w:t>
      </w:r>
      <w:r w:rsidRPr="00A31B0F">
        <w:rPr>
          <w:rFonts w:hint="eastAsia"/>
          <w:bCs/>
          <w:color w:val="FF0000"/>
          <w:kern w:val="0"/>
          <w:highlight w:val="yellow"/>
        </w:rPr>
        <w:t>原書註</w:t>
      </w:r>
      <w:r w:rsidRPr="00A31B0F">
        <w:rPr>
          <w:rFonts w:hint="eastAsia"/>
          <w:bCs/>
          <w:color w:val="FF0000"/>
          <w:kern w:val="0"/>
          <w:highlight w:val="yellow"/>
        </w:rPr>
        <w:t>24]</w:t>
      </w:r>
      <w:r w:rsidRPr="00A31B0F">
        <w:rPr>
          <w:rFonts w:hint="eastAsia"/>
          <w:bCs/>
          <w:color w:val="FF0000"/>
          <w:kern w:val="0"/>
          <w:highlight w:val="yellow"/>
        </w:rPr>
        <w:t>《阿毘達磨大毘婆沙論》卷</w:t>
      </w:r>
      <w:r w:rsidRPr="00A31B0F">
        <w:rPr>
          <w:rFonts w:hint="eastAsia"/>
          <w:bCs/>
          <w:color w:val="FF0000"/>
          <w:kern w:val="0"/>
          <w:highlight w:val="yellow"/>
        </w:rPr>
        <w:t>23</w:t>
      </w:r>
      <w:r w:rsidRPr="00A31B0F">
        <w:rPr>
          <w:rFonts w:hint="eastAsia"/>
          <w:bCs/>
          <w:color w:val="FF0000"/>
          <w:kern w:val="0"/>
          <w:highlight w:val="yellow"/>
        </w:rPr>
        <w:t>（大正</w:t>
      </w:r>
      <w:r w:rsidRPr="00A31B0F">
        <w:rPr>
          <w:rFonts w:hint="eastAsia"/>
          <w:bCs/>
          <w:color w:val="FF0000"/>
          <w:kern w:val="0"/>
          <w:highlight w:val="yellow"/>
        </w:rPr>
        <w:t>27</w:t>
      </w:r>
      <w:r w:rsidRPr="00A31B0F">
        <w:rPr>
          <w:rFonts w:hint="eastAsia"/>
          <w:bCs/>
          <w:color w:val="FF0000"/>
          <w:kern w:val="0"/>
          <w:highlight w:val="yellow"/>
        </w:rPr>
        <w:t>，</w:t>
      </w:r>
      <w:r w:rsidRPr="00A31B0F">
        <w:rPr>
          <w:rFonts w:hint="eastAsia"/>
          <w:bCs/>
          <w:color w:val="FF0000"/>
          <w:kern w:val="0"/>
          <w:highlight w:val="yellow"/>
        </w:rPr>
        <w:t>117c</w:t>
      </w:r>
      <w:r w:rsidRPr="00A31B0F">
        <w:rPr>
          <w:rFonts w:hint="eastAsia"/>
          <w:bCs/>
          <w:color w:val="FF0000"/>
          <w:kern w:val="0"/>
          <w:highlight w:val="yellow"/>
        </w:rPr>
        <w:t>）。</w:t>
      </w:r>
    </w:p>
    <w:p w:rsidR="00C161CA" w:rsidRPr="00A31B0F" w:rsidRDefault="00C161CA" w:rsidP="00C161CA">
      <w:pPr>
        <w:pStyle w:val="a5"/>
        <w:ind w:leftChars="305" w:left="732"/>
        <w:jc w:val="both"/>
        <w:rPr>
          <w:bCs/>
          <w:color w:val="FF0000"/>
          <w:kern w:val="0"/>
          <w:highlight w:val="yellow"/>
        </w:rPr>
      </w:pPr>
      <w:r w:rsidRPr="00A31B0F">
        <w:rPr>
          <w:rFonts w:hint="eastAsia"/>
          <w:bCs/>
          <w:color w:val="FF0000"/>
          <w:kern w:val="0"/>
          <w:highlight w:val="yellow"/>
        </w:rPr>
        <w:t>[</w:t>
      </w:r>
      <w:r w:rsidRPr="00A31B0F">
        <w:rPr>
          <w:rFonts w:hint="eastAsia"/>
          <w:bCs/>
          <w:color w:val="FF0000"/>
          <w:kern w:val="0"/>
          <w:highlight w:val="yellow"/>
        </w:rPr>
        <w:t>原書註</w:t>
      </w:r>
      <w:r w:rsidRPr="00A31B0F">
        <w:rPr>
          <w:rFonts w:hint="eastAsia"/>
          <w:bCs/>
          <w:color w:val="FF0000"/>
          <w:kern w:val="0"/>
          <w:highlight w:val="yellow"/>
        </w:rPr>
        <w:t>25]</w:t>
      </w:r>
      <w:r w:rsidRPr="00A31B0F">
        <w:rPr>
          <w:rFonts w:hint="eastAsia"/>
          <w:bCs/>
          <w:color w:val="FF0000"/>
          <w:kern w:val="0"/>
          <w:highlight w:val="yellow"/>
        </w:rPr>
        <w:t>《大方廣佛華嚴經》卷</w:t>
      </w:r>
      <w:r w:rsidRPr="00A31B0F">
        <w:rPr>
          <w:rFonts w:hint="eastAsia"/>
          <w:bCs/>
          <w:color w:val="FF0000"/>
          <w:kern w:val="0"/>
          <w:highlight w:val="yellow"/>
        </w:rPr>
        <w:t>25</w:t>
      </w:r>
      <w:r w:rsidRPr="00A31B0F">
        <w:rPr>
          <w:rFonts w:hint="eastAsia"/>
          <w:bCs/>
          <w:color w:val="FF0000"/>
          <w:kern w:val="0"/>
          <w:highlight w:val="yellow"/>
        </w:rPr>
        <w:t>（大正</w:t>
      </w:r>
      <w:r w:rsidRPr="00A31B0F">
        <w:rPr>
          <w:rFonts w:hint="eastAsia"/>
          <w:bCs/>
          <w:color w:val="FF0000"/>
          <w:kern w:val="0"/>
          <w:highlight w:val="yellow"/>
        </w:rPr>
        <w:t>9</w:t>
      </w:r>
      <w:r w:rsidRPr="00A31B0F">
        <w:rPr>
          <w:rFonts w:hint="eastAsia"/>
          <w:bCs/>
          <w:color w:val="FF0000"/>
          <w:kern w:val="0"/>
          <w:highlight w:val="yellow"/>
        </w:rPr>
        <w:t>，</w:t>
      </w:r>
      <w:r w:rsidRPr="00A31B0F">
        <w:rPr>
          <w:rFonts w:hint="eastAsia"/>
          <w:bCs/>
          <w:color w:val="FF0000"/>
          <w:kern w:val="0"/>
          <w:highlight w:val="yellow"/>
        </w:rPr>
        <w:t>558c</w:t>
      </w:r>
      <w:r w:rsidRPr="00A31B0F">
        <w:rPr>
          <w:rFonts w:hint="eastAsia"/>
          <w:bCs/>
          <w:color w:val="FF0000"/>
          <w:kern w:val="0"/>
          <w:highlight w:val="yellow"/>
        </w:rPr>
        <w:t>、</w:t>
      </w:r>
      <w:r w:rsidRPr="00A31B0F">
        <w:rPr>
          <w:rFonts w:hint="eastAsia"/>
          <w:bCs/>
          <w:color w:val="FF0000"/>
          <w:kern w:val="0"/>
          <w:highlight w:val="yellow"/>
        </w:rPr>
        <w:t>560a</w:t>
      </w:r>
      <w:r w:rsidRPr="00A31B0F">
        <w:rPr>
          <w:rFonts w:hint="eastAsia"/>
          <w:bCs/>
          <w:color w:val="FF0000"/>
          <w:kern w:val="0"/>
          <w:highlight w:val="yellow"/>
        </w:rPr>
        <w:t>）。</w:t>
      </w:r>
    </w:p>
    <w:p w:rsidR="00C161CA" w:rsidRPr="00A31B0F" w:rsidRDefault="00C161CA" w:rsidP="00C161CA">
      <w:pPr>
        <w:pStyle w:val="a5"/>
        <w:ind w:leftChars="305" w:left="732"/>
        <w:jc w:val="both"/>
        <w:rPr>
          <w:bCs/>
          <w:color w:val="FF0000"/>
          <w:kern w:val="0"/>
          <w:shd w:val="pct15" w:color="auto" w:fill="FFFFFF"/>
        </w:rPr>
      </w:pPr>
      <w:r w:rsidRPr="00A31B0F">
        <w:rPr>
          <w:rFonts w:hint="eastAsia"/>
          <w:bCs/>
          <w:color w:val="FF0000"/>
          <w:kern w:val="0"/>
          <w:highlight w:val="yellow"/>
        </w:rPr>
        <w:t>[</w:t>
      </w:r>
      <w:r w:rsidRPr="00A31B0F">
        <w:rPr>
          <w:rFonts w:hint="eastAsia"/>
          <w:bCs/>
          <w:color w:val="FF0000"/>
          <w:kern w:val="0"/>
          <w:highlight w:val="yellow"/>
        </w:rPr>
        <w:t>原書註</w:t>
      </w:r>
      <w:r w:rsidRPr="00A31B0F">
        <w:rPr>
          <w:rFonts w:hint="eastAsia"/>
          <w:bCs/>
          <w:color w:val="FF0000"/>
          <w:kern w:val="0"/>
          <w:highlight w:val="yellow"/>
        </w:rPr>
        <w:t>26]</w:t>
      </w:r>
      <w:r w:rsidRPr="00A31B0F">
        <w:rPr>
          <w:rFonts w:hint="eastAsia"/>
          <w:bCs/>
          <w:color w:val="FF0000"/>
          <w:kern w:val="0"/>
          <w:highlight w:val="yellow"/>
        </w:rPr>
        <w:t>《阿毘達磨大毘婆沙論》卷</w:t>
      </w:r>
      <w:r w:rsidRPr="00A31B0F">
        <w:rPr>
          <w:rFonts w:hint="eastAsia"/>
          <w:bCs/>
          <w:color w:val="FF0000"/>
          <w:kern w:val="0"/>
          <w:highlight w:val="yellow"/>
        </w:rPr>
        <w:t>23</w:t>
      </w:r>
      <w:r w:rsidRPr="00A31B0F">
        <w:rPr>
          <w:rFonts w:hint="eastAsia"/>
          <w:bCs/>
          <w:color w:val="FF0000"/>
          <w:kern w:val="0"/>
          <w:highlight w:val="yellow"/>
        </w:rPr>
        <w:t>（大正</w:t>
      </w:r>
      <w:r w:rsidRPr="00A31B0F">
        <w:rPr>
          <w:rFonts w:hint="eastAsia"/>
          <w:bCs/>
          <w:color w:val="FF0000"/>
          <w:kern w:val="0"/>
          <w:highlight w:val="yellow"/>
        </w:rPr>
        <w:t>27</w:t>
      </w:r>
      <w:r w:rsidRPr="00A31B0F">
        <w:rPr>
          <w:rFonts w:hint="eastAsia"/>
          <w:bCs/>
          <w:color w:val="FF0000"/>
          <w:kern w:val="0"/>
          <w:highlight w:val="yellow"/>
        </w:rPr>
        <w:t>，</w:t>
      </w:r>
      <w:r w:rsidRPr="00A31B0F">
        <w:rPr>
          <w:rFonts w:hint="eastAsia"/>
          <w:bCs/>
          <w:color w:val="FF0000"/>
          <w:kern w:val="0"/>
          <w:highlight w:val="yellow"/>
        </w:rPr>
        <w:t>117a-119b</w:t>
      </w:r>
      <w:r w:rsidRPr="00A31B0F">
        <w:rPr>
          <w:rFonts w:hint="eastAsia"/>
          <w:bCs/>
          <w:color w:val="FF0000"/>
          <w:kern w:val="0"/>
          <w:highlight w:val="yellow"/>
        </w:rPr>
        <w:t>）。</w:t>
      </w:r>
    </w:p>
  </w:footnote>
  <w:footnote w:id="319">
    <w:p w:rsidR="00C161CA" w:rsidRPr="00C11EC9" w:rsidRDefault="00C161CA" w:rsidP="009E0A5A">
      <w:pPr>
        <w:pStyle w:val="a5"/>
        <w:ind w:left="187" w:hangingChars="85" w:hanging="187"/>
        <w:jc w:val="both"/>
        <w:rPr>
          <w:color w:val="FF0000"/>
          <w:szCs w:val="22"/>
          <w:highlight w:val="yellow"/>
        </w:rPr>
      </w:pPr>
      <w:r w:rsidRPr="00C11EC9">
        <w:rPr>
          <w:rStyle w:val="a6"/>
          <w:color w:val="FF0000"/>
          <w:szCs w:val="22"/>
          <w:highlight w:val="yellow"/>
        </w:rPr>
        <w:footnoteRef/>
      </w:r>
      <w:r w:rsidRPr="00212D57">
        <w:rPr>
          <w:rFonts w:hint="eastAsia"/>
          <w:szCs w:val="22"/>
        </w:rPr>
        <w:t xml:space="preserve"> </w:t>
      </w:r>
      <w:r w:rsidRPr="00C11EC9">
        <w:rPr>
          <w:rFonts w:hint="eastAsia"/>
          <w:color w:val="FF0000"/>
          <w:szCs w:val="22"/>
          <w:highlight w:val="yellow"/>
        </w:rPr>
        <w:t>（</w:t>
      </w:r>
      <w:r w:rsidRPr="00C11EC9">
        <w:rPr>
          <w:rFonts w:hint="eastAsia"/>
          <w:color w:val="FF0000"/>
          <w:szCs w:val="22"/>
          <w:highlight w:val="yellow"/>
        </w:rPr>
        <w:t>1</w:t>
      </w:r>
      <w:r w:rsidRPr="00C11EC9">
        <w:rPr>
          <w:rFonts w:hint="eastAsia"/>
          <w:color w:val="FF0000"/>
          <w:szCs w:val="22"/>
          <w:highlight w:val="yellow"/>
        </w:rPr>
        <w:t>）《阿毘達磨大毘婆沙論》卷</w:t>
      </w:r>
      <w:r w:rsidRPr="00C11EC9">
        <w:rPr>
          <w:rFonts w:hint="eastAsia"/>
          <w:color w:val="FF0000"/>
          <w:szCs w:val="22"/>
          <w:highlight w:val="yellow"/>
        </w:rPr>
        <w:t>23</w:t>
      </w:r>
      <w:r w:rsidR="00794CF4" w:rsidRPr="00C11EC9">
        <w:rPr>
          <w:rFonts w:hint="eastAsia"/>
          <w:bCs/>
          <w:color w:val="FF0000"/>
          <w:kern w:val="0"/>
          <w:highlight w:val="yellow"/>
        </w:rPr>
        <w:t>（大正</w:t>
      </w:r>
      <w:r w:rsidR="00794CF4" w:rsidRPr="00C11EC9">
        <w:rPr>
          <w:rFonts w:hint="eastAsia"/>
          <w:bCs/>
          <w:color w:val="FF0000"/>
          <w:kern w:val="0"/>
          <w:highlight w:val="yellow"/>
        </w:rPr>
        <w:t>27</w:t>
      </w:r>
      <w:r w:rsidR="00794CF4" w:rsidRPr="00C11EC9">
        <w:rPr>
          <w:rFonts w:hint="eastAsia"/>
          <w:bCs/>
          <w:color w:val="FF0000"/>
          <w:kern w:val="0"/>
          <w:highlight w:val="yellow"/>
        </w:rPr>
        <w:t>，</w:t>
      </w:r>
      <w:r w:rsidRPr="00C11EC9">
        <w:rPr>
          <w:color w:val="FF0000"/>
          <w:szCs w:val="22"/>
          <w:highlight w:val="yellow"/>
        </w:rPr>
        <w:t>117b23-c20</w:t>
      </w:r>
      <w:r w:rsidR="00794CF4" w:rsidRPr="00C11EC9">
        <w:rPr>
          <w:rFonts w:hint="eastAsia"/>
          <w:bCs/>
          <w:color w:val="FF0000"/>
          <w:kern w:val="0"/>
          <w:highlight w:val="yellow"/>
        </w:rPr>
        <w:t>）</w:t>
      </w:r>
      <w:r w:rsidRPr="00C11EC9">
        <w:rPr>
          <w:rFonts w:hint="eastAsia"/>
          <w:color w:val="FF0000"/>
          <w:szCs w:val="22"/>
          <w:highlight w:val="yellow"/>
        </w:rPr>
        <w:t>：</w:t>
      </w:r>
    </w:p>
    <w:p w:rsidR="00C161CA" w:rsidRPr="00794CF4" w:rsidRDefault="00C161CA" w:rsidP="00794CF4">
      <w:pPr>
        <w:pStyle w:val="a5"/>
        <w:ind w:leftChars="335" w:left="804"/>
        <w:jc w:val="both"/>
        <w:rPr>
          <w:rFonts w:ascii="標楷體" w:eastAsia="標楷體" w:hAnsi="標楷體"/>
          <w:szCs w:val="22"/>
        </w:rPr>
      </w:pPr>
      <w:r w:rsidRPr="00C11EC9">
        <w:rPr>
          <w:rFonts w:ascii="標楷體" w:eastAsia="標楷體" w:hAnsi="標楷體" w:hint="eastAsia"/>
          <w:color w:val="FF0000"/>
          <w:szCs w:val="22"/>
          <w:highlight w:val="yellow"/>
        </w:rPr>
        <w:t>《品類足論》作如是言：</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云何緣起法？謂一切有為法。</w:t>
      </w:r>
      <w:r w:rsidR="00794CF4" w:rsidRPr="00C11EC9">
        <w:rPr>
          <w:rFonts w:ascii="標楷體" w:eastAsia="標楷體" w:hAnsi="標楷體" w:hint="eastAsia"/>
          <w:color w:val="FF0000"/>
          <w:szCs w:val="22"/>
          <w:highlight w:val="yellow"/>
        </w:rPr>
        <w:t>」</w:t>
      </w:r>
      <w:r w:rsidR="00794CF4" w:rsidRPr="00C11EC9">
        <w:rPr>
          <w:rFonts w:eastAsia="標楷體" w:hint="eastAsia"/>
          <w:color w:val="FF0000"/>
          <w:szCs w:val="22"/>
          <w:shd w:val="pct15" w:color="auto" w:fill="FFFFFF"/>
        </w:rPr>
        <w:t>*</w:t>
      </w:r>
    </w:p>
    <w:p w:rsidR="00C161CA" w:rsidRPr="00C11EC9" w:rsidRDefault="00C161CA" w:rsidP="00794CF4">
      <w:pPr>
        <w:pStyle w:val="a5"/>
        <w:ind w:leftChars="335" w:left="804"/>
        <w:jc w:val="both"/>
        <w:rPr>
          <w:rFonts w:ascii="標楷體" w:eastAsia="標楷體" w:hAnsi="標楷體"/>
          <w:color w:val="FF0000"/>
          <w:szCs w:val="22"/>
          <w:highlight w:val="yellow"/>
        </w:rPr>
      </w:pPr>
      <w:r w:rsidRPr="00C11EC9">
        <w:rPr>
          <w:rFonts w:ascii="標楷體" w:eastAsia="標楷體" w:hAnsi="標楷體" w:hint="eastAsia"/>
          <w:color w:val="FF0000"/>
          <w:szCs w:val="22"/>
          <w:highlight w:val="yellow"/>
        </w:rPr>
        <w:t>問：此與彼論所說何異？</w:t>
      </w:r>
    </w:p>
    <w:p w:rsidR="00C161CA" w:rsidRPr="00C11EC9" w:rsidRDefault="00C161CA" w:rsidP="009E0A5A">
      <w:pPr>
        <w:pStyle w:val="a5"/>
        <w:ind w:leftChars="335" w:left="1244" w:hangingChars="200" w:hanging="440"/>
        <w:jc w:val="both"/>
        <w:rPr>
          <w:rFonts w:ascii="標楷體" w:eastAsia="標楷體" w:hAnsi="標楷體"/>
          <w:color w:val="FF0000"/>
          <w:szCs w:val="22"/>
          <w:highlight w:val="yellow"/>
        </w:rPr>
      </w:pPr>
      <w:r w:rsidRPr="00C11EC9">
        <w:rPr>
          <w:rFonts w:ascii="標楷體" w:eastAsia="標楷體" w:hAnsi="標楷體" w:hint="eastAsia"/>
          <w:color w:val="FF0000"/>
          <w:szCs w:val="22"/>
          <w:highlight w:val="yellow"/>
        </w:rPr>
        <w:t>答：此說不了義，彼說是了義；此是有餘說，彼是無餘說；此說有密意，彼說無密意；此說有別因，彼說無別因；此說是世俗，彼說是勝義；此唯說</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有情數緣起法</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，彼通說</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有情數、非有情數</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緣起法</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；此唯說</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有根緣起法</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，彼通說</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有根、無根</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緣起法</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；此唯說</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有心緣起法</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，彼通說</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有心、無心</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緣起法</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；此唯說</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執受緣起法</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，彼通說</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執受、非執受</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緣起法</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w:t>
      </w:r>
    </w:p>
    <w:p w:rsidR="00C161CA" w:rsidRPr="00C11EC9" w:rsidRDefault="00C161CA" w:rsidP="00C11EC9">
      <w:pPr>
        <w:pStyle w:val="a5"/>
        <w:ind w:leftChars="517" w:left="1241"/>
        <w:jc w:val="both"/>
        <w:rPr>
          <w:rFonts w:ascii="標楷體" w:eastAsia="標楷體" w:hAnsi="標楷體"/>
          <w:color w:val="FF0000"/>
          <w:szCs w:val="22"/>
          <w:highlight w:val="yellow"/>
        </w:rPr>
      </w:pPr>
      <w:r w:rsidRPr="00C11EC9">
        <w:rPr>
          <w:rFonts w:ascii="標楷體" w:eastAsia="標楷體" w:hAnsi="標楷體" w:hint="eastAsia"/>
          <w:color w:val="FF0000"/>
          <w:szCs w:val="22"/>
          <w:highlight w:val="yellow"/>
        </w:rPr>
        <w:t>復次，</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緣起</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有四種：一、剎那</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二、連縛</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三、分位</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四、遠續。此說</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分位</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遠續</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，彼說</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剎那、連縛</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w:t>
      </w:r>
    </w:p>
    <w:p w:rsidR="00C161CA" w:rsidRPr="00C11EC9" w:rsidRDefault="00C161CA" w:rsidP="00794CF4">
      <w:pPr>
        <w:pStyle w:val="a5"/>
        <w:ind w:leftChars="335" w:left="804"/>
        <w:jc w:val="both"/>
        <w:rPr>
          <w:rFonts w:ascii="標楷體" w:eastAsia="標楷體" w:hAnsi="標楷體"/>
          <w:color w:val="FF0000"/>
          <w:szCs w:val="22"/>
          <w:highlight w:val="yellow"/>
        </w:rPr>
      </w:pPr>
      <w:r w:rsidRPr="00C11EC9">
        <w:rPr>
          <w:rFonts w:ascii="標楷體" w:eastAsia="標楷體" w:hAnsi="標楷體" w:hint="eastAsia"/>
          <w:color w:val="FF0000"/>
          <w:szCs w:val="22"/>
          <w:highlight w:val="yellow"/>
        </w:rPr>
        <w:t>問：何故此論唯說</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有情數緣起法</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耶？</w:t>
      </w:r>
    </w:p>
    <w:p w:rsidR="00C11EC9" w:rsidRDefault="00C161CA" w:rsidP="00794CF4">
      <w:pPr>
        <w:pStyle w:val="a5"/>
        <w:ind w:leftChars="335" w:left="804"/>
        <w:jc w:val="both"/>
        <w:rPr>
          <w:rFonts w:ascii="標楷體" w:eastAsia="標楷體" w:hAnsi="標楷體"/>
          <w:color w:val="FF0000"/>
          <w:szCs w:val="22"/>
          <w:highlight w:val="yellow"/>
        </w:rPr>
      </w:pPr>
      <w:r w:rsidRPr="00C11EC9">
        <w:rPr>
          <w:rFonts w:ascii="標楷體" w:eastAsia="標楷體" w:hAnsi="標楷體" w:hint="eastAsia"/>
          <w:color w:val="FF0000"/>
          <w:szCs w:val="22"/>
          <w:highlight w:val="yellow"/>
        </w:rPr>
        <w:t>答：是作論者意欲爾故</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乃至廣說。</w:t>
      </w:r>
    </w:p>
    <w:p w:rsidR="00794CF4" w:rsidRPr="00C11EC9" w:rsidRDefault="00C161CA" w:rsidP="009E0A5A">
      <w:pPr>
        <w:pStyle w:val="a5"/>
        <w:ind w:leftChars="520" w:left="1930" w:hangingChars="310" w:hanging="682"/>
        <w:jc w:val="both"/>
        <w:rPr>
          <w:rFonts w:ascii="標楷體" w:eastAsia="標楷體" w:hAnsi="標楷體"/>
          <w:color w:val="FF0000"/>
          <w:szCs w:val="22"/>
          <w:highlight w:val="yellow"/>
        </w:rPr>
      </w:pPr>
      <w:r w:rsidRPr="00C11EC9">
        <w:rPr>
          <w:rFonts w:ascii="標楷體" w:eastAsia="標楷體" w:hAnsi="標楷體" w:hint="eastAsia"/>
          <w:color w:val="FF0000"/>
          <w:szCs w:val="22"/>
          <w:highlight w:val="yellow"/>
        </w:rPr>
        <w:t>復次</w:t>
      </w:r>
      <w:r w:rsid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不應責此作論者意</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以作論者依經作論</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契經唯說</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有情數緣起法</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故此亦爾。</w:t>
      </w:r>
    </w:p>
    <w:p w:rsidR="00C11EC9" w:rsidRDefault="00C161CA" w:rsidP="00C11EC9">
      <w:pPr>
        <w:pStyle w:val="a5"/>
        <w:ind w:leftChars="520" w:left="1248"/>
        <w:jc w:val="both"/>
        <w:rPr>
          <w:rFonts w:ascii="標楷體" w:eastAsia="標楷體" w:hAnsi="標楷體"/>
          <w:color w:val="FF0000"/>
          <w:szCs w:val="22"/>
          <w:highlight w:val="yellow"/>
        </w:rPr>
      </w:pPr>
      <w:r w:rsidRPr="00C11EC9">
        <w:rPr>
          <w:rFonts w:ascii="標楷體" w:eastAsia="標楷體" w:hAnsi="標楷體" w:hint="eastAsia"/>
          <w:color w:val="FF0000"/>
          <w:szCs w:val="22"/>
          <w:highlight w:val="yellow"/>
        </w:rPr>
        <w:t>問</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因論生論</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何故世尊唯說</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有情數緣起法</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耶</w:t>
      </w:r>
      <w:r w:rsidR="00794CF4" w:rsidRPr="00C11EC9">
        <w:rPr>
          <w:rFonts w:ascii="標楷體" w:eastAsia="標楷體" w:hAnsi="標楷體" w:hint="eastAsia"/>
          <w:color w:val="FF0000"/>
          <w:szCs w:val="22"/>
          <w:highlight w:val="yellow"/>
        </w:rPr>
        <w:t>？</w:t>
      </w:r>
    </w:p>
    <w:p w:rsidR="00794CF4" w:rsidRPr="00C11EC9" w:rsidRDefault="00C161CA" w:rsidP="009E0A5A">
      <w:pPr>
        <w:pStyle w:val="a5"/>
        <w:ind w:leftChars="520" w:left="1688" w:hangingChars="200" w:hanging="440"/>
        <w:jc w:val="both"/>
        <w:rPr>
          <w:rFonts w:ascii="標楷體" w:eastAsia="標楷體" w:hAnsi="標楷體"/>
          <w:color w:val="FF0000"/>
          <w:szCs w:val="22"/>
          <w:highlight w:val="yellow"/>
        </w:rPr>
      </w:pPr>
      <w:r w:rsidRPr="00C11EC9">
        <w:rPr>
          <w:rFonts w:ascii="標楷體" w:eastAsia="標楷體" w:hAnsi="標楷體" w:hint="eastAsia"/>
          <w:color w:val="FF0000"/>
          <w:szCs w:val="22"/>
          <w:highlight w:val="yellow"/>
        </w:rPr>
        <w:t>答</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觀所化故。謂佛觀彼所化有情宜聞唯說</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有情數緣起法</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則能解了</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辦所作事</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故作是說。</w:t>
      </w:r>
    </w:p>
    <w:p w:rsidR="00C11EC9" w:rsidRDefault="00C161CA" w:rsidP="009E0A5A">
      <w:pPr>
        <w:pStyle w:val="a5"/>
        <w:ind w:leftChars="700" w:left="2340" w:hangingChars="300" w:hanging="660"/>
        <w:jc w:val="both"/>
        <w:rPr>
          <w:rFonts w:ascii="標楷體" w:eastAsia="標楷體" w:hAnsi="標楷體"/>
          <w:color w:val="FF0000"/>
          <w:szCs w:val="22"/>
          <w:highlight w:val="yellow"/>
        </w:rPr>
      </w:pPr>
      <w:r w:rsidRPr="00C11EC9">
        <w:rPr>
          <w:rFonts w:ascii="標楷體" w:eastAsia="標楷體" w:hAnsi="標楷體" w:hint="eastAsia"/>
          <w:color w:val="FF0000"/>
          <w:szCs w:val="22"/>
          <w:highlight w:val="yellow"/>
        </w:rPr>
        <w:t>復次</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順</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有支</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故。謂</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有情數</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隨順</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有支</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其義最勝。</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有情數法</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從無始來輪轉</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三有</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相續不絕</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有</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義最勝</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說名為</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有</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有情數法</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隨順此</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有</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故名</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有支</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。是故世尊唯說</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有情數緣起法</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。此論依彼</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亦唯說</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有情數緣起法</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w:t>
      </w:r>
    </w:p>
    <w:p w:rsidR="00C161CA" w:rsidRPr="00C11EC9" w:rsidRDefault="00C161CA" w:rsidP="009E0A5A">
      <w:pPr>
        <w:pStyle w:val="a5"/>
        <w:ind w:leftChars="700" w:left="2340" w:hangingChars="300" w:hanging="660"/>
        <w:jc w:val="both"/>
        <w:rPr>
          <w:rFonts w:ascii="標楷體" w:eastAsia="標楷體" w:hAnsi="標楷體"/>
          <w:color w:val="FF0000"/>
          <w:szCs w:val="22"/>
          <w:highlight w:val="yellow"/>
        </w:rPr>
      </w:pPr>
      <w:r w:rsidRPr="00C11EC9">
        <w:rPr>
          <w:rFonts w:ascii="標楷體" w:eastAsia="標楷體" w:hAnsi="標楷體" w:hint="eastAsia"/>
          <w:color w:val="FF0000"/>
          <w:szCs w:val="22"/>
          <w:highlight w:val="yellow"/>
        </w:rPr>
        <w:t>復次</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諸有情類從無始來輪轉生死</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受大苦惱</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皆由迷執</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有情數法</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是故世尊但為開示</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有情數緣起法</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此論依彼</w:t>
      </w:r>
      <w:r w:rsidR="00794CF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故作是說。</w:t>
      </w:r>
    </w:p>
    <w:p w:rsidR="00C11EC9" w:rsidRPr="00C11EC9" w:rsidRDefault="00C11EC9" w:rsidP="00794CF4">
      <w:pPr>
        <w:pStyle w:val="a5"/>
        <w:ind w:leftChars="335" w:left="804"/>
        <w:jc w:val="both"/>
        <w:rPr>
          <w:color w:val="FF0000"/>
          <w:szCs w:val="22"/>
          <w:highlight w:val="yellow"/>
        </w:rPr>
      </w:pPr>
      <w:r w:rsidRPr="00C11EC9">
        <w:rPr>
          <w:rFonts w:eastAsia="標楷體" w:hint="eastAsia"/>
          <w:color w:val="FF0000"/>
          <w:szCs w:val="22"/>
          <w:shd w:val="pct15" w:color="auto" w:fill="FFFFFF"/>
        </w:rPr>
        <w:t>*</w:t>
      </w:r>
      <w:r w:rsidRPr="00C11EC9">
        <w:rPr>
          <w:rFonts w:hint="eastAsia"/>
          <w:color w:val="FF0000"/>
          <w:szCs w:val="22"/>
          <w:highlight w:val="yellow"/>
        </w:rPr>
        <w:t>《品類足論》卷</w:t>
      </w:r>
      <w:r w:rsidRPr="00C11EC9">
        <w:rPr>
          <w:rFonts w:hint="eastAsia"/>
          <w:color w:val="FF0000"/>
          <w:szCs w:val="22"/>
          <w:highlight w:val="yellow"/>
        </w:rPr>
        <w:t>6</w:t>
      </w:r>
      <w:r w:rsidRPr="00C11EC9">
        <w:rPr>
          <w:rFonts w:hint="eastAsia"/>
          <w:color w:val="FF0000"/>
          <w:szCs w:val="22"/>
          <w:highlight w:val="yellow"/>
        </w:rPr>
        <w:t>〈</w:t>
      </w:r>
      <w:r w:rsidRPr="00C11EC9">
        <w:rPr>
          <w:rFonts w:hint="eastAsia"/>
          <w:color w:val="FF0000"/>
          <w:szCs w:val="22"/>
          <w:highlight w:val="yellow"/>
        </w:rPr>
        <w:t xml:space="preserve">6 </w:t>
      </w:r>
      <w:r w:rsidRPr="00C11EC9">
        <w:rPr>
          <w:rFonts w:hint="eastAsia"/>
          <w:color w:val="FF0000"/>
          <w:szCs w:val="22"/>
          <w:highlight w:val="yellow"/>
        </w:rPr>
        <w:t>辯攝等品〉（大正</w:t>
      </w:r>
      <w:r w:rsidRPr="00C11EC9">
        <w:rPr>
          <w:rFonts w:hint="eastAsia"/>
          <w:color w:val="FF0000"/>
          <w:szCs w:val="22"/>
          <w:highlight w:val="yellow"/>
        </w:rPr>
        <w:t>26</w:t>
      </w:r>
      <w:r w:rsidRPr="00C11EC9">
        <w:rPr>
          <w:rFonts w:hint="eastAsia"/>
          <w:color w:val="FF0000"/>
          <w:szCs w:val="22"/>
          <w:highlight w:val="yellow"/>
        </w:rPr>
        <w:t>，</w:t>
      </w:r>
      <w:r w:rsidRPr="00C11EC9">
        <w:rPr>
          <w:rFonts w:hint="eastAsia"/>
          <w:color w:val="FF0000"/>
          <w:szCs w:val="22"/>
          <w:highlight w:val="yellow"/>
        </w:rPr>
        <w:t>715c4-5</w:t>
      </w:r>
      <w:r w:rsidRPr="00C11EC9">
        <w:rPr>
          <w:rFonts w:hint="eastAsia"/>
          <w:color w:val="FF0000"/>
          <w:szCs w:val="22"/>
          <w:highlight w:val="yellow"/>
        </w:rPr>
        <w:t>）。</w:t>
      </w:r>
    </w:p>
    <w:p w:rsidR="009C2EC4" w:rsidRPr="00C11EC9" w:rsidRDefault="009C2EC4" w:rsidP="009C2EC4">
      <w:pPr>
        <w:pStyle w:val="a5"/>
        <w:ind w:leftChars="75" w:left="180"/>
        <w:jc w:val="both"/>
        <w:rPr>
          <w:color w:val="FF0000"/>
          <w:szCs w:val="22"/>
          <w:highlight w:val="yellow"/>
        </w:rPr>
      </w:pPr>
      <w:r w:rsidRPr="00C11EC9">
        <w:rPr>
          <w:rFonts w:hint="eastAsia"/>
          <w:color w:val="FF0000"/>
          <w:szCs w:val="22"/>
          <w:highlight w:val="yellow"/>
        </w:rPr>
        <w:t>（</w:t>
      </w:r>
      <w:r w:rsidRPr="00C11EC9">
        <w:rPr>
          <w:rFonts w:hint="eastAsia"/>
          <w:color w:val="FF0000"/>
          <w:szCs w:val="22"/>
          <w:highlight w:val="yellow"/>
        </w:rPr>
        <w:t>2</w:t>
      </w:r>
      <w:r w:rsidRPr="00C11EC9">
        <w:rPr>
          <w:rFonts w:hint="eastAsia"/>
          <w:color w:val="FF0000"/>
          <w:szCs w:val="22"/>
          <w:highlight w:val="yellow"/>
        </w:rPr>
        <w:t>）［唐］普光述《俱舍論記》卷</w:t>
      </w:r>
      <w:r w:rsidRPr="00C11EC9">
        <w:rPr>
          <w:rFonts w:hint="eastAsia"/>
          <w:color w:val="FF0000"/>
          <w:szCs w:val="22"/>
          <w:highlight w:val="yellow"/>
        </w:rPr>
        <w:t>9</w:t>
      </w:r>
      <w:r w:rsidRPr="00C11EC9">
        <w:rPr>
          <w:rFonts w:hint="eastAsia"/>
          <w:color w:val="FF0000"/>
          <w:szCs w:val="22"/>
          <w:highlight w:val="yellow"/>
        </w:rPr>
        <w:t>〈</w:t>
      </w:r>
      <w:r w:rsidRPr="00C11EC9">
        <w:rPr>
          <w:rFonts w:hint="eastAsia"/>
          <w:color w:val="FF0000"/>
          <w:szCs w:val="22"/>
          <w:highlight w:val="yellow"/>
        </w:rPr>
        <w:t xml:space="preserve">3 </w:t>
      </w:r>
      <w:r w:rsidRPr="00C11EC9">
        <w:rPr>
          <w:rFonts w:hint="eastAsia"/>
          <w:color w:val="FF0000"/>
          <w:szCs w:val="22"/>
          <w:highlight w:val="yellow"/>
        </w:rPr>
        <w:t>分別世品〉（大正</w:t>
      </w:r>
      <w:r w:rsidRPr="00C11EC9">
        <w:rPr>
          <w:rFonts w:hint="eastAsia"/>
          <w:color w:val="FF0000"/>
          <w:szCs w:val="22"/>
          <w:highlight w:val="yellow"/>
        </w:rPr>
        <w:t>41</w:t>
      </w:r>
      <w:r w:rsidRPr="00C11EC9">
        <w:rPr>
          <w:rFonts w:hint="eastAsia"/>
          <w:color w:val="FF0000"/>
          <w:szCs w:val="22"/>
          <w:highlight w:val="yellow"/>
        </w:rPr>
        <w:t>，</w:t>
      </w:r>
      <w:r w:rsidRPr="00C11EC9">
        <w:rPr>
          <w:rFonts w:hint="eastAsia"/>
          <w:color w:val="FF0000"/>
          <w:szCs w:val="22"/>
          <w:highlight w:val="yellow"/>
        </w:rPr>
        <w:t>166b22-27</w:t>
      </w:r>
      <w:r w:rsidRPr="00C11EC9">
        <w:rPr>
          <w:rFonts w:hint="eastAsia"/>
          <w:color w:val="FF0000"/>
          <w:szCs w:val="22"/>
          <w:highlight w:val="yellow"/>
        </w:rPr>
        <w:t>）：</w:t>
      </w:r>
    </w:p>
    <w:p w:rsidR="00F95AAC" w:rsidRPr="00C11EC9" w:rsidRDefault="009C2EC4" w:rsidP="00F95AAC">
      <w:pPr>
        <w:pStyle w:val="a5"/>
        <w:ind w:leftChars="335" w:left="804"/>
        <w:jc w:val="both"/>
        <w:rPr>
          <w:rFonts w:ascii="標楷體" w:eastAsia="標楷體" w:hAnsi="標楷體"/>
          <w:color w:val="FF0000"/>
          <w:szCs w:val="22"/>
          <w:highlight w:val="yellow"/>
        </w:rPr>
      </w:pPr>
      <w:r w:rsidRPr="00C11EC9">
        <w:rPr>
          <w:rFonts w:ascii="標楷體" w:eastAsia="標楷體" w:hAnsi="標楷體" w:hint="eastAsia"/>
          <w:color w:val="FF0000"/>
          <w:szCs w:val="22"/>
          <w:highlight w:val="yellow"/>
        </w:rPr>
        <w:t>應知四種緣起差別者：</w:t>
      </w:r>
    </w:p>
    <w:p w:rsidR="00F95AAC" w:rsidRPr="00C11EC9" w:rsidRDefault="00F95AAC" w:rsidP="00F95AAC">
      <w:pPr>
        <w:pStyle w:val="a5"/>
        <w:ind w:leftChars="335" w:left="804"/>
        <w:jc w:val="both"/>
        <w:rPr>
          <w:rFonts w:ascii="標楷體" w:eastAsia="標楷體" w:hAnsi="標楷體"/>
          <w:color w:val="FF0000"/>
          <w:szCs w:val="22"/>
          <w:highlight w:val="yellow"/>
        </w:rPr>
      </w:pPr>
      <w:r w:rsidRPr="00C11EC9">
        <w:rPr>
          <w:rFonts w:ascii="標楷體" w:eastAsia="標楷體" w:hAnsi="標楷體" w:hint="eastAsia"/>
          <w:color w:val="FF0000"/>
          <w:szCs w:val="22"/>
          <w:highlight w:val="yellow"/>
        </w:rPr>
        <w:t>「</w:t>
      </w:r>
      <w:r w:rsidR="009C2EC4" w:rsidRPr="00C11EC9">
        <w:rPr>
          <w:rFonts w:ascii="標楷體" w:eastAsia="標楷體" w:hAnsi="標楷體" w:hint="eastAsia"/>
          <w:color w:val="FF0000"/>
          <w:szCs w:val="22"/>
          <w:highlight w:val="yellow"/>
        </w:rPr>
        <w:t>剎那緣起</w:t>
      </w:r>
      <w:r w:rsidRPr="00C11EC9">
        <w:rPr>
          <w:rFonts w:ascii="標楷體" w:eastAsia="標楷體" w:hAnsi="標楷體" w:hint="eastAsia"/>
          <w:color w:val="FF0000"/>
          <w:szCs w:val="22"/>
          <w:highlight w:val="yellow"/>
        </w:rPr>
        <w:t>」</w:t>
      </w:r>
      <w:r w:rsidR="009C2EC4" w:rsidRPr="00C11EC9">
        <w:rPr>
          <w:rFonts w:ascii="標楷體" w:eastAsia="標楷體" w:hAnsi="標楷體" w:hint="eastAsia"/>
          <w:color w:val="FF0000"/>
          <w:szCs w:val="22"/>
          <w:highlight w:val="yellow"/>
        </w:rPr>
        <w:t>，謂同一剎那相望而說──若據前解，唯是</w:t>
      </w:r>
      <w:r w:rsidRPr="00C11EC9">
        <w:rPr>
          <w:rFonts w:ascii="標楷體" w:eastAsia="標楷體" w:hAnsi="標楷體" w:hint="eastAsia"/>
          <w:color w:val="FF0000"/>
          <w:szCs w:val="22"/>
          <w:highlight w:val="yellow"/>
        </w:rPr>
        <w:t>「</w:t>
      </w:r>
      <w:r w:rsidR="009C2EC4" w:rsidRPr="00C11EC9">
        <w:rPr>
          <w:rFonts w:ascii="標楷體" w:eastAsia="標楷體" w:hAnsi="標楷體" w:hint="eastAsia"/>
          <w:color w:val="FF0000"/>
          <w:szCs w:val="22"/>
          <w:highlight w:val="yellow"/>
        </w:rPr>
        <w:t>有情</w:t>
      </w:r>
      <w:r w:rsidRPr="00C11EC9">
        <w:rPr>
          <w:rFonts w:ascii="標楷體" w:eastAsia="標楷體" w:hAnsi="標楷體" w:hint="eastAsia"/>
          <w:color w:val="FF0000"/>
          <w:szCs w:val="22"/>
          <w:highlight w:val="yellow"/>
        </w:rPr>
        <w:t>」</w:t>
      </w:r>
      <w:r w:rsidR="009C2EC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w:t>
      </w:r>
      <w:r w:rsidR="009C2EC4" w:rsidRPr="00C11EC9">
        <w:rPr>
          <w:rFonts w:ascii="標楷體" w:eastAsia="標楷體" w:hAnsi="標楷體" w:hint="eastAsia"/>
          <w:color w:val="FF0000"/>
          <w:szCs w:val="22"/>
          <w:highlight w:val="yellow"/>
        </w:rPr>
        <w:t>有漏</w:t>
      </w:r>
      <w:r w:rsidRPr="00C11EC9">
        <w:rPr>
          <w:rFonts w:ascii="標楷體" w:eastAsia="標楷體" w:hAnsi="標楷體" w:hint="eastAsia"/>
          <w:color w:val="FF0000"/>
          <w:szCs w:val="22"/>
          <w:highlight w:val="yellow"/>
        </w:rPr>
        <w:t>」</w:t>
      </w:r>
      <w:r w:rsidR="009C2EC4" w:rsidRPr="00C11EC9">
        <w:rPr>
          <w:rFonts w:ascii="標楷體" w:eastAsia="標楷體" w:hAnsi="標楷體" w:hint="eastAsia"/>
          <w:color w:val="FF0000"/>
          <w:szCs w:val="22"/>
          <w:highlight w:val="yellow"/>
        </w:rPr>
        <w:t>；</w:t>
      </w:r>
    </w:p>
    <w:p w:rsidR="00F95AAC" w:rsidRPr="00C11EC9" w:rsidRDefault="009C2EC4" w:rsidP="00F95AAC">
      <w:pPr>
        <w:pStyle w:val="a5"/>
        <w:ind w:leftChars="1930" w:left="4632"/>
        <w:jc w:val="both"/>
        <w:rPr>
          <w:rFonts w:ascii="標楷體" w:eastAsia="標楷體" w:hAnsi="標楷體"/>
          <w:color w:val="FF0000"/>
          <w:szCs w:val="22"/>
          <w:highlight w:val="yellow"/>
        </w:rPr>
      </w:pPr>
      <w:r w:rsidRPr="00C11EC9">
        <w:rPr>
          <w:rFonts w:ascii="標楷體" w:eastAsia="標楷體" w:hAnsi="標楷體" w:hint="eastAsia"/>
          <w:color w:val="FF0000"/>
          <w:szCs w:val="22"/>
          <w:highlight w:val="yellow"/>
        </w:rPr>
        <w:t>若據後師，亦通</w:t>
      </w:r>
      <w:r w:rsidR="00F95AAC"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非情</w:t>
      </w:r>
      <w:r w:rsidR="00F95AAC"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w:t>
      </w:r>
      <w:r w:rsidR="00F95AAC"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無漏</w:t>
      </w:r>
      <w:r w:rsidR="00F95AAC"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w:t>
      </w:r>
    </w:p>
    <w:p w:rsidR="009C2EC4" w:rsidRPr="00C11EC9" w:rsidRDefault="009C2EC4" w:rsidP="00F95AAC">
      <w:pPr>
        <w:pStyle w:val="a5"/>
        <w:ind w:leftChars="335" w:left="804"/>
        <w:jc w:val="both"/>
        <w:rPr>
          <w:rFonts w:ascii="標楷體" w:eastAsia="標楷體" w:hAnsi="標楷體"/>
          <w:color w:val="FF0000"/>
          <w:szCs w:val="22"/>
          <w:highlight w:val="yellow"/>
        </w:rPr>
      </w:pPr>
      <w:r w:rsidRPr="00C11EC9">
        <w:rPr>
          <w:rFonts w:ascii="標楷體" w:eastAsia="標楷體" w:hAnsi="標楷體" w:hint="eastAsia"/>
          <w:color w:val="FF0000"/>
          <w:szCs w:val="22"/>
          <w:highlight w:val="yellow"/>
        </w:rPr>
        <w:t>餘三緣起，皆據前後相望說也</w:t>
      </w:r>
      <w:r w:rsidR="00F95AAC" w:rsidRPr="00C11EC9">
        <w:rPr>
          <w:rFonts w:ascii="標楷體" w:eastAsia="標楷體" w:hAnsi="標楷體" w:hint="eastAsia"/>
          <w:color w:val="FF0000"/>
          <w:szCs w:val="22"/>
          <w:highlight w:val="yellow"/>
        </w:rPr>
        <w:t>，就中──</w:t>
      </w:r>
    </w:p>
    <w:p w:rsidR="00F95AAC" w:rsidRPr="00C11EC9" w:rsidRDefault="00F95AAC" w:rsidP="00F95AAC">
      <w:pPr>
        <w:pStyle w:val="a5"/>
        <w:ind w:leftChars="335" w:left="804"/>
        <w:jc w:val="both"/>
        <w:rPr>
          <w:rFonts w:ascii="標楷體" w:eastAsia="標楷體" w:hAnsi="標楷體"/>
          <w:color w:val="FF0000"/>
          <w:szCs w:val="22"/>
          <w:highlight w:val="yellow"/>
        </w:rPr>
      </w:pPr>
      <w:r w:rsidRPr="00C11EC9">
        <w:rPr>
          <w:rFonts w:ascii="標楷體" w:eastAsia="標楷體" w:hAnsi="標楷體" w:hint="eastAsia"/>
          <w:color w:val="FF0000"/>
          <w:szCs w:val="22"/>
          <w:highlight w:val="yellow"/>
        </w:rPr>
        <w:t>「</w:t>
      </w:r>
      <w:r w:rsidR="009C2EC4" w:rsidRPr="00C11EC9">
        <w:rPr>
          <w:rFonts w:ascii="標楷體" w:eastAsia="標楷體" w:hAnsi="標楷體" w:hint="eastAsia"/>
          <w:color w:val="FF0000"/>
          <w:szCs w:val="22"/>
          <w:highlight w:val="yellow"/>
        </w:rPr>
        <w:t>連縛</w:t>
      </w:r>
      <w:r w:rsidRPr="00C11EC9">
        <w:rPr>
          <w:rFonts w:ascii="標楷體" w:eastAsia="標楷體" w:hAnsi="標楷體" w:hint="eastAsia"/>
          <w:color w:val="FF0000"/>
          <w:szCs w:val="22"/>
          <w:highlight w:val="yellow"/>
        </w:rPr>
        <w:t>」</w:t>
      </w:r>
      <w:r w:rsidR="009C2EC4" w:rsidRPr="00C11EC9">
        <w:rPr>
          <w:rFonts w:ascii="標楷體" w:eastAsia="標楷體" w:hAnsi="標楷體" w:hint="eastAsia"/>
          <w:color w:val="FF0000"/>
          <w:szCs w:val="22"/>
          <w:highlight w:val="yellow"/>
        </w:rPr>
        <w:t>，通</w:t>
      </w:r>
      <w:r w:rsidRPr="00C11EC9">
        <w:rPr>
          <w:rFonts w:ascii="標楷體" w:eastAsia="標楷體" w:hAnsi="標楷體" w:hint="eastAsia"/>
          <w:color w:val="FF0000"/>
          <w:szCs w:val="22"/>
          <w:highlight w:val="yellow"/>
        </w:rPr>
        <w:t>「</w:t>
      </w:r>
      <w:r w:rsidR="009C2EC4" w:rsidRPr="00C11EC9">
        <w:rPr>
          <w:rFonts w:ascii="標楷體" w:eastAsia="標楷體" w:hAnsi="標楷體" w:hint="eastAsia"/>
          <w:color w:val="FF0000"/>
          <w:szCs w:val="22"/>
          <w:highlight w:val="yellow"/>
        </w:rPr>
        <w:t>情、非情</w:t>
      </w:r>
      <w:r w:rsidRPr="00C11EC9">
        <w:rPr>
          <w:rFonts w:ascii="標楷體" w:eastAsia="標楷體" w:hAnsi="標楷體" w:hint="eastAsia"/>
          <w:color w:val="FF0000"/>
          <w:szCs w:val="22"/>
          <w:highlight w:val="yellow"/>
        </w:rPr>
        <w:t>」</w:t>
      </w:r>
      <w:r w:rsidR="009C2EC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w:t>
      </w:r>
      <w:r w:rsidR="009C2EC4" w:rsidRPr="00C11EC9">
        <w:rPr>
          <w:rFonts w:ascii="標楷體" w:eastAsia="標楷體" w:hAnsi="標楷體" w:hint="eastAsia"/>
          <w:color w:val="FF0000"/>
          <w:szCs w:val="22"/>
          <w:highlight w:val="yellow"/>
        </w:rPr>
        <w:t>有漏、無漏</w:t>
      </w:r>
      <w:r w:rsidRPr="00C11EC9">
        <w:rPr>
          <w:rFonts w:ascii="標楷體" w:eastAsia="標楷體" w:hAnsi="標楷體" w:hint="eastAsia"/>
          <w:color w:val="FF0000"/>
          <w:szCs w:val="22"/>
          <w:highlight w:val="yellow"/>
        </w:rPr>
        <w:t>」</w:t>
      </w:r>
      <w:r w:rsidR="009C2EC4" w:rsidRPr="00C11EC9">
        <w:rPr>
          <w:rFonts w:ascii="標楷體" w:eastAsia="標楷體" w:hAnsi="標楷體" w:hint="eastAsia"/>
          <w:color w:val="FF0000"/>
          <w:szCs w:val="22"/>
          <w:highlight w:val="yellow"/>
        </w:rPr>
        <w:t>；</w:t>
      </w:r>
    </w:p>
    <w:p w:rsidR="00C161CA" w:rsidRPr="00C161CA" w:rsidRDefault="00F95AAC" w:rsidP="00F95AAC">
      <w:pPr>
        <w:pStyle w:val="a5"/>
        <w:ind w:leftChars="335" w:left="804"/>
        <w:jc w:val="both"/>
        <w:rPr>
          <w:szCs w:val="22"/>
        </w:rPr>
      </w:pPr>
      <w:r w:rsidRPr="00C11EC9">
        <w:rPr>
          <w:rFonts w:ascii="標楷體" w:eastAsia="標楷體" w:hAnsi="標楷體" w:hint="eastAsia"/>
          <w:color w:val="FF0000"/>
          <w:szCs w:val="22"/>
          <w:highlight w:val="yellow"/>
        </w:rPr>
        <w:t>「</w:t>
      </w:r>
      <w:r w:rsidR="009C2EC4" w:rsidRPr="00C11EC9">
        <w:rPr>
          <w:rFonts w:ascii="標楷體" w:eastAsia="標楷體" w:hAnsi="標楷體" w:hint="eastAsia"/>
          <w:color w:val="FF0000"/>
          <w:szCs w:val="22"/>
          <w:highlight w:val="yellow"/>
        </w:rPr>
        <w:t>分位</w:t>
      </w:r>
      <w:r w:rsidRPr="00C11EC9">
        <w:rPr>
          <w:rFonts w:ascii="標楷體" w:eastAsia="標楷體" w:hAnsi="標楷體" w:hint="eastAsia"/>
          <w:color w:val="FF0000"/>
          <w:szCs w:val="22"/>
          <w:highlight w:val="yellow"/>
        </w:rPr>
        <w:t>」</w:t>
      </w:r>
      <w:r w:rsidR="009C2EC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w:t>
      </w:r>
      <w:r w:rsidR="009C2EC4" w:rsidRPr="00C11EC9">
        <w:rPr>
          <w:rFonts w:ascii="標楷體" w:eastAsia="標楷體" w:hAnsi="標楷體" w:hint="eastAsia"/>
          <w:color w:val="FF0000"/>
          <w:szCs w:val="22"/>
          <w:highlight w:val="yellow"/>
        </w:rPr>
        <w:t>遠續</w:t>
      </w:r>
      <w:r w:rsidRPr="00C11EC9">
        <w:rPr>
          <w:rFonts w:ascii="標楷體" w:eastAsia="標楷體" w:hAnsi="標楷體" w:hint="eastAsia"/>
          <w:color w:val="FF0000"/>
          <w:szCs w:val="22"/>
          <w:highlight w:val="yellow"/>
        </w:rPr>
        <w:t>」，</w:t>
      </w:r>
      <w:r w:rsidR="009C2EC4" w:rsidRPr="00C11EC9">
        <w:rPr>
          <w:rFonts w:ascii="標楷體" w:eastAsia="標楷體" w:hAnsi="標楷體" w:hint="eastAsia"/>
          <w:color w:val="FF0000"/>
          <w:szCs w:val="22"/>
          <w:highlight w:val="yellow"/>
        </w:rPr>
        <w:t>唯是</w:t>
      </w:r>
      <w:r w:rsidRPr="00C11EC9">
        <w:rPr>
          <w:rFonts w:ascii="標楷體" w:eastAsia="標楷體" w:hAnsi="標楷體" w:hint="eastAsia"/>
          <w:color w:val="FF0000"/>
          <w:szCs w:val="22"/>
          <w:highlight w:val="yellow"/>
        </w:rPr>
        <w:t>「</w:t>
      </w:r>
      <w:r w:rsidR="009C2EC4" w:rsidRPr="00C11EC9">
        <w:rPr>
          <w:rFonts w:ascii="標楷體" w:eastAsia="標楷體" w:hAnsi="標楷體" w:hint="eastAsia"/>
          <w:color w:val="FF0000"/>
          <w:szCs w:val="22"/>
          <w:highlight w:val="yellow"/>
        </w:rPr>
        <w:t>有情</w:t>
      </w:r>
      <w:r w:rsidRPr="00C11EC9">
        <w:rPr>
          <w:rFonts w:ascii="標楷體" w:eastAsia="標楷體" w:hAnsi="標楷體" w:hint="eastAsia"/>
          <w:color w:val="FF0000"/>
          <w:szCs w:val="22"/>
          <w:highlight w:val="yellow"/>
        </w:rPr>
        <w:t>」</w:t>
      </w:r>
      <w:r w:rsidR="009C2EC4" w:rsidRPr="00C11EC9">
        <w:rPr>
          <w:rFonts w:ascii="標楷體" w:eastAsia="標楷體" w:hAnsi="標楷體" w:hint="eastAsia"/>
          <w:color w:val="FF0000"/>
          <w:szCs w:val="22"/>
          <w:highlight w:val="yellow"/>
        </w:rPr>
        <w:t>、</w:t>
      </w:r>
      <w:r w:rsidRPr="00C11EC9">
        <w:rPr>
          <w:rFonts w:ascii="標楷體" w:eastAsia="標楷體" w:hAnsi="標楷體" w:hint="eastAsia"/>
          <w:color w:val="FF0000"/>
          <w:szCs w:val="22"/>
          <w:highlight w:val="yellow"/>
        </w:rPr>
        <w:t>「</w:t>
      </w:r>
      <w:r w:rsidR="009C2EC4" w:rsidRPr="00C11EC9">
        <w:rPr>
          <w:rFonts w:ascii="標楷體" w:eastAsia="標楷體" w:hAnsi="標楷體" w:hint="eastAsia"/>
          <w:color w:val="FF0000"/>
          <w:szCs w:val="22"/>
          <w:highlight w:val="yellow"/>
        </w:rPr>
        <w:t>有漏」。</w:t>
      </w:r>
    </w:p>
  </w:footnote>
  <w:footnote w:id="320">
    <w:p w:rsidR="00774F73" w:rsidRPr="00212D57" w:rsidRDefault="00774F73" w:rsidP="009E0A5A">
      <w:pPr>
        <w:pStyle w:val="a5"/>
        <w:ind w:left="187" w:hangingChars="85" w:hanging="187"/>
        <w:jc w:val="both"/>
        <w:rPr>
          <w:rFonts w:eastAsia="SimSun"/>
          <w:szCs w:val="22"/>
        </w:rPr>
      </w:pPr>
      <w:r w:rsidRPr="00212D57">
        <w:rPr>
          <w:rStyle w:val="a6"/>
          <w:szCs w:val="22"/>
        </w:rPr>
        <w:footnoteRef/>
      </w:r>
      <w:r w:rsidRPr="00212D57">
        <w:rPr>
          <w:rFonts w:hint="eastAsia"/>
          <w:szCs w:val="22"/>
        </w:rPr>
        <w:t xml:space="preserve"> </w:t>
      </w:r>
      <w:r w:rsidRPr="00212D57">
        <w:rPr>
          <w:rFonts w:hint="eastAsia"/>
          <w:szCs w:val="22"/>
        </w:rPr>
        <w:t>《十二門論</w:t>
      </w:r>
      <w:r w:rsidRPr="00A31B0F">
        <w:rPr>
          <w:rFonts w:hint="eastAsia"/>
          <w:szCs w:val="22"/>
          <w:highlight w:val="yellow"/>
        </w:rPr>
        <w:t>》〈</w:t>
      </w:r>
      <w:r w:rsidRPr="00761EF3">
        <w:rPr>
          <w:szCs w:val="22"/>
        </w:rPr>
        <w:t>1</w:t>
      </w:r>
      <w:r w:rsidRPr="00212D57">
        <w:rPr>
          <w:szCs w:val="22"/>
        </w:rPr>
        <w:t xml:space="preserve"> </w:t>
      </w:r>
      <w:r w:rsidRPr="00212D57">
        <w:rPr>
          <w:rFonts w:hint="eastAsia"/>
          <w:szCs w:val="22"/>
        </w:rPr>
        <w:t>觀因緣門〉（大正</w:t>
      </w:r>
      <w:r w:rsidRPr="00761EF3">
        <w:rPr>
          <w:szCs w:val="22"/>
        </w:rPr>
        <w:t>30</w:t>
      </w:r>
      <w:r w:rsidRPr="00212D57">
        <w:rPr>
          <w:rFonts w:hint="eastAsia"/>
          <w:szCs w:val="22"/>
        </w:rPr>
        <w:t>，</w:t>
      </w:r>
      <w:r w:rsidRPr="00761EF3">
        <w:rPr>
          <w:szCs w:val="22"/>
        </w:rPr>
        <w:t>159c28</w:t>
      </w:r>
      <w:r w:rsidRPr="00212D57">
        <w:rPr>
          <w:szCs w:val="22"/>
        </w:rPr>
        <w:t>-</w:t>
      </w:r>
      <w:r w:rsidRPr="00761EF3">
        <w:rPr>
          <w:szCs w:val="22"/>
        </w:rPr>
        <w:t>160a9</w:t>
      </w:r>
      <w:r w:rsidRPr="00212D57">
        <w:rPr>
          <w:rFonts w:hint="eastAsia"/>
          <w:szCs w:val="22"/>
        </w:rPr>
        <w:t>）：</w:t>
      </w:r>
    </w:p>
    <w:p w:rsidR="00774F73" w:rsidRPr="00212D57" w:rsidRDefault="00774F73" w:rsidP="00774F73">
      <w:pPr>
        <w:pStyle w:val="a5"/>
        <w:ind w:leftChars="75" w:left="180"/>
        <w:jc w:val="both"/>
        <w:rPr>
          <w:rFonts w:ascii="標楷體" w:eastAsia="標楷體" w:hAnsi="標楷體"/>
          <w:szCs w:val="22"/>
        </w:rPr>
      </w:pPr>
      <w:r w:rsidRPr="00212D57">
        <w:rPr>
          <w:rFonts w:ascii="標楷體" w:eastAsia="標楷體" w:hAnsi="標楷體" w:hint="eastAsia"/>
          <w:szCs w:val="22"/>
        </w:rPr>
        <w:t>眾緣所生法有二種：一者</w:t>
      </w:r>
      <w:r w:rsidR="00A31B0F">
        <w:rPr>
          <w:rFonts w:ascii="標楷體" w:eastAsia="標楷體" w:hAnsi="標楷體" w:hint="eastAsia"/>
          <w:color w:val="FF0000"/>
          <w:spacing w:val="-4"/>
          <w:kern w:val="0"/>
          <w:highlight w:val="yellow"/>
        </w:rPr>
        <w:t>、</w:t>
      </w:r>
      <w:r w:rsidRPr="00212D57">
        <w:rPr>
          <w:rFonts w:ascii="標楷體" w:eastAsia="標楷體" w:hAnsi="標楷體" w:hint="eastAsia"/>
          <w:szCs w:val="22"/>
        </w:rPr>
        <w:t>內，二者</w:t>
      </w:r>
      <w:r w:rsidR="00A31B0F">
        <w:rPr>
          <w:rFonts w:ascii="標楷體" w:eastAsia="標楷體" w:hAnsi="標楷體" w:hint="eastAsia"/>
          <w:color w:val="FF0000"/>
          <w:spacing w:val="-4"/>
          <w:kern w:val="0"/>
          <w:highlight w:val="yellow"/>
        </w:rPr>
        <w:t>、</w:t>
      </w:r>
      <w:r w:rsidRPr="00212D57">
        <w:rPr>
          <w:rFonts w:ascii="標楷體" w:eastAsia="標楷體" w:hAnsi="標楷體" w:hint="eastAsia"/>
          <w:szCs w:val="22"/>
        </w:rPr>
        <w:t>外。眾緣亦有二種：一者</w:t>
      </w:r>
      <w:r w:rsidR="00A31B0F">
        <w:rPr>
          <w:rFonts w:ascii="標楷體" w:eastAsia="標楷體" w:hAnsi="標楷體" w:hint="eastAsia"/>
          <w:color w:val="FF0000"/>
          <w:spacing w:val="-4"/>
          <w:kern w:val="0"/>
          <w:highlight w:val="yellow"/>
        </w:rPr>
        <w:t>、</w:t>
      </w:r>
      <w:r w:rsidRPr="00212D57">
        <w:rPr>
          <w:rFonts w:ascii="標楷體" w:eastAsia="標楷體" w:hAnsi="標楷體" w:hint="eastAsia"/>
          <w:szCs w:val="22"/>
        </w:rPr>
        <w:t>內，二者</w:t>
      </w:r>
      <w:r w:rsidR="00A31B0F">
        <w:rPr>
          <w:rFonts w:ascii="標楷體" w:eastAsia="標楷體" w:hAnsi="標楷體" w:hint="eastAsia"/>
          <w:color w:val="FF0000"/>
          <w:spacing w:val="-4"/>
          <w:kern w:val="0"/>
          <w:highlight w:val="yellow"/>
        </w:rPr>
        <w:t>、</w:t>
      </w:r>
      <w:r w:rsidRPr="00212D57">
        <w:rPr>
          <w:rFonts w:ascii="標楷體" w:eastAsia="標楷體" w:hAnsi="標楷體" w:hint="eastAsia"/>
          <w:szCs w:val="22"/>
        </w:rPr>
        <w:t>外。</w:t>
      </w:r>
    </w:p>
    <w:p w:rsidR="00774F73" w:rsidRPr="00212D57" w:rsidRDefault="00A31B0F" w:rsidP="00774F73">
      <w:pPr>
        <w:pStyle w:val="a5"/>
        <w:ind w:leftChars="75" w:left="180"/>
        <w:jc w:val="both"/>
        <w:rPr>
          <w:rFonts w:ascii="標楷體" w:eastAsia="標楷體" w:hAnsi="標楷體"/>
          <w:szCs w:val="22"/>
        </w:rPr>
      </w:pPr>
      <w:r>
        <w:rPr>
          <w:rFonts w:ascii="標楷體" w:eastAsia="標楷體" w:hAnsi="標楷體" w:hint="eastAsia"/>
          <w:bCs/>
          <w:color w:val="FF0000"/>
          <w:kern w:val="0"/>
          <w:highlight w:val="yellow"/>
        </w:rPr>
        <w:t>「</w:t>
      </w:r>
      <w:r w:rsidR="00774F73" w:rsidRPr="00212D57">
        <w:rPr>
          <w:rFonts w:ascii="標楷體" w:eastAsia="標楷體" w:hAnsi="標楷體" w:hint="eastAsia"/>
          <w:b/>
          <w:szCs w:val="22"/>
        </w:rPr>
        <w:t>外因緣</w:t>
      </w:r>
      <w:r>
        <w:rPr>
          <w:rFonts w:ascii="標楷體" w:eastAsia="標楷體" w:hAnsi="標楷體" w:hint="eastAsia"/>
          <w:bCs/>
          <w:color w:val="FF0000"/>
          <w:kern w:val="0"/>
          <w:highlight w:val="yellow"/>
        </w:rPr>
        <w:t>」</w:t>
      </w:r>
      <w:r w:rsidR="00774F73" w:rsidRPr="00212D57">
        <w:rPr>
          <w:rFonts w:ascii="標楷體" w:eastAsia="標楷體" w:hAnsi="標楷體" w:hint="eastAsia"/>
          <w:szCs w:val="22"/>
        </w:rPr>
        <w:t>者，如泥團、轉繩、陶師等和合，故有瓶生</w:t>
      </w:r>
      <w:r w:rsidR="00774F73">
        <w:rPr>
          <w:rFonts w:ascii="標楷體" w:eastAsia="標楷體" w:hAnsi="標楷體" w:hint="eastAsia"/>
          <w:color w:val="FF0000"/>
          <w:szCs w:val="22"/>
          <w:highlight w:val="yellow"/>
        </w:rPr>
        <w:t>；</w:t>
      </w:r>
      <w:r w:rsidR="00774F73" w:rsidRPr="004A47A5">
        <w:rPr>
          <w:rFonts w:ascii="標楷體" w:eastAsia="標楷體" w:hAnsi="標楷體" w:hint="eastAsia"/>
          <w:szCs w:val="22"/>
        </w:rPr>
        <w:t>又如縷繩</w:t>
      </w:r>
      <w:r w:rsidR="00774F73" w:rsidRPr="00774F73">
        <w:rPr>
          <w:rFonts w:ascii="標楷體" w:eastAsia="標楷體" w:hAnsi="標楷體" w:hint="eastAsia"/>
          <w:color w:val="FF0000"/>
          <w:szCs w:val="22"/>
          <w:highlight w:val="yellow"/>
        </w:rPr>
        <w:t>、</w:t>
      </w:r>
      <w:r w:rsidR="00774F73" w:rsidRPr="004A47A5">
        <w:rPr>
          <w:rFonts w:ascii="標楷體" w:eastAsia="標楷體" w:hAnsi="標楷體" w:hint="eastAsia"/>
          <w:szCs w:val="22"/>
        </w:rPr>
        <w:t>機杼</w:t>
      </w:r>
      <w:r w:rsidR="00774F73" w:rsidRPr="00774F73">
        <w:rPr>
          <w:rFonts w:ascii="標楷體" w:eastAsia="標楷體" w:hAnsi="標楷體" w:hint="eastAsia"/>
          <w:color w:val="FF0000"/>
          <w:szCs w:val="22"/>
          <w:highlight w:val="yellow"/>
        </w:rPr>
        <w:t>、</w:t>
      </w:r>
      <w:r w:rsidR="00774F73" w:rsidRPr="004A47A5">
        <w:rPr>
          <w:rFonts w:ascii="標楷體" w:eastAsia="標楷體" w:hAnsi="標楷體" w:hint="eastAsia"/>
          <w:szCs w:val="22"/>
        </w:rPr>
        <w:t>織師等和合，故有疊生</w:t>
      </w:r>
      <w:r w:rsidR="00774F73">
        <w:rPr>
          <w:rFonts w:ascii="標楷體" w:eastAsia="標楷體" w:hAnsi="標楷體" w:hint="eastAsia"/>
          <w:color w:val="FF0000"/>
          <w:szCs w:val="22"/>
          <w:highlight w:val="yellow"/>
        </w:rPr>
        <w:t>；</w:t>
      </w:r>
      <w:r w:rsidR="00774F73" w:rsidRPr="004A47A5">
        <w:rPr>
          <w:rFonts w:ascii="標楷體" w:eastAsia="標楷體" w:hAnsi="標楷體" w:hint="eastAsia"/>
          <w:szCs w:val="22"/>
        </w:rPr>
        <w:t>又如治地</w:t>
      </w:r>
      <w:r w:rsidR="00774F73" w:rsidRPr="00774F73">
        <w:rPr>
          <w:rFonts w:ascii="標楷體" w:eastAsia="標楷體" w:hAnsi="標楷體" w:hint="eastAsia"/>
          <w:color w:val="FF0000"/>
          <w:szCs w:val="22"/>
          <w:highlight w:val="yellow"/>
        </w:rPr>
        <w:t>、</w:t>
      </w:r>
      <w:r w:rsidR="00774F73" w:rsidRPr="004A47A5">
        <w:rPr>
          <w:rFonts w:ascii="標楷體" w:eastAsia="標楷體" w:hAnsi="標楷體" w:hint="eastAsia"/>
          <w:szCs w:val="22"/>
        </w:rPr>
        <w:t>築基</w:t>
      </w:r>
      <w:r w:rsidR="00774F73" w:rsidRPr="00774F73">
        <w:rPr>
          <w:rFonts w:ascii="標楷體" w:eastAsia="標楷體" w:hAnsi="標楷體" w:hint="eastAsia"/>
          <w:color w:val="FF0000"/>
          <w:szCs w:val="22"/>
          <w:highlight w:val="yellow"/>
        </w:rPr>
        <w:t>、</w:t>
      </w:r>
      <w:r w:rsidR="00774F73" w:rsidRPr="004A47A5">
        <w:rPr>
          <w:rFonts w:ascii="標楷體" w:eastAsia="標楷體" w:hAnsi="標楷體" w:hint="eastAsia"/>
          <w:szCs w:val="22"/>
        </w:rPr>
        <w:t>梁、椽、泥、草、人功等和合，故有舍生</w:t>
      </w:r>
      <w:r w:rsidR="00774F73">
        <w:rPr>
          <w:rFonts w:ascii="標楷體" w:eastAsia="標楷體" w:hAnsi="標楷體" w:hint="eastAsia"/>
          <w:color w:val="FF0000"/>
          <w:szCs w:val="22"/>
          <w:highlight w:val="yellow"/>
        </w:rPr>
        <w:t>；</w:t>
      </w:r>
      <w:r w:rsidR="00774F73" w:rsidRPr="004A47A5">
        <w:rPr>
          <w:rFonts w:ascii="標楷體" w:eastAsia="標楷體" w:hAnsi="標楷體" w:hint="eastAsia"/>
          <w:szCs w:val="22"/>
        </w:rPr>
        <w:t>又如酪器</w:t>
      </w:r>
      <w:r w:rsidR="00774F73">
        <w:rPr>
          <w:rFonts w:ascii="標楷體" w:eastAsia="標楷體" w:hAnsi="標楷體" w:hint="eastAsia"/>
          <w:color w:val="FF0000"/>
          <w:szCs w:val="22"/>
          <w:highlight w:val="yellow"/>
        </w:rPr>
        <w:t>、</w:t>
      </w:r>
      <w:r w:rsidR="00774F73" w:rsidRPr="004A47A5">
        <w:rPr>
          <w:rFonts w:ascii="標楷體" w:eastAsia="標楷體" w:hAnsi="標楷體" w:hint="eastAsia"/>
          <w:szCs w:val="22"/>
        </w:rPr>
        <w:t>鑽搖</w:t>
      </w:r>
      <w:r w:rsidR="00774F73">
        <w:rPr>
          <w:rFonts w:ascii="標楷體" w:eastAsia="標楷體" w:hAnsi="標楷體" w:hint="eastAsia"/>
          <w:color w:val="FF0000"/>
          <w:szCs w:val="22"/>
          <w:highlight w:val="yellow"/>
        </w:rPr>
        <w:t>、</w:t>
      </w:r>
      <w:r w:rsidR="00774F73" w:rsidRPr="004A47A5">
        <w:rPr>
          <w:rFonts w:ascii="標楷體" w:eastAsia="標楷體" w:hAnsi="標楷體" w:hint="eastAsia"/>
          <w:szCs w:val="22"/>
        </w:rPr>
        <w:t>人功等和合，故有酥生</w:t>
      </w:r>
      <w:r w:rsidR="00774F73">
        <w:rPr>
          <w:rFonts w:ascii="標楷體" w:eastAsia="標楷體" w:hAnsi="標楷體" w:hint="eastAsia"/>
          <w:color w:val="FF0000"/>
          <w:szCs w:val="22"/>
          <w:highlight w:val="yellow"/>
        </w:rPr>
        <w:t>；</w:t>
      </w:r>
      <w:r w:rsidR="00774F73" w:rsidRPr="004A47A5">
        <w:rPr>
          <w:rFonts w:ascii="標楷體" w:eastAsia="標楷體" w:hAnsi="標楷體" w:hint="eastAsia"/>
          <w:szCs w:val="22"/>
        </w:rPr>
        <w:t>又如種子</w:t>
      </w:r>
      <w:r w:rsidR="00774F73" w:rsidRPr="00774F73">
        <w:rPr>
          <w:rFonts w:ascii="標楷體" w:eastAsia="標楷體" w:hAnsi="標楷體" w:hint="eastAsia"/>
          <w:color w:val="FF0000"/>
          <w:szCs w:val="22"/>
          <w:highlight w:val="yellow"/>
        </w:rPr>
        <w:t>、</w:t>
      </w:r>
      <w:r w:rsidR="00774F73" w:rsidRPr="004A47A5">
        <w:rPr>
          <w:rFonts w:ascii="標楷體" w:eastAsia="標楷體" w:hAnsi="標楷體" w:hint="eastAsia"/>
          <w:szCs w:val="22"/>
        </w:rPr>
        <w:t>地</w:t>
      </w:r>
      <w:r w:rsidR="00774F73">
        <w:rPr>
          <w:rFonts w:ascii="標楷體" w:eastAsia="標楷體" w:hAnsi="標楷體" w:hint="eastAsia"/>
          <w:color w:val="FF0000"/>
          <w:szCs w:val="22"/>
          <w:highlight w:val="yellow"/>
        </w:rPr>
        <w:t>、</w:t>
      </w:r>
      <w:r w:rsidR="00774F73" w:rsidRPr="004A47A5">
        <w:rPr>
          <w:rFonts w:ascii="標楷體" w:eastAsia="標楷體" w:hAnsi="標楷體" w:hint="eastAsia"/>
          <w:szCs w:val="22"/>
        </w:rPr>
        <w:t>水</w:t>
      </w:r>
      <w:r w:rsidR="00774F73">
        <w:rPr>
          <w:rFonts w:ascii="標楷體" w:eastAsia="標楷體" w:hAnsi="標楷體" w:hint="eastAsia"/>
          <w:color w:val="FF0000"/>
          <w:szCs w:val="22"/>
          <w:highlight w:val="yellow"/>
        </w:rPr>
        <w:t>、</w:t>
      </w:r>
      <w:r w:rsidR="00774F73" w:rsidRPr="004A47A5">
        <w:rPr>
          <w:rFonts w:ascii="標楷體" w:eastAsia="標楷體" w:hAnsi="標楷體" w:hint="eastAsia"/>
          <w:szCs w:val="22"/>
        </w:rPr>
        <w:t>火</w:t>
      </w:r>
      <w:r w:rsidR="00774F73">
        <w:rPr>
          <w:rFonts w:ascii="標楷體" w:eastAsia="標楷體" w:hAnsi="標楷體" w:hint="eastAsia"/>
          <w:color w:val="FF0000"/>
          <w:szCs w:val="22"/>
          <w:highlight w:val="yellow"/>
        </w:rPr>
        <w:t>、</w:t>
      </w:r>
      <w:r w:rsidR="00774F73" w:rsidRPr="004A47A5">
        <w:rPr>
          <w:rFonts w:ascii="標楷體" w:eastAsia="標楷體" w:hAnsi="標楷體" w:hint="eastAsia"/>
          <w:szCs w:val="22"/>
        </w:rPr>
        <w:t>風</w:t>
      </w:r>
      <w:r w:rsidR="00774F73">
        <w:rPr>
          <w:rFonts w:ascii="標楷體" w:eastAsia="標楷體" w:hAnsi="標楷體" w:hint="eastAsia"/>
          <w:color w:val="FF0000"/>
          <w:szCs w:val="22"/>
          <w:highlight w:val="yellow"/>
        </w:rPr>
        <w:t>、</w:t>
      </w:r>
      <w:r w:rsidR="00774F73" w:rsidRPr="004A47A5">
        <w:rPr>
          <w:rFonts w:ascii="標楷體" w:eastAsia="標楷體" w:hAnsi="標楷體" w:hint="eastAsia"/>
          <w:szCs w:val="22"/>
        </w:rPr>
        <w:t>虛空</w:t>
      </w:r>
      <w:r w:rsidR="00774F73">
        <w:rPr>
          <w:rFonts w:ascii="標楷體" w:eastAsia="標楷體" w:hAnsi="標楷體" w:hint="eastAsia"/>
          <w:color w:val="FF0000"/>
          <w:szCs w:val="22"/>
          <w:highlight w:val="yellow"/>
        </w:rPr>
        <w:t>、</w:t>
      </w:r>
      <w:r w:rsidR="00774F73" w:rsidRPr="004A47A5">
        <w:rPr>
          <w:rFonts w:ascii="標楷體" w:eastAsia="標楷體" w:hAnsi="標楷體" w:hint="eastAsia"/>
          <w:szCs w:val="22"/>
        </w:rPr>
        <w:t>時節</w:t>
      </w:r>
      <w:r w:rsidR="00774F73">
        <w:rPr>
          <w:rFonts w:ascii="標楷體" w:eastAsia="標楷體" w:hAnsi="標楷體" w:hint="eastAsia"/>
          <w:color w:val="FF0000"/>
          <w:szCs w:val="22"/>
          <w:highlight w:val="yellow"/>
        </w:rPr>
        <w:t>、</w:t>
      </w:r>
      <w:r w:rsidR="00774F73" w:rsidRPr="004A47A5">
        <w:rPr>
          <w:rFonts w:ascii="標楷體" w:eastAsia="標楷體" w:hAnsi="標楷體" w:hint="eastAsia"/>
          <w:szCs w:val="22"/>
        </w:rPr>
        <w:t>人功等和合，故有芽生。當知外緣等法皆亦如是</w:t>
      </w:r>
      <w:r w:rsidR="00774F73" w:rsidRPr="00212D57">
        <w:rPr>
          <w:rFonts w:ascii="標楷體" w:eastAsia="標楷體" w:hAnsi="標楷體" w:hint="eastAsia"/>
          <w:szCs w:val="22"/>
        </w:rPr>
        <w:t>。</w:t>
      </w:r>
    </w:p>
    <w:p w:rsidR="00774F73" w:rsidRDefault="00A31B0F" w:rsidP="00774F73">
      <w:pPr>
        <w:pStyle w:val="a5"/>
        <w:ind w:leftChars="75" w:left="180"/>
        <w:jc w:val="both"/>
        <w:rPr>
          <w:rFonts w:ascii="標楷體" w:eastAsia="標楷體" w:hAnsi="標楷體"/>
          <w:szCs w:val="22"/>
        </w:rPr>
      </w:pPr>
      <w:r>
        <w:rPr>
          <w:rFonts w:ascii="標楷體" w:eastAsia="標楷體" w:hAnsi="標楷體" w:hint="eastAsia"/>
          <w:bCs/>
          <w:color w:val="FF0000"/>
          <w:kern w:val="0"/>
          <w:highlight w:val="yellow"/>
        </w:rPr>
        <w:t>「</w:t>
      </w:r>
      <w:r w:rsidR="00774F73" w:rsidRPr="00212D57">
        <w:rPr>
          <w:rFonts w:ascii="標楷體" w:eastAsia="標楷體" w:hAnsi="標楷體" w:hint="eastAsia"/>
          <w:b/>
          <w:szCs w:val="22"/>
        </w:rPr>
        <w:t>內因緣</w:t>
      </w:r>
      <w:r>
        <w:rPr>
          <w:rFonts w:ascii="標楷體" w:eastAsia="標楷體" w:hAnsi="標楷體" w:hint="eastAsia"/>
          <w:bCs/>
          <w:color w:val="FF0000"/>
          <w:kern w:val="0"/>
          <w:highlight w:val="yellow"/>
        </w:rPr>
        <w:t>」</w:t>
      </w:r>
      <w:r w:rsidR="00774F73" w:rsidRPr="00212D57">
        <w:rPr>
          <w:rFonts w:ascii="標楷體" w:eastAsia="標楷體" w:hAnsi="標楷體" w:hint="eastAsia"/>
          <w:szCs w:val="22"/>
        </w:rPr>
        <w:t>者，所謂無明、行、識、名色、六入、觸、受、愛、取、有、生、老死，各各先因而後生。</w:t>
      </w:r>
    </w:p>
    <w:p w:rsidR="00774F73" w:rsidRPr="00212D57" w:rsidRDefault="00774F73" w:rsidP="00774F73">
      <w:pPr>
        <w:pStyle w:val="a5"/>
        <w:ind w:leftChars="75" w:left="180"/>
        <w:jc w:val="both"/>
        <w:rPr>
          <w:szCs w:val="22"/>
        </w:rPr>
      </w:pPr>
      <w:r w:rsidRPr="00774F73">
        <w:rPr>
          <w:rFonts w:ascii="標楷體" w:eastAsia="標楷體" w:hAnsi="標楷體" w:hint="eastAsia"/>
          <w:szCs w:val="22"/>
          <w:highlight w:val="yellow"/>
        </w:rPr>
        <w:t>如</w:t>
      </w:r>
      <w:r w:rsidRPr="00774F73">
        <w:rPr>
          <w:rFonts w:ascii="標楷體" w:eastAsia="標楷體" w:hAnsi="標楷體" w:hint="eastAsia"/>
          <w:szCs w:val="22"/>
        </w:rPr>
        <w:t>是</w:t>
      </w:r>
      <w:r w:rsidRPr="00212D57">
        <w:rPr>
          <w:rFonts w:ascii="標楷體" w:eastAsia="標楷體" w:hAnsi="標楷體" w:hint="eastAsia"/>
          <w:szCs w:val="22"/>
        </w:rPr>
        <w:t>內外諸</w:t>
      </w:r>
      <w:r w:rsidRPr="00774F73">
        <w:rPr>
          <w:rFonts w:ascii="標楷體" w:eastAsia="標楷體" w:hAnsi="標楷體" w:hint="eastAsia"/>
          <w:szCs w:val="22"/>
          <w:highlight w:val="yellow"/>
        </w:rPr>
        <w:t>法皆</w:t>
      </w:r>
      <w:r w:rsidRPr="00212D57">
        <w:rPr>
          <w:rFonts w:ascii="標楷體" w:eastAsia="標楷體" w:hAnsi="標楷體" w:hint="eastAsia"/>
          <w:szCs w:val="22"/>
        </w:rPr>
        <w:t>從眾緣生。</w:t>
      </w:r>
    </w:p>
  </w:footnote>
  <w:footnote w:id="321">
    <w:p w:rsidR="00774F73" w:rsidRPr="00212D57" w:rsidRDefault="00774F73" w:rsidP="00774F73">
      <w:pPr>
        <w:pStyle w:val="a5"/>
        <w:ind w:left="187" w:hangingChars="85" w:hanging="187"/>
        <w:jc w:val="both"/>
        <w:rPr>
          <w:rFonts w:eastAsia="SimSun"/>
          <w:szCs w:val="22"/>
        </w:rPr>
      </w:pPr>
      <w:r w:rsidRPr="00212D57">
        <w:rPr>
          <w:rStyle w:val="a6"/>
          <w:szCs w:val="22"/>
        </w:rPr>
        <w:footnoteRef/>
      </w:r>
      <w:r w:rsidRPr="00212D57">
        <w:rPr>
          <w:rFonts w:hint="eastAsia"/>
          <w:szCs w:val="22"/>
        </w:rPr>
        <w:t xml:space="preserve"> </w:t>
      </w:r>
      <w:r w:rsidRPr="00212D57">
        <w:rPr>
          <w:rFonts w:hint="eastAsia"/>
          <w:szCs w:val="22"/>
        </w:rPr>
        <w:t>《大智度論》卷</w:t>
      </w:r>
      <w:r w:rsidRPr="00761EF3">
        <w:rPr>
          <w:szCs w:val="22"/>
        </w:rPr>
        <w:t>95</w:t>
      </w:r>
      <w:r w:rsidR="004B2A3A">
        <w:rPr>
          <w:rFonts w:hint="eastAsia"/>
          <w:color w:val="FF0000"/>
          <w:szCs w:val="22"/>
          <w:highlight w:val="yellow"/>
        </w:rPr>
        <w:t>釋</w:t>
      </w:r>
      <w:r w:rsidR="004B2A3A" w:rsidRPr="004B2A3A">
        <w:rPr>
          <w:rFonts w:hint="eastAsia"/>
          <w:color w:val="FF0000"/>
          <w:szCs w:val="22"/>
          <w:highlight w:val="yellow"/>
        </w:rPr>
        <w:t>〈</w:t>
      </w:r>
      <w:r w:rsidR="004B2A3A" w:rsidRPr="004B2A3A">
        <w:rPr>
          <w:rFonts w:hint="eastAsia"/>
          <w:color w:val="FF0000"/>
          <w:szCs w:val="22"/>
          <w:highlight w:val="yellow"/>
        </w:rPr>
        <w:t xml:space="preserve">86 </w:t>
      </w:r>
      <w:r w:rsidR="004B2A3A" w:rsidRPr="004B2A3A">
        <w:rPr>
          <w:rFonts w:hint="eastAsia"/>
          <w:color w:val="FF0000"/>
          <w:szCs w:val="22"/>
          <w:highlight w:val="yellow"/>
        </w:rPr>
        <w:t>平等品〉</w:t>
      </w:r>
      <w:r w:rsidRPr="00537BAB">
        <w:rPr>
          <w:rFonts w:hint="eastAsia"/>
          <w:szCs w:val="22"/>
        </w:rPr>
        <w:t>（</w:t>
      </w:r>
      <w:r w:rsidRPr="00212D57">
        <w:rPr>
          <w:rFonts w:hint="eastAsia"/>
          <w:szCs w:val="22"/>
        </w:rPr>
        <w:t>大正</w:t>
      </w:r>
      <w:r w:rsidRPr="00761EF3">
        <w:rPr>
          <w:szCs w:val="22"/>
        </w:rPr>
        <w:t>25</w:t>
      </w:r>
      <w:r w:rsidRPr="00212D57">
        <w:rPr>
          <w:rFonts w:hint="eastAsia"/>
          <w:szCs w:val="22"/>
        </w:rPr>
        <w:t>，</w:t>
      </w:r>
      <w:r w:rsidRPr="00761EF3">
        <w:rPr>
          <w:szCs w:val="22"/>
        </w:rPr>
        <w:t>728a28</w:t>
      </w:r>
      <w:r w:rsidRPr="00212D57">
        <w:rPr>
          <w:szCs w:val="22"/>
        </w:rPr>
        <w:t>-</w:t>
      </w:r>
      <w:r w:rsidRPr="00761EF3">
        <w:rPr>
          <w:szCs w:val="22"/>
        </w:rPr>
        <w:t>b1</w:t>
      </w:r>
      <w:r w:rsidRPr="00212D57">
        <w:rPr>
          <w:rFonts w:hint="eastAsia"/>
          <w:szCs w:val="22"/>
        </w:rPr>
        <w:t>）：</w:t>
      </w:r>
    </w:p>
    <w:p w:rsidR="00774F73" w:rsidRPr="00212D57" w:rsidRDefault="00774F73" w:rsidP="00774F73">
      <w:pPr>
        <w:pStyle w:val="a5"/>
        <w:ind w:leftChars="75" w:left="180"/>
        <w:jc w:val="both"/>
        <w:rPr>
          <w:szCs w:val="22"/>
        </w:rPr>
      </w:pPr>
      <w:r w:rsidRPr="00212D57">
        <w:rPr>
          <w:rFonts w:ascii="標楷體" w:eastAsia="標楷體" w:hAnsi="標楷體" w:hint="eastAsia"/>
          <w:szCs w:val="22"/>
        </w:rPr>
        <w:t>因有為故有無為，如經中說：</w:t>
      </w:r>
      <w:r w:rsidR="00A31B0F">
        <w:rPr>
          <w:rFonts w:ascii="標楷體" w:eastAsia="標楷體" w:hAnsi="標楷體" w:hint="eastAsia"/>
          <w:bCs/>
          <w:color w:val="FF0000"/>
          <w:kern w:val="0"/>
          <w:highlight w:val="yellow"/>
        </w:rPr>
        <w:t>「</w:t>
      </w:r>
      <w:r w:rsidRPr="00212D57">
        <w:rPr>
          <w:rFonts w:ascii="標楷體" w:eastAsia="標楷體" w:hAnsi="標楷體" w:hint="eastAsia"/>
          <w:szCs w:val="22"/>
        </w:rPr>
        <w:t>離有為，無為不可得</w:t>
      </w:r>
      <w:r w:rsidR="00A31B0F">
        <w:rPr>
          <w:rFonts w:ascii="標楷體" w:eastAsia="標楷體" w:hAnsi="標楷體" w:hint="eastAsia"/>
          <w:bCs/>
          <w:color w:val="FF0000"/>
          <w:kern w:val="0"/>
          <w:highlight w:val="yellow"/>
        </w:rPr>
        <w:t>」</w:t>
      </w:r>
      <w:r w:rsidRPr="00212D57">
        <w:rPr>
          <w:rFonts w:ascii="標楷體" w:eastAsia="標楷體" w:hAnsi="標楷體" w:hint="eastAsia"/>
          <w:szCs w:val="22"/>
        </w:rPr>
        <w:t>；如離長無短，是相待義。</w:t>
      </w:r>
    </w:p>
  </w:footnote>
  <w:footnote w:id="322">
    <w:p w:rsidR="00157EF6" w:rsidRPr="00212D57" w:rsidRDefault="00157EF6" w:rsidP="002B682F">
      <w:pPr>
        <w:pStyle w:val="a5"/>
        <w:ind w:left="187" w:hangingChars="85" w:hanging="187"/>
        <w:jc w:val="both"/>
        <w:rPr>
          <w:szCs w:val="22"/>
        </w:rPr>
      </w:pPr>
      <w:r w:rsidRPr="00212D57">
        <w:rPr>
          <w:rStyle w:val="a6"/>
          <w:szCs w:val="22"/>
        </w:rPr>
        <w:footnoteRef/>
      </w:r>
      <w:r w:rsidRPr="00212D57">
        <w:rPr>
          <w:szCs w:val="22"/>
        </w:rPr>
        <w:t xml:space="preserve"> </w:t>
      </w:r>
      <w:r w:rsidRPr="00212D57">
        <w:rPr>
          <w:rFonts w:hint="eastAsia"/>
          <w:szCs w:val="22"/>
        </w:rPr>
        <w:t>離卻：猶離開。（《漢語大詞典》（十一），</w:t>
      </w:r>
      <w:r w:rsidRPr="00761EF3">
        <w:rPr>
          <w:rFonts w:hint="eastAsia"/>
          <w:szCs w:val="22"/>
        </w:rPr>
        <w:t>p</w:t>
      </w:r>
      <w:r w:rsidRPr="00212D57">
        <w:rPr>
          <w:rFonts w:hint="eastAsia"/>
          <w:szCs w:val="22"/>
        </w:rPr>
        <w:t>.</w:t>
      </w:r>
      <w:r w:rsidRPr="00761EF3">
        <w:rPr>
          <w:rFonts w:hint="eastAsia"/>
          <w:szCs w:val="22"/>
        </w:rPr>
        <w:t>885</w:t>
      </w:r>
      <w:r w:rsidRPr="00212D57">
        <w:rPr>
          <w:rFonts w:hint="eastAsia"/>
          <w:szCs w:val="22"/>
        </w:rPr>
        <w:t>）</w:t>
      </w:r>
    </w:p>
  </w:footnote>
  <w:footnote w:id="323">
    <w:p w:rsidR="00157EF6" w:rsidRPr="00212D57" w:rsidRDefault="00157EF6" w:rsidP="002B682F">
      <w:pPr>
        <w:pStyle w:val="a5"/>
        <w:ind w:left="187" w:hangingChars="85" w:hanging="187"/>
        <w:jc w:val="both"/>
        <w:rPr>
          <w:szCs w:val="22"/>
        </w:rPr>
      </w:pPr>
      <w:r w:rsidRPr="00212D57">
        <w:rPr>
          <w:rStyle w:val="a6"/>
          <w:szCs w:val="22"/>
        </w:rPr>
        <w:footnoteRef/>
      </w:r>
      <w:r w:rsidRPr="00212D57">
        <w:rPr>
          <w:rFonts w:eastAsia="SimSun"/>
          <w:szCs w:val="22"/>
        </w:rPr>
        <w:t xml:space="preserve"> </w:t>
      </w:r>
      <w:r w:rsidRPr="00212D57">
        <w:rPr>
          <w:rFonts w:hint="eastAsia"/>
          <w:szCs w:val="22"/>
        </w:rPr>
        <w:t>剋實：照實。（《漢語大詞典》（二），</w:t>
      </w:r>
      <w:r w:rsidRPr="00761EF3">
        <w:rPr>
          <w:rFonts w:hint="eastAsia"/>
          <w:szCs w:val="22"/>
        </w:rPr>
        <w:t>p</w:t>
      </w:r>
      <w:r w:rsidRPr="00212D57">
        <w:rPr>
          <w:rFonts w:hint="eastAsia"/>
          <w:szCs w:val="22"/>
        </w:rPr>
        <w:t>.</w:t>
      </w:r>
      <w:r w:rsidRPr="00761EF3">
        <w:rPr>
          <w:szCs w:val="22"/>
        </w:rPr>
        <w:t>6</w:t>
      </w:r>
      <w:r w:rsidRPr="00761EF3">
        <w:rPr>
          <w:rFonts w:eastAsia="SimSun"/>
          <w:szCs w:val="22"/>
        </w:rPr>
        <w:t>90</w:t>
      </w:r>
      <w:r w:rsidRPr="00212D57">
        <w:rPr>
          <w:rFonts w:hint="eastAsia"/>
          <w:szCs w:val="22"/>
        </w:rPr>
        <w:t>）</w:t>
      </w:r>
    </w:p>
  </w:footnote>
  <w:footnote w:id="324">
    <w:p w:rsidR="00157EF6" w:rsidRPr="00212D57" w:rsidRDefault="00157EF6" w:rsidP="002B682F">
      <w:pPr>
        <w:pStyle w:val="a5"/>
        <w:spacing w:line="0" w:lineRule="atLeast"/>
        <w:ind w:left="253" w:hangingChars="115" w:hanging="253"/>
        <w:jc w:val="both"/>
        <w:rPr>
          <w:rFonts w:ascii="標楷體" w:eastAsia="標楷體" w:hAnsi="標楷體"/>
          <w:szCs w:val="22"/>
        </w:rPr>
      </w:pPr>
      <w:r w:rsidRPr="00212D57">
        <w:rPr>
          <w:rStyle w:val="a6"/>
          <w:szCs w:val="22"/>
        </w:rPr>
        <w:footnoteRef/>
      </w:r>
      <w:r w:rsidRPr="00212D57">
        <w:rPr>
          <w:rFonts w:hint="eastAsia"/>
          <w:szCs w:val="22"/>
        </w:rPr>
        <w:t xml:space="preserve"> </w:t>
      </w:r>
      <w:r w:rsidRPr="00212D57">
        <w:rPr>
          <w:rFonts w:hint="eastAsia"/>
          <w:szCs w:val="22"/>
        </w:rPr>
        <w:t>《雜阿含經》卷</w:t>
      </w:r>
      <w:r w:rsidRPr="00761EF3">
        <w:rPr>
          <w:szCs w:val="22"/>
        </w:rPr>
        <w:t>2</w:t>
      </w:r>
      <w:r w:rsidRPr="00212D57">
        <w:rPr>
          <w:rFonts w:hint="eastAsia"/>
          <w:szCs w:val="22"/>
        </w:rPr>
        <w:t>（</w:t>
      </w:r>
      <w:r w:rsidRPr="00761EF3">
        <w:rPr>
          <w:szCs w:val="22"/>
        </w:rPr>
        <w:t>53</w:t>
      </w:r>
      <w:r w:rsidRPr="00212D57">
        <w:rPr>
          <w:rFonts w:hint="eastAsia"/>
          <w:szCs w:val="22"/>
        </w:rPr>
        <w:t>經）（大正</w:t>
      </w:r>
      <w:r w:rsidRPr="00761EF3">
        <w:rPr>
          <w:szCs w:val="22"/>
        </w:rPr>
        <w:t>2</w:t>
      </w:r>
      <w:r w:rsidRPr="00212D57">
        <w:rPr>
          <w:rFonts w:hint="eastAsia"/>
          <w:szCs w:val="22"/>
        </w:rPr>
        <w:t>，</w:t>
      </w:r>
      <w:r w:rsidRPr="00761EF3">
        <w:rPr>
          <w:szCs w:val="22"/>
        </w:rPr>
        <w:t>12c23</w:t>
      </w:r>
      <w:r w:rsidRPr="00212D57">
        <w:rPr>
          <w:szCs w:val="22"/>
        </w:rPr>
        <w:t>-</w:t>
      </w:r>
      <w:r w:rsidRPr="00761EF3">
        <w:rPr>
          <w:szCs w:val="22"/>
        </w:rPr>
        <w:t>25</w:t>
      </w:r>
      <w:r w:rsidRPr="00212D57">
        <w:rPr>
          <w:rFonts w:hint="eastAsia"/>
          <w:szCs w:val="22"/>
        </w:rPr>
        <w:t>）：</w:t>
      </w:r>
    </w:p>
    <w:p w:rsidR="00157EF6" w:rsidRPr="00212D57" w:rsidRDefault="00157EF6" w:rsidP="002B682F">
      <w:pPr>
        <w:pStyle w:val="a5"/>
        <w:ind w:leftChars="105" w:left="252"/>
        <w:jc w:val="both"/>
        <w:rPr>
          <w:szCs w:val="22"/>
        </w:rPr>
      </w:pPr>
      <w:r w:rsidRPr="00212D57">
        <w:rPr>
          <w:rFonts w:ascii="標楷體" w:eastAsia="標楷體" w:hAnsi="標楷體" w:hint="eastAsia"/>
          <w:szCs w:val="22"/>
        </w:rPr>
        <w:t>有因有緣集世間，有因有緣世間集；有因有緣滅世間，有因有緣世間滅。</w:t>
      </w:r>
    </w:p>
  </w:footnote>
  <w:footnote w:id="325">
    <w:p w:rsidR="000B3E66" w:rsidRPr="00AE6593" w:rsidRDefault="000B3E66" w:rsidP="000B3E66">
      <w:pPr>
        <w:pStyle w:val="a5"/>
        <w:spacing w:line="0" w:lineRule="atLeast"/>
        <w:ind w:left="253" w:hangingChars="115" w:hanging="253"/>
        <w:jc w:val="both"/>
        <w:rPr>
          <w:color w:val="FF0000"/>
          <w:szCs w:val="22"/>
          <w:highlight w:val="yellow"/>
        </w:rPr>
      </w:pPr>
      <w:r w:rsidRPr="00212D57">
        <w:rPr>
          <w:rStyle w:val="a6"/>
          <w:szCs w:val="22"/>
        </w:rPr>
        <w:footnoteRef/>
      </w:r>
      <w:r>
        <w:rPr>
          <w:rFonts w:hint="eastAsia"/>
          <w:szCs w:val="22"/>
        </w:rPr>
        <w:t xml:space="preserve"> </w:t>
      </w:r>
      <w:r w:rsidR="00EF2070" w:rsidRPr="00EF2070">
        <w:rPr>
          <w:rFonts w:hint="eastAsia"/>
          <w:color w:val="FF0000"/>
          <w:szCs w:val="22"/>
          <w:highlight w:val="yellow"/>
        </w:rPr>
        <w:t>（</w:t>
      </w:r>
      <w:r w:rsidR="00EF2070" w:rsidRPr="00EF2070">
        <w:rPr>
          <w:rFonts w:hint="eastAsia"/>
          <w:color w:val="FF0000"/>
          <w:szCs w:val="22"/>
          <w:highlight w:val="yellow"/>
        </w:rPr>
        <w:t>1</w:t>
      </w:r>
      <w:r w:rsidR="00EF2070" w:rsidRPr="00EF2070">
        <w:rPr>
          <w:rFonts w:hint="eastAsia"/>
          <w:color w:val="FF0000"/>
          <w:szCs w:val="22"/>
          <w:highlight w:val="yellow"/>
        </w:rPr>
        <w:t>）</w:t>
      </w:r>
      <w:r w:rsidRPr="00AE6593">
        <w:rPr>
          <w:rFonts w:hint="eastAsia"/>
          <w:color w:val="FF0000"/>
          <w:szCs w:val="22"/>
          <w:highlight w:val="yellow"/>
        </w:rPr>
        <w:t>《中阿含經》卷</w:t>
      </w:r>
      <w:r w:rsidRPr="00AE6593">
        <w:rPr>
          <w:rFonts w:hint="eastAsia"/>
          <w:color w:val="FF0000"/>
          <w:szCs w:val="22"/>
          <w:highlight w:val="yellow"/>
        </w:rPr>
        <w:t>42</w:t>
      </w:r>
      <w:r w:rsidRPr="00AE6593">
        <w:rPr>
          <w:rFonts w:hint="eastAsia"/>
          <w:color w:val="FF0000"/>
          <w:szCs w:val="22"/>
          <w:highlight w:val="yellow"/>
        </w:rPr>
        <w:t>（</w:t>
      </w:r>
      <w:r w:rsidRPr="00AE6593">
        <w:rPr>
          <w:rFonts w:hint="eastAsia"/>
          <w:color w:val="FF0000"/>
          <w:szCs w:val="22"/>
          <w:highlight w:val="yellow"/>
        </w:rPr>
        <w:t>162</w:t>
      </w:r>
      <w:r w:rsidRPr="00AE6593">
        <w:rPr>
          <w:rFonts w:hint="eastAsia"/>
          <w:color w:val="FF0000"/>
          <w:szCs w:val="22"/>
          <w:highlight w:val="yellow"/>
        </w:rPr>
        <w:t>經）</w:t>
      </w:r>
      <w:r w:rsidRPr="00AE6593">
        <w:rPr>
          <w:rFonts w:ascii="新細明體" w:hAnsi="新細明體" w:hint="eastAsia"/>
          <w:color w:val="FF0000"/>
          <w:szCs w:val="22"/>
          <w:highlight w:val="yellow"/>
        </w:rPr>
        <w:t>《</w:t>
      </w:r>
      <w:r w:rsidR="00EF2070">
        <w:rPr>
          <w:rFonts w:ascii="新細明體" w:hAnsi="新細明體" w:hint="eastAsia"/>
          <w:color w:val="FF0000"/>
          <w:szCs w:val="22"/>
          <w:highlight w:val="yellow"/>
        </w:rPr>
        <w:t>分別</w:t>
      </w:r>
      <w:r w:rsidRPr="00AE6593">
        <w:rPr>
          <w:rFonts w:ascii="新細明體" w:hAnsi="新細明體" w:hint="eastAsia"/>
          <w:color w:val="FF0000"/>
          <w:szCs w:val="22"/>
          <w:highlight w:val="yellow"/>
        </w:rPr>
        <w:t>六界經</w:t>
      </w:r>
      <w:r w:rsidRPr="00AE6593">
        <w:rPr>
          <w:rFonts w:hint="eastAsia"/>
          <w:color w:val="FF0000"/>
          <w:szCs w:val="22"/>
          <w:highlight w:val="yellow"/>
        </w:rPr>
        <w:t>》（大正</w:t>
      </w:r>
      <w:r w:rsidRPr="00AE6593">
        <w:rPr>
          <w:rFonts w:hint="eastAsia"/>
          <w:color w:val="FF0000"/>
          <w:szCs w:val="22"/>
          <w:highlight w:val="yellow"/>
        </w:rPr>
        <w:t>1</w:t>
      </w:r>
      <w:r w:rsidRPr="00AE6593">
        <w:rPr>
          <w:rFonts w:hint="eastAsia"/>
          <w:color w:val="FF0000"/>
          <w:szCs w:val="22"/>
          <w:highlight w:val="yellow"/>
        </w:rPr>
        <w:t>，</w:t>
      </w:r>
      <w:r w:rsidRPr="00AE6593">
        <w:rPr>
          <w:rFonts w:hint="eastAsia"/>
          <w:color w:val="FF0000"/>
          <w:szCs w:val="22"/>
          <w:highlight w:val="yellow"/>
        </w:rPr>
        <w:t>690b27-29</w:t>
      </w:r>
      <w:r w:rsidRPr="00AE6593">
        <w:rPr>
          <w:rFonts w:hint="eastAsia"/>
          <w:color w:val="FF0000"/>
          <w:szCs w:val="22"/>
          <w:highlight w:val="yellow"/>
        </w:rPr>
        <w:t>）：</w:t>
      </w:r>
    </w:p>
    <w:p w:rsidR="000B3E66" w:rsidRDefault="000B3E66" w:rsidP="00EF2070">
      <w:pPr>
        <w:pStyle w:val="a5"/>
        <w:ind w:leftChars="335" w:left="804"/>
        <w:jc w:val="both"/>
        <w:rPr>
          <w:rFonts w:ascii="標楷體" w:eastAsia="標楷體" w:hAnsi="標楷體"/>
          <w:color w:val="FF0000"/>
          <w:szCs w:val="22"/>
        </w:rPr>
      </w:pPr>
      <w:r w:rsidRPr="00AE6593">
        <w:rPr>
          <w:rFonts w:ascii="標楷體" w:eastAsia="標楷體" w:hAnsi="標楷體" w:hint="eastAsia"/>
          <w:color w:val="FF0000"/>
          <w:szCs w:val="22"/>
          <w:highlight w:val="yellow"/>
        </w:rPr>
        <w:t>人有六界聚，此說何因？謂地界、水界、火界、風界、空界、識界。比丘！人有六界聚者，因此故說。</w:t>
      </w:r>
    </w:p>
    <w:p w:rsidR="001A4123" w:rsidRDefault="001A4123" w:rsidP="00285C75">
      <w:pPr>
        <w:pStyle w:val="a5"/>
        <w:ind w:leftChars="105" w:left="252"/>
        <w:jc w:val="both"/>
        <w:rPr>
          <w:color w:val="FF0000"/>
          <w:szCs w:val="22"/>
          <w:highlight w:val="yellow"/>
        </w:rPr>
      </w:pPr>
      <w:r w:rsidRPr="00EF2070">
        <w:rPr>
          <w:rFonts w:hint="eastAsia"/>
          <w:color w:val="FF0000"/>
          <w:szCs w:val="22"/>
          <w:highlight w:val="yellow"/>
        </w:rPr>
        <w:t>（</w:t>
      </w:r>
      <w:r>
        <w:rPr>
          <w:rFonts w:hint="eastAsia"/>
          <w:color w:val="FF0000"/>
          <w:szCs w:val="22"/>
          <w:highlight w:val="yellow"/>
        </w:rPr>
        <w:t>2</w:t>
      </w:r>
      <w:r w:rsidRPr="00EF2070">
        <w:rPr>
          <w:rFonts w:hint="eastAsia"/>
          <w:color w:val="FF0000"/>
          <w:szCs w:val="22"/>
          <w:highlight w:val="yellow"/>
        </w:rPr>
        <w:t>）</w:t>
      </w:r>
      <w:r w:rsidRPr="001A4123">
        <w:rPr>
          <w:rFonts w:hint="eastAsia"/>
          <w:color w:val="FF0000"/>
          <w:szCs w:val="22"/>
          <w:highlight w:val="yellow"/>
        </w:rPr>
        <w:t>另參見：</w:t>
      </w:r>
      <w:r w:rsidR="00EF2070" w:rsidRPr="001A4123">
        <w:rPr>
          <w:rFonts w:hint="eastAsia"/>
          <w:color w:val="FF0000"/>
          <w:szCs w:val="22"/>
          <w:highlight w:val="yellow"/>
        </w:rPr>
        <w:t>《中阿含經》卷</w:t>
      </w:r>
      <w:r w:rsidR="00EF2070" w:rsidRPr="001A4123">
        <w:rPr>
          <w:rFonts w:hint="eastAsia"/>
          <w:color w:val="FF0000"/>
          <w:szCs w:val="22"/>
          <w:highlight w:val="yellow"/>
        </w:rPr>
        <w:t>20</w:t>
      </w:r>
      <w:r w:rsidRPr="001A4123">
        <w:rPr>
          <w:rFonts w:hint="eastAsia"/>
          <w:color w:val="FF0000"/>
          <w:szCs w:val="22"/>
          <w:highlight w:val="yellow"/>
        </w:rPr>
        <w:t>（</w:t>
      </w:r>
      <w:r w:rsidRPr="001A4123">
        <w:rPr>
          <w:rFonts w:hint="eastAsia"/>
          <w:color w:val="FF0000"/>
          <w:szCs w:val="22"/>
          <w:highlight w:val="yellow"/>
        </w:rPr>
        <w:t>81</w:t>
      </w:r>
      <w:r w:rsidRPr="001A4123">
        <w:rPr>
          <w:rFonts w:hint="eastAsia"/>
          <w:color w:val="FF0000"/>
          <w:szCs w:val="22"/>
          <w:highlight w:val="yellow"/>
        </w:rPr>
        <w:t>經）《念身經》（大正</w:t>
      </w:r>
      <w:r w:rsidRPr="001A4123">
        <w:rPr>
          <w:rFonts w:hint="eastAsia"/>
          <w:color w:val="FF0000"/>
          <w:szCs w:val="22"/>
          <w:highlight w:val="yellow"/>
        </w:rPr>
        <w:t>1</w:t>
      </w:r>
      <w:r w:rsidRPr="001A4123">
        <w:rPr>
          <w:rFonts w:hint="eastAsia"/>
          <w:color w:val="FF0000"/>
          <w:szCs w:val="22"/>
          <w:highlight w:val="yellow"/>
        </w:rPr>
        <w:t>，</w:t>
      </w:r>
      <w:r w:rsidR="00EF2070" w:rsidRPr="001A4123">
        <w:rPr>
          <w:rFonts w:hint="eastAsia"/>
          <w:color w:val="FF0000"/>
          <w:szCs w:val="22"/>
          <w:highlight w:val="yellow"/>
        </w:rPr>
        <w:t>556a26-b4</w:t>
      </w:r>
      <w:r w:rsidRPr="001A4123">
        <w:rPr>
          <w:rFonts w:hint="eastAsia"/>
          <w:color w:val="FF0000"/>
          <w:szCs w:val="22"/>
          <w:highlight w:val="yellow"/>
        </w:rPr>
        <w:t>）</w:t>
      </w:r>
      <w:r w:rsidR="00EF2070" w:rsidRPr="001A4123">
        <w:rPr>
          <w:rFonts w:hint="eastAsia"/>
          <w:color w:val="FF0000"/>
          <w:szCs w:val="22"/>
          <w:highlight w:val="yellow"/>
        </w:rPr>
        <w:t>、</w:t>
      </w:r>
    </w:p>
    <w:p w:rsidR="00EF2070" w:rsidRPr="00212D57" w:rsidRDefault="00EF2070" w:rsidP="00D67F99">
      <w:pPr>
        <w:pStyle w:val="a5"/>
        <w:ind w:leftChars="650" w:left="1560"/>
        <w:jc w:val="both"/>
        <w:rPr>
          <w:szCs w:val="22"/>
        </w:rPr>
      </w:pPr>
      <w:r w:rsidRPr="001A4123">
        <w:rPr>
          <w:rFonts w:hint="eastAsia"/>
          <w:color w:val="FF0000"/>
          <w:szCs w:val="22"/>
          <w:highlight w:val="yellow"/>
        </w:rPr>
        <w:t>《中阿含經》卷</w:t>
      </w:r>
      <w:r w:rsidRPr="001A4123">
        <w:rPr>
          <w:rFonts w:hint="eastAsia"/>
          <w:color w:val="FF0000"/>
          <w:szCs w:val="22"/>
          <w:highlight w:val="yellow"/>
        </w:rPr>
        <w:t>24</w:t>
      </w:r>
      <w:r w:rsidR="001A4123" w:rsidRPr="001A4123">
        <w:rPr>
          <w:rFonts w:hint="eastAsia"/>
          <w:color w:val="FF0000"/>
          <w:szCs w:val="22"/>
          <w:highlight w:val="yellow"/>
        </w:rPr>
        <w:t>（</w:t>
      </w:r>
      <w:r w:rsidR="001A4123" w:rsidRPr="001A4123">
        <w:rPr>
          <w:rFonts w:hint="eastAsia"/>
          <w:color w:val="FF0000"/>
          <w:szCs w:val="22"/>
          <w:highlight w:val="yellow"/>
        </w:rPr>
        <w:t>98</w:t>
      </w:r>
      <w:r w:rsidR="001A4123" w:rsidRPr="001A4123">
        <w:rPr>
          <w:rFonts w:hint="eastAsia"/>
          <w:color w:val="FF0000"/>
          <w:szCs w:val="22"/>
          <w:highlight w:val="yellow"/>
        </w:rPr>
        <w:t>經）《念處經》（大正</w:t>
      </w:r>
      <w:r w:rsidR="001A4123" w:rsidRPr="001A4123">
        <w:rPr>
          <w:rFonts w:hint="eastAsia"/>
          <w:color w:val="FF0000"/>
          <w:szCs w:val="22"/>
          <w:highlight w:val="yellow"/>
        </w:rPr>
        <w:t>1</w:t>
      </w:r>
      <w:r w:rsidR="001A4123" w:rsidRPr="001A4123">
        <w:rPr>
          <w:rFonts w:hint="eastAsia"/>
          <w:color w:val="FF0000"/>
          <w:szCs w:val="22"/>
          <w:highlight w:val="yellow"/>
        </w:rPr>
        <w:t>，</w:t>
      </w:r>
      <w:r w:rsidRPr="001A4123">
        <w:rPr>
          <w:rFonts w:hint="eastAsia"/>
          <w:color w:val="FF0000"/>
          <w:szCs w:val="22"/>
          <w:highlight w:val="yellow"/>
        </w:rPr>
        <w:t>583b17-23</w:t>
      </w:r>
      <w:r w:rsidR="001A4123" w:rsidRPr="001A4123">
        <w:rPr>
          <w:rFonts w:hint="eastAsia"/>
          <w:color w:val="FF0000"/>
          <w:szCs w:val="22"/>
          <w:highlight w:val="yellow"/>
        </w:rPr>
        <w:t>）</w:t>
      </w:r>
      <w:r w:rsidRPr="001A4123">
        <w:rPr>
          <w:rFonts w:hint="eastAsia"/>
          <w:color w:val="FF0000"/>
          <w:szCs w:val="22"/>
          <w:highlight w:val="yellow"/>
        </w:rPr>
        <w:t>。</w:t>
      </w:r>
    </w:p>
  </w:footnote>
  <w:footnote w:id="326">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szCs w:val="22"/>
        </w:rPr>
        <w:t>發見：</w:t>
      </w:r>
      <w:r w:rsidRPr="00761EF3">
        <w:rPr>
          <w:szCs w:val="22"/>
        </w:rPr>
        <w:t>3</w:t>
      </w:r>
      <w:r w:rsidRPr="00212D57">
        <w:rPr>
          <w:szCs w:val="22"/>
        </w:rPr>
        <w:t>.</w:t>
      </w:r>
      <w:r w:rsidRPr="00212D57">
        <w:rPr>
          <w:szCs w:val="22"/>
        </w:rPr>
        <w:t>看到或找到以前不知道的事物或規律。（《漢語大詞典》（八），</w:t>
      </w:r>
      <w:r w:rsidRPr="00761EF3">
        <w:rPr>
          <w:szCs w:val="22"/>
        </w:rPr>
        <w:t>p</w:t>
      </w:r>
      <w:r w:rsidRPr="00212D57">
        <w:rPr>
          <w:szCs w:val="22"/>
        </w:rPr>
        <w:t>.</w:t>
      </w:r>
      <w:r w:rsidRPr="00761EF3">
        <w:rPr>
          <w:szCs w:val="22"/>
        </w:rPr>
        <w:t>547</w:t>
      </w:r>
      <w:r w:rsidRPr="00212D57">
        <w:rPr>
          <w:szCs w:val="22"/>
        </w:rPr>
        <w:t>）</w:t>
      </w:r>
    </w:p>
  </w:footnote>
  <w:footnote w:id="327">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軌律：法度規律。（《漢語大詞典》（</w:t>
      </w:r>
      <w:r w:rsidRPr="00212D57">
        <w:rPr>
          <w:rFonts w:eastAsia="SimSun"/>
          <w:szCs w:val="22"/>
        </w:rPr>
        <w:t>九</w:t>
      </w:r>
      <w:r w:rsidRPr="00212D57">
        <w:rPr>
          <w:szCs w:val="22"/>
        </w:rPr>
        <w:t>），</w:t>
      </w:r>
      <w:r w:rsidRPr="00761EF3">
        <w:rPr>
          <w:szCs w:val="22"/>
        </w:rPr>
        <w:t>p</w:t>
      </w:r>
      <w:r w:rsidRPr="00212D57">
        <w:rPr>
          <w:szCs w:val="22"/>
        </w:rPr>
        <w:t>.</w:t>
      </w:r>
      <w:r w:rsidRPr="00761EF3">
        <w:rPr>
          <w:szCs w:val="22"/>
        </w:rPr>
        <w:t>1</w:t>
      </w:r>
      <w:r w:rsidRPr="00761EF3">
        <w:rPr>
          <w:rFonts w:eastAsia="SimSun"/>
          <w:szCs w:val="22"/>
        </w:rPr>
        <w:t>201</w:t>
      </w:r>
      <w:r w:rsidRPr="00212D57">
        <w:rPr>
          <w:szCs w:val="22"/>
        </w:rPr>
        <w:t>）</w:t>
      </w:r>
    </w:p>
  </w:footnote>
  <w:footnote w:id="328">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rFonts w:hint="eastAsia"/>
          <w:szCs w:val="22"/>
        </w:rPr>
        <w:t>印順法師，《中觀論頌講記》，</w:t>
      </w:r>
      <w:r w:rsidRPr="00761EF3">
        <w:rPr>
          <w:szCs w:val="22"/>
        </w:rPr>
        <w:t>pp</w:t>
      </w:r>
      <w:r w:rsidRPr="00212D57">
        <w:rPr>
          <w:szCs w:val="22"/>
        </w:rPr>
        <w:t>.</w:t>
      </w:r>
      <w:r w:rsidRPr="00761EF3">
        <w:rPr>
          <w:szCs w:val="22"/>
        </w:rPr>
        <w:t>55</w:t>
      </w:r>
      <w:r w:rsidRPr="00212D57">
        <w:rPr>
          <w:szCs w:val="22"/>
        </w:rPr>
        <w:t>-</w:t>
      </w:r>
      <w:r w:rsidRPr="00761EF3">
        <w:rPr>
          <w:szCs w:val="22"/>
        </w:rPr>
        <w:t>56</w:t>
      </w:r>
      <w:r w:rsidRPr="00212D57">
        <w:rPr>
          <w:rFonts w:hint="eastAsia"/>
          <w:szCs w:val="22"/>
        </w:rPr>
        <w:t>：</w:t>
      </w:r>
    </w:p>
    <w:p w:rsidR="00157EF6" w:rsidRPr="00212D57" w:rsidRDefault="00157EF6" w:rsidP="002B682F">
      <w:pPr>
        <w:snapToGrid w:val="0"/>
        <w:ind w:leftChars="105" w:left="252"/>
        <w:jc w:val="both"/>
        <w:rPr>
          <w:rFonts w:ascii="標楷體" w:eastAsia="標楷體" w:hAnsi="標楷體"/>
          <w:sz w:val="22"/>
          <w:szCs w:val="22"/>
        </w:rPr>
      </w:pPr>
      <w:r w:rsidRPr="00212D57">
        <w:rPr>
          <w:rFonts w:ascii="標楷體" w:eastAsia="標楷體" w:hAnsi="標楷體" w:hint="eastAsia"/>
          <w:sz w:val="22"/>
          <w:szCs w:val="22"/>
        </w:rPr>
        <w:t>從學派上看，</w:t>
      </w:r>
      <w:r w:rsidRPr="00A31B0F">
        <w:rPr>
          <w:rFonts w:ascii="標楷體" w:eastAsia="標楷體" w:hAnsi="標楷體" w:hint="eastAsia"/>
          <w:sz w:val="22"/>
          <w:szCs w:val="22"/>
        </w:rPr>
        <w:t>一</w:t>
      </w:r>
      <w:r w:rsidRPr="00212D57">
        <w:rPr>
          <w:rFonts w:ascii="標楷體" w:eastAsia="標楷體" w:hAnsi="標楷體" w:hint="eastAsia"/>
          <w:sz w:val="22"/>
          <w:szCs w:val="22"/>
        </w:rPr>
        <w:t>切有系是以緣起為有為法，是因；</w:t>
      </w:r>
    </w:p>
    <w:p w:rsidR="00157EF6" w:rsidRPr="00212D57" w:rsidRDefault="00157EF6" w:rsidP="00A31B0F">
      <w:pPr>
        <w:snapToGrid w:val="0"/>
        <w:ind w:leftChars="650" w:left="1560"/>
        <w:jc w:val="both"/>
        <w:rPr>
          <w:rFonts w:ascii="標楷體" w:eastAsia="標楷體" w:hAnsi="標楷體"/>
          <w:sz w:val="22"/>
          <w:szCs w:val="22"/>
        </w:rPr>
      </w:pPr>
      <w:r w:rsidRPr="00212D57">
        <w:rPr>
          <w:rFonts w:ascii="標楷體" w:eastAsia="標楷體" w:hAnsi="標楷體" w:hint="eastAsia"/>
          <w:sz w:val="22"/>
          <w:szCs w:val="22"/>
        </w:rPr>
        <w:t>大眾分別說系，以緣起為無為法，是因果的理則。</w:t>
      </w:r>
    </w:p>
    <w:p w:rsidR="00157EF6" w:rsidRPr="00212D57" w:rsidRDefault="00157EF6" w:rsidP="002B682F">
      <w:pPr>
        <w:snapToGrid w:val="0"/>
        <w:ind w:leftChars="105" w:left="252"/>
        <w:jc w:val="both"/>
        <w:rPr>
          <w:rFonts w:ascii="標楷體" w:eastAsia="標楷體" w:hAnsi="標楷體"/>
          <w:sz w:val="22"/>
          <w:szCs w:val="22"/>
        </w:rPr>
      </w:pPr>
      <w:r w:rsidRPr="00212D57">
        <w:rPr>
          <w:rFonts w:ascii="標楷體" w:eastAsia="標楷體" w:hAnsi="標楷體" w:hint="eastAsia"/>
          <w:b/>
          <w:sz w:val="22"/>
          <w:szCs w:val="22"/>
        </w:rPr>
        <w:t>緣起無為</w:t>
      </w:r>
      <w:r w:rsidRPr="00774F73">
        <w:rPr>
          <w:rFonts w:ascii="標楷體" w:eastAsia="標楷體" w:hAnsi="標楷體" w:hint="eastAsia"/>
          <w:b/>
          <w:sz w:val="22"/>
          <w:szCs w:val="22"/>
        </w:rPr>
        <w:t>者</w:t>
      </w:r>
      <w:r w:rsidRPr="00212D57">
        <w:rPr>
          <w:rFonts w:ascii="標楷體" w:eastAsia="標楷體" w:hAnsi="標楷體" w:hint="eastAsia"/>
          <w:sz w:val="22"/>
          <w:szCs w:val="22"/>
        </w:rPr>
        <w:t>，也可說緣起法是不生不滅的，但不是中觀的正見。</w:t>
      </w:r>
    </w:p>
    <w:p w:rsidR="00157EF6" w:rsidRPr="00212D57" w:rsidRDefault="00157EF6" w:rsidP="002B682F">
      <w:pPr>
        <w:snapToGrid w:val="0"/>
        <w:ind w:leftChars="105" w:left="252"/>
        <w:jc w:val="both"/>
        <w:rPr>
          <w:rFonts w:ascii="標楷體" w:eastAsia="標楷體" w:hAnsi="標楷體"/>
          <w:sz w:val="22"/>
          <w:szCs w:val="22"/>
        </w:rPr>
      </w:pPr>
      <w:r w:rsidRPr="00212D57">
        <w:rPr>
          <w:rFonts w:ascii="標楷體" w:eastAsia="標楷體" w:hAnsi="標楷體" w:hint="eastAsia"/>
          <w:b/>
          <w:sz w:val="22"/>
          <w:szCs w:val="22"/>
        </w:rPr>
        <w:t>緣起有為</w:t>
      </w:r>
      <w:r w:rsidRPr="00774F73">
        <w:rPr>
          <w:rFonts w:ascii="標楷體" w:eastAsia="標楷體" w:hAnsi="標楷體" w:hint="eastAsia"/>
          <w:b/>
          <w:sz w:val="22"/>
          <w:szCs w:val="22"/>
        </w:rPr>
        <w:t>者</w:t>
      </w:r>
      <w:r w:rsidRPr="00212D57">
        <w:rPr>
          <w:rFonts w:ascii="標楷體" w:eastAsia="標楷體" w:hAnsi="標楷體" w:hint="eastAsia"/>
          <w:sz w:val="22"/>
          <w:szCs w:val="22"/>
        </w:rPr>
        <w:t>，可以在因果體用上，說不生不滅等，但也不是中觀的正見。</w:t>
      </w:r>
    </w:p>
    <w:p w:rsidR="00157EF6" w:rsidRPr="00212D57" w:rsidRDefault="00157EF6" w:rsidP="002B682F">
      <w:pPr>
        <w:snapToGrid w:val="0"/>
        <w:ind w:leftChars="105" w:left="252"/>
        <w:jc w:val="both"/>
        <w:rPr>
          <w:rFonts w:ascii="標楷體" w:eastAsia="標楷體" w:hAnsi="標楷體"/>
          <w:sz w:val="22"/>
          <w:szCs w:val="22"/>
        </w:rPr>
      </w:pPr>
      <w:r w:rsidRPr="00212D57">
        <w:rPr>
          <w:rFonts w:ascii="標楷體" w:eastAsia="標楷體" w:hAnsi="標楷體" w:hint="eastAsia"/>
          <w:sz w:val="22"/>
          <w:szCs w:val="22"/>
        </w:rPr>
        <w:t>中觀者的八不緣起，是依化迦旃延等經而闡揚的，從生滅一異的假有無實上，顯示不生不滅等。</w:t>
      </w:r>
    </w:p>
    <w:p w:rsidR="00157EF6" w:rsidRPr="00212D57" w:rsidRDefault="00157EF6" w:rsidP="002B682F">
      <w:pPr>
        <w:snapToGrid w:val="0"/>
        <w:ind w:leftChars="105" w:left="252"/>
        <w:jc w:val="both"/>
        <w:rPr>
          <w:rFonts w:ascii="標楷體" w:eastAsia="標楷體" w:hAnsi="標楷體"/>
          <w:sz w:val="22"/>
          <w:szCs w:val="22"/>
        </w:rPr>
      </w:pPr>
      <w:r w:rsidRPr="00212D57">
        <w:rPr>
          <w:rFonts w:ascii="標楷體" w:eastAsia="標楷體" w:hAnsi="標楷體" w:hint="eastAsia"/>
          <w:sz w:val="22"/>
          <w:szCs w:val="22"/>
        </w:rPr>
        <w:t>所以從勝義諦說，不生不滅等，是緣起法的本性空寂。</w:t>
      </w:r>
    </w:p>
    <w:p w:rsidR="00774F73" w:rsidRDefault="00157EF6" w:rsidP="00774F73">
      <w:pPr>
        <w:snapToGrid w:val="0"/>
        <w:ind w:leftChars="305" w:left="732"/>
        <w:jc w:val="both"/>
        <w:rPr>
          <w:rFonts w:ascii="標楷體" w:eastAsia="標楷體" w:hAnsi="標楷體"/>
          <w:sz w:val="22"/>
          <w:szCs w:val="22"/>
        </w:rPr>
      </w:pPr>
      <w:r w:rsidRPr="00774F73">
        <w:rPr>
          <w:rFonts w:ascii="標楷體" w:eastAsia="標楷體" w:hAnsi="標楷體" w:hint="eastAsia"/>
          <w:sz w:val="22"/>
          <w:szCs w:val="22"/>
          <w:highlight w:val="yellow"/>
        </w:rPr>
        <w:t>從</w:t>
      </w:r>
      <w:r w:rsidRPr="00212D57">
        <w:rPr>
          <w:rFonts w:ascii="標楷體" w:eastAsia="標楷體" w:hAnsi="標楷體" w:hint="eastAsia"/>
          <w:sz w:val="22"/>
          <w:szCs w:val="22"/>
        </w:rPr>
        <w:t>世俗諦說，這是緣起的幻相無實；</w:t>
      </w:r>
    </w:p>
    <w:p w:rsidR="00157EF6" w:rsidRPr="00212D57" w:rsidRDefault="00157EF6" w:rsidP="00774F73">
      <w:pPr>
        <w:snapToGrid w:val="0"/>
        <w:ind w:leftChars="305" w:left="732"/>
        <w:jc w:val="both"/>
        <w:rPr>
          <w:rFonts w:ascii="標楷體" w:eastAsia="標楷體" w:hAnsi="標楷體"/>
          <w:sz w:val="22"/>
          <w:szCs w:val="22"/>
        </w:rPr>
      </w:pPr>
      <w:r w:rsidRPr="00774F73">
        <w:rPr>
          <w:rFonts w:ascii="標楷體" w:eastAsia="標楷體" w:hAnsi="標楷體" w:hint="eastAsia"/>
          <w:sz w:val="22"/>
          <w:szCs w:val="22"/>
          <w:highlight w:val="yellow"/>
        </w:rPr>
        <w:t>而</w:t>
      </w:r>
      <w:r w:rsidRPr="00212D57">
        <w:rPr>
          <w:rFonts w:ascii="標楷體" w:eastAsia="標楷體" w:hAnsi="標楷體" w:hint="eastAsia"/>
          <w:sz w:val="22"/>
          <w:szCs w:val="22"/>
        </w:rPr>
        <w:t>世俗與勝義是無礙的，這才是本論的正見。</w:t>
      </w:r>
    </w:p>
    <w:p w:rsidR="00157EF6" w:rsidRPr="00212D57" w:rsidRDefault="00157EF6" w:rsidP="002B682F">
      <w:pPr>
        <w:snapToGrid w:val="0"/>
        <w:ind w:leftChars="105" w:left="252"/>
        <w:jc w:val="both"/>
        <w:rPr>
          <w:sz w:val="22"/>
          <w:szCs w:val="22"/>
        </w:rPr>
      </w:pPr>
      <w:r w:rsidRPr="00212D57">
        <w:rPr>
          <w:rFonts w:ascii="標楷體" w:eastAsia="標楷體" w:hAnsi="標楷體" w:hint="eastAsia"/>
          <w:sz w:val="22"/>
          <w:szCs w:val="22"/>
        </w:rPr>
        <w:t>本來，佛在因果相生中，見到因果的條理，悟到這因果理事的幻化非真而悟入空寂。佛所證在此，所說亦在此，從緣起的生滅顯示寂滅，才是佛說緣起的目標所在。這唯有在般若等性空經、中觀等性空論，才圓滿而扼要的開示出來。</w:t>
      </w:r>
    </w:p>
  </w:footnote>
  <w:footnote w:id="329">
    <w:p w:rsidR="00157EF6" w:rsidRPr="00212D57" w:rsidRDefault="00157EF6" w:rsidP="002B682F">
      <w:pPr>
        <w:pStyle w:val="a5"/>
        <w:spacing w:line="0" w:lineRule="atLeast"/>
        <w:ind w:left="792" w:hangingChars="360" w:hanging="792"/>
        <w:jc w:val="both"/>
        <w:rPr>
          <w:rFonts w:eastAsia="SimSun"/>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szCs w:val="22"/>
        </w:rPr>
        <w:t>1</w:t>
      </w:r>
      <w:r w:rsidRPr="00212D57">
        <w:rPr>
          <w:rFonts w:hint="eastAsia"/>
          <w:szCs w:val="22"/>
        </w:rPr>
        <w:t>）《雜阿含經》卷</w:t>
      </w:r>
      <w:r w:rsidRPr="00761EF3">
        <w:rPr>
          <w:szCs w:val="22"/>
        </w:rPr>
        <w:t>12</w:t>
      </w:r>
      <w:r w:rsidRPr="00212D57">
        <w:rPr>
          <w:rFonts w:hint="eastAsia"/>
          <w:szCs w:val="22"/>
        </w:rPr>
        <w:t>（</w:t>
      </w:r>
      <w:r w:rsidRPr="00761EF3">
        <w:rPr>
          <w:rFonts w:hint="eastAsia"/>
          <w:szCs w:val="22"/>
        </w:rPr>
        <w:t>3</w:t>
      </w:r>
      <w:r w:rsidRPr="00761EF3">
        <w:rPr>
          <w:szCs w:val="22"/>
        </w:rPr>
        <w:t>47</w:t>
      </w:r>
      <w:r w:rsidRPr="00212D57">
        <w:rPr>
          <w:rFonts w:hint="eastAsia"/>
          <w:szCs w:val="22"/>
        </w:rPr>
        <w:t>經）（大正</w:t>
      </w:r>
      <w:r w:rsidRPr="00761EF3">
        <w:rPr>
          <w:szCs w:val="22"/>
        </w:rPr>
        <w:t>2</w:t>
      </w:r>
      <w:r w:rsidRPr="00212D57">
        <w:rPr>
          <w:rFonts w:hint="eastAsia"/>
          <w:szCs w:val="22"/>
        </w:rPr>
        <w:t>，</w:t>
      </w:r>
      <w:r w:rsidRPr="00761EF3">
        <w:rPr>
          <w:szCs w:val="22"/>
        </w:rPr>
        <w:t>97b11</w:t>
      </w:r>
      <w:r w:rsidRPr="00212D57">
        <w:rPr>
          <w:szCs w:val="22"/>
        </w:rPr>
        <w:t>-</w:t>
      </w:r>
      <w:r w:rsidRPr="00761EF3">
        <w:rPr>
          <w:szCs w:val="22"/>
        </w:rPr>
        <w:t>15</w:t>
      </w:r>
      <w:r w:rsidRPr="00212D57">
        <w:rPr>
          <w:rFonts w:hint="eastAsia"/>
          <w:szCs w:val="22"/>
        </w:rPr>
        <w:t>）：</w:t>
      </w:r>
    </w:p>
    <w:p w:rsidR="00157EF6" w:rsidRPr="00212D57" w:rsidRDefault="00157EF6" w:rsidP="002B682F">
      <w:pPr>
        <w:pStyle w:val="a5"/>
        <w:ind w:leftChars="335" w:left="804"/>
        <w:jc w:val="both"/>
        <w:rPr>
          <w:rFonts w:ascii="標楷體" w:eastAsia="標楷體" w:hAnsi="標楷體"/>
          <w:szCs w:val="22"/>
        </w:rPr>
      </w:pPr>
      <w:r w:rsidRPr="00212D57">
        <w:rPr>
          <w:rFonts w:ascii="標楷體" w:eastAsia="標楷體" w:hAnsi="標楷體" w:hint="eastAsia"/>
          <w:szCs w:val="22"/>
        </w:rPr>
        <w:t>佛告須深：「不問汝知不知，且自</w:t>
      </w:r>
      <w:r w:rsidRPr="00212D57">
        <w:rPr>
          <w:rFonts w:ascii="標楷體" w:eastAsia="標楷體" w:hAnsi="標楷體" w:hint="eastAsia"/>
          <w:b/>
          <w:szCs w:val="22"/>
        </w:rPr>
        <w:t>先知法住，後知涅槃</w:t>
      </w:r>
      <w:r w:rsidRPr="00212D57">
        <w:rPr>
          <w:rFonts w:ascii="標楷體" w:eastAsia="標楷體" w:hAnsi="標楷體" w:hint="eastAsia"/>
          <w:szCs w:val="22"/>
        </w:rPr>
        <w:t>。彼諸善男子，獨一靜處，專精思惟，不放逸住，離於我見，心善解脫。」</w:t>
      </w:r>
    </w:p>
    <w:p w:rsidR="00157EF6" w:rsidRPr="00212D57" w:rsidRDefault="00157EF6" w:rsidP="002B682F">
      <w:pPr>
        <w:pStyle w:val="a5"/>
        <w:ind w:leftChars="335" w:left="804"/>
        <w:jc w:val="both"/>
        <w:rPr>
          <w:rFonts w:ascii="標楷體" w:eastAsia="SimSun" w:hAnsi="標楷體"/>
          <w:szCs w:val="22"/>
        </w:rPr>
      </w:pPr>
      <w:r w:rsidRPr="00212D57">
        <w:rPr>
          <w:rFonts w:ascii="標楷體" w:eastAsia="標楷體" w:hAnsi="標楷體" w:hint="eastAsia"/>
          <w:szCs w:val="22"/>
        </w:rPr>
        <w:t>須深白佛：</w:t>
      </w:r>
      <w:r w:rsidRPr="003332C9">
        <w:rPr>
          <w:rFonts w:ascii="標楷體" w:eastAsia="標楷體" w:hAnsi="標楷體" w:hint="eastAsia"/>
          <w:szCs w:val="22"/>
        </w:rPr>
        <w:t>「</w:t>
      </w:r>
      <w:r w:rsidRPr="00212D57">
        <w:rPr>
          <w:rFonts w:ascii="標楷體" w:eastAsia="標楷體" w:hAnsi="標楷體" w:hint="eastAsia"/>
          <w:szCs w:val="22"/>
        </w:rPr>
        <w:t>唯願世尊為我說法，</w:t>
      </w:r>
      <w:r w:rsidRPr="00212D57">
        <w:rPr>
          <w:rFonts w:ascii="標楷體" w:eastAsia="標楷體" w:hAnsi="標楷體" w:hint="eastAsia"/>
          <w:b/>
          <w:szCs w:val="22"/>
        </w:rPr>
        <w:t>令我得知法住智，得見法住智</w:t>
      </w:r>
      <w:r w:rsidRPr="00212D57">
        <w:rPr>
          <w:rFonts w:ascii="標楷體" w:eastAsia="標楷體" w:hAnsi="標楷體" w:hint="eastAsia"/>
          <w:szCs w:val="22"/>
        </w:rPr>
        <w:t>！」</w:t>
      </w:r>
    </w:p>
    <w:p w:rsidR="00157EF6" w:rsidRPr="00212D57" w:rsidRDefault="00157EF6" w:rsidP="002B682F">
      <w:pPr>
        <w:pStyle w:val="a5"/>
        <w:ind w:leftChars="105" w:left="791" w:hangingChars="245" w:hanging="539"/>
        <w:jc w:val="both"/>
        <w:rPr>
          <w:szCs w:val="22"/>
        </w:rPr>
      </w:pPr>
      <w:r w:rsidRPr="00212D57">
        <w:rPr>
          <w:szCs w:val="22"/>
        </w:rPr>
        <w:t>（</w:t>
      </w:r>
      <w:r w:rsidRPr="00761EF3">
        <w:rPr>
          <w:szCs w:val="22"/>
        </w:rPr>
        <w:t>2</w:t>
      </w:r>
      <w:r w:rsidRPr="00212D57">
        <w:rPr>
          <w:szCs w:val="22"/>
        </w:rPr>
        <w:t>）</w:t>
      </w:r>
      <w:r w:rsidRPr="00212D57">
        <w:rPr>
          <w:rFonts w:hint="eastAsia"/>
          <w:szCs w:val="22"/>
        </w:rPr>
        <w:t>《大毘婆沙論》卷</w:t>
      </w:r>
      <w:r w:rsidRPr="00761EF3">
        <w:rPr>
          <w:rFonts w:hint="eastAsia"/>
          <w:szCs w:val="22"/>
        </w:rPr>
        <w:t>110</w:t>
      </w:r>
      <w:r w:rsidRPr="00212D57">
        <w:rPr>
          <w:rFonts w:hint="eastAsia"/>
          <w:szCs w:val="22"/>
        </w:rPr>
        <w:t>（大正</w:t>
      </w:r>
      <w:r w:rsidRPr="00761EF3">
        <w:rPr>
          <w:rFonts w:hint="eastAsia"/>
          <w:szCs w:val="22"/>
        </w:rPr>
        <w:t>27</w:t>
      </w:r>
      <w:r w:rsidRPr="00212D57">
        <w:rPr>
          <w:rFonts w:hint="eastAsia"/>
          <w:szCs w:val="22"/>
        </w:rPr>
        <w:t>，</w:t>
      </w:r>
      <w:r w:rsidRPr="00761EF3">
        <w:rPr>
          <w:rFonts w:hint="eastAsia"/>
          <w:szCs w:val="22"/>
        </w:rPr>
        <w:t>572a27</w:t>
      </w:r>
      <w:r w:rsidRPr="00212D57">
        <w:rPr>
          <w:rFonts w:hint="eastAsia"/>
          <w:szCs w:val="22"/>
        </w:rPr>
        <w:t>-</w:t>
      </w:r>
      <w:r w:rsidRPr="00761EF3">
        <w:rPr>
          <w:rFonts w:hint="eastAsia"/>
          <w:szCs w:val="22"/>
        </w:rPr>
        <w:t>b29</w:t>
      </w:r>
      <w:r w:rsidRPr="00212D57">
        <w:rPr>
          <w:rFonts w:hint="eastAsia"/>
          <w:szCs w:val="22"/>
        </w:rPr>
        <w:t>）：</w:t>
      </w:r>
    </w:p>
    <w:p w:rsidR="00157EF6" w:rsidRPr="00212D57" w:rsidRDefault="00157EF6" w:rsidP="002B682F">
      <w:pPr>
        <w:pStyle w:val="a5"/>
        <w:ind w:leftChars="335" w:left="1244" w:hangingChars="200" w:hanging="440"/>
        <w:jc w:val="both"/>
        <w:rPr>
          <w:rFonts w:ascii="標楷體" w:eastAsia="標楷體" w:hAnsi="標楷體"/>
          <w:szCs w:val="22"/>
        </w:rPr>
      </w:pPr>
      <w:r w:rsidRPr="00212D57">
        <w:rPr>
          <w:rFonts w:ascii="標楷體" w:eastAsia="標楷體" w:hAnsi="標楷體" w:hint="eastAsia"/>
          <w:szCs w:val="22"/>
        </w:rPr>
        <w:t>問：何故第七名</w:t>
      </w:r>
      <w:r w:rsidR="00774F73">
        <w:rPr>
          <w:rFonts w:ascii="標楷體" w:eastAsia="標楷體" w:hAnsi="標楷體" w:hint="eastAsia"/>
          <w:b/>
          <w:color w:val="FF0000"/>
          <w:szCs w:val="22"/>
          <w:highlight w:val="yellow"/>
        </w:rPr>
        <w:t>「</w:t>
      </w:r>
      <w:r w:rsidRPr="00212D57">
        <w:rPr>
          <w:rFonts w:ascii="標楷體" w:eastAsia="標楷體" w:hAnsi="標楷體" w:hint="eastAsia"/>
          <w:b/>
          <w:szCs w:val="22"/>
        </w:rPr>
        <w:t>法住智</w:t>
      </w:r>
      <w:r w:rsidR="00774F73">
        <w:rPr>
          <w:rFonts w:ascii="標楷體" w:eastAsia="標楷體" w:hAnsi="標楷體" w:hint="eastAsia"/>
          <w:b/>
          <w:color w:val="FF0000"/>
          <w:szCs w:val="22"/>
          <w:highlight w:val="yellow"/>
        </w:rPr>
        <w:t>」</w:t>
      </w:r>
      <w:r w:rsidRPr="00212D57">
        <w:rPr>
          <w:rFonts w:ascii="標楷體" w:eastAsia="標楷體" w:hAnsi="標楷體" w:hint="eastAsia"/>
          <w:szCs w:val="22"/>
        </w:rPr>
        <w:t>？</w:t>
      </w:r>
    </w:p>
    <w:p w:rsidR="00157EF6" w:rsidRPr="00212D57" w:rsidRDefault="00157EF6" w:rsidP="002B682F">
      <w:pPr>
        <w:pStyle w:val="a5"/>
        <w:ind w:leftChars="335" w:left="1244" w:hangingChars="200" w:hanging="440"/>
        <w:jc w:val="both"/>
        <w:rPr>
          <w:rFonts w:ascii="標楷體" w:eastAsia="標楷體" w:hAnsi="標楷體"/>
          <w:szCs w:val="22"/>
        </w:rPr>
      </w:pPr>
      <w:r w:rsidRPr="00212D57">
        <w:rPr>
          <w:rFonts w:ascii="標楷體" w:eastAsia="標楷體" w:hAnsi="標楷體" w:hint="eastAsia"/>
          <w:szCs w:val="22"/>
        </w:rPr>
        <w:t>答：</w:t>
      </w:r>
      <w:r w:rsidRPr="00212D57">
        <w:rPr>
          <w:rFonts w:ascii="標楷體" w:eastAsia="標楷體" w:hAnsi="標楷體" w:hint="eastAsia"/>
          <w:b/>
          <w:szCs w:val="22"/>
        </w:rPr>
        <w:t>「法」者是果，「住」者是因，知果法所住因故，名</w:t>
      </w:r>
      <w:r w:rsidR="00774F73">
        <w:rPr>
          <w:rFonts w:ascii="標楷體" w:eastAsia="標楷體" w:hAnsi="標楷體" w:hint="eastAsia"/>
          <w:b/>
          <w:color w:val="FF0000"/>
          <w:szCs w:val="22"/>
          <w:highlight w:val="yellow"/>
        </w:rPr>
        <w:t>「</w:t>
      </w:r>
      <w:r w:rsidRPr="00212D57">
        <w:rPr>
          <w:rFonts w:ascii="標楷體" w:eastAsia="標楷體" w:hAnsi="標楷體" w:hint="eastAsia"/>
          <w:b/>
          <w:szCs w:val="22"/>
        </w:rPr>
        <w:t>法住智</w:t>
      </w:r>
      <w:r w:rsidR="00774F73">
        <w:rPr>
          <w:rFonts w:ascii="標楷體" w:eastAsia="標楷體" w:hAnsi="標楷體" w:hint="eastAsia"/>
          <w:b/>
          <w:color w:val="FF0000"/>
          <w:szCs w:val="22"/>
          <w:highlight w:val="yellow"/>
        </w:rPr>
        <w:t>」</w:t>
      </w:r>
      <w:r w:rsidRPr="00212D57">
        <w:rPr>
          <w:rFonts w:ascii="標楷體" w:eastAsia="標楷體" w:hAnsi="標楷體" w:hint="eastAsia"/>
          <w:b/>
          <w:szCs w:val="22"/>
        </w:rPr>
        <w:t>。謂知三界下中上果所住之因名</w:t>
      </w:r>
      <w:r w:rsidR="00774F73">
        <w:rPr>
          <w:rFonts w:ascii="標楷體" w:eastAsia="標楷體" w:hAnsi="標楷體" w:hint="eastAsia"/>
          <w:b/>
          <w:color w:val="FF0000"/>
          <w:szCs w:val="22"/>
          <w:highlight w:val="yellow"/>
        </w:rPr>
        <w:t>「</w:t>
      </w:r>
      <w:r w:rsidRPr="00212D57">
        <w:rPr>
          <w:rFonts w:ascii="標楷體" w:eastAsia="標楷體" w:hAnsi="標楷體" w:hint="eastAsia"/>
          <w:b/>
          <w:szCs w:val="22"/>
        </w:rPr>
        <w:t>法住智</w:t>
      </w:r>
      <w:r w:rsidR="00774F73">
        <w:rPr>
          <w:rFonts w:ascii="標楷體" w:eastAsia="標楷體" w:hAnsi="標楷體" w:hint="eastAsia"/>
          <w:b/>
          <w:color w:val="FF0000"/>
          <w:szCs w:val="22"/>
          <w:highlight w:val="yellow"/>
        </w:rPr>
        <w:t>」</w:t>
      </w:r>
      <w:r w:rsidRPr="00212D57">
        <w:rPr>
          <w:rFonts w:ascii="標楷體" w:eastAsia="標楷體" w:hAnsi="標楷體" w:hint="eastAsia"/>
          <w:b/>
          <w:szCs w:val="22"/>
        </w:rPr>
        <w:t>。</w:t>
      </w:r>
      <w:r w:rsidRPr="00212D57">
        <w:rPr>
          <w:rFonts w:ascii="標楷體" w:eastAsia="標楷體" w:hAnsi="標楷體" w:hint="eastAsia"/>
          <w:szCs w:val="22"/>
        </w:rPr>
        <w:t>此智唯知因之別相，非聖行相，故</w:t>
      </w:r>
      <w:r w:rsidRPr="00212D57">
        <w:rPr>
          <w:rFonts w:ascii="標楷體" w:eastAsia="標楷體" w:hAnsi="標楷體" w:hint="eastAsia"/>
          <w:b/>
          <w:szCs w:val="22"/>
        </w:rPr>
        <w:t>唯世俗智攝</w:t>
      </w:r>
      <w:r w:rsidRPr="00212D57">
        <w:rPr>
          <w:rFonts w:ascii="標楷體" w:eastAsia="標楷體" w:hAnsi="標楷體" w:hint="eastAsia"/>
          <w:szCs w:val="22"/>
        </w:rPr>
        <w:t>。</w:t>
      </w:r>
    </w:p>
    <w:p w:rsidR="00157EF6" w:rsidRPr="00212D57" w:rsidRDefault="00157EF6" w:rsidP="002B682F">
      <w:pPr>
        <w:pStyle w:val="a5"/>
        <w:ind w:leftChars="520" w:left="1248"/>
        <w:jc w:val="both"/>
        <w:rPr>
          <w:rFonts w:ascii="標楷體" w:eastAsia="標楷體" w:hAnsi="標楷體"/>
          <w:szCs w:val="22"/>
        </w:rPr>
      </w:pPr>
      <w:r w:rsidRPr="00212D57">
        <w:rPr>
          <w:rFonts w:ascii="標楷體" w:eastAsia="標楷體" w:hAnsi="標楷體" w:hint="eastAsia"/>
          <w:b/>
          <w:szCs w:val="22"/>
        </w:rPr>
        <w:t>有作是說</w:t>
      </w:r>
      <w:r w:rsidRPr="00774F73">
        <w:rPr>
          <w:rFonts w:ascii="標楷體" w:eastAsia="標楷體" w:hAnsi="標楷體" w:hint="eastAsia"/>
          <w:b/>
          <w:szCs w:val="22"/>
          <w:highlight w:val="yellow"/>
        </w:rPr>
        <w:t>：此</w:t>
      </w:r>
      <w:r w:rsidRPr="00212D57">
        <w:rPr>
          <w:rFonts w:ascii="標楷體" w:eastAsia="標楷體" w:hAnsi="標楷體" w:hint="eastAsia"/>
          <w:b/>
          <w:szCs w:val="22"/>
        </w:rPr>
        <w:t>通四智，謂</w:t>
      </w:r>
      <w:r w:rsidR="00A31B0F">
        <w:rPr>
          <w:rFonts w:ascii="標楷體" w:eastAsia="標楷體" w:hAnsi="標楷體" w:hint="eastAsia"/>
          <w:b/>
          <w:color w:val="FF0000"/>
          <w:szCs w:val="22"/>
          <w:highlight w:val="yellow"/>
        </w:rPr>
        <w:t>「</w:t>
      </w:r>
      <w:r w:rsidRPr="00212D57">
        <w:rPr>
          <w:rFonts w:ascii="標楷體" w:eastAsia="標楷體" w:hAnsi="標楷體" w:hint="eastAsia"/>
          <w:b/>
          <w:szCs w:val="22"/>
        </w:rPr>
        <w:t>法、類、世俗、集</w:t>
      </w:r>
      <w:r w:rsidR="00A31B0F">
        <w:rPr>
          <w:rFonts w:ascii="標楷體" w:eastAsia="標楷體" w:hAnsi="標楷體" w:hint="eastAsia"/>
          <w:b/>
          <w:color w:val="FF0000"/>
          <w:szCs w:val="22"/>
          <w:highlight w:val="yellow"/>
        </w:rPr>
        <w:t>」</w:t>
      </w:r>
      <w:r w:rsidRPr="00212D57">
        <w:rPr>
          <w:rFonts w:ascii="標楷體" w:eastAsia="標楷體" w:hAnsi="標楷體" w:hint="eastAsia"/>
          <w:b/>
          <w:szCs w:val="22"/>
        </w:rPr>
        <w:t>智</w:t>
      </w:r>
      <w:r w:rsidRPr="00774F73">
        <w:rPr>
          <w:rFonts w:ascii="標楷體" w:eastAsia="標楷體" w:hAnsi="標楷體" w:hint="eastAsia"/>
          <w:b/>
          <w:szCs w:val="22"/>
          <w:highlight w:val="yellow"/>
        </w:rPr>
        <w:t>。</w:t>
      </w:r>
      <w:r w:rsidR="00774F73">
        <w:rPr>
          <w:rFonts w:ascii="標楷體" w:eastAsia="標楷體" w:hAnsi="標楷體" w:hint="eastAsia"/>
          <w:szCs w:val="22"/>
          <w:shd w:val="pct15" w:color="auto" w:fill="FFFFFF"/>
        </w:rPr>
        <w:t>……</w:t>
      </w:r>
    </w:p>
    <w:p w:rsidR="00157EF6" w:rsidRPr="00212D57" w:rsidRDefault="00157EF6" w:rsidP="00084C06">
      <w:pPr>
        <w:pStyle w:val="a5"/>
        <w:ind w:leftChars="520" w:left="2338" w:hangingChars="495" w:hanging="1090"/>
        <w:jc w:val="both"/>
        <w:rPr>
          <w:rFonts w:ascii="標楷體" w:eastAsia="標楷體" w:hAnsi="標楷體"/>
          <w:szCs w:val="22"/>
        </w:rPr>
      </w:pPr>
      <w:r w:rsidRPr="00212D57">
        <w:rPr>
          <w:rFonts w:ascii="標楷體" w:eastAsia="標楷體" w:hAnsi="標楷體" w:hint="eastAsia"/>
          <w:b/>
          <w:szCs w:val="22"/>
        </w:rPr>
        <w:t>復有說者</w:t>
      </w:r>
      <w:r w:rsidRPr="00774F73">
        <w:rPr>
          <w:rFonts w:ascii="標楷體" w:eastAsia="標楷體" w:hAnsi="標楷體" w:hint="eastAsia"/>
          <w:szCs w:val="22"/>
          <w:highlight w:val="yellow"/>
        </w:rPr>
        <w:t>：前</w:t>
      </w:r>
      <w:r w:rsidRPr="00212D57">
        <w:rPr>
          <w:rFonts w:ascii="標楷體" w:eastAsia="標楷體" w:hAnsi="標楷體" w:hint="eastAsia"/>
          <w:szCs w:val="22"/>
        </w:rPr>
        <w:t>六智是知因智故名為</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法住</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，緣彼起智名</w:t>
      </w:r>
      <w:r w:rsidR="00774F73">
        <w:rPr>
          <w:rFonts w:ascii="標楷體" w:eastAsia="標楷體" w:hAnsi="標楷體" w:hint="eastAsia"/>
          <w:color w:val="FF0000"/>
          <w:szCs w:val="22"/>
          <w:highlight w:val="yellow"/>
        </w:rPr>
        <w:t>「</w:t>
      </w:r>
      <w:r w:rsidR="00774F73">
        <w:rPr>
          <w:rFonts w:ascii="標楷體" w:eastAsia="標楷體" w:hAnsi="標楷體" w:hint="eastAsia"/>
          <w:szCs w:val="22"/>
        </w:rPr>
        <w:t>法住智</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。此智知</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道</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，非知</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集因</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w:t>
      </w:r>
      <w:r w:rsidRPr="00212D57">
        <w:rPr>
          <w:rFonts w:ascii="標楷體" w:eastAsia="標楷體" w:hAnsi="標楷體" w:hint="eastAsia"/>
          <w:b/>
          <w:szCs w:val="22"/>
        </w:rPr>
        <w:t>亦四智攝，謂</w:t>
      </w:r>
      <w:r w:rsidR="00774F73">
        <w:rPr>
          <w:rFonts w:ascii="標楷體" w:eastAsia="標楷體" w:hAnsi="標楷體" w:hint="eastAsia"/>
          <w:b/>
          <w:color w:val="FF0000"/>
          <w:szCs w:val="22"/>
          <w:highlight w:val="yellow"/>
        </w:rPr>
        <w:t>「</w:t>
      </w:r>
      <w:r w:rsidRPr="00212D57">
        <w:rPr>
          <w:rFonts w:ascii="標楷體" w:eastAsia="標楷體" w:hAnsi="標楷體" w:hint="eastAsia"/>
          <w:b/>
          <w:szCs w:val="22"/>
        </w:rPr>
        <w:t>法、類、世俗、道</w:t>
      </w:r>
      <w:r w:rsidR="00774F73">
        <w:rPr>
          <w:rFonts w:ascii="標楷體" w:eastAsia="標楷體" w:hAnsi="標楷體" w:hint="eastAsia"/>
          <w:b/>
          <w:color w:val="FF0000"/>
          <w:szCs w:val="22"/>
          <w:highlight w:val="yellow"/>
        </w:rPr>
        <w:t>」</w:t>
      </w:r>
      <w:r w:rsidRPr="00212D57">
        <w:rPr>
          <w:rFonts w:ascii="標楷體" w:eastAsia="標楷體" w:hAnsi="標楷體" w:hint="eastAsia"/>
          <w:b/>
          <w:szCs w:val="22"/>
        </w:rPr>
        <w:t>智</w:t>
      </w:r>
      <w:r w:rsidRPr="00774F73">
        <w:rPr>
          <w:rFonts w:ascii="標楷體" w:eastAsia="標楷體" w:hAnsi="標楷體" w:hint="eastAsia"/>
          <w:b/>
          <w:szCs w:val="22"/>
          <w:highlight w:val="yellow"/>
        </w:rPr>
        <w:t>。</w:t>
      </w:r>
      <w:r w:rsidR="00774F73">
        <w:rPr>
          <w:rFonts w:ascii="標楷體" w:eastAsia="標楷體" w:hAnsi="標楷體" w:hint="eastAsia"/>
          <w:szCs w:val="22"/>
          <w:shd w:val="pct15" w:color="auto" w:fill="FFFFFF"/>
        </w:rPr>
        <w:t>……</w:t>
      </w:r>
    </w:p>
    <w:p w:rsidR="00774F73" w:rsidRDefault="00157EF6" w:rsidP="002B682F">
      <w:pPr>
        <w:pStyle w:val="a5"/>
        <w:ind w:leftChars="335" w:left="1465" w:hangingChars="300" w:hanging="661"/>
        <w:jc w:val="both"/>
        <w:rPr>
          <w:rFonts w:ascii="標楷體" w:eastAsia="標楷體" w:hAnsi="標楷體"/>
          <w:b/>
          <w:szCs w:val="22"/>
        </w:rPr>
      </w:pPr>
      <w:r w:rsidRPr="00212D57">
        <w:rPr>
          <w:rFonts w:ascii="標楷體" w:eastAsia="標楷體" w:hAnsi="標楷體" w:hint="eastAsia"/>
          <w:b/>
          <w:szCs w:val="22"/>
        </w:rPr>
        <w:t>評曰：應知此中初說為善。</w:t>
      </w:r>
    </w:p>
    <w:p w:rsidR="00157EF6" w:rsidRPr="00212D57" w:rsidRDefault="00157EF6" w:rsidP="00774F73">
      <w:pPr>
        <w:pStyle w:val="a5"/>
        <w:ind w:leftChars="335" w:left="1464" w:hangingChars="300" w:hanging="660"/>
        <w:jc w:val="both"/>
        <w:rPr>
          <w:rFonts w:ascii="標楷體" w:eastAsia="標楷體" w:hAnsi="標楷體"/>
          <w:szCs w:val="22"/>
        </w:rPr>
      </w:pPr>
      <w:r w:rsidRPr="00774F73">
        <w:rPr>
          <w:rFonts w:ascii="標楷體" w:eastAsia="標楷體" w:hAnsi="標楷體" w:hint="eastAsia"/>
          <w:szCs w:val="22"/>
          <w:highlight w:val="yellow"/>
        </w:rPr>
        <w:t>如</w:t>
      </w:r>
      <w:r w:rsidRPr="00212D57">
        <w:rPr>
          <w:rFonts w:ascii="標楷體" w:eastAsia="標楷體" w:hAnsi="標楷體" w:hint="eastAsia"/>
          <w:szCs w:val="22"/>
        </w:rPr>
        <w:t>世尊說：</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蘇尸摩</w:t>
      </w:r>
      <w:r w:rsidR="00774F73" w:rsidRPr="00774F73">
        <w:rPr>
          <w:rFonts w:ascii="標楷體" w:eastAsia="標楷體" w:hAnsi="標楷體" w:hint="eastAsia"/>
          <w:color w:val="FF0000"/>
          <w:szCs w:val="22"/>
          <w:highlight w:val="yellow"/>
        </w:rPr>
        <w:t>！</w:t>
      </w:r>
      <w:r w:rsidRPr="00212D57">
        <w:rPr>
          <w:rFonts w:ascii="標楷體" w:eastAsia="標楷體" w:hAnsi="標楷體" w:hint="eastAsia"/>
          <w:szCs w:val="22"/>
        </w:rPr>
        <w:t>當知</w:t>
      </w:r>
      <w:r w:rsidR="00774F73" w:rsidRPr="00774F73">
        <w:rPr>
          <w:rFonts w:ascii="標楷體" w:eastAsia="標楷體" w:hAnsi="標楷體" w:hint="eastAsia"/>
          <w:color w:val="FF0000"/>
          <w:szCs w:val="22"/>
          <w:highlight w:val="yellow"/>
        </w:rPr>
        <w:t>：</w:t>
      </w:r>
      <w:r w:rsidRPr="00212D57">
        <w:rPr>
          <w:rFonts w:ascii="標楷體" w:eastAsia="標楷體" w:hAnsi="標楷體" w:hint="eastAsia"/>
          <w:szCs w:val="22"/>
        </w:rPr>
        <w:t>先有法住智，後有涅槃智。</w:t>
      </w:r>
      <w:r w:rsidR="00774F73">
        <w:rPr>
          <w:rFonts w:ascii="標楷體" w:eastAsia="標楷體" w:hAnsi="標楷體" w:hint="eastAsia"/>
          <w:color w:val="FF0000"/>
          <w:szCs w:val="22"/>
          <w:highlight w:val="yellow"/>
        </w:rPr>
        <w:t>」</w:t>
      </w:r>
    </w:p>
    <w:p w:rsidR="00157EF6" w:rsidRPr="00212D57" w:rsidRDefault="00157EF6" w:rsidP="002B682F">
      <w:pPr>
        <w:pStyle w:val="a5"/>
        <w:ind w:leftChars="335" w:left="1244" w:hangingChars="200" w:hanging="440"/>
        <w:jc w:val="both"/>
        <w:rPr>
          <w:rFonts w:ascii="標楷體" w:eastAsia="標楷體" w:hAnsi="標楷體"/>
          <w:szCs w:val="22"/>
        </w:rPr>
      </w:pPr>
      <w:r w:rsidRPr="00212D57">
        <w:rPr>
          <w:rFonts w:ascii="標楷體" w:eastAsia="標楷體" w:hAnsi="標楷體" w:hint="eastAsia"/>
          <w:szCs w:val="22"/>
        </w:rPr>
        <w:t>問：此中何者是</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法住智</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何者是</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涅槃智</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耶？</w:t>
      </w:r>
    </w:p>
    <w:p w:rsidR="00157EF6" w:rsidRPr="00212D57" w:rsidRDefault="00157EF6" w:rsidP="002B682F">
      <w:pPr>
        <w:pStyle w:val="a5"/>
        <w:ind w:leftChars="335" w:left="804"/>
        <w:jc w:val="both"/>
        <w:rPr>
          <w:rFonts w:ascii="標楷體" w:eastAsia="標楷體" w:hAnsi="標楷體"/>
          <w:szCs w:val="22"/>
        </w:rPr>
      </w:pPr>
      <w:r w:rsidRPr="00212D57">
        <w:rPr>
          <w:rFonts w:ascii="標楷體" w:eastAsia="標楷體" w:hAnsi="標楷體" w:hint="eastAsia"/>
          <w:b/>
          <w:szCs w:val="22"/>
        </w:rPr>
        <w:t>有作是說：知</w:t>
      </w:r>
      <w:r w:rsidR="00774F73">
        <w:rPr>
          <w:rFonts w:ascii="標楷體" w:eastAsia="標楷體" w:hAnsi="標楷體" w:hint="eastAsia"/>
          <w:b/>
          <w:color w:val="FF0000"/>
          <w:szCs w:val="22"/>
          <w:highlight w:val="yellow"/>
        </w:rPr>
        <w:t>「</w:t>
      </w:r>
      <w:r w:rsidRPr="00212D57">
        <w:rPr>
          <w:rFonts w:ascii="標楷體" w:eastAsia="標楷體" w:hAnsi="標楷體" w:hint="eastAsia"/>
          <w:b/>
          <w:szCs w:val="22"/>
        </w:rPr>
        <w:t>集</w:t>
      </w:r>
      <w:r w:rsidR="00774F73">
        <w:rPr>
          <w:rFonts w:ascii="標楷體" w:eastAsia="標楷體" w:hAnsi="標楷體" w:hint="eastAsia"/>
          <w:b/>
          <w:color w:val="FF0000"/>
          <w:szCs w:val="22"/>
          <w:highlight w:val="yellow"/>
        </w:rPr>
        <w:t>」</w:t>
      </w:r>
      <w:r w:rsidRPr="00212D57">
        <w:rPr>
          <w:rFonts w:ascii="標楷體" w:eastAsia="標楷體" w:hAnsi="標楷體" w:hint="eastAsia"/>
          <w:b/>
          <w:szCs w:val="22"/>
        </w:rPr>
        <w:t>智</w:t>
      </w:r>
      <w:r w:rsidRPr="00212D57">
        <w:rPr>
          <w:rFonts w:ascii="標楷體" w:eastAsia="標楷體" w:hAnsi="標楷體" w:hint="eastAsia"/>
          <w:szCs w:val="22"/>
        </w:rPr>
        <w:t>是</w:t>
      </w:r>
      <w:r w:rsidR="00774F73">
        <w:rPr>
          <w:rFonts w:ascii="標楷體" w:eastAsia="標楷體" w:hAnsi="標楷體" w:hint="eastAsia"/>
          <w:color w:val="FF0000"/>
          <w:szCs w:val="22"/>
          <w:highlight w:val="yellow"/>
        </w:rPr>
        <w:t>「</w:t>
      </w:r>
      <w:r w:rsidR="00774F73" w:rsidRPr="00212D57">
        <w:rPr>
          <w:rFonts w:ascii="標楷體" w:eastAsia="標楷體" w:hAnsi="標楷體" w:hint="eastAsia"/>
          <w:szCs w:val="22"/>
        </w:rPr>
        <w:t>法住智</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w:t>
      </w:r>
      <w:r w:rsidRPr="00212D57">
        <w:rPr>
          <w:rFonts w:ascii="標楷體" w:eastAsia="標楷體" w:hAnsi="標楷體" w:hint="eastAsia"/>
          <w:b/>
          <w:szCs w:val="22"/>
        </w:rPr>
        <w:t>知</w:t>
      </w:r>
      <w:r w:rsidR="00774F73">
        <w:rPr>
          <w:rFonts w:ascii="標楷體" w:eastAsia="標楷體" w:hAnsi="標楷體" w:hint="eastAsia"/>
          <w:b/>
          <w:color w:val="FF0000"/>
          <w:szCs w:val="22"/>
          <w:highlight w:val="yellow"/>
        </w:rPr>
        <w:t>「</w:t>
      </w:r>
      <w:r w:rsidRPr="00212D57">
        <w:rPr>
          <w:rFonts w:ascii="標楷體" w:eastAsia="標楷體" w:hAnsi="標楷體" w:hint="eastAsia"/>
          <w:b/>
          <w:szCs w:val="22"/>
        </w:rPr>
        <w:t>滅</w:t>
      </w:r>
      <w:r w:rsidR="00774F73">
        <w:rPr>
          <w:rFonts w:ascii="標楷體" w:eastAsia="標楷體" w:hAnsi="標楷體" w:hint="eastAsia"/>
          <w:b/>
          <w:color w:val="FF0000"/>
          <w:szCs w:val="22"/>
          <w:highlight w:val="yellow"/>
        </w:rPr>
        <w:t>」</w:t>
      </w:r>
      <w:r w:rsidRPr="00212D57">
        <w:rPr>
          <w:rFonts w:ascii="標楷體" w:eastAsia="標楷體" w:hAnsi="標楷體" w:hint="eastAsia"/>
          <w:b/>
          <w:szCs w:val="22"/>
        </w:rPr>
        <w:t>智</w:t>
      </w:r>
      <w:r w:rsidRPr="00212D57">
        <w:rPr>
          <w:rFonts w:ascii="標楷體" w:eastAsia="標楷體" w:hAnsi="標楷體" w:hint="eastAsia"/>
          <w:szCs w:val="22"/>
        </w:rPr>
        <w:t>是</w:t>
      </w:r>
      <w:r w:rsidR="00774F73">
        <w:rPr>
          <w:rFonts w:ascii="標楷體" w:eastAsia="標楷體" w:hAnsi="標楷體" w:hint="eastAsia"/>
          <w:color w:val="FF0000"/>
          <w:szCs w:val="22"/>
          <w:highlight w:val="yellow"/>
        </w:rPr>
        <w:t>「</w:t>
      </w:r>
      <w:r w:rsidR="00774F73" w:rsidRPr="00212D57">
        <w:rPr>
          <w:rFonts w:ascii="標楷體" w:eastAsia="標楷體" w:hAnsi="標楷體" w:hint="eastAsia"/>
          <w:szCs w:val="22"/>
        </w:rPr>
        <w:t>涅槃智</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w:t>
      </w:r>
    </w:p>
    <w:p w:rsidR="00774F73" w:rsidRDefault="00157EF6" w:rsidP="00774F73">
      <w:pPr>
        <w:pStyle w:val="a5"/>
        <w:ind w:leftChars="335" w:left="804"/>
        <w:jc w:val="both"/>
        <w:rPr>
          <w:rFonts w:ascii="標楷體" w:eastAsia="標楷體" w:hAnsi="標楷體"/>
          <w:szCs w:val="22"/>
        </w:rPr>
      </w:pPr>
      <w:r w:rsidRPr="00212D57">
        <w:rPr>
          <w:rFonts w:ascii="標楷體" w:eastAsia="標楷體" w:hAnsi="標楷體" w:hint="eastAsia"/>
          <w:b/>
          <w:szCs w:val="22"/>
        </w:rPr>
        <w:t>有餘復說：知</w:t>
      </w:r>
      <w:r w:rsidR="00774F73">
        <w:rPr>
          <w:rFonts w:ascii="標楷體" w:eastAsia="標楷體" w:hAnsi="標楷體" w:hint="eastAsia"/>
          <w:b/>
          <w:color w:val="FF0000"/>
          <w:szCs w:val="22"/>
          <w:highlight w:val="yellow"/>
        </w:rPr>
        <w:t>「</w:t>
      </w:r>
      <w:r w:rsidRPr="00212D57">
        <w:rPr>
          <w:rFonts w:ascii="標楷體" w:eastAsia="標楷體" w:hAnsi="標楷體" w:hint="eastAsia"/>
          <w:b/>
          <w:szCs w:val="22"/>
        </w:rPr>
        <w:t>苦、集</w:t>
      </w:r>
      <w:r w:rsidR="00774F73">
        <w:rPr>
          <w:rFonts w:ascii="標楷體" w:eastAsia="標楷體" w:hAnsi="標楷體" w:hint="eastAsia"/>
          <w:b/>
          <w:color w:val="FF0000"/>
          <w:szCs w:val="22"/>
          <w:highlight w:val="yellow"/>
        </w:rPr>
        <w:t>」</w:t>
      </w:r>
      <w:r w:rsidRPr="00212D57">
        <w:rPr>
          <w:rFonts w:ascii="標楷體" w:eastAsia="標楷體" w:hAnsi="標楷體" w:hint="eastAsia"/>
          <w:b/>
          <w:szCs w:val="22"/>
        </w:rPr>
        <w:t>智</w:t>
      </w:r>
      <w:r w:rsidRPr="00212D57">
        <w:rPr>
          <w:rFonts w:ascii="標楷體" w:eastAsia="標楷體" w:hAnsi="標楷體" w:hint="eastAsia"/>
          <w:szCs w:val="22"/>
        </w:rPr>
        <w:t>是</w:t>
      </w:r>
      <w:r w:rsidR="00774F73">
        <w:rPr>
          <w:rFonts w:ascii="標楷體" w:eastAsia="標楷體" w:hAnsi="標楷體" w:hint="eastAsia"/>
          <w:color w:val="FF0000"/>
          <w:szCs w:val="22"/>
          <w:highlight w:val="yellow"/>
        </w:rPr>
        <w:t>「</w:t>
      </w:r>
      <w:r w:rsidR="00774F73" w:rsidRPr="00212D57">
        <w:rPr>
          <w:rFonts w:ascii="標楷體" w:eastAsia="標楷體" w:hAnsi="標楷體" w:hint="eastAsia"/>
          <w:szCs w:val="22"/>
        </w:rPr>
        <w:t>法住智</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w:t>
      </w:r>
      <w:r w:rsidRPr="00212D57">
        <w:rPr>
          <w:rFonts w:ascii="標楷體" w:eastAsia="標楷體" w:hAnsi="標楷體" w:hint="eastAsia"/>
          <w:b/>
          <w:szCs w:val="22"/>
        </w:rPr>
        <w:t>知</w:t>
      </w:r>
      <w:r w:rsidR="00774F73">
        <w:rPr>
          <w:rFonts w:ascii="標楷體" w:eastAsia="標楷體" w:hAnsi="標楷體" w:hint="eastAsia"/>
          <w:b/>
          <w:color w:val="FF0000"/>
          <w:szCs w:val="22"/>
          <w:highlight w:val="yellow"/>
        </w:rPr>
        <w:t>「</w:t>
      </w:r>
      <w:r w:rsidRPr="00212D57">
        <w:rPr>
          <w:rFonts w:ascii="標楷體" w:eastAsia="標楷體" w:hAnsi="標楷體" w:hint="eastAsia"/>
          <w:b/>
          <w:szCs w:val="22"/>
        </w:rPr>
        <w:t>滅、道</w:t>
      </w:r>
      <w:r w:rsidR="00774F73">
        <w:rPr>
          <w:rFonts w:ascii="標楷體" w:eastAsia="標楷體" w:hAnsi="標楷體" w:hint="eastAsia"/>
          <w:b/>
          <w:color w:val="FF0000"/>
          <w:szCs w:val="22"/>
          <w:highlight w:val="yellow"/>
        </w:rPr>
        <w:t>」</w:t>
      </w:r>
      <w:r w:rsidRPr="00212D57">
        <w:rPr>
          <w:rFonts w:ascii="標楷體" w:eastAsia="標楷體" w:hAnsi="標楷體" w:hint="eastAsia"/>
          <w:b/>
          <w:szCs w:val="22"/>
        </w:rPr>
        <w:t>智</w:t>
      </w:r>
      <w:r w:rsidRPr="00212D57">
        <w:rPr>
          <w:rFonts w:ascii="標楷體" w:eastAsia="標楷體" w:hAnsi="標楷體" w:hint="eastAsia"/>
          <w:szCs w:val="22"/>
        </w:rPr>
        <w:t>是</w:t>
      </w:r>
      <w:r w:rsidR="00774F73">
        <w:rPr>
          <w:rFonts w:ascii="標楷體" w:eastAsia="標楷體" w:hAnsi="標楷體" w:hint="eastAsia"/>
          <w:color w:val="FF0000"/>
          <w:szCs w:val="22"/>
          <w:highlight w:val="yellow"/>
        </w:rPr>
        <w:t>「</w:t>
      </w:r>
      <w:r w:rsidR="00774F73" w:rsidRPr="00212D57">
        <w:rPr>
          <w:rFonts w:ascii="標楷體" w:eastAsia="標楷體" w:hAnsi="標楷體" w:hint="eastAsia"/>
          <w:szCs w:val="22"/>
        </w:rPr>
        <w:t>涅槃智</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w:t>
      </w:r>
    </w:p>
    <w:p w:rsidR="00157EF6" w:rsidRPr="00212D57" w:rsidRDefault="00157EF6" w:rsidP="00774F73">
      <w:pPr>
        <w:pStyle w:val="a5"/>
        <w:ind w:leftChars="335" w:left="804"/>
        <w:jc w:val="both"/>
        <w:rPr>
          <w:rFonts w:ascii="標楷體" w:eastAsia="標楷體" w:hAnsi="標楷體"/>
          <w:szCs w:val="22"/>
        </w:rPr>
      </w:pPr>
      <w:r w:rsidRPr="00774F73">
        <w:rPr>
          <w:rFonts w:ascii="標楷體" w:eastAsia="標楷體" w:hAnsi="標楷體" w:hint="eastAsia"/>
          <w:b/>
          <w:szCs w:val="22"/>
          <w:highlight w:val="yellow"/>
        </w:rPr>
        <w:t>或</w:t>
      </w:r>
      <w:r w:rsidRPr="00212D57">
        <w:rPr>
          <w:rFonts w:ascii="標楷體" w:eastAsia="標楷體" w:hAnsi="標楷體" w:hint="eastAsia"/>
          <w:b/>
          <w:szCs w:val="22"/>
        </w:rPr>
        <w:t>有說者</w:t>
      </w:r>
      <w:r w:rsidR="00774F73">
        <w:rPr>
          <w:rFonts w:ascii="標楷體" w:eastAsia="標楷體" w:hAnsi="標楷體" w:hint="eastAsia"/>
          <w:b/>
          <w:color w:val="FF0000"/>
          <w:szCs w:val="22"/>
          <w:highlight w:val="yellow"/>
        </w:rPr>
        <w:t>：</w:t>
      </w:r>
      <w:r w:rsidRPr="00212D57">
        <w:rPr>
          <w:rFonts w:ascii="標楷體" w:eastAsia="標楷體" w:hAnsi="標楷體" w:hint="eastAsia"/>
          <w:b/>
          <w:szCs w:val="22"/>
        </w:rPr>
        <w:t>知</w:t>
      </w:r>
      <w:r w:rsidR="00774F73" w:rsidRPr="00774F73">
        <w:rPr>
          <w:rFonts w:ascii="標楷體" w:eastAsia="標楷體" w:hAnsi="標楷體" w:hint="eastAsia"/>
          <w:b/>
          <w:color w:val="FF0000"/>
          <w:szCs w:val="22"/>
          <w:highlight w:val="yellow"/>
        </w:rPr>
        <w:t>「</w:t>
      </w:r>
      <w:r w:rsidRPr="00212D57">
        <w:rPr>
          <w:rFonts w:ascii="標楷體" w:eastAsia="標楷體" w:hAnsi="標楷體" w:hint="eastAsia"/>
          <w:b/>
          <w:szCs w:val="22"/>
        </w:rPr>
        <w:t>苦、集、道</w:t>
      </w:r>
      <w:r w:rsidR="00774F73" w:rsidRPr="00774F73">
        <w:rPr>
          <w:rFonts w:ascii="標楷體" w:eastAsia="標楷體" w:hAnsi="標楷體" w:hint="eastAsia"/>
          <w:b/>
          <w:color w:val="FF0000"/>
          <w:szCs w:val="22"/>
          <w:highlight w:val="yellow"/>
        </w:rPr>
        <w:t>」</w:t>
      </w:r>
      <w:r w:rsidRPr="00212D57">
        <w:rPr>
          <w:rFonts w:ascii="標楷體" w:eastAsia="標楷體" w:hAnsi="標楷體" w:hint="eastAsia"/>
          <w:b/>
          <w:szCs w:val="22"/>
        </w:rPr>
        <w:t>智</w:t>
      </w:r>
      <w:r w:rsidRPr="00212D57">
        <w:rPr>
          <w:rFonts w:ascii="標楷體" w:eastAsia="標楷體" w:hAnsi="標楷體" w:hint="eastAsia"/>
          <w:szCs w:val="22"/>
        </w:rPr>
        <w:t>是</w:t>
      </w:r>
      <w:r w:rsidR="00774F73">
        <w:rPr>
          <w:rFonts w:ascii="標楷體" w:eastAsia="標楷體" w:hAnsi="標楷體" w:hint="eastAsia"/>
          <w:color w:val="FF0000"/>
          <w:szCs w:val="22"/>
          <w:highlight w:val="yellow"/>
        </w:rPr>
        <w:t>「</w:t>
      </w:r>
      <w:r w:rsidR="00774F73" w:rsidRPr="00212D57">
        <w:rPr>
          <w:rFonts w:ascii="標楷體" w:eastAsia="標楷體" w:hAnsi="標楷體" w:hint="eastAsia"/>
          <w:szCs w:val="22"/>
        </w:rPr>
        <w:t>法住智</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w:t>
      </w:r>
      <w:r w:rsidRPr="00212D57">
        <w:rPr>
          <w:rFonts w:ascii="標楷體" w:eastAsia="標楷體" w:hAnsi="標楷體" w:hint="eastAsia"/>
          <w:b/>
          <w:szCs w:val="22"/>
        </w:rPr>
        <w:t>知</w:t>
      </w:r>
      <w:r w:rsidR="00774F73">
        <w:rPr>
          <w:rFonts w:ascii="標楷體" w:eastAsia="標楷體" w:hAnsi="標楷體" w:hint="eastAsia"/>
          <w:b/>
          <w:color w:val="FF0000"/>
          <w:szCs w:val="22"/>
          <w:highlight w:val="yellow"/>
        </w:rPr>
        <w:t>「</w:t>
      </w:r>
      <w:r w:rsidRPr="00212D57">
        <w:rPr>
          <w:rFonts w:ascii="標楷體" w:eastAsia="標楷體" w:hAnsi="標楷體" w:hint="eastAsia"/>
          <w:b/>
          <w:szCs w:val="22"/>
        </w:rPr>
        <w:t>滅</w:t>
      </w:r>
      <w:r w:rsidR="00774F73">
        <w:rPr>
          <w:rFonts w:ascii="標楷體" w:eastAsia="標楷體" w:hAnsi="標楷體" w:hint="eastAsia"/>
          <w:b/>
          <w:color w:val="FF0000"/>
          <w:szCs w:val="22"/>
          <w:highlight w:val="yellow"/>
        </w:rPr>
        <w:t>」</w:t>
      </w:r>
      <w:r w:rsidRPr="00212D57">
        <w:rPr>
          <w:rFonts w:ascii="標楷體" w:eastAsia="標楷體" w:hAnsi="標楷體" w:hint="eastAsia"/>
          <w:b/>
          <w:szCs w:val="22"/>
        </w:rPr>
        <w:t>智</w:t>
      </w:r>
      <w:r w:rsidRPr="00212D57">
        <w:rPr>
          <w:rFonts w:ascii="標楷體" w:eastAsia="標楷體" w:hAnsi="標楷體" w:hint="eastAsia"/>
          <w:szCs w:val="22"/>
        </w:rPr>
        <w:t>是</w:t>
      </w:r>
      <w:r w:rsidR="00774F73">
        <w:rPr>
          <w:rFonts w:ascii="標楷體" w:eastAsia="標楷體" w:hAnsi="標楷體" w:hint="eastAsia"/>
          <w:color w:val="FF0000"/>
          <w:szCs w:val="22"/>
          <w:highlight w:val="yellow"/>
        </w:rPr>
        <w:t>「</w:t>
      </w:r>
      <w:r w:rsidR="00774F73" w:rsidRPr="00212D57">
        <w:rPr>
          <w:rFonts w:ascii="標楷體" w:eastAsia="標楷體" w:hAnsi="標楷體" w:hint="eastAsia"/>
          <w:szCs w:val="22"/>
        </w:rPr>
        <w:t>涅槃智</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w:t>
      </w:r>
      <w:r w:rsidRPr="00C445A6">
        <w:rPr>
          <w:rFonts w:ascii="標楷體" w:eastAsia="標楷體" w:hAnsi="標楷體" w:hint="eastAsia"/>
          <w:szCs w:val="22"/>
          <w:shd w:val="pct15" w:color="auto" w:fill="FFFFFF"/>
        </w:rPr>
        <w:t>……</w:t>
      </w:r>
    </w:p>
    <w:p w:rsidR="00157EF6" w:rsidRPr="00212D57" w:rsidRDefault="00157EF6" w:rsidP="002B682F">
      <w:pPr>
        <w:pStyle w:val="a5"/>
        <w:ind w:leftChars="335" w:left="804"/>
        <w:jc w:val="both"/>
        <w:rPr>
          <w:rFonts w:ascii="標楷體" w:eastAsia="標楷體" w:hAnsi="標楷體"/>
          <w:szCs w:val="22"/>
        </w:rPr>
      </w:pPr>
      <w:r w:rsidRPr="00212D57">
        <w:rPr>
          <w:rFonts w:ascii="標楷體" w:eastAsia="標楷體" w:hAnsi="標楷體" w:hint="eastAsia"/>
          <w:b/>
          <w:szCs w:val="22"/>
        </w:rPr>
        <w:t>復有說者：知</w:t>
      </w:r>
      <w:r w:rsidR="00A31B0F" w:rsidRPr="00A31B0F">
        <w:rPr>
          <w:rFonts w:ascii="標楷體" w:eastAsia="標楷體" w:hAnsi="標楷體" w:hint="eastAsia"/>
          <w:b/>
          <w:bCs/>
          <w:color w:val="FF0000"/>
          <w:kern w:val="0"/>
          <w:highlight w:val="yellow"/>
        </w:rPr>
        <w:t>「</w:t>
      </w:r>
      <w:r w:rsidRPr="00A31B0F">
        <w:rPr>
          <w:rFonts w:ascii="標楷體" w:eastAsia="標楷體" w:hAnsi="標楷體" w:hint="eastAsia"/>
          <w:b/>
          <w:szCs w:val="22"/>
        </w:rPr>
        <w:t>流轉</w:t>
      </w:r>
      <w:r w:rsidR="00A31B0F" w:rsidRPr="00A31B0F">
        <w:rPr>
          <w:rFonts w:ascii="標楷體" w:eastAsia="標楷體" w:hAnsi="標楷體" w:hint="eastAsia"/>
          <w:b/>
          <w:bCs/>
          <w:color w:val="FF0000"/>
          <w:kern w:val="0"/>
          <w:highlight w:val="yellow"/>
        </w:rPr>
        <w:t>」</w:t>
      </w:r>
      <w:r w:rsidRPr="00A31B0F">
        <w:rPr>
          <w:rFonts w:ascii="標楷體" w:eastAsia="標楷體" w:hAnsi="標楷體" w:hint="eastAsia"/>
          <w:b/>
          <w:szCs w:val="22"/>
        </w:rPr>
        <w:t>智</w:t>
      </w:r>
      <w:r w:rsidRPr="00212D57">
        <w:rPr>
          <w:rFonts w:ascii="標楷體" w:eastAsia="標楷體" w:hAnsi="標楷體" w:hint="eastAsia"/>
          <w:szCs w:val="22"/>
        </w:rPr>
        <w:t>是</w:t>
      </w:r>
      <w:r w:rsidR="00774F73">
        <w:rPr>
          <w:rFonts w:ascii="標楷體" w:eastAsia="標楷體" w:hAnsi="標楷體" w:hint="eastAsia"/>
          <w:color w:val="FF0000"/>
          <w:szCs w:val="22"/>
          <w:highlight w:val="yellow"/>
        </w:rPr>
        <w:t>「</w:t>
      </w:r>
      <w:r w:rsidR="00774F73" w:rsidRPr="00212D57">
        <w:rPr>
          <w:rFonts w:ascii="標楷體" w:eastAsia="標楷體" w:hAnsi="標楷體" w:hint="eastAsia"/>
          <w:szCs w:val="22"/>
        </w:rPr>
        <w:t>法住智</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w:t>
      </w:r>
      <w:r w:rsidRPr="00212D57">
        <w:rPr>
          <w:rFonts w:ascii="標楷體" w:eastAsia="標楷體" w:hAnsi="標楷體" w:hint="eastAsia"/>
          <w:b/>
          <w:szCs w:val="22"/>
        </w:rPr>
        <w:t>知</w:t>
      </w:r>
      <w:r w:rsidR="00A31B0F" w:rsidRPr="00A31B0F">
        <w:rPr>
          <w:rFonts w:ascii="標楷體" w:eastAsia="標楷體" w:hAnsi="標楷體" w:hint="eastAsia"/>
          <w:b/>
          <w:bCs/>
          <w:color w:val="FF0000"/>
          <w:kern w:val="0"/>
          <w:highlight w:val="yellow"/>
        </w:rPr>
        <w:t>「</w:t>
      </w:r>
      <w:r w:rsidRPr="00A31B0F">
        <w:rPr>
          <w:rFonts w:ascii="標楷體" w:eastAsia="標楷體" w:hAnsi="標楷體" w:hint="eastAsia"/>
          <w:b/>
          <w:szCs w:val="22"/>
        </w:rPr>
        <w:t>還滅</w:t>
      </w:r>
      <w:r w:rsidR="00A31B0F" w:rsidRPr="00A31B0F">
        <w:rPr>
          <w:rFonts w:ascii="標楷體" w:eastAsia="標楷體" w:hAnsi="標楷體" w:hint="eastAsia"/>
          <w:b/>
          <w:bCs/>
          <w:color w:val="FF0000"/>
          <w:kern w:val="0"/>
          <w:highlight w:val="yellow"/>
        </w:rPr>
        <w:t>」</w:t>
      </w:r>
      <w:r w:rsidRPr="00212D57">
        <w:rPr>
          <w:rFonts w:ascii="標楷體" w:eastAsia="標楷體" w:hAnsi="標楷體" w:hint="eastAsia"/>
          <w:b/>
          <w:szCs w:val="22"/>
        </w:rPr>
        <w:t>智</w:t>
      </w:r>
      <w:r w:rsidRPr="00212D57">
        <w:rPr>
          <w:rFonts w:ascii="標楷體" w:eastAsia="標楷體" w:hAnsi="標楷體" w:hint="eastAsia"/>
          <w:szCs w:val="22"/>
        </w:rPr>
        <w:t>是</w:t>
      </w:r>
      <w:r w:rsidR="00774F73">
        <w:rPr>
          <w:rFonts w:ascii="標楷體" w:eastAsia="標楷體" w:hAnsi="標楷體" w:hint="eastAsia"/>
          <w:color w:val="FF0000"/>
          <w:szCs w:val="22"/>
          <w:highlight w:val="yellow"/>
        </w:rPr>
        <w:t>「</w:t>
      </w:r>
      <w:r w:rsidR="00774F73" w:rsidRPr="00212D57">
        <w:rPr>
          <w:rFonts w:ascii="標楷體" w:eastAsia="標楷體" w:hAnsi="標楷體" w:hint="eastAsia"/>
          <w:szCs w:val="22"/>
        </w:rPr>
        <w:t>涅槃智</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w:t>
      </w:r>
    </w:p>
    <w:p w:rsidR="00157EF6" w:rsidRPr="00212D57" w:rsidRDefault="00157EF6" w:rsidP="00084C06">
      <w:pPr>
        <w:pStyle w:val="a5"/>
        <w:ind w:leftChars="795" w:left="1908"/>
        <w:jc w:val="both"/>
        <w:rPr>
          <w:rFonts w:ascii="標楷體" w:eastAsia="標楷體" w:hAnsi="標楷體"/>
          <w:szCs w:val="22"/>
        </w:rPr>
      </w:pPr>
      <w:r w:rsidRPr="00212D57">
        <w:rPr>
          <w:rFonts w:ascii="標楷體" w:eastAsia="標楷體" w:hAnsi="標楷體" w:hint="eastAsia"/>
          <w:szCs w:val="22"/>
        </w:rPr>
        <w:t>復次，</w:t>
      </w:r>
      <w:r w:rsidRPr="00212D57">
        <w:rPr>
          <w:rFonts w:ascii="標楷體" w:eastAsia="標楷體" w:hAnsi="標楷體" w:hint="eastAsia"/>
          <w:b/>
          <w:szCs w:val="22"/>
        </w:rPr>
        <w:t>知</w:t>
      </w:r>
      <w:r w:rsidR="00A31B0F" w:rsidRPr="00A31B0F">
        <w:rPr>
          <w:rFonts w:ascii="標楷體" w:eastAsia="標楷體" w:hAnsi="標楷體" w:hint="eastAsia"/>
          <w:b/>
          <w:bCs/>
          <w:color w:val="FF0000"/>
          <w:kern w:val="0"/>
          <w:highlight w:val="yellow"/>
        </w:rPr>
        <w:t>「</w:t>
      </w:r>
      <w:r w:rsidRPr="00212D57">
        <w:rPr>
          <w:rFonts w:ascii="標楷體" w:eastAsia="標楷體" w:hAnsi="標楷體" w:hint="eastAsia"/>
          <w:b/>
          <w:szCs w:val="22"/>
        </w:rPr>
        <w:t>緣起</w:t>
      </w:r>
      <w:r w:rsidR="00A31B0F" w:rsidRPr="00A31B0F">
        <w:rPr>
          <w:rFonts w:ascii="標楷體" w:eastAsia="標楷體" w:hAnsi="標楷體" w:hint="eastAsia"/>
          <w:b/>
          <w:bCs/>
          <w:color w:val="FF0000"/>
          <w:kern w:val="0"/>
          <w:highlight w:val="yellow"/>
        </w:rPr>
        <w:t>」</w:t>
      </w:r>
      <w:r w:rsidRPr="00212D57">
        <w:rPr>
          <w:rFonts w:ascii="標楷體" w:eastAsia="標楷體" w:hAnsi="標楷體" w:hint="eastAsia"/>
          <w:b/>
          <w:szCs w:val="22"/>
        </w:rPr>
        <w:t>智</w:t>
      </w:r>
      <w:r w:rsidRPr="00212D57">
        <w:rPr>
          <w:rFonts w:ascii="標楷體" w:eastAsia="標楷體" w:hAnsi="標楷體" w:hint="eastAsia"/>
          <w:szCs w:val="22"/>
        </w:rPr>
        <w:t>是</w:t>
      </w:r>
      <w:r w:rsidR="00774F73">
        <w:rPr>
          <w:rFonts w:ascii="標楷體" w:eastAsia="標楷體" w:hAnsi="標楷體" w:hint="eastAsia"/>
          <w:color w:val="FF0000"/>
          <w:szCs w:val="22"/>
          <w:highlight w:val="yellow"/>
        </w:rPr>
        <w:t>「</w:t>
      </w:r>
      <w:r w:rsidR="00774F73" w:rsidRPr="00212D57">
        <w:rPr>
          <w:rFonts w:ascii="標楷體" w:eastAsia="標楷體" w:hAnsi="標楷體" w:hint="eastAsia"/>
          <w:szCs w:val="22"/>
        </w:rPr>
        <w:t>法住智</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w:t>
      </w:r>
      <w:r w:rsidRPr="00212D57">
        <w:rPr>
          <w:rFonts w:ascii="標楷體" w:eastAsia="標楷體" w:hAnsi="標楷體" w:hint="eastAsia"/>
          <w:b/>
          <w:szCs w:val="22"/>
        </w:rPr>
        <w:t>知</w:t>
      </w:r>
      <w:r w:rsidR="00A31B0F" w:rsidRPr="00A31B0F">
        <w:rPr>
          <w:rFonts w:ascii="標楷體" w:eastAsia="標楷體" w:hAnsi="標楷體" w:hint="eastAsia"/>
          <w:b/>
          <w:bCs/>
          <w:color w:val="FF0000"/>
          <w:kern w:val="0"/>
          <w:highlight w:val="yellow"/>
        </w:rPr>
        <w:t>「</w:t>
      </w:r>
      <w:r w:rsidRPr="00212D57">
        <w:rPr>
          <w:rFonts w:ascii="標楷體" w:eastAsia="標楷體" w:hAnsi="標楷體" w:hint="eastAsia"/>
          <w:b/>
          <w:szCs w:val="22"/>
        </w:rPr>
        <w:t>緣起滅</w:t>
      </w:r>
      <w:r w:rsidR="00A31B0F" w:rsidRPr="00A31B0F">
        <w:rPr>
          <w:rFonts w:ascii="標楷體" w:eastAsia="標楷體" w:hAnsi="標楷體" w:hint="eastAsia"/>
          <w:b/>
          <w:bCs/>
          <w:color w:val="FF0000"/>
          <w:kern w:val="0"/>
          <w:highlight w:val="yellow"/>
        </w:rPr>
        <w:t>」</w:t>
      </w:r>
      <w:r w:rsidRPr="00212D57">
        <w:rPr>
          <w:rFonts w:ascii="標楷體" w:eastAsia="標楷體" w:hAnsi="標楷體" w:hint="eastAsia"/>
          <w:b/>
          <w:szCs w:val="22"/>
        </w:rPr>
        <w:t>智</w:t>
      </w:r>
      <w:r w:rsidRPr="00212D57">
        <w:rPr>
          <w:rFonts w:ascii="標楷體" w:eastAsia="標楷體" w:hAnsi="標楷體" w:hint="eastAsia"/>
          <w:szCs w:val="22"/>
        </w:rPr>
        <w:t>是</w:t>
      </w:r>
      <w:r w:rsidR="00774F73">
        <w:rPr>
          <w:rFonts w:ascii="標楷體" w:eastAsia="標楷體" w:hAnsi="標楷體" w:hint="eastAsia"/>
          <w:color w:val="FF0000"/>
          <w:szCs w:val="22"/>
          <w:highlight w:val="yellow"/>
        </w:rPr>
        <w:t>「</w:t>
      </w:r>
      <w:r w:rsidR="00774F73" w:rsidRPr="00212D57">
        <w:rPr>
          <w:rFonts w:ascii="標楷體" w:eastAsia="標楷體" w:hAnsi="標楷體" w:hint="eastAsia"/>
          <w:szCs w:val="22"/>
        </w:rPr>
        <w:t>涅槃智</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w:t>
      </w:r>
    </w:p>
    <w:p w:rsidR="00157EF6" w:rsidRPr="00212D57" w:rsidRDefault="00157EF6" w:rsidP="00084C06">
      <w:pPr>
        <w:pStyle w:val="a5"/>
        <w:ind w:leftChars="795" w:left="1908"/>
        <w:jc w:val="both"/>
        <w:rPr>
          <w:rFonts w:ascii="標楷體" w:eastAsia="標楷體" w:hAnsi="標楷體"/>
          <w:szCs w:val="22"/>
        </w:rPr>
      </w:pPr>
      <w:r w:rsidRPr="00212D57">
        <w:rPr>
          <w:rFonts w:ascii="標楷體" w:eastAsia="標楷體" w:hAnsi="標楷體" w:hint="eastAsia"/>
          <w:szCs w:val="22"/>
        </w:rPr>
        <w:t>復次，</w:t>
      </w:r>
      <w:r w:rsidRPr="00212D57">
        <w:rPr>
          <w:rFonts w:ascii="標楷體" w:eastAsia="標楷體" w:hAnsi="標楷體" w:hint="eastAsia"/>
          <w:b/>
          <w:szCs w:val="22"/>
        </w:rPr>
        <w:t>知</w:t>
      </w:r>
      <w:r w:rsidR="00A31B0F" w:rsidRPr="00A31B0F">
        <w:rPr>
          <w:rFonts w:ascii="標楷體" w:eastAsia="標楷體" w:hAnsi="標楷體" w:hint="eastAsia"/>
          <w:b/>
          <w:bCs/>
          <w:color w:val="FF0000"/>
          <w:kern w:val="0"/>
          <w:highlight w:val="yellow"/>
        </w:rPr>
        <w:t>「</w:t>
      </w:r>
      <w:r w:rsidRPr="00212D57">
        <w:rPr>
          <w:rFonts w:ascii="標楷體" w:eastAsia="標楷體" w:hAnsi="標楷體" w:hint="eastAsia"/>
          <w:b/>
          <w:szCs w:val="22"/>
        </w:rPr>
        <w:t>生死</w:t>
      </w:r>
      <w:r w:rsidR="00A31B0F" w:rsidRPr="00A31B0F">
        <w:rPr>
          <w:rFonts w:ascii="標楷體" w:eastAsia="標楷體" w:hAnsi="標楷體" w:hint="eastAsia"/>
          <w:b/>
          <w:bCs/>
          <w:color w:val="FF0000"/>
          <w:kern w:val="0"/>
          <w:highlight w:val="yellow"/>
        </w:rPr>
        <w:t>」</w:t>
      </w:r>
      <w:r w:rsidRPr="00212D57">
        <w:rPr>
          <w:rFonts w:ascii="標楷體" w:eastAsia="標楷體" w:hAnsi="標楷體" w:hint="eastAsia"/>
          <w:b/>
          <w:szCs w:val="22"/>
        </w:rPr>
        <w:t>智</w:t>
      </w:r>
      <w:r w:rsidRPr="00212D57">
        <w:rPr>
          <w:rFonts w:ascii="標楷體" w:eastAsia="標楷體" w:hAnsi="標楷體" w:hint="eastAsia"/>
          <w:szCs w:val="22"/>
        </w:rPr>
        <w:t>是</w:t>
      </w:r>
      <w:r w:rsidR="00774F73">
        <w:rPr>
          <w:rFonts w:ascii="標楷體" w:eastAsia="標楷體" w:hAnsi="標楷體" w:hint="eastAsia"/>
          <w:color w:val="FF0000"/>
          <w:szCs w:val="22"/>
          <w:highlight w:val="yellow"/>
        </w:rPr>
        <w:t>「</w:t>
      </w:r>
      <w:r w:rsidR="00774F73" w:rsidRPr="00212D57">
        <w:rPr>
          <w:rFonts w:ascii="標楷體" w:eastAsia="標楷體" w:hAnsi="標楷體" w:hint="eastAsia"/>
          <w:szCs w:val="22"/>
        </w:rPr>
        <w:t>法住智</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w:t>
      </w:r>
      <w:r w:rsidRPr="00212D57">
        <w:rPr>
          <w:rFonts w:ascii="標楷體" w:eastAsia="標楷體" w:hAnsi="標楷體" w:hint="eastAsia"/>
          <w:b/>
          <w:szCs w:val="22"/>
        </w:rPr>
        <w:t>知</w:t>
      </w:r>
      <w:r w:rsidR="00A31B0F" w:rsidRPr="00A31B0F">
        <w:rPr>
          <w:rFonts w:ascii="標楷體" w:eastAsia="標楷體" w:hAnsi="標楷體" w:hint="eastAsia"/>
          <w:b/>
          <w:bCs/>
          <w:color w:val="FF0000"/>
          <w:kern w:val="0"/>
          <w:highlight w:val="yellow"/>
        </w:rPr>
        <w:t>「</w:t>
      </w:r>
      <w:r w:rsidRPr="00212D57">
        <w:rPr>
          <w:rFonts w:ascii="標楷體" w:eastAsia="標楷體" w:hAnsi="標楷體" w:hint="eastAsia"/>
          <w:b/>
          <w:szCs w:val="22"/>
        </w:rPr>
        <w:t>生死滅</w:t>
      </w:r>
      <w:r w:rsidR="00A31B0F" w:rsidRPr="00A31B0F">
        <w:rPr>
          <w:rFonts w:ascii="標楷體" w:eastAsia="標楷體" w:hAnsi="標楷體" w:hint="eastAsia"/>
          <w:b/>
          <w:bCs/>
          <w:color w:val="FF0000"/>
          <w:kern w:val="0"/>
          <w:highlight w:val="yellow"/>
        </w:rPr>
        <w:t>」</w:t>
      </w:r>
      <w:r w:rsidRPr="00212D57">
        <w:rPr>
          <w:rFonts w:ascii="標楷體" w:eastAsia="標楷體" w:hAnsi="標楷體" w:hint="eastAsia"/>
          <w:b/>
          <w:szCs w:val="22"/>
        </w:rPr>
        <w:t>智</w:t>
      </w:r>
      <w:r w:rsidRPr="00212D57">
        <w:rPr>
          <w:rFonts w:ascii="標楷體" w:eastAsia="標楷體" w:hAnsi="標楷體" w:hint="eastAsia"/>
          <w:szCs w:val="22"/>
        </w:rPr>
        <w:t>是</w:t>
      </w:r>
      <w:r w:rsidR="00774F73">
        <w:rPr>
          <w:rFonts w:ascii="標楷體" w:eastAsia="標楷體" w:hAnsi="標楷體" w:hint="eastAsia"/>
          <w:color w:val="FF0000"/>
          <w:szCs w:val="22"/>
          <w:highlight w:val="yellow"/>
        </w:rPr>
        <w:t>「</w:t>
      </w:r>
      <w:r w:rsidR="00774F73" w:rsidRPr="00212D57">
        <w:rPr>
          <w:rFonts w:ascii="標楷體" w:eastAsia="標楷體" w:hAnsi="標楷體" w:hint="eastAsia"/>
          <w:szCs w:val="22"/>
        </w:rPr>
        <w:t>涅槃智</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w:t>
      </w:r>
    </w:p>
    <w:p w:rsidR="00157EF6" w:rsidRPr="00212D57" w:rsidRDefault="00157EF6" w:rsidP="00774F73">
      <w:pPr>
        <w:pStyle w:val="a5"/>
        <w:ind w:leftChars="335" w:left="1927" w:hangingChars="510" w:hanging="1123"/>
        <w:jc w:val="both"/>
        <w:rPr>
          <w:szCs w:val="22"/>
        </w:rPr>
      </w:pPr>
      <w:r w:rsidRPr="00212D57">
        <w:rPr>
          <w:rFonts w:ascii="標楷體" w:eastAsia="標楷體" w:hAnsi="標楷體" w:hint="eastAsia"/>
          <w:b/>
          <w:szCs w:val="22"/>
        </w:rPr>
        <w:t>有餘師說：近分地智</w:t>
      </w:r>
      <w:r w:rsidRPr="00212D57">
        <w:rPr>
          <w:rFonts w:ascii="標楷體" w:eastAsia="標楷體" w:hAnsi="標楷體" w:hint="eastAsia"/>
          <w:szCs w:val="22"/>
        </w:rPr>
        <w:t>是</w:t>
      </w:r>
      <w:r w:rsidR="00774F73">
        <w:rPr>
          <w:rFonts w:ascii="標楷體" w:eastAsia="標楷體" w:hAnsi="標楷體" w:hint="eastAsia"/>
          <w:color w:val="FF0000"/>
          <w:szCs w:val="22"/>
          <w:highlight w:val="yellow"/>
        </w:rPr>
        <w:t>「</w:t>
      </w:r>
      <w:r w:rsidR="00774F73" w:rsidRPr="00212D57">
        <w:rPr>
          <w:rFonts w:ascii="標楷體" w:eastAsia="標楷體" w:hAnsi="標楷體" w:hint="eastAsia"/>
          <w:szCs w:val="22"/>
        </w:rPr>
        <w:t>法住智</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w:t>
      </w:r>
      <w:r w:rsidRPr="00212D57">
        <w:rPr>
          <w:rFonts w:ascii="標楷體" w:eastAsia="標楷體" w:hAnsi="標楷體" w:hint="eastAsia"/>
          <w:b/>
          <w:szCs w:val="22"/>
        </w:rPr>
        <w:t>根本地智</w:t>
      </w:r>
      <w:r w:rsidRPr="00212D57">
        <w:rPr>
          <w:rFonts w:ascii="標楷體" w:eastAsia="標楷體" w:hAnsi="標楷體" w:hint="eastAsia"/>
          <w:szCs w:val="22"/>
        </w:rPr>
        <w:t>是</w:t>
      </w:r>
      <w:r w:rsidR="00774F73">
        <w:rPr>
          <w:rFonts w:ascii="標楷體" w:eastAsia="標楷體" w:hAnsi="標楷體" w:hint="eastAsia"/>
          <w:color w:val="FF0000"/>
          <w:szCs w:val="22"/>
          <w:highlight w:val="yellow"/>
        </w:rPr>
        <w:t>「</w:t>
      </w:r>
      <w:r w:rsidR="00774F73" w:rsidRPr="00212D57">
        <w:rPr>
          <w:rFonts w:ascii="標楷體" w:eastAsia="標楷體" w:hAnsi="標楷體" w:hint="eastAsia"/>
          <w:szCs w:val="22"/>
        </w:rPr>
        <w:t>涅槃智</w:t>
      </w:r>
      <w:r w:rsidR="00774F73">
        <w:rPr>
          <w:rFonts w:ascii="標楷體" w:eastAsia="標楷體" w:hAnsi="標楷體" w:hint="eastAsia"/>
          <w:color w:val="FF0000"/>
          <w:szCs w:val="22"/>
          <w:highlight w:val="yellow"/>
        </w:rPr>
        <w:t>」</w:t>
      </w:r>
      <w:r w:rsidRPr="00212D57">
        <w:rPr>
          <w:rFonts w:ascii="標楷體" w:eastAsia="標楷體" w:hAnsi="標楷體" w:hint="eastAsia"/>
          <w:szCs w:val="22"/>
        </w:rPr>
        <w:t>。</w:t>
      </w:r>
      <w:r w:rsidRPr="00774F73">
        <w:rPr>
          <w:rFonts w:ascii="標楷體" w:eastAsia="標楷體" w:hAnsi="標楷體" w:hint="eastAsia"/>
          <w:szCs w:val="22"/>
          <w:shd w:val="pct15" w:color="auto" w:fill="FFFFFF"/>
        </w:rPr>
        <w:t>……</w:t>
      </w:r>
      <w:r w:rsidRPr="00212D57">
        <w:rPr>
          <w:rFonts w:ascii="標楷體" w:eastAsia="標楷體" w:hAnsi="標楷體" w:hint="eastAsia"/>
          <w:szCs w:val="22"/>
        </w:rPr>
        <w:t>由此</w:t>
      </w:r>
      <w:r w:rsidR="00774F73">
        <w:rPr>
          <w:rFonts w:eastAsia="標楷體" w:hint="eastAsia"/>
          <w:color w:val="FF0000"/>
          <w:szCs w:val="22"/>
          <w:highlight w:val="yellow"/>
        </w:rPr>
        <w:t>，</w:t>
      </w:r>
      <w:r w:rsidRPr="00212D57">
        <w:rPr>
          <w:rFonts w:ascii="標楷體" w:eastAsia="標楷體" w:hAnsi="標楷體" w:hint="eastAsia"/>
          <w:szCs w:val="22"/>
        </w:rPr>
        <w:t>故知</w:t>
      </w:r>
      <w:r w:rsidR="00774F73" w:rsidRPr="00774F73">
        <w:rPr>
          <w:rFonts w:ascii="標楷體" w:eastAsia="標楷體" w:hAnsi="標楷體" w:hint="eastAsia"/>
          <w:color w:val="FF0000"/>
          <w:szCs w:val="22"/>
          <w:highlight w:val="yellow"/>
        </w:rPr>
        <w:t>：</w:t>
      </w:r>
      <w:r w:rsidRPr="00212D57">
        <w:rPr>
          <w:rFonts w:ascii="標楷體" w:eastAsia="標楷體" w:hAnsi="標楷體" w:hint="eastAsia"/>
          <w:b/>
          <w:szCs w:val="22"/>
        </w:rPr>
        <w:t>近分地智是</w:t>
      </w:r>
      <w:r w:rsidR="00774F73">
        <w:rPr>
          <w:rFonts w:ascii="標楷體" w:eastAsia="標楷體" w:hAnsi="標楷體" w:hint="eastAsia"/>
          <w:b/>
          <w:color w:val="FF0000"/>
          <w:szCs w:val="22"/>
          <w:highlight w:val="yellow"/>
        </w:rPr>
        <w:t>「</w:t>
      </w:r>
      <w:r w:rsidRPr="00212D57">
        <w:rPr>
          <w:rFonts w:ascii="標楷體" w:eastAsia="標楷體" w:hAnsi="標楷體" w:hint="eastAsia"/>
          <w:b/>
          <w:szCs w:val="22"/>
        </w:rPr>
        <w:t>法住智</w:t>
      </w:r>
      <w:r w:rsidR="00774F73">
        <w:rPr>
          <w:rFonts w:ascii="標楷體" w:eastAsia="標楷體" w:hAnsi="標楷體" w:hint="eastAsia"/>
          <w:b/>
          <w:color w:val="FF0000"/>
          <w:szCs w:val="22"/>
          <w:highlight w:val="yellow"/>
        </w:rPr>
        <w:t>」</w:t>
      </w:r>
      <w:r w:rsidRPr="00212D57">
        <w:rPr>
          <w:rFonts w:ascii="標楷體" w:eastAsia="標楷體" w:hAnsi="標楷體" w:hint="eastAsia"/>
          <w:b/>
          <w:szCs w:val="22"/>
        </w:rPr>
        <w:t>，根本地智是</w:t>
      </w:r>
      <w:r w:rsidR="00774F73">
        <w:rPr>
          <w:rFonts w:ascii="標楷體" w:eastAsia="標楷體" w:hAnsi="標楷體" w:hint="eastAsia"/>
          <w:b/>
          <w:color w:val="FF0000"/>
          <w:szCs w:val="22"/>
          <w:highlight w:val="yellow"/>
        </w:rPr>
        <w:t>「</w:t>
      </w:r>
      <w:r w:rsidRPr="00212D57">
        <w:rPr>
          <w:rFonts w:ascii="標楷體" w:eastAsia="標楷體" w:hAnsi="標楷體" w:hint="eastAsia"/>
          <w:b/>
          <w:szCs w:val="22"/>
        </w:rPr>
        <w:t>涅槃智</w:t>
      </w:r>
      <w:r w:rsidR="00774F73">
        <w:rPr>
          <w:rFonts w:ascii="標楷體" w:eastAsia="標楷體" w:hAnsi="標楷體" w:hint="eastAsia"/>
          <w:b/>
          <w:color w:val="FF0000"/>
          <w:szCs w:val="22"/>
          <w:highlight w:val="yellow"/>
        </w:rPr>
        <w:t>」</w:t>
      </w:r>
      <w:r w:rsidRPr="00212D57">
        <w:rPr>
          <w:rFonts w:ascii="標楷體" w:eastAsia="標楷體" w:hAnsi="標楷體" w:hint="eastAsia"/>
          <w:b/>
          <w:szCs w:val="22"/>
        </w:rPr>
        <w:t>。</w:t>
      </w:r>
    </w:p>
    <w:p w:rsidR="00157EF6" w:rsidRPr="00212D57" w:rsidRDefault="00157EF6" w:rsidP="002B682F">
      <w:pPr>
        <w:pStyle w:val="a5"/>
        <w:ind w:leftChars="105" w:left="791" w:hangingChars="245" w:hanging="539"/>
        <w:jc w:val="both"/>
        <w:rPr>
          <w:szCs w:val="22"/>
        </w:rPr>
      </w:pPr>
      <w:r w:rsidRPr="00212D57">
        <w:rPr>
          <w:szCs w:val="22"/>
        </w:rPr>
        <w:t>（</w:t>
      </w:r>
      <w:r w:rsidRPr="00761EF3">
        <w:rPr>
          <w:szCs w:val="22"/>
        </w:rPr>
        <w:t>3</w:t>
      </w:r>
      <w:r w:rsidRPr="00212D57">
        <w:rPr>
          <w:szCs w:val="22"/>
        </w:rPr>
        <w:t>）《</w:t>
      </w:r>
      <w:r w:rsidRPr="00212D57">
        <w:rPr>
          <w:rStyle w:val="byline"/>
          <w:rFonts w:hAnsi="新細明體"/>
          <w:color w:val="auto"/>
          <w:sz w:val="22"/>
          <w:szCs w:val="22"/>
        </w:rPr>
        <w:t>瑜伽師</w:t>
      </w:r>
      <w:r w:rsidRPr="00212D57">
        <w:rPr>
          <w:szCs w:val="22"/>
        </w:rPr>
        <w:t>地論》卷</w:t>
      </w:r>
      <w:r w:rsidRPr="00761EF3">
        <w:rPr>
          <w:szCs w:val="22"/>
        </w:rPr>
        <w:t>94</w:t>
      </w:r>
      <w:r w:rsidRPr="00212D57">
        <w:rPr>
          <w:rFonts w:hint="eastAsia"/>
          <w:szCs w:val="22"/>
        </w:rPr>
        <w:t>（</w:t>
      </w:r>
      <w:r w:rsidRPr="00212D57">
        <w:rPr>
          <w:szCs w:val="22"/>
        </w:rPr>
        <w:t>大正</w:t>
      </w:r>
      <w:r w:rsidRPr="00761EF3">
        <w:rPr>
          <w:szCs w:val="22"/>
        </w:rPr>
        <w:t>30</w:t>
      </w:r>
      <w:r w:rsidRPr="00212D57">
        <w:rPr>
          <w:szCs w:val="22"/>
        </w:rPr>
        <w:t>，</w:t>
      </w:r>
      <w:r w:rsidRPr="00761EF3">
        <w:rPr>
          <w:szCs w:val="22"/>
        </w:rPr>
        <w:t>835c19</w:t>
      </w:r>
      <w:r w:rsidRPr="00212D57">
        <w:rPr>
          <w:szCs w:val="22"/>
        </w:rPr>
        <w:t>-</w:t>
      </w:r>
      <w:r w:rsidRPr="00761EF3">
        <w:rPr>
          <w:szCs w:val="22"/>
        </w:rPr>
        <w:t>836a8</w:t>
      </w:r>
      <w:r w:rsidRPr="00212D57">
        <w:rPr>
          <w:rFonts w:hint="eastAsia"/>
          <w:szCs w:val="22"/>
        </w:rPr>
        <w:t>）：</w:t>
      </w:r>
    </w:p>
    <w:p w:rsidR="00157EF6" w:rsidRPr="00212D57" w:rsidRDefault="00157EF6" w:rsidP="002B682F">
      <w:pPr>
        <w:pStyle w:val="a5"/>
        <w:ind w:leftChars="335" w:left="804"/>
        <w:jc w:val="both"/>
        <w:rPr>
          <w:rFonts w:eastAsia="標楷體"/>
          <w:b/>
          <w:szCs w:val="22"/>
        </w:rPr>
      </w:pPr>
      <w:r w:rsidRPr="00212D57">
        <w:rPr>
          <w:rFonts w:eastAsia="標楷體"/>
          <w:szCs w:val="22"/>
        </w:rPr>
        <w:t>復次</w:t>
      </w:r>
      <w:r w:rsidR="00774F73">
        <w:rPr>
          <w:rFonts w:eastAsia="標楷體" w:hint="eastAsia"/>
          <w:color w:val="FF0000"/>
          <w:szCs w:val="22"/>
          <w:highlight w:val="yellow"/>
        </w:rPr>
        <w:t>，</w:t>
      </w:r>
      <w:r w:rsidRPr="00212D57">
        <w:rPr>
          <w:rFonts w:eastAsia="標楷體"/>
          <w:szCs w:val="22"/>
        </w:rPr>
        <w:t>若有苾芻具淨尸羅，住別解脫清淨律儀，增上心學增上力</w:t>
      </w:r>
      <w:r w:rsidRPr="00774F73">
        <w:rPr>
          <w:rFonts w:eastAsia="標楷體"/>
          <w:szCs w:val="22"/>
          <w:highlight w:val="yellow"/>
        </w:rPr>
        <w:t>故得</w:t>
      </w:r>
      <w:r w:rsidRPr="00212D57">
        <w:rPr>
          <w:rFonts w:eastAsia="標楷體"/>
          <w:b/>
          <w:szCs w:val="22"/>
        </w:rPr>
        <w:t>初靜慮近分所攝勝三摩地以為依止，增上慧學增上力</w:t>
      </w:r>
      <w:r w:rsidRPr="00774F73">
        <w:rPr>
          <w:rFonts w:eastAsia="標楷體"/>
          <w:b/>
          <w:szCs w:val="22"/>
          <w:highlight w:val="yellow"/>
        </w:rPr>
        <w:t>故得</w:t>
      </w:r>
      <w:r w:rsidRPr="00212D57">
        <w:rPr>
          <w:rFonts w:eastAsia="標楷體"/>
          <w:b/>
          <w:szCs w:val="22"/>
        </w:rPr>
        <w:t>法住智及涅槃智</w:t>
      </w:r>
      <w:r w:rsidR="00774F73">
        <w:rPr>
          <w:rFonts w:eastAsia="標楷體" w:hint="eastAsia"/>
          <w:b/>
          <w:color w:val="FF0000"/>
          <w:szCs w:val="22"/>
          <w:highlight w:val="yellow"/>
        </w:rPr>
        <w:t>，</w:t>
      </w:r>
      <w:r w:rsidRPr="00212D57">
        <w:rPr>
          <w:rFonts w:eastAsia="標楷體"/>
          <w:szCs w:val="22"/>
        </w:rPr>
        <w:t>用此二智以為依止，先由四種圓</w:t>
      </w:r>
      <w:r w:rsidRPr="00774F73">
        <w:rPr>
          <w:rFonts w:eastAsia="標楷體"/>
          <w:szCs w:val="22"/>
          <w:highlight w:val="yellow"/>
        </w:rPr>
        <w:t>滿遠</w:t>
      </w:r>
      <w:r w:rsidRPr="00212D57">
        <w:rPr>
          <w:rFonts w:eastAsia="標楷體"/>
          <w:szCs w:val="22"/>
        </w:rPr>
        <w:t>離受學轉時，令心解脫一切煩惱，</w:t>
      </w:r>
      <w:r w:rsidRPr="00212D57">
        <w:rPr>
          <w:rFonts w:eastAsia="標楷體"/>
          <w:b/>
          <w:szCs w:val="22"/>
        </w:rPr>
        <w:t>得阿羅漢，成慧解脫。</w:t>
      </w:r>
    </w:p>
    <w:p w:rsidR="00157EF6" w:rsidRPr="00212D57" w:rsidRDefault="00157EF6" w:rsidP="002B682F">
      <w:pPr>
        <w:pStyle w:val="a5"/>
        <w:ind w:leftChars="335" w:left="804"/>
        <w:jc w:val="both"/>
        <w:rPr>
          <w:rFonts w:eastAsia="標楷體"/>
          <w:b/>
          <w:szCs w:val="22"/>
        </w:rPr>
      </w:pPr>
      <w:r w:rsidRPr="00212D57">
        <w:rPr>
          <w:rFonts w:eastAsia="標楷體"/>
          <w:szCs w:val="22"/>
        </w:rPr>
        <w:t>此中</w:t>
      </w:r>
      <w:r w:rsidR="00774F73">
        <w:rPr>
          <w:rFonts w:eastAsia="標楷體" w:hint="eastAsia"/>
          <w:color w:val="FF0000"/>
          <w:szCs w:val="22"/>
          <w:highlight w:val="yellow"/>
        </w:rPr>
        <w:t>，</w:t>
      </w:r>
      <w:r w:rsidRPr="00212D57">
        <w:rPr>
          <w:rFonts w:eastAsia="標楷體"/>
          <w:szCs w:val="22"/>
        </w:rPr>
        <w:t>云何名</w:t>
      </w:r>
      <w:r w:rsidR="00774F73">
        <w:rPr>
          <w:rFonts w:ascii="標楷體" w:eastAsia="標楷體" w:hAnsi="標楷體" w:hint="eastAsia"/>
          <w:b/>
          <w:color w:val="FF0000"/>
          <w:szCs w:val="22"/>
          <w:highlight w:val="yellow"/>
        </w:rPr>
        <w:t>「</w:t>
      </w:r>
      <w:r w:rsidRPr="00212D57">
        <w:rPr>
          <w:rFonts w:eastAsia="標楷體"/>
          <w:b/>
          <w:szCs w:val="22"/>
        </w:rPr>
        <w:t>法住智</w:t>
      </w:r>
      <w:r w:rsidR="00774F73">
        <w:rPr>
          <w:rFonts w:ascii="標楷體" w:eastAsia="標楷體" w:hAnsi="標楷體" w:hint="eastAsia"/>
          <w:b/>
          <w:color w:val="FF0000"/>
          <w:szCs w:val="22"/>
          <w:highlight w:val="yellow"/>
        </w:rPr>
        <w:t>」</w:t>
      </w:r>
      <w:r w:rsidRPr="00212D57">
        <w:rPr>
          <w:rFonts w:eastAsia="標楷體"/>
          <w:szCs w:val="22"/>
        </w:rPr>
        <w:t>？謂如有</w:t>
      </w:r>
      <w:r w:rsidRPr="00774F73">
        <w:rPr>
          <w:rFonts w:eastAsia="標楷體"/>
          <w:szCs w:val="22"/>
          <w:highlight w:val="yellow"/>
        </w:rPr>
        <w:t>一聽</w:t>
      </w:r>
      <w:r w:rsidRPr="00212D57">
        <w:rPr>
          <w:rFonts w:eastAsia="標楷體"/>
          <w:szCs w:val="22"/>
        </w:rPr>
        <w:t>聞隨順緣性緣起無倒教已，於緣生行因果分位，住異生地，便能如實以</w:t>
      </w:r>
      <w:r w:rsidR="00774F73" w:rsidRPr="00774F73">
        <w:rPr>
          <w:rFonts w:ascii="標楷體" w:eastAsia="標楷體" w:hAnsi="標楷體" w:hint="eastAsia"/>
          <w:color w:val="FF0000"/>
          <w:szCs w:val="22"/>
          <w:highlight w:val="yellow"/>
        </w:rPr>
        <w:t>「</w:t>
      </w:r>
      <w:r w:rsidRPr="00774F73">
        <w:rPr>
          <w:rFonts w:eastAsia="標楷體"/>
          <w:szCs w:val="22"/>
        </w:rPr>
        <w:t>聞、思、修</w:t>
      </w:r>
      <w:r w:rsidR="00774F73" w:rsidRPr="00774F73">
        <w:rPr>
          <w:rFonts w:ascii="標楷體" w:eastAsia="標楷體" w:hAnsi="標楷體" w:hint="eastAsia"/>
          <w:color w:val="FF0000"/>
          <w:szCs w:val="22"/>
          <w:highlight w:val="yellow"/>
        </w:rPr>
        <w:t>」</w:t>
      </w:r>
      <w:r w:rsidRPr="00212D57">
        <w:rPr>
          <w:rFonts w:eastAsia="標楷體"/>
          <w:szCs w:val="22"/>
        </w:rPr>
        <w:t>所成作意如理思惟，能以妙慧悟入信解</w:t>
      </w:r>
      <w:r w:rsidR="00774F73">
        <w:rPr>
          <w:rFonts w:ascii="標楷體" w:eastAsia="標楷體" w:hAnsi="標楷體" w:hint="eastAsia"/>
          <w:b/>
          <w:color w:val="FF0000"/>
          <w:szCs w:val="22"/>
          <w:highlight w:val="yellow"/>
        </w:rPr>
        <w:t>「</w:t>
      </w:r>
      <w:r w:rsidRPr="00212D57">
        <w:rPr>
          <w:rFonts w:eastAsia="標楷體"/>
          <w:szCs w:val="22"/>
        </w:rPr>
        <w:t>苦真是苦，集真是集，滅真是滅，道真是道</w:t>
      </w:r>
      <w:r w:rsidR="00774F73">
        <w:rPr>
          <w:rFonts w:ascii="標楷體" w:eastAsia="標楷體" w:hAnsi="標楷體" w:hint="eastAsia"/>
          <w:b/>
          <w:color w:val="FF0000"/>
          <w:szCs w:val="22"/>
          <w:highlight w:val="yellow"/>
        </w:rPr>
        <w:t>」</w:t>
      </w:r>
      <w:r w:rsidRPr="00212D57">
        <w:rPr>
          <w:rFonts w:eastAsia="標楷體"/>
          <w:szCs w:val="22"/>
        </w:rPr>
        <w:t>。諸如是</w:t>
      </w:r>
      <w:r w:rsidRPr="00774F73">
        <w:rPr>
          <w:rFonts w:eastAsia="標楷體"/>
          <w:szCs w:val="22"/>
          <w:highlight w:val="yellow"/>
        </w:rPr>
        <w:t>等如</w:t>
      </w:r>
      <w:r w:rsidRPr="00212D57">
        <w:rPr>
          <w:rFonts w:eastAsia="標楷體"/>
          <w:b/>
          <w:szCs w:val="22"/>
        </w:rPr>
        <w:t>其因果安立法中所有妙智，名</w:t>
      </w:r>
      <w:r w:rsidR="00774F73">
        <w:rPr>
          <w:rFonts w:ascii="標楷體" w:eastAsia="標楷體" w:hAnsi="標楷體" w:hint="eastAsia"/>
          <w:b/>
          <w:color w:val="FF0000"/>
          <w:szCs w:val="22"/>
          <w:highlight w:val="yellow"/>
        </w:rPr>
        <w:t>「</w:t>
      </w:r>
      <w:r w:rsidRPr="00212D57">
        <w:rPr>
          <w:rFonts w:eastAsia="標楷體"/>
          <w:b/>
          <w:szCs w:val="22"/>
        </w:rPr>
        <w:t>法住智</w:t>
      </w:r>
      <w:r w:rsidR="00774F73">
        <w:rPr>
          <w:rFonts w:ascii="標楷體" w:eastAsia="標楷體" w:hAnsi="標楷體" w:hint="eastAsia"/>
          <w:b/>
          <w:color w:val="FF0000"/>
          <w:szCs w:val="22"/>
          <w:highlight w:val="yellow"/>
        </w:rPr>
        <w:t>」</w:t>
      </w:r>
      <w:r w:rsidRPr="00212D57">
        <w:rPr>
          <w:rFonts w:eastAsia="標楷體"/>
          <w:b/>
          <w:szCs w:val="22"/>
        </w:rPr>
        <w:t>。</w:t>
      </w:r>
    </w:p>
    <w:p w:rsidR="00157EF6" w:rsidRPr="00212D57" w:rsidRDefault="00157EF6" w:rsidP="002B682F">
      <w:pPr>
        <w:pStyle w:val="a5"/>
        <w:ind w:leftChars="335" w:left="804"/>
        <w:jc w:val="both"/>
        <w:rPr>
          <w:rFonts w:eastAsia="標楷體"/>
          <w:b/>
          <w:szCs w:val="22"/>
        </w:rPr>
      </w:pPr>
      <w:r w:rsidRPr="00212D57">
        <w:rPr>
          <w:rFonts w:eastAsia="標楷體"/>
          <w:szCs w:val="22"/>
        </w:rPr>
        <w:t>又復云何名</w:t>
      </w:r>
      <w:r w:rsidR="00774F73">
        <w:rPr>
          <w:rFonts w:ascii="標楷體" w:eastAsia="標楷體" w:hAnsi="標楷體" w:hint="eastAsia"/>
          <w:b/>
          <w:color w:val="FF0000"/>
          <w:szCs w:val="22"/>
          <w:highlight w:val="yellow"/>
        </w:rPr>
        <w:t>「</w:t>
      </w:r>
      <w:r w:rsidRPr="00212D57">
        <w:rPr>
          <w:rFonts w:eastAsia="標楷體"/>
          <w:b/>
          <w:szCs w:val="22"/>
        </w:rPr>
        <w:t>涅槃智</w:t>
      </w:r>
      <w:r w:rsidR="00774F73">
        <w:rPr>
          <w:rFonts w:ascii="標楷體" w:eastAsia="標楷體" w:hAnsi="標楷體" w:hint="eastAsia"/>
          <w:b/>
          <w:color w:val="FF0000"/>
          <w:szCs w:val="22"/>
          <w:highlight w:val="yellow"/>
        </w:rPr>
        <w:t>」</w:t>
      </w:r>
      <w:r w:rsidRPr="00212D57">
        <w:rPr>
          <w:rFonts w:eastAsia="標楷體"/>
          <w:szCs w:val="22"/>
        </w:rPr>
        <w:t>？謂彼法</w:t>
      </w:r>
      <w:r w:rsidRPr="00774F73">
        <w:rPr>
          <w:rFonts w:eastAsia="標楷體"/>
          <w:szCs w:val="22"/>
          <w:highlight w:val="yellow"/>
        </w:rPr>
        <w:t>爾若</w:t>
      </w:r>
      <w:r w:rsidRPr="00212D57">
        <w:rPr>
          <w:rFonts w:eastAsia="標楷體"/>
          <w:szCs w:val="22"/>
        </w:rPr>
        <w:t>於</w:t>
      </w:r>
      <w:r w:rsidR="00774F73">
        <w:rPr>
          <w:rFonts w:ascii="標楷體" w:eastAsia="標楷體" w:hAnsi="標楷體" w:hint="eastAsia"/>
          <w:color w:val="FF0000"/>
          <w:szCs w:val="22"/>
          <w:highlight w:val="yellow"/>
        </w:rPr>
        <w:t>「</w:t>
      </w:r>
      <w:r w:rsidRPr="00212D57">
        <w:rPr>
          <w:rFonts w:eastAsia="標楷體"/>
          <w:szCs w:val="22"/>
        </w:rPr>
        <w:t>苦、集、滅、道</w:t>
      </w:r>
      <w:r w:rsidR="00774F73">
        <w:rPr>
          <w:rFonts w:ascii="標楷體" w:eastAsia="標楷體" w:hAnsi="標楷體" w:hint="eastAsia"/>
          <w:color w:val="FF0000"/>
          <w:szCs w:val="22"/>
          <w:highlight w:val="yellow"/>
        </w:rPr>
        <w:t>」</w:t>
      </w:r>
      <w:r w:rsidRPr="00212D57">
        <w:rPr>
          <w:rFonts w:eastAsia="標楷體"/>
          <w:szCs w:val="22"/>
        </w:rPr>
        <w:t>以其妙慧悟入信解</w:t>
      </w:r>
      <w:r w:rsidR="00774F73" w:rsidRPr="00774F73">
        <w:rPr>
          <w:rFonts w:ascii="標楷體" w:eastAsia="標楷體" w:hAnsi="標楷體" w:hint="eastAsia"/>
          <w:color w:val="FF0000"/>
          <w:szCs w:val="22"/>
          <w:highlight w:val="yellow"/>
        </w:rPr>
        <w:t>「</w:t>
      </w:r>
      <w:r w:rsidRPr="00212D57">
        <w:rPr>
          <w:rFonts w:eastAsia="標楷體"/>
          <w:szCs w:val="22"/>
        </w:rPr>
        <w:t>是真</w:t>
      </w:r>
      <w:r w:rsidR="00774F73" w:rsidRPr="00774F73">
        <w:rPr>
          <w:rFonts w:eastAsia="標楷體" w:hint="eastAsia"/>
          <w:color w:val="FF0000"/>
          <w:szCs w:val="22"/>
          <w:highlight w:val="yellow"/>
        </w:rPr>
        <w:t>『</w:t>
      </w:r>
      <w:r w:rsidRPr="00212D57">
        <w:rPr>
          <w:rFonts w:eastAsia="標楷體"/>
          <w:szCs w:val="22"/>
        </w:rPr>
        <w:t>苦、集、滅、道</w:t>
      </w:r>
      <w:r w:rsidR="00774F73">
        <w:rPr>
          <w:rFonts w:eastAsia="標楷體" w:hint="eastAsia"/>
          <w:color w:val="FF0000"/>
          <w:szCs w:val="22"/>
          <w:highlight w:val="yellow"/>
        </w:rPr>
        <w:t>』</w:t>
      </w:r>
      <w:r w:rsidRPr="00212D57">
        <w:rPr>
          <w:rFonts w:eastAsia="標楷體"/>
          <w:szCs w:val="22"/>
        </w:rPr>
        <w:t>諦</w:t>
      </w:r>
      <w:r w:rsidR="00774F73" w:rsidRPr="00774F73">
        <w:rPr>
          <w:rFonts w:ascii="標楷體" w:eastAsia="標楷體" w:hAnsi="標楷體" w:hint="eastAsia"/>
          <w:color w:val="FF0000"/>
          <w:szCs w:val="22"/>
          <w:highlight w:val="yellow"/>
        </w:rPr>
        <w:t>」</w:t>
      </w:r>
      <w:r w:rsidRPr="00212D57">
        <w:rPr>
          <w:rFonts w:eastAsia="標楷體"/>
          <w:szCs w:val="22"/>
        </w:rPr>
        <w:t>時，便於</w:t>
      </w:r>
      <w:r w:rsidR="00774F73">
        <w:rPr>
          <w:rFonts w:ascii="標楷體" w:eastAsia="標楷體" w:hAnsi="標楷體" w:hint="eastAsia"/>
          <w:color w:val="FF0000"/>
          <w:szCs w:val="22"/>
          <w:highlight w:val="yellow"/>
        </w:rPr>
        <w:t>「</w:t>
      </w:r>
      <w:r w:rsidRPr="00212D57">
        <w:rPr>
          <w:rFonts w:eastAsia="標楷體"/>
          <w:szCs w:val="22"/>
        </w:rPr>
        <w:t>苦、集</w:t>
      </w:r>
      <w:r w:rsidR="00774F73">
        <w:rPr>
          <w:rFonts w:ascii="標楷體" w:eastAsia="標楷體" w:hAnsi="標楷體" w:hint="eastAsia"/>
          <w:color w:val="FF0000"/>
          <w:szCs w:val="22"/>
          <w:highlight w:val="yellow"/>
        </w:rPr>
        <w:t>」</w:t>
      </w:r>
      <w:r w:rsidRPr="00212D57">
        <w:rPr>
          <w:rFonts w:eastAsia="標楷體"/>
          <w:szCs w:val="22"/>
        </w:rPr>
        <w:t>住厭逆想，於</w:t>
      </w:r>
      <w:r w:rsidR="00774F73">
        <w:rPr>
          <w:rFonts w:ascii="標楷體" w:eastAsia="標楷體" w:hAnsi="標楷體" w:hint="eastAsia"/>
          <w:color w:val="FF0000"/>
          <w:szCs w:val="22"/>
          <w:highlight w:val="yellow"/>
        </w:rPr>
        <w:t>「</w:t>
      </w:r>
      <w:r w:rsidRPr="00212D57">
        <w:rPr>
          <w:rFonts w:eastAsia="標楷體"/>
          <w:szCs w:val="22"/>
        </w:rPr>
        <w:t>滅涅槃</w:t>
      </w:r>
      <w:r w:rsidR="00774F73">
        <w:rPr>
          <w:rFonts w:ascii="標楷體" w:eastAsia="標楷體" w:hAnsi="標楷體" w:hint="eastAsia"/>
          <w:color w:val="FF0000"/>
          <w:szCs w:val="22"/>
          <w:highlight w:val="yellow"/>
        </w:rPr>
        <w:t>」</w:t>
      </w:r>
      <w:r w:rsidRPr="00212D57">
        <w:rPr>
          <w:rFonts w:eastAsia="標楷體"/>
          <w:szCs w:val="22"/>
        </w:rPr>
        <w:t>起寂靜想</w:t>
      </w:r>
      <w:r w:rsidR="00774F73">
        <w:rPr>
          <w:rFonts w:eastAsia="標楷體" w:hint="eastAsia"/>
          <w:color w:val="FF0000"/>
          <w:szCs w:val="22"/>
          <w:highlight w:val="yellow"/>
        </w:rPr>
        <w:t>──</w:t>
      </w:r>
      <w:r w:rsidRPr="00212D57">
        <w:rPr>
          <w:rFonts w:eastAsia="標楷體"/>
          <w:szCs w:val="22"/>
        </w:rPr>
        <w:t>所謂究竟、寂靜、微妙、棄捨一切生死所依，乃至廣說。如是</w:t>
      </w:r>
      <w:r w:rsidRPr="00212D57">
        <w:rPr>
          <w:rFonts w:eastAsia="標楷體"/>
          <w:b/>
          <w:szCs w:val="22"/>
        </w:rPr>
        <w:t>依止彼法住</w:t>
      </w:r>
      <w:r w:rsidRPr="00774F73">
        <w:rPr>
          <w:rFonts w:eastAsia="標楷體"/>
          <w:b/>
          <w:szCs w:val="22"/>
          <w:highlight w:val="yellow"/>
        </w:rPr>
        <w:t>智及</w:t>
      </w:r>
      <w:r w:rsidRPr="00212D57">
        <w:rPr>
          <w:rFonts w:eastAsia="標楷體"/>
          <w:b/>
          <w:szCs w:val="22"/>
        </w:rPr>
        <w:t>因於</w:t>
      </w:r>
      <w:r w:rsidR="00774F73">
        <w:rPr>
          <w:rFonts w:ascii="標楷體" w:eastAsia="標楷體" w:hAnsi="標楷體" w:hint="eastAsia"/>
          <w:b/>
          <w:color w:val="FF0000"/>
          <w:szCs w:val="22"/>
          <w:highlight w:val="yellow"/>
        </w:rPr>
        <w:t>「</w:t>
      </w:r>
      <w:r w:rsidRPr="00212D57">
        <w:rPr>
          <w:rFonts w:eastAsia="標楷體"/>
          <w:b/>
          <w:szCs w:val="22"/>
        </w:rPr>
        <w:t>苦若</w:t>
      </w:r>
      <w:r w:rsidR="00774F73" w:rsidRPr="00774F73">
        <w:rPr>
          <w:rFonts w:eastAsia="標楷體" w:hint="eastAsia"/>
          <w:b/>
          <w:color w:val="FF0000"/>
          <w:szCs w:val="22"/>
          <w:highlight w:val="yellow"/>
        </w:rPr>
        <w:t>、</w:t>
      </w:r>
      <w:r w:rsidRPr="00212D57">
        <w:rPr>
          <w:rFonts w:eastAsia="標楷體"/>
          <w:b/>
          <w:szCs w:val="22"/>
        </w:rPr>
        <w:t>苦因緣</w:t>
      </w:r>
      <w:r w:rsidR="00774F73">
        <w:rPr>
          <w:rFonts w:ascii="標楷體" w:eastAsia="標楷體" w:hAnsi="標楷體" w:hint="eastAsia"/>
          <w:b/>
          <w:color w:val="FF0000"/>
          <w:szCs w:val="22"/>
          <w:highlight w:val="yellow"/>
        </w:rPr>
        <w:t>」</w:t>
      </w:r>
      <w:r w:rsidRPr="00212D57">
        <w:rPr>
          <w:rFonts w:eastAsia="標楷體"/>
          <w:b/>
          <w:szCs w:val="22"/>
        </w:rPr>
        <w:t>住厭逆想，便於涅</w:t>
      </w:r>
      <w:r w:rsidRPr="00774F73">
        <w:rPr>
          <w:rFonts w:eastAsia="標楷體"/>
          <w:b/>
          <w:szCs w:val="22"/>
          <w:highlight w:val="yellow"/>
        </w:rPr>
        <w:t>槃能</w:t>
      </w:r>
      <w:r w:rsidRPr="00212D57">
        <w:rPr>
          <w:rFonts w:eastAsia="標楷體"/>
          <w:b/>
          <w:szCs w:val="22"/>
        </w:rPr>
        <w:t>以妙慧悟入信解為寂靜等，如是妙智名</w:t>
      </w:r>
      <w:r w:rsidR="00774F73">
        <w:rPr>
          <w:rFonts w:ascii="標楷體" w:eastAsia="標楷體" w:hAnsi="標楷體" w:hint="eastAsia"/>
          <w:b/>
          <w:color w:val="FF0000"/>
          <w:szCs w:val="22"/>
          <w:highlight w:val="yellow"/>
        </w:rPr>
        <w:t>「</w:t>
      </w:r>
      <w:r w:rsidRPr="00212D57">
        <w:rPr>
          <w:rFonts w:eastAsia="標楷體"/>
          <w:b/>
          <w:szCs w:val="22"/>
        </w:rPr>
        <w:t>涅槃智</w:t>
      </w:r>
      <w:r w:rsidR="00774F73">
        <w:rPr>
          <w:rFonts w:ascii="標楷體" w:eastAsia="標楷體" w:hAnsi="標楷體" w:hint="eastAsia"/>
          <w:b/>
          <w:color w:val="FF0000"/>
          <w:szCs w:val="22"/>
          <w:highlight w:val="yellow"/>
        </w:rPr>
        <w:t>」</w:t>
      </w:r>
      <w:r w:rsidRPr="00212D57">
        <w:rPr>
          <w:rFonts w:eastAsia="標楷體"/>
          <w:b/>
          <w:szCs w:val="22"/>
        </w:rPr>
        <w:t>。</w:t>
      </w:r>
    </w:p>
    <w:p w:rsidR="00157EF6" w:rsidRPr="000C6D5D" w:rsidRDefault="00157EF6" w:rsidP="002B682F">
      <w:pPr>
        <w:pStyle w:val="a5"/>
        <w:ind w:leftChars="105" w:left="791" w:hangingChars="245" w:hanging="539"/>
        <w:jc w:val="both"/>
        <w:rPr>
          <w:szCs w:val="22"/>
        </w:rPr>
      </w:pPr>
      <w:r w:rsidRPr="00212D57">
        <w:rPr>
          <w:rFonts w:hint="eastAsia"/>
          <w:szCs w:val="22"/>
        </w:rPr>
        <w:t>（</w:t>
      </w:r>
      <w:r w:rsidRPr="00761EF3">
        <w:rPr>
          <w:rFonts w:hint="eastAsia"/>
          <w:szCs w:val="22"/>
        </w:rPr>
        <w:t>4</w:t>
      </w:r>
      <w:r w:rsidRPr="00212D57">
        <w:rPr>
          <w:rFonts w:hint="eastAsia"/>
          <w:szCs w:val="22"/>
        </w:rPr>
        <w:t>）印順法師，《成佛之</w:t>
      </w:r>
      <w:r w:rsidRPr="000C6D5D">
        <w:rPr>
          <w:rFonts w:hint="eastAsia"/>
          <w:szCs w:val="22"/>
        </w:rPr>
        <w:t>道》（增注本），</w:t>
      </w:r>
      <w:r w:rsidRPr="000C6D5D">
        <w:rPr>
          <w:rFonts w:hint="eastAsia"/>
          <w:szCs w:val="22"/>
        </w:rPr>
        <w:t>pp.224-225</w:t>
      </w:r>
      <w:r w:rsidRPr="000C6D5D">
        <w:rPr>
          <w:rFonts w:hint="eastAsia"/>
          <w:szCs w:val="22"/>
        </w:rPr>
        <w:t>：</w:t>
      </w:r>
    </w:p>
    <w:p w:rsidR="00157EF6" w:rsidRPr="000C6D5D" w:rsidRDefault="00157EF6" w:rsidP="002B682F">
      <w:pPr>
        <w:pStyle w:val="a5"/>
        <w:ind w:leftChars="335" w:left="804"/>
        <w:jc w:val="both"/>
        <w:rPr>
          <w:rFonts w:ascii="標楷體" w:eastAsia="標楷體" w:hAnsi="標楷體"/>
          <w:szCs w:val="22"/>
        </w:rPr>
      </w:pPr>
      <w:r w:rsidRPr="000C6D5D">
        <w:rPr>
          <w:rFonts w:ascii="標楷體" w:eastAsia="標楷體" w:hAnsi="標楷體" w:hint="eastAsia"/>
          <w:szCs w:val="22"/>
        </w:rPr>
        <w:t>在中道的正見中，有著一定的程序，主要是「先得法住智，後得涅槃智」。佛為深摩說</w:t>
      </w:r>
      <w:r w:rsidR="00F140C4">
        <w:rPr>
          <w:rFonts w:ascii="標楷體" w:eastAsia="標楷體" w:hAnsi="標楷體" w:hint="eastAsia"/>
          <w:szCs w:val="22"/>
        </w:rPr>
        <w:t>「</w:t>
      </w:r>
      <w:r w:rsidRPr="000C6D5D">
        <w:rPr>
          <w:rFonts w:ascii="標楷體" w:eastAsia="標楷體" w:hAnsi="標楷體" w:hint="eastAsia"/>
          <w:szCs w:val="22"/>
        </w:rPr>
        <w:t>不問汝知不知，且自先知法住，後知涅槃</w:t>
      </w:r>
      <w:r w:rsidR="00F140C4">
        <w:rPr>
          <w:rFonts w:ascii="標楷體" w:eastAsia="標楷體" w:hAnsi="標楷體" w:hint="eastAsia"/>
          <w:szCs w:val="22"/>
        </w:rPr>
        <w:t>」</w:t>
      </w:r>
      <w:r w:rsidRPr="000C6D5D">
        <w:rPr>
          <w:rFonts w:ascii="標楷體" w:eastAsia="標楷體" w:hAnsi="標楷體" w:hint="eastAsia"/>
          <w:szCs w:val="22"/>
        </w:rPr>
        <w:t>，這是怎樣的肯定、必然！什麼是法住智？什麼是涅槃智？</w:t>
      </w:r>
    </w:p>
    <w:p w:rsidR="00157EF6" w:rsidRPr="000C6D5D" w:rsidRDefault="00157EF6" w:rsidP="002B682F">
      <w:pPr>
        <w:pStyle w:val="a5"/>
        <w:ind w:leftChars="335" w:left="804"/>
        <w:jc w:val="both"/>
        <w:rPr>
          <w:rFonts w:ascii="標楷體" w:eastAsia="標楷體" w:hAnsi="標楷體"/>
          <w:szCs w:val="22"/>
        </w:rPr>
      </w:pPr>
      <w:r w:rsidRPr="000C6D5D">
        <w:rPr>
          <w:rFonts w:ascii="標楷體" w:eastAsia="標楷體" w:hAnsi="標楷體" w:hint="eastAsia"/>
          <w:szCs w:val="22"/>
        </w:rPr>
        <w:t>依《七十七智經》說：一切眾生的生死緣起，現在如此，過去未來也如此，都是有此因（如無明）而後有彼果（如行）的，決不離此因而能有彼果的，這是</w:t>
      </w:r>
      <w:r w:rsidRPr="000C6D5D">
        <w:rPr>
          <w:rFonts w:ascii="標楷體" w:eastAsia="標楷體" w:hAnsi="標楷體" w:hint="eastAsia"/>
          <w:b/>
          <w:szCs w:val="22"/>
        </w:rPr>
        <w:t>法住智</w:t>
      </w:r>
      <w:r w:rsidRPr="000C6D5D">
        <w:rPr>
          <w:rFonts w:ascii="標楷體" w:eastAsia="標楷體" w:hAnsi="標楷體" w:hint="eastAsia"/>
          <w:szCs w:val="22"/>
        </w:rPr>
        <w:t>。所以，</w:t>
      </w:r>
      <w:r w:rsidRPr="000C6D5D">
        <w:rPr>
          <w:rFonts w:ascii="標楷體" w:eastAsia="標楷體" w:hAnsi="標楷體" w:hint="eastAsia"/>
          <w:b/>
          <w:szCs w:val="22"/>
        </w:rPr>
        <w:t>法住智是對於因果緣起的決定智</w:t>
      </w:r>
      <w:r w:rsidRPr="000C6D5D">
        <w:rPr>
          <w:rFonts w:ascii="標楷體" w:eastAsia="標楷體" w:hAnsi="標楷體" w:hint="eastAsia"/>
          <w:szCs w:val="22"/>
        </w:rPr>
        <w:t>。這雖然是緣起如幻的俗數法（如不能了解緣起的世俗相對性，假名安立性，而只是信解善惡，業報，三世等，就是世間正見，不名為智），但卻是正見得道所必備的知見。</w:t>
      </w:r>
    </w:p>
    <w:p w:rsidR="00157EF6" w:rsidRPr="000C6D5D" w:rsidRDefault="00157EF6" w:rsidP="002B682F">
      <w:pPr>
        <w:pStyle w:val="a5"/>
        <w:ind w:leftChars="335" w:left="804"/>
        <w:jc w:val="both"/>
        <w:rPr>
          <w:rFonts w:ascii="標楷體" w:eastAsia="標楷體" w:hAnsi="標楷體"/>
          <w:szCs w:val="22"/>
        </w:rPr>
      </w:pPr>
      <w:r w:rsidRPr="000C6D5D">
        <w:rPr>
          <w:rFonts w:ascii="標楷體" w:eastAsia="標楷體" w:hAnsi="標楷體" w:hint="eastAsia"/>
          <w:szCs w:val="22"/>
        </w:rPr>
        <w:t>經上說：</w:t>
      </w:r>
      <w:r w:rsidRPr="000C6D5D">
        <w:rPr>
          <w:rFonts w:ascii="標楷體" w:eastAsia="標楷體" w:hAnsi="標楷體" w:hint="eastAsia"/>
          <w:b/>
          <w:szCs w:val="22"/>
        </w:rPr>
        <w:t>如依此而觀緣起法的從緣而生，依緣而滅，是盡相，壞相，離相，滅相</w:t>
      </w:r>
      <w:r w:rsidRPr="000C6D5D">
        <w:rPr>
          <w:rFonts w:ascii="標楷體" w:eastAsia="標楷體" w:hAnsi="標楷體" w:hint="eastAsia"/>
          <w:szCs w:val="22"/>
        </w:rPr>
        <w:t>，名</w:t>
      </w:r>
      <w:r w:rsidRPr="000C6D5D">
        <w:rPr>
          <w:rFonts w:ascii="標楷體" w:eastAsia="標楷體" w:hAnsi="標楷體" w:hint="eastAsia"/>
          <w:b/>
          <w:szCs w:val="22"/>
        </w:rPr>
        <w:t>涅槃智</w:t>
      </w:r>
      <w:r w:rsidRPr="000C6D5D">
        <w:rPr>
          <w:rFonts w:ascii="標楷體" w:eastAsia="標楷體" w:hAnsi="標楷體" w:hint="eastAsia"/>
          <w:szCs w:val="22"/>
        </w:rPr>
        <w:t>。這是從緣起的無常觀中，觀一切法如石火電光，纔生即滅；生無所來，滅無所至，而契入法性寂滅。這就是</w:t>
      </w:r>
      <w:r w:rsidR="00F140C4">
        <w:rPr>
          <w:rFonts w:ascii="標楷體" w:eastAsia="標楷體" w:hAnsi="標楷體" w:hint="eastAsia"/>
          <w:szCs w:val="22"/>
        </w:rPr>
        <w:t>「</w:t>
      </w:r>
      <w:r w:rsidRPr="000C6D5D">
        <w:rPr>
          <w:rFonts w:ascii="標楷體" w:eastAsia="標楷體" w:hAnsi="標楷體" w:hint="eastAsia"/>
          <w:szCs w:val="22"/>
        </w:rPr>
        <w:t>諸行無常，是生滅法，生滅滅已，寂滅為樂</w:t>
      </w:r>
      <w:r w:rsidR="00F140C4">
        <w:rPr>
          <w:rFonts w:ascii="標楷體" w:eastAsia="標楷體" w:hAnsi="標楷體" w:hint="eastAsia"/>
          <w:szCs w:val="22"/>
        </w:rPr>
        <w:t>」</w:t>
      </w:r>
      <w:r w:rsidRPr="000C6D5D">
        <w:rPr>
          <w:rFonts w:ascii="標楷體" w:eastAsia="標楷體" w:hAnsi="標楷體" w:hint="eastAsia"/>
          <w:szCs w:val="22"/>
        </w:rPr>
        <w:t>。</w:t>
      </w:r>
    </w:p>
    <w:p w:rsidR="00157EF6" w:rsidRPr="00212D57" w:rsidRDefault="00157EF6" w:rsidP="002B682F">
      <w:pPr>
        <w:pStyle w:val="a5"/>
        <w:ind w:leftChars="335" w:left="804"/>
        <w:jc w:val="both"/>
        <w:rPr>
          <w:rFonts w:ascii="標楷體" w:eastAsia="標楷體" w:hAnsi="標楷體"/>
          <w:szCs w:val="22"/>
        </w:rPr>
      </w:pPr>
      <w:r w:rsidRPr="000C6D5D">
        <w:rPr>
          <w:rFonts w:ascii="標楷體" w:eastAsia="標楷體" w:hAnsi="標楷體" w:hint="eastAsia"/>
          <w:szCs w:val="22"/>
        </w:rPr>
        <w:t>由無常（入無我）而契入寂滅，是三乘共法中主要的解脫法</w:t>
      </w:r>
      <w:r w:rsidRPr="00212D57">
        <w:rPr>
          <w:rFonts w:ascii="標楷體" w:eastAsia="標楷體" w:hAnsi="標楷體" w:hint="eastAsia"/>
          <w:szCs w:val="22"/>
        </w:rPr>
        <w:t>門（還有從空及無相而契入的觀門）。</w:t>
      </w:r>
    </w:p>
    <w:p w:rsidR="00157EF6" w:rsidRPr="00212D57" w:rsidRDefault="00157EF6" w:rsidP="002B682F">
      <w:pPr>
        <w:pStyle w:val="a5"/>
        <w:ind w:leftChars="335" w:left="804"/>
        <w:jc w:val="both"/>
        <w:rPr>
          <w:rFonts w:ascii="標楷體" w:eastAsia="標楷體" w:hAnsi="標楷體"/>
          <w:b/>
          <w:szCs w:val="22"/>
        </w:rPr>
      </w:pPr>
      <w:r w:rsidRPr="00212D57">
        <w:rPr>
          <w:rFonts w:ascii="標楷體" w:eastAsia="標楷體" w:hAnsi="標楷體" w:hint="eastAsia"/>
          <w:szCs w:val="22"/>
        </w:rPr>
        <w:t>所以，</w:t>
      </w:r>
      <w:r w:rsidRPr="00212D57">
        <w:rPr>
          <w:rFonts w:ascii="標楷體" w:eastAsia="標楷體" w:hAnsi="標楷體" w:hint="eastAsia"/>
          <w:b/>
          <w:szCs w:val="22"/>
        </w:rPr>
        <w:t>法住智知流轉，知因果的必然性；涅槃智知還滅，知因果的空寂性；法住智知生滅，涅槃智知不生滅；法住智知有為世俗，涅槃智知無為勝義。</w:t>
      </w:r>
      <w:r w:rsidRPr="00212D57">
        <w:rPr>
          <w:rFonts w:ascii="標楷體" w:eastAsia="標楷體" w:hAnsi="標楷體" w:hint="eastAsia"/>
          <w:szCs w:val="22"/>
        </w:rPr>
        <w:t>「依俗」諦的緣起因果，而後「契」入緣起寂滅的「真實」，這是解脫道中「正觀法」的必然歷程，一定「如是」而決無例外的。</w:t>
      </w:r>
    </w:p>
    <w:p w:rsidR="00157EF6" w:rsidRPr="00212D57" w:rsidRDefault="00157EF6" w:rsidP="002B682F">
      <w:pPr>
        <w:autoSpaceDE w:val="0"/>
        <w:autoSpaceDN w:val="0"/>
        <w:snapToGrid w:val="0"/>
        <w:ind w:leftChars="334" w:left="1407" w:hangingChars="275" w:hanging="605"/>
        <w:jc w:val="both"/>
        <w:rPr>
          <w:rFonts w:ascii="新細明體" w:hAnsi="新細明體"/>
          <w:sz w:val="22"/>
          <w:szCs w:val="22"/>
        </w:rPr>
      </w:pPr>
      <w:r w:rsidRPr="00212D57">
        <w:rPr>
          <w:rFonts w:ascii="Times New Roman" w:hAnsi="Times New Roman"/>
          <w:sz w:val="22"/>
          <w:szCs w:val="22"/>
        </w:rPr>
        <w:t>（</w:t>
      </w:r>
      <w:r w:rsidRPr="00761EF3">
        <w:rPr>
          <w:rFonts w:ascii="Times New Roman" w:hAnsi="Times New Roman"/>
          <w:sz w:val="22"/>
          <w:szCs w:val="22"/>
        </w:rPr>
        <w:t>A</w:t>
      </w:r>
      <w:r w:rsidRPr="00212D57">
        <w:rPr>
          <w:rFonts w:ascii="Times New Roman" w:hAnsi="Times New Roman"/>
          <w:sz w:val="22"/>
          <w:szCs w:val="22"/>
        </w:rPr>
        <w:t>）</w:t>
      </w:r>
      <w:r w:rsidRPr="00212D57">
        <w:rPr>
          <w:rFonts w:ascii="新細明體" w:hAnsi="新細明體"/>
          <w:sz w:val="22"/>
          <w:szCs w:val="22"/>
        </w:rPr>
        <w:t>法住智</w:t>
      </w:r>
      <w:r w:rsidRPr="00212D57">
        <w:rPr>
          <w:rFonts w:ascii="新細明體" w:hAnsi="新細明體" w:hint="eastAsia"/>
          <w:sz w:val="22"/>
          <w:szCs w:val="22"/>
        </w:rPr>
        <w:t>──</w:t>
      </w:r>
      <w:r w:rsidRPr="00212D57">
        <w:rPr>
          <w:rFonts w:ascii="新細明體" w:hAnsi="新細明體"/>
          <w:sz w:val="22"/>
          <w:szCs w:val="22"/>
        </w:rPr>
        <w:t>知流轉</w:t>
      </w:r>
      <w:r w:rsidRPr="00212D57">
        <w:rPr>
          <w:rFonts w:ascii="新細明體" w:hAnsi="新細明體" w:hint="eastAsia"/>
          <w:sz w:val="22"/>
          <w:szCs w:val="22"/>
        </w:rPr>
        <w:t>──</w:t>
      </w:r>
      <w:r w:rsidRPr="00212D57">
        <w:rPr>
          <w:rFonts w:ascii="新細明體" w:hAnsi="新細明體"/>
          <w:sz w:val="22"/>
          <w:szCs w:val="22"/>
        </w:rPr>
        <w:t>知因果的必然性</w:t>
      </w:r>
      <w:r w:rsidRPr="00212D57">
        <w:rPr>
          <w:rFonts w:ascii="新細明體" w:hAnsi="新細明體" w:hint="eastAsia"/>
          <w:sz w:val="22"/>
          <w:szCs w:val="22"/>
        </w:rPr>
        <w:t>──</w:t>
      </w:r>
      <w:r w:rsidRPr="00212D57">
        <w:rPr>
          <w:rFonts w:ascii="新細明體" w:hAnsi="新細明體"/>
          <w:sz w:val="22"/>
          <w:szCs w:val="22"/>
        </w:rPr>
        <w:t>知生滅</w:t>
      </w:r>
      <w:r w:rsidRPr="00212D57">
        <w:rPr>
          <w:rFonts w:ascii="新細明體" w:hAnsi="新細明體" w:hint="eastAsia"/>
          <w:sz w:val="22"/>
          <w:szCs w:val="22"/>
        </w:rPr>
        <w:t>───</w:t>
      </w:r>
      <w:r w:rsidRPr="00212D57">
        <w:rPr>
          <w:rFonts w:ascii="新細明體" w:hAnsi="新細明體"/>
          <w:sz w:val="22"/>
          <w:szCs w:val="22"/>
        </w:rPr>
        <w:t>知有為世俗。</w:t>
      </w:r>
    </w:p>
    <w:p w:rsidR="00157EF6" w:rsidRPr="00212D57" w:rsidRDefault="00157EF6" w:rsidP="002B682F">
      <w:pPr>
        <w:autoSpaceDE w:val="0"/>
        <w:autoSpaceDN w:val="0"/>
        <w:snapToGrid w:val="0"/>
        <w:ind w:leftChars="334" w:left="1407" w:hangingChars="275" w:hanging="605"/>
        <w:jc w:val="both"/>
        <w:rPr>
          <w:rFonts w:ascii="新細明體" w:hAnsi="新細明體"/>
          <w:sz w:val="22"/>
          <w:szCs w:val="22"/>
        </w:rPr>
      </w:pPr>
      <w:r w:rsidRPr="00212D57">
        <w:rPr>
          <w:rFonts w:ascii="Times New Roman" w:hAnsi="Times New Roman"/>
          <w:sz w:val="22"/>
          <w:szCs w:val="22"/>
        </w:rPr>
        <w:t>（</w:t>
      </w:r>
      <w:r w:rsidRPr="00761EF3">
        <w:rPr>
          <w:rFonts w:ascii="Times New Roman" w:hAnsi="Times New Roman"/>
          <w:sz w:val="22"/>
          <w:szCs w:val="22"/>
        </w:rPr>
        <w:t>B</w:t>
      </w:r>
      <w:r w:rsidRPr="00212D57">
        <w:rPr>
          <w:rFonts w:ascii="Times New Roman" w:hAnsi="Times New Roman"/>
          <w:sz w:val="22"/>
          <w:szCs w:val="22"/>
        </w:rPr>
        <w:t>）</w:t>
      </w:r>
      <w:r w:rsidRPr="00212D57">
        <w:rPr>
          <w:rFonts w:ascii="新細明體" w:hAnsi="新細明體"/>
          <w:sz w:val="22"/>
          <w:szCs w:val="22"/>
        </w:rPr>
        <w:t>涅槃智</w:t>
      </w:r>
      <w:r w:rsidRPr="00212D57">
        <w:rPr>
          <w:rFonts w:ascii="新細明體" w:hAnsi="新細明體" w:hint="eastAsia"/>
          <w:sz w:val="22"/>
          <w:szCs w:val="22"/>
        </w:rPr>
        <w:t>──</w:t>
      </w:r>
      <w:r w:rsidRPr="00212D57">
        <w:rPr>
          <w:rFonts w:ascii="新細明體" w:hAnsi="新細明體"/>
          <w:sz w:val="22"/>
          <w:szCs w:val="22"/>
        </w:rPr>
        <w:t>知還滅</w:t>
      </w:r>
      <w:r w:rsidRPr="00212D57">
        <w:rPr>
          <w:rFonts w:ascii="新細明體" w:hAnsi="新細明體" w:hint="eastAsia"/>
          <w:sz w:val="22"/>
          <w:szCs w:val="22"/>
        </w:rPr>
        <w:t>──</w:t>
      </w:r>
      <w:r w:rsidRPr="00212D57">
        <w:rPr>
          <w:rFonts w:ascii="新細明體" w:hAnsi="新細明體"/>
          <w:sz w:val="22"/>
          <w:szCs w:val="22"/>
        </w:rPr>
        <w:t>知因果的空寂性</w:t>
      </w:r>
      <w:r w:rsidRPr="00212D57">
        <w:rPr>
          <w:rFonts w:ascii="新細明體" w:hAnsi="新細明體" w:hint="eastAsia"/>
          <w:sz w:val="22"/>
          <w:szCs w:val="22"/>
        </w:rPr>
        <w:t>──</w:t>
      </w:r>
      <w:r w:rsidRPr="00212D57">
        <w:rPr>
          <w:rFonts w:ascii="新細明體" w:hAnsi="新細明體"/>
          <w:sz w:val="22"/>
          <w:szCs w:val="22"/>
        </w:rPr>
        <w:t>知不生滅</w:t>
      </w:r>
      <w:r w:rsidRPr="00212D57">
        <w:rPr>
          <w:rFonts w:ascii="新細明體" w:hAnsi="新細明體" w:hint="eastAsia"/>
          <w:sz w:val="22"/>
          <w:szCs w:val="22"/>
        </w:rPr>
        <w:t>──</w:t>
      </w:r>
      <w:r w:rsidRPr="00212D57">
        <w:rPr>
          <w:rFonts w:ascii="新細明體" w:hAnsi="新細明體"/>
          <w:sz w:val="22"/>
          <w:szCs w:val="22"/>
        </w:rPr>
        <w:t>知無為勝義。</w:t>
      </w:r>
    </w:p>
    <w:p w:rsidR="00157EF6" w:rsidRPr="00212D57" w:rsidRDefault="00157EF6" w:rsidP="002B682F">
      <w:pPr>
        <w:pStyle w:val="a5"/>
        <w:ind w:leftChars="105" w:left="791" w:hangingChars="245" w:hanging="539"/>
        <w:jc w:val="both"/>
        <w:rPr>
          <w:rFonts w:ascii="標楷體" w:eastAsia="標楷體" w:hAnsi="標楷體"/>
          <w:szCs w:val="22"/>
        </w:rPr>
      </w:pPr>
      <w:r w:rsidRPr="00212D57">
        <w:rPr>
          <w:rFonts w:hint="eastAsia"/>
          <w:szCs w:val="22"/>
        </w:rPr>
        <w:t>（</w:t>
      </w:r>
      <w:r w:rsidRPr="00761EF3">
        <w:rPr>
          <w:rFonts w:hint="eastAsia"/>
          <w:szCs w:val="22"/>
        </w:rPr>
        <w:t>5</w:t>
      </w:r>
      <w:r w:rsidRPr="00212D57">
        <w:rPr>
          <w:rFonts w:hint="eastAsia"/>
          <w:szCs w:val="22"/>
        </w:rPr>
        <w:t>）</w:t>
      </w:r>
      <w:r w:rsidRPr="00212D57">
        <w:rPr>
          <w:rStyle w:val="byline"/>
          <w:rFonts w:hAnsi="新細明體" w:hint="eastAsia"/>
          <w:color w:val="auto"/>
          <w:sz w:val="22"/>
          <w:szCs w:val="22"/>
        </w:rPr>
        <w:t>印順法師</w:t>
      </w:r>
      <w:r w:rsidRPr="00212D57">
        <w:rPr>
          <w:rFonts w:hint="eastAsia"/>
          <w:szCs w:val="22"/>
        </w:rPr>
        <w:t>，《學佛三要》，</w:t>
      </w:r>
      <w:r w:rsidRPr="00761EF3">
        <w:rPr>
          <w:szCs w:val="22"/>
        </w:rPr>
        <w:t>p</w:t>
      </w:r>
      <w:r w:rsidRPr="00212D57">
        <w:rPr>
          <w:szCs w:val="22"/>
        </w:rPr>
        <w:t>.</w:t>
      </w:r>
      <w:r w:rsidRPr="00761EF3">
        <w:rPr>
          <w:rFonts w:eastAsia="SimSun"/>
          <w:szCs w:val="22"/>
        </w:rPr>
        <w:t>175</w:t>
      </w:r>
      <w:r w:rsidRPr="00212D57">
        <w:rPr>
          <w:rFonts w:hint="eastAsia"/>
          <w:szCs w:val="22"/>
        </w:rPr>
        <w:t>：</w:t>
      </w:r>
    </w:p>
    <w:p w:rsidR="00157EF6" w:rsidRPr="00212D57" w:rsidRDefault="00157EF6" w:rsidP="002B682F">
      <w:pPr>
        <w:snapToGrid w:val="0"/>
        <w:ind w:leftChars="335" w:left="804"/>
        <w:jc w:val="both"/>
        <w:rPr>
          <w:rFonts w:ascii="標楷體" w:eastAsia="SimSun" w:hAnsi="標楷體"/>
          <w:sz w:val="22"/>
          <w:szCs w:val="22"/>
        </w:rPr>
      </w:pPr>
      <w:r w:rsidRPr="00212D57">
        <w:rPr>
          <w:rFonts w:ascii="標楷體" w:eastAsia="標楷體" w:hAnsi="標楷體" w:hint="eastAsia"/>
          <w:sz w:val="22"/>
          <w:szCs w:val="22"/>
        </w:rPr>
        <w:t>以四諦為觀境的觀慧，又可分為二方面：</w:t>
      </w:r>
      <w:r w:rsidRPr="00212D57">
        <w:rPr>
          <w:rFonts w:ascii="標楷體" w:eastAsia="標楷體" w:hAnsi="標楷體" w:hint="eastAsia"/>
          <w:b/>
          <w:sz w:val="22"/>
          <w:szCs w:val="22"/>
        </w:rPr>
        <w:t>一是對四諦事相的了知，即法住智</w:t>
      </w:r>
      <w:r w:rsidRPr="00212D57">
        <w:rPr>
          <w:rFonts w:ascii="標楷體" w:eastAsia="標楷體" w:hAnsi="標楷體" w:hint="eastAsia"/>
          <w:sz w:val="22"/>
          <w:szCs w:val="22"/>
        </w:rPr>
        <w:t>；</w:t>
      </w:r>
      <w:r w:rsidRPr="00212D57">
        <w:rPr>
          <w:rFonts w:ascii="標楷體" w:eastAsia="標楷體" w:hAnsi="標楷體" w:hint="eastAsia"/>
          <w:b/>
          <w:sz w:val="22"/>
          <w:szCs w:val="22"/>
        </w:rPr>
        <w:t>一是對四諦理性的悟證，即涅槃智。</w:t>
      </w:r>
      <w:r w:rsidRPr="00212D57">
        <w:rPr>
          <w:rFonts w:ascii="標楷體" w:eastAsia="標楷體" w:hAnsi="標楷體" w:hint="eastAsia"/>
          <w:sz w:val="22"/>
          <w:szCs w:val="22"/>
        </w:rPr>
        <w:t>事相與理性的諦觀，法住智與涅槃智的證得，為三乘共慧應有的內容。</w:t>
      </w:r>
    </w:p>
    <w:p w:rsidR="00157EF6" w:rsidRPr="00212D57" w:rsidRDefault="00157EF6" w:rsidP="00F459A5">
      <w:pPr>
        <w:pStyle w:val="a5"/>
        <w:spacing w:line="290" w:lineRule="exact"/>
        <w:ind w:leftChars="105" w:left="791" w:hangingChars="245" w:hanging="539"/>
        <w:jc w:val="both"/>
        <w:rPr>
          <w:szCs w:val="22"/>
        </w:rPr>
      </w:pPr>
      <w:r w:rsidRPr="00212D57">
        <w:rPr>
          <w:rFonts w:hint="eastAsia"/>
          <w:szCs w:val="22"/>
        </w:rPr>
        <w:t>（</w:t>
      </w:r>
      <w:r w:rsidRPr="00761EF3">
        <w:rPr>
          <w:rFonts w:hint="eastAsia"/>
          <w:szCs w:val="22"/>
        </w:rPr>
        <w:t>6</w:t>
      </w:r>
      <w:r w:rsidRPr="00212D57">
        <w:rPr>
          <w:rFonts w:hint="eastAsia"/>
          <w:szCs w:val="22"/>
        </w:rPr>
        <w:t>）印順法師，</w:t>
      </w:r>
      <w:r w:rsidRPr="00212D57">
        <w:rPr>
          <w:szCs w:val="22"/>
        </w:rPr>
        <w:t>《空之探究》</w:t>
      </w:r>
      <w:r w:rsidRPr="00212D57">
        <w:rPr>
          <w:rFonts w:hint="eastAsia"/>
          <w:szCs w:val="22"/>
        </w:rPr>
        <w:t>，</w:t>
      </w:r>
      <w:r w:rsidRPr="00761EF3">
        <w:rPr>
          <w:szCs w:val="22"/>
        </w:rPr>
        <w:t>p</w:t>
      </w:r>
      <w:r w:rsidRPr="00761EF3">
        <w:rPr>
          <w:rFonts w:eastAsia="Roman Unicode"/>
          <w:szCs w:val="22"/>
        </w:rPr>
        <w:t>p</w:t>
      </w:r>
      <w:r w:rsidRPr="00212D57">
        <w:rPr>
          <w:szCs w:val="22"/>
        </w:rPr>
        <w:t>.</w:t>
      </w:r>
      <w:r w:rsidRPr="00761EF3">
        <w:rPr>
          <w:szCs w:val="22"/>
        </w:rPr>
        <w:t>150</w:t>
      </w:r>
      <w:r w:rsidRPr="00212D57">
        <w:rPr>
          <w:szCs w:val="22"/>
        </w:rPr>
        <w:t>-</w:t>
      </w:r>
      <w:r w:rsidRPr="00761EF3">
        <w:rPr>
          <w:szCs w:val="22"/>
        </w:rPr>
        <w:t>152</w:t>
      </w:r>
      <w:r w:rsidRPr="00212D57">
        <w:rPr>
          <w:szCs w:val="22"/>
        </w:rPr>
        <w:t>：</w:t>
      </w:r>
    </w:p>
    <w:p w:rsidR="00157EF6" w:rsidRPr="00212D57" w:rsidRDefault="00157EF6" w:rsidP="00F459A5">
      <w:pPr>
        <w:pStyle w:val="a5"/>
        <w:spacing w:line="290" w:lineRule="exact"/>
        <w:ind w:leftChars="335" w:left="804"/>
        <w:jc w:val="both"/>
        <w:rPr>
          <w:rFonts w:eastAsia="標楷體"/>
          <w:szCs w:val="22"/>
        </w:rPr>
      </w:pPr>
      <w:r w:rsidRPr="00212D57">
        <w:rPr>
          <w:rFonts w:eastAsia="標楷體"/>
          <w:szCs w:val="22"/>
        </w:rPr>
        <w:t>《雜阿含經》中，長老比丘們告訴須深（</w:t>
      </w:r>
      <w:r w:rsidRPr="00761EF3">
        <w:rPr>
          <w:rFonts w:eastAsia="Roman Unicode"/>
          <w:szCs w:val="22"/>
        </w:rPr>
        <w:t>Susīma</w:t>
      </w:r>
      <w:r w:rsidRPr="00212D57">
        <w:rPr>
          <w:rFonts w:eastAsia="標楷體"/>
          <w:szCs w:val="22"/>
        </w:rPr>
        <w:t>）比丘，他們是阿羅漢，但不得四禪（《相應部》說不得五通）及無色定。須深覺得難以信解，佛告訴他說：「彼先知法住，後知涅槃</w:t>
      </w:r>
      <w:r w:rsidRPr="00D7197C">
        <w:rPr>
          <w:rFonts w:ascii="標楷體" w:eastAsia="標楷體" w:hAnsi="標楷體"/>
          <w:szCs w:val="22"/>
        </w:rPr>
        <w:t>……</w:t>
      </w:r>
      <w:r w:rsidRPr="00212D57">
        <w:rPr>
          <w:rFonts w:eastAsia="標楷體"/>
          <w:szCs w:val="22"/>
        </w:rPr>
        <w:t>不問汝知不知，且自先知法住，後知涅槃。」這是說，阿羅漢有先後層次，也可說有二類。</w:t>
      </w:r>
    </w:p>
    <w:p w:rsidR="00157EF6" w:rsidRPr="00212D57" w:rsidRDefault="00157EF6" w:rsidP="00F459A5">
      <w:pPr>
        <w:autoSpaceDE w:val="0"/>
        <w:autoSpaceDN w:val="0"/>
        <w:snapToGrid w:val="0"/>
        <w:spacing w:line="290" w:lineRule="exact"/>
        <w:ind w:leftChars="334" w:left="1242" w:hangingChars="200" w:hanging="440"/>
        <w:jc w:val="both"/>
        <w:rPr>
          <w:rFonts w:ascii="Times New Roman" w:eastAsia="標楷體" w:hAnsi="Times New Roman"/>
          <w:sz w:val="22"/>
          <w:szCs w:val="22"/>
        </w:rPr>
      </w:pPr>
      <w:r w:rsidRPr="00212D57">
        <w:rPr>
          <w:rFonts w:ascii="Times New Roman" w:eastAsia="標楷體" w:hAnsi="Times New Roman"/>
          <w:sz w:val="22"/>
          <w:szCs w:val="22"/>
        </w:rPr>
        <w:t>一、</w:t>
      </w:r>
      <w:r w:rsidRPr="00212D57">
        <w:rPr>
          <w:rFonts w:ascii="Times New Roman" w:eastAsia="標楷體" w:hAnsi="Times New Roman"/>
          <w:b/>
          <w:sz w:val="22"/>
          <w:szCs w:val="22"/>
        </w:rPr>
        <w:t>法住智</w:t>
      </w:r>
      <w:r w:rsidRPr="00212D57">
        <w:rPr>
          <w:rFonts w:ascii="Times New Roman" w:eastAsia="標楷體" w:hAnsi="Times New Roman"/>
          <w:sz w:val="22"/>
          <w:szCs w:val="22"/>
        </w:rPr>
        <w:t>（</w:t>
      </w:r>
      <w:r w:rsidRPr="00761EF3">
        <w:rPr>
          <w:rFonts w:ascii="Times New Roman" w:eastAsia="Roman Unicode" w:hAnsi="Times New Roman"/>
          <w:sz w:val="22"/>
          <w:szCs w:val="22"/>
        </w:rPr>
        <w:t>dharma</w:t>
      </w:r>
      <w:r w:rsidRPr="00212D57">
        <w:rPr>
          <w:rFonts w:ascii="Times New Roman" w:eastAsia="標楷體" w:hAnsi="Times New Roman"/>
          <w:sz w:val="22"/>
          <w:szCs w:val="22"/>
        </w:rPr>
        <w:t>-</w:t>
      </w:r>
      <w:r w:rsidRPr="00761EF3">
        <w:rPr>
          <w:rFonts w:ascii="Times New Roman" w:eastAsia="Roman Unicode" w:hAnsi="Times New Roman"/>
          <w:sz w:val="22"/>
          <w:szCs w:val="22"/>
        </w:rPr>
        <w:t>sthititā</w:t>
      </w:r>
      <w:r w:rsidRPr="00212D57">
        <w:rPr>
          <w:rFonts w:ascii="Times New Roman" w:eastAsia="標楷體" w:hAnsi="Times New Roman"/>
          <w:sz w:val="22"/>
          <w:szCs w:val="22"/>
        </w:rPr>
        <w:t>-</w:t>
      </w:r>
      <w:r w:rsidRPr="00761EF3">
        <w:rPr>
          <w:rFonts w:ascii="Times New Roman" w:eastAsia="Roman Unicode" w:hAnsi="Times New Roman"/>
          <w:sz w:val="22"/>
          <w:szCs w:val="22"/>
        </w:rPr>
        <w:t>jñāna</w:t>
      </w:r>
      <w:r w:rsidRPr="00212D57">
        <w:rPr>
          <w:rFonts w:ascii="Times New Roman" w:eastAsia="標楷體" w:hAnsi="Times New Roman"/>
          <w:sz w:val="22"/>
          <w:szCs w:val="22"/>
        </w:rPr>
        <w:t>）知：緣起被稱為法性、法住，所以法住智是從因果起滅的必然性中，於五蘊等如實知，厭，離欲，滅，而得解脫智：「我生已盡，梵行已立，所作已辦，不受後有。」雖然沒有禪定，但煩惱已盡，生死已了。這是以慧得解脫，知一切法寂滅，而沒有涅槃的自證。</w:t>
      </w:r>
    </w:p>
    <w:p w:rsidR="00157EF6" w:rsidRPr="00212D57" w:rsidRDefault="00157EF6" w:rsidP="00F459A5">
      <w:pPr>
        <w:autoSpaceDE w:val="0"/>
        <w:autoSpaceDN w:val="0"/>
        <w:snapToGrid w:val="0"/>
        <w:spacing w:line="290" w:lineRule="exact"/>
        <w:ind w:leftChars="334" w:left="1242" w:hangingChars="200" w:hanging="440"/>
        <w:jc w:val="both"/>
        <w:rPr>
          <w:rFonts w:ascii="Times New Roman" w:eastAsia="標楷體" w:hAnsi="Times New Roman"/>
          <w:sz w:val="22"/>
          <w:szCs w:val="22"/>
        </w:rPr>
      </w:pPr>
      <w:r w:rsidRPr="00212D57">
        <w:rPr>
          <w:rFonts w:ascii="Times New Roman" w:eastAsia="標楷體" w:hAnsi="Times New Roman"/>
          <w:sz w:val="22"/>
          <w:szCs w:val="22"/>
        </w:rPr>
        <w:t>二、</w:t>
      </w:r>
      <w:r w:rsidRPr="00212D57">
        <w:rPr>
          <w:rFonts w:ascii="Times New Roman" w:eastAsia="標楷體" w:hAnsi="Times New Roman"/>
          <w:b/>
          <w:sz w:val="22"/>
          <w:szCs w:val="22"/>
        </w:rPr>
        <w:t>涅槃智</w:t>
      </w:r>
      <w:r w:rsidRPr="00212D57">
        <w:rPr>
          <w:rFonts w:ascii="Times New Roman" w:eastAsia="標楷體" w:hAnsi="Times New Roman"/>
          <w:sz w:val="22"/>
          <w:szCs w:val="22"/>
        </w:rPr>
        <w:t>（</w:t>
      </w:r>
      <w:r w:rsidRPr="00761EF3">
        <w:rPr>
          <w:rFonts w:ascii="Times New Roman" w:eastAsia="Roman Unicode" w:hAnsi="Times New Roman"/>
          <w:sz w:val="22"/>
          <w:szCs w:val="22"/>
        </w:rPr>
        <w:t>nirvāṇa</w:t>
      </w:r>
      <w:r w:rsidRPr="00212D57">
        <w:rPr>
          <w:rFonts w:ascii="Times New Roman" w:eastAsia="標楷體" w:hAnsi="Times New Roman"/>
          <w:sz w:val="22"/>
          <w:szCs w:val="22"/>
        </w:rPr>
        <w:t>-</w:t>
      </w:r>
      <w:r w:rsidRPr="00761EF3">
        <w:rPr>
          <w:rFonts w:ascii="Times New Roman" w:eastAsia="Roman Unicode" w:hAnsi="Times New Roman"/>
          <w:sz w:val="22"/>
          <w:szCs w:val="22"/>
        </w:rPr>
        <w:t>jñāna</w:t>
      </w:r>
      <w:r w:rsidRPr="00212D57">
        <w:rPr>
          <w:rFonts w:ascii="Times New Roman" w:eastAsia="標楷體" w:hAnsi="Times New Roman"/>
          <w:sz w:val="22"/>
          <w:szCs w:val="22"/>
        </w:rPr>
        <w:t>）知：生前就能現證涅槃的絕對超越（即大乘的證入空性，絕諸戲論；也類似一般所說的神秘經驗），名為得現法涅槃；在古代，被稱為</w:t>
      </w:r>
      <w:r w:rsidRPr="00212D57">
        <w:rPr>
          <w:rFonts w:ascii="Times New Roman" w:eastAsia="標楷體" w:hAnsi="Times New Roman"/>
          <w:b/>
          <w:sz w:val="22"/>
          <w:szCs w:val="22"/>
        </w:rPr>
        <w:t>得滅盡定的俱解脫</w:t>
      </w:r>
      <w:r w:rsidRPr="00212D57">
        <w:rPr>
          <w:rFonts w:ascii="Times New Roman" w:eastAsia="標楷體" w:hAnsi="Times New Roman"/>
          <w:sz w:val="22"/>
          <w:szCs w:val="22"/>
        </w:rPr>
        <w:t>（不過滅盡定，論師的異解紛紜）。</w:t>
      </w:r>
    </w:p>
    <w:p w:rsidR="00157EF6" w:rsidRPr="00212D57" w:rsidRDefault="00157EF6" w:rsidP="00F459A5">
      <w:pPr>
        <w:autoSpaceDE w:val="0"/>
        <w:autoSpaceDN w:val="0"/>
        <w:snapToGrid w:val="0"/>
        <w:spacing w:line="290" w:lineRule="exact"/>
        <w:ind w:leftChars="335" w:left="804"/>
        <w:jc w:val="both"/>
        <w:rPr>
          <w:rFonts w:ascii="Times New Roman" w:eastAsia="標楷體" w:hAnsi="Times New Roman"/>
          <w:sz w:val="22"/>
          <w:szCs w:val="22"/>
        </w:rPr>
      </w:pPr>
      <w:r w:rsidRPr="00212D57">
        <w:rPr>
          <w:rFonts w:ascii="Times New Roman" w:eastAsia="標楷體" w:hAnsi="Times New Roman"/>
          <w:sz w:val="22"/>
          <w:szCs w:val="22"/>
        </w:rPr>
        <w:t>這可能是二類阿羅漢，也可能是先後契入的層次。</w:t>
      </w:r>
    </w:p>
    <w:p w:rsidR="00157EF6" w:rsidRPr="00212D57" w:rsidRDefault="00157EF6" w:rsidP="00F459A5">
      <w:pPr>
        <w:autoSpaceDE w:val="0"/>
        <w:autoSpaceDN w:val="0"/>
        <w:snapToGrid w:val="0"/>
        <w:spacing w:line="290" w:lineRule="exact"/>
        <w:ind w:leftChars="335" w:left="804"/>
        <w:jc w:val="both"/>
        <w:rPr>
          <w:rFonts w:ascii="Times New Roman" w:eastAsia="標楷體" w:hAnsi="Times New Roman"/>
          <w:sz w:val="22"/>
          <w:szCs w:val="22"/>
        </w:rPr>
      </w:pPr>
      <w:r w:rsidRPr="00212D57">
        <w:rPr>
          <w:rFonts w:ascii="Times New Roman" w:eastAsia="標楷體" w:hAnsi="Times New Roman"/>
          <w:sz w:val="22"/>
          <w:szCs w:val="22"/>
        </w:rPr>
        <w:t>在佛教界，慧解脫聖者是沒有涅槃智的；俱解脫者有涅槃智，是入滅盡定而決定趣涅槃的。惟有另一類人（絕少數），正知見「有滅涅槃」而不證得阿羅漢的；不入滅盡定而有甚深涅槃知見的，正是初期大乘，觀一切法空而不證實際的菩薩模樣。</w:t>
      </w:r>
    </w:p>
    <w:p w:rsidR="00157EF6" w:rsidRPr="00212D57" w:rsidRDefault="00157EF6" w:rsidP="00F459A5">
      <w:pPr>
        <w:pStyle w:val="a5"/>
        <w:spacing w:line="290" w:lineRule="exact"/>
        <w:ind w:leftChars="105" w:left="791" w:hangingChars="245" w:hanging="539"/>
        <w:jc w:val="both"/>
        <w:rPr>
          <w:szCs w:val="22"/>
        </w:rPr>
      </w:pPr>
      <w:r w:rsidRPr="00212D57">
        <w:rPr>
          <w:rFonts w:hint="eastAsia"/>
          <w:szCs w:val="22"/>
        </w:rPr>
        <w:t>（</w:t>
      </w:r>
      <w:r w:rsidRPr="00761EF3">
        <w:rPr>
          <w:rFonts w:hint="eastAsia"/>
          <w:szCs w:val="22"/>
        </w:rPr>
        <w:t>7</w:t>
      </w:r>
      <w:r w:rsidRPr="00212D57">
        <w:rPr>
          <w:rFonts w:hint="eastAsia"/>
          <w:szCs w:val="22"/>
        </w:rPr>
        <w:t>）印順法師，《</w:t>
      </w:r>
      <w:r w:rsidRPr="00212D57">
        <w:rPr>
          <w:szCs w:val="22"/>
        </w:rPr>
        <w:t>印度佛教思想史》，</w:t>
      </w:r>
      <w:r w:rsidRPr="00761EF3">
        <w:rPr>
          <w:rFonts w:eastAsia="Roman Unicode"/>
          <w:szCs w:val="22"/>
        </w:rPr>
        <w:t>pp</w:t>
      </w:r>
      <w:r w:rsidRPr="00212D57">
        <w:rPr>
          <w:szCs w:val="22"/>
        </w:rPr>
        <w:t>.</w:t>
      </w:r>
      <w:r w:rsidRPr="00761EF3">
        <w:rPr>
          <w:szCs w:val="22"/>
        </w:rPr>
        <w:t>28</w:t>
      </w:r>
      <w:r w:rsidRPr="00212D57">
        <w:rPr>
          <w:szCs w:val="22"/>
        </w:rPr>
        <w:t>-</w:t>
      </w:r>
      <w:r w:rsidRPr="00761EF3">
        <w:rPr>
          <w:szCs w:val="22"/>
        </w:rPr>
        <w:t>29</w:t>
      </w:r>
      <w:r w:rsidRPr="00212D57">
        <w:rPr>
          <w:szCs w:val="22"/>
        </w:rPr>
        <w:t>：</w:t>
      </w:r>
    </w:p>
    <w:p w:rsidR="00157EF6" w:rsidRPr="00212D57" w:rsidRDefault="00157EF6" w:rsidP="00F459A5">
      <w:pPr>
        <w:snapToGrid w:val="0"/>
        <w:spacing w:line="290" w:lineRule="exact"/>
        <w:ind w:leftChars="335" w:left="804"/>
        <w:jc w:val="both"/>
        <w:rPr>
          <w:rFonts w:ascii="Times New Roman" w:eastAsia="標楷體" w:hAnsi="Times New Roman"/>
          <w:sz w:val="22"/>
          <w:szCs w:val="22"/>
        </w:rPr>
      </w:pPr>
      <w:r w:rsidRPr="00212D57">
        <w:rPr>
          <w:rFonts w:ascii="Times New Roman" w:eastAsia="標楷體" w:hAnsi="Times New Roman"/>
          <w:sz w:val="22"/>
          <w:szCs w:val="22"/>
        </w:rPr>
        <w:t>從釋尊的教說中，可見阿羅漢智有先後層次，也有二類阿羅漢。</w:t>
      </w:r>
    </w:p>
    <w:p w:rsidR="00157EF6" w:rsidRPr="00212D57" w:rsidRDefault="00157EF6" w:rsidP="00F459A5">
      <w:pPr>
        <w:snapToGrid w:val="0"/>
        <w:spacing w:line="290" w:lineRule="exact"/>
        <w:ind w:leftChars="334" w:left="1132" w:hangingChars="150" w:hanging="330"/>
        <w:jc w:val="both"/>
        <w:rPr>
          <w:rFonts w:ascii="Times New Roman" w:eastAsia="標楷體" w:hAnsi="Times New Roman"/>
          <w:sz w:val="22"/>
          <w:szCs w:val="22"/>
        </w:rPr>
      </w:pPr>
      <w:r w:rsidRPr="00761EF3">
        <w:rPr>
          <w:rFonts w:ascii="Times New Roman" w:eastAsia="標楷體" w:hAnsi="Times New Roman" w:hint="eastAsia"/>
          <w:b/>
          <w:sz w:val="22"/>
          <w:szCs w:val="22"/>
        </w:rPr>
        <w:t>1</w:t>
      </w:r>
      <w:r w:rsidRPr="00212D57">
        <w:rPr>
          <w:rFonts w:ascii="Times New Roman" w:eastAsia="標楷體" w:hAnsi="Times New Roman" w:hint="eastAsia"/>
          <w:b/>
          <w:sz w:val="22"/>
          <w:szCs w:val="22"/>
        </w:rPr>
        <w:t>、</w:t>
      </w:r>
      <w:r w:rsidRPr="00212D57">
        <w:rPr>
          <w:rFonts w:ascii="Times New Roman" w:eastAsia="標楷體" w:hAnsi="Times New Roman"/>
          <w:b/>
          <w:sz w:val="22"/>
          <w:szCs w:val="22"/>
        </w:rPr>
        <w:t>法住智</w:t>
      </w:r>
      <w:r w:rsidRPr="00212D57">
        <w:rPr>
          <w:rFonts w:ascii="Times New Roman" w:eastAsia="標楷體" w:hAnsi="Times New Roman" w:hint="eastAsia"/>
          <w:sz w:val="22"/>
          <w:szCs w:val="22"/>
        </w:rPr>
        <w:t>（</w:t>
      </w:r>
      <w:r w:rsidRPr="00761EF3">
        <w:rPr>
          <w:rFonts w:ascii="Times New Roman" w:eastAsia="標楷體" w:hAnsi="Times New Roman"/>
          <w:sz w:val="22"/>
          <w:szCs w:val="22"/>
        </w:rPr>
        <w:t>dharma</w:t>
      </w:r>
      <w:r w:rsidRPr="00212D57">
        <w:rPr>
          <w:rFonts w:ascii="Times New Roman" w:eastAsia="標楷體" w:hAnsi="Times New Roman"/>
          <w:sz w:val="22"/>
          <w:szCs w:val="22"/>
        </w:rPr>
        <w:t>-</w:t>
      </w:r>
      <w:r w:rsidRPr="00761EF3">
        <w:rPr>
          <w:rFonts w:ascii="Times New Roman" w:eastAsia="標楷體" w:hAnsi="Times New Roman"/>
          <w:sz w:val="22"/>
          <w:szCs w:val="22"/>
        </w:rPr>
        <w:t>sthitit</w:t>
      </w:r>
      <w:r w:rsidRPr="00761EF3">
        <w:rPr>
          <w:rFonts w:ascii="Times New Roman" w:hAnsi="Times New Roman"/>
          <w:sz w:val="22"/>
          <w:szCs w:val="22"/>
        </w:rPr>
        <w:t>ā</w:t>
      </w:r>
      <w:r w:rsidRPr="00212D57">
        <w:rPr>
          <w:rFonts w:ascii="Times New Roman" w:eastAsia="標楷體" w:hAnsi="Times New Roman"/>
          <w:sz w:val="22"/>
          <w:szCs w:val="22"/>
        </w:rPr>
        <w:t>-</w:t>
      </w:r>
      <w:r w:rsidRPr="00761EF3">
        <w:rPr>
          <w:rFonts w:ascii="Times New Roman" w:eastAsia="標楷體" w:hAnsi="Times New Roman"/>
          <w:sz w:val="22"/>
          <w:szCs w:val="22"/>
        </w:rPr>
        <w:t>jñ</w:t>
      </w:r>
      <w:r w:rsidRPr="00761EF3">
        <w:rPr>
          <w:rFonts w:ascii="Times New Roman" w:hAnsi="Times New Roman"/>
          <w:sz w:val="22"/>
          <w:szCs w:val="22"/>
        </w:rPr>
        <w:t>ā</w:t>
      </w:r>
      <w:r w:rsidRPr="00761EF3">
        <w:rPr>
          <w:rFonts w:ascii="Times New Roman" w:eastAsia="標楷體" w:hAnsi="Times New Roman"/>
          <w:sz w:val="22"/>
          <w:szCs w:val="22"/>
        </w:rPr>
        <w:t>na</w:t>
      </w:r>
      <w:r w:rsidRPr="00212D57">
        <w:rPr>
          <w:rFonts w:ascii="Times New Roman" w:eastAsia="標楷體" w:hAnsi="Times New Roman" w:hint="eastAsia"/>
          <w:sz w:val="22"/>
          <w:szCs w:val="22"/>
        </w:rPr>
        <w:t>）</w:t>
      </w:r>
      <w:r w:rsidRPr="00212D57">
        <w:rPr>
          <w:rFonts w:ascii="Times New Roman" w:eastAsia="標楷體" w:hAnsi="Times New Roman"/>
          <w:sz w:val="22"/>
          <w:szCs w:val="22"/>
        </w:rPr>
        <w:t>知：緣起法被稱為「法性」、「法住」，知法住是知緣起。從因果起滅的必然性中，於（現實身心）蘊、界、處如實知，厭、離欲、滅，而得「我生已盡，梵行已立，所作己辦，不受後有」的解脫智。雖沒有根本定，沒有五通，但生死已究竟解脫，這是以慧得解脫的一類。</w:t>
      </w:r>
    </w:p>
    <w:p w:rsidR="00774F73" w:rsidRDefault="00157EF6" w:rsidP="00F459A5">
      <w:pPr>
        <w:snapToGrid w:val="0"/>
        <w:spacing w:line="290" w:lineRule="exact"/>
        <w:ind w:leftChars="334" w:left="1132" w:hangingChars="150" w:hanging="330"/>
        <w:jc w:val="both"/>
        <w:rPr>
          <w:rFonts w:ascii="Times New Roman" w:eastAsia="標楷體" w:hAnsi="Times New Roman"/>
          <w:sz w:val="22"/>
          <w:szCs w:val="22"/>
        </w:rPr>
      </w:pPr>
      <w:r w:rsidRPr="00761EF3">
        <w:rPr>
          <w:rFonts w:ascii="Times New Roman" w:eastAsia="標楷體" w:hAnsi="Times New Roman" w:hint="eastAsia"/>
          <w:b/>
          <w:sz w:val="22"/>
          <w:szCs w:val="22"/>
        </w:rPr>
        <w:t>2</w:t>
      </w:r>
      <w:r w:rsidRPr="00212D57">
        <w:rPr>
          <w:rFonts w:ascii="Times New Roman" w:eastAsia="標楷體" w:hAnsi="Times New Roman"/>
          <w:b/>
          <w:sz w:val="22"/>
          <w:szCs w:val="22"/>
        </w:rPr>
        <w:t>、涅槃智</w:t>
      </w:r>
      <w:r w:rsidRPr="00212D57">
        <w:rPr>
          <w:rFonts w:ascii="Times New Roman" w:eastAsia="標楷體" w:hAnsi="Times New Roman" w:hint="eastAsia"/>
          <w:sz w:val="22"/>
          <w:szCs w:val="22"/>
        </w:rPr>
        <w:t>（</w:t>
      </w:r>
      <w:r w:rsidRPr="00761EF3">
        <w:rPr>
          <w:rFonts w:ascii="Times New Roman" w:eastAsia="標楷體" w:hAnsi="Times New Roman"/>
          <w:sz w:val="22"/>
          <w:szCs w:val="22"/>
        </w:rPr>
        <w:t>nirv</w:t>
      </w:r>
      <w:r w:rsidRPr="00761EF3">
        <w:rPr>
          <w:rFonts w:ascii="Times New Roman" w:hAnsi="Times New Roman"/>
          <w:sz w:val="22"/>
          <w:szCs w:val="22"/>
        </w:rPr>
        <w:t>ā</w:t>
      </w:r>
      <w:r w:rsidRPr="00761EF3">
        <w:rPr>
          <w:rFonts w:ascii="Times New Roman" w:eastAsia="標楷體" w:hAnsi="Times New Roman"/>
          <w:sz w:val="22"/>
          <w:szCs w:val="22"/>
        </w:rPr>
        <w:t>ṇa</w:t>
      </w:r>
      <w:r w:rsidRPr="00212D57">
        <w:rPr>
          <w:rFonts w:ascii="Times New Roman" w:eastAsia="標楷體" w:hAnsi="Times New Roman"/>
          <w:sz w:val="22"/>
          <w:szCs w:val="22"/>
        </w:rPr>
        <w:t>-</w:t>
      </w:r>
      <w:r w:rsidRPr="00761EF3">
        <w:rPr>
          <w:rFonts w:ascii="Times New Roman" w:eastAsia="標楷體" w:hAnsi="Times New Roman"/>
          <w:sz w:val="22"/>
          <w:szCs w:val="22"/>
        </w:rPr>
        <w:t>jñ</w:t>
      </w:r>
      <w:r w:rsidRPr="00761EF3">
        <w:rPr>
          <w:rFonts w:ascii="Times New Roman" w:hAnsi="Times New Roman"/>
          <w:sz w:val="22"/>
          <w:szCs w:val="22"/>
        </w:rPr>
        <w:t>ā</w:t>
      </w:r>
      <w:r w:rsidRPr="00761EF3">
        <w:rPr>
          <w:rFonts w:ascii="Times New Roman" w:eastAsia="標楷體" w:hAnsi="Times New Roman"/>
          <w:sz w:val="22"/>
          <w:szCs w:val="22"/>
        </w:rPr>
        <w:t>na</w:t>
      </w:r>
      <w:r w:rsidRPr="00212D57">
        <w:rPr>
          <w:rFonts w:ascii="Times New Roman" w:eastAsia="標楷體" w:hAnsi="Times New Roman" w:hint="eastAsia"/>
          <w:sz w:val="22"/>
          <w:szCs w:val="22"/>
        </w:rPr>
        <w:t>）</w:t>
      </w:r>
      <w:r w:rsidRPr="00212D57">
        <w:rPr>
          <w:rFonts w:ascii="Times New Roman" w:eastAsia="標楷體" w:hAnsi="Times New Roman"/>
          <w:sz w:val="22"/>
          <w:szCs w:val="22"/>
        </w:rPr>
        <w:t>知：或是慧解脫者的末「後知涅槃」；也有生前得見法涅槃，能現證知涅槃，這是得三明、六通的，名為（定慧）俱解脫的大阿羅漢。</w:t>
      </w:r>
    </w:p>
    <w:p w:rsidR="00157EF6" w:rsidRPr="00212D57" w:rsidRDefault="00157EF6" w:rsidP="00774F73">
      <w:pPr>
        <w:snapToGrid w:val="0"/>
        <w:spacing w:line="290" w:lineRule="exact"/>
        <w:ind w:leftChars="334" w:left="802"/>
        <w:jc w:val="both"/>
        <w:rPr>
          <w:sz w:val="22"/>
          <w:szCs w:val="22"/>
        </w:rPr>
      </w:pPr>
      <w:r w:rsidRPr="00774F73">
        <w:rPr>
          <w:rFonts w:ascii="Times New Roman" w:eastAsia="標楷體" w:hAnsi="Times New Roman"/>
          <w:sz w:val="22"/>
          <w:szCs w:val="22"/>
          <w:highlight w:val="yellow"/>
        </w:rPr>
        <w:t>雖</w:t>
      </w:r>
      <w:r w:rsidRPr="00212D57">
        <w:rPr>
          <w:rFonts w:ascii="Times New Roman" w:eastAsia="標楷體" w:hAnsi="Times New Roman"/>
          <w:sz w:val="22"/>
          <w:szCs w:val="22"/>
        </w:rPr>
        <w:t>有二類不同，但生死的究竟解脫，是一樣的；而且都是「</w:t>
      </w:r>
      <w:r w:rsidRPr="00212D57">
        <w:rPr>
          <w:rFonts w:ascii="Times New Roman" w:eastAsia="標楷體" w:hAnsi="Times New Roman"/>
          <w:b/>
          <w:sz w:val="22"/>
          <w:szCs w:val="22"/>
        </w:rPr>
        <w:t>先知法住，後知涅槃</w:t>
      </w:r>
      <w:r w:rsidRPr="00212D57">
        <w:rPr>
          <w:rFonts w:ascii="Times New Roman" w:eastAsia="標楷體" w:hAnsi="Times New Roman"/>
          <w:sz w:val="22"/>
          <w:szCs w:val="22"/>
        </w:rPr>
        <w:t>」的。</w:t>
      </w:r>
    </w:p>
  </w:footnote>
  <w:footnote w:id="330">
    <w:p w:rsidR="00157EF6" w:rsidRPr="00212D57" w:rsidRDefault="00157EF6" w:rsidP="00F459A5">
      <w:pPr>
        <w:pStyle w:val="a5"/>
        <w:spacing w:line="290" w:lineRule="exact"/>
        <w:ind w:left="253" w:hangingChars="115" w:hanging="253"/>
        <w:jc w:val="both"/>
        <w:rPr>
          <w:rFonts w:eastAsia="SimSun"/>
          <w:szCs w:val="22"/>
        </w:rPr>
      </w:pPr>
      <w:r w:rsidRPr="00212D57">
        <w:rPr>
          <w:rStyle w:val="a6"/>
          <w:szCs w:val="22"/>
        </w:rPr>
        <w:footnoteRef/>
      </w:r>
      <w:r w:rsidRPr="00212D57">
        <w:rPr>
          <w:rFonts w:hint="eastAsia"/>
          <w:szCs w:val="22"/>
        </w:rPr>
        <w:t xml:space="preserve"> </w:t>
      </w:r>
      <w:r w:rsidRPr="00212D57">
        <w:rPr>
          <w:rFonts w:hint="eastAsia"/>
          <w:szCs w:val="22"/>
        </w:rPr>
        <w:t>《妙法蓮華經》卷</w:t>
      </w:r>
      <w:r w:rsidRPr="00761EF3">
        <w:rPr>
          <w:szCs w:val="22"/>
        </w:rPr>
        <w:t>1</w:t>
      </w:r>
      <w:r w:rsidRPr="00212D57">
        <w:rPr>
          <w:rFonts w:hint="eastAsia"/>
          <w:szCs w:val="22"/>
        </w:rPr>
        <w:t>〈</w:t>
      </w:r>
      <w:r w:rsidRPr="00761EF3">
        <w:rPr>
          <w:szCs w:val="22"/>
        </w:rPr>
        <w:t>1</w:t>
      </w:r>
      <w:r w:rsidRPr="00212D57">
        <w:rPr>
          <w:szCs w:val="22"/>
        </w:rPr>
        <w:t xml:space="preserve"> </w:t>
      </w:r>
      <w:r w:rsidRPr="00212D57">
        <w:rPr>
          <w:rFonts w:hint="eastAsia"/>
          <w:szCs w:val="22"/>
        </w:rPr>
        <w:t>序品〉（大正</w:t>
      </w:r>
      <w:r w:rsidRPr="00761EF3">
        <w:rPr>
          <w:szCs w:val="22"/>
        </w:rPr>
        <w:t>9</w:t>
      </w:r>
      <w:r w:rsidRPr="00212D57">
        <w:rPr>
          <w:rFonts w:hint="eastAsia"/>
          <w:szCs w:val="22"/>
        </w:rPr>
        <w:t>，</w:t>
      </w:r>
      <w:r w:rsidRPr="00761EF3">
        <w:rPr>
          <w:szCs w:val="22"/>
        </w:rPr>
        <w:t>9b9</w:t>
      </w:r>
      <w:r w:rsidRPr="00212D57">
        <w:rPr>
          <w:szCs w:val="22"/>
        </w:rPr>
        <w:t>-</w:t>
      </w:r>
      <w:r w:rsidRPr="00761EF3">
        <w:rPr>
          <w:szCs w:val="22"/>
        </w:rPr>
        <w:t>10</w:t>
      </w:r>
      <w:r w:rsidRPr="00212D57">
        <w:rPr>
          <w:rFonts w:hint="eastAsia"/>
          <w:szCs w:val="22"/>
        </w:rPr>
        <w:t>）：</w:t>
      </w:r>
    </w:p>
    <w:p w:rsidR="00157EF6" w:rsidRPr="00212D57" w:rsidRDefault="00157EF6" w:rsidP="00F459A5">
      <w:pPr>
        <w:pStyle w:val="a5"/>
        <w:spacing w:line="290" w:lineRule="exact"/>
        <w:ind w:leftChars="110" w:left="264"/>
        <w:jc w:val="both"/>
        <w:rPr>
          <w:szCs w:val="22"/>
        </w:rPr>
      </w:pPr>
      <w:r w:rsidRPr="00212D57">
        <w:rPr>
          <w:rFonts w:ascii="標楷體" w:eastAsia="標楷體" w:hAnsi="標楷體" w:hint="eastAsia"/>
          <w:szCs w:val="22"/>
        </w:rPr>
        <w:t>佛種從緣起，是故說一乘，是法住法位，世間相常住。</w:t>
      </w:r>
    </w:p>
  </w:footnote>
  <w:footnote w:id="331">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rFonts w:hint="eastAsia"/>
          <w:szCs w:val="22"/>
        </w:rPr>
        <w:t>宛然</w:t>
      </w:r>
      <w:r w:rsidRPr="00212D57">
        <w:rPr>
          <w:szCs w:val="22"/>
        </w:rPr>
        <w:t>：</w:t>
      </w:r>
      <w:r w:rsidRPr="00761EF3">
        <w:rPr>
          <w:szCs w:val="22"/>
        </w:rPr>
        <w:t>2</w:t>
      </w:r>
      <w:r w:rsidRPr="00212D57">
        <w:rPr>
          <w:szCs w:val="22"/>
        </w:rPr>
        <w:t>.</w:t>
      </w:r>
      <w:r w:rsidRPr="00212D57">
        <w:rPr>
          <w:szCs w:val="22"/>
        </w:rPr>
        <w:t>真切貌</w:t>
      </w:r>
      <w:r w:rsidRPr="00212D57">
        <w:rPr>
          <w:rFonts w:hint="eastAsia"/>
          <w:szCs w:val="22"/>
        </w:rPr>
        <w:t>，清晰貌。</w:t>
      </w:r>
      <w:r w:rsidRPr="00212D57">
        <w:rPr>
          <w:szCs w:val="22"/>
        </w:rPr>
        <w:t>（《漢語大詞典》（</w:t>
      </w:r>
      <w:r w:rsidRPr="00212D57">
        <w:rPr>
          <w:rFonts w:hint="eastAsia"/>
          <w:szCs w:val="22"/>
        </w:rPr>
        <w:t>三</w:t>
      </w:r>
      <w:r w:rsidRPr="00212D57">
        <w:rPr>
          <w:szCs w:val="22"/>
        </w:rPr>
        <w:t>），</w:t>
      </w:r>
      <w:r w:rsidRPr="00761EF3">
        <w:rPr>
          <w:szCs w:val="22"/>
        </w:rPr>
        <w:t>p</w:t>
      </w:r>
      <w:r w:rsidRPr="00212D57">
        <w:rPr>
          <w:szCs w:val="22"/>
        </w:rPr>
        <w:t>.</w:t>
      </w:r>
      <w:r w:rsidRPr="00761EF3">
        <w:rPr>
          <w:szCs w:val="22"/>
        </w:rPr>
        <w:t>1</w:t>
      </w:r>
      <w:r w:rsidRPr="00761EF3">
        <w:rPr>
          <w:rFonts w:hint="eastAsia"/>
          <w:szCs w:val="22"/>
        </w:rPr>
        <w:t>402</w:t>
      </w:r>
      <w:r w:rsidRPr="00212D57">
        <w:rPr>
          <w:szCs w:val="22"/>
        </w:rPr>
        <w:t>）</w:t>
      </w:r>
    </w:p>
  </w:footnote>
  <w:footnote w:id="332">
    <w:p w:rsidR="00C445A6" w:rsidRPr="00212D57" w:rsidRDefault="00C445A6" w:rsidP="009E0A5A">
      <w:pPr>
        <w:pStyle w:val="a5"/>
        <w:spacing w:line="0" w:lineRule="atLeast"/>
        <w:ind w:left="704" w:hangingChars="320" w:hanging="704"/>
        <w:jc w:val="both"/>
        <w:rPr>
          <w:rFonts w:eastAsia="SimSun"/>
          <w:szCs w:val="22"/>
        </w:rPr>
      </w:pPr>
      <w:r w:rsidRPr="00212D57">
        <w:rPr>
          <w:rStyle w:val="a6"/>
          <w:szCs w:val="22"/>
        </w:rPr>
        <w:footnoteRef/>
      </w:r>
      <w:r w:rsidRPr="00212D57">
        <w:rPr>
          <w:rFonts w:eastAsia="細明體" w:hint="eastAsia"/>
          <w:szCs w:val="22"/>
        </w:rPr>
        <w:t xml:space="preserve"> </w:t>
      </w:r>
      <w:r w:rsidRPr="00212D57">
        <w:rPr>
          <w:rFonts w:eastAsia="細明體"/>
          <w:szCs w:val="22"/>
        </w:rPr>
        <w:t>（</w:t>
      </w:r>
      <w:r w:rsidRPr="00761EF3">
        <w:rPr>
          <w:rFonts w:eastAsia="細明體" w:hint="eastAsia"/>
          <w:szCs w:val="22"/>
        </w:rPr>
        <w:t>1</w:t>
      </w:r>
      <w:r w:rsidRPr="00212D57">
        <w:rPr>
          <w:rFonts w:eastAsia="細明體"/>
          <w:szCs w:val="22"/>
        </w:rPr>
        <w:t>）</w:t>
      </w:r>
      <w:r w:rsidRPr="00212D57">
        <w:rPr>
          <w:szCs w:val="22"/>
        </w:rPr>
        <w:t>《中論》卷</w:t>
      </w:r>
      <w:r w:rsidRPr="00761EF3">
        <w:rPr>
          <w:szCs w:val="22"/>
        </w:rPr>
        <w:t>3</w:t>
      </w:r>
      <w:r w:rsidRPr="00212D57">
        <w:rPr>
          <w:szCs w:val="22"/>
        </w:rPr>
        <w:t>〈</w:t>
      </w:r>
      <w:r w:rsidRPr="00761EF3">
        <w:rPr>
          <w:szCs w:val="22"/>
        </w:rPr>
        <w:t>15</w:t>
      </w:r>
      <w:r w:rsidRPr="00212D57">
        <w:rPr>
          <w:szCs w:val="22"/>
        </w:rPr>
        <w:t xml:space="preserve"> </w:t>
      </w:r>
      <w:r w:rsidRPr="00212D57">
        <w:rPr>
          <w:szCs w:val="22"/>
        </w:rPr>
        <w:t>觀有無品〉（第</w:t>
      </w:r>
      <w:r w:rsidRPr="00761EF3">
        <w:rPr>
          <w:szCs w:val="22"/>
        </w:rPr>
        <w:t>4</w:t>
      </w:r>
      <w:r w:rsidRPr="00212D57">
        <w:rPr>
          <w:szCs w:val="22"/>
        </w:rPr>
        <w:t>頌）（大正</w:t>
      </w:r>
      <w:r w:rsidRPr="00761EF3">
        <w:rPr>
          <w:szCs w:val="22"/>
        </w:rPr>
        <w:t>30</w:t>
      </w:r>
      <w:r w:rsidRPr="00212D57">
        <w:rPr>
          <w:szCs w:val="22"/>
        </w:rPr>
        <w:t>，</w:t>
      </w:r>
      <w:r w:rsidRPr="00761EF3">
        <w:rPr>
          <w:szCs w:val="22"/>
        </w:rPr>
        <w:t>20a12</w:t>
      </w:r>
      <w:r w:rsidRPr="00212D57">
        <w:rPr>
          <w:szCs w:val="22"/>
        </w:rPr>
        <w:t>-</w:t>
      </w:r>
      <w:r w:rsidRPr="00761EF3">
        <w:rPr>
          <w:szCs w:val="22"/>
        </w:rPr>
        <w:t>13</w:t>
      </w:r>
      <w:r w:rsidRPr="00212D57">
        <w:rPr>
          <w:szCs w:val="22"/>
        </w:rPr>
        <w:t>）：</w:t>
      </w:r>
    </w:p>
    <w:p w:rsidR="00C445A6" w:rsidRPr="00212D57" w:rsidRDefault="00C445A6" w:rsidP="00C445A6">
      <w:pPr>
        <w:pStyle w:val="a5"/>
        <w:ind w:leftChars="305" w:left="732"/>
        <w:jc w:val="both"/>
        <w:rPr>
          <w:szCs w:val="22"/>
        </w:rPr>
      </w:pPr>
      <w:r w:rsidRPr="00212D57">
        <w:rPr>
          <w:rFonts w:eastAsia="標楷體"/>
          <w:szCs w:val="22"/>
        </w:rPr>
        <w:t>離自性</w:t>
      </w:r>
      <w:r>
        <w:rPr>
          <w:rFonts w:ascii="標楷體" w:eastAsia="標楷體" w:hAnsi="標楷體" w:hint="eastAsia"/>
          <w:color w:val="FF0000"/>
          <w:kern w:val="0"/>
          <w:highlight w:val="yellow"/>
        </w:rPr>
        <w:t>.</w:t>
      </w:r>
      <w:r w:rsidRPr="00212D57">
        <w:rPr>
          <w:rFonts w:eastAsia="標楷體"/>
          <w:szCs w:val="22"/>
        </w:rPr>
        <w:t>他性，何得更有</w:t>
      </w:r>
      <w:r w:rsidRPr="00212D57">
        <w:rPr>
          <w:rFonts w:eastAsia="標楷體"/>
          <w:b/>
          <w:szCs w:val="22"/>
        </w:rPr>
        <w:t>法</w:t>
      </w:r>
      <w:r w:rsidRPr="00212D57">
        <w:rPr>
          <w:rFonts w:eastAsia="標楷體"/>
          <w:szCs w:val="22"/>
        </w:rPr>
        <w:t>？若有自</w:t>
      </w:r>
      <w:r>
        <w:rPr>
          <w:rFonts w:ascii="標楷體" w:eastAsia="標楷體" w:hAnsi="標楷體" w:hint="eastAsia"/>
          <w:color w:val="FF0000"/>
          <w:kern w:val="0"/>
          <w:highlight w:val="yellow"/>
        </w:rPr>
        <w:t>.</w:t>
      </w:r>
      <w:r w:rsidRPr="00212D57">
        <w:rPr>
          <w:rFonts w:eastAsia="標楷體"/>
          <w:szCs w:val="22"/>
        </w:rPr>
        <w:t>他性，諸</w:t>
      </w:r>
      <w:r w:rsidRPr="00212D57">
        <w:rPr>
          <w:rFonts w:eastAsia="標楷體"/>
          <w:b/>
          <w:szCs w:val="22"/>
        </w:rPr>
        <w:t>法</w:t>
      </w:r>
      <w:r w:rsidRPr="00212D57">
        <w:rPr>
          <w:rFonts w:eastAsia="標楷體"/>
          <w:szCs w:val="22"/>
        </w:rPr>
        <w:t>則得成。</w:t>
      </w:r>
    </w:p>
    <w:p w:rsidR="00C445A6" w:rsidRDefault="00C445A6" w:rsidP="00C445A6">
      <w:pPr>
        <w:pStyle w:val="a5"/>
        <w:ind w:leftChars="80" w:left="731" w:hangingChars="245" w:hanging="539"/>
        <w:jc w:val="both"/>
        <w:rPr>
          <w:rFonts w:eastAsia="細明體"/>
          <w:szCs w:val="22"/>
        </w:rPr>
      </w:pPr>
      <w:r w:rsidRPr="00212D57">
        <w:rPr>
          <w:rFonts w:eastAsia="細明體"/>
          <w:szCs w:val="22"/>
        </w:rPr>
        <w:t>（</w:t>
      </w:r>
      <w:r w:rsidRPr="00761EF3">
        <w:rPr>
          <w:rFonts w:hint="eastAsia"/>
          <w:szCs w:val="22"/>
        </w:rPr>
        <w:t>2</w:t>
      </w:r>
      <w:r w:rsidRPr="00212D57">
        <w:rPr>
          <w:rFonts w:eastAsia="細明體"/>
          <w:szCs w:val="22"/>
        </w:rPr>
        <w:t>）</w:t>
      </w:r>
      <w:r w:rsidRPr="00212D57">
        <w:rPr>
          <w:szCs w:val="22"/>
        </w:rPr>
        <w:t>三枝充悳，《中論偈頌總覽》，</w:t>
      </w:r>
      <w:r w:rsidRPr="00761EF3">
        <w:rPr>
          <w:szCs w:val="22"/>
        </w:rPr>
        <w:t>p</w:t>
      </w:r>
      <w:r w:rsidRPr="00212D57">
        <w:rPr>
          <w:szCs w:val="22"/>
        </w:rPr>
        <w:t>.</w:t>
      </w:r>
      <w:r w:rsidRPr="00761EF3">
        <w:rPr>
          <w:szCs w:val="22"/>
        </w:rPr>
        <w:t>408</w:t>
      </w:r>
      <w:r w:rsidRPr="00212D57">
        <w:rPr>
          <w:szCs w:val="22"/>
        </w:rPr>
        <w:t>：</w:t>
      </w:r>
    </w:p>
    <w:p w:rsidR="00C445A6" w:rsidRPr="00212D57" w:rsidRDefault="00C445A6" w:rsidP="00C445A6">
      <w:pPr>
        <w:pStyle w:val="a5"/>
        <w:ind w:leftChars="305" w:left="732"/>
        <w:jc w:val="both"/>
        <w:rPr>
          <w:rFonts w:eastAsia="SimSun"/>
          <w:szCs w:val="22"/>
        </w:rPr>
      </w:pPr>
      <w:r w:rsidRPr="00212D57">
        <w:rPr>
          <w:szCs w:val="22"/>
        </w:rPr>
        <w:t>[</w:t>
      </w:r>
      <w:r w:rsidRPr="00761EF3">
        <w:rPr>
          <w:szCs w:val="22"/>
        </w:rPr>
        <w:t>266</w:t>
      </w:r>
      <w:r w:rsidRPr="00212D57">
        <w:rPr>
          <w:szCs w:val="22"/>
        </w:rPr>
        <w:t>-</w:t>
      </w:r>
      <w:r w:rsidRPr="00761EF3">
        <w:rPr>
          <w:szCs w:val="22"/>
        </w:rPr>
        <w:t>9</w:t>
      </w:r>
      <w:r w:rsidRPr="00212D57">
        <w:rPr>
          <w:szCs w:val="22"/>
        </w:rPr>
        <w:t>]</w:t>
      </w:r>
      <w:r w:rsidRPr="00212D57">
        <w:rPr>
          <w:rFonts w:hint="eastAsia"/>
          <w:szCs w:val="22"/>
        </w:rPr>
        <w:t xml:space="preserve"> </w:t>
      </w:r>
      <w:r w:rsidRPr="00761EF3">
        <w:rPr>
          <w:rFonts w:eastAsia="SimSun"/>
          <w:szCs w:val="22"/>
          <w:lang w:eastAsia="zh-CN"/>
        </w:rPr>
        <w:t>svabh</w:t>
      </w:r>
      <w:r w:rsidRPr="00761EF3">
        <w:rPr>
          <w:szCs w:val="22"/>
          <w:lang w:eastAsia="zh-CN"/>
        </w:rPr>
        <w:t>ā</w:t>
      </w:r>
      <w:r w:rsidRPr="00761EF3">
        <w:rPr>
          <w:rFonts w:eastAsia="SimSun"/>
          <w:szCs w:val="22"/>
          <w:lang w:eastAsia="zh-CN"/>
        </w:rPr>
        <w:t>vaparabh</w:t>
      </w:r>
      <w:r w:rsidRPr="00761EF3">
        <w:rPr>
          <w:szCs w:val="22"/>
          <w:lang w:eastAsia="zh-CN"/>
        </w:rPr>
        <w:t>ā</w:t>
      </w:r>
      <w:r w:rsidRPr="00761EF3">
        <w:rPr>
          <w:rFonts w:eastAsia="SimSun"/>
          <w:szCs w:val="22"/>
          <w:lang w:eastAsia="zh-CN"/>
        </w:rPr>
        <w:t>v</w:t>
      </w:r>
      <w:r w:rsidRPr="00761EF3">
        <w:rPr>
          <w:szCs w:val="22"/>
          <w:lang w:eastAsia="zh-CN"/>
        </w:rPr>
        <w:t>ā</w:t>
      </w:r>
      <w:r w:rsidRPr="00761EF3">
        <w:rPr>
          <w:rFonts w:eastAsia="SimSun"/>
          <w:szCs w:val="22"/>
          <w:lang w:eastAsia="zh-CN"/>
        </w:rPr>
        <w:t>bhy</w:t>
      </w:r>
      <w:r w:rsidRPr="00761EF3">
        <w:rPr>
          <w:szCs w:val="22"/>
          <w:lang w:eastAsia="zh-CN"/>
        </w:rPr>
        <w:t>ā</w:t>
      </w:r>
      <w:r w:rsidRPr="00761EF3">
        <w:rPr>
          <w:rFonts w:eastAsia="SimSun"/>
          <w:szCs w:val="22"/>
          <w:lang w:eastAsia="zh-CN"/>
        </w:rPr>
        <w:t>m</w:t>
      </w:r>
      <w:r w:rsidRPr="00761EF3">
        <w:rPr>
          <w:szCs w:val="22"/>
          <w:lang w:eastAsia="zh-CN"/>
        </w:rPr>
        <w:t>ṛ</w:t>
      </w:r>
      <w:r w:rsidRPr="00761EF3">
        <w:rPr>
          <w:rFonts w:eastAsia="SimSun"/>
          <w:szCs w:val="22"/>
          <w:lang w:eastAsia="zh-CN"/>
        </w:rPr>
        <w:t>te</w:t>
      </w:r>
      <w:r w:rsidRPr="00212D57">
        <w:rPr>
          <w:rFonts w:eastAsia="SimSun"/>
          <w:szCs w:val="22"/>
        </w:rPr>
        <w:t xml:space="preserve"> </w:t>
      </w:r>
      <w:r w:rsidRPr="00761EF3">
        <w:rPr>
          <w:rFonts w:eastAsia="SimSun"/>
          <w:b/>
          <w:szCs w:val="22"/>
        </w:rPr>
        <w:t>bh</w:t>
      </w:r>
      <w:r w:rsidRPr="00761EF3">
        <w:rPr>
          <w:b/>
          <w:szCs w:val="22"/>
        </w:rPr>
        <w:t>ā</w:t>
      </w:r>
      <w:r w:rsidRPr="00761EF3">
        <w:rPr>
          <w:rFonts w:eastAsia="SimSun"/>
          <w:b/>
          <w:szCs w:val="22"/>
        </w:rPr>
        <w:t>va</w:t>
      </w:r>
      <w:r w:rsidRPr="00761EF3">
        <w:rPr>
          <w:b/>
          <w:szCs w:val="22"/>
        </w:rPr>
        <w:t>ḥ</w:t>
      </w:r>
      <w:r w:rsidRPr="00212D57">
        <w:rPr>
          <w:rFonts w:eastAsia="SimSun"/>
          <w:szCs w:val="22"/>
        </w:rPr>
        <w:t xml:space="preserve"> </w:t>
      </w:r>
      <w:r w:rsidRPr="00761EF3">
        <w:rPr>
          <w:rFonts w:eastAsia="SimSun"/>
          <w:szCs w:val="22"/>
        </w:rPr>
        <w:t>kuta</w:t>
      </w:r>
      <w:r w:rsidRPr="00761EF3">
        <w:rPr>
          <w:szCs w:val="22"/>
        </w:rPr>
        <w:t>ḥ</w:t>
      </w:r>
      <w:r w:rsidRPr="00212D57">
        <w:rPr>
          <w:rFonts w:eastAsia="SimSun"/>
          <w:szCs w:val="22"/>
        </w:rPr>
        <w:t xml:space="preserve"> </w:t>
      </w:r>
      <w:r w:rsidRPr="00761EF3">
        <w:rPr>
          <w:rFonts w:eastAsia="SimSun"/>
          <w:szCs w:val="22"/>
        </w:rPr>
        <w:t>puna</w:t>
      </w:r>
      <w:r w:rsidRPr="00761EF3">
        <w:rPr>
          <w:szCs w:val="22"/>
        </w:rPr>
        <w:t>ḥ</w:t>
      </w:r>
    </w:p>
    <w:p w:rsidR="00C445A6" w:rsidRPr="00212D57" w:rsidRDefault="00C445A6" w:rsidP="00C445A6">
      <w:pPr>
        <w:pStyle w:val="a5"/>
        <w:ind w:leftChars="305" w:left="732"/>
        <w:jc w:val="both"/>
        <w:rPr>
          <w:szCs w:val="22"/>
        </w:rPr>
      </w:pPr>
      <w:r w:rsidRPr="00212D57">
        <w:rPr>
          <w:szCs w:val="22"/>
        </w:rPr>
        <w:t>[</w:t>
      </w:r>
      <w:r w:rsidRPr="00761EF3">
        <w:rPr>
          <w:szCs w:val="22"/>
        </w:rPr>
        <w:t>266</w:t>
      </w:r>
      <w:r w:rsidRPr="00212D57">
        <w:rPr>
          <w:szCs w:val="22"/>
        </w:rPr>
        <w:t>-</w:t>
      </w:r>
      <w:r w:rsidRPr="00761EF3">
        <w:rPr>
          <w:szCs w:val="22"/>
        </w:rPr>
        <w:t>10</w:t>
      </w:r>
      <w:r w:rsidRPr="00212D57">
        <w:rPr>
          <w:szCs w:val="22"/>
        </w:rPr>
        <w:t xml:space="preserve">] </w:t>
      </w:r>
      <w:r w:rsidRPr="00761EF3">
        <w:rPr>
          <w:rFonts w:eastAsia="SimSun"/>
          <w:szCs w:val="22"/>
          <w:lang w:eastAsia="zh-CN"/>
        </w:rPr>
        <w:t>svabh</w:t>
      </w:r>
      <w:r w:rsidRPr="00761EF3">
        <w:rPr>
          <w:szCs w:val="22"/>
        </w:rPr>
        <w:t>ā</w:t>
      </w:r>
      <w:r w:rsidRPr="00761EF3">
        <w:rPr>
          <w:rFonts w:eastAsia="SimSun"/>
          <w:szCs w:val="22"/>
          <w:lang w:eastAsia="zh-CN"/>
        </w:rPr>
        <w:t>ve</w:t>
      </w:r>
      <w:r w:rsidRPr="00212D57">
        <w:rPr>
          <w:rFonts w:eastAsia="SimSun"/>
          <w:szCs w:val="22"/>
          <w:lang w:eastAsia="zh-CN"/>
        </w:rPr>
        <w:t xml:space="preserve"> </w:t>
      </w:r>
      <w:r w:rsidRPr="00761EF3">
        <w:rPr>
          <w:rFonts w:eastAsia="SimSun"/>
          <w:szCs w:val="22"/>
          <w:lang w:eastAsia="zh-CN"/>
        </w:rPr>
        <w:t>parabh</w:t>
      </w:r>
      <w:r w:rsidRPr="00761EF3">
        <w:rPr>
          <w:szCs w:val="22"/>
        </w:rPr>
        <w:t>ā</w:t>
      </w:r>
      <w:r w:rsidRPr="00761EF3">
        <w:rPr>
          <w:rFonts w:eastAsia="SimSun"/>
          <w:szCs w:val="22"/>
          <w:lang w:eastAsia="zh-CN"/>
        </w:rPr>
        <w:t>ve</w:t>
      </w:r>
      <w:r w:rsidRPr="00212D57">
        <w:rPr>
          <w:rFonts w:eastAsia="SimSun"/>
          <w:szCs w:val="22"/>
          <w:lang w:eastAsia="zh-CN"/>
        </w:rPr>
        <w:t xml:space="preserve"> </w:t>
      </w:r>
      <w:r w:rsidRPr="00761EF3">
        <w:rPr>
          <w:rFonts w:eastAsia="SimSun"/>
          <w:szCs w:val="22"/>
          <w:lang w:eastAsia="zh-CN"/>
        </w:rPr>
        <w:t>y</w:t>
      </w:r>
      <w:r w:rsidRPr="00761EF3">
        <w:rPr>
          <w:szCs w:val="22"/>
        </w:rPr>
        <w:t>ā</w:t>
      </w:r>
      <w:r w:rsidRPr="00212D57">
        <w:rPr>
          <w:rFonts w:eastAsia="SimSun"/>
          <w:szCs w:val="22"/>
          <w:lang w:eastAsia="zh-CN"/>
        </w:rPr>
        <w:t xml:space="preserve"> </w:t>
      </w:r>
      <w:r w:rsidRPr="00761EF3">
        <w:rPr>
          <w:rFonts w:eastAsia="SimSun"/>
          <w:szCs w:val="22"/>
          <w:lang w:eastAsia="zh-CN"/>
        </w:rPr>
        <w:t>sati</w:t>
      </w:r>
      <w:r w:rsidRPr="00212D57">
        <w:rPr>
          <w:rFonts w:eastAsia="SimSun"/>
          <w:szCs w:val="22"/>
          <w:lang w:eastAsia="zh-CN"/>
        </w:rPr>
        <w:t xml:space="preserve"> </w:t>
      </w:r>
      <w:r w:rsidRPr="00761EF3">
        <w:rPr>
          <w:rFonts w:eastAsia="SimSun"/>
          <w:b/>
          <w:szCs w:val="22"/>
          <w:lang w:eastAsia="zh-CN"/>
        </w:rPr>
        <w:t>bh</w:t>
      </w:r>
      <w:r w:rsidRPr="00761EF3">
        <w:rPr>
          <w:b/>
          <w:szCs w:val="22"/>
        </w:rPr>
        <w:t>ā</w:t>
      </w:r>
      <w:r w:rsidRPr="00761EF3">
        <w:rPr>
          <w:rFonts w:eastAsia="SimSun"/>
          <w:b/>
          <w:szCs w:val="22"/>
          <w:lang w:eastAsia="zh-CN"/>
        </w:rPr>
        <w:t>vo</w:t>
      </w:r>
      <w:r w:rsidRPr="00212D57">
        <w:rPr>
          <w:rFonts w:eastAsia="SimSun"/>
          <w:szCs w:val="22"/>
          <w:lang w:eastAsia="zh-CN"/>
        </w:rPr>
        <w:t xml:space="preserve"> </w:t>
      </w:r>
      <w:r w:rsidRPr="00761EF3">
        <w:rPr>
          <w:rFonts w:eastAsia="SimSun"/>
          <w:szCs w:val="22"/>
          <w:lang w:eastAsia="zh-CN"/>
        </w:rPr>
        <w:t>hi</w:t>
      </w:r>
      <w:r w:rsidRPr="00212D57">
        <w:rPr>
          <w:rFonts w:eastAsia="SimSun"/>
          <w:szCs w:val="22"/>
          <w:lang w:eastAsia="zh-CN"/>
        </w:rPr>
        <w:t xml:space="preserve"> </w:t>
      </w:r>
      <w:r w:rsidRPr="00761EF3">
        <w:rPr>
          <w:rFonts w:eastAsia="SimSun"/>
          <w:szCs w:val="22"/>
          <w:lang w:eastAsia="zh-CN"/>
        </w:rPr>
        <w:t>sidhyati</w:t>
      </w:r>
      <w:r w:rsidRPr="00212D57">
        <w:rPr>
          <w:szCs w:val="22"/>
        </w:rPr>
        <w:t>//</w:t>
      </w:r>
    </w:p>
    <w:p w:rsidR="00C445A6" w:rsidRPr="00212D57" w:rsidRDefault="00C445A6" w:rsidP="00C445A6">
      <w:pPr>
        <w:pStyle w:val="a5"/>
        <w:ind w:leftChars="80" w:left="731" w:hangingChars="245" w:hanging="539"/>
        <w:jc w:val="both"/>
        <w:rPr>
          <w:rFonts w:eastAsia="細明體"/>
          <w:szCs w:val="22"/>
        </w:rPr>
      </w:pPr>
      <w:r w:rsidRPr="00212D57">
        <w:rPr>
          <w:rFonts w:eastAsia="細明體"/>
          <w:szCs w:val="22"/>
        </w:rPr>
        <w:t>（</w:t>
      </w:r>
      <w:r w:rsidRPr="00761EF3">
        <w:rPr>
          <w:rFonts w:eastAsia="細明體" w:hint="eastAsia"/>
          <w:szCs w:val="22"/>
        </w:rPr>
        <w:t>3</w:t>
      </w:r>
      <w:r w:rsidRPr="00212D57">
        <w:rPr>
          <w:rFonts w:eastAsia="細明體"/>
          <w:szCs w:val="22"/>
        </w:rPr>
        <w:t>）印順法師，《中觀論頌講記》</w:t>
      </w:r>
      <w:r w:rsidRPr="00212D57">
        <w:rPr>
          <w:rFonts w:eastAsia="細明體" w:hint="eastAsia"/>
          <w:szCs w:val="22"/>
        </w:rPr>
        <w:t>，</w:t>
      </w:r>
      <w:r w:rsidRPr="00761EF3">
        <w:rPr>
          <w:rFonts w:eastAsia="細明體"/>
          <w:szCs w:val="22"/>
        </w:rPr>
        <w:t>p</w:t>
      </w:r>
      <w:r w:rsidRPr="00212D57">
        <w:rPr>
          <w:rFonts w:eastAsia="細明體"/>
          <w:szCs w:val="22"/>
        </w:rPr>
        <w:t>.</w:t>
      </w:r>
      <w:r w:rsidRPr="00761EF3">
        <w:rPr>
          <w:rFonts w:eastAsia="細明體"/>
          <w:szCs w:val="22"/>
        </w:rPr>
        <w:t>250</w:t>
      </w:r>
      <w:r w:rsidRPr="00212D57">
        <w:rPr>
          <w:rFonts w:eastAsia="細明體"/>
          <w:szCs w:val="22"/>
        </w:rPr>
        <w:t>：</w:t>
      </w:r>
    </w:p>
    <w:p w:rsidR="00C445A6" w:rsidRPr="00212D57" w:rsidRDefault="00C445A6" w:rsidP="00C445A6">
      <w:pPr>
        <w:pStyle w:val="a5"/>
        <w:ind w:leftChars="305" w:left="732"/>
        <w:jc w:val="both"/>
        <w:rPr>
          <w:rFonts w:ascii="標楷體" w:hAnsi="標楷體"/>
          <w:szCs w:val="22"/>
        </w:rPr>
      </w:pPr>
      <w:r w:rsidRPr="00212D57">
        <w:rPr>
          <w:rFonts w:ascii="標楷體" w:eastAsia="標楷體" w:hAnsi="標楷體"/>
          <w:szCs w:val="22"/>
        </w:rPr>
        <w:t>有人以為：自性不成，他性也不成，在自性他性外，另有第三者，那是應該可以成立的。</w:t>
      </w:r>
      <w:r w:rsidRPr="00212D57">
        <w:rPr>
          <w:rFonts w:ascii="標楷體" w:eastAsia="標楷體" w:hAnsi="標楷體" w:hint="eastAsia"/>
          <w:szCs w:val="22"/>
        </w:rPr>
        <w:t>哪</w:t>
      </w:r>
      <w:r w:rsidRPr="00212D57">
        <w:rPr>
          <w:rFonts w:ascii="標楷體" w:eastAsia="標楷體" w:hAnsi="標楷體"/>
          <w:szCs w:val="22"/>
        </w:rPr>
        <w:t>裡知道，這也不得成。不是自性，就是他性；「自性、他性」既沒有，那裡「更有」</w:t>
      </w:r>
      <w:r w:rsidRPr="00212D57">
        <w:rPr>
          <w:rFonts w:eastAsia="標楷體"/>
          <w:szCs w:val="22"/>
        </w:rPr>
        <w:t>第三者</w:t>
      </w:r>
      <w:r w:rsidRPr="00212D57">
        <w:rPr>
          <w:rFonts w:ascii="標楷體" w:eastAsia="標楷體" w:hAnsi="標楷體"/>
          <w:szCs w:val="22"/>
        </w:rPr>
        <w:t>的「法」呢？假定實「有」諸法的「自」性、「他性」，「諸法」也或者「得」以「成」立；現在根本沒有實在的自性、他性，所以諸法實性都不得成立。</w:t>
      </w:r>
    </w:p>
  </w:footnote>
  <w:footnote w:id="333">
    <w:p w:rsidR="00157EF6" w:rsidRPr="00212D57" w:rsidRDefault="00157EF6" w:rsidP="002B682F">
      <w:pPr>
        <w:pStyle w:val="a5"/>
        <w:spacing w:line="0" w:lineRule="atLeast"/>
        <w:ind w:left="704" w:hangingChars="320" w:hanging="704"/>
        <w:jc w:val="both"/>
        <w:rPr>
          <w:rFonts w:eastAsia="SimSun"/>
          <w:szCs w:val="22"/>
        </w:rPr>
      </w:pPr>
      <w:r w:rsidRPr="00212D57">
        <w:rPr>
          <w:rStyle w:val="a6"/>
          <w:szCs w:val="22"/>
        </w:rPr>
        <w:footnoteRef/>
      </w:r>
      <w:r w:rsidRPr="00212D57">
        <w:rPr>
          <w:rFonts w:eastAsia="細明體" w:hint="eastAsia"/>
          <w:szCs w:val="22"/>
        </w:rPr>
        <w:t xml:space="preserve"> </w:t>
      </w:r>
      <w:r w:rsidRPr="00212D57">
        <w:rPr>
          <w:rFonts w:eastAsia="細明體"/>
          <w:szCs w:val="22"/>
        </w:rPr>
        <w:t>（</w:t>
      </w:r>
      <w:r w:rsidRPr="00761EF3">
        <w:rPr>
          <w:rFonts w:eastAsia="細明體" w:hint="eastAsia"/>
          <w:szCs w:val="22"/>
        </w:rPr>
        <w:t>1</w:t>
      </w:r>
      <w:r w:rsidRPr="00212D57">
        <w:rPr>
          <w:rFonts w:eastAsia="細明體"/>
          <w:szCs w:val="22"/>
        </w:rPr>
        <w:t>）</w:t>
      </w:r>
      <w:r w:rsidRPr="00212D57">
        <w:rPr>
          <w:szCs w:val="22"/>
        </w:rPr>
        <w:t>《中論》卷</w:t>
      </w:r>
      <w:r w:rsidRPr="00761EF3">
        <w:rPr>
          <w:szCs w:val="22"/>
        </w:rPr>
        <w:t>3</w:t>
      </w:r>
      <w:r w:rsidRPr="00212D57">
        <w:rPr>
          <w:szCs w:val="22"/>
        </w:rPr>
        <w:t>〈</w:t>
      </w:r>
      <w:r w:rsidRPr="00761EF3">
        <w:rPr>
          <w:szCs w:val="22"/>
        </w:rPr>
        <w:t>19</w:t>
      </w:r>
      <w:r w:rsidRPr="00212D57">
        <w:rPr>
          <w:szCs w:val="22"/>
        </w:rPr>
        <w:t xml:space="preserve"> </w:t>
      </w:r>
      <w:r w:rsidRPr="00212D57">
        <w:rPr>
          <w:szCs w:val="22"/>
        </w:rPr>
        <w:t>觀時品〉（第</w:t>
      </w:r>
      <w:r w:rsidRPr="00761EF3">
        <w:rPr>
          <w:szCs w:val="22"/>
        </w:rPr>
        <w:t>6</w:t>
      </w:r>
      <w:r w:rsidRPr="00212D57">
        <w:rPr>
          <w:szCs w:val="22"/>
        </w:rPr>
        <w:t>頌）</w:t>
      </w:r>
      <w:r w:rsidR="00D57C44" w:rsidRPr="00212D57">
        <w:rPr>
          <w:rFonts w:eastAsia="SimSun"/>
          <w:szCs w:val="22"/>
        </w:rPr>
        <w:t>（大正</w:t>
      </w:r>
      <w:r w:rsidR="00D57C44" w:rsidRPr="00761EF3">
        <w:rPr>
          <w:szCs w:val="22"/>
        </w:rPr>
        <w:t>30</w:t>
      </w:r>
      <w:r w:rsidR="00D57C44" w:rsidRPr="00212D57">
        <w:rPr>
          <w:szCs w:val="22"/>
        </w:rPr>
        <w:t>，</w:t>
      </w:r>
      <w:r w:rsidR="00D57C44" w:rsidRPr="00761EF3">
        <w:rPr>
          <w:szCs w:val="22"/>
        </w:rPr>
        <w:t>26a24</w:t>
      </w:r>
      <w:r w:rsidR="00D57C44" w:rsidRPr="00212D57">
        <w:rPr>
          <w:szCs w:val="22"/>
        </w:rPr>
        <w:t>-</w:t>
      </w:r>
      <w:r w:rsidR="00D57C44" w:rsidRPr="00761EF3">
        <w:rPr>
          <w:szCs w:val="22"/>
        </w:rPr>
        <w:t>2</w:t>
      </w:r>
      <w:r w:rsidR="00D57C44" w:rsidRPr="00761EF3">
        <w:rPr>
          <w:rFonts w:hint="eastAsia"/>
          <w:szCs w:val="22"/>
        </w:rPr>
        <w:t>5</w:t>
      </w:r>
      <w:r w:rsidR="00D57C44" w:rsidRPr="00212D57">
        <w:rPr>
          <w:rFonts w:eastAsia="SimSun"/>
          <w:szCs w:val="22"/>
        </w:rPr>
        <w:t>）</w:t>
      </w:r>
      <w:r w:rsidRPr="00212D57">
        <w:rPr>
          <w:szCs w:val="22"/>
        </w:rPr>
        <w:t>：</w:t>
      </w:r>
    </w:p>
    <w:p w:rsidR="00157EF6" w:rsidRPr="00212D57" w:rsidRDefault="00157EF6" w:rsidP="002B682F">
      <w:pPr>
        <w:pStyle w:val="a5"/>
        <w:ind w:leftChars="305" w:left="732"/>
        <w:jc w:val="both"/>
        <w:rPr>
          <w:rFonts w:eastAsia="標楷體"/>
          <w:szCs w:val="22"/>
        </w:rPr>
      </w:pPr>
      <w:r w:rsidRPr="00212D57">
        <w:rPr>
          <w:rFonts w:eastAsia="標楷體"/>
          <w:szCs w:val="22"/>
        </w:rPr>
        <w:t>因</w:t>
      </w:r>
      <w:r w:rsidRPr="00212D57">
        <w:rPr>
          <w:rFonts w:eastAsia="標楷體"/>
          <w:b/>
          <w:szCs w:val="22"/>
        </w:rPr>
        <w:t>物</w:t>
      </w:r>
      <w:r w:rsidRPr="00212D57">
        <w:rPr>
          <w:rFonts w:eastAsia="標楷體"/>
          <w:szCs w:val="22"/>
        </w:rPr>
        <w:t>故有</w:t>
      </w:r>
      <w:r w:rsidR="00D57C44">
        <w:rPr>
          <w:rFonts w:ascii="標楷體" w:eastAsia="標楷體" w:hAnsi="標楷體" w:hint="eastAsia"/>
          <w:bCs/>
          <w:color w:val="FF0000"/>
          <w:kern w:val="0"/>
          <w:highlight w:val="yellow"/>
        </w:rPr>
        <w:t>「</w:t>
      </w:r>
      <w:r w:rsidRPr="00212D57">
        <w:rPr>
          <w:rFonts w:eastAsia="標楷體"/>
          <w:szCs w:val="22"/>
        </w:rPr>
        <w:t>時</w:t>
      </w:r>
      <w:r w:rsidR="00D57C44">
        <w:rPr>
          <w:rFonts w:ascii="標楷體" w:eastAsia="標楷體" w:hAnsi="標楷體" w:hint="eastAsia"/>
          <w:bCs/>
          <w:color w:val="FF0000"/>
          <w:kern w:val="0"/>
          <w:highlight w:val="yellow"/>
        </w:rPr>
        <w:t>」</w:t>
      </w:r>
      <w:r w:rsidRPr="00212D57">
        <w:rPr>
          <w:rFonts w:eastAsia="標楷體"/>
          <w:szCs w:val="22"/>
        </w:rPr>
        <w:t>，離</w:t>
      </w:r>
      <w:r w:rsidRPr="00212D57">
        <w:rPr>
          <w:rFonts w:eastAsia="標楷體"/>
          <w:b/>
          <w:szCs w:val="22"/>
        </w:rPr>
        <w:t>物</w:t>
      </w:r>
      <w:r w:rsidRPr="00212D57">
        <w:rPr>
          <w:rFonts w:eastAsia="標楷體"/>
          <w:szCs w:val="22"/>
        </w:rPr>
        <w:t>何有</w:t>
      </w:r>
      <w:r w:rsidR="00D57C44">
        <w:rPr>
          <w:rFonts w:ascii="標楷體" w:eastAsia="標楷體" w:hAnsi="標楷體" w:hint="eastAsia"/>
          <w:bCs/>
          <w:color w:val="FF0000"/>
          <w:kern w:val="0"/>
          <w:highlight w:val="yellow"/>
        </w:rPr>
        <w:t>「</w:t>
      </w:r>
      <w:r w:rsidRPr="00212D57">
        <w:rPr>
          <w:rFonts w:eastAsia="標楷體"/>
          <w:szCs w:val="22"/>
        </w:rPr>
        <w:t>時</w:t>
      </w:r>
      <w:r w:rsidR="00D57C44">
        <w:rPr>
          <w:rFonts w:ascii="標楷體" w:eastAsia="標楷體" w:hAnsi="標楷體" w:hint="eastAsia"/>
          <w:bCs/>
          <w:color w:val="FF0000"/>
          <w:kern w:val="0"/>
          <w:highlight w:val="yellow"/>
        </w:rPr>
        <w:t>」</w:t>
      </w:r>
      <w:r w:rsidRPr="00212D57">
        <w:rPr>
          <w:rFonts w:eastAsia="標楷體"/>
          <w:szCs w:val="22"/>
        </w:rPr>
        <w:t>？</w:t>
      </w:r>
      <w:r w:rsidRPr="00212D57">
        <w:rPr>
          <w:rFonts w:eastAsia="標楷體"/>
          <w:b/>
          <w:szCs w:val="22"/>
        </w:rPr>
        <w:t>物</w:t>
      </w:r>
      <w:r w:rsidRPr="00212D57">
        <w:rPr>
          <w:rFonts w:eastAsia="標楷體"/>
          <w:szCs w:val="22"/>
        </w:rPr>
        <w:t>尚無所有，何況當有</w:t>
      </w:r>
      <w:r w:rsidR="00D57C44">
        <w:rPr>
          <w:rFonts w:ascii="標楷體" w:eastAsia="標楷體" w:hAnsi="標楷體" w:hint="eastAsia"/>
          <w:bCs/>
          <w:color w:val="FF0000"/>
          <w:kern w:val="0"/>
          <w:highlight w:val="yellow"/>
        </w:rPr>
        <w:t>「</w:t>
      </w:r>
      <w:r w:rsidRPr="00212D57">
        <w:rPr>
          <w:rFonts w:eastAsia="標楷體"/>
          <w:szCs w:val="22"/>
        </w:rPr>
        <w:t>時</w:t>
      </w:r>
      <w:r w:rsidR="00D57C44">
        <w:rPr>
          <w:rFonts w:ascii="標楷體" w:eastAsia="標楷體" w:hAnsi="標楷體" w:hint="eastAsia"/>
          <w:bCs/>
          <w:color w:val="FF0000"/>
          <w:kern w:val="0"/>
          <w:highlight w:val="yellow"/>
        </w:rPr>
        <w:t>」</w:t>
      </w:r>
      <w:r w:rsidRPr="00212D57">
        <w:rPr>
          <w:rFonts w:eastAsia="標楷體"/>
          <w:szCs w:val="22"/>
        </w:rPr>
        <w:t>？</w:t>
      </w:r>
      <w:r w:rsidR="00D57C44" w:rsidRPr="00212D57">
        <w:rPr>
          <w:rFonts w:eastAsia="標楷體"/>
          <w:szCs w:val="22"/>
        </w:rPr>
        <w:t xml:space="preserve"> </w:t>
      </w:r>
    </w:p>
    <w:p w:rsidR="00157EF6" w:rsidRDefault="00157EF6" w:rsidP="002B682F">
      <w:pPr>
        <w:pStyle w:val="a5"/>
        <w:ind w:leftChars="80" w:left="731" w:hangingChars="245" w:hanging="539"/>
        <w:jc w:val="both"/>
        <w:rPr>
          <w:szCs w:val="22"/>
        </w:rPr>
      </w:pPr>
      <w:r w:rsidRPr="00212D57">
        <w:rPr>
          <w:rFonts w:eastAsia="標楷體" w:hint="eastAsia"/>
          <w:szCs w:val="22"/>
        </w:rPr>
        <w:t>（</w:t>
      </w:r>
      <w:r w:rsidRPr="00761EF3">
        <w:rPr>
          <w:rFonts w:eastAsia="標楷體" w:hint="eastAsia"/>
          <w:szCs w:val="22"/>
        </w:rPr>
        <w:t>2</w:t>
      </w:r>
      <w:r w:rsidRPr="00212D57">
        <w:rPr>
          <w:rFonts w:eastAsia="標楷體" w:hint="eastAsia"/>
          <w:szCs w:val="22"/>
        </w:rPr>
        <w:t>）</w:t>
      </w:r>
      <w:r w:rsidRPr="00212D57">
        <w:rPr>
          <w:szCs w:val="22"/>
        </w:rPr>
        <w:t>三枝充悳，《中論偈頌總覽》，</w:t>
      </w:r>
      <w:r w:rsidRPr="00761EF3">
        <w:rPr>
          <w:szCs w:val="22"/>
        </w:rPr>
        <w:t>p</w:t>
      </w:r>
      <w:r w:rsidRPr="00212D57">
        <w:rPr>
          <w:szCs w:val="22"/>
        </w:rPr>
        <w:t>.</w:t>
      </w:r>
      <w:r w:rsidRPr="00761EF3">
        <w:rPr>
          <w:rFonts w:hint="eastAsia"/>
          <w:szCs w:val="22"/>
        </w:rPr>
        <w:t>54</w:t>
      </w:r>
      <w:r w:rsidRPr="00761EF3">
        <w:rPr>
          <w:szCs w:val="22"/>
        </w:rPr>
        <w:t>8</w:t>
      </w:r>
      <w:r w:rsidRPr="00212D57">
        <w:rPr>
          <w:szCs w:val="22"/>
        </w:rPr>
        <w:t>：</w:t>
      </w:r>
    </w:p>
    <w:p w:rsidR="00157EF6" w:rsidRPr="00212D57" w:rsidRDefault="00157EF6" w:rsidP="003C0F43">
      <w:pPr>
        <w:pStyle w:val="a5"/>
        <w:ind w:leftChars="305" w:left="732"/>
        <w:jc w:val="both"/>
        <w:rPr>
          <w:rFonts w:eastAsia="標楷體"/>
          <w:szCs w:val="22"/>
        </w:rPr>
      </w:pPr>
      <w:r w:rsidRPr="00212D57">
        <w:rPr>
          <w:szCs w:val="22"/>
        </w:rPr>
        <w:t>[</w:t>
      </w:r>
      <w:r w:rsidRPr="003C0F43">
        <w:rPr>
          <w:szCs w:val="22"/>
        </w:rPr>
        <w:t>387</w:t>
      </w:r>
      <w:r w:rsidRPr="00212D57">
        <w:rPr>
          <w:szCs w:val="22"/>
        </w:rPr>
        <w:t>-</w:t>
      </w:r>
      <w:r w:rsidRPr="00761EF3">
        <w:rPr>
          <w:szCs w:val="22"/>
        </w:rPr>
        <w:t>6</w:t>
      </w:r>
      <w:r w:rsidRPr="00212D57">
        <w:rPr>
          <w:szCs w:val="22"/>
        </w:rPr>
        <w:t xml:space="preserve">] </w:t>
      </w:r>
      <w:r w:rsidRPr="00761EF3">
        <w:rPr>
          <w:rFonts w:eastAsia="Roman Unicode"/>
          <w:b/>
          <w:szCs w:val="22"/>
        </w:rPr>
        <w:t>bhāvaṃ</w:t>
      </w:r>
      <w:r w:rsidRPr="00212D57">
        <w:rPr>
          <w:szCs w:val="22"/>
        </w:rPr>
        <w:t xml:space="preserve"> </w:t>
      </w:r>
      <w:r w:rsidRPr="00761EF3">
        <w:rPr>
          <w:rFonts w:eastAsia="Roman Unicode"/>
          <w:szCs w:val="22"/>
        </w:rPr>
        <w:t>pratītya</w:t>
      </w:r>
      <w:r w:rsidRPr="00212D57">
        <w:rPr>
          <w:szCs w:val="22"/>
        </w:rPr>
        <w:t xml:space="preserve"> </w:t>
      </w:r>
      <w:r w:rsidRPr="00761EF3">
        <w:rPr>
          <w:rFonts w:eastAsia="Roman Unicode"/>
          <w:szCs w:val="22"/>
        </w:rPr>
        <w:t>kālaścetkālo</w:t>
      </w:r>
      <w:r w:rsidRPr="00212D57">
        <w:rPr>
          <w:szCs w:val="22"/>
        </w:rPr>
        <w:t xml:space="preserve"> </w:t>
      </w:r>
      <w:r w:rsidRPr="00761EF3">
        <w:rPr>
          <w:rFonts w:eastAsia="Roman Unicode"/>
          <w:b/>
          <w:szCs w:val="22"/>
        </w:rPr>
        <w:t>bhāvā</w:t>
      </w:r>
      <w:r w:rsidRPr="00761EF3">
        <w:rPr>
          <w:rFonts w:eastAsia="Roman Unicode"/>
          <w:szCs w:val="22"/>
        </w:rPr>
        <w:t>dṛte</w:t>
      </w:r>
      <w:r w:rsidRPr="00212D57">
        <w:rPr>
          <w:szCs w:val="22"/>
        </w:rPr>
        <w:t xml:space="preserve"> </w:t>
      </w:r>
      <w:r w:rsidRPr="00761EF3">
        <w:rPr>
          <w:rFonts w:eastAsia="Roman Unicode"/>
          <w:szCs w:val="22"/>
        </w:rPr>
        <w:t>kutaḥ</w:t>
      </w:r>
      <w:r w:rsidRPr="00212D57">
        <w:rPr>
          <w:szCs w:val="22"/>
        </w:rPr>
        <w:t xml:space="preserve"> /</w:t>
      </w:r>
    </w:p>
    <w:p w:rsidR="00157EF6" w:rsidRPr="00212D57" w:rsidRDefault="00157EF6" w:rsidP="003C0F43">
      <w:pPr>
        <w:pStyle w:val="a5"/>
        <w:ind w:leftChars="305" w:left="732"/>
        <w:jc w:val="both"/>
        <w:rPr>
          <w:szCs w:val="22"/>
        </w:rPr>
      </w:pPr>
      <w:r w:rsidRPr="00212D57">
        <w:rPr>
          <w:szCs w:val="22"/>
        </w:rPr>
        <w:t>[</w:t>
      </w:r>
      <w:r w:rsidRPr="00761EF3">
        <w:rPr>
          <w:szCs w:val="22"/>
        </w:rPr>
        <w:t>387</w:t>
      </w:r>
      <w:r w:rsidRPr="00212D57">
        <w:rPr>
          <w:szCs w:val="22"/>
        </w:rPr>
        <w:t>-</w:t>
      </w:r>
      <w:r w:rsidRPr="00761EF3">
        <w:rPr>
          <w:szCs w:val="22"/>
        </w:rPr>
        <w:t>9</w:t>
      </w:r>
      <w:r w:rsidRPr="00212D57">
        <w:rPr>
          <w:szCs w:val="22"/>
        </w:rPr>
        <w:t xml:space="preserve">] </w:t>
      </w:r>
      <w:r w:rsidRPr="00761EF3">
        <w:rPr>
          <w:rFonts w:eastAsia="Roman Unicode"/>
          <w:szCs w:val="22"/>
        </w:rPr>
        <w:t>na</w:t>
      </w:r>
      <w:r w:rsidRPr="00212D57">
        <w:rPr>
          <w:szCs w:val="22"/>
        </w:rPr>
        <w:t xml:space="preserve"> </w:t>
      </w:r>
      <w:r w:rsidRPr="00761EF3">
        <w:rPr>
          <w:rFonts w:eastAsia="Roman Unicode"/>
          <w:szCs w:val="22"/>
        </w:rPr>
        <w:t>ca</w:t>
      </w:r>
      <w:r w:rsidRPr="00212D57">
        <w:rPr>
          <w:szCs w:val="22"/>
        </w:rPr>
        <w:t xml:space="preserve"> </w:t>
      </w:r>
      <w:r w:rsidRPr="00761EF3">
        <w:rPr>
          <w:rFonts w:eastAsia="Roman Unicode"/>
          <w:szCs w:val="22"/>
        </w:rPr>
        <w:t>kaścana</w:t>
      </w:r>
      <w:r w:rsidRPr="00212D57">
        <w:rPr>
          <w:szCs w:val="22"/>
        </w:rPr>
        <w:t xml:space="preserve"> </w:t>
      </w:r>
      <w:r w:rsidRPr="00761EF3">
        <w:rPr>
          <w:rFonts w:eastAsia="Roman Unicode"/>
          <w:b/>
          <w:szCs w:val="22"/>
        </w:rPr>
        <w:t>bhāvo</w:t>
      </w:r>
      <w:r w:rsidRPr="00212D57">
        <w:rPr>
          <w:szCs w:val="22"/>
        </w:rPr>
        <w:t xml:space="preserve"> ’</w:t>
      </w:r>
      <w:r w:rsidRPr="00761EF3">
        <w:rPr>
          <w:rFonts w:eastAsia="Roman Unicode"/>
          <w:szCs w:val="22"/>
        </w:rPr>
        <w:t>sti</w:t>
      </w:r>
      <w:r w:rsidRPr="00212D57">
        <w:rPr>
          <w:szCs w:val="22"/>
        </w:rPr>
        <w:t xml:space="preserve"> </w:t>
      </w:r>
      <w:r w:rsidRPr="00761EF3">
        <w:rPr>
          <w:rFonts w:eastAsia="Roman Unicode"/>
          <w:szCs w:val="22"/>
        </w:rPr>
        <w:t>kutaḥ</w:t>
      </w:r>
      <w:r w:rsidRPr="00212D57">
        <w:rPr>
          <w:szCs w:val="22"/>
        </w:rPr>
        <w:t xml:space="preserve"> </w:t>
      </w:r>
      <w:r w:rsidRPr="00761EF3">
        <w:rPr>
          <w:rFonts w:eastAsia="Roman Unicode"/>
          <w:szCs w:val="22"/>
        </w:rPr>
        <w:t>kālo</w:t>
      </w:r>
      <w:r w:rsidRPr="00212D57">
        <w:rPr>
          <w:szCs w:val="22"/>
        </w:rPr>
        <w:t xml:space="preserve"> </w:t>
      </w:r>
      <w:r w:rsidRPr="00761EF3">
        <w:rPr>
          <w:rFonts w:eastAsia="Roman Unicode"/>
          <w:szCs w:val="22"/>
        </w:rPr>
        <w:t>bhaviṣyati</w:t>
      </w:r>
      <w:r>
        <w:rPr>
          <w:szCs w:val="22"/>
        </w:rPr>
        <w:t xml:space="preserve"> //</w:t>
      </w:r>
    </w:p>
    <w:p w:rsidR="00157EF6" w:rsidRPr="00212D57" w:rsidRDefault="00157EF6" w:rsidP="002B682F">
      <w:pPr>
        <w:pStyle w:val="a5"/>
        <w:ind w:leftChars="80" w:left="731" w:hangingChars="245" w:hanging="539"/>
        <w:jc w:val="both"/>
        <w:rPr>
          <w:rFonts w:eastAsia="細明體"/>
          <w:szCs w:val="22"/>
        </w:rPr>
      </w:pPr>
      <w:r w:rsidRPr="00212D57">
        <w:rPr>
          <w:rFonts w:eastAsia="細明體"/>
          <w:szCs w:val="22"/>
        </w:rPr>
        <w:t>（</w:t>
      </w:r>
      <w:r w:rsidRPr="00761EF3">
        <w:rPr>
          <w:rFonts w:eastAsia="細明體" w:hint="eastAsia"/>
          <w:szCs w:val="22"/>
        </w:rPr>
        <w:t>3</w:t>
      </w:r>
      <w:r w:rsidRPr="00212D57">
        <w:rPr>
          <w:rFonts w:eastAsia="細明體"/>
          <w:szCs w:val="22"/>
        </w:rPr>
        <w:t>）印順法師，《中觀論頌講記》</w:t>
      </w:r>
      <w:r w:rsidRPr="00212D57">
        <w:rPr>
          <w:rFonts w:eastAsia="細明體" w:hint="eastAsia"/>
          <w:szCs w:val="22"/>
        </w:rPr>
        <w:t>，</w:t>
      </w:r>
      <w:r w:rsidRPr="00761EF3">
        <w:rPr>
          <w:rFonts w:eastAsia="細明體" w:hint="eastAsia"/>
          <w:szCs w:val="22"/>
        </w:rPr>
        <w:t>p</w:t>
      </w:r>
      <w:r w:rsidRPr="00761EF3">
        <w:rPr>
          <w:rFonts w:eastAsia="細明體"/>
          <w:szCs w:val="22"/>
        </w:rPr>
        <w:t>p</w:t>
      </w:r>
      <w:r w:rsidRPr="00212D57">
        <w:rPr>
          <w:rFonts w:eastAsia="細明體"/>
          <w:szCs w:val="22"/>
        </w:rPr>
        <w:t>.</w:t>
      </w:r>
      <w:r w:rsidRPr="00761EF3">
        <w:rPr>
          <w:rFonts w:eastAsia="細明體"/>
          <w:szCs w:val="22"/>
        </w:rPr>
        <w:t>351</w:t>
      </w:r>
      <w:r w:rsidRPr="00212D57">
        <w:rPr>
          <w:rFonts w:eastAsia="細明體"/>
          <w:szCs w:val="22"/>
        </w:rPr>
        <w:t>-</w:t>
      </w:r>
      <w:r w:rsidRPr="00761EF3">
        <w:rPr>
          <w:rFonts w:eastAsia="細明體"/>
          <w:szCs w:val="22"/>
        </w:rPr>
        <w:t>352</w:t>
      </w:r>
      <w:r w:rsidRPr="00212D57">
        <w:rPr>
          <w:rFonts w:eastAsia="細明體"/>
          <w:szCs w:val="22"/>
        </w:rPr>
        <w:t>：</w:t>
      </w:r>
    </w:p>
    <w:p w:rsidR="00157EF6" w:rsidRPr="00212D57" w:rsidRDefault="00157EF6" w:rsidP="002B682F">
      <w:pPr>
        <w:pStyle w:val="a5"/>
        <w:ind w:leftChars="305" w:left="732"/>
        <w:jc w:val="both"/>
        <w:rPr>
          <w:rFonts w:ascii="標楷體" w:eastAsia="標楷體" w:hAnsi="標楷體"/>
          <w:szCs w:val="22"/>
        </w:rPr>
      </w:pPr>
      <w:r w:rsidRPr="00212D57">
        <w:rPr>
          <w:rFonts w:ascii="標楷體" w:eastAsia="標楷體" w:hAnsi="標楷體"/>
          <w:szCs w:val="22"/>
        </w:rPr>
        <w:t>色心具體的法，是存在的，有作用起滅，所以依此而立過、未、現的三世。時間是不實在的，而物是實在的，這是實在論者的見解。現在評破他們說：有實在的事物，或許可說「因物故</w:t>
      </w:r>
      <w:r w:rsidRPr="00212D57">
        <w:rPr>
          <w:rFonts w:eastAsia="標楷體"/>
          <w:szCs w:val="22"/>
        </w:rPr>
        <w:t>有時</w:t>
      </w:r>
      <w:r w:rsidRPr="00212D57">
        <w:rPr>
          <w:rFonts w:ascii="標楷體" w:eastAsia="標楷體" w:hAnsi="標楷體"/>
          <w:szCs w:val="22"/>
        </w:rPr>
        <w:t>」。既知因物而有，那就「離物」沒「有時」了，為什麼還戲論時間相呢？況且，切實的觀察起來，是沒有真實物體的。既然「物」體「尚無所有」，那裡還可說「有時」呢？這不過是從他所承認的而加以破斥罷了。中觀者的真義：</w:t>
      </w:r>
      <w:r w:rsidR="00F140C4">
        <w:rPr>
          <w:rFonts w:ascii="標楷體" w:eastAsia="標楷體" w:hAnsi="標楷體" w:hint="eastAsia"/>
          <w:szCs w:val="22"/>
        </w:rPr>
        <w:t>「</w:t>
      </w:r>
      <w:r w:rsidRPr="00212D57">
        <w:rPr>
          <w:rFonts w:ascii="標楷體" w:eastAsia="標楷體" w:hAnsi="標楷體"/>
          <w:szCs w:val="22"/>
        </w:rPr>
        <w:t>若法因待成，是法還成待。</w:t>
      </w:r>
      <w:r w:rsidR="00F140C4">
        <w:rPr>
          <w:rFonts w:ascii="標楷體" w:eastAsia="標楷體" w:hAnsi="標楷體" w:hint="eastAsia"/>
          <w:szCs w:val="22"/>
        </w:rPr>
        <w:t>」</w:t>
      </w:r>
      <w:r w:rsidRPr="00212D57">
        <w:rPr>
          <w:rFonts w:ascii="標楷體" w:eastAsia="標楷體" w:hAnsi="標楷體"/>
          <w:szCs w:val="22"/>
        </w:rPr>
        <w:t>所以，不但時是因物有的，物也是因時而有的。物與時，都是緣起的存在，彼此沒有實在的自性，而各有他的緣起特相。</w:t>
      </w:r>
    </w:p>
  </w:footnote>
  <w:footnote w:id="334">
    <w:p w:rsidR="00C445A6" w:rsidRPr="00212D57" w:rsidRDefault="00C445A6" w:rsidP="00C445A6">
      <w:pPr>
        <w:pStyle w:val="a5"/>
        <w:spacing w:line="0" w:lineRule="atLeast"/>
        <w:ind w:left="704" w:hangingChars="320" w:hanging="704"/>
        <w:jc w:val="both"/>
        <w:rPr>
          <w:rFonts w:eastAsia="SimSun"/>
          <w:szCs w:val="22"/>
        </w:rPr>
      </w:pPr>
      <w:r w:rsidRPr="00212D57">
        <w:rPr>
          <w:rStyle w:val="a6"/>
          <w:szCs w:val="22"/>
        </w:rPr>
        <w:footnoteRef/>
      </w:r>
      <w:r w:rsidRPr="00212D57">
        <w:rPr>
          <w:rFonts w:ascii="SimSun" w:hAnsi="SimSun" w:hint="eastAsia"/>
          <w:szCs w:val="22"/>
        </w:rPr>
        <w:t xml:space="preserve"> </w:t>
      </w:r>
      <w:r w:rsidRPr="00212D57">
        <w:rPr>
          <w:rFonts w:ascii="SimSun" w:hAnsi="SimSun" w:hint="eastAsia"/>
          <w:szCs w:val="22"/>
        </w:rPr>
        <w:t>（</w:t>
      </w:r>
      <w:r w:rsidRPr="00761EF3">
        <w:rPr>
          <w:rFonts w:hint="eastAsia"/>
          <w:szCs w:val="22"/>
        </w:rPr>
        <w:t>1</w:t>
      </w:r>
      <w:r w:rsidRPr="00212D57">
        <w:rPr>
          <w:rFonts w:ascii="SimSun" w:hAnsi="SimSun" w:hint="eastAsia"/>
          <w:szCs w:val="22"/>
        </w:rPr>
        <w:t>）</w:t>
      </w:r>
      <w:r w:rsidRPr="000F1A24">
        <w:rPr>
          <w:rFonts w:eastAsia="細明體"/>
          <w:spacing w:val="4"/>
          <w:szCs w:val="22"/>
        </w:rPr>
        <w:t>分別明（清</w:t>
      </w:r>
      <w:r w:rsidRPr="000F1A24">
        <w:rPr>
          <w:rFonts w:ascii="細明體" w:eastAsia="細明體" w:hAnsi="細明體" w:hint="eastAsia"/>
          <w:spacing w:val="4"/>
          <w:szCs w:val="22"/>
        </w:rPr>
        <w:t>辨</w:t>
      </w:r>
      <w:r w:rsidRPr="000F1A24">
        <w:rPr>
          <w:rFonts w:eastAsia="細明體"/>
          <w:spacing w:val="4"/>
          <w:szCs w:val="22"/>
        </w:rPr>
        <w:t>）釋，《</w:t>
      </w:r>
      <w:r w:rsidRPr="000F1A24">
        <w:rPr>
          <w:spacing w:val="4"/>
          <w:szCs w:val="22"/>
        </w:rPr>
        <w:t>般若燈論釋》卷</w:t>
      </w:r>
      <w:r w:rsidRPr="000F1A24">
        <w:rPr>
          <w:spacing w:val="4"/>
          <w:szCs w:val="22"/>
        </w:rPr>
        <w:t>9</w:t>
      </w:r>
      <w:r w:rsidRPr="000F1A24">
        <w:rPr>
          <w:spacing w:val="4"/>
          <w:szCs w:val="22"/>
        </w:rPr>
        <w:t>〈</w:t>
      </w:r>
      <w:r w:rsidRPr="000F1A24">
        <w:rPr>
          <w:spacing w:val="4"/>
          <w:szCs w:val="22"/>
        </w:rPr>
        <w:t xml:space="preserve">15 </w:t>
      </w:r>
      <w:r w:rsidRPr="000F1A24">
        <w:rPr>
          <w:spacing w:val="4"/>
          <w:szCs w:val="22"/>
        </w:rPr>
        <w:t>觀有無品〉</w:t>
      </w:r>
      <w:r w:rsidRPr="000F1A24">
        <w:rPr>
          <w:rFonts w:eastAsia="SimSun"/>
          <w:spacing w:val="4"/>
          <w:szCs w:val="22"/>
        </w:rPr>
        <w:t>（大正</w:t>
      </w:r>
      <w:r w:rsidRPr="000F1A24">
        <w:rPr>
          <w:spacing w:val="4"/>
          <w:szCs w:val="22"/>
        </w:rPr>
        <w:t>30</w:t>
      </w:r>
      <w:r w:rsidRPr="000F1A24">
        <w:rPr>
          <w:spacing w:val="4"/>
          <w:szCs w:val="22"/>
        </w:rPr>
        <w:t>，</w:t>
      </w:r>
      <w:r w:rsidRPr="000F1A24">
        <w:rPr>
          <w:spacing w:val="4"/>
          <w:szCs w:val="22"/>
        </w:rPr>
        <w:t>94a22-23</w:t>
      </w:r>
      <w:r w:rsidRPr="000F1A24">
        <w:rPr>
          <w:rFonts w:eastAsia="SimSun"/>
          <w:spacing w:val="4"/>
          <w:szCs w:val="22"/>
        </w:rPr>
        <w:t>）</w:t>
      </w:r>
      <w:r w:rsidRPr="000F1A24">
        <w:rPr>
          <w:spacing w:val="4"/>
          <w:szCs w:val="22"/>
        </w:rPr>
        <w:t>：</w:t>
      </w:r>
    </w:p>
    <w:p w:rsidR="00C445A6" w:rsidRPr="00212D57" w:rsidRDefault="00C445A6" w:rsidP="00C445A6">
      <w:pPr>
        <w:pStyle w:val="a5"/>
        <w:ind w:leftChars="305" w:left="732"/>
        <w:jc w:val="both"/>
        <w:rPr>
          <w:rFonts w:eastAsia="SimSun"/>
          <w:szCs w:val="22"/>
          <w:lang w:eastAsia="zh-CN"/>
        </w:rPr>
      </w:pPr>
      <w:r w:rsidRPr="00212D57">
        <w:rPr>
          <w:rFonts w:eastAsia="標楷體"/>
          <w:szCs w:val="22"/>
        </w:rPr>
        <w:t>若人見自</w:t>
      </w:r>
      <w:r w:rsidRPr="00D57C44">
        <w:rPr>
          <w:rFonts w:eastAsia="標楷體"/>
          <w:szCs w:val="22"/>
          <w:highlight w:val="yellow"/>
        </w:rPr>
        <w:t>他及</w:t>
      </w:r>
      <w:r w:rsidRPr="00212D57">
        <w:rPr>
          <w:rFonts w:eastAsia="標楷體"/>
          <w:szCs w:val="22"/>
        </w:rPr>
        <w:t>有</w:t>
      </w:r>
      <w:r w:rsidRPr="00212D57">
        <w:rPr>
          <w:rFonts w:eastAsia="標楷體"/>
          <w:b/>
          <w:szCs w:val="22"/>
        </w:rPr>
        <w:t>體</w:t>
      </w:r>
      <w:r w:rsidRPr="00212D57">
        <w:rPr>
          <w:rFonts w:eastAsia="標楷體"/>
          <w:szCs w:val="22"/>
        </w:rPr>
        <w:t>無</w:t>
      </w:r>
      <w:r w:rsidRPr="00212D57">
        <w:rPr>
          <w:rFonts w:eastAsia="標楷體"/>
          <w:b/>
          <w:szCs w:val="22"/>
        </w:rPr>
        <w:t>體</w:t>
      </w:r>
      <w:r w:rsidRPr="00212D57">
        <w:rPr>
          <w:rFonts w:eastAsia="標楷體"/>
          <w:szCs w:val="22"/>
        </w:rPr>
        <w:t>，彼則不能</w:t>
      </w:r>
      <w:r w:rsidRPr="00D57C44">
        <w:rPr>
          <w:rFonts w:eastAsia="標楷體"/>
          <w:szCs w:val="22"/>
          <w:highlight w:val="yellow"/>
        </w:rPr>
        <w:t>見如</w:t>
      </w:r>
      <w:r w:rsidRPr="00212D57">
        <w:rPr>
          <w:rFonts w:eastAsia="標楷體"/>
          <w:szCs w:val="22"/>
        </w:rPr>
        <w:t>來真實法。</w:t>
      </w:r>
    </w:p>
    <w:p w:rsidR="00C445A6" w:rsidRPr="00212D57" w:rsidRDefault="00C445A6" w:rsidP="00C445A6">
      <w:pPr>
        <w:pStyle w:val="a5"/>
        <w:ind w:leftChars="80" w:left="73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w:t>
      </w:r>
      <w:r w:rsidRPr="00212D57">
        <w:rPr>
          <w:szCs w:val="22"/>
        </w:rPr>
        <w:t>《中論》卷</w:t>
      </w:r>
      <w:r w:rsidRPr="00761EF3">
        <w:rPr>
          <w:szCs w:val="22"/>
        </w:rPr>
        <w:t>3</w:t>
      </w:r>
      <w:r w:rsidRPr="00212D57">
        <w:rPr>
          <w:szCs w:val="22"/>
        </w:rPr>
        <w:t>〈</w:t>
      </w:r>
      <w:r w:rsidRPr="00761EF3">
        <w:rPr>
          <w:rFonts w:hint="eastAsia"/>
          <w:szCs w:val="22"/>
        </w:rPr>
        <w:t>15</w:t>
      </w:r>
      <w:r w:rsidRPr="00212D57">
        <w:rPr>
          <w:szCs w:val="22"/>
        </w:rPr>
        <w:t xml:space="preserve"> </w:t>
      </w:r>
      <w:r w:rsidRPr="00212D57">
        <w:rPr>
          <w:szCs w:val="22"/>
        </w:rPr>
        <w:t>觀有無品〉</w:t>
      </w:r>
      <w:r w:rsidRPr="00212D57">
        <w:rPr>
          <w:rFonts w:eastAsia="SimSun"/>
          <w:szCs w:val="22"/>
        </w:rPr>
        <w:t>（</w:t>
      </w:r>
      <w:r w:rsidRPr="00212D57">
        <w:rPr>
          <w:szCs w:val="22"/>
        </w:rPr>
        <w:t>大正</w:t>
      </w:r>
      <w:r w:rsidRPr="00761EF3">
        <w:rPr>
          <w:szCs w:val="22"/>
        </w:rPr>
        <w:t>30</w:t>
      </w:r>
      <w:r w:rsidRPr="00212D57">
        <w:rPr>
          <w:szCs w:val="22"/>
        </w:rPr>
        <w:t>，</w:t>
      </w:r>
      <w:r w:rsidRPr="00761EF3">
        <w:rPr>
          <w:szCs w:val="22"/>
        </w:rPr>
        <w:t>20a23</w:t>
      </w:r>
      <w:r w:rsidRPr="00212D57">
        <w:rPr>
          <w:rFonts w:eastAsia="SimSun"/>
          <w:szCs w:val="22"/>
        </w:rPr>
        <w:t>-</w:t>
      </w:r>
      <w:r w:rsidRPr="00761EF3">
        <w:rPr>
          <w:szCs w:val="22"/>
        </w:rPr>
        <w:t>2</w:t>
      </w:r>
      <w:r w:rsidRPr="00761EF3">
        <w:rPr>
          <w:rFonts w:hint="eastAsia"/>
          <w:szCs w:val="22"/>
        </w:rPr>
        <w:t>4</w:t>
      </w:r>
      <w:r w:rsidRPr="00212D57">
        <w:rPr>
          <w:rFonts w:eastAsia="SimSun"/>
          <w:szCs w:val="22"/>
        </w:rPr>
        <w:t>）</w:t>
      </w:r>
      <w:r w:rsidRPr="00212D57">
        <w:rPr>
          <w:szCs w:val="22"/>
        </w:rPr>
        <w:t>：</w:t>
      </w:r>
    </w:p>
    <w:p w:rsidR="00C445A6" w:rsidRPr="00212D57" w:rsidRDefault="00C445A6" w:rsidP="00C445A6">
      <w:pPr>
        <w:pStyle w:val="a5"/>
        <w:ind w:leftChars="305" w:left="732"/>
        <w:jc w:val="both"/>
        <w:rPr>
          <w:rFonts w:ascii="標楷體" w:eastAsia="標楷體" w:hAnsi="標楷體"/>
          <w:szCs w:val="22"/>
        </w:rPr>
      </w:pPr>
      <w:r w:rsidRPr="00212D57">
        <w:rPr>
          <w:rFonts w:eastAsia="標楷體"/>
          <w:szCs w:val="22"/>
        </w:rPr>
        <w:t>若人見</w:t>
      </w:r>
      <w:r w:rsidRPr="00212D57">
        <w:rPr>
          <w:rFonts w:eastAsia="標楷體"/>
          <w:b/>
          <w:szCs w:val="22"/>
        </w:rPr>
        <w:t>有</w:t>
      </w:r>
      <w:r>
        <w:rPr>
          <w:rFonts w:ascii="標楷體" w:eastAsia="標楷體" w:hAnsi="標楷體" w:hint="eastAsia"/>
          <w:color w:val="FF0000"/>
          <w:kern w:val="0"/>
          <w:highlight w:val="yellow"/>
        </w:rPr>
        <w:t>.</w:t>
      </w:r>
      <w:r w:rsidRPr="00212D57">
        <w:rPr>
          <w:rFonts w:eastAsia="標楷體"/>
          <w:szCs w:val="22"/>
        </w:rPr>
        <w:t>無</w:t>
      </w:r>
      <w:r>
        <w:rPr>
          <w:rFonts w:ascii="標楷體" w:eastAsia="標楷體" w:hAnsi="標楷體" w:hint="eastAsia"/>
          <w:color w:val="FF0000"/>
          <w:spacing w:val="-4"/>
          <w:kern w:val="0"/>
          <w:highlight w:val="yellow"/>
        </w:rPr>
        <w:t>、</w:t>
      </w:r>
      <w:r w:rsidRPr="00212D57">
        <w:rPr>
          <w:rFonts w:eastAsia="標楷體"/>
          <w:szCs w:val="22"/>
        </w:rPr>
        <w:t>見</w:t>
      </w:r>
      <w:r w:rsidRPr="00212D57">
        <w:rPr>
          <w:rFonts w:eastAsia="標楷體"/>
          <w:bCs/>
          <w:szCs w:val="22"/>
        </w:rPr>
        <w:t>自性</w:t>
      </w:r>
      <w:r>
        <w:rPr>
          <w:rFonts w:ascii="標楷體" w:eastAsia="標楷體" w:hAnsi="標楷體" w:hint="eastAsia"/>
          <w:color w:val="FF0000"/>
          <w:kern w:val="0"/>
          <w:highlight w:val="yellow"/>
        </w:rPr>
        <w:t>.</w:t>
      </w:r>
      <w:r w:rsidRPr="00212D57">
        <w:rPr>
          <w:rFonts w:eastAsia="標楷體"/>
          <w:szCs w:val="22"/>
        </w:rPr>
        <w:t>他性，如是則不</w:t>
      </w:r>
      <w:r w:rsidRPr="00D57C44">
        <w:rPr>
          <w:rFonts w:eastAsia="標楷體"/>
          <w:szCs w:val="22"/>
          <w:highlight w:val="yellow"/>
        </w:rPr>
        <w:t>見佛</w:t>
      </w:r>
      <w:r w:rsidRPr="00212D57">
        <w:rPr>
          <w:rFonts w:eastAsia="標楷體"/>
          <w:szCs w:val="22"/>
        </w:rPr>
        <w:t>法真實義。</w:t>
      </w:r>
    </w:p>
    <w:p w:rsidR="00C445A6" w:rsidRDefault="00C445A6" w:rsidP="00C445A6">
      <w:pPr>
        <w:pStyle w:val="a5"/>
        <w:ind w:leftChars="80" w:left="731" w:hangingChars="245" w:hanging="539"/>
        <w:jc w:val="both"/>
        <w:rPr>
          <w:szCs w:val="22"/>
        </w:rPr>
      </w:pPr>
      <w:r w:rsidRPr="00212D57">
        <w:rPr>
          <w:szCs w:val="22"/>
        </w:rPr>
        <w:t>（</w:t>
      </w:r>
      <w:r w:rsidRPr="00761EF3">
        <w:rPr>
          <w:rFonts w:hint="eastAsia"/>
          <w:szCs w:val="22"/>
        </w:rPr>
        <w:t>3</w:t>
      </w:r>
      <w:r w:rsidRPr="00212D57">
        <w:rPr>
          <w:szCs w:val="22"/>
        </w:rPr>
        <w:t>）</w:t>
      </w:r>
      <w:r>
        <w:rPr>
          <w:szCs w:val="22"/>
        </w:rPr>
        <w:t>三枝充悳</w:t>
      </w:r>
      <w:r w:rsidRPr="00212D57">
        <w:rPr>
          <w:rFonts w:hint="eastAsia"/>
          <w:szCs w:val="22"/>
        </w:rPr>
        <w:t>，</w:t>
      </w:r>
      <w:r w:rsidRPr="00212D57">
        <w:rPr>
          <w:szCs w:val="22"/>
        </w:rPr>
        <w:t>《中論偈頌總覽》</w:t>
      </w:r>
      <w:r w:rsidRPr="00212D57">
        <w:rPr>
          <w:rFonts w:hint="eastAsia"/>
          <w:szCs w:val="22"/>
        </w:rPr>
        <w:t>，</w:t>
      </w:r>
      <w:r w:rsidRPr="00761EF3">
        <w:rPr>
          <w:szCs w:val="22"/>
        </w:rPr>
        <w:t>pp</w:t>
      </w:r>
      <w:r w:rsidRPr="00212D57">
        <w:rPr>
          <w:szCs w:val="22"/>
        </w:rPr>
        <w:t>.</w:t>
      </w:r>
      <w:r w:rsidRPr="00761EF3">
        <w:rPr>
          <w:szCs w:val="22"/>
        </w:rPr>
        <w:t>412</w:t>
      </w:r>
      <w:r w:rsidRPr="00212D57">
        <w:rPr>
          <w:szCs w:val="22"/>
        </w:rPr>
        <w:t>-</w:t>
      </w:r>
      <w:r w:rsidRPr="00761EF3">
        <w:rPr>
          <w:szCs w:val="22"/>
        </w:rPr>
        <w:t>413</w:t>
      </w:r>
      <w:r>
        <w:rPr>
          <w:szCs w:val="22"/>
        </w:rPr>
        <w:t>：</w:t>
      </w:r>
    </w:p>
    <w:p w:rsidR="00C445A6" w:rsidRPr="00212D57" w:rsidRDefault="00C445A6" w:rsidP="00C445A6">
      <w:pPr>
        <w:pStyle w:val="a5"/>
        <w:ind w:leftChars="305" w:left="732"/>
        <w:jc w:val="both"/>
        <w:rPr>
          <w:rFonts w:eastAsia="SimSun"/>
          <w:szCs w:val="22"/>
        </w:rPr>
      </w:pPr>
      <w:r w:rsidRPr="00212D57">
        <w:rPr>
          <w:szCs w:val="22"/>
        </w:rPr>
        <w:t>[</w:t>
      </w:r>
      <w:r w:rsidRPr="00761EF3">
        <w:rPr>
          <w:szCs w:val="22"/>
        </w:rPr>
        <w:t>267</w:t>
      </w:r>
      <w:r w:rsidRPr="00212D57">
        <w:rPr>
          <w:szCs w:val="22"/>
        </w:rPr>
        <w:t>-</w:t>
      </w:r>
      <w:r w:rsidRPr="00761EF3">
        <w:rPr>
          <w:szCs w:val="22"/>
        </w:rPr>
        <w:t>8</w:t>
      </w:r>
      <w:r w:rsidRPr="00212D57">
        <w:rPr>
          <w:szCs w:val="22"/>
        </w:rPr>
        <w:t xml:space="preserve">] </w:t>
      </w:r>
      <w:r w:rsidRPr="00761EF3">
        <w:rPr>
          <w:rFonts w:eastAsia="SimSun"/>
          <w:szCs w:val="22"/>
        </w:rPr>
        <w:t>svabh</w:t>
      </w:r>
      <w:r w:rsidRPr="00761EF3">
        <w:rPr>
          <w:szCs w:val="22"/>
        </w:rPr>
        <w:t>ā</w:t>
      </w:r>
      <w:r w:rsidRPr="00761EF3">
        <w:rPr>
          <w:rFonts w:eastAsia="SimSun"/>
          <w:szCs w:val="22"/>
        </w:rPr>
        <w:t>va</w:t>
      </w:r>
      <w:r w:rsidRPr="00761EF3">
        <w:rPr>
          <w:szCs w:val="22"/>
        </w:rPr>
        <w:t>ṃ</w:t>
      </w:r>
      <w:r w:rsidRPr="00212D57">
        <w:rPr>
          <w:rFonts w:eastAsia="SimSun"/>
          <w:szCs w:val="22"/>
        </w:rPr>
        <w:t xml:space="preserve"> </w:t>
      </w:r>
      <w:r w:rsidRPr="00761EF3">
        <w:rPr>
          <w:rFonts w:eastAsia="SimSun"/>
          <w:szCs w:val="22"/>
        </w:rPr>
        <w:t>parabh</w:t>
      </w:r>
      <w:r w:rsidRPr="00761EF3">
        <w:rPr>
          <w:szCs w:val="22"/>
        </w:rPr>
        <w:t>ā</w:t>
      </w:r>
      <w:r w:rsidRPr="00761EF3">
        <w:rPr>
          <w:rFonts w:eastAsia="SimSun"/>
          <w:szCs w:val="22"/>
        </w:rPr>
        <w:t>va</w:t>
      </w:r>
      <w:r w:rsidRPr="00761EF3">
        <w:rPr>
          <w:szCs w:val="22"/>
        </w:rPr>
        <w:t>ṃ</w:t>
      </w:r>
      <w:r w:rsidRPr="00212D57">
        <w:rPr>
          <w:rFonts w:eastAsia="SimSun"/>
          <w:szCs w:val="22"/>
        </w:rPr>
        <w:t xml:space="preserve"> </w:t>
      </w:r>
      <w:r w:rsidRPr="00761EF3">
        <w:rPr>
          <w:rFonts w:eastAsia="SimSun"/>
          <w:szCs w:val="22"/>
        </w:rPr>
        <w:t>ca</w:t>
      </w:r>
      <w:r w:rsidRPr="00212D57">
        <w:rPr>
          <w:rFonts w:eastAsia="SimSun"/>
          <w:szCs w:val="22"/>
        </w:rPr>
        <w:t xml:space="preserve"> </w:t>
      </w:r>
      <w:r w:rsidRPr="00761EF3">
        <w:rPr>
          <w:rFonts w:eastAsia="SimSun"/>
          <w:b/>
          <w:szCs w:val="22"/>
        </w:rPr>
        <w:t>bh</w:t>
      </w:r>
      <w:r w:rsidRPr="00761EF3">
        <w:rPr>
          <w:b/>
          <w:szCs w:val="22"/>
        </w:rPr>
        <w:t>ā</w:t>
      </w:r>
      <w:r w:rsidRPr="00761EF3">
        <w:rPr>
          <w:rFonts w:eastAsia="SimSun"/>
          <w:b/>
          <w:szCs w:val="22"/>
        </w:rPr>
        <w:t>va</w:t>
      </w:r>
      <w:r w:rsidRPr="00761EF3">
        <w:rPr>
          <w:b/>
          <w:szCs w:val="22"/>
        </w:rPr>
        <w:t>ṃ</w:t>
      </w:r>
      <w:r w:rsidRPr="00212D57">
        <w:rPr>
          <w:rFonts w:eastAsia="SimSun"/>
          <w:szCs w:val="22"/>
        </w:rPr>
        <w:t xml:space="preserve"> </w:t>
      </w:r>
      <w:r w:rsidRPr="00761EF3">
        <w:rPr>
          <w:rFonts w:eastAsia="SimSun"/>
          <w:szCs w:val="22"/>
        </w:rPr>
        <w:t>c</w:t>
      </w:r>
      <w:r w:rsidRPr="00761EF3">
        <w:rPr>
          <w:szCs w:val="22"/>
        </w:rPr>
        <w:t>ā</w:t>
      </w:r>
      <w:r w:rsidRPr="00761EF3">
        <w:rPr>
          <w:rFonts w:eastAsia="SimSun"/>
          <w:szCs w:val="22"/>
        </w:rPr>
        <w:t>bh</w:t>
      </w:r>
      <w:r w:rsidRPr="00761EF3">
        <w:rPr>
          <w:szCs w:val="22"/>
        </w:rPr>
        <w:t>ā</w:t>
      </w:r>
      <w:r w:rsidRPr="00761EF3">
        <w:rPr>
          <w:rFonts w:eastAsia="SimSun"/>
          <w:szCs w:val="22"/>
        </w:rPr>
        <w:t>vameva</w:t>
      </w:r>
      <w:r w:rsidRPr="00212D57">
        <w:rPr>
          <w:rFonts w:eastAsia="SimSun"/>
          <w:szCs w:val="22"/>
        </w:rPr>
        <w:t xml:space="preserve"> </w:t>
      </w:r>
      <w:r w:rsidRPr="00761EF3">
        <w:rPr>
          <w:rFonts w:eastAsia="SimSun"/>
          <w:szCs w:val="22"/>
        </w:rPr>
        <w:t>ca</w:t>
      </w:r>
      <w:r w:rsidRPr="00212D57">
        <w:rPr>
          <w:szCs w:val="22"/>
        </w:rPr>
        <w:t>/</w:t>
      </w:r>
    </w:p>
    <w:p w:rsidR="00C445A6" w:rsidRPr="00212D57" w:rsidRDefault="00C445A6" w:rsidP="00C445A6">
      <w:pPr>
        <w:pStyle w:val="a5"/>
        <w:ind w:leftChars="305" w:left="732"/>
        <w:jc w:val="both"/>
        <w:rPr>
          <w:szCs w:val="22"/>
        </w:rPr>
      </w:pPr>
      <w:r w:rsidRPr="00212D57">
        <w:rPr>
          <w:szCs w:val="22"/>
        </w:rPr>
        <w:t>[</w:t>
      </w:r>
      <w:r w:rsidRPr="00761EF3">
        <w:rPr>
          <w:szCs w:val="22"/>
        </w:rPr>
        <w:t>267</w:t>
      </w:r>
      <w:r w:rsidRPr="00212D57">
        <w:rPr>
          <w:szCs w:val="22"/>
        </w:rPr>
        <w:t>-</w:t>
      </w:r>
      <w:r w:rsidRPr="00761EF3">
        <w:rPr>
          <w:szCs w:val="22"/>
        </w:rPr>
        <w:t>9</w:t>
      </w:r>
      <w:r w:rsidRPr="00212D57">
        <w:rPr>
          <w:szCs w:val="22"/>
        </w:rPr>
        <w:t xml:space="preserve">] </w:t>
      </w:r>
      <w:r w:rsidRPr="00761EF3">
        <w:rPr>
          <w:rFonts w:eastAsia="SimSun"/>
          <w:szCs w:val="22"/>
          <w:lang w:eastAsia="zh-CN"/>
        </w:rPr>
        <w:t>ye</w:t>
      </w:r>
      <w:r w:rsidRPr="00212D57">
        <w:rPr>
          <w:rFonts w:eastAsia="SimSun"/>
          <w:szCs w:val="22"/>
          <w:lang w:eastAsia="zh-CN"/>
        </w:rPr>
        <w:t xml:space="preserve"> </w:t>
      </w:r>
      <w:r w:rsidRPr="00761EF3">
        <w:rPr>
          <w:rFonts w:eastAsia="SimSun"/>
          <w:szCs w:val="22"/>
          <w:lang w:eastAsia="zh-CN"/>
        </w:rPr>
        <w:t>pa</w:t>
      </w:r>
      <w:r w:rsidRPr="00761EF3">
        <w:rPr>
          <w:szCs w:val="22"/>
        </w:rPr>
        <w:t>ś</w:t>
      </w:r>
      <w:r w:rsidRPr="00761EF3">
        <w:rPr>
          <w:rFonts w:eastAsia="SimSun"/>
          <w:szCs w:val="22"/>
          <w:lang w:eastAsia="zh-CN"/>
        </w:rPr>
        <w:t>yanti</w:t>
      </w:r>
      <w:r w:rsidRPr="00212D57">
        <w:rPr>
          <w:rFonts w:eastAsia="SimSun"/>
          <w:szCs w:val="22"/>
          <w:lang w:eastAsia="zh-CN"/>
        </w:rPr>
        <w:t xml:space="preserve"> </w:t>
      </w:r>
      <w:r w:rsidRPr="00761EF3">
        <w:rPr>
          <w:rFonts w:eastAsia="SimSun"/>
          <w:szCs w:val="22"/>
          <w:lang w:eastAsia="zh-CN"/>
        </w:rPr>
        <w:t>na</w:t>
      </w:r>
      <w:r w:rsidRPr="00212D57">
        <w:rPr>
          <w:rFonts w:eastAsia="SimSun"/>
          <w:szCs w:val="22"/>
          <w:lang w:eastAsia="zh-CN"/>
        </w:rPr>
        <w:t xml:space="preserve"> </w:t>
      </w:r>
      <w:r w:rsidRPr="00761EF3">
        <w:rPr>
          <w:rFonts w:eastAsia="SimSun"/>
          <w:szCs w:val="22"/>
          <w:lang w:eastAsia="zh-CN"/>
        </w:rPr>
        <w:t>pa</w:t>
      </w:r>
      <w:r w:rsidRPr="00761EF3">
        <w:rPr>
          <w:szCs w:val="22"/>
        </w:rPr>
        <w:t>ś</w:t>
      </w:r>
      <w:r w:rsidRPr="00761EF3">
        <w:rPr>
          <w:rFonts w:eastAsia="SimSun"/>
          <w:szCs w:val="22"/>
          <w:lang w:eastAsia="zh-CN"/>
        </w:rPr>
        <w:t>yanti</w:t>
      </w:r>
      <w:r w:rsidRPr="00212D57">
        <w:rPr>
          <w:rFonts w:eastAsia="SimSun"/>
          <w:szCs w:val="22"/>
          <w:lang w:eastAsia="zh-CN"/>
        </w:rPr>
        <w:t xml:space="preserve"> </w:t>
      </w:r>
      <w:r w:rsidRPr="00761EF3">
        <w:rPr>
          <w:rFonts w:eastAsia="SimSun"/>
          <w:szCs w:val="22"/>
          <w:lang w:eastAsia="zh-CN"/>
        </w:rPr>
        <w:t>te</w:t>
      </w:r>
      <w:r w:rsidRPr="00212D57">
        <w:rPr>
          <w:rFonts w:eastAsia="SimSun"/>
          <w:szCs w:val="22"/>
          <w:lang w:eastAsia="zh-CN"/>
        </w:rPr>
        <w:t xml:space="preserve"> </w:t>
      </w:r>
      <w:r w:rsidRPr="00761EF3">
        <w:rPr>
          <w:rFonts w:eastAsia="SimSun"/>
          <w:szCs w:val="22"/>
          <w:lang w:eastAsia="zh-CN"/>
        </w:rPr>
        <w:t>tattva</w:t>
      </w:r>
      <w:r w:rsidRPr="00761EF3">
        <w:rPr>
          <w:szCs w:val="22"/>
        </w:rPr>
        <w:t>ṃ</w:t>
      </w:r>
      <w:r w:rsidRPr="00212D57">
        <w:rPr>
          <w:rFonts w:eastAsia="SimSun"/>
          <w:szCs w:val="22"/>
          <w:lang w:eastAsia="zh-CN"/>
        </w:rPr>
        <w:t xml:space="preserve"> </w:t>
      </w:r>
      <w:r w:rsidRPr="00761EF3">
        <w:rPr>
          <w:rFonts w:eastAsia="SimSun"/>
          <w:szCs w:val="22"/>
          <w:lang w:eastAsia="zh-CN"/>
        </w:rPr>
        <w:t>buddha</w:t>
      </w:r>
      <w:r w:rsidRPr="00761EF3">
        <w:rPr>
          <w:szCs w:val="22"/>
        </w:rPr>
        <w:t>śā</w:t>
      </w:r>
      <w:r w:rsidRPr="00761EF3">
        <w:rPr>
          <w:rFonts w:eastAsia="SimSun"/>
          <w:szCs w:val="22"/>
          <w:lang w:eastAsia="zh-CN"/>
        </w:rPr>
        <w:t>sane</w:t>
      </w:r>
      <w:r w:rsidRPr="00212D57">
        <w:rPr>
          <w:szCs w:val="22"/>
        </w:rPr>
        <w:t>//</w:t>
      </w:r>
    </w:p>
    <w:p w:rsidR="00C445A6" w:rsidRPr="00212D57" w:rsidRDefault="00C445A6" w:rsidP="00C445A6">
      <w:pPr>
        <w:pStyle w:val="a5"/>
        <w:ind w:leftChars="80" w:left="731" w:hangingChars="245" w:hanging="539"/>
        <w:jc w:val="both"/>
        <w:rPr>
          <w:rFonts w:eastAsia="細明體"/>
          <w:szCs w:val="22"/>
        </w:rPr>
      </w:pPr>
      <w:r w:rsidRPr="00212D57">
        <w:rPr>
          <w:rFonts w:eastAsia="細明體"/>
          <w:szCs w:val="22"/>
        </w:rPr>
        <w:t>（</w:t>
      </w:r>
      <w:r w:rsidRPr="00761EF3">
        <w:rPr>
          <w:rFonts w:eastAsia="細明體" w:hint="eastAsia"/>
          <w:szCs w:val="22"/>
        </w:rPr>
        <w:t>4</w:t>
      </w:r>
      <w:r w:rsidRPr="00212D57">
        <w:rPr>
          <w:rFonts w:eastAsia="細明體"/>
          <w:szCs w:val="22"/>
        </w:rPr>
        <w:t>）</w:t>
      </w:r>
      <w:r w:rsidRPr="00212D57">
        <w:rPr>
          <w:szCs w:val="22"/>
        </w:rPr>
        <w:t>印順法師</w:t>
      </w:r>
      <w:r w:rsidRPr="00212D57">
        <w:rPr>
          <w:rFonts w:eastAsia="細明體"/>
          <w:szCs w:val="22"/>
        </w:rPr>
        <w:t>，《中觀論頌講記》</w:t>
      </w:r>
      <w:r w:rsidRPr="00212D57">
        <w:rPr>
          <w:rFonts w:eastAsia="細明體" w:hint="eastAsia"/>
          <w:szCs w:val="22"/>
        </w:rPr>
        <w:t>，</w:t>
      </w:r>
      <w:r w:rsidRPr="00761EF3">
        <w:rPr>
          <w:rFonts w:eastAsia="細明體"/>
          <w:szCs w:val="22"/>
        </w:rPr>
        <w:t>p</w:t>
      </w:r>
      <w:r w:rsidRPr="00212D57">
        <w:rPr>
          <w:rFonts w:eastAsia="細明體"/>
          <w:szCs w:val="22"/>
        </w:rPr>
        <w:t>.</w:t>
      </w:r>
      <w:r w:rsidRPr="00761EF3">
        <w:rPr>
          <w:rFonts w:eastAsia="細明體"/>
          <w:szCs w:val="22"/>
        </w:rPr>
        <w:t>252</w:t>
      </w:r>
      <w:r w:rsidRPr="00212D57">
        <w:rPr>
          <w:rFonts w:eastAsia="細明體"/>
          <w:szCs w:val="22"/>
        </w:rPr>
        <w:t>：</w:t>
      </w:r>
    </w:p>
    <w:p w:rsidR="00C445A6" w:rsidRPr="00212D57" w:rsidRDefault="00C445A6" w:rsidP="00C445A6">
      <w:pPr>
        <w:pStyle w:val="a5"/>
        <w:ind w:leftChars="305" w:left="732"/>
        <w:jc w:val="both"/>
        <w:rPr>
          <w:rFonts w:eastAsia="SimSun"/>
          <w:szCs w:val="22"/>
        </w:rPr>
      </w:pPr>
      <w:r w:rsidRPr="00212D57">
        <w:rPr>
          <w:rFonts w:ascii="標楷體" w:eastAsia="標楷體" w:hAnsi="標楷體"/>
          <w:szCs w:val="22"/>
        </w:rPr>
        <w:t>「若」有「人」在諸法中，「見有」性，或見「無」性；有性中，「見」實在的「自性」，或實在的「他性」。那就可以斷定，這人所見的一切法，是不能契合諸法實相的，也即是「不」能正確的「見」到「佛法」的「真」義、「實義」、諦義、如義。此有故彼有，此生故彼生的緣起流轉法，經說但以世俗假名說有。就是此無故彼無，此滅故彼滅的緣起還滅，也建立於假名有。但以假名說緣起，所以緣起法的真實不可得。外人不能理解緣起假名，見有性、無性，自性、他性，那就自然不能夠知道緣起性空的真義了。</w:t>
      </w:r>
    </w:p>
  </w:footnote>
  <w:footnote w:id="335">
    <w:p w:rsidR="00157EF6" w:rsidRPr="00212D57" w:rsidRDefault="00157EF6" w:rsidP="002B682F">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）《般若燈論釋》卷</w:t>
      </w:r>
      <w:r w:rsidRPr="00761EF3">
        <w:rPr>
          <w:szCs w:val="22"/>
        </w:rPr>
        <w:t>8</w:t>
      </w:r>
      <w:r w:rsidRPr="00212D57">
        <w:rPr>
          <w:szCs w:val="22"/>
        </w:rPr>
        <w:t>〈</w:t>
      </w:r>
      <w:r w:rsidRPr="00761EF3">
        <w:rPr>
          <w:szCs w:val="22"/>
        </w:rPr>
        <w:t>13</w:t>
      </w:r>
      <w:r w:rsidRPr="00212D57">
        <w:rPr>
          <w:szCs w:val="22"/>
        </w:rPr>
        <w:t xml:space="preserve"> </w:t>
      </w:r>
      <w:r w:rsidRPr="00212D57">
        <w:rPr>
          <w:szCs w:val="22"/>
        </w:rPr>
        <w:t>觀行品〉</w:t>
      </w:r>
      <w:r w:rsidR="00F67B5F" w:rsidRPr="00212D57">
        <w:rPr>
          <w:szCs w:val="22"/>
        </w:rPr>
        <w:t>（大正</w:t>
      </w:r>
      <w:r w:rsidR="00F67B5F" w:rsidRPr="00761EF3">
        <w:rPr>
          <w:szCs w:val="22"/>
        </w:rPr>
        <w:t>30</w:t>
      </w:r>
      <w:r w:rsidR="00F67B5F" w:rsidRPr="00212D57">
        <w:rPr>
          <w:szCs w:val="22"/>
        </w:rPr>
        <w:t>，</w:t>
      </w:r>
      <w:r w:rsidR="00F67B5F" w:rsidRPr="00761EF3">
        <w:rPr>
          <w:szCs w:val="22"/>
        </w:rPr>
        <w:t>90c3</w:t>
      </w:r>
      <w:r w:rsidR="00F67B5F" w:rsidRPr="00212D57">
        <w:rPr>
          <w:szCs w:val="22"/>
        </w:rPr>
        <w:t>，</w:t>
      </w:r>
      <w:r w:rsidR="00F67B5F" w:rsidRPr="00761EF3">
        <w:rPr>
          <w:szCs w:val="22"/>
        </w:rPr>
        <w:t>90c9</w:t>
      </w:r>
      <w:r w:rsidR="00F67B5F" w:rsidRPr="00212D57">
        <w:rPr>
          <w:szCs w:val="22"/>
        </w:rPr>
        <w:t>）</w:t>
      </w:r>
      <w:r w:rsidRPr="00212D57">
        <w:rPr>
          <w:szCs w:val="22"/>
        </w:rPr>
        <w:t>：</w:t>
      </w:r>
    </w:p>
    <w:p w:rsidR="00157EF6" w:rsidRPr="00212D57" w:rsidRDefault="00157EF6" w:rsidP="002B682F">
      <w:pPr>
        <w:pStyle w:val="a5"/>
        <w:ind w:leftChars="305" w:left="732"/>
        <w:jc w:val="both"/>
        <w:rPr>
          <w:rFonts w:eastAsia="標楷體"/>
          <w:szCs w:val="22"/>
        </w:rPr>
      </w:pPr>
      <w:r w:rsidRPr="00212D57">
        <w:rPr>
          <w:rFonts w:eastAsia="標楷體"/>
          <w:b/>
          <w:szCs w:val="22"/>
        </w:rPr>
        <w:t>自體</w:t>
      </w:r>
      <w:r w:rsidRPr="00212D57">
        <w:rPr>
          <w:rFonts w:eastAsia="標楷體"/>
          <w:szCs w:val="22"/>
        </w:rPr>
        <w:t>若非有，何法為變異？若法有</w:t>
      </w:r>
      <w:r w:rsidRPr="00212D57">
        <w:rPr>
          <w:rFonts w:eastAsia="標楷體"/>
          <w:b/>
          <w:szCs w:val="22"/>
        </w:rPr>
        <w:t>自體</w:t>
      </w:r>
      <w:r w:rsidRPr="00212D57">
        <w:rPr>
          <w:rFonts w:eastAsia="標楷體"/>
          <w:szCs w:val="22"/>
        </w:rPr>
        <w:t>，云何有變異？</w:t>
      </w:r>
      <w:r w:rsidR="00F67B5F" w:rsidRPr="00212D57">
        <w:rPr>
          <w:rFonts w:eastAsia="標楷體"/>
          <w:szCs w:val="22"/>
        </w:rPr>
        <w:t xml:space="preserve"> </w:t>
      </w:r>
    </w:p>
    <w:p w:rsidR="00157EF6" w:rsidRPr="00212D57" w:rsidRDefault="00157EF6" w:rsidP="002B682F">
      <w:pPr>
        <w:pStyle w:val="a5"/>
        <w:ind w:leftChars="80" w:left="731" w:hangingChars="245" w:hanging="539"/>
        <w:jc w:val="both"/>
        <w:rPr>
          <w:szCs w:val="22"/>
        </w:rPr>
      </w:pPr>
      <w:r w:rsidRPr="00212D57">
        <w:rPr>
          <w:szCs w:val="22"/>
        </w:rPr>
        <w:t>（</w:t>
      </w:r>
      <w:r w:rsidRPr="00761EF3">
        <w:rPr>
          <w:szCs w:val="22"/>
        </w:rPr>
        <w:t>2</w:t>
      </w:r>
      <w:r w:rsidRPr="00212D57">
        <w:rPr>
          <w:szCs w:val="22"/>
        </w:rPr>
        <w:t>）〔姚秦〕鳩摩羅什譯</w:t>
      </w:r>
      <w:r w:rsidRPr="00212D57">
        <w:rPr>
          <w:rFonts w:eastAsia="細明體"/>
          <w:szCs w:val="22"/>
        </w:rPr>
        <w:t>，</w:t>
      </w:r>
      <w:r w:rsidRPr="00212D57">
        <w:rPr>
          <w:szCs w:val="22"/>
        </w:rPr>
        <w:t>《中論》卷</w:t>
      </w:r>
      <w:r w:rsidRPr="00761EF3">
        <w:rPr>
          <w:szCs w:val="22"/>
        </w:rPr>
        <w:t>2</w:t>
      </w:r>
      <w:r w:rsidRPr="00212D57">
        <w:rPr>
          <w:szCs w:val="22"/>
        </w:rPr>
        <w:t>〈</w:t>
      </w:r>
      <w:r w:rsidRPr="00761EF3">
        <w:rPr>
          <w:szCs w:val="22"/>
        </w:rPr>
        <w:t>13</w:t>
      </w:r>
      <w:r w:rsidRPr="00212D57">
        <w:rPr>
          <w:szCs w:val="22"/>
        </w:rPr>
        <w:t xml:space="preserve"> </w:t>
      </w:r>
      <w:r w:rsidRPr="00212D57">
        <w:rPr>
          <w:szCs w:val="22"/>
        </w:rPr>
        <w:t>觀行品〉</w:t>
      </w:r>
      <w:r w:rsidR="00F67B5F" w:rsidRPr="00212D57">
        <w:rPr>
          <w:szCs w:val="22"/>
        </w:rPr>
        <w:t>（大正</w:t>
      </w:r>
      <w:r w:rsidR="00F67B5F" w:rsidRPr="00761EF3">
        <w:rPr>
          <w:szCs w:val="22"/>
        </w:rPr>
        <w:t>30</w:t>
      </w:r>
      <w:r w:rsidR="00F67B5F" w:rsidRPr="00212D57">
        <w:rPr>
          <w:szCs w:val="22"/>
        </w:rPr>
        <w:t>，</w:t>
      </w:r>
      <w:r w:rsidR="00F67B5F" w:rsidRPr="00761EF3">
        <w:rPr>
          <w:szCs w:val="22"/>
        </w:rPr>
        <w:t>18b14</w:t>
      </w:r>
      <w:r w:rsidR="00F67B5F" w:rsidRPr="00212D57">
        <w:rPr>
          <w:szCs w:val="22"/>
        </w:rPr>
        <w:t>-</w:t>
      </w:r>
      <w:r w:rsidR="00F67B5F" w:rsidRPr="00761EF3">
        <w:rPr>
          <w:szCs w:val="22"/>
        </w:rPr>
        <w:t>15</w:t>
      </w:r>
      <w:r w:rsidR="00F67B5F" w:rsidRPr="00212D57">
        <w:rPr>
          <w:szCs w:val="22"/>
        </w:rPr>
        <w:t>）</w:t>
      </w:r>
      <w:r w:rsidRPr="00212D57">
        <w:rPr>
          <w:szCs w:val="22"/>
        </w:rPr>
        <w:t>：</w:t>
      </w:r>
    </w:p>
    <w:p w:rsidR="00157EF6" w:rsidRPr="00212D57" w:rsidRDefault="00157EF6" w:rsidP="002B682F">
      <w:pPr>
        <w:pStyle w:val="a5"/>
        <w:ind w:leftChars="305" w:left="732"/>
        <w:jc w:val="both"/>
        <w:rPr>
          <w:rFonts w:eastAsia="標楷體"/>
          <w:szCs w:val="22"/>
        </w:rPr>
      </w:pPr>
      <w:r w:rsidRPr="00212D57">
        <w:rPr>
          <w:rFonts w:eastAsia="標楷體"/>
          <w:szCs w:val="22"/>
        </w:rPr>
        <w:t>若諸法有</w:t>
      </w:r>
      <w:r w:rsidRPr="00212D57">
        <w:rPr>
          <w:rFonts w:eastAsia="標楷體"/>
          <w:b/>
          <w:szCs w:val="22"/>
        </w:rPr>
        <w:t>性</w:t>
      </w:r>
      <w:r w:rsidRPr="00212D57">
        <w:rPr>
          <w:rFonts w:eastAsia="標楷體"/>
          <w:szCs w:val="22"/>
        </w:rPr>
        <w:t>，云何而得異？若諸法無</w:t>
      </w:r>
      <w:r w:rsidRPr="00212D57">
        <w:rPr>
          <w:rFonts w:eastAsia="標楷體"/>
          <w:b/>
          <w:szCs w:val="22"/>
        </w:rPr>
        <w:t>性</w:t>
      </w:r>
      <w:r w:rsidRPr="00212D57">
        <w:rPr>
          <w:rFonts w:eastAsia="標楷體"/>
          <w:szCs w:val="22"/>
        </w:rPr>
        <w:t>，云何而有異？</w:t>
      </w:r>
      <w:r w:rsidR="00F67B5F" w:rsidRPr="00212D57">
        <w:rPr>
          <w:rFonts w:eastAsia="標楷體"/>
          <w:szCs w:val="22"/>
        </w:rPr>
        <w:t xml:space="preserve"> </w:t>
      </w:r>
    </w:p>
    <w:p w:rsidR="00157EF6" w:rsidRDefault="00157EF6" w:rsidP="002B682F">
      <w:pPr>
        <w:pStyle w:val="a5"/>
        <w:ind w:leftChars="80" w:left="731" w:hangingChars="245" w:hanging="539"/>
        <w:jc w:val="both"/>
        <w:rPr>
          <w:szCs w:val="22"/>
        </w:rPr>
      </w:pPr>
      <w:r w:rsidRPr="00212D57">
        <w:rPr>
          <w:rFonts w:hint="eastAsia"/>
          <w:szCs w:val="22"/>
        </w:rPr>
        <w:t>（</w:t>
      </w:r>
      <w:r w:rsidRPr="00761EF3">
        <w:rPr>
          <w:rFonts w:hint="eastAsia"/>
          <w:szCs w:val="22"/>
        </w:rPr>
        <w:t>3</w:t>
      </w:r>
      <w:r w:rsidRPr="00212D57">
        <w:rPr>
          <w:rFonts w:hint="eastAsia"/>
          <w:szCs w:val="22"/>
        </w:rPr>
        <w:t>）</w:t>
      </w:r>
      <w:r w:rsidRPr="00212D57">
        <w:rPr>
          <w:szCs w:val="22"/>
        </w:rPr>
        <w:t>三枝充悳，《中論偈頌總覽》，</w:t>
      </w:r>
      <w:r w:rsidRPr="00761EF3">
        <w:rPr>
          <w:szCs w:val="22"/>
        </w:rPr>
        <w:t>pp</w:t>
      </w:r>
      <w:r w:rsidRPr="00212D57">
        <w:rPr>
          <w:szCs w:val="22"/>
        </w:rPr>
        <w:t>.</w:t>
      </w:r>
      <w:r w:rsidRPr="00761EF3">
        <w:rPr>
          <w:rFonts w:hint="eastAsia"/>
          <w:szCs w:val="22"/>
        </w:rPr>
        <w:t>372</w:t>
      </w:r>
      <w:r w:rsidRPr="00212D57">
        <w:rPr>
          <w:szCs w:val="22"/>
        </w:rPr>
        <w:t>-</w:t>
      </w:r>
      <w:r w:rsidRPr="00761EF3">
        <w:rPr>
          <w:rFonts w:hint="eastAsia"/>
          <w:szCs w:val="22"/>
        </w:rPr>
        <w:t>373</w:t>
      </w:r>
      <w:r>
        <w:rPr>
          <w:rFonts w:hint="eastAsia"/>
          <w:szCs w:val="22"/>
        </w:rPr>
        <w:t>：</w:t>
      </w:r>
    </w:p>
    <w:p w:rsidR="00157EF6" w:rsidRPr="00212D57" w:rsidRDefault="00157EF6" w:rsidP="006011CF">
      <w:pPr>
        <w:pStyle w:val="a5"/>
        <w:ind w:leftChars="305" w:left="732"/>
        <w:jc w:val="both"/>
        <w:rPr>
          <w:szCs w:val="22"/>
        </w:rPr>
      </w:pPr>
      <w:r w:rsidRPr="00212D57">
        <w:rPr>
          <w:rFonts w:hint="eastAsia"/>
          <w:szCs w:val="22"/>
        </w:rPr>
        <w:t>[</w:t>
      </w:r>
      <w:r w:rsidRPr="00761EF3">
        <w:rPr>
          <w:rFonts w:hint="eastAsia"/>
          <w:szCs w:val="22"/>
        </w:rPr>
        <w:t>241</w:t>
      </w:r>
      <w:r w:rsidRPr="00212D57">
        <w:rPr>
          <w:rFonts w:hint="eastAsia"/>
          <w:szCs w:val="22"/>
        </w:rPr>
        <w:t>-</w:t>
      </w:r>
      <w:r w:rsidRPr="00761EF3">
        <w:rPr>
          <w:rFonts w:hint="eastAsia"/>
          <w:szCs w:val="22"/>
        </w:rPr>
        <w:t>2</w:t>
      </w:r>
      <w:r w:rsidRPr="00212D57">
        <w:rPr>
          <w:rFonts w:hint="eastAsia"/>
          <w:szCs w:val="22"/>
        </w:rPr>
        <w:t xml:space="preserve">] </w:t>
      </w:r>
      <w:r w:rsidRPr="00761EF3">
        <w:rPr>
          <w:rFonts w:eastAsia="Roman Unicode"/>
          <w:szCs w:val="22"/>
        </w:rPr>
        <w:t>kasya</w:t>
      </w:r>
      <w:r w:rsidRPr="00212D57">
        <w:rPr>
          <w:szCs w:val="22"/>
        </w:rPr>
        <w:t xml:space="preserve"> </w:t>
      </w:r>
      <w:r w:rsidRPr="00761EF3">
        <w:rPr>
          <w:rFonts w:eastAsia="Roman Unicode"/>
          <w:szCs w:val="22"/>
        </w:rPr>
        <w:t>syādanyathā</w:t>
      </w:r>
      <w:r w:rsidRPr="00761EF3">
        <w:rPr>
          <w:rFonts w:eastAsia="Roman Unicode"/>
          <w:bCs/>
          <w:szCs w:val="22"/>
        </w:rPr>
        <w:t>bhāvaḥ</w:t>
      </w:r>
      <w:r w:rsidRPr="00212D57">
        <w:rPr>
          <w:szCs w:val="22"/>
        </w:rPr>
        <w:t xml:space="preserve"> </w:t>
      </w:r>
      <w:r w:rsidRPr="00761EF3">
        <w:rPr>
          <w:rFonts w:eastAsia="Roman Unicode"/>
          <w:b/>
          <w:szCs w:val="22"/>
        </w:rPr>
        <w:t>svabhāvaś</w:t>
      </w:r>
      <w:r w:rsidRPr="00761EF3">
        <w:rPr>
          <w:rFonts w:eastAsia="Roman Unicode"/>
          <w:szCs w:val="22"/>
        </w:rPr>
        <w:t>cenna</w:t>
      </w:r>
      <w:r w:rsidRPr="00212D57">
        <w:rPr>
          <w:szCs w:val="22"/>
        </w:rPr>
        <w:t xml:space="preserve"> </w:t>
      </w:r>
      <w:r w:rsidRPr="00761EF3">
        <w:rPr>
          <w:rFonts w:eastAsia="Roman Unicode"/>
          <w:szCs w:val="22"/>
        </w:rPr>
        <w:t>vidyate</w:t>
      </w:r>
      <w:r w:rsidRPr="00212D57">
        <w:rPr>
          <w:rFonts w:hint="eastAsia"/>
          <w:szCs w:val="22"/>
        </w:rPr>
        <w:t xml:space="preserve"> </w:t>
      </w:r>
      <w:r w:rsidRPr="00212D57">
        <w:rPr>
          <w:szCs w:val="22"/>
        </w:rPr>
        <w:t>/</w:t>
      </w:r>
    </w:p>
    <w:p w:rsidR="00157EF6" w:rsidRPr="006011CF" w:rsidRDefault="00157EF6" w:rsidP="006011CF">
      <w:pPr>
        <w:pStyle w:val="a5"/>
        <w:ind w:leftChars="305" w:left="732"/>
        <w:jc w:val="both"/>
        <w:rPr>
          <w:szCs w:val="22"/>
        </w:rPr>
      </w:pPr>
      <w:r w:rsidRPr="00212D57">
        <w:rPr>
          <w:rFonts w:hint="eastAsia"/>
          <w:szCs w:val="22"/>
        </w:rPr>
        <w:t>[</w:t>
      </w:r>
      <w:r w:rsidRPr="00761EF3">
        <w:rPr>
          <w:rFonts w:hint="eastAsia"/>
          <w:szCs w:val="22"/>
        </w:rPr>
        <w:t>241</w:t>
      </w:r>
      <w:r w:rsidRPr="00212D57">
        <w:rPr>
          <w:rFonts w:hint="eastAsia"/>
          <w:szCs w:val="22"/>
        </w:rPr>
        <w:t>-</w:t>
      </w:r>
      <w:r w:rsidRPr="00761EF3">
        <w:rPr>
          <w:rFonts w:hint="eastAsia"/>
          <w:szCs w:val="22"/>
        </w:rPr>
        <w:t>6</w:t>
      </w:r>
      <w:r w:rsidRPr="00212D57">
        <w:rPr>
          <w:rFonts w:hint="eastAsia"/>
          <w:szCs w:val="22"/>
        </w:rPr>
        <w:t xml:space="preserve">] </w:t>
      </w:r>
      <w:r w:rsidRPr="00761EF3">
        <w:rPr>
          <w:rFonts w:eastAsia="Roman Unicode"/>
          <w:szCs w:val="22"/>
        </w:rPr>
        <w:t>kasya</w:t>
      </w:r>
      <w:r w:rsidRPr="00212D57">
        <w:rPr>
          <w:szCs w:val="22"/>
        </w:rPr>
        <w:t xml:space="preserve"> </w:t>
      </w:r>
      <w:r w:rsidRPr="00761EF3">
        <w:rPr>
          <w:rFonts w:eastAsia="Roman Unicode"/>
          <w:szCs w:val="22"/>
        </w:rPr>
        <w:t>syādanyathā</w:t>
      </w:r>
      <w:r w:rsidRPr="00761EF3">
        <w:rPr>
          <w:rFonts w:eastAsia="Roman Unicode"/>
          <w:bCs/>
          <w:szCs w:val="22"/>
        </w:rPr>
        <w:t>bhāva</w:t>
      </w:r>
      <w:r w:rsidRPr="00761EF3">
        <w:rPr>
          <w:rFonts w:eastAsia="Roman Unicode" w:hint="eastAsia"/>
          <w:bCs/>
          <w:szCs w:val="22"/>
        </w:rPr>
        <w:t>ḥ</w:t>
      </w:r>
      <w:r w:rsidRPr="00212D57">
        <w:rPr>
          <w:szCs w:val="22"/>
        </w:rPr>
        <w:t xml:space="preserve"> </w:t>
      </w:r>
      <w:r w:rsidRPr="00761EF3">
        <w:rPr>
          <w:rFonts w:eastAsia="Roman Unicode"/>
          <w:b/>
          <w:szCs w:val="22"/>
        </w:rPr>
        <w:t>svabhāva</w:t>
      </w:r>
      <w:r w:rsidRPr="00761EF3">
        <w:rPr>
          <w:rFonts w:eastAsia="Roman Unicode" w:hint="eastAsia"/>
          <w:b/>
          <w:szCs w:val="22"/>
        </w:rPr>
        <w:t>o</w:t>
      </w:r>
      <w:r w:rsidRPr="00212D57">
        <w:rPr>
          <w:rFonts w:hint="eastAsia"/>
          <w:szCs w:val="22"/>
        </w:rPr>
        <w:t xml:space="preserve"> </w:t>
      </w:r>
      <w:r w:rsidRPr="00761EF3">
        <w:rPr>
          <w:rFonts w:eastAsia="Roman Unicode" w:hint="eastAsia"/>
          <w:szCs w:val="22"/>
        </w:rPr>
        <w:t>yadi</w:t>
      </w:r>
      <w:r w:rsidRPr="00212D57">
        <w:rPr>
          <w:szCs w:val="22"/>
        </w:rPr>
        <w:t xml:space="preserve"> </w:t>
      </w:r>
      <w:r w:rsidRPr="00761EF3">
        <w:rPr>
          <w:rFonts w:eastAsia="Roman Unicode"/>
          <w:szCs w:val="22"/>
        </w:rPr>
        <w:t>vidyate</w:t>
      </w:r>
      <w:r>
        <w:rPr>
          <w:szCs w:val="22"/>
        </w:rPr>
        <w:t xml:space="preserve"> //</w:t>
      </w:r>
    </w:p>
  </w:footnote>
  <w:footnote w:id="336">
    <w:p w:rsidR="00157EF6" w:rsidRPr="00212D57" w:rsidRDefault="00157EF6" w:rsidP="002B682F">
      <w:pPr>
        <w:pStyle w:val="a5"/>
        <w:spacing w:line="0" w:lineRule="atLeast"/>
        <w:ind w:left="704" w:hangingChars="320" w:hanging="704"/>
        <w:jc w:val="both"/>
        <w:rPr>
          <w:rFonts w:eastAsia="SimSun"/>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）印順法師，《空之探究》</w:t>
      </w:r>
      <w:r w:rsidRPr="00212D57">
        <w:rPr>
          <w:rFonts w:hint="eastAsia"/>
          <w:szCs w:val="22"/>
        </w:rPr>
        <w:t>，</w:t>
      </w:r>
      <w:r w:rsidRPr="00761EF3">
        <w:rPr>
          <w:szCs w:val="22"/>
        </w:rPr>
        <w:t>p</w:t>
      </w:r>
      <w:r w:rsidRPr="00212D57">
        <w:rPr>
          <w:szCs w:val="22"/>
        </w:rPr>
        <w:t>.</w:t>
      </w:r>
      <w:r w:rsidRPr="00761EF3">
        <w:rPr>
          <w:szCs w:val="22"/>
        </w:rPr>
        <w:t>184</w:t>
      </w:r>
      <w:r w:rsidRPr="00212D57">
        <w:rPr>
          <w:szCs w:val="22"/>
        </w:rPr>
        <w:t>：</w:t>
      </w:r>
    </w:p>
    <w:p w:rsidR="00157EF6" w:rsidRPr="00212D57" w:rsidRDefault="00157EF6" w:rsidP="002B682F">
      <w:pPr>
        <w:pStyle w:val="a5"/>
        <w:ind w:leftChars="305" w:left="732"/>
        <w:jc w:val="both"/>
        <w:rPr>
          <w:rFonts w:eastAsia="標楷體"/>
          <w:szCs w:val="22"/>
        </w:rPr>
      </w:pPr>
      <w:r w:rsidRPr="00761EF3">
        <w:rPr>
          <w:rFonts w:eastAsia="標楷體"/>
          <w:szCs w:val="22"/>
        </w:rPr>
        <w:t>prakṛti</w:t>
      </w:r>
      <w:r w:rsidRPr="00212D57">
        <w:rPr>
          <w:rFonts w:eastAsia="標楷體"/>
          <w:szCs w:val="22"/>
        </w:rPr>
        <w:t>，在說一切有部</w:t>
      </w:r>
      <w:r w:rsidRPr="00212D57">
        <w:rPr>
          <w:rFonts w:eastAsia="細明體"/>
          <w:szCs w:val="22"/>
        </w:rPr>
        <w:t>（</w:t>
      </w:r>
      <w:r w:rsidRPr="00761EF3">
        <w:rPr>
          <w:rFonts w:eastAsia="標楷體"/>
          <w:szCs w:val="22"/>
        </w:rPr>
        <w:t>Sarvāstivādin</w:t>
      </w:r>
      <w:r w:rsidRPr="00212D57">
        <w:rPr>
          <w:rFonts w:eastAsia="細明體"/>
          <w:szCs w:val="22"/>
        </w:rPr>
        <w:t>）</w:t>
      </w:r>
      <w:r w:rsidRPr="00212D57">
        <w:rPr>
          <w:rFonts w:eastAsia="標楷體"/>
          <w:szCs w:val="22"/>
        </w:rPr>
        <w:t>中，與</w:t>
      </w:r>
      <w:r w:rsidRPr="00212D57">
        <w:rPr>
          <w:rFonts w:eastAsia="標楷體"/>
          <w:b/>
          <w:szCs w:val="22"/>
        </w:rPr>
        <w:t>自性</w:t>
      </w:r>
      <w:r w:rsidRPr="00212D57">
        <w:rPr>
          <w:rFonts w:eastAsia="細明體"/>
          <w:b/>
          <w:szCs w:val="22"/>
        </w:rPr>
        <w:t>（</w:t>
      </w:r>
      <w:r w:rsidRPr="00761EF3">
        <w:rPr>
          <w:rFonts w:eastAsia="標楷體"/>
          <w:b/>
          <w:szCs w:val="22"/>
        </w:rPr>
        <w:t>svabhāva</w:t>
      </w:r>
      <w:r w:rsidRPr="00212D57">
        <w:rPr>
          <w:rFonts w:eastAsia="細明體"/>
          <w:b/>
          <w:szCs w:val="22"/>
        </w:rPr>
        <w:t>）</w:t>
      </w:r>
      <w:r w:rsidRPr="00212D57">
        <w:rPr>
          <w:rFonts w:eastAsia="標楷體"/>
          <w:szCs w:val="22"/>
        </w:rPr>
        <w:t>同一內容，如《毘婆沙論》說：「如說自性，我，物，自體，相，分，本性，亦爾。」《般若經》中處處說本性空，也處處說自性空</w:t>
      </w:r>
      <w:r w:rsidRPr="00212D57">
        <w:rPr>
          <w:rFonts w:eastAsia="細明體"/>
          <w:szCs w:val="22"/>
        </w:rPr>
        <w:t>（</w:t>
      </w:r>
      <w:r w:rsidRPr="00761EF3">
        <w:rPr>
          <w:rFonts w:eastAsia="標楷體"/>
          <w:szCs w:val="22"/>
        </w:rPr>
        <w:t>svabhāvaśūnyatā</w:t>
      </w:r>
      <w:r w:rsidRPr="00212D57">
        <w:rPr>
          <w:rFonts w:eastAsia="細明體"/>
          <w:szCs w:val="22"/>
        </w:rPr>
        <w:t>）</w:t>
      </w:r>
      <w:r w:rsidRPr="00212D57">
        <w:rPr>
          <w:rFonts w:eastAsia="標楷體"/>
          <w:szCs w:val="22"/>
        </w:rPr>
        <w:t>，意義也大致相同。</w:t>
      </w:r>
    </w:p>
    <w:p w:rsidR="00157EF6" w:rsidRPr="00212D57" w:rsidRDefault="00157EF6" w:rsidP="002B682F">
      <w:pPr>
        <w:pStyle w:val="a5"/>
        <w:ind w:leftChars="80" w:left="731" w:hangingChars="245" w:hanging="539"/>
        <w:jc w:val="both"/>
        <w:rPr>
          <w:szCs w:val="22"/>
        </w:rPr>
      </w:pPr>
      <w:r w:rsidRPr="00212D57">
        <w:rPr>
          <w:szCs w:val="22"/>
        </w:rPr>
        <w:t>（</w:t>
      </w:r>
      <w:r w:rsidRPr="00761EF3">
        <w:rPr>
          <w:szCs w:val="22"/>
        </w:rPr>
        <w:t>2</w:t>
      </w:r>
      <w:r w:rsidRPr="00212D57">
        <w:rPr>
          <w:szCs w:val="22"/>
        </w:rPr>
        <w:t>）印順法師，《空之探究》</w:t>
      </w:r>
      <w:r w:rsidRPr="00212D57">
        <w:rPr>
          <w:rFonts w:hint="eastAsia"/>
          <w:szCs w:val="22"/>
        </w:rPr>
        <w:t>，</w:t>
      </w:r>
      <w:r w:rsidRPr="00761EF3">
        <w:rPr>
          <w:szCs w:val="22"/>
        </w:rPr>
        <w:t>p</w:t>
      </w:r>
      <w:r w:rsidRPr="00212D57">
        <w:rPr>
          <w:szCs w:val="22"/>
        </w:rPr>
        <w:t>.</w:t>
      </w:r>
      <w:r w:rsidRPr="00761EF3">
        <w:rPr>
          <w:szCs w:val="22"/>
        </w:rPr>
        <w:t>248</w:t>
      </w:r>
      <w:r w:rsidRPr="00212D57">
        <w:rPr>
          <w:szCs w:val="22"/>
        </w:rPr>
        <w:t>：</w:t>
      </w:r>
    </w:p>
    <w:p w:rsidR="00157EF6" w:rsidRPr="00212D57" w:rsidRDefault="00157EF6" w:rsidP="002B682F">
      <w:pPr>
        <w:pStyle w:val="a5"/>
        <w:ind w:leftChars="305" w:left="732"/>
        <w:jc w:val="both"/>
        <w:rPr>
          <w:rFonts w:eastAsia="標楷體"/>
          <w:szCs w:val="22"/>
        </w:rPr>
      </w:pPr>
      <w:r w:rsidRPr="00212D57">
        <w:rPr>
          <w:rFonts w:eastAsia="標楷體"/>
          <w:szCs w:val="22"/>
        </w:rPr>
        <w:t>初期的《阿含經》，</w:t>
      </w:r>
      <w:r w:rsidRPr="00212D57">
        <w:rPr>
          <w:rFonts w:eastAsia="標楷體"/>
          <w:b/>
          <w:szCs w:val="22"/>
        </w:rPr>
        <w:t>有</w:t>
      </w:r>
      <w:r w:rsidRPr="00761EF3">
        <w:rPr>
          <w:rFonts w:eastAsia="標楷體"/>
          <w:b/>
          <w:szCs w:val="22"/>
        </w:rPr>
        <w:t>prakṛti</w:t>
      </w:r>
      <w:r w:rsidRPr="00EC2607">
        <w:rPr>
          <w:rFonts w:ascii="標楷體" w:eastAsia="標楷體" w:hAnsi="標楷體"/>
          <w:b/>
          <w:szCs w:val="22"/>
        </w:rPr>
        <w:t>──</w:t>
      </w:r>
      <w:r w:rsidRPr="00212D57">
        <w:rPr>
          <w:rFonts w:eastAsia="標楷體"/>
          <w:szCs w:val="22"/>
        </w:rPr>
        <w:t>本性（也有譯為自性的），而</w:t>
      </w:r>
      <w:r w:rsidRPr="00212D57">
        <w:rPr>
          <w:rFonts w:eastAsia="標楷體"/>
          <w:b/>
          <w:szCs w:val="22"/>
        </w:rPr>
        <w:t>沒有</w:t>
      </w:r>
      <w:r w:rsidRPr="00761EF3">
        <w:rPr>
          <w:rFonts w:eastAsia="標楷體"/>
          <w:b/>
          <w:szCs w:val="22"/>
        </w:rPr>
        <w:t>svabhāva</w:t>
      </w:r>
      <w:r w:rsidRPr="00EC2607">
        <w:rPr>
          <w:rFonts w:ascii="標楷體" w:eastAsia="標楷體" w:hAnsi="標楷體"/>
          <w:b/>
          <w:szCs w:val="22"/>
        </w:rPr>
        <w:t>──</w:t>
      </w:r>
      <w:r w:rsidRPr="00212D57">
        <w:rPr>
          <w:rFonts w:eastAsia="標楷體"/>
          <w:szCs w:val="22"/>
        </w:rPr>
        <w:t>自性一詞，自性是部派佛教所有的術語。佛說的一切法</w:t>
      </w:r>
      <w:r w:rsidRPr="00EC2607">
        <w:rPr>
          <w:rFonts w:ascii="標楷體" w:eastAsia="標楷體" w:hAnsi="標楷體"/>
          <w:b/>
          <w:szCs w:val="22"/>
        </w:rPr>
        <w:t>──</w:t>
      </w:r>
      <w:r w:rsidRPr="00212D57">
        <w:rPr>
          <w:rFonts w:eastAsia="標楷體"/>
          <w:szCs w:val="22"/>
        </w:rPr>
        <w:t>色、心、心所等，佛弟子研求一一名詞的特相</w:t>
      </w:r>
      <w:r w:rsidRPr="00EC2607">
        <w:rPr>
          <w:rFonts w:ascii="標楷體" w:eastAsia="標楷體" w:hAnsi="標楷體"/>
          <w:b/>
          <w:szCs w:val="22"/>
        </w:rPr>
        <w:t>──</w:t>
      </w:r>
      <w:r w:rsidRPr="00212D57">
        <w:rPr>
          <w:rFonts w:eastAsia="標楷體"/>
          <w:b/>
          <w:szCs w:val="22"/>
        </w:rPr>
        <w:t>自相</w:t>
      </w:r>
      <w:r w:rsidRPr="00212D57">
        <w:rPr>
          <w:rFonts w:eastAsia="細明體"/>
          <w:b/>
          <w:szCs w:val="22"/>
        </w:rPr>
        <w:t>（</w:t>
      </w:r>
      <w:r w:rsidRPr="00761EF3">
        <w:rPr>
          <w:rFonts w:eastAsia="標楷體"/>
          <w:b/>
          <w:szCs w:val="22"/>
        </w:rPr>
        <w:t>svalakṣaṇa</w:t>
      </w:r>
      <w:r w:rsidRPr="00212D57">
        <w:rPr>
          <w:rFonts w:eastAsia="細明體"/>
          <w:b/>
          <w:szCs w:val="22"/>
        </w:rPr>
        <w:t>）</w:t>
      </w:r>
      <w:r w:rsidRPr="00212D57">
        <w:rPr>
          <w:rFonts w:eastAsia="標楷體"/>
          <w:szCs w:val="22"/>
        </w:rPr>
        <w:t>，又從相而論究一一法的實質，就稱為「自性」。</w:t>
      </w:r>
    </w:p>
  </w:footnote>
  <w:footnote w:id="337">
    <w:p w:rsidR="00157EF6" w:rsidRPr="00212D57" w:rsidRDefault="00157EF6" w:rsidP="002B682F">
      <w:pPr>
        <w:pStyle w:val="a5"/>
        <w:ind w:left="187" w:hangingChars="85" w:hanging="187"/>
        <w:jc w:val="both"/>
        <w:rPr>
          <w:rFonts w:eastAsia="標楷體"/>
          <w:szCs w:val="22"/>
        </w:rPr>
      </w:pPr>
      <w:r w:rsidRPr="00212D57">
        <w:rPr>
          <w:rStyle w:val="a6"/>
          <w:szCs w:val="22"/>
        </w:rPr>
        <w:footnoteRef/>
      </w:r>
      <w:r w:rsidRPr="00212D57">
        <w:rPr>
          <w:rFonts w:eastAsia="細明體" w:hint="eastAsia"/>
          <w:szCs w:val="22"/>
        </w:rPr>
        <w:t xml:space="preserve"> </w:t>
      </w:r>
      <w:r w:rsidRPr="00212D57">
        <w:rPr>
          <w:rFonts w:eastAsia="細明體"/>
          <w:szCs w:val="22"/>
        </w:rPr>
        <w:t>印順</w:t>
      </w:r>
      <w:r w:rsidRPr="00212D57">
        <w:rPr>
          <w:rFonts w:eastAsia="細明體" w:hint="eastAsia"/>
          <w:szCs w:val="22"/>
        </w:rPr>
        <w:t>法師，</w:t>
      </w:r>
      <w:r w:rsidRPr="00212D57">
        <w:rPr>
          <w:rFonts w:eastAsia="細明體"/>
          <w:szCs w:val="22"/>
        </w:rPr>
        <w:t>《如來藏之研究》</w:t>
      </w:r>
      <w:r w:rsidR="00EB6DA8">
        <w:rPr>
          <w:rFonts w:eastAsia="細明體" w:hint="eastAsia"/>
          <w:szCs w:val="22"/>
        </w:rPr>
        <w:t>，</w:t>
      </w:r>
      <w:r w:rsidRPr="00761EF3">
        <w:rPr>
          <w:rFonts w:eastAsia="細明體"/>
          <w:szCs w:val="22"/>
        </w:rPr>
        <w:t>pp</w:t>
      </w:r>
      <w:r w:rsidRPr="00212D57">
        <w:rPr>
          <w:rFonts w:eastAsia="細明體"/>
          <w:szCs w:val="22"/>
        </w:rPr>
        <w:t>.</w:t>
      </w:r>
      <w:r w:rsidRPr="00761EF3">
        <w:rPr>
          <w:rFonts w:eastAsia="細明體"/>
          <w:szCs w:val="22"/>
        </w:rPr>
        <w:t>173</w:t>
      </w:r>
      <w:r w:rsidRPr="00212D57">
        <w:rPr>
          <w:rFonts w:eastAsia="細明體"/>
          <w:szCs w:val="22"/>
        </w:rPr>
        <w:t>-</w:t>
      </w:r>
      <w:r w:rsidRPr="00761EF3">
        <w:rPr>
          <w:rFonts w:eastAsia="細明體"/>
          <w:szCs w:val="22"/>
        </w:rPr>
        <w:t>174</w:t>
      </w:r>
      <w:r w:rsidRPr="00212D57">
        <w:rPr>
          <w:rFonts w:eastAsia="細明體"/>
          <w:szCs w:val="22"/>
        </w:rPr>
        <w:t>：</w:t>
      </w:r>
    </w:p>
    <w:p w:rsidR="00157EF6" w:rsidRPr="00212D57" w:rsidRDefault="00157EF6" w:rsidP="002B682F">
      <w:pPr>
        <w:snapToGrid w:val="0"/>
        <w:ind w:leftChars="75" w:left="180"/>
        <w:jc w:val="both"/>
        <w:rPr>
          <w:rFonts w:eastAsia="SimSun"/>
          <w:sz w:val="22"/>
          <w:szCs w:val="22"/>
        </w:rPr>
      </w:pPr>
      <w:r w:rsidRPr="00212D57">
        <w:rPr>
          <w:rFonts w:ascii="Times New Roman" w:eastAsia="標楷體" w:hAnsi="Times New Roman"/>
          <w:b/>
          <w:sz w:val="22"/>
          <w:szCs w:val="22"/>
        </w:rPr>
        <w:t>自性</w:t>
      </w:r>
      <w:r w:rsidRPr="00212D57">
        <w:rPr>
          <w:rFonts w:ascii="Times New Roman" w:eastAsia="標楷體" w:hAnsi="Times New Roman" w:hint="eastAsia"/>
          <w:b/>
          <w:sz w:val="22"/>
          <w:szCs w:val="22"/>
        </w:rPr>
        <w:t>（</w:t>
      </w:r>
      <w:r w:rsidRPr="00761EF3">
        <w:rPr>
          <w:rFonts w:ascii="Times New Roman" w:eastAsia="標楷體" w:hAnsi="Times New Roman"/>
          <w:b/>
          <w:sz w:val="22"/>
          <w:szCs w:val="22"/>
        </w:rPr>
        <w:t>prakṛti</w:t>
      </w:r>
      <w:r w:rsidRPr="00212D57">
        <w:rPr>
          <w:rFonts w:ascii="Times New Roman" w:eastAsia="標楷體" w:hAnsi="Times New Roman" w:hint="eastAsia"/>
          <w:b/>
          <w:sz w:val="22"/>
          <w:szCs w:val="22"/>
        </w:rPr>
        <w:t>）</w:t>
      </w:r>
      <w:r w:rsidRPr="00212D57">
        <w:rPr>
          <w:rFonts w:ascii="Times New Roman" w:eastAsia="標楷體" w:hAnsi="Times New Roman"/>
          <w:b/>
          <w:sz w:val="22"/>
          <w:szCs w:val="22"/>
        </w:rPr>
        <w:t>，也譯為本性</w:t>
      </w:r>
      <w:r w:rsidRPr="00212D57">
        <w:rPr>
          <w:rFonts w:ascii="Times New Roman" w:eastAsia="標楷體" w:hAnsi="Times New Roman"/>
          <w:sz w:val="22"/>
          <w:szCs w:val="22"/>
        </w:rPr>
        <w:t>，如</w:t>
      </w:r>
      <w:r w:rsidRPr="00212D57">
        <w:rPr>
          <w:rFonts w:ascii="Times New Roman" w:eastAsia="細明體" w:hAnsi="Times New Roman"/>
          <w:sz w:val="22"/>
          <w:szCs w:val="22"/>
        </w:rPr>
        <w:t>《</w:t>
      </w:r>
      <w:r w:rsidRPr="00212D57">
        <w:rPr>
          <w:rFonts w:ascii="Times New Roman" w:eastAsia="標楷體" w:hAnsi="Times New Roman"/>
          <w:sz w:val="22"/>
          <w:szCs w:val="22"/>
        </w:rPr>
        <w:t>般若經</w:t>
      </w:r>
      <w:r w:rsidRPr="00212D57">
        <w:rPr>
          <w:rFonts w:ascii="Times New Roman" w:eastAsia="細明體" w:hAnsi="Times New Roman"/>
          <w:sz w:val="22"/>
          <w:szCs w:val="22"/>
        </w:rPr>
        <w:t>》</w:t>
      </w:r>
      <w:r w:rsidRPr="00212D57">
        <w:rPr>
          <w:rFonts w:ascii="Times New Roman" w:eastAsia="標楷體" w:hAnsi="Times New Roman"/>
          <w:sz w:val="22"/>
          <w:szCs w:val="22"/>
        </w:rPr>
        <w:t>中的本性空</w:t>
      </w:r>
      <w:r w:rsidRPr="00212D57">
        <w:rPr>
          <w:rFonts w:ascii="Times New Roman" w:eastAsia="標楷體" w:hAnsi="Times New Roman" w:hint="eastAsia"/>
          <w:sz w:val="22"/>
          <w:szCs w:val="22"/>
        </w:rPr>
        <w:t>（</w:t>
      </w:r>
      <w:r w:rsidRPr="00761EF3">
        <w:rPr>
          <w:rFonts w:ascii="Times New Roman" w:eastAsia="標楷體" w:hAnsi="Times New Roman"/>
          <w:sz w:val="22"/>
          <w:szCs w:val="22"/>
        </w:rPr>
        <w:t>prakṛti</w:t>
      </w:r>
      <w:r w:rsidRPr="00212D57">
        <w:rPr>
          <w:rFonts w:ascii="Times New Roman" w:eastAsia="標楷體" w:hAnsi="Times New Roman"/>
          <w:sz w:val="22"/>
          <w:szCs w:val="22"/>
        </w:rPr>
        <w:t>-</w:t>
      </w:r>
      <w:r w:rsidRPr="00761EF3">
        <w:rPr>
          <w:rFonts w:ascii="Times New Roman" w:eastAsia="MS Mincho" w:hAnsi="Times New Roman"/>
          <w:sz w:val="22"/>
          <w:szCs w:val="22"/>
        </w:rPr>
        <w:t>śū</w:t>
      </w:r>
      <w:r w:rsidRPr="00761EF3">
        <w:rPr>
          <w:rFonts w:ascii="Times New Roman" w:eastAsia="標楷體" w:hAnsi="Times New Roman"/>
          <w:sz w:val="22"/>
          <w:szCs w:val="22"/>
        </w:rPr>
        <w:t>nyat</w:t>
      </w:r>
      <w:r w:rsidRPr="00761EF3">
        <w:rPr>
          <w:rFonts w:ascii="Times New Roman" w:hAnsi="Times New Roman"/>
          <w:sz w:val="22"/>
          <w:szCs w:val="22"/>
        </w:rPr>
        <w:t>ā</w:t>
      </w:r>
      <w:r w:rsidRPr="00212D57">
        <w:rPr>
          <w:rFonts w:ascii="Times New Roman" w:eastAsia="標楷體" w:hAnsi="Times New Roman" w:hint="eastAsia"/>
          <w:sz w:val="22"/>
          <w:szCs w:val="22"/>
        </w:rPr>
        <w:t>）</w:t>
      </w:r>
      <w:r w:rsidRPr="00212D57">
        <w:rPr>
          <w:rFonts w:ascii="Times New Roman" w:eastAsia="標楷體" w:hAnsi="Times New Roman"/>
          <w:sz w:val="22"/>
          <w:szCs w:val="22"/>
        </w:rPr>
        <w:t>，或簡稱「性空」，就是</w:t>
      </w:r>
      <w:r w:rsidRPr="00761EF3">
        <w:rPr>
          <w:rFonts w:ascii="Times New Roman" w:eastAsia="標楷體" w:hAnsi="Times New Roman"/>
          <w:sz w:val="22"/>
          <w:szCs w:val="22"/>
        </w:rPr>
        <w:t>prakṛti</w:t>
      </w:r>
      <w:r w:rsidRPr="00212D57">
        <w:rPr>
          <w:rFonts w:ascii="Times New Roman" w:eastAsia="標楷體" w:hAnsi="Times New Roman"/>
          <w:sz w:val="22"/>
          <w:szCs w:val="22"/>
        </w:rPr>
        <w:t>。</w:t>
      </w:r>
      <w:r w:rsidRPr="00761EF3">
        <w:rPr>
          <w:rFonts w:ascii="Times New Roman" w:eastAsia="標楷體" w:hAnsi="Times New Roman"/>
          <w:b/>
          <w:sz w:val="22"/>
          <w:szCs w:val="22"/>
        </w:rPr>
        <w:t>prakṛti</w:t>
      </w:r>
      <w:r w:rsidRPr="00212D57">
        <w:rPr>
          <w:rFonts w:ascii="Times New Roman" w:eastAsia="標楷體" w:hAnsi="Times New Roman"/>
          <w:b/>
          <w:sz w:val="22"/>
          <w:szCs w:val="22"/>
        </w:rPr>
        <w:t>有事物本原的意思</w:t>
      </w:r>
      <w:r w:rsidRPr="00212D57">
        <w:rPr>
          <w:rFonts w:ascii="Times New Roman" w:eastAsia="標楷體" w:hAnsi="Times New Roman"/>
          <w:sz w:val="22"/>
          <w:szCs w:val="22"/>
        </w:rPr>
        <w:t>，如數論所立二十五諦，與我</w:t>
      </w:r>
      <w:r w:rsidRPr="00212D57">
        <w:rPr>
          <w:rFonts w:ascii="Times New Roman" w:eastAsia="標楷體" w:hAnsi="Times New Roman" w:hint="eastAsia"/>
          <w:sz w:val="22"/>
          <w:szCs w:val="22"/>
        </w:rPr>
        <w:t>（</w:t>
      </w:r>
      <w:r w:rsidRPr="00761EF3">
        <w:rPr>
          <w:rFonts w:ascii="Times New Roman" w:hAnsi="Times New Roman"/>
          <w:sz w:val="22"/>
          <w:szCs w:val="22"/>
        </w:rPr>
        <w:t>ā</w:t>
      </w:r>
      <w:r w:rsidRPr="00761EF3">
        <w:rPr>
          <w:rFonts w:ascii="Times New Roman" w:eastAsia="標楷體" w:hAnsi="Times New Roman"/>
          <w:sz w:val="22"/>
          <w:szCs w:val="22"/>
        </w:rPr>
        <w:t>tman</w:t>
      </w:r>
      <w:r w:rsidRPr="00212D57">
        <w:rPr>
          <w:rFonts w:ascii="Times New Roman" w:eastAsia="標楷體" w:hAnsi="Times New Roman" w:hint="eastAsia"/>
          <w:sz w:val="22"/>
          <w:szCs w:val="22"/>
        </w:rPr>
        <w:t>）</w:t>
      </w:r>
      <w:r w:rsidRPr="00212D57">
        <w:rPr>
          <w:rFonts w:ascii="Times New Roman" w:eastAsia="標楷體" w:hAnsi="Times New Roman"/>
          <w:sz w:val="22"/>
          <w:szCs w:val="22"/>
        </w:rPr>
        <w:t>相對的自性，就是</w:t>
      </w:r>
      <w:r w:rsidRPr="00761EF3">
        <w:rPr>
          <w:rFonts w:ascii="Times New Roman" w:eastAsia="標楷體" w:hAnsi="Times New Roman"/>
          <w:sz w:val="22"/>
          <w:szCs w:val="22"/>
        </w:rPr>
        <w:t>prakṛti</w:t>
      </w:r>
      <w:r w:rsidRPr="00212D57">
        <w:rPr>
          <w:rFonts w:ascii="Times New Roman" w:eastAsia="標楷體" w:hAnsi="Times New Roman"/>
          <w:sz w:val="22"/>
          <w:szCs w:val="22"/>
        </w:rPr>
        <w:t>，</w:t>
      </w:r>
      <w:r w:rsidRPr="00212D57">
        <w:rPr>
          <w:rFonts w:ascii="Times New Roman" w:eastAsia="標楷體" w:hAnsi="Times New Roman"/>
          <w:b/>
          <w:sz w:val="22"/>
          <w:szCs w:val="22"/>
        </w:rPr>
        <w:t>是展開萬化的本原</w:t>
      </w:r>
      <w:r w:rsidRPr="00212D57">
        <w:rPr>
          <w:rFonts w:ascii="Times New Roman" w:eastAsia="標楷體" w:hAnsi="Times New Roman"/>
          <w:sz w:val="22"/>
          <w:szCs w:val="22"/>
        </w:rPr>
        <w:t>。</w:t>
      </w:r>
      <w:r w:rsidRPr="00212D57">
        <w:rPr>
          <w:rFonts w:ascii="Times New Roman" w:eastAsia="標楷體" w:hAnsi="Times New Roman"/>
          <w:b/>
          <w:sz w:val="22"/>
          <w:szCs w:val="22"/>
        </w:rPr>
        <w:t>佛法中別有</w:t>
      </w:r>
      <w:r w:rsidRPr="00761EF3">
        <w:rPr>
          <w:rFonts w:ascii="Times New Roman" w:eastAsia="標楷體" w:hAnsi="Times New Roman"/>
          <w:b/>
          <w:sz w:val="22"/>
          <w:szCs w:val="22"/>
        </w:rPr>
        <w:t>svabh</w:t>
      </w:r>
      <w:r w:rsidRPr="00761EF3">
        <w:rPr>
          <w:rFonts w:ascii="Times New Roman" w:hAnsi="Times New Roman"/>
          <w:b/>
          <w:sz w:val="22"/>
          <w:szCs w:val="22"/>
        </w:rPr>
        <w:t>ā</w:t>
      </w:r>
      <w:r w:rsidRPr="00761EF3">
        <w:rPr>
          <w:rFonts w:ascii="Times New Roman" w:eastAsia="標楷體" w:hAnsi="Times New Roman"/>
          <w:b/>
          <w:sz w:val="22"/>
          <w:szCs w:val="22"/>
        </w:rPr>
        <w:t>va</w:t>
      </w:r>
      <w:r w:rsidRPr="00212D57">
        <w:rPr>
          <w:rFonts w:ascii="Times New Roman" w:eastAsia="標楷體" w:hAnsi="Times New Roman"/>
          <w:b/>
          <w:sz w:val="22"/>
          <w:szCs w:val="22"/>
        </w:rPr>
        <w:t>，意義為自有自成的，一般也譯為自性。</w:t>
      </w:r>
      <w:r w:rsidRPr="00212D57">
        <w:rPr>
          <w:rFonts w:ascii="Times New Roman" w:eastAsia="標楷體" w:hAnsi="Times New Roman"/>
          <w:sz w:val="22"/>
          <w:szCs w:val="22"/>
        </w:rPr>
        <w:t>般若法門所說的一切法無自性，就是沒有</w:t>
      </w:r>
      <w:r w:rsidRPr="00761EF3">
        <w:rPr>
          <w:rFonts w:ascii="Times New Roman" w:eastAsia="標楷體" w:hAnsi="Times New Roman"/>
          <w:sz w:val="22"/>
          <w:szCs w:val="22"/>
        </w:rPr>
        <w:t>svabh</w:t>
      </w:r>
      <w:r w:rsidRPr="00761EF3">
        <w:rPr>
          <w:rFonts w:ascii="Times New Roman" w:hAnsi="Times New Roman"/>
          <w:sz w:val="22"/>
          <w:szCs w:val="22"/>
        </w:rPr>
        <w:t>ā</w:t>
      </w:r>
      <w:r w:rsidRPr="00761EF3">
        <w:rPr>
          <w:rFonts w:ascii="Times New Roman" w:eastAsia="標楷體" w:hAnsi="Times New Roman"/>
          <w:sz w:val="22"/>
          <w:szCs w:val="22"/>
        </w:rPr>
        <w:t>va</w:t>
      </w:r>
      <w:r w:rsidRPr="00212D57">
        <w:rPr>
          <w:rFonts w:ascii="Times New Roman" w:eastAsia="標楷體" w:hAnsi="Times New Roman"/>
          <w:sz w:val="22"/>
          <w:szCs w:val="22"/>
        </w:rPr>
        <w:t>。</w:t>
      </w:r>
      <w:r w:rsidRPr="00212D57">
        <w:rPr>
          <w:rFonts w:ascii="Times New Roman" w:eastAsia="細明體" w:hAnsi="Times New Roman"/>
          <w:sz w:val="22"/>
          <w:szCs w:val="22"/>
        </w:rPr>
        <w:t>《</w:t>
      </w:r>
      <w:r w:rsidRPr="00212D57">
        <w:rPr>
          <w:rFonts w:ascii="Times New Roman" w:eastAsia="標楷體" w:hAnsi="Times New Roman"/>
          <w:sz w:val="22"/>
          <w:szCs w:val="22"/>
        </w:rPr>
        <w:t>般若經</w:t>
      </w:r>
      <w:r w:rsidRPr="00212D57">
        <w:rPr>
          <w:rFonts w:ascii="Times New Roman" w:eastAsia="細明體" w:hAnsi="Times New Roman"/>
          <w:sz w:val="22"/>
          <w:szCs w:val="22"/>
        </w:rPr>
        <w:t>》</w:t>
      </w:r>
      <w:r w:rsidRPr="00212D57">
        <w:rPr>
          <w:rFonts w:ascii="Times New Roman" w:eastAsia="標楷體" w:hAnsi="Times New Roman"/>
          <w:sz w:val="22"/>
          <w:szCs w:val="22"/>
        </w:rPr>
        <w:t>所立的自性空</w:t>
      </w:r>
      <w:r w:rsidRPr="00212D57">
        <w:rPr>
          <w:rFonts w:ascii="Times New Roman" w:eastAsia="標楷體" w:hAnsi="Times New Roman" w:hint="eastAsia"/>
          <w:sz w:val="22"/>
          <w:szCs w:val="22"/>
        </w:rPr>
        <w:t>（</w:t>
      </w:r>
      <w:r w:rsidRPr="00761EF3">
        <w:rPr>
          <w:rFonts w:ascii="Times New Roman" w:eastAsia="標楷體" w:hAnsi="Times New Roman"/>
          <w:sz w:val="22"/>
          <w:szCs w:val="22"/>
        </w:rPr>
        <w:t>svabh</w:t>
      </w:r>
      <w:r w:rsidRPr="00761EF3">
        <w:rPr>
          <w:rFonts w:ascii="Times New Roman" w:hAnsi="Times New Roman"/>
          <w:sz w:val="22"/>
          <w:szCs w:val="22"/>
        </w:rPr>
        <w:t>ā</w:t>
      </w:r>
      <w:r w:rsidRPr="00761EF3">
        <w:rPr>
          <w:rFonts w:ascii="Times New Roman" w:eastAsia="標楷體" w:hAnsi="Times New Roman"/>
          <w:sz w:val="22"/>
          <w:szCs w:val="22"/>
        </w:rPr>
        <w:t>va</w:t>
      </w:r>
      <w:r w:rsidRPr="00212D57">
        <w:rPr>
          <w:rFonts w:ascii="Times New Roman" w:eastAsia="標楷體" w:hAnsi="Times New Roman"/>
          <w:sz w:val="22"/>
          <w:szCs w:val="22"/>
        </w:rPr>
        <w:t>-</w:t>
      </w:r>
      <w:r w:rsidRPr="00761EF3">
        <w:rPr>
          <w:rFonts w:ascii="Times New Roman" w:eastAsia="MS Mincho" w:hAnsi="Times New Roman"/>
          <w:sz w:val="22"/>
          <w:szCs w:val="22"/>
        </w:rPr>
        <w:t>śū</w:t>
      </w:r>
      <w:r w:rsidRPr="00761EF3">
        <w:rPr>
          <w:rFonts w:ascii="Times New Roman" w:eastAsia="標楷體" w:hAnsi="Times New Roman"/>
          <w:sz w:val="22"/>
          <w:szCs w:val="22"/>
        </w:rPr>
        <w:t>nyat</w:t>
      </w:r>
      <w:r w:rsidRPr="00761EF3">
        <w:rPr>
          <w:rFonts w:ascii="Times New Roman" w:hAnsi="Times New Roman"/>
          <w:sz w:val="22"/>
          <w:szCs w:val="22"/>
        </w:rPr>
        <w:t>ā</w:t>
      </w:r>
      <w:r w:rsidRPr="00212D57">
        <w:rPr>
          <w:rFonts w:ascii="Times New Roman" w:eastAsia="標楷體" w:hAnsi="Times New Roman" w:hint="eastAsia"/>
          <w:sz w:val="22"/>
          <w:szCs w:val="22"/>
        </w:rPr>
        <w:t>）</w:t>
      </w:r>
      <w:r w:rsidRPr="00212D57">
        <w:rPr>
          <w:rFonts w:ascii="Times New Roman" w:eastAsia="標楷體" w:hAnsi="Times New Roman"/>
          <w:sz w:val="22"/>
          <w:szCs w:val="22"/>
        </w:rPr>
        <w:t>無性自性空</w:t>
      </w:r>
      <w:r w:rsidRPr="00212D57">
        <w:rPr>
          <w:rFonts w:ascii="Times New Roman" w:eastAsia="標楷體" w:hAnsi="Times New Roman" w:hint="eastAsia"/>
          <w:sz w:val="22"/>
          <w:szCs w:val="22"/>
        </w:rPr>
        <w:t>（</w:t>
      </w:r>
      <w:r w:rsidRPr="00761EF3">
        <w:rPr>
          <w:rFonts w:ascii="Times New Roman" w:eastAsia="標楷體" w:hAnsi="Times New Roman"/>
          <w:sz w:val="22"/>
          <w:szCs w:val="22"/>
        </w:rPr>
        <w:t>abh</w:t>
      </w:r>
      <w:r w:rsidRPr="00761EF3">
        <w:rPr>
          <w:rFonts w:ascii="Times New Roman" w:hAnsi="Times New Roman"/>
          <w:sz w:val="22"/>
          <w:szCs w:val="22"/>
        </w:rPr>
        <w:t>ā</w:t>
      </w:r>
      <w:r w:rsidRPr="00761EF3">
        <w:rPr>
          <w:rFonts w:ascii="Times New Roman" w:eastAsia="標楷體" w:hAnsi="Times New Roman"/>
          <w:sz w:val="22"/>
          <w:szCs w:val="22"/>
        </w:rPr>
        <w:t>va</w:t>
      </w:r>
      <w:r w:rsidRPr="00212D57">
        <w:rPr>
          <w:rFonts w:ascii="Times New Roman" w:eastAsia="標楷體" w:hAnsi="Times New Roman"/>
          <w:sz w:val="22"/>
          <w:szCs w:val="22"/>
        </w:rPr>
        <w:t>-</w:t>
      </w:r>
      <w:r w:rsidRPr="00761EF3">
        <w:rPr>
          <w:rFonts w:ascii="Times New Roman" w:eastAsia="標楷體" w:hAnsi="Times New Roman"/>
          <w:sz w:val="22"/>
          <w:szCs w:val="22"/>
        </w:rPr>
        <w:t>svabh</w:t>
      </w:r>
      <w:r w:rsidRPr="00761EF3">
        <w:rPr>
          <w:rFonts w:ascii="Times New Roman" w:hAnsi="Times New Roman"/>
          <w:sz w:val="22"/>
          <w:szCs w:val="22"/>
        </w:rPr>
        <w:t>ā</w:t>
      </w:r>
      <w:r w:rsidRPr="00761EF3">
        <w:rPr>
          <w:rFonts w:ascii="Times New Roman" w:eastAsia="標楷體" w:hAnsi="Times New Roman"/>
          <w:sz w:val="22"/>
          <w:szCs w:val="22"/>
        </w:rPr>
        <w:t>va</w:t>
      </w:r>
      <w:r w:rsidRPr="00212D57">
        <w:rPr>
          <w:rFonts w:ascii="Times New Roman" w:eastAsia="標楷體" w:hAnsi="Times New Roman"/>
          <w:sz w:val="22"/>
          <w:szCs w:val="22"/>
        </w:rPr>
        <w:t>-</w:t>
      </w:r>
      <w:r w:rsidRPr="00761EF3">
        <w:rPr>
          <w:rFonts w:ascii="Times New Roman" w:eastAsia="MS Mincho" w:hAnsi="Times New Roman"/>
          <w:sz w:val="22"/>
          <w:szCs w:val="22"/>
        </w:rPr>
        <w:t>śū</w:t>
      </w:r>
      <w:r w:rsidRPr="00761EF3">
        <w:rPr>
          <w:rFonts w:ascii="Times New Roman" w:eastAsia="標楷體" w:hAnsi="Times New Roman"/>
          <w:sz w:val="22"/>
          <w:szCs w:val="22"/>
        </w:rPr>
        <w:t>nyat</w:t>
      </w:r>
      <w:r w:rsidRPr="00761EF3">
        <w:rPr>
          <w:rFonts w:ascii="Times New Roman" w:hAnsi="Times New Roman"/>
          <w:sz w:val="22"/>
          <w:szCs w:val="22"/>
        </w:rPr>
        <w:t>ā</w:t>
      </w:r>
      <w:r w:rsidRPr="00212D57">
        <w:rPr>
          <w:rFonts w:ascii="Times New Roman" w:eastAsia="標楷體" w:hAnsi="Times New Roman" w:hint="eastAsia"/>
          <w:sz w:val="22"/>
          <w:szCs w:val="22"/>
        </w:rPr>
        <w:t>）</w:t>
      </w:r>
      <w:r w:rsidRPr="00212D57">
        <w:rPr>
          <w:rFonts w:ascii="Times New Roman" w:eastAsia="標楷體" w:hAnsi="Times New Roman"/>
          <w:sz w:val="22"/>
          <w:szCs w:val="22"/>
        </w:rPr>
        <w:t>，鳩摩羅什譯為「有法空」與「無法有法空」；自性與有法，也就是</w:t>
      </w:r>
      <w:r w:rsidRPr="00761EF3">
        <w:rPr>
          <w:rFonts w:ascii="Times New Roman" w:eastAsia="標楷體" w:hAnsi="Times New Roman"/>
          <w:sz w:val="22"/>
          <w:szCs w:val="22"/>
        </w:rPr>
        <w:t>svabh</w:t>
      </w:r>
      <w:r w:rsidRPr="00761EF3">
        <w:rPr>
          <w:rFonts w:ascii="Times New Roman" w:hAnsi="Times New Roman"/>
          <w:sz w:val="22"/>
          <w:szCs w:val="22"/>
        </w:rPr>
        <w:t>ā</w:t>
      </w:r>
      <w:r w:rsidRPr="00761EF3">
        <w:rPr>
          <w:rFonts w:ascii="Times New Roman" w:eastAsia="標楷體" w:hAnsi="Times New Roman"/>
          <w:sz w:val="22"/>
          <w:szCs w:val="22"/>
        </w:rPr>
        <w:t>va</w:t>
      </w:r>
      <w:r w:rsidRPr="00212D57">
        <w:rPr>
          <w:rFonts w:ascii="Times New Roman" w:eastAsia="標楷體" w:hAnsi="Times New Roman"/>
          <w:sz w:val="22"/>
          <w:szCs w:val="22"/>
        </w:rPr>
        <w:t>。說一切有部析假見實，依相立法，而說一切法有「自性」</w:t>
      </w:r>
      <w:r w:rsidRPr="00212D57">
        <w:rPr>
          <w:rFonts w:ascii="Times New Roman" w:eastAsia="標楷體" w:hAnsi="Times New Roman" w:hint="eastAsia"/>
          <w:sz w:val="22"/>
          <w:szCs w:val="22"/>
        </w:rPr>
        <w:t>（</w:t>
      </w:r>
      <w:r w:rsidRPr="00761EF3">
        <w:rPr>
          <w:rFonts w:ascii="Times New Roman" w:eastAsia="標楷體" w:hAnsi="Times New Roman"/>
          <w:sz w:val="22"/>
          <w:szCs w:val="22"/>
        </w:rPr>
        <w:t>svabh</w:t>
      </w:r>
      <w:r w:rsidRPr="00761EF3">
        <w:rPr>
          <w:rFonts w:ascii="Times New Roman" w:hAnsi="Times New Roman"/>
          <w:sz w:val="22"/>
          <w:szCs w:val="22"/>
        </w:rPr>
        <w:t>ā</w:t>
      </w:r>
      <w:r w:rsidRPr="00761EF3">
        <w:rPr>
          <w:rFonts w:ascii="Times New Roman" w:eastAsia="標楷體" w:hAnsi="Times New Roman"/>
          <w:sz w:val="22"/>
          <w:szCs w:val="22"/>
        </w:rPr>
        <w:t>va</w:t>
      </w:r>
      <w:r w:rsidRPr="00212D57">
        <w:rPr>
          <w:rFonts w:ascii="Times New Roman" w:eastAsia="標楷體" w:hAnsi="Times New Roman" w:hint="eastAsia"/>
          <w:sz w:val="22"/>
          <w:szCs w:val="22"/>
        </w:rPr>
        <w:t>）</w:t>
      </w:r>
      <w:r w:rsidRPr="00212D57">
        <w:rPr>
          <w:rFonts w:ascii="Times New Roman" w:eastAsia="標楷體" w:hAnsi="Times New Roman"/>
          <w:sz w:val="22"/>
          <w:szCs w:val="22"/>
        </w:rPr>
        <w:t>。</w:t>
      </w:r>
      <w:r w:rsidRPr="00212D57">
        <w:rPr>
          <w:rFonts w:ascii="Times New Roman" w:eastAsia="細明體" w:hAnsi="Times New Roman"/>
          <w:sz w:val="22"/>
          <w:szCs w:val="22"/>
        </w:rPr>
        <w:t>《</w:t>
      </w:r>
      <w:r w:rsidRPr="00212D57">
        <w:rPr>
          <w:rFonts w:ascii="Times New Roman" w:eastAsia="標楷體" w:hAnsi="Times New Roman"/>
          <w:sz w:val="22"/>
          <w:szCs w:val="22"/>
        </w:rPr>
        <w:t>大毘婆沙論</w:t>
      </w:r>
      <w:r w:rsidRPr="00212D57">
        <w:rPr>
          <w:rFonts w:ascii="Times New Roman" w:eastAsia="細明體" w:hAnsi="Times New Roman"/>
          <w:sz w:val="22"/>
          <w:szCs w:val="22"/>
        </w:rPr>
        <w:t>》</w:t>
      </w:r>
      <w:r w:rsidRPr="00212D57">
        <w:rPr>
          <w:rFonts w:ascii="Times New Roman" w:eastAsia="標楷體" w:hAnsi="Times New Roman"/>
          <w:sz w:val="22"/>
          <w:szCs w:val="22"/>
        </w:rPr>
        <w:t>說：「如說自性，我、物、自體、相、分、本性，應知亦爾。」依說一切有部，自性</w:t>
      </w:r>
      <w:r w:rsidRPr="00212D57">
        <w:rPr>
          <w:rFonts w:ascii="Times New Roman" w:eastAsia="標楷體" w:hAnsi="Times New Roman" w:hint="eastAsia"/>
          <w:sz w:val="22"/>
          <w:szCs w:val="22"/>
        </w:rPr>
        <w:t>（</w:t>
      </w:r>
      <w:r w:rsidRPr="00761EF3">
        <w:rPr>
          <w:rFonts w:ascii="Times New Roman" w:eastAsia="標楷體" w:hAnsi="Times New Roman"/>
          <w:sz w:val="22"/>
          <w:szCs w:val="22"/>
        </w:rPr>
        <w:t>svabh</w:t>
      </w:r>
      <w:r w:rsidRPr="00761EF3">
        <w:rPr>
          <w:rFonts w:ascii="Times New Roman" w:hAnsi="Times New Roman"/>
          <w:sz w:val="22"/>
          <w:szCs w:val="22"/>
        </w:rPr>
        <w:t>ā</w:t>
      </w:r>
      <w:r w:rsidRPr="00761EF3">
        <w:rPr>
          <w:rFonts w:ascii="Times New Roman" w:eastAsia="標楷體" w:hAnsi="Times New Roman"/>
          <w:sz w:val="22"/>
          <w:szCs w:val="22"/>
        </w:rPr>
        <w:t>va</w:t>
      </w:r>
      <w:r w:rsidRPr="00212D57">
        <w:rPr>
          <w:rFonts w:ascii="Times New Roman" w:eastAsia="標楷體" w:hAnsi="Times New Roman" w:hint="eastAsia"/>
          <w:sz w:val="22"/>
          <w:szCs w:val="22"/>
        </w:rPr>
        <w:t>）</w:t>
      </w:r>
      <w:r w:rsidRPr="00212D57">
        <w:rPr>
          <w:rFonts w:ascii="Times New Roman" w:eastAsia="標楷體" w:hAnsi="Times New Roman"/>
          <w:sz w:val="22"/>
          <w:szCs w:val="22"/>
        </w:rPr>
        <w:t>與本性</w:t>
      </w:r>
      <w:r w:rsidRPr="00212D57">
        <w:rPr>
          <w:rFonts w:ascii="Times New Roman" w:eastAsia="標楷體" w:hAnsi="Times New Roman" w:hint="eastAsia"/>
          <w:sz w:val="22"/>
          <w:szCs w:val="22"/>
        </w:rPr>
        <w:t>（</w:t>
      </w:r>
      <w:r w:rsidRPr="00761EF3">
        <w:rPr>
          <w:rFonts w:ascii="Times New Roman" w:eastAsia="標楷體" w:hAnsi="Times New Roman"/>
          <w:sz w:val="22"/>
          <w:szCs w:val="22"/>
        </w:rPr>
        <w:t>prakṛti</w:t>
      </w:r>
      <w:r w:rsidRPr="00212D57">
        <w:rPr>
          <w:rFonts w:ascii="Times New Roman" w:eastAsia="標楷體" w:hAnsi="Times New Roman" w:hint="eastAsia"/>
          <w:sz w:val="22"/>
          <w:szCs w:val="22"/>
        </w:rPr>
        <w:t>）</w:t>
      </w:r>
      <w:r w:rsidRPr="00212D57">
        <w:rPr>
          <w:rFonts w:ascii="Times New Roman" w:eastAsia="標楷體" w:hAnsi="Times New Roman"/>
          <w:sz w:val="22"/>
          <w:szCs w:val="22"/>
        </w:rPr>
        <w:t>，是看作同一意義的。</w:t>
      </w:r>
      <w:r w:rsidRPr="00212D57">
        <w:rPr>
          <w:rFonts w:ascii="Times New Roman" w:eastAsia="細明體" w:hAnsi="Times New Roman"/>
          <w:sz w:val="22"/>
          <w:szCs w:val="22"/>
        </w:rPr>
        <w:t>《</w:t>
      </w:r>
      <w:r w:rsidRPr="00212D57">
        <w:rPr>
          <w:rFonts w:ascii="Times New Roman" w:eastAsia="標楷體" w:hAnsi="Times New Roman"/>
          <w:sz w:val="22"/>
          <w:szCs w:val="22"/>
        </w:rPr>
        <w:t>般若經</w:t>
      </w:r>
      <w:r w:rsidRPr="00212D57">
        <w:rPr>
          <w:rFonts w:ascii="Times New Roman" w:eastAsia="細明體" w:hAnsi="Times New Roman"/>
          <w:sz w:val="22"/>
          <w:szCs w:val="22"/>
        </w:rPr>
        <w:t>》</w:t>
      </w:r>
      <w:r w:rsidRPr="00212D57">
        <w:rPr>
          <w:rFonts w:ascii="Times New Roman" w:eastAsia="標楷體" w:hAnsi="Times New Roman"/>
          <w:sz w:val="22"/>
          <w:szCs w:val="22"/>
        </w:rPr>
        <w:t>與龍樹論，依本性空而說無自性空，是有對治「自性」意義的。受說一切有部影響的大乘有宗，無論是經與論，都應用自性</w:t>
      </w:r>
      <w:r w:rsidRPr="00212D57">
        <w:rPr>
          <w:rFonts w:ascii="Times New Roman" w:eastAsia="標楷體" w:hAnsi="Times New Roman" w:hint="eastAsia"/>
          <w:sz w:val="22"/>
          <w:szCs w:val="22"/>
        </w:rPr>
        <w:t>（</w:t>
      </w:r>
      <w:r w:rsidRPr="00761EF3">
        <w:rPr>
          <w:rFonts w:ascii="Times New Roman" w:eastAsia="標楷體" w:hAnsi="Times New Roman"/>
          <w:sz w:val="22"/>
          <w:szCs w:val="22"/>
        </w:rPr>
        <w:t>svabh</w:t>
      </w:r>
      <w:r w:rsidRPr="00761EF3">
        <w:rPr>
          <w:rFonts w:ascii="Times New Roman" w:hAnsi="Times New Roman"/>
          <w:sz w:val="22"/>
          <w:szCs w:val="22"/>
        </w:rPr>
        <w:t>ā</w:t>
      </w:r>
      <w:r w:rsidRPr="00761EF3">
        <w:rPr>
          <w:rFonts w:ascii="Times New Roman" w:eastAsia="標楷體" w:hAnsi="Times New Roman"/>
          <w:sz w:val="22"/>
          <w:szCs w:val="22"/>
        </w:rPr>
        <w:t>va</w:t>
      </w:r>
      <w:r w:rsidRPr="00212D57">
        <w:rPr>
          <w:rFonts w:ascii="Times New Roman" w:eastAsia="標楷體" w:hAnsi="Times New Roman" w:hint="eastAsia"/>
          <w:sz w:val="22"/>
          <w:szCs w:val="22"/>
        </w:rPr>
        <w:t>）</w:t>
      </w:r>
      <w:r w:rsidRPr="00212D57">
        <w:rPr>
          <w:rFonts w:ascii="Times New Roman" w:eastAsia="標楷體" w:hAnsi="Times New Roman"/>
          <w:sz w:val="22"/>
          <w:szCs w:val="22"/>
        </w:rPr>
        <w:t>一詞，也偶爾說</w:t>
      </w:r>
      <w:r w:rsidRPr="00761EF3">
        <w:rPr>
          <w:rFonts w:ascii="Times New Roman" w:eastAsia="標楷體" w:hAnsi="Times New Roman"/>
          <w:sz w:val="22"/>
          <w:szCs w:val="22"/>
        </w:rPr>
        <w:t>svabh</w:t>
      </w:r>
      <w:r w:rsidRPr="00761EF3">
        <w:rPr>
          <w:rFonts w:ascii="Times New Roman" w:hAnsi="Times New Roman"/>
          <w:sz w:val="22"/>
          <w:szCs w:val="22"/>
        </w:rPr>
        <w:t>ā</w:t>
      </w:r>
      <w:r w:rsidRPr="00761EF3">
        <w:rPr>
          <w:rFonts w:ascii="Times New Roman" w:eastAsia="標楷體" w:hAnsi="Times New Roman"/>
          <w:sz w:val="22"/>
          <w:szCs w:val="22"/>
        </w:rPr>
        <w:t>va</w:t>
      </w:r>
      <w:r w:rsidRPr="00212D57">
        <w:rPr>
          <w:rFonts w:ascii="Times New Roman" w:eastAsia="標楷體" w:hAnsi="Times New Roman"/>
          <w:sz w:val="22"/>
          <w:szCs w:val="22"/>
        </w:rPr>
        <w:t>-</w:t>
      </w:r>
      <w:r w:rsidRPr="00761EF3">
        <w:rPr>
          <w:rFonts w:ascii="Times New Roman" w:eastAsia="MS Mincho" w:hAnsi="Times New Roman"/>
          <w:sz w:val="22"/>
          <w:szCs w:val="22"/>
        </w:rPr>
        <w:t>ś</w:t>
      </w:r>
      <w:r w:rsidRPr="00761EF3">
        <w:rPr>
          <w:rFonts w:ascii="Times New Roman" w:eastAsia="標楷體" w:hAnsi="Times New Roman"/>
          <w:sz w:val="22"/>
          <w:szCs w:val="22"/>
        </w:rPr>
        <w:t>uddha</w:t>
      </w:r>
      <w:r w:rsidRPr="00212D57">
        <w:rPr>
          <w:rFonts w:ascii="新細明體" w:hAnsi="新細明體"/>
          <w:sz w:val="22"/>
          <w:szCs w:val="22"/>
        </w:rPr>
        <w:t>──</w:t>
      </w:r>
      <w:r w:rsidRPr="00212D57">
        <w:rPr>
          <w:rFonts w:ascii="Times New Roman" w:eastAsia="標楷體" w:hAnsi="Times New Roman"/>
          <w:sz w:val="22"/>
          <w:szCs w:val="22"/>
        </w:rPr>
        <w:t>自性清淨。</w:t>
      </w:r>
      <w:r w:rsidRPr="00761EF3">
        <w:rPr>
          <w:rFonts w:ascii="Times New Roman" w:eastAsia="標楷體" w:hAnsi="Times New Roman"/>
          <w:b/>
          <w:sz w:val="22"/>
          <w:szCs w:val="22"/>
        </w:rPr>
        <w:t>prakṛti</w:t>
      </w:r>
      <w:r w:rsidRPr="00212D57">
        <w:rPr>
          <w:rFonts w:ascii="Times New Roman" w:eastAsia="標楷體" w:hAnsi="Times New Roman"/>
          <w:b/>
          <w:sz w:val="22"/>
          <w:szCs w:val="22"/>
        </w:rPr>
        <w:t>與</w:t>
      </w:r>
      <w:r w:rsidRPr="00761EF3">
        <w:rPr>
          <w:rFonts w:ascii="Times New Roman" w:eastAsia="標楷體" w:hAnsi="Times New Roman"/>
          <w:b/>
          <w:sz w:val="22"/>
          <w:szCs w:val="22"/>
        </w:rPr>
        <w:t>svabh</w:t>
      </w:r>
      <w:r w:rsidRPr="00761EF3">
        <w:rPr>
          <w:rFonts w:ascii="Times New Roman" w:hAnsi="Times New Roman"/>
          <w:b/>
          <w:sz w:val="22"/>
          <w:szCs w:val="22"/>
        </w:rPr>
        <w:t>ā</w:t>
      </w:r>
      <w:r w:rsidRPr="00761EF3">
        <w:rPr>
          <w:rFonts w:ascii="Times New Roman" w:eastAsia="標楷體" w:hAnsi="Times New Roman"/>
          <w:b/>
          <w:sz w:val="22"/>
          <w:szCs w:val="22"/>
        </w:rPr>
        <w:t>va</w:t>
      </w:r>
      <w:r w:rsidRPr="00212D57">
        <w:rPr>
          <w:rFonts w:ascii="Times New Roman" w:eastAsia="標楷體" w:hAnsi="Times New Roman"/>
          <w:b/>
          <w:sz w:val="22"/>
          <w:szCs w:val="22"/>
        </w:rPr>
        <w:t>，雖被認為有共通的意義，而說心本性清淨，大都是用</w:t>
      </w:r>
      <w:r w:rsidRPr="00761EF3">
        <w:rPr>
          <w:rFonts w:ascii="Times New Roman" w:eastAsia="標楷體" w:hAnsi="Times New Roman"/>
          <w:b/>
          <w:sz w:val="22"/>
          <w:szCs w:val="22"/>
        </w:rPr>
        <w:t>prakṛti</w:t>
      </w:r>
      <w:r w:rsidRPr="00212D57">
        <w:rPr>
          <w:rFonts w:ascii="Times New Roman" w:eastAsia="標楷體" w:hAnsi="Times New Roman"/>
          <w:b/>
          <w:sz w:val="22"/>
          <w:szCs w:val="22"/>
        </w:rPr>
        <w:t>的。</w:t>
      </w:r>
    </w:p>
  </w:footnote>
  <w:footnote w:id="338">
    <w:p w:rsidR="00157EF6" w:rsidRPr="00212D57" w:rsidRDefault="00157EF6" w:rsidP="002B682F">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《阿毘達磨大毘婆沙論》卷</w:t>
      </w:r>
      <w:r w:rsidRPr="00761EF3">
        <w:rPr>
          <w:szCs w:val="22"/>
        </w:rPr>
        <w:t>1</w:t>
      </w:r>
      <w:r w:rsidRPr="00212D57">
        <w:rPr>
          <w:szCs w:val="22"/>
        </w:rPr>
        <w:t>（大正</w:t>
      </w:r>
      <w:r w:rsidRPr="00761EF3">
        <w:rPr>
          <w:szCs w:val="22"/>
        </w:rPr>
        <w:t>27</w:t>
      </w:r>
      <w:r w:rsidRPr="00212D57">
        <w:rPr>
          <w:szCs w:val="22"/>
        </w:rPr>
        <w:t>，</w:t>
      </w:r>
      <w:r w:rsidRPr="00761EF3">
        <w:rPr>
          <w:szCs w:val="22"/>
        </w:rPr>
        <w:t>4a10</w:t>
      </w:r>
      <w:r w:rsidRPr="00212D57">
        <w:rPr>
          <w:szCs w:val="22"/>
        </w:rPr>
        <w:t>-</w:t>
      </w:r>
      <w:r w:rsidRPr="00761EF3">
        <w:rPr>
          <w:szCs w:val="22"/>
        </w:rPr>
        <w:t>11</w:t>
      </w:r>
      <w:r w:rsidRPr="00212D57">
        <w:rPr>
          <w:szCs w:val="22"/>
        </w:rPr>
        <w:t>）。</w:t>
      </w:r>
    </w:p>
  </w:footnote>
  <w:footnote w:id="339">
    <w:p w:rsidR="00157EF6" w:rsidRPr="00212D57" w:rsidRDefault="00157EF6" w:rsidP="002B682F">
      <w:pPr>
        <w:pStyle w:val="a5"/>
        <w:ind w:left="187" w:hangingChars="85" w:hanging="187"/>
        <w:jc w:val="both"/>
        <w:rPr>
          <w:rFonts w:eastAsia="SimSun"/>
          <w:szCs w:val="22"/>
        </w:rPr>
      </w:pPr>
      <w:r w:rsidRPr="00212D57">
        <w:rPr>
          <w:rStyle w:val="a6"/>
          <w:szCs w:val="22"/>
        </w:rPr>
        <w:footnoteRef/>
      </w:r>
      <w:r w:rsidRPr="00212D57">
        <w:rPr>
          <w:rFonts w:hint="eastAsia"/>
          <w:szCs w:val="22"/>
        </w:rPr>
        <w:t xml:space="preserve"> </w:t>
      </w:r>
      <w:r w:rsidRPr="00212D57">
        <w:rPr>
          <w:szCs w:val="22"/>
        </w:rPr>
        <w:t>《阿毘達磨大毘婆沙論》卷</w:t>
      </w:r>
      <w:r w:rsidRPr="00761EF3">
        <w:rPr>
          <w:szCs w:val="22"/>
        </w:rPr>
        <w:t>9</w:t>
      </w:r>
      <w:r w:rsidRPr="00212D57">
        <w:rPr>
          <w:szCs w:val="22"/>
        </w:rPr>
        <w:t>（大正</w:t>
      </w:r>
      <w:r w:rsidRPr="00761EF3">
        <w:rPr>
          <w:szCs w:val="22"/>
        </w:rPr>
        <w:t>27</w:t>
      </w:r>
      <w:r w:rsidRPr="00212D57">
        <w:rPr>
          <w:szCs w:val="22"/>
        </w:rPr>
        <w:t>，</w:t>
      </w:r>
      <w:r w:rsidRPr="00761EF3">
        <w:rPr>
          <w:szCs w:val="22"/>
        </w:rPr>
        <w:t>42a24</w:t>
      </w:r>
      <w:r w:rsidRPr="00212D57">
        <w:rPr>
          <w:szCs w:val="22"/>
        </w:rPr>
        <w:t>-</w:t>
      </w:r>
      <w:r w:rsidRPr="00761EF3">
        <w:rPr>
          <w:szCs w:val="22"/>
        </w:rPr>
        <w:t>b4</w:t>
      </w:r>
      <w:r w:rsidRPr="00212D57">
        <w:rPr>
          <w:szCs w:val="22"/>
        </w:rPr>
        <w:t>）：</w:t>
      </w:r>
    </w:p>
    <w:p w:rsidR="00157EF6" w:rsidRPr="00212D57" w:rsidRDefault="00157EF6" w:rsidP="002B682F">
      <w:pPr>
        <w:pStyle w:val="a5"/>
        <w:ind w:leftChars="75" w:left="180"/>
        <w:jc w:val="both"/>
        <w:rPr>
          <w:rFonts w:eastAsia="標楷體"/>
          <w:szCs w:val="22"/>
        </w:rPr>
      </w:pPr>
      <w:r w:rsidRPr="00212D57">
        <w:rPr>
          <w:rFonts w:eastAsia="標楷體"/>
          <w:szCs w:val="22"/>
        </w:rPr>
        <w:t>然諸「有」者，</w:t>
      </w:r>
    </w:p>
    <w:p w:rsidR="00157EF6" w:rsidRPr="00212D57" w:rsidRDefault="00157EF6" w:rsidP="002B682F">
      <w:pPr>
        <w:pStyle w:val="a5"/>
        <w:ind w:leftChars="75" w:left="180"/>
        <w:jc w:val="both"/>
        <w:rPr>
          <w:rFonts w:eastAsia="標楷體"/>
          <w:szCs w:val="22"/>
        </w:rPr>
      </w:pPr>
      <w:r w:rsidRPr="00212D57">
        <w:rPr>
          <w:rFonts w:eastAsia="標楷體"/>
          <w:b/>
          <w:szCs w:val="22"/>
        </w:rPr>
        <w:t>有說二種</w:t>
      </w:r>
      <w:r w:rsidRPr="00212D57">
        <w:rPr>
          <w:rFonts w:eastAsia="標楷體"/>
          <w:szCs w:val="22"/>
        </w:rPr>
        <w:t>：一、實物有，謂蘊</w:t>
      </w:r>
      <w:r w:rsidR="00D57C44">
        <w:rPr>
          <w:rFonts w:ascii="標楷體" w:eastAsia="標楷體" w:hAnsi="標楷體" w:hint="eastAsia"/>
          <w:color w:val="FF0000"/>
          <w:spacing w:val="-4"/>
          <w:kern w:val="0"/>
          <w:highlight w:val="yellow"/>
        </w:rPr>
        <w:t>、</w:t>
      </w:r>
      <w:r w:rsidRPr="00212D57">
        <w:rPr>
          <w:rFonts w:eastAsia="標楷體"/>
          <w:szCs w:val="22"/>
        </w:rPr>
        <w:t>界等；二、施設有，謂男</w:t>
      </w:r>
      <w:r w:rsidR="00D57C44">
        <w:rPr>
          <w:rFonts w:ascii="標楷體" w:eastAsia="標楷體" w:hAnsi="標楷體" w:hint="eastAsia"/>
          <w:color w:val="FF0000"/>
          <w:spacing w:val="-4"/>
          <w:kern w:val="0"/>
          <w:highlight w:val="yellow"/>
        </w:rPr>
        <w:t>、</w:t>
      </w:r>
      <w:r w:rsidRPr="00212D57">
        <w:rPr>
          <w:rFonts w:eastAsia="標楷體"/>
          <w:szCs w:val="22"/>
        </w:rPr>
        <w:t>女等</w:t>
      </w:r>
      <w:r w:rsidRPr="00212D57">
        <w:rPr>
          <w:rFonts w:eastAsia="標楷體" w:hint="eastAsia"/>
          <w:szCs w:val="22"/>
        </w:rPr>
        <w:t>。</w:t>
      </w:r>
    </w:p>
    <w:p w:rsidR="00157EF6" w:rsidRPr="00212D57" w:rsidRDefault="00157EF6" w:rsidP="002B682F">
      <w:pPr>
        <w:pStyle w:val="a5"/>
        <w:ind w:leftChars="75" w:left="1321" w:hangingChars="500" w:hanging="1141"/>
        <w:jc w:val="both"/>
        <w:rPr>
          <w:rFonts w:eastAsia="SimSun"/>
          <w:szCs w:val="22"/>
        </w:rPr>
      </w:pPr>
      <w:r w:rsidRPr="00212D57">
        <w:rPr>
          <w:rFonts w:eastAsia="標楷體"/>
          <w:b/>
          <w:spacing w:val="4"/>
          <w:szCs w:val="22"/>
        </w:rPr>
        <w:t>有說三種</w:t>
      </w:r>
      <w:r w:rsidRPr="00212D57">
        <w:rPr>
          <w:rFonts w:eastAsia="標楷體"/>
          <w:spacing w:val="4"/>
          <w:szCs w:val="22"/>
        </w:rPr>
        <w:t>：一、相待有，謂如是事，待此故有，待彼故無；二、和合有，謂如是事，</w:t>
      </w:r>
      <w:r w:rsidRPr="00212D57">
        <w:rPr>
          <w:rFonts w:eastAsia="標楷體"/>
          <w:szCs w:val="22"/>
        </w:rPr>
        <w:t>在此處有</w:t>
      </w:r>
      <w:r w:rsidRPr="00212D57">
        <w:rPr>
          <w:rFonts w:eastAsia="標楷體" w:hint="eastAsia"/>
          <w:szCs w:val="22"/>
        </w:rPr>
        <w:t>，</w:t>
      </w:r>
      <w:r w:rsidRPr="00212D57">
        <w:rPr>
          <w:rFonts w:eastAsia="標楷體"/>
          <w:szCs w:val="22"/>
        </w:rPr>
        <w:t>在彼處無；三、時分有，謂如是事，此時分有</w:t>
      </w:r>
      <w:r w:rsidRPr="00212D57">
        <w:rPr>
          <w:rFonts w:eastAsia="標楷體" w:hint="eastAsia"/>
          <w:szCs w:val="22"/>
        </w:rPr>
        <w:t>，</w:t>
      </w:r>
      <w:r w:rsidRPr="00212D57">
        <w:rPr>
          <w:rFonts w:eastAsia="標楷體"/>
          <w:szCs w:val="22"/>
        </w:rPr>
        <w:t>彼時分無。</w:t>
      </w:r>
    </w:p>
    <w:p w:rsidR="00157EF6" w:rsidRPr="00212D57" w:rsidRDefault="00157EF6" w:rsidP="002B682F">
      <w:pPr>
        <w:pStyle w:val="a5"/>
        <w:ind w:leftChars="75" w:left="1321" w:hangingChars="500" w:hanging="1141"/>
        <w:jc w:val="both"/>
        <w:rPr>
          <w:rFonts w:eastAsia="SimSun"/>
          <w:szCs w:val="22"/>
        </w:rPr>
      </w:pPr>
      <w:r w:rsidRPr="00212D57">
        <w:rPr>
          <w:rFonts w:eastAsia="標楷體"/>
          <w:b/>
          <w:spacing w:val="4"/>
          <w:szCs w:val="22"/>
        </w:rPr>
        <w:t>有說五種</w:t>
      </w:r>
      <w:r w:rsidRPr="00212D57">
        <w:rPr>
          <w:rFonts w:eastAsia="標楷體"/>
          <w:spacing w:val="4"/>
          <w:szCs w:val="22"/>
        </w:rPr>
        <w:t>：一、名有，謂龜毛</w:t>
      </w:r>
      <w:r w:rsidR="00D57C44">
        <w:rPr>
          <w:rFonts w:ascii="標楷體" w:eastAsia="標楷體" w:hAnsi="標楷體" w:hint="eastAsia"/>
          <w:color w:val="FF0000"/>
          <w:spacing w:val="-4"/>
          <w:kern w:val="0"/>
          <w:highlight w:val="yellow"/>
        </w:rPr>
        <w:t>、</w:t>
      </w:r>
      <w:r w:rsidRPr="00212D57">
        <w:rPr>
          <w:rFonts w:eastAsia="標楷體"/>
          <w:spacing w:val="4"/>
          <w:szCs w:val="22"/>
        </w:rPr>
        <w:t>兔角</w:t>
      </w:r>
      <w:r w:rsidR="00D57C44">
        <w:rPr>
          <w:rFonts w:ascii="標楷體" w:eastAsia="標楷體" w:hAnsi="標楷體" w:hint="eastAsia"/>
          <w:color w:val="FF0000"/>
          <w:spacing w:val="-4"/>
          <w:kern w:val="0"/>
          <w:highlight w:val="yellow"/>
        </w:rPr>
        <w:t>、</w:t>
      </w:r>
      <w:r w:rsidRPr="00212D57">
        <w:rPr>
          <w:rFonts w:eastAsia="標楷體"/>
          <w:spacing w:val="4"/>
          <w:szCs w:val="22"/>
        </w:rPr>
        <w:t>空花鬘等；</w:t>
      </w:r>
      <w:r w:rsidRPr="00212D57">
        <w:rPr>
          <w:rFonts w:eastAsia="標楷體"/>
          <w:b/>
          <w:spacing w:val="4"/>
          <w:szCs w:val="22"/>
        </w:rPr>
        <w:t>二、實有，謂一切法各住自性；三、</w:t>
      </w:r>
      <w:r w:rsidRPr="00212D57">
        <w:rPr>
          <w:rFonts w:eastAsia="標楷體"/>
          <w:b/>
          <w:szCs w:val="22"/>
        </w:rPr>
        <w:t>假有，謂瓶</w:t>
      </w:r>
      <w:r w:rsidRPr="00212D57">
        <w:rPr>
          <w:rFonts w:eastAsia="標楷體" w:hint="eastAsia"/>
          <w:b/>
          <w:szCs w:val="22"/>
        </w:rPr>
        <w:t>、</w:t>
      </w:r>
      <w:r w:rsidRPr="00212D57">
        <w:rPr>
          <w:rFonts w:eastAsia="標楷體"/>
          <w:b/>
          <w:szCs w:val="22"/>
        </w:rPr>
        <w:t>衣</w:t>
      </w:r>
      <w:r w:rsidRPr="00212D57">
        <w:rPr>
          <w:rFonts w:eastAsia="標楷體" w:hint="eastAsia"/>
          <w:b/>
          <w:szCs w:val="22"/>
        </w:rPr>
        <w:t>、</w:t>
      </w:r>
      <w:r w:rsidRPr="00212D57">
        <w:rPr>
          <w:rFonts w:eastAsia="標楷體"/>
          <w:b/>
          <w:szCs w:val="22"/>
        </w:rPr>
        <w:t>車乘</w:t>
      </w:r>
      <w:r w:rsidRPr="00212D57">
        <w:rPr>
          <w:rFonts w:eastAsia="標楷體" w:hint="eastAsia"/>
          <w:b/>
          <w:szCs w:val="22"/>
        </w:rPr>
        <w:t>、</w:t>
      </w:r>
      <w:r w:rsidRPr="00212D57">
        <w:rPr>
          <w:rFonts w:eastAsia="標楷體"/>
          <w:b/>
          <w:szCs w:val="22"/>
        </w:rPr>
        <w:t>軍</w:t>
      </w:r>
      <w:r w:rsidRPr="00212D57">
        <w:rPr>
          <w:rFonts w:eastAsia="標楷體" w:hint="eastAsia"/>
          <w:b/>
          <w:szCs w:val="22"/>
        </w:rPr>
        <w:t>、</w:t>
      </w:r>
      <w:r w:rsidRPr="00212D57">
        <w:rPr>
          <w:rFonts w:eastAsia="標楷體"/>
          <w:b/>
          <w:szCs w:val="22"/>
        </w:rPr>
        <w:t>林</w:t>
      </w:r>
      <w:r w:rsidRPr="00212D57">
        <w:rPr>
          <w:rFonts w:eastAsia="標楷體" w:hint="eastAsia"/>
          <w:b/>
          <w:szCs w:val="22"/>
        </w:rPr>
        <w:t>、</w:t>
      </w:r>
      <w:r w:rsidRPr="00212D57">
        <w:rPr>
          <w:rFonts w:eastAsia="標楷體"/>
          <w:b/>
          <w:szCs w:val="22"/>
        </w:rPr>
        <w:t>舍等；</w:t>
      </w:r>
      <w:r w:rsidRPr="00212D57">
        <w:rPr>
          <w:rFonts w:eastAsia="標楷體"/>
          <w:szCs w:val="22"/>
        </w:rPr>
        <w:t>四、和合有，謂於諸蘊和合施設補特伽羅；五、相待有，謂此</w:t>
      </w:r>
      <w:r w:rsidR="00D57C44">
        <w:rPr>
          <w:rFonts w:ascii="標楷體" w:eastAsia="標楷體" w:hAnsi="標楷體" w:hint="eastAsia"/>
          <w:color w:val="FF0000"/>
          <w:kern w:val="0"/>
          <w:highlight w:val="yellow"/>
        </w:rPr>
        <w:t>.</w:t>
      </w:r>
      <w:r w:rsidRPr="00212D57">
        <w:rPr>
          <w:rFonts w:eastAsia="標楷體"/>
          <w:szCs w:val="22"/>
        </w:rPr>
        <w:t>彼岸</w:t>
      </w:r>
      <w:r w:rsidRPr="00212D57">
        <w:rPr>
          <w:rFonts w:eastAsia="標楷體" w:hint="eastAsia"/>
          <w:szCs w:val="22"/>
        </w:rPr>
        <w:t>、</w:t>
      </w:r>
      <w:r w:rsidRPr="00212D57">
        <w:rPr>
          <w:rFonts w:eastAsia="標楷體"/>
          <w:szCs w:val="22"/>
        </w:rPr>
        <w:t>長</w:t>
      </w:r>
      <w:r w:rsidR="00D57C44">
        <w:rPr>
          <w:rFonts w:ascii="標楷體" w:eastAsia="標楷體" w:hAnsi="標楷體" w:hint="eastAsia"/>
          <w:color w:val="FF0000"/>
          <w:kern w:val="0"/>
          <w:highlight w:val="yellow"/>
        </w:rPr>
        <w:t>.</w:t>
      </w:r>
      <w:r w:rsidRPr="00212D57">
        <w:rPr>
          <w:rFonts w:eastAsia="標楷體"/>
          <w:szCs w:val="22"/>
        </w:rPr>
        <w:t>短事等。</w:t>
      </w:r>
    </w:p>
  </w:footnote>
  <w:footnote w:id="340">
    <w:p w:rsidR="00157EF6" w:rsidRPr="00212D57" w:rsidRDefault="00157EF6" w:rsidP="002B682F">
      <w:pPr>
        <w:pStyle w:val="a5"/>
        <w:ind w:left="187" w:hangingChars="85" w:hanging="187"/>
        <w:jc w:val="both"/>
        <w:rPr>
          <w:rFonts w:eastAsia="標楷體"/>
          <w:dstrike/>
          <w:szCs w:val="22"/>
        </w:rPr>
      </w:pPr>
      <w:r w:rsidRPr="00212D57">
        <w:rPr>
          <w:rStyle w:val="a6"/>
          <w:szCs w:val="22"/>
        </w:rPr>
        <w:footnoteRef/>
      </w:r>
      <w:r w:rsidRPr="00212D57">
        <w:rPr>
          <w:rFonts w:hint="eastAsia"/>
          <w:szCs w:val="22"/>
        </w:rPr>
        <w:t xml:space="preserve"> </w:t>
      </w:r>
      <w:r w:rsidRPr="00212D57">
        <w:rPr>
          <w:szCs w:val="22"/>
        </w:rPr>
        <w:t>寧（</w:t>
      </w:r>
      <w:r w:rsidRPr="00212D57">
        <w:rPr>
          <w:rFonts w:eastAsia="標楷體"/>
          <w:szCs w:val="22"/>
        </w:rPr>
        <w:t>ㄋ</w:t>
      </w:r>
      <w:r w:rsidRPr="00212D57">
        <w:rPr>
          <w:szCs w:val="22"/>
        </w:rPr>
        <w:t>ㄧ</w:t>
      </w:r>
      <w:r w:rsidRPr="00212D57">
        <w:rPr>
          <w:rFonts w:eastAsia="標楷體"/>
          <w:szCs w:val="22"/>
        </w:rPr>
        <w:t>ㄥ</w:t>
      </w:r>
      <w:r w:rsidRPr="00212D57">
        <w:rPr>
          <w:rFonts w:ascii="標楷體" w:eastAsia="標楷體" w:hAnsi="標楷體"/>
          <w:szCs w:val="22"/>
        </w:rPr>
        <w:t>ˋ</w:t>
      </w:r>
      <w:r w:rsidRPr="00212D57">
        <w:rPr>
          <w:szCs w:val="22"/>
        </w:rPr>
        <w:t>）：</w:t>
      </w:r>
      <w:r w:rsidRPr="00761EF3">
        <w:rPr>
          <w:szCs w:val="22"/>
        </w:rPr>
        <w:t>3</w:t>
      </w:r>
      <w:r w:rsidRPr="00212D57">
        <w:rPr>
          <w:szCs w:val="22"/>
        </w:rPr>
        <w:t>.</w:t>
      </w:r>
      <w:r w:rsidRPr="00212D57">
        <w:rPr>
          <w:szCs w:val="22"/>
        </w:rPr>
        <w:t>豈，難道。（《漢語大詞典》（三），</w:t>
      </w:r>
      <w:r w:rsidRPr="00761EF3">
        <w:rPr>
          <w:szCs w:val="22"/>
        </w:rPr>
        <w:t>p</w:t>
      </w:r>
      <w:r w:rsidRPr="00212D57">
        <w:rPr>
          <w:szCs w:val="22"/>
        </w:rPr>
        <w:t>.</w:t>
      </w:r>
      <w:r w:rsidRPr="00761EF3">
        <w:rPr>
          <w:szCs w:val="22"/>
        </w:rPr>
        <w:t>1599</w:t>
      </w:r>
      <w:r w:rsidRPr="00212D57">
        <w:rPr>
          <w:szCs w:val="22"/>
        </w:rPr>
        <w:t>）</w:t>
      </w:r>
    </w:p>
  </w:footnote>
  <w:footnote w:id="341">
    <w:p w:rsidR="00157EF6" w:rsidRPr="00212D57" w:rsidRDefault="00157EF6" w:rsidP="002B682F">
      <w:pPr>
        <w:pStyle w:val="a5"/>
        <w:spacing w:line="0" w:lineRule="atLeast"/>
        <w:ind w:left="253" w:hangingChars="115" w:hanging="253"/>
        <w:jc w:val="both"/>
        <w:rPr>
          <w:rFonts w:eastAsia="SimSun"/>
          <w:szCs w:val="22"/>
        </w:rPr>
      </w:pPr>
      <w:r w:rsidRPr="00212D57">
        <w:rPr>
          <w:rStyle w:val="a6"/>
          <w:szCs w:val="22"/>
        </w:rPr>
        <w:footnoteRef/>
      </w:r>
      <w:r w:rsidRPr="00212D57">
        <w:rPr>
          <w:rFonts w:hint="eastAsia"/>
          <w:szCs w:val="22"/>
        </w:rPr>
        <w:t xml:space="preserve"> </w:t>
      </w:r>
      <w:r w:rsidRPr="00212D57">
        <w:rPr>
          <w:szCs w:val="22"/>
        </w:rPr>
        <w:t>《阿毘達磨順正理論》卷</w:t>
      </w:r>
      <w:r w:rsidRPr="00761EF3">
        <w:rPr>
          <w:szCs w:val="22"/>
        </w:rPr>
        <w:t>13</w:t>
      </w:r>
      <w:r w:rsidR="006B3827" w:rsidRPr="00212D57">
        <w:rPr>
          <w:szCs w:val="22"/>
        </w:rPr>
        <w:t>（大正</w:t>
      </w:r>
      <w:r w:rsidR="006B3827" w:rsidRPr="00761EF3">
        <w:rPr>
          <w:szCs w:val="22"/>
        </w:rPr>
        <w:t>29</w:t>
      </w:r>
      <w:r w:rsidR="006B3827" w:rsidRPr="00212D57">
        <w:rPr>
          <w:szCs w:val="22"/>
        </w:rPr>
        <w:t>，</w:t>
      </w:r>
      <w:r w:rsidR="006B3827" w:rsidRPr="00761EF3">
        <w:rPr>
          <w:szCs w:val="22"/>
        </w:rPr>
        <w:t>407c15</w:t>
      </w:r>
      <w:r w:rsidR="006B3827" w:rsidRPr="00212D57">
        <w:rPr>
          <w:szCs w:val="22"/>
        </w:rPr>
        <w:t>）</w:t>
      </w:r>
      <w:r w:rsidRPr="00212D57">
        <w:rPr>
          <w:rFonts w:hint="eastAsia"/>
          <w:szCs w:val="22"/>
        </w:rPr>
        <w:t>：「</w:t>
      </w:r>
      <w:r w:rsidRPr="00212D57">
        <w:rPr>
          <w:rFonts w:eastAsia="標楷體"/>
          <w:szCs w:val="22"/>
        </w:rPr>
        <w:t>是假有法，</w:t>
      </w:r>
      <w:r w:rsidRPr="00212D57">
        <w:rPr>
          <w:rFonts w:eastAsia="標楷體"/>
          <w:b/>
          <w:szCs w:val="22"/>
        </w:rPr>
        <w:t>寧</w:t>
      </w:r>
      <w:r w:rsidRPr="00212D57">
        <w:rPr>
          <w:rFonts w:eastAsia="標楷體"/>
          <w:szCs w:val="22"/>
        </w:rPr>
        <w:t>求自性？</w:t>
      </w:r>
      <w:r w:rsidRPr="00212D57">
        <w:rPr>
          <w:rFonts w:eastAsia="標楷體" w:hint="eastAsia"/>
          <w:szCs w:val="22"/>
        </w:rPr>
        <w:t>」</w:t>
      </w:r>
    </w:p>
  </w:footnote>
  <w:footnote w:id="342">
    <w:p w:rsidR="00157EF6" w:rsidRPr="00212D57" w:rsidRDefault="00157EF6" w:rsidP="002B682F">
      <w:pPr>
        <w:pStyle w:val="a5"/>
        <w:spacing w:line="0" w:lineRule="atLeast"/>
        <w:ind w:left="253" w:hangingChars="115" w:hanging="253"/>
        <w:jc w:val="both"/>
        <w:rPr>
          <w:rFonts w:eastAsia="SimSun"/>
          <w:szCs w:val="22"/>
        </w:rPr>
      </w:pPr>
      <w:r w:rsidRPr="00212D57">
        <w:rPr>
          <w:rStyle w:val="a6"/>
          <w:szCs w:val="22"/>
        </w:rPr>
        <w:footnoteRef/>
      </w:r>
      <w:r w:rsidRPr="00212D57">
        <w:rPr>
          <w:rFonts w:eastAsia="細明體" w:hint="eastAsia"/>
          <w:szCs w:val="22"/>
        </w:rPr>
        <w:t xml:space="preserve"> </w:t>
      </w:r>
      <w:r w:rsidRPr="00212D57">
        <w:rPr>
          <w:rFonts w:eastAsia="細明體"/>
          <w:szCs w:val="22"/>
        </w:rPr>
        <w:t>《阿毘達磨大毘婆沙論》卷</w:t>
      </w:r>
      <w:r w:rsidRPr="00761EF3">
        <w:rPr>
          <w:rFonts w:eastAsia="細明體"/>
          <w:szCs w:val="22"/>
        </w:rPr>
        <w:t>76</w:t>
      </w:r>
      <w:r w:rsidRPr="00212D57">
        <w:rPr>
          <w:rFonts w:eastAsia="細明體"/>
          <w:szCs w:val="22"/>
        </w:rPr>
        <w:t>（大正</w:t>
      </w:r>
      <w:r w:rsidRPr="00761EF3">
        <w:rPr>
          <w:rFonts w:eastAsia="細明體"/>
          <w:szCs w:val="22"/>
        </w:rPr>
        <w:t>27</w:t>
      </w:r>
      <w:r w:rsidRPr="00212D57">
        <w:rPr>
          <w:rFonts w:eastAsia="細明體"/>
          <w:szCs w:val="22"/>
        </w:rPr>
        <w:t>，</w:t>
      </w:r>
      <w:r w:rsidRPr="00761EF3">
        <w:rPr>
          <w:rFonts w:eastAsia="細明體"/>
          <w:szCs w:val="22"/>
        </w:rPr>
        <w:t>395c25</w:t>
      </w:r>
      <w:r w:rsidRPr="00212D57">
        <w:rPr>
          <w:rFonts w:eastAsia="細明體"/>
          <w:szCs w:val="22"/>
        </w:rPr>
        <w:t>-</w:t>
      </w:r>
      <w:r w:rsidRPr="00761EF3">
        <w:rPr>
          <w:rFonts w:eastAsia="細明體"/>
          <w:szCs w:val="22"/>
        </w:rPr>
        <w:t>396a2</w:t>
      </w:r>
      <w:r w:rsidRPr="00212D57">
        <w:rPr>
          <w:rFonts w:eastAsia="細明體"/>
          <w:szCs w:val="22"/>
        </w:rPr>
        <w:t>）：</w:t>
      </w:r>
    </w:p>
    <w:p w:rsidR="00157EF6" w:rsidRPr="00212D57" w:rsidRDefault="00157EF6" w:rsidP="002B682F">
      <w:pPr>
        <w:pStyle w:val="a5"/>
        <w:ind w:leftChars="105" w:left="252"/>
        <w:jc w:val="both"/>
        <w:rPr>
          <w:rFonts w:ascii="標楷體" w:eastAsia="標楷體" w:hAnsi="標楷體"/>
          <w:szCs w:val="22"/>
        </w:rPr>
      </w:pPr>
      <w:r w:rsidRPr="00212D57">
        <w:rPr>
          <w:rFonts w:ascii="標楷體" w:eastAsia="標楷體" w:hAnsi="標楷體"/>
          <w:szCs w:val="22"/>
        </w:rPr>
        <w:t>未來諸法來集現在時，如何聚物非本無今有？現在諸法散往過去時，如何聚物非有已還無？</w:t>
      </w:r>
    </w:p>
    <w:p w:rsidR="00157EF6" w:rsidRPr="00212D57" w:rsidRDefault="00157EF6" w:rsidP="002B682F">
      <w:pPr>
        <w:pStyle w:val="a5"/>
        <w:ind w:leftChars="105" w:left="692" w:hangingChars="200" w:hanging="440"/>
        <w:jc w:val="both"/>
        <w:rPr>
          <w:rFonts w:ascii="標楷體" w:eastAsia="SimSun" w:hAnsi="標楷體"/>
          <w:szCs w:val="22"/>
        </w:rPr>
      </w:pPr>
      <w:r w:rsidRPr="00212D57">
        <w:rPr>
          <w:rFonts w:ascii="標楷體" w:eastAsia="標楷體" w:hAnsi="標楷體"/>
          <w:szCs w:val="22"/>
        </w:rPr>
        <w:t>答：三世諸法因性</w:t>
      </w:r>
      <w:r w:rsidR="00F67B5F">
        <w:rPr>
          <w:rFonts w:ascii="標楷體" w:eastAsia="標楷體" w:hAnsi="標楷體" w:hint="eastAsia"/>
          <w:color w:val="FF0000"/>
          <w:kern w:val="0"/>
          <w:highlight w:val="yellow"/>
        </w:rPr>
        <w:t>.</w:t>
      </w:r>
      <w:r w:rsidRPr="00212D57">
        <w:rPr>
          <w:rFonts w:ascii="標楷體" w:eastAsia="標楷體" w:hAnsi="標楷體"/>
          <w:szCs w:val="22"/>
        </w:rPr>
        <w:t>果</w:t>
      </w:r>
      <w:r w:rsidRPr="00F67B5F">
        <w:rPr>
          <w:rFonts w:ascii="標楷體" w:eastAsia="標楷體" w:hAnsi="標楷體"/>
          <w:szCs w:val="22"/>
          <w:highlight w:val="yellow"/>
        </w:rPr>
        <w:t>性隨</w:t>
      </w:r>
      <w:r w:rsidRPr="00212D57">
        <w:rPr>
          <w:rFonts w:ascii="標楷體" w:eastAsia="標楷體" w:hAnsi="標楷體"/>
          <w:szCs w:val="22"/>
        </w:rPr>
        <w:t>其所應次第安立</w:t>
      </w:r>
      <w:r w:rsidR="00F67B5F">
        <w:rPr>
          <w:rFonts w:ascii="標楷體" w:eastAsia="標楷體" w:hAnsi="標楷體" w:hint="eastAsia"/>
          <w:color w:val="FF0000"/>
          <w:kern w:val="0"/>
          <w:highlight w:val="yellow"/>
        </w:rPr>
        <w:t>，</w:t>
      </w:r>
      <w:r w:rsidR="00B127DB">
        <w:rPr>
          <w:rFonts w:ascii="標楷體" w:eastAsia="標楷體" w:hAnsi="標楷體" w:hint="eastAsia"/>
          <w:bCs/>
          <w:color w:val="FF0000"/>
          <w:kern w:val="0"/>
          <w:highlight w:val="yellow"/>
        </w:rPr>
        <w:t>「</w:t>
      </w:r>
      <w:r w:rsidRPr="00212D57">
        <w:rPr>
          <w:rFonts w:ascii="標楷體" w:eastAsia="標楷體" w:hAnsi="標楷體"/>
          <w:b/>
          <w:szCs w:val="22"/>
        </w:rPr>
        <w:t>體</w:t>
      </w:r>
      <w:r w:rsidR="00B127DB">
        <w:rPr>
          <w:rFonts w:ascii="標楷體" w:eastAsia="標楷體" w:hAnsi="標楷體" w:hint="eastAsia"/>
          <w:bCs/>
          <w:color w:val="FF0000"/>
          <w:kern w:val="0"/>
          <w:highlight w:val="yellow"/>
        </w:rPr>
        <w:t>」</w:t>
      </w:r>
      <w:r w:rsidRPr="00212D57">
        <w:rPr>
          <w:rFonts w:ascii="標楷體" w:eastAsia="標楷體" w:hAnsi="標楷體"/>
          <w:b/>
          <w:szCs w:val="22"/>
        </w:rPr>
        <w:t>實恒有</w:t>
      </w:r>
      <w:r w:rsidRPr="00212D57">
        <w:rPr>
          <w:rFonts w:ascii="標楷體" w:eastAsia="標楷體" w:hAnsi="標楷體"/>
          <w:szCs w:val="22"/>
        </w:rPr>
        <w:t>，無增無減</w:t>
      </w:r>
      <w:r w:rsidR="00B127DB">
        <w:rPr>
          <w:rFonts w:ascii="標楷體" w:eastAsia="標楷體" w:hAnsi="標楷體" w:hint="eastAsia"/>
          <w:color w:val="FF0000"/>
          <w:spacing w:val="-4"/>
          <w:kern w:val="0"/>
          <w:highlight w:val="yellow"/>
        </w:rPr>
        <w:t>；</w:t>
      </w:r>
      <w:r w:rsidRPr="00212D57">
        <w:rPr>
          <w:rFonts w:ascii="標楷體" w:eastAsia="標楷體" w:hAnsi="標楷體"/>
          <w:szCs w:val="22"/>
        </w:rPr>
        <w:t>但依</w:t>
      </w:r>
      <w:r w:rsidR="00B127DB">
        <w:rPr>
          <w:rFonts w:ascii="標楷體" w:eastAsia="標楷體" w:hAnsi="標楷體" w:hint="eastAsia"/>
          <w:bCs/>
          <w:color w:val="FF0000"/>
          <w:kern w:val="0"/>
          <w:highlight w:val="yellow"/>
        </w:rPr>
        <w:t>「</w:t>
      </w:r>
      <w:r w:rsidRPr="00212D57">
        <w:rPr>
          <w:rFonts w:ascii="標楷體" w:eastAsia="標楷體" w:hAnsi="標楷體"/>
          <w:szCs w:val="22"/>
        </w:rPr>
        <w:t>作用</w:t>
      </w:r>
      <w:r w:rsidR="00B127DB">
        <w:rPr>
          <w:rFonts w:ascii="標楷體" w:eastAsia="標楷體" w:hAnsi="標楷體" w:hint="eastAsia"/>
          <w:bCs/>
          <w:color w:val="FF0000"/>
          <w:kern w:val="0"/>
          <w:highlight w:val="yellow"/>
        </w:rPr>
        <w:t>」</w:t>
      </w:r>
      <w:r w:rsidRPr="00212D57">
        <w:rPr>
          <w:rFonts w:ascii="標楷體" w:eastAsia="標楷體" w:hAnsi="標楷體"/>
          <w:szCs w:val="22"/>
        </w:rPr>
        <w:t>說有</w:t>
      </w:r>
      <w:r w:rsidR="00F67B5F">
        <w:rPr>
          <w:rFonts w:ascii="標楷體" w:eastAsia="標楷體" w:hAnsi="標楷體" w:hint="eastAsia"/>
          <w:color w:val="FF0000"/>
          <w:spacing w:val="-4"/>
          <w:kern w:val="0"/>
          <w:highlight w:val="yellow"/>
        </w:rPr>
        <w:t>、</w:t>
      </w:r>
      <w:r w:rsidRPr="00212D57">
        <w:rPr>
          <w:rFonts w:ascii="標楷體" w:eastAsia="標楷體" w:hAnsi="標楷體"/>
          <w:szCs w:val="22"/>
        </w:rPr>
        <w:t>說無。諸積聚事</w:t>
      </w:r>
      <w:r w:rsidRPr="00212D57">
        <w:rPr>
          <w:rFonts w:ascii="標楷體" w:eastAsia="標楷體" w:hAnsi="標楷體"/>
          <w:b/>
          <w:szCs w:val="22"/>
        </w:rPr>
        <w:t>依實有</w:t>
      </w:r>
      <w:r w:rsidRPr="00F67B5F">
        <w:rPr>
          <w:rFonts w:ascii="標楷體" w:eastAsia="標楷體" w:hAnsi="標楷體"/>
          <w:b/>
          <w:szCs w:val="22"/>
          <w:highlight w:val="yellow"/>
        </w:rPr>
        <w:t>物假</w:t>
      </w:r>
      <w:r w:rsidRPr="00212D57">
        <w:rPr>
          <w:rFonts w:ascii="標楷體" w:eastAsia="標楷體" w:hAnsi="標楷體"/>
          <w:b/>
          <w:szCs w:val="22"/>
        </w:rPr>
        <w:t>施設有</w:t>
      </w:r>
      <w:r w:rsidRPr="00212D57">
        <w:rPr>
          <w:rFonts w:ascii="標楷體" w:eastAsia="標楷體" w:hAnsi="標楷體"/>
          <w:szCs w:val="22"/>
        </w:rPr>
        <w:t>，時有</w:t>
      </w:r>
      <w:r w:rsidR="00F67B5F">
        <w:rPr>
          <w:rFonts w:ascii="標楷體" w:eastAsia="標楷體" w:hAnsi="標楷體" w:hint="eastAsia"/>
          <w:color w:val="FF0000"/>
          <w:spacing w:val="-4"/>
          <w:kern w:val="0"/>
          <w:highlight w:val="yellow"/>
        </w:rPr>
        <w:t>、</w:t>
      </w:r>
      <w:r w:rsidRPr="00212D57">
        <w:rPr>
          <w:rFonts w:ascii="標楷體" w:eastAsia="標楷體" w:hAnsi="標楷體"/>
          <w:szCs w:val="22"/>
        </w:rPr>
        <w:t>時無。</w:t>
      </w:r>
    </w:p>
  </w:footnote>
  <w:footnote w:id="343">
    <w:p w:rsidR="00157EF6" w:rsidRPr="00212D57" w:rsidRDefault="00157EF6" w:rsidP="002B682F">
      <w:pPr>
        <w:pStyle w:val="a5"/>
        <w:spacing w:line="0" w:lineRule="atLeast"/>
        <w:ind w:left="792" w:hangingChars="360" w:hanging="792"/>
        <w:jc w:val="both"/>
        <w:rPr>
          <w:rFonts w:eastAsia="細明體"/>
          <w:szCs w:val="22"/>
        </w:rPr>
      </w:pPr>
      <w:r w:rsidRPr="00212D57">
        <w:rPr>
          <w:rStyle w:val="a6"/>
          <w:szCs w:val="22"/>
        </w:rPr>
        <w:footnoteRef/>
      </w:r>
      <w:r w:rsidRPr="00212D57">
        <w:rPr>
          <w:rFonts w:eastAsia="細明體" w:hint="eastAsia"/>
          <w:szCs w:val="22"/>
        </w:rPr>
        <w:t xml:space="preserve"> </w:t>
      </w:r>
      <w:r w:rsidRPr="00212D57">
        <w:rPr>
          <w:rFonts w:eastAsia="細明體" w:hint="eastAsia"/>
          <w:szCs w:val="22"/>
        </w:rPr>
        <w:t>（</w:t>
      </w:r>
      <w:r w:rsidRPr="00761EF3">
        <w:rPr>
          <w:rFonts w:eastAsia="細明體" w:hint="eastAsia"/>
          <w:szCs w:val="22"/>
        </w:rPr>
        <w:t>1</w:t>
      </w:r>
      <w:r w:rsidRPr="00212D57">
        <w:rPr>
          <w:rFonts w:eastAsia="細明體" w:hint="eastAsia"/>
          <w:szCs w:val="22"/>
        </w:rPr>
        <w:t>）</w:t>
      </w:r>
      <w:r w:rsidRPr="00212D57">
        <w:rPr>
          <w:rFonts w:eastAsia="細明體"/>
          <w:szCs w:val="22"/>
        </w:rPr>
        <w:t>《阿毘達磨大毘婆沙論》卷</w:t>
      </w:r>
      <w:r w:rsidRPr="00761EF3">
        <w:rPr>
          <w:rFonts w:eastAsia="細明體"/>
          <w:szCs w:val="22"/>
        </w:rPr>
        <w:t>136</w:t>
      </w:r>
      <w:r w:rsidRPr="00212D57">
        <w:rPr>
          <w:rFonts w:eastAsia="細明體"/>
          <w:szCs w:val="22"/>
        </w:rPr>
        <w:t>（大正</w:t>
      </w:r>
      <w:r w:rsidRPr="00761EF3">
        <w:rPr>
          <w:rFonts w:eastAsia="細明體"/>
          <w:szCs w:val="22"/>
        </w:rPr>
        <w:t>27</w:t>
      </w:r>
      <w:r w:rsidRPr="00212D57">
        <w:rPr>
          <w:rFonts w:eastAsia="細明體"/>
          <w:szCs w:val="22"/>
        </w:rPr>
        <w:t>，</w:t>
      </w:r>
      <w:r w:rsidRPr="00761EF3">
        <w:rPr>
          <w:rFonts w:eastAsia="細明體"/>
          <w:szCs w:val="22"/>
        </w:rPr>
        <w:t>702a4</w:t>
      </w:r>
      <w:r w:rsidRPr="00212D57">
        <w:rPr>
          <w:rFonts w:eastAsia="細明體"/>
          <w:szCs w:val="22"/>
        </w:rPr>
        <w:t>-</w:t>
      </w:r>
      <w:r w:rsidRPr="00761EF3">
        <w:rPr>
          <w:rFonts w:eastAsia="細明體"/>
          <w:szCs w:val="22"/>
        </w:rPr>
        <w:t>9</w:t>
      </w:r>
      <w:r w:rsidRPr="00212D57">
        <w:rPr>
          <w:rFonts w:eastAsia="細明體"/>
          <w:szCs w:val="22"/>
        </w:rPr>
        <w:t>）：</w:t>
      </w:r>
    </w:p>
    <w:p w:rsidR="00157EF6" w:rsidRPr="00212D57" w:rsidRDefault="00157EF6" w:rsidP="002B682F">
      <w:pPr>
        <w:pStyle w:val="a5"/>
        <w:ind w:leftChars="335" w:left="1244" w:hangingChars="200" w:hanging="440"/>
        <w:jc w:val="both"/>
        <w:rPr>
          <w:rFonts w:ascii="標楷體" w:eastAsia="標楷體" w:hAnsi="標楷體"/>
          <w:szCs w:val="22"/>
        </w:rPr>
      </w:pPr>
      <w:r w:rsidRPr="00212D57">
        <w:rPr>
          <w:rFonts w:ascii="標楷體" w:eastAsia="標楷體" w:hAnsi="標楷體"/>
          <w:szCs w:val="22"/>
        </w:rPr>
        <w:t>問：彼</w:t>
      </w:r>
      <w:r w:rsidR="00F67B5F">
        <w:rPr>
          <w:rFonts w:ascii="標楷體" w:eastAsia="標楷體" w:hAnsi="標楷體" w:hint="eastAsia"/>
          <w:bCs/>
          <w:color w:val="FF0000"/>
          <w:kern w:val="0"/>
          <w:highlight w:val="yellow"/>
        </w:rPr>
        <w:t>「</w:t>
      </w:r>
      <w:r w:rsidR="00F67B5F">
        <w:rPr>
          <w:rFonts w:ascii="標楷體" w:eastAsia="標楷體" w:hAnsi="標楷體" w:hint="eastAsia"/>
          <w:color w:val="FF0000"/>
          <w:kern w:val="0"/>
          <w:highlight w:val="yellow"/>
        </w:rPr>
        <w:t>『</w:t>
      </w:r>
      <w:r w:rsidRPr="00212D57">
        <w:rPr>
          <w:rFonts w:ascii="標楷體" w:eastAsia="標楷體" w:hAnsi="標楷體"/>
          <w:szCs w:val="22"/>
        </w:rPr>
        <w:t>極微</w:t>
      </w:r>
      <w:r w:rsidR="00F67B5F">
        <w:rPr>
          <w:rFonts w:ascii="標楷體" w:eastAsia="標楷體" w:hAnsi="標楷體" w:hint="eastAsia"/>
          <w:color w:val="FF0000"/>
          <w:kern w:val="0"/>
          <w:highlight w:val="yellow"/>
        </w:rPr>
        <w:t>』</w:t>
      </w:r>
      <w:r w:rsidRPr="00212D57">
        <w:rPr>
          <w:rFonts w:ascii="標楷體" w:eastAsia="標楷體" w:hAnsi="標楷體"/>
          <w:szCs w:val="22"/>
        </w:rPr>
        <w:t>量</w:t>
      </w:r>
      <w:r w:rsidR="00F67B5F">
        <w:rPr>
          <w:rFonts w:ascii="標楷體" w:eastAsia="標楷體" w:hAnsi="標楷體" w:hint="eastAsia"/>
          <w:bCs/>
          <w:color w:val="FF0000"/>
          <w:kern w:val="0"/>
          <w:highlight w:val="yellow"/>
        </w:rPr>
        <w:t>」</w:t>
      </w:r>
      <w:r w:rsidRPr="00212D57">
        <w:rPr>
          <w:rFonts w:ascii="標楷體" w:eastAsia="標楷體" w:hAnsi="標楷體"/>
          <w:szCs w:val="22"/>
        </w:rPr>
        <w:t>，復云何知？</w:t>
      </w:r>
    </w:p>
    <w:p w:rsidR="00157EF6" w:rsidRPr="00212D57" w:rsidRDefault="00157EF6" w:rsidP="002B682F">
      <w:pPr>
        <w:pStyle w:val="a5"/>
        <w:ind w:leftChars="335" w:left="1244" w:hangingChars="200" w:hanging="440"/>
        <w:jc w:val="both"/>
        <w:rPr>
          <w:rFonts w:ascii="標楷體" w:eastAsia="標楷體" w:hAnsi="標楷體"/>
          <w:szCs w:val="22"/>
        </w:rPr>
      </w:pPr>
      <w:r w:rsidRPr="00212D57">
        <w:rPr>
          <w:rFonts w:ascii="標楷體" w:eastAsia="標楷體" w:hAnsi="標楷體"/>
          <w:szCs w:val="22"/>
        </w:rPr>
        <w:t>答：應知</w:t>
      </w:r>
      <w:r w:rsidR="00F67B5F">
        <w:rPr>
          <w:rFonts w:ascii="標楷體" w:eastAsia="標楷體" w:hAnsi="標楷體" w:hint="eastAsia"/>
          <w:color w:val="FF0000"/>
          <w:spacing w:val="-4"/>
          <w:kern w:val="0"/>
          <w:highlight w:val="yellow"/>
        </w:rPr>
        <w:t>：</w:t>
      </w:r>
      <w:r w:rsidR="00F67B5F">
        <w:rPr>
          <w:rFonts w:ascii="標楷體" w:eastAsia="標楷體" w:hAnsi="標楷體" w:hint="eastAsia"/>
          <w:bCs/>
          <w:color w:val="FF0000"/>
          <w:kern w:val="0"/>
          <w:highlight w:val="yellow"/>
        </w:rPr>
        <w:t>「</w:t>
      </w:r>
      <w:r w:rsidRPr="00212D57">
        <w:rPr>
          <w:rFonts w:ascii="標楷體" w:eastAsia="標楷體" w:hAnsi="標楷體"/>
          <w:b/>
          <w:szCs w:val="22"/>
        </w:rPr>
        <w:t>極微</w:t>
      </w:r>
      <w:r w:rsidR="00F67B5F">
        <w:rPr>
          <w:rFonts w:ascii="標楷體" w:eastAsia="標楷體" w:hAnsi="標楷體" w:hint="eastAsia"/>
          <w:bCs/>
          <w:color w:val="FF0000"/>
          <w:kern w:val="0"/>
          <w:highlight w:val="yellow"/>
        </w:rPr>
        <w:t>」</w:t>
      </w:r>
      <w:r w:rsidRPr="00212D57">
        <w:rPr>
          <w:rFonts w:ascii="標楷體" w:eastAsia="標楷體" w:hAnsi="標楷體"/>
          <w:b/>
          <w:szCs w:val="22"/>
        </w:rPr>
        <w:t>是最細色</w:t>
      </w:r>
      <w:r w:rsidRPr="00212D57">
        <w:rPr>
          <w:rFonts w:ascii="標楷體" w:eastAsia="標楷體" w:hAnsi="標楷體"/>
          <w:szCs w:val="22"/>
        </w:rPr>
        <w:t>，不可斷截</w:t>
      </w:r>
      <w:r w:rsidR="00F67B5F">
        <w:rPr>
          <w:rFonts w:ascii="標楷體" w:eastAsia="標楷體" w:hAnsi="標楷體" w:hint="eastAsia"/>
          <w:color w:val="FF0000"/>
          <w:kern w:val="0"/>
          <w:highlight w:val="yellow"/>
        </w:rPr>
        <w:t>.</w:t>
      </w:r>
      <w:r w:rsidRPr="00212D57">
        <w:rPr>
          <w:rFonts w:ascii="標楷體" w:eastAsia="標楷體" w:hAnsi="標楷體"/>
          <w:szCs w:val="22"/>
        </w:rPr>
        <w:t>破壞</w:t>
      </w:r>
      <w:r w:rsidR="00F67B5F">
        <w:rPr>
          <w:rFonts w:ascii="標楷體" w:eastAsia="標楷體" w:hAnsi="標楷體" w:hint="eastAsia"/>
          <w:color w:val="FF0000"/>
          <w:kern w:val="0"/>
          <w:highlight w:val="yellow"/>
        </w:rPr>
        <w:t>.</w:t>
      </w:r>
      <w:r w:rsidRPr="00212D57">
        <w:rPr>
          <w:rFonts w:ascii="標楷體" w:eastAsia="標楷體" w:hAnsi="標楷體"/>
          <w:szCs w:val="22"/>
        </w:rPr>
        <w:t>貫穿，不可取捨</w:t>
      </w:r>
      <w:r w:rsidR="00F67B5F">
        <w:rPr>
          <w:rFonts w:ascii="標楷體" w:eastAsia="標楷體" w:hAnsi="標楷體" w:hint="eastAsia"/>
          <w:color w:val="FF0000"/>
          <w:kern w:val="0"/>
          <w:highlight w:val="yellow"/>
        </w:rPr>
        <w:t>.</w:t>
      </w:r>
      <w:r w:rsidRPr="00212D57">
        <w:rPr>
          <w:rFonts w:ascii="標楷體" w:eastAsia="標楷體" w:hAnsi="標楷體"/>
          <w:szCs w:val="22"/>
        </w:rPr>
        <w:t>乘履</w:t>
      </w:r>
      <w:r w:rsidR="00F67B5F">
        <w:rPr>
          <w:rFonts w:ascii="標楷體" w:eastAsia="標楷體" w:hAnsi="標楷體" w:hint="eastAsia"/>
          <w:color w:val="FF0000"/>
          <w:kern w:val="0"/>
          <w:highlight w:val="yellow"/>
        </w:rPr>
        <w:t>.</w:t>
      </w:r>
      <w:r w:rsidRPr="00212D57">
        <w:rPr>
          <w:rFonts w:ascii="標楷體" w:eastAsia="標楷體" w:hAnsi="標楷體"/>
          <w:szCs w:val="22"/>
        </w:rPr>
        <w:t>摶掣</w:t>
      </w:r>
      <w:r w:rsidR="00F67B5F">
        <w:rPr>
          <w:rFonts w:ascii="標楷體" w:eastAsia="標楷體" w:hAnsi="標楷體" w:hint="eastAsia"/>
          <w:color w:val="FF0000"/>
          <w:kern w:val="0"/>
          <w:highlight w:val="yellow"/>
        </w:rPr>
        <w:t>，</w:t>
      </w:r>
      <w:r w:rsidR="00F67B5F">
        <w:rPr>
          <w:rFonts w:ascii="標楷體" w:eastAsia="標楷體" w:hAnsi="標楷體"/>
          <w:szCs w:val="22"/>
        </w:rPr>
        <w:t>非長非短、非方非圓、非正不正、非高非下</w:t>
      </w:r>
      <w:r w:rsidR="00F67B5F">
        <w:rPr>
          <w:rFonts w:ascii="標楷體" w:eastAsia="標楷體" w:hAnsi="標楷體" w:hint="eastAsia"/>
          <w:color w:val="FF0000"/>
          <w:kern w:val="0"/>
          <w:highlight w:val="yellow"/>
        </w:rPr>
        <w:t>，</w:t>
      </w:r>
      <w:r w:rsidRPr="00212D57">
        <w:rPr>
          <w:rFonts w:ascii="標楷體" w:eastAsia="標楷體" w:hAnsi="標楷體"/>
          <w:szCs w:val="22"/>
        </w:rPr>
        <w:t>無有細分、不可分析</w:t>
      </w:r>
      <w:r w:rsidR="00F67B5F">
        <w:rPr>
          <w:rFonts w:ascii="標楷體" w:eastAsia="標楷體" w:hAnsi="標楷體" w:hint="eastAsia"/>
          <w:color w:val="FF0000"/>
          <w:kern w:val="0"/>
          <w:highlight w:val="yellow"/>
        </w:rPr>
        <w:t>，</w:t>
      </w:r>
      <w:r w:rsidRPr="00212D57">
        <w:rPr>
          <w:rFonts w:ascii="標楷體" w:eastAsia="標楷體" w:hAnsi="標楷體"/>
          <w:szCs w:val="22"/>
        </w:rPr>
        <w:t>不可覩見、不可聽聞、不可嗅甞、不可摩觸，故說</w:t>
      </w:r>
      <w:r w:rsidR="00F67B5F">
        <w:rPr>
          <w:rFonts w:ascii="標楷體" w:eastAsia="標楷體" w:hAnsi="標楷體" w:hint="eastAsia"/>
          <w:bCs/>
          <w:color w:val="FF0000"/>
          <w:kern w:val="0"/>
          <w:highlight w:val="yellow"/>
        </w:rPr>
        <w:t>「</w:t>
      </w:r>
      <w:r w:rsidR="00F67B5F" w:rsidRPr="00F67B5F">
        <w:rPr>
          <w:rFonts w:ascii="標楷體" w:eastAsia="標楷體" w:hAnsi="標楷體" w:hint="eastAsia"/>
          <w:b/>
          <w:color w:val="FF0000"/>
          <w:kern w:val="0"/>
          <w:highlight w:val="yellow"/>
        </w:rPr>
        <w:t>『</w:t>
      </w:r>
      <w:r w:rsidRPr="00F67B5F">
        <w:rPr>
          <w:rFonts w:ascii="標楷體" w:eastAsia="標楷體" w:hAnsi="標楷體"/>
          <w:b/>
          <w:szCs w:val="22"/>
        </w:rPr>
        <w:t>極微</w:t>
      </w:r>
      <w:r w:rsidR="00F67B5F" w:rsidRPr="00F67B5F">
        <w:rPr>
          <w:rFonts w:ascii="標楷體" w:eastAsia="標楷體" w:hAnsi="標楷體" w:hint="eastAsia"/>
          <w:b/>
          <w:color w:val="FF0000"/>
          <w:kern w:val="0"/>
          <w:highlight w:val="yellow"/>
        </w:rPr>
        <w:t>』</w:t>
      </w:r>
      <w:r w:rsidRPr="00212D57">
        <w:rPr>
          <w:rFonts w:ascii="標楷體" w:eastAsia="標楷體" w:hAnsi="標楷體"/>
          <w:b/>
          <w:szCs w:val="22"/>
        </w:rPr>
        <w:t>是最細色</w:t>
      </w:r>
      <w:r w:rsidR="00F67B5F">
        <w:rPr>
          <w:rFonts w:ascii="標楷體" w:eastAsia="標楷體" w:hAnsi="標楷體" w:hint="eastAsia"/>
          <w:bCs/>
          <w:color w:val="FF0000"/>
          <w:kern w:val="0"/>
          <w:highlight w:val="yellow"/>
        </w:rPr>
        <w:t>」</w:t>
      </w:r>
      <w:r w:rsidRPr="00212D57">
        <w:rPr>
          <w:rFonts w:ascii="標楷體" w:eastAsia="標楷體" w:hAnsi="標楷體"/>
          <w:szCs w:val="22"/>
        </w:rPr>
        <w:t>。</w:t>
      </w:r>
    </w:p>
    <w:p w:rsidR="00157EF6" w:rsidRPr="00212D57" w:rsidRDefault="00157EF6" w:rsidP="002B682F">
      <w:pPr>
        <w:pStyle w:val="a5"/>
        <w:ind w:leftChars="105" w:left="791" w:hangingChars="245" w:hanging="539"/>
        <w:jc w:val="both"/>
        <w:rPr>
          <w:rFonts w:eastAsia="細明體"/>
          <w:szCs w:val="22"/>
        </w:rPr>
      </w:pPr>
      <w:r w:rsidRPr="00212D57">
        <w:rPr>
          <w:rFonts w:eastAsia="標楷體"/>
          <w:szCs w:val="22"/>
        </w:rPr>
        <w:t>（</w:t>
      </w:r>
      <w:r w:rsidRPr="00761EF3">
        <w:rPr>
          <w:rFonts w:eastAsia="標楷體"/>
          <w:szCs w:val="22"/>
        </w:rPr>
        <w:t>2</w:t>
      </w:r>
      <w:r w:rsidRPr="00212D57">
        <w:rPr>
          <w:rFonts w:eastAsia="標楷體"/>
          <w:szCs w:val="22"/>
        </w:rPr>
        <w:t>）</w:t>
      </w:r>
      <w:r w:rsidRPr="00212D57">
        <w:rPr>
          <w:rFonts w:eastAsia="細明體"/>
          <w:szCs w:val="22"/>
        </w:rPr>
        <w:t>印順法師，《說一切有部為主的論書與論師之研究》</w:t>
      </w:r>
      <w:r w:rsidRPr="00212D57">
        <w:rPr>
          <w:rFonts w:eastAsia="細明體" w:hint="eastAsia"/>
          <w:szCs w:val="22"/>
        </w:rPr>
        <w:t>，</w:t>
      </w:r>
      <w:r w:rsidRPr="00761EF3">
        <w:rPr>
          <w:rFonts w:eastAsia="細明體"/>
          <w:szCs w:val="22"/>
        </w:rPr>
        <w:t>p</w:t>
      </w:r>
      <w:r w:rsidRPr="00212D57">
        <w:rPr>
          <w:rFonts w:eastAsia="細明體"/>
          <w:szCs w:val="22"/>
        </w:rPr>
        <w:t>.</w:t>
      </w:r>
      <w:r w:rsidRPr="00761EF3">
        <w:rPr>
          <w:rFonts w:eastAsia="細明體"/>
          <w:szCs w:val="22"/>
        </w:rPr>
        <w:t>232</w:t>
      </w:r>
      <w:r w:rsidRPr="00212D57">
        <w:rPr>
          <w:rFonts w:eastAsia="細明體"/>
          <w:szCs w:val="22"/>
        </w:rPr>
        <w:t>：</w:t>
      </w:r>
    </w:p>
    <w:p w:rsidR="00157EF6" w:rsidRPr="00212D57" w:rsidRDefault="00157EF6" w:rsidP="002B682F">
      <w:pPr>
        <w:pStyle w:val="a5"/>
        <w:ind w:leftChars="335" w:left="804"/>
        <w:jc w:val="both"/>
        <w:rPr>
          <w:rFonts w:eastAsia="標楷體"/>
          <w:szCs w:val="22"/>
        </w:rPr>
      </w:pPr>
      <w:r w:rsidRPr="00212D57">
        <w:rPr>
          <w:rFonts w:ascii="標楷體" w:eastAsia="標楷體" w:hAnsi="標楷體"/>
          <w:szCs w:val="22"/>
        </w:rPr>
        <w:t>「極微」：法自性，可分為「色」、「心」、「心所」、「心不相應行」、「無為」──五類。說到色法，分為能造的四大，所造的眼等五根，色等五境，及無表色──十一種，這是《發智論》以來的定說。這些色法（除無表色），常識所得的，都是眾多積集的和合色；分析推究到不可再分析時，名為「極微」。</w:t>
      </w:r>
    </w:p>
  </w:footnote>
  <w:footnote w:id="344">
    <w:p w:rsidR="00157EF6" w:rsidRPr="00212D57" w:rsidRDefault="00157EF6" w:rsidP="002B682F">
      <w:pPr>
        <w:pStyle w:val="a5"/>
        <w:spacing w:line="0" w:lineRule="atLeast"/>
        <w:ind w:left="253" w:hangingChars="115" w:hanging="253"/>
        <w:jc w:val="both"/>
        <w:rPr>
          <w:rFonts w:eastAsia="細明體"/>
          <w:szCs w:val="22"/>
        </w:rPr>
      </w:pPr>
      <w:r w:rsidRPr="00212D57">
        <w:rPr>
          <w:rStyle w:val="a6"/>
          <w:szCs w:val="22"/>
        </w:rPr>
        <w:footnoteRef/>
      </w:r>
      <w:r w:rsidRPr="00212D57">
        <w:rPr>
          <w:rFonts w:eastAsia="細明體" w:hint="eastAsia"/>
          <w:szCs w:val="22"/>
        </w:rPr>
        <w:t xml:space="preserve"> </w:t>
      </w:r>
      <w:r w:rsidRPr="00212D57">
        <w:rPr>
          <w:rFonts w:eastAsia="細明體"/>
          <w:szCs w:val="22"/>
        </w:rPr>
        <w:t>《阿毘達磨大毘婆沙論》卷</w:t>
      </w:r>
      <w:r w:rsidRPr="00761EF3">
        <w:rPr>
          <w:rFonts w:eastAsia="細明體"/>
          <w:szCs w:val="22"/>
        </w:rPr>
        <w:t>9</w:t>
      </w:r>
      <w:r w:rsidRPr="00212D57">
        <w:rPr>
          <w:rFonts w:eastAsia="細明體"/>
          <w:szCs w:val="22"/>
        </w:rPr>
        <w:t>（大正</w:t>
      </w:r>
      <w:r w:rsidRPr="00761EF3">
        <w:rPr>
          <w:rFonts w:eastAsia="細明體"/>
          <w:szCs w:val="22"/>
        </w:rPr>
        <w:t>27</w:t>
      </w:r>
      <w:r w:rsidRPr="00212D57">
        <w:rPr>
          <w:rFonts w:eastAsia="細明體"/>
          <w:szCs w:val="22"/>
        </w:rPr>
        <w:t>，</w:t>
      </w:r>
      <w:r w:rsidRPr="00761EF3">
        <w:rPr>
          <w:rFonts w:eastAsia="細明體"/>
          <w:szCs w:val="22"/>
        </w:rPr>
        <w:t>41a16</w:t>
      </w:r>
      <w:r w:rsidRPr="00212D57">
        <w:rPr>
          <w:rFonts w:eastAsia="細明體"/>
          <w:szCs w:val="22"/>
        </w:rPr>
        <w:t>-</w:t>
      </w:r>
      <w:r w:rsidRPr="00761EF3">
        <w:rPr>
          <w:rFonts w:eastAsia="細明體"/>
          <w:szCs w:val="22"/>
        </w:rPr>
        <w:t>22</w:t>
      </w:r>
      <w:r w:rsidRPr="00212D57">
        <w:rPr>
          <w:rFonts w:eastAsia="細明體"/>
          <w:szCs w:val="22"/>
        </w:rPr>
        <w:t>）：</w:t>
      </w:r>
    </w:p>
    <w:p w:rsidR="00157EF6" w:rsidRPr="00212D57" w:rsidRDefault="00157EF6" w:rsidP="002B682F">
      <w:pPr>
        <w:pStyle w:val="a5"/>
        <w:ind w:leftChars="105" w:left="692" w:hangingChars="200" w:hanging="440"/>
        <w:jc w:val="both"/>
        <w:rPr>
          <w:rFonts w:eastAsia="標楷體"/>
          <w:szCs w:val="22"/>
        </w:rPr>
      </w:pPr>
      <w:r w:rsidRPr="00212D57">
        <w:rPr>
          <w:rFonts w:eastAsia="標楷體"/>
          <w:szCs w:val="22"/>
        </w:rPr>
        <w:t>問：善說法者亦說</w:t>
      </w:r>
      <w:r w:rsidR="00F67B5F">
        <w:rPr>
          <w:rFonts w:ascii="標楷體" w:eastAsia="標楷體" w:hAnsi="標楷體" w:hint="eastAsia"/>
          <w:bCs/>
          <w:color w:val="FF0000"/>
          <w:kern w:val="0"/>
          <w:highlight w:val="yellow"/>
        </w:rPr>
        <w:t>「</w:t>
      </w:r>
      <w:r w:rsidRPr="00212D57">
        <w:rPr>
          <w:rFonts w:eastAsia="標楷體"/>
          <w:szCs w:val="22"/>
        </w:rPr>
        <w:t>諸法常有實體</w:t>
      </w:r>
      <w:r w:rsidR="00F67B5F">
        <w:rPr>
          <w:rFonts w:ascii="標楷體" w:eastAsia="標楷體" w:hAnsi="標楷體" w:hint="eastAsia"/>
          <w:color w:val="FF0000"/>
          <w:kern w:val="0"/>
          <w:highlight w:val="yellow"/>
        </w:rPr>
        <w:t>.</w:t>
      </w:r>
      <w:r w:rsidRPr="00212D57">
        <w:rPr>
          <w:rFonts w:eastAsia="標楷體"/>
          <w:szCs w:val="22"/>
        </w:rPr>
        <w:t>性</w:t>
      </w:r>
      <w:r w:rsidR="00F67B5F">
        <w:rPr>
          <w:rFonts w:ascii="標楷體" w:eastAsia="標楷體" w:hAnsi="標楷體" w:hint="eastAsia"/>
          <w:color w:val="FF0000"/>
          <w:kern w:val="0"/>
          <w:highlight w:val="yellow"/>
        </w:rPr>
        <w:t>.</w:t>
      </w:r>
      <w:r w:rsidRPr="00212D57">
        <w:rPr>
          <w:rFonts w:eastAsia="標楷體"/>
          <w:szCs w:val="22"/>
        </w:rPr>
        <w:t>相</w:t>
      </w:r>
      <w:r w:rsidR="00F67B5F">
        <w:rPr>
          <w:rFonts w:ascii="標楷體" w:eastAsia="標楷體" w:hAnsi="標楷體" w:hint="eastAsia"/>
          <w:color w:val="FF0000"/>
          <w:kern w:val="0"/>
          <w:highlight w:val="yellow"/>
        </w:rPr>
        <w:t>.</w:t>
      </w:r>
      <w:r w:rsidRPr="00212D57">
        <w:rPr>
          <w:rFonts w:eastAsia="標楷體"/>
          <w:szCs w:val="22"/>
        </w:rPr>
        <w:t>我</w:t>
      </w:r>
      <w:r w:rsidR="00F67B5F">
        <w:rPr>
          <w:rFonts w:ascii="標楷體" w:eastAsia="標楷體" w:hAnsi="標楷體" w:hint="eastAsia"/>
          <w:color w:val="FF0000"/>
          <w:kern w:val="0"/>
          <w:highlight w:val="yellow"/>
        </w:rPr>
        <w:t>.</w:t>
      </w:r>
      <w:r w:rsidRPr="00212D57">
        <w:rPr>
          <w:rFonts w:eastAsia="標楷體"/>
          <w:szCs w:val="22"/>
        </w:rPr>
        <w:t>事</w:t>
      </w:r>
      <w:r w:rsidR="00F67B5F">
        <w:rPr>
          <w:rFonts w:ascii="標楷體" w:eastAsia="標楷體" w:hAnsi="標楷體" w:hint="eastAsia"/>
          <w:bCs/>
          <w:color w:val="FF0000"/>
          <w:kern w:val="0"/>
          <w:highlight w:val="yellow"/>
        </w:rPr>
        <w:t>」</w:t>
      </w:r>
      <w:r w:rsidRPr="00212D57">
        <w:rPr>
          <w:rFonts w:eastAsia="標楷體"/>
          <w:szCs w:val="22"/>
        </w:rPr>
        <w:t>而非惡見，何故外道說</w:t>
      </w:r>
      <w:r w:rsidR="00F67B5F">
        <w:rPr>
          <w:rFonts w:ascii="標楷體" w:eastAsia="標楷體" w:hAnsi="標楷體" w:hint="eastAsia"/>
          <w:bCs/>
          <w:color w:val="FF0000"/>
          <w:kern w:val="0"/>
          <w:highlight w:val="yellow"/>
        </w:rPr>
        <w:t>「</w:t>
      </w:r>
      <w:r w:rsidRPr="00212D57">
        <w:rPr>
          <w:rFonts w:eastAsia="標楷體"/>
          <w:szCs w:val="22"/>
        </w:rPr>
        <w:t>有實我</w:t>
      </w:r>
      <w:r w:rsidR="00F67B5F">
        <w:rPr>
          <w:rFonts w:ascii="標楷體" w:eastAsia="標楷體" w:hAnsi="標楷體" w:hint="eastAsia"/>
          <w:bCs/>
          <w:color w:val="FF0000"/>
          <w:kern w:val="0"/>
          <w:highlight w:val="yellow"/>
        </w:rPr>
        <w:t>」</w:t>
      </w:r>
      <w:r w:rsidRPr="00212D57">
        <w:rPr>
          <w:rFonts w:eastAsia="標楷體"/>
          <w:szCs w:val="22"/>
        </w:rPr>
        <w:t>便是惡見？</w:t>
      </w:r>
    </w:p>
    <w:p w:rsidR="00157EF6" w:rsidRPr="00212D57" w:rsidRDefault="00157EF6" w:rsidP="002B682F">
      <w:pPr>
        <w:pStyle w:val="a5"/>
        <w:ind w:leftChars="105" w:left="692" w:hangingChars="200" w:hanging="440"/>
        <w:jc w:val="both"/>
        <w:rPr>
          <w:rFonts w:eastAsia="標楷體"/>
          <w:szCs w:val="22"/>
        </w:rPr>
      </w:pPr>
      <w:r w:rsidRPr="00212D57">
        <w:rPr>
          <w:rFonts w:eastAsia="標楷體"/>
          <w:szCs w:val="22"/>
        </w:rPr>
        <w:t>答：</w:t>
      </w:r>
      <w:r w:rsidR="00F67B5F">
        <w:rPr>
          <w:rFonts w:ascii="標楷體" w:eastAsia="標楷體" w:hAnsi="標楷體" w:hint="eastAsia"/>
          <w:bCs/>
          <w:color w:val="FF0000"/>
          <w:kern w:val="0"/>
          <w:highlight w:val="yellow"/>
        </w:rPr>
        <w:t>「</w:t>
      </w:r>
      <w:r w:rsidRPr="00212D57">
        <w:rPr>
          <w:rFonts w:eastAsia="標楷體"/>
          <w:szCs w:val="22"/>
        </w:rPr>
        <w:t>我</w:t>
      </w:r>
      <w:r w:rsidR="00F67B5F">
        <w:rPr>
          <w:rFonts w:ascii="標楷體" w:eastAsia="標楷體" w:hAnsi="標楷體" w:hint="eastAsia"/>
          <w:bCs/>
          <w:color w:val="FF0000"/>
          <w:kern w:val="0"/>
          <w:highlight w:val="yellow"/>
        </w:rPr>
        <w:t>」</w:t>
      </w:r>
      <w:r w:rsidRPr="00212D57">
        <w:rPr>
          <w:rFonts w:eastAsia="標楷體"/>
          <w:szCs w:val="22"/>
        </w:rPr>
        <w:t>有二種：一者、法我，二者、補特伽羅我。</w:t>
      </w:r>
      <w:r w:rsidRPr="00212D57">
        <w:rPr>
          <w:rFonts w:eastAsia="標楷體"/>
          <w:b/>
          <w:szCs w:val="22"/>
        </w:rPr>
        <w:t>善說法者</w:t>
      </w:r>
      <w:r w:rsidR="00F67B5F">
        <w:rPr>
          <w:rFonts w:ascii="標楷體" w:eastAsia="標楷體" w:hAnsi="標楷體" w:hint="eastAsia"/>
          <w:color w:val="FF0000"/>
          <w:kern w:val="0"/>
          <w:highlight w:val="yellow"/>
        </w:rPr>
        <w:t>，</w:t>
      </w:r>
      <w:r w:rsidRPr="00212D57">
        <w:rPr>
          <w:rFonts w:eastAsia="標楷體"/>
          <w:b/>
          <w:szCs w:val="22"/>
        </w:rPr>
        <w:t>唯說</w:t>
      </w:r>
      <w:r w:rsidR="00F67B5F">
        <w:rPr>
          <w:rFonts w:ascii="標楷體" w:eastAsia="標楷體" w:hAnsi="標楷體" w:hint="eastAsia"/>
          <w:bCs/>
          <w:color w:val="FF0000"/>
          <w:kern w:val="0"/>
          <w:highlight w:val="yellow"/>
        </w:rPr>
        <w:t>「</w:t>
      </w:r>
      <w:r w:rsidRPr="00212D57">
        <w:rPr>
          <w:rFonts w:eastAsia="標楷體"/>
          <w:b/>
          <w:szCs w:val="22"/>
        </w:rPr>
        <w:t>實有法我，法性實有</w:t>
      </w:r>
      <w:r w:rsidR="00F67B5F">
        <w:rPr>
          <w:rFonts w:ascii="標楷體" w:eastAsia="標楷體" w:hAnsi="標楷體" w:hint="eastAsia"/>
          <w:bCs/>
          <w:color w:val="FF0000"/>
          <w:kern w:val="0"/>
          <w:highlight w:val="yellow"/>
        </w:rPr>
        <w:t>」</w:t>
      </w:r>
      <w:r w:rsidRPr="00212D57">
        <w:rPr>
          <w:rFonts w:eastAsia="標楷體"/>
          <w:b/>
          <w:szCs w:val="22"/>
        </w:rPr>
        <w:t>，如實見故，不名惡見</w:t>
      </w:r>
      <w:r w:rsidRPr="00212D57">
        <w:rPr>
          <w:rFonts w:eastAsia="標楷體"/>
          <w:szCs w:val="22"/>
        </w:rPr>
        <w:t>。外道亦說</w:t>
      </w:r>
      <w:r w:rsidR="00F67B5F">
        <w:rPr>
          <w:rFonts w:ascii="標楷體" w:eastAsia="標楷體" w:hAnsi="標楷體" w:hint="eastAsia"/>
          <w:bCs/>
          <w:color w:val="FF0000"/>
          <w:kern w:val="0"/>
          <w:highlight w:val="yellow"/>
        </w:rPr>
        <w:t>「</w:t>
      </w:r>
      <w:r w:rsidRPr="00212D57">
        <w:rPr>
          <w:rFonts w:eastAsia="標楷體"/>
          <w:szCs w:val="22"/>
        </w:rPr>
        <w:t>實有補特伽羅我，補特伽羅非實有性，虛妄見故，名為惡見。</w:t>
      </w:r>
    </w:p>
  </w:footnote>
  <w:footnote w:id="345">
    <w:p w:rsidR="00157EF6" w:rsidRPr="00212D57" w:rsidRDefault="00157EF6" w:rsidP="002B682F">
      <w:pPr>
        <w:pStyle w:val="a5"/>
        <w:spacing w:line="0" w:lineRule="atLeast"/>
        <w:ind w:left="253" w:hangingChars="115" w:hanging="253"/>
        <w:jc w:val="both"/>
        <w:rPr>
          <w:rFonts w:eastAsia="SimSun"/>
          <w:szCs w:val="22"/>
        </w:rPr>
      </w:pPr>
      <w:r w:rsidRPr="00212D57">
        <w:rPr>
          <w:rStyle w:val="a6"/>
          <w:szCs w:val="22"/>
        </w:rPr>
        <w:footnoteRef/>
      </w:r>
      <w:r w:rsidRPr="00212D57">
        <w:rPr>
          <w:szCs w:val="22"/>
        </w:rPr>
        <w:t xml:space="preserve"> </w:t>
      </w:r>
      <w:r w:rsidRPr="00212D57">
        <w:rPr>
          <w:rFonts w:eastAsia="細明體"/>
          <w:szCs w:val="22"/>
        </w:rPr>
        <w:t>元：</w:t>
      </w:r>
      <w:r w:rsidRPr="00761EF3">
        <w:rPr>
          <w:rFonts w:eastAsia="細明體"/>
          <w:szCs w:val="22"/>
        </w:rPr>
        <w:t>9</w:t>
      </w:r>
      <w:r w:rsidRPr="00212D57">
        <w:rPr>
          <w:rFonts w:eastAsia="細明體"/>
          <w:szCs w:val="22"/>
        </w:rPr>
        <w:t>.</w:t>
      </w:r>
      <w:r w:rsidRPr="00212D57">
        <w:rPr>
          <w:rFonts w:eastAsia="細明體"/>
          <w:szCs w:val="22"/>
        </w:rPr>
        <w:t>開始，起端。</w:t>
      </w:r>
      <w:r w:rsidRPr="00761EF3">
        <w:rPr>
          <w:rFonts w:eastAsia="細明體"/>
          <w:szCs w:val="22"/>
        </w:rPr>
        <w:t>10</w:t>
      </w:r>
      <w:r w:rsidRPr="00212D57">
        <w:rPr>
          <w:rFonts w:eastAsia="細明體"/>
          <w:szCs w:val="22"/>
        </w:rPr>
        <w:t>.</w:t>
      </w:r>
      <w:r w:rsidRPr="00212D57">
        <w:rPr>
          <w:rFonts w:eastAsia="細明體"/>
          <w:szCs w:val="22"/>
        </w:rPr>
        <w:t>根源，根本。（《漢語大詞典》（二），</w:t>
      </w:r>
      <w:r w:rsidRPr="00761EF3">
        <w:rPr>
          <w:rFonts w:eastAsia="細明體"/>
          <w:szCs w:val="22"/>
        </w:rPr>
        <w:t>p</w:t>
      </w:r>
      <w:r w:rsidRPr="00212D57">
        <w:rPr>
          <w:rFonts w:eastAsia="細明體"/>
          <w:szCs w:val="22"/>
        </w:rPr>
        <w:t>.</w:t>
      </w:r>
      <w:r w:rsidRPr="00761EF3">
        <w:rPr>
          <w:rFonts w:eastAsia="細明體"/>
          <w:szCs w:val="22"/>
        </w:rPr>
        <w:t>207</w:t>
      </w:r>
      <w:r w:rsidRPr="00212D57">
        <w:rPr>
          <w:rFonts w:eastAsia="細明體"/>
          <w:szCs w:val="22"/>
        </w:rPr>
        <w:t>）</w:t>
      </w:r>
    </w:p>
  </w:footnote>
  <w:footnote w:id="346">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《阿毘達磨順正理論》卷</w:t>
      </w:r>
      <w:r w:rsidRPr="00761EF3">
        <w:rPr>
          <w:szCs w:val="22"/>
        </w:rPr>
        <w:t>13</w:t>
      </w:r>
      <w:r w:rsidRPr="00212D57">
        <w:rPr>
          <w:szCs w:val="22"/>
        </w:rPr>
        <w:t>（大正</w:t>
      </w:r>
      <w:r w:rsidRPr="00761EF3">
        <w:rPr>
          <w:szCs w:val="22"/>
        </w:rPr>
        <w:t>29</w:t>
      </w:r>
      <w:r w:rsidRPr="00212D57">
        <w:rPr>
          <w:szCs w:val="22"/>
        </w:rPr>
        <w:t>，</w:t>
      </w:r>
      <w:r w:rsidRPr="00761EF3">
        <w:rPr>
          <w:szCs w:val="22"/>
        </w:rPr>
        <w:t>404a21</w:t>
      </w:r>
      <w:r w:rsidRPr="00212D57">
        <w:rPr>
          <w:szCs w:val="22"/>
        </w:rPr>
        <w:t>-</w:t>
      </w:r>
      <w:r w:rsidRPr="00761EF3">
        <w:rPr>
          <w:szCs w:val="22"/>
        </w:rPr>
        <w:t>22</w:t>
      </w:r>
      <w:r w:rsidRPr="00212D57">
        <w:rPr>
          <w:szCs w:val="22"/>
        </w:rPr>
        <w:t>）。</w:t>
      </w:r>
    </w:p>
  </w:footnote>
  <w:footnote w:id="347">
    <w:p w:rsidR="00157EF6" w:rsidRPr="00212D57" w:rsidRDefault="00157EF6" w:rsidP="002B682F">
      <w:pPr>
        <w:pStyle w:val="a5"/>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）《阿毘達磨順正理論》卷</w:t>
      </w:r>
      <w:r w:rsidRPr="00761EF3">
        <w:rPr>
          <w:szCs w:val="22"/>
        </w:rPr>
        <w:t>18</w:t>
      </w:r>
      <w:r w:rsidRPr="00212D57">
        <w:rPr>
          <w:szCs w:val="22"/>
        </w:rPr>
        <w:t>（大正</w:t>
      </w:r>
      <w:r w:rsidRPr="00761EF3">
        <w:rPr>
          <w:szCs w:val="22"/>
        </w:rPr>
        <w:t>29</w:t>
      </w:r>
      <w:r w:rsidRPr="00212D57">
        <w:rPr>
          <w:szCs w:val="22"/>
        </w:rPr>
        <w:t>，</w:t>
      </w:r>
      <w:r w:rsidRPr="00761EF3">
        <w:rPr>
          <w:szCs w:val="22"/>
        </w:rPr>
        <w:t>440b3</w:t>
      </w:r>
      <w:r w:rsidRPr="00212D57">
        <w:rPr>
          <w:szCs w:val="22"/>
        </w:rPr>
        <w:t>-</w:t>
      </w:r>
      <w:r w:rsidRPr="00761EF3">
        <w:rPr>
          <w:szCs w:val="22"/>
        </w:rPr>
        <w:t>10</w:t>
      </w:r>
      <w:r w:rsidRPr="00212D57">
        <w:rPr>
          <w:szCs w:val="22"/>
        </w:rPr>
        <w:t>）：</w:t>
      </w:r>
    </w:p>
    <w:p w:rsidR="00157EF6" w:rsidRPr="00212D57" w:rsidRDefault="00157EF6" w:rsidP="002B682F">
      <w:pPr>
        <w:pStyle w:val="a5"/>
        <w:ind w:leftChars="335" w:left="804"/>
        <w:jc w:val="both"/>
        <w:rPr>
          <w:rFonts w:eastAsia="SimSun"/>
          <w:szCs w:val="22"/>
        </w:rPr>
      </w:pPr>
      <w:r w:rsidRPr="00212D57">
        <w:rPr>
          <w:rFonts w:eastAsia="標楷體"/>
          <w:szCs w:val="22"/>
        </w:rPr>
        <w:t>上座言：</w:t>
      </w:r>
      <w:r w:rsidR="00F67B5F">
        <w:rPr>
          <w:rFonts w:ascii="標楷體" w:eastAsia="標楷體" w:hAnsi="標楷體" w:hint="eastAsia"/>
          <w:bCs/>
          <w:color w:val="FF0000"/>
          <w:kern w:val="0"/>
          <w:highlight w:val="yellow"/>
        </w:rPr>
        <w:t>「</w:t>
      </w:r>
      <w:r w:rsidRPr="00212D57">
        <w:rPr>
          <w:rFonts w:eastAsia="標楷體"/>
          <w:szCs w:val="22"/>
        </w:rPr>
        <w:t>因緣性</w:t>
      </w:r>
      <w:r w:rsidR="00F67B5F">
        <w:rPr>
          <w:rFonts w:ascii="標楷體" w:eastAsia="標楷體" w:hAnsi="標楷體" w:hint="eastAsia"/>
          <w:bCs/>
          <w:color w:val="FF0000"/>
          <w:kern w:val="0"/>
          <w:highlight w:val="yellow"/>
        </w:rPr>
        <w:t>」</w:t>
      </w:r>
      <w:r w:rsidRPr="00212D57">
        <w:rPr>
          <w:rFonts w:eastAsia="標楷體"/>
          <w:szCs w:val="22"/>
        </w:rPr>
        <w:t>者，謂</w:t>
      </w:r>
      <w:r w:rsidR="00F67B5F">
        <w:rPr>
          <w:rFonts w:ascii="標楷體" w:eastAsia="標楷體" w:hAnsi="標楷體" w:hint="eastAsia"/>
          <w:bCs/>
          <w:color w:val="FF0000"/>
          <w:kern w:val="0"/>
          <w:highlight w:val="yellow"/>
        </w:rPr>
        <w:t>「</w:t>
      </w:r>
      <w:r w:rsidRPr="00212D57">
        <w:rPr>
          <w:rFonts w:eastAsia="標楷體"/>
          <w:szCs w:val="22"/>
        </w:rPr>
        <w:t>舊隨界</w:t>
      </w:r>
      <w:r w:rsidR="00F67B5F">
        <w:rPr>
          <w:rFonts w:ascii="標楷體" w:eastAsia="標楷體" w:hAnsi="標楷體" w:hint="eastAsia"/>
          <w:bCs/>
          <w:color w:val="FF0000"/>
          <w:kern w:val="0"/>
          <w:highlight w:val="yellow"/>
        </w:rPr>
        <w:t>」</w:t>
      </w:r>
      <w:r w:rsidRPr="00212D57">
        <w:rPr>
          <w:rFonts w:eastAsia="標楷體"/>
          <w:szCs w:val="22"/>
        </w:rPr>
        <w:t>。即諸有情相續展轉，能為因性。彼謂世尊契經中說</w:t>
      </w:r>
      <w:r w:rsidR="00F67B5F">
        <w:rPr>
          <w:rFonts w:ascii="標楷體" w:eastAsia="標楷體" w:hAnsi="標楷體" w:hint="eastAsia"/>
          <w:color w:val="FF0000"/>
          <w:spacing w:val="-4"/>
          <w:kern w:val="0"/>
          <w:highlight w:val="yellow"/>
        </w:rPr>
        <w:t>：</w:t>
      </w:r>
      <w:r w:rsidR="00F67B5F">
        <w:rPr>
          <w:rFonts w:ascii="標楷體" w:eastAsia="標楷體" w:hAnsi="標楷體" w:hint="eastAsia"/>
          <w:bCs/>
          <w:color w:val="FF0000"/>
          <w:kern w:val="0"/>
          <w:highlight w:val="yellow"/>
        </w:rPr>
        <w:t>「</w:t>
      </w:r>
      <w:r w:rsidRPr="00212D57">
        <w:rPr>
          <w:rFonts w:eastAsia="標楷體"/>
          <w:szCs w:val="22"/>
        </w:rPr>
        <w:t>應知如是補特伽羅善法隱沒、惡法出現，有隨俱行善根未斷；以未斷故，從此善根猶有可起餘善根義。</w:t>
      </w:r>
      <w:r w:rsidR="00F67B5F">
        <w:rPr>
          <w:rFonts w:ascii="標楷體" w:eastAsia="標楷體" w:hAnsi="標楷體" w:hint="eastAsia"/>
          <w:bCs/>
          <w:color w:val="FF0000"/>
          <w:kern w:val="0"/>
          <w:highlight w:val="yellow"/>
        </w:rPr>
        <w:t>」</w:t>
      </w:r>
      <w:r w:rsidR="00CD554C" w:rsidRPr="00CD554C">
        <w:rPr>
          <w:rFonts w:eastAsia="標楷體" w:hint="eastAsia"/>
          <w:color w:val="FF0000"/>
          <w:szCs w:val="22"/>
          <w:highlight w:val="yellow"/>
        </w:rPr>
        <w:t>「</w:t>
      </w:r>
      <w:r w:rsidRPr="00212D57">
        <w:rPr>
          <w:rFonts w:eastAsia="標楷體"/>
          <w:b/>
          <w:szCs w:val="22"/>
        </w:rPr>
        <w:t>隨俱善根</w:t>
      </w:r>
      <w:r w:rsidR="00CD554C" w:rsidRPr="00CD554C">
        <w:rPr>
          <w:rFonts w:eastAsia="標楷體" w:hint="eastAsia"/>
          <w:b/>
          <w:color w:val="FF0000"/>
          <w:szCs w:val="22"/>
          <w:highlight w:val="yellow"/>
        </w:rPr>
        <w:t>」</w:t>
      </w:r>
      <w:r w:rsidRPr="00212D57">
        <w:rPr>
          <w:rFonts w:eastAsia="標楷體"/>
          <w:b/>
          <w:szCs w:val="22"/>
        </w:rPr>
        <w:t>即</w:t>
      </w:r>
      <w:r w:rsidR="00CD554C">
        <w:rPr>
          <w:rFonts w:eastAsia="標楷體" w:hint="eastAsia"/>
          <w:color w:val="FF0000"/>
          <w:szCs w:val="22"/>
          <w:highlight w:val="yellow"/>
        </w:rPr>
        <w:t>「</w:t>
      </w:r>
      <w:r w:rsidRPr="00212D57">
        <w:rPr>
          <w:rFonts w:eastAsia="標楷體"/>
          <w:b/>
          <w:szCs w:val="22"/>
        </w:rPr>
        <w:t>舊隨界</w:t>
      </w:r>
      <w:r w:rsidR="00CD554C">
        <w:rPr>
          <w:rFonts w:eastAsia="標楷體" w:hint="eastAsia"/>
          <w:b/>
          <w:color w:val="FF0000"/>
          <w:szCs w:val="22"/>
          <w:highlight w:val="yellow"/>
        </w:rPr>
        <w:t>」</w:t>
      </w:r>
      <w:r w:rsidRPr="00212D57">
        <w:rPr>
          <w:rFonts w:eastAsia="標楷體"/>
          <w:szCs w:val="22"/>
        </w:rPr>
        <w:t>。相續展轉，能為因性</w:t>
      </w:r>
      <w:r w:rsidR="00F67B5F">
        <w:rPr>
          <w:rFonts w:eastAsia="標楷體" w:hint="eastAsia"/>
          <w:color w:val="FF0000"/>
          <w:szCs w:val="22"/>
          <w:highlight w:val="yellow"/>
        </w:rPr>
        <w:t>。</w:t>
      </w:r>
      <w:r w:rsidRPr="00212D57">
        <w:rPr>
          <w:rFonts w:eastAsia="標楷體"/>
          <w:szCs w:val="22"/>
        </w:rPr>
        <w:t>如斯等類</w:t>
      </w:r>
      <w:r w:rsidR="00F67B5F">
        <w:rPr>
          <w:rFonts w:ascii="標楷體" w:eastAsia="標楷體" w:hAnsi="標楷體" w:hint="eastAsia"/>
          <w:color w:val="FF0000"/>
          <w:kern w:val="0"/>
          <w:highlight w:val="yellow"/>
        </w:rPr>
        <w:t>，</w:t>
      </w:r>
      <w:r w:rsidRPr="00212D57">
        <w:rPr>
          <w:rFonts w:eastAsia="標楷體"/>
          <w:szCs w:val="22"/>
        </w:rPr>
        <w:t>說名</w:t>
      </w:r>
      <w:r w:rsidR="00F67B5F">
        <w:rPr>
          <w:rFonts w:ascii="標楷體" w:eastAsia="標楷體" w:hAnsi="標楷體" w:hint="eastAsia"/>
          <w:bCs/>
          <w:color w:val="FF0000"/>
          <w:kern w:val="0"/>
          <w:highlight w:val="yellow"/>
        </w:rPr>
        <w:t>「</w:t>
      </w:r>
      <w:r w:rsidRPr="00212D57">
        <w:rPr>
          <w:rFonts w:eastAsia="標楷體"/>
          <w:szCs w:val="22"/>
        </w:rPr>
        <w:t>因緣</w:t>
      </w:r>
      <w:r w:rsidR="00F67B5F">
        <w:rPr>
          <w:rFonts w:ascii="標楷體" w:eastAsia="標楷體" w:hAnsi="標楷體" w:hint="eastAsia"/>
          <w:bCs/>
          <w:color w:val="FF0000"/>
          <w:kern w:val="0"/>
          <w:highlight w:val="yellow"/>
        </w:rPr>
        <w:t>」</w:t>
      </w:r>
      <w:r w:rsidRPr="00212D57">
        <w:rPr>
          <w:rFonts w:eastAsia="標楷體"/>
          <w:szCs w:val="22"/>
        </w:rPr>
        <w:t>。此亦同前經主所執種子義破，此</w:t>
      </w:r>
      <w:r w:rsidR="00CD554C">
        <w:rPr>
          <w:rFonts w:eastAsia="標楷體" w:hint="eastAsia"/>
          <w:color w:val="FF0000"/>
          <w:szCs w:val="22"/>
          <w:highlight w:val="yellow"/>
        </w:rPr>
        <w:t>「</w:t>
      </w:r>
      <w:r w:rsidRPr="00212D57">
        <w:rPr>
          <w:rFonts w:eastAsia="標楷體"/>
          <w:b/>
          <w:szCs w:val="22"/>
        </w:rPr>
        <w:t>舊隨界</w:t>
      </w:r>
      <w:r w:rsidR="00CD554C">
        <w:rPr>
          <w:rFonts w:eastAsia="標楷體" w:hint="eastAsia"/>
          <w:b/>
          <w:color w:val="FF0000"/>
          <w:szCs w:val="22"/>
          <w:highlight w:val="yellow"/>
        </w:rPr>
        <w:t>」</w:t>
      </w:r>
      <w:r w:rsidRPr="00212D57">
        <w:rPr>
          <w:rFonts w:eastAsia="標楷體"/>
          <w:szCs w:val="22"/>
        </w:rPr>
        <w:t>即彼</w:t>
      </w:r>
      <w:r w:rsidR="00CD554C">
        <w:rPr>
          <w:rFonts w:eastAsia="標楷體" w:hint="eastAsia"/>
          <w:color w:val="FF0000"/>
          <w:szCs w:val="22"/>
          <w:highlight w:val="yellow"/>
        </w:rPr>
        <w:t>「</w:t>
      </w:r>
      <w:r w:rsidRPr="00212D57">
        <w:rPr>
          <w:rFonts w:eastAsia="標楷體"/>
          <w:b/>
          <w:szCs w:val="22"/>
        </w:rPr>
        <w:t>種子</w:t>
      </w:r>
      <w:r w:rsidR="00CD554C">
        <w:rPr>
          <w:rFonts w:eastAsia="標楷體" w:hint="eastAsia"/>
          <w:b/>
          <w:color w:val="FF0000"/>
          <w:szCs w:val="22"/>
          <w:highlight w:val="yellow"/>
        </w:rPr>
        <w:t>」</w:t>
      </w:r>
      <w:r w:rsidRPr="00212D57">
        <w:rPr>
          <w:rFonts w:eastAsia="標楷體"/>
          <w:szCs w:val="22"/>
        </w:rPr>
        <w:t>名差別故。</w:t>
      </w:r>
    </w:p>
    <w:p w:rsidR="00157EF6" w:rsidRPr="00212D57" w:rsidRDefault="00157EF6" w:rsidP="002B682F">
      <w:pPr>
        <w:pStyle w:val="a5"/>
        <w:ind w:leftChars="105" w:left="791" w:hangingChars="245" w:hanging="539"/>
        <w:jc w:val="both"/>
        <w:rPr>
          <w:rFonts w:eastAsia="SimSun"/>
          <w:szCs w:val="22"/>
        </w:rPr>
      </w:pPr>
      <w:r w:rsidRPr="00212D57">
        <w:rPr>
          <w:szCs w:val="22"/>
        </w:rPr>
        <w:t>（</w:t>
      </w:r>
      <w:r w:rsidRPr="00761EF3">
        <w:rPr>
          <w:szCs w:val="22"/>
        </w:rPr>
        <w:t>2</w:t>
      </w:r>
      <w:r w:rsidRPr="00212D57">
        <w:rPr>
          <w:szCs w:val="22"/>
        </w:rPr>
        <w:t>）印順法師，《唯識學探源》</w:t>
      </w:r>
      <w:r w:rsidRPr="00212D57">
        <w:rPr>
          <w:rFonts w:hint="eastAsia"/>
          <w:szCs w:val="22"/>
        </w:rPr>
        <w:t>，</w:t>
      </w:r>
      <w:r w:rsidRPr="00761EF3">
        <w:rPr>
          <w:szCs w:val="22"/>
        </w:rPr>
        <w:t>p</w:t>
      </w:r>
      <w:r w:rsidRPr="00212D57">
        <w:rPr>
          <w:szCs w:val="22"/>
        </w:rPr>
        <w:t>.</w:t>
      </w:r>
      <w:r w:rsidRPr="00761EF3">
        <w:rPr>
          <w:szCs w:val="22"/>
        </w:rPr>
        <w:t>170</w:t>
      </w:r>
      <w:r w:rsidRPr="00212D57">
        <w:rPr>
          <w:szCs w:val="22"/>
        </w:rPr>
        <w:t>：</w:t>
      </w:r>
    </w:p>
    <w:p w:rsidR="00157EF6" w:rsidRPr="00212D57" w:rsidRDefault="00157EF6" w:rsidP="002B682F">
      <w:pPr>
        <w:pStyle w:val="a5"/>
        <w:ind w:leftChars="335" w:left="804"/>
        <w:jc w:val="both"/>
        <w:rPr>
          <w:rFonts w:eastAsia="SimSun"/>
          <w:szCs w:val="22"/>
        </w:rPr>
      </w:pPr>
      <w:r w:rsidRPr="00212D57">
        <w:rPr>
          <w:rFonts w:eastAsia="標楷體"/>
          <w:b/>
          <w:szCs w:val="22"/>
        </w:rPr>
        <w:t>種子</w:t>
      </w:r>
      <w:r w:rsidRPr="00212D57">
        <w:rPr>
          <w:rFonts w:eastAsia="標楷體"/>
          <w:szCs w:val="22"/>
        </w:rPr>
        <w:t>的異名：在《順正理論》卷</w:t>
      </w:r>
      <w:r w:rsidR="00CD554C">
        <w:rPr>
          <w:rFonts w:eastAsia="標楷體" w:hint="eastAsia"/>
          <w:color w:val="FF0000"/>
          <w:szCs w:val="22"/>
          <w:highlight w:val="yellow"/>
        </w:rPr>
        <w:t>12</w:t>
      </w:r>
      <w:r w:rsidRPr="00212D57">
        <w:rPr>
          <w:rFonts w:eastAsia="標楷體"/>
          <w:szCs w:val="22"/>
        </w:rPr>
        <w:t>、卷</w:t>
      </w:r>
      <w:r w:rsidR="00CD554C" w:rsidRPr="00CD554C">
        <w:rPr>
          <w:rFonts w:eastAsia="標楷體" w:hint="eastAsia"/>
          <w:color w:val="FF0000"/>
          <w:szCs w:val="22"/>
          <w:highlight w:val="yellow"/>
        </w:rPr>
        <w:t>34</w:t>
      </w:r>
      <w:r w:rsidRPr="00212D57">
        <w:rPr>
          <w:rFonts w:eastAsia="標楷體"/>
          <w:szCs w:val="22"/>
        </w:rPr>
        <w:t>、卷</w:t>
      </w:r>
      <w:r w:rsidR="00CD554C" w:rsidRPr="00CD554C">
        <w:rPr>
          <w:rFonts w:eastAsia="標楷體" w:hint="eastAsia"/>
          <w:color w:val="FF0000"/>
          <w:szCs w:val="22"/>
          <w:highlight w:val="yellow"/>
        </w:rPr>
        <w:t>51</w:t>
      </w:r>
      <w:r w:rsidRPr="00212D57">
        <w:rPr>
          <w:rFonts w:eastAsia="標楷體"/>
          <w:szCs w:val="22"/>
        </w:rPr>
        <w:t>，說到諸師各取種子的某一點，而建立了種子、</w:t>
      </w:r>
      <w:r w:rsidRPr="00212D57">
        <w:rPr>
          <w:rFonts w:eastAsia="標楷體"/>
          <w:b/>
          <w:szCs w:val="22"/>
        </w:rPr>
        <w:t>隨界（舊隨界）</w:t>
      </w:r>
      <w:r w:rsidRPr="00212D57">
        <w:rPr>
          <w:rFonts w:eastAsia="標楷體"/>
          <w:szCs w:val="22"/>
        </w:rPr>
        <w:t>、增長、不失（不失法）、熏習（習氣）、功能、意行等種種不同的名字。</w:t>
      </w:r>
    </w:p>
    <w:p w:rsidR="00157EF6" w:rsidRPr="00212D57" w:rsidRDefault="00157EF6" w:rsidP="002B682F">
      <w:pPr>
        <w:pStyle w:val="a5"/>
        <w:ind w:leftChars="105" w:left="791" w:hangingChars="245" w:hanging="539"/>
        <w:jc w:val="both"/>
        <w:rPr>
          <w:rFonts w:eastAsia="SimSun"/>
          <w:szCs w:val="22"/>
        </w:rPr>
      </w:pPr>
      <w:r w:rsidRPr="00212D57">
        <w:rPr>
          <w:szCs w:val="22"/>
        </w:rPr>
        <w:t>（</w:t>
      </w:r>
      <w:r w:rsidRPr="00761EF3">
        <w:rPr>
          <w:szCs w:val="22"/>
        </w:rPr>
        <w:t>3</w:t>
      </w:r>
      <w:r w:rsidRPr="00212D57">
        <w:rPr>
          <w:szCs w:val="22"/>
        </w:rPr>
        <w:t>）印順法師，《唯識學探源》</w:t>
      </w:r>
      <w:r w:rsidRPr="00212D57">
        <w:rPr>
          <w:rFonts w:hint="eastAsia"/>
          <w:szCs w:val="22"/>
        </w:rPr>
        <w:t>，</w:t>
      </w:r>
      <w:r w:rsidRPr="00761EF3">
        <w:rPr>
          <w:szCs w:val="22"/>
        </w:rPr>
        <w:t>pp</w:t>
      </w:r>
      <w:r w:rsidRPr="00212D57">
        <w:rPr>
          <w:szCs w:val="22"/>
        </w:rPr>
        <w:t>.</w:t>
      </w:r>
      <w:r w:rsidRPr="00761EF3">
        <w:rPr>
          <w:szCs w:val="22"/>
        </w:rPr>
        <w:t>171</w:t>
      </w:r>
      <w:r w:rsidRPr="00212D57">
        <w:rPr>
          <w:szCs w:val="22"/>
        </w:rPr>
        <w:t>-</w:t>
      </w:r>
      <w:r w:rsidRPr="00761EF3">
        <w:rPr>
          <w:szCs w:val="22"/>
        </w:rPr>
        <w:t>173</w:t>
      </w:r>
      <w:r w:rsidRPr="00212D57">
        <w:rPr>
          <w:szCs w:val="22"/>
        </w:rPr>
        <w:t>：</w:t>
      </w:r>
    </w:p>
    <w:p w:rsidR="00157EF6" w:rsidRPr="00212D57" w:rsidRDefault="00157EF6" w:rsidP="002B682F">
      <w:pPr>
        <w:pStyle w:val="a5"/>
        <w:ind w:leftChars="335" w:left="804"/>
        <w:jc w:val="both"/>
        <w:rPr>
          <w:rFonts w:eastAsia="SimSun"/>
          <w:szCs w:val="22"/>
        </w:rPr>
      </w:pPr>
      <w:r w:rsidRPr="00212D57">
        <w:rPr>
          <w:rFonts w:eastAsia="標楷體"/>
          <w:szCs w:val="22"/>
        </w:rPr>
        <w:t>最有意義的，</w:t>
      </w:r>
      <w:bookmarkStart w:id="83" w:name="OLE_LINK2"/>
      <w:bookmarkStart w:id="84" w:name="OLE_LINK3"/>
      <w:r w:rsidRPr="00212D57">
        <w:rPr>
          <w:rFonts w:eastAsia="標楷體"/>
          <w:szCs w:val="22"/>
        </w:rPr>
        <w:t>要算上座的</w:t>
      </w:r>
      <w:r w:rsidRPr="00212D57">
        <w:rPr>
          <w:rFonts w:eastAsia="標楷體"/>
          <w:b/>
          <w:szCs w:val="22"/>
        </w:rPr>
        <w:t>舊隨界</w:t>
      </w:r>
      <w:bookmarkEnd w:id="83"/>
      <w:bookmarkEnd w:id="84"/>
      <w:r w:rsidRPr="00212D57">
        <w:rPr>
          <w:rFonts w:eastAsia="標楷體"/>
          <w:szCs w:val="22"/>
        </w:rPr>
        <w:t>。眾賢雖批評它：「又隨界言，非聖教說，但上座等擅立此名」</w:t>
      </w:r>
      <w:r w:rsidRPr="00CD554C">
        <w:rPr>
          <w:rFonts w:eastAsia="標楷體"/>
          <w:szCs w:val="22"/>
        </w:rPr>
        <w:t>（見《順正理論》卷</w:t>
      </w:r>
      <w:r w:rsidRPr="00CD554C">
        <w:rPr>
          <w:rFonts w:eastAsia="標楷體" w:hint="eastAsia"/>
          <w:szCs w:val="22"/>
        </w:rPr>
        <w:t>18</w:t>
      </w:r>
      <w:r w:rsidRPr="00CD554C">
        <w:rPr>
          <w:rFonts w:eastAsia="標楷體" w:hint="eastAsia"/>
          <w:szCs w:val="22"/>
          <w:shd w:val="pct15" w:color="auto" w:fill="FFFFFF"/>
        </w:rPr>
        <w:t>（</w:t>
      </w:r>
      <w:r w:rsidRPr="00CD554C">
        <w:rPr>
          <w:rFonts w:eastAsia="細明體"/>
          <w:szCs w:val="22"/>
          <w:shd w:val="pct15" w:color="auto" w:fill="FFFFFF"/>
        </w:rPr>
        <w:t>大正</w:t>
      </w:r>
      <w:r w:rsidRPr="00CD554C">
        <w:rPr>
          <w:rFonts w:eastAsia="細明體"/>
          <w:szCs w:val="22"/>
          <w:shd w:val="pct15" w:color="auto" w:fill="FFFFFF"/>
        </w:rPr>
        <w:t>29</w:t>
      </w:r>
      <w:r w:rsidRPr="00CD554C">
        <w:rPr>
          <w:rFonts w:eastAsia="細明體"/>
          <w:szCs w:val="22"/>
          <w:shd w:val="pct15" w:color="auto" w:fill="FFFFFF"/>
        </w:rPr>
        <w:t>，</w:t>
      </w:r>
      <w:r w:rsidRPr="00CD554C">
        <w:rPr>
          <w:rFonts w:eastAsia="細明體"/>
          <w:szCs w:val="22"/>
          <w:shd w:val="pct15" w:color="auto" w:fill="FFFFFF"/>
        </w:rPr>
        <w:t>440b28-29</w:t>
      </w:r>
      <w:r w:rsidRPr="00CD554C">
        <w:rPr>
          <w:rFonts w:ascii="SimSun" w:eastAsia="SimSun" w:hAnsi="SimSun" w:hint="eastAsia"/>
          <w:szCs w:val="22"/>
          <w:shd w:val="pct15" w:color="auto" w:fill="FFFFFF"/>
        </w:rPr>
        <w:t>）</w:t>
      </w:r>
      <w:r w:rsidRPr="00CD554C">
        <w:rPr>
          <w:rFonts w:ascii="SimSun" w:hAnsi="SimSun" w:hint="eastAsia"/>
          <w:szCs w:val="22"/>
        </w:rPr>
        <w:t>）</w:t>
      </w:r>
      <w:r w:rsidRPr="00212D57">
        <w:rPr>
          <w:rFonts w:eastAsia="標楷體"/>
          <w:szCs w:val="22"/>
        </w:rPr>
        <w:t>；但它的含義，比種子要豐富得多。</w:t>
      </w:r>
    </w:p>
    <w:p w:rsidR="00157EF6" w:rsidRPr="00212D57" w:rsidRDefault="00157EF6" w:rsidP="002B682F">
      <w:pPr>
        <w:pStyle w:val="a5"/>
        <w:ind w:leftChars="335" w:left="804"/>
        <w:jc w:val="both"/>
        <w:rPr>
          <w:rFonts w:eastAsia="細明體"/>
          <w:szCs w:val="22"/>
        </w:rPr>
      </w:pPr>
      <w:r w:rsidRPr="00212D57">
        <w:rPr>
          <w:rFonts w:eastAsia="標楷體"/>
          <w:szCs w:val="22"/>
        </w:rPr>
        <w:t>「</w:t>
      </w:r>
      <w:r w:rsidRPr="00212D57">
        <w:rPr>
          <w:rFonts w:eastAsia="標楷體"/>
          <w:b/>
          <w:szCs w:val="22"/>
        </w:rPr>
        <w:t>舊</w:t>
      </w:r>
      <w:r w:rsidRPr="00212D57">
        <w:rPr>
          <w:rFonts w:eastAsia="標楷體"/>
          <w:szCs w:val="22"/>
        </w:rPr>
        <w:t>」，表示這引生後果的功能性，不是生果時新起的。但這是說久久熏習展轉傳來，不像本有論者的本有（《演祕》卷</w:t>
      </w:r>
      <w:r w:rsidRPr="00761EF3">
        <w:rPr>
          <w:rFonts w:eastAsia="標楷體" w:hint="eastAsia"/>
          <w:szCs w:val="22"/>
        </w:rPr>
        <w:t>3</w:t>
      </w:r>
      <w:r w:rsidRPr="00212D57">
        <w:rPr>
          <w:rFonts w:eastAsia="標楷體"/>
          <w:szCs w:val="22"/>
        </w:rPr>
        <w:t>，說是「新舊師別，名舊隨界」</w:t>
      </w:r>
      <w:r w:rsidRPr="00CD554C">
        <w:rPr>
          <w:rFonts w:eastAsia="細明體"/>
          <w:szCs w:val="22"/>
          <w:shd w:val="pct15" w:color="auto" w:fill="FFFFFF"/>
        </w:rPr>
        <w:t>（大正</w:t>
      </w:r>
      <w:r w:rsidRPr="00CD554C">
        <w:rPr>
          <w:rFonts w:eastAsia="細明體"/>
          <w:szCs w:val="22"/>
          <w:shd w:val="pct15" w:color="auto" w:fill="FFFFFF"/>
        </w:rPr>
        <w:t>43</w:t>
      </w:r>
      <w:r w:rsidRPr="00CD554C">
        <w:rPr>
          <w:rFonts w:eastAsia="細明體"/>
          <w:szCs w:val="22"/>
          <w:shd w:val="pct15" w:color="auto" w:fill="FFFFFF"/>
        </w:rPr>
        <w:t>，</w:t>
      </w:r>
      <w:r w:rsidRPr="00CD554C">
        <w:rPr>
          <w:rFonts w:eastAsia="細明體"/>
          <w:szCs w:val="22"/>
          <w:shd w:val="pct15" w:color="auto" w:fill="FFFFFF"/>
        </w:rPr>
        <w:t>880b14-15</w:t>
      </w:r>
      <w:r w:rsidRPr="00CD554C">
        <w:rPr>
          <w:rFonts w:eastAsia="細明體"/>
          <w:szCs w:val="22"/>
          <w:shd w:val="pct15" w:color="auto" w:fill="FFFFFF"/>
        </w:rPr>
        <w:t>）</w:t>
      </w:r>
      <w:r w:rsidRPr="00212D57">
        <w:rPr>
          <w:rFonts w:eastAsia="標楷體"/>
          <w:szCs w:val="22"/>
        </w:rPr>
        <w:t>，不免望文生義）。</w:t>
      </w:r>
    </w:p>
    <w:p w:rsidR="00157EF6" w:rsidRPr="00212D57" w:rsidRDefault="00157EF6" w:rsidP="002B682F">
      <w:pPr>
        <w:pStyle w:val="a5"/>
        <w:ind w:leftChars="335" w:left="804"/>
        <w:jc w:val="both"/>
        <w:rPr>
          <w:rFonts w:eastAsia="標楷體"/>
          <w:szCs w:val="22"/>
        </w:rPr>
      </w:pPr>
      <w:r w:rsidRPr="00212D57">
        <w:rPr>
          <w:rFonts w:eastAsia="標楷體"/>
          <w:szCs w:val="22"/>
        </w:rPr>
        <w:t>「</w:t>
      </w:r>
      <w:r w:rsidRPr="00212D57">
        <w:rPr>
          <w:rFonts w:eastAsia="標楷體"/>
          <w:b/>
          <w:szCs w:val="22"/>
        </w:rPr>
        <w:t>隨</w:t>
      </w:r>
      <w:r w:rsidRPr="00212D57">
        <w:rPr>
          <w:rFonts w:eastAsia="標楷體"/>
          <w:szCs w:val="22"/>
        </w:rPr>
        <w:t>」呢，它引經證說（見《順正理論》</w:t>
      </w:r>
      <w:r w:rsidRPr="00212D57">
        <w:rPr>
          <w:rFonts w:eastAsia="標楷體" w:hint="eastAsia"/>
          <w:szCs w:val="22"/>
        </w:rPr>
        <w:t>卷</w:t>
      </w:r>
      <w:r w:rsidRPr="00761EF3">
        <w:rPr>
          <w:rFonts w:eastAsia="標楷體" w:hint="eastAsia"/>
          <w:szCs w:val="22"/>
        </w:rPr>
        <w:t>18</w:t>
      </w:r>
      <w:r w:rsidR="00CD554C" w:rsidRPr="00CD554C">
        <w:rPr>
          <w:rFonts w:eastAsia="細明體"/>
          <w:szCs w:val="22"/>
          <w:shd w:val="pct15" w:color="auto" w:fill="FFFFFF"/>
        </w:rPr>
        <w:t>（大正</w:t>
      </w:r>
      <w:r w:rsidR="00CD554C" w:rsidRPr="00CD554C">
        <w:rPr>
          <w:rFonts w:eastAsia="細明體"/>
          <w:szCs w:val="22"/>
          <w:shd w:val="pct15" w:color="auto" w:fill="FFFFFF"/>
        </w:rPr>
        <w:t>29</w:t>
      </w:r>
      <w:r w:rsidR="00CD554C" w:rsidRPr="00CD554C">
        <w:rPr>
          <w:rFonts w:eastAsia="細明體"/>
          <w:szCs w:val="22"/>
          <w:shd w:val="pct15" w:color="auto" w:fill="FFFFFF"/>
        </w:rPr>
        <w:t>，</w:t>
      </w:r>
      <w:r w:rsidR="00CD554C" w:rsidRPr="00CD554C">
        <w:rPr>
          <w:rFonts w:eastAsia="細明體"/>
          <w:szCs w:val="22"/>
          <w:shd w:val="pct15" w:color="auto" w:fill="FFFFFF"/>
        </w:rPr>
        <w:t>440b5-6</w:t>
      </w:r>
      <w:r w:rsidR="00CD554C" w:rsidRPr="00CD554C">
        <w:rPr>
          <w:rFonts w:eastAsia="細明體"/>
          <w:szCs w:val="22"/>
          <w:shd w:val="pct15" w:color="auto" w:fill="FFFFFF"/>
        </w:rPr>
        <w:t>）</w:t>
      </w:r>
      <w:r w:rsidRPr="00212D57">
        <w:rPr>
          <w:rFonts w:eastAsia="細明體" w:hint="eastAsia"/>
          <w:szCs w:val="22"/>
        </w:rPr>
        <w:t>）</w:t>
      </w:r>
      <w:r w:rsidRPr="00212D57">
        <w:rPr>
          <w:rFonts w:eastAsia="細明體"/>
          <w:szCs w:val="22"/>
        </w:rPr>
        <w:t>：「</w:t>
      </w:r>
      <w:r w:rsidRPr="00212D57">
        <w:rPr>
          <w:rFonts w:eastAsia="標楷體"/>
          <w:szCs w:val="22"/>
        </w:rPr>
        <w:t>如是補特伽羅，善法隱沒，惡法出現，有隨俱行善根未斷</w:t>
      </w:r>
      <w:r w:rsidRPr="00212D57">
        <w:rPr>
          <w:rFonts w:eastAsia="標楷體" w:hint="eastAsia"/>
          <w:szCs w:val="22"/>
        </w:rPr>
        <w:t>。</w:t>
      </w:r>
      <w:r w:rsidRPr="00212D57">
        <w:rPr>
          <w:rFonts w:eastAsia="標楷體"/>
          <w:szCs w:val="22"/>
        </w:rPr>
        <w:t>」</w:t>
      </w:r>
    </w:p>
    <w:p w:rsidR="00157EF6" w:rsidRPr="00212D57" w:rsidRDefault="00157EF6" w:rsidP="002B682F">
      <w:pPr>
        <w:pStyle w:val="a5"/>
        <w:ind w:leftChars="335" w:left="804"/>
        <w:jc w:val="both"/>
        <w:rPr>
          <w:rFonts w:eastAsia="SimSun"/>
          <w:szCs w:val="22"/>
        </w:rPr>
      </w:pPr>
      <w:r w:rsidRPr="00212D57">
        <w:rPr>
          <w:rFonts w:eastAsia="標楷體"/>
          <w:szCs w:val="22"/>
        </w:rPr>
        <w:t>這正與隨眠的隨相同，都是潛在而隨逐的。善心現行時，可以有欲貪等的隨眠；惡法出現時，也有隨俱行的善根。</w:t>
      </w:r>
    </w:p>
    <w:p w:rsidR="00157EF6" w:rsidRPr="00212D57" w:rsidRDefault="00157EF6" w:rsidP="002B682F">
      <w:pPr>
        <w:pStyle w:val="a5"/>
        <w:ind w:leftChars="335" w:left="804"/>
        <w:jc w:val="both"/>
        <w:rPr>
          <w:rFonts w:eastAsia="細明體"/>
          <w:szCs w:val="22"/>
        </w:rPr>
      </w:pPr>
      <w:r w:rsidRPr="00212D57">
        <w:rPr>
          <w:rFonts w:eastAsia="標楷體"/>
          <w:szCs w:val="22"/>
        </w:rPr>
        <w:t>「</w:t>
      </w:r>
      <w:r w:rsidRPr="00212D57">
        <w:rPr>
          <w:rFonts w:eastAsia="標楷體"/>
          <w:b/>
          <w:szCs w:val="22"/>
        </w:rPr>
        <w:t>界</w:t>
      </w:r>
      <w:r w:rsidRPr="00212D57">
        <w:rPr>
          <w:rFonts w:eastAsia="標楷體"/>
          <w:szCs w:val="22"/>
        </w:rPr>
        <w:t>」，才是正面說明這能生後果的功能性。界，在佛經上，有重要的地位，像十八界、六界。《雜阿含經》有〈界誦〉；《中阿含》有〈多界經〉；十力中有種種界智力。界是什麼意義？《俱舍》、《順正理論》，都解說做「種族」、「種類」。《俱舍論》（卷</w:t>
      </w:r>
      <w:r w:rsidRPr="00761EF3">
        <w:rPr>
          <w:rFonts w:eastAsia="標楷體" w:hint="eastAsia"/>
          <w:szCs w:val="22"/>
        </w:rPr>
        <w:t>1</w:t>
      </w:r>
      <w:r w:rsidRPr="00212D57">
        <w:rPr>
          <w:rFonts w:eastAsia="標楷體"/>
          <w:szCs w:val="22"/>
        </w:rPr>
        <w:t>）</w:t>
      </w:r>
      <w:r w:rsidR="00CD554C" w:rsidRPr="00CD554C">
        <w:rPr>
          <w:rFonts w:eastAsia="細明體"/>
          <w:szCs w:val="22"/>
          <w:shd w:val="pct15" w:color="auto" w:fill="FFFFFF"/>
        </w:rPr>
        <w:t>（大正</w:t>
      </w:r>
      <w:r w:rsidR="00CD554C" w:rsidRPr="00CD554C">
        <w:rPr>
          <w:rFonts w:eastAsia="細明體"/>
          <w:szCs w:val="22"/>
          <w:shd w:val="pct15" w:color="auto" w:fill="FFFFFF"/>
        </w:rPr>
        <w:t>29</w:t>
      </w:r>
      <w:r w:rsidR="00CD554C" w:rsidRPr="00CD554C">
        <w:rPr>
          <w:rFonts w:eastAsia="細明體"/>
          <w:szCs w:val="22"/>
          <w:shd w:val="pct15" w:color="auto" w:fill="FFFFFF"/>
        </w:rPr>
        <w:t>，</w:t>
      </w:r>
      <w:r w:rsidR="00CD554C" w:rsidRPr="00CD554C">
        <w:rPr>
          <w:rFonts w:eastAsia="細明體"/>
          <w:szCs w:val="22"/>
          <w:shd w:val="pct15" w:color="auto" w:fill="FFFFFF"/>
        </w:rPr>
        <w:t>5a4-7</w:t>
      </w:r>
      <w:r w:rsidR="00CD554C" w:rsidRPr="00CD554C">
        <w:rPr>
          <w:rFonts w:eastAsia="細明體"/>
          <w:szCs w:val="22"/>
          <w:shd w:val="pct15" w:color="auto" w:fill="FFFFFF"/>
        </w:rPr>
        <w:t>）</w:t>
      </w:r>
      <w:r w:rsidRPr="00212D57">
        <w:rPr>
          <w:rFonts w:eastAsia="標楷體"/>
          <w:szCs w:val="22"/>
        </w:rPr>
        <w:t>說：「如一山中有多銅鐵金銀等族，說名多界。如是一身或一相續，有十八類諸法種族，名十八界。此中種族，是生本義</w:t>
      </w:r>
      <w:r w:rsidRPr="00212D57">
        <w:rPr>
          <w:rFonts w:eastAsia="細明體"/>
          <w:szCs w:val="22"/>
        </w:rPr>
        <w:t>。</w:t>
      </w:r>
      <w:r w:rsidRPr="00212D57">
        <w:rPr>
          <w:rFonts w:eastAsia="標楷體"/>
          <w:szCs w:val="22"/>
        </w:rPr>
        <w:t>」</w:t>
      </w:r>
    </w:p>
    <w:p w:rsidR="00157EF6" w:rsidRPr="00212D57" w:rsidRDefault="00157EF6" w:rsidP="002B682F">
      <w:pPr>
        <w:pStyle w:val="a5"/>
        <w:ind w:leftChars="335" w:left="804"/>
        <w:jc w:val="both"/>
        <w:rPr>
          <w:rFonts w:eastAsia="標楷體"/>
          <w:szCs w:val="22"/>
        </w:rPr>
      </w:pPr>
      <w:r w:rsidRPr="00212D57">
        <w:rPr>
          <w:rFonts w:eastAsia="標楷體"/>
          <w:szCs w:val="22"/>
        </w:rPr>
        <w:t>界是</w:t>
      </w:r>
      <w:r w:rsidRPr="00212D57">
        <w:rPr>
          <w:rFonts w:eastAsia="標楷體"/>
          <w:b/>
          <w:szCs w:val="22"/>
        </w:rPr>
        <w:t>生本義</w:t>
      </w:r>
      <w:r w:rsidRPr="00212D57">
        <w:rPr>
          <w:rFonts w:eastAsia="標楷體"/>
          <w:szCs w:val="22"/>
        </w:rPr>
        <w:t>，也就是</w:t>
      </w:r>
      <w:r w:rsidRPr="00212D57">
        <w:rPr>
          <w:rFonts w:eastAsia="標楷體"/>
          <w:b/>
          <w:szCs w:val="22"/>
        </w:rPr>
        <w:t>因義</w:t>
      </w:r>
      <w:r w:rsidRPr="00212D57">
        <w:rPr>
          <w:rFonts w:eastAsia="標楷體"/>
          <w:szCs w:val="22"/>
        </w:rPr>
        <w:t>，本是佛教界共有的解說。</w:t>
      </w:r>
      <w:r w:rsidRPr="00212D57">
        <w:rPr>
          <w:rFonts w:eastAsia="標楷體"/>
          <w:b/>
          <w:szCs w:val="22"/>
        </w:rPr>
        <w:t>上座他們就把熏習所成，能生後果的因性叫做界</w:t>
      </w:r>
      <w:r w:rsidRPr="00212D57">
        <w:rPr>
          <w:rFonts w:eastAsia="標楷體"/>
          <w:szCs w:val="22"/>
        </w:rPr>
        <w:t>。</w:t>
      </w:r>
    </w:p>
    <w:p w:rsidR="00157EF6" w:rsidRPr="00212D57" w:rsidRDefault="00157EF6" w:rsidP="002B682F">
      <w:pPr>
        <w:pStyle w:val="a5"/>
        <w:ind w:leftChars="335" w:left="804"/>
        <w:jc w:val="both"/>
        <w:rPr>
          <w:rFonts w:eastAsia="標楷體"/>
          <w:szCs w:val="22"/>
        </w:rPr>
      </w:pPr>
      <w:r w:rsidRPr="00212D57">
        <w:rPr>
          <w:rFonts w:eastAsia="標楷體"/>
          <w:szCs w:val="22"/>
        </w:rPr>
        <w:t>又像《順正理論》（卷</w:t>
      </w:r>
      <w:r w:rsidRPr="00761EF3">
        <w:rPr>
          <w:rFonts w:eastAsia="標楷體" w:hint="eastAsia"/>
          <w:szCs w:val="22"/>
        </w:rPr>
        <w:t>75</w:t>
      </w:r>
      <w:r w:rsidRPr="00212D57">
        <w:rPr>
          <w:rFonts w:eastAsia="標楷體"/>
          <w:szCs w:val="22"/>
        </w:rPr>
        <w:t>）</w:t>
      </w:r>
      <w:r w:rsidR="00CD554C" w:rsidRPr="00CD554C">
        <w:rPr>
          <w:rFonts w:eastAsia="細明體"/>
          <w:szCs w:val="22"/>
          <w:shd w:val="pct15" w:color="auto" w:fill="FFFFFF"/>
        </w:rPr>
        <w:t>（大正</w:t>
      </w:r>
      <w:r w:rsidR="00CD554C" w:rsidRPr="00CD554C">
        <w:rPr>
          <w:rFonts w:eastAsia="細明體"/>
          <w:szCs w:val="22"/>
          <w:shd w:val="pct15" w:color="auto" w:fill="FFFFFF"/>
        </w:rPr>
        <w:t>29</w:t>
      </w:r>
      <w:r w:rsidR="00CD554C" w:rsidRPr="00CD554C">
        <w:rPr>
          <w:rFonts w:eastAsia="細明體"/>
          <w:szCs w:val="22"/>
          <w:shd w:val="pct15" w:color="auto" w:fill="FFFFFF"/>
        </w:rPr>
        <w:t>，</w:t>
      </w:r>
      <w:r w:rsidR="00CD554C" w:rsidRPr="00CD554C">
        <w:rPr>
          <w:rFonts w:eastAsia="細明體"/>
          <w:szCs w:val="22"/>
          <w:shd w:val="pct15" w:color="auto" w:fill="FFFFFF"/>
        </w:rPr>
        <w:t>747b3-5</w:t>
      </w:r>
      <w:r w:rsidR="00CD554C" w:rsidRPr="00CD554C">
        <w:rPr>
          <w:rFonts w:eastAsia="細明體"/>
          <w:szCs w:val="22"/>
          <w:shd w:val="pct15" w:color="auto" w:fill="FFFFFF"/>
        </w:rPr>
        <w:t>）</w:t>
      </w:r>
      <w:r w:rsidRPr="00212D57">
        <w:rPr>
          <w:rFonts w:eastAsia="標楷體"/>
          <w:szCs w:val="22"/>
        </w:rPr>
        <w:t>說：「若如實知諸有情類前際無始數習所成志性、隨眠，及諸法性種種差別，無罣礙智，名種種界智力</w:t>
      </w:r>
      <w:r w:rsidRPr="00212D57">
        <w:rPr>
          <w:rFonts w:eastAsia="標楷體" w:hint="eastAsia"/>
          <w:szCs w:val="22"/>
        </w:rPr>
        <w:t>。</w:t>
      </w:r>
      <w:r w:rsidRPr="00212D57">
        <w:rPr>
          <w:rFonts w:eastAsia="標楷體"/>
          <w:szCs w:val="22"/>
        </w:rPr>
        <w:t>」</w:t>
      </w:r>
    </w:p>
    <w:p w:rsidR="00157EF6" w:rsidRPr="00212D57" w:rsidRDefault="00157EF6" w:rsidP="002B682F">
      <w:pPr>
        <w:pStyle w:val="a5"/>
        <w:ind w:leftChars="335" w:left="804"/>
        <w:jc w:val="both"/>
        <w:rPr>
          <w:rFonts w:eastAsia="SimSun"/>
          <w:szCs w:val="22"/>
        </w:rPr>
      </w:pPr>
      <w:r w:rsidRPr="00212D57">
        <w:rPr>
          <w:rFonts w:eastAsia="標楷體"/>
          <w:szCs w:val="22"/>
        </w:rPr>
        <w:t>這</w:t>
      </w:r>
      <w:r w:rsidRPr="00212D57">
        <w:rPr>
          <w:rFonts w:eastAsia="標楷體"/>
          <w:b/>
          <w:szCs w:val="22"/>
        </w:rPr>
        <w:t>志性、隨眠、法性，是界的異名</w:t>
      </w:r>
      <w:r w:rsidRPr="00212D57">
        <w:rPr>
          <w:rFonts w:eastAsia="標楷體"/>
          <w:szCs w:val="22"/>
        </w:rPr>
        <w:t>，是一切眾生無始以來數習所成的。《順正理論》主的目的，雖在說它的種種差別，但</w:t>
      </w:r>
      <w:r w:rsidRPr="00212D57">
        <w:rPr>
          <w:rFonts w:eastAsia="標楷體"/>
          <w:b/>
          <w:szCs w:val="22"/>
        </w:rPr>
        <w:t>界有無始以來數習而成的意義</w:t>
      </w:r>
      <w:r w:rsidRPr="00212D57">
        <w:rPr>
          <w:rFonts w:eastAsia="標楷體"/>
          <w:szCs w:val="22"/>
        </w:rPr>
        <w:t>，也是有部共許的。</w:t>
      </w:r>
    </w:p>
    <w:p w:rsidR="00157EF6" w:rsidRPr="00212D57" w:rsidRDefault="00157EF6" w:rsidP="002B682F">
      <w:pPr>
        <w:pStyle w:val="a5"/>
        <w:ind w:leftChars="335" w:left="804"/>
        <w:jc w:val="both"/>
        <w:rPr>
          <w:rFonts w:eastAsia="標楷體"/>
          <w:szCs w:val="22"/>
        </w:rPr>
      </w:pPr>
      <w:r w:rsidRPr="00212D57">
        <w:rPr>
          <w:rFonts w:eastAsia="標楷體"/>
          <w:szCs w:val="22"/>
        </w:rPr>
        <w:t>依唯識學的見地來說，這舊隨界與「無始以來界」有關。界是各各類別的，又是能生自果的，與礦「藏」有相同的意義。</w:t>
      </w:r>
      <w:r w:rsidRPr="00212D57">
        <w:rPr>
          <w:rFonts w:eastAsia="標楷體"/>
          <w:b/>
          <w:szCs w:val="22"/>
        </w:rPr>
        <w:t>簡單說，界是種義；分析起來，就有能生，與類別共聚的意義。</w:t>
      </w:r>
      <w:r w:rsidRPr="00212D57">
        <w:rPr>
          <w:rFonts w:eastAsia="標楷體"/>
          <w:szCs w:val="22"/>
        </w:rPr>
        <w:t>把它與「舊」、「隨」總合起來，確乎能表達種子說各方面的性質。</w:t>
      </w:r>
    </w:p>
  </w:footnote>
  <w:footnote w:id="348">
    <w:p w:rsidR="00157EF6" w:rsidRPr="00212D57" w:rsidRDefault="00157EF6" w:rsidP="002B682F">
      <w:pPr>
        <w:pStyle w:val="a5"/>
        <w:spacing w:line="0" w:lineRule="atLeast"/>
        <w:ind w:left="792" w:hangingChars="360" w:hanging="792"/>
        <w:jc w:val="both"/>
        <w:rPr>
          <w:rFonts w:eastAsia="細明體"/>
          <w:szCs w:val="22"/>
        </w:rPr>
      </w:pPr>
      <w:r w:rsidRPr="00212D57">
        <w:rPr>
          <w:rStyle w:val="a6"/>
          <w:szCs w:val="22"/>
        </w:rPr>
        <w:footnoteRef/>
      </w:r>
      <w:r w:rsidRPr="00212D57">
        <w:rPr>
          <w:rFonts w:eastAsia="SimSun"/>
          <w:szCs w:val="22"/>
        </w:rPr>
        <w:t xml:space="preserve"> </w:t>
      </w:r>
      <w:r w:rsidRPr="00212D57">
        <w:rPr>
          <w:rFonts w:eastAsia="細明體"/>
          <w:szCs w:val="22"/>
        </w:rPr>
        <w:t>印順</w:t>
      </w:r>
      <w:r w:rsidRPr="00212D57">
        <w:rPr>
          <w:szCs w:val="22"/>
        </w:rPr>
        <w:t>法師</w:t>
      </w:r>
      <w:r w:rsidRPr="00212D57">
        <w:rPr>
          <w:rFonts w:eastAsia="細明體"/>
          <w:szCs w:val="22"/>
        </w:rPr>
        <w:t>，</w:t>
      </w:r>
      <w:r w:rsidRPr="00212D57">
        <w:rPr>
          <w:rFonts w:eastAsia="細明體" w:hint="eastAsia"/>
          <w:szCs w:val="22"/>
        </w:rPr>
        <w:t>《中觀今論》，</w:t>
      </w:r>
      <w:r w:rsidRPr="00761EF3">
        <w:rPr>
          <w:rFonts w:eastAsia="細明體" w:hint="eastAsia"/>
          <w:szCs w:val="22"/>
        </w:rPr>
        <w:t>pp</w:t>
      </w:r>
      <w:r w:rsidRPr="00212D57">
        <w:rPr>
          <w:rFonts w:eastAsia="細明體" w:hint="eastAsia"/>
          <w:szCs w:val="22"/>
        </w:rPr>
        <w:t>.</w:t>
      </w:r>
      <w:r w:rsidRPr="00761EF3">
        <w:rPr>
          <w:rFonts w:eastAsia="細明體" w:hint="eastAsia"/>
          <w:szCs w:val="22"/>
        </w:rPr>
        <w:t>168</w:t>
      </w:r>
      <w:r w:rsidRPr="00212D57">
        <w:rPr>
          <w:rFonts w:eastAsia="細明體" w:hint="eastAsia"/>
          <w:szCs w:val="22"/>
        </w:rPr>
        <w:t>-</w:t>
      </w:r>
      <w:r w:rsidRPr="00761EF3">
        <w:rPr>
          <w:rFonts w:eastAsia="細明體" w:hint="eastAsia"/>
          <w:szCs w:val="22"/>
        </w:rPr>
        <w:t>170</w:t>
      </w:r>
      <w:r w:rsidRPr="00212D57">
        <w:rPr>
          <w:rFonts w:eastAsia="細明體" w:hint="eastAsia"/>
          <w:szCs w:val="22"/>
        </w:rPr>
        <w:t>：</w:t>
      </w:r>
    </w:p>
    <w:p w:rsidR="00157EF6" w:rsidRPr="00212D57" w:rsidRDefault="00157EF6" w:rsidP="002B682F">
      <w:pPr>
        <w:snapToGrid w:val="0"/>
        <w:ind w:leftChars="105" w:left="252"/>
        <w:jc w:val="both"/>
        <w:rPr>
          <w:rFonts w:ascii="標楷體" w:eastAsia="標楷體" w:hAnsi="標楷體"/>
          <w:sz w:val="22"/>
          <w:szCs w:val="22"/>
        </w:rPr>
      </w:pPr>
      <w:r w:rsidRPr="00212D57">
        <w:rPr>
          <w:rFonts w:ascii="標楷體" w:eastAsia="標楷體" w:hAnsi="標楷體" w:hint="eastAsia"/>
          <w:sz w:val="22"/>
          <w:szCs w:val="22"/>
        </w:rPr>
        <w:t>在《阿含經》裏，界是種類的意思，一類一類的法，即是一界一界的。種類，可從兩方面說：如眼界，凡具有眼之特性的，皆眼界攝，由此義可類括一切眼。又從眼界異於其他的耳界等，可顯示眼界的特殊。所以界義，一在表明類性，一在顯示別性。約此意義，《阿含經》中說有無量無邊的界，如三界、四界、六界、十八界等。細究界字的意義，即是一類一類的，各自同其所同，異其所異的。從世間的現象說，世間實可以分成無量無邊的界。</w:t>
      </w:r>
    </w:p>
    <w:p w:rsidR="00157EF6" w:rsidRPr="00212D57" w:rsidRDefault="00157EF6" w:rsidP="002B682F">
      <w:pPr>
        <w:snapToGrid w:val="0"/>
        <w:ind w:leftChars="105" w:left="252"/>
        <w:jc w:val="both"/>
        <w:rPr>
          <w:rFonts w:ascii="標楷體" w:eastAsia="標楷體" w:hAnsi="標楷體"/>
          <w:sz w:val="22"/>
          <w:szCs w:val="22"/>
        </w:rPr>
      </w:pPr>
      <w:r w:rsidRPr="00212D57">
        <w:rPr>
          <w:rFonts w:ascii="標楷體" w:eastAsia="標楷體" w:hAnsi="標楷體" w:hint="eastAsia"/>
          <w:b/>
          <w:sz w:val="22"/>
          <w:szCs w:val="22"/>
        </w:rPr>
        <w:t>西北印度的一切有部，偏重於此（阿毘達磨以</w:t>
      </w:r>
      <w:r w:rsidR="00A63E1B" w:rsidRPr="00A63E1B">
        <w:rPr>
          <w:rFonts w:ascii="標楷體" w:eastAsia="標楷體" w:hAnsi="標楷體" w:hint="eastAsia"/>
          <w:b/>
          <w:color w:val="FF0000"/>
          <w:sz w:val="22"/>
          <w:szCs w:val="22"/>
          <w:highlight w:val="yellow"/>
        </w:rPr>
        <w:t>〈</w:t>
      </w:r>
      <w:r w:rsidRPr="00212D57">
        <w:rPr>
          <w:rFonts w:ascii="標楷體" w:eastAsia="標楷體" w:hAnsi="標楷體" w:hint="eastAsia"/>
          <w:b/>
          <w:sz w:val="22"/>
          <w:szCs w:val="22"/>
        </w:rPr>
        <w:t>界品</w:t>
      </w:r>
      <w:r w:rsidR="00A63E1B" w:rsidRPr="00A63E1B">
        <w:rPr>
          <w:rFonts w:ascii="標楷體" w:eastAsia="標楷體" w:hAnsi="標楷體" w:hint="eastAsia"/>
          <w:b/>
          <w:color w:val="FF0000"/>
          <w:sz w:val="22"/>
          <w:szCs w:val="22"/>
          <w:highlight w:val="yellow"/>
        </w:rPr>
        <w:t>〉</w:t>
      </w:r>
      <w:r w:rsidRPr="00212D57">
        <w:rPr>
          <w:rFonts w:ascii="標楷體" w:eastAsia="標楷體" w:hAnsi="標楷體" w:hint="eastAsia"/>
          <w:b/>
          <w:sz w:val="22"/>
          <w:szCs w:val="22"/>
        </w:rPr>
        <w:t>為首），即落入多元實在論</w:t>
      </w:r>
      <w:r w:rsidRPr="00212D57">
        <w:rPr>
          <w:rFonts w:ascii="標楷體" w:eastAsia="標楷體" w:hAnsi="標楷體" w:hint="eastAsia"/>
          <w:sz w:val="22"/>
          <w:szCs w:val="22"/>
        </w:rPr>
        <w:t>。他們以為事物析至不可再分的微質，即是法的自性，即界，各各事物都有此最極的質，故看一切法是各各安住自性的，不失自相的。他們雖也講因緣生，但覺得法的自性早就存在，生起是使它呈現到現在。</w:t>
      </w:r>
    </w:p>
    <w:p w:rsidR="00157EF6" w:rsidRPr="00212D57" w:rsidRDefault="00157EF6" w:rsidP="002B682F">
      <w:pPr>
        <w:snapToGrid w:val="0"/>
        <w:ind w:leftChars="105" w:left="252"/>
        <w:jc w:val="both"/>
        <w:rPr>
          <w:rFonts w:ascii="標楷體" w:eastAsia="標楷體" w:hAnsi="標楷體"/>
          <w:sz w:val="22"/>
          <w:szCs w:val="22"/>
        </w:rPr>
      </w:pPr>
      <w:r w:rsidRPr="00212D57">
        <w:rPr>
          <w:rFonts w:ascii="標楷體" w:eastAsia="標楷體" w:hAnsi="標楷體" w:hint="eastAsia"/>
          <w:b/>
          <w:sz w:val="22"/>
          <w:szCs w:val="22"/>
        </w:rPr>
        <w:t>經部師及唯識者</w:t>
      </w:r>
      <w:r w:rsidRPr="00212D57">
        <w:rPr>
          <w:rFonts w:ascii="標楷體" w:eastAsia="標楷體" w:hAnsi="標楷體" w:hint="eastAsia"/>
          <w:sz w:val="22"/>
          <w:szCs w:val="22"/>
        </w:rPr>
        <w:t>，不同意這種三世實有論；但</w:t>
      </w:r>
      <w:r w:rsidRPr="00212D57">
        <w:rPr>
          <w:rFonts w:ascii="標楷體" w:eastAsia="標楷體" w:hAnsi="標楷體" w:hint="eastAsia"/>
          <w:b/>
          <w:sz w:val="22"/>
          <w:szCs w:val="22"/>
        </w:rPr>
        <w:t>將法法的自性，修改為法法各有自種子──潛能，存儲於心識或賴耶識中，法的生起，即從潛在的自種子而現行</w:t>
      </w:r>
      <w:r w:rsidRPr="00212D57">
        <w:rPr>
          <w:rFonts w:ascii="標楷體" w:eastAsia="標楷體" w:hAnsi="標楷體" w:hint="eastAsia"/>
          <w:sz w:val="22"/>
          <w:szCs w:val="22"/>
        </w:rPr>
        <w:t>。</w:t>
      </w:r>
    </w:p>
    <w:p w:rsidR="00157EF6" w:rsidRPr="00212D57" w:rsidRDefault="00157EF6" w:rsidP="002B682F">
      <w:pPr>
        <w:snapToGrid w:val="0"/>
        <w:ind w:leftChars="105" w:left="252"/>
        <w:jc w:val="both"/>
        <w:rPr>
          <w:rFonts w:ascii="標楷體" w:eastAsia="標楷體" w:hAnsi="標楷體"/>
          <w:b/>
          <w:sz w:val="22"/>
          <w:szCs w:val="22"/>
        </w:rPr>
      </w:pPr>
      <w:r w:rsidRPr="00212D57">
        <w:rPr>
          <w:rFonts w:ascii="標楷體" w:eastAsia="標楷體" w:hAnsi="標楷體" w:hint="eastAsia"/>
          <w:sz w:val="22"/>
          <w:szCs w:val="22"/>
        </w:rPr>
        <w:t>依</w:t>
      </w:r>
      <w:r w:rsidRPr="00212D57">
        <w:rPr>
          <w:rFonts w:ascii="標楷體" w:eastAsia="標楷體" w:hAnsi="標楷體" w:hint="eastAsia"/>
          <w:b/>
          <w:sz w:val="22"/>
          <w:szCs w:val="22"/>
        </w:rPr>
        <w:t>經部師</w:t>
      </w:r>
      <w:r w:rsidRPr="00212D57">
        <w:rPr>
          <w:rFonts w:ascii="標楷體" w:eastAsia="標楷體" w:hAnsi="標楷體" w:hint="eastAsia"/>
          <w:sz w:val="22"/>
          <w:szCs w:val="22"/>
        </w:rPr>
        <w:t>，</w:t>
      </w:r>
      <w:r w:rsidRPr="00212D57">
        <w:rPr>
          <w:rFonts w:ascii="標楷體" w:eastAsia="標楷體" w:hAnsi="標楷體" w:hint="eastAsia"/>
          <w:b/>
          <w:sz w:val="22"/>
          <w:szCs w:val="22"/>
        </w:rPr>
        <w:t>種子</w:t>
      </w:r>
      <w:r w:rsidRPr="00212D57">
        <w:rPr>
          <w:rFonts w:ascii="標楷體" w:eastAsia="標楷體" w:hAnsi="標楷體" w:hint="eastAsia"/>
          <w:sz w:val="22"/>
          <w:szCs w:val="22"/>
        </w:rPr>
        <w:t>即名為</w:t>
      </w:r>
      <w:r w:rsidRPr="00212D57">
        <w:rPr>
          <w:rFonts w:ascii="標楷體" w:eastAsia="標楷體" w:hAnsi="標楷體" w:hint="eastAsia"/>
          <w:b/>
          <w:sz w:val="22"/>
          <w:szCs w:val="22"/>
        </w:rPr>
        <w:t>界</w:t>
      </w:r>
      <w:r w:rsidRPr="00212D57">
        <w:rPr>
          <w:rFonts w:ascii="標楷體" w:eastAsia="標楷體" w:hAnsi="標楷體" w:hint="eastAsia"/>
          <w:sz w:val="22"/>
          <w:szCs w:val="22"/>
        </w:rPr>
        <w:t>；世親解釋為種類與種族──能生。《惡叉聚經》有「眾生從無始來有種種界」句，種子論者就解說為眾生無始來有種種的種子，故說：「無始時來界，一切法等依。」</w:t>
      </w:r>
      <w:r w:rsidRPr="00212D57">
        <w:rPr>
          <w:rFonts w:ascii="標楷體" w:eastAsia="標楷體" w:hAnsi="標楷體" w:hint="eastAsia"/>
          <w:b/>
          <w:sz w:val="22"/>
          <w:szCs w:val="22"/>
        </w:rPr>
        <w:t>界字，本義為種類，同類與別類，由於想像「自性不失」為實有的本來存在，從此本來存在而現行，即引申為因義，所以說界為種族義，即成為眼從眼生，耳從耳生的自性緣起。</w:t>
      </w:r>
    </w:p>
    <w:p w:rsidR="00157EF6" w:rsidRPr="00212D57" w:rsidRDefault="00157EF6" w:rsidP="002B682F">
      <w:pPr>
        <w:snapToGrid w:val="0"/>
        <w:ind w:leftChars="105" w:left="252"/>
        <w:jc w:val="both"/>
        <w:rPr>
          <w:rFonts w:ascii="標楷體" w:eastAsia="標楷體" w:hAnsi="標楷體"/>
          <w:sz w:val="22"/>
          <w:szCs w:val="22"/>
        </w:rPr>
      </w:pPr>
      <w:r w:rsidRPr="00212D57">
        <w:rPr>
          <w:rFonts w:ascii="標楷體" w:eastAsia="標楷體" w:hAnsi="標楷體" w:hint="eastAsia"/>
          <w:sz w:val="22"/>
          <w:szCs w:val="22"/>
        </w:rPr>
        <w:t>依</w:t>
      </w:r>
      <w:r w:rsidRPr="00212D57">
        <w:rPr>
          <w:rFonts w:ascii="標楷體" w:eastAsia="標楷體" w:hAnsi="標楷體" w:hint="eastAsia"/>
          <w:b/>
          <w:sz w:val="22"/>
          <w:szCs w:val="22"/>
        </w:rPr>
        <w:t>中觀者</w:t>
      </w:r>
      <w:r w:rsidRPr="00212D57">
        <w:rPr>
          <w:rFonts w:ascii="標楷體" w:eastAsia="標楷體" w:hAnsi="標楷體" w:hint="eastAsia"/>
          <w:sz w:val="22"/>
          <w:szCs w:val="22"/>
        </w:rPr>
        <w:t>說：不失自性，是相對的，法法皆是因緣的存在，離卻種種因緣不可得，決非具體而微的潛因的待緣顯現而已。又，若看成各自有各自的種子，於是說有無量無邊的種子，生無量無邊現行，這與因緣說的精神，也不大恰當。佛為什麼要說因緣生諸法？因為法既從因緣生，則在因緣生法的關係中，什麼不是固定的，可以改善其中的關係，使化惡為善，日進於善而離於惡。若看成自性存在的，已有的，那不是化惡為善，不過消滅一些惡的，另外保存一些善的。</w:t>
      </w:r>
    </w:p>
    <w:p w:rsidR="00157EF6" w:rsidRPr="00212D57" w:rsidRDefault="00157EF6" w:rsidP="002B682F">
      <w:pPr>
        <w:snapToGrid w:val="0"/>
        <w:ind w:leftChars="100" w:left="240"/>
        <w:jc w:val="both"/>
        <w:rPr>
          <w:rFonts w:ascii="Times New Roman" w:eastAsia="標楷體" w:hAnsi="Times New Roman"/>
          <w:sz w:val="22"/>
          <w:szCs w:val="22"/>
        </w:rPr>
      </w:pPr>
      <w:r w:rsidRPr="00212D57">
        <w:rPr>
          <w:rFonts w:ascii="標楷體" w:eastAsia="標楷體" w:hAnsi="標楷體" w:hint="eastAsia"/>
          <w:sz w:val="22"/>
          <w:szCs w:val="22"/>
        </w:rPr>
        <w:t>唯識學的因果說，是很精細的，但沒有脫盡多元實在論的積習。</w:t>
      </w:r>
    </w:p>
  </w:footnote>
  <w:footnote w:id="349">
    <w:p w:rsidR="00224D48" w:rsidRPr="00212D57" w:rsidRDefault="00224D48" w:rsidP="00224D48">
      <w:pPr>
        <w:pStyle w:val="a5"/>
        <w:spacing w:line="0" w:lineRule="atLeast"/>
        <w:ind w:left="792" w:hangingChars="360" w:hanging="792"/>
        <w:jc w:val="both"/>
        <w:rPr>
          <w:rFonts w:eastAsia="細明體"/>
          <w:szCs w:val="22"/>
        </w:rPr>
      </w:pPr>
      <w:r w:rsidRPr="00212D57">
        <w:rPr>
          <w:rStyle w:val="a6"/>
          <w:szCs w:val="22"/>
        </w:rPr>
        <w:footnoteRef/>
      </w:r>
      <w:r w:rsidRPr="00212D57">
        <w:rPr>
          <w:rFonts w:ascii="SimSun" w:hAnsi="SimSun" w:hint="eastAsia"/>
          <w:szCs w:val="22"/>
        </w:rPr>
        <w:t xml:space="preserve"> </w:t>
      </w:r>
      <w:r w:rsidRPr="00212D57">
        <w:rPr>
          <w:rFonts w:ascii="SimSun" w:hAnsi="SimSun" w:hint="eastAsia"/>
          <w:szCs w:val="22"/>
        </w:rPr>
        <w:t>（</w:t>
      </w:r>
      <w:r w:rsidRPr="00761EF3">
        <w:rPr>
          <w:rFonts w:hint="eastAsia"/>
          <w:szCs w:val="22"/>
        </w:rPr>
        <w:t>1</w:t>
      </w:r>
      <w:r w:rsidRPr="00212D57">
        <w:rPr>
          <w:rFonts w:ascii="SimSun" w:hAnsi="SimSun" w:hint="eastAsia"/>
          <w:szCs w:val="22"/>
        </w:rPr>
        <w:t>）</w:t>
      </w:r>
      <w:r w:rsidRPr="004F625A">
        <w:rPr>
          <w:spacing w:val="-2"/>
          <w:szCs w:val="22"/>
        </w:rPr>
        <w:t>無著</w:t>
      </w:r>
      <w:r w:rsidRPr="004F625A">
        <w:rPr>
          <w:rFonts w:eastAsia="細明體"/>
          <w:spacing w:val="-2"/>
          <w:szCs w:val="22"/>
        </w:rPr>
        <w:t>造，</w:t>
      </w:r>
      <w:r w:rsidRPr="004F625A">
        <w:rPr>
          <w:rFonts w:hint="eastAsia"/>
          <w:spacing w:val="-2"/>
          <w:szCs w:val="22"/>
        </w:rPr>
        <w:t>〔唐〕</w:t>
      </w:r>
      <w:r w:rsidRPr="004F625A">
        <w:rPr>
          <w:spacing w:val="-2"/>
          <w:szCs w:val="22"/>
        </w:rPr>
        <w:t>玄奘譯，</w:t>
      </w:r>
      <w:r w:rsidRPr="004F625A">
        <w:rPr>
          <w:rFonts w:eastAsia="細明體"/>
          <w:spacing w:val="-2"/>
          <w:szCs w:val="22"/>
        </w:rPr>
        <w:t>《攝大乘論本》卷</w:t>
      </w:r>
      <w:r w:rsidRPr="00F67B5F">
        <w:rPr>
          <w:rFonts w:eastAsia="細明體" w:hint="eastAsia"/>
          <w:color w:val="FF0000"/>
          <w:spacing w:val="-2"/>
          <w:szCs w:val="22"/>
          <w:highlight w:val="yellow"/>
        </w:rPr>
        <w:t>上</w:t>
      </w:r>
      <w:r w:rsidRPr="004F625A">
        <w:rPr>
          <w:rFonts w:eastAsia="細明體"/>
          <w:spacing w:val="-2"/>
          <w:szCs w:val="22"/>
        </w:rPr>
        <w:t>（大正</w:t>
      </w:r>
      <w:r w:rsidRPr="004F625A">
        <w:rPr>
          <w:rFonts w:eastAsia="細明體"/>
          <w:spacing w:val="-2"/>
          <w:szCs w:val="22"/>
        </w:rPr>
        <w:t>31</w:t>
      </w:r>
      <w:r w:rsidRPr="004F625A">
        <w:rPr>
          <w:rFonts w:eastAsia="細明體"/>
          <w:spacing w:val="-2"/>
          <w:szCs w:val="22"/>
        </w:rPr>
        <w:t>，</w:t>
      </w:r>
      <w:r w:rsidRPr="004F625A">
        <w:rPr>
          <w:rFonts w:eastAsia="細明體"/>
          <w:spacing w:val="-2"/>
          <w:szCs w:val="22"/>
        </w:rPr>
        <w:t>134c28-135a5</w:t>
      </w:r>
      <w:r w:rsidRPr="004F625A">
        <w:rPr>
          <w:rFonts w:eastAsia="細明體"/>
          <w:spacing w:val="-2"/>
          <w:szCs w:val="22"/>
        </w:rPr>
        <w:t>）：</w:t>
      </w:r>
    </w:p>
    <w:p w:rsidR="00224D48" w:rsidRPr="00212D57" w:rsidRDefault="00224D48" w:rsidP="00224D48">
      <w:pPr>
        <w:pStyle w:val="a5"/>
        <w:ind w:leftChars="335" w:left="804"/>
        <w:jc w:val="both"/>
        <w:rPr>
          <w:szCs w:val="22"/>
        </w:rPr>
      </w:pPr>
      <w:r w:rsidRPr="00212D57">
        <w:rPr>
          <w:rFonts w:eastAsia="標楷體"/>
          <w:szCs w:val="22"/>
        </w:rPr>
        <w:t>又若略說有二緣起：一者、</w:t>
      </w:r>
      <w:r w:rsidRPr="00212D57">
        <w:rPr>
          <w:rFonts w:eastAsia="標楷體"/>
          <w:b/>
          <w:szCs w:val="22"/>
        </w:rPr>
        <w:t>分別自性緣起</w:t>
      </w:r>
      <w:r w:rsidRPr="00212D57">
        <w:rPr>
          <w:rFonts w:eastAsia="標楷體"/>
          <w:szCs w:val="22"/>
        </w:rPr>
        <w:t>，二者、分別愛非愛緣起。此中依止阿賴耶識諸法生起，是名</w:t>
      </w:r>
      <w:r>
        <w:rPr>
          <w:rFonts w:ascii="標楷體" w:eastAsia="標楷體" w:hAnsi="標楷體" w:hint="eastAsia"/>
          <w:bCs/>
          <w:color w:val="FF0000"/>
          <w:kern w:val="0"/>
          <w:highlight w:val="yellow"/>
        </w:rPr>
        <w:t>「</w:t>
      </w:r>
      <w:r w:rsidRPr="00212D57">
        <w:rPr>
          <w:rFonts w:eastAsia="標楷體"/>
          <w:szCs w:val="22"/>
        </w:rPr>
        <w:t>分別自性緣起</w:t>
      </w:r>
      <w:r>
        <w:rPr>
          <w:rFonts w:ascii="標楷體" w:eastAsia="標楷體" w:hAnsi="標楷體" w:hint="eastAsia"/>
          <w:bCs/>
          <w:color w:val="FF0000"/>
          <w:kern w:val="0"/>
          <w:highlight w:val="yellow"/>
        </w:rPr>
        <w:t>」</w:t>
      </w:r>
      <w:r w:rsidRPr="00212D57">
        <w:rPr>
          <w:rFonts w:eastAsia="標楷體"/>
          <w:szCs w:val="22"/>
        </w:rPr>
        <w:t>，以能分別種種自性為緣性故。復有十二支緣起，是名</w:t>
      </w:r>
      <w:r>
        <w:rPr>
          <w:rFonts w:ascii="標楷體" w:eastAsia="標楷體" w:hAnsi="標楷體" w:hint="eastAsia"/>
          <w:bCs/>
          <w:color w:val="FF0000"/>
          <w:kern w:val="0"/>
          <w:highlight w:val="yellow"/>
        </w:rPr>
        <w:t>「</w:t>
      </w:r>
      <w:r w:rsidRPr="00212D57">
        <w:rPr>
          <w:rFonts w:eastAsia="標楷體"/>
          <w:szCs w:val="22"/>
        </w:rPr>
        <w:t>分別愛非愛緣起</w:t>
      </w:r>
      <w:r>
        <w:rPr>
          <w:rFonts w:ascii="標楷體" w:eastAsia="標楷體" w:hAnsi="標楷體" w:hint="eastAsia"/>
          <w:bCs/>
          <w:color w:val="FF0000"/>
          <w:kern w:val="0"/>
          <w:highlight w:val="yellow"/>
        </w:rPr>
        <w:t>」</w:t>
      </w:r>
      <w:r>
        <w:rPr>
          <w:rFonts w:ascii="標楷體" w:eastAsia="標楷體" w:hAnsi="標楷體" w:hint="eastAsia"/>
          <w:color w:val="FF0000"/>
          <w:kern w:val="0"/>
          <w:highlight w:val="yellow"/>
        </w:rPr>
        <w:t>，</w:t>
      </w:r>
      <w:r w:rsidRPr="00212D57">
        <w:rPr>
          <w:rFonts w:eastAsia="標楷體"/>
          <w:szCs w:val="22"/>
        </w:rPr>
        <w:t>以於善趣、惡趣能分別愛、非愛種種自體為緣性故。</w:t>
      </w:r>
    </w:p>
    <w:p w:rsidR="00224D48" w:rsidRPr="00212D57" w:rsidRDefault="00224D48" w:rsidP="00224D48">
      <w:pPr>
        <w:pStyle w:val="a5"/>
        <w:ind w:leftChars="105" w:left="79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）印順</w:t>
      </w:r>
      <w:r w:rsidRPr="00212D57">
        <w:rPr>
          <w:rStyle w:val="byline"/>
          <w:rFonts w:hAnsi="新細明體" w:hint="eastAsia"/>
          <w:color w:val="auto"/>
          <w:sz w:val="22"/>
          <w:szCs w:val="22"/>
        </w:rPr>
        <w:t>法師</w:t>
      </w:r>
      <w:r w:rsidRPr="00212D57">
        <w:rPr>
          <w:rFonts w:hint="eastAsia"/>
          <w:szCs w:val="22"/>
        </w:rPr>
        <w:t>，</w:t>
      </w:r>
      <w:r w:rsidRPr="00212D57">
        <w:rPr>
          <w:szCs w:val="22"/>
        </w:rPr>
        <w:t>《成佛之道》（增注本），</w:t>
      </w:r>
      <w:r w:rsidRPr="00761EF3">
        <w:rPr>
          <w:szCs w:val="22"/>
        </w:rPr>
        <w:t>pp</w:t>
      </w:r>
      <w:r w:rsidRPr="00212D57">
        <w:rPr>
          <w:szCs w:val="22"/>
        </w:rPr>
        <w:t>.</w:t>
      </w:r>
      <w:r w:rsidRPr="00761EF3">
        <w:rPr>
          <w:szCs w:val="22"/>
        </w:rPr>
        <w:t>380</w:t>
      </w:r>
      <w:r w:rsidRPr="00212D57">
        <w:rPr>
          <w:szCs w:val="22"/>
        </w:rPr>
        <w:t>-</w:t>
      </w:r>
      <w:r w:rsidRPr="00761EF3">
        <w:rPr>
          <w:szCs w:val="22"/>
        </w:rPr>
        <w:t>381</w:t>
      </w:r>
      <w:r w:rsidRPr="00212D57">
        <w:rPr>
          <w:szCs w:val="22"/>
        </w:rPr>
        <w:t>：</w:t>
      </w:r>
    </w:p>
    <w:p w:rsidR="00224D48" w:rsidRPr="00212D57" w:rsidRDefault="00224D48" w:rsidP="00224D48">
      <w:pPr>
        <w:pStyle w:val="a5"/>
        <w:ind w:leftChars="335" w:left="804"/>
        <w:jc w:val="both"/>
        <w:rPr>
          <w:rFonts w:ascii="標楷體" w:eastAsia="標楷體" w:hAnsi="標楷體"/>
          <w:dstrike/>
          <w:szCs w:val="22"/>
        </w:rPr>
      </w:pPr>
      <w:r w:rsidRPr="00212D57">
        <w:rPr>
          <w:rFonts w:ascii="標楷體" w:eastAsia="標楷體" w:hAnsi="標楷體" w:hint="eastAsia"/>
          <w:szCs w:val="22"/>
        </w:rPr>
        <w:t>唯識學者是以自相有立一切法的，所以因果也是自相有的。阿賴耶識為種子性，名為</w:t>
      </w:r>
      <w:r>
        <w:rPr>
          <w:rFonts w:ascii="標楷體" w:eastAsia="標楷體" w:hAnsi="標楷體" w:hint="eastAsia"/>
          <w:szCs w:val="22"/>
        </w:rPr>
        <w:t>「</w:t>
      </w:r>
      <w:r w:rsidRPr="00212D57">
        <w:rPr>
          <w:rFonts w:ascii="標楷體" w:eastAsia="標楷體" w:hAnsi="標楷體" w:hint="eastAsia"/>
          <w:b/>
          <w:szCs w:val="22"/>
        </w:rPr>
        <w:t>分別自性緣起</w:t>
      </w:r>
      <w:r>
        <w:rPr>
          <w:rFonts w:ascii="標楷體" w:eastAsia="標楷體" w:hAnsi="標楷體" w:hint="eastAsia"/>
          <w:szCs w:val="22"/>
        </w:rPr>
        <w:t>」</w:t>
      </w:r>
      <w:r w:rsidRPr="00212D57">
        <w:rPr>
          <w:rFonts w:ascii="標楷體" w:eastAsia="標楷體" w:hAnsi="標楷體" w:hint="eastAsia"/>
          <w:szCs w:val="22"/>
        </w:rPr>
        <w:t>。如眼識種子生眼識，耳根種子生耳根，貪種子生貪，青色種子生青色，黃色種子生黃色，有漏種子生有漏，無漏種子生無漏。什麼種子生什麼現行，什麼現行又熏成什麼種子。這種種子性，稱為</w:t>
      </w:r>
      <w:r>
        <w:rPr>
          <w:rFonts w:ascii="標楷體" w:eastAsia="標楷體" w:hAnsi="標楷體" w:hint="eastAsia"/>
          <w:szCs w:val="22"/>
        </w:rPr>
        <w:t>「</w:t>
      </w:r>
      <w:r w:rsidRPr="00212D57">
        <w:rPr>
          <w:rFonts w:ascii="標楷體" w:eastAsia="標楷體" w:hAnsi="標楷體" w:hint="eastAsia"/>
          <w:szCs w:val="22"/>
        </w:rPr>
        <w:t>親生自果功能差別</w:t>
      </w:r>
      <w:r>
        <w:rPr>
          <w:rFonts w:ascii="標楷體" w:eastAsia="標楷體" w:hAnsi="標楷體" w:hint="eastAsia"/>
          <w:szCs w:val="22"/>
        </w:rPr>
        <w:t>」</w:t>
      </w:r>
      <w:r w:rsidRPr="00212D57">
        <w:rPr>
          <w:rFonts w:ascii="標楷體" w:eastAsia="標楷體" w:hAnsi="標楷體" w:hint="eastAsia"/>
          <w:szCs w:val="22"/>
        </w:rPr>
        <w:t>，是自性生自性的因果觀。不過自種子而外，還要其他的現緣，才能生果，所以叫依他起。這可見依自相有種</w:t>
      </w:r>
      <w:r w:rsidRPr="00CD554C">
        <w:rPr>
          <w:rFonts w:ascii="標楷體" w:eastAsia="標楷體" w:hAnsi="標楷體" w:hint="eastAsia"/>
          <w:szCs w:val="22"/>
          <w:highlight w:val="yellow"/>
        </w:rPr>
        <w:t>子生</w:t>
      </w:r>
      <w:r w:rsidRPr="00212D57">
        <w:rPr>
          <w:rFonts w:ascii="標楷體" w:eastAsia="標楷體" w:hAnsi="標楷體" w:hint="eastAsia"/>
          <w:szCs w:val="22"/>
        </w:rPr>
        <w:t>自相有現行的唯識因果觀，與無自性空的因果觀，是怎樣的差別了！</w:t>
      </w:r>
    </w:p>
    <w:p w:rsidR="00224D48" w:rsidRPr="00212D57" w:rsidRDefault="00224D48" w:rsidP="00224D48">
      <w:pPr>
        <w:pStyle w:val="a5"/>
        <w:ind w:leftChars="105" w:left="791" w:hangingChars="245" w:hanging="539"/>
        <w:jc w:val="both"/>
        <w:rPr>
          <w:rFonts w:ascii="標楷體" w:eastAsia="標楷體" w:hAnsi="標楷體"/>
          <w:dstrike/>
          <w:szCs w:val="22"/>
        </w:rPr>
      </w:pPr>
      <w:r w:rsidRPr="00212D57">
        <w:rPr>
          <w:szCs w:val="22"/>
        </w:rPr>
        <w:t>（</w:t>
      </w:r>
      <w:r w:rsidRPr="00761EF3">
        <w:rPr>
          <w:szCs w:val="22"/>
        </w:rPr>
        <w:t>3</w:t>
      </w:r>
      <w:r w:rsidRPr="00212D57">
        <w:rPr>
          <w:szCs w:val="22"/>
        </w:rPr>
        <w:t>）</w:t>
      </w:r>
      <w:r w:rsidRPr="00212D57">
        <w:rPr>
          <w:rFonts w:hint="eastAsia"/>
          <w:szCs w:val="22"/>
        </w:rPr>
        <w:t>參見</w:t>
      </w:r>
      <w:r>
        <w:rPr>
          <w:rFonts w:hint="eastAsia"/>
          <w:szCs w:val="22"/>
        </w:rPr>
        <w:t>：</w:t>
      </w:r>
      <w:r w:rsidRPr="00212D57">
        <w:rPr>
          <w:rFonts w:hint="eastAsia"/>
          <w:szCs w:val="22"/>
        </w:rPr>
        <w:t>印順法師，《攝大乘論講記》，</w:t>
      </w:r>
      <w:r w:rsidRPr="00761EF3">
        <w:rPr>
          <w:rFonts w:hint="eastAsia"/>
          <w:szCs w:val="22"/>
        </w:rPr>
        <w:t>pp</w:t>
      </w:r>
      <w:r w:rsidRPr="00212D57">
        <w:rPr>
          <w:rFonts w:hint="eastAsia"/>
          <w:szCs w:val="22"/>
        </w:rPr>
        <w:t>.</w:t>
      </w:r>
      <w:r w:rsidRPr="00761EF3">
        <w:rPr>
          <w:rFonts w:hint="eastAsia"/>
          <w:szCs w:val="22"/>
        </w:rPr>
        <w:t>86</w:t>
      </w:r>
      <w:r w:rsidRPr="00212D57">
        <w:rPr>
          <w:rFonts w:hint="eastAsia"/>
          <w:szCs w:val="22"/>
        </w:rPr>
        <w:t>-</w:t>
      </w:r>
      <w:r w:rsidRPr="00761EF3">
        <w:rPr>
          <w:rFonts w:hint="eastAsia"/>
          <w:szCs w:val="22"/>
        </w:rPr>
        <w:t>88</w:t>
      </w:r>
      <w:r w:rsidRPr="00212D57">
        <w:rPr>
          <w:rFonts w:ascii="標楷體" w:eastAsia="標楷體" w:hAnsi="標楷體" w:hint="eastAsia"/>
          <w:szCs w:val="22"/>
        </w:rPr>
        <w:t>。</w:t>
      </w:r>
    </w:p>
  </w:footnote>
  <w:footnote w:id="350">
    <w:p w:rsidR="00157EF6" w:rsidRPr="00212D57" w:rsidRDefault="00157EF6" w:rsidP="002B682F">
      <w:pPr>
        <w:pStyle w:val="a5"/>
        <w:spacing w:line="0" w:lineRule="atLeast"/>
        <w:ind w:left="792" w:hangingChars="360" w:hanging="792"/>
        <w:jc w:val="both"/>
        <w:rPr>
          <w:rFonts w:eastAsia="細明體"/>
          <w:szCs w:val="22"/>
        </w:rPr>
      </w:pPr>
      <w:r w:rsidRPr="00212D57">
        <w:rPr>
          <w:rStyle w:val="a6"/>
          <w:szCs w:val="22"/>
        </w:rPr>
        <w:footnoteRef/>
      </w:r>
      <w:r w:rsidRPr="00212D57">
        <w:rPr>
          <w:rFonts w:ascii="SimSun" w:hAnsi="SimSun" w:hint="eastAsia"/>
          <w:szCs w:val="22"/>
        </w:rPr>
        <w:t xml:space="preserve"> </w:t>
      </w:r>
      <w:r w:rsidRPr="00212D57">
        <w:rPr>
          <w:rFonts w:ascii="SimSun" w:hAnsi="SimSun" w:hint="eastAsia"/>
          <w:szCs w:val="22"/>
        </w:rPr>
        <w:t>（</w:t>
      </w:r>
      <w:r w:rsidRPr="00761EF3">
        <w:rPr>
          <w:rFonts w:hint="eastAsia"/>
          <w:szCs w:val="22"/>
        </w:rPr>
        <w:t>1</w:t>
      </w:r>
      <w:r w:rsidRPr="00212D57">
        <w:rPr>
          <w:rFonts w:ascii="SimSun" w:hAnsi="SimSun" w:hint="eastAsia"/>
          <w:szCs w:val="22"/>
        </w:rPr>
        <w:t>）</w:t>
      </w:r>
      <w:r w:rsidRPr="00212D57">
        <w:rPr>
          <w:szCs w:val="22"/>
        </w:rPr>
        <w:t>〔</w:t>
      </w:r>
      <w:r w:rsidRPr="00212D57">
        <w:rPr>
          <w:rFonts w:eastAsia="細明體"/>
          <w:szCs w:val="22"/>
        </w:rPr>
        <w:t>唐</w:t>
      </w:r>
      <w:r w:rsidRPr="00212D57">
        <w:rPr>
          <w:szCs w:val="22"/>
        </w:rPr>
        <w:t>〕</w:t>
      </w:r>
      <w:r w:rsidRPr="00212D57">
        <w:rPr>
          <w:rFonts w:eastAsia="細明體"/>
          <w:szCs w:val="22"/>
        </w:rPr>
        <w:t>普光述，《俱舍論記》卷</w:t>
      </w:r>
      <w:r w:rsidRPr="00761EF3">
        <w:rPr>
          <w:rFonts w:eastAsia="細明體"/>
          <w:szCs w:val="22"/>
        </w:rPr>
        <w:t>1</w:t>
      </w:r>
      <w:r w:rsidRPr="00212D57">
        <w:rPr>
          <w:rFonts w:eastAsia="細明體"/>
          <w:szCs w:val="22"/>
        </w:rPr>
        <w:t>〈</w:t>
      </w:r>
      <w:r w:rsidRPr="00761EF3">
        <w:rPr>
          <w:rFonts w:eastAsia="細明體"/>
          <w:szCs w:val="22"/>
        </w:rPr>
        <w:t>1</w:t>
      </w:r>
      <w:r w:rsidRPr="00212D57">
        <w:rPr>
          <w:rFonts w:eastAsia="細明體"/>
          <w:szCs w:val="22"/>
        </w:rPr>
        <w:t xml:space="preserve"> </w:t>
      </w:r>
      <w:r w:rsidRPr="00212D57">
        <w:rPr>
          <w:rFonts w:eastAsia="細明體"/>
          <w:szCs w:val="22"/>
        </w:rPr>
        <w:t>分別界品〉（大正</w:t>
      </w:r>
      <w:r w:rsidRPr="00761EF3">
        <w:rPr>
          <w:rFonts w:eastAsia="細明體"/>
          <w:szCs w:val="22"/>
        </w:rPr>
        <w:t>41</w:t>
      </w:r>
      <w:r w:rsidRPr="00212D57">
        <w:rPr>
          <w:rFonts w:eastAsia="細明體"/>
          <w:szCs w:val="22"/>
        </w:rPr>
        <w:t>，</w:t>
      </w:r>
      <w:r w:rsidRPr="00761EF3">
        <w:rPr>
          <w:rFonts w:eastAsia="細明體"/>
          <w:szCs w:val="22"/>
        </w:rPr>
        <w:t>29a25</w:t>
      </w:r>
      <w:r w:rsidRPr="00212D57">
        <w:rPr>
          <w:rFonts w:eastAsia="細明體"/>
          <w:szCs w:val="22"/>
        </w:rPr>
        <w:t>-</w:t>
      </w:r>
      <w:r w:rsidRPr="00761EF3">
        <w:rPr>
          <w:rFonts w:eastAsia="細明體"/>
          <w:szCs w:val="22"/>
        </w:rPr>
        <w:t>2</w:t>
      </w:r>
      <w:r w:rsidRPr="00761EF3">
        <w:rPr>
          <w:rFonts w:eastAsia="細明體" w:hint="eastAsia"/>
          <w:szCs w:val="22"/>
        </w:rPr>
        <w:t>7</w:t>
      </w:r>
      <w:r w:rsidRPr="00212D57">
        <w:rPr>
          <w:rFonts w:eastAsia="細明體"/>
          <w:szCs w:val="22"/>
        </w:rPr>
        <w:t>）：</w:t>
      </w:r>
    </w:p>
    <w:p w:rsidR="00157EF6" w:rsidRPr="00212D57" w:rsidRDefault="00157EF6" w:rsidP="002B682F">
      <w:pPr>
        <w:pStyle w:val="a5"/>
        <w:ind w:leftChars="335" w:left="804"/>
        <w:jc w:val="both"/>
        <w:rPr>
          <w:rFonts w:ascii="標楷體" w:eastAsia="標楷體" w:hAnsi="標楷體"/>
          <w:szCs w:val="22"/>
        </w:rPr>
      </w:pPr>
      <w:r w:rsidRPr="00212D57">
        <w:rPr>
          <w:rFonts w:ascii="標楷體" w:eastAsia="標楷體" w:hAnsi="標楷體" w:hint="eastAsia"/>
          <w:szCs w:val="22"/>
        </w:rPr>
        <w:t>毘婆沙宗</w:t>
      </w:r>
      <w:r w:rsidR="00307791">
        <w:rPr>
          <w:rFonts w:ascii="標楷體" w:eastAsia="標楷體" w:hAnsi="標楷體" w:hint="eastAsia"/>
          <w:color w:val="FF0000"/>
          <w:kern w:val="0"/>
          <w:highlight w:val="yellow"/>
        </w:rPr>
        <w:t>──</w:t>
      </w:r>
      <w:r w:rsidR="00FA194E">
        <w:rPr>
          <w:rFonts w:ascii="標楷體" w:eastAsia="標楷體" w:hAnsi="標楷體" w:hint="eastAsia"/>
          <w:bCs/>
          <w:color w:val="FF0000"/>
          <w:kern w:val="0"/>
          <w:highlight w:val="yellow"/>
        </w:rPr>
        <w:t>「</w:t>
      </w:r>
      <w:r w:rsidRPr="00212D57">
        <w:rPr>
          <w:rFonts w:ascii="標楷體" w:eastAsia="標楷體" w:hAnsi="標楷體" w:hint="eastAsia"/>
          <w:szCs w:val="22"/>
        </w:rPr>
        <w:t>蘊</w:t>
      </w:r>
      <w:r w:rsidR="00FA194E">
        <w:rPr>
          <w:rFonts w:ascii="標楷體" w:eastAsia="標楷體" w:hAnsi="標楷體" w:hint="eastAsia"/>
          <w:bCs/>
          <w:color w:val="FF0000"/>
          <w:kern w:val="0"/>
          <w:highlight w:val="yellow"/>
        </w:rPr>
        <w:t>」</w:t>
      </w:r>
      <w:r w:rsidRPr="00212D57">
        <w:rPr>
          <w:rFonts w:ascii="標楷體" w:eastAsia="標楷體" w:hAnsi="標楷體" w:hint="eastAsia"/>
          <w:szCs w:val="22"/>
        </w:rPr>
        <w:t>等三門皆是實法。</w:t>
      </w:r>
    </w:p>
    <w:p w:rsidR="00157EF6" w:rsidRPr="00212D57" w:rsidRDefault="00157EF6" w:rsidP="002B682F">
      <w:pPr>
        <w:pStyle w:val="a5"/>
        <w:ind w:leftChars="335" w:left="804"/>
        <w:jc w:val="both"/>
        <w:rPr>
          <w:rFonts w:ascii="標楷體" w:eastAsia="標楷體" w:hAnsi="標楷體"/>
          <w:b/>
          <w:szCs w:val="22"/>
        </w:rPr>
      </w:pPr>
      <w:r w:rsidRPr="00212D57">
        <w:rPr>
          <w:rFonts w:ascii="標楷體" w:eastAsia="標楷體" w:hAnsi="標楷體"/>
          <w:b/>
          <w:szCs w:val="22"/>
        </w:rPr>
        <w:t>經部所立</w:t>
      </w:r>
      <w:r w:rsidR="00307791">
        <w:rPr>
          <w:rFonts w:ascii="標楷體" w:eastAsia="標楷體" w:hAnsi="標楷體" w:hint="eastAsia"/>
          <w:color w:val="FF0000"/>
          <w:kern w:val="0"/>
          <w:highlight w:val="yellow"/>
        </w:rPr>
        <w:t>──</w:t>
      </w:r>
      <w:r w:rsidR="00FA194E" w:rsidRPr="005468A1">
        <w:rPr>
          <w:rFonts w:ascii="標楷體" w:eastAsia="標楷體" w:hAnsi="標楷體" w:hint="eastAsia"/>
          <w:b/>
          <w:bCs/>
          <w:color w:val="FF0000"/>
          <w:kern w:val="0"/>
          <w:highlight w:val="yellow"/>
        </w:rPr>
        <w:t>「</w:t>
      </w:r>
      <w:r w:rsidRPr="005468A1">
        <w:rPr>
          <w:rFonts w:ascii="標楷體" w:eastAsia="標楷體" w:hAnsi="標楷體"/>
          <w:b/>
          <w:szCs w:val="22"/>
        </w:rPr>
        <w:t>蘊、處</w:t>
      </w:r>
      <w:r w:rsidR="00FA194E" w:rsidRPr="005468A1">
        <w:rPr>
          <w:rFonts w:ascii="標楷體" w:eastAsia="標楷體" w:hAnsi="標楷體" w:hint="eastAsia"/>
          <w:b/>
          <w:bCs/>
          <w:color w:val="FF0000"/>
          <w:kern w:val="0"/>
          <w:highlight w:val="yellow"/>
        </w:rPr>
        <w:t>」</w:t>
      </w:r>
      <w:r w:rsidRPr="00212D57">
        <w:rPr>
          <w:rFonts w:ascii="標楷體" w:eastAsia="標楷體" w:hAnsi="標楷體"/>
          <w:b/>
          <w:szCs w:val="22"/>
        </w:rPr>
        <w:t>是假，唯</w:t>
      </w:r>
      <w:r w:rsidR="005468A1" w:rsidRPr="005468A1">
        <w:rPr>
          <w:rFonts w:ascii="標楷體" w:eastAsia="標楷體" w:hAnsi="標楷體" w:hint="eastAsia"/>
          <w:b/>
          <w:bCs/>
          <w:color w:val="FF0000"/>
          <w:kern w:val="0"/>
          <w:highlight w:val="yellow"/>
        </w:rPr>
        <w:t>「</w:t>
      </w:r>
      <w:r w:rsidRPr="005468A1">
        <w:rPr>
          <w:rFonts w:ascii="標楷體" w:eastAsia="標楷體" w:hAnsi="標楷體"/>
          <w:b/>
          <w:szCs w:val="22"/>
        </w:rPr>
        <w:t>界</w:t>
      </w:r>
      <w:r w:rsidR="005468A1" w:rsidRPr="005468A1">
        <w:rPr>
          <w:rFonts w:ascii="標楷體" w:eastAsia="標楷體" w:hAnsi="標楷體" w:hint="eastAsia"/>
          <w:b/>
          <w:bCs/>
          <w:color w:val="FF0000"/>
          <w:kern w:val="0"/>
          <w:highlight w:val="yellow"/>
        </w:rPr>
        <w:t>」</w:t>
      </w:r>
      <w:r w:rsidRPr="00212D57">
        <w:rPr>
          <w:rFonts w:ascii="標楷體" w:eastAsia="標楷體" w:hAnsi="標楷體"/>
          <w:b/>
          <w:szCs w:val="22"/>
        </w:rPr>
        <w:t>是實。</w:t>
      </w:r>
    </w:p>
    <w:p w:rsidR="00157EF6" w:rsidRPr="00212D57" w:rsidRDefault="00157EF6" w:rsidP="002B682F">
      <w:pPr>
        <w:pStyle w:val="a5"/>
        <w:ind w:leftChars="335" w:left="804"/>
        <w:jc w:val="both"/>
        <w:rPr>
          <w:rFonts w:eastAsia="細明體"/>
          <w:szCs w:val="22"/>
        </w:rPr>
      </w:pPr>
      <w:r w:rsidRPr="00212D57">
        <w:rPr>
          <w:rFonts w:ascii="標楷體" w:eastAsia="標楷體" w:hAnsi="標楷體" w:hint="eastAsia"/>
          <w:szCs w:val="22"/>
        </w:rPr>
        <w:t>今</w:t>
      </w:r>
      <w:r w:rsidRPr="00212D57">
        <w:rPr>
          <w:rFonts w:ascii="標楷體" w:eastAsia="標楷體" w:hAnsi="標楷體" w:hint="eastAsia"/>
          <w:b/>
          <w:szCs w:val="22"/>
        </w:rPr>
        <w:t>論主意</w:t>
      </w:r>
      <w:r w:rsidR="00307791">
        <w:rPr>
          <w:rFonts w:ascii="標楷體" w:eastAsia="標楷體" w:hAnsi="標楷體" w:hint="eastAsia"/>
          <w:color w:val="FF0000"/>
          <w:spacing w:val="-4"/>
          <w:kern w:val="0"/>
          <w:highlight w:val="yellow"/>
        </w:rPr>
        <w:t>：</w:t>
      </w:r>
      <w:r w:rsidRPr="00212D57">
        <w:rPr>
          <w:rFonts w:ascii="標楷體" w:eastAsia="標楷體" w:hAnsi="標楷體" w:hint="eastAsia"/>
          <w:szCs w:val="22"/>
        </w:rPr>
        <w:t>以經中說略一</w:t>
      </w:r>
      <w:r w:rsidR="00FA194E">
        <w:rPr>
          <w:rFonts w:ascii="標楷體" w:eastAsia="標楷體" w:hAnsi="標楷體" w:hint="eastAsia"/>
          <w:bCs/>
          <w:color w:val="FF0000"/>
          <w:kern w:val="0"/>
          <w:highlight w:val="yellow"/>
        </w:rPr>
        <w:t>「</w:t>
      </w:r>
      <w:r w:rsidRPr="00212D57">
        <w:rPr>
          <w:rFonts w:ascii="標楷體" w:eastAsia="標楷體" w:hAnsi="標楷體" w:hint="eastAsia"/>
          <w:szCs w:val="22"/>
        </w:rPr>
        <w:t>聚</w:t>
      </w:r>
      <w:r w:rsidR="00FA194E">
        <w:rPr>
          <w:rFonts w:ascii="標楷體" w:eastAsia="標楷體" w:hAnsi="標楷體" w:hint="eastAsia"/>
          <w:bCs/>
          <w:color w:val="FF0000"/>
          <w:kern w:val="0"/>
          <w:highlight w:val="yellow"/>
        </w:rPr>
        <w:t>」</w:t>
      </w:r>
      <w:r w:rsidRPr="00212D57">
        <w:rPr>
          <w:rFonts w:ascii="標楷體" w:eastAsia="標楷體" w:hAnsi="標楷體" w:hint="eastAsia"/>
          <w:szCs w:val="22"/>
        </w:rPr>
        <w:t>言，</w:t>
      </w:r>
      <w:r w:rsidRPr="00212D57">
        <w:rPr>
          <w:rFonts w:ascii="標楷體" w:eastAsia="標楷體" w:hAnsi="標楷體" w:hint="eastAsia"/>
          <w:b/>
          <w:szCs w:val="22"/>
        </w:rPr>
        <w:t>許</w:t>
      </w:r>
      <w:r w:rsidR="00307791" w:rsidRPr="005468A1">
        <w:rPr>
          <w:rFonts w:ascii="標楷體" w:eastAsia="標楷體" w:hAnsi="標楷體" w:hint="eastAsia"/>
          <w:b/>
          <w:bCs/>
          <w:color w:val="FF0000"/>
          <w:kern w:val="0"/>
          <w:highlight w:val="yellow"/>
        </w:rPr>
        <w:t>「</w:t>
      </w:r>
      <w:r w:rsidR="005468A1" w:rsidRPr="005468A1">
        <w:rPr>
          <w:rFonts w:ascii="標楷體" w:eastAsia="標楷體" w:hAnsi="標楷體" w:hint="eastAsia"/>
          <w:b/>
          <w:color w:val="FF0000"/>
          <w:kern w:val="0"/>
          <w:highlight w:val="yellow"/>
        </w:rPr>
        <w:t>『</w:t>
      </w:r>
      <w:r w:rsidRPr="005468A1">
        <w:rPr>
          <w:rFonts w:ascii="標楷體" w:eastAsia="標楷體" w:hAnsi="標楷體" w:hint="eastAsia"/>
          <w:b/>
          <w:szCs w:val="22"/>
        </w:rPr>
        <w:t>蘊</w:t>
      </w:r>
      <w:r w:rsidR="005468A1" w:rsidRPr="005468A1">
        <w:rPr>
          <w:rFonts w:ascii="標楷體" w:eastAsia="標楷體" w:hAnsi="標楷體" w:hint="eastAsia"/>
          <w:b/>
          <w:color w:val="FF0000"/>
          <w:kern w:val="0"/>
          <w:highlight w:val="yellow"/>
        </w:rPr>
        <w:t>』</w:t>
      </w:r>
      <w:r w:rsidRPr="005468A1">
        <w:rPr>
          <w:rFonts w:ascii="標楷體" w:eastAsia="標楷體" w:hAnsi="標楷體" w:hint="eastAsia"/>
          <w:b/>
          <w:szCs w:val="22"/>
        </w:rPr>
        <w:t>是假，餘二是實</w:t>
      </w:r>
      <w:r w:rsidR="00307791" w:rsidRPr="005468A1">
        <w:rPr>
          <w:rFonts w:ascii="標楷體" w:eastAsia="標楷體" w:hAnsi="標楷體" w:hint="eastAsia"/>
          <w:b/>
          <w:bCs/>
          <w:color w:val="FF0000"/>
          <w:kern w:val="0"/>
          <w:highlight w:val="yellow"/>
        </w:rPr>
        <w:t>」</w:t>
      </w:r>
      <w:r w:rsidRPr="00212D57">
        <w:rPr>
          <w:rFonts w:ascii="標楷體" w:eastAsia="標楷體" w:hAnsi="標楷體" w:hint="eastAsia"/>
          <w:szCs w:val="22"/>
        </w:rPr>
        <w:t>。</w:t>
      </w:r>
    </w:p>
    <w:p w:rsidR="00157EF6" w:rsidRPr="00212D57" w:rsidRDefault="00157EF6" w:rsidP="002B682F">
      <w:pPr>
        <w:pStyle w:val="a5"/>
        <w:ind w:leftChars="105" w:left="791" w:hangingChars="245" w:hanging="539"/>
        <w:jc w:val="both"/>
        <w:rPr>
          <w:rFonts w:eastAsia="細明體"/>
          <w:szCs w:val="22"/>
        </w:rPr>
      </w:pPr>
      <w:r w:rsidRPr="00212D57">
        <w:rPr>
          <w:rFonts w:eastAsia="細明體" w:hint="eastAsia"/>
          <w:szCs w:val="22"/>
        </w:rPr>
        <w:t>（</w:t>
      </w:r>
      <w:r w:rsidRPr="00761EF3">
        <w:rPr>
          <w:rFonts w:eastAsia="細明體" w:hint="eastAsia"/>
          <w:szCs w:val="22"/>
        </w:rPr>
        <w:t>2</w:t>
      </w:r>
      <w:r w:rsidRPr="00212D57">
        <w:rPr>
          <w:rFonts w:eastAsia="細明體" w:hint="eastAsia"/>
          <w:szCs w:val="22"/>
        </w:rPr>
        <w:t>）</w:t>
      </w:r>
      <w:r w:rsidRPr="00212D57">
        <w:rPr>
          <w:rFonts w:eastAsia="細明體"/>
          <w:szCs w:val="22"/>
        </w:rPr>
        <w:t>有部：「蘊、處、界」是實；</w:t>
      </w:r>
    </w:p>
    <w:p w:rsidR="00157EF6" w:rsidRPr="00212D57" w:rsidRDefault="00157EF6" w:rsidP="002B682F">
      <w:pPr>
        <w:pStyle w:val="a5"/>
        <w:ind w:leftChars="335" w:left="804"/>
        <w:jc w:val="both"/>
        <w:rPr>
          <w:rFonts w:eastAsia="細明體"/>
          <w:szCs w:val="22"/>
        </w:rPr>
      </w:pPr>
      <w:r w:rsidRPr="00212D57">
        <w:rPr>
          <w:rFonts w:eastAsia="細明體"/>
          <w:szCs w:val="22"/>
        </w:rPr>
        <w:t>經部：</w:t>
      </w:r>
      <w:r w:rsidRPr="00212D57">
        <w:rPr>
          <w:rFonts w:ascii="SimSun" w:eastAsia="SimSun" w:hAnsi="SimSun" w:hint="eastAsia"/>
          <w:szCs w:val="22"/>
        </w:rPr>
        <w:t>唯</w:t>
      </w:r>
      <w:r w:rsidRPr="00212D57">
        <w:rPr>
          <w:rFonts w:eastAsia="細明體"/>
          <w:szCs w:val="22"/>
        </w:rPr>
        <w:t>「界」是實；</w:t>
      </w:r>
    </w:p>
    <w:p w:rsidR="00157EF6" w:rsidRPr="00212D57" w:rsidRDefault="00157EF6" w:rsidP="002B682F">
      <w:pPr>
        <w:pStyle w:val="a5"/>
        <w:ind w:leftChars="335" w:left="804"/>
        <w:jc w:val="both"/>
        <w:rPr>
          <w:rFonts w:eastAsia="SimSun"/>
          <w:szCs w:val="22"/>
        </w:rPr>
      </w:pPr>
      <w:r w:rsidRPr="00212D57">
        <w:rPr>
          <w:rFonts w:eastAsia="細明體" w:hint="eastAsia"/>
          <w:szCs w:val="22"/>
        </w:rPr>
        <w:t>世親</w:t>
      </w:r>
      <w:r w:rsidRPr="00212D57">
        <w:rPr>
          <w:rFonts w:eastAsia="細明體"/>
          <w:szCs w:val="22"/>
        </w:rPr>
        <w:t>：「處、界」是實。</w:t>
      </w:r>
    </w:p>
  </w:footnote>
  <w:footnote w:id="351">
    <w:p w:rsidR="00157EF6" w:rsidRPr="00212D57" w:rsidRDefault="00157EF6" w:rsidP="002B682F">
      <w:pPr>
        <w:pStyle w:val="a5"/>
        <w:spacing w:line="0" w:lineRule="atLeast"/>
        <w:ind w:left="253" w:hangingChars="115" w:hanging="253"/>
        <w:jc w:val="both"/>
        <w:rPr>
          <w:rFonts w:eastAsia="細明體"/>
          <w:szCs w:val="22"/>
        </w:rPr>
      </w:pPr>
      <w:r w:rsidRPr="00212D57">
        <w:rPr>
          <w:rStyle w:val="a6"/>
          <w:szCs w:val="22"/>
        </w:rPr>
        <w:footnoteRef/>
      </w:r>
      <w:r w:rsidRPr="00212D57">
        <w:rPr>
          <w:rFonts w:eastAsia="細明體"/>
          <w:szCs w:val="22"/>
        </w:rPr>
        <w:t xml:space="preserve"> </w:t>
      </w:r>
      <w:r w:rsidRPr="00212D57">
        <w:rPr>
          <w:rFonts w:eastAsia="細明體"/>
          <w:szCs w:val="22"/>
        </w:rPr>
        <w:t>印順法師，《性空學探源》</w:t>
      </w:r>
      <w:r w:rsidRPr="00212D57">
        <w:rPr>
          <w:rFonts w:eastAsia="細明體" w:hint="eastAsia"/>
          <w:szCs w:val="22"/>
        </w:rPr>
        <w:t>，</w:t>
      </w:r>
      <w:r w:rsidRPr="00761EF3">
        <w:rPr>
          <w:rFonts w:eastAsia="細明體"/>
          <w:szCs w:val="22"/>
        </w:rPr>
        <w:t>p</w:t>
      </w:r>
      <w:r w:rsidRPr="00212D57">
        <w:rPr>
          <w:rFonts w:eastAsia="細明體"/>
          <w:szCs w:val="22"/>
        </w:rPr>
        <w:t>.</w:t>
      </w:r>
      <w:r w:rsidRPr="00761EF3">
        <w:rPr>
          <w:rFonts w:eastAsia="細明體"/>
          <w:szCs w:val="22"/>
        </w:rPr>
        <w:t>199</w:t>
      </w:r>
      <w:r w:rsidRPr="00212D57">
        <w:rPr>
          <w:rFonts w:eastAsia="細明體"/>
          <w:szCs w:val="22"/>
        </w:rPr>
        <w:t>：</w:t>
      </w:r>
    </w:p>
    <w:p w:rsidR="00157EF6" w:rsidRPr="00212D57" w:rsidRDefault="00157EF6" w:rsidP="002B682F">
      <w:pPr>
        <w:pStyle w:val="a5"/>
        <w:ind w:leftChars="105" w:left="252"/>
        <w:jc w:val="both"/>
        <w:rPr>
          <w:rFonts w:eastAsia="SimSun"/>
          <w:szCs w:val="22"/>
        </w:rPr>
      </w:pPr>
      <w:r w:rsidRPr="00212D57">
        <w:rPr>
          <w:rFonts w:ascii="標楷體" w:eastAsia="標楷體" w:hAnsi="標楷體"/>
          <w:szCs w:val="22"/>
        </w:rPr>
        <w:t>《俱舍》論主出入於有部</w:t>
      </w:r>
      <w:r w:rsidRPr="00212D57">
        <w:rPr>
          <w:rFonts w:ascii="標楷體" w:eastAsia="標楷體" w:hAnsi="標楷體" w:hint="eastAsia"/>
          <w:szCs w:val="22"/>
        </w:rPr>
        <w:t>、</w:t>
      </w:r>
      <w:r w:rsidRPr="00212D57">
        <w:rPr>
          <w:rFonts w:ascii="標楷體" w:eastAsia="標楷體" w:hAnsi="標楷體"/>
          <w:szCs w:val="22"/>
        </w:rPr>
        <w:t>經部之間，倡說</w:t>
      </w:r>
      <w:r w:rsidRPr="00212D57">
        <w:rPr>
          <w:rFonts w:ascii="標楷體" w:eastAsia="標楷體" w:hAnsi="標楷體"/>
          <w:b/>
          <w:szCs w:val="22"/>
        </w:rPr>
        <w:t>唯蘊是假，處</w:t>
      </w:r>
      <w:r w:rsidRPr="00212D57">
        <w:rPr>
          <w:rFonts w:ascii="標楷體" w:eastAsia="標楷體" w:hAnsi="標楷體" w:hint="eastAsia"/>
          <w:b/>
          <w:szCs w:val="22"/>
        </w:rPr>
        <w:t>、</w:t>
      </w:r>
      <w:r w:rsidRPr="00212D57">
        <w:rPr>
          <w:rFonts w:ascii="標楷體" w:eastAsia="標楷體" w:hAnsi="標楷體"/>
          <w:b/>
          <w:szCs w:val="22"/>
        </w:rPr>
        <w:t>界是實</w:t>
      </w:r>
      <w:r w:rsidRPr="00212D57">
        <w:rPr>
          <w:rFonts w:ascii="標楷體" w:eastAsia="標楷體" w:hAnsi="標楷體"/>
          <w:szCs w:val="22"/>
        </w:rPr>
        <w:t>。蘊的積聚假，界的因果真實，都同經部。至於十二處，他認為和合相雖是假的，處的一一極微還有作用。《論》中卷</w:t>
      </w:r>
      <w:r w:rsidR="00FA194E">
        <w:rPr>
          <w:rFonts w:ascii="標楷體" w:eastAsia="標楷體" w:hAnsi="標楷體" w:hint="eastAsia"/>
          <w:szCs w:val="22"/>
        </w:rPr>
        <w:t>1</w:t>
      </w:r>
      <w:r w:rsidR="00FA194E" w:rsidRPr="00FA194E">
        <w:rPr>
          <w:rFonts w:eastAsia="細明體"/>
          <w:szCs w:val="22"/>
          <w:shd w:val="pct15" w:color="auto" w:fill="FFFFFF"/>
        </w:rPr>
        <w:t>（大正</w:t>
      </w:r>
      <w:r w:rsidR="00FA194E" w:rsidRPr="00FA194E">
        <w:rPr>
          <w:rFonts w:eastAsia="細明體"/>
          <w:szCs w:val="22"/>
          <w:shd w:val="pct15" w:color="auto" w:fill="FFFFFF"/>
        </w:rPr>
        <w:t>29</w:t>
      </w:r>
      <w:r w:rsidR="00FA194E" w:rsidRPr="00FA194E">
        <w:rPr>
          <w:rFonts w:eastAsia="細明體"/>
          <w:szCs w:val="22"/>
          <w:shd w:val="pct15" w:color="auto" w:fill="FFFFFF"/>
        </w:rPr>
        <w:t>，</w:t>
      </w:r>
      <w:r w:rsidR="00FA194E" w:rsidRPr="00FA194E">
        <w:rPr>
          <w:rFonts w:eastAsia="細明體"/>
          <w:szCs w:val="22"/>
          <w:shd w:val="pct15" w:color="auto" w:fill="FFFFFF"/>
        </w:rPr>
        <w:t>5a24-25</w:t>
      </w:r>
      <w:r w:rsidR="00FA194E" w:rsidRPr="00FA194E">
        <w:rPr>
          <w:rFonts w:eastAsia="細明體"/>
          <w:szCs w:val="22"/>
          <w:shd w:val="pct15" w:color="auto" w:fill="FFFFFF"/>
        </w:rPr>
        <w:t>）</w:t>
      </w:r>
      <w:r w:rsidRPr="00212D57">
        <w:rPr>
          <w:rFonts w:ascii="標楷體" w:eastAsia="標楷體" w:hAnsi="標楷體"/>
          <w:szCs w:val="22"/>
        </w:rPr>
        <w:t>說：</w:t>
      </w:r>
      <w:r w:rsidRPr="00212D57">
        <w:rPr>
          <w:rFonts w:ascii="標楷體" w:eastAsia="標楷體" w:hAnsi="標楷體" w:hint="eastAsia"/>
          <w:szCs w:val="22"/>
        </w:rPr>
        <w:t>「</w:t>
      </w:r>
      <w:r w:rsidRPr="00212D57">
        <w:rPr>
          <w:rFonts w:ascii="標楷體" w:eastAsia="標楷體" w:hAnsi="標楷體"/>
          <w:szCs w:val="22"/>
        </w:rPr>
        <w:t>多積聚中一一極微有因用故。</w:t>
      </w:r>
      <w:r w:rsidRPr="00212D57">
        <w:rPr>
          <w:rFonts w:ascii="標楷體" w:eastAsia="標楷體" w:hAnsi="標楷體" w:hint="eastAsia"/>
          <w:szCs w:val="22"/>
        </w:rPr>
        <w:t>」</w:t>
      </w:r>
      <w:r w:rsidRPr="00212D57">
        <w:rPr>
          <w:rFonts w:ascii="標楷體" w:eastAsia="標楷體" w:hAnsi="標楷體"/>
          <w:szCs w:val="22"/>
        </w:rPr>
        <w:t>因此，處是實有的。這思想接近於有部。</w:t>
      </w:r>
    </w:p>
  </w:footnote>
  <w:footnote w:id="352">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）《瑜伽師地論》卷</w:t>
      </w:r>
      <w:r w:rsidRPr="00761EF3">
        <w:rPr>
          <w:szCs w:val="22"/>
        </w:rPr>
        <w:t>36</w:t>
      </w:r>
      <w:r w:rsidRPr="00212D57">
        <w:rPr>
          <w:szCs w:val="22"/>
        </w:rPr>
        <w:t>〈</w:t>
      </w:r>
      <w:r w:rsidRPr="00761EF3">
        <w:rPr>
          <w:szCs w:val="22"/>
        </w:rPr>
        <w:t>4</w:t>
      </w:r>
      <w:r w:rsidRPr="00212D57">
        <w:rPr>
          <w:szCs w:val="22"/>
        </w:rPr>
        <w:t xml:space="preserve"> </w:t>
      </w:r>
      <w:r w:rsidRPr="00212D57">
        <w:rPr>
          <w:szCs w:val="22"/>
        </w:rPr>
        <w:t>真實義品〉（大正</w:t>
      </w:r>
      <w:r w:rsidRPr="00761EF3">
        <w:rPr>
          <w:szCs w:val="22"/>
        </w:rPr>
        <w:t>30</w:t>
      </w:r>
      <w:r w:rsidRPr="00212D57">
        <w:rPr>
          <w:szCs w:val="22"/>
        </w:rPr>
        <w:t>，</w:t>
      </w:r>
      <w:r w:rsidRPr="00761EF3">
        <w:rPr>
          <w:szCs w:val="22"/>
        </w:rPr>
        <w:t>488b22</w:t>
      </w:r>
      <w:r w:rsidRPr="00212D57">
        <w:rPr>
          <w:szCs w:val="22"/>
        </w:rPr>
        <w:t>-</w:t>
      </w:r>
      <w:r w:rsidRPr="00761EF3">
        <w:rPr>
          <w:szCs w:val="22"/>
        </w:rPr>
        <w:t>27</w:t>
      </w:r>
      <w:r w:rsidRPr="00212D57">
        <w:rPr>
          <w:szCs w:val="22"/>
        </w:rPr>
        <w:t>）</w:t>
      </w:r>
      <w:r w:rsidRPr="00212D57">
        <w:rPr>
          <w:rFonts w:hint="eastAsia"/>
          <w:szCs w:val="22"/>
        </w:rPr>
        <w:t>：</w:t>
      </w:r>
    </w:p>
    <w:p w:rsidR="00157EF6" w:rsidRPr="00212D57" w:rsidRDefault="00157EF6" w:rsidP="002B682F">
      <w:pPr>
        <w:pStyle w:val="a5"/>
        <w:ind w:leftChars="335" w:left="804"/>
        <w:jc w:val="both"/>
        <w:rPr>
          <w:rFonts w:eastAsia="SimSun"/>
          <w:szCs w:val="22"/>
        </w:rPr>
      </w:pPr>
      <w:r w:rsidRPr="00212D57">
        <w:rPr>
          <w:rFonts w:eastAsia="標楷體"/>
          <w:szCs w:val="22"/>
        </w:rPr>
        <w:t>譬如要有色等諸蘊，方有假立補特伽羅，非無實事而有假立補特伽羅</w:t>
      </w:r>
      <w:r w:rsidR="00FA194E">
        <w:rPr>
          <w:rFonts w:ascii="標楷體" w:eastAsia="標楷體" w:hAnsi="標楷體" w:hint="eastAsia"/>
          <w:color w:val="FF0000"/>
          <w:spacing w:val="-4"/>
          <w:kern w:val="0"/>
          <w:highlight w:val="yellow"/>
        </w:rPr>
        <w:t>；</w:t>
      </w:r>
      <w:r w:rsidRPr="00212D57">
        <w:rPr>
          <w:rFonts w:eastAsia="標楷體"/>
          <w:szCs w:val="22"/>
        </w:rPr>
        <w:t>如是要有色等諸法實有唯事，方可</w:t>
      </w:r>
      <w:r w:rsidRPr="00212D57">
        <w:rPr>
          <w:rFonts w:ascii="標楷體" w:eastAsia="標楷體" w:hAnsi="標楷體"/>
          <w:szCs w:val="22"/>
        </w:rPr>
        <w:t>得有色等諸法假說所表，非無唯事而有色等假說所表。若唯有假而無實事，既無依處，假亦無有</w:t>
      </w:r>
      <w:r w:rsidRPr="00212D57">
        <w:rPr>
          <w:rFonts w:ascii="標楷體" w:eastAsia="標楷體" w:hAnsi="標楷體"/>
          <w:bCs/>
          <w:szCs w:val="22"/>
        </w:rPr>
        <w:t>，是則名為壞諸法者。</w:t>
      </w:r>
    </w:p>
    <w:p w:rsidR="00157EF6" w:rsidRPr="00212D57" w:rsidRDefault="00157EF6" w:rsidP="002B682F">
      <w:pPr>
        <w:pStyle w:val="a5"/>
        <w:ind w:leftChars="105" w:left="791" w:hangingChars="245" w:hanging="539"/>
        <w:jc w:val="both"/>
        <w:rPr>
          <w:rFonts w:eastAsia="標楷體"/>
          <w:szCs w:val="22"/>
        </w:rPr>
      </w:pPr>
      <w:r w:rsidRPr="00212D57">
        <w:rPr>
          <w:rFonts w:eastAsia="細明體"/>
          <w:szCs w:val="22"/>
        </w:rPr>
        <w:t>（</w:t>
      </w:r>
      <w:r w:rsidRPr="00761EF3">
        <w:rPr>
          <w:rFonts w:eastAsia="細明體"/>
          <w:szCs w:val="22"/>
        </w:rPr>
        <w:t>2</w:t>
      </w:r>
      <w:r w:rsidR="00980035">
        <w:rPr>
          <w:rFonts w:eastAsia="細明體"/>
          <w:szCs w:val="22"/>
        </w:rPr>
        <w:t>）</w:t>
      </w:r>
      <w:r w:rsidRPr="00212D57">
        <w:rPr>
          <w:rFonts w:eastAsia="細明體"/>
          <w:szCs w:val="22"/>
        </w:rPr>
        <w:t>遁倫集撰，《瑜伽論記》卷</w:t>
      </w:r>
      <w:r w:rsidRPr="00761EF3">
        <w:rPr>
          <w:rFonts w:eastAsia="細明體"/>
          <w:szCs w:val="22"/>
        </w:rPr>
        <w:t>9</w:t>
      </w:r>
      <w:r w:rsidRPr="00212D57">
        <w:rPr>
          <w:rFonts w:eastAsia="細明體"/>
          <w:szCs w:val="22"/>
        </w:rPr>
        <w:t>〈真實義品〉（大正</w:t>
      </w:r>
      <w:r w:rsidRPr="00761EF3">
        <w:rPr>
          <w:rFonts w:eastAsia="細明體"/>
          <w:szCs w:val="22"/>
        </w:rPr>
        <w:t>42</w:t>
      </w:r>
      <w:r w:rsidRPr="00212D57">
        <w:rPr>
          <w:rFonts w:eastAsia="細明體"/>
          <w:szCs w:val="22"/>
        </w:rPr>
        <w:t>，</w:t>
      </w:r>
      <w:r w:rsidRPr="00761EF3">
        <w:rPr>
          <w:rFonts w:eastAsia="細明體"/>
          <w:szCs w:val="22"/>
        </w:rPr>
        <w:t>508a5</w:t>
      </w:r>
      <w:r w:rsidRPr="00212D57">
        <w:rPr>
          <w:rFonts w:eastAsia="細明體"/>
          <w:szCs w:val="22"/>
        </w:rPr>
        <w:t>-</w:t>
      </w:r>
      <w:r w:rsidRPr="00761EF3">
        <w:rPr>
          <w:rFonts w:eastAsia="細明體"/>
          <w:szCs w:val="22"/>
        </w:rPr>
        <w:t>26</w:t>
      </w:r>
      <w:r w:rsidRPr="00212D57">
        <w:rPr>
          <w:rFonts w:eastAsia="細明體"/>
          <w:szCs w:val="22"/>
        </w:rPr>
        <w:t>）</w:t>
      </w:r>
      <w:r w:rsidRPr="00212D57">
        <w:rPr>
          <w:rFonts w:eastAsia="細明體" w:hint="eastAsia"/>
          <w:szCs w:val="22"/>
        </w:rPr>
        <w:t>。</w:t>
      </w:r>
    </w:p>
    <w:p w:rsidR="00157EF6" w:rsidRPr="00212D57" w:rsidRDefault="00157EF6" w:rsidP="002B682F">
      <w:pPr>
        <w:pStyle w:val="a5"/>
        <w:ind w:leftChars="105" w:left="791" w:hangingChars="245" w:hanging="539"/>
        <w:jc w:val="both"/>
        <w:rPr>
          <w:rFonts w:eastAsia="細明體"/>
          <w:szCs w:val="22"/>
        </w:rPr>
      </w:pPr>
      <w:r w:rsidRPr="00212D57">
        <w:rPr>
          <w:rFonts w:eastAsia="細明體"/>
          <w:szCs w:val="22"/>
        </w:rPr>
        <w:t>（</w:t>
      </w:r>
      <w:r w:rsidRPr="00761EF3">
        <w:rPr>
          <w:rFonts w:eastAsia="細明體"/>
          <w:szCs w:val="22"/>
        </w:rPr>
        <w:t>3</w:t>
      </w:r>
      <w:r w:rsidRPr="00212D57">
        <w:rPr>
          <w:rFonts w:eastAsia="細明體"/>
          <w:szCs w:val="22"/>
        </w:rPr>
        <w:t>）</w:t>
      </w:r>
      <w:r w:rsidRPr="00212D57">
        <w:rPr>
          <w:rFonts w:eastAsia="細明體" w:hint="eastAsia"/>
          <w:szCs w:val="22"/>
        </w:rPr>
        <w:t>韓清淨科記，</w:t>
      </w:r>
      <w:r w:rsidRPr="00212D57">
        <w:rPr>
          <w:rFonts w:eastAsia="細明體"/>
          <w:szCs w:val="22"/>
        </w:rPr>
        <w:t>《</w:t>
      </w:r>
      <w:r w:rsidRPr="00212D57">
        <w:rPr>
          <w:rFonts w:eastAsia="細明體" w:hint="eastAsia"/>
          <w:szCs w:val="22"/>
        </w:rPr>
        <w:t>瑜伽師地論科句披尋記</w:t>
      </w:r>
      <w:r w:rsidRPr="00212D57">
        <w:rPr>
          <w:rFonts w:eastAsia="細明體"/>
          <w:szCs w:val="22"/>
        </w:rPr>
        <w:t>》</w:t>
      </w:r>
      <w:r w:rsidRPr="00212D57">
        <w:rPr>
          <w:rFonts w:eastAsia="細明體" w:hint="eastAsia"/>
          <w:szCs w:val="22"/>
        </w:rPr>
        <w:t>，</w:t>
      </w:r>
      <w:r w:rsidRPr="00761EF3">
        <w:rPr>
          <w:rFonts w:eastAsia="細明體" w:hint="eastAsia"/>
          <w:szCs w:val="22"/>
        </w:rPr>
        <w:t>pp</w:t>
      </w:r>
      <w:r w:rsidRPr="00212D57">
        <w:rPr>
          <w:rFonts w:eastAsia="細明體" w:hint="eastAsia"/>
          <w:szCs w:val="22"/>
        </w:rPr>
        <w:t>.</w:t>
      </w:r>
      <w:r w:rsidRPr="00761EF3">
        <w:rPr>
          <w:rFonts w:eastAsia="細明體" w:hint="eastAsia"/>
          <w:szCs w:val="22"/>
        </w:rPr>
        <w:t>1197</w:t>
      </w:r>
      <w:r w:rsidRPr="00212D57">
        <w:rPr>
          <w:rFonts w:eastAsia="細明體" w:hint="eastAsia"/>
          <w:szCs w:val="22"/>
        </w:rPr>
        <w:t>-</w:t>
      </w:r>
      <w:r w:rsidRPr="00761EF3">
        <w:rPr>
          <w:rFonts w:eastAsia="細明體" w:hint="eastAsia"/>
          <w:szCs w:val="22"/>
        </w:rPr>
        <w:t>1198</w:t>
      </w:r>
      <w:r w:rsidRPr="00212D57">
        <w:rPr>
          <w:rFonts w:eastAsia="細明體" w:hint="eastAsia"/>
          <w:szCs w:val="22"/>
        </w:rPr>
        <w:t>：</w:t>
      </w:r>
    </w:p>
    <w:p w:rsidR="00157EF6" w:rsidRPr="00212D57" w:rsidRDefault="00157EF6" w:rsidP="002B682F">
      <w:pPr>
        <w:pStyle w:val="af4"/>
        <w:snapToGrid w:val="0"/>
        <w:ind w:leftChars="335" w:left="804"/>
        <w:jc w:val="both"/>
        <w:rPr>
          <w:rFonts w:ascii="標楷體" w:eastAsia="標楷體" w:hAnsi="標楷體"/>
          <w:sz w:val="22"/>
          <w:szCs w:val="22"/>
        </w:rPr>
      </w:pPr>
      <w:r w:rsidRPr="00212D57">
        <w:rPr>
          <w:rFonts w:ascii="標楷體" w:eastAsia="標楷體" w:hAnsi="標楷體" w:hint="eastAsia"/>
          <w:sz w:val="22"/>
          <w:szCs w:val="22"/>
        </w:rPr>
        <w:t>「譬如要有色等諸蘊</w:t>
      </w:r>
      <w:r w:rsidR="00A106F6">
        <w:rPr>
          <w:rFonts w:ascii="標楷體" w:eastAsia="標楷體" w:hAnsi="標楷體" w:hint="eastAsia"/>
          <w:bCs w:val="0"/>
          <w:color w:val="FF0000"/>
          <w:kern w:val="0"/>
          <w:sz w:val="22"/>
          <w:highlight w:val="yellow"/>
        </w:rPr>
        <w:t>」</w:t>
      </w:r>
      <w:r w:rsidRPr="00212D57">
        <w:rPr>
          <w:rFonts w:ascii="標楷體" w:eastAsia="標楷體" w:hAnsi="標楷體" w:hint="eastAsia"/>
          <w:sz w:val="22"/>
          <w:szCs w:val="22"/>
        </w:rPr>
        <w:t>至</w:t>
      </w:r>
      <w:r w:rsidR="00A106F6">
        <w:rPr>
          <w:rFonts w:ascii="標楷體" w:eastAsia="標楷體" w:hAnsi="標楷體" w:hint="eastAsia"/>
          <w:bCs w:val="0"/>
          <w:color w:val="FF0000"/>
          <w:kern w:val="0"/>
          <w:sz w:val="22"/>
          <w:highlight w:val="yellow"/>
        </w:rPr>
        <w:t>「</w:t>
      </w:r>
      <w:r w:rsidRPr="00212D57">
        <w:rPr>
          <w:rFonts w:ascii="標楷體" w:eastAsia="標楷體" w:hAnsi="標楷體" w:hint="eastAsia"/>
          <w:sz w:val="22"/>
          <w:szCs w:val="22"/>
        </w:rPr>
        <w:t>假說所表」者，此釋</w:t>
      </w:r>
      <w:r w:rsidR="00FA194E">
        <w:rPr>
          <w:rFonts w:ascii="標楷體" w:eastAsia="標楷體" w:hAnsi="標楷體" w:hint="eastAsia"/>
          <w:bCs w:val="0"/>
          <w:color w:val="FF0000"/>
          <w:kern w:val="0"/>
          <w:sz w:val="22"/>
          <w:highlight w:val="yellow"/>
        </w:rPr>
        <w:t>「</w:t>
      </w:r>
      <w:r w:rsidRPr="00212D57">
        <w:rPr>
          <w:rFonts w:ascii="標楷體" w:eastAsia="標楷體" w:hAnsi="標楷體" w:hint="eastAsia"/>
          <w:sz w:val="22"/>
          <w:szCs w:val="22"/>
        </w:rPr>
        <w:t>無實</w:t>
      </w:r>
      <w:r w:rsidR="00FA194E">
        <w:rPr>
          <w:rFonts w:ascii="標楷體" w:eastAsia="標楷體" w:hAnsi="標楷體" w:hint="eastAsia"/>
          <w:color w:val="FF0000"/>
          <w:kern w:val="0"/>
          <w:sz w:val="22"/>
          <w:highlight w:val="yellow"/>
        </w:rPr>
        <w:t>，</w:t>
      </w:r>
      <w:r w:rsidRPr="00212D57">
        <w:rPr>
          <w:rFonts w:ascii="標楷體" w:eastAsia="標楷體" w:hAnsi="標楷體" w:hint="eastAsia"/>
          <w:sz w:val="22"/>
          <w:szCs w:val="22"/>
        </w:rPr>
        <w:t>不應道理</w:t>
      </w:r>
      <w:r w:rsidR="00FA194E">
        <w:rPr>
          <w:rFonts w:ascii="標楷體" w:eastAsia="標楷體" w:hAnsi="標楷體" w:hint="eastAsia"/>
          <w:bCs w:val="0"/>
          <w:color w:val="FF0000"/>
          <w:kern w:val="0"/>
          <w:sz w:val="22"/>
          <w:highlight w:val="yellow"/>
        </w:rPr>
        <w:t>」</w:t>
      </w:r>
      <w:r w:rsidRPr="00212D57">
        <w:rPr>
          <w:rFonts w:ascii="標楷體" w:eastAsia="標楷體" w:hAnsi="標楷體" w:hint="eastAsia"/>
          <w:sz w:val="22"/>
          <w:szCs w:val="22"/>
        </w:rPr>
        <w:t>。色等諸蘊是實有事，補特伽羅唯是假名，非</w:t>
      </w:r>
      <w:r w:rsidR="00FA194E">
        <w:rPr>
          <w:rFonts w:ascii="標楷體" w:eastAsia="標楷體" w:hAnsi="標楷體" w:hint="eastAsia"/>
          <w:bCs w:val="0"/>
          <w:color w:val="FF0000"/>
          <w:kern w:val="0"/>
          <w:sz w:val="22"/>
          <w:highlight w:val="yellow"/>
        </w:rPr>
        <w:t>「</w:t>
      </w:r>
      <w:r w:rsidRPr="00212D57">
        <w:rPr>
          <w:rFonts w:ascii="標楷體" w:eastAsia="標楷體" w:hAnsi="標楷體" w:hint="eastAsia"/>
          <w:sz w:val="22"/>
          <w:szCs w:val="22"/>
        </w:rPr>
        <w:t>無實事</w:t>
      </w:r>
      <w:r w:rsidR="00FA194E">
        <w:rPr>
          <w:rFonts w:ascii="標楷體" w:eastAsia="標楷體" w:hAnsi="標楷體" w:hint="eastAsia"/>
          <w:color w:val="FF0000"/>
          <w:kern w:val="0"/>
          <w:sz w:val="22"/>
          <w:highlight w:val="yellow"/>
        </w:rPr>
        <w:t>，</w:t>
      </w:r>
      <w:r w:rsidRPr="00212D57">
        <w:rPr>
          <w:rFonts w:ascii="標楷體" w:eastAsia="標楷體" w:hAnsi="標楷體" w:hint="eastAsia"/>
          <w:sz w:val="22"/>
          <w:szCs w:val="22"/>
        </w:rPr>
        <w:t>假名可有</w:t>
      </w:r>
      <w:r w:rsidR="00FA194E">
        <w:rPr>
          <w:rFonts w:ascii="標楷體" w:eastAsia="標楷體" w:hAnsi="標楷體" w:hint="eastAsia"/>
          <w:bCs w:val="0"/>
          <w:color w:val="FF0000"/>
          <w:kern w:val="0"/>
          <w:sz w:val="22"/>
          <w:highlight w:val="yellow"/>
        </w:rPr>
        <w:t>」</w:t>
      </w:r>
      <w:r w:rsidRPr="00212D57">
        <w:rPr>
          <w:rFonts w:ascii="標楷體" w:eastAsia="標楷體" w:hAnsi="標楷體" w:hint="eastAsia"/>
          <w:sz w:val="22"/>
          <w:szCs w:val="22"/>
        </w:rPr>
        <w:t>。色等諸法，當知亦爾。要有唯事</w:t>
      </w:r>
      <w:r w:rsidR="00FA194E">
        <w:rPr>
          <w:rFonts w:ascii="標楷體" w:eastAsia="標楷體" w:hAnsi="標楷體" w:hint="eastAsia"/>
          <w:color w:val="FF0000"/>
          <w:kern w:val="0"/>
          <w:sz w:val="22"/>
          <w:highlight w:val="yellow"/>
        </w:rPr>
        <w:t>，</w:t>
      </w:r>
      <w:r w:rsidRPr="00212D57">
        <w:rPr>
          <w:rFonts w:ascii="標楷體" w:eastAsia="標楷體" w:hAnsi="標楷體" w:hint="eastAsia"/>
          <w:sz w:val="22"/>
          <w:szCs w:val="22"/>
        </w:rPr>
        <w:t>方可假說，非</w:t>
      </w:r>
      <w:r w:rsidR="00FA194E">
        <w:rPr>
          <w:rFonts w:ascii="標楷體" w:eastAsia="標楷體" w:hAnsi="標楷體" w:hint="eastAsia"/>
          <w:bCs w:val="0"/>
          <w:color w:val="FF0000"/>
          <w:kern w:val="0"/>
          <w:sz w:val="22"/>
          <w:highlight w:val="yellow"/>
        </w:rPr>
        <w:t>「</w:t>
      </w:r>
      <w:r w:rsidRPr="00212D57">
        <w:rPr>
          <w:rFonts w:ascii="標楷體" w:eastAsia="標楷體" w:hAnsi="標楷體" w:hint="eastAsia"/>
          <w:sz w:val="22"/>
          <w:szCs w:val="22"/>
        </w:rPr>
        <w:t>事都無</w:t>
      </w:r>
      <w:r w:rsidR="00FA194E">
        <w:rPr>
          <w:rFonts w:ascii="標楷體" w:eastAsia="標楷體" w:hAnsi="標楷體" w:hint="eastAsia"/>
          <w:color w:val="FF0000"/>
          <w:kern w:val="0"/>
          <w:sz w:val="22"/>
          <w:highlight w:val="yellow"/>
        </w:rPr>
        <w:t>，</w:t>
      </w:r>
      <w:r w:rsidRPr="00212D57">
        <w:rPr>
          <w:rFonts w:ascii="標楷體" w:eastAsia="標楷體" w:hAnsi="標楷體" w:hint="eastAsia"/>
          <w:sz w:val="22"/>
          <w:szCs w:val="22"/>
        </w:rPr>
        <w:t>可假說有</w:t>
      </w:r>
      <w:r w:rsidR="00FA194E">
        <w:rPr>
          <w:rFonts w:ascii="標楷體" w:eastAsia="標楷體" w:hAnsi="標楷體" w:hint="eastAsia"/>
          <w:bCs w:val="0"/>
          <w:color w:val="FF0000"/>
          <w:kern w:val="0"/>
          <w:sz w:val="22"/>
          <w:highlight w:val="yellow"/>
        </w:rPr>
        <w:t>」</w:t>
      </w:r>
      <w:r w:rsidRPr="00212D57">
        <w:rPr>
          <w:rFonts w:ascii="標楷體" w:eastAsia="標楷體" w:hAnsi="標楷體" w:hint="eastAsia"/>
          <w:sz w:val="22"/>
          <w:szCs w:val="22"/>
        </w:rPr>
        <w:t>。於此諸事唯聖智證，簡</w:t>
      </w:r>
      <w:r w:rsidR="00FA194E">
        <w:rPr>
          <w:rFonts w:ascii="標楷體" w:eastAsia="標楷體" w:hAnsi="標楷體" w:hint="eastAsia"/>
          <w:bCs w:val="0"/>
          <w:color w:val="FF0000"/>
          <w:kern w:val="0"/>
          <w:sz w:val="22"/>
          <w:highlight w:val="yellow"/>
        </w:rPr>
        <w:t>「</w:t>
      </w:r>
      <w:r w:rsidRPr="00212D57">
        <w:rPr>
          <w:rFonts w:ascii="標楷體" w:eastAsia="標楷體" w:hAnsi="標楷體" w:hint="eastAsia"/>
          <w:sz w:val="22"/>
          <w:szCs w:val="22"/>
        </w:rPr>
        <w:t>離言說</w:t>
      </w:r>
      <w:r w:rsidR="00FA194E">
        <w:rPr>
          <w:rFonts w:ascii="標楷體" w:eastAsia="標楷體" w:hAnsi="標楷體" w:hint="eastAsia"/>
          <w:bCs w:val="0"/>
          <w:color w:val="FF0000"/>
          <w:kern w:val="0"/>
          <w:sz w:val="22"/>
          <w:highlight w:val="yellow"/>
        </w:rPr>
        <w:t>」</w:t>
      </w:r>
      <w:r w:rsidRPr="00212D57">
        <w:rPr>
          <w:rFonts w:ascii="標楷體" w:eastAsia="標楷體" w:hAnsi="標楷體" w:hint="eastAsia"/>
          <w:sz w:val="22"/>
          <w:szCs w:val="22"/>
        </w:rPr>
        <w:t>，故名</w:t>
      </w:r>
      <w:r w:rsidR="00FA194E">
        <w:rPr>
          <w:rFonts w:ascii="標楷體" w:eastAsia="標楷體" w:hAnsi="標楷體" w:hint="eastAsia"/>
          <w:bCs w:val="0"/>
          <w:color w:val="FF0000"/>
          <w:kern w:val="0"/>
          <w:sz w:val="22"/>
          <w:highlight w:val="yellow"/>
        </w:rPr>
        <w:t>「</w:t>
      </w:r>
      <w:r w:rsidRPr="00212D57">
        <w:rPr>
          <w:rFonts w:ascii="標楷體" w:eastAsia="標楷體" w:hAnsi="標楷體" w:hint="eastAsia"/>
          <w:sz w:val="22"/>
          <w:szCs w:val="22"/>
        </w:rPr>
        <w:t>唯事</w:t>
      </w:r>
      <w:r w:rsidR="00FA194E">
        <w:rPr>
          <w:rFonts w:ascii="標楷體" w:eastAsia="標楷體" w:hAnsi="標楷體" w:hint="eastAsia"/>
          <w:bCs w:val="0"/>
          <w:color w:val="FF0000"/>
          <w:kern w:val="0"/>
          <w:sz w:val="22"/>
          <w:highlight w:val="yellow"/>
        </w:rPr>
        <w:t>」</w:t>
      </w:r>
      <w:r w:rsidRPr="00212D57">
        <w:rPr>
          <w:rFonts w:ascii="標楷體" w:eastAsia="標楷體" w:hAnsi="標楷體" w:hint="eastAsia"/>
          <w:sz w:val="22"/>
          <w:szCs w:val="22"/>
        </w:rPr>
        <w:t>，不待言說而攝取故。</w:t>
      </w:r>
    </w:p>
    <w:p w:rsidR="00157EF6" w:rsidRPr="00212D57" w:rsidRDefault="00157EF6" w:rsidP="002B682F">
      <w:pPr>
        <w:widowControl/>
        <w:snapToGrid w:val="0"/>
        <w:ind w:leftChars="335" w:left="804"/>
        <w:jc w:val="both"/>
        <w:rPr>
          <w:rFonts w:ascii="標楷體" w:eastAsia="標楷體" w:hAnsi="標楷體"/>
          <w:sz w:val="22"/>
          <w:szCs w:val="22"/>
        </w:rPr>
      </w:pPr>
      <w:r w:rsidRPr="00212D57">
        <w:rPr>
          <w:rFonts w:ascii="標楷體" w:eastAsia="標楷體" w:hAnsi="標楷體" w:hint="eastAsia"/>
          <w:bCs/>
          <w:sz w:val="22"/>
          <w:szCs w:val="22"/>
        </w:rPr>
        <w:t>「若唯有假</w:t>
      </w:r>
      <w:r w:rsidR="00A106F6">
        <w:rPr>
          <w:rFonts w:ascii="標楷體" w:eastAsia="標楷體" w:hAnsi="標楷體" w:hint="eastAsia"/>
          <w:bCs/>
          <w:color w:val="FF0000"/>
          <w:kern w:val="0"/>
          <w:sz w:val="22"/>
          <w:highlight w:val="yellow"/>
        </w:rPr>
        <w:t>」</w:t>
      </w:r>
      <w:r w:rsidRPr="00212D57">
        <w:rPr>
          <w:rFonts w:ascii="標楷體" w:eastAsia="標楷體" w:hAnsi="標楷體" w:hint="eastAsia"/>
          <w:bCs/>
          <w:sz w:val="22"/>
          <w:szCs w:val="22"/>
        </w:rPr>
        <w:t>至</w:t>
      </w:r>
      <w:r w:rsidR="00A106F6">
        <w:rPr>
          <w:rFonts w:ascii="標楷體" w:eastAsia="標楷體" w:hAnsi="標楷體" w:hint="eastAsia"/>
          <w:bCs/>
          <w:color w:val="FF0000"/>
          <w:kern w:val="0"/>
          <w:sz w:val="22"/>
          <w:highlight w:val="yellow"/>
        </w:rPr>
        <w:t>「</w:t>
      </w:r>
      <w:r w:rsidRPr="00212D57">
        <w:rPr>
          <w:rFonts w:ascii="標楷體" w:eastAsia="標楷體" w:hAnsi="標楷體" w:hint="eastAsia"/>
          <w:bCs/>
          <w:sz w:val="22"/>
          <w:szCs w:val="22"/>
        </w:rPr>
        <w:t>壞諸法者」者，此釋</w:t>
      </w:r>
      <w:r w:rsidR="00A106F6">
        <w:rPr>
          <w:rFonts w:ascii="標楷體" w:eastAsia="標楷體" w:hAnsi="標楷體" w:hint="eastAsia"/>
          <w:bCs/>
          <w:color w:val="FF0000"/>
          <w:kern w:val="0"/>
          <w:sz w:val="22"/>
          <w:highlight w:val="yellow"/>
        </w:rPr>
        <w:t>「</w:t>
      </w:r>
      <w:r w:rsidRPr="00212D57">
        <w:rPr>
          <w:rFonts w:ascii="標楷體" w:eastAsia="標楷體" w:hAnsi="標楷體" w:hint="eastAsia"/>
          <w:bCs/>
          <w:sz w:val="22"/>
          <w:szCs w:val="22"/>
        </w:rPr>
        <w:t>無假</w:t>
      </w:r>
      <w:r w:rsidR="00A106F6">
        <w:rPr>
          <w:rFonts w:ascii="標楷體" w:eastAsia="標楷體" w:hAnsi="標楷體" w:hint="eastAsia"/>
          <w:color w:val="FF0000"/>
          <w:kern w:val="0"/>
          <w:sz w:val="22"/>
          <w:highlight w:val="yellow"/>
        </w:rPr>
        <w:t>，</w:t>
      </w:r>
      <w:r w:rsidRPr="00212D57">
        <w:rPr>
          <w:rFonts w:ascii="標楷體" w:eastAsia="標楷體" w:hAnsi="標楷體" w:hint="eastAsia"/>
          <w:bCs/>
          <w:sz w:val="22"/>
          <w:szCs w:val="22"/>
        </w:rPr>
        <w:t>不應道理</w:t>
      </w:r>
      <w:r w:rsidR="00A106F6">
        <w:rPr>
          <w:rFonts w:ascii="標楷體" w:eastAsia="標楷體" w:hAnsi="標楷體" w:hint="eastAsia"/>
          <w:bCs/>
          <w:color w:val="FF0000"/>
          <w:kern w:val="0"/>
          <w:sz w:val="22"/>
          <w:highlight w:val="yellow"/>
        </w:rPr>
        <w:t>」</w:t>
      </w:r>
      <w:r w:rsidRPr="00212D57">
        <w:rPr>
          <w:rFonts w:ascii="標楷體" w:eastAsia="標楷體" w:hAnsi="標楷體" w:hint="eastAsia"/>
          <w:bCs/>
          <w:sz w:val="22"/>
          <w:szCs w:val="22"/>
        </w:rPr>
        <w:t>。真實既無，假亦無有</w:t>
      </w:r>
      <w:r w:rsidR="00A106F6">
        <w:rPr>
          <w:rFonts w:ascii="標楷體" w:eastAsia="標楷體" w:hAnsi="標楷體" w:hint="eastAsia"/>
          <w:color w:val="FF0000"/>
          <w:spacing w:val="-4"/>
          <w:kern w:val="0"/>
          <w:sz w:val="22"/>
          <w:highlight w:val="yellow"/>
        </w:rPr>
        <w:t>；</w:t>
      </w:r>
      <w:r w:rsidRPr="00212D57">
        <w:rPr>
          <w:rFonts w:ascii="標楷體" w:eastAsia="標楷體" w:hAnsi="標楷體" w:hint="eastAsia"/>
          <w:bCs/>
          <w:sz w:val="22"/>
          <w:szCs w:val="22"/>
        </w:rPr>
        <w:t>許唯假有，理不得成。若許假無，是則於是法中起非法想，誹撥諸法假言說相，由是名為壞諸法者。</w:t>
      </w:r>
    </w:p>
    <w:p w:rsidR="00157EF6" w:rsidRPr="00212D57" w:rsidRDefault="00157EF6" w:rsidP="002B682F">
      <w:pPr>
        <w:pStyle w:val="a5"/>
        <w:ind w:leftChars="105" w:left="791" w:hangingChars="245" w:hanging="539"/>
        <w:jc w:val="both"/>
        <w:rPr>
          <w:rFonts w:eastAsia="細明體"/>
          <w:szCs w:val="22"/>
        </w:rPr>
      </w:pPr>
      <w:r w:rsidRPr="00212D57">
        <w:rPr>
          <w:rFonts w:eastAsia="細明體" w:hint="eastAsia"/>
          <w:szCs w:val="22"/>
        </w:rPr>
        <w:t>（</w:t>
      </w:r>
      <w:r w:rsidRPr="00761EF3">
        <w:rPr>
          <w:rFonts w:eastAsia="細明體" w:hint="eastAsia"/>
          <w:szCs w:val="22"/>
        </w:rPr>
        <w:t>4</w:t>
      </w:r>
      <w:r w:rsidRPr="00212D57">
        <w:rPr>
          <w:rFonts w:eastAsia="細明體" w:hint="eastAsia"/>
          <w:szCs w:val="22"/>
        </w:rPr>
        <w:t>）</w:t>
      </w:r>
      <w:r w:rsidRPr="00212D57">
        <w:rPr>
          <w:rFonts w:eastAsia="細明體"/>
          <w:szCs w:val="22"/>
        </w:rPr>
        <w:t>太虛</w:t>
      </w:r>
      <w:r w:rsidRPr="00212D57">
        <w:rPr>
          <w:rStyle w:val="byline"/>
          <w:rFonts w:hAnsi="新細明體"/>
          <w:color w:val="auto"/>
          <w:sz w:val="22"/>
          <w:szCs w:val="22"/>
        </w:rPr>
        <w:t>大師</w:t>
      </w:r>
      <w:r w:rsidRPr="00212D57">
        <w:rPr>
          <w:rFonts w:eastAsia="細明體"/>
          <w:szCs w:val="22"/>
        </w:rPr>
        <w:t>，《太虛大師全書　第六編　法相唯識學》</w:t>
      </w:r>
      <w:r w:rsidRPr="00212D57">
        <w:rPr>
          <w:rFonts w:eastAsia="細明體" w:hint="eastAsia"/>
          <w:szCs w:val="22"/>
        </w:rPr>
        <w:t>，精</w:t>
      </w:r>
      <w:r>
        <w:rPr>
          <w:rFonts w:eastAsia="細明體" w:hint="eastAsia"/>
          <w:szCs w:val="22"/>
        </w:rPr>
        <w:t>裝</w:t>
      </w:r>
      <w:r w:rsidRPr="00212D57">
        <w:rPr>
          <w:rFonts w:eastAsia="細明體" w:hint="eastAsia"/>
          <w:szCs w:val="22"/>
        </w:rPr>
        <w:t>第</w:t>
      </w:r>
      <w:r w:rsidRPr="00761EF3">
        <w:rPr>
          <w:rFonts w:eastAsia="細明體" w:hint="eastAsia"/>
          <w:szCs w:val="22"/>
        </w:rPr>
        <w:t>7</w:t>
      </w:r>
      <w:r w:rsidRPr="00212D57">
        <w:rPr>
          <w:rFonts w:eastAsia="細明體" w:hint="eastAsia"/>
          <w:szCs w:val="22"/>
        </w:rPr>
        <w:t>冊，</w:t>
      </w:r>
      <w:r w:rsidRPr="00761EF3">
        <w:rPr>
          <w:rFonts w:eastAsia="細明體"/>
          <w:szCs w:val="22"/>
        </w:rPr>
        <w:t>p</w:t>
      </w:r>
      <w:r w:rsidRPr="00212D57">
        <w:rPr>
          <w:rFonts w:eastAsia="細明體"/>
          <w:szCs w:val="22"/>
        </w:rPr>
        <w:t>.</w:t>
      </w:r>
      <w:r w:rsidRPr="00761EF3">
        <w:rPr>
          <w:rFonts w:eastAsia="細明體"/>
          <w:szCs w:val="22"/>
        </w:rPr>
        <w:t>181</w:t>
      </w:r>
      <w:r w:rsidRPr="00212D57">
        <w:rPr>
          <w:rFonts w:eastAsia="細明體"/>
          <w:szCs w:val="22"/>
        </w:rPr>
        <w:t>：</w:t>
      </w:r>
    </w:p>
    <w:p w:rsidR="00157EF6" w:rsidRPr="00212D57" w:rsidRDefault="00157EF6" w:rsidP="002B682F">
      <w:pPr>
        <w:pStyle w:val="a5"/>
        <w:ind w:leftChars="335" w:left="804"/>
        <w:jc w:val="both"/>
        <w:rPr>
          <w:rFonts w:eastAsia="SimSun"/>
          <w:szCs w:val="22"/>
        </w:rPr>
      </w:pPr>
      <w:r w:rsidRPr="00212D57">
        <w:rPr>
          <w:rFonts w:eastAsia="標楷體"/>
          <w:szCs w:val="22"/>
        </w:rPr>
        <w:t>倘謂世間無有真實，則虛假法亦無，假法必依真事而建立故。例如補特伽羅</w:t>
      </w:r>
      <w:r w:rsidRPr="00212D57">
        <w:rPr>
          <w:rFonts w:ascii="標楷體" w:eastAsia="標楷體" w:hAnsi="標楷體"/>
          <w:szCs w:val="22"/>
        </w:rPr>
        <w:t>──</w:t>
      </w:r>
      <w:r w:rsidRPr="00212D57">
        <w:rPr>
          <w:rFonts w:eastAsia="標楷體"/>
          <w:szCs w:val="22"/>
        </w:rPr>
        <w:t>通常云我</w:t>
      </w:r>
      <w:r w:rsidRPr="00212D57">
        <w:rPr>
          <w:rFonts w:ascii="標楷體" w:eastAsia="標楷體" w:hAnsi="標楷體"/>
          <w:szCs w:val="22"/>
        </w:rPr>
        <w:t>──</w:t>
      </w:r>
      <w:r w:rsidRPr="00212D57">
        <w:rPr>
          <w:rFonts w:eastAsia="標楷體"/>
          <w:szCs w:val="22"/>
        </w:rPr>
        <w:t>雖是假法，然必有其所依之五蘊法而得建立，若無諸蘊和合相續似一之相，愚者從何執為有實我耶？倘謂諸法唯假而無真實，既無所依之真實法體，則假法又何從而有哉？</w:t>
      </w:r>
    </w:p>
  </w:footnote>
  <w:footnote w:id="353">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eastAsia="SimSun"/>
          <w:szCs w:val="22"/>
        </w:rPr>
        <w:t xml:space="preserve"> </w:t>
      </w:r>
      <w:r w:rsidRPr="00212D57">
        <w:rPr>
          <w:rFonts w:eastAsia="細明體"/>
          <w:szCs w:val="22"/>
        </w:rPr>
        <w:t>稟承：</w:t>
      </w:r>
      <w:r w:rsidRPr="00212D57">
        <w:rPr>
          <w:szCs w:val="22"/>
        </w:rPr>
        <w:t>承受，聽命。（《漢語大詞典》（</w:t>
      </w:r>
      <w:r w:rsidRPr="00212D57">
        <w:rPr>
          <w:rFonts w:eastAsia="SimSun"/>
          <w:szCs w:val="22"/>
        </w:rPr>
        <w:t>一</w:t>
      </w:r>
      <w:r w:rsidRPr="00212D57">
        <w:rPr>
          <w:szCs w:val="22"/>
        </w:rPr>
        <w:t>），</w:t>
      </w:r>
      <w:r w:rsidRPr="00761EF3">
        <w:rPr>
          <w:szCs w:val="22"/>
        </w:rPr>
        <w:t>p</w:t>
      </w:r>
      <w:r w:rsidRPr="00212D57">
        <w:rPr>
          <w:szCs w:val="22"/>
        </w:rPr>
        <w:t>.</w:t>
      </w:r>
      <w:r w:rsidRPr="00761EF3">
        <w:rPr>
          <w:rFonts w:eastAsia="SimSun"/>
          <w:szCs w:val="22"/>
        </w:rPr>
        <w:t>773</w:t>
      </w:r>
      <w:r w:rsidRPr="00212D57">
        <w:rPr>
          <w:szCs w:val="22"/>
        </w:rPr>
        <w:t>）</w:t>
      </w:r>
    </w:p>
  </w:footnote>
  <w:footnote w:id="354">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eastAsia="SimSun"/>
          <w:szCs w:val="22"/>
        </w:rPr>
        <w:t xml:space="preserve"> </w:t>
      </w:r>
      <w:r w:rsidRPr="00212D57">
        <w:rPr>
          <w:rFonts w:eastAsia="細明體"/>
          <w:szCs w:val="22"/>
        </w:rPr>
        <w:t>天經地義：</w:t>
      </w:r>
      <w:r w:rsidRPr="00212D57">
        <w:rPr>
          <w:szCs w:val="22"/>
        </w:rPr>
        <w:t>天地間本當如此、不可更改的道理。（《漢語大詞典》（</w:t>
      </w:r>
      <w:r w:rsidRPr="00212D57">
        <w:rPr>
          <w:rFonts w:eastAsia="SimSun"/>
          <w:szCs w:val="22"/>
        </w:rPr>
        <w:t>二</w:t>
      </w:r>
      <w:r w:rsidRPr="00212D57">
        <w:rPr>
          <w:szCs w:val="22"/>
        </w:rPr>
        <w:t>），</w:t>
      </w:r>
      <w:r w:rsidRPr="00761EF3">
        <w:rPr>
          <w:szCs w:val="22"/>
        </w:rPr>
        <w:t>p</w:t>
      </w:r>
      <w:r w:rsidRPr="00212D57">
        <w:rPr>
          <w:szCs w:val="22"/>
        </w:rPr>
        <w:t>.</w:t>
      </w:r>
      <w:r w:rsidRPr="00761EF3">
        <w:rPr>
          <w:rFonts w:eastAsia="SimSun"/>
          <w:szCs w:val="22"/>
        </w:rPr>
        <w:t>1443</w:t>
      </w:r>
      <w:r w:rsidRPr="00212D57">
        <w:rPr>
          <w:szCs w:val="22"/>
        </w:rPr>
        <w:t>）</w:t>
      </w:r>
    </w:p>
  </w:footnote>
  <w:footnote w:id="355">
    <w:p w:rsidR="00157EF6" w:rsidRPr="00212D57" w:rsidRDefault="00157EF6" w:rsidP="002B682F">
      <w:pPr>
        <w:pStyle w:val="a5"/>
        <w:spacing w:line="0" w:lineRule="atLeast"/>
        <w:ind w:left="792" w:hangingChars="360" w:hanging="792"/>
        <w:jc w:val="both"/>
        <w:rPr>
          <w:rFonts w:eastAsia="SimSun"/>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）《解深密經》卷</w:t>
      </w:r>
      <w:r w:rsidRPr="00761EF3">
        <w:rPr>
          <w:szCs w:val="22"/>
        </w:rPr>
        <w:t>2</w:t>
      </w:r>
      <w:r w:rsidRPr="00212D57">
        <w:rPr>
          <w:szCs w:val="22"/>
        </w:rPr>
        <w:t>〈</w:t>
      </w:r>
      <w:r w:rsidRPr="00761EF3">
        <w:rPr>
          <w:szCs w:val="22"/>
        </w:rPr>
        <w:t>4</w:t>
      </w:r>
      <w:r w:rsidRPr="00212D57">
        <w:rPr>
          <w:szCs w:val="22"/>
        </w:rPr>
        <w:t xml:space="preserve"> </w:t>
      </w:r>
      <w:r w:rsidRPr="00212D57">
        <w:rPr>
          <w:szCs w:val="22"/>
        </w:rPr>
        <w:t>一切法相品〉（大正</w:t>
      </w:r>
      <w:r w:rsidRPr="00761EF3">
        <w:rPr>
          <w:szCs w:val="22"/>
        </w:rPr>
        <w:t>16</w:t>
      </w:r>
      <w:r w:rsidRPr="00212D57">
        <w:rPr>
          <w:szCs w:val="22"/>
        </w:rPr>
        <w:t>，</w:t>
      </w:r>
      <w:r w:rsidRPr="00761EF3">
        <w:rPr>
          <w:szCs w:val="22"/>
        </w:rPr>
        <w:t>693a17</w:t>
      </w:r>
      <w:r w:rsidRPr="00212D57">
        <w:rPr>
          <w:szCs w:val="22"/>
        </w:rPr>
        <w:t>-</w:t>
      </w:r>
      <w:r w:rsidRPr="00761EF3">
        <w:rPr>
          <w:szCs w:val="22"/>
        </w:rPr>
        <w:t>20</w:t>
      </w:r>
      <w:r w:rsidRPr="00212D57">
        <w:rPr>
          <w:szCs w:val="22"/>
        </w:rPr>
        <w:t>）。</w:t>
      </w:r>
    </w:p>
    <w:p w:rsidR="00157EF6" w:rsidRPr="00212D57" w:rsidRDefault="00157EF6" w:rsidP="002B682F">
      <w:pPr>
        <w:pStyle w:val="a5"/>
        <w:ind w:leftChars="105" w:left="791" w:hangingChars="245" w:hanging="539"/>
        <w:jc w:val="both"/>
        <w:rPr>
          <w:rFonts w:eastAsia="細明體"/>
          <w:szCs w:val="22"/>
        </w:rPr>
      </w:pPr>
      <w:r w:rsidRPr="00212D57">
        <w:rPr>
          <w:rFonts w:eastAsia="細明體"/>
          <w:szCs w:val="22"/>
        </w:rPr>
        <w:t>（</w:t>
      </w:r>
      <w:r w:rsidRPr="00761EF3">
        <w:rPr>
          <w:rFonts w:eastAsia="細明體"/>
          <w:szCs w:val="22"/>
        </w:rPr>
        <w:t>2</w:t>
      </w:r>
      <w:r w:rsidRPr="00212D57">
        <w:rPr>
          <w:rFonts w:eastAsia="細明體"/>
          <w:szCs w:val="22"/>
        </w:rPr>
        <w:t>）演培法師，《解深密經語體釋》</w:t>
      </w:r>
      <w:r w:rsidRPr="00212D57">
        <w:rPr>
          <w:rFonts w:eastAsia="細明體" w:hint="eastAsia"/>
          <w:szCs w:val="22"/>
        </w:rPr>
        <w:t>，</w:t>
      </w:r>
      <w:r w:rsidRPr="00761EF3">
        <w:rPr>
          <w:rFonts w:eastAsia="細明體"/>
          <w:szCs w:val="22"/>
        </w:rPr>
        <w:t>pp</w:t>
      </w:r>
      <w:r w:rsidRPr="00212D57">
        <w:rPr>
          <w:rFonts w:eastAsia="細明體"/>
          <w:szCs w:val="22"/>
        </w:rPr>
        <w:t>.</w:t>
      </w:r>
      <w:r w:rsidRPr="00761EF3">
        <w:rPr>
          <w:rFonts w:eastAsia="細明體"/>
          <w:szCs w:val="22"/>
        </w:rPr>
        <w:t>171</w:t>
      </w:r>
      <w:r w:rsidRPr="00212D57">
        <w:rPr>
          <w:rFonts w:eastAsia="細明體"/>
          <w:szCs w:val="22"/>
        </w:rPr>
        <w:t>-</w:t>
      </w:r>
      <w:r w:rsidRPr="00761EF3">
        <w:rPr>
          <w:rFonts w:eastAsia="細明體"/>
          <w:szCs w:val="22"/>
        </w:rPr>
        <w:t>172</w:t>
      </w:r>
      <w:r w:rsidRPr="00212D57">
        <w:rPr>
          <w:rFonts w:eastAsia="細明體"/>
          <w:szCs w:val="22"/>
        </w:rPr>
        <w:t>：</w:t>
      </w:r>
    </w:p>
    <w:p w:rsidR="00157EF6" w:rsidRPr="00212D57" w:rsidRDefault="00157EF6" w:rsidP="002B682F">
      <w:pPr>
        <w:pStyle w:val="a5"/>
        <w:ind w:leftChars="335" w:left="804"/>
        <w:jc w:val="both"/>
        <w:rPr>
          <w:rFonts w:ascii="標楷體" w:eastAsia="標楷體" w:hAnsi="標楷體"/>
          <w:szCs w:val="22"/>
        </w:rPr>
      </w:pPr>
      <w:r w:rsidRPr="00212D57">
        <w:rPr>
          <w:rFonts w:eastAsia="標楷體"/>
          <w:szCs w:val="22"/>
        </w:rPr>
        <w:t>什麽叫做</w:t>
      </w:r>
      <w:r w:rsidRPr="00212D57">
        <w:rPr>
          <w:rFonts w:eastAsia="標楷體"/>
          <w:b/>
          <w:szCs w:val="22"/>
        </w:rPr>
        <w:t>遍計所執相</w:t>
      </w:r>
      <w:r w:rsidRPr="00212D57">
        <w:rPr>
          <w:rFonts w:eastAsia="標楷體"/>
          <w:szCs w:val="22"/>
        </w:rPr>
        <w:t>呢？謂一切法的名假安立及假名安立的自性、差別，</w:t>
      </w:r>
      <w:r w:rsidRPr="00212D57">
        <w:rPr>
          <w:rFonts w:ascii="標楷體" w:eastAsia="標楷體" w:hAnsi="標楷體" w:hint="eastAsia"/>
          <w:szCs w:val="22"/>
        </w:rPr>
        <w:t>乃至</w:t>
      </w:r>
      <w:r w:rsidRPr="00212D57">
        <w:rPr>
          <w:rFonts w:eastAsia="標楷體"/>
          <w:szCs w:val="22"/>
        </w:rPr>
        <w:t>為令隨起言説，叫做一切法的遍計所執相。一個有情，不論是天、是人、是畜生，在他認識上覺得怎樣，要以言語說出這是什麽，那是什麽，都各有他的名稱。如說這書就是這東西，這東西就是這書。内心上有這想像、感覺，就是假名，不一定要口頭說出來，才叫假名。依此起名、假義、假相安立的諸法</w:t>
      </w:r>
      <w:r w:rsidRPr="00212D57">
        <w:rPr>
          <w:rFonts w:eastAsia="標楷體" w:hint="eastAsia"/>
          <w:szCs w:val="22"/>
        </w:rPr>
        <w:t>自</w:t>
      </w:r>
      <w:r w:rsidRPr="00212D57">
        <w:rPr>
          <w:rFonts w:eastAsia="標楷體"/>
          <w:szCs w:val="22"/>
        </w:rPr>
        <w:t>性，諸法差別，是遍計所執。</w:t>
      </w:r>
      <w:r w:rsidR="00F87FD0">
        <w:rPr>
          <w:rFonts w:ascii="標楷體" w:eastAsia="標楷體" w:hAnsi="標楷體" w:hint="eastAsia"/>
          <w:spacing w:val="2"/>
          <w:szCs w:val="22"/>
          <w:shd w:val="pct15" w:color="auto" w:fill="FFFFFF"/>
        </w:rPr>
        <w:t>……</w:t>
      </w:r>
      <w:r w:rsidRPr="00212D57">
        <w:rPr>
          <w:rFonts w:ascii="標楷體" w:eastAsia="標楷體" w:hAnsi="標楷體" w:cs="新細明體" w:hint="eastAsia"/>
          <w:b/>
          <w:spacing w:val="12"/>
          <w:szCs w:val="22"/>
        </w:rPr>
        <w:t>自性</w:t>
      </w:r>
      <w:r w:rsidRPr="00212D57">
        <w:rPr>
          <w:rFonts w:ascii="標楷體" w:eastAsia="標楷體" w:hAnsi="標楷體" w:cs="新細明體" w:hint="eastAsia"/>
          <w:spacing w:val="12"/>
          <w:szCs w:val="22"/>
        </w:rPr>
        <w:t>是自體的意思，自體上有眾多的差別義，叫</w:t>
      </w:r>
      <w:r w:rsidRPr="00212D57">
        <w:rPr>
          <w:rFonts w:ascii="標楷體" w:eastAsia="標楷體" w:hAnsi="標楷體" w:cs="新細明體" w:hint="eastAsia"/>
          <w:b/>
          <w:spacing w:val="12"/>
          <w:szCs w:val="22"/>
        </w:rPr>
        <w:t>差別</w:t>
      </w:r>
      <w:r w:rsidRPr="00212D57">
        <w:rPr>
          <w:rFonts w:ascii="標楷體" w:eastAsia="標楷體" w:hAnsi="標楷體" w:cs="新細明體" w:hint="eastAsia"/>
          <w:spacing w:val="12"/>
          <w:szCs w:val="22"/>
        </w:rPr>
        <w:t>。如色法，青黃赤白是他的自性；可見不可見、可對不可對；有形沒有形，……是他的差別相。</w:t>
      </w:r>
      <w:r w:rsidRPr="00212D57">
        <w:rPr>
          <w:rFonts w:ascii="標楷體" w:eastAsia="標楷體" w:hAnsi="標楷體" w:cs="新細明體" w:hint="eastAsia"/>
          <w:b/>
          <w:spacing w:val="12"/>
          <w:szCs w:val="22"/>
        </w:rPr>
        <w:t>自性、差別，依假名安立，離了名義，自性、差別是不可知的。</w:t>
      </w:r>
      <w:r w:rsidR="00F87FD0">
        <w:rPr>
          <w:rFonts w:ascii="標楷體" w:eastAsia="標楷體" w:hAnsi="標楷體" w:hint="eastAsia"/>
          <w:spacing w:val="2"/>
          <w:szCs w:val="22"/>
          <w:shd w:val="pct15" w:color="auto" w:fill="FFFFFF"/>
        </w:rPr>
        <w:t>……</w:t>
      </w:r>
    </w:p>
    <w:p w:rsidR="00157EF6" w:rsidRPr="00212D57" w:rsidRDefault="00157EF6" w:rsidP="002B682F">
      <w:pPr>
        <w:pStyle w:val="a5"/>
        <w:ind w:leftChars="335" w:left="804"/>
        <w:jc w:val="both"/>
        <w:rPr>
          <w:rFonts w:eastAsia="標楷體"/>
          <w:szCs w:val="22"/>
        </w:rPr>
      </w:pPr>
      <w:r w:rsidRPr="00212D57">
        <w:rPr>
          <w:rFonts w:eastAsia="標楷體"/>
          <w:szCs w:val="22"/>
        </w:rPr>
        <w:t>什麽叫做諸法</w:t>
      </w:r>
      <w:r w:rsidRPr="00212D57">
        <w:rPr>
          <w:rFonts w:eastAsia="標楷體"/>
          <w:b/>
          <w:szCs w:val="22"/>
        </w:rPr>
        <w:t>依他起相</w:t>
      </w:r>
      <w:r w:rsidRPr="00212D57">
        <w:rPr>
          <w:rFonts w:eastAsia="標楷體"/>
          <w:szCs w:val="22"/>
        </w:rPr>
        <w:t>呢？謂一切法的緣生自性。這個有時</w:t>
      </w:r>
      <w:r w:rsidRPr="00212D57">
        <w:rPr>
          <w:rFonts w:eastAsia="標楷體" w:hint="eastAsia"/>
          <w:szCs w:val="22"/>
        </w:rPr>
        <w:t>，</w:t>
      </w:r>
      <w:r w:rsidRPr="00212D57">
        <w:rPr>
          <w:rFonts w:eastAsia="標楷體"/>
          <w:szCs w:val="22"/>
        </w:rPr>
        <w:t>那個就有</w:t>
      </w:r>
      <w:r w:rsidRPr="00212D57">
        <w:rPr>
          <w:rFonts w:eastAsia="標楷體" w:hint="eastAsia"/>
          <w:szCs w:val="22"/>
        </w:rPr>
        <w:t>；</w:t>
      </w:r>
      <w:r w:rsidRPr="00212D57">
        <w:rPr>
          <w:rFonts w:eastAsia="標楷體"/>
          <w:szCs w:val="22"/>
        </w:rPr>
        <w:t>這個生時</w:t>
      </w:r>
      <w:r w:rsidRPr="00212D57">
        <w:rPr>
          <w:rFonts w:eastAsia="標楷體" w:hint="eastAsia"/>
          <w:szCs w:val="22"/>
        </w:rPr>
        <w:t>，</w:t>
      </w:r>
      <w:r w:rsidRPr="00212D57">
        <w:rPr>
          <w:rFonts w:eastAsia="標楷體"/>
          <w:szCs w:val="22"/>
        </w:rPr>
        <w:t>那個就生，所謂無明緣行，行緣識，</w:t>
      </w:r>
      <w:r w:rsidRPr="00212D57">
        <w:rPr>
          <w:rFonts w:ascii="標楷體" w:eastAsia="標楷體" w:hAnsi="標楷體"/>
          <w:szCs w:val="22"/>
        </w:rPr>
        <w:t>……</w:t>
      </w:r>
      <w:r w:rsidRPr="00212D57">
        <w:rPr>
          <w:rFonts w:eastAsia="標楷體"/>
          <w:szCs w:val="22"/>
        </w:rPr>
        <w:t>招集純大苦蘊的十二因緣，是為依他起相。</w:t>
      </w:r>
    </w:p>
  </w:footnote>
  <w:footnote w:id="356">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）《解深密經》卷</w:t>
      </w:r>
      <w:r w:rsidRPr="00761EF3">
        <w:rPr>
          <w:szCs w:val="22"/>
        </w:rPr>
        <w:t>2</w:t>
      </w:r>
      <w:r w:rsidRPr="00212D57">
        <w:rPr>
          <w:szCs w:val="22"/>
        </w:rPr>
        <w:t>〈</w:t>
      </w:r>
      <w:r w:rsidRPr="00761EF3">
        <w:rPr>
          <w:szCs w:val="22"/>
        </w:rPr>
        <w:t>5</w:t>
      </w:r>
      <w:r w:rsidRPr="00212D57">
        <w:rPr>
          <w:szCs w:val="22"/>
        </w:rPr>
        <w:t xml:space="preserve"> </w:t>
      </w:r>
      <w:r w:rsidRPr="00212D57">
        <w:rPr>
          <w:szCs w:val="22"/>
        </w:rPr>
        <w:t>無自性相品〉（大正</w:t>
      </w:r>
      <w:r w:rsidRPr="00761EF3">
        <w:rPr>
          <w:szCs w:val="22"/>
        </w:rPr>
        <w:t>16</w:t>
      </w:r>
      <w:r w:rsidRPr="00212D57">
        <w:rPr>
          <w:szCs w:val="22"/>
        </w:rPr>
        <w:t>，</w:t>
      </w:r>
      <w:r w:rsidRPr="00761EF3">
        <w:rPr>
          <w:szCs w:val="22"/>
        </w:rPr>
        <w:t>694a15</w:t>
      </w:r>
      <w:r w:rsidRPr="00212D57">
        <w:rPr>
          <w:szCs w:val="22"/>
        </w:rPr>
        <w:t>-</w:t>
      </w:r>
      <w:r w:rsidRPr="00761EF3">
        <w:rPr>
          <w:rFonts w:eastAsia="細明體"/>
          <w:szCs w:val="22"/>
        </w:rPr>
        <w:t>b1</w:t>
      </w:r>
      <w:r w:rsidRPr="00212D57">
        <w:rPr>
          <w:szCs w:val="22"/>
        </w:rPr>
        <w:t>）：</w:t>
      </w:r>
    </w:p>
    <w:p w:rsidR="00157EF6" w:rsidRPr="00212D57" w:rsidRDefault="00157EF6" w:rsidP="002B682F">
      <w:pPr>
        <w:pStyle w:val="a5"/>
        <w:ind w:leftChars="335" w:left="804"/>
        <w:jc w:val="both"/>
        <w:rPr>
          <w:rFonts w:eastAsia="標楷體"/>
          <w:szCs w:val="22"/>
        </w:rPr>
      </w:pPr>
      <w:r w:rsidRPr="00212D57">
        <w:rPr>
          <w:rFonts w:eastAsia="標楷體"/>
          <w:szCs w:val="22"/>
        </w:rPr>
        <w:t>云何諸法「</w:t>
      </w:r>
      <w:r w:rsidRPr="00212D57">
        <w:rPr>
          <w:rFonts w:eastAsia="標楷體"/>
          <w:b/>
          <w:szCs w:val="22"/>
        </w:rPr>
        <w:t>相無自性性</w:t>
      </w:r>
      <w:r w:rsidRPr="00212D57">
        <w:rPr>
          <w:rFonts w:eastAsia="標楷體"/>
          <w:szCs w:val="22"/>
        </w:rPr>
        <w:t>」？謂諸法遍計所執相。何以故？此由假名安立為相，非由自相安立為相，是故說名</w:t>
      </w:r>
      <w:r w:rsidR="00A106F6">
        <w:rPr>
          <w:rFonts w:ascii="標楷體" w:eastAsia="標楷體" w:hAnsi="標楷體" w:hint="eastAsia"/>
          <w:bCs/>
          <w:color w:val="FF0000"/>
          <w:kern w:val="0"/>
          <w:highlight w:val="yellow"/>
        </w:rPr>
        <w:t>「</w:t>
      </w:r>
      <w:r w:rsidRPr="00212D57">
        <w:rPr>
          <w:rFonts w:eastAsia="標楷體"/>
          <w:szCs w:val="22"/>
        </w:rPr>
        <w:t>相無自性性</w:t>
      </w:r>
      <w:r w:rsidR="00A106F6">
        <w:rPr>
          <w:rFonts w:ascii="標楷體" w:eastAsia="標楷體" w:hAnsi="標楷體" w:hint="eastAsia"/>
          <w:bCs/>
          <w:color w:val="FF0000"/>
          <w:kern w:val="0"/>
          <w:highlight w:val="yellow"/>
        </w:rPr>
        <w:t>」</w:t>
      </w:r>
      <w:r w:rsidRPr="00212D57">
        <w:rPr>
          <w:rFonts w:eastAsia="標楷體"/>
          <w:szCs w:val="22"/>
        </w:rPr>
        <w:t>。</w:t>
      </w:r>
    </w:p>
    <w:p w:rsidR="00157EF6" w:rsidRPr="00212D57" w:rsidRDefault="00157EF6" w:rsidP="002B682F">
      <w:pPr>
        <w:pStyle w:val="a5"/>
        <w:ind w:leftChars="335" w:left="804"/>
        <w:jc w:val="both"/>
        <w:rPr>
          <w:rFonts w:eastAsia="標楷體"/>
          <w:szCs w:val="22"/>
        </w:rPr>
      </w:pPr>
      <w:r w:rsidRPr="00212D57">
        <w:rPr>
          <w:rFonts w:eastAsia="標楷體"/>
          <w:szCs w:val="22"/>
        </w:rPr>
        <w:t>云何諸法「</w:t>
      </w:r>
      <w:r w:rsidRPr="00212D57">
        <w:rPr>
          <w:rFonts w:eastAsia="標楷體"/>
          <w:b/>
          <w:szCs w:val="22"/>
        </w:rPr>
        <w:t>生無自性性</w:t>
      </w:r>
      <w:r w:rsidRPr="00212D57">
        <w:rPr>
          <w:rFonts w:eastAsia="標楷體"/>
          <w:szCs w:val="22"/>
        </w:rPr>
        <w:t>」？謂諸法依他起相。何以故？此由依他緣力故有，非自然有，是故說名</w:t>
      </w:r>
      <w:r w:rsidR="00A106F6">
        <w:rPr>
          <w:rFonts w:ascii="標楷體" w:eastAsia="標楷體" w:hAnsi="標楷體" w:hint="eastAsia"/>
          <w:bCs/>
          <w:color w:val="FF0000"/>
          <w:kern w:val="0"/>
          <w:highlight w:val="yellow"/>
        </w:rPr>
        <w:t>「</w:t>
      </w:r>
      <w:r w:rsidRPr="00212D57">
        <w:rPr>
          <w:rFonts w:eastAsia="標楷體"/>
          <w:szCs w:val="22"/>
        </w:rPr>
        <w:t>生無自性性</w:t>
      </w:r>
      <w:r w:rsidR="00A106F6">
        <w:rPr>
          <w:rFonts w:ascii="標楷體" w:eastAsia="標楷體" w:hAnsi="標楷體" w:hint="eastAsia"/>
          <w:bCs/>
          <w:color w:val="FF0000"/>
          <w:kern w:val="0"/>
          <w:highlight w:val="yellow"/>
        </w:rPr>
        <w:t>」</w:t>
      </w:r>
      <w:r w:rsidRPr="00212D57">
        <w:rPr>
          <w:rFonts w:eastAsia="標楷體"/>
          <w:szCs w:val="22"/>
        </w:rPr>
        <w:t>。</w:t>
      </w:r>
    </w:p>
    <w:p w:rsidR="00157EF6" w:rsidRPr="00212D57" w:rsidRDefault="00157EF6" w:rsidP="002B682F">
      <w:pPr>
        <w:pStyle w:val="a5"/>
        <w:ind w:leftChars="335" w:left="804"/>
        <w:jc w:val="both"/>
        <w:rPr>
          <w:rFonts w:eastAsia="SimSun"/>
          <w:szCs w:val="22"/>
          <w:lang w:eastAsia="zh-CN"/>
        </w:rPr>
      </w:pPr>
      <w:r w:rsidRPr="00212D57">
        <w:rPr>
          <w:rFonts w:eastAsia="標楷體"/>
          <w:szCs w:val="22"/>
        </w:rPr>
        <w:t>云何諸法「</w:t>
      </w:r>
      <w:r w:rsidRPr="00212D57">
        <w:rPr>
          <w:rFonts w:eastAsia="標楷體"/>
          <w:b/>
          <w:szCs w:val="22"/>
        </w:rPr>
        <w:t>勝義無自性性</w:t>
      </w:r>
      <w:r w:rsidRPr="00212D57">
        <w:rPr>
          <w:rFonts w:eastAsia="標楷體"/>
          <w:szCs w:val="22"/>
        </w:rPr>
        <w:t>」？</w:t>
      </w:r>
      <w:r w:rsidRPr="00980035">
        <w:rPr>
          <w:szCs w:val="22"/>
          <w:shd w:val="pct15" w:color="auto" w:fill="FFFFFF"/>
          <w:vertAlign w:val="superscript"/>
        </w:rPr>
        <w:t>（</w:t>
      </w:r>
      <w:r w:rsidRPr="00980035">
        <w:rPr>
          <w:szCs w:val="22"/>
          <w:shd w:val="pct15" w:color="auto" w:fill="FFFFFF"/>
          <w:vertAlign w:val="superscript"/>
        </w:rPr>
        <w:t>1</w:t>
      </w:r>
      <w:r w:rsidRPr="00980035">
        <w:rPr>
          <w:szCs w:val="22"/>
          <w:shd w:val="pct15" w:color="auto" w:fill="FFFFFF"/>
          <w:vertAlign w:val="superscript"/>
        </w:rPr>
        <w:t>）</w:t>
      </w:r>
      <w:r w:rsidRPr="00212D57">
        <w:rPr>
          <w:rFonts w:eastAsia="標楷體"/>
          <w:szCs w:val="22"/>
        </w:rPr>
        <w:t>謂諸法由</w:t>
      </w:r>
      <w:r w:rsidR="00A106F6">
        <w:rPr>
          <w:rFonts w:ascii="標楷體" w:eastAsia="標楷體" w:hAnsi="標楷體" w:hint="eastAsia"/>
          <w:bCs/>
          <w:color w:val="FF0000"/>
          <w:kern w:val="0"/>
          <w:highlight w:val="yellow"/>
        </w:rPr>
        <w:t>「</w:t>
      </w:r>
      <w:r w:rsidRPr="00212D57">
        <w:rPr>
          <w:rFonts w:eastAsia="標楷體"/>
          <w:szCs w:val="22"/>
        </w:rPr>
        <w:t>生無自性性</w:t>
      </w:r>
      <w:r w:rsidR="00A106F6">
        <w:rPr>
          <w:rFonts w:ascii="標楷體" w:eastAsia="標楷體" w:hAnsi="標楷體" w:hint="eastAsia"/>
          <w:bCs/>
          <w:color w:val="FF0000"/>
          <w:kern w:val="0"/>
          <w:highlight w:val="yellow"/>
        </w:rPr>
        <w:t>」</w:t>
      </w:r>
      <w:r w:rsidRPr="00A106F6">
        <w:rPr>
          <w:rFonts w:eastAsia="標楷體"/>
          <w:szCs w:val="22"/>
          <w:highlight w:val="yellow"/>
        </w:rPr>
        <w:t>故說</w:t>
      </w:r>
      <w:r w:rsidRPr="00212D57">
        <w:rPr>
          <w:rFonts w:eastAsia="標楷體"/>
          <w:szCs w:val="22"/>
        </w:rPr>
        <w:t>名</w:t>
      </w:r>
      <w:r w:rsidR="00A106F6">
        <w:rPr>
          <w:rFonts w:ascii="標楷體" w:eastAsia="標楷體" w:hAnsi="標楷體" w:hint="eastAsia"/>
          <w:bCs/>
          <w:color w:val="FF0000"/>
          <w:kern w:val="0"/>
          <w:highlight w:val="yellow"/>
        </w:rPr>
        <w:t>「</w:t>
      </w:r>
      <w:r w:rsidRPr="00212D57">
        <w:rPr>
          <w:rFonts w:eastAsia="標楷體"/>
          <w:szCs w:val="22"/>
        </w:rPr>
        <w:t>無自性性</w:t>
      </w:r>
      <w:r w:rsidR="00A106F6">
        <w:rPr>
          <w:rFonts w:ascii="標楷體" w:eastAsia="標楷體" w:hAnsi="標楷體" w:hint="eastAsia"/>
          <w:bCs/>
          <w:color w:val="FF0000"/>
          <w:kern w:val="0"/>
          <w:highlight w:val="yellow"/>
        </w:rPr>
        <w:t>」</w:t>
      </w:r>
      <w:r w:rsidR="00A106F6">
        <w:rPr>
          <w:rFonts w:ascii="標楷體" w:eastAsia="標楷體" w:hAnsi="標楷體" w:hint="eastAsia"/>
          <w:color w:val="FF0000"/>
          <w:kern w:val="0"/>
          <w:highlight w:val="yellow"/>
        </w:rPr>
        <w:t>，</w:t>
      </w:r>
      <w:r w:rsidRPr="00212D57">
        <w:rPr>
          <w:rFonts w:eastAsia="標楷體"/>
          <w:szCs w:val="22"/>
        </w:rPr>
        <w:t>即緣生</w:t>
      </w:r>
      <w:r w:rsidRPr="00980035">
        <w:rPr>
          <w:rFonts w:eastAsia="標楷體"/>
          <w:szCs w:val="22"/>
          <w:highlight w:val="yellow"/>
        </w:rPr>
        <w:t>法亦</w:t>
      </w:r>
      <w:r w:rsidRPr="00212D57">
        <w:rPr>
          <w:rFonts w:eastAsia="標楷體"/>
          <w:szCs w:val="22"/>
        </w:rPr>
        <w:t>名</w:t>
      </w:r>
      <w:r w:rsidR="00A106F6">
        <w:rPr>
          <w:rFonts w:ascii="標楷體" w:eastAsia="標楷體" w:hAnsi="標楷體" w:hint="eastAsia"/>
          <w:bCs/>
          <w:color w:val="FF0000"/>
          <w:kern w:val="0"/>
          <w:highlight w:val="yellow"/>
        </w:rPr>
        <w:t>「</w:t>
      </w:r>
      <w:r w:rsidRPr="00212D57">
        <w:rPr>
          <w:rFonts w:eastAsia="標楷體"/>
          <w:szCs w:val="22"/>
        </w:rPr>
        <w:t>勝義無自性性</w:t>
      </w:r>
      <w:r w:rsidR="00A106F6">
        <w:rPr>
          <w:rFonts w:ascii="標楷體" w:eastAsia="標楷體" w:hAnsi="標楷體" w:hint="eastAsia"/>
          <w:bCs/>
          <w:color w:val="FF0000"/>
          <w:kern w:val="0"/>
          <w:highlight w:val="yellow"/>
        </w:rPr>
        <w:t>」</w:t>
      </w:r>
      <w:r w:rsidRPr="00212D57">
        <w:rPr>
          <w:rFonts w:eastAsia="標楷體"/>
          <w:szCs w:val="22"/>
        </w:rPr>
        <w:t>。何以故？於諸法中若是清淨所緣境界，我顯示彼以為</w:t>
      </w:r>
      <w:r w:rsidR="00A106F6">
        <w:rPr>
          <w:rFonts w:ascii="標楷體" w:eastAsia="標楷體" w:hAnsi="標楷體" w:hint="eastAsia"/>
          <w:bCs/>
          <w:color w:val="FF0000"/>
          <w:kern w:val="0"/>
          <w:highlight w:val="yellow"/>
        </w:rPr>
        <w:t>「</w:t>
      </w:r>
      <w:r w:rsidRPr="00212D57">
        <w:rPr>
          <w:rFonts w:eastAsia="標楷體"/>
          <w:szCs w:val="22"/>
        </w:rPr>
        <w:t>勝義</w:t>
      </w:r>
      <w:r w:rsidR="00C456E0">
        <w:rPr>
          <w:rFonts w:ascii="標楷體" w:eastAsia="標楷體" w:hAnsi="標楷體" w:hint="eastAsia"/>
          <w:bCs/>
          <w:color w:val="FF0000"/>
          <w:kern w:val="0"/>
          <w:highlight w:val="yellow"/>
        </w:rPr>
        <w:t>」</w:t>
      </w:r>
      <w:r w:rsidR="00C456E0">
        <w:rPr>
          <w:rFonts w:ascii="標楷體" w:eastAsia="標楷體" w:hAnsi="標楷體" w:hint="eastAsia"/>
          <w:color w:val="FF0000"/>
          <w:spacing w:val="-4"/>
          <w:kern w:val="0"/>
          <w:highlight w:val="yellow"/>
        </w:rPr>
        <w:t>；</w:t>
      </w:r>
      <w:r w:rsidRPr="00212D57">
        <w:rPr>
          <w:rFonts w:eastAsia="標楷體"/>
          <w:szCs w:val="22"/>
        </w:rPr>
        <w:t>無自性性</w:t>
      </w:r>
      <w:r w:rsidR="00A106F6">
        <w:rPr>
          <w:rFonts w:ascii="標楷體" w:eastAsia="標楷體" w:hAnsi="標楷體" w:hint="eastAsia"/>
          <w:bCs/>
          <w:color w:val="FF0000"/>
          <w:kern w:val="0"/>
          <w:highlight w:val="yellow"/>
        </w:rPr>
        <w:t>「</w:t>
      </w:r>
      <w:r w:rsidRPr="00212D57">
        <w:rPr>
          <w:rFonts w:eastAsia="標楷體"/>
          <w:szCs w:val="22"/>
        </w:rPr>
        <w:t>依他起相</w:t>
      </w:r>
      <w:r w:rsidR="00A106F6">
        <w:rPr>
          <w:rFonts w:ascii="標楷體" w:eastAsia="標楷體" w:hAnsi="標楷體" w:hint="eastAsia"/>
          <w:bCs/>
          <w:color w:val="FF0000"/>
          <w:kern w:val="0"/>
          <w:highlight w:val="yellow"/>
        </w:rPr>
        <w:t>」</w:t>
      </w:r>
      <w:r w:rsidRPr="00212D57">
        <w:rPr>
          <w:rFonts w:eastAsia="標楷體"/>
          <w:szCs w:val="22"/>
        </w:rPr>
        <w:t>非是清淨所緣境界，是故亦說名為</w:t>
      </w:r>
      <w:r w:rsidR="00A106F6">
        <w:rPr>
          <w:rFonts w:ascii="標楷體" w:eastAsia="標楷體" w:hAnsi="標楷體" w:hint="eastAsia"/>
          <w:bCs/>
          <w:color w:val="FF0000"/>
          <w:kern w:val="0"/>
          <w:highlight w:val="yellow"/>
        </w:rPr>
        <w:t>「</w:t>
      </w:r>
      <w:r w:rsidRPr="00212D57">
        <w:rPr>
          <w:rFonts w:eastAsia="標楷體"/>
          <w:szCs w:val="22"/>
        </w:rPr>
        <w:t>勝義無自性性</w:t>
      </w:r>
      <w:r w:rsidR="00A106F6">
        <w:rPr>
          <w:rFonts w:ascii="標楷體" w:eastAsia="標楷體" w:hAnsi="標楷體" w:hint="eastAsia"/>
          <w:bCs/>
          <w:color w:val="FF0000"/>
          <w:kern w:val="0"/>
          <w:highlight w:val="yellow"/>
        </w:rPr>
        <w:t>」</w:t>
      </w:r>
      <w:r w:rsidRPr="00212D57">
        <w:rPr>
          <w:rFonts w:eastAsia="標楷體"/>
          <w:szCs w:val="22"/>
        </w:rPr>
        <w:t>。</w:t>
      </w:r>
      <w:r w:rsidRPr="00980035">
        <w:rPr>
          <w:szCs w:val="22"/>
          <w:shd w:val="pct15" w:color="auto" w:fill="FFFFFF"/>
          <w:vertAlign w:val="superscript"/>
        </w:rPr>
        <w:t>（</w:t>
      </w:r>
      <w:r w:rsidRPr="00980035">
        <w:rPr>
          <w:szCs w:val="22"/>
          <w:shd w:val="pct15" w:color="auto" w:fill="FFFFFF"/>
          <w:vertAlign w:val="superscript"/>
        </w:rPr>
        <w:t>2</w:t>
      </w:r>
      <w:r w:rsidRPr="00980035">
        <w:rPr>
          <w:szCs w:val="22"/>
          <w:shd w:val="pct15" w:color="auto" w:fill="FFFFFF"/>
          <w:vertAlign w:val="superscript"/>
        </w:rPr>
        <w:t>）</w:t>
      </w:r>
      <w:r w:rsidRPr="00212D57">
        <w:rPr>
          <w:rFonts w:eastAsia="標楷體"/>
          <w:szCs w:val="22"/>
        </w:rPr>
        <w:t>復有諸法</w:t>
      </w:r>
      <w:r w:rsidR="00A106F6">
        <w:rPr>
          <w:rFonts w:ascii="標楷體" w:eastAsia="標楷體" w:hAnsi="標楷體" w:hint="eastAsia"/>
          <w:bCs/>
          <w:color w:val="FF0000"/>
          <w:kern w:val="0"/>
          <w:highlight w:val="yellow"/>
        </w:rPr>
        <w:t>「</w:t>
      </w:r>
      <w:r w:rsidRPr="00212D57">
        <w:rPr>
          <w:rFonts w:eastAsia="標楷體"/>
          <w:szCs w:val="22"/>
        </w:rPr>
        <w:t>圓成實相</w:t>
      </w:r>
      <w:r w:rsidR="00A106F6">
        <w:rPr>
          <w:rFonts w:ascii="標楷體" w:eastAsia="標楷體" w:hAnsi="標楷體" w:hint="eastAsia"/>
          <w:bCs/>
          <w:color w:val="FF0000"/>
          <w:kern w:val="0"/>
          <w:highlight w:val="yellow"/>
        </w:rPr>
        <w:t>」</w:t>
      </w:r>
      <w:r w:rsidRPr="00212D57">
        <w:rPr>
          <w:rFonts w:eastAsia="標楷體"/>
          <w:szCs w:val="22"/>
        </w:rPr>
        <w:t>亦名</w:t>
      </w:r>
      <w:r w:rsidR="00A106F6">
        <w:rPr>
          <w:rFonts w:ascii="標楷體" w:eastAsia="標楷體" w:hAnsi="標楷體" w:hint="eastAsia"/>
          <w:bCs/>
          <w:color w:val="FF0000"/>
          <w:kern w:val="0"/>
          <w:highlight w:val="yellow"/>
        </w:rPr>
        <w:t>「</w:t>
      </w:r>
      <w:r w:rsidRPr="00212D57">
        <w:rPr>
          <w:rFonts w:eastAsia="標楷體"/>
          <w:szCs w:val="22"/>
        </w:rPr>
        <w:t>勝義無自性性</w:t>
      </w:r>
      <w:r w:rsidR="00A106F6">
        <w:rPr>
          <w:rFonts w:ascii="標楷體" w:eastAsia="標楷體" w:hAnsi="標楷體" w:hint="eastAsia"/>
          <w:bCs/>
          <w:color w:val="FF0000"/>
          <w:kern w:val="0"/>
          <w:highlight w:val="yellow"/>
        </w:rPr>
        <w:t>」</w:t>
      </w:r>
      <w:r w:rsidRPr="00212D57">
        <w:rPr>
          <w:rFonts w:eastAsia="標楷體"/>
          <w:szCs w:val="22"/>
        </w:rPr>
        <w:t>。何以故？一切諸法法無我性名為</w:t>
      </w:r>
      <w:r w:rsidR="00A106F6">
        <w:rPr>
          <w:rFonts w:ascii="標楷體" w:eastAsia="標楷體" w:hAnsi="標楷體" w:hint="eastAsia"/>
          <w:bCs/>
          <w:color w:val="FF0000"/>
          <w:kern w:val="0"/>
          <w:highlight w:val="yellow"/>
        </w:rPr>
        <w:t>「</w:t>
      </w:r>
      <w:r w:rsidRPr="00212D57">
        <w:rPr>
          <w:rFonts w:eastAsia="標楷體"/>
          <w:szCs w:val="22"/>
        </w:rPr>
        <w:t>勝義</w:t>
      </w:r>
      <w:r w:rsidR="00A106F6">
        <w:rPr>
          <w:rFonts w:ascii="標楷體" w:eastAsia="標楷體" w:hAnsi="標楷體" w:hint="eastAsia"/>
          <w:bCs/>
          <w:color w:val="FF0000"/>
          <w:kern w:val="0"/>
          <w:highlight w:val="yellow"/>
        </w:rPr>
        <w:t>」</w:t>
      </w:r>
      <w:r w:rsidRPr="00212D57">
        <w:rPr>
          <w:rFonts w:eastAsia="標楷體"/>
          <w:szCs w:val="22"/>
        </w:rPr>
        <w:t>，亦得名為</w:t>
      </w:r>
      <w:r w:rsidR="00A106F6">
        <w:rPr>
          <w:rFonts w:ascii="標楷體" w:eastAsia="標楷體" w:hAnsi="標楷體" w:hint="eastAsia"/>
          <w:bCs/>
          <w:color w:val="FF0000"/>
          <w:kern w:val="0"/>
          <w:highlight w:val="yellow"/>
        </w:rPr>
        <w:t>「</w:t>
      </w:r>
      <w:r w:rsidRPr="00212D57">
        <w:rPr>
          <w:rFonts w:eastAsia="標楷體"/>
          <w:szCs w:val="22"/>
        </w:rPr>
        <w:t>無自性性</w:t>
      </w:r>
      <w:r w:rsidR="00A106F6">
        <w:rPr>
          <w:rFonts w:ascii="標楷體" w:eastAsia="標楷體" w:hAnsi="標楷體" w:hint="eastAsia"/>
          <w:bCs/>
          <w:color w:val="FF0000"/>
          <w:kern w:val="0"/>
          <w:highlight w:val="yellow"/>
        </w:rPr>
        <w:t>」</w:t>
      </w:r>
      <w:r w:rsidRPr="00212D57">
        <w:rPr>
          <w:rFonts w:eastAsia="標楷體"/>
          <w:szCs w:val="22"/>
        </w:rPr>
        <w:t>，是一切法勝義諦故</w:t>
      </w:r>
      <w:r w:rsidR="00980035">
        <w:rPr>
          <w:rFonts w:eastAsia="標楷體" w:hint="eastAsia"/>
          <w:color w:val="FF0000"/>
          <w:szCs w:val="22"/>
          <w:highlight w:val="yellow"/>
        </w:rPr>
        <w:t>、</w:t>
      </w:r>
      <w:r w:rsidRPr="00212D57">
        <w:rPr>
          <w:rFonts w:eastAsia="標楷體"/>
          <w:szCs w:val="22"/>
        </w:rPr>
        <w:t>無自性性之所顯故</w:t>
      </w:r>
      <w:r w:rsidR="00980035">
        <w:rPr>
          <w:rFonts w:eastAsia="標楷體" w:hint="eastAsia"/>
          <w:color w:val="FF0000"/>
          <w:szCs w:val="22"/>
          <w:highlight w:val="yellow"/>
        </w:rPr>
        <w:t>，</w:t>
      </w:r>
      <w:r w:rsidRPr="00212D57">
        <w:rPr>
          <w:rFonts w:eastAsia="標楷體"/>
          <w:szCs w:val="22"/>
        </w:rPr>
        <w:t>由此因緣，名為</w:t>
      </w:r>
      <w:r w:rsidR="00A106F6">
        <w:rPr>
          <w:rFonts w:ascii="標楷體" w:eastAsia="標楷體" w:hAnsi="標楷體" w:hint="eastAsia"/>
          <w:bCs/>
          <w:color w:val="FF0000"/>
          <w:kern w:val="0"/>
          <w:highlight w:val="yellow"/>
        </w:rPr>
        <w:t>「</w:t>
      </w:r>
      <w:r w:rsidRPr="00212D57">
        <w:rPr>
          <w:rFonts w:eastAsia="標楷體"/>
          <w:szCs w:val="22"/>
        </w:rPr>
        <w:t>勝義無自性性</w:t>
      </w:r>
      <w:r w:rsidR="00A106F6">
        <w:rPr>
          <w:rFonts w:ascii="標楷體" w:eastAsia="標楷體" w:hAnsi="標楷體" w:hint="eastAsia"/>
          <w:bCs/>
          <w:color w:val="FF0000"/>
          <w:kern w:val="0"/>
          <w:highlight w:val="yellow"/>
        </w:rPr>
        <w:t>」</w:t>
      </w:r>
      <w:r w:rsidRPr="00212D57">
        <w:rPr>
          <w:rFonts w:eastAsia="標楷體"/>
          <w:szCs w:val="22"/>
        </w:rPr>
        <w:t>。</w:t>
      </w:r>
    </w:p>
    <w:p w:rsidR="00157EF6" w:rsidRPr="00212D57" w:rsidRDefault="00157EF6" w:rsidP="002B682F">
      <w:pPr>
        <w:pStyle w:val="a5"/>
        <w:ind w:leftChars="105" w:left="791" w:hangingChars="245" w:hanging="539"/>
        <w:jc w:val="both"/>
        <w:rPr>
          <w:rFonts w:eastAsia="細明體"/>
          <w:szCs w:val="22"/>
        </w:rPr>
      </w:pPr>
      <w:r w:rsidRPr="00212D57">
        <w:rPr>
          <w:rFonts w:eastAsia="細明體"/>
          <w:szCs w:val="22"/>
        </w:rPr>
        <w:t>（</w:t>
      </w:r>
      <w:r w:rsidRPr="00761EF3">
        <w:rPr>
          <w:rFonts w:eastAsia="細明體"/>
          <w:szCs w:val="22"/>
        </w:rPr>
        <w:t>2</w:t>
      </w:r>
      <w:r w:rsidRPr="00212D57">
        <w:rPr>
          <w:rFonts w:eastAsia="細明體"/>
          <w:szCs w:val="22"/>
        </w:rPr>
        <w:t>）演培</w:t>
      </w:r>
      <w:r w:rsidRPr="00212D57">
        <w:rPr>
          <w:rStyle w:val="byline"/>
          <w:rFonts w:hAnsi="新細明體"/>
          <w:color w:val="auto"/>
          <w:sz w:val="22"/>
          <w:szCs w:val="22"/>
        </w:rPr>
        <w:t>法師</w:t>
      </w:r>
      <w:r w:rsidRPr="00212D57">
        <w:rPr>
          <w:rFonts w:eastAsia="細明體"/>
          <w:szCs w:val="22"/>
        </w:rPr>
        <w:t>，《解深密經語體釋》</w:t>
      </w:r>
      <w:r w:rsidRPr="00212D57">
        <w:rPr>
          <w:rFonts w:eastAsia="細明體" w:hint="eastAsia"/>
          <w:szCs w:val="22"/>
        </w:rPr>
        <w:t>，</w:t>
      </w:r>
      <w:r w:rsidRPr="00761EF3">
        <w:rPr>
          <w:rFonts w:eastAsia="細明體"/>
          <w:szCs w:val="22"/>
        </w:rPr>
        <w:t>pp</w:t>
      </w:r>
      <w:r w:rsidRPr="00212D57">
        <w:rPr>
          <w:rFonts w:eastAsia="細明體"/>
          <w:szCs w:val="22"/>
        </w:rPr>
        <w:t>.</w:t>
      </w:r>
      <w:r w:rsidRPr="00761EF3">
        <w:rPr>
          <w:rFonts w:eastAsia="細明體"/>
          <w:szCs w:val="22"/>
        </w:rPr>
        <w:t>199</w:t>
      </w:r>
      <w:r w:rsidRPr="00212D57">
        <w:rPr>
          <w:rFonts w:eastAsia="細明體"/>
          <w:szCs w:val="22"/>
        </w:rPr>
        <w:t>-</w:t>
      </w:r>
      <w:r w:rsidRPr="00761EF3">
        <w:rPr>
          <w:rFonts w:eastAsia="細明體"/>
          <w:szCs w:val="22"/>
        </w:rPr>
        <w:t>203</w:t>
      </w:r>
      <w:r w:rsidRPr="00212D57">
        <w:rPr>
          <w:rFonts w:eastAsia="細明體"/>
          <w:szCs w:val="22"/>
        </w:rPr>
        <w:t>：</w:t>
      </w:r>
    </w:p>
    <w:p w:rsidR="00157EF6" w:rsidRPr="00212D57" w:rsidRDefault="00157EF6" w:rsidP="002B682F">
      <w:pPr>
        <w:pStyle w:val="a5"/>
        <w:ind w:leftChars="335" w:left="804"/>
        <w:jc w:val="both"/>
        <w:rPr>
          <w:rFonts w:eastAsia="標楷體"/>
          <w:szCs w:val="22"/>
        </w:rPr>
      </w:pPr>
      <w:r w:rsidRPr="00212D57">
        <w:rPr>
          <w:rFonts w:eastAsia="標楷體"/>
          <w:szCs w:val="22"/>
        </w:rPr>
        <w:t>什麽叫做</w:t>
      </w:r>
      <w:r w:rsidRPr="00212D57">
        <w:rPr>
          <w:rFonts w:eastAsia="標楷體"/>
          <w:b/>
          <w:szCs w:val="22"/>
        </w:rPr>
        <w:t>相無自性性</w:t>
      </w:r>
      <w:r w:rsidRPr="00212D57">
        <w:rPr>
          <w:rFonts w:eastAsia="標楷體"/>
          <w:szCs w:val="22"/>
        </w:rPr>
        <w:t>呢？這是在遍計所執相上建立的。爲什麽說這是相無自性性呢？諸法的遍計所執相，是以名計義、以義計名的名義相應法，求他的實自性，是不可得的。常人錯誤認識上所覺得怎樣怎樣的相貌，是由假名所安立的相，不是由自相所安立的相，所以是相無自性性。諸法的本身是這樣，不藉名言假説他怎樣，這是自相安立的法；諸法的本身原非這樣，而藉名言假説他怎樣，這是假名安立的法。自相安立者有自性，假名安立者無自性。</w:t>
      </w:r>
    </w:p>
    <w:p w:rsidR="00157EF6" w:rsidRPr="00212D57" w:rsidRDefault="00157EF6" w:rsidP="002B682F">
      <w:pPr>
        <w:pStyle w:val="a5"/>
        <w:ind w:leftChars="335" w:left="804"/>
        <w:jc w:val="both"/>
        <w:rPr>
          <w:rFonts w:eastAsia="SimSun"/>
          <w:szCs w:val="22"/>
        </w:rPr>
      </w:pPr>
      <w:r w:rsidRPr="00212D57">
        <w:rPr>
          <w:rFonts w:eastAsia="標楷體"/>
          <w:szCs w:val="22"/>
        </w:rPr>
        <w:t>什麽叫做</w:t>
      </w:r>
      <w:r w:rsidRPr="00212D57">
        <w:rPr>
          <w:rFonts w:eastAsia="標楷體" w:hint="eastAsia"/>
          <w:b/>
          <w:szCs w:val="22"/>
        </w:rPr>
        <w:t>生</w:t>
      </w:r>
      <w:r w:rsidRPr="00212D57">
        <w:rPr>
          <w:rFonts w:eastAsia="標楷體"/>
          <w:b/>
          <w:szCs w:val="22"/>
        </w:rPr>
        <w:t>無自性性</w:t>
      </w:r>
      <w:r w:rsidRPr="00212D57">
        <w:rPr>
          <w:rFonts w:eastAsia="標楷體"/>
          <w:szCs w:val="22"/>
        </w:rPr>
        <w:t>呢？這是在諸法依他起相上建立的。爲什麽說這是生無自性性呢？諸法的依他起相，是依其他因緣的力量有的，不是自然而然的自力有的，約非自然有的意思，所以說是生無自性性。依他緣力而有的法，如無明行的行，是依無明的緣力有的，所以行是依他起。</w:t>
      </w:r>
      <w:r w:rsidRPr="00980035">
        <w:rPr>
          <w:rFonts w:ascii="標楷體" w:eastAsia="標楷體" w:hAnsi="標楷體"/>
          <w:szCs w:val="22"/>
          <w:shd w:val="pct15" w:color="auto" w:fill="FFFFFF"/>
        </w:rPr>
        <w:t>……</w:t>
      </w:r>
      <w:r w:rsidRPr="00212D57">
        <w:rPr>
          <w:rFonts w:eastAsia="標楷體"/>
          <w:szCs w:val="22"/>
        </w:rPr>
        <w:t>抉擇分説，諸行是緣起性的，由因緣力生的，不是自己生起自己，所以是生無自性性。此中意說：因緣力生的依他起是有自性的，現在說他無自性，是無自性生的自然性，不是自相安立的因緣性也沒有。</w:t>
      </w:r>
    </w:p>
    <w:p w:rsidR="00157EF6" w:rsidRPr="00212D57" w:rsidRDefault="00157EF6" w:rsidP="002B682F">
      <w:pPr>
        <w:pStyle w:val="a5"/>
        <w:ind w:leftChars="335" w:left="804"/>
        <w:jc w:val="both"/>
        <w:rPr>
          <w:rFonts w:ascii="標楷體" w:eastAsia="標楷體" w:hAnsi="標楷體"/>
          <w:szCs w:val="22"/>
        </w:rPr>
      </w:pPr>
      <w:r w:rsidRPr="00212D57">
        <w:rPr>
          <w:rFonts w:ascii="標楷體" w:eastAsia="標楷體" w:hAnsi="標楷體"/>
          <w:szCs w:val="22"/>
        </w:rPr>
        <w:t>什麽叫做</w:t>
      </w:r>
      <w:r w:rsidRPr="00212D57">
        <w:rPr>
          <w:rFonts w:ascii="標楷體" w:eastAsia="標楷體" w:hAnsi="標楷體"/>
          <w:b/>
          <w:szCs w:val="22"/>
        </w:rPr>
        <w:t>勝義無自性性</w:t>
      </w:r>
      <w:r w:rsidRPr="00212D57">
        <w:rPr>
          <w:rFonts w:ascii="標楷體" w:eastAsia="標楷體" w:hAnsi="標楷體"/>
          <w:szCs w:val="22"/>
        </w:rPr>
        <w:t>呢？這有兩種：一是依他的勝義無自性，一是圓成的勝義無自性。諸法的</w:t>
      </w:r>
      <w:r w:rsidRPr="00212D57">
        <w:rPr>
          <w:rFonts w:ascii="標楷體" w:eastAsia="標楷體" w:hAnsi="標楷體"/>
          <w:b/>
          <w:szCs w:val="22"/>
        </w:rPr>
        <w:t>依他起相</w:t>
      </w:r>
      <w:r w:rsidRPr="00212D57">
        <w:rPr>
          <w:rFonts w:ascii="標楷體" w:eastAsia="標楷體" w:hAnsi="標楷體"/>
          <w:szCs w:val="22"/>
        </w:rPr>
        <w:t>，不是自然生的，</w:t>
      </w:r>
      <w:r w:rsidRPr="009E0A5A">
        <w:rPr>
          <w:rFonts w:ascii="標楷體" w:eastAsia="標楷體" w:hAnsi="標楷體"/>
          <w:szCs w:val="22"/>
          <w:u w:val="wave"/>
        </w:rPr>
        <w:t>由自然生是無自性的</w:t>
      </w:r>
      <w:r w:rsidRPr="00212D57">
        <w:rPr>
          <w:rFonts w:ascii="標楷體" w:eastAsia="標楷體" w:hAnsi="標楷體"/>
          <w:szCs w:val="22"/>
        </w:rPr>
        <w:t>，</w:t>
      </w:r>
      <w:r w:rsidR="009E0A5A" w:rsidRPr="009E0A5A">
        <w:rPr>
          <w:rFonts w:eastAsia="標楷體" w:hint="eastAsia"/>
          <w:color w:val="FF0000"/>
          <w:szCs w:val="22"/>
          <w:shd w:val="pct15" w:color="auto" w:fill="FFFFFF"/>
        </w:rPr>
        <w:t>*</w:t>
      </w:r>
      <w:r w:rsidRPr="00212D57">
        <w:rPr>
          <w:rFonts w:ascii="標楷體" w:eastAsia="標楷體" w:hAnsi="標楷體"/>
          <w:szCs w:val="22"/>
        </w:rPr>
        <w:t>所以說名無自性性。即此無自然生性的緣生法，亦得名為勝義無自性性。為什麽呢？一切諸法中，假定這法是離垢的清淨勝智所緣的境界，佛就顯示他是勝義，否則即非勝義。緣力所生的依他起相，是世俗智所緣的境界，不是清淨勝智所緣的境界，在勝義諦中沒有依他的自性，所以說名勝義無自性性。說依他是生無自性，約從因所生建立的</w:t>
      </w:r>
      <w:r w:rsidRPr="00212D57">
        <w:rPr>
          <w:rFonts w:ascii="標楷體" w:eastAsia="標楷體" w:hAnsi="標楷體" w:hint="eastAsia"/>
          <w:szCs w:val="22"/>
        </w:rPr>
        <w:t>；</w:t>
      </w:r>
      <w:r w:rsidRPr="00212D57">
        <w:rPr>
          <w:rFonts w:ascii="標楷體" w:eastAsia="標楷體" w:hAnsi="標楷體"/>
          <w:szCs w:val="22"/>
        </w:rPr>
        <w:t>說依他是勝義無自性，約所生法的當體建立的。</w:t>
      </w:r>
      <w:r w:rsidR="00F87FD0">
        <w:rPr>
          <w:rFonts w:ascii="標楷體" w:eastAsia="標楷體" w:hAnsi="標楷體" w:hint="eastAsia"/>
          <w:spacing w:val="2"/>
          <w:szCs w:val="22"/>
          <w:shd w:val="pct15" w:color="auto" w:fill="FFFFFF"/>
        </w:rPr>
        <w:t>……</w:t>
      </w:r>
    </w:p>
    <w:p w:rsidR="00157EF6" w:rsidRDefault="00157EF6" w:rsidP="002B682F">
      <w:pPr>
        <w:pStyle w:val="a5"/>
        <w:ind w:leftChars="335" w:left="804"/>
        <w:jc w:val="both"/>
        <w:rPr>
          <w:rFonts w:ascii="標楷體" w:eastAsia="標楷體" w:hAnsi="標楷體"/>
          <w:szCs w:val="22"/>
        </w:rPr>
      </w:pPr>
      <w:r w:rsidRPr="00212D57">
        <w:rPr>
          <w:rFonts w:ascii="標楷體" w:eastAsia="標楷體" w:hAnsi="標楷體"/>
          <w:szCs w:val="22"/>
        </w:rPr>
        <w:t>爲什麽說諸法</w:t>
      </w:r>
      <w:r w:rsidRPr="00212D57">
        <w:rPr>
          <w:rFonts w:ascii="標楷體" w:eastAsia="標楷體" w:hAnsi="標楷體"/>
          <w:b/>
          <w:szCs w:val="22"/>
        </w:rPr>
        <w:t>圓成實相</w:t>
      </w:r>
      <w:r w:rsidRPr="00212D57">
        <w:rPr>
          <w:rFonts w:ascii="標楷體" w:eastAsia="標楷體" w:hAnsi="標楷體"/>
          <w:szCs w:val="22"/>
        </w:rPr>
        <w:t>是勝義無自性性呢？因一切諸法的法無我性，是諸法的勝義，這諸法的勝義，也可名為無自性性。法無我性，是一切法的清淨智所緣，所以是一切法的勝義諦性；法無我性，是離去獨立自在的我的自性之所顯的，所以是無自性性之所顯。由此因緣，所以說他是勝義無自性性，不是勝義本身沒有自性，而是約離偏計執後，顯了通達說的。</w:t>
      </w:r>
    </w:p>
    <w:p w:rsidR="009E0A5A" w:rsidRPr="00212D57" w:rsidRDefault="009E0A5A" w:rsidP="009E0A5A">
      <w:pPr>
        <w:pStyle w:val="a5"/>
        <w:ind w:leftChars="335" w:left="1926" w:hangingChars="510" w:hanging="1122"/>
        <w:jc w:val="both"/>
        <w:rPr>
          <w:rFonts w:ascii="標楷體" w:eastAsia="標楷體" w:hAnsi="標楷體"/>
          <w:szCs w:val="22"/>
        </w:rPr>
      </w:pPr>
      <w:r w:rsidRPr="009E0A5A">
        <w:rPr>
          <w:rFonts w:eastAsia="標楷體" w:hint="eastAsia"/>
          <w:color w:val="FF0000"/>
          <w:szCs w:val="22"/>
          <w:shd w:val="pct15" w:color="auto" w:fill="FFFFFF"/>
        </w:rPr>
        <w:t>*</w:t>
      </w:r>
      <w:r w:rsidRPr="009E0A5A">
        <w:rPr>
          <w:rFonts w:ascii="新細明體" w:hAnsi="新細明體" w:hint="eastAsia"/>
          <w:color w:val="FF0000"/>
          <w:szCs w:val="22"/>
          <w:highlight w:val="yellow"/>
        </w:rPr>
        <w:t>重編案：「</w:t>
      </w:r>
      <w:r w:rsidRPr="009E0A5A">
        <w:rPr>
          <w:rFonts w:ascii="標楷體" w:eastAsia="標楷體" w:hAnsi="標楷體"/>
          <w:color w:val="FF0000"/>
          <w:szCs w:val="22"/>
          <w:highlight w:val="yellow"/>
        </w:rPr>
        <w:t>由自然生是無自性的</w:t>
      </w:r>
      <w:r w:rsidRPr="009E0A5A">
        <w:rPr>
          <w:rFonts w:ascii="新細明體" w:hAnsi="新細明體" w:hint="eastAsia"/>
          <w:color w:val="FF0000"/>
          <w:szCs w:val="22"/>
          <w:highlight w:val="yellow"/>
        </w:rPr>
        <w:t>」</w:t>
      </w:r>
      <w:r>
        <w:rPr>
          <w:rFonts w:ascii="新細明體" w:hAnsi="新細明體" w:hint="eastAsia"/>
          <w:color w:val="FF0000"/>
          <w:szCs w:val="22"/>
          <w:highlight w:val="yellow"/>
        </w:rPr>
        <w:t>一</w:t>
      </w:r>
      <w:r w:rsidRPr="009E0A5A">
        <w:rPr>
          <w:rFonts w:ascii="新細明體" w:hAnsi="新細明體" w:hint="eastAsia"/>
          <w:color w:val="FF0000"/>
          <w:szCs w:val="22"/>
          <w:highlight w:val="yellow"/>
        </w:rPr>
        <w:t>句，</w:t>
      </w:r>
      <w:r w:rsidR="008473AB">
        <w:rPr>
          <w:rFonts w:ascii="新細明體" w:hAnsi="新細明體" w:hint="eastAsia"/>
          <w:color w:val="FF0000"/>
          <w:szCs w:val="22"/>
          <w:highlight w:val="yellow"/>
        </w:rPr>
        <w:t>根據</w:t>
      </w:r>
      <w:r w:rsidRPr="009E0A5A">
        <w:rPr>
          <w:rFonts w:ascii="新細明體" w:hAnsi="新細明體" w:hint="eastAsia"/>
          <w:color w:val="FF0000"/>
          <w:szCs w:val="22"/>
          <w:highlight w:val="yellow"/>
        </w:rPr>
        <w:t>前後文義及</w:t>
      </w:r>
      <w:r w:rsidR="008473AB" w:rsidRPr="009E0A5A">
        <w:rPr>
          <w:rFonts w:ascii="新細明體" w:hAnsi="新細明體" w:hint="eastAsia"/>
          <w:color w:val="FF0000"/>
          <w:szCs w:val="22"/>
          <w:highlight w:val="yellow"/>
        </w:rPr>
        <w:t>對應</w:t>
      </w:r>
      <w:r w:rsidRPr="009E0A5A">
        <w:rPr>
          <w:rFonts w:ascii="新細明體" w:hAnsi="新細明體" w:hint="eastAsia"/>
          <w:color w:val="FF0000"/>
          <w:szCs w:val="22"/>
          <w:highlight w:val="yellow"/>
        </w:rPr>
        <w:t>上段立義，似應作「由</w:t>
      </w:r>
      <w:r w:rsidRPr="009E0A5A">
        <w:rPr>
          <w:rFonts w:ascii="新細明體" w:hAnsi="新細明體" w:hint="eastAsia"/>
          <w:color w:val="FF0000"/>
          <w:szCs w:val="22"/>
          <w:highlight w:val="yellow"/>
          <w:u w:val="wave"/>
        </w:rPr>
        <w:t>非</w:t>
      </w:r>
      <w:r w:rsidRPr="009E0A5A">
        <w:rPr>
          <w:rFonts w:ascii="新細明體" w:hAnsi="新細明體"/>
          <w:color w:val="FF0000"/>
          <w:szCs w:val="22"/>
          <w:highlight w:val="yellow"/>
        </w:rPr>
        <w:t>自然生是無自性的</w:t>
      </w:r>
      <w:r w:rsidRPr="009E0A5A">
        <w:rPr>
          <w:rFonts w:ascii="新細明體" w:hAnsi="新細明體" w:hint="eastAsia"/>
          <w:color w:val="FF0000"/>
          <w:szCs w:val="22"/>
          <w:highlight w:val="yellow"/>
        </w:rPr>
        <w:t>」。</w:t>
      </w:r>
    </w:p>
  </w:footnote>
  <w:footnote w:id="357">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eastAsia="細明體" w:hint="eastAsia"/>
          <w:szCs w:val="22"/>
        </w:rPr>
        <w:t xml:space="preserve"> </w:t>
      </w:r>
      <w:r w:rsidRPr="00212D57">
        <w:rPr>
          <w:rFonts w:eastAsia="細明體"/>
          <w:szCs w:val="22"/>
        </w:rPr>
        <w:t>縷：</w:t>
      </w:r>
      <w:r w:rsidRPr="00761EF3">
        <w:rPr>
          <w:rFonts w:eastAsia="細明體"/>
          <w:szCs w:val="22"/>
        </w:rPr>
        <w:t>2</w:t>
      </w:r>
      <w:r w:rsidRPr="00212D57">
        <w:rPr>
          <w:rFonts w:eastAsia="細明體"/>
          <w:szCs w:val="22"/>
        </w:rPr>
        <w:t>.</w:t>
      </w:r>
      <w:r w:rsidRPr="00212D57">
        <w:rPr>
          <w:rFonts w:eastAsia="細明體"/>
          <w:szCs w:val="22"/>
        </w:rPr>
        <w:t>泛指細而長的東西，線狀物。（《漢語大詞典》（九），</w:t>
      </w:r>
      <w:r w:rsidRPr="00761EF3">
        <w:rPr>
          <w:rFonts w:eastAsia="細明體"/>
          <w:szCs w:val="22"/>
        </w:rPr>
        <w:t>p</w:t>
      </w:r>
      <w:r w:rsidRPr="00212D57">
        <w:rPr>
          <w:rFonts w:eastAsia="細明體"/>
          <w:szCs w:val="22"/>
        </w:rPr>
        <w:t>.</w:t>
      </w:r>
      <w:r w:rsidRPr="00761EF3">
        <w:rPr>
          <w:rFonts w:eastAsia="細明體"/>
          <w:szCs w:val="22"/>
        </w:rPr>
        <w:t>979</w:t>
      </w:r>
      <w:r w:rsidRPr="00212D57">
        <w:rPr>
          <w:rFonts w:eastAsia="細明體"/>
          <w:szCs w:val="22"/>
        </w:rPr>
        <w:t>）</w:t>
      </w:r>
    </w:p>
  </w:footnote>
  <w:footnote w:id="358">
    <w:p w:rsidR="00C456E0" w:rsidRDefault="00157EF6" w:rsidP="002B682F">
      <w:pPr>
        <w:pStyle w:val="a5"/>
        <w:spacing w:line="0" w:lineRule="atLeast"/>
        <w:ind w:left="253" w:hangingChars="115" w:hanging="253"/>
        <w:jc w:val="both"/>
        <w:rPr>
          <w:rFonts w:eastAsia="細明體"/>
          <w:szCs w:val="22"/>
        </w:rPr>
      </w:pPr>
      <w:r w:rsidRPr="00212D57">
        <w:rPr>
          <w:rStyle w:val="a6"/>
          <w:szCs w:val="22"/>
        </w:rPr>
        <w:footnoteRef/>
      </w:r>
      <w:r w:rsidRPr="00212D57">
        <w:rPr>
          <w:rFonts w:eastAsia="細明體" w:hint="eastAsia"/>
          <w:szCs w:val="22"/>
        </w:rPr>
        <w:t xml:space="preserve"> </w:t>
      </w:r>
      <w:r w:rsidRPr="00212D57">
        <w:rPr>
          <w:rFonts w:eastAsia="細明體"/>
          <w:szCs w:val="22"/>
        </w:rPr>
        <w:t>結：</w:t>
      </w:r>
      <w:r w:rsidRPr="00761EF3">
        <w:rPr>
          <w:rFonts w:eastAsia="細明體"/>
          <w:szCs w:val="22"/>
        </w:rPr>
        <w:t>1</w:t>
      </w:r>
      <w:r w:rsidRPr="00212D57">
        <w:rPr>
          <w:rFonts w:eastAsia="細明體"/>
          <w:szCs w:val="22"/>
        </w:rPr>
        <w:t>.</w:t>
      </w:r>
      <w:r w:rsidRPr="00212D57">
        <w:rPr>
          <w:rFonts w:eastAsia="細明體"/>
          <w:szCs w:val="22"/>
        </w:rPr>
        <w:t>用線、繩、草等條狀物打結或編織。</w:t>
      </w:r>
      <w:r w:rsidRPr="00761EF3">
        <w:rPr>
          <w:rFonts w:eastAsia="細明體"/>
          <w:szCs w:val="22"/>
        </w:rPr>
        <w:t>6</w:t>
      </w:r>
      <w:r w:rsidRPr="00212D57">
        <w:rPr>
          <w:rFonts w:eastAsia="細明體"/>
          <w:szCs w:val="22"/>
        </w:rPr>
        <w:t>.</w:t>
      </w:r>
      <w:r w:rsidRPr="00212D57">
        <w:rPr>
          <w:rFonts w:eastAsia="細明體"/>
          <w:szCs w:val="22"/>
        </w:rPr>
        <w:t>聯結，結合</w:t>
      </w:r>
      <w:r w:rsidR="00C456E0">
        <w:rPr>
          <w:rFonts w:eastAsia="細明體" w:hint="eastAsia"/>
          <w:szCs w:val="22"/>
        </w:rPr>
        <w:t>。</w:t>
      </w:r>
    </w:p>
    <w:p w:rsidR="00157EF6" w:rsidRPr="00212D57" w:rsidRDefault="00157EF6" w:rsidP="00C456E0">
      <w:pPr>
        <w:pStyle w:val="a5"/>
        <w:spacing w:line="0" w:lineRule="atLeast"/>
        <w:ind w:left="480" w:hangingChars="218" w:hanging="480"/>
        <w:jc w:val="right"/>
        <w:rPr>
          <w:rFonts w:eastAsia="細明體"/>
          <w:szCs w:val="22"/>
        </w:rPr>
      </w:pPr>
      <w:r w:rsidRPr="00212D57">
        <w:rPr>
          <w:rFonts w:eastAsia="細明體"/>
          <w:szCs w:val="22"/>
        </w:rPr>
        <w:t>（《漢語大詞典》（九），</w:t>
      </w:r>
      <w:r w:rsidRPr="00761EF3">
        <w:rPr>
          <w:rFonts w:eastAsia="細明體"/>
          <w:szCs w:val="22"/>
        </w:rPr>
        <w:t>p</w:t>
      </w:r>
      <w:r w:rsidRPr="00212D57">
        <w:rPr>
          <w:rFonts w:eastAsia="細明體"/>
          <w:szCs w:val="22"/>
        </w:rPr>
        <w:t>.</w:t>
      </w:r>
      <w:r w:rsidRPr="00761EF3">
        <w:rPr>
          <w:rFonts w:eastAsia="細明體"/>
          <w:szCs w:val="22"/>
        </w:rPr>
        <w:t>803</w:t>
      </w:r>
      <w:r w:rsidRPr="00212D57">
        <w:rPr>
          <w:rFonts w:eastAsia="細明體"/>
          <w:szCs w:val="22"/>
        </w:rPr>
        <w:t>）</w:t>
      </w:r>
    </w:p>
  </w:footnote>
  <w:footnote w:id="359">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eastAsia="SimSun" w:hint="eastAsia"/>
          <w:szCs w:val="22"/>
        </w:rPr>
        <w:t xml:space="preserve"> </w:t>
      </w:r>
      <w:r w:rsidRPr="00212D57">
        <w:rPr>
          <w:rFonts w:eastAsia="細明體"/>
          <w:szCs w:val="22"/>
        </w:rPr>
        <w:t>詰：</w:t>
      </w:r>
      <w:r w:rsidRPr="00212D57">
        <w:rPr>
          <w:szCs w:val="22"/>
        </w:rPr>
        <w:t>查究，究辦。（《漢語大詞典》（</w:t>
      </w:r>
      <w:r w:rsidRPr="00212D57">
        <w:rPr>
          <w:rFonts w:eastAsia="SimSun"/>
          <w:szCs w:val="22"/>
        </w:rPr>
        <w:t>十一</w:t>
      </w:r>
      <w:r w:rsidRPr="00212D57">
        <w:rPr>
          <w:szCs w:val="22"/>
        </w:rPr>
        <w:t>），</w:t>
      </w:r>
      <w:r w:rsidRPr="00761EF3">
        <w:rPr>
          <w:szCs w:val="22"/>
        </w:rPr>
        <w:t>p</w:t>
      </w:r>
      <w:r w:rsidRPr="00212D57">
        <w:rPr>
          <w:szCs w:val="22"/>
        </w:rPr>
        <w:t>.</w:t>
      </w:r>
      <w:r w:rsidRPr="00761EF3">
        <w:rPr>
          <w:rFonts w:eastAsia="SimSun"/>
          <w:szCs w:val="22"/>
        </w:rPr>
        <w:t>156</w:t>
      </w:r>
      <w:r w:rsidRPr="00212D57">
        <w:rPr>
          <w:szCs w:val="22"/>
        </w:rPr>
        <w:t>）</w:t>
      </w:r>
    </w:p>
  </w:footnote>
  <w:footnote w:id="360">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eastAsia="SimSun" w:hint="eastAsia"/>
          <w:szCs w:val="22"/>
        </w:rPr>
        <w:t xml:space="preserve"> </w:t>
      </w:r>
      <w:r w:rsidRPr="00212D57">
        <w:rPr>
          <w:rFonts w:eastAsia="細明體"/>
          <w:szCs w:val="22"/>
        </w:rPr>
        <w:t>咸：</w:t>
      </w:r>
      <w:r w:rsidRPr="00212D57">
        <w:rPr>
          <w:szCs w:val="22"/>
        </w:rPr>
        <w:t>皆，都。（《漢語大詞典》（</w:t>
      </w:r>
      <w:r w:rsidRPr="00212D57">
        <w:rPr>
          <w:rFonts w:eastAsia="SimSun"/>
          <w:szCs w:val="22"/>
        </w:rPr>
        <w:t>五</w:t>
      </w:r>
      <w:r w:rsidRPr="00212D57">
        <w:rPr>
          <w:szCs w:val="22"/>
        </w:rPr>
        <w:t>），</w:t>
      </w:r>
      <w:r w:rsidRPr="00761EF3">
        <w:rPr>
          <w:szCs w:val="22"/>
        </w:rPr>
        <w:t>p</w:t>
      </w:r>
      <w:r w:rsidRPr="00212D57">
        <w:rPr>
          <w:szCs w:val="22"/>
        </w:rPr>
        <w:t>.</w:t>
      </w:r>
      <w:r w:rsidRPr="00761EF3">
        <w:rPr>
          <w:rFonts w:eastAsia="SimSun"/>
          <w:szCs w:val="22"/>
        </w:rPr>
        <w:t>216</w:t>
      </w:r>
      <w:r w:rsidRPr="00212D57">
        <w:rPr>
          <w:szCs w:val="22"/>
        </w:rPr>
        <w:t>）</w:t>
      </w:r>
    </w:p>
  </w:footnote>
  <w:footnote w:id="361">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eastAsia="SimSun"/>
          <w:szCs w:val="22"/>
        </w:rPr>
        <w:t xml:space="preserve"> </w:t>
      </w:r>
      <w:r w:rsidRPr="00212D57">
        <w:rPr>
          <w:rFonts w:eastAsia="細明體"/>
          <w:szCs w:val="22"/>
        </w:rPr>
        <w:t>貌：</w:t>
      </w:r>
      <w:r w:rsidRPr="00212D57">
        <w:rPr>
          <w:szCs w:val="22"/>
        </w:rPr>
        <w:t>形狀，姿態。（《漢語大詞典》（</w:t>
      </w:r>
      <w:r w:rsidRPr="00212D57">
        <w:rPr>
          <w:rFonts w:eastAsia="SimSun"/>
          <w:szCs w:val="22"/>
        </w:rPr>
        <w:t>十</w:t>
      </w:r>
      <w:r w:rsidRPr="00212D57">
        <w:rPr>
          <w:szCs w:val="22"/>
        </w:rPr>
        <w:t>），</w:t>
      </w:r>
      <w:r w:rsidRPr="00761EF3">
        <w:rPr>
          <w:szCs w:val="22"/>
        </w:rPr>
        <w:t>p</w:t>
      </w:r>
      <w:r w:rsidRPr="00212D57">
        <w:rPr>
          <w:szCs w:val="22"/>
        </w:rPr>
        <w:t>.</w:t>
      </w:r>
      <w:r w:rsidRPr="00761EF3">
        <w:rPr>
          <w:rFonts w:eastAsia="SimSun"/>
          <w:szCs w:val="22"/>
        </w:rPr>
        <w:t>1338</w:t>
      </w:r>
      <w:r w:rsidRPr="00212D57">
        <w:rPr>
          <w:szCs w:val="22"/>
        </w:rPr>
        <w:t>）</w:t>
      </w:r>
    </w:p>
  </w:footnote>
  <w:footnote w:id="362">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rFonts w:hint="eastAsia"/>
          <w:szCs w:val="22"/>
        </w:rPr>
        <w:t>《大佛頂如來密因修證了義諸菩薩萬行首楞嚴經》（</w:t>
      </w:r>
      <w:r w:rsidRPr="00212D57">
        <w:rPr>
          <w:szCs w:val="22"/>
        </w:rPr>
        <w:t>大正</w:t>
      </w:r>
      <w:r w:rsidRPr="00761EF3">
        <w:rPr>
          <w:szCs w:val="22"/>
        </w:rPr>
        <w:t>19</w:t>
      </w:r>
      <w:r w:rsidRPr="00212D57">
        <w:rPr>
          <w:szCs w:val="22"/>
        </w:rPr>
        <w:t>，</w:t>
      </w:r>
      <w:r w:rsidRPr="00761EF3">
        <w:rPr>
          <w:szCs w:val="22"/>
        </w:rPr>
        <w:t>109a1</w:t>
      </w:r>
      <w:r w:rsidRPr="00212D57">
        <w:rPr>
          <w:szCs w:val="22"/>
        </w:rPr>
        <w:t>-</w:t>
      </w:r>
      <w:r w:rsidRPr="00761EF3">
        <w:rPr>
          <w:szCs w:val="22"/>
        </w:rPr>
        <w:t>7</w:t>
      </w:r>
      <w:r w:rsidRPr="00212D57">
        <w:rPr>
          <w:rFonts w:hint="eastAsia"/>
          <w:szCs w:val="22"/>
        </w:rPr>
        <w:t>）</w:t>
      </w:r>
      <w:r w:rsidRPr="00212D57">
        <w:rPr>
          <w:szCs w:val="22"/>
        </w:rPr>
        <w:t>：</w:t>
      </w:r>
    </w:p>
    <w:p w:rsidR="00157EF6" w:rsidRPr="00212D57" w:rsidRDefault="00157EF6" w:rsidP="002B682F">
      <w:pPr>
        <w:pStyle w:val="a5"/>
        <w:ind w:leftChars="105" w:left="252"/>
        <w:jc w:val="both"/>
        <w:rPr>
          <w:rFonts w:eastAsia="標楷體"/>
          <w:szCs w:val="22"/>
        </w:rPr>
      </w:pPr>
      <w:r w:rsidRPr="00212D57">
        <w:rPr>
          <w:rFonts w:eastAsia="標楷體"/>
          <w:szCs w:val="22"/>
        </w:rPr>
        <w:t>爾時</w:t>
      </w:r>
      <w:r w:rsidRPr="00212D57">
        <w:rPr>
          <w:rFonts w:eastAsia="標楷體" w:hint="eastAsia"/>
          <w:szCs w:val="22"/>
        </w:rPr>
        <w:t>，</w:t>
      </w:r>
      <w:r w:rsidRPr="00212D57">
        <w:rPr>
          <w:rFonts w:eastAsia="標楷體"/>
          <w:szCs w:val="22"/>
        </w:rPr>
        <w:t>世尊開示阿難及諸大眾，欲令心入無生法忍，於師子座</w:t>
      </w:r>
      <w:r w:rsidR="007D464F">
        <w:rPr>
          <w:rFonts w:ascii="標楷體" w:eastAsia="標楷體" w:hAnsi="標楷體" w:hint="eastAsia"/>
          <w:color w:val="FF0000"/>
          <w:kern w:val="0"/>
          <w:highlight w:val="yellow"/>
        </w:rPr>
        <w:t>，</w:t>
      </w:r>
      <w:r w:rsidRPr="00212D57">
        <w:rPr>
          <w:rFonts w:eastAsia="標楷體"/>
          <w:szCs w:val="22"/>
        </w:rPr>
        <w:t>摩阿難頂而告之言：「如來常說</w:t>
      </w:r>
      <w:r w:rsidR="007D464F">
        <w:rPr>
          <w:rFonts w:ascii="標楷體" w:eastAsia="標楷體" w:hAnsi="標楷體" w:hint="eastAsia"/>
          <w:color w:val="FF0000"/>
          <w:spacing w:val="-4"/>
          <w:kern w:val="0"/>
          <w:highlight w:val="yellow"/>
        </w:rPr>
        <w:t>：</w:t>
      </w:r>
      <w:r w:rsidRPr="00212D57">
        <w:rPr>
          <w:rFonts w:eastAsia="標楷體"/>
          <w:szCs w:val="22"/>
        </w:rPr>
        <w:t>諸法所生</w:t>
      </w:r>
      <w:r w:rsidR="007D464F">
        <w:rPr>
          <w:rFonts w:ascii="標楷體" w:eastAsia="標楷體" w:hAnsi="標楷體" w:hint="eastAsia"/>
          <w:color w:val="FF0000"/>
          <w:kern w:val="0"/>
          <w:highlight w:val="yellow"/>
        </w:rPr>
        <w:t>，</w:t>
      </w:r>
      <w:r w:rsidRPr="00212D57">
        <w:rPr>
          <w:rFonts w:eastAsia="標楷體"/>
          <w:szCs w:val="22"/>
        </w:rPr>
        <w:t>唯心所現</w:t>
      </w:r>
      <w:r w:rsidR="007D464F">
        <w:rPr>
          <w:rFonts w:ascii="標楷體" w:eastAsia="標楷體" w:hAnsi="標楷體" w:hint="eastAsia"/>
          <w:color w:val="FF0000"/>
          <w:spacing w:val="-4"/>
          <w:kern w:val="0"/>
          <w:highlight w:val="yellow"/>
        </w:rPr>
        <w:t>；</w:t>
      </w:r>
      <w:r w:rsidRPr="00212D57">
        <w:rPr>
          <w:rFonts w:eastAsia="標楷體"/>
          <w:szCs w:val="22"/>
        </w:rPr>
        <w:t>一切因果</w:t>
      </w:r>
      <w:r w:rsidR="007D464F">
        <w:rPr>
          <w:rFonts w:ascii="標楷體" w:eastAsia="標楷體" w:hAnsi="標楷體" w:hint="eastAsia"/>
          <w:color w:val="FF0000"/>
          <w:spacing w:val="-4"/>
          <w:kern w:val="0"/>
          <w:highlight w:val="yellow"/>
        </w:rPr>
        <w:t>、</w:t>
      </w:r>
      <w:r w:rsidRPr="00212D57">
        <w:rPr>
          <w:rFonts w:eastAsia="標楷體"/>
          <w:szCs w:val="22"/>
        </w:rPr>
        <w:t>世界</w:t>
      </w:r>
      <w:r w:rsidR="007D464F">
        <w:rPr>
          <w:rFonts w:ascii="標楷體" w:eastAsia="標楷體" w:hAnsi="標楷體" w:hint="eastAsia"/>
          <w:color w:val="FF0000"/>
          <w:spacing w:val="-4"/>
          <w:kern w:val="0"/>
          <w:highlight w:val="yellow"/>
        </w:rPr>
        <w:t>、</w:t>
      </w:r>
      <w:r w:rsidRPr="00212D57">
        <w:rPr>
          <w:rFonts w:eastAsia="標楷體"/>
          <w:szCs w:val="22"/>
        </w:rPr>
        <w:t>微塵</w:t>
      </w:r>
      <w:r w:rsidR="007D464F">
        <w:rPr>
          <w:rFonts w:ascii="標楷體" w:eastAsia="標楷體" w:hAnsi="標楷體" w:hint="eastAsia"/>
          <w:color w:val="FF0000"/>
          <w:kern w:val="0"/>
          <w:highlight w:val="yellow"/>
        </w:rPr>
        <w:t>，</w:t>
      </w:r>
      <w:r w:rsidRPr="00212D57">
        <w:rPr>
          <w:rFonts w:eastAsia="標楷體"/>
          <w:szCs w:val="22"/>
        </w:rPr>
        <w:t>因心成體。阿難！</w:t>
      </w:r>
      <w:r w:rsidRPr="00212D57">
        <w:rPr>
          <w:rFonts w:eastAsia="標楷體"/>
          <w:b/>
          <w:szCs w:val="22"/>
        </w:rPr>
        <w:t>若諸世界一切所有，其中乃至草葉縷結，詰其根元，咸有體性，縱令虛空亦有名貌，何況清淨妙淨明心性一切心而自無體</w:t>
      </w:r>
      <w:r w:rsidRPr="00212D57">
        <w:rPr>
          <w:rFonts w:eastAsia="標楷體"/>
          <w:szCs w:val="22"/>
        </w:rPr>
        <w:t>？」</w:t>
      </w:r>
    </w:p>
  </w:footnote>
  <w:footnote w:id="363">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eastAsia="細明體" w:hint="eastAsia"/>
          <w:szCs w:val="22"/>
        </w:rPr>
        <w:t xml:space="preserve"> </w:t>
      </w:r>
      <w:r w:rsidRPr="00212D57">
        <w:rPr>
          <w:rFonts w:eastAsia="細明體"/>
          <w:szCs w:val="22"/>
        </w:rPr>
        <w:t>（</w:t>
      </w:r>
      <w:r w:rsidRPr="00761EF3">
        <w:rPr>
          <w:rFonts w:eastAsia="細明體"/>
          <w:szCs w:val="22"/>
        </w:rPr>
        <w:t>1</w:t>
      </w:r>
      <w:r w:rsidRPr="00212D57">
        <w:rPr>
          <w:rFonts w:eastAsia="細明體"/>
          <w:szCs w:val="22"/>
        </w:rPr>
        <w:t>）</w:t>
      </w:r>
      <w:r w:rsidRPr="00212D57">
        <w:rPr>
          <w:szCs w:val="22"/>
        </w:rPr>
        <w:t>《中論》卷</w:t>
      </w:r>
      <w:r w:rsidRPr="00761EF3">
        <w:rPr>
          <w:szCs w:val="22"/>
        </w:rPr>
        <w:t>3</w:t>
      </w:r>
      <w:r w:rsidRPr="00212D57">
        <w:rPr>
          <w:szCs w:val="22"/>
        </w:rPr>
        <w:t>〈</w:t>
      </w:r>
      <w:r w:rsidRPr="00761EF3">
        <w:rPr>
          <w:szCs w:val="22"/>
        </w:rPr>
        <w:t>15</w:t>
      </w:r>
      <w:r w:rsidRPr="00212D57">
        <w:rPr>
          <w:szCs w:val="22"/>
        </w:rPr>
        <w:t xml:space="preserve"> </w:t>
      </w:r>
      <w:r w:rsidRPr="00212D57">
        <w:rPr>
          <w:szCs w:val="22"/>
        </w:rPr>
        <w:t>觀有無品〉</w:t>
      </w:r>
      <w:r w:rsidRPr="00212D57">
        <w:rPr>
          <w:rFonts w:hint="eastAsia"/>
          <w:szCs w:val="22"/>
        </w:rPr>
        <w:t>（青目釋）</w:t>
      </w:r>
      <w:r w:rsidRPr="00212D57">
        <w:rPr>
          <w:szCs w:val="22"/>
        </w:rPr>
        <w:t>（大正</w:t>
      </w:r>
      <w:r w:rsidRPr="00761EF3">
        <w:rPr>
          <w:szCs w:val="22"/>
        </w:rPr>
        <w:t>30</w:t>
      </w:r>
      <w:r w:rsidRPr="00212D57">
        <w:rPr>
          <w:szCs w:val="22"/>
        </w:rPr>
        <w:t>，</w:t>
      </w:r>
      <w:r w:rsidRPr="00761EF3">
        <w:rPr>
          <w:szCs w:val="22"/>
        </w:rPr>
        <w:t>19c20</w:t>
      </w:r>
      <w:r w:rsidRPr="00212D57">
        <w:rPr>
          <w:szCs w:val="22"/>
        </w:rPr>
        <w:t>-</w:t>
      </w:r>
      <w:r w:rsidRPr="00761EF3">
        <w:rPr>
          <w:szCs w:val="22"/>
        </w:rPr>
        <w:t>20a3</w:t>
      </w:r>
      <w:r w:rsidRPr="00212D57">
        <w:rPr>
          <w:szCs w:val="22"/>
        </w:rPr>
        <w:t>）：</w:t>
      </w:r>
    </w:p>
    <w:p w:rsidR="00157EF6" w:rsidRPr="00212D57" w:rsidRDefault="00157EF6" w:rsidP="002B682F">
      <w:pPr>
        <w:pStyle w:val="a5"/>
        <w:ind w:leftChars="335" w:left="1464" w:hangingChars="300" w:hanging="660"/>
        <w:jc w:val="both"/>
        <w:rPr>
          <w:rFonts w:eastAsia="標楷體"/>
          <w:szCs w:val="22"/>
        </w:rPr>
      </w:pPr>
      <w:r w:rsidRPr="00212D57">
        <w:rPr>
          <w:rFonts w:eastAsia="標楷體"/>
          <w:szCs w:val="22"/>
        </w:rPr>
        <w:t>問曰：諸法各有性，以有力用故</w:t>
      </w:r>
      <w:r w:rsidR="007D464F">
        <w:rPr>
          <w:rFonts w:ascii="標楷體" w:eastAsia="標楷體" w:hAnsi="標楷體" w:hint="eastAsia"/>
          <w:color w:val="FF0000"/>
          <w:spacing w:val="-4"/>
          <w:kern w:val="0"/>
          <w:highlight w:val="yellow"/>
        </w:rPr>
        <w:t>；</w:t>
      </w:r>
      <w:r w:rsidRPr="00212D57">
        <w:rPr>
          <w:rFonts w:eastAsia="標楷體"/>
          <w:szCs w:val="22"/>
        </w:rPr>
        <w:t>如瓶有瓶性、布有布性</w:t>
      </w:r>
      <w:r w:rsidR="007D464F">
        <w:rPr>
          <w:rFonts w:ascii="標楷體" w:eastAsia="標楷體" w:hAnsi="標楷體" w:hint="eastAsia"/>
          <w:color w:val="FF0000"/>
          <w:spacing w:val="-4"/>
          <w:kern w:val="0"/>
          <w:highlight w:val="yellow"/>
        </w:rPr>
        <w:t>；</w:t>
      </w:r>
      <w:r w:rsidRPr="00212D57">
        <w:rPr>
          <w:rFonts w:eastAsia="標楷體"/>
          <w:szCs w:val="22"/>
        </w:rPr>
        <w:t>是性</w:t>
      </w:r>
      <w:r w:rsidR="007D464F">
        <w:rPr>
          <w:rFonts w:ascii="標楷體" w:eastAsia="標楷體" w:hAnsi="標楷體" w:hint="eastAsia"/>
          <w:color w:val="FF0000"/>
          <w:kern w:val="0"/>
          <w:highlight w:val="yellow"/>
        </w:rPr>
        <w:t>，</w:t>
      </w:r>
      <w:r w:rsidRPr="00212D57">
        <w:rPr>
          <w:rFonts w:eastAsia="標楷體"/>
          <w:szCs w:val="22"/>
        </w:rPr>
        <w:t>眾緣合時則出。</w:t>
      </w:r>
    </w:p>
    <w:p w:rsidR="00157EF6" w:rsidRPr="00212D57" w:rsidRDefault="00157EF6" w:rsidP="002B682F">
      <w:pPr>
        <w:pStyle w:val="a5"/>
        <w:ind w:leftChars="335" w:left="1464" w:hangingChars="300" w:hanging="660"/>
        <w:jc w:val="both"/>
        <w:rPr>
          <w:rFonts w:eastAsia="標楷體"/>
          <w:szCs w:val="22"/>
        </w:rPr>
      </w:pPr>
      <w:r w:rsidRPr="00212D57">
        <w:rPr>
          <w:rFonts w:eastAsia="標楷體"/>
          <w:szCs w:val="22"/>
        </w:rPr>
        <w:t>答曰：</w:t>
      </w:r>
      <w:r w:rsidRPr="00212D57">
        <w:rPr>
          <w:rFonts w:eastAsia="標楷體"/>
          <w:b/>
          <w:szCs w:val="22"/>
        </w:rPr>
        <w:t>眾緣中有性，是事則不然</w:t>
      </w:r>
      <w:r w:rsidR="007D464F">
        <w:rPr>
          <w:rFonts w:ascii="標楷體" w:eastAsia="標楷體" w:hAnsi="標楷體" w:hint="eastAsia"/>
          <w:color w:val="FF0000"/>
          <w:spacing w:val="-4"/>
          <w:kern w:val="0"/>
          <w:highlight w:val="yellow"/>
        </w:rPr>
        <w:t>；</w:t>
      </w:r>
      <w:r w:rsidRPr="00212D57">
        <w:rPr>
          <w:rFonts w:eastAsia="標楷體"/>
          <w:b/>
          <w:szCs w:val="22"/>
        </w:rPr>
        <w:t>性從眾緣出，即名為作法。</w:t>
      </w:r>
    </w:p>
    <w:p w:rsidR="00157EF6" w:rsidRPr="00212D57" w:rsidRDefault="00157EF6" w:rsidP="002B682F">
      <w:pPr>
        <w:pStyle w:val="a5"/>
        <w:ind w:leftChars="610" w:left="1464"/>
        <w:jc w:val="both"/>
        <w:rPr>
          <w:rFonts w:eastAsia="標楷體"/>
          <w:szCs w:val="22"/>
        </w:rPr>
      </w:pPr>
      <w:r w:rsidRPr="00212D57">
        <w:rPr>
          <w:rFonts w:eastAsia="標楷體"/>
          <w:szCs w:val="22"/>
        </w:rPr>
        <w:t>若諸法有性，不應從眾緣出</w:t>
      </w:r>
      <w:r w:rsidRPr="00212D57">
        <w:rPr>
          <w:rFonts w:eastAsia="標楷體" w:hint="eastAsia"/>
          <w:szCs w:val="22"/>
        </w:rPr>
        <w:t>。</w:t>
      </w:r>
      <w:r w:rsidRPr="00212D57">
        <w:rPr>
          <w:rFonts w:eastAsia="標楷體"/>
          <w:szCs w:val="22"/>
        </w:rPr>
        <w:t>何以故？若從眾緣出，即是作法，無有定性。</w:t>
      </w:r>
    </w:p>
    <w:p w:rsidR="00157EF6" w:rsidRPr="00212D57" w:rsidRDefault="00157EF6" w:rsidP="002B682F">
      <w:pPr>
        <w:pStyle w:val="a5"/>
        <w:ind w:leftChars="335" w:left="1464" w:hangingChars="300" w:hanging="660"/>
        <w:jc w:val="both"/>
        <w:rPr>
          <w:rFonts w:eastAsia="標楷體"/>
          <w:szCs w:val="22"/>
        </w:rPr>
      </w:pPr>
      <w:r w:rsidRPr="00212D57">
        <w:rPr>
          <w:rFonts w:eastAsia="標楷體"/>
          <w:szCs w:val="22"/>
        </w:rPr>
        <w:t>問曰：若諸法性從眾緣作，有何咎？</w:t>
      </w:r>
    </w:p>
    <w:p w:rsidR="00157EF6" w:rsidRPr="00212D57" w:rsidRDefault="00157EF6" w:rsidP="002B682F">
      <w:pPr>
        <w:pStyle w:val="a5"/>
        <w:ind w:leftChars="335" w:left="1464" w:hangingChars="300" w:hanging="660"/>
        <w:jc w:val="both"/>
        <w:rPr>
          <w:rFonts w:eastAsia="標楷體"/>
          <w:szCs w:val="22"/>
        </w:rPr>
      </w:pPr>
      <w:r w:rsidRPr="00212D57">
        <w:rPr>
          <w:rFonts w:eastAsia="標楷體"/>
          <w:szCs w:val="22"/>
        </w:rPr>
        <w:t>答曰：</w:t>
      </w:r>
      <w:r w:rsidRPr="00212D57">
        <w:rPr>
          <w:rFonts w:eastAsia="標楷體"/>
          <w:b/>
          <w:szCs w:val="22"/>
        </w:rPr>
        <w:t>性若是作者，云何有此義</w:t>
      </w:r>
      <w:r w:rsidR="007D464F" w:rsidRPr="007D464F">
        <w:rPr>
          <w:rFonts w:ascii="標楷體" w:eastAsia="標楷體" w:hAnsi="標楷體" w:hint="eastAsia"/>
          <w:b/>
          <w:color w:val="FF0000"/>
          <w:spacing w:val="-4"/>
          <w:kern w:val="0"/>
          <w:highlight w:val="yellow"/>
        </w:rPr>
        <w:t>？</w:t>
      </w:r>
      <w:r w:rsidR="007D464F" w:rsidRPr="007D464F">
        <w:rPr>
          <w:rFonts w:ascii="標楷體" w:eastAsia="標楷體" w:hAnsi="標楷體" w:hint="eastAsia"/>
          <w:b/>
          <w:bCs/>
          <w:color w:val="FF0000"/>
          <w:kern w:val="0"/>
          <w:highlight w:val="yellow"/>
        </w:rPr>
        <w:t>「</w:t>
      </w:r>
      <w:r w:rsidRPr="007D464F">
        <w:rPr>
          <w:rFonts w:eastAsia="標楷體"/>
          <w:b/>
          <w:szCs w:val="22"/>
        </w:rPr>
        <w:t>性</w:t>
      </w:r>
      <w:r w:rsidR="007D464F" w:rsidRPr="007D464F">
        <w:rPr>
          <w:rFonts w:ascii="標楷體" w:eastAsia="標楷體" w:hAnsi="標楷體" w:hint="eastAsia"/>
          <w:b/>
          <w:bCs/>
          <w:color w:val="FF0000"/>
          <w:kern w:val="0"/>
          <w:highlight w:val="yellow"/>
        </w:rPr>
        <w:t>」</w:t>
      </w:r>
      <w:r w:rsidRPr="00212D57">
        <w:rPr>
          <w:rFonts w:eastAsia="標楷體"/>
          <w:b/>
          <w:szCs w:val="22"/>
        </w:rPr>
        <w:t>名為無作，不待異法成。</w:t>
      </w:r>
    </w:p>
    <w:p w:rsidR="00157EF6" w:rsidRPr="00212D57" w:rsidRDefault="00157EF6" w:rsidP="002B682F">
      <w:pPr>
        <w:pStyle w:val="a5"/>
        <w:ind w:leftChars="610" w:left="1464"/>
        <w:jc w:val="both"/>
        <w:rPr>
          <w:rFonts w:eastAsia="SimSun"/>
          <w:szCs w:val="22"/>
        </w:rPr>
      </w:pPr>
      <w:r w:rsidRPr="00212D57">
        <w:rPr>
          <w:rFonts w:eastAsia="標楷體"/>
          <w:szCs w:val="22"/>
        </w:rPr>
        <w:t>如金雜銅</w:t>
      </w:r>
      <w:r w:rsidR="007D464F">
        <w:rPr>
          <w:rFonts w:ascii="標楷體" w:eastAsia="標楷體" w:hAnsi="標楷體" w:hint="eastAsia"/>
          <w:color w:val="FF0000"/>
          <w:kern w:val="0"/>
          <w:highlight w:val="yellow"/>
        </w:rPr>
        <w:t>，</w:t>
      </w:r>
      <w:r w:rsidRPr="00212D57">
        <w:rPr>
          <w:rFonts w:eastAsia="標楷體"/>
          <w:szCs w:val="22"/>
        </w:rPr>
        <w:t>則非真金</w:t>
      </w:r>
      <w:r w:rsidR="007D464F">
        <w:rPr>
          <w:rFonts w:ascii="標楷體" w:eastAsia="標楷體" w:hAnsi="標楷體" w:hint="eastAsia"/>
          <w:color w:val="FF0000"/>
          <w:spacing w:val="-4"/>
          <w:kern w:val="0"/>
          <w:highlight w:val="yellow"/>
        </w:rPr>
        <w:t>；</w:t>
      </w:r>
      <w:r w:rsidRPr="00212D57">
        <w:rPr>
          <w:rFonts w:eastAsia="標楷體"/>
          <w:szCs w:val="22"/>
        </w:rPr>
        <w:t>如是若有性</w:t>
      </w:r>
      <w:r w:rsidR="007D464F">
        <w:rPr>
          <w:rFonts w:ascii="標楷體" w:eastAsia="標楷體" w:hAnsi="標楷體" w:hint="eastAsia"/>
          <w:color w:val="FF0000"/>
          <w:kern w:val="0"/>
          <w:highlight w:val="yellow"/>
        </w:rPr>
        <w:t>，</w:t>
      </w:r>
      <w:r w:rsidRPr="00212D57">
        <w:rPr>
          <w:rFonts w:eastAsia="標楷體"/>
          <w:szCs w:val="22"/>
        </w:rPr>
        <w:t>則不須眾緣；若從眾緣出，當知無真性。又性若決定，不應待他出，非如</w:t>
      </w:r>
      <w:r w:rsidR="007D464F">
        <w:rPr>
          <w:rFonts w:ascii="標楷體" w:eastAsia="標楷體" w:hAnsi="標楷體" w:hint="eastAsia"/>
          <w:bCs/>
          <w:color w:val="FF0000"/>
          <w:kern w:val="0"/>
          <w:highlight w:val="yellow"/>
        </w:rPr>
        <w:t>「</w:t>
      </w:r>
      <w:r w:rsidRPr="00212D57">
        <w:rPr>
          <w:rFonts w:eastAsia="標楷體"/>
          <w:szCs w:val="22"/>
        </w:rPr>
        <w:t>長</w:t>
      </w:r>
      <w:r w:rsidR="007D464F">
        <w:rPr>
          <w:rFonts w:ascii="標楷體" w:eastAsia="標楷體" w:hAnsi="標楷體" w:hint="eastAsia"/>
          <w:color w:val="FF0000"/>
          <w:spacing w:val="-4"/>
          <w:kern w:val="0"/>
          <w:highlight w:val="yellow"/>
        </w:rPr>
        <w:t>、</w:t>
      </w:r>
      <w:r w:rsidRPr="00212D57">
        <w:rPr>
          <w:rFonts w:eastAsia="標楷體"/>
          <w:szCs w:val="22"/>
        </w:rPr>
        <w:t>短</w:t>
      </w:r>
      <w:r w:rsidR="007D464F">
        <w:rPr>
          <w:rFonts w:ascii="標楷體" w:eastAsia="標楷體" w:hAnsi="標楷體" w:hint="eastAsia"/>
          <w:color w:val="FF0000"/>
          <w:kern w:val="0"/>
          <w:highlight w:val="yellow"/>
        </w:rPr>
        <w:t>，</w:t>
      </w:r>
      <w:r w:rsidRPr="00212D57">
        <w:rPr>
          <w:rFonts w:eastAsia="標楷體"/>
          <w:szCs w:val="22"/>
        </w:rPr>
        <w:t>彼</w:t>
      </w:r>
      <w:r w:rsidR="007D464F">
        <w:rPr>
          <w:rFonts w:ascii="標楷體" w:eastAsia="標楷體" w:hAnsi="標楷體" w:hint="eastAsia"/>
          <w:color w:val="FF0000"/>
          <w:spacing w:val="-4"/>
          <w:kern w:val="0"/>
          <w:highlight w:val="yellow"/>
        </w:rPr>
        <w:t>、</w:t>
      </w:r>
      <w:r w:rsidRPr="00212D57">
        <w:rPr>
          <w:rFonts w:eastAsia="標楷體"/>
          <w:szCs w:val="22"/>
        </w:rPr>
        <w:t>此</w:t>
      </w:r>
      <w:r w:rsidR="007D464F">
        <w:rPr>
          <w:rFonts w:ascii="標楷體" w:eastAsia="標楷體" w:hAnsi="標楷體" w:hint="eastAsia"/>
          <w:bCs/>
          <w:color w:val="FF0000"/>
          <w:kern w:val="0"/>
          <w:highlight w:val="yellow"/>
        </w:rPr>
        <w:t>」</w:t>
      </w:r>
      <w:r w:rsidR="007D464F">
        <w:rPr>
          <w:rFonts w:ascii="標楷體" w:eastAsia="標楷體" w:hAnsi="標楷體" w:hint="eastAsia"/>
          <w:color w:val="FF0000"/>
          <w:kern w:val="0"/>
          <w:highlight w:val="yellow"/>
        </w:rPr>
        <w:t>──</w:t>
      </w:r>
      <w:r w:rsidRPr="00212D57">
        <w:rPr>
          <w:rFonts w:eastAsia="標楷體"/>
          <w:szCs w:val="22"/>
        </w:rPr>
        <w:t>無定性故，待他而有。</w:t>
      </w:r>
    </w:p>
    <w:p w:rsidR="00157EF6" w:rsidRPr="00212D57" w:rsidRDefault="00157EF6" w:rsidP="002B682F">
      <w:pPr>
        <w:pStyle w:val="a5"/>
        <w:ind w:leftChars="105" w:left="791" w:hangingChars="245" w:hanging="539"/>
        <w:jc w:val="both"/>
        <w:rPr>
          <w:rFonts w:eastAsia="細明體"/>
          <w:szCs w:val="22"/>
        </w:rPr>
      </w:pPr>
      <w:r w:rsidRPr="00212D57">
        <w:rPr>
          <w:rFonts w:eastAsia="細明體"/>
          <w:szCs w:val="22"/>
        </w:rPr>
        <w:t>（</w:t>
      </w:r>
      <w:r w:rsidRPr="00761EF3">
        <w:rPr>
          <w:rFonts w:eastAsia="細明體"/>
          <w:szCs w:val="22"/>
        </w:rPr>
        <w:t>2</w:t>
      </w:r>
      <w:r w:rsidRPr="00212D57">
        <w:rPr>
          <w:rFonts w:eastAsia="細明體"/>
          <w:szCs w:val="22"/>
        </w:rPr>
        <w:t>）印順法師，《中觀論頌講記》</w:t>
      </w:r>
      <w:r w:rsidRPr="00212D57">
        <w:rPr>
          <w:rFonts w:eastAsia="細明體" w:hint="eastAsia"/>
          <w:szCs w:val="22"/>
        </w:rPr>
        <w:t>，</w:t>
      </w:r>
      <w:r w:rsidRPr="00761EF3">
        <w:rPr>
          <w:rFonts w:eastAsia="細明體"/>
          <w:szCs w:val="22"/>
        </w:rPr>
        <w:t>p</w:t>
      </w:r>
      <w:r w:rsidRPr="00212D57">
        <w:rPr>
          <w:rFonts w:eastAsia="細明體"/>
          <w:szCs w:val="22"/>
        </w:rPr>
        <w:t>.</w:t>
      </w:r>
      <w:r w:rsidRPr="00761EF3">
        <w:rPr>
          <w:rFonts w:eastAsia="細明體"/>
          <w:szCs w:val="22"/>
        </w:rPr>
        <w:t>248</w:t>
      </w:r>
      <w:r w:rsidRPr="00212D57">
        <w:rPr>
          <w:rFonts w:eastAsia="細明體"/>
          <w:szCs w:val="22"/>
        </w:rPr>
        <w:t>-</w:t>
      </w:r>
      <w:r w:rsidRPr="00761EF3">
        <w:rPr>
          <w:rFonts w:eastAsia="細明體"/>
          <w:szCs w:val="22"/>
        </w:rPr>
        <w:t>249</w:t>
      </w:r>
      <w:r w:rsidRPr="00212D57">
        <w:rPr>
          <w:rFonts w:eastAsia="細明體"/>
          <w:szCs w:val="22"/>
        </w:rPr>
        <w:t>：</w:t>
      </w:r>
    </w:p>
    <w:p w:rsidR="00157EF6" w:rsidRPr="00212D57" w:rsidRDefault="00157EF6" w:rsidP="002B682F">
      <w:pPr>
        <w:pStyle w:val="a5"/>
        <w:ind w:leftChars="335" w:left="804"/>
        <w:jc w:val="both"/>
        <w:rPr>
          <w:rFonts w:ascii="標楷體" w:eastAsia="標楷體" w:hAnsi="標楷體"/>
          <w:szCs w:val="22"/>
        </w:rPr>
      </w:pPr>
      <w:r w:rsidRPr="00212D57">
        <w:rPr>
          <w:rFonts w:ascii="標楷體" w:eastAsia="標楷體" w:hAnsi="標楷體"/>
          <w:szCs w:val="22"/>
        </w:rPr>
        <w:t>既承認諸法是因緣和合生，那就不能說他有自性；因緣有與自性有的定義，根本是不相吻合的。</w:t>
      </w:r>
      <w:r w:rsidR="00F140C4">
        <w:rPr>
          <w:rFonts w:ascii="標楷體" w:eastAsia="標楷體" w:hAnsi="標楷體" w:hint="eastAsia"/>
          <w:szCs w:val="22"/>
        </w:rPr>
        <w:t>「</w:t>
      </w:r>
      <w:r w:rsidRPr="00212D57">
        <w:rPr>
          <w:rFonts w:ascii="標楷體" w:eastAsia="標楷體" w:hAnsi="標楷體"/>
          <w:szCs w:val="22"/>
        </w:rPr>
        <w:t>自性</w:t>
      </w:r>
      <w:r w:rsidR="00F140C4">
        <w:rPr>
          <w:rFonts w:ascii="標楷體" w:eastAsia="標楷體" w:hAnsi="標楷體" w:hint="eastAsia"/>
          <w:szCs w:val="22"/>
        </w:rPr>
        <w:t>」</w:t>
      </w:r>
      <w:r w:rsidRPr="00212D57">
        <w:rPr>
          <w:rFonts w:ascii="標楷體" w:eastAsia="標楷體" w:hAnsi="標楷體"/>
          <w:szCs w:val="22"/>
        </w:rPr>
        <w:t>，依有部的解說，與自體、自相、我，同一意義。承認自體如此成就的，確實如此的（成、實）自性，就不能說從眾緣生。凡從眾緣生的，即證明他離卻因緣不存在，他不能自體成就，當然沒有自性。所以說：「眾緣中有性，是事則不然。」假定不知自性有與因緣有的不能並存，主張自「性」有或自相有的法，是「從眾緣出」的。承認緣起，就不能說他是自性有，而應「名」之「為」所「作法」；這不過眾緣和合所成的所作法而已。</w:t>
      </w:r>
    </w:p>
    <w:p w:rsidR="00157EF6" w:rsidRPr="00212D57" w:rsidRDefault="00157EF6" w:rsidP="002B682F">
      <w:pPr>
        <w:pStyle w:val="a5"/>
        <w:ind w:leftChars="335" w:left="804"/>
        <w:jc w:val="both"/>
        <w:rPr>
          <w:rFonts w:eastAsia="細明體"/>
          <w:szCs w:val="22"/>
        </w:rPr>
      </w:pPr>
      <w:r w:rsidRPr="00212D57">
        <w:rPr>
          <w:rFonts w:ascii="標楷體" w:eastAsia="標楷體" w:hAnsi="標楷體"/>
          <w:szCs w:val="22"/>
        </w:rPr>
        <w:t>一面承認有自性，一面又承認眾緣所作成，這是多麼的矛盾！所以說：「性若是」所「作者，云何有此義」？凡是自「性」有的自成者，必是「無」有新「作」義的常在者；非新造作而自性成就的，決是「不待異法」而「成」的獨存者，這是一定的道理。承認緣起而固執自相有，這在性空者看來，是絕對錯誤的。</w:t>
      </w:r>
    </w:p>
  </w:footnote>
  <w:footnote w:id="364">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eastAsia="SimSun" w:hint="eastAsia"/>
          <w:szCs w:val="22"/>
        </w:rPr>
        <w:t xml:space="preserve"> </w:t>
      </w:r>
      <w:r w:rsidRPr="00212D57">
        <w:rPr>
          <w:rFonts w:eastAsia="細明體"/>
          <w:szCs w:val="22"/>
        </w:rPr>
        <w:t>新新：</w:t>
      </w:r>
      <w:r w:rsidRPr="00212D57">
        <w:rPr>
          <w:szCs w:val="22"/>
        </w:rPr>
        <w:t>新之又新，不斷變新。（《漢語大詞典》（</w:t>
      </w:r>
      <w:r w:rsidRPr="00212D57">
        <w:rPr>
          <w:rFonts w:eastAsia="SimSun"/>
          <w:szCs w:val="22"/>
        </w:rPr>
        <w:t>六</w:t>
      </w:r>
      <w:r w:rsidRPr="00212D57">
        <w:rPr>
          <w:szCs w:val="22"/>
        </w:rPr>
        <w:t>），</w:t>
      </w:r>
      <w:r w:rsidRPr="00761EF3">
        <w:rPr>
          <w:szCs w:val="22"/>
        </w:rPr>
        <w:t>p</w:t>
      </w:r>
      <w:r w:rsidRPr="00212D57">
        <w:rPr>
          <w:szCs w:val="22"/>
        </w:rPr>
        <w:t>.</w:t>
      </w:r>
      <w:r w:rsidRPr="00761EF3">
        <w:rPr>
          <w:rFonts w:eastAsia="SimSun"/>
          <w:szCs w:val="22"/>
        </w:rPr>
        <w:t>1077</w:t>
      </w:r>
      <w:r w:rsidRPr="00212D57">
        <w:rPr>
          <w:szCs w:val="22"/>
        </w:rPr>
        <w:t>）</w:t>
      </w:r>
    </w:p>
  </w:footnote>
  <w:footnote w:id="365">
    <w:p w:rsidR="00157EF6" w:rsidRPr="00212D57" w:rsidRDefault="00157EF6" w:rsidP="002B682F">
      <w:pPr>
        <w:pStyle w:val="a5"/>
        <w:spacing w:line="0" w:lineRule="atLeast"/>
        <w:ind w:left="253" w:hangingChars="115" w:hanging="253"/>
        <w:jc w:val="both"/>
        <w:rPr>
          <w:rFonts w:eastAsia="SimSun"/>
          <w:szCs w:val="22"/>
        </w:rPr>
      </w:pPr>
      <w:r w:rsidRPr="00212D57">
        <w:rPr>
          <w:rStyle w:val="a6"/>
          <w:szCs w:val="22"/>
        </w:rPr>
        <w:footnoteRef/>
      </w:r>
      <w:r w:rsidRPr="00212D57">
        <w:rPr>
          <w:szCs w:val="22"/>
        </w:rPr>
        <w:t xml:space="preserve"> </w:t>
      </w:r>
      <w:r w:rsidRPr="00212D57">
        <w:rPr>
          <w:rFonts w:eastAsia="細明體"/>
          <w:szCs w:val="22"/>
        </w:rPr>
        <w:t>故：指舊的事物。（《漢語大詞典》（五），</w:t>
      </w:r>
      <w:r w:rsidRPr="00761EF3">
        <w:rPr>
          <w:rFonts w:eastAsia="細明體"/>
          <w:szCs w:val="22"/>
        </w:rPr>
        <w:t>p</w:t>
      </w:r>
      <w:r w:rsidRPr="00212D57">
        <w:rPr>
          <w:rFonts w:eastAsia="細明體"/>
          <w:szCs w:val="22"/>
        </w:rPr>
        <w:t>.</w:t>
      </w:r>
      <w:r w:rsidRPr="00761EF3">
        <w:rPr>
          <w:rFonts w:eastAsia="細明體"/>
          <w:szCs w:val="22"/>
        </w:rPr>
        <w:t>427</w:t>
      </w:r>
      <w:r w:rsidRPr="00212D57">
        <w:rPr>
          <w:rFonts w:eastAsia="細明體"/>
          <w:szCs w:val="22"/>
        </w:rPr>
        <w:t>）</w:t>
      </w:r>
    </w:p>
  </w:footnote>
  <w:footnote w:id="366">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eastAsia="細明體" w:hint="eastAsia"/>
          <w:szCs w:val="22"/>
        </w:rPr>
        <w:t xml:space="preserve"> </w:t>
      </w:r>
      <w:r w:rsidRPr="00212D57">
        <w:rPr>
          <w:rFonts w:eastAsia="細明體"/>
          <w:szCs w:val="22"/>
        </w:rPr>
        <w:t>（</w:t>
      </w:r>
      <w:r w:rsidRPr="00761EF3">
        <w:rPr>
          <w:rFonts w:eastAsia="細明體"/>
          <w:szCs w:val="22"/>
        </w:rPr>
        <w:t>1</w:t>
      </w:r>
      <w:r w:rsidRPr="00212D57">
        <w:rPr>
          <w:rFonts w:eastAsia="細明體"/>
          <w:szCs w:val="22"/>
        </w:rPr>
        <w:t>）</w:t>
      </w:r>
      <w:r w:rsidRPr="00212D57">
        <w:rPr>
          <w:szCs w:val="22"/>
        </w:rPr>
        <w:t>參見《成唯識論》卷</w:t>
      </w:r>
      <w:r w:rsidRPr="00761EF3">
        <w:rPr>
          <w:szCs w:val="22"/>
        </w:rPr>
        <w:t>1</w:t>
      </w:r>
      <w:r w:rsidRPr="00212D57">
        <w:rPr>
          <w:szCs w:val="22"/>
        </w:rPr>
        <w:t>（大正</w:t>
      </w:r>
      <w:r w:rsidRPr="00761EF3">
        <w:rPr>
          <w:szCs w:val="22"/>
        </w:rPr>
        <w:t>31</w:t>
      </w:r>
      <w:r w:rsidRPr="00212D57">
        <w:rPr>
          <w:szCs w:val="22"/>
        </w:rPr>
        <w:t>，</w:t>
      </w:r>
      <w:r w:rsidRPr="00761EF3">
        <w:rPr>
          <w:szCs w:val="22"/>
        </w:rPr>
        <w:t>2a9</w:t>
      </w:r>
      <w:r w:rsidRPr="00212D57">
        <w:rPr>
          <w:szCs w:val="22"/>
        </w:rPr>
        <w:t>-</w:t>
      </w:r>
      <w:r w:rsidRPr="00761EF3">
        <w:rPr>
          <w:szCs w:val="22"/>
        </w:rPr>
        <w:t>24</w:t>
      </w:r>
      <w:r w:rsidRPr="00212D57">
        <w:rPr>
          <w:szCs w:val="22"/>
        </w:rPr>
        <w:t>）：</w:t>
      </w:r>
    </w:p>
    <w:p w:rsidR="00157EF6" w:rsidRPr="00212D57" w:rsidRDefault="00C701A7" w:rsidP="002B682F">
      <w:pPr>
        <w:pStyle w:val="a5"/>
        <w:ind w:leftChars="335" w:left="804"/>
        <w:jc w:val="both"/>
        <w:rPr>
          <w:rFonts w:ascii="標楷體" w:eastAsia="標楷體" w:hAnsi="標楷體"/>
          <w:szCs w:val="22"/>
        </w:rPr>
      </w:pPr>
      <w:r>
        <w:rPr>
          <w:rFonts w:ascii="標楷體" w:eastAsia="標楷體" w:hAnsi="標楷體" w:hint="eastAsia"/>
          <w:bCs/>
          <w:color w:val="FF0000"/>
          <w:kern w:val="0"/>
          <w:highlight w:val="yellow"/>
        </w:rPr>
        <w:t>「</w:t>
      </w:r>
      <w:r w:rsidR="00157EF6" w:rsidRPr="00212D57">
        <w:rPr>
          <w:rFonts w:ascii="標楷體" w:eastAsia="標楷體" w:hAnsi="標楷體"/>
          <w:szCs w:val="22"/>
        </w:rPr>
        <w:t>諸我執</w:t>
      </w:r>
      <w:r>
        <w:rPr>
          <w:rFonts w:ascii="標楷體" w:eastAsia="標楷體" w:hAnsi="標楷體" w:hint="eastAsia"/>
          <w:bCs/>
          <w:color w:val="FF0000"/>
          <w:kern w:val="0"/>
          <w:highlight w:val="yellow"/>
        </w:rPr>
        <w:t>」</w:t>
      </w:r>
      <w:r w:rsidR="00157EF6" w:rsidRPr="00212D57">
        <w:rPr>
          <w:rFonts w:ascii="標楷體" w:eastAsia="標楷體" w:hAnsi="標楷體"/>
          <w:szCs w:val="22"/>
        </w:rPr>
        <w:t>略有二種</w:t>
      </w:r>
      <w:r w:rsidR="00157EF6" w:rsidRPr="00212D57">
        <w:rPr>
          <w:rFonts w:ascii="標楷體" w:eastAsia="標楷體" w:hAnsi="標楷體" w:hint="eastAsia"/>
          <w:szCs w:val="22"/>
        </w:rPr>
        <w:t>：</w:t>
      </w:r>
      <w:r w:rsidR="00157EF6" w:rsidRPr="00212D57">
        <w:rPr>
          <w:rFonts w:ascii="標楷體" w:eastAsia="標楷體" w:hAnsi="標楷體"/>
          <w:szCs w:val="22"/>
        </w:rPr>
        <w:t>一者</w:t>
      </w:r>
      <w:r>
        <w:rPr>
          <w:rFonts w:ascii="標楷體" w:eastAsia="標楷體" w:hAnsi="標楷體" w:hint="eastAsia"/>
          <w:color w:val="FF0000"/>
          <w:spacing w:val="-4"/>
          <w:kern w:val="0"/>
          <w:highlight w:val="yellow"/>
        </w:rPr>
        <w:t>、</w:t>
      </w:r>
      <w:r w:rsidR="00157EF6" w:rsidRPr="00212D57">
        <w:rPr>
          <w:rFonts w:ascii="標楷體" w:eastAsia="標楷體" w:hAnsi="標楷體"/>
          <w:szCs w:val="22"/>
        </w:rPr>
        <w:t>俱生</w:t>
      </w:r>
      <w:r w:rsidR="00157EF6" w:rsidRPr="00212D57">
        <w:rPr>
          <w:rFonts w:ascii="標楷體" w:eastAsia="標楷體" w:hAnsi="標楷體" w:hint="eastAsia"/>
          <w:szCs w:val="22"/>
        </w:rPr>
        <w:t>，</w:t>
      </w:r>
      <w:r w:rsidR="00157EF6" w:rsidRPr="00212D57">
        <w:rPr>
          <w:rFonts w:ascii="標楷體" w:eastAsia="標楷體" w:hAnsi="標楷體"/>
          <w:szCs w:val="22"/>
        </w:rPr>
        <w:t>二者</w:t>
      </w:r>
      <w:r>
        <w:rPr>
          <w:rFonts w:ascii="標楷體" w:eastAsia="標楷體" w:hAnsi="標楷體" w:hint="eastAsia"/>
          <w:color w:val="FF0000"/>
          <w:spacing w:val="-4"/>
          <w:kern w:val="0"/>
          <w:highlight w:val="yellow"/>
        </w:rPr>
        <w:t>、</w:t>
      </w:r>
      <w:r w:rsidR="00157EF6" w:rsidRPr="00212D57">
        <w:rPr>
          <w:rFonts w:ascii="標楷體" w:eastAsia="標楷體" w:hAnsi="標楷體"/>
          <w:szCs w:val="22"/>
        </w:rPr>
        <w:t>分別。</w:t>
      </w:r>
    </w:p>
    <w:p w:rsidR="00157EF6" w:rsidRPr="00212D57" w:rsidRDefault="00C701A7" w:rsidP="002B682F">
      <w:pPr>
        <w:pStyle w:val="a5"/>
        <w:ind w:leftChars="335" w:left="804"/>
        <w:jc w:val="both"/>
        <w:rPr>
          <w:szCs w:val="22"/>
        </w:rPr>
      </w:pPr>
      <w:r>
        <w:rPr>
          <w:rFonts w:ascii="標楷體" w:eastAsia="標楷體" w:hAnsi="標楷體" w:hint="eastAsia"/>
          <w:bCs/>
          <w:color w:val="FF0000"/>
          <w:kern w:val="0"/>
          <w:highlight w:val="yellow"/>
        </w:rPr>
        <w:t>「</w:t>
      </w:r>
      <w:r w:rsidR="00157EF6" w:rsidRPr="00212D57">
        <w:rPr>
          <w:rFonts w:ascii="標楷體" w:eastAsia="標楷體" w:hAnsi="標楷體"/>
          <w:b/>
          <w:szCs w:val="22"/>
        </w:rPr>
        <w:t>俱生我執</w:t>
      </w:r>
      <w:r>
        <w:rPr>
          <w:rFonts w:ascii="標楷體" w:eastAsia="標楷體" w:hAnsi="標楷體" w:hint="eastAsia"/>
          <w:bCs/>
          <w:color w:val="FF0000"/>
          <w:kern w:val="0"/>
          <w:highlight w:val="yellow"/>
        </w:rPr>
        <w:t>」</w:t>
      </w:r>
      <w:r>
        <w:rPr>
          <w:rFonts w:ascii="標楷體" w:eastAsia="標楷體" w:hAnsi="標楷體" w:hint="eastAsia"/>
          <w:color w:val="FF0000"/>
          <w:spacing w:val="-4"/>
          <w:kern w:val="0"/>
          <w:highlight w:val="yellow"/>
        </w:rPr>
        <w:t>：</w:t>
      </w:r>
      <w:r w:rsidR="00157EF6" w:rsidRPr="00212D57">
        <w:rPr>
          <w:rFonts w:ascii="標楷體" w:eastAsia="標楷體" w:hAnsi="標楷體"/>
          <w:szCs w:val="22"/>
        </w:rPr>
        <w:t>無始時來虛妄熏習內因力故</w:t>
      </w:r>
      <w:r w:rsidR="00157EF6" w:rsidRPr="00212D57">
        <w:rPr>
          <w:rFonts w:ascii="標楷體" w:eastAsia="標楷體" w:hAnsi="標楷體" w:hint="eastAsia"/>
          <w:szCs w:val="22"/>
        </w:rPr>
        <w:t>，</w:t>
      </w:r>
      <w:r w:rsidR="00157EF6" w:rsidRPr="00212D57">
        <w:rPr>
          <w:rFonts w:ascii="標楷體" w:eastAsia="標楷體" w:hAnsi="標楷體"/>
          <w:szCs w:val="22"/>
        </w:rPr>
        <w:t>恒與身俱</w:t>
      </w:r>
      <w:r w:rsidR="00157EF6" w:rsidRPr="00212D57">
        <w:rPr>
          <w:rFonts w:ascii="標楷體" w:eastAsia="標楷體" w:hAnsi="標楷體" w:hint="eastAsia"/>
          <w:szCs w:val="22"/>
        </w:rPr>
        <w:t>，</w:t>
      </w:r>
      <w:r w:rsidR="00157EF6" w:rsidRPr="00212D57">
        <w:rPr>
          <w:rFonts w:ascii="標楷體" w:eastAsia="標楷體" w:hAnsi="標楷體"/>
          <w:szCs w:val="22"/>
        </w:rPr>
        <w:t>不待邪教及邪分別</w:t>
      </w:r>
      <w:r>
        <w:rPr>
          <w:rFonts w:ascii="標楷體" w:eastAsia="標楷體" w:hAnsi="標楷體" w:hint="eastAsia"/>
          <w:color w:val="FF0000"/>
          <w:kern w:val="0"/>
          <w:highlight w:val="yellow"/>
        </w:rPr>
        <w:t>，</w:t>
      </w:r>
      <w:r w:rsidR="00157EF6" w:rsidRPr="00212D57">
        <w:rPr>
          <w:rFonts w:ascii="標楷體" w:eastAsia="標楷體" w:hAnsi="標楷體"/>
          <w:szCs w:val="22"/>
        </w:rPr>
        <w:t>任運而轉</w:t>
      </w:r>
      <w:r w:rsidR="00157EF6" w:rsidRPr="00212D57">
        <w:rPr>
          <w:rFonts w:ascii="標楷體" w:eastAsia="標楷體" w:hAnsi="標楷體" w:hint="eastAsia"/>
          <w:szCs w:val="22"/>
        </w:rPr>
        <w:t>，</w:t>
      </w:r>
      <w:r w:rsidR="00157EF6" w:rsidRPr="00212D57">
        <w:rPr>
          <w:rFonts w:ascii="標楷體" w:eastAsia="標楷體" w:hAnsi="標楷體"/>
          <w:b/>
          <w:szCs w:val="22"/>
        </w:rPr>
        <w:t>故名</w:t>
      </w:r>
      <w:r>
        <w:rPr>
          <w:rFonts w:ascii="標楷體" w:eastAsia="標楷體" w:hAnsi="標楷體" w:hint="eastAsia"/>
          <w:bCs/>
          <w:color w:val="FF0000"/>
          <w:kern w:val="0"/>
          <w:highlight w:val="yellow"/>
        </w:rPr>
        <w:t>「</w:t>
      </w:r>
      <w:r w:rsidR="00157EF6" w:rsidRPr="00212D57">
        <w:rPr>
          <w:rFonts w:ascii="標楷體" w:eastAsia="標楷體" w:hAnsi="標楷體"/>
          <w:b/>
          <w:szCs w:val="22"/>
        </w:rPr>
        <w:t>俱生</w:t>
      </w:r>
      <w:r>
        <w:rPr>
          <w:rFonts w:ascii="標楷體" w:eastAsia="標楷體" w:hAnsi="標楷體" w:hint="eastAsia"/>
          <w:bCs/>
          <w:color w:val="FF0000"/>
          <w:kern w:val="0"/>
          <w:highlight w:val="yellow"/>
        </w:rPr>
        <w:t>」</w:t>
      </w:r>
      <w:r w:rsidR="00157EF6" w:rsidRPr="00212D57">
        <w:rPr>
          <w:rFonts w:ascii="標楷體" w:eastAsia="標楷體" w:hAnsi="標楷體"/>
          <w:szCs w:val="22"/>
        </w:rPr>
        <w:t>。此復二種</w:t>
      </w:r>
      <w:r w:rsidR="00157EF6" w:rsidRPr="00212D57">
        <w:rPr>
          <w:rFonts w:ascii="標楷體" w:eastAsia="標楷體" w:hAnsi="標楷體" w:hint="eastAsia"/>
          <w:szCs w:val="22"/>
        </w:rPr>
        <w:t>：</w:t>
      </w:r>
      <w:r w:rsidR="00157EF6" w:rsidRPr="00212D57">
        <w:rPr>
          <w:rFonts w:ascii="標楷體" w:eastAsia="標楷體" w:hAnsi="標楷體"/>
          <w:szCs w:val="22"/>
        </w:rPr>
        <w:t>一</w:t>
      </w:r>
      <w:r w:rsidR="00157EF6" w:rsidRPr="00212D57">
        <w:rPr>
          <w:rFonts w:ascii="標楷體" w:eastAsia="標楷體" w:hAnsi="標楷體" w:hint="eastAsia"/>
          <w:szCs w:val="22"/>
        </w:rPr>
        <w:t>、</w:t>
      </w:r>
      <w:r w:rsidR="00157EF6" w:rsidRPr="00212D57">
        <w:rPr>
          <w:rFonts w:ascii="標楷體" w:eastAsia="標楷體" w:hAnsi="標楷體"/>
          <w:szCs w:val="22"/>
        </w:rPr>
        <w:t>常相續</w:t>
      </w:r>
      <w:r>
        <w:rPr>
          <w:rFonts w:ascii="標楷體" w:eastAsia="標楷體" w:hAnsi="標楷體" w:hint="eastAsia"/>
          <w:color w:val="FF0000"/>
          <w:kern w:val="0"/>
          <w:highlight w:val="yellow"/>
        </w:rPr>
        <w:t>，</w:t>
      </w:r>
      <w:r w:rsidR="00157EF6" w:rsidRPr="00212D57">
        <w:rPr>
          <w:rFonts w:ascii="標楷體" w:eastAsia="標楷體" w:hAnsi="標楷體"/>
          <w:szCs w:val="22"/>
        </w:rPr>
        <w:t>在第七識</w:t>
      </w:r>
      <w:r w:rsidR="00157EF6" w:rsidRPr="00212D57">
        <w:rPr>
          <w:rFonts w:ascii="標楷體" w:eastAsia="標楷體" w:hAnsi="標楷體" w:hint="eastAsia"/>
          <w:szCs w:val="22"/>
        </w:rPr>
        <w:t>，</w:t>
      </w:r>
      <w:r w:rsidR="00157EF6" w:rsidRPr="00212D57">
        <w:rPr>
          <w:rFonts w:ascii="標楷體" w:eastAsia="標楷體" w:hAnsi="標楷體"/>
          <w:szCs w:val="22"/>
        </w:rPr>
        <w:t>緣第八識起自心相</w:t>
      </w:r>
      <w:r>
        <w:rPr>
          <w:rFonts w:ascii="標楷體" w:eastAsia="標楷體" w:hAnsi="標楷體" w:hint="eastAsia"/>
          <w:color w:val="FF0000"/>
          <w:kern w:val="0"/>
          <w:highlight w:val="yellow"/>
        </w:rPr>
        <w:t>，</w:t>
      </w:r>
      <w:r w:rsidR="00157EF6" w:rsidRPr="00212D57">
        <w:rPr>
          <w:rFonts w:ascii="標楷體" w:eastAsia="標楷體" w:hAnsi="標楷體"/>
          <w:szCs w:val="22"/>
        </w:rPr>
        <w:t>執為實我</w:t>
      </w:r>
      <w:r w:rsidR="00157EF6" w:rsidRPr="00212D57">
        <w:rPr>
          <w:rFonts w:ascii="標楷體" w:eastAsia="標楷體" w:hAnsi="標楷體" w:hint="eastAsia"/>
          <w:szCs w:val="22"/>
        </w:rPr>
        <w:t>；</w:t>
      </w:r>
      <w:r w:rsidR="00157EF6" w:rsidRPr="00212D57">
        <w:rPr>
          <w:rFonts w:ascii="標楷體" w:eastAsia="標楷體" w:hAnsi="標楷體"/>
          <w:szCs w:val="22"/>
        </w:rPr>
        <w:t>二</w:t>
      </w:r>
      <w:r w:rsidR="00157EF6" w:rsidRPr="00212D57">
        <w:rPr>
          <w:rFonts w:ascii="標楷體" w:eastAsia="標楷體" w:hAnsi="標楷體" w:hint="eastAsia"/>
          <w:szCs w:val="22"/>
        </w:rPr>
        <w:t>、</w:t>
      </w:r>
      <w:r w:rsidR="00157EF6" w:rsidRPr="00212D57">
        <w:rPr>
          <w:rFonts w:ascii="標楷體" w:eastAsia="標楷體" w:hAnsi="標楷體"/>
          <w:szCs w:val="22"/>
        </w:rPr>
        <w:t>有間斷</w:t>
      </w:r>
      <w:r>
        <w:rPr>
          <w:rFonts w:ascii="標楷體" w:eastAsia="標楷體" w:hAnsi="標楷體" w:hint="eastAsia"/>
          <w:color w:val="FF0000"/>
          <w:kern w:val="0"/>
          <w:highlight w:val="yellow"/>
        </w:rPr>
        <w:t>，</w:t>
      </w:r>
      <w:r w:rsidR="00157EF6" w:rsidRPr="00212D57">
        <w:rPr>
          <w:rFonts w:ascii="標楷體" w:eastAsia="標楷體" w:hAnsi="標楷體"/>
          <w:szCs w:val="22"/>
        </w:rPr>
        <w:t>在第六識</w:t>
      </w:r>
      <w:r w:rsidR="00157EF6" w:rsidRPr="00212D57">
        <w:rPr>
          <w:rFonts w:ascii="標楷體" w:eastAsia="標楷體" w:hAnsi="標楷體" w:hint="eastAsia"/>
          <w:szCs w:val="22"/>
        </w:rPr>
        <w:t>，</w:t>
      </w:r>
      <w:r w:rsidR="00157EF6" w:rsidRPr="00212D57">
        <w:rPr>
          <w:rFonts w:ascii="標楷體" w:eastAsia="標楷體" w:hAnsi="標楷體"/>
          <w:szCs w:val="22"/>
        </w:rPr>
        <w:t>緣識所變五取蘊</w:t>
      </w:r>
      <w:r w:rsidR="00157EF6" w:rsidRPr="00C701A7">
        <w:rPr>
          <w:rFonts w:ascii="標楷體" w:eastAsia="標楷體" w:hAnsi="標楷體"/>
          <w:szCs w:val="22"/>
          <w:highlight w:val="yellow"/>
        </w:rPr>
        <w:t>相或</w:t>
      </w:r>
      <w:r w:rsidR="00157EF6" w:rsidRPr="00212D57">
        <w:rPr>
          <w:rFonts w:ascii="標楷體" w:eastAsia="標楷體" w:hAnsi="標楷體"/>
          <w:szCs w:val="22"/>
        </w:rPr>
        <w:t>總</w:t>
      </w:r>
      <w:r>
        <w:rPr>
          <w:rFonts w:ascii="標楷體" w:eastAsia="標楷體" w:hAnsi="標楷體" w:hint="eastAsia"/>
          <w:color w:val="FF0000"/>
          <w:spacing w:val="-4"/>
          <w:kern w:val="0"/>
          <w:highlight w:val="yellow"/>
        </w:rPr>
        <w:t>、</w:t>
      </w:r>
      <w:r w:rsidR="00157EF6" w:rsidRPr="00212D57">
        <w:rPr>
          <w:rFonts w:ascii="標楷體" w:eastAsia="標楷體" w:hAnsi="標楷體"/>
          <w:szCs w:val="22"/>
        </w:rPr>
        <w:t>或別起自心相</w:t>
      </w:r>
      <w:r>
        <w:rPr>
          <w:rFonts w:ascii="標楷體" w:eastAsia="標楷體" w:hAnsi="標楷體" w:hint="eastAsia"/>
          <w:color w:val="FF0000"/>
          <w:kern w:val="0"/>
          <w:highlight w:val="yellow"/>
        </w:rPr>
        <w:t>，</w:t>
      </w:r>
      <w:r w:rsidR="00157EF6" w:rsidRPr="00212D57">
        <w:rPr>
          <w:rFonts w:ascii="標楷體" w:eastAsia="標楷體" w:hAnsi="標楷體"/>
          <w:szCs w:val="22"/>
        </w:rPr>
        <w:t>執為實我。此二我執細故難斷</w:t>
      </w:r>
      <w:r w:rsidR="00157EF6" w:rsidRPr="00212D57">
        <w:rPr>
          <w:rFonts w:ascii="標楷體" w:eastAsia="標楷體" w:hAnsi="標楷體" w:hint="eastAsia"/>
          <w:szCs w:val="22"/>
        </w:rPr>
        <w:t>，</w:t>
      </w:r>
      <w:r w:rsidR="00157EF6" w:rsidRPr="00212D57">
        <w:rPr>
          <w:rFonts w:ascii="標楷體" w:eastAsia="標楷體" w:hAnsi="標楷體"/>
          <w:szCs w:val="22"/>
        </w:rPr>
        <w:t>後修道中數數修習勝生空觀方能除滅。</w:t>
      </w:r>
    </w:p>
    <w:p w:rsidR="00157EF6" w:rsidRPr="00212D57" w:rsidRDefault="00157EF6" w:rsidP="002B682F">
      <w:pPr>
        <w:pStyle w:val="a5"/>
        <w:ind w:leftChars="335" w:left="804"/>
        <w:jc w:val="both"/>
        <w:rPr>
          <w:szCs w:val="22"/>
        </w:rPr>
      </w:pPr>
      <w:r w:rsidRPr="00212D57">
        <w:rPr>
          <w:rFonts w:ascii="標楷體" w:eastAsia="標楷體" w:hAnsi="標楷體"/>
          <w:b/>
          <w:szCs w:val="22"/>
        </w:rPr>
        <w:t>分別我執</w:t>
      </w:r>
      <w:r w:rsidR="00C701A7">
        <w:rPr>
          <w:rFonts w:ascii="標楷體" w:eastAsia="標楷體" w:hAnsi="標楷體" w:hint="eastAsia"/>
          <w:color w:val="FF0000"/>
          <w:spacing w:val="-4"/>
          <w:kern w:val="0"/>
          <w:highlight w:val="yellow"/>
        </w:rPr>
        <w:t>：</w:t>
      </w:r>
      <w:r w:rsidRPr="00212D57">
        <w:rPr>
          <w:rFonts w:ascii="標楷體" w:eastAsia="標楷體" w:hAnsi="標楷體"/>
          <w:szCs w:val="22"/>
        </w:rPr>
        <w:t>亦由現在外緣力故</w:t>
      </w:r>
      <w:r w:rsidR="00C701A7">
        <w:rPr>
          <w:rFonts w:ascii="標楷體" w:eastAsia="標楷體" w:hAnsi="標楷體" w:hint="eastAsia"/>
          <w:color w:val="FF0000"/>
          <w:kern w:val="0"/>
          <w:highlight w:val="yellow"/>
        </w:rPr>
        <w:t>，</w:t>
      </w:r>
      <w:r w:rsidRPr="00212D57">
        <w:rPr>
          <w:rFonts w:ascii="標楷體" w:eastAsia="標楷體" w:hAnsi="標楷體"/>
          <w:szCs w:val="22"/>
        </w:rPr>
        <w:t>非與身俱</w:t>
      </w:r>
      <w:r w:rsidRPr="00212D57">
        <w:rPr>
          <w:rFonts w:ascii="標楷體" w:eastAsia="標楷體" w:hAnsi="標楷體" w:hint="eastAsia"/>
          <w:szCs w:val="22"/>
        </w:rPr>
        <w:t>，</w:t>
      </w:r>
      <w:r w:rsidRPr="00212D57">
        <w:rPr>
          <w:rFonts w:ascii="標楷體" w:eastAsia="標楷體" w:hAnsi="標楷體"/>
          <w:szCs w:val="22"/>
        </w:rPr>
        <w:t>要待邪教及邪分別然後方起</w:t>
      </w:r>
      <w:r w:rsidR="00C701A7">
        <w:rPr>
          <w:rFonts w:ascii="標楷體" w:eastAsia="標楷體" w:hAnsi="標楷體" w:hint="eastAsia"/>
          <w:color w:val="FF0000"/>
          <w:kern w:val="0"/>
          <w:highlight w:val="yellow"/>
        </w:rPr>
        <w:t>，</w:t>
      </w:r>
      <w:r w:rsidRPr="00212D57">
        <w:rPr>
          <w:rFonts w:ascii="標楷體" w:eastAsia="標楷體" w:hAnsi="標楷體"/>
          <w:szCs w:val="22"/>
        </w:rPr>
        <w:t>故名</w:t>
      </w:r>
      <w:r w:rsidR="00C701A7">
        <w:rPr>
          <w:rFonts w:ascii="標楷體" w:eastAsia="標楷體" w:hAnsi="標楷體" w:hint="eastAsia"/>
          <w:bCs/>
          <w:color w:val="FF0000"/>
          <w:kern w:val="0"/>
          <w:highlight w:val="yellow"/>
        </w:rPr>
        <w:t>「</w:t>
      </w:r>
      <w:r w:rsidRPr="00212D57">
        <w:rPr>
          <w:rFonts w:ascii="標楷體" w:eastAsia="標楷體" w:hAnsi="標楷體"/>
          <w:szCs w:val="22"/>
        </w:rPr>
        <w:t>分別</w:t>
      </w:r>
      <w:r w:rsidR="00C701A7">
        <w:rPr>
          <w:rFonts w:ascii="標楷體" w:eastAsia="標楷體" w:hAnsi="標楷體" w:hint="eastAsia"/>
          <w:bCs/>
          <w:color w:val="FF0000"/>
          <w:kern w:val="0"/>
          <w:highlight w:val="yellow"/>
        </w:rPr>
        <w:t>」</w:t>
      </w:r>
      <w:r w:rsidRPr="00212D57">
        <w:rPr>
          <w:rFonts w:ascii="標楷體" w:eastAsia="標楷體" w:hAnsi="標楷體" w:hint="eastAsia"/>
          <w:szCs w:val="22"/>
        </w:rPr>
        <w:t>，</w:t>
      </w:r>
      <w:r w:rsidRPr="00212D57">
        <w:rPr>
          <w:rFonts w:ascii="標楷體" w:eastAsia="標楷體" w:hAnsi="標楷體"/>
          <w:szCs w:val="22"/>
        </w:rPr>
        <w:t>唯在第六意識中有。此亦二種</w:t>
      </w:r>
      <w:r w:rsidRPr="00212D57">
        <w:rPr>
          <w:rFonts w:ascii="標楷體" w:eastAsia="標楷體" w:hAnsi="標楷體" w:hint="eastAsia"/>
          <w:szCs w:val="22"/>
        </w:rPr>
        <w:t>：</w:t>
      </w:r>
      <w:r w:rsidRPr="00212D57">
        <w:rPr>
          <w:rFonts w:ascii="標楷體" w:eastAsia="標楷體" w:hAnsi="標楷體"/>
          <w:szCs w:val="22"/>
        </w:rPr>
        <w:t>一</w:t>
      </w:r>
      <w:r w:rsidRPr="00212D57">
        <w:rPr>
          <w:rFonts w:ascii="標楷體" w:eastAsia="標楷體" w:hAnsi="標楷體" w:hint="eastAsia"/>
          <w:szCs w:val="22"/>
        </w:rPr>
        <w:t>、</w:t>
      </w:r>
      <w:r w:rsidRPr="00212D57">
        <w:rPr>
          <w:rFonts w:ascii="標楷體" w:eastAsia="標楷體" w:hAnsi="標楷體"/>
          <w:szCs w:val="22"/>
        </w:rPr>
        <w:t>緣邪教所說蘊</w:t>
      </w:r>
      <w:r w:rsidRPr="00C701A7">
        <w:rPr>
          <w:rFonts w:ascii="標楷體" w:eastAsia="標楷體" w:hAnsi="標楷體"/>
          <w:szCs w:val="22"/>
          <w:highlight w:val="yellow"/>
        </w:rPr>
        <w:t>相起</w:t>
      </w:r>
      <w:r w:rsidRPr="00212D57">
        <w:rPr>
          <w:rFonts w:ascii="標楷體" w:eastAsia="標楷體" w:hAnsi="標楷體"/>
          <w:szCs w:val="22"/>
        </w:rPr>
        <w:t>自心相</w:t>
      </w:r>
      <w:r w:rsidR="00C701A7">
        <w:rPr>
          <w:rFonts w:ascii="標楷體" w:eastAsia="標楷體" w:hAnsi="標楷體" w:hint="eastAsia"/>
          <w:color w:val="FF0000"/>
          <w:kern w:val="0"/>
          <w:highlight w:val="yellow"/>
        </w:rPr>
        <w:t>，</w:t>
      </w:r>
      <w:r w:rsidRPr="00212D57">
        <w:rPr>
          <w:rFonts w:ascii="標楷體" w:eastAsia="標楷體" w:hAnsi="標楷體"/>
          <w:szCs w:val="22"/>
        </w:rPr>
        <w:t>分別</w:t>
      </w:r>
      <w:r w:rsidR="00C701A7">
        <w:rPr>
          <w:rFonts w:ascii="標楷體" w:eastAsia="標楷體" w:hAnsi="標楷體" w:hint="eastAsia"/>
          <w:color w:val="FF0000"/>
          <w:spacing w:val="-4"/>
          <w:kern w:val="0"/>
          <w:highlight w:val="yellow"/>
        </w:rPr>
        <w:t>、</w:t>
      </w:r>
      <w:r w:rsidRPr="00212D57">
        <w:rPr>
          <w:rFonts w:ascii="標楷體" w:eastAsia="標楷體" w:hAnsi="標楷體"/>
          <w:szCs w:val="22"/>
        </w:rPr>
        <w:t>計度</w:t>
      </w:r>
      <w:r w:rsidR="00C701A7">
        <w:rPr>
          <w:rFonts w:ascii="標楷體" w:eastAsia="標楷體" w:hAnsi="標楷體" w:hint="eastAsia"/>
          <w:color w:val="FF0000"/>
          <w:kern w:val="0"/>
          <w:highlight w:val="yellow"/>
        </w:rPr>
        <w:t>，</w:t>
      </w:r>
      <w:r w:rsidRPr="00212D57">
        <w:rPr>
          <w:rFonts w:ascii="標楷體" w:eastAsia="標楷體" w:hAnsi="標楷體"/>
          <w:szCs w:val="22"/>
        </w:rPr>
        <w:t>執為實我</w:t>
      </w:r>
      <w:r w:rsidR="00C701A7">
        <w:rPr>
          <w:rFonts w:ascii="標楷體" w:eastAsia="標楷體" w:hAnsi="標楷體" w:hint="eastAsia"/>
          <w:color w:val="FF0000"/>
          <w:spacing w:val="-4"/>
          <w:kern w:val="0"/>
          <w:highlight w:val="yellow"/>
        </w:rPr>
        <w:t>；</w:t>
      </w:r>
      <w:r w:rsidRPr="00212D57">
        <w:rPr>
          <w:rFonts w:ascii="標楷體" w:eastAsia="標楷體" w:hAnsi="標楷體"/>
          <w:szCs w:val="22"/>
        </w:rPr>
        <w:t>二</w:t>
      </w:r>
      <w:r w:rsidRPr="00212D57">
        <w:rPr>
          <w:rFonts w:ascii="標楷體" w:eastAsia="標楷體" w:hAnsi="標楷體" w:hint="eastAsia"/>
          <w:szCs w:val="22"/>
        </w:rPr>
        <w:t>、</w:t>
      </w:r>
      <w:r w:rsidRPr="00212D57">
        <w:rPr>
          <w:rFonts w:ascii="標楷體" w:eastAsia="標楷體" w:hAnsi="標楷體"/>
          <w:szCs w:val="22"/>
        </w:rPr>
        <w:t>緣邪教所說我</w:t>
      </w:r>
      <w:r w:rsidRPr="00C701A7">
        <w:rPr>
          <w:rFonts w:ascii="標楷體" w:eastAsia="標楷體" w:hAnsi="標楷體"/>
          <w:szCs w:val="22"/>
          <w:highlight w:val="yellow"/>
        </w:rPr>
        <w:t>相</w:t>
      </w:r>
      <w:r w:rsidRPr="00C701A7">
        <w:rPr>
          <w:rFonts w:eastAsia="標楷體"/>
          <w:szCs w:val="22"/>
          <w:highlight w:val="yellow"/>
        </w:rPr>
        <w:t>起</w:t>
      </w:r>
      <w:r w:rsidRPr="00212D57">
        <w:rPr>
          <w:rFonts w:eastAsia="標楷體"/>
          <w:szCs w:val="22"/>
        </w:rPr>
        <w:t>自心相</w:t>
      </w:r>
      <w:r w:rsidR="00C701A7">
        <w:rPr>
          <w:rFonts w:ascii="標楷體" w:eastAsia="標楷體" w:hAnsi="標楷體" w:hint="eastAsia"/>
          <w:color w:val="FF0000"/>
          <w:kern w:val="0"/>
          <w:highlight w:val="yellow"/>
        </w:rPr>
        <w:t>，</w:t>
      </w:r>
      <w:r w:rsidRPr="00212D57">
        <w:rPr>
          <w:rFonts w:eastAsia="標楷體"/>
          <w:szCs w:val="22"/>
        </w:rPr>
        <w:t>分別</w:t>
      </w:r>
      <w:r w:rsidR="00C701A7">
        <w:rPr>
          <w:rFonts w:ascii="標楷體" w:eastAsia="標楷體" w:hAnsi="標楷體" w:hint="eastAsia"/>
          <w:color w:val="FF0000"/>
          <w:spacing w:val="-4"/>
          <w:kern w:val="0"/>
          <w:highlight w:val="yellow"/>
        </w:rPr>
        <w:t>、</w:t>
      </w:r>
      <w:r w:rsidRPr="00212D57">
        <w:rPr>
          <w:rFonts w:eastAsia="標楷體"/>
          <w:szCs w:val="22"/>
        </w:rPr>
        <w:t>計度</w:t>
      </w:r>
      <w:r w:rsidR="00C701A7">
        <w:rPr>
          <w:rFonts w:ascii="標楷體" w:eastAsia="標楷體" w:hAnsi="標楷體" w:hint="eastAsia"/>
          <w:color w:val="FF0000"/>
          <w:kern w:val="0"/>
          <w:highlight w:val="yellow"/>
        </w:rPr>
        <w:t>，</w:t>
      </w:r>
      <w:r w:rsidRPr="00212D57">
        <w:rPr>
          <w:rFonts w:eastAsia="標楷體"/>
          <w:szCs w:val="22"/>
        </w:rPr>
        <w:t>執為實我。此二我執麁故易斷，初見道時觀一切法生空真如即能除滅。</w:t>
      </w:r>
    </w:p>
    <w:p w:rsidR="00157EF6" w:rsidRPr="00212D57" w:rsidRDefault="00157EF6" w:rsidP="002B682F">
      <w:pPr>
        <w:pStyle w:val="a5"/>
        <w:ind w:leftChars="105" w:left="791" w:hangingChars="245" w:hanging="539"/>
        <w:jc w:val="both"/>
        <w:rPr>
          <w:rFonts w:eastAsia="細明體"/>
          <w:szCs w:val="22"/>
        </w:rPr>
      </w:pPr>
      <w:r w:rsidRPr="00212D57">
        <w:rPr>
          <w:rFonts w:eastAsia="細明體"/>
          <w:szCs w:val="22"/>
        </w:rPr>
        <w:t>（</w:t>
      </w:r>
      <w:r w:rsidRPr="00761EF3">
        <w:rPr>
          <w:rFonts w:eastAsia="細明體" w:hint="eastAsia"/>
          <w:szCs w:val="22"/>
        </w:rPr>
        <w:t>2</w:t>
      </w:r>
      <w:r w:rsidRPr="00212D57">
        <w:rPr>
          <w:rFonts w:eastAsia="細明體"/>
          <w:szCs w:val="22"/>
        </w:rPr>
        <w:t>）印順法師，《中觀論頌講記》</w:t>
      </w:r>
      <w:r w:rsidRPr="00212D57">
        <w:rPr>
          <w:rFonts w:eastAsia="細明體" w:hint="eastAsia"/>
          <w:szCs w:val="22"/>
        </w:rPr>
        <w:t>，</w:t>
      </w:r>
      <w:r w:rsidRPr="00761EF3">
        <w:rPr>
          <w:rFonts w:eastAsia="細明體"/>
          <w:szCs w:val="22"/>
        </w:rPr>
        <w:t>pp</w:t>
      </w:r>
      <w:r w:rsidRPr="00212D57">
        <w:rPr>
          <w:rFonts w:eastAsia="細明體"/>
          <w:szCs w:val="22"/>
        </w:rPr>
        <w:t>.</w:t>
      </w:r>
      <w:r w:rsidRPr="00761EF3">
        <w:rPr>
          <w:rFonts w:eastAsia="細明體"/>
          <w:szCs w:val="22"/>
        </w:rPr>
        <w:t>19</w:t>
      </w:r>
      <w:r w:rsidRPr="00212D57">
        <w:rPr>
          <w:rFonts w:eastAsia="細明體"/>
          <w:szCs w:val="22"/>
        </w:rPr>
        <w:t>-</w:t>
      </w:r>
      <w:r w:rsidRPr="00761EF3">
        <w:rPr>
          <w:rFonts w:eastAsia="細明體"/>
          <w:szCs w:val="22"/>
        </w:rPr>
        <w:t>20</w:t>
      </w:r>
      <w:r w:rsidRPr="00212D57">
        <w:rPr>
          <w:rFonts w:eastAsia="細明體"/>
          <w:szCs w:val="22"/>
        </w:rPr>
        <w:t>：</w:t>
      </w:r>
    </w:p>
    <w:p w:rsidR="00157EF6" w:rsidRPr="00212D57" w:rsidRDefault="00157EF6" w:rsidP="002B682F">
      <w:pPr>
        <w:pStyle w:val="a5"/>
        <w:ind w:leftChars="335" w:left="804"/>
        <w:jc w:val="both"/>
        <w:rPr>
          <w:rFonts w:ascii="標楷體" w:eastAsia="標楷體" w:hAnsi="標楷體"/>
          <w:b/>
          <w:szCs w:val="22"/>
        </w:rPr>
      </w:pPr>
      <w:r w:rsidRPr="00212D57">
        <w:rPr>
          <w:rFonts w:ascii="標楷體" w:eastAsia="標楷體" w:hAnsi="標楷體"/>
          <w:szCs w:val="22"/>
        </w:rPr>
        <w:t>什麼是自性？自性就是自體。我們見聞覺知到的，總覺得他有這樣的實在自體。從根本的自性見說，我們不假思惟分別，在任運直覺中，有一「真實自成」的影像，在心上浮現，不是從推論中得來的實自性。因直覺中有這根本錯誤的存在，所以聯想、推論、思惟等等，都含著錯誤，學者們製造了種種錯誤的見解。</w:t>
      </w:r>
      <w:r w:rsidRPr="00212D57">
        <w:rPr>
          <w:rFonts w:ascii="標楷體" w:eastAsia="標楷體" w:hAnsi="標楷體"/>
          <w:b/>
          <w:szCs w:val="22"/>
        </w:rPr>
        <w:t>前者是俱生的，後者是分別而生的。</w:t>
      </w:r>
    </w:p>
    <w:p w:rsidR="00157EF6" w:rsidRPr="00212D57" w:rsidRDefault="00157EF6" w:rsidP="002B682F">
      <w:pPr>
        <w:pStyle w:val="a5"/>
        <w:ind w:leftChars="105" w:left="791" w:hangingChars="245" w:hanging="539"/>
        <w:jc w:val="both"/>
        <w:rPr>
          <w:rFonts w:eastAsia="細明體"/>
          <w:szCs w:val="22"/>
        </w:rPr>
      </w:pPr>
      <w:r w:rsidRPr="00212D57">
        <w:rPr>
          <w:rFonts w:eastAsia="細明體"/>
          <w:szCs w:val="22"/>
        </w:rPr>
        <w:t>（</w:t>
      </w:r>
      <w:r w:rsidRPr="00761EF3">
        <w:rPr>
          <w:rFonts w:eastAsia="細明體" w:hint="eastAsia"/>
          <w:szCs w:val="22"/>
        </w:rPr>
        <w:t>3</w:t>
      </w:r>
      <w:r w:rsidRPr="00212D57">
        <w:rPr>
          <w:rFonts w:eastAsia="細明體"/>
          <w:szCs w:val="22"/>
        </w:rPr>
        <w:t>）印順</w:t>
      </w:r>
      <w:r w:rsidRPr="00212D57">
        <w:rPr>
          <w:rStyle w:val="byline"/>
          <w:rFonts w:hAnsi="新細明體"/>
          <w:color w:val="auto"/>
          <w:sz w:val="22"/>
          <w:szCs w:val="22"/>
        </w:rPr>
        <w:t>法師</w:t>
      </w:r>
      <w:r w:rsidRPr="00212D57">
        <w:rPr>
          <w:rFonts w:eastAsia="細明體"/>
          <w:szCs w:val="22"/>
        </w:rPr>
        <w:t>，《大乘起信論講記》</w:t>
      </w:r>
      <w:r w:rsidR="001D02A3">
        <w:rPr>
          <w:rFonts w:eastAsia="細明體" w:hint="eastAsia"/>
          <w:szCs w:val="22"/>
        </w:rPr>
        <w:t>，</w:t>
      </w:r>
      <w:r w:rsidRPr="00761EF3">
        <w:rPr>
          <w:rFonts w:eastAsia="細明體"/>
          <w:szCs w:val="22"/>
        </w:rPr>
        <w:t>p</w:t>
      </w:r>
      <w:r w:rsidRPr="00212D57">
        <w:rPr>
          <w:rFonts w:eastAsia="細明體"/>
          <w:szCs w:val="22"/>
        </w:rPr>
        <w:t>.</w:t>
      </w:r>
      <w:r w:rsidRPr="00761EF3">
        <w:rPr>
          <w:rFonts w:eastAsia="細明體"/>
          <w:szCs w:val="22"/>
        </w:rPr>
        <w:t>281</w:t>
      </w:r>
      <w:r w:rsidRPr="00212D57">
        <w:rPr>
          <w:rFonts w:eastAsia="細明體"/>
          <w:szCs w:val="22"/>
        </w:rPr>
        <w:t>：</w:t>
      </w:r>
    </w:p>
    <w:p w:rsidR="00157EF6" w:rsidRPr="00212D57" w:rsidRDefault="00157EF6" w:rsidP="002B682F">
      <w:pPr>
        <w:pStyle w:val="a5"/>
        <w:ind w:leftChars="335" w:left="804"/>
        <w:jc w:val="both"/>
        <w:rPr>
          <w:szCs w:val="22"/>
        </w:rPr>
      </w:pPr>
      <w:r w:rsidRPr="00212D57">
        <w:rPr>
          <w:rFonts w:ascii="標楷體" w:eastAsia="標楷體" w:hAnsi="標楷體"/>
          <w:szCs w:val="22"/>
        </w:rPr>
        <w:t>唯識家說：我執、法執，都有分別、俱生的二類。</w:t>
      </w:r>
      <w:r w:rsidRPr="00212D57">
        <w:rPr>
          <w:rFonts w:ascii="標楷體" w:eastAsia="標楷體" w:hAnsi="標楷體"/>
          <w:b/>
          <w:szCs w:val="22"/>
        </w:rPr>
        <w:t>俱生，是與生俱來的；分別起的，是依邪師及妄自推論所起的。</w:t>
      </w:r>
    </w:p>
  </w:footnote>
  <w:footnote w:id="367">
    <w:p w:rsidR="00157EF6" w:rsidRPr="00212D57" w:rsidRDefault="00157EF6" w:rsidP="002B682F">
      <w:pPr>
        <w:pStyle w:val="a5"/>
        <w:spacing w:line="0" w:lineRule="atLeast"/>
        <w:ind w:left="792" w:hangingChars="360" w:hanging="792"/>
        <w:jc w:val="both"/>
        <w:rPr>
          <w:bCs/>
          <w:szCs w:val="22"/>
        </w:rPr>
      </w:pPr>
      <w:r w:rsidRPr="00212D57">
        <w:rPr>
          <w:rStyle w:val="a6"/>
          <w:szCs w:val="22"/>
        </w:rPr>
        <w:footnoteRef/>
      </w:r>
      <w:r w:rsidRPr="00212D57">
        <w:rPr>
          <w:rFonts w:eastAsia="標楷體" w:hint="eastAsia"/>
          <w:szCs w:val="22"/>
        </w:rPr>
        <w:t xml:space="preserve"> </w:t>
      </w:r>
      <w:r w:rsidRPr="00212D57">
        <w:rPr>
          <w:rFonts w:eastAsia="標楷體"/>
          <w:szCs w:val="22"/>
        </w:rPr>
        <w:t>（</w:t>
      </w:r>
      <w:r w:rsidRPr="00761EF3">
        <w:rPr>
          <w:rFonts w:eastAsia="標楷體"/>
          <w:szCs w:val="22"/>
        </w:rPr>
        <w:t>1</w:t>
      </w:r>
      <w:r w:rsidRPr="00212D57">
        <w:rPr>
          <w:rFonts w:eastAsia="標楷體"/>
          <w:szCs w:val="22"/>
        </w:rPr>
        <w:t>）</w:t>
      </w:r>
      <w:r w:rsidRPr="00212D57">
        <w:rPr>
          <w:szCs w:val="22"/>
        </w:rPr>
        <w:t>印順法師，《中觀今論》</w:t>
      </w:r>
      <w:r w:rsidRPr="00212D57">
        <w:rPr>
          <w:rFonts w:hint="eastAsia"/>
          <w:szCs w:val="22"/>
        </w:rPr>
        <w:t>，</w:t>
      </w:r>
      <w:r w:rsidRPr="00761EF3">
        <w:rPr>
          <w:bCs/>
          <w:szCs w:val="22"/>
        </w:rPr>
        <w:t>p</w:t>
      </w:r>
      <w:r w:rsidRPr="00212D57">
        <w:rPr>
          <w:bCs/>
          <w:szCs w:val="22"/>
        </w:rPr>
        <w:t>.</w:t>
      </w:r>
      <w:r w:rsidRPr="00761EF3">
        <w:rPr>
          <w:bCs/>
          <w:szCs w:val="22"/>
        </w:rPr>
        <w:t>33</w:t>
      </w:r>
      <w:r w:rsidRPr="00212D57">
        <w:rPr>
          <w:bCs/>
          <w:szCs w:val="22"/>
        </w:rPr>
        <w:t>：</w:t>
      </w:r>
    </w:p>
    <w:p w:rsidR="00157EF6" w:rsidRPr="00C54DA0" w:rsidRDefault="00157EF6" w:rsidP="002B682F">
      <w:pPr>
        <w:pStyle w:val="a5"/>
        <w:ind w:leftChars="335" w:left="804"/>
        <w:jc w:val="both"/>
        <w:rPr>
          <w:rFonts w:eastAsia="標楷體"/>
          <w:szCs w:val="22"/>
          <w:highlight w:val="yellow"/>
        </w:rPr>
      </w:pPr>
      <w:r w:rsidRPr="00212D57">
        <w:rPr>
          <w:rFonts w:eastAsia="標楷體"/>
          <w:szCs w:val="22"/>
        </w:rPr>
        <w:t>一切法性空，所</w:t>
      </w:r>
      <w:r w:rsidRPr="00C54DA0">
        <w:rPr>
          <w:rFonts w:eastAsia="標楷體"/>
          <w:szCs w:val="22"/>
          <w:highlight w:val="yellow"/>
        </w:rPr>
        <w:t>以</w:t>
      </w:r>
    </w:p>
    <w:p w:rsidR="00157EF6" w:rsidRPr="00212D57" w:rsidRDefault="00157EF6" w:rsidP="002B682F">
      <w:pPr>
        <w:pStyle w:val="a5"/>
        <w:ind w:leftChars="435" w:left="1583" w:hangingChars="245" w:hanging="539"/>
        <w:jc w:val="both"/>
        <w:rPr>
          <w:rFonts w:eastAsia="標楷體"/>
          <w:szCs w:val="22"/>
        </w:rPr>
      </w:pPr>
      <w:r w:rsidRPr="00C54DA0">
        <w:rPr>
          <w:rFonts w:eastAsia="標楷體"/>
          <w:szCs w:val="22"/>
          <w:shd w:val="pct15" w:color="auto" w:fill="FFFFFF"/>
        </w:rPr>
        <w:t>（</w:t>
      </w:r>
      <w:r w:rsidRPr="00C54DA0">
        <w:rPr>
          <w:rFonts w:eastAsia="SimSun"/>
          <w:szCs w:val="22"/>
          <w:shd w:val="pct15" w:color="auto" w:fill="FFFFFF"/>
        </w:rPr>
        <w:t>a</w:t>
      </w:r>
      <w:r w:rsidRPr="00C54DA0">
        <w:rPr>
          <w:rFonts w:eastAsia="標楷體"/>
          <w:szCs w:val="22"/>
          <w:shd w:val="pct15" w:color="auto" w:fill="FFFFFF"/>
        </w:rPr>
        <w:t>）</w:t>
      </w:r>
      <w:r w:rsidRPr="00212D57">
        <w:rPr>
          <w:rFonts w:eastAsia="標楷體"/>
          <w:b/>
          <w:szCs w:val="22"/>
        </w:rPr>
        <w:t>縱觀</w:t>
      </w:r>
      <w:r w:rsidRPr="00212D57">
        <w:rPr>
          <w:rFonts w:eastAsia="標楷體"/>
          <w:szCs w:val="22"/>
        </w:rPr>
        <w:t>（動的）緣起事相，是生滅無常的</w:t>
      </w:r>
      <w:r w:rsidR="00C54DA0">
        <w:rPr>
          <w:rFonts w:eastAsia="標楷體" w:hint="eastAsia"/>
          <w:color w:val="FF0000"/>
          <w:szCs w:val="22"/>
          <w:highlight w:val="yellow"/>
        </w:rPr>
        <w:t>；</w:t>
      </w:r>
    </w:p>
    <w:p w:rsidR="00157EF6" w:rsidRPr="00212D57" w:rsidRDefault="00157EF6" w:rsidP="002B682F">
      <w:pPr>
        <w:pStyle w:val="a5"/>
        <w:ind w:leftChars="435" w:left="1583" w:hangingChars="245" w:hanging="539"/>
        <w:jc w:val="both"/>
        <w:rPr>
          <w:rFonts w:eastAsia="標楷體"/>
          <w:szCs w:val="22"/>
        </w:rPr>
      </w:pPr>
      <w:r w:rsidRPr="00C54DA0">
        <w:rPr>
          <w:rFonts w:eastAsia="標楷體"/>
          <w:szCs w:val="22"/>
          <w:shd w:val="pct15" w:color="auto" w:fill="FFFFFF"/>
        </w:rPr>
        <w:t>（</w:t>
      </w:r>
      <w:r w:rsidRPr="00C54DA0">
        <w:rPr>
          <w:rFonts w:eastAsia="標楷體"/>
          <w:szCs w:val="22"/>
          <w:shd w:val="pct15" w:color="auto" w:fill="FFFFFF"/>
        </w:rPr>
        <w:t>b</w:t>
      </w:r>
      <w:r w:rsidRPr="00C54DA0">
        <w:rPr>
          <w:rFonts w:eastAsia="標楷體"/>
          <w:szCs w:val="22"/>
          <w:shd w:val="pct15" w:color="auto" w:fill="FFFFFF"/>
        </w:rPr>
        <w:t>）</w:t>
      </w:r>
      <w:r w:rsidRPr="00212D57">
        <w:rPr>
          <w:rFonts w:eastAsia="標楷體"/>
          <w:b/>
          <w:szCs w:val="22"/>
        </w:rPr>
        <w:t>橫觀</w:t>
      </w:r>
      <w:r w:rsidRPr="00212D57">
        <w:rPr>
          <w:rFonts w:eastAsia="標楷體"/>
          <w:szCs w:val="22"/>
        </w:rPr>
        <w:t>（靜的）即見為因緣和合的</w:t>
      </w:r>
      <w:r w:rsidR="00C54DA0">
        <w:rPr>
          <w:rFonts w:eastAsia="標楷體" w:hint="eastAsia"/>
          <w:color w:val="FF0000"/>
          <w:szCs w:val="22"/>
          <w:highlight w:val="yellow"/>
        </w:rPr>
        <w:t>；</w:t>
      </w:r>
    </w:p>
    <w:p w:rsidR="00C54DA0" w:rsidRDefault="00157EF6" w:rsidP="002B682F">
      <w:pPr>
        <w:pStyle w:val="a5"/>
        <w:ind w:leftChars="435" w:left="1583" w:hangingChars="245" w:hanging="539"/>
        <w:jc w:val="both"/>
        <w:rPr>
          <w:rFonts w:eastAsia="標楷體"/>
          <w:szCs w:val="22"/>
        </w:rPr>
      </w:pPr>
      <w:r w:rsidRPr="00C54DA0">
        <w:rPr>
          <w:rFonts w:eastAsia="標楷體"/>
          <w:szCs w:val="22"/>
          <w:shd w:val="pct15" w:color="auto" w:fill="FFFFFF"/>
        </w:rPr>
        <w:t>（</w:t>
      </w:r>
      <w:r w:rsidRPr="00C54DA0">
        <w:rPr>
          <w:rFonts w:eastAsia="標楷體"/>
          <w:szCs w:val="22"/>
          <w:shd w:val="pct15" w:color="auto" w:fill="FFFFFF"/>
        </w:rPr>
        <w:t>c</w:t>
      </w:r>
      <w:r w:rsidRPr="00C54DA0">
        <w:rPr>
          <w:rFonts w:eastAsia="標楷體"/>
          <w:szCs w:val="22"/>
          <w:shd w:val="pct15" w:color="auto" w:fill="FFFFFF"/>
        </w:rPr>
        <w:t>）</w:t>
      </w:r>
      <w:r w:rsidRPr="00212D57">
        <w:rPr>
          <w:rFonts w:eastAsia="標楷體"/>
          <w:szCs w:val="22"/>
        </w:rPr>
        <w:t>從一一相而</w:t>
      </w:r>
      <w:r w:rsidRPr="00212D57">
        <w:rPr>
          <w:rFonts w:eastAsia="標楷體"/>
          <w:b/>
          <w:szCs w:val="22"/>
        </w:rPr>
        <w:t>直觀</w:t>
      </w:r>
      <w:r w:rsidRPr="00212D57">
        <w:rPr>
          <w:rFonts w:eastAsia="標楷體"/>
          <w:szCs w:val="22"/>
        </w:rPr>
        <w:t>他的本性，即是無常、無我、無生無滅、不集不散的無為空寂。</w:t>
      </w:r>
    </w:p>
    <w:p w:rsidR="00157EF6" w:rsidRPr="00212D57" w:rsidRDefault="00157EF6" w:rsidP="00C54DA0">
      <w:pPr>
        <w:pStyle w:val="a5"/>
        <w:ind w:leftChars="335" w:left="804"/>
        <w:jc w:val="both"/>
        <w:rPr>
          <w:rFonts w:eastAsia="標楷體"/>
          <w:szCs w:val="22"/>
        </w:rPr>
      </w:pPr>
      <w:r w:rsidRPr="00C54DA0">
        <w:rPr>
          <w:rFonts w:eastAsia="標楷體"/>
          <w:szCs w:val="22"/>
          <w:highlight w:val="yellow"/>
        </w:rPr>
        <w:t>因</w:t>
      </w:r>
      <w:r w:rsidRPr="00212D57">
        <w:rPr>
          <w:rFonts w:eastAsia="標楷體"/>
          <w:szCs w:val="22"/>
        </w:rPr>
        <w:t>此，無常所以無我，無我我</w:t>
      </w:r>
      <w:r w:rsidRPr="00C54DA0">
        <w:rPr>
          <w:rFonts w:eastAsia="標楷體"/>
          <w:szCs w:val="22"/>
          <w:highlight w:val="yellow"/>
        </w:rPr>
        <w:t>所所</w:t>
      </w:r>
      <w:r w:rsidRPr="00212D57">
        <w:rPr>
          <w:rFonts w:eastAsia="標楷體"/>
          <w:szCs w:val="22"/>
        </w:rPr>
        <w:t>以能證得涅槃，這是《阿含經》本有的深義。</w:t>
      </w:r>
    </w:p>
    <w:p w:rsidR="00157EF6" w:rsidRPr="00212D57" w:rsidRDefault="00157EF6" w:rsidP="002B682F">
      <w:pPr>
        <w:pStyle w:val="a5"/>
        <w:ind w:leftChars="335" w:left="1024" w:hangingChars="100" w:hanging="220"/>
        <w:jc w:val="both"/>
        <w:rPr>
          <w:rFonts w:eastAsia="SimSun"/>
          <w:szCs w:val="22"/>
        </w:rPr>
      </w:pPr>
      <w:r w:rsidRPr="00212D57">
        <w:rPr>
          <w:rFonts w:eastAsia="細明體" w:hint="eastAsia"/>
          <w:szCs w:val="22"/>
        </w:rPr>
        <w:t>※</w:t>
      </w:r>
      <w:r w:rsidRPr="00212D57">
        <w:rPr>
          <w:rFonts w:eastAsia="細明體"/>
          <w:szCs w:val="22"/>
        </w:rPr>
        <w:t>自成性</w:t>
      </w:r>
      <w:r w:rsidRPr="00212D57">
        <w:rPr>
          <w:rFonts w:eastAsia="SimSun" w:hint="eastAsia"/>
          <w:szCs w:val="22"/>
        </w:rPr>
        <w:t xml:space="preserve"> </w:t>
      </w:r>
      <w:r w:rsidRPr="00212D57">
        <w:rPr>
          <w:rFonts w:eastAsia="細明體"/>
          <w:szCs w:val="22"/>
        </w:rPr>
        <w:t>——</w:t>
      </w:r>
      <w:r w:rsidRPr="00212D57">
        <w:rPr>
          <w:rFonts w:eastAsia="SimSun" w:hint="eastAsia"/>
          <w:szCs w:val="22"/>
        </w:rPr>
        <w:t xml:space="preserve"> </w:t>
      </w:r>
      <w:r w:rsidRPr="00212D57">
        <w:rPr>
          <w:rFonts w:eastAsia="細明體"/>
          <w:szCs w:val="22"/>
        </w:rPr>
        <w:t>橫觀</w:t>
      </w:r>
      <w:r w:rsidRPr="00212D57">
        <w:rPr>
          <w:rFonts w:eastAsia="SimSun" w:hint="eastAsia"/>
          <w:szCs w:val="22"/>
        </w:rPr>
        <w:t xml:space="preserve"> </w:t>
      </w:r>
      <w:r w:rsidRPr="00212D57">
        <w:rPr>
          <w:rFonts w:eastAsia="細明體"/>
          <w:szCs w:val="22"/>
        </w:rPr>
        <w:t>——</w:t>
      </w:r>
      <w:r w:rsidRPr="00212D57">
        <w:rPr>
          <w:rFonts w:eastAsia="SimSun" w:hint="eastAsia"/>
          <w:szCs w:val="22"/>
        </w:rPr>
        <w:t xml:space="preserve"> </w:t>
      </w:r>
      <w:r w:rsidRPr="00212D57">
        <w:rPr>
          <w:rFonts w:eastAsia="細明體"/>
          <w:szCs w:val="22"/>
        </w:rPr>
        <w:t>空間化</w:t>
      </w:r>
      <w:r w:rsidRPr="00212D57">
        <w:rPr>
          <w:rFonts w:eastAsia="SimSun" w:hint="eastAsia"/>
          <w:szCs w:val="22"/>
        </w:rPr>
        <w:t xml:space="preserve"> </w:t>
      </w:r>
      <w:r w:rsidRPr="00212D57">
        <w:rPr>
          <w:rFonts w:eastAsia="細明體"/>
          <w:szCs w:val="22"/>
        </w:rPr>
        <w:t>→</w:t>
      </w:r>
      <w:r w:rsidRPr="00212D57">
        <w:rPr>
          <w:rFonts w:eastAsia="SimSun" w:hint="eastAsia"/>
          <w:szCs w:val="22"/>
        </w:rPr>
        <w:t xml:space="preserve"> </w:t>
      </w:r>
      <w:r w:rsidRPr="00212D57">
        <w:rPr>
          <w:rFonts w:eastAsia="細明體"/>
          <w:szCs w:val="22"/>
        </w:rPr>
        <w:t>諸法無我</w:t>
      </w:r>
    </w:p>
    <w:p w:rsidR="00157EF6" w:rsidRPr="00212D57" w:rsidRDefault="00157EF6" w:rsidP="002B682F">
      <w:pPr>
        <w:pStyle w:val="a5"/>
        <w:ind w:leftChars="435" w:left="1044"/>
        <w:jc w:val="both"/>
        <w:rPr>
          <w:rFonts w:eastAsia="SimSun"/>
          <w:szCs w:val="22"/>
        </w:rPr>
      </w:pPr>
      <w:r w:rsidRPr="00212D57">
        <w:rPr>
          <w:rFonts w:eastAsia="細明體"/>
          <w:szCs w:val="22"/>
        </w:rPr>
        <w:t>不變性</w:t>
      </w:r>
      <w:r w:rsidRPr="00212D57">
        <w:rPr>
          <w:rFonts w:eastAsia="SimSun" w:hint="eastAsia"/>
          <w:szCs w:val="22"/>
        </w:rPr>
        <w:t xml:space="preserve"> </w:t>
      </w:r>
      <w:r w:rsidRPr="00212D57">
        <w:rPr>
          <w:rFonts w:eastAsia="細明體"/>
          <w:szCs w:val="22"/>
        </w:rPr>
        <w:t>——</w:t>
      </w:r>
      <w:r w:rsidRPr="00212D57">
        <w:rPr>
          <w:rFonts w:eastAsia="SimSun" w:hint="eastAsia"/>
          <w:szCs w:val="22"/>
        </w:rPr>
        <w:t xml:space="preserve"> </w:t>
      </w:r>
      <w:r w:rsidRPr="00212D57">
        <w:rPr>
          <w:rFonts w:eastAsia="細明體"/>
          <w:szCs w:val="22"/>
        </w:rPr>
        <w:t>縱觀</w:t>
      </w:r>
      <w:r w:rsidRPr="00212D57">
        <w:rPr>
          <w:rFonts w:eastAsia="SimSun" w:hint="eastAsia"/>
          <w:szCs w:val="22"/>
        </w:rPr>
        <w:t xml:space="preserve"> </w:t>
      </w:r>
      <w:r w:rsidRPr="00212D57">
        <w:rPr>
          <w:rFonts w:eastAsia="細明體"/>
          <w:szCs w:val="22"/>
        </w:rPr>
        <w:t>——</w:t>
      </w:r>
      <w:r w:rsidRPr="00212D57">
        <w:rPr>
          <w:rFonts w:eastAsia="SimSun" w:hint="eastAsia"/>
          <w:szCs w:val="22"/>
        </w:rPr>
        <w:t xml:space="preserve"> </w:t>
      </w:r>
      <w:r w:rsidRPr="00212D57">
        <w:rPr>
          <w:rFonts w:eastAsia="細明體"/>
          <w:szCs w:val="22"/>
        </w:rPr>
        <w:t>時間化</w:t>
      </w:r>
      <w:r w:rsidRPr="00212D57">
        <w:rPr>
          <w:rFonts w:eastAsia="SimSun" w:hint="eastAsia"/>
          <w:szCs w:val="22"/>
        </w:rPr>
        <w:t xml:space="preserve"> </w:t>
      </w:r>
      <w:r w:rsidRPr="00212D57">
        <w:rPr>
          <w:rFonts w:eastAsia="細明體"/>
          <w:szCs w:val="22"/>
        </w:rPr>
        <w:t>→</w:t>
      </w:r>
      <w:r w:rsidRPr="00212D57">
        <w:rPr>
          <w:rFonts w:eastAsia="SimSun" w:hint="eastAsia"/>
          <w:szCs w:val="22"/>
        </w:rPr>
        <w:t xml:space="preserve"> </w:t>
      </w:r>
      <w:r w:rsidRPr="00212D57">
        <w:rPr>
          <w:rFonts w:eastAsia="細明體"/>
          <w:szCs w:val="22"/>
        </w:rPr>
        <w:t>諸行無常</w:t>
      </w:r>
    </w:p>
    <w:p w:rsidR="00157EF6" w:rsidRPr="00212D57" w:rsidRDefault="00157EF6" w:rsidP="002B682F">
      <w:pPr>
        <w:pStyle w:val="a5"/>
        <w:ind w:leftChars="435" w:left="1044"/>
        <w:jc w:val="both"/>
        <w:rPr>
          <w:rFonts w:eastAsia="SimSun"/>
          <w:szCs w:val="22"/>
        </w:rPr>
      </w:pPr>
      <w:r w:rsidRPr="00212D57">
        <w:rPr>
          <w:rFonts w:eastAsia="細明體"/>
          <w:szCs w:val="22"/>
        </w:rPr>
        <w:t>實在性</w:t>
      </w:r>
      <w:r w:rsidRPr="00212D57">
        <w:rPr>
          <w:rFonts w:eastAsia="SimSun" w:hint="eastAsia"/>
          <w:szCs w:val="22"/>
        </w:rPr>
        <w:t xml:space="preserve"> </w:t>
      </w:r>
      <w:r w:rsidRPr="00212D57">
        <w:rPr>
          <w:rFonts w:eastAsia="細明體"/>
          <w:szCs w:val="22"/>
        </w:rPr>
        <w:t>——</w:t>
      </w:r>
      <w:r w:rsidRPr="00212D57">
        <w:rPr>
          <w:rFonts w:eastAsia="細明體" w:hint="eastAsia"/>
          <w:szCs w:val="22"/>
        </w:rPr>
        <w:t xml:space="preserve"> </w:t>
      </w:r>
      <w:r w:rsidRPr="00212D57">
        <w:rPr>
          <w:rFonts w:eastAsia="細明體"/>
          <w:szCs w:val="22"/>
        </w:rPr>
        <w:t>直觀</w:t>
      </w:r>
      <w:r w:rsidRPr="00212D57">
        <w:rPr>
          <w:rFonts w:eastAsia="細明體" w:hint="eastAsia"/>
          <w:szCs w:val="22"/>
        </w:rPr>
        <w:t xml:space="preserve"> </w:t>
      </w:r>
      <w:r w:rsidRPr="00212D57">
        <w:rPr>
          <w:rFonts w:eastAsia="細明體"/>
          <w:szCs w:val="22"/>
        </w:rPr>
        <w:t>——</w:t>
      </w:r>
      <w:r w:rsidRPr="00212D57">
        <w:rPr>
          <w:rFonts w:eastAsia="細明體" w:hint="eastAsia"/>
          <w:szCs w:val="22"/>
        </w:rPr>
        <w:t xml:space="preserve"> </w:t>
      </w:r>
      <w:r w:rsidRPr="00212D57">
        <w:rPr>
          <w:rFonts w:eastAsia="細明體" w:hint="eastAsia"/>
          <w:szCs w:val="22"/>
        </w:rPr>
        <w:t>法　體</w:t>
      </w:r>
      <w:r w:rsidRPr="00212D57">
        <w:rPr>
          <w:rFonts w:eastAsia="細明體" w:hint="eastAsia"/>
          <w:szCs w:val="22"/>
        </w:rPr>
        <w:t xml:space="preserve"> </w:t>
      </w:r>
      <w:r w:rsidRPr="00212D57">
        <w:rPr>
          <w:rFonts w:eastAsia="細明體"/>
          <w:szCs w:val="22"/>
        </w:rPr>
        <w:t>→</w:t>
      </w:r>
      <w:r w:rsidRPr="00212D57">
        <w:rPr>
          <w:rFonts w:eastAsia="SimSun" w:hint="eastAsia"/>
          <w:szCs w:val="22"/>
        </w:rPr>
        <w:t xml:space="preserve"> </w:t>
      </w:r>
      <w:r w:rsidRPr="00212D57">
        <w:rPr>
          <w:rFonts w:eastAsia="細明體"/>
          <w:szCs w:val="22"/>
        </w:rPr>
        <w:t>涅槃寂靜</w:t>
      </w:r>
    </w:p>
    <w:p w:rsidR="00157EF6" w:rsidRPr="00212D57" w:rsidRDefault="00157EF6" w:rsidP="002B682F">
      <w:pPr>
        <w:pStyle w:val="a5"/>
        <w:ind w:leftChars="105" w:left="791" w:hangingChars="245" w:hanging="539"/>
        <w:jc w:val="both"/>
        <w:rPr>
          <w:szCs w:val="22"/>
        </w:rPr>
      </w:pPr>
      <w:r w:rsidRPr="00212D57">
        <w:rPr>
          <w:szCs w:val="22"/>
        </w:rPr>
        <w:t>（</w:t>
      </w:r>
      <w:r w:rsidRPr="00761EF3">
        <w:rPr>
          <w:szCs w:val="22"/>
        </w:rPr>
        <w:t>2</w:t>
      </w:r>
      <w:r w:rsidRPr="00212D57">
        <w:rPr>
          <w:szCs w:val="22"/>
        </w:rPr>
        <w:t>）</w:t>
      </w:r>
      <w:r w:rsidRPr="00212D57">
        <w:rPr>
          <w:rStyle w:val="byline"/>
          <w:rFonts w:hAnsi="新細明體"/>
          <w:color w:val="auto"/>
          <w:sz w:val="22"/>
          <w:szCs w:val="22"/>
        </w:rPr>
        <w:t>印順</w:t>
      </w:r>
      <w:r w:rsidRPr="00212D57">
        <w:rPr>
          <w:szCs w:val="22"/>
        </w:rPr>
        <w:t>法師，《佛法是救世之光》</w:t>
      </w:r>
      <w:r w:rsidRPr="00212D57">
        <w:rPr>
          <w:rFonts w:hint="eastAsia"/>
          <w:szCs w:val="22"/>
        </w:rPr>
        <w:t>，</w:t>
      </w:r>
      <w:r w:rsidRPr="00761EF3">
        <w:rPr>
          <w:bCs/>
          <w:szCs w:val="22"/>
        </w:rPr>
        <w:t>p</w:t>
      </w:r>
      <w:r w:rsidRPr="00212D57">
        <w:rPr>
          <w:bCs/>
          <w:szCs w:val="22"/>
        </w:rPr>
        <w:t>.</w:t>
      </w:r>
      <w:r w:rsidRPr="00761EF3">
        <w:rPr>
          <w:szCs w:val="22"/>
        </w:rPr>
        <w:t>183</w:t>
      </w:r>
      <w:r w:rsidRPr="00212D57">
        <w:rPr>
          <w:szCs w:val="22"/>
        </w:rPr>
        <w:t>：</w:t>
      </w:r>
    </w:p>
    <w:p w:rsidR="00157EF6" w:rsidRPr="00212D57" w:rsidRDefault="00157EF6" w:rsidP="002B682F">
      <w:pPr>
        <w:pStyle w:val="a5"/>
        <w:ind w:leftChars="335" w:left="804"/>
        <w:jc w:val="both"/>
        <w:rPr>
          <w:rFonts w:eastAsia="標楷體"/>
          <w:szCs w:val="22"/>
        </w:rPr>
      </w:pPr>
      <w:r w:rsidRPr="00212D57">
        <w:rPr>
          <w:rFonts w:eastAsia="標楷體"/>
          <w:szCs w:val="22"/>
        </w:rPr>
        <w:t>從豎觀前後，橫觀彼此，直觀自體，而得「諸行無常，諸法無我，涅槃寂靜」</w:t>
      </w:r>
      <w:r w:rsidRPr="00212D57">
        <w:rPr>
          <w:rFonts w:ascii="標楷體" w:eastAsia="標楷體" w:hAnsi="標楷體"/>
          <w:szCs w:val="22"/>
        </w:rPr>
        <w:t>──</w:t>
      </w:r>
      <w:r w:rsidRPr="00212D57">
        <w:rPr>
          <w:rFonts w:eastAsia="標楷體"/>
          <w:szCs w:val="22"/>
        </w:rPr>
        <w:t>「三法印」。但這決非三條不同的真理，而只是唯一絕待的真理，被稱為</w:t>
      </w:r>
      <w:r w:rsidRPr="00212D57">
        <w:rPr>
          <w:rFonts w:eastAsia="標楷體"/>
          <w:b/>
          <w:szCs w:val="22"/>
        </w:rPr>
        <w:t>「一實相印」</w:t>
      </w:r>
      <w:r w:rsidRPr="004874B4">
        <w:rPr>
          <w:rFonts w:ascii="標楷體" w:eastAsia="標楷體" w:hAnsi="標楷體"/>
          <w:b/>
          <w:szCs w:val="22"/>
        </w:rPr>
        <w:t>──</w:t>
      </w:r>
      <w:r w:rsidRPr="00212D57">
        <w:rPr>
          <w:rFonts w:eastAsia="標楷體"/>
          <w:b/>
          <w:szCs w:val="22"/>
        </w:rPr>
        <w:t>法性空寂</w:t>
      </w:r>
      <w:r w:rsidRPr="00212D57">
        <w:rPr>
          <w:rFonts w:eastAsia="標楷體"/>
          <w:szCs w:val="22"/>
        </w:rPr>
        <w:t>的不同說明。</w:t>
      </w:r>
    </w:p>
    <w:p w:rsidR="00157EF6" w:rsidRPr="00212D57" w:rsidRDefault="00157EF6" w:rsidP="002B682F">
      <w:pPr>
        <w:pStyle w:val="a5"/>
        <w:ind w:leftChars="105" w:left="791" w:hangingChars="245" w:hanging="539"/>
        <w:jc w:val="both"/>
        <w:rPr>
          <w:szCs w:val="22"/>
        </w:rPr>
      </w:pPr>
      <w:r w:rsidRPr="00212D57">
        <w:rPr>
          <w:szCs w:val="22"/>
        </w:rPr>
        <w:t>（</w:t>
      </w:r>
      <w:r w:rsidRPr="00761EF3">
        <w:rPr>
          <w:szCs w:val="22"/>
        </w:rPr>
        <w:t>3</w:t>
      </w:r>
      <w:r w:rsidRPr="00212D57">
        <w:rPr>
          <w:szCs w:val="22"/>
        </w:rPr>
        <w:t>）印順法師，《佛法是救世之光》</w:t>
      </w:r>
      <w:r w:rsidRPr="00212D57">
        <w:rPr>
          <w:rFonts w:hint="eastAsia"/>
          <w:szCs w:val="22"/>
        </w:rPr>
        <w:t>，</w:t>
      </w:r>
      <w:r w:rsidRPr="00761EF3">
        <w:rPr>
          <w:bCs/>
          <w:szCs w:val="22"/>
        </w:rPr>
        <w:t>p</w:t>
      </w:r>
      <w:r w:rsidRPr="00212D57">
        <w:rPr>
          <w:bCs/>
          <w:szCs w:val="22"/>
        </w:rPr>
        <w:t>.</w:t>
      </w:r>
      <w:r w:rsidRPr="00761EF3">
        <w:rPr>
          <w:szCs w:val="22"/>
        </w:rPr>
        <w:t>180</w:t>
      </w:r>
      <w:r w:rsidRPr="00212D57">
        <w:rPr>
          <w:szCs w:val="22"/>
        </w:rPr>
        <w:t>：</w:t>
      </w:r>
    </w:p>
    <w:p w:rsidR="00157EF6" w:rsidRPr="00212D57" w:rsidRDefault="00157EF6" w:rsidP="002B682F">
      <w:pPr>
        <w:pStyle w:val="a5"/>
        <w:ind w:leftChars="335" w:left="804"/>
        <w:jc w:val="both"/>
        <w:rPr>
          <w:rFonts w:eastAsia="SimSun"/>
          <w:szCs w:val="22"/>
        </w:rPr>
      </w:pPr>
      <w:r w:rsidRPr="00212D57">
        <w:rPr>
          <w:rFonts w:eastAsia="標楷體"/>
          <w:szCs w:val="22"/>
        </w:rPr>
        <w:t>佛是以「一切種智」知一切法的，也就是從種種意義，種種觀察去通達的。但總括起來，主要的不外三門：</w:t>
      </w:r>
    </w:p>
    <w:p w:rsidR="00157EF6" w:rsidRPr="00212D57" w:rsidRDefault="00157EF6" w:rsidP="002B682F">
      <w:pPr>
        <w:pStyle w:val="a5"/>
        <w:ind w:leftChars="335" w:left="1464" w:hangingChars="300" w:hanging="660"/>
        <w:jc w:val="both"/>
        <w:rPr>
          <w:rFonts w:eastAsia="標楷體"/>
          <w:szCs w:val="22"/>
        </w:rPr>
      </w:pPr>
      <w:r w:rsidRPr="00212D57">
        <w:rPr>
          <w:rFonts w:eastAsia="標楷體"/>
          <w:szCs w:val="22"/>
        </w:rPr>
        <w:t>（一）從前後延續中去觀察，也就是透過時間觀念去觀察的。</w:t>
      </w:r>
    </w:p>
    <w:p w:rsidR="00157EF6" w:rsidRPr="00212D57" w:rsidRDefault="00157EF6" w:rsidP="002B682F">
      <w:pPr>
        <w:pStyle w:val="a5"/>
        <w:ind w:leftChars="335" w:left="1464" w:hangingChars="300" w:hanging="660"/>
        <w:jc w:val="both"/>
        <w:rPr>
          <w:rFonts w:eastAsia="標楷體"/>
          <w:szCs w:val="22"/>
        </w:rPr>
      </w:pPr>
      <w:r w:rsidRPr="00212D57">
        <w:rPr>
          <w:rFonts w:eastAsia="標楷體"/>
          <w:szCs w:val="22"/>
        </w:rPr>
        <w:t>（二）從彼此依存中去觀察，也就是透過空間觀念（或空間化、平面化的）去觀察的。</w:t>
      </w:r>
    </w:p>
    <w:p w:rsidR="00157EF6" w:rsidRPr="00212D57" w:rsidRDefault="00157EF6" w:rsidP="002B682F">
      <w:pPr>
        <w:pStyle w:val="a5"/>
        <w:ind w:leftChars="335" w:left="1464" w:hangingChars="300" w:hanging="660"/>
        <w:jc w:val="both"/>
        <w:rPr>
          <w:rFonts w:eastAsia="標楷體"/>
          <w:szCs w:val="22"/>
        </w:rPr>
      </w:pPr>
      <w:r w:rsidRPr="00212D57">
        <w:rPr>
          <w:rFonts w:eastAsia="標楷體"/>
          <w:szCs w:val="22"/>
        </w:rPr>
        <w:t>（三）直觀事事物物的當體。</w:t>
      </w:r>
    </w:p>
    <w:p w:rsidR="00157EF6" w:rsidRPr="00212D57" w:rsidRDefault="00157EF6" w:rsidP="002B682F">
      <w:pPr>
        <w:pStyle w:val="a5"/>
        <w:ind w:leftChars="335" w:left="804"/>
        <w:jc w:val="both"/>
        <w:rPr>
          <w:rFonts w:eastAsia="SimSun"/>
          <w:szCs w:val="22"/>
        </w:rPr>
      </w:pPr>
      <w:r w:rsidRPr="00212D57">
        <w:rPr>
          <w:rFonts w:eastAsia="標楷體"/>
          <w:szCs w:val="22"/>
        </w:rPr>
        <w:t>這猶如物質的點、線、面一樣；而甚深智慧是從豎觀前後，橫觀彼此，直觀自體去體認，而通達一切法性</w:t>
      </w:r>
      <w:r w:rsidRPr="004874B4">
        <w:rPr>
          <w:rFonts w:ascii="標楷體" w:eastAsia="標楷體" w:hAnsi="標楷體"/>
          <w:b/>
          <w:szCs w:val="22"/>
        </w:rPr>
        <w:t>──</w:t>
      </w:r>
      <w:r w:rsidRPr="00212D57">
        <w:rPr>
          <w:rFonts w:eastAsia="標楷體"/>
          <w:szCs w:val="22"/>
        </w:rPr>
        <w:t>空或寂滅性。</w:t>
      </w:r>
    </w:p>
  </w:footnote>
  <w:footnote w:id="368">
    <w:p w:rsidR="00157EF6" w:rsidRPr="00212D57" w:rsidRDefault="00157EF6" w:rsidP="002B682F">
      <w:pPr>
        <w:pStyle w:val="a5"/>
        <w:spacing w:line="0" w:lineRule="atLeast"/>
        <w:ind w:left="792" w:hangingChars="360" w:hanging="792"/>
        <w:jc w:val="both"/>
        <w:rPr>
          <w:rFonts w:eastAsia="細明體"/>
          <w:szCs w:val="22"/>
        </w:rPr>
      </w:pPr>
      <w:r w:rsidRPr="00212D57">
        <w:rPr>
          <w:rStyle w:val="a6"/>
          <w:szCs w:val="22"/>
        </w:rPr>
        <w:footnoteRef/>
      </w:r>
      <w:r w:rsidRPr="00212D57">
        <w:rPr>
          <w:rFonts w:eastAsia="標楷體" w:hint="eastAsia"/>
          <w:szCs w:val="22"/>
        </w:rPr>
        <w:t xml:space="preserve"> </w:t>
      </w:r>
      <w:r w:rsidRPr="00212D57">
        <w:rPr>
          <w:rFonts w:eastAsia="標楷體"/>
          <w:szCs w:val="22"/>
        </w:rPr>
        <w:t>（</w:t>
      </w:r>
      <w:r w:rsidRPr="00761EF3">
        <w:rPr>
          <w:rFonts w:eastAsia="標楷體"/>
          <w:szCs w:val="22"/>
        </w:rPr>
        <w:t>1</w:t>
      </w:r>
      <w:r w:rsidRPr="00212D57">
        <w:rPr>
          <w:rFonts w:eastAsia="標楷體"/>
          <w:szCs w:val="22"/>
        </w:rPr>
        <w:t>）</w:t>
      </w:r>
      <w:r w:rsidRPr="00212D57">
        <w:rPr>
          <w:rFonts w:eastAsia="細明體"/>
          <w:szCs w:val="22"/>
        </w:rPr>
        <w:t>《中論》卷</w:t>
      </w:r>
      <w:r w:rsidRPr="00761EF3">
        <w:rPr>
          <w:rFonts w:eastAsia="細明體"/>
          <w:szCs w:val="22"/>
        </w:rPr>
        <w:t>1</w:t>
      </w:r>
      <w:r w:rsidRPr="00212D57">
        <w:rPr>
          <w:rFonts w:eastAsia="細明體"/>
          <w:szCs w:val="22"/>
        </w:rPr>
        <w:t>〈</w:t>
      </w:r>
      <w:r w:rsidRPr="00761EF3">
        <w:rPr>
          <w:rFonts w:eastAsia="細明體"/>
          <w:szCs w:val="22"/>
        </w:rPr>
        <w:t>1</w:t>
      </w:r>
      <w:r w:rsidRPr="00212D57">
        <w:rPr>
          <w:rFonts w:eastAsia="細明體"/>
          <w:szCs w:val="22"/>
        </w:rPr>
        <w:t xml:space="preserve"> </w:t>
      </w:r>
      <w:r w:rsidRPr="00212D57">
        <w:rPr>
          <w:rFonts w:eastAsia="細明體"/>
          <w:szCs w:val="22"/>
        </w:rPr>
        <w:t>觀因緣品〉（大正</w:t>
      </w:r>
      <w:r w:rsidRPr="00761EF3">
        <w:rPr>
          <w:rFonts w:eastAsia="細明體"/>
          <w:szCs w:val="22"/>
        </w:rPr>
        <w:t>30</w:t>
      </w:r>
      <w:r w:rsidRPr="00212D57">
        <w:rPr>
          <w:rFonts w:eastAsia="細明體"/>
          <w:szCs w:val="22"/>
        </w:rPr>
        <w:t>，</w:t>
      </w:r>
      <w:r w:rsidRPr="00761EF3">
        <w:rPr>
          <w:rFonts w:eastAsia="細明體"/>
          <w:szCs w:val="22"/>
        </w:rPr>
        <w:t>2b18</w:t>
      </w:r>
      <w:r w:rsidRPr="00212D57">
        <w:rPr>
          <w:rFonts w:eastAsia="細明體"/>
          <w:szCs w:val="22"/>
        </w:rPr>
        <w:t>-</w:t>
      </w:r>
      <w:r w:rsidRPr="00761EF3">
        <w:rPr>
          <w:rFonts w:eastAsia="細明體"/>
          <w:szCs w:val="22"/>
        </w:rPr>
        <w:t>19</w:t>
      </w:r>
      <w:r w:rsidRPr="00212D57">
        <w:rPr>
          <w:rFonts w:eastAsia="細明體"/>
          <w:szCs w:val="22"/>
        </w:rPr>
        <w:t>）：</w:t>
      </w:r>
    </w:p>
    <w:p w:rsidR="00157EF6" w:rsidRPr="00212D57" w:rsidRDefault="00157EF6" w:rsidP="002B682F">
      <w:pPr>
        <w:pStyle w:val="a5"/>
        <w:ind w:leftChars="335" w:left="804"/>
        <w:jc w:val="both"/>
        <w:rPr>
          <w:rFonts w:eastAsia="標楷體"/>
          <w:szCs w:val="22"/>
        </w:rPr>
      </w:pPr>
      <w:r w:rsidRPr="00212D57">
        <w:rPr>
          <w:rFonts w:eastAsia="標楷體"/>
          <w:b/>
          <w:szCs w:val="22"/>
        </w:rPr>
        <w:t>如諸法自性，不在於緣中</w:t>
      </w:r>
      <w:r w:rsidRPr="00212D57">
        <w:rPr>
          <w:rFonts w:eastAsia="標楷體"/>
          <w:szCs w:val="22"/>
        </w:rPr>
        <w:t>；以無自性故，他性亦復無。</w:t>
      </w:r>
    </w:p>
    <w:p w:rsidR="00157EF6" w:rsidRPr="00212D57" w:rsidRDefault="00157EF6" w:rsidP="002B682F">
      <w:pPr>
        <w:pStyle w:val="a5"/>
        <w:ind w:leftChars="335" w:left="804"/>
        <w:jc w:val="both"/>
        <w:rPr>
          <w:rFonts w:eastAsia="細明體"/>
          <w:szCs w:val="22"/>
        </w:rPr>
      </w:pPr>
      <w:r w:rsidRPr="00212D57">
        <w:rPr>
          <w:rFonts w:eastAsia="細明體" w:hint="eastAsia"/>
          <w:szCs w:val="22"/>
        </w:rPr>
        <w:t>※</w:t>
      </w:r>
      <w:r w:rsidRPr="00212D57">
        <w:rPr>
          <w:rFonts w:eastAsia="細明體"/>
          <w:szCs w:val="22"/>
        </w:rPr>
        <w:t>印順法師，</w:t>
      </w:r>
      <w:r w:rsidRPr="00212D57">
        <w:rPr>
          <w:rFonts w:eastAsia="細明體" w:hint="eastAsia"/>
          <w:szCs w:val="22"/>
        </w:rPr>
        <w:t>《中觀論頌講記》，</w:t>
      </w:r>
      <w:r w:rsidRPr="00761EF3">
        <w:rPr>
          <w:rFonts w:eastAsia="細明體" w:hint="eastAsia"/>
          <w:szCs w:val="22"/>
        </w:rPr>
        <w:t>pp</w:t>
      </w:r>
      <w:r w:rsidRPr="00212D57">
        <w:rPr>
          <w:rFonts w:eastAsia="細明體" w:hint="eastAsia"/>
          <w:szCs w:val="22"/>
        </w:rPr>
        <w:t>.</w:t>
      </w:r>
      <w:r w:rsidRPr="00761EF3">
        <w:rPr>
          <w:rFonts w:eastAsia="細明體" w:hint="eastAsia"/>
          <w:szCs w:val="22"/>
        </w:rPr>
        <w:t>64</w:t>
      </w:r>
      <w:r w:rsidRPr="00212D57">
        <w:rPr>
          <w:rFonts w:eastAsia="細明體" w:hint="eastAsia"/>
          <w:szCs w:val="22"/>
        </w:rPr>
        <w:t>-</w:t>
      </w:r>
      <w:r w:rsidRPr="00761EF3">
        <w:rPr>
          <w:rFonts w:eastAsia="細明體" w:hint="eastAsia"/>
          <w:szCs w:val="22"/>
        </w:rPr>
        <w:t>65</w:t>
      </w:r>
      <w:r w:rsidRPr="00212D57">
        <w:rPr>
          <w:rFonts w:eastAsia="細明體" w:hint="eastAsia"/>
          <w:szCs w:val="22"/>
        </w:rPr>
        <w:t>：</w:t>
      </w:r>
    </w:p>
    <w:p w:rsidR="00157EF6" w:rsidRPr="00212D57" w:rsidRDefault="00157EF6" w:rsidP="002B682F">
      <w:pPr>
        <w:pStyle w:val="a5"/>
        <w:ind w:leftChars="430" w:left="1032"/>
        <w:jc w:val="both"/>
        <w:rPr>
          <w:rFonts w:ascii="標楷體" w:eastAsia="標楷體" w:hAnsi="標楷體"/>
          <w:szCs w:val="22"/>
        </w:rPr>
      </w:pPr>
      <w:r w:rsidRPr="00212D57">
        <w:rPr>
          <w:rFonts w:ascii="標楷體" w:eastAsia="標楷體" w:hAnsi="標楷體" w:hint="eastAsia"/>
          <w:szCs w:val="22"/>
        </w:rPr>
        <w:t>「如」一切「諸法」的「自性」是「不在於緣中」的，所以決沒有從自性生的。</w:t>
      </w:r>
      <w:r w:rsidRPr="00212D57">
        <w:rPr>
          <w:rFonts w:ascii="標楷體" w:eastAsia="標楷體" w:hAnsi="標楷體" w:hint="eastAsia"/>
          <w:b/>
          <w:szCs w:val="22"/>
        </w:rPr>
        <w:t>因緣和合的存在，是由種種的條件所生起。自性卻是自成的，本來如此的。自性與緣生，不相並立。所以凡是自性成的，決不假藉眾緣；凡是眾緣生的，決無自性。</w:t>
      </w:r>
      <w:r w:rsidRPr="00212D57">
        <w:rPr>
          <w:rFonts w:ascii="標楷體" w:eastAsia="標楷體" w:hAnsi="標楷體" w:hint="eastAsia"/>
          <w:szCs w:val="22"/>
        </w:rPr>
        <w:t>一切法依眾緣而存在，所以就否定了自性有。</w:t>
      </w:r>
    </w:p>
    <w:p w:rsidR="00157EF6" w:rsidRPr="00212D57" w:rsidRDefault="00157EF6" w:rsidP="002B682F">
      <w:pPr>
        <w:pStyle w:val="a5"/>
        <w:ind w:leftChars="430" w:left="1032"/>
        <w:jc w:val="both"/>
        <w:rPr>
          <w:rFonts w:ascii="標楷體" w:eastAsia="標楷體" w:hAnsi="標楷體"/>
          <w:szCs w:val="22"/>
        </w:rPr>
      </w:pPr>
      <w:r w:rsidRPr="00212D57">
        <w:rPr>
          <w:rFonts w:ascii="標楷體" w:eastAsia="標楷體" w:hAnsi="標楷體" w:hint="eastAsia"/>
          <w:szCs w:val="22"/>
        </w:rPr>
        <w:t>沒有自性，當然沒有從自性生了，自性生尚且不可得，他性生當然不成。這因為，他性實際就是自性，從彼此互相對立上，說此是自性，說彼是他性。如在他法的自體看，還是真實獨存的自體。所以說：「以無自性故，他性亦復無。」</w:t>
      </w:r>
    </w:p>
    <w:p w:rsidR="00157EF6" w:rsidRPr="00212D57" w:rsidRDefault="00157EF6" w:rsidP="002B682F">
      <w:pPr>
        <w:pStyle w:val="a5"/>
        <w:ind w:leftChars="105" w:left="791" w:hangingChars="245" w:hanging="539"/>
        <w:jc w:val="both"/>
        <w:rPr>
          <w:rFonts w:eastAsia="細明體"/>
          <w:szCs w:val="22"/>
        </w:rPr>
      </w:pPr>
      <w:r w:rsidRPr="00212D57">
        <w:rPr>
          <w:rFonts w:eastAsia="標楷體"/>
          <w:szCs w:val="22"/>
        </w:rPr>
        <w:t>（</w:t>
      </w:r>
      <w:r w:rsidRPr="00761EF3">
        <w:rPr>
          <w:rFonts w:eastAsia="SimSun"/>
          <w:szCs w:val="22"/>
        </w:rPr>
        <w:t>2</w:t>
      </w:r>
      <w:r w:rsidRPr="00212D57">
        <w:rPr>
          <w:rFonts w:eastAsia="細明體"/>
          <w:szCs w:val="22"/>
        </w:rPr>
        <w:t>）</w:t>
      </w:r>
      <w:r w:rsidRPr="00212D57">
        <w:rPr>
          <w:rFonts w:eastAsia="細明體" w:hint="eastAsia"/>
          <w:szCs w:val="22"/>
        </w:rPr>
        <w:t>《中論》卷</w:t>
      </w:r>
      <w:r w:rsidRPr="00761EF3">
        <w:rPr>
          <w:rFonts w:eastAsia="細明體" w:hint="eastAsia"/>
          <w:szCs w:val="22"/>
        </w:rPr>
        <w:t>3</w:t>
      </w:r>
      <w:r w:rsidRPr="00212D57">
        <w:rPr>
          <w:rFonts w:eastAsia="細明體" w:hint="eastAsia"/>
          <w:szCs w:val="22"/>
        </w:rPr>
        <w:t>〈</w:t>
      </w:r>
      <w:r w:rsidRPr="00761EF3">
        <w:rPr>
          <w:rFonts w:eastAsia="細明體" w:hint="eastAsia"/>
          <w:szCs w:val="22"/>
        </w:rPr>
        <w:t>15</w:t>
      </w:r>
      <w:r w:rsidRPr="00212D57">
        <w:rPr>
          <w:rFonts w:eastAsia="細明體" w:hint="eastAsia"/>
          <w:szCs w:val="22"/>
        </w:rPr>
        <w:t xml:space="preserve"> </w:t>
      </w:r>
      <w:r w:rsidRPr="00212D57">
        <w:rPr>
          <w:rFonts w:eastAsia="細明體" w:hint="eastAsia"/>
          <w:szCs w:val="22"/>
        </w:rPr>
        <w:t>觀有無品〉（大正</w:t>
      </w:r>
      <w:r w:rsidRPr="00761EF3">
        <w:rPr>
          <w:rFonts w:eastAsia="細明體" w:hint="eastAsia"/>
          <w:szCs w:val="22"/>
        </w:rPr>
        <w:t>30</w:t>
      </w:r>
      <w:r w:rsidRPr="00212D57">
        <w:rPr>
          <w:rFonts w:eastAsia="細明體" w:hint="eastAsia"/>
          <w:szCs w:val="22"/>
        </w:rPr>
        <w:t>，</w:t>
      </w:r>
      <w:r w:rsidRPr="00761EF3">
        <w:rPr>
          <w:rFonts w:eastAsia="細明體" w:hint="eastAsia"/>
          <w:szCs w:val="22"/>
        </w:rPr>
        <w:t>19c22</w:t>
      </w:r>
      <w:r w:rsidRPr="00212D57">
        <w:rPr>
          <w:rFonts w:eastAsia="細明體" w:hint="eastAsia"/>
          <w:szCs w:val="22"/>
        </w:rPr>
        <w:t>-</w:t>
      </w:r>
      <w:r w:rsidRPr="00761EF3">
        <w:rPr>
          <w:rFonts w:eastAsia="細明體" w:hint="eastAsia"/>
          <w:szCs w:val="22"/>
        </w:rPr>
        <w:t>23</w:t>
      </w:r>
      <w:r w:rsidRPr="00212D57">
        <w:rPr>
          <w:rFonts w:eastAsia="細明體" w:hint="eastAsia"/>
          <w:szCs w:val="22"/>
        </w:rPr>
        <w:t>）：</w:t>
      </w:r>
    </w:p>
    <w:p w:rsidR="00157EF6" w:rsidRPr="00212D57" w:rsidRDefault="00157EF6" w:rsidP="002B682F">
      <w:pPr>
        <w:pStyle w:val="a5"/>
        <w:ind w:leftChars="335" w:left="804"/>
        <w:jc w:val="both"/>
        <w:rPr>
          <w:rFonts w:eastAsia="細明體"/>
          <w:szCs w:val="22"/>
        </w:rPr>
      </w:pPr>
      <w:r w:rsidRPr="00212D57">
        <w:rPr>
          <w:rFonts w:ascii="標楷體" w:eastAsia="標楷體" w:hAnsi="標楷體" w:hint="eastAsia"/>
          <w:szCs w:val="22"/>
        </w:rPr>
        <w:t>眾緣中有性，是事則不然；性從眾緣出，即名為作法。</w:t>
      </w:r>
    </w:p>
    <w:p w:rsidR="00157EF6" w:rsidRPr="00212D57" w:rsidRDefault="00157EF6" w:rsidP="002B682F">
      <w:pPr>
        <w:pStyle w:val="a5"/>
        <w:ind w:leftChars="335" w:left="804"/>
        <w:jc w:val="both"/>
        <w:rPr>
          <w:rFonts w:eastAsia="細明體"/>
          <w:szCs w:val="22"/>
        </w:rPr>
      </w:pPr>
      <w:r w:rsidRPr="00212D57">
        <w:rPr>
          <w:rFonts w:eastAsia="細明體" w:hint="eastAsia"/>
          <w:szCs w:val="22"/>
        </w:rPr>
        <w:t>※</w:t>
      </w:r>
      <w:r w:rsidRPr="00212D57">
        <w:rPr>
          <w:rFonts w:eastAsia="細明體"/>
          <w:szCs w:val="22"/>
        </w:rPr>
        <w:t>印順法師，</w:t>
      </w:r>
      <w:r w:rsidRPr="00212D57">
        <w:rPr>
          <w:rFonts w:eastAsia="細明體" w:hint="eastAsia"/>
          <w:szCs w:val="22"/>
        </w:rPr>
        <w:t>《中觀論頌講記》，</w:t>
      </w:r>
      <w:r w:rsidRPr="00761EF3">
        <w:rPr>
          <w:rFonts w:eastAsia="細明體" w:hint="eastAsia"/>
          <w:szCs w:val="22"/>
        </w:rPr>
        <w:t>pp</w:t>
      </w:r>
      <w:r w:rsidRPr="00212D57">
        <w:rPr>
          <w:rFonts w:eastAsia="細明體" w:hint="eastAsia"/>
          <w:szCs w:val="22"/>
        </w:rPr>
        <w:t>.</w:t>
      </w:r>
      <w:r w:rsidRPr="00761EF3">
        <w:rPr>
          <w:rFonts w:eastAsia="細明體" w:hint="eastAsia"/>
          <w:szCs w:val="22"/>
        </w:rPr>
        <w:t>247</w:t>
      </w:r>
      <w:r w:rsidRPr="00212D57">
        <w:rPr>
          <w:rFonts w:eastAsia="細明體" w:hint="eastAsia"/>
          <w:szCs w:val="22"/>
        </w:rPr>
        <w:t>-</w:t>
      </w:r>
      <w:r w:rsidRPr="00761EF3">
        <w:rPr>
          <w:rFonts w:eastAsia="細明體" w:hint="eastAsia"/>
          <w:szCs w:val="22"/>
        </w:rPr>
        <w:t>248</w:t>
      </w:r>
      <w:r w:rsidRPr="00212D57">
        <w:rPr>
          <w:rFonts w:eastAsia="細明體" w:hint="eastAsia"/>
          <w:szCs w:val="22"/>
        </w:rPr>
        <w:t>：</w:t>
      </w:r>
    </w:p>
    <w:p w:rsidR="00157EF6" w:rsidRPr="00212D57" w:rsidRDefault="00157EF6" w:rsidP="002B682F">
      <w:pPr>
        <w:pStyle w:val="a5"/>
        <w:ind w:leftChars="430" w:left="1032"/>
        <w:jc w:val="both"/>
        <w:rPr>
          <w:rFonts w:ascii="標楷體" w:eastAsia="標楷體" w:hAnsi="標楷體"/>
          <w:szCs w:val="22"/>
        </w:rPr>
      </w:pPr>
      <w:r w:rsidRPr="00212D57">
        <w:rPr>
          <w:rFonts w:ascii="標楷體" w:eastAsia="標楷體" w:hAnsi="標楷體" w:hint="eastAsia"/>
          <w:szCs w:val="22"/>
        </w:rPr>
        <w:t>說有性，不出自性、他性、或非自他性的三者。說無性，外人或以為一切都沒有，或以為壞有成無。眾生妄見，不出此四句。現在先觀自性有不成。本頌以眾緣生的事實，破他有自性。所以這裡所破的主要對象，是佛法中的有所得學者。有所得的大小乘學者，以為十二緣起的</w:t>
      </w:r>
      <w:r w:rsidR="00F140C4">
        <w:rPr>
          <w:rFonts w:ascii="標楷體" w:eastAsia="標楷體" w:hAnsi="標楷體" w:hint="eastAsia"/>
          <w:szCs w:val="22"/>
        </w:rPr>
        <w:t>「</w:t>
      </w:r>
      <w:r w:rsidRPr="00212D57">
        <w:rPr>
          <w:rFonts w:ascii="標楷體" w:eastAsia="標楷體" w:hAnsi="標楷體" w:hint="eastAsia"/>
          <w:szCs w:val="22"/>
        </w:rPr>
        <w:t>此有故彼有</w:t>
      </w:r>
      <w:r w:rsidR="00F140C4">
        <w:rPr>
          <w:rFonts w:ascii="標楷體" w:eastAsia="標楷體" w:hAnsi="標楷體" w:hint="eastAsia"/>
          <w:szCs w:val="22"/>
        </w:rPr>
        <w:t>」</w:t>
      </w:r>
      <w:r w:rsidRPr="00212D57">
        <w:rPr>
          <w:rFonts w:ascii="標楷體" w:eastAsia="標楷體" w:hAnsi="標楷體" w:hint="eastAsia"/>
          <w:szCs w:val="22"/>
        </w:rPr>
        <w:t>，</w:t>
      </w:r>
      <w:r w:rsidR="00F140C4">
        <w:rPr>
          <w:rFonts w:ascii="標楷體" w:eastAsia="標楷體" w:hAnsi="標楷體" w:hint="eastAsia"/>
          <w:szCs w:val="22"/>
        </w:rPr>
        <w:t>「</w:t>
      </w:r>
      <w:r w:rsidRPr="00212D57">
        <w:rPr>
          <w:rFonts w:ascii="標楷體" w:eastAsia="標楷體" w:hAnsi="標楷體" w:hint="eastAsia"/>
          <w:szCs w:val="22"/>
        </w:rPr>
        <w:t>此無故彼無</w:t>
      </w:r>
      <w:r w:rsidR="00F140C4">
        <w:rPr>
          <w:rFonts w:ascii="標楷體" w:eastAsia="標楷體" w:hAnsi="標楷體" w:hint="eastAsia"/>
          <w:szCs w:val="22"/>
        </w:rPr>
        <w:t>」</w:t>
      </w:r>
      <w:r w:rsidRPr="00212D57">
        <w:rPr>
          <w:rFonts w:ascii="標楷體" w:eastAsia="標楷體" w:hAnsi="標楷體" w:hint="eastAsia"/>
          <w:szCs w:val="22"/>
        </w:rPr>
        <w:t>，是自相有的緣起法，是實有實無的。所以破斥道：既承認諸法是因緣和合生，那就不能說他有自性；</w:t>
      </w:r>
      <w:r w:rsidRPr="00212D57">
        <w:rPr>
          <w:rFonts w:ascii="標楷體" w:eastAsia="標楷體" w:hAnsi="標楷體" w:hint="eastAsia"/>
          <w:b/>
          <w:szCs w:val="22"/>
        </w:rPr>
        <w:t>因緣有與自性有的定義，根本是不相吻合的。</w:t>
      </w:r>
      <w:r w:rsidR="00F140C4">
        <w:rPr>
          <w:rFonts w:ascii="標楷體" w:eastAsia="標楷體" w:hAnsi="標楷體" w:hint="eastAsia"/>
          <w:b/>
          <w:szCs w:val="22"/>
        </w:rPr>
        <w:t>「</w:t>
      </w:r>
      <w:r w:rsidRPr="00212D57">
        <w:rPr>
          <w:rFonts w:ascii="標楷體" w:eastAsia="標楷體" w:hAnsi="標楷體" w:hint="eastAsia"/>
          <w:b/>
          <w:szCs w:val="22"/>
        </w:rPr>
        <w:t>自性</w:t>
      </w:r>
      <w:r w:rsidR="00F140C4">
        <w:rPr>
          <w:rFonts w:ascii="標楷體" w:eastAsia="標楷體" w:hAnsi="標楷體" w:hint="eastAsia"/>
          <w:b/>
          <w:szCs w:val="22"/>
        </w:rPr>
        <w:t>」</w:t>
      </w:r>
      <w:r w:rsidRPr="00212D57">
        <w:rPr>
          <w:rFonts w:ascii="標楷體" w:eastAsia="標楷體" w:hAnsi="標楷體" w:hint="eastAsia"/>
          <w:b/>
          <w:szCs w:val="22"/>
        </w:rPr>
        <w:t>，依有部的解說，與自體、自相、我，同一意義。承認自體如此成就的，確實如此的（成、實）自性，就不能說從眾緣生。凡從眾緣生的，即證明他離卻因緣不存在，他不能自體成就，當然沒有自性。所以說：「眾緣中有性，是事則不然。」</w:t>
      </w:r>
      <w:r w:rsidRPr="00212D57">
        <w:rPr>
          <w:rFonts w:ascii="標楷體" w:eastAsia="標楷體" w:hAnsi="標楷體" w:hint="eastAsia"/>
          <w:szCs w:val="22"/>
        </w:rPr>
        <w:t>假定不知自性有與因緣有的不能並存，主張自「性」有或自相有的法，是「從眾緣出」的。承認緣起，就不能說他是自性有，而應「名」之「為」所「作法」；這不過眾緣和合所成的所作法而已。一面承認有自性，一面又承認眾緣所作成，這是多麼的矛盾！</w:t>
      </w:r>
    </w:p>
    <w:p w:rsidR="00157EF6" w:rsidRPr="00212D57" w:rsidRDefault="00157EF6" w:rsidP="002B682F">
      <w:pPr>
        <w:pStyle w:val="a5"/>
        <w:ind w:leftChars="105" w:left="791" w:hangingChars="245" w:hanging="539"/>
        <w:jc w:val="both"/>
        <w:rPr>
          <w:rFonts w:eastAsia="細明體"/>
          <w:szCs w:val="22"/>
        </w:rPr>
      </w:pPr>
      <w:r w:rsidRPr="00212D57">
        <w:rPr>
          <w:rFonts w:eastAsia="細明體" w:hint="eastAsia"/>
          <w:szCs w:val="22"/>
        </w:rPr>
        <w:t>（</w:t>
      </w:r>
      <w:r w:rsidRPr="00761EF3">
        <w:rPr>
          <w:rFonts w:eastAsia="細明體" w:hint="eastAsia"/>
          <w:szCs w:val="22"/>
        </w:rPr>
        <w:t>3</w:t>
      </w:r>
      <w:r w:rsidRPr="00212D57">
        <w:rPr>
          <w:rFonts w:eastAsia="細明體" w:hint="eastAsia"/>
          <w:szCs w:val="22"/>
        </w:rPr>
        <w:t>）《中論》卷</w:t>
      </w:r>
      <w:r w:rsidRPr="00761EF3">
        <w:rPr>
          <w:rFonts w:eastAsia="細明體" w:hint="eastAsia"/>
          <w:szCs w:val="22"/>
        </w:rPr>
        <w:t>4</w:t>
      </w:r>
      <w:r w:rsidRPr="00212D57">
        <w:rPr>
          <w:rFonts w:eastAsia="細明體" w:hint="eastAsia"/>
          <w:szCs w:val="22"/>
        </w:rPr>
        <w:t>〈</w:t>
      </w:r>
      <w:r w:rsidRPr="00761EF3">
        <w:rPr>
          <w:rFonts w:eastAsia="細明體" w:hint="eastAsia"/>
          <w:szCs w:val="22"/>
        </w:rPr>
        <w:t>24</w:t>
      </w:r>
      <w:r w:rsidRPr="00212D57">
        <w:rPr>
          <w:rFonts w:eastAsia="細明體" w:hint="eastAsia"/>
          <w:szCs w:val="22"/>
        </w:rPr>
        <w:t xml:space="preserve"> </w:t>
      </w:r>
      <w:r w:rsidRPr="00212D57">
        <w:rPr>
          <w:rFonts w:eastAsia="細明體" w:hint="eastAsia"/>
          <w:szCs w:val="22"/>
        </w:rPr>
        <w:t>觀四諦品〉（大正</w:t>
      </w:r>
      <w:r w:rsidRPr="00761EF3">
        <w:rPr>
          <w:rFonts w:eastAsia="細明體" w:hint="eastAsia"/>
          <w:szCs w:val="22"/>
        </w:rPr>
        <w:t>30</w:t>
      </w:r>
      <w:r w:rsidRPr="00212D57">
        <w:rPr>
          <w:rFonts w:eastAsia="細明體" w:hint="eastAsia"/>
          <w:szCs w:val="22"/>
        </w:rPr>
        <w:t>，</w:t>
      </w:r>
      <w:r w:rsidRPr="00761EF3">
        <w:rPr>
          <w:rFonts w:eastAsia="細明體" w:hint="eastAsia"/>
          <w:szCs w:val="22"/>
        </w:rPr>
        <w:t>33b1</w:t>
      </w:r>
      <w:r w:rsidRPr="00212D57">
        <w:rPr>
          <w:rFonts w:eastAsia="細明體" w:hint="eastAsia"/>
          <w:szCs w:val="22"/>
        </w:rPr>
        <w:t>-</w:t>
      </w:r>
      <w:r w:rsidRPr="00761EF3">
        <w:rPr>
          <w:rFonts w:eastAsia="細明體" w:hint="eastAsia"/>
          <w:szCs w:val="22"/>
        </w:rPr>
        <w:t>2</w:t>
      </w:r>
      <w:r w:rsidRPr="00212D57">
        <w:rPr>
          <w:rFonts w:eastAsia="細明體" w:hint="eastAsia"/>
          <w:szCs w:val="22"/>
        </w:rPr>
        <w:t>）：</w:t>
      </w:r>
    </w:p>
    <w:p w:rsidR="00157EF6" w:rsidRPr="00212D57" w:rsidRDefault="00157EF6" w:rsidP="002B682F">
      <w:pPr>
        <w:pStyle w:val="a5"/>
        <w:ind w:leftChars="335" w:left="804"/>
        <w:jc w:val="both"/>
        <w:rPr>
          <w:rFonts w:eastAsia="細明體"/>
          <w:szCs w:val="22"/>
        </w:rPr>
      </w:pPr>
      <w:r w:rsidRPr="00212D57">
        <w:rPr>
          <w:rFonts w:ascii="標楷體" w:eastAsia="標楷體" w:hAnsi="標楷體" w:hint="eastAsia"/>
          <w:szCs w:val="22"/>
        </w:rPr>
        <w:t>若汝見諸</w:t>
      </w:r>
      <w:r w:rsidRPr="00952A37">
        <w:rPr>
          <w:rFonts w:ascii="標楷體" w:eastAsia="標楷體" w:hAnsi="標楷體" w:hint="eastAsia"/>
          <w:szCs w:val="22"/>
          <w:highlight w:val="yellow"/>
        </w:rPr>
        <w:t>法決</w:t>
      </w:r>
      <w:r w:rsidRPr="00212D57">
        <w:rPr>
          <w:rFonts w:ascii="標楷體" w:eastAsia="標楷體" w:hAnsi="標楷體" w:hint="eastAsia"/>
          <w:szCs w:val="22"/>
        </w:rPr>
        <w:t>定有性者，即為見諸</w:t>
      </w:r>
      <w:r w:rsidRPr="00952A37">
        <w:rPr>
          <w:rFonts w:ascii="標楷體" w:eastAsia="標楷體" w:hAnsi="標楷體" w:hint="eastAsia"/>
          <w:szCs w:val="22"/>
          <w:highlight w:val="yellow"/>
        </w:rPr>
        <w:t>法無</w:t>
      </w:r>
      <w:r w:rsidRPr="00212D57">
        <w:rPr>
          <w:rFonts w:ascii="標楷體" w:eastAsia="標楷體" w:hAnsi="標楷體" w:hint="eastAsia"/>
          <w:szCs w:val="22"/>
        </w:rPr>
        <w:t>因亦無緣。</w:t>
      </w:r>
    </w:p>
    <w:p w:rsidR="00157EF6" w:rsidRPr="00212D57" w:rsidRDefault="00157EF6" w:rsidP="002B682F">
      <w:pPr>
        <w:pStyle w:val="a5"/>
        <w:ind w:leftChars="335" w:left="804"/>
        <w:jc w:val="both"/>
        <w:rPr>
          <w:rFonts w:eastAsia="細明體"/>
          <w:szCs w:val="22"/>
        </w:rPr>
      </w:pPr>
      <w:r w:rsidRPr="00212D57">
        <w:rPr>
          <w:rFonts w:eastAsia="細明體" w:hint="eastAsia"/>
          <w:szCs w:val="22"/>
        </w:rPr>
        <w:t>※</w:t>
      </w:r>
      <w:r w:rsidRPr="00212D57">
        <w:rPr>
          <w:rFonts w:eastAsia="細明體"/>
          <w:szCs w:val="22"/>
        </w:rPr>
        <w:t>印順法師，</w:t>
      </w:r>
      <w:r w:rsidRPr="00212D57">
        <w:rPr>
          <w:rFonts w:eastAsia="細明體" w:hint="eastAsia"/>
          <w:szCs w:val="22"/>
        </w:rPr>
        <w:t>《中觀論頌講記》，</w:t>
      </w:r>
      <w:r w:rsidRPr="00761EF3">
        <w:rPr>
          <w:rFonts w:eastAsia="細明體" w:hint="eastAsia"/>
          <w:szCs w:val="22"/>
        </w:rPr>
        <w:t>p</w:t>
      </w:r>
      <w:r w:rsidRPr="00212D57">
        <w:rPr>
          <w:rFonts w:eastAsia="細明體" w:hint="eastAsia"/>
          <w:szCs w:val="22"/>
        </w:rPr>
        <w:t>.</w:t>
      </w:r>
      <w:r w:rsidRPr="00761EF3">
        <w:rPr>
          <w:rFonts w:eastAsia="細明體" w:hint="eastAsia"/>
          <w:szCs w:val="22"/>
        </w:rPr>
        <w:t>460</w:t>
      </w:r>
      <w:r w:rsidRPr="00212D57">
        <w:rPr>
          <w:rFonts w:eastAsia="細明體" w:hint="eastAsia"/>
          <w:szCs w:val="22"/>
        </w:rPr>
        <w:t>：</w:t>
      </w:r>
    </w:p>
    <w:p w:rsidR="00157EF6" w:rsidRPr="00212D57" w:rsidRDefault="00157EF6" w:rsidP="002B682F">
      <w:pPr>
        <w:pStyle w:val="a5"/>
        <w:ind w:leftChars="430" w:left="1032"/>
        <w:jc w:val="both"/>
        <w:rPr>
          <w:rFonts w:ascii="標楷體" w:eastAsia="標楷體" w:hAnsi="標楷體"/>
          <w:szCs w:val="22"/>
        </w:rPr>
      </w:pPr>
      <w:r w:rsidRPr="00212D57">
        <w:rPr>
          <w:rFonts w:ascii="標楷體" w:eastAsia="標楷體" w:hAnsi="標楷體" w:hint="eastAsia"/>
          <w:szCs w:val="22"/>
        </w:rPr>
        <w:t>假使，你「見」到「諸法」是「決定有」實自「性」的，那所「見」到的一切「諸法」，就是「無因」「無緣」而有的。諸法有自性，就是自體完成的，本來是這樣的，自己是這樣的，這自然就失卻因緣了。自性見者，推論為有自性才可成立一切，這是不解緣起法所生的錯誤。他們是離現象而想像實體，所以不能把握時空中的相待依存性。結果，自性有，就不成其為因緣生義。</w:t>
      </w:r>
    </w:p>
  </w:footnote>
  <w:footnote w:id="369">
    <w:p w:rsidR="00157EF6" w:rsidRPr="00212D57" w:rsidRDefault="00157EF6" w:rsidP="009E0A5A">
      <w:pPr>
        <w:pStyle w:val="a5"/>
        <w:spacing w:line="300" w:lineRule="exact"/>
        <w:ind w:left="187" w:hangingChars="85" w:hanging="187"/>
        <w:jc w:val="both"/>
        <w:rPr>
          <w:szCs w:val="22"/>
        </w:rPr>
      </w:pPr>
      <w:r w:rsidRPr="00212D57">
        <w:rPr>
          <w:rStyle w:val="a6"/>
          <w:szCs w:val="22"/>
        </w:rPr>
        <w:footnoteRef/>
      </w:r>
      <w:r w:rsidRPr="00212D57">
        <w:rPr>
          <w:szCs w:val="22"/>
        </w:rPr>
        <w:t xml:space="preserve"> </w:t>
      </w:r>
      <w:r w:rsidRPr="00212D57">
        <w:rPr>
          <w:szCs w:val="22"/>
        </w:rPr>
        <w:t>參見《大智度論》卷</w:t>
      </w:r>
      <w:r w:rsidRPr="00761EF3">
        <w:rPr>
          <w:szCs w:val="22"/>
        </w:rPr>
        <w:t>12</w:t>
      </w:r>
      <w:r w:rsidR="00537BAB">
        <w:rPr>
          <w:rFonts w:hint="eastAsia"/>
          <w:color w:val="FF0000"/>
          <w:szCs w:val="22"/>
          <w:highlight w:val="yellow"/>
        </w:rPr>
        <w:t>釋〈</w:t>
      </w:r>
      <w:r w:rsidR="00537BAB">
        <w:rPr>
          <w:color w:val="FF0000"/>
          <w:szCs w:val="22"/>
          <w:highlight w:val="yellow"/>
        </w:rPr>
        <w:t xml:space="preserve">1 </w:t>
      </w:r>
      <w:r w:rsidR="00537BAB">
        <w:rPr>
          <w:rFonts w:hint="eastAsia"/>
          <w:color w:val="FF0000"/>
          <w:szCs w:val="22"/>
          <w:highlight w:val="yellow"/>
        </w:rPr>
        <w:t>序品〉</w:t>
      </w:r>
      <w:r w:rsidRPr="00212D57">
        <w:rPr>
          <w:szCs w:val="22"/>
        </w:rPr>
        <w:t>（大正</w:t>
      </w:r>
      <w:r w:rsidRPr="00761EF3">
        <w:rPr>
          <w:szCs w:val="22"/>
        </w:rPr>
        <w:t>25</w:t>
      </w:r>
      <w:r w:rsidRPr="00212D57">
        <w:rPr>
          <w:szCs w:val="22"/>
        </w:rPr>
        <w:t>，</w:t>
      </w:r>
      <w:r w:rsidRPr="00761EF3">
        <w:rPr>
          <w:szCs w:val="22"/>
        </w:rPr>
        <w:t>147c21</w:t>
      </w:r>
      <w:r w:rsidRPr="00212D57">
        <w:rPr>
          <w:szCs w:val="22"/>
        </w:rPr>
        <w:t>-</w:t>
      </w:r>
      <w:r w:rsidRPr="00761EF3">
        <w:rPr>
          <w:rStyle w:val="old"/>
          <w:color w:val="auto"/>
          <w:szCs w:val="22"/>
        </w:rPr>
        <w:t>148a22</w:t>
      </w:r>
      <w:r w:rsidRPr="00212D57">
        <w:rPr>
          <w:rStyle w:val="old"/>
          <w:color w:val="auto"/>
          <w:szCs w:val="22"/>
        </w:rPr>
        <w:t>）</w:t>
      </w:r>
      <w:r w:rsidRPr="00212D57">
        <w:rPr>
          <w:szCs w:val="22"/>
        </w:rPr>
        <w:t>。</w:t>
      </w:r>
    </w:p>
  </w:footnote>
  <w:footnote w:id="370">
    <w:p w:rsidR="00224D48" w:rsidRPr="00212D57" w:rsidRDefault="00224D48" w:rsidP="00224D48">
      <w:pPr>
        <w:pStyle w:val="a5"/>
        <w:spacing w:line="300" w:lineRule="exact"/>
        <w:ind w:left="187" w:hangingChars="85" w:hanging="187"/>
        <w:jc w:val="both"/>
        <w:rPr>
          <w:rFonts w:eastAsia="標楷體"/>
          <w:szCs w:val="22"/>
        </w:rPr>
      </w:pPr>
      <w:r w:rsidRPr="00212D57">
        <w:rPr>
          <w:rStyle w:val="a6"/>
          <w:szCs w:val="22"/>
        </w:rPr>
        <w:footnoteRef/>
      </w:r>
      <w:r w:rsidRPr="00212D57">
        <w:rPr>
          <w:rFonts w:hint="eastAsia"/>
          <w:szCs w:val="22"/>
        </w:rPr>
        <w:t xml:space="preserve"> </w:t>
      </w:r>
      <w:r w:rsidRPr="00212D57">
        <w:rPr>
          <w:rFonts w:hint="eastAsia"/>
          <w:szCs w:val="22"/>
        </w:rPr>
        <w:t>參見</w:t>
      </w:r>
      <w:r w:rsidRPr="00212D57">
        <w:rPr>
          <w:szCs w:val="22"/>
        </w:rPr>
        <w:t>《大智度論》卷</w:t>
      </w:r>
      <w:r w:rsidRPr="00761EF3">
        <w:rPr>
          <w:szCs w:val="22"/>
        </w:rPr>
        <w:t>12</w:t>
      </w:r>
      <w:r w:rsidR="00537BAB">
        <w:rPr>
          <w:rFonts w:hint="eastAsia"/>
          <w:color w:val="FF0000"/>
          <w:szCs w:val="22"/>
          <w:highlight w:val="yellow"/>
        </w:rPr>
        <w:t>釋〈</w:t>
      </w:r>
      <w:r w:rsidR="00537BAB">
        <w:rPr>
          <w:color w:val="FF0000"/>
          <w:szCs w:val="22"/>
          <w:highlight w:val="yellow"/>
        </w:rPr>
        <w:t xml:space="preserve">1 </w:t>
      </w:r>
      <w:r w:rsidR="00537BAB">
        <w:rPr>
          <w:rFonts w:hint="eastAsia"/>
          <w:color w:val="FF0000"/>
          <w:szCs w:val="22"/>
          <w:highlight w:val="yellow"/>
        </w:rPr>
        <w:t>序品〉</w:t>
      </w:r>
      <w:r w:rsidRPr="00212D57">
        <w:rPr>
          <w:rStyle w:val="old"/>
          <w:rFonts w:eastAsia="標楷體"/>
          <w:color w:val="auto"/>
          <w:szCs w:val="22"/>
        </w:rPr>
        <w:t>（</w:t>
      </w:r>
      <w:r w:rsidRPr="00212D57">
        <w:rPr>
          <w:szCs w:val="22"/>
        </w:rPr>
        <w:t>大正</w:t>
      </w:r>
      <w:r w:rsidRPr="00761EF3">
        <w:rPr>
          <w:szCs w:val="22"/>
        </w:rPr>
        <w:t>25</w:t>
      </w:r>
      <w:r w:rsidRPr="00212D57">
        <w:rPr>
          <w:szCs w:val="22"/>
        </w:rPr>
        <w:t>，</w:t>
      </w:r>
      <w:r w:rsidRPr="00761EF3">
        <w:rPr>
          <w:rStyle w:val="old"/>
          <w:rFonts w:eastAsia="標楷體"/>
          <w:color w:val="auto"/>
          <w:szCs w:val="22"/>
        </w:rPr>
        <w:t>147c21</w:t>
      </w:r>
      <w:r w:rsidRPr="00212D57">
        <w:rPr>
          <w:rStyle w:val="old"/>
          <w:rFonts w:eastAsia="標楷體"/>
          <w:color w:val="auto"/>
          <w:szCs w:val="22"/>
        </w:rPr>
        <w:t>-</w:t>
      </w:r>
      <w:r w:rsidRPr="00761EF3">
        <w:rPr>
          <w:rStyle w:val="old"/>
          <w:rFonts w:eastAsia="標楷體"/>
          <w:color w:val="auto"/>
          <w:szCs w:val="22"/>
        </w:rPr>
        <w:t>148a4</w:t>
      </w:r>
      <w:r w:rsidRPr="00212D57">
        <w:rPr>
          <w:rStyle w:val="old"/>
          <w:rFonts w:eastAsia="標楷體"/>
          <w:color w:val="auto"/>
          <w:szCs w:val="22"/>
        </w:rPr>
        <w:t>）：</w:t>
      </w:r>
    </w:p>
    <w:p w:rsidR="00224D48" w:rsidRPr="00212D57" w:rsidRDefault="00224D48" w:rsidP="00224D48">
      <w:pPr>
        <w:snapToGrid w:val="0"/>
        <w:spacing w:line="300" w:lineRule="exact"/>
        <w:ind w:leftChars="75" w:left="840" w:hangingChars="300" w:hanging="660"/>
        <w:jc w:val="both"/>
        <w:rPr>
          <w:rStyle w:val="old"/>
          <w:rFonts w:eastAsia="標楷體"/>
          <w:color w:val="auto"/>
          <w:sz w:val="22"/>
          <w:szCs w:val="22"/>
        </w:rPr>
      </w:pPr>
      <w:r w:rsidRPr="00212D57">
        <w:rPr>
          <w:rStyle w:val="old"/>
          <w:rFonts w:eastAsia="標楷體"/>
          <w:color w:val="auto"/>
          <w:sz w:val="22"/>
          <w:szCs w:val="22"/>
        </w:rPr>
        <w:t>問曰：亦不必一切物皆從因緣和合故有，如</w:t>
      </w:r>
      <w:r>
        <w:rPr>
          <w:rFonts w:ascii="標楷體" w:eastAsia="標楷體" w:hAnsi="標楷體" w:hint="eastAsia"/>
          <w:bCs/>
          <w:color w:val="FF0000"/>
          <w:kern w:val="0"/>
          <w:sz w:val="22"/>
          <w:highlight w:val="yellow"/>
        </w:rPr>
        <w:t>「</w:t>
      </w:r>
      <w:r w:rsidRPr="00212D57">
        <w:rPr>
          <w:rStyle w:val="old"/>
          <w:rFonts w:eastAsia="標楷體"/>
          <w:color w:val="auto"/>
          <w:sz w:val="22"/>
          <w:szCs w:val="22"/>
        </w:rPr>
        <w:t>微塵</w:t>
      </w:r>
      <w:r>
        <w:rPr>
          <w:rFonts w:ascii="標楷體" w:eastAsia="標楷體" w:hAnsi="標楷體" w:hint="eastAsia"/>
          <w:bCs/>
          <w:color w:val="FF0000"/>
          <w:kern w:val="0"/>
          <w:sz w:val="22"/>
          <w:highlight w:val="yellow"/>
        </w:rPr>
        <w:t>」</w:t>
      </w:r>
      <w:r>
        <w:rPr>
          <w:rFonts w:ascii="標楷體" w:eastAsia="標楷體" w:hAnsi="標楷體" w:hint="eastAsia"/>
          <w:color w:val="FF0000"/>
          <w:kern w:val="0"/>
          <w:sz w:val="22"/>
          <w:highlight w:val="yellow"/>
        </w:rPr>
        <w:t>，</w:t>
      </w:r>
      <w:r w:rsidRPr="00212D57">
        <w:rPr>
          <w:rStyle w:val="old"/>
          <w:rFonts w:eastAsia="標楷體"/>
          <w:color w:val="auto"/>
          <w:sz w:val="22"/>
          <w:szCs w:val="22"/>
        </w:rPr>
        <w:t>至細故無分，無分故無和合。疊</w:t>
      </w:r>
      <w:r>
        <w:rPr>
          <w:rFonts w:ascii="標楷體" w:eastAsia="標楷體" w:hAnsi="標楷體" w:hint="eastAsia"/>
          <w:color w:val="FF0000"/>
          <w:kern w:val="0"/>
          <w:sz w:val="22"/>
          <w:highlight w:val="yellow"/>
        </w:rPr>
        <w:t>，</w:t>
      </w:r>
      <w:r w:rsidRPr="00212D57">
        <w:rPr>
          <w:rStyle w:val="old"/>
          <w:rFonts w:eastAsia="標楷體"/>
          <w:color w:val="auto"/>
          <w:sz w:val="22"/>
          <w:szCs w:val="22"/>
        </w:rPr>
        <w:t>麁故</w:t>
      </w:r>
      <w:r>
        <w:rPr>
          <w:rFonts w:ascii="標楷體" w:eastAsia="標楷體" w:hAnsi="標楷體" w:hint="eastAsia"/>
          <w:color w:val="FF0000"/>
          <w:kern w:val="0"/>
          <w:sz w:val="22"/>
          <w:highlight w:val="yellow"/>
        </w:rPr>
        <w:t>，</w:t>
      </w:r>
      <w:r w:rsidRPr="00212D57">
        <w:rPr>
          <w:rStyle w:val="old"/>
          <w:rFonts w:eastAsia="標楷體"/>
          <w:color w:val="auto"/>
          <w:sz w:val="22"/>
          <w:szCs w:val="22"/>
        </w:rPr>
        <w:t>可破</w:t>
      </w:r>
      <w:r>
        <w:rPr>
          <w:rFonts w:ascii="標楷體" w:eastAsia="標楷體" w:hAnsi="標楷體" w:hint="eastAsia"/>
          <w:color w:val="FF0000"/>
          <w:spacing w:val="-4"/>
          <w:kern w:val="0"/>
          <w:sz w:val="22"/>
          <w:highlight w:val="yellow"/>
        </w:rPr>
        <w:t>；</w:t>
      </w:r>
      <w:r>
        <w:rPr>
          <w:rFonts w:ascii="標楷體" w:eastAsia="標楷體" w:hAnsi="標楷體" w:hint="eastAsia"/>
          <w:bCs/>
          <w:color w:val="FF0000"/>
          <w:kern w:val="0"/>
          <w:sz w:val="22"/>
          <w:highlight w:val="yellow"/>
        </w:rPr>
        <w:t>「</w:t>
      </w:r>
      <w:r w:rsidRPr="00212D57">
        <w:rPr>
          <w:rStyle w:val="old"/>
          <w:rFonts w:eastAsia="標楷體"/>
          <w:color w:val="auto"/>
          <w:sz w:val="22"/>
          <w:szCs w:val="22"/>
        </w:rPr>
        <w:t>微塵</w:t>
      </w:r>
      <w:r>
        <w:rPr>
          <w:rFonts w:ascii="標楷體" w:eastAsia="標楷體" w:hAnsi="標楷體" w:hint="eastAsia"/>
          <w:bCs/>
          <w:color w:val="FF0000"/>
          <w:kern w:val="0"/>
          <w:sz w:val="22"/>
          <w:highlight w:val="yellow"/>
        </w:rPr>
        <w:t>」</w:t>
      </w:r>
      <w:r w:rsidRPr="00212D57">
        <w:rPr>
          <w:rStyle w:val="old"/>
          <w:rFonts w:eastAsia="標楷體"/>
          <w:color w:val="auto"/>
          <w:sz w:val="22"/>
          <w:szCs w:val="22"/>
        </w:rPr>
        <w:t>中無分，云何可破？</w:t>
      </w:r>
    </w:p>
    <w:p w:rsidR="00224D48" w:rsidRPr="00212D57" w:rsidRDefault="00224D48" w:rsidP="00224D48">
      <w:pPr>
        <w:snapToGrid w:val="0"/>
        <w:spacing w:line="300" w:lineRule="exact"/>
        <w:ind w:leftChars="75" w:left="840" w:hangingChars="300" w:hanging="660"/>
        <w:jc w:val="both"/>
        <w:rPr>
          <w:rStyle w:val="old"/>
          <w:rFonts w:eastAsia="標楷體"/>
          <w:color w:val="auto"/>
          <w:sz w:val="22"/>
          <w:szCs w:val="22"/>
        </w:rPr>
      </w:pPr>
      <w:r w:rsidRPr="00212D57">
        <w:rPr>
          <w:rStyle w:val="old"/>
          <w:rFonts w:eastAsia="標楷體"/>
          <w:color w:val="auto"/>
          <w:sz w:val="22"/>
          <w:szCs w:val="22"/>
        </w:rPr>
        <w:t>答曰：至微無實，強為之名。何以故？麁</w:t>
      </w:r>
      <w:r>
        <w:rPr>
          <w:rFonts w:ascii="標楷體" w:eastAsia="標楷體" w:hAnsi="標楷體" w:hint="eastAsia"/>
          <w:color w:val="FF0000"/>
          <w:kern w:val="0"/>
          <w:sz w:val="22"/>
          <w:highlight w:val="yellow"/>
        </w:rPr>
        <w:t>.</w:t>
      </w:r>
      <w:r w:rsidRPr="00212D57">
        <w:rPr>
          <w:rStyle w:val="old"/>
          <w:rFonts w:eastAsia="標楷體"/>
          <w:color w:val="auto"/>
          <w:sz w:val="22"/>
          <w:szCs w:val="22"/>
        </w:rPr>
        <w:t>細相待，因麁故有細，是細復應有細。</w:t>
      </w:r>
    </w:p>
    <w:p w:rsidR="00224D48" w:rsidRPr="00212D57" w:rsidRDefault="00224D48" w:rsidP="00224D48">
      <w:pPr>
        <w:snapToGrid w:val="0"/>
        <w:spacing w:line="300" w:lineRule="exact"/>
        <w:ind w:leftChars="355" w:left="852"/>
        <w:jc w:val="both"/>
        <w:rPr>
          <w:rStyle w:val="old"/>
          <w:rFonts w:eastAsia="標楷體"/>
          <w:color w:val="auto"/>
          <w:sz w:val="22"/>
          <w:szCs w:val="22"/>
        </w:rPr>
      </w:pPr>
      <w:r w:rsidRPr="00212D57">
        <w:rPr>
          <w:rStyle w:val="old"/>
          <w:rFonts w:eastAsia="標楷體"/>
          <w:color w:val="auto"/>
          <w:sz w:val="22"/>
          <w:szCs w:val="22"/>
        </w:rPr>
        <w:t>復次，若有</w:t>
      </w:r>
      <w:r>
        <w:rPr>
          <w:rFonts w:ascii="標楷體" w:eastAsia="標楷體" w:hAnsi="標楷體" w:hint="eastAsia"/>
          <w:bCs/>
          <w:color w:val="FF0000"/>
          <w:kern w:val="0"/>
          <w:sz w:val="22"/>
          <w:highlight w:val="yellow"/>
        </w:rPr>
        <w:t>「</w:t>
      </w:r>
      <w:r w:rsidRPr="00212D57">
        <w:rPr>
          <w:rStyle w:val="old"/>
          <w:rFonts w:eastAsia="標楷體"/>
          <w:color w:val="auto"/>
          <w:sz w:val="22"/>
          <w:szCs w:val="22"/>
        </w:rPr>
        <w:t>極微色</w:t>
      </w:r>
      <w:r>
        <w:rPr>
          <w:rFonts w:ascii="標楷體" w:eastAsia="標楷體" w:hAnsi="標楷體" w:hint="eastAsia"/>
          <w:bCs/>
          <w:color w:val="FF0000"/>
          <w:kern w:val="0"/>
          <w:sz w:val="22"/>
          <w:highlight w:val="yellow"/>
        </w:rPr>
        <w:t>」</w:t>
      </w:r>
      <w:r w:rsidRPr="00212D57">
        <w:rPr>
          <w:rStyle w:val="old"/>
          <w:rFonts w:eastAsia="標楷體"/>
          <w:color w:val="auto"/>
          <w:sz w:val="22"/>
          <w:szCs w:val="22"/>
        </w:rPr>
        <w:t>，則有十方分；若有十方分，是不名為</w:t>
      </w:r>
      <w:r>
        <w:rPr>
          <w:rFonts w:ascii="標楷體" w:eastAsia="標楷體" w:hAnsi="標楷體" w:hint="eastAsia"/>
          <w:bCs/>
          <w:color w:val="FF0000"/>
          <w:kern w:val="0"/>
          <w:sz w:val="22"/>
          <w:highlight w:val="yellow"/>
        </w:rPr>
        <w:t>「</w:t>
      </w:r>
      <w:r w:rsidRPr="00212D57">
        <w:rPr>
          <w:rStyle w:val="old"/>
          <w:rFonts w:eastAsia="標楷體"/>
          <w:color w:val="auto"/>
          <w:sz w:val="22"/>
          <w:szCs w:val="22"/>
        </w:rPr>
        <w:t>極微</w:t>
      </w:r>
      <w:r>
        <w:rPr>
          <w:rFonts w:ascii="標楷體" w:eastAsia="標楷體" w:hAnsi="標楷體" w:hint="eastAsia"/>
          <w:bCs/>
          <w:color w:val="FF0000"/>
          <w:kern w:val="0"/>
          <w:sz w:val="22"/>
          <w:highlight w:val="yellow"/>
        </w:rPr>
        <w:t>」</w:t>
      </w:r>
      <w:r w:rsidRPr="00212D57">
        <w:rPr>
          <w:rStyle w:val="old"/>
          <w:rFonts w:eastAsia="標楷體"/>
          <w:color w:val="auto"/>
          <w:sz w:val="22"/>
          <w:szCs w:val="22"/>
        </w:rPr>
        <w:t>；若無十方分，則不名為</w:t>
      </w:r>
      <w:r>
        <w:rPr>
          <w:rFonts w:ascii="標楷體" w:eastAsia="標楷體" w:hAnsi="標楷體" w:hint="eastAsia"/>
          <w:bCs/>
          <w:color w:val="FF0000"/>
          <w:kern w:val="0"/>
          <w:sz w:val="22"/>
          <w:highlight w:val="yellow"/>
        </w:rPr>
        <w:t>「</w:t>
      </w:r>
      <w:r w:rsidRPr="00212D57">
        <w:rPr>
          <w:rStyle w:val="old"/>
          <w:rFonts w:eastAsia="標楷體"/>
          <w:color w:val="auto"/>
          <w:sz w:val="22"/>
          <w:szCs w:val="22"/>
        </w:rPr>
        <w:t>色</w:t>
      </w:r>
      <w:r>
        <w:rPr>
          <w:rFonts w:ascii="標楷體" w:eastAsia="標楷體" w:hAnsi="標楷體" w:hint="eastAsia"/>
          <w:bCs/>
          <w:color w:val="FF0000"/>
          <w:kern w:val="0"/>
          <w:sz w:val="22"/>
          <w:highlight w:val="yellow"/>
        </w:rPr>
        <w:t>」</w:t>
      </w:r>
      <w:r w:rsidRPr="00212D57">
        <w:rPr>
          <w:rStyle w:val="old"/>
          <w:rFonts w:eastAsia="標楷體"/>
          <w:color w:val="auto"/>
          <w:sz w:val="22"/>
          <w:szCs w:val="22"/>
        </w:rPr>
        <w:t>。</w:t>
      </w:r>
    </w:p>
    <w:p w:rsidR="00224D48" w:rsidRPr="00212D57" w:rsidRDefault="00224D48" w:rsidP="00224D48">
      <w:pPr>
        <w:snapToGrid w:val="0"/>
        <w:spacing w:line="300" w:lineRule="exact"/>
        <w:ind w:leftChars="355" w:left="852"/>
        <w:jc w:val="both"/>
        <w:rPr>
          <w:rStyle w:val="old"/>
          <w:rFonts w:eastAsia="標楷體"/>
          <w:color w:val="auto"/>
          <w:sz w:val="22"/>
          <w:szCs w:val="22"/>
        </w:rPr>
      </w:pPr>
      <w:r w:rsidRPr="00212D57">
        <w:rPr>
          <w:rStyle w:val="old"/>
          <w:rFonts w:eastAsia="標楷體"/>
          <w:color w:val="auto"/>
          <w:sz w:val="22"/>
          <w:szCs w:val="22"/>
        </w:rPr>
        <w:t>復次，若有</w:t>
      </w:r>
      <w:r>
        <w:rPr>
          <w:rFonts w:ascii="標楷體" w:eastAsia="標楷體" w:hAnsi="標楷體" w:hint="eastAsia"/>
          <w:bCs/>
          <w:color w:val="FF0000"/>
          <w:kern w:val="0"/>
          <w:sz w:val="22"/>
          <w:highlight w:val="yellow"/>
        </w:rPr>
        <w:t>「</w:t>
      </w:r>
      <w:r w:rsidRPr="00212D57">
        <w:rPr>
          <w:rStyle w:val="old"/>
          <w:rFonts w:eastAsia="標楷體"/>
          <w:color w:val="auto"/>
          <w:sz w:val="22"/>
          <w:szCs w:val="22"/>
        </w:rPr>
        <w:t>極微</w:t>
      </w:r>
      <w:r>
        <w:rPr>
          <w:rFonts w:ascii="標楷體" w:eastAsia="標楷體" w:hAnsi="標楷體" w:hint="eastAsia"/>
          <w:bCs/>
          <w:color w:val="FF0000"/>
          <w:kern w:val="0"/>
          <w:sz w:val="22"/>
          <w:highlight w:val="yellow"/>
        </w:rPr>
        <w:t>」</w:t>
      </w:r>
      <w:r w:rsidRPr="00212D57">
        <w:rPr>
          <w:rStyle w:val="old"/>
          <w:rFonts w:eastAsia="標楷體"/>
          <w:color w:val="auto"/>
          <w:sz w:val="22"/>
          <w:szCs w:val="22"/>
        </w:rPr>
        <w:t>，則應有虛空分齊；若有分者，則不名</w:t>
      </w:r>
      <w:r>
        <w:rPr>
          <w:rFonts w:ascii="標楷體" w:eastAsia="標楷體" w:hAnsi="標楷體" w:hint="eastAsia"/>
          <w:bCs/>
          <w:color w:val="FF0000"/>
          <w:kern w:val="0"/>
          <w:sz w:val="22"/>
          <w:highlight w:val="yellow"/>
        </w:rPr>
        <w:t>「</w:t>
      </w:r>
      <w:r w:rsidRPr="00212D57">
        <w:rPr>
          <w:rStyle w:val="old"/>
          <w:rFonts w:eastAsia="標楷體"/>
          <w:color w:val="auto"/>
          <w:sz w:val="22"/>
          <w:szCs w:val="22"/>
        </w:rPr>
        <w:t>極微</w:t>
      </w:r>
      <w:r>
        <w:rPr>
          <w:rFonts w:ascii="標楷體" w:eastAsia="標楷體" w:hAnsi="標楷體" w:hint="eastAsia"/>
          <w:bCs/>
          <w:color w:val="FF0000"/>
          <w:kern w:val="0"/>
          <w:sz w:val="22"/>
          <w:highlight w:val="yellow"/>
        </w:rPr>
        <w:t>」</w:t>
      </w:r>
    </w:p>
    <w:p w:rsidR="00224D48" w:rsidRPr="00212D57" w:rsidRDefault="00224D48" w:rsidP="00224D48">
      <w:pPr>
        <w:snapToGrid w:val="0"/>
        <w:spacing w:line="300" w:lineRule="exact"/>
        <w:ind w:leftChars="355" w:left="852"/>
        <w:jc w:val="both"/>
        <w:rPr>
          <w:rStyle w:val="old"/>
          <w:rFonts w:eastAsia="標楷體"/>
          <w:color w:val="auto"/>
          <w:sz w:val="22"/>
          <w:szCs w:val="22"/>
        </w:rPr>
      </w:pPr>
      <w:r w:rsidRPr="00212D57">
        <w:rPr>
          <w:rStyle w:val="old"/>
          <w:rFonts w:eastAsia="標楷體"/>
          <w:color w:val="auto"/>
          <w:sz w:val="22"/>
          <w:szCs w:val="22"/>
        </w:rPr>
        <w:t>復次，若有</w:t>
      </w:r>
      <w:r>
        <w:rPr>
          <w:rFonts w:ascii="標楷體" w:eastAsia="標楷體" w:hAnsi="標楷體" w:hint="eastAsia"/>
          <w:bCs/>
          <w:color w:val="FF0000"/>
          <w:kern w:val="0"/>
          <w:sz w:val="22"/>
          <w:highlight w:val="yellow"/>
        </w:rPr>
        <w:t>「</w:t>
      </w:r>
      <w:r w:rsidRPr="00212D57">
        <w:rPr>
          <w:rStyle w:val="old"/>
          <w:rFonts w:eastAsia="標楷體"/>
          <w:color w:val="auto"/>
          <w:sz w:val="22"/>
          <w:szCs w:val="22"/>
        </w:rPr>
        <w:t>極微</w:t>
      </w:r>
      <w:r>
        <w:rPr>
          <w:rFonts w:ascii="標楷體" w:eastAsia="標楷體" w:hAnsi="標楷體" w:hint="eastAsia"/>
          <w:bCs/>
          <w:color w:val="FF0000"/>
          <w:kern w:val="0"/>
          <w:sz w:val="22"/>
          <w:highlight w:val="yellow"/>
        </w:rPr>
        <w:t>」</w:t>
      </w:r>
      <w:r w:rsidRPr="00212D57">
        <w:rPr>
          <w:rStyle w:val="old"/>
          <w:rFonts w:eastAsia="標楷體"/>
          <w:color w:val="auto"/>
          <w:sz w:val="22"/>
          <w:szCs w:val="22"/>
        </w:rPr>
        <w:t>，是中有</w:t>
      </w:r>
      <w:r>
        <w:rPr>
          <w:rFonts w:ascii="標楷體" w:eastAsia="標楷體" w:hAnsi="標楷體" w:hint="eastAsia"/>
          <w:bCs/>
          <w:color w:val="FF0000"/>
          <w:kern w:val="0"/>
          <w:sz w:val="22"/>
          <w:highlight w:val="yellow"/>
        </w:rPr>
        <w:t>「</w:t>
      </w:r>
      <w:r w:rsidRPr="00212D57">
        <w:rPr>
          <w:rStyle w:val="old"/>
          <w:rFonts w:eastAsia="標楷體"/>
          <w:color w:val="auto"/>
          <w:sz w:val="22"/>
          <w:szCs w:val="22"/>
        </w:rPr>
        <w:t>色、香、味、觸</w:t>
      </w:r>
      <w:r>
        <w:rPr>
          <w:rFonts w:ascii="標楷體" w:eastAsia="標楷體" w:hAnsi="標楷體" w:hint="eastAsia"/>
          <w:bCs/>
          <w:color w:val="FF0000"/>
          <w:kern w:val="0"/>
          <w:sz w:val="22"/>
          <w:highlight w:val="yellow"/>
        </w:rPr>
        <w:t>」</w:t>
      </w:r>
      <w:r w:rsidRPr="00212D57">
        <w:rPr>
          <w:rStyle w:val="old"/>
          <w:rFonts w:eastAsia="標楷體"/>
          <w:color w:val="auto"/>
          <w:sz w:val="22"/>
          <w:szCs w:val="22"/>
        </w:rPr>
        <w:t>作分</w:t>
      </w:r>
      <w:r>
        <w:rPr>
          <w:rFonts w:ascii="標楷體" w:eastAsia="標楷體" w:hAnsi="標楷體" w:hint="eastAsia"/>
          <w:color w:val="FF0000"/>
          <w:kern w:val="0"/>
          <w:sz w:val="22"/>
          <w:highlight w:val="yellow"/>
        </w:rPr>
        <w:t>──</w:t>
      </w:r>
      <w:r>
        <w:rPr>
          <w:rFonts w:ascii="標楷體" w:eastAsia="標楷體" w:hAnsi="標楷體" w:hint="eastAsia"/>
          <w:bCs/>
          <w:color w:val="FF0000"/>
          <w:kern w:val="0"/>
          <w:sz w:val="22"/>
          <w:highlight w:val="yellow"/>
        </w:rPr>
        <w:t>「</w:t>
      </w:r>
      <w:r w:rsidRPr="00212D57">
        <w:rPr>
          <w:rStyle w:val="old"/>
          <w:rFonts w:eastAsia="標楷體"/>
          <w:color w:val="auto"/>
          <w:sz w:val="22"/>
          <w:szCs w:val="22"/>
        </w:rPr>
        <w:t>色、香、味、觸</w:t>
      </w:r>
      <w:r>
        <w:rPr>
          <w:rFonts w:ascii="標楷體" w:eastAsia="標楷體" w:hAnsi="標楷體" w:hint="eastAsia"/>
          <w:bCs/>
          <w:color w:val="FF0000"/>
          <w:kern w:val="0"/>
          <w:sz w:val="22"/>
          <w:highlight w:val="yellow"/>
        </w:rPr>
        <w:t>」</w:t>
      </w:r>
      <w:r w:rsidRPr="00212D57">
        <w:rPr>
          <w:rStyle w:val="old"/>
          <w:rFonts w:eastAsia="標楷體"/>
          <w:color w:val="auto"/>
          <w:sz w:val="22"/>
          <w:szCs w:val="22"/>
        </w:rPr>
        <w:t>作分，是不名</w:t>
      </w:r>
      <w:r>
        <w:rPr>
          <w:rFonts w:ascii="標楷體" w:eastAsia="標楷體" w:hAnsi="標楷體" w:hint="eastAsia"/>
          <w:bCs/>
          <w:color w:val="FF0000"/>
          <w:kern w:val="0"/>
          <w:sz w:val="22"/>
          <w:highlight w:val="yellow"/>
        </w:rPr>
        <w:t>「</w:t>
      </w:r>
      <w:r w:rsidRPr="00212D57">
        <w:rPr>
          <w:rStyle w:val="old"/>
          <w:rFonts w:eastAsia="標楷體"/>
          <w:color w:val="auto"/>
          <w:sz w:val="22"/>
          <w:szCs w:val="22"/>
        </w:rPr>
        <w:t>極微</w:t>
      </w:r>
      <w:r>
        <w:rPr>
          <w:rFonts w:ascii="標楷體" w:eastAsia="標楷體" w:hAnsi="標楷體" w:hint="eastAsia"/>
          <w:bCs/>
          <w:color w:val="FF0000"/>
          <w:kern w:val="0"/>
          <w:sz w:val="22"/>
          <w:highlight w:val="yellow"/>
        </w:rPr>
        <w:t>」</w:t>
      </w:r>
      <w:r w:rsidRPr="00212D57">
        <w:rPr>
          <w:rStyle w:val="old"/>
          <w:rFonts w:eastAsia="標楷體"/>
          <w:color w:val="auto"/>
          <w:sz w:val="22"/>
          <w:szCs w:val="22"/>
        </w:rPr>
        <w:t>。</w:t>
      </w:r>
    </w:p>
    <w:p w:rsidR="00224D48" w:rsidRDefault="00224D48" w:rsidP="00224D48">
      <w:pPr>
        <w:pStyle w:val="a5"/>
        <w:spacing w:line="300" w:lineRule="exact"/>
        <w:ind w:leftChars="355" w:left="852"/>
        <w:jc w:val="both"/>
        <w:rPr>
          <w:rFonts w:eastAsia="標楷體"/>
          <w:color w:val="FF0000"/>
          <w:szCs w:val="22"/>
        </w:rPr>
      </w:pPr>
      <w:r w:rsidRPr="00212D57">
        <w:rPr>
          <w:rStyle w:val="old"/>
          <w:rFonts w:eastAsia="標楷體"/>
          <w:color w:val="auto"/>
          <w:szCs w:val="22"/>
        </w:rPr>
        <w:t>以是推求，</w:t>
      </w:r>
      <w:r>
        <w:rPr>
          <w:rFonts w:ascii="標楷體" w:eastAsia="標楷體" w:hAnsi="標楷體" w:hint="eastAsia"/>
          <w:bCs/>
          <w:color w:val="FF0000"/>
          <w:kern w:val="0"/>
          <w:highlight w:val="yellow"/>
        </w:rPr>
        <w:t>「</w:t>
      </w:r>
      <w:r w:rsidRPr="00212D57">
        <w:rPr>
          <w:rStyle w:val="old"/>
          <w:rFonts w:eastAsia="標楷體"/>
          <w:color w:val="auto"/>
          <w:szCs w:val="22"/>
        </w:rPr>
        <w:t>微塵</w:t>
      </w:r>
      <w:r>
        <w:rPr>
          <w:rFonts w:ascii="標楷體" w:eastAsia="標楷體" w:hAnsi="標楷體" w:hint="eastAsia"/>
          <w:bCs/>
          <w:color w:val="FF0000"/>
          <w:kern w:val="0"/>
          <w:highlight w:val="yellow"/>
        </w:rPr>
        <w:t>」</w:t>
      </w:r>
      <w:r>
        <w:rPr>
          <w:rFonts w:ascii="標楷體" w:eastAsia="標楷體" w:hAnsi="標楷體" w:hint="eastAsia"/>
          <w:color w:val="FF0000"/>
          <w:kern w:val="0"/>
          <w:highlight w:val="yellow"/>
        </w:rPr>
        <w:t>，</w:t>
      </w:r>
      <w:r w:rsidRPr="00212D57">
        <w:rPr>
          <w:rStyle w:val="old"/>
          <w:rFonts w:eastAsia="標楷體"/>
          <w:color w:val="auto"/>
          <w:szCs w:val="22"/>
        </w:rPr>
        <w:t>則不可得。如經言：「色若麁若細</w:t>
      </w:r>
      <w:r>
        <w:rPr>
          <w:rFonts w:ascii="標楷體" w:eastAsia="標楷體" w:hAnsi="標楷體" w:hint="eastAsia"/>
          <w:color w:val="FF0000"/>
          <w:spacing w:val="-4"/>
          <w:kern w:val="0"/>
          <w:highlight w:val="yellow"/>
        </w:rPr>
        <w:t>、</w:t>
      </w:r>
      <w:r w:rsidRPr="00212D57">
        <w:rPr>
          <w:rStyle w:val="old"/>
          <w:rFonts w:eastAsia="標楷體"/>
          <w:color w:val="auto"/>
          <w:szCs w:val="22"/>
        </w:rPr>
        <w:t>若內若外，總而觀之，無常</w:t>
      </w:r>
      <w:r w:rsidRPr="00212D57">
        <w:rPr>
          <w:rStyle w:val="old"/>
          <w:rFonts w:eastAsia="標楷體" w:hint="eastAsia"/>
          <w:color w:val="auto"/>
          <w:szCs w:val="22"/>
        </w:rPr>
        <w:t>、</w:t>
      </w:r>
      <w:r w:rsidRPr="00212D57">
        <w:rPr>
          <w:rStyle w:val="old"/>
          <w:rFonts w:eastAsia="標楷體"/>
          <w:color w:val="auto"/>
          <w:szCs w:val="22"/>
        </w:rPr>
        <w:t>無我。」不言</w:t>
      </w:r>
      <w:r>
        <w:rPr>
          <w:rFonts w:ascii="標楷體" w:eastAsia="標楷體" w:hAnsi="標楷體" w:hint="eastAsia"/>
          <w:bCs/>
          <w:color w:val="FF0000"/>
          <w:kern w:val="0"/>
          <w:highlight w:val="yellow"/>
        </w:rPr>
        <w:t>「</w:t>
      </w:r>
      <w:r w:rsidRPr="00212D57">
        <w:rPr>
          <w:rStyle w:val="old"/>
          <w:rFonts w:eastAsia="標楷體"/>
          <w:color w:val="auto"/>
          <w:szCs w:val="22"/>
        </w:rPr>
        <w:t>有</w:t>
      </w:r>
      <w:r>
        <w:rPr>
          <w:rFonts w:ascii="標楷體" w:eastAsia="標楷體" w:hAnsi="標楷體" w:hint="eastAsia"/>
          <w:color w:val="FF0000"/>
          <w:kern w:val="0"/>
          <w:highlight w:val="yellow"/>
        </w:rPr>
        <w:t>『</w:t>
      </w:r>
      <w:r w:rsidRPr="00212D57">
        <w:rPr>
          <w:rStyle w:val="old"/>
          <w:rFonts w:eastAsia="標楷體"/>
          <w:color w:val="auto"/>
          <w:szCs w:val="22"/>
        </w:rPr>
        <w:t>微塵</w:t>
      </w:r>
      <w:r>
        <w:rPr>
          <w:rFonts w:ascii="標楷體" w:eastAsia="標楷體" w:hAnsi="標楷體" w:hint="eastAsia"/>
          <w:color w:val="FF0000"/>
          <w:kern w:val="0"/>
          <w:highlight w:val="yellow"/>
        </w:rPr>
        <w:t>』</w:t>
      </w:r>
      <w:r>
        <w:rPr>
          <w:rFonts w:ascii="標楷體" w:eastAsia="標楷體" w:hAnsi="標楷體" w:hint="eastAsia"/>
          <w:bCs/>
          <w:color w:val="FF0000"/>
          <w:kern w:val="0"/>
          <w:highlight w:val="yellow"/>
        </w:rPr>
        <w:t>」</w:t>
      </w:r>
      <w:r>
        <w:rPr>
          <w:rFonts w:eastAsia="標楷體" w:hint="eastAsia"/>
          <w:color w:val="FF0000"/>
          <w:szCs w:val="22"/>
          <w:highlight w:val="yellow"/>
        </w:rPr>
        <w:t>。</w:t>
      </w:r>
    </w:p>
    <w:p w:rsidR="00224D48" w:rsidRPr="00212D57" w:rsidRDefault="00224D48" w:rsidP="00224D48">
      <w:pPr>
        <w:snapToGrid w:val="0"/>
        <w:spacing w:line="300" w:lineRule="exact"/>
        <w:ind w:leftChars="75" w:left="180"/>
        <w:jc w:val="both"/>
        <w:rPr>
          <w:rFonts w:eastAsia="標楷體"/>
          <w:sz w:val="22"/>
          <w:szCs w:val="22"/>
        </w:rPr>
      </w:pPr>
      <w:r w:rsidRPr="00212D57">
        <w:rPr>
          <w:rStyle w:val="old"/>
          <w:rFonts w:eastAsia="標楷體"/>
          <w:color w:val="auto"/>
          <w:sz w:val="22"/>
          <w:szCs w:val="22"/>
        </w:rPr>
        <w:t>是名</w:t>
      </w:r>
      <w:r>
        <w:rPr>
          <w:rFonts w:ascii="標楷體" w:eastAsia="標楷體" w:hAnsi="標楷體" w:hint="eastAsia"/>
          <w:bCs/>
          <w:color w:val="FF0000"/>
          <w:kern w:val="0"/>
          <w:sz w:val="22"/>
          <w:highlight w:val="yellow"/>
        </w:rPr>
        <w:t>「</w:t>
      </w:r>
      <w:r w:rsidRPr="00212D57">
        <w:rPr>
          <w:rStyle w:val="old"/>
          <w:rFonts w:eastAsia="標楷體"/>
          <w:b/>
          <w:color w:val="auto"/>
          <w:sz w:val="22"/>
          <w:szCs w:val="22"/>
        </w:rPr>
        <w:t>分破空</w:t>
      </w:r>
      <w:r>
        <w:rPr>
          <w:rFonts w:ascii="標楷體" w:eastAsia="標楷體" w:hAnsi="標楷體" w:hint="eastAsia"/>
          <w:bCs/>
          <w:color w:val="FF0000"/>
          <w:kern w:val="0"/>
          <w:sz w:val="22"/>
          <w:highlight w:val="yellow"/>
        </w:rPr>
        <w:t>」</w:t>
      </w:r>
      <w:r w:rsidRPr="00212D57">
        <w:rPr>
          <w:rStyle w:val="old"/>
          <w:rFonts w:eastAsia="標楷體"/>
          <w:color w:val="auto"/>
          <w:sz w:val="22"/>
          <w:szCs w:val="22"/>
        </w:rPr>
        <w:t>。</w:t>
      </w:r>
    </w:p>
  </w:footnote>
  <w:footnote w:id="371">
    <w:p w:rsidR="00224D48" w:rsidRPr="00212D57" w:rsidRDefault="00224D48" w:rsidP="00224D48">
      <w:pPr>
        <w:pStyle w:val="a5"/>
        <w:spacing w:line="300" w:lineRule="exact"/>
        <w:ind w:left="704" w:hangingChars="320" w:hanging="704"/>
        <w:jc w:val="both"/>
        <w:rPr>
          <w:szCs w:val="22"/>
          <w:lang w:eastAsia="zh-HK"/>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）［隋〕智顗說</w:t>
      </w:r>
      <w:bookmarkStart w:id="89" w:name="0001a06"/>
      <w:bookmarkEnd w:id="89"/>
      <w:r w:rsidRPr="00212D57">
        <w:rPr>
          <w:szCs w:val="22"/>
        </w:rPr>
        <w:t>，灌頂記</w:t>
      </w:r>
      <w:r w:rsidRPr="00212D57">
        <w:rPr>
          <w:rFonts w:hint="eastAsia"/>
          <w:szCs w:val="22"/>
        </w:rPr>
        <w:t>，</w:t>
      </w:r>
      <w:r w:rsidRPr="00212D57">
        <w:rPr>
          <w:szCs w:val="22"/>
          <w:lang w:eastAsia="zh-HK"/>
        </w:rPr>
        <w:t>《摩訶止觀》卷</w:t>
      </w:r>
      <w:r w:rsidRPr="00761EF3">
        <w:rPr>
          <w:szCs w:val="22"/>
          <w:lang w:eastAsia="zh-HK"/>
        </w:rPr>
        <w:t>3</w:t>
      </w:r>
      <w:r w:rsidRPr="00212D57">
        <w:rPr>
          <w:szCs w:val="22"/>
        </w:rPr>
        <w:t>（大正</w:t>
      </w:r>
      <w:r w:rsidRPr="00761EF3">
        <w:rPr>
          <w:szCs w:val="22"/>
          <w:lang w:eastAsia="zh-HK"/>
        </w:rPr>
        <w:t>46</w:t>
      </w:r>
      <w:r w:rsidRPr="00212D57">
        <w:rPr>
          <w:szCs w:val="22"/>
        </w:rPr>
        <w:t>，</w:t>
      </w:r>
      <w:r w:rsidRPr="00761EF3">
        <w:rPr>
          <w:szCs w:val="22"/>
          <w:lang w:eastAsia="zh-HK"/>
        </w:rPr>
        <w:t>30c23</w:t>
      </w:r>
      <w:r w:rsidRPr="00212D57">
        <w:rPr>
          <w:szCs w:val="22"/>
          <w:lang w:eastAsia="zh-HK"/>
        </w:rPr>
        <w:t>-</w:t>
      </w:r>
      <w:r w:rsidRPr="00761EF3">
        <w:rPr>
          <w:szCs w:val="22"/>
          <w:lang w:eastAsia="zh-HK"/>
        </w:rPr>
        <w:t>31a2</w:t>
      </w:r>
      <w:r w:rsidRPr="00212D57">
        <w:rPr>
          <w:szCs w:val="22"/>
        </w:rPr>
        <w:t>）</w:t>
      </w:r>
      <w:r w:rsidRPr="00212D57">
        <w:rPr>
          <w:szCs w:val="22"/>
          <w:lang w:eastAsia="zh-HK"/>
        </w:rPr>
        <w:t>：</w:t>
      </w:r>
    </w:p>
    <w:p w:rsidR="00224D48" w:rsidRPr="00212D57" w:rsidRDefault="00224D48" w:rsidP="00224D48">
      <w:pPr>
        <w:pStyle w:val="Web"/>
        <w:widowControl w:val="0"/>
        <w:snapToGrid w:val="0"/>
        <w:spacing w:before="0" w:beforeAutospacing="0" w:after="0" w:afterAutospacing="0" w:line="300" w:lineRule="exact"/>
        <w:ind w:leftChars="300" w:left="720"/>
        <w:contextualSpacing/>
        <w:jc w:val="both"/>
        <w:textAlignment w:val="baseline"/>
        <w:rPr>
          <w:rFonts w:ascii="Times New Roman" w:hAnsi="Times New Roman" w:cs="Times New Roman"/>
          <w:kern w:val="2"/>
          <w:szCs w:val="22"/>
        </w:rPr>
      </w:pPr>
      <w:r w:rsidRPr="00212D57">
        <w:rPr>
          <w:rFonts w:ascii="Times New Roman" w:eastAsia="標楷體" w:hAnsi="Times New Roman" w:cs="Times New Roman"/>
          <w:kern w:val="2"/>
          <w:szCs w:val="22"/>
          <w:lang w:eastAsia="zh-HK"/>
        </w:rPr>
        <w:t>一切位者</w:t>
      </w:r>
      <w:r w:rsidRPr="00212D57">
        <w:rPr>
          <w:rFonts w:ascii="Times New Roman" w:eastAsia="標楷體" w:hAnsi="Times New Roman" w:cs="Times New Roman"/>
          <w:kern w:val="2"/>
          <w:szCs w:val="22"/>
        </w:rPr>
        <w:t>，</w:t>
      </w:r>
      <w:r w:rsidRPr="00212D57">
        <w:rPr>
          <w:rFonts w:ascii="Times New Roman" w:eastAsia="標楷體" w:hAnsi="Times New Roman" w:cs="Times New Roman"/>
          <w:kern w:val="2"/>
          <w:szCs w:val="22"/>
          <w:lang w:eastAsia="zh-HK"/>
        </w:rPr>
        <w:t>若云</w:t>
      </w:r>
      <w:r>
        <w:rPr>
          <w:rFonts w:ascii="標楷體" w:eastAsia="標楷體" w:hAnsi="標楷體" w:hint="eastAsia"/>
          <w:bCs/>
          <w:color w:val="FF0000"/>
          <w:highlight w:val="yellow"/>
        </w:rPr>
        <w:t>「</w:t>
      </w:r>
      <w:r w:rsidRPr="00212D57">
        <w:rPr>
          <w:rFonts w:ascii="Times New Roman" w:eastAsia="標楷體" w:hAnsi="Times New Roman" w:cs="Times New Roman"/>
          <w:kern w:val="2"/>
          <w:szCs w:val="22"/>
          <w:lang w:eastAsia="zh-HK"/>
        </w:rPr>
        <w:t>一地即二地</w:t>
      </w:r>
      <w:r w:rsidRPr="00212D57">
        <w:rPr>
          <w:rFonts w:ascii="Times New Roman" w:eastAsia="標楷體" w:hAnsi="Times New Roman" w:cs="Times New Roman"/>
          <w:kern w:val="2"/>
          <w:szCs w:val="22"/>
        </w:rPr>
        <w:t>，</w:t>
      </w:r>
      <w:r w:rsidRPr="00212D57">
        <w:rPr>
          <w:rFonts w:ascii="Times New Roman" w:eastAsia="標楷體" w:hAnsi="Times New Roman" w:cs="Times New Roman"/>
          <w:kern w:val="2"/>
          <w:szCs w:val="22"/>
          <w:lang w:eastAsia="zh-HK"/>
        </w:rPr>
        <w:t>二地即三地</w:t>
      </w:r>
      <w:r>
        <w:rPr>
          <w:rFonts w:ascii="標楷體" w:eastAsia="標楷體" w:hAnsi="標楷體" w:hint="eastAsia"/>
          <w:bCs/>
          <w:color w:val="FF0000"/>
          <w:highlight w:val="yellow"/>
        </w:rPr>
        <w:t>」</w:t>
      </w:r>
      <w:r w:rsidRPr="00212D57">
        <w:rPr>
          <w:rFonts w:ascii="Times New Roman" w:eastAsia="標楷體" w:hAnsi="Times New Roman" w:cs="Times New Roman"/>
          <w:kern w:val="2"/>
          <w:szCs w:val="22"/>
        </w:rPr>
        <w:t>，</w:t>
      </w:r>
      <w:r w:rsidRPr="00212D57">
        <w:rPr>
          <w:rFonts w:ascii="Times New Roman" w:eastAsia="標楷體" w:hAnsi="Times New Roman" w:cs="Times New Roman"/>
          <w:kern w:val="2"/>
          <w:szCs w:val="22"/>
          <w:lang w:eastAsia="zh-HK"/>
        </w:rPr>
        <w:t>寂滅真如有何次位</w:t>
      </w:r>
      <w:r w:rsidRPr="00212D57">
        <w:rPr>
          <w:rFonts w:ascii="Times New Roman" w:eastAsia="標楷體" w:hAnsi="Times New Roman" w:cs="Times New Roman"/>
          <w:kern w:val="2"/>
          <w:szCs w:val="22"/>
        </w:rPr>
        <w:t>？</w:t>
      </w:r>
      <w:r w:rsidRPr="00212D57">
        <w:rPr>
          <w:rFonts w:ascii="Times New Roman" w:eastAsia="標楷體" w:hAnsi="Times New Roman" w:cs="Times New Roman"/>
          <w:kern w:val="2"/>
          <w:szCs w:val="22"/>
          <w:lang w:eastAsia="zh-HK"/>
        </w:rPr>
        <w:t>此則無有次位</w:t>
      </w:r>
      <w:r w:rsidRPr="00212D57">
        <w:rPr>
          <w:rFonts w:ascii="Times New Roman" w:eastAsia="標楷體" w:hAnsi="Times New Roman" w:cs="Times New Roman"/>
          <w:kern w:val="2"/>
          <w:szCs w:val="22"/>
        </w:rPr>
        <w:t>。</w:t>
      </w:r>
      <w:r w:rsidRPr="00212D57">
        <w:rPr>
          <w:rFonts w:ascii="Times New Roman" w:eastAsia="標楷體" w:hAnsi="Times New Roman" w:cs="Times New Roman"/>
          <w:kern w:val="2"/>
          <w:szCs w:val="22"/>
          <w:lang w:eastAsia="zh-HK"/>
        </w:rPr>
        <w:t>又大乘經中處處皆說一切地位</w:t>
      </w:r>
      <w:r w:rsidRPr="00212D57">
        <w:rPr>
          <w:rFonts w:ascii="Times New Roman" w:eastAsia="標楷體" w:hAnsi="Times New Roman" w:cs="Times New Roman"/>
          <w:kern w:val="2"/>
          <w:szCs w:val="22"/>
        </w:rPr>
        <w:t>，</w:t>
      </w:r>
      <w:r w:rsidRPr="00212D57">
        <w:rPr>
          <w:rFonts w:ascii="Times New Roman" w:eastAsia="標楷體" w:hAnsi="Times New Roman" w:cs="Times New Roman"/>
          <w:kern w:val="2"/>
          <w:szCs w:val="22"/>
          <w:lang w:eastAsia="zh-HK"/>
        </w:rPr>
        <w:t>良以無</w:t>
      </w:r>
      <w:r w:rsidRPr="003D797F">
        <w:rPr>
          <w:rFonts w:ascii="Times New Roman" w:eastAsia="標楷體" w:hAnsi="Times New Roman" w:cs="Times New Roman"/>
          <w:kern w:val="2"/>
          <w:szCs w:val="22"/>
          <w:highlight w:val="yellow"/>
          <w:lang w:eastAsia="zh-HK"/>
        </w:rPr>
        <w:t>生無</w:t>
      </w:r>
      <w:r w:rsidRPr="00212D57">
        <w:rPr>
          <w:rFonts w:ascii="Times New Roman" w:eastAsia="標楷體" w:hAnsi="Times New Roman" w:cs="Times New Roman"/>
          <w:kern w:val="2"/>
          <w:szCs w:val="22"/>
          <w:lang w:eastAsia="zh-HK"/>
        </w:rPr>
        <w:t>滅正慧無所得</w:t>
      </w:r>
      <w:r w:rsidRPr="00212D57">
        <w:rPr>
          <w:rFonts w:ascii="Times New Roman" w:eastAsia="標楷體" w:hAnsi="Times New Roman" w:cs="Times New Roman"/>
          <w:kern w:val="2"/>
          <w:szCs w:val="22"/>
        </w:rPr>
        <w:t>，</w:t>
      </w:r>
      <w:r w:rsidRPr="00212D57">
        <w:rPr>
          <w:rFonts w:ascii="Times New Roman" w:eastAsia="標楷體" w:hAnsi="Times New Roman" w:cs="Times New Roman"/>
          <w:kern w:val="2"/>
          <w:szCs w:val="22"/>
          <w:lang w:eastAsia="zh-HK"/>
        </w:rPr>
        <w:t>能治煩惱</w:t>
      </w:r>
      <w:r w:rsidRPr="00212D57">
        <w:rPr>
          <w:rFonts w:ascii="Times New Roman" w:eastAsia="標楷體" w:hAnsi="Times New Roman" w:cs="Times New Roman"/>
          <w:kern w:val="2"/>
          <w:szCs w:val="22"/>
        </w:rPr>
        <w:t>、</w:t>
      </w:r>
      <w:r w:rsidRPr="00212D57">
        <w:rPr>
          <w:rFonts w:ascii="Times New Roman" w:eastAsia="標楷體" w:hAnsi="Times New Roman" w:cs="Times New Roman"/>
          <w:kern w:val="2"/>
          <w:szCs w:val="22"/>
          <w:lang w:eastAsia="zh-HK"/>
        </w:rPr>
        <w:t>業</w:t>
      </w:r>
      <w:r w:rsidRPr="00212D57">
        <w:rPr>
          <w:rFonts w:ascii="Times New Roman" w:eastAsia="標楷體" w:hAnsi="Times New Roman" w:cs="Times New Roman"/>
          <w:kern w:val="2"/>
          <w:szCs w:val="22"/>
        </w:rPr>
        <w:t>、</w:t>
      </w:r>
      <w:r w:rsidRPr="00212D57">
        <w:rPr>
          <w:rFonts w:ascii="Times New Roman" w:eastAsia="標楷體" w:hAnsi="Times New Roman" w:cs="Times New Roman"/>
          <w:kern w:val="2"/>
          <w:szCs w:val="22"/>
          <w:lang w:eastAsia="zh-HK"/>
        </w:rPr>
        <w:t>苦</w:t>
      </w:r>
      <w:r w:rsidRPr="00212D57">
        <w:rPr>
          <w:rFonts w:ascii="Times New Roman" w:eastAsia="標楷體" w:hAnsi="Times New Roman" w:cs="Times New Roman" w:hint="eastAsia"/>
          <w:kern w:val="2"/>
          <w:szCs w:val="22"/>
        </w:rPr>
        <w:t>；</w:t>
      </w:r>
      <w:r w:rsidRPr="00212D57">
        <w:rPr>
          <w:rFonts w:ascii="Times New Roman" w:eastAsia="標楷體" w:hAnsi="Times New Roman" w:cs="Times New Roman"/>
          <w:kern w:val="2"/>
          <w:szCs w:val="22"/>
          <w:lang w:eastAsia="zh-HK"/>
        </w:rPr>
        <w:t>三道若淨</w:t>
      </w:r>
      <w:r w:rsidRPr="00212D57">
        <w:rPr>
          <w:rFonts w:ascii="Times New Roman" w:eastAsia="標楷體" w:hAnsi="Times New Roman" w:cs="Times New Roman" w:hint="eastAsia"/>
          <w:kern w:val="2"/>
          <w:szCs w:val="22"/>
          <w:lang w:eastAsia="zh-HK"/>
        </w:rPr>
        <w:t>，</w:t>
      </w:r>
      <w:r w:rsidRPr="00212D57">
        <w:rPr>
          <w:rFonts w:ascii="Times New Roman" w:eastAsia="標楷體" w:hAnsi="Times New Roman" w:cs="Times New Roman"/>
          <w:kern w:val="2"/>
          <w:szCs w:val="22"/>
          <w:lang w:eastAsia="zh-HK"/>
        </w:rPr>
        <w:t>於無為法中而有差別</w:t>
      </w:r>
      <w:r w:rsidRPr="00212D57">
        <w:rPr>
          <w:rFonts w:ascii="Times New Roman" w:eastAsia="標楷體" w:hAnsi="Times New Roman" w:cs="Times New Roman"/>
          <w:kern w:val="2"/>
          <w:szCs w:val="22"/>
        </w:rPr>
        <w:t>，</w:t>
      </w:r>
      <w:r w:rsidRPr="00212D57">
        <w:rPr>
          <w:rFonts w:ascii="Times New Roman" w:eastAsia="標楷體" w:hAnsi="Times New Roman" w:cs="Times New Roman"/>
          <w:kern w:val="2"/>
          <w:szCs w:val="22"/>
          <w:lang w:eastAsia="zh-HK"/>
        </w:rPr>
        <w:t>次位何嫌</w:t>
      </w:r>
      <w:r w:rsidRPr="00212D57">
        <w:rPr>
          <w:rFonts w:ascii="Times New Roman" w:eastAsia="標楷體" w:hAnsi="Times New Roman" w:cs="Times New Roman"/>
          <w:kern w:val="2"/>
          <w:szCs w:val="22"/>
        </w:rPr>
        <w:t>？</w:t>
      </w:r>
      <w:r w:rsidRPr="00212D57">
        <w:rPr>
          <w:rFonts w:ascii="Times New Roman" w:eastAsia="標楷體" w:hAnsi="Times New Roman" w:cs="Times New Roman"/>
          <w:kern w:val="2"/>
          <w:szCs w:val="22"/>
          <w:lang w:eastAsia="zh-HK"/>
        </w:rPr>
        <w:t>若析法入空，</w:t>
      </w:r>
      <w:r>
        <w:rPr>
          <w:rFonts w:ascii="標楷體" w:eastAsia="標楷體" w:hAnsi="標楷體" w:hint="eastAsia"/>
          <w:bCs/>
          <w:color w:val="FF0000"/>
          <w:highlight w:val="yellow"/>
        </w:rPr>
        <w:t>「</w:t>
      </w:r>
      <w:r w:rsidRPr="00212D57">
        <w:rPr>
          <w:rFonts w:ascii="Times New Roman" w:eastAsia="標楷體" w:hAnsi="Times New Roman" w:cs="Times New Roman"/>
          <w:kern w:val="2"/>
          <w:szCs w:val="22"/>
          <w:lang w:eastAsia="zh-HK"/>
        </w:rPr>
        <w:t>有</w:t>
      </w:r>
      <w:r w:rsidRPr="00212D57">
        <w:rPr>
          <w:rFonts w:ascii="Times New Roman" w:eastAsia="標楷體" w:hAnsi="Times New Roman" w:cs="Times New Roman" w:hint="eastAsia"/>
          <w:kern w:val="2"/>
          <w:szCs w:val="22"/>
          <w:lang w:eastAsia="zh-HK"/>
        </w:rPr>
        <w:t>、</w:t>
      </w:r>
      <w:r w:rsidRPr="00212D57">
        <w:rPr>
          <w:rFonts w:ascii="Times New Roman" w:eastAsia="標楷體" w:hAnsi="Times New Roman" w:cs="Times New Roman"/>
          <w:kern w:val="2"/>
          <w:szCs w:val="22"/>
          <w:lang w:eastAsia="zh-HK"/>
        </w:rPr>
        <w:t>無</w:t>
      </w:r>
      <w:r>
        <w:rPr>
          <w:rFonts w:ascii="標楷體" w:eastAsia="標楷體" w:hAnsi="標楷體" w:hint="eastAsia"/>
          <w:bCs/>
          <w:color w:val="FF0000"/>
          <w:highlight w:val="yellow"/>
        </w:rPr>
        <w:t>」</w:t>
      </w:r>
      <w:r w:rsidRPr="00212D57">
        <w:rPr>
          <w:rFonts w:ascii="Times New Roman" w:eastAsia="標楷體" w:hAnsi="Times New Roman" w:cs="Times New Roman"/>
          <w:kern w:val="2"/>
          <w:szCs w:val="22"/>
          <w:lang w:eastAsia="zh-HK"/>
        </w:rPr>
        <w:t>二門所斷三道</w:t>
      </w:r>
      <w:r w:rsidRPr="00212D57">
        <w:rPr>
          <w:rFonts w:ascii="Times New Roman" w:eastAsia="標楷體" w:hAnsi="Times New Roman" w:cs="Times New Roman"/>
          <w:kern w:val="2"/>
          <w:szCs w:val="22"/>
        </w:rPr>
        <w:t>，</w:t>
      </w:r>
      <w:r w:rsidRPr="00212D57">
        <w:rPr>
          <w:rFonts w:ascii="Times New Roman" w:eastAsia="標楷體" w:hAnsi="Times New Roman" w:cs="Times New Roman"/>
          <w:kern w:val="2"/>
          <w:szCs w:val="22"/>
          <w:lang w:eastAsia="zh-HK"/>
        </w:rPr>
        <w:t>如</w:t>
      </w:r>
      <w:r w:rsidRPr="00212D57">
        <w:rPr>
          <w:rFonts w:ascii="Times New Roman" w:eastAsia="標楷體" w:hAnsi="Times New Roman" w:cs="Times New Roman"/>
          <w:kern w:val="2"/>
          <w:szCs w:val="22"/>
        </w:rPr>
        <w:t>《</w:t>
      </w:r>
      <w:r w:rsidRPr="00212D57">
        <w:rPr>
          <w:rFonts w:ascii="Times New Roman" w:eastAsia="標楷體" w:hAnsi="Times New Roman" w:cs="Times New Roman"/>
          <w:kern w:val="2"/>
          <w:szCs w:val="22"/>
          <w:lang w:eastAsia="zh-HK"/>
        </w:rPr>
        <w:t>毘曇</w:t>
      </w:r>
      <w:r w:rsidRPr="00212D57">
        <w:rPr>
          <w:rFonts w:ascii="Times New Roman" w:eastAsia="標楷體" w:hAnsi="Times New Roman" w:cs="Times New Roman"/>
          <w:kern w:val="2"/>
          <w:szCs w:val="22"/>
        </w:rPr>
        <w:t>》</w:t>
      </w:r>
      <w:r w:rsidRPr="00212D57">
        <w:rPr>
          <w:rFonts w:ascii="Times New Roman" w:eastAsia="標楷體" w:hAnsi="Times New Roman" w:cs="Times New Roman"/>
          <w:kern w:val="2"/>
          <w:szCs w:val="22"/>
          <w:lang w:eastAsia="zh-HK"/>
        </w:rPr>
        <w:t>所明七賢</w:t>
      </w:r>
      <w:r w:rsidRPr="00212D57">
        <w:rPr>
          <w:rFonts w:ascii="Times New Roman" w:eastAsia="標楷體" w:hAnsi="Times New Roman" w:cs="Times New Roman"/>
          <w:kern w:val="2"/>
          <w:szCs w:val="22"/>
        </w:rPr>
        <w:t>、</w:t>
      </w:r>
      <w:r w:rsidRPr="00212D57">
        <w:rPr>
          <w:rFonts w:ascii="Times New Roman" w:eastAsia="標楷體" w:hAnsi="Times New Roman" w:cs="Times New Roman"/>
          <w:kern w:val="2"/>
          <w:szCs w:val="22"/>
          <w:lang w:eastAsia="zh-HK"/>
        </w:rPr>
        <w:t>七聖</w:t>
      </w:r>
      <w:r w:rsidRPr="00212D57">
        <w:rPr>
          <w:rFonts w:ascii="Times New Roman" w:eastAsia="標楷體" w:hAnsi="Times New Roman" w:cs="Times New Roman"/>
          <w:kern w:val="2"/>
          <w:szCs w:val="22"/>
        </w:rPr>
        <w:t>、</w:t>
      </w:r>
      <w:r w:rsidRPr="00212D57">
        <w:rPr>
          <w:rFonts w:ascii="Times New Roman" w:eastAsia="標楷體" w:hAnsi="Times New Roman" w:cs="Times New Roman"/>
          <w:kern w:val="2"/>
          <w:szCs w:val="22"/>
          <w:lang w:eastAsia="zh-HK"/>
        </w:rPr>
        <w:t>四沙門果</w:t>
      </w:r>
      <w:r w:rsidRPr="00212D57">
        <w:rPr>
          <w:rFonts w:ascii="Times New Roman" w:eastAsia="標楷體" w:hAnsi="Times New Roman" w:cs="Times New Roman" w:hint="eastAsia"/>
          <w:kern w:val="2"/>
          <w:szCs w:val="22"/>
        </w:rPr>
        <w:t>，</w:t>
      </w:r>
      <w:r w:rsidRPr="00212D57">
        <w:rPr>
          <w:rFonts w:ascii="Times New Roman" w:eastAsia="標楷體" w:hAnsi="Times New Roman" w:cs="Times New Roman"/>
          <w:kern w:val="2"/>
          <w:szCs w:val="22"/>
        </w:rPr>
        <w:t>《</w:t>
      </w:r>
      <w:r w:rsidRPr="00212D57">
        <w:rPr>
          <w:rFonts w:ascii="Times New Roman" w:eastAsia="標楷體" w:hAnsi="Times New Roman" w:cs="Times New Roman"/>
          <w:kern w:val="2"/>
          <w:szCs w:val="22"/>
          <w:lang w:eastAsia="zh-HK"/>
        </w:rPr>
        <w:t>成論</w:t>
      </w:r>
      <w:r w:rsidRPr="00212D57">
        <w:rPr>
          <w:rFonts w:ascii="Times New Roman" w:eastAsia="標楷體" w:hAnsi="Times New Roman" w:cs="Times New Roman"/>
          <w:kern w:val="2"/>
          <w:szCs w:val="22"/>
        </w:rPr>
        <w:t>》</w:t>
      </w:r>
      <w:r w:rsidRPr="00212D57">
        <w:rPr>
          <w:rFonts w:ascii="Times New Roman" w:eastAsia="標楷體" w:hAnsi="Times New Roman" w:cs="Times New Roman"/>
          <w:kern w:val="2"/>
          <w:szCs w:val="22"/>
          <w:lang w:eastAsia="zh-HK"/>
        </w:rPr>
        <w:t>所明二十七賢聖等差別位相</w:t>
      </w:r>
      <w:r w:rsidRPr="00212D57">
        <w:rPr>
          <w:rFonts w:ascii="Times New Roman" w:eastAsia="標楷體" w:hAnsi="Times New Roman" w:cs="Times New Roman" w:hint="eastAsia"/>
          <w:kern w:val="2"/>
          <w:szCs w:val="22"/>
        </w:rPr>
        <w:t>；</w:t>
      </w:r>
      <w:r w:rsidRPr="00212D57">
        <w:rPr>
          <w:rFonts w:ascii="Times New Roman" w:eastAsia="標楷體" w:hAnsi="Times New Roman" w:cs="Times New Roman"/>
          <w:kern w:val="2"/>
          <w:szCs w:val="22"/>
          <w:lang w:eastAsia="zh-HK"/>
        </w:rPr>
        <w:t>乃至非有非無門位</w:t>
      </w:r>
      <w:r w:rsidRPr="00212D57">
        <w:rPr>
          <w:rFonts w:ascii="Times New Roman" w:eastAsia="標楷體" w:hAnsi="Times New Roman" w:cs="Times New Roman"/>
          <w:kern w:val="2"/>
          <w:szCs w:val="22"/>
        </w:rPr>
        <w:t>，</w:t>
      </w:r>
      <w:r w:rsidRPr="00212D57">
        <w:rPr>
          <w:rFonts w:ascii="Times New Roman" w:eastAsia="標楷體" w:hAnsi="Times New Roman" w:cs="Times New Roman"/>
          <w:kern w:val="2"/>
          <w:szCs w:val="22"/>
          <w:lang w:eastAsia="zh-HK"/>
        </w:rPr>
        <w:t>皆為</w:t>
      </w:r>
      <w:r>
        <w:rPr>
          <w:rFonts w:ascii="標楷體" w:eastAsia="標楷體" w:hAnsi="標楷體" w:hint="eastAsia"/>
          <w:bCs/>
          <w:color w:val="FF0000"/>
          <w:highlight w:val="yellow"/>
        </w:rPr>
        <w:t>「</w:t>
      </w:r>
      <w:r w:rsidRPr="00212D57">
        <w:rPr>
          <w:rFonts w:ascii="Times New Roman" w:eastAsia="標楷體" w:hAnsi="Times New Roman" w:cs="Times New Roman"/>
          <w:b/>
          <w:kern w:val="2"/>
          <w:szCs w:val="22"/>
          <w:lang w:eastAsia="zh-HK"/>
        </w:rPr>
        <w:t>析空觀</w:t>
      </w:r>
      <w:r>
        <w:rPr>
          <w:rFonts w:ascii="標楷體" w:eastAsia="標楷體" w:hAnsi="標楷體" w:hint="eastAsia"/>
          <w:bCs/>
          <w:color w:val="FF0000"/>
          <w:highlight w:val="yellow"/>
        </w:rPr>
        <w:t>」</w:t>
      </w:r>
      <w:r w:rsidRPr="00212D57">
        <w:rPr>
          <w:rFonts w:ascii="Times New Roman" w:eastAsia="標楷體" w:hAnsi="Times New Roman" w:cs="Times New Roman"/>
          <w:kern w:val="2"/>
          <w:szCs w:val="22"/>
          <w:lang w:eastAsia="zh-HK"/>
        </w:rPr>
        <w:t>攝。</w:t>
      </w:r>
    </w:p>
    <w:p w:rsidR="00224D48" w:rsidRPr="00212D57" w:rsidRDefault="00224D48" w:rsidP="00224D48">
      <w:pPr>
        <w:pStyle w:val="a5"/>
        <w:spacing w:line="300" w:lineRule="exact"/>
        <w:ind w:leftChars="80" w:left="742" w:hangingChars="250" w:hanging="550"/>
        <w:jc w:val="both"/>
        <w:rPr>
          <w:szCs w:val="22"/>
        </w:rPr>
      </w:pPr>
      <w:r w:rsidRPr="00212D57">
        <w:rPr>
          <w:szCs w:val="22"/>
        </w:rPr>
        <w:t>（</w:t>
      </w:r>
      <w:r w:rsidRPr="00761EF3">
        <w:rPr>
          <w:szCs w:val="22"/>
        </w:rPr>
        <w:t>2</w:t>
      </w:r>
      <w:r w:rsidRPr="00212D57">
        <w:rPr>
          <w:szCs w:val="22"/>
        </w:rPr>
        <w:t>）印順法師，《</w:t>
      </w:r>
      <w:r w:rsidRPr="00212D57">
        <w:rPr>
          <w:szCs w:val="22"/>
          <w:lang w:eastAsia="zh-HK"/>
        </w:rPr>
        <w:t>性空學探源</w:t>
      </w:r>
      <w:r w:rsidRPr="00212D57">
        <w:rPr>
          <w:szCs w:val="22"/>
        </w:rPr>
        <w:t>》</w:t>
      </w:r>
      <w:r w:rsidRPr="00212D57">
        <w:rPr>
          <w:rFonts w:hint="eastAsia"/>
          <w:szCs w:val="22"/>
        </w:rPr>
        <w:t>，</w:t>
      </w:r>
      <w:r w:rsidRPr="00761EF3">
        <w:rPr>
          <w:szCs w:val="22"/>
          <w:lang w:eastAsia="zh-HK"/>
        </w:rPr>
        <w:t>p</w:t>
      </w:r>
      <w:r w:rsidRPr="00212D57">
        <w:rPr>
          <w:szCs w:val="22"/>
          <w:lang w:eastAsia="zh-HK"/>
        </w:rPr>
        <w:t>.</w:t>
      </w:r>
      <w:r w:rsidRPr="00761EF3">
        <w:rPr>
          <w:szCs w:val="22"/>
          <w:lang w:eastAsia="zh-HK"/>
        </w:rPr>
        <w:t>109</w:t>
      </w:r>
      <w:r w:rsidRPr="00212D57">
        <w:rPr>
          <w:szCs w:val="22"/>
        </w:rPr>
        <w:t>：「</w:t>
      </w:r>
      <w:r w:rsidRPr="00212D57">
        <w:rPr>
          <w:rFonts w:eastAsia="標楷體"/>
          <w:szCs w:val="22"/>
          <w:lang w:eastAsia="zh-HK"/>
        </w:rPr>
        <w:t>散壞空，是釋尊對羅陀的開示，謂散壞五蘊聚相，可破我我所見（見</w:t>
      </w:r>
      <w:r w:rsidRPr="00212D57">
        <w:rPr>
          <w:rFonts w:eastAsia="標楷體"/>
          <w:szCs w:val="22"/>
        </w:rPr>
        <w:t>《</w:t>
      </w:r>
      <w:r w:rsidRPr="00212D57">
        <w:rPr>
          <w:rFonts w:eastAsia="標楷體"/>
          <w:szCs w:val="22"/>
          <w:lang w:eastAsia="zh-HK"/>
        </w:rPr>
        <w:t>雜阿含</w:t>
      </w:r>
      <w:r w:rsidRPr="00212D57">
        <w:rPr>
          <w:rFonts w:eastAsia="標楷體"/>
          <w:szCs w:val="22"/>
        </w:rPr>
        <w:t>》</w:t>
      </w:r>
      <w:r w:rsidRPr="00212D57">
        <w:rPr>
          <w:rFonts w:eastAsia="標楷體"/>
          <w:szCs w:val="22"/>
          <w:lang w:eastAsia="zh-HK"/>
        </w:rPr>
        <w:t>）。這是聲聞法的要義，即所謂析法空。</w:t>
      </w:r>
      <w:r w:rsidRPr="00212D57">
        <w:rPr>
          <w:szCs w:val="22"/>
        </w:rPr>
        <w:t>」</w:t>
      </w:r>
    </w:p>
  </w:footnote>
  <w:footnote w:id="372">
    <w:p w:rsidR="00157EF6" w:rsidRPr="00212D57" w:rsidRDefault="00157EF6" w:rsidP="00887DA1">
      <w:pPr>
        <w:pStyle w:val="a5"/>
        <w:spacing w:line="300" w:lineRule="exact"/>
        <w:ind w:left="187" w:hangingChars="85" w:hanging="187"/>
        <w:jc w:val="both"/>
        <w:rPr>
          <w:szCs w:val="22"/>
        </w:rPr>
      </w:pPr>
      <w:r w:rsidRPr="00212D57">
        <w:rPr>
          <w:rStyle w:val="a6"/>
          <w:szCs w:val="22"/>
        </w:rPr>
        <w:footnoteRef/>
      </w:r>
      <w:r w:rsidRPr="00212D57">
        <w:rPr>
          <w:szCs w:val="22"/>
        </w:rPr>
        <w:t xml:space="preserve"> </w:t>
      </w:r>
      <w:r w:rsidRPr="00212D57">
        <w:rPr>
          <w:szCs w:val="22"/>
        </w:rPr>
        <w:t>疊：</w:t>
      </w:r>
      <w:r w:rsidRPr="00761EF3">
        <w:rPr>
          <w:szCs w:val="22"/>
        </w:rPr>
        <w:t>7</w:t>
      </w:r>
      <w:r w:rsidRPr="00212D57">
        <w:rPr>
          <w:szCs w:val="22"/>
        </w:rPr>
        <w:t>.</w:t>
      </w:r>
      <w:r w:rsidRPr="00212D57">
        <w:rPr>
          <w:szCs w:val="22"/>
        </w:rPr>
        <w:t>指帛疊。用棉紗織成的布。（《漢語大詞典》</w:t>
      </w:r>
      <w:r w:rsidRPr="00212D57">
        <w:rPr>
          <w:rFonts w:hint="eastAsia"/>
          <w:szCs w:val="22"/>
        </w:rPr>
        <w:t>（七）</w:t>
      </w:r>
      <w:r w:rsidRPr="00212D57">
        <w:rPr>
          <w:szCs w:val="22"/>
        </w:rPr>
        <w:t>，</w:t>
      </w:r>
      <w:r w:rsidRPr="00761EF3">
        <w:rPr>
          <w:szCs w:val="22"/>
        </w:rPr>
        <w:t>p</w:t>
      </w:r>
      <w:r w:rsidRPr="00212D57">
        <w:rPr>
          <w:szCs w:val="22"/>
        </w:rPr>
        <w:t>.</w:t>
      </w:r>
      <w:r w:rsidRPr="00761EF3">
        <w:rPr>
          <w:szCs w:val="22"/>
        </w:rPr>
        <w:t>1411</w:t>
      </w:r>
      <w:r w:rsidRPr="00212D57">
        <w:rPr>
          <w:szCs w:val="22"/>
        </w:rPr>
        <w:t>）</w:t>
      </w:r>
    </w:p>
  </w:footnote>
  <w:footnote w:id="373">
    <w:p w:rsidR="00157EF6" w:rsidRPr="00212D57" w:rsidRDefault="00157EF6" w:rsidP="002B682F">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rFonts w:hint="eastAsia"/>
          <w:szCs w:val="22"/>
        </w:rPr>
        <w:t>方分：主張極微有上、下、左、右之方位，在空間佔有體積，稱為方分。一說極微為圓形，而無方分。（《佛光大辭典》（二），</w:t>
      </w:r>
      <w:r w:rsidRPr="00761EF3">
        <w:rPr>
          <w:rFonts w:hint="eastAsia"/>
          <w:szCs w:val="22"/>
        </w:rPr>
        <w:t>p</w:t>
      </w:r>
      <w:r w:rsidRPr="00212D57">
        <w:rPr>
          <w:rFonts w:hint="eastAsia"/>
          <w:szCs w:val="22"/>
        </w:rPr>
        <w:t>.</w:t>
      </w:r>
      <w:r w:rsidRPr="00761EF3">
        <w:rPr>
          <w:rFonts w:hint="eastAsia"/>
          <w:szCs w:val="22"/>
        </w:rPr>
        <w:t>1433</w:t>
      </w:r>
      <w:r w:rsidRPr="00212D57">
        <w:rPr>
          <w:rFonts w:hint="eastAsia"/>
          <w:szCs w:val="22"/>
        </w:rPr>
        <w:t>.</w:t>
      </w:r>
      <w:r w:rsidRPr="00761EF3">
        <w:rPr>
          <w:rFonts w:hint="eastAsia"/>
          <w:szCs w:val="22"/>
        </w:rPr>
        <w:t>2</w:t>
      </w:r>
      <w:r w:rsidRPr="00212D57">
        <w:rPr>
          <w:rFonts w:hint="eastAsia"/>
          <w:szCs w:val="22"/>
        </w:rPr>
        <w:t>）</w:t>
      </w:r>
    </w:p>
  </w:footnote>
  <w:footnote w:id="374">
    <w:p w:rsidR="00157EF6" w:rsidRPr="00212D57" w:rsidRDefault="00157EF6" w:rsidP="002B682F">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w:t>
      </w:r>
      <w:r w:rsidRPr="00212D57">
        <w:rPr>
          <w:rFonts w:hint="eastAsia"/>
          <w:szCs w:val="22"/>
        </w:rPr>
        <w:t>〔隋〕</w:t>
      </w:r>
      <w:r w:rsidRPr="00212D57">
        <w:rPr>
          <w:rStyle w:val="byline1"/>
          <w:color w:val="auto"/>
          <w:sz w:val="22"/>
          <w:szCs w:val="22"/>
        </w:rPr>
        <w:t>吉藏</w:t>
      </w:r>
      <w:r>
        <w:rPr>
          <w:rStyle w:val="byline1"/>
          <w:color w:val="auto"/>
          <w:sz w:val="22"/>
          <w:szCs w:val="22"/>
        </w:rPr>
        <w:t>撰</w:t>
      </w:r>
      <w:r w:rsidRPr="00212D57">
        <w:rPr>
          <w:rStyle w:val="byline1"/>
          <w:rFonts w:ascii="新細明體" w:hAnsi="新細明體" w:cs="新細明體" w:hint="eastAsia"/>
          <w:color w:val="auto"/>
          <w:sz w:val="22"/>
          <w:szCs w:val="22"/>
        </w:rPr>
        <w:t>，</w:t>
      </w:r>
      <w:r w:rsidRPr="00212D57">
        <w:rPr>
          <w:szCs w:val="22"/>
        </w:rPr>
        <w:t>《中觀論疏》卷</w:t>
      </w:r>
      <w:r w:rsidRPr="00761EF3">
        <w:rPr>
          <w:szCs w:val="22"/>
        </w:rPr>
        <w:t>4</w:t>
      </w:r>
      <w:r w:rsidRPr="00212D57">
        <w:rPr>
          <w:szCs w:val="22"/>
        </w:rPr>
        <w:t>〈</w:t>
      </w:r>
      <w:r w:rsidRPr="00761EF3">
        <w:rPr>
          <w:szCs w:val="22"/>
        </w:rPr>
        <w:t>4</w:t>
      </w:r>
      <w:r w:rsidRPr="00212D57">
        <w:rPr>
          <w:szCs w:val="22"/>
        </w:rPr>
        <w:t xml:space="preserve"> </w:t>
      </w:r>
      <w:r w:rsidRPr="00212D57">
        <w:rPr>
          <w:szCs w:val="22"/>
        </w:rPr>
        <w:t>五陰品〉</w:t>
      </w:r>
      <w:r w:rsidRPr="00212D57">
        <w:rPr>
          <w:rStyle w:val="old"/>
          <w:rFonts w:eastAsia="標楷體"/>
          <w:color w:val="auto"/>
          <w:szCs w:val="22"/>
        </w:rPr>
        <w:t>（</w:t>
      </w:r>
      <w:r w:rsidRPr="00212D57">
        <w:rPr>
          <w:szCs w:val="22"/>
        </w:rPr>
        <w:t>大正</w:t>
      </w:r>
      <w:r w:rsidRPr="00761EF3">
        <w:rPr>
          <w:szCs w:val="22"/>
          <w:lang w:eastAsia="zh-HK"/>
        </w:rPr>
        <w:t>42</w:t>
      </w:r>
      <w:r w:rsidRPr="00212D57">
        <w:rPr>
          <w:szCs w:val="22"/>
        </w:rPr>
        <w:t>，</w:t>
      </w:r>
      <w:r w:rsidRPr="00761EF3">
        <w:rPr>
          <w:szCs w:val="22"/>
        </w:rPr>
        <w:t>68a2</w:t>
      </w:r>
      <w:r w:rsidRPr="00212D57">
        <w:rPr>
          <w:szCs w:val="22"/>
        </w:rPr>
        <w:t>-</w:t>
      </w:r>
      <w:r w:rsidRPr="00761EF3">
        <w:rPr>
          <w:szCs w:val="22"/>
        </w:rPr>
        <w:t>5</w:t>
      </w:r>
      <w:r w:rsidRPr="00212D57">
        <w:rPr>
          <w:szCs w:val="22"/>
        </w:rPr>
        <w:t>）：</w:t>
      </w:r>
    </w:p>
    <w:p w:rsidR="00157EF6" w:rsidRPr="00212D57" w:rsidRDefault="00157EF6" w:rsidP="002B682F">
      <w:pPr>
        <w:pStyle w:val="a5"/>
        <w:ind w:leftChars="300" w:left="720"/>
        <w:jc w:val="both"/>
        <w:rPr>
          <w:rFonts w:eastAsia="標楷體"/>
          <w:szCs w:val="22"/>
        </w:rPr>
      </w:pPr>
      <w:r w:rsidRPr="00212D57">
        <w:rPr>
          <w:rFonts w:eastAsia="標楷體"/>
          <w:szCs w:val="22"/>
        </w:rPr>
        <w:t>成論師二解</w:t>
      </w:r>
      <w:r w:rsidRPr="00212D57">
        <w:rPr>
          <w:rFonts w:eastAsia="標楷體" w:hint="eastAsia"/>
          <w:szCs w:val="22"/>
        </w:rPr>
        <w:t>：</w:t>
      </w:r>
    </w:p>
    <w:p w:rsidR="00157EF6" w:rsidRPr="00212D57" w:rsidRDefault="00157EF6" w:rsidP="002B682F">
      <w:pPr>
        <w:pStyle w:val="a5"/>
        <w:ind w:leftChars="300" w:left="720"/>
        <w:jc w:val="both"/>
        <w:rPr>
          <w:rFonts w:eastAsia="標楷體"/>
          <w:szCs w:val="22"/>
        </w:rPr>
      </w:pPr>
      <w:r w:rsidRPr="00212D57">
        <w:rPr>
          <w:rFonts w:eastAsia="標楷體"/>
          <w:szCs w:val="22"/>
        </w:rPr>
        <w:t>一</w:t>
      </w:r>
      <w:r w:rsidRPr="00212D57">
        <w:rPr>
          <w:rFonts w:eastAsia="標楷體" w:hint="eastAsia"/>
          <w:szCs w:val="22"/>
        </w:rPr>
        <w:t>、</w:t>
      </w:r>
      <w:r w:rsidRPr="00212D57">
        <w:rPr>
          <w:rFonts w:eastAsia="標楷體"/>
          <w:szCs w:val="22"/>
        </w:rPr>
        <w:t>釋云</w:t>
      </w:r>
      <w:r w:rsidRPr="00212D57">
        <w:rPr>
          <w:rFonts w:eastAsia="標楷體" w:hint="eastAsia"/>
          <w:szCs w:val="22"/>
        </w:rPr>
        <w:t>：「</w:t>
      </w:r>
      <w:r w:rsidRPr="00212D57">
        <w:rPr>
          <w:rFonts w:eastAsia="標楷體"/>
          <w:szCs w:val="22"/>
        </w:rPr>
        <w:t>有中折之不盡</w:t>
      </w:r>
      <w:r w:rsidRPr="00212D57">
        <w:rPr>
          <w:rFonts w:eastAsia="標楷體" w:hint="eastAsia"/>
          <w:szCs w:val="22"/>
        </w:rPr>
        <w:t>，</w:t>
      </w:r>
      <w:r w:rsidRPr="00212D57">
        <w:rPr>
          <w:rFonts w:eastAsia="標楷體"/>
          <w:szCs w:val="22"/>
        </w:rPr>
        <w:t>則細更復有細</w:t>
      </w:r>
      <w:r w:rsidRPr="00212D57">
        <w:rPr>
          <w:rFonts w:eastAsia="標楷體" w:hint="eastAsia"/>
          <w:szCs w:val="22"/>
        </w:rPr>
        <w:t>，</w:t>
      </w:r>
      <w:r w:rsidRPr="00212D57">
        <w:rPr>
          <w:rFonts w:eastAsia="標楷體"/>
          <w:szCs w:val="22"/>
        </w:rPr>
        <w:t>因更從因</w:t>
      </w:r>
      <w:r w:rsidR="003D797F">
        <w:rPr>
          <w:rFonts w:eastAsia="標楷體" w:hint="eastAsia"/>
          <w:color w:val="FF0000"/>
          <w:szCs w:val="22"/>
          <w:highlight w:val="yellow"/>
        </w:rPr>
        <w:t>。</w:t>
      </w:r>
      <w:r w:rsidRPr="00212D57">
        <w:rPr>
          <w:rFonts w:eastAsia="標楷體"/>
          <w:szCs w:val="22"/>
        </w:rPr>
        <w:t>此同上</w:t>
      </w:r>
      <w:r w:rsidR="003D797F">
        <w:rPr>
          <w:rFonts w:ascii="標楷體" w:eastAsia="標楷體" w:hAnsi="標楷體" w:hint="eastAsia"/>
          <w:color w:val="FF0000"/>
          <w:kern w:val="0"/>
          <w:highlight w:val="yellow"/>
        </w:rPr>
        <w:t>『</w:t>
      </w:r>
      <w:r w:rsidRPr="00212D57">
        <w:rPr>
          <w:rFonts w:eastAsia="標楷體"/>
          <w:szCs w:val="22"/>
        </w:rPr>
        <w:t>有</w:t>
      </w:r>
      <w:r w:rsidR="003D797F">
        <w:rPr>
          <w:rFonts w:ascii="標楷體" w:eastAsia="標楷體" w:hAnsi="標楷體" w:hint="eastAsia"/>
          <w:color w:val="FF0000"/>
          <w:spacing w:val="-4"/>
          <w:kern w:val="0"/>
          <w:highlight w:val="yellow"/>
        </w:rPr>
        <w:t>、</w:t>
      </w:r>
      <w:r w:rsidRPr="00212D57">
        <w:rPr>
          <w:rFonts w:eastAsia="標楷體"/>
          <w:szCs w:val="22"/>
        </w:rPr>
        <w:t>無</w:t>
      </w:r>
      <w:r w:rsidR="003D797F">
        <w:rPr>
          <w:rFonts w:ascii="標楷體" w:eastAsia="標楷體" w:hAnsi="標楷體" w:hint="eastAsia"/>
          <w:color w:val="FF0000"/>
          <w:kern w:val="0"/>
          <w:highlight w:val="yellow"/>
        </w:rPr>
        <w:t>』</w:t>
      </w:r>
      <w:r w:rsidRPr="00212D57">
        <w:rPr>
          <w:rFonts w:eastAsia="標楷體"/>
          <w:szCs w:val="22"/>
        </w:rPr>
        <w:t>二門破之</w:t>
      </w:r>
      <w:r w:rsidRPr="00212D57">
        <w:rPr>
          <w:rFonts w:eastAsia="標楷體" w:hint="eastAsia"/>
          <w:szCs w:val="22"/>
        </w:rPr>
        <w:t>。」</w:t>
      </w:r>
    </w:p>
    <w:p w:rsidR="00157EF6" w:rsidRPr="00212D57" w:rsidRDefault="00157EF6" w:rsidP="002B682F">
      <w:pPr>
        <w:pStyle w:val="a5"/>
        <w:ind w:leftChars="300" w:left="720"/>
        <w:jc w:val="both"/>
        <w:rPr>
          <w:szCs w:val="22"/>
        </w:rPr>
      </w:pPr>
      <w:r w:rsidRPr="00212D57">
        <w:rPr>
          <w:rFonts w:eastAsia="標楷體"/>
          <w:szCs w:val="22"/>
        </w:rPr>
        <w:t>次釋云</w:t>
      </w:r>
      <w:r w:rsidRPr="00212D57">
        <w:rPr>
          <w:rFonts w:eastAsia="標楷體" w:hint="eastAsia"/>
          <w:szCs w:val="22"/>
        </w:rPr>
        <w:t>：「</w:t>
      </w:r>
      <w:r w:rsidRPr="00212D57">
        <w:rPr>
          <w:rFonts w:eastAsia="標楷體"/>
          <w:szCs w:val="22"/>
        </w:rPr>
        <w:t>拆之即盡</w:t>
      </w:r>
      <w:r w:rsidRPr="00212D57">
        <w:rPr>
          <w:rFonts w:eastAsia="標楷體" w:hint="eastAsia"/>
          <w:szCs w:val="22"/>
        </w:rPr>
        <w:t>，</w:t>
      </w:r>
      <w:r w:rsidRPr="00212D57">
        <w:rPr>
          <w:rFonts w:eastAsia="標楷體"/>
          <w:szCs w:val="22"/>
        </w:rPr>
        <w:t>無復更細</w:t>
      </w:r>
      <w:r w:rsidRPr="00212D57">
        <w:rPr>
          <w:rFonts w:eastAsia="標楷體" w:hint="eastAsia"/>
          <w:szCs w:val="22"/>
        </w:rPr>
        <w:t>，</w:t>
      </w:r>
      <w:r w:rsidRPr="00212D57">
        <w:rPr>
          <w:rFonts w:eastAsia="標楷體"/>
          <w:szCs w:val="22"/>
        </w:rPr>
        <w:t>故名</w:t>
      </w:r>
      <w:r w:rsidR="003D797F">
        <w:rPr>
          <w:rFonts w:ascii="標楷體" w:eastAsia="標楷體" w:hAnsi="標楷體" w:hint="eastAsia"/>
          <w:color w:val="FF0000"/>
          <w:kern w:val="0"/>
          <w:highlight w:val="yellow"/>
        </w:rPr>
        <w:t>『</w:t>
      </w:r>
      <w:r w:rsidRPr="00212D57">
        <w:rPr>
          <w:rFonts w:eastAsia="標楷體"/>
          <w:b/>
          <w:szCs w:val="22"/>
        </w:rPr>
        <w:t>隣虛</w:t>
      </w:r>
      <w:r w:rsidR="003D797F">
        <w:rPr>
          <w:rFonts w:ascii="標楷體" w:eastAsia="標楷體" w:hAnsi="標楷體" w:hint="eastAsia"/>
          <w:color w:val="FF0000"/>
          <w:kern w:val="0"/>
          <w:highlight w:val="yellow"/>
        </w:rPr>
        <w:t>』</w:t>
      </w:r>
      <w:r w:rsidRPr="00212D57">
        <w:rPr>
          <w:rFonts w:eastAsia="標楷體"/>
          <w:szCs w:val="22"/>
        </w:rPr>
        <w:t>。</w:t>
      </w:r>
      <w:r w:rsidRPr="00212D57">
        <w:rPr>
          <w:szCs w:val="22"/>
        </w:rPr>
        <w:t>」</w:t>
      </w:r>
    </w:p>
    <w:p w:rsidR="00157EF6" w:rsidRPr="00212D57" w:rsidRDefault="00157EF6" w:rsidP="002B682F">
      <w:pPr>
        <w:pStyle w:val="a5"/>
        <w:ind w:leftChars="80" w:left="731" w:hangingChars="245" w:hanging="539"/>
        <w:jc w:val="both"/>
        <w:rPr>
          <w:szCs w:val="22"/>
          <w:lang w:eastAsia="zh-HK"/>
        </w:rPr>
      </w:pPr>
      <w:r w:rsidRPr="00212D57">
        <w:rPr>
          <w:szCs w:val="22"/>
        </w:rPr>
        <w:t>（</w:t>
      </w:r>
      <w:r w:rsidRPr="00761EF3">
        <w:rPr>
          <w:szCs w:val="22"/>
        </w:rPr>
        <w:t>2</w:t>
      </w:r>
      <w:r w:rsidRPr="00212D57">
        <w:rPr>
          <w:szCs w:val="22"/>
        </w:rPr>
        <w:t>）</w:t>
      </w:r>
      <w:r w:rsidRPr="00212D57">
        <w:rPr>
          <w:szCs w:val="22"/>
          <w:lang w:eastAsia="zh-HK"/>
        </w:rPr>
        <w:t>鄰虛</w:t>
      </w:r>
      <w:r w:rsidRPr="00212D57">
        <w:rPr>
          <w:rFonts w:hint="eastAsia"/>
          <w:szCs w:val="22"/>
        </w:rPr>
        <w:t>：</w:t>
      </w:r>
      <w:r w:rsidRPr="00212D57">
        <w:rPr>
          <w:szCs w:val="22"/>
          <w:lang w:eastAsia="zh-HK"/>
        </w:rPr>
        <w:t>佛教語。極細微的物質，近於虛無。</w:t>
      </w:r>
      <w:r w:rsidRPr="00212D57">
        <w:rPr>
          <w:szCs w:val="22"/>
        </w:rPr>
        <w:t>（《漢語大詞典》</w:t>
      </w:r>
      <w:r w:rsidRPr="00212D57">
        <w:rPr>
          <w:rFonts w:hint="eastAsia"/>
          <w:szCs w:val="22"/>
        </w:rPr>
        <w:t>（十）</w:t>
      </w:r>
      <w:r w:rsidRPr="00212D57">
        <w:rPr>
          <w:szCs w:val="22"/>
        </w:rPr>
        <w:t>，</w:t>
      </w:r>
      <w:r w:rsidRPr="00761EF3">
        <w:rPr>
          <w:szCs w:val="22"/>
        </w:rPr>
        <w:t>p</w:t>
      </w:r>
      <w:r w:rsidRPr="00212D57">
        <w:rPr>
          <w:szCs w:val="22"/>
        </w:rPr>
        <w:t>.</w:t>
      </w:r>
      <w:r w:rsidRPr="00761EF3">
        <w:rPr>
          <w:szCs w:val="22"/>
        </w:rPr>
        <w:t>685</w:t>
      </w:r>
      <w:r w:rsidRPr="00212D57">
        <w:rPr>
          <w:szCs w:val="22"/>
        </w:rPr>
        <w:t>）</w:t>
      </w:r>
    </w:p>
  </w:footnote>
  <w:footnote w:id="375">
    <w:p w:rsidR="00224D48" w:rsidRPr="00212D57" w:rsidRDefault="00224D48" w:rsidP="00224D48">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）《大智度論》卷</w:t>
      </w:r>
      <w:r w:rsidRPr="00761EF3">
        <w:rPr>
          <w:szCs w:val="22"/>
        </w:rPr>
        <w:t>12</w:t>
      </w:r>
      <w:r w:rsidR="00537BAB">
        <w:rPr>
          <w:rFonts w:hint="eastAsia"/>
          <w:color w:val="FF0000"/>
          <w:szCs w:val="22"/>
          <w:highlight w:val="yellow"/>
        </w:rPr>
        <w:t>釋〈</w:t>
      </w:r>
      <w:r w:rsidR="00537BAB">
        <w:rPr>
          <w:color w:val="FF0000"/>
          <w:szCs w:val="22"/>
          <w:highlight w:val="yellow"/>
        </w:rPr>
        <w:t xml:space="preserve">1 </w:t>
      </w:r>
      <w:r w:rsidR="00537BAB">
        <w:rPr>
          <w:rFonts w:hint="eastAsia"/>
          <w:color w:val="FF0000"/>
          <w:szCs w:val="22"/>
          <w:highlight w:val="yellow"/>
        </w:rPr>
        <w:t>序品〉</w:t>
      </w:r>
      <w:r w:rsidRPr="00212D57">
        <w:rPr>
          <w:rStyle w:val="old"/>
          <w:rFonts w:eastAsia="標楷體"/>
          <w:color w:val="auto"/>
          <w:szCs w:val="22"/>
        </w:rPr>
        <w:t>（</w:t>
      </w:r>
      <w:r w:rsidRPr="00212D57">
        <w:rPr>
          <w:szCs w:val="22"/>
        </w:rPr>
        <w:t>大正</w:t>
      </w:r>
      <w:r w:rsidRPr="00761EF3">
        <w:rPr>
          <w:szCs w:val="22"/>
        </w:rPr>
        <w:t>25</w:t>
      </w:r>
      <w:r w:rsidRPr="00212D57">
        <w:rPr>
          <w:szCs w:val="22"/>
        </w:rPr>
        <w:t>，</w:t>
      </w:r>
      <w:r w:rsidRPr="00761EF3">
        <w:rPr>
          <w:szCs w:val="22"/>
        </w:rPr>
        <w:t>148a4</w:t>
      </w:r>
      <w:r w:rsidRPr="00212D57">
        <w:rPr>
          <w:szCs w:val="22"/>
        </w:rPr>
        <w:t>-</w:t>
      </w:r>
      <w:r w:rsidRPr="00761EF3">
        <w:rPr>
          <w:szCs w:val="22"/>
        </w:rPr>
        <w:t>20</w:t>
      </w:r>
      <w:r w:rsidRPr="00212D57">
        <w:rPr>
          <w:szCs w:val="22"/>
        </w:rPr>
        <w:t>）：</w:t>
      </w:r>
    </w:p>
    <w:p w:rsidR="00224D48" w:rsidRPr="00212D57" w:rsidRDefault="00224D48" w:rsidP="00224D48">
      <w:pPr>
        <w:pStyle w:val="a5"/>
        <w:ind w:leftChars="305" w:left="732"/>
        <w:jc w:val="both"/>
        <w:rPr>
          <w:rFonts w:eastAsia="標楷體"/>
          <w:szCs w:val="22"/>
        </w:rPr>
      </w:pPr>
      <w:r w:rsidRPr="00212D57">
        <w:rPr>
          <w:rFonts w:eastAsia="標楷體"/>
          <w:szCs w:val="22"/>
        </w:rPr>
        <w:t>復有</w:t>
      </w:r>
      <w:r>
        <w:rPr>
          <w:rFonts w:ascii="標楷體" w:eastAsia="標楷體" w:hAnsi="標楷體" w:hint="eastAsia"/>
          <w:bCs/>
          <w:color w:val="FF0000"/>
          <w:kern w:val="0"/>
          <w:highlight w:val="yellow"/>
        </w:rPr>
        <w:t>「</w:t>
      </w:r>
      <w:r w:rsidRPr="00212D57">
        <w:rPr>
          <w:rFonts w:eastAsia="標楷體"/>
          <w:szCs w:val="22"/>
        </w:rPr>
        <w:t>觀空</w:t>
      </w:r>
      <w:r>
        <w:rPr>
          <w:rFonts w:ascii="標楷體" w:eastAsia="標楷體" w:hAnsi="標楷體" w:hint="eastAsia"/>
          <w:bCs/>
          <w:color w:val="FF0000"/>
          <w:kern w:val="0"/>
          <w:highlight w:val="yellow"/>
        </w:rPr>
        <w:t>」</w:t>
      </w:r>
      <w:r w:rsidRPr="00212D57">
        <w:rPr>
          <w:rFonts w:eastAsia="標楷體"/>
          <w:szCs w:val="22"/>
        </w:rPr>
        <w:t>：是疊</w:t>
      </w:r>
      <w:r w:rsidRPr="00620230">
        <w:rPr>
          <w:rFonts w:eastAsia="標楷體" w:hint="eastAsia"/>
          <w:color w:val="FF0000"/>
          <w:szCs w:val="22"/>
          <w:highlight w:val="yellow"/>
        </w:rPr>
        <w:t>，</w:t>
      </w:r>
      <w:r w:rsidRPr="00212D57">
        <w:rPr>
          <w:rFonts w:eastAsia="標楷體"/>
          <w:szCs w:val="22"/>
        </w:rPr>
        <w:t>隨</w:t>
      </w:r>
      <w:r w:rsidRPr="00620230">
        <w:rPr>
          <w:rFonts w:eastAsia="標楷體"/>
          <w:szCs w:val="22"/>
          <w:highlight w:val="yellow"/>
        </w:rPr>
        <w:t>心有</w:t>
      </w:r>
      <w:r w:rsidRPr="00620230">
        <w:rPr>
          <w:rFonts w:eastAsia="標楷體" w:hint="eastAsia"/>
          <w:color w:val="FF0000"/>
          <w:szCs w:val="22"/>
          <w:highlight w:val="yellow"/>
        </w:rPr>
        <w:t>。</w:t>
      </w:r>
      <w:r w:rsidRPr="00212D57">
        <w:rPr>
          <w:rFonts w:eastAsia="標楷體"/>
          <w:szCs w:val="22"/>
        </w:rPr>
        <w:t>如坐禪人觀疊或作地</w:t>
      </w:r>
      <w:r>
        <w:rPr>
          <w:rFonts w:ascii="標楷體" w:eastAsia="標楷體" w:hAnsi="標楷體" w:hint="eastAsia"/>
          <w:color w:val="FF0000"/>
          <w:spacing w:val="-4"/>
          <w:kern w:val="0"/>
          <w:highlight w:val="yellow"/>
        </w:rPr>
        <w:t>、</w:t>
      </w:r>
      <w:r w:rsidRPr="00212D57">
        <w:rPr>
          <w:rFonts w:eastAsia="標楷體"/>
          <w:szCs w:val="22"/>
        </w:rPr>
        <w:t>或作水</w:t>
      </w:r>
      <w:r>
        <w:rPr>
          <w:rFonts w:ascii="標楷體" w:eastAsia="標楷體" w:hAnsi="標楷體" w:hint="eastAsia"/>
          <w:color w:val="FF0000"/>
          <w:spacing w:val="-4"/>
          <w:kern w:val="0"/>
          <w:highlight w:val="yellow"/>
        </w:rPr>
        <w:t>、</w:t>
      </w:r>
      <w:r w:rsidRPr="00212D57">
        <w:rPr>
          <w:rFonts w:eastAsia="標楷體"/>
          <w:szCs w:val="22"/>
        </w:rPr>
        <w:t>或作火</w:t>
      </w:r>
      <w:r>
        <w:rPr>
          <w:rFonts w:ascii="標楷體" w:eastAsia="標楷體" w:hAnsi="標楷體" w:hint="eastAsia"/>
          <w:color w:val="FF0000"/>
          <w:spacing w:val="-4"/>
          <w:kern w:val="0"/>
          <w:highlight w:val="yellow"/>
        </w:rPr>
        <w:t>、</w:t>
      </w:r>
      <w:r w:rsidRPr="00212D57">
        <w:rPr>
          <w:rFonts w:eastAsia="標楷體"/>
          <w:szCs w:val="22"/>
        </w:rPr>
        <w:t>或作風，或青</w:t>
      </w:r>
      <w:r>
        <w:rPr>
          <w:rFonts w:ascii="標楷體" w:eastAsia="標楷體" w:hAnsi="標楷體" w:hint="eastAsia"/>
          <w:color w:val="FF0000"/>
          <w:spacing w:val="-4"/>
          <w:kern w:val="0"/>
          <w:highlight w:val="yellow"/>
        </w:rPr>
        <w:t>、</w:t>
      </w:r>
      <w:r w:rsidRPr="00212D57">
        <w:rPr>
          <w:rFonts w:eastAsia="標楷體"/>
          <w:szCs w:val="22"/>
        </w:rPr>
        <w:t>或黃</w:t>
      </w:r>
      <w:r>
        <w:rPr>
          <w:rFonts w:ascii="標楷體" w:eastAsia="標楷體" w:hAnsi="標楷體" w:hint="eastAsia"/>
          <w:color w:val="FF0000"/>
          <w:spacing w:val="-4"/>
          <w:kern w:val="0"/>
          <w:highlight w:val="yellow"/>
        </w:rPr>
        <w:t>、</w:t>
      </w:r>
      <w:r w:rsidRPr="00212D57">
        <w:rPr>
          <w:rFonts w:eastAsia="標楷體"/>
          <w:szCs w:val="22"/>
        </w:rPr>
        <w:t>或白</w:t>
      </w:r>
      <w:r>
        <w:rPr>
          <w:rFonts w:ascii="標楷體" w:eastAsia="標楷體" w:hAnsi="標楷體" w:hint="eastAsia"/>
          <w:color w:val="FF0000"/>
          <w:spacing w:val="-4"/>
          <w:kern w:val="0"/>
          <w:highlight w:val="yellow"/>
        </w:rPr>
        <w:t>、</w:t>
      </w:r>
      <w:r w:rsidRPr="00212D57">
        <w:rPr>
          <w:rFonts w:eastAsia="標楷體"/>
          <w:szCs w:val="22"/>
        </w:rPr>
        <w:t>或赤，或都空，如</w:t>
      </w:r>
      <w:r>
        <w:rPr>
          <w:rFonts w:ascii="標楷體" w:eastAsia="標楷體" w:hAnsi="標楷體" w:hint="eastAsia"/>
          <w:bCs/>
          <w:color w:val="FF0000"/>
          <w:kern w:val="0"/>
          <w:highlight w:val="yellow"/>
        </w:rPr>
        <w:t>「</w:t>
      </w:r>
      <w:r w:rsidRPr="00212D57">
        <w:rPr>
          <w:rFonts w:eastAsia="標楷體"/>
          <w:szCs w:val="22"/>
        </w:rPr>
        <w:t>十一切入觀</w:t>
      </w:r>
      <w:r>
        <w:rPr>
          <w:rFonts w:ascii="標楷體" w:eastAsia="標楷體" w:hAnsi="標楷體" w:hint="eastAsia"/>
          <w:bCs/>
          <w:color w:val="FF0000"/>
          <w:kern w:val="0"/>
          <w:highlight w:val="yellow"/>
        </w:rPr>
        <w:t>」</w:t>
      </w:r>
      <w:r w:rsidRPr="00212D57">
        <w:rPr>
          <w:rFonts w:eastAsia="標楷體"/>
          <w:szCs w:val="22"/>
        </w:rPr>
        <w:t>。</w:t>
      </w:r>
    </w:p>
    <w:p w:rsidR="00224D48" w:rsidRPr="00212D57" w:rsidRDefault="00224D48" w:rsidP="00224D48">
      <w:pPr>
        <w:snapToGrid w:val="0"/>
        <w:ind w:leftChars="305" w:left="732"/>
        <w:jc w:val="both"/>
        <w:rPr>
          <w:sz w:val="22"/>
          <w:szCs w:val="22"/>
        </w:rPr>
      </w:pPr>
      <w:r w:rsidRPr="00212D57">
        <w:rPr>
          <w:rFonts w:eastAsia="標楷體"/>
          <w:sz w:val="22"/>
          <w:szCs w:val="22"/>
        </w:rPr>
        <w:t>如佛在耆闍崛山中，與比丘僧俱，入王舍城</w:t>
      </w:r>
      <w:r>
        <w:rPr>
          <w:rFonts w:ascii="標楷體" w:eastAsia="標楷體" w:hAnsi="標楷體" w:hint="eastAsia"/>
          <w:color w:val="FF0000"/>
          <w:kern w:val="0"/>
          <w:sz w:val="22"/>
          <w:highlight w:val="yellow"/>
        </w:rPr>
        <w:t>，</w:t>
      </w:r>
      <w:r w:rsidRPr="00212D57">
        <w:rPr>
          <w:rFonts w:eastAsia="標楷體"/>
          <w:sz w:val="22"/>
          <w:szCs w:val="22"/>
        </w:rPr>
        <w:t>道中見大</w:t>
      </w:r>
      <w:r w:rsidRPr="00212D57">
        <w:rPr>
          <w:rFonts w:eastAsia="標楷體" w:hint="eastAsia"/>
          <w:b/>
          <w:sz w:val="22"/>
          <w:szCs w:val="22"/>
        </w:rPr>
        <w:t>木</w:t>
      </w:r>
      <w:r w:rsidRPr="00212D57">
        <w:rPr>
          <w:rFonts w:ascii="Times New Roman" w:hAnsi="Times New Roman" w:hint="eastAsia"/>
          <w:sz w:val="22"/>
          <w:szCs w:val="22"/>
          <w:vertAlign w:val="superscript"/>
        </w:rPr>
        <w:t>※</w:t>
      </w:r>
      <w:r w:rsidRPr="00212D57">
        <w:rPr>
          <w:rFonts w:eastAsia="標楷體"/>
          <w:sz w:val="22"/>
          <w:szCs w:val="22"/>
        </w:rPr>
        <w:t>，佛於</w:t>
      </w:r>
      <w:r w:rsidRPr="00212D57">
        <w:rPr>
          <w:rFonts w:eastAsia="標楷體"/>
          <w:b/>
          <w:sz w:val="22"/>
          <w:szCs w:val="22"/>
        </w:rPr>
        <w:t>木</w:t>
      </w:r>
      <w:r w:rsidRPr="00212D57">
        <w:rPr>
          <w:rFonts w:eastAsia="標楷體"/>
          <w:sz w:val="22"/>
          <w:szCs w:val="22"/>
        </w:rPr>
        <w:t>上敷尼師壇坐，告諸比丘：若比丘入禪，心得自在，能令大</w:t>
      </w:r>
      <w:r w:rsidRPr="00212D57">
        <w:rPr>
          <w:rFonts w:eastAsia="標楷體"/>
          <w:b/>
          <w:sz w:val="22"/>
          <w:szCs w:val="22"/>
        </w:rPr>
        <w:t>木</w:t>
      </w:r>
      <w:r w:rsidRPr="00212D57">
        <w:rPr>
          <w:rFonts w:eastAsia="標楷體"/>
          <w:sz w:val="22"/>
          <w:szCs w:val="22"/>
        </w:rPr>
        <w:t>作地，即成實地。何以故？是</w:t>
      </w:r>
      <w:r w:rsidRPr="00212D57">
        <w:rPr>
          <w:rFonts w:eastAsia="標楷體"/>
          <w:b/>
          <w:sz w:val="22"/>
          <w:szCs w:val="22"/>
        </w:rPr>
        <w:t>木</w:t>
      </w:r>
      <w:r w:rsidRPr="00212D57">
        <w:rPr>
          <w:rFonts w:eastAsia="標楷體"/>
          <w:sz w:val="22"/>
          <w:szCs w:val="22"/>
        </w:rPr>
        <w:t>中有地分故。如是水、火、風、金、銀</w:t>
      </w:r>
      <w:r w:rsidRPr="00765912">
        <w:rPr>
          <w:rFonts w:ascii="標楷體" w:eastAsia="標楷體" w:hAnsi="標楷體" w:hint="eastAsia"/>
          <w:color w:val="FF0000"/>
          <w:spacing w:val="-4"/>
          <w:kern w:val="0"/>
          <w:sz w:val="22"/>
          <w:highlight w:val="yellow"/>
        </w:rPr>
        <w:t>、</w:t>
      </w:r>
      <w:r w:rsidRPr="00212D57">
        <w:rPr>
          <w:rFonts w:eastAsia="標楷體"/>
          <w:sz w:val="22"/>
          <w:szCs w:val="22"/>
        </w:rPr>
        <w:t>種種寶物</w:t>
      </w:r>
      <w:r>
        <w:rPr>
          <w:rFonts w:ascii="標楷體" w:eastAsia="標楷體" w:hAnsi="標楷體" w:hint="eastAsia"/>
          <w:color w:val="FF0000"/>
          <w:kern w:val="0"/>
          <w:sz w:val="22"/>
          <w:highlight w:val="yellow"/>
        </w:rPr>
        <w:t>，</w:t>
      </w:r>
      <w:r w:rsidRPr="00212D57">
        <w:rPr>
          <w:rFonts w:eastAsia="標楷體"/>
          <w:sz w:val="22"/>
          <w:szCs w:val="22"/>
        </w:rPr>
        <w:t>即皆成實。何以故？是</w:t>
      </w:r>
      <w:r w:rsidRPr="00212D57">
        <w:rPr>
          <w:rFonts w:eastAsia="標楷體"/>
          <w:b/>
          <w:sz w:val="22"/>
          <w:szCs w:val="22"/>
        </w:rPr>
        <w:t>木</w:t>
      </w:r>
      <w:r w:rsidRPr="00212D57">
        <w:rPr>
          <w:rFonts w:eastAsia="標楷體"/>
          <w:sz w:val="22"/>
          <w:szCs w:val="22"/>
        </w:rPr>
        <w:t>中皆有其分。</w:t>
      </w:r>
    </w:p>
    <w:p w:rsidR="00224D48" w:rsidRDefault="00224D48" w:rsidP="00224D48">
      <w:pPr>
        <w:snapToGrid w:val="0"/>
        <w:ind w:leftChars="305" w:left="732"/>
        <w:jc w:val="both"/>
        <w:rPr>
          <w:sz w:val="22"/>
          <w:szCs w:val="22"/>
        </w:rPr>
      </w:pPr>
      <w:r w:rsidRPr="00212D57">
        <w:rPr>
          <w:rFonts w:eastAsia="標楷體"/>
          <w:sz w:val="22"/>
          <w:szCs w:val="22"/>
        </w:rPr>
        <w:t>復次，如一美色，婬人見之</w:t>
      </w:r>
      <w:r w:rsidRPr="00BC7376">
        <w:rPr>
          <w:rFonts w:eastAsia="標楷體" w:hint="eastAsia"/>
          <w:color w:val="FF0000"/>
          <w:sz w:val="22"/>
          <w:szCs w:val="22"/>
          <w:highlight w:val="yellow"/>
        </w:rPr>
        <w:t>，</w:t>
      </w:r>
      <w:r w:rsidRPr="00212D57">
        <w:rPr>
          <w:rFonts w:eastAsia="標楷體"/>
          <w:sz w:val="22"/>
          <w:szCs w:val="22"/>
        </w:rPr>
        <w:t>以為淨妙，心生染著；不淨觀人視之，種種惡露，無一淨處；等婦見之，妬瞋憎惡，目不欲見，以為不淨。婬人觀之為樂</w:t>
      </w:r>
      <w:r>
        <w:rPr>
          <w:rFonts w:ascii="標楷體" w:eastAsia="標楷體" w:hAnsi="標楷體" w:hint="eastAsia"/>
          <w:color w:val="FF0000"/>
          <w:spacing w:val="-4"/>
          <w:kern w:val="0"/>
          <w:sz w:val="22"/>
          <w:highlight w:val="yellow"/>
        </w:rPr>
        <w:t>；</w:t>
      </w:r>
      <w:r w:rsidRPr="00212D57">
        <w:rPr>
          <w:rFonts w:eastAsia="標楷體"/>
          <w:sz w:val="22"/>
          <w:szCs w:val="22"/>
        </w:rPr>
        <w:t>妬人觀之為苦</w:t>
      </w:r>
      <w:r>
        <w:rPr>
          <w:rFonts w:ascii="標楷體" w:eastAsia="標楷體" w:hAnsi="標楷體" w:hint="eastAsia"/>
          <w:color w:val="FF0000"/>
          <w:spacing w:val="-4"/>
          <w:kern w:val="0"/>
          <w:sz w:val="22"/>
          <w:highlight w:val="yellow"/>
        </w:rPr>
        <w:t>；</w:t>
      </w:r>
      <w:r w:rsidRPr="00212D57">
        <w:rPr>
          <w:rFonts w:eastAsia="標楷體"/>
          <w:sz w:val="22"/>
          <w:szCs w:val="22"/>
        </w:rPr>
        <w:t>行人觀之得道</w:t>
      </w:r>
      <w:r>
        <w:rPr>
          <w:rFonts w:ascii="標楷體" w:eastAsia="標楷體" w:hAnsi="標楷體" w:hint="eastAsia"/>
          <w:color w:val="FF0000"/>
          <w:spacing w:val="-4"/>
          <w:kern w:val="0"/>
          <w:sz w:val="22"/>
          <w:highlight w:val="yellow"/>
        </w:rPr>
        <w:t>；</w:t>
      </w:r>
      <w:r w:rsidRPr="00212D57">
        <w:rPr>
          <w:rFonts w:eastAsia="標楷體"/>
          <w:sz w:val="22"/>
          <w:szCs w:val="22"/>
        </w:rPr>
        <w:t>無豫</w:t>
      </w:r>
      <w:r w:rsidR="00135889" w:rsidRPr="00135889">
        <w:rPr>
          <w:rFonts w:ascii="Times New Roman" w:hAnsi="Times New Roman" w:hint="eastAsia"/>
          <w:color w:val="FF0000"/>
          <w:sz w:val="22"/>
          <w:szCs w:val="22"/>
          <w:shd w:val="pct15" w:color="auto" w:fill="FFFFFF"/>
        </w:rPr>
        <w:t>*</w:t>
      </w:r>
      <w:r w:rsidR="00135889" w:rsidRPr="00135889">
        <w:rPr>
          <w:rFonts w:ascii="Times New Roman" w:hAnsi="Times New Roman" w:hint="eastAsia"/>
          <w:color w:val="FF0000"/>
          <w:sz w:val="22"/>
          <w:szCs w:val="22"/>
          <w:shd w:val="pct15" w:color="auto" w:fill="FFFFFF"/>
          <w:vertAlign w:val="superscript"/>
        </w:rPr>
        <w:t>1</w:t>
      </w:r>
      <w:r w:rsidRPr="00212D57">
        <w:rPr>
          <w:rFonts w:eastAsia="標楷體"/>
          <w:sz w:val="22"/>
          <w:szCs w:val="22"/>
        </w:rPr>
        <w:t>之人觀之，無所適莫</w:t>
      </w:r>
      <w:r w:rsidR="00135889" w:rsidRPr="00135889">
        <w:rPr>
          <w:rFonts w:ascii="Times New Roman" w:hAnsi="Times New Roman" w:hint="eastAsia"/>
          <w:color w:val="FF0000"/>
          <w:sz w:val="22"/>
          <w:szCs w:val="22"/>
          <w:shd w:val="pct15" w:color="auto" w:fill="FFFFFF"/>
        </w:rPr>
        <w:t>*</w:t>
      </w:r>
      <w:r w:rsidR="00135889">
        <w:rPr>
          <w:rFonts w:ascii="Times New Roman" w:hAnsi="Times New Roman" w:hint="eastAsia"/>
          <w:color w:val="FF0000"/>
          <w:sz w:val="22"/>
          <w:szCs w:val="22"/>
          <w:shd w:val="pct15" w:color="auto" w:fill="FFFFFF"/>
          <w:vertAlign w:val="superscript"/>
        </w:rPr>
        <w:t>2</w:t>
      </w:r>
      <w:r w:rsidRPr="00212D57">
        <w:rPr>
          <w:rFonts w:eastAsia="標楷體"/>
          <w:sz w:val="22"/>
          <w:szCs w:val="22"/>
        </w:rPr>
        <w:t>，如見土木</w:t>
      </w:r>
      <w:r>
        <w:rPr>
          <w:rFonts w:ascii="標楷體" w:eastAsia="標楷體" w:hAnsi="標楷體" w:hint="eastAsia"/>
          <w:color w:val="FF0000"/>
          <w:kern w:val="0"/>
          <w:sz w:val="22"/>
          <w:highlight w:val="yellow"/>
        </w:rPr>
        <w:t>──</w:t>
      </w:r>
      <w:r w:rsidRPr="00212D57">
        <w:rPr>
          <w:rFonts w:eastAsia="標楷體"/>
          <w:sz w:val="22"/>
          <w:szCs w:val="22"/>
        </w:rPr>
        <w:t>若此美色實淨，四種人觀，皆應見淨；若實不淨，四種人觀，皆應不淨。以是</w:t>
      </w:r>
      <w:r w:rsidRPr="00C17B13">
        <w:rPr>
          <w:rFonts w:eastAsia="標楷體"/>
          <w:sz w:val="22"/>
          <w:szCs w:val="22"/>
          <w:highlight w:val="yellow"/>
        </w:rPr>
        <w:t>故知</w:t>
      </w:r>
      <w:r>
        <w:rPr>
          <w:rFonts w:ascii="標楷體" w:eastAsia="標楷體" w:hAnsi="標楷體" w:hint="eastAsia"/>
          <w:color w:val="FF0000"/>
          <w:spacing w:val="-4"/>
          <w:kern w:val="0"/>
          <w:sz w:val="22"/>
          <w:highlight w:val="yellow"/>
        </w:rPr>
        <w:t>：</w:t>
      </w:r>
      <w:r w:rsidRPr="00212D57">
        <w:rPr>
          <w:rFonts w:eastAsia="標楷體"/>
          <w:sz w:val="22"/>
          <w:szCs w:val="22"/>
        </w:rPr>
        <w:t>好醜在心，外無定也。</w:t>
      </w:r>
      <w:r>
        <w:rPr>
          <w:rFonts w:ascii="標楷體" w:eastAsia="標楷體" w:hAnsi="標楷體" w:hint="eastAsia"/>
          <w:bCs/>
          <w:color w:val="FF0000"/>
          <w:kern w:val="0"/>
          <w:sz w:val="22"/>
          <w:highlight w:val="yellow"/>
        </w:rPr>
        <w:t>「</w:t>
      </w:r>
      <w:r w:rsidRPr="00212D57">
        <w:rPr>
          <w:rFonts w:eastAsia="標楷體"/>
          <w:sz w:val="22"/>
          <w:szCs w:val="22"/>
        </w:rPr>
        <w:t>觀空</w:t>
      </w:r>
      <w:r>
        <w:rPr>
          <w:rFonts w:ascii="標楷體" w:eastAsia="標楷體" w:hAnsi="標楷體" w:hint="eastAsia"/>
          <w:bCs/>
          <w:color w:val="FF0000"/>
          <w:kern w:val="0"/>
          <w:sz w:val="22"/>
          <w:highlight w:val="yellow"/>
        </w:rPr>
        <w:t>」</w:t>
      </w:r>
      <w:r>
        <w:rPr>
          <w:rFonts w:ascii="標楷體" w:eastAsia="標楷體" w:hAnsi="標楷體" w:hint="eastAsia"/>
          <w:color w:val="FF0000"/>
          <w:kern w:val="0"/>
          <w:sz w:val="22"/>
          <w:highlight w:val="yellow"/>
        </w:rPr>
        <w:t>，</w:t>
      </w:r>
      <w:r w:rsidRPr="00212D57">
        <w:rPr>
          <w:rFonts w:eastAsia="標楷體"/>
          <w:sz w:val="22"/>
          <w:szCs w:val="22"/>
        </w:rPr>
        <w:t>亦如是</w:t>
      </w:r>
      <w:r w:rsidRPr="00212D57">
        <w:rPr>
          <w:sz w:val="22"/>
          <w:szCs w:val="22"/>
        </w:rPr>
        <w:t>。</w:t>
      </w:r>
    </w:p>
    <w:p w:rsidR="00135889" w:rsidRPr="00135889" w:rsidRDefault="00135889" w:rsidP="00135889">
      <w:pPr>
        <w:snapToGrid w:val="0"/>
        <w:ind w:leftChars="305" w:left="2162" w:hangingChars="650" w:hanging="1430"/>
        <w:jc w:val="both"/>
        <w:rPr>
          <w:rFonts w:ascii="Times New Roman" w:hAnsi="Times New Roman"/>
          <w:color w:val="FF0000"/>
          <w:kern w:val="0"/>
          <w:sz w:val="22"/>
          <w:szCs w:val="22"/>
          <w:highlight w:val="yellow"/>
        </w:rPr>
      </w:pPr>
      <w:r w:rsidRPr="00135889">
        <w:rPr>
          <w:rFonts w:ascii="Times New Roman" w:hAnsi="Times New Roman" w:hint="eastAsia"/>
          <w:color w:val="FF0000"/>
          <w:sz w:val="22"/>
          <w:szCs w:val="22"/>
          <w:shd w:val="pct15" w:color="auto" w:fill="FFFFFF"/>
        </w:rPr>
        <w:t>*</w:t>
      </w:r>
      <w:r w:rsidRPr="00135889">
        <w:rPr>
          <w:rFonts w:ascii="Times New Roman" w:hAnsi="Times New Roman"/>
          <w:color w:val="FF0000"/>
          <w:kern w:val="0"/>
          <w:sz w:val="22"/>
          <w:szCs w:val="22"/>
          <w:highlight w:val="yellow"/>
        </w:rPr>
        <w:t>豫</w:t>
      </w:r>
      <w:r w:rsidRPr="00135889">
        <w:rPr>
          <w:rFonts w:ascii="Times New Roman" w:hAnsi="Times New Roman" w:hint="eastAsia"/>
          <w:color w:val="FF0000"/>
          <w:kern w:val="0"/>
          <w:sz w:val="22"/>
          <w:szCs w:val="22"/>
          <w:highlight w:val="yellow"/>
        </w:rPr>
        <w:t>（</w:t>
      </w:r>
      <w:r w:rsidRPr="00135889">
        <w:rPr>
          <w:rFonts w:ascii="Times New Roman" w:eastAsia="標楷體" w:hAnsi="Times New Roman" w:hint="eastAsia"/>
          <w:color w:val="FF0000"/>
          <w:kern w:val="0"/>
          <w:sz w:val="22"/>
          <w:szCs w:val="22"/>
          <w:highlight w:val="yellow"/>
        </w:rPr>
        <w:t>ㄩˋ</w:t>
      </w:r>
      <w:r w:rsidRPr="00135889">
        <w:rPr>
          <w:rFonts w:ascii="Times New Roman" w:hAnsi="Times New Roman" w:hint="eastAsia"/>
          <w:color w:val="FF0000"/>
          <w:kern w:val="0"/>
          <w:sz w:val="22"/>
          <w:szCs w:val="22"/>
          <w:highlight w:val="yellow"/>
        </w:rPr>
        <w:t>）</w:t>
      </w:r>
      <w:r w:rsidRPr="00135889">
        <w:rPr>
          <w:rFonts w:ascii="Times New Roman" w:hAnsi="Times New Roman"/>
          <w:color w:val="FF0000"/>
          <w:kern w:val="0"/>
          <w:sz w:val="22"/>
          <w:szCs w:val="22"/>
          <w:highlight w:val="yellow"/>
        </w:rPr>
        <w:t>：</w:t>
      </w:r>
      <w:r w:rsidRPr="00135889">
        <w:rPr>
          <w:rFonts w:ascii="Times New Roman" w:hAnsi="Times New Roman" w:hint="eastAsia"/>
          <w:color w:val="FF0000"/>
          <w:kern w:val="0"/>
          <w:sz w:val="22"/>
          <w:szCs w:val="22"/>
          <w:highlight w:val="yellow"/>
        </w:rPr>
        <w:t>15.</w:t>
      </w:r>
      <w:r w:rsidRPr="00135889">
        <w:rPr>
          <w:rFonts w:ascii="Times New Roman" w:hAnsi="Times New Roman" w:hint="eastAsia"/>
          <w:color w:val="FF0000"/>
          <w:kern w:val="0"/>
          <w:sz w:val="22"/>
          <w:szCs w:val="22"/>
          <w:highlight w:val="yellow"/>
        </w:rPr>
        <w:t>通“</w:t>
      </w:r>
      <w:r w:rsidRPr="00135889">
        <w:rPr>
          <w:rFonts w:ascii="Times New Roman" w:hAnsi="Times New Roman" w:hint="eastAsia"/>
          <w:color w:val="FF0000"/>
          <w:kern w:val="0"/>
          <w:sz w:val="22"/>
          <w:szCs w:val="22"/>
          <w:highlight w:val="yellow"/>
        </w:rPr>
        <w:t xml:space="preserve"> </w:t>
      </w:r>
      <w:r w:rsidRPr="00135889">
        <w:rPr>
          <w:rFonts w:ascii="Times New Roman" w:hAnsi="Times New Roman" w:hint="eastAsia"/>
          <w:color w:val="FF0000"/>
          <w:kern w:val="0"/>
          <w:sz w:val="22"/>
          <w:szCs w:val="22"/>
          <w:highlight w:val="yellow"/>
        </w:rPr>
        <w:t>與</w:t>
      </w:r>
      <w:r w:rsidRPr="00135889">
        <w:rPr>
          <w:rFonts w:ascii="Times New Roman" w:hAnsi="Times New Roman" w:hint="eastAsia"/>
          <w:color w:val="FF0000"/>
          <w:kern w:val="0"/>
          <w:sz w:val="22"/>
          <w:szCs w:val="22"/>
          <w:highlight w:val="yellow"/>
        </w:rPr>
        <w:t xml:space="preserve"> </w:t>
      </w:r>
      <w:r w:rsidRPr="00135889">
        <w:rPr>
          <w:rFonts w:ascii="Times New Roman" w:hAnsi="Times New Roman" w:hint="eastAsia"/>
          <w:color w:val="FF0000"/>
          <w:kern w:val="0"/>
          <w:sz w:val="22"/>
          <w:szCs w:val="22"/>
          <w:highlight w:val="yellow"/>
        </w:rPr>
        <w:t>”。關涉，牽涉。《南史‧孔琳之傳》：“此事孔璪所為，無豫卿事，可作首辭，當相為申上。”</w:t>
      </w:r>
    </w:p>
    <w:p w:rsidR="00135889" w:rsidRPr="00135889" w:rsidRDefault="00135889" w:rsidP="00135889">
      <w:pPr>
        <w:snapToGrid w:val="0"/>
        <w:ind w:leftChars="305" w:left="732"/>
        <w:jc w:val="right"/>
        <w:rPr>
          <w:rFonts w:ascii="Times New Roman" w:hAnsi="Times New Roman"/>
          <w:color w:val="FF0000"/>
          <w:kern w:val="0"/>
          <w:sz w:val="22"/>
          <w:szCs w:val="22"/>
          <w:highlight w:val="yellow"/>
        </w:rPr>
      </w:pPr>
      <w:r w:rsidRPr="00135889">
        <w:rPr>
          <w:rFonts w:ascii="Times New Roman" w:hAnsi="Times New Roman" w:hint="eastAsia"/>
          <w:color w:val="FF0000"/>
          <w:kern w:val="0"/>
          <w:sz w:val="22"/>
          <w:szCs w:val="22"/>
          <w:highlight w:val="yellow"/>
        </w:rPr>
        <w:t>（《漢語大詞典》（十），</w:t>
      </w:r>
      <w:r w:rsidRPr="00135889">
        <w:rPr>
          <w:rFonts w:ascii="Times New Roman" w:hAnsi="Times New Roman" w:hint="eastAsia"/>
          <w:color w:val="FF0000"/>
          <w:kern w:val="0"/>
          <w:sz w:val="22"/>
          <w:szCs w:val="22"/>
          <w:highlight w:val="yellow"/>
        </w:rPr>
        <w:t>p.38</w:t>
      </w:r>
      <w:r w:rsidRPr="00135889">
        <w:rPr>
          <w:rFonts w:ascii="Times New Roman" w:hAnsi="Times New Roman" w:hint="eastAsia"/>
          <w:color w:val="FF0000"/>
          <w:kern w:val="0"/>
          <w:sz w:val="22"/>
          <w:szCs w:val="22"/>
          <w:highlight w:val="yellow"/>
        </w:rPr>
        <w:t>）</w:t>
      </w:r>
    </w:p>
    <w:p w:rsidR="00135889" w:rsidRPr="00135889" w:rsidRDefault="00135889" w:rsidP="00135889">
      <w:pPr>
        <w:snapToGrid w:val="0"/>
        <w:ind w:leftChars="305" w:left="732"/>
        <w:jc w:val="both"/>
        <w:rPr>
          <w:rFonts w:ascii="Times New Roman" w:hAnsi="Times New Roman"/>
          <w:color w:val="FF0000"/>
          <w:sz w:val="22"/>
          <w:szCs w:val="22"/>
          <w:highlight w:val="yellow"/>
        </w:rPr>
      </w:pPr>
      <w:r w:rsidRPr="00135889">
        <w:rPr>
          <w:rFonts w:ascii="Times New Roman" w:hAnsi="Times New Roman" w:hint="eastAsia"/>
          <w:color w:val="FF0000"/>
          <w:sz w:val="22"/>
          <w:szCs w:val="22"/>
          <w:shd w:val="pct15" w:color="auto" w:fill="FFFFFF"/>
        </w:rPr>
        <w:t>*</w:t>
      </w:r>
      <w:r>
        <w:rPr>
          <w:rFonts w:ascii="Times New Roman" w:hAnsi="Times New Roman" w:hint="eastAsia"/>
          <w:color w:val="FF0000"/>
          <w:sz w:val="22"/>
          <w:szCs w:val="22"/>
          <w:shd w:val="pct15" w:color="auto" w:fill="FFFFFF"/>
          <w:vertAlign w:val="superscript"/>
        </w:rPr>
        <w:t>2</w:t>
      </w:r>
      <w:r w:rsidRPr="00135889">
        <w:rPr>
          <w:rFonts w:hint="eastAsia"/>
          <w:color w:val="FF0000"/>
          <w:sz w:val="22"/>
          <w:szCs w:val="22"/>
          <w:highlight w:val="yellow"/>
        </w:rPr>
        <w:t>適（</w:t>
      </w:r>
      <w:r w:rsidRPr="00135889">
        <w:rPr>
          <w:rFonts w:ascii="標楷體" w:eastAsia="標楷體" w:hAnsi="標楷體" w:hint="eastAsia"/>
          <w:color w:val="FF0000"/>
          <w:sz w:val="22"/>
          <w:szCs w:val="22"/>
          <w:highlight w:val="yellow"/>
        </w:rPr>
        <w:t>ㄉㄧˊ</w:t>
      </w:r>
      <w:r w:rsidRPr="00135889">
        <w:rPr>
          <w:rFonts w:hint="eastAsia"/>
          <w:color w:val="FF0000"/>
          <w:sz w:val="22"/>
          <w:szCs w:val="22"/>
          <w:highlight w:val="yellow"/>
        </w:rPr>
        <w:t>）</w:t>
      </w:r>
      <w:r w:rsidRPr="00135889">
        <w:rPr>
          <w:rFonts w:ascii="Times New Roman" w:hAnsi="Times New Roman" w:hint="eastAsia"/>
          <w:color w:val="FF0000"/>
          <w:sz w:val="22"/>
          <w:szCs w:val="22"/>
          <w:highlight w:val="yellow"/>
        </w:rPr>
        <w:t>：</w:t>
      </w:r>
      <w:r w:rsidRPr="00135889">
        <w:rPr>
          <w:rFonts w:ascii="Times New Roman" w:hAnsi="Times New Roman" w:hint="eastAsia"/>
          <w:color w:val="FF0000"/>
          <w:sz w:val="22"/>
          <w:szCs w:val="22"/>
          <w:highlight w:val="yellow"/>
        </w:rPr>
        <w:t>4.</w:t>
      </w:r>
      <w:r w:rsidRPr="00135889">
        <w:rPr>
          <w:rFonts w:ascii="Times New Roman" w:hAnsi="Times New Roman" w:hint="eastAsia"/>
          <w:color w:val="FF0000"/>
          <w:sz w:val="22"/>
          <w:szCs w:val="22"/>
          <w:highlight w:val="yellow"/>
        </w:rPr>
        <w:t>親厚。（《漢語大詞典》（十），</w:t>
      </w:r>
      <w:r w:rsidRPr="00135889">
        <w:rPr>
          <w:rFonts w:ascii="Times New Roman" w:hAnsi="Times New Roman" w:hint="eastAsia"/>
          <w:color w:val="FF0000"/>
          <w:sz w:val="22"/>
          <w:szCs w:val="22"/>
          <w:highlight w:val="yellow"/>
        </w:rPr>
        <w:t>p.1160</w:t>
      </w:r>
      <w:r w:rsidRPr="00135889">
        <w:rPr>
          <w:rFonts w:ascii="Times New Roman" w:hAnsi="Times New Roman" w:hint="eastAsia"/>
          <w:color w:val="FF0000"/>
          <w:sz w:val="22"/>
          <w:szCs w:val="22"/>
          <w:highlight w:val="yellow"/>
        </w:rPr>
        <w:t>）</w:t>
      </w:r>
    </w:p>
    <w:p w:rsidR="00135889" w:rsidRPr="00135889" w:rsidRDefault="00135889" w:rsidP="00135889">
      <w:pPr>
        <w:pStyle w:val="a5"/>
        <w:ind w:leftChars="400" w:left="960"/>
        <w:jc w:val="both"/>
        <w:rPr>
          <w:rFonts w:eastAsiaTheme="minorEastAsia"/>
          <w:color w:val="FF0000"/>
          <w:szCs w:val="22"/>
          <w:highlight w:val="yellow"/>
        </w:rPr>
      </w:pPr>
      <w:r w:rsidRPr="00135889">
        <w:rPr>
          <w:rFonts w:eastAsiaTheme="minorEastAsia"/>
          <w:color w:val="FF0000"/>
          <w:szCs w:val="22"/>
          <w:highlight w:val="yellow"/>
        </w:rPr>
        <w:t>莫（</w:t>
      </w:r>
      <w:r w:rsidRPr="00135889">
        <w:rPr>
          <w:rFonts w:eastAsia="標楷體"/>
          <w:color w:val="FF0000"/>
          <w:szCs w:val="22"/>
          <w:highlight w:val="yellow"/>
        </w:rPr>
        <w:t>ㄇㄨ</w:t>
      </w:r>
      <w:r w:rsidRPr="00135889">
        <w:rPr>
          <w:rFonts w:eastAsia="標楷體"/>
          <w:color w:val="FF0000"/>
          <w:szCs w:val="22"/>
          <w:highlight w:val="yellow"/>
        </w:rPr>
        <w:t>ˋ</w:t>
      </w:r>
      <w:r w:rsidRPr="00135889">
        <w:rPr>
          <w:rFonts w:eastAsiaTheme="minorEastAsia"/>
          <w:color w:val="FF0000"/>
          <w:szCs w:val="22"/>
          <w:highlight w:val="yellow"/>
        </w:rPr>
        <w:t>）：</w:t>
      </w:r>
      <w:r w:rsidRPr="00135889">
        <w:rPr>
          <w:rFonts w:eastAsiaTheme="minorEastAsia"/>
          <w:color w:val="FF0000"/>
          <w:szCs w:val="22"/>
          <w:highlight w:val="yellow"/>
        </w:rPr>
        <w:t>4.</w:t>
      </w:r>
      <w:r w:rsidRPr="00135889">
        <w:rPr>
          <w:rFonts w:eastAsiaTheme="minorEastAsia"/>
          <w:color w:val="FF0000"/>
          <w:szCs w:val="22"/>
          <w:highlight w:val="yellow"/>
        </w:rPr>
        <w:t>薄，淡漠。（《漢語大字典》（</w:t>
      </w:r>
      <w:r w:rsidRPr="00135889">
        <w:rPr>
          <w:rFonts w:eastAsiaTheme="minorEastAsia" w:hint="eastAsia"/>
          <w:color w:val="FF0000"/>
          <w:szCs w:val="22"/>
          <w:highlight w:val="yellow"/>
        </w:rPr>
        <w:t>五</w:t>
      </w:r>
      <w:r w:rsidRPr="00135889">
        <w:rPr>
          <w:rFonts w:eastAsiaTheme="minorEastAsia"/>
          <w:color w:val="FF0000"/>
          <w:szCs w:val="22"/>
          <w:highlight w:val="yellow"/>
        </w:rPr>
        <w:t>），</w:t>
      </w:r>
      <w:r w:rsidRPr="00135889">
        <w:rPr>
          <w:rFonts w:eastAsiaTheme="minorEastAsia"/>
          <w:color w:val="FF0000"/>
          <w:szCs w:val="22"/>
          <w:highlight w:val="yellow"/>
        </w:rPr>
        <w:t>p.3429</w:t>
      </w:r>
      <w:r w:rsidRPr="00135889">
        <w:rPr>
          <w:rFonts w:eastAsiaTheme="minorEastAsia"/>
          <w:color w:val="FF0000"/>
          <w:szCs w:val="22"/>
          <w:highlight w:val="yellow"/>
        </w:rPr>
        <w:t>）</w:t>
      </w:r>
    </w:p>
    <w:p w:rsidR="00135889" w:rsidRPr="00135889" w:rsidRDefault="00135889" w:rsidP="00135889">
      <w:pPr>
        <w:pStyle w:val="a5"/>
        <w:ind w:leftChars="400" w:left="2577" w:hangingChars="735" w:hanging="1617"/>
        <w:jc w:val="both"/>
        <w:rPr>
          <w:color w:val="FF0000"/>
          <w:szCs w:val="22"/>
          <w:highlight w:val="yellow"/>
        </w:rPr>
      </w:pPr>
      <w:r w:rsidRPr="00135889">
        <w:rPr>
          <w:rFonts w:hint="eastAsia"/>
          <w:color w:val="FF0000"/>
          <w:szCs w:val="22"/>
          <w:highlight w:val="yellow"/>
        </w:rPr>
        <w:t>適（</w:t>
      </w:r>
      <w:r w:rsidRPr="00135889">
        <w:rPr>
          <w:rFonts w:eastAsia="標楷體" w:hint="eastAsia"/>
          <w:color w:val="FF0000"/>
          <w:szCs w:val="22"/>
          <w:highlight w:val="yellow"/>
        </w:rPr>
        <w:t>ㄉㄧˊ</w:t>
      </w:r>
      <w:r w:rsidRPr="00135889">
        <w:rPr>
          <w:rFonts w:hint="eastAsia"/>
          <w:color w:val="FF0000"/>
          <w:szCs w:val="22"/>
          <w:highlight w:val="yellow"/>
        </w:rPr>
        <w:t>）莫：指用情的親疏厚薄。《後漢書‧李燮傳》：“時潁川荀爽、賈彪，雖俱知名而不相能，燮並交二子，情無適莫，世稱其平正。”（《漢語大詞典》（十），</w:t>
      </w:r>
      <w:r w:rsidRPr="00135889">
        <w:rPr>
          <w:rFonts w:hint="eastAsia"/>
          <w:color w:val="FF0000"/>
          <w:szCs w:val="22"/>
          <w:highlight w:val="yellow"/>
        </w:rPr>
        <w:t>p.1165</w:t>
      </w:r>
      <w:r w:rsidRPr="00135889">
        <w:rPr>
          <w:rFonts w:hint="eastAsia"/>
          <w:color w:val="FF0000"/>
          <w:szCs w:val="22"/>
          <w:highlight w:val="yellow"/>
        </w:rPr>
        <w:t>）</w:t>
      </w:r>
    </w:p>
    <w:p w:rsidR="00135889" w:rsidRDefault="00224D48" w:rsidP="00224D48">
      <w:pPr>
        <w:pStyle w:val="a5"/>
        <w:ind w:leftChars="80" w:left="731" w:hangingChars="245" w:hanging="539"/>
        <w:jc w:val="both"/>
        <w:rPr>
          <w:szCs w:val="22"/>
        </w:rPr>
      </w:pPr>
      <w:r w:rsidRPr="00212D57">
        <w:rPr>
          <w:szCs w:val="22"/>
        </w:rPr>
        <w:t>（</w:t>
      </w:r>
      <w:r w:rsidRPr="00761EF3">
        <w:rPr>
          <w:szCs w:val="22"/>
        </w:rPr>
        <w:t>2</w:t>
      </w:r>
      <w:r w:rsidRPr="00212D57">
        <w:rPr>
          <w:szCs w:val="22"/>
        </w:rPr>
        <w:t>）</w:t>
      </w:r>
      <w:r w:rsidRPr="00212D57">
        <w:rPr>
          <w:rFonts w:hint="eastAsia"/>
          <w:szCs w:val="22"/>
        </w:rPr>
        <w:t>案</w:t>
      </w:r>
      <w:r w:rsidRPr="00212D57">
        <w:rPr>
          <w:szCs w:val="22"/>
        </w:rPr>
        <w:t>：水＝木【元】【明】【宮】【石】（大正</w:t>
      </w:r>
      <w:r w:rsidRPr="00761EF3">
        <w:rPr>
          <w:szCs w:val="22"/>
        </w:rPr>
        <w:t>25</w:t>
      </w:r>
      <w:r w:rsidRPr="00212D57">
        <w:rPr>
          <w:szCs w:val="22"/>
        </w:rPr>
        <w:t>，</w:t>
      </w:r>
      <w:r w:rsidRPr="00761EF3">
        <w:rPr>
          <w:szCs w:val="22"/>
        </w:rPr>
        <w:t>148d</w:t>
      </w:r>
      <w:r w:rsidRPr="00212D57">
        <w:rPr>
          <w:szCs w:val="22"/>
        </w:rPr>
        <w:t>，</w:t>
      </w:r>
      <w:r w:rsidRPr="00761EF3">
        <w:rPr>
          <w:szCs w:val="22"/>
        </w:rPr>
        <w:t>n</w:t>
      </w:r>
      <w:r w:rsidRPr="00212D57">
        <w:rPr>
          <w:szCs w:val="22"/>
        </w:rPr>
        <w:t>.</w:t>
      </w:r>
      <w:r w:rsidRPr="00761EF3">
        <w:rPr>
          <w:szCs w:val="22"/>
        </w:rPr>
        <w:t>2</w:t>
      </w:r>
      <w:r w:rsidRPr="00212D57">
        <w:rPr>
          <w:szCs w:val="22"/>
        </w:rPr>
        <w:t>）</w:t>
      </w:r>
    </w:p>
    <w:p w:rsidR="00224D48" w:rsidRPr="00212D57" w:rsidRDefault="00224D48" w:rsidP="00135889">
      <w:pPr>
        <w:pStyle w:val="a5"/>
        <w:ind w:leftChars="300" w:left="720"/>
        <w:jc w:val="both"/>
        <w:rPr>
          <w:szCs w:val="22"/>
        </w:rPr>
      </w:pPr>
      <w:r w:rsidRPr="00971292">
        <w:rPr>
          <w:szCs w:val="22"/>
          <w:highlight w:val="yellow"/>
        </w:rPr>
        <w:t>《</w:t>
      </w:r>
      <w:r w:rsidRPr="00212D57">
        <w:rPr>
          <w:szCs w:val="22"/>
        </w:rPr>
        <w:t>大正經》原作「水」，但【元】本等皆作「木」。又《雜阿含經》卷</w:t>
      </w:r>
      <w:r w:rsidRPr="00761EF3">
        <w:rPr>
          <w:szCs w:val="22"/>
        </w:rPr>
        <w:t>18</w:t>
      </w:r>
      <w:r w:rsidRPr="00212D57">
        <w:rPr>
          <w:szCs w:val="22"/>
        </w:rPr>
        <w:t>（</w:t>
      </w:r>
      <w:r w:rsidRPr="00761EF3">
        <w:rPr>
          <w:szCs w:val="22"/>
        </w:rPr>
        <w:t>494</w:t>
      </w:r>
      <w:r w:rsidRPr="00212D57">
        <w:rPr>
          <w:szCs w:val="22"/>
        </w:rPr>
        <w:t>經）（大正</w:t>
      </w:r>
      <w:r w:rsidRPr="00761EF3">
        <w:rPr>
          <w:szCs w:val="22"/>
        </w:rPr>
        <w:t>2</w:t>
      </w:r>
      <w:r w:rsidRPr="00212D57">
        <w:rPr>
          <w:szCs w:val="22"/>
        </w:rPr>
        <w:t>，</w:t>
      </w:r>
      <w:r w:rsidRPr="00761EF3">
        <w:rPr>
          <w:szCs w:val="22"/>
        </w:rPr>
        <w:t>128c</w:t>
      </w:r>
      <w:r w:rsidRPr="00212D57">
        <w:rPr>
          <w:szCs w:val="22"/>
        </w:rPr>
        <w:t>-</w:t>
      </w:r>
      <w:r w:rsidRPr="00761EF3">
        <w:rPr>
          <w:szCs w:val="22"/>
        </w:rPr>
        <w:t>129a</w:t>
      </w:r>
      <w:r w:rsidRPr="00212D57">
        <w:rPr>
          <w:szCs w:val="22"/>
        </w:rPr>
        <w:t>），《增支部》</w:t>
      </w:r>
      <w:r w:rsidRPr="00761EF3">
        <w:rPr>
          <w:szCs w:val="22"/>
        </w:rPr>
        <w:t>III</w:t>
      </w:r>
      <w:r w:rsidRPr="00212D57">
        <w:rPr>
          <w:szCs w:val="22"/>
        </w:rPr>
        <w:t xml:space="preserve">, </w:t>
      </w:r>
      <w:r w:rsidRPr="00761EF3">
        <w:rPr>
          <w:szCs w:val="22"/>
        </w:rPr>
        <w:t>pp</w:t>
      </w:r>
      <w:r w:rsidRPr="00212D57">
        <w:rPr>
          <w:szCs w:val="22"/>
        </w:rPr>
        <w:t>.</w:t>
      </w:r>
      <w:r w:rsidRPr="00761EF3">
        <w:rPr>
          <w:szCs w:val="22"/>
        </w:rPr>
        <w:t>340</w:t>
      </w:r>
      <w:r w:rsidRPr="00212D57">
        <w:rPr>
          <w:szCs w:val="22"/>
        </w:rPr>
        <w:t>-</w:t>
      </w:r>
      <w:r w:rsidRPr="00761EF3">
        <w:rPr>
          <w:szCs w:val="22"/>
        </w:rPr>
        <w:t>341</w:t>
      </w:r>
      <w:r w:rsidRPr="00212D57">
        <w:rPr>
          <w:szCs w:val="22"/>
        </w:rPr>
        <w:t>（《木聚經》），《俱舍論》卷</w:t>
      </w:r>
      <w:r w:rsidRPr="00761EF3">
        <w:rPr>
          <w:szCs w:val="22"/>
        </w:rPr>
        <w:t>4</w:t>
      </w:r>
      <w:r w:rsidRPr="00212D57">
        <w:rPr>
          <w:rFonts w:hint="eastAsia"/>
          <w:szCs w:val="22"/>
        </w:rPr>
        <w:t>〈</w:t>
      </w:r>
      <w:r w:rsidRPr="00761EF3">
        <w:rPr>
          <w:rFonts w:hint="eastAsia"/>
          <w:szCs w:val="22"/>
        </w:rPr>
        <w:t>2</w:t>
      </w:r>
      <w:r w:rsidRPr="00212D57">
        <w:rPr>
          <w:szCs w:val="22"/>
        </w:rPr>
        <w:t xml:space="preserve"> </w:t>
      </w:r>
      <w:r w:rsidRPr="00212D57">
        <w:rPr>
          <w:rFonts w:hint="eastAsia"/>
          <w:szCs w:val="22"/>
        </w:rPr>
        <w:t>分別根品〉</w:t>
      </w:r>
      <w:r w:rsidRPr="00212D57">
        <w:rPr>
          <w:szCs w:val="22"/>
        </w:rPr>
        <w:t>（大正</w:t>
      </w:r>
      <w:r w:rsidRPr="00761EF3">
        <w:rPr>
          <w:szCs w:val="22"/>
        </w:rPr>
        <w:t>29</w:t>
      </w:r>
      <w:r w:rsidRPr="00212D57">
        <w:rPr>
          <w:szCs w:val="22"/>
        </w:rPr>
        <w:t>，</w:t>
      </w:r>
      <w:r w:rsidRPr="00761EF3">
        <w:rPr>
          <w:szCs w:val="22"/>
        </w:rPr>
        <w:t>18c10</w:t>
      </w:r>
      <w:r w:rsidRPr="00212D57">
        <w:rPr>
          <w:szCs w:val="22"/>
        </w:rPr>
        <w:t>）等與此處所說類似，故此處改作「木」。</w:t>
      </w:r>
    </w:p>
  </w:footnote>
  <w:footnote w:id="376">
    <w:p w:rsidR="00157EF6" w:rsidRPr="00212D57" w:rsidRDefault="00157EF6" w:rsidP="002B682F">
      <w:pPr>
        <w:pStyle w:val="a5"/>
        <w:ind w:left="187" w:hangingChars="85" w:hanging="187"/>
        <w:jc w:val="both"/>
        <w:rPr>
          <w:szCs w:val="22"/>
        </w:rPr>
      </w:pPr>
      <w:r w:rsidRPr="00212D57">
        <w:rPr>
          <w:rStyle w:val="a6"/>
          <w:szCs w:val="22"/>
        </w:rPr>
        <w:footnoteRef/>
      </w:r>
      <w:r w:rsidRPr="00212D57">
        <w:rPr>
          <w:bCs/>
          <w:szCs w:val="22"/>
        </w:rPr>
        <w:t xml:space="preserve"> </w:t>
      </w:r>
      <w:r w:rsidRPr="00212D57">
        <w:rPr>
          <w:rFonts w:hint="eastAsia"/>
          <w:bCs/>
          <w:szCs w:val="22"/>
        </w:rPr>
        <w:t>各</w:t>
      </w:r>
      <w:r w:rsidRPr="00212D57">
        <w:rPr>
          <w:bCs/>
          <w:szCs w:val="22"/>
        </w:rPr>
        <w:t>種人觀美色無定</w:t>
      </w:r>
      <w:r w:rsidRPr="00212D57">
        <w:rPr>
          <w:szCs w:val="22"/>
        </w:rPr>
        <w:t>，參見《大毘婆沙論》卷</w:t>
      </w:r>
      <w:r w:rsidRPr="00761EF3">
        <w:rPr>
          <w:szCs w:val="22"/>
        </w:rPr>
        <w:t>56</w:t>
      </w:r>
      <w:r w:rsidRPr="00212D57">
        <w:rPr>
          <w:szCs w:val="22"/>
        </w:rPr>
        <w:t>（大正</w:t>
      </w:r>
      <w:r w:rsidRPr="00761EF3">
        <w:rPr>
          <w:szCs w:val="22"/>
        </w:rPr>
        <w:t>27</w:t>
      </w:r>
      <w:r w:rsidRPr="00212D57">
        <w:rPr>
          <w:szCs w:val="22"/>
        </w:rPr>
        <w:t>，</w:t>
      </w:r>
      <w:r w:rsidRPr="00761EF3">
        <w:rPr>
          <w:szCs w:val="22"/>
        </w:rPr>
        <w:t>288b1</w:t>
      </w:r>
      <w:r w:rsidR="003D797F">
        <w:rPr>
          <w:rFonts w:hint="eastAsia"/>
          <w:color w:val="FF0000"/>
          <w:szCs w:val="22"/>
          <w:highlight w:val="yellow"/>
        </w:rPr>
        <w:t>6</w:t>
      </w:r>
      <w:r w:rsidRPr="00212D57">
        <w:rPr>
          <w:szCs w:val="22"/>
        </w:rPr>
        <w:t>-</w:t>
      </w:r>
      <w:r w:rsidRPr="00761EF3">
        <w:rPr>
          <w:szCs w:val="22"/>
        </w:rPr>
        <w:t>27</w:t>
      </w:r>
      <w:r w:rsidRPr="00212D57">
        <w:rPr>
          <w:szCs w:val="22"/>
        </w:rPr>
        <w:t>）：</w:t>
      </w:r>
    </w:p>
    <w:p w:rsidR="00C17B13" w:rsidRPr="003D797F" w:rsidRDefault="00C17B13" w:rsidP="00C17B13">
      <w:pPr>
        <w:pStyle w:val="a5"/>
        <w:ind w:leftChars="75" w:left="180"/>
        <w:jc w:val="both"/>
        <w:rPr>
          <w:rFonts w:eastAsia="標楷體"/>
          <w:color w:val="FF0000"/>
          <w:szCs w:val="22"/>
          <w:highlight w:val="yellow"/>
        </w:rPr>
      </w:pPr>
      <w:r w:rsidRPr="003D797F">
        <w:rPr>
          <w:rFonts w:eastAsia="標楷體" w:hint="eastAsia"/>
          <w:color w:val="FF0000"/>
          <w:szCs w:val="22"/>
          <w:highlight w:val="yellow"/>
        </w:rPr>
        <w:t>譬喻者說</w:t>
      </w:r>
      <w:r w:rsidRPr="003D797F">
        <w:rPr>
          <w:rFonts w:ascii="標楷體" w:eastAsia="標楷體" w:hAnsi="標楷體" w:hint="eastAsia"/>
          <w:color w:val="FF0000"/>
          <w:spacing w:val="-4"/>
          <w:kern w:val="0"/>
          <w:highlight w:val="yellow"/>
        </w:rPr>
        <w:t>：</w:t>
      </w:r>
      <w:r w:rsidR="003D797F" w:rsidRPr="003D797F">
        <w:rPr>
          <w:rFonts w:ascii="標楷體" w:eastAsia="標楷體" w:hAnsi="標楷體" w:hint="eastAsia"/>
          <w:bCs/>
          <w:color w:val="FF0000"/>
          <w:kern w:val="0"/>
          <w:highlight w:val="yellow"/>
        </w:rPr>
        <w:t>「</w:t>
      </w:r>
      <w:r w:rsidRPr="003D797F">
        <w:rPr>
          <w:rFonts w:eastAsia="標楷體" w:hint="eastAsia"/>
          <w:color w:val="FF0000"/>
          <w:szCs w:val="22"/>
          <w:highlight w:val="yellow"/>
        </w:rPr>
        <w:t>能繫結是實</w:t>
      </w:r>
      <w:r w:rsidRPr="003D797F">
        <w:rPr>
          <w:rFonts w:ascii="標楷體" w:eastAsia="標楷體" w:hAnsi="標楷體" w:hint="eastAsia"/>
          <w:bCs/>
          <w:color w:val="FF0000"/>
          <w:kern w:val="0"/>
          <w:highlight w:val="yellow"/>
        </w:rPr>
        <w:t>，</w:t>
      </w:r>
      <w:r w:rsidRPr="003D797F">
        <w:rPr>
          <w:rFonts w:eastAsia="標楷體" w:hint="eastAsia"/>
          <w:color w:val="FF0000"/>
          <w:szCs w:val="22"/>
          <w:highlight w:val="yellow"/>
        </w:rPr>
        <w:t>所繫事是假，補特伽羅亦假。</w:t>
      </w:r>
      <w:r w:rsidR="003D797F" w:rsidRPr="003D797F">
        <w:rPr>
          <w:rFonts w:ascii="標楷體" w:eastAsia="標楷體" w:hAnsi="標楷體" w:hint="eastAsia"/>
          <w:bCs/>
          <w:color w:val="FF0000"/>
          <w:kern w:val="0"/>
          <w:highlight w:val="yellow"/>
        </w:rPr>
        <w:t>」</w:t>
      </w:r>
    </w:p>
    <w:p w:rsidR="00C17B13" w:rsidRPr="003D797F" w:rsidRDefault="00C17B13" w:rsidP="00C17B13">
      <w:pPr>
        <w:pStyle w:val="a5"/>
        <w:ind w:leftChars="75" w:left="180"/>
        <w:jc w:val="both"/>
        <w:rPr>
          <w:rFonts w:eastAsia="標楷體"/>
          <w:color w:val="FF0000"/>
          <w:szCs w:val="22"/>
          <w:highlight w:val="yellow"/>
        </w:rPr>
      </w:pPr>
      <w:r w:rsidRPr="003D797F">
        <w:rPr>
          <w:rFonts w:eastAsia="標楷體" w:hint="eastAsia"/>
          <w:color w:val="FF0000"/>
          <w:szCs w:val="22"/>
          <w:highlight w:val="yellow"/>
        </w:rPr>
        <w:t>問</w:t>
      </w:r>
      <w:r w:rsidRPr="003D797F">
        <w:rPr>
          <w:rFonts w:ascii="標楷體" w:eastAsia="標楷體" w:hAnsi="標楷體" w:hint="eastAsia"/>
          <w:color w:val="FF0000"/>
          <w:spacing w:val="-4"/>
          <w:kern w:val="0"/>
          <w:highlight w:val="yellow"/>
        </w:rPr>
        <w:t>：</w:t>
      </w:r>
      <w:r w:rsidRPr="003D797F">
        <w:rPr>
          <w:rFonts w:eastAsia="標楷體" w:hint="eastAsia"/>
          <w:color w:val="FF0000"/>
          <w:szCs w:val="22"/>
          <w:highlight w:val="yellow"/>
        </w:rPr>
        <w:t>彼何故說</w:t>
      </w:r>
      <w:r w:rsidRPr="003D797F">
        <w:rPr>
          <w:rFonts w:ascii="標楷體" w:eastAsia="標楷體" w:hAnsi="標楷體" w:hint="eastAsia"/>
          <w:bCs/>
          <w:color w:val="FF0000"/>
          <w:kern w:val="0"/>
          <w:highlight w:val="yellow"/>
        </w:rPr>
        <w:t>「</w:t>
      </w:r>
      <w:r w:rsidRPr="003D797F">
        <w:rPr>
          <w:rFonts w:eastAsia="標楷體" w:hint="eastAsia"/>
          <w:color w:val="FF0000"/>
          <w:szCs w:val="22"/>
          <w:highlight w:val="yellow"/>
        </w:rPr>
        <w:t>所繫事是假</w:t>
      </w:r>
      <w:r w:rsidRPr="003D797F">
        <w:rPr>
          <w:rFonts w:ascii="標楷體" w:eastAsia="標楷體" w:hAnsi="標楷體" w:hint="eastAsia"/>
          <w:bCs/>
          <w:color w:val="FF0000"/>
          <w:kern w:val="0"/>
          <w:highlight w:val="yellow"/>
        </w:rPr>
        <w:t>」</w:t>
      </w:r>
      <w:r w:rsidRPr="003D797F">
        <w:rPr>
          <w:rFonts w:eastAsia="標楷體" w:hint="eastAsia"/>
          <w:color w:val="FF0000"/>
          <w:szCs w:val="22"/>
          <w:highlight w:val="yellow"/>
        </w:rPr>
        <w:t>耶？</w:t>
      </w:r>
    </w:p>
    <w:p w:rsidR="00157EF6" w:rsidRPr="00212D57" w:rsidRDefault="00C17B13" w:rsidP="003D797F">
      <w:pPr>
        <w:pStyle w:val="a5"/>
        <w:ind w:leftChars="75" w:left="620" w:hangingChars="200" w:hanging="440"/>
        <w:jc w:val="both"/>
        <w:rPr>
          <w:rFonts w:eastAsia="標楷體"/>
          <w:szCs w:val="22"/>
        </w:rPr>
      </w:pPr>
      <w:r w:rsidRPr="003D797F">
        <w:rPr>
          <w:rFonts w:eastAsia="標楷體" w:hint="eastAsia"/>
          <w:color w:val="FF0000"/>
          <w:szCs w:val="22"/>
          <w:highlight w:val="yellow"/>
        </w:rPr>
        <w:t>答</w:t>
      </w:r>
      <w:r w:rsidRPr="003D797F">
        <w:rPr>
          <w:rFonts w:ascii="標楷體" w:eastAsia="標楷體" w:hAnsi="標楷體" w:hint="eastAsia"/>
          <w:color w:val="FF0000"/>
          <w:spacing w:val="-4"/>
          <w:kern w:val="0"/>
          <w:highlight w:val="yellow"/>
        </w:rPr>
        <w:t>：</w:t>
      </w:r>
      <w:r w:rsidRPr="003D797F">
        <w:rPr>
          <w:rFonts w:eastAsia="標楷體" w:hint="eastAsia"/>
          <w:color w:val="FF0000"/>
          <w:szCs w:val="22"/>
          <w:highlight w:val="yellow"/>
        </w:rPr>
        <w:t>彼說</w:t>
      </w:r>
      <w:r w:rsidRPr="003D797F">
        <w:rPr>
          <w:rFonts w:ascii="標楷體" w:eastAsia="標楷體" w:hAnsi="標楷體" w:hint="eastAsia"/>
          <w:color w:val="FF0000"/>
          <w:spacing w:val="-4"/>
          <w:kern w:val="0"/>
          <w:highlight w:val="yellow"/>
        </w:rPr>
        <w:t>：</w:t>
      </w:r>
      <w:r w:rsidR="00157EF6" w:rsidRPr="00212D57">
        <w:rPr>
          <w:rFonts w:eastAsia="標楷體"/>
          <w:szCs w:val="22"/>
        </w:rPr>
        <w:t>有染與無染</w:t>
      </w:r>
      <w:r w:rsidR="00971292" w:rsidRPr="00971292">
        <w:rPr>
          <w:rFonts w:eastAsia="標楷體" w:hint="eastAsia"/>
          <w:color w:val="FF0000"/>
          <w:szCs w:val="22"/>
          <w:highlight w:val="yellow"/>
        </w:rPr>
        <w:t>，</w:t>
      </w:r>
      <w:r w:rsidR="00157EF6" w:rsidRPr="00212D57">
        <w:rPr>
          <w:rFonts w:eastAsia="標楷體"/>
          <w:szCs w:val="22"/>
        </w:rPr>
        <w:t>境不決定，故知</w:t>
      </w:r>
      <w:r>
        <w:rPr>
          <w:rFonts w:ascii="標楷體" w:eastAsia="標楷體" w:hAnsi="標楷體" w:hint="eastAsia"/>
          <w:bCs/>
          <w:color w:val="FF0000"/>
          <w:kern w:val="0"/>
          <w:highlight w:val="yellow"/>
        </w:rPr>
        <w:t>「</w:t>
      </w:r>
      <w:r w:rsidR="00157EF6" w:rsidRPr="00212D57">
        <w:rPr>
          <w:rFonts w:eastAsia="標楷體"/>
          <w:szCs w:val="22"/>
        </w:rPr>
        <w:t>境非實</w:t>
      </w:r>
      <w:r>
        <w:rPr>
          <w:rFonts w:ascii="標楷體" w:eastAsia="標楷體" w:hAnsi="標楷體" w:hint="eastAsia"/>
          <w:bCs/>
          <w:color w:val="FF0000"/>
          <w:kern w:val="0"/>
          <w:highlight w:val="yellow"/>
        </w:rPr>
        <w:t>」</w:t>
      </w:r>
      <w:r w:rsidR="00157EF6" w:rsidRPr="00212D57">
        <w:rPr>
          <w:rFonts w:eastAsia="標楷體"/>
          <w:szCs w:val="22"/>
        </w:rPr>
        <w:t>。謂如有一端正女人，種種莊嚴</w:t>
      </w:r>
      <w:r w:rsidRPr="00C17B13">
        <w:rPr>
          <w:rFonts w:eastAsia="標楷體" w:hint="eastAsia"/>
          <w:color w:val="FF0000"/>
          <w:szCs w:val="22"/>
          <w:highlight w:val="yellow"/>
        </w:rPr>
        <w:t>，</w:t>
      </w:r>
      <w:r w:rsidR="00157EF6" w:rsidRPr="00212D57">
        <w:rPr>
          <w:rFonts w:eastAsia="標楷體"/>
          <w:szCs w:val="22"/>
        </w:rPr>
        <w:t>來入眾會，有見起敬，有見起貪，有見起瞋，有見起嫉，有見起厭，有見起悲，有見生捨。應知</w:t>
      </w:r>
      <w:r>
        <w:rPr>
          <w:rFonts w:ascii="標楷體" w:eastAsia="標楷體" w:hAnsi="標楷體" w:hint="eastAsia"/>
          <w:color w:val="FF0000"/>
          <w:spacing w:val="-4"/>
          <w:kern w:val="0"/>
          <w:highlight w:val="yellow"/>
        </w:rPr>
        <w:t>：</w:t>
      </w:r>
      <w:r w:rsidR="00157EF6" w:rsidRPr="00212D57">
        <w:rPr>
          <w:rFonts w:eastAsia="標楷體"/>
          <w:szCs w:val="22"/>
        </w:rPr>
        <w:t>此中</w:t>
      </w:r>
      <w:r>
        <w:rPr>
          <w:rFonts w:ascii="標楷體" w:eastAsia="標楷體" w:hAnsi="標楷體" w:hint="eastAsia"/>
          <w:color w:val="FF0000"/>
          <w:kern w:val="0"/>
          <w:highlight w:val="yellow"/>
        </w:rPr>
        <w:t>，</w:t>
      </w:r>
      <w:r>
        <w:rPr>
          <w:rFonts w:eastAsia="標楷體"/>
          <w:szCs w:val="22"/>
        </w:rPr>
        <w:t>子見起敬</w:t>
      </w:r>
      <w:r>
        <w:rPr>
          <w:rFonts w:ascii="標楷體" w:eastAsia="標楷體" w:hAnsi="標楷體" w:hint="eastAsia"/>
          <w:color w:val="FF0000"/>
          <w:spacing w:val="-4"/>
          <w:kern w:val="0"/>
          <w:highlight w:val="yellow"/>
        </w:rPr>
        <w:t>；</w:t>
      </w:r>
      <w:r w:rsidR="00157EF6" w:rsidRPr="00212D57">
        <w:rPr>
          <w:rFonts w:eastAsia="標楷體"/>
          <w:szCs w:val="22"/>
        </w:rPr>
        <w:t>諸耽欲者見而起貪</w:t>
      </w:r>
      <w:r>
        <w:rPr>
          <w:rFonts w:ascii="標楷體" w:eastAsia="標楷體" w:hAnsi="標楷體" w:hint="eastAsia"/>
          <w:color w:val="FF0000"/>
          <w:spacing w:val="-4"/>
          <w:kern w:val="0"/>
          <w:highlight w:val="yellow"/>
        </w:rPr>
        <w:t>；</w:t>
      </w:r>
      <w:r w:rsidR="00157EF6" w:rsidRPr="00212D57">
        <w:rPr>
          <w:rFonts w:eastAsia="標楷體"/>
          <w:szCs w:val="22"/>
        </w:rPr>
        <w:t>諸怨憎者見而起瞋</w:t>
      </w:r>
      <w:r>
        <w:rPr>
          <w:rFonts w:ascii="標楷體" w:eastAsia="標楷體" w:hAnsi="標楷體" w:hint="eastAsia"/>
          <w:color w:val="FF0000"/>
          <w:spacing w:val="-4"/>
          <w:kern w:val="0"/>
          <w:highlight w:val="yellow"/>
        </w:rPr>
        <w:t>；</w:t>
      </w:r>
      <w:r w:rsidR="00157EF6" w:rsidRPr="00212D57">
        <w:rPr>
          <w:rFonts w:eastAsia="標楷體"/>
          <w:szCs w:val="22"/>
        </w:rPr>
        <w:t>諸同夫者見而起嫉</w:t>
      </w:r>
      <w:r>
        <w:rPr>
          <w:rFonts w:ascii="標楷體" w:eastAsia="標楷體" w:hAnsi="標楷體" w:hint="eastAsia"/>
          <w:color w:val="FF0000"/>
          <w:spacing w:val="-4"/>
          <w:kern w:val="0"/>
          <w:highlight w:val="yellow"/>
        </w:rPr>
        <w:t>；</w:t>
      </w:r>
      <w:r w:rsidR="00157EF6" w:rsidRPr="00212D57">
        <w:rPr>
          <w:rFonts w:eastAsia="標楷體"/>
          <w:szCs w:val="22"/>
        </w:rPr>
        <w:t>諸有修習不淨觀者見而起厭</w:t>
      </w:r>
      <w:r>
        <w:rPr>
          <w:rFonts w:ascii="標楷體" w:eastAsia="標楷體" w:hAnsi="標楷體" w:hint="eastAsia"/>
          <w:color w:val="FF0000"/>
          <w:spacing w:val="-4"/>
          <w:kern w:val="0"/>
          <w:highlight w:val="yellow"/>
        </w:rPr>
        <w:t>；</w:t>
      </w:r>
      <w:r w:rsidR="00157EF6" w:rsidRPr="00212D57">
        <w:rPr>
          <w:rFonts w:eastAsia="標楷體"/>
          <w:szCs w:val="22"/>
        </w:rPr>
        <w:t>諸離欲仙見起悲愍，作如是念：</w:t>
      </w:r>
      <w:r>
        <w:rPr>
          <w:rFonts w:ascii="標楷體" w:eastAsia="標楷體" w:hAnsi="標楷體" w:hint="eastAsia"/>
          <w:bCs/>
          <w:color w:val="FF0000"/>
          <w:kern w:val="0"/>
          <w:highlight w:val="yellow"/>
        </w:rPr>
        <w:t>「</w:t>
      </w:r>
      <w:r w:rsidR="00157EF6" w:rsidRPr="00212D57">
        <w:rPr>
          <w:rFonts w:eastAsia="標楷體"/>
          <w:szCs w:val="22"/>
        </w:rPr>
        <w:t>此妙色相不久當為無常所滅</w:t>
      </w:r>
      <w:r>
        <w:rPr>
          <w:rFonts w:eastAsia="標楷體" w:hint="eastAsia"/>
          <w:szCs w:val="22"/>
        </w:rPr>
        <w:t>。</w:t>
      </w:r>
      <w:r>
        <w:rPr>
          <w:rFonts w:ascii="標楷體" w:eastAsia="標楷體" w:hAnsi="標楷體" w:hint="eastAsia"/>
          <w:bCs/>
          <w:color w:val="FF0000"/>
          <w:kern w:val="0"/>
          <w:highlight w:val="yellow"/>
        </w:rPr>
        <w:t>」</w:t>
      </w:r>
      <w:r w:rsidR="00157EF6" w:rsidRPr="00212D57">
        <w:rPr>
          <w:rFonts w:eastAsia="標楷體"/>
          <w:szCs w:val="22"/>
        </w:rPr>
        <w:t>諸阿羅漢見而生捨</w:t>
      </w:r>
      <w:r w:rsidRPr="00C17B13">
        <w:rPr>
          <w:rFonts w:eastAsia="標楷體" w:hint="eastAsia"/>
          <w:color w:val="FF0000"/>
          <w:szCs w:val="22"/>
          <w:highlight w:val="yellow"/>
        </w:rPr>
        <w:t>。</w:t>
      </w:r>
      <w:r w:rsidR="00157EF6" w:rsidRPr="00212D57">
        <w:rPr>
          <w:rFonts w:eastAsia="標楷體"/>
          <w:szCs w:val="22"/>
        </w:rPr>
        <w:t>由此</w:t>
      </w:r>
      <w:r w:rsidRPr="00C17B13">
        <w:rPr>
          <w:rFonts w:eastAsia="標楷體" w:hint="eastAsia"/>
          <w:color w:val="FF0000"/>
          <w:szCs w:val="22"/>
          <w:highlight w:val="yellow"/>
        </w:rPr>
        <w:t>，</w:t>
      </w:r>
      <w:r w:rsidR="00157EF6" w:rsidRPr="00212D57">
        <w:rPr>
          <w:rFonts w:eastAsia="標楷體"/>
          <w:szCs w:val="22"/>
        </w:rPr>
        <w:t>故知</w:t>
      </w:r>
      <w:r w:rsidRPr="00C17B13">
        <w:rPr>
          <w:rFonts w:eastAsia="標楷體" w:hint="eastAsia"/>
          <w:color w:val="FF0000"/>
          <w:szCs w:val="22"/>
          <w:highlight w:val="yellow"/>
        </w:rPr>
        <w:t>：</w:t>
      </w:r>
      <w:r w:rsidR="00157EF6" w:rsidRPr="00212D57">
        <w:rPr>
          <w:rFonts w:eastAsia="標楷體"/>
          <w:szCs w:val="22"/>
        </w:rPr>
        <w:t>境無實體。</w:t>
      </w:r>
    </w:p>
  </w:footnote>
  <w:footnote w:id="377">
    <w:p w:rsidR="00157EF6" w:rsidRPr="00212D57" w:rsidRDefault="00157EF6" w:rsidP="002B682F">
      <w:pPr>
        <w:pStyle w:val="a5"/>
        <w:spacing w:line="0" w:lineRule="atLeast"/>
        <w:ind w:left="704" w:hangingChars="320" w:hanging="704"/>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）《摩訶般若波羅蜜經》卷</w:t>
      </w:r>
      <w:r w:rsidRPr="00761EF3">
        <w:rPr>
          <w:szCs w:val="22"/>
        </w:rPr>
        <w:t>5</w:t>
      </w:r>
      <w:r w:rsidRPr="00212D57">
        <w:rPr>
          <w:szCs w:val="22"/>
        </w:rPr>
        <w:t>〈</w:t>
      </w:r>
      <w:r w:rsidRPr="00761EF3">
        <w:rPr>
          <w:rFonts w:hint="eastAsia"/>
          <w:szCs w:val="22"/>
        </w:rPr>
        <w:t>18</w:t>
      </w:r>
      <w:r w:rsidRPr="00212D57">
        <w:rPr>
          <w:szCs w:val="22"/>
        </w:rPr>
        <w:t xml:space="preserve"> </w:t>
      </w:r>
      <w:r w:rsidRPr="00212D57">
        <w:rPr>
          <w:szCs w:val="22"/>
        </w:rPr>
        <w:t>問乘品〉</w:t>
      </w:r>
      <w:r w:rsidR="001F62A7" w:rsidRPr="00212D57">
        <w:rPr>
          <w:szCs w:val="22"/>
        </w:rPr>
        <w:t>（大正</w:t>
      </w:r>
      <w:r w:rsidR="001F62A7" w:rsidRPr="00761EF3">
        <w:rPr>
          <w:szCs w:val="22"/>
        </w:rPr>
        <w:t>8</w:t>
      </w:r>
      <w:r w:rsidR="001F62A7" w:rsidRPr="00212D57">
        <w:rPr>
          <w:szCs w:val="22"/>
        </w:rPr>
        <w:t>，</w:t>
      </w:r>
      <w:r w:rsidR="001F62A7" w:rsidRPr="00761EF3">
        <w:rPr>
          <w:szCs w:val="22"/>
        </w:rPr>
        <w:t>250b3</w:t>
      </w:r>
      <w:r w:rsidR="001F62A7" w:rsidRPr="00212D57">
        <w:rPr>
          <w:szCs w:val="22"/>
        </w:rPr>
        <w:t>-</w:t>
      </w:r>
      <w:r w:rsidR="001F62A7" w:rsidRPr="00761EF3">
        <w:rPr>
          <w:szCs w:val="22"/>
        </w:rPr>
        <w:t>7</w:t>
      </w:r>
      <w:r w:rsidR="001F62A7" w:rsidRPr="00212D57">
        <w:rPr>
          <w:szCs w:val="22"/>
        </w:rPr>
        <w:t>）</w:t>
      </w:r>
      <w:r w:rsidRPr="00212D57">
        <w:rPr>
          <w:szCs w:val="22"/>
        </w:rPr>
        <w:t>：「</w:t>
      </w:r>
      <w:r w:rsidRPr="00212D57">
        <w:rPr>
          <w:rFonts w:eastAsia="標楷體"/>
          <w:szCs w:val="22"/>
        </w:rPr>
        <w:t>菩薩摩訶薩復有摩訶衍，所謂</w:t>
      </w:r>
      <w:r w:rsidRPr="00212D57">
        <w:rPr>
          <w:rFonts w:eastAsia="標楷體"/>
          <w:bCs/>
          <w:szCs w:val="22"/>
        </w:rPr>
        <w:t>內空、外空、內外空、空空、大空、第一義空、有為空、無為空、畢竟空、無始空、散空、性空、自相空、諸法空、不可得空、無法空、有法空、無法有法空。</w:t>
      </w:r>
      <w:r w:rsidRPr="00212D57">
        <w:rPr>
          <w:szCs w:val="22"/>
        </w:rPr>
        <w:t>」</w:t>
      </w:r>
    </w:p>
    <w:p w:rsidR="00157EF6" w:rsidRPr="00212D57" w:rsidRDefault="00157EF6" w:rsidP="002B682F">
      <w:pPr>
        <w:pStyle w:val="a5"/>
        <w:ind w:leftChars="80" w:left="731" w:hangingChars="245" w:hanging="539"/>
        <w:jc w:val="both"/>
        <w:rPr>
          <w:szCs w:val="22"/>
        </w:rPr>
      </w:pPr>
      <w:r w:rsidRPr="00212D57">
        <w:rPr>
          <w:szCs w:val="22"/>
        </w:rPr>
        <w:t>（</w:t>
      </w:r>
      <w:r w:rsidRPr="00761EF3">
        <w:rPr>
          <w:rFonts w:hint="eastAsia"/>
          <w:szCs w:val="22"/>
        </w:rPr>
        <w:t>2</w:t>
      </w:r>
      <w:r w:rsidRPr="00212D57">
        <w:rPr>
          <w:szCs w:val="22"/>
        </w:rPr>
        <w:t>）</w:t>
      </w:r>
      <w:r w:rsidRPr="00212D57">
        <w:rPr>
          <w:rFonts w:hint="eastAsia"/>
          <w:szCs w:val="22"/>
        </w:rPr>
        <w:t>《大智度論》卷</w:t>
      </w:r>
      <w:r w:rsidRPr="00761EF3">
        <w:rPr>
          <w:rFonts w:hint="eastAsia"/>
          <w:szCs w:val="22"/>
        </w:rPr>
        <w:t>31</w:t>
      </w:r>
      <w:r w:rsidR="00537BAB">
        <w:rPr>
          <w:rFonts w:hint="eastAsia"/>
          <w:color w:val="FF0000"/>
          <w:szCs w:val="22"/>
          <w:highlight w:val="yellow"/>
        </w:rPr>
        <w:t>釋</w:t>
      </w:r>
      <w:r w:rsidRPr="00212D57">
        <w:rPr>
          <w:rFonts w:hint="eastAsia"/>
          <w:szCs w:val="22"/>
        </w:rPr>
        <w:t>〈</w:t>
      </w:r>
      <w:r w:rsidRPr="00761EF3">
        <w:rPr>
          <w:rFonts w:hint="eastAsia"/>
          <w:szCs w:val="22"/>
        </w:rPr>
        <w:t>1</w:t>
      </w:r>
      <w:r w:rsidRPr="00212D57">
        <w:rPr>
          <w:rFonts w:hint="eastAsia"/>
          <w:szCs w:val="22"/>
        </w:rPr>
        <w:t xml:space="preserve"> </w:t>
      </w:r>
      <w:r w:rsidRPr="00212D57">
        <w:rPr>
          <w:rFonts w:hint="eastAsia"/>
          <w:szCs w:val="22"/>
        </w:rPr>
        <w:t>序品〉（大正</w:t>
      </w:r>
      <w:r w:rsidRPr="00761EF3">
        <w:rPr>
          <w:rFonts w:hint="eastAsia"/>
          <w:szCs w:val="22"/>
        </w:rPr>
        <w:t>25</w:t>
      </w:r>
      <w:r w:rsidRPr="00212D57">
        <w:rPr>
          <w:rFonts w:hint="eastAsia"/>
          <w:szCs w:val="22"/>
        </w:rPr>
        <w:t>，</w:t>
      </w:r>
      <w:r w:rsidRPr="00761EF3">
        <w:rPr>
          <w:rFonts w:hint="eastAsia"/>
          <w:szCs w:val="22"/>
        </w:rPr>
        <w:t>285b11</w:t>
      </w:r>
      <w:r w:rsidRPr="00212D57">
        <w:rPr>
          <w:rFonts w:hint="eastAsia"/>
          <w:szCs w:val="22"/>
        </w:rPr>
        <w:t>-</w:t>
      </w:r>
      <w:r w:rsidRPr="00761EF3">
        <w:rPr>
          <w:rFonts w:hint="eastAsia"/>
          <w:szCs w:val="22"/>
        </w:rPr>
        <w:t>296b2</w:t>
      </w:r>
      <w:r w:rsidRPr="00212D57">
        <w:rPr>
          <w:rFonts w:hint="eastAsia"/>
          <w:szCs w:val="22"/>
        </w:rPr>
        <w:t>）。</w:t>
      </w:r>
    </w:p>
  </w:footnote>
  <w:footnote w:id="378">
    <w:p w:rsidR="00C17B13" w:rsidRPr="00212D57" w:rsidRDefault="00C17B13" w:rsidP="00C17B13">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rFonts w:hint="eastAsia"/>
          <w:szCs w:val="22"/>
        </w:rPr>
        <w:t>兼容並包：謂廣泛收羅，將所有各方面都包容在一起。</w:t>
      </w:r>
      <w:r w:rsidRPr="00212D57">
        <w:rPr>
          <w:szCs w:val="22"/>
        </w:rPr>
        <w:t>（《漢語大詞典》</w:t>
      </w:r>
      <w:r w:rsidRPr="00212D57">
        <w:rPr>
          <w:rFonts w:hint="eastAsia"/>
          <w:szCs w:val="22"/>
        </w:rPr>
        <w:t>（二）</w:t>
      </w:r>
      <w:r w:rsidRPr="00212D57">
        <w:rPr>
          <w:szCs w:val="22"/>
        </w:rPr>
        <w:t>，</w:t>
      </w:r>
      <w:r w:rsidRPr="00761EF3">
        <w:rPr>
          <w:szCs w:val="22"/>
        </w:rPr>
        <w:t>p</w:t>
      </w:r>
      <w:r w:rsidRPr="00212D57">
        <w:rPr>
          <w:szCs w:val="22"/>
        </w:rPr>
        <w:t>.</w:t>
      </w:r>
      <w:r w:rsidRPr="00761EF3">
        <w:rPr>
          <w:rFonts w:hint="eastAsia"/>
          <w:szCs w:val="22"/>
        </w:rPr>
        <w:t>156</w:t>
      </w:r>
      <w:r w:rsidRPr="00212D57">
        <w:rPr>
          <w:szCs w:val="22"/>
        </w:rPr>
        <w:t>）</w:t>
      </w:r>
    </w:p>
  </w:footnote>
  <w:footnote w:id="379">
    <w:p w:rsidR="00157EF6" w:rsidRPr="00212D57" w:rsidRDefault="00157EF6" w:rsidP="002B682F">
      <w:pPr>
        <w:pStyle w:val="a5"/>
        <w:spacing w:line="0" w:lineRule="atLeast"/>
        <w:ind w:left="253" w:hangingChars="115" w:hanging="253"/>
        <w:jc w:val="both"/>
        <w:rPr>
          <w:szCs w:val="22"/>
          <w:lang w:eastAsia="zh-HK"/>
        </w:rPr>
      </w:pPr>
      <w:r w:rsidRPr="00212D57">
        <w:rPr>
          <w:rStyle w:val="a6"/>
          <w:szCs w:val="22"/>
        </w:rPr>
        <w:footnoteRef/>
      </w:r>
      <w:r w:rsidRPr="00212D57">
        <w:rPr>
          <w:szCs w:val="22"/>
          <w:lang w:eastAsia="zh-HK"/>
        </w:rPr>
        <w:t xml:space="preserve"> </w:t>
      </w:r>
      <w:r w:rsidRPr="00212D57">
        <w:rPr>
          <w:szCs w:val="22"/>
        </w:rPr>
        <w:t>參見《阿毘達磨俱舍論》卷</w:t>
      </w:r>
      <w:r w:rsidRPr="00761EF3">
        <w:rPr>
          <w:szCs w:val="22"/>
        </w:rPr>
        <w:t>22</w:t>
      </w:r>
      <w:r w:rsidRPr="00212D57">
        <w:rPr>
          <w:rFonts w:hint="eastAsia"/>
          <w:szCs w:val="22"/>
        </w:rPr>
        <w:t>〈</w:t>
      </w:r>
      <w:r w:rsidRPr="00761EF3">
        <w:rPr>
          <w:rFonts w:hint="eastAsia"/>
          <w:szCs w:val="22"/>
        </w:rPr>
        <w:t>6</w:t>
      </w:r>
      <w:r w:rsidRPr="00212D57">
        <w:rPr>
          <w:szCs w:val="22"/>
        </w:rPr>
        <w:t xml:space="preserve"> </w:t>
      </w:r>
      <w:r w:rsidRPr="00212D57">
        <w:rPr>
          <w:rFonts w:hint="eastAsia"/>
          <w:szCs w:val="22"/>
        </w:rPr>
        <w:t>分別賢聖品〉</w:t>
      </w:r>
      <w:r w:rsidRPr="00212D57">
        <w:rPr>
          <w:szCs w:val="22"/>
        </w:rPr>
        <w:t>（大正</w:t>
      </w:r>
      <w:r w:rsidRPr="00761EF3">
        <w:rPr>
          <w:szCs w:val="22"/>
        </w:rPr>
        <w:t>29</w:t>
      </w:r>
      <w:r w:rsidRPr="00212D57">
        <w:rPr>
          <w:szCs w:val="22"/>
        </w:rPr>
        <w:t>，</w:t>
      </w:r>
      <w:r w:rsidRPr="00761EF3">
        <w:rPr>
          <w:szCs w:val="22"/>
        </w:rPr>
        <w:t>116b13</w:t>
      </w:r>
      <w:r w:rsidRPr="00212D57">
        <w:rPr>
          <w:szCs w:val="22"/>
        </w:rPr>
        <w:t>-</w:t>
      </w:r>
      <w:r w:rsidRPr="00761EF3">
        <w:rPr>
          <w:szCs w:val="22"/>
        </w:rPr>
        <w:t>26</w:t>
      </w:r>
      <w:r w:rsidRPr="00212D57">
        <w:rPr>
          <w:szCs w:val="22"/>
        </w:rPr>
        <w:t>）。</w:t>
      </w:r>
    </w:p>
  </w:footnote>
  <w:footnote w:id="380">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）參見《大智度論》卷</w:t>
      </w:r>
      <w:r w:rsidRPr="00761EF3">
        <w:rPr>
          <w:rFonts w:hint="eastAsia"/>
          <w:szCs w:val="22"/>
        </w:rPr>
        <w:t>12</w:t>
      </w:r>
      <w:r w:rsidR="00537BAB">
        <w:rPr>
          <w:rFonts w:hint="eastAsia"/>
          <w:color w:val="FF0000"/>
          <w:szCs w:val="22"/>
          <w:highlight w:val="yellow"/>
        </w:rPr>
        <w:t>釋</w:t>
      </w:r>
      <w:r w:rsidRPr="00212D57">
        <w:rPr>
          <w:rFonts w:hint="eastAsia"/>
          <w:szCs w:val="22"/>
        </w:rPr>
        <w:t>〈</w:t>
      </w:r>
      <w:r w:rsidRPr="00761EF3">
        <w:rPr>
          <w:rFonts w:hint="eastAsia"/>
          <w:szCs w:val="22"/>
        </w:rPr>
        <w:t>1</w:t>
      </w:r>
      <w:r w:rsidRPr="00212D57">
        <w:rPr>
          <w:szCs w:val="22"/>
        </w:rPr>
        <w:t xml:space="preserve"> </w:t>
      </w:r>
      <w:r w:rsidRPr="00212D57">
        <w:rPr>
          <w:rFonts w:hint="eastAsia"/>
          <w:szCs w:val="22"/>
        </w:rPr>
        <w:t>序品〉（大正</w:t>
      </w:r>
      <w:r w:rsidRPr="00761EF3">
        <w:rPr>
          <w:szCs w:val="22"/>
        </w:rPr>
        <w:t>25</w:t>
      </w:r>
      <w:r w:rsidRPr="00212D57">
        <w:rPr>
          <w:rFonts w:hint="eastAsia"/>
          <w:szCs w:val="22"/>
        </w:rPr>
        <w:t>，</w:t>
      </w:r>
      <w:r w:rsidRPr="00761EF3">
        <w:rPr>
          <w:szCs w:val="22"/>
        </w:rPr>
        <w:t>147c21</w:t>
      </w:r>
      <w:r w:rsidRPr="00212D57">
        <w:rPr>
          <w:szCs w:val="22"/>
        </w:rPr>
        <w:t>-</w:t>
      </w:r>
      <w:r w:rsidRPr="00761EF3">
        <w:rPr>
          <w:szCs w:val="22"/>
        </w:rPr>
        <w:t>148a4</w:t>
      </w:r>
      <w:r w:rsidRPr="00212D57">
        <w:rPr>
          <w:rFonts w:hint="eastAsia"/>
          <w:szCs w:val="22"/>
        </w:rPr>
        <w:t>）。</w:t>
      </w:r>
    </w:p>
    <w:p w:rsidR="00157EF6" w:rsidRPr="00212D57" w:rsidRDefault="00157EF6" w:rsidP="002B682F">
      <w:pPr>
        <w:pStyle w:val="a5"/>
        <w:ind w:leftChars="105" w:left="79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）《阿毘達磨俱舍論》卷</w:t>
      </w:r>
      <w:r w:rsidRPr="00761EF3">
        <w:rPr>
          <w:rFonts w:hint="eastAsia"/>
          <w:szCs w:val="22"/>
        </w:rPr>
        <w:t>2</w:t>
      </w:r>
      <w:r w:rsidRPr="00212D57">
        <w:rPr>
          <w:rFonts w:hint="eastAsia"/>
          <w:szCs w:val="22"/>
        </w:rPr>
        <w:t>〈</w:t>
      </w:r>
      <w:r w:rsidRPr="00761EF3">
        <w:rPr>
          <w:rFonts w:hint="eastAsia"/>
          <w:szCs w:val="22"/>
        </w:rPr>
        <w:t>1</w:t>
      </w:r>
      <w:r w:rsidRPr="00212D57">
        <w:rPr>
          <w:szCs w:val="22"/>
        </w:rPr>
        <w:t xml:space="preserve"> </w:t>
      </w:r>
      <w:r w:rsidRPr="00212D57">
        <w:rPr>
          <w:rFonts w:hint="eastAsia"/>
          <w:szCs w:val="22"/>
        </w:rPr>
        <w:t>分別界品〉（大正</w:t>
      </w:r>
      <w:r w:rsidRPr="00761EF3">
        <w:rPr>
          <w:szCs w:val="22"/>
        </w:rPr>
        <w:t>29</w:t>
      </w:r>
      <w:r w:rsidRPr="00212D57">
        <w:rPr>
          <w:rFonts w:hint="eastAsia"/>
          <w:szCs w:val="22"/>
        </w:rPr>
        <w:t>，</w:t>
      </w:r>
      <w:r w:rsidRPr="00761EF3">
        <w:rPr>
          <w:szCs w:val="22"/>
        </w:rPr>
        <w:t>11c4</w:t>
      </w:r>
      <w:r w:rsidRPr="00212D57">
        <w:rPr>
          <w:szCs w:val="22"/>
        </w:rPr>
        <w:t>-</w:t>
      </w:r>
      <w:r w:rsidRPr="00761EF3">
        <w:rPr>
          <w:szCs w:val="22"/>
        </w:rPr>
        <w:t>12a</w:t>
      </w:r>
      <w:r w:rsidRPr="00761EF3">
        <w:rPr>
          <w:rFonts w:hint="eastAsia"/>
          <w:szCs w:val="22"/>
        </w:rPr>
        <w:t>29</w:t>
      </w:r>
      <w:r w:rsidRPr="00212D57">
        <w:rPr>
          <w:rFonts w:hint="eastAsia"/>
          <w:szCs w:val="22"/>
        </w:rPr>
        <w:t>）：</w:t>
      </w:r>
    </w:p>
    <w:p w:rsidR="00C17B13" w:rsidRDefault="00157EF6" w:rsidP="002B682F">
      <w:pPr>
        <w:pStyle w:val="a5"/>
        <w:tabs>
          <w:tab w:val="left" w:pos="284"/>
        </w:tabs>
        <w:ind w:leftChars="335" w:left="804"/>
        <w:jc w:val="both"/>
        <w:rPr>
          <w:rFonts w:ascii="標楷體" w:eastAsia="標楷體" w:hAnsi="標楷體"/>
          <w:szCs w:val="22"/>
        </w:rPr>
      </w:pPr>
      <w:r w:rsidRPr="00212D57">
        <w:rPr>
          <w:rFonts w:ascii="標楷體" w:eastAsia="標楷體" w:hAnsi="標楷體" w:hint="eastAsia"/>
          <w:szCs w:val="22"/>
        </w:rPr>
        <w:t>諸極微為相觸不？</w:t>
      </w:r>
    </w:p>
    <w:p w:rsidR="00C17B13" w:rsidRDefault="00157EF6" w:rsidP="002B682F">
      <w:pPr>
        <w:pStyle w:val="a5"/>
        <w:tabs>
          <w:tab w:val="left" w:pos="284"/>
        </w:tabs>
        <w:ind w:leftChars="335" w:left="804"/>
        <w:jc w:val="both"/>
        <w:rPr>
          <w:rFonts w:ascii="標楷體" w:eastAsia="標楷體" w:hAnsi="標楷體"/>
          <w:szCs w:val="22"/>
        </w:rPr>
      </w:pPr>
      <w:r w:rsidRPr="00C17B13">
        <w:rPr>
          <w:rFonts w:ascii="標楷體" w:eastAsia="標楷體" w:hAnsi="標楷體" w:hint="eastAsia"/>
          <w:szCs w:val="22"/>
          <w:highlight w:val="yellow"/>
        </w:rPr>
        <w:t>迦</w:t>
      </w:r>
      <w:r w:rsidRPr="00212D57">
        <w:rPr>
          <w:rFonts w:ascii="標楷體" w:eastAsia="標楷體" w:hAnsi="標楷體" w:hint="eastAsia"/>
          <w:szCs w:val="22"/>
        </w:rPr>
        <w:t>濕彌羅國毘婆沙師說</w:t>
      </w:r>
      <w:r w:rsidRPr="00C17B13">
        <w:rPr>
          <w:rFonts w:ascii="標楷體" w:eastAsia="標楷體" w:hAnsi="標楷體" w:hint="eastAsia"/>
          <w:szCs w:val="22"/>
          <w:highlight w:val="yellow"/>
        </w:rPr>
        <w:t>：不</w:t>
      </w:r>
      <w:r w:rsidRPr="00212D57">
        <w:rPr>
          <w:rFonts w:ascii="標楷體" w:eastAsia="標楷體" w:hAnsi="標楷體" w:hint="eastAsia"/>
          <w:szCs w:val="22"/>
        </w:rPr>
        <w:t>相觸</w:t>
      </w:r>
      <w:r w:rsidRPr="00C17B13">
        <w:rPr>
          <w:rFonts w:ascii="標楷體" w:eastAsia="標楷體" w:hAnsi="標楷體" w:hint="eastAsia"/>
          <w:szCs w:val="22"/>
          <w:highlight w:val="yellow"/>
        </w:rPr>
        <w:t>。所</w:t>
      </w:r>
      <w:r w:rsidRPr="00212D57">
        <w:rPr>
          <w:rFonts w:ascii="標楷體" w:eastAsia="標楷體" w:hAnsi="標楷體" w:hint="eastAsia"/>
          <w:szCs w:val="22"/>
        </w:rPr>
        <w:t>以者何？若諸極微遍體相觸，即有</w:t>
      </w:r>
      <w:r w:rsidR="00E83851">
        <w:rPr>
          <w:rFonts w:ascii="標楷體" w:eastAsia="標楷體" w:hAnsi="標楷體" w:hint="eastAsia"/>
          <w:bCs/>
          <w:color w:val="FF0000"/>
          <w:kern w:val="0"/>
          <w:highlight w:val="yellow"/>
        </w:rPr>
        <w:t>「</w:t>
      </w:r>
      <w:r w:rsidRPr="00212D57">
        <w:rPr>
          <w:rFonts w:ascii="標楷體" w:eastAsia="標楷體" w:hAnsi="標楷體" w:hint="eastAsia"/>
          <w:szCs w:val="22"/>
        </w:rPr>
        <w:t>實物體相雜</w:t>
      </w:r>
      <w:r w:rsidR="00E83851">
        <w:rPr>
          <w:rFonts w:ascii="標楷體" w:eastAsia="標楷體" w:hAnsi="標楷體" w:hint="eastAsia"/>
          <w:bCs/>
          <w:color w:val="FF0000"/>
          <w:kern w:val="0"/>
          <w:highlight w:val="yellow"/>
        </w:rPr>
        <w:t>」</w:t>
      </w:r>
      <w:r w:rsidRPr="00212D57">
        <w:rPr>
          <w:rFonts w:ascii="標楷體" w:eastAsia="標楷體" w:hAnsi="標楷體" w:hint="eastAsia"/>
          <w:szCs w:val="22"/>
        </w:rPr>
        <w:t>過；若觸一分</w:t>
      </w:r>
      <w:r w:rsidR="00C17B13" w:rsidRPr="00C17B13">
        <w:rPr>
          <w:rFonts w:ascii="標楷體" w:eastAsia="標楷體" w:hAnsi="標楷體" w:hint="eastAsia"/>
          <w:color w:val="FF0000"/>
          <w:szCs w:val="22"/>
          <w:highlight w:val="yellow"/>
        </w:rPr>
        <w:t>，</w:t>
      </w:r>
      <w:r w:rsidRPr="00212D57">
        <w:rPr>
          <w:rFonts w:ascii="標楷體" w:eastAsia="標楷體" w:hAnsi="標楷體" w:hint="eastAsia"/>
          <w:szCs w:val="22"/>
        </w:rPr>
        <w:t>成</w:t>
      </w:r>
      <w:r w:rsidR="00E83851">
        <w:rPr>
          <w:rFonts w:ascii="標楷體" w:eastAsia="標楷體" w:hAnsi="標楷體" w:hint="eastAsia"/>
          <w:bCs/>
          <w:color w:val="FF0000"/>
          <w:kern w:val="0"/>
          <w:highlight w:val="yellow"/>
        </w:rPr>
        <w:t>「</w:t>
      </w:r>
      <w:r w:rsidRPr="00212D57">
        <w:rPr>
          <w:rFonts w:ascii="標楷體" w:eastAsia="標楷體" w:hAnsi="標楷體" w:hint="eastAsia"/>
          <w:szCs w:val="22"/>
        </w:rPr>
        <w:t>有分</w:t>
      </w:r>
      <w:r w:rsidR="00E83851">
        <w:rPr>
          <w:rFonts w:ascii="標楷體" w:eastAsia="標楷體" w:hAnsi="標楷體" w:hint="eastAsia"/>
          <w:bCs/>
          <w:color w:val="FF0000"/>
          <w:kern w:val="0"/>
          <w:highlight w:val="yellow"/>
        </w:rPr>
        <w:t>」</w:t>
      </w:r>
      <w:r w:rsidRPr="00212D57">
        <w:rPr>
          <w:rFonts w:ascii="標楷體" w:eastAsia="標楷體" w:hAnsi="標楷體" w:hint="eastAsia"/>
          <w:szCs w:val="22"/>
        </w:rPr>
        <w:t>失</w:t>
      </w:r>
      <w:r w:rsidRPr="00C17B13">
        <w:rPr>
          <w:rFonts w:ascii="標楷體" w:eastAsia="標楷體" w:hAnsi="標楷體" w:hint="eastAsia"/>
          <w:szCs w:val="22"/>
          <w:shd w:val="pct15" w:color="auto" w:fill="FFFFFF"/>
        </w:rPr>
        <w:t>……</w:t>
      </w:r>
    </w:p>
    <w:p w:rsidR="00C17B13" w:rsidRDefault="00157EF6" w:rsidP="002B682F">
      <w:pPr>
        <w:pStyle w:val="a5"/>
        <w:tabs>
          <w:tab w:val="left" w:pos="284"/>
        </w:tabs>
        <w:ind w:leftChars="335" w:left="804"/>
        <w:jc w:val="both"/>
        <w:rPr>
          <w:rFonts w:ascii="標楷體" w:eastAsia="標楷體" w:hAnsi="標楷體"/>
          <w:szCs w:val="22"/>
        </w:rPr>
      </w:pPr>
      <w:r w:rsidRPr="00C17B13">
        <w:rPr>
          <w:rFonts w:ascii="標楷體" w:eastAsia="標楷體" w:hAnsi="標楷體" w:hint="eastAsia"/>
          <w:szCs w:val="22"/>
          <w:highlight w:val="yellow"/>
        </w:rPr>
        <w:t>尊</w:t>
      </w:r>
      <w:r w:rsidRPr="00212D57">
        <w:rPr>
          <w:rFonts w:ascii="標楷體" w:eastAsia="標楷體" w:hAnsi="標楷體" w:hint="eastAsia"/>
          <w:szCs w:val="22"/>
        </w:rPr>
        <w:t>者世友說</w:t>
      </w:r>
      <w:r w:rsidRPr="00C17B13">
        <w:rPr>
          <w:rFonts w:ascii="標楷體" w:eastAsia="標楷體" w:hAnsi="標楷體" w:hint="eastAsia"/>
          <w:szCs w:val="22"/>
          <w:highlight w:val="yellow"/>
        </w:rPr>
        <w:t>：諸</w:t>
      </w:r>
      <w:r w:rsidRPr="00212D57">
        <w:rPr>
          <w:rFonts w:ascii="標楷體" w:eastAsia="標楷體" w:hAnsi="標楷體" w:hint="eastAsia"/>
          <w:szCs w:val="22"/>
        </w:rPr>
        <w:t>極微相觸</w:t>
      </w:r>
      <w:r w:rsidR="00C17B13" w:rsidRPr="00C17B13">
        <w:rPr>
          <w:rFonts w:ascii="標楷體" w:eastAsia="標楷體" w:hAnsi="標楷體" w:hint="eastAsia"/>
          <w:color w:val="FF0000"/>
          <w:szCs w:val="22"/>
          <w:highlight w:val="yellow"/>
        </w:rPr>
        <w:t>，</w:t>
      </w:r>
      <w:r w:rsidRPr="00212D57">
        <w:rPr>
          <w:rFonts w:ascii="標楷體" w:eastAsia="標楷體" w:hAnsi="標楷體" w:hint="eastAsia"/>
          <w:szCs w:val="22"/>
        </w:rPr>
        <w:t>即應住至後念。</w:t>
      </w:r>
    </w:p>
    <w:p w:rsidR="00C17B13" w:rsidRDefault="00157EF6" w:rsidP="002B682F">
      <w:pPr>
        <w:pStyle w:val="a5"/>
        <w:tabs>
          <w:tab w:val="left" w:pos="284"/>
        </w:tabs>
        <w:ind w:leftChars="335" w:left="804"/>
        <w:jc w:val="both"/>
        <w:rPr>
          <w:rFonts w:ascii="標楷體" w:eastAsia="標楷體" w:hAnsi="標楷體"/>
          <w:szCs w:val="22"/>
        </w:rPr>
      </w:pPr>
      <w:r w:rsidRPr="00C17B13">
        <w:rPr>
          <w:rFonts w:ascii="標楷體" w:eastAsia="標楷體" w:hAnsi="標楷體" w:hint="eastAsia"/>
          <w:szCs w:val="22"/>
          <w:highlight w:val="yellow"/>
        </w:rPr>
        <w:t>然</w:t>
      </w:r>
      <w:r w:rsidRPr="00212D57">
        <w:rPr>
          <w:rFonts w:ascii="標楷體" w:eastAsia="標楷體" w:hAnsi="標楷體" w:hint="eastAsia"/>
          <w:szCs w:val="22"/>
        </w:rPr>
        <w:t>大德說</w:t>
      </w:r>
      <w:r w:rsidRPr="00C17B13">
        <w:rPr>
          <w:rFonts w:ascii="標楷體" w:eastAsia="標楷體" w:hAnsi="標楷體" w:hint="eastAsia"/>
          <w:szCs w:val="22"/>
          <w:highlight w:val="yellow"/>
        </w:rPr>
        <w:t>：一</w:t>
      </w:r>
      <w:r w:rsidRPr="00212D57">
        <w:rPr>
          <w:rFonts w:ascii="標楷體" w:eastAsia="標楷體" w:hAnsi="標楷體" w:hint="eastAsia"/>
          <w:szCs w:val="22"/>
        </w:rPr>
        <w:t>切極微實不相觸，但由無間假立</w:t>
      </w:r>
      <w:r w:rsidR="00C17B13">
        <w:rPr>
          <w:rFonts w:ascii="標楷體" w:eastAsia="標楷體" w:hAnsi="標楷體" w:hint="eastAsia"/>
          <w:bCs/>
          <w:color w:val="FF0000"/>
          <w:kern w:val="0"/>
          <w:highlight w:val="yellow"/>
        </w:rPr>
        <w:t>「</w:t>
      </w:r>
      <w:r w:rsidRPr="00212D57">
        <w:rPr>
          <w:rFonts w:ascii="標楷體" w:eastAsia="標楷體" w:hAnsi="標楷體" w:hint="eastAsia"/>
          <w:szCs w:val="22"/>
        </w:rPr>
        <w:t>觸</w:t>
      </w:r>
      <w:r w:rsidR="00C17B13">
        <w:rPr>
          <w:rFonts w:ascii="標楷體" w:eastAsia="標楷體" w:hAnsi="標楷體" w:hint="eastAsia"/>
          <w:bCs/>
          <w:color w:val="FF0000"/>
          <w:kern w:val="0"/>
          <w:highlight w:val="yellow"/>
        </w:rPr>
        <w:t>」</w:t>
      </w:r>
      <w:r w:rsidRPr="00212D57">
        <w:rPr>
          <w:rFonts w:ascii="標楷體" w:eastAsia="標楷體" w:hAnsi="標楷體" w:hint="eastAsia"/>
          <w:szCs w:val="22"/>
        </w:rPr>
        <w:t>名</w:t>
      </w:r>
      <w:r w:rsidRPr="00C17B13">
        <w:rPr>
          <w:rFonts w:ascii="標楷體" w:eastAsia="標楷體" w:hAnsi="標楷體" w:hint="eastAsia"/>
          <w:szCs w:val="22"/>
          <w:highlight w:val="yellow"/>
        </w:rPr>
        <w:t>。</w:t>
      </w:r>
    </w:p>
    <w:p w:rsidR="00157EF6" w:rsidRPr="00212D57" w:rsidRDefault="00157EF6" w:rsidP="002B682F">
      <w:pPr>
        <w:pStyle w:val="a5"/>
        <w:tabs>
          <w:tab w:val="left" w:pos="284"/>
        </w:tabs>
        <w:ind w:leftChars="335" w:left="804"/>
        <w:jc w:val="both"/>
        <w:rPr>
          <w:szCs w:val="22"/>
        </w:rPr>
      </w:pPr>
      <w:r w:rsidRPr="00C17B13">
        <w:rPr>
          <w:rFonts w:ascii="標楷體" w:eastAsia="標楷體" w:hAnsi="標楷體" w:hint="eastAsia"/>
          <w:szCs w:val="22"/>
          <w:highlight w:val="yellow"/>
        </w:rPr>
        <w:t>此</w:t>
      </w:r>
      <w:r w:rsidRPr="00212D57">
        <w:rPr>
          <w:rFonts w:ascii="標楷體" w:eastAsia="標楷體" w:hAnsi="標楷體" w:hint="eastAsia"/>
          <w:szCs w:val="22"/>
        </w:rPr>
        <w:t>大德意</w:t>
      </w:r>
      <w:r w:rsidR="00C17B13">
        <w:rPr>
          <w:rFonts w:ascii="標楷體" w:eastAsia="標楷體" w:hAnsi="標楷體" w:hint="eastAsia"/>
          <w:color w:val="FF0000"/>
          <w:kern w:val="0"/>
          <w:highlight w:val="yellow"/>
        </w:rPr>
        <w:t>，</w:t>
      </w:r>
      <w:r w:rsidRPr="00212D57">
        <w:rPr>
          <w:rFonts w:ascii="標楷體" w:eastAsia="標楷體" w:hAnsi="標楷體" w:hint="eastAsia"/>
          <w:szCs w:val="22"/>
        </w:rPr>
        <w:t>應可愛樂</w:t>
      </w:r>
      <w:r w:rsidR="00C17B13">
        <w:rPr>
          <w:rFonts w:ascii="標楷體" w:eastAsia="標楷體" w:hAnsi="標楷體" w:hint="eastAsia"/>
          <w:color w:val="FF0000"/>
          <w:szCs w:val="22"/>
          <w:highlight w:val="yellow"/>
        </w:rPr>
        <w:t>！</w:t>
      </w:r>
      <w:r w:rsidRPr="00212D57">
        <w:rPr>
          <w:rFonts w:ascii="標楷體" w:eastAsia="標楷體" w:hAnsi="標楷體" w:hint="eastAsia"/>
          <w:szCs w:val="22"/>
        </w:rPr>
        <w:t>若異此者，是諸極微應有間隙，中間既空</w:t>
      </w:r>
      <w:r w:rsidR="00C17B13">
        <w:rPr>
          <w:rFonts w:ascii="標楷體" w:eastAsia="標楷體" w:hAnsi="標楷體" w:hint="eastAsia"/>
          <w:color w:val="FF0000"/>
          <w:kern w:val="0"/>
          <w:highlight w:val="yellow"/>
        </w:rPr>
        <w:t>，</w:t>
      </w:r>
      <w:r w:rsidRPr="00212D57">
        <w:rPr>
          <w:rFonts w:ascii="標楷體" w:eastAsia="標楷體" w:hAnsi="標楷體" w:hint="eastAsia"/>
          <w:szCs w:val="22"/>
        </w:rPr>
        <w:t>誰障其行</w:t>
      </w:r>
      <w:r w:rsidR="00C17B13">
        <w:rPr>
          <w:rFonts w:ascii="標楷體" w:eastAsia="標楷體" w:hAnsi="標楷體" w:hint="eastAsia"/>
          <w:color w:val="FF0000"/>
          <w:spacing w:val="-4"/>
          <w:kern w:val="0"/>
          <w:highlight w:val="yellow"/>
        </w:rPr>
        <w:t>、</w:t>
      </w:r>
      <w:r w:rsidRPr="00212D57">
        <w:rPr>
          <w:rFonts w:ascii="標楷體" w:eastAsia="標楷體" w:hAnsi="標楷體" w:hint="eastAsia"/>
          <w:szCs w:val="22"/>
        </w:rPr>
        <w:t>許為</w:t>
      </w:r>
      <w:r w:rsidR="00E83851">
        <w:rPr>
          <w:rFonts w:ascii="標楷體" w:eastAsia="標楷體" w:hAnsi="標楷體" w:hint="eastAsia"/>
          <w:bCs/>
          <w:color w:val="FF0000"/>
          <w:kern w:val="0"/>
          <w:highlight w:val="yellow"/>
        </w:rPr>
        <w:t>「</w:t>
      </w:r>
      <w:r w:rsidRPr="00212D57">
        <w:rPr>
          <w:rFonts w:ascii="標楷體" w:eastAsia="標楷體" w:hAnsi="標楷體" w:hint="eastAsia"/>
          <w:szCs w:val="22"/>
        </w:rPr>
        <w:t>有對</w:t>
      </w:r>
      <w:r w:rsidR="00E83851">
        <w:rPr>
          <w:rFonts w:ascii="標楷體" w:eastAsia="標楷體" w:hAnsi="標楷體" w:hint="eastAsia"/>
          <w:bCs/>
          <w:color w:val="FF0000"/>
          <w:kern w:val="0"/>
          <w:highlight w:val="yellow"/>
        </w:rPr>
        <w:t>」</w:t>
      </w:r>
      <w:r w:rsidR="00C17B13">
        <w:rPr>
          <w:rFonts w:ascii="標楷體" w:eastAsia="標楷體" w:hAnsi="標楷體" w:hint="eastAsia"/>
          <w:color w:val="FF0000"/>
          <w:szCs w:val="22"/>
          <w:highlight w:val="yellow"/>
        </w:rPr>
        <w:t>？</w:t>
      </w:r>
      <w:r w:rsidRPr="00212D57">
        <w:rPr>
          <w:rFonts w:ascii="標楷體" w:eastAsia="標楷體" w:hAnsi="標楷體" w:hint="eastAsia"/>
          <w:szCs w:val="22"/>
        </w:rPr>
        <w:t>又離</w:t>
      </w:r>
      <w:r w:rsidR="00E83851">
        <w:rPr>
          <w:rFonts w:ascii="標楷體" w:eastAsia="標楷體" w:hAnsi="標楷體" w:hint="eastAsia"/>
          <w:bCs/>
          <w:color w:val="FF0000"/>
          <w:kern w:val="0"/>
          <w:highlight w:val="yellow"/>
        </w:rPr>
        <w:t>「</w:t>
      </w:r>
      <w:r w:rsidRPr="00212D57">
        <w:rPr>
          <w:rFonts w:ascii="標楷體" w:eastAsia="標楷體" w:hAnsi="標楷體" w:hint="eastAsia"/>
          <w:szCs w:val="22"/>
        </w:rPr>
        <w:t>極微</w:t>
      </w:r>
      <w:r w:rsidR="00E83851">
        <w:rPr>
          <w:rFonts w:ascii="標楷體" w:eastAsia="標楷體" w:hAnsi="標楷體" w:hint="eastAsia"/>
          <w:bCs/>
          <w:color w:val="FF0000"/>
          <w:kern w:val="0"/>
          <w:highlight w:val="yellow"/>
        </w:rPr>
        <w:t>」</w:t>
      </w:r>
      <w:r w:rsidRPr="00212D57">
        <w:rPr>
          <w:rFonts w:ascii="標楷體" w:eastAsia="標楷體" w:hAnsi="標楷體" w:hint="eastAsia"/>
          <w:szCs w:val="22"/>
        </w:rPr>
        <w:t>無和合色，和合相觸</w:t>
      </w:r>
      <w:r w:rsidR="00C17B13">
        <w:rPr>
          <w:rFonts w:ascii="標楷體" w:eastAsia="標楷體" w:hAnsi="標楷體" w:hint="eastAsia"/>
          <w:color w:val="FF0000"/>
          <w:kern w:val="0"/>
          <w:highlight w:val="yellow"/>
        </w:rPr>
        <w:t>，</w:t>
      </w:r>
      <w:r w:rsidRPr="00212D57">
        <w:rPr>
          <w:rFonts w:ascii="標楷體" w:eastAsia="標楷體" w:hAnsi="標楷體" w:hint="eastAsia"/>
          <w:szCs w:val="22"/>
        </w:rPr>
        <w:t>即觸</w:t>
      </w:r>
      <w:r w:rsidR="00E83851">
        <w:rPr>
          <w:rFonts w:ascii="標楷體" w:eastAsia="標楷體" w:hAnsi="標楷體" w:hint="eastAsia"/>
          <w:bCs/>
          <w:color w:val="FF0000"/>
          <w:kern w:val="0"/>
          <w:highlight w:val="yellow"/>
        </w:rPr>
        <w:t>「</w:t>
      </w:r>
      <w:r w:rsidR="00E83851" w:rsidRPr="00212D57">
        <w:rPr>
          <w:rFonts w:ascii="標楷體" w:eastAsia="標楷體" w:hAnsi="標楷體" w:hint="eastAsia"/>
          <w:szCs w:val="22"/>
        </w:rPr>
        <w:t>極微</w:t>
      </w:r>
      <w:r w:rsidR="00E83851">
        <w:rPr>
          <w:rFonts w:ascii="標楷體" w:eastAsia="標楷體" w:hAnsi="標楷體" w:hint="eastAsia"/>
          <w:bCs/>
          <w:color w:val="FF0000"/>
          <w:kern w:val="0"/>
          <w:highlight w:val="yellow"/>
        </w:rPr>
        <w:t>」</w:t>
      </w:r>
      <w:r w:rsidRPr="00212D57">
        <w:rPr>
          <w:rFonts w:ascii="標楷體" w:eastAsia="標楷體" w:hAnsi="標楷體" w:hint="eastAsia"/>
          <w:szCs w:val="22"/>
        </w:rPr>
        <w:t>，如可變礙</w:t>
      </w:r>
      <w:r w:rsidR="00C17B13">
        <w:rPr>
          <w:rFonts w:ascii="標楷體" w:eastAsia="標楷體" w:hAnsi="標楷體" w:hint="eastAsia"/>
          <w:color w:val="FF0000"/>
          <w:kern w:val="0"/>
          <w:highlight w:val="yellow"/>
        </w:rPr>
        <w:t>，</w:t>
      </w:r>
      <w:r w:rsidRPr="00212D57">
        <w:rPr>
          <w:rFonts w:ascii="標楷體" w:eastAsia="標楷體" w:hAnsi="標楷體" w:hint="eastAsia"/>
          <w:szCs w:val="22"/>
        </w:rPr>
        <w:t>此亦應爾。又許</w:t>
      </w:r>
      <w:r w:rsidR="00E83851">
        <w:rPr>
          <w:rFonts w:ascii="標楷體" w:eastAsia="標楷體" w:hAnsi="標楷體" w:hint="eastAsia"/>
          <w:bCs/>
          <w:color w:val="FF0000"/>
          <w:kern w:val="0"/>
          <w:highlight w:val="yellow"/>
        </w:rPr>
        <w:t>「</w:t>
      </w:r>
      <w:r w:rsidRPr="00212D57">
        <w:rPr>
          <w:rFonts w:ascii="標楷體" w:eastAsia="標楷體" w:hAnsi="標楷體" w:hint="eastAsia"/>
          <w:szCs w:val="22"/>
        </w:rPr>
        <w:t>極微</w:t>
      </w:r>
      <w:r w:rsidR="00E83851">
        <w:rPr>
          <w:rFonts w:ascii="標楷體" w:eastAsia="標楷體" w:hAnsi="標楷體" w:hint="eastAsia"/>
          <w:bCs/>
          <w:color w:val="FF0000"/>
          <w:kern w:val="0"/>
          <w:highlight w:val="yellow"/>
        </w:rPr>
        <w:t>」</w:t>
      </w:r>
      <w:r w:rsidR="00C17B13">
        <w:rPr>
          <w:rFonts w:ascii="標楷體" w:eastAsia="標楷體" w:hAnsi="標楷體" w:hint="eastAsia"/>
          <w:color w:val="FF0000"/>
          <w:kern w:val="0"/>
          <w:highlight w:val="yellow"/>
        </w:rPr>
        <w:t>──</w:t>
      </w:r>
      <w:r w:rsidRPr="00212D57">
        <w:rPr>
          <w:rFonts w:ascii="標楷體" w:eastAsia="標楷體" w:hAnsi="標楷體" w:hint="eastAsia"/>
          <w:szCs w:val="22"/>
        </w:rPr>
        <w:t>若</w:t>
      </w:r>
      <w:r w:rsidR="00C17B13">
        <w:rPr>
          <w:rFonts w:ascii="標楷體" w:eastAsia="標楷體" w:hAnsi="標楷體" w:hint="eastAsia"/>
          <w:bCs/>
          <w:color w:val="FF0000"/>
          <w:kern w:val="0"/>
          <w:highlight w:val="yellow"/>
        </w:rPr>
        <w:t>「</w:t>
      </w:r>
      <w:r w:rsidRPr="00212D57">
        <w:rPr>
          <w:rFonts w:ascii="標楷體" w:eastAsia="標楷體" w:hAnsi="標楷體" w:hint="eastAsia"/>
          <w:szCs w:val="22"/>
        </w:rPr>
        <w:t>有方分</w:t>
      </w:r>
      <w:r w:rsidR="00C17B13">
        <w:rPr>
          <w:rFonts w:ascii="標楷體" w:eastAsia="標楷體" w:hAnsi="標楷體" w:hint="eastAsia"/>
          <w:bCs/>
          <w:color w:val="FF0000"/>
          <w:kern w:val="0"/>
          <w:highlight w:val="yellow"/>
        </w:rPr>
        <w:t>」</w:t>
      </w:r>
      <w:r w:rsidRPr="00212D57">
        <w:rPr>
          <w:rFonts w:ascii="標楷體" w:eastAsia="標楷體" w:hAnsi="標楷體" w:hint="eastAsia"/>
          <w:szCs w:val="22"/>
        </w:rPr>
        <w:t>，觸與不觸</w:t>
      </w:r>
      <w:r w:rsidR="00C17B13">
        <w:rPr>
          <w:rFonts w:ascii="標楷體" w:eastAsia="標楷體" w:hAnsi="標楷體" w:hint="eastAsia"/>
          <w:color w:val="FF0000"/>
          <w:kern w:val="0"/>
          <w:highlight w:val="yellow"/>
        </w:rPr>
        <w:t>，</w:t>
      </w:r>
      <w:r w:rsidRPr="00212D57">
        <w:rPr>
          <w:rFonts w:ascii="標楷體" w:eastAsia="標楷體" w:hAnsi="標楷體" w:hint="eastAsia"/>
          <w:szCs w:val="22"/>
        </w:rPr>
        <w:t>皆應有分；若</w:t>
      </w:r>
      <w:r w:rsidR="00C17B13">
        <w:rPr>
          <w:rFonts w:ascii="標楷體" w:eastAsia="標楷體" w:hAnsi="標楷體" w:hint="eastAsia"/>
          <w:bCs/>
          <w:color w:val="FF0000"/>
          <w:kern w:val="0"/>
          <w:highlight w:val="yellow"/>
        </w:rPr>
        <w:t>「</w:t>
      </w:r>
      <w:r w:rsidRPr="00212D57">
        <w:rPr>
          <w:rFonts w:ascii="標楷體" w:eastAsia="標楷體" w:hAnsi="標楷體" w:hint="eastAsia"/>
          <w:szCs w:val="22"/>
        </w:rPr>
        <w:t>無方分</w:t>
      </w:r>
      <w:r w:rsidR="00C17B13">
        <w:rPr>
          <w:rFonts w:ascii="標楷體" w:eastAsia="標楷體" w:hAnsi="標楷體" w:hint="eastAsia"/>
          <w:bCs/>
          <w:color w:val="FF0000"/>
          <w:kern w:val="0"/>
          <w:highlight w:val="yellow"/>
        </w:rPr>
        <w:t>」</w:t>
      </w:r>
      <w:r w:rsidRPr="00212D57">
        <w:rPr>
          <w:rFonts w:ascii="標楷體" w:eastAsia="標楷體" w:hAnsi="標楷體" w:hint="eastAsia"/>
          <w:szCs w:val="22"/>
        </w:rPr>
        <w:t>，設許相觸</w:t>
      </w:r>
      <w:r w:rsidR="00C17B13">
        <w:rPr>
          <w:rFonts w:ascii="標楷體" w:eastAsia="標楷體" w:hAnsi="標楷體" w:hint="eastAsia"/>
          <w:color w:val="FF0000"/>
          <w:kern w:val="0"/>
          <w:highlight w:val="yellow"/>
        </w:rPr>
        <w:t>，</w:t>
      </w:r>
      <w:r w:rsidRPr="00212D57">
        <w:rPr>
          <w:rFonts w:ascii="標楷體" w:eastAsia="標楷體" w:hAnsi="標楷體" w:hint="eastAsia"/>
          <w:szCs w:val="22"/>
        </w:rPr>
        <w:t>亦無斯過。</w:t>
      </w:r>
    </w:p>
    <w:p w:rsidR="00157EF6" w:rsidRPr="00212D57" w:rsidRDefault="00157EF6" w:rsidP="002B682F">
      <w:pPr>
        <w:pStyle w:val="a5"/>
        <w:ind w:leftChars="105" w:left="791" w:hangingChars="245" w:hanging="539"/>
        <w:jc w:val="both"/>
        <w:rPr>
          <w:rFonts w:eastAsia="Times New Roman"/>
          <w:szCs w:val="22"/>
        </w:rPr>
      </w:pPr>
      <w:r w:rsidRPr="00212D57">
        <w:rPr>
          <w:rFonts w:hint="eastAsia"/>
          <w:szCs w:val="22"/>
        </w:rPr>
        <w:t>（</w:t>
      </w:r>
      <w:r w:rsidRPr="00761EF3">
        <w:rPr>
          <w:rFonts w:hint="eastAsia"/>
          <w:szCs w:val="22"/>
        </w:rPr>
        <w:t>3</w:t>
      </w:r>
      <w:r w:rsidRPr="00212D57">
        <w:rPr>
          <w:rFonts w:hint="eastAsia"/>
          <w:szCs w:val="22"/>
        </w:rPr>
        <w:t>）</w:t>
      </w:r>
      <w:r w:rsidRPr="00212D57">
        <w:rPr>
          <w:rFonts w:ascii="新細明體" w:hAnsi="新細明體" w:cs="Calibri"/>
          <w:szCs w:val="22"/>
        </w:rPr>
        <w:t>〔唐〕惠沼述</w:t>
      </w:r>
      <w:r w:rsidRPr="00212D57">
        <w:rPr>
          <w:rFonts w:ascii="新細明體" w:hAnsi="新細明體" w:cs="Calibri" w:hint="eastAsia"/>
          <w:szCs w:val="22"/>
        </w:rPr>
        <w:t>，</w:t>
      </w:r>
      <w:r w:rsidRPr="00212D57">
        <w:rPr>
          <w:rFonts w:ascii="新細明體" w:hAnsi="新細明體" w:hint="eastAsia"/>
          <w:szCs w:val="22"/>
          <w:lang w:eastAsia="zh-HK"/>
        </w:rPr>
        <w:t>《成唯識論了義燈》卷</w:t>
      </w:r>
      <w:r w:rsidRPr="00761EF3">
        <w:rPr>
          <w:rFonts w:eastAsia="Times New Roman"/>
          <w:szCs w:val="22"/>
        </w:rPr>
        <w:t>2</w:t>
      </w:r>
      <w:r w:rsidRPr="00212D57">
        <w:rPr>
          <w:rFonts w:ascii="新細明體" w:hAnsi="新細明體" w:hint="eastAsia"/>
          <w:szCs w:val="22"/>
        </w:rPr>
        <w:t>（大正</w:t>
      </w:r>
      <w:r w:rsidRPr="00761EF3">
        <w:rPr>
          <w:rFonts w:eastAsia="Times New Roman"/>
          <w:szCs w:val="22"/>
        </w:rPr>
        <w:t>43</w:t>
      </w:r>
      <w:r w:rsidRPr="00212D57">
        <w:rPr>
          <w:rFonts w:ascii="新細明體" w:hAnsi="新細明體" w:hint="eastAsia"/>
          <w:szCs w:val="22"/>
        </w:rPr>
        <w:t>，</w:t>
      </w:r>
      <w:r w:rsidRPr="00761EF3">
        <w:rPr>
          <w:rFonts w:eastAsia="Times New Roman"/>
          <w:szCs w:val="22"/>
        </w:rPr>
        <w:t>691c29</w:t>
      </w:r>
      <w:r w:rsidRPr="00212D57">
        <w:rPr>
          <w:rFonts w:eastAsia="Times New Roman"/>
          <w:szCs w:val="22"/>
        </w:rPr>
        <w:t>-</w:t>
      </w:r>
      <w:r w:rsidRPr="00761EF3">
        <w:rPr>
          <w:rFonts w:eastAsia="Times New Roman"/>
          <w:szCs w:val="22"/>
        </w:rPr>
        <w:t>692a9</w:t>
      </w:r>
      <w:r w:rsidRPr="00212D57">
        <w:rPr>
          <w:rFonts w:ascii="新細明體" w:hAnsi="新細明體" w:hint="eastAsia"/>
          <w:szCs w:val="22"/>
        </w:rPr>
        <w:t>）</w:t>
      </w:r>
      <w:r w:rsidRPr="00212D57">
        <w:rPr>
          <w:rFonts w:ascii="新細明體" w:hAnsi="新細明體" w:hint="eastAsia"/>
          <w:szCs w:val="22"/>
          <w:lang w:eastAsia="zh-HK"/>
        </w:rPr>
        <w:t>：</w:t>
      </w:r>
    </w:p>
    <w:p w:rsidR="00157EF6" w:rsidRDefault="00157EF6" w:rsidP="002B682F">
      <w:pPr>
        <w:widowControl/>
        <w:snapToGrid w:val="0"/>
        <w:ind w:leftChars="335" w:left="804"/>
        <w:jc w:val="both"/>
        <w:rPr>
          <w:rFonts w:ascii="標楷體" w:eastAsia="標楷體" w:hAnsi="標楷體"/>
          <w:sz w:val="22"/>
          <w:szCs w:val="22"/>
        </w:rPr>
      </w:pPr>
      <w:r w:rsidRPr="00212D57">
        <w:rPr>
          <w:rFonts w:ascii="標楷體" w:eastAsia="標楷體" w:hAnsi="標楷體" w:hint="eastAsia"/>
          <w:sz w:val="22"/>
          <w:szCs w:val="22"/>
          <w:lang w:eastAsia="zh-HK"/>
        </w:rPr>
        <w:t>然此方分</w:t>
      </w:r>
      <w:r w:rsidR="00A4702C">
        <w:rPr>
          <w:rFonts w:ascii="標楷體" w:eastAsia="標楷體" w:hAnsi="標楷體" w:hint="eastAsia"/>
          <w:color w:val="FF0000"/>
          <w:kern w:val="0"/>
          <w:sz w:val="22"/>
          <w:highlight w:val="yellow"/>
        </w:rPr>
        <w:t>，</w:t>
      </w:r>
      <w:r w:rsidRPr="00212D57">
        <w:rPr>
          <w:rFonts w:ascii="標楷體" w:eastAsia="標楷體" w:hAnsi="標楷體" w:hint="eastAsia"/>
          <w:sz w:val="22"/>
          <w:szCs w:val="22"/>
          <w:lang w:eastAsia="zh-HK"/>
        </w:rPr>
        <w:t>四句分別</w:t>
      </w:r>
      <w:r w:rsidRPr="00212D57">
        <w:rPr>
          <w:rFonts w:ascii="標楷體" w:eastAsia="標楷體" w:hAnsi="標楷體" w:hint="eastAsia"/>
          <w:sz w:val="22"/>
          <w:szCs w:val="22"/>
        </w:rPr>
        <w:t>：</w:t>
      </w:r>
      <w:r w:rsidRPr="00212D57">
        <w:rPr>
          <w:rFonts w:ascii="標楷體" w:eastAsia="標楷體" w:hAnsi="標楷體" w:hint="eastAsia"/>
          <w:sz w:val="22"/>
          <w:szCs w:val="22"/>
          <w:lang w:eastAsia="zh-HK"/>
        </w:rPr>
        <w:t>一</w:t>
      </w:r>
      <w:r w:rsidRPr="00212D57">
        <w:rPr>
          <w:rFonts w:ascii="標楷體" w:eastAsia="標楷體" w:hAnsi="標楷體" w:hint="eastAsia"/>
          <w:sz w:val="22"/>
          <w:szCs w:val="22"/>
        </w:rPr>
        <w:t>、</w:t>
      </w:r>
      <w:r w:rsidRPr="00212D57">
        <w:rPr>
          <w:rFonts w:ascii="標楷體" w:eastAsia="標楷體" w:hAnsi="標楷體" w:hint="eastAsia"/>
          <w:sz w:val="22"/>
          <w:szCs w:val="22"/>
          <w:lang w:eastAsia="zh-HK"/>
        </w:rPr>
        <w:t>經部</w:t>
      </w:r>
      <w:r w:rsidR="00A4702C">
        <w:rPr>
          <w:rFonts w:ascii="標楷體" w:eastAsia="標楷體" w:hAnsi="標楷體" w:hint="eastAsia"/>
          <w:color w:val="FF0000"/>
          <w:kern w:val="0"/>
          <w:sz w:val="22"/>
          <w:highlight w:val="yellow"/>
        </w:rPr>
        <w:t>──</w:t>
      </w:r>
      <w:r w:rsidRPr="00212D57">
        <w:rPr>
          <w:rFonts w:ascii="標楷體" w:eastAsia="標楷體" w:hAnsi="標楷體" w:hint="eastAsia"/>
          <w:sz w:val="22"/>
          <w:szCs w:val="22"/>
          <w:lang w:eastAsia="zh-HK"/>
        </w:rPr>
        <w:t>實</w:t>
      </w:r>
      <w:r w:rsidR="00A4702C">
        <w:rPr>
          <w:rFonts w:ascii="標楷體" w:eastAsia="標楷體" w:hAnsi="標楷體" w:hint="eastAsia"/>
          <w:bCs/>
          <w:color w:val="FF0000"/>
          <w:kern w:val="0"/>
          <w:sz w:val="22"/>
          <w:highlight w:val="yellow"/>
        </w:rPr>
        <w:t>「</w:t>
      </w:r>
      <w:r w:rsidRPr="00212D57">
        <w:rPr>
          <w:rFonts w:ascii="標楷體" w:eastAsia="標楷體" w:hAnsi="標楷體" w:hint="eastAsia"/>
          <w:sz w:val="22"/>
          <w:szCs w:val="22"/>
          <w:lang w:eastAsia="zh-HK"/>
        </w:rPr>
        <w:t>極微</w:t>
      </w:r>
      <w:r w:rsidR="00A4702C">
        <w:rPr>
          <w:rFonts w:ascii="標楷體" w:eastAsia="標楷體" w:hAnsi="標楷體" w:hint="eastAsia"/>
          <w:bCs/>
          <w:color w:val="FF0000"/>
          <w:kern w:val="0"/>
          <w:sz w:val="22"/>
          <w:highlight w:val="yellow"/>
        </w:rPr>
        <w:t>」</w:t>
      </w:r>
      <w:r w:rsidR="00A4702C">
        <w:rPr>
          <w:rFonts w:ascii="標楷體" w:eastAsia="標楷體" w:hAnsi="標楷體" w:hint="eastAsia"/>
          <w:color w:val="FF0000"/>
          <w:kern w:val="0"/>
          <w:sz w:val="22"/>
          <w:highlight w:val="yellow"/>
        </w:rPr>
        <w:t>，</w:t>
      </w:r>
      <w:r w:rsidRPr="00212D57">
        <w:rPr>
          <w:rFonts w:ascii="標楷體" w:eastAsia="標楷體" w:hAnsi="標楷體" w:hint="eastAsia"/>
          <w:sz w:val="22"/>
          <w:szCs w:val="22"/>
          <w:lang w:eastAsia="zh-HK"/>
        </w:rPr>
        <w:t>有方分</w:t>
      </w:r>
      <w:r w:rsidR="00A4702C">
        <w:rPr>
          <w:rFonts w:ascii="標楷體" w:eastAsia="標楷體" w:hAnsi="標楷體" w:hint="eastAsia"/>
          <w:color w:val="FF0000"/>
          <w:spacing w:val="-4"/>
          <w:kern w:val="0"/>
          <w:sz w:val="22"/>
          <w:highlight w:val="yellow"/>
        </w:rPr>
        <w:t>。</w:t>
      </w:r>
      <w:r w:rsidRPr="00212D57">
        <w:rPr>
          <w:rFonts w:ascii="標楷體" w:eastAsia="標楷體" w:hAnsi="標楷體" w:hint="eastAsia"/>
          <w:sz w:val="22"/>
          <w:szCs w:val="22"/>
          <w:lang w:eastAsia="zh-HK"/>
        </w:rPr>
        <w:t>二</w:t>
      </w:r>
      <w:r w:rsidRPr="00212D57">
        <w:rPr>
          <w:rFonts w:ascii="標楷體" w:eastAsia="標楷體" w:hAnsi="標楷體" w:hint="eastAsia"/>
          <w:sz w:val="22"/>
          <w:szCs w:val="22"/>
        </w:rPr>
        <w:t>、</w:t>
      </w:r>
      <w:r w:rsidRPr="00212D57">
        <w:rPr>
          <w:rFonts w:ascii="標楷體" w:eastAsia="標楷體" w:hAnsi="標楷體" w:hint="eastAsia"/>
          <w:sz w:val="22"/>
          <w:szCs w:val="22"/>
          <w:lang w:eastAsia="zh-HK"/>
        </w:rPr>
        <w:t>薩婆多</w:t>
      </w:r>
      <w:r w:rsidR="00A4702C">
        <w:rPr>
          <w:rFonts w:ascii="標楷體" w:eastAsia="標楷體" w:hAnsi="標楷體" w:hint="eastAsia"/>
          <w:color w:val="FF0000"/>
          <w:kern w:val="0"/>
          <w:sz w:val="22"/>
          <w:highlight w:val="yellow"/>
        </w:rPr>
        <w:t>──</w:t>
      </w:r>
      <w:r w:rsidRPr="00212D57">
        <w:rPr>
          <w:rFonts w:ascii="標楷體" w:eastAsia="標楷體" w:hAnsi="標楷體" w:hint="eastAsia"/>
          <w:sz w:val="22"/>
          <w:szCs w:val="22"/>
          <w:lang w:eastAsia="zh-HK"/>
        </w:rPr>
        <w:t>實</w:t>
      </w:r>
      <w:r w:rsidR="00A4702C">
        <w:rPr>
          <w:rFonts w:ascii="標楷體" w:eastAsia="標楷體" w:hAnsi="標楷體" w:hint="eastAsia"/>
          <w:bCs/>
          <w:color w:val="FF0000"/>
          <w:kern w:val="0"/>
          <w:sz w:val="22"/>
          <w:highlight w:val="yellow"/>
        </w:rPr>
        <w:t>「</w:t>
      </w:r>
      <w:r w:rsidRPr="00212D57">
        <w:rPr>
          <w:rFonts w:ascii="標楷體" w:eastAsia="標楷體" w:hAnsi="標楷體" w:hint="eastAsia"/>
          <w:sz w:val="22"/>
          <w:szCs w:val="22"/>
          <w:lang w:eastAsia="zh-HK"/>
        </w:rPr>
        <w:t>極微</w:t>
      </w:r>
      <w:r w:rsidR="00A4702C">
        <w:rPr>
          <w:rFonts w:ascii="標楷體" w:eastAsia="標楷體" w:hAnsi="標楷體" w:hint="eastAsia"/>
          <w:bCs/>
          <w:color w:val="FF0000"/>
          <w:kern w:val="0"/>
          <w:sz w:val="22"/>
          <w:highlight w:val="yellow"/>
        </w:rPr>
        <w:t>」</w:t>
      </w:r>
      <w:r w:rsidR="00A4702C">
        <w:rPr>
          <w:rFonts w:ascii="標楷體" w:eastAsia="標楷體" w:hAnsi="標楷體" w:hint="eastAsia"/>
          <w:color w:val="FF0000"/>
          <w:kern w:val="0"/>
          <w:sz w:val="22"/>
          <w:highlight w:val="yellow"/>
        </w:rPr>
        <w:t>，</w:t>
      </w:r>
      <w:r w:rsidRPr="00212D57">
        <w:rPr>
          <w:rFonts w:ascii="標楷體" w:eastAsia="標楷體" w:hAnsi="標楷體" w:hint="eastAsia"/>
          <w:sz w:val="22"/>
          <w:szCs w:val="22"/>
          <w:lang w:eastAsia="zh-HK"/>
        </w:rPr>
        <w:t>無方分</w:t>
      </w:r>
      <w:r w:rsidR="00A4702C">
        <w:rPr>
          <w:rFonts w:ascii="標楷體" w:eastAsia="標楷體" w:hAnsi="標楷體" w:hint="eastAsia"/>
          <w:color w:val="FF0000"/>
          <w:spacing w:val="-4"/>
          <w:kern w:val="0"/>
          <w:sz w:val="22"/>
          <w:highlight w:val="yellow"/>
        </w:rPr>
        <w:t>。</w:t>
      </w:r>
      <w:r w:rsidRPr="00212D57">
        <w:rPr>
          <w:rFonts w:ascii="標楷體" w:eastAsia="標楷體" w:hAnsi="標楷體" w:hint="eastAsia"/>
          <w:sz w:val="22"/>
          <w:szCs w:val="22"/>
          <w:lang w:eastAsia="zh-HK"/>
        </w:rPr>
        <w:t>三</w:t>
      </w:r>
      <w:r w:rsidRPr="00212D57">
        <w:rPr>
          <w:rFonts w:ascii="標楷體" w:eastAsia="標楷體" w:hAnsi="標楷體" w:hint="eastAsia"/>
          <w:sz w:val="22"/>
          <w:szCs w:val="22"/>
        </w:rPr>
        <w:t>、</w:t>
      </w:r>
      <w:r w:rsidRPr="00212D57">
        <w:rPr>
          <w:rFonts w:ascii="標楷體" w:eastAsia="標楷體" w:hAnsi="標楷體" w:hint="eastAsia"/>
          <w:sz w:val="22"/>
          <w:szCs w:val="22"/>
          <w:lang w:eastAsia="zh-HK"/>
        </w:rPr>
        <w:t>大乘</w:t>
      </w:r>
      <w:r w:rsidR="00A4702C">
        <w:rPr>
          <w:rFonts w:ascii="標楷體" w:eastAsia="標楷體" w:hAnsi="標楷體" w:hint="eastAsia"/>
          <w:color w:val="FF0000"/>
          <w:kern w:val="0"/>
          <w:sz w:val="22"/>
          <w:highlight w:val="yellow"/>
        </w:rPr>
        <w:t>──</w:t>
      </w:r>
      <w:r w:rsidRPr="00212D57">
        <w:rPr>
          <w:rFonts w:ascii="標楷體" w:eastAsia="標楷體" w:hAnsi="標楷體" w:hint="eastAsia"/>
          <w:sz w:val="22"/>
          <w:szCs w:val="22"/>
          <w:lang w:eastAsia="zh-HK"/>
        </w:rPr>
        <w:t>假</w:t>
      </w:r>
      <w:r w:rsidR="00A4702C">
        <w:rPr>
          <w:rFonts w:ascii="標楷體" w:eastAsia="標楷體" w:hAnsi="標楷體" w:hint="eastAsia"/>
          <w:bCs/>
          <w:color w:val="FF0000"/>
          <w:kern w:val="0"/>
          <w:sz w:val="22"/>
          <w:highlight w:val="yellow"/>
        </w:rPr>
        <w:t>「</w:t>
      </w:r>
      <w:r w:rsidRPr="00212D57">
        <w:rPr>
          <w:rFonts w:ascii="標楷體" w:eastAsia="標楷體" w:hAnsi="標楷體" w:hint="eastAsia"/>
          <w:sz w:val="22"/>
          <w:szCs w:val="22"/>
          <w:lang w:eastAsia="zh-HK"/>
        </w:rPr>
        <w:t>極微</w:t>
      </w:r>
      <w:r w:rsidR="00A4702C">
        <w:rPr>
          <w:rFonts w:ascii="標楷體" w:eastAsia="標楷體" w:hAnsi="標楷體" w:hint="eastAsia"/>
          <w:bCs/>
          <w:color w:val="FF0000"/>
          <w:kern w:val="0"/>
          <w:sz w:val="22"/>
          <w:highlight w:val="yellow"/>
        </w:rPr>
        <w:t>」</w:t>
      </w:r>
      <w:r w:rsidR="00A4702C">
        <w:rPr>
          <w:rFonts w:ascii="標楷體" w:eastAsia="標楷體" w:hAnsi="標楷體" w:hint="eastAsia"/>
          <w:color w:val="FF0000"/>
          <w:kern w:val="0"/>
          <w:sz w:val="22"/>
          <w:highlight w:val="yellow"/>
        </w:rPr>
        <w:t>，</w:t>
      </w:r>
      <w:r w:rsidRPr="00212D57">
        <w:rPr>
          <w:rFonts w:ascii="標楷體" w:eastAsia="標楷體" w:hAnsi="標楷體" w:hint="eastAsia"/>
          <w:sz w:val="22"/>
          <w:szCs w:val="22"/>
          <w:lang w:eastAsia="zh-HK"/>
        </w:rPr>
        <w:t>亦有方分亦無方分。所以照</w:t>
      </w:r>
      <w:r w:rsidR="00A4702C" w:rsidRPr="007900BF">
        <w:rPr>
          <w:rFonts w:ascii="Times New Roman" w:eastAsia="標楷體" w:hAnsi="Times New Roman" w:hint="eastAsia"/>
          <w:color w:val="FF0000"/>
          <w:sz w:val="22"/>
          <w:szCs w:val="22"/>
          <w:shd w:val="pct15" w:color="auto" w:fill="FFFFFF"/>
        </w:rPr>
        <w:t>*</w:t>
      </w:r>
      <w:r w:rsidR="007900BF" w:rsidRPr="007900BF">
        <w:rPr>
          <w:rFonts w:ascii="Times New Roman" w:eastAsia="標楷體" w:hAnsi="Times New Roman" w:hint="eastAsia"/>
          <w:color w:val="FF0000"/>
          <w:sz w:val="22"/>
          <w:szCs w:val="22"/>
          <w:shd w:val="pct15" w:color="auto" w:fill="FFFFFF"/>
          <w:vertAlign w:val="superscript"/>
        </w:rPr>
        <w:t>1</w:t>
      </w:r>
      <w:r w:rsidRPr="00212D57">
        <w:rPr>
          <w:rFonts w:ascii="標楷體" w:eastAsia="標楷體" w:hAnsi="標楷體" w:hint="eastAsia"/>
          <w:sz w:val="22"/>
          <w:szCs w:val="22"/>
          <w:lang w:eastAsia="zh-HK"/>
        </w:rPr>
        <w:t>者</w:t>
      </w:r>
      <w:r w:rsidRPr="00212D57">
        <w:rPr>
          <w:rFonts w:ascii="標楷體" w:eastAsia="標楷體" w:hAnsi="標楷體" w:hint="eastAsia"/>
          <w:sz w:val="22"/>
          <w:szCs w:val="22"/>
        </w:rPr>
        <w:t>，</w:t>
      </w:r>
      <w:r w:rsidRPr="00212D57">
        <w:rPr>
          <w:rFonts w:ascii="標楷體" w:eastAsia="標楷體" w:hAnsi="標楷體" w:hint="eastAsia"/>
          <w:sz w:val="22"/>
          <w:szCs w:val="22"/>
          <w:lang w:eastAsia="zh-HK"/>
        </w:rPr>
        <w:t>大假色中無極微故</w:t>
      </w:r>
      <w:r w:rsidR="00A4702C">
        <w:rPr>
          <w:rFonts w:ascii="標楷體" w:eastAsia="標楷體" w:hAnsi="標楷體" w:hint="eastAsia"/>
          <w:color w:val="FF0000"/>
          <w:kern w:val="0"/>
          <w:sz w:val="22"/>
          <w:highlight w:val="yellow"/>
        </w:rPr>
        <w:t>，</w:t>
      </w:r>
      <w:r w:rsidRPr="00212D57">
        <w:rPr>
          <w:rFonts w:ascii="標楷體" w:eastAsia="標楷體" w:hAnsi="標楷體" w:hint="eastAsia"/>
          <w:sz w:val="22"/>
          <w:szCs w:val="22"/>
          <w:lang w:eastAsia="zh-HK"/>
        </w:rPr>
        <w:t>云</w:t>
      </w:r>
      <w:r w:rsidR="00A4702C">
        <w:rPr>
          <w:rFonts w:ascii="標楷體" w:eastAsia="標楷體" w:hAnsi="標楷體" w:hint="eastAsia"/>
          <w:bCs/>
          <w:color w:val="FF0000"/>
          <w:kern w:val="0"/>
          <w:sz w:val="22"/>
          <w:highlight w:val="yellow"/>
        </w:rPr>
        <w:t>「</w:t>
      </w:r>
      <w:r w:rsidRPr="00212D57">
        <w:rPr>
          <w:rFonts w:ascii="標楷體" w:eastAsia="標楷體" w:hAnsi="標楷體" w:hint="eastAsia"/>
          <w:sz w:val="22"/>
          <w:szCs w:val="22"/>
          <w:lang w:eastAsia="zh-HK"/>
        </w:rPr>
        <w:t>無方分</w:t>
      </w:r>
      <w:r w:rsidR="00A4702C">
        <w:rPr>
          <w:rFonts w:ascii="標楷體" w:eastAsia="標楷體" w:hAnsi="標楷體" w:hint="eastAsia"/>
          <w:bCs/>
          <w:color w:val="FF0000"/>
          <w:kern w:val="0"/>
          <w:sz w:val="22"/>
          <w:highlight w:val="yellow"/>
        </w:rPr>
        <w:t>」</w:t>
      </w:r>
      <w:r w:rsidR="00A4702C">
        <w:rPr>
          <w:rFonts w:ascii="標楷體" w:eastAsia="標楷體" w:hAnsi="標楷體" w:hint="eastAsia"/>
          <w:color w:val="FF0000"/>
          <w:spacing w:val="-4"/>
          <w:kern w:val="0"/>
          <w:sz w:val="22"/>
          <w:highlight w:val="yellow"/>
        </w:rPr>
        <w:t>；</w:t>
      </w:r>
      <w:r w:rsidRPr="00212D57">
        <w:rPr>
          <w:rFonts w:ascii="標楷體" w:eastAsia="標楷體" w:hAnsi="標楷體" w:hint="eastAsia"/>
          <w:sz w:val="22"/>
          <w:szCs w:val="22"/>
          <w:lang w:eastAsia="zh-HK"/>
        </w:rPr>
        <w:t>然約假拆</w:t>
      </w:r>
      <w:r w:rsidR="007954E1" w:rsidRPr="007900BF">
        <w:rPr>
          <w:rFonts w:ascii="Times New Roman" w:eastAsia="標楷體" w:hAnsi="Times New Roman" w:hint="eastAsia"/>
          <w:color w:val="FF0000"/>
          <w:sz w:val="22"/>
          <w:szCs w:val="22"/>
          <w:shd w:val="pct15" w:color="auto" w:fill="FFFFFF"/>
        </w:rPr>
        <w:t>*</w:t>
      </w:r>
      <w:r w:rsidR="007954E1">
        <w:rPr>
          <w:rFonts w:ascii="Times New Roman" w:eastAsia="標楷體" w:hAnsi="Times New Roman" w:hint="eastAsia"/>
          <w:color w:val="FF0000"/>
          <w:sz w:val="22"/>
          <w:szCs w:val="22"/>
          <w:shd w:val="pct15" w:color="auto" w:fill="FFFFFF"/>
          <w:vertAlign w:val="superscript"/>
        </w:rPr>
        <w:t>2</w:t>
      </w:r>
      <w:r w:rsidRPr="00212D57">
        <w:rPr>
          <w:rFonts w:ascii="標楷體" w:eastAsia="標楷體" w:hAnsi="標楷體" w:hint="eastAsia"/>
          <w:sz w:val="22"/>
          <w:szCs w:val="22"/>
          <w:lang w:eastAsia="zh-HK"/>
        </w:rPr>
        <w:t>麁至極微</w:t>
      </w:r>
      <w:r w:rsidR="00A4702C">
        <w:rPr>
          <w:rFonts w:ascii="標楷體" w:eastAsia="標楷體" w:hAnsi="標楷體" w:hint="eastAsia"/>
          <w:color w:val="FF0000"/>
          <w:kern w:val="0"/>
          <w:sz w:val="22"/>
          <w:highlight w:val="yellow"/>
        </w:rPr>
        <w:t>，</w:t>
      </w:r>
      <w:r w:rsidRPr="00212D57">
        <w:rPr>
          <w:rFonts w:ascii="標楷體" w:eastAsia="標楷體" w:hAnsi="標楷體" w:hint="eastAsia"/>
          <w:sz w:val="22"/>
          <w:szCs w:val="22"/>
          <w:lang w:eastAsia="zh-HK"/>
        </w:rPr>
        <w:t>可說</w:t>
      </w:r>
      <w:r w:rsidR="00A4702C">
        <w:rPr>
          <w:rFonts w:ascii="標楷體" w:eastAsia="標楷體" w:hAnsi="標楷體" w:hint="eastAsia"/>
          <w:bCs/>
          <w:color w:val="FF0000"/>
          <w:kern w:val="0"/>
          <w:sz w:val="22"/>
          <w:highlight w:val="yellow"/>
        </w:rPr>
        <w:t>「</w:t>
      </w:r>
      <w:r w:rsidRPr="00212D57">
        <w:rPr>
          <w:rFonts w:ascii="標楷體" w:eastAsia="標楷體" w:hAnsi="標楷體" w:hint="eastAsia"/>
          <w:sz w:val="22"/>
          <w:szCs w:val="22"/>
          <w:lang w:eastAsia="zh-HK"/>
        </w:rPr>
        <w:t>有方分</w:t>
      </w:r>
      <w:r w:rsidR="00A4702C">
        <w:rPr>
          <w:rFonts w:ascii="標楷體" w:eastAsia="標楷體" w:hAnsi="標楷體" w:hint="eastAsia"/>
          <w:bCs/>
          <w:color w:val="FF0000"/>
          <w:kern w:val="0"/>
          <w:sz w:val="22"/>
          <w:highlight w:val="yellow"/>
        </w:rPr>
        <w:t>」</w:t>
      </w:r>
      <w:r w:rsidRPr="00212D57">
        <w:rPr>
          <w:rFonts w:ascii="標楷體" w:eastAsia="標楷體" w:hAnsi="標楷體" w:hint="eastAsia"/>
          <w:sz w:val="22"/>
          <w:szCs w:val="22"/>
        </w:rPr>
        <w:t>。</w:t>
      </w:r>
      <w:r w:rsidR="00A4702C">
        <w:rPr>
          <w:rFonts w:ascii="標楷體" w:eastAsia="標楷體" w:hAnsi="標楷體" w:hint="eastAsia"/>
          <w:bCs/>
          <w:color w:val="FF0000"/>
          <w:kern w:val="0"/>
          <w:sz w:val="22"/>
          <w:highlight w:val="yellow"/>
        </w:rPr>
        <w:t>「</w:t>
      </w:r>
      <w:r w:rsidRPr="00212D57">
        <w:rPr>
          <w:rFonts w:ascii="標楷體" w:eastAsia="標楷體" w:hAnsi="標楷體" w:hint="eastAsia"/>
          <w:sz w:val="22"/>
          <w:szCs w:val="22"/>
          <w:lang w:eastAsia="zh-HK"/>
        </w:rPr>
        <w:t>方分</w:t>
      </w:r>
      <w:r w:rsidR="00A4702C">
        <w:rPr>
          <w:rFonts w:ascii="標楷體" w:eastAsia="標楷體" w:hAnsi="標楷體" w:hint="eastAsia"/>
          <w:bCs/>
          <w:color w:val="FF0000"/>
          <w:kern w:val="0"/>
          <w:sz w:val="22"/>
          <w:highlight w:val="yellow"/>
        </w:rPr>
        <w:t>」</w:t>
      </w:r>
      <w:r w:rsidRPr="00212D57">
        <w:rPr>
          <w:rFonts w:ascii="標楷體" w:eastAsia="標楷體" w:hAnsi="標楷體" w:hint="eastAsia"/>
          <w:sz w:val="22"/>
          <w:szCs w:val="22"/>
          <w:lang w:eastAsia="zh-HK"/>
        </w:rPr>
        <w:t>有二</w:t>
      </w:r>
      <w:r w:rsidRPr="00212D57">
        <w:rPr>
          <w:rFonts w:ascii="標楷體" w:eastAsia="標楷體" w:hAnsi="標楷體" w:hint="eastAsia"/>
          <w:sz w:val="22"/>
          <w:szCs w:val="22"/>
        </w:rPr>
        <w:t>：</w:t>
      </w:r>
      <w:r w:rsidRPr="00212D57">
        <w:rPr>
          <w:rFonts w:ascii="標楷體" w:eastAsia="標楷體" w:hAnsi="標楷體" w:hint="eastAsia"/>
          <w:sz w:val="22"/>
          <w:szCs w:val="22"/>
          <w:lang w:eastAsia="zh-HK"/>
        </w:rPr>
        <w:t>一</w:t>
      </w:r>
      <w:r w:rsidRPr="00212D57">
        <w:rPr>
          <w:rFonts w:ascii="標楷體" w:eastAsia="標楷體" w:hAnsi="標楷體" w:hint="eastAsia"/>
          <w:sz w:val="22"/>
          <w:szCs w:val="22"/>
        </w:rPr>
        <w:t>、</w:t>
      </w:r>
      <w:r w:rsidRPr="00212D57">
        <w:rPr>
          <w:rFonts w:ascii="標楷體" w:eastAsia="標楷體" w:hAnsi="標楷體" w:hint="eastAsia"/>
          <w:sz w:val="22"/>
          <w:szCs w:val="22"/>
          <w:lang w:eastAsia="zh-HK"/>
        </w:rPr>
        <w:t>方之分</w:t>
      </w:r>
      <w:r w:rsidRPr="00212D57">
        <w:rPr>
          <w:rFonts w:ascii="標楷體" w:eastAsia="標楷體" w:hAnsi="標楷體" w:hint="eastAsia"/>
          <w:sz w:val="22"/>
          <w:szCs w:val="22"/>
        </w:rPr>
        <w:t>，</w:t>
      </w:r>
      <w:r w:rsidRPr="00212D57">
        <w:rPr>
          <w:rFonts w:ascii="標楷體" w:eastAsia="標楷體" w:hAnsi="標楷體" w:hint="eastAsia"/>
          <w:sz w:val="22"/>
          <w:szCs w:val="22"/>
          <w:lang w:eastAsia="zh-HK"/>
        </w:rPr>
        <w:t>是彼大色之分</w:t>
      </w:r>
      <w:r w:rsidRPr="00212D57">
        <w:rPr>
          <w:rFonts w:ascii="標楷體" w:eastAsia="標楷體" w:hAnsi="標楷體" w:hint="eastAsia"/>
          <w:sz w:val="22"/>
          <w:szCs w:val="22"/>
        </w:rPr>
        <w:t>，</w:t>
      </w:r>
      <w:r w:rsidRPr="00212D57">
        <w:rPr>
          <w:rFonts w:ascii="標楷體" w:eastAsia="標楷體" w:hAnsi="標楷體" w:hint="eastAsia"/>
          <w:sz w:val="22"/>
          <w:szCs w:val="22"/>
          <w:lang w:eastAsia="zh-HK"/>
        </w:rPr>
        <w:t>不是更拆</w:t>
      </w:r>
      <w:r w:rsidR="007954E1" w:rsidRPr="007900BF">
        <w:rPr>
          <w:rFonts w:ascii="Times New Roman" w:eastAsia="標楷體" w:hAnsi="Times New Roman" w:hint="eastAsia"/>
          <w:color w:val="FF0000"/>
          <w:sz w:val="22"/>
          <w:szCs w:val="22"/>
          <w:shd w:val="pct15" w:color="auto" w:fill="FFFFFF"/>
        </w:rPr>
        <w:t>*</w:t>
      </w:r>
      <w:r w:rsidR="007954E1">
        <w:rPr>
          <w:rFonts w:ascii="Times New Roman" w:eastAsia="標楷體" w:hAnsi="Times New Roman" w:hint="eastAsia"/>
          <w:color w:val="FF0000"/>
          <w:sz w:val="22"/>
          <w:szCs w:val="22"/>
          <w:shd w:val="pct15" w:color="auto" w:fill="FFFFFF"/>
          <w:vertAlign w:val="superscript"/>
        </w:rPr>
        <w:t>2</w:t>
      </w:r>
      <w:r w:rsidRPr="00212D57">
        <w:rPr>
          <w:rFonts w:ascii="標楷體" w:eastAsia="標楷體" w:hAnsi="標楷體" w:hint="eastAsia"/>
          <w:sz w:val="22"/>
          <w:szCs w:val="22"/>
          <w:lang w:eastAsia="zh-HK"/>
        </w:rPr>
        <w:t>此微為分</w:t>
      </w:r>
      <w:r w:rsidRPr="00212D57">
        <w:rPr>
          <w:rFonts w:ascii="標楷體" w:eastAsia="標楷體" w:hAnsi="標楷體" w:hint="eastAsia"/>
          <w:sz w:val="22"/>
          <w:szCs w:val="22"/>
        </w:rPr>
        <w:t>；</w:t>
      </w:r>
      <w:r w:rsidRPr="00212D57">
        <w:rPr>
          <w:rFonts w:ascii="標楷體" w:eastAsia="標楷體" w:hAnsi="標楷體" w:hint="eastAsia"/>
          <w:sz w:val="22"/>
          <w:szCs w:val="22"/>
          <w:lang w:eastAsia="zh-HK"/>
        </w:rPr>
        <w:t>二</w:t>
      </w:r>
      <w:r w:rsidRPr="00212D57">
        <w:rPr>
          <w:rFonts w:ascii="標楷體" w:eastAsia="標楷體" w:hAnsi="標楷體" w:hint="eastAsia"/>
          <w:sz w:val="22"/>
          <w:szCs w:val="22"/>
        </w:rPr>
        <w:t>、</w:t>
      </w:r>
      <w:r w:rsidRPr="00212D57">
        <w:rPr>
          <w:rFonts w:ascii="標楷體" w:eastAsia="標楷體" w:hAnsi="標楷體" w:hint="eastAsia"/>
          <w:sz w:val="22"/>
          <w:szCs w:val="22"/>
          <w:lang w:eastAsia="zh-HK"/>
        </w:rPr>
        <w:t>方即分。</w:t>
      </w:r>
      <w:r w:rsidRPr="00212D57">
        <w:rPr>
          <w:rFonts w:ascii="標楷體" w:eastAsia="標楷體" w:hAnsi="標楷體" w:hint="eastAsia"/>
          <w:sz w:val="22"/>
          <w:szCs w:val="22"/>
        </w:rPr>
        <w:t>《</w:t>
      </w:r>
      <w:r w:rsidRPr="00212D57">
        <w:rPr>
          <w:rFonts w:ascii="標楷體" w:eastAsia="標楷體" w:hAnsi="標楷體" w:hint="eastAsia"/>
          <w:sz w:val="22"/>
          <w:szCs w:val="22"/>
          <w:lang w:eastAsia="zh-HK"/>
        </w:rPr>
        <w:t>瑜伽論</w:t>
      </w:r>
      <w:r w:rsidRPr="00212D57">
        <w:rPr>
          <w:rFonts w:ascii="標楷體" w:eastAsia="標楷體" w:hAnsi="標楷體" w:hint="eastAsia"/>
          <w:sz w:val="22"/>
          <w:szCs w:val="22"/>
        </w:rPr>
        <w:t>》</w:t>
      </w:r>
      <w:r w:rsidRPr="00212D57">
        <w:rPr>
          <w:rFonts w:ascii="標楷體" w:eastAsia="標楷體" w:hAnsi="標楷體" w:hint="eastAsia"/>
          <w:sz w:val="22"/>
          <w:szCs w:val="22"/>
          <w:lang w:eastAsia="zh-HK"/>
        </w:rPr>
        <w:t>言</w:t>
      </w:r>
      <w:r w:rsidRPr="00212D57">
        <w:rPr>
          <w:rFonts w:ascii="標楷體" w:eastAsia="標楷體" w:hAnsi="標楷體" w:hint="eastAsia"/>
          <w:sz w:val="22"/>
          <w:szCs w:val="22"/>
        </w:rPr>
        <w:t>：</w:t>
      </w:r>
      <w:r w:rsidRPr="00212D57">
        <w:rPr>
          <w:rFonts w:ascii="標楷體" w:eastAsia="標楷體" w:hAnsi="標楷體" w:hint="eastAsia"/>
          <w:sz w:val="22"/>
          <w:szCs w:val="22"/>
          <w:lang w:eastAsia="zh-HK"/>
        </w:rPr>
        <w:t>「有方無分</w:t>
      </w:r>
      <w:r w:rsidR="00A4702C">
        <w:rPr>
          <w:rFonts w:ascii="標楷體" w:eastAsia="標楷體" w:hAnsi="標楷體" w:hint="eastAsia"/>
          <w:color w:val="FF0000"/>
          <w:kern w:val="0"/>
          <w:sz w:val="22"/>
          <w:highlight w:val="yellow"/>
        </w:rPr>
        <w:t>，</w:t>
      </w:r>
      <w:r w:rsidRPr="00212D57">
        <w:rPr>
          <w:rFonts w:ascii="標楷體" w:eastAsia="標楷體" w:hAnsi="標楷體" w:hint="eastAsia"/>
          <w:sz w:val="22"/>
          <w:szCs w:val="22"/>
          <w:lang w:eastAsia="zh-HK"/>
        </w:rPr>
        <w:t>更無細分故</w:t>
      </w:r>
      <w:r w:rsidR="00A4702C">
        <w:rPr>
          <w:rFonts w:ascii="標楷體" w:eastAsia="標楷體" w:hAnsi="標楷體" w:hint="eastAsia"/>
          <w:bCs/>
          <w:color w:val="FF0000"/>
          <w:kern w:val="0"/>
          <w:sz w:val="22"/>
          <w:highlight w:val="yellow"/>
        </w:rPr>
        <w:t>」</w:t>
      </w:r>
      <w:r w:rsidRPr="00212D57">
        <w:rPr>
          <w:rFonts w:ascii="標楷體" w:eastAsia="標楷體" w:hAnsi="標楷體" w:hint="eastAsia"/>
          <w:sz w:val="22"/>
          <w:szCs w:val="22"/>
          <w:lang w:eastAsia="zh-HK"/>
        </w:rPr>
        <w:t>者</w:t>
      </w:r>
      <w:r w:rsidRPr="00212D57">
        <w:rPr>
          <w:rFonts w:ascii="標楷體" w:eastAsia="標楷體" w:hAnsi="標楷體" w:hint="eastAsia"/>
          <w:sz w:val="22"/>
          <w:szCs w:val="22"/>
        </w:rPr>
        <w:t>，</w:t>
      </w:r>
      <w:r w:rsidR="00C35B01" w:rsidRPr="007900BF">
        <w:rPr>
          <w:rFonts w:ascii="Times New Roman" w:eastAsia="標楷體" w:hAnsi="Times New Roman" w:hint="eastAsia"/>
          <w:color w:val="FF0000"/>
          <w:sz w:val="22"/>
          <w:szCs w:val="22"/>
          <w:shd w:val="pct15" w:color="auto" w:fill="FFFFFF"/>
        </w:rPr>
        <w:t>*</w:t>
      </w:r>
      <w:r w:rsidR="007954E1">
        <w:rPr>
          <w:rFonts w:ascii="Times New Roman" w:eastAsia="標楷體" w:hAnsi="Times New Roman" w:hint="eastAsia"/>
          <w:color w:val="FF0000"/>
          <w:sz w:val="22"/>
          <w:szCs w:val="22"/>
          <w:shd w:val="pct15" w:color="auto" w:fill="FFFFFF"/>
          <w:vertAlign w:val="superscript"/>
        </w:rPr>
        <w:t>3</w:t>
      </w:r>
      <w:r w:rsidRPr="00212D57">
        <w:rPr>
          <w:rFonts w:ascii="標楷體" w:eastAsia="標楷體" w:hAnsi="標楷體" w:hint="eastAsia"/>
          <w:sz w:val="22"/>
          <w:szCs w:val="22"/>
          <w:lang w:eastAsia="zh-HK"/>
        </w:rPr>
        <w:t>以相擬宜名</w:t>
      </w:r>
      <w:r w:rsidR="00A4702C">
        <w:rPr>
          <w:rFonts w:ascii="標楷體" w:eastAsia="標楷體" w:hAnsi="標楷體" w:hint="eastAsia"/>
          <w:bCs/>
          <w:color w:val="FF0000"/>
          <w:kern w:val="0"/>
          <w:sz w:val="22"/>
          <w:highlight w:val="yellow"/>
        </w:rPr>
        <w:t>「</w:t>
      </w:r>
      <w:r w:rsidRPr="00212D57">
        <w:rPr>
          <w:rFonts w:ascii="標楷體" w:eastAsia="標楷體" w:hAnsi="標楷體" w:hint="eastAsia"/>
          <w:sz w:val="22"/>
          <w:szCs w:val="22"/>
          <w:lang w:eastAsia="zh-HK"/>
        </w:rPr>
        <w:t>有方</w:t>
      </w:r>
      <w:r w:rsidR="00A4702C">
        <w:rPr>
          <w:rFonts w:ascii="標楷體" w:eastAsia="標楷體" w:hAnsi="標楷體" w:hint="eastAsia"/>
          <w:bCs/>
          <w:color w:val="FF0000"/>
          <w:kern w:val="0"/>
          <w:sz w:val="22"/>
          <w:highlight w:val="yellow"/>
        </w:rPr>
        <w:t>」</w:t>
      </w:r>
      <w:r w:rsidRPr="00212D57">
        <w:rPr>
          <w:rFonts w:ascii="標楷體" w:eastAsia="標楷體" w:hAnsi="標楷體" w:hint="eastAsia"/>
          <w:sz w:val="22"/>
          <w:szCs w:val="22"/>
        </w:rPr>
        <w:t>；</w:t>
      </w:r>
      <w:r w:rsidRPr="00212D57">
        <w:rPr>
          <w:rFonts w:ascii="標楷體" w:eastAsia="標楷體" w:hAnsi="標楷體" w:hint="eastAsia"/>
          <w:sz w:val="22"/>
          <w:szCs w:val="22"/>
          <w:lang w:eastAsia="zh-HK"/>
        </w:rPr>
        <w:t>而更不可拆</w:t>
      </w:r>
      <w:r w:rsidRPr="00212D57">
        <w:rPr>
          <w:rFonts w:ascii="標楷體" w:eastAsia="標楷體" w:hAnsi="標楷體" w:hint="eastAsia"/>
          <w:sz w:val="22"/>
          <w:szCs w:val="22"/>
        </w:rPr>
        <w:t>，</w:t>
      </w:r>
      <w:r w:rsidRPr="00212D57">
        <w:rPr>
          <w:rFonts w:ascii="標楷體" w:eastAsia="標楷體" w:hAnsi="標楷體" w:hint="eastAsia"/>
          <w:sz w:val="22"/>
          <w:szCs w:val="22"/>
          <w:lang w:eastAsia="zh-HK"/>
        </w:rPr>
        <w:t>故云</w:t>
      </w:r>
      <w:r w:rsidR="00A4702C">
        <w:rPr>
          <w:rFonts w:ascii="標楷體" w:eastAsia="標楷體" w:hAnsi="標楷體" w:hint="eastAsia"/>
          <w:bCs/>
          <w:color w:val="FF0000"/>
          <w:kern w:val="0"/>
          <w:sz w:val="22"/>
          <w:highlight w:val="yellow"/>
        </w:rPr>
        <w:t>「</w:t>
      </w:r>
      <w:r w:rsidRPr="00212D57">
        <w:rPr>
          <w:rFonts w:ascii="標楷體" w:eastAsia="標楷體" w:hAnsi="標楷體" w:hint="eastAsia"/>
          <w:sz w:val="22"/>
          <w:szCs w:val="22"/>
          <w:lang w:eastAsia="zh-HK"/>
        </w:rPr>
        <w:t>無分</w:t>
      </w:r>
      <w:r w:rsidR="00A4702C">
        <w:rPr>
          <w:rFonts w:ascii="標楷體" w:eastAsia="標楷體" w:hAnsi="標楷體" w:hint="eastAsia"/>
          <w:bCs/>
          <w:color w:val="FF0000"/>
          <w:kern w:val="0"/>
          <w:sz w:val="22"/>
          <w:highlight w:val="yellow"/>
        </w:rPr>
        <w:t>」</w:t>
      </w:r>
      <w:r w:rsidR="00A4702C">
        <w:rPr>
          <w:rFonts w:ascii="Times New Roman" w:eastAsia="標楷體" w:hAnsi="Times New Roman" w:hint="eastAsia"/>
          <w:color w:val="FF0000"/>
          <w:sz w:val="22"/>
          <w:szCs w:val="22"/>
          <w:highlight w:val="yellow"/>
        </w:rPr>
        <w:t>。</w:t>
      </w:r>
      <w:r w:rsidRPr="00212D57">
        <w:rPr>
          <w:rFonts w:ascii="標楷體" w:eastAsia="標楷體" w:hAnsi="標楷體" w:hint="eastAsia"/>
          <w:sz w:val="22"/>
          <w:szCs w:val="22"/>
          <w:lang w:eastAsia="zh-HK"/>
        </w:rPr>
        <w:t>若更拆</w:t>
      </w:r>
      <w:r w:rsidR="007954E1" w:rsidRPr="007900BF">
        <w:rPr>
          <w:rFonts w:ascii="Times New Roman" w:eastAsia="標楷體" w:hAnsi="Times New Roman" w:hint="eastAsia"/>
          <w:color w:val="FF0000"/>
          <w:sz w:val="22"/>
          <w:szCs w:val="22"/>
          <w:shd w:val="pct15" w:color="auto" w:fill="FFFFFF"/>
        </w:rPr>
        <w:t>*</w:t>
      </w:r>
      <w:r w:rsidR="007954E1">
        <w:rPr>
          <w:rFonts w:ascii="Times New Roman" w:eastAsia="標楷體" w:hAnsi="Times New Roman" w:hint="eastAsia"/>
          <w:color w:val="FF0000"/>
          <w:sz w:val="22"/>
          <w:szCs w:val="22"/>
          <w:shd w:val="pct15" w:color="auto" w:fill="FFFFFF"/>
          <w:vertAlign w:val="superscript"/>
        </w:rPr>
        <w:t>2</w:t>
      </w:r>
      <w:r w:rsidRPr="00212D57">
        <w:rPr>
          <w:rFonts w:ascii="標楷體" w:eastAsia="標楷體" w:hAnsi="標楷體" w:hint="eastAsia"/>
          <w:sz w:val="22"/>
          <w:szCs w:val="22"/>
          <w:lang w:eastAsia="zh-HK"/>
        </w:rPr>
        <w:t>之</w:t>
      </w:r>
      <w:r w:rsidRPr="00212D57">
        <w:rPr>
          <w:rFonts w:ascii="標楷體" w:eastAsia="標楷體" w:hAnsi="標楷體" w:hint="eastAsia"/>
          <w:sz w:val="22"/>
          <w:szCs w:val="22"/>
        </w:rPr>
        <w:t>，</w:t>
      </w:r>
      <w:r w:rsidRPr="00212D57">
        <w:rPr>
          <w:rFonts w:ascii="標楷體" w:eastAsia="標楷體" w:hAnsi="標楷體" w:hint="eastAsia"/>
          <w:sz w:val="22"/>
          <w:szCs w:val="22"/>
          <w:lang w:eastAsia="zh-HK"/>
        </w:rPr>
        <w:t>即意作空解</w:t>
      </w:r>
      <w:r w:rsidRPr="00212D57">
        <w:rPr>
          <w:rFonts w:ascii="標楷體" w:eastAsia="標楷體" w:hAnsi="標楷體" w:hint="eastAsia"/>
          <w:sz w:val="22"/>
          <w:szCs w:val="22"/>
        </w:rPr>
        <w:t>，</w:t>
      </w:r>
      <w:r w:rsidRPr="00212D57">
        <w:rPr>
          <w:rFonts w:ascii="標楷體" w:eastAsia="標楷體" w:hAnsi="標楷體" w:hint="eastAsia"/>
          <w:sz w:val="22"/>
          <w:szCs w:val="22"/>
          <w:lang w:eastAsia="zh-HK"/>
        </w:rPr>
        <w:t>故變似空相。闕第四句。</w:t>
      </w:r>
    </w:p>
    <w:p w:rsidR="007954E1" w:rsidRDefault="00A4702C" w:rsidP="002B682F">
      <w:pPr>
        <w:widowControl/>
        <w:snapToGrid w:val="0"/>
        <w:ind w:leftChars="335" w:left="804"/>
        <w:jc w:val="both"/>
        <w:rPr>
          <w:rFonts w:ascii="新細明體" w:hAnsi="新細明體"/>
          <w:bCs/>
          <w:color w:val="FF0000"/>
          <w:kern w:val="0"/>
          <w:sz w:val="22"/>
        </w:rPr>
      </w:pPr>
      <w:r w:rsidRPr="007900BF">
        <w:rPr>
          <w:rFonts w:ascii="Times New Roman" w:eastAsia="標楷體" w:hAnsi="Times New Roman" w:hint="eastAsia"/>
          <w:color w:val="FF0000"/>
          <w:sz w:val="22"/>
          <w:szCs w:val="22"/>
          <w:shd w:val="pct15" w:color="auto" w:fill="FFFFFF"/>
        </w:rPr>
        <w:t>*</w:t>
      </w:r>
      <w:r w:rsidR="00C35B01" w:rsidRPr="007900BF">
        <w:rPr>
          <w:rFonts w:ascii="Times New Roman" w:eastAsia="標楷體" w:hAnsi="Times New Roman" w:hint="eastAsia"/>
          <w:color w:val="FF0000"/>
          <w:sz w:val="22"/>
          <w:szCs w:val="22"/>
          <w:shd w:val="pct15" w:color="auto" w:fill="FFFFFF"/>
        </w:rPr>
        <w:t>1</w:t>
      </w:r>
      <w:r>
        <w:rPr>
          <w:rFonts w:ascii="新細明體" w:hAnsi="新細明體" w:hint="eastAsia"/>
          <w:bCs/>
          <w:color w:val="FF0000"/>
          <w:kern w:val="0"/>
          <w:sz w:val="22"/>
          <w:highlight w:val="yellow"/>
        </w:rPr>
        <w:t>重編案：</w:t>
      </w:r>
      <w:r w:rsidRPr="00A4702C">
        <w:rPr>
          <w:rFonts w:ascii="新細明體" w:hAnsi="新細明體" w:hint="eastAsia"/>
          <w:bCs/>
          <w:color w:val="FF0000"/>
          <w:kern w:val="0"/>
          <w:sz w:val="22"/>
          <w:highlight w:val="yellow"/>
        </w:rPr>
        <w:t>「</w:t>
      </w:r>
      <w:r w:rsidRPr="00A4702C">
        <w:rPr>
          <w:rFonts w:ascii="標楷體" w:eastAsia="標楷體" w:hAnsi="標楷體" w:hint="eastAsia"/>
          <w:color w:val="FF0000"/>
          <w:sz w:val="22"/>
          <w:szCs w:val="22"/>
          <w:highlight w:val="yellow"/>
          <w:lang w:eastAsia="zh-HK"/>
        </w:rPr>
        <w:t>照</w:t>
      </w:r>
      <w:r w:rsidRPr="00A4702C">
        <w:rPr>
          <w:rFonts w:ascii="新細明體" w:hAnsi="新細明體" w:hint="eastAsia"/>
          <w:bCs/>
          <w:color w:val="FF0000"/>
          <w:kern w:val="0"/>
          <w:sz w:val="22"/>
          <w:highlight w:val="yellow"/>
        </w:rPr>
        <w:t>」，應改作「</w:t>
      </w:r>
      <w:r w:rsidRPr="007954E1">
        <w:rPr>
          <w:rFonts w:ascii="標楷體" w:eastAsia="標楷體" w:hAnsi="標楷體" w:hint="eastAsia"/>
          <w:bCs/>
          <w:color w:val="FF0000"/>
          <w:kern w:val="0"/>
          <w:sz w:val="22"/>
          <w:highlight w:val="yellow"/>
        </w:rPr>
        <w:t>然</w:t>
      </w:r>
      <w:r w:rsidRPr="00A4702C">
        <w:rPr>
          <w:rFonts w:ascii="新細明體" w:hAnsi="新細明體" w:hint="eastAsia"/>
          <w:bCs/>
          <w:color w:val="FF0000"/>
          <w:kern w:val="0"/>
          <w:sz w:val="22"/>
          <w:highlight w:val="yellow"/>
        </w:rPr>
        <w:t>」</w:t>
      </w:r>
      <w:r>
        <w:rPr>
          <w:rFonts w:ascii="新細明體" w:hAnsi="新細明體" w:hint="eastAsia"/>
          <w:bCs/>
          <w:color w:val="FF0000"/>
          <w:kern w:val="0"/>
          <w:sz w:val="22"/>
          <w:highlight w:val="yellow"/>
        </w:rPr>
        <w:t>。</w:t>
      </w:r>
    </w:p>
    <w:p w:rsidR="00A4702C" w:rsidRDefault="007954E1" w:rsidP="002B682F">
      <w:pPr>
        <w:widowControl/>
        <w:snapToGrid w:val="0"/>
        <w:ind w:leftChars="335" w:left="804"/>
        <w:jc w:val="both"/>
        <w:rPr>
          <w:rFonts w:ascii="新細明體" w:hAnsi="新細明體"/>
          <w:bCs/>
          <w:color w:val="FF0000"/>
          <w:kern w:val="0"/>
          <w:sz w:val="22"/>
        </w:rPr>
      </w:pPr>
      <w:r w:rsidRPr="007900BF">
        <w:rPr>
          <w:rFonts w:ascii="Times New Roman" w:eastAsia="標楷體" w:hAnsi="Times New Roman" w:hint="eastAsia"/>
          <w:color w:val="FF0000"/>
          <w:sz w:val="22"/>
          <w:szCs w:val="22"/>
          <w:shd w:val="pct15" w:color="auto" w:fill="FFFFFF"/>
        </w:rPr>
        <w:t>*2</w:t>
      </w:r>
      <w:r>
        <w:rPr>
          <w:rFonts w:ascii="新細明體" w:hAnsi="新細明體" w:hint="eastAsia"/>
          <w:bCs/>
          <w:color w:val="FF0000"/>
          <w:kern w:val="0"/>
          <w:sz w:val="22"/>
          <w:highlight w:val="yellow"/>
        </w:rPr>
        <w:t>重編案：</w:t>
      </w:r>
      <w:r w:rsidRPr="00A4702C">
        <w:rPr>
          <w:rFonts w:ascii="新細明體" w:hAnsi="新細明體" w:hint="eastAsia"/>
          <w:bCs/>
          <w:color w:val="FF0000"/>
          <w:kern w:val="0"/>
          <w:sz w:val="22"/>
          <w:highlight w:val="yellow"/>
        </w:rPr>
        <w:t>「</w:t>
      </w:r>
      <w:r>
        <w:rPr>
          <w:rFonts w:ascii="標楷體" w:eastAsia="標楷體" w:hAnsi="標楷體" w:hint="eastAsia"/>
          <w:color w:val="FF0000"/>
          <w:sz w:val="22"/>
          <w:szCs w:val="22"/>
          <w:highlight w:val="yellow"/>
        </w:rPr>
        <w:t>拆</w:t>
      </w:r>
      <w:r w:rsidRPr="00A4702C">
        <w:rPr>
          <w:rFonts w:ascii="新細明體" w:hAnsi="新細明體" w:hint="eastAsia"/>
          <w:bCs/>
          <w:color w:val="FF0000"/>
          <w:kern w:val="0"/>
          <w:sz w:val="22"/>
          <w:highlight w:val="yellow"/>
        </w:rPr>
        <w:t>」，應改作「</w:t>
      </w:r>
      <w:r w:rsidRPr="007954E1">
        <w:rPr>
          <w:rFonts w:ascii="標楷體" w:eastAsia="標楷體" w:hAnsi="標楷體" w:hint="eastAsia"/>
          <w:bCs/>
          <w:color w:val="FF0000"/>
          <w:kern w:val="0"/>
          <w:sz w:val="22"/>
          <w:highlight w:val="yellow"/>
        </w:rPr>
        <w:t>析</w:t>
      </w:r>
      <w:r w:rsidRPr="00A4702C">
        <w:rPr>
          <w:rFonts w:ascii="新細明體" w:hAnsi="新細明體" w:hint="eastAsia"/>
          <w:bCs/>
          <w:color w:val="FF0000"/>
          <w:kern w:val="0"/>
          <w:sz w:val="22"/>
          <w:highlight w:val="yellow"/>
        </w:rPr>
        <w:t>」</w:t>
      </w:r>
      <w:r>
        <w:rPr>
          <w:rFonts w:ascii="新細明體" w:hAnsi="新細明體" w:hint="eastAsia"/>
          <w:bCs/>
          <w:color w:val="FF0000"/>
          <w:kern w:val="0"/>
          <w:sz w:val="22"/>
          <w:highlight w:val="yellow"/>
        </w:rPr>
        <w:t>。</w:t>
      </w:r>
    </w:p>
    <w:p w:rsidR="00C35B01" w:rsidRDefault="00C35B01" w:rsidP="00C35B01">
      <w:pPr>
        <w:widowControl/>
        <w:snapToGrid w:val="0"/>
        <w:ind w:leftChars="335" w:left="804"/>
        <w:jc w:val="both"/>
        <w:rPr>
          <w:sz w:val="22"/>
          <w:szCs w:val="22"/>
        </w:rPr>
      </w:pPr>
      <w:r w:rsidRPr="007900BF">
        <w:rPr>
          <w:rFonts w:ascii="Times New Roman" w:eastAsia="標楷體" w:hAnsi="Times New Roman" w:hint="eastAsia"/>
          <w:color w:val="FF0000"/>
          <w:sz w:val="22"/>
          <w:szCs w:val="22"/>
          <w:shd w:val="pct15" w:color="auto" w:fill="FFFFFF"/>
        </w:rPr>
        <w:t>*</w:t>
      </w:r>
      <w:r w:rsidR="007954E1">
        <w:rPr>
          <w:rFonts w:ascii="Times New Roman" w:eastAsia="標楷體" w:hAnsi="Times New Roman" w:hint="eastAsia"/>
          <w:color w:val="FF0000"/>
          <w:sz w:val="22"/>
          <w:szCs w:val="22"/>
          <w:shd w:val="pct15" w:color="auto" w:fill="FFFFFF"/>
        </w:rPr>
        <w:t>3</w:t>
      </w:r>
      <w:r w:rsidRPr="00C35B01">
        <w:rPr>
          <w:rFonts w:ascii="Times New Roman" w:hAnsi="Times New Roman" w:hint="eastAsia"/>
          <w:color w:val="FF0000"/>
          <w:sz w:val="22"/>
          <w:szCs w:val="22"/>
          <w:highlight w:val="yellow"/>
          <w:shd w:val="pct15" w:color="auto" w:fill="FFFFFF"/>
        </w:rPr>
        <w:t>《瑜伽師地論》卷</w:t>
      </w:r>
      <w:r w:rsidRPr="007900BF">
        <w:rPr>
          <w:rFonts w:ascii="Times New Roman" w:hAnsi="Times New Roman" w:hint="eastAsia"/>
          <w:color w:val="FF0000"/>
          <w:sz w:val="22"/>
          <w:szCs w:val="22"/>
          <w:highlight w:val="yellow"/>
          <w:shd w:val="pct15" w:color="auto" w:fill="FFFFFF"/>
        </w:rPr>
        <w:t>3</w:t>
      </w:r>
      <w:r w:rsidRPr="007900BF">
        <w:rPr>
          <w:color w:val="FF0000"/>
          <w:sz w:val="22"/>
          <w:szCs w:val="22"/>
          <w:highlight w:val="yellow"/>
        </w:rPr>
        <w:t>（大正</w:t>
      </w:r>
      <w:r w:rsidRPr="007900BF">
        <w:rPr>
          <w:rFonts w:ascii="Times New Roman" w:hAnsi="Times New Roman" w:hint="eastAsia"/>
          <w:color w:val="FF0000"/>
          <w:sz w:val="22"/>
          <w:szCs w:val="22"/>
          <w:highlight w:val="yellow"/>
          <w:shd w:val="pct15" w:color="auto" w:fill="FFFFFF"/>
        </w:rPr>
        <w:t>30</w:t>
      </w:r>
      <w:r w:rsidRPr="007900BF">
        <w:rPr>
          <w:rFonts w:ascii="Times New Roman" w:hAnsi="Times New Roman" w:hint="eastAsia"/>
          <w:color w:val="FF0000"/>
          <w:sz w:val="22"/>
          <w:szCs w:val="22"/>
          <w:highlight w:val="yellow"/>
          <w:shd w:val="pct15" w:color="auto" w:fill="FFFFFF"/>
        </w:rPr>
        <w:t>，</w:t>
      </w:r>
      <w:r w:rsidRPr="007900BF">
        <w:rPr>
          <w:rFonts w:ascii="Times New Roman" w:hAnsi="Times New Roman" w:hint="eastAsia"/>
          <w:color w:val="FF0000"/>
          <w:sz w:val="22"/>
          <w:szCs w:val="22"/>
          <w:highlight w:val="yellow"/>
          <w:shd w:val="pct15" w:color="auto" w:fill="FFFFFF"/>
        </w:rPr>
        <w:t>290a17-23</w:t>
      </w:r>
      <w:r w:rsidRPr="007900BF">
        <w:rPr>
          <w:color w:val="FF0000"/>
          <w:sz w:val="22"/>
          <w:szCs w:val="22"/>
          <w:highlight w:val="yellow"/>
        </w:rPr>
        <w:t>）：</w:t>
      </w:r>
    </w:p>
    <w:p w:rsidR="00C35B01" w:rsidRPr="00A4702C" w:rsidRDefault="00C35B01" w:rsidP="007900BF">
      <w:pPr>
        <w:widowControl/>
        <w:snapToGrid w:val="0"/>
        <w:ind w:leftChars="450" w:left="1080"/>
        <w:jc w:val="both"/>
        <w:rPr>
          <w:rFonts w:ascii="新細明體" w:hAnsi="新細明體"/>
          <w:sz w:val="22"/>
          <w:szCs w:val="22"/>
        </w:rPr>
      </w:pPr>
      <w:r w:rsidRPr="00C35B01">
        <w:rPr>
          <w:rFonts w:ascii="Times New Roman" w:eastAsia="標楷體" w:hAnsi="Times New Roman" w:hint="eastAsia"/>
          <w:color w:val="FF0000"/>
          <w:sz w:val="22"/>
          <w:szCs w:val="22"/>
          <w:highlight w:val="yellow"/>
          <w:shd w:val="pct15" w:color="auto" w:fill="FFFFFF"/>
        </w:rPr>
        <w:t>復次</w:t>
      </w:r>
      <w:r>
        <w:rPr>
          <w:rFonts w:ascii="Times New Roman" w:eastAsia="標楷體" w:hAnsi="Times New Roman" w:hint="eastAsia"/>
          <w:color w:val="FF0000"/>
          <w:sz w:val="22"/>
          <w:szCs w:val="22"/>
          <w:highlight w:val="yellow"/>
          <w:shd w:val="pct15" w:color="auto" w:fill="FFFFFF"/>
        </w:rPr>
        <w:t>，</w:t>
      </w:r>
      <w:r w:rsidRPr="00C35B01">
        <w:rPr>
          <w:rFonts w:ascii="Times New Roman" w:eastAsia="標楷體" w:hAnsi="Times New Roman" w:hint="eastAsia"/>
          <w:color w:val="FF0000"/>
          <w:sz w:val="22"/>
          <w:szCs w:val="22"/>
          <w:highlight w:val="yellow"/>
          <w:shd w:val="pct15" w:color="auto" w:fill="FFFFFF"/>
        </w:rPr>
        <w:t>於色聚中曾無「極微</w:t>
      </w:r>
      <w:r>
        <w:rPr>
          <w:rFonts w:ascii="標楷體" w:eastAsia="標楷體" w:hAnsi="標楷體" w:hint="eastAsia"/>
          <w:bCs/>
          <w:color w:val="FF0000"/>
          <w:kern w:val="0"/>
          <w:sz w:val="22"/>
          <w:highlight w:val="yellow"/>
        </w:rPr>
        <w:t>」</w:t>
      </w:r>
      <w:r w:rsidRPr="00C35B01">
        <w:rPr>
          <w:rFonts w:ascii="Times New Roman" w:eastAsia="標楷體" w:hAnsi="Times New Roman" w:hint="eastAsia"/>
          <w:color w:val="FF0000"/>
          <w:sz w:val="22"/>
          <w:szCs w:val="22"/>
          <w:highlight w:val="yellow"/>
          <w:shd w:val="pct15" w:color="auto" w:fill="FFFFFF"/>
        </w:rPr>
        <w:t>生。若從自種生時</w:t>
      </w:r>
      <w:r>
        <w:rPr>
          <w:rFonts w:ascii="Times New Roman" w:eastAsia="標楷體" w:hAnsi="Times New Roman" w:hint="eastAsia"/>
          <w:color w:val="FF0000"/>
          <w:sz w:val="22"/>
          <w:szCs w:val="22"/>
          <w:highlight w:val="yellow"/>
          <w:shd w:val="pct15" w:color="auto" w:fill="FFFFFF"/>
        </w:rPr>
        <w:t>，</w:t>
      </w:r>
      <w:r w:rsidRPr="00C35B01">
        <w:rPr>
          <w:rFonts w:ascii="Times New Roman" w:eastAsia="標楷體" w:hAnsi="Times New Roman" w:hint="eastAsia"/>
          <w:color w:val="FF0000"/>
          <w:sz w:val="22"/>
          <w:szCs w:val="22"/>
          <w:highlight w:val="yellow"/>
          <w:shd w:val="pct15" w:color="auto" w:fill="FFFFFF"/>
        </w:rPr>
        <w:t>唯聚集生</w:t>
      </w:r>
      <w:r>
        <w:rPr>
          <w:rFonts w:ascii="Times New Roman" w:eastAsia="標楷體" w:hAnsi="Times New Roman" w:hint="eastAsia"/>
          <w:color w:val="FF0000"/>
          <w:sz w:val="22"/>
          <w:szCs w:val="22"/>
          <w:highlight w:val="yellow"/>
          <w:shd w:val="pct15" w:color="auto" w:fill="FFFFFF"/>
        </w:rPr>
        <w:t>，</w:t>
      </w:r>
      <w:r w:rsidRPr="00C35B01">
        <w:rPr>
          <w:rFonts w:ascii="Times New Roman" w:eastAsia="標楷體" w:hAnsi="Times New Roman" w:hint="eastAsia"/>
          <w:color w:val="FF0000"/>
          <w:sz w:val="22"/>
          <w:szCs w:val="22"/>
          <w:highlight w:val="yellow"/>
          <w:shd w:val="pct15" w:color="auto" w:fill="FFFFFF"/>
        </w:rPr>
        <w:t>或細</w:t>
      </w:r>
      <w:r>
        <w:rPr>
          <w:rFonts w:ascii="Times New Roman" w:eastAsia="標楷體" w:hAnsi="Times New Roman" w:hint="eastAsia"/>
          <w:color w:val="FF0000"/>
          <w:sz w:val="22"/>
          <w:szCs w:val="22"/>
          <w:highlight w:val="yellow"/>
          <w:shd w:val="pct15" w:color="auto" w:fill="FFFFFF"/>
        </w:rPr>
        <w:t>、</w:t>
      </w:r>
      <w:r w:rsidRPr="00C35B01">
        <w:rPr>
          <w:rFonts w:ascii="Times New Roman" w:eastAsia="標楷體" w:hAnsi="Times New Roman" w:hint="eastAsia"/>
          <w:color w:val="FF0000"/>
          <w:sz w:val="22"/>
          <w:szCs w:val="22"/>
          <w:highlight w:val="yellow"/>
          <w:shd w:val="pct15" w:color="auto" w:fill="FFFFFF"/>
        </w:rPr>
        <w:t>或中</w:t>
      </w:r>
      <w:r>
        <w:rPr>
          <w:rFonts w:ascii="Times New Roman" w:eastAsia="標楷體" w:hAnsi="Times New Roman" w:hint="eastAsia"/>
          <w:color w:val="FF0000"/>
          <w:sz w:val="22"/>
          <w:szCs w:val="22"/>
          <w:highlight w:val="yellow"/>
          <w:shd w:val="pct15" w:color="auto" w:fill="FFFFFF"/>
        </w:rPr>
        <w:t>、</w:t>
      </w:r>
      <w:r w:rsidRPr="00C35B01">
        <w:rPr>
          <w:rFonts w:ascii="Times New Roman" w:eastAsia="標楷體" w:hAnsi="Times New Roman" w:hint="eastAsia"/>
          <w:color w:val="FF0000"/>
          <w:sz w:val="22"/>
          <w:szCs w:val="22"/>
          <w:highlight w:val="yellow"/>
          <w:shd w:val="pct15" w:color="auto" w:fill="FFFFFF"/>
        </w:rPr>
        <w:t>或大。又非</w:t>
      </w:r>
      <w:r>
        <w:rPr>
          <w:rFonts w:ascii="標楷體" w:eastAsia="標楷體" w:hAnsi="標楷體" w:hint="eastAsia"/>
          <w:bCs/>
          <w:color w:val="FF0000"/>
          <w:kern w:val="0"/>
          <w:sz w:val="22"/>
          <w:highlight w:val="yellow"/>
        </w:rPr>
        <w:t>「</w:t>
      </w:r>
      <w:r w:rsidRPr="00C35B01">
        <w:rPr>
          <w:rFonts w:ascii="Times New Roman" w:eastAsia="標楷體" w:hAnsi="Times New Roman" w:hint="eastAsia"/>
          <w:color w:val="FF0000"/>
          <w:sz w:val="22"/>
          <w:szCs w:val="22"/>
          <w:highlight w:val="yellow"/>
          <w:shd w:val="pct15" w:color="auto" w:fill="FFFFFF"/>
        </w:rPr>
        <w:t>極微</w:t>
      </w:r>
      <w:r>
        <w:rPr>
          <w:rFonts w:ascii="標楷體" w:eastAsia="標楷體" w:hAnsi="標楷體" w:hint="eastAsia"/>
          <w:bCs/>
          <w:color w:val="FF0000"/>
          <w:kern w:val="0"/>
          <w:sz w:val="22"/>
          <w:highlight w:val="yellow"/>
        </w:rPr>
        <w:t>」</w:t>
      </w:r>
      <w:r w:rsidRPr="00C35B01">
        <w:rPr>
          <w:rFonts w:ascii="Times New Roman" w:eastAsia="標楷體" w:hAnsi="Times New Roman" w:hint="eastAsia"/>
          <w:color w:val="FF0000"/>
          <w:sz w:val="22"/>
          <w:szCs w:val="22"/>
          <w:highlight w:val="yellow"/>
          <w:shd w:val="pct15" w:color="auto" w:fill="FFFFFF"/>
        </w:rPr>
        <w:t>集成色聚</w:t>
      </w:r>
      <w:r>
        <w:rPr>
          <w:rFonts w:ascii="Times New Roman" w:eastAsia="標楷體" w:hAnsi="Times New Roman" w:hint="eastAsia"/>
          <w:color w:val="FF0000"/>
          <w:sz w:val="22"/>
          <w:szCs w:val="22"/>
          <w:highlight w:val="yellow"/>
          <w:shd w:val="pct15" w:color="auto" w:fill="FFFFFF"/>
        </w:rPr>
        <w:t>，</w:t>
      </w:r>
      <w:r w:rsidRPr="00C35B01">
        <w:rPr>
          <w:rFonts w:ascii="Times New Roman" w:eastAsia="標楷體" w:hAnsi="Times New Roman" w:hint="eastAsia"/>
          <w:color w:val="FF0000"/>
          <w:sz w:val="22"/>
          <w:szCs w:val="22"/>
          <w:highlight w:val="yellow"/>
          <w:shd w:val="pct15" w:color="auto" w:fill="FFFFFF"/>
        </w:rPr>
        <w:t>但由覺慧分析諸色極量邊際分別假立以為</w:t>
      </w:r>
      <w:r>
        <w:rPr>
          <w:rFonts w:ascii="標楷體" w:eastAsia="標楷體" w:hAnsi="標楷體" w:hint="eastAsia"/>
          <w:bCs/>
          <w:color w:val="FF0000"/>
          <w:kern w:val="0"/>
          <w:sz w:val="22"/>
          <w:highlight w:val="yellow"/>
        </w:rPr>
        <w:t>「</w:t>
      </w:r>
      <w:r w:rsidRPr="00C35B01">
        <w:rPr>
          <w:rFonts w:ascii="Times New Roman" w:eastAsia="標楷體" w:hAnsi="Times New Roman" w:hint="eastAsia"/>
          <w:color w:val="FF0000"/>
          <w:sz w:val="22"/>
          <w:szCs w:val="22"/>
          <w:highlight w:val="yellow"/>
          <w:shd w:val="pct15" w:color="auto" w:fill="FFFFFF"/>
        </w:rPr>
        <w:t>極微</w:t>
      </w:r>
      <w:r>
        <w:rPr>
          <w:rFonts w:ascii="標楷體" w:eastAsia="標楷體" w:hAnsi="標楷體" w:hint="eastAsia"/>
          <w:bCs/>
          <w:color w:val="FF0000"/>
          <w:kern w:val="0"/>
          <w:sz w:val="22"/>
          <w:highlight w:val="yellow"/>
        </w:rPr>
        <w:t>」</w:t>
      </w:r>
      <w:r w:rsidRPr="00C35B01">
        <w:rPr>
          <w:rFonts w:ascii="Times New Roman" w:eastAsia="標楷體" w:hAnsi="Times New Roman" w:hint="eastAsia"/>
          <w:color w:val="FF0000"/>
          <w:sz w:val="22"/>
          <w:szCs w:val="22"/>
          <w:highlight w:val="yellow"/>
          <w:shd w:val="pct15" w:color="auto" w:fill="FFFFFF"/>
        </w:rPr>
        <w:t>。又色聚亦有方分</w:t>
      </w:r>
      <w:r>
        <w:rPr>
          <w:rFonts w:ascii="Times New Roman" w:eastAsia="標楷體" w:hAnsi="Times New Roman" w:hint="eastAsia"/>
          <w:color w:val="FF0000"/>
          <w:sz w:val="22"/>
          <w:szCs w:val="22"/>
          <w:highlight w:val="yellow"/>
          <w:shd w:val="pct15" w:color="auto" w:fill="FFFFFF"/>
        </w:rPr>
        <w:t>，</w:t>
      </w:r>
      <w:r>
        <w:rPr>
          <w:rFonts w:ascii="標楷體" w:eastAsia="標楷體" w:hAnsi="標楷體" w:hint="eastAsia"/>
          <w:bCs/>
          <w:color w:val="FF0000"/>
          <w:kern w:val="0"/>
          <w:sz w:val="22"/>
          <w:highlight w:val="yellow"/>
        </w:rPr>
        <w:t>「</w:t>
      </w:r>
      <w:r w:rsidRPr="00C35B01">
        <w:rPr>
          <w:rFonts w:ascii="Times New Roman" w:eastAsia="標楷體" w:hAnsi="Times New Roman" w:hint="eastAsia"/>
          <w:color w:val="FF0000"/>
          <w:sz w:val="22"/>
          <w:szCs w:val="22"/>
          <w:highlight w:val="yellow"/>
          <w:shd w:val="pct15" w:color="auto" w:fill="FFFFFF"/>
        </w:rPr>
        <w:t>極微</w:t>
      </w:r>
      <w:r>
        <w:rPr>
          <w:rFonts w:ascii="標楷體" w:eastAsia="標楷體" w:hAnsi="標楷體" w:hint="eastAsia"/>
          <w:bCs/>
          <w:color w:val="FF0000"/>
          <w:kern w:val="0"/>
          <w:sz w:val="22"/>
          <w:highlight w:val="yellow"/>
        </w:rPr>
        <w:t>」</w:t>
      </w:r>
      <w:r w:rsidRPr="00C35B01">
        <w:rPr>
          <w:rFonts w:ascii="Times New Roman" w:eastAsia="標楷體" w:hAnsi="Times New Roman" w:hint="eastAsia"/>
          <w:color w:val="FF0000"/>
          <w:sz w:val="22"/>
          <w:szCs w:val="22"/>
          <w:highlight w:val="yellow"/>
          <w:shd w:val="pct15" w:color="auto" w:fill="FFFFFF"/>
        </w:rPr>
        <w:t>亦有方分</w:t>
      </w:r>
      <w:r>
        <w:rPr>
          <w:rFonts w:ascii="Times New Roman" w:eastAsia="標楷體" w:hAnsi="Times New Roman" w:hint="eastAsia"/>
          <w:color w:val="FF0000"/>
          <w:sz w:val="22"/>
          <w:szCs w:val="22"/>
          <w:highlight w:val="yellow"/>
          <w:shd w:val="pct15" w:color="auto" w:fill="FFFFFF"/>
        </w:rPr>
        <w:t>；</w:t>
      </w:r>
      <w:r w:rsidRPr="00C35B01">
        <w:rPr>
          <w:rFonts w:ascii="Times New Roman" w:eastAsia="標楷體" w:hAnsi="Times New Roman" w:hint="eastAsia"/>
          <w:color w:val="FF0000"/>
          <w:sz w:val="22"/>
          <w:szCs w:val="22"/>
          <w:highlight w:val="yellow"/>
          <w:shd w:val="pct15" w:color="auto" w:fill="FFFFFF"/>
        </w:rPr>
        <w:t>然色聚有分</w:t>
      </w:r>
      <w:r>
        <w:rPr>
          <w:rFonts w:ascii="Times New Roman" w:eastAsia="標楷體" w:hAnsi="Times New Roman" w:hint="eastAsia"/>
          <w:color w:val="FF0000"/>
          <w:sz w:val="22"/>
          <w:szCs w:val="22"/>
          <w:highlight w:val="yellow"/>
          <w:shd w:val="pct15" w:color="auto" w:fill="FFFFFF"/>
        </w:rPr>
        <w:t>，</w:t>
      </w:r>
      <w:r w:rsidRPr="00C35B01">
        <w:rPr>
          <w:rFonts w:ascii="Times New Roman" w:eastAsia="標楷體" w:hAnsi="Times New Roman" w:hint="eastAsia"/>
          <w:color w:val="FF0000"/>
          <w:sz w:val="22"/>
          <w:szCs w:val="22"/>
          <w:highlight w:val="yellow"/>
          <w:shd w:val="pct15" w:color="auto" w:fill="FFFFFF"/>
        </w:rPr>
        <w:t>非</w:t>
      </w:r>
      <w:r>
        <w:rPr>
          <w:rFonts w:ascii="標楷體" w:eastAsia="標楷體" w:hAnsi="標楷體" w:hint="eastAsia"/>
          <w:bCs/>
          <w:color w:val="FF0000"/>
          <w:kern w:val="0"/>
          <w:sz w:val="22"/>
          <w:highlight w:val="yellow"/>
        </w:rPr>
        <w:t>「</w:t>
      </w:r>
      <w:r w:rsidRPr="00C35B01">
        <w:rPr>
          <w:rFonts w:ascii="Times New Roman" w:eastAsia="標楷體" w:hAnsi="Times New Roman" w:hint="eastAsia"/>
          <w:color w:val="FF0000"/>
          <w:sz w:val="22"/>
          <w:szCs w:val="22"/>
          <w:highlight w:val="yellow"/>
          <w:shd w:val="pct15" w:color="auto" w:fill="FFFFFF"/>
        </w:rPr>
        <w:t>極微</w:t>
      </w:r>
      <w:r>
        <w:rPr>
          <w:rFonts w:ascii="標楷體" w:eastAsia="標楷體" w:hAnsi="標楷體" w:hint="eastAsia"/>
          <w:bCs/>
          <w:color w:val="FF0000"/>
          <w:kern w:val="0"/>
          <w:sz w:val="22"/>
          <w:highlight w:val="yellow"/>
        </w:rPr>
        <w:t>」，</w:t>
      </w:r>
      <w:r w:rsidRPr="00C35B01">
        <w:rPr>
          <w:rFonts w:ascii="Times New Roman" w:eastAsia="標楷體" w:hAnsi="Times New Roman" w:hint="eastAsia"/>
          <w:color w:val="FF0000"/>
          <w:sz w:val="22"/>
          <w:szCs w:val="22"/>
          <w:highlight w:val="yellow"/>
          <w:shd w:val="pct15" w:color="auto" w:fill="FFFFFF"/>
        </w:rPr>
        <w:t>何以故</w:t>
      </w:r>
      <w:r>
        <w:rPr>
          <w:rFonts w:ascii="Times New Roman" w:eastAsia="標楷體" w:hAnsi="Times New Roman" w:hint="eastAsia"/>
          <w:color w:val="FF0000"/>
          <w:sz w:val="22"/>
          <w:szCs w:val="22"/>
          <w:highlight w:val="yellow"/>
          <w:shd w:val="pct15" w:color="auto" w:fill="FFFFFF"/>
        </w:rPr>
        <w:t>？</w:t>
      </w:r>
      <w:r w:rsidRPr="00C35B01">
        <w:rPr>
          <w:rFonts w:ascii="Times New Roman" w:eastAsia="標楷體" w:hAnsi="Times New Roman" w:hint="eastAsia"/>
          <w:color w:val="FF0000"/>
          <w:sz w:val="22"/>
          <w:szCs w:val="22"/>
          <w:highlight w:val="yellow"/>
          <w:shd w:val="pct15" w:color="auto" w:fill="FFFFFF"/>
        </w:rPr>
        <w:t>由</w:t>
      </w:r>
      <w:r>
        <w:rPr>
          <w:rFonts w:ascii="標楷體" w:eastAsia="標楷體" w:hAnsi="標楷體" w:hint="eastAsia"/>
          <w:bCs/>
          <w:color w:val="FF0000"/>
          <w:kern w:val="0"/>
          <w:sz w:val="22"/>
          <w:highlight w:val="yellow"/>
        </w:rPr>
        <w:t>「</w:t>
      </w:r>
      <w:r w:rsidRPr="00C35B01">
        <w:rPr>
          <w:rFonts w:ascii="Times New Roman" w:eastAsia="標楷體" w:hAnsi="Times New Roman" w:hint="eastAsia"/>
          <w:color w:val="FF0000"/>
          <w:sz w:val="22"/>
          <w:szCs w:val="22"/>
          <w:highlight w:val="yellow"/>
          <w:shd w:val="pct15" w:color="auto" w:fill="FFFFFF"/>
        </w:rPr>
        <w:t>極微</w:t>
      </w:r>
      <w:r>
        <w:rPr>
          <w:rFonts w:ascii="標楷體" w:eastAsia="標楷體" w:hAnsi="標楷體" w:hint="eastAsia"/>
          <w:bCs/>
          <w:color w:val="FF0000"/>
          <w:kern w:val="0"/>
          <w:sz w:val="22"/>
          <w:highlight w:val="yellow"/>
        </w:rPr>
        <w:t>」</w:t>
      </w:r>
      <w:r w:rsidRPr="00C35B01">
        <w:rPr>
          <w:rFonts w:ascii="Times New Roman" w:eastAsia="標楷體" w:hAnsi="Times New Roman" w:hint="eastAsia"/>
          <w:color w:val="FF0000"/>
          <w:sz w:val="22"/>
          <w:szCs w:val="22"/>
          <w:highlight w:val="yellow"/>
          <w:shd w:val="pct15" w:color="auto" w:fill="FFFFFF"/>
        </w:rPr>
        <w:t>即是</w:t>
      </w:r>
      <w:r>
        <w:rPr>
          <w:rFonts w:ascii="標楷體" w:eastAsia="標楷體" w:hAnsi="標楷體" w:hint="eastAsia"/>
          <w:bCs/>
          <w:color w:val="FF0000"/>
          <w:kern w:val="0"/>
          <w:sz w:val="22"/>
          <w:highlight w:val="yellow"/>
        </w:rPr>
        <w:t>「</w:t>
      </w:r>
      <w:r w:rsidRPr="00C35B01">
        <w:rPr>
          <w:rFonts w:ascii="Times New Roman" w:eastAsia="標楷體" w:hAnsi="Times New Roman" w:hint="eastAsia"/>
          <w:color w:val="FF0000"/>
          <w:sz w:val="22"/>
          <w:szCs w:val="22"/>
          <w:highlight w:val="yellow"/>
          <w:shd w:val="pct15" w:color="auto" w:fill="FFFFFF"/>
        </w:rPr>
        <w:t>分</w:t>
      </w:r>
      <w:r>
        <w:rPr>
          <w:rFonts w:ascii="標楷體" w:eastAsia="標楷體" w:hAnsi="標楷體" w:hint="eastAsia"/>
          <w:bCs/>
          <w:color w:val="FF0000"/>
          <w:kern w:val="0"/>
          <w:sz w:val="22"/>
          <w:highlight w:val="yellow"/>
        </w:rPr>
        <w:t>」，</w:t>
      </w:r>
      <w:r w:rsidRPr="00C35B01">
        <w:rPr>
          <w:rFonts w:ascii="Times New Roman" w:eastAsia="標楷體" w:hAnsi="Times New Roman" w:hint="eastAsia"/>
          <w:color w:val="FF0000"/>
          <w:sz w:val="22"/>
          <w:szCs w:val="22"/>
          <w:highlight w:val="yellow"/>
          <w:shd w:val="pct15" w:color="auto" w:fill="FFFFFF"/>
        </w:rPr>
        <w:t>此是聚色所有</w:t>
      </w:r>
      <w:r>
        <w:rPr>
          <w:rFonts w:ascii="Times New Roman" w:eastAsia="標楷體" w:hAnsi="Times New Roman" w:hint="eastAsia"/>
          <w:color w:val="FF0000"/>
          <w:sz w:val="22"/>
          <w:szCs w:val="22"/>
          <w:highlight w:val="yellow"/>
          <w:shd w:val="pct15" w:color="auto" w:fill="FFFFFF"/>
        </w:rPr>
        <w:t>，</w:t>
      </w:r>
      <w:r w:rsidRPr="00C35B01">
        <w:rPr>
          <w:rFonts w:ascii="Times New Roman" w:eastAsia="標楷體" w:hAnsi="Times New Roman" w:hint="eastAsia"/>
          <w:color w:val="FF0000"/>
          <w:sz w:val="22"/>
          <w:szCs w:val="22"/>
          <w:highlight w:val="yellow"/>
          <w:shd w:val="pct15" w:color="auto" w:fill="FFFFFF"/>
        </w:rPr>
        <w:t>非</w:t>
      </w:r>
      <w:r>
        <w:rPr>
          <w:rFonts w:ascii="標楷體" w:eastAsia="標楷體" w:hAnsi="標楷體" w:hint="eastAsia"/>
          <w:bCs/>
          <w:color w:val="FF0000"/>
          <w:kern w:val="0"/>
          <w:sz w:val="22"/>
          <w:highlight w:val="yellow"/>
        </w:rPr>
        <w:t>「</w:t>
      </w:r>
      <w:r w:rsidRPr="00C35B01">
        <w:rPr>
          <w:rFonts w:ascii="Times New Roman" w:eastAsia="標楷體" w:hAnsi="Times New Roman" w:hint="eastAsia"/>
          <w:color w:val="FF0000"/>
          <w:sz w:val="22"/>
          <w:szCs w:val="22"/>
          <w:highlight w:val="yellow"/>
          <w:shd w:val="pct15" w:color="auto" w:fill="FFFFFF"/>
        </w:rPr>
        <w:t>極微</w:t>
      </w:r>
      <w:r>
        <w:rPr>
          <w:rFonts w:ascii="標楷體" w:eastAsia="標楷體" w:hAnsi="標楷體" w:hint="eastAsia"/>
          <w:bCs/>
          <w:color w:val="FF0000"/>
          <w:kern w:val="0"/>
          <w:sz w:val="22"/>
          <w:highlight w:val="yellow"/>
        </w:rPr>
        <w:t>」</w:t>
      </w:r>
      <w:r w:rsidRPr="00C35B01">
        <w:rPr>
          <w:rFonts w:ascii="Times New Roman" w:eastAsia="標楷體" w:hAnsi="Times New Roman" w:hint="eastAsia"/>
          <w:color w:val="FF0000"/>
          <w:sz w:val="22"/>
          <w:szCs w:val="22"/>
          <w:highlight w:val="yellow"/>
          <w:shd w:val="pct15" w:color="auto" w:fill="FFFFFF"/>
        </w:rPr>
        <w:t>復有餘</w:t>
      </w:r>
      <w:r>
        <w:rPr>
          <w:rFonts w:ascii="標楷體" w:eastAsia="標楷體" w:hAnsi="標楷體" w:hint="eastAsia"/>
          <w:bCs/>
          <w:color w:val="FF0000"/>
          <w:kern w:val="0"/>
          <w:sz w:val="22"/>
          <w:highlight w:val="yellow"/>
        </w:rPr>
        <w:t>「</w:t>
      </w:r>
      <w:r w:rsidRPr="00C35B01">
        <w:rPr>
          <w:rFonts w:ascii="Times New Roman" w:eastAsia="標楷體" w:hAnsi="Times New Roman" w:hint="eastAsia"/>
          <w:color w:val="FF0000"/>
          <w:sz w:val="22"/>
          <w:szCs w:val="22"/>
          <w:highlight w:val="yellow"/>
          <w:shd w:val="pct15" w:color="auto" w:fill="FFFFFF"/>
        </w:rPr>
        <w:t>極微</w:t>
      </w:r>
      <w:r>
        <w:rPr>
          <w:rFonts w:ascii="標楷體" w:eastAsia="標楷體" w:hAnsi="標楷體" w:hint="eastAsia"/>
          <w:bCs/>
          <w:color w:val="FF0000"/>
          <w:kern w:val="0"/>
          <w:sz w:val="22"/>
          <w:highlight w:val="yellow"/>
        </w:rPr>
        <w:t>」，</w:t>
      </w:r>
      <w:r w:rsidRPr="00C35B01">
        <w:rPr>
          <w:rFonts w:ascii="Times New Roman" w:eastAsia="標楷體" w:hAnsi="Times New Roman" w:hint="eastAsia"/>
          <w:color w:val="FF0000"/>
          <w:sz w:val="22"/>
          <w:szCs w:val="22"/>
          <w:highlight w:val="yellow"/>
          <w:shd w:val="pct15" w:color="auto" w:fill="FFFFFF"/>
        </w:rPr>
        <w:t>是故</w:t>
      </w:r>
      <w:r>
        <w:rPr>
          <w:rFonts w:ascii="標楷體" w:eastAsia="標楷體" w:hAnsi="標楷體" w:hint="eastAsia"/>
          <w:bCs/>
          <w:color w:val="FF0000"/>
          <w:kern w:val="0"/>
          <w:sz w:val="22"/>
          <w:highlight w:val="yellow"/>
        </w:rPr>
        <w:t>「</w:t>
      </w:r>
      <w:r w:rsidRPr="00C35B01">
        <w:rPr>
          <w:rFonts w:ascii="Times New Roman" w:eastAsia="標楷體" w:hAnsi="Times New Roman" w:hint="eastAsia"/>
          <w:color w:val="FF0000"/>
          <w:sz w:val="22"/>
          <w:szCs w:val="22"/>
          <w:highlight w:val="yellow"/>
          <w:shd w:val="pct15" w:color="auto" w:fill="FFFFFF"/>
        </w:rPr>
        <w:t>極微</w:t>
      </w:r>
      <w:r>
        <w:rPr>
          <w:rFonts w:ascii="標楷體" w:eastAsia="標楷體" w:hAnsi="標楷體" w:hint="eastAsia"/>
          <w:bCs/>
          <w:color w:val="FF0000"/>
          <w:kern w:val="0"/>
          <w:sz w:val="22"/>
          <w:highlight w:val="yellow"/>
        </w:rPr>
        <w:t>」</w:t>
      </w:r>
      <w:r w:rsidRPr="00C35B01">
        <w:rPr>
          <w:rFonts w:ascii="Times New Roman" w:eastAsia="標楷體" w:hAnsi="Times New Roman" w:hint="eastAsia"/>
          <w:color w:val="FF0000"/>
          <w:sz w:val="22"/>
          <w:szCs w:val="22"/>
          <w:highlight w:val="yellow"/>
          <w:shd w:val="pct15" w:color="auto" w:fill="FFFFFF"/>
        </w:rPr>
        <w:t>非有分。</w:t>
      </w:r>
    </w:p>
  </w:footnote>
  <w:footnote w:id="381">
    <w:p w:rsidR="00157EF6" w:rsidRPr="00212D57" w:rsidRDefault="00157EF6" w:rsidP="002B682F">
      <w:pPr>
        <w:snapToGrid w:val="0"/>
        <w:jc w:val="both"/>
        <w:rPr>
          <w:sz w:val="22"/>
          <w:szCs w:val="22"/>
        </w:rPr>
      </w:pPr>
      <w:r w:rsidRPr="00212D57">
        <w:rPr>
          <w:rStyle w:val="a6"/>
          <w:rFonts w:ascii="Times New Roman" w:hAnsi="Times New Roman"/>
          <w:sz w:val="22"/>
          <w:szCs w:val="22"/>
        </w:rPr>
        <w:footnoteRef/>
      </w:r>
      <w:r w:rsidRPr="00212D57">
        <w:rPr>
          <w:rFonts w:hint="eastAsia"/>
          <w:sz w:val="22"/>
          <w:szCs w:val="22"/>
        </w:rPr>
        <w:t xml:space="preserve"> </w:t>
      </w:r>
      <w:r w:rsidRPr="00212D57">
        <w:rPr>
          <w:rFonts w:hint="eastAsia"/>
          <w:sz w:val="22"/>
          <w:szCs w:val="22"/>
        </w:rPr>
        <w:t>參見《</w:t>
      </w:r>
      <w:r w:rsidRPr="00212D57">
        <w:rPr>
          <w:sz w:val="22"/>
          <w:szCs w:val="22"/>
        </w:rPr>
        <w:t>莊子</w:t>
      </w:r>
      <w:r w:rsidRPr="00212D57">
        <w:rPr>
          <w:rFonts w:hint="eastAsia"/>
          <w:sz w:val="22"/>
          <w:szCs w:val="22"/>
        </w:rPr>
        <w:t>‧</w:t>
      </w:r>
      <w:r w:rsidRPr="00212D57">
        <w:rPr>
          <w:sz w:val="22"/>
          <w:szCs w:val="22"/>
        </w:rPr>
        <w:t>天下</w:t>
      </w:r>
      <w:r w:rsidRPr="00212D57">
        <w:rPr>
          <w:rFonts w:hint="eastAsia"/>
          <w:sz w:val="22"/>
          <w:szCs w:val="22"/>
        </w:rPr>
        <w:t>》：「</w:t>
      </w:r>
      <w:r w:rsidRPr="00212D57">
        <w:rPr>
          <w:rFonts w:ascii="標楷體" w:eastAsia="標楷體" w:hAnsi="標楷體"/>
          <w:sz w:val="22"/>
          <w:szCs w:val="22"/>
        </w:rPr>
        <w:t>一尺之捶，日取其半，</w:t>
      </w:r>
      <w:r w:rsidRPr="00212D57">
        <w:rPr>
          <w:rFonts w:ascii="標楷體" w:eastAsia="標楷體" w:hAnsi="標楷體" w:hint="eastAsia"/>
          <w:sz w:val="22"/>
          <w:szCs w:val="22"/>
        </w:rPr>
        <w:t>萬</w:t>
      </w:r>
      <w:r w:rsidRPr="00212D57">
        <w:rPr>
          <w:rFonts w:ascii="標楷體" w:eastAsia="標楷體" w:hAnsi="標楷體"/>
          <w:sz w:val="22"/>
          <w:szCs w:val="22"/>
        </w:rPr>
        <w:t>世不竭</w:t>
      </w:r>
      <w:r w:rsidRPr="00212D57">
        <w:rPr>
          <w:sz w:val="22"/>
          <w:szCs w:val="22"/>
        </w:rPr>
        <w:t>。</w:t>
      </w:r>
      <w:r w:rsidRPr="00212D57">
        <w:rPr>
          <w:rFonts w:hint="eastAsia"/>
          <w:sz w:val="22"/>
          <w:szCs w:val="22"/>
        </w:rPr>
        <w:t>」</w:t>
      </w:r>
    </w:p>
    <w:p w:rsidR="00157EF6" w:rsidRPr="00212D57" w:rsidRDefault="00157EF6" w:rsidP="002B682F">
      <w:pPr>
        <w:snapToGrid w:val="0"/>
        <w:ind w:leftChars="105" w:left="252"/>
        <w:jc w:val="both"/>
        <w:rPr>
          <w:sz w:val="22"/>
          <w:szCs w:val="22"/>
        </w:rPr>
      </w:pPr>
      <w:r w:rsidRPr="00212D57">
        <w:rPr>
          <w:rFonts w:hint="eastAsia"/>
          <w:sz w:val="22"/>
          <w:szCs w:val="22"/>
        </w:rPr>
        <w:t>※捶（</w:t>
      </w:r>
      <w:r w:rsidRPr="00212D57">
        <w:rPr>
          <w:rFonts w:ascii="標楷體" w:eastAsia="標楷體" w:hAnsi="標楷體" w:hint="eastAsia"/>
          <w:sz w:val="22"/>
          <w:szCs w:val="22"/>
        </w:rPr>
        <w:t>ㄔㄨㄟˊ</w:t>
      </w:r>
      <w:r w:rsidRPr="00212D57">
        <w:rPr>
          <w:rFonts w:hint="eastAsia"/>
          <w:sz w:val="22"/>
          <w:szCs w:val="22"/>
        </w:rPr>
        <w:t>）：</w:t>
      </w:r>
      <w:r w:rsidRPr="00761EF3">
        <w:rPr>
          <w:rFonts w:ascii="Times New Roman" w:hAnsi="Times New Roman" w:hint="eastAsia"/>
          <w:sz w:val="22"/>
          <w:szCs w:val="22"/>
        </w:rPr>
        <w:t>3</w:t>
      </w:r>
      <w:r w:rsidRPr="00212D57">
        <w:rPr>
          <w:rFonts w:hint="eastAsia"/>
          <w:sz w:val="22"/>
          <w:szCs w:val="22"/>
        </w:rPr>
        <w:t>.</w:t>
      </w:r>
      <w:r w:rsidRPr="00212D57">
        <w:rPr>
          <w:rFonts w:hint="eastAsia"/>
          <w:sz w:val="22"/>
          <w:szCs w:val="22"/>
        </w:rPr>
        <w:t>同“</w:t>
      </w:r>
      <w:r w:rsidRPr="00212D57">
        <w:rPr>
          <w:rFonts w:hint="eastAsia"/>
          <w:sz w:val="22"/>
          <w:szCs w:val="22"/>
        </w:rPr>
        <w:t xml:space="preserve"> </w:t>
      </w:r>
      <w:r w:rsidRPr="00212D57">
        <w:rPr>
          <w:rFonts w:hint="eastAsia"/>
          <w:sz w:val="22"/>
          <w:szCs w:val="22"/>
        </w:rPr>
        <w:t>箠</w:t>
      </w:r>
      <w:r w:rsidRPr="00212D57">
        <w:rPr>
          <w:rFonts w:hint="eastAsia"/>
          <w:sz w:val="22"/>
          <w:szCs w:val="22"/>
        </w:rPr>
        <w:t xml:space="preserve"> </w:t>
      </w:r>
      <w:r w:rsidRPr="00212D57">
        <w:rPr>
          <w:rFonts w:hint="eastAsia"/>
          <w:sz w:val="22"/>
          <w:szCs w:val="22"/>
        </w:rPr>
        <w:t>”。杖，鞭。（《漢語大詞典》（六），</w:t>
      </w:r>
      <w:r w:rsidRPr="00761EF3">
        <w:rPr>
          <w:rFonts w:ascii="Times New Roman" w:hAnsi="Times New Roman" w:hint="eastAsia"/>
          <w:sz w:val="22"/>
          <w:szCs w:val="22"/>
        </w:rPr>
        <w:t>p</w:t>
      </w:r>
      <w:r w:rsidRPr="00212D57">
        <w:rPr>
          <w:rFonts w:hint="eastAsia"/>
          <w:sz w:val="22"/>
          <w:szCs w:val="22"/>
        </w:rPr>
        <w:t>.</w:t>
      </w:r>
      <w:r w:rsidRPr="00761EF3">
        <w:rPr>
          <w:rFonts w:ascii="Times New Roman" w:hAnsi="Times New Roman" w:hint="eastAsia"/>
          <w:sz w:val="22"/>
          <w:szCs w:val="22"/>
        </w:rPr>
        <w:t>667</w:t>
      </w:r>
      <w:r w:rsidRPr="00212D57">
        <w:rPr>
          <w:rFonts w:hint="eastAsia"/>
          <w:sz w:val="22"/>
          <w:szCs w:val="22"/>
        </w:rPr>
        <w:t>）</w:t>
      </w:r>
    </w:p>
  </w:footnote>
  <w:footnote w:id="382">
    <w:p w:rsidR="00157EF6" w:rsidRPr="00212D57" w:rsidRDefault="00157EF6" w:rsidP="002B682F">
      <w:pPr>
        <w:pStyle w:val="a5"/>
        <w:spacing w:line="0" w:lineRule="atLeast"/>
        <w:ind w:left="792" w:hangingChars="360" w:hanging="792"/>
        <w:jc w:val="both"/>
        <w:rPr>
          <w:szCs w:val="22"/>
          <w:lang w:eastAsia="zh-HK"/>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212D57">
        <w:rPr>
          <w:szCs w:val="22"/>
        </w:rPr>
        <w:t>《雜阿含經》卷</w:t>
      </w:r>
      <w:r w:rsidRPr="00761EF3">
        <w:rPr>
          <w:szCs w:val="22"/>
        </w:rPr>
        <w:t>6</w:t>
      </w:r>
      <w:r w:rsidRPr="00212D57">
        <w:rPr>
          <w:szCs w:val="22"/>
        </w:rPr>
        <w:t>（</w:t>
      </w:r>
      <w:r w:rsidRPr="00761EF3">
        <w:rPr>
          <w:szCs w:val="22"/>
        </w:rPr>
        <w:t>122</w:t>
      </w:r>
      <w:r w:rsidRPr="00212D57">
        <w:rPr>
          <w:szCs w:val="22"/>
        </w:rPr>
        <w:t>經）（大正</w:t>
      </w:r>
      <w:r w:rsidRPr="00761EF3">
        <w:rPr>
          <w:szCs w:val="22"/>
          <w:lang w:eastAsia="zh-HK"/>
        </w:rPr>
        <w:t>2</w:t>
      </w:r>
      <w:r w:rsidRPr="00212D57">
        <w:rPr>
          <w:szCs w:val="22"/>
        </w:rPr>
        <w:t>，</w:t>
      </w:r>
      <w:r w:rsidRPr="00761EF3">
        <w:rPr>
          <w:szCs w:val="22"/>
          <w:lang w:eastAsia="zh-HK"/>
        </w:rPr>
        <w:t>40a</w:t>
      </w:r>
      <w:r w:rsidRPr="00761EF3">
        <w:rPr>
          <w:rFonts w:hint="eastAsia"/>
          <w:szCs w:val="22"/>
          <w:lang w:eastAsia="zh-HK"/>
        </w:rPr>
        <w:t>8</w:t>
      </w:r>
      <w:r w:rsidRPr="00212D57">
        <w:rPr>
          <w:szCs w:val="22"/>
          <w:lang w:eastAsia="zh-HK"/>
        </w:rPr>
        <w:t>-</w:t>
      </w:r>
      <w:r w:rsidRPr="00761EF3">
        <w:rPr>
          <w:szCs w:val="22"/>
          <w:lang w:eastAsia="zh-HK"/>
        </w:rPr>
        <w:t>17</w:t>
      </w:r>
      <w:r w:rsidRPr="00212D57">
        <w:rPr>
          <w:szCs w:val="22"/>
        </w:rPr>
        <w:t>）：</w:t>
      </w:r>
    </w:p>
    <w:p w:rsidR="00157EF6" w:rsidRPr="00212D57" w:rsidRDefault="00157EF6" w:rsidP="002B682F">
      <w:pPr>
        <w:pStyle w:val="a5"/>
        <w:ind w:leftChars="335" w:left="804"/>
        <w:jc w:val="both"/>
        <w:rPr>
          <w:rFonts w:eastAsia="標楷體"/>
          <w:szCs w:val="22"/>
        </w:rPr>
      </w:pPr>
      <w:r w:rsidRPr="00212D57">
        <w:rPr>
          <w:rFonts w:eastAsia="標楷體"/>
          <w:szCs w:val="22"/>
          <w:lang w:eastAsia="zh-HK"/>
        </w:rPr>
        <w:t>佛告羅陀：「我說於色境界當散壞消滅，於</w:t>
      </w:r>
      <w:r w:rsidR="006D5621">
        <w:rPr>
          <w:rFonts w:ascii="標楷體" w:eastAsia="標楷體" w:hAnsi="標楷體" w:hint="eastAsia"/>
          <w:color w:val="FF0000"/>
          <w:kern w:val="0"/>
          <w:highlight w:val="yellow"/>
        </w:rPr>
        <w:t>『</w:t>
      </w:r>
      <w:r w:rsidRPr="00212D57">
        <w:rPr>
          <w:rFonts w:eastAsia="標楷體"/>
          <w:szCs w:val="22"/>
          <w:lang w:eastAsia="zh-HK"/>
        </w:rPr>
        <w:t>受、想、行、識</w:t>
      </w:r>
      <w:r w:rsidR="006D5621">
        <w:rPr>
          <w:rFonts w:ascii="標楷體" w:eastAsia="標楷體" w:hAnsi="標楷體" w:hint="eastAsia"/>
          <w:color w:val="FF0000"/>
          <w:kern w:val="0"/>
          <w:highlight w:val="yellow"/>
        </w:rPr>
        <w:t>』</w:t>
      </w:r>
      <w:r w:rsidRPr="00212D57">
        <w:rPr>
          <w:rFonts w:eastAsia="標楷體"/>
          <w:szCs w:val="22"/>
          <w:lang w:eastAsia="zh-HK"/>
        </w:rPr>
        <w:t>境界當散壞消滅，斷除愛欲</w:t>
      </w:r>
      <w:r w:rsidR="006D5621">
        <w:rPr>
          <w:rFonts w:ascii="標楷體" w:eastAsia="標楷體" w:hAnsi="標楷體" w:hint="eastAsia"/>
          <w:color w:val="FF0000"/>
          <w:spacing w:val="-4"/>
          <w:kern w:val="0"/>
          <w:highlight w:val="yellow"/>
        </w:rPr>
        <w:t>；</w:t>
      </w:r>
      <w:r w:rsidRPr="00212D57">
        <w:rPr>
          <w:rFonts w:eastAsia="標楷體"/>
          <w:szCs w:val="22"/>
          <w:lang w:eastAsia="zh-HK"/>
        </w:rPr>
        <w:t>愛盡則苦盡</w:t>
      </w:r>
      <w:r w:rsidR="006D5621">
        <w:rPr>
          <w:rFonts w:ascii="標楷體" w:eastAsia="標楷體" w:hAnsi="標楷體" w:hint="eastAsia"/>
          <w:color w:val="FF0000"/>
          <w:spacing w:val="-4"/>
          <w:kern w:val="0"/>
          <w:highlight w:val="yellow"/>
        </w:rPr>
        <w:t>；</w:t>
      </w:r>
      <w:r w:rsidRPr="00212D57">
        <w:rPr>
          <w:rFonts w:eastAsia="標楷體"/>
          <w:szCs w:val="22"/>
          <w:lang w:eastAsia="zh-HK"/>
        </w:rPr>
        <w:t>苦盡者</w:t>
      </w:r>
      <w:r w:rsidR="006D5621">
        <w:rPr>
          <w:rFonts w:ascii="標楷體" w:eastAsia="標楷體" w:hAnsi="標楷體" w:hint="eastAsia"/>
          <w:color w:val="FF0000"/>
          <w:kern w:val="0"/>
          <w:highlight w:val="yellow"/>
        </w:rPr>
        <w:t>，</w:t>
      </w:r>
      <w:r w:rsidRPr="00212D57">
        <w:rPr>
          <w:rFonts w:eastAsia="標楷體"/>
          <w:szCs w:val="22"/>
          <w:lang w:eastAsia="zh-HK"/>
        </w:rPr>
        <w:t>我說作苦邊。譬如聚落中諸小男小女嬉</w:t>
      </w:r>
      <w:r w:rsidRPr="006D5621">
        <w:rPr>
          <w:rFonts w:eastAsia="標楷體"/>
          <w:szCs w:val="22"/>
          <w:highlight w:val="yellow"/>
          <w:lang w:eastAsia="zh-HK"/>
        </w:rPr>
        <w:t>戲聚</w:t>
      </w:r>
      <w:r w:rsidRPr="00212D57">
        <w:rPr>
          <w:rFonts w:eastAsia="標楷體"/>
          <w:szCs w:val="22"/>
          <w:lang w:eastAsia="zh-HK"/>
        </w:rPr>
        <w:t>土作城郭宅舍，心愛樂著，愛未盡、欲未盡、念未盡、渴未盡，心常愛樂、守護，言：『我城郭，我舍宅</w:t>
      </w:r>
      <w:r w:rsidR="006D5621">
        <w:rPr>
          <w:rFonts w:ascii="標楷體" w:eastAsia="標楷體" w:hAnsi="標楷體" w:hint="eastAsia"/>
          <w:color w:val="FF0000"/>
          <w:kern w:val="0"/>
          <w:highlight w:val="yellow"/>
        </w:rPr>
        <w:t>』</w:t>
      </w:r>
      <w:r w:rsidR="006D5621">
        <w:rPr>
          <w:rFonts w:ascii="標楷體" w:eastAsia="標楷體" w:hAnsi="標楷體" w:hint="eastAsia"/>
          <w:color w:val="FF0000"/>
          <w:spacing w:val="-4"/>
          <w:kern w:val="0"/>
          <w:highlight w:val="yellow"/>
        </w:rPr>
        <w:t>；</w:t>
      </w:r>
      <w:r w:rsidRPr="00212D57">
        <w:rPr>
          <w:rFonts w:eastAsia="標楷體"/>
          <w:szCs w:val="22"/>
          <w:lang w:eastAsia="zh-HK"/>
        </w:rPr>
        <w:t>若於彼土聚愛盡、欲盡、念盡、渴盡，則以手撥足蹴，令其消散。如是，羅陀！於色散壞消滅</w:t>
      </w:r>
      <w:r w:rsidR="006D5621">
        <w:rPr>
          <w:rFonts w:ascii="標楷體" w:eastAsia="標楷體" w:hAnsi="標楷體" w:hint="eastAsia"/>
          <w:color w:val="FF0000"/>
          <w:kern w:val="0"/>
          <w:highlight w:val="yellow"/>
        </w:rPr>
        <w:t>，</w:t>
      </w:r>
      <w:r w:rsidRPr="00212D57">
        <w:rPr>
          <w:rFonts w:eastAsia="標楷體"/>
          <w:szCs w:val="22"/>
          <w:lang w:eastAsia="zh-HK"/>
        </w:rPr>
        <w:t>愛盡</w:t>
      </w:r>
      <w:r w:rsidR="006D5621">
        <w:rPr>
          <w:rFonts w:ascii="標楷體" w:eastAsia="標楷體" w:hAnsi="標楷體" w:hint="eastAsia"/>
          <w:color w:val="FF0000"/>
          <w:spacing w:val="-4"/>
          <w:kern w:val="0"/>
          <w:highlight w:val="yellow"/>
        </w:rPr>
        <w:t>；</w:t>
      </w:r>
      <w:r w:rsidRPr="00212D57">
        <w:rPr>
          <w:rFonts w:eastAsia="標楷體"/>
          <w:szCs w:val="22"/>
          <w:lang w:eastAsia="zh-HK"/>
        </w:rPr>
        <w:t>愛盡故苦盡</w:t>
      </w:r>
      <w:r w:rsidR="006D5621">
        <w:rPr>
          <w:rFonts w:ascii="標楷體" w:eastAsia="標楷體" w:hAnsi="標楷體" w:hint="eastAsia"/>
          <w:color w:val="FF0000"/>
          <w:spacing w:val="-4"/>
          <w:kern w:val="0"/>
          <w:highlight w:val="yellow"/>
        </w:rPr>
        <w:t>；</w:t>
      </w:r>
      <w:r w:rsidRPr="00212D57">
        <w:rPr>
          <w:rFonts w:eastAsia="標楷體"/>
          <w:szCs w:val="22"/>
          <w:lang w:eastAsia="zh-HK"/>
        </w:rPr>
        <w:t>苦盡故</w:t>
      </w:r>
      <w:r w:rsidR="006D5621">
        <w:rPr>
          <w:rFonts w:ascii="標楷體" w:eastAsia="標楷體" w:hAnsi="標楷體" w:hint="eastAsia"/>
          <w:color w:val="FF0000"/>
          <w:kern w:val="0"/>
          <w:highlight w:val="yellow"/>
        </w:rPr>
        <w:t>，</w:t>
      </w:r>
      <w:r w:rsidRPr="00212D57">
        <w:rPr>
          <w:rFonts w:eastAsia="標楷體"/>
          <w:szCs w:val="22"/>
          <w:lang w:eastAsia="zh-HK"/>
        </w:rPr>
        <w:t>我說作苦邊</w:t>
      </w:r>
      <w:r w:rsidRPr="006D5621">
        <w:rPr>
          <w:szCs w:val="22"/>
          <w:highlight w:val="yellow"/>
          <w:lang w:eastAsia="zh-HK"/>
        </w:rPr>
        <w:t>。」</w:t>
      </w:r>
    </w:p>
    <w:p w:rsidR="00157EF6" w:rsidRPr="00212D57" w:rsidRDefault="00157EF6" w:rsidP="002B682F">
      <w:pPr>
        <w:pStyle w:val="a5"/>
        <w:ind w:leftChars="105" w:left="791" w:hangingChars="245" w:hanging="539"/>
        <w:jc w:val="both"/>
        <w:rPr>
          <w:szCs w:val="22"/>
          <w:lang w:eastAsia="zh-HK"/>
        </w:rPr>
      </w:pPr>
      <w:r w:rsidRPr="00212D57">
        <w:rPr>
          <w:rFonts w:hint="eastAsia"/>
          <w:szCs w:val="22"/>
        </w:rPr>
        <w:t>（</w:t>
      </w:r>
      <w:r w:rsidRPr="00761EF3">
        <w:rPr>
          <w:rFonts w:hint="eastAsia"/>
          <w:szCs w:val="22"/>
        </w:rPr>
        <w:t>2</w:t>
      </w:r>
      <w:r w:rsidRPr="00212D57">
        <w:rPr>
          <w:rFonts w:hint="eastAsia"/>
          <w:szCs w:val="22"/>
        </w:rPr>
        <w:t>）</w:t>
      </w:r>
      <w:r w:rsidRPr="00212D57">
        <w:rPr>
          <w:szCs w:val="22"/>
        </w:rPr>
        <w:t>另參見《大智度論》卷</w:t>
      </w:r>
      <w:r w:rsidRPr="00761EF3">
        <w:rPr>
          <w:szCs w:val="22"/>
        </w:rPr>
        <w:t>31</w:t>
      </w:r>
      <w:r w:rsidR="00537BAB">
        <w:rPr>
          <w:rFonts w:hint="eastAsia"/>
          <w:color w:val="FF0000"/>
          <w:szCs w:val="22"/>
          <w:highlight w:val="yellow"/>
        </w:rPr>
        <w:t>釋〈</w:t>
      </w:r>
      <w:r w:rsidR="00537BAB">
        <w:rPr>
          <w:color w:val="FF0000"/>
          <w:szCs w:val="22"/>
          <w:highlight w:val="yellow"/>
        </w:rPr>
        <w:t xml:space="preserve">1 </w:t>
      </w:r>
      <w:r w:rsidR="00537BAB">
        <w:rPr>
          <w:rFonts w:hint="eastAsia"/>
          <w:color w:val="FF0000"/>
          <w:szCs w:val="22"/>
          <w:highlight w:val="yellow"/>
        </w:rPr>
        <w:t>序品〉</w:t>
      </w:r>
      <w:r w:rsidRPr="00212D57">
        <w:rPr>
          <w:szCs w:val="22"/>
        </w:rPr>
        <w:t>（大正</w:t>
      </w:r>
      <w:r w:rsidRPr="00761EF3">
        <w:rPr>
          <w:szCs w:val="22"/>
        </w:rPr>
        <w:t>25</w:t>
      </w:r>
      <w:r w:rsidRPr="00212D57">
        <w:rPr>
          <w:szCs w:val="22"/>
        </w:rPr>
        <w:t>，</w:t>
      </w:r>
      <w:r w:rsidRPr="00761EF3">
        <w:rPr>
          <w:szCs w:val="22"/>
        </w:rPr>
        <w:t>292a17</w:t>
      </w:r>
      <w:r w:rsidRPr="00212D57">
        <w:rPr>
          <w:szCs w:val="22"/>
        </w:rPr>
        <w:t>-</w:t>
      </w:r>
      <w:r w:rsidRPr="00761EF3">
        <w:rPr>
          <w:szCs w:val="22"/>
        </w:rPr>
        <w:t>28</w:t>
      </w:r>
      <w:r w:rsidRPr="00212D57">
        <w:rPr>
          <w:szCs w:val="22"/>
        </w:rPr>
        <w:t>）。</w:t>
      </w:r>
    </w:p>
  </w:footnote>
  <w:footnote w:id="383">
    <w:p w:rsidR="00C17B13" w:rsidRPr="00212D57" w:rsidRDefault="00C17B13" w:rsidP="00C17B13">
      <w:pPr>
        <w:pStyle w:val="a5"/>
        <w:spacing w:line="0" w:lineRule="atLeast"/>
        <w:ind w:left="253" w:hangingChars="115" w:hanging="253"/>
        <w:jc w:val="both"/>
        <w:rPr>
          <w:rFonts w:eastAsia="標楷體"/>
          <w:szCs w:val="22"/>
        </w:rPr>
      </w:pPr>
      <w:r w:rsidRPr="00212D57">
        <w:rPr>
          <w:rStyle w:val="a6"/>
          <w:szCs w:val="22"/>
        </w:rPr>
        <w:footnoteRef/>
      </w:r>
      <w:r w:rsidRPr="00212D57">
        <w:rPr>
          <w:szCs w:val="22"/>
        </w:rPr>
        <w:t xml:space="preserve"> </w:t>
      </w:r>
      <w:r w:rsidRPr="00212D57">
        <w:rPr>
          <w:szCs w:val="22"/>
        </w:rPr>
        <w:t>參見《阿毘達磨順正理論》卷</w:t>
      </w:r>
      <w:r w:rsidRPr="00761EF3">
        <w:rPr>
          <w:szCs w:val="22"/>
        </w:rPr>
        <w:t>58</w:t>
      </w:r>
      <w:r w:rsidRPr="00212D57">
        <w:rPr>
          <w:szCs w:val="22"/>
        </w:rPr>
        <w:t>（大正</w:t>
      </w:r>
      <w:r w:rsidRPr="00761EF3">
        <w:rPr>
          <w:szCs w:val="22"/>
        </w:rPr>
        <w:t>29</w:t>
      </w:r>
      <w:r w:rsidRPr="00212D57">
        <w:rPr>
          <w:szCs w:val="22"/>
        </w:rPr>
        <w:t>，</w:t>
      </w:r>
      <w:r w:rsidRPr="00761EF3">
        <w:rPr>
          <w:szCs w:val="22"/>
        </w:rPr>
        <w:t>666b6</w:t>
      </w:r>
      <w:r w:rsidRPr="00212D57">
        <w:rPr>
          <w:szCs w:val="22"/>
        </w:rPr>
        <w:t>-</w:t>
      </w:r>
      <w:r w:rsidRPr="00761EF3">
        <w:rPr>
          <w:szCs w:val="22"/>
        </w:rPr>
        <w:t>7</w:t>
      </w:r>
      <w:r w:rsidRPr="00212D57">
        <w:rPr>
          <w:szCs w:val="22"/>
        </w:rPr>
        <w:t>）：</w:t>
      </w:r>
      <w:r w:rsidRPr="00212D57">
        <w:rPr>
          <w:rFonts w:eastAsia="標楷體"/>
          <w:szCs w:val="22"/>
        </w:rPr>
        <w:t>「</w:t>
      </w:r>
      <w:r w:rsidR="006D5621">
        <w:rPr>
          <w:rFonts w:ascii="標楷體" w:eastAsia="標楷體" w:hAnsi="標楷體" w:hint="eastAsia"/>
          <w:color w:val="FF0000"/>
          <w:kern w:val="0"/>
          <w:highlight w:val="yellow"/>
        </w:rPr>
        <w:t>『</w:t>
      </w:r>
      <w:r w:rsidRPr="00212D57">
        <w:rPr>
          <w:rFonts w:eastAsia="標楷體"/>
          <w:szCs w:val="22"/>
        </w:rPr>
        <w:t>蘊</w:t>
      </w:r>
      <w:r w:rsidR="006D5621">
        <w:rPr>
          <w:rFonts w:ascii="標楷體" w:eastAsia="標楷體" w:hAnsi="標楷體" w:hint="eastAsia"/>
          <w:color w:val="FF0000"/>
          <w:kern w:val="0"/>
          <w:highlight w:val="yellow"/>
        </w:rPr>
        <w:t>』</w:t>
      </w:r>
      <w:r w:rsidRPr="00212D57">
        <w:rPr>
          <w:rFonts w:eastAsia="標楷體"/>
          <w:szCs w:val="22"/>
        </w:rPr>
        <w:t>唯世俗，所依實物方是勝義；</w:t>
      </w:r>
      <w:r w:rsidR="006D5621">
        <w:rPr>
          <w:rFonts w:ascii="標楷體" w:eastAsia="標楷體" w:hAnsi="標楷體" w:hint="eastAsia"/>
          <w:color w:val="FF0000"/>
          <w:kern w:val="0"/>
          <w:highlight w:val="yellow"/>
        </w:rPr>
        <w:t>『</w:t>
      </w:r>
      <w:r w:rsidRPr="00212D57">
        <w:rPr>
          <w:rFonts w:eastAsia="標楷體"/>
          <w:szCs w:val="22"/>
        </w:rPr>
        <w:t>處</w:t>
      </w:r>
      <w:r w:rsidR="006D5621">
        <w:rPr>
          <w:rFonts w:ascii="標楷體" w:eastAsia="標楷體" w:hAnsi="標楷體" w:hint="eastAsia"/>
          <w:color w:val="FF0000"/>
          <w:kern w:val="0"/>
          <w:highlight w:val="yellow"/>
        </w:rPr>
        <w:t>』</w:t>
      </w:r>
      <w:r w:rsidRPr="00212D57">
        <w:rPr>
          <w:rFonts w:eastAsia="標楷體"/>
          <w:szCs w:val="22"/>
        </w:rPr>
        <w:t>亦如是。</w:t>
      </w:r>
      <w:r w:rsidR="006D5621">
        <w:rPr>
          <w:rFonts w:ascii="標楷體" w:eastAsia="標楷體" w:hAnsi="標楷體" w:hint="eastAsia"/>
          <w:color w:val="FF0000"/>
          <w:kern w:val="0"/>
          <w:highlight w:val="yellow"/>
        </w:rPr>
        <w:t>『</w:t>
      </w:r>
      <w:r w:rsidRPr="00212D57">
        <w:rPr>
          <w:rFonts w:eastAsia="標楷體"/>
          <w:szCs w:val="22"/>
        </w:rPr>
        <w:t>界</w:t>
      </w:r>
      <w:r w:rsidR="006D5621">
        <w:rPr>
          <w:rFonts w:ascii="標楷體" w:eastAsia="標楷體" w:hAnsi="標楷體" w:hint="eastAsia"/>
          <w:color w:val="FF0000"/>
          <w:kern w:val="0"/>
          <w:highlight w:val="yellow"/>
        </w:rPr>
        <w:t>』</w:t>
      </w:r>
      <w:r w:rsidRPr="00212D57">
        <w:rPr>
          <w:rFonts w:eastAsia="標楷體"/>
          <w:szCs w:val="22"/>
        </w:rPr>
        <w:t>唯勝義。」</w:t>
      </w:r>
    </w:p>
  </w:footnote>
  <w:footnote w:id="384">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rFonts w:hint="eastAsia"/>
          <w:szCs w:val="22"/>
        </w:rPr>
        <w:t>世親菩薩釋，</w:t>
      </w:r>
      <w:r w:rsidRPr="00212D57">
        <w:rPr>
          <w:szCs w:val="22"/>
        </w:rPr>
        <w:t>〔</w:t>
      </w:r>
      <w:r w:rsidRPr="00212D57">
        <w:rPr>
          <w:rFonts w:hint="eastAsia"/>
          <w:szCs w:val="22"/>
        </w:rPr>
        <w:t>陳</w:t>
      </w:r>
      <w:r w:rsidRPr="00212D57">
        <w:rPr>
          <w:szCs w:val="22"/>
        </w:rPr>
        <w:t>〕</w:t>
      </w:r>
      <w:r w:rsidRPr="00212D57">
        <w:rPr>
          <w:rFonts w:hint="eastAsia"/>
          <w:szCs w:val="22"/>
        </w:rPr>
        <w:t>真諦</w:t>
      </w:r>
      <w:r w:rsidRPr="00212D57">
        <w:rPr>
          <w:szCs w:val="22"/>
        </w:rPr>
        <w:t>譯</w:t>
      </w:r>
      <w:r w:rsidRPr="00212D57">
        <w:rPr>
          <w:rFonts w:hint="eastAsia"/>
          <w:szCs w:val="22"/>
        </w:rPr>
        <w:t>，</w:t>
      </w:r>
      <w:r w:rsidRPr="00212D57">
        <w:rPr>
          <w:szCs w:val="22"/>
        </w:rPr>
        <w:t>《攝大乘論釋》</w:t>
      </w:r>
      <w:r w:rsidRPr="00212D57">
        <w:rPr>
          <w:rFonts w:hint="eastAsia"/>
          <w:szCs w:val="22"/>
        </w:rPr>
        <w:t>卷</w:t>
      </w:r>
      <w:r w:rsidRPr="00761EF3">
        <w:rPr>
          <w:rFonts w:hint="eastAsia"/>
          <w:szCs w:val="22"/>
        </w:rPr>
        <w:t>12</w:t>
      </w:r>
      <w:r w:rsidRPr="00212D57">
        <w:rPr>
          <w:rFonts w:hint="eastAsia"/>
          <w:szCs w:val="22"/>
        </w:rPr>
        <w:t>〈</w:t>
      </w:r>
      <w:r w:rsidRPr="00761EF3">
        <w:rPr>
          <w:rFonts w:hint="eastAsia"/>
          <w:szCs w:val="22"/>
        </w:rPr>
        <w:t>8</w:t>
      </w:r>
      <w:r w:rsidRPr="00212D57">
        <w:rPr>
          <w:rFonts w:hint="eastAsia"/>
          <w:szCs w:val="22"/>
        </w:rPr>
        <w:t xml:space="preserve"> </w:t>
      </w:r>
      <w:r w:rsidRPr="00212D57">
        <w:rPr>
          <w:rFonts w:hint="eastAsia"/>
          <w:szCs w:val="22"/>
        </w:rPr>
        <w:t>釋依慧學差別勝相品〉</w:t>
      </w:r>
      <w:r w:rsidRPr="00212D57">
        <w:rPr>
          <w:szCs w:val="22"/>
        </w:rPr>
        <w:t>（大正</w:t>
      </w:r>
      <w:r w:rsidRPr="00761EF3">
        <w:rPr>
          <w:szCs w:val="22"/>
        </w:rPr>
        <w:t>31</w:t>
      </w:r>
      <w:r w:rsidRPr="00212D57">
        <w:rPr>
          <w:szCs w:val="22"/>
        </w:rPr>
        <w:t>，</w:t>
      </w:r>
      <w:r w:rsidRPr="00761EF3">
        <w:rPr>
          <w:szCs w:val="22"/>
        </w:rPr>
        <w:t>244a27</w:t>
      </w:r>
      <w:r w:rsidRPr="00212D57">
        <w:rPr>
          <w:szCs w:val="22"/>
        </w:rPr>
        <w:t>-</w:t>
      </w:r>
      <w:r w:rsidRPr="00761EF3">
        <w:rPr>
          <w:szCs w:val="22"/>
        </w:rPr>
        <w:t>b8</w:t>
      </w:r>
      <w:r w:rsidRPr="00212D57">
        <w:rPr>
          <w:rFonts w:hint="eastAsia"/>
          <w:szCs w:val="22"/>
        </w:rPr>
        <w:t>）；世親菩薩釋，〔唐〕玄奘</w:t>
      </w:r>
      <w:r w:rsidRPr="00212D57">
        <w:rPr>
          <w:szCs w:val="22"/>
        </w:rPr>
        <w:t>譯</w:t>
      </w:r>
      <w:r w:rsidRPr="00212D57">
        <w:rPr>
          <w:rFonts w:hint="eastAsia"/>
          <w:szCs w:val="22"/>
        </w:rPr>
        <w:t>，</w:t>
      </w:r>
      <w:r w:rsidRPr="00212D57">
        <w:rPr>
          <w:szCs w:val="22"/>
        </w:rPr>
        <w:t>《攝大乘論釋》卷</w:t>
      </w:r>
      <w:r w:rsidRPr="00761EF3">
        <w:rPr>
          <w:szCs w:val="22"/>
        </w:rPr>
        <w:t>9</w:t>
      </w:r>
      <w:r w:rsidRPr="00212D57">
        <w:rPr>
          <w:rFonts w:hint="eastAsia"/>
          <w:szCs w:val="22"/>
        </w:rPr>
        <w:t>〈</w:t>
      </w:r>
      <w:r w:rsidRPr="00761EF3">
        <w:rPr>
          <w:rFonts w:hint="eastAsia"/>
          <w:szCs w:val="22"/>
        </w:rPr>
        <w:t>9</w:t>
      </w:r>
      <w:r w:rsidRPr="00212D57">
        <w:rPr>
          <w:szCs w:val="22"/>
        </w:rPr>
        <w:t xml:space="preserve"> </w:t>
      </w:r>
      <w:r w:rsidRPr="00212D57">
        <w:rPr>
          <w:rFonts w:hint="eastAsia"/>
          <w:szCs w:val="22"/>
        </w:rPr>
        <w:t>增上慧學分〉</w:t>
      </w:r>
      <w:r w:rsidRPr="00212D57">
        <w:rPr>
          <w:szCs w:val="22"/>
        </w:rPr>
        <w:t>（大正</w:t>
      </w:r>
      <w:r w:rsidRPr="00761EF3">
        <w:rPr>
          <w:szCs w:val="22"/>
        </w:rPr>
        <w:t>31</w:t>
      </w:r>
      <w:r w:rsidRPr="00212D57">
        <w:rPr>
          <w:szCs w:val="22"/>
        </w:rPr>
        <w:t>，</w:t>
      </w:r>
      <w:r w:rsidRPr="00761EF3">
        <w:rPr>
          <w:szCs w:val="22"/>
        </w:rPr>
        <w:t>367b11</w:t>
      </w:r>
      <w:r w:rsidRPr="00212D57">
        <w:rPr>
          <w:szCs w:val="22"/>
        </w:rPr>
        <w:t>-</w:t>
      </w:r>
      <w:r w:rsidRPr="00761EF3">
        <w:rPr>
          <w:szCs w:val="22"/>
        </w:rPr>
        <w:t>12</w:t>
      </w:r>
      <w:r w:rsidRPr="00212D57">
        <w:rPr>
          <w:szCs w:val="22"/>
        </w:rPr>
        <w:t>）。</w:t>
      </w:r>
    </w:p>
  </w:footnote>
  <w:footnote w:id="385">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szCs w:val="22"/>
        </w:rPr>
        <w:t>參見《攝大乘論釋》卷</w:t>
      </w:r>
      <w:r w:rsidRPr="00761EF3">
        <w:rPr>
          <w:szCs w:val="22"/>
        </w:rPr>
        <w:t>4</w:t>
      </w:r>
      <w:r w:rsidRPr="00212D57">
        <w:rPr>
          <w:szCs w:val="22"/>
        </w:rPr>
        <w:t>（大正</w:t>
      </w:r>
      <w:r w:rsidRPr="00761EF3">
        <w:rPr>
          <w:szCs w:val="22"/>
        </w:rPr>
        <w:t>31</w:t>
      </w:r>
      <w:r w:rsidRPr="00212D57">
        <w:rPr>
          <w:szCs w:val="22"/>
        </w:rPr>
        <w:t>，</w:t>
      </w:r>
      <w:r w:rsidRPr="00761EF3">
        <w:rPr>
          <w:szCs w:val="22"/>
        </w:rPr>
        <w:t>340b28</w:t>
      </w:r>
      <w:r w:rsidRPr="00212D57">
        <w:rPr>
          <w:szCs w:val="22"/>
        </w:rPr>
        <w:t>-</w:t>
      </w:r>
      <w:r w:rsidRPr="00761EF3">
        <w:rPr>
          <w:szCs w:val="22"/>
        </w:rPr>
        <w:t>c13</w:t>
      </w:r>
      <w:r w:rsidRPr="00212D57">
        <w:rPr>
          <w:szCs w:val="22"/>
        </w:rPr>
        <w:t>）</w:t>
      </w:r>
      <w:r w:rsidRPr="00212D57">
        <w:rPr>
          <w:rFonts w:hint="eastAsia"/>
          <w:szCs w:val="22"/>
        </w:rPr>
        <w:t>，</w:t>
      </w:r>
      <w:r w:rsidRPr="00212D57">
        <w:rPr>
          <w:szCs w:val="22"/>
        </w:rPr>
        <w:t>印順法師，《攝大乘論講記》</w:t>
      </w:r>
      <w:r w:rsidRPr="00212D57">
        <w:rPr>
          <w:rFonts w:hint="eastAsia"/>
          <w:szCs w:val="22"/>
        </w:rPr>
        <w:t>，</w:t>
      </w:r>
      <w:r w:rsidRPr="00761EF3">
        <w:rPr>
          <w:szCs w:val="22"/>
        </w:rPr>
        <w:t>pp</w:t>
      </w:r>
      <w:r w:rsidRPr="00212D57">
        <w:rPr>
          <w:szCs w:val="22"/>
        </w:rPr>
        <w:t>.</w:t>
      </w:r>
      <w:r w:rsidRPr="00761EF3">
        <w:rPr>
          <w:szCs w:val="22"/>
        </w:rPr>
        <w:t>225</w:t>
      </w:r>
      <w:r w:rsidRPr="00212D57">
        <w:rPr>
          <w:szCs w:val="22"/>
        </w:rPr>
        <w:t>-</w:t>
      </w:r>
      <w:r w:rsidRPr="00761EF3">
        <w:rPr>
          <w:szCs w:val="22"/>
        </w:rPr>
        <w:t>230</w:t>
      </w:r>
      <w:r w:rsidRPr="00212D57">
        <w:rPr>
          <w:szCs w:val="22"/>
        </w:rPr>
        <w:t>。</w:t>
      </w:r>
    </w:p>
  </w:footnote>
  <w:footnote w:id="386">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212D57">
        <w:rPr>
          <w:szCs w:val="22"/>
        </w:rPr>
        <w:t>《大智度論》卷</w:t>
      </w:r>
      <w:r w:rsidRPr="00761EF3">
        <w:rPr>
          <w:szCs w:val="22"/>
        </w:rPr>
        <w:t>74</w:t>
      </w:r>
      <w:r w:rsidR="00E64597">
        <w:rPr>
          <w:rFonts w:hint="eastAsia"/>
          <w:color w:val="FF0000"/>
          <w:szCs w:val="22"/>
          <w:highlight w:val="yellow"/>
        </w:rPr>
        <w:t>釋</w:t>
      </w:r>
      <w:r w:rsidR="00E64597" w:rsidRPr="00E64597">
        <w:rPr>
          <w:rFonts w:hint="eastAsia"/>
          <w:color w:val="FF0000"/>
          <w:szCs w:val="22"/>
          <w:highlight w:val="yellow"/>
        </w:rPr>
        <w:t>〈</w:t>
      </w:r>
      <w:r w:rsidR="00E64597" w:rsidRPr="00E64597">
        <w:rPr>
          <w:rFonts w:hint="eastAsia"/>
          <w:color w:val="FF0000"/>
          <w:szCs w:val="22"/>
          <w:highlight w:val="yellow"/>
        </w:rPr>
        <w:t xml:space="preserve">57 </w:t>
      </w:r>
      <w:r w:rsidR="00E64597" w:rsidRPr="00E64597">
        <w:rPr>
          <w:rFonts w:hint="eastAsia"/>
          <w:color w:val="FF0000"/>
          <w:szCs w:val="22"/>
          <w:highlight w:val="yellow"/>
        </w:rPr>
        <w:t>燈炷品〉</w:t>
      </w:r>
      <w:r w:rsidR="001F62A7" w:rsidRPr="00212D57">
        <w:rPr>
          <w:szCs w:val="22"/>
        </w:rPr>
        <w:t>（大正</w:t>
      </w:r>
      <w:r w:rsidR="001F62A7" w:rsidRPr="00761EF3">
        <w:rPr>
          <w:szCs w:val="22"/>
        </w:rPr>
        <w:t>25</w:t>
      </w:r>
      <w:r w:rsidR="001F62A7" w:rsidRPr="00212D57">
        <w:rPr>
          <w:szCs w:val="22"/>
        </w:rPr>
        <w:t>，</w:t>
      </w:r>
      <w:r w:rsidR="001F62A7" w:rsidRPr="00761EF3">
        <w:rPr>
          <w:szCs w:val="22"/>
        </w:rPr>
        <w:t>581b21</w:t>
      </w:r>
      <w:r w:rsidR="001F62A7" w:rsidRPr="00212D57">
        <w:rPr>
          <w:szCs w:val="22"/>
        </w:rPr>
        <w:t>-</w:t>
      </w:r>
      <w:r w:rsidR="001F62A7" w:rsidRPr="00761EF3">
        <w:rPr>
          <w:szCs w:val="22"/>
        </w:rPr>
        <w:t>22</w:t>
      </w:r>
      <w:r w:rsidR="001F62A7" w:rsidRPr="00212D57">
        <w:rPr>
          <w:szCs w:val="22"/>
        </w:rPr>
        <w:t>）</w:t>
      </w:r>
      <w:r w:rsidRPr="00212D57">
        <w:rPr>
          <w:szCs w:val="22"/>
        </w:rPr>
        <w:t>：「</w:t>
      </w:r>
      <w:r w:rsidRPr="00212D57">
        <w:rPr>
          <w:rFonts w:ascii="標楷體" w:eastAsia="標楷體" w:hAnsi="標楷體"/>
          <w:szCs w:val="22"/>
        </w:rPr>
        <w:t>有人言：三三昧</w:t>
      </w:r>
      <w:r w:rsidR="007350A0">
        <w:rPr>
          <w:rFonts w:ascii="標楷體" w:eastAsia="標楷體" w:hAnsi="標楷體" w:hint="eastAsia"/>
          <w:color w:val="FF0000"/>
          <w:kern w:val="0"/>
          <w:highlight w:val="yellow"/>
        </w:rPr>
        <w:t>──</w:t>
      </w:r>
      <w:r w:rsidRPr="00212D57">
        <w:rPr>
          <w:rFonts w:ascii="標楷體" w:eastAsia="標楷體" w:hAnsi="標楷體"/>
          <w:szCs w:val="22"/>
        </w:rPr>
        <w:t>空、無相、無作</w:t>
      </w:r>
      <w:r w:rsidRPr="00212D57">
        <w:rPr>
          <w:rFonts w:ascii="標楷體" w:eastAsia="標楷體" w:hAnsi="標楷體" w:hint="eastAsia"/>
          <w:szCs w:val="22"/>
        </w:rPr>
        <w:t>，</w:t>
      </w:r>
      <w:r w:rsidRPr="00212D57">
        <w:rPr>
          <w:rFonts w:ascii="標楷體" w:eastAsia="標楷體" w:hAnsi="標楷體"/>
          <w:szCs w:val="22"/>
        </w:rPr>
        <w:t>心數法名為</w:t>
      </w:r>
      <w:r w:rsidRPr="00212D57">
        <w:rPr>
          <w:rFonts w:ascii="標楷體" w:eastAsia="標楷體" w:hAnsi="標楷體"/>
          <w:b/>
          <w:szCs w:val="22"/>
        </w:rPr>
        <w:t>定</w:t>
      </w:r>
      <w:r w:rsidRPr="007350A0">
        <w:rPr>
          <w:rFonts w:hint="eastAsia"/>
          <w:szCs w:val="22"/>
          <w:shd w:val="pct15" w:color="auto" w:fill="FFFFFF"/>
          <w:vertAlign w:val="superscript"/>
        </w:rPr>
        <w:t>※</w:t>
      </w:r>
      <w:r w:rsidRPr="00212D57">
        <w:rPr>
          <w:rFonts w:ascii="標楷體" w:eastAsia="標楷體" w:hAnsi="標楷體"/>
          <w:szCs w:val="22"/>
        </w:rPr>
        <w:t>，</w:t>
      </w:r>
      <w:r w:rsidRPr="00212D57">
        <w:rPr>
          <w:rFonts w:ascii="標楷體" w:eastAsia="標楷體" w:hAnsi="標楷體"/>
          <w:b/>
          <w:szCs w:val="22"/>
        </w:rPr>
        <w:t>定</w:t>
      </w:r>
      <w:r w:rsidRPr="007350A0">
        <w:rPr>
          <w:rFonts w:hint="eastAsia"/>
          <w:szCs w:val="22"/>
          <w:shd w:val="pct15" w:color="auto" w:fill="FFFFFF"/>
          <w:vertAlign w:val="superscript"/>
        </w:rPr>
        <w:t>※</w:t>
      </w:r>
      <w:r w:rsidRPr="00212D57">
        <w:rPr>
          <w:rFonts w:ascii="標楷體" w:eastAsia="標楷體" w:hAnsi="標楷體"/>
          <w:szCs w:val="22"/>
        </w:rPr>
        <w:t>故能觀諸法空</w:t>
      </w:r>
      <w:r w:rsidRPr="00212D57">
        <w:rPr>
          <w:szCs w:val="22"/>
        </w:rPr>
        <w:t>。」</w:t>
      </w:r>
    </w:p>
    <w:p w:rsidR="00157EF6" w:rsidRPr="00212D57" w:rsidRDefault="00157EF6" w:rsidP="002B682F">
      <w:pPr>
        <w:pStyle w:val="a5"/>
        <w:ind w:leftChars="300" w:left="720"/>
        <w:jc w:val="both"/>
        <w:rPr>
          <w:szCs w:val="22"/>
        </w:rPr>
      </w:pPr>
      <w:r w:rsidRPr="007350A0">
        <w:rPr>
          <w:rFonts w:hint="eastAsia"/>
          <w:szCs w:val="22"/>
          <w:shd w:val="pct15" w:color="auto" w:fill="FFFFFF"/>
        </w:rPr>
        <w:t>※</w:t>
      </w:r>
      <w:r w:rsidRPr="00212D57">
        <w:rPr>
          <w:rFonts w:hint="eastAsia"/>
          <w:szCs w:val="22"/>
        </w:rPr>
        <w:t>案：《大正藏》作「</w:t>
      </w:r>
      <w:r w:rsidRPr="007350A0">
        <w:rPr>
          <w:rFonts w:ascii="標楷體" w:eastAsia="標楷體" w:hAnsi="標楷體" w:hint="eastAsia"/>
          <w:szCs w:val="22"/>
        </w:rPr>
        <w:t>定</w:t>
      </w:r>
      <w:r w:rsidRPr="00212D57">
        <w:rPr>
          <w:rFonts w:hint="eastAsia"/>
          <w:szCs w:val="22"/>
        </w:rPr>
        <w:t>」，但</w:t>
      </w:r>
      <w:r w:rsidRPr="00212D57">
        <w:rPr>
          <w:szCs w:val="22"/>
        </w:rPr>
        <w:t>【宋】【元】【明】【宮】【石】</w:t>
      </w:r>
      <w:r w:rsidRPr="00212D57">
        <w:rPr>
          <w:rFonts w:hint="eastAsia"/>
          <w:szCs w:val="22"/>
        </w:rPr>
        <w:t>作「</w:t>
      </w:r>
      <w:r w:rsidRPr="007350A0">
        <w:rPr>
          <w:rFonts w:ascii="標楷體" w:eastAsia="標楷體" w:hAnsi="標楷體" w:hint="eastAsia"/>
          <w:szCs w:val="22"/>
        </w:rPr>
        <w:t>空</w:t>
      </w:r>
      <w:r w:rsidRPr="00212D57">
        <w:rPr>
          <w:rFonts w:hint="eastAsia"/>
          <w:szCs w:val="22"/>
        </w:rPr>
        <w:t>」。</w:t>
      </w:r>
    </w:p>
    <w:p w:rsidR="00157EF6" w:rsidRPr="00212D57" w:rsidRDefault="00157EF6" w:rsidP="002B682F">
      <w:pPr>
        <w:pStyle w:val="a5"/>
        <w:ind w:leftChars="105" w:left="79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）印順</w:t>
      </w:r>
      <w:r w:rsidRPr="00212D57">
        <w:rPr>
          <w:rStyle w:val="byline"/>
          <w:rFonts w:hAnsi="新細明體" w:hint="eastAsia"/>
          <w:color w:val="auto"/>
          <w:sz w:val="22"/>
          <w:szCs w:val="22"/>
        </w:rPr>
        <w:t>法師</w:t>
      </w:r>
      <w:r w:rsidRPr="00212D57">
        <w:rPr>
          <w:rFonts w:hint="eastAsia"/>
          <w:szCs w:val="22"/>
        </w:rPr>
        <w:t>，《印度佛教思想史》，</w:t>
      </w:r>
      <w:r w:rsidRPr="00761EF3">
        <w:rPr>
          <w:rFonts w:hint="eastAsia"/>
          <w:szCs w:val="22"/>
        </w:rPr>
        <w:t>p</w:t>
      </w:r>
      <w:r w:rsidRPr="00212D57">
        <w:rPr>
          <w:rFonts w:hint="eastAsia"/>
          <w:szCs w:val="22"/>
        </w:rPr>
        <w:t>.</w:t>
      </w:r>
      <w:r w:rsidRPr="00761EF3">
        <w:rPr>
          <w:rFonts w:hint="eastAsia"/>
          <w:szCs w:val="22"/>
        </w:rPr>
        <w:t>140</w:t>
      </w:r>
      <w:r w:rsidRPr="00212D57">
        <w:rPr>
          <w:rFonts w:hint="eastAsia"/>
          <w:szCs w:val="22"/>
        </w:rPr>
        <w:t>：</w:t>
      </w:r>
    </w:p>
    <w:p w:rsidR="00157EF6" w:rsidRPr="00212D57" w:rsidRDefault="00157EF6" w:rsidP="002B682F">
      <w:pPr>
        <w:pStyle w:val="a5"/>
        <w:ind w:leftChars="300" w:left="720"/>
        <w:jc w:val="both"/>
        <w:rPr>
          <w:rFonts w:ascii="標楷體" w:eastAsia="標楷體" w:hAnsi="標楷體"/>
          <w:szCs w:val="22"/>
        </w:rPr>
      </w:pPr>
      <w:r w:rsidRPr="00212D57">
        <w:rPr>
          <w:rFonts w:ascii="標楷體" w:eastAsia="標楷體" w:hAnsi="標楷體" w:hint="eastAsia"/>
          <w:szCs w:val="22"/>
        </w:rPr>
        <w:t>《大智度論》在說到空、無相、無願為甚深義時，又提到三種空：一、「三昧空」：在三昧──定心中，觀一切法空；空是能緣的三昧（心）空，以空三昧觀一切法，所以說一切法空。</w:t>
      </w:r>
    </w:p>
  </w:footnote>
  <w:footnote w:id="387">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212D57">
        <w:rPr>
          <w:szCs w:val="22"/>
        </w:rPr>
        <w:t>《大智度論》卷</w:t>
      </w:r>
      <w:r w:rsidRPr="00761EF3">
        <w:rPr>
          <w:szCs w:val="22"/>
        </w:rPr>
        <w:t>74</w:t>
      </w:r>
      <w:r w:rsidR="00E64597">
        <w:rPr>
          <w:rFonts w:hint="eastAsia"/>
          <w:color w:val="FF0000"/>
          <w:szCs w:val="22"/>
          <w:highlight w:val="yellow"/>
        </w:rPr>
        <w:t>釋</w:t>
      </w:r>
      <w:r w:rsidR="00E64597" w:rsidRPr="00E64597">
        <w:rPr>
          <w:rFonts w:hint="eastAsia"/>
          <w:color w:val="FF0000"/>
          <w:szCs w:val="22"/>
          <w:highlight w:val="yellow"/>
        </w:rPr>
        <w:t>〈</w:t>
      </w:r>
      <w:r w:rsidR="00E64597" w:rsidRPr="00E64597">
        <w:rPr>
          <w:rFonts w:hint="eastAsia"/>
          <w:color w:val="FF0000"/>
          <w:szCs w:val="22"/>
          <w:highlight w:val="yellow"/>
        </w:rPr>
        <w:t xml:space="preserve">57 </w:t>
      </w:r>
      <w:r w:rsidR="00E64597" w:rsidRPr="00E64597">
        <w:rPr>
          <w:rFonts w:hint="eastAsia"/>
          <w:color w:val="FF0000"/>
          <w:szCs w:val="22"/>
          <w:highlight w:val="yellow"/>
        </w:rPr>
        <w:t>燈炷品〉</w:t>
      </w:r>
      <w:r w:rsidRPr="00212D57">
        <w:rPr>
          <w:szCs w:val="22"/>
        </w:rPr>
        <w:t>（大正</w:t>
      </w:r>
      <w:r w:rsidRPr="00761EF3">
        <w:rPr>
          <w:szCs w:val="22"/>
        </w:rPr>
        <w:t>25</w:t>
      </w:r>
      <w:r w:rsidRPr="00212D57">
        <w:rPr>
          <w:szCs w:val="22"/>
        </w:rPr>
        <w:t>，</w:t>
      </w:r>
      <w:r w:rsidRPr="00761EF3">
        <w:rPr>
          <w:szCs w:val="22"/>
        </w:rPr>
        <w:t>581b22</w:t>
      </w:r>
      <w:r w:rsidRPr="00212D57">
        <w:rPr>
          <w:szCs w:val="22"/>
        </w:rPr>
        <w:t>-</w:t>
      </w:r>
      <w:r w:rsidRPr="00761EF3">
        <w:rPr>
          <w:szCs w:val="22"/>
        </w:rPr>
        <w:t>23</w:t>
      </w:r>
      <w:r w:rsidRPr="00212D57">
        <w:rPr>
          <w:szCs w:val="22"/>
        </w:rPr>
        <w:t>）</w:t>
      </w:r>
      <w:r w:rsidRPr="00212D57">
        <w:rPr>
          <w:rFonts w:hint="eastAsia"/>
          <w:szCs w:val="22"/>
        </w:rPr>
        <w:t>。</w:t>
      </w:r>
    </w:p>
    <w:p w:rsidR="00157EF6" w:rsidRPr="00212D57" w:rsidRDefault="00157EF6" w:rsidP="002B682F">
      <w:pPr>
        <w:pStyle w:val="a5"/>
        <w:ind w:leftChars="105" w:left="79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）印順法師，《印度佛教思想史》，</w:t>
      </w:r>
      <w:r w:rsidRPr="00761EF3">
        <w:rPr>
          <w:rFonts w:hint="eastAsia"/>
          <w:szCs w:val="22"/>
        </w:rPr>
        <w:t>p</w:t>
      </w:r>
      <w:r w:rsidRPr="00212D57">
        <w:rPr>
          <w:rFonts w:hint="eastAsia"/>
          <w:szCs w:val="22"/>
        </w:rPr>
        <w:t>.</w:t>
      </w:r>
      <w:r w:rsidRPr="00761EF3">
        <w:rPr>
          <w:rFonts w:hint="eastAsia"/>
          <w:szCs w:val="22"/>
        </w:rPr>
        <w:t>140</w:t>
      </w:r>
      <w:r w:rsidRPr="00212D57">
        <w:rPr>
          <w:rFonts w:hint="eastAsia"/>
          <w:szCs w:val="22"/>
        </w:rPr>
        <w:t>：</w:t>
      </w:r>
    </w:p>
    <w:p w:rsidR="00157EF6" w:rsidRPr="00212D57" w:rsidRDefault="00157EF6" w:rsidP="002B682F">
      <w:pPr>
        <w:pStyle w:val="a5"/>
        <w:ind w:leftChars="160" w:left="384" w:firstLineChars="150" w:firstLine="330"/>
        <w:jc w:val="both"/>
        <w:rPr>
          <w:rFonts w:ascii="標楷體" w:eastAsia="標楷體" w:hAnsi="標楷體"/>
          <w:szCs w:val="22"/>
        </w:rPr>
      </w:pPr>
      <w:r w:rsidRPr="00212D57">
        <w:rPr>
          <w:rFonts w:ascii="標楷體" w:eastAsia="標楷體" w:hAnsi="標楷體" w:hint="eastAsia"/>
          <w:szCs w:val="22"/>
        </w:rPr>
        <w:t>二、「所緣空」：所緣境是空的，緣外境的空相，名為空三昧。</w:t>
      </w:r>
    </w:p>
  </w:footnote>
  <w:footnote w:id="388">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《大智度論》卷</w:t>
      </w:r>
      <w:r w:rsidRPr="00761EF3">
        <w:rPr>
          <w:szCs w:val="22"/>
        </w:rPr>
        <w:t>74</w:t>
      </w:r>
      <w:r w:rsidR="00E64597">
        <w:rPr>
          <w:rFonts w:hint="eastAsia"/>
          <w:color w:val="FF0000"/>
          <w:szCs w:val="22"/>
          <w:highlight w:val="yellow"/>
        </w:rPr>
        <w:t>釋</w:t>
      </w:r>
      <w:r w:rsidR="00E64597" w:rsidRPr="00E64597">
        <w:rPr>
          <w:rFonts w:hint="eastAsia"/>
          <w:color w:val="FF0000"/>
          <w:szCs w:val="22"/>
          <w:highlight w:val="yellow"/>
        </w:rPr>
        <w:t>〈</w:t>
      </w:r>
      <w:r w:rsidR="00E64597" w:rsidRPr="00E64597">
        <w:rPr>
          <w:rFonts w:hint="eastAsia"/>
          <w:color w:val="FF0000"/>
          <w:szCs w:val="22"/>
          <w:highlight w:val="yellow"/>
        </w:rPr>
        <w:t xml:space="preserve">57 </w:t>
      </w:r>
      <w:r w:rsidR="00E64597" w:rsidRPr="00E64597">
        <w:rPr>
          <w:rFonts w:hint="eastAsia"/>
          <w:color w:val="FF0000"/>
          <w:szCs w:val="22"/>
          <w:highlight w:val="yellow"/>
        </w:rPr>
        <w:t>燈炷品〉</w:t>
      </w:r>
      <w:r w:rsidRPr="00212D57">
        <w:rPr>
          <w:szCs w:val="22"/>
        </w:rPr>
        <w:t>（大正</w:t>
      </w:r>
      <w:r w:rsidRPr="00761EF3">
        <w:rPr>
          <w:szCs w:val="22"/>
        </w:rPr>
        <w:t>25</w:t>
      </w:r>
      <w:r w:rsidRPr="00212D57">
        <w:rPr>
          <w:szCs w:val="22"/>
        </w:rPr>
        <w:t>，</w:t>
      </w:r>
      <w:r w:rsidRPr="00761EF3">
        <w:rPr>
          <w:szCs w:val="22"/>
        </w:rPr>
        <w:t>581b23</w:t>
      </w:r>
      <w:r w:rsidRPr="00212D57">
        <w:rPr>
          <w:szCs w:val="22"/>
        </w:rPr>
        <w:t>-</w:t>
      </w:r>
      <w:r w:rsidRPr="00761EF3">
        <w:rPr>
          <w:szCs w:val="22"/>
        </w:rPr>
        <w:t>c5</w:t>
      </w:r>
      <w:r w:rsidRPr="00212D57">
        <w:rPr>
          <w:szCs w:val="22"/>
        </w:rPr>
        <w:t>）：</w:t>
      </w:r>
    </w:p>
    <w:p w:rsidR="00157EF6" w:rsidRPr="00212D57" w:rsidRDefault="00157EF6" w:rsidP="002B682F">
      <w:pPr>
        <w:snapToGrid w:val="0"/>
        <w:ind w:leftChars="105" w:left="252"/>
        <w:jc w:val="both"/>
        <w:rPr>
          <w:sz w:val="22"/>
          <w:szCs w:val="22"/>
        </w:rPr>
      </w:pPr>
      <w:r w:rsidRPr="00212D57">
        <w:rPr>
          <w:rFonts w:ascii="標楷體" w:eastAsia="標楷體" w:hAnsi="標楷體"/>
          <w:sz w:val="22"/>
          <w:szCs w:val="22"/>
        </w:rPr>
        <w:t>此中</w:t>
      </w:r>
      <w:r w:rsidR="00A04018" w:rsidRPr="00A04018">
        <w:rPr>
          <w:rFonts w:ascii="標楷體" w:eastAsia="標楷體" w:hAnsi="標楷體" w:hint="eastAsia"/>
          <w:color w:val="FF0000"/>
          <w:sz w:val="22"/>
          <w:szCs w:val="22"/>
          <w:highlight w:val="yellow"/>
        </w:rPr>
        <w:t>，</w:t>
      </w:r>
      <w:r w:rsidRPr="00212D57">
        <w:rPr>
          <w:rFonts w:ascii="標楷體" w:eastAsia="標楷體" w:hAnsi="標楷體"/>
          <w:sz w:val="22"/>
          <w:szCs w:val="22"/>
        </w:rPr>
        <w:t>佛說</w:t>
      </w:r>
      <w:r w:rsidR="00A04018">
        <w:rPr>
          <w:rFonts w:ascii="標楷體" w:eastAsia="標楷體" w:hAnsi="標楷體" w:hint="eastAsia"/>
          <w:color w:val="FF0000"/>
          <w:kern w:val="0"/>
          <w:sz w:val="22"/>
          <w:highlight w:val="yellow"/>
        </w:rPr>
        <w:t>，</w:t>
      </w:r>
      <w:r w:rsidRPr="00212D57">
        <w:rPr>
          <w:rFonts w:ascii="標楷體" w:eastAsia="標楷體" w:hAnsi="標楷體"/>
          <w:sz w:val="22"/>
          <w:szCs w:val="22"/>
        </w:rPr>
        <w:t>不以空三昧故空，亦不以所緣外色等諸法故空。何以故？若</w:t>
      </w:r>
      <w:r w:rsidR="00A04018">
        <w:rPr>
          <w:rFonts w:ascii="標楷體" w:eastAsia="標楷體" w:hAnsi="標楷體" w:hint="eastAsia"/>
          <w:bCs/>
          <w:color w:val="FF0000"/>
          <w:kern w:val="0"/>
          <w:sz w:val="22"/>
          <w:highlight w:val="yellow"/>
        </w:rPr>
        <w:t>「</w:t>
      </w:r>
      <w:r w:rsidRPr="00212D57">
        <w:rPr>
          <w:rFonts w:ascii="標楷體" w:eastAsia="標楷體" w:hAnsi="標楷體"/>
          <w:sz w:val="22"/>
          <w:szCs w:val="22"/>
        </w:rPr>
        <w:t>外法不實空，以三昧力故空</w:t>
      </w:r>
      <w:r w:rsidR="00A04018">
        <w:rPr>
          <w:rFonts w:ascii="標楷體" w:eastAsia="標楷體" w:hAnsi="標楷體" w:hint="eastAsia"/>
          <w:bCs/>
          <w:color w:val="FF0000"/>
          <w:kern w:val="0"/>
          <w:sz w:val="22"/>
          <w:highlight w:val="yellow"/>
        </w:rPr>
        <w:t>」</w:t>
      </w:r>
      <w:r w:rsidRPr="00212D57">
        <w:rPr>
          <w:rFonts w:ascii="標楷體" w:eastAsia="標楷體" w:hAnsi="標楷體"/>
          <w:sz w:val="22"/>
          <w:szCs w:val="22"/>
        </w:rPr>
        <w:t>者，是虛妄不實。若</w:t>
      </w:r>
      <w:r w:rsidR="00A04018">
        <w:rPr>
          <w:rFonts w:ascii="標楷體" w:eastAsia="標楷體" w:hAnsi="標楷體" w:hint="eastAsia"/>
          <w:bCs/>
          <w:color w:val="FF0000"/>
          <w:kern w:val="0"/>
          <w:sz w:val="22"/>
          <w:highlight w:val="yellow"/>
        </w:rPr>
        <w:t>「</w:t>
      </w:r>
      <w:r w:rsidRPr="00212D57">
        <w:rPr>
          <w:rFonts w:ascii="標楷體" w:eastAsia="標楷體" w:hAnsi="標楷體"/>
          <w:sz w:val="22"/>
          <w:szCs w:val="22"/>
        </w:rPr>
        <w:t>緣外空故生三昧</w:t>
      </w:r>
      <w:r w:rsidR="00A04018">
        <w:rPr>
          <w:rFonts w:ascii="標楷體" w:eastAsia="標楷體" w:hAnsi="標楷體" w:hint="eastAsia"/>
          <w:bCs/>
          <w:color w:val="FF0000"/>
          <w:kern w:val="0"/>
          <w:sz w:val="22"/>
          <w:highlight w:val="yellow"/>
        </w:rPr>
        <w:t>」</w:t>
      </w:r>
      <w:r w:rsidRPr="00212D57">
        <w:rPr>
          <w:rFonts w:ascii="標楷體" w:eastAsia="標楷體" w:hAnsi="標楷體"/>
          <w:sz w:val="22"/>
          <w:szCs w:val="22"/>
        </w:rPr>
        <w:t>者，是亦不然！所以者何？若色等法實是空相，則不能生空三昧</w:t>
      </w:r>
      <w:r w:rsidR="00A04018">
        <w:rPr>
          <w:rFonts w:ascii="標楷體" w:eastAsia="標楷體" w:hAnsi="標楷體" w:hint="eastAsia"/>
          <w:color w:val="FF0000"/>
          <w:spacing w:val="-4"/>
          <w:kern w:val="0"/>
          <w:sz w:val="22"/>
          <w:highlight w:val="yellow"/>
        </w:rPr>
        <w:t>；</w:t>
      </w:r>
      <w:r w:rsidRPr="00212D57">
        <w:rPr>
          <w:rFonts w:ascii="標楷體" w:eastAsia="標楷體" w:hAnsi="標楷體"/>
          <w:sz w:val="22"/>
          <w:szCs w:val="22"/>
        </w:rPr>
        <w:t>若生空三昧</w:t>
      </w:r>
      <w:r w:rsidR="00A04018">
        <w:rPr>
          <w:rFonts w:ascii="標楷體" w:eastAsia="標楷體" w:hAnsi="標楷體" w:hint="eastAsia"/>
          <w:color w:val="FF0000"/>
          <w:kern w:val="0"/>
          <w:sz w:val="22"/>
          <w:highlight w:val="yellow"/>
        </w:rPr>
        <w:t>，</w:t>
      </w:r>
      <w:r w:rsidRPr="00212D57">
        <w:rPr>
          <w:rFonts w:ascii="標楷體" w:eastAsia="標楷體" w:hAnsi="標楷體"/>
          <w:sz w:val="22"/>
          <w:szCs w:val="22"/>
        </w:rPr>
        <w:t>則非是空。</w:t>
      </w:r>
    </w:p>
    <w:p w:rsidR="007350A0" w:rsidRDefault="00157EF6" w:rsidP="007350A0">
      <w:pPr>
        <w:snapToGrid w:val="0"/>
        <w:ind w:leftChars="105" w:left="252"/>
        <w:jc w:val="both"/>
        <w:rPr>
          <w:rFonts w:ascii="標楷體" w:eastAsia="標楷體" w:hAnsi="標楷體"/>
          <w:sz w:val="22"/>
          <w:szCs w:val="22"/>
        </w:rPr>
      </w:pPr>
      <w:r w:rsidRPr="00212D57">
        <w:rPr>
          <w:rFonts w:ascii="標楷體" w:eastAsia="標楷體" w:hAnsi="標楷體"/>
          <w:sz w:val="22"/>
          <w:szCs w:val="22"/>
        </w:rPr>
        <w:t>此中說</w:t>
      </w:r>
      <w:r w:rsidR="00A04018">
        <w:rPr>
          <w:rFonts w:ascii="標楷體" w:eastAsia="標楷體" w:hAnsi="標楷體" w:hint="eastAsia"/>
          <w:color w:val="FF0000"/>
          <w:spacing w:val="-4"/>
          <w:kern w:val="0"/>
          <w:sz w:val="22"/>
          <w:highlight w:val="yellow"/>
        </w:rPr>
        <w:t>：</w:t>
      </w:r>
      <w:r w:rsidRPr="00212D57">
        <w:rPr>
          <w:rFonts w:ascii="標楷體" w:eastAsia="標楷體" w:hAnsi="標楷體"/>
          <w:sz w:val="22"/>
          <w:szCs w:val="22"/>
        </w:rPr>
        <w:t>離是二邊</w:t>
      </w:r>
      <w:r w:rsidR="00A04018">
        <w:rPr>
          <w:rFonts w:ascii="標楷體" w:eastAsia="標楷體" w:hAnsi="標楷體" w:hint="eastAsia"/>
          <w:color w:val="FF0000"/>
          <w:kern w:val="0"/>
          <w:sz w:val="22"/>
          <w:highlight w:val="yellow"/>
        </w:rPr>
        <w:t>，</w:t>
      </w:r>
      <w:r w:rsidRPr="00212D57">
        <w:rPr>
          <w:rFonts w:ascii="標楷體" w:eastAsia="標楷體" w:hAnsi="標楷體"/>
          <w:sz w:val="22"/>
          <w:szCs w:val="22"/>
        </w:rPr>
        <w:t>說中道，所謂諸法</w:t>
      </w:r>
      <w:r w:rsidR="00A04018">
        <w:rPr>
          <w:rFonts w:ascii="標楷體" w:eastAsia="標楷體" w:hAnsi="標楷體" w:hint="eastAsia"/>
          <w:color w:val="FF0000"/>
          <w:kern w:val="0"/>
          <w:sz w:val="22"/>
          <w:highlight w:val="yellow"/>
        </w:rPr>
        <w:t>，</w:t>
      </w:r>
      <w:r w:rsidRPr="00212D57">
        <w:rPr>
          <w:rFonts w:ascii="標楷體" w:eastAsia="標楷體" w:hAnsi="標楷體"/>
          <w:sz w:val="22"/>
          <w:szCs w:val="22"/>
        </w:rPr>
        <w:t>因緣和合生，是和合法，無有一定法</w:t>
      </w:r>
      <w:r w:rsidR="00A04018">
        <w:rPr>
          <w:rFonts w:ascii="標楷體" w:eastAsia="標楷體" w:hAnsi="標楷體" w:hint="eastAsia"/>
          <w:color w:val="FF0000"/>
          <w:kern w:val="0"/>
          <w:sz w:val="22"/>
          <w:highlight w:val="yellow"/>
        </w:rPr>
        <w:t>，</w:t>
      </w:r>
      <w:r w:rsidRPr="00212D57">
        <w:rPr>
          <w:rFonts w:ascii="標楷體" w:eastAsia="標楷體" w:hAnsi="標楷體"/>
          <w:sz w:val="22"/>
          <w:szCs w:val="22"/>
        </w:rPr>
        <w:t>故空。何以故？因緣生法</w:t>
      </w:r>
      <w:r w:rsidR="007350A0">
        <w:rPr>
          <w:rFonts w:ascii="標楷體" w:eastAsia="標楷體" w:hAnsi="標楷體" w:hint="eastAsia"/>
          <w:color w:val="FF0000"/>
          <w:kern w:val="0"/>
          <w:sz w:val="22"/>
          <w:highlight w:val="yellow"/>
        </w:rPr>
        <w:t>，</w:t>
      </w:r>
      <w:r w:rsidRPr="00212D57">
        <w:rPr>
          <w:rFonts w:ascii="標楷體" w:eastAsia="標楷體" w:hAnsi="標楷體"/>
          <w:sz w:val="22"/>
          <w:szCs w:val="22"/>
        </w:rPr>
        <w:t>無自性</w:t>
      </w:r>
      <w:r w:rsidR="007350A0">
        <w:rPr>
          <w:rFonts w:ascii="標楷體" w:eastAsia="標楷體" w:hAnsi="標楷體" w:hint="eastAsia"/>
          <w:color w:val="FF0000"/>
          <w:spacing w:val="-4"/>
          <w:kern w:val="0"/>
          <w:sz w:val="22"/>
          <w:highlight w:val="yellow"/>
        </w:rPr>
        <w:t>；</w:t>
      </w:r>
      <w:r w:rsidRPr="00212D57">
        <w:rPr>
          <w:rFonts w:ascii="標楷體" w:eastAsia="標楷體" w:hAnsi="標楷體"/>
          <w:sz w:val="22"/>
          <w:szCs w:val="22"/>
        </w:rPr>
        <w:t>無自性故，即是畢竟空。</w:t>
      </w:r>
    </w:p>
    <w:p w:rsidR="00157EF6" w:rsidRPr="00212D57" w:rsidRDefault="00157EF6" w:rsidP="007350A0">
      <w:pPr>
        <w:snapToGrid w:val="0"/>
        <w:ind w:leftChars="105" w:left="252"/>
        <w:jc w:val="both"/>
        <w:rPr>
          <w:sz w:val="22"/>
          <w:szCs w:val="22"/>
        </w:rPr>
      </w:pPr>
      <w:r w:rsidRPr="00212D57">
        <w:rPr>
          <w:rFonts w:ascii="標楷體" w:eastAsia="標楷體" w:hAnsi="標楷體"/>
          <w:sz w:val="22"/>
          <w:szCs w:val="22"/>
        </w:rPr>
        <w:t>是畢竟空</w:t>
      </w:r>
      <w:r w:rsidR="00A04018">
        <w:rPr>
          <w:rFonts w:ascii="標楷體" w:eastAsia="標楷體" w:hAnsi="標楷體" w:hint="eastAsia"/>
          <w:color w:val="FF0000"/>
          <w:kern w:val="0"/>
          <w:sz w:val="22"/>
          <w:highlight w:val="yellow"/>
        </w:rPr>
        <w:t>，</w:t>
      </w:r>
      <w:r w:rsidRPr="00212D57">
        <w:rPr>
          <w:rFonts w:ascii="標楷體" w:eastAsia="標楷體" w:hAnsi="標楷體"/>
          <w:sz w:val="22"/>
          <w:szCs w:val="22"/>
        </w:rPr>
        <w:t>從本以來空，非佛所作，亦非餘人所作，諸佛為可度眾生</w:t>
      </w:r>
      <w:r w:rsidRPr="00A04018">
        <w:rPr>
          <w:rFonts w:ascii="標楷體" w:eastAsia="標楷體" w:hAnsi="標楷體"/>
          <w:sz w:val="22"/>
          <w:szCs w:val="22"/>
          <w:highlight w:val="yellow"/>
        </w:rPr>
        <w:t>故說</w:t>
      </w:r>
      <w:r w:rsidRPr="00212D57">
        <w:rPr>
          <w:rFonts w:ascii="標楷體" w:eastAsia="標楷體" w:hAnsi="標楷體"/>
          <w:sz w:val="22"/>
          <w:szCs w:val="22"/>
        </w:rPr>
        <w:t>是畢竟空相。</w:t>
      </w:r>
    </w:p>
  </w:footnote>
  <w:footnote w:id="389">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212D57">
        <w:rPr>
          <w:szCs w:val="22"/>
        </w:rPr>
        <w:t>《瑜伽師地論》卷</w:t>
      </w:r>
      <w:r w:rsidRPr="00761EF3">
        <w:rPr>
          <w:rFonts w:hint="eastAsia"/>
          <w:szCs w:val="22"/>
        </w:rPr>
        <w:t>36</w:t>
      </w:r>
      <w:r w:rsidRPr="00212D57">
        <w:rPr>
          <w:rFonts w:hint="eastAsia"/>
          <w:szCs w:val="22"/>
        </w:rPr>
        <w:t>〈</w:t>
      </w:r>
      <w:r w:rsidRPr="00761EF3">
        <w:rPr>
          <w:rFonts w:hint="eastAsia"/>
          <w:szCs w:val="22"/>
        </w:rPr>
        <w:t>4</w:t>
      </w:r>
      <w:r w:rsidRPr="00212D57">
        <w:rPr>
          <w:szCs w:val="22"/>
        </w:rPr>
        <w:t xml:space="preserve"> </w:t>
      </w:r>
      <w:r w:rsidRPr="00212D57">
        <w:rPr>
          <w:rFonts w:hint="eastAsia"/>
          <w:szCs w:val="22"/>
        </w:rPr>
        <w:t>真實義品〉</w:t>
      </w:r>
      <w:r w:rsidRPr="00212D57">
        <w:rPr>
          <w:szCs w:val="22"/>
        </w:rPr>
        <w:t>（大正</w:t>
      </w:r>
      <w:r w:rsidRPr="00761EF3">
        <w:rPr>
          <w:szCs w:val="22"/>
        </w:rPr>
        <w:t>30</w:t>
      </w:r>
      <w:r w:rsidRPr="00212D57">
        <w:rPr>
          <w:szCs w:val="22"/>
        </w:rPr>
        <w:t>，</w:t>
      </w:r>
      <w:r w:rsidRPr="00761EF3">
        <w:rPr>
          <w:szCs w:val="22"/>
        </w:rPr>
        <w:t>488c24</w:t>
      </w:r>
      <w:r w:rsidRPr="00212D57">
        <w:rPr>
          <w:szCs w:val="22"/>
        </w:rPr>
        <w:t>-</w:t>
      </w:r>
      <w:r w:rsidRPr="00761EF3">
        <w:rPr>
          <w:szCs w:val="22"/>
        </w:rPr>
        <w:t>26</w:t>
      </w:r>
      <w:r w:rsidRPr="00212D57">
        <w:rPr>
          <w:szCs w:val="22"/>
        </w:rPr>
        <w:t>）。</w:t>
      </w:r>
    </w:p>
    <w:p w:rsidR="00157EF6" w:rsidRPr="00212D57" w:rsidRDefault="00157EF6" w:rsidP="002B682F">
      <w:pPr>
        <w:pStyle w:val="a5"/>
        <w:ind w:leftChars="105" w:left="791" w:hangingChars="245" w:hanging="539"/>
        <w:jc w:val="both"/>
        <w:rPr>
          <w:szCs w:val="22"/>
        </w:rPr>
      </w:pPr>
      <w:r w:rsidRPr="00212D57">
        <w:rPr>
          <w:szCs w:val="22"/>
        </w:rPr>
        <w:t>（</w:t>
      </w:r>
      <w:r w:rsidRPr="00761EF3">
        <w:rPr>
          <w:szCs w:val="22"/>
        </w:rPr>
        <w:t>2</w:t>
      </w:r>
      <w:r w:rsidRPr="00212D57">
        <w:rPr>
          <w:szCs w:val="22"/>
        </w:rPr>
        <w:t>）</w:t>
      </w:r>
      <w:r w:rsidRPr="00212D57">
        <w:rPr>
          <w:rFonts w:hint="eastAsia"/>
          <w:szCs w:val="22"/>
        </w:rPr>
        <w:t>印順法師，《印度佛教思想史》，</w:t>
      </w:r>
      <w:r w:rsidRPr="00761EF3">
        <w:rPr>
          <w:rFonts w:hint="eastAsia"/>
          <w:szCs w:val="22"/>
        </w:rPr>
        <w:t>pp</w:t>
      </w:r>
      <w:r w:rsidRPr="00212D57">
        <w:rPr>
          <w:rFonts w:hint="eastAsia"/>
          <w:szCs w:val="22"/>
        </w:rPr>
        <w:t>.</w:t>
      </w:r>
      <w:r w:rsidRPr="00761EF3">
        <w:rPr>
          <w:rFonts w:hint="eastAsia"/>
          <w:szCs w:val="22"/>
        </w:rPr>
        <w:t>252</w:t>
      </w:r>
      <w:r w:rsidRPr="00212D57">
        <w:rPr>
          <w:rFonts w:hint="eastAsia"/>
          <w:szCs w:val="22"/>
        </w:rPr>
        <w:t>-</w:t>
      </w:r>
      <w:r w:rsidRPr="00761EF3">
        <w:rPr>
          <w:rFonts w:hint="eastAsia"/>
          <w:szCs w:val="22"/>
        </w:rPr>
        <w:t>253</w:t>
      </w:r>
      <w:r w:rsidRPr="00212D57">
        <w:rPr>
          <w:rFonts w:hint="eastAsia"/>
          <w:szCs w:val="22"/>
        </w:rPr>
        <w:t>：</w:t>
      </w:r>
    </w:p>
    <w:p w:rsidR="00157EF6" w:rsidRPr="007350A0" w:rsidRDefault="00157EF6" w:rsidP="002B682F">
      <w:pPr>
        <w:pStyle w:val="Web"/>
        <w:snapToGrid w:val="0"/>
        <w:spacing w:before="0" w:beforeAutospacing="0" w:after="0" w:afterAutospacing="0"/>
        <w:ind w:leftChars="335" w:left="804"/>
        <w:jc w:val="both"/>
        <w:rPr>
          <w:rFonts w:ascii="Times New Roman" w:eastAsia="標楷體" w:hAnsi="Times New Roman" w:cs="Times New Roman"/>
          <w:kern w:val="2"/>
          <w:szCs w:val="22"/>
        </w:rPr>
      </w:pPr>
      <w:r w:rsidRPr="00212D57">
        <w:rPr>
          <w:rFonts w:ascii="標楷體" w:eastAsia="標楷體" w:hAnsi="標楷體" w:cs="Times New Roman" w:hint="eastAsia"/>
          <w:kern w:val="2"/>
          <w:szCs w:val="22"/>
        </w:rPr>
        <w:t>空與有的定義，如</w:t>
      </w:r>
      <w:r>
        <w:rPr>
          <w:rFonts w:ascii="標楷體" w:eastAsia="標楷體" w:hAnsi="標楷體" w:cs="Times New Roman" w:hint="eastAsia"/>
          <w:kern w:val="2"/>
          <w:szCs w:val="22"/>
        </w:rPr>
        <w:t>《</w:t>
      </w:r>
      <w:r w:rsidRPr="00212D57">
        <w:rPr>
          <w:rFonts w:ascii="標楷體" w:eastAsia="標楷體" w:hAnsi="標楷體" w:cs="Times New Roman" w:hint="eastAsia"/>
          <w:kern w:val="2"/>
          <w:szCs w:val="22"/>
        </w:rPr>
        <w:t>瑜伽師地論</w:t>
      </w:r>
      <w:r>
        <w:rPr>
          <w:rFonts w:ascii="標楷體" w:eastAsia="標楷體" w:hAnsi="標楷體" w:cs="Times New Roman" w:hint="eastAsia"/>
          <w:kern w:val="2"/>
          <w:szCs w:val="22"/>
        </w:rPr>
        <w:t>》</w:t>
      </w:r>
      <w:r w:rsidRPr="00212D57">
        <w:rPr>
          <w:rFonts w:ascii="標楷體" w:eastAsia="標楷體" w:hAnsi="標楷體" w:cs="Times New Roman" w:hint="eastAsia"/>
          <w:kern w:val="2"/>
          <w:szCs w:val="22"/>
        </w:rPr>
        <w:t>卷</w:t>
      </w:r>
      <w:r w:rsidR="007350A0" w:rsidRPr="007350A0">
        <w:rPr>
          <w:rFonts w:ascii="Times New Roman" w:eastAsia="標楷體" w:hAnsi="Times New Roman" w:cs="Times New Roman" w:hint="eastAsia"/>
          <w:kern w:val="2"/>
          <w:szCs w:val="22"/>
        </w:rPr>
        <w:t>36</w:t>
      </w:r>
      <w:r w:rsidRPr="007350A0">
        <w:rPr>
          <w:rFonts w:ascii="Times New Roman" w:eastAsia="標楷體" w:hAnsi="Times New Roman" w:cs="Times New Roman" w:hint="eastAsia"/>
          <w:kern w:val="2"/>
          <w:szCs w:val="22"/>
        </w:rPr>
        <w:t>（大正</w:t>
      </w:r>
      <w:r w:rsidR="007350A0">
        <w:rPr>
          <w:rFonts w:ascii="Times New Roman" w:eastAsia="標楷體" w:hAnsi="Times New Roman" w:cs="Times New Roman" w:hint="eastAsia"/>
          <w:kern w:val="2"/>
          <w:szCs w:val="22"/>
        </w:rPr>
        <w:t>30</w:t>
      </w:r>
      <w:r w:rsidR="007350A0">
        <w:rPr>
          <w:rFonts w:ascii="Times New Roman" w:eastAsia="標楷體" w:hAnsi="Times New Roman" w:cs="Times New Roman" w:hint="eastAsia"/>
          <w:kern w:val="2"/>
          <w:szCs w:val="22"/>
        </w:rPr>
        <w:t>，</w:t>
      </w:r>
      <w:r w:rsidR="007350A0">
        <w:rPr>
          <w:rFonts w:ascii="Times New Roman" w:eastAsia="標楷體" w:hAnsi="Times New Roman" w:cs="Times New Roman" w:hint="eastAsia"/>
          <w:kern w:val="2"/>
          <w:szCs w:val="22"/>
        </w:rPr>
        <w:t>488c-489a</w:t>
      </w:r>
      <w:r w:rsidRPr="007350A0">
        <w:rPr>
          <w:rFonts w:ascii="Times New Roman" w:eastAsia="標楷體" w:hAnsi="Times New Roman" w:cs="Times New Roman" w:hint="eastAsia"/>
          <w:kern w:val="2"/>
          <w:szCs w:val="22"/>
        </w:rPr>
        <w:t>）說：</w:t>
      </w:r>
    </w:p>
    <w:p w:rsidR="00157EF6" w:rsidRPr="00212D57" w:rsidRDefault="00157EF6" w:rsidP="002B682F">
      <w:pPr>
        <w:pStyle w:val="Web"/>
        <w:snapToGrid w:val="0"/>
        <w:spacing w:before="0" w:beforeAutospacing="0" w:after="0" w:afterAutospacing="0"/>
        <w:ind w:leftChars="335" w:left="804"/>
        <w:jc w:val="both"/>
        <w:rPr>
          <w:rFonts w:ascii="標楷體" w:eastAsia="標楷體" w:hAnsi="標楷體" w:cs="Times New Roman"/>
          <w:kern w:val="2"/>
          <w:szCs w:val="22"/>
        </w:rPr>
      </w:pPr>
      <w:r w:rsidRPr="00212D57">
        <w:rPr>
          <w:rFonts w:ascii="標楷體" w:eastAsia="標楷體" w:hAnsi="標楷體" w:cs="Times New Roman" w:hint="eastAsia"/>
          <w:kern w:val="2"/>
          <w:szCs w:val="22"/>
        </w:rPr>
        <w:t>「云何復名善取空者？謂由於此，彼無所有，即由彼故正觀為空。復由於此，餘實是有，即由餘故如實知有。如是名為悟入空性，如實無倒。」</w:t>
      </w:r>
    </w:p>
    <w:p w:rsidR="00157EF6" w:rsidRPr="00212D57" w:rsidRDefault="00157EF6" w:rsidP="002B682F">
      <w:pPr>
        <w:pStyle w:val="Web"/>
        <w:snapToGrid w:val="0"/>
        <w:spacing w:before="0" w:beforeAutospacing="0" w:after="0" w:afterAutospacing="0"/>
        <w:ind w:leftChars="335" w:left="804"/>
        <w:jc w:val="both"/>
        <w:rPr>
          <w:rFonts w:ascii="標楷體" w:eastAsia="標楷體" w:hAnsi="標楷體"/>
          <w:kern w:val="2"/>
          <w:szCs w:val="22"/>
        </w:rPr>
      </w:pPr>
      <w:r>
        <w:rPr>
          <w:rFonts w:ascii="標楷體" w:eastAsia="標楷體" w:hAnsi="標楷體" w:cs="Times New Roman" w:hint="eastAsia"/>
          <w:kern w:val="2"/>
          <w:szCs w:val="22"/>
        </w:rPr>
        <w:t>《</w:t>
      </w:r>
      <w:r w:rsidRPr="00212D57">
        <w:rPr>
          <w:rFonts w:ascii="標楷體" w:eastAsia="標楷體" w:hAnsi="標楷體" w:cs="Times New Roman" w:hint="eastAsia"/>
          <w:kern w:val="2"/>
          <w:szCs w:val="22"/>
        </w:rPr>
        <w:t>論</w:t>
      </w:r>
      <w:r>
        <w:rPr>
          <w:rFonts w:ascii="標楷體" w:eastAsia="標楷體" w:hAnsi="標楷體" w:cs="Times New Roman" w:hint="eastAsia"/>
          <w:kern w:val="2"/>
          <w:szCs w:val="22"/>
        </w:rPr>
        <w:t>》</w:t>
      </w:r>
      <w:r w:rsidRPr="00212D57">
        <w:rPr>
          <w:rFonts w:ascii="標楷體" w:eastAsia="標楷體" w:hAnsi="標楷體" w:cs="Times New Roman" w:hint="eastAsia"/>
          <w:kern w:val="2"/>
          <w:szCs w:val="22"/>
        </w:rPr>
        <w:t>上說：「由彼故空，彼實是無；於此而空，此實是有。」這一善取空的基本見解，正是「異法是空，異法不空」的「他性空」，與如來藏說相同。經上說「一切法空」，應該解說為：於色等一切法，假說而自性無所有的，所以說是空。但假說的一切法，依「實有唯事」而有，假是依實而成立的，這所以是有（空所顯性）。這一空與有的基本定義，為瑜伽學者所信守。</w:t>
      </w:r>
    </w:p>
  </w:footnote>
  <w:footnote w:id="390">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szCs w:val="22"/>
        </w:rPr>
        <w:t>1</w:t>
      </w:r>
      <w:r w:rsidRPr="00212D57">
        <w:rPr>
          <w:rFonts w:hint="eastAsia"/>
          <w:szCs w:val="22"/>
        </w:rPr>
        <w:t>）</w:t>
      </w:r>
      <w:r w:rsidRPr="00212D57">
        <w:rPr>
          <w:szCs w:val="22"/>
        </w:rPr>
        <w:t>參見《大毘婆沙論》卷</w:t>
      </w:r>
      <w:r w:rsidRPr="00761EF3">
        <w:rPr>
          <w:szCs w:val="22"/>
        </w:rPr>
        <w:t>9</w:t>
      </w:r>
      <w:r w:rsidRPr="00212D57">
        <w:rPr>
          <w:szCs w:val="22"/>
        </w:rPr>
        <w:t>（大正</w:t>
      </w:r>
      <w:r w:rsidRPr="00761EF3">
        <w:rPr>
          <w:szCs w:val="22"/>
        </w:rPr>
        <w:t>27</w:t>
      </w:r>
      <w:r w:rsidRPr="00212D57">
        <w:rPr>
          <w:szCs w:val="22"/>
        </w:rPr>
        <w:t>，</w:t>
      </w:r>
      <w:r w:rsidRPr="00761EF3">
        <w:rPr>
          <w:szCs w:val="22"/>
        </w:rPr>
        <w:t>45a27</w:t>
      </w:r>
      <w:r w:rsidRPr="00212D57">
        <w:rPr>
          <w:szCs w:val="22"/>
        </w:rPr>
        <w:t>-</w:t>
      </w:r>
      <w:r w:rsidRPr="00761EF3">
        <w:rPr>
          <w:szCs w:val="22"/>
        </w:rPr>
        <w:t>b3</w:t>
      </w:r>
      <w:r w:rsidRPr="00212D57">
        <w:rPr>
          <w:szCs w:val="22"/>
        </w:rPr>
        <w:t>）：</w:t>
      </w:r>
    </w:p>
    <w:p w:rsidR="00157EF6" w:rsidRPr="00212D57" w:rsidRDefault="00157EF6" w:rsidP="002B682F">
      <w:pPr>
        <w:snapToGrid w:val="0"/>
        <w:ind w:leftChars="335" w:left="804"/>
        <w:jc w:val="both"/>
        <w:rPr>
          <w:rFonts w:ascii="標楷體" w:eastAsia="標楷體" w:hAnsi="標楷體"/>
          <w:b/>
          <w:sz w:val="22"/>
          <w:szCs w:val="22"/>
        </w:rPr>
      </w:pPr>
      <w:r w:rsidRPr="00212D57">
        <w:rPr>
          <w:rFonts w:ascii="標楷體" w:eastAsia="標楷體" w:hAnsi="標楷體"/>
          <w:sz w:val="22"/>
          <w:szCs w:val="22"/>
        </w:rPr>
        <w:t>有說：非我行相</w:t>
      </w:r>
      <w:r w:rsidR="007350A0">
        <w:rPr>
          <w:rFonts w:ascii="標楷體" w:eastAsia="標楷體" w:hAnsi="標楷體" w:hint="eastAsia"/>
          <w:color w:val="FF0000"/>
          <w:kern w:val="0"/>
          <w:sz w:val="22"/>
          <w:highlight w:val="yellow"/>
        </w:rPr>
        <w:t>，</w:t>
      </w:r>
      <w:r w:rsidRPr="00212D57">
        <w:rPr>
          <w:rFonts w:ascii="標楷體" w:eastAsia="標楷體" w:hAnsi="標楷體"/>
          <w:sz w:val="22"/>
          <w:szCs w:val="22"/>
        </w:rPr>
        <w:t>其義決定，是故偏說</w:t>
      </w:r>
      <w:r w:rsidRPr="00212D57">
        <w:rPr>
          <w:rFonts w:ascii="標楷體" w:eastAsia="標楷體" w:hAnsi="標楷體" w:hint="eastAsia"/>
          <w:sz w:val="22"/>
          <w:szCs w:val="22"/>
        </w:rPr>
        <w:t>。</w:t>
      </w:r>
      <w:r w:rsidRPr="00212D57">
        <w:rPr>
          <w:rFonts w:ascii="標楷體" w:eastAsia="標楷體" w:hAnsi="標楷體"/>
          <w:sz w:val="22"/>
          <w:szCs w:val="22"/>
        </w:rPr>
        <w:t>謂空行相</w:t>
      </w:r>
      <w:r w:rsidR="007350A0">
        <w:rPr>
          <w:rFonts w:ascii="標楷體" w:eastAsia="標楷體" w:hAnsi="標楷體" w:hint="eastAsia"/>
          <w:color w:val="FF0000"/>
          <w:kern w:val="0"/>
          <w:sz w:val="22"/>
          <w:highlight w:val="yellow"/>
        </w:rPr>
        <w:t>，</w:t>
      </w:r>
      <w:r w:rsidRPr="00212D57">
        <w:rPr>
          <w:rFonts w:ascii="標楷體" w:eastAsia="標楷體" w:hAnsi="標楷體"/>
          <w:sz w:val="22"/>
          <w:szCs w:val="22"/>
        </w:rPr>
        <w:t>義不決定</w:t>
      </w:r>
      <w:r w:rsidRPr="00212D57">
        <w:rPr>
          <w:rFonts w:ascii="標楷體" w:eastAsia="標楷體" w:hAnsi="標楷體" w:hint="eastAsia"/>
          <w:sz w:val="22"/>
          <w:szCs w:val="22"/>
        </w:rPr>
        <w:t>──</w:t>
      </w:r>
      <w:r w:rsidRPr="00212D57">
        <w:rPr>
          <w:rFonts w:ascii="標楷體" w:eastAsia="標楷體" w:hAnsi="標楷體"/>
          <w:b/>
          <w:sz w:val="22"/>
          <w:szCs w:val="22"/>
        </w:rPr>
        <w:t>以一切法</w:t>
      </w:r>
      <w:r w:rsidR="007350A0">
        <w:rPr>
          <w:rFonts w:ascii="標楷體" w:eastAsia="標楷體" w:hAnsi="標楷體" w:hint="eastAsia"/>
          <w:color w:val="FF0000"/>
          <w:kern w:val="0"/>
          <w:sz w:val="22"/>
          <w:highlight w:val="yellow"/>
        </w:rPr>
        <w:t>，</w:t>
      </w:r>
      <w:r w:rsidRPr="00212D57">
        <w:rPr>
          <w:rFonts w:ascii="標楷體" w:eastAsia="標楷體" w:hAnsi="標楷體"/>
          <w:b/>
          <w:sz w:val="22"/>
          <w:szCs w:val="22"/>
        </w:rPr>
        <w:t>有義故空，約</w:t>
      </w:r>
      <w:r w:rsidR="007350A0">
        <w:rPr>
          <w:rFonts w:ascii="標楷體" w:eastAsia="標楷體" w:hAnsi="標楷體" w:hint="eastAsia"/>
          <w:bCs/>
          <w:color w:val="FF0000"/>
          <w:kern w:val="0"/>
          <w:sz w:val="22"/>
          <w:highlight w:val="yellow"/>
        </w:rPr>
        <w:t>「</w:t>
      </w:r>
      <w:r w:rsidRPr="00212D57">
        <w:rPr>
          <w:rFonts w:ascii="標楷體" w:eastAsia="標楷體" w:hAnsi="標楷體"/>
          <w:b/>
          <w:sz w:val="22"/>
          <w:szCs w:val="22"/>
        </w:rPr>
        <w:t>他性</w:t>
      </w:r>
      <w:r w:rsidR="007350A0">
        <w:rPr>
          <w:rFonts w:ascii="標楷體" w:eastAsia="標楷體" w:hAnsi="標楷體" w:hint="eastAsia"/>
          <w:bCs/>
          <w:color w:val="FF0000"/>
          <w:kern w:val="0"/>
          <w:sz w:val="22"/>
          <w:highlight w:val="yellow"/>
        </w:rPr>
        <w:t>」</w:t>
      </w:r>
      <w:r w:rsidRPr="00212D57">
        <w:rPr>
          <w:rFonts w:ascii="標楷體" w:eastAsia="標楷體" w:hAnsi="標楷體"/>
          <w:b/>
          <w:sz w:val="22"/>
          <w:szCs w:val="22"/>
        </w:rPr>
        <w:t>故；有義故不空，約</w:t>
      </w:r>
      <w:r w:rsidR="007350A0">
        <w:rPr>
          <w:rFonts w:ascii="標楷體" w:eastAsia="標楷體" w:hAnsi="標楷體" w:hint="eastAsia"/>
          <w:bCs/>
          <w:color w:val="FF0000"/>
          <w:kern w:val="0"/>
          <w:sz w:val="22"/>
          <w:highlight w:val="yellow"/>
        </w:rPr>
        <w:t>「</w:t>
      </w:r>
      <w:r w:rsidRPr="00212D57">
        <w:rPr>
          <w:rFonts w:ascii="標楷體" w:eastAsia="標楷體" w:hAnsi="標楷體"/>
          <w:b/>
          <w:sz w:val="22"/>
          <w:szCs w:val="22"/>
        </w:rPr>
        <w:t>自性</w:t>
      </w:r>
      <w:r w:rsidR="007350A0">
        <w:rPr>
          <w:rFonts w:ascii="標楷體" w:eastAsia="標楷體" w:hAnsi="標楷體" w:hint="eastAsia"/>
          <w:bCs/>
          <w:color w:val="FF0000"/>
          <w:kern w:val="0"/>
          <w:sz w:val="22"/>
          <w:highlight w:val="yellow"/>
        </w:rPr>
        <w:t>」</w:t>
      </w:r>
      <w:r w:rsidRPr="00212D57">
        <w:rPr>
          <w:rFonts w:ascii="標楷體" w:eastAsia="標楷體" w:hAnsi="標楷體"/>
          <w:b/>
          <w:sz w:val="22"/>
          <w:szCs w:val="22"/>
        </w:rPr>
        <w:t>故。</w:t>
      </w:r>
    </w:p>
    <w:p w:rsidR="00157EF6" w:rsidRPr="00212D57" w:rsidRDefault="00157EF6" w:rsidP="002B682F">
      <w:pPr>
        <w:snapToGrid w:val="0"/>
        <w:ind w:leftChars="335" w:left="804"/>
        <w:jc w:val="both"/>
        <w:rPr>
          <w:rFonts w:ascii="標楷體" w:eastAsia="標楷體" w:hAnsi="標楷體"/>
          <w:b/>
          <w:sz w:val="22"/>
          <w:szCs w:val="22"/>
        </w:rPr>
      </w:pPr>
      <w:r w:rsidRPr="00212D57">
        <w:rPr>
          <w:rFonts w:ascii="標楷體" w:eastAsia="標楷體" w:hAnsi="標楷體"/>
          <w:b/>
          <w:sz w:val="22"/>
          <w:szCs w:val="22"/>
        </w:rPr>
        <w:t>非我行相無不決定，以約</w:t>
      </w:r>
      <w:r w:rsidR="007350A0">
        <w:rPr>
          <w:rFonts w:ascii="標楷體" w:eastAsia="標楷體" w:hAnsi="標楷體" w:hint="eastAsia"/>
          <w:bCs/>
          <w:color w:val="FF0000"/>
          <w:kern w:val="0"/>
          <w:sz w:val="22"/>
          <w:highlight w:val="yellow"/>
        </w:rPr>
        <w:t>「</w:t>
      </w:r>
      <w:r w:rsidRPr="00212D57">
        <w:rPr>
          <w:rFonts w:ascii="標楷體" w:eastAsia="標楷體" w:hAnsi="標楷體"/>
          <w:b/>
          <w:sz w:val="22"/>
          <w:szCs w:val="22"/>
        </w:rPr>
        <w:t>自</w:t>
      </w:r>
      <w:r w:rsidR="007350A0">
        <w:rPr>
          <w:rFonts w:ascii="標楷體" w:eastAsia="標楷體" w:hAnsi="標楷體" w:hint="eastAsia"/>
          <w:color w:val="FF0000"/>
          <w:spacing w:val="-4"/>
          <w:kern w:val="0"/>
          <w:sz w:val="22"/>
          <w:highlight w:val="yellow"/>
        </w:rPr>
        <w:t>、</w:t>
      </w:r>
      <w:r w:rsidRPr="00212D57">
        <w:rPr>
          <w:rFonts w:ascii="標楷體" w:eastAsia="標楷體" w:hAnsi="標楷體"/>
          <w:b/>
          <w:sz w:val="22"/>
          <w:szCs w:val="22"/>
        </w:rPr>
        <w:t>他</w:t>
      </w:r>
      <w:r w:rsidR="007350A0">
        <w:rPr>
          <w:rFonts w:ascii="標楷體" w:eastAsia="標楷體" w:hAnsi="標楷體" w:hint="eastAsia"/>
          <w:bCs/>
          <w:color w:val="FF0000"/>
          <w:kern w:val="0"/>
          <w:sz w:val="22"/>
          <w:highlight w:val="yellow"/>
        </w:rPr>
        <w:t>」</w:t>
      </w:r>
      <w:r w:rsidRPr="00212D57">
        <w:rPr>
          <w:rFonts w:ascii="標楷體" w:eastAsia="標楷體" w:hAnsi="標楷體"/>
          <w:b/>
          <w:sz w:val="22"/>
          <w:szCs w:val="22"/>
        </w:rPr>
        <w:t>俱無我故。</w:t>
      </w:r>
    </w:p>
    <w:p w:rsidR="00157EF6" w:rsidRPr="00212D57" w:rsidRDefault="00157EF6" w:rsidP="002B682F">
      <w:pPr>
        <w:snapToGrid w:val="0"/>
        <w:ind w:leftChars="335" w:left="804"/>
        <w:jc w:val="both"/>
        <w:rPr>
          <w:rFonts w:ascii="標楷體" w:eastAsia="標楷體" w:hAnsi="標楷體"/>
          <w:sz w:val="22"/>
          <w:szCs w:val="22"/>
        </w:rPr>
      </w:pPr>
      <w:r w:rsidRPr="00212D57">
        <w:rPr>
          <w:rFonts w:ascii="標楷體" w:eastAsia="標楷體" w:hAnsi="標楷體"/>
          <w:sz w:val="22"/>
          <w:szCs w:val="22"/>
        </w:rPr>
        <w:t>由此</w:t>
      </w:r>
      <w:r w:rsidR="007350A0">
        <w:rPr>
          <w:rFonts w:ascii="標楷體" w:eastAsia="標楷體" w:hAnsi="標楷體" w:hint="eastAsia"/>
          <w:color w:val="FF0000"/>
          <w:kern w:val="0"/>
          <w:sz w:val="22"/>
          <w:highlight w:val="yellow"/>
        </w:rPr>
        <w:t>，</w:t>
      </w:r>
      <w:r w:rsidRPr="00212D57">
        <w:rPr>
          <w:rFonts w:ascii="標楷體" w:eastAsia="標楷體" w:hAnsi="標楷體"/>
          <w:sz w:val="22"/>
          <w:szCs w:val="22"/>
        </w:rPr>
        <w:t>尊者世友說言：我不定說</w:t>
      </w:r>
      <w:r w:rsidR="007350A0">
        <w:rPr>
          <w:rFonts w:ascii="標楷體" w:eastAsia="標楷體" w:hAnsi="標楷體" w:hint="eastAsia"/>
          <w:bCs/>
          <w:color w:val="FF0000"/>
          <w:kern w:val="0"/>
          <w:sz w:val="22"/>
          <w:highlight w:val="yellow"/>
        </w:rPr>
        <w:t>「</w:t>
      </w:r>
      <w:r w:rsidRPr="00212D57">
        <w:rPr>
          <w:rFonts w:ascii="標楷體" w:eastAsia="標楷體" w:hAnsi="標楷體"/>
          <w:sz w:val="22"/>
          <w:szCs w:val="22"/>
        </w:rPr>
        <w:t>諸法皆空</w:t>
      </w:r>
      <w:r w:rsidR="007350A0">
        <w:rPr>
          <w:rFonts w:ascii="標楷體" w:eastAsia="標楷體" w:hAnsi="標楷體" w:hint="eastAsia"/>
          <w:bCs/>
          <w:color w:val="FF0000"/>
          <w:kern w:val="0"/>
          <w:sz w:val="22"/>
          <w:highlight w:val="yellow"/>
        </w:rPr>
        <w:t>」</w:t>
      </w:r>
      <w:r w:rsidRPr="00212D57">
        <w:rPr>
          <w:rFonts w:ascii="標楷體" w:eastAsia="標楷體" w:hAnsi="標楷體"/>
          <w:sz w:val="22"/>
          <w:szCs w:val="22"/>
        </w:rPr>
        <w:t>，定說</w:t>
      </w:r>
      <w:r w:rsidR="007350A0">
        <w:rPr>
          <w:rFonts w:ascii="標楷體" w:eastAsia="標楷體" w:hAnsi="標楷體" w:hint="eastAsia"/>
          <w:bCs/>
          <w:color w:val="FF0000"/>
          <w:kern w:val="0"/>
          <w:sz w:val="22"/>
          <w:highlight w:val="yellow"/>
        </w:rPr>
        <w:t>「</w:t>
      </w:r>
      <w:r w:rsidRPr="00212D57">
        <w:rPr>
          <w:rFonts w:ascii="標楷體" w:eastAsia="標楷體" w:hAnsi="標楷體"/>
          <w:sz w:val="22"/>
          <w:szCs w:val="22"/>
        </w:rPr>
        <w:t>一切法皆無我</w:t>
      </w:r>
      <w:r w:rsidR="007350A0">
        <w:rPr>
          <w:rFonts w:ascii="標楷體" w:eastAsia="標楷體" w:hAnsi="標楷體" w:hint="eastAsia"/>
          <w:bCs/>
          <w:color w:val="FF0000"/>
          <w:kern w:val="0"/>
          <w:sz w:val="22"/>
          <w:highlight w:val="yellow"/>
        </w:rPr>
        <w:t>」</w:t>
      </w:r>
      <w:r w:rsidRPr="00212D57">
        <w:rPr>
          <w:rFonts w:ascii="標楷體" w:eastAsia="標楷體" w:hAnsi="標楷體"/>
          <w:sz w:val="22"/>
          <w:szCs w:val="22"/>
        </w:rPr>
        <w:t>。</w:t>
      </w:r>
    </w:p>
    <w:p w:rsidR="00157EF6" w:rsidRPr="00212D57" w:rsidRDefault="00157EF6" w:rsidP="002B682F">
      <w:pPr>
        <w:pStyle w:val="a5"/>
        <w:ind w:leftChars="105" w:left="791" w:hangingChars="245" w:hanging="539"/>
        <w:jc w:val="both"/>
        <w:rPr>
          <w:szCs w:val="22"/>
        </w:rPr>
      </w:pPr>
      <w:r w:rsidRPr="00212D57">
        <w:rPr>
          <w:rFonts w:hint="eastAsia"/>
          <w:szCs w:val="22"/>
        </w:rPr>
        <w:t>（</w:t>
      </w:r>
      <w:r w:rsidRPr="00761EF3">
        <w:rPr>
          <w:szCs w:val="22"/>
        </w:rPr>
        <w:t>2</w:t>
      </w:r>
      <w:r w:rsidRPr="00212D57">
        <w:rPr>
          <w:rFonts w:hint="eastAsia"/>
          <w:szCs w:val="22"/>
        </w:rPr>
        <w:t>）</w:t>
      </w:r>
      <w:r w:rsidRPr="00212D57">
        <w:rPr>
          <w:rStyle w:val="byline"/>
          <w:rFonts w:hAnsi="新細明體"/>
          <w:color w:val="auto"/>
          <w:sz w:val="22"/>
          <w:szCs w:val="22"/>
        </w:rPr>
        <w:t>印順法師</w:t>
      </w:r>
      <w:r w:rsidRPr="00212D57">
        <w:rPr>
          <w:szCs w:val="22"/>
        </w:rPr>
        <w:t>，《性空學探源》，</w:t>
      </w:r>
      <w:r w:rsidRPr="00761EF3">
        <w:rPr>
          <w:szCs w:val="22"/>
        </w:rPr>
        <w:t>pp</w:t>
      </w:r>
      <w:r w:rsidRPr="00212D57">
        <w:rPr>
          <w:szCs w:val="22"/>
        </w:rPr>
        <w:t>.</w:t>
      </w:r>
      <w:r w:rsidRPr="00761EF3">
        <w:rPr>
          <w:szCs w:val="22"/>
        </w:rPr>
        <w:t>236</w:t>
      </w:r>
      <w:r w:rsidRPr="00212D57">
        <w:rPr>
          <w:szCs w:val="22"/>
        </w:rPr>
        <w:t>-</w:t>
      </w:r>
      <w:r w:rsidRPr="00761EF3">
        <w:rPr>
          <w:szCs w:val="22"/>
        </w:rPr>
        <w:t>237</w:t>
      </w:r>
      <w:r w:rsidRPr="00212D57">
        <w:rPr>
          <w:szCs w:val="22"/>
        </w:rPr>
        <w:t>：</w:t>
      </w:r>
    </w:p>
    <w:p w:rsidR="00157EF6" w:rsidRPr="00212D57" w:rsidRDefault="00157EF6" w:rsidP="002B682F">
      <w:pPr>
        <w:pStyle w:val="a5"/>
        <w:ind w:leftChars="335" w:left="804"/>
        <w:jc w:val="both"/>
        <w:rPr>
          <w:szCs w:val="22"/>
        </w:rPr>
      </w:pPr>
      <w:r w:rsidRPr="00212D57">
        <w:rPr>
          <w:rFonts w:ascii="標楷體" w:eastAsia="標楷體" w:hAnsi="標楷體"/>
          <w:szCs w:val="22"/>
        </w:rPr>
        <w:t>這意思說：這個法上沒有那個法，叫做空；空不是說此法的自性也沒有。所以說，約他性故空，約自性故不空。這是有部對空的基本見解。由此空與無我是不同的，空是不徹底，無我才是確實徹底。</w:t>
      </w:r>
    </w:p>
  </w:footnote>
  <w:footnote w:id="391">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）《雜阿含經》卷</w:t>
      </w:r>
      <w:r w:rsidRPr="00761EF3">
        <w:rPr>
          <w:szCs w:val="22"/>
        </w:rPr>
        <w:t>11</w:t>
      </w:r>
      <w:r w:rsidRPr="00212D57">
        <w:rPr>
          <w:szCs w:val="22"/>
        </w:rPr>
        <w:t>（</w:t>
      </w:r>
      <w:r w:rsidRPr="00761EF3">
        <w:rPr>
          <w:szCs w:val="22"/>
        </w:rPr>
        <w:t>273</w:t>
      </w:r>
      <w:r w:rsidRPr="00212D57">
        <w:rPr>
          <w:szCs w:val="22"/>
        </w:rPr>
        <w:t>經）（大正</w:t>
      </w:r>
      <w:r w:rsidRPr="00761EF3">
        <w:rPr>
          <w:szCs w:val="22"/>
        </w:rPr>
        <w:t>2</w:t>
      </w:r>
      <w:r w:rsidRPr="00212D57">
        <w:rPr>
          <w:szCs w:val="22"/>
        </w:rPr>
        <w:t>，</w:t>
      </w:r>
      <w:r w:rsidRPr="00761EF3">
        <w:rPr>
          <w:szCs w:val="22"/>
        </w:rPr>
        <w:t>72c12</w:t>
      </w:r>
      <w:r w:rsidRPr="00212D57">
        <w:rPr>
          <w:szCs w:val="22"/>
        </w:rPr>
        <w:t>-</w:t>
      </w:r>
      <w:r w:rsidRPr="00761EF3">
        <w:rPr>
          <w:szCs w:val="22"/>
        </w:rPr>
        <w:t>20</w:t>
      </w:r>
      <w:r w:rsidRPr="00212D57">
        <w:rPr>
          <w:szCs w:val="22"/>
        </w:rPr>
        <w:t>）：</w:t>
      </w:r>
    </w:p>
    <w:p w:rsidR="007350A0" w:rsidRDefault="00157EF6" w:rsidP="002B682F">
      <w:pPr>
        <w:pStyle w:val="a5"/>
        <w:ind w:leftChars="335" w:left="804"/>
        <w:jc w:val="both"/>
        <w:rPr>
          <w:rFonts w:ascii="標楷體" w:eastAsia="標楷體" w:hAnsi="標楷體"/>
          <w:szCs w:val="22"/>
        </w:rPr>
      </w:pPr>
      <w:r w:rsidRPr="00212D57">
        <w:rPr>
          <w:rFonts w:eastAsia="標楷體"/>
          <w:szCs w:val="22"/>
        </w:rPr>
        <w:t>比丘！諸行如幻、如炎，剎那時頃盡</w:t>
      </w:r>
      <w:r w:rsidRPr="00212D57">
        <w:rPr>
          <w:rFonts w:ascii="標楷體" w:eastAsia="標楷體" w:hAnsi="標楷體" w:hint="eastAsia"/>
          <w:szCs w:val="22"/>
        </w:rPr>
        <w:t>朽，不實來實去。是故，比丘！於空諸行</w:t>
      </w:r>
      <w:r w:rsidR="007350A0">
        <w:rPr>
          <w:rFonts w:ascii="標楷體" w:eastAsia="標楷體" w:hAnsi="標楷體" w:hint="eastAsia"/>
          <w:color w:val="FF0000"/>
          <w:kern w:val="0"/>
          <w:highlight w:val="yellow"/>
        </w:rPr>
        <w:t>，</w:t>
      </w:r>
      <w:r w:rsidRPr="00212D57">
        <w:rPr>
          <w:rFonts w:ascii="標楷體" w:eastAsia="標楷體" w:hAnsi="標楷體" w:hint="eastAsia"/>
          <w:szCs w:val="22"/>
        </w:rPr>
        <w:t>當知、當喜、當念：「空諸行，常、恒、住、不變易法空，無我</w:t>
      </w:r>
      <w:r w:rsidR="00457389">
        <w:rPr>
          <w:rFonts w:ascii="標楷體" w:eastAsia="標楷體" w:hAnsi="標楷體" w:hint="eastAsia"/>
          <w:color w:val="FF0000"/>
          <w:kern w:val="0"/>
          <w:highlight w:val="yellow"/>
        </w:rPr>
        <w:t>.</w:t>
      </w:r>
      <w:r w:rsidRPr="00212D57">
        <w:rPr>
          <w:rFonts w:ascii="標楷體" w:eastAsia="標楷體" w:hAnsi="標楷體" w:hint="eastAsia"/>
          <w:szCs w:val="22"/>
        </w:rPr>
        <w:t>我所。」</w:t>
      </w:r>
    </w:p>
    <w:p w:rsidR="00157EF6" w:rsidRPr="00212D57" w:rsidRDefault="00157EF6" w:rsidP="002B682F">
      <w:pPr>
        <w:pStyle w:val="a5"/>
        <w:ind w:leftChars="335" w:left="804"/>
        <w:jc w:val="both"/>
        <w:rPr>
          <w:rFonts w:ascii="標楷體" w:eastAsia="標楷體" w:hAnsi="標楷體"/>
          <w:szCs w:val="22"/>
        </w:rPr>
      </w:pPr>
      <w:r w:rsidRPr="00212D57">
        <w:rPr>
          <w:rFonts w:ascii="標楷體" w:eastAsia="標楷體" w:hAnsi="標楷體" w:hint="eastAsia"/>
          <w:szCs w:val="22"/>
        </w:rPr>
        <w:t>譬如明目士夫，手執明燈，入於空室，彼空室觀察</w:t>
      </w:r>
      <w:r w:rsidR="007350A0">
        <w:rPr>
          <w:rFonts w:ascii="標楷體" w:eastAsia="標楷體" w:hAnsi="標楷體" w:hint="eastAsia"/>
          <w:color w:val="FF0000"/>
          <w:szCs w:val="22"/>
          <w:highlight w:val="yellow"/>
        </w:rPr>
        <w:t>；</w:t>
      </w:r>
    </w:p>
    <w:p w:rsidR="00157EF6" w:rsidRDefault="00157EF6" w:rsidP="002B682F">
      <w:pPr>
        <w:pStyle w:val="a5"/>
        <w:ind w:leftChars="335" w:left="804"/>
        <w:jc w:val="both"/>
        <w:rPr>
          <w:rFonts w:ascii="標楷體" w:eastAsia="標楷體" w:hAnsi="標楷體"/>
          <w:szCs w:val="22"/>
        </w:rPr>
      </w:pPr>
      <w:r w:rsidRPr="00212D57">
        <w:rPr>
          <w:rFonts w:ascii="標楷體" w:eastAsia="標楷體" w:hAnsi="標楷體" w:hint="eastAsia"/>
          <w:szCs w:val="22"/>
        </w:rPr>
        <w:t>如是，比丘！於一切空行</w:t>
      </w:r>
      <w:r w:rsidR="00774EAD">
        <w:rPr>
          <w:rFonts w:ascii="標楷體" w:eastAsia="標楷體" w:hAnsi="標楷體" w:hint="eastAsia"/>
          <w:color w:val="FF0000"/>
          <w:szCs w:val="22"/>
          <w:highlight w:val="yellow"/>
        </w:rPr>
        <w:t>，</w:t>
      </w:r>
      <w:r w:rsidRPr="00212D57">
        <w:rPr>
          <w:rFonts w:ascii="標楷體" w:eastAsia="標楷體" w:hAnsi="標楷體" w:hint="eastAsia"/>
          <w:szCs w:val="22"/>
        </w:rPr>
        <w:t>空</w:t>
      </w:r>
      <w:r w:rsidR="00774EAD" w:rsidRPr="00457389">
        <w:rPr>
          <w:rFonts w:hint="eastAsia"/>
          <w:color w:val="FF0000"/>
          <w:szCs w:val="22"/>
          <w:vertAlign w:val="superscript"/>
        </w:rPr>
        <w:t>[12]</w:t>
      </w:r>
      <w:r w:rsidRPr="00212D57">
        <w:rPr>
          <w:rFonts w:ascii="標楷體" w:eastAsia="標楷體" w:hAnsi="標楷體" w:hint="eastAsia"/>
          <w:szCs w:val="22"/>
        </w:rPr>
        <w:t>心觀察歡喜，於空法行</w:t>
      </w:r>
      <w:r w:rsidR="00457389" w:rsidRPr="00457389">
        <w:rPr>
          <w:rFonts w:ascii="標楷體" w:eastAsia="標楷體" w:hAnsi="標楷體" w:hint="eastAsia"/>
          <w:color w:val="FF0000"/>
          <w:szCs w:val="22"/>
          <w:highlight w:val="yellow"/>
        </w:rPr>
        <w:t>，</w:t>
      </w:r>
      <w:r w:rsidRPr="00212D57">
        <w:rPr>
          <w:rFonts w:ascii="標楷體" w:eastAsia="標楷體" w:hAnsi="標楷體" w:hint="eastAsia"/>
          <w:szCs w:val="22"/>
        </w:rPr>
        <w:t>常、恒、住、不變易</w:t>
      </w:r>
      <w:r w:rsidRPr="00457389">
        <w:rPr>
          <w:rFonts w:ascii="標楷體" w:eastAsia="標楷體" w:hAnsi="標楷體" w:hint="eastAsia"/>
          <w:szCs w:val="22"/>
          <w:highlight w:val="yellow"/>
        </w:rPr>
        <w:t>法空</w:t>
      </w:r>
      <w:r w:rsidRPr="00212D57">
        <w:rPr>
          <w:rFonts w:ascii="標楷體" w:eastAsia="標楷體" w:hAnsi="標楷體" w:hint="eastAsia"/>
          <w:szCs w:val="22"/>
        </w:rPr>
        <w:t>我</w:t>
      </w:r>
      <w:r w:rsidR="00457389">
        <w:rPr>
          <w:rFonts w:ascii="標楷體" w:eastAsia="標楷體" w:hAnsi="標楷體" w:hint="eastAsia"/>
          <w:color w:val="FF0000"/>
          <w:kern w:val="0"/>
          <w:highlight w:val="yellow"/>
        </w:rPr>
        <w:t>.</w:t>
      </w:r>
      <w:r w:rsidRPr="00212D57">
        <w:rPr>
          <w:rFonts w:ascii="標楷體" w:eastAsia="標楷體" w:hAnsi="標楷體" w:hint="eastAsia"/>
          <w:szCs w:val="22"/>
        </w:rPr>
        <w:t>我所</w:t>
      </w:r>
      <w:r w:rsidR="00457389" w:rsidRPr="00EB57EF">
        <w:rPr>
          <w:rFonts w:eastAsia="標楷體" w:hint="eastAsia"/>
          <w:color w:val="FF0000"/>
          <w:szCs w:val="22"/>
          <w:shd w:val="pct15" w:color="auto" w:fill="FFFFFF"/>
        </w:rPr>
        <w:t>*</w:t>
      </w:r>
      <w:r w:rsidRPr="00212D57">
        <w:rPr>
          <w:rFonts w:ascii="標楷體" w:eastAsia="標楷體" w:hAnsi="標楷體" w:hint="eastAsia"/>
          <w:szCs w:val="22"/>
        </w:rPr>
        <w:t>。如眼、耳、鼻、舌、身</w:t>
      </w:r>
      <w:r w:rsidR="007350A0">
        <w:rPr>
          <w:rFonts w:ascii="標楷體" w:eastAsia="標楷體" w:hAnsi="標楷體" w:hint="eastAsia"/>
          <w:color w:val="FF0000"/>
          <w:spacing w:val="-4"/>
          <w:kern w:val="0"/>
          <w:highlight w:val="yellow"/>
        </w:rPr>
        <w:t>；</w:t>
      </w:r>
      <w:r w:rsidRPr="00212D57">
        <w:rPr>
          <w:rFonts w:ascii="標楷體" w:eastAsia="標楷體" w:hAnsi="標楷體" w:hint="eastAsia"/>
          <w:szCs w:val="22"/>
        </w:rPr>
        <w:t>意</w:t>
      </w:r>
      <w:r w:rsidR="007350A0">
        <w:rPr>
          <w:rFonts w:ascii="標楷體" w:eastAsia="標楷體" w:hAnsi="標楷體" w:hint="eastAsia"/>
          <w:color w:val="FF0000"/>
          <w:spacing w:val="-4"/>
          <w:kern w:val="0"/>
          <w:highlight w:val="yellow"/>
        </w:rPr>
        <w:t>、</w:t>
      </w:r>
      <w:r w:rsidRPr="00212D57">
        <w:rPr>
          <w:rFonts w:ascii="標楷體" w:eastAsia="標楷體" w:hAnsi="標楷體" w:hint="eastAsia"/>
          <w:szCs w:val="22"/>
        </w:rPr>
        <w:t>法因緣生意識，三事和合觸，觸俱生受、想、思，此諸法無我、無常，乃至空我、我所。</w:t>
      </w:r>
    </w:p>
    <w:p w:rsidR="00774EAD" w:rsidRDefault="00774EAD" w:rsidP="00774EAD">
      <w:pPr>
        <w:pStyle w:val="a5"/>
        <w:ind w:leftChars="335" w:left="804"/>
        <w:jc w:val="both"/>
        <w:rPr>
          <w:color w:val="FF0000"/>
          <w:szCs w:val="22"/>
          <w:highlight w:val="yellow"/>
        </w:rPr>
      </w:pPr>
      <w:r w:rsidRPr="00774EAD">
        <w:rPr>
          <w:rFonts w:hint="eastAsia"/>
          <w:color w:val="FF0000"/>
          <w:szCs w:val="22"/>
          <w:highlight w:val="yellow"/>
        </w:rPr>
        <w:t>[12]</w:t>
      </w:r>
      <w:r w:rsidRPr="00774EAD">
        <w:rPr>
          <w:rFonts w:hint="eastAsia"/>
          <w:color w:val="FF0000"/>
          <w:szCs w:val="22"/>
          <w:highlight w:val="yellow"/>
        </w:rPr>
        <w:t>〔空〕－【宋】【元】【明】。</w:t>
      </w:r>
      <w:r w:rsidRPr="00774EAD">
        <w:rPr>
          <w:color w:val="FF0000"/>
          <w:szCs w:val="22"/>
          <w:highlight w:val="yellow"/>
        </w:rPr>
        <w:t>（大正</w:t>
      </w:r>
      <w:r w:rsidRPr="00774EAD">
        <w:rPr>
          <w:color w:val="FF0000"/>
          <w:szCs w:val="22"/>
          <w:highlight w:val="yellow"/>
        </w:rPr>
        <w:t>2</w:t>
      </w:r>
      <w:r w:rsidRPr="00774EAD">
        <w:rPr>
          <w:color w:val="FF0000"/>
          <w:szCs w:val="22"/>
          <w:highlight w:val="yellow"/>
        </w:rPr>
        <w:t>，</w:t>
      </w:r>
      <w:r w:rsidRPr="00774EAD">
        <w:rPr>
          <w:color w:val="FF0000"/>
          <w:szCs w:val="22"/>
          <w:highlight w:val="yellow"/>
        </w:rPr>
        <w:t>72</w:t>
      </w:r>
      <w:r w:rsidRPr="00774EAD">
        <w:rPr>
          <w:rFonts w:hint="eastAsia"/>
          <w:color w:val="FF0000"/>
          <w:szCs w:val="22"/>
          <w:highlight w:val="yellow"/>
        </w:rPr>
        <w:t>d</w:t>
      </w:r>
      <w:r w:rsidRPr="00774EAD">
        <w:rPr>
          <w:rFonts w:hint="eastAsia"/>
          <w:color w:val="FF0000"/>
          <w:szCs w:val="22"/>
          <w:highlight w:val="yellow"/>
        </w:rPr>
        <w:t>，</w:t>
      </w:r>
      <w:r w:rsidRPr="00774EAD">
        <w:rPr>
          <w:rFonts w:hint="eastAsia"/>
          <w:color w:val="FF0000"/>
          <w:szCs w:val="22"/>
          <w:highlight w:val="yellow"/>
        </w:rPr>
        <w:t>n.12</w:t>
      </w:r>
      <w:r w:rsidRPr="00774EAD">
        <w:rPr>
          <w:color w:val="FF0000"/>
          <w:szCs w:val="22"/>
          <w:highlight w:val="yellow"/>
        </w:rPr>
        <w:t>）</w:t>
      </w:r>
    </w:p>
    <w:p w:rsidR="00457389" w:rsidRPr="00774EAD" w:rsidRDefault="00457389" w:rsidP="00457389">
      <w:pPr>
        <w:pStyle w:val="a5"/>
        <w:ind w:leftChars="335" w:left="1794" w:hangingChars="450" w:hanging="990"/>
        <w:jc w:val="both"/>
        <w:rPr>
          <w:color w:val="FF0000"/>
          <w:szCs w:val="22"/>
          <w:highlight w:val="yellow"/>
        </w:rPr>
      </w:pPr>
      <w:r w:rsidRPr="00EB57EF">
        <w:rPr>
          <w:rFonts w:eastAsia="標楷體" w:hint="eastAsia"/>
          <w:color w:val="FF0000"/>
          <w:szCs w:val="22"/>
          <w:shd w:val="pct15" w:color="auto" w:fill="FFFFFF"/>
        </w:rPr>
        <w:t>*</w:t>
      </w:r>
      <w:r>
        <w:rPr>
          <w:rFonts w:hint="eastAsia"/>
          <w:color w:val="FF0000"/>
          <w:szCs w:val="22"/>
          <w:highlight w:val="yellow"/>
        </w:rPr>
        <w:t>重編案：此句「</w:t>
      </w:r>
      <w:r w:rsidRPr="00212D57">
        <w:rPr>
          <w:rFonts w:ascii="標楷體" w:eastAsia="標楷體" w:hAnsi="標楷體" w:hint="eastAsia"/>
          <w:szCs w:val="22"/>
        </w:rPr>
        <w:t>不變易法空我我所</w:t>
      </w:r>
      <w:r>
        <w:rPr>
          <w:rFonts w:hint="eastAsia"/>
          <w:color w:val="FF0000"/>
          <w:szCs w:val="22"/>
          <w:highlight w:val="yellow"/>
        </w:rPr>
        <w:t>」，若依前文，應作「</w:t>
      </w:r>
      <w:r w:rsidRPr="00212D57">
        <w:rPr>
          <w:rFonts w:ascii="標楷體" w:eastAsia="標楷體" w:hAnsi="標楷體" w:hint="eastAsia"/>
          <w:szCs w:val="22"/>
        </w:rPr>
        <w:t>不變易法空</w:t>
      </w:r>
      <w:r>
        <w:rPr>
          <w:rFonts w:ascii="標楷體" w:eastAsia="標楷體" w:hAnsi="標楷體" w:hint="eastAsia"/>
          <w:color w:val="FF0000"/>
          <w:kern w:val="0"/>
          <w:highlight w:val="yellow"/>
        </w:rPr>
        <w:t>『</w:t>
      </w:r>
      <w:r w:rsidRPr="00457389">
        <w:rPr>
          <w:rFonts w:ascii="新細明體" w:hAnsi="新細明體" w:hint="eastAsia"/>
          <w:szCs w:val="22"/>
        </w:rPr>
        <w:t>無</w:t>
      </w:r>
      <w:r>
        <w:rPr>
          <w:rFonts w:ascii="標楷體" w:eastAsia="標楷體" w:hAnsi="標楷體" w:hint="eastAsia"/>
          <w:color w:val="FF0000"/>
          <w:kern w:val="0"/>
          <w:highlight w:val="yellow"/>
        </w:rPr>
        <w:t>』</w:t>
      </w:r>
      <w:r w:rsidRPr="00212D57">
        <w:rPr>
          <w:rFonts w:ascii="標楷體" w:eastAsia="標楷體" w:hAnsi="標楷體" w:hint="eastAsia"/>
          <w:szCs w:val="22"/>
        </w:rPr>
        <w:t>我我所</w:t>
      </w:r>
      <w:r>
        <w:rPr>
          <w:rFonts w:hint="eastAsia"/>
          <w:color w:val="FF0000"/>
          <w:szCs w:val="22"/>
          <w:highlight w:val="yellow"/>
        </w:rPr>
        <w:t>」。</w:t>
      </w:r>
    </w:p>
    <w:p w:rsidR="00157EF6" w:rsidRPr="00212D57" w:rsidRDefault="00157EF6" w:rsidP="002B682F">
      <w:pPr>
        <w:pStyle w:val="a5"/>
        <w:ind w:leftChars="105" w:left="791" w:hangingChars="245" w:hanging="539"/>
        <w:jc w:val="both"/>
        <w:rPr>
          <w:szCs w:val="22"/>
        </w:rPr>
      </w:pPr>
      <w:r w:rsidRPr="00212D57">
        <w:rPr>
          <w:szCs w:val="22"/>
        </w:rPr>
        <w:t>（</w:t>
      </w:r>
      <w:r w:rsidRPr="00761EF3">
        <w:rPr>
          <w:szCs w:val="22"/>
        </w:rPr>
        <w:t>2</w:t>
      </w:r>
      <w:r w:rsidRPr="00212D57">
        <w:rPr>
          <w:szCs w:val="22"/>
        </w:rPr>
        <w:t>）印順</w:t>
      </w:r>
      <w:r w:rsidRPr="00212D57">
        <w:rPr>
          <w:rStyle w:val="byline"/>
          <w:rFonts w:hAnsi="新細明體"/>
          <w:color w:val="auto"/>
          <w:sz w:val="22"/>
          <w:szCs w:val="22"/>
        </w:rPr>
        <w:t>法師</w:t>
      </w:r>
      <w:r w:rsidRPr="00212D57">
        <w:rPr>
          <w:szCs w:val="22"/>
        </w:rPr>
        <w:t>，《中觀今論》</w:t>
      </w:r>
      <w:r w:rsidRPr="00212D57">
        <w:rPr>
          <w:rFonts w:hint="eastAsia"/>
          <w:szCs w:val="22"/>
        </w:rPr>
        <w:t>，</w:t>
      </w:r>
      <w:r w:rsidRPr="00761EF3">
        <w:rPr>
          <w:szCs w:val="22"/>
        </w:rPr>
        <w:t>pp</w:t>
      </w:r>
      <w:r w:rsidRPr="00212D57">
        <w:rPr>
          <w:szCs w:val="22"/>
        </w:rPr>
        <w:t>.</w:t>
      </w:r>
      <w:r w:rsidRPr="00761EF3">
        <w:rPr>
          <w:szCs w:val="22"/>
        </w:rPr>
        <w:t>32</w:t>
      </w:r>
      <w:r w:rsidRPr="00212D57">
        <w:rPr>
          <w:szCs w:val="22"/>
        </w:rPr>
        <w:t>-</w:t>
      </w:r>
      <w:r w:rsidRPr="00761EF3">
        <w:rPr>
          <w:szCs w:val="22"/>
        </w:rPr>
        <w:t>33</w:t>
      </w:r>
      <w:r w:rsidRPr="00212D57">
        <w:rPr>
          <w:szCs w:val="22"/>
        </w:rPr>
        <w:t>：</w:t>
      </w:r>
    </w:p>
    <w:p w:rsidR="00157EF6" w:rsidRPr="00212D57" w:rsidRDefault="00157EF6" w:rsidP="002B682F">
      <w:pPr>
        <w:pStyle w:val="a5"/>
        <w:ind w:leftChars="335" w:left="804"/>
        <w:jc w:val="both"/>
        <w:rPr>
          <w:rFonts w:eastAsia="標楷體"/>
          <w:szCs w:val="22"/>
        </w:rPr>
      </w:pPr>
      <w:r w:rsidRPr="00212D57">
        <w:rPr>
          <w:rFonts w:eastAsia="標楷體"/>
          <w:szCs w:val="22"/>
        </w:rPr>
        <w:t>《雜阿含</w:t>
      </w:r>
      <w:r w:rsidRPr="00212D57">
        <w:rPr>
          <w:rFonts w:eastAsia="標楷體" w:hint="eastAsia"/>
          <w:szCs w:val="22"/>
        </w:rPr>
        <w:t>經</w:t>
      </w:r>
      <w:r w:rsidRPr="00212D57">
        <w:rPr>
          <w:rFonts w:eastAsia="標楷體"/>
          <w:szCs w:val="22"/>
        </w:rPr>
        <w:t>》</w:t>
      </w:r>
      <w:r w:rsidRPr="00212D57">
        <w:rPr>
          <w:rFonts w:hint="eastAsia"/>
          <w:szCs w:val="22"/>
        </w:rPr>
        <w:t>（</w:t>
      </w:r>
      <w:r w:rsidR="00774EAD" w:rsidRPr="00774EAD">
        <w:rPr>
          <w:rFonts w:eastAsia="標楷體" w:hint="eastAsia"/>
          <w:szCs w:val="22"/>
        </w:rPr>
        <w:t>232</w:t>
      </w:r>
      <w:r w:rsidRPr="00212D57">
        <w:rPr>
          <w:rFonts w:eastAsia="標楷體"/>
          <w:szCs w:val="22"/>
        </w:rPr>
        <w:t>經</w:t>
      </w:r>
      <w:r w:rsidRPr="00212D57">
        <w:rPr>
          <w:rFonts w:eastAsia="標楷體" w:hint="eastAsia"/>
          <w:szCs w:val="22"/>
        </w:rPr>
        <w:t>）</w:t>
      </w:r>
      <w:r w:rsidRPr="00212D57">
        <w:rPr>
          <w:rFonts w:eastAsia="標楷體"/>
          <w:szCs w:val="22"/>
        </w:rPr>
        <w:t>說：「眼</w:t>
      </w:r>
      <w:r w:rsidRPr="00774EAD">
        <w:rPr>
          <w:rFonts w:ascii="新細明體" w:hAnsi="新細明體"/>
          <w:szCs w:val="22"/>
        </w:rPr>
        <w:t>（等）</w:t>
      </w:r>
      <w:r w:rsidRPr="00212D57">
        <w:rPr>
          <w:rFonts w:eastAsia="標楷體"/>
          <w:szCs w:val="22"/>
        </w:rPr>
        <w:t>空，常恒不變易法空</w:t>
      </w:r>
      <w:r w:rsidRPr="00212D57">
        <w:rPr>
          <w:rFonts w:eastAsia="標楷體" w:hint="eastAsia"/>
          <w:szCs w:val="22"/>
        </w:rPr>
        <w:t>，</w:t>
      </w:r>
      <w:r w:rsidRPr="00212D57">
        <w:rPr>
          <w:rFonts w:eastAsia="標楷體"/>
          <w:szCs w:val="22"/>
        </w:rPr>
        <w:t>我我所空。所以者何？此性自爾。」</w:t>
      </w:r>
      <w:r w:rsidR="00774EAD" w:rsidRPr="00774EAD">
        <w:rPr>
          <w:rFonts w:eastAsia="標楷體" w:hint="eastAsia"/>
          <w:szCs w:val="22"/>
        </w:rPr>
        <w:t>273</w:t>
      </w:r>
      <w:r w:rsidRPr="00212D57">
        <w:rPr>
          <w:rFonts w:eastAsia="標楷體"/>
          <w:szCs w:val="22"/>
        </w:rPr>
        <w:t>經也有此說，但作「諸行空」。常恒不變易法空，即是無常，所以無常是常性不可得。我我所空即是無我，所以無我是我性不可得。無常、無我即是空的異名，佛說何等明白？</w:t>
      </w:r>
    </w:p>
    <w:p w:rsidR="00157EF6" w:rsidRPr="00212D57" w:rsidRDefault="00157EF6" w:rsidP="002B682F">
      <w:pPr>
        <w:pStyle w:val="a5"/>
        <w:ind w:leftChars="105" w:left="791" w:hangingChars="245" w:hanging="539"/>
        <w:jc w:val="both"/>
        <w:rPr>
          <w:szCs w:val="22"/>
        </w:rPr>
      </w:pPr>
      <w:r w:rsidRPr="00212D57">
        <w:rPr>
          <w:szCs w:val="22"/>
        </w:rPr>
        <w:t>（</w:t>
      </w:r>
      <w:r w:rsidRPr="00761EF3">
        <w:rPr>
          <w:szCs w:val="22"/>
        </w:rPr>
        <w:t>3</w:t>
      </w:r>
      <w:r w:rsidRPr="00212D57">
        <w:rPr>
          <w:szCs w:val="22"/>
        </w:rPr>
        <w:t>）印順法師，《空之探究》</w:t>
      </w:r>
      <w:r w:rsidRPr="00212D57">
        <w:rPr>
          <w:rFonts w:hint="eastAsia"/>
          <w:szCs w:val="22"/>
        </w:rPr>
        <w:t>，</w:t>
      </w:r>
      <w:r w:rsidRPr="00761EF3">
        <w:rPr>
          <w:szCs w:val="22"/>
        </w:rPr>
        <w:t>p</w:t>
      </w:r>
      <w:r w:rsidRPr="00212D57">
        <w:rPr>
          <w:szCs w:val="22"/>
        </w:rPr>
        <w:t>.</w:t>
      </w:r>
      <w:r w:rsidRPr="00761EF3">
        <w:rPr>
          <w:szCs w:val="22"/>
        </w:rPr>
        <w:t>123</w:t>
      </w:r>
      <w:r w:rsidRPr="00212D57">
        <w:rPr>
          <w:szCs w:val="22"/>
        </w:rPr>
        <w:t>：</w:t>
      </w:r>
    </w:p>
    <w:p w:rsidR="00157EF6" w:rsidRPr="00212D57" w:rsidRDefault="00157EF6" w:rsidP="002B682F">
      <w:pPr>
        <w:pStyle w:val="a5"/>
        <w:ind w:leftChars="335" w:left="804"/>
        <w:jc w:val="both"/>
        <w:rPr>
          <w:szCs w:val="22"/>
        </w:rPr>
      </w:pPr>
      <w:r w:rsidRPr="00212D57">
        <w:rPr>
          <w:rFonts w:eastAsia="標楷體"/>
          <w:szCs w:val="22"/>
        </w:rPr>
        <w:t>諸行空，那是無我我所的意思；進而說明為：</w:t>
      </w:r>
      <w:r w:rsidRPr="00212D57">
        <w:rPr>
          <w:rFonts w:eastAsia="標楷體" w:hint="eastAsia"/>
          <w:szCs w:val="22"/>
        </w:rPr>
        <w:t>「</w:t>
      </w:r>
      <w:r w:rsidRPr="00212D57">
        <w:rPr>
          <w:rFonts w:eastAsia="標楷體"/>
          <w:szCs w:val="22"/>
        </w:rPr>
        <w:t>常空，恆空，不變易法空，無我我所</w:t>
      </w:r>
      <w:r w:rsidRPr="00212D57">
        <w:rPr>
          <w:szCs w:val="22"/>
        </w:rPr>
        <w:t>。</w:t>
      </w:r>
      <w:r w:rsidRPr="00212D57">
        <w:rPr>
          <w:rFonts w:eastAsia="標楷體"/>
          <w:szCs w:val="22"/>
        </w:rPr>
        <w:t>」</w:t>
      </w:r>
    </w:p>
  </w:footnote>
  <w:footnote w:id="392">
    <w:p w:rsidR="00224D48" w:rsidRPr="00224D48" w:rsidRDefault="00224D48" w:rsidP="00224D48">
      <w:pPr>
        <w:pStyle w:val="a5"/>
        <w:spacing w:line="0" w:lineRule="atLeast"/>
        <w:jc w:val="both"/>
        <w:rPr>
          <w:color w:val="FF0000"/>
          <w:szCs w:val="22"/>
          <w:highlight w:val="yellow"/>
        </w:rPr>
      </w:pPr>
      <w:r w:rsidRPr="00224D48">
        <w:rPr>
          <w:rStyle w:val="a6"/>
          <w:color w:val="FF0000"/>
          <w:szCs w:val="22"/>
          <w:highlight w:val="yellow"/>
        </w:rPr>
        <w:footnoteRef/>
      </w:r>
      <w:r w:rsidRPr="00224D48">
        <w:rPr>
          <w:rFonts w:hint="eastAsia"/>
          <w:color w:val="FF0000"/>
          <w:szCs w:val="22"/>
        </w:rPr>
        <w:t xml:space="preserve"> </w:t>
      </w:r>
      <w:r w:rsidRPr="00224D48">
        <w:rPr>
          <w:rFonts w:hint="eastAsia"/>
          <w:color w:val="FF0000"/>
          <w:szCs w:val="22"/>
          <w:highlight w:val="yellow"/>
        </w:rPr>
        <w:t>《瑜伽師地論》卷</w:t>
      </w:r>
      <w:r w:rsidRPr="00224D48">
        <w:rPr>
          <w:rFonts w:hint="eastAsia"/>
          <w:color w:val="FF0000"/>
          <w:szCs w:val="22"/>
          <w:highlight w:val="yellow"/>
        </w:rPr>
        <w:t>91</w:t>
      </w:r>
      <w:r w:rsidR="001A77EF">
        <w:rPr>
          <w:rFonts w:hint="eastAsia"/>
          <w:color w:val="FF0000"/>
          <w:szCs w:val="22"/>
          <w:highlight w:val="yellow"/>
        </w:rPr>
        <w:t>〈攝事分〉</w:t>
      </w:r>
      <w:r w:rsidRPr="00224D48">
        <w:rPr>
          <w:color w:val="FF0000"/>
          <w:szCs w:val="22"/>
          <w:highlight w:val="yellow"/>
        </w:rPr>
        <w:t>（大正</w:t>
      </w:r>
      <w:r w:rsidRPr="00224D48">
        <w:rPr>
          <w:rFonts w:hint="eastAsia"/>
          <w:color w:val="FF0000"/>
          <w:szCs w:val="22"/>
          <w:highlight w:val="yellow"/>
        </w:rPr>
        <w:t>30</w:t>
      </w:r>
      <w:r w:rsidRPr="00224D48">
        <w:rPr>
          <w:color w:val="FF0000"/>
          <w:szCs w:val="22"/>
          <w:highlight w:val="yellow"/>
        </w:rPr>
        <w:t>，</w:t>
      </w:r>
      <w:r w:rsidRPr="00224D48">
        <w:rPr>
          <w:rFonts w:hint="eastAsia"/>
          <w:color w:val="FF0000"/>
          <w:szCs w:val="22"/>
          <w:highlight w:val="yellow"/>
        </w:rPr>
        <w:t>821a1-4</w:t>
      </w:r>
      <w:r w:rsidRPr="00224D48">
        <w:rPr>
          <w:color w:val="FF0000"/>
          <w:szCs w:val="22"/>
          <w:highlight w:val="yellow"/>
        </w:rPr>
        <w:t>）：</w:t>
      </w:r>
    </w:p>
    <w:p w:rsidR="00224D48" w:rsidRPr="00212D57" w:rsidRDefault="00224D48" w:rsidP="00224D48">
      <w:pPr>
        <w:pStyle w:val="a5"/>
        <w:ind w:leftChars="105" w:left="252"/>
        <w:jc w:val="both"/>
        <w:rPr>
          <w:szCs w:val="22"/>
        </w:rPr>
      </w:pPr>
      <w:r w:rsidRPr="00224D48">
        <w:rPr>
          <w:rFonts w:ascii="標楷體" w:eastAsia="標楷體" w:hAnsi="標楷體" w:hint="eastAsia"/>
          <w:color w:val="FF0000"/>
          <w:szCs w:val="22"/>
          <w:highlight w:val="yellow"/>
        </w:rPr>
        <w:t>由諸行中離諸行性別有實我住諸行中不可得故</w:t>
      </w:r>
      <w:r>
        <w:rPr>
          <w:rFonts w:ascii="標楷體" w:eastAsia="標楷體" w:hAnsi="標楷體" w:hint="eastAsia"/>
          <w:color w:val="FF0000"/>
          <w:szCs w:val="22"/>
          <w:highlight w:val="yellow"/>
        </w:rPr>
        <w:t>，</w:t>
      </w:r>
      <w:r w:rsidRPr="00224D48">
        <w:rPr>
          <w:rFonts w:ascii="標楷體" w:eastAsia="標楷體" w:hAnsi="標楷體" w:hint="eastAsia"/>
          <w:color w:val="FF0000"/>
          <w:szCs w:val="22"/>
          <w:highlight w:val="yellow"/>
        </w:rPr>
        <w:t>由是因緣</w:t>
      </w:r>
      <w:r>
        <w:rPr>
          <w:rFonts w:ascii="標楷體" w:eastAsia="標楷體" w:hAnsi="標楷體" w:hint="eastAsia"/>
          <w:color w:val="FF0000"/>
          <w:szCs w:val="22"/>
          <w:highlight w:val="yellow"/>
        </w:rPr>
        <w:t>，</w:t>
      </w:r>
      <w:r w:rsidRPr="00224D48">
        <w:rPr>
          <w:rFonts w:ascii="標楷體" w:eastAsia="標楷體" w:hAnsi="標楷體" w:hint="eastAsia"/>
          <w:color w:val="FF0000"/>
          <w:szCs w:val="22"/>
          <w:highlight w:val="yellow"/>
        </w:rPr>
        <w:t>約世俗諦</w:t>
      </w:r>
      <w:r>
        <w:rPr>
          <w:rFonts w:ascii="標楷體" w:eastAsia="標楷體" w:hAnsi="標楷體" w:hint="eastAsia"/>
          <w:color w:val="FF0000"/>
          <w:szCs w:val="22"/>
          <w:highlight w:val="yellow"/>
        </w:rPr>
        <w:t>，</w:t>
      </w:r>
      <w:r w:rsidRPr="00224D48">
        <w:rPr>
          <w:rFonts w:ascii="標楷體" w:eastAsia="標楷體" w:hAnsi="標楷體" w:hint="eastAsia"/>
          <w:color w:val="FF0000"/>
          <w:szCs w:val="22"/>
          <w:highlight w:val="yellow"/>
        </w:rPr>
        <w:t>諸行尚空</w:t>
      </w:r>
      <w:r>
        <w:rPr>
          <w:rFonts w:ascii="標楷體" w:eastAsia="標楷體" w:hAnsi="標楷體" w:hint="eastAsia"/>
          <w:color w:val="FF0000"/>
          <w:szCs w:val="22"/>
          <w:highlight w:val="yellow"/>
        </w:rPr>
        <w:t>、</w:t>
      </w:r>
      <w:r w:rsidRPr="00224D48">
        <w:rPr>
          <w:rFonts w:ascii="標楷體" w:eastAsia="標楷體" w:hAnsi="標楷體" w:hint="eastAsia"/>
          <w:color w:val="FF0000"/>
          <w:szCs w:val="22"/>
          <w:highlight w:val="yellow"/>
        </w:rPr>
        <w:t>不可施設</w:t>
      </w:r>
      <w:r>
        <w:rPr>
          <w:rFonts w:ascii="標楷體" w:eastAsia="標楷體" w:hAnsi="標楷體" w:hint="eastAsia"/>
          <w:color w:val="FF0000"/>
          <w:szCs w:val="22"/>
          <w:highlight w:val="yellow"/>
        </w:rPr>
        <w:t>，</w:t>
      </w:r>
      <w:r w:rsidRPr="00224D48">
        <w:rPr>
          <w:rFonts w:ascii="標楷體" w:eastAsia="標楷體" w:hAnsi="標楷體" w:hint="eastAsia"/>
          <w:color w:val="FF0000"/>
          <w:szCs w:val="22"/>
          <w:highlight w:val="yellow"/>
        </w:rPr>
        <w:t>何況勝義！</w:t>
      </w:r>
    </w:p>
  </w:footnote>
  <w:footnote w:id="393">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212D57">
        <w:rPr>
          <w:szCs w:val="22"/>
        </w:rPr>
        <w:t>《中阿含經》卷</w:t>
      </w:r>
      <w:r w:rsidRPr="00761EF3">
        <w:rPr>
          <w:szCs w:val="22"/>
        </w:rPr>
        <w:t>49</w:t>
      </w:r>
      <w:r w:rsidRPr="00212D57">
        <w:rPr>
          <w:szCs w:val="22"/>
        </w:rPr>
        <w:t>《小空經》（</w:t>
      </w:r>
      <w:r w:rsidRPr="00761EF3">
        <w:rPr>
          <w:szCs w:val="22"/>
        </w:rPr>
        <w:t>190</w:t>
      </w:r>
      <w:r w:rsidRPr="00212D57">
        <w:rPr>
          <w:szCs w:val="22"/>
        </w:rPr>
        <w:t>經）（大正</w:t>
      </w:r>
      <w:r w:rsidRPr="00761EF3">
        <w:rPr>
          <w:szCs w:val="22"/>
        </w:rPr>
        <w:t>1</w:t>
      </w:r>
      <w:r w:rsidRPr="00212D57">
        <w:rPr>
          <w:szCs w:val="22"/>
        </w:rPr>
        <w:t>，</w:t>
      </w:r>
      <w:r w:rsidRPr="00761EF3">
        <w:rPr>
          <w:szCs w:val="22"/>
        </w:rPr>
        <w:t>736c27</w:t>
      </w:r>
      <w:r w:rsidRPr="00212D57">
        <w:rPr>
          <w:szCs w:val="22"/>
        </w:rPr>
        <w:t>-</w:t>
      </w:r>
      <w:r w:rsidRPr="00761EF3">
        <w:rPr>
          <w:szCs w:val="22"/>
        </w:rPr>
        <w:t>738a2</w:t>
      </w:r>
      <w:r w:rsidRPr="00212D57">
        <w:rPr>
          <w:szCs w:val="22"/>
        </w:rPr>
        <w:t>）</w:t>
      </w:r>
      <w:r w:rsidRPr="00212D57">
        <w:rPr>
          <w:rFonts w:hint="eastAsia"/>
          <w:szCs w:val="22"/>
        </w:rPr>
        <w:t>。</w:t>
      </w:r>
    </w:p>
    <w:p w:rsidR="00157EF6" w:rsidRPr="00212D57" w:rsidRDefault="00157EF6" w:rsidP="002B682F">
      <w:pPr>
        <w:pStyle w:val="a5"/>
        <w:ind w:leftChars="105" w:left="79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w:t>
      </w:r>
      <w:r w:rsidR="009160B5">
        <w:rPr>
          <w:szCs w:val="22"/>
        </w:rPr>
        <w:t>參見：印</w:t>
      </w:r>
      <w:r w:rsidRPr="00212D57">
        <w:rPr>
          <w:szCs w:val="22"/>
        </w:rPr>
        <w:t>順法師，《空之探究》</w:t>
      </w:r>
      <w:r w:rsidRPr="00212D57">
        <w:rPr>
          <w:rFonts w:hint="eastAsia"/>
          <w:szCs w:val="22"/>
        </w:rPr>
        <w:t>，</w:t>
      </w:r>
      <w:r w:rsidRPr="00212D57">
        <w:rPr>
          <w:szCs w:val="22"/>
        </w:rPr>
        <w:t>第</w:t>
      </w:r>
      <w:r w:rsidRPr="00761EF3">
        <w:rPr>
          <w:rFonts w:hint="eastAsia"/>
          <w:szCs w:val="22"/>
        </w:rPr>
        <w:t>1</w:t>
      </w:r>
      <w:r w:rsidRPr="00212D57">
        <w:rPr>
          <w:szCs w:val="22"/>
        </w:rPr>
        <w:t>章</w:t>
      </w:r>
      <w:r w:rsidRPr="00212D57">
        <w:rPr>
          <w:rFonts w:ascii="新細明體" w:hAnsi="新細明體" w:cs="新細明體" w:hint="eastAsia"/>
          <w:szCs w:val="22"/>
        </w:rPr>
        <w:t>，</w:t>
      </w:r>
      <w:r w:rsidRPr="00212D57">
        <w:rPr>
          <w:szCs w:val="22"/>
        </w:rPr>
        <w:t>第</w:t>
      </w:r>
      <w:r w:rsidRPr="00761EF3">
        <w:rPr>
          <w:rFonts w:hint="eastAsia"/>
          <w:szCs w:val="22"/>
        </w:rPr>
        <w:t>7</w:t>
      </w:r>
      <w:r w:rsidRPr="00212D57">
        <w:rPr>
          <w:szCs w:val="22"/>
        </w:rPr>
        <w:t>節〈空與空性〉</w:t>
      </w:r>
      <w:r w:rsidRPr="00212D57">
        <w:rPr>
          <w:rFonts w:hint="eastAsia"/>
          <w:szCs w:val="22"/>
        </w:rPr>
        <w:t>，</w:t>
      </w:r>
      <w:r w:rsidRPr="00761EF3">
        <w:rPr>
          <w:szCs w:val="22"/>
        </w:rPr>
        <w:t>pp</w:t>
      </w:r>
      <w:r w:rsidRPr="00212D57">
        <w:rPr>
          <w:szCs w:val="22"/>
        </w:rPr>
        <w:t>.</w:t>
      </w:r>
      <w:r w:rsidRPr="00761EF3">
        <w:rPr>
          <w:szCs w:val="22"/>
        </w:rPr>
        <w:t>47</w:t>
      </w:r>
      <w:r w:rsidRPr="00212D57">
        <w:rPr>
          <w:szCs w:val="22"/>
        </w:rPr>
        <w:t>-</w:t>
      </w:r>
      <w:r w:rsidRPr="00761EF3">
        <w:rPr>
          <w:szCs w:val="22"/>
        </w:rPr>
        <w:t>50</w:t>
      </w:r>
      <w:r w:rsidRPr="00212D57">
        <w:rPr>
          <w:szCs w:val="22"/>
        </w:rPr>
        <w:t>。</w:t>
      </w:r>
    </w:p>
  </w:footnote>
  <w:footnote w:id="394">
    <w:p w:rsidR="00A04018" w:rsidRPr="00212D57" w:rsidRDefault="00A04018" w:rsidP="00A04018">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rFonts w:hint="eastAsia"/>
          <w:szCs w:val="22"/>
        </w:rPr>
        <w:t>〔唐〕實叉難陀譯，</w:t>
      </w:r>
      <w:r w:rsidRPr="00212D57">
        <w:rPr>
          <w:szCs w:val="22"/>
        </w:rPr>
        <w:t>《大乘入楞伽經》卷</w:t>
      </w:r>
      <w:r w:rsidRPr="00761EF3">
        <w:rPr>
          <w:szCs w:val="22"/>
        </w:rPr>
        <w:t>2</w:t>
      </w:r>
      <w:r w:rsidRPr="00212D57">
        <w:rPr>
          <w:szCs w:val="22"/>
        </w:rPr>
        <w:t>（大正</w:t>
      </w:r>
      <w:r w:rsidRPr="00761EF3">
        <w:rPr>
          <w:szCs w:val="22"/>
        </w:rPr>
        <w:t>16</w:t>
      </w:r>
      <w:r w:rsidRPr="00212D57">
        <w:rPr>
          <w:szCs w:val="22"/>
        </w:rPr>
        <w:t>，</w:t>
      </w:r>
      <w:r w:rsidRPr="00761EF3">
        <w:rPr>
          <w:szCs w:val="22"/>
        </w:rPr>
        <w:t>599a8</w:t>
      </w:r>
      <w:r w:rsidRPr="00212D57">
        <w:rPr>
          <w:szCs w:val="22"/>
        </w:rPr>
        <w:t>-</w:t>
      </w:r>
      <w:r w:rsidRPr="00761EF3">
        <w:rPr>
          <w:szCs w:val="22"/>
        </w:rPr>
        <w:t>1</w:t>
      </w:r>
      <w:r>
        <w:rPr>
          <w:rFonts w:hint="eastAsia"/>
          <w:color w:val="FF0000"/>
          <w:szCs w:val="22"/>
          <w:highlight w:val="yellow"/>
        </w:rPr>
        <w:t>5</w:t>
      </w:r>
      <w:r w:rsidRPr="00212D57">
        <w:rPr>
          <w:szCs w:val="22"/>
        </w:rPr>
        <w:t>）：</w:t>
      </w:r>
    </w:p>
    <w:p w:rsidR="00A04018" w:rsidRPr="00212D57" w:rsidRDefault="00A04018" w:rsidP="00A04018">
      <w:pPr>
        <w:pStyle w:val="a5"/>
        <w:ind w:leftChars="105" w:left="252"/>
        <w:jc w:val="both"/>
        <w:rPr>
          <w:rFonts w:ascii="標楷體" w:eastAsia="標楷體" w:hAnsi="標楷體"/>
          <w:szCs w:val="22"/>
        </w:rPr>
      </w:pPr>
      <w:r w:rsidRPr="00212D57">
        <w:rPr>
          <w:rFonts w:ascii="標楷體" w:eastAsia="標楷體" w:hAnsi="標楷體"/>
          <w:szCs w:val="22"/>
        </w:rPr>
        <w:t>云何</w:t>
      </w:r>
      <w:r w:rsidR="003A4B1B">
        <w:rPr>
          <w:rFonts w:ascii="標楷體" w:eastAsia="標楷體" w:hAnsi="標楷體" w:hint="eastAsia"/>
          <w:bCs/>
          <w:color w:val="FF0000"/>
          <w:kern w:val="0"/>
          <w:highlight w:val="yellow"/>
        </w:rPr>
        <w:t>「</w:t>
      </w:r>
      <w:r w:rsidRPr="00212D57">
        <w:rPr>
          <w:rFonts w:ascii="標楷體" w:eastAsia="標楷體" w:hAnsi="標楷體"/>
          <w:b/>
          <w:szCs w:val="22"/>
        </w:rPr>
        <w:t>彼彼空</w:t>
      </w:r>
      <w:r w:rsidR="003A4B1B">
        <w:rPr>
          <w:rFonts w:ascii="標楷體" w:eastAsia="標楷體" w:hAnsi="標楷體" w:hint="eastAsia"/>
          <w:bCs/>
          <w:color w:val="FF0000"/>
          <w:kern w:val="0"/>
          <w:highlight w:val="yellow"/>
        </w:rPr>
        <w:t>」</w:t>
      </w:r>
      <w:r w:rsidRPr="00212D57">
        <w:rPr>
          <w:rFonts w:ascii="標楷體" w:eastAsia="標楷體" w:hAnsi="標楷體"/>
          <w:szCs w:val="22"/>
        </w:rPr>
        <w:t>？謂於此無彼，是名彼彼空。譬如鹿子母堂無象、馬、牛、羊等，我說彼堂空</w:t>
      </w:r>
      <w:r w:rsidRPr="00212D57">
        <w:rPr>
          <w:rFonts w:ascii="標楷體" w:eastAsia="標楷體" w:hAnsi="標楷體" w:hint="eastAsia"/>
          <w:szCs w:val="22"/>
        </w:rPr>
        <w:t>，</w:t>
      </w:r>
      <w:r w:rsidRPr="00212D57">
        <w:rPr>
          <w:rFonts w:ascii="標楷體" w:eastAsia="標楷體" w:hAnsi="標楷體"/>
          <w:szCs w:val="22"/>
        </w:rPr>
        <w:t>非無比丘眾。大慧！非謂堂無堂自性，非謂比丘無比丘自性，非謂餘處無象、馬、牛、羊。大慧！一切諸法自共相，彼彼求不可得，是故說名</w:t>
      </w:r>
      <w:r w:rsidR="003A4B1B">
        <w:rPr>
          <w:rFonts w:ascii="標楷體" w:eastAsia="標楷體" w:hAnsi="標楷體" w:hint="eastAsia"/>
          <w:bCs/>
          <w:color w:val="FF0000"/>
          <w:kern w:val="0"/>
          <w:highlight w:val="yellow"/>
        </w:rPr>
        <w:t>「</w:t>
      </w:r>
      <w:r w:rsidRPr="00212D57">
        <w:rPr>
          <w:rFonts w:ascii="標楷體" w:eastAsia="標楷體" w:hAnsi="標楷體"/>
          <w:szCs w:val="22"/>
        </w:rPr>
        <w:t>彼彼空</w:t>
      </w:r>
      <w:r w:rsidR="003A4B1B">
        <w:rPr>
          <w:rFonts w:ascii="標楷體" w:eastAsia="標楷體" w:hAnsi="標楷體" w:hint="eastAsia"/>
          <w:bCs/>
          <w:color w:val="FF0000"/>
          <w:kern w:val="0"/>
          <w:highlight w:val="yellow"/>
        </w:rPr>
        <w:t>」</w:t>
      </w:r>
      <w:r w:rsidRPr="00212D57">
        <w:rPr>
          <w:rFonts w:ascii="標楷體" w:eastAsia="標楷體" w:hAnsi="標楷體"/>
          <w:szCs w:val="22"/>
        </w:rPr>
        <w:t>。</w:t>
      </w:r>
      <w:r w:rsidRPr="00A04018">
        <w:rPr>
          <w:rFonts w:ascii="標楷體" w:eastAsia="標楷體" w:hAnsi="標楷體" w:hint="eastAsia"/>
          <w:color w:val="FF0000"/>
          <w:szCs w:val="22"/>
          <w:shd w:val="pct15" w:color="auto" w:fill="FFFFFF"/>
        </w:rPr>
        <w:t>……</w:t>
      </w:r>
      <w:r w:rsidRPr="00A04018">
        <w:rPr>
          <w:rFonts w:ascii="標楷體" w:eastAsia="標楷體" w:hAnsi="標楷體" w:hint="eastAsia"/>
          <w:color w:val="FF0000"/>
          <w:szCs w:val="22"/>
          <w:highlight w:val="yellow"/>
        </w:rPr>
        <w:t>大慧！此彼彼空，空中最麁，汝應遠離。</w:t>
      </w:r>
      <w:r w:rsidRPr="00A04018">
        <w:rPr>
          <w:rFonts w:ascii="標楷體" w:eastAsia="標楷體" w:hAnsi="標楷體" w:hint="eastAsia"/>
          <w:szCs w:val="22"/>
        </w:rPr>
        <w:t>」</w:t>
      </w:r>
    </w:p>
  </w:footnote>
  <w:footnote w:id="395">
    <w:p w:rsidR="00157EF6" w:rsidRPr="00212D57" w:rsidRDefault="00157EF6" w:rsidP="00C84C6A">
      <w:pPr>
        <w:pStyle w:val="a5"/>
        <w:spacing w:line="300" w:lineRule="exac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《雜阿含經》卷</w:t>
      </w:r>
      <w:r w:rsidRPr="00761EF3">
        <w:rPr>
          <w:szCs w:val="22"/>
        </w:rPr>
        <w:t>9</w:t>
      </w:r>
      <w:r w:rsidRPr="00212D57">
        <w:rPr>
          <w:szCs w:val="22"/>
        </w:rPr>
        <w:t>（</w:t>
      </w:r>
      <w:r w:rsidRPr="00761EF3">
        <w:rPr>
          <w:szCs w:val="22"/>
        </w:rPr>
        <w:t>232</w:t>
      </w:r>
      <w:r w:rsidRPr="00212D57">
        <w:rPr>
          <w:szCs w:val="22"/>
        </w:rPr>
        <w:t>經）（大正</w:t>
      </w:r>
      <w:r w:rsidRPr="00761EF3">
        <w:rPr>
          <w:szCs w:val="22"/>
        </w:rPr>
        <w:t>2</w:t>
      </w:r>
      <w:r w:rsidRPr="00212D57">
        <w:rPr>
          <w:szCs w:val="22"/>
        </w:rPr>
        <w:t>，</w:t>
      </w:r>
      <w:r w:rsidRPr="00761EF3">
        <w:rPr>
          <w:szCs w:val="22"/>
        </w:rPr>
        <w:t>56b24</w:t>
      </w:r>
      <w:r w:rsidRPr="00212D57">
        <w:rPr>
          <w:szCs w:val="22"/>
        </w:rPr>
        <w:t>-</w:t>
      </w:r>
      <w:r w:rsidRPr="00761EF3">
        <w:rPr>
          <w:szCs w:val="22"/>
        </w:rPr>
        <w:t>26</w:t>
      </w:r>
      <w:r w:rsidRPr="00212D57">
        <w:rPr>
          <w:szCs w:val="22"/>
        </w:rPr>
        <w:t>）：</w:t>
      </w:r>
    </w:p>
    <w:p w:rsidR="00157EF6" w:rsidRPr="00212D57" w:rsidRDefault="00157EF6" w:rsidP="00C84C6A">
      <w:pPr>
        <w:pStyle w:val="a5"/>
        <w:spacing w:line="300" w:lineRule="exact"/>
        <w:ind w:leftChars="105" w:left="252"/>
        <w:jc w:val="both"/>
        <w:rPr>
          <w:rFonts w:ascii="標楷體" w:eastAsia="標楷體" w:hAnsi="標楷體"/>
          <w:szCs w:val="22"/>
        </w:rPr>
      </w:pPr>
      <w:r w:rsidRPr="00212D57">
        <w:rPr>
          <w:rFonts w:ascii="標楷體" w:eastAsia="標楷體" w:hAnsi="標楷體"/>
          <w:szCs w:val="22"/>
        </w:rPr>
        <w:t>佛告三彌離提：</w:t>
      </w:r>
      <w:r w:rsidRPr="00212D57">
        <w:rPr>
          <w:rFonts w:ascii="標楷體" w:eastAsia="標楷體" w:hAnsi="標楷體" w:hint="eastAsia"/>
          <w:szCs w:val="22"/>
        </w:rPr>
        <w:t>「</w:t>
      </w:r>
      <w:r w:rsidRPr="00212D57">
        <w:rPr>
          <w:rFonts w:ascii="標楷體" w:eastAsia="標楷體" w:hAnsi="標楷體"/>
          <w:szCs w:val="22"/>
        </w:rPr>
        <w:t>眼空，常、恒、不變易法空，我所空。所以者何？此性自爾。</w:t>
      </w:r>
      <w:r w:rsidRPr="00212D57">
        <w:rPr>
          <w:szCs w:val="22"/>
        </w:rPr>
        <w:t>」</w:t>
      </w:r>
    </w:p>
  </w:footnote>
  <w:footnote w:id="396">
    <w:p w:rsidR="00157EF6" w:rsidRPr="00212D57" w:rsidRDefault="00157EF6" w:rsidP="00C84C6A">
      <w:pPr>
        <w:pStyle w:val="a5"/>
        <w:spacing w:line="300" w:lineRule="exact"/>
        <w:ind w:left="253" w:hangingChars="115" w:hanging="253"/>
        <w:jc w:val="both"/>
        <w:rPr>
          <w:szCs w:val="22"/>
        </w:rPr>
      </w:pPr>
      <w:r w:rsidRPr="00212D57">
        <w:rPr>
          <w:rStyle w:val="a6"/>
          <w:szCs w:val="22"/>
        </w:rPr>
        <w:footnoteRef/>
      </w:r>
      <w:r w:rsidRPr="00212D57">
        <w:rPr>
          <w:rFonts w:hint="eastAsia"/>
          <w:szCs w:val="22"/>
        </w:rPr>
        <w:t xml:space="preserve"> </w:t>
      </w:r>
      <w:r w:rsidRPr="00212D57">
        <w:rPr>
          <w:rFonts w:hint="eastAsia"/>
          <w:szCs w:val="22"/>
        </w:rPr>
        <w:t>印順法師，《性空學探源》，</w:t>
      </w:r>
      <w:r w:rsidRPr="00761EF3">
        <w:rPr>
          <w:rFonts w:hint="eastAsia"/>
          <w:szCs w:val="22"/>
        </w:rPr>
        <w:t>pp</w:t>
      </w:r>
      <w:r w:rsidRPr="00212D57">
        <w:rPr>
          <w:rFonts w:hint="eastAsia"/>
          <w:szCs w:val="22"/>
        </w:rPr>
        <w:t>.</w:t>
      </w:r>
      <w:r w:rsidRPr="00761EF3">
        <w:rPr>
          <w:rFonts w:hint="eastAsia"/>
          <w:szCs w:val="22"/>
        </w:rPr>
        <w:t>23</w:t>
      </w:r>
      <w:r w:rsidRPr="00212D57">
        <w:rPr>
          <w:rFonts w:hint="eastAsia"/>
          <w:szCs w:val="22"/>
        </w:rPr>
        <w:t>-</w:t>
      </w:r>
      <w:r w:rsidRPr="00761EF3">
        <w:rPr>
          <w:rFonts w:hint="eastAsia"/>
          <w:szCs w:val="22"/>
        </w:rPr>
        <w:t>24</w:t>
      </w:r>
      <w:r w:rsidRPr="00212D57">
        <w:rPr>
          <w:rFonts w:hint="eastAsia"/>
          <w:szCs w:val="22"/>
        </w:rPr>
        <w:t>：</w:t>
      </w:r>
    </w:p>
    <w:p w:rsidR="00157EF6" w:rsidRPr="00212D57" w:rsidRDefault="00157EF6" w:rsidP="00C84C6A">
      <w:pPr>
        <w:pStyle w:val="a5"/>
        <w:spacing w:line="300" w:lineRule="exact"/>
        <w:ind w:leftChars="105" w:left="252"/>
        <w:jc w:val="both"/>
        <w:rPr>
          <w:szCs w:val="22"/>
        </w:rPr>
      </w:pPr>
      <w:r w:rsidRPr="00212D57">
        <w:rPr>
          <w:rFonts w:ascii="標楷體" w:eastAsia="標楷體" w:hAnsi="標楷體" w:hint="eastAsia"/>
          <w:szCs w:val="22"/>
        </w:rPr>
        <w:t>中道立場所說的「此有故彼有」的緣起法，經中說是「俗數法」，是就世間一切因果生滅的假名因緣建立的。即假名緣起以離我我所、常斷、有無、一異等邪見。因離執而悟入的，是第一義空，故《中論》說：「大聖說空法，為離諸見故。」緣起生滅法是俗數假名法，於中能離諸錯亂，便是第一義空。是正確不顛倒的世俗諦，能即此緣起法以顯示第一義諦，所以稱為中道</w:t>
      </w:r>
      <w:r w:rsidRPr="00212D57">
        <w:rPr>
          <w:rFonts w:hint="eastAsia"/>
          <w:szCs w:val="22"/>
        </w:rPr>
        <w:t>。</w:t>
      </w:r>
    </w:p>
  </w:footnote>
  <w:footnote w:id="397">
    <w:p w:rsidR="00157EF6" w:rsidRPr="00212D57" w:rsidRDefault="00157EF6" w:rsidP="00C84C6A">
      <w:pPr>
        <w:pStyle w:val="a5"/>
        <w:spacing w:line="300" w:lineRule="exac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212D57">
        <w:rPr>
          <w:szCs w:val="22"/>
        </w:rPr>
        <w:t>《雜阿含經》卷</w:t>
      </w:r>
      <w:r w:rsidRPr="00761EF3">
        <w:rPr>
          <w:szCs w:val="22"/>
        </w:rPr>
        <w:t>13</w:t>
      </w:r>
      <w:r w:rsidRPr="00212D57">
        <w:rPr>
          <w:szCs w:val="22"/>
        </w:rPr>
        <w:t>（</w:t>
      </w:r>
      <w:r w:rsidRPr="00761EF3">
        <w:rPr>
          <w:szCs w:val="22"/>
        </w:rPr>
        <w:t>335</w:t>
      </w:r>
      <w:r w:rsidRPr="00212D57">
        <w:rPr>
          <w:szCs w:val="22"/>
        </w:rPr>
        <w:t>經）《勝義空經》（大正</w:t>
      </w:r>
      <w:r w:rsidRPr="00761EF3">
        <w:rPr>
          <w:szCs w:val="22"/>
        </w:rPr>
        <w:t>2</w:t>
      </w:r>
      <w:r w:rsidRPr="00212D57">
        <w:rPr>
          <w:szCs w:val="22"/>
        </w:rPr>
        <w:t>，</w:t>
      </w:r>
      <w:r w:rsidRPr="00761EF3">
        <w:rPr>
          <w:szCs w:val="22"/>
        </w:rPr>
        <w:t>92c16</w:t>
      </w:r>
      <w:r w:rsidRPr="00212D57">
        <w:rPr>
          <w:szCs w:val="22"/>
        </w:rPr>
        <w:t>-</w:t>
      </w:r>
      <w:r w:rsidRPr="00761EF3">
        <w:rPr>
          <w:szCs w:val="22"/>
        </w:rPr>
        <w:t>24</w:t>
      </w:r>
      <w:r w:rsidRPr="00212D57">
        <w:rPr>
          <w:szCs w:val="22"/>
        </w:rPr>
        <w:t>）：</w:t>
      </w:r>
    </w:p>
    <w:p w:rsidR="00157EF6" w:rsidRPr="00212D57" w:rsidRDefault="00157EF6" w:rsidP="00C84C6A">
      <w:pPr>
        <w:pStyle w:val="a5"/>
        <w:spacing w:line="300" w:lineRule="exact"/>
        <w:ind w:leftChars="330" w:left="792"/>
        <w:jc w:val="both"/>
        <w:rPr>
          <w:rFonts w:ascii="標楷體" w:eastAsia="標楷體" w:hAnsi="標楷體"/>
          <w:szCs w:val="22"/>
        </w:rPr>
      </w:pPr>
      <w:r w:rsidRPr="00212D57">
        <w:rPr>
          <w:rFonts w:ascii="標楷體" w:eastAsia="標楷體" w:hAnsi="標楷體"/>
          <w:szCs w:val="22"/>
        </w:rPr>
        <w:t>云何為</w:t>
      </w:r>
      <w:r w:rsidR="00F72B25">
        <w:rPr>
          <w:rFonts w:ascii="標楷體" w:eastAsia="標楷體" w:hAnsi="標楷體" w:hint="eastAsia"/>
          <w:bCs/>
          <w:color w:val="FF0000"/>
          <w:kern w:val="0"/>
          <w:highlight w:val="yellow"/>
        </w:rPr>
        <w:t>「</w:t>
      </w:r>
      <w:r w:rsidRPr="00212D57">
        <w:rPr>
          <w:rFonts w:ascii="標楷體" w:eastAsia="標楷體" w:hAnsi="標楷體"/>
          <w:szCs w:val="22"/>
        </w:rPr>
        <w:t>第一義空經</w:t>
      </w:r>
      <w:r w:rsidR="00F72B25">
        <w:rPr>
          <w:rFonts w:ascii="標楷體" w:eastAsia="標楷體" w:hAnsi="標楷體" w:hint="eastAsia"/>
          <w:bCs/>
          <w:color w:val="FF0000"/>
          <w:kern w:val="0"/>
          <w:highlight w:val="yellow"/>
        </w:rPr>
        <w:t>」</w:t>
      </w:r>
      <w:r w:rsidRPr="00212D57">
        <w:rPr>
          <w:rFonts w:ascii="標楷體" w:eastAsia="標楷體" w:hAnsi="標楷體"/>
          <w:szCs w:val="22"/>
        </w:rPr>
        <w:t>？諸比丘！眼生時無有來處，滅時無有去處</w:t>
      </w:r>
      <w:r w:rsidR="00F72B25">
        <w:rPr>
          <w:rFonts w:ascii="標楷體" w:eastAsia="標楷體" w:hAnsi="標楷體" w:hint="eastAsia"/>
          <w:color w:val="FF0000"/>
          <w:spacing w:val="-4"/>
          <w:kern w:val="0"/>
          <w:highlight w:val="yellow"/>
        </w:rPr>
        <w:t>；</w:t>
      </w:r>
      <w:r w:rsidRPr="00212D57">
        <w:rPr>
          <w:rFonts w:ascii="標楷體" w:eastAsia="標楷體" w:hAnsi="標楷體"/>
          <w:szCs w:val="22"/>
        </w:rPr>
        <w:t>如是眼不實而生，生已盡滅</w:t>
      </w:r>
      <w:r w:rsidR="00F72B25">
        <w:rPr>
          <w:rFonts w:ascii="標楷體" w:eastAsia="標楷體" w:hAnsi="標楷體" w:hint="eastAsia"/>
          <w:color w:val="FF0000"/>
          <w:spacing w:val="-4"/>
          <w:kern w:val="0"/>
          <w:highlight w:val="yellow"/>
        </w:rPr>
        <w:t>；</w:t>
      </w:r>
      <w:r w:rsidRPr="00212D57">
        <w:rPr>
          <w:rFonts w:ascii="標楷體" w:eastAsia="標楷體" w:hAnsi="標楷體"/>
          <w:szCs w:val="22"/>
        </w:rPr>
        <w:t>有業報而無作者</w:t>
      </w:r>
      <w:r w:rsidR="00F72B25">
        <w:rPr>
          <w:rFonts w:ascii="標楷體" w:eastAsia="標楷體" w:hAnsi="標楷體" w:hint="eastAsia"/>
          <w:color w:val="FF0000"/>
          <w:spacing w:val="-4"/>
          <w:kern w:val="0"/>
          <w:highlight w:val="yellow"/>
        </w:rPr>
        <w:t>；</w:t>
      </w:r>
      <w:r w:rsidRPr="00212D57">
        <w:rPr>
          <w:rFonts w:ascii="標楷體" w:eastAsia="標楷體" w:hAnsi="標楷體"/>
          <w:szCs w:val="22"/>
        </w:rPr>
        <w:t>此陰滅已，異陰相續，除俗數法</w:t>
      </w:r>
      <w:r w:rsidR="00F72B25">
        <w:rPr>
          <w:rFonts w:eastAsia="標楷體" w:hint="eastAsia"/>
          <w:color w:val="FF0000"/>
          <w:szCs w:val="22"/>
          <w:highlight w:val="yellow"/>
        </w:rPr>
        <w:t>。</w:t>
      </w:r>
      <w:r w:rsidRPr="00212D57">
        <w:rPr>
          <w:rFonts w:ascii="標楷體" w:eastAsia="標楷體" w:hAnsi="標楷體"/>
          <w:szCs w:val="22"/>
        </w:rPr>
        <w:t>耳、鼻、舌、身、意</w:t>
      </w:r>
      <w:r w:rsidR="00F72B25">
        <w:rPr>
          <w:rFonts w:ascii="標楷體" w:eastAsia="標楷體" w:hAnsi="標楷體" w:hint="eastAsia"/>
          <w:color w:val="FF0000"/>
          <w:kern w:val="0"/>
          <w:highlight w:val="yellow"/>
        </w:rPr>
        <w:t>，</w:t>
      </w:r>
      <w:r w:rsidRPr="00212D57">
        <w:rPr>
          <w:rFonts w:ascii="標楷體" w:eastAsia="標楷體" w:hAnsi="標楷體"/>
          <w:szCs w:val="22"/>
        </w:rPr>
        <w:t>亦如是說，除俗數法。</w:t>
      </w:r>
      <w:r w:rsidR="00F72B25">
        <w:rPr>
          <w:rFonts w:ascii="標楷體" w:eastAsia="標楷體" w:hAnsi="標楷體" w:hint="eastAsia"/>
          <w:bCs/>
          <w:color w:val="FF0000"/>
          <w:kern w:val="0"/>
          <w:highlight w:val="yellow"/>
        </w:rPr>
        <w:t>「</w:t>
      </w:r>
      <w:r w:rsidRPr="00212D57">
        <w:rPr>
          <w:rFonts w:ascii="標楷體" w:eastAsia="標楷體" w:hAnsi="標楷體"/>
          <w:szCs w:val="22"/>
        </w:rPr>
        <w:t>俗數法</w:t>
      </w:r>
      <w:r w:rsidR="00F72B25">
        <w:rPr>
          <w:rFonts w:ascii="標楷體" w:eastAsia="標楷體" w:hAnsi="標楷體" w:hint="eastAsia"/>
          <w:bCs/>
          <w:color w:val="FF0000"/>
          <w:kern w:val="0"/>
          <w:highlight w:val="yellow"/>
        </w:rPr>
        <w:t>」</w:t>
      </w:r>
      <w:r w:rsidRPr="00212D57">
        <w:rPr>
          <w:rFonts w:ascii="標楷體" w:eastAsia="標楷體" w:hAnsi="標楷體"/>
          <w:szCs w:val="22"/>
        </w:rPr>
        <w:t>者</w:t>
      </w:r>
      <w:r w:rsidRPr="00212D57">
        <w:rPr>
          <w:rFonts w:ascii="標楷體" w:eastAsia="標楷體" w:hAnsi="標楷體" w:hint="eastAsia"/>
          <w:szCs w:val="22"/>
        </w:rPr>
        <w:t>，</w:t>
      </w:r>
      <w:r w:rsidRPr="00212D57">
        <w:rPr>
          <w:rFonts w:ascii="標楷體" w:eastAsia="標楷體" w:hAnsi="標楷體"/>
          <w:szCs w:val="22"/>
        </w:rPr>
        <w:t>謂</w:t>
      </w:r>
      <w:r w:rsidR="00F72B25">
        <w:rPr>
          <w:rFonts w:ascii="標楷體" w:eastAsia="標楷體" w:hAnsi="標楷體" w:hint="eastAsia"/>
          <w:bCs/>
          <w:color w:val="FF0000"/>
          <w:kern w:val="0"/>
          <w:highlight w:val="yellow"/>
        </w:rPr>
        <w:t>「</w:t>
      </w:r>
      <w:r w:rsidRPr="00212D57">
        <w:rPr>
          <w:rFonts w:ascii="標楷體" w:eastAsia="標楷體" w:hAnsi="標楷體"/>
          <w:szCs w:val="22"/>
        </w:rPr>
        <w:t>此有故彼有，此起故彼起</w:t>
      </w:r>
      <w:r w:rsidR="00F72B25">
        <w:rPr>
          <w:rFonts w:ascii="標楷體" w:eastAsia="標楷體" w:hAnsi="標楷體" w:hint="eastAsia"/>
          <w:bCs/>
          <w:color w:val="FF0000"/>
          <w:kern w:val="0"/>
          <w:highlight w:val="yellow"/>
        </w:rPr>
        <w:t>」</w:t>
      </w:r>
      <w:r w:rsidRPr="00212D57">
        <w:rPr>
          <w:rFonts w:ascii="標楷體" w:eastAsia="標楷體" w:hAnsi="標楷體"/>
          <w:szCs w:val="22"/>
        </w:rPr>
        <w:t>，如無明緣行，行緣識，廣說乃至純大苦聚集起</w:t>
      </w:r>
      <w:r w:rsidR="00F72B25">
        <w:rPr>
          <w:rFonts w:ascii="標楷體" w:eastAsia="標楷體" w:hAnsi="標楷體" w:hint="eastAsia"/>
          <w:color w:val="FF0000"/>
          <w:spacing w:val="-4"/>
          <w:kern w:val="0"/>
          <w:highlight w:val="yellow"/>
        </w:rPr>
        <w:t>；</w:t>
      </w:r>
      <w:r w:rsidRPr="00212D57">
        <w:rPr>
          <w:rFonts w:ascii="標楷體" w:eastAsia="標楷體" w:hAnsi="標楷體"/>
          <w:szCs w:val="22"/>
        </w:rPr>
        <w:t>又復</w:t>
      </w:r>
      <w:r w:rsidR="00F72B25">
        <w:rPr>
          <w:rFonts w:ascii="標楷體" w:eastAsia="標楷體" w:hAnsi="標楷體" w:hint="eastAsia"/>
          <w:bCs/>
          <w:color w:val="FF0000"/>
          <w:kern w:val="0"/>
          <w:highlight w:val="yellow"/>
        </w:rPr>
        <w:t>「</w:t>
      </w:r>
      <w:r w:rsidRPr="00212D57">
        <w:rPr>
          <w:rFonts w:ascii="標楷體" w:eastAsia="標楷體" w:hAnsi="標楷體"/>
          <w:szCs w:val="22"/>
        </w:rPr>
        <w:t>此無故彼無，此滅故彼滅</w:t>
      </w:r>
      <w:r w:rsidR="00F72B25">
        <w:rPr>
          <w:rFonts w:ascii="標楷體" w:eastAsia="標楷體" w:hAnsi="標楷體" w:hint="eastAsia"/>
          <w:bCs/>
          <w:color w:val="FF0000"/>
          <w:kern w:val="0"/>
          <w:highlight w:val="yellow"/>
        </w:rPr>
        <w:t>」</w:t>
      </w:r>
      <w:r w:rsidRPr="00212D57">
        <w:rPr>
          <w:rFonts w:ascii="標楷體" w:eastAsia="標楷體" w:hAnsi="標楷體"/>
          <w:szCs w:val="22"/>
        </w:rPr>
        <w:t>，無明滅故行滅，行滅故識滅</w:t>
      </w:r>
      <w:r w:rsidR="00F72B25">
        <w:rPr>
          <w:rFonts w:ascii="標楷體" w:eastAsia="標楷體" w:hAnsi="標楷體" w:hint="eastAsia"/>
          <w:color w:val="FF0000"/>
          <w:kern w:val="0"/>
          <w:highlight w:val="yellow"/>
        </w:rPr>
        <w:t>，</w:t>
      </w:r>
      <w:r w:rsidRPr="00212D57">
        <w:rPr>
          <w:rFonts w:ascii="標楷體" w:eastAsia="標楷體" w:hAnsi="標楷體"/>
          <w:szCs w:val="22"/>
        </w:rPr>
        <w:t>如是廣說，乃至純大苦聚滅。</w:t>
      </w:r>
    </w:p>
    <w:p w:rsidR="00157EF6" w:rsidRPr="00212D57" w:rsidRDefault="00157EF6" w:rsidP="00C84C6A">
      <w:pPr>
        <w:pStyle w:val="a5"/>
        <w:spacing w:line="300" w:lineRule="exact"/>
        <w:ind w:leftChars="105" w:left="79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w:t>
      </w:r>
      <w:r w:rsidR="009160B5">
        <w:rPr>
          <w:szCs w:val="22"/>
        </w:rPr>
        <w:t>參見：印</w:t>
      </w:r>
      <w:r w:rsidRPr="00212D57">
        <w:rPr>
          <w:rFonts w:hint="eastAsia"/>
          <w:szCs w:val="22"/>
        </w:rPr>
        <w:t>順法師，</w:t>
      </w:r>
      <w:r w:rsidRPr="00212D57">
        <w:rPr>
          <w:szCs w:val="22"/>
        </w:rPr>
        <w:t>《空之探究》</w:t>
      </w:r>
      <w:r w:rsidRPr="00212D57">
        <w:rPr>
          <w:rFonts w:hint="eastAsia"/>
          <w:szCs w:val="22"/>
        </w:rPr>
        <w:t>，</w:t>
      </w:r>
      <w:r w:rsidRPr="00212D57">
        <w:rPr>
          <w:szCs w:val="22"/>
        </w:rPr>
        <w:t>第</w:t>
      </w:r>
      <w:r w:rsidRPr="00761EF3">
        <w:rPr>
          <w:rFonts w:hint="eastAsia"/>
          <w:szCs w:val="22"/>
        </w:rPr>
        <w:t>2</w:t>
      </w:r>
      <w:r w:rsidRPr="00212D57">
        <w:rPr>
          <w:szCs w:val="22"/>
        </w:rPr>
        <w:t>章</w:t>
      </w:r>
      <w:r w:rsidRPr="00212D57">
        <w:rPr>
          <w:rFonts w:hint="eastAsia"/>
          <w:szCs w:val="22"/>
        </w:rPr>
        <w:t>，</w:t>
      </w:r>
      <w:r w:rsidRPr="00212D57">
        <w:rPr>
          <w:szCs w:val="22"/>
        </w:rPr>
        <w:t>第</w:t>
      </w:r>
      <w:r w:rsidRPr="00761EF3">
        <w:rPr>
          <w:rFonts w:hint="eastAsia"/>
          <w:szCs w:val="22"/>
        </w:rPr>
        <w:t>1</w:t>
      </w:r>
      <w:r w:rsidRPr="00212D57">
        <w:rPr>
          <w:szCs w:val="22"/>
        </w:rPr>
        <w:t>節〈勝義空與大空〉</w:t>
      </w:r>
      <w:r w:rsidRPr="00212D57">
        <w:rPr>
          <w:rFonts w:hint="eastAsia"/>
          <w:szCs w:val="22"/>
        </w:rPr>
        <w:t>，</w:t>
      </w:r>
      <w:r w:rsidRPr="00761EF3">
        <w:rPr>
          <w:szCs w:val="22"/>
        </w:rPr>
        <w:t>pp</w:t>
      </w:r>
      <w:r w:rsidRPr="00212D57">
        <w:rPr>
          <w:szCs w:val="22"/>
        </w:rPr>
        <w:t>.</w:t>
      </w:r>
      <w:r w:rsidRPr="00761EF3">
        <w:rPr>
          <w:szCs w:val="22"/>
        </w:rPr>
        <w:t>81</w:t>
      </w:r>
      <w:r w:rsidRPr="00212D57">
        <w:rPr>
          <w:szCs w:val="22"/>
        </w:rPr>
        <w:t>-</w:t>
      </w:r>
      <w:r w:rsidRPr="00761EF3">
        <w:rPr>
          <w:szCs w:val="22"/>
        </w:rPr>
        <w:t>83</w:t>
      </w:r>
      <w:r w:rsidRPr="00212D57">
        <w:rPr>
          <w:szCs w:val="22"/>
        </w:rPr>
        <w:t>。</w:t>
      </w:r>
    </w:p>
  </w:footnote>
  <w:footnote w:id="398">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rFonts w:hint="eastAsia"/>
          <w:szCs w:val="22"/>
        </w:rPr>
        <w:t>護法等造，〔唐〕玄奘譯，</w:t>
      </w:r>
      <w:r w:rsidRPr="00212D57">
        <w:rPr>
          <w:szCs w:val="22"/>
        </w:rPr>
        <w:t>《成唯識論》卷</w:t>
      </w:r>
      <w:r w:rsidRPr="00761EF3">
        <w:rPr>
          <w:szCs w:val="22"/>
        </w:rPr>
        <w:t>1</w:t>
      </w:r>
      <w:r w:rsidR="001F62A7" w:rsidRPr="00212D57">
        <w:rPr>
          <w:szCs w:val="22"/>
        </w:rPr>
        <w:t>（大正</w:t>
      </w:r>
      <w:r w:rsidR="001F62A7" w:rsidRPr="00761EF3">
        <w:rPr>
          <w:szCs w:val="22"/>
        </w:rPr>
        <w:t>31</w:t>
      </w:r>
      <w:r w:rsidR="001F62A7" w:rsidRPr="00212D57">
        <w:rPr>
          <w:szCs w:val="22"/>
        </w:rPr>
        <w:t>，</w:t>
      </w:r>
      <w:r w:rsidR="001F62A7" w:rsidRPr="00761EF3">
        <w:rPr>
          <w:szCs w:val="22"/>
        </w:rPr>
        <w:t>6c24</w:t>
      </w:r>
      <w:r w:rsidR="001F62A7" w:rsidRPr="00212D57">
        <w:rPr>
          <w:szCs w:val="22"/>
        </w:rPr>
        <w:t>-</w:t>
      </w:r>
      <w:r w:rsidR="001F62A7" w:rsidRPr="00761EF3">
        <w:rPr>
          <w:szCs w:val="22"/>
        </w:rPr>
        <w:t>26</w:t>
      </w:r>
      <w:r w:rsidR="001F62A7" w:rsidRPr="00212D57">
        <w:rPr>
          <w:szCs w:val="22"/>
        </w:rPr>
        <w:t>）</w:t>
      </w:r>
      <w:r w:rsidRPr="00212D57">
        <w:rPr>
          <w:szCs w:val="22"/>
        </w:rPr>
        <w:t>：「</w:t>
      </w:r>
      <w:r w:rsidRPr="00212D57">
        <w:rPr>
          <w:rFonts w:ascii="標楷體" w:eastAsia="標楷體" w:hAnsi="標楷體"/>
          <w:szCs w:val="22"/>
        </w:rPr>
        <w:t>為遣妄執心</w:t>
      </w:r>
      <w:r w:rsidR="00D97234">
        <w:rPr>
          <w:rFonts w:ascii="標楷體" w:eastAsia="標楷體" w:hAnsi="標楷體" w:hint="eastAsia"/>
          <w:color w:val="FF0000"/>
          <w:kern w:val="0"/>
          <w:highlight w:val="yellow"/>
        </w:rPr>
        <w:t>.</w:t>
      </w:r>
      <w:r w:rsidRPr="00212D57">
        <w:rPr>
          <w:rFonts w:ascii="標楷體" w:eastAsia="標楷體" w:hAnsi="標楷體"/>
          <w:szCs w:val="22"/>
        </w:rPr>
        <w:t>心所外實有境故，說</w:t>
      </w:r>
      <w:r w:rsidR="00D97234">
        <w:rPr>
          <w:rFonts w:ascii="標楷體" w:eastAsia="標楷體" w:hAnsi="標楷體" w:hint="eastAsia"/>
          <w:color w:val="FF0000"/>
          <w:kern w:val="0"/>
          <w:highlight w:val="yellow"/>
        </w:rPr>
        <w:t>『</w:t>
      </w:r>
      <w:r w:rsidRPr="00212D57">
        <w:rPr>
          <w:rFonts w:ascii="標楷體" w:eastAsia="標楷體" w:hAnsi="標楷體"/>
          <w:szCs w:val="22"/>
        </w:rPr>
        <w:t>唯有識</w:t>
      </w:r>
      <w:r w:rsidR="00D97234">
        <w:rPr>
          <w:rFonts w:ascii="標楷體" w:eastAsia="標楷體" w:hAnsi="標楷體" w:hint="eastAsia"/>
          <w:color w:val="FF0000"/>
          <w:kern w:val="0"/>
          <w:highlight w:val="yellow"/>
        </w:rPr>
        <w:t>』</w:t>
      </w:r>
      <w:r w:rsidR="00D97234">
        <w:rPr>
          <w:rFonts w:ascii="標楷體" w:eastAsia="標楷體" w:hAnsi="標楷體" w:hint="eastAsia"/>
          <w:color w:val="FF0000"/>
          <w:spacing w:val="-4"/>
          <w:kern w:val="0"/>
          <w:highlight w:val="yellow"/>
        </w:rPr>
        <w:t>；</w:t>
      </w:r>
      <w:r w:rsidRPr="00212D57">
        <w:rPr>
          <w:rFonts w:ascii="標楷體" w:eastAsia="標楷體" w:hAnsi="標楷體"/>
          <w:szCs w:val="22"/>
        </w:rPr>
        <w:t>若執唯識真實有者，如執外境</w:t>
      </w:r>
      <w:r w:rsidR="00D97234">
        <w:rPr>
          <w:rFonts w:ascii="標楷體" w:eastAsia="標楷體" w:hAnsi="標楷體" w:hint="eastAsia"/>
          <w:color w:val="FF0000"/>
          <w:kern w:val="0"/>
          <w:highlight w:val="yellow"/>
        </w:rPr>
        <w:t>，</w:t>
      </w:r>
      <w:r w:rsidRPr="00212D57">
        <w:rPr>
          <w:rFonts w:ascii="標楷體" w:eastAsia="標楷體" w:hAnsi="標楷體"/>
          <w:szCs w:val="22"/>
        </w:rPr>
        <w:t>亦是法執。</w:t>
      </w:r>
      <w:r w:rsidRPr="00212D57">
        <w:rPr>
          <w:szCs w:val="22"/>
        </w:rPr>
        <w:t>」</w:t>
      </w:r>
    </w:p>
  </w:footnote>
  <w:footnote w:id="399">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rFonts w:hint="eastAsia"/>
          <w:szCs w:val="22"/>
        </w:rPr>
        <w:t>附會：</w:t>
      </w:r>
      <w:r w:rsidRPr="00761EF3">
        <w:rPr>
          <w:rFonts w:hint="eastAsia"/>
          <w:szCs w:val="22"/>
        </w:rPr>
        <w:t>1</w:t>
      </w:r>
      <w:r w:rsidRPr="00212D57">
        <w:rPr>
          <w:rFonts w:hint="eastAsia"/>
          <w:szCs w:val="22"/>
        </w:rPr>
        <w:t>.</w:t>
      </w:r>
      <w:r w:rsidRPr="00212D57">
        <w:rPr>
          <w:rFonts w:hint="eastAsia"/>
          <w:szCs w:val="22"/>
        </w:rPr>
        <w:t>隨從，追隨。</w:t>
      </w:r>
      <w:r w:rsidRPr="00761EF3">
        <w:rPr>
          <w:rFonts w:hint="eastAsia"/>
          <w:szCs w:val="22"/>
        </w:rPr>
        <w:t>2</w:t>
      </w:r>
      <w:r w:rsidRPr="00212D57">
        <w:rPr>
          <w:rFonts w:hint="eastAsia"/>
          <w:szCs w:val="22"/>
        </w:rPr>
        <w:t>.</w:t>
      </w:r>
      <w:r w:rsidRPr="00212D57">
        <w:rPr>
          <w:rFonts w:hint="eastAsia"/>
          <w:szCs w:val="22"/>
        </w:rPr>
        <w:t>依附，附和。（《漢語大詞典》（十一），</w:t>
      </w:r>
      <w:r w:rsidRPr="00761EF3">
        <w:rPr>
          <w:rFonts w:hint="eastAsia"/>
          <w:szCs w:val="22"/>
        </w:rPr>
        <w:t>p</w:t>
      </w:r>
      <w:r w:rsidRPr="00212D57">
        <w:rPr>
          <w:rFonts w:hint="eastAsia"/>
          <w:szCs w:val="22"/>
        </w:rPr>
        <w:t>.</w:t>
      </w:r>
      <w:r w:rsidRPr="00761EF3">
        <w:rPr>
          <w:rFonts w:hint="eastAsia"/>
          <w:szCs w:val="22"/>
        </w:rPr>
        <w:t>953</w:t>
      </w:r>
      <w:r w:rsidRPr="00212D57">
        <w:rPr>
          <w:rFonts w:hint="eastAsia"/>
          <w:szCs w:val="22"/>
        </w:rPr>
        <w:t>）</w:t>
      </w:r>
    </w:p>
  </w:footnote>
  <w:footnote w:id="400">
    <w:p w:rsidR="00157EF6" w:rsidRPr="00212D57" w:rsidRDefault="00157EF6" w:rsidP="002B682F">
      <w:pPr>
        <w:pStyle w:val="a5"/>
        <w:spacing w:line="0" w:lineRule="atLeast"/>
        <w:ind w:left="253" w:hangingChars="115" w:hanging="253"/>
        <w:jc w:val="both"/>
        <w:rPr>
          <w:rFonts w:ascii="標楷體" w:eastAsia="標楷體" w:hAnsi="標楷體"/>
          <w:szCs w:val="22"/>
        </w:rPr>
      </w:pPr>
      <w:r w:rsidRPr="00212D57">
        <w:rPr>
          <w:rStyle w:val="a6"/>
          <w:szCs w:val="22"/>
        </w:rPr>
        <w:footnoteRef/>
      </w:r>
      <w:r w:rsidRPr="00212D57">
        <w:rPr>
          <w:rFonts w:hint="eastAsia"/>
          <w:szCs w:val="22"/>
        </w:rPr>
        <w:t xml:space="preserve"> </w:t>
      </w:r>
      <w:r w:rsidRPr="00212D57">
        <w:rPr>
          <w:szCs w:val="22"/>
        </w:rPr>
        <w:t>印順法師，《</w:t>
      </w:r>
      <w:r w:rsidRPr="00212D57">
        <w:rPr>
          <w:rFonts w:hint="eastAsia"/>
          <w:szCs w:val="22"/>
        </w:rPr>
        <w:t>無諍之辯》，</w:t>
      </w:r>
      <w:r w:rsidRPr="00761EF3">
        <w:rPr>
          <w:szCs w:val="22"/>
        </w:rPr>
        <w:t>p</w:t>
      </w:r>
      <w:r w:rsidRPr="00212D57">
        <w:rPr>
          <w:szCs w:val="22"/>
        </w:rPr>
        <w:t>.</w:t>
      </w:r>
      <w:r w:rsidRPr="00761EF3">
        <w:rPr>
          <w:szCs w:val="22"/>
        </w:rPr>
        <w:t>172</w:t>
      </w:r>
      <w:r w:rsidRPr="00212D57">
        <w:rPr>
          <w:rFonts w:ascii="標楷體" w:eastAsia="標楷體" w:hAnsi="標楷體" w:hint="eastAsia"/>
          <w:szCs w:val="22"/>
        </w:rPr>
        <w:t>：</w:t>
      </w:r>
    </w:p>
    <w:p w:rsidR="00157EF6" w:rsidRDefault="00157EF6" w:rsidP="002B682F">
      <w:pPr>
        <w:pStyle w:val="a5"/>
        <w:ind w:leftChars="105" w:left="252"/>
        <w:jc w:val="both"/>
        <w:rPr>
          <w:rFonts w:ascii="標楷體" w:eastAsia="標楷體" w:hAnsi="標楷體"/>
          <w:szCs w:val="22"/>
        </w:rPr>
      </w:pPr>
      <w:r w:rsidRPr="00212D57">
        <w:rPr>
          <w:rFonts w:ascii="標楷體" w:eastAsia="標楷體" w:hAnsi="標楷體" w:hint="eastAsia"/>
          <w:szCs w:val="22"/>
        </w:rPr>
        <w:t>如《成唯識論》說：「若執唯識是實有者，亦是法執。」《辯中邊論》說：「許</w:t>
      </w:r>
      <w:r w:rsidR="00D97234" w:rsidRPr="00EB57EF">
        <w:rPr>
          <w:rFonts w:eastAsia="標楷體" w:hint="eastAsia"/>
          <w:color w:val="FF0000"/>
          <w:szCs w:val="22"/>
          <w:shd w:val="pct15" w:color="auto" w:fill="FFFFFF"/>
        </w:rPr>
        <w:t>*</w:t>
      </w:r>
      <w:r w:rsidR="00D97234" w:rsidRPr="00EB57EF">
        <w:rPr>
          <w:rFonts w:eastAsia="標楷體" w:hint="eastAsia"/>
          <w:color w:val="FF0000"/>
          <w:szCs w:val="22"/>
          <w:shd w:val="pct15" w:color="auto" w:fill="FFFFFF"/>
          <w:vertAlign w:val="superscript"/>
        </w:rPr>
        <w:t>1</w:t>
      </w:r>
      <w:r w:rsidRPr="00212D57">
        <w:rPr>
          <w:rFonts w:ascii="標楷體" w:eastAsia="標楷體" w:hAnsi="標楷體" w:hint="eastAsia"/>
          <w:szCs w:val="22"/>
        </w:rPr>
        <w:t>識有所得，境無所得生；依境無所得，識無所得生。由識有得性，亦成無所得，故知二有得，無得性平等。」</w:t>
      </w:r>
      <w:r w:rsidR="00D97234" w:rsidRPr="00EB57EF">
        <w:rPr>
          <w:rFonts w:eastAsia="標楷體" w:hint="eastAsia"/>
          <w:color w:val="FF0000"/>
          <w:szCs w:val="22"/>
          <w:shd w:val="pct15" w:color="auto" w:fill="FFFFFF"/>
        </w:rPr>
        <w:t>*</w:t>
      </w:r>
      <w:r w:rsidR="00D97234" w:rsidRPr="00EB57EF">
        <w:rPr>
          <w:rFonts w:eastAsia="標楷體" w:hint="eastAsia"/>
          <w:color w:val="FF0000"/>
          <w:szCs w:val="22"/>
          <w:shd w:val="pct15" w:color="auto" w:fill="FFFFFF"/>
          <w:vertAlign w:val="superscript"/>
        </w:rPr>
        <w:t>2</w:t>
      </w:r>
      <w:r w:rsidRPr="00212D57">
        <w:rPr>
          <w:rFonts w:ascii="標楷體" w:eastAsia="標楷體" w:hAnsi="標楷體" w:hint="eastAsia"/>
          <w:szCs w:val="22"/>
        </w:rPr>
        <w:t>佛法中任何唯心論，莫不歸結於境空心寂，超越能所對待之自證。故摭拾少許心亦不可得等語句，以為非唯心論，實屬不可。</w:t>
      </w:r>
    </w:p>
    <w:p w:rsidR="00D97234" w:rsidRDefault="00D97234" w:rsidP="00D97234">
      <w:pPr>
        <w:pStyle w:val="a5"/>
        <w:ind w:leftChars="105" w:left="252"/>
        <w:jc w:val="both"/>
        <w:rPr>
          <w:szCs w:val="22"/>
          <w:shd w:val="pct15" w:color="auto" w:fill="FFFFFF"/>
        </w:rPr>
      </w:pPr>
      <w:r w:rsidRPr="00D97234">
        <w:rPr>
          <w:rFonts w:eastAsia="標楷體" w:hint="eastAsia"/>
          <w:color w:val="FF0000"/>
          <w:szCs w:val="22"/>
          <w:shd w:val="pct15" w:color="auto" w:fill="FFFFFF"/>
        </w:rPr>
        <w:t>*1</w:t>
      </w:r>
      <w:r w:rsidRPr="00D97234">
        <w:rPr>
          <w:rFonts w:hint="eastAsia"/>
          <w:color w:val="FF0000"/>
          <w:szCs w:val="22"/>
          <w:highlight w:val="yellow"/>
        </w:rPr>
        <w:t>重編案：「</w:t>
      </w:r>
      <w:r w:rsidRPr="00D97234">
        <w:rPr>
          <w:rFonts w:ascii="標楷體" w:eastAsia="標楷體" w:hAnsi="標楷體" w:hint="eastAsia"/>
          <w:color w:val="FF0000"/>
          <w:szCs w:val="22"/>
          <w:highlight w:val="yellow"/>
        </w:rPr>
        <w:t>許</w:t>
      </w:r>
      <w:r w:rsidRPr="00D97234">
        <w:rPr>
          <w:rFonts w:hint="eastAsia"/>
          <w:color w:val="FF0000"/>
          <w:szCs w:val="22"/>
          <w:highlight w:val="yellow"/>
        </w:rPr>
        <w:t>」，應改作「</w:t>
      </w:r>
      <w:r w:rsidRPr="00D97234">
        <w:rPr>
          <w:rFonts w:ascii="標楷體" w:eastAsia="標楷體" w:hAnsi="標楷體" w:hint="eastAsia"/>
          <w:color w:val="FF0000"/>
          <w:szCs w:val="22"/>
          <w:highlight w:val="yellow"/>
        </w:rPr>
        <w:t>依</w:t>
      </w:r>
      <w:r w:rsidRPr="00D97234">
        <w:rPr>
          <w:rFonts w:hint="eastAsia"/>
          <w:color w:val="FF0000"/>
          <w:szCs w:val="22"/>
          <w:highlight w:val="yellow"/>
        </w:rPr>
        <w:t>」。</w:t>
      </w:r>
    </w:p>
    <w:p w:rsidR="00D97234" w:rsidRPr="00D97234" w:rsidRDefault="00D97234" w:rsidP="00D97234">
      <w:pPr>
        <w:pStyle w:val="a5"/>
        <w:ind w:leftChars="105" w:left="582" w:hangingChars="150" w:hanging="330"/>
        <w:jc w:val="both"/>
        <w:rPr>
          <w:szCs w:val="22"/>
        </w:rPr>
      </w:pPr>
      <w:r w:rsidRPr="00D97234">
        <w:rPr>
          <w:rFonts w:eastAsia="標楷體" w:hint="eastAsia"/>
          <w:color w:val="FF0000"/>
          <w:szCs w:val="22"/>
          <w:shd w:val="pct15" w:color="auto" w:fill="FFFFFF"/>
        </w:rPr>
        <w:t>*2</w:t>
      </w:r>
      <w:r w:rsidRPr="00D97234">
        <w:rPr>
          <w:rFonts w:hint="eastAsia"/>
          <w:color w:val="FF0000"/>
          <w:szCs w:val="22"/>
          <w:highlight w:val="yellow"/>
        </w:rPr>
        <w:t>《辯中邊論頌》〈</w:t>
      </w:r>
      <w:r w:rsidRPr="00EF2070">
        <w:rPr>
          <w:rFonts w:eastAsia="標楷體" w:hint="eastAsia"/>
          <w:color w:val="FF0000"/>
          <w:szCs w:val="22"/>
          <w:highlight w:val="yellow"/>
        </w:rPr>
        <w:t>1</w:t>
      </w:r>
      <w:r w:rsidRPr="00D97234">
        <w:rPr>
          <w:rFonts w:hint="eastAsia"/>
          <w:color w:val="FF0000"/>
          <w:szCs w:val="22"/>
          <w:highlight w:val="yellow"/>
        </w:rPr>
        <w:t xml:space="preserve"> </w:t>
      </w:r>
      <w:r w:rsidRPr="00D97234">
        <w:rPr>
          <w:rFonts w:hint="eastAsia"/>
          <w:color w:val="FF0000"/>
          <w:szCs w:val="22"/>
          <w:highlight w:val="yellow"/>
        </w:rPr>
        <w:t>辯相品〉（</w:t>
      </w:r>
      <w:r w:rsidRPr="00D97234">
        <w:rPr>
          <w:color w:val="FF0000"/>
          <w:szCs w:val="22"/>
          <w:highlight w:val="yellow"/>
        </w:rPr>
        <w:t>大正</w:t>
      </w:r>
      <w:r w:rsidRPr="00D97234">
        <w:rPr>
          <w:color w:val="FF0000"/>
          <w:szCs w:val="22"/>
          <w:highlight w:val="yellow"/>
        </w:rPr>
        <w:t>31</w:t>
      </w:r>
      <w:r w:rsidRPr="00D97234">
        <w:rPr>
          <w:color w:val="FF0000"/>
          <w:szCs w:val="22"/>
          <w:highlight w:val="yellow"/>
        </w:rPr>
        <w:t>，</w:t>
      </w:r>
      <w:r w:rsidRPr="00D97234">
        <w:rPr>
          <w:rFonts w:hint="eastAsia"/>
          <w:color w:val="FF0000"/>
          <w:szCs w:val="22"/>
          <w:highlight w:val="yellow"/>
        </w:rPr>
        <w:t>477c19-22</w:t>
      </w:r>
      <w:r w:rsidRPr="00D97234">
        <w:rPr>
          <w:rFonts w:hint="eastAsia"/>
          <w:color w:val="FF0000"/>
          <w:szCs w:val="22"/>
          <w:highlight w:val="yellow"/>
        </w:rPr>
        <w:t>）：「</w:t>
      </w:r>
      <w:r w:rsidRPr="00D97234">
        <w:rPr>
          <w:rFonts w:eastAsia="標楷體" w:hint="eastAsia"/>
          <w:color w:val="FF0000"/>
          <w:szCs w:val="22"/>
          <w:highlight w:val="yellow"/>
          <w:u w:val="wave"/>
        </w:rPr>
        <w:t>依</w:t>
      </w:r>
      <w:r w:rsidRPr="00D97234">
        <w:rPr>
          <w:rFonts w:eastAsia="標楷體" w:hint="eastAsia"/>
          <w:color w:val="FF0000"/>
          <w:szCs w:val="22"/>
          <w:highlight w:val="yellow"/>
        </w:rPr>
        <w:t>識有所得，境無所得生</w:t>
      </w:r>
      <w:r w:rsidRPr="00D97234">
        <w:rPr>
          <w:rFonts w:eastAsia="標楷體" w:hint="eastAsia"/>
          <w:color w:val="FF0000"/>
          <w:szCs w:val="22"/>
          <w:shd w:val="pct15" w:color="auto" w:fill="FFFFFF"/>
        </w:rPr>
        <w:t>……</w:t>
      </w:r>
      <w:r w:rsidRPr="00D97234">
        <w:rPr>
          <w:rFonts w:eastAsia="標楷體" w:hint="eastAsia"/>
          <w:color w:val="FF0000"/>
          <w:szCs w:val="22"/>
          <w:highlight w:val="yellow"/>
        </w:rPr>
        <w:t>無得性平等。</w:t>
      </w:r>
      <w:r w:rsidRPr="00D97234">
        <w:rPr>
          <w:rFonts w:hint="eastAsia"/>
          <w:color w:val="FF0000"/>
          <w:szCs w:val="22"/>
          <w:highlight w:val="yellow"/>
        </w:rPr>
        <w:t>」另見《辯中邊論》卷上〈</w:t>
      </w:r>
      <w:r w:rsidRPr="00D97234">
        <w:rPr>
          <w:rFonts w:hint="eastAsia"/>
          <w:color w:val="FF0000"/>
          <w:szCs w:val="22"/>
          <w:highlight w:val="yellow"/>
        </w:rPr>
        <w:t xml:space="preserve">1 </w:t>
      </w:r>
      <w:r w:rsidRPr="00D97234">
        <w:rPr>
          <w:rFonts w:hint="eastAsia"/>
          <w:color w:val="FF0000"/>
          <w:szCs w:val="22"/>
          <w:highlight w:val="yellow"/>
        </w:rPr>
        <w:t>辯相品〉（</w:t>
      </w:r>
      <w:r w:rsidRPr="00D97234">
        <w:rPr>
          <w:color w:val="FF0000"/>
          <w:szCs w:val="22"/>
          <w:highlight w:val="yellow"/>
        </w:rPr>
        <w:t>大正</w:t>
      </w:r>
      <w:r w:rsidRPr="00D97234">
        <w:rPr>
          <w:color w:val="FF0000"/>
          <w:szCs w:val="22"/>
          <w:highlight w:val="yellow"/>
        </w:rPr>
        <w:t>31</w:t>
      </w:r>
      <w:r w:rsidRPr="00D97234">
        <w:rPr>
          <w:color w:val="FF0000"/>
          <w:szCs w:val="22"/>
          <w:highlight w:val="yellow"/>
        </w:rPr>
        <w:t>，</w:t>
      </w:r>
      <w:r w:rsidRPr="00D97234">
        <w:rPr>
          <w:rFonts w:hint="eastAsia"/>
          <w:color w:val="FF0000"/>
          <w:szCs w:val="22"/>
          <w:highlight w:val="yellow"/>
        </w:rPr>
        <w:t>465a2-15</w:t>
      </w:r>
      <w:r w:rsidRPr="00D97234">
        <w:rPr>
          <w:rFonts w:hint="eastAsia"/>
          <w:color w:val="FF0000"/>
          <w:szCs w:val="22"/>
          <w:highlight w:val="yellow"/>
        </w:rPr>
        <w:t>）。</w:t>
      </w:r>
    </w:p>
  </w:footnote>
  <w:footnote w:id="401">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szCs w:val="22"/>
        </w:rPr>
        <w:t>1</w:t>
      </w:r>
      <w:r w:rsidRPr="00212D57">
        <w:rPr>
          <w:rFonts w:hint="eastAsia"/>
          <w:szCs w:val="22"/>
        </w:rPr>
        <w:t>）世親造，〔唐〕玄奘</w:t>
      </w:r>
      <w:r w:rsidRPr="00212D57">
        <w:rPr>
          <w:szCs w:val="22"/>
        </w:rPr>
        <w:t>譯</w:t>
      </w:r>
      <w:r w:rsidRPr="00212D57">
        <w:rPr>
          <w:rFonts w:hint="eastAsia"/>
          <w:szCs w:val="22"/>
        </w:rPr>
        <w:t>，</w:t>
      </w:r>
      <w:r w:rsidRPr="00212D57">
        <w:rPr>
          <w:szCs w:val="22"/>
        </w:rPr>
        <w:t>《攝大乘論釋》卷</w:t>
      </w:r>
      <w:r w:rsidRPr="00761EF3">
        <w:rPr>
          <w:szCs w:val="22"/>
        </w:rPr>
        <w:t>5</w:t>
      </w:r>
      <w:r w:rsidRPr="00212D57">
        <w:rPr>
          <w:rFonts w:hint="eastAsia"/>
          <w:szCs w:val="22"/>
        </w:rPr>
        <w:t>〈</w:t>
      </w:r>
      <w:r w:rsidRPr="00761EF3">
        <w:rPr>
          <w:rFonts w:hint="eastAsia"/>
          <w:szCs w:val="22"/>
        </w:rPr>
        <w:t>3</w:t>
      </w:r>
      <w:r w:rsidRPr="00212D57">
        <w:rPr>
          <w:szCs w:val="22"/>
        </w:rPr>
        <w:t xml:space="preserve"> </w:t>
      </w:r>
      <w:r w:rsidRPr="00212D57">
        <w:rPr>
          <w:bCs/>
          <w:szCs w:val="22"/>
        </w:rPr>
        <w:t>所知相分</w:t>
      </w:r>
      <w:r w:rsidRPr="00212D57">
        <w:rPr>
          <w:rFonts w:hint="eastAsia"/>
          <w:szCs w:val="22"/>
        </w:rPr>
        <w:t>〉（</w:t>
      </w:r>
      <w:r w:rsidRPr="00212D57">
        <w:rPr>
          <w:szCs w:val="22"/>
        </w:rPr>
        <w:t>大正</w:t>
      </w:r>
      <w:r w:rsidRPr="00761EF3">
        <w:rPr>
          <w:szCs w:val="22"/>
        </w:rPr>
        <w:t>31</w:t>
      </w:r>
      <w:r w:rsidRPr="00212D57">
        <w:rPr>
          <w:szCs w:val="22"/>
        </w:rPr>
        <w:t>，</w:t>
      </w:r>
      <w:r w:rsidRPr="00761EF3">
        <w:rPr>
          <w:szCs w:val="22"/>
        </w:rPr>
        <w:t>345c9</w:t>
      </w:r>
      <w:r w:rsidRPr="00212D57">
        <w:rPr>
          <w:szCs w:val="22"/>
        </w:rPr>
        <w:t>-</w:t>
      </w:r>
      <w:r w:rsidRPr="00761EF3">
        <w:rPr>
          <w:rFonts w:hint="eastAsia"/>
          <w:szCs w:val="22"/>
        </w:rPr>
        <w:t>346a3</w:t>
      </w:r>
      <w:r w:rsidRPr="00212D57">
        <w:rPr>
          <w:rFonts w:hint="eastAsia"/>
          <w:szCs w:val="22"/>
        </w:rPr>
        <w:t>）：</w:t>
      </w:r>
    </w:p>
    <w:p w:rsidR="00157EF6" w:rsidRPr="00212D57" w:rsidRDefault="00157EF6" w:rsidP="002B682F">
      <w:pPr>
        <w:pStyle w:val="a5"/>
        <w:ind w:leftChars="330" w:left="792"/>
        <w:jc w:val="both"/>
        <w:rPr>
          <w:rFonts w:ascii="標楷體" w:eastAsia="標楷體" w:hAnsi="標楷體"/>
          <w:szCs w:val="22"/>
        </w:rPr>
      </w:pPr>
      <w:r w:rsidRPr="00212D57">
        <w:rPr>
          <w:rFonts w:ascii="標楷體" w:eastAsia="標楷體" w:hAnsi="標楷體" w:hint="eastAsia"/>
          <w:b/>
          <w:szCs w:val="22"/>
        </w:rPr>
        <w:t>自然自體無，自性不堅住；如執取不有，故許無自性</w:t>
      </w:r>
      <w:r w:rsidRPr="00212D57">
        <w:rPr>
          <w:rFonts w:ascii="標楷體" w:eastAsia="標楷體" w:hAnsi="標楷體" w:hint="eastAsia"/>
          <w:szCs w:val="22"/>
        </w:rPr>
        <w:t>。</w:t>
      </w:r>
      <w:r w:rsidRPr="00A04018">
        <w:rPr>
          <w:rFonts w:ascii="標楷體" w:eastAsia="標楷體" w:hAnsi="標楷體" w:hint="eastAsia"/>
          <w:szCs w:val="22"/>
          <w:shd w:val="pct15" w:color="auto" w:fill="FFFFFF"/>
        </w:rPr>
        <w:t>……</w:t>
      </w:r>
    </w:p>
    <w:p w:rsidR="00157EF6" w:rsidRPr="00212D57" w:rsidRDefault="00157EF6" w:rsidP="002B682F">
      <w:pPr>
        <w:pStyle w:val="a5"/>
        <w:ind w:leftChars="330" w:left="792"/>
        <w:jc w:val="both"/>
        <w:rPr>
          <w:rFonts w:ascii="標楷體" w:eastAsia="標楷體" w:hAnsi="標楷體"/>
          <w:szCs w:val="22"/>
        </w:rPr>
      </w:pPr>
      <w:r w:rsidRPr="00212D57">
        <w:rPr>
          <w:rFonts w:ascii="標楷體" w:eastAsia="標楷體" w:hAnsi="標楷體" w:hint="eastAsia"/>
          <w:szCs w:val="22"/>
        </w:rPr>
        <w:t>「自然無」者，由一切法無離眾緣自然有性，是名一種</w:t>
      </w:r>
      <w:r w:rsidR="00872176">
        <w:rPr>
          <w:rFonts w:ascii="標楷體" w:eastAsia="標楷體" w:hAnsi="標楷體" w:hint="eastAsia"/>
          <w:bCs/>
          <w:color w:val="FF0000"/>
          <w:kern w:val="0"/>
          <w:highlight w:val="yellow"/>
        </w:rPr>
        <w:t>「</w:t>
      </w:r>
      <w:r w:rsidRPr="00212D57">
        <w:rPr>
          <w:rFonts w:ascii="標楷體" w:eastAsia="標楷體" w:hAnsi="標楷體" w:hint="eastAsia"/>
          <w:szCs w:val="22"/>
        </w:rPr>
        <w:t>無自性</w:t>
      </w:r>
      <w:r w:rsidR="00872176">
        <w:rPr>
          <w:rFonts w:ascii="標楷體" w:eastAsia="標楷體" w:hAnsi="標楷體" w:hint="eastAsia"/>
          <w:bCs/>
          <w:color w:val="FF0000"/>
          <w:kern w:val="0"/>
          <w:highlight w:val="yellow"/>
        </w:rPr>
        <w:t>」</w:t>
      </w:r>
      <w:r w:rsidRPr="00212D57">
        <w:rPr>
          <w:rFonts w:ascii="標楷體" w:eastAsia="標楷體" w:hAnsi="標楷體" w:hint="eastAsia"/>
          <w:szCs w:val="22"/>
        </w:rPr>
        <w:t>意。</w:t>
      </w:r>
    </w:p>
    <w:p w:rsidR="00157EF6" w:rsidRPr="00212D57" w:rsidRDefault="00157EF6" w:rsidP="002B682F">
      <w:pPr>
        <w:pStyle w:val="a5"/>
        <w:ind w:leftChars="330" w:left="792"/>
        <w:jc w:val="both"/>
        <w:rPr>
          <w:rFonts w:ascii="標楷體" w:eastAsia="標楷體" w:hAnsi="標楷體"/>
          <w:szCs w:val="22"/>
        </w:rPr>
      </w:pPr>
      <w:r w:rsidRPr="00212D57">
        <w:rPr>
          <w:rFonts w:ascii="標楷體" w:eastAsia="標楷體" w:hAnsi="標楷體" w:hint="eastAsia"/>
          <w:szCs w:val="22"/>
        </w:rPr>
        <w:t>「自體無」者，由法滅已</w:t>
      </w:r>
      <w:r w:rsidR="00872176">
        <w:rPr>
          <w:rFonts w:ascii="標楷體" w:eastAsia="標楷體" w:hAnsi="標楷體" w:hint="eastAsia"/>
          <w:color w:val="FF0000"/>
          <w:kern w:val="0"/>
          <w:highlight w:val="yellow"/>
        </w:rPr>
        <w:t>，</w:t>
      </w:r>
      <w:r w:rsidRPr="00212D57">
        <w:rPr>
          <w:rFonts w:ascii="標楷體" w:eastAsia="標楷體" w:hAnsi="標楷體" w:hint="eastAsia"/>
          <w:szCs w:val="22"/>
        </w:rPr>
        <w:t>不復更</w:t>
      </w:r>
      <w:r w:rsidRPr="00872176">
        <w:rPr>
          <w:rFonts w:ascii="標楷體" w:eastAsia="標楷體" w:hAnsi="標楷體" w:hint="eastAsia"/>
          <w:szCs w:val="22"/>
        </w:rPr>
        <w:t>生</w:t>
      </w:r>
      <w:r w:rsidR="00872176" w:rsidRPr="00872176">
        <w:rPr>
          <w:rFonts w:ascii="標楷體" w:eastAsia="標楷體" w:hAnsi="標楷體" w:hint="eastAsia"/>
          <w:szCs w:val="22"/>
        </w:rPr>
        <w:t>，</w:t>
      </w:r>
      <w:r w:rsidRPr="00872176">
        <w:rPr>
          <w:rFonts w:ascii="標楷體" w:eastAsia="標楷體" w:hAnsi="標楷體" w:hint="eastAsia"/>
          <w:szCs w:val="22"/>
        </w:rPr>
        <w:t>故</w:t>
      </w:r>
      <w:r w:rsidRPr="00212D57">
        <w:rPr>
          <w:rFonts w:ascii="標楷體" w:eastAsia="標楷體" w:hAnsi="標楷體" w:hint="eastAsia"/>
          <w:szCs w:val="22"/>
        </w:rPr>
        <w:t>無自性，此復一種</w:t>
      </w:r>
      <w:r w:rsidR="00872176">
        <w:rPr>
          <w:rFonts w:ascii="標楷體" w:eastAsia="標楷體" w:hAnsi="標楷體" w:hint="eastAsia"/>
          <w:bCs/>
          <w:color w:val="FF0000"/>
          <w:kern w:val="0"/>
          <w:highlight w:val="yellow"/>
        </w:rPr>
        <w:t>「</w:t>
      </w:r>
      <w:r w:rsidRPr="00212D57">
        <w:rPr>
          <w:rFonts w:ascii="標楷體" w:eastAsia="標楷體" w:hAnsi="標楷體" w:hint="eastAsia"/>
          <w:szCs w:val="22"/>
        </w:rPr>
        <w:t>無自性</w:t>
      </w:r>
      <w:r w:rsidR="00872176">
        <w:rPr>
          <w:rFonts w:ascii="標楷體" w:eastAsia="標楷體" w:hAnsi="標楷體" w:hint="eastAsia"/>
          <w:bCs/>
          <w:color w:val="FF0000"/>
          <w:kern w:val="0"/>
          <w:highlight w:val="yellow"/>
        </w:rPr>
        <w:t>」</w:t>
      </w:r>
      <w:r w:rsidRPr="00212D57">
        <w:rPr>
          <w:rFonts w:ascii="標楷體" w:eastAsia="標楷體" w:hAnsi="標楷體" w:hint="eastAsia"/>
          <w:szCs w:val="22"/>
        </w:rPr>
        <w:t>意。</w:t>
      </w:r>
    </w:p>
    <w:p w:rsidR="00A04018" w:rsidRDefault="00157EF6" w:rsidP="002B682F">
      <w:pPr>
        <w:pStyle w:val="a5"/>
        <w:ind w:leftChars="330" w:left="792"/>
        <w:jc w:val="both"/>
        <w:rPr>
          <w:rFonts w:ascii="標楷體" w:eastAsia="標楷體" w:hAnsi="標楷體"/>
          <w:szCs w:val="22"/>
        </w:rPr>
      </w:pPr>
      <w:r w:rsidRPr="00212D57">
        <w:rPr>
          <w:rFonts w:ascii="標楷體" w:eastAsia="標楷體" w:hAnsi="標楷體" w:hint="eastAsia"/>
          <w:szCs w:val="22"/>
        </w:rPr>
        <w:t>「自性不堅住」者，由法纔生</w:t>
      </w:r>
      <w:r w:rsidR="00872176">
        <w:rPr>
          <w:rFonts w:ascii="標楷體" w:eastAsia="標楷體" w:hAnsi="標楷體" w:hint="eastAsia"/>
          <w:color w:val="FF0000"/>
          <w:kern w:val="0"/>
          <w:highlight w:val="yellow"/>
        </w:rPr>
        <w:t>，</w:t>
      </w:r>
      <w:r w:rsidRPr="00212D57">
        <w:rPr>
          <w:rFonts w:ascii="標楷體" w:eastAsia="標楷體" w:hAnsi="標楷體" w:hint="eastAsia"/>
          <w:szCs w:val="22"/>
        </w:rPr>
        <w:t>一剎那後</w:t>
      </w:r>
      <w:r w:rsidR="00872176">
        <w:rPr>
          <w:rFonts w:ascii="標楷體" w:eastAsia="標楷體" w:hAnsi="標楷體" w:hint="eastAsia"/>
          <w:color w:val="FF0000"/>
          <w:kern w:val="0"/>
          <w:highlight w:val="yellow"/>
        </w:rPr>
        <w:t>，</w:t>
      </w:r>
      <w:r w:rsidRPr="00212D57">
        <w:rPr>
          <w:rFonts w:ascii="標楷體" w:eastAsia="標楷體" w:hAnsi="標楷體" w:hint="eastAsia"/>
          <w:szCs w:val="22"/>
        </w:rPr>
        <w:t>無力能</w:t>
      </w:r>
      <w:r w:rsidRPr="00872176">
        <w:rPr>
          <w:rFonts w:ascii="標楷體" w:eastAsia="標楷體" w:hAnsi="標楷體" w:hint="eastAsia"/>
          <w:szCs w:val="22"/>
        </w:rPr>
        <w:t>住</w:t>
      </w:r>
      <w:r w:rsidR="00872176" w:rsidRPr="00872176">
        <w:rPr>
          <w:rFonts w:ascii="標楷體" w:eastAsia="標楷體" w:hAnsi="標楷體" w:hint="eastAsia"/>
          <w:szCs w:val="22"/>
        </w:rPr>
        <w:t>，</w:t>
      </w:r>
      <w:r w:rsidRPr="00872176">
        <w:rPr>
          <w:rFonts w:ascii="標楷體" w:eastAsia="標楷體" w:hAnsi="標楷體" w:hint="eastAsia"/>
          <w:szCs w:val="22"/>
        </w:rPr>
        <w:t>故</w:t>
      </w:r>
      <w:r w:rsidRPr="00212D57">
        <w:rPr>
          <w:rFonts w:ascii="標楷體" w:eastAsia="標楷體" w:hAnsi="標楷體" w:hint="eastAsia"/>
          <w:szCs w:val="22"/>
        </w:rPr>
        <w:t>無自性。</w:t>
      </w:r>
    </w:p>
    <w:p w:rsidR="00157EF6" w:rsidRPr="00212D57" w:rsidRDefault="00157EF6" w:rsidP="002B682F">
      <w:pPr>
        <w:pStyle w:val="a5"/>
        <w:ind w:leftChars="330" w:left="792"/>
        <w:jc w:val="both"/>
        <w:rPr>
          <w:rFonts w:ascii="標楷體" w:eastAsia="標楷體" w:hAnsi="標楷體"/>
          <w:szCs w:val="22"/>
        </w:rPr>
      </w:pPr>
      <w:r w:rsidRPr="00A04018">
        <w:rPr>
          <w:rFonts w:ascii="標楷體" w:eastAsia="標楷體" w:hAnsi="標楷體" w:hint="eastAsia"/>
          <w:b/>
          <w:szCs w:val="22"/>
          <w:highlight w:val="yellow"/>
        </w:rPr>
        <w:t>如</w:t>
      </w:r>
      <w:r w:rsidRPr="00212D57">
        <w:rPr>
          <w:rFonts w:ascii="標楷體" w:eastAsia="標楷體" w:hAnsi="標楷體" w:hint="eastAsia"/>
          <w:b/>
          <w:szCs w:val="22"/>
        </w:rPr>
        <w:t>是諸法</w:t>
      </w:r>
      <w:r w:rsidR="00872176">
        <w:rPr>
          <w:rFonts w:ascii="標楷體" w:eastAsia="標楷體" w:hAnsi="標楷體" w:hint="eastAsia"/>
          <w:bCs/>
          <w:color w:val="FF0000"/>
          <w:kern w:val="0"/>
          <w:highlight w:val="yellow"/>
        </w:rPr>
        <w:t>「</w:t>
      </w:r>
      <w:r w:rsidRPr="00212D57">
        <w:rPr>
          <w:rFonts w:ascii="標楷體" w:eastAsia="標楷體" w:hAnsi="標楷體" w:hint="eastAsia"/>
          <w:b/>
          <w:szCs w:val="22"/>
        </w:rPr>
        <w:t>無自性</w:t>
      </w:r>
      <w:r w:rsidR="00872176">
        <w:rPr>
          <w:rFonts w:ascii="標楷體" w:eastAsia="標楷體" w:hAnsi="標楷體" w:hint="eastAsia"/>
          <w:bCs/>
          <w:color w:val="FF0000"/>
          <w:kern w:val="0"/>
          <w:highlight w:val="yellow"/>
        </w:rPr>
        <w:t>」</w:t>
      </w:r>
      <w:r w:rsidRPr="00212D57">
        <w:rPr>
          <w:rFonts w:ascii="標楷體" w:eastAsia="標楷體" w:hAnsi="標楷體" w:hint="eastAsia"/>
          <w:b/>
          <w:szCs w:val="22"/>
        </w:rPr>
        <w:t>理</w:t>
      </w:r>
      <w:r w:rsidR="00A04018" w:rsidRPr="00A04018">
        <w:rPr>
          <w:rFonts w:ascii="標楷體" w:eastAsia="標楷體" w:hAnsi="標楷體" w:hint="eastAsia"/>
          <w:b/>
          <w:color w:val="FF0000"/>
          <w:szCs w:val="22"/>
          <w:highlight w:val="yellow"/>
        </w:rPr>
        <w:t>，</w:t>
      </w:r>
      <w:r w:rsidRPr="00212D57">
        <w:rPr>
          <w:rFonts w:ascii="標楷體" w:eastAsia="標楷體" w:hAnsi="標楷體" w:hint="eastAsia"/>
          <w:b/>
          <w:szCs w:val="22"/>
        </w:rPr>
        <w:t>與聲聞共</w:t>
      </w:r>
      <w:r w:rsidRPr="00212D57">
        <w:rPr>
          <w:rFonts w:ascii="標楷體" w:eastAsia="標楷體" w:hAnsi="標楷體" w:hint="eastAsia"/>
          <w:szCs w:val="22"/>
        </w:rPr>
        <w:t>。</w:t>
      </w:r>
    </w:p>
    <w:p w:rsidR="00157EF6" w:rsidRPr="00212D57" w:rsidRDefault="00157EF6" w:rsidP="002B682F">
      <w:pPr>
        <w:pStyle w:val="a5"/>
        <w:ind w:leftChars="330" w:left="792"/>
        <w:jc w:val="both"/>
        <w:rPr>
          <w:szCs w:val="22"/>
        </w:rPr>
      </w:pPr>
      <w:r w:rsidRPr="00212D57">
        <w:rPr>
          <w:rFonts w:ascii="標楷體" w:eastAsia="標楷體" w:hAnsi="標楷體" w:hint="eastAsia"/>
          <w:szCs w:val="22"/>
        </w:rPr>
        <w:t>「如執取不有，故許無自性」者，</w:t>
      </w:r>
      <w:r w:rsidRPr="00212D57">
        <w:rPr>
          <w:rFonts w:ascii="標楷體" w:eastAsia="標楷體" w:hAnsi="標楷體" w:hint="eastAsia"/>
          <w:b/>
          <w:szCs w:val="22"/>
        </w:rPr>
        <w:t>此無自性</w:t>
      </w:r>
      <w:r w:rsidR="00A04018" w:rsidRPr="00A04018">
        <w:rPr>
          <w:rFonts w:ascii="標楷體" w:eastAsia="標楷體" w:hAnsi="標楷體" w:hint="eastAsia"/>
          <w:b/>
          <w:color w:val="FF0000"/>
          <w:szCs w:val="22"/>
          <w:highlight w:val="yellow"/>
        </w:rPr>
        <w:t>，</w:t>
      </w:r>
      <w:r w:rsidRPr="00212D57">
        <w:rPr>
          <w:rFonts w:ascii="標楷體" w:eastAsia="標楷體" w:hAnsi="標楷體" w:hint="eastAsia"/>
          <w:b/>
          <w:szCs w:val="22"/>
        </w:rPr>
        <w:t>不共聲聞</w:t>
      </w:r>
      <w:r w:rsidRPr="00212D57">
        <w:rPr>
          <w:rFonts w:ascii="標楷體" w:eastAsia="標楷體" w:hAnsi="標楷體" w:hint="eastAsia"/>
          <w:szCs w:val="22"/>
        </w:rPr>
        <w:t>，以如愚夫所</w:t>
      </w:r>
      <w:r w:rsidRPr="00A04018">
        <w:rPr>
          <w:rFonts w:ascii="標楷體" w:eastAsia="標楷體" w:hAnsi="標楷體" w:hint="eastAsia"/>
          <w:szCs w:val="22"/>
          <w:highlight w:val="yellow"/>
        </w:rPr>
        <w:t>取遍</w:t>
      </w:r>
      <w:r w:rsidRPr="00212D57">
        <w:rPr>
          <w:rFonts w:ascii="標楷體" w:eastAsia="標楷體" w:hAnsi="標楷體" w:hint="eastAsia"/>
          <w:szCs w:val="22"/>
        </w:rPr>
        <w:t>計所執自性不如是有</w:t>
      </w:r>
      <w:r w:rsidR="00A04018">
        <w:rPr>
          <w:rFonts w:ascii="標楷體" w:eastAsia="標楷體" w:hAnsi="標楷體" w:hint="eastAsia"/>
          <w:color w:val="FF0000"/>
          <w:spacing w:val="-4"/>
          <w:kern w:val="0"/>
          <w:highlight w:val="yellow"/>
        </w:rPr>
        <w:t>；</w:t>
      </w:r>
      <w:r w:rsidRPr="00212D57">
        <w:rPr>
          <w:rFonts w:ascii="標楷體" w:eastAsia="標楷體" w:hAnsi="標楷體" w:hint="eastAsia"/>
          <w:szCs w:val="22"/>
        </w:rPr>
        <w:t>由此意故，依大乘理，說</w:t>
      </w:r>
      <w:r w:rsidR="00872176">
        <w:rPr>
          <w:rFonts w:ascii="標楷體" w:eastAsia="標楷體" w:hAnsi="標楷體" w:hint="eastAsia"/>
          <w:bCs/>
          <w:color w:val="FF0000"/>
          <w:kern w:val="0"/>
          <w:highlight w:val="yellow"/>
        </w:rPr>
        <w:t>「</w:t>
      </w:r>
      <w:r w:rsidRPr="00212D57">
        <w:rPr>
          <w:rFonts w:ascii="標楷體" w:eastAsia="標楷體" w:hAnsi="標楷體" w:hint="eastAsia"/>
          <w:szCs w:val="22"/>
        </w:rPr>
        <w:t>一切法皆無自性</w:t>
      </w:r>
      <w:r w:rsidR="00872176">
        <w:rPr>
          <w:rFonts w:ascii="標楷體" w:eastAsia="標楷體" w:hAnsi="標楷體" w:hint="eastAsia"/>
          <w:bCs/>
          <w:color w:val="FF0000"/>
          <w:kern w:val="0"/>
          <w:highlight w:val="yellow"/>
        </w:rPr>
        <w:t>「</w:t>
      </w:r>
      <w:r w:rsidRPr="00212D57">
        <w:rPr>
          <w:rFonts w:ascii="標楷體" w:eastAsia="標楷體" w:hAnsi="標楷體" w:hint="eastAsia"/>
          <w:szCs w:val="22"/>
        </w:rPr>
        <w:t>。</w:t>
      </w:r>
    </w:p>
    <w:p w:rsidR="00157EF6" w:rsidRPr="00212D57" w:rsidRDefault="00157EF6" w:rsidP="002B682F">
      <w:pPr>
        <w:pStyle w:val="a5"/>
        <w:ind w:leftChars="105" w:left="791" w:hangingChars="245" w:hanging="539"/>
        <w:jc w:val="both"/>
        <w:rPr>
          <w:szCs w:val="22"/>
        </w:rPr>
      </w:pPr>
      <w:r w:rsidRPr="00212D57">
        <w:rPr>
          <w:rFonts w:hint="eastAsia"/>
          <w:szCs w:val="22"/>
        </w:rPr>
        <w:t>（</w:t>
      </w:r>
      <w:r w:rsidRPr="00761EF3">
        <w:rPr>
          <w:szCs w:val="22"/>
        </w:rPr>
        <w:t>2</w:t>
      </w:r>
      <w:r w:rsidRPr="00212D57">
        <w:rPr>
          <w:rFonts w:hint="eastAsia"/>
          <w:szCs w:val="22"/>
        </w:rPr>
        <w:t>）</w:t>
      </w:r>
      <w:r w:rsidRPr="00212D57">
        <w:rPr>
          <w:szCs w:val="22"/>
        </w:rPr>
        <w:t>印順法師，《攝大乘論講記》</w:t>
      </w:r>
      <w:r w:rsidRPr="00212D57">
        <w:rPr>
          <w:rFonts w:hint="eastAsia"/>
          <w:szCs w:val="22"/>
        </w:rPr>
        <w:t>，</w:t>
      </w:r>
      <w:r w:rsidRPr="00761EF3">
        <w:rPr>
          <w:szCs w:val="22"/>
        </w:rPr>
        <w:t>pp</w:t>
      </w:r>
      <w:r w:rsidRPr="00212D57">
        <w:rPr>
          <w:szCs w:val="22"/>
        </w:rPr>
        <w:t>.</w:t>
      </w:r>
      <w:r w:rsidRPr="00761EF3">
        <w:rPr>
          <w:szCs w:val="22"/>
        </w:rPr>
        <w:t>283</w:t>
      </w:r>
      <w:r w:rsidRPr="00212D57">
        <w:rPr>
          <w:szCs w:val="22"/>
        </w:rPr>
        <w:t>-</w:t>
      </w:r>
      <w:r w:rsidRPr="00761EF3">
        <w:rPr>
          <w:szCs w:val="22"/>
        </w:rPr>
        <w:t>284</w:t>
      </w:r>
      <w:r w:rsidRPr="00212D57">
        <w:rPr>
          <w:szCs w:val="22"/>
        </w:rPr>
        <w:t>：</w:t>
      </w:r>
    </w:p>
    <w:p w:rsidR="00157EF6" w:rsidRPr="00212D57" w:rsidRDefault="00157EF6" w:rsidP="002B682F">
      <w:pPr>
        <w:snapToGrid w:val="0"/>
        <w:ind w:leftChars="330" w:left="792" w:firstLine="1"/>
        <w:jc w:val="both"/>
        <w:rPr>
          <w:rFonts w:ascii="標楷體" w:eastAsia="標楷體" w:hAnsi="標楷體"/>
          <w:sz w:val="22"/>
          <w:szCs w:val="22"/>
        </w:rPr>
      </w:pPr>
      <w:r w:rsidRPr="00212D57">
        <w:rPr>
          <w:rFonts w:ascii="標楷體" w:eastAsia="標楷體" w:hAnsi="標楷體"/>
          <w:sz w:val="22"/>
          <w:szCs w:val="22"/>
        </w:rPr>
        <w:t>第四頌（「自然自體無，自性不堅住，如執取不有，故許無自性」）解說一切法無自性的含義：這有小乘共許的三義，與大乘特有的見解，共有四個意義。</w:t>
      </w:r>
    </w:p>
    <w:p w:rsidR="00157EF6" w:rsidRPr="00212D57" w:rsidRDefault="00157EF6" w:rsidP="002B682F">
      <w:pPr>
        <w:snapToGrid w:val="0"/>
        <w:ind w:leftChars="330" w:left="1232" w:hangingChars="200" w:hanging="440"/>
        <w:jc w:val="both"/>
        <w:rPr>
          <w:rFonts w:ascii="標楷體" w:eastAsia="標楷體" w:hAnsi="標楷體"/>
          <w:sz w:val="22"/>
          <w:szCs w:val="22"/>
        </w:rPr>
      </w:pPr>
      <w:r w:rsidRPr="00212D57">
        <w:rPr>
          <w:rFonts w:ascii="標楷體" w:eastAsia="標楷體" w:hAnsi="標楷體"/>
          <w:sz w:val="22"/>
          <w:szCs w:val="22"/>
        </w:rPr>
        <w:t>一、「自然」無：約未來說，諸法從未來生起的時候，必有種種因緣，不是自然現起的，約這無自然生性，所以說無自性。</w:t>
      </w:r>
    </w:p>
    <w:p w:rsidR="00157EF6" w:rsidRPr="00212D57" w:rsidRDefault="00157EF6" w:rsidP="002B682F">
      <w:pPr>
        <w:snapToGrid w:val="0"/>
        <w:ind w:leftChars="330" w:left="1232" w:hangingChars="200" w:hanging="440"/>
        <w:jc w:val="both"/>
        <w:rPr>
          <w:rFonts w:ascii="標楷體" w:eastAsia="標楷體" w:hAnsi="標楷體"/>
          <w:sz w:val="22"/>
          <w:szCs w:val="22"/>
        </w:rPr>
      </w:pPr>
      <w:r w:rsidRPr="00212D57">
        <w:rPr>
          <w:rFonts w:ascii="標楷體" w:eastAsia="標楷體" w:hAnsi="標楷體"/>
          <w:sz w:val="22"/>
          <w:szCs w:val="22"/>
        </w:rPr>
        <w:t>二、「自體無」：約過去說，過去了的自體已經滅無，是不會再現起的，所以說無自性。</w:t>
      </w:r>
    </w:p>
    <w:p w:rsidR="00A04018" w:rsidRDefault="00157EF6" w:rsidP="002B682F">
      <w:pPr>
        <w:snapToGrid w:val="0"/>
        <w:ind w:leftChars="330" w:left="1232" w:hangingChars="200" w:hanging="440"/>
        <w:jc w:val="both"/>
        <w:rPr>
          <w:rFonts w:ascii="標楷體" w:eastAsia="標楷體" w:hAnsi="標楷體"/>
          <w:sz w:val="22"/>
          <w:szCs w:val="22"/>
        </w:rPr>
      </w:pPr>
      <w:r w:rsidRPr="00212D57">
        <w:rPr>
          <w:rFonts w:ascii="標楷體" w:eastAsia="標楷體" w:hAnsi="標楷體"/>
          <w:sz w:val="22"/>
          <w:szCs w:val="22"/>
        </w:rPr>
        <w:t>三、「自性不堅住」：約現在說，諸法一剎那間生而即滅，不能有剎那的安住相，約這不堅住性，所以說無自性。</w:t>
      </w:r>
    </w:p>
    <w:p w:rsidR="00157EF6" w:rsidRPr="00212D57" w:rsidRDefault="00157EF6" w:rsidP="002B682F">
      <w:pPr>
        <w:snapToGrid w:val="0"/>
        <w:ind w:leftChars="330" w:left="1232" w:hangingChars="200" w:hanging="440"/>
        <w:jc w:val="both"/>
        <w:rPr>
          <w:rFonts w:ascii="標楷體" w:eastAsia="標楷體" w:hAnsi="標楷體"/>
          <w:sz w:val="22"/>
          <w:szCs w:val="22"/>
        </w:rPr>
      </w:pPr>
      <w:r w:rsidRPr="00A04018">
        <w:rPr>
          <w:rFonts w:ascii="標楷體" w:eastAsia="標楷體" w:hAnsi="標楷體"/>
          <w:sz w:val="22"/>
          <w:szCs w:val="22"/>
          <w:highlight w:val="yellow"/>
        </w:rPr>
        <w:t>這</w:t>
      </w:r>
      <w:r w:rsidRPr="00212D57">
        <w:rPr>
          <w:rFonts w:ascii="標楷體" w:eastAsia="標楷體" w:hAnsi="標楷體"/>
          <w:sz w:val="22"/>
          <w:szCs w:val="22"/>
        </w:rPr>
        <w:t>三種無自性義，是大小乘所共許的。</w:t>
      </w:r>
    </w:p>
    <w:p w:rsidR="00157EF6" w:rsidRPr="00212D57" w:rsidRDefault="00157EF6" w:rsidP="002B682F">
      <w:pPr>
        <w:snapToGrid w:val="0"/>
        <w:ind w:leftChars="330" w:left="1232" w:hangingChars="200" w:hanging="440"/>
        <w:jc w:val="both"/>
        <w:rPr>
          <w:sz w:val="22"/>
          <w:szCs w:val="22"/>
        </w:rPr>
      </w:pPr>
      <w:r w:rsidRPr="00212D57">
        <w:rPr>
          <w:rFonts w:ascii="標楷體" w:eastAsia="標楷體" w:hAnsi="標楷體"/>
          <w:sz w:val="22"/>
          <w:szCs w:val="22"/>
        </w:rPr>
        <w:t>四、「如執取不有」：這約大乘不共義說遍計所執性的無自性。依他起上似義顯現的，如我們執取為實有的，沒有實有的自相，這叫遍計所執相無自性。</w:t>
      </w:r>
    </w:p>
  </w:footnote>
  <w:footnote w:id="402">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212D57">
        <w:rPr>
          <w:szCs w:val="22"/>
        </w:rPr>
        <w:t>《雜阿含經》卷</w:t>
      </w:r>
      <w:r w:rsidRPr="00761EF3">
        <w:rPr>
          <w:szCs w:val="22"/>
        </w:rPr>
        <w:t>33</w:t>
      </w:r>
      <w:r w:rsidRPr="00212D57">
        <w:rPr>
          <w:szCs w:val="22"/>
        </w:rPr>
        <w:t>（</w:t>
      </w:r>
      <w:r w:rsidRPr="00761EF3">
        <w:rPr>
          <w:szCs w:val="22"/>
        </w:rPr>
        <w:t>926</w:t>
      </w:r>
      <w:r w:rsidRPr="00212D57">
        <w:rPr>
          <w:szCs w:val="22"/>
        </w:rPr>
        <w:t>經）</w:t>
      </w:r>
      <w:r w:rsidR="000058DD" w:rsidRPr="00212D57">
        <w:rPr>
          <w:szCs w:val="22"/>
        </w:rPr>
        <w:t>（大正</w:t>
      </w:r>
      <w:r w:rsidR="000058DD" w:rsidRPr="00761EF3">
        <w:rPr>
          <w:szCs w:val="22"/>
        </w:rPr>
        <w:t>2</w:t>
      </w:r>
      <w:r w:rsidR="000058DD" w:rsidRPr="00212D57">
        <w:rPr>
          <w:szCs w:val="22"/>
        </w:rPr>
        <w:t>，</w:t>
      </w:r>
      <w:r w:rsidR="000058DD" w:rsidRPr="00761EF3">
        <w:rPr>
          <w:szCs w:val="22"/>
        </w:rPr>
        <w:t>236a10</w:t>
      </w:r>
      <w:r w:rsidR="000058DD" w:rsidRPr="00212D57">
        <w:rPr>
          <w:szCs w:val="22"/>
        </w:rPr>
        <w:t>-</w:t>
      </w:r>
      <w:r w:rsidR="000058DD" w:rsidRPr="00761EF3">
        <w:rPr>
          <w:szCs w:val="22"/>
        </w:rPr>
        <w:t>15</w:t>
      </w:r>
      <w:r w:rsidR="000058DD" w:rsidRPr="00212D57">
        <w:rPr>
          <w:szCs w:val="22"/>
        </w:rPr>
        <w:t>）</w:t>
      </w:r>
      <w:r w:rsidRPr="00212D57">
        <w:rPr>
          <w:szCs w:val="22"/>
        </w:rPr>
        <w:t>：「</w:t>
      </w:r>
      <w:r w:rsidRPr="00212D57">
        <w:rPr>
          <w:rFonts w:ascii="標楷體" w:eastAsia="標楷體" w:hAnsi="標楷體"/>
          <w:szCs w:val="22"/>
        </w:rPr>
        <w:t>不以疑纏而求正受，如是詵陀！比丘如是禪者不依地修禪</w:t>
      </w:r>
      <w:r w:rsidR="00872176">
        <w:rPr>
          <w:rFonts w:ascii="標楷體" w:eastAsia="標楷體" w:hAnsi="標楷體" w:hint="eastAsia"/>
          <w:color w:val="FF0000"/>
          <w:kern w:val="0"/>
          <w:highlight w:val="yellow"/>
        </w:rPr>
        <w:t>，</w:t>
      </w:r>
      <w:r w:rsidRPr="00212D57">
        <w:rPr>
          <w:rFonts w:ascii="標楷體" w:eastAsia="標楷體" w:hAnsi="標楷體"/>
          <w:szCs w:val="22"/>
        </w:rPr>
        <w:t>不依</w:t>
      </w:r>
      <w:r w:rsidR="00872176">
        <w:rPr>
          <w:rFonts w:ascii="標楷體" w:eastAsia="標楷體" w:hAnsi="標楷體" w:hint="eastAsia"/>
          <w:color w:val="FF0000"/>
          <w:kern w:val="0"/>
          <w:highlight w:val="yellow"/>
        </w:rPr>
        <w:t>『</w:t>
      </w:r>
      <w:r w:rsidRPr="00212D57">
        <w:rPr>
          <w:rFonts w:ascii="標楷體" w:eastAsia="標楷體" w:hAnsi="標楷體"/>
          <w:szCs w:val="22"/>
        </w:rPr>
        <w:t>水、火、風、空、識、無所有、非想非非想</w:t>
      </w:r>
      <w:r w:rsidR="00872176">
        <w:rPr>
          <w:rFonts w:ascii="標楷體" w:eastAsia="標楷體" w:hAnsi="標楷體" w:hint="eastAsia"/>
          <w:color w:val="FF0000"/>
          <w:kern w:val="0"/>
          <w:highlight w:val="yellow"/>
        </w:rPr>
        <w:t>』</w:t>
      </w:r>
      <w:r w:rsidRPr="00212D57">
        <w:rPr>
          <w:rFonts w:ascii="標楷體" w:eastAsia="標楷體" w:hAnsi="標楷體"/>
          <w:szCs w:val="22"/>
        </w:rPr>
        <w:t>而修禪</w:t>
      </w:r>
      <w:r w:rsidR="00872176">
        <w:rPr>
          <w:rFonts w:ascii="標楷體" w:eastAsia="標楷體" w:hAnsi="標楷體" w:hint="eastAsia"/>
          <w:color w:val="FF0000"/>
          <w:kern w:val="0"/>
          <w:highlight w:val="yellow"/>
        </w:rPr>
        <w:t>，</w:t>
      </w:r>
      <w:r w:rsidRPr="00212D57">
        <w:rPr>
          <w:rFonts w:ascii="標楷體" w:eastAsia="標楷體" w:hAnsi="標楷體"/>
          <w:szCs w:val="22"/>
        </w:rPr>
        <w:t>不依此世、不依他世，非</w:t>
      </w:r>
      <w:r w:rsidR="00872176">
        <w:rPr>
          <w:rFonts w:ascii="標楷體" w:eastAsia="標楷體" w:hAnsi="標楷體" w:hint="eastAsia"/>
          <w:color w:val="FF0000"/>
          <w:kern w:val="0"/>
          <w:highlight w:val="yellow"/>
        </w:rPr>
        <w:t>『</w:t>
      </w:r>
      <w:r w:rsidRPr="00212D57">
        <w:rPr>
          <w:rFonts w:ascii="標楷體" w:eastAsia="標楷體" w:hAnsi="標楷體"/>
          <w:szCs w:val="22"/>
        </w:rPr>
        <w:t>日、月</w:t>
      </w:r>
      <w:r w:rsidR="00872176">
        <w:rPr>
          <w:rFonts w:ascii="標楷體" w:eastAsia="標楷體" w:hAnsi="標楷體" w:hint="eastAsia"/>
          <w:color w:val="FF0000"/>
          <w:kern w:val="0"/>
          <w:highlight w:val="yellow"/>
        </w:rPr>
        <w:t>』</w:t>
      </w:r>
      <w:r w:rsidRPr="00212D57">
        <w:rPr>
          <w:rFonts w:ascii="標楷體" w:eastAsia="標楷體" w:hAnsi="標楷體"/>
          <w:szCs w:val="22"/>
        </w:rPr>
        <w:t>、非</w:t>
      </w:r>
      <w:r w:rsidR="00872176">
        <w:rPr>
          <w:rFonts w:ascii="標楷體" w:eastAsia="標楷體" w:hAnsi="標楷體" w:hint="eastAsia"/>
          <w:color w:val="FF0000"/>
          <w:kern w:val="0"/>
          <w:highlight w:val="yellow"/>
        </w:rPr>
        <w:t>『</w:t>
      </w:r>
      <w:r w:rsidRPr="00212D57">
        <w:rPr>
          <w:rFonts w:ascii="標楷體" w:eastAsia="標楷體" w:hAnsi="標楷體"/>
          <w:szCs w:val="22"/>
        </w:rPr>
        <w:t>見、聞、覺、識</w:t>
      </w:r>
      <w:r w:rsidR="00872176">
        <w:rPr>
          <w:rFonts w:ascii="標楷體" w:eastAsia="標楷體" w:hAnsi="標楷體" w:hint="eastAsia"/>
          <w:color w:val="FF0000"/>
          <w:kern w:val="0"/>
          <w:highlight w:val="yellow"/>
        </w:rPr>
        <w:t>』</w:t>
      </w:r>
      <w:r w:rsidR="00872176">
        <w:rPr>
          <w:rFonts w:ascii="標楷體" w:eastAsia="標楷體" w:hAnsi="標楷體" w:hint="eastAsia"/>
          <w:color w:val="FF0000"/>
          <w:spacing w:val="-4"/>
          <w:kern w:val="0"/>
          <w:highlight w:val="yellow"/>
        </w:rPr>
        <w:t>、</w:t>
      </w:r>
      <w:r w:rsidRPr="00212D57">
        <w:rPr>
          <w:rFonts w:ascii="標楷體" w:eastAsia="標楷體" w:hAnsi="標楷體"/>
          <w:szCs w:val="22"/>
        </w:rPr>
        <w:t>非得非求</w:t>
      </w:r>
      <w:r w:rsidR="00872176">
        <w:rPr>
          <w:rFonts w:ascii="標楷體" w:eastAsia="標楷體" w:hAnsi="標楷體" w:hint="eastAsia"/>
          <w:color w:val="FF0000"/>
          <w:spacing w:val="-4"/>
          <w:kern w:val="0"/>
          <w:highlight w:val="yellow"/>
        </w:rPr>
        <w:t>、</w:t>
      </w:r>
      <w:r w:rsidRPr="00212D57">
        <w:rPr>
          <w:rFonts w:ascii="標楷體" w:eastAsia="標楷體" w:hAnsi="標楷體"/>
          <w:szCs w:val="22"/>
        </w:rPr>
        <w:t>非隨</w:t>
      </w:r>
      <w:r w:rsidRPr="00872176">
        <w:rPr>
          <w:rFonts w:ascii="標楷體" w:eastAsia="標楷體" w:hAnsi="標楷體"/>
          <w:szCs w:val="22"/>
          <w:highlight w:val="yellow"/>
        </w:rPr>
        <w:t>覺非</w:t>
      </w:r>
      <w:r w:rsidRPr="00212D57">
        <w:rPr>
          <w:rFonts w:ascii="標楷體" w:eastAsia="標楷體" w:hAnsi="標楷體"/>
          <w:szCs w:val="22"/>
        </w:rPr>
        <w:t>隨觀而修禪</w:t>
      </w:r>
      <w:r w:rsidRPr="00212D57">
        <w:rPr>
          <w:szCs w:val="22"/>
        </w:rPr>
        <w:t>。」</w:t>
      </w:r>
    </w:p>
    <w:p w:rsidR="00157EF6" w:rsidRPr="00212D57" w:rsidRDefault="00157EF6" w:rsidP="002B682F">
      <w:pPr>
        <w:pStyle w:val="a5"/>
        <w:ind w:leftChars="105" w:left="79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w:t>
      </w:r>
      <w:r w:rsidR="009160B5">
        <w:rPr>
          <w:rStyle w:val="byline"/>
          <w:rFonts w:hAnsi="新細明體"/>
          <w:color w:val="auto"/>
          <w:sz w:val="22"/>
          <w:szCs w:val="22"/>
        </w:rPr>
        <w:t>參見：印</w:t>
      </w:r>
      <w:r w:rsidRPr="00212D57">
        <w:rPr>
          <w:szCs w:val="22"/>
        </w:rPr>
        <w:t>順法師：《初期大乘佛教之起源與開展》</w:t>
      </w:r>
      <w:r w:rsidRPr="00212D57">
        <w:rPr>
          <w:rFonts w:hint="eastAsia"/>
          <w:szCs w:val="22"/>
        </w:rPr>
        <w:t>，</w:t>
      </w:r>
      <w:r w:rsidRPr="00761EF3">
        <w:rPr>
          <w:szCs w:val="22"/>
        </w:rPr>
        <w:t>pp</w:t>
      </w:r>
      <w:r w:rsidRPr="00212D57">
        <w:rPr>
          <w:szCs w:val="22"/>
        </w:rPr>
        <w:t>.</w:t>
      </w:r>
      <w:r w:rsidRPr="00761EF3">
        <w:rPr>
          <w:szCs w:val="22"/>
        </w:rPr>
        <w:t>278</w:t>
      </w:r>
      <w:r w:rsidRPr="00212D57">
        <w:rPr>
          <w:szCs w:val="22"/>
        </w:rPr>
        <w:t>-</w:t>
      </w:r>
      <w:r w:rsidRPr="00761EF3">
        <w:rPr>
          <w:szCs w:val="22"/>
        </w:rPr>
        <w:t>285</w:t>
      </w:r>
      <w:r w:rsidRPr="00212D57">
        <w:rPr>
          <w:szCs w:val="22"/>
        </w:rPr>
        <w:t>；《空之探究》</w:t>
      </w:r>
      <w:r w:rsidR="00150582">
        <w:rPr>
          <w:rFonts w:hint="eastAsia"/>
          <w:szCs w:val="22"/>
        </w:rPr>
        <w:t>，</w:t>
      </w:r>
      <w:r w:rsidRPr="00761EF3">
        <w:rPr>
          <w:szCs w:val="22"/>
        </w:rPr>
        <w:t>pp</w:t>
      </w:r>
      <w:r w:rsidRPr="00212D57">
        <w:rPr>
          <w:szCs w:val="22"/>
        </w:rPr>
        <w:t>.</w:t>
      </w:r>
      <w:r w:rsidRPr="00761EF3">
        <w:rPr>
          <w:szCs w:val="22"/>
        </w:rPr>
        <w:t>41</w:t>
      </w:r>
      <w:r w:rsidRPr="00212D57">
        <w:rPr>
          <w:szCs w:val="22"/>
        </w:rPr>
        <w:t>-</w:t>
      </w:r>
      <w:r w:rsidRPr="00761EF3">
        <w:rPr>
          <w:szCs w:val="22"/>
        </w:rPr>
        <w:t>42</w:t>
      </w:r>
      <w:r w:rsidRPr="00212D57">
        <w:rPr>
          <w:szCs w:val="22"/>
        </w:rPr>
        <w:t>；《性空學探源》</w:t>
      </w:r>
      <w:r w:rsidR="002A6B8B">
        <w:rPr>
          <w:rFonts w:hint="eastAsia"/>
          <w:szCs w:val="22"/>
        </w:rPr>
        <w:t>，</w:t>
      </w:r>
      <w:r w:rsidRPr="00761EF3">
        <w:rPr>
          <w:szCs w:val="22"/>
        </w:rPr>
        <w:t>pp</w:t>
      </w:r>
      <w:r w:rsidRPr="00212D57">
        <w:rPr>
          <w:szCs w:val="22"/>
        </w:rPr>
        <w:t>.</w:t>
      </w:r>
      <w:r w:rsidRPr="00761EF3">
        <w:rPr>
          <w:szCs w:val="22"/>
        </w:rPr>
        <w:t>80</w:t>
      </w:r>
      <w:r w:rsidRPr="00212D57">
        <w:rPr>
          <w:szCs w:val="22"/>
        </w:rPr>
        <w:t>-</w:t>
      </w:r>
      <w:r w:rsidRPr="00761EF3">
        <w:rPr>
          <w:szCs w:val="22"/>
        </w:rPr>
        <w:t>83</w:t>
      </w:r>
      <w:r w:rsidRPr="00212D57">
        <w:rPr>
          <w:szCs w:val="22"/>
        </w:rPr>
        <w:t>。</w:t>
      </w:r>
    </w:p>
  </w:footnote>
  <w:footnote w:id="403">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《別譯雜阿含經》卷</w:t>
      </w:r>
      <w:r w:rsidRPr="00761EF3">
        <w:rPr>
          <w:szCs w:val="22"/>
        </w:rPr>
        <w:t>8</w:t>
      </w:r>
      <w:r w:rsidRPr="00212D57">
        <w:rPr>
          <w:szCs w:val="22"/>
        </w:rPr>
        <w:t>（</w:t>
      </w:r>
      <w:r w:rsidRPr="00761EF3">
        <w:rPr>
          <w:szCs w:val="22"/>
        </w:rPr>
        <w:t>151</w:t>
      </w:r>
      <w:r w:rsidRPr="00212D57">
        <w:rPr>
          <w:szCs w:val="22"/>
        </w:rPr>
        <w:t>經）</w:t>
      </w:r>
      <w:r w:rsidRPr="00212D57">
        <w:rPr>
          <w:rFonts w:hint="eastAsia"/>
          <w:szCs w:val="22"/>
        </w:rPr>
        <w:t>（</w:t>
      </w:r>
      <w:r w:rsidRPr="00212D57">
        <w:rPr>
          <w:szCs w:val="22"/>
        </w:rPr>
        <w:t>大正</w:t>
      </w:r>
      <w:r w:rsidRPr="00761EF3">
        <w:rPr>
          <w:szCs w:val="22"/>
        </w:rPr>
        <w:t>2</w:t>
      </w:r>
      <w:r w:rsidRPr="00212D57">
        <w:rPr>
          <w:szCs w:val="22"/>
        </w:rPr>
        <w:t>，</w:t>
      </w:r>
      <w:r w:rsidRPr="00761EF3">
        <w:rPr>
          <w:szCs w:val="22"/>
        </w:rPr>
        <w:t>431a17</w:t>
      </w:r>
      <w:r w:rsidRPr="00212D57">
        <w:rPr>
          <w:rFonts w:hint="eastAsia"/>
          <w:szCs w:val="22"/>
        </w:rPr>
        <w:t>-</w:t>
      </w:r>
      <w:r w:rsidRPr="00761EF3">
        <w:rPr>
          <w:szCs w:val="22"/>
        </w:rPr>
        <w:t>19</w:t>
      </w:r>
      <w:r w:rsidRPr="00212D57">
        <w:rPr>
          <w:rFonts w:hint="eastAsia"/>
          <w:szCs w:val="22"/>
        </w:rPr>
        <w:t>）</w:t>
      </w:r>
      <w:r w:rsidRPr="00212D57">
        <w:rPr>
          <w:szCs w:val="22"/>
        </w:rPr>
        <w:t>。</w:t>
      </w:r>
    </w:p>
  </w:footnote>
  <w:footnote w:id="404">
    <w:p w:rsidR="00A04018" w:rsidRPr="00212D57" w:rsidRDefault="00A04018" w:rsidP="00A04018">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《瑜伽師地論》卷</w:t>
      </w:r>
      <w:r w:rsidRPr="00761EF3">
        <w:rPr>
          <w:szCs w:val="22"/>
        </w:rPr>
        <w:t>36</w:t>
      </w:r>
      <w:r w:rsidRPr="00212D57">
        <w:rPr>
          <w:szCs w:val="22"/>
        </w:rPr>
        <w:t>（大正</w:t>
      </w:r>
      <w:r w:rsidRPr="00761EF3">
        <w:rPr>
          <w:szCs w:val="22"/>
        </w:rPr>
        <w:t>30</w:t>
      </w:r>
      <w:r w:rsidRPr="00212D57">
        <w:rPr>
          <w:szCs w:val="22"/>
        </w:rPr>
        <w:t>，</w:t>
      </w:r>
      <w:r w:rsidRPr="00761EF3">
        <w:rPr>
          <w:szCs w:val="22"/>
        </w:rPr>
        <w:t>489b7</w:t>
      </w:r>
      <w:r w:rsidRPr="00212D57">
        <w:rPr>
          <w:szCs w:val="22"/>
        </w:rPr>
        <w:t>-</w:t>
      </w:r>
      <w:r w:rsidRPr="00761EF3">
        <w:rPr>
          <w:szCs w:val="22"/>
        </w:rPr>
        <w:t>c2</w:t>
      </w:r>
      <w:r w:rsidRPr="00212D57">
        <w:rPr>
          <w:szCs w:val="22"/>
        </w:rPr>
        <w:t>）。</w:t>
      </w:r>
    </w:p>
  </w:footnote>
  <w:footnote w:id="405">
    <w:p w:rsidR="00A04018" w:rsidRPr="00212D57" w:rsidRDefault="00A04018" w:rsidP="00A04018">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）案：</w:t>
      </w:r>
      <w:r w:rsidRPr="00212D57">
        <w:rPr>
          <w:szCs w:val="22"/>
        </w:rPr>
        <w:t>《攝</w:t>
      </w:r>
      <w:r w:rsidRPr="00212D57">
        <w:rPr>
          <w:rFonts w:hint="eastAsia"/>
          <w:szCs w:val="22"/>
        </w:rPr>
        <w:t>大乘</w:t>
      </w:r>
      <w:r w:rsidRPr="00212D57">
        <w:rPr>
          <w:szCs w:val="22"/>
        </w:rPr>
        <w:t>論》三說</w:t>
      </w:r>
      <w:r w:rsidRPr="00212D57">
        <w:rPr>
          <w:rFonts w:hint="eastAsia"/>
          <w:szCs w:val="22"/>
        </w:rPr>
        <w:t>，是指</w:t>
      </w:r>
      <w:r w:rsidRPr="00761EF3">
        <w:rPr>
          <w:rFonts w:hint="eastAsia"/>
          <w:szCs w:val="22"/>
        </w:rPr>
        <w:t>1</w:t>
      </w:r>
      <w:r w:rsidRPr="00212D57">
        <w:rPr>
          <w:rFonts w:hint="eastAsia"/>
          <w:szCs w:val="22"/>
        </w:rPr>
        <w:t>、自然無，</w:t>
      </w:r>
      <w:r w:rsidRPr="00761EF3">
        <w:rPr>
          <w:rFonts w:hint="eastAsia"/>
          <w:szCs w:val="22"/>
        </w:rPr>
        <w:t>2</w:t>
      </w:r>
      <w:r w:rsidRPr="00212D57">
        <w:rPr>
          <w:rFonts w:hint="eastAsia"/>
          <w:szCs w:val="22"/>
        </w:rPr>
        <w:t>、自體無，</w:t>
      </w:r>
      <w:r w:rsidRPr="00761EF3">
        <w:rPr>
          <w:rFonts w:hint="eastAsia"/>
          <w:szCs w:val="22"/>
        </w:rPr>
        <w:t>3</w:t>
      </w:r>
      <w:r w:rsidRPr="00212D57">
        <w:rPr>
          <w:rFonts w:hint="eastAsia"/>
          <w:szCs w:val="22"/>
        </w:rPr>
        <w:t>、自性不堅住。</w:t>
      </w:r>
    </w:p>
    <w:p w:rsidR="00A04018" w:rsidRPr="00212D57" w:rsidRDefault="00A04018" w:rsidP="00A04018">
      <w:pPr>
        <w:pStyle w:val="a5"/>
        <w:ind w:leftChars="105" w:left="791" w:hangingChars="245" w:hanging="539"/>
        <w:jc w:val="both"/>
        <w:rPr>
          <w:rFonts w:ascii="標楷體" w:eastAsia="標楷體" w:hAnsi="標楷體"/>
          <w:szCs w:val="22"/>
        </w:rPr>
      </w:pPr>
      <w:r w:rsidRPr="00212D57">
        <w:rPr>
          <w:rFonts w:hint="eastAsia"/>
          <w:szCs w:val="22"/>
        </w:rPr>
        <w:t>（</w:t>
      </w:r>
      <w:r w:rsidRPr="00761EF3">
        <w:rPr>
          <w:rFonts w:hint="eastAsia"/>
          <w:szCs w:val="22"/>
        </w:rPr>
        <w:t>2</w:t>
      </w:r>
      <w:r w:rsidRPr="00212D57">
        <w:rPr>
          <w:rFonts w:hint="eastAsia"/>
          <w:szCs w:val="22"/>
        </w:rPr>
        <w:t>）</w:t>
      </w:r>
      <w:r w:rsidRPr="00212D57">
        <w:rPr>
          <w:szCs w:val="22"/>
        </w:rPr>
        <w:t>印順法師</w:t>
      </w:r>
      <w:r w:rsidRPr="00212D57">
        <w:rPr>
          <w:rFonts w:hint="eastAsia"/>
          <w:szCs w:val="22"/>
        </w:rPr>
        <w:t>，</w:t>
      </w:r>
      <w:r w:rsidRPr="00212D57">
        <w:rPr>
          <w:szCs w:val="22"/>
        </w:rPr>
        <w:t>《攝大乘論講記》</w:t>
      </w:r>
      <w:r w:rsidRPr="00212D57">
        <w:rPr>
          <w:rFonts w:hint="eastAsia"/>
          <w:szCs w:val="22"/>
        </w:rPr>
        <w:t>，</w:t>
      </w:r>
      <w:r w:rsidRPr="00761EF3">
        <w:rPr>
          <w:rFonts w:hint="eastAsia"/>
          <w:szCs w:val="22"/>
        </w:rPr>
        <w:t>p</w:t>
      </w:r>
      <w:r w:rsidRPr="00212D57">
        <w:rPr>
          <w:rFonts w:hint="eastAsia"/>
          <w:szCs w:val="22"/>
        </w:rPr>
        <w:t>.</w:t>
      </w:r>
      <w:r w:rsidRPr="00761EF3">
        <w:rPr>
          <w:szCs w:val="22"/>
        </w:rPr>
        <w:t>284</w:t>
      </w:r>
      <w:r w:rsidRPr="00212D57">
        <w:rPr>
          <w:szCs w:val="22"/>
        </w:rPr>
        <w:t>：</w:t>
      </w:r>
    </w:p>
    <w:p w:rsidR="00A04018" w:rsidRPr="00212D57" w:rsidRDefault="00A04018" w:rsidP="00A04018">
      <w:pPr>
        <w:pStyle w:val="a5"/>
        <w:ind w:leftChars="335" w:left="804"/>
        <w:jc w:val="both"/>
        <w:rPr>
          <w:rFonts w:ascii="標楷體" w:eastAsia="標楷體" w:hAnsi="標楷體"/>
          <w:szCs w:val="22"/>
        </w:rPr>
      </w:pPr>
      <w:r w:rsidRPr="00212D57">
        <w:rPr>
          <w:rFonts w:ascii="標楷體" w:eastAsia="標楷體" w:hAnsi="標楷體"/>
          <w:szCs w:val="22"/>
        </w:rPr>
        <w:t>前三種，從緣起生滅上，說明過去現在未來的無自性，若執為實有，就是增益執。《深密經》說生無自然性，也是與小乘共的。</w:t>
      </w:r>
    </w:p>
    <w:p w:rsidR="00A04018" w:rsidRPr="00212D57" w:rsidRDefault="00A04018" w:rsidP="00A04018">
      <w:pPr>
        <w:pStyle w:val="a5"/>
        <w:ind w:leftChars="335" w:left="804"/>
        <w:jc w:val="both"/>
        <w:rPr>
          <w:rFonts w:ascii="標楷體" w:eastAsia="標楷體" w:hAnsi="標楷體"/>
          <w:szCs w:val="22"/>
        </w:rPr>
      </w:pPr>
      <w:r w:rsidRPr="00212D57">
        <w:rPr>
          <w:rFonts w:ascii="標楷體" w:eastAsia="標楷體" w:hAnsi="標楷體"/>
          <w:szCs w:val="22"/>
        </w:rPr>
        <w:t>不過小乘雖離去生無自然性，建立因果相續，祇能厭離無常，並不能通達法空所顯的真實性，所以又為大乘說遍計所執性的相無性。這如執取不有的相無性，在唯識學中，就是無義。</w:t>
      </w:r>
    </w:p>
    <w:p w:rsidR="00A04018" w:rsidRPr="00212D57" w:rsidRDefault="00A04018" w:rsidP="00A04018">
      <w:pPr>
        <w:pStyle w:val="a5"/>
        <w:ind w:leftChars="335" w:left="804"/>
        <w:jc w:val="both"/>
        <w:rPr>
          <w:rFonts w:ascii="標楷體" w:eastAsia="標楷體" w:hAnsi="標楷體"/>
          <w:szCs w:val="22"/>
        </w:rPr>
      </w:pPr>
      <w:r w:rsidRPr="00212D57">
        <w:rPr>
          <w:rFonts w:ascii="標楷體" w:eastAsia="標楷體" w:hAnsi="標楷體"/>
          <w:b/>
          <w:szCs w:val="22"/>
        </w:rPr>
        <w:t>空宗的無自性</w:t>
      </w:r>
      <w:r w:rsidRPr="00212D57">
        <w:rPr>
          <w:rFonts w:ascii="標楷體" w:eastAsia="標楷體" w:hAnsi="標楷體"/>
          <w:szCs w:val="22"/>
        </w:rPr>
        <w:t>，與</w:t>
      </w:r>
      <w:r>
        <w:rPr>
          <w:rFonts w:ascii="標楷體" w:eastAsia="標楷體" w:hAnsi="標楷體" w:hint="eastAsia"/>
          <w:szCs w:val="22"/>
        </w:rPr>
        <w:t>「</w:t>
      </w:r>
      <w:r w:rsidRPr="00212D57">
        <w:rPr>
          <w:rFonts w:ascii="標楷體" w:eastAsia="標楷體" w:hAnsi="標楷體"/>
          <w:szCs w:val="22"/>
        </w:rPr>
        <w:t>如執取不有</w:t>
      </w:r>
      <w:r>
        <w:rPr>
          <w:rFonts w:ascii="標楷體" w:eastAsia="標楷體" w:hAnsi="標楷體" w:hint="eastAsia"/>
          <w:szCs w:val="22"/>
        </w:rPr>
        <w:t>」</w:t>
      </w:r>
      <w:r w:rsidRPr="00212D57">
        <w:rPr>
          <w:rFonts w:ascii="標楷體" w:eastAsia="標楷體" w:hAnsi="標楷體"/>
          <w:szCs w:val="22"/>
        </w:rPr>
        <w:t>的思想很接近；所謂</w:t>
      </w:r>
      <w:r>
        <w:rPr>
          <w:rFonts w:ascii="標楷體" w:eastAsia="標楷體" w:hAnsi="標楷體" w:hint="eastAsia"/>
          <w:szCs w:val="22"/>
        </w:rPr>
        <w:t>「</w:t>
      </w:r>
      <w:r w:rsidRPr="00212D57">
        <w:rPr>
          <w:rFonts w:ascii="標楷體" w:eastAsia="標楷體" w:hAnsi="標楷體"/>
          <w:szCs w:val="22"/>
        </w:rPr>
        <w:t>諸法無所有，如是有，如是無所有，愚夫不知，名為無明</w:t>
      </w:r>
      <w:r>
        <w:rPr>
          <w:rFonts w:ascii="標楷體" w:eastAsia="標楷體" w:hAnsi="標楷體" w:hint="eastAsia"/>
          <w:szCs w:val="22"/>
        </w:rPr>
        <w:t>」</w:t>
      </w:r>
      <w:r w:rsidRPr="00212D57">
        <w:rPr>
          <w:rFonts w:ascii="標楷體" w:eastAsia="標楷體" w:hAnsi="標楷體"/>
          <w:szCs w:val="22"/>
        </w:rPr>
        <w:t>。但認識論上的執取非有，</w:t>
      </w:r>
      <w:r w:rsidRPr="00212D57">
        <w:rPr>
          <w:rFonts w:ascii="標楷體" w:eastAsia="標楷體" w:hAnsi="標楷體"/>
          <w:b/>
          <w:szCs w:val="22"/>
        </w:rPr>
        <w:t>立足於緣起無自性說</w:t>
      </w:r>
      <w:r w:rsidRPr="00212D57">
        <w:rPr>
          <w:rFonts w:ascii="標楷體" w:eastAsia="標楷體" w:hAnsi="標楷體"/>
          <w:szCs w:val="22"/>
        </w:rPr>
        <w:t>，不如唯識學者那樣的分成二截。</w:t>
      </w:r>
    </w:p>
    <w:p w:rsidR="00A04018" w:rsidRPr="00212D57" w:rsidRDefault="00A04018" w:rsidP="00A04018">
      <w:pPr>
        <w:pStyle w:val="a5"/>
        <w:ind w:leftChars="335" w:left="804"/>
        <w:jc w:val="both"/>
        <w:rPr>
          <w:b/>
          <w:szCs w:val="22"/>
        </w:rPr>
      </w:pPr>
      <w:r w:rsidRPr="00212D57">
        <w:rPr>
          <w:rFonts w:ascii="標楷體" w:eastAsia="標楷體" w:hAnsi="標楷體"/>
          <w:b/>
          <w:szCs w:val="22"/>
        </w:rPr>
        <w:t>依性空者的意見，無一法可取的無相義，實是《阿含經》的本義。</w:t>
      </w:r>
    </w:p>
  </w:footnote>
  <w:footnote w:id="406">
    <w:p w:rsidR="00A04018" w:rsidRPr="00212D57" w:rsidRDefault="00A04018" w:rsidP="00A04018">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szCs w:val="22"/>
        </w:rPr>
        <w:t>參見《大般若波羅蜜多經》卷</w:t>
      </w:r>
      <w:r w:rsidRPr="00761EF3">
        <w:rPr>
          <w:szCs w:val="22"/>
        </w:rPr>
        <w:t>475</w:t>
      </w:r>
      <w:r w:rsidRPr="00212D57">
        <w:rPr>
          <w:rFonts w:hint="eastAsia"/>
          <w:szCs w:val="22"/>
        </w:rPr>
        <w:t>（</w:t>
      </w:r>
      <w:r w:rsidRPr="00212D57">
        <w:rPr>
          <w:szCs w:val="22"/>
        </w:rPr>
        <w:t>大正</w:t>
      </w:r>
      <w:r w:rsidRPr="00761EF3">
        <w:rPr>
          <w:szCs w:val="22"/>
        </w:rPr>
        <w:t>7</w:t>
      </w:r>
      <w:r w:rsidRPr="00212D57">
        <w:rPr>
          <w:szCs w:val="22"/>
        </w:rPr>
        <w:t>，</w:t>
      </w:r>
      <w:r w:rsidRPr="00761EF3">
        <w:rPr>
          <w:rStyle w:val="old"/>
          <w:color w:val="auto"/>
          <w:szCs w:val="22"/>
        </w:rPr>
        <w:t>405b10</w:t>
      </w:r>
      <w:r w:rsidRPr="00212D57">
        <w:rPr>
          <w:rStyle w:val="old"/>
          <w:color w:val="auto"/>
          <w:szCs w:val="22"/>
        </w:rPr>
        <w:t>-</w:t>
      </w:r>
      <w:r w:rsidRPr="00761EF3">
        <w:rPr>
          <w:rStyle w:val="old"/>
          <w:color w:val="auto"/>
          <w:szCs w:val="22"/>
        </w:rPr>
        <w:t>c29</w:t>
      </w:r>
      <w:r w:rsidRPr="00212D57">
        <w:rPr>
          <w:rFonts w:hint="eastAsia"/>
          <w:szCs w:val="22"/>
        </w:rPr>
        <w:t>）</w:t>
      </w:r>
      <w:r w:rsidR="00327DF4" w:rsidRPr="00327DF4">
        <w:rPr>
          <w:rFonts w:hint="eastAsia"/>
          <w:color w:val="FF0000"/>
          <w:szCs w:val="22"/>
          <w:highlight w:val="yellow"/>
        </w:rPr>
        <w:t>，</w:t>
      </w:r>
      <w:r w:rsidR="00327DF4" w:rsidRPr="00327DF4">
        <w:rPr>
          <w:rFonts w:hint="eastAsia"/>
          <w:color w:val="FF0000"/>
          <w:highlight w:val="yellow"/>
        </w:rPr>
        <w:t>《摩訶般若波羅蜜經》卷</w:t>
      </w:r>
      <w:r w:rsidR="00327DF4" w:rsidRPr="00327DF4">
        <w:rPr>
          <w:rFonts w:hint="eastAsia"/>
          <w:color w:val="FF0000"/>
          <w:highlight w:val="yellow"/>
        </w:rPr>
        <w:t>25</w:t>
      </w:r>
      <w:r w:rsidR="00327DF4" w:rsidRPr="00327DF4">
        <w:rPr>
          <w:color w:val="FF0000"/>
          <w:szCs w:val="22"/>
          <w:highlight w:val="yellow"/>
        </w:rPr>
        <w:t>（大正</w:t>
      </w:r>
      <w:r w:rsidR="00327DF4" w:rsidRPr="00327DF4">
        <w:rPr>
          <w:color w:val="FF0000"/>
          <w:highlight w:val="yellow"/>
        </w:rPr>
        <w:t>8</w:t>
      </w:r>
      <w:r w:rsidR="00327DF4" w:rsidRPr="00327DF4">
        <w:rPr>
          <w:rFonts w:hint="eastAsia"/>
          <w:color w:val="FF0000"/>
          <w:highlight w:val="yellow"/>
        </w:rPr>
        <w:t>，</w:t>
      </w:r>
      <w:r w:rsidR="00327DF4" w:rsidRPr="00327DF4">
        <w:rPr>
          <w:color w:val="FF0000"/>
          <w:highlight w:val="yellow"/>
        </w:rPr>
        <w:t>405a11-b13</w:t>
      </w:r>
      <w:r w:rsidR="00327DF4" w:rsidRPr="00327DF4">
        <w:rPr>
          <w:color w:val="FF0000"/>
          <w:szCs w:val="22"/>
          <w:highlight w:val="yellow"/>
        </w:rPr>
        <w:t>）</w:t>
      </w:r>
      <w:r w:rsidR="00327DF4" w:rsidRPr="00212D57">
        <w:rPr>
          <w:rFonts w:hint="eastAsia"/>
          <w:szCs w:val="22"/>
        </w:rPr>
        <w:t>。</w:t>
      </w:r>
    </w:p>
  </w:footnote>
  <w:footnote w:id="407">
    <w:p w:rsidR="00A04018" w:rsidRPr="00212D57" w:rsidRDefault="00A04018" w:rsidP="00A04018">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212D57">
        <w:rPr>
          <w:szCs w:val="22"/>
        </w:rPr>
        <w:t>《雜阿含經》卷</w:t>
      </w:r>
      <w:r w:rsidRPr="00761EF3">
        <w:rPr>
          <w:rFonts w:hint="eastAsia"/>
          <w:szCs w:val="22"/>
        </w:rPr>
        <w:t>10</w:t>
      </w:r>
      <w:r w:rsidRPr="00212D57">
        <w:rPr>
          <w:szCs w:val="22"/>
        </w:rPr>
        <w:t>（</w:t>
      </w:r>
      <w:r w:rsidRPr="00761EF3">
        <w:rPr>
          <w:szCs w:val="22"/>
        </w:rPr>
        <w:t>272</w:t>
      </w:r>
      <w:r w:rsidRPr="00212D57">
        <w:rPr>
          <w:szCs w:val="22"/>
        </w:rPr>
        <w:t>經）（大正</w:t>
      </w:r>
      <w:r w:rsidRPr="00761EF3">
        <w:rPr>
          <w:szCs w:val="22"/>
        </w:rPr>
        <w:t>2</w:t>
      </w:r>
      <w:r w:rsidRPr="00212D57">
        <w:rPr>
          <w:szCs w:val="22"/>
        </w:rPr>
        <w:t>，</w:t>
      </w:r>
      <w:r w:rsidRPr="00761EF3">
        <w:rPr>
          <w:szCs w:val="22"/>
        </w:rPr>
        <w:t>72b</w:t>
      </w:r>
      <w:r w:rsidRPr="00761EF3">
        <w:rPr>
          <w:rFonts w:hint="eastAsia"/>
          <w:szCs w:val="22"/>
        </w:rPr>
        <w:t>4</w:t>
      </w:r>
      <w:r w:rsidRPr="00212D57">
        <w:rPr>
          <w:szCs w:val="22"/>
        </w:rPr>
        <w:t>-</w:t>
      </w:r>
      <w:r w:rsidRPr="00761EF3">
        <w:rPr>
          <w:szCs w:val="22"/>
        </w:rPr>
        <w:t>10</w:t>
      </w:r>
      <w:r w:rsidRPr="00212D57">
        <w:rPr>
          <w:szCs w:val="22"/>
        </w:rPr>
        <w:t>）</w:t>
      </w:r>
      <w:r w:rsidRPr="00212D57">
        <w:rPr>
          <w:rFonts w:hint="eastAsia"/>
          <w:szCs w:val="22"/>
        </w:rPr>
        <w:t>：</w:t>
      </w:r>
    </w:p>
    <w:p w:rsidR="00A04018" w:rsidRPr="00212D57" w:rsidRDefault="00A04018" w:rsidP="00A04018">
      <w:pPr>
        <w:pStyle w:val="a5"/>
        <w:ind w:leftChars="335" w:left="804"/>
        <w:jc w:val="both"/>
        <w:rPr>
          <w:rFonts w:ascii="標楷體" w:eastAsia="標楷體" w:hAnsi="標楷體"/>
          <w:szCs w:val="22"/>
        </w:rPr>
      </w:pPr>
      <w:r w:rsidRPr="00212D57">
        <w:rPr>
          <w:rFonts w:ascii="標楷體" w:eastAsia="標楷體" w:hAnsi="標楷體"/>
          <w:szCs w:val="22"/>
        </w:rPr>
        <w:t>多聞聖弟子作是思惟：</w:t>
      </w:r>
      <w:r w:rsidR="00311C8C">
        <w:rPr>
          <w:rFonts w:ascii="標楷體" w:eastAsia="標楷體" w:hAnsi="標楷體" w:hint="eastAsia"/>
          <w:bCs/>
          <w:color w:val="FF0000"/>
          <w:kern w:val="0"/>
          <w:highlight w:val="yellow"/>
        </w:rPr>
        <w:t>「</w:t>
      </w:r>
      <w:r w:rsidRPr="00212D57">
        <w:rPr>
          <w:rFonts w:ascii="標楷體" w:eastAsia="標楷體" w:hAnsi="標楷體"/>
          <w:szCs w:val="22"/>
        </w:rPr>
        <w:t>世間頗有一法可取而無罪過者</w:t>
      </w:r>
      <w:r w:rsidRPr="00212D57">
        <w:rPr>
          <w:rFonts w:ascii="標楷體" w:eastAsia="標楷體" w:hAnsi="標楷體" w:hint="eastAsia"/>
          <w:szCs w:val="22"/>
        </w:rPr>
        <w:t>？</w:t>
      </w:r>
      <w:r w:rsidR="00311C8C">
        <w:rPr>
          <w:rFonts w:ascii="標楷體" w:eastAsia="標楷體" w:hAnsi="標楷體" w:hint="eastAsia"/>
          <w:bCs/>
          <w:color w:val="FF0000"/>
          <w:kern w:val="0"/>
          <w:highlight w:val="yellow"/>
        </w:rPr>
        <w:t>」</w:t>
      </w:r>
      <w:r w:rsidRPr="00212D57">
        <w:rPr>
          <w:rFonts w:ascii="標楷體" w:eastAsia="標楷體" w:hAnsi="標楷體"/>
          <w:szCs w:val="22"/>
        </w:rPr>
        <w:t>思惟已</w:t>
      </w:r>
      <w:r w:rsidRPr="00212D57">
        <w:rPr>
          <w:rFonts w:ascii="標楷體" w:eastAsia="標楷體" w:hAnsi="標楷體" w:hint="eastAsia"/>
          <w:szCs w:val="22"/>
        </w:rPr>
        <w:t>，</w:t>
      </w:r>
      <w:r w:rsidRPr="00212D57">
        <w:rPr>
          <w:rFonts w:ascii="標楷體" w:eastAsia="標楷體" w:hAnsi="標楷體"/>
          <w:szCs w:val="22"/>
        </w:rPr>
        <w:t>都不見一法可取而無罪過者。</w:t>
      </w:r>
      <w:r w:rsidR="00311C8C">
        <w:rPr>
          <w:rFonts w:ascii="標楷體" w:eastAsia="標楷體" w:hAnsi="標楷體" w:hint="eastAsia"/>
          <w:bCs/>
          <w:color w:val="FF0000"/>
          <w:kern w:val="0"/>
          <w:highlight w:val="yellow"/>
        </w:rPr>
        <w:t>「</w:t>
      </w:r>
      <w:r w:rsidRPr="00212D57">
        <w:rPr>
          <w:rFonts w:ascii="標楷體" w:eastAsia="標楷體" w:hAnsi="標楷體"/>
          <w:szCs w:val="22"/>
        </w:rPr>
        <w:t>我若取色</w:t>
      </w:r>
      <w:r w:rsidR="00311C8C">
        <w:rPr>
          <w:rFonts w:ascii="標楷體" w:eastAsia="標楷體" w:hAnsi="標楷體" w:hint="eastAsia"/>
          <w:color w:val="FF0000"/>
          <w:kern w:val="0"/>
          <w:highlight w:val="yellow"/>
        </w:rPr>
        <w:t>，</w:t>
      </w:r>
      <w:r w:rsidRPr="00212D57">
        <w:rPr>
          <w:rFonts w:ascii="標楷體" w:eastAsia="標楷體" w:hAnsi="標楷體"/>
          <w:szCs w:val="22"/>
        </w:rPr>
        <w:t>即有罪過</w:t>
      </w:r>
      <w:r w:rsidR="00311C8C">
        <w:rPr>
          <w:rFonts w:ascii="標楷體" w:eastAsia="標楷體" w:hAnsi="標楷體" w:hint="eastAsia"/>
          <w:color w:val="FF0000"/>
          <w:spacing w:val="-4"/>
          <w:kern w:val="0"/>
          <w:highlight w:val="yellow"/>
        </w:rPr>
        <w:t>；</w:t>
      </w:r>
      <w:r w:rsidRPr="00212D57">
        <w:rPr>
          <w:rFonts w:ascii="標楷體" w:eastAsia="標楷體" w:hAnsi="標楷體"/>
          <w:szCs w:val="22"/>
        </w:rPr>
        <w:t>若取受、想、行、識，則有罪過。</w:t>
      </w:r>
      <w:r w:rsidR="00311C8C">
        <w:rPr>
          <w:rFonts w:ascii="標楷體" w:eastAsia="標楷體" w:hAnsi="標楷體" w:hint="eastAsia"/>
          <w:bCs/>
          <w:color w:val="FF0000"/>
          <w:kern w:val="0"/>
          <w:highlight w:val="yellow"/>
        </w:rPr>
        <w:t>」</w:t>
      </w:r>
      <w:r w:rsidRPr="00212D57">
        <w:rPr>
          <w:rFonts w:ascii="標楷體" w:eastAsia="標楷體" w:hAnsi="標楷體"/>
          <w:szCs w:val="22"/>
        </w:rPr>
        <w:t>作是知已，於諸世間則無所取</w:t>
      </w:r>
      <w:r w:rsidR="00311C8C">
        <w:rPr>
          <w:rFonts w:ascii="標楷體" w:eastAsia="標楷體" w:hAnsi="標楷體" w:hint="eastAsia"/>
          <w:color w:val="FF0000"/>
          <w:szCs w:val="22"/>
          <w:highlight w:val="yellow"/>
        </w:rPr>
        <w:t>；</w:t>
      </w:r>
      <w:r w:rsidRPr="00212D57">
        <w:rPr>
          <w:rFonts w:ascii="標楷體" w:eastAsia="標楷體" w:hAnsi="標楷體"/>
          <w:szCs w:val="22"/>
        </w:rPr>
        <w:t>無所取者，自覺涅槃：</w:t>
      </w:r>
      <w:r w:rsidR="00311C8C">
        <w:rPr>
          <w:rFonts w:ascii="標楷體" w:eastAsia="標楷體" w:hAnsi="標楷體" w:hint="eastAsia"/>
          <w:bCs/>
          <w:color w:val="FF0000"/>
          <w:kern w:val="0"/>
          <w:highlight w:val="yellow"/>
        </w:rPr>
        <w:t>「</w:t>
      </w:r>
      <w:r w:rsidRPr="00212D57">
        <w:rPr>
          <w:rFonts w:ascii="標楷體" w:eastAsia="標楷體" w:hAnsi="標楷體"/>
          <w:szCs w:val="22"/>
        </w:rPr>
        <w:t>我生已盡，梵行已立，所作已作，自知不受後有。</w:t>
      </w:r>
      <w:r w:rsidR="00311C8C">
        <w:rPr>
          <w:rFonts w:ascii="標楷體" w:eastAsia="標楷體" w:hAnsi="標楷體" w:hint="eastAsia"/>
          <w:bCs/>
          <w:color w:val="FF0000"/>
          <w:kern w:val="0"/>
          <w:highlight w:val="yellow"/>
        </w:rPr>
        <w:t>」</w:t>
      </w:r>
    </w:p>
    <w:p w:rsidR="00A04018" w:rsidRPr="00212D57" w:rsidRDefault="00A04018" w:rsidP="00A04018">
      <w:pPr>
        <w:pStyle w:val="a5"/>
        <w:ind w:leftChars="105" w:left="79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）另</w:t>
      </w:r>
      <w:r w:rsidRPr="00212D57">
        <w:rPr>
          <w:rStyle w:val="byline"/>
          <w:rFonts w:hAnsi="新細明體" w:hint="eastAsia"/>
          <w:color w:val="auto"/>
          <w:sz w:val="22"/>
          <w:szCs w:val="22"/>
        </w:rPr>
        <w:t>參見</w:t>
      </w:r>
      <w:r w:rsidRPr="00212D57">
        <w:rPr>
          <w:rFonts w:hint="eastAsia"/>
          <w:szCs w:val="22"/>
        </w:rPr>
        <w:t>《摩訶般若波羅蜜經》卷</w:t>
      </w:r>
      <w:r w:rsidRPr="00761EF3">
        <w:rPr>
          <w:rFonts w:hint="eastAsia"/>
          <w:szCs w:val="22"/>
        </w:rPr>
        <w:t>25</w:t>
      </w:r>
      <w:r w:rsidRPr="00212D57">
        <w:rPr>
          <w:rFonts w:hint="eastAsia"/>
          <w:szCs w:val="22"/>
        </w:rPr>
        <w:t>〈</w:t>
      </w:r>
      <w:r w:rsidRPr="00761EF3">
        <w:rPr>
          <w:rFonts w:hint="eastAsia"/>
          <w:szCs w:val="22"/>
        </w:rPr>
        <w:t>81</w:t>
      </w:r>
      <w:r w:rsidRPr="00212D57">
        <w:rPr>
          <w:rFonts w:hint="eastAsia"/>
          <w:szCs w:val="22"/>
        </w:rPr>
        <w:t xml:space="preserve"> </w:t>
      </w:r>
      <w:r w:rsidRPr="00212D57">
        <w:rPr>
          <w:rFonts w:hint="eastAsia"/>
          <w:szCs w:val="22"/>
        </w:rPr>
        <w:t>具足品〉（大正</w:t>
      </w:r>
      <w:r w:rsidRPr="00761EF3">
        <w:rPr>
          <w:rFonts w:hint="eastAsia"/>
          <w:szCs w:val="22"/>
        </w:rPr>
        <w:t>8</w:t>
      </w:r>
      <w:r w:rsidRPr="00212D57">
        <w:rPr>
          <w:rFonts w:hint="eastAsia"/>
          <w:szCs w:val="22"/>
        </w:rPr>
        <w:t>，</w:t>
      </w:r>
      <w:r w:rsidRPr="00761EF3">
        <w:rPr>
          <w:rFonts w:hint="eastAsia"/>
          <w:szCs w:val="22"/>
        </w:rPr>
        <w:t>405a22</w:t>
      </w:r>
      <w:r w:rsidRPr="00212D57">
        <w:rPr>
          <w:rFonts w:hint="eastAsia"/>
          <w:szCs w:val="22"/>
        </w:rPr>
        <w:t>-</w:t>
      </w:r>
      <w:r w:rsidRPr="00761EF3">
        <w:rPr>
          <w:rFonts w:hint="eastAsia"/>
          <w:szCs w:val="22"/>
        </w:rPr>
        <w:t>b20</w:t>
      </w:r>
      <w:r w:rsidRPr="00212D57">
        <w:rPr>
          <w:rFonts w:hint="eastAsia"/>
          <w:szCs w:val="22"/>
        </w:rPr>
        <w:t>），《大智度論》卷</w:t>
      </w:r>
      <w:r w:rsidRPr="00761EF3">
        <w:rPr>
          <w:rFonts w:hint="eastAsia"/>
          <w:szCs w:val="22"/>
        </w:rPr>
        <w:t>91</w:t>
      </w:r>
      <w:r w:rsidR="00E64597">
        <w:rPr>
          <w:rFonts w:hint="eastAsia"/>
          <w:color w:val="FF0000"/>
          <w:szCs w:val="22"/>
          <w:highlight w:val="yellow"/>
        </w:rPr>
        <w:t>釋</w:t>
      </w:r>
      <w:r w:rsidRPr="00212D57">
        <w:rPr>
          <w:rFonts w:hint="eastAsia"/>
          <w:szCs w:val="22"/>
        </w:rPr>
        <w:t>〈</w:t>
      </w:r>
      <w:r w:rsidRPr="00761EF3">
        <w:rPr>
          <w:rFonts w:hint="eastAsia"/>
          <w:szCs w:val="22"/>
        </w:rPr>
        <w:t>81</w:t>
      </w:r>
      <w:r w:rsidRPr="00212D57">
        <w:rPr>
          <w:rFonts w:hint="eastAsia"/>
          <w:szCs w:val="22"/>
        </w:rPr>
        <w:t xml:space="preserve"> </w:t>
      </w:r>
      <w:r w:rsidRPr="00212D57">
        <w:rPr>
          <w:rFonts w:hint="eastAsia"/>
          <w:szCs w:val="22"/>
        </w:rPr>
        <w:t>照明品〉（大正</w:t>
      </w:r>
      <w:r w:rsidRPr="00761EF3">
        <w:rPr>
          <w:rFonts w:hint="eastAsia"/>
          <w:szCs w:val="22"/>
        </w:rPr>
        <w:t>25</w:t>
      </w:r>
      <w:r w:rsidRPr="00212D57">
        <w:rPr>
          <w:rFonts w:hint="eastAsia"/>
          <w:szCs w:val="22"/>
        </w:rPr>
        <w:t>，</w:t>
      </w:r>
      <w:r w:rsidRPr="00761EF3">
        <w:rPr>
          <w:rFonts w:hint="eastAsia"/>
          <w:szCs w:val="22"/>
        </w:rPr>
        <w:t>703b24</w:t>
      </w:r>
      <w:r w:rsidRPr="00212D57">
        <w:rPr>
          <w:rFonts w:hint="eastAsia"/>
          <w:szCs w:val="22"/>
        </w:rPr>
        <w:t>-</w:t>
      </w:r>
      <w:r w:rsidRPr="00761EF3">
        <w:rPr>
          <w:rFonts w:hint="eastAsia"/>
          <w:szCs w:val="22"/>
        </w:rPr>
        <w:t>704a19</w:t>
      </w:r>
      <w:r w:rsidRPr="00212D57">
        <w:rPr>
          <w:rFonts w:hint="eastAsia"/>
          <w:szCs w:val="22"/>
        </w:rPr>
        <w:t>）。</w:t>
      </w:r>
    </w:p>
  </w:footnote>
  <w:footnote w:id="408">
    <w:p w:rsidR="00157EF6" w:rsidRPr="00212D57" w:rsidRDefault="00157EF6" w:rsidP="002B682F">
      <w:pPr>
        <w:pStyle w:val="a5"/>
        <w:spacing w:line="0" w:lineRule="atLeast"/>
        <w:ind w:left="253" w:hangingChars="115" w:hanging="253"/>
        <w:jc w:val="both"/>
        <w:rPr>
          <w:rFonts w:ascii="標楷體" w:eastAsia="標楷體" w:hAnsi="標楷體"/>
          <w:szCs w:val="22"/>
        </w:rPr>
      </w:pPr>
      <w:r w:rsidRPr="00212D57">
        <w:rPr>
          <w:rStyle w:val="a6"/>
          <w:szCs w:val="22"/>
        </w:rPr>
        <w:footnoteRef/>
      </w:r>
      <w:r w:rsidRPr="00212D57">
        <w:rPr>
          <w:rFonts w:hint="eastAsia"/>
          <w:szCs w:val="22"/>
        </w:rPr>
        <w:t xml:space="preserve"> </w:t>
      </w:r>
      <w:r w:rsidRPr="00212D57">
        <w:rPr>
          <w:szCs w:val="22"/>
        </w:rPr>
        <w:t>《大智度論》卷</w:t>
      </w:r>
      <w:r w:rsidRPr="00761EF3">
        <w:rPr>
          <w:szCs w:val="22"/>
        </w:rPr>
        <w:t>20</w:t>
      </w:r>
      <w:r w:rsidR="00E64597">
        <w:rPr>
          <w:rFonts w:hint="eastAsia"/>
          <w:color w:val="FF0000"/>
          <w:szCs w:val="22"/>
          <w:highlight w:val="yellow"/>
        </w:rPr>
        <w:t>釋〈</w:t>
      </w:r>
      <w:r w:rsidR="00E64597">
        <w:rPr>
          <w:color w:val="FF0000"/>
          <w:szCs w:val="22"/>
          <w:highlight w:val="yellow"/>
        </w:rPr>
        <w:t xml:space="preserve">1 </w:t>
      </w:r>
      <w:r w:rsidR="00E64597">
        <w:rPr>
          <w:rFonts w:hint="eastAsia"/>
          <w:color w:val="FF0000"/>
          <w:szCs w:val="22"/>
          <w:highlight w:val="yellow"/>
        </w:rPr>
        <w:t>序品〉</w:t>
      </w:r>
      <w:r w:rsidRPr="00212D57">
        <w:rPr>
          <w:rFonts w:hint="eastAsia"/>
          <w:szCs w:val="22"/>
        </w:rPr>
        <w:t>（</w:t>
      </w:r>
      <w:r w:rsidRPr="00212D57">
        <w:rPr>
          <w:szCs w:val="22"/>
        </w:rPr>
        <w:t>大正</w:t>
      </w:r>
      <w:r w:rsidRPr="00761EF3">
        <w:rPr>
          <w:szCs w:val="22"/>
        </w:rPr>
        <w:t>25</w:t>
      </w:r>
      <w:r w:rsidRPr="00212D57">
        <w:rPr>
          <w:szCs w:val="22"/>
        </w:rPr>
        <w:t>，</w:t>
      </w:r>
      <w:r w:rsidRPr="00761EF3">
        <w:rPr>
          <w:szCs w:val="22"/>
        </w:rPr>
        <w:t>207c15</w:t>
      </w:r>
      <w:r w:rsidRPr="00212D57">
        <w:rPr>
          <w:szCs w:val="22"/>
        </w:rPr>
        <w:t>-</w:t>
      </w:r>
      <w:r w:rsidRPr="00761EF3">
        <w:rPr>
          <w:szCs w:val="22"/>
        </w:rPr>
        <w:t>20</w:t>
      </w:r>
      <w:r w:rsidRPr="00212D57">
        <w:rPr>
          <w:rFonts w:hint="eastAsia"/>
          <w:szCs w:val="22"/>
        </w:rPr>
        <w:t>）</w:t>
      </w:r>
      <w:r w:rsidRPr="00212D57">
        <w:rPr>
          <w:szCs w:val="22"/>
        </w:rPr>
        <w:t>：</w:t>
      </w:r>
    </w:p>
    <w:p w:rsidR="00157EF6" w:rsidRPr="00212D57" w:rsidRDefault="00157EF6" w:rsidP="002B682F">
      <w:pPr>
        <w:pStyle w:val="a5"/>
        <w:ind w:leftChars="105" w:left="252"/>
        <w:jc w:val="both"/>
        <w:rPr>
          <w:rFonts w:ascii="標楷體" w:eastAsia="標楷體" w:hAnsi="標楷體"/>
          <w:szCs w:val="22"/>
        </w:rPr>
      </w:pPr>
      <w:r w:rsidRPr="00212D57">
        <w:rPr>
          <w:rFonts w:ascii="標楷體" w:eastAsia="標楷體" w:hAnsi="標楷體"/>
          <w:szCs w:val="22"/>
        </w:rPr>
        <w:t>阿毘曇義中</w:t>
      </w:r>
      <w:r w:rsidR="00092AC6">
        <w:rPr>
          <w:rFonts w:ascii="標楷體" w:eastAsia="標楷體" w:hAnsi="標楷體" w:hint="eastAsia"/>
          <w:color w:val="FF0000"/>
          <w:kern w:val="0"/>
          <w:highlight w:val="yellow"/>
        </w:rPr>
        <w:t>──</w:t>
      </w:r>
      <w:r w:rsidRPr="00212D57">
        <w:rPr>
          <w:rFonts w:ascii="標楷體" w:eastAsia="標楷體" w:hAnsi="標楷體"/>
          <w:szCs w:val="22"/>
        </w:rPr>
        <w:t>是</w:t>
      </w:r>
      <w:r w:rsidR="00092AC6">
        <w:rPr>
          <w:rFonts w:ascii="標楷體" w:eastAsia="標楷體" w:hAnsi="標楷體" w:hint="eastAsia"/>
          <w:bCs/>
          <w:color w:val="FF0000"/>
          <w:kern w:val="0"/>
          <w:highlight w:val="yellow"/>
        </w:rPr>
        <w:t>「</w:t>
      </w:r>
      <w:r w:rsidRPr="00212D57">
        <w:rPr>
          <w:rFonts w:ascii="標楷體" w:eastAsia="標楷體" w:hAnsi="標楷體"/>
          <w:szCs w:val="22"/>
        </w:rPr>
        <w:t>空解脫門</w:t>
      </w:r>
      <w:r w:rsidR="00092AC6">
        <w:rPr>
          <w:rFonts w:ascii="標楷體" w:eastAsia="標楷體" w:hAnsi="標楷體" w:hint="eastAsia"/>
          <w:bCs/>
          <w:color w:val="FF0000"/>
          <w:kern w:val="0"/>
          <w:highlight w:val="yellow"/>
        </w:rPr>
        <w:t>」</w:t>
      </w:r>
      <w:r w:rsidRPr="00212D57">
        <w:rPr>
          <w:rFonts w:ascii="標楷體" w:eastAsia="標楷體" w:hAnsi="標楷體"/>
          <w:szCs w:val="22"/>
        </w:rPr>
        <w:t>，緣</w:t>
      </w:r>
      <w:r w:rsidR="00092AC6">
        <w:rPr>
          <w:rFonts w:ascii="標楷體" w:eastAsia="標楷體" w:hAnsi="標楷體" w:hint="eastAsia"/>
          <w:bCs/>
          <w:color w:val="FF0000"/>
          <w:kern w:val="0"/>
          <w:highlight w:val="yellow"/>
        </w:rPr>
        <w:t>「</w:t>
      </w:r>
      <w:r w:rsidRPr="00212D57">
        <w:rPr>
          <w:rFonts w:ascii="標楷體" w:eastAsia="標楷體" w:hAnsi="標楷體"/>
          <w:szCs w:val="22"/>
        </w:rPr>
        <w:t>苦諦</w:t>
      </w:r>
      <w:r w:rsidR="00092AC6">
        <w:rPr>
          <w:rFonts w:ascii="標楷體" w:eastAsia="標楷體" w:hAnsi="標楷體" w:hint="eastAsia"/>
          <w:bCs/>
          <w:color w:val="FF0000"/>
          <w:kern w:val="0"/>
          <w:highlight w:val="yellow"/>
        </w:rPr>
        <w:t>」</w:t>
      </w:r>
      <w:r w:rsidRPr="00212D57">
        <w:rPr>
          <w:rFonts w:ascii="標楷體" w:eastAsia="標楷體" w:hAnsi="標楷體"/>
          <w:szCs w:val="22"/>
        </w:rPr>
        <w:t>，攝五眾；</w:t>
      </w:r>
      <w:r w:rsidR="00092AC6">
        <w:rPr>
          <w:rFonts w:ascii="標楷體" w:eastAsia="標楷體" w:hAnsi="標楷體" w:hint="eastAsia"/>
          <w:bCs/>
          <w:color w:val="FF0000"/>
          <w:kern w:val="0"/>
          <w:highlight w:val="yellow"/>
        </w:rPr>
        <w:t>「</w:t>
      </w:r>
      <w:r w:rsidRPr="00212D57">
        <w:rPr>
          <w:rFonts w:ascii="標楷體" w:eastAsia="標楷體" w:hAnsi="標楷體"/>
          <w:szCs w:val="22"/>
        </w:rPr>
        <w:t>無相解脫門</w:t>
      </w:r>
      <w:r w:rsidR="00092AC6">
        <w:rPr>
          <w:rFonts w:ascii="標楷體" w:eastAsia="標楷體" w:hAnsi="標楷體" w:hint="eastAsia"/>
          <w:bCs/>
          <w:color w:val="FF0000"/>
          <w:kern w:val="0"/>
          <w:highlight w:val="yellow"/>
        </w:rPr>
        <w:t>」</w:t>
      </w:r>
      <w:r w:rsidRPr="00212D57">
        <w:rPr>
          <w:rFonts w:ascii="標楷體" w:eastAsia="標楷體" w:hAnsi="標楷體"/>
          <w:szCs w:val="22"/>
        </w:rPr>
        <w:t>，緣一法，所謂</w:t>
      </w:r>
      <w:r w:rsidR="00092AC6">
        <w:rPr>
          <w:rFonts w:ascii="標楷體" w:eastAsia="標楷體" w:hAnsi="標楷體" w:hint="eastAsia"/>
          <w:bCs/>
          <w:color w:val="FF0000"/>
          <w:kern w:val="0"/>
          <w:highlight w:val="yellow"/>
        </w:rPr>
        <w:t>「</w:t>
      </w:r>
      <w:r w:rsidRPr="00212D57">
        <w:rPr>
          <w:rFonts w:ascii="標楷體" w:eastAsia="標楷體" w:hAnsi="標楷體"/>
          <w:szCs w:val="22"/>
        </w:rPr>
        <w:t>數緣盡</w:t>
      </w:r>
      <w:r w:rsidR="00092AC6">
        <w:rPr>
          <w:rFonts w:ascii="標楷體" w:eastAsia="標楷體" w:hAnsi="標楷體" w:hint="eastAsia"/>
          <w:bCs/>
          <w:color w:val="FF0000"/>
          <w:kern w:val="0"/>
          <w:highlight w:val="yellow"/>
        </w:rPr>
        <w:t>」</w:t>
      </w:r>
      <w:r w:rsidRPr="00212D57">
        <w:rPr>
          <w:rFonts w:ascii="標楷體" w:eastAsia="標楷體" w:hAnsi="標楷體"/>
          <w:szCs w:val="22"/>
        </w:rPr>
        <w:t>；</w:t>
      </w:r>
      <w:r w:rsidR="00092AC6">
        <w:rPr>
          <w:rFonts w:ascii="標楷體" w:eastAsia="標楷體" w:hAnsi="標楷體" w:hint="eastAsia"/>
          <w:bCs/>
          <w:color w:val="FF0000"/>
          <w:kern w:val="0"/>
          <w:highlight w:val="yellow"/>
        </w:rPr>
        <w:t>「</w:t>
      </w:r>
      <w:r w:rsidRPr="00212D57">
        <w:rPr>
          <w:rFonts w:ascii="標楷體" w:eastAsia="標楷體" w:hAnsi="標楷體"/>
          <w:szCs w:val="22"/>
        </w:rPr>
        <w:t>無作解脫門</w:t>
      </w:r>
      <w:r w:rsidR="00092AC6">
        <w:rPr>
          <w:rFonts w:ascii="標楷體" w:eastAsia="標楷體" w:hAnsi="標楷體" w:hint="eastAsia"/>
          <w:bCs/>
          <w:color w:val="FF0000"/>
          <w:kern w:val="0"/>
          <w:highlight w:val="yellow"/>
        </w:rPr>
        <w:t>」</w:t>
      </w:r>
      <w:r w:rsidRPr="00212D57">
        <w:rPr>
          <w:rFonts w:ascii="標楷體" w:eastAsia="標楷體" w:hAnsi="標楷體"/>
          <w:szCs w:val="22"/>
        </w:rPr>
        <w:t>，緣三諦，攝五眾。</w:t>
      </w:r>
    </w:p>
    <w:p w:rsidR="00157EF6" w:rsidRPr="00212D57" w:rsidRDefault="00092AC6" w:rsidP="002B682F">
      <w:pPr>
        <w:pStyle w:val="a5"/>
        <w:ind w:leftChars="105" w:left="252"/>
        <w:jc w:val="both"/>
        <w:rPr>
          <w:rFonts w:ascii="標楷體" w:eastAsia="標楷體" w:hAnsi="標楷體"/>
          <w:dstrike/>
          <w:szCs w:val="22"/>
        </w:rPr>
      </w:pPr>
      <w:r>
        <w:rPr>
          <w:rFonts w:ascii="標楷體" w:eastAsia="標楷體" w:hAnsi="標楷體"/>
          <w:b/>
          <w:szCs w:val="22"/>
        </w:rPr>
        <w:t>摩訶衍義中，是三解脫</w:t>
      </w:r>
      <w:r w:rsidRPr="00092AC6">
        <w:rPr>
          <w:rFonts w:ascii="標楷體" w:eastAsia="標楷體" w:hAnsi="標楷體"/>
          <w:b/>
          <w:szCs w:val="22"/>
          <w:highlight w:val="yellow"/>
        </w:rPr>
        <w:t>門</w:t>
      </w:r>
      <w:r w:rsidR="00157EF6" w:rsidRPr="00092AC6">
        <w:rPr>
          <w:rFonts w:ascii="標楷體" w:eastAsia="標楷體" w:hAnsi="標楷體"/>
          <w:b/>
          <w:szCs w:val="22"/>
          <w:highlight w:val="yellow"/>
        </w:rPr>
        <w:t>緣</w:t>
      </w:r>
      <w:r>
        <w:rPr>
          <w:rFonts w:ascii="標楷體" w:eastAsia="標楷體" w:hAnsi="標楷體" w:hint="eastAsia"/>
          <w:bCs/>
          <w:color w:val="FF0000"/>
          <w:kern w:val="0"/>
          <w:highlight w:val="yellow"/>
        </w:rPr>
        <w:t>「</w:t>
      </w:r>
      <w:r w:rsidR="00157EF6" w:rsidRPr="00212D57">
        <w:rPr>
          <w:rFonts w:ascii="標楷體" w:eastAsia="標楷體" w:hAnsi="標楷體"/>
          <w:b/>
          <w:szCs w:val="22"/>
        </w:rPr>
        <w:t>諸法實相</w:t>
      </w:r>
      <w:r>
        <w:rPr>
          <w:rFonts w:ascii="標楷體" w:eastAsia="標楷體" w:hAnsi="標楷體" w:hint="eastAsia"/>
          <w:bCs/>
          <w:color w:val="FF0000"/>
          <w:kern w:val="0"/>
          <w:highlight w:val="yellow"/>
        </w:rPr>
        <w:t>」</w:t>
      </w:r>
      <w:r>
        <w:rPr>
          <w:rFonts w:ascii="標楷體" w:eastAsia="標楷體" w:hAnsi="標楷體" w:hint="eastAsia"/>
          <w:color w:val="FF0000"/>
          <w:kern w:val="0"/>
          <w:highlight w:val="yellow"/>
        </w:rPr>
        <w:t>，</w:t>
      </w:r>
      <w:r w:rsidR="00157EF6" w:rsidRPr="00212D57">
        <w:rPr>
          <w:rFonts w:ascii="標楷體" w:eastAsia="標楷體" w:hAnsi="標楷體"/>
          <w:szCs w:val="22"/>
        </w:rPr>
        <w:t>以是三解脫門觀</w:t>
      </w:r>
      <w:r>
        <w:rPr>
          <w:rFonts w:ascii="標楷體" w:eastAsia="標楷體" w:hAnsi="標楷體" w:hint="eastAsia"/>
          <w:bCs/>
          <w:color w:val="FF0000"/>
          <w:kern w:val="0"/>
          <w:highlight w:val="yellow"/>
        </w:rPr>
        <w:t>「</w:t>
      </w:r>
      <w:r w:rsidR="00157EF6" w:rsidRPr="00212D57">
        <w:rPr>
          <w:rFonts w:ascii="標楷體" w:eastAsia="標楷體" w:hAnsi="標楷體"/>
          <w:szCs w:val="22"/>
        </w:rPr>
        <w:t>世間</w:t>
      </w:r>
      <w:r>
        <w:rPr>
          <w:rFonts w:ascii="標楷體" w:eastAsia="標楷體" w:hAnsi="標楷體" w:hint="eastAsia"/>
          <w:bCs/>
          <w:color w:val="FF0000"/>
          <w:kern w:val="0"/>
          <w:highlight w:val="yellow"/>
        </w:rPr>
        <w:t>」</w:t>
      </w:r>
      <w:r w:rsidR="00157EF6" w:rsidRPr="00212D57">
        <w:rPr>
          <w:rFonts w:ascii="標楷體" w:eastAsia="標楷體" w:hAnsi="標楷體"/>
          <w:szCs w:val="22"/>
        </w:rPr>
        <w:t>即是</w:t>
      </w:r>
      <w:r>
        <w:rPr>
          <w:rFonts w:ascii="標楷體" w:eastAsia="標楷體" w:hAnsi="標楷體" w:hint="eastAsia"/>
          <w:bCs/>
          <w:color w:val="FF0000"/>
          <w:kern w:val="0"/>
          <w:highlight w:val="yellow"/>
        </w:rPr>
        <w:t>「</w:t>
      </w:r>
      <w:r w:rsidR="00157EF6" w:rsidRPr="00212D57">
        <w:rPr>
          <w:rFonts w:ascii="標楷體" w:eastAsia="標楷體" w:hAnsi="標楷體"/>
          <w:szCs w:val="22"/>
        </w:rPr>
        <w:t>涅槃</w:t>
      </w:r>
      <w:r>
        <w:rPr>
          <w:rFonts w:ascii="標楷體" w:eastAsia="標楷體" w:hAnsi="標楷體" w:hint="eastAsia"/>
          <w:bCs/>
          <w:color w:val="FF0000"/>
          <w:kern w:val="0"/>
          <w:highlight w:val="yellow"/>
        </w:rPr>
        <w:t>」</w:t>
      </w:r>
      <w:r w:rsidR="00157EF6" w:rsidRPr="00212D57">
        <w:rPr>
          <w:rFonts w:ascii="標楷體" w:eastAsia="標楷體" w:hAnsi="標楷體" w:hint="eastAsia"/>
          <w:szCs w:val="22"/>
        </w:rPr>
        <w:t>。</w:t>
      </w:r>
      <w:r w:rsidR="00157EF6" w:rsidRPr="00212D57">
        <w:rPr>
          <w:rFonts w:ascii="標楷體" w:eastAsia="標楷體" w:hAnsi="標楷體"/>
          <w:szCs w:val="22"/>
        </w:rPr>
        <w:t>何以故？</w:t>
      </w:r>
      <w:r>
        <w:rPr>
          <w:rFonts w:ascii="標楷體" w:eastAsia="標楷體" w:hAnsi="標楷體" w:hint="eastAsia"/>
          <w:bCs/>
          <w:color w:val="FF0000"/>
          <w:kern w:val="0"/>
          <w:highlight w:val="yellow"/>
        </w:rPr>
        <w:t>「</w:t>
      </w:r>
      <w:r w:rsidR="00157EF6" w:rsidRPr="00212D57">
        <w:rPr>
          <w:rFonts w:ascii="標楷體" w:eastAsia="標楷體" w:hAnsi="標楷體"/>
          <w:szCs w:val="22"/>
        </w:rPr>
        <w:t>涅槃</w:t>
      </w:r>
      <w:r>
        <w:rPr>
          <w:rFonts w:ascii="標楷體" w:eastAsia="標楷體" w:hAnsi="標楷體" w:hint="eastAsia"/>
          <w:bCs/>
          <w:color w:val="FF0000"/>
          <w:kern w:val="0"/>
          <w:highlight w:val="yellow"/>
        </w:rPr>
        <w:t>」</w:t>
      </w:r>
      <w:r w:rsidR="00311C8C">
        <w:rPr>
          <w:rFonts w:ascii="標楷體" w:eastAsia="標楷體" w:hAnsi="標楷體" w:hint="eastAsia"/>
          <w:color w:val="FF0000"/>
          <w:kern w:val="0"/>
          <w:highlight w:val="yellow"/>
        </w:rPr>
        <w:t>──</w:t>
      </w:r>
      <w:r>
        <w:rPr>
          <w:rFonts w:ascii="標楷體" w:eastAsia="標楷體" w:hAnsi="標楷體" w:hint="eastAsia"/>
          <w:bCs/>
          <w:color w:val="FF0000"/>
          <w:kern w:val="0"/>
          <w:highlight w:val="yellow"/>
        </w:rPr>
        <w:t>「</w:t>
      </w:r>
      <w:r w:rsidR="00157EF6" w:rsidRPr="00212D57">
        <w:rPr>
          <w:rFonts w:ascii="標楷體" w:eastAsia="標楷體" w:hAnsi="標楷體"/>
          <w:szCs w:val="22"/>
        </w:rPr>
        <w:t>空</w:t>
      </w:r>
      <w:r w:rsidR="00311C8C">
        <w:rPr>
          <w:rFonts w:ascii="標楷體" w:eastAsia="標楷體" w:hAnsi="標楷體" w:hint="eastAsia"/>
          <w:color w:val="FF0000"/>
          <w:spacing w:val="-4"/>
          <w:kern w:val="0"/>
          <w:highlight w:val="yellow"/>
        </w:rPr>
        <w:t>、</w:t>
      </w:r>
      <w:r w:rsidR="00157EF6" w:rsidRPr="00212D57">
        <w:rPr>
          <w:rFonts w:ascii="標楷體" w:eastAsia="標楷體" w:hAnsi="標楷體"/>
          <w:szCs w:val="22"/>
        </w:rPr>
        <w:t>無相</w:t>
      </w:r>
      <w:r w:rsidR="00311C8C">
        <w:rPr>
          <w:rFonts w:ascii="標楷體" w:eastAsia="標楷體" w:hAnsi="標楷體" w:hint="eastAsia"/>
          <w:color w:val="FF0000"/>
          <w:spacing w:val="-4"/>
          <w:kern w:val="0"/>
          <w:highlight w:val="yellow"/>
        </w:rPr>
        <w:t>、</w:t>
      </w:r>
      <w:r w:rsidR="00157EF6" w:rsidRPr="00212D57">
        <w:rPr>
          <w:rFonts w:ascii="標楷體" w:eastAsia="標楷體" w:hAnsi="標楷體"/>
          <w:szCs w:val="22"/>
        </w:rPr>
        <w:t>無作</w:t>
      </w:r>
      <w:r>
        <w:rPr>
          <w:rFonts w:ascii="標楷體" w:eastAsia="標楷體" w:hAnsi="標楷體" w:hint="eastAsia"/>
          <w:bCs/>
          <w:color w:val="FF0000"/>
          <w:kern w:val="0"/>
          <w:highlight w:val="yellow"/>
        </w:rPr>
        <w:t>」</w:t>
      </w:r>
      <w:r w:rsidR="00157EF6" w:rsidRPr="00212D57">
        <w:rPr>
          <w:rFonts w:ascii="標楷體" w:eastAsia="標楷體" w:hAnsi="標楷體"/>
          <w:szCs w:val="22"/>
        </w:rPr>
        <w:t>，</w:t>
      </w:r>
      <w:r>
        <w:rPr>
          <w:rFonts w:ascii="標楷體" w:eastAsia="標楷體" w:hAnsi="標楷體" w:hint="eastAsia"/>
          <w:bCs/>
          <w:color w:val="FF0000"/>
          <w:kern w:val="0"/>
          <w:highlight w:val="yellow"/>
        </w:rPr>
        <w:t>「</w:t>
      </w:r>
      <w:r w:rsidR="00157EF6" w:rsidRPr="00212D57">
        <w:rPr>
          <w:rFonts w:ascii="標楷體" w:eastAsia="標楷體" w:hAnsi="標楷體"/>
          <w:szCs w:val="22"/>
        </w:rPr>
        <w:t>世間</w:t>
      </w:r>
      <w:r>
        <w:rPr>
          <w:rFonts w:ascii="標楷體" w:eastAsia="標楷體" w:hAnsi="標楷體" w:hint="eastAsia"/>
          <w:bCs/>
          <w:color w:val="FF0000"/>
          <w:kern w:val="0"/>
          <w:highlight w:val="yellow"/>
        </w:rPr>
        <w:t>」</w:t>
      </w:r>
      <w:r w:rsidR="00157EF6" w:rsidRPr="00212D57">
        <w:rPr>
          <w:rFonts w:ascii="標楷體" w:eastAsia="標楷體" w:hAnsi="標楷體"/>
          <w:szCs w:val="22"/>
        </w:rPr>
        <w:t>亦如是</w:t>
      </w:r>
      <w:r w:rsidR="00157EF6" w:rsidRPr="00092AC6">
        <w:rPr>
          <w:rFonts w:ascii="標楷體" w:eastAsia="標楷體" w:hAnsi="標楷體"/>
          <w:szCs w:val="22"/>
          <w:highlight w:val="yellow"/>
        </w:rPr>
        <w:t>。</w:t>
      </w:r>
    </w:p>
  </w:footnote>
  <w:footnote w:id="409">
    <w:p w:rsidR="00157EF6" w:rsidRPr="00212D57" w:rsidRDefault="00157EF6" w:rsidP="009E0A5A">
      <w:pPr>
        <w:pStyle w:val="a5"/>
        <w:ind w:left="187" w:hangingChars="85" w:hanging="187"/>
        <w:jc w:val="both"/>
        <w:rPr>
          <w:szCs w:val="22"/>
        </w:rPr>
      </w:pPr>
      <w:r w:rsidRPr="00212D57">
        <w:rPr>
          <w:rStyle w:val="a6"/>
          <w:szCs w:val="22"/>
        </w:rPr>
        <w:footnoteRef/>
      </w:r>
      <w:r w:rsidRPr="00212D57">
        <w:rPr>
          <w:szCs w:val="22"/>
        </w:rPr>
        <w:t xml:space="preserve"> </w:t>
      </w:r>
      <w:r w:rsidRPr="00212D57">
        <w:rPr>
          <w:szCs w:val="22"/>
        </w:rPr>
        <w:t>參見《雜阿含經》卷</w:t>
      </w:r>
      <w:r w:rsidRPr="00761EF3">
        <w:rPr>
          <w:szCs w:val="22"/>
        </w:rPr>
        <w:t>12</w:t>
      </w:r>
      <w:r w:rsidRPr="00212D57">
        <w:rPr>
          <w:szCs w:val="22"/>
        </w:rPr>
        <w:t>（</w:t>
      </w:r>
      <w:r w:rsidRPr="00761EF3">
        <w:rPr>
          <w:szCs w:val="22"/>
        </w:rPr>
        <w:t>298</w:t>
      </w:r>
      <w:r w:rsidRPr="00212D57">
        <w:rPr>
          <w:szCs w:val="22"/>
        </w:rPr>
        <w:t>經）（大正</w:t>
      </w:r>
      <w:r w:rsidRPr="00761EF3">
        <w:rPr>
          <w:szCs w:val="22"/>
        </w:rPr>
        <w:t>2</w:t>
      </w:r>
      <w:r w:rsidRPr="00212D57">
        <w:rPr>
          <w:szCs w:val="22"/>
        </w:rPr>
        <w:t>，</w:t>
      </w:r>
      <w:r w:rsidRPr="00761EF3">
        <w:rPr>
          <w:szCs w:val="22"/>
        </w:rPr>
        <w:t>85a12</w:t>
      </w:r>
      <w:r w:rsidRPr="00212D57">
        <w:rPr>
          <w:szCs w:val="22"/>
        </w:rPr>
        <w:t>-</w:t>
      </w:r>
      <w:r w:rsidRPr="00761EF3">
        <w:rPr>
          <w:szCs w:val="22"/>
        </w:rPr>
        <w:t>b20</w:t>
      </w:r>
      <w:r w:rsidRPr="00212D57">
        <w:rPr>
          <w:szCs w:val="22"/>
        </w:rPr>
        <w:t>）。</w:t>
      </w:r>
    </w:p>
  </w:footnote>
  <w:footnote w:id="410">
    <w:p w:rsidR="00157EF6" w:rsidRPr="00212D57" w:rsidRDefault="00157EF6" w:rsidP="00887DA1">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《雜阿含經》卷</w:t>
      </w:r>
      <w:r w:rsidRPr="00761EF3">
        <w:rPr>
          <w:szCs w:val="22"/>
        </w:rPr>
        <w:t>2</w:t>
      </w:r>
      <w:r w:rsidRPr="00212D57">
        <w:rPr>
          <w:szCs w:val="22"/>
        </w:rPr>
        <w:t>（</w:t>
      </w:r>
      <w:r w:rsidRPr="00761EF3">
        <w:rPr>
          <w:szCs w:val="22"/>
        </w:rPr>
        <w:t>53</w:t>
      </w:r>
      <w:r w:rsidRPr="00212D57">
        <w:rPr>
          <w:szCs w:val="22"/>
        </w:rPr>
        <w:t>經）（大正</w:t>
      </w:r>
      <w:r w:rsidRPr="00761EF3">
        <w:rPr>
          <w:szCs w:val="22"/>
        </w:rPr>
        <w:t>2</w:t>
      </w:r>
      <w:r w:rsidRPr="00212D57">
        <w:rPr>
          <w:szCs w:val="22"/>
        </w:rPr>
        <w:t>，</w:t>
      </w:r>
      <w:r w:rsidRPr="00761EF3">
        <w:rPr>
          <w:szCs w:val="22"/>
        </w:rPr>
        <w:t>12c21</w:t>
      </w:r>
      <w:r w:rsidRPr="00212D57">
        <w:rPr>
          <w:szCs w:val="22"/>
        </w:rPr>
        <w:t>-</w:t>
      </w:r>
      <w:r w:rsidRPr="00761EF3">
        <w:rPr>
          <w:szCs w:val="22"/>
        </w:rPr>
        <w:t>25</w:t>
      </w:r>
      <w:r w:rsidRPr="00212D57">
        <w:rPr>
          <w:szCs w:val="22"/>
        </w:rPr>
        <w:t>）：</w:t>
      </w:r>
    </w:p>
    <w:p w:rsidR="00157EF6" w:rsidRPr="00212D57" w:rsidRDefault="00157EF6" w:rsidP="00887DA1">
      <w:pPr>
        <w:snapToGrid w:val="0"/>
        <w:ind w:leftChars="75" w:left="180"/>
        <w:jc w:val="both"/>
        <w:rPr>
          <w:rFonts w:ascii="標楷體" w:eastAsia="標楷體" w:hAnsi="標楷體"/>
          <w:sz w:val="22"/>
          <w:szCs w:val="22"/>
        </w:rPr>
      </w:pPr>
      <w:r w:rsidRPr="00212D57">
        <w:rPr>
          <w:rFonts w:ascii="標楷體" w:eastAsia="標楷體" w:hAnsi="標楷體"/>
          <w:sz w:val="22"/>
          <w:szCs w:val="22"/>
        </w:rPr>
        <w:t>佛告婆羅門：</w:t>
      </w:r>
      <w:r w:rsidRPr="00212D57">
        <w:rPr>
          <w:rFonts w:ascii="標楷體" w:eastAsia="標楷體" w:hAnsi="標楷體" w:hint="eastAsia"/>
          <w:sz w:val="22"/>
          <w:szCs w:val="22"/>
        </w:rPr>
        <w:t>「</w:t>
      </w:r>
      <w:r w:rsidRPr="00212D57">
        <w:rPr>
          <w:rFonts w:ascii="標楷體" w:eastAsia="標楷體" w:hAnsi="標楷體"/>
          <w:b/>
          <w:sz w:val="22"/>
          <w:szCs w:val="22"/>
        </w:rPr>
        <w:t>我論因說因</w:t>
      </w:r>
      <w:r w:rsidRPr="00212D57">
        <w:rPr>
          <w:rFonts w:ascii="標楷體" w:eastAsia="標楷體" w:hAnsi="標楷體"/>
          <w:sz w:val="22"/>
          <w:szCs w:val="22"/>
        </w:rPr>
        <w:t>。</w:t>
      </w:r>
      <w:r w:rsidRPr="00212D57">
        <w:rPr>
          <w:rFonts w:ascii="標楷體" w:eastAsia="標楷體" w:hAnsi="標楷體" w:hint="eastAsia"/>
          <w:sz w:val="22"/>
          <w:szCs w:val="22"/>
        </w:rPr>
        <w:t>」</w:t>
      </w:r>
    </w:p>
    <w:p w:rsidR="00157EF6" w:rsidRPr="00212D57" w:rsidRDefault="00157EF6" w:rsidP="00887DA1">
      <w:pPr>
        <w:snapToGrid w:val="0"/>
        <w:ind w:leftChars="75" w:left="180"/>
        <w:jc w:val="both"/>
        <w:rPr>
          <w:rFonts w:ascii="標楷體" w:eastAsia="標楷體" w:hAnsi="標楷體"/>
          <w:sz w:val="22"/>
          <w:szCs w:val="22"/>
        </w:rPr>
      </w:pPr>
      <w:r w:rsidRPr="00212D57">
        <w:rPr>
          <w:rFonts w:ascii="標楷體" w:eastAsia="標楷體" w:hAnsi="標楷體"/>
          <w:sz w:val="22"/>
          <w:szCs w:val="22"/>
        </w:rPr>
        <w:t>又白佛言：</w:t>
      </w:r>
      <w:r w:rsidRPr="00212D57">
        <w:rPr>
          <w:rFonts w:ascii="標楷體" w:eastAsia="標楷體" w:hAnsi="標楷體" w:hint="eastAsia"/>
          <w:sz w:val="22"/>
          <w:szCs w:val="22"/>
        </w:rPr>
        <w:t>「</w:t>
      </w:r>
      <w:r w:rsidRPr="00212D57">
        <w:rPr>
          <w:rFonts w:ascii="標楷體" w:eastAsia="標楷體" w:hAnsi="標楷體"/>
          <w:sz w:val="22"/>
          <w:szCs w:val="22"/>
        </w:rPr>
        <w:t>云何論因？云何說因？</w:t>
      </w:r>
      <w:r w:rsidRPr="00212D57">
        <w:rPr>
          <w:rFonts w:ascii="標楷體" w:eastAsia="標楷體" w:hAnsi="標楷體" w:hint="eastAsia"/>
          <w:sz w:val="22"/>
          <w:szCs w:val="22"/>
        </w:rPr>
        <w:t>」</w:t>
      </w:r>
    </w:p>
    <w:p w:rsidR="00157EF6" w:rsidRPr="00212D57" w:rsidRDefault="00157EF6" w:rsidP="00887DA1">
      <w:pPr>
        <w:snapToGrid w:val="0"/>
        <w:ind w:leftChars="75" w:left="180"/>
        <w:jc w:val="both"/>
        <w:rPr>
          <w:rFonts w:ascii="標楷體" w:eastAsia="標楷體" w:hAnsi="標楷體"/>
          <w:sz w:val="22"/>
          <w:szCs w:val="22"/>
        </w:rPr>
      </w:pPr>
      <w:r w:rsidRPr="00212D57">
        <w:rPr>
          <w:rFonts w:ascii="標楷體" w:eastAsia="標楷體" w:hAnsi="標楷體"/>
          <w:sz w:val="22"/>
          <w:szCs w:val="22"/>
        </w:rPr>
        <w:t>佛告婆羅門：</w:t>
      </w:r>
      <w:r w:rsidRPr="00212D57">
        <w:rPr>
          <w:rFonts w:ascii="標楷體" w:eastAsia="標楷體" w:hAnsi="標楷體" w:hint="eastAsia"/>
          <w:sz w:val="22"/>
          <w:szCs w:val="22"/>
        </w:rPr>
        <w:t>「</w:t>
      </w:r>
      <w:r w:rsidRPr="00212D57">
        <w:rPr>
          <w:rFonts w:ascii="標楷體" w:eastAsia="標楷體" w:hAnsi="標楷體"/>
          <w:sz w:val="22"/>
          <w:szCs w:val="22"/>
        </w:rPr>
        <w:t>有因有緣集世間，有因有緣世間集</w:t>
      </w:r>
      <w:r w:rsidRPr="00212D57">
        <w:rPr>
          <w:rFonts w:ascii="標楷體" w:eastAsia="標楷體" w:hAnsi="標楷體" w:hint="eastAsia"/>
          <w:sz w:val="22"/>
          <w:szCs w:val="22"/>
        </w:rPr>
        <w:t>；</w:t>
      </w:r>
      <w:r w:rsidRPr="00212D57">
        <w:rPr>
          <w:rFonts w:ascii="標楷體" w:eastAsia="標楷體" w:hAnsi="標楷體"/>
          <w:sz w:val="22"/>
          <w:szCs w:val="22"/>
        </w:rPr>
        <w:t>有因有緣滅世間，有因有緣世間滅。</w:t>
      </w:r>
      <w:r w:rsidRPr="00212D57">
        <w:rPr>
          <w:rFonts w:ascii="標楷體" w:eastAsia="標楷體" w:hAnsi="標楷體" w:hint="eastAsia"/>
          <w:sz w:val="22"/>
          <w:szCs w:val="22"/>
        </w:rPr>
        <w:t>」</w:t>
      </w:r>
    </w:p>
  </w:footnote>
  <w:footnote w:id="411">
    <w:p w:rsidR="008168C3" w:rsidRPr="00212D57" w:rsidRDefault="008168C3" w:rsidP="008168C3">
      <w:pPr>
        <w:pStyle w:val="a5"/>
        <w:ind w:left="187" w:hangingChars="85" w:hanging="187"/>
        <w:jc w:val="both"/>
        <w:rPr>
          <w:szCs w:val="22"/>
        </w:rPr>
      </w:pPr>
      <w:r w:rsidRPr="00212D57">
        <w:rPr>
          <w:rStyle w:val="a6"/>
          <w:szCs w:val="22"/>
        </w:rPr>
        <w:footnoteRef/>
      </w:r>
      <w:r w:rsidRPr="00212D57">
        <w:rPr>
          <w:szCs w:val="22"/>
        </w:rPr>
        <w:t xml:space="preserve"> </w:t>
      </w:r>
      <w:r w:rsidRPr="00212D57">
        <w:rPr>
          <w:szCs w:val="22"/>
        </w:rPr>
        <w:t>參見《般若波羅蜜多心經》（大正</w:t>
      </w:r>
      <w:r w:rsidRPr="00761EF3">
        <w:rPr>
          <w:szCs w:val="22"/>
        </w:rPr>
        <w:t>8</w:t>
      </w:r>
      <w:r w:rsidRPr="00212D57">
        <w:rPr>
          <w:szCs w:val="22"/>
        </w:rPr>
        <w:t>，</w:t>
      </w:r>
      <w:r w:rsidRPr="00761EF3">
        <w:rPr>
          <w:szCs w:val="22"/>
        </w:rPr>
        <w:t>848c9</w:t>
      </w:r>
      <w:r w:rsidRPr="00212D57">
        <w:rPr>
          <w:szCs w:val="22"/>
        </w:rPr>
        <w:t>）。</w:t>
      </w:r>
    </w:p>
  </w:footnote>
  <w:footnote w:id="412">
    <w:p w:rsidR="00157EF6" w:rsidRPr="00212D57" w:rsidRDefault="00157EF6" w:rsidP="002B682F">
      <w:pPr>
        <w:pStyle w:val="a5"/>
        <w:ind w:left="187" w:hangingChars="85" w:hanging="187"/>
        <w:jc w:val="both"/>
        <w:rPr>
          <w:szCs w:val="22"/>
        </w:rPr>
      </w:pPr>
      <w:r w:rsidRPr="00212D57">
        <w:rPr>
          <w:rStyle w:val="a6"/>
          <w:szCs w:val="22"/>
        </w:rPr>
        <w:footnoteRef/>
      </w:r>
      <w:r w:rsidRPr="00212D57">
        <w:rPr>
          <w:szCs w:val="22"/>
        </w:rPr>
        <w:t xml:space="preserve"> </w:t>
      </w:r>
      <w:r w:rsidRPr="00212D57">
        <w:rPr>
          <w:szCs w:val="22"/>
        </w:rPr>
        <w:t>參見</w:t>
      </w:r>
      <w:r w:rsidR="008168C3">
        <w:rPr>
          <w:rFonts w:hint="eastAsia"/>
          <w:szCs w:val="22"/>
        </w:rPr>
        <w:t>：</w:t>
      </w:r>
      <w:r w:rsidRPr="00212D57">
        <w:rPr>
          <w:szCs w:val="22"/>
        </w:rPr>
        <w:t>印順法師</w:t>
      </w:r>
      <w:r w:rsidRPr="00212D57">
        <w:rPr>
          <w:rFonts w:hint="eastAsia"/>
          <w:szCs w:val="22"/>
        </w:rPr>
        <w:t>，</w:t>
      </w:r>
      <w:r w:rsidRPr="00212D57">
        <w:rPr>
          <w:szCs w:val="22"/>
        </w:rPr>
        <w:t>《空之探究》</w:t>
      </w:r>
      <w:r w:rsidRPr="00212D57">
        <w:rPr>
          <w:rFonts w:hint="eastAsia"/>
          <w:szCs w:val="22"/>
        </w:rPr>
        <w:t>，</w:t>
      </w:r>
      <w:r w:rsidRPr="00212D57">
        <w:rPr>
          <w:szCs w:val="22"/>
        </w:rPr>
        <w:t>第</w:t>
      </w:r>
      <w:r w:rsidRPr="00761EF3">
        <w:rPr>
          <w:rFonts w:hint="eastAsia"/>
          <w:szCs w:val="22"/>
        </w:rPr>
        <w:t>3</w:t>
      </w:r>
      <w:r w:rsidRPr="00212D57">
        <w:rPr>
          <w:szCs w:val="22"/>
        </w:rPr>
        <w:t>章</w:t>
      </w:r>
      <w:r w:rsidRPr="00212D57">
        <w:rPr>
          <w:rFonts w:hint="eastAsia"/>
          <w:szCs w:val="22"/>
        </w:rPr>
        <w:t>，</w:t>
      </w:r>
      <w:r w:rsidRPr="00212D57">
        <w:rPr>
          <w:szCs w:val="22"/>
        </w:rPr>
        <w:t>第</w:t>
      </w:r>
      <w:r w:rsidRPr="00761EF3">
        <w:rPr>
          <w:rFonts w:hint="eastAsia"/>
          <w:szCs w:val="22"/>
        </w:rPr>
        <w:t>7</w:t>
      </w:r>
      <w:r w:rsidRPr="00212D57">
        <w:rPr>
          <w:szCs w:val="22"/>
        </w:rPr>
        <w:t>節〈自性空與無自性空〉</w:t>
      </w:r>
      <w:r w:rsidRPr="00212D57">
        <w:rPr>
          <w:rFonts w:hint="eastAsia"/>
          <w:szCs w:val="22"/>
        </w:rPr>
        <w:t>，</w:t>
      </w:r>
      <w:r w:rsidRPr="00761EF3">
        <w:rPr>
          <w:szCs w:val="22"/>
        </w:rPr>
        <w:t>p</w:t>
      </w:r>
      <w:r w:rsidRPr="00212D57">
        <w:rPr>
          <w:szCs w:val="22"/>
        </w:rPr>
        <w:t>.</w:t>
      </w:r>
      <w:r w:rsidRPr="00761EF3">
        <w:rPr>
          <w:szCs w:val="22"/>
        </w:rPr>
        <w:t>180</w:t>
      </w:r>
      <w:r w:rsidRPr="00212D57">
        <w:rPr>
          <w:szCs w:val="22"/>
        </w:rPr>
        <w:t>：</w:t>
      </w:r>
    </w:p>
    <w:p w:rsidR="00157EF6" w:rsidRPr="00212D57" w:rsidRDefault="00157EF6" w:rsidP="002B682F">
      <w:pPr>
        <w:pStyle w:val="a5"/>
        <w:ind w:leftChars="75" w:left="180"/>
        <w:jc w:val="both"/>
        <w:rPr>
          <w:rFonts w:eastAsia="標楷體"/>
          <w:szCs w:val="22"/>
        </w:rPr>
      </w:pPr>
      <w:r w:rsidRPr="00212D57">
        <w:rPr>
          <w:rFonts w:eastAsia="標楷體" w:hint="eastAsia"/>
          <w:szCs w:val="22"/>
        </w:rPr>
        <w:t>《大智度論》卷</w:t>
      </w:r>
      <w:r w:rsidRPr="00761EF3">
        <w:rPr>
          <w:rFonts w:eastAsia="標楷體"/>
          <w:szCs w:val="22"/>
        </w:rPr>
        <w:t>46</w:t>
      </w:r>
      <w:r w:rsidRPr="00E920B5">
        <w:rPr>
          <w:szCs w:val="22"/>
        </w:rPr>
        <w:t>（大正</w:t>
      </w:r>
      <w:r w:rsidRPr="00E920B5">
        <w:rPr>
          <w:szCs w:val="22"/>
        </w:rPr>
        <w:t>25</w:t>
      </w:r>
      <w:r w:rsidRPr="00E920B5">
        <w:rPr>
          <w:szCs w:val="22"/>
        </w:rPr>
        <w:t>，</w:t>
      </w:r>
      <w:r w:rsidRPr="00E920B5">
        <w:rPr>
          <w:szCs w:val="22"/>
        </w:rPr>
        <w:t>396b7-9</w:t>
      </w:r>
      <w:r w:rsidRPr="00E920B5">
        <w:rPr>
          <w:szCs w:val="22"/>
        </w:rPr>
        <w:t>）</w:t>
      </w:r>
      <w:r w:rsidRPr="00212D57">
        <w:rPr>
          <w:rFonts w:eastAsia="標楷體" w:hint="eastAsia"/>
          <w:szCs w:val="22"/>
        </w:rPr>
        <w:t>說：</w:t>
      </w:r>
    </w:p>
    <w:p w:rsidR="00157EF6" w:rsidRPr="000C6D5D" w:rsidRDefault="00157EF6" w:rsidP="002B682F">
      <w:pPr>
        <w:pStyle w:val="a5"/>
        <w:ind w:leftChars="75" w:left="180"/>
        <w:jc w:val="both"/>
        <w:rPr>
          <w:rFonts w:eastAsia="標楷體"/>
          <w:szCs w:val="22"/>
        </w:rPr>
      </w:pPr>
      <w:r w:rsidRPr="00212D57">
        <w:rPr>
          <w:rFonts w:eastAsia="標楷體" w:hint="eastAsia"/>
          <w:szCs w:val="22"/>
        </w:rPr>
        <w:t>「自性有二種：</w:t>
      </w:r>
      <w:r w:rsidRPr="00212D57">
        <w:rPr>
          <w:rFonts w:eastAsia="標楷體"/>
          <w:szCs w:val="22"/>
        </w:rPr>
        <w:t>一者，如世間法</w:t>
      </w:r>
      <w:r w:rsidRPr="004142AA">
        <w:rPr>
          <w:rFonts w:ascii="新細明體" w:hAnsi="新細明體"/>
          <w:szCs w:val="22"/>
        </w:rPr>
        <w:t>（中）</w:t>
      </w:r>
      <w:r w:rsidRPr="00212D57">
        <w:rPr>
          <w:rFonts w:eastAsia="標楷體"/>
          <w:szCs w:val="22"/>
        </w:rPr>
        <w:t>地堅性等；二者，聖人</w:t>
      </w:r>
      <w:r w:rsidRPr="004142AA">
        <w:rPr>
          <w:rFonts w:ascii="新細明體" w:hAnsi="新細明體"/>
          <w:szCs w:val="22"/>
        </w:rPr>
        <w:t>（所）</w:t>
      </w:r>
      <w:r w:rsidRPr="00212D57">
        <w:rPr>
          <w:rFonts w:eastAsia="標楷體"/>
          <w:szCs w:val="22"/>
        </w:rPr>
        <w:t>知如、法性</w:t>
      </w:r>
      <w:r w:rsidRPr="004142AA">
        <w:rPr>
          <w:rFonts w:ascii="新細明體" w:hAnsi="新細明體"/>
          <w:szCs w:val="22"/>
          <w:vertAlign w:val="subscript"/>
        </w:rPr>
        <w:t>[界]</w:t>
      </w:r>
      <w:r w:rsidRPr="00212D57">
        <w:rPr>
          <w:rFonts w:eastAsia="標楷體"/>
          <w:szCs w:val="22"/>
        </w:rPr>
        <w:t>、</w:t>
      </w:r>
      <w:r w:rsidRPr="000C6D5D">
        <w:rPr>
          <w:rFonts w:eastAsia="標楷體"/>
          <w:szCs w:val="22"/>
        </w:rPr>
        <w:t>實際</w:t>
      </w:r>
      <w:r w:rsidRPr="000C6D5D">
        <w:rPr>
          <w:rFonts w:eastAsia="標楷體" w:hint="eastAsia"/>
          <w:szCs w:val="22"/>
        </w:rPr>
        <w:t>。</w:t>
      </w:r>
      <w:r w:rsidRPr="000C6D5D">
        <w:rPr>
          <w:rFonts w:eastAsia="標楷體"/>
          <w:szCs w:val="22"/>
        </w:rPr>
        <w:t>」</w:t>
      </w:r>
    </w:p>
    <w:p w:rsidR="00157EF6" w:rsidRPr="000C6D5D" w:rsidRDefault="00157EF6" w:rsidP="00AE3920">
      <w:pPr>
        <w:pStyle w:val="a5"/>
        <w:spacing w:beforeLines="20"/>
        <w:ind w:leftChars="75" w:left="180"/>
        <w:jc w:val="both"/>
        <w:rPr>
          <w:rFonts w:eastAsia="標楷體"/>
          <w:szCs w:val="22"/>
        </w:rPr>
      </w:pPr>
      <w:r w:rsidRPr="000C6D5D">
        <w:rPr>
          <w:rFonts w:eastAsia="標楷體" w:hint="eastAsia"/>
          <w:b/>
          <w:szCs w:val="22"/>
        </w:rPr>
        <w:t>自性的第一類</w:t>
      </w:r>
      <w:r w:rsidRPr="000C6D5D">
        <w:rPr>
          <w:rFonts w:eastAsia="標楷體" w:hint="eastAsia"/>
          <w:szCs w:val="22"/>
        </w:rPr>
        <w:t>：是世間法中所說的，地堅性，水濕性等。地以堅為自性，水以濕為自性等，世俗法中是可以這樣說的。如求堅等自性的實體，那是不可得的，也就是沒有自性──無自性了。</w:t>
      </w:r>
    </w:p>
    <w:p w:rsidR="00157EF6" w:rsidRPr="000C6D5D" w:rsidRDefault="00157EF6" w:rsidP="00AE3920">
      <w:pPr>
        <w:pStyle w:val="a5"/>
        <w:spacing w:beforeLines="20"/>
        <w:ind w:leftChars="75" w:left="180"/>
        <w:jc w:val="both"/>
        <w:rPr>
          <w:rFonts w:eastAsia="標楷體"/>
          <w:szCs w:val="22"/>
        </w:rPr>
      </w:pPr>
      <w:r w:rsidRPr="000C6D5D">
        <w:rPr>
          <w:rFonts w:eastAsia="標楷體" w:hint="eastAsia"/>
          <w:b/>
          <w:szCs w:val="22"/>
        </w:rPr>
        <w:t>自性的第二類</w:t>
      </w:r>
      <w:r w:rsidRPr="000C6D5D">
        <w:rPr>
          <w:rFonts w:eastAsia="標楷體" w:hint="eastAsia"/>
          <w:szCs w:val="22"/>
        </w:rPr>
        <w:t>：是聖人所證的真如，或名法界、實際等。這是本來如此，可以名之為自性的。</w:t>
      </w:r>
    </w:p>
    <w:p w:rsidR="00157EF6" w:rsidRPr="000C6D5D" w:rsidRDefault="00157EF6" w:rsidP="00AE3920">
      <w:pPr>
        <w:pStyle w:val="a5"/>
        <w:spacing w:beforeLines="20"/>
        <w:ind w:leftChars="75" w:left="180"/>
        <w:jc w:val="both"/>
        <w:rPr>
          <w:rFonts w:eastAsia="標楷體"/>
          <w:szCs w:val="22"/>
        </w:rPr>
      </w:pPr>
      <w:r w:rsidRPr="000C6D5D">
        <w:rPr>
          <w:rFonts w:eastAsia="標楷體" w:hint="eastAsia"/>
          <w:szCs w:val="22"/>
        </w:rPr>
        <w:t>《大智度論》卷</w:t>
      </w:r>
      <w:r w:rsidRPr="000C6D5D">
        <w:rPr>
          <w:rFonts w:eastAsia="標楷體"/>
          <w:szCs w:val="22"/>
        </w:rPr>
        <w:t>67</w:t>
      </w:r>
      <w:r w:rsidRPr="000C6D5D">
        <w:rPr>
          <w:rFonts w:eastAsia="標楷體" w:hint="eastAsia"/>
          <w:szCs w:val="22"/>
        </w:rPr>
        <w:t>所說：「</w:t>
      </w:r>
      <w:r w:rsidRPr="000C6D5D">
        <w:rPr>
          <w:rFonts w:eastAsia="標楷體"/>
          <w:szCs w:val="22"/>
        </w:rPr>
        <w:t>色性者，</w:t>
      </w:r>
      <w:r w:rsidRPr="000C6D5D">
        <w:rPr>
          <w:rFonts w:ascii="標楷體" w:eastAsia="標楷體" w:hAnsi="標楷體"/>
          <w:szCs w:val="22"/>
        </w:rPr>
        <w:t>……</w:t>
      </w:r>
      <w:r w:rsidRPr="000C6D5D">
        <w:rPr>
          <w:rFonts w:eastAsia="標楷體"/>
          <w:szCs w:val="22"/>
        </w:rPr>
        <w:t>所謂地堅性等。復次</w:t>
      </w:r>
      <w:r w:rsidRPr="000C6D5D">
        <w:rPr>
          <w:rFonts w:eastAsia="標楷體" w:hint="eastAsia"/>
          <w:szCs w:val="22"/>
        </w:rPr>
        <w:t>，</w:t>
      </w:r>
      <w:r w:rsidRPr="000C6D5D">
        <w:rPr>
          <w:rFonts w:eastAsia="標楷體"/>
          <w:szCs w:val="22"/>
        </w:rPr>
        <w:t>色實性，名法性</w:t>
      </w:r>
      <w:r w:rsidRPr="000C6D5D">
        <w:rPr>
          <w:rFonts w:eastAsia="標楷體" w:hint="eastAsia"/>
          <w:szCs w:val="22"/>
        </w:rPr>
        <w:t>。</w:t>
      </w:r>
      <w:r w:rsidRPr="000C6D5D">
        <w:rPr>
          <w:rFonts w:eastAsia="標楷體"/>
          <w:szCs w:val="22"/>
        </w:rPr>
        <w:t>」</w:t>
      </w:r>
      <w:r w:rsidR="004142AA" w:rsidRPr="004142AA">
        <w:rPr>
          <w:rFonts w:eastAsia="標楷體" w:hint="eastAsia"/>
          <w:color w:val="FF0000"/>
          <w:szCs w:val="22"/>
          <w:highlight w:val="yellow"/>
          <w:vertAlign w:val="superscript"/>
        </w:rPr>
        <w:t>[2]</w:t>
      </w:r>
      <w:r w:rsidRPr="000C6D5D">
        <w:rPr>
          <w:rFonts w:eastAsia="標楷體" w:hint="eastAsia"/>
          <w:szCs w:val="22"/>
        </w:rPr>
        <w:t>，也就是這二類自性的分別。</w:t>
      </w:r>
    </w:p>
    <w:p w:rsidR="00157EF6" w:rsidRPr="000C6D5D" w:rsidRDefault="00157EF6" w:rsidP="00AE3920">
      <w:pPr>
        <w:pStyle w:val="a5"/>
        <w:spacing w:beforeLines="20"/>
        <w:ind w:leftChars="75" w:left="180"/>
        <w:jc w:val="both"/>
        <w:rPr>
          <w:rFonts w:eastAsia="標楷體"/>
          <w:szCs w:val="22"/>
        </w:rPr>
      </w:pPr>
      <w:r w:rsidRPr="000C6D5D">
        <w:rPr>
          <w:rFonts w:eastAsia="標楷體" w:hint="eastAsia"/>
          <w:szCs w:val="22"/>
        </w:rPr>
        <w:t>這二類自性：</w:t>
      </w:r>
    </w:p>
    <w:p w:rsidR="00157EF6" w:rsidRPr="000C6D5D" w:rsidRDefault="00157EF6" w:rsidP="00D10440">
      <w:pPr>
        <w:pStyle w:val="a5"/>
        <w:ind w:leftChars="75" w:left="180"/>
        <w:jc w:val="both"/>
        <w:rPr>
          <w:rFonts w:eastAsia="標楷體"/>
          <w:szCs w:val="22"/>
        </w:rPr>
      </w:pPr>
      <w:r w:rsidRPr="000C6D5D">
        <w:rPr>
          <w:rFonts w:eastAsia="標楷體" w:hint="eastAsia"/>
          <w:b/>
          <w:szCs w:val="22"/>
        </w:rPr>
        <w:t>一是世俗自性</w:t>
      </w:r>
      <w:r w:rsidRPr="000C6D5D">
        <w:rPr>
          <w:rFonts w:eastAsia="標楷體" w:hint="eastAsia"/>
          <w:szCs w:val="22"/>
        </w:rPr>
        <w:t>：世間眾生以為自性有的，如地堅性等，</w:t>
      </w:r>
      <w:r w:rsidRPr="000C6D5D">
        <w:rPr>
          <w:rFonts w:eastAsia="標楷體" w:hint="eastAsia"/>
          <w:b/>
          <w:szCs w:val="22"/>
        </w:rPr>
        <w:t>不符緣起的深義，所以要破斥而論證為沒有自性的</w:t>
      </w:r>
      <w:r w:rsidRPr="000C6D5D">
        <w:rPr>
          <w:rFonts w:eastAsia="標楷體" w:hint="eastAsia"/>
          <w:szCs w:val="22"/>
        </w:rPr>
        <w:t>。</w:t>
      </w:r>
    </w:p>
    <w:p w:rsidR="00157EF6" w:rsidRDefault="00157EF6" w:rsidP="00AE3920">
      <w:pPr>
        <w:pStyle w:val="a5"/>
        <w:spacing w:beforeLines="20"/>
        <w:ind w:leftChars="75" w:left="180"/>
        <w:jc w:val="both"/>
        <w:rPr>
          <w:rFonts w:eastAsia="標楷體"/>
          <w:b/>
          <w:szCs w:val="22"/>
        </w:rPr>
      </w:pPr>
      <w:r w:rsidRPr="000C6D5D">
        <w:rPr>
          <w:rFonts w:eastAsia="標楷體" w:hint="eastAsia"/>
          <w:b/>
          <w:szCs w:val="22"/>
        </w:rPr>
        <w:t>二是勝</w:t>
      </w:r>
      <w:r w:rsidRPr="00212D57">
        <w:rPr>
          <w:rFonts w:eastAsia="標楷體" w:hint="eastAsia"/>
          <w:b/>
          <w:szCs w:val="22"/>
        </w:rPr>
        <w:t>義自性</w:t>
      </w:r>
      <w:r w:rsidRPr="00212D57">
        <w:rPr>
          <w:rFonts w:eastAsia="標楷體" w:hint="eastAsia"/>
          <w:szCs w:val="22"/>
        </w:rPr>
        <w:t>：聖人所證見的真如、法界等，是</w:t>
      </w:r>
      <w:r w:rsidRPr="00212D57">
        <w:rPr>
          <w:rFonts w:eastAsia="標楷體" w:hint="eastAsia"/>
          <w:b/>
          <w:szCs w:val="22"/>
        </w:rPr>
        <w:t>聖人如實通達的，可以說是有的</w:t>
      </w:r>
      <w:r w:rsidRPr="00212D57">
        <w:rPr>
          <w:rFonts w:eastAsia="標楷體" w:hint="eastAsia"/>
          <w:szCs w:val="22"/>
        </w:rPr>
        <w:t>。所以《大智度論》說：「如、法性</w:t>
      </w:r>
      <w:r w:rsidRPr="004142AA">
        <w:rPr>
          <w:rFonts w:ascii="新細明體" w:hAnsi="新細明體"/>
          <w:szCs w:val="22"/>
          <w:vertAlign w:val="subscript"/>
        </w:rPr>
        <w:t>[界]</w:t>
      </w:r>
      <w:r w:rsidRPr="00212D57">
        <w:rPr>
          <w:rFonts w:eastAsia="標楷體"/>
          <w:szCs w:val="22"/>
        </w:rPr>
        <w:t>、實際，世界悉檀故無，第一義悉檀故有</w:t>
      </w:r>
      <w:r w:rsidRPr="00212D57">
        <w:rPr>
          <w:rFonts w:eastAsia="標楷體" w:hint="eastAsia"/>
          <w:szCs w:val="22"/>
        </w:rPr>
        <w:t>。</w:t>
      </w:r>
      <w:r w:rsidRPr="00212D57">
        <w:rPr>
          <w:rFonts w:eastAsia="標楷體"/>
          <w:szCs w:val="22"/>
        </w:rPr>
        <w:t>」</w:t>
      </w:r>
      <w:r w:rsidR="004142AA" w:rsidRPr="004142AA">
        <w:rPr>
          <w:rFonts w:eastAsia="標楷體" w:hint="eastAsia"/>
          <w:color w:val="FF0000"/>
          <w:szCs w:val="22"/>
          <w:highlight w:val="yellow"/>
          <w:vertAlign w:val="superscript"/>
        </w:rPr>
        <w:t>[3]</w:t>
      </w:r>
      <w:r w:rsidRPr="00212D57">
        <w:rPr>
          <w:rFonts w:eastAsia="標楷體" w:hint="eastAsia"/>
          <w:szCs w:val="22"/>
        </w:rPr>
        <w:t>第一義就是勝義。</w:t>
      </w:r>
      <w:r w:rsidRPr="00212D57">
        <w:rPr>
          <w:rFonts w:eastAsia="標楷體" w:hint="eastAsia"/>
          <w:b/>
          <w:szCs w:val="22"/>
        </w:rPr>
        <w:t>第一義中有的自性，〈下本般若〉是一再說到的</w:t>
      </w:r>
      <w:r w:rsidR="004142AA" w:rsidRPr="004142AA">
        <w:rPr>
          <w:rFonts w:eastAsia="標楷體" w:hint="eastAsia"/>
          <w:color w:val="FF0000"/>
          <w:szCs w:val="22"/>
          <w:highlight w:val="yellow"/>
        </w:rPr>
        <w:t>，</w:t>
      </w:r>
      <w:r w:rsidR="004142AA" w:rsidRPr="004142AA">
        <w:rPr>
          <w:rFonts w:eastAsia="標楷體" w:hint="eastAsia"/>
          <w:color w:val="FF0000"/>
          <w:szCs w:val="22"/>
          <w:shd w:val="pct15" w:color="auto" w:fill="FFFFFF"/>
        </w:rPr>
        <w:t>……</w:t>
      </w:r>
    </w:p>
    <w:p w:rsidR="004142AA" w:rsidRPr="004142AA" w:rsidRDefault="004142AA" w:rsidP="00AE3920">
      <w:pPr>
        <w:pStyle w:val="a5"/>
        <w:spacing w:beforeLines="20"/>
        <w:ind w:leftChars="75" w:left="180"/>
        <w:jc w:val="both"/>
        <w:rPr>
          <w:color w:val="FF0000"/>
          <w:szCs w:val="22"/>
          <w:highlight w:val="yellow"/>
        </w:rPr>
      </w:pPr>
      <w:r w:rsidRPr="004142AA">
        <w:rPr>
          <w:rFonts w:hint="eastAsia"/>
          <w:color w:val="FF0000"/>
          <w:szCs w:val="22"/>
          <w:highlight w:val="yellow"/>
        </w:rPr>
        <w:t>[</w:t>
      </w:r>
      <w:r w:rsidRPr="004142AA">
        <w:rPr>
          <w:rFonts w:hint="eastAsia"/>
          <w:color w:val="FF0000"/>
          <w:szCs w:val="22"/>
          <w:highlight w:val="yellow"/>
        </w:rPr>
        <w:t>原書註</w:t>
      </w:r>
      <w:r w:rsidRPr="004142AA">
        <w:rPr>
          <w:rFonts w:eastAsia="標楷體" w:hint="eastAsia"/>
          <w:color w:val="FF0000"/>
          <w:szCs w:val="22"/>
          <w:highlight w:val="yellow"/>
        </w:rPr>
        <w:t>2]</w:t>
      </w:r>
      <w:r w:rsidRPr="004142AA">
        <w:rPr>
          <w:rFonts w:hint="eastAsia"/>
          <w:color w:val="FF0000"/>
          <w:szCs w:val="22"/>
          <w:highlight w:val="yellow"/>
        </w:rPr>
        <w:t>《大智度論》卷</w:t>
      </w:r>
      <w:r w:rsidRPr="004142AA">
        <w:rPr>
          <w:color w:val="FF0000"/>
          <w:szCs w:val="22"/>
          <w:highlight w:val="yellow"/>
        </w:rPr>
        <w:t>67</w:t>
      </w:r>
      <w:r w:rsidRPr="004142AA">
        <w:rPr>
          <w:color w:val="FF0000"/>
          <w:szCs w:val="22"/>
          <w:highlight w:val="yellow"/>
        </w:rPr>
        <w:t>（大正</w:t>
      </w:r>
      <w:r w:rsidRPr="004142AA">
        <w:rPr>
          <w:color w:val="FF0000"/>
          <w:szCs w:val="22"/>
          <w:highlight w:val="yellow"/>
        </w:rPr>
        <w:t>25</w:t>
      </w:r>
      <w:r w:rsidRPr="004142AA">
        <w:rPr>
          <w:color w:val="FF0000"/>
          <w:szCs w:val="22"/>
          <w:highlight w:val="yellow"/>
        </w:rPr>
        <w:t>，</w:t>
      </w:r>
      <w:r w:rsidRPr="004142AA">
        <w:rPr>
          <w:color w:val="FF0000"/>
          <w:szCs w:val="22"/>
          <w:highlight w:val="yellow"/>
        </w:rPr>
        <w:t>528b16-24</w:t>
      </w:r>
      <w:r w:rsidRPr="004142AA">
        <w:rPr>
          <w:color w:val="FF0000"/>
          <w:szCs w:val="22"/>
          <w:highlight w:val="yellow"/>
        </w:rPr>
        <w:t>）</w:t>
      </w:r>
      <w:r w:rsidRPr="004142AA">
        <w:rPr>
          <w:rFonts w:hint="eastAsia"/>
          <w:color w:val="FF0000"/>
          <w:szCs w:val="22"/>
          <w:highlight w:val="yellow"/>
        </w:rPr>
        <w:t>。</w:t>
      </w:r>
    </w:p>
    <w:p w:rsidR="004142AA" w:rsidRPr="004142AA" w:rsidRDefault="004142AA" w:rsidP="004142AA">
      <w:pPr>
        <w:pStyle w:val="a5"/>
        <w:ind w:leftChars="75" w:left="180"/>
        <w:jc w:val="both"/>
        <w:rPr>
          <w:rFonts w:eastAsia="標楷體"/>
          <w:szCs w:val="22"/>
        </w:rPr>
      </w:pPr>
      <w:r w:rsidRPr="004142AA">
        <w:rPr>
          <w:rFonts w:hint="eastAsia"/>
          <w:color w:val="FF0000"/>
          <w:szCs w:val="22"/>
          <w:highlight w:val="yellow"/>
        </w:rPr>
        <w:t>[</w:t>
      </w:r>
      <w:r w:rsidRPr="004142AA">
        <w:rPr>
          <w:rFonts w:hint="eastAsia"/>
          <w:color w:val="FF0000"/>
          <w:szCs w:val="22"/>
          <w:highlight w:val="yellow"/>
        </w:rPr>
        <w:t>原書註</w:t>
      </w:r>
      <w:r w:rsidRPr="004142AA">
        <w:rPr>
          <w:rFonts w:hint="eastAsia"/>
          <w:color w:val="FF0000"/>
          <w:szCs w:val="22"/>
          <w:highlight w:val="yellow"/>
        </w:rPr>
        <w:t>3</w:t>
      </w:r>
      <w:r w:rsidRPr="004142AA">
        <w:rPr>
          <w:rFonts w:eastAsia="標楷體" w:hint="eastAsia"/>
          <w:color w:val="FF0000"/>
          <w:szCs w:val="22"/>
          <w:highlight w:val="yellow"/>
        </w:rPr>
        <w:t>]</w:t>
      </w:r>
      <w:r w:rsidRPr="004142AA">
        <w:rPr>
          <w:rFonts w:hint="eastAsia"/>
          <w:color w:val="FF0000"/>
          <w:szCs w:val="22"/>
          <w:highlight w:val="yellow"/>
        </w:rPr>
        <w:t>《大智度論》</w:t>
      </w:r>
      <w:r w:rsidRPr="004142AA">
        <w:rPr>
          <w:color w:val="FF0000"/>
          <w:szCs w:val="22"/>
          <w:highlight w:val="yellow"/>
        </w:rPr>
        <w:t>卷</w:t>
      </w:r>
      <w:r w:rsidRPr="004142AA">
        <w:rPr>
          <w:color w:val="FF0000"/>
          <w:szCs w:val="22"/>
          <w:highlight w:val="yellow"/>
        </w:rPr>
        <w:t>1</w:t>
      </w:r>
      <w:r w:rsidRPr="004142AA">
        <w:rPr>
          <w:color w:val="FF0000"/>
          <w:szCs w:val="22"/>
          <w:highlight w:val="yellow"/>
        </w:rPr>
        <w:t>（大正</w:t>
      </w:r>
      <w:r w:rsidRPr="004142AA">
        <w:rPr>
          <w:color w:val="FF0000"/>
          <w:szCs w:val="22"/>
          <w:highlight w:val="yellow"/>
        </w:rPr>
        <w:t>25</w:t>
      </w:r>
      <w:r w:rsidRPr="004142AA">
        <w:rPr>
          <w:color w:val="FF0000"/>
          <w:szCs w:val="22"/>
          <w:highlight w:val="yellow"/>
        </w:rPr>
        <w:t>，</w:t>
      </w:r>
      <w:r w:rsidRPr="004142AA">
        <w:rPr>
          <w:color w:val="FF0000"/>
          <w:szCs w:val="22"/>
          <w:highlight w:val="yellow"/>
        </w:rPr>
        <w:t>59c11-12</w:t>
      </w:r>
      <w:r w:rsidRPr="004142AA">
        <w:rPr>
          <w:color w:val="FF0000"/>
          <w:szCs w:val="22"/>
          <w:highlight w:val="yellow"/>
        </w:rPr>
        <w:t>）</w:t>
      </w:r>
      <w:r w:rsidRPr="004142AA">
        <w:rPr>
          <w:rFonts w:hint="eastAsia"/>
          <w:color w:val="FF0000"/>
          <w:szCs w:val="22"/>
          <w:highlight w:val="yellow"/>
        </w:rPr>
        <w:t>。</w:t>
      </w:r>
    </w:p>
  </w:footnote>
  <w:footnote w:id="413">
    <w:p w:rsidR="00157EF6" w:rsidRPr="00212D57" w:rsidRDefault="00157EF6" w:rsidP="002B682F">
      <w:pPr>
        <w:pStyle w:val="a5"/>
        <w:ind w:left="187" w:hangingChars="85" w:hanging="187"/>
        <w:jc w:val="both"/>
        <w:rPr>
          <w:szCs w:val="22"/>
        </w:rPr>
      </w:pPr>
      <w:r w:rsidRPr="00212D57">
        <w:rPr>
          <w:rStyle w:val="a6"/>
          <w:szCs w:val="22"/>
        </w:rPr>
        <w:footnoteRef/>
      </w:r>
      <w:r w:rsidRPr="00212D57">
        <w:rPr>
          <w:szCs w:val="22"/>
        </w:rPr>
        <w:t xml:space="preserve"> </w:t>
      </w:r>
      <w:r w:rsidRPr="00212D57">
        <w:rPr>
          <w:szCs w:val="22"/>
        </w:rPr>
        <w:t>參見《大般若波羅蜜多經</w:t>
      </w:r>
      <w:r w:rsidRPr="00212D57">
        <w:rPr>
          <w:rFonts w:hint="eastAsia"/>
          <w:szCs w:val="22"/>
        </w:rPr>
        <w:t>》</w:t>
      </w:r>
      <w:r w:rsidRPr="00212D57">
        <w:rPr>
          <w:szCs w:val="22"/>
        </w:rPr>
        <w:t>卷</w:t>
      </w:r>
      <w:r w:rsidRPr="00761EF3">
        <w:rPr>
          <w:szCs w:val="22"/>
        </w:rPr>
        <w:t>41</w:t>
      </w:r>
      <w:r w:rsidRPr="00212D57">
        <w:rPr>
          <w:szCs w:val="22"/>
        </w:rPr>
        <w:t>〈</w:t>
      </w:r>
      <w:r w:rsidRPr="00761EF3">
        <w:rPr>
          <w:szCs w:val="22"/>
        </w:rPr>
        <w:t>10</w:t>
      </w:r>
      <w:r w:rsidRPr="00212D57">
        <w:rPr>
          <w:szCs w:val="22"/>
        </w:rPr>
        <w:t xml:space="preserve"> </w:t>
      </w:r>
      <w:r w:rsidRPr="00212D57">
        <w:rPr>
          <w:szCs w:val="22"/>
        </w:rPr>
        <w:t>般若行相品〉（大正</w:t>
      </w:r>
      <w:r w:rsidRPr="00761EF3">
        <w:rPr>
          <w:szCs w:val="22"/>
        </w:rPr>
        <w:t>5</w:t>
      </w:r>
      <w:r w:rsidRPr="00212D57">
        <w:rPr>
          <w:szCs w:val="22"/>
        </w:rPr>
        <w:t>，</w:t>
      </w:r>
      <w:r w:rsidRPr="00761EF3">
        <w:rPr>
          <w:szCs w:val="22"/>
        </w:rPr>
        <w:t>229b18</w:t>
      </w:r>
      <w:r w:rsidRPr="00212D57">
        <w:rPr>
          <w:szCs w:val="22"/>
        </w:rPr>
        <w:t>-</w:t>
      </w:r>
      <w:r w:rsidRPr="00761EF3">
        <w:rPr>
          <w:szCs w:val="22"/>
        </w:rPr>
        <w:t>26</w:t>
      </w:r>
      <w:r w:rsidRPr="00212D57">
        <w:rPr>
          <w:szCs w:val="22"/>
        </w:rPr>
        <w:t>）：</w:t>
      </w:r>
    </w:p>
    <w:p w:rsidR="00157EF6" w:rsidRPr="00212D57" w:rsidRDefault="00157EF6" w:rsidP="002B682F">
      <w:pPr>
        <w:pStyle w:val="a5"/>
        <w:ind w:leftChars="75" w:left="180"/>
        <w:jc w:val="both"/>
        <w:rPr>
          <w:rFonts w:ascii="標楷體" w:eastAsia="標楷體" w:hAnsi="標楷體"/>
          <w:szCs w:val="22"/>
        </w:rPr>
      </w:pPr>
      <w:r w:rsidRPr="00212D57">
        <w:rPr>
          <w:rFonts w:ascii="標楷體" w:eastAsia="標楷體" w:hAnsi="標楷體"/>
          <w:szCs w:val="22"/>
        </w:rPr>
        <w:t>時，舍利子問善現言：</w:t>
      </w:r>
      <w:r w:rsidRPr="00212D57">
        <w:rPr>
          <w:rFonts w:ascii="標楷體" w:eastAsia="標楷體" w:hAnsi="標楷體" w:hint="eastAsia"/>
          <w:szCs w:val="22"/>
        </w:rPr>
        <w:t>「</w:t>
      </w:r>
      <w:r w:rsidRPr="00212D57">
        <w:rPr>
          <w:rFonts w:ascii="標楷體" w:eastAsia="標楷體" w:hAnsi="標楷體"/>
          <w:szCs w:val="22"/>
        </w:rPr>
        <w:t>何因緣故，是菩薩摩訶薩修行般若波羅蜜多時，於一切法都無所取？</w:t>
      </w:r>
      <w:r w:rsidRPr="00212D57">
        <w:rPr>
          <w:rFonts w:ascii="標楷體" w:eastAsia="標楷體" w:hAnsi="標楷體" w:hint="eastAsia"/>
          <w:szCs w:val="22"/>
        </w:rPr>
        <w:t>」</w:t>
      </w:r>
    </w:p>
    <w:p w:rsidR="00157EF6" w:rsidRPr="00212D57" w:rsidRDefault="00157EF6" w:rsidP="002B682F">
      <w:pPr>
        <w:pStyle w:val="a5"/>
        <w:ind w:leftChars="75" w:left="180"/>
        <w:jc w:val="both"/>
        <w:rPr>
          <w:rFonts w:ascii="標楷體" w:eastAsia="標楷體" w:hAnsi="標楷體"/>
          <w:szCs w:val="22"/>
        </w:rPr>
      </w:pPr>
      <w:r w:rsidRPr="00212D57">
        <w:rPr>
          <w:rFonts w:ascii="標楷體" w:eastAsia="標楷體" w:hAnsi="標楷體"/>
          <w:szCs w:val="22"/>
        </w:rPr>
        <w:t>善現答言：</w:t>
      </w:r>
      <w:r w:rsidRPr="00212D57">
        <w:rPr>
          <w:rFonts w:ascii="標楷體" w:eastAsia="標楷體" w:hAnsi="標楷體" w:hint="eastAsia"/>
          <w:szCs w:val="22"/>
        </w:rPr>
        <w:t>「</w:t>
      </w:r>
      <w:r w:rsidRPr="00212D57">
        <w:rPr>
          <w:rFonts w:ascii="標楷體" w:eastAsia="標楷體" w:hAnsi="標楷體"/>
          <w:b/>
          <w:szCs w:val="22"/>
        </w:rPr>
        <w:t>由一切法自性不可得。何以故？一切法以無性為自性故</w:t>
      </w:r>
      <w:r w:rsidRPr="00212D57">
        <w:rPr>
          <w:rFonts w:ascii="標楷體" w:eastAsia="標楷體" w:hAnsi="標楷體"/>
          <w:szCs w:val="22"/>
        </w:rPr>
        <w:t>。由此因緣，若菩薩摩訶薩修行般若波羅蜜多時，於一切法若取有、若取非有、若取亦有亦非</w:t>
      </w:r>
      <w:r w:rsidRPr="00212D57">
        <w:rPr>
          <w:rFonts w:ascii="標楷體" w:eastAsia="標楷體" w:hAnsi="標楷體" w:hint="eastAsia"/>
          <w:szCs w:val="22"/>
        </w:rPr>
        <w:t>有、若取非有非非有、若取不取，非行般若波羅蜜多。所以者何？以一切法都無自性</w:t>
      </w:r>
      <w:r w:rsidR="00A96193">
        <w:rPr>
          <w:rFonts w:ascii="標楷體" w:eastAsia="標楷體" w:hAnsi="標楷體" w:hint="eastAsia"/>
          <w:color w:val="FF0000"/>
          <w:spacing w:val="-4"/>
          <w:kern w:val="0"/>
          <w:highlight w:val="yellow"/>
        </w:rPr>
        <w:t>、</w:t>
      </w:r>
      <w:r w:rsidRPr="00212D57">
        <w:rPr>
          <w:rFonts w:ascii="標楷體" w:eastAsia="標楷體" w:hAnsi="標楷體" w:hint="eastAsia"/>
          <w:szCs w:val="22"/>
        </w:rPr>
        <w:t>不可取故。」</w:t>
      </w:r>
    </w:p>
  </w:footnote>
  <w:footnote w:id="414">
    <w:p w:rsidR="00157EF6" w:rsidRPr="00212D57" w:rsidRDefault="00157EF6" w:rsidP="009E0A5A">
      <w:pPr>
        <w:pStyle w:val="a5"/>
        <w:spacing w:line="300" w:lineRule="exact"/>
        <w:ind w:left="187" w:hangingChars="85" w:hanging="187"/>
        <w:jc w:val="both"/>
        <w:rPr>
          <w:szCs w:val="22"/>
        </w:rPr>
      </w:pPr>
      <w:r w:rsidRPr="00212D57">
        <w:rPr>
          <w:rStyle w:val="a6"/>
          <w:szCs w:val="22"/>
        </w:rPr>
        <w:footnoteRef/>
      </w:r>
      <w:r>
        <w:rPr>
          <w:rFonts w:hint="eastAsia"/>
          <w:szCs w:val="22"/>
        </w:rPr>
        <w:t xml:space="preserve"> </w:t>
      </w:r>
      <w:r w:rsidRPr="00212D57">
        <w:rPr>
          <w:szCs w:val="22"/>
        </w:rPr>
        <w:t>《中論》卷</w:t>
      </w:r>
      <w:r w:rsidRPr="00761EF3">
        <w:rPr>
          <w:szCs w:val="22"/>
        </w:rPr>
        <w:t>1</w:t>
      </w:r>
      <w:r w:rsidRPr="00212D57">
        <w:rPr>
          <w:szCs w:val="22"/>
        </w:rPr>
        <w:t>〈</w:t>
      </w:r>
      <w:r w:rsidRPr="00761EF3">
        <w:rPr>
          <w:szCs w:val="22"/>
        </w:rPr>
        <w:t>1</w:t>
      </w:r>
      <w:r w:rsidRPr="00212D57">
        <w:rPr>
          <w:rFonts w:hint="eastAsia"/>
          <w:szCs w:val="22"/>
        </w:rPr>
        <w:t xml:space="preserve"> </w:t>
      </w:r>
      <w:r w:rsidRPr="00212D57">
        <w:rPr>
          <w:szCs w:val="22"/>
        </w:rPr>
        <w:t>觀因緣品〉（大正</w:t>
      </w:r>
      <w:r w:rsidRPr="00761EF3">
        <w:rPr>
          <w:szCs w:val="22"/>
        </w:rPr>
        <w:t>30</w:t>
      </w:r>
      <w:r w:rsidRPr="00212D57">
        <w:rPr>
          <w:szCs w:val="22"/>
        </w:rPr>
        <w:t>，</w:t>
      </w:r>
      <w:r w:rsidRPr="00761EF3">
        <w:rPr>
          <w:szCs w:val="22"/>
        </w:rPr>
        <w:t>1b11</w:t>
      </w:r>
      <w:r w:rsidRPr="00212D57">
        <w:rPr>
          <w:szCs w:val="22"/>
        </w:rPr>
        <w:t>-</w:t>
      </w:r>
      <w:r w:rsidRPr="00761EF3">
        <w:rPr>
          <w:szCs w:val="22"/>
        </w:rPr>
        <w:t>14</w:t>
      </w:r>
      <w:r w:rsidRPr="00212D57">
        <w:rPr>
          <w:szCs w:val="22"/>
        </w:rPr>
        <w:t>）：</w:t>
      </w:r>
    </w:p>
    <w:p w:rsidR="00157EF6" w:rsidRPr="00212D57" w:rsidRDefault="00157EF6" w:rsidP="00887DA1">
      <w:pPr>
        <w:kinsoku w:val="0"/>
        <w:overflowPunct w:val="0"/>
        <w:autoSpaceDE w:val="0"/>
        <w:autoSpaceDN w:val="0"/>
        <w:snapToGrid w:val="0"/>
        <w:spacing w:line="300" w:lineRule="exact"/>
        <w:ind w:leftChars="75" w:left="180"/>
        <w:jc w:val="both"/>
        <w:rPr>
          <w:rFonts w:ascii="標楷體" w:eastAsia="標楷體" w:hAnsi="標楷體"/>
          <w:sz w:val="22"/>
          <w:szCs w:val="22"/>
        </w:rPr>
      </w:pPr>
      <w:r w:rsidRPr="00212D57">
        <w:rPr>
          <w:rFonts w:ascii="標楷體" w:eastAsia="標楷體" w:hAnsi="標楷體"/>
          <w:sz w:val="22"/>
          <w:szCs w:val="22"/>
        </w:rPr>
        <w:t>不生亦不滅，不常亦不斷，不一亦不異，不來亦不出。</w:t>
      </w:r>
    </w:p>
    <w:p w:rsidR="00157EF6" w:rsidRPr="00212D57" w:rsidRDefault="00157EF6" w:rsidP="00887DA1">
      <w:pPr>
        <w:kinsoku w:val="0"/>
        <w:overflowPunct w:val="0"/>
        <w:autoSpaceDE w:val="0"/>
        <w:autoSpaceDN w:val="0"/>
        <w:snapToGrid w:val="0"/>
        <w:spacing w:line="300" w:lineRule="exact"/>
        <w:ind w:leftChars="75" w:left="180"/>
        <w:jc w:val="both"/>
        <w:rPr>
          <w:sz w:val="22"/>
          <w:szCs w:val="22"/>
        </w:rPr>
      </w:pPr>
      <w:r w:rsidRPr="00212D57">
        <w:rPr>
          <w:rFonts w:ascii="標楷體" w:eastAsia="標楷體" w:hAnsi="標楷體"/>
          <w:sz w:val="22"/>
          <w:szCs w:val="22"/>
        </w:rPr>
        <w:t>能說是因緣，善滅諸戲論，我稽首禮佛，諸說中第一。</w:t>
      </w:r>
    </w:p>
  </w:footnote>
  <w:footnote w:id="415">
    <w:p w:rsidR="00157EF6" w:rsidRPr="00212D57" w:rsidRDefault="00157EF6" w:rsidP="00887DA1">
      <w:pPr>
        <w:pStyle w:val="a5"/>
        <w:spacing w:line="300" w:lineRule="exact"/>
        <w:ind w:left="187" w:hangingChars="85" w:hanging="187"/>
        <w:jc w:val="both"/>
        <w:rPr>
          <w:szCs w:val="22"/>
        </w:rPr>
      </w:pPr>
      <w:r w:rsidRPr="00F63F7D">
        <w:rPr>
          <w:rStyle w:val="a6"/>
          <w:szCs w:val="22"/>
        </w:rPr>
        <w:footnoteRef/>
      </w:r>
      <w:r w:rsidRPr="00212D57">
        <w:rPr>
          <w:szCs w:val="22"/>
        </w:rPr>
        <w:t xml:space="preserve"> </w:t>
      </w:r>
      <w:r w:rsidRPr="00212D57">
        <w:rPr>
          <w:szCs w:val="22"/>
        </w:rPr>
        <w:t>法勝造，《阿毘曇心論》卷</w:t>
      </w:r>
      <w:r w:rsidRPr="00761EF3">
        <w:rPr>
          <w:szCs w:val="22"/>
        </w:rPr>
        <w:t>2</w:t>
      </w:r>
      <w:r w:rsidRPr="00212D57">
        <w:rPr>
          <w:szCs w:val="22"/>
        </w:rPr>
        <w:t>（大正</w:t>
      </w:r>
      <w:r w:rsidRPr="00761EF3">
        <w:rPr>
          <w:szCs w:val="22"/>
        </w:rPr>
        <w:t>28</w:t>
      </w:r>
      <w:r w:rsidRPr="00212D57">
        <w:rPr>
          <w:szCs w:val="22"/>
        </w:rPr>
        <w:t>，</w:t>
      </w:r>
      <w:r w:rsidRPr="00761EF3">
        <w:rPr>
          <w:szCs w:val="22"/>
        </w:rPr>
        <w:t>811b18</w:t>
      </w:r>
      <w:r w:rsidRPr="00212D57">
        <w:rPr>
          <w:szCs w:val="22"/>
        </w:rPr>
        <w:t>-</w:t>
      </w:r>
      <w:r w:rsidRPr="00761EF3">
        <w:rPr>
          <w:szCs w:val="22"/>
        </w:rPr>
        <w:t>20</w:t>
      </w:r>
      <w:r w:rsidRPr="00212D57">
        <w:rPr>
          <w:szCs w:val="22"/>
        </w:rPr>
        <w:t>）：</w:t>
      </w:r>
    </w:p>
    <w:p w:rsidR="00157EF6" w:rsidRPr="00212D57" w:rsidRDefault="00157EF6" w:rsidP="00887DA1">
      <w:pPr>
        <w:pStyle w:val="af8"/>
        <w:kinsoku w:val="0"/>
        <w:overflowPunct w:val="0"/>
        <w:autoSpaceDE w:val="0"/>
        <w:autoSpaceDN w:val="0"/>
        <w:snapToGrid w:val="0"/>
        <w:spacing w:line="300" w:lineRule="exact"/>
        <w:ind w:leftChars="75" w:left="180" w:firstLineChars="0" w:firstLine="0"/>
        <w:rPr>
          <w:rFonts w:ascii="標楷體" w:eastAsia="標楷體" w:hAnsi="標楷體"/>
          <w:kern w:val="2"/>
          <w:sz w:val="22"/>
          <w:szCs w:val="22"/>
        </w:rPr>
      </w:pPr>
      <w:r w:rsidRPr="00212D57">
        <w:rPr>
          <w:rFonts w:ascii="標楷體" w:eastAsia="標楷體" w:hAnsi="標楷體"/>
          <w:kern w:val="2"/>
          <w:sz w:val="22"/>
          <w:szCs w:val="22"/>
        </w:rPr>
        <w:t>一切有為法有四相</w:t>
      </w:r>
      <w:r w:rsidR="00C30EB2">
        <w:rPr>
          <w:rFonts w:ascii="標楷體" w:eastAsia="標楷體" w:hAnsi="標楷體" w:hint="eastAsia"/>
          <w:color w:val="FF0000"/>
          <w:sz w:val="22"/>
          <w:highlight w:val="yellow"/>
        </w:rPr>
        <w:t>──</w:t>
      </w:r>
      <w:r w:rsidRPr="00212D57">
        <w:rPr>
          <w:rFonts w:ascii="標楷體" w:eastAsia="標楷體" w:hAnsi="標楷體"/>
          <w:kern w:val="2"/>
          <w:sz w:val="22"/>
          <w:szCs w:val="22"/>
        </w:rPr>
        <w:t>生、住、異、滅</w:t>
      </w:r>
      <w:r w:rsidR="00C30EB2">
        <w:rPr>
          <w:rFonts w:ascii="標楷體" w:eastAsia="標楷體" w:hAnsi="標楷體" w:hint="eastAsia"/>
          <w:color w:val="FF0000"/>
          <w:sz w:val="22"/>
          <w:highlight w:val="yellow"/>
        </w:rPr>
        <w:t>。</w:t>
      </w:r>
      <w:r w:rsidRPr="00212D57">
        <w:rPr>
          <w:rFonts w:ascii="標楷體" w:eastAsia="標楷體" w:hAnsi="標楷體"/>
          <w:kern w:val="2"/>
          <w:sz w:val="22"/>
          <w:szCs w:val="22"/>
        </w:rPr>
        <w:t>世中起</w:t>
      </w:r>
      <w:r w:rsidR="00C30EB2">
        <w:rPr>
          <w:rFonts w:ascii="標楷體" w:eastAsia="標楷體" w:hAnsi="標楷體" w:hint="eastAsia"/>
          <w:color w:val="FF0000"/>
          <w:sz w:val="22"/>
          <w:highlight w:val="yellow"/>
        </w:rPr>
        <w:t>，</w:t>
      </w:r>
      <w:r w:rsidRPr="00212D57">
        <w:rPr>
          <w:rFonts w:ascii="標楷體" w:eastAsia="標楷體" w:hAnsi="標楷體"/>
          <w:kern w:val="2"/>
          <w:sz w:val="22"/>
          <w:szCs w:val="22"/>
        </w:rPr>
        <w:t>故生</w:t>
      </w:r>
      <w:r w:rsidR="00C30EB2">
        <w:rPr>
          <w:rFonts w:ascii="標楷體" w:eastAsia="標楷體" w:hAnsi="標楷體" w:hint="eastAsia"/>
          <w:color w:val="FF0000"/>
          <w:spacing w:val="-4"/>
          <w:sz w:val="22"/>
          <w:highlight w:val="yellow"/>
        </w:rPr>
        <w:t>；</w:t>
      </w:r>
      <w:r w:rsidRPr="00212D57">
        <w:rPr>
          <w:rFonts w:ascii="標楷體" w:eastAsia="標楷體" w:hAnsi="標楷體"/>
          <w:kern w:val="2"/>
          <w:sz w:val="22"/>
          <w:szCs w:val="22"/>
        </w:rPr>
        <w:t>已起</w:t>
      </w:r>
      <w:r w:rsidR="00C30EB2">
        <w:rPr>
          <w:rFonts w:ascii="標楷體" w:eastAsia="標楷體" w:hAnsi="標楷體" w:hint="eastAsia"/>
          <w:color w:val="FF0000"/>
          <w:sz w:val="22"/>
          <w:highlight w:val="yellow"/>
        </w:rPr>
        <w:t>，</w:t>
      </w:r>
      <w:r w:rsidRPr="00212D57">
        <w:rPr>
          <w:rFonts w:ascii="標楷體" w:eastAsia="標楷體" w:hAnsi="標楷體"/>
          <w:kern w:val="2"/>
          <w:sz w:val="22"/>
          <w:szCs w:val="22"/>
        </w:rPr>
        <w:t>自事立</w:t>
      </w:r>
      <w:r w:rsidR="00C30EB2">
        <w:rPr>
          <w:rFonts w:ascii="標楷體" w:eastAsia="標楷體" w:hAnsi="標楷體" w:hint="eastAsia"/>
          <w:color w:val="FF0000"/>
          <w:sz w:val="22"/>
          <w:highlight w:val="yellow"/>
        </w:rPr>
        <w:t>，</w:t>
      </w:r>
      <w:r w:rsidR="00C30EB2">
        <w:rPr>
          <w:rFonts w:ascii="標楷體" w:eastAsia="標楷體" w:hAnsi="標楷體"/>
          <w:kern w:val="2"/>
          <w:sz w:val="22"/>
          <w:szCs w:val="22"/>
        </w:rPr>
        <w:t>故住</w:t>
      </w:r>
      <w:r w:rsidR="00C30EB2">
        <w:rPr>
          <w:rFonts w:ascii="標楷體" w:eastAsia="標楷體" w:hAnsi="標楷體" w:hint="eastAsia"/>
          <w:color w:val="FF0000"/>
          <w:spacing w:val="-4"/>
          <w:sz w:val="22"/>
          <w:highlight w:val="yellow"/>
        </w:rPr>
        <w:t>；</w:t>
      </w:r>
      <w:r w:rsidRPr="00212D57">
        <w:rPr>
          <w:rFonts w:ascii="標楷體" w:eastAsia="標楷體" w:hAnsi="標楷體"/>
          <w:kern w:val="2"/>
          <w:sz w:val="22"/>
          <w:szCs w:val="22"/>
        </w:rPr>
        <w:t>已住</w:t>
      </w:r>
      <w:r w:rsidR="00C30EB2">
        <w:rPr>
          <w:rFonts w:ascii="標楷體" w:eastAsia="標楷體" w:hAnsi="標楷體" w:hint="eastAsia"/>
          <w:color w:val="FF0000"/>
          <w:sz w:val="22"/>
          <w:highlight w:val="yellow"/>
        </w:rPr>
        <w:t>，</w:t>
      </w:r>
      <w:r w:rsidRPr="00212D57">
        <w:rPr>
          <w:rFonts w:ascii="標楷體" w:eastAsia="標楷體" w:hAnsi="標楷體"/>
          <w:kern w:val="2"/>
          <w:sz w:val="22"/>
          <w:szCs w:val="22"/>
        </w:rPr>
        <w:t>勢衰</w:t>
      </w:r>
      <w:r w:rsidR="00C30EB2">
        <w:rPr>
          <w:rFonts w:ascii="標楷體" w:eastAsia="標楷體" w:hAnsi="標楷體" w:hint="eastAsia"/>
          <w:color w:val="FF0000"/>
          <w:sz w:val="22"/>
          <w:highlight w:val="yellow"/>
        </w:rPr>
        <w:t>，</w:t>
      </w:r>
      <w:r w:rsidRPr="00212D57">
        <w:rPr>
          <w:rFonts w:ascii="標楷體" w:eastAsia="標楷體" w:hAnsi="標楷體"/>
          <w:kern w:val="2"/>
          <w:sz w:val="22"/>
          <w:szCs w:val="22"/>
        </w:rPr>
        <w:t>故異</w:t>
      </w:r>
      <w:r w:rsidR="00C30EB2">
        <w:rPr>
          <w:rFonts w:ascii="標楷體" w:eastAsia="標楷體" w:hAnsi="標楷體" w:hint="eastAsia"/>
          <w:color w:val="FF0000"/>
          <w:spacing w:val="-4"/>
          <w:sz w:val="22"/>
          <w:highlight w:val="yellow"/>
        </w:rPr>
        <w:t>；</w:t>
      </w:r>
      <w:r w:rsidRPr="00212D57">
        <w:rPr>
          <w:rFonts w:ascii="標楷體" w:eastAsia="標楷體" w:hAnsi="標楷體"/>
          <w:kern w:val="2"/>
          <w:sz w:val="22"/>
          <w:szCs w:val="22"/>
        </w:rPr>
        <w:t>已異</w:t>
      </w:r>
      <w:r w:rsidR="00C30EB2">
        <w:rPr>
          <w:rFonts w:ascii="標楷體" w:eastAsia="標楷體" w:hAnsi="標楷體" w:hint="eastAsia"/>
          <w:color w:val="FF0000"/>
          <w:sz w:val="22"/>
          <w:highlight w:val="yellow"/>
        </w:rPr>
        <w:t>，</w:t>
      </w:r>
      <w:r w:rsidRPr="00212D57">
        <w:rPr>
          <w:rFonts w:ascii="標楷體" w:eastAsia="標楷體" w:hAnsi="標楷體"/>
          <w:kern w:val="2"/>
          <w:sz w:val="22"/>
          <w:szCs w:val="22"/>
        </w:rPr>
        <w:t>勢壞</w:t>
      </w:r>
      <w:r w:rsidR="00C30EB2">
        <w:rPr>
          <w:rFonts w:ascii="標楷體" w:eastAsia="標楷體" w:hAnsi="標楷體" w:hint="eastAsia"/>
          <w:color w:val="FF0000"/>
          <w:sz w:val="22"/>
          <w:highlight w:val="yellow"/>
        </w:rPr>
        <w:t>，</w:t>
      </w:r>
      <w:r w:rsidRPr="00212D57">
        <w:rPr>
          <w:rFonts w:ascii="標楷體" w:eastAsia="標楷體" w:hAnsi="標楷體"/>
          <w:kern w:val="2"/>
          <w:sz w:val="22"/>
          <w:szCs w:val="22"/>
        </w:rPr>
        <w:t>故滅。</w:t>
      </w:r>
    </w:p>
  </w:footnote>
  <w:footnote w:id="416">
    <w:p w:rsidR="00643D0C" w:rsidRDefault="00643D0C">
      <w:pPr>
        <w:pStyle w:val="a5"/>
      </w:pPr>
      <w:r w:rsidRPr="00643D0C">
        <w:rPr>
          <w:rStyle w:val="a6"/>
          <w:color w:val="FF0000"/>
          <w:highlight w:val="yellow"/>
        </w:rPr>
        <w:footnoteRef/>
      </w:r>
      <w:r>
        <w:t xml:space="preserve"> </w:t>
      </w:r>
      <w:r w:rsidRPr="00643D0C">
        <w:rPr>
          <w:color w:val="FF0000"/>
          <w:highlight w:val="yellow"/>
        </w:rPr>
        <w:t>不居</w:t>
      </w:r>
      <w:r w:rsidRPr="00643D0C">
        <w:rPr>
          <w:rFonts w:hint="eastAsia"/>
          <w:color w:val="FF0000"/>
          <w:highlight w:val="yellow"/>
        </w:rPr>
        <w:t>：</w:t>
      </w:r>
      <w:r w:rsidRPr="00643D0C">
        <w:rPr>
          <w:rFonts w:hint="eastAsia"/>
          <w:color w:val="FF0000"/>
          <w:highlight w:val="yellow"/>
        </w:rPr>
        <w:t>2.</w:t>
      </w:r>
      <w:r w:rsidRPr="00643D0C">
        <w:rPr>
          <w:rFonts w:hint="eastAsia"/>
          <w:color w:val="FF0000"/>
          <w:highlight w:val="yellow"/>
        </w:rPr>
        <w:t>不停留</w:t>
      </w:r>
      <w:r w:rsidRPr="00643D0C">
        <w:rPr>
          <w:rFonts w:hint="eastAsia"/>
          <w:color w:val="FF0000"/>
          <w:szCs w:val="22"/>
          <w:highlight w:val="yellow"/>
        </w:rPr>
        <w:t>。（《漢語大詞典》（一），</w:t>
      </w:r>
      <w:r w:rsidRPr="00643D0C">
        <w:rPr>
          <w:rFonts w:hint="eastAsia"/>
          <w:color w:val="FF0000"/>
          <w:szCs w:val="22"/>
          <w:highlight w:val="yellow"/>
        </w:rPr>
        <w:t>p.425</w:t>
      </w:r>
      <w:r w:rsidRPr="00643D0C">
        <w:rPr>
          <w:rFonts w:hint="eastAsia"/>
          <w:color w:val="FF0000"/>
          <w:szCs w:val="22"/>
          <w:highlight w:val="yellow"/>
        </w:rPr>
        <w:t>）</w:t>
      </w:r>
    </w:p>
  </w:footnote>
  <w:footnote w:id="417">
    <w:p w:rsidR="00157EF6" w:rsidRPr="00212D57" w:rsidRDefault="00157EF6" w:rsidP="00887DA1">
      <w:pPr>
        <w:pStyle w:val="a5"/>
        <w:spacing w:line="300" w:lineRule="exact"/>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《大毘婆沙論》卷</w:t>
      </w:r>
      <w:r w:rsidRPr="00761EF3">
        <w:rPr>
          <w:szCs w:val="22"/>
        </w:rPr>
        <w:t>131</w:t>
      </w:r>
      <w:r w:rsidRPr="00212D57">
        <w:rPr>
          <w:szCs w:val="22"/>
        </w:rPr>
        <w:t>（大正</w:t>
      </w:r>
      <w:r w:rsidRPr="00761EF3">
        <w:rPr>
          <w:szCs w:val="22"/>
        </w:rPr>
        <w:t>27</w:t>
      </w:r>
      <w:r w:rsidRPr="00212D57">
        <w:rPr>
          <w:szCs w:val="22"/>
        </w:rPr>
        <w:t>，</w:t>
      </w:r>
      <w:r w:rsidRPr="00761EF3">
        <w:rPr>
          <w:szCs w:val="22"/>
        </w:rPr>
        <w:t>682c18</w:t>
      </w:r>
      <w:r w:rsidRPr="00212D57">
        <w:rPr>
          <w:szCs w:val="22"/>
        </w:rPr>
        <w:t>-</w:t>
      </w:r>
      <w:r w:rsidRPr="00761EF3">
        <w:rPr>
          <w:szCs w:val="22"/>
        </w:rPr>
        <w:t>23</w:t>
      </w:r>
      <w:r w:rsidRPr="00212D57">
        <w:rPr>
          <w:szCs w:val="22"/>
        </w:rPr>
        <w:t>）：</w:t>
      </w:r>
    </w:p>
    <w:p w:rsidR="00157EF6" w:rsidRPr="00212D57" w:rsidRDefault="00157EF6" w:rsidP="00887DA1">
      <w:pPr>
        <w:pStyle w:val="af"/>
        <w:kinsoku w:val="0"/>
        <w:overflowPunct w:val="0"/>
        <w:autoSpaceDE w:val="0"/>
        <w:autoSpaceDN w:val="0"/>
        <w:snapToGrid w:val="0"/>
        <w:spacing w:line="300" w:lineRule="exact"/>
        <w:ind w:leftChars="75" w:left="620" w:hangingChars="200" w:hanging="440"/>
        <w:jc w:val="both"/>
        <w:rPr>
          <w:rFonts w:ascii="標楷體" w:eastAsia="標楷體" w:hAnsi="標楷體"/>
          <w:sz w:val="22"/>
          <w:szCs w:val="22"/>
        </w:rPr>
      </w:pPr>
      <w:r w:rsidRPr="00212D57">
        <w:rPr>
          <w:rFonts w:ascii="標楷體" w:eastAsia="標楷體" w:hAnsi="標楷體"/>
          <w:sz w:val="22"/>
          <w:szCs w:val="22"/>
        </w:rPr>
        <w:t>問：諸有為法各有生住滅？何故乃言</w:t>
      </w:r>
      <w:r w:rsidR="00C30EB2">
        <w:rPr>
          <w:rFonts w:ascii="標楷體" w:eastAsia="標楷體" w:hAnsi="標楷體" w:hint="eastAsia"/>
          <w:bCs/>
          <w:color w:val="FF0000"/>
          <w:kern w:val="0"/>
          <w:sz w:val="22"/>
          <w:highlight w:val="yellow"/>
        </w:rPr>
        <w:t>「</w:t>
      </w:r>
      <w:r w:rsidRPr="00212D57">
        <w:rPr>
          <w:rFonts w:ascii="標楷體" w:eastAsia="標楷體" w:hAnsi="標楷體"/>
          <w:sz w:val="22"/>
          <w:szCs w:val="22"/>
        </w:rPr>
        <w:t>一生一住一滅</w:t>
      </w:r>
      <w:r w:rsidR="00C30EB2">
        <w:rPr>
          <w:rFonts w:ascii="標楷體" w:eastAsia="標楷體" w:hAnsi="標楷體" w:hint="eastAsia"/>
          <w:bCs/>
          <w:color w:val="FF0000"/>
          <w:kern w:val="0"/>
          <w:sz w:val="22"/>
          <w:highlight w:val="yellow"/>
        </w:rPr>
        <w:t>」</w:t>
      </w:r>
      <w:r w:rsidRPr="00212D57">
        <w:rPr>
          <w:rFonts w:ascii="標楷體" w:eastAsia="標楷體" w:hAnsi="標楷體"/>
          <w:sz w:val="22"/>
          <w:szCs w:val="22"/>
        </w:rPr>
        <w:t>？</w:t>
      </w:r>
    </w:p>
    <w:p w:rsidR="00157EF6" w:rsidRPr="00212D57" w:rsidRDefault="00157EF6" w:rsidP="00887DA1">
      <w:pPr>
        <w:pStyle w:val="af"/>
        <w:kinsoku w:val="0"/>
        <w:overflowPunct w:val="0"/>
        <w:autoSpaceDE w:val="0"/>
        <w:autoSpaceDN w:val="0"/>
        <w:snapToGrid w:val="0"/>
        <w:spacing w:line="300" w:lineRule="exact"/>
        <w:ind w:leftChars="75" w:left="620" w:hangingChars="200" w:hanging="440"/>
        <w:jc w:val="both"/>
        <w:rPr>
          <w:rFonts w:ascii="Times New Roman" w:eastAsia="新細明體" w:hAnsi="Times New Roman"/>
          <w:sz w:val="22"/>
          <w:szCs w:val="22"/>
        </w:rPr>
      </w:pPr>
      <w:r w:rsidRPr="00212D57">
        <w:rPr>
          <w:rFonts w:ascii="標楷體" w:eastAsia="標楷體" w:hAnsi="標楷體"/>
          <w:sz w:val="22"/>
          <w:szCs w:val="22"/>
        </w:rPr>
        <w:t>答：</w:t>
      </w:r>
      <w:r w:rsidRPr="005E5595">
        <w:rPr>
          <w:rFonts w:ascii="標楷體" w:eastAsia="標楷體" w:hAnsi="標楷體"/>
          <w:spacing w:val="-2"/>
          <w:sz w:val="22"/>
          <w:szCs w:val="22"/>
        </w:rPr>
        <w:t>有因緣故說</w:t>
      </w:r>
      <w:r w:rsidR="00C30EB2">
        <w:rPr>
          <w:rFonts w:ascii="標楷體" w:eastAsia="標楷體" w:hAnsi="標楷體" w:hint="eastAsia"/>
          <w:bCs/>
          <w:color w:val="FF0000"/>
          <w:kern w:val="0"/>
          <w:sz w:val="22"/>
          <w:highlight w:val="yellow"/>
        </w:rPr>
        <w:t>「</w:t>
      </w:r>
      <w:r w:rsidRPr="005E5595">
        <w:rPr>
          <w:rFonts w:ascii="標楷體" w:eastAsia="標楷體" w:hAnsi="標楷體"/>
          <w:spacing w:val="-2"/>
          <w:sz w:val="22"/>
          <w:szCs w:val="22"/>
        </w:rPr>
        <w:t>各有生住滅</w:t>
      </w:r>
      <w:r w:rsidR="00C30EB2">
        <w:rPr>
          <w:rFonts w:ascii="標楷體" w:eastAsia="標楷體" w:hAnsi="標楷體" w:hint="eastAsia"/>
          <w:bCs/>
          <w:color w:val="FF0000"/>
          <w:kern w:val="0"/>
          <w:sz w:val="22"/>
          <w:highlight w:val="yellow"/>
        </w:rPr>
        <w:t>」</w:t>
      </w:r>
      <w:r w:rsidRPr="005E5595">
        <w:rPr>
          <w:rFonts w:ascii="標楷體" w:eastAsia="標楷體" w:hAnsi="標楷體"/>
          <w:spacing w:val="-2"/>
          <w:sz w:val="22"/>
          <w:szCs w:val="22"/>
        </w:rPr>
        <w:t>，謂各別有諸相相</w:t>
      </w:r>
      <w:r w:rsidR="00C30EB2">
        <w:rPr>
          <w:rFonts w:ascii="標楷體" w:eastAsia="標楷體" w:hAnsi="標楷體" w:hint="eastAsia"/>
          <w:color w:val="FF0000"/>
          <w:kern w:val="0"/>
          <w:sz w:val="22"/>
          <w:highlight w:val="yellow"/>
        </w:rPr>
        <w:t>，</w:t>
      </w:r>
      <w:r w:rsidRPr="005E5595">
        <w:rPr>
          <w:rFonts w:ascii="標楷體" w:eastAsia="標楷體" w:hAnsi="標楷體"/>
          <w:spacing w:val="-2"/>
          <w:sz w:val="22"/>
          <w:szCs w:val="22"/>
        </w:rPr>
        <w:t>故非一相</w:t>
      </w:r>
      <w:r w:rsidR="00C30EB2">
        <w:rPr>
          <w:rFonts w:ascii="標楷體" w:eastAsia="標楷體" w:hAnsi="標楷體" w:hint="eastAsia"/>
          <w:color w:val="FF0000"/>
          <w:spacing w:val="-4"/>
          <w:kern w:val="0"/>
          <w:sz w:val="22"/>
          <w:highlight w:val="yellow"/>
        </w:rPr>
        <w:t>；</w:t>
      </w:r>
      <w:r w:rsidRPr="005E5595">
        <w:rPr>
          <w:rFonts w:ascii="標楷體" w:eastAsia="標楷體" w:hAnsi="標楷體"/>
          <w:spacing w:val="-2"/>
          <w:sz w:val="22"/>
          <w:szCs w:val="22"/>
        </w:rPr>
        <w:t>有因緣故說</w:t>
      </w:r>
      <w:r w:rsidR="00C30EB2">
        <w:rPr>
          <w:rFonts w:ascii="標楷體" w:eastAsia="標楷體" w:hAnsi="標楷體" w:hint="eastAsia"/>
          <w:bCs/>
          <w:color w:val="FF0000"/>
          <w:kern w:val="0"/>
          <w:sz w:val="22"/>
          <w:highlight w:val="yellow"/>
        </w:rPr>
        <w:t>「</w:t>
      </w:r>
      <w:r w:rsidRPr="005E5595">
        <w:rPr>
          <w:rFonts w:ascii="標楷體" w:eastAsia="標楷體" w:hAnsi="標楷體"/>
          <w:spacing w:val="-2"/>
          <w:sz w:val="22"/>
          <w:szCs w:val="22"/>
        </w:rPr>
        <w:t>一</w:t>
      </w:r>
      <w:r w:rsidRPr="00C30EB2">
        <w:rPr>
          <w:rFonts w:ascii="標楷體" w:eastAsia="標楷體" w:hAnsi="標楷體"/>
          <w:spacing w:val="-2"/>
          <w:sz w:val="22"/>
          <w:szCs w:val="22"/>
          <w:highlight w:val="yellow"/>
        </w:rPr>
        <w:t>生一住</w:t>
      </w:r>
      <w:r w:rsidRPr="00C30EB2">
        <w:rPr>
          <w:rFonts w:ascii="標楷體" w:eastAsia="標楷體" w:hAnsi="標楷體"/>
          <w:sz w:val="22"/>
          <w:szCs w:val="22"/>
          <w:highlight w:val="yellow"/>
        </w:rPr>
        <w:t>一</w:t>
      </w:r>
      <w:r w:rsidRPr="00212D57">
        <w:rPr>
          <w:rFonts w:ascii="標楷體" w:eastAsia="標楷體" w:hAnsi="標楷體"/>
          <w:sz w:val="22"/>
          <w:szCs w:val="22"/>
        </w:rPr>
        <w:t>滅</w:t>
      </w:r>
      <w:r w:rsidR="00C30EB2">
        <w:rPr>
          <w:rFonts w:ascii="標楷體" w:eastAsia="標楷體" w:hAnsi="標楷體" w:hint="eastAsia"/>
          <w:bCs/>
          <w:color w:val="FF0000"/>
          <w:kern w:val="0"/>
          <w:sz w:val="22"/>
          <w:highlight w:val="yellow"/>
        </w:rPr>
        <w:t>」</w:t>
      </w:r>
      <w:r w:rsidRPr="00212D57">
        <w:rPr>
          <w:rFonts w:ascii="標楷體" w:eastAsia="標楷體" w:hAnsi="標楷體"/>
          <w:sz w:val="22"/>
          <w:szCs w:val="22"/>
        </w:rPr>
        <w:t>，謂皆不離一剎那時等，於一時生住滅故。</w:t>
      </w:r>
    </w:p>
  </w:footnote>
  <w:footnote w:id="418">
    <w:p w:rsidR="00157EF6" w:rsidRPr="00212D57" w:rsidRDefault="00157EF6" w:rsidP="00887DA1">
      <w:pPr>
        <w:pStyle w:val="a5"/>
        <w:spacing w:line="300" w:lineRule="exact"/>
        <w:ind w:left="187" w:hangingChars="85" w:hanging="187"/>
        <w:jc w:val="both"/>
        <w:rPr>
          <w:szCs w:val="22"/>
        </w:rPr>
      </w:pPr>
      <w:r w:rsidRPr="00212D57">
        <w:rPr>
          <w:rStyle w:val="a6"/>
          <w:szCs w:val="22"/>
        </w:rPr>
        <w:footnoteRef/>
      </w:r>
      <w:r w:rsidRPr="00212D57">
        <w:rPr>
          <w:szCs w:val="22"/>
        </w:rPr>
        <w:t xml:space="preserve"> </w:t>
      </w:r>
      <w:r w:rsidRPr="00212D57">
        <w:rPr>
          <w:szCs w:val="22"/>
        </w:rPr>
        <w:t>參見</w:t>
      </w:r>
      <w:r w:rsidR="00C30EB2">
        <w:rPr>
          <w:rFonts w:hint="eastAsia"/>
          <w:szCs w:val="22"/>
        </w:rPr>
        <w:t>：</w:t>
      </w:r>
      <w:r w:rsidRPr="00212D57">
        <w:rPr>
          <w:szCs w:val="22"/>
        </w:rPr>
        <w:t>無性造</w:t>
      </w:r>
      <w:r w:rsidRPr="00212D57">
        <w:rPr>
          <w:rFonts w:hint="eastAsia"/>
          <w:szCs w:val="22"/>
        </w:rPr>
        <w:t>，〔唐〕</w:t>
      </w:r>
      <w:r w:rsidRPr="00212D57">
        <w:rPr>
          <w:szCs w:val="22"/>
        </w:rPr>
        <w:t>玄奘</w:t>
      </w:r>
      <w:r w:rsidRPr="00212D57">
        <w:rPr>
          <w:rFonts w:hint="eastAsia"/>
          <w:szCs w:val="22"/>
        </w:rPr>
        <w:t>譯，</w:t>
      </w:r>
      <w:r w:rsidRPr="00212D57">
        <w:rPr>
          <w:szCs w:val="22"/>
        </w:rPr>
        <w:t>《攝大乘論</w:t>
      </w:r>
      <w:r w:rsidRPr="00212D57">
        <w:rPr>
          <w:rFonts w:hint="eastAsia"/>
          <w:szCs w:val="22"/>
        </w:rPr>
        <w:t>釋</w:t>
      </w:r>
      <w:r w:rsidRPr="00212D57">
        <w:rPr>
          <w:szCs w:val="22"/>
        </w:rPr>
        <w:t>》卷</w:t>
      </w:r>
      <w:r w:rsidRPr="00761EF3">
        <w:rPr>
          <w:szCs w:val="22"/>
        </w:rPr>
        <w:t>2</w:t>
      </w:r>
      <w:r w:rsidRPr="00212D57">
        <w:rPr>
          <w:szCs w:val="22"/>
        </w:rPr>
        <w:t>〈</w:t>
      </w:r>
      <w:r w:rsidRPr="00761EF3">
        <w:rPr>
          <w:rFonts w:hint="eastAsia"/>
          <w:szCs w:val="22"/>
        </w:rPr>
        <w:t>2</w:t>
      </w:r>
      <w:r w:rsidRPr="00212D57">
        <w:rPr>
          <w:rFonts w:hint="eastAsia"/>
          <w:szCs w:val="22"/>
        </w:rPr>
        <w:t xml:space="preserve"> </w:t>
      </w:r>
      <w:r w:rsidRPr="00212D57">
        <w:rPr>
          <w:szCs w:val="22"/>
        </w:rPr>
        <w:t>所知依分〉（大正</w:t>
      </w:r>
      <w:r w:rsidRPr="00761EF3">
        <w:rPr>
          <w:szCs w:val="22"/>
        </w:rPr>
        <w:t>31</w:t>
      </w:r>
      <w:r w:rsidRPr="00212D57">
        <w:rPr>
          <w:szCs w:val="22"/>
        </w:rPr>
        <w:t>，</w:t>
      </w:r>
      <w:r w:rsidRPr="00761EF3">
        <w:rPr>
          <w:szCs w:val="22"/>
        </w:rPr>
        <w:t>386a22</w:t>
      </w:r>
      <w:r w:rsidRPr="00212D57">
        <w:rPr>
          <w:szCs w:val="22"/>
        </w:rPr>
        <w:t>-</w:t>
      </w:r>
      <w:r w:rsidRPr="00761EF3">
        <w:rPr>
          <w:szCs w:val="22"/>
        </w:rPr>
        <w:t>26</w:t>
      </w:r>
      <w:r w:rsidRPr="00212D57">
        <w:rPr>
          <w:szCs w:val="22"/>
        </w:rPr>
        <w:t>）：</w:t>
      </w:r>
    </w:p>
    <w:p w:rsidR="00157EF6" w:rsidRPr="00212D57" w:rsidRDefault="00C30EB2" w:rsidP="00887DA1">
      <w:pPr>
        <w:pStyle w:val="af"/>
        <w:kinsoku w:val="0"/>
        <w:overflowPunct w:val="0"/>
        <w:autoSpaceDE w:val="0"/>
        <w:autoSpaceDN w:val="0"/>
        <w:snapToGrid w:val="0"/>
        <w:spacing w:line="300" w:lineRule="exact"/>
        <w:ind w:leftChars="75" w:left="180"/>
        <w:jc w:val="both"/>
        <w:rPr>
          <w:rFonts w:ascii="標楷體" w:eastAsia="標楷體" w:hAnsi="標楷體"/>
          <w:sz w:val="22"/>
          <w:szCs w:val="22"/>
        </w:rPr>
      </w:pPr>
      <w:r>
        <w:rPr>
          <w:rFonts w:ascii="標楷體" w:eastAsia="標楷體" w:hAnsi="標楷體" w:hint="eastAsia"/>
          <w:bCs/>
          <w:color w:val="FF0000"/>
          <w:kern w:val="0"/>
          <w:sz w:val="22"/>
          <w:highlight w:val="yellow"/>
        </w:rPr>
        <w:t>「</w:t>
      </w:r>
      <w:r w:rsidR="00157EF6" w:rsidRPr="00212D57">
        <w:rPr>
          <w:rFonts w:ascii="標楷體" w:eastAsia="標楷體" w:hAnsi="標楷體"/>
          <w:sz w:val="22"/>
          <w:szCs w:val="22"/>
        </w:rPr>
        <w:t>化地部</w:t>
      </w:r>
      <w:r>
        <w:rPr>
          <w:rFonts w:ascii="標楷體" w:eastAsia="標楷體" w:hAnsi="標楷體" w:hint="eastAsia"/>
          <w:bCs/>
          <w:color w:val="FF0000"/>
          <w:kern w:val="0"/>
          <w:sz w:val="22"/>
          <w:highlight w:val="yellow"/>
        </w:rPr>
        <w:t>」</w:t>
      </w:r>
      <w:r w:rsidR="00157EF6" w:rsidRPr="00212D57">
        <w:rPr>
          <w:rFonts w:ascii="標楷體" w:eastAsia="標楷體" w:hAnsi="標楷體"/>
          <w:sz w:val="22"/>
          <w:szCs w:val="22"/>
        </w:rPr>
        <w:t>等者</w:t>
      </w:r>
      <w:r>
        <w:rPr>
          <w:rFonts w:ascii="標楷體" w:eastAsia="標楷體" w:hAnsi="標楷體" w:hint="eastAsia"/>
          <w:color w:val="FF0000"/>
          <w:spacing w:val="-4"/>
          <w:kern w:val="0"/>
          <w:sz w:val="22"/>
          <w:highlight w:val="yellow"/>
        </w:rPr>
        <w:t>：</w:t>
      </w:r>
      <w:r w:rsidR="00157EF6" w:rsidRPr="00212D57">
        <w:rPr>
          <w:rFonts w:ascii="標楷體" w:eastAsia="標楷體" w:hAnsi="標楷體"/>
          <w:sz w:val="22"/>
          <w:szCs w:val="22"/>
        </w:rPr>
        <w:t>於彼部中有三種蘊：一者、一念頃蘊，謂一剎那有生滅法</w:t>
      </w:r>
      <w:r>
        <w:rPr>
          <w:rFonts w:ascii="標楷體" w:eastAsia="標楷體" w:hAnsi="標楷體" w:hint="eastAsia"/>
          <w:color w:val="FF0000"/>
          <w:spacing w:val="-4"/>
          <w:kern w:val="0"/>
          <w:sz w:val="22"/>
          <w:highlight w:val="yellow"/>
        </w:rPr>
        <w:t>；</w:t>
      </w:r>
      <w:r w:rsidR="00157EF6" w:rsidRPr="00212D57">
        <w:rPr>
          <w:rFonts w:ascii="標楷體" w:eastAsia="標楷體" w:hAnsi="標楷體"/>
          <w:sz w:val="22"/>
          <w:szCs w:val="22"/>
        </w:rPr>
        <w:t>二者、一期生蘊，謂乃至死恒隨轉法</w:t>
      </w:r>
      <w:r>
        <w:rPr>
          <w:rFonts w:ascii="標楷體" w:eastAsia="標楷體" w:hAnsi="標楷體" w:hint="eastAsia"/>
          <w:color w:val="FF0000"/>
          <w:spacing w:val="-4"/>
          <w:kern w:val="0"/>
          <w:sz w:val="22"/>
          <w:highlight w:val="yellow"/>
        </w:rPr>
        <w:t>；</w:t>
      </w:r>
      <w:r w:rsidR="00157EF6" w:rsidRPr="00212D57">
        <w:rPr>
          <w:rFonts w:ascii="標楷體" w:eastAsia="標楷體" w:hAnsi="標楷體"/>
          <w:sz w:val="22"/>
          <w:szCs w:val="22"/>
        </w:rPr>
        <w:t>三者，窮生死蘊，謂乃至得金剛喻定恒隨轉法。</w:t>
      </w:r>
    </w:p>
  </w:footnote>
  <w:footnote w:id="419">
    <w:p w:rsidR="00586961" w:rsidRPr="00212D57" w:rsidRDefault="00586961" w:rsidP="00643D0C">
      <w:pPr>
        <w:pStyle w:val="a5"/>
        <w:spacing w:line="0" w:lineRule="atLeast"/>
        <w:ind w:left="726" w:hangingChars="330" w:hanging="726"/>
        <w:jc w:val="both"/>
        <w:rPr>
          <w:spacing w:val="-6"/>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w:t>
      </w:r>
      <w:r w:rsidRPr="00212D57">
        <w:rPr>
          <w:rFonts w:ascii="新細明體" w:hAnsi="新細明體"/>
          <w:spacing w:val="-6"/>
          <w:szCs w:val="22"/>
        </w:rPr>
        <w:t>參見《莊子</w:t>
      </w:r>
      <w:r>
        <w:rPr>
          <w:rFonts w:ascii="新細明體" w:hAnsi="新細明體"/>
          <w:spacing w:val="-6"/>
          <w:szCs w:val="22"/>
        </w:rPr>
        <w:t>•</w:t>
      </w:r>
      <w:r w:rsidRPr="00212D57">
        <w:rPr>
          <w:rFonts w:ascii="新細明體" w:hAnsi="新細明體"/>
          <w:spacing w:val="-6"/>
          <w:szCs w:val="22"/>
        </w:rPr>
        <w:t>田子方》〈第二十一〉</w:t>
      </w:r>
      <w:r w:rsidRPr="00212D57">
        <w:rPr>
          <w:spacing w:val="-6"/>
          <w:szCs w:val="22"/>
        </w:rPr>
        <w:t>:</w:t>
      </w:r>
      <w:r w:rsidRPr="00212D57">
        <w:rPr>
          <w:spacing w:val="-6"/>
          <w:szCs w:val="22"/>
        </w:rPr>
        <w:t>「</w:t>
      </w:r>
      <w:r w:rsidRPr="00212D57">
        <w:rPr>
          <w:rFonts w:eastAsia="標楷體"/>
          <w:spacing w:val="-6"/>
          <w:szCs w:val="22"/>
        </w:rPr>
        <w:t>吾終身與汝交一臂而失之，可不哀與？</w:t>
      </w:r>
      <w:r w:rsidRPr="00212D57">
        <w:rPr>
          <w:spacing w:val="-6"/>
          <w:szCs w:val="22"/>
        </w:rPr>
        <w:t>」</w:t>
      </w:r>
    </w:p>
    <w:p w:rsidR="00586961" w:rsidRPr="00212D57" w:rsidRDefault="00586961" w:rsidP="00586961">
      <w:pPr>
        <w:pStyle w:val="a5"/>
        <w:ind w:leftChars="80" w:left="731" w:hangingChars="245" w:hanging="539"/>
        <w:jc w:val="both"/>
        <w:rPr>
          <w:szCs w:val="22"/>
        </w:rPr>
      </w:pPr>
      <w:r w:rsidRPr="00212D57">
        <w:rPr>
          <w:szCs w:val="22"/>
        </w:rPr>
        <w:t>（</w:t>
      </w:r>
      <w:r w:rsidRPr="00761EF3">
        <w:rPr>
          <w:szCs w:val="22"/>
        </w:rPr>
        <w:t>2</w:t>
      </w:r>
      <w:r w:rsidRPr="00212D57">
        <w:rPr>
          <w:szCs w:val="22"/>
        </w:rPr>
        <w:t>）〔明〕德清述</w:t>
      </w:r>
      <w:r w:rsidRPr="00212D57">
        <w:rPr>
          <w:rFonts w:hint="eastAsia"/>
          <w:szCs w:val="22"/>
        </w:rPr>
        <w:t>，</w:t>
      </w:r>
      <w:r w:rsidRPr="00212D57">
        <w:rPr>
          <w:szCs w:val="22"/>
        </w:rPr>
        <w:t>《肇論略</w:t>
      </w:r>
      <w:r>
        <w:rPr>
          <w:rFonts w:hint="eastAsia"/>
          <w:color w:val="FF0000"/>
          <w:szCs w:val="22"/>
          <w:highlight w:val="yellow"/>
        </w:rPr>
        <w:t>注</w:t>
      </w:r>
      <w:r w:rsidRPr="00212D57">
        <w:rPr>
          <w:szCs w:val="22"/>
        </w:rPr>
        <w:t>》卷</w:t>
      </w:r>
      <w:r w:rsidRPr="00761EF3">
        <w:rPr>
          <w:szCs w:val="22"/>
        </w:rPr>
        <w:t>1</w:t>
      </w:r>
      <w:r w:rsidRPr="00212D57">
        <w:rPr>
          <w:szCs w:val="22"/>
        </w:rPr>
        <w:t>（卍新續藏</w:t>
      </w:r>
      <w:r w:rsidRPr="00761EF3">
        <w:rPr>
          <w:szCs w:val="22"/>
        </w:rPr>
        <w:t>54</w:t>
      </w:r>
      <w:r w:rsidRPr="00212D57">
        <w:rPr>
          <w:szCs w:val="22"/>
        </w:rPr>
        <w:t>，</w:t>
      </w:r>
      <w:r w:rsidRPr="00761EF3">
        <w:rPr>
          <w:szCs w:val="22"/>
        </w:rPr>
        <w:t>333c21</w:t>
      </w:r>
      <w:r w:rsidRPr="00212D57">
        <w:rPr>
          <w:szCs w:val="22"/>
        </w:rPr>
        <w:t>-</w:t>
      </w:r>
      <w:r w:rsidRPr="00761EF3">
        <w:rPr>
          <w:szCs w:val="22"/>
        </w:rPr>
        <w:t>334a1</w:t>
      </w:r>
      <w:r w:rsidRPr="00212D57">
        <w:rPr>
          <w:szCs w:val="22"/>
        </w:rPr>
        <w:t>）：</w:t>
      </w:r>
    </w:p>
    <w:p w:rsidR="004472CE" w:rsidRDefault="00586961" w:rsidP="00586961">
      <w:pPr>
        <w:pStyle w:val="a5"/>
        <w:ind w:leftChars="305" w:left="732"/>
        <w:jc w:val="both"/>
        <w:rPr>
          <w:rFonts w:ascii="標楷體" w:eastAsia="標楷體" w:hAnsi="標楷體"/>
          <w:szCs w:val="22"/>
        </w:rPr>
      </w:pPr>
      <w:r w:rsidRPr="00212D57">
        <w:rPr>
          <w:rFonts w:ascii="標楷體" w:eastAsia="標楷體" w:hAnsi="標楷體"/>
          <w:szCs w:val="22"/>
        </w:rPr>
        <w:t>「回也見新，交臂非故。」</w:t>
      </w:r>
      <w:r w:rsidRPr="00586961">
        <w:rPr>
          <w:rFonts w:ascii="標楷體" w:eastAsia="標楷體" w:hAnsi="標楷體"/>
          <w:szCs w:val="22"/>
          <w:shd w:val="pct15" w:color="auto" w:fill="FFFFFF"/>
        </w:rPr>
        <w:t>……</w:t>
      </w:r>
      <w:r w:rsidRPr="00212D57">
        <w:rPr>
          <w:rFonts w:ascii="標楷體" w:eastAsia="標楷體" w:hAnsi="標楷體"/>
          <w:szCs w:val="22"/>
        </w:rPr>
        <w:t>義引</w:t>
      </w:r>
      <w:r w:rsidRPr="00586961">
        <w:rPr>
          <w:rFonts w:ascii="標楷體" w:eastAsia="標楷體" w:hAnsi="標楷體"/>
          <w:szCs w:val="22"/>
        </w:rPr>
        <w:t>《</w:t>
      </w:r>
      <w:r w:rsidRPr="00212D57">
        <w:rPr>
          <w:rFonts w:ascii="標楷體" w:eastAsia="標楷體" w:hAnsi="標楷體"/>
          <w:szCs w:val="22"/>
        </w:rPr>
        <w:t>莊子</w:t>
      </w:r>
      <w:r w:rsidRPr="00586961">
        <w:rPr>
          <w:rFonts w:ascii="標楷體" w:eastAsia="標楷體" w:hAnsi="標楷體"/>
          <w:szCs w:val="22"/>
        </w:rPr>
        <w:t>》</w:t>
      </w:r>
      <w:r w:rsidRPr="00212D57">
        <w:rPr>
          <w:rFonts w:ascii="標楷體" w:eastAsia="標楷體" w:hAnsi="標楷體"/>
          <w:szCs w:val="22"/>
        </w:rPr>
        <w:t>。</w:t>
      </w:r>
    </w:p>
    <w:p w:rsidR="00586961" w:rsidRPr="00212D57" w:rsidRDefault="00586961" w:rsidP="00586961">
      <w:pPr>
        <w:pStyle w:val="a5"/>
        <w:ind w:leftChars="305" w:left="732"/>
        <w:jc w:val="both"/>
        <w:rPr>
          <w:szCs w:val="22"/>
        </w:rPr>
      </w:pPr>
      <w:r w:rsidRPr="00212D57">
        <w:rPr>
          <w:rFonts w:ascii="標楷體" w:eastAsia="標楷體" w:hAnsi="標楷體"/>
          <w:szCs w:val="22"/>
        </w:rPr>
        <w:t>仲尼謂顏回曰:「吾與汝交一臂而失之</w:t>
      </w:r>
      <w:r>
        <w:rPr>
          <w:rFonts w:ascii="標楷體" w:eastAsia="標楷體" w:hAnsi="標楷體" w:hint="eastAsia"/>
          <w:color w:val="FF0000"/>
          <w:szCs w:val="22"/>
          <w:highlight w:val="yellow"/>
        </w:rPr>
        <w:t>，</w:t>
      </w:r>
      <w:r w:rsidRPr="00212D57">
        <w:rPr>
          <w:rFonts w:ascii="標楷體" w:eastAsia="標楷體" w:hAnsi="標楷體"/>
          <w:szCs w:val="22"/>
        </w:rPr>
        <w:t>可不哀歟？」意謂</w:t>
      </w:r>
      <w:r w:rsidRPr="00586961">
        <w:rPr>
          <w:rFonts w:ascii="標楷體" w:eastAsia="標楷體" w:hAnsi="標楷體"/>
          <w:color w:val="FF0000"/>
          <w:szCs w:val="22"/>
          <w:highlight w:val="yellow"/>
        </w:rPr>
        <w:t>「</w:t>
      </w:r>
      <w:r w:rsidRPr="00212D57">
        <w:rPr>
          <w:rFonts w:ascii="標楷體" w:eastAsia="標楷體" w:hAnsi="標楷體"/>
          <w:szCs w:val="22"/>
        </w:rPr>
        <w:t>交臂之頃，已新新</w:t>
      </w:r>
      <w:r w:rsidRPr="00586961">
        <w:rPr>
          <w:rFonts w:ascii="標楷體" w:eastAsia="標楷體" w:hAnsi="標楷體" w:hint="eastAsia"/>
          <w:color w:val="FF0000"/>
          <w:szCs w:val="22"/>
          <w:highlight w:val="yellow"/>
        </w:rPr>
        <w:t>，</w:t>
      </w:r>
      <w:r w:rsidRPr="00212D57">
        <w:rPr>
          <w:rFonts w:ascii="標楷體" w:eastAsia="標楷體" w:hAnsi="標楷體"/>
          <w:szCs w:val="22"/>
        </w:rPr>
        <w:t>非故</w:t>
      </w:r>
      <w:r w:rsidRPr="00586961">
        <w:rPr>
          <w:rFonts w:ascii="標楷體" w:eastAsia="標楷體" w:hAnsi="標楷體"/>
          <w:color w:val="FF0000"/>
          <w:szCs w:val="22"/>
          <w:highlight w:val="yellow"/>
        </w:rPr>
        <w:t>」</w:t>
      </w:r>
      <w:r w:rsidRPr="00212D57">
        <w:rPr>
          <w:rFonts w:ascii="標楷體" w:eastAsia="標楷體" w:hAnsi="標楷體"/>
          <w:szCs w:val="22"/>
        </w:rPr>
        <w:t>。蓋言</w:t>
      </w:r>
      <w:r w:rsidRPr="00586961">
        <w:rPr>
          <w:rFonts w:ascii="標楷體" w:eastAsia="標楷體" w:hAnsi="標楷體"/>
          <w:color w:val="FF0000"/>
          <w:szCs w:val="22"/>
          <w:highlight w:val="yellow"/>
        </w:rPr>
        <w:t>「</w:t>
      </w:r>
      <w:r w:rsidRPr="00212D57">
        <w:rPr>
          <w:rFonts w:ascii="標楷體" w:eastAsia="標楷體" w:hAnsi="標楷體"/>
          <w:szCs w:val="22"/>
        </w:rPr>
        <w:t>迅速難留之如此</w:t>
      </w:r>
      <w:r w:rsidRPr="00586961">
        <w:rPr>
          <w:rFonts w:ascii="標楷體" w:eastAsia="標楷體" w:hAnsi="標楷體"/>
          <w:color w:val="FF0000"/>
          <w:szCs w:val="22"/>
          <w:highlight w:val="yellow"/>
        </w:rPr>
        <w:t>」</w:t>
      </w:r>
      <w:r w:rsidRPr="00212D57">
        <w:rPr>
          <w:rFonts w:ascii="標楷體" w:eastAsia="標楷體" w:hAnsi="標楷體"/>
          <w:szCs w:val="22"/>
        </w:rPr>
        <w:t>也。</w:t>
      </w:r>
    </w:p>
  </w:footnote>
  <w:footnote w:id="420">
    <w:p w:rsidR="00C30EB2" w:rsidRDefault="00157EF6" w:rsidP="002B682F">
      <w:pPr>
        <w:pStyle w:val="a5"/>
        <w:ind w:left="187" w:hangingChars="85" w:hanging="187"/>
        <w:jc w:val="both"/>
        <w:rPr>
          <w:rFonts w:ascii="標楷體" w:hAnsi="標楷體"/>
          <w:szCs w:val="22"/>
        </w:rPr>
      </w:pPr>
      <w:r w:rsidRPr="00212D57">
        <w:rPr>
          <w:rStyle w:val="a6"/>
          <w:szCs w:val="22"/>
        </w:rPr>
        <w:footnoteRef/>
      </w:r>
      <w:r w:rsidRPr="00212D57">
        <w:rPr>
          <w:szCs w:val="22"/>
        </w:rPr>
        <w:t xml:space="preserve"> </w:t>
      </w:r>
      <w:r w:rsidRPr="00212D57">
        <w:rPr>
          <w:szCs w:val="22"/>
        </w:rPr>
        <w:t>新陳代謝：</w:t>
      </w:r>
      <w:r w:rsidRPr="00761EF3">
        <w:rPr>
          <w:szCs w:val="22"/>
        </w:rPr>
        <w:t>1</w:t>
      </w:r>
      <w:r w:rsidRPr="00212D57">
        <w:rPr>
          <w:szCs w:val="22"/>
        </w:rPr>
        <w:t>.</w:t>
      </w:r>
      <w:r w:rsidRPr="00212D57">
        <w:rPr>
          <w:rFonts w:ascii="標楷體" w:hAnsi="標楷體"/>
          <w:szCs w:val="22"/>
        </w:rPr>
        <w:t>指生物體不斷以新物質替換舊物質的過程。</w:t>
      </w:r>
    </w:p>
    <w:p w:rsidR="00157EF6" w:rsidRPr="00212D57" w:rsidRDefault="00157EF6" w:rsidP="00C30EB2">
      <w:pPr>
        <w:pStyle w:val="a5"/>
        <w:ind w:left="187" w:hangingChars="85" w:hanging="187"/>
        <w:jc w:val="right"/>
        <w:rPr>
          <w:szCs w:val="22"/>
        </w:rPr>
      </w:pPr>
      <w:r w:rsidRPr="00212D57">
        <w:rPr>
          <w:szCs w:val="22"/>
        </w:rPr>
        <w:t>（《漢語大詞典》（六），</w:t>
      </w:r>
      <w:r w:rsidRPr="00761EF3">
        <w:rPr>
          <w:szCs w:val="22"/>
        </w:rPr>
        <w:t>p</w:t>
      </w:r>
      <w:r w:rsidRPr="00212D57">
        <w:rPr>
          <w:szCs w:val="22"/>
        </w:rPr>
        <w:t>.</w:t>
      </w:r>
      <w:r w:rsidRPr="00761EF3">
        <w:rPr>
          <w:szCs w:val="22"/>
        </w:rPr>
        <w:t>1074</w:t>
      </w:r>
      <w:r w:rsidRPr="00212D57">
        <w:rPr>
          <w:szCs w:val="22"/>
        </w:rPr>
        <w:t>）</w:t>
      </w:r>
    </w:p>
  </w:footnote>
  <w:footnote w:id="421">
    <w:p w:rsidR="00157EF6" w:rsidRPr="00212D57" w:rsidRDefault="00157EF6" w:rsidP="002B682F">
      <w:pPr>
        <w:pStyle w:val="a5"/>
        <w:ind w:left="187" w:hangingChars="85" w:hanging="187"/>
        <w:jc w:val="both"/>
        <w:rPr>
          <w:szCs w:val="22"/>
        </w:rPr>
      </w:pPr>
      <w:r w:rsidRPr="00212D57">
        <w:rPr>
          <w:rStyle w:val="a6"/>
          <w:szCs w:val="22"/>
        </w:rPr>
        <w:footnoteRef/>
      </w:r>
      <w:r w:rsidRPr="00212D57">
        <w:rPr>
          <w:szCs w:val="22"/>
        </w:rPr>
        <w:t xml:space="preserve"> </w:t>
      </w:r>
      <w:r w:rsidRPr="00212D57">
        <w:rPr>
          <w:szCs w:val="22"/>
        </w:rPr>
        <w:t>悠遠：</w:t>
      </w:r>
      <w:r w:rsidRPr="00761EF3">
        <w:rPr>
          <w:szCs w:val="22"/>
        </w:rPr>
        <w:t>1</w:t>
      </w:r>
      <w:r w:rsidRPr="00212D57">
        <w:rPr>
          <w:szCs w:val="22"/>
        </w:rPr>
        <w:t>.</w:t>
      </w:r>
      <w:r w:rsidRPr="00212D57">
        <w:rPr>
          <w:rFonts w:ascii="標楷體" w:hAnsi="標楷體"/>
          <w:szCs w:val="22"/>
        </w:rPr>
        <w:t>指空間距離的遼遠。</w:t>
      </w:r>
      <w:r w:rsidRPr="00761EF3">
        <w:rPr>
          <w:szCs w:val="22"/>
        </w:rPr>
        <w:t>2</w:t>
      </w:r>
      <w:r w:rsidRPr="00212D57">
        <w:rPr>
          <w:szCs w:val="22"/>
        </w:rPr>
        <w:t>.</w:t>
      </w:r>
      <w:r w:rsidRPr="00212D57">
        <w:rPr>
          <w:rFonts w:ascii="標楷體" w:hAnsi="標楷體"/>
          <w:szCs w:val="22"/>
        </w:rPr>
        <w:t>長久，久遠。</w:t>
      </w:r>
      <w:r w:rsidRPr="00212D57">
        <w:rPr>
          <w:szCs w:val="22"/>
        </w:rPr>
        <w:t>（《漢語大詞典》（七），</w:t>
      </w:r>
      <w:r w:rsidRPr="00761EF3">
        <w:rPr>
          <w:szCs w:val="22"/>
        </w:rPr>
        <w:t>p</w:t>
      </w:r>
      <w:r w:rsidRPr="00212D57">
        <w:rPr>
          <w:szCs w:val="22"/>
        </w:rPr>
        <w:t>.</w:t>
      </w:r>
      <w:r w:rsidRPr="00761EF3">
        <w:rPr>
          <w:szCs w:val="22"/>
        </w:rPr>
        <w:t>533</w:t>
      </w:r>
      <w:r w:rsidRPr="00212D57">
        <w:rPr>
          <w:szCs w:val="22"/>
        </w:rPr>
        <w:t>）</w:t>
      </w:r>
    </w:p>
  </w:footnote>
  <w:footnote w:id="422">
    <w:p w:rsidR="00157EF6" w:rsidRPr="00212D57" w:rsidRDefault="00157EF6" w:rsidP="002B682F">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《雜阿含經》卷</w:t>
      </w:r>
      <w:r w:rsidRPr="00761EF3">
        <w:rPr>
          <w:szCs w:val="22"/>
        </w:rPr>
        <w:t>10</w:t>
      </w:r>
      <w:r w:rsidRPr="00212D57">
        <w:rPr>
          <w:szCs w:val="22"/>
        </w:rPr>
        <w:t>（</w:t>
      </w:r>
      <w:r w:rsidRPr="00761EF3">
        <w:rPr>
          <w:szCs w:val="22"/>
        </w:rPr>
        <w:t>262</w:t>
      </w:r>
      <w:r w:rsidRPr="00212D57">
        <w:rPr>
          <w:szCs w:val="22"/>
        </w:rPr>
        <w:t>經）（大正</w:t>
      </w:r>
      <w:r w:rsidRPr="00761EF3">
        <w:rPr>
          <w:szCs w:val="22"/>
        </w:rPr>
        <w:t>2</w:t>
      </w:r>
      <w:r w:rsidRPr="00212D57">
        <w:rPr>
          <w:szCs w:val="22"/>
        </w:rPr>
        <w:t>，</w:t>
      </w:r>
      <w:r w:rsidRPr="00761EF3">
        <w:rPr>
          <w:szCs w:val="22"/>
        </w:rPr>
        <w:t>67a4</w:t>
      </w:r>
      <w:r w:rsidRPr="00212D57">
        <w:rPr>
          <w:szCs w:val="22"/>
        </w:rPr>
        <w:t>-</w:t>
      </w:r>
      <w:r w:rsidRPr="00761EF3">
        <w:rPr>
          <w:szCs w:val="22"/>
        </w:rPr>
        <w:t>8</w:t>
      </w:r>
      <w:r w:rsidRPr="00212D57">
        <w:rPr>
          <w:szCs w:val="22"/>
        </w:rPr>
        <w:t>）。</w:t>
      </w:r>
    </w:p>
  </w:footnote>
  <w:footnote w:id="423">
    <w:p w:rsidR="00157EF6" w:rsidRPr="00212D57" w:rsidRDefault="00157EF6" w:rsidP="002B682F">
      <w:pPr>
        <w:pStyle w:val="a5"/>
        <w:ind w:left="187" w:hangingChars="85" w:hanging="187"/>
        <w:jc w:val="both"/>
        <w:rPr>
          <w:szCs w:val="22"/>
        </w:rPr>
      </w:pPr>
      <w:r w:rsidRPr="00212D57">
        <w:rPr>
          <w:rStyle w:val="a6"/>
          <w:szCs w:val="22"/>
        </w:rPr>
        <w:footnoteRef/>
      </w:r>
      <w:r w:rsidRPr="00212D57">
        <w:rPr>
          <w:szCs w:val="22"/>
        </w:rPr>
        <w:t xml:space="preserve"> </w:t>
      </w:r>
      <w:r w:rsidRPr="00212D57">
        <w:rPr>
          <w:szCs w:val="22"/>
        </w:rPr>
        <w:t>浮淺：</w:t>
      </w:r>
      <w:r w:rsidRPr="00761EF3">
        <w:rPr>
          <w:szCs w:val="22"/>
        </w:rPr>
        <w:t>1</w:t>
      </w:r>
      <w:r w:rsidRPr="00212D57">
        <w:rPr>
          <w:szCs w:val="22"/>
        </w:rPr>
        <w:t>.</w:t>
      </w:r>
      <w:r w:rsidRPr="00212D57">
        <w:rPr>
          <w:rFonts w:ascii="標楷體" w:hAnsi="標楷體"/>
          <w:szCs w:val="22"/>
        </w:rPr>
        <w:t>不深，膚淺。</w:t>
      </w:r>
      <w:r w:rsidRPr="00212D57">
        <w:rPr>
          <w:szCs w:val="22"/>
        </w:rPr>
        <w:t>（《漢語大詞典》（五），</w:t>
      </w:r>
      <w:r w:rsidRPr="00761EF3">
        <w:rPr>
          <w:szCs w:val="22"/>
        </w:rPr>
        <w:t>p</w:t>
      </w:r>
      <w:r w:rsidRPr="00212D57">
        <w:rPr>
          <w:szCs w:val="22"/>
        </w:rPr>
        <w:t>.</w:t>
      </w:r>
      <w:r w:rsidRPr="00761EF3">
        <w:rPr>
          <w:szCs w:val="22"/>
        </w:rPr>
        <w:t>1245</w:t>
      </w:r>
      <w:r w:rsidRPr="00212D57">
        <w:rPr>
          <w:szCs w:val="22"/>
        </w:rPr>
        <w:t>）</w:t>
      </w:r>
    </w:p>
  </w:footnote>
  <w:footnote w:id="424">
    <w:p w:rsidR="00157EF6" w:rsidRPr="00F22420" w:rsidRDefault="00157EF6" w:rsidP="002B682F">
      <w:pPr>
        <w:pStyle w:val="a5"/>
        <w:spacing w:line="0" w:lineRule="atLeast"/>
        <w:ind w:left="253" w:hangingChars="115" w:hanging="253"/>
        <w:jc w:val="both"/>
        <w:rPr>
          <w:szCs w:val="22"/>
        </w:rPr>
      </w:pPr>
      <w:r w:rsidRPr="00F22420">
        <w:rPr>
          <w:rStyle w:val="a6"/>
          <w:szCs w:val="22"/>
        </w:rPr>
        <w:footnoteRef/>
      </w:r>
      <w:r w:rsidRPr="00F22420">
        <w:rPr>
          <w:szCs w:val="22"/>
        </w:rPr>
        <w:t xml:space="preserve"> </w:t>
      </w:r>
      <w:r w:rsidRPr="00F22420">
        <w:rPr>
          <w:szCs w:val="22"/>
        </w:rPr>
        <w:t>吐棄：唾棄。（《漢語大詞典》（三），</w:t>
      </w:r>
      <w:r w:rsidRPr="00F22420">
        <w:rPr>
          <w:szCs w:val="22"/>
        </w:rPr>
        <w:t>p.88</w:t>
      </w:r>
      <w:r w:rsidRPr="00F22420">
        <w:rPr>
          <w:szCs w:val="22"/>
        </w:rPr>
        <w:t>）</w:t>
      </w:r>
    </w:p>
  </w:footnote>
  <w:footnote w:id="425">
    <w:p w:rsidR="00157EF6" w:rsidRPr="00F22420" w:rsidRDefault="00157EF6" w:rsidP="002B682F">
      <w:pPr>
        <w:pStyle w:val="a5"/>
        <w:spacing w:line="0" w:lineRule="atLeast"/>
        <w:ind w:left="792" w:hangingChars="360" w:hanging="792"/>
        <w:jc w:val="both"/>
        <w:rPr>
          <w:szCs w:val="22"/>
        </w:rPr>
      </w:pPr>
      <w:r w:rsidRPr="00F22420">
        <w:rPr>
          <w:rStyle w:val="a6"/>
          <w:rFonts w:eastAsia="標楷體"/>
          <w:szCs w:val="22"/>
        </w:rPr>
        <w:footnoteRef/>
      </w:r>
      <w:r w:rsidRPr="00F22420">
        <w:rPr>
          <w:rFonts w:hint="eastAsia"/>
          <w:szCs w:val="22"/>
        </w:rPr>
        <w:t xml:space="preserve"> </w:t>
      </w:r>
      <w:r w:rsidRPr="00F22420">
        <w:rPr>
          <w:rFonts w:hint="eastAsia"/>
          <w:szCs w:val="22"/>
        </w:rPr>
        <w:t>（</w:t>
      </w:r>
      <w:r w:rsidRPr="00F22420">
        <w:rPr>
          <w:rFonts w:hint="eastAsia"/>
          <w:szCs w:val="22"/>
        </w:rPr>
        <w:t>1</w:t>
      </w:r>
      <w:r w:rsidRPr="00F22420">
        <w:rPr>
          <w:rFonts w:hint="eastAsia"/>
          <w:szCs w:val="22"/>
        </w:rPr>
        <w:t>）</w:t>
      </w:r>
      <w:r w:rsidRPr="00F22420">
        <w:rPr>
          <w:szCs w:val="22"/>
        </w:rPr>
        <w:t>《中論》</w:t>
      </w:r>
      <w:r w:rsidRPr="00F22420">
        <w:rPr>
          <w:rFonts w:hint="eastAsia"/>
          <w:szCs w:val="22"/>
        </w:rPr>
        <w:t>卷</w:t>
      </w:r>
      <w:r w:rsidRPr="00F22420">
        <w:rPr>
          <w:rFonts w:hint="eastAsia"/>
          <w:szCs w:val="22"/>
        </w:rPr>
        <w:t>3</w:t>
      </w:r>
      <w:r w:rsidRPr="00F22420">
        <w:rPr>
          <w:szCs w:val="22"/>
        </w:rPr>
        <w:t>〈</w:t>
      </w:r>
      <w:r w:rsidRPr="00F22420">
        <w:rPr>
          <w:szCs w:val="22"/>
        </w:rPr>
        <w:t>15</w:t>
      </w:r>
      <w:r w:rsidRPr="00F22420">
        <w:rPr>
          <w:rFonts w:hint="eastAsia"/>
          <w:szCs w:val="22"/>
        </w:rPr>
        <w:t xml:space="preserve"> </w:t>
      </w:r>
      <w:r w:rsidRPr="00F22420">
        <w:rPr>
          <w:szCs w:val="22"/>
        </w:rPr>
        <w:t>觀有無品〉（大正</w:t>
      </w:r>
      <w:r w:rsidRPr="00F22420">
        <w:rPr>
          <w:szCs w:val="22"/>
        </w:rPr>
        <w:t>30</w:t>
      </w:r>
      <w:r w:rsidRPr="00F22420">
        <w:rPr>
          <w:szCs w:val="22"/>
        </w:rPr>
        <w:t>，</w:t>
      </w:r>
      <w:r w:rsidRPr="00F22420">
        <w:rPr>
          <w:szCs w:val="22"/>
        </w:rPr>
        <w:t>20a18-19</w:t>
      </w:r>
      <w:r w:rsidRPr="00F22420">
        <w:rPr>
          <w:szCs w:val="22"/>
        </w:rPr>
        <w:t>）</w:t>
      </w:r>
      <w:r w:rsidRPr="00F22420">
        <w:rPr>
          <w:rFonts w:hint="eastAsia"/>
          <w:szCs w:val="22"/>
        </w:rPr>
        <w:t>。</w:t>
      </w:r>
    </w:p>
    <w:p w:rsidR="00157EF6" w:rsidRPr="00212D57" w:rsidRDefault="00157EF6" w:rsidP="002B682F">
      <w:pPr>
        <w:pStyle w:val="a5"/>
        <w:ind w:leftChars="105" w:left="791" w:hangingChars="245" w:hanging="539"/>
        <w:jc w:val="both"/>
        <w:rPr>
          <w:szCs w:val="22"/>
        </w:rPr>
      </w:pPr>
      <w:r w:rsidRPr="00F22420">
        <w:rPr>
          <w:rFonts w:hint="eastAsia"/>
          <w:szCs w:val="22"/>
        </w:rPr>
        <w:t>（</w:t>
      </w:r>
      <w:r w:rsidRPr="00F22420">
        <w:rPr>
          <w:rFonts w:hint="eastAsia"/>
          <w:szCs w:val="22"/>
        </w:rPr>
        <w:t>2</w:t>
      </w:r>
      <w:r w:rsidRPr="00F22420">
        <w:rPr>
          <w:rFonts w:hint="eastAsia"/>
          <w:szCs w:val="22"/>
        </w:rPr>
        <w:t>）</w:t>
      </w:r>
      <w:r w:rsidRPr="00F22420">
        <w:rPr>
          <w:szCs w:val="22"/>
        </w:rPr>
        <w:t>印</w:t>
      </w:r>
      <w:r w:rsidRPr="00212D57">
        <w:rPr>
          <w:szCs w:val="22"/>
        </w:rPr>
        <w:t>順法師，《中觀論頌講記》，</w:t>
      </w:r>
      <w:r w:rsidRPr="00761EF3">
        <w:rPr>
          <w:szCs w:val="22"/>
        </w:rPr>
        <w:t>p</w:t>
      </w:r>
      <w:r w:rsidRPr="00212D57">
        <w:rPr>
          <w:szCs w:val="22"/>
        </w:rPr>
        <w:t>.</w:t>
      </w:r>
      <w:r w:rsidRPr="00761EF3">
        <w:rPr>
          <w:szCs w:val="22"/>
        </w:rPr>
        <w:t>251</w:t>
      </w:r>
      <w:r w:rsidRPr="00212D57">
        <w:rPr>
          <w:szCs w:val="22"/>
        </w:rPr>
        <w:t>：</w:t>
      </w:r>
    </w:p>
    <w:p w:rsidR="00157EF6" w:rsidRPr="00212D57" w:rsidRDefault="00157EF6" w:rsidP="002B682F">
      <w:pPr>
        <w:pStyle w:val="af9"/>
        <w:overflowPunct w:val="0"/>
        <w:autoSpaceDE w:val="0"/>
        <w:autoSpaceDN w:val="0"/>
        <w:snapToGrid w:val="0"/>
        <w:ind w:leftChars="335" w:left="804" w:firstLineChars="0" w:firstLine="0"/>
        <w:rPr>
          <w:sz w:val="22"/>
          <w:szCs w:val="22"/>
        </w:rPr>
      </w:pPr>
      <w:r w:rsidRPr="00212D57">
        <w:rPr>
          <w:rFonts w:ascii="標楷體" w:eastAsia="標楷體" w:hAnsi="標楷體"/>
          <w:sz w:val="22"/>
          <w:szCs w:val="22"/>
        </w:rPr>
        <w:t>要知先要成立了有，然後才可成立無。現在「有」都「不」能「成」立，「無」又怎麼「可」以「成」立呢？無是怎麼建立的？「因」先「有」一種「有法」，這「有」法在長期的演變中，後來破「壞」了就說他「為無」；無是緣起離散的幻相。</w:t>
      </w:r>
    </w:p>
  </w:footnote>
  <w:footnote w:id="426">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）《中論》卷</w:t>
      </w:r>
      <w:r w:rsidRPr="00761EF3">
        <w:rPr>
          <w:szCs w:val="22"/>
        </w:rPr>
        <w:t>1</w:t>
      </w:r>
      <w:r w:rsidRPr="00212D57">
        <w:rPr>
          <w:szCs w:val="22"/>
        </w:rPr>
        <w:t>〈</w:t>
      </w:r>
      <w:r w:rsidRPr="00761EF3">
        <w:rPr>
          <w:szCs w:val="22"/>
        </w:rPr>
        <w:t>5</w:t>
      </w:r>
      <w:r w:rsidRPr="00212D57">
        <w:rPr>
          <w:rFonts w:hint="eastAsia"/>
          <w:szCs w:val="22"/>
        </w:rPr>
        <w:t xml:space="preserve"> </w:t>
      </w:r>
      <w:r w:rsidRPr="00212D57">
        <w:rPr>
          <w:szCs w:val="22"/>
        </w:rPr>
        <w:t>觀六種品〉</w:t>
      </w:r>
      <w:r w:rsidR="00C30EB2" w:rsidRPr="00CC5CAB">
        <w:rPr>
          <w:szCs w:val="22"/>
        </w:rPr>
        <w:t>（大正</w:t>
      </w:r>
      <w:r w:rsidR="00C30EB2" w:rsidRPr="00CC5CAB">
        <w:rPr>
          <w:szCs w:val="22"/>
        </w:rPr>
        <w:t>30</w:t>
      </w:r>
      <w:r w:rsidR="00C30EB2" w:rsidRPr="00CC5CAB">
        <w:rPr>
          <w:szCs w:val="22"/>
        </w:rPr>
        <w:t>，</w:t>
      </w:r>
      <w:r w:rsidR="00C30EB2" w:rsidRPr="00CC5CAB">
        <w:rPr>
          <w:szCs w:val="22"/>
        </w:rPr>
        <w:t>7c16</w:t>
      </w:r>
      <w:r w:rsidR="00C30EB2" w:rsidRPr="00CC5CAB">
        <w:rPr>
          <w:szCs w:val="22"/>
        </w:rPr>
        <w:t>）</w:t>
      </w:r>
      <w:r w:rsidRPr="00CC5CAB">
        <w:rPr>
          <w:szCs w:val="22"/>
        </w:rPr>
        <w:t>：</w:t>
      </w:r>
    </w:p>
    <w:p w:rsidR="00157EF6" w:rsidRPr="00212D57" w:rsidRDefault="00157EF6" w:rsidP="002B682F">
      <w:pPr>
        <w:pStyle w:val="af8"/>
        <w:kinsoku w:val="0"/>
        <w:overflowPunct w:val="0"/>
        <w:autoSpaceDE w:val="0"/>
        <w:autoSpaceDN w:val="0"/>
        <w:snapToGrid w:val="0"/>
        <w:ind w:leftChars="335" w:left="804" w:firstLineChars="0" w:firstLine="0"/>
        <w:rPr>
          <w:rFonts w:ascii="標楷體" w:eastAsia="標楷體" w:hAnsi="標楷體"/>
          <w:kern w:val="2"/>
          <w:sz w:val="22"/>
          <w:szCs w:val="22"/>
        </w:rPr>
      </w:pPr>
      <w:r w:rsidRPr="00F22420">
        <w:rPr>
          <w:rFonts w:ascii="標楷體" w:eastAsia="標楷體" w:hAnsi="標楷體"/>
          <w:kern w:val="2"/>
          <w:sz w:val="22"/>
          <w:szCs w:val="22"/>
        </w:rPr>
        <w:t>若使無有</w:t>
      </w:r>
      <w:r w:rsidR="00C30EB2">
        <w:rPr>
          <w:rFonts w:ascii="標楷體" w:eastAsia="標楷體" w:hAnsi="標楷體" w:hint="eastAsia"/>
          <w:bCs/>
          <w:color w:val="FF0000"/>
          <w:sz w:val="22"/>
          <w:highlight w:val="yellow"/>
        </w:rPr>
        <w:t>「</w:t>
      </w:r>
      <w:r w:rsidRPr="00212D57">
        <w:rPr>
          <w:rFonts w:ascii="標楷體" w:eastAsia="標楷體" w:hAnsi="標楷體"/>
          <w:b/>
          <w:kern w:val="2"/>
          <w:sz w:val="22"/>
          <w:szCs w:val="22"/>
        </w:rPr>
        <w:t>有</w:t>
      </w:r>
      <w:r w:rsidR="00C30EB2">
        <w:rPr>
          <w:rFonts w:ascii="標楷體" w:eastAsia="標楷體" w:hAnsi="標楷體" w:hint="eastAsia"/>
          <w:bCs/>
          <w:color w:val="FF0000"/>
          <w:sz w:val="22"/>
          <w:highlight w:val="yellow"/>
        </w:rPr>
        <w:t>」</w:t>
      </w:r>
      <w:r w:rsidRPr="00F22420">
        <w:rPr>
          <w:rFonts w:ascii="標楷體" w:eastAsia="標楷體" w:hAnsi="標楷體"/>
          <w:kern w:val="2"/>
          <w:sz w:val="22"/>
          <w:szCs w:val="22"/>
        </w:rPr>
        <w:t>，云何當有</w:t>
      </w:r>
      <w:r w:rsidR="00C30EB2">
        <w:rPr>
          <w:rFonts w:ascii="標楷體" w:eastAsia="標楷體" w:hAnsi="標楷體" w:hint="eastAsia"/>
          <w:bCs/>
          <w:color w:val="FF0000"/>
          <w:sz w:val="22"/>
          <w:highlight w:val="yellow"/>
        </w:rPr>
        <w:t>「</w:t>
      </w:r>
      <w:r w:rsidRPr="00212D57">
        <w:rPr>
          <w:rFonts w:ascii="標楷體" w:eastAsia="標楷體" w:hAnsi="標楷體"/>
          <w:b/>
          <w:kern w:val="2"/>
          <w:sz w:val="22"/>
          <w:szCs w:val="22"/>
        </w:rPr>
        <w:t>無</w:t>
      </w:r>
      <w:r w:rsidR="00C30EB2">
        <w:rPr>
          <w:rFonts w:ascii="標楷體" w:eastAsia="標楷體" w:hAnsi="標楷體" w:hint="eastAsia"/>
          <w:bCs/>
          <w:color w:val="FF0000"/>
          <w:sz w:val="22"/>
          <w:highlight w:val="yellow"/>
        </w:rPr>
        <w:t>」</w:t>
      </w:r>
      <w:r w:rsidRPr="00212D57">
        <w:rPr>
          <w:rFonts w:ascii="標楷體" w:eastAsia="標楷體" w:hAnsi="標楷體"/>
          <w:b/>
          <w:kern w:val="2"/>
          <w:sz w:val="22"/>
          <w:szCs w:val="22"/>
        </w:rPr>
        <w:t>？</w:t>
      </w:r>
      <w:r w:rsidR="00C30EB2" w:rsidRPr="00212D57">
        <w:rPr>
          <w:rFonts w:ascii="標楷體" w:eastAsia="標楷體" w:hAnsi="標楷體"/>
          <w:kern w:val="2"/>
          <w:sz w:val="22"/>
          <w:szCs w:val="22"/>
        </w:rPr>
        <w:t xml:space="preserve"> </w:t>
      </w:r>
    </w:p>
    <w:p w:rsidR="00157EF6" w:rsidRPr="00212D57" w:rsidRDefault="00157EF6" w:rsidP="002B682F">
      <w:pPr>
        <w:pStyle w:val="a5"/>
        <w:ind w:leftChars="105" w:left="791" w:hangingChars="245" w:hanging="539"/>
        <w:jc w:val="both"/>
        <w:rPr>
          <w:szCs w:val="22"/>
        </w:rPr>
      </w:pPr>
      <w:r w:rsidRPr="00212D57">
        <w:rPr>
          <w:szCs w:val="22"/>
        </w:rPr>
        <w:t>（</w:t>
      </w:r>
      <w:r w:rsidRPr="00761EF3">
        <w:rPr>
          <w:szCs w:val="22"/>
        </w:rPr>
        <w:t>2</w:t>
      </w:r>
      <w:r w:rsidRPr="00212D57">
        <w:rPr>
          <w:szCs w:val="22"/>
        </w:rPr>
        <w:t>）印順</w:t>
      </w:r>
      <w:r w:rsidRPr="00212D57">
        <w:rPr>
          <w:rStyle w:val="byline"/>
          <w:rFonts w:hAnsi="新細明體"/>
          <w:color w:val="auto"/>
          <w:sz w:val="22"/>
          <w:szCs w:val="22"/>
        </w:rPr>
        <w:t>法師</w:t>
      </w:r>
      <w:r w:rsidRPr="00212D57">
        <w:rPr>
          <w:szCs w:val="22"/>
        </w:rPr>
        <w:t>，《中觀論頌講記》</w:t>
      </w:r>
      <w:r w:rsidRPr="00212D57">
        <w:rPr>
          <w:rFonts w:hint="eastAsia"/>
          <w:szCs w:val="22"/>
        </w:rPr>
        <w:t>，</w:t>
      </w:r>
      <w:r w:rsidRPr="00761EF3">
        <w:rPr>
          <w:szCs w:val="22"/>
        </w:rPr>
        <w:t>p</w:t>
      </w:r>
      <w:r w:rsidRPr="00212D57">
        <w:rPr>
          <w:szCs w:val="22"/>
        </w:rPr>
        <w:t>.</w:t>
      </w:r>
      <w:r w:rsidRPr="00761EF3">
        <w:rPr>
          <w:szCs w:val="22"/>
        </w:rPr>
        <w:t>129</w:t>
      </w:r>
      <w:r w:rsidRPr="00212D57">
        <w:rPr>
          <w:szCs w:val="22"/>
        </w:rPr>
        <w:t>：</w:t>
      </w:r>
    </w:p>
    <w:p w:rsidR="00157EF6" w:rsidRPr="00212D57" w:rsidRDefault="00157EF6" w:rsidP="002B682F">
      <w:pPr>
        <w:pStyle w:val="af8"/>
        <w:kinsoku w:val="0"/>
        <w:overflowPunct w:val="0"/>
        <w:autoSpaceDE w:val="0"/>
        <w:autoSpaceDN w:val="0"/>
        <w:snapToGrid w:val="0"/>
        <w:ind w:leftChars="335" w:left="804" w:firstLineChars="0" w:firstLine="0"/>
        <w:rPr>
          <w:rFonts w:ascii="標楷體" w:eastAsia="標楷體" w:hAnsi="標楷體"/>
          <w:kern w:val="2"/>
          <w:sz w:val="22"/>
          <w:szCs w:val="22"/>
        </w:rPr>
      </w:pPr>
      <w:r w:rsidRPr="00212D57">
        <w:rPr>
          <w:rFonts w:ascii="標楷體" w:eastAsia="標楷體" w:hAnsi="標楷體"/>
          <w:kern w:val="2"/>
          <w:sz w:val="22"/>
          <w:szCs w:val="22"/>
        </w:rPr>
        <w:t>性空者說：能所相待的緣起虛空，我並不否認他的存在，不過不許實有自性罷了。但一般人，說有就覺得有個實在的；聽說自性非有，就以為什麼都沒有。</w:t>
      </w:r>
      <w:r w:rsidRPr="00F63F7D">
        <w:rPr>
          <w:rFonts w:ascii="標楷體" w:eastAsia="標楷體" w:hAnsi="標楷體"/>
          <w:color w:val="FF0000"/>
          <w:kern w:val="2"/>
          <w:sz w:val="22"/>
          <w:szCs w:val="22"/>
          <w:shd w:val="pct15" w:color="auto" w:fill="FFFFFF"/>
        </w:rPr>
        <w:t>……</w:t>
      </w:r>
      <w:r w:rsidRPr="00212D57">
        <w:rPr>
          <w:rFonts w:ascii="標楷體" w:eastAsia="標楷體" w:hAnsi="標楷體"/>
          <w:kern w:val="2"/>
          <w:sz w:val="22"/>
          <w:szCs w:val="22"/>
        </w:rPr>
        <w:t>要知道上面所以破有，是破他的自性有，不是破壞緣起幻有。同樣的，這裡破無，也是破實自性無。所以說：「若使無有」實在的自性「有」，</w:t>
      </w:r>
      <w:r w:rsidRPr="00212D57">
        <w:rPr>
          <w:rFonts w:ascii="標楷體" w:eastAsia="標楷體" w:hAnsi="標楷體" w:hint="eastAsia"/>
          <w:kern w:val="2"/>
          <w:sz w:val="22"/>
          <w:szCs w:val="22"/>
        </w:rPr>
        <w:t>哪</w:t>
      </w:r>
      <w:r w:rsidRPr="00212D57">
        <w:rPr>
          <w:rFonts w:ascii="標楷體" w:eastAsia="標楷體" w:hAnsi="標楷體"/>
          <w:kern w:val="2"/>
          <w:sz w:val="22"/>
          <w:szCs w:val="22"/>
        </w:rPr>
        <w:t>裡「有」實在的自性「無」呢？</w:t>
      </w:r>
    </w:p>
  </w:footnote>
  <w:footnote w:id="427">
    <w:p w:rsidR="00F63F7D" w:rsidRPr="00212D57" w:rsidRDefault="00F63F7D" w:rsidP="00F63F7D">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《中論》卷</w:t>
      </w:r>
      <w:r w:rsidRPr="00761EF3">
        <w:rPr>
          <w:szCs w:val="22"/>
        </w:rPr>
        <w:t>2</w:t>
      </w:r>
      <w:r w:rsidRPr="00212D57">
        <w:rPr>
          <w:szCs w:val="22"/>
        </w:rPr>
        <w:t>〈</w:t>
      </w:r>
      <w:r w:rsidRPr="00761EF3">
        <w:rPr>
          <w:szCs w:val="22"/>
        </w:rPr>
        <w:t>7</w:t>
      </w:r>
      <w:r w:rsidRPr="00212D57">
        <w:rPr>
          <w:rFonts w:hint="eastAsia"/>
          <w:szCs w:val="22"/>
        </w:rPr>
        <w:t xml:space="preserve"> </w:t>
      </w:r>
      <w:r w:rsidRPr="00212D57">
        <w:rPr>
          <w:szCs w:val="22"/>
        </w:rPr>
        <w:t>觀三相品〉（大正</w:t>
      </w:r>
      <w:r w:rsidRPr="00761EF3">
        <w:rPr>
          <w:szCs w:val="22"/>
        </w:rPr>
        <w:t>30</w:t>
      </w:r>
      <w:r w:rsidRPr="00212D57">
        <w:rPr>
          <w:szCs w:val="22"/>
        </w:rPr>
        <w:t>，</w:t>
      </w:r>
      <w:r w:rsidRPr="00761EF3">
        <w:rPr>
          <w:szCs w:val="22"/>
        </w:rPr>
        <w:t>9a6</w:t>
      </w:r>
      <w:r w:rsidRPr="00212D57">
        <w:rPr>
          <w:szCs w:val="22"/>
        </w:rPr>
        <w:t>-</w:t>
      </w:r>
      <w:r w:rsidRPr="00761EF3">
        <w:rPr>
          <w:szCs w:val="22"/>
        </w:rPr>
        <w:t>12b4</w:t>
      </w:r>
      <w:r w:rsidRPr="00212D57">
        <w:rPr>
          <w:szCs w:val="22"/>
        </w:rPr>
        <w:t>）。</w:t>
      </w:r>
    </w:p>
  </w:footnote>
  <w:footnote w:id="428">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《雜阿含經》卷</w:t>
      </w:r>
      <w:r w:rsidRPr="00761EF3">
        <w:rPr>
          <w:szCs w:val="22"/>
        </w:rPr>
        <w:t>12</w:t>
      </w:r>
      <w:r w:rsidRPr="00212D57">
        <w:rPr>
          <w:szCs w:val="22"/>
        </w:rPr>
        <w:t>（</w:t>
      </w:r>
      <w:r w:rsidRPr="00761EF3">
        <w:rPr>
          <w:szCs w:val="22"/>
        </w:rPr>
        <w:t>284</w:t>
      </w:r>
      <w:r w:rsidRPr="00212D57">
        <w:rPr>
          <w:rFonts w:hint="eastAsia"/>
          <w:szCs w:val="22"/>
        </w:rPr>
        <w:t>經</w:t>
      </w:r>
      <w:r w:rsidRPr="00212D57">
        <w:rPr>
          <w:szCs w:val="22"/>
        </w:rPr>
        <w:t>）（大正</w:t>
      </w:r>
      <w:r w:rsidRPr="00761EF3">
        <w:rPr>
          <w:szCs w:val="22"/>
        </w:rPr>
        <w:t>2</w:t>
      </w:r>
      <w:r w:rsidRPr="00212D57">
        <w:rPr>
          <w:szCs w:val="22"/>
        </w:rPr>
        <w:t>，</w:t>
      </w:r>
      <w:r w:rsidRPr="00761EF3">
        <w:rPr>
          <w:szCs w:val="22"/>
        </w:rPr>
        <w:t>79b24</w:t>
      </w:r>
      <w:r w:rsidRPr="00212D57">
        <w:rPr>
          <w:szCs w:val="22"/>
        </w:rPr>
        <w:t>-</w:t>
      </w:r>
      <w:r w:rsidRPr="00761EF3">
        <w:rPr>
          <w:szCs w:val="22"/>
        </w:rPr>
        <w:t>c6</w:t>
      </w:r>
      <w:r w:rsidRPr="00212D57">
        <w:rPr>
          <w:szCs w:val="22"/>
        </w:rPr>
        <w:t>）：</w:t>
      </w:r>
    </w:p>
    <w:p w:rsidR="00157EF6" w:rsidRPr="00212D57" w:rsidRDefault="00157EF6" w:rsidP="002B682F">
      <w:pPr>
        <w:pStyle w:val="a5"/>
        <w:ind w:leftChars="105" w:left="252"/>
        <w:jc w:val="both"/>
        <w:rPr>
          <w:szCs w:val="22"/>
        </w:rPr>
      </w:pPr>
      <w:r w:rsidRPr="00212D57">
        <w:rPr>
          <w:rFonts w:ascii="標楷體" w:eastAsia="標楷體" w:hAnsi="標楷體"/>
          <w:szCs w:val="22"/>
        </w:rPr>
        <w:t>世尊告諸比丘：「若於所取法隨生味著、顧念、縛心，其心驅馳，追逐名色，名色緣六入處，六入處緣觸，觸緣受，受緣愛，</w:t>
      </w:r>
      <w:r w:rsidRPr="00212D57">
        <w:rPr>
          <w:rFonts w:ascii="標楷體" w:eastAsia="標楷體" w:hAnsi="標楷體"/>
          <w:b/>
          <w:szCs w:val="22"/>
        </w:rPr>
        <w:t>愛緣取，取緣有，有緣生</w:t>
      </w:r>
      <w:r w:rsidRPr="00212D57">
        <w:rPr>
          <w:rFonts w:ascii="標楷體" w:eastAsia="標楷體" w:hAnsi="標楷體"/>
          <w:szCs w:val="22"/>
        </w:rPr>
        <w:t>，生緣</w:t>
      </w:r>
      <w:r w:rsidRPr="00C30EB2">
        <w:rPr>
          <w:rFonts w:ascii="標楷體" w:eastAsia="標楷體" w:hAnsi="標楷體"/>
          <w:szCs w:val="22"/>
          <w:highlight w:val="yellow"/>
        </w:rPr>
        <w:t>老病死憂悲惱苦</w:t>
      </w:r>
      <w:r w:rsidR="00C30EB2">
        <w:rPr>
          <w:rFonts w:ascii="標楷體" w:eastAsia="標楷體" w:hAnsi="標楷體" w:hint="eastAsia"/>
          <w:color w:val="FF0000"/>
          <w:kern w:val="0"/>
          <w:highlight w:val="yellow"/>
        </w:rPr>
        <w:t>，</w:t>
      </w:r>
      <w:r w:rsidRPr="00212D57">
        <w:rPr>
          <w:rFonts w:ascii="標楷體" w:eastAsia="標楷體" w:hAnsi="標楷體"/>
          <w:szCs w:val="22"/>
        </w:rPr>
        <w:t>如是如是純大苦聚集</w:t>
      </w:r>
      <w:r w:rsidR="00C30EB2">
        <w:rPr>
          <w:rFonts w:ascii="標楷體" w:eastAsia="標楷體" w:hAnsi="標楷體" w:hint="eastAsia"/>
          <w:color w:val="FF0000"/>
          <w:kern w:val="0"/>
          <w:highlight w:val="yellow"/>
        </w:rPr>
        <w:t>。</w:t>
      </w:r>
      <w:r w:rsidRPr="00212D57">
        <w:rPr>
          <w:rFonts w:ascii="標楷體" w:eastAsia="標楷體" w:hAnsi="標楷體"/>
          <w:szCs w:val="22"/>
        </w:rPr>
        <w:t>譬大樹根幹、枝條、柯葉、華果，下根深固，壅以糞土，溉灌以水，彼樹堅固，永世不朽</w:t>
      </w:r>
      <w:r w:rsidR="00C30EB2">
        <w:rPr>
          <w:rFonts w:ascii="標楷體" w:eastAsia="標楷體" w:hAnsi="標楷體" w:hint="eastAsia"/>
          <w:color w:val="FF0000"/>
          <w:spacing w:val="-4"/>
          <w:kern w:val="0"/>
          <w:highlight w:val="yellow"/>
        </w:rPr>
        <w:t>；</w:t>
      </w:r>
      <w:r w:rsidRPr="00212D57">
        <w:rPr>
          <w:rFonts w:ascii="標楷體" w:eastAsia="標楷體" w:hAnsi="標楷體"/>
          <w:szCs w:val="22"/>
        </w:rPr>
        <w:t>如是，比丘！於所取法隨生味著、顧念、心縛，其心驅馳，追逐名色，名色緣六入處，六入處緣觸，觸緣受，受緣愛，</w:t>
      </w:r>
      <w:r w:rsidRPr="00212D57">
        <w:rPr>
          <w:rFonts w:ascii="標楷體" w:eastAsia="標楷體" w:hAnsi="標楷體"/>
          <w:b/>
          <w:szCs w:val="22"/>
        </w:rPr>
        <w:t>愛緣取，取緣有，有緣生</w:t>
      </w:r>
      <w:r w:rsidRPr="00212D57">
        <w:rPr>
          <w:rFonts w:ascii="標楷體" w:eastAsia="標楷體" w:hAnsi="標楷體"/>
          <w:szCs w:val="22"/>
        </w:rPr>
        <w:t>，生緣</w:t>
      </w:r>
      <w:r w:rsidRPr="00C30EB2">
        <w:rPr>
          <w:rFonts w:ascii="標楷體" w:eastAsia="標楷體" w:hAnsi="標楷體"/>
          <w:szCs w:val="22"/>
          <w:highlight w:val="yellow"/>
        </w:rPr>
        <w:t>老病死憂悲惱苦</w:t>
      </w:r>
      <w:r w:rsidR="00C30EB2">
        <w:rPr>
          <w:rFonts w:ascii="標楷體" w:eastAsia="標楷體" w:hAnsi="標楷體" w:hint="eastAsia"/>
          <w:color w:val="FF0000"/>
          <w:kern w:val="0"/>
          <w:highlight w:val="yellow"/>
        </w:rPr>
        <w:t>，</w:t>
      </w:r>
      <w:r w:rsidRPr="00212D57">
        <w:rPr>
          <w:rFonts w:ascii="標楷體" w:eastAsia="標楷體" w:hAnsi="標楷體"/>
          <w:szCs w:val="22"/>
        </w:rPr>
        <w:t>如是如是純大苦聚集。」</w:t>
      </w:r>
    </w:p>
  </w:footnote>
  <w:footnote w:id="429">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）彈：</w:t>
      </w:r>
      <w:r w:rsidRPr="00761EF3">
        <w:rPr>
          <w:szCs w:val="22"/>
        </w:rPr>
        <w:t>13</w:t>
      </w:r>
      <w:r w:rsidRPr="00212D57">
        <w:rPr>
          <w:szCs w:val="22"/>
        </w:rPr>
        <w:t>.</w:t>
      </w:r>
      <w:r w:rsidRPr="00212D57">
        <w:rPr>
          <w:szCs w:val="22"/>
        </w:rPr>
        <w:t>引申為譏訕、指摘。（《漢語大詞典》（四），</w:t>
      </w:r>
      <w:r w:rsidRPr="00761EF3">
        <w:rPr>
          <w:szCs w:val="22"/>
        </w:rPr>
        <w:t>p</w:t>
      </w:r>
      <w:r w:rsidRPr="00212D57">
        <w:rPr>
          <w:szCs w:val="22"/>
        </w:rPr>
        <w:t>.</w:t>
      </w:r>
      <w:r w:rsidRPr="00761EF3">
        <w:rPr>
          <w:szCs w:val="22"/>
        </w:rPr>
        <w:t>151</w:t>
      </w:r>
      <w:r w:rsidRPr="00212D57">
        <w:rPr>
          <w:szCs w:val="22"/>
        </w:rPr>
        <w:t>）</w:t>
      </w:r>
    </w:p>
    <w:p w:rsidR="00157EF6" w:rsidRPr="00212D57" w:rsidRDefault="00157EF6" w:rsidP="002B682F">
      <w:pPr>
        <w:pStyle w:val="a5"/>
        <w:ind w:leftChars="105" w:left="791" w:hangingChars="245" w:hanging="539"/>
        <w:jc w:val="both"/>
        <w:rPr>
          <w:szCs w:val="22"/>
        </w:rPr>
      </w:pPr>
      <w:r w:rsidRPr="00212D57">
        <w:rPr>
          <w:szCs w:val="22"/>
        </w:rPr>
        <w:t>（</w:t>
      </w:r>
      <w:r w:rsidRPr="00761EF3">
        <w:rPr>
          <w:szCs w:val="22"/>
        </w:rPr>
        <w:t>2</w:t>
      </w:r>
      <w:r w:rsidRPr="00212D57">
        <w:rPr>
          <w:szCs w:val="22"/>
        </w:rPr>
        <w:t>）斥：</w:t>
      </w:r>
      <w:r w:rsidRPr="00761EF3">
        <w:rPr>
          <w:szCs w:val="22"/>
        </w:rPr>
        <w:t>4</w:t>
      </w:r>
      <w:r w:rsidRPr="00212D57">
        <w:rPr>
          <w:szCs w:val="22"/>
        </w:rPr>
        <w:t>.</w:t>
      </w:r>
      <w:r w:rsidRPr="00212D57">
        <w:rPr>
          <w:szCs w:val="22"/>
        </w:rPr>
        <w:t>駁斥。（《漢語大詞典》（六），</w:t>
      </w:r>
      <w:r w:rsidRPr="00761EF3">
        <w:rPr>
          <w:szCs w:val="22"/>
        </w:rPr>
        <w:t>p</w:t>
      </w:r>
      <w:r w:rsidRPr="00212D57">
        <w:rPr>
          <w:szCs w:val="22"/>
        </w:rPr>
        <w:t>.</w:t>
      </w:r>
      <w:r w:rsidRPr="00761EF3">
        <w:rPr>
          <w:szCs w:val="22"/>
        </w:rPr>
        <w:t>1053</w:t>
      </w:r>
      <w:r w:rsidRPr="00212D57">
        <w:rPr>
          <w:szCs w:val="22"/>
        </w:rPr>
        <w:t>）</w:t>
      </w:r>
    </w:p>
  </w:footnote>
  <w:footnote w:id="430">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212D57">
        <w:rPr>
          <w:szCs w:val="22"/>
        </w:rPr>
        <w:t>印順法師</w:t>
      </w:r>
      <w:r w:rsidRPr="00212D57">
        <w:rPr>
          <w:rFonts w:hint="eastAsia"/>
          <w:szCs w:val="22"/>
        </w:rPr>
        <w:t>，</w:t>
      </w:r>
      <w:r w:rsidRPr="00212D57">
        <w:rPr>
          <w:szCs w:val="22"/>
        </w:rPr>
        <w:t>《佛法概論》</w:t>
      </w:r>
      <w:r w:rsidRPr="00212D57">
        <w:rPr>
          <w:rFonts w:hint="eastAsia"/>
          <w:szCs w:val="22"/>
        </w:rPr>
        <w:t>，</w:t>
      </w:r>
      <w:r w:rsidRPr="00761EF3">
        <w:rPr>
          <w:szCs w:val="22"/>
        </w:rPr>
        <w:t>p</w:t>
      </w:r>
      <w:r w:rsidRPr="00212D57">
        <w:rPr>
          <w:szCs w:val="22"/>
        </w:rPr>
        <w:t>.</w:t>
      </w:r>
      <w:r w:rsidRPr="00761EF3">
        <w:rPr>
          <w:szCs w:val="22"/>
        </w:rPr>
        <w:t>47</w:t>
      </w:r>
      <w:r w:rsidRPr="00212D57">
        <w:rPr>
          <w:szCs w:val="22"/>
        </w:rPr>
        <w:t>：</w:t>
      </w:r>
    </w:p>
    <w:p w:rsidR="00157EF6" w:rsidRPr="00212D57" w:rsidRDefault="00157EF6" w:rsidP="002B682F">
      <w:pPr>
        <w:snapToGrid w:val="0"/>
        <w:ind w:leftChars="335" w:left="804"/>
        <w:jc w:val="both"/>
        <w:rPr>
          <w:rFonts w:ascii="標楷體" w:eastAsia="標楷體" w:hAnsi="標楷體"/>
          <w:sz w:val="22"/>
          <w:szCs w:val="22"/>
        </w:rPr>
      </w:pPr>
      <w:r w:rsidRPr="00212D57">
        <w:rPr>
          <w:rFonts w:ascii="標楷體" w:eastAsia="標楷體" w:hAnsi="標楷體"/>
          <w:sz w:val="22"/>
          <w:szCs w:val="22"/>
        </w:rPr>
        <w:t>印度的順世論者，以世界甚至精神，都是地水火風四大所組成；又如中國的五行說等。他們都忽略本身，直從外界去把握真實。這一傾向的結果，不是落於唯物論，即落於神秘的客觀實在論。</w:t>
      </w:r>
    </w:p>
    <w:p w:rsidR="00157EF6" w:rsidRPr="00212D57" w:rsidRDefault="00157EF6" w:rsidP="002B682F">
      <w:pPr>
        <w:pStyle w:val="a5"/>
        <w:ind w:leftChars="105" w:left="791" w:hangingChars="245" w:hanging="539"/>
        <w:jc w:val="both"/>
        <w:rPr>
          <w:szCs w:val="22"/>
        </w:rPr>
      </w:pPr>
      <w:r w:rsidRPr="00212D57">
        <w:rPr>
          <w:rFonts w:eastAsia="標楷體"/>
          <w:szCs w:val="22"/>
        </w:rPr>
        <w:t>（</w:t>
      </w:r>
      <w:r w:rsidRPr="00761EF3">
        <w:rPr>
          <w:rFonts w:eastAsia="標楷體"/>
          <w:szCs w:val="22"/>
        </w:rPr>
        <w:t>2</w:t>
      </w:r>
      <w:r w:rsidRPr="00212D57">
        <w:rPr>
          <w:rFonts w:eastAsia="標楷體"/>
          <w:szCs w:val="22"/>
        </w:rPr>
        <w:t>）</w:t>
      </w:r>
      <w:r w:rsidRPr="00212D57">
        <w:rPr>
          <w:szCs w:val="22"/>
        </w:rPr>
        <w:t>順世外道</w:t>
      </w:r>
      <w:r w:rsidRPr="00212D57">
        <w:rPr>
          <w:rFonts w:hint="eastAsia"/>
          <w:szCs w:val="22"/>
        </w:rPr>
        <w:t>：</w:t>
      </w:r>
      <w:r w:rsidRPr="00212D57">
        <w:rPr>
          <w:szCs w:val="22"/>
        </w:rPr>
        <w:t>梵名</w:t>
      </w:r>
      <w:r w:rsidRPr="00761EF3">
        <w:rPr>
          <w:szCs w:val="22"/>
        </w:rPr>
        <w:t>Lokāyata</w:t>
      </w:r>
      <w:r w:rsidRPr="00212D57">
        <w:rPr>
          <w:szCs w:val="22"/>
        </w:rPr>
        <w:t>或</w:t>
      </w:r>
      <w:r w:rsidRPr="00761EF3">
        <w:rPr>
          <w:szCs w:val="22"/>
        </w:rPr>
        <w:t>Lokāyatika</w:t>
      </w:r>
      <w:r w:rsidRPr="00212D57">
        <w:rPr>
          <w:szCs w:val="22"/>
        </w:rPr>
        <w:t>。音譯路伽耶派、盧迦耶陀派、路歌夜多派、路迦也底迦派。又作順世派。為古印度婆羅門教之支派，主張隨順世俗，倡導唯物論之快樂主義。此派與阿耆毘伽派同為古印度自由思想之代表學派。此派以唯物論之立場，主張地、水、火、風等四元素合成吾人身心，人若命終，四大亦隨之離散，五官之能力亦還歸虛空，故吾人死後一切歸無，靈魂亦不存在。因此，此派否認輪迴、業，復否認祭祀、供儀、布施之意義。於認識論上主張感覺論，於實踐生活上主張快樂論。並反對婆羅門所主張之祭祀萬能主義，而傾向於詭辯之思想。除「吾人身心係由四大和合而成」之主張，此派復認為世間一切之生物、無生物亦皆由四大所構成；四大可分析至「極微」（即物質之最小單位），而於極微之外，世間即無任何餘物。並進而論定：人雖有精神作用，然所謂精神作用亦不過物質之結合所產生之狀態而已，故人生之目的乃在於追求快樂。</w:t>
      </w:r>
      <w:r w:rsidRPr="00212D57">
        <w:rPr>
          <w:rFonts w:hint="eastAsia"/>
          <w:szCs w:val="22"/>
        </w:rPr>
        <w:t>（《</w:t>
      </w:r>
      <w:r w:rsidRPr="00212D57">
        <w:rPr>
          <w:szCs w:val="22"/>
        </w:rPr>
        <w:t>佛光大辭典</w:t>
      </w:r>
      <w:r w:rsidRPr="00212D57">
        <w:rPr>
          <w:rFonts w:hint="eastAsia"/>
          <w:szCs w:val="22"/>
        </w:rPr>
        <w:t>》</w:t>
      </w:r>
      <w:r w:rsidRPr="00212D57">
        <w:rPr>
          <w:szCs w:val="22"/>
        </w:rPr>
        <w:t>（六</w:t>
      </w:r>
      <w:r w:rsidRPr="00212D57">
        <w:rPr>
          <w:rFonts w:hint="eastAsia"/>
          <w:szCs w:val="22"/>
        </w:rPr>
        <w:t>），</w:t>
      </w:r>
      <w:r w:rsidRPr="00761EF3">
        <w:rPr>
          <w:szCs w:val="22"/>
        </w:rPr>
        <w:t>p</w:t>
      </w:r>
      <w:r w:rsidRPr="00212D57">
        <w:rPr>
          <w:szCs w:val="22"/>
        </w:rPr>
        <w:t>.</w:t>
      </w:r>
      <w:r w:rsidRPr="00761EF3">
        <w:rPr>
          <w:szCs w:val="22"/>
        </w:rPr>
        <w:t>5353</w:t>
      </w:r>
      <w:r w:rsidRPr="00212D57">
        <w:rPr>
          <w:szCs w:val="22"/>
        </w:rPr>
        <w:t>.</w:t>
      </w:r>
      <w:r w:rsidRPr="00761EF3">
        <w:rPr>
          <w:szCs w:val="22"/>
        </w:rPr>
        <w:t>2</w:t>
      </w:r>
      <w:r w:rsidRPr="00212D57">
        <w:rPr>
          <w:rFonts w:hint="eastAsia"/>
          <w:szCs w:val="22"/>
        </w:rPr>
        <w:t>-</w:t>
      </w:r>
      <w:r w:rsidRPr="00761EF3">
        <w:rPr>
          <w:szCs w:val="22"/>
        </w:rPr>
        <w:t>5353</w:t>
      </w:r>
      <w:r w:rsidRPr="00212D57">
        <w:rPr>
          <w:szCs w:val="22"/>
        </w:rPr>
        <w:t>.</w:t>
      </w:r>
      <w:r w:rsidRPr="00761EF3">
        <w:rPr>
          <w:szCs w:val="22"/>
        </w:rPr>
        <w:t>3</w:t>
      </w:r>
      <w:r w:rsidRPr="00212D57">
        <w:rPr>
          <w:rFonts w:hint="eastAsia"/>
          <w:szCs w:val="22"/>
        </w:rPr>
        <w:t>）</w:t>
      </w:r>
    </w:p>
  </w:footnote>
  <w:footnote w:id="431">
    <w:p w:rsidR="00F63F7D" w:rsidRPr="00212D57" w:rsidRDefault="00F63F7D" w:rsidP="00F63F7D">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szCs w:val="22"/>
        </w:rPr>
        <w:t>深玄：深奧</w:t>
      </w:r>
      <w:r w:rsidRPr="00212D57">
        <w:rPr>
          <w:rFonts w:ascii="標楷體" w:hAnsi="標楷體"/>
          <w:szCs w:val="22"/>
        </w:rPr>
        <w:t>玄妙。</w:t>
      </w:r>
      <w:r w:rsidRPr="00212D57">
        <w:rPr>
          <w:szCs w:val="22"/>
        </w:rPr>
        <w:t>（《漢語大詞典》（五），</w:t>
      </w:r>
      <w:r w:rsidRPr="00761EF3">
        <w:rPr>
          <w:szCs w:val="22"/>
        </w:rPr>
        <w:t>p</w:t>
      </w:r>
      <w:r w:rsidRPr="00212D57">
        <w:rPr>
          <w:szCs w:val="22"/>
        </w:rPr>
        <w:t>.</w:t>
      </w:r>
      <w:r w:rsidRPr="00761EF3">
        <w:rPr>
          <w:szCs w:val="22"/>
        </w:rPr>
        <w:t>1423</w:t>
      </w:r>
      <w:r w:rsidRPr="00212D57">
        <w:rPr>
          <w:szCs w:val="22"/>
        </w:rPr>
        <w:t>）</w:t>
      </w:r>
    </w:p>
  </w:footnote>
  <w:footnote w:id="432">
    <w:p w:rsidR="00B127DB" w:rsidRPr="00212D57" w:rsidRDefault="00B127DB" w:rsidP="00B127DB">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212D57">
        <w:rPr>
          <w:szCs w:val="22"/>
        </w:rPr>
        <w:t>《大毘婆沙論》卷</w:t>
      </w:r>
      <w:r w:rsidRPr="00761EF3">
        <w:rPr>
          <w:szCs w:val="22"/>
        </w:rPr>
        <w:t>76</w:t>
      </w:r>
      <w:r w:rsidRPr="00212D57">
        <w:rPr>
          <w:rFonts w:hint="eastAsia"/>
          <w:szCs w:val="22"/>
        </w:rPr>
        <w:t>（大正</w:t>
      </w:r>
      <w:r w:rsidRPr="00761EF3">
        <w:rPr>
          <w:rFonts w:hint="eastAsia"/>
          <w:szCs w:val="22"/>
        </w:rPr>
        <w:t>27</w:t>
      </w:r>
      <w:r w:rsidRPr="00212D57">
        <w:rPr>
          <w:rFonts w:hint="eastAsia"/>
          <w:szCs w:val="22"/>
        </w:rPr>
        <w:t>，</w:t>
      </w:r>
      <w:r w:rsidRPr="00761EF3">
        <w:rPr>
          <w:rFonts w:hint="eastAsia"/>
          <w:szCs w:val="22"/>
        </w:rPr>
        <w:t>395c28</w:t>
      </w:r>
      <w:r w:rsidRPr="00212D57">
        <w:rPr>
          <w:rFonts w:hint="eastAsia"/>
          <w:szCs w:val="22"/>
        </w:rPr>
        <w:t>-</w:t>
      </w:r>
      <w:r w:rsidRPr="00761EF3">
        <w:rPr>
          <w:rFonts w:hint="eastAsia"/>
          <w:szCs w:val="22"/>
        </w:rPr>
        <w:t>396a1</w:t>
      </w:r>
      <w:r w:rsidRPr="00212D57">
        <w:rPr>
          <w:rFonts w:hint="eastAsia"/>
          <w:szCs w:val="22"/>
        </w:rPr>
        <w:t>）</w:t>
      </w:r>
      <w:r w:rsidRPr="00212D57">
        <w:rPr>
          <w:szCs w:val="22"/>
        </w:rPr>
        <w:t>：</w:t>
      </w:r>
    </w:p>
    <w:p w:rsidR="00B127DB" w:rsidRPr="00212D57" w:rsidRDefault="00B127DB" w:rsidP="00B127DB">
      <w:pPr>
        <w:pStyle w:val="afa"/>
        <w:kinsoku w:val="0"/>
        <w:overflowPunct w:val="0"/>
        <w:autoSpaceDE w:val="0"/>
        <w:autoSpaceDN w:val="0"/>
        <w:snapToGrid w:val="0"/>
        <w:ind w:leftChars="335" w:left="804" w:firstLineChars="0" w:firstLine="0"/>
        <w:rPr>
          <w:rFonts w:ascii="標楷體" w:eastAsia="標楷體" w:hAnsi="標楷體"/>
          <w:sz w:val="22"/>
          <w:szCs w:val="22"/>
        </w:rPr>
      </w:pPr>
      <w:r w:rsidRPr="00212D57">
        <w:rPr>
          <w:rFonts w:ascii="標楷體" w:eastAsia="標楷體" w:hAnsi="標楷體"/>
          <w:sz w:val="22"/>
          <w:szCs w:val="22"/>
        </w:rPr>
        <w:t>三世諸法因性</w:t>
      </w:r>
      <w:r>
        <w:rPr>
          <w:rFonts w:ascii="標楷體" w:eastAsia="標楷體" w:hAnsi="標楷體" w:hint="eastAsia"/>
          <w:color w:val="FF0000"/>
          <w:kern w:val="0"/>
          <w:sz w:val="22"/>
          <w:highlight w:val="yellow"/>
        </w:rPr>
        <w:t>.</w:t>
      </w:r>
      <w:r w:rsidRPr="00212D57">
        <w:rPr>
          <w:rFonts w:ascii="標楷體" w:eastAsia="標楷體" w:hAnsi="標楷體"/>
          <w:sz w:val="22"/>
          <w:szCs w:val="22"/>
        </w:rPr>
        <w:t>果</w:t>
      </w:r>
      <w:r w:rsidRPr="00B127DB">
        <w:rPr>
          <w:rFonts w:ascii="標楷體" w:eastAsia="標楷體" w:hAnsi="標楷體"/>
          <w:sz w:val="22"/>
          <w:szCs w:val="22"/>
          <w:highlight w:val="yellow"/>
        </w:rPr>
        <w:t>性隨</w:t>
      </w:r>
      <w:r w:rsidRPr="00212D57">
        <w:rPr>
          <w:rFonts w:ascii="標楷體" w:eastAsia="標楷體" w:hAnsi="標楷體"/>
          <w:sz w:val="22"/>
          <w:szCs w:val="22"/>
        </w:rPr>
        <w:t>其所</w:t>
      </w:r>
      <w:r w:rsidRPr="00B127DB">
        <w:rPr>
          <w:rFonts w:ascii="標楷體" w:eastAsia="標楷體" w:hAnsi="標楷體"/>
          <w:sz w:val="22"/>
          <w:szCs w:val="22"/>
          <w:highlight w:val="yellow"/>
        </w:rPr>
        <w:t>應次</w:t>
      </w:r>
      <w:r w:rsidRPr="00212D57">
        <w:rPr>
          <w:rFonts w:ascii="標楷體" w:eastAsia="標楷體" w:hAnsi="標楷體"/>
          <w:sz w:val="22"/>
          <w:szCs w:val="22"/>
        </w:rPr>
        <w:t>第安立</w:t>
      </w:r>
      <w:r>
        <w:rPr>
          <w:rFonts w:ascii="標楷體" w:eastAsia="標楷體" w:hAnsi="標楷體" w:hint="eastAsia"/>
          <w:color w:val="FF0000"/>
          <w:kern w:val="0"/>
          <w:sz w:val="22"/>
          <w:highlight w:val="yellow"/>
        </w:rPr>
        <w:t>，</w:t>
      </w:r>
      <w:r w:rsidRPr="00212D57">
        <w:rPr>
          <w:rFonts w:ascii="標楷體" w:eastAsia="標楷體" w:hAnsi="標楷體"/>
          <w:sz w:val="22"/>
          <w:szCs w:val="22"/>
        </w:rPr>
        <w:t>體實恒有，無增無滅；但依</w:t>
      </w:r>
      <w:r>
        <w:rPr>
          <w:rFonts w:ascii="標楷體" w:eastAsia="標楷體" w:hAnsi="標楷體" w:hint="eastAsia"/>
          <w:bCs/>
          <w:color w:val="FF0000"/>
          <w:kern w:val="0"/>
          <w:sz w:val="22"/>
          <w:highlight w:val="yellow"/>
        </w:rPr>
        <w:t>「</w:t>
      </w:r>
      <w:r w:rsidRPr="00212D57">
        <w:rPr>
          <w:rFonts w:ascii="標楷體" w:eastAsia="標楷體" w:hAnsi="標楷體"/>
          <w:sz w:val="22"/>
          <w:szCs w:val="22"/>
        </w:rPr>
        <w:t>作用</w:t>
      </w:r>
      <w:r>
        <w:rPr>
          <w:rFonts w:ascii="標楷體" w:eastAsia="標楷體" w:hAnsi="標楷體" w:hint="eastAsia"/>
          <w:bCs/>
          <w:color w:val="FF0000"/>
          <w:kern w:val="0"/>
          <w:sz w:val="22"/>
          <w:highlight w:val="yellow"/>
        </w:rPr>
        <w:t>」</w:t>
      </w:r>
      <w:r w:rsidRPr="00212D57">
        <w:rPr>
          <w:rFonts w:ascii="標楷體" w:eastAsia="標楷體" w:hAnsi="標楷體"/>
          <w:sz w:val="22"/>
          <w:szCs w:val="22"/>
        </w:rPr>
        <w:t>說有</w:t>
      </w:r>
      <w:r>
        <w:rPr>
          <w:rFonts w:ascii="標楷體" w:eastAsia="標楷體" w:hAnsi="標楷體" w:hint="eastAsia"/>
          <w:color w:val="FF0000"/>
          <w:spacing w:val="-4"/>
          <w:kern w:val="0"/>
          <w:sz w:val="22"/>
          <w:highlight w:val="yellow"/>
        </w:rPr>
        <w:t>、</w:t>
      </w:r>
      <w:r w:rsidRPr="00212D57">
        <w:rPr>
          <w:rFonts w:ascii="標楷體" w:eastAsia="標楷體" w:hAnsi="標楷體"/>
          <w:sz w:val="22"/>
          <w:szCs w:val="22"/>
        </w:rPr>
        <w:t>說無。</w:t>
      </w:r>
    </w:p>
    <w:p w:rsidR="00B127DB" w:rsidRPr="00212D57" w:rsidRDefault="00B127DB" w:rsidP="00B127DB">
      <w:pPr>
        <w:pStyle w:val="a5"/>
        <w:ind w:leftChars="105" w:left="791" w:hangingChars="245" w:hanging="539"/>
        <w:jc w:val="both"/>
        <w:rPr>
          <w:rFonts w:eastAsia="標楷體"/>
          <w:szCs w:val="22"/>
        </w:rPr>
      </w:pPr>
      <w:r w:rsidRPr="00212D57">
        <w:rPr>
          <w:rFonts w:eastAsia="標楷體"/>
          <w:szCs w:val="22"/>
        </w:rPr>
        <w:t>（</w:t>
      </w:r>
      <w:r w:rsidRPr="00761EF3">
        <w:rPr>
          <w:rFonts w:eastAsia="標楷體"/>
          <w:szCs w:val="22"/>
        </w:rPr>
        <w:t>2</w:t>
      </w:r>
      <w:r w:rsidRPr="00212D57">
        <w:rPr>
          <w:rFonts w:eastAsia="標楷體"/>
          <w:szCs w:val="22"/>
        </w:rPr>
        <w:t>）</w:t>
      </w:r>
      <w:r w:rsidRPr="00212D57">
        <w:rPr>
          <w:rFonts w:ascii="新細明體" w:hAnsi="新細明體" w:hint="eastAsia"/>
          <w:szCs w:val="22"/>
        </w:rPr>
        <w:t>印順法師，</w:t>
      </w:r>
      <w:r w:rsidRPr="00212D57">
        <w:rPr>
          <w:rFonts w:ascii="新細明體" w:hAnsi="新細明體"/>
          <w:szCs w:val="22"/>
        </w:rPr>
        <w:t>《印度佛教思想史》，</w:t>
      </w:r>
      <w:r w:rsidRPr="00761EF3">
        <w:rPr>
          <w:rFonts w:eastAsia="標楷體"/>
          <w:szCs w:val="22"/>
        </w:rPr>
        <w:t>pp</w:t>
      </w:r>
      <w:r w:rsidRPr="00212D57">
        <w:rPr>
          <w:rFonts w:eastAsia="標楷體"/>
          <w:szCs w:val="22"/>
        </w:rPr>
        <w:t>.</w:t>
      </w:r>
      <w:r w:rsidRPr="00761EF3">
        <w:rPr>
          <w:rFonts w:eastAsia="標楷體"/>
          <w:szCs w:val="22"/>
        </w:rPr>
        <w:t>69</w:t>
      </w:r>
      <w:r w:rsidRPr="00212D57">
        <w:rPr>
          <w:rFonts w:eastAsia="標楷體"/>
          <w:szCs w:val="22"/>
        </w:rPr>
        <w:t>-</w:t>
      </w:r>
      <w:r w:rsidRPr="00761EF3">
        <w:rPr>
          <w:rFonts w:eastAsia="標楷體"/>
          <w:szCs w:val="22"/>
        </w:rPr>
        <w:t>70</w:t>
      </w:r>
      <w:r w:rsidRPr="00212D57">
        <w:rPr>
          <w:rFonts w:eastAsia="標楷體"/>
          <w:szCs w:val="22"/>
        </w:rPr>
        <w:t>：</w:t>
      </w:r>
    </w:p>
    <w:p w:rsidR="00B127DB" w:rsidRPr="00212D57" w:rsidRDefault="00B127DB" w:rsidP="00B127DB">
      <w:pPr>
        <w:pStyle w:val="afa"/>
        <w:overflowPunct w:val="0"/>
        <w:autoSpaceDE w:val="0"/>
        <w:autoSpaceDN w:val="0"/>
        <w:snapToGrid w:val="0"/>
        <w:ind w:leftChars="335" w:left="804" w:firstLineChars="0" w:firstLine="0"/>
        <w:rPr>
          <w:rFonts w:eastAsia="標楷體"/>
          <w:sz w:val="22"/>
          <w:szCs w:val="22"/>
        </w:rPr>
      </w:pPr>
      <w:r w:rsidRPr="00212D57">
        <w:rPr>
          <w:rFonts w:eastAsia="標楷體"/>
          <w:sz w:val="22"/>
          <w:szCs w:val="22"/>
        </w:rPr>
        <w:t>「三世有」是什麼意義？一一法的實體，是沒有增減的（這是「法界不增不減」的古義），如</w:t>
      </w:r>
      <w:r w:rsidRPr="00212D57">
        <w:rPr>
          <w:rFonts w:eastAsia="標楷體" w:hint="eastAsia"/>
          <w:sz w:val="22"/>
          <w:szCs w:val="22"/>
        </w:rPr>
        <w:t>《</w:t>
      </w:r>
      <w:r w:rsidRPr="00212D57">
        <w:rPr>
          <w:rFonts w:eastAsia="標楷體"/>
          <w:sz w:val="22"/>
          <w:szCs w:val="22"/>
        </w:rPr>
        <w:t>阿毘達磨大毘婆沙論</w:t>
      </w:r>
      <w:r w:rsidRPr="00212D57">
        <w:rPr>
          <w:rFonts w:eastAsia="標楷體" w:hint="eastAsia"/>
          <w:sz w:val="22"/>
          <w:szCs w:val="22"/>
        </w:rPr>
        <w:t>》</w:t>
      </w:r>
      <w:r w:rsidRPr="00212D57">
        <w:rPr>
          <w:rFonts w:eastAsia="標楷體"/>
          <w:sz w:val="22"/>
          <w:szCs w:val="22"/>
        </w:rPr>
        <w:t>卷</w:t>
      </w:r>
      <w:r>
        <w:rPr>
          <w:rFonts w:eastAsia="標楷體" w:hint="eastAsia"/>
          <w:sz w:val="22"/>
          <w:szCs w:val="22"/>
        </w:rPr>
        <w:t>76</w:t>
      </w:r>
      <w:r w:rsidRPr="00E920B5">
        <w:rPr>
          <w:sz w:val="22"/>
          <w:szCs w:val="22"/>
        </w:rPr>
        <w:t>（大正</w:t>
      </w:r>
      <w:r w:rsidRPr="00E920B5">
        <w:rPr>
          <w:sz w:val="22"/>
          <w:szCs w:val="22"/>
        </w:rPr>
        <w:t>27</w:t>
      </w:r>
      <w:r w:rsidRPr="00E920B5">
        <w:rPr>
          <w:sz w:val="22"/>
          <w:szCs w:val="22"/>
        </w:rPr>
        <w:t>，</w:t>
      </w:r>
      <w:r w:rsidRPr="00E920B5">
        <w:rPr>
          <w:sz w:val="22"/>
          <w:szCs w:val="22"/>
        </w:rPr>
        <w:t>395c-396a</w:t>
      </w:r>
      <w:r w:rsidRPr="00E920B5">
        <w:rPr>
          <w:sz w:val="22"/>
          <w:szCs w:val="22"/>
        </w:rPr>
        <w:t>）</w:t>
      </w:r>
      <w:r w:rsidRPr="00212D57">
        <w:rPr>
          <w:rFonts w:eastAsia="標楷體"/>
          <w:sz w:val="22"/>
          <w:szCs w:val="22"/>
        </w:rPr>
        <w:t>說：「三世諸法，因性果性，隨其所應，次第安立。體實恆有，無增無減，但依作用，說有說無。」</w:t>
      </w:r>
    </w:p>
    <w:p w:rsidR="00B127DB" w:rsidRPr="00212D57" w:rsidRDefault="00B127DB" w:rsidP="00B127DB">
      <w:pPr>
        <w:pStyle w:val="afa"/>
        <w:kinsoku w:val="0"/>
        <w:overflowPunct w:val="0"/>
        <w:autoSpaceDE w:val="0"/>
        <w:autoSpaceDN w:val="0"/>
        <w:snapToGrid w:val="0"/>
        <w:ind w:leftChars="335" w:left="804" w:firstLineChars="0" w:firstLine="0"/>
        <w:rPr>
          <w:rFonts w:eastAsia="標楷體"/>
          <w:sz w:val="22"/>
          <w:szCs w:val="22"/>
        </w:rPr>
      </w:pPr>
      <w:r w:rsidRPr="00212D57">
        <w:rPr>
          <w:rFonts w:eastAsia="標楷體"/>
          <w:b/>
          <w:sz w:val="22"/>
          <w:szCs w:val="22"/>
        </w:rPr>
        <w:t>一一有為法的體性，是實有的：未來有，現在有，過去有</w:t>
      </w:r>
      <w:r w:rsidRPr="00212D57">
        <w:rPr>
          <w:rFonts w:eastAsia="標楷體"/>
          <w:sz w:val="22"/>
          <w:szCs w:val="22"/>
        </w:rPr>
        <w:t>，不能說「從無而有，有已還無」的。依諸法的作用，才可以說有說無。</w:t>
      </w:r>
    </w:p>
    <w:p w:rsidR="00B127DB" w:rsidRPr="00212D57" w:rsidRDefault="00B127DB" w:rsidP="00B127DB">
      <w:pPr>
        <w:pStyle w:val="afa"/>
        <w:overflowPunct w:val="0"/>
        <w:autoSpaceDE w:val="0"/>
        <w:autoSpaceDN w:val="0"/>
        <w:snapToGrid w:val="0"/>
        <w:ind w:leftChars="335" w:left="804" w:firstLineChars="0" w:firstLine="0"/>
        <w:rPr>
          <w:rFonts w:eastAsia="標楷體"/>
          <w:sz w:val="22"/>
          <w:szCs w:val="22"/>
        </w:rPr>
      </w:pPr>
      <w:r w:rsidRPr="00212D57">
        <w:rPr>
          <w:rFonts w:eastAsia="標楷體"/>
          <w:sz w:val="22"/>
          <w:szCs w:val="22"/>
        </w:rPr>
        <w:t>這是說，一切法不增不減，本來如此：沒有生起以前，已經這樣的有了，名「</w:t>
      </w:r>
      <w:r w:rsidRPr="00212D57">
        <w:rPr>
          <w:rFonts w:eastAsia="標楷體"/>
          <w:b/>
          <w:sz w:val="22"/>
          <w:szCs w:val="22"/>
        </w:rPr>
        <w:t>未來有</w:t>
      </w:r>
      <w:r w:rsidRPr="00212D57">
        <w:rPr>
          <w:rFonts w:eastAsia="標楷體"/>
          <w:sz w:val="22"/>
          <w:szCs w:val="22"/>
        </w:rPr>
        <w:t>」。</w:t>
      </w:r>
    </w:p>
    <w:p w:rsidR="00B127DB" w:rsidRPr="00212D57" w:rsidRDefault="00B127DB" w:rsidP="00B127DB">
      <w:pPr>
        <w:pStyle w:val="afa"/>
        <w:kinsoku w:val="0"/>
        <w:overflowPunct w:val="0"/>
        <w:autoSpaceDE w:val="0"/>
        <w:autoSpaceDN w:val="0"/>
        <w:snapToGrid w:val="0"/>
        <w:ind w:leftChars="335" w:left="804" w:firstLineChars="0" w:firstLine="0"/>
        <w:rPr>
          <w:rFonts w:eastAsia="標楷體"/>
          <w:sz w:val="22"/>
          <w:szCs w:val="22"/>
        </w:rPr>
      </w:pPr>
      <w:r w:rsidRPr="00212D57">
        <w:rPr>
          <w:rFonts w:eastAsia="標楷體"/>
          <w:sz w:val="22"/>
          <w:szCs w:val="22"/>
        </w:rPr>
        <w:t>依因緣而現起，法體還是這樣，名「</w:t>
      </w:r>
      <w:r w:rsidRPr="00212D57">
        <w:rPr>
          <w:rFonts w:eastAsia="標楷體"/>
          <w:b/>
          <w:sz w:val="22"/>
          <w:szCs w:val="22"/>
        </w:rPr>
        <w:t>現在有</w:t>
      </w:r>
      <w:r w:rsidRPr="00212D57">
        <w:rPr>
          <w:rFonts w:eastAsia="標楷體"/>
          <w:sz w:val="22"/>
          <w:szCs w:val="22"/>
        </w:rPr>
        <w:t>」。</w:t>
      </w:r>
    </w:p>
    <w:p w:rsidR="00B127DB" w:rsidRPr="00212D57" w:rsidRDefault="00B127DB" w:rsidP="00B127DB">
      <w:pPr>
        <w:pStyle w:val="afa"/>
        <w:kinsoku w:val="0"/>
        <w:overflowPunct w:val="0"/>
        <w:autoSpaceDE w:val="0"/>
        <w:autoSpaceDN w:val="0"/>
        <w:snapToGrid w:val="0"/>
        <w:ind w:leftChars="335" w:left="804" w:firstLineChars="0" w:firstLine="0"/>
        <w:rPr>
          <w:rFonts w:eastAsia="標楷體"/>
          <w:sz w:val="22"/>
          <w:szCs w:val="22"/>
        </w:rPr>
      </w:pPr>
      <w:r w:rsidRPr="00212D57">
        <w:rPr>
          <w:rFonts w:eastAsia="標楷體"/>
          <w:sz w:val="22"/>
          <w:szCs w:val="22"/>
        </w:rPr>
        <w:t>作用過去了，法體還是這樣的存在，名「</w:t>
      </w:r>
      <w:r w:rsidRPr="00212D57">
        <w:rPr>
          <w:rFonts w:eastAsia="標楷體"/>
          <w:b/>
          <w:sz w:val="22"/>
          <w:szCs w:val="22"/>
        </w:rPr>
        <w:t>過去有</w:t>
      </w:r>
      <w:r w:rsidRPr="00212D57">
        <w:rPr>
          <w:rFonts w:eastAsia="標楷體"/>
          <w:sz w:val="22"/>
          <w:szCs w:val="22"/>
        </w:rPr>
        <w:t>」。</w:t>
      </w:r>
    </w:p>
    <w:p w:rsidR="00B127DB" w:rsidRPr="00212D57" w:rsidRDefault="00B127DB" w:rsidP="00B127DB">
      <w:pPr>
        <w:pStyle w:val="afa"/>
        <w:overflowPunct w:val="0"/>
        <w:autoSpaceDE w:val="0"/>
        <w:autoSpaceDN w:val="0"/>
        <w:snapToGrid w:val="0"/>
        <w:ind w:leftChars="335" w:left="804" w:firstLineChars="0" w:firstLine="0"/>
        <w:rPr>
          <w:rFonts w:eastAsia="標楷體"/>
          <w:sz w:val="22"/>
          <w:szCs w:val="22"/>
        </w:rPr>
      </w:pPr>
      <w:r w:rsidRPr="00212D57">
        <w:rPr>
          <w:rFonts w:eastAsia="標楷體"/>
          <w:b/>
          <w:sz w:val="22"/>
          <w:szCs w:val="22"/>
        </w:rPr>
        <w:t>生滅、有無，約法的作用說，自體是恆住自性，如如不異的。</w:t>
      </w:r>
      <w:r w:rsidRPr="00212D57">
        <w:rPr>
          <w:rFonts w:eastAsia="標楷體"/>
          <w:sz w:val="22"/>
          <w:szCs w:val="22"/>
        </w:rPr>
        <w:t>生與滅</w:t>
      </w:r>
      <w:r w:rsidRPr="00212D57">
        <w:rPr>
          <w:rFonts w:ascii="新細明體" w:hAnsi="新細明體"/>
          <w:sz w:val="22"/>
          <w:szCs w:val="22"/>
        </w:rPr>
        <w:t>──</w:t>
      </w:r>
      <w:r w:rsidRPr="00212D57">
        <w:rPr>
          <w:rFonts w:eastAsia="標楷體"/>
          <w:sz w:val="22"/>
          <w:szCs w:val="22"/>
        </w:rPr>
        <w:t>無常，是「不相應行法」。依緣而「生」與法俱起，剎那不住，法與「滅」俱去；法與生、滅俱而起（生滅相）用，所以說法生、法滅。</w:t>
      </w:r>
      <w:r w:rsidRPr="00212D57">
        <w:rPr>
          <w:rFonts w:eastAsia="標楷體"/>
          <w:b/>
          <w:sz w:val="22"/>
          <w:szCs w:val="22"/>
        </w:rPr>
        <w:t>其實，法體是沒有生滅的</w:t>
      </w:r>
      <w:r w:rsidRPr="00212D57">
        <w:rPr>
          <w:rFonts w:eastAsia="標楷體"/>
          <w:sz w:val="22"/>
          <w:szCs w:val="22"/>
        </w:rPr>
        <w:t>，也就沒有因果可說的，如</w:t>
      </w:r>
      <w:r w:rsidRPr="00212D57">
        <w:rPr>
          <w:rFonts w:eastAsia="標楷體" w:hint="eastAsia"/>
          <w:sz w:val="22"/>
          <w:szCs w:val="22"/>
        </w:rPr>
        <w:t>《</w:t>
      </w:r>
      <w:r w:rsidRPr="00212D57">
        <w:rPr>
          <w:rFonts w:eastAsia="標楷體"/>
          <w:sz w:val="22"/>
          <w:szCs w:val="22"/>
        </w:rPr>
        <w:t>大毘婆沙論</w:t>
      </w:r>
      <w:r w:rsidRPr="00212D57">
        <w:rPr>
          <w:rFonts w:eastAsia="標楷體" w:hint="eastAsia"/>
          <w:sz w:val="22"/>
          <w:szCs w:val="22"/>
        </w:rPr>
        <w:t>》</w:t>
      </w:r>
      <w:r w:rsidRPr="00212D57">
        <w:rPr>
          <w:rFonts w:eastAsia="標楷體"/>
          <w:sz w:val="22"/>
          <w:szCs w:val="22"/>
        </w:rPr>
        <w:t>說：「我說諸因以作用為果，非以實體為果；又說諸法以作用為因，非以實體為因。諸法實體，恆無轉變，非因果故。」</w:t>
      </w:r>
      <w:r w:rsidRPr="00B127DB">
        <w:rPr>
          <w:rFonts w:eastAsia="標楷體" w:hint="eastAsia"/>
          <w:color w:val="FF0000"/>
          <w:sz w:val="22"/>
          <w:szCs w:val="22"/>
          <w:shd w:val="pct15" w:color="auto" w:fill="FFFFFF"/>
          <w:vertAlign w:val="superscript"/>
        </w:rPr>
        <w:t>[35]</w:t>
      </w:r>
      <w:r w:rsidRPr="00212D57">
        <w:rPr>
          <w:rFonts w:eastAsia="標楷體"/>
          <w:sz w:val="22"/>
          <w:szCs w:val="22"/>
        </w:rPr>
        <w:t>這是著名的</w:t>
      </w:r>
      <w:r w:rsidRPr="00212D57">
        <w:rPr>
          <w:rFonts w:eastAsia="標楷體"/>
          <w:b/>
          <w:sz w:val="22"/>
          <w:szCs w:val="22"/>
        </w:rPr>
        <w:t>「法性恆住」，「三世實有」說。</w:t>
      </w:r>
    </w:p>
    <w:p w:rsidR="00B127DB" w:rsidRDefault="00B127DB" w:rsidP="00B127DB">
      <w:pPr>
        <w:pStyle w:val="afa"/>
        <w:overflowPunct w:val="0"/>
        <w:autoSpaceDE w:val="0"/>
        <w:autoSpaceDN w:val="0"/>
        <w:snapToGrid w:val="0"/>
        <w:ind w:leftChars="335" w:left="804" w:firstLineChars="0" w:firstLine="0"/>
        <w:rPr>
          <w:rFonts w:eastAsia="標楷體"/>
          <w:sz w:val="22"/>
          <w:szCs w:val="22"/>
        </w:rPr>
      </w:pPr>
      <w:r w:rsidRPr="00212D57">
        <w:rPr>
          <w:rFonts w:eastAsia="標楷體"/>
          <w:sz w:val="22"/>
          <w:szCs w:val="22"/>
        </w:rPr>
        <w:t>依說一切有部，常與恆是不同的。</w:t>
      </w:r>
      <w:r w:rsidRPr="00212D57">
        <w:rPr>
          <w:rFonts w:eastAsia="標楷體"/>
          <w:b/>
          <w:sz w:val="22"/>
          <w:szCs w:val="22"/>
        </w:rPr>
        <w:t>法體如如不異而流轉於三世的，是恆有；不生不滅的無為法，是常</w:t>
      </w:r>
      <w:r w:rsidRPr="00212D57">
        <w:rPr>
          <w:rFonts w:eastAsia="標楷體"/>
          <w:sz w:val="22"/>
          <w:szCs w:val="22"/>
        </w:rPr>
        <w:t>。這一思想，有</w:t>
      </w:r>
      <w:r w:rsidRPr="00212D57">
        <w:rPr>
          <w:rFonts w:eastAsia="標楷體"/>
          <w:b/>
          <w:sz w:val="22"/>
          <w:szCs w:val="22"/>
        </w:rPr>
        <w:t>法體不變而作用變異</w:t>
      </w:r>
      <w:r w:rsidRPr="00212D57">
        <w:rPr>
          <w:rFonts w:eastAsia="標楷體"/>
          <w:sz w:val="22"/>
          <w:szCs w:val="22"/>
        </w:rPr>
        <w:t>的意義</w:t>
      </w:r>
      <w:r w:rsidRPr="00212D57">
        <w:rPr>
          <w:rFonts w:eastAsia="標楷體" w:hint="eastAsia"/>
          <w:sz w:val="22"/>
          <w:szCs w:val="22"/>
        </w:rPr>
        <w:t>。</w:t>
      </w:r>
    </w:p>
    <w:p w:rsidR="00B127DB" w:rsidRPr="00B127DB" w:rsidRDefault="00B127DB" w:rsidP="00B127DB">
      <w:pPr>
        <w:pStyle w:val="afa"/>
        <w:overflowPunct w:val="0"/>
        <w:autoSpaceDE w:val="0"/>
        <w:autoSpaceDN w:val="0"/>
        <w:snapToGrid w:val="0"/>
        <w:ind w:leftChars="335" w:left="804" w:firstLineChars="0" w:firstLine="0"/>
        <w:rPr>
          <w:color w:val="FF0000"/>
          <w:sz w:val="22"/>
          <w:szCs w:val="22"/>
          <w:highlight w:val="yellow"/>
        </w:rPr>
      </w:pPr>
      <w:r w:rsidRPr="00B127DB">
        <w:rPr>
          <w:rFonts w:hint="eastAsia"/>
          <w:color w:val="FF0000"/>
          <w:sz w:val="22"/>
          <w:szCs w:val="22"/>
          <w:highlight w:val="yellow"/>
        </w:rPr>
        <w:t>[</w:t>
      </w:r>
      <w:r w:rsidRPr="00B127DB">
        <w:rPr>
          <w:rFonts w:hint="eastAsia"/>
          <w:color w:val="FF0000"/>
          <w:sz w:val="22"/>
          <w:szCs w:val="22"/>
          <w:highlight w:val="yellow"/>
        </w:rPr>
        <w:t>原書註</w:t>
      </w:r>
      <w:r w:rsidRPr="00B127DB">
        <w:rPr>
          <w:rFonts w:hint="eastAsia"/>
          <w:color w:val="FF0000"/>
          <w:sz w:val="22"/>
          <w:szCs w:val="22"/>
          <w:highlight w:val="yellow"/>
        </w:rPr>
        <w:t>35]</w:t>
      </w:r>
      <w:r w:rsidRPr="00B127DB">
        <w:rPr>
          <w:rFonts w:hint="eastAsia"/>
          <w:color w:val="FF0000"/>
          <w:sz w:val="22"/>
          <w:szCs w:val="22"/>
          <w:highlight w:val="yellow"/>
        </w:rPr>
        <w:t>《阿毘達磨大毘婆沙論》卷</w:t>
      </w:r>
      <w:r w:rsidRPr="00B127DB">
        <w:rPr>
          <w:rFonts w:hint="eastAsia"/>
          <w:color w:val="FF0000"/>
          <w:sz w:val="22"/>
          <w:szCs w:val="22"/>
          <w:highlight w:val="yellow"/>
        </w:rPr>
        <w:t>21</w:t>
      </w:r>
      <w:r w:rsidRPr="00B127DB">
        <w:rPr>
          <w:rFonts w:hint="eastAsia"/>
          <w:color w:val="FF0000"/>
          <w:sz w:val="22"/>
          <w:szCs w:val="22"/>
          <w:highlight w:val="yellow"/>
        </w:rPr>
        <w:t>（大正</w:t>
      </w:r>
      <w:r w:rsidRPr="00B127DB">
        <w:rPr>
          <w:rFonts w:hint="eastAsia"/>
          <w:color w:val="FF0000"/>
          <w:sz w:val="22"/>
          <w:szCs w:val="22"/>
          <w:highlight w:val="yellow"/>
        </w:rPr>
        <w:t>27</w:t>
      </w:r>
      <w:r w:rsidRPr="00B127DB">
        <w:rPr>
          <w:rFonts w:hint="eastAsia"/>
          <w:color w:val="FF0000"/>
          <w:sz w:val="22"/>
          <w:szCs w:val="22"/>
          <w:highlight w:val="yellow"/>
        </w:rPr>
        <w:t>，</w:t>
      </w:r>
      <w:r w:rsidRPr="00B127DB">
        <w:rPr>
          <w:rFonts w:hint="eastAsia"/>
          <w:color w:val="FF0000"/>
          <w:sz w:val="22"/>
          <w:szCs w:val="22"/>
          <w:highlight w:val="yellow"/>
        </w:rPr>
        <w:t>105c</w:t>
      </w:r>
      <w:r w:rsidRPr="00B127DB">
        <w:rPr>
          <w:rFonts w:hint="eastAsia"/>
          <w:color w:val="FF0000"/>
          <w:sz w:val="22"/>
          <w:szCs w:val="22"/>
          <w:highlight w:val="yellow"/>
        </w:rPr>
        <w:t>）。</w:t>
      </w:r>
    </w:p>
  </w:footnote>
  <w:footnote w:id="433">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szCs w:val="22"/>
        </w:rPr>
        <w:t>印順法師</w:t>
      </w:r>
      <w:r w:rsidRPr="00212D57">
        <w:rPr>
          <w:rFonts w:hint="eastAsia"/>
          <w:szCs w:val="22"/>
        </w:rPr>
        <w:t>，</w:t>
      </w:r>
      <w:r w:rsidRPr="00212D57">
        <w:rPr>
          <w:szCs w:val="22"/>
        </w:rPr>
        <w:t>《華雨集》</w:t>
      </w:r>
      <w:r w:rsidRPr="00212D57">
        <w:rPr>
          <w:rFonts w:hint="eastAsia"/>
          <w:szCs w:val="22"/>
        </w:rPr>
        <w:t>（</w:t>
      </w:r>
      <w:r w:rsidRPr="00212D57">
        <w:rPr>
          <w:szCs w:val="22"/>
        </w:rPr>
        <w:t>第四冊</w:t>
      </w:r>
      <w:r w:rsidRPr="00212D57">
        <w:rPr>
          <w:rFonts w:hint="eastAsia"/>
          <w:szCs w:val="22"/>
        </w:rPr>
        <w:t>），</w:t>
      </w:r>
      <w:r w:rsidRPr="00761EF3">
        <w:rPr>
          <w:szCs w:val="22"/>
        </w:rPr>
        <w:t>pp</w:t>
      </w:r>
      <w:r w:rsidRPr="00212D57">
        <w:rPr>
          <w:szCs w:val="22"/>
        </w:rPr>
        <w:t>.</w:t>
      </w:r>
      <w:r w:rsidRPr="00761EF3">
        <w:rPr>
          <w:szCs w:val="22"/>
        </w:rPr>
        <w:t>255</w:t>
      </w:r>
      <w:r w:rsidRPr="00212D57">
        <w:rPr>
          <w:szCs w:val="22"/>
        </w:rPr>
        <w:t>-</w:t>
      </w:r>
      <w:r w:rsidRPr="00761EF3">
        <w:rPr>
          <w:szCs w:val="22"/>
        </w:rPr>
        <w:t>256</w:t>
      </w:r>
      <w:r w:rsidRPr="00212D57">
        <w:rPr>
          <w:szCs w:val="22"/>
        </w:rPr>
        <w:t>：</w:t>
      </w:r>
    </w:p>
    <w:p w:rsidR="00157EF6" w:rsidRPr="00212D57" w:rsidRDefault="00157EF6" w:rsidP="002B682F">
      <w:pPr>
        <w:pStyle w:val="afa"/>
        <w:overflowPunct w:val="0"/>
        <w:autoSpaceDE w:val="0"/>
        <w:autoSpaceDN w:val="0"/>
        <w:snapToGrid w:val="0"/>
        <w:ind w:leftChars="105" w:left="252" w:firstLineChars="0" w:firstLine="0"/>
        <w:rPr>
          <w:rFonts w:ascii="標楷體" w:eastAsia="標楷體" w:hAnsi="標楷體"/>
          <w:sz w:val="22"/>
          <w:szCs w:val="22"/>
        </w:rPr>
      </w:pPr>
      <w:r w:rsidRPr="00212D57">
        <w:rPr>
          <w:rFonts w:ascii="標楷體" w:eastAsia="標楷體" w:hAnsi="標楷體"/>
          <w:sz w:val="22"/>
          <w:szCs w:val="22"/>
        </w:rPr>
        <w:t>佛說「曾有」，「當有」，其實是不離「現在」的。曾有與當有，聽來似不大具體，到了經部，引出了種子薰習的思想，那就較易領會了。其解釋是：現在法生起後即剎那滅，「曾有」是什麼？它就是曾經有過，在剎那滅時，就薰習而成一種潛能，如種子一樣；這薰習所成的力量，是「曾有」，其實就是現在，只是沒有發現出來而已。</w:t>
      </w:r>
    </w:p>
    <w:p w:rsidR="00157EF6" w:rsidRPr="00212D57" w:rsidRDefault="00157EF6" w:rsidP="002B682F">
      <w:pPr>
        <w:pStyle w:val="afa"/>
        <w:overflowPunct w:val="0"/>
        <w:autoSpaceDE w:val="0"/>
        <w:autoSpaceDN w:val="0"/>
        <w:snapToGrid w:val="0"/>
        <w:ind w:leftChars="105" w:left="252" w:firstLineChars="0" w:firstLine="0"/>
        <w:rPr>
          <w:rFonts w:ascii="標楷體" w:eastAsia="標楷體" w:hAnsi="標楷體"/>
          <w:sz w:val="22"/>
          <w:szCs w:val="22"/>
        </w:rPr>
      </w:pPr>
      <w:r w:rsidRPr="00212D57">
        <w:rPr>
          <w:rFonts w:ascii="標楷體" w:eastAsia="標楷體" w:hAnsi="標楷體"/>
          <w:sz w:val="22"/>
          <w:szCs w:val="22"/>
        </w:rPr>
        <w:t>說「當有」，當有即種子，有了種子，當然會生起，其實種子並沒有離開現在。這「現在有」派的思想，依我看法，一定要講到種子──潛能思想才能圓滿。依現在有來說，過去與未來是假有。由於時間觀的不同，有此兩派。由此，可知唯識思想是繼承「現在有」的學派，唯識家指出過去未來是假立的，故以種子薰現行，現行薰種子，來說明一切法的起滅，其教理與經部師特別深切。</w:t>
      </w:r>
    </w:p>
  </w:footnote>
  <w:footnote w:id="434">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）《中論》卷</w:t>
      </w:r>
      <w:r w:rsidRPr="00761EF3">
        <w:rPr>
          <w:szCs w:val="22"/>
        </w:rPr>
        <w:t>3</w:t>
      </w:r>
      <w:r w:rsidRPr="00212D57">
        <w:rPr>
          <w:szCs w:val="22"/>
        </w:rPr>
        <w:t>〈</w:t>
      </w:r>
      <w:r w:rsidRPr="00761EF3">
        <w:rPr>
          <w:szCs w:val="22"/>
        </w:rPr>
        <w:t>21</w:t>
      </w:r>
      <w:r w:rsidRPr="00212D57">
        <w:rPr>
          <w:rFonts w:hint="eastAsia"/>
          <w:szCs w:val="22"/>
        </w:rPr>
        <w:t xml:space="preserve"> </w:t>
      </w:r>
      <w:r w:rsidRPr="00212D57">
        <w:rPr>
          <w:szCs w:val="22"/>
        </w:rPr>
        <w:t>觀成壞品〉</w:t>
      </w:r>
      <w:r w:rsidR="000058DD" w:rsidRPr="00212D57">
        <w:rPr>
          <w:szCs w:val="22"/>
        </w:rPr>
        <w:t>（大正</w:t>
      </w:r>
      <w:r w:rsidR="000058DD" w:rsidRPr="00761EF3">
        <w:rPr>
          <w:szCs w:val="22"/>
        </w:rPr>
        <w:t>30</w:t>
      </w:r>
      <w:r w:rsidR="000058DD" w:rsidRPr="00212D57">
        <w:rPr>
          <w:szCs w:val="22"/>
        </w:rPr>
        <w:t>，</w:t>
      </w:r>
      <w:r w:rsidR="000058DD" w:rsidRPr="00761EF3">
        <w:rPr>
          <w:szCs w:val="22"/>
        </w:rPr>
        <w:t>29a11</w:t>
      </w:r>
      <w:r w:rsidR="000058DD" w:rsidRPr="00212D57">
        <w:rPr>
          <w:szCs w:val="22"/>
        </w:rPr>
        <w:t>-</w:t>
      </w:r>
      <w:r w:rsidR="000058DD" w:rsidRPr="00761EF3">
        <w:rPr>
          <w:szCs w:val="22"/>
        </w:rPr>
        <w:t>12</w:t>
      </w:r>
      <w:r w:rsidR="000058DD" w:rsidRPr="00212D57">
        <w:rPr>
          <w:szCs w:val="22"/>
        </w:rPr>
        <w:t>）</w:t>
      </w:r>
      <w:r w:rsidRPr="00212D57">
        <w:rPr>
          <w:szCs w:val="22"/>
        </w:rPr>
        <w:t>：「</w:t>
      </w:r>
      <w:r w:rsidRPr="00212D57">
        <w:rPr>
          <w:rFonts w:ascii="標楷體" w:eastAsia="標楷體" w:hAnsi="標楷體"/>
          <w:szCs w:val="22"/>
        </w:rPr>
        <w:t>法住於自性，不應有</w:t>
      </w:r>
      <w:r w:rsidR="00B127DB">
        <w:rPr>
          <w:rFonts w:ascii="標楷體" w:eastAsia="標楷體" w:hAnsi="標楷體" w:hint="eastAsia"/>
          <w:color w:val="FF0000"/>
          <w:kern w:val="0"/>
          <w:highlight w:val="yellow"/>
        </w:rPr>
        <w:t>『</w:t>
      </w:r>
      <w:r w:rsidRPr="00212D57">
        <w:rPr>
          <w:rFonts w:ascii="標楷體" w:eastAsia="標楷體" w:hAnsi="標楷體"/>
          <w:szCs w:val="22"/>
        </w:rPr>
        <w:t>有</w:t>
      </w:r>
      <w:r w:rsidR="00B127DB">
        <w:rPr>
          <w:rFonts w:ascii="標楷體" w:eastAsia="標楷體" w:hAnsi="標楷體" w:hint="eastAsia"/>
          <w:color w:val="FF0000"/>
          <w:spacing w:val="-4"/>
          <w:kern w:val="0"/>
          <w:highlight w:val="yellow"/>
        </w:rPr>
        <w:t>、</w:t>
      </w:r>
      <w:r w:rsidRPr="00212D57">
        <w:rPr>
          <w:rFonts w:ascii="標楷體" w:eastAsia="標楷體" w:hAnsi="標楷體"/>
          <w:szCs w:val="22"/>
        </w:rPr>
        <w:t>無</w:t>
      </w:r>
      <w:r w:rsidR="00B127DB">
        <w:rPr>
          <w:rFonts w:ascii="標楷體" w:eastAsia="標楷體" w:hAnsi="標楷體" w:hint="eastAsia"/>
          <w:color w:val="FF0000"/>
          <w:kern w:val="0"/>
          <w:highlight w:val="yellow"/>
        </w:rPr>
        <w:t>』</w:t>
      </w:r>
      <w:r w:rsidRPr="00212D57">
        <w:rPr>
          <w:rFonts w:ascii="標楷體" w:eastAsia="標楷體" w:hAnsi="標楷體" w:hint="eastAsia"/>
          <w:szCs w:val="22"/>
        </w:rPr>
        <w:t>；</w:t>
      </w:r>
      <w:r w:rsidRPr="00212D57">
        <w:rPr>
          <w:rFonts w:ascii="標楷體" w:eastAsia="標楷體" w:hAnsi="標楷體"/>
          <w:szCs w:val="22"/>
        </w:rPr>
        <w:t>涅槃滅相續，則墮於斷滅</w:t>
      </w:r>
      <w:r w:rsidR="00B127DB">
        <w:rPr>
          <w:rFonts w:ascii="標楷體" w:eastAsia="標楷體" w:hAnsi="標楷體" w:hint="eastAsia"/>
          <w:color w:val="FF0000"/>
          <w:kern w:val="0"/>
          <w:highlight w:val="yellow"/>
        </w:rPr>
        <w:t>！</w:t>
      </w:r>
      <w:r w:rsidRPr="00212D57">
        <w:rPr>
          <w:szCs w:val="22"/>
        </w:rPr>
        <w:t>」</w:t>
      </w:r>
    </w:p>
    <w:p w:rsidR="00157EF6" w:rsidRPr="00212D57" w:rsidRDefault="00157EF6" w:rsidP="002B682F">
      <w:pPr>
        <w:pStyle w:val="a5"/>
        <w:ind w:leftChars="105" w:left="791" w:hangingChars="245" w:hanging="539"/>
        <w:jc w:val="both"/>
        <w:rPr>
          <w:szCs w:val="22"/>
        </w:rPr>
      </w:pPr>
      <w:r w:rsidRPr="00212D57">
        <w:rPr>
          <w:szCs w:val="22"/>
        </w:rPr>
        <w:t>（</w:t>
      </w:r>
      <w:r w:rsidRPr="00761EF3">
        <w:rPr>
          <w:szCs w:val="22"/>
        </w:rPr>
        <w:t>2</w:t>
      </w:r>
      <w:r w:rsidRPr="00212D57">
        <w:rPr>
          <w:szCs w:val="22"/>
        </w:rPr>
        <w:t>）印順法師，《中觀論頌講記》，</w:t>
      </w:r>
      <w:r w:rsidRPr="00761EF3">
        <w:rPr>
          <w:szCs w:val="22"/>
        </w:rPr>
        <w:t>p</w:t>
      </w:r>
      <w:r w:rsidRPr="00212D57">
        <w:rPr>
          <w:szCs w:val="22"/>
        </w:rPr>
        <w:t>.</w:t>
      </w:r>
      <w:r w:rsidRPr="00761EF3">
        <w:rPr>
          <w:szCs w:val="22"/>
        </w:rPr>
        <w:t>390</w:t>
      </w:r>
      <w:r w:rsidRPr="00212D57">
        <w:rPr>
          <w:szCs w:val="22"/>
        </w:rPr>
        <w:t>：</w:t>
      </w:r>
    </w:p>
    <w:p w:rsidR="00157EF6" w:rsidRPr="00212D57" w:rsidRDefault="00157EF6" w:rsidP="002B682F">
      <w:pPr>
        <w:pStyle w:val="afa"/>
        <w:overflowPunct w:val="0"/>
        <w:autoSpaceDE w:val="0"/>
        <w:autoSpaceDN w:val="0"/>
        <w:snapToGrid w:val="0"/>
        <w:ind w:leftChars="335" w:left="804" w:firstLineChars="0" w:firstLine="0"/>
        <w:rPr>
          <w:rFonts w:ascii="標楷體" w:eastAsia="標楷體" w:hAnsi="標楷體"/>
          <w:sz w:val="22"/>
          <w:szCs w:val="22"/>
        </w:rPr>
      </w:pPr>
      <w:r w:rsidRPr="00212D57">
        <w:rPr>
          <w:rFonts w:ascii="標楷體" w:eastAsia="標楷體" w:hAnsi="標楷體"/>
          <w:sz w:val="22"/>
          <w:szCs w:val="22"/>
        </w:rPr>
        <w:t>因果法如有自性，「法」法「住」在他的「自性」中，以為他確實如此，是實有自性的，那就「不」可說他「有」本無今「有」的生，從有還「無」的滅。因果既有自性，生滅即不可能。外人在生死相續上，以因果生滅的理由，自以為不常，他沒有想一想涅槃的從有而無。</w:t>
      </w:r>
    </w:p>
    <w:p w:rsidR="00157EF6" w:rsidRPr="00212D57" w:rsidRDefault="00157EF6" w:rsidP="002B682F">
      <w:pPr>
        <w:pStyle w:val="afa"/>
        <w:kinsoku w:val="0"/>
        <w:overflowPunct w:val="0"/>
        <w:autoSpaceDE w:val="0"/>
        <w:autoSpaceDN w:val="0"/>
        <w:snapToGrid w:val="0"/>
        <w:ind w:leftChars="335" w:left="804" w:firstLineChars="0" w:firstLine="0"/>
        <w:rPr>
          <w:sz w:val="22"/>
          <w:szCs w:val="22"/>
        </w:rPr>
      </w:pPr>
      <w:r w:rsidRPr="00212D57">
        <w:rPr>
          <w:rFonts w:ascii="標楷體" w:eastAsia="標楷體" w:hAnsi="標楷體"/>
          <w:sz w:val="22"/>
          <w:szCs w:val="22"/>
        </w:rPr>
        <w:t>如因果生滅的諸行，確有自性，煩惱是成實的，那「涅槃」的滅煩惱，「滅相續」的生死，不是「墮於斷滅」了嗎？相續諸行，是實有自性的因果法，修對治道得離繫，因果相續不起，這不是斷滅是什麼？</w:t>
      </w:r>
    </w:p>
  </w:footnote>
  <w:footnote w:id="435">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）《中論》卷</w:t>
      </w:r>
      <w:r w:rsidRPr="00761EF3">
        <w:rPr>
          <w:szCs w:val="22"/>
        </w:rPr>
        <w:t>3</w:t>
      </w:r>
      <w:r w:rsidRPr="00212D57">
        <w:rPr>
          <w:szCs w:val="22"/>
        </w:rPr>
        <w:t>〈</w:t>
      </w:r>
      <w:r w:rsidRPr="00761EF3">
        <w:rPr>
          <w:szCs w:val="22"/>
        </w:rPr>
        <w:t>15</w:t>
      </w:r>
      <w:r w:rsidRPr="00212D57">
        <w:rPr>
          <w:rFonts w:hint="eastAsia"/>
          <w:szCs w:val="22"/>
        </w:rPr>
        <w:t xml:space="preserve"> </w:t>
      </w:r>
      <w:r w:rsidRPr="00212D57">
        <w:rPr>
          <w:szCs w:val="22"/>
        </w:rPr>
        <w:t>觀有無品〉（大正</w:t>
      </w:r>
      <w:r w:rsidRPr="00761EF3">
        <w:rPr>
          <w:szCs w:val="22"/>
        </w:rPr>
        <w:t>30</w:t>
      </w:r>
      <w:r w:rsidRPr="00212D57">
        <w:rPr>
          <w:szCs w:val="22"/>
        </w:rPr>
        <w:t>，</w:t>
      </w:r>
      <w:r w:rsidRPr="00761EF3">
        <w:rPr>
          <w:szCs w:val="22"/>
        </w:rPr>
        <w:t>20b26</w:t>
      </w:r>
      <w:r w:rsidRPr="00212D57">
        <w:rPr>
          <w:szCs w:val="22"/>
        </w:rPr>
        <w:t>-</w:t>
      </w:r>
      <w:r w:rsidRPr="00761EF3">
        <w:rPr>
          <w:szCs w:val="22"/>
        </w:rPr>
        <w:t>27</w:t>
      </w:r>
      <w:r w:rsidRPr="00212D57">
        <w:rPr>
          <w:szCs w:val="22"/>
        </w:rPr>
        <w:t>）。</w:t>
      </w:r>
    </w:p>
    <w:p w:rsidR="00157EF6" w:rsidRPr="00212D57" w:rsidRDefault="00157EF6" w:rsidP="002B682F">
      <w:pPr>
        <w:pStyle w:val="a5"/>
        <w:ind w:leftChars="105" w:left="791" w:hangingChars="245" w:hanging="539"/>
        <w:jc w:val="both"/>
        <w:rPr>
          <w:szCs w:val="22"/>
        </w:rPr>
      </w:pPr>
      <w:r w:rsidRPr="00212D57">
        <w:rPr>
          <w:szCs w:val="22"/>
        </w:rPr>
        <w:t>（</w:t>
      </w:r>
      <w:r w:rsidRPr="00761EF3">
        <w:rPr>
          <w:szCs w:val="22"/>
        </w:rPr>
        <w:t>2</w:t>
      </w:r>
      <w:r w:rsidRPr="00212D57">
        <w:rPr>
          <w:szCs w:val="22"/>
        </w:rPr>
        <w:t>）印順法師，《中觀論頌講記》，</w:t>
      </w:r>
      <w:r w:rsidRPr="00761EF3">
        <w:rPr>
          <w:szCs w:val="22"/>
        </w:rPr>
        <w:t>p</w:t>
      </w:r>
      <w:r w:rsidRPr="00212D57">
        <w:rPr>
          <w:szCs w:val="22"/>
        </w:rPr>
        <w:t>.</w:t>
      </w:r>
      <w:r w:rsidRPr="00761EF3">
        <w:rPr>
          <w:szCs w:val="22"/>
        </w:rPr>
        <w:t>257</w:t>
      </w:r>
      <w:r w:rsidRPr="00212D57">
        <w:rPr>
          <w:szCs w:val="22"/>
        </w:rPr>
        <w:t>：</w:t>
      </w:r>
    </w:p>
    <w:p w:rsidR="00157EF6" w:rsidRPr="00212D57" w:rsidRDefault="00157EF6" w:rsidP="002B682F">
      <w:pPr>
        <w:pStyle w:val="afb"/>
        <w:kinsoku w:val="0"/>
        <w:overflowPunct w:val="0"/>
        <w:autoSpaceDE w:val="0"/>
        <w:autoSpaceDN w:val="0"/>
        <w:snapToGrid w:val="0"/>
        <w:ind w:leftChars="335" w:left="804" w:firstLineChars="0" w:firstLine="0"/>
        <w:rPr>
          <w:rFonts w:ascii="標楷體" w:eastAsia="標楷體" w:hAnsi="標楷體"/>
          <w:sz w:val="22"/>
          <w:szCs w:val="22"/>
        </w:rPr>
      </w:pPr>
      <w:r w:rsidRPr="005A1764">
        <w:rPr>
          <w:rFonts w:ascii="標楷體" w:eastAsia="標楷體" w:hAnsi="標楷體"/>
          <w:spacing w:val="-2"/>
          <w:sz w:val="22"/>
          <w:szCs w:val="22"/>
        </w:rPr>
        <w:t>假定諸「法有」決「定」的實自「性，非」是「無」有，那就必然「是常」</w:t>
      </w:r>
      <w:r w:rsidRPr="00212D57">
        <w:rPr>
          <w:rFonts w:ascii="標楷體" w:eastAsia="標楷體" w:hAnsi="標楷體"/>
          <w:sz w:val="22"/>
          <w:szCs w:val="22"/>
        </w:rPr>
        <w:t>住，落於常見，像說一切有系，儘管他說諸法是無常的，萬有是生滅的，但他主張三世實有，一切法本自成就，從未來至現在，由現在入過去，雖有三世的變異，法體在三世中，始終是如此的。所以在性空者看來，這還是常執。假定以為「先」前的諸法是實「有，而」現「今」才歸於滅「無」，那又犯了「斷滅」的過失！</w:t>
      </w:r>
    </w:p>
  </w:footnote>
  <w:footnote w:id="436">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）《中論》卷</w:t>
      </w:r>
      <w:r w:rsidRPr="00761EF3">
        <w:rPr>
          <w:szCs w:val="22"/>
        </w:rPr>
        <w:t>3</w:t>
      </w:r>
      <w:r w:rsidRPr="00212D57">
        <w:rPr>
          <w:szCs w:val="22"/>
        </w:rPr>
        <w:t>〈</w:t>
      </w:r>
      <w:r w:rsidRPr="00761EF3">
        <w:rPr>
          <w:szCs w:val="22"/>
        </w:rPr>
        <w:t>21</w:t>
      </w:r>
      <w:r w:rsidRPr="00212D57">
        <w:rPr>
          <w:rFonts w:hint="eastAsia"/>
          <w:szCs w:val="22"/>
        </w:rPr>
        <w:t xml:space="preserve"> </w:t>
      </w:r>
      <w:r w:rsidRPr="00212D57">
        <w:rPr>
          <w:szCs w:val="22"/>
        </w:rPr>
        <w:t>觀成壞品〉（大正</w:t>
      </w:r>
      <w:r w:rsidRPr="00761EF3">
        <w:rPr>
          <w:szCs w:val="22"/>
        </w:rPr>
        <w:t>30</w:t>
      </w:r>
      <w:r w:rsidRPr="00212D57">
        <w:rPr>
          <w:szCs w:val="22"/>
        </w:rPr>
        <w:t>，</w:t>
      </w:r>
      <w:r w:rsidRPr="00761EF3">
        <w:rPr>
          <w:szCs w:val="22"/>
        </w:rPr>
        <w:t>28c22</w:t>
      </w:r>
      <w:r w:rsidRPr="00212D57">
        <w:rPr>
          <w:szCs w:val="22"/>
        </w:rPr>
        <w:t>）。</w:t>
      </w:r>
    </w:p>
    <w:p w:rsidR="00157EF6" w:rsidRPr="00212D57" w:rsidRDefault="00157EF6" w:rsidP="002B682F">
      <w:pPr>
        <w:pStyle w:val="a5"/>
        <w:ind w:leftChars="105" w:left="791" w:hangingChars="245" w:hanging="539"/>
        <w:jc w:val="both"/>
        <w:rPr>
          <w:szCs w:val="22"/>
        </w:rPr>
      </w:pPr>
      <w:r w:rsidRPr="00212D57">
        <w:rPr>
          <w:szCs w:val="22"/>
        </w:rPr>
        <w:t>（</w:t>
      </w:r>
      <w:r w:rsidRPr="00761EF3">
        <w:rPr>
          <w:szCs w:val="22"/>
        </w:rPr>
        <w:t>2</w:t>
      </w:r>
      <w:r w:rsidRPr="00212D57">
        <w:rPr>
          <w:szCs w:val="22"/>
        </w:rPr>
        <w:t>）印順</w:t>
      </w:r>
      <w:r w:rsidRPr="00212D57">
        <w:rPr>
          <w:rStyle w:val="byline"/>
          <w:rFonts w:hAnsi="新細明體"/>
          <w:color w:val="auto"/>
          <w:sz w:val="22"/>
          <w:szCs w:val="22"/>
        </w:rPr>
        <w:t>法師</w:t>
      </w:r>
      <w:r w:rsidRPr="00212D57">
        <w:rPr>
          <w:szCs w:val="22"/>
        </w:rPr>
        <w:t>，《中觀論頌講記》，</w:t>
      </w:r>
      <w:r w:rsidRPr="00761EF3">
        <w:rPr>
          <w:szCs w:val="22"/>
        </w:rPr>
        <w:t>p</w:t>
      </w:r>
      <w:r w:rsidRPr="00212D57">
        <w:rPr>
          <w:szCs w:val="22"/>
        </w:rPr>
        <w:t>.</w:t>
      </w:r>
      <w:r w:rsidRPr="00761EF3">
        <w:rPr>
          <w:szCs w:val="22"/>
        </w:rPr>
        <w:t>384</w:t>
      </w:r>
      <w:r w:rsidRPr="00212D57">
        <w:rPr>
          <w:szCs w:val="22"/>
        </w:rPr>
        <w:t>：</w:t>
      </w:r>
    </w:p>
    <w:p w:rsidR="00157EF6" w:rsidRPr="00212D57" w:rsidRDefault="00157EF6" w:rsidP="002B682F">
      <w:pPr>
        <w:pStyle w:val="afb"/>
        <w:kinsoku w:val="0"/>
        <w:overflowPunct w:val="0"/>
        <w:autoSpaceDE w:val="0"/>
        <w:autoSpaceDN w:val="0"/>
        <w:snapToGrid w:val="0"/>
        <w:ind w:leftChars="335" w:left="804" w:firstLineChars="0" w:firstLine="0"/>
        <w:rPr>
          <w:rFonts w:ascii="標楷體" w:eastAsia="標楷體" w:hAnsi="標楷體"/>
          <w:sz w:val="22"/>
          <w:szCs w:val="22"/>
        </w:rPr>
      </w:pPr>
      <w:r w:rsidRPr="00212D57">
        <w:rPr>
          <w:rFonts w:ascii="標楷體" w:eastAsia="標楷體" w:hAnsi="標楷體"/>
          <w:sz w:val="22"/>
          <w:szCs w:val="22"/>
        </w:rPr>
        <w:t>如固執諸法的實生實滅，即有斷常的過失。有所受就是於認識上的法有所取；有所取，就是有所著。以為此法確是這樣，起決定見。起實有自性的見地，「有所受法」，那就不是「墮於斷」見，就墮於「常」見，落在這斷常的二邊中。</w:t>
      </w:r>
    </w:p>
  </w:footnote>
  <w:footnote w:id="437">
    <w:p w:rsidR="00F63F7D" w:rsidRPr="007D36FE" w:rsidRDefault="00F63F7D" w:rsidP="00F63F7D">
      <w:pPr>
        <w:pStyle w:val="a5"/>
        <w:spacing w:line="290" w:lineRule="exact"/>
        <w:ind w:left="253" w:hangingChars="115" w:hanging="253"/>
        <w:jc w:val="both"/>
        <w:rPr>
          <w:szCs w:val="22"/>
        </w:rPr>
      </w:pPr>
      <w:r w:rsidRPr="007D36FE">
        <w:rPr>
          <w:rStyle w:val="a6"/>
          <w:szCs w:val="22"/>
        </w:rPr>
        <w:footnoteRef/>
      </w:r>
      <w:r w:rsidRPr="007D36FE">
        <w:rPr>
          <w:szCs w:val="22"/>
        </w:rPr>
        <w:t xml:space="preserve"> </w:t>
      </w:r>
      <w:r w:rsidRPr="007D36FE">
        <w:rPr>
          <w:szCs w:val="22"/>
        </w:rPr>
        <w:t>參見</w:t>
      </w:r>
      <w:r>
        <w:rPr>
          <w:rFonts w:hint="eastAsia"/>
          <w:szCs w:val="22"/>
        </w:rPr>
        <w:t>：</w:t>
      </w:r>
      <w:r w:rsidRPr="007D36FE">
        <w:rPr>
          <w:szCs w:val="22"/>
        </w:rPr>
        <w:t>《中論》卷</w:t>
      </w:r>
      <w:r w:rsidRPr="007D36FE">
        <w:rPr>
          <w:szCs w:val="22"/>
        </w:rPr>
        <w:t>3</w:t>
      </w:r>
      <w:r w:rsidRPr="007D36FE">
        <w:rPr>
          <w:szCs w:val="22"/>
        </w:rPr>
        <w:t>〈</w:t>
      </w:r>
      <w:r w:rsidRPr="007D36FE">
        <w:rPr>
          <w:szCs w:val="22"/>
        </w:rPr>
        <w:t xml:space="preserve">15 </w:t>
      </w:r>
      <w:r w:rsidRPr="007D36FE">
        <w:rPr>
          <w:szCs w:val="22"/>
        </w:rPr>
        <w:t>觀有無品〉（大正</w:t>
      </w:r>
      <w:r w:rsidRPr="007D36FE">
        <w:rPr>
          <w:szCs w:val="22"/>
        </w:rPr>
        <w:t>30</w:t>
      </w:r>
      <w:r w:rsidRPr="007D36FE">
        <w:rPr>
          <w:szCs w:val="22"/>
        </w:rPr>
        <w:t>，</w:t>
      </w:r>
      <w:r w:rsidRPr="007D36FE">
        <w:rPr>
          <w:szCs w:val="22"/>
        </w:rPr>
        <w:t>19c20-20c4</w:t>
      </w:r>
      <w:r w:rsidRPr="007D36FE">
        <w:rPr>
          <w:szCs w:val="22"/>
        </w:rPr>
        <w:t>）</w:t>
      </w:r>
      <w:r>
        <w:rPr>
          <w:rFonts w:hint="eastAsia"/>
          <w:szCs w:val="22"/>
        </w:rPr>
        <w:t>，</w:t>
      </w:r>
      <w:r w:rsidRPr="007D36FE">
        <w:rPr>
          <w:szCs w:val="22"/>
        </w:rPr>
        <w:t>〈</w:t>
      </w:r>
      <w:r w:rsidRPr="007D36FE">
        <w:rPr>
          <w:szCs w:val="22"/>
        </w:rPr>
        <w:t xml:space="preserve">21 </w:t>
      </w:r>
      <w:r w:rsidRPr="007D36FE">
        <w:rPr>
          <w:szCs w:val="22"/>
        </w:rPr>
        <w:t>觀成壞品〉（大正</w:t>
      </w:r>
      <w:r w:rsidRPr="007D36FE">
        <w:rPr>
          <w:szCs w:val="22"/>
        </w:rPr>
        <w:t>30</w:t>
      </w:r>
      <w:r w:rsidRPr="007D36FE">
        <w:rPr>
          <w:szCs w:val="22"/>
        </w:rPr>
        <w:t>，</w:t>
      </w:r>
      <w:r w:rsidRPr="007D36FE">
        <w:rPr>
          <w:szCs w:val="22"/>
        </w:rPr>
        <w:t>27c12-29b22</w:t>
      </w:r>
      <w:r w:rsidRPr="007D36FE">
        <w:rPr>
          <w:szCs w:val="22"/>
        </w:rPr>
        <w:t>）。</w:t>
      </w:r>
    </w:p>
  </w:footnote>
  <w:footnote w:id="438">
    <w:p w:rsidR="00157EF6" w:rsidRPr="007D36FE" w:rsidRDefault="00157EF6" w:rsidP="007A4432">
      <w:pPr>
        <w:pStyle w:val="a5"/>
        <w:spacing w:line="290" w:lineRule="exact"/>
        <w:ind w:left="253" w:hangingChars="115" w:hanging="253"/>
        <w:jc w:val="both"/>
        <w:rPr>
          <w:szCs w:val="22"/>
        </w:rPr>
      </w:pPr>
      <w:r w:rsidRPr="007D36FE">
        <w:rPr>
          <w:rStyle w:val="a6"/>
          <w:szCs w:val="22"/>
        </w:rPr>
        <w:footnoteRef/>
      </w:r>
      <w:r w:rsidRPr="007D36FE">
        <w:rPr>
          <w:szCs w:val="22"/>
        </w:rPr>
        <w:t xml:space="preserve"> </w:t>
      </w:r>
      <w:r w:rsidRPr="007D36FE">
        <w:rPr>
          <w:szCs w:val="22"/>
        </w:rPr>
        <w:t>宗喀巴著，法尊譯，《菩提道次第廣論》</w:t>
      </w:r>
      <w:r>
        <w:rPr>
          <w:szCs w:val="22"/>
        </w:rPr>
        <w:t>，</w:t>
      </w:r>
      <w:r w:rsidR="00AD14BF">
        <w:rPr>
          <w:szCs w:val="22"/>
        </w:rPr>
        <w:t>台北，福智之聲</w:t>
      </w:r>
      <w:r w:rsidRPr="007D36FE">
        <w:rPr>
          <w:szCs w:val="22"/>
        </w:rPr>
        <w:t>出版社，</w:t>
      </w:r>
      <w:r w:rsidRPr="007D36FE">
        <w:rPr>
          <w:szCs w:val="22"/>
        </w:rPr>
        <w:t>p.414</w:t>
      </w:r>
      <w:r w:rsidRPr="007D36FE">
        <w:rPr>
          <w:szCs w:val="22"/>
        </w:rPr>
        <w:t>：「</w:t>
      </w:r>
      <w:r w:rsidRPr="007D36FE">
        <w:rPr>
          <w:rFonts w:eastAsia="標楷體"/>
          <w:szCs w:val="22"/>
        </w:rPr>
        <w:t>《六十正理論》云：諸不許緣起，著我或世間，彼遭常無常，惡見等所劫。若有許緣起，諸法有自性，常等過於彼，如何能不生</w:t>
      </w:r>
      <w:r w:rsidR="004A47A5">
        <w:rPr>
          <w:rFonts w:eastAsia="標楷體" w:hint="eastAsia"/>
          <w:szCs w:val="22"/>
        </w:rPr>
        <w:t>？</w:t>
      </w:r>
      <w:r w:rsidRPr="007D36FE">
        <w:rPr>
          <w:rFonts w:eastAsia="標楷體"/>
          <w:szCs w:val="22"/>
        </w:rPr>
        <w:t>若有許緣起，諸法如水月，非真非顛倒，彼非見能奪。</w:t>
      </w:r>
      <w:r w:rsidRPr="007D36FE">
        <w:rPr>
          <w:szCs w:val="22"/>
        </w:rPr>
        <w:t>」</w:t>
      </w:r>
    </w:p>
  </w:footnote>
  <w:footnote w:id="439">
    <w:p w:rsidR="00157EF6" w:rsidRPr="00212D57" w:rsidRDefault="00157EF6" w:rsidP="007A4432">
      <w:pPr>
        <w:pStyle w:val="a5"/>
        <w:spacing w:line="290" w:lineRule="exact"/>
        <w:ind w:left="792" w:hangingChars="360" w:hanging="792"/>
        <w:jc w:val="both"/>
        <w:rPr>
          <w:szCs w:val="22"/>
        </w:rPr>
      </w:pPr>
      <w:r w:rsidRPr="007D36FE">
        <w:rPr>
          <w:rStyle w:val="a6"/>
          <w:szCs w:val="22"/>
        </w:rPr>
        <w:footnoteRef/>
      </w:r>
      <w:r w:rsidRPr="007D36FE">
        <w:rPr>
          <w:szCs w:val="22"/>
        </w:rPr>
        <w:t xml:space="preserve"> </w:t>
      </w:r>
      <w:r w:rsidRPr="00212D57">
        <w:rPr>
          <w:szCs w:val="22"/>
        </w:rPr>
        <w:t>（</w:t>
      </w:r>
      <w:r w:rsidRPr="00761EF3">
        <w:rPr>
          <w:szCs w:val="22"/>
        </w:rPr>
        <w:t>1</w:t>
      </w:r>
      <w:r w:rsidRPr="00212D57">
        <w:rPr>
          <w:szCs w:val="22"/>
        </w:rPr>
        <w:t>）《中論》卷</w:t>
      </w:r>
      <w:r w:rsidRPr="00761EF3">
        <w:rPr>
          <w:szCs w:val="22"/>
        </w:rPr>
        <w:t>4</w:t>
      </w:r>
      <w:r w:rsidRPr="00212D57">
        <w:rPr>
          <w:szCs w:val="22"/>
        </w:rPr>
        <w:t>〈</w:t>
      </w:r>
      <w:r w:rsidRPr="00761EF3">
        <w:rPr>
          <w:rFonts w:hint="eastAsia"/>
          <w:szCs w:val="22"/>
        </w:rPr>
        <w:t>25</w:t>
      </w:r>
      <w:r w:rsidRPr="00212D57">
        <w:rPr>
          <w:rFonts w:hint="eastAsia"/>
          <w:szCs w:val="22"/>
        </w:rPr>
        <w:t xml:space="preserve"> </w:t>
      </w:r>
      <w:r w:rsidRPr="00212D57">
        <w:rPr>
          <w:szCs w:val="22"/>
        </w:rPr>
        <w:t>觀涅槃品〉</w:t>
      </w:r>
      <w:r w:rsidRPr="00212D57">
        <w:rPr>
          <w:spacing w:val="-4"/>
          <w:szCs w:val="22"/>
        </w:rPr>
        <w:t>（大正</w:t>
      </w:r>
      <w:r w:rsidRPr="00761EF3">
        <w:rPr>
          <w:spacing w:val="-4"/>
          <w:szCs w:val="22"/>
        </w:rPr>
        <w:t>30</w:t>
      </w:r>
      <w:r w:rsidRPr="00212D57">
        <w:rPr>
          <w:spacing w:val="-4"/>
          <w:szCs w:val="22"/>
        </w:rPr>
        <w:t>，</w:t>
      </w:r>
      <w:r w:rsidRPr="00761EF3">
        <w:rPr>
          <w:spacing w:val="-4"/>
          <w:szCs w:val="22"/>
        </w:rPr>
        <w:t>34c26</w:t>
      </w:r>
      <w:r w:rsidRPr="00212D57">
        <w:rPr>
          <w:spacing w:val="-4"/>
          <w:szCs w:val="22"/>
        </w:rPr>
        <w:t>-</w:t>
      </w:r>
      <w:r w:rsidRPr="00761EF3">
        <w:rPr>
          <w:spacing w:val="-4"/>
          <w:szCs w:val="22"/>
        </w:rPr>
        <w:t>27</w:t>
      </w:r>
      <w:r w:rsidRPr="00212D57">
        <w:rPr>
          <w:spacing w:val="-4"/>
          <w:szCs w:val="22"/>
        </w:rPr>
        <w:t>）</w:t>
      </w:r>
      <w:r w:rsidRPr="00212D57">
        <w:rPr>
          <w:szCs w:val="22"/>
        </w:rPr>
        <w:t>：</w:t>
      </w:r>
    </w:p>
    <w:p w:rsidR="00157EF6" w:rsidRPr="00212D57" w:rsidRDefault="00157EF6" w:rsidP="007A4432">
      <w:pPr>
        <w:pStyle w:val="af8"/>
        <w:tabs>
          <w:tab w:val="left" w:pos="720"/>
          <w:tab w:val="left" w:pos="810"/>
        </w:tabs>
        <w:kinsoku w:val="0"/>
        <w:overflowPunct w:val="0"/>
        <w:autoSpaceDE w:val="0"/>
        <w:autoSpaceDN w:val="0"/>
        <w:snapToGrid w:val="0"/>
        <w:spacing w:line="290" w:lineRule="exact"/>
        <w:ind w:leftChars="335" w:left="804" w:firstLineChars="0" w:firstLine="0"/>
        <w:rPr>
          <w:spacing w:val="-4"/>
          <w:kern w:val="2"/>
          <w:sz w:val="22"/>
          <w:szCs w:val="22"/>
        </w:rPr>
      </w:pPr>
      <w:r w:rsidRPr="00212D57">
        <w:rPr>
          <w:rFonts w:ascii="標楷體" w:eastAsia="標楷體" w:hAnsi="標楷體"/>
          <w:spacing w:val="-4"/>
          <w:kern w:val="2"/>
          <w:sz w:val="22"/>
          <w:szCs w:val="22"/>
        </w:rPr>
        <w:t>無得亦無至，</w:t>
      </w:r>
      <w:r w:rsidRPr="00212D57">
        <w:rPr>
          <w:rFonts w:ascii="標楷體" w:eastAsia="標楷體" w:hAnsi="標楷體"/>
          <w:b/>
          <w:spacing w:val="-4"/>
          <w:kern w:val="2"/>
          <w:sz w:val="22"/>
          <w:szCs w:val="22"/>
        </w:rPr>
        <w:t>不斷亦不常</w:t>
      </w:r>
      <w:r w:rsidRPr="00212D57">
        <w:rPr>
          <w:rFonts w:ascii="標楷體" w:eastAsia="標楷體" w:hAnsi="標楷體"/>
          <w:spacing w:val="-4"/>
          <w:kern w:val="2"/>
          <w:sz w:val="22"/>
          <w:szCs w:val="22"/>
        </w:rPr>
        <w:t>，不生亦不滅，</w:t>
      </w:r>
      <w:r w:rsidRPr="00212D57">
        <w:rPr>
          <w:rFonts w:ascii="標楷體" w:eastAsia="標楷體" w:hAnsi="標楷體"/>
          <w:b/>
          <w:spacing w:val="-4"/>
          <w:kern w:val="2"/>
          <w:sz w:val="22"/>
          <w:szCs w:val="22"/>
        </w:rPr>
        <w:t>是說名</w:t>
      </w:r>
      <w:r w:rsidR="00E54038">
        <w:rPr>
          <w:rFonts w:ascii="標楷體" w:eastAsia="標楷體" w:hAnsi="標楷體" w:hint="eastAsia"/>
          <w:bCs/>
          <w:color w:val="FF0000"/>
          <w:sz w:val="22"/>
          <w:highlight w:val="yellow"/>
        </w:rPr>
        <w:t>「</w:t>
      </w:r>
      <w:r w:rsidRPr="00212D57">
        <w:rPr>
          <w:rFonts w:ascii="標楷體" w:eastAsia="標楷體" w:hAnsi="標楷體"/>
          <w:b/>
          <w:spacing w:val="-4"/>
          <w:kern w:val="2"/>
          <w:sz w:val="22"/>
          <w:szCs w:val="22"/>
        </w:rPr>
        <w:t>涅槃</w:t>
      </w:r>
      <w:r w:rsidR="00E54038">
        <w:rPr>
          <w:rFonts w:ascii="標楷體" w:eastAsia="標楷體" w:hAnsi="標楷體" w:hint="eastAsia"/>
          <w:bCs/>
          <w:color w:val="FF0000"/>
          <w:sz w:val="22"/>
          <w:highlight w:val="yellow"/>
        </w:rPr>
        <w:t>」</w:t>
      </w:r>
      <w:r w:rsidRPr="00212D57">
        <w:rPr>
          <w:rFonts w:ascii="標楷體" w:eastAsia="標楷體" w:hAnsi="標楷體"/>
          <w:spacing w:val="-4"/>
          <w:kern w:val="2"/>
          <w:sz w:val="22"/>
          <w:szCs w:val="22"/>
        </w:rPr>
        <w:t>。</w:t>
      </w:r>
    </w:p>
    <w:p w:rsidR="00157EF6" w:rsidRPr="00212D57" w:rsidRDefault="00157EF6" w:rsidP="007A4432">
      <w:pPr>
        <w:pStyle w:val="a5"/>
        <w:spacing w:line="290" w:lineRule="exact"/>
        <w:ind w:leftChars="105" w:left="791" w:hangingChars="245" w:hanging="539"/>
        <w:jc w:val="both"/>
        <w:rPr>
          <w:szCs w:val="22"/>
        </w:rPr>
      </w:pPr>
      <w:r w:rsidRPr="00212D57">
        <w:rPr>
          <w:szCs w:val="22"/>
        </w:rPr>
        <w:t>（</w:t>
      </w:r>
      <w:r w:rsidRPr="00761EF3">
        <w:rPr>
          <w:szCs w:val="22"/>
        </w:rPr>
        <w:t>2</w:t>
      </w:r>
      <w:r w:rsidRPr="00212D57">
        <w:rPr>
          <w:szCs w:val="22"/>
        </w:rPr>
        <w:t>）印順</w:t>
      </w:r>
      <w:r w:rsidRPr="00212D57">
        <w:rPr>
          <w:rStyle w:val="byline"/>
          <w:rFonts w:hAnsi="新細明體"/>
          <w:color w:val="auto"/>
          <w:sz w:val="22"/>
          <w:szCs w:val="22"/>
        </w:rPr>
        <w:t>法師</w:t>
      </w:r>
      <w:r w:rsidRPr="00212D57">
        <w:rPr>
          <w:rFonts w:hint="eastAsia"/>
          <w:szCs w:val="22"/>
        </w:rPr>
        <w:t>，</w:t>
      </w:r>
      <w:r w:rsidRPr="00212D57">
        <w:rPr>
          <w:szCs w:val="22"/>
        </w:rPr>
        <w:t>《中觀論頌講記》</w:t>
      </w:r>
      <w:r w:rsidRPr="00212D57">
        <w:rPr>
          <w:rFonts w:hint="eastAsia"/>
          <w:szCs w:val="22"/>
        </w:rPr>
        <w:t>，</w:t>
      </w:r>
      <w:r w:rsidRPr="00761EF3">
        <w:rPr>
          <w:szCs w:val="22"/>
        </w:rPr>
        <w:t>p</w:t>
      </w:r>
      <w:r w:rsidRPr="00212D57">
        <w:rPr>
          <w:szCs w:val="22"/>
        </w:rPr>
        <w:t>.</w:t>
      </w:r>
      <w:r w:rsidRPr="00761EF3">
        <w:rPr>
          <w:szCs w:val="22"/>
        </w:rPr>
        <w:t>489</w:t>
      </w:r>
      <w:r w:rsidRPr="00212D57">
        <w:rPr>
          <w:szCs w:val="22"/>
        </w:rPr>
        <w:t>：</w:t>
      </w:r>
    </w:p>
    <w:p w:rsidR="00157EF6" w:rsidRPr="007A4432" w:rsidRDefault="00157EF6" w:rsidP="007A4432">
      <w:pPr>
        <w:pStyle w:val="af8"/>
        <w:kinsoku w:val="0"/>
        <w:overflowPunct w:val="0"/>
        <w:autoSpaceDE w:val="0"/>
        <w:autoSpaceDN w:val="0"/>
        <w:snapToGrid w:val="0"/>
        <w:spacing w:line="290" w:lineRule="exact"/>
        <w:ind w:leftChars="335" w:left="804" w:firstLineChars="0" w:firstLine="0"/>
        <w:rPr>
          <w:rFonts w:ascii="標楷體" w:eastAsia="標楷體" w:hAnsi="標楷體"/>
          <w:sz w:val="22"/>
          <w:szCs w:val="22"/>
        </w:rPr>
      </w:pPr>
      <w:r w:rsidRPr="007A4432">
        <w:rPr>
          <w:rFonts w:ascii="標楷體" w:eastAsia="標楷體" w:hAnsi="標楷體"/>
          <w:sz w:val="22"/>
          <w:szCs w:val="22"/>
        </w:rPr>
        <w:t>一切有為有漏法，無不是性空，無不是緣起的寂滅，本來如此，沒有一法可以斷的。如果說有法可斷，這就是斷見，斷見者怎麼能得涅槃？所以說「不斷」。</w:t>
      </w:r>
      <w:r w:rsidRPr="007A4432">
        <w:rPr>
          <w:rFonts w:ascii="標楷體" w:eastAsia="標楷體" w:hAnsi="標楷體"/>
          <w:b/>
          <w:sz w:val="22"/>
          <w:szCs w:val="22"/>
        </w:rPr>
        <w:t>涅槃也有稱之為常的。然這是指現覺空性的超越時間性而假說的。</w:t>
      </w:r>
      <w:r w:rsidRPr="007A4432">
        <w:rPr>
          <w:rFonts w:ascii="標楷體" w:eastAsia="標楷體" w:hAnsi="標楷體"/>
          <w:sz w:val="22"/>
          <w:szCs w:val="22"/>
        </w:rPr>
        <w:t>一般人以為由過去而現在，由現在而未來，三世時劫的遷流是無常；以為過去如此，現在如此，一直如此是常住。這樣的常住，只是緣起相對性的安定相，那裡可以想像為實有的常在。在現覺空寂中，超越時間性，沒有這種對無常的常，所以說「不常」。</w:t>
      </w:r>
    </w:p>
  </w:footnote>
  <w:footnote w:id="440">
    <w:p w:rsidR="00157EF6" w:rsidRPr="00212D57" w:rsidRDefault="00157EF6" w:rsidP="007A4432">
      <w:pPr>
        <w:pStyle w:val="a5"/>
        <w:spacing w:line="290" w:lineRule="exact"/>
        <w:ind w:left="253" w:hangingChars="115" w:hanging="253"/>
        <w:jc w:val="both"/>
        <w:rPr>
          <w:szCs w:val="22"/>
        </w:rPr>
      </w:pPr>
      <w:r w:rsidRPr="00212D57">
        <w:rPr>
          <w:rStyle w:val="a6"/>
          <w:szCs w:val="22"/>
        </w:rPr>
        <w:footnoteRef/>
      </w:r>
      <w:r w:rsidRPr="00212D57">
        <w:rPr>
          <w:szCs w:val="22"/>
        </w:rPr>
        <w:t xml:space="preserve"> </w:t>
      </w:r>
      <w:r w:rsidRPr="00212D57">
        <w:rPr>
          <w:szCs w:val="22"/>
        </w:rPr>
        <w:t>六十二見，參見《長阿含經》卷</w:t>
      </w:r>
      <w:r w:rsidRPr="00761EF3">
        <w:rPr>
          <w:szCs w:val="22"/>
        </w:rPr>
        <w:t>14</w:t>
      </w:r>
      <w:r w:rsidRPr="00212D57">
        <w:rPr>
          <w:szCs w:val="22"/>
        </w:rPr>
        <w:t>（</w:t>
      </w:r>
      <w:r w:rsidRPr="00761EF3">
        <w:rPr>
          <w:szCs w:val="22"/>
        </w:rPr>
        <w:t>21</w:t>
      </w:r>
      <w:r w:rsidRPr="00212D57">
        <w:rPr>
          <w:szCs w:val="22"/>
        </w:rPr>
        <w:t>經）</w:t>
      </w:r>
      <w:r w:rsidRPr="00212D57">
        <w:rPr>
          <w:rFonts w:hint="eastAsia"/>
          <w:szCs w:val="22"/>
        </w:rPr>
        <w:t>《</w:t>
      </w:r>
      <w:r w:rsidRPr="00212D57">
        <w:rPr>
          <w:szCs w:val="22"/>
        </w:rPr>
        <w:t>梵動經</w:t>
      </w:r>
      <w:r w:rsidRPr="00212D57">
        <w:rPr>
          <w:rFonts w:hint="eastAsia"/>
          <w:szCs w:val="22"/>
        </w:rPr>
        <w:t>》</w:t>
      </w:r>
      <w:r w:rsidRPr="00212D57">
        <w:rPr>
          <w:szCs w:val="22"/>
        </w:rPr>
        <w:t>（大正</w:t>
      </w:r>
      <w:r w:rsidRPr="00761EF3">
        <w:rPr>
          <w:szCs w:val="22"/>
        </w:rPr>
        <w:t>1</w:t>
      </w:r>
      <w:r w:rsidRPr="00212D57">
        <w:rPr>
          <w:szCs w:val="22"/>
        </w:rPr>
        <w:t>，</w:t>
      </w:r>
      <w:r w:rsidRPr="00761EF3">
        <w:rPr>
          <w:szCs w:val="22"/>
        </w:rPr>
        <w:t>88b12</w:t>
      </w:r>
      <w:r w:rsidRPr="00212D57">
        <w:rPr>
          <w:szCs w:val="22"/>
        </w:rPr>
        <w:t>-</w:t>
      </w:r>
      <w:r w:rsidRPr="00761EF3">
        <w:rPr>
          <w:szCs w:val="22"/>
        </w:rPr>
        <w:t>94a13</w:t>
      </w:r>
      <w:r w:rsidRPr="00212D57">
        <w:rPr>
          <w:szCs w:val="22"/>
        </w:rPr>
        <w:t>）。</w:t>
      </w:r>
    </w:p>
  </w:footnote>
  <w:footnote w:id="441">
    <w:p w:rsidR="00157EF6" w:rsidRPr="00212D57" w:rsidRDefault="00157EF6" w:rsidP="007A4432">
      <w:pPr>
        <w:pStyle w:val="a5"/>
        <w:spacing w:line="290" w:lineRule="exact"/>
        <w:ind w:left="253" w:hangingChars="115" w:hanging="253"/>
        <w:jc w:val="both"/>
        <w:rPr>
          <w:bCs/>
          <w:szCs w:val="22"/>
        </w:rPr>
      </w:pPr>
      <w:r w:rsidRPr="00212D57">
        <w:rPr>
          <w:rStyle w:val="a6"/>
          <w:szCs w:val="22"/>
        </w:rPr>
        <w:footnoteRef/>
      </w:r>
      <w:r w:rsidRPr="00212D57">
        <w:rPr>
          <w:szCs w:val="22"/>
        </w:rPr>
        <w:t xml:space="preserve"> </w:t>
      </w:r>
      <w:r w:rsidRPr="00212D57">
        <w:rPr>
          <w:szCs w:val="22"/>
        </w:rPr>
        <w:t>印順法師，《中觀論頌講記》，</w:t>
      </w:r>
      <w:r w:rsidRPr="00761EF3">
        <w:rPr>
          <w:szCs w:val="22"/>
        </w:rPr>
        <w:t>p</w:t>
      </w:r>
      <w:r w:rsidRPr="00212D57">
        <w:rPr>
          <w:szCs w:val="22"/>
        </w:rPr>
        <w:t>.</w:t>
      </w:r>
      <w:r w:rsidRPr="00761EF3">
        <w:rPr>
          <w:bCs/>
          <w:szCs w:val="22"/>
        </w:rPr>
        <w:t>51</w:t>
      </w:r>
      <w:r w:rsidRPr="00212D57">
        <w:rPr>
          <w:bCs/>
          <w:szCs w:val="22"/>
        </w:rPr>
        <w:t>：</w:t>
      </w:r>
    </w:p>
    <w:p w:rsidR="00157EF6" w:rsidRPr="00212D57" w:rsidRDefault="00157EF6" w:rsidP="007A4432">
      <w:pPr>
        <w:kinsoku w:val="0"/>
        <w:overflowPunct w:val="0"/>
        <w:autoSpaceDE w:val="0"/>
        <w:autoSpaceDN w:val="0"/>
        <w:snapToGrid w:val="0"/>
        <w:spacing w:line="290" w:lineRule="exact"/>
        <w:ind w:leftChars="105" w:left="252"/>
        <w:jc w:val="both"/>
        <w:rPr>
          <w:rFonts w:ascii="標楷體" w:eastAsia="標楷體" w:hAnsi="標楷體"/>
          <w:sz w:val="22"/>
          <w:szCs w:val="22"/>
        </w:rPr>
      </w:pPr>
      <w:r w:rsidRPr="00212D57">
        <w:rPr>
          <w:rFonts w:ascii="標楷體" w:eastAsia="標楷體" w:hAnsi="標楷體"/>
          <w:sz w:val="22"/>
          <w:szCs w:val="22"/>
        </w:rPr>
        <w:t>一與異，別譯作一與種種，這可以概括「</w:t>
      </w:r>
      <w:r w:rsidRPr="00212D57">
        <w:rPr>
          <w:rFonts w:ascii="標楷體" w:eastAsia="標楷體" w:hAnsi="標楷體"/>
          <w:b/>
          <w:sz w:val="22"/>
          <w:szCs w:val="22"/>
        </w:rPr>
        <w:t>總合與部分</w:t>
      </w:r>
      <w:r w:rsidRPr="00212D57">
        <w:rPr>
          <w:rFonts w:ascii="標楷體" w:eastAsia="標楷體" w:hAnsi="標楷體"/>
          <w:sz w:val="22"/>
          <w:szCs w:val="22"/>
        </w:rPr>
        <w:t>」，「統一與對立」，「</w:t>
      </w:r>
      <w:r w:rsidRPr="00212D57">
        <w:rPr>
          <w:rFonts w:ascii="標楷體" w:eastAsia="標楷體" w:hAnsi="標楷體"/>
          <w:b/>
          <w:sz w:val="22"/>
          <w:szCs w:val="22"/>
        </w:rPr>
        <w:t>同一與差別</w:t>
      </w:r>
      <w:r w:rsidRPr="00212D57">
        <w:rPr>
          <w:rFonts w:ascii="標楷體" w:eastAsia="標楷體" w:hAnsi="標楷體"/>
          <w:sz w:val="22"/>
          <w:szCs w:val="22"/>
        </w:rPr>
        <w:t>」，「和合與矛盾」，</w:t>
      </w:r>
      <w:r w:rsidRPr="00212D57">
        <w:rPr>
          <w:rFonts w:ascii="標楷體" w:eastAsia="標楷體" w:hAnsi="標楷體"/>
          <w:b/>
          <w:sz w:val="22"/>
          <w:szCs w:val="22"/>
        </w:rPr>
        <w:t>「單一與雜多</w:t>
      </w:r>
      <w:r w:rsidRPr="00212D57">
        <w:rPr>
          <w:rFonts w:ascii="標楷體" w:eastAsia="標楷體" w:hAnsi="標楷體"/>
          <w:sz w:val="22"/>
          <w:szCs w:val="22"/>
        </w:rPr>
        <w:t>」等。</w:t>
      </w:r>
    </w:p>
  </w:footnote>
  <w:footnote w:id="442">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szCs w:val="22"/>
        </w:rPr>
        <w:t>〔姚秦〕鳩摩羅什譯，《金剛般若波羅蜜經》（大正</w:t>
      </w:r>
      <w:r w:rsidRPr="00761EF3">
        <w:rPr>
          <w:szCs w:val="22"/>
        </w:rPr>
        <w:t>8</w:t>
      </w:r>
      <w:r w:rsidRPr="00212D57">
        <w:rPr>
          <w:szCs w:val="22"/>
        </w:rPr>
        <w:t>，</w:t>
      </w:r>
      <w:r w:rsidRPr="00761EF3">
        <w:rPr>
          <w:szCs w:val="22"/>
        </w:rPr>
        <w:t>752b10</w:t>
      </w:r>
      <w:r w:rsidRPr="00212D57">
        <w:rPr>
          <w:szCs w:val="22"/>
        </w:rPr>
        <w:t>-</w:t>
      </w:r>
      <w:r w:rsidRPr="00761EF3">
        <w:rPr>
          <w:szCs w:val="22"/>
        </w:rPr>
        <w:t>14</w:t>
      </w:r>
      <w:r w:rsidRPr="00212D57">
        <w:rPr>
          <w:szCs w:val="22"/>
        </w:rPr>
        <w:t>）：</w:t>
      </w:r>
    </w:p>
    <w:p w:rsidR="00157EF6" w:rsidRPr="00212D57" w:rsidRDefault="00157EF6" w:rsidP="002B682F">
      <w:pPr>
        <w:snapToGrid w:val="0"/>
        <w:ind w:leftChars="105" w:left="252"/>
        <w:jc w:val="both"/>
        <w:rPr>
          <w:rFonts w:ascii="標楷體" w:eastAsia="標楷體" w:hAnsi="標楷體"/>
          <w:sz w:val="22"/>
          <w:szCs w:val="22"/>
        </w:rPr>
      </w:pPr>
      <w:r w:rsidRPr="00212D57">
        <w:rPr>
          <w:rFonts w:ascii="標楷體" w:eastAsia="標楷體" w:hAnsi="標楷體" w:hint="eastAsia"/>
          <w:sz w:val="22"/>
          <w:szCs w:val="22"/>
        </w:rPr>
        <w:t>「</w:t>
      </w:r>
      <w:r w:rsidRPr="00212D57">
        <w:rPr>
          <w:rFonts w:ascii="標楷體" w:eastAsia="標楷體" w:hAnsi="標楷體"/>
          <w:sz w:val="22"/>
          <w:szCs w:val="22"/>
        </w:rPr>
        <w:t>世尊！如來所說三千大千世界，即非世界，是名世界。何以故？若世界實有者，則是一合相。如來說一合相，則非一合相，是名一合相。」</w:t>
      </w:r>
    </w:p>
    <w:p w:rsidR="00157EF6" w:rsidRPr="00212D57" w:rsidRDefault="00157EF6" w:rsidP="002B682F">
      <w:pPr>
        <w:snapToGrid w:val="0"/>
        <w:ind w:leftChars="105" w:left="252"/>
        <w:jc w:val="both"/>
        <w:rPr>
          <w:rFonts w:ascii="標楷體" w:eastAsia="標楷體" w:hAnsi="標楷體"/>
          <w:sz w:val="22"/>
          <w:szCs w:val="22"/>
        </w:rPr>
      </w:pPr>
      <w:r w:rsidRPr="00212D57">
        <w:rPr>
          <w:rFonts w:ascii="標楷體" w:eastAsia="標楷體" w:hAnsi="標楷體"/>
          <w:sz w:val="22"/>
          <w:szCs w:val="22"/>
        </w:rPr>
        <w:t>「須菩提！一合相者，則是不可說，但凡夫之人貪著其事。</w:t>
      </w:r>
      <w:r w:rsidRPr="00212D57">
        <w:rPr>
          <w:rFonts w:ascii="標楷體" w:eastAsia="標楷體" w:hAnsi="標楷體" w:hint="eastAsia"/>
          <w:sz w:val="22"/>
          <w:szCs w:val="22"/>
        </w:rPr>
        <w:t>」</w:t>
      </w:r>
    </w:p>
  </w:footnote>
  <w:footnote w:id="443">
    <w:p w:rsidR="00A477BF" w:rsidRPr="00212D57" w:rsidRDefault="00A477BF" w:rsidP="00A477BF">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szCs w:val="22"/>
        </w:rPr>
        <w:t>無內：</w:t>
      </w:r>
      <w:r w:rsidRPr="00212D57">
        <w:rPr>
          <w:rFonts w:ascii="標楷體" w:hAnsi="標楷體"/>
          <w:szCs w:val="22"/>
        </w:rPr>
        <w:t>猶言無窮小。與</w:t>
      </w:r>
      <w:r w:rsidRPr="00212D57">
        <w:rPr>
          <w:rFonts w:ascii="標楷體" w:hAnsi="標楷體"/>
          <w:szCs w:val="22"/>
        </w:rPr>
        <w:t>“</w:t>
      </w:r>
      <w:r w:rsidRPr="00212D57">
        <w:rPr>
          <w:rFonts w:ascii="標楷體" w:hAnsi="標楷體"/>
          <w:szCs w:val="22"/>
        </w:rPr>
        <w:t>無外</w:t>
      </w:r>
      <w:r w:rsidRPr="00212D57">
        <w:rPr>
          <w:rFonts w:ascii="標楷體" w:hAnsi="標楷體"/>
          <w:szCs w:val="22"/>
        </w:rPr>
        <w:t>”</w:t>
      </w:r>
      <w:r w:rsidRPr="00212D57">
        <w:rPr>
          <w:rFonts w:ascii="標楷體" w:hAnsi="標楷體"/>
          <w:szCs w:val="22"/>
        </w:rPr>
        <w:t>相對</w:t>
      </w:r>
      <w:r w:rsidRPr="00212D57">
        <w:rPr>
          <w:szCs w:val="22"/>
        </w:rPr>
        <w:t>。（《漢語大詞典》（七），</w:t>
      </w:r>
      <w:r w:rsidRPr="00761EF3">
        <w:rPr>
          <w:szCs w:val="22"/>
        </w:rPr>
        <w:t>p</w:t>
      </w:r>
      <w:r w:rsidRPr="00212D57">
        <w:rPr>
          <w:szCs w:val="22"/>
        </w:rPr>
        <w:t>.</w:t>
      </w:r>
      <w:r w:rsidRPr="00761EF3">
        <w:rPr>
          <w:szCs w:val="22"/>
        </w:rPr>
        <w:t>108</w:t>
      </w:r>
      <w:r w:rsidRPr="00212D57">
        <w:rPr>
          <w:szCs w:val="22"/>
        </w:rPr>
        <w:t>）</w:t>
      </w:r>
    </w:p>
  </w:footnote>
  <w:footnote w:id="444">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szCs w:val="22"/>
        </w:rPr>
        <w:t>屋宇：</w:t>
      </w:r>
      <w:r w:rsidRPr="00212D57">
        <w:rPr>
          <w:rFonts w:ascii="標楷體" w:hAnsi="標楷體"/>
          <w:szCs w:val="22"/>
        </w:rPr>
        <w:t>房屋</w:t>
      </w:r>
      <w:r w:rsidRPr="00212D57">
        <w:rPr>
          <w:szCs w:val="22"/>
        </w:rPr>
        <w:t>（《漢語大詞典》（四），</w:t>
      </w:r>
      <w:r w:rsidRPr="00761EF3">
        <w:rPr>
          <w:szCs w:val="22"/>
        </w:rPr>
        <w:t>p</w:t>
      </w:r>
      <w:r w:rsidRPr="00212D57">
        <w:rPr>
          <w:szCs w:val="22"/>
        </w:rPr>
        <w:t>.</w:t>
      </w:r>
      <w:r w:rsidRPr="00761EF3">
        <w:rPr>
          <w:szCs w:val="22"/>
        </w:rPr>
        <w:t>35</w:t>
      </w:r>
      <w:r w:rsidRPr="00212D57">
        <w:rPr>
          <w:szCs w:val="22"/>
        </w:rPr>
        <w:t>）</w:t>
      </w:r>
    </w:p>
  </w:footnote>
  <w:footnote w:id="445">
    <w:p w:rsidR="00A477BF" w:rsidRPr="00212D57" w:rsidRDefault="00A477BF" w:rsidP="00A477BF">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szCs w:val="22"/>
        </w:rPr>
        <w:t>無外：</w:t>
      </w:r>
      <w:r w:rsidRPr="00761EF3">
        <w:rPr>
          <w:szCs w:val="22"/>
        </w:rPr>
        <w:t>2</w:t>
      </w:r>
      <w:r w:rsidRPr="00212D57">
        <w:rPr>
          <w:szCs w:val="22"/>
        </w:rPr>
        <w:t>.</w:t>
      </w:r>
      <w:r w:rsidRPr="00212D57">
        <w:rPr>
          <w:rFonts w:hint="eastAsia"/>
          <w:szCs w:val="22"/>
        </w:rPr>
        <w:t xml:space="preserve"> </w:t>
      </w:r>
      <w:r w:rsidRPr="00212D57">
        <w:rPr>
          <w:rFonts w:ascii="標楷體" w:hAnsi="標楷體"/>
          <w:szCs w:val="22"/>
        </w:rPr>
        <w:t>猶無窮，無所不包</w:t>
      </w:r>
      <w:r w:rsidRPr="00212D57">
        <w:rPr>
          <w:szCs w:val="22"/>
        </w:rPr>
        <w:t>。（《漢語大詞典》（七），</w:t>
      </w:r>
      <w:r w:rsidRPr="00761EF3">
        <w:rPr>
          <w:szCs w:val="22"/>
        </w:rPr>
        <w:t>p</w:t>
      </w:r>
      <w:r w:rsidRPr="00212D57">
        <w:rPr>
          <w:szCs w:val="22"/>
        </w:rPr>
        <w:t>.</w:t>
      </w:r>
      <w:r w:rsidRPr="00761EF3">
        <w:rPr>
          <w:szCs w:val="22"/>
        </w:rPr>
        <w:t>106</w:t>
      </w:r>
      <w:r w:rsidRPr="00212D57">
        <w:rPr>
          <w:szCs w:val="22"/>
        </w:rPr>
        <w:t>）</w:t>
      </w:r>
    </w:p>
  </w:footnote>
  <w:footnote w:id="446">
    <w:p w:rsidR="00A477BF" w:rsidRPr="00212D57" w:rsidRDefault="00A477BF" w:rsidP="00A477B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）勝論派六句義：實句義、德句義、業句義、同句義、異句義、和合義。</w:t>
      </w:r>
      <w:r w:rsidRPr="00212D57">
        <w:rPr>
          <w:rFonts w:hint="eastAsia"/>
          <w:szCs w:val="22"/>
        </w:rPr>
        <w:t>（參見《佛光大辭典》（二），</w:t>
      </w:r>
      <w:r w:rsidRPr="00761EF3">
        <w:rPr>
          <w:rFonts w:hint="eastAsia"/>
          <w:szCs w:val="22"/>
        </w:rPr>
        <w:t>pp</w:t>
      </w:r>
      <w:r w:rsidRPr="00212D57">
        <w:rPr>
          <w:rFonts w:hint="eastAsia"/>
          <w:szCs w:val="22"/>
        </w:rPr>
        <w:t>.</w:t>
      </w:r>
      <w:r w:rsidRPr="00761EF3">
        <w:rPr>
          <w:rFonts w:hint="eastAsia"/>
          <w:szCs w:val="22"/>
        </w:rPr>
        <w:t>1254</w:t>
      </w:r>
      <w:r w:rsidRPr="00212D57">
        <w:rPr>
          <w:rFonts w:hint="eastAsia"/>
          <w:szCs w:val="22"/>
        </w:rPr>
        <w:t>.</w:t>
      </w:r>
      <w:r w:rsidRPr="00761EF3">
        <w:rPr>
          <w:rFonts w:hint="eastAsia"/>
          <w:szCs w:val="22"/>
        </w:rPr>
        <w:t>3</w:t>
      </w:r>
      <w:r w:rsidRPr="00212D57">
        <w:rPr>
          <w:rFonts w:hint="eastAsia"/>
          <w:szCs w:val="22"/>
        </w:rPr>
        <w:t>-</w:t>
      </w:r>
      <w:r w:rsidRPr="00761EF3">
        <w:rPr>
          <w:rFonts w:hint="eastAsia"/>
          <w:szCs w:val="22"/>
        </w:rPr>
        <w:t>1255</w:t>
      </w:r>
      <w:r w:rsidRPr="00212D57">
        <w:rPr>
          <w:rFonts w:hint="eastAsia"/>
          <w:szCs w:val="22"/>
        </w:rPr>
        <w:t>.</w:t>
      </w:r>
      <w:r w:rsidRPr="00761EF3">
        <w:rPr>
          <w:rFonts w:hint="eastAsia"/>
          <w:szCs w:val="22"/>
        </w:rPr>
        <w:t>2</w:t>
      </w:r>
      <w:r w:rsidRPr="00212D57">
        <w:rPr>
          <w:rFonts w:hint="eastAsia"/>
          <w:szCs w:val="22"/>
        </w:rPr>
        <w:t>）</w:t>
      </w:r>
    </w:p>
    <w:p w:rsidR="00A477BF" w:rsidRPr="00212D57" w:rsidRDefault="00A477BF" w:rsidP="00A477BF">
      <w:pPr>
        <w:pStyle w:val="a5"/>
        <w:ind w:leftChars="105" w:left="791" w:hangingChars="245" w:hanging="539"/>
        <w:jc w:val="both"/>
        <w:rPr>
          <w:szCs w:val="22"/>
        </w:rPr>
      </w:pPr>
      <w:r w:rsidRPr="00212D57">
        <w:rPr>
          <w:szCs w:val="22"/>
        </w:rPr>
        <w:t>（</w:t>
      </w:r>
      <w:r w:rsidRPr="00761EF3">
        <w:rPr>
          <w:szCs w:val="22"/>
        </w:rPr>
        <w:t>2</w:t>
      </w:r>
      <w:r w:rsidRPr="00212D57">
        <w:rPr>
          <w:szCs w:val="22"/>
        </w:rPr>
        <w:t>）〔唐〕普光述，《俱舍論記》卷</w:t>
      </w:r>
      <w:r w:rsidRPr="00761EF3">
        <w:rPr>
          <w:szCs w:val="22"/>
        </w:rPr>
        <w:t>5</w:t>
      </w:r>
      <w:r w:rsidRPr="00212D57">
        <w:rPr>
          <w:szCs w:val="22"/>
        </w:rPr>
        <w:t>〈</w:t>
      </w:r>
      <w:r w:rsidRPr="00761EF3">
        <w:rPr>
          <w:szCs w:val="22"/>
        </w:rPr>
        <w:t>2</w:t>
      </w:r>
      <w:r w:rsidRPr="00212D57">
        <w:rPr>
          <w:szCs w:val="22"/>
        </w:rPr>
        <w:t xml:space="preserve"> </w:t>
      </w:r>
      <w:r w:rsidRPr="00212D57">
        <w:rPr>
          <w:szCs w:val="22"/>
        </w:rPr>
        <w:t>分別根品〉（大正</w:t>
      </w:r>
      <w:r w:rsidRPr="00761EF3">
        <w:rPr>
          <w:szCs w:val="22"/>
        </w:rPr>
        <w:t>41</w:t>
      </w:r>
      <w:r w:rsidRPr="00212D57">
        <w:rPr>
          <w:szCs w:val="22"/>
        </w:rPr>
        <w:t>，</w:t>
      </w:r>
      <w:r w:rsidRPr="00761EF3">
        <w:rPr>
          <w:szCs w:val="22"/>
        </w:rPr>
        <w:t>107b25</w:t>
      </w:r>
      <w:r w:rsidRPr="00212D57">
        <w:rPr>
          <w:szCs w:val="22"/>
        </w:rPr>
        <w:t>-</w:t>
      </w:r>
      <w:r w:rsidRPr="00761EF3">
        <w:rPr>
          <w:szCs w:val="22"/>
        </w:rPr>
        <w:t>29</w:t>
      </w:r>
      <w:r w:rsidRPr="00212D57">
        <w:rPr>
          <w:szCs w:val="22"/>
        </w:rPr>
        <w:t>）：</w:t>
      </w:r>
    </w:p>
    <w:p w:rsidR="00A477BF" w:rsidRPr="00212D57" w:rsidRDefault="00A477BF" w:rsidP="00A477BF">
      <w:pPr>
        <w:pStyle w:val="a5"/>
        <w:ind w:leftChars="335" w:left="804"/>
        <w:jc w:val="both"/>
        <w:rPr>
          <w:szCs w:val="22"/>
        </w:rPr>
      </w:pPr>
      <w:r w:rsidRPr="00212D57">
        <w:rPr>
          <w:rFonts w:ascii="標楷體" w:eastAsia="標楷體" w:hAnsi="標楷體"/>
          <w:szCs w:val="22"/>
        </w:rPr>
        <w:t>勝論外道，離法之外</w:t>
      </w:r>
      <w:r w:rsidR="00E54038">
        <w:rPr>
          <w:rFonts w:ascii="標楷體" w:eastAsia="標楷體" w:hAnsi="標楷體" w:hint="eastAsia"/>
          <w:color w:val="FF0000"/>
          <w:kern w:val="0"/>
          <w:highlight w:val="yellow"/>
        </w:rPr>
        <w:t>，</w:t>
      </w:r>
      <w:r w:rsidRPr="00212D57">
        <w:rPr>
          <w:rFonts w:ascii="標楷體" w:eastAsia="標楷體" w:hAnsi="標楷體"/>
          <w:szCs w:val="22"/>
        </w:rPr>
        <w:t>別執有數性</w:t>
      </w:r>
      <w:r w:rsidR="00E54038">
        <w:rPr>
          <w:rFonts w:ascii="標楷體" w:eastAsia="標楷體" w:hAnsi="標楷體" w:hint="eastAsia"/>
          <w:color w:val="FF0000"/>
          <w:spacing w:val="-4"/>
          <w:kern w:val="0"/>
          <w:highlight w:val="yellow"/>
        </w:rPr>
        <w:t>、</w:t>
      </w:r>
      <w:r w:rsidR="00E54038">
        <w:rPr>
          <w:rFonts w:ascii="標楷體" w:eastAsia="標楷體" w:hAnsi="標楷體"/>
          <w:szCs w:val="22"/>
        </w:rPr>
        <w:t>量性</w:t>
      </w:r>
      <w:r w:rsidR="00E54038">
        <w:rPr>
          <w:rFonts w:ascii="標楷體" w:eastAsia="標楷體" w:hAnsi="標楷體" w:hint="eastAsia"/>
          <w:color w:val="FF0000"/>
          <w:spacing w:val="-4"/>
          <w:kern w:val="0"/>
          <w:highlight w:val="yellow"/>
        </w:rPr>
        <w:t>、</w:t>
      </w:r>
      <w:r w:rsidRPr="00212D57">
        <w:rPr>
          <w:rFonts w:ascii="標楷體" w:eastAsia="標楷體" w:hAnsi="標楷體"/>
          <w:szCs w:val="22"/>
        </w:rPr>
        <w:t>各別性</w:t>
      </w:r>
      <w:r w:rsidR="00E54038">
        <w:rPr>
          <w:rFonts w:ascii="標楷體" w:eastAsia="標楷體" w:hAnsi="標楷體" w:hint="eastAsia"/>
          <w:color w:val="FF0000"/>
          <w:spacing w:val="-4"/>
          <w:kern w:val="0"/>
          <w:highlight w:val="yellow"/>
        </w:rPr>
        <w:t>、</w:t>
      </w:r>
      <w:r w:rsidRPr="00212D57">
        <w:rPr>
          <w:rFonts w:ascii="標楷體" w:eastAsia="標楷體" w:hAnsi="標楷體"/>
          <w:szCs w:val="22"/>
        </w:rPr>
        <w:t>合性</w:t>
      </w:r>
      <w:r w:rsidR="00E54038">
        <w:rPr>
          <w:rFonts w:ascii="標楷體" w:eastAsia="標楷體" w:hAnsi="標楷體" w:hint="eastAsia"/>
          <w:color w:val="FF0000"/>
          <w:spacing w:val="-4"/>
          <w:kern w:val="0"/>
          <w:highlight w:val="yellow"/>
        </w:rPr>
        <w:t>、</w:t>
      </w:r>
      <w:r w:rsidRPr="00212D57">
        <w:rPr>
          <w:rFonts w:ascii="標楷體" w:eastAsia="標楷體" w:hAnsi="標楷體"/>
          <w:szCs w:val="22"/>
        </w:rPr>
        <w:t>離性</w:t>
      </w:r>
      <w:r w:rsidR="00E54038">
        <w:rPr>
          <w:rFonts w:ascii="標楷體" w:eastAsia="標楷體" w:hAnsi="標楷體" w:hint="eastAsia"/>
          <w:color w:val="FF0000"/>
          <w:spacing w:val="-4"/>
          <w:kern w:val="0"/>
          <w:highlight w:val="yellow"/>
        </w:rPr>
        <w:t>、</w:t>
      </w:r>
      <w:r w:rsidRPr="00212D57">
        <w:rPr>
          <w:rFonts w:ascii="標楷體" w:eastAsia="標楷體" w:hAnsi="標楷體"/>
          <w:szCs w:val="22"/>
        </w:rPr>
        <w:t>彼性</w:t>
      </w:r>
      <w:r w:rsidR="00E54038">
        <w:rPr>
          <w:rFonts w:ascii="標楷體" w:eastAsia="標楷體" w:hAnsi="標楷體" w:hint="eastAsia"/>
          <w:color w:val="FF0000"/>
          <w:spacing w:val="-4"/>
          <w:kern w:val="0"/>
          <w:highlight w:val="yellow"/>
        </w:rPr>
        <w:t>、</w:t>
      </w:r>
      <w:r w:rsidRPr="00212D57">
        <w:rPr>
          <w:rFonts w:ascii="標楷體" w:eastAsia="標楷體" w:hAnsi="標楷體"/>
          <w:szCs w:val="22"/>
        </w:rPr>
        <w:t>此性</w:t>
      </w:r>
      <w:r w:rsidR="00E54038">
        <w:rPr>
          <w:rFonts w:ascii="標楷體" w:eastAsia="標楷體" w:hAnsi="標楷體" w:hint="eastAsia"/>
          <w:color w:val="FF0000"/>
          <w:spacing w:val="-4"/>
          <w:kern w:val="0"/>
          <w:highlight w:val="yellow"/>
        </w:rPr>
        <w:t>、</w:t>
      </w:r>
      <w:r w:rsidR="00E54038">
        <w:rPr>
          <w:rFonts w:ascii="標楷體" w:eastAsia="標楷體" w:hAnsi="標楷體"/>
          <w:szCs w:val="22"/>
        </w:rPr>
        <w:t>有性</w:t>
      </w:r>
      <w:r w:rsidR="00E54038">
        <w:rPr>
          <w:rFonts w:ascii="標楷體" w:eastAsia="標楷體" w:hAnsi="標楷體" w:hint="eastAsia"/>
          <w:color w:val="FF0000"/>
          <w:spacing w:val="-4"/>
          <w:kern w:val="0"/>
          <w:highlight w:val="yellow"/>
        </w:rPr>
        <w:t>；</w:t>
      </w:r>
      <w:r w:rsidR="00E54038">
        <w:rPr>
          <w:rFonts w:ascii="標楷體" w:eastAsia="標楷體" w:hAnsi="標楷體" w:hint="eastAsia"/>
          <w:bCs/>
          <w:color w:val="FF0000"/>
          <w:kern w:val="0"/>
          <w:highlight w:val="yellow"/>
        </w:rPr>
        <w:t>「</w:t>
      </w:r>
      <w:r w:rsidRPr="00212D57">
        <w:rPr>
          <w:rFonts w:ascii="標楷體" w:eastAsia="標楷體" w:hAnsi="標楷體"/>
          <w:szCs w:val="22"/>
        </w:rPr>
        <w:t>等</w:t>
      </w:r>
      <w:r w:rsidR="00E54038">
        <w:rPr>
          <w:rFonts w:ascii="標楷體" w:eastAsia="標楷體" w:hAnsi="標楷體" w:hint="eastAsia"/>
          <w:bCs/>
          <w:color w:val="FF0000"/>
          <w:kern w:val="0"/>
          <w:highlight w:val="yellow"/>
        </w:rPr>
        <w:t>」</w:t>
      </w:r>
      <w:r w:rsidRPr="00212D57">
        <w:rPr>
          <w:rFonts w:ascii="標楷體" w:eastAsia="標楷體" w:hAnsi="標楷體"/>
          <w:szCs w:val="22"/>
        </w:rPr>
        <w:t>者</w:t>
      </w:r>
      <w:r w:rsidR="00E54038">
        <w:rPr>
          <w:rFonts w:ascii="標楷體" w:eastAsia="標楷體" w:hAnsi="標楷體" w:hint="eastAsia"/>
          <w:color w:val="FF0000"/>
          <w:kern w:val="0"/>
          <w:highlight w:val="yellow"/>
        </w:rPr>
        <w:t>，</w:t>
      </w:r>
      <w:r w:rsidRPr="00212D57">
        <w:rPr>
          <w:rFonts w:ascii="標楷體" w:eastAsia="標楷體" w:hAnsi="標楷體"/>
          <w:szCs w:val="22"/>
        </w:rPr>
        <w:t>等取</w:t>
      </w:r>
      <w:r w:rsidR="00E54038">
        <w:rPr>
          <w:rFonts w:ascii="標楷體" w:eastAsia="標楷體" w:hAnsi="標楷體" w:hint="eastAsia"/>
          <w:bCs/>
          <w:color w:val="FF0000"/>
          <w:kern w:val="0"/>
          <w:highlight w:val="yellow"/>
        </w:rPr>
        <w:t>「</w:t>
      </w:r>
      <w:r w:rsidRPr="00212D57">
        <w:rPr>
          <w:rFonts w:ascii="標楷體" w:eastAsia="標楷體" w:hAnsi="標楷體"/>
          <w:szCs w:val="22"/>
        </w:rPr>
        <w:t>同</w:t>
      </w:r>
      <w:r w:rsidR="00E54038">
        <w:rPr>
          <w:rFonts w:ascii="標楷體" w:eastAsia="標楷體" w:hAnsi="標楷體" w:hint="eastAsia"/>
          <w:color w:val="FF0000"/>
          <w:kern w:val="0"/>
          <w:highlight w:val="yellow"/>
        </w:rPr>
        <w:t>.</w:t>
      </w:r>
      <w:r w:rsidRPr="00212D57">
        <w:rPr>
          <w:rFonts w:ascii="標楷體" w:eastAsia="標楷體" w:hAnsi="標楷體"/>
          <w:szCs w:val="22"/>
        </w:rPr>
        <w:t>異性</w:t>
      </w:r>
      <w:r w:rsidR="00E54038">
        <w:rPr>
          <w:rFonts w:ascii="標楷體" w:eastAsia="標楷體" w:hAnsi="標楷體" w:hint="eastAsia"/>
          <w:bCs/>
          <w:color w:val="FF0000"/>
          <w:kern w:val="0"/>
          <w:highlight w:val="yellow"/>
        </w:rPr>
        <w:t>」</w:t>
      </w:r>
      <w:r w:rsidRPr="00212D57">
        <w:rPr>
          <w:rFonts w:ascii="標楷體" w:eastAsia="標楷體" w:hAnsi="標楷體"/>
          <w:szCs w:val="22"/>
        </w:rPr>
        <w:t>等。勝論外道有六句義：一、實，二、德，三、業，四、有，五、</w:t>
      </w:r>
      <w:r w:rsidRPr="00212D57">
        <w:rPr>
          <w:rFonts w:ascii="標楷體" w:eastAsia="標楷體" w:hAnsi="標楷體"/>
          <w:b/>
          <w:szCs w:val="22"/>
        </w:rPr>
        <w:t>同異</w:t>
      </w:r>
      <w:r w:rsidRPr="00212D57">
        <w:rPr>
          <w:rFonts w:ascii="標楷體" w:eastAsia="標楷體" w:hAnsi="標楷體"/>
          <w:szCs w:val="22"/>
        </w:rPr>
        <w:t>，六、和合</w:t>
      </w:r>
      <w:r w:rsidR="00E54038">
        <w:rPr>
          <w:rFonts w:ascii="標楷體" w:eastAsia="標楷體" w:hAnsi="標楷體" w:hint="eastAsia"/>
          <w:color w:val="FF0000"/>
          <w:spacing w:val="-4"/>
          <w:kern w:val="0"/>
          <w:highlight w:val="yellow"/>
        </w:rPr>
        <w:t>；</w:t>
      </w:r>
      <w:r w:rsidRPr="00212D57">
        <w:rPr>
          <w:rFonts w:ascii="標楷體" w:eastAsia="標楷體" w:hAnsi="標楷體"/>
          <w:szCs w:val="22"/>
        </w:rPr>
        <w:t>或有說十句義</w:t>
      </w:r>
      <w:r w:rsidR="00E54038">
        <w:rPr>
          <w:rFonts w:ascii="標楷體" w:eastAsia="標楷體" w:hAnsi="標楷體" w:hint="eastAsia"/>
          <w:color w:val="FF0000"/>
          <w:kern w:val="0"/>
          <w:highlight w:val="yellow"/>
        </w:rPr>
        <w:t>，</w:t>
      </w:r>
      <w:r w:rsidRPr="00212D57">
        <w:rPr>
          <w:rFonts w:ascii="標楷體" w:eastAsia="標楷體" w:hAnsi="標楷體"/>
          <w:szCs w:val="22"/>
        </w:rPr>
        <w:t>竝如前說。</w:t>
      </w:r>
    </w:p>
  </w:footnote>
  <w:footnote w:id="447">
    <w:p w:rsidR="00924221" w:rsidRPr="00212D57" w:rsidRDefault="00924221" w:rsidP="00924221">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）《中論》卷</w:t>
      </w:r>
      <w:r w:rsidRPr="00761EF3">
        <w:rPr>
          <w:szCs w:val="22"/>
        </w:rPr>
        <w:t>2</w:t>
      </w:r>
      <w:r w:rsidRPr="00212D57">
        <w:rPr>
          <w:szCs w:val="22"/>
        </w:rPr>
        <w:t>〈</w:t>
      </w:r>
      <w:r w:rsidRPr="00761EF3">
        <w:rPr>
          <w:szCs w:val="22"/>
        </w:rPr>
        <w:t>14</w:t>
      </w:r>
      <w:r w:rsidRPr="00212D57">
        <w:rPr>
          <w:rFonts w:hint="eastAsia"/>
          <w:szCs w:val="22"/>
        </w:rPr>
        <w:t xml:space="preserve"> </w:t>
      </w:r>
      <w:r w:rsidRPr="00212D57">
        <w:rPr>
          <w:szCs w:val="22"/>
        </w:rPr>
        <w:t>觀合品〉（大正</w:t>
      </w:r>
      <w:r w:rsidRPr="00761EF3">
        <w:rPr>
          <w:szCs w:val="22"/>
        </w:rPr>
        <w:t>30</w:t>
      </w:r>
      <w:r w:rsidRPr="00212D57">
        <w:rPr>
          <w:szCs w:val="22"/>
        </w:rPr>
        <w:t>，</w:t>
      </w:r>
      <w:r w:rsidRPr="00761EF3">
        <w:rPr>
          <w:szCs w:val="22"/>
        </w:rPr>
        <w:t>19b9</w:t>
      </w:r>
      <w:r w:rsidRPr="00212D57">
        <w:rPr>
          <w:szCs w:val="22"/>
        </w:rPr>
        <w:t>-</w:t>
      </w:r>
      <w:r w:rsidRPr="00761EF3">
        <w:rPr>
          <w:szCs w:val="22"/>
        </w:rPr>
        <w:t>17</w:t>
      </w:r>
      <w:r w:rsidRPr="00212D57">
        <w:rPr>
          <w:szCs w:val="22"/>
        </w:rPr>
        <w:t>）：</w:t>
      </w:r>
    </w:p>
    <w:p w:rsidR="00924221" w:rsidRPr="00212D57" w:rsidRDefault="00924221" w:rsidP="00924221">
      <w:pPr>
        <w:pStyle w:val="a5"/>
        <w:ind w:leftChars="335" w:left="804"/>
        <w:jc w:val="both"/>
        <w:rPr>
          <w:rFonts w:ascii="標楷體" w:eastAsia="標楷體" w:hAnsi="標楷體"/>
          <w:szCs w:val="22"/>
        </w:rPr>
      </w:pPr>
      <w:r w:rsidRPr="00212D57">
        <w:rPr>
          <w:rFonts w:ascii="標楷體" w:eastAsia="標楷體" w:hAnsi="標楷體"/>
          <w:szCs w:val="22"/>
        </w:rPr>
        <w:t>異因異有異，異離異無異</w:t>
      </w:r>
      <w:r>
        <w:rPr>
          <w:rFonts w:ascii="標楷體" w:eastAsia="標楷體" w:hAnsi="標楷體" w:hint="eastAsia"/>
          <w:color w:val="FF0000"/>
          <w:spacing w:val="-4"/>
          <w:kern w:val="0"/>
          <w:highlight w:val="yellow"/>
        </w:rPr>
        <w:t>；</w:t>
      </w:r>
      <w:r w:rsidRPr="00212D57">
        <w:rPr>
          <w:rFonts w:ascii="標楷體" w:eastAsia="標楷體" w:hAnsi="標楷體"/>
          <w:szCs w:val="22"/>
        </w:rPr>
        <w:t>若法從因出，是法不異因。</w:t>
      </w:r>
    </w:p>
    <w:p w:rsidR="00924221" w:rsidRPr="00212D57" w:rsidRDefault="00924221" w:rsidP="00924221">
      <w:pPr>
        <w:pStyle w:val="a5"/>
        <w:ind w:leftChars="335" w:left="804"/>
        <w:jc w:val="both"/>
        <w:rPr>
          <w:szCs w:val="22"/>
        </w:rPr>
      </w:pPr>
      <w:r w:rsidRPr="00212D57">
        <w:rPr>
          <w:rFonts w:ascii="標楷體" w:eastAsia="標楷體" w:hAnsi="標楷體"/>
          <w:szCs w:val="22"/>
        </w:rPr>
        <w:t>若離從異異，應餘異有異</w:t>
      </w:r>
      <w:r>
        <w:rPr>
          <w:rFonts w:ascii="標楷體" w:eastAsia="標楷體" w:hAnsi="標楷體" w:hint="eastAsia"/>
          <w:color w:val="FF0000"/>
          <w:spacing w:val="-4"/>
          <w:kern w:val="0"/>
          <w:highlight w:val="yellow"/>
        </w:rPr>
        <w:t>；</w:t>
      </w:r>
      <w:r w:rsidRPr="00212D57">
        <w:rPr>
          <w:rFonts w:ascii="標楷體" w:eastAsia="標楷體" w:hAnsi="標楷體"/>
          <w:szCs w:val="22"/>
        </w:rPr>
        <w:t>離從異無異，是故無有異。</w:t>
      </w:r>
    </w:p>
    <w:p w:rsidR="00924221" w:rsidRPr="00212D57" w:rsidRDefault="00924221" w:rsidP="00924221">
      <w:pPr>
        <w:pStyle w:val="a5"/>
        <w:ind w:leftChars="105" w:left="791" w:hangingChars="245" w:hanging="539"/>
        <w:jc w:val="both"/>
        <w:rPr>
          <w:szCs w:val="22"/>
        </w:rPr>
      </w:pPr>
      <w:r w:rsidRPr="00212D57">
        <w:rPr>
          <w:szCs w:val="22"/>
        </w:rPr>
        <w:t>（</w:t>
      </w:r>
      <w:r w:rsidRPr="00761EF3">
        <w:rPr>
          <w:szCs w:val="22"/>
        </w:rPr>
        <w:t>2</w:t>
      </w:r>
      <w:r w:rsidRPr="00212D57">
        <w:rPr>
          <w:szCs w:val="22"/>
        </w:rPr>
        <w:t>）</w:t>
      </w:r>
      <w:r>
        <w:rPr>
          <w:szCs w:val="22"/>
        </w:rPr>
        <w:t>參見：印</w:t>
      </w:r>
      <w:r w:rsidRPr="00212D57">
        <w:rPr>
          <w:szCs w:val="22"/>
        </w:rPr>
        <w:t>順法師</w:t>
      </w:r>
      <w:r w:rsidRPr="00212D57">
        <w:rPr>
          <w:rFonts w:hint="eastAsia"/>
          <w:szCs w:val="22"/>
        </w:rPr>
        <w:t>，</w:t>
      </w:r>
      <w:r w:rsidRPr="00212D57">
        <w:rPr>
          <w:szCs w:val="22"/>
        </w:rPr>
        <w:t>《中觀論頌講記》</w:t>
      </w:r>
      <w:r w:rsidRPr="00212D57">
        <w:rPr>
          <w:rFonts w:hint="eastAsia"/>
          <w:szCs w:val="22"/>
        </w:rPr>
        <w:t>，</w:t>
      </w:r>
      <w:r w:rsidRPr="00761EF3">
        <w:rPr>
          <w:rFonts w:hint="eastAsia"/>
          <w:szCs w:val="22"/>
        </w:rPr>
        <w:t>pp</w:t>
      </w:r>
      <w:r w:rsidRPr="00212D57">
        <w:rPr>
          <w:rFonts w:hint="eastAsia"/>
          <w:szCs w:val="22"/>
        </w:rPr>
        <w:t>.</w:t>
      </w:r>
      <w:r w:rsidRPr="00761EF3">
        <w:rPr>
          <w:rFonts w:hint="eastAsia"/>
          <w:szCs w:val="22"/>
        </w:rPr>
        <w:t>242</w:t>
      </w:r>
      <w:r w:rsidRPr="00212D57">
        <w:rPr>
          <w:rFonts w:hint="eastAsia"/>
          <w:szCs w:val="22"/>
        </w:rPr>
        <w:t>-</w:t>
      </w:r>
      <w:r w:rsidRPr="00761EF3">
        <w:rPr>
          <w:rFonts w:hint="eastAsia"/>
          <w:szCs w:val="22"/>
        </w:rPr>
        <w:t>244</w:t>
      </w:r>
      <w:r w:rsidRPr="00212D57">
        <w:rPr>
          <w:rFonts w:hint="eastAsia"/>
          <w:szCs w:val="22"/>
        </w:rPr>
        <w:t>：</w:t>
      </w:r>
    </w:p>
    <w:p w:rsidR="00924221" w:rsidRPr="007A4432" w:rsidRDefault="00924221" w:rsidP="00924221">
      <w:pPr>
        <w:pStyle w:val="a5"/>
        <w:ind w:leftChars="335" w:left="804"/>
        <w:jc w:val="both"/>
        <w:rPr>
          <w:rFonts w:ascii="標楷體" w:eastAsia="標楷體" w:hAnsi="標楷體"/>
          <w:szCs w:val="22"/>
        </w:rPr>
      </w:pPr>
      <w:r w:rsidRPr="00212D57">
        <w:rPr>
          <w:rFonts w:ascii="標楷體" w:eastAsia="標楷體" w:hAnsi="標楷體" w:hint="eastAsia"/>
          <w:szCs w:val="22"/>
        </w:rPr>
        <w:t>外人想：世間是無限的差別，怎麼說無異？其中，勝論師是特別立有同性、異性的實體。</w:t>
      </w:r>
      <w:r w:rsidRPr="00212D57">
        <w:rPr>
          <w:rFonts w:ascii="標楷體" w:eastAsia="標楷體" w:hAnsi="標楷體" w:hint="eastAsia"/>
          <w:b/>
          <w:szCs w:val="22"/>
        </w:rPr>
        <w:t>勝論派在有名的六句義中，有大有性及同異性兩句。</w:t>
      </w:r>
      <w:r w:rsidRPr="00212D57">
        <w:rPr>
          <w:rFonts w:ascii="標楷體" w:eastAsia="標楷體" w:hAnsi="標楷體" w:hint="eastAsia"/>
          <w:szCs w:val="22"/>
        </w:rPr>
        <w:t>大有是大同，有是存在，一切法都是存在的；一切法的所以存在，必有他存在的理性，這就是大有。同異性，是除了大有的普遍存在以外，其他事事物物的大同小同，大異小異。</w:t>
      </w:r>
      <w:r w:rsidRPr="00212D57">
        <w:rPr>
          <w:rFonts w:ascii="標楷體" w:eastAsia="標楷體" w:hAnsi="標楷體" w:hint="eastAsia"/>
          <w:b/>
          <w:szCs w:val="22"/>
        </w:rPr>
        <w:t>這一切法的所以有同有異，必有同異的原理，這就叫同異性。</w:t>
      </w:r>
      <w:r w:rsidRPr="00212D57">
        <w:rPr>
          <w:rFonts w:ascii="標楷體" w:eastAsia="標楷體" w:hAnsi="標楷體" w:hint="eastAsia"/>
          <w:szCs w:val="22"/>
        </w:rPr>
        <w:t>如人與人是共同的；而人與人間又有不同，這就是異。又人與牛馬是異；人與牛馬都是有情，這又是同。一切法有這樣的大同小同，</w:t>
      </w:r>
      <w:r w:rsidRPr="007A4432">
        <w:rPr>
          <w:rFonts w:ascii="標楷體" w:eastAsia="標楷體" w:hAnsi="標楷體" w:hint="eastAsia"/>
          <w:szCs w:val="22"/>
        </w:rPr>
        <w:t>大異小異，證明他有所以同所以別異的原理。</w:t>
      </w:r>
    </w:p>
    <w:p w:rsidR="00924221" w:rsidRPr="007A4432" w:rsidRDefault="00924221" w:rsidP="00AE3920">
      <w:pPr>
        <w:pStyle w:val="a5"/>
        <w:spacing w:beforeLines="20"/>
        <w:ind w:leftChars="335" w:left="804"/>
        <w:jc w:val="both"/>
        <w:rPr>
          <w:rFonts w:ascii="標楷體" w:eastAsia="標楷體" w:hAnsi="標楷體"/>
          <w:szCs w:val="22"/>
        </w:rPr>
      </w:pPr>
      <w:r w:rsidRPr="007A4432">
        <w:rPr>
          <w:rFonts w:ascii="標楷體" w:eastAsia="標楷體" w:hAnsi="標楷體" w:hint="eastAsia"/>
          <w:szCs w:val="22"/>
        </w:rPr>
        <w:t>本文所破的異相，主要是破這同異性中的異性。不但別異的原理不成，就是事物的別異自性，也不能在緣起論中立足。所以破他說：</w:t>
      </w:r>
      <w:r w:rsidRPr="007A4432">
        <w:rPr>
          <w:rFonts w:ascii="標楷體" w:eastAsia="標楷體" w:hAnsi="標楷體" w:hint="eastAsia"/>
          <w:b/>
          <w:szCs w:val="22"/>
        </w:rPr>
        <w:t>「異」是差別，但怎麼知道他是差別呢？不是「因」此與彼「異」而知道「有異」的嗎？此法因別異的彼法，此法才成為別異的。此法的差別性，既因彼差別而成立，那麼差別的「異」性，不是「離」了彼法的別「異」性，此法就「無」有差別的「異」性可說嗎？</w:t>
      </w:r>
      <w:r w:rsidRPr="007A4432">
        <w:rPr>
          <w:rFonts w:ascii="標楷體" w:eastAsia="標楷體" w:hAnsi="標楷體" w:hint="eastAsia"/>
          <w:szCs w:val="22"/>
        </w:rPr>
        <w:t>這樣，此法的差別性，不是有他固定的自體，是因觀待而有的。從相依不離的緣起義說，凡是從因緣而有的，他與能生的因緣，決不能說為自性別異。如房屋與梁木，那能說他別異的存在？所以說：「若法」從「所因」而「出」的，「是法」就「不」能「異因」。這樣，外人所說的別異，顯然在緣起不離的見解下瓦解了。</w:t>
      </w:r>
    </w:p>
    <w:p w:rsidR="00924221" w:rsidRPr="00212D57" w:rsidRDefault="00924221" w:rsidP="00AE3920">
      <w:pPr>
        <w:pStyle w:val="a5"/>
        <w:spacing w:beforeLines="20"/>
        <w:ind w:leftChars="335" w:left="804"/>
        <w:jc w:val="both"/>
        <w:rPr>
          <w:szCs w:val="22"/>
        </w:rPr>
      </w:pPr>
      <w:r w:rsidRPr="007A4432">
        <w:rPr>
          <w:rFonts w:ascii="標楷體" w:eastAsia="標楷體" w:hAnsi="標楷體" w:hint="eastAsia"/>
          <w:szCs w:val="22"/>
        </w:rPr>
        <w:t>外人聽了</w:t>
      </w:r>
      <w:r w:rsidRPr="00212D57">
        <w:rPr>
          <w:rFonts w:ascii="標楷體" w:eastAsia="標楷體" w:hAnsi="標楷體" w:hint="eastAsia"/>
          <w:szCs w:val="22"/>
        </w:rPr>
        <w:t>，還是不能完全同意。他以為：異有兩種：一是不相關的異，一是不相離的異。如木與房子的異，是離不開的異；如牛與馬的異，是可以分離的異。不相離的異，固可以用離異沒有異的論法來破斥；至於相離的異，焉能同樣的用因生不離的見解來批評呢？外人的解說，還是不行！因為，「離」第二者所「從」因的別「異」性，如可以有別「異」性，那就「應」該離其「餘」的「異」而「有」此法的別「異」了。但事實上，「離」了所「從」的別「異」性，根本就「無」有此法的別「異」性。如牛與羊，因比較而現有差別；如沒有牛羊的比較，怎麼知道他是差別的？所以還是「無有異」性。性空者是近於經驗論的，決不離開相待的假名別異性，說什麼差別與不差別的本然性。第二頌，清辨的《般若燈論》是沒有的。這實在不過是引申上頌的意義而已。</w:t>
      </w:r>
    </w:p>
  </w:footnote>
  <w:footnote w:id="448">
    <w:p w:rsidR="00A477BF" w:rsidRPr="00212D57" w:rsidRDefault="00A477BF" w:rsidP="00A477B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《大方廣佛華嚴經》卷</w:t>
      </w:r>
      <w:r w:rsidRPr="00761EF3">
        <w:rPr>
          <w:szCs w:val="22"/>
        </w:rPr>
        <w:t>34</w:t>
      </w:r>
      <w:r w:rsidRPr="00212D57">
        <w:rPr>
          <w:szCs w:val="22"/>
        </w:rPr>
        <w:t>〈</w:t>
      </w:r>
      <w:r w:rsidRPr="00761EF3">
        <w:rPr>
          <w:rFonts w:hint="eastAsia"/>
          <w:szCs w:val="22"/>
        </w:rPr>
        <w:t>26</w:t>
      </w:r>
      <w:r w:rsidRPr="00212D57">
        <w:rPr>
          <w:rFonts w:hint="eastAsia"/>
          <w:szCs w:val="22"/>
        </w:rPr>
        <w:t xml:space="preserve"> </w:t>
      </w:r>
      <w:r w:rsidRPr="00212D57">
        <w:rPr>
          <w:szCs w:val="22"/>
        </w:rPr>
        <w:t>十地品〉（大正</w:t>
      </w:r>
      <w:r w:rsidRPr="00761EF3">
        <w:rPr>
          <w:szCs w:val="22"/>
        </w:rPr>
        <w:t>10</w:t>
      </w:r>
      <w:r w:rsidRPr="00212D57">
        <w:rPr>
          <w:szCs w:val="22"/>
        </w:rPr>
        <w:t>，</w:t>
      </w:r>
      <w:r w:rsidRPr="00761EF3">
        <w:rPr>
          <w:szCs w:val="22"/>
        </w:rPr>
        <w:t>181c11</w:t>
      </w:r>
      <w:r w:rsidRPr="00212D57">
        <w:rPr>
          <w:szCs w:val="22"/>
        </w:rPr>
        <w:t>-</w:t>
      </w:r>
      <w:r w:rsidRPr="00761EF3">
        <w:rPr>
          <w:szCs w:val="22"/>
        </w:rPr>
        <w:t>28</w:t>
      </w:r>
      <w:r w:rsidRPr="00212D57">
        <w:rPr>
          <w:rFonts w:hint="eastAsia"/>
          <w:szCs w:val="22"/>
        </w:rPr>
        <w:t>）</w:t>
      </w:r>
      <w:r w:rsidRPr="00212D57">
        <w:rPr>
          <w:szCs w:val="22"/>
        </w:rPr>
        <w:t>：</w:t>
      </w:r>
    </w:p>
    <w:p w:rsidR="00A477BF" w:rsidRPr="00212D57" w:rsidRDefault="00A477BF" w:rsidP="00A477BF">
      <w:pPr>
        <w:kinsoku w:val="0"/>
        <w:overflowPunct w:val="0"/>
        <w:autoSpaceDE w:val="0"/>
        <w:autoSpaceDN w:val="0"/>
        <w:snapToGrid w:val="0"/>
        <w:ind w:leftChars="105" w:left="252"/>
        <w:jc w:val="both"/>
        <w:rPr>
          <w:rFonts w:ascii="標楷體" w:eastAsia="標楷體" w:hAnsi="標楷體"/>
          <w:sz w:val="22"/>
          <w:szCs w:val="22"/>
        </w:rPr>
      </w:pPr>
      <w:r w:rsidRPr="00212D57">
        <w:rPr>
          <w:rFonts w:ascii="標楷體" w:eastAsia="標楷體" w:hAnsi="標楷體"/>
          <w:sz w:val="22"/>
          <w:szCs w:val="22"/>
        </w:rPr>
        <w:t>菩薩住此歡喜地，能成就如是大願。</w:t>
      </w:r>
      <w:r w:rsidRPr="00E54038">
        <w:rPr>
          <w:rFonts w:ascii="標楷體" w:eastAsia="標楷體" w:hAnsi="標楷體"/>
          <w:sz w:val="22"/>
          <w:szCs w:val="22"/>
          <w:shd w:val="pct15" w:color="auto" w:fill="FFFFFF"/>
        </w:rPr>
        <w:t>……</w:t>
      </w:r>
      <w:r w:rsidRPr="00212D57">
        <w:rPr>
          <w:rFonts w:ascii="標楷體" w:eastAsia="標楷體" w:hAnsi="標楷體"/>
          <w:sz w:val="22"/>
          <w:szCs w:val="22"/>
        </w:rPr>
        <w:t>又發大願</w:t>
      </w:r>
      <w:r w:rsidR="00E54038">
        <w:rPr>
          <w:rFonts w:ascii="標楷體" w:eastAsia="標楷體" w:hAnsi="標楷體" w:hint="eastAsia"/>
          <w:color w:val="FF0000"/>
          <w:spacing w:val="-4"/>
          <w:kern w:val="0"/>
          <w:sz w:val="22"/>
          <w:highlight w:val="yellow"/>
        </w:rPr>
        <w:t>：</w:t>
      </w:r>
      <w:r w:rsidRPr="00212D57">
        <w:rPr>
          <w:rFonts w:ascii="標楷體" w:eastAsia="標楷體" w:hAnsi="標楷體"/>
          <w:sz w:val="22"/>
          <w:szCs w:val="22"/>
        </w:rPr>
        <w:t>願一切菩薩行</w:t>
      </w:r>
      <w:r w:rsidR="00E54038">
        <w:rPr>
          <w:rFonts w:ascii="標楷體" w:eastAsia="標楷體" w:hAnsi="標楷體" w:hint="eastAsia"/>
          <w:color w:val="FF0000"/>
          <w:kern w:val="0"/>
          <w:sz w:val="22"/>
          <w:highlight w:val="yellow"/>
        </w:rPr>
        <w:t>──</w:t>
      </w:r>
      <w:r w:rsidRPr="00212D57">
        <w:rPr>
          <w:rFonts w:ascii="標楷體" w:eastAsia="標楷體" w:hAnsi="標楷體"/>
          <w:sz w:val="22"/>
          <w:szCs w:val="22"/>
        </w:rPr>
        <w:t>廣大無量</w:t>
      </w:r>
      <w:r w:rsidR="00E54038">
        <w:rPr>
          <w:rFonts w:ascii="標楷體" w:eastAsia="標楷體" w:hAnsi="標楷體" w:hint="eastAsia"/>
          <w:color w:val="FF0000"/>
          <w:spacing w:val="-4"/>
          <w:kern w:val="0"/>
          <w:sz w:val="22"/>
          <w:highlight w:val="yellow"/>
        </w:rPr>
        <w:t>、</w:t>
      </w:r>
      <w:r w:rsidRPr="00212D57">
        <w:rPr>
          <w:rFonts w:ascii="標楷體" w:eastAsia="標楷體" w:hAnsi="標楷體"/>
          <w:sz w:val="22"/>
          <w:szCs w:val="22"/>
        </w:rPr>
        <w:t>不壞不雜，攝諸波羅蜜，淨治諸地</w:t>
      </w:r>
      <w:r w:rsidR="00E54038">
        <w:rPr>
          <w:rFonts w:ascii="標楷體" w:eastAsia="標楷體" w:hAnsi="標楷體" w:hint="eastAsia"/>
          <w:color w:val="FF0000"/>
          <w:kern w:val="0"/>
          <w:sz w:val="22"/>
          <w:highlight w:val="yellow"/>
        </w:rPr>
        <w:t>，</w:t>
      </w:r>
      <w:r w:rsidRPr="00212D57">
        <w:rPr>
          <w:rFonts w:ascii="標楷體" w:eastAsia="標楷體" w:hAnsi="標楷體"/>
          <w:b/>
          <w:sz w:val="22"/>
          <w:szCs w:val="22"/>
        </w:rPr>
        <w:t>總相、別相、同相、異相、成相、壞相</w:t>
      </w:r>
      <w:r w:rsidR="00E54038">
        <w:rPr>
          <w:rFonts w:ascii="標楷體" w:eastAsia="標楷體" w:hAnsi="標楷體" w:hint="eastAsia"/>
          <w:color w:val="FF0000"/>
          <w:kern w:val="0"/>
          <w:sz w:val="22"/>
          <w:highlight w:val="yellow"/>
        </w:rPr>
        <w:t>──</w:t>
      </w:r>
      <w:r w:rsidRPr="00212D57">
        <w:rPr>
          <w:rFonts w:ascii="標楷體" w:eastAsia="標楷體" w:hAnsi="標楷體"/>
          <w:sz w:val="22"/>
          <w:szCs w:val="22"/>
        </w:rPr>
        <w:t>所有菩薩行，皆如實說</w:t>
      </w:r>
      <w:r w:rsidR="00E54038">
        <w:rPr>
          <w:rFonts w:ascii="標楷體" w:eastAsia="標楷體" w:hAnsi="標楷體" w:hint="eastAsia"/>
          <w:color w:val="FF0000"/>
          <w:spacing w:val="-4"/>
          <w:kern w:val="0"/>
          <w:sz w:val="22"/>
          <w:highlight w:val="yellow"/>
        </w:rPr>
        <w:t>；</w:t>
      </w:r>
      <w:r w:rsidRPr="00212D57">
        <w:rPr>
          <w:rFonts w:ascii="標楷體" w:eastAsia="標楷體" w:hAnsi="標楷體"/>
          <w:sz w:val="22"/>
          <w:szCs w:val="22"/>
        </w:rPr>
        <w:t>教化一切，令其受行，心得增長，廣大如法界，究竟如虛空，盡未來際，一切劫數，無有休息。</w:t>
      </w:r>
    </w:p>
  </w:footnote>
  <w:footnote w:id="449">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bCs/>
          <w:szCs w:val="22"/>
        </w:rPr>
        <w:t>契</w:t>
      </w:r>
      <w:r w:rsidRPr="00212D57">
        <w:rPr>
          <w:b/>
          <w:bCs/>
          <w:szCs w:val="22"/>
        </w:rPr>
        <w:t>：</w:t>
      </w:r>
      <w:r w:rsidRPr="00761EF3">
        <w:rPr>
          <w:szCs w:val="22"/>
        </w:rPr>
        <w:t>15</w:t>
      </w:r>
      <w:r w:rsidRPr="00212D57">
        <w:rPr>
          <w:szCs w:val="22"/>
        </w:rPr>
        <w:t xml:space="preserve">. </w:t>
      </w:r>
      <w:r w:rsidRPr="00212D57">
        <w:rPr>
          <w:szCs w:val="22"/>
        </w:rPr>
        <w:t>體會</w:t>
      </w:r>
      <w:r w:rsidRPr="00212D57">
        <w:rPr>
          <w:rFonts w:ascii="標楷體" w:hAnsi="標楷體"/>
          <w:szCs w:val="22"/>
        </w:rPr>
        <w:t>，領悟</w:t>
      </w:r>
      <w:r w:rsidRPr="00212D57">
        <w:rPr>
          <w:szCs w:val="22"/>
        </w:rPr>
        <w:t>。（《漢語大詞典》（二），</w:t>
      </w:r>
      <w:r w:rsidRPr="00761EF3">
        <w:rPr>
          <w:szCs w:val="22"/>
        </w:rPr>
        <w:t>p</w:t>
      </w:r>
      <w:r w:rsidRPr="00212D57">
        <w:rPr>
          <w:szCs w:val="22"/>
        </w:rPr>
        <w:t>.</w:t>
      </w:r>
      <w:r w:rsidRPr="00761EF3">
        <w:rPr>
          <w:szCs w:val="22"/>
        </w:rPr>
        <w:t>1532</w:t>
      </w:r>
      <w:r w:rsidRPr="00212D57">
        <w:rPr>
          <w:szCs w:val="22"/>
        </w:rPr>
        <w:t>）</w:t>
      </w:r>
    </w:p>
  </w:footnote>
  <w:footnote w:id="450">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bCs/>
          <w:szCs w:val="22"/>
        </w:rPr>
        <w:t xml:space="preserve"> </w:t>
      </w:r>
      <w:r w:rsidRPr="00212D57">
        <w:rPr>
          <w:bCs/>
          <w:szCs w:val="22"/>
        </w:rPr>
        <w:t>窠臼：</w:t>
      </w:r>
      <w:r w:rsidRPr="00761EF3">
        <w:rPr>
          <w:szCs w:val="22"/>
        </w:rPr>
        <w:t>2</w:t>
      </w:r>
      <w:r w:rsidRPr="00212D57">
        <w:rPr>
          <w:szCs w:val="22"/>
        </w:rPr>
        <w:t>.</w:t>
      </w:r>
      <w:r w:rsidRPr="00212D57">
        <w:rPr>
          <w:szCs w:val="22"/>
        </w:rPr>
        <w:t>比喻</w:t>
      </w:r>
      <w:r w:rsidRPr="00212D57">
        <w:rPr>
          <w:rFonts w:ascii="標楷體" w:hAnsi="標楷體"/>
          <w:szCs w:val="22"/>
        </w:rPr>
        <w:t>舊有的現成格式，老套子</w:t>
      </w:r>
      <w:r w:rsidRPr="00212D57">
        <w:rPr>
          <w:szCs w:val="22"/>
        </w:rPr>
        <w:t>。（《漢語大詞典》（八），</w:t>
      </w:r>
      <w:r w:rsidRPr="00761EF3">
        <w:rPr>
          <w:szCs w:val="22"/>
        </w:rPr>
        <w:t>p</w:t>
      </w:r>
      <w:r w:rsidRPr="00212D57">
        <w:rPr>
          <w:szCs w:val="22"/>
        </w:rPr>
        <w:t>.</w:t>
      </w:r>
      <w:r w:rsidRPr="00761EF3">
        <w:rPr>
          <w:szCs w:val="22"/>
        </w:rPr>
        <w:t>449</w:t>
      </w:r>
      <w:r w:rsidRPr="00212D57">
        <w:rPr>
          <w:szCs w:val="22"/>
        </w:rPr>
        <w:t>）</w:t>
      </w:r>
    </w:p>
  </w:footnote>
  <w:footnote w:id="451">
    <w:p w:rsidR="00E54038"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法界：指意識所緣對象之所有事物。為十八界之一。據《俱舍論》卷一載，受、想、行三蘊與無表色、無為法，稱為法界；於十二處之中，則稱為法處。然十八界中其他之十七界亦稱為法，故廣義泛指有為、無為之一切諸法，亦稱為法界。</w:t>
      </w:r>
    </w:p>
    <w:p w:rsidR="00157EF6" w:rsidRPr="00212D57" w:rsidRDefault="00157EF6" w:rsidP="00E54038">
      <w:pPr>
        <w:pStyle w:val="a5"/>
        <w:spacing w:line="0" w:lineRule="atLeast"/>
        <w:ind w:left="253" w:hangingChars="115" w:hanging="253"/>
        <w:jc w:val="right"/>
        <w:rPr>
          <w:szCs w:val="22"/>
        </w:rPr>
      </w:pPr>
      <w:r w:rsidRPr="00212D57">
        <w:rPr>
          <w:rFonts w:hint="eastAsia"/>
          <w:szCs w:val="22"/>
        </w:rPr>
        <w:t>（</w:t>
      </w:r>
      <w:r w:rsidRPr="00212D57">
        <w:rPr>
          <w:szCs w:val="22"/>
        </w:rPr>
        <w:t>《佛光大詞典》（四），</w:t>
      </w:r>
      <w:r w:rsidRPr="00761EF3">
        <w:rPr>
          <w:szCs w:val="22"/>
        </w:rPr>
        <w:t>p</w:t>
      </w:r>
      <w:r w:rsidRPr="00212D57">
        <w:rPr>
          <w:szCs w:val="22"/>
        </w:rPr>
        <w:t>.</w:t>
      </w:r>
      <w:r w:rsidRPr="00761EF3">
        <w:rPr>
          <w:szCs w:val="22"/>
        </w:rPr>
        <w:t>3368</w:t>
      </w:r>
      <w:r w:rsidRPr="00212D57">
        <w:rPr>
          <w:rFonts w:hint="eastAsia"/>
          <w:szCs w:val="22"/>
        </w:rPr>
        <w:t>）</w:t>
      </w:r>
    </w:p>
  </w:footnote>
  <w:footnote w:id="452">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《雜阿含經》卷</w:t>
      </w:r>
      <w:r w:rsidRPr="00761EF3">
        <w:rPr>
          <w:szCs w:val="22"/>
        </w:rPr>
        <w:t>34</w:t>
      </w:r>
      <w:r w:rsidRPr="00212D57">
        <w:rPr>
          <w:szCs w:val="22"/>
        </w:rPr>
        <w:t>（</w:t>
      </w:r>
      <w:r w:rsidRPr="00761EF3">
        <w:rPr>
          <w:szCs w:val="22"/>
        </w:rPr>
        <w:t>961</w:t>
      </w:r>
      <w:r w:rsidRPr="00212D57">
        <w:rPr>
          <w:szCs w:val="22"/>
        </w:rPr>
        <w:t>經）（大正</w:t>
      </w:r>
      <w:r w:rsidRPr="00761EF3">
        <w:rPr>
          <w:szCs w:val="22"/>
        </w:rPr>
        <w:t>2</w:t>
      </w:r>
      <w:r w:rsidRPr="00212D57">
        <w:rPr>
          <w:szCs w:val="22"/>
        </w:rPr>
        <w:t>，</w:t>
      </w:r>
      <w:r w:rsidRPr="00761EF3">
        <w:rPr>
          <w:szCs w:val="22"/>
        </w:rPr>
        <w:t>245b21</w:t>
      </w:r>
      <w:r w:rsidRPr="00212D57">
        <w:rPr>
          <w:szCs w:val="22"/>
        </w:rPr>
        <w:t>-</w:t>
      </w:r>
      <w:r w:rsidRPr="00761EF3">
        <w:rPr>
          <w:szCs w:val="22"/>
        </w:rPr>
        <w:t>22</w:t>
      </w:r>
      <w:r w:rsidRPr="00212D57">
        <w:rPr>
          <w:szCs w:val="22"/>
        </w:rPr>
        <w:t>）。</w:t>
      </w:r>
    </w:p>
  </w:footnote>
  <w:footnote w:id="453">
    <w:p w:rsidR="00157EF6" w:rsidRPr="00212D57" w:rsidRDefault="00157EF6" w:rsidP="002B682F">
      <w:pPr>
        <w:pStyle w:val="a5"/>
        <w:spacing w:line="0" w:lineRule="atLeast"/>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212D57">
        <w:rPr>
          <w:szCs w:val="22"/>
        </w:rPr>
        <w:t>《雜阿含經》卷</w:t>
      </w:r>
      <w:r w:rsidRPr="00761EF3">
        <w:rPr>
          <w:rFonts w:hint="eastAsia"/>
          <w:szCs w:val="22"/>
        </w:rPr>
        <w:t>34</w:t>
      </w:r>
      <w:r w:rsidRPr="00212D57">
        <w:rPr>
          <w:szCs w:val="22"/>
        </w:rPr>
        <w:t>（</w:t>
      </w:r>
      <w:r w:rsidRPr="00761EF3">
        <w:rPr>
          <w:rFonts w:hint="eastAsia"/>
          <w:szCs w:val="22"/>
        </w:rPr>
        <w:t>967</w:t>
      </w:r>
      <w:r w:rsidRPr="00212D57">
        <w:rPr>
          <w:szCs w:val="22"/>
        </w:rPr>
        <w:t>經）（大正</w:t>
      </w:r>
      <w:r w:rsidRPr="00761EF3">
        <w:rPr>
          <w:szCs w:val="22"/>
        </w:rPr>
        <w:t>2</w:t>
      </w:r>
      <w:r w:rsidRPr="00212D57">
        <w:rPr>
          <w:szCs w:val="22"/>
        </w:rPr>
        <w:t>，</w:t>
      </w:r>
      <w:r w:rsidRPr="00761EF3">
        <w:rPr>
          <w:rFonts w:hint="eastAsia"/>
          <w:szCs w:val="22"/>
        </w:rPr>
        <w:t>248b20</w:t>
      </w:r>
      <w:r w:rsidRPr="00212D57">
        <w:rPr>
          <w:szCs w:val="22"/>
        </w:rPr>
        <w:t>-</w:t>
      </w:r>
      <w:r w:rsidRPr="00761EF3">
        <w:rPr>
          <w:rFonts w:hint="eastAsia"/>
          <w:szCs w:val="22"/>
        </w:rPr>
        <w:t>c5</w:t>
      </w:r>
      <w:r w:rsidRPr="00212D57">
        <w:rPr>
          <w:szCs w:val="22"/>
        </w:rPr>
        <w:t>）：</w:t>
      </w:r>
    </w:p>
    <w:p w:rsidR="00157EF6" w:rsidRPr="00212D57" w:rsidRDefault="00157EF6" w:rsidP="002B682F">
      <w:pPr>
        <w:pStyle w:val="a5"/>
        <w:ind w:leftChars="335" w:left="804"/>
        <w:jc w:val="both"/>
        <w:rPr>
          <w:rFonts w:ascii="標楷體" w:eastAsia="標楷體" w:hAnsi="標楷體"/>
          <w:szCs w:val="22"/>
        </w:rPr>
      </w:pPr>
      <w:r w:rsidRPr="00212D57">
        <w:rPr>
          <w:rFonts w:ascii="標楷體" w:eastAsia="標楷體" w:hAnsi="標楷體" w:hint="eastAsia"/>
          <w:szCs w:val="22"/>
        </w:rPr>
        <w:t>俱迦那言：「云何？阿難！如來死後有耶？」</w:t>
      </w:r>
    </w:p>
    <w:p w:rsidR="00157EF6" w:rsidRPr="00212D57" w:rsidRDefault="00157EF6" w:rsidP="00F30B29">
      <w:pPr>
        <w:pStyle w:val="a5"/>
        <w:spacing w:line="300" w:lineRule="exact"/>
        <w:ind w:leftChars="335" w:left="804"/>
        <w:jc w:val="both"/>
        <w:rPr>
          <w:rFonts w:ascii="標楷體" w:eastAsia="標楷體" w:hAnsi="標楷體"/>
          <w:szCs w:val="22"/>
        </w:rPr>
      </w:pPr>
      <w:r w:rsidRPr="00212D57">
        <w:rPr>
          <w:rFonts w:ascii="標楷體" w:eastAsia="標楷體" w:hAnsi="標楷體" w:hint="eastAsia"/>
          <w:szCs w:val="22"/>
        </w:rPr>
        <w:t>阿難答言：「世尊所說，此是無記。」</w:t>
      </w:r>
    </w:p>
    <w:p w:rsidR="00157EF6" w:rsidRPr="00212D57" w:rsidRDefault="00157EF6" w:rsidP="00F30B29">
      <w:pPr>
        <w:pStyle w:val="a5"/>
        <w:spacing w:line="300" w:lineRule="exact"/>
        <w:ind w:leftChars="335" w:left="804"/>
        <w:jc w:val="both"/>
        <w:rPr>
          <w:rFonts w:ascii="標楷體" w:eastAsia="標楷體" w:hAnsi="標楷體"/>
          <w:szCs w:val="22"/>
        </w:rPr>
      </w:pPr>
      <w:r w:rsidRPr="00212D57">
        <w:rPr>
          <w:rFonts w:ascii="標楷體" w:eastAsia="標楷體" w:hAnsi="標楷體" w:hint="eastAsia"/>
          <w:szCs w:val="22"/>
        </w:rPr>
        <w:t>復問：「如來死後無耶？死後有無耶？非有非無耶？」</w:t>
      </w:r>
    </w:p>
    <w:p w:rsidR="00157EF6" w:rsidRPr="00212D57" w:rsidRDefault="00157EF6" w:rsidP="00F30B29">
      <w:pPr>
        <w:pStyle w:val="a5"/>
        <w:spacing w:line="300" w:lineRule="exact"/>
        <w:ind w:leftChars="335" w:left="804"/>
        <w:jc w:val="both"/>
        <w:rPr>
          <w:rFonts w:ascii="標楷體" w:eastAsia="標楷體" w:hAnsi="標楷體"/>
          <w:szCs w:val="22"/>
        </w:rPr>
      </w:pPr>
      <w:r w:rsidRPr="00212D57">
        <w:rPr>
          <w:rFonts w:ascii="標楷體" w:eastAsia="標楷體" w:hAnsi="標楷體" w:hint="eastAsia"/>
          <w:szCs w:val="22"/>
        </w:rPr>
        <w:t>阿難言：「世尊所說，此是無記。」</w:t>
      </w:r>
    </w:p>
    <w:p w:rsidR="00157EF6" w:rsidRPr="00212D57" w:rsidRDefault="00157EF6" w:rsidP="00F30B29">
      <w:pPr>
        <w:pStyle w:val="a5"/>
        <w:spacing w:line="300" w:lineRule="exact"/>
        <w:ind w:leftChars="335" w:left="804"/>
        <w:jc w:val="both"/>
        <w:rPr>
          <w:rFonts w:ascii="標楷體" w:eastAsia="標楷體" w:hAnsi="標楷體"/>
          <w:szCs w:val="22"/>
        </w:rPr>
      </w:pPr>
      <w:r w:rsidRPr="00212D57">
        <w:rPr>
          <w:rFonts w:ascii="標楷體" w:eastAsia="標楷體" w:hAnsi="標楷體" w:hint="eastAsia"/>
          <w:szCs w:val="22"/>
        </w:rPr>
        <w:t>俱迦那外道言：「云何？阿難！如來死後有？答言</w:t>
      </w:r>
      <w:r w:rsidR="00E54038">
        <w:rPr>
          <w:rFonts w:ascii="標楷體" w:eastAsia="標楷體" w:hAnsi="標楷體" w:hint="eastAsia"/>
          <w:color w:val="FF0000"/>
          <w:kern w:val="0"/>
          <w:highlight w:val="yellow"/>
        </w:rPr>
        <w:t>『</w:t>
      </w:r>
      <w:r w:rsidRPr="00212D57">
        <w:rPr>
          <w:rFonts w:ascii="標楷體" w:eastAsia="標楷體" w:hAnsi="標楷體" w:hint="eastAsia"/>
          <w:szCs w:val="22"/>
        </w:rPr>
        <w:t>無記</w:t>
      </w:r>
      <w:r w:rsidR="00E54038">
        <w:rPr>
          <w:rFonts w:ascii="標楷體" w:eastAsia="標楷體" w:hAnsi="標楷體" w:hint="eastAsia"/>
          <w:color w:val="FF0000"/>
          <w:kern w:val="0"/>
          <w:highlight w:val="yellow"/>
        </w:rPr>
        <w:t>』</w:t>
      </w:r>
      <w:r w:rsidRPr="00212D57">
        <w:rPr>
          <w:rFonts w:ascii="標楷體" w:eastAsia="標楷體" w:hAnsi="標楷體" w:hint="eastAsia"/>
          <w:szCs w:val="22"/>
        </w:rPr>
        <w:t>。死後無？死後有無？死後非有非無？答言</w:t>
      </w:r>
      <w:r w:rsidR="00E54038">
        <w:rPr>
          <w:rFonts w:ascii="標楷體" w:eastAsia="標楷體" w:hAnsi="標楷體" w:hint="eastAsia"/>
          <w:color w:val="FF0000"/>
          <w:kern w:val="0"/>
          <w:highlight w:val="yellow"/>
        </w:rPr>
        <w:t>『</w:t>
      </w:r>
      <w:r w:rsidRPr="00212D57">
        <w:rPr>
          <w:rFonts w:ascii="標楷體" w:eastAsia="標楷體" w:hAnsi="標楷體" w:hint="eastAsia"/>
          <w:szCs w:val="22"/>
        </w:rPr>
        <w:t>無記</w:t>
      </w:r>
      <w:r w:rsidR="00E54038">
        <w:rPr>
          <w:rFonts w:ascii="標楷體" w:eastAsia="標楷體" w:hAnsi="標楷體" w:hint="eastAsia"/>
          <w:color w:val="FF0000"/>
          <w:kern w:val="0"/>
          <w:highlight w:val="yellow"/>
        </w:rPr>
        <w:t>』</w:t>
      </w:r>
      <w:r w:rsidRPr="00212D57">
        <w:rPr>
          <w:rFonts w:ascii="標楷體" w:eastAsia="標楷體" w:hAnsi="標楷體" w:hint="eastAsia"/>
          <w:szCs w:val="22"/>
        </w:rPr>
        <w:t>。云何？阿難！為不知不見耶？」</w:t>
      </w:r>
    </w:p>
    <w:p w:rsidR="00157EF6" w:rsidRPr="00212D57" w:rsidRDefault="00157EF6" w:rsidP="00F30B29">
      <w:pPr>
        <w:pStyle w:val="a5"/>
        <w:spacing w:line="300" w:lineRule="exact"/>
        <w:ind w:leftChars="335" w:left="804"/>
        <w:jc w:val="both"/>
        <w:rPr>
          <w:rFonts w:ascii="標楷體" w:eastAsia="標楷體" w:hAnsi="標楷體"/>
          <w:szCs w:val="22"/>
        </w:rPr>
      </w:pPr>
      <w:r w:rsidRPr="00212D57">
        <w:rPr>
          <w:rFonts w:ascii="標楷體" w:eastAsia="標楷體" w:hAnsi="標楷體" w:hint="eastAsia"/>
          <w:szCs w:val="22"/>
        </w:rPr>
        <w:t>阿難答言：「非不知、非不見，悉知、悉見。」</w:t>
      </w:r>
    </w:p>
    <w:p w:rsidR="00157EF6" w:rsidRPr="00212D57" w:rsidRDefault="00157EF6" w:rsidP="00F30B29">
      <w:pPr>
        <w:pStyle w:val="a5"/>
        <w:spacing w:line="300" w:lineRule="exact"/>
        <w:ind w:leftChars="335" w:left="804"/>
        <w:jc w:val="both"/>
        <w:rPr>
          <w:rFonts w:ascii="標楷體" w:eastAsia="標楷體" w:hAnsi="標楷體"/>
          <w:szCs w:val="22"/>
        </w:rPr>
      </w:pPr>
      <w:r w:rsidRPr="00212D57">
        <w:rPr>
          <w:rFonts w:ascii="標楷體" w:eastAsia="標楷體" w:hAnsi="標楷體" w:hint="eastAsia"/>
          <w:szCs w:val="22"/>
        </w:rPr>
        <w:t>復問阿難：「云何知？云何見？」</w:t>
      </w:r>
    </w:p>
    <w:p w:rsidR="00157EF6" w:rsidRPr="00212D57" w:rsidRDefault="00157EF6" w:rsidP="00F30B29">
      <w:pPr>
        <w:pStyle w:val="a5"/>
        <w:spacing w:line="300" w:lineRule="exact"/>
        <w:ind w:leftChars="335" w:left="804"/>
        <w:jc w:val="both"/>
        <w:rPr>
          <w:rFonts w:ascii="標楷體" w:eastAsia="標楷體" w:hAnsi="標楷體"/>
          <w:szCs w:val="22"/>
        </w:rPr>
      </w:pPr>
      <w:r w:rsidRPr="00212D57">
        <w:rPr>
          <w:rFonts w:ascii="標楷體" w:eastAsia="標楷體" w:hAnsi="標楷體" w:hint="eastAsia"/>
          <w:szCs w:val="22"/>
        </w:rPr>
        <w:t>阿難答言：「見可見處，見所起處，見纏斷處，此則為知，此則為見。我如是知、如是見，云何說言</w:t>
      </w:r>
      <w:r w:rsidR="00E54038">
        <w:rPr>
          <w:rFonts w:ascii="標楷體" w:eastAsia="標楷體" w:hAnsi="標楷體" w:hint="eastAsia"/>
          <w:color w:val="FF0000"/>
          <w:kern w:val="0"/>
          <w:highlight w:val="yellow"/>
        </w:rPr>
        <w:t>『</w:t>
      </w:r>
      <w:r w:rsidRPr="00212D57">
        <w:rPr>
          <w:rFonts w:ascii="標楷體" w:eastAsia="標楷體" w:hAnsi="標楷體" w:hint="eastAsia"/>
          <w:szCs w:val="22"/>
        </w:rPr>
        <w:t>不知、不見</w:t>
      </w:r>
      <w:r w:rsidR="00E54038">
        <w:rPr>
          <w:rFonts w:ascii="標楷體" w:eastAsia="標楷體" w:hAnsi="標楷體" w:hint="eastAsia"/>
          <w:color w:val="FF0000"/>
          <w:kern w:val="0"/>
          <w:highlight w:val="yellow"/>
        </w:rPr>
        <w:t>』</w:t>
      </w:r>
      <w:r w:rsidRPr="00212D57">
        <w:rPr>
          <w:rFonts w:ascii="標楷體" w:eastAsia="標楷體" w:hAnsi="標楷體" w:hint="eastAsia"/>
          <w:szCs w:val="22"/>
        </w:rPr>
        <w:t>？」</w:t>
      </w:r>
    </w:p>
    <w:p w:rsidR="00157EF6" w:rsidRPr="00212D57" w:rsidRDefault="00157EF6" w:rsidP="00F30B29">
      <w:pPr>
        <w:pStyle w:val="a5"/>
        <w:spacing w:line="300" w:lineRule="exact"/>
        <w:ind w:leftChars="335" w:left="804"/>
        <w:jc w:val="both"/>
        <w:rPr>
          <w:rFonts w:ascii="標楷體" w:eastAsia="標楷體" w:hAnsi="標楷體"/>
          <w:szCs w:val="22"/>
        </w:rPr>
      </w:pPr>
      <w:r w:rsidRPr="00212D57">
        <w:rPr>
          <w:rFonts w:ascii="標楷體" w:eastAsia="標楷體" w:hAnsi="標楷體" w:hint="eastAsia"/>
          <w:szCs w:val="22"/>
        </w:rPr>
        <w:t>俱迦那外道復問：「尊者何名？」</w:t>
      </w:r>
    </w:p>
    <w:p w:rsidR="00157EF6" w:rsidRPr="00212D57" w:rsidRDefault="00157EF6" w:rsidP="00F30B29">
      <w:pPr>
        <w:pStyle w:val="a5"/>
        <w:spacing w:line="300" w:lineRule="exact"/>
        <w:ind w:leftChars="335" w:left="804"/>
        <w:jc w:val="both"/>
        <w:rPr>
          <w:rFonts w:ascii="標楷體" w:eastAsia="標楷體" w:hAnsi="標楷體"/>
          <w:szCs w:val="22"/>
        </w:rPr>
      </w:pPr>
      <w:r w:rsidRPr="00212D57">
        <w:rPr>
          <w:rFonts w:ascii="標楷體" w:eastAsia="標楷體" w:hAnsi="標楷體" w:hint="eastAsia"/>
          <w:szCs w:val="22"/>
        </w:rPr>
        <w:t>阿難陀答言：「我名阿難陀。」</w:t>
      </w:r>
    </w:p>
    <w:p w:rsidR="00157EF6" w:rsidRPr="00212D57" w:rsidRDefault="00157EF6" w:rsidP="00F30B29">
      <w:pPr>
        <w:pStyle w:val="a5"/>
        <w:spacing w:line="300" w:lineRule="exact"/>
        <w:ind w:leftChars="335" w:left="804"/>
        <w:jc w:val="both"/>
        <w:rPr>
          <w:rFonts w:ascii="標楷體" w:eastAsia="標楷體" w:hAnsi="標楷體"/>
          <w:szCs w:val="22"/>
        </w:rPr>
      </w:pPr>
      <w:r w:rsidRPr="00212D57">
        <w:rPr>
          <w:rFonts w:ascii="標楷體" w:eastAsia="標楷體" w:hAnsi="標楷體" w:hint="eastAsia"/>
          <w:szCs w:val="22"/>
        </w:rPr>
        <w:t>俱迦那外道言：「奇哉！大師弟子，而共論議！我若知是尊者阿難陀者，不敢發問。」</w:t>
      </w:r>
    </w:p>
    <w:p w:rsidR="00157EF6" w:rsidRPr="00212D57" w:rsidRDefault="00157EF6" w:rsidP="00F30B29">
      <w:pPr>
        <w:pStyle w:val="a5"/>
        <w:spacing w:line="300" w:lineRule="exact"/>
        <w:ind w:leftChars="335" w:left="804"/>
        <w:jc w:val="both"/>
        <w:rPr>
          <w:dstrike/>
          <w:szCs w:val="22"/>
        </w:rPr>
      </w:pPr>
      <w:r w:rsidRPr="00212D57">
        <w:rPr>
          <w:rFonts w:ascii="標楷體" w:eastAsia="標楷體" w:hAnsi="標楷體" w:hint="eastAsia"/>
          <w:szCs w:val="22"/>
        </w:rPr>
        <w:t>說是語已，即捨而去。</w:t>
      </w:r>
    </w:p>
    <w:p w:rsidR="00157EF6" w:rsidRPr="00212D57" w:rsidRDefault="00157EF6" w:rsidP="00F30B29">
      <w:pPr>
        <w:pStyle w:val="a5"/>
        <w:spacing w:line="300" w:lineRule="exact"/>
        <w:ind w:leftChars="105" w:left="79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w:t>
      </w:r>
      <w:r w:rsidRPr="00212D57">
        <w:rPr>
          <w:szCs w:val="22"/>
        </w:rPr>
        <w:t>《大智度論》卷</w:t>
      </w:r>
      <w:r w:rsidRPr="00761EF3">
        <w:rPr>
          <w:szCs w:val="22"/>
        </w:rPr>
        <w:t>70</w:t>
      </w:r>
      <w:r w:rsidR="00E64597">
        <w:rPr>
          <w:rFonts w:hint="eastAsia"/>
          <w:color w:val="FF0000"/>
          <w:szCs w:val="22"/>
          <w:highlight w:val="yellow"/>
        </w:rPr>
        <w:t>釋</w:t>
      </w:r>
      <w:r w:rsidRPr="00212D57">
        <w:rPr>
          <w:szCs w:val="22"/>
        </w:rPr>
        <w:t>〈</w:t>
      </w:r>
      <w:r w:rsidRPr="00761EF3">
        <w:rPr>
          <w:szCs w:val="22"/>
        </w:rPr>
        <w:t>48</w:t>
      </w:r>
      <w:r w:rsidRPr="00212D57">
        <w:rPr>
          <w:szCs w:val="22"/>
        </w:rPr>
        <w:t xml:space="preserve"> </w:t>
      </w:r>
      <w:r w:rsidRPr="00212D57">
        <w:rPr>
          <w:szCs w:val="22"/>
        </w:rPr>
        <w:t>佛母品〉</w:t>
      </w:r>
      <w:r w:rsidRPr="00212D57">
        <w:rPr>
          <w:rFonts w:ascii="新細明體" w:hAnsi="新細明體"/>
          <w:szCs w:val="22"/>
        </w:rPr>
        <w:t>（</w:t>
      </w:r>
      <w:r w:rsidRPr="00212D57">
        <w:rPr>
          <w:rFonts w:ascii="新細明體" w:hAnsi="新細明體" w:hint="eastAsia"/>
          <w:szCs w:val="22"/>
        </w:rPr>
        <w:t>大正</w:t>
      </w:r>
      <w:r w:rsidRPr="00761EF3">
        <w:rPr>
          <w:szCs w:val="22"/>
        </w:rPr>
        <w:t>25</w:t>
      </w:r>
      <w:r w:rsidRPr="00212D57">
        <w:rPr>
          <w:szCs w:val="22"/>
        </w:rPr>
        <w:t>，</w:t>
      </w:r>
      <w:r w:rsidRPr="00761EF3">
        <w:rPr>
          <w:szCs w:val="22"/>
        </w:rPr>
        <w:t>547b5</w:t>
      </w:r>
      <w:r w:rsidRPr="00212D57">
        <w:rPr>
          <w:szCs w:val="22"/>
        </w:rPr>
        <w:t>-</w:t>
      </w:r>
      <w:r w:rsidRPr="00761EF3">
        <w:rPr>
          <w:szCs w:val="22"/>
        </w:rPr>
        <w:t>17</w:t>
      </w:r>
      <w:r w:rsidRPr="00212D57">
        <w:rPr>
          <w:rFonts w:ascii="新細明體" w:hAnsi="新細明體"/>
          <w:szCs w:val="22"/>
        </w:rPr>
        <w:t>）</w:t>
      </w:r>
      <w:r w:rsidRPr="00212D57">
        <w:rPr>
          <w:szCs w:val="22"/>
        </w:rPr>
        <w:t>：</w:t>
      </w:r>
    </w:p>
    <w:p w:rsidR="00157EF6" w:rsidRPr="00212D57" w:rsidRDefault="00157EF6" w:rsidP="00F30B29">
      <w:pPr>
        <w:pStyle w:val="a5"/>
        <w:spacing w:line="300" w:lineRule="exact"/>
        <w:ind w:leftChars="335" w:left="804"/>
        <w:jc w:val="both"/>
        <w:rPr>
          <w:rFonts w:ascii="標楷體" w:eastAsia="標楷體" w:hAnsi="標楷體"/>
          <w:szCs w:val="22"/>
        </w:rPr>
      </w:pPr>
      <w:r w:rsidRPr="00212D57">
        <w:rPr>
          <w:rFonts w:ascii="標楷體" w:eastAsia="標楷體" w:hAnsi="標楷體" w:hint="eastAsia"/>
          <w:szCs w:val="22"/>
        </w:rPr>
        <w:t>「死後有如去」者</w:t>
      </w:r>
      <w:r w:rsidR="00E54038">
        <w:rPr>
          <w:rFonts w:ascii="標楷體" w:eastAsia="標楷體" w:hAnsi="標楷體" w:hint="eastAsia"/>
          <w:color w:val="FF0000"/>
          <w:spacing w:val="-4"/>
          <w:kern w:val="0"/>
          <w:highlight w:val="yellow"/>
        </w:rPr>
        <w:t>：</w:t>
      </w:r>
    </w:p>
    <w:p w:rsidR="00157EF6" w:rsidRPr="00212D57" w:rsidRDefault="00157EF6" w:rsidP="00256510">
      <w:pPr>
        <w:pStyle w:val="a5"/>
        <w:spacing w:line="300" w:lineRule="exact"/>
        <w:ind w:leftChars="335" w:left="1464" w:hangingChars="300" w:hanging="660"/>
        <w:jc w:val="both"/>
        <w:rPr>
          <w:rFonts w:ascii="標楷體" w:eastAsia="標楷體" w:hAnsi="標楷體"/>
          <w:szCs w:val="22"/>
        </w:rPr>
      </w:pPr>
      <w:r w:rsidRPr="00212D57">
        <w:rPr>
          <w:rFonts w:ascii="標楷體" w:eastAsia="標楷體" w:hAnsi="標楷體" w:hint="eastAsia"/>
          <w:szCs w:val="22"/>
        </w:rPr>
        <w:t>問曰：先說</w:t>
      </w:r>
      <w:r w:rsidR="00E54038">
        <w:rPr>
          <w:rFonts w:ascii="標楷體" w:eastAsia="標楷體" w:hAnsi="標楷體" w:hint="eastAsia"/>
          <w:bCs/>
          <w:color w:val="FF0000"/>
          <w:kern w:val="0"/>
          <w:highlight w:val="yellow"/>
        </w:rPr>
        <w:t>「</w:t>
      </w:r>
      <w:r w:rsidRPr="00212D57">
        <w:rPr>
          <w:rFonts w:ascii="標楷體" w:eastAsia="標楷體" w:hAnsi="標楷體" w:hint="eastAsia"/>
          <w:szCs w:val="22"/>
        </w:rPr>
        <w:t>常、無常</w:t>
      </w:r>
      <w:r w:rsidR="00E54038">
        <w:rPr>
          <w:rFonts w:ascii="標楷體" w:eastAsia="標楷體" w:hAnsi="標楷體" w:hint="eastAsia"/>
          <w:bCs/>
          <w:color w:val="FF0000"/>
          <w:kern w:val="0"/>
          <w:highlight w:val="yellow"/>
        </w:rPr>
        <w:t>」</w:t>
      </w:r>
      <w:r w:rsidRPr="00212D57">
        <w:rPr>
          <w:rFonts w:ascii="標楷體" w:eastAsia="標楷體" w:hAnsi="標楷體" w:hint="eastAsia"/>
          <w:szCs w:val="22"/>
        </w:rPr>
        <w:t>等，即是</w:t>
      </w:r>
      <w:r w:rsidR="00E54038">
        <w:rPr>
          <w:rFonts w:ascii="標楷體" w:eastAsia="標楷體" w:hAnsi="標楷體" w:hint="eastAsia"/>
          <w:bCs/>
          <w:color w:val="FF0000"/>
          <w:kern w:val="0"/>
          <w:highlight w:val="yellow"/>
        </w:rPr>
        <w:t>「</w:t>
      </w:r>
      <w:r w:rsidRPr="00212D57">
        <w:rPr>
          <w:rFonts w:ascii="標楷體" w:eastAsia="標楷體" w:hAnsi="標楷體" w:hint="eastAsia"/>
          <w:szCs w:val="22"/>
        </w:rPr>
        <w:t>後世</w:t>
      </w:r>
      <w:r w:rsidR="00E54038">
        <w:rPr>
          <w:rFonts w:ascii="標楷體" w:eastAsia="標楷體" w:hAnsi="標楷體" w:hint="eastAsia"/>
          <w:color w:val="FF0000"/>
          <w:kern w:val="0"/>
          <w:highlight w:val="yellow"/>
        </w:rPr>
        <w:t>『</w:t>
      </w:r>
      <w:r w:rsidRPr="00212D57">
        <w:rPr>
          <w:rFonts w:ascii="標楷體" w:eastAsia="標楷體" w:hAnsi="標楷體" w:hint="eastAsia"/>
          <w:szCs w:val="22"/>
        </w:rPr>
        <w:t>或有</w:t>
      </w:r>
      <w:r w:rsidR="00E54038">
        <w:rPr>
          <w:rFonts w:ascii="標楷體" w:eastAsia="標楷體" w:hAnsi="標楷體" w:hint="eastAsia"/>
          <w:color w:val="FF0000"/>
          <w:spacing w:val="-4"/>
          <w:kern w:val="0"/>
          <w:highlight w:val="yellow"/>
        </w:rPr>
        <w:t>、</w:t>
      </w:r>
      <w:r w:rsidRPr="00212D57">
        <w:rPr>
          <w:rFonts w:ascii="標楷體" w:eastAsia="標楷體" w:hAnsi="標楷體" w:hint="eastAsia"/>
          <w:szCs w:val="22"/>
        </w:rPr>
        <w:t>或無</w:t>
      </w:r>
      <w:r w:rsidR="00E54038">
        <w:rPr>
          <w:rFonts w:ascii="標楷體" w:eastAsia="標楷體" w:hAnsi="標楷體" w:hint="eastAsia"/>
          <w:color w:val="FF0000"/>
          <w:kern w:val="0"/>
          <w:highlight w:val="yellow"/>
        </w:rPr>
        <w:t>』</w:t>
      </w:r>
      <w:r w:rsidR="00E54038">
        <w:rPr>
          <w:rFonts w:ascii="標楷體" w:eastAsia="標楷體" w:hAnsi="標楷體" w:hint="eastAsia"/>
          <w:bCs/>
          <w:color w:val="FF0000"/>
          <w:kern w:val="0"/>
          <w:highlight w:val="yellow"/>
        </w:rPr>
        <w:t>」</w:t>
      </w:r>
      <w:r w:rsidRPr="00212D57">
        <w:rPr>
          <w:rFonts w:ascii="標楷體" w:eastAsia="標楷體" w:hAnsi="標楷體" w:hint="eastAsia"/>
          <w:szCs w:val="22"/>
        </w:rPr>
        <w:t>，今何以別說</w:t>
      </w:r>
      <w:r w:rsidR="00E54038">
        <w:rPr>
          <w:rFonts w:ascii="標楷體" w:eastAsia="標楷體" w:hAnsi="標楷體" w:hint="eastAsia"/>
          <w:bCs/>
          <w:color w:val="FF0000"/>
          <w:kern w:val="0"/>
          <w:highlight w:val="yellow"/>
        </w:rPr>
        <w:t>「</w:t>
      </w:r>
      <w:r w:rsidRPr="00212D57">
        <w:rPr>
          <w:rFonts w:ascii="標楷體" w:eastAsia="標楷體" w:hAnsi="標楷體" w:hint="eastAsia"/>
          <w:szCs w:val="22"/>
        </w:rPr>
        <w:t>如去</w:t>
      </w:r>
      <w:r w:rsidR="00E54038">
        <w:rPr>
          <w:rFonts w:ascii="標楷體" w:eastAsia="標楷體" w:hAnsi="標楷體" w:hint="eastAsia"/>
          <w:bCs/>
          <w:color w:val="FF0000"/>
          <w:kern w:val="0"/>
          <w:highlight w:val="yellow"/>
        </w:rPr>
        <w:t>」</w:t>
      </w:r>
      <w:r w:rsidRPr="00212D57">
        <w:rPr>
          <w:rFonts w:ascii="標楷體" w:eastAsia="標楷體" w:hAnsi="標楷體" w:hint="eastAsia"/>
          <w:szCs w:val="22"/>
        </w:rPr>
        <w:t>四句？</w:t>
      </w:r>
    </w:p>
    <w:p w:rsidR="00157EF6" w:rsidRPr="00212D57" w:rsidRDefault="00157EF6" w:rsidP="00E54038">
      <w:pPr>
        <w:pStyle w:val="a5"/>
        <w:spacing w:line="300" w:lineRule="exact"/>
        <w:ind w:leftChars="335" w:left="1464" w:hangingChars="300" w:hanging="660"/>
        <w:jc w:val="both"/>
        <w:rPr>
          <w:rFonts w:ascii="標楷體" w:eastAsia="標楷體" w:hAnsi="標楷體"/>
          <w:szCs w:val="22"/>
        </w:rPr>
      </w:pPr>
      <w:r w:rsidRPr="00212D57">
        <w:rPr>
          <w:rFonts w:ascii="標楷體" w:eastAsia="標楷體" w:hAnsi="標楷體" w:hint="eastAsia"/>
          <w:szCs w:val="22"/>
        </w:rPr>
        <w:t>答曰：上總說「一切世間</w:t>
      </w:r>
      <w:r w:rsidR="00E54038">
        <w:rPr>
          <w:rFonts w:ascii="標楷體" w:eastAsia="標楷體" w:hAnsi="標楷體" w:hint="eastAsia"/>
          <w:color w:val="FF0000"/>
          <w:kern w:val="0"/>
          <w:highlight w:val="yellow"/>
        </w:rPr>
        <w:t>『</w:t>
      </w:r>
      <w:r w:rsidRPr="00212D57">
        <w:rPr>
          <w:rFonts w:ascii="標楷體" w:eastAsia="標楷體" w:hAnsi="標楷體" w:hint="eastAsia"/>
          <w:szCs w:val="22"/>
        </w:rPr>
        <w:t>常、非常</w:t>
      </w:r>
      <w:r w:rsidR="00E54038">
        <w:rPr>
          <w:rFonts w:ascii="標楷體" w:eastAsia="標楷體" w:hAnsi="標楷體" w:hint="eastAsia"/>
          <w:color w:val="FF0000"/>
          <w:kern w:val="0"/>
          <w:highlight w:val="yellow"/>
        </w:rPr>
        <w:t>』</w:t>
      </w:r>
      <w:r w:rsidRPr="00212D57">
        <w:rPr>
          <w:rFonts w:ascii="標楷體" w:eastAsia="標楷體" w:hAnsi="標楷體" w:hint="eastAsia"/>
          <w:szCs w:val="22"/>
        </w:rPr>
        <w:t>」</w:t>
      </w:r>
      <w:r w:rsidR="00256510">
        <w:rPr>
          <w:rFonts w:ascii="標楷體" w:eastAsia="標楷體" w:hAnsi="標楷體" w:hint="eastAsia"/>
          <w:color w:val="FF0000"/>
          <w:spacing w:val="-4"/>
          <w:kern w:val="0"/>
          <w:highlight w:val="yellow"/>
        </w:rPr>
        <w:t>；</w:t>
      </w:r>
      <w:r w:rsidRPr="00212D57">
        <w:rPr>
          <w:rFonts w:ascii="標楷體" w:eastAsia="標楷體" w:hAnsi="標楷體" w:hint="eastAsia"/>
          <w:szCs w:val="22"/>
        </w:rPr>
        <w:t>「後世</w:t>
      </w:r>
      <w:r w:rsidR="00E54038">
        <w:rPr>
          <w:rFonts w:ascii="標楷體" w:eastAsia="標楷體" w:hAnsi="標楷體" w:hint="eastAsia"/>
          <w:color w:val="FF0000"/>
          <w:kern w:val="0"/>
          <w:highlight w:val="yellow"/>
        </w:rPr>
        <w:t>『</w:t>
      </w:r>
      <w:r w:rsidRPr="00212D57">
        <w:rPr>
          <w:rFonts w:ascii="標楷體" w:eastAsia="標楷體" w:hAnsi="標楷體" w:hint="eastAsia"/>
          <w:szCs w:val="22"/>
        </w:rPr>
        <w:t>有、無</w:t>
      </w:r>
      <w:r w:rsidR="00E54038">
        <w:rPr>
          <w:rFonts w:ascii="標楷體" w:eastAsia="標楷體" w:hAnsi="標楷體" w:hint="eastAsia"/>
          <w:color w:val="FF0000"/>
          <w:kern w:val="0"/>
          <w:highlight w:val="yellow"/>
        </w:rPr>
        <w:t>』</w:t>
      </w:r>
      <w:r w:rsidRPr="00212D57">
        <w:rPr>
          <w:rFonts w:ascii="標楷體" w:eastAsia="標楷體" w:hAnsi="標楷體" w:hint="eastAsia"/>
          <w:szCs w:val="22"/>
        </w:rPr>
        <w:t>」</w:t>
      </w:r>
      <w:r w:rsidR="00256510" w:rsidRPr="00256510">
        <w:rPr>
          <w:rFonts w:ascii="標楷體" w:eastAsia="標楷體" w:hAnsi="標楷體" w:hint="eastAsia"/>
          <w:color w:val="FF0000"/>
          <w:szCs w:val="22"/>
          <w:highlight w:val="yellow"/>
        </w:rPr>
        <w:t>，</w:t>
      </w:r>
      <w:r w:rsidRPr="00256510">
        <w:rPr>
          <w:rFonts w:ascii="標楷體" w:eastAsia="標楷體" w:hAnsi="標楷體" w:hint="eastAsia"/>
          <w:szCs w:val="22"/>
          <w:highlight w:val="yellow"/>
        </w:rPr>
        <w:t>事要</w:t>
      </w:r>
      <w:r w:rsidRPr="00212D57">
        <w:rPr>
          <w:rFonts w:ascii="標楷體" w:eastAsia="標楷體" w:hAnsi="標楷體" w:hint="eastAsia"/>
          <w:szCs w:val="22"/>
        </w:rPr>
        <w:t>故，別說。</w:t>
      </w:r>
    </w:p>
    <w:p w:rsidR="00157EF6" w:rsidRPr="00212D57" w:rsidRDefault="00157EF6" w:rsidP="00F30B29">
      <w:pPr>
        <w:pStyle w:val="a5"/>
        <w:spacing w:line="300" w:lineRule="exact"/>
        <w:ind w:leftChars="610" w:left="1464"/>
        <w:jc w:val="both"/>
        <w:rPr>
          <w:rFonts w:ascii="標楷體" w:eastAsia="標楷體" w:hAnsi="標楷體"/>
          <w:szCs w:val="22"/>
        </w:rPr>
      </w:pPr>
      <w:r w:rsidRPr="00212D57">
        <w:rPr>
          <w:rFonts w:ascii="標楷體" w:eastAsia="標楷體" w:hAnsi="標楷體" w:hint="eastAsia"/>
          <w:szCs w:val="22"/>
        </w:rPr>
        <w:t>「如去」者，如人來此間生，去至後世亦如是。</w:t>
      </w:r>
    </w:p>
    <w:p w:rsidR="00157EF6" w:rsidRPr="00212D57" w:rsidRDefault="00157EF6" w:rsidP="00F30B29">
      <w:pPr>
        <w:pStyle w:val="a5"/>
        <w:spacing w:line="300" w:lineRule="exact"/>
        <w:ind w:leftChars="610" w:left="1464"/>
        <w:jc w:val="both"/>
        <w:rPr>
          <w:rFonts w:ascii="標楷體" w:eastAsia="標楷體" w:hAnsi="標楷體"/>
          <w:szCs w:val="22"/>
        </w:rPr>
      </w:pPr>
      <w:r w:rsidRPr="00212D57">
        <w:rPr>
          <w:rFonts w:ascii="標楷體" w:eastAsia="標楷體" w:hAnsi="標楷體" w:hint="eastAsia"/>
          <w:szCs w:val="22"/>
        </w:rPr>
        <w:t>有人言：先世無所從來，滅亦無所去。</w:t>
      </w:r>
    </w:p>
    <w:p w:rsidR="00157EF6" w:rsidRPr="00212D57" w:rsidRDefault="00157EF6" w:rsidP="00F30B29">
      <w:pPr>
        <w:pStyle w:val="a5"/>
        <w:spacing w:line="300" w:lineRule="exact"/>
        <w:ind w:leftChars="610" w:left="1464"/>
        <w:jc w:val="both"/>
        <w:rPr>
          <w:rFonts w:ascii="標楷體" w:eastAsia="標楷體" w:hAnsi="標楷體"/>
          <w:szCs w:val="22"/>
        </w:rPr>
      </w:pPr>
      <w:r w:rsidRPr="00212D57">
        <w:rPr>
          <w:rFonts w:ascii="標楷體" w:eastAsia="標楷體" w:hAnsi="標楷體" w:hint="eastAsia"/>
          <w:szCs w:val="22"/>
        </w:rPr>
        <w:t>有人言：身、神和合為人，死後神去身不去，是名</w:t>
      </w:r>
      <w:r w:rsidR="00256510">
        <w:rPr>
          <w:rFonts w:ascii="標楷體" w:eastAsia="標楷體" w:hAnsi="標楷體" w:hint="eastAsia"/>
          <w:bCs/>
          <w:color w:val="FF0000"/>
          <w:kern w:val="0"/>
          <w:highlight w:val="yellow"/>
        </w:rPr>
        <w:t>「</w:t>
      </w:r>
      <w:r w:rsidRPr="00212D57">
        <w:rPr>
          <w:rFonts w:ascii="標楷體" w:eastAsia="標楷體" w:hAnsi="標楷體" w:hint="eastAsia"/>
          <w:szCs w:val="22"/>
        </w:rPr>
        <w:t>如去不如去</w:t>
      </w:r>
      <w:r w:rsidR="00256510">
        <w:rPr>
          <w:rFonts w:ascii="標楷體" w:eastAsia="標楷體" w:hAnsi="標楷體" w:hint="eastAsia"/>
          <w:bCs/>
          <w:color w:val="FF0000"/>
          <w:kern w:val="0"/>
          <w:highlight w:val="yellow"/>
        </w:rPr>
        <w:t>」</w:t>
      </w:r>
      <w:r w:rsidRPr="00212D57">
        <w:rPr>
          <w:rFonts w:ascii="標楷體" w:eastAsia="標楷體" w:hAnsi="標楷體" w:hint="eastAsia"/>
          <w:szCs w:val="22"/>
        </w:rPr>
        <w:t>。</w:t>
      </w:r>
    </w:p>
    <w:p w:rsidR="00157EF6" w:rsidRPr="00212D57" w:rsidRDefault="00157EF6" w:rsidP="00F30B29">
      <w:pPr>
        <w:pStyle w:val="a5"/>
        <w:spacing w:line="300" w:lineRule="exact"/>
        <w:ind w:leftChars="610" w:left="1464"/>
        <w:jc w:val="both"/>
        <w:rPr>
          <w:rFonts w:ascii="標楷體" w:eastAsia="標楷體" w:hAnsi="標楷體"/>
          <w:szCs w:val="22"/>
        </w:rPr>
      </w:pPr>
      <w:r w:rsidRPr="00212D57">
        <w:rPr>
          <w:rFonts w:ascii="標楷體" w:eastAsia="標楷體" w:hAnsi="標楷體" w:hint="eastAsia"/>
          <w:szCs w:val="22"/>
        </w:rPr>
        <w:t>「非有如去非無如去」者，見「去」、「不去」有失故，說「非去非不去」。是人不能捨</w:t>
      </w:r>
      <w:r w:rsidRPr="00E54038">
        <w:rPr>
          <w:rFonts w:ascii="標楷體" w:eastAsia="標楷體" w:hAnsi="標楷體" w:hint="eastAsia"/>
          <w:szCs w:val="22"/>
          <w:highlight w:val="yellow"/>
        </w:rPr>
        <w:t>神而</w:t>
      </w:r>
      <w:r w:rsidRPr="00212D57">
        <w:rPr>
          <w:rFonts w:ascii="標楷體" w:eastAsia="標楷體" w:hAnsi="標楷體" w:hint="eastAsia"/>
          <w:szCs w:val="22"/>
        </w:rPr>
        <w:t>著「非去非不去」。</w:t>
      </w:r>
    </w:p>
    <w:p w:rsidR="00157EF6" w:rsidRPr="00212D57" w:rsidRDefault="00157EF6" w:rsidP="00F30B29">
      <w:pPr>
        <w:pStyle w:val="a5"/>
        <w:spacing w:line="300" w:lineRule="exact"/>
        <w:ind w:leftChars="610" w:left="1464"/>
        <w:jc w:val="both"/>
        <w:rPr>
          <w:szCs w:val="22"/>
        </w:rPr>
      </w:pPr>
      <w:r w:rsidRPr="00212D57">
        <w:rPr>
          <w:rFonts w:ascii="標楷體" w:eastAsia="標楷體" w:hAnsi="標楷體" w:hint="eastAsia"/>
          <w:szCs w:val="22"/>
        </w:rPr>
        <w:t>如是諸邪見煩惱等，是名「心</w:t>
      </w:r>
      <w:r w:rsidR="00E54038">
        <w:rPr>
          <w:rFonts w:ascii="標楷體" w:eastAsia="標楷體" w:hAnsi="標楷體" w:hint="eastAsia"/>
          <w:color w:val="FF0000"/>
          <w:kern w:val="0"/>
          <w:highlight w:val="yellow"/>
        </w:rPr>
        <w:t>『</w:t>
      </w:r>
      <w:r w:rsidRPr="00212D57">
        <w:rPr>
          <w:rFonts w:ascii="標楷體" w:eastAsia="標楷體" w:hAnsi="標楷體" w:hint="eastAsia"/>
          <w:szCs w:val="22"/>
        </w:rPr>
        <w:t>出、沒、屈、伸</w:t>
      </w:r>
      <w:r w:rsidR="00E54038">
        <w:rPr>
          <w:rFonts w:ascii="標楷體" w:eastAsia="標楷體" w:hAnsi="標楷體" w:hint="eastAsia"/>
          <w:color w:val="FF0000"/>
          <w:kern w:val="0"/>
          <w:highlight w:val="yellow"/>
        </w:rPr>
        <w:t>』</w:t>
      </w:r>
      <w:r w:rsidRPr="00212D57">
        <w:rPr>
          <w:rFonts w:ascii="標楷體" w:eastAsia="標楷體" w:hAnsi="標楷體" w:hint="eastAsia"/>
          <w:szCs w:val="22"/>
        </w:rPr>
        <w:t>」。所以者何？邪見者種種道求出不得故，欲出而沒</w:t>
      </w:r>
      <w:r w:rsidR="00E54038">
        <w:rPr>
          <w:rFonts w:ascii="標楷體" w:eastAsia="標楷體" w:hAnsi="標楷體" w:hint="eastAsia"/>
          <w:color w:val="FF0000"/>
          <w:spacing w:val="-4"/>
          <w:kern w:val="0"/>
          <w:highlight w:val="yellow"/>
        </w:rPr>
        <w:t>；</w:t>
      </w:r>
      <w:r w:rsidRPr="00212D57">
        <w:rPr>
          <w:rFonts w:ascii="標楷體" w:eastAsia="標楷體" w:hAnsi="標楷體" w:hint="eastAsia"/>
          <w:szCs w:val="22"/>
        </w:rPr>
        <w:t>邪見力多</w:t>
      </w:r>
      <w:r w:rsidR="00643D0C" w:rsidRPr="00643D0C">
        <w:rPr>
          <w:rFonts w:ascii="標楷體" w:eastAsia="標楷體" w:hAnsi="標楷體" w:hint="eastAsia"/>
          <w:color w:val="FF0000"/>
          <w:szCs w:val="22"/>
          <w:highlight w:val="yellow"/>
        </w:rPr>
        <w:t>，</w:t>
      </w:r>
      <w:r w:rsidRPr="00212D57">
        <w:rPr>
          <w:rFonts w:ascii="標楷體" w:eastAsia="標楷體" w:hAnsi="標楷體" w:hint="eastAsia"/>
          <w:szCs w:val="22"/>
        </w:rPr>
        <w:t>難解，故說</w:t>
      </w:r>
      <w:r w:rsidR="00E54038">
        <w:rPr>
          <w:rFonts w:ascii="標楷體" w:eastAsia="標楷體" w:hAnsi="標楷體" w:hint="eastAsia"/>
          <w:bCs/>
          <w:color w:val="FF0000"/>
          <w:kern w:val="0"/>
          <w:highlight w:val="yellow"/>
        </w:rPr>
        <w:t>「</w:t>
      </w:r>
      <w:r w:rsidR="00E54038">
        <w:rPr>
          <w:rFonts w:ascii="標楷體" w:eastAsia="標楷體" w:hAnsi="標楷體" w:hint="eastAsia"/>
          <w:color w:val="FF0000"/>
          <w:kern w:val="0"/>
          <w:highlight w:val="yellow"/>
        </w:rPr>
        <w:t>『</w:t>
      </w:r>
      <w:r w:rsidRPr="00212D57">
        <w:rPr>
          <w:rFonts w:ascii="標楷體" w:eastAsia="標楷體" w:hAnsi="標楷體" w:hint="eastAsia"/>
          <w:szCs w:val="22"/>
        </w:rPr>
        <w:t>常、無常</w:t>
      </w:r>
      <w:r w:rsidR="00E54038">
        <w:rPr>
          <w:rFonts w:ascii="標楷體" w:eastAsia="標楷體" w:hAnsi="標楷體" w:hint="eastAsia"/>
          <w:color w:val="FF0000"/>
          <w:kern w:val="0"/>
          <w:highlight w:val="yellow"/>
        </w:rPr>
        <w:t>』</w:t>
      </w:r>
      <w:r w:rsidRPr="00212D57">
        <w:rPr>
          <w:rFonts w:ascii="標楷體" w:eastAsia="標楷體" w:hAnsi="標楷體" w:hint="eastAsia"/>
          <w:szCs w:val="22"/>
        </w:rPr>
        <w:t>等十四事</w:t>
      </w:r>
      <w:r w:rsidR="00E54038">
        <w:rPr>
          <w:rFonts w:ascii="標楷體" w:eastAsia="標楷體" w:hAnsi="標楷體" w:hint="eastAsia"/>
          <w:bCs/>
          <w:color w:val="FF0000"/>
          <w:kern w:val="0"/>
          <w:highlight w:val="yellow"/>
        </w:rPr>
        <w:t>」</w:t>
      </w:r>
      <w:r w:rsidRPr="00212D57">
        <w:rPr>
          <w:rFonts w:ascii="標楷體" w:eastAsia="標楷體" w:hAnsi="標楷體" w:hint="eastAsia"/>
          <w:szCs w:val="22"/>
        </w:rPr>
        <w:t>。</w:t>
      </w:r>
    </w:p>
  </w:footnote>
  <w:footnote w:id="454">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szCs w:val="22"/>
        </w:rPr>
        <w:t>與</w:t>
      </w:r>
      <w:r w:rsidRPr="00212D57">
        <w:rPr>
          <w:rFonts w:hint="eastAsia"/>
          <w:szCs w:val="22"/>
        </w:rPr>
        <w:t>「</w:t>
      </w:r>
      <w:r w:rsidRPr="00212D57">
        <w:rPr>
          <w:szCs w:val="22"/>
        </w:rPr>
        <w:t>作</w:t>
      </w:r>
      <w:r w:rsidRPr="00212D57">
        <w:rPr>
          <w:rFonts w:hint="eastAsia"/>
          <w:szCs w:val="22"/>
        </w:rPr>
        <w:t>」</w:t>
      </w:r>
      <w:r w:rsidRPr="00212D57">
        <w:rPr>
          <w:szCs w:val="22"/>
        </w:rPr>
        <w:t>（</w:t>
      </w:r>
      <w:r w:rsidRPr="00761EF3">
        <w:rPr>
          <w:szCs w:val="22"/>
        </w:rPr>
        <w:t>Kṛ</w:t>
      </w:r>
      <w:r w:rsidRPr="00212D57">
        <w:rPr>
          <w:szCs w:val="22"/>
        </w:rPr>
        <w:t>）有關的幾個梵文字</w:t>
      </w:r>
      <w:r w:rsidRPr="00212D57">
        <w:rPr>
          <w:rFonts w:hint="eastAsia"/>
          <w:szCs w:val="22"/>
        </w:rPr>
        <w:t>：</w:t>
      </w:r>
    </w:p>
    <w:p w:rsidR="00157EF6" w:rsidRPr="00212D57" w:rsidRDefault="00157EF6" w:rsidP="002B682F">
      <w:pPr>
        <w:kinsoku w:val="0"/>
        <w:overflowPunct w:val="0"/>
        <w:autoSpaceDE w:val="0"/>
        <w:autoSpaceDN w:val="0"/>
        <w:snapToGrid w:val="0"/>
        <w:ind w:leftChars="105" w:left="802" w:hangingChars="250" w:hanging="550"/>
        <w:jc w:val="both"/>
        <w:rPr>
          <w:sz w:val="22"/>
          <w:szCs w:val="22"/>
        </w:rPr>
      </w:pPr>
      <w:r w:rsidRPr="00212D57">
        <w:rPr>
          <w:rFonts w:hint="eastAsia"/>
          <w:sz w:val="22"/>
          <w:szCs w:val="22"/>
        </w:rPr>
        <w:t>（</w:t>
      </w:r>
      <w:r w:rsidRPr="00761EF3">
        <w:rPr>
          <w:rFonts w:ascii="Times New Roman" w:hAnsi="Times New Roman" w:hint="eastAsia"/>
          <w:sz w:val="22"/>
          <w:szCs w:val="22"/>
        </w:rPr>
        <w:t>1</w:t>
      </w:r>
      <w:r w:rsidRPr="00212D57">
        <w:rPr>
          <w:rFonts w:hint="eastAsia"/>
          <w:sz w:val="22"/>
          <w:szCs w:val="22"/>
        </w:rPr>
        <w:t>）</w:t>
      </w:r>
      <w:r w:rsidRPr="00761EF3">
        <w:rPr>
          <w:rFonts w:ascii="Times New Roman" w:hAnsi="Times New Roman"/>
          <w:sz w:val="22"/>
          <w:szCs w:val="22"/>
        </w:rPr>
        <w:t>kriyā</w:t>
      </w:r>
      <w:r w:rsidRPr="00212D57">
        <w:rPr>
          <w:sz w:val="22"/>
          <w:szCs w:val="22"/>
        </w:rPr>
        <w:t>（陰性名詞）：是力用或作用的意義。</w:t>
      </w:r>
    </w:p>
    <w:p w:rsidR="00157EF6" w:rsidRPr="00212D57" w:rsidRDefault="00157EF6" w:rsidP="002B682F">
      <w:pPr>
        <w:kinsoku w:val="0"/>
        <w:overflowPunct w:val="0"/>
        <w:autoSpaceDE w:val="0"/>
        <w:autoSpaceDN w:val="0"/>
        <w:snapToGrid w:val="0"/>
        <w:ind w:leftChars="105" w:left="802" w:hangingChars="250" w:hanging="550"/>
        <w:jc w:val="both"/>
        <w:rPr>
          <w:sz w:val="22"/>
          <w:szCs w:val="22"/>
        </w:rPr>
      </w:pPr>
      <w:r w:rsidRPr="00212D57">
        <w:rPr>
          <w:rFonts w:hint="eastAsia"/>
          <w:sz w:val="22"/>
          <w:szCs w:val="22"/>
        </w:rPr>
        <w:t>（</w:t>
      </w:r>
      <w:r w:rsidRPr="00761EF3">
        <w:rPr>
          <w:rFonts w:ascii="Times New Roman" w:hAnsi="Times New Roman" w:hint="eastAsia"/>
          <w:sz w:val="22"/>
          <w:szCs w:val="22"/>
        </w:rPr>
        <w:t>2</w:t>
      </w:r>
      <w:r w:rsidRPr="00212D57">
        <w:rPr>
          <w:rFonts w:hint="eastAsia"/>
          <w:sz w:val="22"/>
          <w:szCs w:val="22"/>
        </w:rPr>
        <w:t>）</w:t>
      </w:r>
      <w:r w:rsidRPr="00761EF3">
        <w:rPr>
          <w:rFonts w:ascii="Times New Roman" w:hAnsi="Times New Roman"/>
          <w:sz w:val="22"/>
          <w:szCs w:val="22"/>
        </w:rPr>
        <w:t>kṛtya</w:t>
      </w:r>
      <w:r w:rsidRPr="00212D57">
        <w:rPr>
          <w:sz w:val="22"/>
          <w:szCs w:val="22"/>
        </w:rPr>
        <w:t>（未來被動分詞）：應被作；（中性名詞）活動、作用、所作事。</w:t>
      </w:r>
    </w:p>
    <w:p w:rsidR="00157EF6" w:rsidRPr="00212D57" w:rsidRDefault="00157EF6" w:rsidP="002B682F">
      <w:pPr>
        <w:kinsoku w:val="0"/>
        <w:overflowPunct w:val="0"/>
        <w:autoSpaceDE w:val="0"/>
        <w:autoSpaceDN w:val="0"/>
        <w:snapToGrid w:val="0"/>
        <w:ind w:leftChars="105" w:left="802" w:hangingChars="250" w:hanging="550"/>
        <w:jc w:val="both"/>
        <w:rPr>
          <w:sz w:val="22"/>
          <w:szCs w:val="22"/>
        </w:rPr>
      </w:pPr>
      <w:r w:rsidRPr="00212D57">
        <w:rPr>
          <w:rFonts w:hint="eastAsia"/>
          <w:sz w:val="22"/>
          <w:szCs w:val="22"/>
        </w:rPr>
        <w:t>（</w:t>
      </w:r>
      <w:r w:rsidRPr="00761EF3">
        <w:rPr>
          <w:rFonts w:ascii="Times New Roman" w:hAnsi="Times New Roman" w:hint="eastAsia"/>
          <w:sz w:val="22"/>
          <w:szCs w:val="22"/>
        </w:rPr>
        <w:t>3</w:t>
      </w:r>
      <w:r w:rsidRPr="00212D57">
        <w:rPr>
          <w:rFonts w:hint="eastAsia"/>
          <w:sz w:val="22"/>
          <w:szCs w:val="22"/>
        </w:rPr>
        <w:t>）</w:t>
      </w:r>
      <w:r w:rsidRPr="00761EF3">
        <w:rPr>
          <w:rFonts w:ascii="Times New Roman" w:hAnsi="Times New Roman"/>
          <w:sz w:val="22"/>
          <w:szCs w:val="22"/>
        </w:rPr>
        <w:t>kṛta</w:t>
      </w:r>
      <w:r w:rsidRPr="00212D57">
        <w:rPr>
          <w:sz w:val="22"/>
          <w:szCs w:val="22"/>
        </w:rPr>
        <w:t>（過去被動分詞）：即是「所作的」。</w:t>
      </w:r>
    </w:p>
    <w:p w:rsidR="00157EF6" w:rsidRPr="00212D57" w:rsidRDefault="00157EF6" w:rsidP="002B682F">
      <w:pPr>
        <w:kinsoku w:val="0"/>
        <w:overflowPunct w:val="0"/>
        <w:autoSpaceDE w:val="0"/>
        <w:autoSpaceDN w:val="0"/>
        <w:snapToGrid w:val="0"/>
        <w:ind w:leftChars="105" w:left="802" w:hangingChars="250" w:hanging="550"/>
        <w:jc w:val="both"/>
        <w:rPr>
          <w:sz w:val="22"/>
          <w:szCs w:val="22"/>
        </w:rPr>
      </w:pPr>
      <w:r w:rsidRPr="00212D57">
        <w:rPr>
          <w:rFonts w:hint="eastAsia"/>
          <w:sz w:val="22"/>
          <w:szCs w:val="22"/>
        </w:rPr>
        <w:t>（</w:t>
      </w:r>
      <w:r w:rsidRPr="00761EF3">
        <w:rPr>
          <w:rFonts w:ascii="Times New Roman" w:hAnsi="Times New Roman" w:hint="eastAsia"/>
          <w:sz w:val="22"/>
          <w:szCs w:val="22"/>
        </w:rPr>
        <w:t>4</w:t>
      </w:r>
      <w:r w:rsidRPr="00212D57">
        <w:rPr>
          <w:rFonts w:hint="eastAsia"/>
          <w:sz w:val="22"/>
          <w:szCs w:val="22"/>
        </w:rPr>
        <w:t>）</w:t>
      </w:r>
      <w:r w:rsidRPr="00761EF3">
        <w:rPr>
          <w:rFonts w:ascii="Times New Roman" w:hAnsi="Times New Roman"/>
          <w:sz w:val="22"/>
          <w:szCs w:val="22"/>
        </w:rPr>
        <w:t>saṃskāra</w:t>
      </w:r>
      <w:r w:rsidRPr="00212D57">
        <w:rPr>
          <w:sz w:val="22"/>
          <w:szCs w:val="22"/>
        </w:rPr>
        <w:t>（陽性名詞）：「行」。（如「諸行無常」的「行」。）意思是（能）作成的，或生成的。</w:t>
      </w:r>
    </w:p>
    <w:p w:rsidR="00157EF6" w:rsidRPr="00212D57" w:rsidRDefault="00157EF6" w:rsidP="002B682F">
      <w:pPr>
        <w:kinsoku w:val="0"/>
        <w:overflowPunct w:val="0"/>
        <w:autoSpaceDE w:val="0"/>
        <w:autoSpaceDN w:val="0"/>
        <w:snapToGrid w:val="0"/>
        <w:ind w:leftChars="105" w:left="802" w:hangingChars="250" w:hanging="550"/>
        <w:jc w:val="both"/>
        <w:rPr>
          <w:sz w:val="22"/>
          <w:szCs w:val="22"/>
        </w:rPr>
      </w:pPr>
      <w:r w:rsidRPr="00212D57">
        <w:rPr>
          <w:rFonts w:hint="eastAsia"/>
          <w:sz w:val="22"/>
          <w:szCs w:val="22"/>
        </w:rPr>
        <w:t>（</w:t>
      </w:r>
      <w:r w:rsidRPr="00761EF3">
        <w:rPr>
          <w:rFonts w:ascii="Times New Roman" w:hAnsi="Times New Roman" w:hint="eastAsia"/>
          <w:sz w:val="22"/>
          <w:szCs w:val="22"/>
        </w:rPr>
        <w:t>5</w:t>
      </w:r>
      <w:r w:rsidRPr="00212D57">
        <w:rPr>
          <w:rFonts w:hint="eastAsia"/>
          <w:sz w:val="22"/>
          <w:szCs w:val="22"/>
        </w:rPr>
        <w:t>）</w:t>
      </w:r>
      <w:r w:rsidRPr="00761EF3">
        <w:rPr>
          <w:rFonts w:ascii="Times New Roman" w:hAnsi="Times New Roman"/>
          <w:sz w:val="22"/>
          <w:szCs w:val="22"/>
        </w:rPr>
        <w:t>saṃskṛta</w:t>
      </w:r>
      <w:r w:rsidRPr="00212D57">
        <w:rPr>
          <w:sz w:val="22"/>
          <w:szCs w:val="22"/>
        </w:rPr>
        <w:t>（過去被動分詞）：「有為」，意思是為（因）所作成的。這為因所成的有為，以生滅為相，所以生滅為因果諸行</w:t>
      </w:r>
      <w:r w:rsidRPr="00212D57">
        <w:rPr>
          <w:rFonts w:ascii="新細明體" w:hAnsi="新細明體"/>
          <w:sz w:val="22"/>
          <w:szCs w:val="22"/>
        </w:rPr>
        <w:t>──</w:t>
      </w:r>
      <w:r w:rsidRPr="00212D57">
        <w:rPr>
          <w:sz w:val="22"/>
          <w:szCs w:val="22"/>
        </w:rPr>
        <w:t>有為的必然的通遍的性質。因果諸行，是必然的新新生滅而流轉於發生、安住、變異、滅無的歷程。</w:t>
      </w:r>
    </w:p>
  </w:footnote>
  <w:footnote w:id="455">
    <w:p w:rsidR="00157EF6" w:rsidRPr="00212D57" w:rsidRDefault="00157EF6" w:rsidP="002B682F">
      <w:pPr>
        <w:pStyle w:val="a5"/>
        <w:spacing w:line="0" w:lineRule="atLeast"/>
        <w:ind w:left="253" w:hangingChars="115" w:hanging="253"/>
        <w:jc w:val="both"/>
        <w:rPr>
          <w:szCs w:val="22"/>
        </w:rPr>
      </w:pPr>
      <w:r w:rsidRPr="00212D57">
        <w:rPr>
          <w:rStyle w:val="a6"/>
          <w:szCs w:val="22"/>
        </w:rPr>
        <w:footnoteRef/>
      </w:r>
      <w:r w:rsidRPr="00212D57">
        <w:rPr>
          <w:szCs w:val="22"/>
        </w:rPr>
        <w:t xml:space="preserve"> </w:t>
      </w:r>
      <w:r w:rsidRPr="00212D57">
        <w:rPr>
          <w:szCs w:val="22"/>
        </w:rPr>
        <w:t>姑：</w:t>
      </w:r>
      <w:r w:rsidRPr="00761EF3">
        <w:rPr>
          <w:szCs w:val="22"/>
        </w:rPr>
        <w:t>6</w:t>
      </w:r>
      <w:r w:rsidRPr="00212D57">
        <w:rPr>
          <w:szCs w:val="22"/>
        </w:rPr>
        <w:t>.</w:t>
      </w:r>
      <w:r w:rsidRPr="00212D57">
        <w:rPr>
          <w:szCs w:val="22"/>
        </w:rPr>
        <w:t>姑且，暫且。（《漢語大詞典》（四），</w:t>
      </w:r>
      <w:r w:rsidRPr="00761EF3">
        <w:rPr>
          <w:szCs w:val="22"/>
        </w:rPr>
        <w:t>p</w:t>
      </w:r>
      <w:r w:rsidRPr="00212D57">
        <w:rPr>
          <w:szCs w:val="22"/>
        </w:rPr>
        <w:t>.</w:t>
      </w:r>
      <w:r w:rsidRPr="00761EF3">
        <w:rPr>
          <w:szCs w:val="22"/>
        </w:rPr>
        <w:t>315</w:t>
      </w:r>
      <w:r w:rsidRPr="00212D57">
        <w:rPr>
          <w:szCs w:val="22"/>
        </w:rPr>
        <w:t>）</w:t>
      </w:r>
    </w:p>
  </w:footnote>
  <w:footnote w:id="456">
    <w:p w:rsidR="00157EF6" w:rsidRPr="00212D57" w:rsidRDefault="00157EF6" w:rsidP="009E0A5A">
      <w:pPr>
        <w:pStyle w:val="a5"/>
        <w:ind w:left="187" w:hangingChars="85" w:hanging="187"/>
        <w:jc w:val="both"/>
        <w:rPr>
          <w:rFonts w:ascii="新細明體" w:hAnsi="新細明體"/>
          <w:szCs w:val="22"/>
        </w:rPr>
      </w:pPr>
      <w:r w:rsidRPr="00212D57">
        <w:rPr>
          <w:rStyle w:val="a6"/>
          <w:szCs w:val="22"/>
        </w:rPr>
        <w:footnoteRef/>
      </w:r>
      <w:r w:rsidRPr="00212D57">
        <w:rPr>
          <w:szCs w:val="22"/>
        </w:rPr>
        <w:t xml:space="preserve"> </w:t>
      </w:r>
      <w:r w:rsidRPr="00212D57">
        <w:rPr>
          <w:rFonts w:hint="eastAsia"/>
          <w:szCs w:val="22"/>
        </w:rPr>
        <w:t>八事四對：</w:t>
      </w:r>
      <w:r w:rsidRPr="00212D57">
        <w:rPr>
          <w:rFonts w:ascii="新細明體" w:hAnsi="新細明體"/>
          <w:szCs w:val="22"/>
        </w:rPr>
        <w:t>生、滅，常、斷，一、異，來、去</w:t>
      </w:r>
      <w:r w:rsidRPr="00212D57">
        <w:rPr>
          <w:rFonts w:ascii="新細明體" w:hAnsi="新細明體" w:hint="eastAsia"/>
          <w:szCs w:val="22"/>
        </w:rPr>
        <w:t>。</w:t>
      </w:r>
    </w:p>
  </w:footnote>
  <w:footnote w:id="457">
    <w:p w:rsidR="00157EF6" w:rsidRPr="00212D57" w:rsidRDefault="00157EF6" w:rsidP="00B5316E">
      <w:pPr>
        <w:pStyle w:val="a5"/>
        <w:ind w:left="726" w:hangingChars="330" w:hanging="726"/>
        <w:jc w:val="both"/>
        <w:rPr>
          <w:szCs w:val="22"/>
        </w:rPr>
      </w:pPr>
      <w:r w:rsidRPr="00212D57">
        <w:rPr>
          <w:rStyle w:val="a6"/>
          <w:szCs w:val="22"/>
        </w:rPr>
        <w:footnoteRef/>
      </w:r>
      <w:r w:rsidRPr="00212D57">
        <w:rPr>
          <w:rFonts w:ascii="新細明體" w:hAnsi="新細明體" w:hint="eastAsia"/>
          <w:szCs w:val="22"/>
        </w:rPr>
        <w:t xml:space="preserve"> （</w:t>
      </w:r>
      <w:r w:rsidRPr="00761EF3">
        <w:rPr>
          <w:szCs w:val="22"/>
        </w:rPr>
        <w:t>1</w:t>
      </w:r>
      <w:r w:rsidRPr="00212D57">
        <w:rPr>
          <w:rFonts w:ascii="新細明體" w:hAnsi="新細明體" w:hint="eastAsia"/>
          <w:szCs w:val="22"/>
        </w:rPr>
        <w:t>）</w:t>
      </w:r>
      <w:r w:rsidR="009160B5">
        <w:rPr>
          <w:rFonts w:ascii="新細明體" w:hAnsi="新細明體" w:hint="eastAsia"/>
          <w:szCs w:val="22"/>
        </w:rPr>
        <w:t>參見：印</w:t>
      </w:r>
      <w:r w:rsidRPr="00212D57">
        <w:rPr>
          <w:rFonts w:ascii="新細明體" w:hAnsi="新細明體" w:hint="eastAsia"/>
          <w:szCs w:val="22"/>
        </w:rPr>
        <w:t>順法師，《</w:t>
      </w:r>
      <w:r w:rsidRPr="00212D57">
        <w:rPr>
          <w:szCs w:val="22"/>
        </w:rPr>
        <w:t>中觀論頌講記》，</w:t>
      </w:r>
      <w:r w:rsidRPr="00761EF3">
        <w:rPr>
          <w:szCs w:val="22"/>
        </w:rPr>
        <w:t>pp</w:t>
      </w:r>
      <w:r w:rsidRPr="00212D57">
        <w:rPr>
          <w:szCs w:val="22"/>
        </w:rPr>
        <w:t>.</w:t>
      </w:r>
      <w:r w:rsidRPr="00761EF3">
        <w:rPr>
          <w:szCs w:val="22"/>
        </w:rPr>
        <w:t>51</w:t>
      </w:r>
      <w:r w:rsidRPr="00212D57">
        <w:rPr>
          <w:szCs w:val="22"/>
        </w:rPr>
        <w:t>-</w:t>
      </w:r>
      <w:r w:rsidRPr="00761EF3">
        <w:rPr>
          <w:szCs w:val="22"/>
        </w:rPr>
        <w:t>52</w:t>
      </w:r>
      <w:r w:rsidRPr="00212D57">
        <w:rPr>
          <w:szCs w:val="22"/>
        </w:rPr>
        <w:t>：</w:t>
      </w:r>
    </w:p>
    <w:p w:rsidR="00157EF6" w:rsidRPr="00212D57" w:rsidRDefault="00157EF6" w:rsidP="00B5316E">
      <w:pPr>
        <w:pStyle w:val="a5"/>
        <w:ind w:leftChars="300" w:left="720"/>
        <w:jc w:val="both"/>
        <w:rPr>
          <w:rFonts w:ascii="標楷體" w:eastAsia="標楷體" w:hAnsi="標楷體"/>
          <w:szCs w:val="22"/>
        </w:rPr>
      </w:pPr>
      <w:r w:rsidRPr="00212D57">
        <w:rPr>
          <w:rFonts w:ascii="標楷體" w:eastAsia="標楷體" w:hAnsi="標楷體" w:hint="eastAsia"/>
          <w:szCs w:val="22"/>
        </w:rPr>
        <w:t>「</w:t>
      </w:r>
      <w:r w:rsidRPr="00212D57">
        <w:rPr>
          <w:rFonts w:ascii="標楷體" w:eastAsia="標楷體" w:hAnsi="標楷體"/>
          <w:szCs w:val="22"/>
        </w:rPr>
        <w:t>不生、不滅，不常、不斷，不一、不異，不來、不去」這八者（《大智度論》加上因果為十），包含了世間的根本而最普遍的法則，即是</w:t>
      </w:r>
      <w:r w:rsidRPr="00212D57">
        <w:rPr>
          <w:rFonts w:ascii="標楷體" w:eastAsia="標楷體" w:hAnsi="標楷體"/>
          <w:b/>
          <w:szCs w:val="22"/>
        </w:rPr>
        <w:t>現起，時間，空間，運動四義，為一一法所必備的。</w:t>
      </w:r>
      <w:r w:rsidRPr="00212D57">
        <w:rPr>
          <w:rFonts w:ascii="標楷體" w:eastAsia="標楷體" w:hAnsi="標楷體"/>
          <w:szCs w:val="22"/>
        </w:rPr>
        <w:t>因為，存在者必是現起的，必有時間性，空間性，又必有運動，所以，這四者，實在總攝了一切。如執有真實自性的八法（四對），就不能理解說明世間的實相，所以一一的給以否定說：不生、不滅，不常、不斷，不一、不異，不來、不出。八不可以作多種不同的觀察，</w:t>
      </w:r>
      <w:r w:rsidRPr="00212D57">
        <w:rPr>
          <w:rFonts w:ascii="標楷體" w:eastAsia="標楷體" w:hAnsi="標楷體"/>
          <w:b/>
          <w:szCs w:val="22"/>
        </w:rPr>
        <w:t>綜合這八不，可以破一切戲論</w:t>
      </w:r>
      <w:r w:rsidRPr="00212D57">
        <w:rPr>
          <w:rFonts w:ascii="標楷體" w:eastAsia="標楷體" w:hAnsi="標楷體"/>
          <w:szCs w:val="22"/>
        </w:rPr>
        <w:t>；就是單說一句不生或不常，如能正確的理解，也可破一切。可以說，一一不中，遍破一切法。</w:t>
      </w:r>
    </w:p>
    <w:p w:rsidR="00157EF6" w:rsidRPr="00212D57" w:rsidRDefault="00157EF6" w:rsidP="00B5316E">
      <w:pPr>
        <w:pStyle w:val="a5"/>
        <w:ind w:leftChars="80" w:left="731" w:hangingChars="245" w:hanging="539"/>
        <w:jc w:val="both"/>
        <w:rPr>
          <w:szCs w:val="22"/>
        </w:rPr>
      </w:pPr>
      <w:r w:rsidRPr="00212D57">
        <w:rPr>
          <w:rFonts w:ascii="新細明體" w:hAnsi="新細明體" w:hint="eastAsia"/>
          <w:szCs w:val="22"/>
        </w:rPr>
        <w:t>（</w:t>
      </w:r>
      <w:r w:rsidRPr="00761EF3">
        <w:rPr>
          <w:szCs w:val="22"/>
        </w:rPr>
        <w:t>2</w:t>
      </w:r>
      <w:r w:rsidRPr="00212D57">
        <w:rPr>
          <w:rFonts w:ascii="新細明體" w:hAnsi="新細明體" w:hint="eastAsia"/>
          <w:szCs w:val="22"/>
        </w:rPr>
        <w:t>）</w:t>
      </w:r>
      <w:r w:rsidRPr="00212D57">
        <w:rPr>
          <w:szCs w:val="22"/>
        </w:rPr>
        <w:t>萬金川</w:t>
      </w:r>
      <w:r w:rsidRPr="00212D57">
        <w:rPr>
          <w:rFonts w:hint="eastAsia"/>
          <w:szCs w:val="22"/>
        </w:rPr>
        <w:t>，</w:t>
      </w:r>
      <w:r w:rsidRPr="00212D57">
        <w:rPr>
          <w:szCs w:val="22"/>
        </w:rPr>
        <w:t>《中觀思想講錄》，</w:t>
      </w:r>
      <w:r w:rsidRPr="00761EF3">
        <w:rPr>
          <w:szCs w:val="22"/>
        </w:rPr>
        <w:t>p</w:t>
      </w:r>
      <w:r w:rsidRPr="00212D57">
        <w:rPr>
          <w:szCs w:val="22"/>
        </w:rPr>
        <w:t>.</w:t>
      </w:r>
      <w:r w:rsidRPr="00761EF3">
        <w:rPr>
          <w:szCs w:val="22"/>
        </w:rPr>
        <w:t>76</w:t>
      </w:r>
      <w:r w:rsidRPr="00212D57">
        <w:rPr>
          <w:szCs w:val="22"/>
        </w:rPr>
        <w:t>：</w:t>
      </w:r>
    </w:p>
    <w:p w:rsidR="00157EF6" w:rsidRPr="00212D57" w:rsidRDefault="00157EF6" w:rsidP="00B5316E">
      <w:pPr>
        <w:pStyle w:val="a5"/>
        <w:ind w:leftChars="305" w:left="732"/>
        <w:jc w:val="both"/>
        <w:rPr>
          <w:rFonts w:ascii="標楷體" w:eastAsia="標楷體" w:hAnsi="標楷體"/>
          <w:szCs w:val="22"/>
        </w:rPr>
      </w:pPr>
      <w:r w:rsidRPr="00212D57">
        <w:rPr>
          <w:rFonts w:ascii="標楷體" w:eastAsia="標楷體" w:hAnsi="標楷體"/>
          <w:szCs w:val="22"/>
        </w:rPr>
        <w:t>在早期的《中論》注釋傳統裡，「八不」中的每一「不」，不論是「不生」或是「不滅」，在意義上都是為了要否定某種邪見的，當然邪見豈止八種而已，如《六十二見經》便提到了佛陀時代的許多外道，他們的理論可謂是千奇百怪，而佛陀便以「緣起正見」一一加以評破。從早期註解家的觀點來看，他們認為龍樹正是承繼此一傳統而撰寫《中論》一書，所以「皈敬偈」中的「八不」雖略，但卻可以總破一切戲論。</w:t>
      </w:r>
    </w:p>
  </w:footnote>
  <w:footnote w:id="458">
    <w:p w:rsidR="00157EF6" w:rsidRPr="00212D57" w:rsidRDefault="00157EF6" w:rsidP="00B5316E">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《中論》卷</w:t>
      </w:r>
      <w:r w:rsidRPr="00761EF3">
        <w:rPr>
          <w:szCs w:val="22"/>
        </w:rPr>
        <w:t>1</w:t>
      </w:r>
      <w:r w:rsidRPr="00212D57">
        <w:rPr>
          <w:szCs w:val="22"/>
        </w:rPr>
        <w:t>〈</w:t>
      </w:r>
      <w:r w:rsidRPr="00761EF3">
        <w:rPr>
          <w:szCs w:val="22"/>
        </w:rPr>
        <w:t>1</w:t>
      </w:r>
      <w:r w:rsidRPr="00212D57">
        <w:rPr>
          <w:szCs w:val="22"/>
        </w:rPr>
        <w:t xml:space="preserve"> </w:t>
      </w:r>
      <w:r w:rsidRPr="00212D57">
        <w:rPr>
          <w:szCs w:val="22"/>
        </w:rPr>
        <w:t>觀因緣品〉（青目釋）（大正</w:t>
      </w:r>
      <w:r w:rsidRPr="00761EF3">
        <w:rPr>
          <w:szCs w:val="22"/>
        </w:rPr>
        <w:t>30</w:t>
      </w:r>
      <w:r w:rsidRPr="00212D57">
        <w:rPr>
          <w:szCs w:val="22"/>
        </w:rPr>
        <w:t>，</w:t>
      </w:r>
      <w:r w:rsidRPr="00761EF3">
        <w:rPr>
          <w:szCs w:val="22"/>
        </w:rPr>
        <w:t>1c</w:t>
      </w:r>
      <w:r w:rsidRPr="00761EF3">
        <w:rPr>
          <w:rFonts w:hint="eastAsia"/>
          <w:szCs w:val="22"/>
        </w:rPr>
        <w:t>8</w:t>
      </w:r>
      <w:r w:rsidRPr="00212D57">
        <w:rPr>
          <w:szCs w:val="22"/>
        </w:rPr>
        <w:t>-</w:t>
      </w:r>
      <w:r w:rsidRPr="00761EF3">
        <w:rPr>
          <w:szCs w:val="22"/>
        </w:rPr>
        <w:t>12</w:t>
      </w:r>
      <w:r w:rsidRPr="00212D57">
        <w:rPr>
          <w:szCs w:val="22"/>
        </w:rPr>
        <w:t>）：</w:t>
      </w:r>
    </w:p>
    <w:p w:rsidR="00157EF6" w:rsidRPr="00212D57" w:rsidRDefault="00157EF6" w:rsidP="00B5316E">
      <w:pPr>
        <w:pStyle w:val="a5"/>
        <w:ind w:leftChars="75" w:left="180"/>
        <w:jc w:val="both"/>
        <w:rPr>
          <w:rFonts w:ascii="標楷體" w:eastAsia="標楷體" w:hAnsi="標楷體"/>
          <w:szCs w:val="22"/>
        </w:rPr>
      </w:pPr>
      <w:r w:rsidRPr="00212D57">
        <w:rPr>
          <w:rFonts w:ascii="標楷體" w:eastAsia="標楷體" w:hAnsi="標楷體" w:hint="eastAsia"/>
          <w:szCs w:val="22"/>
        </w:rPr>
        <w:t>「</w:t>
      </w:r>
      <w:r w:rsidRPr="00212D57">
        <w:rPr>
          <w:rFonts w:ascii="標楷體" w:eastAsia="標楷體" w:hAnsi="標楷體"/>
          <w:szCs w:val="22"/>
        </w:rPr>
        <w:t>不生亦不滅</w:t>
      </w:r>
      <w:r w:rsidRPr="00212D57">
        <w:rPr>
          <w:rFonts w:ascii="標楷體" w:eastAsia="標楷體" w:hAnsi="標楷體" w:hint="eastAsia"/>
          <w:szCs w:val="22"/>
        </w:rPr>
        <w:t>，</w:t>
      </w:r>
      <w:r w:rsidRPr="00212D57">
        <w:rPr>
          <w:rFonts w:ascii="標楷體" w:eastAsia="標楷體" w:hAnsi="標楷體"/>
          <w:szCs w:val="22"/>
        </w:rPr>
        <w:t>不常亦不斷</w:t>
      </w:r>
      <w:r w:rsidRPr="00212D57">
        <w:rPr>
          <w:rFonts w:ascii="標楷體" w:eastAsia="標楷體" w:hAnsi="標楷體" w:hint="eastAsia"/>
          <w:szCs w:val="22"/>
        </w:rPr>
        <w:t>，</w:t>
      </w:r>
      <w:r w:rsidRPr="00212D57">
        <w:rPr>
          <w:rFonts w:ascii="標楷體" w:eastAsia="標楷體" w:hAnsi="標楷體"/>
          <w:szCs w:val="22"/>
        </w:rPr>
        <w:t>不一亦不異</w:t>
      </w:r>
      <w:r w:rsidRPr="00212D57">
        <w:rPr>
          <w:rFonts w:ascii="標楷體" w:eastAsia="標楷體" w:hAnsi="標楷體" w:hint="eastAsia"/>
          <w:szCs w:val="22"/>
        </w:rPr>
        <w:t>，</w:t>
      </w:r>
      <w:r w:rsidRPr="00212D57">
        <w:rPr>
          <w:rFonts w:ascii="標楷體" w:eastAsia="標楷體" w:hAnsi="標楷體"/>
          <w:szCs w:val="22"/>
        </w:rPr>
        <w:t>不來亦不出</w:t>
      </w:r>
      <w:r w:rsidR="008438F9" w:rsidRPr="008438F9">
        <w:rPr>
          <w:rFonts w:ascii="標楷體" w:eastAsia="標楷體" w:hAnsi="標楷體" w:hint="eastAsia"/>
          <w:color w:val="FF0000"/>
          <w:szCs w:val="22"/>
          <w:highlight w:val="yellow"/>
        </w:rPr>
        <w:t>。</w:t>
      </w:r>
    </w:p>
    <w:p w:rsidR="00157EF6" w:rsidRPr="00212D57" w:rsidRDefault="00157EF6" w:rsidP="00B5316E">
      <w:pPr>
        <w:pStyle w:val="a5"/>
        <w:ind w:leftChars="175" w:left="420"/>
        <w:jc w:val="both"/>
        <w:rPr>
          <w:rFonts w:ascii="標楷體" w:eastAsia="標楷體" w:hAnsi="標楷體"/>
          <w:szCs w:val="22"/>
        </w:rPr>
      </w:pPr>
      <w:r w:rsidRPr="00212D57">
        <w:rPr>
          <w:rFonts w:ascii="標楷體" w:eastAsia="標楷體" w:hAnsi="標楷體"/>
          <w:szCs w:val="22"/>
        </w:rPr>
        <w:t>能說是因緣</w:t>
      </w:r>
      <w:r w:rsidRPr="00212D57">
        <w:rPr>
          <w:rFonts w:ascii="標楷體" w:eastAsia="標楷體" w:hAnsi="標楷體" w:hint="eastAsia"/>
          <w:szCs w:val="22"/>
        </w:rPr>
        <w:t>，</w:t>
      </w:r>
      <w:r w:rsidRPr="00212D57">
        <w:rPr>
          <w:rFonts w:ascii="標楷體" w:eastAsia="標楷體" w:hAnsi="標楷體"/>
          <w:szCs w:val="22"/>
        </w:rPr>
        <w:t>善滅諸戲論</w:t>
      </w:r>
      <w:r w:rsidRPr="00212D57">
        <w:rPr>
          <w:rFonts w:ascii="標楷體" w:eastAsia="標楷體" w:hAnsi="標楷體" w:hint="eastAsia"/>
          <w:szCs w:val="22"/>
        </w:rPr>
        <w:t>，</w:t>
      </w:r>
      <w:r w:rsidRPr="00212D57">
        <w:rPr>
          <w:rFonts w:ascii="標楷體" w:eastAsia="標楷體" w:hAnsi="標楷體"/>
          <w:szCs w:val="22"/>
        </w:rPr>
        <w:t>我稽首禮佛</w:t>
      </w:r>
      <w:r w:rsidRPr="00212D57">
        <w:rPr>
          <w:rFonts w:ascii="標楷體" w:eastAsia="標楷體" w:hAnsi="標楷體" w:hint="eastAsia"/>
          <w:szCs w:val="22"/>
        </w:rPr>
        <w:t>，</w:t>
      </w:r>
      <w:r w:rsidRPr="00212D57">
        <w:rPr>
          <w:rFonts w:ascii="標楷體" w:eastAsia="標楷體" w:hAnsi="標楷體"/>
          <w:szCs w:val="22"/>
        </w:rPr>
        <w:t>諸說中第一</w:t>
      </w:r>
      <w:r w:rsidRPr="00212D57">
        <w:rPr>
          <w:rFonts w:ascii="標楷體" w:eastAsia="標楷體" w:hAnsi="標楷體" w:hint="eastAsia"/>
          <w:szCs w:val="22"/>
        </w:rPr>
        <w:t>。」</w:t>
      </w:r>
    </w:p>
    <w:p w:rsidR="00157EF6" w:rsidRPr="00212D57" w:rsidRDefault="00157EF6" w:rsidP="00B5316E">
      <w:pPr>
        <w:pStyle w:val="a5"/>
        <w:ind w:leftChars="75" w:left="180"/>
        <w:jc w:val="both"/>
        <w:rPr>
          <w:szCs w:val="22"/>
        </w:rPr>
      </w:pPr>
      <w:r w:rsidRPr="00212D57">
        <w:rPr>
          <w:rFonts w:ascii="標楷體" w:eastAsia="標楷體" w:hAnsi="標楷體"/>
          <w:szCs w:val="22"/>
        </w:rPr>
        <w:t>以此二偈讚佛，則已略說</w:t>
      </w:r>
      <w:r w:rsidR="008438F9">
        <w:rPr>
          <w:rFonts w:ascii="標楷體" w:eastAsia="標楷體" w:hAnsi="標楷體" w:hint="eastAsia"/>
          <w:bCs/>
          <w:color w:val="FF0000"/>
          <w:kern w:val="0"/>
          <w:highlight w:val="yellow"/>
        </w:rPr>
        <w:t>「</w:t>
      </w:r>
      <w:r w:rsidRPr="00212D57">
        <w:rPr>
          <w:rFonts w:ascii="標楷體" w:eastAsia="標楷體" w:hAnsi="標楷體"/>
          <w:szCs w:val="22"/>
        </w:rPr>
        <w:t>第一義</w:t>
      </w:r>
      <w:r w:rsidR="008438F9">
        <w:rPr>
          <w:rFonts w:ascii="標楷體" w:eastAsia="標楷體" w:hAnsi="標楷體" w:hint="eastAsia"/>
          <w:bCs/>
          <w:color w:val="FF0000"/>
          <w:kern w:val="0"/>
          <w:highlight w:val="yellow"/>
        </w:rPr>
        <w:t>」</w:t>
      </w:r>
      <w:r w:rsidRPr="00212D57">
        <w:rPr>
          <w:rFonts w:ascii="標楷體" w:eastAsia="標楷體" w:hAnsi="標楷體"/>
          <w:szCs w:val="22"/>
        </w:rPr>
        <w:t>。</w:t>
      </w:r>
    </w:p>
  </w:footnote>
  <w:footnote w:id="459">
    <w:p w:rsidR="00157EF6" w:rsidRPr="00212D57" w:rsidRDefault="00157EF6" w:rsidP="00B5316E">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szCs w:val="22"/>
        </w:rPr>
        <w:t>《中論》卷</w:t>
      </w:r>
      <w:r w:rsidRPr="00761EF3">
        <w:rPr>
          <w:szCs w:val="22"/>
        </w:rPr>
        <w:t>1</w:t>
      </w:r>
      <w:r w:rsidRPr="00212D57">
        <w:rPr>
          <w:szCs w:val="22"/>
        </w:rPr>
        <w:t>〈</w:t>
      </w:r>
      <w:r w:rsidRPr="00761EF3">
        <w:rPr>
          <w:szCs w:val="22"/>
        </w:rPr>
        <w:t>1</w:t>
      </w:r>
      <w:r w:rsidRPr="00212D57">
        <w:rPr>
          <w:szCs w:val="22"/>
        </w:rPr>
        <w:t xml:space="preserve"> </w:t>
      </w:r>
      <w:r w:rsidRPr="00212D57">
        <w:rPr>
          <w:szCs w:val="22"/>
        </w:rPr>
        <w:t>觀因緣品〉（青目釋）（大正</w:t>
      </w:r>
      <w:r w:rsidRPr="00761EF3">
        <w:rPr>
          <w:szCs w:val="22"/>
        </w:rPr>
        <w:t>30</w:t>
      </w:r>
      <w:r w:rsidRPr="00212D57">
        <w:rPr>
          <w:szCs w:val="22"/>
        </w:rPr>
        <w:t>，</w:t>
      </w:r>
      <w:r w:rsidRPr="00761EF3">
        <w:rPr>
          <w:szCs w:val="22"/>
        </w:rPr>
        <w:t>1c12</w:t>
      </w:r>
      <w:r w:rsidRPr="00212D57">
        <w:rPr>
          <w:szCs w:val="22"/>
        </w:rPr>
        <w:t>-</w:t>
      </w:r>
      <w:r w:rsidRPr="00761EF3">
        <w:rPr>
          <w:szCs w:val="22"/>
        </w:rPr>
        <w:t>14</w:t>
      </w:r>
      <w:r w:rsidRPr="00212D57">
        <w:rPr>
          <w:szCs w:val="22"/>
        </w:rPr>
        <w:t>）：</w:t>
      </w:r>
    </w:p>
    <w:p w:rsidR="00157EF6" w:rsidRPr="00212D57" w:rsidRDefault="00157EF6" w:rsidP="00B5316E">
      <w:pPr>
        <w:pStyle w:val="a5"/>
        <w:ind w:leftChars="75" w:left="840" w:hangingChars="300" w:hanging="660"/>
        <w:jc w:val="both"/>
        <w:rPr>
          <w:rFonts w:ascii="標楷體" w:eastAsia="標楷體" w:hAnsi="標楷體"/>
          <w:szCs w:val="22"/>
        </w:rPr>
      </w:pPr>
      <w:r w:rsidRPr="00212D57">
        <w:rPr>
          <w:rFonts w:ascii="標楷體" w:eastAsia="標楷體" w:hAnsi="標楷體"/>
          <w:szCs w:val="22"/>
        </w:rPr>
        <w:t>問曰：諸法無量，何故但以此八事破？</w:t>
      </w:r>
    </w:p>
    <w:p w:rsidR="00157EF6" w:rsidRPr="00212D57" w:rsidRDefault="00157EF6" w:rsidP="00B5316E">
      <w:pPr>
        <w:pStyle w:val="a5"/>
        <w:ind w:leftChars="75" w:left="840" w:hangingChars="300" w:hanging="660"/>
        <w:jc w:val="both"/>
        <w:rPr>
          <w:szCs w:val="22"/>
        </w:rPr>
      </w:pPr>
      <w:r w:rsidRPr="00212D57">
        <w:rPr>
          <w:rFonts w:ascii="標楷體" w:eastAsia="標楷體" w:hAnsi="標楷體"/>
          <w:szCs w:val="22"/>
        </w:rPr>
        <w:t>答曰：法雖無量，略說八事</w:t>
      </w:r>
      <w:r w:rsidRPr="00212D57">
        <w:rPr>
          <w:rFonts w:ascii="標楷體" w:eastAsia="標楷體" w:hAnsi="標楷體" w:hint="eastAsia"/>
          <w:szCs w:val="22"/>
        </w:rPr>
        <w:t>，</w:t>
      </w:r>
      <w:r w:rsidRPr="00212D57">
        <w:rPr>
          <w:rFonts w:ascii="標楷體" w:eastAsia="標楷體" w:hAnsi="標楷體"/>
          <w:szCs w:val="22"/>
        </w:rPr>
        <w:t>則為總破一切法。</w:t>
      </w:r>
    </w:p>
  </w:footnote>
  <w:footnote w:id="460">
    <w:p w:rsidR="00157EF6" w:rsidRPr="00212D57" w:rsidRDefault="00157EF6" w:rsidP="00B5316E">
      <w:pPr>
        <w:pStyle w:val="a5"/>
        <w:ind w:left="187" w:hangingChars="85" w:hanging="187"/>
        <w:jc w:val="both"/>
        <w:rPr>
          <w:szCs w:val="22"/>
        </w:rPr>
      </w:pPr>
      <w:r w:rsidRPr="00212D57">
        <w:rPr>
          <w:rStyle w:val="a6"/>
          <w:szCs w:val="22"/>
        </w:rPr>
        <w:footnoteRef/>
      </w:r>
      <w:r w:rsidRPr="00212D57">
        <w:rPr>
          <w:rFonts w:eastAsia="SimSun" w:hint="eastAsia"/>
          <w:szCs w:val="22"/>
        </w:rPr>
        <w:t xml:space="preserve"> </w:t>
      </w:r>
      <w:r w:rsidRPr="00212D57">
        <w:rPr>
          <w:rFonts w:hint="eastAsia"/>
          <w:szCs w:val="22"/>
        </w:rPr>
        <w:t>參見</w:t>
      </w:r>
      <w:r w:rsidRPr="00212D57">
        <w:rPr>
          <w:szCs w:val="22"/>
        </w:rPr>
        <w:t>《中論》卷</w:t>
      </w:r>
      <w:r w:rsidRPr="00761EF3">
        <w:rPr>
          <w:szCs w:val="22"/>
        </w:rPr>
        <w:t>1</w:t>
      </w:r>
      <w:r w:rsidRPr="00212D57">
        <w:rPr>
          <w:szCs w:val="22"/>
        </w:rPr>
        <w:t>〈</w:t>
      </w:r>
      <w:r w:rsidRPr="00761EF3">
        <w:rPr>
          <w:szCs w:val="22"/>
        </w:rPr>
        <w:t>1</w:t>
      </w:r>
      <w:r w:rsidRPr="00212D57">
        <w:rPr>
          <w:szCs w:val="22"/>
        </w:rPr>
        <w:t xml:space="preserve"> </w:t>
      </w:r>
      <w:r w:rsidRPr="00212D57">
        <w:rPr>
          <w:szCs w:val="22"/>
        </w:rPr>
        <w:t>觀因緣品〉（青目釋）（大正</w:t>
      </w:r>
      <w:r w:rsidRPr="00761EF3">
        <w:rPr>
          <w:szCs w:val="22"/>
        </w:rPr>
        <w:t>30</w:t>
      </w:r>
      <w:r w:rsidRPr="00212D57">
        <w:rPr>
          <w:szCs w:val="22"/>
        </w:rPr>
        <w:t>，</w:t>
      </w:r>
      <w:r w:rsidRPr="00761EF3">
        <w:rPr>
          <w:szCs w:val="22"/>
        </w:rPr>
        <w:t>1c1</w:t>
      </w:r>
      <w:r w:rsidRPr="00761EF3">
        <w:rPr>
          <w:rFonts w:hint="eastAsia"/>
          <w:szCs w:val="22"/>
        </w:rPr>
        <w:t>4</w:t>
      </w:r>
      <w:r w:rsidRPr="00212D57">
        <w:rPr>
          <w:szCs w:val="22"/>
        </w:rPr>
        <w:t>-</w:t>
      </w:r>
      <w:r w:rsidRPr="00761EF3">
        <w:rPr>
          <w:rStyle w:val="old"/>
          <w:color w:val="auto"/>
          <w:szCs w:val="22"/>
        </w:rPr>
        <w:t>2a8</w:t>
      </w:r>
      <w:r w:rsidRPr="00212D57">
        <w:rPr>
          <w:rStyle w:val="old"/>
          <w:color w:val="auto"/>
          <w:szCs w:val="22"/>
        </w:rPr>
        <w:t>）。</w:t>
      </w:r>
    </w:p>
  </w:footnote>
  <w:footnote w:id="461">
    <w:p w:rsidR="008438F9" w:rsidRDefault="00157EF6" w:rsidP="00B5316E">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rFonts w:hint="eastAsia"/>
          <w:szCs w:val="22"/>
        </w:rPr>
        <w:t>揚花：水稻、小麥、高粱等作物開花時，柱頭伸出，花粉飛散，稱揚花。</w:t>
      </w:r>
    </w:p>
    <w:p w:rsidR="00157EF6" w:rsidRPr="00212D57" w:rsidRDefault="00157EF6" w:rsidP="008438F9">
      <w:pPr>
        <w:pStyle w:val="a5"/>
        <w:ind w:left="187" w:hangingChars="85" w:hanging="187"/>
        <w:jc w:val="right"/>
        <w:rPr>
          <w:szCs w:val="22"/>
        </w:rPr>
      </w:pPr>
      <w:r w:rsidRPr="00212D57">
        <w:rPr>
          <w:rFonts w:cs="Times Ext Roman" w:hint="eastAsia"/>
          <w:szCs w:val="22"/>
        </w:rPr>
        <w:t>（</w:t>
      </w:r>
      <w:r w:rsidRPr="00212D57">
        <w:rPr>
          <w:rFonts w:ascii="Times Ext Roman" w:hAnsi="Times Ext Roman" w:cs="Times Ext Roman" w:hint="eastAsia"/>
          <w:szCs w:val="22"/>
        </w:rPr>
        <w:t>《漢語大詞典》（六），</w:t>
      </w:r>
      <w:r w:rsidRPr="00761EF3">
        <w:rPr>
          <w:rFonts w:hint="eastAsia"/>
          <w:szCs w:val="22"/>
        </w:rPr>
        <w:t>p</w:t>
      </w:r>
      <w:r w:rsidRPr="00212D57">
        <w:rPr>
          <w:rFonts w:hint="eastAsia"/>
          <w:szCs w:val="22"/>
        </w:rPr>
        <w:t>.</w:t>
      </w:r>
      <w:r w:rsidRPr="00761EF3">
        <w:rPr>
          <w:rFonts w:hint="eastAsia"/>
          <w:szCs w:val="22"/>
        </w:rPr>
        <w:t>751</w:t>
      </w:r>
      <w:r w:rsidRPr="00212D57">
        <w:rPr>
          <w:rFonts w:ascii="Times Ext Roman" w:hAnsi="Times Ext Roman" w:cs="Times Ext Roman" w:hint="eastAsia"/>
          <w:szCs w:val="22"/>
        </w:rPr>
        <w:t>）</w:t>
      </w:r>
    </w:p>
  </w:footnote>
  <w:footnote w:id="462">
    <w:p w:rsidR="00157EF6" w:rsidRPr="00212D57" w:rsidRDefault="00157EF6" w:rsidP="00B5316E">
      <w:pPr>
        <w:pStyle w:val="a5"/>
        <w:ind w:left="187" w:hangingChars="85" w:hanging="187"/>
        <w:jc w:val="both"/>
        <w:rPr>
          <w:szCs w:val="22"/>
        </w:rPr>
      </w:pPr>
      <w:r w:rsidRPr="00212D57">
        <w:rPr>
          <w:rStyle w:val="a6"/>
          <w:szCs w:val="22"/>
        </w:rPr>
        <w:footnoteRef/>
      </w:r>
      <w:r w:rsidRPr="00212D57">
        <w:rPr>
          <w:rFonts w:hint="eastAsia"/>
          <w:szCs w:val="22"/>
        </w:rPr>
        <w:t xml:space="preserve"> </w:t>
      </w:r>
      <w:r w:rsidRPr="00212D57">
        <w:rPr>
          <w:rFonts w:hint="eastAsia"/>
          <w:szCs w:val="22"/>
        </w:rPr>
        <w:t>結實：</w:t>
      </w:r>
      <w:r w:rsidRPr="00761EF3">
        <w:rPr>
          <w:rFonts w:hint="eastAsia"/>
          <w:szCs w:val="22"/>
        </w:rPr>
        <w:t>1</w:t>
      </w:r>
      <w:r w:rsidRPr="00212D57">
        <w:rPr>
          <w:rFonts w:hint="eastAsia"/>
          <w:szCs w:val="22"/>
        </w:rPr>
        <w:t>.</w:t>
      </w:r>
      <w:r w:rsidRPr="00212D57">
        <w:rPr>
          <w:rFonts w:hint="eastAsia"/>
          <w:szCs w:val="22"/>
        </w:rPr>
        <w:t>結出果實或種子。</w:t>
      </w:r>
      <w:r w:rsidRPr="00212D57">
        <w:rPr>
          <w:rFonts w:cs="Times Ext Roman" w:hint="eastAsia"/>
          <w:szCs w:val="22"/>
        </w:rPr>
        <w:t>（</w:t>
      </w:r>
      <w:r w:rsidRPr="00212D57">
        <w:rPr>
          <w:rFonts w:ascii="Times Ext Roman" w:hAnsi="Times Ext Roman" w:cs="Times Ext Roman" w:hint="eastAsia"/>
          <w:szCs w:val="22"/>
        </w:rPr>
        <w:t>《漢語大詞典》（九），</w:t>
      </w:r>
      <w:r w:rsidRPr="00761EF3">
        <w:rPr>
          <w:rFonts w:hint="eastAsia"/>
          <w:szCs w:val="22"/>
        </w:rPr>
        <w:t>p</w:t>
      </w:r>
      <w:r w:rsidRPr="00212D57">
        <w:rPr>
          <w:rFonts w:hint="eastAsia"/>
          <w:szCs w:val="22"/>
        </w:rPr>
        <w:t>.</w:t>
      </w:r>
      <w:r w:rsidRPr="00761EF3">
        <w:rPr>
          <w:rFonts w:hint="eastAsia"/>
          <w:szCs w:val="22"/>
        </w:rPr>
        <w:t>810</w:t>
      </w:r>
      <w:r w:rsidRPr="00212D57">
        <w:rPr>
          <w:rFonts w:ascii="Times Ext Roman" w:hAnsi="Times Ext Roman" w:cs="Times Ext Roman" w:hint="eastAsia"/>
          <w:szCs w:val="22"/>
        </w:rPr>
        <w:t>）</w:t>
      </w:r>
    </w:p>
  </w:footnote>
  <w:footnote w:id="463">
    <w:p w:rsidR="00157EF6" w:rsidRPr="00212D57" w:rsidRDefault="00157EF6" w:rsidP="00B5316E">
      <w:pPr>
        <w:pStyle w:val="a5"/>
        <w:ind w:left="187" w:hangingChars="85" w:hanging="187"/>
        <w:jc w:val="both"/>
        <w:rPr>
          <w:szCs w:val="22"/>
        </w:rPr>
      </w:pPr>
      <w:r w:rsidRPr="00212D57">
        <w:rPr>
          <w:rStyle w:val="a6"/>
          <w:szCs w:val="22"/>
        </w:rPr>
        <w:footnoteRef/>
      </w:r>
      <w:r w:rsidRPr="00212D57">
        <w:rPr>
          <w:rFonts w:eastAsia="SimSun" w:hint="eastAsia"/>
          <w:szCs w:val="22"/>
        </w:rPr>
        <w:t xml:space="preserve"> </w:t>
      </w:r>
      <w:r w:rsidRPr="00212D57">
        <w:rPr>
          <w:rFonts w:hint="eastAsia"/>
          <w:szCs w:val="22"/>
        </w:rPr>
        <w:t>參見</w:t>
      </w:r>
      <w:r w:rsidRPr="00212D57">
        <w:rPr>
          <w:szCs w:val="22"/>
        </w:rPr>
        <w:t>《中論》卷</w:t>
      </w:r>
      <w:r w:rsidRPr="00761EF3">
        <w:rPr>
          <w:szCs w:val="22"/>
        </w:rPr>
        <w:t>1</w:t>
      </w:r>
      <w:r w:rsidRPr="00212D57">
        <w:rPr>
          <w:szCs w:val="22"/>
        </w:rPr>
        <w:t>〈</w:t>
      </w:r>
      <w:r w:rsidRPr="00761EF3">
        <w:rPr>
          <w:szCs w:val="22"/>
        </w:rPr>
        <w:t>1</w:t>
      </w:r>
      <w:r w:rsidRPr="00212D57">
        <w:rPr>
          <w:szCs w:val="22"/>
        </w:rPr>
        <w:t xml:space="preserve"> </w:t>
      </w:r>
      <w:r w:rsidRPr="00212D57">
        <w:rPr>
          <w:szCs w:val="22"/>
        </w:rPr>
        <w:t>觀因緣品〉（青目釋）（大正</w:t>
      </w:r>
      <w:r w:rsidRPr="00761EF3">
        <w:rPr>
          <w:szCs w:val="22"/>
        </w:rPr>
        <w:t>30</w:t>
      </w:r>
      <w:r w:rsidRPr="00212D57">
        <w:rPr>
          <w:szCs w:val="22"/>
        </w:rPr>
        <w:t>，</w:t>
      </w:r>
      <w:r w:rsidRPr="00761EF3">
        <w:rPr>
          <w:rFonts w:hint="eastAsia"/>
          <w:szCs w:val="22"/>
        </w:rPr>
        <w:t>2a8</w:t>
      </w:r>
      <w:r w:rsidRPr="00212D57">
        <w:rPr>
          <w:szCs w:val="22"/>
        </w:rPr>
        <w:t>-</w:t>
      </w:r>
      <w:r w:rsidRPr="00761EF3">
        <w:rPr>
          <w:rFonts w:hint="eastAsia"/>
          <w:szCs w:val="22"/>
        </w:rPr>
        <w:t>b4</w:t>
      </w:r>
      <w:r w:rsidRPr="00212D57">
        <w:rPr>
          <w:rStyle w:val="old"/>
          <w:color w:val="auto"/>
          <w:szCs w:val="22"/>
        </w:rPr>
        <w:t>）。</w:t>
      </w:r>
    </w:p>
  </w:footnote>
  <w:footnote w:id="464">
    <w:p w:rsidR="00157EF6" w:rsidRPr="00212D57" w:rsidRDefault="00157EF6" w:rsidP="00B5316E">
      <w:pPr>
        <w:pStyle w:val="a5"/>
        <w:ind w:left="726" w:hangingChars="330" w:hanging="726"/>
        <w:jc w:val="both"/>
        <w:rPr>
          <w:szCs w:val="22"/>
        </w:rPr>
      </w:pPr>
      <w:r w:rsidRPr="00212D57">
        <w:rPr>
          <w:rStyle w:val="a6"/>
          <w:szCs w:val="22"/>
        </w:rPr>
        <w:footnoteRef/>
      </w:r>
      <w:r w:rsidRPr="00212D57">
        <w:rPr>
          <w:rFonts w:ascii="新細明體" w:hAnsi="新細明體" w:hint="eastAsia"/>
          <w:szCs w:val="22"/>
        </w:rPr>
        <w:t xml:space="preserve"> （</w:t>
      </w:r>
      <w:r w:rsidRPr="00761EF3">
        <w:rPr>
          <w:rFonts w:eastAsia="SimSun" w:hint="eastAsia"/>
          <w:szCs w:val="22"/>
        </w:rPr>
        <w:t>1</w:t>
      </w:r>
      <w:r w:rsidRPr="00212D57">
        <w:rPr>
          <w:rFonts w:ascii="新細明體" w:hAnsi="新細明體" w:hint="eastAsia"/>
          <w:szCs w:val="22"/>
        </w:rPr>
        <w:t>）</w:t>
      </w:r>
      <w:r w:rsidRPr="00212D57">
        <w:rPr>
          <w:szCs w:val="22"/>
        </w:rPr>
        <w:t>〔隋〕吉藏</w:t>
      </w:r>
      <w:r>
        <w:rPr>
          <w:szCs w:val="22"/>
        </w:rPr>
        <w:t>撰</w:t>
      </w:r>
      <w:r w:rsidRPr="00212D57">
        <w:rPr>
          <w:rFonts w:hint="eastAsia"/>
          <w:szCs w:val="22"/>
        </w:rPr>
        <w:t>，</w:t>
      </w:r>
      <w:r w:rsidRPr="00212D57">
        <w:rPr>
          <w:szCs w:val="22"/>
        </w:rPr>
        <w:t>《中觀論疏》卷</w:t>
      </w:r>
      <w:r w:rsidRPr="00761EF3">
        <w:rPr>
          <w:szCs w:val="22"/>
        </w:rPr>
        <w:t>2</w:t>
      </w:r>
      <w:r w:rsidRPr="00212D57">
        <w:rPr>
          <w:szCs w:val="22"/>
        </w:rPr>
        <w:t>（大正</w:t>
      </w:r>
      <w:r w:rsidRPr="00761EF3">
        <w:rPr>
          <w:szCs w:val="22"/>
        </w:rPr>
        <w:t>42</w:t>
      </w:r>
      <w:r w:rsidRPr="00212D57">
        <w:rPr>
          <w:szCs w:val="22"/>
        </w:rPr>
        <w:t>，</w:t>
      </w:r>
      <w:r w:rsidRPr="00761EF3">
        <w:rPr>
          <w:szCs w:val="22"/>
        </w:rPr>
        <w:t>32c5</w:t>
      </w:r>
      <w:r w:rsidRPr="00212D57">
        <w:rPr>
          <w:szCs w:val="22"/>
        </w:rPr>
        <w:t>-</w:t>
      </w:r>
      <w:r w:rsidRPr="00761EF3">
        <w:rPr>
          <w:szCs w:val="22"/>
        </w:rPr>
        <w:t>8</w:t>
      </w:r>
      <w:r w:rsidRPr="00212D57">
        <w:rPr>
          <w:szCs w:val="22"/>
        </w:rPr>
        <w:t>）：</w:t>
      </w:r>
    </w:p>
    <w:p w:rsidR="008438F9" w:rsidRDefault="00157EF6" w:rsidP="00B5316E">
      <w:pPr>
        <w:pStyle w:val="a5"/>
        <w:ind w:leftChars="305" w:left="732"/>
        <w:jc w:val="both"/>
        <w:rPr>
          <w:rFonts w:ascii="標楷體" w:eastAsia="標楷體" w:hAnsi="標楷體"/>
          <w:szCs w:val="22"/>
        </w:rPr>
      </w:pPr>
      <w:r w:rsidRPr="00212D57">
        <w:rPr>
          <w:rFonts w:ascii="標楷體" w:eastAsia="標楷體" w:hAnsi="標楷體"/>
          <w:szCs w:val="22"/>
        </w:rPr>
        <w:t>復有人言：</w:t>
      </w:r>
      <w:r w:rsidR="008438F9">
        <w:rPr>
          <w:rFonts w:ascii="標楷體" w:eastAsia="標楷體" w:hAnsi="標楷體" w:hint="eastAsia"/>
          <w:bCs/>
          <w:color w:val="FF0000"/>
          <w:kern w:val="0"/>
          <w:highlight w:val="yellow"/>
        </w:rPr>
        <w:t>「</w:t>
      </w:r>
      <w:r w:rsidRPr="00212D57">
        <w:rPr>
          <w:rFonts w:ascii="標楷體" w:eastAsia="標楷體" w:hAnsi="標楷體"/>
          <w:szCs w:val="22"/>
        </w:rPr>
        <w:t>不生不滅</w:t>
      </w:r>
      <w:r w:rsidR="008438F9">
        <w:rPr>
          <w:rFonts w:ascii="標楷體" w:eastAsia="標楷體" w:hAnsi="標楷體" w:hint="eastAsia"/>
          <w:bCs/>
          <w:color w:val="FF0000"/>
          <w:kern w:val="0"/>
          <w:highlight w:val="yellow"/>
        </w:rPr>
        <w:t>」</w:t>
      </w:r>
      <w:r w:rsidRPr="00212D57">
        <w:rPr>
          <w:rFonts w:ascii="標楷體" w:eastAsia="標楷體" w:hAnsi="標楷體"/>
          <w:szCs w:val="22"/>
        </w:rPr>
        <w:t>明</w:t>
      </w:r>
      <w:r w:rsidR="008438F9">
        <w:rPr>
          <w:rFonts w:ascii="標楷體" w:eastAsia="標楷體" w:hAnsi="標楷體" w:hint="eastAsia"/>
          <w:bCs/>
          <w:color w:val="FF0000"/>
          <w:kern w:val="0"/>
          <w:highlight w:val="yellow"/>
        </w:rPr>
        <w:t>「</w:t>
      </w:r>
      <w:r w:rsidRPr="00212D57">
        <w:rPr>
          <w:rFonts w:ascii="標楷體" w:eastAsia="標楷體" w:hAnsi="標楷體"/>
          <w:szCs w:val="22"/>
        </w:rPr>
        <w:t>真諦</w:t>
      </w:r>
      <w:r w:rsidR="008438F9">
        <w:rPr>
          <w:rFonts w:ascii="標楷體" w:eastAsia="標楷體" w:hAnsi="標楷體" w:hint="eastAsia"/>
          <w:bCs/>
          <w:color w:val="FF0000"/>
          <w:kern w:val="0"/>
          <w:highlight w:val="yellow"/>
        </w:rPr>
        <w:t>」</w:t>
      </w:r>
      <w:r w:rsidRPr="00212D57">
        <w:rPr>
          <w:rFonts w:ascii="標楷體" w:eastAsia="標楷體" w:hAnsi="標楷體"/>
          <w:szCs w:val="22"/>
        </w:rPr>
        <w:t>義，</w:t>
      </w:r>
      <w:r w:rsidR="008438F9">
        <w:rPr>
          <w:rFonts w:ascii="標楷體" w:eastAsia="標楷體" w:hAnsi="標楷體" w:hint="eastAsia"/>
          <w:bCs/>
          <w:color w:val="FF0000"/>
          <w:kern w:val="0"/>
          <w:highlight w:val="yellow"/>
        </w:rPr>
        <w:t>「</w:t>
      </w:r>
      <w:r w:rsidRPr="00212D57">
        <w:rPr>
          <w:rFonts w:ascii="標楷體" w:eastAsia="標楷體" w:hAnsi="標楷體"/>
          <w:szCs w:val="22"/>
        </w:rPr>
        <w:t>不常不斷</w:t>
      </w:r>
      <w:r w:rsidR="008438F9">
        <w:rPr>
          <w:rFonts w:ascii="標楷體" w:eastAsia="標楷體" w:hAnsi="標楷體" w:hint="eastAsia"/>
          <w:bCs/>
          <w:color w:val="FF0000"/>
          <w:kern w:val="0"/>
          <w:highlight w:val="yellow"/>
        </w:rPr>
        <w:t>」</w:t>
      </w:r>
      <w:r w:rsidRPr="00212D57">
        <w:rPr>
          <w:rFonts w:ascii="標楷體" w:eastAsia="標楷體" w:hAnsi="標楷體"/>
          <w:szCs w:val="22"/>
        </w:rPr>
        <w:t>等六明</w:t>
      </w:r>
      <w:r w:rsidR="008438F9">
        <w:rPr>
          <w:rFonts w:ascii="標楷體" w:eastAsia="標楷體" w:hAnsi="標楷體" w:hint="eastAsia"/>
          <w:bCs/>
          <w:color w:val="FF0000"/>
          <w:kern w:val="0"/>
          <w:highlight w:val="yellow"/>
        </w:rPr>
        <w:t>「</w:t>
      </w:r>
      <w:r w:rsidRPr="00212D57">
        <w:rPr>
          <w:rFonts w:ascii="標楷體" w:eastAsia="標楷體" w:hAnsi="標楷體"/>
          <w:szCs w:val="22"/>
        </w:rPr>
        <w:t>世諦</w:t>
      </w:r>
      <w:r w:rsidR="008438F9">
        <w:rPr>
          <w:rFonts w:ascii="標楷體" w:eastAsia="標楷體" w:hAnsi="標楷體" w:hint="eastAsia"/>
          <w:bCs/>
          <w:color w:val="FF0000"/>
          <w:kern w:val="0"/>
          <w:highlight w:val="yellow"/>
        </w:rPr>
        <w:t>」</w:t>
      </w:r>
      <w:r w:rsidRPr="00212D57">
        <w:rPr>
          <w:rFonts w:ascii="標楷體" w:eastAsia="標楷體" w:hAnsi="標楷體"/>
          <w:szCs w:val="22"/>
        </w:rPr>
        <w:t>義。</w:t>
      </w:r>
    </w:p>
    <w:p w:rsidR="00157EF6" w:rsidRPr="00212D57" w:rsidRDefault="00157EF6" w:rsidP="00B5316E">
      <w:pPr>
        <w:pStyle w:val="a5"/>
        <w:ind w:leftChars="305" w:left="732"/>
        <w:jc w:val="both"/>
        <w:rPr>
          <w:rFonts w:ascii="標楷體" w:eastAsia="標楷體" w:hAnsi="標楷體"/>
          <w:szCs w:val="22"/>
        </w:rPr>
      </w:pPr>
      <w:r w:rsidRPr="00212D57">
        <w:rPr>
          <w:rFonts w:ascii="標楷體" w:eastAsia="標楷體" w:hAnsi="標楷體"/>
          <w:szCs w:val="22"/>
        </w:rPr>
        <w:t>今謂：若得意者</w:t>
      </w:r>
      <w:r w:rsidR="008438F9">
        <w:rPr>
          <w:rFonts w:ascii="標楷體" w:eastAsia="標楷體" w:hAnsi="標楷體" w:hint="eastAsia"/>
          <w:color w:val="FF0000"/>
          <w:kern w:val="0"/>
          <w:highlight w:val="yellow"/>
        </w:rPr>
        <w:t>，</w:t>
      </w:r>
      <w:r w:rsidRPr="00212D57">
        <w:rPr>
          <w:rFonts w:ascii="標楷體" w:eastAsia="標楷體" w:hAnsi="標楷體"/>
          <w:szCs w:val="22"/>
        </w:rPr>
        <w:t>此亦無妨。然</w:t>
      </w:r>
      <w:r w:rsidRPr="00212D57">
        <w:rPr>
          <w:rFonts w:ascii="標楷體" w:eastAsia="標楷體" w:hAnsi="標楷體"/>
          <w:b/>
          <w:szCs w:val="22"/>
        </w:rPr>
        <w:t>今</w:t>
      </w:r>
      <w:r w:rsidR="008438F9">
        <w:rPr>
          <w:rFonts w:ascii="標楷體" w:eastAsia="標楷體" w:hAnsi="標楷體" w:hint="eastAsia"/>
          <w:bCs/>
          <w:color w:val="FF0000"/>
          <w:kern w:val="0"/>
          <w:highlight w:val="yellow"/>
        </w:rPr>
        <w:t>「</w:t>
      </w:r>
      <w:r w:rsidRPr="00212D57">
        <w:rPr>
          <w:rFonts w:ascii="標楷體" w:eastAsia="標楷體" w:hAnsi="標楷體"/>
          <w:b/>
          <w:szCs w:val="22"/>
        </w:rPr>
        <w:t>八不</w:t>
      </w:r>
      <w:r w:rsidR="008438F9">
        <w:rPr>
          <w:rFonts w:ascii="標楷體" w:eastAsia="標楷體" w:hAnsi="標楷體" w:hint="eastAsia"/>
          <w:bCs/>
          <w:color w:val="FF0000"/>
          <w:kern w:val="0"/>
          <w:highlight w:val="yellow"/>
        </w:rPr>
        <w:t>」</w:t>
      </w:r>
      <w:r w:rsidRPr="00212D57">
        <w:rPr>
          <w:rFonts w:ascii="標楷體" w:eastAsia="標楷體" w:hAnsi="標楷體"/>
          <w:b/>
          <w:szCs w:val="22"/>
        </w:rPr>
        <w:t>通具二諦</w:t>
      </w:r>
      <w:r w:rsidRPr="00212D57">
        <w:rPr>
          <w:rFonts w:ascii="標楷體" w:eastAsia="標楷體" w:hAnsi="標楷體"/>
          <w:szCs w:val="22"/>
        </w:rPr>
        <w:t>。如《瓔珞經》說之，故亦不同此釋。</w:t>
      </w:r>
    </w:p>
    <w:p w:rsidR="00157EF6" w:rsidRPr="00212D57" w:rsidRDefault="00157EF6" w:rsidP="00B5316E">
      <w:pPr>
        <w:pStyle w:val="a5"/>
        <w:ind w:leftChars="80" w:left="731" w:hangingChars="245" w:hanging="539"/>
        <w:jc w:val="both"/>
        <w:rPr>
          <w:szCs w:val="22"/>
        </w:rPr>
      </w:pPr>
      <w:r w:rsidRPr="00212D57">
        <w:rPr>
          <w:rFonts w:ascii="新細明體" w:hAnsi="新細明體" w:hint="eastAsia"/>
          <w:szCs w:val="22"/>
        </w:rPr>
        <w:t>（</w:t>
      </w:r>
      <w:r w:rsidRPr="00761EF3">
        <w:rPr>
          <w:rFonts w:eastAsia="SimSun" w:hint="eastAsia"/>
          <w:szCs w:val="22"/>
        </w:rPr>
        <w:t>2</w:t>
      </w:r>
      <w:r w:rsidRPr="00212D57">
        <w:rPr>
          <w:rFonts w:ascii="新細明體" w:hAnsi="新細明體" w:hint="eastAsia"/>
          <w:szCs w:val="22"/>
        </w:rPr>
        <w:t>）</w:t>
      </w:r>
      <w:r w:rsidRPr="00212D57">
        <w:rPr>
          <w:szCs w:val="22"/>
        </w:rPr>
        <w:t>《菩薩瓔珞本業經》卷</w:t>
      </w:r>
      <w:r w:rsidR="00F9256B">
        <w:rPr>
          <w:rFonts w:hint="eastAsia"/>
          <w:color w:val="FF0000"/>
          <w:szCs w:val="22"/>
          <w:highlight w:val="yellow"/>
        </w:rPr>
        <w:t>下</w:t>
      </w:r>
      <w:r w:rsidRPr="00212D57">
        <w:rPr>
          <w:szCs w:val="22"/>
        </w:rPr>
        <w:t>（大正</w:t>
      </w:r>
      <w:r w:rsidRPr="00761EF3">
        <w:rPr>
          <w:szCs w:val="22"/>
        </w:rPr>
        <w:t>24</w:t>
      </w:r>
      <w:r w:rsidRPr="00212D57">
        <w:rPr>
          <w:szCs w:val="22"/>
        </w:rPr>
        <w:t>，</w:t>
      </w:r>
      <w:r w:rsidRPr="00761EF3">
        <w:rPr>
          <w:szCs w:val="22"/>
        </w:rPr>
        <w:t>1018c2</w:t>
      </w:r>
      <w:r w:rsidRPr="00212D57">
        <w:rPr>
          <w:szCs w:val="22"/>
        </w:rPr>
        <w:t>-</w:t>
      </w:r>
      <w:r w:rsidRPr="00761EF3">
        <w:rPr>
          <w:szCs w:val="22"/>
        </w:rPr>
        <w:t>7</w:t>
      </w:r>
      <w:r w:rsidRPr="00212D57">
        <w:rPr>
          <w:szCs w:val="22"/>
        </w:rPr>
        <w:t>）：</w:t>
      </w:r>
    </w:p>
    <w:p w:rsidR="00157EF6" w:rsidRPr="00212D57" w:rsidRDefault="00157EF6" w:rsidP="00B5316E">
      <w:pPr>
        <w:pStyle w:val="a5"/>
        <w:ind w:leftChars="305" w:left="732"/>
        <w:jc w:val="both"/>
        <w:rPr>
          <w:rFonts w:ascii="標楷體" w:eastAsia="標楷體" w:hAnsi="標楷體"/>
          <w:szCs w:val="22"/>
        </w:rPr>
      </w:pPr>
      <w:r w:rsidRPr="00212D57">
        <w:rPr>
          <w:rFonts w:ascii="標楷體" w:eastAsia="標楷體" w:hAnsi="標楷體"/>
          <w:szCs w:val="22"/>
        </w:rPr>
        <w:t>二諦義者，不一亦不二，不常亦不斷，不來亦不去，不生亦不滅。而二相即</w:t>
      </w:r>
      <w:r w:rsidR="00F9256B">
        <w:rPr>
          <w:rFonts w:ascii="標楷體" w:eastAsia="標楷體" w:hAnsi="標楷體" w:hint="eastAsia"/>
          <w:color w:val="FF0000"/>
          <w:kern w:val="0"/>
          <w:highlight w:val="yellow"/>
        </w:rPr>
        <w:t>，</w:t>
      </w:r>
      <w:r w:rsidR="00F9256B">
        <w:rPr>
          <w:rFonts w:ascii="標楷體" w:eastAsia="標楷體" w:hAnsi="標楷體"/>
          <w:szCs w:val="22"/>
        </w:rPr>
        <w:t>聖智無二，無二故是諸佛菩薩智母。佛子！十方無極剎土諸</w:t>
      </w:r>
      <w:r w:rsidR="00F9256B" w:rsidRPr="00F9256B">
        <w:rPr>
          <w:rFonts w:ascii="標楷體" w:eastAsia="標楷體" w:hAnsi="標楷體"/>
          <w:szCs w:val="22"/>
          <w:highlight w:val="yellow"/>
        </w:rPr>
        <w:t>佛</w:t>
      </w:r>
      <w:r w:rsidRPr="00F9256B">
        <w:rPr>
          <w:rFonts w:ascii="標楷體" w:eastAsia="標楷體" w:hAnsi="標楷體"/>
          <w:szCs w:val="22"/>
          <w:highlight w:val="yellow"/>
        </w:rPr>
        <w:t>皆</w:t>
      </w:r>
      <w:r w:rsidRPr="00212D57">
        <w:rPr>
          <w:rFonts w:ascii="標楷體" w:eastAsia="標楷體" w:hAnsi="標楷體"/>
          <w:szCs w:val="22"/>
        </w:rPr>
        <w:t>亦如是說。吾今為是大眾略說明《瓔珞經》中二諦要義。</w:t>
      </w:r>
    </w:p>
  </w:footnote>
  <w:footnote w:id="465">
    <w:p w:rsidR="00157EF6" w:rsidRPr="00212D57" w:rsidRDefault="00157EF6" w:rsidP="00B5316E">
      <w:pPr>
        <w:pStyle w:val="a5"/>
        <w:ind w:left="253" w:hangingChars="115" w:hanging="253"/>
        <w:jc w:val="both"/>
        <w:rPr>
          <w:szCs w:val="22"/>
        </w:rPr>
      </w:pPr>
      <w:r w:rsidRPr="00212D57">
        <w:rPr>
          <w:rStyle w:val="a6"/>
          <w:szCs w:val="22"/>
        </w:rPr>
        <w:footnoteRef/>
      </w:r>
      <w:r w:rsidRPr="00212D57">
        <w:rPr>
          <w:rFonts w:eastAsia="SimSun" w:hint="eastAsia"/>
          <w:szCs w:val="22"/>
        </w:rPr>
        <w:t xml:space="preserve"> </w:t>
      </w:r>
      <w:r w:rsidRPr="00212D57">
        <w:rPr>
          <w:szCs w:val="22"/>
        </w:rPr>
        <w:t>〔隋〕吉藏</w:t>
      </w:r>
      <w:r>
        <w:rPr>
          <w:szCs w:val="22"/>
        </w:rPr>
        <w:t>撰</w:t>
      </w:r>
      <w:r w:rsidRPr="00212D57">
        <w:rPr>
          <w:rFonts w:hint="eastAsia"/>
          <w:szCs w:val="22"/>
        </w:rPr>
        <w:t>，</w:t>
      </w:r>
      <w:r w:rsidRPr="00212D57">
        <w:rPr>
          <w:szCs w:val="22"/>
        </w:rPr>
        <w:t>《中觀論疏》卷</w:t>
      </w:r>
      <w:r w:rsidRPr="00761EF3">
        <w:rPr>
          <w:szCs w:val="22"/>
        </w:rPr>
        <w:t>3</w:t>
      </w:r>
      <w:r w:rsidRPr="00212D57">
        <w:rPr>
          <w:szCs w:val="22"/>
        </w:rPr>
        <w:t>（大正</w:t>
      </w:r>
      <w:r w:rsidRPr="00761EF3">
        <w:rPr>
          <w:szCs w:val="22"/>
        </w:rPr>
        <w:t>42</w:t>
      </w:r>
      <w:r w:rsidRPr="00212D57">
        <w:rPr>
          <w:szCs w:val="22"/>
        </w:rPr>
        <w:t>，</w:t>
      </w:r>
      <w:r w:rsidRPr="00761EF3">
        <w:rPr>
          <w:szCs w:val="22"/>
        </w:rPr>
        <w:t>34c23</w:t>
      </w:r>
      <w:r w:rsidRPr="00212D57">
        <w:rPr>
          <w:szCs w:val="22"/>
        </w:rPr>
        <w:t>-</w:t>
      </w:r>
      <w:r w:rsidRPr="00761EF3">
        <w:rPr>
          <w:szCs w:val="22"/>
        </w:rPr>
        <w:t>28</w:t>
      </w:r>
      <w:r w:rsidRPr="00212D57">
        <w:rPr>
          <w:szCs w:val="22"/>
        </w:rPr>
        <w:t>）：</w:t>
      </w:r>
    </w:p>
    <w:p w:rsidR="00157EF6" w:rsidRPr="00212D57" w:rsidRDefault="00157EF6" w:rsidP="00B5316E">
      <w:pPr>
        <w:pStyle w:val="a5"/>
        <w:ind w:leftChars="105" w:left="252"/>
        <w:jc w:val="both"/>
        <w:rPr>
          <w:rFonts w:ascii="標楷體" w:eastAsia="標楷體" w:hAnsi="標楷體"/>
          <w:szCs w:val="22"/>
        </w:rPr>
      </w:pPr>
      <w:r w:rsidRPr="00212D57">
        <w:rPr>
          <w:rFonts w:ascii="標楷體" w:eastAsia="標楷體" w:hAnsi="標楷體"/>
          <w:szCs w:val="22"/>
        </w:rPr>
        <w:t>師又云：此非</w:t>
      </w:r>
      <w:r w:rsidR="00F9256B">
        <w:rPr>
          <w:rFonts w:ascii="標楷體" w:eastAsia="標楷體" w:hAnsi="標楷體" w:hint="eastAsia"/>
          <w:bCs/>
          <w:color w:val="FF0000"/>
          <w:kern w:val="0"/>
          <w:highlight w:val="yellow"/>
        </w:rPr>
        <w:t>「</w:t>
      </w:r>
      <w:r w:rsidRPr="00212D57">
        <w:rPr>
          <w:rFonts w:ascii="標楷體" w:eastAsia="標楷體" w:hAnsi="標楷體"/>
          <w:szCs w:val="22"/>
        </w:rPr>
        <w:t>世諦之第一義</w:t>
      </w:r>
      <w:r w:rsidR="00F9256B">
        <w:rPr>
          <w:rFonts w:ascii="標楷體" w:eastAsia="標楷體" w:hAnsi="標楷體" w:hint="eastAsia"/>
          <w:bCs/>
          <w:color w:val="FF0000"/>
          <w:kern w:val="0"/>
          <w:highlight w:val="yellow"/>
        </w:rPr>
        <w:t>」</w:t>
      </w:r>
      <w:r w:rsidRPr="00212D57">
        <w:rPr>
          <w:rFonts w:ascii="標楷體" w:eastAsia="標楷體" w:hAnsi="標楷體"/>
          <w:szCs w:val="22"/>
        </w:rPr>
        <w:t>，乃是</w:t>
      </w:r>
      <w:r w:rsidR="00F9256B">
        <w:rPr>
          <w:rFonts w:ascii="標楷體" w:eastAsia="標楷體" w:hAnsi="標楷體" w:hint="eastAsia"/>
          <w:bCs/>
          <w:color w:val="FF0000"/>
          <w:kern w:val="0"/>
          <w:highlight w:val="yellow"/>
        </w:rPr>
        <w:t>「</w:t>
      </w:r>
      <w:r w:rsidRPr="00212D57">
        <w:rPr>
          <w:rFonts w:ascii="標楷體" w:eastAsia="標楷體" w:hAnsi="標楷體"/>
          <w:b/>
          <w:szCs w:val="22"/>
        </w:rPr>
        <w:t>中道第一義</w:t>
      </w:r>
      <w:r w:rsidR="00F9256B">
        <w:rPr>
          <w:rFonts w:ascii="標楷體" w:eastAsia="標楷體" w:hAnsi="標楷體" w:hint="eastAsia"/>
          <w:bCs/>
          <w:color w:val="FF0000"/>
          <w:kern w:val="0"/>
          <w:highlight w:val="yellow"/>
        </w:rPr>
        <w:t>」</w:t>
      </w:r>
      <w:r w:rsidRPr="00212D57">
        <w:rPr>
          <w:rFonts w:ascii="標楷體" w:eastAsia="標楷體" w:hAnsi="標楷體"/>
          <w:szCs w:val="22"/>
        </w:rPr>
        <w:t>耳。故《仁王經》云：「有諦</w:t>
      </w:r>
      <w:r w:rsidRPr="00212D57">
        <w:rPr>
          <w:rFonts w:ascii="標楷體" w:eastAsia="標楷體" w:hAnsi="標楷體" w:hint="eastAsia"/>
          <w:szCs w:val="22"/>
        </w:rPr>
        <w:t>、</w:t>
      </w:r>
      <w:r w:rsidRPr="00212D57">
        <w:rPr>
          <w:rFonts w:ascii="標楷體" w:eastAsia="標楷體" w:hAnsi="標楷體"/>
          <w:szCs w:val="22"/>
        </w:rPr>
        <w:t>無諦</w:t>
      </w:r>
      <w:r w:rsidRPr="00212D57">
        <w:rPr>
          <w:rFonts w:ascii="標楷體" w:eastAsia="標楷體" w:hAnsi="標楷體" w:hint="eastAsia"/>
          <w:szCs w:val="22"/>
        </w:rPr>
        <w:t>、</w:t>
      </w:r>
      <w:r w:rsidRPr="00212D57">
        <w:rPr>
          <w:rFonts w:ascii="標楷體" w:eastAsia="標楷體" w:hAnsi="標楷體"/>
          <w:szCs w:val="22"/>
        </w:rPr>
        <w:t>中道第一義諦。」所以明</w:t>
      </w:r>
      <w:r w:rsidR="00F9256B">
        <w:rPr>
          <w:rFonts w:ascii="標楷體" w:eastAsia="標楷體" w:hAnsi="標楷體" w:hint="eastAsia"/>
          <w:bCs/>
          <w:color w:val="FF0000"/>
          <w:kern w:val="0"/>
          <w:highlight w:val="yellow"/>
        </w:rPr>
        <w:t>「</w:t>
      </w:r>
      <w:r w:rsidRPr="00212D57">
        <w:rPr>
          <w:rFonts w:ascii="標楷體" w:eastAsia="標楷體" w:hAnsi="標楷體"/>
          <w:szCs w:val="22"/>
        </w:rPr>
        <w:t>中道第一義</w:t>
      </w:r>
      <w:r w:rsidR="00F9256B">
        <w:rPr>
          <w:rFonts w:ascii="標楷體" w:eastAsia="標楷體" w:hAnsi="標楷體" w:hint="eastAsia"/>
          <w:bCs/>
          <w:color w:val="FF0000"/>
          <w:kern w:val="0"/>
          <w:highlight w:val="yellow"/>
        </w:rPr>
        <w:t>」</w:t>
      </w:r>
      <w:r w:rsidRPr="00212D57">
        <w:rPr>
          <w:rFonts w:ascii="標楷體" w:eastAsia="標楷體" w:hAnsi="標楷體"/>
          <w:szCs w:val="22"/>
        </w:rPr>
        <w:t>者，雖牒</w:t>
      </w:r>
      <w:r w:rsidR="00F9256B">
        <w:rPr>
          <w:rFonts w:ascii="標楷體" w:eastAsia="標楷體" w:hAnsi="標楷體" w:hint="eastAsia"/>
          <w:bCs/>
          <w:color w:val="FF0000"/>
          <w:kern w:val="0"/>
          <w:highlight w:val="yellow"/>
        </w:rPr>
        <w:t>「</w:t>
      </w:r>
      <w:r w:rsidRPr="00212D57">
        <w:rPr>
          <w:rFonts w:ascii="標楷體" w:eastAsia="標楷體" w:hAnsi="標楷體"/>
          <w:szCs w:val="22"/>
        </w:rPr>
        <w:t>八不</w:t>
      </w:r>
      <w:r w:rsidR="00F9256B">
        <w:rPr>
          <w:rFonts w:ascii="標楷體" w:eastAsia="標楷體" w:hAnsi="標楷體" w:hint="eastAsia"/>
          <w:bCs/>
          <w:color w:val="FF0000"/>
          <w:kern w:val="0"/>
          <w:highlight w:val="yellow"/>
        </w:rPr>
        <w:t>」</w:t>
      </w:r>
      <w:r w:rsidRPr="00212D57">
        <w:rPr>
          <w:rFonts w:ascii="標楷體" w:eastAsia="標楷體" w:hAnsi="標楷體"/>
          <w:szCs w:val="22"/>
        </w:rPr>
        <w:t>明</w:t>
      </w:r>
      <w:r w:rsidR="00F9256B">
        <w:rPr>
          <w:rFonts w:ascii="標楷體" w:eastAsia="標楷體" w:hAnsi="標楷體" w:hint="eastAsia"/>
          <w:bCs/>
          <w:color w:val="FF0000"/>
          <w:kern w:val="0"/>
          <w:highlight w:val="yellow"/>
        </w:rPr>
        <w:t>「</w:t>
      </w:r>
      <w:r w:rsidRPr="00212D57">
        <w:rPr>
          <w:rFonts w:ascii="標楷體" w:eastAsia="標楷體" w:hAnsi="標楷體"/>
          <w:szCs w:val="22"/>
        </w:rPr>
        <w:t>二諦</w:t>
      </w:r>
      <w:r w:rsidR="00F9256B">
        <w:rPr>
          <w:rFonts w:ascii="標楷體" w:eastAsia="標楷體" w:hAnsi="標楷體" w:hint="eastAsia"/>
          <w:bCs/>
          <w:color w:val="FF0000"/>
          <w:kern w:val="0"/>
          <w:highlight w:val="yellow"/>
        </w:rPr>
        <w:t>」</w:t>
      </w:r>
      <w:r w:rsidRPr="00212D57">
        <w:rPr>
          <w:rFonts w:ascii="標楷體" w:eastAsia="標楷體" w:hAnsi="標楷體"/>
          <w:szCs w:val="22"/>
        </w:rPr>
        <w:t>，為欲開不二道</w:t>
      </w:r>
      <w:r w:rsidR="00F9256B">
        <w:rPr>
          <w:rFonts w:ascii="標楷體" w:eastAsia="標楷體" w:hAnsi="標楷體" w:hint="eastAsia"/>
          <w:color w:val="FF0000"/>
          <w:spacing w:val="-4"/>
          <w:kern w:val="0"/>
          <w:highlight w:val="yellow"/>
        </w:rPr>
        <w:t>；</w:t>
      </w:r>
      <w:r w:rsidRPr="00212D57">
        <w:rPr>
          <w:rFonts w:ascii="標楷體" w:eastAsia="標楷體" w:hAnsi="標楷體"/>
          <w:szCs w:val="22"/>
        </w:rPr>
        <w:t>若不為開不二之道，諸佛終不說於二道。以道未曾真</w:t>
      </w:r>
      <w:r w:rsidR="00F9256B">
        <w:rPr>
          <w:rFonts w:ascii="標楷體" w:eastAsia="標楷體" w:hAnsi="標楷體" w:hint="eastAsia"/>
          <w:color w:val="FF0000"/>
          <w:kern w:val="0"/>
          <w:highlight w:val="yellow"/>
        </w:rPr>
        <w:t>.</w:t>
      </w:r>
      <w:r w:rsidRPr="00212D57">
        <w:rPr>
          <w:rFonts w:ascii="標楷體" w:eastAsia="標楷體" w:hAnsi="標楷體"/>
          <w:szCs w:val="22"/>
        </w:rPr>
        <w:t>俗</w:t>
      </w:r>
      <w:r w:rsidR="00F9256B">
        <w:rPr>
          <w:rFonts w:ascii="標楷體" w:eastAsia="標楷體" w:hAnsi="標楷體" w:hint="eastAsia"/>
          <w:color w:val="FF0000"/>
          <w:kern w:val="0"/>
          <w:highlight w:val="yellow"/>
        </w:rPr>
        <w:t>，</w:t>
      </w:r>
      <w:r w:rsidRPr="00212D57">
        <w:rPr>
          <w:rFonts w:ascii="標楷體" w:eastAsia="標楷體" w:hAnsi="標楷體"/>
          <w:szCs w:val="22"/>
        </w:rPr>
        <w:t>故名為</w:t>
      </w:r>
      <w:r w:rsidR="00F9256B">
        <w:rPr>
          <w:rFonts w:ascii="標楷體" w:eastAsia="標楷體" w:hAnsi="標楷體" w:hint="eastAsia"/>
          <w:bCs/>
          <w:color w:val="FF0000"/>
          <w:kern w:val="0"/>
          <w:highlight w:val="yellow"/>
        </w:rPr>
        <w:t>「</w:t>
      </w:r>
      <w:r w:rsidRPr="00212D57">
        <w:rPr>
          <w:rFonts w:ascii="標楷體" w:eastAsia="標楷體" w:hAnsi="標楷體"/>
          <w:szCs w:val="22"/>
        </w:rPr>
        <w:t>第一</w:t>
      </w:r>
      <w:r w:rsidR="00F9256B">
        <w:rPr>
          <w:rFonts w:ascii="標楷體" w:eastAsia="標楷體" w:hAnsi="標楷體" w:hint="eastAsia"/>
          <w:bCs/>
          <w:color w:val="FF0000"/>
          <w:kern w:val="0"/>
          <w:highlight w:val="yellow"/>
        </w:rPr>
        <w:t>」</w:t>
      </w:r>
      <w:r w:rsidRPr="00212D57">
        <w:rPr>
          <w:rFonts w:ascii="標楷體" w:eastAsia="標楷體" w:hAnsi="標楷體"/>
          <w:szCs w:val="22"/>
        </w:rPr>
        <w:t>。</w:t>
      </w:r>
    </w:p>
  </w:footnote>
  <w:footnote w:id="466">
    <w:p w:rsidR="00157EF6" w:rsidRPr="00212D57" w:rsidRDefault="00157EF6" w:rsidP="00B5316E">
      <w:pPr>
        <w:pStyle w:val="a5"/>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《般若燈論釋》卷</w:t>
      </w:r>
      <w:r w:rsidRPr="00761EF3">
        <w:rPr>
          <w:szCs w:val="22"/>
        </w:rPr>
        <w:t>1</w:t>
      </w:r>
      <w:r w:rsidRPr="00212D57">
        <w:rPr>
          <w:rFonts w:hint="eastAsia"/>
          <w:szCs w:val="22"/>
        </w:rPr>
        <w:t>〈</w:t>
      </w:r>
      <w:r w:rsidRPr="00761EF3">
        <w:rPr>
          <w:rFonts w:hint="eastAsia"/>
          <w:szCs w:val="22"/>
        </w:rPr>
        <w:t>1</w:t>
      </w:r>
      <w:r w:rsidRPr="00212D57">
        <w:rPr>
          <w:szCs w:val="22"/>
        </w:rPr>
        <w:t xml:space="preserve"> </w:t>
      </w:r>
      <w:r w:rsidRPr="00212D57">
        <w:rPr>
          <w:rFonts w:hint="eastAsia"/>
          <w:szCs w:val="22"/>
        </w:rPr>
        <w:t>觀緣品〉</w:t>
      </w:r>
      <w:r w:rsidRPr="00212D57">
        <w:rPr>
          <w:szCs w:val="22"/>
        </w:rPr>
        <w:t>（大正</w:t>
      </w:r>
      <w:r w:rsidRPr="00761EF3">
        <w:rPr>
          <w:szCs w:val="22"/>
        </w:rPr>
        <w:t>30</w:t>
      </w:r>
      <w:r w:rsidRPr="00212D57">
        <w:rPr>
          <w:szCs w:val="22"/>
        </w:rPr>
        <w:t>，</w:t>
      </w:r>
      <w:r w:rsidRPr="00761EF3">
        <w:rPr>
          <w:szCs w:val="22"/>
        </w:rPr>
        <w:t>51c23</w:t>
      </w:r>
      <w:r w:rsidRPr="00212D57">
        <w:rPr>
          <w:szCs w:val="22"/>
        </w:rPr>
        <w:t>-</w:t>
      </w:r>
      <w:r w:rsidRPr="00761EF3">
        <w:rPr>
          <w:szCs w:val="22"/>
        </w:rPr>
        <w:t>25</w:t>
      </w:r>
      <w:r w:rsidRPr="00212D57">
        <w:rPr>
          <w:szCs w:val="22"/>
        </w:rPr>
        <w:t>）</w:t>
      </w:r>
      <w:r w:rsidRPr="00212D57">
        <w:rPr>
          <w:rFonts w:hint="eastAsia"/>
          <w:szCs w:val="22"/>
        </w:rPr>
        <w:t>。</w:t>
      </w:r>
    </w:p>
  </w:footnote>
  <w:footnote w:id="467">
    <w:p w:rsidR="00157EF6" w:rsidRPr="00212D57" w:rsidRDefault="00157EF6" w:rsidP="00B5316E">
      <w:pPr>
        <w:pStyle w:val="a5"/>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《般若燈論釋》卷</w:t>
      </w:r>
      <w:r w:rsidRPr="00761EF3">
        <w:rPr>
          <w:szCs w:val="22"/>
        </w:rPr>
        <w:t>1</w:t>
      </w:r>
      <w:r w:rsidRPr="00212D57">
        <w:rPr>
          <w:rFonts w:hint="eastAsia"/>
          <w:szCs w:val="22"/>
        </w:rPr>
        <w:t>〈</w:t>
      </w:r>
      <w:r w:rsidRPr="00761EF3">
        <w:rPr>
          <w:rFonts w:hint="eastAsia"/>
          <w:szCs w:val="22"/>
        </w:rPr>
        <w:t>1</w:t>
      </w:r>
      <w:r w:rsidRPr="00212D57">
        <w:rPr>
          <w:szCs w:val="22"/>
        </w:rPr>
        <w:t xml:space="preserve"> </w:t>
      </w:r>
      <w:r w:rsidRPr="00212D57">
        <w:rPr>
          <w:rFonts w:hint="eastAsia"/>
          <w:szCs w:val="22"/>
        </w:rPr>
        <w:t>觀緣品〉</w:t>
      </w:r>
      <w:r w:rsidRPr="00212D57">
        <w:rPr>
          <w:szCs w:val="22"/>
        </w:rPr>
        <w:t>（大正</w:t>
      </w:r>
      <w:r w:rsidRPr="00761EF3">
        <w:rPr>
          <w:szCs w:val="22"/>
        </w:rPr>
        <w:t>30</w:t>
      </w:r>
      <w:r w:rsidRPr="00212D57">
        <w:rPr>
          <w:szCs w:val="22"/>
        </w:rPr>
        <w:t>，</w:t>
      </w:r>
      <w:r w:rsidRPr="00761EF3">
        <w:rPr>
          <w:szCs w:val="22"/>
        </w:rPr>
        <w:t>51c25</w:t>
      </w:r>
      <w:r w:rsidRPr="00212D57">
        <w:rPr>
          <w:szCs w:val="22"/>
        </w:rPr>
        <w:t>）</w:t>
      </w:r>
      <w:r w:rsidRPr="00212D57">
        <w:rPr>
          <w:rFonts w:hint="eastAsia"/>
          <w:szCs w:val="22"/>
        </w:rPr>
        <w:t>。</w:t>
      </w:r>
    </w:p>
  </w:footnote>
  <w:footnote w:id="468">
    <w:p w:rsidR="00157EF6" w:rsidRPr="00985F8E" w:rsidRDefault="00157EF6" w:rsidP="00773A8C">
      <w:pPr>
        <w:pStyle w:val="a5"/>
        <w:spacing w:line="0" w:lineRule="atLeast"/>
        <w:ind w:left="792" w:hangingChars="360" w:hanging="792"/>
        <w:jc w:val="both"/>
        <w:rPr>
          <w:rFonts w:ascii="新細明體" w:eastAsia="SimSun" w:hAnsi="新細明體"/>
          <w:szCs w:val="22"/>
        </w:rPr>
      </w:pPr>
      <w:r w:rsidRPr="00212D57">
        <w:rPr>
          <w:rStyle w:val="a6"/>
          <w:szCs w:val="22"/>
        </w:rPr>
        <w:footnoteRef/>
      </w:r>
      <w:r w:rsidRPr="00212D57">
        <w:rPr>
          <w:rFonts w:ascii="新細明體" w:hAnsi="新細明體" w:hint="eastAsia"/>
          <w:szCs w:val="22"/>
        </w:rPr>
        <w:t xml:space="preserve"> （</w:t>
      </w:r>
      <w:r w:rsidRPr="00761EF3">
        <w:rPr>
          <w:szCs w:val="22"/>
        </w:rPr>
        <w:t>1</w:t>
      </w:r>
      <w:r w:rsidRPr="00212D57">
        <w:rPr>
          <w:rFonts w:ascii="新細明體" w:hAnsi="新細明體" w:hint="eastAsia"/>
          <w:szCs w:val="22"/>
        </w:rPr>
        <w:t>）</w:t>
      </w:r>
      <w:r w:rsidRPr="00212D57">
        <w:rPr>
          <w:szCs w:val="22"/>
        </w:rPr>
        <w:t>宗喀巴著，法尊譯，</w:t>
      </w:r>
      <w:r w:rsidRPr="00212D57">
        <w:rPr>
          <w:rFonts w:ascii="新細明體" w:hAnsi="新細明體" w:hint="eastAsia"/>
          <w:szCs w:val="22"/>
        </w:rPr>
        <w:t>《菩提道次第廣論》卷</w:t>
      </w:r>
      <w:r w:rsidRPr="00761EF3">
        <w:rPr>
          <w:rFonts w:eastAsia="SimSun"/>
          <w:szCs w:val="22"/>
        </w:rPr>
        <w:t>17</w:t>
      </w:r>
      <w:r w:rsidRPr="00431088">
        <w:rPr>
          <w:rStyle w:val="af1"/>
          <w:rFonts w:ascii="新細明體" w:hAnsi="新細明體"/>
          <w:color w:val="auto"/>
          <w:szCs w:val="22"/>
          <w:u w:val="none"/>
        </w:rPr>
        <w:t>，</w:t>
      </w:r>
      <w:r w:rsidR="00AD14BF">
        <w:rPr>
          <w:rStyle w:val="af1"/>
          <w:rFonts w:ascii="新細明體" w:hAnsi="新細明體" w:hint="eastAsia"/>
          <w:color w:val="auto"/>
          <w:szCs w:val="22"/>
          <w:u w:val="none"/>
        </w:rPr>
        <w:t>台北，福智之聲</w:t>
      </w:r>
      <w:r>
        <w:rPr>
          <w:rFonts w:ascii="新細明體" w:hAnsi="新細明體" w:hint="eastAsia"/>
          <w:szCs w:val="22"/>
        </w:rPr>
        <w:t>出版社，</w:t>
      </w:r>
      <w:r>
        <w:rPr>
          <w:rFonts w:eastAsia="SimSun"/>
          <w:szCs w:val="22"/>
        </w:rPr>
        <w:t>1992</w:t>
      </w:r>
      <w:r w:rsidRPr="00985F8E">
        <w:rPr>
          <w:rFonts w:ascii="新細明體" w:hAnsi="新細明體" w:hint="eastAsia"/>
          <w:szCs w:val="22"/>
        </w:rPr>
        <w:t>年</w:t>
      </w:r>
      <w:r w:rsidRPr="00985F8E">
        <w:rPr>
          <w:rFonts w:eastAsia="SimSun"/>
          <w:szCs w:val="22"/>
        </w:rPr>
        <w:t>10</w:t>
      </w:r>
      <w:r w:rsidRPr="00985F8E">
        <w:rPr>
          <w:rFonts w:ascii="新細明體" w:hAnsi="新細明體" w:hint="eastAsia"/>
          <w:szCs w:val="22"/>
        </w:rPr>
        <w:t>月修訂版</w:t>
      </w:r>
      <w:r>
        <w:rPr>
          <w:rStyle w:val="af1"/>
          <w:rFonts w:ascii="新細明體" w:hAnsi="新細明體" w:hint="eastAsia"/>
          <w:color w:val="auto"/>
          <w:szCs w:val="22"/>
          <w:u w:val="none"/>
        </w:rPr>
        <w:t>，</w:t>
      </w:r>
      <w:r w:rsidRPr="00985F8E">
        <w:rPr>
          <w:szCs w:val="22"/>
        </w:rPr>
        <w:t>p.417</w:t>
      </w:r>
      <w:r w:rsidRPr="00985F8E">
        <w:rPr>
          <w:rFonts w:ascii="新細明體" w:hAnsi="新細明體" w:hint="eastAsia"/>
          <w:szCs w:val="22"/>
        </w:rPr>
        <w:t>：</w:t>
      </w:r>
    </w:p>
    <w:p w:rsidR="00157EF6" w:rsidRPr="00985F8E" w:rsidRDefault="00157EF6" w:rsidP="00B5316E">
      <w:pPr>
        <w:snapToGrid w:val="0"/>
        <w:ind w:leftChars="335" w:left="804"/>
        <w:jc w:val="both"/>
        <w:rPr>
          <w:rFonts w:eastAsia="SimSun"/>
          <w:sz w:val="22"/>
          <w:szCs w:val="22"/>
        </w:rPr>
      </w:pPr>
      <w:r w:rsidRPr="00985F8E">
        <w:rPr>
          <w:rFonts w:ascii="標楷體" w:eastAsia="標楷體" w:hAnsi="標楷體" w:hint="eastAsia"/>
          <w:sz w:val="22"/>
          <w:szCs w:val="22"/>
        </w:rPr>
        <w:t>故具慧者應於了義經，及中觀等清淨釋論所說空義即緣起義，中觀智者所有勝法，尤於佛護論師、月稱論師，無餘盡解聖者父子所有密意，最微細處，謂依緣起，於無自性生定解法，及性空法現為因果之理，當生定解，他莫能轉。</w:t>
      </w:r>
    </w:p>
    <w:p w:rsidR="00157EF6" w:rsidRPr="00985F8E" w:rsidRDefault="00157EF6" w:rsidP="00B5316E">
      <w:pPr>
        <w:pStyle w:val="a5"/>
        <w:ind w:leftChars="105" w:left="791" w:hangingChars="245" w:hanging="539"/>
        <w:jc w:val="both"/>
        <w:rPr>
          <w:rStyle w:val="af1"/>
          <w:rFonts w:eastAsia="SimSun"/>
          <w:color w:val="auto"/>
          <w:szCs w:val="22"/>
          <w:u w:val="none"/>
        </w:rPr>
      </w:pPr>
      <w:r w:rsidRPr="00985F8E">
        <w:rPr>
          <w:rStyle w:val="af1"/>
          <w:rFonts w:ascii="新細明體" w:hAnsi="新細明體" w:hint="eastAsia"/>
          <w:color w:val="auto"/>
          <w:szCs w:val="22"/>
          <w:u w:val="none"/>
        </w:rPr>
        <w:t>（</w:t>
      </w:r>
      <w:r w:rsidRPr="00985F8E">
        <w:rPr>
          <w:rStyle w:val="af1"/>
          <w:color w:val="auto"/>
          <w:szCs w:val="22"/>
          <w:u w:val="none"/>
        </w:rPr>
        <w:t>2</w:t>
      </w:r>
      <w:r w:rsidRPr="00985F8E">
        <w:rPr>
          <w:rStyle w:val="af1"/>
          <w:rFonts w:ascii="新細明體" w:hAnsi="新細明體" w:hint="eastAsia"/>
          <w:color w:val="auto"/>
          <w:szCs w:val="22"/>
          <w:u w:val="none"/>
        </w:rPr>
        <w:t>）</w:t>
      </w:r>
      <w:r w:rsidRPr="00D24E33">
        <w:rPr>
          <w:rStyle w:val="af1"/>
          <w:rFonts w:ascii="新細明體" w:hAnsi="新細明體" w:hint="eastAsia"/>
          <w:color w:val="auto"/>
          <w:spacing w:val="-6"/>
          <w:szCs w:val="22"/>
          <w:u w:val="none"/>
        </w:rPr>
        <w:t>月稱造，</w:t>
      </w:r>
      <w:r w:rsidRPr="00D24E33">
        <w:rPr>
          <w:spacing w:val="-6"/>
          <w:szCs w:val="22"/>
        </w:rPr>
        <w:t>法尊譯，</w:t>
      </w:r>
      <w:r w:rsidRPr="00D24E33">
        <w:rPr>
          <w:rStyle w:val="af1"/>
          <w:rFonts w:ascii="新細明體" w:hAnsi="新細明體" w:hint="eastAsia"/>
          <w:color w:val="auto"/>
          <w:spacing w:val="-6"/>
          <w:szCs w:val="22"/>
          <w:u w:val="none"/>
        </w:rPr>
        <w:t>《入中論》卷</w:t>
      </w:r>
      <w:r w:rsidRPr="00D24E33">
        <w:rPr>
          <w:rStyle w:val="af1"/>
          <w:rFonts w:eastAsia="SimSun"/>
          <w:color w:val="auto"/>
          <w:spacing w:val="-6"/>
          <w:szCs w:val="22"/>
          <w:u w:val="none"/>
        </w:rPr>
        <w:t>2</w:t>
      </w:r>
      <w:r w:rsidRPr="00D24E33">
        <w:rPr>
          <w:rStyle w:val="af1"/>
          <w:rFonts w:ascii="新細明體" w:hAnsi="新細明體" w:hint="eastAsia"/>
          <w:color w:val="auto"/>
          <w:spacing w:val="-6"/>
          <w:szCs w:val="22"/>
          <w:u w:val="none"/>
        </w:rPr>
        <w:t>，</w:t>
      </w:r>
      <w:r w:rsidRPr="00D24E33">
        <w:rPr>
          <w:rFonts w:ascii="新細明體" w:hAnsi="新細明體" w:cs="細明體" w:hint="eastAsia"/>
          <w:spacing w:val="-6"/>
          <w:szCs w:val="22"/>
        </w:rPr>
        <w:t>圓光寺印經會，</w:t>
      </w:r>
      <w:r w:rsidRPr="00D24E33">
        <w:rPr>
          <w:spacing w:val="-6"/>
          <w:szCs w:val="22"/>
        </w:rPr>
        <w:t>1991</w:t>
      </w:r>
      <w:r w:rsidRPr="00D24E33">
        <w:rPr>
          <w:rFonts w:ascii="新細明體" w:hAnsi="新細明體" w:cs="細明體" w:hint="eastAsia"/>
          <w:spacing w:val="-6"/>
          <w:szCs w:val="22"/>
        </w:rPr>
        <w:t>年</w:t>
      </w:r>
      <w:r w:rsidRPr="00D24E33">
        <w:rPr>
          <w:rFonts w:eastAsia="標楷體"/>
          <w:spacing w:val="-6"/>
          <w:szCs w:val="22"/>
        </w:rPr>
        <w:t>12</w:t>
      </w:r>
      <w:r w:rsidRPr="00D24E33">
        <w:rPr>
          <w:rFonts w:ascii="新細明體" w:hAnsi="新細明體" w:cs="細明體" w:hint="eastAsia"/>
          <w:spacing w:val="-6"/>
          <w:szCs w:val="22"/>
        </w:rPr>
        <w:t>月</w:t>
      </w:r>
      <w:r w:rsidRPr="00D24E33">
        <w:rPr>
          <w:rFonts w:ascii="新細明體" w:hAnsi="新細明體" w:hint="eastAsia"/>
          <w:spacing w:val="-6"/>
          <w:szCs w:val="22"/>
        </w:rPr>
        <w:t>，</w:t>
      </w:r>
      <w:r w:rsidRPr="00D24E33">
        <w:rPr>
          <w:rStyle w:val="af1"/>
          <w:rFonts w:eastAsia="SimSun"/>
          <w:color w:val="auto"/>
          <w:spacing w:val="-6"/>
          <w:szCs w:val="22"/>
          <w:u w:val="none"/>
        </w:rPr>
        <w:t>pp.115-116</w:t>
      </w:r>
      <w:r w:rsidRPr="00D24E33">
        <w:rPr>
          <w:rStyle w:val="af1"/>
          <w:rFonts w:ascii="新細明體" w:hAnsi="新細明體" w:hint="eastAsia"/>
          <w:color w:val="auto"/>
          <w:spacing w:val="-6"/>
          <w:szCs w:val="22"/>
          <w:u w:val="none"/>
        </w:rPr>
        <w:t>：</w:t>
      </w:r>
    </w:p>
    <w:p w:rsidR="00157EF6" w:rsidRPr="00212D57" w:rsidRDefault="00157EF6" w:rsidP="00773A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Chars="335" w:left="804"/>
        <w:jc w:val="both"/>
        <w:rPr>
          <w:rFonts w:ascii="標楷體" w:eastAsia="標楷體" w:hAnsi="標楷體" w:cs="細明體"/>
          <w:b/>
          <w:sz w:val="22"/>
          <w:szCs w:val="22"/>
        </w:rPr>
      </w:pPr>
      <w:r w:rsidRPr="00212D57">
        <w:rPr>
          <w:rFonts w:ascii="標楷體" w:eastAsia="標楷體" w:hAnsi="標楷體" w:cs="細明體" w:hint="eastAsia"/>
          <w:b/>
          <w:sz w:val="22"/>
          <w:szCs w:val="22"/>
        </w:rPr>
        <w:t>《</w:t>
      </w:r>
      <w:r w:rsidRPr="00212D57">
        <w:rPr>
          <w:rFonts w:ascii="標楷體" w:eastAsia="標楷體" w:hAnsi="標楷體" w:cs="細明體"/>
          <w:b/>
          <w:sz w:val="22"/>
          <w:szCs w:val="22"/>
        </w:rPr>
        <w:t>中論</w:t>
      </w:r>
      <w:r w:rsidRPr="00212D57">
        <w:rPr>
          <w:rFonts w:ascii="標楷體" w:eastAsia="標楷體" w:hAnsi="標楷體" w:cs="細明體" w:hint="eastAsia"/>
          <w:b/>
          <w:sz w:val="22"/>
          <w:szCs w:val="22"/>
        </w:rPr>
        <w:t>》</w:t>
      </w:r>
      <w:r w:rsidRPr="00212D57">
        <w:rPr>
          <w:rFonts w:ascii="標楷體" w:eastAsia="標楷體" w:hAnsi="標楷體" w:cs="細明體"/>
          <w:b/>
          <w:sz w:val="22"/>
          <w:szCs w:val="22"/>
        </w:rPr>
        <w:t>亦云：「若法從緣生，非即彼緣性，亦非異緣性，故非斷非常。」</w:t>
      </w:r>
    </w:p>
    <w:p w:rsidR="00157EF6" w:rsidRPr="00212D57" w:rsidRDefault="00157EF6" w:rsidP="00773A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leftChars="335" w:left="804"/>
        <w:jc w:val="both"/>
        <w:rPr>
          <w:rFonts w:ascii="標楷體" w:eastAsia="SimSun" w:hAnsi="標楷體" w:cs="細明體"/>
          <w:sz w:val="22"/>
          <w:szCs w:val="22"/>
        </w:rPr>
      </w:pPr>
      <w:r w:rsidRPr="00212D57">
        <w:rPr>
          <w:rFonts w:ascii="標楷體" w:eastAsia="標楷體" w:hAnsi="標楷體" w:cs="細明體"/>
          <w:sz w:val="22"/>
          <w:szCs w:val="22"/>
        </w:rPr>
        <w:t>所云全無少法自性由因緣生，決定應許此義。若不爾者，頌曰：</w:t>
      </w:r>
      <w:r w:rsidRPr="00212D57">
        <w:rPr>
          <w:rFonts w:ascii="標楷體" w:eastAsia="標楷體" w:hAnsi="標楷體" w:cs="細明體"/>
          <w:b/>
          <w:sz w:val="22"/>
          <w:szCs w:val="22"/>
        </w:rPr>
        <w:t>「</w:t>
      </w:r>
      <w:r w:rsidRPr="00212D57">
        <w:rPr>
          <w:rFonts w:ascii="標楷體" w:eastAsia="標楷體" w:hAnsi="標楷體" w:cs="細明體"/>
          <w:sz w:val="22"/>
          <w:szCs w:val="22"/>
        </w:rPr>
        <w:t>若謂自相依緣生</w:t>
      </w:r>
      <w:r w:rsidRPr="00212D57">
        <w:rPr>
          <w:rFonts w:ascii="標楷體" w:eastAsia="標楷體" w:hAnsi="標楷體" w:cs="細明體" w:hint="eastAsia"/>
          <w:sz w:val="22"/>
          <w:szCs w:val="22"/>
        </w:rPr>
        <w:t>，</w:t>
      </w:r>
      <w:r w:rsidRPr="00212D57">
        <w:rPr>
          <w:rFonts w:ascii="標楷體" w:eastAsia="標楷體" w:hAnsi="標楷體" w:cs="細明體"/>
          <w:sz w:val="22"/>
          <w:szCs w:val="22"/>
        </w:rPr>
        <w:t>謗彼即壞諸法故</w:t>
      </w:r>
      <w:r w:rsidRPr="00212D57">
        <w:rPr>
          <w:rFonts w:ascii="標楷體" w:eastAsia="標楷體" w:hAnsi="標楷體" w:cs="細明體" w:hint="eastAsia"/>
          <w:sz w:val="22"/>
          <w:szCs w:val="22"/>
        </w:rPr>
        <w:t>，</w:t>
      </w:r>
      <w:r w:rsidRPr="00212D57">
        <w:rPr>
          <w:rFonts w:ascii="標楷體" w:eastAsia="標楷體" w:hAnsi="標楷體" w:cs="細明體"/>
          <w:sz w:val="22"/>
          <w:szCs w:val="22"/>
        </w:rPr>
        <w:t>空性應是壞法因</w:t>
      </w:r>
      <w:r w:rsidRPr="00212D57">
        <w:rPr>
          <w:rFonts w:ascii="標楷體" w:eastAsia="標楷體" w:hAnsi="標楷體" w:cs="細明體" w:hint="eastAsia"/>
          <w:sz w:val="22"/>
          <w:szCs w:val="22"/>
        </w:rPr>
        <w:t>，</w:t>
      </w:r>
      <w:r w:rsidRPr="00212D57">
        <w:rPr>
          <w:rFonts w:ascii="標楷體" w:eastAsia="標楷體" w:hAnsi="標楷體" w:cs="細明體"/>
          <w:sz w:val="22"/>
          <w:szCs w:val="22"/>
        </w:rPr>
        <w:t>然此非理故無性</w:t>
      </w:r>
      <w:r w:rsidRPr="00212D57">
        <w:rPr>
          <w:rFonts w:ascii="標楷體" w:eastAsia="標楷體" w:hAnsi="標楷體" w:cs="細明體" w:hint="eastAsia"/>
          <w:sz w:val="22"/>
          <w:szCs w:val="22"/>
        </w:rPr>
        <w:t>。</w:t>
      </w:r>
      <w:r w:rsidRPr="00212D57">
        <w:rPr>
          <w:rFonts w:ascii="標楷體" w:eastAsia="標楷體" w:hAnsi="標楷體" w:cs="細明體"/>
          <w:b/>
          <w:sz w:val="22"/>
          <w:szCs w:val="22"/>
        </w:rPr>
        <w:t>」</w:t>
      </w:r>
      <w:r w:rsidRPr="00212D57">
        <w:rPr>
          <w:rFonts w:ascii="標楷體" w:eastAsia="標楷體" w:hAnsi="標楷體" w:cs="細明體"/>
          <w:sz w:val="22"/>
          <w:szCs w:val="22"/>
        </w:rPr>
        <w:t>若謂色受等法各有自相</w:t>
      </w:r>
      <w:r w:rsidRPr="00212D57">
        <w:rPr>
          <w:rFonts w:ascii="標楷體" w:eastAsia="標楷體" w:hAnsi="標楷體" w:cs="細明體" w:hint="eastAsia"/>
          <w:sz w:val="22"/>
          <w:szCs w:val="22"/>
        </w:rPr>
        <w:t>、</w:t>
      </w:r>
      <w:r w:rsidRPr="00212D57">
        <w:rPr>
          <w:rFonts w:ascii="標楷體" w:eastAsia="標楷體" w:hAnsi="標楷體" w:cs="細明體"/>
          <w:sz w:val="22"/>
          <w:szCs w:val="22"/>
        </w:rPr>
        <w:t>自性</w:t>
      </w:r>
      <w:r w:rsidRPr="00212D57">
        <w:rPr>
          <w:rFonts w:ascii="標楷體" w:eastAsia="標楷體" w:hAnsi="標楷體" w:cs="細明體" w:hint="eastAsia"/>
          <w:sz w:val="22"/>
          <w:szCs w:val="22"/>
        </w:rPr>
        <w:t>、</w:t>
      </w:r>
      <w:r w:rsidRPr="00212D57">
        <w:rPr>
          <w:rFonts w:ascii="標楷體" w:eastAsia="標楷體" w:hAnsi="標楷體" w:cs="細明體"/>
          <w:sz w:val="22"/>
          <w:szCs w:val="22"/>
        </w:rPr>
        <w:t>自體，是由因緣生故，則修觀行者見諸法性空，了達一切法皆無自性時，應是毀謗生之自性而證空性。</w:t>
      </w:r>
    </w:p>
  </w:footnote>
  <w:footnote w:id="469">
    <w:p w:rsidR="00157EF6" w:rsidRPr="00212D57" w:rsidRDefault="00157EF6" w:rsidP="00B5316E">
      <w:pPr>
        <w:pStyle w:val="a5"/>
        <w:ind w:left="792" w:hangingChars="360" w:hanging="792"/>
        <w:jc w:val="both"/>
        <w:rPr>
          <w:rFonts w:eastAsia="SimSun"/>
          <w:szCs w:val="22"/>
        </w:rPr>
      </w:pPr>
      <w:r w:rsidRPr="00212D57">
        <w:rPr>
          <w:rStyle w:val="a6"/>
          <w:szCs w:val="22"/>
        </w:rPr>
        <w:footnoteRef/>
      </w:r>
      <w:r w:rsidRPr="00212D57">
        <w:rPr>
          <w:rFonts w:ascii="新細明體" w:hAnsi="新細明體" w:hint="eastAsia"/>
          <w:szCs w:val="22"/>
        </w:rPr>
        <w:t xml:space="preserve"> （</w:t>
      </w:r>
      <w:r w:rsidRPr="00761EF3">
        <w:rPr>
          <w:rFonts w:eastAsia="SimSun" w:hint="eastAsia"/>
          <w:szCs w:val="22"/>
        </w:rPr>
        <w:t>1</w:t>
      </w:r>
      <w:r w:rsidRPr="00212D57">
        <w:rPr>
          <w:rFonts w:ascii="新細明體" w:hAnsi="新細明體" w:hint="eastAsia"/>
          <w:szCs w:val="22"/>
        </w:rPr>
        <w:t>）</w:t>
      </w:r>
      <w:r w:rsidRPr="00212D57">
        <w:rPr>
          <w:rFonts w:hint="eastAsia"/>
          <w:szCs w:val="22"/>
        </w:rPr>
        <w:t>參見〔隋〕</w:t>
      </w:r>
      <w:r w:rsidRPr="00212D57">
        <w:rPr>
          <w:rFonts w:ascii="新細明體" w:hAnsi="新細明體" w:hint="eastAsia"/>
          <w:szCs w:val="22"/>
        </w:rPr>
        <w:t>吉藏撰，</w:t>
      </w:r>
      <w:r w:rsidRPr="00212D57">
        <w:rPr>
          <w:rFonts w:hint="eastAsia"/>
          <w:szCs w:val="22"/>
        </w:rPr>
        <w:t>《中觀論疏》卷</w:t>
      </w:r>
      <w:r w:rsidRPr="00761EF3">
        <w:rPr>
          <w:rFonts w:hint="eastAsia"/>
          <w:szCs w:val="22"/>
        </w:rPr>
        <w:t>1</w:t>
      </w:r>
      <w:r w:rsidRPr="00212D57">
        <w:rPr>
          <w:rFonts w:hint="eastAsia"/>
          <w:szCs w:val="22"/>
        </w:rPr>
        <w:t>本</w:t>
      </w:r>
      <w:r w:rsidRPr="00212D57">
        <w:rPr>
          <w:szCs w:val="22"/>
        </w:rPr>
        <w:t>（</w:t>
      </w:r>
      <w:r w:rsidRPr="00212D57">
        <w:rPr>
          <w:rFonts w:hint="eastAsia"/>
          <w:szCs w:val="22"/>
        </w:rPr>
        <w:t>大正</w:t>
      </w:r>
      <w:r w:rsidRPr="00761EF3">
        <w:rPr>
          <w:rFonts w:hint="eastAsia"/>
          <w:szCs w:val="22"/>
        </w:rPr>
        <w:t>42</w:t>
      </w:r>
      <w:r w:rsidRPr="00212D57">
        <w:rPr>
          <w:rFonts w:hint="eastAsia"/>
          <w:szCs w:val="22"/>
        </w:rPr>
        <w:t>，</w:t>
      </w:r>
      <w:r w:rsidRPr="00761EF3">
        <w:rPr>
          <w:rFonts w:hint="eastAsia"/>
          <w:szCs w:val="22"/>
        </w:rPr>
        <w:t>10c6</w:t>
      </w:r>
      <w:r w:rsidRPr="00212D57">
        <w:rPr>
          <w:rFonts w:hint="eastAsia"/>
          <w:szCs w:val="22"/>
        </w:rPr>
        <w:t>-</w:t>
      </w:r>
      <w:r w:rsidRPr="00761EF3">
        <w:rPr>
          <w:rFonts w:hint="eastAsia"/>
          <w:szCs w:val="22"/>
        </w:rPr>
        <w:t>12a17</w:t>
      </w:r>
      <w:r w:rsidRPr="00212D57">
        <w:rPr>
          <w:szCs w:val="22"/>
        </w:rPr>
        <w:t>）</w:t>
      </w:r>
      <w:r w:rsidRPr="00212D57">
        <w:rPr>
          <w:rFonts w:ascii="新細明體" w:hAnsi="新細明體" w:hint="eastAsia"/>
          <w:szCs w:val="22"/>
        </w:rPr>
        <w:t>；</w:t>
      </w:r>
      <w:r w:rsidRPr="00212D57">
        <w:rPr>
          <w:rFonts w:hint="eastAsia"/>
          <w:szCs w:val="22"/>
        </w:rPr>
        <w:t>〔隋〕</w:t>
      </w:r>
      <w:r w:rsidRPr="00212D57">
        <w:rPr>
          <w:rFonts w:ascii="新細明體" w:hAnsi="新細明體" w:hint="eastAsia"/>
          <w:szCs w:val="22"/>
        </w:rPr>
        <w:t>吉藏撰，《</w:t>
      </w:r>
      <w:r w:rsidRPr="00212D57">
        <w:rPr>
          <w:rFonts w:hint="eastAsia"/>
          <w:szCs w:val="22"/>
        </w:rPr>
        <w:t>大乘玄論》卷</w:t>
      </w:r>
      <w:r w:rsidRPr="00761EF3">
        <w:rPr>
          <w:rFonts w:hint="eastAsia"/>
          <w:szCs w:val="22"/>
        </w:rPr>
        <w:t>1</w:t>
      </w:r>
      <w:r w:rsidRPr="00212D57">
        <w:rPr>
          <w:szCs w:val="22"/>
        </w:rPr>
        <w:t>（</w:t>
      </w:r>
      <w:r w:rsidRPr="00212D57">
        <w:rPr>
          <w:rFonts w:hint="eastAsia"/>
          <w:szCs w:val="22"/>
        </w:rPr>
        <w:t>大正</w:t>
      </w:r>
      <w:r w:rsidRPr="00761EF3">
        <w:rPr>
          <w:rFonts w:hint="eastAsia"/>
          <w:szCs w:val="22"/>
        </w:rPr>
        <w:t>45</w:t>
      </w:r>
      <w:r w:rsidRPr="00212D57">
        <w:rPr>
          <w:rFonts w:hint="eastAsia"/>
          <w:szCs w:val="22"/>
        </w:rPr>
        <w:t>，</w:t>
      </w:r>
      <w:r w:rsidRPr="00761EF3">
        <w:rPr>
          <w:szCs w:val="22"/>
        </w:rPr>
        <w:t>19c13</w:t>
      </w:r>
      <w:r w:rsidRPr="00212D57">
        <w:rPr>
          <w:szCs w:val="22"/>
        </w:rPr>
        <w:t>-</w:t>
      </w:r>
      <w:r w:rsidRPr="00761EF3">
        <w:rPr>
          <w:szCs w:val="22"/>
        </w:rPr>
        <w:t>20b19</w:t>
      </w:r>
      <w:r w:rsidRPr="00212D57">
        <w:rPr>
          <w:szCs w:val="22"/>
        </w:rPr>
        <w:t>）</w:t>
      </w:r>
      <w:r w:rsidRPr="00212D57">
        <w:rPr>
          <w:rFonts w:hint="eastAsia"/>
          <w:szCs w:val="22"/>
        </w:rPr>
        <w:t>。</w:t>
      </w:r>
    </w:p>
    <w:p w:rsidR="00157EF6" w:rsidRPr="00212D57" w:rsidRDefault="00157EF6" w:rsidP="00B5316E">
      <w:pPr>
        <w:pStyle w:val="a5"/>
        <w:ind w:leftChars="105" w:left="791" w:hangingChars="245" w:hanging="539"/>
        <w:jc w:val="both"/>
        <w:rPr>
          <w:rFonts w:eastAsia="SimSun"/>
          <w:szCs w:val="22"/>
        </w:rPr>
      </w:pPr>
      <w:r w:rsidRPr="00212D57">
        <w:rPr>
          <w:rFonts w:ascii="新細明體" w:hAnsi="新細明體" w:hint="eastAsia"/>
          <w:szCs w:val="22"/>
        </w:rPr>
        <w:t>（</w:t>
      </w:r>
      <w:r w:rsidRPr="00761EF3">
        <w:rPr>
          <w:rFonts w:eastAsia="SimSun" w:hint="eastAsia"/>
          <w:szCs w:val="22"/>
        </w:rPr>
        <w:t>2</w:t>
      </w:r>
      <w:r w:rsidRPr="00212D57">
        <w:rPr>
          <w:rFonts w:ascii="新細明體" w:hAnsi="新細明體" w:hint="eastAsia"/>
          <w:szCs w:val="22"/>
        </w:rPr>
        <w:t>）</w:t>
      </w:r>
      <w:r w:rsidRPr="00212D57">
        <w:rPr>
          <w:rFonts w:ascii="新細明體" w:hAnsi="新細明體" w:hint="eastAsia"/>
          <w:spacing w:val="2"/>
          <w:szCs w:val="22"/>
        </w:rPr>
        <w:t>〔唐〕元康撰，《肇論疏》卷上</w:t>
      </w:r>
      <w:r w:rsidR="000058DD" w:rsidRPr="00212D57">
        <w:rPr>
          <w:rFonts w:ascii="新細明體" w:hAnsi="新細明體"/>
          <w:szCs w:val="22"/>
        </w:rPr>
        <w:t>（</w:t>
      </w:r>
      <w:r w:rsidR="000058DD" w:rsidRPr="00212D57">
        <w:rPr>
          <w:rFonts w:hint="eastAsia"/>
          <w:szCs w:val="22"/>
        </w:rPr>
        <w:t>大正</w:t>
      </w:r>
      <w:r w:rsidR="000058DD" w:rsidRPr="00761EF3">
        <w:rPr>
          <w:rFonts w:hint="eastAsia"/>
          <w:szCs w:val="22"/>
        </w:rPr>
        <w:t>4</w:t>
      </w:r>
      <w:r w:rsidR="000058DD" w:rsidRPr="00761EF3">
        <w:rPr>
          <w:rFonts w:eastAsia="SimSun" w:hint="eastAsia"/>
          <w:szCs w:val="22"/>
        </w:rPr>
        <w:t>5</w:t>
      </w:r>
      <w:r w:rsidR="000058DD" w:rsidRPr="00212D57">
        <w:rPr>
          <w:rFonts w:hint="eastAsia"/>
          <w:szCs w:val="22"/>
        </w:rPr>
        <w:t>，</w:t>
      </w:r>
      <w:r w:rsidR="000058DD" w:rsidRPr="00761EF3">
        <w:rPr>
          <w:rFonts w:eastAsia="SimSun" w:hint="eastAsia"/>
          <w:szCs w:val="22"/>
        </w:rPr>
        <w:t>169</w:t>
      </w:r>
      <w:r w:rsidR="000058DD" w:rsidRPr="00761EF3">
        <w:rPr>
          <w:rFonts w:hint="eastAsia"/>
          <w:szCs w:val="22"/>
        </w:rPr>
        <w:t>c</w:t>
      </w:r>
      <w:r w:rsidR="000058DD" w:rsidRPr="00761EF3">
        <w:rPr>
          <w:rFonts w:eastAsia="SimSun" w:hint="eastAsia"/>
          <w:szCs w:val="22"/>
        </w:rPr>
        <w:t>9</w:t>
      </w:r>
      <w:r w:rsidR="000058DD" w:rsidRPr="00212D57">
        <w:rPr>
          <w:rFonts w:hint="eastAsia"/>
          <w:szCs w:val="22"/>
        </w:rPr>
        <w:t>-</w:t>
      </w:r>
      <w:r w:rsidR="000058DD" w:rsidRPr="00761EF3">
        <w:rPr>
          <w:rFonts w:eastAsia="SimSun" w:hint="eastAsia"/>
          <w:szCs w:val="22"/>
        </w:rPr>
        <w:t>10</w:t>
      </w:r>
      <w:r w:rsidR="000058DD" w:rsidRPr="00212D57">
        <w:rPr>
          <w:szCs w:val="22"/>
        </w:rPr>
        <w:t>）</w:t>
      </w:r>
      <w:r w:rsidRPr="00212D57">
        <w:rPr>
          <w:rFonts w:ascii="新細明體" w:hAnsi="新細明體" w:hint="eastAsia"/>
          <w:spacing w:val="2"/>
          <w:szCs w:val="22"/>
        </w:rPr>
        <w:t>：「</w:t>
      </w:r>
      <w:r w:rsidRPr="00212D57">
        <w:rPr>
          <w:rFonts w:ascii="標楷體" w:eastAsia="標楷體" w:hAnsi="標楷體" w:hint="eastAsia"/>
          <w:spacing w:val="2"/>
          <w:szCs w:val="22"/>
        </w:rPr>
        <w:t>而言</w:t>
      </w:r>
      <w:r w:rsidR="00F9256B">
        <w:rPr>
          <w:rFonts w:ascii="標楷體" w:eastAsia="標楷體" w:hAnsi="標楷體" w:hint="eastAsia"/>
          <w:color w:val="FF0000"/>
          <w:kern w:val="0"/>
          <w:highlight w:val="yellow"/>
        </w:rPr>
        <w:t>『</w:t>
      </w:r>
      <w:r w:rsidRPr="00212D57">
        <w:rPr>
          <w:rFonts w:ascii="標楷體" w:eastAsia="標楷體" w:hAnsi="標楷體" w:hint="eastAsia"/>
          <w:spacing w:val="2"/>
          <w:szCs w:val="22"/>
        </w:rPr>
        <w:t>方言</w:t>
      </w:r>
      <w:r w:rsidR="00F9256B">
        <w:rPr>
          <w:rFonts w:ascii="標楷體" w:eastAsia="標楷體" w:hAnsi="標楷體" w:hint="eastAsia"/>
          <w:color w:val="FF0000"/>
          <w:kern w:val="0"/>
          <w:highlight w:val="yellow"/>
        </w:rPr>
        <w:t>』</w:t>
      </w:r>
      <w:r w:rsidRPr="00212D57">
        <w:rPr>
          <w:rFonts w:ascii="標楷體" w:eastAsia="標楷體" w:hAnsi="標楷體" w:hint="eastAsia"/>
          <w:spacing w:val="2"/>
          <w:szCs w:val="22"/>
        </w:rPr>
        <w:t>者，隨方之</w:t>
      </w:r>
      <w:r w:rsidRPr="00F9256B">
        <w:rPr>
          <w:rFonts w:ascii="標楷體" w:eastAsia="標楷體" w:hAnsi="標楷體" w:hint="eastAsia"/>
          <w:spacing w:val="2"/>
          <w:szCs w:val="22"/>
          <w:highlight w:val="yellow"/>
        </w:rPr>
        <w:t>言說</w:t>
      </w:r>
      <w:r w:rsidRPr="00212D57">
        <w:rPr>
          <w:rFonts w:ascii="標楷體" w:eastAsia="標楷體" w:hAnsi="標楷體" w:hint="eastAsia"/>
          <w:spacing w:val="2"/>
          <w:szCs w:val="22"/>
        </w:rPr>
        <w:t>教以遣其惑也。</w:t>
      </w:r>
      <w:r w:rsidRPr="00212D57">
        <w:rPr>
          <w:rFonts w:ascii="新細明體" w:hAnsi="新細明體" w:hint="eastAsia"/>
          <w:spacing w:val="2"/>
          <w:szCs w:val="22"/>
        </w:rPr>
        <w:t>」</w:t>
      </w:r>
    </w:p>
  </w:footnote>
  <w:footnote w:id="470">
    <w:p w:rsidR="00157EF6" w:rsidRPr="00212D57" w:rsidRDefault="00157EF6" w:rsidP="00B5316E">
      <w:pPr>
        <w:pStyle w:val="a5"/>
        <w:ind w:left="253" w:hangingChars="115" w:hanging="253"/>
        <w:jc w:val="both"/>
        <w:rPr>
          <w:szCs w:val="22"/>
        </w:rPr>
      </w:pPr>
      <w:r w:rsidRPr="00212D57">
        <w:rPr>
          <w:rStyle w:val="a6"/>
          <w:szCs w:val="22"/>
        </w:rPr>
        <w:footnoteRef/>
      </w:r>
      <w:r w:rsidRPr="00212D57">
        <w:rPr>
          <w:rFonts w:eastAsia="SimSun" w:hint="eastAsia"/>
          <w:szCs w:val="22"/>
        </w:rPr>
        <w:t xml:space="preserve"> </w:t>
      </w:r>
      <w:r w:rsidR="009160B5">
        <w:rPr>
          <w:rFonts w:ascii="新細明體" w:hAnsi="新細明體" w:hint="eastAsia"/>
          <w:szCs w:val="22"/>
        </w:rPr>
        <w:t>參見：印</w:t>
      </w:r>
      <w:r w:rsidRPr="00212D57">
        <w:rPr>
          <w:rFonts w:ascii="新細明體" w:hAnsi="新細明體" w:hint="eastAsia"/>
          <w:szCs w:val="22"/>
        </w:rPr>
        <w:t>順法師，《</w:t>
      </w:r>
      <w:r w:rsidRPr="00212D57">
        <w:rPr>
          <w:rFonts w:hint="eastAsia"/>
          <w:szCs w:val="22"/>
        </w:rPr>
        <w:t>中觀今論》，</w:t>
      </w:r>
      <w:r w:rsidRPr="00761EF3">
        <w:rPr>
          <w:rFonts w:hint="eastAsia"/>
          <w:szCs w:val="22"/>
        </w:rPr>
        <w:t>pp</w:t>
      </w:r>
      <w:r w:rsidRPr="00212D57">
        <w:rPr>
          <w:rFonts w:hint="eastAsia"/>
          <w:szCs w:val="22"/>
        </w:rPr>
        <w:t>.</w:t>
      </w:r>
      <w:r w:rsidRPr="00761EF3">
        <w:rPr>
          <w:rFonts w:hint="eastAsia"/>
          <w:szCs w:val="22"/>
        </w:rPr>
        <w:t>182</w:t>
      </w:r>
      <w:r w:rsidRPr="00212D57">
        <w:rPr>
          <w:rFonts w:hint="eastAsia"/>
          <w:szCs w:val="22"/>
        </w:rPr>
        <w:t>-</w:t>
      </w:r>
      <w:r w:rsidRPr="00761EF3">
        <w:rPr>
          <w:rFonts w:hint="eastAsia"/>
          <w:szCs w:val="22"/>
        </w:rPr>
        <w:t>183</w:t>
      </w:r>
      <w:r w:rsidRPr="00212D57">
        <w:rPr>
          <w:rFonts w:hint="eastAsia"/>
          <w:szCs w:val="22"/>
        </w:rPr>
        <w:t>。</w:t>
      </w:r>
    </w:p>
  </w:footnote>
  <w:footnote w:id="471">
    <w:p w:rsidR="00157EF6" w:rsidRPr="00212D57" w:rsidRDefault="00157EF6" w:rsidP="00B5316E">
      <w:pPr>
        <w:pStyle w:val="a5"/>
        <w:ind w:left="253" w:hangingChars="115" w:hanging="253"/>
        <w:jc w:val="both"/>
        <w:rPr>
          <w:rFonts w:eastAsia="SimSun"/>
          <w:szCs w:val="22"/>
        </w:rPr>
      </w:pPr>
      <w:r w:rsidRPr="00212D57">
        <w:rPr>
          <w:rStyle w:val="a6"/>
          <w:szCs w:val="22"/>
        </w:rPr>
        <w:footnoteRef/>
      </w:r>
      <w:r w:rsidRPr="00212D57">
        <w:rPr>
          <w:rFonts w:eastAsia="SimSun" w:hint="eastAsia"/>
          <w:szCs w:val="22"/>
        </w:rPr>
        <w:t xml:space="preserve"> </w:t>
      </w:r>
      <w:r w:rsidRPr="00212D57">
        <w:rPr>
          <w:rFonts w:hint="eastAsia"/>
          <w:szCs w:val="22"/>
        </w:rPr>
        <w:t>泯（ㄇ</w:t>
      </w:r>
      <w:r w:rsidRPr="00212D57">
        <w:rPr>
          <w:rFonts w:ascii="標楷體" w:eastAsia="標楷體" w:hAnsi="標楷體" w:hint="eastAsia"/>
          <w:szCs w:val="22"/>
        </w:rPr>
        <w:t>ㄧ</w:t>
      </w:r>
      <w:r w:rsidRPr="00212D57">
        <w:rPr>
          <w:rFonts w:hint="eastAsia"/>
          <w:szCs w:val="22"/>
        </w:rPr>
        <w:t>ㄣ</w:t>
      </w:r>
      <w:r w:rsidRPr="00212D57">
        <w:rPr>
          <w:rFonts w:ascii="標楷體" w:eastAsia="標楷體" w:hAnsi="標楷體"/>
          <w:szCs w:val="22"/>
        </w:rPr>
        <w:t>ˇ</w:t>
      </w:r>
      <w:r w:rsidRPr="00212D57">
        <w:rPr>
          <w:rFonts w:hint="eastAsia"/>
          <w:szCs w:val="22"/>
        </w:rPr>
        <w:t>）</w:t>
      </w:r>
      <w:r w:rsidRPr="00212D57">
        <w:rPr>
          <w:szCs w:val="22"/>
        </w:rPr>
        <w:t>：</w:t>
      </w:r>
      <w:r w:rsidRPr="00761EF3">
        <w:rPr>
          <w:rFonts w:hint="eastAsia"/>
          <w:szCs w:val="22"/>
        </w:rPr>
        <w:t>1</w:t>
      </w:r>
      <w:r w:rsidRPr="00212D57">
        <w:rPr>
          <w:rFonts w:hint="eastAsia"/>
          <w:szCs w:val="22"/>
        </w:rPr>
        <w:t>.</w:t>
      </w:r>
      <w:r w:rsidRPr="00212D57">
        <w:rPr>
          <w:rFonts w:hint="eastAsia"/>
          <w:szCs w:val="22"/>
        </w:rPr>
        <w:t>消滅，消失，消除。（《漢語大詞典》（</w:t>
      </w:r>
      <w:r w:rsidRPr="00212D57">
        <w:rPr>
          <w:rFonts w:ascii="新細明體" w:hAnsi="新細明體" w:hint="eastAsia"/>
          <w:szCs w:val="22"/>
        </w:rPr>
        <w:t>五</w:t>
      </w:r>
      <w:r w:rsidRPr="00212D57">
        <w:rPr>
          <w:rFonts w:hint="eastAsia"/>
          <w:szCs w:val="22"/>
        </w:rPr>
        <w:t>），</w:t>
      </w:r>
      <w:r w:rsidRPr="00761EF3">
        <w:rPr>
          <w:rFonts w:hint="eastAsia"/>
          <w:szCs w:val="22"/>
        </w:rPr>
        <w:t>p</w:t>
      </w:r>
      <w:r w:rsidRPr="00212D57">
        <w:rPr>
          <w:rFonts w:hint="eastAsia"/>
          <w:szCs w:val="22"/>
        </w:rPr>
        <w:t>.</w:t>
      </w:r>
      <w:r w:rsidRPr="00761EF3">
        <w:rPr>
          <w:szCs w:val="22"/>
        </w:rPr>
        <w:t>111</w:t>
      </w:r>
      <w:r w:rsidRPr="00761EF3">
        <w:rPr>
          <w:rFonts w:eastAsia="SimSun" w:hint="eastAsia"/>
          <w:szCs w:val="22"/>
        </w:rPr>
        <w:t>0</w:t>
      </w:r>
      <w:r w:rsidRPr="00212D57">
        <w:rPr>
          <w:rFonts w:hint="eastAsia"/>
          <w:szCs w:val="22"/>
        </w:rPr>
        <w:t>）</w:t>
      </w:r>
    </w:p>
  </w:footnote>
  <w:footnote w:id="472">
    <w:p w:rsidR="00157EF6" w:rsidRPr="00212D57" w:rsidRDefault="00157EF6" w:rsidP="00B5316E">
      <w:pPr>
        <w:pStyle w:val="a5"/>
        <w:ind w:left="253" w:hangingChars="115" w:hanging="253"/>
        <w:jc w:val="both"/>
        <w:rPr>
          <w:szCs w:val="22"/>
        </w:rPr>
      </w:pPr>
      <w:r w:rsidRPr="00212D57">
        <w:rPr>
          <w:rStyle w:val="a6"/>
          <w:szCs w:val="22"/>
        </w:rPr>
        <w:footnoteRef/>
      </w:r>
      <w:r w:rsidRPr="00212D57">
        <w:rPr>
          <w:rFonts w:eastAsia="SimSun" w:hint="eastAsia"/>
          <w:szCs w:val="22"/>
        </w:rPr>
        <w:t xml:space="preserve"> </w:t>
      </w:r>
      <w:r w:rsidR="009160B5">
        <w:rPr>
          <w:rFonts w:ascii="新細明體" w:hAnsi="新細明體" w:hint="eastAsia"/>
          <w:szCs w:val="22"/>
        </w:rPr>
        <w:t>參見：印</w:t>
      </w:r>
      <w:r w:rsidRPr="00212D57">
        <w:rPr>
          <w:rFonts w:ascii="新細明體" w:hAnsi="新細明體" w:hint="eastAsia"/>
          <w:szCs w:val="22"/>
        </w:rPr>
        <w:t>順法師，《</w:t>
      </w:r>
      <w:r w:rsidRPr="00212D57">
        <w:rPr>
          <w:rFonts w:hint="eastAsia"/>
          <w:szCs w:val="22"/>
        </w:rPr>
        <w:t>中觀今論》，</w:t>
      </w:r>
      <w:r w:rsidRPr="00761EF3">
        <w:rPr>
          <w:rFonts w:hint="eastAsia"/>
          <w:szCs w:val="22"/>
        </w:rPr>
        <w:t>p</w:t>
      </w:r>
      <w:r w:rsidRPr="00212D57">
        <w:rPr>
          <w:rFonts w:hint="eastAsia"/>
          <w:szCs w:val="22"/>
        </w:rPr>
        <w:t>.</w:t>
      </w:r>
      <w:r w:rsidRPr="00761EF3">
        <w:rPr>
          <w:rFonts w:hint="eastAsia"/>
          <w:szCs w:val="22"/>
        </w:rPr>
        <w:t>182</w:t>
      </w:r>
      <w:r w:rsidRPr="00212D57">
        <w:rPr>
          <w:rFonts w:hint="eastAsia"/>
          <w:szCs w:val="22"/>
        </w:rPr>
        <w:t>。</w:t>
      </w:r>
    </w:p>
  </w:footnote>
  <w:footnote w:id="473">
    <w:p w:rsidR="00157EF6" w:rsidRPr="00212D57" w:rsidRDefault="00157EF6" w:rsidP="00B5316E">
      <w:pPr>
        <w:pStyle w:val="a5"/>
        <w:ind w:left="253" w:hangingChars="115" w:hanging="253"/>
        <w:jc w:val="both"/>
        <w:rPr>
          <w:szCs w:val="22"/>
        </w:rPr>
      </w:pPr>
      <w:r w:rsidRPr="00212D57">
        <w:rPr>
          <w:rStyle w:val="a6"/>
          <w:szCs w:val="22"/>
        </w:rPr>
        <w:footnoteRef/>
      </w:r>
      <w:r w:rsidRPr="00212D57">
        <w:rPr>
          <w:rFonts w:eastAsia="SimSun" w:hint="eastAsia"/>
          <w:szCs w:val="22"/>
        </w:rPr>
        <w:t xml:space="preserve"> </w:t>
      </w:r>
      <w:r w:rsidR="009160B5">
        <w:rPr>
          <w:rFonts w:ascii="新細明體" w:hAnsi="新細明體" w:hint="eastAsia"/>
          <w:szCs w:val="22"/>
        </w:rPr>
        <w:t>參見：印</w:t>
      </w:r>
      <w:r w:rsidRPr="00212D57">
        <w:rPr>
          <w:rFonts w:ascii="新細明體" w:hAnsi="新細明體" w:hint="eastAsia"/>
          <w:szCs w:val="22"/>
        </w:rPr>
        <w:t>順法師，《</w:t>
      </w:r>
      <w:r w:rsidRPr="00212D57">
        <w:rPr>
          <w:rFonts w:hint="eastAsia"/>
          <w:szCs w:val="22"/>
        </w:rPr>
        <w:t>以佛法研究佛法》，</w:t>
      </w:r>
      <w:r w:rsidRPr="00761EF3">
        <w:rPr>
          <w:rFonts w:hint="eastAsia"/>
          <w:szCs w:val="22"/>
        </w:rPr>
        <w:t>p</w:t>
      </w:r>
      <w:r w:rsidRPr="00212D57">
        <w:rPr>
          <w:rFonts w:hint="eastAsia"/>
          <w:szCs w:val="22"/>
        </w:rPr>
        <w:t>.</w:t>
      </w:r>
      <w:r w:rsidRPr="00761EF3">
        <w:rPr>
          <w:rFonts w:hint="eastAsia"/>
          <w:szCs w:val="22"/>
        </w:rPr>
        <w:t>283</w:t>
      </w:r>
      <w:r w:rsidRPr="00212D57">
        <w:rPr>
          <w:rFonts w:hint="eastAsia"/>
          <w:szCs w:val="22"/>
        </w:rPr>
        <w:t>：</w:t>
      </w:r>
      <w:r w:rsidRPr="00212D57">
        <w:rPr>
          <w:rFonts w:ascii="標楷體" w:eastAsia="標楷體" w:hAnsi="標楷體" w:hint="eastAsia"/>
          <w:szCs w:val="22"/>
        </w:rPr>
        <w:t>「唯識學者，始終從能所、性相差別論的立場說：遣遍計執性，泯依他起性，而顯的圓成實性，是</w:t>
      </w:r>
      <w:r w:rsidR="00F140C4">
        <w:rPr>
          <w:rFonts w:ascii="標楷體" w:eastAsia="標楷體" w:hAnsi="標楷體" w:hint="eastAsia"/>
          <w:szCs w:val="22"/>
        </w:rPr>
        <w:t>「</w:t>
      </w:r>
      <w:r w:rsidRPr="00212D57">
        <w:rPr>
          <w:rFonts w:ascii="標楷體" w:eastAsia="標楷體" w:hAnsi="標楷體" w:hint="eastAsia"/>
          <w:szCs w:val="22"/>
        </w:rPr>
        <w:t>唯識性</w:t>
      </w:r>
      <w:r w:rsidR="00F140C4">
        <w:rPr>
          <w:rFonts w:ascii="標楷體" w:eastAsia="標楷體" w:hAnsi="標楷體" w:hint="eastAsia"/>
          <w:szCs w:val="22"/>
        </w:rPr>
        <w:t>」</w:t>
      </w:r>
      <w:r w:rsidRPr="00212D57">
        <w:rPr>
          <w:rFonts w:ascii="標楷體" w:eastAsia="標楷體" w:hAnsi="標楷體" w:hint="eastAsia"/>
          <w:szCs w:val="22"/>
        </w:rPr>
        <w:t>；是唯識的性，並不就是識。」</w:t>
      </w:r>
    </w:p>
  </w:footnote>
  <w:footnote w:id="474">
    <w:p w:rsidR="00157EF6" w:rsidRPr="00212D57" w:rsidRDefault="00157EF6" w:rsidP="00B5316E">
      <w:pPr>
        <w:pStyle w:val="a5"/>
        <w:ind w:left="253" w:hangingChars="115" w:hanging="253"/>
        <w:jc w:val="both"/>
        <w:rPr>
          <w:rFonts w:ascii="新細明體" w:eastAsia="SimSun" w:hAnsi="新細明體"/>
          <w:szCs w:val="22"/>
        </w:rPr>
      </w:pPr>
      <w:r w:rsidRPr="00212D57">
        <w:rPr>
          <w:rStyle w:val="a6"/>
          <w:szCs w:val="22"/>
        </w:rPr>
        <w:footnoteRef/>
      </w:r>
      <w:r w:rsidRPr="00212D57">
        <w:rPr>
          <w:rFonts w:eastAsia="SimSun" w:hint="eastAsia"/>
          <w:szCs w:val="22"/>
        </w:rPr>
        <w:t xml:space="preserve"> </w:t>
      </w:r>
      <w:r w:rsidRPr="00212D57">
        <w:rPr>
          <w:szCs w:val="22"/>
        </w:rPr>
        <w:t>〔隋〕吉藏</w:t>
      </w:r>
      <w:r>
        <w:rPr>
          <w:szCs w:val="22"/>
        </w:rPr>
        <w:t>撰</w:t>
      </w:r>
      <w:r w:rsidRPr="00212D57">
        <w:rPr>
          <w:rFonts w:hint="eastAsia"/>
          <w:szCs w:val="22"/>
        </w:rPr>
        <w:t>，《中觀論疏》卷</w:t>
      </w:r>
      <w:r w:rsidRPr="00761EF3">
        <w:rPr>
          <w:szCs w:val="22"/>
        </w:rPr>
        <w:t>1</w:t>
      </w:r>
      <w:r w:rsidRPr="00212D57">
        <w:rPr>
          <w:rFonts w:hint="eastAsia"/>
          <w:szCs w:val="22"/>
        </w:rPr>
        <w:t>〈</w:t>
      </w:r>
      <w:r w:rsidRPr="00761EF3">
        <w:rPr>
          <w:szCs w:val="22"/>
        </w:rPr>
        <w:t>1</w:t>
      </w:r>
      <w:r w:rsidRPr="00212D57">
        <w:rPr>
          <w:szCs w:val="22"/>
        </w:rPr>
        <w:t xml:space="preserve"> </w:t>
      </w:r>
      <w:r w:rsidRPr="00212D57">
        <w:rPr>
          <w:rFonts w:hint="eastAsia"/>
          <w:szCs w:val="22"/>
        </w:rPr>
        <w:t>因緣品〉</w:t>
      </w:r>
      <w:r w:rsidRPr="00212D57">
        <w:rPr>
          <w:szCs w:val="22"/>
        </w:rPr>
        <w:t>（</w:t>
      </w:r>
      <w:r w:rsidRPr="00212D57">
        <w:rPr>
          <w:rFonts w:hint="eastAsia"/>
          <w:szCs w:val="22"/>
        </w:rPr>
        <w:t>大正</w:t>
      </w:r>
      <w:r w:rsidRPr="00761EF3">
        <w:rPr>
          <w:szCs w:val="22"/>
        </w:rPr>
        <w:t>42</w:t>
      </w:r>
      <w:r w:rsidRPr="00212D57">
        <w:rPr>
          <w:rFonts w:hint="eastAsia"/>
          <w:szCs w:val="22"/>
        </w:rPr>
        <w:t>，</w:t>
      </w:r>
      <w:r w:rsidRPr="00761EF3">
        <w:rPr>
          <w:rFonts w:eastAsia="SimSun"/>
          <w:szCs w:val="22"/>
        </w:rPr>
        <w:t>11c21</w:t>
      </w:r>
      <w:r w:rsidRPr="00212D57">
        <w:rPr>
          <w:szCs w:val="22"/>
        </w:rPr>
        <w:t>-</w:t>
      </w:r>
      <w:r w:rsidRPr="00761EF3">
        <w:rPr>
          <w:rFonts w:hint="eastAsia"/>
          <w:szCs w:val="22"/>
        </w:rPr>
        <w:t>25</w:t>
      </w:r>
      <w:r w:rsidRPr="00212D57">
        <w:rPr>
          <w:szCs w:val="22"/>
        </w:rPr>
        <w:t>）</w:t>
      </w:r>
      <w:r w:rsidRPr="00212D57">
        <w:rPr>
          <w:rFonts w:ascii="新細明體" w:hAnsi="新細明體" w:hint="eastAsia"/>
          <w:szCs w:val="22"/>
        </w:rPr>
        <w:t>：</w:t>
      </w:r>
    </w:p>
    <w:p w:rsidR="00157EF6" w:rsidRPr="00212D57" w:rsidRDefault="00157EF6" w:rsidP="00B5316E">
      <w:pPr>
        <w:snapToGrid w:val="0"/>
        <w:ind w:leftChars="105" w:left="252"/>
        <w:jc w:val="both"/>
        <w:rPr>
          <w:rFonts w:eastAsia="SimSun"/>
          <w:sz w:val="22"/>
          <w:szCs w:val="22"/>
        </w:rPr>
      </w:pPr>
      <w:r w:rsidRPr="00212D57">
        <w:rPr>
          <w:rFonts w:ascii="標楷體" w:eastAsia="標楷體" w:hAnsi="標楷體" w:hint="eastAsia"/>
          <w:sz w:val="22"/>
          <w:szCs w:val="22"/>
        </w:rPr>
        <w:t>師又一時方言云：「</w:t>
      </w:r>
      <w:r w:rsidRPr="00212D57">
        <w:rPr>
          <w:rFonts w:ascii="標楷體" w:eastAsia="標楷體" w:hAnsi="標楷體" w:hint="eastAsia"/>
          <w:b/>
          <w:sz w:val="22"/>
          <w:szCs w:val="22"/>
        </w:rPr>
        <w:t>世諦即假生假滅，假生不生，假滅不滅</w:t>
      </w:r>
      <w:r w:rsidR="00F9256B">
        <w:rPr>
          <w:rFonts w:ascii="標楷體" w:eastAsia="標楷體" w:hAnsi="標楷體" w:hint="eastAsia"/>
          <w:color w:val="FF0000"/>
          <w:spacing w:val="-4"/>
          <w:kern w:val="0"/>
          <w:sz w:val="22"/>
          <w:highlight w:val="yellow"/>
        </w:rPr>
        <w:t>；</w:t>
      </w:r>
      <w:r w:rsidR="00F9256B">
        <w:rPr>
          <w:rFonts w:ascii="標楷體" w:eastAsia="標楷體" w:hAnsi="標楷體" w:hint="eastAsia"/>
          <w:color w:val="FF0000"/>
          <w:kern w:val="0"/>
          <w:sz w:val="22"/>
          <w:highlight w:val="yellow"/>
        </w:rPr>
        <w:t>『</w:t>
      </w:r>
      <w:r w:rsidRPr="00212D57">
        <w:rPr>
          <w:rFonts w:ascii="標楷體" w:eastAsia="標楷體" w:hAnsi="標楷體" w:hint="eastAsia"/>
          <w:b/>
          <w:sz w:val="22"/>
          <w:szCs w:val="22"/>
        </w:rPr>
        <w:t>不生不滅</w:t>
      </w:r>
      <w:r w:rsidR="00F9256B">
        <w:rPr>
          <w:rFonts w:ascii="標楷體" w:eastAsia="標楷體" w:hAnsi="標楷體" w:hint="eastAsia"/>
          <w:color w:val="FF0000"/>
          <w:kern w:val="0"/>
          <w:sz w:val="22"/>
          <w:highlight w:val="yellow"/>
        </w:rPr>
        <w:t>』</w:t>
      </w:r>
      <w:r w:rsidR="00F9256B">
        <w:rPr>
          <w:rFonts w:ascii="標楷體" w:eastAsia="標楷體" w:hAnsi="標楷體" w:hint="eastAsia"/>
          <w:b/>
          <w:sz w:val="22"/>
          <w:szCs w:val="22"/>
        </w:rPr>
        <w:t>為世諦中道</w:t>
      </w:r>
      <w:r w:rsidR="00F9256B">
        <w:rPr>
          <w:rFonts w:ascii="標楷體" w:eastAsia="標楷體" w:hAnsi="標楷體" w:hint="eastAsia"/>
          <w:color w:val="FF0000"/>
          <w:kern w:val="0"/>
          <w:sz w:val="22"/>
          <w:highlight w:val="yellow"/>
        </w:rPr>
        <w:t>，『</w:t>
      </w:r>
      <w:r w:rsidRPr="00212D57">
        <w:rPr>
          <w:rFonts w:ascii="標楷體" w:eastAsia="標楷體" w:hAnsi="標楷體" w:hint="eastAsia"/>
          <w:b/>
          <w:sz w:val="22"/>
          <w:szCs w:val="22"/>
        </w:rPr>
        <w:t>非不生非不滅</w:t>
      </w:r>
      <w:r w:rsidR="00F9256B">
        <w:rPr>
          <w:rFonts w:ascii="標楷體" w:eastAsia="標楷體" w:hAnsi="標楷體" w:hint="eastAsia"/>
          <w:color w:val="FF0000"/>
          <w:kern w:val="0"/>
          <w:sz w:val="22"/>
          <w:highlight w:val="yellow"/>
        </w:rPr>
        <w:t>』</w:t>
      </w:r>
      <w:r w:rsidRPr="00212D57">
        <w:rPr>
          <w:rFonts w:ascii="標楷體" w:eastAsia="標楷體" w:hAnsi="標楷體" w:hint="eastAsia"/>
          <w:b/>
          <w:sz w:val="22"/>
          <w:szCs w:val="22"/>
        </w:rPr>
        <w:t>為真諦中道。二諦合明中道者，</w:t>
      </w:r>
      <w:r w:rsidR="00F9256B">
        <w:rPr>
          <w:rFonts w:ascii="標楷體" w:eastAsia="標楷體" w:hAnsi="標楷體" w:hint="eastAsia"/>
          <w:color w:val="FF0000"/>
          <w:kern w:val="0"/>
          <w:sz w:val="22"/>
          <w:highlight w:val="yellow"/>
        </w:rPr>
        <w:t>『</w:t>
      </w:r>
      <w:r w:rsidRPr="00212D57">
        <w:rPr>
          <w:rFonts w:ascii="標楷體" w:eastAsia="標楷體" w:hAnsi="標楷體" w:hint="eastAsia"/>
          <w:b/>
          <w:sz w:val="22"/>
          <w:szCs w:val="22"/>
        </w:rPr>
        <w:t>非生滅非不生滅</w:t>
      </w:r>
      <w:r w:rsidR="00F9256B">
        <w:rPr>
          <w:rFonts w:ascii="標楷體" w:eastAsia="標楷體" w:hAnsi="標楷體" w:hint="eastAsia"/>
          <w:color w:val="FF0000"/>
          <w:kern w:val="0"/>
          <w:sz w:val="22"/>
          <w:highlight w:val="yellow"/>
        </w:rPr>
        <w:t>』</w:t>
      </w:r>
      <w:r w:rsidRPr="00212D57">
        <w:rPr>
          <w:rFonts w:ascii="標楷體" w:eastAsia="標楷體" w:hAnsi="標楷體" w:hint="eastAsia"/>
          <w:b/>
          <w:sz w:val="22"/>
          <w:szCs w:val="22"/>
        </w:rPr>
        <w:t>則是合明中道也。</w:t>
      </w:r>
      <w:r w:rsidRPr="00212D57">
        <w:rPr>
          <w:rStyle w:val="old"/>
          <w:rFonts w:ascii="標楷體" w:eastAsia="標楷體" w:hAnsi="標楷體" w:hint="eastAsia"/>
          <w:color w:val="auto"/>
          <w:sz w:val="22"/>
          <w:szCs w:val="22"/>
        </w:rPr>
        <w:t>」</w:t>
      </w:r>
    </w:p>
  </w:footnote>
  <w:footnote w:id="475">
    <w:p w:rsidR="00157EF6" w:rsidRPr="00212D57" w:rsidRDefault="00157EF6" w:rsidP="00B5316E">
      <w:pPr>
        <w:pStyle w:val="a5"/>
        <w:ind w:left="253" w:hangingChars="115" w:hanging="253"/>
        <w:jc w:val="both"/>
        <w:rPr>
          <w:szCs w:val="22"/>
        </w:rPr>
      </w:pPr>
      <w:r w:rsidRPr="00212D57">
        <w:rPr>
          <w:rStyle w:val="a6"/>
          <w:szCs w:val="22"/>
        </w:rPr>
        <w:footnoteRef/>
      </w:r>
      <w:r w:rsidRPr="00212D57">
        <w:rPr>
          <w:rFonts w:eastAsia="SimSun" w:hint="eastAsia"/>
          <w:szCs w:val="22"/>
        </w:rPr>
        <w:t xml:space="preserve"> </w:t>
      </w:r>
      <w:r w:rsidR="009160B5">
        <w:rPr>
          <w:rFonts w:ascii="新細明體" w:hAnsi="新細明體" w:hint="eastAsia"/>
          <w:szCs w:val="22"/>
        </w:rPr>
        <w:t>參見：印</w:t>
      </w:r>
      <w:r w:rsidRPr="00212D57">
        <w:rPr>
          <w:rFonts w:ascii="新細明體" w:hAnsi="新細明體" w:hint="eastAsia"/>
          <w:szCs w:val="22"/>
        </w:rPr>
        <w:t>順法師，《</w:t>
      </w:r>
      <w:r w:rsidRPr="00212D57">
        <w:rPr>
          <w:rFonts w:hint="eastAsia"/>
          <w:szCs w:val="22"/>
        </w:rPr>
        <w:t>中觀今論》，</w:t>
      </w:r>
      <w:r w:rsidRPr="00761EF3">
        <w:rPr>
          <w:rFonts w:hint="eastAsia"/>
          <w:szCs w:val="22"/>
        </w:rPr>
        <w:t>p</w:t>
      </w:r>
      <w:r w:rsidRPr="00212D57">
        <w:rPr>
          <w:rFonts w:hint="eastAsia"/>
          <w:szCs w:val="22"/>
        </w:rPr>
        <w:t>.</w:t>
      </w:r>
      <w:r w:rsidRPr="00761EF3">
        <w:rPr>
          <w:rFonts w:hint="eastAsia"/>
          <w:szCs w:val="22"/>
        </w:rPr>
        <w:t>183</w:t>
      </w:r>
      <w:r w:rsidRPr="00212D57">
        <w:rPr>
          <w:rFonts w:hint="eastAsia"/>
          <w:szCs w:val="22"/>
        </w:rPr>
        <w:t>：</w:t>
      </w:r>
    </w:p>
    <w:p w:rsidR="00157EF6" w:rsidRPr="00212D57" w:rsidRDefault="00157EF6" w:rsidP="00B5316E">
      <w:pPr>
        <w:snapToGrid w:val="0"/>
        <w:ind w:leftChars="105" w:left="252"/>
        <w:jc w:val="both"/>
        <w:rPr>
          <w:rFonts w:ascii="標楷體" w:eastAsia="標楷體" w:hAnsi="標楷體"/>
          <w:sz w:val="22"/>
          <w:szCs w:val="22"/>
        </w:rPr>
      </w:pPr>
      <w:r w:rsidRPr="00212D57">
        <w:rPr>
          <w:rFonts w:ascii="標楷體" w:eastAsia="標楷體" w:hAnsi="標楷體" w:hint="eastAsia"/>
          <w:sz w:val="22"/>
          <w:szCs w:val="22"/>
        </w:rPr>
        <w:t>三論宗的正義是</w:t>
      </w:r>
      <w:r w:rsidRPr="00212D57">
        <w:rPr>
          <w:rFonts w:ascii="標楷體" w:eastAsia="標楷體" w:hAnsi="標楷體" w:hint="eastAsia"/>
          <w:b/>
          <w:sz w:val="22"/>
          <w:szCs w:val="22"/>
        </w:rPr>
        <w:t>假名空</w:t>
      </w:r>
      <w:r w:rsidRPr="00212D57">
        <w:rPr>
          <w:rFonts w:ascii="標楷體" w:eastAsia="標楷體" w:hAnsi="標楷體" w:hint="eastAsia"/>
          <w:sz w:val="22"/>
          <w:szCs w:val="22"/>
        </w:rPr>
        <w:t>，簡說為假空。緣起是假有法，假有即非真實性的，非真實有即是空。假名宛然現處，無自性即是空，不是無緣起假名的，此與空假名不同。空是即假名的，非離假名而別觀空，即假名非實有名空，故又與不空假名不同。《大乘玄論》說：「假空者，雖空而宛然假，雖假而宛然空，空有無礙。」如此方可說為中道，古三論師取此為正義。</w:t>
      </w:r>
    </w:p>
  </w:footnote>
  <w:footnote w:id="476">
    <w:p w:rsidR="00157EF6" w:rsidRPr="00212D57" w:rsidRDefault="00157EF6" w:rsidP="00B5316E">
      <w:pPr>
        <w:pStyle w:val="a5"/>
        <w:ind w:left="253" w:hangingChars="115" w:hanging="253"/>
        <w:jc w:val="both"/>
        <w:rPr>
          <w:rFonts w:eastAsia="SimSun"/>
          <w:szCs w:val="22"/>
        </w:rPr>
      </w:pPr>
      <w:r w:rsidRPr="00212D57">
        <w:rPr>
          <w:rStyle w:val="a6"/>
          <w:szCs w:val="22"/>
        </w:rPr>
        <w:footnoteRef/>
      </w:r>
      <w:r w:rsidRPr="00212D57">
        <w:rPr>
          <w:rFonts w:eastAsia="SimSun" w:hint="eastAsia"/>
          <w:szCs w:val="22"/>
        </w:rPr>
        <w:t xml:space="preserve"> </w:t>
      </w:r>
      <w:r w:rsidRPr="00212D57">
        <w:rPr>
          <w:rFonts w:hint="eastAsia"/>
          <w:szCs w:val="22"/>
        </w:rPr>
        <w:t>途</w:t>
      </w:r>
      <w:r w:rsidRPr="00212D57">
        <w:rPr>
          <w:szCs w:val="22"/>
        </w:rPr>
        <w:t>：</w:t>
      </w:r>
      <w:r w:rsidRPr="00761EF3">
        <w:rPr>
          <w:rFonts w:hint="eastAsia"/>
          <w:szCs w:val="22"/>
        </w:rPr>
        <w:t>2</w:t>
      </w:r>
      <w:r w:rsidRPr="00212D57">
        <w:rPr>
          <w:rFonts w:hint="eastAsia"/>
          <w:szCs w:val="22"/>
        </w:rPr>
        <w:t>.</w:t>
      </w:r>
      <w:r w:rsidRPr="00212D57">
        <w:rPr>
          <w:rFonts w:hint="eastAsia"/>
          <w:szCs w:val="22"/>
        </w:rPr>
        <w:t>途徑，路子。</w:t>
      </w:r>
      <w:r w:rsidRPr="00212D57">
        <w:rPr>
          <w:rFonts w:ascii="Times Ext Roman" w:hAnsi="Times Ext Roman" w:cs="Times Ext Roman" w:hint="eastAsia"/>
          <w:szCs w:val="22"/>
        </w:rPr>
        <w:t>（《漢語大詞典》（</w:t>
      </w:r>
      <w:r w:rsidRPr="00212D57">
        <w:rPr>
          <w:rFonts w:ascii="新細明體" w:hAnsi="新細明體" w:cs="Times Ext Roman" w:hint="eastAsia"/>
          <w:szCs w:val="22"/>
        </w:rPr>
        <w:t>十</w:t>
      </w:r>
      <w:r w:rsidRPr="00212D57">
        <w:rPr>
          <w:rFonts w:ascii="Times Ext Roman" w:hAnsi="Times Ext Roman" w:cs="Times Ext Roman" w:hint="eastAsia"/>
          <w:szCs w:val="22"/>
        </w:rPr>
        <w:t>），</w:t>
      </w:r>
      <w:r w:rsidRPr="00761EF3">
        <w:rPr>
          <w:rFonts w:hint="eastAsia"/>
          <w:szCs w:val="22"/>
        </w:rPr>
        <w:t>p</w:t>
      </w:r>
      <w:r w:rsidRPr="00212D57">
        <w:rPr>
          <w:rFonts w:hint="eastAsia"/>
          <w:szCs w:val="22"/>
        </w:rPr>
        <w:t>.</w:t>
      </w:r>
      <w:r w:rsidRPr="00761EF3">
        <w:rPr>
          <w:rFonts w:eastAsia="SimSun" w:hint="eastAsia"/>
          <w:szCs w:val="22"/>
        </w:rPr>
        <w:t>912</w:t>
      </w:r>
      <w:r w:rsidRPr="00212D57">
        <w:rPr>
          <w:rFonts w:ascii="Times Ext Roman" w:hAnsi="Times Ext Roman" w:cs="Times Ext Roman" w:hint="eastAsia"/>
          <w:szCs w:val="22"/>
        </w:rPr>
        <w:t>）</w:t>
      </w:r>
    </w:p>
  </w:footnote>
  <w:footnote w:id="477">
    <w:p w:rsidR="00157EF6" w:rsidRPr="00212D57" w:rsidRDefault="00157EF6" w:rsidP="00B5316E">
      <w:pPr>
        <w:pStyle w:val="a5"/>
        <w:ind w:left="792" w:hangingChars="360" w:hanging="792"/>
        <w:jc w:val="both"/>
        <w:rPr>
          <w:rFonts w:eastAsia="SimSun"/>
          <w:szCs w:val="22"/>
        </w:rPr>
      </w:pPr>
      <w:r w:rsidRPr="00212D57">
        <w:rPr>
          <w:rStyle w:val="a6"/>
          <w:szCs w:val="22"/>
        </w:rPr>
        <w:footnoteRef/>
      </w:r>
      <w:r w:rsidRPr="00212D57">
        <w:rPr>
          <w:rFonts w:ascii="新細明體" w:hAnsi="新細明體" w:hint="eastAsia"/>
          <w:szCs w:val="22"/>
        </w:rPr>
        <w:t xml:space="preserve"> （</w:t>
      </w:r>
      <w:r w:rsidRPr="00761EF3">
        <w:rPr>
          <w:szCs w:val="22"/>
        </w:rPr>
        <w:t>1</w:t>
      </w:r>
      <w:r w:rsidRPr="00212D57">
        <w:rPr>
          <w:rFonts w:ascii="新細明體" w:hAnsi="新細明體" w:hint="eastAsia"/>
          <w:szCs w:val="22"/>
        </w:rPr>
        <w:t>）</w:t>
      </w:r>
      <w:r w:rsidRPr="00212D57">
        <w:rPr>
          <w:rFonts w:hint="eastAsia"/>
          <w:szCs w:val="22"/>
        </w:rPr>
        <w:t>出</w:t>
      </w:r>
      <w:r w:rsidRPr="00212D57">
        <w:rPr>
          <w:rFonts w:ascii="新細明體" w:hAnsi="新細明體" w:hint="eastAsia"/>
          <w:szCs w:val="22"/>
        </w:rPr>
        <w:t>：</w:t>
      </w:r>
      <w:r w:rsidRPr="00761EF3">
        <w:rPr>
          <w:rFonts w:hint="eastAsia"/>
          <w:szCs w:val="22"/>
        </w:rPr>
        <w:t>10</w:t>
      </w:r>
      <w:r w:rsidRPr="00212D57">
        <w:rPr>
          <w:rFonts w:hint="eastAsia"/>
          <w:szCs w:val="22"/>
        </w:rPr>
        <w:t>.</w:t>
      </w:r>
      <w:r w:rsidRPr="00212D57">
        <w:rPr>
          <w:rFonts w:hint="eastAsia"/>
          <w:szCs w:val="22"/>
        </w:rPr>
        <w:t>高出，超出。</w:t>
      </w:r>
      <w:r w:rsidRPr="00212D57">
        <w:rPr>
          <w:rFonts w:ascii="Times Ext Roman" w:hAnsi="Times Ext Roman" w:cs="Times Ext Roman" w:hint="eastAsia"/>
          <w:szCs w:val="22"/>
        </w:rPr>
        <w:t>（《漢語大詞典》（二），</w:t>
      </w:r>
      <w:r w:rsidRPr="00761EF3">
        <w:rPr>
          <w:rFonts w:hint="eastAsia"/>
          <w:szCs w:val="22"/>
        </w:rPr>
        <w:t>p</w:t>
      </w:r>
      <w:r w:rsidRPr="00212D57">
        <w:rPr>
          <w:rFonts w:hint="eastAsia"/>
          <w:szCs w:val="22"/>
        </w:rPr>
        <w:t>.</w:t>
      </w:r>
      <w:r w:rsidRPr="00761EF3">
        <w:rPr>
          <w:rFonts w:eastAsia="SimSun" w:hint="eastAsia"/>
          <w:szCs w:val="22"/>
        </w:rPr>
        <w:t>472</w:t>
      </w:r>
      <w:r w:rsidRPr="00212D57">
        <w:rPr>
          <w:rFonts w:ascii="Times Ext Roman" w:hAnsi="Times Ext Roman" w:cs="Times Ext Roman" w:hint="eastAsia"/>
          <w:szCs w:val="22"/>
        </w:rPr>
        <w:t>）</w:t>
      </w:r>
    </w:p>
    <w:p w:rsidR="00157EF6" w:rsidRPr="00212D57" w:rsidRDefault="00157EF6" w:rsidP="00B5316E">
      <w:pPr>
        <w:pStyle w:val="a5"/>
        <w:ind w:leftChars="105" w:left="791" w:hangingChars="245" w:hanging="539"/>
        <w:jc w:val="both"/>
        <w:rPr>
          <w:rFonts w:ascii="新細明體" w:eastAsia="SimSun" w:hAnsi="新細明體"/>
          <w:szCs w:val="22"/>
        </w:rPr>
      </w:pPr>
      <w:r w:rsidRPr="00212D57">
        <w:rPr>
          <w:rFonts w:ascii="新細明體" w:hAnsi="新細明體" w:hint="eastAsia"/>
          <w:szCs w:val="22"/>
        </w:rPr>
        <w:t>（</w:t>
      </w:r>
      <w:r w:rsidRPr="00761EF3">
        <w:rPr>
          <w:szCs w:val="22"/>
        </w:rPr>
        <w:t>2</w:t>
      </w:r>
      <w:r w:rsidRPr="00212D57">
        <w:rPr>
          <w:rFonts w:ascii="新細明體" w:hAnsi="新細明體" w:hint="eastAsia"/>
          <w:szCs w:val="22"/>
        </w:rPr>
        <w:t>）</w:t>
      </w:r>
      <w:r w:rsidRPr="00212D57">
        <w:rPr>
          <w:rFonts w:hint="eastAsia"/>
          <w:szCs w:val="22"/>
        </w:rPr>
        <w:t>勝</w:t>
      </w:r>
      <w:r w:rsidRPr="00212D57">
        <w:rPr>
          <w:rFonts w:ascii="新細明體" w:hAnsi="新細明體" w:hint="eastAsia"/>
          <w:szCs w:val="22"/>
        </w:rPr>
        <w:t>：</w:t>
      </w:r>
      <w:r w:rsidRPr="00761EF3">
        <w:rPr>
          <w:szCs w:val="22"/>
        </w:rPr>
        <w:t>2</w:t>
      </w:r>
      <w:r w:rsidRPr="00212D57">
        <w:rPr>
          <w:szCs w:val="22"/>
        </w:rPr>
        <w:t>.</w:t>
      </w:r>
      <w:r w:rsidRPr="00212D57">
        <w:rPr>
          <w:rFonts w:ascii="新細明體" w:hAnsi="新細明體" w:hint="eastAsia"/>
          <w:szCs w:val="22"/>
        </w:rPr>
        <w:t>勝過，超過。</w:t>
      </w:r>
      <w:r w:rsidRPr="00212D57">
        <w:rPr>
          <w:rFonts w:ascii="Times Ext Roman" w:hAnsi="Times Ext Roman" w:cs="Times Ext Roman" w:hint="eastAsia"/>
          <w:szCs w:val="22"/>
        </w:rPr>
        <w:t>（《漢語大詞典》（</w:t>
      </w:r>
      <w:r w:rsidRPr="00212D57">
        <w:rPr>
          <w:rFonts w:ascii="新細明體" w:hAnsi="新細明體" w:cs="Times Ext Roman" w:hint="eastAsia"/>
          <w:szCs w:val="22"/>
        </w:rPr>
        <w:t>六</w:t>
      </w:r>
      <w:r w:rsidRPr="00212D57">
        <w:rPr>
          <w:rFonts w:ascii="Times Ext Roman" w:hAnsi="Times Ext Roman" w:cs="Times Ext Roman" w:hint="eastAsia"/>
          <w:szCs w:val="22"/>
        </w:rPr>
        <w:t>），</w:t>
      </w:r>
      <w:r w:rsidRPr="00761EF3">
        <w:rPr>
          <w:rFonts w:hint="eastAsia"/>
          <w:szCs w:val="22"/>
        </w:rPr>
        <w:t>p</w:t>
      </w:r>
      <w:r w:rsidRPr="00212D57">
        <w:rPr>
          <w:rFonts w:hint="eastAsia"/>
          <w:szCs w:val="22"/>
        </w:rPr>
        <w:t>.</w:t>
      </w:r>
      <w:r w:rsidRPr="00761EF3">
        <w:rPr>
          <w:rFonts w:eastAsia="SimSun" w:hint="eastAsia"/>
          <w:szCs w:val="22"/>
        </w:rPr>
        <w:t>1334</w:t>
      </w:r>
      <w:r w:rsidRPr="00212D57">
        <w:rPr>
          <w:rFonts w:ascii="Times Ext Roman" w:hAnsi="Times Ext Roman" w:cs="Times Ext Roman" w:hint="eastAsia"/>
          <w:szCs w:val="22"/>
        </w:rPr>
        <w:t>）</w:t>
      </w:r>
    </w:p>
  </w:footnote>
  <w:footnote w:id="478">
    <w:p w:rsidR="00157EF6" w:rsidRPr="00212D57" w:rsidRDefault="00157EF6" w:rsidP="00B5316E">
      <w:pPr>
        <w:pStyle w:val="a5"/>
        <w:ind w:left="253" w:hangingChars="115" w:hanging="253"/>
        <w:jc w:val="both"/>
        <w:rPr>
          <w:rFonts w:eastAsia="SimSun"/>
          <w:szCs w:val="22"/>
        </w:rPr>
      </w:pPr>
      <w:r w:rsidRPr="00212D57">
        <w:rPr>
          <w:rStyle w:val="a6"/>
          <w:szCs w:val="22"/>
        </w:rPr>
        <w:footnoteRef/>
      </w:r>
      <w:r w:rsidRPr="00212D57">
        <w:rPr>
          <w:rFonts w:hint="eastAsia"/>
          <w:szCs w:val="22"/>
        </w:rPr>
        <w:t xml:space="preserve"> </w:t>
      </w:r>
      <w:r w:rsidRPr="00212D57">
        <w:rPr>
          <w:rFonts w:hint="eastAsia"/>
          <w:szCs w:val="22"/>
        </w:rPr>
        <w:t>《大智度論》卷</w:t>
      </w:r>
      <w:r w:rsidRPr="00761EF3">
        <w:rPr>
          <w:szCs w:val="22"/>
        </w:rPr>
        <w:t>2</w:t>
      </w:r>
      <w:r w:rsidR="00E64597">
        <w:rPr>
          <w:rFonts w:hint="eastAsia"/>
          <w:color w:val="FF0000"/>
          <w:szCs w:val="22"/>
          <w:highlight w:val="yellow"/>
        </w:rPr>
        <w:t>釋</w:t>
      </w:r>
      <w:r w:rsidRPr="00212D57">
        <w:rPr>
          <w:rFonts w:hint="eastAsia"/>
          <w:szCs w:val="22"/>
        </w:rPr>
        <w:t>〈</w:t>
      </w:r>
      <w:r w:rsidRPr="00761EF3">
        <w:rPr>
          <w:szCs w:val="22"/>
        </w:rPr>
        <w:t>1</w:t>
      </w:r>
      <w:r w:rsidRPr="00212D57">
        <w:rPr>
          <w:rFonts w:hint="eastAsia"/>
          <w:szCs w:val="22"/>
        </w:rPr>
        <w:t>序品〉</w:t>
      </w:r>
      <w:r w:rsidRPr="00212D57">
        <w:rPr>
          <w:rFonts w:ascii="新細明體" w:cs="新細明體" w:hint="eastAsia"/>
          <w:szCs w:val="22"/>
          <w:lang w:val="zh-TW"/>
        </w:rPr>
        <w:t>（大正</w:t>
      </w:r>
      <w:r w:rsidRPr="00761EF3">
        <w:rPr>
          <w:rFonts w:eastAsia="SimSun" w:hint="eastAsia"/>
          <w:szCs w:val="22"/>
        </w:rPr>
        <w:t>25</w:t>
      </w:r>
      <w:r w:rsidRPr="00212D57">
        <w:rPr>
          <w:rFonts w:ascii="新細明體" w:cs="新細明體" w:hint="eastAsia"/>
          <w:szCs w:val="22"/>
          <w:lang w:val="zh-TW"/>
        </w:rPr>
        <w:t>，</w:t>
      </w:r>
      <w:r w:rsidRPr="00761EF3">
        <w:rPr>
          <w:rFonts w:eastAsia="SimSun" w:hint="eastAsia"/>
          <w:szCs w:val="22"/>
        </w:rPr>
        <w:t>74</w:t>
      </w:r>
      <w:r w:rsidRPr="00761EF3">
        <w:rPr>
          <w:szCs w:val="22"/>
        </w:rPr>
        <w:t>c</w:t>
      </w:r>
      <w:r w:rsidRPr="00761EF3">
        <w:rPr>
          <w:rFonts w:eastAsia="SimSun" w:hint="eastAsia"/>
          <w:szCs w:val="22"/>
        </w:rPr>
        <w:t>8</w:t>
      </w:r>
      <w:r w:rsidRPr="00212D57">
        <w:rPr>
          <w:szCs w:val="22"/>
        </w:rPr>
        <w:t>-</w:t>
      </w:r>
      <w:r w:rsidRPr="00761EF3">
        <w:rPr>
          <w:szCs w:val="22"/>
        </w:rPr>
        <w:t>1</w:t>
      </w:r>
      <w:r w:rsidRPr="00761EF3">
        <w:rPr>
          <w:rFonts w:eastAsia="SimSun" w:hint="eastAsia"/>
          <w:szCs w:val="22"/>
        </w:rPr>
        <w:t>9</w:t>
      </w:r>
      <w:r w:rsidRPr="00212D57">
        <w:rPr>
          <w:rFonts w:ascii="新細明體" w:cs="新細明體" w:hint="eastAsia"/>
          <w:szCs w:val="22"/>
          <w:lang w:val="zh-TW"/>
        </w:rPr>
        <w:t>）</w:t>
      </w:r>
      <w:r w:rsidRPr="00212D57">
        <w:rPr>
          <w:rFonts w:hint="eastAsia"/>
          <w:szCs w:val="22"/>
        </w:rPr>
        <w:t>：</w:t>
      </w:r>
    </w:p>
    <w:p w:rsidR="00157EF6" w:rsidRPr="00212D57" w:rsidRDefault="00157EF6" w:rsidP="00B5316E">
      <w:pPr>
        <w:snapToGrid w:val="0"/>
        <w:ind w:leftChars="105" w:left="912" w:hangingChars="300" w:hanging="660"/>
        <w:jc w:val="both"/>
        <w:rPr>
          <w:rFonts w:ascii="標楷體" w:eastAsia="SimSun" w:hAnsi="標楷體"/>
          <w:sz w:val="22"/>
          <w:szCs w:val="22"/>
        </w:rPr>
      </w:pPr>
      <w:r w:rsidRPr="00212D57">
        <w:rPr>
          <w:rFonts w:ascii="標楷體" w:eastAsia="標楷體" w:hAnsi="標楷體" w:hint="eastAsia"/>
          <w:sz w:val="22"/>
          <w:szCs w:val="22"/>
        </w:rPr>
        <w:t>問曰：十四難</w:t>
      </w:r>
      <w:r w:rsidR="00F9256B">
        <w:rPr>
          <w:rFonts w:ascii="標楷體" w:eastAsia="標楷體" w:hAnsi="標楷體" w:hint="eastAsia"/>
          <w:color w:val="FF0000"/>
          <w:kern w:val="0"/>
          <w:sz w:val="22"/>
          <w:highlight w:val="yellow"/>
        </w:rPr>
        <w:t>，</w:t>
      </w:r>
      <w:r w:rsidRPr="00212D57">
        <w:rPr>
          <w:rFonts w:ascii="標楷體" w:eastAsia="標楷體" w:hAnsi="標楷體" w:hint="eastAsia"/>
          <w:sz w:val="22"/>
          <w:szCs w:val="22"/>
        </w:rPr>
        <w:t>不答</w:t>
      </w:r>
      <w:r w:rsidR="00F9256B">
        <w:rPr>
          <w:rFonts w:ascii="標楷體" w:eastAsia="標楷體" w:hAnsi="標楷體" w:hint="eastAsia"/>
          <w:color w:val="FF0000"/>
          <w:kern w:val="0"/>
          <w:sz w:val="22"/>
          <w:highlight w:val="yellow"/>
        </w:rPr>
        <w:t>，</w:t>
      </w:r>
      <w:r w:rsidRPr="00F9256B">
        <w:rPr>
          <w:rFonts w:ascii="標楷體" w:eastAsia="標楷體" w:hAnsi="標楷體" w:hint="eastAsia"/>
          <w:sz w:val="22"/>
          <w:szCs w:val="22"/>
          <w:highlight w:val="yellow"/>
        </w:rPr>
        <w:t>故知</w:t>
      </w:r>
      <w:r w:rsidRPr="00212D57">
        <w:rPr>
          <w:rFonts w:ascii="標楷體" w:eastAsia="標楷體" w:hAnsi="標楷體" w:hint="eastAsia"/>
          <w:sz w:val="22"/>
          <w:szCs w:val="22"/>
        </w:rPr>
        <w:t>非一切智人。何等十四難？</w:t>
      </w:r>
      <w:r w:rsidRPr="000E59D5">
        <w:rPr>
          <w:rFonts w:ascii="Times New Roman" w:hAnsi="Times New Roman" w:hint="eastAsia"/>
          <w:sz w:val="22"/>
          <w:szCs w:val="22"/>
          <w:shd w:val="pct15" w:color="auto" w:fill="FFFFFF"/>
          <w:vertAlign w:val="superscript"/>
        </w:rPr>
        <w:t>（</w:t>
      </w:r>
      <w:r w:rsidRPr="000E59D5">
        <w:rPr>
          <w:rFonts w:ascii="Times New Roman" w:hAnsi="Times New Roman"/>
          <w:sz w:val="22"/>
          <w:szCs w:val="22"/>
          <w:shd w:val="pct15" w:color="auto" w:fill="FFFFFF"/>
          <w:vertAlign w:val="superscript"/>
        </w:rPr>
        <w:t>1</w:t>
      </w:r>
      <w:r w:rsidRPr="000E59D5">
        <w:rPr>
          <w:rFonts w:ascii="Times New Roman" w:hAnsi="Times New Roman" w:hint="eastAsia"/>
          <w:sz w:val="22"/>
          <w:szCs w:val="22"/>
          <w:shd w:val="pct15" w:color="auto" w:fill="FFFFFF"/>
          <w:vertAlign w:val="superscript"/>
        </w:rPr>
        <w:t>）</w:t>
      </w:r>
      <w:r w:rsidRPr="00212D57">
        <w:rPr>
          <w:rFonts w:ascii="標楷體" w:eastAsia="標楷體" w:hAnsi="標楷體" w:hint="eastAsia"/>
          <w:sz w:val="22"/>
          <w:szCs w:val="22"/>
        </w:rPr>
        <w:t>世界及我常，</w:t>
      </w:r>
      <w:r w:rsidRPr="000E59D5">
        <w:rPr>
          <w:rFonts w:ascii="Times New Roman" w:hAnsi="Times New Roman" w:hint="eastAsia"/>
          <w:sz w:val="22"/>
          <w:szCs w:val="22"/>
          <w:shd w:val="pct15" w:color="auto" w:fill="FFFFFF"/>
          <w:vertAlign w:val="superscript"/>
        </w:rPr>
        <w:t>（</w:t>
      </w:r>
      <w:r w:rsidRPr="000E59D5">
        <w:rPr>
          <w:rFonts w:ascii="Times New Roman" w:hAnsi="Times New Roman"/>
          <w:sz w:val="22"/>
          <w:szCs w:val="22"/>
          <w:shd w:val="pct15" w:color="auto" w:fill="FFFFFF"/>
          <w:vertAlign w:val="superscript"/>
        </w:rPr>
        <w:t>2</w:t>
      </w:r>
      <w:r w:rsidRPr="000E59D5">
        <w:rPr>
          <w:rFonts w:ascii="Times New Roman" w:hAnsi="Times New Roman" w:hint="eastAsia"/>
          <w:sz w:val="22"/>
          <w:szCs w:val="22"/>
          <w:shd w:val="pct15" w:color="auto" w:fill="FFFFFF"/>
          <w:vertAlign w:val="superscript"/>
        </w:rPr>
        <w:t>）</w:t>
      </w:r>
      <w:r w:rsidRPr="00212D57">
        <w:rPr>
          <w:rFonts w:ascii="標楷體" w:eastAsia="標楷體" w:hAnsi="標楷體" w:hint="eastAsia"/>
          <w:sz w:val="22"/>
          <w:szCs w:val="22"/>
        </w:rPr>
        <w:t>世界及我無常，</w:t>
      </w:r>
      <w:r w:rsidRPr="000E59D5">
        <w:rPr>
          <w:rFonts w:ascii="Times New Roman" w:hAnsi="Times New Roman" w:hint="eastAsia"/>
          <w:sz w:val="22"/>
          <w:szCs w:val="22"/>
          <w:shd w:val="pct15" w:color="auto" w:fill="FFFFFF"/>
          <w:vertAlign w:val="superscript"/>
        </w:rPr>
        <w:t>（</w:t>
      </w:r>
      <w:r w:rsidRPr="000E59D5">
        <w:rPr>
          <w:rFonts w:ascii="Times New Roman" w:hAnsi="Times New Roman" w:hint="eastAsia"/>
          <w:sz w:val="22"/>
          <w:szCs w:val="22"/>
          <w:shd w:val="pct15" w:color="auto" w:fill="FFFFFF"/>
          <w:vertAlign w:val="superscript"/>
        </w:rPr>
        <w:t>3</w:t>
      </w:r>
      <w:r w:rsidRPr="000E59D5">
        <w:rPr>
          <w:rFonts w:ascii="Times New Roman" w:hAnsi="Times New Roman" w:hint="eastAsia"/>
          <w:sz w:val="22"/>
          <w:szCs w:val="22"/>
          <w:shd w:val="pct15" w:color="auto" w:fill="FFFFFF"/>
          <w:vertAlign w:val="superscript"/>
        </w:rPr>
        <w:t>）</w:t>
      </w:r>
      <w:r w:rsidRPr="00212D57">
        <w:rPr>
          <w:rFonts w:ascii="標楷體" w:eastAsia="標楷體" w:hAnsi="標楷體" w:hint="eastAsia"/>
          <w:sz w:val="22"/>
          <w:szCs w:val="22"/>
        </w:rPr>
        <w:t>世界及我亦有常亦無常，</w:t>
      </w:r>
      <w:r w:rsidRPr="000E59D5">
        <w:rPr>
          <w:rFonts w:ascii="Times New Roman" w:hAnsi="Times New Roman" w:hint="eastAsia"/>
          <w:sz w:val="22"/>
          <w:szCs w:val="22"/>
          <w:shd w:val="pct15" w:color="auto" w:fill="FFFFFF"/>
          <w:vertAlign w:val="superscript"/>
        </w:rPr>
        <w:t>（</w:t>
      </w:r>
      <w:r w:rsidRPr="000E59D5">
        <w:rPr>
          <w:rFonts w:ascii="Times New Roman" w:hAnsi="Times New Roman" w:hint="eastAsia"/>
          <w:sz w:val="22"/>
          <w:szCs w:val="22"/>
          <w:shd w:val="pct15" w:color="auto" w:fill="FFFFFF"/>
          <w:vertAlign w:val="superscript"/>
        </w:rPr>
        <w:t>4</w:t>
      </w:r>
      <w:r w:rsidRPr="000E59D5">
        <w:rPr>
          <w:rFonts w:ascii="Times New Roman" w:hAnsi="Times New Roman" w:hint="eastAsia"/>
          <w:sz w:val="22"/>
          <w:szCs w:val="22"/>
          <w:shd w:val="pct15" w:color="auto" w:fill="FFFFFF"/>
          <w:vertAlign w:val="superscript"/>
        </w:rPr>
        <w:t>）</w:t>
      </w:r>
      <w:r w:rsidRPr="00212D57">
        <w:rPr>
          <w:rFonts w:ascii="標楷體" w:eastAsia="標楷體" w:hAnsi="標楷體" w:hint="eastAsia"/>
          <w:sz w:val="22"/>
          <w:szCs w:val="22"/>
        </w:rPr>
        <w:t>世界及我亦非有常亦非無常，</w:t>
      </w:r>
      <w:r w:rsidRPr="000E59D5">
        <w:rPr>
          <w:rFonts w:ascii="Times New Roman" w:hAnsi="Times New Roman" w:hint="eastAsia"/>
          <w:sz w:val="22"/>
          <w:szCs w:val="22"/>
          <w:shd w:val="pct15" w:color="auto" w:fill="FFFFFF"/>
          <w:vertAlign w:val="superscript"/>
        </w:rPr>
        <w:t>（</w:t>
      </w:r>
      <w:r w:rsidRPr="000E59D5">
        <w:rPr>
          <w:rFonts w:ascii="Times New Roman" w:hAnsi="Times New Roman" w:hint="eastAsia"/>
          <w:sz w:val="22"/>
          <w:szCs w:val="22"/>
          <w:shd w:val="pct15" w:color="auto" w:fill="FFFFFF"/>
          <w:vertAlign w:val="superscript"/>
        </w:rPr>
        <w:t>5</w:t>
      </w:r>
      <w:r w:rsidRPr="000E59D5">
        <w:rPr>
          <w:rFonts w:ascii="Times New Roman" w:hAnsi="Times New Roman" w:hint="eastAsia"/>
          <w:sz w:val="22"/>
          <w:szCs w:val="22"/>
          <w:shd w:val="pct15" w:color="auto" w:fill="FFFFFF"/>
          <w:vertAlign w:val="superscript"/>
        </w:rPr>
        <w:t>）</w:t>
      </w:r>
      <w:r w:rsidRPr="00212D57">
        <w:rPr>
          <w:rFonts w:ascii="標楷體" w:eastAsia="標楷體" w:hAnsi="標楷體" w:hint="eastAsia"/>
          <w:sz w:val="22"/>
          <w:szCs w:val="22"/>
        </w:rPr>
        <w:t>世界及我有邊、</w:t>
      </w:r>
      <w:r w:rsidRPr="000E59D5">
        <w:rPr>
          <w:rFonts w:ascii="Times New Roman" w:hAnsi="Times New Roman" w:hint="eastAsia"/>
          <w:sz w:val="22"/>
          <w:szCs w:val="22"/>
          <w:shd w:val="pct15" w:color="auto" w:fill="FFFFFF"/>
          <w:vertAlign w:val="superscript"/>
        </w:rPr>
        <w:t>（</w:t>
      </w:r>
      <w:r w:rsidRPr="000E59D5">
        <w:rPr>
          <w:rFonts w:ascii="Times New Roman" w:hAnsi="Times New Roman" w:hint="eastAsia"/>
          <w:sz w:val="22"/>
          <w:szCs w:val="22"/>
          <w:shd w:val="pct15" w:color="auto" w:fill="FFFFFF"/>
          <w:vertAlign w:val="superscript"/>
        </w:rPr>
        <w:t>6</w:t>
      </w:r>
      <w:r w:rsidRPr="000E59D5">
        <w:rPr>
          <w:rFonts w:ascii="Times New Roman" w:hAnsi="Times New Roman" w:hint="eastAsia"/>
          <w:sz w:val="22"/>
          <w:szCs w:val="22"/>
          <w:shd w:val="pct15" w:color="auto" w:fill="FFFFFF"/>
          <w:vertAlign w:val="superscript"/>
        </w:rPr>
        <w:t>）</w:t>
      </w:r>
      <w:r w:rsidRPr="00212D57">
        <w:rPr>
          <w:rFonts w:ascii="標楷體" w:eastAsia="標楷體" w:hAnsi="標楷體" w:hint="eastAsia"/>
          <w:sz w:val="22"/>
          <w:szCs w:val="22"/>
        </w:rPr>
        <w:t>無邊，</w:t>
      </w:r>
      <w:r w:rsidRPr="000E59D5">
        <w:rPr>
          <w:rFonts w:ascii="Times New Roman" w:hAnsi="Times New Roman" w:hint="eastAsia"/>
          <w:sz w:val="22"/>
          <w:szCs w:val="22"/>
          <w:shd w:val="pct15" w:color="auto" w:fill="FFFFFF"/>
          <w:vertAlign w:val="superscript"/>
        </w:rPr>
        <w:t>（</w:t>
      </w:r>
      <w:r w:rsidRPr="000E59D5">
        <w:rPr>
          <w:rFonts w:ascii="Times New Roman" w:hAnsi="Times New Roman" w:hint="eastAsia"/>
          <w:sz w:val="22"/>
          <w:szCs w:val="22"/>
          <w:shd w:val="pct15" w:color="auto" w:fill="FFFFFF"/>
          <w:vertAlign w:val="superscript"/>
        </w:rPr>
        <w:t>7</w:t>
      </w:r>
      <w:r w:rsidRPr="000E59D5">
        <w:rPr>
          <w:rFonts w:ascii="Times New Roman" w:hAnsi="Times New Roman" w:hint="eastAsia"/>
          <w:sz w:val="22"/>
          <w:szCs w:val="22"/>
          <w:shd w:val="pct15" w:color="auto" w:fill="FFFFFF"/>
          <w:vertAlign w:val="superscript"/>
        </w:rPr>
        <w:t>）</w:t>
      </w:r>
      <w:r w:rsidRPr="00212D57">
        <w:rPr>
          <w:rFonts w:ascii="標楷體" w:eastAsia="標楷體" w:hAnsi="標楷體" w:hint="eastAsia"/>
          <w:sz w:val="22"/>
          <w:szCs w:val="22"/>
        </w:rPr>
        <w:t>亦有邊亦無邊，</w:t>
      </w:r>
      <w:r w:rsidRPr="000E59D5">
        <w:rPr>
          <w:rFonts w:ascii="Times New Roman" w:hAnsi="Times New Roman" w:hint="eastAsia"/>
          <w:sz w:val="22"/>
          <w:szCs w:val="22"/>
          <w:shd w:val="pct15" w:color="auto" w:fill="FFFFFF"/>
          <w:vertAlign w:val="superscript"/>
        </w:rPr>
        <w:t>（</w:t>
      </w:r>
      <w:r w:rsidRPr="000E59D5">
        <w:rPr>
          <w:rFonts w:ascii="Times New Roman" w:hAnsi="Times New Roman" w:hint="eastAsia"/>
          <w:sz w:val="22"/>
          <w:szCs w:val="22"/>
          <w:shd w:val="pct15" w:color="auto" w:fill="FFFFFF"/>
          <w:vertAlign w:val="superscript"/>
        </w:rPr>
        <w:t>8</w:t>
      </w:r>
      <w:r w:rsidRPr="000E59D5">
        <w:rPr>
          <w:rFonts w:ascii="Times New Roman" w:hAnsi="Times New Roman" w:hint="eastAsia"/>
          <w:sz w:val="22"/>
          <w:szCs w:val="22"/>
          <w:shd w:val="pct15" w:color="auto" w:fill="FFFFFF"/>
          <w:vertAlign w:val="superscript"/>
        </w:rPr>
        <w:t>）</w:t>
      </w:r>
      <w:r w:rsidRPr="00212D57">
        <w:rPr>
          <w:rFonts w:ascii="標楷體" w:eastAsia="標楷體" w:hAnsi="標楷體" w:hint="eastAsia"/>
          <w:sz w:val="22"/>
          <w:szCs w:val="22"/>
        </w:rPr>
        <w:t>亦非有邊亦非無邊，</w:t>
      </w:r>
      <w:r w:rsidRPr="000E59D5">
        <w:rPr>
          <w:rFonts w:ascii="Times New Roman" w:hAnsi="Times New Roman" w:hint="eastAsia"/>
          <w:sz w:val="22"/>
          <w:szCs w:val="22"/>
          <w:shd w:val="pct15" w:color="auto" w:fill="FFFFFF"/>
          <w:vertAlign w:val="superscript"/>
        </w:rPr>
        <w:t>（</w:t>
      </w:r>
      <w:r w:rsidRPr="000E59D5">
        <w:rPr>
          <w:rFonts w:ascii="Times New Roman" w:hAnsi="Times New Roman" w:hint="eastAsia"/>
          <w:sz w:val="22"/>
          <w:szCs w:val="22"/>
          <w:shd w:val="pct15" w:color="auto" w:fill="FFFFFF"/>
          <w:vertAlign w:val="superscript"/>
        </w:rPr>
        <w:t>9</w:t>
      </w:r>
      <w:r w:rsidRPr="000E59D5">
        <w:rPr>
          <w:rFonts w:ascii="Times New Roman" w:hAnsi="Times New Roman" w:hint="eastAsia"/>
          <w:sz w:val="22"/>
          <w:szCs w:val="22"/>
          <w:shd w:val="pct15" w:color="auto" w:fill="FFFFFF"/>
          <w:vertAlign w:val="superscript"/>
        </w:rPr>
        <w:t>）</w:t>
      </w:r>
      <w:r w:rsidRPr="00212D57">
        <w:rPr>
          <w:rFonts w:ascii="標楷體" w:eastAsia="標楷體" w:hAnsi="標楷體" w:hint="eastAsia"/>
          <w:sz w:val="22"/>
          <w:szCs w:val="22"/>
        </w:rPr>
        <w:t>死後有神去後世，</w:t>
      </w:r>
      <w:r w:rsidRPr="000E59D5">
        <w:rPr>
          <w:rFonts w:ascii="Times New Roman" w:hAnsi="Times New Roman" w:hint="eastAsia"/>
          <w:sz w:val="22"/>
          <w:szCs w:val="22"/>
          <w:shd w:val="pct15" w:color="auto" w:fill="FFFFFF"/>
          <w:vertAlign w:val="superscript"/>
        </w:rPr>
        <w:t>（</w:t>
      </w:r>
      <w:r w:rsidRPr="000E59D5">
        <w:rPr>
          <w:rFonts w:ascii="Times New Roman" w:hAnsi="Times New Roman" w:hint="eastAsia"/>
          <w:sz w:val="22"/>
          <w:szCs w:val="22"/>
          <w:shd w:val="pct15" w:color="auto" w:fill="FFFFFF"/>
          <w:vertAlign w:val="superscript"/>
        </w:rPr>
        <w:t>10</w:t>
      </w:r>
      <w:r w:rsidRPr="000E59D5">
        <w:rPr>
          <w:rFonts w:ascii="Times New Roman" w:hAnsi="Times New Roman" w:hint="eastAsia"/>
          <w:sz w:val="22"/>
          <w:szCs w:val="22"/>
          <w:shd w:val="pct15" w:color="auto" w:fill="FFFFFF"/>
          <w:vertAlign w:val="superscript"/>
        </w:rPr>
        <w:t>）</w:t>
      </w:r>
      <w:r w:rsidRPr="00212D57">
        <w:rPr>
          <w:rFonts w:ascii="標楷體" w:eastAsia="標楷體" w:hAnsi="標楷體" w:hint="eastAsia"/>
          <w:sz w:val="22"/>
          <w:szCs w:val="22"/>
        </w:rPr>
        <w:t>無神去後世，</w:t>
      </w:r>
      <w:r w:rsidRPr="000E59D5">
        <w:rPr>
          <w:rFonts w:ascii="Times New Roman" w:hAnsi="Times New Roman" w:hint="eastAsia"/>
          <w:sz w:val="22"/>
          <w:szCs w:val="22"/>
          <w:shd w:val="pct15" w:color="auto" w:fill="FFFFFF"/>
          <w:vertAlign w:val="superscript"/>
        </w:rPr>
        <w:t>（</w:t>
      </w:r>
      <w:r w:rsidRPr="000E59D5">
        <w:rPr>
          <w:rFonts w:ascii="Times New Roman" w:hAnsi="Times New Roman" w:hint="eastAsia"/>
          <w:sz w:val="22"/>
          <w:szCs w:val="22"/>
          <w:shd w:val="pct15" w:color="auto" w:fill="FFFFFF"/>
          <w:vertAlign w:val="superscript"/>
        </w:rPr>
        <w:t>11</w:t>
      </w:r>
      <w:r w:rsidRPr="000E59D5">
        <w:rPr>
          <w:rFonts w:ascii="Times New Roman" w:hAnsi="Times New Roman" w:hint="eastAsia"/>
          <w:sz w:val="22"/>
          <w:szCs w:val="22"/>
          <w:shd w:val="pct15" w:color="auto" w:fill="FFFFFF"/>
          <w:vertAlign w:val="superscript"/>
        </w:rPr>
        <w:t>）</w:t>
      </w:r>
      <w:r w:rsidRPr="00212D57">
        <w:rPr>
          <w:rFonts w:ascii="標楷體" w:eastAsia="標楷體" w:hAnsi="標楷體" w:hint="eastAsia"/>
          <w:sz w:val="22"/>
          <w:szCs w:val="22"/>
        </w:rPr>
        <w:t>亦有神去亦無神去，</w:t>
      </w:r>
      <w:r w:rsidRPr="000E59D5">
        <w:rPr>
          <w:rFonts w:ascii="Times New Roman" w:hAnsi="Times New Roman" w:hint="eastAsia"/>
          <w:sz w:val="22"/>
          <w:szCs w:val="22"/>
          <w:shd w:val="pct15" w:color="auto" w:fill="FFFFFF"/>
          <w:vertAlign w:val="superscript"/>
        </w:rPr>
        <w:t>（</w:t>
      </w:r>
      <w:r w:rsidRPr="000E59D5">
        <w:rPr>
          <w:rFonts w:ascii="Times New Roman" w:hAnsi="Times New Roman" w:hint="eastAsia"/>
          <w:sz w:val="22"/>
          <w:szCs w:val="22"/>
          <w:shd w:val="pct15" w:color="auto" w:fill="FFFFFF"/>
          <w:vertAlign w:val="superscript"/>
        </w:rPr>
        <w:t>12</w:t>
      </w:r>
      <w:r w:rsidRPr="000E59D5">
        <w:rPr>
          <w:rFonts w:ascii="Times New Roman" w:hAnsi="Times New Roman" w:hint="eastAsia"/>
          <w:sz w:val="22"/>
          <w:szCs w:val="22"/>
          <w:shd w:val="pct15" w:color="auto" w:fill="FFFFFF"/>
          <w:vertAlign w:val="superscript"/>
        </w:rPr>
        <w:t>）</w:t>
      </w:r>
      <w:r w:rsidRPr="00212D57">
        <w:rPr>
          <w:rFonts w:ascii="標楷體" w:eastAsia="標楷體" w:hAnsi="標楷體" w:hint="eastAsia"/>
          <w:sz w:val="22"/>
          <w:szCs w:val="22"/>
        </w:rPr>
        <w:t>死後亦非有神去亦非無神去後世，</w:t>
      </w:r>
      <w:r w:rsidRPr="000E59D5">
        <w:rPr>
          <w:rFonts w:ascii="Times New Roman" w:hAnsi="Times New Roman" w:hint="eastAsia"/>
          <w:sz w:val="22"/>
          <w:szCs w:val="22"/>
          <w:shd w:val="pct15" w:color="auto" w:fill="FFFFFF"/>
          <w:vertAlign w:val="superscript"/>
        </w:rPr>
        <w:t>（</w:t>
      </w:r>
      <w:r w:rsidRPr="000E59D5">
        <w:rPr>
          <w:rFonts w:ascii="Times New Roman" w:hAnsi="Times New Roman" w:hint="eastAsia"/>
          <w:sz w:val="22"/>
          <w:szCs w:val="22"/>
          <w:shd w:val="pct15" w:color="auto" w:fill="FFFFFF"/>
          <w:vertAlign w:val="superscript"/>
        </w:rPr>
        <w:t>13</w:t>
      </w:r>
      <w:r w:rsidRPr="000E59D5">
        <w:rPr>
          <w:rFonts w:ascii="Times New Roman" w:hAnsi="Times New Roman" w:hint="eastAsia"/>
          <w:sz w:val="22"/>
          <w:szCs w:val="22"/>
          <w:shd w:val="pct15" w:color="auto" w:fill="FFFFFF"/>
          <w:vertAlign w:val="superscript"/>
        </w:rPr>
        <w:t>）</w:t>
      </w:r>
      <w:r w:rsidRPr="00212D57">
        <w:rPr>
          <w:rFonts w:ascii="標楷體" w:eastAsia="標楷體" w:hAnsi="標楷體" w:hint="eastAsia"/>
          <w:sz w:val="22"/>
          <w:szCs w:val="22"/>
        </w:rPr>
        <w:t>是身是神，</w:t>
      </w:r>
      <w:r w:rsidRPr="000E59D5">
        <w:rPr>
          <w:rFonts w:ascii="Times New Roman" w:hAnsi="Times New Roman" w:hint="eastAsia"/>
          <w:sz w:val="22"/>
          <w:szCs w:val="22"/>
          <w:shd w:val="pct15" w:color="auto" w:fill="FFFFFF"/>
          <w:vertAlign w:val="superscript"/>
        </w:rPr>
        <w:t>（</w:t>
      </w:r>
      <w:r w:rsidRPr="000E59D5">
        <w:rPr>
          <w:rFonts w:ascii="Times New Roman" w:hAnsi="Times New Roman" w:hint="eastAsia"/>
          <w:sz w:val="22"/>
          <w:szCs w:val="22"/>
          <w:shd w:val="pct15" w:color="auto" w:fill="FFFFFF"/>
          <w:vertAlign w:val="superscript"/>
        </w:rPr>
        <w:t>14</w:t>
      </w:r>
      <w:r w:rsidRPr="000E59D5">
        <w:rPr>
          <w:rFonts w:ascii="Times New Roman" w:hAnsi="Times New Roman" w:hint="eastAsia"/>
          <w:sz w:val="22"/>
          <w:szCs w:val="22"/>
          <w:shd w:val="pct15" w:color="auto" w:fill="FFFFFF"/>
          <w:vertAlign w:val="superscript"/>
        </w:rPr>
        <w:t>）</w:t>
      </w:r>
      <w:r w:rsidRPr="00212D57">
        <w:rPr>
          <w:rFonts w:ascii="標楷體" w:eastAsia="標楷體" w:hAnsi="標楷體" w:hint="eastAsia"/>
          <w:sz w:val="22"/>
          <w:szCs w:val="22"/>
        </w:rPr>
        <w:t>身異神異。</w:t>
      </w:r>
    </w:p>
    <w:p w:rsidR="00157EF6" w:rsidRPr="00212D57" w:rsidRDefault="00157EF6" w:rsidP="00B5316E">
      <w:pPr>
        <w:snapToGrid w:val="0"/>
        <w:ind w:leftChars="105" w:left="912" w:hangingChars="300" w:hanging="660"/>
        <w:jc w:val="both"/>
        <w:rPr>
          <w:rFonts w:ascii="Times New Roman" w:hAnsi="Times New Roman"/>
          <w:sz w:val="22"/>
          <w:szCs w:val="22"/>
          <w:vertAlign w:val="superscript"/>
        </w:rPr>
      </w:pPr>
      <w:r w:rsidRPr="00212D57">
        <w:rPr>
          <w:rFonts w:ascii="標楷體" w:eastAsia="標楷體" w:hAnsi="標楷體" w:hint="eastAsia"/>
          <w:sz w:val="22"/>
          <w:szCs w:val="22"/>
        </w:rPr>
        <w:t>答曰：此事無實故不答。諸法有常，無此理；諸法斷，亦無此理</w:t>
      </w:r>
      <w:r w:rsidR="00F9256B">
        <w:rPr>
          <w:rFonts w:ascii="標楷體" w:eastAsia="標楷體" w:hAnsi="標楷體" w:hint="eastAsia"/>
          <w:color w:val="FF0000"/>
          <w:kern w:val="0"/>
          <w:sz w:val="22"/>
          <w:highlight w:val="yellow"/>
        </w:rPr>
        <w:t>。</w:t>
      </w:r>
      <w:r w:rsidRPr="00212D57">
        <w:rPr>
          <w:rFonts w:ascii="標楷體" w:eastAsia="標楷體" w:hAnsi="標楷體" w:hint="eastAsia"/>
          <w:sz w:val="22"/>
          <w:szCs w:val="22"/>
        </w:rPr>
        <w:t>以是故，佛不答。譬如人問</w:t>
      </w:r>
      <w:r w:rsidR="00F9256B">
        <w:rPr>
          <w:rFonts w:ascii="標楷體" w:eastAsia="標楷體" w:hAnsi="標楷體" w:hint="eastAsia"/>
          <w:color w:val="FF0000"/>
          <w:spacing w:val="-4"/>
          <w:kern w:val="0"/>
          <w:sz w:val="22"/>
          <w:highlight w:val="yellow"/>
        </w:rPr>
        <w:t>：</w:t>
      </w:r>
      <w:r w:rsidR="00F9256B">
        <w:rPr>
          <w:rFonts w:ascii="標楷體" w:eastAsia="標楷體" w:hAnsi="標楷體" w:hint="eastAsia"/>
          <w:bCs/>
          <w:color w:val="FF0000"/>
          <w:kern w:val="0"/>
          <w:sz w:val="22"/>
          <w:highlight w:val="yellow"/>
        </w:rPr>
        <w:t>「</w:t>
      </w:r>
      <w:r w:rsidRPr="00212D57">
        <w:rPr>
          <w:rFonts w:ascii="標楷體" w:eastAsia="標楷體" w:hAnsi="標楷體" w:hint="eastAsia"/>
          <w:sz w:val="22"/>
          <w:szCs w:val="22"/>
        </w:rPr>
        <w:t>搆牛角得幾升乳</w:t>
      </w:r>
      <w:r w:rsidR="00F9256B">
        <w:rPr>
          <w:rFonts w:ascii="標楷體" w:eastAsia="標楷體" w:hAnsi="標楷體" w:hint="eastAsia"/>
          <w:color w:val="FF0000"/>
          <w:spacing w:val="-4"/>
          <w:kern w:val="0"/>
          <w:sz w:val="22"/>
          <w:highlight w:val="yellow"/>
        </w:rPr>
        <w:t>？</w:t>
      </w:r>
      <w:r w:rsidR="00F9256B">
        <w:rPr>
          <w:rFonts w:ascii="標楷體" w:eastAsia="標楷體" w:hAnsi="標楷體" w:hint="eastAsia"/>
          <w:bCs/>
          <w:color w:val="FF0000"/>
          <w:kern w:val="0"/>
          <w:sz w:val="22"/>
          <w:highlight w:val="yellow"/>
        </w:rPr>
        <w:t>」</w:t>
      </w:r>
      <w:r w:rsidRPr="00212D57">
        <w:rPr>
          <w:rFonts w:ascii="標楷體" w:eastAsia="標楷體" w:hAnsi="標楷體" w:hint="eastAsia"/>
          <w:sz w:val="22"/>
          <w:szCs w:val="22"/>
        </w:rPr>
        <w:t>是為非問，不應答。</w:t>
      </w:r>
    </w:p>
  </w:footnote>
  <w:footnote w:id="479">
    <w:p w:rsidR="00157EF6" w:rsidRPr="00212D57" w:rsidRDefault="00157EF6" w:rsidP="00B5316E">
      <w:pPr>
        <w:pStyle w:val="a5"/>
        <w:ind w:left="792" w:hangingChars="360" w:hanging="792"/>
        <w:jc w:val="both"/>
        <w:rPr>
          <w:rFonts w:eastAsia="標楷體"/>
          <w:szCs w:val="22"/>
        </w:rPr>
      </w:pPr>
      <w:r w:rsidRPr="00212D57">
        <w:rPr>
          <w:rStyle w:val="a6"/>
          <w:szCs w:val="22"/>
        </w:rPr>
        <w:footnoteRef/>
      </w:r>
      <w:r w:rsidRPr="00212D57">
        <w:rPr>
          <w:rFonts w:ascii="新細明體" w:hAnsi="新細明體" w:hint="eastAsia"/>
          <w:szCs w:val="22"/>
        </w:rPr>
        <w:t xml:space="preserve"> </w:t>
      </w:r>
      <w:r w:rsidRPr="00212D57">
        <w:rPr>
          <w:rFonts w:ascii="新細明體" w:hAnsi="新細明體"/>
          <w:szCs w:val="22"/>
        </w:rPr>
        <w:t>（</w:t>
      </w:r>
      <w:r w:rsidRPr="00761EF3">
        <w:rPr>
          <w:szCs w:val="22"/>
        </w:rPr>
        <w:t>1</w:t>
      </w:r>
      <w:r w:rsidRPr="00212D57">
        <w:rPr>
          <w:rFonts w:ascii="新細明體" w:hAnsi="新細明體"/>
          <w:szCs w:val="22"/>
        </w:rPr>
        <w:t>）</w:t>
      </w:r>
      <w:r w:rsidRPr="00212D57">
        <w:rPr>
          <w:szCs w:val="22"/>
        </w:rPr>
        <w:t>《中論》卷</w:t>
      </w:r>
      <w:r w:rsidRPr="00761EF3">
        <w:rPr>
          <w:szCs w:val="22"/>
        </w:rPr>
        <w:t>3</w:t>
      </w:r>
      <w:r w:rsidRPr="00212D57">
        <w:rPr>
          <w:szCs w:val="22"/>
        </w:rPr>
        <w:t>〈</w:t>
      </w:r>
      <w:r w:rsidRPr="00761EF3">
        <w:rPr>
          <w:rFonts w:hint="eastAsia"/>
          <w:szCs w:val="22"/>
        </w:rPr>
        <w:t>18</w:t>
      </w:r>
      <w:r w:rsidRPr="00212D57">
        <w:rPr>
          <w:szCs w:val="22"/>
        </w:rPr>
        <w:t xml:space="preserve"> </w:t>
      </w:r>
      <w:r w:rsidRPr="00212D57">
        <w:rPr>
          <w:szCs w:val="22"/>
        </w:rPr>
        <w:t>觀法品〉（大正</w:t>
      </w:r>
      <w:r w:rsidRPr="00761EF3">
        <w:rPr>
          <w:szCs w:val="22"/>
        </w:rPr>
        <w:t>30</w:t>
      </w:r>
      <w:r w:rsidRPr="00212D57">
        <w:rPr>
          <w:szCs w:val="22"/>
        </w:rPr>
        <w:t>，</w:t>
      </w:r>
      <w:r w:rsidRPr="00761EF3">
        <w:rPr>
          <w:szCs w:val="22"/>
        </w:rPr>
        <w:t>24a9</w:t>
      </w:r>
      <w:r w:rsidRPr="00212D57">
        <w:rPr>
          <w:szCs w:val="22"/>
        </w:rPr>
        <w:t>-</w:t>
      </w:r>
      <w:r w:rsidRPr="00761EF3">
        <w:rPr>
          <w:rFonts w:hint="eastAsia"/>
          <w:szCs w:val="22"/>
        </w:rPr>
        <w:t>10</w:t>
      </w:r>
      <w:r w:rsidRPr="00212D57">
        <w:rPr>
          <w:szCs w:val="22"/>
        </w:rPr>
        <w:t>）</w:t>
      </w:r>
      <w:r w:rsidRPr="00212D57">
        <w:rPr>
          <w:rFonts w:hint="eastAsia"/>
          <w:szCs w:val="22"/>
        </w:rPr>
        <w:t>。</w:t>
      </w:r>
    </w:p>
    <w:p w:rsidR="00157EF6" w:rsidRPr="00212D57" w:rsidRDefault="00157EF6" w:rsidP="00B5316E">
      <w:pPr>
        <w:pStyle w:val="a5"/>
        <w:ind w:leftChars="105" w:left="791" w:hangingChars="245" w:hanging="539"/>
        <w:jc w:val="both"/>
        <w:rPr>
          <w:szCs w:val="22"/>
        </w:rPr>
      </w:pPr>
      <w:r w:rsidRPr="00212D57">
        <w:rPr>
          <w:rFonts w:ascii="新細明體" w:hAnsi="新細明體"/>
          <w:szCs w:val="22"/>
        </w:rPr>
        <w:t>（</w:t>
      </w:r>
      <w:r w:rsidRPr="00761EF3">
        <w:rPr>
          <w:szCs w:val="22"/>
        </w:rPr>
        <w:t>2</w:t>
      </w:r>
      <w:r w:rsidRPr="00212D57">
        <w:rPr>
          <w:rFonts w:ascii="新細明體" w:hAnsi="新細明體"/>
          <w:szCs w:val="22"/>
        </w:rPr>
        <w:t>）</w:t>
      </w:r>
      <w:r w:rsidR="009160B5">
        <w:rPr>
          <w:rFonts w:ascii="新細明體" w:hAnsi="新細明體" w:hint="eastAsia"/>
          <w:szCs w:val="22"/>
        </w:rPr>
        <w:t>參見：印</w:t>
      </w:r>
      <w:r w:rsidRPr="00212D57">
        <w:rPr>
          <w:rFonts w:ascii="新細明體" w:hAnsi="新細明體" w:hint="eastAsia"/>
          <w:szCs w:val="22"/>
        </w:rPr>
        <w:t>順</w:t>
      </w:r>
      <w:r w:rsidRPr="00212D57">
        <w:rPr>
          <w:rStyle w:val="byline"/>
          <w:rFonts w:hint="eastAsia"/>
          <w:color w:val="auto"/>
          <w:sz w:val="22"/>
          <w:szCs w:val="22"/>
        </w:rPr>
        <w:t>法師</w:t>
      </w:r>
      <w:r w:rsidRPr="00212D57">
        <w:rPr>
          <w:rFonts w:ascii="新細明體" w:hAnsi="新細明體" w:hint="eastAsia"/>
          <w:szCs w:val="22"/>
        </w:rPr>
        <w:t>，《</w:t>
      </w:r>
      <w:r w:rsidRPr="00212D57">
        <w:rPr>
          <w:rFonts w:hint="eastAsia"/>
          <w:szCs w:val="22"/>
        </w:rPr>
        <w:t>中觀論頌講記</w:t>
      </w:r>
      <w:r w:rsidRPr="00212D57">
        <w:rPr>
          <w:szCs w:val="22"/>
        </w:rPr>
        <w:t>》，</w:t>
      </w:r>
      <w:r w:rsidRPr="00761EF3">
        <w:rPr>
          <w:szCs w:val="22"/>
        </w:rPr>
        <w:t>p</w:t>
      </w:r>
      <w:r w:rsidRPr="00212D57">
        <w:rPr>
          <w:szCs w:val="22"/>
        </w:rPr>
        <w:t>.</w:t>
      </w:r>
      <w:r w:rsidRPr="00761EF3">
        <w:rPr>
          <w:rFonts w:hint="eastAsia"/>
          <w:szCs w:val="22"/>
        </w:rPr>
        <w:t>338</w:t>
      </w:r>
      <w:r w:rsidRPr="00212D57">
        <w:rPr>
          <w:rFonts w:hint="eastAsia"/>
          <w:szCs w:val="22"/>
        </w:rPr>
        <w:t>：</w:t>
      </w:r>
    </w:p>
    <w:p w:rsidR="00157EF6" w:rsidRPr="00212D57" w:rsidRDefault="00157EF6" w:rsidP="00B5316E">
      <w:pPr>
        <w:pStyle w:val="a5"/>
        <w:ind w:leftChars="335" w:left="804"/>
        <w:jc w:val="both"/>
        <w:rPr>
          <w:rFonts w:ascii="標楷體" w:eastAsia="標楷體" w:hAnsi="標楷體"/>
          <w:szCs w:val="22"/>
        </w:rPr>
      </w:pPr>
      <w:r w:rsidRPr="00212D57">
        <w:rPr>
          <w:rFonts w:ascii="標楷體" w:eastAsia="標楷體" w:hAnsi="標楷體" w:hint="eastAsia"/>
          <w:szCs w:val="22"/>
        </w:rPr>
        <w:t>諸法是從因「緣」所「生」的。緣與緣所生的果法，有因果能所。因有因相，果有果相，果是「不即」是因的。但果是因的果，也非絕對的差別，所以又是「不異因」的。不一不異，就是因果各有他的特相，而又離因無果，離果無因的。因果關涉的不一不異，即「名」為「實相」。緣起幻相，確實如此解。因為因果的不一不異，所以一切法在因果相續的新新生滅中，如流水燈炎，即是「不斷亦不常」的。因不即是果，所以不常；果不離於因，所以不斷。</w:t>
      </w:r>
    </w:p>
  </w:footnote>
  <w:footnote w:id="480">
    <w:p w:rsidR="00157EF6" w:rsidRPr="00212D57" w:rsidRDefault="00157EF6" w:rsidP="00B5316E">
      <w:pPr>
        <w:pStyle w:val="a5"/>
        <w:ind w:left="792" w:hangingChars="360" w:hanging="792"/>
        <w:jc w:val="both"/>
        <w:rPr>
          <w:szCs w:val="22"/>
        </w:rPr>
      </w:pPr>
      <w:r w:rsidRPr="00212D57">
        <w:rPr>
          <w:rStyle w:val="a6"/>
          <w:szCs w:val="22"/>
        </w:rPr>
        <w:footnoteRef/>
      </w:r>
      <w:r w:rsidRPr="00212D57">
        <w:rPr>
          <w:rFonts w:ascii="新細明體" w:hAnsi="新細明體" w:hint="eastAsia"/>
          <w:szCs w:val="22"/>
        </w:rPr>
        <w:t xml:space="preserve"> （</w:t>
      </w:r>
      <w:r w:rsidRPr="00761EF3">
        <w:rPr>
          <w:szCs w:val="22"/>
        </w:rPr>
        <w:t>1</w:t>
      </w:r>
      <w:r w:rsidRPr="00212D57">
        <w:rPr>
          <w:rFonts w:ascii="新細明體" w:hAnsi="新細明體" w:hint="eastAsia"/>
          <w:szCs w:val="22"/>
        </w:rPr>
        <w:t>）</w:t>
      </w:r>
      <w:r w:rsidRPr="00212D57">
        <w:rPr>
          <w:szCs w:val="22"/>
        </w:rPr>
        <w:t>《中論》卷</w:t>
      </w:r>
      <w:r w:rsidRPr="00761EF3">
        <w:rPr>
          <w:szCs w:val="22"/>
        </w:rPr>
        <w:t>3</w:t>
      </w:r>
      <w:r w:rsidRPr="00212D57">
        <w:rPr>
          <w:szCs w:val="22"/>
        </w:rPr>
        <w:t>〈</w:t>
      </w:r>
      <w:r w:rsidRPr="00761EF3">
        <w:rPr>
          <w:rFonts w:hint="eastAsia"/>
          <w:szCs w:val="22"/>
        </w:rPr>
        <w:t>18</w:t>
      </w:r>
      <w:r w:rsidRPr="00212D57">
        <w:rPr>
          <w:szCs w:val="22"/>
        </w:rPr>
        <w:t xml:space="preserve"> </w:t>
      </w:r>
      <w:r w:rsidRPr="00212D57">
        <w:rPr>
          <w:szCs w:val="22"/>
        </w:rPr>
        <w:t>觀法品〉（大正</w:t>
      </w:r>
      <w:r w:rsidRPr="00761EF3">
        <w:rPr>
          <w:szCs w:val="22"/>
        </w:rPr>
        <w:t>30</w:t>
      </w:r>
      <w:r w:rsidRPr="00212D57">
        <w:rPr>
          <w:szCs w:val="22"/>
        </w:rPr>
        <w:t>，</w:t>
      </w:r>
      <w:r w:rsidRPr="00761EF3">
        <w:rPr>
          <w:szCs w:val="22"/>
        </w:rPr>
        <w:t>24a</w:t>
      </w:r>
      <w:r w:rsidRPr="00761EF3">
        <w:rPr>
          <w:rFonts w:hint="eastAsia"/>
          <w:szCs w:val="22"/>
        </w:rPr>
        <w:t>11</w:t>
      </w:r>
      <w:r w:rsidRPr="00212D57">
        <w:rPr>
          <w:szCs w:val="22"/>
        </w:rPr>
        <w:t>-</w:t>
      </w:r>
      <w:r w:rsidRPr="00761EF3">
        <w:rPr>
          <w:szCs w:val="22"/>
        </w:rPr>
        <w:t>1</w:t>
      </w:r>
      <w:r w:rsidRPr="00761EF3">
        <w:rPr>
          <w:rFonts w:hint="eastAsia"/>
          <w:szCs w:val="22"/>
        </w:rPr>
        <w:t>2</w:t>
      </w:r>
      <w:r w:rsidRPr="00212D57">
        <w:rPr>
          <w:szCs w:val="22"/>
        </w:rPr>
        <w:t>）</w:t>
      </w:r>
      <w:r w:rsidRPr="00212D57">
        <w:rPr>
          <w:rFonts w:hint="eastAsia"/>
          <w:szCs w:val="22"/>
        </w:rPr>
        <w:t>。</w:t>
      </w:r>
    </w:p>
    <w:p w:rsidR="00157EF6" w:rsidRPr="00212D57" w:rsidRDefault="00157EF6" w:rsidP="00B5316E">
      <w:pPr>
        <w:pStyle w:val="a5"/>
        <w:ind w:leftChars="105" w:left="791" w:hangingChars="245" w:hanging="539"/>
        <w:jc w:val="both"/>
        <w:rPr>
          <w:szCs w:val="22"/>
        </w:rPr>
      </w:pPr>
      <w:r w:rsidRPr="00212D57">
        <w:rPr>
          <w:rFonts w:ascii="新細明體" w:hAnsi="新細明體" w:hint="eastAsia"/>
          <w:szCs w:val="22"/>
        </w:rPr>
        <w:t>（</w:t>
      </w:r>
      <w:r w:rsidRPr="00761EF3">
        <w:rPr>
          <w:szCs w:val="22"/>
        </w:rPr>
        <w:t>2</w:t>
      </w:r>
      <w:r w:rsidRPr="00212D57">
        <w:rPr>
          <w:rFonts w:ascii="新細明體" w:hAnsi="新細明體" w:hint="eastAsia"/>
          <w:szCs w:val="22"/>
        </w:rPr>
        <w:t>）</w:t>
      </w:r>
      <w:r w:rsidR="009160B5">
        <w:rPr>
          <w:rFonts w:ascii="新細明體" w:hAnsi="新細明體" w:hint="eastAsia"/>
          <w:szCs w:val="22"/>
        </w:rPr>
        <w:t>參見：印</w:t>
      </w:r>
      <w:r w:rsidRPr="00212D57">
        <w:rPr>
          <w:rFonts w:ascii="新細明體" w:hAnsi="新細明體" w:hint="eastAsia"/>
          <w:szCs w:val="22"/>
        </w:rPr>
        <w:t>順法師，《</w:t>
      </w:r>
      <w:r w:rsidRPr="00212D57">
        <w:rPr>
          <w:rFonts w:hint="eastAsia"/>
          <w:szCs w:val="22"/>
        </w:rPr>
        <w:t>中觀論頌講記</w:t>
      </w:r>
      <w:r w:rsidRPr="00212D57">
        <w:rPr>
          <w:szCs w:val="22"/>
        </w:rPr>
        <w:t>》，</w:t>
      </w:r>
      <w:r w:rsidRPr="00761EF3">
        <w:rPr>
          <w:szCs w:val="22"/>
        </w:rPr>
        <w:t>p</w:t>
      </w:r>
      <w:r w:rsidRPr="00212D57">
        <w:rPr>
          <w:szCs w:val="22"/>
        </w:rPr>
        <w:t>.</w:t>
      </w:r>
      <w:r w:rsidRPr="00761EF3">
        <w:rPr>
          <w:rFonts w:hint="eastAsia"/>
          <w:szCs w:val="22"/>
        </w:rPr>
        <w:t>339</w:t>
      </w:r>
      <w:r w:rsidRPr="00212D57">
        <w:rPr>
          <w:rFonts w:hint="eastAsia"/>
          <w:szCs w:val="22"/>
        </w:rPr>
        <w:t>：</w:t>
      </w:r>
    </w:p>
    <w:p w:rsidR="00157EF6" w:rsidRPr="00212D57" w:rsidRDefault="00157EF6" w:rsidP="00B5316E">
      <w:pPr>
        <w:pStyle w:val="a5"/>
        <w:ind w:leftChars="335" w:left="804"/>
        <w:jc w:val="both"/>
        <w:rPr>
          <w:rFonts w:ascii="標楷體" w:eastAsia="標楷體" w:hAnsi="標楷體"/>
          <w:szCs w:val="22"/>
        </w:rPr>
      </w:pPr>
      <w:r w:rsidRPr="00212D57">
        <w:rPr>
          <w:rFonts w:ascii="標楷體" w:eastAsia="標楷體" w:hAnsi="標楷體" w:hint="eastAsia"/>
          <w:szCs w:val="22"/>
        </w:rPr>
        <w:t>「不一」「不異」，「不常」「不斷」的實相，就是即俗而真的緣起中道。如有修行者通達了，那就可以滅諸煩惱戲論，得解脫生死的涅槃了。所以，此緣起的實相，即「諸」佛「世尊教化」聲聞弟子、菩薩弟子的妙「甘露味」。甘露味，是譬喻涅槃解脫味的。</w:t>
      </w:r>
    </w:p>
  </w:footnote>
  <w:footnote w:id="481">
    <w:p w:rsidR="000E59D5" w:rsidRPr="000E59D5" w:rsidRDefault="000E59D5" w:rsidP="000E59D5">
      <w:pPr>
        <w:pStyle w:val="a5"/>
        <w:ind w:left="253" w:hangingChars="115" w:hanging="253"/>
        <w:jc w:val="both"/>
        <w:rPr>
          <w:rFonts w:eastAsia="SimSun"/>
          <w:color w:val="FF0000"/>
          <w:szCs w:val="22"/>
          <w:highlight w:val="yellow"/>
        </w:rPr>
      </w:pPr>
      <w:r w:rsidRPr="000E59D5">
        <w:rPr>
          <w:rStyle w:val="a6"/>
          <w:color w:val="FF0000"/>
          <w:szCs w:val="22"/>
          <w:highlight w:val="yellow"/>
        </w:rPr>
        <w:footnoteRef/>
      </w:r>
      <w:r w:rsidRPr="000E59D5">
        <w:rPr>
          <w:rFonts w:eastAsia="SimSun" w:hint="eastAsia"/>
          <w:color w:val="FF0000"/>
          <w:szCs w:val="22"/>
        </w:rPr>
        <w:t xml:space="preserve"> </w:t>
      </w:r>
      <w:r w:rsidRPr="000E59D5">
        <w:rPr>
          <w:rFonts w:ascii="新細明體" w:hAnsi="新細明體" w:hint="eastAsia"/>
          <w:color w:val="FF0000"/>
          <w:szCs w:val="22"/>
          <w:highlight w:val="yellow"/>
        </w:rPr>
        <w:t>重編案：應作「八事四對」</w:t>
      </w:r>
      <w:r w:rsidRPr="000E59D5">
        <w:rPr>
          <w:rFonts w:hint="eastAsia"/>
          <w:color w:val="FF0000"/>
          <w:szCs w:val="22"/>
          <w:highlight w:val="yellow"/>
        </w:rPr>
        <w:t>。</w:t>
      </w:r>
    </w:p>
  </w:footnote>
  <w:footnote w:id="482">
    <w:p w:rsidR="00157EF6" w:rsidRPr="00212D57" w:rsidRDefault="00157EF6" w:rsidP="00B5316E">
      <w:pPr>
        <w:pStyle w:val="a5"/>
        <w:ind w:left="253" w:hangingChars="115" w:hanging="253"/>
        <w:jc w:val="both"/>
        <w:rPr>
          <w:rFonts w:eastAsia="SimSun"/>
          <w:szCs w:val="22"/>
        </w:rPr>
      </w:pPr>
      <w:r w:rsidRPr="00212D57">
        <w:rPr>
          <w:rStyle w:val="a6"/>
          <w:szCs w:val="22"/>
        </w:rPr>
        <w:footnoteRef/>
      </w:r>
      <w:r w:rsidRPr="00212D57">
        <w:rPr>
          <w:rFonts w:eastAsia="SimSun" w:hint="eastAsia"/>
          <w:szCs w:val="22"/>
        </w:rPr>
        <w:t xml:space="preserve"> </w:t>
      </w:r>
      <w:r w:rsidR="009160B5">
        <w:rPr>
          <w:rFonts w:ascii="新細明體" w:hAnsi="新細明體" w:hint="eastAsia"/>
          <w:szCs w:val="22"/>
        </w:rPr>
        <w:t>參見：印</w:t>
      </w:r>
      <w:r w:rsidRPr="00212D57">
        <w:rPr>
          <w:rFonts w:ascii="新細明體" w:hAnsi="新細明體" w:hint="eastAsia"/>
          <w:szCs w:val="22"/>
        </w:rPr>
        <w:t>順法師，《</w:t>
      </w:r>
      <w:r w:rsidRPr="00212D57">
        <w:rPr>
          <w:rFonts w:hint="eastAsia"/>
          <w:szCs w:val="22"/>
        </w:rPr>
        <w:t>中觀今論》，</w:t>
      </w:r>
      <w:r w:rsidRPr="00212D57">
        <w:rPr>
          <w:szCs w:val="22"/>
        </w:rPr>
        <w:t>第</w:t>
      </w:r>
      <w:r w:rsidRPr="00761EF3">
        <w:rPr>
          <w:szCs w:val="22"/>
        </w:rPr>
        <w:t>6</w:t>
      </w:r>
      <w:r w:rsidRPr="00212D57">
        <w:rPr>
          <w:szCs w:val="22"/>
        </w:rPr>
        <w:t>章〈八不〉，第</w:t>
      </w:r>
      <w:r w:rsidRPr="00761EF3">
        <w:rPr>
          <w:szCs w:val="22"/>
        </w:rPr>
        <w:t>1</w:t>
      </w:r>
      <w:r w:rsidRPr="00212D57">
        <w:rPr>
          <w:szCs w:val="22"/>
        </w:rPr>
        <w:t>節〈八</w:t>
      </w:r>
      <w:r w:rsidR="000E59D5">
        <w:rPr>
          <w:rFonts w:hint="eastAsia"/>
          <w:color w:val="FF0000"/>
          <w:szCs w:val="22"/>
          <w:highlight w:val="yellow"/>
        </w:rPr>
        <w:t>事</w:t>
      </w:r>
      <w:r w:rsidRPr="00212D57">
        <w:rPr>
          <w:szCs w:val="22"/>
        </w:rPr>
        <w:t>四對之解說〉，</w:t>
      </w:r>
      <w:r w:rsidRPr="00761EF3">
        <w:rPr>
          <w:szCs w:val="22"/>
        </w:rPr>
        <w:t>p</w:t>
      </w:r>
      <w:r w:rsidRPr="00761EF3">
        <w:rPr>
          <w:rFonts w:hint="eastAsia"/>
          <w:szCs w:val="22"/>
        </w:rPr>
        <w:t>p</w:t>
      </w:r>
      <w:r w:rsidRPr="00212D57">
        <w:rPr>
          <w:rFonts w:hint="eastAsia"/>
          <w:szCs w:val="22"/>
        </w:rPr>
        <w:t>.</w:t>
      </w:r>
      <w:r w:rsidRPr="00761EF3">
        <w:rPr>
          <w:rFonts w:hint="eastAsia"/>
          <w:szCs w:val="22"/>
        </w:rPr>
        <w:t>8</w:t>
      </w:r>
      <w:r w:rsidRPr="00761EF3">
        <w:rPr>
          <w:rFonts w:eastAsia="SimSun" w:hint="eastAsia"/>
          <w:szCs w:val="22"/>
        </w:rPr>
        <w:t>3</w:t>
      </w:r>
      <w:r w:rsidRPr="00212D57">
        <w:rPr>
          <w:rFonts w:hint="eastAsia"/>
          <w:szCs w:val="22"/>
        </w:rPr>
        <w:t>-</w:t>
      </w:r>
      <w:r w:rsidRPr="00761EF3">
        <w:rPr>
          <w:rFonts w:eastAsia="SimSun" w:hint="eastAsia"/>
          <w:szCs w:val="22"/>
        </w:rPr>
        <w:t>94</w:t>
      </w:r>
      <w:r w:rsidRPr="00212D57">
        <w:rPr>
          <w:rFonts w:hint="eastAsia"/>
          <w:szCs w:val="22"/>
        </w:rPr>
        <w:t>。</w:t>
      </w:r>
    </w:p>
  </w:footnote>
  <w:footnote w:id="483">
    <w:p w:rsidR="00157EF6" w:rsidRPr="00212D57" w:rsidRDefault="00157EF6" w:rsidP="00B5316E">
      <w:pPr>
        <w:pStyle w:val="a5"/>
        <w:ind w:left="792" w:hangingChars="360" w:hanging="792"/>
        <w:jc w:val="both"/>
        <w:rPr>
          <w:szCs w:val="22"/>
        </w:rPr>
      </w:pPr>
      <w:r w:rsidRPr="00212D57">
        <w:rPr>
          <w:rStyle w:val="a6"/>
          <w:szCs w:val="22"/>
        </w:rPr>
        <w:footnoteRef/>
      </w:r>
      <w:r w:rsidRPr="00212D57">
        <w:rPr>
          <w:rFonts w:ascii="新細明體" w:hAnsi="新細明體" w:hint="eastAsia"/>
          <w:szCs w:val="22"/>
        </w:rPr>
        <w:t xml:space="preserve"> （</w:t>
      </w:r>
      <w:r w:rsidRPr="00761EF3">
        <w:rPr>
          <w:szCs w:val="22"/>
        </w:rPr>
        <w:t>1</w:t>
      </w:r>
      <w:r w:rsidRPr="00212D57">
        <w:rPr>
          <w:rFonts w:ascii="新細明體" w:hAnsi="新細明體" w:hint="eastAsia"/>
          <w:szCs w:val="22"/>
        </w:rPr>
        <w:t>）</w:t>
      </w:r>
      <w:r w:rsidRPr="00212D57">
        <w:rPr>
          <w:szCs w:val="22"/>
        </w:rPr>
        <w:t>《中論》卷</w:t>
      </w:r>
      <w:r w:rsidRPr="00761EF3">
        <w:rPr>
          <w:szCs w:val="22"/>
        </w:rPr>
        <w:t>3</w:t>
      </w:r>
      <w:r w:rsidRPr="00212D57">
        <w:rPr>
          <w:szCs w:val="22"/>
        </w:rPr>
        <w:t>〈</w:t>
      </w:r>
      <w:r w:rsidRPr="00761EF3">
        <w:rPr>
          <w:rFonts w:hint="eastAsia"/>
          <w:szCs w:val="22"/>
        </w:rPr>
        <w:t>21</w:t>
      </w:r>
      <w:r w:rsidRPr="00212D57">
        <w:rPr>
          <w:szCs w:val="22"/>
        </w:rPr>
        <w:t xml:space="preserve"> </w:t>
      </w:r>
      <w:r w:rsidRPr="00212D57">
        <w:rPr>
          <w:szCs w:val="22"/>
        </w:rPr>
        <w:t>觀成壞品〉（青目釋）（大正</w:t>
      </w:r>
      <w:r w:rsidRPr="00761EF3">
        <w:rPr>
          <w:szCs w:val="22"/>
        </w:rPr>
        <w:t>30</w:t>
      </w:r>
      <w:r w:rsidRPr="00212D57">
        <w:rPr>
          <w:szCs w:val="22"/>
        </w:rPr>
        <w:t>，</w:t>
      </w:r>
      <w:r w:rsidRPr="00761EF3">
        <w:rPr>
          <w:szCs w:val="22"/>
        </w:rPr>
        <w:t>28b19</w:t>
      </w:r>
      <w:r w:rsidRPr="00212D57">
        <w:rPr>
          <w:szCs w:val="22"/>
        </w:rPr>
        <w:t>-</w:t>
      </w:r>
      <w:r w:rsidRPr="00761EF3">
        <w:rPr>
          <w:szCs w:val="22"/>
        </w:rPr>
        <w:t>26</w:t>
      </w:r>
      <w:r w:rsidRPr="00212D57">
        <w:rPr>
          <w:szCs w:val="22"/>
        </w:rPr>
        <w:t>）：</w:t>
      </w:r>
    </w:p>
    <w:p w:rsidR="00157EF6" w:rsidRPr="00212D57" w:rsidRDefault="00157EF6" w:rsidP="00B5316E">
      <w:pPr>
        <w:pStyle w:val="a5"/>
        <w:ind w:leftChars="335" w:left="804"/>
        <w:jc w:val="both"/>
        <w:rPr>
          <w:rFonts w:ascii="標楷體" w:eastAsia="標楷體" w:hAnsi="標楷體"/>
          <w:b/>
          <w:szCs w:val="22"/>
        </w:rPr>
      </w:pPr>
      <w:r w:rsidRPr="00212D57">
        <w:rPr>
          <w:rFonts w:ascii="標楷體" w:eastAsia="標楷體" w:hAnsi="標楷體"/>
          <w:b/>
          <w:szCs w:val="22"/>
        </w:rPr>
        <w:t>若謂以眼</w:t>
      </w:r>
      <w:r w:rsidRPr="00212D57">
        <w:rPr>
          <w:rFonts w:ascii="新細明體" w:hAnsi="新細明體" w:cs="新細明體"/>
          <w:szCs w:val="22"/>
          <w:vertAlign w:val="superscript"/>
        </w:rPr>
        <w:t>※</w:t>
      </w:r>
      <w:r w:rsidRPr="00F9256B">
        <w:rPr>
          <w:rFonts w:ascii="標楷體" w:eastAsia="標楷體" w:hAnsi="標楷體"/>
          <w:b/>
          <w:szCs w:val="22"/>
          <w:highlight w:val="yellow"/>
        </w:rPr>
        <w:t>見而</w:t>
      </w:r>
      <w:r w:rsidRPr="00212D57">
        <w:rPr>
          <w:rFonts w:ascii="標楷體" w:eastAsia="標楷體" w:hAnsi="標楷體"/>
          <w:b/>
          <w:szCs w:val="22"/>
        </w:rPr>
        <w:t>有生滅者，則為是癡妄，而見有生滅。</w:t>
      </w:r>
    </w:p>
    <w:p w:rsidR="00157EF6" w:rsidRPr="00212D57" w:rsidRDefault="00157EF6" w:rsidP="00B5316E">
      <w:pPr>
        <w:pStyle w:val="a5"/>
        <w:ind w:leftChars="335" w:left="804"/>
        <w:jc w:val="both"/>
        <w:rPr>
          <w:rFonts w:ascii="標楷體" w:eastAsia="SimSun" w:hAnsi="標楷體"/>
          <w:szCs w:val="22"/>
        </w:rPr>
      </w:pPr>
      <w:r w:rsidRPr="00212D57">
        <w:rPr>
          <w:rFonts w:ascii="標楷體" w:eastAsia="標楷體" w:hAnsi="標楷體"/>
          <w:szCs w:val="22"/>
        </w:rPr>
        <w:t>若謂</w:t>
      </w:r>
      <w:r w:rsidR="00F9256B">
        <w:rPr>
          <w:rFonts w:ascii="標楷體" w:eastAsia="標楷體" w:hAnsi="標楷體" w:hint="eastAsia"/>
          <w:bCs/>
          <w:color w:val="FF0000"/>
          <w:kern w:val="0"/>
          <w:highlight w:val="yellow"/>
        </w:rPr>
        <w:t>「</w:t>
      </w:r>
      <w:r w:rsidRPr="00212D57">
        <w:rPr>
          <w:rFonts w:ascii="標楷體" w:eastAsia="標楷體" w:hAnsi="標楷體"/>
          <w:szCs w:val="22"/>
        </w:rPr>
        <w:t>以眼見有生滅</w:t>
      </w:r>
      <w:r w:rsidR="00F9256B">
        <w:rPr>
          <w:rFonts w:ascii="標楷體" w:eastAsia="標楷體" w:hAnsi="標楷體" w:hint="eastAsia"/>
          <w:bCs/>
          <w:color w:val="FF0000"/>
          <w:kern w:val="0"/>
          <w:highlight w:val="yellow"/>
        </w:rPr>
        <w:t>」</w:t>
      </w:r>
      <w:r w:rsidRPr="00212D57">
        <w:rPr>
          <w:rFonts w:ascii="標楷體" w:eastAsia="標楷體" w:hAnsi="標楷體"/>
          <w:szCs w:val="22"/>
        </w:rPr>
        <w:t>者，云何以言說破</w:t>
      </w:r>
      <w:r w:rsidRPr="00212D57">
        <w:rPr>
          <w:rFonts w:ascii="標楷體" w:eastAsia="標楷體" w:hAnsi="標楷體" w:hint="eastAsia"/>
          <w:szCs w:val="22"/>
        </w:rPr>
        <w:t>？</w:t>
      </w:r>
      <w:r w:rsidRPr="00212D57">
        <w:rPr>
          <w:rFonts w:ascii="標楷體" w:eastAsia="標楷體" w:hAnsi="標楷體"/>
          <w:szCs w:val="22"/>
        </w:rPr>
        <w:t>是事不然</w:t>
      </w:r>
      <w:r w:rsidR="00F9256B">
        <w:rPr>
          <w:rFonts w:ascii="標楷體" w:eastAsia="標楷體" w:hAnsi="標楷體" w:hint="eastAsia"/>
          <w:color w:val="FF0000"/>
          <w:kern w:val="0"/>
          <w:highlight w:val="yellow"/>
        </w:rPr>
        <w:t>！</w:t>
      </w:r>
      <w:r w:rsidRPr="00212D57">
        <w:rPr>
          <w:rFonts w:ascii="標楷體" w:eastAsia="標楷體" w:hAnsi="標楷體"/>
          <w:szCs w:val="22"/>
        </w:rPr>
        <w:t>何以故？</w:t>
      </w:r>
      <w:r w:rsidR="00F9256B">
        <w:rPr>
          <w:rFonts w:ascii="標楷體" w:eastAsia="標楷體" w:hAnsi="標楷體" w:hint="eastAsia"/>
          <w:bCs/>
          <w:color w:val="FF0000"/>
          <w:kern w:val="0"/>
          <w:highlight w:val="yellow"/>
        </w:rPr>
        <w:t>「</w:t>
      </w:r>
      <w:r w:rsidRPr="00212D57">
        <w:rPr>
          <w:rFonts w:ascii="標楷體" w:eastAsia="標楷體" w:hAnsi="標楷體"/>
          <w:szCs w:val="22"/>
        </w:rPr>
        <w:t>眼見生滅</w:t>
      </w:r>
      <w:r w:rsidR="00F9256B">
        <w:rPr>
          <w:rFonts w:ascii="標楷體" w:eastAsia="標楷體" w:hAnsi="標楷體" w:hint="eastAsia"/>
          <w:bCs/>
          <w:color w:val="FF0000"/>
          <w:kern w:val="0"/>
          <w:highlight w:val="yellow"/>
        </w:rPr>
        <w:t>」</w:t>
      </w:r>
      <w:r w:rsidRPr="00212D57">
        <w:rPr>
          <w:rFonts w:ascii="標楷體" w:eastAsia="標楷體" w:hAnsi="標楷體"/>
          <w:szCs w:val="22"/>
        </w:rPr>
        <w:t>者，則是愚癡顛倒故見</w:t>
      </w:r>
      <w:r w:rsidR="00F9256B">
        <w:rPr>
          <w:rFonts w:ascii="標楷體" w:eastAsia="標楷體" w:hAnsi="標楷體" w:hint="eastAsia"/>
          <w:color w:val="FF0000"/>
          <w:kern w:val="0"/>
          <w:highlight w:val="yellow"/>
        </w:rPr>
        <w:t>。</w:t>
      </w:r>
      <w:r w:rsidRPr="00212D57">
        <w:rPr>
          <w:rFonts w:ascii="標楷體" w:eastAsia="標楷體" w:hAnsi="標楷體"/>
          <w:szCs w:val="22"/>
        </w:rPr>
        <w:t>諸法性空</w:t>
      </w:r>
      <w:r w:rsidR="00F9256B">
        <w:rPr>
          <w:rFonts w:ascii="標楷體" w:eastAsia="標楷體" w:hAnsi="標楷體" w:hint="eastAsia"/>
          <w:color w:val="FF0000"/>
          <w:spacing w:val="-4"/>
          <w:kern w:val="0"/>
          <w:highlight w:val="yellow"/>
        </w:rPr>
        <w:t>、</w:t>
      </w:r>
      <w:r w:rsidRPr="00212D57">
        <w:rPr>
          <w:rFonts w:ascii="標楷體" w:eastAsia="標楷體" w:hAnsi="標楷體"/>
          <w:szCs w:val="22"/>
        </w:rPr>
        <w:t>無決定</w:t>
      </w:r>
      <w:r w:rsidR="00F9256B">
        <w:rPr>
          <w:rFonts w:ascii="標楷體" w:eastAsia="標楷體" w:hAnsi="標楷體" w:hint="eastAsia"/>
          <w:color w:val="FF0000"/>
          <w:spacing w:val="-4"/>
          <w:kern w:val="0"/>
          <w:highlight w:val="yellow"/>
        </w:rPr>
        <w:t>、</w:t>
      </w:r>
      <w:r w:rsidRPr="00212D57">
        <w:rPr>
          <w:rFonts w:ascii="標楷體" w:eastAsia="標楷體" w:hAnsi="標楷體"/>
          <w:szCs w:val="22"/>
        </w:rPr>
        <w:t>如幻如夢</w:t>
      </w:r>
      <w:r w:rsidR="00F9256B">
        <w:rPr>
          <w:rFonts w:ascii="標楷體" w:eastAsia="標楷體" w:hAnsi="標楷體" w:hint="eastAsia"/>
          <w:color w:val="FF0000"/>
          <w:kern w:val="0"/>
          <w:highlight w:val="yellow"/>
        </w:rPr>
        <w:t>，</w:t>
      </w:r>
      <w:r w:rsidRPr="00212D57">
        <w:rPr>
          <w:rFonts w:ascii="標楷體" w:eastAsia="標楷體" w:hAnsi="標楷體"/>
          <w:szCs w:val="22"/>
        </w:rPr>
        <w:t>但凡夫先世顛倒因緣得此眼</w:t>
      </w:r>
      <w:r w:rsidRPr="00212D57">
        <w:rPr>
          <w:rFonts w:ascii="標楷體" w:eastAsia="標楷體" w:hAnsi="標楷體" w:hint="eastAsia"/>
          <w:szCs w:val="22"/>
        </w:rPr>
        <w:t>，</w:t>
      </w:r>
      <w:r w:rsidRPr="00212D57">
        <w:rPr>
          <w:rFonts w:ascii="標楷體" w:eastAsia="標楷體" w:hAnsi="標楷體"/>
          <w:szCs w:val="22"/>
        </w:rPr>
        <w:t>今世憶想分別因緣</w:t>
      </w:r>
      <w:r w:rsidR="00F9256B">
        <w:rPr>
          <w:rFonts w:ascii="標楷體" w:eastAsia="標楷體" w:hAnsi="標楷體" w:hint="eastAsia"/>
          <w:color w:val="FF0000"/>
          <w:kern w:val="0"/>
          <w:highlight w:val="yellow"/>
        </w:rPr>
        <w:t>，</w:t>
      </w:r>
      <w:r w:rsidRPr="00212D57">
        <w:rPr>
          <w:rFonts w:ascii="標楷體" w:eastAsia="標楷體" w:hAnsi="標楷體"/>
          <w:szCs w:val="22"/>
        </w:rPr>
        <w:t>故言</w:t>
      </w:r>
      <w:r w:rsidR="00F9256B">
        <w:rPr>
          <w:rFonts w:ascii="標楷體" w:eastAsia="標楷體" w:hAnsi="標楷體" w:hint="eastAsia"/>
          <w:bCs/>
          <w:color w:val="FF0000"/>
          <w:kern w:val="0"/>
          <w:highlight w:val="yellow"/>
        </w:rPr>
        <w:t>「</w:t>
      </w:r>
      <w:r w:rsidRPr="00212D57">
        <w:rPr>
          <w:rFonts w:ascii="標楷體" w:eastAsia="標楷體" w:hAnsi="標楷體"/>
          <w:szCs w:val="22"/>
        </w:rPr>
        <w:t>眼見生滅</w:t>
      </w:r>
      <w:r w:rsidR="00F9256B">
        <w:rPr>
          <w:rFonts w:ascii="標楷體" w:eastAsia="標楷體" w:hAnsi="標楷體" w:hint="eastAsia"/>
          <w:bCs/>
          <w:color w:val="FF0000"/>
          <w:kern w:val="0"/>
          <w:highlight w:val="yellow"/>
        </w:rPr>
        <w:t>」</w:t>
      </w:r>
      <w:r w:rsidRPr="00212D57">
        <w:rPr>
          <w:rFonts w:ascii="標楷體" w:eastAsia="標楷體" w:hAnsi="標楷體"/>
          <w:szCs w:val="22"/>
        </w:rPr>
        <w:t>。第一義中實無生滅。</w:t>
      </w:r>
    </w:p>
    <w:p w:rsidR="00157EF6" w:rsidRPr="00212D57" w:rsidRDefault="00157EF6" w:rsidP="00B5316E">
      <w:pPr>
        <w:pStyle w:val="a5"/>
        <w:ind w:leftChars="335" w:left="804"/>
        <w:jc w:val="both"/>
        <w:rPr>
          <w:rFonts w:ascii="標楷體" w:eastAsia="SimSun" w:hAnsi="標楷體"/>
          <w:b/>
          <w:szCs w:val="22"/>
        </w:rPr>
      </w:pPr>
      <w:r w:rsidRPr="00212D57">
        <w:rPr>
          <w:rFonts w:ascii="新細明體" w:hAnsi="新細明體" w:hint="eastAsia"/>
          <w:szCs w:val="22"/>
        </w:rPr>
        <w:t>※</w:t>
      </w:r>
      <w:r w:rsidRPr="00212D57">
        <w:rPr>
          <w:rFonts w:hint="eastAsia"/>
          <w:szCs w:val="22"/>
        </w:rPr>
        <w:t>眼＝現【宋】【元】【明】</w:t>
      </w:r>
      <w:r w:rsidRPr="00212D57">
        <w:rPr>
          <w:rFonts w:ascii="標楷體" w:eastAsia="標楷體" w:hAnsi="標楷體"/>
          <w:szCs w:val="22"/>
        </w:rPr>
        <w:t>。</w:t>
      </w:r>
      <w:r w:rsidRPr="00212D57">
        <w:rPr>
          <w:rFonts w:hint="eastAsia"/>
          <w:szCs w:val="22"/>
        </w:rPr>
        <w:t>（大正</w:t>
      </w:r>
      <w:r w:rsidRPr="00761EF3">
        <w:rPr>
          <w:rFonts w:hint="eastAsia"/>
          <w:szCs w:val="22"/>
        </w:rPr>
        <w:t>30</w:t>
      </w:r>
      <w:r w:rsidRPr="00212D57">
        <w:rPr>
          <w:rFonts w:hint="eastAsia"/>
          <w:szCs w:val="22"/>
        </w:rPr>
        <w:t>，</w:t>
      </w:r>
      <w:r w:rsidRPr="00761EF3">
        <w:rPr>
          <w:rFonts w:eastAsia="SimSun" w:hint="eastAsia"/>
          <w:szCs w:val="22"/>
        </w:rPr>
        <w:t>28</w:t>
      </w:r>
      <w:r w:rsidRPr="00761EF3">
        <w:rPr>
          <w:rFonts w:hint="eastAsia"/>
          <w:szCs w:val="22"/>
        </w:rPr>
        <w:t>d</w:t>
      </w:r>
      <w:r w:rsidRPr="00212D57">
        <w:rPr>
          <w:rFonts w:hint="eastAsia"/>
          <w:szCs w:val="22"/>
        </w:rPr>
        <w:t>，</w:t>
      </w:r>
      <w:r w:rsidRPr="00761EF3">
        <w:rPr>
          <w:rFonts w:hint="eastAsia"/>
          <w:szCs w:val="22"/>
        </w:rPr>
        <w:t>n</w:t>
      </w:r>
      <w:r w:rsidRPr="00212D57">
        <w:rPr>
          <w:rFonts w:hint="eastAsia"/>
          <w:szCs w:val="22"/>
        </w:rPr>
        <w:t>.</w:t>
      </w:r>
      <w:r w:rsidRPr="00761EF3">
        <w:rPr>
          <w:rFonts w:eastAsia="SimSun" w:hint="eastAsia"/>
          <w:szCs w:val="22"/>
        </w:rPr>
        <w:t>8</w:t>
      </w:r>
      <w:r w:rsidRPr="00212D57">
        <w:rPr>
          <w:rFonts w:hint="eastAsia"/>
          <w:szCs w:val="22"/>
        </w:rPr>
        <w:t>）</w:t>
      </w:r>
    </w:p>
    <w:p w:rsidR="00157EF6" w:rsidRPr="00212D57" w:rsidRDefault="00157EF6" w:rsidP="00B5316E">
      <w:pPr>
        <w:pStyle w:val="a5"/>
        <w:ind w:leftChars="105" w:left="791" w:hangingChars="245" w:hanging="539"/>
        <w:jc w:val="both"/>
        <w:rPr>
          <w:szCs w:val="22"/>
        </w:rPr>
      </w:pPr>
      <w:r w:rsidRPr="00212D57">
        <w:rPr>
          <w:rFonts w:ascii="新細明體" w:hAnsi="新細明體" w:hint="eastAsia"/>
          <w:szCs w:val="22"/>
        </w:rPr>
        <w:t>（</w:t>
      </w:r>
      <w:r w:rsidRPr="00761EF3">
        <w:rPr>
          <w:szCs w:val="22"/>
        </w:rPr>
        <w:t>2</w:t>
      </w:r>
      <w:r w:rsidRPr="00212D57">
        <w:rPr>
          <w:rFonts w:ascii="新細明體" w:hAnsi="新細明體" w:hint="eastAsia"/>
          <w:szCs w:val="22"/>
        </w:rPr>
        <w:t>）</w:t>
      </w:r>
      <w:r w:rsidR="009160B5">
        <w:rPr>
          <w:rFonts w:ascii="新細明體" w:hAnsi="新細明體" w:hint="eastAsia"/>
          <w:szCs w:val="22"/>
        </w:rPr>
        <w:t>參見：印</w:t>
      </w:r>
      <w:r w:rsidRPr="00212D57">
        <w:rPr>
          <w:rFonts w:ascii="新細明體" w:hAnsi="新細明體" w:hint="eastAsia"/>
          <w:szCs w:val="22"/>
        </w:rPr>
        <w:t>順法師，《</w:t>
      </w:r>
      <w:r w:rsidRPr="00212D57">
        <w:rPr>
          <w:rFonts w:hint="eastAsia"/>
          <w:szCs w:val="22"/>
        </w:rPr>
        <w:t>中觀論頌講記</w:t>
      </w:r>
      <w:r w:rsidRPr="00212D57">
        <w:rPr>
          <w:szCs w:val="22"/>
        </w:rPr>
        <w:t>》，</w:t>
      </w:r>
      <w:r w:rsidRPr="00761EF3">
        <w:rPr>
          <w:szCs w:val="22"/>
        </w:rPr>
        <w:t>p</w:t>
      </w:r>
      <w:r w:rsidRPr="00212D57">
        <w:rPr>
          <w:szCs w:val="22"/>
        </w:rPr>
        <w:t>.</w:t>
      </w:r>
      <w:r w:rsidRPr="00761EF3">
        <w:rPr>
          <w:rFonts w:hint="eastAsia"/>
          <w:szCs w:val="22"/>
        </w:rPr>
        <w:t>380</w:t>
      </w:r>
      <w:r w:rsidRPr="00212D57">
        <w:rPr>
          <w:rFonts w:hint="eastAsia"/>
          <w:szCs w:val="22"/>
        </w:rPr>
        <w:t>：</w:t>
      </w:r>
    </w:p>
    <w:p w:rsidR="00157EF6" w:rsidRPr="00212D57" w:rsidRDefault="00157EF6" w:rsidP="009F76A4">
      <w:pPr>
        <w:pStyle w:val="a5"/>
        <w:ind w:leftChars="335" w:left="804"/>
        <w:rPr>
          <w:rFonts w:ascii="標楷體" w:eastAsia="標楷體" w:hAnsi="標楷體"/>
          <w:szCs w:val="22"/>
        </w:rPr>
      </w:pPr>
      <w:r w:rsidRPr="00212D57">
        <w:rPr>
          <w:rFonts w:ascii="標楷體" w:eastAsia="標楷體" w:hAnsi="標楷體" w:hint="eastAsia"/>
          <w:szCs w:val="22"/>
        </w:rPr>
        <w:t>我們「現見」的諸法「有生滅」，這不是諸法有這自性的生滅，只是我們無始來錯亂顛倒，招感現見諸法的感覺機構（根身），再加以能知的「癡妄」心；依此根身、妄識，才「見」到諸法的「有生」有「滅」，以為所認識的事事物物，確是像自己所見的實生實滅。不知癡妄心所現見的生滅，是經不起理智抉擇分別的。一切理智觀察，妄見的生滅立即不可得，唯是不生不滅的空寂。</w:t>
      </w:r>
    </w:p>
  </w:footnote>
  <w:footnote w:id="484">
    <w:p w:rsidR="00157EF6" w:rsidRPr="00212D57" w:rsidRDefault="00157EF6" w:rsidP="00B5316E">
      <w:pPr>
        <w:pStyle w:val="a5"/>
        <w:ind w:left="792" w:hangingChars="360" w:hanging="792"/>
        <w:jc w:val="both"/>
        <w:rPr>
          <w:rFonts w:eastAsia="SimSun"/>
          <w:szCs w:val="22"/>
        </w:rPr>
      </w:pPr>
      <w:r w:rsidRPr="00212D57">
        <w:rPr>
          <w:rStyle w:val="a6"/>
          <w:szCs w:val="22"/>
        </w:rPr>
        <w:footnoteRef/>
      </w:r>
      <w:r w:rsidRPr="00212D57">
        <w:rPr>
          <w:rFonts w:ascii="新細明體" w:hAnsi="新細明體" w:hint="eastAsia"/>
          <w:szCs w:val="22"/>
        </w:rPr>
        <w:t xml:space="preserve"> （</w:t>
      </w:r>
      <w:r w:rsidRPr="00761EF3">
        <w:rPr>
          <w:szCs w:val="22"/>
        </w:rPr>
        <w:t>1</w:t>
      </w:r>
      <w:r w:rsidRPr="00212D57">
        <w:rPr>
          <w:rFonts w:ascii="新細明體" w:hAnsi="新細明體" w:hint="eastAsia"/>
          <w:szCs w:val="22"/>
        </w:rPr>
        <w:t>）</w:t>
      </w:r>
      <w:r w:rsidRPr="00212D57">
        <w:rPr>
          <w:szCs w:val="22"/>
        </w:rPr>
        <w:t>《中論》卷</w:t>
      </w:r>
      <w:r w:rsidRPr="00761EF3">
        <w:rPr>
          <w:szCs w:val="22"/>
        </w:rPr>
        <w:t>3</w:t>
      </w:r>
      <w:r w:rsidRPr="00212D57">
        <w:rPr>
          <w:szCs w:val="22"/>
        </w:rPr>
        <w:t>〈</w:t>
      </w:r>
      <w:r w:rsidRPr="00761EF3">
        <w:rPr>
          <w:rFonts w:hint="eastAsia"/>
          <w:szCs w:val="22"/>
        </w:rPr>
        <w:t>17</w:t>
      </w:r>
      <w:r w:rsidRPr="00212D57">
        <w:rPr>
          <w:szCs w:val="22"/>
        </w:rPr>
        <w:t xml:space="preserve"> </w:t>
      </w:r>
      <w:r w:rsidRPr="00212D57">
        <w:rPr>
          <w:szCs w:val="22"/>
        </w:rPr>
        <w:t>觀業品〉（大正</w:t>
      </w:r>
      <w:r w:rsidRPr="00761EF3">
        <w:rPr>
          <w:szCs w:val="22"/>
        </w:rPr>
        <w:t>30</w:t>
      </w:r>
      <w:r w:rsidRPr="00212D57">
        <w:rPr>
          <w:szCs w:val="22"/>
        </w:rPr>
        <w:t>，</w:t>
      </w:r>
      <w:r w:rsidRPr="00761EF3">
        <w:rPr>
          <w:szCs w:val="22"/>
        </w:rPr>
        <w:t>22c29</w:t>
      </w:r>
      <w:r w:rsidRPr="00212D57">
        <w:rPr>
          <w:szCs w:val="22"/>
        </w:rPr>
        <w:t>-</w:t>
      </w:r>
      <w:r w:rsidRPr="00761EF3">
        <w:rPr>
          <w:szCs w:val="22"/>
        </w:rPr>
        <w:t>23a1</w:t>
      </w:r>
      <w:r w:rsidRPr="00212D57">
        <w:rPr>
          <w:szCs w:val="22"/>
        </w:rPr>
        <w:t>）</w:t>
      </w:r>
      <w:r w:rsidRPr="00212D57">
        <w:rPr>
          <w:rFonts w:hint="eastAsia"/>
          <w:szCs w:val="22"/>
        </w:rPr>
        <w:t>。</w:t>
      </w:r>
    </w:p>
    <w:p w:rsidR="00157EF6" w:rsidRPr="00212D57" w:rsidRDefault="00157EF6" w:rsidP="00B5316E">
      <w:pPr>
        <w:pStyle w:val="a5"/>
        <w:ind w:leftChars="105" w:left="791" w:hangingChars="245" w:hanging="539"/>
        <w:jc w:val="both"/>
        <w:rPr>
          <w:szCs w:val="22"/>
        </w:rPr>
      </w:pPr>
      <w:r w:rsidRPr="00212D57">
        <w:rPr>
          <w:rFonts w:ascii="新細明體" w:hAnsi="新細明體" w:hint="eastAsia"/>
          <w:szCs w:val="22"/>
        </w:rPr>
        <w:t>（</w:t>
      </w:r>
      <w:r w:rsidRPr="00761EF3">
        <w:rPr>
          <w:szCs w:val="22"/>
        </w:rPr>
        <w:t>2</w:t>
      </w:r>
      <w:r w:rsidRPr="00212D57">
        <w:rPr>
          <w:rFonts w:ascii="新細明體" w:hAnsi="新細明體" w:hint="eastAsia"/>
          <w:szCs w:val="22"/>
        </w:rPr>
        <w:t>）</w:t>
      </w:r>
      <w:r w:rsidR="009160B5">
        <w:rPr>
          <w:rStyle w:val="byline"/>
          <w:rFonts w:hint="eastAsia"/>
          <w:color w:val="auto"/>
          <w:sz w:val="22"/>
          <w:szCs w:val="22"/>
        </w:rPr>
        <w:t>參見：印</w:t>
      </w:r>
      <w:r w:rsidRPr="00212D57">
        <w:rPr>
          <w:rFonts w:ascii="新細明體" w:hAnsi="新細明體" w:hint="eastAsia"/>
          <w:szCs w:val="22"/>
        </w:rPr>
        <w:t>順法師，《</w:t>
      </w:r>
      <w:r w:rsidRPr="00212D57">
        <w:rPr>
          <w:rFonts w:hint="eastAsia"/>
          <w:szCs w:val="22"/>
        </w:rPr>
        <w:t>中觀論頌講記</w:t>
      </w:r>
      <w:r w:rsidRPr="00212D57">
        <w:rPr>
          <w:szCs w:val="22"/>
        </w:rPr>
        <w:t>》，</w:t>
      </w:r>
      <w:r w:rsidRPr="00761EF3">
        <w:rPr>
          <w:szCs w:val="22"/>
        </w:rPr>
        <w:t>pp</w:t>
      </w:r>
      <w:r w:rsidRPr="00212D57">
        <w:rPr>
          <w:szCs w:val="22"/>
        </w:rPr>
        <w:t>.</w:t>
      </w:r>
      <w:r w:rsidRPr="00761EF3">
        <w:rPr>
          <w:rFonts w:hint="eastAsia"/>
          <w:szCs w:val="22"/>
        </w:rPr>
        <w:t>297</w:t>
      </w:r>
      <w:r w:rsidRPr="00212D57">
        <w:rPr>
          <w:szCs w:val="22"/>
        </w:rPr>
        <w:t>-</w:t>
      </w:r>
      <w:r w:rsidRPr="00761EF3">
        <w:rPr>
          <w:rFonts w:hint="eastAsia"/>
          <w:szCs w:val="22"/>
        </w:rPr>
        <w:t>298</w:t>
      </w:r>
      <w:r w:rsidRPr="00212D57">
        <w:rPr>
          <w:rFonts w:hint="eastAsia"/>
          <w:szCs w:val="22"/>
        </w:rPr>
        <w:t>：</w:t>
      </w:r>
    </w:p>
    <w:p w:rsidR="00157EF6" w:rsidRPr="00212D57" w:rsidRDefault="00157EF6" w:rsidP="00B5316E">
      <w:pPr>
        <w:pStyle w:val="a5"/>
        <w:ind w:leftChars="335" w:left="804"/>
        <w:jc w:val="both"/>
        <w:rPr>
          <w:rFonts w:ascii="標楷體" w:eastAsia="標楷體" w:hAnsi="標楷體"/>
          <w:szCs w:val="22"/>
        </w:rPr>
      </w:pPr>
      <w:r w:rsidRPr="00212D57">
        <w:rPr>
          <w:rFonts w:ascii="標楷體" w:eastAsia="標楷體" w:hAnsi="標楷體" w:hint="eastAsia"/>
          <w:szCs w:val="22"/>
        </w:rPr>
        <w:t>這是從否定自性而顯示緣起的業相。行業不失，確是釋尊所說的。他一方面是剎那滅的，一方面又是能感果不失的。……依性空正義說，業是緣起幻化的，因緣和合時，似有業的現象生起，但究其實，是沒有實在自性的。既不從何處來，也不從無中生起一實在性。</w:t>
      </w:r>
      <w:r w:rsidRPr="00212D57">
        <w:rPr>
          <w:rFonts w:ascii="標楷體" w:eastAsia="標楷體" w:hAnsi="標楷體" w:hint="eastAsia"/>
          <w:b/>
          <w:szCs w:val="22"/>
        </w:rPr>
        <w:t>一切「諸業本」就「不生」，不生非沒有緣生，是說「無」有他的決「定」的自「性」，沒有自性生。</w:t>
      </w:r>
      <w:r w:rsidRPr="00212D57">
        <w:rPr>
          <w:rFonts w:ascii="標楷體" w:eastAsia="標楷體" w:hAnsi="標楷體" w:hint="eastAsia"/>
          <w:szCs w:val="22"/>
        </w:rPr>
        <w:t>一切「諸業」也本來「不滅」，不滅即不失。他所以不滅，是因為本來「不生」。我們所見到的業相生滅，這是因果現象的起滅，不是有一實在性的業在起滅；沒有實在的業性生滅，唯是如幻如化的業相，依因緣的和合離散而幻起幻滅。如幻生滅，不可以追求他的自性，他不是實有的常在，是因緣關係的幻在，幻用是不無的。此如幻的業用，在沒有感果之前不失；感果以後，如幻的業用滅，而不可說某一實在法消滅，所以說</w:t>
      </w:r>
      <w:r w:rsidR="00F140C4">
        <w:rPr>
          <w:rFonts w:ascii="標楷體" w:eastAsia="標楷體" w:hAnsi="標楷體" w:hint="eastAsia"/>
          <w:szCs w:val="22"/>
        </w:rPr>
        <w:t>「</w:t>
      </w:r>
      <w:r w:rsidRPr="00212D57">
        <w:rPr>
          <w:rFonts w:ascii="標楷體" w:eastAsia="標楷體" w:hAnsi="標楷體" w:hint="eastAsia"/>
          <w:szCs w:val="22"/>
        </w:rPr>
        <w:t>滅無所至</w:t>
      </w:r>
      <w:r w:rsidR="00F140C4">
        <w:rPr>
          <w:rFonts w:ascii="標楷體" w:eastAsia="標楷體" w:hAnsi="標楷體" w:hint="eastAsia"/>
          <w:szCs w:val="22"/>
        </w:rPr>
        <w:t>」</w:t>
      </w:r>
      <w:r w:rsidRPr="00212D57">
        <w:rPr>
          <w:rFonts w:ascii="標楷體" w:eastAsia="標楷體" w:hAnsi="標楷體" w:hint="eastAsia"/>
          <w:szCs w:val="22"/>
        </w:rPr>
        <w:t>。諸業不生，無定性空，雖空無自性，但緣起的業力，於百千劫不亡，所以又不斷。不是實有常住故不斷，是無性從緣故不斷。行業不失滅，可以建立如幻緣起的業果聯繫。</w:t>
      </w:r>
    </w:p>
  </w:footnote>
  <w:footnote w:id="485">
    <w:p w:rsidR="000E59D5" w:rsidRPr="00212D57" w:rsidRDefault="000E59D5" w:rsidP="000E59D5">
      <w:pPr>
        <w:pStyle w:val="a5"/>
        <w:ind w:left="253" w:hangingChars="115" w:hanging="253"/>
        <w:jc w:val="both"/>
        <w:rPr>
          <w:szCs w:val="22"/>
        </w:rPr>
      </w:pPr>
      <w:r w:rsidRPr="00212D57">
        <w:rPr>
          <w:rStyle w:val="a6"/>
          <w:szCs w:val="22"/>
        </w:rPr>
        <w:footnoteRef/>
      </w:r>
      <w:r w:rsidRPr="00212D57">
        <w:rPr>
          <w:rFonts w:eastAsia="SimSun" w:hint="eastAsia"/>
          <w:szCs w:val="22"/>
        </w:rPr>
        <w:t xml:space="preserve"> </w:t>
      </w:r>
      <w:r w:rsidRPr="00212D57">
        <w:rPr>
          <w:rFonts w:hint="eastAsia"/>
          <w:szCs w:val="22"/>
        </w:rPr>
        <w:t>參見</w:t>
      </w:r>
      <w:r w:rsidRPr="00212D57">
        <w:rPr>
          <w:szCs w:val="22"/>
        </w:rPr>
        <w:t>《中論》卷</w:t>
      </w:r>
      <w:r w:rsidRPr="00761EF3">
        <w:rPr>
          <w:rFonts w:hint="eastAsia"/>
          <w:szCs w:val="22"/>
        </w:rPr>
        <w:t>2</w:t>
      </w:r>
      <w:r w:rsidRPr="00212D57">
        <w:rPr>
          <w:szCs w:val="22"/>
        </w:rPr>
        <w:t>〈</w:t>
      </w:r>
      <w:r w:rsidRPr="00761EF3">
        <w:rPr>
          <w:rFonts w:hint="eastAsia"/>
          <w:szCs w:val="22"/>
        </w:rPr>
        <w:t>7</w:t>
      </w:r>
      <w:r w:rsidRPr="00212D57">
        <w:rPr>
          <w:szCs w:val="22"/>
        </w:rPr>
        <w:t xml:space="preserve"> </w:t>
      </w:r>
      <w:r w:rsidRPr="00212D57">
        <w:rPr>
          <w:rFonts w:hint="eastAsia"/>
          <w:szCs w:val="22"/>
        </w:rPr>
        <w:t>觀三相品</w:t>
      </w:r>
      <w:r w:rsidRPr="00212D57">
        <w:rPr>
          <w:szCs w:val="22"/>
        </w:rPr>
        <w:t>〉</w:t>
      </w:r>
      <w:r w:rsidRPr="00212D57">
        <w:rPr>
          <w:rFonts w:hint="eastAsia"/>
          <w:szCs w:val="22"/>
        </w:rPr>
        <w:t>（大正</w:t>
      </w:r>
      <w:r w:rsidRPr="00761EF3">
        <w:rPr>
          <w:rFonts w:hint="eastAsia"/>
          <w:szCs w:val="22"/>
        </w:rPr>
        <w:t>30</w:t>
      </w:r>
      <w:r w:rsidRPr="00212D57">
        <w:rPr>
          <w:rFonts w:hint="eastAsia"/>
          <w:szCs w:val="22"/>
        </w:rPr>
        <w:t>，</w:t>
      </w:r>
      <w:r w:rsidRPr="00761EF3">
        <w:rPr>
          <w:szCs w:val="22"/>
        </w:rPr>
        <w:t>9a6</w:t>
      </w:r>
      <w:r w:rsidRPr="00212D57">
        <w:rPr>
          <w:szCs w:val="22"/>
        </w:rPr>
        <w:t>-</w:t>
      </w:r>
      <w:r w:rsidRPr="00761EF3">
        <w:rPr>
          <w:szCs w:val="22"/>
        </w:rPr>
        <w:t>12b4</w:t>
      </w:r>
      <w:r w:rsidRPr="00212D57">
        <w:rPr>
          <w:rFonts w:hint="eastAsia"/>
          <w:szCs w:val="22"/>
        </w:rPr>
        <w:t>）。</w:t>
      </w:r>
    </w:p>
  </w:footnote>
  <w:footnote w:id="486">
    <w:p w:rsidR="00157EF6" w:rsidRPr="00212D57" w:rsidRDefault="00157EF6" w:rsidP="00B5316E">
      <w:pPr>
        <w:pStyle w:val="a5"/>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212D57">
        <w:rPr>
          <w:szCs w:val="22"/>
        </w:rPr>
        <w:t>《中論》卷</w:t>
      </w:r>
      <w:r w:rsidRPr="00761EF3">
        <w:rPr>
          <w:szCs w:val="22"/>
        </w:rPr>
        <w:t>1</w:t>
      </w:r>
      <w:r w:rsidRPr="00212D57">
        <w:rPr>
          <w:szCs w:val="22"/>
        </w:rPr>
        <w:t>〈</w:t>
      </w:r>
      <w:r w:rsidRPr="00761EF3">
        <w:rPr>
          <w:rFonts w:hint="eastAsia"/>
          <w:szCs w:val="22"/>
        </w:rPr>
        <w:t>1</w:t>
      </w:r>
      <w:r w:rsidRPr="00212D57">
        <w:rPr>
          <w:szCs w:val="22"/>
        </w:rPr>
        <w:t xml:space="preserve"> </w:t>
      </w:r>
      <w:r w:rsidRPr="00212D57">
        <w:rPr>
          <w:szCs w:val="22"/>
        </w:rPr>
        <w:t>觀因緣品〉（青目釋）（大正</w:t>
      </w:r>
      <w:r w:rsidRPr="00761EF3">
        <w:rPr>
          <w:szCs w:val="22"/>
        </w:rPr>
        <w:t>30</w:t>
      </w:r>
      <w:r w:rsidRPr="00212D57">
        <w:rPr>
          <w:szCs w:val="22"/>
        </w:rPr>
        <w:t>，</w:t>
      </w:r>
      <w:r w:rsidRPr="00761EF3">
        <w:rPr>
          <w:szCs w:val="22"/>
        </w:rPr>
        <w:t>2b6</w:t>
      </w:r>
      <w:r w:rsidRPr="00212D57">
        <w:rPr>
          <w:szCs w:val="22"/>
        </w:rPr>
        <w:t>-</w:t>
      </w:r>
      <w:r w:rsidRPr="00761EF3">
        <w:rPr>
          <w:szCs w:val="22"/>
        </w:rPr>
        <w:t>16</w:t>
      </w:r>
      <w:r w:rsidRPr="00212D57">
        <w:rPr>
          <w:szCs w:val="22"/>
        </w:rPr>
        <w:t>）：</w:t>
      </w:r>
    </w:p>
    <w:p w:rsidR="00157EF6" w:rsidRPr="00212D57" w:rsidRDefault="00157EF6" w:rsidP="00B5316E">
      <w:pPr>
        <w:pStyle w:val="a5"/>
        <w:ind w:leftChars="335" w:left="7631" w:hanging="6827"/>
        <w:jc w:val="both"/>
        <w:rPr>
          <w:rFonts w:ascii="標楷體" w:eastAsia="SimSun" w:hAnsi="標楷體"/>
          <w:b/>
          <w:szCs w:val="22"/>
        </w:rPr>
      </w:pPr>
      <w:r w:rsidRPr="00212D57">
        <w:rPr>
          <w:rFonts w:ascii="標楷體" w:eastAsia="標楷體" w:hAnsi="標楷體"/>
          <w:b/>
          <w:szCs w:val="22"/>
        </w:rPr>
        <w:t>諸法不自生，亦不從他生，不共不無因，是故知無生。</w:t>
      </w:r>
    </w:p>
    <w:p w:rsidR="00157EF6" w:rsidRPr="00212D57" w:rsidRDefault="00157EF6" w:rsidP="00B5316E">
      <w:pPr>
        <w:pStyle w:val="a5"/>
        <w:ind w:leftChars="335" w:left="1112" w:hangingChars="140" w:hanging="308"/>
        <w:jc w:val="both"/>
        <w:rPr>
          <w:rFonts w:ascii="標楷體" w:eastAsia="SimSun" w:hAnsi="標楷體"/>
          <w:szCs w:val="22"/>
        </w:rPr>
      </w:pPr>
      <w:r w:rsidRPr="00F9256B">
        <w:rPr>
          <w:rFonts w:hint="eastAsia"/>
          <w:szCs w:val="22"/>
          <w:shd w:val="pct15" w:color="auto" w:fill="FFFFFF"/>
          <w:vertAlign w:val="superscript"/>
        </w:rPr>
        <w:t>（</w:t>
      </w:r>
      <w:r w:rsidRPr="00F9256B">
        <w:rPr>
          <w:szCs w:val="22"/>
          <w:shd w:val="pct15" w:color="auto" w:fill="FFFFFF"/>
          <w:vertAlign w:val="superscript"/>
        </w:rPr>
        <w:t>1</w:t>
      </w:r>
      <w:r w:rsidRPr="00F9256B">
        <w:rPr>
          <w:rFonts w:hint="eastAsia"/>
          <w:szCs w:val="22"/>
          <w:shd w:val="pct15" w:color="auto" w:fill="FFFFFF"/>
          <w:vertAlign w:val="superscript"/>
        </w:rPr>
        <w:t>）</w:t>
      </w:r>
      <w:r w:rsidR="00F9256B">
        <w:rPr>
          <w:rFonts w:ascii="標楷體" w:eastAsia="標楷體" w:hAnsi="標楷體" w:hint="eastAsia"/>
          <w:bCs/>
          <w:color w:val="FF0000"/>
          <w:kern w:val="0"/>
          <w:highlight w:val="yellow"/>
        </w:rPr>
        <w:t>「</w:t>
      </w:r>
      <w:r w:rsidRPr="00212D57">
        <w:rPr>
          <w:rFonts w:ascii="標楷體" w:eastAsia="標楷體" w:hAnsi="標楷體"/>
          <w:b/>
          <w:szCs w:val="22"/>
        </w:rPr>
        <w:t>不自生</w:t>
      </w:r>
      <w:r w:rsidR="00F9256B">
        <w:rPr>
          <w:rFonts w:ascii="標楷體" w:eastAsia="標楷體" w:hAnsi="標楷體" w:hint="eastAsia"/>
          <w:bCs/>
          <w:color w:val="FF0000"/>
          <w:kern w:val="0"/>
          <w:highlight w:val="yellow"/>
        </w:rPr>
        <w:t>」</w:t>
      </w:r>
      <w:r w:rsidRPr="00212D57">
        <w:rPr>
          <w:rFonts w:ascii="標楷體" w:eastAsia="標楷體" w:hAnsi="標楷體"/>
          <w:szCs w:val="22"/>
        </w:rPr>
        <w:t>者，萬物無有從自體生，必待眾因。復次</w:t>
      </w:r>
      <w:r w:rsidRPr="00212D57">
        <w:rPr>
          <w:rFonts w:ascii="標楷體" w:eastAsia="標楷體" w:hAnsi="標楷體" w:hint="eastAsia"/>
          <w:szCs w:val="22"/>
        </w:rPr>
        <w:t>，</w:t>
      </w:r>
    </w:p>
    <w:p w:rsidR="00157EF6" w:rsidRPr="00212D57" w:rsidRDefault="00157EF6" w:rsidP="00B5316E">
      <w:pPr>
        <w:pStyle w:val="a5"/>
        <w:ind w:leftChars="450" w:left="1080"/>
        <w:jc w:val="both"/>
        <w:rPr>
          <w:rFonts w:ascii="標楷體" w:eastAsia="SimSun" w:hAnsi="標楷體"/>
          <w:szCs w:val="22"/>
        </w:rPr>
      </w:pPr>
      <w:r w:rsidRPr="00F9256B">
        <w:rPr>
          <w:rFonts w:hint="eastAsia"/>
          <w:szCs w:val="22"/>
          <w:shd w:val="pct15" w:color="auto" w:fill="FFFFFF"/>
          <w:vertAlign w:val="superscript"/>
        </w:rPr>
        <w:t>（</w:t>
      </w:r>
      <w:r w:rsidRPr="00F9256B">
        <w:rPr>
          <w:szCs w:val="22"/>
          <w:shd w:val="pct15" w:color="auto" w:fill="FFFFFF"/>
          <w:vertAlign w:val="superscript"/>
        </w:rPr>
        <w:t>A</w:t>
      </w:r>
      <w:r w:rsidRPr="00F9256B">
        <w:rPr>
          <w:rFonts w:hint="eastAsia"/>
          <w:szCs w:val="22"/>
          <w:shd w:val="pct15" w:color="auto" w:fill="FFFFFF"/>
          <w:vertAlign w:val="superscript"/>
        </w:rPr>
        <w:t>）</w:t>
      </w:r>
      <w:r w:rsidRPr="00212D57">
        <w:rPr>
          <w:rFonts w:ascii="標楷體" w:eastAsia="標楷體" w:hAnsi="標楷體"/>
          <w:szCs w:val="22"/>
        </w:rPr>
        <w:t>若從自體生，則一法有二體</w:t>
      </w:r>
      <w:r w:rsidRPr="00212D57">
        <w:rPr>
          <w:rFonts w:ascii="標楷體" w:eastAsia="標楷體" w:hAnsi="標楷體" w:hint="eastAsia"/>
          <w:szCs w:val="22"/>
        </w:rPr>
        <w:t>：</w:t>
      </w:r>
      <w:r w:rsidRPr="00212D57">
        <w:rPr>
          <w:rFonts w:ascii="標楷體" w:eastAsia="標楷體" w:hAnsi="標楷體"/>
          <w:szCs w:val="22"/>
        </w:rPr>
        <w:t>一謂生，二謂生者。</w:t>
      </w:r>
    </w:p>
    <w:p w:rsidR="00157EF6" w:rsidRPr="00212D57" w:rsidRDefault="00157EF6" w:rsidP="00B5316E">
      <w:pPr>
        <w:pStyle w:val="a5"/>
        <w:ind w:leftChars="450" w:left="1080"/>
        <w:jc w:val="both"/>
        <w:rPr>
          <w:rFonts w:ascii="標楷體" w:eastAsia="SimSun" w:hAnsi="標楷體"/>
          <w:szCs w:val="22"/>
        </w:rPr>
      </w:pPr>
      <w:r w:rsidRPr="00F9256B">
        <w:rPr>
          <w:rFonts w:hint="eastAsia"/>
          <w:szCs w:val="22"/>
          <w:shd w:val="pct15" w:color="auto" w:fill="FFFFFF"/>
          <w:vertAlign w:val="superscript"/>
        </w:rPr>
        <w:t>（</w:t>
      </w:r>
      <w:r w:rsidRPr="00F9256B">
        <w:rPr>
          <w:szCs w:val="22"/>
          <w:shd w:val="pct15" w:color="auto" w:fill="FFFFFF"/>
          <w:vertAlign w:val="superscript"/>
        </w:rPr>
        <w:t>B</w:t>
      </w:r>
      <w:r w:rsidRPr="00F9256B">
        <w:rPr>
          <w:rFonts w:hint="eastAsia"/>
          <w:szCs w:val="22"/>
          <w:shd w:val="pct15" w:color="auto" w:fill="FFFFFF"/>
          <w:vertAlign w:val="superscript"/>
        </w:rPr>
        <w:t>）</w:t>
      </w:r>
      <w:r w:rsidRPr="00212D57">
        <w:rPr>
          <w:rFonts w:ascii="標楷體" w:eastAsia="標楷體" w:hAnsi="標楷體"/>
          <w:szCs w:val="22"/>
        </w:rPr>
        <w:t>若</w:t>
      </w:r>
      <w:r w:rsidR="00F9256B">
        <w:rPr>
          <w:rFonts w:ascii="標楷體" w:eastAsia="標楷體" w:hAnsi="標楷體" w:hint="eastAsia"/>
          <w:bCs/>
          <w:color w:val="FF0000"/>
          <w:kern w:val="0"/>
          <w:highlight w:val="yellow"/>
        </w:rPr>
        <w:t>「</w:t>
      </w:r>
      <w:r w:rsidRPr="00212D57">
        <w:rPr>
          <w:rFonts w:ascii="標楷體" w:eastAsia="標楷體" w:hAnsi="標楷體"/>
          <w:szCs w:val="22"/>
        </w:rPr>
        <w:t>離餘因</w:t>
      </w:r>
      <w:r w:rsidR="00F9256B">
        <w:rPr>
          <w:rFonts w:ascii="標楷體" w:eastAsia="標楷體" w:hAnsi="標楷體" w:hint="eastAsia"/>
          <w:color w:val="FF0000"/>
          <w:kern w:val="0"/>
          <w:highlight w:val="yellow"/>
        </w:rPr>
        <w:t>，</w:t>
      </w:r>
      <w:r w:rsidRPr="00212D57">
        <w:rPr>
          <w:rFonts w:ascii="標楷體" w:eastAsia="標楷體" w:hAnsi="標楷體"/>
          <w:szCs w:val="22"/>
        </w:rPr>
        <w:t>從自體生</w:t>
      </w:r>
      <w:r w:rsidR="00F9256B">
        <w:rPr>
          <w:rFonts w:ascii="標楷體" w:eastAsia="標楷體" w:hAnsi="標楷體" w:hint="eastAsia"/>
          <w:bCs/>
          <w:color w:val="FF0000"/>
          <w:kern w:val="0"/>
          <w:highlight w:val="yellow"/>
        </w:rPr>
        <w:t>」</w:t>
      </w:r>
      <w:r w:rsidRPr="00212D57">
        <w:rPr>
          <w:rFonts w:ascii="標楷體" w:eastAsia="標楷體" w:hAnsi="標楷體"/>
          <w:szCs w:val="22"/>
        </w:rPr>
        <w:t>者，則無因無緣。</w:t>
      </w:r>
    </w:p>
    <w:p w:rsidR="00157EF6" w:rsidRPr="00212D57" w:rsidRDefault="00157EF6" w:rsidP="00B5316E">
      <w:pPr>
        <w:pStyle w:val="a5"/>
        <w:ind w:leftChars="450" w:left="1080"/>
        <w:jc w:val="both"/>
        <w:rPr>
          <w:rFonts w:ascii="標楷體" w:eastAsia="標楷體" w:hAnsi="標楷體"/>
          <w:szCs w:val="22"/>
        </w:rPr>
      </w:pPr>
      <w:r w:rsidRPr="00F9256B">
        <w:rPr>
          <w:rFonts w:hint="eastAsia"/>
          <w:szCs w:val="22"/>
          <w:shd w:val="pct15" w:color="auto" w:fill="FFFFFF"/>
          <w:vertAlign w:val="superscript"/>
        </w:rPr>
        <w:t>（</w:t>
      </w:r>
      <w:r w:rsidRPr="00F9256B">
        <w:rPr>
          <w:szCs w:val="22"/>
          <w:shd w:val="pct15" w:color="auto" w:fill="FFFFFF"/>
          <w:vertAlign w:val="superscript"/>
        </w:rPr>
        <w:t>C</w:t>
      </w:r>
      <w:r w:rsidRPr="00F9256B">
        <w:rPr>
          <w:rFonts w:hint="eastAsia"/>
          <w:szCs w:val="22"/>
          <w:shd w:val="pct15" w:color="auto" w:fill="FFFFFF"/>
          <w:vertAlign w:val="superscript"/>
        </w:rPr>
        <w:t>）</w:t>
      </w:r>
      <w:r w:rsidRPr="00212D57">
        <w:rPr>
          <w:rFonts w:ascii="標楷體" w:eastAsia="標楷體" w:hAnsi="標楷體"/>
          <w:szCs w:val="22"/>
        </w:rPr>
        <w:t>又生更有生，生則無窮</w:t>
      </w:r>
      <w:r w:rsidRPr="00212D57">
        <w:rPr>
          <w:rFonts w:ascii="標楷體" w:eastAsia="標楷體" w:hAnsi="標楷體" w:hint="eastAsia"/>
          <w:szCs w:val="22"/>
        </w:rPr>
        <w:t>。</w:t>
      </w:r>
    </w:p>
    <w:p w:rsidR="00157EF6" w:rsidRPr="00212D57" w:rsidRDefault="00157EF6" w:rsidP="00B5316E">
      <w:pPr>
        <w:pStyle w:val="a5"/>
        <w:ind w:leftChars="335" w:left="1112" w:hangingChars="140" w:hanging="308"/>
        <w:jc w:val="both"/>
        <w:rPr>
          <w:rFonts w:ascii="標楷體" w:eastAsia="標楷體" w:hAnsi="標楷體"/>
          <w:szCs w:val="22"/>
        </w:rPr>
      </w:pPr>
      <w:r w:rsidRPr="00F9256B">
        <w:rPr>
          <w:rFonts w:hint="eastAsia"/>
          <w:szCs w:val="22"/>
          <w:shd w:val="pct15" w:color="auto" w:fill="FFFFFF"/>
          <w:vertAlign w:val="superscript"/>
        </w:rPr>
        <w:t>（</w:t>
      </w:r>
      <w:r w:rsidRPr="00F9256B">
        <w:rPr>
          <w:szCs w:val="22"/>
          <w:shd w:val="pct15" w:color="auto" w:fill="FFFFFF"/>
          <w:vertAlign w:val="superscript"/>
        </w:rPr>
        <w:t>2</w:t>
      </w:r>
      <w:r w:rsidRPr="00F9256B">
        <w:rPr>
          <w:rFonts w:hint="eastAsia"/>
          <w:szCs w:val="22"/>
          <w:shd w:val="pct15" w:color="auto" w:fill="FFFFFF"/>
          <w:vertAlign w:val="superscript"/>
        </w:rPr>
        <w:t>）</w:t>
      </w:r>
      <w:r w:rsidRPr="00212D57">
        <w:rPr>
          <w:rFonts w:ascii="標楷體" w:eastAsia="標楷體" w:hAnsi="標楷體"/>
          <w:szCs w:val="22"/>
        </w:rPr>
        <w:t>自無故</w:t>
      </w:r>
      <w:r w:rsidR="00F9256B">
        <w:rPr>
          <w:rFonts w:ascii="標楷體" w:eastAsia="標楷體" w:hAnsi="標楷體" w:hint="eastAsia"/>
          <w:color w:val="FF0000"/>
          <w:kern w:val="0"/>
          <w:highlight w:val="yellow"/>
        </w:rPr>
        <w:t>，</w:t>
      </w:r>
      <w:r w:rsidRPr="00212D57">
        <w:rPr>
          <w:rFonts w:ascii="標楷體" w:eastAsia="標楷體" w:hAnsi="標楷體"/>
          <w:b/>
          <w:szCs w:val="22"/>
        </w:rPr>
        <w:t>他亦無</w:t>
      </w:r>
      <w:r w:rsidRPr="00212D57">
        <w:rPr>
          <w:rFonts w:ascii="標楷體" w:eastAsia="標楷體" w:hAnsi="標楷體"/>
          <w:szCs w:val="22"/>
        </w:rPr>
        <w:t>。何以故？有自故有他</w:t>
      </w:r>
      <w:r w:rsidR="00F9256B">
        <w:rPr>
          <w:rFonts w:ascii="標楷體" w:eastAsia="標楷體" w:hAnsi="標楷體" w:hint="eastAsia"/>
          <w:color w:val="FF0000"/>
          <w:kern w:val="0"/>
          <w:highlight w:val="yellow"/>
        </w:rPr>
        <w:t>。</w:t>
      </w:r>
      <w:r w:rsidRPr="00212D57">
        <w:rPr>
          <w:rFonts w:ascii="標楷體" w:eastAsia="標楷體" w:hAnsi="標楷體"/>
          <w:szCs w:val="22"/>
        </w:rPr>
        <w:t>若不從自生，亦不從他生</w:t>
      </w:r>
      <w:r w:rsidRPr="00212D57">
        <w:rPr>
          <w:rFonts w:ascii="標楷體" w:eastAsia="標楷體" w:hAnsi="標楷體" w:hint="eastAsia"/>
          <w:szCs w:val="22"/>
        </w:rPr>
        <w:t>。</w:t>
      </w:r>
    </w:p>
    <w:p w:rsidR="00157EF6" w:rsidRPr="00212D57" w:rsidRDefault="00157EF6" w:rsidP="00B5316E">
      <w:pPr>
        <w:pStyle w:val="a5"/>
        <w:ind w:leftChars="335" w:left="1112" w:hangingChars="140" w:hanging="308"/>
        <w:jc w:val="both"/>
        <w:rPr>
          <w:rFonts w:ascii="標楷體" w:eastAsia="標楷體" w:hAnsi="標楷體"/>
          <w:szCs w:val="22"/>
        </w:rPr>
      </w:pPr>
      <w:r w:rsidRPr="00F9256B">
        <w:rPr>
          <w:rFonts w:hint="eastAsia"/>
          <w:szCs w:val="22"/>
          <w:shd w:val="pct15" w:color="auto" w:fill="FFFFFF"/>
          <w:vertAlign w:val="superscript"/>
        </w:rPr>
        <w:t>（</w:t>
      </w:r>
      <w:r w:rsidRPr="00F9256B">
        <w:rPr>
          <w:szCs w:val="22"/>
          <w:shd w:val="pct15" w:color="auto" w:fill="FFFFFF"/>
          <w:vertAlign w:val="superscript"/>
        </w:rPr>
        <w:t>3</w:t>
      </w:r>
      <w:r w:rsidRPr="00F9256B">
        <w:rPr>
          <w:rFonts w:hint="eastAsia"/>
          <w:szCs w:val="22"/>
          <w:shd w:val="pct15" w:color="auto" w:fill="FFFFFF"/>
          <w:vertAlign w:val="superscript"/>
        </w:rPr>
        <w:t>）</w:t>
      </w:r>
      <w:r w:rsidRPr="00212D57">
        <w:rPr>
          <w:rFonts w:ascii="標楷體" w:eastAsia="標楷體" w:hAnsi="標楷體"/>
          <w:b/>
          <w:szCs w:val="22"/>
        </w:rPr>
        <w:t>共生</w:t>
      </w:r>
      <w:r w:rsidR="00F9256B">
        <w:rPr>
          <w:rFonts w:ascii="標楷體" w:eastAsia="標楷體" w:hAnsi="標楷體" w:hint="eastAsia"/>
          <w:color w:val="FF0000"/>
          <w:kern w:val="0"/>
          <w:highlight w:val="yellow"/>
        </w:rPr>
        <w:t>，</w:t>
      </w:r>
      <w:r w:rsidRPr="00212D57">
        <w:rPr>
          <w:rFonts w:ascii="標楷體" w:eastAsia="標楷體" w:hAnsi="標楷體"/>
          <w:szCs w:val="22"/>
        </w:rPr>
        <w:t>則有二過</w:t>
      </w:r>
      <w:r w:rsidRPr="00212D57">
        <w:rPr>
          <w:rFonts w:ascii="標楷體" w:eastAsia="標楷體" w:hAnsi="標楷體" w:hint="eastAsia"/>
          <w:szCs w:val="22"/>
        </w:rPr>
        <w:t>，</w:t>
      </w:r>
      <w:r w:rsidRPr="00212D57">
        <w:rPr>
          <w:rFonts w:ascii="標楷體" w:eastAsia="標楷體" w:hAnsi="標楷體"/>
          <w:szCs w:val="22"/>
        </w:rPr>
        <w:t>自生</w:t>
      </w:r>
      <w:r w:rsidRPr="00212D57">
        <w:rPr>
          <w:rFonts w:ascii="標楷體" w:eastAsia="標楷體" w:hAnsi="標楷體" w:hint="eastAsia"/>
          <w:szCs w:val="22"/>
        </w:rPr>
        <w:t>、</w:t>
      </w:r>
      <w:r w:rsidRPr="00212D57">
        <w:rPr>
          <w:rFonts w:ascii="標楷體" w:eastAsia="標楷體" w:hAnsi="標楷體"/>
          <w:szCs w:val="22"/>
        </w:rPr>
        <w:t>他生故</w:t>
      </w:r>
      <w:r w:rsidRPr="00212D57">
        <w:rPr>
          <w:rFonts w:ascii="標楷體" w:eastAsia="標楷體" w:hAnsi="標楷體" w:hint="eastAsia"/>
          <w:szCs w:val="22"/>
        </w:rPr>
        <w:t>。</w:t>
      </w:r>
    </w:p>
    <w:p w:rsidR="00157EF6" w:rsidRPr="00212D57" w:rsidRDefault="00157EF6" w:rsidP="00B5316E">
      <w:pPr>
        <w:pStyle w:val="a5"/>
        <w:ind w:leftChars="335" w:left="1112" w:hangingChars="140" w:hanging="308"/>
        <w:jc w:val="both"/>
        <w:rPr>
          <w:szCs w:val="22"/>
        </w:rPr>
      </w:pPr>
      <w:r w:rsidRPr="00F9256B">
        <w:rPr>
          <w:rFonts w:hint="eastAsia"/>
          <w:szCs w:val="22"/>
          <w:shd w:val="pct15" w:color="auto" w:fill="FFFFFF"/>
          <w:vertAlign w:val="superscript"/>
        </w:rPr>
        <w:t>（</w:t>
      </w:r>
      <w:r w:rsidRPr="00F9256B">
        <w:rPr>
          <w:szCs w:val="22"/>
          <w:shd w:val="pct15" w:color="auto" w:fill="FFFFFF"/>
          <w:vertAlign w:val="superscript"/>
        </w:rPr>
        <w:t>4</w:t>
      </w:r>
      <w:r w:rsidRPr="00F9256B">
        <w:rPr>
          <w:rFonts w:hint="eastAsia"/>
          <w:szCs w:val="22"/>
          <w:shd w:val="pct15" w:color="auto" w:fill="FFFFFF"/>
          <w:vertAlign w:val="superscript"/>
        </w:rPr>
        <w:t>）</w:t>
      </w:r>
      <w:r w:rsidRPr="00212D57">
        <w:rPr>
          <w:rFonts w:ascii="標楷體" w:eastAsia="標楷體" w:hAnsi="標楷體"/>
          <w:szCs w:val="22"/>
        </w:rPr>
        <w:t>若</w:t>
      </w:r>
      <w:r w:rsidRPr="00212D57">
        <w:rPr>
          <w:rFonts w:ascii="標楷體" w:eastAsia="標楷體" w:hAnsi="標楷體"/>
          <w:b/>
          <w:szCs w:val="22"/>
        </w:rPr>
        <w:t>無因</w:t>
      </w:r>
      <w:r w:rsidRPr="00212D57">
        <w:rPr>
          <w:rFonts w:ascii="標楷體" w:eastAsia="標楷體" w:hAnsi="標楷體"/>
          <w:szCs w:val="22"/>
        </w:rPr>
        <w:t>而有萬物者，是則為常。是事不然</w:t>
      </w:r>
      <w:r w:rsidR="00F9256B">
        <w:rPr>
          <w:rFonts w:ascii="標楷體" w:eastAsia="標楷體" w:hAnsi="標楷體" w:hint="eastAsia"/>
          <w:color w:val="FF0000"/>
          <w:kern w:val="0"/>
          <w:highlight w:val="yellow"/>
        </w:rPr>
        <w:t>！</w:t>
      </w:r>
      <w:r w:rsidRPr="00212D57">
        <w:rPr>
          <w:rFonts w:ascii="標楷體" w:eastAsia="標楷體" w:hAnsi="標楷體"/>
          <w:szCs w:val="22"/>
        </w:rPr>
        <w:t>無因則無果</w:t>
      </w:r>
      <w:r w:rsidR="00F9256B">
        <w:rPr>
          <w:rFonts w:ascii="標楷體" w:eastAsia="標楷體" w:hAnsi="標楷體" w:hint="eastAsia"/>
          <w:color w:val="FF0000"/>
          <w:kern w:val="0"/>
          <w:highlight w:val="yellow"/>
        </w:rPr>
        <w:t>。</w:t>
      </w:r>
      <w:r w:rsidRPr="00212D57">
        <w:rPr>
          <w:rFonts w:ascii="標楷體" w:eastAsia="標楷體" w:hAnsi="標楷體"/>
          <w:szCs w:val="22"/>
        </w:rPr>
        <w:t>若無因有果者，布施</w:t>
      </w:r>
      <w:r w:rsidRPr="00212D57">
        <w:rPr>
          <w:rFonts w:ascii="標楷體" w:eastAsia="標楷體" w:hAnsi="標楷體" w:hint="eastAsia"/>
          <w:szCs w:val="22"/>
        </w:rPr>
        <w:t>、</w:t>
      </w:r>
      <w:r w:rsidRPr="00212D57">
        <w:rPr>
          <w:rFonts w:ascii="標楷體" w:eastAsia="標楷體" w:hAnsi="標楷體"/>
          <w:szCs w:val="22"/>
        </w:rPr>
        <w:t>持戒等應墮地獄，十惡</w:t>
      </w:r>
      <w:r w:rsidRPr="00212D57">
        <w:rPr>
          <w:rFonts w:ascii="標楷體" w:eastAsia="標楷體" w:hAnsi="標楷體" w:hint="eastAsia"/>
          <w:szCs w:val="22"/>
        </w:rPr>
        <w:t>、</w:t>
      </w:r>
      <w:r w:rsidRPr="00212D57">
        <w:rPr>
          <w:rFonts w:ascii="標楷體" w:eastAsia="標楷體" w:hAnsi="標楷體"/>
          <w:szCs w:val="22"/>
        </w:rPr>
        <w:t>五逆應當生天。</w:t>
      </w:r>
    </w:p>
    <w:p w:rsidR="00157EF6" w:rsidRPr="00212D57" w:rsidRDefault="00157EF6" w:rsidP="00B5316E">
      <w:pPr>
        <w:pStyle w:val="a5"/>
        <w:ind w:leftChars="105" w:left="79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）印順</w:t>
      </w:r>
      <w:r w:rsidRPr="00212D57">
        <w:rPr>
          <w:rStyle w:val="byline"/>
          <w:rFonts w:hAnsi="新細明體" w:hint="eastAsia"/>
          <w:color w:val="auto"/>
          <w:sz w:val="22"/>
          <w:szCs w:val="22"/>
        </w:rPr>
        <w:t>法師</w:t>
      </w:r>
      <w:r w:rsidRPr="00212D57">
        <w:rPr>
          <w:rFonts w:hint="eastAsia"/>
          <w:szCs w:val="22"/>
        </w:rPr>
        <w:t>，《中觀論頌講記》，</w:t>
      </w:r>
      <w:r w:rsidRPr="00761EF3">
        <w:rPr>
          <w:rFonts w:hint="eastAsia"/>
          <w:szCs w:val="22"/>
        </w:rPr>
        <w:t>pp</w:t>
      </w:r>
      <w:r w:rsidRPr="00212D57">
        <w:rPr>
          <w:rFonts w:hint="eastAsia"/>
          <w:szCs w:val="22"/>
        </w:rPr>
        <w:t>.</w:t>
      </w:r>
      <w:r w:rsidRPr="00761EF3">
        <w:rPr>
          <w:rFonts w:hint="eastAsia"/>
          <w:szCs w:val="22"/>
        </w:rPr>
        <w:t>59</w:t>
      </w:r>
      <w:r w:rsidRPr="00212D57">
        <w:rPr>
          <w:rFonts w:hint="eastAsia"/>
          <w:szCs w:val="22"/>
        </w:rPr>
        <w:t>-</w:t>
      </w:r>
      <w:r w:rsidRPr="00761EF3">
        <w:rPr>
          <w:rFonts w:hint="eastAsia"/>
          <w:szCs w:val="22"/>
        </w:rPr>
        <w:t>62</w:t>
      </w:r>
      <w:r w:rsidRPr="00212D57">
        <w:rPr>
          <w:rFonts w:hint="eastAsia"/>
          <w:szCs w:val="22"/>
        </w:rPr>
        <w:t>：</w:t>
      </w:r>
    </w:p>
    <w:p w:rsidR="00157EF6" w:rsidRPr="00212D57" w:rsidRDefault="00157EF6" w:rsidP="00B5316E">
      <w:pPr>
        <w:pStyle w:val="a5"/>
        <w:ind w:leftChars="335" w:left="804"/>
        <w:jc w:val="both"/>
        <w:rPr>
          <w:rFonts w:ascii="標楷體" w:eastAsia="標楷體" w:hAnsi="標楷體"/>
          <w:szCs w:val="22"/>
        </w:rPr>
      </w:pPr>
      <w:r w:rsidRPr="00212D57">
        <w:rPr>
          <w:rFonts w:ascii="標楷體" w:eastAsia="標楷體" w:hAnsi="標楷體" w:hint="eastAsia"/>
          <w:szCs w:val="22"/>
        </w:rPr>
        <w:t>凡是以為一切法是自性有的，那就必是生起的；所以觀察他是怎樣生的。如生起不成，就足以證明非自性有的空義。講到生，不出有因生，無因生兩類，有因中又不出從自生，從他生，從共生三種，合起來就是四門。既是自性有，那從自體生嗎？不，就轉為別體的他生。這二者是一正一反，共是自他和合生，就是合（正）。又不能生，那就達到非自他共的無因（反）。這已達到了思想的盡頭，再說，也不過是層樓疊架的重複。凡是主張自性有的，就可以此四門觀察，不能離此四門又說有自性的生。四門中求生不得，就知一切自性有的不生了。所以這是能遍破一切的。像印度外道講生，雖有很多流派，不出這四種：數論主張因果是一的，這是自生；勝論主張因果是異的，是他生；尼乾子主張因果亦一亦異的，是共生；自然外道主張諸法自然有的，是無因生。如果佛法中有執為自性有的，也不出這四門。</w:t>
      </w:r>
    </w:p>
    <w:p w:rsidR="00157EF6" w:rsidRPr="007A4432" w:rsidRDefault="00157EF6" w:rsidP="00AE3920">
      <w:pPr>
        <w:pStyle w:val="a5"/>
        <w:spacing w:beforeLines="20"/>
        <w:ind w:leftChars="335" w:left="804"/>
        <w:jc w:val="both"/>
        <w:rPr>
          <w:rFonts w:ascii="標楷體" w:eastAsia="標楷體" w:hAnsi="標楷體"/>
          <w:szCs w:val="22"/>
        </w:rPr>
      </w:pPr>
      <w:r w:rsidRPr="007A4432">
        <w:rPr>
          <w:rFonts w:ascii="標楷體" w:eastAsia="標楷體" w:hAnsi="標楷體" w:hint="eastAsia"/>
          <w:szCs w:val="22"/>
        </w:rPr>
        <w:t>「諸法」的法字，或者譯作物體，梵語中是說實在性的東西，就是自性有的東西。</w:t>
      </w:r>
      <w:r w:rsidRPr="007A4432">
        <w:rPr>
          <w:rFonts w:ascii="標楷體" w:eastAsia="標楷體" w:hAnsi="標楷體" w:hint="eastAsia"/>
          <w:b/>
          <w:szCs w:val="22"/>
        </w:rPr>
        <w:t>自性有的諸法，「不」會是「自生」的。</w:t>
      </w:r>
      <w:r w:rsidRPr="007A4432">
        <w:rPr>
          <w:rFonts w:ascii="標楷體" w:eastAsia="標楷體" w:hAnsi="標楷體" w:hint="eastAsia"/>
          <w:szCs w:val="22"/>
        </w:rPr>
        <w:t>自生，是說自體能生起的。假定是自體生的，那在沒有生起以前，已經生起之後，是沒有差別的，依本有自性而生起，這纔合乎自生的定義。但是，不論在何時，何處，什麼也不會這樣生的。為什麼呢？自生，本身就是矛盾不通。凡是生起，必有能生與所生，既含有能所的差別，怎麼能說自體生呢？可以說，自即不生，生即不自。同時，凡是生起，必然與未生有一種差別；未有而有，未成就而成就。現在說自體如此生，生個什麼東西呢？可說是一點意義都沒有。並且自體如此生，就不須其他條件，那麼，前念既如此生，後念也應如此生，生生不已，成為無窮生。若說要有其他的條件，所以前念自生而後念不生，那就失卻自生的意義了！所以沒有一法是自生的；自生只是從自性見所起的妄執罷了！</w:t>
      </w:r>
    </w:p>
    <w:p w:rsidR="00157EF6" w:rsidRPr="007A4432" w:rsidRDefault="00157EF6" w:rsidP="00AE3920">
      <w:pPr>
        <w:pStyle w:val="a5"/>
        <w:spacing w:beforeLines="20"/>
        <w:ind w:leftChars="335" w:left="804"/>
        <w:jc w:val="both"/>
        <w:rPr>
          <w:rFonts w:ascii="標楷體" w:eastAsia="標楷體" w:hAnsi="標楷體"/>
          <w:szCs w:val="22"/>
        </w:rPr>
      </w:pPr>
      <w:r w:rsidRPr="007A4432">
        <w:rPr>
          <w:rFonts w:ascii="標楷體" w:eastAsia="標楷體" w:hAnsi="標楷體" w:hint="eastAsia"/>
          <w:szCs w:val="22"/>
        </w:rPr>
        <w:t>有人以</w:t>
      </w:r>
      <w:r w:rsidRPr="00212D57">
        <w:rPr>
          <w:rFonts w:ascii="標楷體" w:eastAsia="標楷體" w:hAnsi="標楷體" w:hint="eastAsia"/>
          <w:szCs w:val="22"/>
        </w:rPr>
        <w:t>為既不是自生，應該是</w:t>
      </w:r>
      <w:r w:rsidRPr="00212D57">
        <w:rPr>
          <w:rFonts w:ascii="標楷體" w:eastAsia="標楷體" w:hAnsi="標楷體" w:hint="eastAsia"/>
          <w:b/>
          <w:szCs w:val="22"/>
        </w:rPr>
        <w:t>他生</w:t>
      </w:r>
      <w:r w:rsidRPr="00212D57">
        <w:rPr>
          <w:rFonts w:ascii="標楷體" w:eastAsia="標楷體" w:hAnsi="標楷體" w:hint="eastAsia"/>
          <w:szCs w:val="22"/>
        </w:rPr>
        <w:t>，他是別體的另一法。其實，既沒有從自體生，也就「不從他生」，要知他生是同樣的矛盾不通。可說他即不生，生即不他。凡是此法由彼生的，彼此就有密切的關聯；決不能看為截然無關的別體。別體的他能生，這是絕對不能的。譬如火從木生，火木不是能截然各別的，不然，水呀，鐵呀，這一切法，豈不也是別體的他，他木能生火，他水他鐵等也應生火了。同是別體的他，為什麼有生不生的差別呢？假如說：他生的他，是有關係而親近的他；那無關而疏遠的他，不可為比例。這也不然，既有親疏的差別，為什麼說同是別體的他呢？不能生的是</w:t>
      </w:r>
      <w:r w:rsidRPr="007A4432">
        <w:rPr>
          <w:rFonts w:ascii="標楷體" w:eastAsia="標楷體" w:hAnsi="標楷體" w:hint="eastAsia"/>
          <w:szCs w:val="22"/>
        </w:rPr>
        <w:t>他，能生的就不應是他了。所以執著自性有的，說另一別體的他能生這實有法，是不合理的。一般人執自生的少，主張他生的多，我們必須破斥這他生的妄計！</w:t>
      </w:r>
    </w:p>
    <w:p w:rsidR="00157EF6" w:rsidRPr="00212D57" w:rsidRDefault="00157EF6" w:rsidP="00AE3920">
      <w:pPr>
        <w:pStyle w:val="a5"/>
        <w:spacing w:beforeLines="20"/>
        <w:ind w:leftChars="335" w:left="804"/>
        <w:jc w:val="both"/>
        <w:rPr>
          <w:rFonts w:ascii="標楷體" w:eastAsia="標楷體" w:hAnsi="標楷體"/>
          <w:szCs w:val="22"/>
        </w:rPr>
      </w:pPr>
      <w:r w:rsidRPr="007A4432">
        <w:rPr>
          <w:rFonts w:ascii="標楷體" w:eastAsia="標楷體" w:hAnsi="標楷體" w:hint="eastAsia"/>
          <w:szCs w:val="22"/>
        </w:rPr>
        <w:t>有人以為單自不生，獨他也不生，</w:t>
      </w:r>
      <w:r w:rsidRPr="007A4432">
        <w:rPr>
          <w:rFonts w:ascii="標楷體" w:eastAsia="標楷體" w:hAnsi="標楷體" w:hint="eastAsia"/>
          <w:b/>
          <w:szCs w:val="22"/>
        </w:rPr>
        <w:t>自他相共</w:t>
      </w:r>
      <w:r w:rsidRPr="007A4432">
        <w:rPr>
          <w:rFonts w:ascii="標楷體" w:eastAsia="標楷體" w:hAnsi="標楷體" w:hint="eastAsia"/>
          <w:szCs w:val="22"/>
        </w:rPr>
        <w:t>當然是可生的了。他們的見解，就是果體</w:t>
      </w:r>
      <w:r w:rsidRPr="00212D57">
        <w:rPr>
          <w:rFonts w:ascii="標楷體" w:eastAsia="標楷體" w:hAnsi="標楷體" w:hint="eastAsia"/>
          <w:szCs w:val="22"/>
        </w:rPr>
        <w:t>已經成就了的，或是果體的理，或是果體的功能，再加以其他的條件的引發，自他和合就能生諸法。「不共」生，在青目釋中是不廣破的，因為共生不出自他，自體不能生，他體不能生，自他和合怎能生呢？如一個瞎子不能見，許多瞎子合起來，還不是同樣的不能見嗎？所以說共生是犯有自生他生的雙重過失。</w:t>
      </w:r>
    </w:p>
    <w:p w:rsidR="00157EF6" w:rsidRPr="007A4432" w:rsidRDefault="00157EF6" w:rsidP="00AE3920">
      <w:pPr>
        <w:pStyle w:val="a5"/>
        <w:spacing w:beforeLines="20"/>
        <w:ind w:leftChars="335" w:left="804"/>
        <w:jc w:val="both"/>
        <w:rPr>
          <w:rFonts w:ascii="標楷體" w:eastAsia="標楷體" w:hAnsi="標楷體"/>
          <w:szCs w:val="22"/>
        </w:rPr>
      </w:pPr>
      <w:r w:rsidRPr="007A4432">
        <w:rPr>
          <w:rFonts w:ascii="標楷體" w:eastAsia="標楷體" w:hAnsi="標楷體" w:hint="eastAsia"/>
          <w:szCs w:val="22"/>
        </w:rPr>
        <w:t>有一類外道，對世間一切的存在與生起，不知其所以然，看不出他的因緣，於是便以為一切的一切，都是自然如此的，執著是</w:t>
      </w:r>
      <w:r w:rsidRPr="007A4432">
        <w:rPr>
          <w:rFonts w:ascii="標楷體" w:eastAsia="標楷體" w:hAnsi="標楷體" w:hint="eastAsia"/>
          <w:b/>
          <w:szCs w:val="22"/>
        </w:rPr>
        <w:t>無因生</w:t>
      </w:r>
      <w:r w:rsidRPr="007A4432">
        <w:rPr>
          <w:rFonts w:ascii="標楷體" w:eastAsia="標楷體" w:hAnsi="標楷體" w:hint="eastAsia"/>
          <w:szCs w:val="22"/>
        </w:rPr>
        <w:t>的。果法從無因而生，這在名言上又是自相矛盾的，有因纔有果，無因怎會有果呢？現見世間有情的事情，要有人功纔成就，若完全是無因的，人生的一切作業，豈不都是毫無意義？貧窮的自然貧窮，富貴的自然富貴，這麼一來，世間的一切，完全被破壞了。同時，如果是無因而有果，此地起火，別地為什麼不起呢？同樣是無因的，為什麼有生有不生？別地既不起火，可見這裡的火，是自有他的原因，只是你不能發覺罷了！所以說「不無因」生。</w:t>
      </w:r>
    </w:p>
    <w:p w:rsidR="00157EF6" w:rsidRPr="007A4432" w:rsidRDefault="00157EF6" w:rsidP="00B5316E">
      <w:pPr>
        <w:pStyle w:val="a5"/>
        <w:ind w:leftChars="335" w:left="804"/>
        <w:jc w:val="both"/>
        <w:rPr>
          <w:rFonts w:ascii="標楷體" w:eastAsia="標楷體" w:hAnsi="標楷體"/>
          <w:szCs w:val="22"/>
        </w:rPr>
      </w:pPr>
      <w:r w:rsidRPr="007A4432">
        <w:rPr>
          <w:rFonts w:ascii="標楷體" w:eastAsia="標楷體" w:hAnsi="標楷體" w:hint="eastAsia"/>
          <w:szCs w:val="22"/>
        </w:rPr>
        <w:t>主張自性有的，都可用這四門觀察他的怎樣生起。一一門中觀察不到，就可知自性生不可得，所以說「是故知無生」。</w:t>
      </w:r>
    </w:p>
    <w:p w:rsidR="00157EF6" w:rsidRPr="00212D57" w:rsidRDefault="00157EF6" w:rsidP="00AE3920">
      <w:pPr>
        <w:pStyle w:val="a5"/>
        <w:spacing w:beforeLines="20"/>
        <w:ind w:leftChars="335" w:left="804"/>
        <w:jc w:val="both"/>
        <w:rPr>
          <w:rFonts w:ascii="標楷體" w:eastAsia="標楷體" w:hAnsi="標楷體"/>
          <w:szCs w:val="22"/>
        </w:rPr>
      </w:pPr>
      <w:r w:rsidRPr="007A4432">
        <w:rPr>
          <w:rFonts w:ascii="標楷體" w:eastAsia="標楷體" w:hAnsi="標楷體" w:hint="eastAsia"/>
          <w:szCs w:val="22"/>
        </w:rPr>
        <w:t>反過來問中觀學者，諸法究竟有沒有生呢？有生是自生呢？他生呢？共生呢？還</w:t>
      </w:r>
      <w:r w:rsidRPr="00212D57">
        <w:rPr>
          <w:rFonts w:ascii="標楷體" w:eastAsia="標楷體" w:hAnsi="標楷體" w:hint="eastAsia"/>
          <w:szCs w:val="22"/>
        </w:rPr>
        <w:t>是無因生？敵者還不是可以用同樣的方法來破斥你。</w:t>
      </w:r>
      <w:r w:rsidRPr="00212D57">
        <w:rPr>
          <w:rFonts w:ascii="標楷體" w:eastAsia="標楷體" w:hAnsi="標楷體" w:hint="eastAsia"/>
          <w:b/>
          <w:szCs w:val="22"/>
        </w:rPr>
        <w:t>中觀者說：一切法是緣生，緣生是不屬前四生的，所以就免除了種種的過失。</w:t>
      </w:r>
    </w:p>
  </w:footnote>
  <w:footnote w:id="487">
    <w:p w:rsidR="00157EF6" w:rsidRPr="00212D57" w:rsidRDefault="00157EF6" w:rsidP="00B5316E">
      <w:pPr>
        <w:pStyle w:val="a5"/>
        <w:ind w:left="253" w:hangingChars="115" w:hanging="253"/>
        <w:jc w:val="both"/>
        <w:rPr>
          <w:rFonts w:eastAsia="SimSun"/>
          <w:szCs w:val="22"/>
        </w:rPr>
      </w:pPr>
      <w:r w:rsidRPr="00212D57">
        <w:rPr>
          <w:rStyle w:val="a6"/>
          <w:szCs w:val="22"/>
        </w:rPr>
        <w:footnoteRef/>
      </w:r>
      <w:r w:rsidRPr="00212D57">
        <w:rPr>
          <w:rFonts w:eastAsia="SimSun" w:hint="eastAsia"/>
          <w:szCs w:val="22"/>
        </w:rPr>
        <w:t xml:space="preserve"> </w:t>
      </w:r>
      <w:r w:rsidRPr="00212D57">
        <w:rPr>
          <w:rFonts w:ascii="新細明體" w:hAnsi="新細明體" w:hint="eastAsia"/>
          <w:szCs w:val="22"/>
        </w:rPr>
        <w:t>參見</w:t>
      </w:r>
      <w:r w:rsidR="00DA0E34">
        <w:rPr>
          <w:rFonts w:ascii="新細明體" w:hAnsi="新細明體" w:hint="eastAsia"/>
          <w:szCs w:val="22"/>
        </w:rPr>
        <w:t>：</w:t>
      </w:r>
      <w:r w:rsidRPr="00212D57">
        <w:rPr>
          <w:rFonts w:hint="eastAsia"/>
          <w:szCs w:val="22"/>
        </w:rPr>
        <w:t>《慈氏菩薩所說大乘緣生稻</w:t>
      </w:r>
      <w:r w:rsidRPr="00212D57">
        <w:rPr>
          <w:rFonts w:hint="eastAsia"/>
          <w:szCs w:val="22"/>
        </w:rPr>
        <w:t>[</w:t>
      </w:r>
      <w:r w:rsidRPr="00212D57">
        <w:rPr>
          <w:rFonts w:hint="eastAsia"/>
          <w:szCs w:val="22"/>
        </w:rPr>
        <w:t>卄</w:t>
      </w:r>
      <w:r w:rsidRPr="00212D57">
        <w:rPr>
          <w:rFonts w:hint="eastAsia"/>
          <w:szCs w:val="22"/>
        </w:rPr>
        <w:t>/</w:t>
      </w:r>
      <w:r w:rsidRPr="00212D57">
        <w:rPr>
          <w:rFonts w:hint="eastAsia"/>
          <w:szCs w:val="22"/>
        </w:rPr>
        <w:t>幹</w:t>
      </w:r>
      <w:r w:rsidRPr="00212D57">
        <w:rPr>
          <w:rFonts w:hint="eastAsia"/>
          <w:szCs w:val="22"/>
        </w:rPr>
        <w:t>]</w:t>
      </w:r>
      <w:r w:rsidRPr="00212D57">
        <w:rPr>
          <w:rFonts w:hint="eastAsia"/>
          <w:szCs w:val="22"/>
        </w:rPr>
        <w:t>喻經</w:t>
      </w:r>
      <w:r w:rsidRPr="00212D57">
        <w:rPr>
          <w:rFonts w:ascii="新細明體" w:hAnsi="新細明體" w:hint="eastAsia"/>
          <w:szCs w:val="22"/>
        </w:rPr>
        <w:t>》</w:t>
      </w:r>
      <w:r w:rsidRPr="00212D57">
        <w:rPr>
          <w:rFonts w:hint="eastAsia"/>
          <w:szCs w:val="22"/>
        </w:rPr>
        <w:t>（大正</w:t>
      </w:r>
      <w:r w:rsidRPr="00761EF3">
        <w:rPr>
          <w:rFonts w:hint="eastAsia"/>
          <w:szCs w:val="22"/>
        </w:rPr>
        <w:t>16</w:t>
      </w:r>
      <w:r w:rsidRPr="00212D57">
        <w:rPr>
          <w:rFonts w:hint="eastAsia"/>
          <w:szCs w:val="22"/>
        </w:rPr>
        <w:t>，</w:t>
      </w:r>
      <w:r w:rsidRPr="00761EF3">
        <w:rPr>
          <w:szCs w:val="22"/>
        </w:rPr>
        <w:t>820c4</w:t>
      </w:r>
      <w:r w:rsidRPr="00212D57">
        <w:rPr>
          <w:szCs w:val="22"/>
        </w:rPr>
        <w:t>-</w:t>
      </w:r>
      <w:r w:rsidRPr="00761EF3">
        <w:rPr>
          <w:szCs w:val="22"/>
        </w:rPr>
        <w:t>16</w:t>
      </w:r>
      <w:r w:rsidRPr="00212D57">
        <w:rPr>
          <w:rFonts w:hint="eastAsia"/>
          <w:szCs w:val="22"/>
        </w:rPr>
        <w:t>），</w:t>
      </w:r>
      <w:r w:rsidRPr="00212D57">
        <w:rPr>
          <w:szCs w:val="22"/>
        </w:rPr>
        <w:t>〔</w:t>
      </w:r>
      <w:r w:rsidRPr="00212D57">
        <w:rPr>
          <w:rFonts w:ascii="新細明體" w:hAnsi="新細明體" w:hint="eastAsia"/>
          <w:szCs w:val="22"/>
        </w:rPr>
        <w:t>明</w:t>
      </w:r>
      <w:r w:rsidRPr="00212D57">
        <w:rPr>
          <w:szCs w:val="22"/>
        </w:rPr>
        <w:t>〕</w:t>
      </w:r>
      <w:r w:rsidRPr="00212D57">
        <w:rPr>
          <w:rFonts w:ascii="新細明體" w:hAnsi="新細明體" w:hint="eastAsia"/>
          <w:szCs w:val="22"/>
        </w:rPr>
        <w:t>可真述，《八識規矩頌解》（卍新續藏</w:t>
      </w:r>
      <w:r w:rsidRPr="00761EF3">
        <w:rPr>
          <w:szCs w:val="22"/>
        </w:rPr>
        <w:t>55</w:t>
      </w:r>
      <w:r w:rsidRPr="00212D57">
        <w:rPr>
          <w:rFonts w:ascii="新細明體" w:hAnsi="新細明體" w:hint="eastAsia"/>
          <w:szCs w:val="22"/>
        </w:rPr>
        <w:t>，</w:t>
      </w:r>
      <w:r w:rsidRPr="00761EF3">
        <w:rPr>
          <w:szCs w:val="22"/>
        </w:rPr>
        <w:t>417a13</w:t>
      </w:r>
      <w:r w:rsidRPr="00212D57">
        <w:rPr>
          <w:szCs w:val="22"/>
        </w:rPr>
        <w:t>-</w:t>
      </w:r>
      <w:r w:rsidRPr="00761EF3">
        <w:rPr>
          <w:szCs w:val="22"/>
        </w:rPr>
        <w:t>14</w:t>
      </w:r>
      <w:r w:rsidRPr="00212D57">
        <w:rPr>
          <w:rFonts w:ascii="新細明體" w:hAnsi="新細明體" w:hint="eastAsia"/>
          <w:szCs w:val="22"/>
        </w:rPr>
        <w:t>）。</w:t>
      </w:r>
    </w:p>
  </w:footnote>
  <w:footnote w:id="488">
    <w:p w:rsidR="00157EF6" w:rsidRPr="00212D57" w:rsidRDefault="00157EF6" w:rsidP="00B5316E">
      <w:pPr>
        <w:pStyle w:val="a5"/>
        <w:ind w:left="253" w:hangingChars="115" w:hanging="253"/>
        <w:jc w:val="both"/>
        <w:rPr>
          <w:rFonts w:eastAsia="SimSun"/>
          <w:szCs w:val="22"/>
        </w:rPr>
      </w:pPr>
      <w:r w:rsidRPr="00212D57">
        <w:rPr>
          <w:rStyle w:val="a6"/>
          <w:szCs w:val="22"/>
        </w:rPr>
        <w:footnoteRef/>
      </w:r>
      <w:r w:rsidRPr="00212D57">
        <w:rPr>
          <w:rFonts w:eastAsia="SimSun" w:hint="eastAsia"/>
          <w:szCs w:val="22"/>
        </w:rPr>
        <w:t xml:space="preserve"> </w:t>
      </w:r>
      <w:r w:rsidRPr="00212D57">
        <w:rPr>
          <w:rFonts w:hint="eastAsia"/>
          <w:szCs w:val="22"/>
        </w:rPr>
        <w:t>抑</w:t>
      </w:r>
      <w:r w:rsidRPr="00212D57">
        <w:rPr>
          <w:rFonts w:ascii="Times Ext Roman" w:hAnsi="Times Ext Roman" w:cs="Times Ext Roman" w:hint="eastAsia"/>
          <w:szCs w:val="22"/>
        </w:rPr>
        <w:t>（</w:t>
      </w:r>
      <w:r w:rsidRPr="00212D57">
        <w:rPr>
          <w:rFonts w:ascii="標楷體" w:eastAsia="標楷體" w:hAnsi="標楷體" w:hint="eastAsia"/>
          <w:szCs w:val="22"/>
        </w:rPr>
        <w:t>ㄧˋ</w:t>
      </w:r>
      <w:r w:rsidRPr="00212D57">
        <w:rPr>
          <w:rFonts w:ascii="Times Ext Roman" w:hAnsi="Times Ext Roman" w:cs="Times Ext Roman" w:hint="eastAsia"/>
          <w:szCs w:val="22"/>
        </w:rPr>
        <w:t>）</w:t>
      </w:r>
      <w:r w:rsidRPr="00212D57">
        <w:rPr>
          <w:rFonts w:ascii="新細明體" w:hAnsi="新細明體" w:hint="eastAsia"/>
          <w:szCs w:val="22"/>
        </w:rPr>
        <w:t>：</w:t>
      </w:r>
      <w:r w:rsidRPr="00761EF3">
        <w:rPr>
          <w:rFonts w:hint="eastAsia"/>
          <w:szCs w:val="22"/>
        </w:rPr>
        <w:t>14</w:t>
      </w:r>
      <w:r w:rsidRPr="00212D57">
        <w:rPr>
          <w:rFonts w:hint="eastAsia"/>
          <w:szCs w:val="22"/>
        </w:rPr>
        <w:t>.</w:t>
      </w:r>
      <w:r w:rsidRPr="00212D57">
        <w:rPr>
          <w:rFonts w:hint="eastAsia"/>
          <w:szCs w:val="22"/>
        </w:rPr>
        <w:t>副詞。表示語氣。猶或許，或者。</w:t>
      </w:r>
      <w:r w:rsidRPr="00212D57">
        <w:rPr>
          <w:rFonts w:ascii="Times Ext Roman" w:hAnsi="Times Ext Roman" w:cs="Times Ext Roman" w:hint="eastAsia"/>
          <w:szCs w:val="22"/>
        </w:rPr>
        <w:t>（《漢語大詞典》（</w:t>
      </w:r>
      <w:r w:rsidRPr="00212D57">
        <w:rPr>
          <w:rFonts w:ascii="Times Ext Roman" w:eastAsia="SimSun" w:hAnsi="Times Ext Roman" w:cs="Times Ext Roman" w:hint="eastAsia"/>
          <w:szCs w:val="22"/>
        </w:rPr>
        <w:t>六</w:t>
      </w:r>
      <w:r w:rsidRPr="00212D57">
        <w:rPr>
          <w:rFonts w:ascii="Times Ext Roman" w:hAnsi="Times Ext Roman" w:cs="Times Ext Roman" w:hint="eastAsia"/>
          <w:szCs w:val="22"/>
        </w:rPr>
        <w:t>），</w:t>
      </w:r>
      <w:r w:rsidRPr="00761EF3">
        <w:rPr>
          <w:rFonts w:hint="eastAsia"/>
          <w:szCs w:val="22"/>
        </w:rPr>
        <w:t>p</w:t>
      </w:r>
      <w:r w:rsidRPr="00212D57">
        <w:rPr>
          <w:rFonts w:hint="eastAsia"/>
          <w:szCs w:val="22"/>
        </w:rPr>
        <w:t>.</w:t>
      </w:r>
      <w:r w:rsidRPr="00761EF3">
        <w:rPr>
          <w:rFonts w:eastAsia="SimSun"/>
          <w:szCs w:val="22"/>
        </w:rPr>
        <w:t>391</w:t>
      </w:r>
      <w:r w:rsidRPr="00212D57">
        <w:rPr>
          <w:rFonts w:ascii="Times Ext Roman" w:hAnsi="Times Ext Roman" w:cs="Times Ext Roman" w:hint="eastAsia"/>
          <w:szCs w:val="22"/>
        </w:rPr>
        <w:t>）</w:t>
      </w:r>
    </w:p>
  </w:footnote>
  <w:footnote w:id="489">
    <w:p w:rsidR="00157EF6" w:rsidRPr="00212D57" w:rsidRDefault="00157EF6" w:rsidP="00B5316E">
      <w:pPr>
        <w:pStyle w:val="a5"/>
        <w:ind w:left="253" w:hangingChars="115" w:hanging="253"/>
        <w:jc w:val="both"/>
        <w:rPr>
          <w:szCs w:val="22"/>
        </w:rPr>
      </w:pPr>
      <w:r w:rsidRPr="00212D57">
        <w:rPr>
          <w:rStyle w:val="a6"/>
          <w:szCs w:val="22"/>
        </w:rPr>
        <w:footnoteRef/>
      </w:r>
      <w:r w:rsidRPr="00212D57">
        <w:rPr>
          <w:rFonts w:hint="eastAsia"/>
          <w:szCs w:val="22"/>
        </w:rPr>
        <w:t xml:space="preserve"> </w:t>
      </w:r>
      <w:r w:rsidRPr="00EF2111">
        <w:rPr>
          <w:spacing w:val="6"/>
          <w:szCs w:val="22"/>
        </w:rPr>
        <w:t>宗喀巴著，法尊譯，《菩提道次第廣論》，</w:t>
      </w:r>
      <w:r w:rsidR="00AD14BF">
        <w:rPr>
          <w:spacing w:val="6"/>
          <w:szCs w:val="22"/>
        </w:rPr>
        <w:t>台北，福智之聲</w:t>
      </w:r>
      <w:r w:rsidRPr="00EF2111">
        <w:rPr>
          <w:spacing w:val="6"/>
          <w:szCs w:val="22"/>
        </w:rPr>
        <w:t>出版社，</w:t>
      </w:r>
      <w:r w:rsidRPr="00761EF3">
        <w:rPr>
          <w:szCs w:val="22"/>
        </w:rPr>
        <w:t>pp</w:t>
      </w:r>
      <w:r w:rsidRPr="00212D57">
        <w:rPr>
          <w:szCs w:val="22"/>
        </w:rPr>
        <w:t>.</w:t>
      </w:r>
      <w:r w:rsidRPr="00761EF3">
        <w:rPr>
          <w:szCs w:val="22"/>
        </w:rPr>
        <w:t>447</w:t>
      </w:r>
      <w:r w:rsidRPr="00212D57">
        <w:rPr>
          <w:szCs w:val="22"/>
        </w:rPr>
        <w:t>-</w:t>
      </w:r>
      <w:r w:rsidRPr="00761EF3">
        <w:rPr>
          <w:szCs w:val="22"/>
        </w:rPr>
        <w:t>448</w:t>
      </w:r>
      <w:r w:rsidRPr="00212D57">
        <w:rPr>
          <w:szCs w:val="22"/>
        </w:rPr>
        <w:t>：</w:t>
      </w:r>
    </w:p>
    <w:p w:rsidR="00157EF6" w:rsidRPr="00212D57" w:rsidRDefault="00157EF6" w:rsidP="00B5316E">
      <w:pPr>
        <w:pStyle w:val="a5"/>
        <w:ind w:leftChars="105" w:left="252"/>
        <w:jc w:val="both"/>
        <w:rPr>
          <w:rFonts w:ascii="標楷體" w:eastAsia="標楷體" w:hAnsi="標楷體"/>
          <w:szCs w:val="22"/>
        </w:rPr>
      </w:pPr>
      <w:r w:rsidRPr="00212D57">
        <w:rPr>
          <w:rFonts w:ascii="標楷體" w:eastAsia="標楷體" w:hAnsi="標楷體"/>
          <w:szCs w:val="22"/>
        </w:rPr>
        <w:t>《無熱惱請</w:t>
      </w:r>
      <w:r w:rsidRPr="00212D57">
        <w:rPr>
          <w:rFonts w:ascii="標楷體" w:eastAsia="標楷體" w:hAnsi="標楷體" w:hint="eastAsia"/>
          <w:szCs w:val="22"/>
        </w:rPr>
        <w:t>問</w:t>
      </w:r>
      <w:r w:rsidRPr="00212D57">
        <w:rPr>
          <w:rFonts w:ascii="標楷體" w:eastAsia="標楷體" w:hAnsi="標楷體"/>
          <w:szCs w:val="22"/>
        </w:rPr>
        <w:t>經》云：</w:t>
      </w:r>
      <w:r w:rsidRPr="00212D57">
        <w:rPr>
          <w:rFonts w:ascii="標楷體" w:eastAsia="標楷體" w:hAnsi="標楷體" w:hint="eastAsia"/>
          <w:szCs w:val="22"/>
        </w:rPr>
        <w:t>「若從緣生即無生，於彼非有生自性，若法仗緣說彼空，若了知空不放逸。」</w:t>
      </w:r>
    </w:p>
  </w:footnote>
  <w:footnote w:id="490">
    <w:p w:rsidR="007C39E5" w:rsidRPr="00212D57" w:rsidRDefault="007C39E5" w:rsidP="007C39E5">
      <w:pPr>
        <w:pStyle w:val="a5"/>
        <w:ind w:left="792" w:hangingChars="360" w:hanging="792"/>
        <w:jc w:val="both"/>
        <w:rPr>
          <w:szCs w:val="22"/>
        </w:rPr>
      </w:pPr>
      <w:r w:rsidRPr="00212D57">
        <w:rPr>
          <w:rStyle w:val="a6"/>
          <w:szCs w:val="22"/>
        </w:rPr>
        <w:footnoteRef/>
      </w:r>
      <w:r w:rsidRPr="00212D57">
        <w:rPr>
          <w:rFonts w:ascii="新細明體" w:hAnsi="新細明體" w:hint="eastAsia"/>
          <w:szCs w:val="22"/>
        </w:rPr>
        <w:t xml:space="preserve"> </w:t>
      </w:r>
      <w:r w:rsidRPr="00212D57">
        <w:rPr>
          <w:rFonts w:ascii="新細明體" w:hAnsi="新細明體"/>
          <w:szCs w:val="22"/>
        </w:rPr>
        <w:t>（</w:t>
      </w:r>
      <w:r w:rsidRPr="00761EF3">
        <w:rPr>
          <w:szCs w:val="22"/>
        </w:rPr>
        <w:t>1</w:t>
      </w:r>
      <w:r w:rsidRPr="00212D57">
        <w:rPr>
          <w:rFonts w:ascii="新細明體" w:hAnsi="新細明體"/>
          <w:szCs w:val="22"/>
        </w:rPr>
        <w:t>）</w:t>
      </w:r>
      <w:r w:rsidRPr="00212D57">
        <w:rPr>
          <w:szCs w:val="22"/>
        </w:rPr>
        <w:t>《中論》卷</w:t>
      </w:r>
      <w:r w:rsidRPr="00761EF3">
        <w:rPr>
          <w:szCs w:val="22"/>
        </w:rPr>
        <w:t>2</w:t>
      </w:r>
      <w:r w:rsidRPr="00212D57">
        <w:rPr>
          <w:szCs w:val="22"/>
        </w:rPr>
        <w:t>〈</w:t>
      </w:r>
      <w:r w:rsidRPr="00761EF3">
        <w:rPr>
          <w:rFonts w:hint="eastAsia"/>
          <w:szCs w:val="22"/>
        </w:rPr>
        <w:t>7</w:t>
      </w:r>
      <w:r w:rsidRPr="00212D57">
        <w:rPr>
          <w:szCs w:val="22"/>
        </w:rPr>
        <w:t xml:space="preserve"> </w:t>
      </w:r>
      <w:r w:rsidRPr="00212D57">
        <w:rPr>
          <w:szCs w:val="22"/>
        </w:rPr>
        <w:t>觀三相品〉（大正</w:t>
      </w:r>
      <w:r w:rsidRPr="00761EF3">
        <w:rPr>
          <w:szCs w:val="22"/>
        </w:rPr>
        <w:t>30</w:t>
      </w:r>
      <w:r w:rsidRPr="00212D57">
        <w:rPr>
          <w:szCs w:val="22"/>
        </w:rPr>
        <w:t>，</w:t>
      </w:r>
      <w:r w:rsidRPr="00761EF3">
        <w:rPr>
          <w:szCs w:val="22"/>
        </w:rPr>
        <w:t>9a26</w:t>
      </w:r>
      <w:r w:rsidRPr="00212D57">
        <w:rPr>
          <w:szCs w:val="22"/>
        </w:rPr>
        <w:t>-</w:t>
      </w:r>
      <w:r w:rsidRPr="00761EF3">
        <w:rPr>
          <w:szCs w:val="22"/>
        </w:rPr>
        <w:t>27</w:t>
      </w:r>
      <w:r w:rsidRPr="00212D57">
        <w:rPr>
          <w:szCs w:val="22"/>
        </w:rPr>
        <w:t>）</w:t>
      </w:r>
      <w:r w:rsidRPr="00212D57">
        <w:rPr>
          <w:rFonts w:hint="eastAsia"/>
          <w:szCs w:val="22"/>
        </w:rPr>
        <w:t>：</w:t>
      </w:r>
    </w:p>
    <w:p w:rsidR="007C39E5" w:rsidRPr="00212D57" w:rsidRDefault="007C39E5" w:rsidP="007C39E5">
      <w:pPr>
        <w:pStyle w:val="a5"/>
        <w:ind w:leftChars="335" w:left="804"/>
        <w:jc w:val="both"/>
        <w:rPr>
          <w:rFonts w:ascii="標楷體" w:eastAsia="標楷體" w:hAnsi="標楷體"/>
          <w:szCs w:val="22"/>
        </w:rPr>
      </w:pPr>
      <w:r w:rsidRPr="00212D57">
        <w:rPr>
          <w:rFonts w:ascii="標楷體" w:eastAsia="標楷體" w:hAnsi="標楷體"/>
          <w:szCs w:val="22"/>
        </w:rPr>
        <w:t>三相若聚散，不能有所相，云何於一</w:t>
      </w:r>
      <w:r w:rsidRPr="00DA0E34">
        <w:rPr>
          <w:rFonts w:ascii="標楷體" w:eastAsia="標楷體" w:hAnsi="標楷體"/>
          <w:szCs w:val="22"/>
          <w:highlight w:val="yellow"/>
        </w:rPr>
        <w:t>處一</w:t>
      </w:r>
      <w:r w:rsidRPr="00212D57">
        <w:rPr>
          <w:rFonts w:ascii="標楷體" w:eastAsia="標楷體" w:hAnsi="標楷體"/>
          <w:szCs w:val="22"/>
        </w:rPr>
        <w:t>時有三相</w:t>
      </w:r>
      <w:r w:rsidRPr="00212D57">
        <w:rPr>
          <w:rFonts w:ascii="標楷體" w:eastAsia="標楷體" w:hAnsi="標楷體" w:hint="eastAsia"/>
          <w:szCs w:val="22"/>
        </w:rPr>
        <w:t>？</w:t>
      </w:r>
      <w:r w:rsidRPr="00212D57">
        <w:rPr>
          <w:rFonts w:ascii="標楷體" w:eastAsia="標楷體" w:hAnsi="標楷體"/>
          <w:szCs w:val="22"/>
        </w:rPr>
        <w:t xml:space="preserve"> </w:t>
      </w:r>
    </w:p>
    <w:p w:rsidR="007C39E5" w:rsidRPr="00212D57" w:rsidRDefault="007C39E5" w:rsidP="007C39E5">
      <w:pPr>
        <w:pStyle w:val="a5"/>
        <w:ind w:leftChars="105" w:left="791" w:hangingChars="245" w:hanging="539"/>
        <w:jc w:val="both"/>
        <w:rPr>
          <w:szCs w:val="22"/>
        </w:rPr>
      </w:pPr>
      <w:r w:rsidRPr="00212D57">
        <w:rPr>
          <w:rFonts w:ascii="新細明體" w:hAnsi="新細明體"/>
          <w:szCs w:val="22"/>
        </w:rPr>
        <w:t>（</w:t>
      </w:r>
      <w:r w:rsidRPr="00761EF3">
        <w:rPr>
          <w:szCs w:val="22"/>
        </w:rPr>
        <w:t>2</w:t>
      </w:r>
      <w:r w:rsidRPr="00212D57">
        <w:rPr>
          <w:rFonts w:ascii="新細明體" w:hAnsi="新細明體"/>
          <w:szCs w:val="22"/>
        </w:rPr>
        <w:t>）</w:t>
      </w:r>
      <w:r>
        <w:rPr>
          <w:rFonts w:ascii="新細明體" w:hAnsi="新細明體" w:hint="eastAsia"/>
          <w:szCs w:val="22"/>
        </w:rPr>
        <w:t>參見：印</w:t>
      </w:r>
      <w:r w:rsidRPr="00212D57">
        <w:rPr>
          <w:rFonts w:ascii="新細明體" w:hAnsi="新細明體" w:hint="eastAsia"/>
          <w:szCs w:val="22"/>
        </w:rPr>
        <w:t>順法師，《</w:t>
      </w:r>
      <w:r w:rsidRPr="00212D57">
        <w:rPr>
          <w:rFonts w:hint="eastAsia"/>
          <w:szCs w:val="22"/>
        </w:rPr>
        <w:t>中觀論頌講記</w:t>
      </w:r>
      <w:r w:rsidRPr="00212D57">
        <w:rPr>
          <w:szCs w:val="22"/>
        </w:rPr>
        <w:t>》，</w:t>
      </w:r>
      <w:r w:rsidRPr="00761EF3">
        <w:rPr>
          <w:szCs w:val="22"/>
        </w:rPr>
        <w:t>pp</w:t>
      </w:r>
      <w:r w:rsidRPr="00212D57">
        <w:rPr>
          <w:szCs w:val="22"/>
        </w:rPr>
        <w:t>.</w:t>
      </w:r>
      <w:r w:rsidRPr="00761EF3">
        <w:rPr>
          <w:rFonts w:hint="eastAsia"/>
          <w:szCs w:val="22"/>
        </w:rPr>
        <w:t>145</w:t>
      </w:r>
      <w:r w:rsidRPr="00212D57">
        <w:rPr>
          <w:szCs w:val="22"/>
        </w:rPr>
        <w:t>-</w:t>
      </w:r>
      <w:r w:rsidRPr="00761EF3">
        <w:rPr>
          <w:rFonts w:hint="eastAsia"/>
          <w:szCs w:val="22"/>
        </w:rPr>
        <w:t>146</w:t>
      </w:r>
      <w:r w:rsidRPr="00212D57">
        <w:rPr>
          <w:rFonts w:hint="eastAsia"/>
          <w:szCs w:val="22"/>
        </w:rPr>
        <w:t>：</w:t>
      </w:r>
    </w:p>
    <w:p w:rsidR="007C39E5" w:rsidRPr="00212D57" w:rsidRDefault="007C39E5" w:rsidP="007C39E5">
      <w:pPr>
        <w:widowControl/>
        <w:snapToGrid w:val="0"/>
        <w:ind w:leftChars="335" w:left="804"/>
        <w:jc w:val="both"/>
        <w:rPr>
          <w:rFonts w:ascii="標楷體" w:eastAsia="標楷體" w:hAnsi="標楷體" w:cs="新細明體"/>
          <w:sz w:val="22"/>
          <w:szCs w:val="22"/>
        </w:rPr>
      </w:pPr>
      <w:r w:rsidRPr="00212D57">
        <w:rPr>
          <w:rFonts w:ascii="標楷體" w:eastAsia="標楷體" w:hAnsi="標楷體" w:cs="新細明體"/>
          <w:sz w:val="22"/>
          <w:szCs w:val="22"/>
        </w:rPr>
        <w:t>三相在同一的時間中具足，叫聚；有前有後，在初中後中具足，叫散。</w:t>
      </w:r>
    </w:p>
    <w:p w:rsidR="007C39E5" w:rsidRPr="00212D57" w:rsidRDefault="007C39E5" w:rsidP="00AE3920">
      <w:pPr>
        <w:widowControl/>
        <w:snapToGrid w:val="0"/>
        <w:spacing w:beforeLines="20"/>
        <w:ind w:leftChars="335" w:left="804"/>
        <w:jc w:val="both"/>
        <w:rPr>
          <w:rFonts w:ascii="標楷體" w:eastAsia="標楷體" w:hAnsi="標楷體" w:cs="新細明體"/>
          <w:sz w:val="22"/>
          <w:szCs w:val="22"/>
        </w:rPr>
      </w:pPr>
      <w:r w:rsidRPr="00212D57">
        <w:rPr>
          <w:rFonts w:ascii="標楷體" w:eastAsia="標楷體" w:hAnsi="標楷體" w:cs="新細明體"/>
          <w:sz w:val="22"/>
          <w:szCs w:val="22"/>
        </w:rPr>
        <w:t>說三相為有為法作相的，到底說同時有三相？還是前後次第有三相？</w:t>
      </w:r>
    </w:p>
    <w:p w:rsidR="007C39E5" w:rsidRDefault="007C39E5" w:rsidP="00AE3920">
      <w:pPr>
        <w:widowControl/>
        <w:snapToGrid w:val="0"/>
        <w:spacing w:beforeLines="20"/>
        <w:ind w:leftChars="335" w:left="804"/>
        <w:jc w:val="both"/>
        <w:rPr>
          <w:rFonts w:ascii="標楷體" w:eastAsia="標楷體" w:hAnsi="標楷體" w:cs="新細明體"/>
          <w:b/>
          <w:sz w:val="22"/>
          <w:szCs w:val="22"/>
        </w:rPr>
      </w:pPr>
      <w:r w:rsidRPr="00212D57">
        <w:rPr>
          <w:rFonts w:ascii="標楷體" w:eastAsia="標楷體" w:hAnsi="標楷體" w:cs="新細明體"/>
          <w:b/>
          <w:sz w:val="22"/>
          <w:szCs w:val="22"/>
        </w:rPr>
        <w:t>有部與犢子系，主張在一法的一剎那中，同時有三相。</w:t>
      </w:r>
    </w:p>
    <w:p w:rsidR="007C39E5" w:rsidRPr="00212D57" w:rsidRDefault="007C39E5" w:rsidP="00AE3920">
      <w:pPr>
        <w:widowControl/>
        <w:snapToGrid w:val="0"/>
        <w:spacing w:beforeLines="20"/>
        <w:ind w:leftChars="335" w:left="804"/>
        <w:jc w:val="both"/>
        <w:rPr>
          <w:rFonts w:ascii="標楷體" w:eastAsia="標楷體" w:hAnsi="標楷體" w:cs="新細明體"/>
          <w:sz w:val="22"/>
          <w:szCs w:val="22"/>
        </w:rPr>
      </w:pPr>
      <w:r w:rsidRPr="00212D57">
        <w:rPr>
          <w:rFonts w:ascii="標楷體" w:eastAsia="標楷體" w:hAnsi="標楷體" w:cs="新細明體"/>
          <w:sz w:val="22"/>
          <w:szCs w:val="22"/>
        </w:rPr>
        <w:t>但這是相當困難的；假定說，在一法一剎那中，聚有三相，這不是同時有生、住、滅的作用了嗎？</w:t>
      </w:r>
    </w:p>
    <w:p w:rsidR="007C39E5" w:rsidRDefault="007C39E5" w:rsidP="00AE3920">
      <w:pPr>
        <w:widowControl/>
        <w:snapToGrid w:val="0"/>
        <w:spacing w:beforeLines="20"/>
        <w:ind w:leftChars="335" w:left="804"/>
        <w:jc w:val="both"/>
        <w:rPr>
          <w:rFonts w:ascii="標楷體" w:eastAsia="標楷體" w:hAnsi="標楷體" w:cs="新細明體"/>
          <w:sz w:val="22"/>
          <w:szCs w:val="22"/>
        </w:rPr>
      </w:pPr>
      <w:r w:rsidRPr="007A4432">
        <w:rPr>
          <w:rFonts w:ascii="標楷體" w:eastAsia="標楷體" w:hAnsi="標楷體" w:cs="新細明體"/>
          <w:sz w:val="22"/>
          <w:szCs w:val="22"/>
        </w:rPr>
        <w:t>有部說：我雖說同時有，卻不是這樣講的。一念心中三相共有，這是就三相法體說的。作用方面，生起生的作用時，住、滅的作用還沒有；起住的作用時，生的作用已過去，滅的作用還沒有來；起滅的作用時，住的作用也成過去。所以法體同時有，作用有前後的差別，這有什麼困難不通呢？</w:t>
      </w:r>
    </w:p>
    <w:p w:rsidR="007C39E5" w:rsidRPr="007A4432" w:rsidRDefault="007C39E5" w:rsidP="00AE3920">
      <w:pPr>
        <w:widowControl/>
        <w:snapToGrid w:val="0"/>
        <w:spacing w:beforeLines="20"/>
        <w:ind w:leftChars="335" w:left="804"/>
        <w:jc w:val="both"/>
        <w:rPr>
          <w:rFonts w:ascii="標楷體" w:eastAsia="標楷體" w:hAnsi="標楷體" w:cs="新細明體"/>
          <w:sz w:val="22"/>
          <w:szCs w:val="22"/>
        </w:rPr>
      </w:pPr>
      <w:r w:rsidRPr="007A4432">
        <w:rPr>
          <w:rFonts w:ascii="標楷體" w:eastAsia="標楷體" w:hAnsi="標楷體" w:cs="新細明體"/>
          <w:sz w:val="22"/>
          <w:szCs w:val="22"/>
        </w:rPr>
        <w:t>但他說到</w:t>
      </w:r>
      <w:r w:rsidRPr="007A4432">
        <w:rPr>
          <w:rFonts w:ascii="標楷體" w:eastAsia="標楷體" w:hAnsi="標楷體" w:cs="新細明體"/>
          <w:b/>
          <w:sz w:val="22"/>
          <w:szCs w:val="22"/>
        </w:rPr>
        <w:t>剎那，是沒有前後的，沒有前後分，怎麼可說生用起，住、滅作用未起？滅用起，生、住作用已成過去？</w:t>
      </w:r>
      <w:r w:rsidRPr="007A4432">
        <w:rPr>
          <w:rFonts w:ascii="標楷體" w:eastAsia="標楷體" w:hAnsi="標楷體" w:cs="新細明體"/>
          <w:sz w:val="22"/>
          <w:szCs w:val="22"/>
        </w:rPr>
        <w:t>由此，可見</w:t>
      </w:r>
      <w:r w:rsidRPr="007A4432">
        <w:rPr>
          <w:rFonts w:ascii="標楷體" w:eastAsia="標楷體" w:hAnsi="標楷體" w:cs="新細明體"/>
          <w:b/>
          <w:sz w:val="22"/>
          <w:szCs w:val="22"/>
        </w:rPr>
        <w:t>體同時而用前後，是講不通的</w:t>
      </w:r>
      <w:r w:rsidRPr="007A4432">
        <w:rPr>
          <w:rFonts w:ascii="標楷體" w:eastAsia="標楷體" w:hAnsi="標楷體" w:cs="新細明體"/>
          <w:sz w:val="22"/>
          <w:szCs w:val="22"/>
        </w:rPr>
        <w:t>。</w:t>
      </w:r>
    </w:p>
    <w:p w:rsidR="007C39E5" w:rsidRDefault="007C39E5" w:rsidP="00AE3920">
      <w:pPr>
        <w:widowControl/>
        <w:snapToGrid w:val="0"/>
        <w:spacing w:beforeLines="20"/>
        <w:ind w:leftChars="335" w:left="804"/>
        <w:jc w:val="both"/>
        <w:rPr>
          <w:rFonts w:ascii="標楷體" w:eastAsia="標楷體" w:hAnsi="標楷體" w:cs="新細明體"/>
          <w:sz w:val="22"/>
          <w:szCs w:val="22"/>
        </w:rPr>
      </w:pPr>
      <w:r w:rsidRPr="007A4432">
        <w:rPr>
          <w:rFonts w:ascii="標楷體" w:eastAsia="標楷體" w:hAnsi="標楷體" w:cs="新細明體"/>
          <w:b/>
          <w:sz w:val="22"/>
          <w:szCs w:val="22"/>
        </w:rPr>
        <w:t>經部主張三相有前後，他說：先生，次住，後滅</w:t>
      </w:r>
      <w:r w:rsidRPr="007A4432">
        <w:rPr>
          <w:rFonts w:ascii="標楷體" w:eastAsia="標楷體" w:hAnsi="標楷體" w:cs="新細明體"/>
          <w:sz w:val="22"/>
          <w:szCs w:val="22"/>
        </w:rPr>
        <w:t>，這在相續行上建立。</w:t>
      </w:r>
    </w:p>
    <w:p w:rsidR="007C39E5" w:rsidRDefault="007C39E5" w:rsidP="00AE3920">
      <w:pPr>
        <w:widowControl/>
        <w:snapToGrid w:val="0"/>
        <w:spacing w:beforeLines="20"/>
        <w:ind w:leftChars="335" w:left="804"/>
        <w:jc w:val="both"/>
        <w:rPr>
          <w:rFonts w:ascii="標楷體" w:eastAsia="標楷體" w:hAnsi="標楷體" w:cs="新細明體"/>
          <w:sz w:val="22"/>
          <w:szCs w:val="22"/>
        </w:rPr>
      </w:pPr>
      <w:r w:rsidRPr="007A4432">
        <w:rPr>
          <w:rFonts w:ascii="標楷體" w:eastAsia="標楷體" w:hAnsi="標楷體" w:cs="新細明體"/>
          <w:sz w:val="22"/>
          <w:szCs w:val="22"/>
        </w:rPr>
        <w:t>但佛說有為法有三相，現在不是承認一一剎那中沒有三有為相嗎？</w:t>
      </w:r>
    </w:p>
    <w:p w:rsidR="007C39E5" w:rsidRPr="007A4432" w:rsidRDefault="007C39E5" w:rsidP="00AE3920">
      <w:pPr>
        <w:widowControl/>
        <w:snapToGrid w:val="0"/>
        <w:spacing w:beforeLines="20"/>
        <w:ind w:leftChars="335" w:left="804"/>
        <w:jc w:val="both"/>
        <w:rPr>
          <w:rFonts w:ascii="標楷體" w:eastAsia="標楷體" w:hAnsi="標楷體" w:cs="新細明體"/>
          <w:sz w:val="22"/>
          <w:szCs w:val="22"/>
        </w:rPr>
      </w:pPr>
      <w:r w:rsidRPr="007A4432">
        <w:rPr>
          <w:rFonts w:ascii="標楷體" w:eastAsia="標楷體" w:hAnsi="標楷體" w:cs="新細明體"/>
          <w:sz w:val="22"/>
          <w:szCs w:val="22"/>
        </w:rPr>
        <w:t>他說：我雖主張三相前後起，但在一念心中也還是可以說有三相的；剎那間的生起是生，過去的是滅了。這剎那在相續不斷的流行中，可以說住。這是觀待建立的，如人的長短，因甲的長，有乙的短，因丙的短，才顯出乙的長，不是單在乙的個人身上，可以說出他的長短。</w:t>
      </w:r>
    </w:p>
    <w:p w:rsidR="007C39E5" w:rsidRDefault="007C39E5" w:rsidP="00AE3920">
      <w:pPr>
        <w:widowControl/>
        <w:snapToGrid w:val="0"/>
        <w:spacing w:beforeLines="20"/>
        <w:ind w:leftChars="335" w:left="804"/>
        <w:jc w:val="both"/>
        <w:rPr>
          <w:rFonts w:ascii="標楷體" w:eastAsia="標楷體" w:hAnsi="標楷體" w:cs="新細明體"/>
          <w:sz w:val="22"/>
          <w:szCs w:val="22"/>
        </w:rPr>
      </w:pPr>
      <w:r w:rsidRPr="007A4432">
        <w:rPr>
          <w:rFonts w:ascii="標楷體" w:eastAsia="標楷體" w:hAnsi="標楷體" w:cs="新細明體"/>
          <w:sz w:val="22"/>
          <w:szCs w:val="22"/>
        </w:rPr>
        <w:t>這觀待假立，不過是緣起假名，但他要在現在實有的剎那心上建立，這怎麼得行呢</w:t>
      </w:r>
      <w:r w:rsidRPr="00212D57">
        <w:rPr>
          <w:rFonts w:ascii="標楷體" w:eastAsia="標楷體" w:hAnsi="標楷體" w:cs="新細明體"/>
          <w:sz w:val="22"/>
          <w:szCs w:val="22"/>
        </w:rPr>
        <w:t>？</w:t>
      </w:r>
    </w:p>
    <w:p w:rsidR="007C39E5" w:rsidRPr="00212D57" w:rsidRDefault="007C39E5" w:rsidP="00AE3920">
      <w:pPr>
        <w:widowControl/>
        <w:snapToGrid w:val="0"/>
        <w:spacing w:beforeLines="20"/>
        <w:ind w:leftChars="335" w:left="804"/>
        <w:jc w:val="both"/>
        <w:rPr>
          <w:rFonts w:ascii="標楷體" w:eastAsia="標楷體" w:hAnsi="標楷體" w:cs="新細明體"/>
          <w:sz w:val="22"/>
          <w:szCs w:val="22"/>
        </w:rPr>
      </w:pPr>
      <w:r w:rsidRPr="00212D57">
        <w:rPr>
          <w:rFonts w:ascii="標楷體" w:eastAsia="標楷體" w:hAnsi="標楷體" w:cs="新細明體"/>
          <w:sz w:val="22"/>
          <w:szCs w:val="22"/>
        </w:rPr>
        <w:t>所以「三相若聚」若「散」，對有為法，都「不能有所」表「相」。</w:t>
      </w:r>
    </w:p>
    <w:p w:rsidR="007C39E5" w:rsidRPr="00212D57" w:rsidRDefault="007C39E5" w:rsidP="007C39E5">
      <w:pPr>
        <w:widowControl/>
        <w:snapToGrid w:val="0"/>
        <w:ind w:leftChars="335" w:left="804"/>
        <w:jc w:val="both"/>
        <w:rPr>
          <w:rFonts w:ascii="標楷體" w:eastAsia="標楷體" w:hAnsi="標楷體" w:cs="新細明體"/>
          <w:b/>
          <w:sz w:val="22"/>
          <w:szCs w:val="22"/>
        </w:rPr>
      </w:pPr>
      <w:r w:rsidRPr="00212D57">
        <w:rPr>
          <w:rFonts w:ascii="標楷體" w:eastAsia="標楷體" w:hAnsi="標楷體" w:cs="新細明體"/>
          <w:b/>
          <w:sz w:val="22"/>
          <w:szCs w:val="22"/>
        </w:rPr>
        <w:t>一法上聚有三相，有生滅自相矛盾的過失。</w:t>
      </w:r>
    </w:p>
    <w:p w:rsidR="007C39E5" w:rsidRPr="00212D57" w:rsidRDefault="007C39E5" w:rsidP="007C39E5">
      <w:pPr>
        <w:widowControl/>
        <w:snapToGrid w:val="0"/>
        <w:ind w:leftChars="335" w:left="804"/>
        <w:jc w:val="both"/>
        <w:rPr>
          <w:rFonts w:ascii="標楷體" w:eastAsia="標楷體" w:hAnsi="標楷體" w:cs="新細明體"/>
          <w:b/>
          <w:sz w:val="22"/>
          <w:szCs w:val="22"/>
        </w:rPr>
      </w:pPr>
      <w:r w:rsidRPr="00212D57">
        <w:rPr>
          <w:rFonts w:ascii="標楷體" w:eastAsia="標楷體" w:hAnsi="標楷體" w:cs="新細明體"/>
          <w:b/>
          <w:sz w:val="22"/>
          <w:szCs w:val="22"/>
        </w:rPr>
        <w:t>也不能說前後有三相，有生無滅，有滅無生，也不能表示他是有為。</w:t>
      </w:r>
    </w:p>
    <w:p w:rsidR="007C39E5" w:rsidRDefault="007C39E5" w:rsidP="007C39E5">
      <w:pPr>
        <w:widowControl/>
        <w:snapToGrid w:val="0"/>
        <w:ind w:leftChars="335" w:left="804"/>
        <w:jc w:val="both"/>
        <w:rPr>
          <w:rFonts w:ascii="標楷體" w:eastAsia="標楷體" w:hAnsi="標楷體" w:cs="新細明體"/>
          <w:sz w:val="22"/>
          <w:szCs w:val="22"/>
        </w:rPr>
      </w:pPr>
      <w:r w:rsidRPr="00212D57">
        <w:rPr>
          <w:rFonts w:ascii="標楷體" w:eastAsia="標楷體" w:hAnsi="標楷體" w:cs="新細明體"/>
          <w:sz w:val="22"/>
          <w:szCs w:val="22"/>
        </w:rPr>
        <w:t>一定要說三相同時，你想想，怎麼可說「於一處一時有三相」呢？</w:t>
      </w:r>
    </w:p>
    <w:p w:rsidR="007C39E5" w:rsidRDefault="007C39E5" w:rsidP="00AE3920">
      <w:pPr>
        <w:widowControl/>
        <w:snapToGrid w:val="0"/>
        <w:spacing w:beforeLines="20"/>
        <w:ind w:leftChars="335" w:left="804"/>
        <w:jc w:val="both"/>
        <w:rPr>
          <w:rFonts w:ascii="標楷體" w:eastAsia="標楷體" w:hAnsi="標楷體" w:cs="新細明體"/>
          <w:sz w:val="22"/>
          <w:szCs w:val="22"/>
        </w:rPr>
      </w:pPr>
      <w:r w:rsidRPr="00212D57">
        <w:rPr>
          <w:rFonts w:ascii="標楷體" w:eastAsia="標楷體" w:hAnsi="標楷體" w:cs="新細明體"/>
          <w:sz w:val="22"/>
          <w:szCs w:val="22"/>
        </w:rPr>
        <w:t>在大乘學者，都承認即生即住即滅的同時三相的，但他的意義，是值得研究的。</w:t>
      </w:r>
    </w:p>
    <w:p w:rsidR="007C39E5" w:rsidRDefault="007C39E5" w:rsidP="00AE3920">
      <w:pPr>
        <w:widowControl/>
        <w:snapToGrid w:val="0"/>
        <w:spacing w:beforeLines="20"/>
        <w:ind w:leftChars="335" w:left="804"/>
        <w:jc w:val="both"/>
        <w:rPr>
          <w:rFonts w:ascii="標楷體" w:eastAsia="標楷體" w:hAnsi="標楷體" w:cs="新細明體"/>
          <w:sz w:val="22"/>
          <w:szCs w:val="22"/>
        </w:rPr>
      </w:pPr>
      <w:r w:rsidRPr="00212D57">
        <w:rPr>
          <w:rFonts w:ascii="標楷體" w:eastAsia="標楷體" w:hAnsi="標楷體" w:cs="新細明體"/>
          <w:sz w:val="22"/>
          <w:szCs w:val="22"/>
        </w:rPr>
        <w:t>《成唯識論》在一剎那心中建立即生即滅說：</w:t>
      </w:r>
      <w:r w:rsidRPr="00212D57">
        <w:rPr>
          <w:rFonts w:ascii="標楷體" w:eastAsia="標楷體" w:hAnsi="標楷體" w:cs="新細明體" w:hint="eastAsia"/>
          <w:sz w:val="22"/>
          <w:szCs w:val="22"/>
        </w:rPr>
        <w:t>「</w:t>
      </w:r>
      <w:r w:rsidRPr="00212D57">
        <w:rPr>
          <w:rFonts w:ascii="標楷體" w:eastAsia="標楷體" w:hAnsi="標楷體" w:cs="新細明體"/>
          <w:sz w:val="22"/>
          <w:szCs w:val="22"/>
        </w:rPr>
        <w:t>如秤兩頭，低昂時等。</w:t>
      </w:r>
      <w:r w:rsidRPr="00212D57">
        <w:rPr>
          <w:rFonts w:ascii="標楷體" w:eastAsia="標楷體" w:hAnsi="標楷體" w:cs="新細明體" w:hint="eastAsia"/>
          <w:sz w:val="22"/>
          <w:szCs w:val="22"/>
        </w:rPr>
        <w:t>」</w:t>
      </w:r>
    </w:p>
    <w:p w:rsidR="007C39E5" w:rsidRDefault="007C39E5" w:rsidP="00AE3920">
      <w:pPr>
        <w:widowControl/>
        <w:snapToGrid w:val="0"/>
        <w:spacing w:beforeLines="20"/>
        <w:ind w:leftChars="335" w:left="804"/>
        <w:jc w:val="both"/>
        <w:rPr>
          <w:rFonts w:ascii="標楷體" w:eastAsia="標楷體" w:hAnsi="標楷體" w:cs="新細明體"/>
          <w:sz w:val="22"/>
          <w:szCs w:val="22"/>
        </w:rPr>
      </w:pPr>
      <w:r w:rsidRPr="00212D57">
        <w:rPr>
          <w:rFonts w:ascii="標楷體" w:eastAsia="標楷體" w:hAnsi="標楷體" w:cs="新細明體"/>
          <w:sz w:val="22"/>
          <w:szCs w:val="22"/>
        </w:rPr>
        <w:t>但這是否可通，在理論上是值得考慮的。秤有兩頭，有長度，所以可有低昂同時的現象。不可分的剎那心，也可以說有兩頭生滅同時嗎？</w:t>
      </w:r>
    </w:p>
    <w:p w:rsidR="007C39E5" w:rsidRPr="00212D57" w:rsidRDefault="007C39E5" w:rsidP="00AE3920">
      <w:pPr>
        <w:widowControl/>
        <w:snapToGrid w:val="0"/>
        <w:spacing w:beforeLines="20"/>
        <w:ind w:leftChars="335" w:left="804"/>
        <w:jc w:val="both"/>
        <w:rPr>
          <w:rFonts w:ascii="標楷體" w:eastAsia="標楷體" w:hAnsi="標楷體"/>
          <w:sz w:val="22"/>
          <w:szCs w:val="22"/>
        </w:rPr>
      </w:pPr>
      <w:r w:rsidRPr="00212D57">
        <w:rPr>
          <w:rFonts w:ascii="標楷體" w:eastAsia="標楷體" w:hAnsi="標楷體" w:cs="新細明體"/>
          <w:sz w:val="22"/>
          <w:szCs w:val="22"/>
        </w:rPr>
        <w:t>空宗不許無分的剎那心，在貫徹過未的現在相續中，觀待假名才能說即生即滅。</w:t>
      </w:r>
    </w:p>
  </w:footnote>
  <w:footnote w:id="491">
    <w:p w:rsidR="00157EF6" w:rsidRPr="00212D57" w:rsidRDefault="00157EF6" w:rsidP="00B5316E">
      <w:pPr>
        <w:pStyle w:val="a5"/>
        <w:ind w:left="792" w:hangingChars="360" w:hanging="792"/>
        <w:jc w:val="both"/>
        <w:rPr>
          <w:rFonts w:eastAsia="SimSun"/>
          <w:szCs w:val="22"/>
        </w:rPr>
      </w:pPr>
      <w:r w:rsidRPr="00212D57">
        <w:rPr>
          <w:rStyle w:val="a6"/>
          <w:szCs w:val="22"/>
        </w:rPr>
        <w:footnoteRef/>
      </w:r>
      <w:r w:rsidRPr="00212D57">
        <w:rPr>
          <w:rFonts w:ascii="新細明體" w:hAnsi="新細明體" w:hint="eastAsia"/>
          <w:szCs w:val="22"/>
        </w:rPr>
        <w:t xml:space="preserve"> （</w:t>
      </w:r>
      <w:r w:rsidRPr="00761EF3">
        <w:rPr>
          <w:szCs w:val="22"/>
        </w:rPr>
        <w:t>1</w:t>
      </w:r>
      <w:r w:rsidRPr="00212D57">
        <w:rPr>
          <w:rFonts w:ascii="新細明體" w:hAnsi="新細明體" w:hint="eastAsia"/>
          <w:szCs w:val="22"/>
        </w:rPr>
        <w:t>）</w:t>
      </w:r>
      <w:r w:rsidR="009160B5">
        <w:rPr>
          <w:rFonts w:ascii="新細明體" w:hAnsi="新細明體" w:hint="eastAsia"/>
          <w:szCs w:val="22"/>
        </w:rPr>
        <w:t>參見：印</w:t>
      </w:r>
      <w:r w:rsidRPr="00212D57">
        <w:rPr>
          <w:rFonts w:ascii="新細明體" w:hAnsi="新細明體" w:hint="eastAsia"/>
          <w:szCs w:val="22"/>
        </w:rPr>
        <w:t>順法師，《唯識學探源》，</w:t>
      </w:r>
      <w:r w:rsidRPr="00761EF3">
        <w:rPr>
          <w:rFonts w:hint="eastAsia"/>
          <w:szCs w:val="22"/>
        </w:rPr>
        <w:t>p</w:t>
      </w:r>
      <w:r w:rsidRPr="00212D57">
        <w:rPr>
          <w:rFonts w:hint="eastAsia"/>
          <w:szCs w:val="22"/>
        </w:rPr>
        <w:t>.</w:t>
      </w:r>
      <w:r w:rsidRPr="00761EF3">
        <w:rPr>
          <w:rFonts w:eastAsia="SimSun" w:hint="eastAsia"/>
          <w:szCs w:val="22"/>
        </w:rPr>
        <w:t>71</w:t>
      </w:r>
      <w:r w:rsidRPr="00212D57">
        <w:rPr>
          <w:rFonts w:ascii="新細明體" w:hAnsi="新細明體" w:hint="eastAsia"/>
          <w:szCs w:val="22"/>
        </w:rPr>
        <w:t>：</w:t>
      </w:r>
    </w:p>
    <w:p w:rsidR="00157EF6" w:rsidRPr="00212D57" w:rsidRDefault="00157EF6" w:rsidP="00B5316E">
      <w:pPr>
        <w:snapToGrid w:val="0"/>
        <w:ind w:leftChars="335" w:left="804"/>
        <w:jc w:val="both"/>
        <w:rPr>
          <w:rFonts w:ascii="標楷體" w:eastAsia="SimSun" w:hAnsi="標楷體"/>
          <w:sz w:val="22"/>
          <w:szCs w:val="22"/>
        </w:rPr>
      </w:pPr>
      <w:r w:rsidRPr="00212D57">
        <w:rPr>
          <w:rFonts w:ascii="標楷體" w:eastAsia="標楷體" w:hAnsi="標楷體" w:hint="eastAsia"/>
          <w:sz w:val="22"/>
          <w:szCs w:val="22"/>
        </w:rPr>
        <w:t>經部，經歷了長期的發展，因思想的紛歧，自然的產生了不同的流派。《成唯識論述記》（卷四），曾兩次談到經部的派別，一說：「經部此有三種：（一）根本，即鳩摩邏多。（二）室利邏多，造經部毘婆沙，《正理》所言上座是。（三）但名經部。以根本師造《結鬘論》，廣說譬喻，名譬喻師，從所說為名也。其實，總是一種經部。」</w:t>
      </w:r>
    </w:p>
    <w:p w:rsidR="00157EF6" w:rsidRPr="00212D57" w:rsidRDefault="00157EF6" w:rsidP="00B5316E">
      <w:pPr>
        <w:pStyle w:val="a5"/>
        <w:ind w:leftChars="105" w:left="791" w:hangingChars="245" w:hanging="539"/>
        <w:jc w:val="both"/>
        <w:rPr>
          <w:rFonts w:ascii="新細明體" w:eastAsia="SimSun" w:hAnsi="新細明體"/>
          <w:szCs w:val="22"/>
        </w:rPr>
      </w:pPr>
      <w:r w:rsidRPr="00212D57">
        <w:rPr>
          <w:rFonts w:ascii="新細明體" w:hAnsi="新細明體" w:hint="eastAsia"/>
          <w:szCs w:val="22"/>
        </w:rPr>
        <w:t>（</w:t>
      </w:r>
      <w:r w:rsidRPr="00761EF3">
        <w:rPr>
          <w:szCs w:val="22"/>
        </w:rPr>
        <w:t>2</w:t>
      </w:r>
      <w:r w:rsidRPr="00212D57">
        <w:rPr>
          <w:rFonts w:ascii="新細明體" w:hAnsi="新細明體" w:hint="eastAsia"/>
          <w:szCs w:val="22"/>
        </w:rPr>
        <w:t>）</w:t>
      </w:r>
      <w:r w:rsidR="009160B5">
        <w:rPr>
          <w:rFonts w:ascii="新細明體" w:hAnsi="新細明體" w:hint="eastAsia"/>
          <w:szCs w:val="22"/>
        </w:rPr>
        <w:t>參見：印</w:t>
      </w:r>
      <w:r w:rsidRPr="00212D57">
        <w:rPr>
          <w:rFonts w:ascii="新細明體" w:hAnsi="新細明體" w:hint="eastAsia"/>
          <w:szCs w:val="22"/>
        </w:rPr>
        <w:t>順法師，《說一切有部為主的論書與論師之研究》，</w:t>
      </w:r>
      <w:r w:rsidRPr="00761EF3">
        <w:rPr>
          <w:rFonts w:hint="eastAsia"/>
          <w:szCs w:val="22"/>
        </w:rPr>
        <w:t>p</w:t>
      </w:r>
      <w:r w:rsidRPr="00212D57">
        <w:rPr>
          <w:rFonts w:hint="eastAsia"/>
          <w:szCs w:val="22"/>
        </w:rPr>
        <w:t>.</w:t>
      </w:r>
      <w:r w:rsidRPr="00761EF3">
        <w:rPr>
          <w:rFonts w:eastAsia="SimSun" w:hint="eastAsia"/>
          <w:szCs w:val="22"/>
        </w:rPr>
        <w:t>534</w:t>
      </w:r>
      <w:r w:rsidRPr="00212D57">
        <w:rPr>
          <w:rFonts w:ascii="新細明體" w:hAnsi="新細明體" w:hint="eastAsia"/>
          <w:szCs w:val="22"/>
        </w:rPr>
        <w:t>：</w:t>
      </w:r>
    </w:p>
    <w:p w:rsidR="00DA0E34" w:rsidRDefault="00157EF6" w:rsidP="00B5316E">
      <w:pPr>
        <w:snapToGrid w:val="0"/>
        <w:ind w:leftChars="335" w:left="804"/>
        <w:jc w:val="both"/>
        <w:rPr>
          <w:rFonts w:ascii="標楷體" w:eastAsia="標楷體" w:hAnsi="標楷體"/>
          <w:sz w:val="22"/>
          <w:szCs w:val="22"/>
        </w:rPr>
      </w:pPr>
      <w:r w:rsidRPr="00212D57">
        <w:rPr>
          <w:rFonts w:ascii="標楷體" w:eastAsia="標楷體" w:hAnsi="標楷體" w:hint="eastAsia"/>
          <w:sz w:val="22"/>
          <w:szCs w:val="22"/>
        </w:rPr>
        <w:t>後期論書所傳的經部與譬喻師，大抵是看作同一的。</w:t>
      </w:r>
    </w:p>
    <w:p w:rsidR="00DA0E34" w:rsidRDefault="00157EF6" w:rsidP="00DA0E34">
      <w:pPr>
        <w:snapToGrid w:val="0"/>
        <w:ind w:leftChars="335" w:left="1024" w:hangingChars="100" w:hanging="220"/>
        <w:jc w:val="both"/>
        <w:rPr>
          <w:rFonts w:ascii="標楷體" w:eastAsia="標楷體" w:hAnsi="標楷體"/>
          <w:sz w:val="22"/>
          <w:szCs w:val="22"/>
        </w:rPr>
      </w:pPr>
      <w:r w:rsidRPr="00212D57">
        <w:rPr>
          <w:rFonts w:ascii="標楷體" w:eastAsia="標楷體" w:hAnsi="標楷體" w:hint="eastAsia"/>
          <w:sz w:val="22"/>
          <w:szCs w:val="22"/>
        </w:rPr>
        <w:t>如《俱舍論》卷</w:t>
      </w:r>
      <w:r w:rsidR="00DA0E34" w:rsidRPr="00DA0E34">
        <w:rPr>
          <w:rFonts w:ascii="Times New Roman" w:eastAsia="標楷體" w:hAnsi="Times New Roman" w:hint="eastAsia"/>
          <w:sz w:val="22"/>
          <w:szCs w:val="22"/>
        </w:rPr>
        <w:t>2</w:t>
      </w:r>
      <w:r w:rsidRPr="00212D57">
        <w:rPr>
          <w:rFonts w:ascii="標楷體" w:eastAsia="標楷體" w:hAnsi="標楷體" w:hint="eastAsia"/>
          <w:sz w:val="22"/>
          <w:szCs w:val="22"/>
        </w:rPr>
        <w:t>，「經部諸師有作是說」；而在《順正理論》，就稱之為「譬喻部師」。</w:t>
      </w:r>
    </w:p>
    <w:p w:rsidR="00DA0E34" w:rsidRDefault="00157EF6" w:rsidP="00DA0E34">
      <w:pPr>
        <w:snapToGrid w:val="0"/>
        <w:ind w:leftChars="335" w:left="1244" w:hangingChars="200" w:hanging="440"/>
        <w:jc w:val="both"/>
        <w:rPr>
          <w:rFonts w:ascii="標楷體" w:eastAsia="標楷體" w:hAnsi="標楷體"/>
          <w:sz w:val="22"/>
          <w:szCs w:val="22"/>
        </w:rPr>
      </w:pPr>
      <w:r w:rsidRPr="00212D57">
        <w:rPr>
          <w:rFonts w:ascii="標楷體" w:eastAsia="標楷體" w:hAnsi="標楷體" w:hint="eastAsia"/>
          <w:sz w:val="22"/>
          <w:szCs w:val="22"/>
        </w:rPr>
        <w:t>又如《順正理論》所說的上座，造經部毘婆沙，可說是經部的主流，而《順正理論》，每稱之為「譬喻者」。</w:t>
      </w:r>
    </w:p>
    <w:p w:rsidR="00DA0E34" w:rsidRDefault="00157EF6" w:rsidP="00B5316E">
      <w:pPr>
        <w:snapToGrid w:val="0"/>
        <w:ind w:leftChars="335" w:left="804"/>
        <w:jc w:val="both"/>
        <w:rPr>
          <w:rFonts w:ascii="標楷體" w:eastAsia="標楷體" w:hAnsi="標楷體"/>
          <w:sz w:val="22"/>
          <w:szCs w:val="22"/>
        </w:rPr>
      </w:pPr>
      <w:r w:rsidRPr="00212D57">
        <w:rPr>
          <w:rFonts w:ascii="標楷體" w:eastAsia="標楷體" w:hAnsi="標楷體" w:hint="eastAsia"/>
          <w:sz w:val="22"/>
          <w:szCs w:val="22"/>
        </w:rPr>
        <w:t>晚期論書的經部與譬喻師，是沒有什麼嚴格界別的。</w:t>
      </w:r>
    </w:p>
    <w:p w:rsidR="00DA0E34" w:rsidRDefault="00157EF6" w:rsidP="00B5316E">
      <w:pPr>
        <w:snapToGrid w:val="0"/>
        <w:ind w:leftChars="335" w:left="804"/>
        <w:jc w:val="both"/>
        <w:rPr>
          <w:rFonts w:ascii="標楷體" w:eastAsia="標楷體" w:hAnsi="標楷體"/>
          <w:sz w:val="22"/>
          <w:szCs w:val="22"/>
        </w:rPr>
      </w:pPr>
      <w:r w:rsidRPr="00212D57">
        <w:rPr>
          <w:rFonts w:ascii="標楷體" w:eastAsia="標楷體" w:hAnsi="標楷體" w:hint="eastAsia"/>
          <w:sz w:val="22"/>
          <w:szCs w:val="22"/>
        </w:rPr>
        <w:t>晚期的經部譬喻師，與《大毘婆沙論》的譬喻師，同處是很多的，但有一根本差異，就是：《大毘婆沙論》的譬喻師，是三世有的，是說一切有部譬喻師；而晚期的譬喻師，是過未無而現在有的，是經部譬喻師。</w:t>
      </w:r>
    </w:p>
    <w:p w:rsidR="00DA0E34" w:rsidRDefault="00157EF6" w:rsidP="00B5316E">
      <w:pPr>
        <w:snapToGrid w:val="0"/>
        <w:ind w:leftChars="335" w:left="804"/>
        <w:jc w:val="both"/>
        <w:rPr>
          <w:rFonts w:ascii="標楷體" w:eastAsia="標楷體" w:hAnsi="標楷體"/>
          <w:sz w:val="22"/>
          <w:szCs w:val="22"/>
        </w:rPr>
      </w:pPr>
      <w:r w:rsidRPr="00212D57">
        <w:rPr>
          <w:rFonts w:ascii="標楷體" w:eastAsia="標楷體" w:hAnsi="標楷體" w:hint="eastAsia"/>
          <w:sz w:val="22"/>
          <w:szCs w:val="22"/>
        </w:rPr>
        <w:t>譬喻師從說一切有部中分化出來，改取現在實有說，這才以種子熏習說為中心，而發展為經部譬喻師。</w:t>
      </w:r>
    </w:p>
    <w:p w:rsidR="00157EF6" w:rsidRPr="00212D57" w:rsidRDefault="00157EF6" w:rsidP="00B5316E">
      <w:pPr>
        <w:snapToGrid w:val="0"/>
        <w:ind w:leftChars="335" w:left="804"/>
        <w:jc w:val="both"/>
        <w:rPr>
          <w:rFonts w:eastAsia="SimSun"/>
          <w:sz w:val="22"/>
          <w:szCs w:val="22"/>
        </w:rPr>
      </w:pPr>
      <w:r w:rsidRPr="00212D57">
        <w:rPr>
          <w:rFonts w:ascii="標楷體" w:eastAsia="標楷體" w:hAnsi="標楷體" w:hint="eastAsia"/>
          <w:sz w:val="22"/>
          <w:szCs w:val="22"/>
        </w:rPr>
        <w:t>傳說為經部本師的鳩摩羅多，也許就是這一發展過程中的重要大師。</w:t>
      </w:r>
    </w:p>
    <w:p w:rsidR="00157EF6" w:rsidRPr="00212D57" w:rsidRDefault="00157EF6" w:rsidP="00B5316E">
      <w:pPr>
        <w:pStyle w:val="a5"/>
        <w:ind w:leftChars="105" w:left="791" w:hangingChars="245" w:hanging="539"/>
        <w:jc w:val="both"/>
        <w:rPr>
          <w:szCs w:val="22"/>
        </w:rPr>
      </w:pPr>
      <w:r w:rsidRPr="00212D57">
        <w:rPr>
          <w:rFonts w:ascii="新細明體" w:hAnsi="新細明體" w:hint="eastAsia"/>
          <w:szCs w:val="22"/>
        </w:rPr>
        <w:t>（</w:t>
      </w:r>
      <w:r w:rsidRPr="00761EF3">
        <w:rPr>
          <w:szCs w:val="22"/>
        </w:rPr>
        <w:t>3</w:t>
      </w:r>
      <w:r w:rsidRPr="00212D57">
        <w:rPr>
          <w:rFonts w:ascii="新細明體" w:hAnsi="新細明體" w:hint="eastAsia"/>
          <w:szCs w:val="22"/>
        </w:rPr>
        <w:t>）</w:t>
      </w:r>
      <w:r w:rsidR="009160B5">
        <w:rPr>
          <w:rFonts w:ascii="新細明體" w:hAnsi="新細明體" w:hint="eastAsia"/>
          <w:szCs w:val="22"/>
        </w:rPr>
        <w:t>參見：印</w:t>
      </w:r>
      <w:r w:rsidRPr="00212D57">
        <w:rPr>
          <w:rFonts w:ascii="新細明體" w:hAnsi="新細明體" w:hint="eastAsia"/>
          <w:szCs w:val="22"/>
        </w:rPr>
        <w:t>順法師，</w:t>
      </w:r>
      <w:r w:rsidRPr="00212D57">
        <w:rPr>
          <w:szCs w:val="22"/>
        </w:rPr>
        <w:t>《說一切有部為主的論書與論師之研究》，</w:t>
      </w:r>
      <w:r w:rsidRPr="00761EF3">
        <w:rPr>
          <w:szCs w:val="22"/>
        </w:rPr>
        <w:t>p</w:t>
      </w:r>
      <w:r w:rsidRPr="00212D57">
        <w:rPr>
          <w:szCs w:val="22"/>
        </w:rPr>
        <w:t>.</w:t>
      </w:r>
      <w:r w:rsidRPr="00761EF3">
        <w:rPr>
          <w:szCs w:val="22"/>
        </w:rPr>
        <w:t>676</w:t>
      </w:r>
      <w:r w:rsidRPr="00212D57">
        <w:rPr>
          <w:szCs w:val="22"/>
        </w:rPr>
        <w:t>：</w:t>
      </w:r>
    </w:p>
    <w:p w:rsidR="00157EF6" w:rsidRPr="00EF2111" w:rsidRDefault="00157EF6" w:rsidP="00B5316E">
      <w:pPr>
        <w:tabs>
          <w:tab w:val="left" w:pos="1484"/>
          <w:tab w:val="left" w:pos="2394"/>
          <w:tab w:val="left" w:pos="3290"/>
          <w:tab w:val="left" w:pos="3948"/>
          <w:tab w:val="left" w:pos="4620"/>
          <w:tab w:val="left" w:pos="4844"/>
        </w:tabs>
        <w:snapToGrid w:val="0"/>
        <w:ind w:leftChars="335" w:left="804"/>
        <w:jc w:val="both"/>
        <w:rPr>
          <w:rFonts w:ascii="標楷體" w:eastAsia="標楷體" w:hAnsi="標楷體"/>
          <w:noProof/>
          <w:sz w:val="22"/>
          <w:szCs w:val="22"/>
        </w:rPr>
      </w:pPr>
      <w:r w:rsidRPr="00EF2111">
        <w:rPr>
          <w:rFonts w:ascii="標楷體" w:eastAsia="標楷體" w:hAnsi="標楷體"/>
          <w:sz w:val="22"/>
          <w:szCs w:val="22"/>
        </w:rPr>
        <w:tab/>
      </w:r>
      <w:r w:rsidRPr="00EF2111">
        <w:rPr>
          <w:rFonts w:ascii="標楷體" w:eastAsia="標楷體" w:hAnsi="標楷體"/>
          <w:sz w:val="22"/>
          <w:szCs w:val="22"/>
        </w:rPr>
        <w:tab/>
      </w:r>
      <w:r w:rsidRPr="00EF2111">
        <w:rPr>
          <w:rFonts w:ascii="標楷體" w:eastAsia="標楷體" w:hAnsi="標楷體" w:hint="eastAsia"/>
          <w:sz w:val="22"/>
          <w:szCs w:val="22"/>
        </w:rPr>
        <w:t>┌</w:t>
      </w:r>
      <w:r w:rsidRPr="00EF2111">
        <w:rPr>
          <w:rFonts w:ascii="標楷體" w:eastAsia="標楷體" w:hAnsi="標楷體"/>
          <w:noProof/>
          <w:sz w:val="22"/>
          <w:szCs w:val="22"/>
        </w:rPr>
        <w:t>有我派…………犢子部等</w:t>
      </w:r>
    </w:p>
    <w:p w:rsidR="00157EF6" w:rsidRPr="00EF2111" w:rsidRDefault="00157EF6" w:rsidP="00B5316E">
      <w:pPr>
        <w:tabs>
          <w:tab w:val="left" w:pos="1484"/>
          <w:tab w:val="left" w:pos="2394"/>
          <w:tab w:val="left" w:pos="3290"/>
          <w:tab w:val="left" w:pos="3948"/>
          <w:tab w:val="left" w:pos="4620"/>
          <w:tab w:val="left" w:pos="4844"/>
        </w:tabs>
        <w:snapToGrid w:val="0"/>
        <w:ind w:leftChars="335" w:left="804"/>
        <w:jc w:val="both"/>
        <w:rPr>
          <w:rFonts w:ascii="標楷體" w:eastAsia="標楷體" w:hAnsi="標楷體"/>
          <w:noProof/>
          <w:sz w:val="22"/>
          <w:szCs w:val="22"/>
        </w:rPr>
      </w:pPr>
      <w:r w:rsidRPr="00EF2111">
        <w:rPr>
          <w:rFonts w:ascii="標楷體" w:eastAsia="標楷體" w:hAnsi="標楷體"/>
          <w:sz w:val="22"/>
          <w:szCs w:val="22"/>
        </w:rPr>
        <w:tab/>
      </w:r>
      <w:r w:rsidRPr="00EF2111">
        <w:rPr>
          <w:rFonts w:ascii="標楷體" w:eastAsia="標楷體" w:hAnsi="標楷體" w:hint="eastAsia"/>
          <w:sz w:val="22"/>
          <w:szCs w:val="22"/>
        </w:rPr>
        <w:t>┌</w:t>
      </w:r>
      <w:r w:rsidRPr="00EF2111">
        <w:rPr>
          <w:rFonts w:ascii="標楷體" w:eastAsia="標楷體" w:hAnsi="標楷體"/>
          <w:noProof/>
          <w:sz w:val="22"/>
          <w:szCs w:val="22"/>
        </w:rPr>
        <w:t>三世有</w:t>
      </w:r>
      <w:r w:rsidRPr="00EF2111">
        <w:rPr>
          <w:rFonts w:ascii="標楷體" w:eastAsia="標楷體" w:hAnsi="標楷體"/>
          <w:noProof/>
          <w:sz w:val="22"/>
          <w:szCs w:val="22"/>
        </w:rPr>
        <w:tab/>
      </w:r>
      <w:r w:rsidRPr="00EF2111">
        <w:rPr>
          <w:rFonts w:ascii="標楷體" w:eastAsia="標楷體" w:hAnsi="標楷體" w:hint="eastAsia"/>
          <w:sz w:val="22"/>
          <w:szCs w:val="22"/>
        </w:rPr>
        <w:t>┤</w:t>
      </w:r>
      <w:r w:rsidRPr="00EF2111">
        <w:rPr>
          <w:rFonts w:ascii="標楷體" w:eastAsia="標楷體" w:hAnsi="標楷體"/>
          <w:sz w:val="22"/>
          <w:szCs w:val="22"/>
        </w:rPr>
        <w:tab/>
      </w:r>
      <w:r w:rsidRPr="00EF2111">
        <w:rPr>
          <w:rFonts w:ascii="標楷體" w:eastAsia="標楷體" w:hAnsi="標楷體"/>
          <w:sz w:val="22"/>
          <w:szCs w:val="22"/>
        </w:rPr>
        <w:tab/>
      </w:r>
      <w:r w:rsidRPr="00EF2111">
        <w:rPr>
          <w:rFonts w:ascii="標楷體" w:eastAsia="標楷體" w:hAnsi="標楷體"/>
          <w:sz w:val="22"/>
          <w:szCs w:val="22"/>
        </w:rPr>
        <w:tab/>
      </w:r>
      <w:r w:rsidRPr="00EF2111">
        <w:rPr>
          <w:rFonts w:ascii="標楷體" w:eastAsia="標楷體" w:hAnsi="標楷體" w:hint="eastAsia"/>
          <w:sz w:val="22"/>
          <w:szCs w:val="22"/>
        </w:rPr>
        <w:t>┌</w:t>
      </w:r>
      <w:r w:rsidRPr="00EF2111">
        <w:rPr>
          <w:rFonts w:ascii="標楷體" w:eastAsia="標楷體" w:hAnsi="標楷體"/>
          <w:noProof/>
          <w:sz w:val="22"/>
          <w:szCs w:val="22"/>
        </w:rPr>
        <w:t>毘婆沙師</w:t>
      </w:r>
    </w:p>
    <w:p w:rsidR="00157EF6" w:rsidRPr="00EF2111" w:rsidRDefault="00157EF6" w:rsidP="00B5316E">
      <w:pPr>
        <w:tabs>
          <w:tab w:val="left" w:pos="1484"/>
          <w:tab w:val="left" w:pos="2394"/>
          <w:tab w:val="left" w:pos="3290"/>
          <w:tab w:val="left" w:pos="3948"/>
          <w:tab w:val="left" w:pos="4620"/>
          <w:tab w:val="left" w:pos="4844"/>
        </w:tabs>
        <w:snapToGrid w:val="0"/>
        <w:ind w:leftChars="335" w:left="804"/>
        <w:jc w:val="both"/>
        <w:rPr>
          <w:rFonts w:ascii="標楷體" w:eastAsia="標楷體" w:hAnsi="標楷體"/>
          <w:noProof/>
          <w:sz w:val="22"/>
          <w:szCs w:val="22"/>
        </w:rPr>
      </w:pPr>
      <w:r w:rsidRPr="00EF2111">
        <w:rPr>
          <w:rFonts w:ascii="標楷體" w:eastAsia="標楷體" w:hAnsi="標楷體"/>
          <w:sz w:val="22"/>
          <w:szCs w:val="22"/>
        </w:rPr>
        <w:tab/>
      </w:r>
      <w:r w:rsidRPr="00EF2111">
        <w:rPr>
          <w:rFonts w:ascii="標楷體" w:eastAsia="標楷體" w:hAnsi="標楷體" w:hint="eastAsia"/>
          <w:sz w:val="22"/>
          <w:szCs w:val="22"/>
        </w:rPr>
        <w:t>│</w:t>
      </w:r>
      <w:r w:rsidRPr="00EF2111">
        <w:rPr>
          <w:rFonts w:ascii="標楷體" w:eastAsia="標楷體" w:hAnsi="標楷體"/>
          <w:noProof/>
          <w:sz w:val="22"/>
          <w:szCs w:val="22"/>
        </w:rPr>
        <w:tab/>
      </w:r>
      <w:r w:rsidRPr="00EF2111">
        <w:rPr>
          <w:rFonts w:ascii="標楷體" w:eastAsia="標楷體" w:hAnsi="標楷體" w:hint="eastAsia"/>
          <w:sz w:val="22"/>
          <w:szCs w:val="22"/>
        </w:rPr>
        <w:t>│</w:t>
      </w:r>
      <w:r w:rsidRPr="00EF2111">
        <w:rPr>
          <w:rFonts w:ascii="標楷體" w:eastAsia="標楷體" w:hAnsi="標楷體"/>
          <w:sz w:val="22"/>
          <w:szCs w:val="22"/>
        </w:rPr>
        <w:tab/>
      </w:r>
      <w:r w:rsidRPr="00EF2111">
        <w:rPr>
          <w:rFonts w:ascii="標楷體" w:eastAsia="標楷體" w:hAnsi="標楷體" w:hint="eastAsia"/>
          <w:sz w:val="22"/>
          <w:szCs w:val="22"/>
        </w:rPr>
        <w:t>┌</w:t>
      </w:r>
      <w:r w:rsidRPr="00EF2111">
        <w:rPr>
          <w:rFonts w:ascii="標楷體" w:eastAsia="標楷體" w:hAnsi="標楷體"/>
          <w:noProof/>
          <w:sz w:val="22"/>
          <w:szCs w:val="22"/>
        </w:rPr>
        <w:t>阿毘達摩師</w:t>
      </w:r>
      <w:r w:rsidRPr="00EF2111">
        <w:rPr>
          <w:rFonts w:ascii="標楷體" w:eastAsia="標楷體" w:hAnsi="標楷體"/>
          <w:noProof/>
          <w:sz w:val="22"/>
          <w:szCs w:val="22"/>
        </w:rPr>
        <w:tab/>
      </w:r>
      <w:r w:rsidRPr="00EF2111">
        <w:rPr>
          <w:rFonts w:ascii="標楷體" w:eastAsia="標楷體" w:hAnsi="標楷體" w:hint="eastAsia"/>
          <w:sz w:val="22"/>
          <w:szCs w:val="22"/>
        </w:rPr>
        <w:t>┤</w:t>
      </w:r>
    </w:p>
    <w:p w:rsidR="00157EF6" w:rsidRPr="00EF2111" w:rsidRDefault="00157EF6" w:rsidP="00B5316E">
      <w:pPr>
        <w:tabs>
          <w:tab w:val="left" w:pos="1484"/>
          <w:tab w:val="left" w:pos="2394"/>
          <w:tab w:val="left" w:pos="3290"/>
          <w:tab w:val="left" w:pos="3948"/>
          <w:tab w:val="left" w:pos="4620"/>
          <w:tab w:val="left" w:pos="4844"/>
        </w:tabs>
        <w:snapToGrid w:val="0"/>
        <w:ind w:leftChars="335" w:left="804"/>
        <w:jc w:val="both"/>
        <w:rPr>
          <w:rFonts w:ascii="標楷體" w:eastAsia="標楷體" w:hAnsi="標楷體"/>
          <w:noProof/>
          <w:sz w:val="22"/>
          <w:szCs w:val="22"/>
        </w:rPr>
      </w:pPr>
      <w:r w:rsidRPr="00EF2111">
        <w:rPr>
          <w:rFonts w:ascii="標楷體" w:eastAsia="標楷體" w:hAnsi="標楷體"/>
          <w:noProof/>
          <w:sz w:val="22"/>
          <w:szCs w:val="22"/>
        </w:rPr>
        <w:t>上座部</w:t>
      </w:r>
      <w:r w:rsidRPr="00EF2111">
        <w:rPr>
          <w:rFonts w:ascii="標楷體" w:eastAsia="標楷體" w:hAnsi="標楷體"/>
          <w:noProof/>
          <w:sz w:val="22"/>
          <w:szCs w:val="22"/>
        </w:rPr>
        <w:tab/>
      </w:r>
      <w:r w:rsidRPr="00EF2111">
        <w:rPr>
          <w:rFonts w:ascii="標楷體" w:eastAsia="標楷體" w:hAnsi="標楷體" w:hint="eastAsia"/>
          <w:sz w:val="22"/>
          <w:szCs w:val="22"/>
        </w:rPr>
        <w:t>┤</w:t>
      </w:r>
      <w:r w:rsidRPr="00EF2111">
        <w:rPr>
          <w:rFonts w:ascii="標楷體" w:eastAsia="標楷體" w:hAnsi="標楷體"/>
          <w:sz w:val="22"/>
          <w:szCs w:val="22"/>
        </w:rPr>
        <w:tab/>
      </w:r>
      <w:r w:rsidRPr="00EF2111">
        <w:rPr>
          <w:rFonts w:ascii="標楷體" w:eastAsia="標楷體" w:hAnsi="標楷體" w:hint="eastAsia"/>
          <w:sz w:val="22"/>
          <w:szCs w:val="22"/>
        </w:rPr>
        <w:t>└</w:t>
      </w:r>
      <w:r w:rsidRPr="00EF2111">
        <w:rPr>
          <w:rFonts w:ascii="標楷體" w:eastAsia="標楷體" w:hAnsi="標楷體"/>
          <w:noProof/>
          <w:sz w:val="22"/>
          <w:szCs w:val="22"/>
        </w:rPr>
        <w:t>無我說</w:t>
      </w:r>
      <w:r w:rsidRPr="00EF2111">
        <w:rPr>
          <w:rFonts w:ascii="標楷體" w:eastAsia="標楷體" w:hAnsi="標楷體"/>
          <w:noProof/>
          <w:sz w:val="22"/>
          <w:szCs w:val="22"/>
        </w:rPr>
        <w:tab/>
      </w:r>
      <w:r w:rsidRPr="00EF2111">
        <w:rPr>
          <w:rFonts w:ascii="標楷體" w:eastAsia="標楷體" w:hAnsi="標楷體" w:hint="eastAsia"/>
          <w:sz w:val="22"/>
          <w:szCs w:val="22"/>
        </w:rPr>
        <w:t>┤</w:t>
      </w:r>
      <w:r w:rsidRPr="00EF2111">
        <w:rPr>
          <w:rFonts w:ascii="標楷體" w:eastAsia="標楷體" w:hAnsi="標楷體"/>
          <w:sz w:val="22"/>
          <w:szCs w:val="22"/>
        </w:rPr>
        <w:tab/>
      </w:r>
      <w:r w:rsidRPr="00EF2111">
        <w:rPr>
          <w:rFonts w:ascii="標楷體" w:eastAsia="標楷體" w:hAnsi="標楷體"/>
          <w:sz w:val="22"/>
          <w:szCs w:val="22"/>
        </w:rPr>
        <w:tab/>
      </w:r>
      <w:r w:rsidRPr="00EF2111">
        <w:rPr>
          <w:rFonts w:ascii="標楷體" w:eastAsia="標楷體" w:hAnsi="標楷體" w:hint="eastAsia"/>
          <w:sz w:val="22"/>
          <w:szCs w:val="22"/>
        </w:rPr>
        <w:t>└</w:t>
      </w:r>
      <w:r w:rsidRPr="00EF2111">
        <w:rPr>
          <w:rFonts w:ascii="標楷體" w:eastAsia="標楷體" w:hAnsi="標楷體"/>
          <w:noProof/>
          <w:sz w:val="22"/>
          <w:szCs w:val="22"/>
        </w:rPr>
        <w:t>西方師等</w:t>
      </w:r>
    </w:p>
    <w:p w:rsidR="00157EF6" w:rsidRPr="00EF2111" w:rsidRDefault="00157EF6" w:rsidP="00B5316E">
      <w:pPr>
        <w:tabs>
          <w:tab w:val="left" w:pos="1484"/>
          <w:tab w:val="left" w:pos="2394"/>
          <w:tab w:val="left" w:pos="3290"/>
          <w:tab w:val="left" w:pos="3948"/>
          <w:tab w:val="left" w:pos="4620"/>
          <w:tab w:val="left" w:pos="4844"/>
        </w:tabs>
        <w:snapToGrid w:val="0"/>
        <w:ind w:leftChars="335" w:left="804"/>
        <w:jc w:val="both"/>
        <w:rPr>
          <w:rFonts w:ascii="標楷體" w:eastAsia="標楷體" w:hAnsi="標楷體"/>
          <w:noProof/>
          <w:sz w:val="22"/>
          <w:szCs w:val="22"/>
        </w:rPr>
      </w:pPr>
      <w:r w:rsidRPr="00EF2111">
        <w:rPr>
          <w:rFonts w:ascii="標楷體" w:eastAsia="標楷體" w:hAnsi="標楷體"/>
          <w:sz w:val="22"/>
          <w:szCs w:val="22"/>
        </w:rPr>
        <w:tab/>
      </w:r>
      <w:r w:rsidRPr="00EF2111">
        <w:rPr>
          <w:rFonts w:ascii="標楷體" w:eastAsia="標楷體" w:hAnsi="標楷體" w:hint="eastAsia"/>
          <w:sz w:val="22"/>
          <w:szCs w:val="22"/>
        </w:rPr>
        <w:t>│</w:t>
      </w:r>
      <w:r w:rsidRPr="00EF2111">
        <w:rPr>
          <w:rFonts w:ascii="標楷體" w:eastAsia="標楷體" w:hAnsi="標楷體"/>
          <w:sz w:val="22"/>
          <w:szCs w:val="22"/>
        </w:rPr>
        <w:tab/>
      </w:r>
      <w:r w:rsidRPr="00EF2111">
        <w:rPr>
          <w:rFonts w:ascii="標楷體" w:eastAsia="標楷體" w:hAnsi="標楷體"/>
          <w:sz w:val="22"/>
          <w:szCs w:val="22"/>
        </w:rPr>
        <w:tab/>
      </w:r>
      <w:r w:rsidRPr="00EF2111">
        <w:rPr>
          <w:rFonts w:ascii="標楷體" w:eastAsia="標楷體" w:hAnsi="標楷體" w:hint="eastAsia"/>
          <w:sz w:val="22"/>
          <w:szCs w:val="22"/>
        </w:rPr>
        <w:t>└</w:t>
      </w:r>
      <w:r w:rsidRPr="00EF2111">
        <w:rPr>
          <w:rFonts w:ascii="標楷體" w:eastAsia="標楷體" w:hAnsi="標楷體"/>
          <w:noProof/>
          <w:sz w:val="22"/>
          <w:szCs w:val="22"/>
        </w:rPr>
        <w:t>持經譬喻師</w:t>
      </w:r>
      <w:r w:rsidRPr="00EF2111">
        <w:rPr>
          <w:rFonts w:ascii="標楷體" w:eastAsia="標楷體" w:hAnsi="標楷體"/>
          <w:sz w:val="22"/>
          <w:szCs w:val="22"/>
        </w:rPr>
        <w:tab/>
      </w:r>
      <w:r w:rsidRPr="00EF2111">
        <w:rPr>
          <w:rFonts w:ascii="標楷體" w:eastAsia="標楷體" w:hAnsi="標楷體" w:hint="eastAsia"/>
          <w:sz w:val="22"/>
          <w:szCs w:val="22"/>
        </w:rPr>
        <w:t>┐</w:t>
      </w:r>
    </w:p>
    <w:p w:rsidR="00157EF6" w:rsidRPr="00EF2111" w:rsidRDefault="00157EF6" w:rsidP="00B5316E">
      <w:pPr>
        <w:tabs>
          <w:tab w:val="left" w:pos="1484"/>
          <w:tab w:val="left" w:pos="2394"/>
          <w:tab w:val="left" w:pos="3290"/>
          <w:tab w:val="left" w:pos="3948"/>
          <w:tab w:val="left" w:pos="4620"/>
          <w:tab w:val="left" w:pos="4844"/>
        </w:tabs>
        <w:snapToGrid w:val="0"/>
        <w:ind w:leftChars="335" w:left="804"/>
        <w:jc w:val="both"/>
        <w:rPr>
          <w:rFonts w:ascii="標楷體" w:eastAsia="標楷體" w:hAnsi="標楷體"/>
          <w:noProof/>
          <w:sz w:val="22"/>
          <w:szCs w:val="22"/>
        </w:rPr>
      </w:pPr>
      <w:r w:rsidRPr="00EF2111">
        <w:rPr>
          <w:rFonts w:ascii="標楷體" w:eastAsia="標楷體" w:hAnsi="標楷體"/>
          <w:sz w:val="22"/>
          <w:szCs w:val="22"/>
        </w:rPr>
        <w:tab/>
      </w:r>
      <w:r w:rsidRPr="00EF2111">
        <w:rPr>
          <w:rFonts w:ascii="標楷體" w:eastAsia="標楷體" w:hAnsi="標楷體" w:hint="eastAsia"/>
          <w:sz w:val="22"/>
          <w:szCs w:val="22"/>
        </w:rPr>
        <w:t>│</w:t>
      </w:r>
      <w:r w:rsidRPr="00EF2111">
        <w:rPr>
          <w:rFonts w:ascii="標楷體" w:eastAsia="標楷體" w:hAnsi="標楷體"/>
          <w:sz w:val="22"/>
          <w:szCs w:val="22"/>
        </w:rPr>
        <w:tab/>
      </w:r>
      <w:r w:rsidRPr="00EF2111">
        <w:rPr>
          <w:rFonts w:ascii="標楷體" w:eastAsia="標楷體" w:hAnsi="標楷體"/>
          <w:sz w:val="22"/>
          <w:szCs w:val="22"/>
        </w:rPr>
        <w:tab/>
      </w:r>
      <w:r w:rsidRPr="00EF2111">
        <w:rPr>
          <w:rFonts w:ascii="標楷體" w:eastAsia="標楷體" w:hAnsi="標楷體"/>
          <w:sz w:val="22"/>
          <w:szCs w:val="22"/>
        </w:rPr>
        <w:tab/>
      </w:r>
      <w:r w:rsidRPr="00EF2111">
        <w:rPr>
          <w:rFonts w:ascii="標楷體" w:eastAsia="標楷體" w:hAnsi="標楷體"/>
          <w:sz w:val="22"/>
          <w:szCs w:val="22"/>
        </w:rPr>
        <w:tab/>
      </w:r>
      <w:r w:rsidRPr="00EF2111">
        <w:rPr>
          <w:rFonts w:ascii="標楷體" w:eastAsia="標楷體" w:hAnsi="標楷體" w:hint="eastAsia"/>
          <w:sz w:val="22"/>
          <w:szCs w:val="22"/>
        </w:rPr>
        <w:t>├</w:t>
      </w:r>
      <w:r w:rsidRPr="00EF2111">
        <w:rPr>
          <w:rFonts w:ascii="標楷體" w:eastAsia="標楷體" w:hAnsi="標楷體"/>
          <w:sz w:val="22"/>
          <w:szCs w:val="22"/>
        </w:rPr>
        <w:tab/>
      </w:r>
      <w:r w:rsidRPr="00EF2111">
        <w:rPr>
          <w:rFonts w:ascii="標楷體" w:eastAsia="標楷體" w:hAnsi="標楷體"/>
          <w:noProof/>
          <w:sz w:val="22"/>
          <w:szCs w:val="22"/>
        </w:rPr>
        <w:t>經部</w:t>
      </w:r>
    </w:p>
    <w:p w:rsidR="00157EF6" w:rsidRPr="00EF2111" w:rsidRDefault="00157EF6" w:rsidP="00B5316E">
      <w:pPr>
        <w:tabs>
          <w:tab w:val="left" w:pos="1484"/>
          <w:tab w:val="left" w:pos="2394"/>
          <w:tab w:val="left" w:pos="3290"/>
          <w:tab w:val="left" w:pos="3948"/>
          <w:tab w:val="left" w:pos="4620"/>
          <w:tab w:val="left" w:pos="4844"/>
        </w:tabs>
        <w:snapToGrid w:val="0"/>
        <w:ind w:leftChars="335" w:left="804"/>
        <w:jc w:val="both"/>
        <w:rPr>
          <w:rFonts w:ascii="標楷體" w:eastAsia="標楷體" w:hAnsi="標楷體"/>
          <w:sz w:val="22"/>
          <w:szCs w:val="22"/>
          <w:lang w:eastAsia="zh-CN"/>
        </w:rPr>
      </w:pPr>
      <w:r w:rsidRPr="00EF2111">
        <w:rPr>
          <w:rFonts w:ascii="標楷體" w:eastAsia="標楷體" w:hAnsi="標楷體"/>
          <w:sz w:val="22"/>
          <w:szCs w:val="22"/>
        </w:rPr>
        <w:tab/>
      </w:r>
      <w:r w:rsidRPr="00EF2111">
        <w:rPr>
          <w:rFonts w:ascii="標楷體" w:eastAsia="標楷體" w:hAnsi="標楷體" w:hint="eastAsia"/>
          <w:sz w:val="22"/>
          <w:szCs w:val="22"/>
        </w:rPr>
        <w:t>└</w:t>
      </w:r>
      <w:r w:rsidRPr="00EF2111">
        <w:rPr>
          <w:rFonts w:ascii="標楷體" w:eastAsia="標楷體" w:hAnsi="標楷體"/>
          <w:noProof/>
          <w:sz w:val="22"/>
          <w:szCs w:val="22"/>
        </w:rPr>
        <w:t>現在有………分別說部</w:t>
      </w:r>
      <w:r w:rsidRPr="00EF2111">
        <w:rPr>
          <w:rFonts w:ascii="標楷體" w:eastAsia="標楷體" w:hAnsi="標楷體"/>
          <w:noProof/>
          <w:sz w:val="22"/>
          <w:szCs w:val="22"/>
        </w:rPr>
        <w:tab/>
      </w:r>
      <w:r w:rsidRPr="00EF2111">
        <w:rPr>
          <w:rFonts w:ascii="標楷體" w:eastAsia="標楷體" w:hAnsi="標楷體" w:hint="eastAsia"/>
          <w:noProof/>
          <w:sz w:val="22"/>
          <w:szCs w:val="22"/>
        </w:rPr>
        <w:t>───</w:t>
      </w:r>
      <w:r w:rsidRPr="00EF2111">
        <w:rPr>
          <w:rFonts w:ascii="標楷體" w:eastAsia="標楷體" w:hAnsi="標楷體"/>
          <w:sz w:val="22"/>
          <w:szCs w:val="22"/>
        </w:rPr>
        <w:tab/>
      </w:r>
      <w:r w:rsidRPr="00EF2111">
        <w:rPr>
          <w:rFonts w:ascii="標楷體" w:eastAsia="標楷體" w:hAnsi="標楷體" w:hint="eastAsia"/>
          <w:sz w:val="22"/>
          <w:szCs w:val="22"/>
        </w:rPr>
        <w:t>┘</w:t>
      </w:r>
    </w:p>
  </w:footnote>
  <w:footnote w:id="492">
    <w:p w:rsidR="00157EF6" w:rsidRPr="00212D57" w:rsidRDefault="00157EF6" w:rsidP="00B5316E">
      <w:pPr>
        <w:pStyle w:val="a5"/>
        <w:ind w:left="253" w:hangingChars="115" w:hanging="253"/>
        <w:jc w:val="both"/>
        <w:rPr>
          <w:rFonts w:ascii="標楷體" w:eastAsia="SimSun" w:hAnsi="標楷體"/>
          <w:szCs w:val="22"/>
        </w:rPr>
      </w:pPr>
      <w:r w:rsidRPr="00212D57">
        <w:rPr>
          <w:rStyle w:val="a6"/>
          <w:szCs w:val="22"/>
        </w:rPr>
        <w:footnoteRef/>
      </w:r>
      <w:r w:rsidRPr="00212D57">
        <w:rPr>
          <w:rFonts w:eastAsia="SimSun" w:hint="eastAsia"/>
          <w:szCs w:val="22"/>
        </w:rPr>
        <w:t xml:space="preserve"> </w:t>
      </w:r>
      <w:r w:rsidR="009160B5">
        <w:rPr>
          <w:rFonts w:hint="eastAsia"/>
          <w:szCs w:val="22"/>
        </w:rPr>
        <w:t>參見：印</w:t>
      </w:r>
      <w:r w:rsidRPr="00212D57">
        <w:rPr>
          <w:rFonts w:ascii="新細明體" w:hAnsi="新細明體" w:hint="eastAsia"/>
          <w:szCs w:val="22"/>
        </w:rPr>
        <w:t>順法師，《中觀論頌講記》，</w:t>
      </w:r>
      <w:r w:rsidRPr="00761EF3">
        <w:rPr>
          <w:rFonts w:hint="eastAsia"/>
          <w:szCs w:val="22"/>
        </w:rPr>
        <w:t>pp</w:t>
      </w:r>
      <w:r w:rsidRPr="00212D57">
        <w:rPr>
          <w:rFonts w:hint="eastAsia"/>
          <w:szCs w:val="22"/>
        </w:rPr>
        <w:t>.</w:t>
      </w:r>
      <w:r w:rsidRPr="00761EF3">
        <w:rPr>
          <w:rFonts w:hint="eastAsia"/>
          <w:szCs w:val="22"/>
        </w:rPr>
        <w:t>145</w:t>
      </w:r>
      <w:r w:rsidRPr="00212D57">
        <w:rPr>
          <w:rFonts w:hint="eastAsia"/>
          <w:szCs w:val="22"/>
        </w:rPr>
        <w:t>-</w:t>
      </w:r>
      <w:r w:rsidRPr="00761EF3">
        <w:rPr>
          <w:rFonts w:hint="eastAsia"/>
          <w:szCs w:val="22"/>
        </w:rPr>
        <w:t>146</w:t>
      </w:r>
      <w:r w:rsidRPr="00212D57">
        <w:rPr>
          <w:rFonts w:ascii="新細明體" w:hAnsi="新細明體" w:hint="eastAsia"/>
          <w:szCs w:val="22"/>
        </w:rPr>
        <w:t>：</w:t>
      </w:r>
    </w:p>
    <w:p w:rsidR="00157EF6" w:rsidRPr="00212D57" w:rsidRDefault="00157EF6" w:rsidP="00B5316E">
      <w:pPr>
        <w:snapToGrid w:val="0"/>
        <w:ind w:leftChars="105" w:left="252"/>
        <w:jc w:val="both"/>
        <w:rPr>
          <w:rFonts w:eastAsia="SimSun"/>
          <w:sz w:val="22"/>
          <w:szCs w:val="22"/>
        </w:rPr>
      </w:pPr>
      <w:r w:rsidRPr="00212D57">
        <w:rPr>
          <w:rFonts w:ascii="標楷體" w:eastAsia="標楷體" w:hAnsi="標楷體" w:hint="eastAsia"/>
          <w:sz w:val="22"/>
          <w:szCs w:val="22"/>
        </w:rPr>
        <w:t>經部主張</w:t>
      </w:r>
      <w:r w:rsidRPr="00212D57">
        <w:rPr>
          <w:rFonts w:ascii="標楷體" w:eastAsia="標楷體" w:hAnsi="標楷體" w:hint="eastAsia"/>
          <w:b/>
          <w:sz w:val="22"/>
          <w:szCs w:val="22"/>
        </w:rPr>
        <w:t>三相有前後</w:t>
      </w:r>
      <w:r w:rsidRPr="00212D57">
        <w:rPr>
          <w:rFonts w:ascii="標楷體" w:eastAsia="標楷體" w:hAnsi="標楷體" w:hint="eastAsia"/>
          <w:sz w:val="22"/>
          <w:szCs w:val="22"/>
        </w:rPr>
        <w:t>，他</w:t>
      </w:r>
      <w:r w:rsidRPr="00212D57">
        <w:rPr>
          <w:rFonts w:ascii="標楷體" w:eastAsia="標楷體" w:hAnsi="標楷體" w:cs="細明體" w:hint="eastAsia"/>
          <w:sz w:val="22"/>
          <w:szCs w:val="22"/>
        </w:rPr>
        <w:t>說</w:t>
      </w:r>
      <w:r w:rsidRPr="00212D57">
        <w:rPr>
          <w:rFonts w:ascii="標楷體" w:eastAsia="標楷體" w:hAnsi="標楷體" w:cs="MS Mincho" w:hint="eastAsia"/>
          <w:sz w:val="22"/>
          <w:szCs w:val="22"/>
        </w:rPr>
        <w:t>：</w:t>
      </w:r>
      <w:r w:rsidRPr="00212D57">
        <w:rPr>
          <w:rFonts w:ascii="標楷體" w:eastAsia="標楷體" w:hAnsi="標楷體" w:hint="eastAsia"/>
          <w:sz w:val="22"/>
          <w:szCs w:val="22"/>
        </w:rPr>
        <w:t>先生，次住，後滅，這在相續行上建立。但佛</w:t>
      </w:r>
      <w:r w:rsidRPr="00212D57">
        <w:rPr>
          <w:rFonts w:ascii="標楷體" w:eastAsia="標楷體" w:hAnsi="標楷體" w:cs="細明體" w:hint="eastAsia"/>
          <w:sz w:val="22"/>
          <w:szCs w:val="22"/>
        </w:rPr>
        <w:t>說</w:t>
      </w:r>
      <w:r w:rsidRPr="00212D57">
        <w:rPr>
          <w:rFonts w:ascii="標楷體" w:eastAsia="標楷體" w:hAnsi="標楷體" w:cs="MS Mincho" w:hint="eastAsia"/>
          <w:sz w:val="22"/>
          <w:szCs w:val="22"/>
        </w:rPr>
        <w:t>有為法有三相，現在不是承認</w:t>
      </w:r>
      <w:r w:rsidRPr="00212D57">
        <w:rPr>
          <w:rFonts w:ascii="標楷體" w:eastAsia="標楷體" w:hAnsi="標楷體" w:hint="eastAsia"/>
          <w:sz w:val="22"/>
          <w:szCs w:val="22"/>
        </w:rPr>
        <w:t>一一</w:t>
      </w:r>
      <w:r w:rsidRPr="00212D57">
        <w:rPr>
          <w:rFonts w:ascii="標楷體" w:eastAsia="標楷體" w:hAnsi="標楷體" w:cs="細明體" w:hint="eastAsia"/>
          <w:sz w:val="22"/>
          <w:szCs w:val="22"/>
        </w:rPr>
        <w:t>剎</w:t>
      </w:r>
      <w:r w:rsidRPr="00212D57">
        <w:rPr>
          <w:rFonts w:ascii="標楷體" w:eastAsia="標楷體" w:hAnsi="標楷體" w:cs="MS Mincho" w:hint="eastAsia"/>
          <w:sz w:val="22"/>
          <w:szCs w:val="22"/>
        </w:rPr>
        <w:t>那中沒有三有為相嗎？他</w:t>
      </w:r>
      <w:r w:rsidRPr="00212D57">
        <w:rPr>
          <w:rFonts w:ascii="標楷體" w:eastAsia="標楷體" w:hAnsi="標楷體" w:cs="細明體" w:hint="eastAsia"/>
          <w:sz w:val="22"/>
          <w:szCs w:val="22"/>
        </w:rPr>
        <w:t>說</w:t>
      </w:r>
      <w:r w:rsidRPr="00212D57">
        <w:rPr>
          <w:rFonts w:ascii="標楷體" w:eastAsia="標楷體" w:hAnsi="標楷體" w:cs="MS Mincho" w:hint="eastAsia"/>
          <w:sz w:val="22"/>
          <w:szCs w:val="22"/>
        </w:rPr>
        <w:t>：</w:t>
      </w:r>
      <w:r w:rsidRPr="00212D57">
        <w:rPr>
          <w:rFonts w:ascii="標楷體" w:eastAsia="標楷體" w:hAnsi="標楷體" w:cs="MS Mincho" w:hint="eastAsia"/>
          <w:b/>
          <w:sz w:val="22"/>
          <w:szCs w:val="22"/>
        </w:rPr>
        <w:t>我雖主張三相前後起，但在一念心中也還</w:t>
      </w:r>
      <w:r w:rsidRPr="00212D57">
        <w:rPr>
          <w:rFonts w:ascii="標楷體" w:eastAsia="標楷體" w:hAnsi="標楷體" w:hint="eastAsia"/>
          <w:b/>
          <w:sz w:val="22"/>
          <w:szCs w:val="22"/>
        </w:rPr>
        <w:t>是可以</w:t>
      </w:r>
      <w:r w:rsidRPr="00212D57">
        <w:rPr>
          <w:rFonts w:ascii="標楷體" w:eastAsia="標楷體" w:hAnsi="標楷體" w:cs="細明體" w:hint="eastAsia"/>
          <w:b/>
          <w:sz w:val="22"/>
          <w:szCs w:val="22"/>
        </w:rPr>
        <w:t>說</w:t>
      </w:r>
      <w:r w:rsidRPr="00212D57">
        <w:rPr>
          <w:rFonts w:ascii="標楷體" w:eastAsia="標楷體" w:hAnsi="標楷體" w:cs="MS Mincho" w:hint="eastAsia"/>
          <w:b/>
          <w:sz w:val="22"/>
          <w:szCs w:val="22"/>
        </w:rPr>
        <w:t>有三相的；</w:t>
      </w:r>
      <w:r w:rsidRPr="00212D57">
        <w:rPr>
          <w:rFonts w:ascii="標楷體" w:eastAsia="標楷體" w:hAnsi="標楷體" w:cs="細明體" w:hint="eastAsia"/>
          <w:b/>
          <w:sz w:val="22"/>
          <w:szCs w:val="22"/>
        </w:rPr>
        <w:t>剎</w:t>
      </w:r>
      <w:r w:rsidRPr="00212D57">
        <w:rPr>
          <w:rFonts w:ascii="標楷體" w:eastAsia="標楷體" w:hAnsi="標楷體" w:cs="MS Mincho" w:hint="eastAsia"/>
          <w:b/>
          <w:sz w:val="22"/>
          <w:szCs w:val="22"/>
        </w:rPr>
        <w:t>那間的生起是生，過去的是滅了。</w:t>
      </w:r>
      <w:r w:rsidRPr="00212D57">
        <w:rPr>
          <w:rFonts w:ascii="標楷體" w:eastAsia="標楷體" w:hAnsi="標楷體" w:cs="MS Mincho" w:hint="eastAsia"/>
          <w:sz w:val="22"/>
          <w:szCs w:val="22"/>
        </w:rPr>
        <w:t>這</w:t>
      </w:r>
      <w:r w:rsidRPr="00212D57">
        <w:rPr>
          <w:rFonts w:ascii="標楷體" w:eastAsia="標楷體" w:hAnsi="標楷體" w:cs="細明體" w:hint="eastAsia"/>
          <w:sz w:val="22"/>
          <w:szCs w:val="22"/>
        </w:rPr>
        <w:t>剎</w:t>
      </w:r>
      <w:r w:rsidRPr="00212D57">
        <w:rPr>
          <w:rFonts w:ascii="標楷體" w:eastAsia="標楷體" w:hAnsi="標楷體" w:cs="MS Mincho" w:hint="eastAsia"/>
          <w:sz w:val="22"/>
          <w:szCs w:val="22"/>
        </w:rPr>
        <w:t>那在相續不斷的</w:t>
      </w:r>
      <w:r w:rsidRPr="00212D57">
        <w:rPr>
          <w:rFonts w:ascii="標楷體" w:eastAsia="標楷體" w:hAnsi="標楷體" w:hint="eastAsia"/>
          <w:sz w:val="22"/>
          <w:szCs w:val="22"/>
        </w:rPr>
        <w:t>流行中，可以</w:t>
      </w:r>
      <w:r w:rsidRPr="00212D57">
        <w:rPr>
          <w:rFonts w:ascii="標楷體" w:eastAsia="標楷體" w:hAnsi="標楷體" w:cs="細明體" w:hint="eastAsia"/>
          <w:sz w:val="22"/>
          <w:szCs w:val="22"/>
        </w:rPr>
        <w:t>說</w:t>
      </w:r>
      <w:r w:rsidRPr="00212D57">
        <w:rPr>
          <w:rFonts w:ascii="標楷體" w:eastAsia="標楷體" w:hAnsi="標楷體" w:cs="MS Mincho" w:hint="eastAsia"/>
          <w:sz w:val="22"/>
          <w:szCs w:val="22"/>
        </w:rPr>
        <w:t>住。這是觀待建立的，如人的長短，因甲的</w:t>
      </w:r>
      <w:r w:rsidRPr="007A4432">
        <w:rPr>
          <w:rFonts w:ascii="標楷體" w:eastAsia="標楷體" w:hAnsi="標楷體" w:cs="MS Mincho" w:hint="eastAsia"/>
          <w:sz w:val="22"/>
          <w:szCs w:val="22"/>
        </w:rPr>
        <w:t>長，有乙的短，因</w:t>
      </w:r>
      <w:r w:rsidRPr="007A4432">
        <w:rPr>
          <w:rFonts w:ascii="標楷體" w:eastAsia="標楷體" w:hAnsi="標楷體" w:hint="eastAsia"/>
          <w:sz w:val="22"/>
          <w:szCs w:val="22"/>
        </w:rPr>
        <w:t>丙的短，才顯出乙的長，不是單在乙的個人身上，可以</w:t>
      </w:r>
      <w:r w:rsidRPr="007A4432">
        <w:rPr>
          <w:rFonts w:ascii="標楷體" w:eastAsia="標楷體" w:hAnsi="標楷體" w:cs="細明體" w:hint="eastAsia"/>
          <w:sz w:val="22"/>
          <w:szCs w:val="22"/>
        </w:rPr>
        <w:t>說</w:t>
      </w:r>
      <w:r w:rsidRPr="007A4432">
        <w:rPr>
          <w:rFonts w:ascii="標楷體" w:eastAsia="標楷體" w:hAnsi="標楷體" w:cs="MS Mincho" w:hint="eastAsia"/>
          <w:sz w:val="22"/>
          <w:szCs w:val="22"/>
        </w:rPr>
        <w:t>出他的長短。</w:t>
      </w:r>
    </w:p>
  </w:footnote>
  <w:footnote w:id="493">
    <w:p w:rsidR="00157EF6" w:rsidRPr="00212D57" w:rsidRDefault="00157EF6" w:rsidP="00B5316E">
      <w:pPr>
        <w:pStyle w:val="a5"/>
        <w:ind w:left="792" w:hangingChars="360" w:hanging="792"/>
        <w:jc w:val="both"/>
        <w:rPr>
          <w:szCs w:val="22"/>
        </w:rPr>
      </w:pPr>
      <w:r w:rsidRPr="00212D57">
        <w:rPr>
          <w:rStyle w:val="a6"/>
          <w:szCs w:val="22"/>
        </w:rPr>
        <w:footnoteRef/>
      </w:r>
      <w:r w:rsidRPr="00212D57">
        <w:rPr>
          <w:rFonts w:ascii="新細明體" w:hAnsi="新細明體" w:hint="eastAsia"/>
          <w:szCs w:val="22"/>
        </w:rPr>
        <w:t xml:space="preserve"> （</w:t>
      </w:r>
      <w:r w:rsidRPr="00761EF3">
        <w:rPr>
          <w:szCs w:val="22"/>
        </w:rPr>
        <w:t>1</w:t>
      </w:r>
      <w:r w:rsidRPr="00212D57">
        <w:rPr>
          <w:rFonts w:ascii="新細明體" w:hAnsi="新細明體" w:hint="eastAsia"/>
          <w:szCs w:val="22"/>
        </w:rPr>
        <w:t>）</w:t>
      </w:r>
      <w:r w:rsidRPr="00212D57">
        <w:rPr>
          <w:szCs w:val="22"/>
        </w:rPr>
        <w:t>《中論》卷</w:t>
      </w:r>
      <w:r w:rsidRPr="00761EF3">
        <w:rPr>
          <w:szCs w:val="22"/>
        </w:rPr>
        <w:t>2</w:t>
      </w:r>
      <w:r w:rsidRPr="00212D57">
        <w:rPr>
          <w:szCs w:val="22"/>
        </w:rPr>
        <w:t>〈</w:t>
      </w:r>
      <w:r w:rsidRPr="00761EF3">
        <w:rPr>
          <w:rFonts w:hint="eastAsia"/>
          <w:szCs w:val="22"/>
        </w:rPr>
        <w:t>7</w:t>
      </w:r>
      <w:r w:rsidRPr="00212D57">
        <w:rPr>
          <w:szCs w:val="22"/>
        </w:rPr>
        <w:t xml:space="preserve"> </w:t>
      </w:r>
      <w:r w:rsidRPr="00212D57">
        <w:rPr>
          <w:szCs w:val="22"/>
        </w:rPr>
        <w:t>觀三相品〉</w:t>
      </w:r>
      <w:r w:rsidRPr="00212D57">
        <w:rPr>
          <w:rFonts w:hint="eastAsia"/>
          <w:szCs w:val="22"/>
        </w:rPr>
        <w:t>（青目釋）</w:t>
      </w:r>
      <w:r w:rsidRPr="00212D57">
        <w:rPr>
          <w:szCs w:val="22"/>
        </w:rPr>
        <w:t>（大正</w:t>
      </w:r>
      <w:r w:rsidRPr="00761EF3">
        <w:rPr>
          <w:szCs w:val="22"/>
        </w:rPr>
        <w:t>30</w:t>
      </w:r>
      <w:r w:rsidRPr="00212D57">
        <w:rPr>
          <w:szCs w:val="22"/>
        </w:rPr>
        <w:t>，</w:t>
      </w:r>
      <w:r w:rsidRPr="00761EF3">
        <w:rPr>
          <w:szCs w:val="22"/>
        </w:rPr>
        <w:t>11b</w:t>
      </w:r>
      <w:r w:rsidRPr="00761EF3">
        <w:rPr>
          <w:rFonts w:hint="eastAsia"/>
          <w:szCs w:val="22"/>
        </w:rPr>
        <w:t>6</w:t>
      </w:r>
      <w:r w:rsidRPr="00212D57">
        <w:rPr>
          <w:szCs w:val="22"/>
        </w:rPr>
        <w:t>-</w:t>
      </w:r>
      <w:r w:rsidRPr="00761EF3">
        <w:rPr>
          <w:szCs w:val="22"/>
        </w:rPr>
        <w:t>1</w:t>
      </w:r>
      <w:r w:rsidRPr="00761EF3">
        <w:rPr>
          <w:rFonts w:hint="eastAsia"/>
          <w:szCs w:val="22"/>
        </w:rPr>
        <w:t>6</w:t>
      </w:r>
      <w:r w:rsidRPr="00212D57">
        <w:rPr>
          <w:szCs w:val="22"/>
        </w:rPr>
        <w:t>）</w:t>
      </w:r>
      <w:r w:rsidRPr="00212D57">
        <w:rPr>
          <w:rFonts w:hint="eastAsia"/>
          <w:szCs w:val="22"/>
        </w:rPr>
        <w:t>：</w:t>
      </w:r>
    </w:p>
    <w:p w:rsidR="00157EF6" w:rsidRPr="00212D57" w:rsidRDefault="00157EF6" w:rsidP="00B5316E">
      <w:pPr>
        <w:snapToGrid w:val="0"/>
        <w:ind w:leftChars="335" w:left="804"/>
        <w:jc w:val="both"/>
        <w:rPr>
          <w:rFonts w:ascii="標楷體" w:eastAsia="標楷體" w:hAnsi="標楷體"/>
          <w:b/>
          <w:sz w:val="22"/>
          <w:szCs w:val="22"/>
        </w:rPr>
      </w:pPr>
      <w:r w:rsidRPr="00212D57">
        <w:rPr>
          <w:rFonts w:ascii="標楷體" w:eastAsia="標楷體" w:hAnsi="標楷體" w:hint="eastAsia"/>
          <w:b/>
          <w:sz w:val="22"/>
          <w:szCs w:val="22"/>
        </w:rPr>
        <w:t>若諸法滅時，是則不應住；法若不滅者，終無有是事。</w:t>
      </w:r>
    </w:p>
    <w:p w:rsidR="00157EF6" w:rsidRPr="00212D57" w:rsidRDefault="00157EF6" w:rsidP="00B5316E">
      <w:pPr>
        <w:snapToGrid w:val="0"/>
        <w:ind w:leftChars="335" w:left="804"/>
        <w:jc w:val="both"/>
        <w:rPr>
          <w:rFonts w:ascii="標楷體" w:eastAsia="標楷體" w:hAnsi="標楷體"/>
          <w:sz w:val="22"/>
          <w:szCs w:val="22"/>
        </w:rPr>
      </w:pPr>
      <w:r w:rsidRPr="00212D57">
        <w:rPr>
          <w:rFonts w:ascii="標楷體" w:eastAsia="標楷體" w:hAnsi="標楷體" w:hint="eastAsia"/>
          <w:sz w:val="22"/>
          <w:szCs w:val="22"/>
        </w:rPr>
        <w:t>若法滅相，是法無有住相。何以故？一法中有二相相違故，一是滅相，二是住相。一時一處有住滅相，是事不然</w:t>
      </w:r>
      <w:r w:rsidR="00DA0E34">
        <w:rPr>
          <w:rFonts w:ascii="標楷體" w:eastAsia="標楷體" w:hAnsi="標楷體" w:hint="eastAsia"/>
          <w:color w:val="FF0000"/>
          <w:kern w:val="0"/>
          <w:sz w:val="22"/>
          <w:highlight w:val="yellow"/>
        </w:rPr>
        <w:t>！</w:t>
      </w:r>
      <w:r w:rsidRPr="00212D57">
        <w:rPr>
          <w:rFonts w:ascii="標楷體" w:eastAsia="標楷體" w:hAnsi="標楷體" w:hint="eastAsia"/>
          <w:sz w:val="22"/>
          <w:szCs w:val="22"/>
        </w:rPr>
        <w:t>是故不得言</w:t>
      </w:r>
      <w:r w:rsidR="00DA0E34">
        <w:rPr>
          <w:rFonts w:ascii="標楷體" w:eastAsia="標楷體" w:hAnsi="標楷體" w:hint="eastAsia"/>
          <w:bCs/>
          <w:color w:val="FF0000"/>
          <w:kern w:val="0"/>
          <w:sz w:val="22"/>
          <w:highlight w:val="yellow"/>
        </w:rPr>
        <w:t>「</w:t>
      </w:r>
      <w:r w:rsidRPr="00212D57">
        <w:rPr>
          <w:rFonts w:ascii="標楷體" w:eastAsia="標楷體" w:hAnsi="標楷體" w:hint="eastAsia"/>
          <w:sz w:val="22"/>
          <w:szCs w:val="22"/>
        </w:rPr>
        <w:t>滅相法有住</w:t>
      </w:r>
      <w:r w:rsidR="00DA0E34">
        <w:rPr>
          <w:rFonts w:ascii="標楷體" w:eastAsia="標楷體" w:hAnsi="標楷體" w:hint="eastAsia"/>
          <w:bCs/>
          <w:color w:val="FF0000"/>
          <w:kern w:val="0"/>
          <w:sz w:val="22"/>
          <w:highlight w:val="yellow"/>
        </w:rPr>
        <w:t>」</w:t>
      </w:r>
      <w:r w:rsidRPr="00212D57">
        <w:rPr>
          <w:rFonts w:ascii="標楷體" w:eastAsia="標楷體" w:hAnsi="標楷體" w:hint="eastAsia"/>
          <w:sz w:val="22"/>
          <w:szCs w:val="22"/>
        </w:rPr>
        <w:t>。</w:t>
      </w:r>
    </w:p>
    <w:p w:rsidR="00DA0E34" w:rsidRDefault="00157EF6" w:rsidP="00B5316E">
      <w:pPr>
        <w:snapToGrid w:val="0"/>
        <w:ind w:leftChars="335" w:left="804"/>
        <w:jc w:val="both"/>
        <w:rPr>
          <w:rFonts w:ascii="標楷體" w:eastAsia="標楷體" w:hAnsi="標楷體"/>
          <w:sz w:val="22"/>
          <w:szCs w:val="22"/>
        </w:rPr>
      </w:pPr>
      <w:r w:rsidRPr="00212D57">
        <w:rPr>
          <w:rFonts w:ascii="標楷體" w:eastAsia="標楷體" w:hAnsi="標楷體" w:hint="eastAsia"/>
          <w:sz w:val="22"/>
          <w:szCs w:val="22"/>
        </w:rPr>
        <w:t>問曰：若法不滅</w:t>
      </w:r>
      <w:r w:rsidR="00DA0E34">
        <w:rPr>
          <w:rFonts w:ascii="標楷體" w:eastAsia="標楷體" w:hAnsi="標楷體" w:hint="eastAsia"/>
          <w:color w:val="FF0000"/>
          <w:kern w:val="0"/>
          <w:sz w:val="22"/>
          <w:highlight w:val="yellow"/>
        </w:rPr>
        <w:t>，</w:t>
      </w:r>
      <w:r w:rsidRPr="00212D57">
        <w:rPr>
          <w:rFonts w:ascii="標楷體" w:eastAsia="標楷體" w:hAnsi="標楷體" w:hint="eastAsia"/>
          <w:sz w:val="22"/>
          <w:szCs w:val="22"/>
        </w:rPr>
        <w:t>應有住。</w:t>
      </w:r>
    </w:p>
    <w:p w:rsidR="00157EF6" w:rsidRPr="00212D57" w:rsidRDefault="00157EF6" w:rsidP="00B5316E">
      <w:pPr>
        <w:snapToGrid w:val="0"/>
        <w:ind w:leftChars="335" w:left="804"/>
        <w:jc w:val="both"/>
        <w:rPr>
          <w:rFonts w:ascii="標楷體" w:eastAsia="標楷體" w:hAnsi="標楷體"/>
          <w:sz w:val="22"/>
          <w:szCs w:val="22"/>
        </w:rPr>
      </w:pPr>
      <w:r w:rsidRPr="00DA0E34">
        <w:rPr>
          <w:rFonts w:ascii="標楷體" w:eastAsia="標楷體" w:hAnsi="標楷體" w:hint="eastAsia"/>
          <w:sz w:val="22"/>
          <w:szCs w:val="22"/>
          <w:highlight w:val="yellow"/>
        </w:rPr>
        <w:t>答</w:t>
      </w:r>
      <w:r w:rsidRPr="00212D57">
        <w:rPr>
          <w:rFonts w:ascii="標楷體" w:eastAsia="標楷體" w:hAnsi="標楷體" w:hint="eastAsia"/>
          <w:sz w:val="22"/>
          <w:szCs w:val="22"/>
        </w:rPr>
        <w:t>曰：無有不滅法。何以故？</w:t>
      </w:r>
    </w:p>
    <w:p w:rsidR="00157EF6" w:rsidRPr="00212D57" w:rsidRDefault="00157EF6" w:rsidP="00B5316E">
      <w:pPr>
        <w:snapToGrid w:val="0"/>
        <w:ind w:leftChars="335" w:left="804"/>
        <w:jc w:val="both"/>
        <w:rPr>
          <w:rFonts w:ascii="標楷體" w:eastAsia="標楷體" w:hAnsi="標楷體"/>
          <w:b/>
          <w:sz w:val="22"/>
          <w:szCs w:val="22"/>
        </w:rPr>
      </w:pPr>
      <w:r w:rsidRPr="00212D57">
        <w:rPr>
          <w:rFonts w:ascii="標楷體" w:eastAsia="標楷體" w:hAnsi="標楷體" w:hint="eastAsia"/>
          <w:b/>
          <w:sz w:val="22"/>
          <w:szCs w:val="22"/>
        </w:rPr>
        <w:t>所有一切</w:t>
      </w:r>
      <w:r w:rsidRPr="00DA0E34">
        <w:rPr>
          <w:rFonts w:ascii="標楷體" w:eastAsia="標楷體" w:hAnsi="標楷體" w:hint="eastAsia"/>
          <w:b/>
          <w:sz w:val="22"/>
          <w:szCs w:val="22"/>
          <w:highlight w:val="yellow"/>
        </w:rPr>
        <w:t>法皆</w:t>
      </w:r>
      <w:r w:rsidRPr="00212D57">
        <w:rPr>
          <w:rFonts w:ascii="標楷體" w:eastAsia="標楷體" w:hAnsi="標楷體" w:hint="eastAsia"/>
          <w:b/>
          <w:sz w:val="22"/>
          <w:szCs w:val="22"/>
        </w:rPr>
        <w:t>是老死相，終不見有</w:t>
      </w:r>
      <w:r w:rsidRPr="00DA0E34">
        <w:rPr>
          <w:rFonts w:ascii="標楷體" w:eastAsia="標楷體" w:hAnsi="標楷體" w:hint="eastAsia"/>
          <w:b/>
          <w:sz w:val="22"/>
          <w:szCs w:val="22"/>
          <w:highlight w:val="yellow"/>
        </w:rPr>
        <w:t>法離</w:t>
      </w:r>
      <w:r w:rsidRPr="00212D57">
        <w:rPr>
          <w:rFonts w:ascii="標楷體" w:eastAsia="標楷體" w:hAnsi="標楷體" w:hint="eastAsia"/>
          <w:b/>
          <w:sz w:val="22"/>
          <w:szCs w:val="22"/>
        </w:rPr>
        <w:t>老死有住。</w:t>
      </w:r>
    </w:p>
    <w:p w:rsidR="00157EF6" w:rsidRPr="00212D57" w:rsidRDefault="00157EF6" w:rsidP="00B5316E">
      <w:pPr>
        <w:snapToGrid w:val="0"/>
        <w:ind w:leftChars="335" w:left="804"/>
        <w:jc w:val="both"/>
        <w:rPr>
          <w:rFonts w:ascii="標楷體" w:eastAsia="標楷體" w:hAnsi="標楷體"/>
          <w:sz w:val="22"/>
          <w:szCs w:val="22"/>
        </w:rPr>
      </w:pPr>
      <w:r w:rsidRPr="00212D57">
        <w:rPr>
          <w:rFonts w:ascii="標楷體" w:eastAsia="標楷體" w:hAnsi="標楷體" w:hint="eastAsia"/>
          <w:sz w:val="22"/>
          <w:szCs w:val="22"/>
        </w:rPr>
        <w:t>一切法生時，「無常」常隨逐；「無常」有二，名</w:t>
      </w:r>
      <w:r w:rsidR="00DA0E34">
        <w:rPr>
          <w:rFonts w:ascii="標楷體" w:eastAsia="標楷體" w:hAnsi="標楷體" w:hint="eastAsia"/>
          <w:bCs/>
          <w:color w:val="FF0000"/>
          <w:kern w:val="0"/>
          <w:sz w:val="22"/>
          <w:highlight w:val="yellow"/>
        </w:rPr>
        <w:t>「</w:t>
      </w:r>
      <w:r w:rsidRPr="00212D57">
        <w:rPr>
          <w:rFonts w:ascii="標楷體" w:eastAsia="標楷體" w:hAnsi="標楷體" w:hint="eastAsia"/>
          <w:sz w:val="22"/>
          <w:szCs w:val="22"/>
        </w:rPr>
        <w:t>老</w:t>
      </w:r>
      <w:r w:rsidR="00DA0E34">
        <w:rPr>
          <w:rFonts w:ascii="標楷體" w:eastAsia="標楷體" w:hAnsi="標楷體" w:hint="eastAsia"/>
          <w:bCs/>
          <w:color w:val="FF0000"/>
          <w:kern w:val="0"/>
          <w:sz w:val="22"/>
          <w:highlight w:val="yellow"/>
        </w:rPr>
        <w:t>」</w:t>
      </w:r>
      <w:r w:rsidRPr="00212D57">
        <w:rPr>
          <w:rFonts w:ascii="標楷體" w:eastAsia="標楷體" w:hAnsi="標楷體" w:hint="eastAsia"/>
          <w:sz w:val="22"/>
          <w:szCs w:val="22"/>
        </w:rPr>
        <w:t>及</w:t>
      </w:r>
      <w:r w:rsidR="00DA0E34">
        <w:rPr>
          <w:rFonts w:ascii="標楷體" w:eastAsia="標楷體" w:hAnsi="標楷體" w:hint="eastAsia"/>
          <w:bCs/>
          <w:color w:val="FF0000"/>
          <w:kern w:val="0"/>
          <w:sz w:val="22"/>
          <w:highlight w:val="yellow"/>
        </w:rPr>
        <w:t>「</w:t>
      </w:r>
      <w:r w:rsidRPr="00212D57">
        <w:rPr>
          <w:rFonts w:ascii="標楷體" w:eastAsia="標楷體" w:hAnsi="標楷體" w:hint="eastAsia"/>
          <w:sz w:val="22"/>
          <w:szCs w:val="22"/>
        </w:rPr>
        <w:t>死</w:t>
      </w:r>
      <w:r w:rsidR="00DA0E34">
        <w:rPr>
          <w:rFonts w:ascii="標楷體" w:eastAsia="標楷體" w:hAnsi="標楷體" w:hint="eastAsia"/>
          <w:bCs/>
          <w:color w:val="FF0000"/>
          <w:kern w:val="0"/>
          <w:sz w:val="22"/>
          <w:highlight w:val="yellow"/>
        </w:rPr>
        <w:t>」</w:t>
      </w:r>
      <w:r w:rsidRPr="00212D57">
        <w:rPr>
          <w:rFonts w:ascii="標楷體" w:eastAsia="標楷體" w:hAnsi="標楷體" w:hint="eastAsia"/>
          <w:sz w:val="22"/>
          <w:szCs w:val="22"/>
        </w:rPr>
        <w:t>；如是一切法常有老死，故無住時。</w:t>
      </w:r>
    </w:p>
    <w:p w:rsidR="00157EF6" w:rsidRPr="00212D57" w:rsidRDefault="00157EF6" w:rsidP="00B5316E">
      <w:pPr>
        <w:pStyle w:val="a5"/>
        <w:ind w:leftChars="105" w:left="791" w:hangingChars="245" w:hanging="539"/>
        <w:jc w:val="both"/>
        <w:rPr>
          <w:szCs w:val="22"/>
        </w:rPr>
      </w:pPr>
      <w:r w:rsidRPr="00212D57">
        <w:rPr>
          <w:rFonts w:ascii="新細明體" w:hAnsi="新細明體" w:hint="eastAsia"/>
          <w:szCs w:val="22"/>
        </w:rPr>
        <w:t>（</w:t>
      </w:r>
      <w:r w:rsidRPr="00761EF3">
        <w:rPr>
          <w:szCs w:val="22"/>
        </w:rPr>
        <w:t>2</w:t>
      </w:r>
      <w:r w:rsidRPr="00212D57">
        <w:rPr>
          <w:rFonts w:ascii="新細明體" w:hAnsi="新細明體" w:hint="eastAsia"/>
          <w:szCs w:val="22"/>
        </w:rPr>
        <w:t>）</w:t>
      </w:r>
      <w:r w:rsidR="009160B5">
        <w:rPr>
          <w:rFonts w:ascii="新細明體" w:hAnsi="新細明體" w:hint="eastAsia"/>
          <w:szCs w:val="22"/>
        </w:rPr>
        <w:t>參見：印</w:t>
      </w:r>
      <w:r w:rsidRPr="00212D57">
        <w:rPr>
          <w:rFonts w:ascii="新細明體" w:hAnsi="新細明體" w:hint="eastAsia"/>
          <w:szCs w:val="22"/>
        </w:rPr>
        <w:t>順法師，《</w:t>
      </w:r>
      <w:r w:rsidRPr="00212D57">
        <w:rPr>
          <w:rFonts w:hint="eastAsia"/>
          <w:szCs w:val="22"/>
        </w:rPr>
        <w:t>中觀論頌講記</w:t>
      </w:r>
      <w:r w:rsidRPr="00212D57">
        <w:rPr>
          <w:szCs w:val="22"/>
        </w:rPr>
        <w:t>》，</w:t>
      </w:r>
      <w:r w:rsidRPr="00761EF3">
        <w:rPr>
          <w:szCs w:val="22"/>
        </w:rPr>
        <w:t>pp</w:t>
      </w:r>
      <w:r w:rsidRPr="00212D57">
        <w:rPr>
          <w:szCs w:val="22"/>
        </w:rPr>
        <w:t>.</w:t>
      </w:r>
      <w:r w:rsidRPr="00761EF3">
        <w:rPr>
          <w:szCs w:val="22"/>
        </w:rPr>
        <w:t>163</w:t>
      </w:r>
      <w:r w:rsidRPr="00212D57">
        <w:rPr>
          <w:szCs w:val="22"/>
        </w:rPr>
        <w:t>-</w:t>
      </w:r>
      <w:r w:rsidRPr="00761EF3">
        <w:rPr>
          <w:szCs w:val="22"/>
        </w:rPr>
        <w:t>164</w:t>
      </w:r>
      <w:r w:rsidRPr="00212D57">
        <w:rPr>
          <w:rFonts w:hint="eastAsia"/>
          <w:szCs w:val="22"/>
        </w:rPr>
        <w:t>：</w:t>
      </w:r>
    </w:p>
    <w:p w:rsidR="00157EF6" w:rsidRPr="00212D57" w:rsidRDefault="00157EF6" w:rsidP="00B5316E">
      <w:pPr>
        <w:snapToGrid w:val="0"/>
        <w:ind w:leftChars="335" w:left="804"/>
        <w:jc w:val="both"/>
        <w:rPr>
          <w:rFonts w:ascii="標楷體" w:eastAsia="標楷體" w:hAnsi="標楷體"/>
          <w:b/>
          <w:sz w:val="22"/>
          <w:szCs w:val="22"/>
        </w:rPr>
      </w:pPr>
      <w:r w:rsidRPr="00212D57">
        <w:rPr>
          <w:rFonts w:ascii="標楷體" w:eastAsia="標楷體" w:hAnsi="標楷體" w:hint="eastAsia"/>
          <w:b/>
          <w:sz w:val="22"/>
          <w:szCs w:val="22"/>
        </w:rPr>
        <w:t>若諸法滅時，是則不應住；法若不滅者，終無有是事。</w:t>
      </w:r>
    </w:p>
    <w:p w:rsidR="00157EF6" w:rsidRPr="00212D57" w:rsidRDefault="00157EF6" w:rsidP="00B5316E">
      <w:pPr>
        <w:snapToGrid w:val="0"/>
        <w:ind w:leftChars="335" w:left="804"/>
        <w:jc w:val="both"/>
        <w:rPr>
          <w:rFonts w:ascii="標楷體" w:eastAsia="標楷體" w:hAnsi="標楷體"/>
          <w:b/>
          <w:sz w:val="22"/>
          <w:szCs w:val="22"/>
        </w:rPr>
      </w:pPr>
      <w:r w:rsidRPr="00212D57">
        <w:rPr>
          <w:rFonts w:ascii="標楷體" w:eastAsia="標楷體" w:hAnsi="標楷體" w:hint="eastAsia"/>
          <w:b/>
          <w:sz w:val="22"/>
          <w:szCs w:val="22"/>
        </w:rPr>
        <w:t>所有一切法</w:t>
      </w:r>
      <w:r w:rsidR="00DA0E34">
        <w:rPr>
          <w:rFonts w:ascii="標楷體" w:eastAsia="標楷體" w:hAnsi="標楷體" w:hint="eastAsia"/>
          <w:b/>
          <w:sz w:val="22"/>
          <w:szCs w:val="22"/>
        </w:rPr>
        <w:t xml:space="preserve">  </w:t>
      </w:r>
      <w:r w:rsidRPr="00212D57">
        <w:rPr>
          <w:rFonts w:ascii="標楷體" w:eastAsia="標楷體" w:hAnsi="標楷體" w:hint="eastAsia"/>
          <w:b/>
          <w:sz w:val="22"/>
          <w:szCs w:val="22"/>
        </w:rPr>
        <w:t>皆是老死相，終不見有法</w:t>
      </w:r>
      <w:r w:rsidR="00DA0E34">
        <w:rPr>
          <w:rFonts w:ascii="標楷體" w:eastAsia="標楷體" w:hAnsi="標楷體" w:hint="eastAsia"/>
          <w:b/>
          <w:sz w:val="22"/>
          <w:szCs w:val="22"/>
        </w:rPr>
        <w:t xml:space="preserve">  </w:t>
      </w:r>
      <w:r w:rsidRPr="00212D57">
        <w:rPr>
          <w:rFonts w:ascii="標楷體" w:eastAsia="標楷體" w:hAnsi="標楷體" w:hint="eastAsia"/>
          <w:b/>
          <w:sz w:val="22"/>
          <w:szCs w:val="22"/>
        </w:rPr>
        <w:t>離老死有住。</w:t>
      </w:r>
    </w:p>
    <w:p w:rsidR="00157EF6" w:rsidRPr="00212D57" w:rsidRDefault="00157EF6" w:rsidP="00B5316E">
      <w:pPr>
        <w:snapToGrid w:val="0"/>
        <w:ind w:leftChars="335" w:left="804"/>
        <w:jc w:val="both"/>
        <w:rPr>
          <w:rFonts w:ascii="標楷體" w:eastAsia="標楷體" w:hAnsi="標楷體"/>
          <w:sz w:val="22"/>
          <w:szCs w:val="22"/>
        </w:rPr>
      </w:pPr>
      <w:r w:rsidRPr="00212D57">
        <w:rPr>
          <w:rFonts w:ascii="標楷體" w:eastAsia="標楷體" w:hAnsi="標楷體" w:hint="eastAsia"/>
          <w:sz w:val="22"/>
          <w:szCs w:val="22"/>
        </w:rPr>
        <w:t>前三時門破，用無生故無住的類例破；本門是以滅與住相待而破住的不成。是滅時住，還是不滅時住？假定說：「諸法」正在「滅」的「時」候有住，這是不可以的。因為一法中的滅、住二相（住是有，滅是無），是相違的，住就不滅，滅就非住。滅是破壞住的，所以說「是則不應住」。假定說：法不滅時住，這也有過。因為諸「法」「不」剎那「滅」，是「無有是事」的。</w:t>
      </w:r>
    </w:p>
    <w:p w:rsidR="00157EF6" w:rsidRPr="00212D57" w:rsidRDefault="00157EF6" w:rsidP="00B5316E">
      <w:pPr>
        <w:snapToGrid w:val="0"/>
        <w:ind w:leftChars="335" w:left="804"/>
        <w:jc w:val="both"/>
        <w:rPr>
          <w:rFonts w:ascii="標楷體" w:eastAsia="標楷體" w:hAnsi="標楷體"/>
          <w:sz w:val="22"/>
          <w:szCs w:val="22"/>
        </w:rPr>
      </w:pPr>
      <w:r w:rsidRPr="00212D57">
        <w:rPr>
          <w:rFonts w:ascii="標楷體" w:eastAsia="標楷體" w:hAnsi="標楷體" w:hint="eastAsia"/>
          <w:sz w:val="22"/>
          <w:szCs w:val="22"/>
        </w:rPr>
        <w:t>「一切」有為「法」，在有情分上，具有「老（異相）死（滅相）相」；在眾多的無情分上，具有異滅相；在整個器界分上，具有壞空相；法法都在不斷的演變過去的過程中，所以從來「不見有」一「法，離」了「老死」相而「有」安「住」的。這可見不滅時住，是怎樣的錯誤了。</w:t>
      </w:r>
    </w:p>
  </w:footnote>
  <w:footnote w:id="494">
    <w:p w:rsidR="00100AC0" w:rsidRPr="00212D57" w:rsidRDefault="00100AC0" w:rsidP="00100AC0">
      <w:pPr>
        <w:pStyle w:val="a5"/>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《大毘婆沙論》卷</w:t>
      </w:r>
      <w:r w:rsidRPr="00761EF3">
        <w:rPr>
          <w:szCs w:val="22"/>
        </w:rPr>
        <w:t>39</w:t>
      </w:r>
      <w:r w:rsidRPr="00212D57">
        <w:rPr>
          <w:szCs w:val="22"/>
        </w:rPr>
        <w:t>（大正</w:t>
      </w:r>
      <w:r w:rsidRPr="00761EF3">
        <w:rPr>
          <w:szCs w:val="22"/>
        </w:rPr>
        <w:t>27</w:t>
      </w:r>
      <w:r w:rsidRPr="00212D57">
        <w:rPr>
          <w:szCs w:val="22"/>
        </w:rPr>
        <w:t>，</w:t>
      </w:r>
      <w:r w:rsidRPr="00761EF3">
        <w:rPr>
          <w:szCs w:val="22"/>
        </w:rPr>
        <w:t>200a2</w:t>
      </w:r>
      <w:r w:rsidRPr="00212D57">
        <w:rPr>
          <w:szCs w:val="22"/>
        </w:rPr>
        <w:t>-</w:t>
      </w:r>
      <w:r w:rsidRPr="00761EF3">
        <w:rPr>
          <w:rFonts w:eastAsia="SimSun" w:hint="eastAsia"/>
          <w:szCs w:val="22"/>
        </w:rPr>
        <w:t>8</w:t>
      </w:r>
      <w:r w:rsidRPr="00212D57">
        <w:rPr>
          <w:szCs w:val="22"/>
        </w:rPr>
        <w:t>）：</w:t>
      </w:r>
    </w:p>
    <w:p w:rsidR="00100AC0" w:rsidRPr="00212D57" w:rsidRDefault="00100AC0" w:rsidP="00100AC0">
      <w:pPr>
        <w:pStyle w:val="a5"/>
        <w:ind w:leftChars="105" w:left="252"/>
        <w:jc w:val="both"/>
        <w:rPr>
          <w:rFonts w:ascii="標楷體" w:eastAsia="標楷體" w:hAnsi="標楷體"/>
          <w:szCs w:val="22"/>
        </w:rPr>
      </w:pPr>
      <w:r w:rsidRPr="00212D57">
        <w:rPr>
          <w:rFonts w:ascii="標楷體" w:eastAsia="標楷體" w:hAnsi="標楷體" w:hint="eastAsia"/>
          <w:szCs w:val="22"/>
        </w:rPr>
        <w:t>復次</w:t>
      </w:r>
      <w:r w:rsidR="00DA0E34">
        <w:rPr>
          <w:rFonts w:ascii="標楷體" w:eastAsia="標楷體" w:hAnsi="標楷體" w:hint="eastAsia"/>
          <w:color w:val="FF0000"/>
          <w:kern w:val="0"/>
          <w:highlight w:val="yellow"/>
        </w:rPr>
        <w:t>，</w:t>
      </w:r>
      <w:r w:rsidRPr="00212D57">
        <w:rPr>
          <w:rFonts w:ascii="標楷體" w:eastAsia="標楷體" w:hAnsi="標楷體"/>
          <w:szCs w:val="22"/>
        </w:rPr>
        <w:t>為止他宗</w:t>
      </w:r>
      <w:r w:rsidR="00DA0E34">
        <w:rPr>
          <w:rFonts w:ascii="標楷體" w:eastAsia="標楷體" w:hAnsi="標楷體" w:hint="eastAsia"/>
          <w:color w:val="FF0000"/>
          <w:spacing w:val="-4"/>
          <w:kern w:val="0"/>
          <w:highlight w:val="yellow"/>
        </w:rPr>
        <w:t>、</w:t>
      </w:r>
      <w:r w:rsidRPr="00212D57">
        <w:rPr>
          <w:rFonts w:ascii="標楷體" w:eastAsia="標楷體" w:hAnsi="標楷體"/>
          <w:szCs w:val="22"/>
        </w:rPr>
        <w:t>顯正義故</w:t>
      </w:r>
      <w:r w:rsidR="00DA0E34">
        <w:rPr>
          <w:rFonts w:ascii="標楷體" w:eastAsia="標楷體" w:hAnsi="標楷體" w:hint="eastAsia"/>
          <w:color w:val="FF0000"/>
          <w:kern w:val="0"/>
          <w:highlight w:val="yellow"/>
        </w:rPr>
        <w:t>。</w:t>
      </w:r>
      <w:r w:rsidRPr="00212D57">
        <w:rPr>
          <w:rFonts w:ascii="標楷體" w:eastAsia="標楷體" w:hAnsi="標楷體"/>
          <w:b/>
          <w:szCs w:val="22"/>
        </w:rPr>
        <w:t>謂或有執</w:t>
      </w:r>
      <w:r w:rsidRPr="00212D57">
        <w:rPr>
          <w:rFonts w:ascii="標楷體" w:eastAsia="標楷體" w:hAnsi="標楷體" w:hint="eastAsia"/>
          <w:b/>
          <w:szCs w:val="22"/>
        </w:rPr>
        <w:t>「</w:t>
      </w:r>
      <w:r w:rsidRPr="00212D57">
        <w:rPr>
          <w:rFonts w:ascii="標楷體" w:eastAsia="標楷體" w:hAnsi="標楷體"/>
          <w:b/>
          <w:szCs w:val="22"/>
        </w:rPr>
        <w:t>三有為相非一剎那</w:t>
      </w:r>
      <w:r w:rsidRPr="00212D57">
        <w:rPr>
          <w:rFonts w:ascii="標楷體" w:eastAsia="標楷體" w:hAnsi="標楷體" w:hint="eastAsia"/>
          <w:b/>
          <w:szCs w:val="22"/>
        </w:rPr>
        <w:t>」</w:t>
      </w:r>
      <w:r w:rsidRPr="00212D57">
        <w:rPr>
          <w:rFonts w:ascii="標楷體" w:eastAsia="標楷體" w:hAnsi="標楷體"/>
          <w:b/>
          <w:szCs w:val="22"/>
        </w:rPr>
        <w:t>，如譬喻者</w:t>
      </w:r>
      <w:r w:rsidRPr="00212D57">
        <w:rPr>
          <w:rFonts w:ascii="標楷體" w:eastAsia="標楷體" w:hAnsi="標楷體"/>
          <w:szCs w:val="22"/>
        </w:rPr>
        <w:t>。彼作是說：</w:t>
      </w:r>
      <w:r w:rsidRPr="00212D57">
        <w:rPr>
          <w:rFonts w:ascii="標楷體" w:eastAsia="標楷體" w:hAnsi="標楷體" w:hint="eastAsia"/>
          <w:szCs w:val="22"/>
        </w:rPr>
        <w:t>「</w:t>
      </w:r>
      <w:r w:rsidRPr="00212D57">
        <w:rPr>
          <w:rFonts w:ascii="標楷體" w:eastAsia="標楷體" w:hAnsi="標楷體"/>
          <w:szCs w:val="22"/>
        </w:rPr>
        <w:t>若一剎那有三相者，則應一法一時亦</w:t>
      </w:r>
      <w:r w:rsidRPr="00DA0E34">
        <w:rPr>
          <w:rFonts w:ascii="標楷體" w:eastAsia="標楷體" w:hAnsi="標楷體"/>
          <w:szCs w:val="22"/>
          <w:highlight w:val="yellow"/>
        </w:rPr>
        <w:t>生亦老亦</w:t>
      </w:r>
      <w:r w:rsidRPr="00212D57">
        <w:rPr>
          <w:rFonts w:ascii="標楷體" w:eastAsia="標楷體" w:hAnsi="標楷體"/>
          <w:szCs w:val="22"/>
        </w:rPr>
        <w:t>滅。然無此理</w:t>
      </w:r>
      <w:r w:rsidRPr="00212D57">
        <w:rPr>
          <w:rFonts w:ascii="標楷體" w:eastAsia="標楷體" w:hAnsi="標楷體" w:hint="eastAsia"/>
          <w:szCs w:val="22"/>
        </w:rPr>
        <w:t>，</w:t>
      </w:r>
      <w:r w:rsidRPr="00212D57">
        <w:rPr>
          <w:rFonts w:ascii="標楷體" w:eastAsia="標楷體" w:hAnsi="標楷體"/>
          <w:szCs w:val="22"/>
        </w:rPr>
        <w:t>互相違故，應說</w:t>
      </w:r>
      <w:r w:rsidRPr="00212D57">
        <w:rPr>
          <w:rFonts w:ascii="標楷體" w:eastAsia="標楷體" w:hAnsi="標楷體"/>
          <w:b/>
          <w:szCs w:val="22"/>
        </w:rPr>
        <w:t>諸法初起名</w:t>
      </w:r>
      <w:r w:rsidR="00DA0E34">
        <w:rPr>
          <w:rFonts w:ascii="標楷體" w:eastAsia="標楷體" w:hAnsi="標楷體" w:hint="eastAsia"/>
          <w:color w:val="FF0000"/>
          <w:kern w:val="0"/>
          <w:highlight w:val="yellow"/>
        </w:rPr>
        <w:t>『</w:t>
      </w:r>
      <w:r w:rsidRPr="00212D57">
        <w:rPr>
          <w:rFonts w:ascii="標楷體" w:eastAsia="標楷體" w:hAnsi="標楷體"/>
          <w:b/>
          <w:szCs w:val="22"/>
        </w:rPr>
        <w:t>生</w:t>
      </w:r>
      <w:r w:rsidR="00DA0E34">
        <w:rPr>
          <w:rFonts w:ascii="標楷體" w:eastAsia="標楷體" w:hAnsi="標楷體" w:hint="eastAsia"/>
          <w:color w:val="FF0000"/>
          <w:kern w:val="0"/>
          <w:highlight w:val="yellow"/>
        </w:rPr>
        <w:t>』</w:t>
      </w:r>
      <w:r w:rsidRPr="00212D57">
        <w:rPr>
          <w:rFonts w:ascii="標楷體" w:eastAsia="標楷體" w:hAnsi="標楷體"/>
          <w:b/>
          <w:szCs w:val="22"/>
        </w:rPr>
        <w:t>，後盡名</w:t>
      </w:r>
      <w:r w:rsidR="00DA0E34">
        <w:rPr>
          <w:rFonts w:ascii="標楷體" w:eastAsia="標楷體" w:hAnsi="標楷體" w:hint="eastAsia"/>
          <w:color w:val="FF0000"/>
          <w:kern w:val="0"/>
          <w:highlight w:val="yellow"/>
        </w:rPr>
        <w:t>『</w:t>
      </w:r>
      <w:r w:rsidRPr="00212D57">
        <w:rPr>
          <w:rFonts w:ascii="標楷體" w:eastAsia="標楷體" w:hAnsi="標楷體"/>
          <w:b/>
          <w:szCs w:val="22"/>
        </w:rPr>
        <w:t>滅</w:t>
      </w:r>
      <w:r w:rsidR="00DA0E34">
        <w:rPr>
          <w:rFonts w:ascii="標楷體" w:eastAsia="標楷體" w:hAnsi="標楷體" w:hint="eastAsia"/>
          <w:color w:val="FF0000"/>
          <w:kern w:val="0"/>
          <w:highlight w:val="yellow"/>
        </w:rPr>
        <w:t>』</w:t>
      </w:r>
      <w:r w:rsidRPr="00212D57">
        <w:rPr>
          <w:rFonts w:ascii="標楷體" w:eastAsia="標楷體" w:hAnsi="標楷體"/>
          <w:b/>
          <w:szCs w:val="22"/>
        </w:rPr>
        <w:t>，中熟名</w:t>
      </w:r>
      <w:r w:rsidR="00DA0E34">
        <w:rPr>
          <w:rFonts w:ascii="標楷體" w:eastAsia="標楷體" w:hAnsi="標楷體" w:hint="eastAsia"/>
          <w:color w:val="FF0000"/>
          <w:kern w:val="0"/>
          <w:highlight w:val="yellow"/>
        </w:rPr>
        <w:t>『</w:t>
      </w:r>
      <w:r w:rsidRPr="00212D57">
        <w:rPr>
          <w:rFonts w:ascii="標楷體" w:eastAsia="標楷體" w:hAnsi="標楷體"/>
          <w:b/>
          <w:szCs w:val="22"/>
        </w:rPr>
        <w:t>老</w:t>
      </w:r>
      <w:r w:rsidR="00DA0E34">
        <w:rPr>
          <w:rFonts w:ascii="標楷體" w:eastAsia="標楷體" w:hAnsi="標楷體" w:hint="eastAsia"/>
          <w:color w:val="FF0000"/>
          <w:kern w:val="0"/>
          <w:highlight w:val="yellow"/>
        </w:rPr>
        <w:t>』</w:t>
      </w:r>
      <w:r w:rsidRPr="00212D57">
        <w:rPr>
          <w:rFonts w:ascii="標楷體" w:eastAsia="標楷體" w:hAnsi="標楷體"/>
          <w:szCs w:val="22"/>
        </w:rPr>
        <w:t>。</w:t>
      </w:r>
      <w:r w:rsidRPr="00212D57">
        <w:rPr>
          <w:rFonts w:ascii="標楷體" w:eastAsia="標楷體" w:hAnsi="標楷體" w:hint="eastAsia"/>
          <w:szCs w:val="22"/>
        </w:rPr>
        <w:t>」</w:t>
      </w:r>
    </w:p>
    <w:p w:rsidR="00100AC0" w:rsidRPr="00212D57" w:rsidRDefault="00100AC0" w:rsidP="00100AC0">
      <w:pPr>
        <w:pStyle w:val="a5"/>
        <w:ind w:leftChars="120" w:left="288"/>
        <w:jc w:val="both"/>
        <w:rPr>
          <w:rFonts w:ascii="標楷體" w:eastAsia="SimSun" w:hAnsi="標楷體"/>
          <w:szCs w:val="22"/>
        </w:rPr>
      </w:pPr>
      <w:r w:rsidRPr="00212D57">
        <w:rPr>
          <w:rFonts w:ascii="標楷體" w:eastAsia="標楷體" w:hAnsi="標楷體"/>
          <w:szCs w:val="22"/>
        </w:rPr>
        <w:t>為遮彼執</w:t>
      </w:r>
      <w:r w:rsidRPr="00212D57">
        <w:rPr>
          <w:rFonts w:ascii="標楷體" w:eastAsia="標楷體" w:hAnsi="標楷體" w:hint="eastAsia"/>
          <w:szCs w:val="22"/>
        </w:rPr>
        <w:t>，</w:t>
      </w:r>
      <w:r w:rsidRPr="00212D57">
        <w:rPr>
          <w:rFonts w:ascii="標楷體" w:eastAsia="標楷體" w:hAnsi="標楷體"/>
          <w:szCs w:val="22"/>
        </w:rPr>
        <w:t>顯</w:t>
      </w:r>
      <w:r w:rsidRPr="00212D57">
        <w:rPr>
          <w:rFonts w:ascii="標楷體" w:eastAsia="標楷體" w:hAnsi="標楷體" w:hint="eastAsia"/>
          <w:szCs w:val="22"/>
        </w:rPr>
        <w:t>「</w:t>
      </w:r>
      <w:r w:rsidRPr="00212D57">
        <w:rPr>
          <w:rFonts w:ascii="標楷體" w:eastAsia="標楷體" w:hAnsi="標楷體"/>
          <w:b/>
          <w:szCs w:val="22"/>
        </w:rPr>
        <w:t>一剎那具有三相</w:t>
      </w:r>
      <w:r w:rsidRPr="00212D57">
        <w:rPr>
          <w:rFonts w:ascii="標楷體" w:eastAsia="標楷體" w:hAnsi="標楷體" w:hint="eastAsia"/>
          <w:szCs w:val="22"/>
        </w:rPr>
        <w:t>」</w:t>
      </w:r>
      <w:r w:rsidRPr="00212D57">
        <w:rPr>
          <w:rFonts w:ascii="標楷體" w:eastAsia="標楷體" w:hAnsi="標楷體"/>
          <w:szCs w:val="22"/>
        </w:rPr>
        <w:t>。</w:t>
      </w:r>
    </w:p>
  </w:footnote>
  <w:footnote w:id="495">
    <w:p w:rsidR="00100AC0" w:rsidRPr="00212D57" w:rsidRDefault="00100AC0" w:rsidP="00100AC0">
      <w:pPr>
        <w:pStyle w:val="a5"/>
        <w:ind w:left="253" w:hangingChars="115" w:hanging="253"/>
        <w:jc w:val="both"/>
        <w:rPr>
          <w:rFonts w:eastAsia="SimSun"/>
          <w:szCs w:val="22"/>
        </w:rPr>
      </w:pPr>
      <w:r w:rsidRPr="00212D57">
        <w:rPr>
          <w:rStyle w:val="a6"/>
          <w:szCs w:val="22"/>
        </w:rPr>
        <w:footnoteRef/>
      </w:r>
      <w:r w:rsidRPr="00212D57">
        <w:rPr>
          <w:rFonts w:hint="eastAsia"/>
          <w:szCs w:val="22"/>
        </w:rPr>
        <w:t xml:space="preserve"> </w:t>
      </w:r>
      <w:r w:rsidRPr="00212D57">
        <w:rPr>
          <w:szCs w:val="22"/>
        </w:rPr>
        <w:t>《大毘婆沙論》卷</w:t>
      </w:r>
      <w:r w:rsidRPr="00761EF3">
        <w:rPr>
          <w:szCs w:val="22"/>
        </w:rPr>
        <w:t>39</w:t>
      </w:r>
      <w:r w:rsidRPr="00212D57">
        <w:rPr>
          <w:szCs w:val="22"/>
        </w:rPr>
        <w:t>（大正</w:t>
      </w:r>
      <w:r w:rsidRPr="00761EF3">
        <w:rPr>
          <w:szCs w:val="22"/>
        </w:rPr>
        <w:t>27</w:t>
      </w:r>
      <w:r w:rsidRPr="00212D57">
        <w:rPr>
          <w:szCs w:val="22"/>
        </w:rPr>
        <w:t>，</w:t>
      </w:r>
      <w:r w:rsidRPr="00761EF3">
        <w:rPr>
          <w:szCs w:val="22"/>
        </w:rPr>
        <w:t>200a</w:t>
      </w:r>
      <w:r w:rsidRPr="00761EF3">
        <w:rPr>
          <w:rFonts w:eastAsia="SimSun" w:hint="eastAsia"/>
          <w:szCs w:val="22"/>
        </w:rPr>
        <w:t>8</w:t>
      </w:r>
      <w:r w:rsidRPr="00212D57">
        <w:rPr>
          <w:szCs w:val="22"/>
        </w:rPr>
        <w:t>-</w:t>
      </w:r>
      <w:r w:rsidRPr="00761EF3">
        <w:rPr>
          <w:rFonts w:eastAsia="SimSun" w:hint="eastAsia"/>
          <w:szCs w:val="22"/>
        </w:rPr>
        <w:t>13</w:t>
      </w:r>
      <w:r w:rsidRPr="00212D57">
        <w:rPr>
          <w:szCs w:val="22"/>
        </w:rPr>
        <w:t>）：</w:t>
      </w:r>
    </w:p>
    <w:p w:rsidR="00100AC0" w:rsidRPr="00212D57" w:rsidRDefault="00100AC0" w:rsidP="00100AC0">
      <w:pPr>
        <w:pStyle w:val="a5"/>
        <w:ind w:leftChars="105" w:left="692" w:hangingChars="200" w:hanging="440"/>
        <w:jc w:val="both"/>
        <w:rPr>
          <w:rFonts w:ascii="標楷體" w:eastAsia="標楷體" w:hAnsi="標楷體"/>
          <w:szCs w:val="22"/>
        </w:rPr>
      </w:pPr>
      <w:r w:rsidRPr="00212D57">
        <w:rPr>
          <w:rFonts w:ascii="標楷體" w:eastAsia="標楷體" w:hAnsi="標楷體"/>
          <w:szCs w:val="22"/>
        </w:rPr>
        <w:t>問：若如是者，則應一法一時亦</w:t>
      </w:r>
      <w:r w:rsidRPr="00DA0E34">
        <w:rPr>
          <w:rFonts w:ascii="標楷體" w:eastAsia="標楷體" w:hAnsi="標楷體"/>
          <w:szCs w:val="22"/>
          <w:highlight w:val="yellow"/>
        </w:rPr>
        <w:t>生亦老亦</w:t>
      </w:r>
      <w:r w:rsidRPr="00212D57">
        <w:rPr>
          <w:rFonts w:ascii="標楷體" w:eastAsia="標楷體" w:hAnsi="標楷體"/>
          <w:szCs w:val="22"/>
        </w:rPr>
        <w:t>滅。</w:t>
      </w:r>
    </w:p>
    <w:p w:rsidR="00100AC0" w:rsidRPr="00212D57" w:rsidRDefault="00100AC0" w:rsidP="00100AC0">
      <w:pPr>
        <w:pStyle w:val="a5"/>
        <w:ind w:leftChars="105" w:left="692" w:hangingChars="200" w:hanging="440"/>
        <w:jc w:val="both"/>
        <w:rPr>
          <w:rFonts w:eastAsia="SimSun"/>
          <w:szCs w:val="22"/>
        </w:rPr>
      </w:pPr>
      <w:r w:rsidRPr="00212D57">
        <w:rPr>
          <w:rFonts w:ascii="標楷體" w:eastAsia="標楷體" w:hAnsi="標楷體"/>
          <w:szCs w:val="22"/>
        </w:rPr>
        <w:t>答：作用時異</w:t>
      </w:r>
      <w:r w:rsidRPr="00212D57">
        <w:rPr>
          <w:rFonts w:ascii="標楷體" w:eastAsia="標楷體" w:hAnsi="標楷體" w:hint="eastAsia"/>
          <w:szCs w:val="22"/>
        </w:rPr>
        <w:t>，</w:t>
      </w:r>
      <w:r w:rsidRPr="00212D57">
        <w:rPr>
          <w:rFonts w:ascii="標楷體" w:eastAsia="標楷體" w:hAnsi="標楷體"/>
          <w:szCs w:val="22"/>
        </w:rPr>
        <w:t>故不相違。謂法生時</w:t>
      </w:r>
      <w:r w:rsidRPr="00212D57">
        <w:rPr>
          <w:rFonts w:ascii="標楷體" w:eastAsia="標楷體" w:hAnsi="標楷體" w:hint="eastAsia"/>
          <w:szCs w:val="22"/>
        </w:rPr>
        <w:t>，</w:t>
      </w:r>
      <w:r w:rsidR="00DA0E34">
        <w:rPr>
          <w:rFonts w:ascii="標楷體" w:eastAsia="標楷體" w:hAnsi="標楷體" w:hint="eastAsia"/>
          <w:bCs/>
          <w:color w:val="FF0000"/>
          <w:kern w:val="0"/>
          <w:highlight w:val="yellow"/>
        </w:rPr>
        <w:t>「</w:t>
      </w:r>
      <w:r w:rsidRPr="00212D57">
        <w:rPr>
          <w:rFonts w:ascii="標楷體" w:eastAsia="標楷體" w:hAnsi="標楷體"/>
          <w:szCs w:val="22"/>
        </w:rPr>
        <w:t>生</w:t>
      </w:r>
      <w:r w:rsidR="00DA0E34">
        <w:rPr>
          <w:rFonts w:ascii="標楷體" w:eastAsia="標楷體" w:hAnsi="標楷體" w:hint="eastAsia"/>
          <w:bCs/>
          <w:color w:val="FF0000"/>
          <w:kern w:val="0"/>
          <w:highlight w:val="yellow"/>
        </w:rPr>
        <w:t>」</w:t>
      </w:r>
      <w:r w:rsidR="00DA0E34">
        <w:rPr>
          <w:rFonts w:ascii="標楷體" w:eastAsia="標楷體" w:hAnsi="標楷體"/>
          <w:szCs w:val="22"/>
        </w:rPr>
        <w:t>有作用</w:t>
      </w:r>
      <w:r w:rsidR="00DA0E34">
        <w:rPr>
          <w:rFonts w:ascii="標楷體" w:eastAsia="標楷體" w:hAnsi="標楷體" w:hint="eastAsia"/>
          <w:color w:val="FF0000"/>
          <w:spacing w:val="-4"/>
          <w:kern w:val="0"/>
          <w:highlight w:val="yellow"/>
        </w:rPr>
        <w:t>；</w:t>
      </w:r>
      <w:r w:rsidRPr="00212D57">
        <w:rPr>
          <w:rFonts w:ascii="標楷體" w:eastAsia="標楷體" w:hAnsi="標楷體"/>
          <w:szCs w:val="22"/>
        </w:rPr>
        <w:t>滅時</w:t>
      </w:r>
      <w:r w:rsidRPr="00212D57">
        <w:rPr>
          <w:rFonts w:ascii="標楷體" w:eastAsia="標楷體" w:hAnsi="標楷體" w:hint="eastAsia"/>
          <w:szCs w:val="22"/>
        </w:rPr>
        <w:t>，</w:t>
      </w:r>
      <w:r w:rsidR="00DA0E34">
        <w:rPr>
          <w:rFonts w:ascii="標楷體" w:eastAsia="標楷體" w:hAnsi="標楷體" w:hint="eastAsia"/>
          <w:bCs/>
          <w:color w:val="FF0000"/>
          <w:kern w:val="0"/>
          <w:highlight w:val="yellow"/>
        </w:rPr>
        <w:t>「</w:t>
      </w:r>
      <w:r w:rsidRPr="00212D57">
        <w:rPr>
          <w:rFonts w:ascii="標楷體" w:eastAsia="標楷體" w:hAnsi="標楷體"/>
          <w:szCs w:val="22"/>
        </w:rPr>
        <w:t>老</w:t>
      </w:r>
      <w:r w:rsidR="00DA0E34">
        <w:rPr>
          <w:rFonts w:ascii="標楷體" w:eastAsia="標楷體" w:hAnsi="標楷體" w:hint="eastAsia"/>
          <w:bCs/>
          <w:color w:val="FF0000"/>
          <w:kern w:val="0"/>
          <w:highlight w:val="yellow"/>
        </w:rPr>
        <w:t>」</w:t>
      </w:r>
      <w:r w:rsidR="00DA0E34">
        <w:rPr>
          <w:rFonts w:ascii="標楷體" w:eastAsia="標楷體" w:hAnsi="標楷體" w:hint="eastAsia"/>
          <w:color w:val="FF0000"/>
          <w:spacing w:val="-4"/>
          <w:kern w:val="0"/>
          <w:highlight w:val="yellow"/>
        </w:rPr>
        <w:t>、</w:t>
      </w:r>
      <w:r w:rsidR="00DA0E34">
        <w:rPr>
          <w:rFonts w:ascii="標楷體" w:eastAsia="標楷體" w:hAnsi="標楷體" w:hint="eastAsia"/>
          <w:bCs/>
          <w:color w:val="FF0000"/>
          <w:kern w:val="0"/>
          <w:highlight w:val="yellow"/>
        </w:rPr>
        <w:t>「</w:t>
      </w:r>
      <w:r w:rsidRPr="00212D57">
        <w:rPr>
          <w:rFonts w:ascii="標楷體" w:eastAsia="標楷體" w:hAnsi="標楷體"/>
          <w:szCs w:val="22"/>
        </w:rPr>
        <w:t>滅</w:t>
      </w:r>
      <w:r w:rsidR="00DA0E34">
        <w:rPr>
          <w:rFonts w:ascii="標楷體" w:eastAsia="標楷體" w:hAnsi="標楷體" w:hint="eastAsia"/>
          <w:bCs/>
          <w:color w:val="FF0000"/>
          <w:kern w:val="0"/>
          <w:highlight w:val="yellow"/>
        </w:rPr>
        <w:t>」</w:t>
      </w:r>
      <w:r w:rsidRPr="00212D57">
        <w:rPr>
          <w:rFonts w:ascii="標楷體" w:eastAsia="標楷體" w:hAnsi="標楷體"/>
          <w:szCs w:val="22"/>
        </w:rPr>
        <w:t>方有作用</w:t>
      </w:r>
      <w:r w:rsidR="00DA0E34">
        <w:rPr>
          <w:rFonts w:ascii="標楷體" w:eastAsia="標楷體" w:hAnsi="標楷體" w:hint="eastAsia"/>
          <w:color w:val="FF0000"/>
          <w:kern w:val="0"/>
          <w:highlight w:val="yellow"/>
        </w:rPr>
        <w:t>。</w:t>
      </w:r>
      <w:r w:rsidRPr="00212D57">
        <w:rPr>
          <w:rFonts w:ascii="標楷體" w:eastAsia="標楷體" w:hAnsi="標楷體"/>
          <w:b/>
          <w:szCs w:val="22"/>
        </w:rPr>
        <w:t>體雖同時</w:t>
      </w:r>
      <w:r w:rsidRPr="00212D57">
        <w:rPr>
          <w:rFonts w:ascii="標楷體" w:eastAsia="標楷體" w:hAnsi="標楷體" w:hint="eastAsia"/>
          <w:b/>
          <w:szCs w:val="22"/>
        </w:rPr>
        <w:t>，</w:t>
      </w:r>
      <w:r w:rsidRPr="00212D57">
        <w:rPr>
          <w:rFonts w:ascii="標楷體" w:eastAsia="標楷體" w:hAnsi="標楷體"/>
          <w:b/>
          <w:szCs w:val="22"/>
        </w:rPr>
        <w:t>用有先後</w:t>
      </w:r>
      <w:r w:rsidRPr="00212D57">
        <w:rPr>
          <w:rFonts w:ascii="標楷體" w:eastAsia="標楷體" w:hAnsi="標楷體"/>
          <w:szCs w:val="22"/>
        </w:rPr>
        <w:t>。一法生滅作用究竟名</w:t>
      </w:r>
      <w:r w:rsidR="00DA0E34">
        <w:rPr>
          <w:rFonts w:ascii="標楷體" w:eastAsia="標楷體" w:hAnsi="標楷體" w:hint="eastAsia"/>
          <w:bCs/>
          <w:color w:val="FF0000"/>
          <w:kern w:val="0"/>
          <w:highlight w:val="yellow"/>
        </w:rPr>
        <w:t>「</w:t>
      </w:r>
      <w:r w:rsidRPr="00212D57">
        <w:rPr>
          <w:rFonts w:ascii="標楷體" w:eastAsia="標楷體" w:hAnsi="標楷體"/>
          <w:szCs w:val="22"/>
        </w:rPr>
        <w:t>一剎那</w:t>
      </w:r>
      <w:r w:rsidR="00DA0E34">
        <w:rPr>
          <w:rFonts w:ascii="標楷體" w:eastAsia="標楷體" w:hAnsi="標楷體" w:hint="eastAsia"/>
          <w:bCs/>
          <w:color w:val="FF0000"/>
          <w:kern w:val="0"/>
          <w:highlight w:val="yellow"/>
        </w:rPr>
        <w:t>」</w:t>
      </w:r>
      <w:r w:rsidRPr="00212D57">
        <w:rPr>
          <w:rFonts w:ascii="標楷體" w:eastAsia="標楷體" w:hAnsi="標楷體"/>
          <w:szCs w:val="22"/>
        </w:rPr>
        <w:t>，故無有失。或生滅位非一剎那，然一剎那具有三體</w:t>
      </w:r>
      <w:r w:rsidR="00DA0E34">
        <w:rPr>
          <w:rFonts w:ascii="標楷體" w:eastAsia="標楷體" w:hAnsi="標楷體" w:hint="eastAsia"/>
          <w:color w:val="FF0000"/>
          <w:kern w:val="0"/>
          <w:highlight w:val="yellow"/>
        </w:rPr>
        <w:t>，</w:t>
      </w:r>
      <w:r w:rsidRPr="00DA0E34">
        <w:rPr>
          <w:rFonts w:ascii="標楷體" w:eastAsia="標楷體" w:hAnsi="標楷體"/>
          <w:szCs w:val="22"/>
          <w:highlight w:val="yellow"/>
        </w:rPr>
        <w:t>故說</w:t>
      </w:r>
      <w:r w:rsidR="00DA0E34">
        <w:rPr>
          <w:rFonts w:ascii="標楷體" w:eastAsia="標楷體" w:hAnsi="標楷體" w:hint="eastAsia"/>
          <w:bCs/>
          <w:color w:val="FF0000"/>
          <w:kern w:val="0"/>
          <w:highlight w:val="yellow"/>
        </w:rPr>
        <w:t>「</w:t>
      </w:r>
      <w:r w:rsidRPr="00212D57">
        <w:rPr>
          <w:rFonts w:ascii="標楷體" w:eastAsia="標楷體" w:hAnsi="標楷體"/>
          <w:szCs w:val="22"/>
        </w:rPr>
        <w:t>三相同一剎那</w:t>
      </w:r>
      <w:r w:rsidR="00DA0E34">
        <w:rPr>
          <w:rFonts w:ascii="標楷體" w:eastAsia="標楷體" w:hAnsi="標楷體" w:hint="eastAsia"/>
          <w:bCs/>
          <w:color w:val="FF0000"/>
          <w:kern w:val="0"/>
          <w:highlight w:val="yellow"/>
        </w:rPr>
        <w:t>」</w:t>
      </w:r>
      <w:r w:rsidRPr="00212D57">
        <w:rPr>
          <w:rFonts w:ascii="標楷體" w:eastAsia="標楷體" w:hAnsi="標楷體"/>
          <w:szCs w:val="22"/>
        </w:rPr>
        <w:t>。</w:t>
      </w:r>
    </w:p>
  </w:footnote>
  <w:footnote w:id="496">
    <w:p w:rsidR="00157EF6" w:rsidRPr="00212D57" w:rsidRDefault="00157EF6" w:rsidP="00B5316E">
      <w:pPr>
        <w:pStyle w:val="a5"/>
        <w:ind w:left="792" w:hangingChars="360" w:hanging="792"/>
        <w:jc w:val="both"/>
        <w:rPr>
          <w:szCs w:val="22"/>
        </w:rPr>
      </w:pPr>
      <w:r w:rsidRPr="00212D57">
        <w:rPr>
          <w:rStyle w:val="a6"/>
          <w:szCs w:val="22"/>
        </w:rPr>
        <w:footnoteRef/>
      </w:r>
      <w:r w:rsidRPr="00212D57">
        <w:rPr>
          <w:rFonts w:ascii="新細明體" w:hAnsi="新細明體" w:hint="eastAsia"/>
          <w:szCs w:val="22"/>
        </w:rPr>
        <w:t xml:space="preserve"> （</w:t>
      </w:r>
      <w:r w:rsidRPr="00761EF3">
        <w:rPr>
          <w:szCs w:val="22"/>
        </w:rPr>
        <w:t>1</w:t>
      </w:r>
      <w:r w:rsidRPr="00212D57">
        <w:rPr>
          <w:rFonts w:ascii="新細明體" w:hAnsi="新細明體" w:hint="eastAsia"/>
          <w:szCs w:val="22"/>
        </w:rPr>
        <w:t>）</w:t>
      </w:r>
      <w:r w:rsidRPr="00212D57">
        <w:rPr>
          <w:szCs w:val="22"/>
        </w:rPr>
        <w:t>《中論》</w:t>
      </w:r>
      <w:r w:rsidRPr="00212D57">
        <w:rPr>
          <w:rFonts w:eastAsia="MS Mincho"/>
          <w:szCs w:val="22"/>
        </w:rPr>
        <w:t>巻</w:t>
      </w:r>
      <w:r w:rsidRPr="00761EF3">
        <w:rPr>
          <w:szCs w:val="22"/>
        </w:rPr>
        <w:t>3</w:t>
      </w:r>
      <w:r w:rsidRPr="00212D57">
        <w:rPr>
          <w:szCs w:val="22"/>
        </w:rPr>
        <w:t>〈</w:t>
      </w:r>
      <w:r w:rsidRPr="00761EF3">
        <w:rPr>
          <w:rFonts w:hint="eastAsia"/>
          <w:szCs w:val="22"/>
        </w:rPr>
        <w:t>21</w:t>
      </w:r>
      <w:r w:rsidRPr="00212D57">
        <w:rPr>
          <w:szCs w:val="22"/>
        </w:rPr>
        <w:t xml:space="preserve"> </w:t>
      </w:r>
      <w:r w:rsidRPr="00212D57">
        <w:rPr>
          <w:szCs w:val="22"/>
        </w:rPr>
        <w:t>觀成壞品〉</w:t>
      </w:r>
      <w:r w:rsidRPr="00212D57">
        <w:rPr>
          <w:rFonts w:hint="eastAsia"/>
          <w:szCs w:val="22"/>
        </w:rPr>
        <w:t>（青目釋）</w:t>
      </w:r>
      <w:r w:rsidRPr="00212D57">
        <w:rPr>
          <w:szCs w:val="22"/>
        </w:rPr>
        <w:t>（大正</w:t>
      </w:r>
      <w:r w:rsidRPr="00761EF3">
        <w:rPr>
          <w:szCs w:val="22"/>
        </w:rPr>
        <w:t>30</w:t>
      </w:r>
      <w:r w:rsidRPr="00212D57">
        <w:rPr>
          <w:szCs w:val="22"/>
        </w:rPr>
        <w:t>，</w:t>
      </w:r>
      <w:r w:rsidRPr="00761EF3">
        <w:rPr>
          <w:szCs w:val="22"/>
        </w:rPr>
        <w:t>29b8</w:t>
      </w:r>
      <w:r w:rsidRPr="00212D57">
        <w:rPr>
          <w:szCs w:val="22"/>
        </w:rPr>
        <w:t>-</w:t>
      </w:r>
      <w:r w:rsidRPr="00761EF3">
        <w:rPr>
          <w:szCs w:val="22"/>
        </w:rPr>
        <w:t>15</w:t>
      </w:r>
      <w:r w:rsidRPr="00212D57">
        <w:rPr>
          <w:szCs w:val="22"/>
        </w:rPr>
        <w:t>）</w:t>
      </w:r>
      <w:r w:rsidRPr="00212D57">
        <w:rPr>
          <w:rFonts w:hint="eastAsia"/>
          <w:szCs w:val="22"/>
        </w:rPr>
        <w:t>：</w:t>
      </w:r>
    </w:p>
    <w:p w:rsidR="00157EF6" w:rsidRPr="00212D57" w:rsidRDefault="00157EF6" w:rsidP="00B5316E">
      <w:pPr>
        <w:snapToGrid w:val="0"/>
        <w:ind w:leftChars="335" w:left="804"/>
        <w:jc w:val="both"/>
        <w:rPr>
          <w:rFonts w:ascii="標楷體" w:eastAsia="標楷體" w:hAnsi="標楷體"/>
          <w:b/>
          <w:sz w:val="22"/>
          <w:szCs w:val="22"/>
        </w:rPr>
      </w:pPr>
      <w:r w:rsidRPr="00212D57">
        <w:rPr>
          <w:rFonts w:ascii="標楷體" w:eastAsia="標楷體" w:hAnsi="標楷體"/>
          <w:b/>
          <w:sz w:val="22"/>
          <w:szCs w:val="22"/>
        </w:rPr>
        <w:t>若言於生</w:t>
      </w:r>
      <w:r w:rsidRPr="00304DF5">
        <w:rPr>
          <w:rFonts w:ascii="標楷體" w:eastAsia="標楷體" w:hAnsi="標楷體"/>
          <w:b/>
          <w:sz w:val="22"/>
          <w:szCs w:val="22"/>
          <w:highlight w:val="yellow"/>
        </w:rPr>
        <w:t>滅而</w:t>
      </w:r>
      <w:r w:rsidRPr="00212D57">
        <w:rPr>
          <w:rFonts w:ascii="標楷體" w:eastAsia="標楷體" w:hAnsi="標楷體"/>
          <w:b/>
          <w:sz w:val="22"/>
          <w:szCs w:val="22"/>
        </w:rPr>
        <w:t>謂一時者</w:t>
      </w:r>
      <w:r w:rsidRPr="00212D57">
        <w:rPr>
          <w:rFonts w:ascii="標楷體" w:eastAsia="標楷體" w:hAnsi="標楷體" w:hint="eastAsia"/>
          <w:b/>
          <w:sz w:val="22"/>
          <w:szCs w:val="22"/>
        </w:rPr>
        <w:t>，</w:t>
      </w:r>
      <w:r w:rsidRPr="00212D57">
        <w:rPr>
          <w:rFonts w:ascii="標楷體" w:eastAsia="標楷體" w:hAnsi="標楷體"/>
          <w:b/>
          <w:sz w:val="22"/>
          <w:szCs w:val="22"/>
        </w:rPr>
        <w:t>則於此陰</w:t>
      </w:r>
      <w:r w:rsidRPr="00304DF5">
        <w:rPr>
          <w:rFonts w:ascii="標楷體" w:eastAsia="標楷體" w:hAnsi="標楷體"/>
          <w:b/>
          <w:sz w:val="22"/>
          <w:szCs w:val="22"/>
          <w:highlight w:val="yellow"/>
        </w:rPr>
        <w:t>死即</w:t>
      </w:r>
      <w:r w:rsidRPr="00212D57">
        <w:rPr>
          <w:rFonts w:ascii="標楷體" w:eastAsia="標楷體" w:hAnsi="標楷體"/>
          <w:b/>
          <w:sz w:val="22"/>
          <w:szCs w:val="22"/>
        </w:rPr>
        <w:t>於此陰生</w:t>
      </w:r>
      <w:r w:rsidRPr="00212D57">
        <w:rPr>
          <w:rFonts w:ascii="標楷體" w:eastAsia="標楷體" w:hAnsi="標楷體" w:hint="eastAsia"/>
          <w:b/>
          <w:sz w:val="22"/>
          <w:szCs w:val="22"/>
        </w:rPr>
        <w:t>。</w:t>
      </w:r>
    </w:p>
    <w:p w:rsidR="00157EF6" w:rsidRPr="00212D57" w:rsidRDefault="00157EF6" w:rsidP="00B5316E">
      <w:pPr>
        <w:snapToGrid w:val="0"/>
        <w:ind w:leftChars="335" w:left="804"/>
        <w:jc w:val="both"/>
        <w:rPr>
          <w:rFonts w:ascii="標楷體" w:eastAsia="標楷體" w:hAnsi="標楷體"/>
          <w:sz w:val="22"/>
          <w:szCs w:val="22"/>
        </w:rPr>
      </w:pPr>
      <w:r w:rsidRPr="00212D57">
        <w:rPr>
          <w:rFonts w:ascii="標楷體" w:eastAsia="標楷體" w:hAnsi="標楷體"/>
          <w:sz w:val="22"/>
          <w:szCs w:val="22"/>
        </w:rPr>
        <w:t>若</w:t>
      </w:r>
      <w:r w:rsidR="00304DF5">
        <w:rPr>
          <w:rFonts w:ascii="標楷體" w:eastAsia="標楷體" w:hAnsi="標楷體" w:hint="eastAsia"/>
          <w:bCs/>
          <w:color w:val="FF0000"/>
          <w:kern w:val="0"/>
          <w:sz w:val="22"/>
          <w:highlight w:val="yellow"/>
        </w:rPr>
        <w:t>「</w:t>
      </w:r>
      <w:r w:rsidRPr="00212D57">
        <w:rPr>
          <w:rFonts w:ascii="標楷體" w:eastAsia="標楷體" w:hAnsi="標楷體"/>
          <w:sz w:val="22"/>
          <w:szCs w:val="22"/>
        </w:rPr>
        <w:t>生時</w:t>
      </w:r>
      <w:r w:rsidRPr="00212D57">
        <w:rPr>
          <w:rFonts w:ascii="標楷體" w:eastAsia="標楷體" w:hAnsi="標楷體" w:hint="eastAsia"/>
          <w:sz w:val="22"/>
          <w:szCs w:val="22"/>
        </w:rPr>
        <w:t>、</w:t>
      </w:r>
      <w:r w:rsidRPr="00212D57">
        <w:rPr>
          <w:rFonts w:ascii="標楷體" w:eastAsia="標楷體" w:hAnsi="標楷體"/>
          <w:sz w:val="22"/>
          <w:szCs w:val="22"/>
        </w:rPr>
        <w:t>滅時</w:t>
      </w:r>
      <w:r w:rsidR="00304DF5">
        <w:rPr>
          <w:rFonts w:ascii="標楷體" w:eastAsia="標楷體" w:hAnsi="標楷體" w:hint="eastAsia"/>
          <w:color w:val="FF0000"/>
          <w:kern w:val="0"/>
          <w:sz w:val="22"/>
          <w:highlight w:val="yellow"/>
        </w:rPr>
        <w:t>，</w:t>
      </w:r>
      <w:r w:rsidRPr="00212D57">
        <w:rPr>
          <w:rFonts w:ascii="標楷體" w:eastAsia="標楷體" w:hAnsi="標楷體"/>
          <w:sz w:val="22"/>
          <w:szCs w:val="22"/>
        </w:rPr>
        <w:t>一時無二</w:t>
      </w:r>
      <w:r w:rsidR="00304DF5">
        <w:rPr>
          <w:rFonts w:ascii="標楷體" w:eastAsia="標楷體" w:hAnsi="標楷體" w:hint="eastAsia"/>
          <w:color w:val="FF0000"/>
          <w:kern w:val="0"/>
          <w:sz w:val="22"/>
          <w:highlight w:val="yellow"/>
        </w:rPr>
        <w:t>『</w:t>
      </w:r>
      <w:r w:rsidRPr="00212D57">
        <w:rPr>
          <w:rFonts w:ascii="標楷體" w:eastAsia="標楷體" w:hAnsi="標楷體"/>
          <w:sz w:val="22"/>
          <w:szCs w:val="22"/>
        </w:rPr>
        <w:t>有</w:t>
      </w:r>
      <w:r w:rsidR="00304DF5">
        <w:rPr>
          <w:rFonts w:ascii="標楷體" w:eastAsia="標楷體" w:hAnsi="標楷體" w:hint="eastAsia"/>
          <w:color w:val="FF0000"/>
          <w:kern w:val="0"/>
          <w:sz w:val="22"/>
          <w:highlight w:val="yellow"/>
        </w:rPr>
        <w:t>』</w:t>
      </w:r>
      <w:r w:rsidR="00304DF5">
        <w:rPr>
          <w:rFonts w:ascii="標楷體" w:eastAsia="標楷體" w:hAnsi="標楷體" w:hint="eastAsia"/>
          <w:bCs/>
          <w:color w:val="FF0000"/>
          <w:kern w:val="0"/>
          <w:sz w:val="22"/>
          <w:highlight w:val="yellow"/>
        </w:rPr>
        <w:t>」</w:t>
      </w:r>
      <w:r w:rsidR="00304DF5" w:rsidRPr="00304DF5">
        <w:rPr>
          <w:rFonts w:ascii="標楷體" w:eastAsia="標楷體" w:hAnsi="標楷體" w:hint="eastAsia"/>
          <w:bCs/>
          <w:kern w:val="0"/>
          <w:sz w:val="22"/>
        </w:rPr>
        <w:t>，</w:t>
      </w:r>
      <w:r w:rsidRPr="00212D57">
        <w:rPr>
          <w:rFonts w:ascii="標楷體" w:eastAsia="標楷體" w:hAnsi="標楷體"/>
          <w:sz w:val="22"/>
          <w:szCs w:val="22"/>
        </w:rPr>
        <w:t>而謂</w:t>
      </w:r>
      <w:r w:rsidR="00304DF5">
        <w:rPr>
          <w:rFonts w:ascii="標楷體" w:eastAsia="標楷體" w:hAnsi="標楷體" w:hint="eastAsia"/>
          <w:bCs/>
          <w:color w:val="FF0000"/>
          <w:kern w:val="0"/>
          <w:sz w:val="22"/>
          <w:highlight w:val="yellow"/>
        </w:rPr>
        <w:t>「</w:t>
      </w:r>
      <w:r w:rsidRPr="00212D57">
        <w:rPr>
          <w:rFonts w:ascii="標楷體" w:eastAsia="標楷體" w:hAnsi="標楷體"/>
          <w:sz w:val="22"/>
          <w:szCs w:val="22"/>
        </w:rPr>
        <w:t>初</w:t>
      </w:r>
      <w:r w:rsidR="00304DF5">
        <w:rPr>
          <w:rFonts w:ascii="標楷體" w:eastAsia="標楷體" w:hAnsi="標楷體" w:hint="eastAsia"/>
          <w:color w:val="FF0000"/>
          <w:kern w:val="0"/>
          <w:sz w:val="22"/>
          <w:highlight w:val="yellow"/>
        </w:rPr>
        <w:t>『</w:t>
      </w:r>
      <w:r w:rsidRPr="00212D57">
        <w:rPr>
          <w:rFonts w:ascii="標楷體" w:eastAsia="標楷體" w:hAnsi="標楷體"/>
          <w:sz w:val="22"/>
          <w:szCs w:val="22"/>
        </w:rPr>
        <w:t>有</w:t>
      </w:r>
      <w:r w:rsidR="00304DF5">
        <w:rPr>
          <w:rFonts w:ascii="標楷體" w:eastAsia="標楷體" w:hAnsi="標楷體" w:hint="eastAsia"/>
          <w:color w:val="FF0000"/>
          <w:kern w:val="0"/>
          <w:sz w:val="22"/>
          <w:highlight w:val="yellow"/>
        </w:rPr>
        <w:t>』</w:t>
      </w:r>
      <w:r w:rsidRPr="00212D57">
        <w:rPr>
          <w:rFonts w:ascii="標楷體" w:eastAsia="標楷體" w:hAnsi="標楷體"/>
          <w:sz w:val="22"/>
          <w:szCs w:val="22"/>
        </w:rPr>
        <w:t>滅時後</w:t>
      </w:r>
      <w:r w:rsidR="00304DF5">
        <w:rPr>
          <w:rFonts w:ascii="標楷體" w:eastAsia="標楷體" w:hAnsi="標楷體" w:hint="eastAsia"/>
          <w:color w:val="FF0000"/>
          <w:kern w:val="0"/>
          <w:sz w:val="22"/>
          <w:highlight w:val="yellow"/>
        </w:rPr>
        <w:t>『</w:t>
      </w:r>
      <w:r w:rsidRPr="00212D57">
        <w:rPr>
          <w:rFonts w:ascii="標楷體" w:eastAsia="標楷體" w:hAnsi="標楷體"/>
          <w:sz w:val="22"/>
          <w:szCs w:val="22"/>
        </w:rPr>
        <w:t>有</w:t>
      </w:r>
      <w:r w:rsidR="00304DF5">
        <w:rPr>
          <w:rFonts w:ascii="標楷體" w:eastAsia="標楷體" w:hAnsi="標楷體" w:hint="eastAsia"/>
          <w:color w:val="FF0000"/>
          <w:kern w:val="0"/>
          <w:sz w:val="22"/>
          <w:highlight w:val="yellow"/>
        </w:rPr>
        <w:t>』</w:t>
      </w:r>
      <w:r w:rsidRPr="00212D57">
        <w:rPr>
          <w:rFonts w:ascii="標楷體" w:eastAsia="標楷體" w:hAnsi="標楷體"/>
          <w:sz w:val="22"/>
          <w:szCs w:val="22"/>
        </w:rPr>
        <w:t>生</w:t>
      </w:r>
      <w:r w:rsidR="00304DF5">
        <w:rPr>
          <w:rFonts w:ascii="標楷體" w:eastAsia="標楷體" w:hAnsi="標楷體" w:hint="eastAsia"/>
          <w:bCs/>
          <w:color w:val="FF0000"/>
          <w:kern w:val="0"/>
          <w:sz w:val="22"/>
          <w:highlight w:val="yellow"/>
        </w:rPr>
        <w:t>」</w:t>
      </w:r>
      <w:r w:rsidRPr="00212D57">
        <w:rPr>
          <w:rFonts w:ascii="標楷體" w:eastAsia="標楷體" w:hAnsi="標楷體"/>
          <w:sz w:val="22"/>
          <w:szCs w:val="22"/>
        </w:rPr>
        <w:t>者</w:t>
      </w:r>
      <w:r w:rsidRPr="00212D57">
        <w:rPr>
          <w:rFonts w:ascii="標楷體" w:eastAsia="標楷體" w:hAnsi="標楷體" w:hint="eastAsia"/>
          <w:sz w:val="22"/>
          <w:szCs w:val="22"/>
        </w:rPr>
        <w:t>，</w:t>
      </w:r>
      <w:r w:rsidRPr="00212D57">
        <w:rPr>
          <w:rFonts w:ascii="標楷體" w:eastAsia="標楷體" w:hAnsi="標楷體"/>
          <w:sz w:val="22"/>
          <w:szCs w:val="22"/>
        </w:rPr>
        <w:t>今應隨在何陰中</w:t>
      </w:r>
      <w:r w:rsidRPr="00304DF5">
        <w:rPr>
          <w:rFonts w:ascii="標楷體" w:eastAsia="標楷體" w:hAnsi="標楷體"/>
          <w:sz w:val="22"/>
          <w:szCs w:val="22"/>
          <w:highlight w:val="yellow"/>
        </w:rPr>
        <w:t>死即</w:t>
      </w:r>
      <w:r w:rsidRPr="00212D57">
        <w:rPr>
          <w:rFonts w:ascii="標楷體" w:eastAsia="標楷體" w:hAnsi="標楷體"/>
          <w:sz w:val="22"/>
          <w:szCs w:val="22"/>
        </w:rPr>
        <w:t>於此陰生，不應餘陰中生。何以故？死者即是生者</w:t>
      </w:r>
      <w:r w:rsidR="00304DF5">
        <w:rPr>
          <w:rFonts w:ascii="標楷體" w:eastAsia="標楷體" w:hAnsi="標楷體" w:hint="eastAsia"/>
          <w:color w:val="FF0000"/>
          <w:kern w:val="0"/>
          <w:sz w:val="22"/>
          <w:highlight w:val="yellow"/>
        </w:rPr>
        <w:t>。</w:t>
      </w:r>
      <w:r w:rsidRPr="00212D57">
        <w:rPr>
          <w:rFonts w:ascii="標楷體" w:eastAsia="標楷體" w:hAnsi="標楷體"/>
          <w:sz w:val="22"/>
          <w:szCs w:val="22"/>
        </w:rPr>
        <w:t>如是死</w:t>
      </w:r>
      <w:r w:rsidR="00304DF5">
        <w:rPr>
          <w:rFonts w:ascii="標楷體" w:eastAsia="標楷體" w:hAnsi="標楷體" w:hint="eastAsia"/>
          <w:color w:val="FF0000"/>
          <w:kern w:val="0"/>
          <w:sz w:val="22"/>
          <w:highlight w:val="yellow"/>
        </w:rPr>
        <w:t>.</w:t>
      </w:r>
      <w:r w:rsidRPr="00212D57">
        <w:rPr>
          <w:rFonts w:ascii="標楷體" w:eastAsia="標楷體" w:hAnsi="標楷體"/>
          <w:sz w:val="22"/>
          <w:szCs w:val="22"/>
        </w:rPr>
        <w:t>生相違</w:t>
      </w:r>
      <w:r w:rsidRPr="00304DF5">
        <w:rPr>
          <w:rFonts w:ascii="標楷體" w:eastAsia="標楷體" w:hAnsi="標楷體"/>
          <w:sz w:val="22"/>
          <w:szCs w:val="22"/>
          <w:highlight w:val="yellow"/>
        </w:rPr>
        <w:t>法不</w:t>
      </w:r>
      <w:r w:rsidRPr="00212D57">
        <w:rPr>
          <w:rFonts w:ascii="標楷體" w:eastAsia="標楷體" w:hAnsi="標楷體"/>
          <w:sz w:val="22"/>
          <w:szCs w:val="22"/>
        </w:rPr>
        <w:t>應一時一處。是故汝先說</w:t>
      </w:r>
      <w:r w:rsidR="0053751C">
        <w:rPr>
          <w:rFonts w:ascii="標楷體" w:eastAsia="標楷體" w:hAnsi="標楷體" w:hint="eastAsia"/>
          <w:sz w:val="22"/>
          <w:szCs w:val="22"/>
        </w:rPr>
        <w:t>「</w:t>
      </w:r>
      <w:r w:rsidRPr="00212D57">
        <w:rPr>
          <w:rFonts w:ascii="標楷體" w:eastAsia="標楷體" w:hAnsi="標楷體"/>
          <w:sz w:val="22"/>
          <w:szCs w:val="22"/>
        </w:rPr>
        <w:t>滅時</w:t>
      </w:r>
      <w:r w:rsidR="00304DF5">
        <w:rPr>
          <w:rFonts w:ascii="標楷體" w:eastAsia="標楷體" w:hAnsi="標楷體" w:hint="eastAsia"/>
          <w:color w:val="FF0000"/>
          <w:spacing w:val="-4"/>
          <w:kern w:val="0"/>
          <w:sz w:val="22"/>
          <w:highlight w:val="yellow"/>
        </w:rPr>
        <w:t>、</w:t>
      </w:r>
      <w:r w:rsidRPr="00212D57">
        <w:rPr>
          <w:rFonts w:ascii="標楷體" w:eastAsia="標楷體" w:hAnsi="標楷體"/>
          <w:sz w:val="22"/>
          <w:szCs w:val="22"/>
        </w:rPr>
        <w:t>生時</w:t>
      </w:r>
      <w:r w:rsidR="00304DF5">
        <w:rPr>
          <w:rFonts w:ascii="標楷體" w:eastAsia="標楷體" w:hAnsi="標楷體" w:hint="eastAsia"/>
          <w:color w:val="FF0000"/>
          <w:kern w:val="0"/>
          <w:sz w:val="22"/>
          <w:highlight w:val="yellow"/>
        </w:rPr>
        <w:t>，</w:t>
      </w:r>
      <w:r w:rsidRPr="00212D57">
        <w:rPr>
          <w:rFonts w:ascii="標楷體" w:eastAsia="標楷體" w:hAnsi="標楷體"/>
          <w:sz w:val="22"/>
          <w:szCs w:val="22"/>
        </w:rPr>
        <w:t>一時無二</w:t>
      </w:r>
      <w:r w:rsidR="00304DF5">
        <w:rPr>
          <w:rFonts w:ascii="標楷體" w:eastAsia="標楷體" w:hAnsi="標楷體" w:hint="eastAsia"/>
          <w:color w:val="FF0000"/>
          <w:kern w:val="0"/>
          <w:sz w:val="22"/>
          <w:highlight w:val="yellow"/>
        </w:rPr>
        <w:t>『</w:t>
      </w:r>
      <w:r w:rsidRPr="00212D57">
        <w:rPr>
          <w:rFonts w:ascii="標楷體" w:eastAsia="標楷體" w:hAnsi="標楷體"/>
          <w:sz w:val="22"/>
          <w:szCs w:val="22"/>
        </w:rPr>
        <w:t>有</w:t>
      </w:r>
      <w:r w:rsidR="00304DF5">
        <w:rPr>
          <w:rFonts w:ascii="標楷體" w:eastAsia="標楷體" w:hAnsi="標楷體" w:hint="eastAsia"/>
          <w:color w:val="FF0000"/>
          <w:kern w:val="0"/>
          <w:sz w:val="22"/>
          <w:highlight w:val="yellow"/>
        </w:rPr>
        <w:t>』</w:t>
      </w:r>
      <w:r w:rsidRPr="00212D57">
        <w:rPr>
          <w:rFonts w:ascii="標楷體" w:eastAsia="標楷體" w:hAnsi="標楷體" w:hint="eastAsia"/>
          <w:sz w:val="22"/>
          <w:szCs w:val="22"/>
        </w:rPr>
        <w:t>，</w:t>
      </w:r>
      <w:r w:rsidRPr="00212D57">
        <w:rPr>
          <w:rFonts w:ascii="標楷體" w:eastAsia="標楷體" w:hAnsi="標楷體"/>
          <w:sz w:val="22"/>
          <w:szCs w:val="22"/>
        </w:rPr>
        <w:t>但現見初</w:t>
      </w:r>
      <w:r w:rsidR="00304DF5">
        <w:rPr>
          <w:rFonts w:ascii="標楷體" w:eastAsia="標楷體" w:hAnsi="標楷體" w:hint="eastAsia"/>
          <w:color w:val="FF0000"/>
          <w:kern w:val="0"/>
          <w:sz w:val="22"/>
          <w:highlight w:val="yellow"/>
        </w:rPr>
        <w:t>『</w:t>
      </w:r>
      <w:r w:rsidRPr="00304DF5">
        <w:rPr>
          <w:rFonts w:ascii="標楷體" w:eastAsia="標楷體" w:hAnsi="標楷體"/>
          <w:sz w:val="22"/>
          <w:szCs w:val="22"/>
          <w:highlight w:val="yellow"/>
        </w:rPr>
        <w:t>有</w:t>
      </w:r>
      <w:r w:rsidR="00304DF5">
        <w:rPr>
          <w:rFonts w:ascii="標楷體" w:eastAsia="標楷體" w:hAnsi="標楷體" w:hint="eastAsia"/>
          <w:color w:val="FF0000"/>
          <w:kern w:val="0"/>
          <w:sz w:val="22"/>
          <w:highlight w:val="yellow"/>
        </w:rPr>
        <w:t>』</w:t>
      </w:r>
      <w:r w:rsidRPr="00304DF5">
        <w:rPr>
          <w:rFonts w:ascii="標楷體" w:eastAsia="標楷體" w:hAnsi="標楷體"/>
          <w:sz w:val="22"/>
          <w:szCs w:val="22"/>
          <w:highlight w:val="yellow"/>
        </w:rPr>
        <w:t>滅</w:t>
      </w:r>
      <w:r w:rsidRPr="00212D57">
        <w:rPr>
          <w:rFonts w:ascii="標楷體" w:eastAsia="標楷體" w:hAnsi="標楷體"/>
          <w:sz w:val="22"/>
          <w:szCs w:val="22"/>
        </w:rPr>
        <w:t>時後</w:t>
      </w:r>
      <w:r w:rsidR="00304DF5">
        <w:rPr>
          <w:rFonts w:ascii="標楷體" w:eastAsia="標楷體" w:hAnsi="標楷體" w:hint="eastAsia"/>
          <w:color w:val="FF0000"/>
          <w:kern w:val="0"/>
          <w:sz w:val="22"/>
          <w:highlight w:val="yellow"/>
        </w:rPr>
        <w:t>『</w:t>
      </w:r>
      <w:r w:rsidRPr="00212D57">
        <w:rPr>
          <w:rFonts w:ascii="標楷體" w:eastAsia="標楷體" w:hAnsi="標楷體"/>
          <w:sz w:val="22"/>
          <w:szCs w:val="22"/>
        </w:rPr>
        <w:t>有</w:t>
      </w:r>
      <w:r w:rsidR="00304DF5">
        <w:rPr>
          <w:rFonts w:ascii="標楷體" w:eastAsia="標楷體" w:hAnsi="標楷體" w:hint="eastAsia"/>
          <w:color w:val="FF0000"/>
          <w:kern w:val="0"/>
          <w:sz w:val="22"/>
          <w:highlight w:val="yellow"/>
        </w:rPr>
        <w:t>』</w:t>
      </w:r>
      <w:r w:rsidRPr="00212D57">
        <w:rPr>
          <w:rFonts w:ascii="標楷體" w:eastAsia="標楷體" w:hAnsi="標楷體"/>
          <w:sz w:val="22"/>
          <w:szCs w:val="22"/>
        </w:rPr>
        <w:t>生</w:t>
      </w:r>
      <w:r w:rsidR="0053751C">
        <w:rPr>
          <w:rFonts w:ascii="標楷體" w:eastAsia="標楷體" w:hAnsi="標楷體" w:hint="eastAsia"/>
          <w:sz w:val="22"/>
          <w:szCs w:val="22"/>
        </w:rPr>
        <w:t>」</w:t>
      </w:r>
      <w:r w:rsidRPr="00212D57">
        <w:rPr>
          <w:rFonts w:ascii="標楷體" w:eastAsia="標楷體" w:hAnsi="標楷體"/>
          <w:sz w:val="22"/>
          <w:szCs w:val="22"/>
        </w:rPr>
        <w:t>者</w:t>
      </w:r>
      <w:r w:rsidRPr="00212D57">
        <w:rPr>
          <w:rFonts w:ascii="標楷體" w:eastAsia="標楷體" w:hAnsi="標楷體" w:hint="eastAsia"/>
          <w:sz w:val="22"/>
          <w:szCs w:val="22"/>
        </w:rPr>
        <w:t>，</w:t>
      </w:r>
      <w:r w:rsidRPr="00212D57">
        <w:rPr>
          <w:rFonts w:ascii="標楷體" w:eastAsia="標楷體" w:hAnsi="標楷體"/>
          <w:sz w:val="22"/>
          <w:szCs w:val="22"/>
        </w:rPr>
        <w:t>是事不然</w:t>
      </w:r>
      <w:r w:rsidR="00304DF5">
        <w:rPr>
          <w:rFonts w:ascii="標楷體" w:eastAsia="標楷體" w:hAnsi="標楷體" w:hint="eastAsia"/>
          <w:color w:val="FF0000"/>
          <w:kern w:val="0"/>
          <w:sz w:val="22"/>
          <w:highlight w:val="yellow"/>
        </w:rPr>
        <w:t>！</w:t>
      </w:r>
    </w:p>
    <w:p w:rsidR="00157EF6" w:rsidRPr="00212D57" w:rsidRDefault="00157EF6" w:rsidP="00B5316E">
      <w:pPr>
        <w:pStyle w:val="a5"/>
        <w:ind w:leftChars="105" w:left="791" w:hangingChars="245" w:hanging="539"/>
        <w:jc w:val="both"/>
        <w:rPr>
          <w:rFonts w:ascii="新細明體" w:hAnsi="新細明體"/>
          <w:szCs w:val="22"/>
        </w:rPr>
      </w:pPr>
      <w:r w:rsidRPr="00212D57">
        <w:rPr>
          <w:rFonts w:ascii="新細明體" w:hAnsi="新細明體" w:hint="eastAsia"/>
          <w:szCs w:val="22"/>
        </w:rPr>
        <w:t>（</w:t>
      </w:r>
      <w:r w:rsidRPr="00761EF3">
        <w:rPr>
          <w:szCs w:val="22"/>
        </w:rPr>
        <w:t>2</w:t>
      </w:r>
      <w:r w:rsidRPr="00212D57">
        <w:rPr>
          <w:rFonts w:ascii="新細明體" w:hAnsi="新細明體" w:hint="eastAsia"/>
          <w:szCs w:val="22"/>
        </w:rPr>
        <w:t>）</w:t>
      </w:r>
      <w:r w:rsidR="009160B5">
        <w:rPr>
          <w:rFonts w:ascii="新細明體" w:hAnsi="新細明體" w:hint="eastAsia"/>
          <w:szCs w:val="22"/>
        </w:rPr>
        <w:t>參見：印</w:t>
      </w:r>
      <w:r w:rsidRPr="00212D57">
        <w:rPr>
          <w:rFonts w:ascii="新細明體" w:hAnsi="新細明體" w:hint="eastAsia"/>
          <w:szCs w:val="22"/>
        </w:rPr>
        <w:t>順法師，《</w:t>
      </w:r>
      <w:r w:rsidRPr="00212D57">
        <w:rPr>
          <w:szCs w:val="22"/>
        </w:rPr>
        <w:t>中觀論頌講記》，</w:t>
      </w:r>
      <w:r w:rsidRPr="00761EF3">
        <w:rPr>
          <w:szCs w:val="22"/>
        </w:rPr>
        <w:t>p</w:t>
      </w:r>
      <w:r w:rsidRPr="00212D57">
        <w:rPr>
          <w:szCs w:val="22"/>
        </w:rPr>
        <w:t>.</w:t>
      </w:r>
      <w:r w:rsidRPr="00761EF3">
        <w:rPr>
          <w:szCs w:val="22"/>
        </w:rPr>
        <w:t>39</w:t>
      </w:r>
      <w:r w:rsidRPr="00761EF3">
        <w:rPr>
          <w:rFonts w:hint="eastAsia"/>
          <w:szCs w:val="22"/>
        </w:rPr>
        <w:t>2</w:t>
      </w:r>
      <w:r w:rsidRPr="00212D57">
        <w:rPr>
          <w:rFonts w:hint="eastAsia"/>
          <w:szCs w:val="22"/>
        </w:rPr>
        <w:t>：</w:t>
      </w:r>
    </w:p>
    <w:p w:rsidR="00157EF6" w:rsidRPr="00212D57" w:rsidRDefault="00157EF6" w:rsidP="00B5316E">
      <w:pPr>
        <w:snapToGrid w:val="0"/>
        <w:ind w:leftChars="335" w:left="804"/>
        <w:jc w:val="both"/>
        <w:rPr>
          <w:rFonts w:ascii="標楷體" w:eastAsia="標楷體" w:hAnsi="標楷體"/>
          <w:sz w:val="22"/>
          <w:szCs w:val="22"/>
        </w:rPr>
      </w:pPr>
      <w:r w:rsidRPr="00212D57">
        <w:rPr>
          <w:rFonts w:ascii="標楷體" w:eastAsia="標楷體" w:hAnsi="標楷體" w:hint="eastAsia"/>
          <w:sz w:val="22"/>
          <w:szCs w:val="22"/>
        </w:rPr>
        <w:t>假使「生滅」「一時」而有的；時與法相依不離，法也只能是一個了。那應該是這一個五「陰」身在「死」，也就是這一個五「陰」身在「生」。假定死的是現在的人生，生的也應該就是這個人生了。這樣，「死有」即「生有」，是同一的有；如此生滅，也就根本談不上相續了。</w:t>
      </w:r>
    </w:p>
  </w:footnote>
  <w:footnote w:id="497">
    <w:p w:rsidR="00157EF6" w:rsidRPr="00212D57" w:rsidRDefault="00157EF6" w:rsidP="00B5316E">
      <w:pPr>
        <w:pStyle w:val="a5"/>
        <w:ind w:left="253" w:hangingChars="115" w:hanging="253"/>
        <w:jc w:val="both"/>
        <w:rPr>
          <w:rFonts w:eastAsia="SimSun"/>
          <w:szCs w:val="22"/>
        </w:rPr>
      </w:pPr>
      <w:r w:rsidRPr="00212D57">
        <w:rPr>
          <w:rStyle w:val="a6"/>
          <w:szCs w:val="22"/>
        </w:rPr>
        <w:footnoteRef/>
      </w:r>
      <w:r w:rsidRPr="00212D57">
        <w:rPr>
          <w:szCs w:val="22"/>
        </w:rPr>
        <w:t xml:space="preserve"> </w:t>
      </w:r>
      <w:r w:rsidRPr="00212D57">
        <w:rPr>
          <w:rFonts w:ascii="新細明體" w:hAnsi="新細明體" w:hint="eastAsia"/>
          <w:szCs w:val="22"/>
        </w:rPr>
        <w:t>不屑：</w:t>
      </w:r>
      <w:r w:rsidRPr="00761EF3">
        <w:rPr>
          <w:rFonts w:hint="eastAsia"/>
          <w:szCs w:val="22"/>
        </w:rPr>
        <w:t>1</w:t>
      </w:r>
      <w:r w:rsidRPr="00212D57">
        <w:rPr>
          <w:rFonts w:hint="eastAsia"/>
          <w:szCs w:val="22"/>
        </w:rPr>
        <w:t>.</w:t>
      </w:r>
      <w:r w:rsidRPr="00212D57">
        <w:rPr>
          <w:rFonts w:hint="eastAsia"/>
          <w:szCs w:val="22"/>
        </w:rPr>
        <w:t>認為不值得。</w:t>
      </w:r>
      <w:r w:rsidRPr="00212D57">
        <w:rPr>
          <w:rFonts w:ascii="Times Ext Roman" w:hAnsi="Times Ext Roman" w:cs="Times Ext Roman" w:hint="eastAsia"/>
          <w:szCs w:val="22"/>
        </w:rPr>
        <w:t>（《漢語大詞典》（</w:t>
      </w:r>
      <w:r w:rsidRPr="00212D57">
        <w:rPr>
          <w:rFonts w:ascii="Times Ext Roman" w:eastAsia="SimSun" w:hAnsi="Times Ext Roman" w:cs="Times Ext Roman" w:hint="eastAsia"/>
          <w:szCs w:val="22"/>
        </w:rPr>
        <w:t>一</w:t>
      </w:r>
      <w:r w:rsidRPr="00212D57">
        <w:rPr>
          <w:rFonts w:ascii="Times Ext Roman" w:hAnsi="Times Ext Roman" w:cs="Times Ext Roman" w:hint="eastAsia"/>
          <w:szCs w:val="22"/>
        </w:rPr>
        <w:t>），</w:t>
      </w:r>
      <w:r w:rsidRPr="00761EF3">
        <w:rPr>
          <w:rFonts w:hint="eastAsia"/>
          <w:szCs w:val="22"/>
        </w:rPr>
        <w:t>p</w:t>
      </w:r>
      <w:r w:rsidRPr="00212D57">
        <w:rPr>
          <w:rFonts w:hint="eastAsia"/>
          <w:szCs w:val="22"/>
        </w:rPr>
        <w:t>.</w:t>
      </w:r>
      <w:r w:rsidRPr="00761EF3">
        <w:rPr>
          <w:rFonts w:eastAsia="SimSun" w:hint="eastAsia"/>
          <w:szCs w:val="22"/>
        </w:rPr>
        <w:t>438</w:t>
      </w:r>
      <w:r w:rsidRPr="00212D57">
        <w:rPr>
          <w:rFonts w:ascii="Times Ext Roman" w:hAnsi="Times Ext Roman" w:cs="Times Ext Roman" w:hint="eastAsia"/>
          <w:szCs w:val="22"/>
        </w:rPr>
        <w:t>）</w:t>
      </w:r>
    </w:p>
  </w:footnote>
  <w:footnote w:id="498">
    <w:p w:rsidR="007C39E5" w:rsidRPr="00212D57" w:rsidRDefault="007C39E5" w:rsidP="007C39E5">
      <w:pPr>
        <w:pStyle w:val="a5"/>
        <w:ind w:left="792" w:hangingChars="360" w:hanging="792"/>
        <w:jc w:val="both"/>
        <w:rPr>
          <w:rFonts w:eastAsia="SimSun"/>
          <w:szCs w:val="22"/>
        </w:rPr>
      </w:pPr>
      <w:r w:rsidRPr="00212D57">
        <w:rPr>
          <w:rStyle w:val="a6"/>
          <w:szCs w:val="22"/>
        </w:rPr>
        <w:footnoteRef/>
      </w:r>
      <w:r w:rsidRPr="00212D57">
        <w:rPr>
          <w:rFonts w:ascii="新細明體" w:hAnsi="新細明體" w:cs="細明體" w:hint="eastAsia"/>
          <w:szCs w:val="22"/>
        </w:rPr>
        <w:t xml:space="preserve"> （</w:t>
      </w:r>
      <w:r w:rsidRPr="00761EF3">
        <w:rPr>
          <w:rFonts w:eastAsia="SimSun"/>
          <w:szCs w:val="22"/>
        </w:rPr>
        <w:t>1</w:t>
      </w:r>
      <w:r w:rsidRPr="00212D57">
        <w:rPr>
          <w:rFonts w:ascii="新細明體" w:hAnsi="新細明體" w:cs="細明體" w:hint="eastAsia"/>
          <w:szCs w:val="22"/>
        </w:rPr>
        <w:t>）</w:t>
      </w:r>
      <w:r>
        <w:rPr>
          <w:rFonts w:ascii="新細明體" w:hAnsi="新細明體" w:cs="細明體" w:hint="eastAsia"/>
          <w:szCs w:val="22"/>
        </w:rPr>
        <w:t>參見：印</w:t>
      </w:r>
      <w:r w:rsidRPr="00212D57">
        <w:rPr>
          <w:rFonts w:ascii="新細明體" w:hAnsi="新細明體" w:cs="細明體" w:hint="eastAsia"/>
          <w:szCs w:val="22"/>
        </w:rPr>
        <w:t>順法師，《</w:t>
      </w:r>
      <w:r w:rsidRPr="00212D57">
        <w:rPr>
          <w:rFonts w:hint="eastAsia"/>
          <w:szCs w:val="22"/>
        </w:rPr>
        <w:t>性空學探源》，</w:t>
      </w:r>
      <w:r w:rsidRPr="00761EF3">
        <w:rPr>
          <w:rFonts w:hint="eastAsia"/>
          <w:szCs w:val="22"/>
        </w:rPr>
        <w:t>p</w:t>
      </w:r>
      <w:r w:rsidRPr="00212D57">
        <w:rPr>
          <w:rFonts w:hint="eastAsia"/>
          <w:szCs w:val="22"/>
        </w:rPr>
        <w:t>.</w:t>
      </w:r>
      <w:r w:rsidRPr="00761EF3">
        <w:rPr>
          <w:rFonts w:hint="eastAsia"/>
          <w:szCs w:val="22"/>
        </w:rPr>
        <w:t>188</w:t>
      </w:r>
      <w:r w:rsidRPr="00212D57">
        <w:rPr>
          <w:rFonts w:hint="eastAsia"/>
          <w:szCs w:val="22"/>
        </w:rPr>
        <w:t>：</w:t>
      </w:r>
    </w:p>
    <w:p w:rsidR="007C39E5" w:rsidRPr="00212D57" w:rsidRDefault="007C39E5" w:rsidP="007C39E5">
      <w:pPr>
        <w:snapToGrid w:val="0"/>
        <w:ind w:leftChars="335" w:left="804"/>
        <w:jc w:val="both"/>
        <w:rPr>
          <w:rFonts w:ascii="標楷體" w:eastAsia="標楷體" w:hAnsi="標楷體"/>
          <w:sz w:val="22"/>
          <w:szCs w:val="22"/>
        </w:rPr>
      </w:pPr>
      <w:r w:rsidRPr="00212D57">
        <w:rPr>
          <w:rFonts w:ascii="標楷體" w:eastAsia="標楷體" w:hAnsi="標楷體" w:hint="eastAsia"/>
          <w:sz w:val="22"/>
          <w:szCs w:val="22"/>
        </w:rPr>
        <w:t>在《婆沙》裡並未分辨功能與作用的不同。不過，為了要說明過去、未來法非毫無作用，但又與現在法的作用不同，故別為二：</w:t>
      </w:r>
    </w:p>
    <w:p w:rsidR="007C39E5" w:rsidRPr="00212D57" w:rsidRDefault="007C39E5" w:rsidP="007C39E5">
      <w:pPr>
        <w:snapToGrid w:val="0"/>
        <w:ind w:leftChars="335" w:left="804"/>
        <w:jc w:val="both"/>
        <w:rPr>
          <w:rFonts w:ascii="標楷體" w:eastAsia="標楷體" w:hAnsi="標楷體"/>
          <w:sz w:val="22"/>
          <w:szCs w:val="22"/>
        </w:rPr>
      </w:pPr>
      <w:r w:rsidRPr="00212D57">
        <w:rPr>
          <w:rFonts w:ascii="標楷體" w:eastAsia="標楷體" w:hAnsi="標楷體" w:hint="eastAsia"/>
          <w:sz w:val="22"/>
          <w:szCs w:val="22"/>
        </w:rPr>
        <w:t>一、在種種因緣和合下發現的</w:t>
      </w:r>
      <w:r w:rsidRPr="00212D57">
        <w:rPr>
          <w:rFonts w:ascii="標楷體" w:eastAsia="標楷體" w:hAnsi="標楷體" w:hint="eastAsia"/>
          <w:b/>
          <w:sz w:val="22"/>
          <w:szCs w:val="22"/>
        </w:rPr>
        <w:t>引生自果</w:t>
      </w:r>
      <w:r w:rsidRPr="00212D57">
        <w:rPr>
          <w:rFonts w:ascii="標楷體" w:eastAsia="標楷體" w:hAnsi="標楷體" w:hint="eastAsia"/>
          <w:sz w:val="22"/>
          <w:szCs w:val="22"/>
        </w:rPr>
        <w:t>的力量叫</w:t>
      </w:r>
      <w:r w:rsidRPr="00212D57">
        <w:rPr>
          <w:rFonts w:ascii="標楷體" w:eastAsia="標楷體" w:hAnsi="標楷體" w:hint="eastAsia"/>
          <w:b/>
          <w:sz w:val="22"/>
          <w:szCs w:val="22"/>
        </w:rPr>
        <w:t>作用</w:t>
      </w:r>
      <w:r w:rsidRPr="00212D57">
        <w:rPr>
          <w:rFonts w:ascii="標楷體" w:eastAsia="標楷體" w:hAnsi="標楷體" w:hint="eastAsia"/>
          <w:sz w:val="22"/>
          <w:szCs w:val="22"/>
        </w:rPr>
        <w:t>，</w:t>
      </w:r>
      <w:r w:rsidRPr="00212D57">
        <w:rPr>
          <w:rFonts w:ascii="標楷體" w:eastAsia="標楷體" w:hAnsi="標楷體" w:hint="eastAsia"/>
          <w:b/>
          <w:sz w:val="22"/>
          <w:szCs w:val="22"/>
        </w:rPr>
        <w:t>唯屬現在</w:t>
      </w:r>
      <w:r w:rsidRPr="00212D57">
        <w:rPr>
          <w:rFonts w:ascii="標楷體" w:eastAsia="標楷體" w:hAnsi="標楷體" w:hint="eastAsia"/>
          <w:sz w:val="22"/>
          <w:szCs w:val="22"/>
        </w:rPr>
        <w:t>的。</w:t>
      </w:r>
    </w:p>
    <w:p w:rsidR="007C39E5" w:rsidRPr="00212D57" w:rsidRDefault="007C39E5" w:rsidP="007C39E5">
      <w:pPr>
        <w:snapToGrid w:val="0"/>
        <w:ind w:leftChars="335" w:left="804"/>
        <w:jc w:val="both"/>
        <w:rPr>
          <w:rFonts w:ascii="標楷體" w:eastAsia="標楷體" w:hAnsi="標楷體"/>
          <w:sz w:val="22"/>
          <w:szCs w:val="22"/>
        </w:rPr>
      </w:pPr>
      <w:r w:rsidRPr="00212D57">
        <w:rPr>
          <w:rFonts w:ascii="標楷體" w:eastAsia="標楷體" w:hAnsi="標楷體" w:hint="eastAsia"/>
          <w:sz w:val="22"/>
          <w:szCs w:val="22"/>
        </w:rPr>
        <w:t>二、其他種種</w:t>
      </w:r>
      <w:r w:rsidRPr="00212D57">
        <w:rPr>
          <w:rFonts w:ascii="標楷體" w:eastAsia="標楷體" w:hAnsi="標楷體" w:hint="eastAsia"/>
          <w:b/>
          <w:sz w:val="22"/>
          <w:szCs w:val="22"/>
        </w:rPr>
        <w:t>引生他法</w:t>
      </w:r>
      <w:r w:rsidRPr="00212D57">
        <w:rPr>
          <w:rFonts w:ascii="標楷體" w:eastAsia="標楷體" w:hAnsi="標楷體" w:hint="eastAsia"/>
          <w:sz w:val="22"/>
          <w:szCs w:val="22"/>
        </w:rPr>
        <w:t>的力量叫</w:t>
      </w:r>
      <w:r w:rsidRPr="00212D57">
        <w:rPr>
          <w:rFonts w:ascii="標楷體" w:eastAsia="標楷體" w:hAnsi="標楷體" w:hint="eastAsia"/>
          <w:b/>
          <w:sz w:val="22"/>
          <w:szCs w:val="22"/>
        </w:rPr>
        <w:t>功能</w:t>
      </w:r>
      <w:r w:rsidRPr="00212D57">
        <w:rPr>
          <w:rFonts w:ascii="標楷體" w:eastAsia="標楷體" w:hAnsi="標楷體" w:hint="eastAsia"/>
          <w:sz w:val="22"/>
          <w:szCs w:val="22"/>
        </w:rPr>
        <w:t>，</w:t>
      </w:r>
      <w:r w:rsidRPr="00212D57">
        <w:rPr>
          <w:rFonts w:ascii="標楷體" w:eastAsia="標楷體" w:hAnsi="標楷體" w:hint="eastAsia"/>
          <w:b/>
          <w:sz w:val="22"/>
          <w:szCs w:val="22"/>
        </w:rPr>
        <w:t>通於過、未</w:t>
      </w:r>
      <w:r w:rsidRPr="00212D57">
        <w:rPr>
          <w:rFonts w:ascii="標楷體" w:eastAsia="標楷體" w:hAnsi="標楷體" w:hint="eastAsia"/>
          <w:sz w:val="22"/>
          <w:szCs w:val="22"/>
        </w:rPr>
        <w:t>。</w:t>
      </w:r>
    </w:p>
    <w:p w:rsidR="007C39E5" w:rsidRPr="00212D57" w:rsidRDefault="007C39E5" w:rsidP="007C39E5">
      <w:pPr>
        <w:snapToGrid w:val="0"/>
        <w:ind w:leftChars="335" w:left="804"/>
        <w:jc w:val="both"/>
        <w:rPr>
          <w:rFonts w:ascii="標楷體" w:eastAsia="標楷體" w:hAnsi="標楷體"/>
          <w:b/>
          <w:sz w:val="22"/>
          <w:szCs w:val="22"/>
        </w:rPr>
      </w:pPr>
      <w:r w:rsidRPr="00212D57">
        <w:rPr>
          <w:rFonts w:ascii="標楷體" w:eastAsia="標楷體" w:hAnsi="標楷體" w:hint="eastAsia"/>
          <w:sz w:val="22"/>
          <w:szCs w:val="22"/>
        </w:rPr>
        <w:t>如是，依此作用的未生名未來，正生名現在，已滅名過去，建立起三世的差別；而</w:t>
      </w:r>
      <w:r w:rsidRPr="00212D57">
        <w:rPr>
          <w:rFonts w:ascii="標楷體" w:eastAsia="標楷體" w:hAnsi="標楷體" w:hint="eastAsia"/>
          <w:b/>
          <w:sz w:val="22"/>
          <w:szCs w:val="22"/>
        </w:rPr>
        <w:t>真實的法體，則仍舊是恆住自性三世一如的。</w:t>
      </w:r>
    </w:p>
    <w:p w:rsidR="007C39E5" w:rsidRPr="00212D57" w:rsidRDefault="007C39E5" w:rsidP="007C39E5">
      <w:pPr>
        <w:snapToGrid w:val="0"/>
        <w:ind w:leftChars="335" w:left="804"/>
        <w:jc w:val="both"/>
        <w:rPr>
          <w:rFonts w:ascii="標楷體" w:eastAsia="標楷體" w:hAnsi="標楷體"/>
          <w:sz w:val="22"/>
          <w:szCs w:val="22"/>
        </w:rPr>
      </w:pPr>
      <w:r w:rsidRPr="00212D57">
        <w:rPr>
          <w:rFonts w:ascii="標楷體" w:eastAsia="標楷體" w:hAnsi="標楷體" w:hint="eastAsia"/>
          <w:sz w:val="22"/>
          <w:szCs w:val="22"/>
        </w:rPr>
        <w:t>在這裡，假使有人詰問他法體與作用的關係如何？是一呢還是異呢？</w:t>
      </w:r>
    </w:p>
    <w:p w:rsidR="007C39E5" w:rsidRDefault="007C39E5" w:rsidP="007C39E5">
      <w:pPr>
        <w:snapToGrid w:val="0"/>
        <w:ind w:leftChars="335" w:left="804"/>
        <w:jc w:val="both"/>
        <w:rPr>
          <w:rFonts w:ascii="Times New Roman" w:hAnsi="Times New Roman"/>
          <w:sz w:val="22"/>
          <w:szCs w:val="22"/>
        </w:rPr>
      </w:pPr>
      <w:r w:rsidRPr="00212D57">
        <w:rPr>
          <w:rFonts w:ascii="標楷體" w:eastAsia="標楷體" w:hAnsi="標楷體" w:hint="eastAsia"/>
          <w:sz w:val="22"/>
          <w:szCs w:val="22"/>
        </w:rPr>
        <w:t>正理論主歸結到不一不異；如卷</w:t>
      </w:r>
      <w:r w:rsidRPr="00304DF5">
        <w:rPr>
          <w:rFonts w:ascii="Times New Roman" w:eastAsia="標楷體" w:hAnsi="Times New Roman" w:hint="eastAsia"/>
          <w:sz w:val="22"/>
          <w:szCs w:val="22"/>
        </w:rPr>
        <w:t>52</w:t>
      </w:r>
      <w:r w:rsidRPr="00212D57">
        <w:rPr>
          <w:rFonts w:ascii="標楷體" w:eastAsia="標楷體" w:hAnsi="標楷體" w:hint="eastAsia"/>
          <w:sz w:val="22"/>
          <w:szCs w:val="22"/>
        </w:rPr>
        <w:t>中說：</w:t>
      </w:r>
      <w:r w:rsidRPr="00212D57">
        <w:rPr>
          <w:rFonts w:hint="eastAsia"/>
          <w:sz w:val="22"/>
          <w:szCs w:val="22"/>
        </w:rPr>
        <w:t>「</w:t>
      </w:r>
      <w:r w:rsidRPr="00212D57">
        <w:rPr>
          <w:rFonts w:ascii="標楷體" w:eastAsia="標楷體" w:hAnsi="標楷體" w:hint="eastAsia"/>
          <w:b/>
          <w:sz w:val="22"/>
          <w:szCs w:val="22"/>
        </w:rPr>
        <w:t>我許作用是法差別，而不可言與法體異。</w:t>
      </w:r>
      <w:r w:rsidRPr="00D86DC3">
        <w:rPr>
          <w:rFonts w:ascii="標楷體" w:eastAsia="標楷體" w:hAnsi="標楷體" w:hint="eastAsia"/>
          <w:b/>
          <w:sz w:val="22"/>
          <w:szCs w:val="22"/>
          <w:shd w:val="pct15" w:color="auto" w:fill="FFFFFF"/>
        </w:rPr>
        <w:t>……</w:t>
      </w:r>
      <w:r w:rsidRPr="00212D57">
        <w:rPr>
          <w:rFonts w:ascii="標楷體" w:eastAsia="標楷體" w:hAnsi="標楷體" w:hint="eastAsia"/>
          <w:b/>
          <w:sz w:val="22"/>
          <w:szCs w:val="22"/>
        </w:rPr>
        <w:t>法體雖住，而遇別緣或法爾力，於法體上差別用起，本無今有，有已還無，法體如前自相恆住。</w:t>
      </w:r>
      <w:r w:rsidRPr="00D86DC3">
        <w:rPr>
          <w:rFonts w:ascii="標楷體" w:eastAsia="標楷體" w:hAnsi="標楷體" w:hint="eastAsia"/>
          <w:b/>
          <w:sz w:val="22"/>
          <w:szCs w:val="22"/>
          <w:shd w:val="pct15" w:color="auto" w:fill="FFFFFF"/>
        </w:rPr>
        <w:t>……</w:t>
      </w:r>
      <w:r w:rsidRPr="00212D57">
        <w:rPr>
          <w:rFonts w:ascii="標楷體" w:eastAsia="標楷體" w:hAnsi="標楷體" w:hint="eastAsia"/>
          <w:b/>
          <w:sz w:val="22"/>
          <w:szCs w:val="22"/>
        </w:rPr>
        <w:t>體相無異，諸法性類非無差別，體相、性類非異非一。</w:t>
      </w:r>
      <w:r w:rsidRPr="00212D57">
        <w:rPr>
          <w:rFonts w:hint="eastAsia"/>
          <w:sz w:val="22"/>
          <w:szCs w:val="22"/>
        </w:rPr>
        <w:t>」</w:t>
      </w:r>
      <w:r w:rsidRPr="00EB57EF">
        <w:rPr>
          <w:rFonts w:ascii="Times New Roman" w:hAnsi="Times New Roman" w:hint="eastAsia"/>
          <w:color w:val="FF0000"/>
          <w:sz w:val="22"/>
          <w:szCs w:val="22"/>
          <w:shd w:val="pct15" w:color="auto" w:fill="FFFFFF"/>
        </w:rPr>
        <w:t>*</w:t>
      </w:r>
    </w:p>
    <w:p w:rsidR="007C39E5" w:rsidRPr="00212D57" w:rsidRDefault="007C39E5" w:rsidP="007C39E5">
      <w:pPr>
        <w:snapToGrid w:val="0"/>
        <w:ind w:leftChars="335" w:left="804"/>
        <w:jc w:val="both"/>
        <w:rPr>
          <w:sz w:val="22"/>
          <w:szCs w:val="22"/>
        </w:rPr>
      </w:pPr>
      <w:r w:rsidRPr="00EB57EF">
        <w:rPr>
          <w:rFonts w:ascii="Times New Roman" w:hAnsi="Times New Roman" w:hint="eastAsia"/>
          <w:color w:val="FF0000"/>
          <w:sz w:val="22"/>
          <w:szCs w:val="22"/>
          <w:shd w:val="pct15" w:color="auto" w:fill="FFFFFF"/>
        </w:rPr>
        <w:t>*</w:t>
      </w:r>
      <w:r w:rsidRPr="00B660D2">
        <w:rPr>
          <w:rFonts w:hint="eastAsia"/>
          <w:color w:val="FF0000"/>
          <w:sz w:val="22"/>
          <w:szCs w:val="22"/>
          <w:highlight w:val="yellow"/>
        </w:rPr>
        <w:t>《阿毘達磨順正理論》卷</w:t>
      </w:r>
      <w:r w:rsidRPr="00B660D2">
        <w:rPr>
          <w:rFonts w:ascii="Times New Roman" w:hAnsi="Times New Roman" w:hint="eastAsia"/>
          <w:color w:val="FF0000"/>
          <w:sz w:val="22"/>
          <w:szCs w:val="22"/>
          <w:highlight w:val="yellow"/>
        </w:rPr>
        <w:t>52</w:t>
      </w:r>
      <w:r w:rsidRPr="00B660D2">
        <w:rPr>
          <w:rFonts w:ascii="Times New Roman" w:hAnsi="Times New Roman" w:hint="eastAsia"/>
          <w:color w:val="FF0000"/>
          <w:sz w:val="22"/>
          <w:szCs w:val="22"/>
          <w:highlight w:val="yellow"/>
        </w:rPr>
        <w:t>（大正</w:t>
      </w:r>
      <w:r w:rsidRPr="00B660D2">
        <w:rPr>
          <w:rFonts w:ascii="Times New Roman" w:hAnsi="Times New Roman" w:hint="eastAsia"/>
          <w:color w:val="FF0000"/>
          <w:sz w:val="22"/>
          <w:szCs w:val="22"/>
          <w:highlight w:val="yellow"/>
        </w:rPr>
        <w:t>29</w:t>
      </w:r>
      <w:r w:rsidRPr="00B660D2">
        <w:rPr>
          <w:rFonts w:ascii="Times New Roman" w:hAnsi="Times New Roman" w:hint="eastAsia"/>
          <w:color w:val="FF0000"/>
          <w:sz w:val="22"/>
          <w:szCs w:val="22"/>
          <w:highlight w:val="yellow"/>
        </w:rPr>
        <w:t>，</w:t>
      </w:r>
      <w:r w:rsidRPr="00B660D2">
        <w:rPr>
          <w:rFonts w:ascii="Times New Roman" w:hAnsi="Times New Roman" w:hint="eastAsia"/>
          <w:color w:val="FF0000"/>
          <w:sz w:val="22"/>
          <w:szCs w:val="22"/>
          <w:highlight w:val="yellow"/>
        </w:rPr>
        <w:t>632c11-24</w:t>
      </w:r>
      <w:r w:rsidRPr="00B660D2">
        <w:rPr>
          <w:rFonts w:ascii="Times New Roman" w:hAnsi="Times New Roman" w:hint="eastAsia"/>
          <w:color w:val="FF0000"/>
          <w:sz w:val="22"/>
          <w:szCs w:val="22"/>
          <w:highlight w:val="yellow"/>
        </w:rPr>
        <w:t>）</w:t>
      </w:r>
      <w:r w:rsidRPr="00B660D2">
        <w:rPr>
          <w:rFonts w:hint="eastAsia"/>
          <w:color w:val="FF0000"/>
          <w:sz w:val="22"/>
          <w:szCs w:val="22"/>
          <w:highlight w:val="yellow"/>
        </w:rPr>
        <w:t>。</w:t>
      </w:r>
    </w:p>
    <w:p w:rsidR="007C39E5" w:rsidRPr="00212D57" w:rsidRDefault="007C39E5" w:rsidP="007C39E5">
      <w:pPr>
        <w:pStyle w:val="a5"/>
        <w:ind w:leftChars="105" w:left="791" w:hangingChars="245" w:hanging="539"/>
        <w:jc w:val="both"/>
        <w:rPr>
          <w:rFonts w:ascii="新細明體" w:eastAsia="SimSun" w:hAnsi="新細明體"/>
          <w:szCs w:val="22"/>
        </w:rPr>
      </w:pPr>
      <w:r w:rsidRPr="00212D57">
        <w:rPr>
          <w:rFonts w:ascii="新細明體" w:hAnsi="新細明體" w:hint="eastAsia"/>
          <w:szCs w:val="22"/>
        </w:rPr>
        <w:t>（</w:t>
      </w:r>
      <w:r w:rsidRPr="00761EF3">
        <w:rPr>
          <w:rFonts w:eastAsia="SimSun"/>
          <w:szCs w:val="22"/>
        </w:rPr>
        <w:t>2</w:t>
      </w:r>
      <w:r w:rsidRPr="00212D57">
        <w:rPr>
          <w:rFonts w:ascii="新細明體" w:hAnsi="新細明體" w:hint="eastAsia"/>
          <w:szCs w:val="22"/>
        </w:rPr>
        <w:t>）</w:t>
      </w:r>
      <w:r>
        <w:rPr>
          <w:rFonts w:ascii="新細明體" w:hAnsi="新細明體" w:cs="細明體" w:hint="eastAsia"/>
          <w:szCs w:val="22"/>
        </w:rPr>
        <w:t>參見：印</w:t>
      </w:r>
      <w:r w:rsidRPr="00212D57">
        <w:rPr>
          <w:rFonts w:ascii="新細明體" w:hAnsi="新細明體" w:cs="細明體" w:hint="eastAsia"/>
          <w:szCs w:val="22"/>
        </w:rPr>
        <w:t>順法師，《</w:t>
      </w:r>
      <w:r w:rsidRPr="00212D57">
        <w:rPr>
          <w:rFonts w:ascii="新細明體" w:hAnsi="新細明體" w:hint="eastAsia"/>
          <w:szCs w:val="22"/>
        </w:rPr>
        <w:t>初期大乘佛教之起源與開展》，</w:t>
      </w:r>
      <w:r w:rsidRPr="00761EF3">
        <w:rPr>
          <w:rFonts w:hint="eastAsia"/>
          <w:szCs w:val="22"/>
        </w:rPr>
        <w:t>p</w:t>
      </w:r>
      <w:r w:rsidRPr="00212D57">
        <w:rPr>
          <w:rFonts w:hint="eastAsia"/>
          <w:szCs w:val="22"/>
        </w:rPr>
        <w:t>.</w:t>
      </w:r>
      <w:r w:rsidRPr="00761EF3">
        <w:rPr>
          <w:rFonts w:eastAsia="SimSun" w:hint="eastAsia"/>
          <w:szCs w:val="22"/>
        </w:rPr>
        <w:t>734</w:t>
      </w:r>
      <w:r w:rsidRPr="00212D57">
        <w:rPr>
          <w:rFonts w:ascii="新細明體" w:hAnsi="新細明體" w:hint="eastAsia"/>
          <w:szCs w:val="22"/>
        </w:rPr>
        <w:t>：</w:t>
      </w:r>
    </w:p>
    <w:p w:rsidR="007C39E5" w:rsidRPr="00212D57" w:rsidRDefault="007C39E5" w:rsidP="007C39E5">
      <w:pPr>
        <w:snapToGrid w:val="0"/>
        <w:ind w:leftChars="335" w:left="804"/>
        <w:jc w:val="both"/>
        <w:rPr>
          <w:rFonts w:ascii="標楷體" w:eastAsia="SimSun" w:hAnsi="標楷體"/>
          <w:sz w:val="22"/>
          <w:szCs w:val="22"/>
        </w:rPr>
      </w:pPr>
      <w:r w:rsidRPr="00212D57">
        <w:rPr>
          <w:rFonts w:ascii="標楷體" w:eastAsia="標楷體" w:hAnsi="標楷體" w:hint="eastAsia"/>
          <w:sz w:val="22"/>
          <w:szCs w:val="22"/>
        </w:rPr>
        <w:t>「如」是沒有變異的意思，部派佛教的解說，不完全一致，所以《大智度論》有「下如」、「中如」、「上如」的解說。又說：「如諸法未生時，生時亦如是；生已過去，現在亦如是。諸法三世平等，是名為如。」三世有，體性沒有別異，也可說是「如」。體性無別的三世有法，法法無自性空，就是「上如」。</w:t>
      </w:r>
    </w:p>
  </w:footnote>
  <w:footnote w:id="499">
    <w:p w:rsidR="007C39E5" w:rsidRDefault="007C39E5" w:rsidP="007C39E5">
      <w:pPr>
        <w:pStyle w:val="a5"/>
        <w:ind w:left="792" w:hangingChars="360" w:hanging="792"/>
        <w:jc w:val="both"/>
        <w:rPr>
          <w:szCs w:val="22"/>
        </w:rPr>
      </w:pPr>
      <w:r w:rsidRPr="00212D57">
        <w:rPr>
          <w:rStyle w:val="a6"/>
          <w:szCs w:val="22"/>
        </w:rPr>
        <w:footnoteRef/>
      </w:r>
      <w:r w:rsidRPr="00212D57">
        <w:rPr>
          <w:rFonts w:hint="eastAsia"/>
          <w:szCs w:val="22"/>
        </w:rPr>
        <w:t xml:space="preserve"> </w:t>
      </w:r>
      <w:r w:rsidRPr="00212D57">
        <w:rPr>
          <w:rFonts w:hint="eastAsia"/>
          <w:szCs w:val="22"/>
        </w:rPr>
        <w:t>（</w:t>
      </w:r>
      <w:r w:rsidRPr="00761EF3">
        <w:rPr>
          <w:rFonts w:hint="eastAsia"/>
          <w:szCs w:val="22"/>
        </w:rPr>
        <w:t>1</w:t>
      </w:r>
      <w:r w:rsidRPr="00212D57">
        <w:rPr>
          <w:rFonts w:hint="eastAsia"/>
          <w:szCs w:val="22"/>
        </w:rPr>
        <w:t>）</w:t>
      </w:r>
      <w:r w:rsidRPr="007C39E5">
        <w:rPr>
          <w:rFonts w:hint="eastAsia"/>
          <w:color w:val="FF0000"/>
          <w:szCs w:val="22"/>
          <w:highlight w:val="yellow"/>
        </w:rPr>
        <w:t>《唯識三十論頌》（大正</w:t>
      </w:r>
      <w:r w:rsidRPr="007C39E5">
        <w:rPr>
          <w:rFonts w:hint="eastAsia"/>
          <w:color w:val="FF0000"/>
          <w:szCs w:val="22"/>
          <w:highlight w:val="yellow"/>
        </w:rPr>
        <w:t>31</w:t>
      </w:r>
      <w:r w:rsidRPr="007C39E5">
        <w:rPr>
          <w:rFonts w:hint="eastAsia"/>
          <w:color w:val="FF0000"/>
          <w:szCs w:val="22"/>
          <w:highlight w:val="yellow"/>
        </w:rPr>
        <w:t>，</w:t>
      </w:r>
      <w:r w:rsidRPr="007C39E5">
        <w:rPr>
          <w:rFonts w:hint="eastAsia"/>
          <w:color w:val="FF0000"/>
          <w:szCs w:val="22"/>
          <w:highlight w:val="yellow"/>
        </w:rPr>
        <w:t>60b4-8</w:t>
      </w:r>
      <w:r w:rsidRPr="007C39E5">
        <w:rPr>
          <w:rFonts w:hint="eastAsia"/>
          <w:color w:val="FF0000"/>
          <w:szCs w:val="22"/>
          <w:highlight w:val="yellow"/>
        </w:rPr>
        <w:t>）：</w:t>
      </w:r>
    </w:p>
    <w:p w:rsidR="007C39E5" w:rsidRPr="007C39E5" w:rsidRDefault="007C39E5" w:rsidP="007C39E5">
      <w:pPr>
        <w:pStyle w:val="a5"/>
        <w:ind w:leftChars="335" w:left="804"/>
        <w:jc w:val="both"/>
        <w:rPr>
          <w:rFonts w:ascii="標楷體" w:eastAsia="標楷體" w:hAnsi="標楷體"/>
          <w:szCs w:val="22"/>
        </w:rPr>
      </w:pPr>
      <w:r w:rsidRPr="007C39E5">
        <w:rPr>
          <w:rFonts w:ascii="標楷體" w:eastAsia="標楷體" w:hAnsi="標楷體" w:hint="eastAsia"/>
          <w:color w:val="FF0000"/>
          <w:szCs w:val="22"/>
          <w:highlight w:val="yellow"/>
        </w:rPr>
        <w:t>初，阿賴耶識，異熟、一切種</w:t>
      </w:r>
      <w:r w:rsidRPr="007C39E5">
        <w:rPr>
          <w:rFonts w:ascii="標楷體" w:eastAsia="標楷體" w:hAnsi="標楷體" w:hint="eastAsia"/>
          <w:color w:val="FF0000"/>
          <w:szCs w:val="22"/>
          <w:shd w:val="pct15" w:color="auto" w:fill="FFFFFF"/>
        </w:rPr>
        <w:t>……</w:t>
      </w:r>
      <w:r w:rsidRPr="00C05E1C">
        <w:rPr>
          <w:rFonts w:ascii="標楷體" w:eastAsia="標楷體" w:hAnsi="標楷體" w:hint="eastAsia"/>
          <w:color w:val="FF0000"/>
          <w:szCs w:val="22"/>
          <w:highlight w:val="yellow"/>
          <w:u w:val="wave" w:color="C00000"/>
        </w:rPr>
        <w:t>恒轉</w:t>
      </w:r>
      <w:r w:rsidRPr="007C39E5">
        <w:rPr>
          <w:rFonts w:ascii="標楷體" w:eastAsia="標楷體" w:hAnsi="標楷體" w:hint="eastAsia"/>
          <w:color w:val="FF0000"/>
          <w:szCs w:val="22"/>
          <w:highlight w:val="yellow"/>
        </w:rPr>
        <w:t>如瀑流，阿羅漢位捨。</w:t>
      </w:r>
    </w:p>
    <w:p w:rsidR="007C39E5" w:rsidRPr="00212D57" w:rsidRDefault="007C39E5" w:rsidP="007C39E5">
      <w:pPr>
        <w:pStyle w:val="a5"/>
        <w:ind w:leftChars="105" w:left="791" w:hangingChars="245" w:hanging="539"/>
        <w:jc w:val="both"/>
        <w:rPr>
          <w:szCs w:val="22"/>
        </w:rPr>
      </w:pPr>
      <w:r w:rsidRPr="00212D57">
        <w:rPr>
          <w:rFonts w:hint="eastAsia"/>
          <w:szCs w:val="22"/>
        </w:rPr>
        <w:t>（</w:t>
      </w:r>
      <w:r w:rsidRPr="00761EF3">
        <w:rPr>
          <w:rFonts w:hint="eastAsia"/>
          <w:szCs w:val="22"/>
        </w:rPr>
        <w:t>2</w:t>
      </w:r>
      <w:r w:rsidRPr="00212D57">
        <w:rPr>
          <w:rFonts w:hint="eastAsia"/>
          <w:szCs w:val="22"/>
        </w:rPr>
        <w:t>）</w:t>
      </w:r>
      <w:r>
        <w:rPr>
          <w:rFonts w:ascii="新細明體" w:hAnsi="新細明體" w:cs="細明體" w:hint="eastAsia"/>
          <w:szCs w:val="22"/>
        </w:rPr>
        <w:t>參見：印</w:t>
      </w:r>
      <w:r w:rsidRPr="00212D57">
        <w:rPr>
          <w:rFonts w:ascii="新細明體" w:hAnsi="新細明體" w:cs="細明體" w:hint="eastAsia"/>
          <w:szCs w:val="22"/>
        </w:rPr>
        <w:t>順法師，</w:t>
      </w:r>
      <w:r w:rsidRPr="00212D57">
        <w:rPr>
          <w:rFonts w:hint="eastAsia"/>
          <w:szCs w:val="22"/>
        </w:rPr>
        <w:t>《印度佛教思想史》，</w:t>
      </w:r>
      <w:r w:rsidRPr="00761EF3">
        <w:rPr>
          <w:rFonts w:hint="eastAsia"/>
          <w:szCs w:val="22"/>
        </w:rPr>
        <w:t>p</w:t>
      </w:r>
      <w:r w:rsidRPr="00212D57">
        <w:rPr>
          <w:rFonts w:hint="eastAsia"/>
          <w:szCs w:val="22"/>
        </w:rPr>
        <w:t>.</w:t>
      </w:r>
      <w:r w:rsidRPr="00761EF3">
        <w:rPr>
          <w:rFonts w:hint="eastAsia"/>
          <w:szCs w:val="22"/>
        </w:rPr>
        <w:t>275</w:t>
      </w:r>
      <w:r w:rsidRPr="00212D57">
        <w:rPr>
          <w:rFonts w:hint="eastAsia"/>
          <w:szCs w:val="22"/>
        </w:rPr>
        <w:t>：</w:t>
      </w:r>
    </w:p>
    <w:p w:rsidR="007C39E5" w:rsidRPr="00212D57" w:rsidRDefault="007C39E5" w:rsidP="007C39E5">
      <w:pPr>
        <w:pStyle w:val="a5"/>
        <w:ind w:leftChars="335" w:left="804"/>
        <w:jc w:val="both"/>
        <w:rPr>
          <w:rFonts w:ascii="標楷體" w:eastAsia="標楷體" w:hAnsi="標楷體"/>
          <w:szCs w:val="22"/>
        </w:rPr>
      </w:pPr>
      <w:r w:rsidRPr="00212D57">
        <w:rPr>
          <w:rFonts w:ascii="標楷體" w:eastAsia="標楷體" w:hAnsi="標楷體" w:hint="eastAsia"/>
          <w:szCs w:val="22"/>
        </w:rPr>
        <w:t>大乘不共的唯識說，雖有不同派別，然依虛妄分別識為依止，是一致的。虛妄分別的根本──阿賴耶識，是妄識，剎那剎那的生滅如流；攝持的種子，也是剎那生滅，瀑流那樣的</w:t>
      </w:r>
      <w:r w:rsidRPr="00212D57">
        <w:rPr>
          <w:rFonts w:ascii="標楷體" w:eastAsia="標楷體" w:hAnsi="標楷體" w:hint="eastAsia"/>
          <w:b/>
          <w:szCs w:val="22"/>
        </w:rPr>
        <w:t>恆轉</w:t>
      </w:r>
      <w:r w:rsidRPr="00212D57">
        <w:rPr>
          <w:rFonts w:ascii="標楷體" w:eastAsia="標楷體" w:hAnsi="標楷體" w:hint="eastAsia"/>
          <w:szCs w:val="22"/>
        </w:rPr>
        <w:t>。以虛妄分別攝持種子為依，依此而現起一切，「一切唯識現」，是「緣起」的從因生果。現起的一切，境不離識，境依識起，「一切唯識現」，是「緣起所生」的依心有境。</w:t>
      </w:r>
    </w:p>
    <w:p w:rsidR="007C39E5" w:rsidRPr="00212D57" w:rsidRDefault="007C39E5" w:rsidP="007C39E5">
      <w:pPr>
        <w:pStyle w:val="a5"/>
        <w:ind w:leftChars="105" w:left="791" w:hangingChars="245" w:hanging="539"/>
        <w:jc w:val="both"/>
        <w:rPr>
          <w:rFonts w:eastAsia="SimSun"/>
          <w:szCs w:val="22"/>
        </w:rPr>
      </w:pPr>
      <w:r w:rsidRPr="00212D57">
        <w:rPr>
          <w:rFonts w:hint="eastAsia"/>
          <w:szCs w:val="22"/>
        </w:rPr>
        <w:t>（</w:t>
      </w:r>
      <w:r>
        <w:rPr>
          <w:rFonts w:hint="eastAsia"/>
          <w:szCs w:val="22"/>
        </w:rPr>
        <w:t>3</w:t>
      </w:r>
      <w:r w:rsidRPr="00212D57">
        <w:rPr>
          <w:rFonts w:hint="eastAsia"/>
          <w:szCs w:val="22"/>
        </w:rPr>
        <w:t>）</w:t>
      </w:r>
      <w:r>
        <w:rPr>
          <w:rFonts w:hint="eastAsia"/>
          <w:szCs w:val="22"/>
        </w:rPr>
        <w:t>參見：印</w:t>
      </w:r>
      <w:r w:rsidRPr="00212D57">
        <w:rPr>
          <w:rFonts w:ascii="新細明體" w:hAnsi="新細明體" w:cs="細明體" w:hint="eastAsia"/>
          <w:szCs w:val="22"/>
        </w:rPr>
        <w:t>順法師，《</w:t>
      </w:r>
      <w:r w:rsidRPr="00212D57">
        <w:rPr>
          <w:rFonts w:hint="eastAsia"/>
          <w:szCs w:val="22"/>
        </w:rPr>
        <w:t>攝大乘論講記》，</w:t>
      </w:r>
      <w:r w:rsidRPr="00761EF3">
        <w:rPr>
          <w:rFonts w:hint="eastAsia"/>
          <w:szCs w:val="22"/>
        </w:rPr>
        <w:t>p</w:t>
      </w:r>
      <w:r w:rsidRPr="00212D57">
        <w:rPr>
          <w:rFonts w:hint="eastAsia"/>
          <w:szCs w:val="22"/>
        </w:rPr>
        <w:t>.</w:t>
      </w:r>
      <w:r w:rsidRPr="00761EF3">
        <w:rPr>
          <w:rFonts w:hint="eastAsia"/>
          <w:szCs w:val="22"/>
        </w:rPr>
        <w:t>40</w:t>
      </w:r>
      <w:r w:rsidRPr="00212D57">
        <w:rPr>
          <w:rFonts w:hint="eastAsia"/>
          <w:szCs w:val="22"/>
        </w:rPr>
        <w:t>：</w:t>
      </w:r>
    </w:p>
    <w:p w:rsidR="007C39E5" w:rsidRPr="00212D57" w:rsidRDefault="007C39E5" w:rsidP="007C39E5">
      <w:pPr>
        <w:pStyle w:val="a5"/>
        <w:ind w:leftChars="335" w:left="804"/>
        <w:jc w:val="both"/>
        <w:rPr>
          <w:rFonts w:ascii="標楷體" w:eastAsia="SimSun" w:hAnsi="標楷體"/>
          <w:szCs w:val="22"/>
        </w:rPr>
      </w:pPr>
      <w:r w:rsidRPr="00212D57">
        <w:rPr>
          <w:rFonts w:ascii="標楷體" w:eastAsia="標楷體" w:hAnsi="標楷體" w:hint="eastAsia"/>
          <w:szCs w:val="22"/>
        </w:rPr>
        <w:t>建立阿賴耶的目的，在替流轉還滅的一切法找出立足點來。因為有了賴耶，就可說明萬有的生起，及滅後功能的存在。一切種子識，是一切法的根本，一切法的所依。</w:t>
      </w:r>
    </w:p>
  </w:footnote>
  <w:footnote w:id="500">
    <w:p w:rsidR="00157EF6" w:rsidRPr="00212D57" w:rsidRDefault="00157EF6" w:rsidP="00B5316E">
      <w:pPr>
        <w:pStyle w:val="a5"/>
        <w:ind w:left="253" w:hangingChars="115" w:hanging="253"/>
        <w:jc w:val="both"/>
        <w:rPr>
          <w:szCs w:val="22"/>
        </w:rPr>
      </w:pPr>
      <w:r w:rsidRPr="00212D57">
        <w:rPr>
          <w:rStyle w:val="a6"/>
          <w:szCs w:val="22"/>
        </w:rPr>
        <w:footnoteRef/>
      </w:r>
      <w:r w:rsidRPr="00212D57">
        <w:rPr>
          <w:szCs w:val="22"/>
        </w:rPr>
        <w:t xml:space="preserve"> </w:t>
      </w:r>
      <w:r w:rsidR="009160B5">
        <w:rPr>
          <w:szCs w:val="22"/>
        </w:rPr>
        <w:t>參見：印</w:t>
      </w:r>
      <w:r w:rsidRPr="00212D57">
        <w:rPr>
          <w:szCs w:val="22"/>
        </w:rPr>
        <w:t>順法師，《中觀論頌講記》，</w:t>
      </w:r>
      <w:r w:rsidRPr="00761EF3">
        <w:rPr>
          <w:szCs w:val="22"/>
        </w:rPr>
        <w:t>pp</w:t>
      </w:r>
      <w:r w:rsidRPr="00212D57">
        <w:rPr>
          <w:szCs w:val="22"/>
        </w:rPr>
        <w:t>.</w:t>
      </w:r>
      <w:r w:rsidRPr="00761EF3">
        <w:rPr>
          <w:szCs w:val="22"/>
        </w:rPr>
        <w:t>281</w:t>
      </w:r>
      <w:r w:rsidRPr="00212D57">
        <w:rPr>
          <w:szCs w:val="22"/>
        </w:rPr>
        <w:t>-</w:t>
      </w:r>
      <w:r w:rsidRPr="00761EF3">
        <w:rPr>
          <w:szCs w:val="22"/>
        </w:rPr>
        <w:t>283</w:t>
      </w:r>
      <w:r w:rsidRPr="00212D57">
        <w:rPr>
          <w:szCs w:val="22"/>
        </w:rPr>
        <w:t>：</w:t>
      </w:r>
    </w:p>
    <w:p w:rsidR="00157EF6" w:rsidRPr="00212D57" w:rsidRDefault="00157EF6" w:rsidP="00B5316E">
      <w:pPr>
        <w:snapToGrid w:val="0"/>
        <w:ind w:leftChars="105" w:left="252"/>
        <w:jc w:val="both"/>
        <w:rPr>
          <w:rFonts w:ascii="標楷體" w:eastAsia="標楷體" w:hAnsi="標楷體"/>
          <w:b/>
          <w:sz w:val="22"/>
          <w:szCs w:val="22"/>
        </w:rPr>
      </w:pPr>
      <w:r w:rsidRPr="00212D57">
        <w:rPr>
          <w:rFonts w:ascii="標楷體" w:eastAsia="標楷體" w:hAnsi="標楷體"/>
          <w:b/>
          <w:sz w:val="22"/>
          <w:szCs w:val="22"/>
        </w:rPr>
        <w:t>如是從初心</w:t>
      </w:r>
      <w:r w:rsidRPr="00212D57">
        <w:rPr>
          <w:rFonts w:ascii="標楷體" w:eastAsia="標楷體" w:hAnsi="標楷體" w:hint="eastAsia"/>
          <w:b/>
          <w:sz w:val="22"/>
          <w:szCs w:val="22"/>
        </w:rPr>
        <w:t>，</w:t>
      </w:r>
      <w:r w:rsidRPr="00212D57">
        <w:rPr>
          <w:rFonts w:ascii="標楷體" w:eastAsia="標楷體" w:hAnsi="標楷體"/>
          <w:b/>
          <w:sz w:val="22"/>
          <w:szCs w:val="22"/>
        </w:rPr>
        <w:t>心法相續生</w:t>
      </w:r>
      <w:r w:rsidRPr="00212D57">
        <w:rPr>
          <w:rFonts w:ascii="標楷體" w:eastAsia="標楷體" w:hAnsi="標楷體" w:hint="eastAsia"/>
          <w:b/>
          <w:sz w:val="22"/>
          <w:szCs w:val="22"/>
        </w:rPr>
        <w:t>，</w:t>
      </w:r>
      <w:r w:rsidRPr="00212D57">
        <w:rPr>
          <w:rFonts w:ascii="標楷體" w:eastAsia="標楷體" w:hAnsi="標楷體"/>
          <w:b/>
          <w:sz w:val="22"/>
          <w:szCs w:val="22"/>
        </w:rPr>
        <w:t>從是而有果</w:t>
      </w:r>
      <w:r w:rsidRPr="00212D57">
        <w:rPr>
          <w:rFonts w:ascii="標楷體" w:eastAsia="標楷體" w:hAnsi="標楷體" w:hint="eastAsia"/>
          <w:b/>
          <w:sz w:val="22"/>
          <w:szCs w:val="22"/>
        </w:rPr>
        <w:t>，</w:t>
      </w:r>
      <w:r w:rsidRPr="00212D57">
        <w:rPr>
          <w:rFonts w:ascii="標楷體" w:eastAsia="標楷體" w:hAnsi="標楷體"/>
          <w:b/>
          <w:sz w:val="22"/>
          <w:szCs w:val="22"/>
        </w:rPr>
        <w:t>離心無相續</w:t>
      </w:r>
      <w:r w:rsidRPr="00212D57">
        <w:rPr>
          <w:rFonts w:ascii="標楷體" w:eastAsia="標楷體" w:hAnsi="標楷體" w:hint="eastAsia"/>
          <w:b/>
          <w:sz w:val="22"/>
          <w:szCs w:val="22"/>
        </w:rPr>
        <w:t>。</w:t>
      </w:r>
    </w:p>
    <w:p w:rsidR="00157EF6" w:rsidRPr="00212D57" w:rsidRDefault="00157EF6" w:rsidP="00B5316E">
      <w:pPr>
        <w:snapToGrid w:val="0"/>
        <w:ind w:leftChars="105" w:left="252"/>
        <w:jc w:val="both"/>
        <w:rPr>
          <w:rFonts w:ascii="標楷體" w:eastAsia="標楷體" w:hAnsi="標楷體"/>
          <w:b/>
          <w:sz w:val="22"/>
          <w:szCs w:val="22"/>
        </w:rPr>
      </w:pPr>
      <w:r w:rsidRPr="00212D57">
        <w:rPr>
          <w:rFonts w:ascii="標楷體" w:eastAsia="標楷體" w:hAnsi="標楷體"/>
          <w:b/>
          <w:sz w:val="22"/>
          <w:szCs w:val="22"/>
        </w:rPr>
        <w:t>從心有相續</w:t>
      </w:r>
      <w:r w:rsidRPr="00212D57">
        <w:rPr>
          <w:rFonts w:ascii="標楷體" w:eastAsia="標楷體" w:hAnsi="標楷體" w:hint="eastAsia"/>
          <w:b/>
          <w:sz w:val="22"/>
          <w:szCs w:val="22"/>
        </w:rPr>
        <w:t>，</w:t>
      </w:r>
      <w:r w:rsidRPr="00212D57">
        <w:rPr>
          <w:rFonts w:ascii="標楷體" w:eastAsia="標楷體" w:hAnsi="標楷體"/>
          <w:b/>
          <w:sz w:val="22"/>
          <w:szCs w:val="22"/>
        </w:rPr>
        <w:t>從相續有果</w:t>
      </w:r>
      <w:r w:rsidRPr="00212D57">
        <w:rPr>
          <w:rFonts w:ascii="標楷體" w:eastAsia="標楷體" w:hAnsi="標楷體" w:hint="eastAsia"/>
          <w:b/>
          <w:sz w:val="22"/>
          <w:szCs w:val="22"/>
        </w:rPr>
        <w:t>，</w:t>
      </w:r>
      <w:r w:rsidRPr="00212D57">
        <w:rPr>
          <w:rFonts w:ascii="標楷體" w:eastAsia="標楷體" w:hAnsi="標楷體"/>
          <w:b/>
          <w:sz w:val="22"/>
          <w:szCs w:val="22"/>
        </w:rPr>
        <w:t>先業後有果</w:t>
      </w:r>
      <w:r w:rsidRPr="00212D57">
        <w:rPr>
          <w:rFonts w:ascii="標楷體" w:eastAsia="標楷體" w:hAnsi="標楷體" w:hint="eastAsia"/>
          <w:b/>
          <w:sz w:val="22"/>
          <w:szCs w:val="22"/>
        </w:rPr>
        <w:t>，</w:t>
      </w:r>
      <w:r w:rsidRPr="00212D57">
        <w:rPr>
          <w:rFonts w:ascii="標楷體" w:eastAsia="標楷體" w:hAnsi="標楷體"/>
          <w:b/>
          <w:sz w:val="22"/>
          <w:szCs w:val="22"/>
        </w:rPr>
        <w:t>不斷亦不常</w:t>
      </w:r>
      <w:r w:rsidRPr="00212D57">
        <w:rPr>
          <w:rFonts w:ascii="標楷體" w:eastAsia="標楷體" w:hAnsi="標楷體" w:hint="eastAsia"/>
          <w:b/>
          <w:sz w:val="22"/>
          <w:szCs w:val="22"/>
        </w:rPr>
        <w:t>。</w:t>
      </w:r>
    </w:p>
    <w:p w:rsidR="00157EF6" w:rsidRPr="007A4432" w:rsidRDefault="00157EF6" w:rsidP="00B5316E">
      <w:pPr>
        <w:snapToGrid w:val="0"/>
        <w:ind w:leftChars="105" w:left="252"/>
        <w:jc w:val="both"/>
        <w:rPr>
          <w:rFonts w:ascii="標楷體" w:eastAsia="標楷體" w:hAnsi="標楷體"/>
          <w:sz w:val="22"/>
          <w:szCs w:val="22"/>
        </w:rPr>
      </w:pPr>
      <w:r w:rsidRPr="00212D57">
        <w:rPr>
          <w:rFonts w:ascii="標楷體" w:eastAsia="標楷體" w:hAnsi="標楷體"/>
          <w:sz w:val="22"/>
          <w:szCs w:val="22"/>
        </w:rPr>
        <w:t>譬喻者以上面所說的譬喻，成立他的業力說。他以為從業感果，也是這樣的。思心所就是心。不但考慮、審度、決定的思是思心所，就是身體的動作，言語的發動，也還是思心所（發動思）。不過假借身語為工具，表出意思的行為罷了。由作業的熏發，就有思種子保存下來。作業雖是生滅無常的，業入過去即無自體，但熏成思種子，隨內心而流，心心法卻是相續生的。如布施，不但布施的身口業不常，布施心也有間斷，有時也起殺盜等的心行；但熏成施種，不問善心、惡心，他是可以相續而轉的。業體是思，熏成思種，也不離心。所以，心心所法相續，作業雖久已過去，還可以感果。這樣，最初心起作什麼事業，將來就感什麼果。雖然最「初心」所起的罪福業，剎那過去，但「心」心所「法」是「相續」而「生」的。從此思業熏發的心心相續，就可以「有果」了。假使「離」了「心」心所法，就沒</w:t>
      </w:r>
      <w:r w:rsidRPr="007A4432">
        <w:rPr>
          <w:rFonts w:ascii="標楷體" w:eastAsia="標楷體" w:hAnsi="標楷體"/>
          <w:sz w:val="22"/>
          <w:szCs w:val="22"/>
        </w:rPr>
        <w:t>有「相續」；相續沒有，果法自也不可得。</w:t>
      </w:r>
    </w:p>
    <w:p w:rsidR="00157EF6" w:rsidRPr="007A4432" w:rsidRDefault="00157EF6" w:rsidP="00AE3920">
      <w:pPr>
        <w:snapToGrid w:val="0"/>
        <w:spacing w:beforeLines="20"/>
        <w:ind w:leftChars="105" w:left="252"/>
        <w:jc w:val="both"/>
        <w:rPr>
          <w:rFonts w:ascii="標楷體" w:eastAsia="標楷體" w:hAnsi="標楷體"/>
          <w:sz w:val="22"/>
          <w:szCs w:val="22"/>
        </w:rPr>
      </w:pPr>
      <w:r w:rsidRPr="007A4432">
        <w:rPr>
          <w:rFonts w:ascii="標楷體" w:eastAsia="標楷體" w:hAnsi="標楷體"/>
          <w:sz w:val="22"/>
          <w:szCs w:val="22"/>
        </w:rPr>
        <w:t>既「從心」而「有相續」，「從相續」而「有果」，此「先」有「業」因而「後有」報「果」的業果論，即能成立「不斷亦不常」的中道。所造作的業，一剎那後滅去不見，這是不常；作業心與感果心的相續如流，有力感果，這是不斷。由業種的不斷不常，能完滿的建立業果的聯繫。</w:t>
      </w:r>
    </w:p>
    <w:p w:rsidR="00157EF6" w:rsidRPr="007A4432" w:rsidRDefault="00157EF6" w:rsidP="00AE3920">
      <w:pPr>
        <w:snapToGrid w:val="0"/>
        <w:spacing w:beforeLines="20"/>
        <w:ind w:leftChars="105" w:left="252"/>
        <w:jc w:val="both"/>
        <w:rPr>
          <w:rFonts w:ascii="標楷體" w:eastAsia="標楷體" w:hAnsi="標楷體"/>
          <w:sz w:val="22"/>
          <w:szCs w:val="22"/>
        </w:rPr>
      </w:pPr>
      <w:r w:rsidRPr="007A4432">
        <w:rPr>
          <w:rFonts w:ascii="標楷體" w:eastAsia="標楷體" w:hAnsi="標楷體"/>
          <w:b/>
          <w:sz w:val="22"/>
          <w:szCs w:val="22"/>
        </w:rPr>
        <w:t>後期的大乘唯識學，說種子生現行，也還是從此發展而成。不過把他稍為修正一下，不用六識受熏，而談阿賴耶受熏持種生現罷了。</w:t>
      </w:r>
    </w:p>
    <w:p w:rsidR="00157EF6" w:rsidRPr="007A4432" w:rsidRDefault="00157EF6" w:rsidP="00AE3920">
      <w:pPr>
        <w:snapToGrid w:val="0"/>
        <w:spacing w:beforeLines="20"/>
        <w:ind w:leftChars="105" w:left="252"/>
        <w:jc w:val="both"/>
        <w:rPr>
          <w:rFonts w:ascii="標楷體" w:eastAsia="標楷體" w:hAnsi="標楷體"/>
          <w:sz w:val="22"/>
          <w:szCs w:val="22"/>
        </w:rPr>
      </w:pPr>
      <w:r w:rsidRPr="007A4432">
        <w:rPr>
          <w:rFonts w:ascii="標楷體" w:eastAsia="標楷體" w:hAnsi="標楷體"/>
          <w:sz w:val="22"/>
          <w:szCs w:val="22"/>
        </w:rPr>
        <w:t>譬喻者的思想，最初造作的時候，叫種子；作了以後，沒有感果之前，叫相續；最後成熟的時候，叫感果。從現象的可見方面說，雖有種子、相續、感果的三階段，但實際上重視心識的潛流不斷。</w:t>
      </w:r>
    </w:p>
    <w:p w:rsidR="00157EF6" w:rsidRPr="007A4432" w:rsidRDefault="00157EF6" w:rsidP="00AE3920">
      <w:pPr>
        <w:snapToGrid w:val="0"/>
        <w:spacing w:beforeLines="20"/>
        <w:ind w:leftChars="105" w:left="252"/>
        <w:jc w:val="both"/>
        <w:rPr>
          <w:rFonts w:ascii="標楷體" w:eastAsia="標楷體" w:hAnsi="標楷體"/>
          <w:sz w:val="22"/>
          <w:szCs w:val="22"/>
        </w:rPr>
      </w:pPr>
      <w:r w:rsidRPr="007A4432">
        <w:rPr>
          <w:rFonts w:ascii="標楷體" w:eastAsia="標楷體" w:hAnsi="標楷體"/>
          <w:sz w:val="22"/>
          <w:szCs w:val="22"/>
        </w:rPr>
        <w:t>唯識者的思想，最初熏成的力量，固然是種子；就是在心識不斷的相續中，也還叫做種子；種子如暴流水一樣的相續下去。</w:t>
      </w:r>
    </w:p>
    <w:p w:rsidR="00157EF6" w:rsidRPr="00212D57" w:rsidRDefault="00157EF6" w:rsidP="00AE3920">
      <w:pPr>
        <w:snapToGrid w:val="0"/>
        <w:spacing w:beforeLines="20"/>
        <w:ind w:leftChars="105" w:left="252"/>
        <w:jc w:val="both"/>
        <w:rPr>
          <w:rFonts w:ascii="標楷體" w:eastAsia="標楷體" w:hAnsi="標楷體"/>
          <w:sz w:val="22"/>
          <w:szCs w:val="22"/>
        </w:rPr>
      </w:pPr>
      <w:r w:rsidRPr="007A4432">
        <w:rPr>
          <w:rFonts w:ascii="標楷體" w:eastAsia="標楷體" w:hAnsi="標楷體"/>
          <w:sz w:val="22"/>
          <w:szCs w:val="22"/>
        </w:rPr>
        <w:t>譬喻者從相續的心心所法上著眼，唯識者多注意種子的自類相生，兩者略有不同。</w:t>
      </w:r>
    </w:p>
  </w:footnote>
  <w:footnote w:id="501">
    <w:p w:rsidR="0087687B" w:rsidRDefault="00157EF6" w:rsidP="00B5316E">
      <w:pPr>
        <w:pStyle w:val="a5"/>
        <w:ind w:left="792" w:hangingChars="360" w:hanging="792"/>
        <w:jc w:val="both"/>
        <w:rPr>
          <w:szCs w:val="22"/>
        </w:rPr>
      </w:pPr>
      <w:r w:rsidRPr="00212D57">
        <w:rPr>
          <w:rStyle w:val="a6"/>
          <w:szCs w:val="22"/>
        </w:rPr>
        <w:footnoteRef/>
      </w:r>
      <w:r w:rsidRPr="00212D57">
        <w:rPr>
          <w:rFonts w:ascii="新細明體" w:hAnsi="新細明體" w:hint="eastAsia"/>
          <w:szCs w:val="22"/>
        </w:rPr>
        <w:t xml:space="preserve"> （</w:t>
      </w:r>
      <w:r w:rsidRPr="00761EF3">
        <w:rPr>
          <w:szCs w:val="22"/>
        </w:rPr>
        <w:t>1</w:t>
      </w:r>
      <w:r w:rsidRPr="00212D57">
        <w:rPr>
          <w:rFonts w:ascii="新細明體" w:hAnsi="新細明體" w:hint="eastAsia"/>
          <w:szCs w:val="22"/>
        </w:rPr>
        <w:t>）</w:t>
      </w:r>
      <w:r w:rsidRPr="00212D57">
        <w:rPr>
          <w:rFonts w:hint="eastAsia"/>
          <w:szCs w:val="22"/>
        </w:rPr>
        <w:t>謝</w:t>
      </w:r>
      <w:r w:rsidRPr="00212D57">
        <w:rPr>
          <w:rFonts w:ascii="新細明體" w:hAnsi="新細明體" w:hint="eastAsia"/>
          <w:szCs w:val="22"/>
        </w:rPr>
        <w:t>：</w:t>
      </w:r>
      <w:r w:rsidRPr="00761EF3">
        <w:rPr>
          <w:rFonts w:eastAsia="SimSun"/>
          <w:szCs w:val="22"/>
        </w:rPr>
        <w:t>5</w:t>
      </w:r>
      <w:r w:rsidRPr="00212D57">
        <w:rPr>
          <w:rFonts w:eastAsia="SimSun"/>
          <w:szCs w:val="22"/>
        </w:rPr>
        <w:t>.</w:t>
      </w:r>
      <w:r w:rsidRPr="00212D57">
        <w:rPr>
          <w:szCs w:val="22"/>
        </w:rPr>
        <w:t>引申為離開。</w:t>
      </w:r>
      <w:r w:rsidRPr="00761EF3">
        <w:rPr>
          <w:szCs w:val="22"/>
        </w:rPr>
        <w:t>6</w:t>
      </w:r>
      <w:r w:rsidRPr="00212D57">
        <w:rPr>
          <w:szCs w:val="22"/>
        </w:rPr>
        <w:t>.</w:t>
      </w:r>
      <w:r w:rsidRPr="00212D57">
        <w:rPr>
          <w:szCs w:val="22"/>
        </w:rPr>
        <w:t>消失，凋謝。</w:t>
      </w:r>
      <w:r w:rsidRPr="00761EF3">
        <w:rPr>
          <w:szCs w:val="22"/>
        </w:rPr>
        <w:t>8</w:t>
      </w:r>
      <w:r w:rsidRPr="00212D57">
        <w:rPr>
          <w:szCs w:val="22"/>
        </w:rPr>
        <w:t>.</w:t>
      </w:r>
      <w:r w:rsidRPr="00212D57">
        <w:rPr>
          <w:szCs w:val="22"/>
        </w:rPr>
        <w:t>衰敗，衰落。</w:t>
      </w:r>
    </w:p>
    <w:p w:rsidR="00157EF6" w:rsidRPr="00212D57" w:rsidRDefault="00157EF6" w:rsidP="0087687B">
      <w:pPr>
        <w:pStyle w:val="a5"/>
        <w:ind w:left="792" w:hangingChars="360" w:hanging="792"/>
        <w:jc w:val="right"/>
        <w:rPr>
          <w:rFonts w:eastAsia="SimSun"/>
          <w:szCs w:val="22"/>
        </w:rPr>
      </w:pPr>
      <w:r w:rsidRPr="00212D57">
        <w:rPr>
          <w:szCs w:val="22"/>
        </w:rPr>
        <w:t>（《漢</w:t>
      </w:r>
      <w:r w:rsidRPr="00212D57">
        <w:rPr>
          <w:rFonts w:ascii="Times Ext Roman" w:hAnsi="Times Ext Roman" w:cs="Times Ext Roman" w:hint="eastAsia"/>
          <w:szCs w:val="22"/>
        </w:rPr>
        <w:t>語大詞典</w:t>
      </w:r>
      <w:r w:rsidRPr="00212D57">
        <w:rPr>
          <w:szCs w:val="22"/>
        </w:rPr>
        <w:t>》</w:t>
      </w:r>
      <w:r w:rsidRPr="00212D57">
        <w:rPr>
          <w:rFonts w:ascii="新細明體" w:hAnsi="新細明體" w:cs="Times Ext Roman" w:hint="eastAsia"/>
          <w:szCs w:val="22"/>
        </w:rPr>
        <w:t>（十一</w:t>
      </w:r>
      <w:r w:rsidRPr="00212D57">
        <w:rPr>
          <w:rFonts w:ascii="Times Ext Roman" w:hAnsi="Times Ext Roman" w:cs="Times Ext Roman" w:hint="eastAsia"/>
          <w:szCs w:val="22"/>
        </w:rPr>
        <w:t>），</w:t>
      </w:r>
      <w:r w:rsidRPr="00761EF3">
        <w:rPr>
          <w:rFonts w:hint="eastAsia"/>
          <w:szCs w:val="22"/>
        </w:rPr>
        <w:t>p</w:t>
      </w:r>
      <w:r w:rsidRPr="00212D57">
        <w:rPr>
          <w:rFonts w:hint="eastAsia"/>
          <w:szCs w:val="22"/>
        </w:rPr>
        <w:t>.</w:t>
      </w:r>
      <w:r w:rsidRPr="00761EF3">
        <w:rPr>
          <w:rFonts w:eastAsia="SimSun" w:hint="eastAsia"/>
          <w:szCs w:val="22"/>
        </w:rPr>
        <w:t>373</w:t>
      </w:r>
      <w:r w:rsidRPr="00212D57">
        <w:rPr>
          <w:rFonts w:ascii="Times Ext Roman" w:hAnsi="Times Ext Roman" w:cs="Times Ext Roman" w:hint="eastAsia"/>
          <w:szCs w:val="22"/>
        </w:rPr>
        <w:t>）</w:t>
      </w:r>
    </w:p>
    <w:p w:rsidR="00157EF6" w:rsidRPr="00212D57" w:rsidRDefault="00157EF6" w:rsidP="00B5316E">
      <w:pPr>
        <w:pStyle w:val="a5"/>
        <w:ind w:leftChars="105" w:left="791" w:hangingChars="245" w:hanging="539"/>
        <w:jc w:val="both"/>
        <w:rPr>
          <w:rFonts w:eastAsia="SimSun"/>
          <w:szCs w:val="22"/>
        </w:rPr>
      </w:pPr>
      <w:r w:rsidRPr="00212D57">
        <w:rPr>
          <w:rFonts w:ascii="新細明體" w:hAnsi="新細明體" w:hint="eastAsia"/>
          <w:szCs w:val="22"/>
        </w:rPr>
        <w:t>（</w:t>
      </w:r>
      <w:r w:rsidRPr="00761EF3">
        <w:rPr>
          <w:szCs w:val="22"/>
        </w:rPr>
        <w:t>2</w:t>
      </w:r>
      <w:r w:rsidRPr="00212D57">
        <w:rPr>
          <w:rFonts w:ascii="新細明體" w:hAnsi="新細明體" w:hint="eastAsia"/>
          <w:szCs w:val="22"/>
        </w:rPr>
        <w:t>）</w:t>
      </w:r>
      <w:r w:rsidRPr="00212D57">
        <w:rPr>
          <w:rFonts w:hint="eastAsia"/>
          <w:szCs w:val="22"/>
        </w:rPr>
        <w:t>入</w:t>
      </w:r>
      <w:r w:rsidRPr="00212D57">
        <w:rPr>
          <w:rFonts w:ascii="新細明體" w:hAnsi="新細明體" w:hint="eastAsia"/>
          <w:szCs w:val="22"/>
        </w:rPr>
        <w:t>：</w:t>
      </w:r>
      <w:r w:rsidRPr="00761EF3">
        <w:rPr>
          <w:rFonts w:eastAsia="SimSun" w:hint="eastAsia"/>
          <w:szCs w:val="22"/>
        </w:rPr>
        <w:t>1</w:t>
      </w:r>
      <w:r w:rsidRPr="00212D57">
        <w:rPr>
          <w:rFonts w:eastAsia="SimSun" w:hint="eastAsia"/>
          <w:szCs w:val="22"/>
        </w:rPr>
        <w:t>.</w:t>
      </w:r>
      <w:r w:rsidRPr="00212D57">
        <w:rPr>
          <w:rFonts w:ascii="新細明體" w:hAnsi="新細明體" w:cs="細明體" w:hint="eastAsia"/>
          <w:szCs w:val="22"/>
        </w:rPr>
        <w:t>進入</w:t>
      </w:r>
      <w:r w:rsidRPr="00212D57">
        <w:rPr>
          <w:rFonts w:ascii="新細明體" w:hAnsi="新細明體" w:hint="eastAsia"/>
          <w:szCs w:val="22"/>
        </w:rPr>
        <w:t>，由外至內。</w:t>
      </w:r>
      <w:r w:rsidRPr="00212D57">
        <w:rPr>
          <w:rFonts w:ascii="Times Ext Roman" w:hAnsi="Times Ext Roman" w:cs="Times Ext Roman" w:hint="eastAsia"/>
          <w:szCs w:val="22"/>
        </w:rPr>
        <w:t>（《漢語大詞典》（</w:t>
      </w:r>
      <w:r w:rsidRPr="00212D57">
        <w:rPr>
          <w:rFonts w:ascii="新細明體" w:hAnsi="新細明體" w:cs="Times Ext Roman" w:hint="eastAsia"/>
          <w:szCs w:val="22"/>
        </w:rPr>
        <w:t>一）</w:t>
      </w:r>
      <w:r w:rsidRPr="00212D57">
        <w:rPr>
          <w:rFonts w:ascii="Times Ext Roman" w:hAnsi="Times Ext Roman" w:cs="Times Ext Roman" w:hint="eastAsia"/>
          <w:szCs w:val="22"/>
        </w:rPr>
        <w:t>，</w:t>
      </w:r>
      <w:r w:rsidRPr="00761EF3">
        <w:rPr>
          <w:rFonts w:hint="eastAsia"/>
          <w:szCs w:val="22"/>
        </w:rPr>
        <w:t>p</w:t>
      </w:r>
      <w:r w:rsidRPr="00212D57">
        <w:rPr>
          <w:rFonts w:hint="eastAsia"/>
          <w:szCs w:val="22"/>
        </w:rPr>
        <w:t>.</w:t>
      </w:r>
      <w:r w:rsidRPr="00761EF3">
        <w:rPr>
          <w:szCs w:val="22"/>
        </w:rPr>
        <w:t>1</w:t>
      </w:r>
      <w:r w:rsidRPr="00761EF3">
        <w:rPr>
          <w:rFonts w:eastAsia="SimSun" w:hint="eastAsia"/>
          <w:szCs w:val="22"/>
        </w:rPr>
        <w:t>057</w:t>
      </w:r>
      <w:r w:rsidRPr="00212D57">
        <w:rPr>
          <w:rFonts w:ascii="Times Ext Roman" w:hAnsi="Times Ext Roman" w:cs="Times Ext Roman" w:hint="eastAsia"/>
          <w:szCs w:val="22"/>
        </w:rPr>
        <w:t>）</w:t>
      </w:r>
    </w:p>
  </w:footnote>
  <w:footnote w:id="502">
    <w:p w:rsidR="00157EF6" w:rsidRPr="00212D57" w:rsidRDefault="00157EF6" w:rsidP="00B5316E">
      <w:pPr>
        <w:pStyle w:val="a5"/>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《成唯識論》卷</w:t>
      </w:r>
      <w:r w:rsidRPr="00761EF3">
        <w:rPr>
          <w:szCs w:val="22"/>
        </w:rPr>
        <w:t>2</w:t>
      </w:r>
      <w:r w:rsidRPr="00212D57">
        <w:rPr>
          <w:szCs w:val="22"/>
        </w:rPr>
        <w:t>（大正</w:t>
      </w:r>
      <w:r w:rsidRPr="00761EF3">
        <w:rPr>
          <w:szCs w:val="22"/>
        </w:rPr>
        <w:t>31</w:t>
      </w:r>
      <w:r w:rsidRPr="00212D57">
        <w:rPr>
          <w:szCs w:val="22"/>
        </w:rPr>
        <w:t>，</w:t>
      </w:r>
      <w:r w:rsidRPr="00761EF3">
        <w:rPr>
          <w:szCs w:val="22"/>
        </w:rPr>
        <w:t>10a2</w:t>
      </w:r>
      <w:r w:rsidRPr="00212D57">
        <w:rPr>
          <w:szCs w:val="22"/>
        </w:rPr>
        <w:t>-</w:t>
      </w:r>
      <w:r w:rsidRPr="00761EF3">
        <w:rPr>
          <w:rFonts w:hint="eastAsia"/>
          <w:szCs w:val="22"/>
        </w:rPr>
        <w:t>7</w:t>
      </w:r>
      <w:r w:rsidRPr="00212D57">
        <w:rPr>
          <w:szCs w:val="22"/>
        </w:rPr>
        <w:t>）</w:t>
      </w:r>
      <w:r w:rsidRPr="00212D57">
        <w:rPr>
          <w:rFonts w:hint="eastAsia"/>
          <w:szCs w:val="22"/>
        </w:rPr>
        <w:t>：</w:t>
      </w:r>
    </w:p>
    <w:p w:rsidR="00157EF6" w:rsidRPr="00212D57" w:rsidRDefault="00157EF6" w:rsidP="00B5316E">
      <w:pPr>
        <w:pStyle w:val="a5"/>
        <w:ind w:leftChars="105" w:left="252"/>
        <w:jc w:val="both"/>
        <w:rPr>
          <w:rFonts w:ascii="標楷體" w:eastAsia="標楷體" w:hAnsi="標楷體"/>
          <w:szCs w:val="22"/>
        </w:rPr>
      </w:pPr>
      <w:r w:rsidRPr="00212D57">
        <w:rPr>
          <w:rFonts w:ascii="標楷體" w:eastAsia="標楷體" w:hAnsi="標楷體"/>
          <w:szCs w:val="22"/>
        </w:rPr>
        <w:t>如是能熏與所熏</w:t>
      </w:r>
      <w:r w:rsidRPr="00FB6662">
        <w:rPr>
          <w:rFonts w:ascii="標楷體" w:eastAsia="標楷體" w:hAnsi="標楷體"/>
          <w:szCs w:val="22"/>
          <w:highlight w:val="yellow"/>
        </w:rPr>
        <w:t>識俱</w:t>
      </w:r>
      <w:r w:rsidRPr="00212D57">
        <w:rPr>
          <w:rFonts w:ascii="標楷體" w:eastAsia="標楷體" w:hAnsi="標楷體"/>
          <w:szCs w:val="22"/>
        </w:rPr>
        <w:t>生俱滅</w:t>
      </w:r>
      <w:r w:rsidR="00FB6662">
        <w:rPr>
          <w:rFonts w:ascii="標楷體" w:eastAsia="標楷體" w:hAnsi="標楷體" w:hint="eastAsia"/>
          <w:color w:val="FF0000"/>
          <w:kern w:val="0"/>
          <w:highlight w:val="yellow"/>
        </w:rPr>
        <w:t>，</w:t>
      </w:r>
      <w:r w:rsidR="00FB6662">
        <w:rPr>
          <w:rFonts w:ascii="標楷體" w:eastAsia="標楷體" w:hAnsi="標楷體" w:hint="eastAsia"/>
          <w:bCs/>
          <w:color w:val="FF0000"/>
          <w:kern w:val="0"/>
          <w:highlight w:val="yellow"/>
        </w:rPr>
        <w:t>「</w:t>
      </w:r>
      <w:r w:rsidRPr="00212D57">
        <w:rPr>
          <w:rFonts w:ascii="標楷體" w:eastAsia="標楷體" w:hAnsi="標楷體"/>
          <w:szCs w:val="22"/>
        </w:rPr>
        <w:t>熏習</w:t>
      </w:r>
      <w:r w:rsidR="00FB6662">
        <w:rPr>
          <w:rFonts w:ascii="標楷體" w:eastAsia="標楷體" w:hAnsi="標楷體" w:hint="eastAsia"/>
          <w:bCs/>
          <w:color w:val="FF0000"/>
          <w:kern w:val="0"/>
          <w:highlight w:val="yellow"/>
        </w:rPr>
        <w:t>」</w:t>
      </w:r>
      <w:r w:rsidRPr="00212D57">
        <w:rPr>
          <w:rFonts w:ascii="標楷體" w:eastAsia="標楷體" w:hAnsi="標楷體"/>
          <w:szCs w:val="22"/>
        </w:rPr>
        <w:t>義成</w:t>
      </w:r>
      <w:r w:rsidRPr="00212D57">
        <w:rPr>
          <w:rFonts w:ascii="標楷體" w:eastAsia="標楷體" w:hAnsi="標楷體" w:hint="eastAsia"/>
          <w:szCs w:val="22"/>
        </w:rPr>
        <w:t>，</w:t>
      </w:r>
      <w:r w:rsidRPr="00212D57">
        <w:rPr>
          <w:rFonts w:ascii="標楷體" w:eastAsia="標楷體" w:hAnsi="標楷體"/>
          <w:szCs w:val="22"/>
        </w:rPr>
        <w:t>令所熏中種子生長</w:t>
      </w:r>
      <w:r w:rsidR="00FB6662">
        <w:rPr>
          <w:rFonts w:ascii="標楷體" w:eastAsia="標楷體" w:hAnsi="標楷體" w:hint="eastAsia"/>
          <w:color w:val="FF0000"/>
          <w:kern w:val="0"/>
          <w:highlight w:val="yellow"/>
        </w:rPr>
        <w:t>，</w:t>
      </w:r>
      <w:r w:rsidRPr="00212D57">
        <w:rPr>
          <w:rFonts w:ascii="標楷體" w:eastAsia="標楷體" w:hAnsi="標楷體"/>
          <w:szCs w:val="22"/>
        </w:rPr>
        <w:t>如熏苣蕂，故名</w:t>
      </w:r>
      <w:r w:rsidR="00FB6662">
        <w:rPr>
          <w:rFonts w:ascii="標楷體" w:eastAsia="標楷體" w:hAnsi="標楷體" w:hint="eastAsia"/>
          <w:bCs/>
          <w:color w:val="FF0000"/>
          <w:kern w:val="0"/>
          <w:highlight w:val="yellow"/>
        </w:rPr>
        <w:t>「</w:t>
      </w:r>
      <w:r w:rsidRPr="00212D57">
        <w:rPr>
          <w:rFonts w:ascii="標楷體" w:eastAsia="標楷體" w:hAnsi="標楷體"/>
          <w:szCs w:val="22"/>
        </w:rPr>
        <w:t>熏習</w:t>
      </w:r>
      <w:r w:rsidR="00FB6662">
        <w:rPr>
          <w:rFonts w:ascii="標楷體" w:eastAsia="標楷體" w:hAnsi="標楷體" w:hint="eastAsia"/>
          <w:bCs/>
          <w:color w:val="FF0000"/>
          <w:kern w:val="0"/>
          <w:highlight w:val="yellow"/>
        </w:rPr>
        <w:t>」</w:t>
      </w:r>
      <w:r w:rsidRPr="00212D57">
        <w:rPr>
          <w:rFonts w:ascii="標楷體" w:eastAsia="標楷體" w:hAnsi="標楷體"/>
          <w:szCs w:val="22"/>
        </w:rPr>
        <w:t>。</w:t>
      </w:r>
      <w:r w:rsidRPr="00212D57">
        <w:rPr>
          <w:rFonts w:ascii="標楷體" w:eastAsia="標楷體" w:hAnsi="標楷體"/>
          <w:b/>
          <w:szCs w:val="22"/>
        </w:rPr>
        <w:t>能熏識等從種生時，即能為因</w:t>
      </w:r>
      <w:r w:rsidR="00FB6662">
        <w:rPr>
          <w:rFonts w:ascii="標楷體" w:eastAsia="標楷體" w:hAnsi="標楷體" w:hint="eastAsia"/>
          <w:color w:val="FF0000"/>
          <w:kern w:val="0"/>
          <w:highlight w:val="yellow"/>
        </w:rPr>
        <w:t>，</w:t>
      </w:r>
      <w:r w:rsidRPr="00212D57">
        <w:rPr>
          <w:rFonts w:ascii="標楷體" w:eastAsia="標楷體" w:hAnsi="標楷體"/>
          <w:b/>
          <w:szCs w:val="22"/>
        </w:rPr>
        <w:t>復熏成種</w:t>
      </w:r>
      <w:r w:rsidR="00FB6662">
        <w:rPr>
          <w:rFonts w:ascii="標楷體" w:eastAsia="標楷體" w:hAnsi="標楷體" w:hint="eastAsia"/>
          <w:color w:val="FF0000"/>
          <w:kern w:val="0"/>
          <w:highlight w:val="yellow"/>
        </w:rPr>
        <w:t>──</w:t>
      </w:r>
      <w:r w:rsidRPr="00212D57">
        <w:rPr>
          <w:rFonts w:ascii="標楷體" w:eastAsia="標楷體" w:hAnsi="標楷體"/>
          <w:b/>
          <w:szCs w:val="22"/>
        </w:rPr>
        <w:t>三法展轉</w:t>
      </w:r>
      <w:r w:rsidRPr="00212D57">
        <w:rPr>
          <w:rFonts w:ascii="標楷體" w:eastAsia="標楷體" w:hAnsi="標楷體" w:hint="eastAsia"/>
          <w:b/>
          <w:szCs w:val="22"/>
        </w:rPr>
        <w:t>，</w:t>
      </w:r>
      <w:r w:rsidRPr="00212D57">
        <w:rPr>
          <w:rFonts w:ascii="標楷體" w:eastAsia="標楷體" w:hAnsi="標楷體"/>
          <w:b/>
          <w:szCs w:val="22"/>
        </w:rPr>
        <w:t>因果同時</w:t>
      </w:r>
      <w:r w:rsidR="00FB6662">
        <w:rPr>
          <w:rFonts w:ascii="標楷體" w:eastAsia="標楷體" w:hAnsi="標楷體" w:hint="eastAsia"/>
          <w:color w:val="FF0000"/>
          <w:spacing w:val="-4"/>
          <w:kern w:val="0"/>
          <w:highlight w:val="yellow"/>
        </w:rPr>
        <w:t>；</w:t>
      </w:r>
      <w:r w:rsidRPr="00212D57">
        <w:rPr>
          <w:rFonts w:ascii="標楷體" w:eastAsia="標楷體" w:hAnsi="標楷體"/>
          <w:szCs w:val="22"/>
        </w:rPr>
        <w:t>如炷生焰</w:t>
      </w:r>
      <w:r w:rsidRPr="00212D57">
        <w:rPr>
          <w:rFonts w:ascii="標楷體" w:eastAsia="標楷體" w:hAnsi="標楷體" w:hint="eastAsia"/>
          <w:szCs w:val="22"/>
        </w:rPr>
        <w:t>，</w:t>
      </w:r>
      <w:r w:rsidRPr="00212D57">
        <w:rPr>
          <w:rFonts w:ascii="標楷體" w:eastAsia="標楷體" w:hAnsi="標楷體"/>
          <w:szCs w:val="22"/>
        </w:rPr>
        <w:t>焰生焦炷</w:t>
      </w:r>
      <w:r w:rsidR="00FB6662">
        <w:rPr>
          <w:rFonts w:ascii="標楷體" w:eastAsia="標楷體" w:hAnsi="標楷體" w:hint="eastAsia"/>
          <w:color w:val="FF0000"/>
          <w:spacing w:val="-4"/>
          <w:kern w:val="0"/>
          <w:highlight w:val="yellow"/>
        </w:rPr>
        <w:t>；</w:t>
      </w:r>
      <w:r w:rsidRPr="00212D57">
        <w:rPr>
          <w:rFonts w:ascii="標楷體" w:eastAsia="標楷體" w:hAnsi="標楷體"/>
          <w:szCs w:val="22"/>
        </w:rPr>
        <w:t>亦如蘆束更互相依</w:t>
      </w:r>
      <w:r w:rsidR="00FB6662">
        <w:rPr>
          <w:rFonts w:ascii="標楷體" w:eastAsia="標楷體" w:hAnsi="標楷體" w:hint="eastAsia"/>
          <w:color w:val="FF0000"/>
          <w:kern w:val="0"/>
          <w:highlight w:val="yellow"/>
        </w:rPr>
        <w:t>。</w:t>
      </w:r>
      <w:r w:rsidRPr="00212D57">
        <w:rPr>
          <w:rFonts w:ascii="標楷體" w:eastAsia="標楷體" w:hAnsi="標楷體"/>
          <w:szCs w:val="22"/>
        </w:rPr>
        <w:t>因果俱時</w:t>
      </w:r>
      <w:r w:rsidR="00FB6662">
        <w:rPr>
          <w:rFonts w:ascii="標楷體" w:eastAsia="標楷體" w:hAnsi="標楷體" w:hint="eastAsia"/>
          <w:color w:val="FF0000"/>
          <w:kern w:val="0"/>
          <w:highlight w:val="yellow"/>
        </w:rPr>
        <w:t>，</w:t>
      </w:r>
      <w:r w:rsidRPr="00212D57">
        <w:rPr>
          <w:rFonts w:ascii="標楷體" w:eastAsia="標楷體" w:hAnsi="標楷體"/>
          <w:szCs w:val="22"/>
        </w:rPr>
        <w:t>理不傾動。</w:t>
      </w:r>
    </w:p>
  </w:footnote>
  <w:footnote w:id="503">
    <w:p w:rsidR="00157EF6" w:rsidRPr="00212D57" w:rsidRDefault="00157EF6" w:rsidP="00B5316E">
      <w:pPr>
        <w:pStyle w:val="a5"/>
        <w:ind w:left="792" w:hangingChars="360" w:hanging="792"/>
        <w:jc w:val="both"/>
        <w:rPr>
          <w:rFonts w:eastAsia="SimSun"/>
          <w:szCs w:val="22"/>
        </w:rPr>
      </w:pPr>
      <w:r w:rsidRPr="00212D57">
        <w:rPr>
          <w:rStyle w:val="a6"/>
          <w:szCs w:val="22"/>
        </w:rPr>
        <w:footnoteRef/>
      </w:r>
      <w:r w:rsidRPr="00212D57">
        <w:rPr>
          <w:rFonts w:ascii="新細明體" w:hAnsi="新細明體" w:hint="eastAsia"/>
          <w:szCs w:val="22"/>
        </w:rPr>
        <w:t xml:space="preserve"> （</w:t>
      </w:r>
      <w:r w:rsidRPr="00761EF3">
        <w:rPr>
          <w:szCs w:val="22"/>
        </w:rPr>
        <w:t>1</w:t>
      </w:r>
      <w:r w:rsidRPr="00212D57">
        <w:rPr>
          <w:rFonts w:ascii="新細明體" w:hAnsi="新細明體" w:hint="eastAsia"/>
          <w:szCs w:val="22"/>
        </w:rPr>
        <w:t>）</w:t>
      </w:r>
      <w:r w:rsidRPr="00212D57">
        <w:rPr>
          <w:rFonts w:hint="eastAsia"/>
          <w:szCs w:val="22"/>
        </w:rPr>
        <w:t>《成唯識論》卷</w:t>
      </w:r>
      <w:r w:rsidRPr="00761EF3">
        <w:rPr>
          <w:rFonts w:hint="eastAsia"/>
          <w:szCs w:val="22"/>
        </w:rPr>
        <w:t>3</w:t>
      </w:r>
      <w:r w:rsidRPr="00212D57">
        <w:rPr>
          <w:rFonts w:hint="eastAsia"/>
          <w:szCs w:val="22"/>
        </w:rPr>
        <w:t>（大正</w:t>
      </w:r>
      <w:r w:rsidRPr="00761EF3">
        <w:rPr>
          <w:rFonts w:hint="eastAsia"/>
          <w:szCs w:val="22"/>
        </w:rPr>
        <w:t>31</w:t>
      </w:r>
      <w:r w:rsidRPr="00212D57">
        <w:rPr>
          <w:rFonts w:hint="eastAsia"/>
          <w:szCs w:val="22"/>
        </w:rPr>
        <w:t>，</w:t>
      </w:r>
      <w:r w:rsidRPr="00761EF3">
        <w:rPr>
          <w:rFonts w:hint="eastAsia"/>
          <w:szCs w:val="22"/>
        </w:rPr>
        <w:t>12c19</w:t>
      </w:r>
      <w:r w:rsidRPr="00212D57">
        <w:rPr>
          <w:rFonts w:hint="eastAsia"/>
          <w:szCs w:val="22"/>
        </w:rPr>
        <w:t>-</w:t>
      </w:r>
      <w:r w:rsidRPr="00761EF3">
        <w:rPr>
          <w:rFonts w:hint="eastAsia"/>
          <w:szCs w:val="22"/>
        </w:rPr>
        <w:t>21</w:t>
      </w:r>
      <w:r w:rsidRPr="00212D57">
        <w:rPr>
          <w:rFonts w:hint="eastAsia"/>
          <w:szCs w:val="22"/>
        </w:rPr>
        <w:t>）。</w:t>
      </w:r>
    </w:p>
    <w:p w:rsidR="00157EF6" w:rsidRPr="00212D57" w:rsidRDefault="00157EF6" w:rsidP="00B5316E">
      <w:pPr>
        <w:pStyle w:val="a5"/>
        <w:ind w:leftChars="105" w:left="791" w:hangingChars="245" w:hanging="539"/>
        <w:jc w:val="both"/>
        <w:rPr>
          <w:rFonts w:ascii="新細明體" w:hAnsi="新細明體"/>
          <w:szCs w:val="22"/>
        </w:rPr>
      </w:pPr>
      <w:r w:rsidRPr="00212D57">
        <w:rPr>
          <w:rFonts w:ascii="新細明體" w:hAnsi="新細明體" w:hint="eastAsia"/>
          <w:szCs w:val="22"/>
        </w:rPr>
        <w:t>（</w:t>
      </w:r>
      <w:r w:rsidRPr="00761EF3">
        <w:rPr>
          <w:szCs w:val="22"/>
        </w:rPr>
        <w:t>2</w:t>
      </w:r>
      <w:r w:rsidRPr="00212D57">
        <w:rPr>
          <w:rFonts w:ascii="新細明體" w:hAnsi="新細明體" w:hint="eastAsia"/>
          <w:szCs w:val="22"/>
        </w:rPr>
        <w:t>）參見</w:t>
      </w:r>
      <w:r w:rsidR="0098751B">
        <w:rPr>
          <w:rFonts w:ascii="新細明體" w:hAnsi="新細明體" w:hint="eastAsia"/>
          <w:szCs w:val="22"/>
        </w:rPr>
        <w:t>：</w:t>
      </w:r>
      <w:r w:rsidRPr="00212D57">
        <w:rPr>
          <w:rFonts w:ascii="新細明體" w:hAnsi="新細明體" w:hint="eastAsia"/>
          <w:szCs w:val="22"/>
        </w:rPr>
        <w:t>演培</w:t>
      </w:r>
      <w:r w:rsidRPr="00212D57">
        <w:rPr>
          <w:rStyle w:val="byline"/>
          <w:rFonts w:hint="eastAsia"/>
          <w:color w:val="auto"/>
          <w:sz w:val="22"/>
          <w:szCs w:val="22"/>
        </w:rPr>
        <w:t>法師</w:t>
      </w:r>
      <w:r w:rsidRPr="00212D57">
        <w:rPr>
          <w:rFonts w:ascii="新細明體" w:hAnsi="新細明體" w:hint="eastAsia"/>
          <w:szCs w:val="22"/>
        </w:rPr>
        <w:t>，《成唯識論講記》（二），演培法師全集出版委員會</w:t>
      </w:r>
      <w:r w:rsidRPr="00212D57">
        <w:rPr>
          <w:szCs w:val="22"/>
        </w:rPr>
        <w:t>，</w:t>
      </w:r>
      <w:r w:rsidRPr="00761EF3">
        <w:rPr>
          <w:szCs w:val="22"/>
        </w:rPr>
        <w:t>2006</w:t>
      </w:r>
      <w:r w:rsidRPr="00212D57">
        <w:rPr>
          <w:szCs w:val="22"/>
        </w:rPr>
        <w:t>年</w:t>
      </w:r>
      <w:r w:rsidRPr="00761EF3">
        <w:rPr>
          <w:szCs w:val="22"/>
        </w:rPr>
        <w:t>1</w:t>
      </w:r>
      <w:r w:rsidRPr="00212D57">
        <w:rPr>
          <w:szCs w:val="22"/>
        </w:rPr>
        <w:t>月新版一刷，</w:t>
      </w:r>
      <w:r w:rsidRPr="00761EF3">
        <w:rPr>
          <w:szCs w:val="22"/>
        </w:rPr>
        <w:t>p</w:t>
      </w:r>
      <w:r w:rsidRPr="00761EF3">
        <w:rPr>
          <w:rFonts w:hint="eastAsia"/>
          <w:szCs w:val="22"/>
        </w:rPr>
        <w:t>p</w:t>
      </w:r>
      <w:r w:rsidRPr="00212D57">
        <w:rPr>
          <w:szCs w:val="22"/>
        </w:rPr>
        <w:t>.</w:t>
      </w:r>
      <w:r w:rsidRPr="00761EF3">
        <w:rPr>
          <w:szCs w:val="22"/>
        </w:rPr>
        <w:t>85</w:t>
      </w:r>
      <w:r w:rsidRPr="00212D57">
        <w:rPr>
          <w:rFonts w:hint="eastAsia"/>
          <w:szCs w:val="22"/>
        </w:rPr>
        <w:t>-</w:t>
      </w:r>
      <w:r w:rsidRPr="00761EF3">
        <w:rPr>
          <w:szCs w:val="22"/>
        </w:rPr>
        <w:t>86</w:t>
      </w:r>
      <w:r w:rsidRPr="00212D57">
        <w:rPr>
          <w:rFonts w:ascii="新細明體" w:hAnsi="新細明體" w:hint="eastAsia"/>
          <w:szCs w:val="22"/>
        </w:rPr>
        <w:t>：</w:t>
      </w:r>
    </w:p>
    <w:p w:rsidR="00157EF6" w:rsidRPr="007A4432" w:rsidRDefault="00157EF6" w:rsidP="00B5316E">
      <w:pPr>
        <w:pStyle w:val="a5"/>
        <w:ind w:leftChars="335" w:left="804"/>
        <w:jc w:val="both"/>
        <w:rPr>
          <w:rFonts w:ascii="標楷體" w:eastAsia="標楷體" w:hAnsi="標楷體"/>
          <w:szCs w:val="22"/>
        </w:rPr>
      </w:pPr>
      <w:r w:rsidRPr="00212D57">
        <w:rPr>
          <w:rFonts w:ascii="標楷體" w:eastAsia="標楷體" w:hAnsi="標楷體" w:hint="eastAsia"/>
          <w:szCs w:val="22"/>
        </w:rPr>
        <w:t>因滅果生，是約現在「前因滅」的階「位，後」念「果」法「即生」，於其中間沒有任何東西的間隔，亦即其生滅沒有前後兩剎那，而是在同一剎那</w:t>
      </w:r>
      <w:r w:rsidRPr="007A4432">
        <w:rPr>
          <w:rFonts w:ascii="標楷體" w:eastAsia="標楷體" w:hAnsi="標楷體" w:hint="eastAsia"/>
          <w:szCs w:val="22"/>
        </w:rPr>
        <w:t>生滅的，是為因果不斷，並不是要待前因滅盡，方有後果的生起。假定是待因滅，而後才有果生，自可說為斷滅，現在因果是同時的，種現是相生的，根本沒有前後可得，怎麼可以成為斷滅？</w:t>
      </w:r>
    </w:p>
    <w:p w:rsidR="00157EF6" w:rsidRPr="007A4432" w:rsidRDefault="00157EF6" w:rsidP="00B5316E">
      <w:pPr>
        <w:pStyle w:val="a5"/>
        <w:ind w:leftChars="335" w:left="804"/>
        <w:jc w:val="both"/>
        <w:rPr>
          <w:rFonts w:ascii="標楷體" w:eastAsia="標楷體" w:hAnsi="標楷體"/>
          <w:szCs w:val="22"/>
        </w:rPr>
      </w:pPr>
      <w:r w:rsidRPr="007A4432">
        <w:rPr>
          <w:rFonts w:ascii="標楷體" w:eastAsia="標楷體" w:hAnsi="標楷體" w:hint="eastAsia"/>
          <w:szCs w:val="22"/>
        </w:rPr>
        <w:t>這個道理，舉例來說：好像用秤來秤東西，這頭低下去的時候，就是那頭昂起來的時候，既不是先低後高，亦不是先高後低，而是高低同時的，所以說「如秤兩頭低昂時等」。這種道理非常淺顯，相信任何人都知道。</w:t>
      </w:r>
    </w:p>
    <w:p w:rsidR="00157EF6" w:rsidRPr="00212D57" w:rsidRDefault="00157EF6" w:rsidP="00B5316E">
      <w:pPr>
        <w:pStyle w:val="a5"/>
        <w:ind w:leftChars="335" w:left="804"/>
        <w:jc w:val="both"/>
        <w:rPr>
          <w:rFonts w:ascii="新細明體" w:eastAsia="SimSun" w:hAnsi="新細明體"/>
          <w:szCs w:val="22"/>
        </w:rPr>
      </w:pPr>
      <w:r w:rsidRPr="007A4432">
        <w:rPr>
          <w:rFonts w:ascii="標楷體" w:eastAsia="標楷體" w:hAnsi="標楷體" w:hint="eastAsia"/>
          <w:szCs w:val="22"/>
        </w:rPr>
        <w:t>為什麼要這樣講？以諸種子與第八識是俱生俱滅的，為了互相影略，所以前但說為因滅</w:t>
      </w:r>
      <w:r w:rsidRPr="00212D57">
        <w:rPr>
          <w:rFonts w:ascii="標楷體" w:eastAsia="標楷體" w:hAnsi="標楷體" w:hint="eastAsia"/>
          <w:szCs w:val="22"/>
        </w:rPr>
        <w:t>，後但說為果生，而實是因果同時的。亦即前念現種因果滅位，後念現種因果生位。如果再說清楚點：秤就是比喻本識，兩頭比喻因果。低昂比喻生滅。時等比喻剎那不異。「如是」阿賴耶識中的種子生現行，現行熏種子的「因果」生滅，不斷不常的「相續」，猶「如」暴「流」一樣的無有間斷，「何」必要「假」過「去」未「來」的實有，「方」能「成」立因果「非斷」？不藉過去未來的實有，因果同樣是可相續不斷的。</w:t>
      </w:r>
    </w:p>
  </w:footnote>
  <w:footnote w:id="504">
    <w:p w:rsidR="00455E54" w:rsidRPr="00212D57" w:rsidRDefault="00455E54" w:rsidP="00455E54">
      <w:pPr>
        <w:pStyle w:val="a5"/>
        <w:ind w:left="792" w:hangingChars="360" w:hanging="792"/>
        <w:jc w:val="both"/>
        <w:rPr>
          <w:szCs w:val="22"/>
        </w:rPr>
      </w:pPr>
      <w:r w:rsidRPr="00212D57">
        <w:rPr>
          <w:rStyle w:val="a6"/>
          <w:szCs w:val="22"/>
        </w:rPr>
        <w:footnoteRef/>
      </w:r>
      <w:r w:rsidRPr="00212D57">
        <w:rPr>
          <w:rFonts w:hint="eastAsia"/>
          <w:szCs w:val="22"/>
        </w:rPr>
        <w:t xml:space="preserve"> </w:t>
      </w:r>
      <w:r w:rsidRPr="00212D57">
        <w:rPr>
          <w:szCs w:val="22"/>
        </w:rPr>
        <w:t>（</w:t>
      </w:r>
      <w:r w:rsidRPr="00761EF3">
        <w:rPr>
          <w:szCs w:val="22"/>
        </w:rPr>
        <w:t>1</w:t>
      </w:r>
      <w:r w:rsidRPr="00212D57">
        <w:rPr>
          <w:szCs w:val="22"/>
        </w:rPr>
        <w:t>）參見《中論》卷</w:t>
      </w:r>
      <w:r w:rsidRPr="00761EF3">
        <w:rPr>
          <w:szCs w:val="22"/>
        </w:rPr>
        <w:t>3</w:t>
      </w:r>
      <w:r w:rsidRPr="00212D57">
        <w:rPr>
          <w:szCs w:val="22"/>
        </w:rPr>
        <w:t>〈</w:t>
      </w:r>
      <w:r w:rsidRPr="00761EF3">
        <w:rPr>
          <w:szCs w:val="22"/>
        </w:rPr>
        <w:t>15</w:t>
      </w:r>
      <w:r w:rsidRPr="00212D57">
        <w:rPr>
          <w:szCs w:val="22"/>
        </w:rPr>
        <w:t xml:space="preserve"> </w:t>
      </w:r>
      <w:r w:rsidRPr="00212D57">
        <w:rPr>
          <w:szCs w:val="22"/>
        </w:rPr>
        <w:t>觀有無品〉（大正</w:t>
      </w:r>
      <w:r w:rsidRPr="00761EF3">
        <w:rPr>
          <w:rFonts w:eastAsia="SimSun"/>
          <w:szCs w:val="22"/>
        </w:rPr>
        <w:t>30</w:t>
      </w:r>
      <w:r w:rsidRPr="00212D57">
        <w:rPr>
          <w:szCs w:val="22"/>
        </w:rPr>
        <w:t>，</w:t>
      </w:r>
      <w:r w:rsidRPr="00761EF3">
        <w:rPr>
          <w:szCs w:val="22"/>
        </w:rPr>
        <w:t>20b17</w:t>
      </w:r>
      <w:r w:rsidRPr="00212D57">
        <w:rPr>
          <w:szCs w:val="22"/>
        </w:rPr>
        <w:t>-</w:t>
      </w:r>
      <w:r w:rsidRPr="00761EF3">
        <w:rPr>
          <w:szCs w:val="22"/>
        </w:rPr>
        <w:t>27</w:t>
      </w:r>
      <w:r w:rsidRPr="00212D57">
        <w:rPr>
          <w:szCs w:val="22"/>
        </w:rPr>
        <w:t>）：</w:t>
      </w:r>
    </w:p>
    <w:p w:rsidR="00455E54" w:rsidRPr="00212D57" w:rsidRDefault="00455E54" w:rsidP="00455E54">
      <w:pPr>
        <w:snapToGrid w:val="0"/>
        <w:ind w:leftChars="335" w:left="804"/>
        <w:jc w:val="both"/>
        <w:rPr>
          <w:rFonts w:eastAsia="標楷體"/>
          <w:sz w:val="22"/>
          <w:szCs w:val="22"/>
        </w:rPr>
      </w:pPr>
      <w:r w:rsidRPr="00212D57">
        <w:rPr>
          <w:rFonts w:eastAsia="標楷體"/>
          <w:sz w:val="22"/>
          <w:szCs w:val="22"/>
        </w:rPr>
        <w:t>定有則著常，定無則著斷；是故有智者，不應著有</w:t>
      </w:r>
      <w:r w:rsidR="0098751B">
        <w:rPr>
          <w:rFonts w:ascii="標楷體" w:eastAsia="標楷體" w:hAnsi="標楷體" w:hint="eastAsia"/>
          <w:color w:val="FF0000"/>
          <w:kern w:val="0"/>
          <w:sz w:val="22"/>
          <w:highlight w:val="yellow"/>
        </w:rPr>
        <w:t>.</w:t>
      </w:r>
      <w:r w:rsidRPr="00212D57">
        <w:rPr>
          <w:rFonts w:eastAsia="標楷體"/>
          <w:sz w:val="22"/>
          <w:szCs w:val="22"/>
        </w:rPr>
        <w:t>無。</w:t>
      </w:r>
    </w:p>
    <w:p w:rsidR="00455E54" w:rsidRPr="00212D57" w:rsidRDefault="00455E54" w:rsidP="00455E54">
      <w:pPr>
        <w:snapToGrid w:val="0"/>
        <w:ind w:leftChars="335" w:left="804"/>
        <w:jc w:val="both"/>
        <w:rPr>
          <w:sz w:val="22"/>
          <w:szCs w:val="22"/>
        </w:rPr>
      </w:pPr>
      <w:r w:rsidRPr="00212D57">
        <w:rPr>
          <w:rFonts w:eastAsia="標楷體"/>
          <w:sz w:val="22"/>
          <w:szCs w:val="22"/>
        </w:rPr>
        <w:t>若法有定性，非無則是常；先有而今無，是則為斷滅。</w:t>
      </w:r>
    </w:p>
    <w:p w:rsidR="00455E54" w:rsidRPr="00212D57" w:rsidRDefault="00455E54" w:rsidP="00455E54">
      <w:pPr>
        <w:pStyle w:val="a5"/>
        <w:ind w:leftChars="105" w:left="791" w:hangingChars="245" w:hanging="539"/>
        <w:jc w:val="both"/>
        <w:rPr>
          <w:szCs w:val="22"/>
        </w:rPr>
      </w:pPr>
      <w:r w:rsidRPr="00212D57">
        <w:rPr>
          <w:szCs w:val="22"/>
        </w:rPr>
        <w:t>（</w:t>
      </w:r>
      <w:r w:rsidRPr="00761EF3">
        <w:rPr>
          <w:szCs w:val="22"/>
        </w:rPr>
        <w:t>2</w:t>
      </w:r>
      <w:r w:rsidRPr="00212D57">
        <w:rPr>
          <w:szCs w:val="22"/>
        </w:rPr>
        <w:t>）</w:t>
      </w:r>
      <w:r w:rsidR="009160B5">
        <w:rPr>
          <w:szCs w:val="22"/>
        </w:rPr>
        <w:t>參見：印</w:t>
      </w:r>
      <w:r w:rsidRPr="00212D57">
        <w:rPr>
          <w:szCs w:val="22"/>
        </w:rPr>
        <w:t>順法師，《中觀論頌講記》，</w:t>
      </w:r>
      <w:r w:rsidRPr="00761EF3">
        <w:rPr>
          <w:szCs w:val="22"/>
        </w:rPr>
        <w:t>pp</w:t>
      </w:r>
      <w:r w:rsidRPr="00212D57">
        <w:rPr>
          <w:szCs w:val="22"/>
        </w:rPr>
        <w:t>.</w:t>
      </w:r>
      <w:r w:rsidRPr="00761EF3">
        <w:rPr>
          <w:szCs w:val="22"/>
        </w:rPr>
        <w:t>256</w:t>
      </w:r>
      <w:r w:rsidRPr="00212D57">
        <w:rPr>
          <w:szCs w:val="22"/>
        </w:rPr>
        <w:t>-</w:t>
      </w:r>
      <w:r w:rsidRPr="00761EF3">
        <w:rPr>
          <w:szCs w:val="22"/>
        </w:rPr>
        <w:t>257</w:t>
      </w:r>
      <w:r w:rsidRPr="00212D57">
        <w:rPr>
          <w:szCs w:val="22"/>
        </w:rPr>
        <w:t>：</w:t>
      </w:r>
    </w:p>
    <w:p w:rsidR="00455E54" w:rsidRPr="00212D57" w:rsidRDefault="00455E54" w:rsidP="00455E54">
      <w:pPr>
        <w:snapToGrid w:val="0"/>
        <w:ind w:leftChars="335" w:left="804"/>
        <w:jc w:val="both"/>
        <w:rPr>
          <w:rFonts w:ascii="標楷體" w:eastAsia="標楷體" w:hAnsi="標楷體"/>
          <w:b/>
          <w:sz w:val="22"/>
          <w:szCs w:val="22"/>
        </w:rPr>
      </w:pPr>
      <w:r w:rsidRPr="00212D57">
        <w:rPr>
          <w:rFonts w:ascii="標楷體" w:eastAsia="標楷體" w:hAnsi="標楷體" w:hint="eastAsia"/>
          <w:b/>
          <w:sz w:val="22"/>
          <w:szCs w:val="22"/>
        </w:rPr>
        <w:t>定有則著常，定無則著斷；是故有智者，不應著有無。</w:t>
      </w:r>
    </w:p>
    <w:p w:rsidR="00455E54" w:rsidRPr="00212D57" w:rsidRDefault="00455E54" w:rsidP="00455E54">
      <w:pPr>
        <w:snapToGrid w:val="0"/>
        <w:ind w:leftChars="335" w:left="804"/>
        <w:jc w:val="both"/>
        <w:rPr>
          <w:rFonts w:ascii="標楷體" w:eastAsia="標楷體" w:hAnsi="標楷體"/>
          <w:b/>
          <w:sz w:val="22"/>
          <w:szCs w:val="22"/>
        </w:rPr>
      </w:pPr>
      <w:r w:rsidRPr="00212D57">
        <w:rPr>
          <w:rFonts w:ascii="標楷體" w:eastAsia="標楷體" w:hAnsi="標楷體" w:hint="eastAsia"/>
          <w:b/>
          <w:sz w:val="22"/>
          <w:szCs w:val="22"/>
        </w:rPr>
        <w:t>若法有定性，非無則是常；先有而今無，是則為斷滅。</w:t>
      </w:r>
    </w:p>
    <w:p w:rsidR="00455E54" w:rsidRPr="007A4432" w:rsidRDefault="00455E54" w:rsidP="00455E54">
      <w:pPr>
        <w:snapToGrid w:val="0"/>
        <w:ind w:leftChars="335" w:left="804"/>
        <w:jc w:val="both"/>
        <w:rPr>
          <w:rFonts w:ascii="標楷體" w:eastAsia="標楷體" w:hAnsi="標楷體"/>
          <w:sz w:val="22"/>
          <w:szCs w:val="22"/>
        </w:rPr>
      </w:pPr>
      <w:r w:rsidRPr="00212D57">
        <w:rPr>
          <w:rFonts w:ascii="標楷體" w:eastAsia="標楷體" w:hAnsi="標楷體" w:hint="eastAsia"/>
          <w:sz w:val="22"/>
          <w:szCs w:val="22"/>
        </w:rPr>
        <w:t>本頌，總結有無二見的墮於斷常；這可說是不知緣起法的必然結論。假使</w:t>
      </w:r>
      <w:r w:rsidRPr="007A4432">
        <w:rPr>
          <w:rFonts w:ascii="標楷體" w:eastAsia="標楷體" w:hAnsi="標楷體" w:hint="eastAsia"/>
          <w:sz w:val="22"/>
          <w:szCs w:val="22"/>
        </w:rPr>
        <w:t>執著諸法決「定有」實在的自性，就應該以為此法是始終如此的，以為是常住不變的。這樣，就必然執「著」他是「常」，而落於常見的過失了！</w:t>
      </w:r>
    </w:p>
    <w:p w:rsidR="00455E54" w:rsidRPr="007A4432" w:rsidRDefault="00455E54" w:rsidP="00AE3920">
      <w:pPr>
        <w:snapToGrid w:val="0"/>
        <w:spacing w:beforeLines="20"/>
        <w:ind w:leftChars="335" w:left="804"/>
        <w:jc w:val="both"/>
        <w:rPr>
          <w:rFonts w:ascii="標楷體" w:eastAsia="標楷體" w:hAnsi="標楷體"/>
          <w:sz w:val="22"/>
          <w:szCs w:val="22"/>
        </w:rPr>
      </w:pPr>
      <w:r w:rsidRPr="007A4432">
        <w:rPr>
          <w:rFonts w:ascii="標楷體" w:eastAsia="標楷體" w:hAnsi="標楷體" w:hint="eastAsia"/>
          <w:sz w:val="22"/>
          <w:szCs w:val="22"/>
        </w:rPr>
        <w:t>假使執著諸法決「定」是實「無」性，那就抹殺因果緣起，相似相續。那必然要執「著」他是「斷」，而犯斷見的過失了！為什麼見斷見常都是過失呢？因為諸法是常或斷，即違反緣起的相續，不知緣起正法了。</w:t>
      </w:r>
    </w:p>
    <w:p w:rsidR="00455E54" w:rsidRPr="007A4432" w:rsidRDefault="00455E54" w:rsidP="00AE3920">
      <w:pPr>
        <w:snapToGrid w:val="0"/>
        <w:spacing w:beforeLines="20"/>
        <w:ind w:leftChars="335" w:left="804"/>
        <w:jc w:val="both"/>
        <w:rPr>
          <w:rFonts w:ascii="標楷體" w:eastAsia="標楷體" w:hAnsi="標楷體"/>
          <w:sz w:val="22"/>
          <w:szCs w:val="22"/>
        </w:rPr>
      </w:pPr>
      <w:r w:rsidRPr="007A4432">
        <w:rPr>
          <w:rFonts w:ascii="標楷體" w:eastAsia="標楷體" w:hAnsi="標楷體" w:hint="eastAsia"/>
          <w:sz w:val="22"/>
          <w:szCs w:val="22"/>
        </w:rPr>
        <w:t>所以，「有智」慧的多聞聖弟子，「不應」執「著」諸法是實「有」或者實「無」。這約二人別執斷常而說；也可以約一人前後別執說。</w:t>
      </w:r>
    </w:p>
    <w:p w:rsidR="00455E54" w:rsidRPr="007A4432" w:rsidRDefault="00455E54" w:rsidP="00AE3920">
      <w:pPr>
        <w:snapToGrid w:val="0"/>
        <w:spacing w:beforeLines="20"/>
        <w:ind w:leftChars="335" w:left="804"/>
        <w:jc w:val="both"/>
        <w:rPr>
          <w:rFonts w:ascii="標楷體" w:eastAsia="標楷體" w:hAnsi="標楷體"/>
          <w:sz w:val="22"/>
          <w:szCs w:val="22"/>
        </w:rPr>
      </w:pPr>
      <w:r w:rsidRPr="007A4432">
        <w:rPr>
          <w:rFonts w:ascii="標楷體" w:eastAsia="標楷體" w:hAnsi="標楷體" w:hint="eastAsia"/>
          <w:sz w:val="22"/>
          <w:szCs w:val="22"/>
        </w:rPr>
        <w:t>假定諸「法有」決「定」的實自「性，非」是「無」有，那就必然「是常」住，落於常見，像說一切有系，儘管他說諸法是無常的，萬有是生滅的，但他主張三世實有，一切法本自成就，從未來至現在，由現在入過去，雖有三世的變異，法體在三世中，始終是如此的。所以在性空者看來，這還是常執。</w:t>
      </w:r>
    </w:p>
    <w:p w:rsidR="00455E54" w:rsidRPr="007A4432" w:rsidRDefault="00455E54" w:rsidP="00AE3920">
      <w:pPr>
        <w:snapToGrid w:val="0"/>
        <w:spacing w:beforeLines="20"/>
        <w:ind w:leftChars="335" w:left="804"/>
        <w:jc w:val="both"/>
        <w:rPr>
          <w:rFonts w:ascii="標楷體" w:eastAsia="標楷體" w:hAnsi="標楷體"/>
          <w:sz w:val="22"/>
          <w:szCs w:val="22"/>
        </w:rPr>
      </w:pPr>
      <w:r w:rsidRPr="007A4432">
        <w:rPr>
          <w:rFonts w:ascii="標楷體" w:eastAsia="標楷體" w:hAnsi="標楷體" w:hint="eastAsia"/>
          <w:sz w:val="22"/>
          <w:szCs w:val="22"/>
        </w:rPr>
        <w:t>假定以為「先」前的諸法是實「有，而」現「今」才歸於滅「無」，那又犯了「斷滅」的過失！拿煩惱說吧：實有自性者，說先有煩惱，後來斷了煩惱，就可涅槃解脫了。</w:t>
      </w:r>
    </w:p>
    <w:p w:rsidR="00455E54" w:rsidRPr="00212D57" w:rsidRDefault="00455E54" w:rsidP="00AE3920">
      <w:pPr>
        <w:snapToGrid w:val="0"/>
        <w:spacing w:beforeLines="20"/>
        <w:ind w:leftChars="335" w:left="804"/>
        <w:jc w:val="both"/>
        <w:rPr>
          <w:rFonts w:eastAsia="SimSun"/>
          <w:sz w:val="22"/>
          <w:szCs w:val="22"/>
        </w:rPr>
      </w:pPr>
      <w:r w:rsidRPr="007A4432">
        <w:rPr>
          <w:rFonts w:ascii="標楷體" w:eastAsia="標楷體" w:hAnsi="標楷體" w:hint="eastAsia"/>
          <w:sz w:val="22"/>
          <w:szCs w:val="22"/>
        </w:rPr>
        <w:t>大乘佛法說不斷煩惱，這就因為見到實有者的先有現無，有斷滅過失，所以開顯煩</w:t>
      </w:r>
      <w:r w:rsidRPr="00212D57">
        <w:rPr>
          <w:rFonts w:ascii="標楷體" w:eastAsia="標楷體" w:hAnsi="標楷體" w:hint="eastAsia"/>
          <w:sz w:val="22"/>
          <w:szCs w:val="22"/>
        </w:rPr>
        <w:t>惱的自性本空；假名斷而實無所斷。否則，煩惱有實自性，就不可斷；不可斷而斷，就犯破壞法相的斷滅過了！</w:t>
      </w:r>
    </w:p>
  </w:footnote>
  <w:footnote w:id="505">
    <w:p w:rsidR="00157EF6" w:rsidRPr="00212D57" w:rsidRDefault="00157EF6" w:rsidP="00B5316E">
      <w:pPr>
        <w:pStyle w:val="a5"/>
        <w:ind w:left="253" w:hangingChars="115" w:hanging="253"/>
        <w:jc w:val="both"/>
        <w:rPr>
          <w:rFonts w:eastAsia="SimSun"/>
          <w:szCs w:val="22"/>
        </w:rPr>
      </w:pPr>
      <w:r w:rsidRPr="00212D57">
        <w:rPr>
          <w:rStyle w:val="a6"/>
          <w:szCs w:val="22"/>
        </w:rPr>
        <w:footnoteRef/>
      </w:r>
      <w:r w:rsidRPr="00212D57">
        <w:rPr>
          <w:szCs w:val="22"/>
        </w:rPr>
        <w:t xml:space="preserve"> </w:t>
      </w:r>
      <w:r w:rsidRPr="00212D57">
        <w:rPr>
          <w:rFonts w:ascii="新細明體" w:hAnsi="新細明體" w:hint="eastAsia"/>
          <w:szCs w:val="22"/>
        </w:rPr>
        <w:t>無外：</w:t>
      </w:r>
      <w:r w:rsidRPr="00761EF3">
        <w:rPr>
          <w:szCs w:val="22"/>
        </w:rPr>
        <w:t>2</w:t>
      </w:r>
      <w:r w:rsidRPr="00212D57">
        <w:rPr>
          <w:szCs w:val="22"/>
        </w:rPr>
        <w:t>.</w:t>
      </w:r>
      <w:r w:rsidRPr="00212D57">
        <w:rPr>
          <w:rFonts w:ascii="新細明體" w:hAnsi="新細明體" w:hint="eastAsia"/>
          <w:szCs w:val="22"/>
        </w:rPr>
        <w:t>猶無窮，無所不包。《呂氏春秋</w:t>
      </w:r>
      <w:r w:rsidRPr="00212D57">
        <w:rPr>
          <w:rFonts w:ascii="新細明體" w:hAnsi="新細明體" w:cs="新細明體" w:hint="eastAsia"/>
          <w:szCs w:val="22"/>
        </w:rPr>
        <w:t>‧</w:t>
      </w:r>
      <w:r w:rsidRPr="00212D57">
        <w:rPr>
          <w:rFonts w:ascii="新細明體" w:hAnsi="新細明體" w:cs="SimSun" w:hint="eastAsia"/>
          <w:szCs w:val="22"/>
        </w:rPr>
        <w:t>下賢》：“其大無外，其小無內。</w:t>
      </w:r>
      <w:r w:rsidRPr="00212D57">
        <w:rPr>
          <w:rFonts w:ascii="Times Ext Roman" w:hAnsi="Times Ext Roman" w:cs="Times Ext Roman" w:hint="eastAsia"/>
          <w:szCs w:val="22"/>
        </w:rPr>
        <w:t>（《漢語大詞典》（</w:t>
      </w:r>
      <w:r w:rsidRPr="00212D57">
        <w:rPr>
          <w:rFonts w:ascii="新細明體" w:hAnsi="新細明體" w:cs="Times Ext Roman" w:hint="eastAsia"/>
          <w:szCs w:val="22"/>
        </w:rPr>
        <w:t>七</w:t>
      </w:r>
      <w:r w:rsidRPr="00212D57">
        <w:rPr>
          <w:rFonts w:ascii="Times Ext Roman" w:hAnsi="Times Ext Roman" w:cs="Times Ext Roman" w:hint="eastAsia"/>
          <w:szCs w:val="22"/>
        </w:rPr>
        <w:t>），</w:t>
      </w:r>
      <w:r w:rsidRPr="00761EF3">
        <w:rPr>
          <w:rFonts w:hint="eastAsia"/>
          <w:szCs w:val="22"/>
        </w:rPr>
        <w:t>p</w:t>
      </w:r>
      <w:r w:rsidRPr="00212D57">
        <w:rPr>
          <w:rFonts w:hint="eastAsia"/>
          <w:szCs w:val="22"/>
        </w:rPr>
        <w:t>.</w:t>
      </w:r>
      <w:r w:rsidRPr="00761EF3">
        <w:rPr>
          <w:rFonts w:eastAsia="SimSun" w:hint="eastAsia"/>
          <w:szCs w:val="22"/>
        </w:rPr>
        <w:t>106</w:t>
      </w:r>
      <w:r w:rsidRPr="00212D57">
        <w:rPr>
          <w:rFonts w:ascii="Times Ext Roman" w:hAnsi="Times Ext Roman" w:cs="Times Ext Roman" w:hint="eastAsia"/>
          <w:szCs w:val="22"/>
        </w:rPr>
        <w:t>）</w:t>
      </w:r>
    </w:p>
  </w:footnote>
  <w:footnote w:id="506">
    <w:p w:rsidR="00157EF6" w:rsidRPr="00212D57" w:rsidRDefault="00157EF6" w:rsidP="00B5316E">
      <w:pPr>
        <w:pStyle w:val="a5"/>
        <w:ind w:left="792" w:hangingChars="360" w:hanging="792"/>
        <w:jc w:val="both"/>
        <w:rPr>
          <w:szCs w:val="22"/>
        </w:rPr>
      </w:pPr>
      <w:r w:rsidRPr="00212D57">
        <w:rPr>
          <w:rStyle w:val="a6"/>
          <w:szCs w:val="22"/>
        </w:rPr>
        <w:footnoteRef/>
      </w:r>
      <w:r w:rsidRPr="00212D57">
        <w:rPr>
          <w:rFonts w:ascii="新細明體" w:hAnsi="新細明體" w:hint="eastAsia"/>
          <w:szCs w:val="22"/>
        </w:rPr>
        <w:t xml:space="preserve"> （</w:t>
      </w:r>
      <w:r w:rsidRPr="00761EF3">
        <w:rPr>
          <w:szCs w:val="22"/>
        </w:rPr>
        <w:t>1</w:t>
      </w:r>
      <w:r w:rsidRPr="00212D57">
        <w:rPr>
          <w:rFonts w:ascii="新細明體" w:hAnsi="新細明體" w:hint="eastAsia"/>
          <w:szCs w:val="22"/>
        </w:rPr>
        <w:t>）</w:t>
      </w:r>
      <w:r w:rsidRPr="00212D57">
        <w:rPr>
          <w:rFonts w:hint="eastAsia"/>
          <w:szCs w:val="22"/>
        </w:rPr>
        <w:t>《中論》卷</w:t>
      </w:r>
      <w:r w:rsidRPr="00761EF3">
        <w:rPr>
          <w:rFonts w:hint="eastAsia"/>
          <w:szCs w:val="22"/>
        </w:rPr>
        <w:t>2</w:t>
      </w:r>
      <w:r w:rsidRPr="00212D57">
        <w:rPr>
          <w:szCs w:val="22"/>
        </w:rPr>
        <w:t>〈</w:t>
      </w:r>
      <w:r w:rsidRPr="00761EF3">
        <w:rPr>
          <w:rFonts w:hint="eastAsia"/>
          <w:szCs w:val="22"/>
        </w:rPr>
        <w:t>14</w:t>
      </w:r>
      <w:r w:rsidRPr="00212D57">
        <w:rPr>
          <w:szCs w:val="22"/>
        </w:rPr>
        <w:t xml:space="preserve"> </w:t>
      </w:r>
      <w:r w:rsidRPr="00212D57">
        <w:rPr>
          <w:szCs w:val="22"/>
        </w:rPr>
        <w:t>觀合品〉</w:t>
      </w:r>
      <w:r w:rsidRPr="00212D57">
        <w:rPr>
          <w:rFonts w:hint="eastAsia"/>
          <w:szCs w:val="22"/>
        </w:rPr>
        <w:t>（青目釋）</w:t>
      </w:r>
      <w:r w:rsidRPr="00212D57">
        <w:rPr>
          <w:szCs w:val="22"/>
        </w:rPr>
        <w:t>（</w:t>
      </w:r>
      <w:r w:rsidRPr="00212D57">
        <w:rPr>
          <w:rFonts w:hint="eastAsia"/>
          <w:szCs w:val="22"/>
        </w:rPr>
        <w:t>大正</w:t>
      </w:r>
      <w:r w:rsidRPr="00761EF3">
        <w:rPr>
          <w:rFonts w:hint="eastAsia"/>
          <w:szCs w:val="22"/>
        </w:rPr>
        <w:t>30</w:t>
      </w:r>
      <w:r w:rsidRPr="00212D57">
        <w:rPr>
          <w:rFonts w:hint="eastAsia"/>
          <w:szCs w:val="22"/>
        </w:rPr>
        <w:t>，</w:t>
      </w:r>
      <w:r w:rsidRPr="00761EF3">
        <w:rPr>
          <w:rFonts w:hint="eastAsia"/>
          <w:szCs w:val="22"/>
        </w:rPr>
        <w:t>19b9</w:t>
      </w:r>
      <w:r w:rsidRPr="00212D57">
        <w:rPr>
          <w:rFonts w:hint="eastAsia"/>
          <w:szCs w:val="22"/>
        </w:rPr>
        <w:t>-</w:t>
      </w:r>
      <w:r w:rsidRPr="00761EF3">
        <w:rPr>
          <w:rFonts w:hint="eastAsia"/>
          <w:szCs w:val="22"/>
        </w:rPr>
        <w:t>14</w:t>
      </w:r>
      <w:r w:rsidRPr="00212D57">
        <w:rPr>
          <w:rFonts w:hint="eastAsia"/>
          <w:szCs w:val="22"/>
        </w:rPr>
        <w:t>）：</w:t>
      </w:r>
    </w:p>
    <w:p w:rsidR="00157EF6" w:rsidRPr="00212D57" w:rsidRDefault="00157EF6" w:rsidP="00B5316E">
      <w:pPr>
        <w:pStyle w:val="a5"/>
        <w:ind w:leftChars="335" w:left="804"/>
        <w:jc w:val="both"/>
        <w:rPr>
          <w:rFonts w:ascii="標楷體" w:eastAsia="標楷體" w:hAnsi="標楷體"/>
          <w:b/>
          <w:szCs w:val="22"/>
        </w:rPr>
      </w:pPr>
      <w:r w:rsidRPr="00212D57">
        <w:rPr>
          <w:rFonts w:ascii="標楷體" w:eastAsia="標楷體" w:hAnsi="標楷體" w:hint="eastAsia"/>
          <w:b/>
          <w:szCs w:val="22"/>
        </w:rPr>
        <w:t>異因異有異，異離異無異；若法從因出，是法不異因。</w:t>
      </w:r>
    </w:p>
    <w:p w:rsidR="00157EF6" w:rsidRPr="00212D57" w:rsidRDefault="00157EF6" w:rsidP="00B5316E">
      <w:pPr>
        <w:pStyle w:val="a5"/>
        <w:ind w:leftChars="335" w:left="804"/>
        <w:jc w:val="both"/>
        <w:rPr>
          <w:szCs w:val="22"/>
        </w:rPr>
      </w:pPr>
      <w:r w:rsidRPr="00212D57">
        <w:rPr>
          <w:rFonts w:ascii="標楷體" w:eastAsia="標楷體" w:hAnsi="標楷體" w:hint="eastAsia"/>
          <w:szCs w:val="22"/>
        </w:rPr>
        <w:t>汝所謂</w:t>
      </w:r>
      <w:r w:rsidR="0098751B">
        <w:rPr>
          <w:rFonts w:ascii="標楷體" w:eastAsia="標楷體" w:hAnsi="標楷體" w:hint="eastAsia"/>
          <w:bCs/>
          <w:color w:val="FF0000"/>
          <w:kern w:val="0"/>
          <w:highlight w:val="yellow"/>
        </w:rPr>
        <w:t>「</w:t>
      </w:r>
      <w:r w:rsidRPr="00212D57">
        <w:rPr>
          <w:rFonts w:ascii="標楷體" w:eastAsia="標楷體" w:hAnsi="標楷體" w:hint="eastAsia"/>
          <w:szCs w:val="22"/>
        </w:rPr>
        <w:t>異</w:t>
      </w:r>
      <w:r w:rsidR="0098751B">
        <w:rPr>
          <w:rFonts w:ascii="標楷體" w:eastAsia="標楷體" w:hAnsi="標楷體" w:hint="eastAsia"/>
          <w:bCs/>
          <w:color w:val="FF0000"/>
          <w:kern w:val="0"/>
          <w:highlight w:val="yellow"/>
        </w:rPr>
        <w:t>」</w:t>
      </w:r>
      <w:r w:rsidRPr="00212D57">
        <w:rPr>
          <w:rFonts w:ascii="標楷體" w:eastAsia="標楷體" w:hAnsi="標楷體" w:hint="eastAsia"/>
          <w:szCs w:val="22"/>
        </w:rPr>
        <w:t>，是</w:t>
      </w:r>
      <w:r w:rsidR="0098751B">
        <w:rPr>
          <w:rFonts w:ascii="標楷體" w:eastAsia="標楷體" w:hAnsi="標楷體" w:hint="eastAsia"/>
          <w:bCs/>
          <w:color w:val="FF0000"/>
          <w:kern w:val="0"/>
          <w:highlight w:val="yellow"/>
        </w:rPr>
        <w:t>「</w:t>
      </w:r>
      <w:r w:rsidRPr="00212D57">
        <w:rPr>
          <w:rFonts w:ascii="標楷體" w:eastAsia="標楷體" w:hAnsi="標楷體" w:hint="eastAsia"/>
          <w:szCs w:val="22"/>
        </w:rPr>
        <w:t>異</w:t>
      </w:r>
      <w:r w:rsidR="0098751B">
        <w:rPr>
          <w:rFonts w:ascii="標楷體" w:eastAsia="標楷體" w:hAnsi="標楷體" w:hint="eastAsia"/>
          <w:bCs/>
          <w:color w:val="FF0000"/>
          <w:kern w:val="0"/>
          <w:highlight w:val="yellow"/>
        </w:rPr>
        <w:t>」</w:t>
      </w:r>
      <w:r w:rsidRPr="00212D57">
        <w:rPr>
          <w:rFonts w:ascii="標楷體" w:eastAsia="標楷體" w:hAnsi="標楷體" w:hint="eastAsia"/>
          <w:szCs w:val="22"/>
        </w:rPr>
        <w:t>因</w:t>
      </w:r>
      <w:r w:rsidR="00C51692">
        <w:rPr>
          <w:rFonts w:ascii="標楷體" w:eastAsia="標楷體" w:hAnsi="標楷體" w:hint="eastAsia"/>
          <w:bCs/>
          <w:color w:val="FF0000"/>
          <w:kern w:val="0"/>
          <w:highlight w:val="yellow"/>
        </w:rPr>
        <w:t>「</w:t>
      </w:r>
      <w:r w:rsidRPr="00212D57">
        <w:rPr>
          <w:rFonts w:ascii="標楷體" w:eastAsia="標楷體" w:hAnsi="標楷體" w:hint="eastAsia"/>
          <w:szCs w:val="22"/>
        </w:rPr>
        <w:t>異法</w:t>
      </w:r>
      <w:r w:rsidR="00C51692">
        <w:rPr>
          <w:rFonts w:ascii="標楷體" w:eastAsia="標楷體" w:hAnsi="標楷體" w:hint="eastAsia"/>
          <w:bCs/>
          <w:color w:val="FF0000"/>
          <w:kern w:val="0"/>
          <w:highlight w:val="yellow"/>
        </w:rPr>
        <w:t>」</w:t>
      </w:r>
      <w:r w:rsidRPr="00212D57">
        <w:rPr>
          <w:rFonts w:ascii="標楷體" w:eastAsia="標楷體" w:hAnsi="標楷體" w:hint="eastAsia"/>
          <w:szCs w:val="22"/>
        </w:rPr>
        <w:t>故名為</w:t>
      </w:r>
      <w:r w:rsidR="0098751B">
        <w:rPr>
          <w:rFonts w:ascii="標楷體" w:eastAsia="標楷體" w:hAnsi="標楷體" w:hint="eastAsia"/>
          <w:bCs/>
          <w:color w:val="FF0000"/>
          <w:kern w:val="0"/>
          <w:highlight w:val="yellow"/>
        </w:rPr>
        <w:t>「</w:t>
      </w:r>
      <w:r w:rsidRPr="00212D57">
        <w:rPr>
          <w:rFonts w:ascii="標楷體" w:eastAsia="標楷體" w:hAnsi="標楷體" w:hint="eastAsia"/>
          <w:szCs w:val="22"/>
        </w:rPr>
        <w:t>異</w:t>
      </w:r>
      <w:r w:rsidR="0098751B">
        <w:rPr>
          <w:rFonts w:ascii="標楷體" w:eastAsia="標楷體" w:hAnsi="標楷體" w:hint="eastAsia"/>
          <w:bCs/>
          <w:color w:val="FF0000"/>
          <w:kern w:val="0"/>
          <w:highlight w:val="yellow"/>
        </w:rPr>
        <w:t>」</w:t>
      </w:r>
      <w:r w:rsidRPr="00212D57">
        <w:rPr>
          <w:rFonts w:ascii="標楷體" w:eastAsia="標楷體" w:hAnsi="標楷體" w:hint="eastAsia"/>
          <w:szCs w:val="22"/>
        </w:rPr>
        <w:t>，離</w:t>
      </w:r>
      <w:r w:rsidR="00C51692">
        <w:rPr>
          <w:rFonts w:ascii="標楷體" w:eastAsia="標楷體" w:hAnsi="標楷體" w:hint="eastAsia"/>
          <w:bCs/>
          <w:color w:val="FF0000"/>
          <w:kern w:val="0"/>
          <w:highlight w:val="yellow"/>
        </w:rPr>
        <w:t>「</w:t>
      </w:r>
      <w:r w:rsidRPr="00212D57">
        <w:rPr>
          <w:rFonts w:ascii="標楷體" w:eastAsia="標楷體" w:hAnsi="標楷體" w:hint="eastAsia"/>
          <w:szCs w:val="22"/>
        </w:rPr>
        <w:t>異法</w:t>
      </w:r>
      <w:r w:rsidR="00C51692">
        <w:rPr>
          <w:rFonts w:ascii="標楷體" w:eastAsia="標楷體" w:hAnsi="標楷體" w:hint="eastAsia"/>
          <w:bCs/>
          <w:color w:val="FF0000"/>
          <w:kern w:val="0"/>
          <w:highlight w:val="yellow"/>
        </w:rPr>
        <w:t>」</w:t>
      </w:r>
      <w:r w:rsidRPr="00212D57">
        <w:rPr>
          <w:rFonts w:ascii="標楷體" w:eastAsia="標楷體" w:hAnsi="標楷體" w:hint="eastAsia"/>
          <w:szCs w:val="22"/>
        </w:rPr>
        <w:t>不名為</w:t>
      </w:r>
      <w:r w:rsidR="0098751B">
        <w:rPr>
          <w:rFonts w:ascii="標楷體" w:eastAsia="標楷體" w:hAnsi="標楷體" w:hint="eastAsia"/>
          <w:bCs/>
          <w:color w:val="FF0000"/>
          <w:kern w:val="0"/>
          <w:highlight w:val="yellow"/>
        </w:rPr>
        <w:t>「</w:t>
      </w:r>
      <w:r w:rsidRPr="00212D57">
        <w:rPr>
          <w:rFonts w:ascii="標楷體" w:eastAsia="標楷體" w:hAnsi="標楷體" w:hint="eastAsia"/>
          <w:szCs w:val="22"/>
        </w:rPr>
        <w:t>異</w:t>
      </w:r>
      <w:r w:rsidR="0098751B">
        <w:rPr>
          <w:rFonts w:ascii="標楷體" w:eastAsia="標楷體" w:hAnsi="標楷體" w:hint="eastAsia"/>
          <w:bCs/>
          <w:color w:val="FF0000"/>
          <w:kern w:val="0"/>
          <w:highlight w:val="yellow"/>
        </w:rPr>
        <w:t>」</w:t>
      </w:r>
      <w:r w:rsidRPr="00212D57">
        <w:rPr>
          <w:rFonts w:ascii="標楷體" w:eastAsia="標楷體" w:hAnsi="標楷體" w:hint="eastAsia"/>
          <w:szCs w:val="22"/>
        </w:rPr>
        <w:t>。何以故？若法從眾緣生，是法不異因，</w:t>
      </w:r>
      <w:r w:rsidR="0098751B">
        <w:rPr>
          <w:rFonts w:ascii="標楷體" w:eastAsia="標楷體" w:hAnsi="標楷體" w:hint="eastAsia"/>
          <w:bCs/>
          <w:color w:val="FF0000"/>
          <w:kern w:val="0"/>
          <w:highlight w:val="yellow"/>
        </w:rPr>
        <w:t>「</w:t>
      </w:r>
      <w:r w:rsidRPr="00212D57">
        <w:rPr>
          <w:rFonts w:ascii="標楷體" w:eastAsia="標楷體" w:hAnsi="標楷體" w:hint="eastAsia"/>
          <w:szCs w:val="22"/>
        </w:rPr>
        <w:t>因壞</w:t>
      </w:r>
      <w:r w:rsidR="0098751B" w:rsidRPr="0098751B">
        <w:rPr>
          <w:rFonts w:ascii="標楷體" w:eastAsia="標楷體" w:hAnsi="標楷體" w:hint="eastAsia"/>
          <w:color w:val="FF0000"/>
          <w:szCs w:val="22"/>
          <w:highlight w:val="yellow"/>
        </w:rPr>
        <w:t>，</w:t>
      </w:r>
      <w:r w:rsidRPr="00212D57">
        <w:rPr>
          <w:rFonts w:ascii="標楷體" w:eastAsia="標楷體" w:hAnsi="標楷體" w:hint="eastAsia"/>
          <w:szCs w:val="22"/>
        </w:rPr>
        <w:t>果亦壞</w:t>
      </w:r>
      <w:r w:rsidR="0098751B">
        <w:rPr>
          <w:rFonts w:ascii="標楷體" w:eastAsia="標楷體" w:hAnsi="標楷體" w:hint="eastAsia"/>
          <w:bCs/>
          <w:color w:val="FF0000"/>
          <w:kern w:val="0"/>
          <w:highlight w:val="yellow"/>
        </w:rPr>
        <w:t>」</w:t>
      </w:r>
      <w:r w:rsidRPr="00212D57">
        <w:rPr>
          <w:rFonts w:ascii="標楷體" w:eastAsia="標楷體" w:hAnsi="標楷體" w:hint="eastAsia"/>
          <w:szCs w:val="22"/>
        </w:rPr>
        <w:t>故</w:t>
      </w:r>
      <w:r w:rsidR="0098751B">
        <w:rPr>
          <w:rFonts w:ascii="標楷體" w:eastAsia="標楷體" w:hAnsi="標楷體" w:hint="eastAsia"/>
          <w:color w:val="FF0000"/>
          <w:spacing w:val="-4"/>
          <w:kern w:val="0"/>
          <w:highlight w:val="yellow"/>
        </w:rPr>
        <w:t>；</w:t>
      </w:r>
      <w:r w:rsidRPr="00212D57">
        <w:rPr>
          <w:rFonts w:ascii="標楷體" w:eastAsia="標楷體" w:hAnsi="標楷體" w:hint="eastAsia"/>
          <w:szCs w:val="22"/>
        </w:rPr>
        <w:t>如因樑</w:t>
      </w:r>
      <w:r w:rsidR="00C51692" w:rsidRPr="00C51692">
        <w:rPr>
          <w:rFonts w:ascii="標楷體" w:eastAsia="標楷體" w:hAnsi="標楷體" w:hint="eastAsia"/>
          <w:color w:val="FF0000"/>
          <w:szCs w:val="22"/>
          <w:highlight w:val="yellow"/>
        </w:rPr>
        <w:t>.</w:t>
      </w:r>
      <w:r w:rsidRPr="00212D57">
        <w:rPr>
          <w:rFonts w:ascii="標楷體" w:eastAsia="標楷體" w:hAnsi="標楷體" w:hint="eastAsia"/>
          <w:szCs w:val="22"/>
        </w:rPr>
        <w:t>椽等有舍，舍不異樑</w:t>
      </w:r>
      <w:r w:rsidR="00C51692" w:rsidRPr="00C51692">
        <w:rPr>
          <w:rFonts w:ascii="標楷體" w:eastAsia="標楷體" w:hAnsi="標楷體" w:hint="eastAsia"/>
          <w:color w:val="FF0000"/>
          <w:szCs w:val="22"/>
          <w:highlight w:val="yellow"/>
        </w:rPr>
        <w:t>.</w:t>
      </w:r>
      <w:r w:rsidRPr="00212D57">
        <w:rPr>
          <w:rFonts w:ascii="標楷體" w:eastAsia="標楷體" w:hAnsi="標楷體" w:hint="eastAsia"/>
          <w:szCs w:val="22"/>
        </w:rPr>
        <w:t>椽，樑</w:t>
      </w:r>
      <w:r w:rsidR="00C51692" w:rsidRPr="00C51692">
        <w:rPr>
          <w:rFonts w:ascii="標楷體" w:eastAsia="標楷體" w:hAnsi="標楷體" w:hint="eastAsia"/>
          <w:color w:val="FF0000"/>
          <w:szCs w:val="22"/>
          <w:highlight w:val="yellow"/>
        </w:rPr>
        <w:t>.</w:t>
      </w:r>
      <w:r w:rsidRPr="00212D57">
        <w:rPr>
          <w:rFonts w:ascii="標楷體" w:eastAsia="標楷體" w:hAnsi="標楷體" w:hint="eastAsia"/>
          <w:szCs w:val="22"/>
        </w:rPr>
        <w:t>椽等壞，舍亦壞故。</w:t>
      </w:r>
    </w:p>
    <w:p w:rsidR="00157EF6" w:rsidRPr="00212D57" w:rsidRDefault="00157EF6" w:rsidP="00B5316E">
      <w:pPr>
        <w:pStyle w:val="a5"/>
        <w:ind w:leftChars="105" w:left="791" w:hangingChars="245" w:hanging="539"/>
        <w:jc w:val="both"/>
        <w:rPr>
          <w:rFonts w:ascii="新細明體" w:hAnsi="新細明體"/>
          <w:szCs w:val="22"/>
        </w:rPr>
      </w:pPr>
      <w:r w:rsidRPr="00212D57">
        <w:rPr>
          <w:rFonts w:ascii="新細明體" w:hAnsi="新細明體" w:hint="eastAsia"/>
          <w:szCs w:val="22"/>
        </w:rPr>
        <w:t>（</w:t>
      </w:r>
      <w:r w:rsidRPr="00761EF3">
        <w:rPr>
          <w:szCs w:val="22"/>
        </w:rPr>
        <w:t>2</w:t>
      </w:r>
      <w:r w:rsidRPr="00212D57">
        <w:rPr>
          <w:rFonts w:ascii="新細明體" w:hAnsi="新細明體" w:hint="eastAsia"/>
          <w:szCs w:val="22"/>
        </w:rPr>
        <w:t>）</w:t>
      </w:r>
      <w:r w:rsidR="009160B5">
        <w:rPr>
          <w:rFonts w:ascii="新細明體" w:hAnsi="新細明體" w:hint="eastAsia"/>
          <w:szCs w:val="22"/>
        </w:rPr>
        <w:t>參見：印</w:t>
      </w:r>
      <w:r w:rsidRPr="00212D57">
        <w:rPr>
          <w:rFonts w:ascii="新細明體" w:hAnsi="新細明體" w:hint="eastAsia"/>
          <w:szCs w:val="22"/>
        </w:rPr>
        <w:t>順法師，《</w:t>
      </w:r>
      <w:r w:rsidRPr="00212D57">
        <w:rPr>
          <w:szCs w:val="22"/>
        </w:rPr>
        <w:t>中觀論頌講記》，</w:t>
      </w:r>
      <w:r w:rsidRPr="00761EF3">
        <w:rPr>
          <w:szCs w:val="22"/>
        </w:rPr>
        <w:t>pp</w:t>
      </w:r>
      <w:r w:rsidRPr="00212D57">
        <w:rPr>
          <w:szCs w:val="22"/>
        </w:rPr>
        <w:t>.</w:t>
      </w:r>
      <w:r w:rsidRPr="00761EF3">
        <w:rPr>
          <w:szCs w:val="22"/>
        </w:rPr>
        <w:t>24</w:t>
      </w:r>
      <w:r w:rsidRPr="00761EF3">
        <w:rPr>
          <w:rFonts w:hint="eastAsia"/>
          <w:szCs w:val="22"/>
        </w:rPr>
        <w:t>2</w:t>
      </w:r>
      <w:r w:rsidRPr="00212D57">
        <w:rPr>
          <w:szCs w:val="22"/>
        </w:rPr>
        <w:t>-</w:t>
      </w:r>
      <w:r w:rsidRPr="00761EF3">
        <w:rPr>
          <w:szCs w:val="22"/>
        </w:rPr>
        <w:t>243</w:t>
      </w:r>
      <w:r w:rsidRPr="00212D57">
        <w:rPr>
          <w:szCs w:val="22"/>
        </w:rPr>
        <w:t>：</w:t>
      </w:r>
    </w:p>
    <w:p w:rsidR="00157EF6" w:rsidRPr="007A4432" w:rsidRDefault="00157EF6" w:rsidP="00B5316E">
      <w:pPr>
        <w:pStyle w:val="a5"/>
        <w:ind w:leftChars="335" w:left="804"/>
        <w:jc w:val="both"/>
        <w:rPr>
          <w:rFonts w:ascii="標楷體" w:eastAsia="標楷體" w:hAnsi="標楷體"/>
          <w:szCs w:val="22"/>
        </w:rPr>
      </w:pPr>
      <w:r w:rsidRPr="007A4432">
        <w:rPr>
          <w:rFonts w:ascii="標楷體" w:eastAsia="標楷體" w:hAnsi="標楷體" w:hint="eastAsia"/>
          <w:szCs w:val="22"/>
        </w:rPr>
        <w:t>外人想：世間是無限的差別，怎麼說無異？其中，勝論師是特別立有同性、異性的實體。勝論派在有名的六句義中，有大有性及同異性兩句。大有是大同，有是存在，一切法都是存在的；一切法的所以存在，必有他存在的理性，這就是大有。</w:t>
      </w:r>
    </w:p>
    <w:p w:rsidR="00157EF6" w:rsidRPr="00212D57" w:rsidRDefault="00157EF6" w:rsidP="00AE3920">
      <w:pPr>
        <w:pStyle w:val="a5"/>
        <w:spacing w:beforeLines="20"/>
        <w:ind w:leftChars="335" w:left="804"/>
        <w:jc w:val="both"/>
        <w:rPr>
          <w:rFonts w:ascii="標楷體" w:eastAsia="標楷體" w:hAnsi="標楷體"/>
          <w:szCs w:val="22"/>
        </w:rPr>
      </w:pPr>
      <w:r w:rsidRPr="007A4432">
        <w:rPr>
          <w:rFonts w:ascii="標楷體" w:eastAsia="標楷體" w:hAnsi="標楷體" w:hint="eastAsia"/>
          <w:szCs w:val="22"/>
        </w:rPr>
        <w:t>同異性，是除了大有的普遍存在以外，其他事事物物的大同小同，大異小異。這一切法的所以有同有異，必有同異的原理，這就叫同異性。如人與人是共</w:t>
      </w:r>
      <w:r w:rsidRPr="00212D57">
        <w:rPr>
          <w:rFonts w:ascii="標楷體" w:eastAsia="標楷體" w:hAnsi="標楷體" w:hint="eastAsia"/>
          <w:szCs w:val="22"/>
        </w:rPr>
        <w:t>同的；而人與人間又有不同，這就是異。又人與牛馬是異；人與牛馬都是有情，這又是同。一切法有這樣的大同小同，大異小異，證明他有所以同所以別異的原理。</w:t>
      </w:r>
    </w:p>
    <w:p w:rsidR="00157EF6" w:rsidRPr="007A4432" w:rsidRDefault="00157EF6" w:rsidP="00AE3920">
      <w:pPr>
        <w:pStyle w:val="a5"/>
        <w:spacing w:beforeLines="20"/>
        <w:ind w:leftChars="335" w:left="804"/>
        <w:jc w:val="both"/>
        <w:rPr>
          <w:rFonts w:ascii="標楷體" w:eastAsia="標楷體" w:hAnsi="標楷體"/>
          <w:b/>
          <w:szCs w:val="22"/>
        </w:rPr>
      </w:pPr>
      <w:r w:rsidRPr="007A4432">
        <w:rPr>
          <w:rFonts w:ascii="標楷體" w:eastAsia="標楷體" w:hAnsi="標楷體" w:hint="eastAsia"/>
          <w:szCs w:val="22"/>
        </w:rPr>
        <w:t>本文所破的異相，主要是破這同異性中的異性。不但別異的原理不成，就是事物的別異自性，也不能在緣起論中立足。所以破他說：「異」是差別，但怎麼知道他是差別呢？不是「因」此與彼「異」而知道「有異」的嗎？「</w:t>
      </w:r>
      <w:r w:rsidRPr="007A4432">
        <w:rPr>
          <w:rFonts w:ascii="標楷體" w:eastAsia="標楷體" w:hAnsi="標楷體" w:hint="eastAsia"/>
          <w:b/>
          <w:szCs w:val="22"/>
        </w:rPr>
        <w:t>此法」因別異的「彼法」，「此法」才成為別異的。此法的差別性，既因彼差別而成立，那麼差別的「異」性，不是「離」了彼法的別「異」性，此法就「無」有差別的「異」性可說嗎？</w:t>
      </w:r>
      <w:r w:rsidRPr="007A4432">
        <w:rPr>
          <w:rFonts w:ascii="標楷體" w:eastAsia="標楷體" w:hAnsi="標楷體" w:hint="eastAsia"/>
          <w:szCs w:val="22"/>
        </w:rPr>
        <w:t>這樣，</w:t>
      </w:r>
      <w:r w:rsidRPr="007A4432">
        <w:rPr>
          <w:rFonts w:ascii="標楷體" w:eastAsia="標楷體" w:hAnsi="標楷體" w:hint="eastAsia"/>
          <w:b/>
          <w:szCs w:val="22"/>
        </w:rPr>
        <w:t>此法的差別性，不是有他固定的自體，是因觀待而有的。</w:t>
      </w:r>
    </w:p>
    <w:p w:rsidR="00157EF6" w:rsidRPr="00212D57" w:rsidRDefault="00157EF6" w:rsidP="00AE3920">
      <w:pPr>
        <w:pStyle w:val="a5"/>
        <w:spacing w:beforeLines="20"/>
        <w:ind w:leftChars="335" w:left="804"/>
        <w:jc w:val="both"/>
        <w:rPr>
          <w:rFonts w:ascii="標楷體" w:eastAsia="標楷體" w:hAnsi="標楷體"/>
          <w:szCs w:val="22"/>
        </w:rPr>
      </w:pPr>
      <w:r w:rsidRPr="007A4432">
        <w:rPr>
          <w:rFonts w:ascii="標楷體" w:eastAsia="標楷體" w:hAnsi="標楷體" w:hint="eastAsia"/>
          <w:b/>
          <w:szCs w:val="22"/>
        </w:rPr>
        <w:t>從相依不</w:t>
      </w:r>
      <w:r w:rsidRPr="00212D57">
        <w:rPr>
          <w:rFonts w:ascii="標楷體" w:eastAsia="標楷體" w:hAnsi="標楷體" w:hint="eastAsia"/>
          <w:b/>
          <w:szCs w:val="22"/>
        </w:rPr>
        <w:t>離的緣起義說，凡是從因緣而有的，他與能生的因緣，決不能說為自性別異</w:t>
      </w:r>
      <w:r w:rsidRPr="00212D57">
        <w:rPr>
          <w:rFonts w:ascii="標楷體" w:eastAsia="標楷體" w:hAnsi="標楷體" w:hint="eastAsia"/>
          <w:szCs w:val="22"/>
        </w:rPr>
        <w:t>。如房屋與梁木，那能說他別異的存在？所以說：「若法」從「所因」而「出」的，「是法」就「不」能「異因」。這樣，外人所說的別異，顯然在緣起不離的見解下瓦解了。</w:t>
      </w:r>
    </w:p>
  </w:footnote>
  <w:footnote w:id="507">
    <w:p w:rsidR="00157EF6" w:rsidRPr="00212D57" w:rsidRDefault="00157EF6" w:rsidP="00B5316E">
      <w:pPr>
        <w:pStyle w:val="a5"/>
        <w:ind w:left="253" w:hangingChars="115" w:hanging="253"/>
        <w:jc w:val="both"/>
        <w:rPr>
          <w:szCs w:val="22"/>
        </w:rPr>
      </w:pPr>
      <w:r w:rsidRPr="00212D57">
        <w:rPr>
          <w:rStyle w:val="a6"/>
          <w:szCs w:val="22"/>
        </w:rPr>
        <w:footnoteRef/>
      </w:r>
      <w:r w:rsidRPr="00212D57">
        <w:rPr>
          <w:rFonts w:hint="eastAsia"/>
          <w:szCs w:val="22"/>
        </w:rPr>
        <w:t xml:space="preserve"> </w:t>
      </w:r>
      <w:r w:rsidRPr="00212D57">
        <w:rPr>
          <w:szCs w:val="22"/>
        </w:rPr>
        <w:t>《中論》卷</w:t>
      </w:r>
      <w:r w:rsidRPr="00761EF3">
        <w:rPr>
          <w:szCs w:val="22"/>
        </w:rPr>
        <w:t>1</w:t>
      </w:r>
      <w:r w:rsidRPr="00212D57">
        <w:rPr>
          <w:szCs w:val="22"/>
        </w:rPr>
        <w:t>〈</w:t>
      </w:r>
      <w:r w:rsidRPr="00761EF3">
        <w:rPr>
          <w:rFonts w:hint="eastAsia"/>
          <w:szCs w:val="22"/>
        </w:rPr>
        <w:t>2</w:t>
      </w:r>
      <w:r w:rsidRPr="00212D57">
        <w:rPr>
          <w:szCs w:val="22"/>
        </w:rPr>
        <w:t xml:space="preserve"> </w:t>
      </w:r>
      <w:r w:rsidRPr="00212D57">
        <w:rPr>
          <w:szCs w:val="22"/>
        </w:rPr>
        <w:t>觀去來品〉（大正</w:t>
      </w:r>
      <w:r w:rsidRPr="00761EF3">
        <w:rPr>
          <w:szCs w:val="22"/>
        </w:rPr>
        <w:t>30</w:t>
      </w:r>
      <w:r w:rsidRPr="00212D57">
        <w:rPr>
          <w:szCs w:val="22"/>
        </w:rPr>
        <w:t>，</w:t>
      </w:r>
      <w:r w:rsidRPr="00761EF3">
        <w:rPr>
          <w:szCs w:val="22"/>
        </w:rPr>
        <w:t>3c5</w:t>
      </w:r>
      <w:r w:rsidRPr="00212D57">
        <w:rPr>
          <w:szCs w:val="22"/>
        </w:rPr>
        <w:t>-</w:t>
      </w:r>
      <w:r w:rsidRPr="00761EF3">
        <w:rPr>
          <w:szCs w:val="22"/>
        </w:rPr>
        <w:t>5c14</w:t>
      </w:r>
      <w:r w:rsidRPr="00212D57">
        <w:rPr>
          <w:szCs w:val="22"/>
        </w:rPr>
        <w:t>）</w:t>
      </w:r>
      <w:r w:rsidRPr="00212D57">
        <w:rPr>
          <w:rFonts w:hint="eastAsia"/>
          <w:szCs w:val="22"/>
        </w:rPr>
        <w:t>。</w:t>
      </w:r>
    </w:p>
  </w:footnote>
  <w:footnote w:id="508">
    <w:p w:rsidR="00157EF6" w:rsidRPr="00212D57" w:rsidRDefault="00157EF6" w:rsidP="00B5316E">
      <w:pPr>
        <w:pStyle w:val="a5"/>
        <w:ind w:left="792" w:hangingChars="360" w:hanging="792"/>
        <w:jc w:val="both"/>
        <w:rPr>
          <w:szCs w:val="22"/>
        </w:rPr>
      </w:pPr>
      <w:r w:rsidRPr="00212D57">
        <w:rPr>
          <w:rStyle w:val="a6"/>
          <w:szCs w:val="22"/>
        </w:rPr>
        <w:footnoteRef/>
      </w:r>
      <w:r w:rsidRPr="00212D57">
        <w:rPr>
          <w:rFonts w:ascii="新細明體" w:hAnsi="新細明體" w:hint="eastAsia"/>
          <w:szCs w:val="22"/>
        </w:rPr>
        <w:t xml:space="preserve"> （</w:t>
      </w:r>
      <w:r w:rsidRPr="00761EF3">
        <w:rPr>
          <w:szCs w:val="22"/>
        </w:rPr>
        <w:t>1</w:t>
      </w:r>
      <w:r w:rsidRPr="00212D57">
        <w:rPr>
          <w:rFonts w:ascii="新細明體" w:hAnsi="新細明體" w:hint="eastAsia"/>
          <w:szCs w:val="22"/>
        </w:rPr>
        <w:t>）板：</w:t>
      </w:r>
      <w:r w:rsidRPr="00761EF3">
        <w:rPr>
          <w:szCs w:val="22"/>
        </w:rPr>
        <w:t>2</w:t>
      </w:r>
      <w:r w:rsidRPr="00212D57">
        <w:rPr>
          <w:rFonts w:hint="eastAsia"/>
          <w:szCs w:val="22"/>
        </w:rPr>
        <w:t>.</w:t>
      </w:r>
      <w:r w:rsidRPr="00212D57">
        <w:rPr>
          <w:rFonts w:hint="eastAsia"/>
          <w:szCs w:val="22"/>
        </w:rPr>
        <w:t>泛指</w:t>
      </w:r>
      <w:r w:rsidRPr="00212D57">
        <w:rPr>
          <w:rFonts w:ascii="新細明體" w:hAnsi="新細明體" w:hint="eastAsia"/>
          <w:szCs w:val="22"/>
        </w:rPr>
        <w:t>板狀的扁平之物。</w:t>
      </w:r>
      <w:r w:rsidRPr="00212D57">
        <w:rPr>
          <w:rFonts w:ascii="Times Ext Roman" w:hAnsi="Times Ext Roman" w:cs="Times Ext Roman" w:hint="eastAsia"/>
          <w:szCs w:val="22"/>
        </w:rPr>
        <w:t>（《漢語大詞典》（</w:t>
      </w:r>
      <w:r w:rsidRPr="00212D57">
        <w:rPr>
          <w:rFonts w:ascii="新細明體" w:hAnsi="新細明體" w:cs="Times Ext Roman" w:hint="eastAsia"/>
          <w:szCs w:val="22"/>
        </w:rPr>
        <w:t>四</w:t>
      </w:r>
      <w:r w:rsidRPr="00212D57">
        <w:rPr>
          <w:rFonts w:ascii="Times Ext Roman" w:hAnsi="Times Ext Roman" w:cs="Times Ext Roman" w:hint="eastAsia"/>
          <w:szCs w:val="22"/>
        </w:rPr>
        <w:t>），</w:t>
      </w:r>
      <w:r w:rsidRPr="00761EF3">
        <w:rPr>
          <w:rFonts w:hint="eastAsia"/>
          <w:szCs w:val="22"/>
        </w:rPr>
        <w:t>p</w:t>
      </w:r>
      <w:r w:rsidRPr="00212D57">
        <w:rPr>
          <w:rFonts w:hint="eastAsia"/>
          <w:szCs w:val="22"/>
        </w:rPr>
        <w:t>.</w:t>
      </w:r>
      <w:r w:rsidRPr="00761EF3">
        <w:rPr>
          <w:rFonts w:eastAsia="SimSun" w:hint="eastAsia"/>
          <w:szCs w:val="22"/>
        </w:rPr>
        <w:t>860</w:t>
      </w:r>
      <w:r w:rsidRPr="00212D57">
        <w:rPr>
          <w:rFonts w:ascii="Times Ext Roman" w:hAnsi="Times Ext Roman" w:cs="Times Ext Roman" w:hint="eastAsia"/>
          <w:szCs w:val="22"/>
        </w:rPr>
        <w:t>）</w:t>
      </w:r>
    </w:p>
    <w:p w:rsidR="00157EF6" w:rsidRPr="00212D57" w:rsidRDefault="00157EF6" w:rsidP="00B5316E">
      <w:pPr>
        <w:pStyle w:val="a5"/>
        <w:ind w:leftChars="105" w:left="791" w:hangingChars="245" w:hanging="539"/>
        <w:jc w:val="both"/>
        <w:rPr>
          <w:rFonts w:eastAsia="SimSun"/>
          <w:szCs w:val="22"/>
        </w:rPr>
      </w:pPr>
      <w:r w:rsidRPr="00212D57">
        <w:rPr>
          <w:rFonts w:ascii="新細明體" w:hAnsi="新細明體" w:hint="eastAsia"/>
          <w:szCs w:val="22"/>
        </w:rPr>
        <w:t>（</w:t>
      </w:r>
      <w:r w:rsidRPr="00761EF3">
        <w:rPr>
          <w:szCs w:val="22"/>
        </w:rPr>
        <w:t>2</w:t>
      </w:r>
      <w:r w:rsidRPr="00212D57">
        <w:rPr>
          <w:rFonts w:ascii="新細明體" w:hAnsi="新細明體" w:hint="eastAsia"/>
          <w:szCs w:val="22"/>
        </w:rPr>
        <w:t>）定：</w:t>
      </w:r>
      <w:r w:rsidRPr="00761EF3">
        <w:rPr>
          <w:szCs w:val="22"/>
        </w:rPr>
        <w:t>5</w:t>
      </w:r>
      <w:r w:rsidRPr="00212D57">
        <w:rPr>
          <w:rFonts w:hint="eastAsia"/>
          <w:szCs w:val="22"/>
        </w:rPr>
        <w:t>.</w:t>
      </w:r>
      <w:r w:rsidRPr="00212D57">
        <w:rPr>
          <w:rFonts w:ascii="新細明體" w:hAnsi="新細明體" w:hint="eastAsia"/>
          <w:szCs w:val="22"/>
        </w:rPr>
        <w:t>停，止息。</w:t>
      </w:r>
      <w:r w:rsidRPr="00212D57">
        <w:rPr>
          <w:rFonts w:ascii="Times Ext Roman" w:hAnsi="Times Ext Roman" w:cs="Times Ext Roman" w:hint="eastAsia"/>
          <w:szCs w:val="22"/>
        </w:rPr>
        <w:t>（《漢語大詞典》（</w:t>
      </w:r>
      <w:r w:rsidRPr="00212D57">
        <w:rPr>
          <w:rFonts w:ascii="新細明體" w:hAnsi="新細明體" w:cs="Times Ext Roman" w:hint="eastAsia"/>
          <w:szCs w:val="22"/>
        </w:rPr>
        <w:t>三</w:t>
      </w:r>
      <w:r w:rsidRPr="00212D57">
        <w:rPr>
          <w:rFonts w:ascii="Times Ext Roman" w:hAnsi="Times Ext Roman" w:cs="Times Ext Roman" w:hint="eastAsia"/>
          <w:szCs w:val="22"/>
        </w:rPr>
        <w:t>），</w:t>
      </w:r>
      <w:r w:rsidRPr="00761EF3">
        <w:rPr>
          <w:rFonts w:hint="eastAsia"/>
          <w:szCs w:val="22"/>
        </w:rPr>
        <w:t>p</w:t>
      </w:r>
      <w:r w:rsidRPr="00212D57">
        <w:rPr>
          <w:rFonts w:hint="eastAsia"/>
          <w:szCs w:val="22"/>
        </w:rPr>
        <w:t>.</w:t>
      </w:r>
      <w:r w:rsidRPr="00761EF3">
        <w:rPr>
          <w:rFonts w:eastAsia="SimSun" w:hint="eastAsia"/>
          <w:szCs w:val="22"/>
        </w:rPr>
        <w:t>1359</w:t>
      </w:r>
      <w:r w:rsidRPr="00212D57">
        <w:rPr>
          <w:rFonts w:ascii="Times Ext Roman" w:hAnsi="Times Ext Roman" w:cs="Times Ext Roman" w:hint="eastAsia"/>
          <w:szCs w:val="22"/>
        </w:rPr>
        <w:t>）</w:t>
      </w:r>
    </w:p>
  </w:footnote>
  <w:footnote w:id="509">
    <w:p w:rsidR="00455E54" w:rsidRPr="00212D57" w:rsidRDefault="00455E54" w:rsidP="00455E54">
      <w:pPr>
        <w:pStyle w:val="a5"/>
        <w:ind w:left="253" w:hangingChars="115" w:hanging="253"/>
        <w:jc w:val="both"/>
        <w:rPr>
          <w:szCs w:val="22"/>
        </w:rPr>
      </w:pPr>
      <w:r w:rsidRPr="00212D57">
        <w:rPr>
          <w:rStyle w:val="a6"/>
          <w:szCs w:val="22"/>
        </w:rPr>
        <w:footnoteRef/>
      </w:r>
      <w:r w:rsidRPr="00212D57">
        <w:rPr>
          <w:szCs w:val="22"/>
        </w:rPr>
        <w:t xml:space="preserve"> </w:t>
      </w:r>
      <w:r w:rsidR="009160B5">
        <w:rPr>
          <w:rFonts w:ascii="新細明體" w:hAnsi="新細明體" w:hint="eastAsia"/>
          <w:szCs w:val="22"/>
        </w:rPr>
        <w:t>參見：印</w:t>
      </w:r>
      <w:r w:rsidRPr="00212D57">
        <w:rPr>
          <w:rFonts w:ascii="新細明體" w:hAnsi="新細明體" w:hint="eastAsia"/>
          <w:szCs w:val="22"/>
        </w:rPr>
        <w:t>順法師，《</w:t>
      </w:r>
      <w:r w:rsidRPr="00212D57">
        <w:rPr>
          <w:szCs w:val="22"/>
        </w:rPr>
        <w:t>中觀</w:t>
      </w:r>
      <w:r w:rsidRPr="00212D57">
        <w:rPr>
          <w:rFonts w:hint="eastAsia"/>
          <w:szCs w:val="22"/>
        </w:rPr>
        <w:t>今論</w:t>
      </w:r>
      <w:r w:rsidRPr="00212D57">
        <w:rPr>
          <w:szCs w:val="22"/>
        </w:rPr>
        <w:t>》</w:t>
      </w:r>
      <w:r w:rsidRPr="00212D57">
        <w:rPr>
          <w:rFonts w:hint="eastAsia"/>
          <w:szCs w:val="22"/>
        </w:rPr>
        <w:t>，第</w:t>
      </w:r>
      <w:r w:rsidRPr="00761EF3">
        <w:rPr>
          <w:rFonts w:hint="eastAsia"/>
          <w:szCs w:val="22"/>
        </w:rPr>
        <w:t>7</w:t>
      </w:r>
      <w:r w:rsidRPr="00212D57">
        <w:rPr>
          <w:rFonts w:hint="eastAsia"/>
          <w:szCs w:val="22"/>
        </w:rPr>
        <w:t>章，第</w:t>
      </w:r>
      <w:r w:rsidRPr="00761EF3">
        <w:rPr>
          <w:rFonts w:hint="eastAsia"/>
          <w:szCs w:val="22"/>
        </w:rPr>
        <w:t>4</w:t>
      </w:r>
      <w:r w:rsidRPr="00212D57">
        <w:rPr>
          <w:rFonts w:hint="eastAsia"/>
          <w:szCs w:val="22"/>
        </w:rPr>
        <w:t>節</w:t>
      </w:r>
      <w:r w:rsidRPr="00212D57">
        <w:rPr>
          <w:szCs w:val="22"/>
        </w:rPr>
        <w:t>〈行</w:t>
      </w:r>
      <w:r w:rsidRPr="00212D57">
        <w:rPr>
          <w:rFonts w:hint="eastAsia"/>
          <w:szCs w:val="22"/>
        </w:rPr>
        <w:t>──變動、運動</w:t>
      </w:r>
      <w:r w:rsidRPr="00212D57">
        <w:rPr>
          <w:szCs w:val="22"/>
        </w:rPr>
        <w:t>〉</w:t>
      </w:r>
      <w:r w:rsidRPr="00212D57">
        <w:rPr>
          <w:rFonts w:hint="eastAsia"/>
          <w:szCs w:val="22"/>
        </w:rPr>
        <w:t>，</w:t>
      </w:r>
      <w:r w:rsidRPr="00761EF3">
        <w:rPr>
          <w:rFonts w:hint="eastAsia"/>
          <w:szCs w:val="22"/>
        </w:rPr>
        <w:t>pp</w:t>
      </w:r>
      <w:r w:rsidRPr="00212D57">
        <w:rPr>
          <w:rFonts w:hint="eastAsia"/>
          <w:szCs w:val="22"/>
        </w:rPr>
        <w:t>.</w:t>
      </w:r>
      <w:r w:rsidRPr="00761EF3">
        <w:rPr>
          <w:rFonts w:hint="eastAsia"/>
          <w:szCs w:val="22"/>
        </w:rPr>
        <w:t>131</w:t>
      </w:r>
      <w:r w:rsidRPr="00212D57">
        <w:rPr>
          <w:rFonts w:hint="eastAsia"/>
          <w:szCs w:val="22"/>
        </w:rPr>
        <w:t>-</w:t>
      </w:r>
      <w:r w:rsidRPr="00761EF3">
        <w:rPr>
          <w:rFonts w:hint="eastAsia"/>
          <w:szCs w:val="22"/>
        </w:rPr>
        <w:t>141</w:t>
      </w:r>
      <w:r w:rsidRPr="00212D57">
        <w:rPr>
          <w:rFonts w:hint="eastAsia"/>
          <w:szCs w:val="22"/>
        </w:rPr>
        <w:t>。</w:t>
      </w:r>
    </w:p>
  </w:footnote>
  <w:footnote w:id="510">
    <w:p w:rsidR="00157EF6" w:rsidRPr="00212D57" w:rsidRDefault="00157EF6" w:rsidP="00B5316E">
      <w:pPr>
        <w:pStyle w:val="a5"/>
        <w:ind w:left="792" w:hangingChars="360" w:hanging="792"/>
        <w:jc w:val="both"/>
        <w:rPr>
          <w:szCs w:val="22"/>
        </w:rPr>
      </w:pPr>
      <w:r w:rsidRPr="00212D57">
        <w:rPr>
          <w:rStyle w:val="a6"/>
          <w:szCs w:val="22"/>
        </w:rPr>
        <w:footnoteRef/>
      </w:r>
      <w:r w:rsidRPr="00212D57">
        <w:rPr>
          <w:rFonts w:ascii="新細明體" w:hAnsi="新細明體" w:hint="eastAsia"/>
          <w:szCs w:val="22"/>
        </w:rPr>
        <w:t xml:space="preserve"> （</w:t>
      </w:r>
      <w:r w:rsidRPr="00761EF3">
        <w:rPr>
          <w:szCs w:val="22"/>
        </w:rPr>
        <w:t>1</w:t>
      </w:r>
      <w:r w:rsidRPr="00212D57">
        <w:rPr>
          <w:rFonts w:ascii="新細明體" w:hAnsi="新細明體" w:hint="eastAsia"/>
          <w:szCs w:val="22"/>
        </w:rPr>
        <w:t>）</w:t>
      </w:r>
      <w:r w:rsidRPr="00212D57">
        <w:rPr>
          <w:szCs w:val="22"/>
        </w:rPr>
        <w:t>《中論》卷</w:t>
      </w:r>
      <w:r w:rsidRPr="00761EF3">
        <w:rPr>
          <w:szCs w:val="22"/>
        </w:rPr>
        <w:t>2</w:t>
      </w:r>
      <w:r w:rsidRPr="00212D57">
        <w:rPr>
          <w:szCs w:val="22"/>
        </w:rPr>
        <w:t>〈</w:t>
      </w:r>
      <w:r w:rsidRPr="00761EF3">
        <w:rPr>
          <w:szCs w:val="22"/>
        </w:rPr>
        <w:t>13</w:t>
      </w:r>
      <w:r w:rsidRPr="00212D57">
        <w:rPr>
          <w:szCs w:val="22"/>
        </w:rPr>
        <w:t xml:space="preserve"> </w:t>
      </w:r>
      <w:r w:rsidRPr="00212D57">
        <w:rPr>
          <w:szCs w:val="22"/>
        </w:rPr>
        <w:t>觀行品〉</w:t>
      </w:r>
      <w:r w:rsidRPr="00212D57">
        <w:rPr>
          <w:rFonts w:hint="eastAsia"/>
          <w:szCs w:val="22"/>
        </w:rPr>
        <w:t>（青目釋）</w:t>
      </w:r>
      <w:r w:rsidRPr="00212D57">
        <w:rPr>
          <w:szCs w:val="22"/>
        </w:rPr>
        <w:t>（</w:t>
      </w:r>
      <w:r w:rsidRPr="00212D57">
        <w:rPr>
          <w:rFonts w:hint="eastAsia"/>
          <w:szCs w:val="22"/>
        </w:rPr>
        <w:t>大正</w:t>
      </w:r>
      <w:r w:rsidRPr="00761EF3">
        <w:rPr>
          <w:rFonts w:hint="eastAsia"/>
          <w:szCs w:val="22"/>
        </w:rPr>
        <w:t>30</w:t>
      </w:r>
      <w:r w:rsidRPr="00212D57">
        <w:rPr>
          <w:rFonts w:hint="eastAsia"/>
          <w:szCs w:val="22"/>
        </w:rPr>
        <w:t>，</w:t>
      </w:r>
      <w:r w:rsidRPr="00761EF3">
        <w:rPr>
          <w:szCs w:val="22"/>
        </w:rPr>
        <w:t>18b19</w:t>
      </w:r>
      <w:r w:rsidRPr="00212D57">
        <w:rPr>
          <w:szCs w:val="22"/>
        </w:rPr>
        <w:t>-</w:t>
      </w:r>
      <w:r w:rsidRPr="00761EF3">
        <w:rPr>
          <w:szCs w:val="22"/>
        </w:rPr>
        <w:t>2</w:t>
      </w:r>
      <w:r w:rsidRPr="00761EF3">
        <w:rPr>
          <w:rFonts w:hint="eastAsia"/>
          <w:szCs w:val="22"/>
        </w:rPr>
        <w:t>4</w:t>
      </w:r>
      <w:r w:rsidRPr="00212D57">
        <w:rPr>
          <w:szCs w:val="22"/>
        </w:rPr>
        <w:t>）：</w:t>
      </w:r>
    </w:p>
    <w:p w:rsidR="00157EF6" w:rsidRPr="00212D57" w:rsidRDefault="00157EF6" w:rsidP="00B5316E">
      <w:pPr>
        <w:snapToGrid w:val="0"/>
        <w:ind w:leftChars="335" w:left="804"/>
        <w:jc w:val="both"/>
        <w:rPr>
          <w:rFonts w:ascii="標楷體" w:eastAsia="SimSun" w:hAnsi="標楷體"/>
          <w:sz w:val="22"/>
          <w:szCs w:val="22"/>
        </w:rPr>
      </w:pPr>
      <w:r w:rsidRPr="00212D57">
        <w:rPr>
          <w:rFonts w:ascii="標楷體" w:eastAsia="標楷體" w:hAnsi="標楷體"/>
          <w:b/>
          <w:sz w:val="22"/>
          <w:szCs w:val="22"/>
        </w:rPr>
        <w:t>是法則無異</w:t>
      </w:r>
      <w:r w:rsidRPr="00212D57">
        <w:rPr>
          <w:rFonts w:ascii="標楷體" w:eastAsia="標楷體" w:hAnsi="標楷體" w:hint="eastAsia"/>
          <w:b/>
          <w:sz w:val="22"/>
          <w:szCs w:val="22"/>
        </w:rPr>
        <w:t>，</w:t>
      </w:r>
      <w:r w:rsidRPr="00212D57">
        <w:rPr>
          <w:rFonts w:ascii="標楷體" w:eastAsia="標楷體" w:hAnsi="標楷體"/>
          <w:b/>
          <w:sz w:val="22"/>
          <w:szCs w:val="22"/>
        </w:rPr>
        <w:t>異法亦無異</w:t>
      </w:r>
      <w:r w:rsidRPr="00212D57">
        <w:rPr>
          <w:rFonts w:ascii="標楷體" w:eastAsia="標楷體" w:hAnsi="標楷體" w:hint="eastAsia"/>
          <w:b/>
          <w:sz w:val="22"/>
          <w:szCs w:val="22"/>
        </w:rPr>
        <w:t>，</w:t>
      </w:r>
      <w:r w:rsidRPr="00212D57">
        <w:rPr>
          <w:rFonts w:ascii="標楷體" w:eastAsia="標楷體" w:hAnsi="標楷體"/>
          <w:b/>
          <w:sz w:val="22"/>
          <w:szCs w:val="22"/>
        </w:rPr>
        <w:t>如壯不作老</w:t>
      </w:r>
      <w:r w:rsidRPr="00212D57">
        <w:rPr>
          <w:rFonts w:ascii="標楷體" w:eastAsia="標楷體" w:hAnsi="標楷體" w:hint="eastAsia"/>
          <w:b/>
          <w:sz w:val="22"/>
          <w:szCs w:val="22"/>
        </w:rPr>
        <w:t>，</w:t>
      </w:r>
      <w:r w:rsidRPr="00212D57">
        <w:rPr>
          <w:rFonts w:ascii="標楷體" w:eastAsia="標楷體" w:hAnsi="標楷體"/>
          <w:b/>
          <w:sz w:val="22"/>
          <w:szCs w:val="22"/>
        </w:rPr>
        <w:t>老亦不作壯</w:t>
      </w:r>
      <w:r w:rsidRPr="0098751B">
        <w:rPr>
          <w:rFonts w:ascii="Times New Roman" w:hAnsi="Times New Roman" w:hint="eastAsia"/>
          <w:sz w:val="22"/>
          <w:szCs w:val="22"/>
          <w:shd w:val="pct15" w:color="auto" w:fill="FFFFFF"/>
          <w:vertAlign w:val="superscript"/>
        </w:rPr>
        <w:t>※</w:t>
      </w:r>
      <w:r w:rsidRPr="00212D57">
        <w:rPr>
          <w:rFonts w:ascii="標楷體" w:eastAsia="標楷體" w:hAnsi="標楷體" w:hint="eastAsia"/>
          <w:b/>
          <w:sz w:val="22"/>
          <w:szCs w:val="22"/>
        </w:rPr>
        <w:t>。</w:t>
      </w:r>
    </w:p>
    <w:p w:rsidR="00157EF6" w:rsidRPr="00212D57" w:rsidRDefault="00157EF6" w:rsidP="00B5316E">
      <w:pPr>
        <w:pStyle w:val="a5"/>
        <w:ind w:leftChars="335" w:left="804"/>
        <w:jc w:val="both"/>
        <w:rPr>
          <w:szCs w:val="22"/>
        </w:rPr>
      </w:pPr>
      <w:r w:rsidRPr="00212D57">
        <w:rPr>
          <w:rFonts w:ascii="標楷體" w:eastAsia="標楷體" w:hAnsi="標楷體"/>
          <w:szCs w:val="22"/>
        </w:rPr>
        <w:t>若法有異者</w:t>
      </w:r>
      <w:r w:rsidRPr="00212D57">
        <w:rPr>
          <w:rFonts w:ascii="標楷體" w:eastAsia="標楷體" w:hAnsi="標楷體" w:hint="eastAsia"/>
          <w:szCs w:val="22"/>
        </w:rPr>
        <w:t>，</w:t>
      </w:r>
      <w:r w:rsidRPr="00212D57">
        <w:rPr>
          <w:rFonts w:ascii="標楷體" w:eastAsia="標楷體" w:hAnsi="標楷體"/>
          <w:szCs w:val="22"/>
        </w:rPr>
        <w:t>則應有異相</w:t>
      </w:r>
      <w:r w:rsidR="0098751B">
        <w:rPr>
          <w:rFonts w:ascii="標楷體" w:eastAsia="標楷體" w:hAnsi="標楷體" w:hint="eastAsia"/>
          <w:color w:val="FF0000"/>
          <w:kern w:val="0"/>
          <w:highlight w:val="yellow"/>
        </w:rPr>
        <w:t>──</w:t>
      </w:r>
      <w:r w:rsidRPr="00212D57">
        <w:rPr>
          <w:rFonts w:ascii="標楷體" w:eastAsia="標楷體" w:hAnsi="標楷體"/>
          <w:szCs w:val="22"/>
        </w:rPr>
        <w:t>為即是法異</w:t>
      </w:r>
      <w:r w:rsidR="0098751B" w:rsidRPr="0098751B">
        <w:rPr>
          <w:rFonts w:ascii="標楷體" w:eastAsia="標楷體" w:hAnsi="標楷體" w:hint="eastAsia"/>
          <w:color w:val="FF0000"/>
          <w:szCs w:val="22"/>
          <w:highlight w:val="yellow"/>
        </w:rPr>
        <w:t>？</w:t>
      </w:r>
      <w:r w:rsidRPr="00212D57">
        <w:rPr>
          <w:rFonts w:ascii="標楷體" w:eastAsia="標楷體" w:hAnsi="標楷體"/>
          <w:szCs w:val="22"/>
        </w:rPr>
        <w:t>為異法異</w:t>
      </w:r>
      <w:r w:rsidR="0098751B" w:rsidRPr="0098751B">
        <w:rPr>
          <w:rFonts w:ascii="標楷體" w:eastAsia="標楷體" w:hAnsi="標楷體" w:hint="eastAsia"/>
          <w:color w:val="FF0000"/>
          <w:szCs w:val="22"/>
          <w:highlight w:val="yellow"/>
        </w:rPr>
        <w:t>？</w:t>
      </w:r>
      <w:r w:rsidRPr="00212D57">
        <w:rPr>
          <w:rFonts w:ascii="標楷體" w:eastAsia="標楷體" w:hAnsi="標楷體"/>
          <w:szCs w:val="22"/>
        </w:rPr>
        <w:t>是二不然。若即是法異</w:t>
      </w:r>
      <w:r w:rsidRPr="00212D57">
        <w:rPr>
          <w:rFonts w:ascii="標楷體" w:eastAsia="標楷體" w:hAnsi="標楷體" w:hint="eastAsia"/>
          <w:szCs w:val="22"/>
        </w:rPr>
        <w:t>，</w:t>
      </w:r>
      <w:r w:rsidRPr="00212D57">
        <w:rPr>
          <w:rFonts w:ascii="標楷體" w:eastAsia="標楷體" w:hAnsi="標楷體"/>
          <w:szCs w:val="22"/>
        </w:rPr>
        <w:t>則老應作老</w:t>
      </w:r>
      <w:r w:rsidR="0098751B">
        <w:rPr>
          <w:rFonts w:ascii="標楷體" w:eastAsia="標楷體" w:hAnsi="標楷體" w:hint="eastAsia"/>
          <w:color w:val="FF0000"/>
          <w:kern w:val="0"/>
          <w:highlight w:val="yellow"/>
        </w:rPr>
        <w:t>！</w:t>
      </w:r>
      <w:r w:rsidRPr="00212D57">
        <w:rPr>
          <w:rFonts w:ascii="標楷體" w:eastAsia="標楷體" w:hAnsi="標楷體"/>
          <w:szCs w:val="22"/>
        </w:rPr>
        <w:t>而老實不作老。若異法異者</w:t>
      </w:r>
      <w:r w:rsidRPr="00212D57">
        <w:rPr>
          <w:rFonts w:ascii="標楷體" w:eastAsia="標楷體" w:hAnsi="標楷體" w:hint="eastAsia"/>
          <w:szCs w:val="22"/>
        </w:rPr>
        <w:t>，</w:t>
      </w:r>
      <w:r w:rsidRPr="00212D57">
        <w:rPr>
          <w:rFonts w:ascii="標楷體" w:eastAsia="標楷體" w:hAnsi="標楷體"/>
          <w:szCs w:val="22"/>
        </w:rPr>
        <w:t>老與壯異</w:t>
      </w:r>
      <w:r w:rsidRPr="00212D57">
        <w:rPr>
          <w:rFonts w:ascii="標楷體" w:eastAsia="標楷體" w:hAnsi="標楷體" w:hint="eastAsia"/>
          <w:szCs w:val="22"/>
        </w:rPr>
        <w:t>，</w:t>
      </w:r>
      <w:r w:rsidRPr="00212D57">
        <w:rPr>
          <w:rFonts w:ascii="標楷體" w:eastAsia="標楷體" w:hAnsi="標楷體"/>
          <w:szCs w:val="22"/>
        </w:rPr>
        <w:t>壯應作老</w:t>
      </w:r>
      <w:r w:rsidR="0098751B">
        <w:rPr>
          <w:rFonts w:ascii="標楷體" w:eastAsia="標楷體" w:hAnsi="標楷體" w:hint="eastAsia"/>
          <w:color w:val="FF0000"/>
          <w:kern w:val="0"/>
          <w:highlight w:val="yellow"/>
        </w:rPr>
        <w:t>！</w:t>
      </w:r>
      <w:r w:rsidRPr="00212D57">
        <w:rPr>
          <w:rFonts w:ascii="標楷體" w:eastAsia="標楷體" w:hAnsi="標楷體"/>
          <w:szCs w:val="22"/>
        </w:rPr>
        <w:t>而壯實不作老</w:t>
      </w:r>
      <w:r w:rsidR="0098751B">
        <w:rPr>
          <w:rFonts w:ascii="標楷體" w:eastAsia="標楷體" w:hAnsi="標楷體" w:hint="eastAsia"/>
          <w:color w:val="FF0000"/>
          <w:kern w:val="0"/>
          <w:highlight w:val="yellow"/>
        </w:rPr>
        <w:t>──</w:t>
      </w:r>
      <w:r w:rsidRPr="00212D57">
        <w:rPr>
          <w:rFonts w:ascii="標楷體" w:eastAsia="標楷體" w:hAnsi="標楷體"/>
          <w:szCs w:val="22"/>
        </w:rPr>
        <w:t>二俱有過。</w:t>
      </w:r>
    </w:p>
    <w:p w:rsidR="00157EF6" w:rsidRPr="00212D57" w:rsidRDefault="00157EF6" w:rsidP="00B5316E">
      <w:pPr>
        <w:pStyle w:val="a5"/>
        <w:ind w:leftChars="335" w:left="804"/>
        <w:jc w:val="both"/>
        <w:rPr>
          <w:rFonts w:eastAsia="SimSun"/>
          <w:szCs w:val="22"/>
        </w:rPr>
      </w:pPr>
      <w:r w:rsidRPr="0098751B">
        <w:rPr>
          <w:rFonts w:hint="eastAsia"/>
          <w:szCs w:val="22"/>
          <w:shd w:val="pct15" w:color="auto" w:fill="FFFFFF"/>
        </w:rPr>
        <w:t>※</w:t>
      </w:r>
      <w:r w:rsidRPr="00212D57">
        <w:rPr>
          <w:rFonts w:hint="eastAsia"/>
          <w:szCs w:val="22"/>
        </w:rPr>
        <w:t>案：「</w:t>
      </w:r>
      <w:r w:rsidRPr="00212D57">
        <w:rPr>
          <w:rFonts w:ascii="標楷體" w:eastAsia="標楷體" w:hAnsi="標楷體"/>
          <w:b/>
          <w:szCs w:val="22"/>
        </w:rPr>
        <w:t>老亦不作壯</w:t>
      </w:r>
      <w:r w:rsidRPr="00212D57">
        <w:rPr>
          <w:rFonts w:hint="eastAsia"/>
          <w:szCs w:val="22"/>
        </w:rPr>
        <w:t>」，梵本作「</w:t>
      </w:r>
      <w:r w:rsidRPr="00212D57">
        <w:rPr>
          <w:rFonts w:ascii="標楷體" w:eastAsia="標楷體" w:hAnsi="標楷體" w:hint="eastAsia"/>
          <w:b/>
          <w:szCs w:val="22"/>
        </w:rPr>
        <w:t>老亦不作老</w:t>
      </w:r>
      <w:r w:rsidRPr="00212D57">
        <w:rPr>
          <w:rFonts w:hint="eastAsia"/>
          <w:szCs w:val="22"/>
        </w:rPr>
        <w:t>」。</w:t>
      </w:r>
    </w:p>
    <w:p w:rsidR="00157EF6" w:rsidRPr="00212D57" w:rsidRDefault="00157EF6" w:rsidP="00B5316E">
      <w:pPr>
        <w:pStyle w:val="a5"/>
        <w:ind w:leftChars="105" w:left="791" w:hangingChars="245" w:hanging="539"/>
        <w:jc w:val="both"/>
        <w:rPr>
          <w:rFonts w:ascii="新細明體" w:hAnsi="新細明體"/>
          <w:szCs w:val="22"/>
        </w:rPr>
      </w:pPr>
      <w:r w:rsidRPr="00212D57">
        <w:rPr>
          <w:rFonts w:ascii="新細明體" w:hAnsi="新細明體" w:hint="eastAsia"/>
          <w:szCs w:val="22"/>
        </w:rPr>
        <w:t>（</w:t>
      </w:r>
      <w:r w:rsidRPr="00761EF3">
        <w:rPr>
          <w:szCs w:val="22"/>
        </w:rPr>
        <w:t>2</w:t>
      </w:r>
      <w:r w:rsidRPr="00212D57">
        <w:rPr>
          <w:rFonts w:ascii="新細明體" w:hAnsi="新細明體" w:hint="eastAsia"/>
          <w:szCs w:val="22"/>
        </w:rPr>
        <w:t>）</w:t>
      </w:r>
      <w:r w:rsidR="009160B5">
        <w:rPr>
          <w:rFonts w:ascii="新細明體" w:hAnsi="新細明體" w:hint="eastAsia"/>
          <w:szCs w:val="22"/>
        </w:rPr>
        <w:t>參見：印</w:t>
      </w:r>
      <w:r w:rsidRPr="00212D57">
        <w:rPr>
          <w:rFonts w:ascii="新細明體" w:hAnsi="新細明體" w:hint="eastAsia"/>
          <w:szCs w:val="22"/>
        </w:rPr>
        <w:t>順法師，《</w:t>
      </w:r>
      <w:r w:rsidRPr="00212D57">
        <w:rPr>
          <w:szCs w:val="22"/>
        </w:rPr>
        <w:t>中觀論頌講記》，</w:t>
      </w:r>
      <w:r w:rsidRPr="00761EF3">
        <w:rPr>
          <w:szCs w:val="22"/>
        </w:rPr>
        <w:t>pp</w:t>
      </w:r>
      <w:r w:rsidRPr="00212D57">
        <w:rPr>
          <w:szCs w:val="22"/>
        </w:rPr>
        <w:t>.</w:t>
      </w:r>
      <w:r w:rsidRPr="00761EF3">
        <w:rPr>
          <w:rFonts w:hint="eastAsia"/>
          <w:szCs w:val="22"/>
        </w:rPr>
        <w:t>232</w:t>
      </w:r>
      <w:r w:rsidRPr="00212D57">
        <w:rPr>
          <w:szCs w:val="22"/>
        </w:rPr>
        <w:t>-</w:t>
      </w:r>
      <w:r w:rsidRPr="00761EF3">
        <w:rPr>
          <w:rFonts w:hint="eastAsia"/>
          <w:szCs w:val="22"/>
        </w:rPr>
        <w:t>233</w:t>
      </w:r>
      <w:r w:rsidRPr="00212D57">
        <w:rPr>
          <w:rFonts w:hint="eastAsia"/>
          <w:szCs w:val="22"/>
        </w:rPr>
        <w:t>：</w:t>
      </w:r>
    </w:p>
    <w:p w:rsidR="00157EF6" w:rsidRPr="00212D57" w:rsidRDefault="00157EF6" w:rsidP="00B5316E">
      <w:pPr>
        <w:pStyle w:val="a5"/>
        <w:ind w:leftChars="335" w:left="804"/>
        <w:jc w:val="both"/>
        <w:rPr>
          <w:rFonts w:ascii="標楷體" w:eastAsia="標楷體" w:hAnsi="標楷體"/>
          <w:szCs w:val="22"/>
        </w:rPr>
      </w:pPr>
      <w:r w:rsidRPr="00212D57">
        <w:rPr>
          <w:rFonts w:ascii="標楷體" w:eastAsia="標楷體" w:hAnsi="標楷體" w:hint="eastAsia"/>
          <w:szCs w:val="22"/>
        </w:rPr>
        <w:t>從前後的同異去觀察：你說諸行有變異，還是說前後是一法，還是說是兩法？假使就「是」這一「法」，既然是一法，當然不可說他有變「異」。變，要起初是這樣，後來又改為那樣。一法是始終如一，永遠保持他的自體而不失不異，這怎麼可以說變？</w:t>
      </w:r>
    </w:p>
    <w:p w:rsidR="00157EF6" w:rsidRPr="00212D57" w:rsidRDefault="00157EF6" w:rsidP="00B5316E">
      <w:pPr>
        <w:pStyle w:val="a5"/>
        <w:ind w:leftChars="335" w:left="804"/>
        <w:jc w:val="both"/>
        <w:rPr>
          <w:rFonts w:ascii="標楷體" w:eastAsia="標楷體" w:hAnsi="標楷體"/>
          <w:szCs w:val="22"/>
        </w:rPr>
      </w:pPr>
      <w:r w:rsidRPr="00212D57">
        <w:rPr>
          <w:rFonts w:ascii="標楷體" w:eastAsia="標楷體" w:hAnsi="標楷體" w:hint="eastAsia"/>
          <w:b/>
          <w:szCs w:val="22"/>
        </w:rPr>
        <w:t>假使說前後是不同的兩法，這也不能說有變異。這法不是那法，那法不是這法，彼此都保持他固有的自性，如此如此，這還說什麼變異？所以說：「異法亦無異</w:t>
      </w:r>
      <w:r w:rsidRPr="00212D57">
        <w:rPr>
          <w:rFonts w:ascii="標楷體" w:eastAsia="標楷體" w:hAnsi="標楷體" w:hint="eastAsia"/>
          <w:szCs w:val="22"/>
        </w:rPr>
        <w:t>。</w:t>
      </w:r>
      <w:r w:rsidRPr="00212D57">
        <w:rPr>
          <w:rFonts w:ascii="標楷體" w:eastAsia="標楷體" w:hAnsi="標楷體" w:hint="eastAsia"/>
          <w:b/>
          <w:szCs w:val="22"/>
        </w:rPr>
        <w:t>」</w:t>
      </w:r>
    </w:p>
    <w:p w:rsidR="00157EF6" w:rsidRPr="00212D57" w:rsidRDefault="00157EF6" w:rsidP="00B5316E">
      <w:pPr>
        <w:pStyle w:val="a5"/>
        <w:ind w:leftChars="335" w:left="804"/>
        <w:jc w:val="both"/>
        <w:rPr>
          <w:rFonts w:ascii="標楷體" w:eastAsia="標楷體" w:hAnsi="標楷體"/>
          <w:szCs w:val="22"/>
        </w:rPr>
      </w:pPr>
      <w:r w:rsidRPr="00212D57">
        <w:rPr>
          <w:rFonts w:ascii="標楷體" w:eastAsia="標楷體" w:hAnsi="標楷體" w:hint="eastAsia"/>
          <w:szCs w:val="22"/>
        </w:rPr>
        <w:t>舉事實說吧！「如壯」年有壯年的自體，要保持壯年的特色；老年有老年的自體。那就壯年是壯年，老年是老年。壯年「不」能變「作老」年，這是比喻「異法無有異」的。</w:t>
      </w:r>
    </w:p>
    <w:p w:rsidR="00157EF6" w:rsidRPr="00212D57" w:rsidRDefault="00157EF6" w:rsidP="00B5316E">
      <w:pPr>
        <w:pStyle w:val="a5"/>
        <w:ind w:leftChars="335" w:left="804"/>
        <w:jc w:val="both"/>
        <w:rPr>
          <w:rFonts w:ascii="標楷體" w:eastAsia="SimSun" w:hAnsi="標楷體"/>
          <w:szCs w:val="22"/>
        </w:rPr>
      </w:pPr>
      <w:r w:rsidRPr="00212D57">
        <w:rPr>
          <w:rFonts w:ascii="標楷體" w:eastAsia="標楷體" w:hAnsi="標楷體" w:hint="eastAsia"/>
          <w:szCs w:val="22"/>
        </w:rPr>
        <w:t>「</w:t>
      </w:r>
      <w:r w:rsidRPr="00212D57">
        <w:rPr>
          <w:rFonts w:ascii="標楷體" w:eastAsia="標楷體" w:hAnsi="標楷體" w:hint="eastAsia"/>
          <w:b/>
          <w:szCs w:val="22"/>
        </w:rPr>
        <w:t>老亦不作老</w:t>
      </w:r>
      <w:r w:rsidRPr="00212D57">
        <w:rPr>
          <w:rFonts w:ascii="標楷體" w:eastAsia="標楷體" w:hAnsi="標楷體" w:hint="eastAsia"/>
          <w:szCs w:val="22"/>
        </w:rPr>
        <w:t>」，流通本作「老亦不作壯」，</w:t>
      </w:r>
      <w:r w:rsidRPr="00212D57">
        <w:rPr>
          <w:rFonts w:ascii="標楷體" w:eastAsia="標楷體" w:hAnsi="標楷體" w:hint="eastAsia"/>
          <w:b/>
          <w:szCs w:val="22"/>
        </w:rPr>
        <w:t>依嘉祥疏及青目論，應改正為「不作老」。</w:t>
      </w:r>
      <w:r w:rsidRPr="00212D57">
        <w:rPr>
          <w:rFonts w:ascii="標楷體" w:eastAsia="標楷體" w:hAnsi="標楷體" w:hint="eastAsia"/>
          <w:szCs w:val="22"/>
        </w:rPr>
        <w:t>意思說：</w:t>
      </w:r>
      <w:r w:rsidRPr="00212D57">
        <w:rPr>
          <w:rFonts w:ascii="標楷體" w:eastAsia="標楷體" w:hAnsi="標楷體" w:hint="eastAsia"/>
          <w:b/>
          <w:szCs w:val="22"/>
        </w:rPr>
        <w:t>老就是老，怎麼可說變異作老？</w:t>
      </w:r>
      <w:r w:rsidRPr="00212D57">
        <w:rPr>
          <w:rFonts w:ascii="標楷體" w:eastAsia="標楷體" w:hAnsi="標楷體" w:hint="eastAsia"/>
          <w:szCs w:val="22"/>
        </w:rPr>
        <w:t>這是比喻「是法無有異」的。</w:t>
      </w:r>
    </w:p>
    <w:p w:rsidR="00157EF6" w:rsidRPr="00212D57" w:rsidRDefault="00157EF6" w:rsidP="00B5316E">
      <w:pPr>
        <w:pStyle w:val="a5"/>
        <w:ind w:leftChars="105" w:left="791" w:hangingChars="245" w:hanging="539"/>
        <w:jc w:val="both"/>
        <w:rPr>
          <w:rStyle w:val="21"/>
          <w:szCs w:val="22"/>
        </w:rPr>
      </w:pPr>
      <w:r w:rsidRPr="00212D57">
        <w:rPr>
          <w:szCs w:val="22"/>
        </w:rPr>
        <w:t>（</w:t>
      </w:r>
      <w:r w:rsidRPr="00761EF3">
        <w:rPr>
          <w:szCs w:val="22"/>
        </w:rPr>
        <w:t>3</w:t>
      </w:r>
      <w:r w:rsidRPr="00212D57">
        <w:rPr>
          <w:szCs w:val="22"/>
        </w:rPr>
        <w:t>）</w:t>
      </w:r>
      <w:r w:rsidRPr="00615847">
        <w:rPr>
          <w:rStyle w:val="21"/>
          <w:szCs w:val="22"/>
        </w:rPr>
        <w:t>三枝充悳</w:t>
      </w:r>
      <w:r w:rsidRPr="00212D57">
        <w:rPr>
          <w:rStyle w:val="21"/>
          <w:rFonts w:hint="eastAsia"/>
          <w:szCs w:val="22"/>
        </w:rPr>
        <w:t>，</w:t>
      </w:r>
      <w:r w:rsidRPr="00212D57">
        <w:rPr>
          <w:rStyle w:val="21"/>
          <w:szCs w:val="22"/>
        </w:rPr>
        <w:t>《中論偈頌總覽》，</w:t>
      </w:r>
      <w:r w:rsidRPr="00761EF3">
        <w:rPr>
          <w:rStyle w:val="21"/>
          <w:szCs w:val="22"/>
        </w:rPr>
        <w:t>p</w:t>
      </w:r>
      <w:r w:rsidRPr="00212D57">
        <w:rPr>
          <w:rStyle w:val="21"/>
          <w:szCs w:val="22"/>
        </w:rPr>
        <w:t>.</w:t>
      </w:r>
      <w:r w:rsidRPr="00761EF3">
        <w:rPr>
          <w:rStyle w:val="21"/>
          <w:szCs w:val="22"/>
        </w:rPr>
        <w:t>374</w:t>
      </w:r>
      <w:r w:rsidRPr="00212D57">
        <w:rPr>
          <w:rStyle w:val="21"/>
          <w:szCs w:val="22"/>
        </w:rPr>
        <w:t>：</w:t>
      </w:r>
    </w:p>
    <w:p w:rsidR="00157EF6" w:rsidRPr="00212D57" w:rsidRDefault="00157EF6" w:rsidP="00B5316E">
      <w:pPr>
        <w:pStyle w:val="Web"/>
        <w:widowControl w:val="0"/>
        <w:snapToGrid w:val="0"/>
        <w:spacing w:before="0" w:beforeAutospacing="0" w:after="0" w:afterAutospacing="0"/>
        <w:ind w:leftChars="335" w:left="804"/>
        <w:jc w:val="both"/>
        <w:rPr>
          <w:rFonts w:ascii="Times New Roman" w:eastAsia="Roman Unicode"/>
          <w:kern w:val="2"/>
          <w:szCs w:val="22"/>
        </w:rPr>
      </w:pPr>
      <w:r w:rsidRPr="00761EF3">
        <w:rPr>
          <w:rFonts w:ascii="Times New Roman" w:eastAsia="Roman Unicode" w:hAnsi="Times New Roman"/>
          <w:kern w:val="2"/>
          <w:szCs w:val="22"/>
        </w:rPr>
        <w:t>tasyaiva</w:t>
      </w:r>
      <w:r w:rsidRPr="00212D57">
        <w:rPr>
          <w:rFonts w:ascii="Times New Roman" w:eastAsia="Roman Unicode"/>
          <w:kern w:val="2"/>
          <w:szCs w:val="22"/>
        </w:rPr>
        <w:t xml:space="preserve"> </w:t>
      </w:r>
      <w:r w:rsidRPr="00761EF3">
        <w:rPr>
          <w:rFonts w:ascii="Times New Roman" w:eastAsia="Roman Unicode" w:hAnsi="Times New Roman"/>
          <w:kern w:val="2"/>
          <w:szCs w:val="22"/>
        </w:rPr>
        <w:t>nānyathābhāvo</w:t>
      </w:r>
      <w:r w:rsidRPr="00212D57">
        <w:rPr>
          <w:rFonts w:ascii="Times New Roman" w:eastAsia="Roman Unicode"/>
          <w:kern w:val="2"/>
          <w:szCs w:val="22"/>
        </w:rPr>
        <w:t xml:space="preserve"> </w:t>
      </w:r>
      <w:r w:rsidRPr="00761EF3">
        <w:rPr>
          <w:rFonts w:ascii="Times New Roman" w:eastAsia="Roman Unicode" w:hAnsi="Times New Roman"/>
          <w:kern w:val="2"/>
          <w:szCs w:val="22"/>
        </w:rPr>
        <w:t>nāpyanyasyaiva</w:t>
      </w:r>
      <w:r w:rsidRPr="00212D57">
        <w:rPr>
          <w:rFonts w:ascii="Times New Roman" w:eastAsia="Roman Unicode"/>
          <w:kern w:val="2"/>
          <w:szCs w:val="22"/>
        </w:rPr>
        <w:t xml:space="preserve"> </w:t>
      </w:r>
      <w:r w:rsidRPr="00761EF3">
        <w:rPr>
          <w:rFonts w:ascii="Times New Roman" w:eastAsia="Roman Unicode" w:hAnsi="Times New Roman"/>
          <w:kern w:val="2"/>
          <w:szCs w:val="22"/>
        </w:rPr>
        <w:t>yujyate</w:t>
      </w:r>
      <w:r w:rsidRPr="00212D57">
        <w:rPr>
          <w:rFonts w:ascii="Times New Roman" w:eastAsia="Roman Unicode"/>
          <w:kern w:val="2"/>
          <w:szCs w:val="22"/>
        </w:rPr>
        <w:t xml:space="preserve"> /</w:t>
      </w:r>
    </w:p>
    <w:p w:rsidR="00157EF6" w:rsidRPr="00212D57" w:rsidRDefault="00157EF6" w:rsidP="00B5316E">
      <w:pPr>
        <w:snapToGrid w:val="0"/>
        <w:ind w:leftChars="335" w:left="804"/>
        <w:jc w:val="both"/>
        <w:rPr>
          <w:rFonts w:eastAsia="Roman Unicode"/>
          <w:sz w:val="22"/>
          <w:szCs w:val="22"/>
        </w:rPr>
      </w:pPr>
      <w:r w:rsidRPr="00761EF3">
        <w:rPr>
          <w:rFonts w:ascii="Times New Roman" w:eastAsia="Roman Unicode" w:hAnsi="Times New Roman"/>
          <w:sz w:val="22"/>
          <w:szCs w:val="22"/>
        </w:rPr>
        <w:t>yuvā</w:t>
      </w:r>
      <w:r w:rsidRPr="00212D57">
        <w:rPr>
          <w:rFonts w:eastAsia="Roman Unicode"/>
          <w:sz w:val="22"/>
          <w:szCs w:val="22"/>
        </w:rPr>
        <w:t xml:space="preserve"> </w:t>
      </w:r>
      <w:r w:rsidRPr="00761EF3">
        <w:rPr>
          <w:rFonts w:ascii="Times New Roman" w:eastAsia="Roman Unicode" w:hAnsi="Times New Roman"/>
          <w:sz w:val="22"/>
          <w:szCs w:val="22"/>
        </w:rPr>
        <w:t>na</w:t>
      </w:r>
      <w:r w:rsidRPr="00212D57">
        <w:rPr>
          <w:rFonts w:eastAsia="Roman Unicode"/>
          <w:sz w:val="22"/>
          <w:szCs w:val="22"/>
        </w:rPr>
        <w:t xml:space="preserve"> </w:t>
      </w:r>
      <w:r w:rsidRPr="00761EF3">
        <w:rPr>
          <w:rFonts w:ascii="Times New Roman" w:eastAsia="Roman Unicode" w:hAnsi="Times New Roman"/>
          <w:sz w:val="22"/>
          <w:szCs w:val="22"/>
        </w:rPr>
        <w:t>jīryate</w:t>
      </w:r>
      <w:r w:rsidRPr="00212D57">
        <w:rPr>
          <w:rFonts w:eastAsia="Roman Unicode"/>
          <w:sz w:val="22"/>
          <w:szCs w:val="22"/>
        </w:rPr>
        <w:t xml:space="preserve"> </w:t>
      </w:r>
      <w:r w:rsidRPr="00761EF3">
        <w:rPr>
          <w:rFonts w:ascii="Times New Roman" w:eastAsia="Roman Unicode" w:hAnsi="Times New Roman"/>
          <w:sz w:val="22"/>
          <w:szCs w:val="22"/>
        </w:rPr>
        <w:t>yasmādyasmajjīrṇo</w:t>
      </w:r>
      <w:r w:rsidRPr="00212D57">
        <w:rPr>
          <w:rFonts w:eastAsia="Roman Unicode"/>
          <w:sz w:val="22"/>
          <w:szCs w:val="22"/>
        </w:rPr>
        <w:t xml:space="preserve"> </w:t>
      </w:r>
      <w:r w:rsidRPr="00761EF3">
        <w:rPr>
          <w:rFonts w:ascii="Times New Roman" w:eastAsia="Roman Unicode" w:hAnsi="Times New Roman"/>
          <w:sz w:val="22"/>
          <w:szCs w:val="22"/>
        </w:rPr>
        <w:t>na</w:t>
      </w:r>
      <w:r w:rsidRPr="00212D57">
        <w:rPr>
          <w:rFonts w:eastAsia="Roman Unicode"/>
          <w:sz w:val="22"/>
          <w:szCs w:val="22"/>
        </w:rPr>
        <w:t xml:space="preserve"> </w:t>
      </w:r>
      <w:r w:rsidRPr="00761EF3">
        <w:rPr>
          <w:rFonts w:ascii="Times New Roman" w:eastAsia="Roman Unicode" w:hAnsi="Times New Roman"/>
          <w:sz w:val="22"/>
          <w:szCs w:val="22"/>
        </w:rPr>
        <w:t>jīryate</w:t>
      </w:r>
      <w:r w:rsidRPr="00212D57">
        <w:rPr>
          <w:rFonts w:eastAsia="Roman Unicode"/>
          <w:sz w:val="22"/>
          <w:szCs w:val="22"/>
        </w:rPr>
        <w:t xml:space="preserve"> //</w:t>
      </w:r>
    </w:p>
    <w:p w:rsidR="00157EF6" w:rsidRPr="00212D57" w:rsidRDefault="00157EF6" w:rsidP="00B5316E">
      <w:pPr>
        <w:pStyle w:val="a5"/>
        <w:ind w:leftChars="335" w:left="804"/>
        <w:jc w:val="both"/>
        <w:rPr>
          <w:b/>
          <w:szCs w:val="22"/>
          <w:lang w:eastAsia="ja-JP"/>
        </w:rPr>
      </w:pPr>
      <w:r w:rsidRPr="00212D57">
        <w:rPr>
          <w:rFonts w:eastAsia="標楷體"/>
          <w:szCs w:val="22"/>
          <w:lang w:eastAsia="ja-JP"/>
        </w:rPr>
        <w:t>〔同一の〕そのものに変異するということは，ない。また他のもの（他の</w:t>
      </w:r>
      <w:r w:rsidRPr="00212D57">
        <w:rPr>
          <w:rFonts w:eastAsia="標楷體" w:hint="eastAsia"/>
          <w:szCs w:val="22"/>
          <w:lang w:eastAsia="ja-JP"/>
        </w:rPr>
        <w:t>狀</w:t>
      </w:r>
      <w:r w:rsidRPr="00212D57">
        <w:rPr>
          <w:rFonts w:eastAsia="標楷體"/>
          <w:szCs w:val="22"/>
          <w:lang w:eastAsia="ja-JP"/>
        </w:rPr>
        <w:t>態になっているもの）にも，〔変異するということ〕は，正しくない（理に合わない）。なぜならば，青年は〔まだ〕老いることがないから。</w:t>
      </w:r>
      <w:r w:rsidRPr="00212D57">
        <w:rPr>
          <w:rFonts w:eastAsia="標楷體"/>
          <w:b/>
          <w:szCs w:val="22"/>
          <w:lang w:eastAsia="ja-JP"/>
        </w:rPr>
        <w:t>また老人は〔もはや〕老いることがないからである。</w:t>
      </w:r>
    </w:p>
  </w:footnote>
  <w:footnote w:id="511">
    <w:p w:rsidR="00157EF6" w:rsidRPr="00043A1E" w:rsidRDefault="00157EF6" w:rsidP="009E0A5A">
      <w:pPr>
        <w:pStyle w:val="a5"/>
        <w:ind w:left="187" w:hangingChars="85" w:hanging="187"/>
        <w:jc w:val="both"/>
        <w:rPr>
          <w:rFonts w:ascii="新細明體" w:hAnsi="新細明體"/>
          <w:szCs w:val="22"/>
        </w:rPr>
      </w:pPr>
      <w:r w:rsidRPr="00043A1E">
        <w:rPr>
          <w:rStyle w:val="a6"/>
          <w:szCs w:val="22"/>
        </w:rPr>
        <w:footnoteRef/>
      </w:r>
      <w:r w:rsidRPr="00043A1E">
        <w:rPr>
          <w:rFonts w:hint="eastAsia"/>
          <w:szCs w:val="22"/>
        </w:rPr>
        <w:t xml:space="preserve"> </w:t>
      </w:r>
      <w:r w:rsidR="009160B5">
        <w:rPr>
          <w:rFonts w:hint="eastAsia"/>
          <w:szCs w:val="22"/>
        </w:rPr>
        <w:t>參見：印</w:t>
      </w:r>
      <w:r w:rsidRPr="00043A1E">
        <w:rPr>
          <w:rFonts w:hint="eastAsia"/>
          <w:szCs w:val="22"/>
        </w:rPr>
        <w:t>順</w:t>
      </w:r>
      <w:r w:rsidRPr="00043A1E">
        <w:rPr>
          <w:rFonts w:ascii="新細明體" w:hAnsi="新細明體" w:hint="eastAsia"/>
          <w:szCs w:val="22"/>
        </w:rPr>
        <w:t>法師，《中觀今論》，</w:t>
      </w:r>
      <w:r w:rsidRPr="00043A1E">
        <w:rPr>
          <w:szCs w:val="22"/>
        </w:rPr>
        <w:t>第</w:t>
      </w:r>
      <w:r w:rsidRPr="00761EF3">
        <w:rPr>
          <w:rFonts w:hint="eastAsia"/>
          <w:szCs w:val="22"/>
        </w:rPr>
        <w:t>4</w:t>
      </w:r>
      <w:r w:rsidRPr="00043A1E">
        <w:rPr>
          <w:szCs w:val="22"/>
        </w:rPr>
        <w:t>章〈中道之方法論〉，第</w:t>
      </w:r>
      <w:r w:rsidRPr="00761EF3">
        <w:rPr>
          <w:szCs w:val="22"/>
        </w:rPr>
        <w:t>2</w:t>
      </w:r>
      <w:r w:rsidRPr="00043A1E">
        <w:rPr>
          <w:szCs w:val="22"/>
        </w:rPr>
        <w:t>節〈因</w:t>
      </w:r>
      <w:r w:rsidRPr="00043A1E">
        <w:rPr>
          <w:rFonts w:ascii="新細明體" w:hAnsi="新細明體" w:hint="eastAsia"/>
          <w:szCs w:val="22"/>
        </w:rPr>
        <w:t>明與中觀〉，</w:t>
      </w:r>
      <w:r w:rsidRPr="00761EF3">
        <w:rPr>
          <w:szCs w:val="22"/>
        </w:rPr>
        <w:t>pp</w:t>
      </w:r>
      <w:r w:rsidRPr="00043A1E">
        <w:rPr>
          <w:szCs w:val="22"/>
        </w:rPr>
        <w:t>.</w:t>
      </w:r>
      <w:r w:rsidRPr="00761EF3">
        <w:rPr>
          <w:szCs w:val="22"/>
        </w:rPr>
        <w:t>48</w:t>
      </w:r>
      <w:r w:rsidRPr="00043A1E">
        <w:rPr>
          <w:szCs w:val="22"/>
        </w:rPr>
        <w:t>-</w:t>
      </w:r>
      <w:r w:rsidRPr="00761EF3">
        <w:rPr>
          <w:szCs w:val="22"/>
        </w:rPr>
        <w:t>49</w:t>
      </w:r>
      <w:r w:rsidRPr="00043A1E">
        <w:rPr>
          <w:rFonts w:ascii="新細明體" w:hAnsi="新細明體" w:hint="eastAsia"/>
          <w:szCs w:val="22"/>
        </w:rPr>
        <w:t>。</w:t>
      </w:r>
    </w:p>
  </w:footnote>
  <w:footnote w:id="512">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szCs w:val="22"/>
        </w:rPr>
        <w:t>參見</w:t>
      </w:r>
      <w:r w:rsidR="002135E2">
        <w:rPr>
          <w:rFonts w:hint="eastAsia"/>
          <w:szCs w:val="22"/>
        </w:rPr>
        <w:t>：</w:t>
      </w:r>
      <w:r w:rsidRPr="00212D57">
        <w:rPr>
          <w:szCs w:val="22"/>
        </w:rPr>
        <w:t>宗喀巴著，法尊譯，</w:t>
      </w:r>
      <w:r w:rsidRPr="00043A1E">
        <w:rPr>
          <w:szCs w:val="22"/>
        </w:rPr>
        <w:t>《菩提道次第廣論》卷</w:t>
      </w:r>
      <w:r w:rsidRPr="00761EF3">
        <w:rPr>
          <w:szCs w:val="22"/>
        </w:rPr>
        <w:t>18</w:t>
      </w:r>
      <w:r w:rsidRPr="00043A1E">
        <w:rPr>
          <w:szCs w:val="22"/>
        </w:rPr>
        <w:t>，</w:t>
      </w:r>
      <w:r w:rsidR="00AD14BF">
        <w:rPr>
          <w:rFonts w:hint="eastAsia"/>
          <w:szCs w:val="22"/>
        </w:rPr>
        <w:t>台北，福智之聲</w:t>
      </w:r>
      <w:r w:rsidRPr="00043A1E">
        <w:rPr>
          <w:szCs w:val="22"/>
        </w:rPr>
        <w:t>出版社，</w:t>
      </w:r>
      <w:r w:rsidRPr="00761EF3">
        <w:rPr>
          <w:szCs w:val="22"/>
        </w:rPr>
        <w:t>pp</w:t>
      </w:r>
      <w:r w:rsidRPr="00043A1E">
        <w:rPr>
          <w:szCs w:val="22"/>
        </w:rPr>
        <w:t>.</w:t>
      </w:r>
      <w:r w:rsidRPr="00761EF3">
        <w:rPr>
          <w:szCs w:val="22"/>
        </w:rPr>
        <w:t>420</w:t>
      </w:r>
      <w:r w:rsidRPr="00043A1E">
        <w:rPr>
          <w:szCs w:val="22"/>
        </w:rPr>
        <w:t>-</w:t>
      </w:r>
      <w:r w:rsidRPr="00761EF3">
        <w:rPr>
          <w:szCs w:val="22"/>
        </w:rPr>
        <w:t>421</w:t>
      </w:r>
      <w:r w:rsidRPr="00043A1E">
        <w:rPr>
          <w:szCs w:val="22"/>
        </w:rPr>
        <w:t>：</w:t>
      </w:r>
    </w:p>
    <w:p w:rsidR="00157EF6" w:rsidRPr="00043A1E" w:rsidRDefault="00157EF6" w:rsidP="00AA120F">
      <w:pPr>
        <w:pStyle w:val="a5"/>
        <w:ind w:leftChars="75" w:left="180"/>
        <w:jc w:val="both"/>
        <w:rPr>
          <w:rFonts w:ascii="標楷體" w:eastAsia="標楷體" w:hAnsi="標楷體"/>
          <w:szCs w:val="22"/>
        </w:rPr>
      </w:pPr>
      <w:r w:rsidRPr="00043A1E">
        <w:rPr>
          <w:rFonts w:ascii="標楷體" w:eastAsia="標楷體" w:hAnsi="標楷體"/>
          <w:szCs w:val="22"/>
        </w:rPr>
        <w:t>《四百論釋》云：「如實事師，若時說有諸法，爾時即說是有自性；若時無性，爾時便說諸法一切永無</w:t>
      </w:r>
      <w:r w:rsidRPr="00043A1E">
        <w:rPr>
          <w:rFonts w:ascii="標楷體" w:eastAsia="標楷體" w:hAnsi="標楷體" w:hint="eastAsia"/>
          <w:szCs w:val="22"/>
        </w:rPr>
        <w:t>，</w:t>
      </w:r>
      <w:r w:rsidRPr="00043A1E">
        <w:rPr>
          <w:rFonts w:ascii="標楷體" w:eastAsia="標楷體" w:hAnsi="標楷體"/>
          <w:szCs w:val="22"/>
        </w:rPr>
        <w:t>等同兔角。未出二邊，故此所樂一切難成。」乃至未解月稱論師所</w:t>
      </w:r>
      <w:r w:rsidRPr="002135E2">
        <w:rPr>
          <w:rFonts w:ascii="標楷體" w:eastAsia="標楷體" w:hAnsi="標楷體"/>
          <w:szCs w:val="22"/>
          <w:highlight w:val="yellow"/>
        </w:rPr>
        <w:t>分有</w:t>
      </w:r>
      <w:r w:rsidR="002135E2">
        <w:rPr>
          <w:rFonts w:ascii="標楷體" w:eastAsia="標楷體" w:hAnsi="標楷體" w:hint="eastAsia"/>
          <w:color w:val="FF0000"/>
          <w:kern w:val="0"/>
          <w:highlight w:val="yellow"/>
        </w:rPr>
        <w:t>.</w:t>
      </w:r>
      <w:r w:rsidRPr="00043A1E">
        <w:rPr>
          <w:rFonts w:ascii="標楷體" w:eastAsia="標楷體" w:hAnsi="標楷體"/>
          <w:b/>
          <w:szCs w:val="22"/>
        </w:rPr>
        <w:t>無自性</w:t>
      </w:r>
      <w:r w:rsidRPr="00043A1E">
        <w:rPr>
          <w:rFonts w:ascii="標楷體" w:eastAsia="標楷體" w:hAnsi="標楷體"/>
          <w:szCs w:val="22"/>
        </w:rPr>
        <w:t>與</w:t>
      </w:r>
      <w:r w:rsidRPr="00043A1E">
        <w:rPr>
          <w:rFonts w:ascii="標楷體" w:eastAsia="標楷體" w:hAnsi="標楷體"/>
          <w:b/>
          <w:szCs w:val="22"/>
        </w:rPr>
        <w:t>有</w:t>
      </w:r>
      <w:r w:rsidR="002135E2">
        <w:rPr>
          <w:rFonts w:ascii="標楷體" w:eastAsia="標楷體" w:hAnsi="標楷體" w:hint="eastAsia"/>
          <w:color w:val="FF0000"/>
          <w:kern w:val="0"/>
          <w:highlight w:val="yellow"/>
        </w:rPr>
        <w:t>.</w:t>
      </w:r>
      <w:r w:rsidRPr="00043A1E">
        <w:rPr>
          <w:rFonts w:ascii="標楷體" w:eastAsia="標楷體" w:hAnsi="標楷體"/>
          <w:b/>
          <w:szCs w:val="22"/>
        </w:rPr>
        <w:t>無法</w:t>
      </w:r>
      <w:r w:rsidRPr="00043A1E">
        <w:rPr>
          <w:rFonts w:ascii="標楷體" w:eastAsia="標楷體" w:hAnsi="標楷體"/>
          <w:szCs w:val="22"/>
        </w:rPr>
        <w:t>四者差別，定墮二邊，不能通達中觀深義。</w:t>
      </w:r>
    </w:p>
    <w:p w:rsidR="00157EF6" w:rsidRPr="00043A1E" w:rsidRDefault="00157EF6" w:rsidP="00AA120F">
      <w:pPr>
        <w:pStyle w:val="a5"/>
        <w:ind w:leftChars="75" w:left="180"/>
        <w:jc w:val="both"/>
        <w:rPr>
          <w:rFonts w:ascii="標楷體" w:eastAsia="標楷體" w:hAnsi="標楷體"/>
          <w:szCs w:val="22"/>
        </w:rPr>
      </w:pPr>
      <w:r w:rsidRPr="00043A1E">
        <w:rPr>
          <w:rFonts w:ascii="標楷體" w:eastAsia="標楷體" w:hAnsi="標楷體"/>
          <w:szCs w:val="22"/>
        </w:rPr>
        <w:t>謂以若</w:t>
      </w:r>
      <w:r w:rsidR="002135E2" w:rsidRPr="002135E2">
        <w:rPr>
          <w:rFonts w:ascii="標楷體" w:eastAsia="標楷體" w:hAnsi="標楷體" w:hint="eastAsia"/>
          <w:bCs/>
          <w:color w:val="FF0000"/>
          <w:kern w:val="0"/>
          <w:shd w:val="pct15" w:color="auto" w:fill="FFFFFF"/>
        </w:rPr>
        <w:t>「</w:t>
      </w:r>
      <w:r w:rsidRPr="00043A1E">
        <w:rPr>
          <w:rFonts w:ascii="標楷體" w:eastAsia="標楷體" w:hAnsi="標楷體"/>
          <w:szCs w:val="22"/>
        </w:rPr>
        <w:t>無自性</w:t>
      </w:r>
      <w:r w:rsidR="002135E2" w:rsidRPr="002135E2">
        <w:rPr>
          <w:rFonts w:ascii="標楷體" w:eastAsia="標楷體" w:hAnsi="標楷體" w:hint="eastAsia"/>
          <w:bCs/>
          <w:color w:val="FF0000"/>
          <w:kern w:val="0"/>
          <w:shd w:val="pct15" w:color="auto" w:fill="FFFFFF"/>
        </w:rPr>
        <w:t>，</w:t>
      </w:r>
      <w:r w:rsidRPr="00043A1E">
        <w:rPr>
          <w:rFonts w:ascii="標楷體" w:eastAsia="標楷體" w:hAnsi="標楷體"/>
          <w:szCs w:val="22"/>
        </w:rPr>
        <w:t>則全無法</w:t>
      </w:r>
      <w:r w:rsidR="002135E2" w:rsidRPr="002135E2">
        <w:rPr>
          <w:rFonts w:ascii="標楷體" w:eastAsia="標楷體" w:hAnsi="標楷體" w:hint="eastAsia"/>
          <w:bCs/>
          <w:color w:val="FF0000"/>
          <w:kern w:val="0"/>
          <w:shd w:val="pct15" w:color="auto" w:fill="FFFFFF"/>
        </w:rPr>
        <w:t>」</w:t>
      </w:r>
      <w:r w:rsidRPr="00043A1E">
        <w:rPr>
          <w:rFonts w:ascii="標楷體" w:eastAsia="標楷體" w:hAnsi="標楷體"/>
          <w:szCs w:val="22"/>
        </w:rPr>
        <w:t>，於性空之空，全無安立因果之處，故</w:t>
      </w:r>
      <w:r w:rsidRPr="00043A1E">
        <w:rPr>
          <w:rFonts w:ascii="標楷體" w:eastAsia="標楷體" w:hAnsi="標楷體"/>
          <w:b/>
          <w:szCs w:val="22"/>
        </w:rPr>
        <w:t>墮斷邊</w:t>
      </w:r>
      <w:r w:rsidRPr="00043A1E">
        <w:rPr>
          <w:rFonts w:ascii="標楷體" w:eastAsia="標楷體" w:hAnsi="標楷體"/>
          <w:szCs w:val="22"/>
        </w:rPr>
        <w:t>；</w:t>
      </w:r>
    </w:p>
    <w:p w:rsidR="00157EF6" w:rsidRPr="00043A1E" w:rsidRDefault="00157EF6" w:rsidP="002135E2">
      <w:pPr>
        <w:pStyle w:val="a5"/>
        <w:ind w:leftChars="175" w:left="420"/>
        <w:jc w:val="both"/>
        <w:rPr>
          <w:rFonts w:ascii="標楷體" w:eastAsia="標楷體" w:hAnsi="標楷體"/>
          <w:szCs w:val="22"/>
        </w:rPr>
      </w:pPr>
      <w:r w:rsidRPr="00043A1E">
        <w:rPr>
          <w:rFonts w:ascii="標楷體" w:eastAsia="標楷體" w:hAnsi="標楷體"/>
          <w:szCs w:val="22"/>
        </w:rPr>
        <w:t>若許有</w:t>
      </w:r>
      <w:r w:rsidRPr="002135E2">
        <w:rPr>
          <w:rFonts w:ascii="標楷體" w:eastAsia="標楷體" w:hAnsi="標楷體"/>
          <w:szCs w:val="22"/>
          <w:highlight w:val="yellow"/>
        </w:rPr>
        <w:t>法必</w:t>
      </w:r>
      <w:r w:rsidRPr="00043A1E">
        <w:rPr>
          <w:rFonts w:ascii="標楷體" w:eastAsia="標楷體" w:hAnsi="標楷體"/>
          <w:szCs w:val="22"/>
        </w:rPr>
        <w:t>許有性</w:t>
      </w:r>
      <w:r w:rsidR="00B02A18" w:rsidRPr="002135E2">
        <w:rPr>
          <w:rFonts w:ascii="標楷體" w:eastAsia="標楷體" w:hAnsi="標楷體" w:hint="eastAsia"/>
          <w:bCs/>
          <w:color w:val="FF0000"/>
          <w:kern w:val="0"/>
          <w:shd w:val="pct15" w:color="auto" w:fill="FFFFFF"/>
        </w:rPr>
        <w:t>，</w:t>
      </w:r>
      <w:r w:rsidRPr="00043A1E">
        <w:rPr>
          <w:rFonts w:ascii="標楷體" w:eastAsia="標楷體" w:hAnsi="標楷體"/>
          <w:szCs w:val="22"/>
        </w:rPr>
        <w:t>則不能立</w:t>
      </w:r>
      <w:r w:rsidR="002135E2" w:rsidRPr="002135E2">
        <w:rPr>
          <w:rFonts w:ascii="標楷體" w:eastAsia="標楷體" w:hAnsi="標楷體" w:hint="eastAsia"/>
          <w:bCs/>
          <w:color w:val="FF0000"/>
          <w:kern w:val="0"/>
          <w:shd w:val="pct15" w:color="auto" w:fill="FFFFFF"/>
        </w:rPr>
        <w:t>「</w:t>
      </w:r>
      <w:r w:rsidRPr="00043A1E">
        <w:rPr>
          <w:rFonts w:ascii="標楷體" w:eastAsia="標楷體" w:hAnsi="標楷體"/>
          <w:szCs w:val="22"/>
        </w:rPr>
        <w:t>因果如幻，實無自性</w:t>
      </w:r>
      <w:r w:rsidRPr="00043A1E">
        <w:rPr>
          <w:rFonts w:ascii="標楷體" w:eastAsia="標楷體" w:hAnsi="標楷體" w:hint="eastAsia"/>
          <w:szCs w:val="22"/>
        </w:rPr>
        <w:t>，</w:t>
      </w:r>
      <w:r w:rsidRPr="00043A1E">
        <w:rPr>
          <w:rFonts w:ascii="標楷體" w:eastAsia="標楷體" w:hAnsi="標楷體"/>
          <w:szCs w:val="22"/>
        </w:rPr>
        <w:t>現似有性</w:t>
      </w:r>
      <w:r w:rsidR="002135E2" w:rsidRPr="002135E2">
        <w:rPr>
          <w:rFonts w:ascii="標楷體" w:eastAsia="標楷體" w:hAnsi="標楷體" w:hint="eastAsia"/>
          <w:bCs/>
          <w:color w:val="FF0000"/>
          <w:kern w:val="0"/>
          <w:shd w:val="pct15" w:color="auto" w:fill="FFFFFF"/>
        </w:rPr>
        <w:t>」</w:t>
      </w:r>
      <w:r w:rsidRPr="00043A1E">
        <w:rPr>
          <w:rFonts w:ascii="標楷體" w:eastAsia="標楷體" w:hAnsi="標楷體"/>
          <w:szCs w:val="22"/>
        </w:rPr>
        <w:t>，故</w:t>
      </w:r>
      <w:r w:rsidRPr="00043A1E">
        <w:rPr>
          <w:rFonts w:ascii="標楷體" w:eastAsia="標楷體" w:hAnsi="標楷體"/>
          <w:b/>
          <w:szCs w:val="22"/>
        </w:rPr>
        <w:t>墮常邊</w:t>
      </w:r>
      <w:r w:rsidRPr="00043A1E">
        <w:rPr>
          <w:rFonts w:ascii="標楷體" w:eastAsia="標楷體" w:hAnsi="標楷體"/>
          <w:szCs w:val="22"/>
        </w:rPr>
        <w:t>。</w:t>
      </w:r>
    </w:p>
    <w:p w:rsidR="00157EF6" w:rsidRPr="0020351A" w:rsidRDefault="00157EF6" w:rsidP="00AA120F">
      <w:pPr>
        <w:pStyle w:val="a5"/>
        <w:ind w:leftChars="75" w:left="180"/>
        <w:jc w:val="both"/>
        <w:rPr>
          <w:rFonts w:ascii="標楷體" w:eastAsia="標楷體" w:hAnsi="標楷體"/>
          <w:szCs w:val="22"/>
        </w:rPr>
      </w:pPr>
      <w:r w:rsidRPr="00043A1E">
        <w:rPr>
          <w:rFonts w:ascii="標楷體" w:eastAsia="標楷體" w:hAnsi="標楷體"/>
          <w:szCs w:val="22"/>
        </w:rPr>
        <w:t>若</w:t>
      </w:r>
      <w:r w:rsidRPr="0020351A">
        <w:rPr>
          <w:rFonts w:ascii="標楷體" w:eastAsia="標楷體" w:hAnsi="標楷體"/>
          <w:szCs w:val="22"/>
        </w:rPr>
        <w:t>達一切</w:t>
      </w:r>
      <w:r w:rsidRPr="00B02A18">
        <w:rPr>
          <w:rFonts w:ascii="標楷體" w:eastAsia="標楷體" w:hAnsi="標楷體"/>
          <w:szCs w:val="22"/>
          <w:highlight w:val="yellow"/>
        </w:rPr>
        <w:t>法本</w:t>
      </w:r>
      <w:r w:rsidRPr="0020351A">
        <w:rPr>
          <w:rFonts w:ascii="標楷體" w:eastAsia="標楷體" w:hAnsi="標楷體"/>
          <w:szCs w:val="22"/>
        </w:rPr>
        <w:t>無自性如微塵許，</w:t>
      </w:r>
      <w:r w:rsidRPr="0020351A">
        <w:rPr>
          <w:rFonts w:ascii="標楷體" w:eastAsia="標楷體" w:hAnsi="標楷體"/>
          <w:b/>
          <w:szCs w:val="22"/>
        </w:rPr>
        <w:t>不墮有邊</w:t>
      </w:r>
      <w:r w:rsidRPr="0020351A">
        <w:rPr>
          <w:rFonts w:ascii="標楷體" w:eastAsia="標楷體" w:hAnsi="標楷體"/>
          <w:szCs w:val="22"/>
        </w:rPr>
        <w:t>。</w:t>
      </w:r>
    </w:p>
    <w:p w:rsidR="00157EF6" w:rsidRPr="0020351A" w:rsidRDefault="00157EF6" w:rsidP="00AA120F">
      <w:pPr>
        <w:pStyle w:val="a5"/>
        <w:ind w:leftChars="75" w:left="180"/>
        <w:jc w:val="both"/>
        <w:rPr>
          <w:rFonts w:ascii="標楷體" w:eastAsia="標楷體" w:hAnsi="標楷體"/>
          <w:szCs w:val="22"/>
        </w:rPr>
      </w:pPr>
      <w:r w:rsidRPr="0020351A">
        <w:rPr>
          <w:rFonts w:ascii="標楷體" w:eastAsia="標楷體" w:hAnsi="標楷體"/>
          <w:szCs w:val="22"/>
        </w:rPr>
        <w:t>如是則於苗等諸法，非由作用空而為無事，有力能作各各所作，引決定智，</w:t>
      </w:r>
      <w:r w:rsidRPr="0020351A">
        <w:rPr>
          <w:rFonts w:ascii="標楷體" w:eastAsia="標楷體" w:hAnsi="標楷體"/>
          <w:b/>
          <w:szCs w:val="22"/>
        </w:rPr>
        <w:t>遠離無邊</w:t>
      </w:r>
      <w:r w:rsidRPr="0020351A">
        <w:rPr>
          <w:rFonts w:ascii="標楷體" w:eastAsia="標楷體" w:hAnsi="標楷體"/>
          <w:szCs w:val="22"/>
        </w:rPr>
        <w:t>。</w:t>
      </w:r>
    </w:p>
    <w:p w:rsidR="00157EF6" w:rsidRPr="0020351A" w:rsidRDefault="00157EF6" w:rsidP="00AE3920">
      <w:pPr>
        <w:pStyle w:val="a5"/>
        <w:spacing w:beforeLines="20"/>
        <w:ind w:leftChars="75" w:left="180"/>
        <w:jc w:val="both"/>
        <w:rPr>
          <w:rFonts w:ascii="標楷體" w:eastAsia="標楷體" w:hAnsi="標楷體"/>
          <w:szCs w:val="22"/>
        </w:rPr>
      </w:pPr>
      <w:r w:rsidRPr="0020351A">
        <w:rPr>
          <w:rFonts w:ascii="標楷體" w:eastAsia="標楷體" w:hAnsi="標楷體"/>
          <w:szCs w:val="22"/>
        </w:rPr>
        <w:t>《顯句論》中亦明了辨別</w:t>
      </w:r>
      <w:r w:rsidRPr="0020351A">
        <w:rPr>
          <w:rFonts w:ascii="標楷體" w:eastAsia="標楷體" w:hAnsi="標楷體"/>
          <w:b/>
          <w:szCs w:val="22"/>
        </w:rPr>
        <w:t>無與無性</w:t>
      </w:r>
      <w:r w:rsidRPr="0020351A">
        <w:rPr>
          <w:rFonts w:ascii="標楷體" w:eastAsia="標楷體" w:hAnsi="標楷體"/>
          <w:szCs w:val="22"/>
        </w:rPr>
        <w:t>，如云：「若汝立諸法皆無自性，如世尊說：『自所作業，自受異熟。』則彼一切皆為汝破，誹謗因果，故汝即是無見之主。</w:t>
      </w:r>
      <w:r w:rsidRPr="0020351A">
        <w:rPr>
          <w:rFonts w:ascii="新細明體" w:hAnsi="新細明體" w:hint="eastAsia"/>
          <w:szCs w:val="22"/>
        </w:rPr>
        <w:t>」</w:t>
      </w:r>
    </w:p>
    <w:p w:rsidR="00157EF6" w:rsidRPr="00043A1E" w:rsidRDefault="00157EF6" w:rsidP="00AA120F">
      <w:pPr>
        <w:pStyle w:val="a5"/>
        <w:ind w:leftChars="75" w:left="180"/>
        <w:jc w:val="both"/>
        <w:rPr>
          <w:rFonts w:ascii="新細明體" w:hAnsi="新細明體"/>
          <w:szCs w:val="22"/>
        </w:rPr>
      </w:pPr>
      <w:r w:rsidRPr="0020351A">
        <w:rPr>
          <w:rFonts w:ascii="標楷體" w:eastAsia="標楷體" w:hAnsi="標楷體"/>
          <w:szCs w:val="22"/>
        </w:rPr>
        <w:t>答曰：</w:t>
      </w:r>
      <w:r w:rsidRPr="0020351A">
        <w:rPr>
          <w:rFonts w:ascii="新細明體" w:hAnsi="新細明體" w:hint="eastAsia"/>
          <w:szCs w:val="22"/>
        </w:rPr>
        <w:t>「</w:t>
      </w:r>
      <w:r w:rsidRPr="0020351A">
        <w:rPr>
          <w:rFonts w:ascii="標楷體" w:eastAsia="標楷體" w:hAnsi="標楷體"/>
          <w:szCs w:val="22"/>
        </w:rPr>
        <w:t>我非無</w:t>
      </w:r>
      <w:r w:rsidRPr="00043A1E">
        <w:rPr>
          <w:rFonts w:ascii="標楷體" w:eastAsia="標楷體" w:hAnsi="標楷體"/>
          <w:szCs w:val="22"/>
        </w:rPr>
        <w:t>見，我是破除有無二邊，光顯能往般涅槃城無二之道。我亦非說斷無諸業作者果等。</w:t>
      </w:r>
      <w:r w:rsidRPr="00043A1E">
        <w:rPr>
          <w:rFonts w:ascii="新細明體" w:hAnsi="新細明體" w:hint="eastAsia"/>
          <w:szCs w:val="22"/>
        </w:rPr>
        <w:t>」</w:t>
      </w:r>
    </w:p>
    <w:p w:rsidR="00157EF6" w:rsidRPr="00043A1E" w:rsidRDefault="00157EF6" w:rsidP="00AA120F">
      <w:pPr>
        <w:pStyle w:val="a5"/>
        <w:ind w:leftChars="75" w:left="180"/>
        <w:jc w:val="both"/>
        <w:rPr>
          <w:rFonts w:ascii="新細明體" w:hAnsi="新細明體"/>
          <w:szCs w:val="22"/>
        </w:rPr>
      </w:pPr>
      <w:r w:rsidRPr="00043A1E">
        <w:rPr>
          <w:rFonts w:ascii="新細明體" w:hAnsi="新細明體" w:hint="eastAsia"/>
          <w:szCs w:val="22"/>
        </w:rPr>
        <w:t>「</w:t>
      </w:r>
      <w:r w:rsidRPr="00043A1E">
        <w:rPr>
          <w:rFonts w:ascii="標楷體" w:eastAsia="標楷體" w:hAnsi="標楷體"/>
          <w:szCs w:val="22"/>
        </w:rPr>
        <w:t>若爾</w:t>
      </w:r>
      <w:r w:rsidR="002135E2" w:rsidRPr="002135E2">
        <w:rPr>
          <w:rFonts w:ascii="標楷體" w:eastAsia="標楷體" w:hAnsi="標楷體" w:hint="eastAsia"/>
          <w:bCs/>
          <w:color w:val="FF0000"/>
          <w:kern w:val="0"/>
          <w:shd w:val="pct15" w:color="auto" w:fill="FFFFFF"/>
        </w:rPr>
        <w:t>，</w:t>
      </w:r>
      <w:r w:rsidRPr="00043A1E">
        <w:rPr>
          <w:rFonts w:ascii="標楷體" w:eastAsia="標楷體" w:hAnsi="標楷體"/>
          <w:szCs w:val="22"/>
        </w:rPr>
        <w:t>云何？</w:t>
      </w:r>
      <w:r w:rsidRPr="00043A1E">
        <w:rPr>
          <w:rFonts w:ascii="新細明體" w:hAnsi="新細明體" w:hint="eastAsia"/>
          <w:szCs w:val="22"/>
        </w:rPr>
        <w:t>」</w:t>
      </w:r>
    </w:p>
    <w:p w:rsidR="00983B2B" w:rsidRDefault="00157EF6" w:rsidP="00AA120F">
      <w:pPr>
        <w:pStyle w:val="a5"/>
        <w:ind w:leftChars="75" w:left="180"/>
        <w:jc w:val="both"/>
        <w:rPr>
          <w:rFonts w:ascii="標楷體" w:eastAsia="標楷體" w:hAnsi="標楷體"/>
          <w:szCs w:val="22"/>
        </w:rPr>
      </w:pPr>
      <w:r w:rsidRPr="00043A1E">
        <w:rPr>
          <w:rFonts w:ascii="新細明體" w:hAnsi="新細明體" w:hint="eastAsia"/>
          <w:szCs w:val="22"/>
        </w:rPr>
        <w:t>「</w:t>
      </w:r>
      <w:r w:rsidRPr="00043A1E">
        <w:rPr>
          <w:rFonts w:ascii="標楷體" w:eastAsia="標楷體" w:hAnsi="標楷體"/>
          <w:szCs w:val="22"/>
        </w:rPr>
        <w:t>謂善安立彼無自性。</w:t>
      </w:r>
      <w:r w:rsidR="00983B2B" w:rsidRPr="00387554">
        <w:rPr>
          <w:rFonts w:ascii="標楷體" w:eastAsia="標楷體" w:hAnsi="標楷體" w:hint="eastAsia"/>
          <w:bCs/>
          <w:color w:val="FF0000"/>
          <w:kern w:val="0"/>
          <w:shd w:val="pct15" w:color="auto" w:fill="FFFFFF"/>
        </w:rPr>
        <w:t>」</w:t>
      </w:r>
    </w:p>
    <w:p w:rsidR="00157EF6" w:rsidRPr="00043A1E" w:rsidRDefault="00983B2B" w:rsidP="00AA120F">
      <w:pPr>
        <w:pStyle w:val="a5"/>
        <w:ind w:leftChars="75" w:left="180"/>
        <w:jc w:val="both"/>
        <w:rPr>
          <w:rFonts w:ascii="新細明體" w:hAnsi="新細明體"/>
          <w:szCs w:val="22"/>
        </w:rPr>
      </w:pPr>
      <w:r w:rsidRPr="00387554">
        <w:rPr>
          <w:rFonts w:ascii="標楷體" w:eastAsia="標楷體" w:hAnsi="標楷體" w:hint="eastAsia"/>
          <w:bCs/>
          <w:color w:val="FF0000"/>
          <w:kern w:val="0"/>
          <w:shd w:val="pct15" w:color="auto" w:fill="FFFFFF"/>
        </w:rPr>
        <w:t>「</w:t>
      </w:r>
      <w:r w:rsidR="00157EF6" w:rsidRPr="00043A1E">
        <w:rPr>
          <w:rFonts w:ascii="標楷體" w:eastAsia="標楷體" w:hAnsi="標楷體"/>
          <w:szCs w:val="22"/>
        </w:rPr>
        <w:t>若無自性，能作、所作不應理故，過失仍在。</w:t>
      </w:r>
      <w:r w:rsidR="00157EF6" w:rsidRPr="00043A1E">
        <w:rPr>
          <w:rFonts w:ascii="新細明體" w:hAnsi="新細明體" w:hint="eastAsia"/>
          <w:szCs w:val="22"/>
        </w:rPr>
        <w:t>」</w:t>
      </w:r>
    </w:p>
    <w:p w:rsidR="00157EF6" w:rsidRPr="00043A1E" w:rsidRDefault="00157EF6" w:rsidP="00AA120F">
      <w:pPr>
        <w:pStyle w:val="a5"/>
        <w:ind w:leftChars="75" w:left="180"/>
        <w:jc w:val="both"/>
        <w:rPr>
          <w:rFonts w:hAnsi="新細明體"/>
          <w:szCs w:val="22"/>
        </w:rPr>
      </w:pPr>
      <w:r w:rsidRPr="00043A1E">
        <w:rPr>
          <w:rFonts w:ascii="新細明體" w:hAnsi="新細明體" w:hint="eastAsia"/>
          <w:szCs w:val="22"/>
        </w:rPr>
        <w:t>「</w:t>
      </w:r>
      <w:r w:rsidRPr="00043A1E">
        <w:rPr>
          <w:rFonts w:ascii="標楷體" w:eastAsia="標楷體" w:hAnsi="標楷體"/>
          <w:szCs w:val="22"/>
        </w:rPr>
        <w:t>此過非有，唯有自性不見作用故，唯無自性見有作用故</w:t>
      </w:r>
      <w:r w:rsidRPr="00043A1E">
        <w:rPr>
          <w:rFonts w:hAnsi="新細明體"/>
          <w:szCs w:val="22"/>
        </w:rPr>
        <w:t>。」</w:t>
      </w:r>
    </w:p>
  </w:footnote>
  <w:footnote w:id="513">
    <w:p w:rsidR="00157EF6" w:rsidRPr="00043A1E" w:rsidRDefault="00157EF6" w:rsidP="00AA120F">
      <w:pPr>
        <w:pStyle w:val="a5"/>
        <w:ind w:left="187" w:hangingChars="85" w:hanging="187"/>
        <w:jc w:val="both"/>
        <w:rPr>
          <w:szCs w:val="22"/>
        </w:rPr>
      </w:pPr>
      <w:r w:rsidRPr="00043A1E">
        <w:rPr>
          <w:rStyle w:val="a6"/>
          <w:szCs w:val="22"/>
        </w:rPr>
        <w:footnoteRef/>
      </w:r>
      <w:r w:rsidRPr="00043A1E">
        <w:rPr>
          <w:szCs w:val="22"/>
        </w:rPr>
        <w:t xml:space="preserve"> </w:t>
      </w:r>
      <w:r w:rsidRPr="00043A1E">
        <w:rPr>
          <w:szCs w:val="22"/>
        </w:rPr>
        <w:t>界說：定義。</w:t>
      </w:r>
      <w:r w:rsidRPr="00043A1E">
        <w:rPr>
          <w:rFonts w:hint="eastAsia"/>
          <w:szCs w:val="22"/>
        </w:rPr>
        <w:t>（《漢語大詞典》（七），</w:t>
      </w:r>
      <w:r w:rsidRPr="00761EF3">
        <w:rPr>
          <w:rFonts w:hint="eastAsia"/>
          <w:szCs w:val="22"/>
        </w:rPr>
        <w:t>p</w:t>
      </w:r>
      <w:r w:rsidRPr="00043A1E">
        <w:rPr>
          <w:rFonts w:hint="eastAsia"/>
          <w:szCs w:val="22"/>
        </w:rPr>
        <w:t>.</w:t>
      </w:r>
      <w:r w:rsidRPr="00761EF3">
        <w:rPr>
          <w:rFonts w:hint="eastAsia"/>
          <w:szCs w:val="22"/>
        </w:rPr>
        <w:t>1318</w:t>
      </w:r>
      <w:r w:rsidRPr="00043A1E">
        <w:rPr>
          <w:rFonts w:hint="eastAsia"/>
          <w:szCs w:val="22"/>
        </w:rPr>
        <w:t>）</w:t>
      </w:r>
    </w:p>
  </w:footnote>
  <w:footnote w:id="514">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rFonts w:hint="eastAsia"/>
          <w:szCs w:val="22"/>
        </w:rPr>
        <w:t>印順法師，《中觀今論》，第</w:t>
      </w:r>
      <w:r w:rsidRPr="00761EF3">
        <w:rPr>
          <w:rFonts w:hint="eastAsia"/>
          <w:szCs w:val="22"/>
        </w:rPr>
        <w:t>5</w:t>
      </w:r>
      <w:r w:rsidRPr="00043A1E">
        <w:rPr>
          <w:rFonts w:hint="eastAsia"/>
          <w:szCs w:val="22"/>
        </w:rPr>
        <w:t>章〈中觀之根本論題〉，第</w:t>
      </w:r>
      <w:r w:rsidRPr="00761EF3">
        <w:rPr>
          <w:rFonts w:hint="eastAsia"/>
          <w:szCs w:val="22"/>
        </w:rPr>
        <w:t>2</w:t>
      </w:r>
      <w:r w:rsidRPr="00043A1E">
        <w:rPr>
          <w:rFonts w:hint="eastAsia"/>
          <w:szCs w:val="22"/>
        </w:rPr>
        <w:t>節〈自性〉，</w:t>
      </w:r>
      <w:r w:rsidRPr="00761EF3">
        <w:rPr>
          <w:szCs w:val="22"/>
        </w:rPr>
        <w:t>p</w:t>
      </w:r>
      <w:r w:rsidRPr="00043A1E">
        <w:rPr>
          <w:szCs w:val="22"/>
        </w:rPr>
        <w:t>.</w:t>
      </w:r>
      <w:r w:rsidRPr="00761EF3">
        <w:rPr>
          <w:szCs w:val="22"/>
        </w:rPr>
        <w:t>64</w:t>
      </w:r>
      <w:r w:rsidRPr="00043A1E">
        <w:rPr>
          <w:rFonts w:hint="eastAsia"/>
          <w:szCs w:val="22"/>
        </w:rPr>
        <w:t>：</w:t>
      </w:r>
    </w:p>
    <w:p w:rsidR="00157EF6" w:rsidRPr="00043A1E" w:rsidRDefault="00157EF6" w:rsidP="00AA120F">
      <w:pPr>
        <w:pStyle w:val="a5"/>
        <w:ind w:leftChars="75" w:left="180"/>
        <w:jc w:val="both"/>
        <w:rPr>
          <w:szCs w:val="22"/>
        </w:rPr>
      </w:pPr>
      <w:r w:rsidRPr="00043A1E">
        <w:rPr>
          <w:rFonts w:ascii="標楷體" w:eastAsia="標楷體" w:hAnsi="標楷體" w:hint="eastAsia"/>
          <w:szCs w:val="22"/>
        </w:rPr>
        <w:t>如《壹輸盧迦論》說：</w:t>
      </w:r>
      <w:r w:rsidRPr="00043A1E">
        <w:rPr>
          <w:rFonts w:ascii="新細明體" w:hAnsi="新細明體" w:hint="eastAsia"/>
          <w:szCs w:val="22"/>
        </w:rPr>
        <w:t>「</w:t>
      </w:r>
      <w:r w:rsidRPr="00043A1E">
        <w:rPr>
          <w:rFonts w:ascii="標楷體" w:eastAsia="標楷體" w:hAnsi="標楷體" w:hint="eastAsia"/>
          <w:szCs w:val="22"/>
        </w:rPr>
        <w:t>凡諸法體、性、法、物、事、有，名異義同。是故或言體，或言性，或言法，或言有，或言物，莫不皆是有之差別。正音云私婆婆（</w:t>
      </w:r>
      <w:r w:rsidRPr="00761EF3">
        <w:rPr>
          <w:rFonts w:eastAsia="標楷體"/>
          <w:szCs w:val="22"/>
        </w:rPr>
        <w:t>svabhāva</w:t>
      </w:r>
      <w:r w:rsidRPr="00043A1E">
        <w:rPr>
          <w:rFonts w:ascii="標楷體" w:eastAsia="標楷體" w:hAnsi="標楷體" w:hint="eastAsia"/>
          <w:szCs w:val="22"/>
        </w:rPr>
        <w:t>），或譯為自體</w:t>
      </w:r>
      <w:r w:rsidRPr="00387554">
        <w:rPr>
          <w:rFonts w:ascii="新細明體" w:hAnsi="新細明體" w:hint="eastAsia"/>
          <w:szCs w:val="22"/>
        </w:rPr>
        <w:t>（的）</w:t>
      </w:r>
      <w:r w:rsidRPr="00043A1E">
        <w:rPr>
          <w:rFonts w:ascii="標楷體" w:eastAsia="標楷體" w:hAnsi="標楷體" w:hint="eastAsia"/>
          <w:szCs w:val="22"/>
        </w:rPr>
        <w:t>體，或譯為無法有法</w:t>
      </w:r>
      <w:r w:rsidRPr="00387554">
        <w:rPr>
          <w:rFonts w:ascii="新細明體" w:hAnsi="新細明體" w:hint="eastAsia"/>
          <w:szCs w:val="22"/>
        </w:rPr>
        <w:t>（的法），</w:t>
      </w:r>
      <w:r w:rsidRPr="00043A1E">
        <w:rPr>
          <w:rFonts w:ascii="標楷體" w:eastAsia="標楷體" w:hAnsi="標楷體" w:hint="eastAsia"/>
          <w:szCs w:val="22"/>
        </w:rPr>
        <w:t>或譯為無自性</w:t>
      </w:r>
      <w:r w:rsidRPr="00387554">
        <w:rPr>
          <w:rFonts w:ascii="新細明體" w:hAnsi="新細明體" w:hint="eastAsia"/>
          <w:szCs w:val="22"/>
        </w:rPr>
        <w:t>（的）</w:t>
      </w:r>
      <w:r w:rsidRPr="00043A1E">
        <w:rPr>
          <w:rFonts w:ascii="標楷體" w:eastAsia="標楷體" w:hAnsi="標楷體" w:hint="eastAsia"/>
          <w:szCs w:val="22"/>
        </w:rPr>
        <w:t>性。</w:t>
      </w:r>
      <w:r w:rsidRPr="00043A1E">
        <w:rPr>
          <w:rFonts w:ascii="新細明體" w:hAnsi="新細明體" w:hint="eastAsia"/>
          <w:szCs w:val="22"/>
        </w:rPr>
        <w:t>」</w:t>
      </w:r>
      <w:r w:rsidRPr="00043A1E">
        <w:rPr>
          <w:rFonts w:ascii="標楷體" w:eastAsia="標楷體" w:hAnsi="標楷體" w:hint="eastAsia"/>
          <w:szCs w:val="22"/>
        </w:rPr>
        <w:t>所舉的名字雖很多，而意義是同一的。所謂體、性、法、物、事，皆即是「有」的別名</w:t>
      </w:r>
      <w:r w:rsidRPr="00043A1E">
        <w:rPr>
          <w:rFonts w:hint="eastAsia"/>
          <w:szCs w:val="22"/>
        </w:rPr>
        <w:t>。</w:t>
      </w:r>
    </w:p>
  </w:footnote>
  <w:footnote w:id="515">
    <w:p w:rsidR="003B553C" w:rsidRDefault="00157EF6" w:rsidP="00AA120F">
      <w:pPr>
        <w:pStyle w:val="a5"/>
        <w:spacing w:line="0" w:lineRule="atLeast"/>
        <w:ind w:left="726" w:hangingChars="330" w:hanging="726"/>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szCs w:val="22"/>
        </w:rPr>
        <w:t>方：</w:t>
      </w:r>
      <w:r w:rsidRPr="00761EF3">
        <w:rPr>
          <w:rFonts w:hint="eastAsia"/>
          <w:szCs w:val="22"/>
        </w:rPr>
        <w:t>7</w:t>
      </w:r>
      <w:r w:rsidRPr="00043A1E">
        <w:rPr>
          <w:rFonts w:hint="eastAsia"/>
          <w:szCs w:val="22"/>
        </w:rPr>
        <w:t>.</w:t>
      </w:r>
      <w:r w:rsidRPr="00043A1E">
        <w:rPr>
          <w:szCs w:val="22"/>
        </w:rPr>
        <w:t>品類，類別</w:t>
      </w:r>
      <w:r w:rsidRPr="00043A1E">
        <w:rPr>
          <w:rFonts w:hint="eastAsia"/>
          <w:szCs w:val="22"/>
        </w:rPr>
        <w:t>。《禮記‧緇衣》：“故君子之朋友有鄉，其惡有方。”鄭玄</w:t>
      </w:r>
      <w:r w:rsidRPr="00043A1E">
        <w:rPr>
          <w:rFonts w:hint="eastAsia"/>
          <w:szCs w:val="22"/>
        </w:rPr>
        <w:t xml:space="preserve"> </w:t>
      </w:r>
      <w:r w:rsidRPr="00043A1E">
        <w:rPr>
          <w:rFonts w:hint="eastAsia"/>
          <w:szCs w:val="22"/>
        </w:rPr>
        <w:t>注：“鄉、方，喻輩類也。”《淮南子‧精神訓》：“以死生為一化，以萬物為一方，同精於太清之本。”高誘</w:t>
      </w:r>
      <w:r w:rsidRPr="00043A1E">
        <w:rPr>
          <w:rFonts w:hint="eastAsia"/>
          <w:szCs w:val="22"/>
        </w:rPr>
        <w:t xml:space="preserve"> </w:t>
      </w:r>
      <w:r w:rsidRPr="00043A1E">
        <w:rPr>
          <w:rFonts w:hint="eastAsia"/>
          <w:szCs w:val="22"/>
        </w:rPr>
        <w:t>注：“方，類也。”</w:t>
      </w:r>
      <w:r w:rsidRPr="00761EF3">
        <w:rPr>
          <w:rFonts w:hint="eastAsia"/>
          <w:szCs w:val="22"/>
        </w:rPr>
        <w:t>20</w:t>
      </w:r>
      <w:r w:rsidRPr="00043A1E">
        <w:rPr>
          <w:rFonts w:hint="eastAsia"/>
          <w:szCs w:val="22"/>
        </w:rPr>
        <w:t>.</w:t>
      </w:r>
      <w:r w:rsidRPr="00043A1E">
        <w:rPr>
          <w:rFonts w:hint="eastAsia"/>
          <w:szCs w:val="22"/>
        </w:rPr>
        <w:t>道理；常規。《易‧恒》：“君子以立不易方。”孔穎達</w:t>
      </w:r>
      <w:r w:rsidRPr="00043A1E">
        <w:rPr>
          <w:rFonts w:hint="eastAsia"/>
          <w:szCs w:val="22"/>
        </w:rPr>
        <w:t xml:space="preserve"> </w:t>
      </w:r>
      <w:r w:rsidRPr="00043A1E">
        <w:rPr>
          <w:rFonts w:hint="eastAsia"/>
          <w:szCs w:val="22"/>
        </w:rPr>
        <w:t>疏：“方，猶道也。”</w:t>
      </w:r>
    </w:p>
    <w:p w:rsidR="00157EF6" w:rsidRPr="00043A1E" w:rsidRDefault="00157EF6" w:rsidP="003B553C">
      <w:pPr>
        <w:pStyle w:val="a5"/>
        <w:spacing w:line="0" w:lineRule="atLeast"/>
        <w:ind w:left="726" w:hangingChars="330" w:hanging="726"/>
        <w:jc w:val="right"/>
        <w:rPr>
          <w:szCs w:val="22"/>
        </w:rPr>
      </w:pPr>
      <w:r w:rsidRPr="00043A1E">
        <w:rPr>
          <w:szCs w:val="22"/>
        </w:rPr>
        <w:t>（《漢語大詞典》（</w:t>
      </w:r>
      <w:r w:rsidRPr="00043A1E">
        <w:rPr>
          <w:rFonts w:hint="eastAsia"/>
          <w:szCs w:val="22"/>
        </w:rPr>
        <w:t>六</w:t>
      </w:r>
      <w:r w:rsidRPr="00043A1E">
        <w:rPr>
          <w:szCs w:val="22"/>
        </w:rPr>
        <w:t>），</w:t>
      </w:r>
      <w:r w:rsidRPr="00761EF3">
        <w:rPr>
          <w:szCs w:val="22"/>
        </w:rPr>
        <w:t>p</w:t>
      </w:r>
      <w:r w:rsidRPr="00043A1E">
        <w:rPr>
          <w:szCs w:val="22"/>
        </w:rPr>
        <w:t>.</w:t>
      </w:r>
      <w:r w:rsidRPr="00761EF3">
        <w:rPr>
          <w:szCs w:val="22"/>
        </w:rPr>
        <w:t>1</w:t>
      </w:r>
      <w:r w:rsidRPr="00761EF3">
        <w:rPr>
          <w:rFonts w:hint="eastAsia"/>
          <w:szCs w:val="22"/>
        </w:rPr>
        <w:t>5</w:t>
      </w:r>
      <w:r w:rsidRPr="00761EF3">
        <w:rPr>
          <w:szCs w:val="22"/>
        </w:rPr>
        <w:t>4</w:t>
      </w:r>
      <w:r w:rsidRPr="00761EF3">
        <w:rPr>
          <w:rFonts w:hint="eastAsia"/>
          <w:szCs w:val="22"/>
        </w:rPr>
        <w:t>9</w:t>
      </w:r>
      <w:r w:rsidRPr="00043A1E">
        <w:rPr>
          <w:szCs w:val="22"/>
        </w:rPr>
        <w:t>）</w:t>
      </w:r>
    </w:p>
    <w:p w:rsidR="00157EF6" w:rsidRPr="00043A1E" w:rsidRDefault="00157EF6" w:rsidP="00AA120F">
      <w:pPr>
        <w:pStyle w:val="a5"/>
        <w:ind w:leftChars="80" w:left="73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）方：</w:t>
      </w:r>
      <w:r w:rsidRPr="00043A1E">
        <w:rPr>
          <w:rFonts w:cs="Times Ext Roman" w:hint="eastAsia"/>
          <w:szCs w:val="22"/>
        </w:rPr>
        <w:t>義理</w:t>
      </w:r>
      <w:r w:rsidRPr="00043A1E">
        <w:rPr>
          <w:rFonts w:hint="eastAsia"/>
          <w:szCs w:val="22"/>
        </w:rPr>
        <w:t>，道理。《廣雅‧釋詁二》：“方，義也。”《廣韻‧陽韻》：“方，道也。”</w:t>
      </w:r>
      <w:r w:rsidRPr="00043A1E">
        <w:rPr>
          <w:rFonts w:hint="eastAsia"/>
          <w:b/>
          <w:szCs w:val="22"/>
        </w:rPr>
        <w:t>《易‧繫辭上》：“方以類聚，物以羣分。”孔穎達</w:t>
      </w:r>
      <w:r w:rsidRPr="00043A1E">
        <w:rPr>
          <w:rFonts w:hint="eastAsia"/>
          <w:b/>
          <w:szCs w:val="22"/>
        </w:rPr>
        <w:t xml:space="preserve"> </w:t>
      </w:r>
      <w:r w:rsidRPr="00043A1E">
        <w:rPr>
          <w:rFonts w:hint="eastAsia"/>
          <w:b/>
          <w:szCs w:val="22"/>
        </w:rPr>
        <w:t>疏：“方，道也。方謂法術性行。”</w:t>
      </w:r>
      <w:r w:rsidRPr="00043A1E">
        <w:rPr>
          <w:szCs w:val="22"/>
        </w:rPr>
        <w:t>（《漢語大</w:t>
      </w:r>
      <w:r w:rsidRPr="00043A1E">
        <w:rPr>
          <w:rFonts w:hint="eastAsia"/>
          <w:szCs w:val="22"/>
        </w:rPr>
        <w:t>字</w:t>
      </w:r>
      <w:r w:rsidRPr="00043A1E">
        <w:rPr>
          <w:szCs w:val="22"/>
        </w:rPr>
        <w:t>典》（</w:t>
      </w:r>
      <w:r w:rsidRPr="00043A1E">
        <w:rPr>
          <w:rFonts w:hint="eastAsia"/>
          <w:szCs w:val="22"/>
        </w:rPr>
        <w:t>三</w:t>
      </w:r>
      <w:r w:rsidRPr="00043A1E">
        <w:rPr>
          <w:szCs w:val="22"/>
        </w:rPr>
        <w:t>），</w:t>
      </w:r>
      <w:r w:rsidRPr="00761EF3">
        <w:rPr>
          <w:szCs w:val="22"/>
        </w:rPr>
        <w:t>p</w:t>
      </w:r>
      <w:r w:rsidRPr="00043A1E">
        <w:rPr>
          <w:szCs w:val="22"/>
        </w:rPr>
        <w:t>.</w:t>
      </w:r>
      <w:r w:rsidRPr="00761EF3">
        <w:rPr>
          <w:rFonts w:hint="eastAsia"/>
          <w:szCs w:val="22"/>
        </w:rPr>
        <w:t>2173</w:t>
      </w:r>
      <w:r w:rsidRPr="00043A1E">
        <w:rPr>
          <w:szCs w:val="22"/>
        </w:rPr>
        <w:t>）</w:t>
      </w:r>
    </w:p>
  </w:footnote>
  <w:footnote w:id="516">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eastAsia="標楷體" w:hint="eastAsia"/>
          <w:b/>
          <w:szCs w:val="22"/>
        </w:rPr>
        <w:t xml:space="preserve"> </w:t>
      </w:r>
      <w:r w:rsidRPr="00043A1E">
        <w:rPr>
          <w:rFonts w:ascii="新細明體" w:hAnsi="新細明體"/>
          <w:szCs w:val="22"/>
        </w:rPr>
        <w:t>方以類聚</w:t>
      </w:r>
      <w:r w:rsidRPr="00043A1E">
        <w:rPr>
          <w:rFonts w:ascii="新細明體" w:hAnsi="新細明體" w:hint="eastAsia"/>
          <w:szCs w:val="22"/>
        </w:rPr>
        <w:t>：</w:t>
      </w:r>
      <w:r w:rsidRPr="00043A1E">
        <w:rPr>
          <w:rFonts w:hAnsi="新細明體" w:hint="eastAsia"/>
          <w:szCs w:val="22"/>
        </w:rPr>
        <w:t>謂同類事物相聚一處。</w:t>
      </w:r>
      <w:r w:rsidRPr="00043A1E">
        <w:rPr>
          <w:rFonts w:hint="eastAsia"/>
          <w:szCs w:val="22"/>
        </w:rPr>
        <w:t>（《漢語大詞典》（六），</w:t>
      </w:r>
      <w:r w:rsidRPr="00761EF3">
        <w:rPr>
          <w:rFonts w:hint="eastAsia"/>
          <w:szCs w:val="22"/>
        </w:rPr>
        <w:t>p</w:t>
      </w:r>
      <w:r w:rsidRPr="00043A1E">
        <w:rPr>
          <w:rFonts w:hint="eastAsia"/>
          <w:szCs w:val="22"/>
        </w:rPr>
        <w:t>.</w:t>
      </w:r>
      <w:r w:rsidRPr="00761EF3">
        <w:rPr>
          <w:rFonts w:hint="eastAsia"/>
          <w:szCs w:val="22"/>
        </w:rPr>
        <w:t>1554</w:t>
      </w:r>
      <w:r w:rsidRPr="00043A1E">
        <w:rPr>
          <w:rFonts w:hint="eastAsia"/>
          <w:szCs w:val="22"/>
        </w:rPr>
        <w:t>）</w:t>
      </w:r>
    </w:p>
  </w:footnote>
  <w:footnote w:id="517">
    <w:p w:rsidR="00157EF6" w:rsidRPr="00043A1E" w:rsidRDefault="00157EF6" w:rsidP="00AA120F">
      <w:pPr>
        <w:pStyle w:val="a5"/>
        <w:spacing w:line="0" w:lineRule="atLeast"/>
        <w:ind w:left="726" w:hangingChars="330" w:hanging="726"/>
        <w:jc w:val="both"/>
        <w:rPr>
          <w:rFonts w:hAnsi="新細明體"/>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szCs w:val="22"/>
        </w:rPr>
        <w:t>《</w:t>
      </w:r>
      <w:r w:rsidRPr="00043A1E">
        <w:rPr>
          <w:spacing w:val="4"/>
          <w:szCs w:val="22"/>
        </w:rPr>
        <w:t>易經</w:t>
      </w:r>
      <w:r w:rsidRPr="00043A1E">
        <w:rPr>
          <w:rFonts w:ascii="細明體" w:eastAsia="細明體" w:hAnsi="細明體" w:cs="細明體" w:hint="eastAsia"/>
          <w:szCs w:val="22"/>
        </w:rPr>
        <w:t>‧</w:t>
      </w:r>
      <w:r w:rsidRPr="00043A1E">
        <w:rPr>
          <w:szCs w:val="22"/>
        </w:rPr>
        <w:t>繫辭上》：</w:t>
      </w:r>
      <w:r w:rsidRPr="00043A1E">
        <w:rPr>
          <w:rFonts w:hAnsi="新細明體"/>
          <w:szCs w:val="22"/>
        </w:rPr>
        <w:t>「</w:t>
      </w:r>
      <w:r w:rsidRPr="00043A1E">
        <w:rPr>
          <w:rFonts w:ascii="標楷體" w:eastAsia="標楷體" w:hAnsi="標楷體"/>
          <w:b/>
          <w:szCs w:val="22"/>
        </w:rPr>
        <w:t>方以類聚，物以群分</w:t>
      </w:r>
      <w:r w:rsidRPr="00043A1E">
        <w:rPr>
          <w:rFonts w:ascii="標楷體" w:eastAsia="標楷體" w:hAnsi="標楷體"/>
          <w:szCs w:val="22"/>
        </w:rPr>
        <w:t>，吉凶生矣。</w:t>
      </w:r>
      <w:r w:rsidRPr="00043A1E">
        <w:rPr>
          <w:rFonts w:hAnsi="新細明體"/>
          <w:szCs w:val="22"/>
        </w:rPr>
        <w:t>」</w:t>
      </w:r>
    </w:p>
    <w:p w:rsidR="00157EF6" w:rsidRPr="00043A1E" w:rsidRDefault="00157EF6" w:rsidP="00AA120F">
      <w:pPr>
        <w:pStyle w:val="a5"/>
        <w:ind w:leftChars="80" w:left="731" w:hangingChars="245" w:hanging="539"/>
        <w:jc w:val="both"/>
        <w:rPr>
          <w:szCs w:val="22"/>
        </w:rPr>
      </w:pPr>
      <w:r w:rsidRPr="00043A1E">
        <w:rPr>
          <w:rFonts w:hAnsi="新細明體" w:hint="eastAsia"/>
          <w:szCs w:val="22"/>
        </w:rPr>
        <w:t>（</w:t>
      </w:r>
      <w:r w:rsidRPr="00761EF3">
        <w:rPr>
          <w:rFonts w:hint="eastAsia"/>
          <w:szCs w:val="22"/>
        </w:rPr>
        <w:t>2</w:t>
      </w:r>
      <w:r w:rsidRPr="00043A1E">
        <w:rPr>
          <w:rFonts w:hAnsi="新細明體" w:hint="eastAsia"/>
          <w:szCs w:val="22"/>
        </w:rPr>
        <w:t>）孔穎達</w:t>
      </w:r>
      <w:r w:rsidRPr="00043A1E">
        <w:rPr>
          <w:rFonts w:hint="eastAsia"/>
          <w:szCs w:val="22"/>
        </w:rPr>
        <w:t xml:space="preserve"> </w:t>
      </w:r>
      <w:r w:rsidRPr="00043A1E">
        <w:rPr>
          <w:rFonts w:ascii="Georgia" w:hAnsi="Georgia"/>
          <w:szCs w:val="22"/>
        </w:rPr>
        <w:t>疏</w:t>
      </w:r>
      <w:r w:rsidRPr="00043A1E">
        <w:rPr>
          <w:rFonts w:ascii="Georgia" w:hAnsi="Georgia" w:hint="eastAsia"/>
          <w:szCs w:val="22"/>
        </w:rPr>
        <w:t>：</w:t>
      </w:r>
      <w:r w:rsidRPr="00043A1E">
        <w:rPr>
          <w:rFonts w:ascii="Georgia" w:hAnsi="Georgia"/>
          <w:szCs w:val="22"/>
        </w:rPr>
        <w:t>「</w:t>
      </w:r>
      <w:r w:rsidRPr="00043A1E">
        <w:rPr>
          <w:rFonts w:ascii="標楷體" w:eastAsia="標楷體" w:hAnsi="標楷體"/>
          <w:szCs w:val="22"/>
        </w:rPr>
        <w:t>方以類聚」至「生矣」。○正義曰：</w:t>
      </w:r>
      <w:r w:rsidRPr="00043A1E">
        <w:rPr>
          <w:rFonts w:ascii="標楷體" w:eastAsia="標楷體" w:hAnsi="標楷體"/>
          <w:b/>
          <w:szCs w:val="22"/>
        </w:rPr>
        <w:t>方，謂法術性行，以類共聚，固方者則同聚也。</w:t>
      </w:r>
      <w:r w:rsidRPr="00043A1E">
        <w:rPr>
          <w:rFonts w:ascii="標楷體" w:eastAsia="標楷體" w:hAnsi="標楷體"/>
          <w:szCs w:val="22"/>
        </w:rPr>
        <w:t>物，謂物色群黨，共在一處，而與他物相分別。若順其所同，則吉也；若乖其所趣，則凶也，故曰「吉凶生矣」。此《經》雖因天地之性，亦廣包萬物之情也。○注「方有類」。○正義曰：云「方有類」者，方，謂法術情性趣舍，故《春秋》云「教子以義方」，《注》云：「方，道也。」是方謂性行法術也。言方雖以類而聚，亦有非類而聚者。若陰之所求者陽，陽之所求者陰，是非類聚也。若以人比禽獸，即是非類，雖男女不同，俱是人例，亦是以類聚也。故云「順所同則吉，乖所趣則凶</w:t>
      </w:r>
      <w:r w:rsidRPr="00043A1E">
        <w:rPr>
          <w:rFonts w:ascii="Georgia" w:hAnsi="Georgia"/>
          <w:szCs w:val="22"/>
        </w:rPr>
        <w:t>。」</w:t>
      </w:r>
    </w:p>
  </w:footnote>
  <w:footnote w:id="518">
    <w:p w:rsidR="00157EF6" w:rsidRPr="00043A1E" w:rsidRDefault="00157EF6" w:rsidP="00AA120F">
      <w:pPr>
        <w:pStyle w:val="a5"/>
        <w:spacing w:line="0" w:lineRule="atLeast"/>
        <w:ind w:left="726" w:hangingChars="330" w:hanging="726"/>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szCs w:val="22"/>
        </w:rPr>
        <w:t>群：引申指其它同類動物聚集而成的群。</w:t>
      </w:r>
      <w:r w:rsidRPr="00043A1E">
        <w:rPr>
          <w:rFonts w:hint="eastAsia"/>
          <w:szCs w:val="22"/>
        </w:rPr>
        <w:t>（《漢語大詞典》（九），</w:t>
      </w:r>
      <w:r w:rsidRPr="00761EF3">
        <w:rPr>
          <w:rFonts w:hint="eastAsia"/>
          <w:szCs w:val="22"/>
        </w:rPr>
        <w:t>p</w:t>
      </w:r>
      <w:r w:rsidRPr="00043A1E">
        <w:rPr>
          <w:rFonts w:hint="eastAsia"/>
          <w:szCs w:val="22"/>
        </w:rPr>
        <w:t>.</w:t>
      </w:r>
      <w:r w:rsidRPr="00761EF3">
        <w:rPr>
          <w:rFonts w:hint="eastAsia"/>
          <w:szCs w:val="22"/>
        </w:rPr>
        <w:t>184</w:t>
      </w:r>
      <w:r w:rsidRPr="00043A1E">
        <w:rPr>
          <w:rFonts w:hint="eastAsia"/>
          <w:szCs w:val="22"/>
        </w:rPr>
        <w:t>）</w:t>
      </w:r>
    </w:p>
    <w:p w:rsidR="00157EF6" w:rsidRPr="00043A1E" w:rsidRDefault="00157EF6" w:rsidP="00AA120F">
      <w:pPr>
        <w:pStyle w:val="a5"/>
        <w:ind w:leftChars="80" w:left="73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）聚：會合，聚集。（《漢語大詞典》（八），</w:t>
      </w:r>
      <w:r w:rsidRPr="00761EF3">
        <w:rPr>
          <w:rFonts w:hint="eastAsia"/>
          <w:szCs w:val="22"/>
        </w:rPr>
        <w:t>p</w:t>
      </w:r>
      <w:r w:rsidRPr="00043A1E">
        <w:rPr>
          <w:rFonts w:hint="eastAsia"/>
          <w:szCs w:val="22"/>
        </w:rPr>
        <w:t>.</w:t>
      </w:r>
      <w:r w:rsidRPr="00761EF3">
        <w:rPr>
          <w:rFonts w:hint="eastAsia"/>
          <w:szCs w:val="22"/>
        </w:rPr>
        <w:t>679</w:t>
      </w:r>
      <w:r w:rsidRPr="00043A1E">
        <w:rPr>
          <w:rFonts w:hint="eastAsia"/>
          <w:szCs w:val="22"/>
        </w:rPr>
        <w:t>）</w:t>
      </w:r>
    </w:p>
  </w:footnote>
  <w:footnote w:id="519">
    <w:p w:rsidR="00157EF6" w:rsidRPr="00043A1E" w:rsidRDefault="00157EF6" w:rsidP="00AA120F">
      <w:pPr>
        <w:pStyle w:val="a5"/>
        <w:spacing w:line="0" w:lineRule="atLeast"/>
        <w:ind w:left="726" w:hangingChars="330" w:hanging="726"/>
        <w:jc w:val="both"/>
        <w:rPr>
          <w:rFonts w:ascii="新細明體" w:hAnsi="新細明體"/>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rFonts w:hint="eastAsia"/>
          <w:spacing w:val="2"/>
          <w:szCs w:val="22"/>
        </w:rPr>
        <w:t>《中庸》第二十五章：</w:t>
      </w:r>
      <w:r w:rsidRPr="00043A1E">
        <w:rPr>
          <w:rFonts w:ascii="新細明體" w:hAnsi="新細明體" w:hint="eastAsia"/>
          <w:spacing w:val="2"/>
          <w:szCs w:val="22"/>
        </w:rPr>
        <w:t>「</w:t>
      </w:r>
      <w:r w:rsidRPr="00043A1E">
        <w:rPr>
          <w:rFonts w:ascii="標楷體" w:eastAsia="標楷體" w:hAnsi="標楷體" w:hint="eastAsia"/>
          <w:b/>
          <w:spacing w:val="2"/>
          <w:szCs w:val="22"/>
        </w:rPr>
        <w:t>誠者自成也</w:t>
      </w:r>
      <w:r w:rsidRPr="00043A1E">
        <w:rPr>
          <w:rFonts w:ascii="標楷體" w:eastAsia="標楷體" w:hAnsi="標楷體" w:hint="eastAsia"/>
          <w:spacing w:val="2"/>
          <w:szCs w:val="22"/>
        </w:rPr>
        <w:t>，而道自道也。誠者物之終始，</w:t>
      </w:r>
      <w:r w:rsidRPr="00043A1E">
        <w:rPr>
          <w:rFonts w:ascii="標楷體" w:eastAsia="標楷體" w:hAnsi="標楷體" w:hint="eastAsia"/>
          <w:b/>
          <w:spacing w:val="2"/>
          <w:szCs w:val="22"/>
        </w:rPr>
        <w:t>不誠無物</w:t>
      </w:r>
      <w:r w:rsidRPr="00043A1E">
        <w:rPr>
          <w:rFonts w:ascii="標楷體" w:eastAsia="標楷體" w:hAnsi="標楷體" w:hint="eastAsia"/>
          <w:spacing w:val="2"/>
          <w:szCs w:val="22"/>
        </w:rPr>
        <w:t>。</w:t>
      </w:r>
      <w:r w:rsidRPr="00043A1E">
        <w:rPr>
          <w:rFonts w:ascii="標楷體" w:eastAsia="標楷體" w:hAnsi="標楷體" w:hint="eastAsia"/>
          <w:szCs w:val="22"/>
        </w:rPr>
        <w:t>是故君子誠之為貴。誠者，非自成己而已也，所以誠物也。成己，仁也；成物，知也；性之德也，合內外之道也，故時措之宜也。</w:t>
      </w:r>
      <w:r w:rsidRPr="00043A1E">
        <w:rPr>
          <w:rFonts w:ascii="新細明體" w:hAnsi="新細明體" w:hint="eastAsia"/>
          <w:szCs w:val="22"/>
        </w:rPr>
        <w:t>」</w:t>
      </w:r>
    </w:p>
    <w:p w:rsidR="00157EF6" w:rsidRPr="00043A1E" w:rsidRDefault="00157EF6" w:rsidP="00AA120F">
      <w:pPr>
        <w:pStyle w:val="a5"/>
        <w:ind w:leftChars="80" w:left="731" w:hangingChars="245" w:hanging="539"/>
        <w:jc w:val="both"/>
        <w:rPr>
          <w:bCs/>
          <w:szCs w:val="22"/>
        </w:rPr>
      </w:pPr>
      <w:r w:rsidRPr="00043A1E">
        <w:rPr>
          <w:bCs/>
          <w:szCs w:val="22"/>
        </w:rPr>
        <w:t>（</w:t>
      </w:r>
      <w:r w:rsidRPr="00761EF3">
        <w:rPr>
          <w:bCs/>
          <w:szCs w:val="22"/>
        </w:rPr>
        <w:t>2</w:t>
      </w:r>
      <w:r w:rsidRPr="00043A1E">
        <w:rPr>
          <w:bCs/>
          <w:szCs w:val="22"/>
        </w:rPr>
        <w:t>）</w:t>
      </w:r>
      <w:r w:rsidRPr="00043A1E">
        <w:rPr>
          <w:rFonts w:hint="eastAsia"/>
          <w:bCs/>
          <w:szCs w:val="22"/>
        </w:rPr>
        <w:t>「誠者自成」，東漢</w:t>
      </w:r>
      <w:r w:rsidRPr="00043A1E">
        <w:rPr>
          <w:rFonts w:hint="eastAsia"/>
          <w:bCs/>
          <w:szCs w:val="22"/>
        </w:rPr>
        <w:t xml:space="preserve"> </w:t>
      </w:r>
      <w:r w:rsidRPr="00043A1E">
        <w:rPr>
          <w:rFonts w:hint="eastAsia"/>
          <w:bCs/>
          <w:szCs w:val="22"/>
        </w:rPr>
        <w:t>鄭玄注：「</w:t>
      </w:r>
      <w:r w:rsidRPr="00043A1E">
        <w:rPr>
          <w:rFonts w:ascii="標楷體" w:eastAsia="標楷體" w:hAnsi="標楷體" w:hint="eastAsia"/>
          <w:bCs/>
          <w:szCs w:val="22"/>
        </w:rPr>
        <w:t>言人能至誠，所以自成也。</w:t>
      </w:r>
      <w:r w:rsidRPr="00043A1E">
        <w:rPr>
          <w:rFonts w:hint="eastAsia"/>
          <w:bCs/>
          <w:szCs w:val="22"/>
        </w:rPr>
        <w:t>」</w:t>
      </w:r>
    </w:p>
    <w:p w:rsidR="00157EF6" w:rsidRPr="00043A1E" w:rsidRDefault="00157EF6" w:rsidP="00AA120F">
      <w:pPr>
        <w:pStyle w:val="a5"/>
        <w:ind w:leftChars="265" w:left="636"/>
        <w:jc w:val="both"/>
        <w:rPr>
          <w:rFonts w:hAnsi="新細明體"/>
          <w:szCs w:val="22"/>
        </w:rPr>
      </w:pPr>
      <w:r w:rsidRPr="00043A1E">
        <w:rPr>
          <w:rFonts w:hint="eastAsia"/>
          <w:bCs/>
          <w:szCs w:val="22"/>
        </w:rPr>
        <w:t>「</w:t>
      </w:r>
      <w:r w:rsidRPr="00043A1E">
        <w:rPr>
          <w:rFonts w:ascii="標楷體" w:eastAsia="標楷體" w:hAnsi="標楷體" w:hint="eastAsia"/>
          <w:bCs/>
          <w:szCs w:val="22"/>
        </w:rPr>
        <w:t>誠者物之終始，不誠無物</w:t>
      </w:r>
      <w:r w:rsidRPr="00043A1E">
        <w:rPr>
          <w:rFonts w:hint="eastAsia"/>
          <w:bCs/>
          <w:szCs w:val="22"/>
        </w:rPr>
        <w:t>」，東漢</w:t>
      </w:r>
      <w:r w:rsidRPr="00043A1E">
        <w:rPr>
          <w:rFonts w:hint="eastAsia"/>
          <w:bCs/>
          <w:szCs w:val="22"/>
        </w:rPr>
        <w:t xml:space="preserve"> </w:t>
      </w:r>
      <w:r w:rsidRPr="00043A1E">
        <w:rPr>
          <w:rFonts w:hint="eastAsia"/>
          <w:bCs/>
          <w:szCs w:val="22"/>
        </w:rPr>
        <w:t>鄭玄注：「</w:t>
      </w:r>
      <w:r w:rsidRPr="00043A1E">
        <w:rPr>
          <w:rFonts w:ascii="標楷體" w:eastAsia="標楷體" w:hAnsi="標楷體" w:hint="eastAsia"/>
          <w:bCs/>
          <w:szCs w:val="22"/>
        </w:rPr>
        <w:t>物，萬物也，亦事也。大人無誠，萬物不生；小人無誠，則事不成。</w:t>
      </w:r>
      <w:r w:rsidRPr="00043A1E">
        <w:rPr>
          <w:rFonts w:hint="eastAsia"/>
          <w:bCs/>
          <w:szCs w:val="22"/>
        </w:rPr>
        <w:t>」</w:t>
      </w:r>
    </w:p>
  </w:footnote>
  <w:footnote w:id="520">
    <w:p w:rsidR="00157EF6" w:rsidRPr="00043A1E" w:rsidRDefault="00157EF6" w:rsidP="00AA120F">
      <w:pPr>
        <w:pStyle w:val="a5"/>
        <w:spacing w:line="0" w:lineRule="atLeast"/>
        <w:ind w:left="253" w:hangingChars="115" w:hanging="253"/>
        <w:jc w:val="both"/>
        <w:rPr>
          <w:szCs w:val="22"/>
          <w:shd w:val="clear" w:color="auto" w:fill="FFFFFF"/>
        </w:rPr>
      </w:pPr>
      <w:r w:rsidRPr="00043A1E">
        <w:rPr>
          <w:rStyle w:val="a6"/>
          <w:szCs w:val="22"/>
        </w:rPr>
        <w:footnoteRef/>
      </w:r>
      <w:r w:rsidRPr="00043A1E">
        <w:rPr>
          <w:bCs/>
          <w:szCs w:val="22"/>
        </w:rPr>
        <w:t xml:space="preserve"> </w:t>
      </w:r>
      <w:r w:rsidRPr="00043A1E">
        <w:rPr>
          <w:bCs/>
          <w:szCs w:val="22"/>
        </w:rPr>
        <w:t>形而上：亦省作</w:t>
      </w:r>
      <w:r w:rsidRPr="00043A1E">
        <w:rPr>
          <w:bCs/>
          <w:szCs w:val="22"/>
        </w:rPr>
        <w:t xml:space="preserve">“ </w:t>
      </w:r>
      <w:r w:rsidRPr="00043A1E">
        <w:rPr>
          <w:bCs/>
          <w:szCs w:val="22"/>
        </w:rPr>
        <w:t>形上</w:t>
      </w:r>
      <w:r w:rsidRPr="00043A1E">
        <w:rPr>
          <w:bCs/>
          <w:szCs w:val="22"/>
        </w:rPr>
        <w:t xml:space="preserve"> ”</w:t>
      </w:r>
      <w:r w:rsidRPr="00043A1E">
        <w:rPr>
          <w:bCs/>
          <w:szCs w:val="22"/>
        </w:rPr>
        <w:t>。</w:t>
      </w:r>
      <w:r w:rsidRPr="00761EF3">
        <w:rPr>
          <w:bCs/>
          <w:szCs w:val="22"/>
        </w:rPr>
        <w:t>1</w:t>
      </w:r>
      <w:r w:rsidRPr="00043A1E">
        <w:rPr>
          <w:bCs/>
          <w:szCs w:val="22"/>
        </w:rPr>
        <w:t>.</w:t>
      </w:r>
      <w:r w:rsidRPr="00043A1E">
        <w:rPr>
          <w:bCs/>
          <w:szCs w:val="22"/>
        </w:rPr>
        <w:t>無形，抽象。《易</w:t>
      </w:r>
      <w:r w:rsidRPr="00043A1E">
        <w:rPr>
          <w:rFonts w:ascii="新細明體" w:hAnsi="新細明體" w:cs="新細明體" w:hint="eastAsia"/>
          <w:bCs/>
          <w:szCs w:val="22"/>
        </w:rPr>
        <w:t>‧</w:t>
      </w:r>
      <w:r w:rsidRPr="00043A1E">
        <w:rPr>
          <w:bCs/>
          <w:szCs w:val="22"/>
        </w:rPr>
        <w:t>繫辭上》：</w:t>
      </w:r>
      <w:r w:rsidRPr="00043A1E">
        <w:rPr>
          <w:bCs/>
          <w:szCs w:val="22"/>
        </w:rPr>
        <w:t>“</w:t>
      </w:r>
      <w:r w:rsidRPr="00043A1E">
        <w:rPr>
          <w:bCs/>
          <w:szCs w:val="22"/>
        </w:rPr>
        <w:t>是故形而上者謂之道，形而下者謂之器。</w:t>
      </w:r>
      <w:r w:rsidRPr="00043A1E">
        <w:rPr>
          <w:bCs/>
          <w:szCs w:val="22"/>
        </w:rPr>
        <w:t xml:space="preserve">” </w:t>
      </w:r>
      <w:r w:rsidRPr="00043A1E">
        <w:rPr>
          <w:bCs/>
          <w:szCs w:val="22"/>
        </w:rPr>
        <w:t>宋</w:t>
      </w:r>
      <w:r w:rsidRPr="00043A1E">
        <w:rPr>
          <w:bCs/>
          <w:szCs w:val="22"/>
        </w:rPr>
        <w:t xml:space="preserve"> </w:t>
      </w:r>
      <w:r w:rsidRPr="00043A1E">
        <w:rPr>
          <w:bCs/>
          <w:szCs w:val="22"/>
        </w:rPr>
        <w:t>朱熹《答黃道夫》：</w:t>
      </w:r>
      <w:r w:rsidRPr="00043A1E">
        <w:rPr>
          <w:bCs/>
          <w:szCs w:val="22"/>
        </w:rPr>
        <w:t>“</w:t>
      </w:r>
      <w:r w:rsidRPr="00043A1E">
        <w:rPr>
          <w:bCs/>
          <w:szCs w:val="22"/>
        </w:rPr>
        <w:t>天地之間有理有氣。理也者，形而上之道也，生物之本也</w:t>
      </w:r>
      <w:r w:rsidRPr="00043A1E">
        <w:rPr>
          <w:rFonts w:hint="eastAsia"/>
          <w:bCs/>
          <w:szCs w:val="22"/>
        </w:rPr>
        <w:t>；</w:t>
      </w:r>
      <w:r w:rsidRPr="00043A1E">
        <w:rPr>
          <w:bCs/>
          <w:szCs w:val="22"/>
        </w:rPr>
        <w:t>氣也者，形而下之器也，生物之具也。</w:t>
      </w:r>
      <w:r w:rsidRPr="00043A1E">
        <w:rPr>
          <w:bCs/>
          <w:szCs w:val="22"/>
        </w:rPr>
        <w:t xml:space="preserve">” </w:t>
      </w:r>
      <w:r w:rsidRPr="00043A1E">
        <w:rPr>
          <w:bCs/>
          <w:szCs w:val="22"/>
        </w:rPr>
        <w:t>清</w:t>
      </w:r>
      <w:r w:rsidRPr="00043A1E">
        <w:rPr>
          <w:bCs/>
          <w:szCs w:val="22"/>
        </w:rPr>
        <w:t xml:space="preserve"> </w:t>
      </w:r>
      <w:r w:rsidRPr="00043A1E">
        <w:rPr>
          <w:bCs/>
          <w:szCs w:val="22"/>
        </w:rPr>
        <w:t>戴震《</w:t>
      </w:r>
      <w:r w:rsidRPr="00043A1E">
        <w:rPr>
          <w:rFonts w:hint="eastAsia"/>
          <w:bCs/>
          <w:szCs w:val="22"/>
        </w:rPr>
        <w:t>〈</w:t>
      </w:r>
      <w:r w:rsidRPr="00043A1E">
        <w:rPr>
          <w:bCs/>
          <w:szCs w:val="22"/>
        </w:rPr>
        <w:t>孟子</w:t>
      </w:r>
      <w:r w:rsidRPr="00043A1E">
        <w:rPr>
          <w:rFonts w:hint="eastAsia"/>
          <w:bCs/>
          <w:szCs w:val="22"/>
        </w:rPr>
        <w:t>〉</w:t>
      </w:r>
      <w:r w:rsidRPr="00043A1E">
        <w:rPr>
          <w:bCs/>
          <w:szCs w:val="22"/>
        </w:rPr>
        <w:t>字義疏證》卷中：</w:t>
      </w:r>
      <w:r w:rsidRPr="00043A1E">
        <w:rPr>
          <w:bCs/>
          <w:szCs w:val="22"/>
        </w:rPr>
        <w:t>“</w:t>
      </w:r>
      <w:r w:rsidRPr="00043A1E">
        <w:rPr>
          <w:bCs/>
          <w:szCs w:val="22"/>
        </w:rPr>
        <w:t>形謂已成形質。形而上猶曰形以前，形而下猶曰形以後。陰陽之未成形質，是謂形而上者也，非形而下明矣。</w:t>
      </w:r>
      <w:r w:rsidRPr="00043A1E">
        <w:rPr>
          <w:bCs/>
          <w:szCs w:val="22"/>
        </w:rPr>
        <w:t>”</w:t>
      </w:r>
      <w:r w:rsidRPr="00043A1E">
        <w:rPr>
          <w:rFonts w:hint="eastAsia"/>
          <w:szCs w:val="22"/>
        </w:rPr>
        <w:t>（《漢語大詞典》（三），</w:t>
      </w:r>
      <w:r w:rsidRPr="00761EF3">
        <w:rPr>
          <w:rFonts w:hint="eastAsia"/>
          <w:szCs w:val="22"/>
        </w:rPr>
        <w:t>p</w:t>
      </w:r>
      <w:r w:rsidRPr="00043A1E">
        <w:rPr>
          <w:rFonts w:hint="eastAsia"/>
          <w:szCs w:val="22"/>
        </w:rPr>
        <w:t>.</w:t>
      </w:r>
      <w:r w:rsidRPr="00761EF3">
        <w:rPr>
          <w:rFonts w:hint="eastAsia"/>
          <w:szCs w:val="22"/>
        </w:rPr>
        <w:t>1113</w:t>
      </w:r>
      <w:r w:rsidRPr="00043A1E">
        <w:rPr>
          <w:rFonts w:hint="eastAsia"/>
          <w:szCs w:val="22"/>
        </w:rPr>
        <w:t>）</w:t>
      </w:r>
    </w:p>
  </w:footnote>
  <w:footnote w:id="521">
    <w:p w:rsidR="00C51692" w:rsidRPr="00043A1E" w:rsidRDefault="00C51692" w:rsidP="00C51692">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Pr>
          <w:szCs w:val="22"/>
        </w:rPr>
        <w:t>參見：印</w:t>
      </w:r>
      <w:r w:rsidRPr="00043A1E">
        <w:rPr>
          <w:rFonts w:hint="eastAsia"/>
          <w:szCs w:val="22"/>
        </w:rPr>
        <w:t>順法師，《</w:t>
      </w:r>
      <w:r w:rsidRPr="00043A1E">
        <w:rPr>
          <w:szCs w:val="22"/>
        </w:rPr>
        <w:t>中觀今論》</w:t>
      </w:r>
      <w:r w:rsidRPr="00043A1E">
        <w:rPr>
          <w:rFonts w:hint="eastAsia"/>
          <w:szCs w:val="22"/>
        </w:rPr>
        <w:t>，</w:t>
      </w:r>
      <w:r w:rsidRPr="00761EF3">
        <w:rPr>
          <w:szCs w:val="22"/>
        </w:rPr>
        <w:t>p</w:t>
      </w:r>
      <w:r w:rsidRPr="00043A1E">
        <w:rPr>
          <w:szCs w:val="22"/>
        </w:rPr>
        <w:t>.</w:t>
      </w:r>
      <w:r w:rsidRPr="00761EF3">
        <w:rPr>
          <w:szCs w:val="22"/>
        </w:rPr>
        <w:t>91</w:t>
      </w:r>
      <w:r w:rsidRPr="00043A1E">
        <w:rPr>
          <w:szCs w:val="22"/>
        </w:rPr>
        <w:t>。</w:t>
      </w:r>
    </w:p>
  </w:footnote>
  <w:footnote w:id="522">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深玄</w:t>
      </w:r>
      <w:r w:rsidRPr="00043A1E">
        <w:rPr>
          <w:rFonts w:hint="eastAsia"/>
          <w:szCs w:val="22"/>
        </w:rPr>
        <w:t>：</w:t>
      </w:r>
      <w:r w:rsidRPr="00043A1E">
        <w:rPr>
          <w:szCs w:val="22"/>
        </w:rPr>
        <w:t>深奧玄妙。</w:t>
      </w:r>
      <w:r w:rsidRPr="00043A1E">
        <w:rPr>
          <w:rFonts w:hint="eastAsia"/>
          <w:szCs w:val="22"/>
        </w:rPr>
        <w:t>（《漢語大詞典》（五），</w:t>
      </w:r>
      <w:r w:rsidRPr="00761EF3">
        <w:rPr>
          <w:rFonts w:hint="eastAsia"/>
          <w:szCs w:val="22"/>
        </w:rPr>
        <w:t>p</w:t>
      </w:r>
      <w:r w:rsidRPr="00043A1E">
        <w:rPr>
          <w:rFonts w:hint="eastAsia"/>
          <w:szCs w:val="22"/>
        </w:rPr>
        <w:t>.</w:t>
      </w:r>
      <w:r w:rsidRPr="00761EF3">
        <w:rPr>
          <w:rFonts w:hint="eastAsia"/>
          <w:szCs w:val="22"/>
        </w:rPr>
        <w:t>1423</w:t>
      </w:r>
      <w:r w:rsidRPr="00043A1E">
        <w:rPr>
          <w:rFonts w:hint="eastAsia"/>
          <w:szCs w:val="22"/>
        </w:rPr>
        <w:t>）</w:t>
      </w:r>
    </w:p>
  </w:footnote>
  <w:footnote w:id="523">
    <w:p w:rsidR="003B553C" w:rsidRDefault="00157EF6" w:rsidP="00AA120F">
      <w:pPr>
        <w:pStyle w:val="a5"/>
        <w:spacing w:line="0" w:lineRule="atLeast"/>
        <w:ind w:left="253" w:hangingChars="115" w:hanging="253"/>
        <w:jc w:val="both"/>
        <w:rPr>
          <w:rFonts w:hAnsi="新細明體"/>
          <w:szCs w:val="22"/>
        </w:rPr>
      </w:pPr>
      <w:r w:rsidRPr="00043A1E">
        <w:rPr>
          <w:rStyle w:val="a6"/>
          <w:szCs w:val="22"/>
        </w:rPr>
        <w:footnoteRef/>
      </w:r>
      <w:r w:rsidRPr="00043A1E">
        <w:rPr>
          <w:rFonts w:hint="eastAsia"/>
          <w:szCs w:val="22"/>
        </w:rPr>
        <w:t xml:space="preserve"> </w:t>
      </w:r>
      <w:r w:rsidRPr="00043A1E">
        <w:rPr>
          <w:szCs w:val="22"/>
        </w:rPr>
        <w:t>一脈相通</w:t>
      </w:r>
      <w:r w:rsidRPr="00043A1E">
        <w:rPr>
          <w:rFonts w:hAnsi="新細明體"/>
          <w:szCs w:val="22"/>
        </w:rPr>
        <w:t>：謂事物之間相互關聯，猶如一條脈絡貫穿下來可以互通</w:t>
      </w:r>
      <w:r w:rsidRPr="00043A1E">
        <w:rPr>
          <w:rFonts w:hAnsi="新細明體" w:hint="eastAsia"/>
          <w:szCs w:val="22"/>
        </w:rPr>
        <w:t>。</w:t>
      </w:r>
    </w:p>
    <w:p w:rsidR="00157EF6" w:rsidRPr="00043A1E" w:rsidRDefault="00157EF6" w:rsidP="003B553C">
      <w:pPr>
        <w:pStyle w:val="a5"/>
        <w:spacing w:line="0" w:lineRule="atLeast"/>
        <w:ind w:left="253" w:hangingChars="115" w:hanging="253"/>
        <w:jc w:val="right"/>
        <w:rPr>
          <w:szCs w:val="22"/>
        </w:rPr>
      </w:pPr>
      <w:r w:rsidRPr="00043A1E">
        <w:rPr>
          <w:rFonts w:hint="eastAsia"/>
          <w:szCs w:val="22"/>
        </w:rPr>
        <w:t>（《漢語大詞典》（一），</w:t>
      </w:r>
      <w:r w:rsidRPr="00761EF3">
        <w:rPr>
          <w:rFonts w:hint="eastAsia"/>
          <w:szCs w:val="22"/>
        </w:rPr>
        <w:t>p</w:t>
      </w:r>
      <w:r w:rsidRPr="00043A1E">
        <w:rPr>
          <w:rFonts w:hint="eastAsia"/>
          <w:szCs w:val="22"/>
        </w:rPr>
        <w:t>.</w:t>
      </w:r>
      <w:r w:rsidRPr="00761EF3">
        <w:rPr>
          <w:rFonts w:hint="eastAsia"/>
          <w:szCs w:val="22"/>
        </w:rPr>
        <w:t>68</w:t>
      </w:r>
      <w:r w:rsidRPr="00043A1E">
        <w:rPr>
          <w:rFonts w:hint="eastAsia"/>
          <w:szCs w:val="22"/>
        </w:rPr>
        <w:t>）</w:t>
      </w:r>
    </w:p>
  </w:footnote>
  <w:footnote w:id="524">
    <w:p w:rsidR="003B553C"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源遠流長</w:t>
      </w:r>
      <w:r w:rsidRPr="00043A1E">
        <w:rPr>
          <w:rFonts w:hint="eastAsia"/>
          <w:szCs w:val="22"/>
        </w:rPr>
        <w:t>：</w:t>
      </w:r>
      <w:r w:rsidRPr="00043A1E">
        <w:rPr>
          <w:szCs w:val="22"/>
        </w:rPr>
        <w:t>河流的源頭很遠，水流很長。常比喻歷史悠久，根底深厚。</w:t>
      </w:r>
    </w:p>
    <w:p w:rsidR="00157EF6" w:rsidRPr="00043A1E" w:rsidRDefault="00157EF6" w:rsidP="003B553C">
      <w:pPr>
        <w:pStyle w:val="a5"/>
        <w:spacing w:line="0" w:lineRule="atLeast"/>
        <w:ind w:left="253" w:hangingChars="115" w:hanging="253"/>
        <w:jc w:val="right"/>
        <w:rPr>
          <w:szCs w:val="22"/>
        </w:rPr>
      </w:pPr>
      <w:r w:rsidRPr="00043A1E">
        <w:rPr>
          <w:rFonts w:hint="eastAsia"/>
          <w:szCs w:val="22"/>
        </w:rPr>
        <w:t>（《漢語大詞典》（六），</w:t>
      </w:r>
      <w:r w:rsidRPr="00761EF3">
        <w:rPr>
          <w:rFonts w:hint="eastAsia"/>
          <w:szCs w:val="22"/>
        </w:rPr>
        <w:t>p</w:t>
      </w:r>
      <w:r w:rsidRPr="00043A1E">
        <w:rPr>
          <w:rFonts w:hint="eastAsia"/>
          <w:szCs w:val="22"/>
        </w:rPr>
        <w:t>.</w:t>
      </w:r>
      <w:r w:rsidRPr="00761EF3">
        <w:rPr>
          <w:rFonts w:hint="eastAsia"/>
          <w:szCs w:val="22"/>
        </w:rPr>
        <w:t>12</w:t>
      </w:r>
      <w:r w:rsidRPr="00043A1E">
        <w:rPr>
          <w:rFonts w:hint="eastAsia"/>
          <w:szCs w:val="22"/>
        </w:rPr>
        <w:t>）</w:t>
      </w:r>
    </w:p>
  </w:footnote>
  <w:footnote w:id="525">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rFonts w:hint="eastAsia"/>
          <w:szCs w:val="22"/>
        </w:rPr>
        <w:t>光波：</w:t>
      </w:r>
      <w:r w:rsidRPr="00043A1E">
        <w:rPr>
          <w:rFonts w:hAnsi="新細明體"/>
          <w:szCs w:val="22"/>
        </w:rPr>
        <w:t>光，光線。</w:t>
      </w:r>
      <w:r w:rsidRPr="00043A1E">
        <w:rPr>
          <w:rFonts w:hint="eastAsia"/>
          <w:szCs w:val="22"/>
        </w:rPr>
        <w:t>（《漢語大詞典》（二），</w:t>
      </w:r>
      <w:r w:rsidRPr="00761EF3">
        <w:rPr>
          <w:rFonts w:hint="eastAsia"/>
          <w:szCs w:val="22"/>
        </w:rPr>
        <w:t>p</w:t>
      </w:r>
      <w:r w:rsidRPr="00043A1E">
        <w:rPr>
          <w:rFonts w:hint="eastAsia"/>
          <w:szCs w:val="22"/>
        </w:rPr>
        <w:t>.</w:t>
      </w:r>
      <w:r w:rsidRPr="00761EF3">
        <w:rPr>
          <w:rFonts w:hint="eastAsia"/>
          <w:szCs w:val="22"/>
        </w:rPr>
        <w:t>226</w:t>
      </w:r>
      <w:r w:rsidRPr="00043A1E">
        <w:rPr>
          <w:rFonts w:hint="eastAsia"/>
          <w:szCs w:val="22"/>
        </w:rPr>
        <w:t>）</w:t>
      </w:r>
    </w:p>
  </w:footnote>
  <w:footnote w:id="526">
    <w:p w:rsidR="00157EF6" w:rsidRPr="00043A1E" w:rsidRDefault="00157EF6" w:rsidP="00AA120F">
      <w:pPr>
        <w:pStyle w:val="a5"/>
        <w:spacing w:line="0" w:lineRule="atLeast"/>
        <w:ind w:left="253" w:hangingChars="115" w:hanging="253"/>
        <w:jc w:val="both"/>
        <w:rPr>
          <w:rFonts w:ascii="新細明體" w:hAnsi="新細明體"/>
          <w:szCs w:val="22"/>
        </w:rPr>
      </w:pPr>
      <w:r w:rsidRPr="00043A1E">
        <w:rPr>
          <w:rStyle w:val="a6"/>
          <w:szCs w:val="22"/>
        </w:rPr>
        <w:footnoteRef/>
      </w:r>
      <w:r w:rsidRPr="00043A1E">
        <w:rPr>
          <w:rFonts w:hint="eastAsia"/>
          <w:szCs w:val="22"/>
        </w:rPr>
        <w:t xml:space="preserve"> </w:t>
      </w:r>
      <w:r w:rsidRPr="00043A1E">
        <w:rPr>
          <w:rFonts w:ascii="新細明體" w:hAnsi="新細明體" w:hint="eastAsia"/>
          <w:szCs w:val="22"/>
        </w:rPr>
        <w:t>假象：</w:t>
      </w:r>
      <w:r w:rsidRPr="00761EF3">
        <w:rPr>
          <w:szCs w:val="22"/>
        </w:rPr>
        <w:t>2</w:t>
      </w:r>
      <w:r w:rsidRPr="00043A1E">
        <w:rPr>
          <w:szCs w:val="22"/>
        </w:rPr>
        <w:t>.</w:t>
      </w:r>
      <w:r w:rsidRPr="00043A1E">
        <w:rPr>
          <w:szCs w:val="22"/>
        </w:rPr>
        <w:t>謂與</w:t>
      </w:r>
      <w:r w:rsidRPr="00043A1E">
        <w:rPr>
          <w:rFonts w:ascii="新細明體" w:hAnsi="新細明體" w:hint="eastAsia"/>
          <w:szCs w:val="22"/>
        </w:rPr>
        <w:t>事物本質不符合的虛假的表面現象。</w:t>
      </w:r>
      <w:r w:rsidRPr="00043A1E">
        <w:rPr>
          <w:rFonts w:hint="eastAsia"/>
          <w:szCs w:val="22"/>
        </w:rPr>
        <w:t>（《漢語大詞典》（一），</w:t>
      </w:r>
      <w:r w:rsidRPr="00761EF3">
        <w:rPr>
          <w:rFonts w:hint="eastAsia"/>
          <w:szCs w:val="22"/>
        </w:rPr>
        <w:t>p</w:t>
      </w:r>
      <w:r w:rsidRPr="00043A1E">
        <w:rPr>
          <w:szCs w:val="22"/>
        </w:rPr>
        <w:t>.</w:t>
      </w:r>
      <w:r w:rsidRPr="00761EF3">
        <w:rPr>
          <w:szCs w:val="22"/>
        </w:rPr>
        <w:t>1</w:t>
      </w:r>
      <w:r w:rsidRPr="00761EF3">
        <w:rPr>
          <w:rFonts w:hint="eastAsia"/>
          <w:szCs w:val="22"/>
        </w:rPr>
        <w:t>579</w:t>
      </w:r>
      <w:r w:rsidRPr="00043A1E">
        <w:rPr>
          <w:rFonts w:hint="eastAsia"/>
          <w:szCs w:val="22"/>
        </w:rPr>
        <w:t>）</w:t>
      </w:r>
    </w:p>
  </w:footnote>
  <w:footnote w:id="527">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實質：本質，事物、論點或問題的實在內容。（《漢語大詞典》（三），</w:t>
      </w:r>
      <w:r w:rsidRPr="00761EF3">
        <w:rPr>
          <w:rFonts w:hint="eastAsia"/>
          <w:szCs w:val="22"/>
        </w:rPr>
        <w:t>p</w:t>
      </w:r>
      <w:r w:rsidRPr="00043A1E">
        <w:rPr>
          <w:szCs w:val="22"/>
        </w:rPr>
        <w:t>.</w:t>
      </w:r>
      <w:r w:rsidRPr="00761EF3">
        <w:rPr>
          <w:szCs w:val="22"/>
        </w:rPr>
        <w:t>16</w:t>
      </w:r>
      <w:r w:rsidRPr="00761EF3">
        <w:rPr>
          <w:rFonts w:hint="eastAsia"/>
          <w:szCs w:val="22"/>
        </w:rPr>
        <w:t>20</w:t>
      </w:r>
      <w:r w:rsidRPr="00043A1E">
        <w:rPr>
          <w:rFonts w:hint="eastAsia"/>
          <w:szCs w:val="22"/>
        </w:rPr>
        <w:t>）</w:t>
      </w:r>
    </w:p>
  </w:footnote>
  <w:footnote w:id="528">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現象：事物在發展、變化中所表現出來的外部形態。</w:t>
      </w:r>
      <w:r w:rsidRPr="00043A1E">
        <w:rPr>
          <w:rFonts w:hint="eastAsia"/>
          <w:szCs w:val="22"/>
        </w:rPr>
        <w:t>（《漢語大詞典》（四），</w:t>
      </w:r>
      <w:r w:rsidRPr="00761EF3">
        <w:rPr>
          <w:rFonts w:hint="eastAsia"/>
          <w:szCs w:val="22"/>
        </w:rPr>
        <w:t>p</w:t>
      </w:r>
      <w:r w:rsidRPr="00043A1E">
        <w:rPr>
          <w:szCs w:val="22"/>
        </w:rPr>
        <w:t>.</w:t>
      </w:r>
      <w:r w:rsidRPr="00761EF3">
        <w:rPr>
          <w:rFonts w:hint="eastAsia"/>
          <w:szCs w:val="22"/>
        </w:rPr>
        <w:t>580</w:t>
      </w:r>
      <w:r w:rsidRPr="00043A1E">
        <w:rPr>
          <w:rFonts w:hint="eastAsia"/>
          <w:szCs w:val="22"/>
        </w:rPr>
        <w:t>）</w:t>
      </w:r>
    </w:p>
  </w:footnote>
  <w:footnote w:id="529">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本體</w:t>
      </w:r>
      <w:r w:rsidRPr="00043A1E">
        <w:rPr>
          <w:rFonts w:hint="eastAsia"/>
          <w:szCs w:val="22"/>
        </w:rPr>
        <w:t>：</w:t>
      </w:r>
      <w:r w:rsidRPr="00043A1E">
        <w:rPr>
          <w:szCs w:val="22"/>
        </w:rPr>
        <w:t>事物的原樣或自身</w:t>
      </w:r>
      <w:r w:rsidRPr="00043A1E">
        <w:rPr>
          <w:rFonts w:hint="eastAsia"/>
          <w:szCs w:val="22"/>
        </w:rPr>
        <w:t>。（《漢語大詞典》（四），</w:t>
      </w:r>
      <w:r w:rsidRPr="00761EF3">
        <w:rPr>
          <w:rFonts w:hint="eastAsia"/>
          <w:szCs w:val="22"/>
        </w:rPr>
        <w:t>p</w:t>
      </w:r>
      <w:r w:rsidRPr="00043A1E">
        <w:rPr>
          <w:szCs w:val="22"/>
        </w:rPr>
        <w:t>.</w:t>
      </w:r>
      <w:r w:rsidRPr="00761EF3">
        <w:rPr>
          <w:rFonts w:hint="eastAsia"/>
          <w:szCs w:val="22"/>
        </w:rPr>
        <w:t>720</w:t>
      </w:r>
      <w:r w:rsidRPr="00043A1E">
        <w:rPr>
          <w:rFonts w:hint="eastAsia"/>
          <w:szCs w:val="22"/>
        </w:rPr>
        <w:t>）</w:t>
      </w:r>
    </w:p>
  </w:footnote>
  <w:footnote w:id="530">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rFonts w:hint="eastAsia"/>
          <w:szCs w:val="22"/>
        </w:rPr>
        <w:t>萬有：猶萬物。（《漢語大詞典》（九），</w:t>
      </w:r>
      <w:r w:rsidRPr="00761EF3">
        <w:rPr>
          <w:rFonts w:hint="eastAsia"/>
          <w:szCs w:val="22"/>
        </w:rPr>
        <w:t>p</w:t>
      </w:r>
      <w:r w:rsidRPr="00043A1E">
        <w:rPr>
          <w:szCs w:val="22"/>
        </w:rPr>
        <w:t>.</w:t>
      </w:r>
      <w:r w:rsidRPr="00761EF3">
        <w:rPr>
          <w:rFonts w:hint="eastAsia"/>
          <w:szCs w:val="22"/>
        </w:rPr>
        <w:t>463</w:t>
      </w:r>
      <w:r w:rsidRPr="00043A1E">
        <w:rPr>
          <w:rFonts w:hint="eastAsia"/>
          <w:szCs w:val="22"/>
        </w:rPr>
        <w:t>）</w:t>
      </w:r>
    </w:p>
  </w:footnote>
  <w:footnote w:id="531">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szCs w:val="22"/>
        </w:rPr>
        <w:t>參見</w:t>
      </w:r>
      <w:r w:rsidR="003B553C">
        <w:rPr>
          <w:rFonts w:hint="eastAsia"/>
          <w:szCs w:val="22"/>
        </w:rPr>
        <w:t>：</w:t>
      </w:r>
      <w:r w:rsidRPr="00043A1E">
        <w:rPr>
          <w:szCs w:val="22"/>
        </w:rPr>
        <w:t>提婆造</w:t>
      </w:r>
      <w:r w:rsidRPr="00043A1E">
        <w:rPr>
          <w:rFonts w:hint="eastAsia"/>
          <w:szCs w:val="22"/>
        </w:rPr>
        <w:t>，</w:t>
      </w:r>
      <w:r w:rsidRPr="00043A1E">
        <w:rPr>
          <w:szCs w:val="22"/>
        </w:rPr>
        <w:t>《百論》〈</w:t>
      </w:r>
      <w:r w:rsidRPr="00761EF3">
        <w:rPr>
          <w:szCs w:val="22"/>
        </w:rPr>
        <w:t>2</w:t>
      </w:r>
      <w:r w:rsidRPr="00043A1E">
        <w:rPr>
          <w:szCs w:val="22"/>
        </w:rPr>
        <w:t xml:space="preserve"> </w:t>
      </w:r>
      <w:r w:rsidRPr="00043A1E">
        <w:rPr>
          <w:szCs w:val="22"/>
        </w:rPr>
        <w:t>破神品〉</w:t>
      </w:r>
      <w:r w:rsidRPr="00043A1E">
        <w:rPr>
          <w:rFonts w:hint="eastAsia"/>
          <w:szCs w:val="22"/>
        </w:rPr>
        <w:t>（</w:t>
      </w:r>
      <w:r w:rsidRPr="00043A1E">
        <w:rPr>
          <w:szCs w:val="22"/>
        </w:rPr>
        <w:t>大正</w:t>
      </w:r>
      <w:r w:rsidRPr="00761EF3">
        <w:rPr>
          <w:szCs w:val="22"/>
        </w:rPr>
        <w:t>30</w:t>
      </w:r>
      <w:r w:rsidRPr="00043A1E">
        <w:rPr>
          <w:szCs w:val="22"/>
        </w:rPr>
        <w:t>，</w:t>
      </w:r>
      <w:r w:rsidRPr="00761EF3">
        <w:rPr>
          <w:szCs w:val="22"/>
        </w:rPr>
        <w:t>170c</w:t>
      </w:r>
      <w:r w:rsidRPr="00043A1E">
        <w:rPr>
          <w:rFonts w:hint="eastAsia"/>
          <w:szCs w:val="22"/>
        </w:rPr>
        <w:t>-</w:t>
      </w:r>
      <w:r w:rsidRPr="00761EF3">
        <w:rPr>
          <w:szCs w:val="22"/>
        </w:rPr>
        <w:t>173b</w:t>
      </w:r>
      <w:r w:rsidRPr="00043A1E">
        <w:rPr>
          <w:rFonts w:hint="eastAsia"/>
          <w:szCs w:val="22"/>
        </w:rPr>
        <w:t>）。</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w:t>
      </w:r>
      <w:r w:rsidRPr="00043A1E">
        <w:rPr>
          <w:szCs w:val="22"/>
        </w:rPr>
        <w:t>印順</w:t>
      </w:r>
      <w:r w:rsidRPr="00043A1E">
        <w:rPr>
          <w:rFonts w:hint="eastAsia"/>
          <w:szCs w:val="22"/>
        </w:rPr>
        <w:t>法師，</w:t>
      </w:r>
      <w:r w:rsidRPr="00043A1E">
        <w:rPr>
          <w:szCs w:val="22"/>
        </w:rPr>
        <w:t>《中觀論頌講記》</w:t>
      </w:r>
      <w:r w:rsidRPr="00043A1E">
        <w:rPr>
          <w:rFonts w:hint="eastAsia"/>
          <w:szCs w:val="22"/>
        </w:rPr>
        <w:t>，</w:t>
      </w:r>
      <w:r w:rsidRPr="00761EF3">
        <w:rPr>
          <w:szCs w:val="22"/>
        </w:rPr>
        <w:t>p</w:t>
      </w:r>
      <w:r w:rsidRPr="00043A1E">
        <w:rPr>
          <w:szCs w:val="22"/>
        </w:rPr>
        <w:t>.</w:t>
      </w:r>
      <w:r w:rsidRPr="00761EF3">
        <w:rPr>
          <w:szCs w:val="22"/>
        </w:rPr>
        <w:t>361</w:t>
      </w:r>
      <w:r w:rsidRPr="00043A1E">
        <w:rPr>
          <w:szCs w:val="22"/>
        </w:rPr>
        <w:t>：</w:t>
      </w:r>
    </w:p>
    <w:p w:rsidR="00157EF6" w:rsidRPr="00043A1E" w:rsidRDefault="00157EF6" w:rsidP="00AA120F">
      <w:pPr>
        <w:pStyle w:val="a5"/>
        <w:ind w:leftChars="335" w:left="804"/>
        <w:jc w:val="both"/>
        <w:rPr>
          <w:szCs w:val="22"/>
        </w:rPr>
      </w:pPr>
      <w:r w:rsidRPr="00043A1E">
        <w:rPr>
          <w:rFonts w:ascii="標楷體" w:eastAsia="標楷體" w:hAnsi="標楷體"/>
          <w:szCs w:val="22"/>
        </w:rPr>
        <w:t>數論是因中有果論者，認為世間的根本，是冥性──自性。冥性，雖不能具體的說出，但精神</w:t>
      </w:r>
      <w:r w:rsidRPr="00043A1E">
        <w:rPr>
          <w:rFonts w:ascii="標楷體" w:eastAsia="標楷體" w:hAnsi="標楷體" w:hint="eastAsia"/>
          <w:szCs w:val="22"/>
        </w:rPr>
        <w:t>、</w:t>
      </w:r>
      <w:r w:rsidRPr="00043A1E">
        <w:rPr>
          <w:rFonts w:ascii="標楷體" w:eastAsia="標楷體" w:hAnsi="標楷體"/>
          <w:szCs w:val="22"/>
        </w:rPr>
        <w:t>物質都從他發展出來；所以世間的一切，也就存在於冥性中。</w:t>
      </w:r>
    </w:p>
  </w:footnote>
  <w:footnote w:id="532">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質素</w:t>
      </w:r>
      <w:r w:rsidRPr="00043A1E">
        <w:rPr>
          <w:rFonts w:hint="eastAsia"/>
          <w:szCs w:val="22"/>
        </w:rPr>
        <w:t>：</w:t>
      </w:r>
      <w:r w:rsidRPr="00761EF3">
        <w:rPr>
          <w:rFonts w:hint="eastAsia"/>
          <w:szCs w:val="22"/>
        </w:rPr>
        <w:t>2</w:t>
      </w:r>
      <w:r w:rsidRPr="00043A1E">
        <w:rPr>
          <w:rFonts w:hint="eastAsia"/>
          <w:szCs w:val="22"/>
        </w:rPr>
        <w:t>.</w:t>
      </w:r>
      <w:r w:rsidRPr="00043A1E">
        <w:rPr>
          <w:rFonts w:hint="eastAsia"/>
          <w:szCs w:val="22"/>
        </w:rPr>
        <w:t>素質，固有的品質或性質。（《漢語大詞典》（十），</w:t>
      </w:r>
      <w:r w:rsidRPr="00761EF3">
        <w:rPr>
          <w:rFonts w:hint="eastAsia"/>
          <w:szCs w:val="22"/>
        </w:rPr>
        <w:t>p</w:t>
      </w:r>
      <w:r w:rsidRPr="00043A1E">
        <w:rPr>
          <w:szCs w:val="22"/>
        </w:rPr>
        <w:t>.</w:t>
      </w:r>
      <w:r w:rsidRPr="00761EF3">
        <w:rPr>
          <w:rFonts w:hint="eastAsia"/>
          <w:szCs w:val="22"/>
        </w:rPr>
        <w:t>270</w:t>
      </w:r>
      <w:r w:rsidRPr="00043A1E">
        <w:rPr>
          <w:rFonts w:hint="eastAsia"/>
          <w:szCs w:val="22"/>
        </w:rPr>
        <w:t>）</w:t>
      </w:r>
    </w:p>
  </w:footnote>
  <w:footnote w:id="533">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szCs w:val="22"/>
        </w:rPr>
        <w:t>參見</w:t>
      </w:r>
      <w:r w:rsidR="003B553C">
        <w:rPr>
          <w:rFonts w:hint="eastAsia"/>
          <w:szCs w:val="22"/>
        </w:rPr>
        <w:t>：</w:t>
      </w:r>
      <w:r w:rsidRPr="00043A1E">
        <w:rPr>
          <w:szCs w:val="22"/>
        </w:rPr>
        <w:t>普光述</w:t>
      </w:r>
      <w:r w:rsidRPr="00043A1E">
        <w:rPr>
          <w:rFonts w:hint="eastAsia"/>
          <w:szCs w:val="22"/>
        </w:rPr>
        <w:t>，</w:t>
      </w:r>
      <w:r w:rsidRPr="00043A1E">
        <w:rPr>
          <w:szCs w:val="22"/>
        </w:rPr>
        <w:t>《俱舍論記》</w:t>
      </w:r>
      <w:r w:rsidR="00D07D52" w:rsidRPr="00D07D52">
        <w:rPr>
          <w:rFonts w:hint="eastAsia"/>
          <w:color w:val="FF0000"/>
          <w:szCs w:val="22"/>
          <w:highlight w:val="yellow"/>
        </w:rPr>
        <w:t>〈</w:t>
      </w:r>
      <w:r w:rsidR="005C2FCA">
        <w:rPr>
          <w:rFonts w:hint="eastAsia"/>
          <w:color w:val="FF0000"/>
          <w:szCs w:val="22"/>
          <w:highlight w:val="yellow"/>
        </w:rPr>
        <w:t xml:space="preserve">2 </w:t>
      </w:r>
      <w:r w:rsidR="00D07D52" w:rsidRPr="00D07D52">
        <w:rPr>
          <w:rFonts w:hint="eastAsia"/>
          <w:color w:val="FF0000"/>
          <w:szCs w:val="22"/>
          <w:highlight w:val="yellow"/>
        </w:rPr>
        <w:t>分別根品〉</w:t>
      </w:r>
      <w:r w:rsidRPr="00043A1E">
        <w:rPr>
          <w:rFonts w:hint="eastAsia"/>
          <w:szCs w:val="22"/>
        </w:rPr>
        <w:t>（</w:t>
      </w:r>
      <w:r w:rsidRPr="00043A1E">
        <w:rPr>
          <w:szCs w:val="22"/>
        </w:rPr>
        <w:t>大正</w:t>
      </w:r>
      <w:r w:rsidRPr="00761EF3">
        <w:rPr>
          <w:szCs w:val="22"/>
        </w:rPr>
        <w:t>41</w:t>
      </w:r>
      <w:r w:rsidRPr="00043A1E">
        <w:rPr>
          <w:szCs w:val="22"/>
        </w:rPr>
        <w:t>，</w:t>
      </w:r>
      <w:r w:rsidRPr="00761EF3">
        <w:rPr>
          <w:szCs w:val="22"/>
        </w:rPr>
        <w:t>94b29</w:t>
      </w:r>
      <w:r w:rsidRPr="00043A1E">
        <w:rPr>
          <w:rFonts w:hint="eastAsia"/>
          <w:szCs w:val="22"/>
        </w:rPr>
        <w:t>-</w:t>
      </w:r>
      <w:r w:rsidRPr="00761EF3">
        <w:rPr>
          <w:szCs w:val="22"/>
        </w:rPr>
        <w:t>95a13</w:t>
      </w:r>
      <w:r w:rsidRPr="00043A1E">
        <w:rPr>
          <w:rFonts w:hint="eastAsia"/>
          <w:szCs w:val="22"/>
        </w:rPr>
        <w:t>）</w:t>
      </w:r>
      <w:r w:rsidRPr="00043A1E">
        <w:rPr>
          <w:szCs w:val="22"/>
        </w:rPr>
        <w:t>：</w:t>
      </w:r>
    </w:p>
    <w:p w:rsidR="00157EF6" w:rsidRPr="00043A1E" w:rsidRDefault="00157EF6" w:rsidP="00AA120F">
      <w:pPr>
        <w:pStyle w:val="a5"/>
        <w:ind w:leftChars="335" w:left="804"/>
        <w:jc w:val="both"/>
        <w:rPr>
          <w:szCs w:val="22"/>
        </w:rPr>
      </w:pPr>
      <w:r w:rsidRPr="00043A1E">
        <w:rPr>
          <w:rFonts w:ascii="標楷體" w:eastAsia="標楷體" w:hAnsi="標楷體"/>
          <w:b/>
          <w:szCs w:val="22"/>
        </w:rPr>
        <w:t>若依勝論宗中先代古師立六句義：一</w:t>
      </w:r>
      <w:r w:rsidRPr="00043A1E">
        <w:rPr>
          <w:rFonts w:ascii="標楷體" w:eastAsia="標楷體" w:hAnsi="標楷體" w:hint="eastAsia"/>
          <w:b/>
          <w:szCs w:val="22"/>
        </w:rPr>
        <w:t>、</w:t>
      </w:r>
      <w:r w:rsidRPr="00043A1E">
        <w:rPr>
          <w:rFonts w:ascii="標楷體" w:eastAsia="標楷體" w:hAnsi="標楷體"/>
          <w:b/>
          <w:szCs w:val="22"/>
        </w:rPr>
        <w:t>實</w:t>
      </w:r>
      <w:r w:rsidRPr="00043A1E">
        <w:rPr>
          <w:rFonts w:ascii="標楷體" w:eastAsia="標楷體" w:hAnsi="標楷體" w:hint="eastAsia"/>
          <w:b/>
          <w:szCs w:val="22"/>
        </w:rPr>
        <w:t>，</w:t>
      </w:r>
      <w:r w:rsidRPr="00043A1E">
        <w:rPr>
          <w:rFonts w:ascii="標楷體" w:eastAsia="標楷體" w:hAnsi="標楷體"/>
          <w:b/>
          <w:szCs w:val="22"/>
        </w:rPr>
        <w:t>二</w:t>
      </w:r>
      <w:r w:rsidRPr="00043A1E">
        <w:rPr>
          <w:rFonts w:ascii="標楷體" w:eastAsia="標楷體" w:hAnsi="標楷體" w:hint="eastAsia"/>
          <w:b/>
          <w:szCs w:val="22"/>
        </w:rPr>
        <w:t>、</w:t>
      </w:r>
      <w:r w:rsidRPr="00043A1E">
        <w:rPr>
          <w:rFonts w:ascii="標楷體" w:eastAsia="標楷體" w:hAnsi="標楷體"/>
          <w:b/>
          <w:szCs w:val="22"/>
        </w:rPr>
        <w:t>德</w:t>
      </w:r>
      <w:r w:rsidRPr="00043A1E">
        <w:rPr>
          <w:rFonts w:ascii="標楷體" w:eastAsia="標楷體" w:hAnsi="標楷體" w:hint="eastAsia"/>
          <w:b/>
          <w:szCs w:val="22"/>
        </w:rPr>
        <w:t>，</w:t>
      </w:r>
      <w:r w:rsidRPr="00043A1E">
        <w:rPr>
          <w:rFonts w:ascii="標楷體" w:eastAsia="標楷體" w:hAnsi="標楷體"/>
          <w:b/>
          <w:szCs w:val="22"/>
        </w:rPr>
        <w:t>三</w:t>
      </w:r>
      <w:r w:rsidRPr="00043A1E">
        <w:rPr>
          <w:rFonts w:ascii="標楷體" w:eastAsia="標楷體" w:hAnsi="標楷體" w:hint="eastAsia"/>
          <w:b/>
          <w:szCs w:val="22"/>
        </w:rPr>
        <w:t>、</w:t>
      </w:r>
      <w:r w:rsidRPr="00043A1E">
        <w:rPr>
          <w:rFonts w:ascii="標楷體" w:eastAsia="標楷體" w:hAnsi="標楷體"/>
          <w:b/>
          <w:szCs w:val="22"/>
        </w:rPr>
        <w:t>業</w:t>
      </w:r>
      <w:r w:rsidRPr="00043A1E">
        <w:rPr>
          <w:rFonts w:ascii="標楷體" w:eastAsia="標楷體" w:hAnsi="標楷體" w:hint="eastAsia"/>
          <w:b/>
          <w:szCs w:val="22"/>
        </w:rPr>
        <w:t>，</w:t>
      </w:r>
      <w:r w:rsidRPr="00043A1E">
        <w:rPr>
          <w:rFonts w:ascii="標楷體" w:eastAsia="標楷體" w:hAnsi="標楷體"/>
          <w:b/>
          <w:szCs w:val="22"/>
        </w:rPr>
        <w:t>四</w:t>
      </w:r>
      <w:r w:rsidRPr="00043A1E">
        <w:rPr>
          <w:rFonts w:ascii="標楷體" w:eastAsia="標楷體" w:hAnsi="標楷體" w:hint="eastAsia"/>
          <w:b/>
          <w:szCs w:val="22"/>
        </w:rPr>
        <w:t>、</w:t>
      </w:r>
      <w:r w:rsidRPr="00043A1E">
        <w:rPr>
          <w:rFonts w:ascii="標楷體" w:eastAsia="標楷體" w:hAnsi="標楷體"/>
          <w:b/>
          <w:szCs w:val="22"/>
        </w:rPr>
        <w:t>有</w:t>
      </w:r>
      <w:r w:rsidRPr="00043A1E">
        <w:rPr>
          <w:rFonts w:ascii="標楷體" w:eastAsia="標楷體" w:hAnsi="標楷體" w:hint="eastAsia"/>
          <w:b/>
          <w:szCs w:val="22"/>
        </w:rPr>
        <w:t>，</w:t>
      </w:r>
      <w:r w:rsidRPr="00043A1E">
        <w:rPr>
          <w:rFonts w:ascii="標楷體" w:eastAsia="標楷體" w:hAnsi="標楷體"/>
          <w:b/>
          <w:szCs w:val="22"/>
        </w:rPr>
        <w:t>五</w:t>
      </w:r>
      <w:r w:rsidRPr="00043A1E">
        <w:rPr>
          <w:rFonts w:ascii="標楷體" w:eastAsia="標楷體" w:hAnsi="標楷體" w:hint="eastAsia"/>
          <w:b/>
          <w:szCs w:val="22"/>
        </w:rPr>
        <w:t>、</w:t>
      </w:r>
      <w:r w:rsidRPr="00043A1E">
        <w:rPr>
          <w:rFonts w:ascii="標楷體" w:eastAsia="標楷體" w:hAnsi="標楷體"/>
          <w:b/>
          <w:szCs w:val="22"/>
        </w:rPr>
        <w:t>同異</w:t>
      </w:r>
      <w:r w:rsidRPr="00043A1E">
        <w:rPr>
          <w:rFonts w:ascii="標楷體" w:eastAsia="標楷體" w:hAnsi="標楷體" w:hint="eastAsia"/>
          <w:b/>
          <w:szCs w:val="22"/>
        </w:rPr>
        <w:t>，</w:t>
      </w:r>
      <w:r w:rsidRPr="00043A1E">
        <w:rPr>
          <w:rFonts w:ascii="標楷體" w:eastAsia="標楷體" w:hAnsi="標楷體"/>
          <w:b/>
          <w:szCs w:val="22"/>
        </w:rPr>
        <w:t>六</w:t>
      </w:r>
      <w:r w:rsidRPr="00043A1E">
        <w:rPr>
          <w:rFonts w:ascii="標楷體" w:eastAsia="標楷體" w:hAnsi="標楷體" w:hint="eastAsia"/>
          <w:b/>
          <w:szCs w:val="22"/>
        </w:rPr>
        <w:t>、</w:t>
      </w:r>
      <w:r w:rsidRPr="00043A1E">
        <w:rPr>
          <w:rFonts w:ascii="標楷體" w:eastAsia="標楷體" w:hAnsi="標楷體"/>
          <w:b/>
          <w:szCs w:val="22"/>
        </w:rPr>
        <w:t>和合。</w:t>
      </w:r>
      <w:r w:rsidRPr="00043A1E">
        <w:rPr>
          <w:rFonts w:ascii="標楷體" w:eastAsia="標楷體" w:hAnsi="標楷體"/>
          <w:szCs w:val="22"/>
        </w:rPr>
        <w:t>後代慧月論師立十句義。如</w:t>
      </w:r>
      <w:r w:rsidR="003B553C" w:rsidRPr="003B553C">
        <w:rPr>
          <w:rFonts w:ascii="標楷體" w:eastAsia="標楷體" w:hAnsi="標楷體" w:hint="eastAsia"/>
          <w:color w:val="FF0000"/>
          <w:szCs w:val="22"/>
          <w:highlight w:val="yellow"/>
        </w:rPr>
        <w:t>《</w:t>
      </w:r>
      <w:r w:rsidRPr="00043A1E">
        <w:rPr>
          <w:rFonts w:ascii="標楷體" w:eastAsia="標楷體" w:hAnsi="標楷體"/>
          <w:szCs w:val="22"/>
        </w:rPr>
        <w:t>十句義論</w:t>
      </w:r>
      <w:r w:rsidR="003B553C" w:rsidRPr="003B553C">
        <w:rPr>
          <w:rFonts w:ascii="標楷體" w:eastAsia="標楷體" w:hAnsi="標楷體" w:hint="eastAsia"/>
          <w:color w:val="FF0000"/>
          <w:szCs w:val="22"/>
          <w:highlight w:val="yellow"/>
        </w:rPr>
        <w:t>》</w:t>
      </w:r>
      <w:r w:rsidRPr="00043A1E">
        <w:rPr>
          <w:rFonts w:ascii="標楷體" w:eastAsia="標楷體" w:hAnsi="標楷體"/>
          <w:szCs w:val="22"/>
        </w:rPr>
        <w:t>中立：</w:t>
      </w:r>
      <w:r w:rsidRPr="00043A1E">
        <w:rPr>
          <w:rFonts w:ascii="標楷體" w:eastAsia="標楷體" w:hAnsi="標楷體"/>
          <w:b/>
          <w:szCs w:val="22"/>
        </w:rPr>
        <w:t>一</w:t>
      </w:r>
      <w:r w:rsidRPr="00043A1E">
        <w:rPr>
          <w:rFonts w:ascii="標楷體" w:eastAsia="標楷體" w:hAnsi="標楷體" w:hint="eastAsia"/>
          <w:b/>
          <w:szCs w:val="22"/>
        </w:rPr>
        <w:t>、</w:t>
      </w:r>
      <w:r w:rsidRPr="00043A1E">
        <w:rPr>
          <w:rFonts w:ascii="標楷體" w:eastAsia="標楷體" w:hAnsi="標楷體"/>
          <w:b/>
          <w:szCs w:val="22"/>
        </w:rPr>
        <w:t>實，解云</w:t>
      </w:r>
      <w:r w:rsidRPr="00043A1E">
        <w:rPr>
          <w:rFonts w:ascii="標楷體" w:eastAsia="標楷體" w:hAnsi="標楷體" w:hint="eastAsia"/>
          <w:b/>
          <w:szCs w:val="22"/>
        </w:rPr>
        <w:t>：</w:t>
      </w:r>
      <w:r w:rsidRPr="00043A1E">
        <w:rPr>
          <w:rFonts w:ascii="標楷體" w:eastAsia="標楷體" w:hAnsi="標楷體"/>
          <w:b/>
          <w:szCs w:val="22"/>
        </w:rPr>
        <w:t>諸法體</w:t>
      </w:r>
      <w:r w:rsidRPr="00043A1E">
        <w:rPr>
          <w:rFonts w:ascii="標楷體" w:eastAsia="標楷體" w:hAnsi="標楷體" w:hint="eastAsia"/>
          <w:b/>
          <w:szCs w:val="22"/>
        </w:rPr>
        <w:t>，</w:t>
      </w:r>
      <w:r w:rsidR="003B553C">
        <w:rPr>
          <w:rFonts w:ascii="標楷體" w:eastAsia="標楷體" w:hAnsi="標楷體" w:hint="eastAsia"/>
          <w:bCs/>
          <w:color w:val="FF0000"/>
          <w:kern w:val="0"/>
          <w:highlight w:val="yellow"/>
        </w:rPr>
        <w:t>「</w:t>
      </w:r>
      <w:r w:rsidRPr="00043A1E">
        <w:rPr>
          <w:rFonts w:ascii="標楷體" w:eastAsia="標楷體" w:hAnsi="標楷體"/>
          <w:b/>
          <w:szCs w:val="22"/>
        </w:rPr>
        <w:t>實</w:t>
      </w:r>
      <w:r w:rsidR="003B553C">
        <w:rPr>
          <w:rFonts w:ascii="標楷體" w:eastAsia="標楷體" w:hAnsi="標楷體" w:hint="eastAsia"/>
          <w:bCs/>
          <w:color w:val="FF0000"/>
          <w:kern w:val="0"/>
          <w:highlight w:val="yellow"/>
        </w:rPr>
        <w:t>」</w:t>
      </w:r>
      <w:r w:rsidRPr="00043A1E">
        <w:rPr>
          <w:rFonts w:ascii="標楷體" w:eastAsia="標楷體" w:hAnsi="標楷體"/>
          <w:b/>
          <w:szCs w:val="22"/>
        </w:rPr>
        <w:t>是</w:t>
      </w:r>
      <w:r w:rsidR="003B553C">
        <w:rPr>
          <w:rFonts w:ascii="標楷體" w:eastAsia="標楷體" w:hAnsi="標楷體" w:hint="eastAsia"/>
          <w:bCs/>
          <w:color w:val="FF0000"/>
          <w:kern w:val="0"/>
          <w:highlight w:val="yellow"/>
        </w:rPr>
        <w:t>「</w:t>
      </w:r>
      <w:r w:rsidRPr="00043A1E">
        <w:rPr>
          <w:rFonts w:ascii="標楷體" w:eastAsia="標楷體" w:hAnsi="標楷體"/>
          <w:b/>
          <w:szCs w:val="22"/>
        </w:rPr>
        <w:t>德</w:t>
      </w:r>
      <w:r w:rsidR="003B553C">
        <w:rPr>
          <w:rFonts w:ascii="標楷體" w:eastAsia="標楷體" w:hAnsi="標楷體" w:hint="eastAsia"/>
          <w:bCs/>
          <w:color w:val="FF0000"/>
          <w:kern w:val="0"/>
          <w:highlight w:val="yellow"/>
        </w:rPr>
        <w:t>」</w:t>
      </w:r>
      <w:r w:rsidRPr="00043A1E">
        <w:rPr>
          <w:rFonts w:ascii="標楷體" w:eastAsia="標楷體" w:hAnsi="標楷體"/>
          <w:b/>
          <w:szCs w:val="22"/>
        </w:rPr>
        <w:t>等所依</w:t>
      </w:r>
      <w:r w:rsidRPr="00043A1E">
        <w:rPr>
          <w:rFonts w:ascii="標楷體" w:eastAsia="標楷體" w:hAnsi="標楷體"/>
          <w:szCs w:val="22"/>
        </w:rPr>
        <w:t>。二</w:t>
      </w:r>
      <w:r w:rsidRPr="00043A1E">
        <w:rPr>
          <w:rFonts w:ascii="標楷體" w:eastAsia="標楷體" w:hAnsi="標楷體" w:hint="eastAsia"/>
          <w:szCs w:val="22"/>
        </w:rPr>
        <w:t>、</w:t>
      </w:r>
      <w:r w:rsidRPr="00043A1E">
        <w:rPr>
          <w:rFonts w:ascii="標楷體" w:eastAsia="標楷體" w:hAnsi="標楷體"/>
          <w:szCs w:val="22"/>
        </w:rPr>
        <w:t>德，解云</w:t>
      </w:r>
      <w:r w:rsidRPr="00043A1E">
        <w:rPr>
          <w:rFonts w:ascii="標楷體" w:eastAsia="標楷體" w:hAnsi="標楷體" w:hint="eastAsia"/>
          <w:szCs w:val="22"/>
        </w:rPr>
        <w:t>：</w:t>
      </w:r>
      <w:r w:rsidRPr="00043A1E">
        <w:rPr>
          <w:rFonts w:ascii="標楷體" w:eastAsia="標楷體" w:hAnsi="標楷體"/>
          <w:szCs w:val="22"/>
        </w:rPr>
        <w:t>謂</w:t>
      </w:r>
      <w:r w:rsidR="003B553C">
        <w:rPr>
          <w:rFonts w:ascii="標楷體" w:eastAsia="標楷體" w:hAnsi="標楷體" w:hint="eastAsia"/>
          <w:bCs/>
          <w:color w:val="FF0000"/>
          <w:kern w:val="0"/>
          <w:highlight w:val="yellow"/>
        </w:rPr>
        <w:t>「</w:t>
      </w:r>
      <w:r w:rsidRPr="00043A1E">
        <w:rPr>
          <w:rFonts w:ascii="標楷體" w:eastAsia="標楷體" w:hAnsi="標楷體"/>
          <w:szCs w:val="22"/>
        </w:rPr>
        <w:t>實</w:t>
      </w:r>
      <w:r w:rsidR="003B553C">
        <w:rPr>
          <w:rFonts w:ascii="標楷體" w:eastAsia="標楷體" w:hAnsi="標楷體" w:hint="eastAsia"/>
          <w:bCs/>
          <w:color w:val="FF0000"/>
          <w:kern w:val="0"/>
          <w:highlight w:val="yellow"/>
        </w:rPr>
        <w:t>」</w:t>
      </w:r>
      <w:r w:rsidRPr="00043A1E">
        <w:rPr>
          <w:rFonts w:ascii="標楷體" w:eastAsia="標楷體" w:hAnsi="標楷體"/>
          <w:szCs w:val="22"/>
        </w:rPr>
        <w:t>家道德也。三</w:t>
      </w:r>
      <w:r w:rsidRPr="00043A1E">
        <w:rPr>
          <w:rFonts w:ascii="標楷體" w:eastAsia="標楷體" w:hAnsi="標楷體" w:hint="eastAsia"/>
          <w:szCs w:val="22"/>
        </w:rPr>
        <w:t>、</w:t>
      </w:r>
      <w:r w:rsidRPr="00043A1E">
        <w:rPr>
          <w:rFonts w:ascii="標楷體" w:eastAsia="標楷體" w:hAnsi="標楷體"/>
          <w:szCs w:val="22"/>
        </w:rPr>
        <w:t>業，解云</w:t>
      </w:r>
      <w:r w:rsidRPr="00043A1E">
        <w:rPr>
          <w:rFonts w:ascii="標楷體" w:eastAsia="標楷體" w:hAnsi="標楷體" w:hint="eastAsia"/>
          <w:szCs w:val="22"/>
        </w:rPr>
        <w:t>：</w:t>
      </w:r>
      <w:r w:rsidRPr="00043A1E">
        <w:rPr>
          <w:rFonts w:ascii="標楷體" w:eastAsia="標楷體" w:hAnsi="標楷體"/>
          <w:szCs w:val="22"/>
        </w:rPr>
        <w:t>謂動作</w:t>
      </w:r>
      <w:r w:rsidR="003B553C">
        <w:rPr>
          <w:rFonts w:ascii="標楷體" w:eastAsia="標楷體" w:hAnsi="標楷體" w:hint="eastAsia"/>
          <w:color w:val="FF0000"/>
          <w:kern w:val="0"/>
          <w:highlight w:val="yellow"/>
        </w:rPr>
        <w:t>，</w:t>
      </w:r>
      <w:r w:rsidRPr="00043A1E">
        <w:rPr>
          <w:rFonts w:ascii="標楷體" w:eastAsia="標楷體" w:hAnsi="標楷體"/>
          <w:szCs w:val="22"/>
        </w:rPr>
        <w:t>是</w:t>
      </w:r>
      <w:r w:rsidR="003B553C">
        <w:rPr>
          <w:rFonts w:ascii="標楷體" w:eastAsia="標楷體" w:hAnsi="標楷體" w:hint="eastAsia"/>
          <w:bCs/>
          <w:color w:val="FF0000"/>
          <w:kern w:val="0"/>
          <w:highlight w:val="yellow"/>
        </w:rPr>
        <w:t>「</w:t>
      </w:r>
      <w:r w:rsidRPr="00043A1E">
        <w:rPr>
          <w:rFonts w:ascii="標楷體" w:eastAsia="標楷體" w:hAnsi="標楷體"/>
          <w:szCs w:val="22"/>
        </w:rPr>
        <w:t>實</w:t>
      </w:r>
      <w:r w:rsidR="003B553C">
        <w:rPr>
          <w:rFonts w:ascii="標楷體" w:eastAsia="標楷體" w:hAnsi="標楷體" w:hint="eastAsia"/>
          <w:bCs/>
          <w:color w:val="FF0000"/>
          <w:kern w:val="0"/>
          <w:highlight w:val="yellow"/>
        </w:rPr>
        <w:t>」</w:t>
      </w:r>
      <w:r w:rsidRPr="00043A1E">
        <w:rPr>
          <w:rFonts w:ascii="標楷體" w:eastAsia="標楷體" w:hAnsi="標楷體"/>
          <w:szCs w:val="22"/>
        </w:rPr>
        <w:t>家業。四</w:t>
      </w:r>
      <w:r w:rsidRPr="00043A1E">
        <w:rPr>
          <w:rFonts w:ascii="標楷體" w:eastAsia="標楷體" w:hAnsi="標楷體" w:hint="eastAsia"/>
          <w:szCs w:val="22"/>
        </w:rPr>
        <w:t>、</w:t>
      </w:r>
      <w:r w:rsidRPr="00043A1E">
        <w:rPr>
          <w:rFonts w:ascii="標楷體" w:eastAsia="標楷體" w:hAnsi="標楷體"/>
          <w:szCs w:val="22"/>
        </w:rPr>
        <w:t>同，解云</w:t>
      </w:r>
      <w:r w:rsidRPr="00043A1E">
        <w:rPr>
          <w:rFonts w:ascii="標楷體" w:eastAsia="標楷體" w:hAnsi="標楷體" w:hint="eastAsia"/>
          <w:szCs w:val="22"/>
        </w:rPr>
        <w:t>：</w:t>
      </w:r>
      <w:r w:rsidRPr="00043A1E">
        <w:rPr>
          <w:rFonts w:ascii="標楷體" w:eastAsia="標楷體" w:hAnsi="標楷體"/>
          <w:szCs w:val="22"/>
        </w:rPr>
        <w:t>體遍</w:t>
      </w:r>
      <w:r w:rsidR="003B553C">
        <w:rPr>
          <w:rFonts w:ascii="標楷體" w:eastAsia="標楷體" w:hAnsi="標楷體" w:hint="eastAsia"/>
          <w:bCs/>
          <w:color w:val="FF0000"/>
          <w:kern w:val="0"/>
          <w:highlight w:val="yellow"/>
        </w:rPr>
        <w:t>「</w:t>
      </w:r>
      <w:r w:rsidRPr="00043A1E">
        <w:rPr>
          <w:rFonts w:ascii="標楷體" w:eastAsia="標楷體" w:hAnsi="標楷體"/>
          <w:szCs w:val="22"/>
        </w:rPr>
        <w:t>實</w:t>
      </w:r>
      <w:r w:rsidR="003B553C">
        <w:rPr>
          <w:rFonts w:ascii="標楷體" w:eastAsia="標楷體" w:hAnsi="標楷體" w:hint="eastAsia"/>
          <w:bCs/>
          <w:color w:val="FF0000"/>
          <w:kern w:val="0"/>
          <w:highlight w:val="yellow"/>
        </w:rPr>
        <w:t>」</w:t>
      </w:r>
      <w:r w:rsidRPr="00043A1E">
        <w:rPr>
          <w:rFonts w:ascii="標楷體" w:eastAsia="標楷體" w:hAnsi="標楷體"/>
          <w:szCs w:val="22"/>
        </w:rPr>
        <w:t>等</w:t>
      </w:r>
      <w:r w:rsidR="00CB79E5">
        <w:rPr>
          <w:rFonts w:ascii="標楷體" w:eastAsia="標楷體" w:hAnsi="標楷體" w:hint="eastAsia"/>
          <w:color w:val="FF0000"/>
          <w:kern w:val="0"/>
          <w:highlight w:val="yellow"/>
        </w:rPr>
        <w:t>，</w:t>
      </w:r>
      <w:r w:rsidRPr="00043A1E">
        <w:rPr>
          <w:rFonts w:ascii="標楷體" w:eastAsia="標楷體" w:hAnsi="標楷體"/>
          <w:szCs w:val="22"/>
        </w:rPr>
        <w:t>同有名</w:t>
      </w:r>
      <w:r w:rsidR="003B553C">
        <w:rPr>
          <w:rFonts w:ascii="標楷體" w:eastAsia="標楷體" w:hAnsi="標楷體" w:hint="eastAsia"/>
          <w:bCs/>
          <w:color w:val="FF0000"/>
          <w:kern w:val="0"/>
          <w:highlight w:val="yellow"/>
        </w:rPr>
        <w:t>「</w:t>
      </w:r>
      <w:r w:rsidRPr="00043A1E">
        <w:rPr>
          <w:rFonts w:ascii="標楷體" w:eastAsia="標楷體" w:hAnsi="標楷體"/>
          <w:szCs w:val="22"/>
        </w:rPr>
        <w:t>同</w:t>
      </w:r>
      <w:r w:rsidR="003B553C">
        <w:rPr>
          <w:rFonts w:ascii="標楷體" w:eastAsia="標楷體" w:hAnsi="標楷體" w:hint="eastAsia"/>
          <w:bCs/>
          <w:color w:val="FF0000"/>
          <w:kern w:val="0"/>
          <w:highlight w:val="yellow"/>
        </w:rPr>
        <w:t>」</w:t>
      </w:r>
      <w:r w:rsidRPr="00043A1E">
        <w:rPr>
          <w:rFonts w:ascii="標楷體" w:eastAsia="標楷體" w:hAnsi="標楷體"/>
          <w:szCs w:val="22"/>
        </w:rPr>
        <w:t>。五</w:t>
      </w:r>
      <w:r w:rsidRPr="00043A1E">
        <w:rPr>
          <w:rFonts w:ascii="標楷體" w:eastAsia="標楷體" w:hAnsi="標楷體" w:hint="eastAsia"/>
          <w:szCs w:val="22"/>
        </w:rPr>
        <w:t>、</w:t>
      </w:r>
      <w:r w:rsidRPr="00043A1E">
        <w:rPr>
          <w:rFonts w:ascii="標楷體" w:eastAsia="標楷體" w:hAnsi="標楷體"/>
          <w:szCs w:val="22"/>
        </w:rPr>
        <w:t>異，解云</w:t>
      </w:r>
      <w:r w:rsidRPr="00043A1E">
        <w:rPr>
          <w:rFonts w:ascii="標楷體" w:eastAsia="標楷體" w:hAnsi="標楷體" w:hint="eastAsia"/>
          <w:szCs w:val="22"/>
        </w:rPr>
        <w:t>：</w:t>
      </w:r>
      <w:r w:rsidRPr="00043A1E">
        <w:rPr>
          <w:rFonts w:ascii="標楷體" w:eastAsia="標楷體" w:hAnsi="標楷體"/>
          <w:szCs w:val="22"/>
        </w:rPr>
        <w:t>唯在</w:t>
      </w:r>
      <w:r w:rsidR="003B553C">
        <w:rPr>
          <w:rFonts w:ascii="標楷體" w:eastAsia="標楷體" w:hAnsi="標楷體" w:hint="eastAsia"/>
          <w:bCs/>
          <w:color w:val="FF0000"/>
          <w:kern w:val="0"/>
          <w:highlight w:val="yellow"/>
        </w:rPr>
        <w:t>「</w:t>
      </w:r>
      <w:r w:rsidRPr="00043A1E">
        <w:rPr>
          <w:rFonts w:ascii="標楷體" w:eastAsia="標楷體" w:hAnsi="標楷體"/>
          <w:szCs w:val="22"/>
        </w:rPr>
        <w:t>實</w:t>
      </w:r>
      <w:r w:rsidR="003B553C">
        <w:rPr>
          <w:rFonts w:ascii="標楷體" w:eastAsia="標楷體" w:hAnsi="標楷體" w:hint="eastAsia"/>
          <w:bCs/>
          <w:color w:val="FF0000"/>
          <w:kern w:val="0"/>
          <w:highlight w:val="yellow"/>
        </w:rPr>
        <w:t>」</w:t>
      </w:r>
      <w:r w:rsidRPr="00043A1E">
        <w:rPr>
          <w:rFonts w:ascii="標楷體" w:eastAsia="標楷體" w:hAnsi="標楷體"/>
          <w:szCs w:val="22"/>
        </w:rPr>
        <w:t>上令</w:t>
      </w:r>
      <w:r w:rsidR="003B553C">
        <w:rPr>
          <w:rFonts w:ascii="標楷體" w:eastAsia="標楷體" w:hAnsi="標楷體" w:hint="eastAsia"/>
          <w:bCs/>
          <w:color w:val="FF0000"/>
          <w:kern w:val="0"/>
          <w:highlight w:val="yellow"/>
        </w:rPr>
        <w:t>「</w:t>
      </w:r>
      <w:r w:rsidRPr="00043A1E">
        <w:rPr>
          <w:rFonts w:ascii="標楷體" w:eastAsia="標楷體" w:hAnsi="標楷體"/>
          <w:szCs w:val="22"/>
        </w:rPr>
        <w:t>實</w:t>
      </w:r>
      <w:r w:rsidR="003B553C">
        <w:rPr>
          <w:rFonts w:ascii="標楷體" w:eastAsia="標楷體" w:hAnsi="標楷體" w:hint="eastAsia"/>
          <w:bCs/>
          <w:color w:val="FF0000"/>
          <w:kern w:val="0"/>
          <w:highlight w:val="yellow"/>
        </w:rPr>
        <w:t>」</w:t>
      </w:r>
      <w:r w:rsidRPr="00043A1E">
        <w:rPr>
          <w:rFonts w:ascii="標楷體" w:eastAsia="標楷體" w:hAnsi="標楷體"/>
          <w:szCs w:val="22"/>
        </w:rPr>
        <w:t>別異。六</w:t>
      </w:r>
      <w:r w:rsidRPr="00043A1E">
        <w:rPr>
          <w:rFonts w:ascii="標楷體" w:eastAsia="標楷體" w:hAnsi="標楷體" w:hint="eastAsia"/>
          <w:szCs w:val="22"/>
        </w:rPr>
        <w:t>、</w:t>
      </w:r>
      <w:r w:rsidRPr="00043A1E">
        <w:rPr>
          <w:rFonts w:ascii="標楷體" w:eastAsia="標楷體" w:hAnsi="標楷體"/>
          <w:szCs w:val="22"/>
        </w:rPr>
        <w:t>和合，解云</w:t>
      </w:r>
      <w:r w:rsidRPr="00043A1E">
        <w:rPr>
          <w:rFonts w:ascii="標楷體" w:eastAsia="標楷體" w:hAnsi="標楷體" w:hint="eastAsia"/>
          <w:szCs w:val="22"/>
        </w:rPr>
        <w:t>：</w:t>
      </w:r>
      <w:r w:rsidRPr="00043A1E">
        <w:rPr>
          <w:rFonts w:ascii="標楷體" w:eastAsia="標楷體" w:hAnsi="標楷體"/>
          <w:szCs w:val="22"/>
        </w:rPr>
        <w:t>謂與諸法為生至因。七</w:t>
      </w:r>
      <w:r w:rsidRPr="00043A1E">
        <w:rPr>
          <w:rFonts w:ascii="標楷體" w:eastAsia="標楷體" w:hAnsi="標楷體" w:hint="eastAsia"/>
          <w:szCs w:val="22"/>
        </w:rPr>
        <w:t>、</w:t>
      </w:r>
      <w:r w:rsidRPr="00043A1E">
        <w:rPr>
          <w:rFonts w:ascii="標楷體" w:eastAsia="標楷體" w:hAnsi="標楷體"/>
          <w:szCs w:val="22"/>
        </w:rPr>
        <w:t>有能，解云</w:t>
      </w:r>
      <w:r w:rsidRPr="00043A1E">
        <w:rPr>
          <w:rFonts w:ascii="標楷體" w:eastAsia="標楷體" w:hAnsi="標楷體" w:hint="eastAsia"/>
          <w:szCs w:val="22"/>
        </w:rPr>
        <w:t>：</w:t>
      </w:r>
      <w:r w:rsidRPr="00043A1E">
        <w:rPr>
          <w:rFonts w:ascii="標楷體" w:eastAsia="標楷體" w:hAnsi="標楷體"/>
          <w:szCs w:val="22"/>
        </w:rPr>
        <w:t>謂</w:t>
      </w:r>
      <w:r w:rsidR="003B553C">
        <w:rPr>
          <w:rFonts w:ascii="標楷體" w:eastAsia="標楷體" w:hAnsi="標楷體" w:hint="eastAsia"/>
          <w:bCs/>
          <w:color w:val="FF0000"/>
          <w:kern w:val="0"/>
          <w:highlight w:val="yellow"/>
        </w:rPr>
        <w:t>「</w:t>
      </w:r>
      <w:r w:rsidRPr="00043A1E">
        <w:rPr>
          <w:rFonts w:ascii="標楷體" w:eastAsia="標楷體" w:hAnsi="標楷體"/>
          <w:szCs w:val="22"/>
        </w:rPr>
        <w:t>實</w:t>
      </w:r>
      <w:r w:rsidR="003B553C">
        <w:rPr>
          <w:rFonts w:ascii="標楷體" w:eastAsia="標楷體" w:hAnsi="標楷體" w:hint="eastAsia"/>
          <w:bCs/>
          <w:color w:val="FF0000"/>
          <w:kern w:val="0"/>
          <w:highlight w:val="yellow"/>
        </w:rPr>
        <w:t>」</w:t>
      </w:r>
      <w:r w:rsidRPr="00043A1E">
        <w:rPr>
          <w:rFonts w:ascii="標楷體" w:eastAsia="標楷體" w:hAnsi="標楷體"/>
          <w:szCs w:val="22"/>
        </w:rPr>
        <w:t>等生自果時，由此</w:t>
      </w:r>
      <w:r w:rsidR="003B553C">
        <w:rPr>
          <w:rFonts w:ascii="標楷體" w:eastAsia="標楷體" w:hAnsi="標楷體" w:hint="eastAsia"/>
          <w:bCs/>
          <w:color w:val="FF0000"/>
          <w:kern w:val="0"/>
          <w:highlight w:val="yellow"/>
        </w:rPr>
        <w:t>「</w:t>
      </w:r>
      <w:r w:rsidRPr="00043A1E">
        <w:rPr>
          <w:rFonts w:ascii="標楷體" w:eastAsia="標楷體" w:hAnsi="標楷體"/>
          <w:szCs w:val="22"/>
        </w:rPr>
        <w:t>有能</w:t>
      </w:r>
      <w:r w:rsidR="003B553C">
        <w:rPr>
          <w:rFonts w:ascii="標楷體" w:eastAsia="標楷體" w:hAnsi="標楷體" w:hint="eastAsia"/>
          <w:bCs/>
          <w:color w:val="FF0000"/>
          <w:kern w:val="0"/>
          <w:highlight w:val="yellow"/>
        </w:rPr>
        <w:t>」</w:t>
      </w:r>
      <w:r w:rsidRPr="00043A1E">
        <w:rPr>
          <w:rFonts w:ascii="標楷體" w:eastAsia="標楷體" w:hAnsi="標楷體"/>
          <w:szCs w:val="22"/>
        </w:rPr>
        <w:t>助方生果。八</w:t>
      </w:r>
      <w:r w:rsidRPr="00043A1E">
        <w:rPr>
          <w:rFonts w:ascii="標楷體" w:eastAsia="標楷體" w:hAnsi="標楷體" w:hint="eastAsia"/>
          <w:szCs w:val="22"/>
        </w:rPr>
        <w:t>、</w:t>
      </w:r>
      <w:r w:rsidRPr="00043A1E">
        <w:rPr>
          <w:rFonts w:ascii="標楷體" w:eastAsia="標楷體" w:hAnsi="標楷體"/>
          <w:szCs w:val="22"/>
        </w:rPr>
        <w:t>無能，解云</w:t>
      </w:r>
      <w:r w:rsidRPr="00043A1E">
        <w:rPr>
          <w:rFonts w:ascii="標楷體" w:eastAsia="標楷體" w:hAnsi="標楷體" w:hint="eastAsia"/>
          <w:szCs w:val="22"/>
        </w:rPr>
        <w:t>：</w:t>
      </w:r>
      <w:r w:rsidRPr="00043A1E">
        <w:rPr>
          <w:rFonts w:ascii="標楷體" w:eastAsia="標楷體" w:hAnsi="標楷體"/>
          <w:szCs w:val="22"/>
        </w:rPr>
        <w:t>謂遮生餘果。九</w:t>
      </w:r>
      <w:r w:rsidRPr="00043A1E">
        <w:rPr>
          <w:rFonts w:ascii="標楷體" w:eastAsia="標楷體" w:hAnsi="標楷體" w:hint="eastAsia"/>
          <w:szCs w:val="22"/>
        </w:rPr>
        <w:t>、</w:t>
      </w:r>
      <w:r w:rsidRPr="00043A1E">
        <w:rPr>
          <w:rFonts w:ascii="標楷體" w:eastAsia="標楷體" w:hAnsi="標楷體"/>
          <w:szCs w:val="22"/>
        </w:rPr>
        <w:t>俱分，解云</w:t>
      </w:r>
      <w:r w:rsidRPr="00043A1E">
        <w:rPr>
          <w:rFonts w:ascii="標楷體" w:eastAsia="標楷體" w:hAnsi="標楷體" w:hint="eastAsia"/>
          <w:szCs w:val="22"/>
        </w:rPr>
        <w:t>：</w:t>
      </w:r>
      <w:r w:rsidRPr="00043A1E">
        <w:rPr>
          <w:rFonts w:ascii="標楷體" w:eastAsia="標楷體" w:hAnsi="標楷體"/>
          <w:szCs w:val="22"/>
        </w:rPr>
        <w:t>謂性遍</w:t>
      </w:r>
      <w:r w:rsidR="003B553C">
        <w:rPr>
          <w:rFonts w:ascii="標楷體" w:eastAsia="標楷體" w:hAnsi="標楷體" w:hint="eastAsia"/>
          <w:bCs/>
          <w:color w:val="FF0000"/>
          <w:kern w:val="0"/>
          <w:highlight w:val="yellow"/>
        </w:rPr>
        <w:t>「</w:t>
      </w:r>
      <w:r w:rsidRPr="00043A1E">
        <w:rPr>
          <w:rFonts w:ascii="標楷體" w:eastAsia="標楷體" w:hAnsi="標楷體"/>
          <w:szCs w:val="22"/>
        </w:rPr>
        <w:t>實、德、業</w:t>
      </w:r>
      <w:r w:rsidR="003B553C">
        <w:rPr>
          <w:rFonts w:ascii="標楷體" w:eastAsia="標楷體" w:hAnsi="標楷體" w:hint="eastAsia"/>
          <w:bCs/>
          <w:color w:val="FF0000"/>
          <w:kern w:val="0"/>
          <w:highlight w:val="yellow"/>
        </w:rPr>
        <w:t>」</w:t>
      </w:r>
      <w:r w:rsidRPr="00043A1E">
        <w:rPr>
          <w:rFonts w:ascii="標楷體" w:eastAsia="標楷體" w:hAnsi="標楷體"/>
          <w:szCs w:val="22"/>
        </w:rPr>
        <w:t>等</w:t>
      </w:r>
      <w:r w:rsidR="003B553C">
        <w:rPr>
          <w:rFonts w:ascii="標楷體" w:eastAsia="標楷體" w:hAnsi="標楷體" w:hint="eastAsia"/>
          <w:color w:val="FF0000"/>
          <w:kern w:val="0"/>
          <w:highlight w:val="yellow"/>
        </w:rPr>
        <w:t>，</w:t>
      </w:r>
      <w:r w:rsidRPr="00043A1E">
        <w:rPr>
          <w:rFonts w:ascii="標楷體" w:eastAsia="標楷體" w:hAnsi="標楷體"/>
          <w:szCs w:val="22"/>
        </w:rPr>
        <w:t>亦同亦異</w:t>
      </w:r>
      <w:r w:rsidR="003B553C">
        <w:rPr>
          <w:rFonts w:ascii="標楷體" w:eastAsia="標楷體" w:hAnsi="標楷體" w:hint="eastAsia"/>
          <w:color w:val="FF0000"/>
          <w:kern w:val="0"/>
          <w:highlight w:val="yellow"/>
        </w:rPr>
        <w:t>，</w:t>
      </w:r>
      <w:r w:rsidRPr="00043A1E">
        <w:rPr>
          <w:rFonts w:ascii="標楷體" w:eastAsia="標楷體" w:hAnsi="標楷體"/>
          <w:szCs w:val="22"/>
        </w:rPr>
        <w:t>故名</w:t>
      </w:r>
      <w:r w:rsidR="003B553C">
        <w:rPr>
          <w:rFonts w:ascii="標楷體" w:eastAsia="標楷體" w:hAnsi="標楷體" w:hint="eastAsia"/>
          <w:bCs/>
          <w:color w:val="FF0000"/>
          <w:kern w:val="0"/>
          <w:highlight w:val="yellow"/>
        </w:rPr>
        <w:t>「</w:t>
      </w:r>
      <w:r w:rsidRPr="00043A1E">
        <w:rPr>
          <w:rFonts w:ascii="標楷體" w:eastAsia="標楷體" w:hAnsi="標楷體"/>
          <w:szCs w:val="22"/>
        </w:rPr>
        <w:t>俱分</w:t>
      </w:r>
      <w:r w:rsidR="003B553C">
        <w:rPr>
          <w:rFonts w:ascii="標楷體" w:eastAsia="標楷體" w:hAnsi="標楷體" w:hint="eastAsia"/>
          <w:bCs/>
          <w:color w:val="FF0000"/>
          <w:kern w:val="0"/>
          <w:highlight w:val="yellow"/>
        </w:rPr>
        <w:t>」</w:t>
      </w:r>
      <w:r w:rsidRPr="00043A1E">
        <w:rPr>
          <w:rFonts w:ascii="標楷體" w:eastAsia="標楷體" w:hAnsi="標楷體"/>
          <w:szCs w:val="22"/>
        </w:rPr>
        <w:t>。十</w:t>
      </w:r>
      <w:r w:rsidRPr="00043A1E">
        <w:rPr>
          <w:rFonts w:ascii="標楷體" w:eastAsia="標楷體" w:hAnsi="標楷體" w:hint="eastAsia"/>
          <w:szCs w:val="22"/>
        </w:rPr>
        <w:t>、</w:t>
      </w:r>
      <w:r w:rsidRPr="00043A1E">
        <w:rPr>
          <w:rFonts w:ascii="標楷體" w:eastAsia="標楷體" w:hAnsi="標楷體"/>
          <w:szCs w:val="22"/>
        </w:rPr>
        <w:t>無說，解云</w:t>
      </w:r>
      <w:r w:rsidRPr="00043A1E">
        <w:rPr>
          <w:rFonts w:ascii="標楷體" w:eastAsia="標楷體" w:hAnsi="標楷體" w:hint="eastAsia"/>
          <w:szCs w:val="22"/>
        </w:rPr>
        <w:t>：</w:t>
      </w:r>
      <w:r w:rsidRPr="00043A1E">
        <w:rPr>
          <w:rFonts w:ascii="標楷體" w:eastAsia="標楷體" w:hAnsi="標楷體"/>
          <w:szCs w:val="22"/>
        </w:rPr>
        <w:t>謂說無也。</w:t>
      </w:r>
    </w:p>
    <w:p w:rsidR="003B0C83" w:rsidRDefault="00157EF6" w:rsidP="00AA120F">
      <w:pPr>
        <w:pStyle w:val="a5"/>
        <w:ind w:leftChars="105" w:left="791" w:hangingChars="245" w:hanging="539"/>
        <w:jc w:val="both"/>
        <w:rPr>
          <w:spacing w:val="-6"/>
          <w:szCs w:val="22"/>
        </w:rPr>
      </w:pPr>
      <w:r w:rsidRPr="00043A1E">
        <w:rPr>
          <w:rFonts w:hint="eastAsia"/>
          <w:szCs w:val="22"/>
        </w:rPr>
        <w:t>（</w:t>
      </w:r>
      <w:r w:rsidRPr="00761EF3">
        <w:rPr>
          <w:rFonts w:hint="eastAsia"/>
          <w:szCs w:val="22"/>
        </w:rPr>
        <w:t>2</w:t>
      </w:r>
      <w:r w:rsidRPr="00043A1E">
        <w:rPr>
          <w:rFonts w:hint="eastAsia"/>
          <w:szCs w:val="22"/>
        </w:rPr>
        <w:t>）</w:t>
      </w:r>
      <w:r w:rsidRPr="00B261C7">
        <w:rPr>
          <w:spacing w:val="-6"/>
          <w:szCs w:val="22"/>
        </w:rPr>
        <w:t>另參見</w:t>
      </w:r>
      <w:r w:rsidR="003B0C83">
        <w:rPr>
          <w:rFonts w:hint="eastAsia"/>
          <w:spacing w:val="-6"/>
          <w:szCs w:val="22"/>
        </w:rPr>
        <w:t>：</w:t>
      </w:r>
      <w:r w:rsidRPr="00B261C7">
        <w:rPr>
          <w:rStyle w:val="byline"/>
          <w:color w:val="auto"/>
          <w:spacing w:val="-6"/>
          <w:sz w:val="22"/>
          <w:szCs w:val="22"/>
        </w:rPr>
        <w:t>慧月造，［唐］玄奘譯</w:t>
      </w:r>
      <w:r w:rsidRPr="00B261C7">
        <w:rPr>
          <w:rStyle w:val="byline"/>
          <w:rFonts w:hint="eastAsia"/>
          <w:color w:val="auto"/>
          <w:spacing w:val="-6"/>
          <w:sz w:val="22"/>
          <w:szCs w:val="22"/>
        </w:rPr>
        <w:t>，</w:t>
      </w:r>
      <w:r w:rsidRPr="00B261C7">
        <w:rPr>
          <w:spacing w:val="-6"/>
          <w:szCs w:val="22"/>
        </w:rPr>
        <w:t>《勝宗十句義論》（大正</w:t>
      </w:r>
      <w:r w:rsidRPr="00B261C7">
        <w:rPr>
          <w:spacing w:val="-6"/>
          <w:szCs w:val="22"/>
        </w:rPr>
        <w:t>54</w:t>
      </w:r>
      <w:r w:rsidRPr="00B261C7">
        <w:rPr>
          <w:spacing w:val="-6"/>
          <w:szCs w:val="22"/>
        </w:rPr>
        <w:t>，</w:t>
      </w:r>
      <w:r w:rsidRPr="00B261C7">
        <w:rPr>
          <w:spacing w:val="-6"/>
          <w:szCs w:val="22"/>
        </w:rPr>
        <w:t>1262c12-1266a22</w:t>
      </w:r>
      <w:r w:rsidRPr="00B261C7">
        <w:rPr>
          <w:spacing w:val="-6"/>
          <w:szCs w:val="22"/>
        </w:rPr>
        <w:t>），</w:t>
      </w:r>
    </w:p>
    <w:p w:rsidR="00157EF6" w:rsidRPr="00043A1E" w:rsidRDefault="00157EF6" w:rsidP="003B0C83">
      <w:pPr>
        <w:pStyle w:val="a5"/>
        <w:ind w:leftChars="650" w:left="1560"/>
        <w:jc w:val="both"/>
        <w:rPr>
          <w:szCs w:val="22"/>
        </w:rPr>
      </w:pPr>
      <w:r>
        <w:rPr>
          <w:spacing w:val="-6"/>
          <w:szCs w:val="22"/>
        </w:rPr>
        <w:t>［唐］</w:t>
      </w:r>
      <w:r w:rsidRPr="00043A1E">
        <w:rPr>
          <w:szCs w:val="22"/>
        </w:rPr>
        <w:t>窺基撰</w:t>
      </w:r>
      <w:r w:rsidRPr="00043A1E">
        <w:rPr>
          <w:rFonts w:hint="eastAsia"/>
          <w:szCs w:val="22"/>
        </w:rPr>
        <w:t>，</w:t>
      </w:r>
      <w:r w:rsidRPr="00043A1E">
        <w:rPr>
          <w:szCs w:val="22"/>
        </w:rPr>
        <w:t>《成唯識論述記》卷</w:t>
      </w:r>
      <w:r w:rsidRPr="00761EF3">
        <w:rPr>
          <w:szCs w:val="22"/>
        </w:rPr>
        <w:t>2</w:t>
      </w:r>
      <w:r w:rsidRPr="00043A1E">
        <w:rPr>
          <w:szCs w:val="22"/>
        </w:rPr>
        <w:t>（大正</w:t>
      </w:r>
      <w:r w:rsidRPr="00761EF3">
        <w:rPr>
          <w:szCs w:val="22"/>
        </w:rPr>
        <w:t>43</w:t>
      </w:r>
      <w:r w:rsidRPr="00043A1E">
        <w:rPr>
          <w:szCs w:val="22"/>
        </w:rPr>
        <w:t>，</w:t>
      </w:r>
      <w:r w:rsidRPr="00761EF3">
        <w:rPr>
          <w:szCs w:val="22"/>
        </w:rPr>
        <w:t>255c</w:t>
      </w:r>
      <w:r w:rsidRPr="00043A1E">
        <w:rPr>
          <w:szCs w:val="22"/>
        </w:rPr>
        <w:t>）。</w:t>
      </w:r>
    </w:p>
  </w:footnote>
  <w:footnote w:id="534">
    <w:p w:rsidR="00157EF6" w:rsidRPr="00043A1E" w:rsidRDefault="00157EF6" w:rsidP="00AA120F">
      <w:pPr>
        <w:pStyle w:val="a5"/>
        <w:spacing w:line="0" w:lineRule="atLeast"/>
        <w:ind w:left="792" w:hangingChars="360" w:hanging="792"/>
        <w:jc w:val="both"/>
        <w:rPr>
          <w:rFonts w:hAnsi="新細明體"/>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szCs w:val="22"/>
        </w:rPr>
        <w:t>歸根結底</w:t>
      </w:r>
      <w:r w:rsidRPr="00043A1E">
        <w:rPr>
          <w:rFonts w:hint="eastAsia"/>
          <w:szCs w:val="22"/>
        </w:rPr>
        <w:t>，見</w:t>
      </w:r>
      <w:r w:rsidRPr="00043A1E">
        <w:rPr>
          <w:rFonts w:hAnsi="新細明體"/>
          <w:szCs w:val="22"/>
        </w:rPr>
        <w:t>「</w:t>
      </w:r>
      <w:r w:rsidRPr="00043A1E">
        <w:rPr>
          <w:szCs w:val="22"/>
        </w:rPr>
        <w:t>歸根結蒂</w:t>
      </w:r>
      <w:r w:rsidRPr="00043A1E">
        <w:rPr>
          <w:rFonts w:hAnsi="新細明體"/>
          <w:szCs w:val="22"/>
        </w:rPr>
        <w:t>」</w:t>
      </w:r>
      <w:r w:rsidRPr="00043A1E">
        <w:rPr>
          <w:rFonts w:hAnsi="新細明體" w:hint="eastAsia"/>
          <w:szCs w:val="22"/>
        </w:rPr>
        <w:t>。</w:t>
      </w:r>
      <w:r w:rsidRPr="00043A1E">
        <w:rPr>
          <w:rFonts w:hint="eastAsia"/>
          <w:szCs w:val="22"/>
        </w:rPr>
        <w:t>（《漢語大詞典》（五），</w:t>
      </w:r>
      <w:r w:rsidRPr="00761EF3">
        <w:rPr>
          <w:rFonts w:hint="eastAsia"/>
          <w:szCs w:val="22"/>
        </w:rPr>
        <w:t>p</w:t>
      </w:r>
      <w:r w:rsidRPr="00043A1E">
        <w:rPr>
          <w:rFonts w:hint="eastAsia"/>
          <w:szCs w:val="22"/>
        </w:rPr>
        <w:t>.</w:t>
      </w:r>
      <w:r w:rsidRPr="00761EF3">
        <w:rPr>
          <w:rFonts w:hint="eastAsia"/>
          <w:szCs w:val="22"/>
        </w:rPr>
        <w:t>373</w:t>
      </w:r>
      <w:r w:rsidRPr="00043A1E">
        <w:rPr>
          <w:rFonts w:hint="eastAsia"/>
          <w:szCs w:val="22"/>
        </w:rPr>
        <w:t>）</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w:t>
      </w:r>
      <w:r w:rsidRPr="00043A1E">
        <w:rPr>
          <w:szCs w:val="22"/>
        </w:rPr>
        <w:t>歸根結蒂</w:t>
      </w:r>
      <w:r w:rsidRPr="00043A1E">
        <w:rPr>
          <w:rFonts w:hAnsi="新細明體" w:hint="eastAsia"/>
          <w:szCs w:val="22"/>
        </w:rPr>
        <w:t>：</w:t>
      </w:r>
      <w:r w:rsidRPr="00043A1E">
        <w:rPr>
          <w:szCs w:val="22"/>
        </w:rPr>
        <w:t>歸結到根本上。</w:t>
      </w:r>
      <w:r w:rsidRPr="00043A1E">
        <w:rPr>
          <w:rFonts w:hint="eastAsia"/>
          <w:szCs w:val="22"/>
        </w:rPr>
        <w:t>（《漢語大詞典》（五），</w:t>
      </w:r>
      <w:r w:rsidRPr="00761EF3">
        <w:rPr>
          <w:rFonts w:hint="eastAsia"/>
          <w:szCs w:val="22"/>
        </w:rPr>
        <w:t>p</w:t>
      </w:r>
      <w:r w:rsidRPr="00043A1E">
        <w:rPr>
          <w:rFonts w:hint="eastAsia"/>
          <w:szCs w:val="22"/>
        </w:rPr>
        <w:t>.</w:t>
      </w:r>
      <w:r w:rsidRPr="00761EF3">
        <w:rPr>
          <w:rFonts w:hint="eastAsia"/>
          <w:szCs w:val="22"/>
        </w:rPr>
        <w:t>373</w:t>
      </w:r>
      <w:r w:rsidRPr="00043A1E">
        <w:rPr>
          <w:rFonts w:hint="eastAsia"/>
          <w:szCs w:val="22"/>
        </w:rPr>
        <w:t>）</w:t>
      </w:r>
    </w:p>
  </w:footnote>
  <w:footnote w:id="535">
    <w:p w:rsidR="00157EF6" w:rsidRPr="00043A1E" w:rsidRDefault="00157EF6" w:rsidP="009E0A5A">
      <w:pPr>
        <w:pStyle w:val="a5"/>
        <w:ind w:left="187" w:hangingChars="85" w:hanging="187"/>
        <w:jc w:val="both"/>
        <w:rPr>
          <w:szCs w:val="22"/>
        </w:rPr>
      </w:pPr>
      <w:r w:rsidRPr="00043A1E">
        <w:rPr>
          <w:rStyle w:val="a6"/>
          <w:szCs w:val="22"/>
        </w:rPr>
        <w:footnoteRef/>
      </w:r>
      <w:r w:rsidRPr="00043A1E">
        <w:rPr>
          <w:szCs w:val="22"/>
        </w:rPr>
        <w:t xml:space="preserve"> </w:t>
      </w:r>
      <w:r w:rsidRPr="00043A1E">
        <w:rPr>
          <w:rFonts w:hint="eastAsia"/>
          <w:szCs w:val="22"/>
        </w:rPr>
        <w:t>頂：</w:t>
      </w:r>
      <w:r w:rsidRPr="00761EF3">
        <w:rPr>
          <w:rFonts w:hint="eastAsia"/>
          <w:szCs w:val="22"/>
        </w:rPr>
        <w:t>24</w:t>
      </w:r>
      <w:r w:rsidRPr="00043A1E">
        <w:rPr>
          <w:rFonts w:hint="eastAsia"/>
          <w:szCs w:val="22"/>
        </w:rPr>
        <w:t>.</w:t>
      </w:r>
      <w:r w:rsidRPr="00043A1E">
        <w:rPr>
          <w:szCs w:val="22"/>
        </w:rPr>
        <w:t>副詞</w:t>
      </w:r>
      <w:r w:rsidRPr="00043A1E">
        <w:rPr>
          <w:rFonts w:hint="eastAsia"/>
          <w:szCs w:val="22"/>
        </w:rPr>
        <w:t>。</w:t>
      </w:r>
      <w:r w:rsidRPr="00043A1E">
        <w:rPr>
          <w:szCs w:val="22"/>
        </w:rPr>
        <w:t>表示程度。猶最，極。</w:t>
      </w:r>
      <w:r w:rsidRPr="00043A1E">
        <w:rPr>
          <w:rFonts w:hint="eastAsia"/>
          <w:szCs w:val="22"/>
        </w:rPr>
        <w:t>（《漢語大詞典》（十二），</w:t>
      </w:r>
      <w:r w:rsidRPr="00761EF3">
        <w:rPr>
          <w:rFonts w:hint="eastAsia"/>
          <w:szCs w:val="22"/>
        </w:rPr>
        <w:t>p</w:t>
      </w:r>
      <w:r w:rsidRPr="00043A1E">
        <w:rPr>
          <w:rFonts w:hint="eastAsia"/>
          <w:szCs w:val="22"/>
        </w:rPr>
        <w:t>.</w:t>
      </w:r>
      <w:r w:rsidRPr="00761EF3">
        <w:rPr>
          <w:rFonts w:hint="eastAsia"/>
          <w:szCs w:val="22"/>
        </w:rPr>
        <w:t>216</w:t>
      </w:r>
      <w:r w:rsidRPr="00043A1E">
        <w:rPr>
          <w:rFonts w:hint="eastAsia"/>
          <w:szCs w:val="22"/>
        </w:rPr>
        <w:t>）</w:t>
      </w:r>
    </w:p>
  </w:footnote>
  <w:footnote w:id="536">
    <w:p w:rsidR="00157EF6" w:rsidRPr="00043A1E" w:rsidRDefault="00157EF6" w:rsidP="00AA120F">
      <w:pPr>
        <w:pStyle w:val="a5"/>
        <w:ind w:left="187" w:hangingChars="85" w:hanging="187"/>
        <w:jc w:val="both"/>
        <w:rPr>
          <w:szCs w:val="22"/>
        </w:rPr>
      </w:pPr>
      <w:r w:rsidRPr="00043A1E">
        <w:rPr>
          <w:rStyle w:val="a6"/>
          <w:szCs w:val="22"/>
        </w:rPr>
        <w:footnoteRef/>
      </w:r>
      <w:r w:rsidRPr="00043A1E">
        <w:rPr>
          <w:szCs w:val="22"/>
        </w:rPr>
        <w:t xml:space="preserve"> </w:t>
      </w:r>
      <w:r w:rsidRPr="00043A1E">
        <w:rPr>
          <w:szCs w:val="22"/>
        </w:rPr>
        <w:t>滔滔</w:t>
      </w:r>
      <w:r w:rsidRPr="00043A1E">
        <w:rPr>
          <w:rFonts w:hint="eastAsia"/>
          <w:szCs w:val="22"/>
        </w:rPr>
        <w:t>（ㄊㄠ）：大水奔流貌。（《漢語大詞典》（六），</w:t>
      </w:r>
      <w:r w:rsidRPr="00761EF3">
        <w:rPr>
          <w:rFonts w:hint="eastAsia"/>
          <w:szCs w:val="22"/>
        </w:rPr>
        <w:t>p</w:t>
      </w:r>
      <w:r w:rsidRPr="00043A1E">
        <w:rPr>
          <w:rFonts w:hint="eastAsia"/>
          <w:szCs w:val="22"/>
        </w:rPr>
        <w:t>.</w:t>
      </w:r>
      <w:r w:rsidRPr="00761EF3">
        <w:rPr>
          <w:rFonts w:hint="eastAsia"/>
          <w:szCs w:val="22"/>
        </w:rPr>
        <w:t>22</w:t>
      </w:r>
      <w:r w:rsidRPr="00043A1E">
        <w:rPr>
          <w:rFonts w:hint="eastAsia"/>
          <w:szCs w:val="22"/>
        </w:rPr>
        <w:t>）</w:t>
      </w:r>
    </w:p>
  </w:footnote>
  <w:footnote w:id="537">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szCs w:val="22"/>
        </w:rPr>
        <w:t>焦心</w:t>
      </w:r>
      <w:r w:rsidRPr="00043A1E">
        <w:rPr>
          <w:rFonts w:hint="eastAsia"/>
          <w:szCs w:val="22"/>
        </w:rPr>
        <w:t>：</w:t>
      </w:r>
      <w:r w:rsidRPr="00043A1E">
        <w:rPr>
          <w:szCs w:val="22"/>
        </w:rPr>
        <w:t>憂慮，</w:t>
      </w:r>
      <w:r w:rsidRPr="00043A1E">
        <w:rPr>
          <w:rFonts w:hint="eastAsia"/>
          <w:szCs w:val="22"/>
        </w:rPr>
        <w:t>著</w:t>
      </w:r>
      <w:r w:rsidRPr="00043A1E">
        <w:rPr>
          <w:szCs w:val="22"/>
        </w:rPr>
        <w:t>急</w:t>
      </w:r>
      <w:r w:rsidRPr="00043A1E">
        <w:rPr>
          <w:rFonts w:hint="eastAsia"/>
          <w:szCs w:val="22"/>
        </w:rPr>
        <w:t>。（《漢語大詞典》（七），</w:t>
      </w:r>
      <w:r w:rsidRPr="00761EF3">
        <w:rPr>
          <w:rFonts w:hint="eastAsia"/>
          <w:szCs w:val="22"/>
        </w:rPr>
        <w:t>p</w:t>
      </w:r>
      <w:r w:rsidRPr="00043A1E">
        <w:rPr>
          <w:rFonts w:hint="eastAsia"/>
          <w:szCs w:val="22"/>
        </w:rPr>
        <w:t>.</w:t>
      </w:r>
      <w:r w:rsidRPr="00761EF3">
        <w:rPr>
          <w:rFonts w:hint="eastAsia"/>
          <w:szCs w:val="22"/>
        </w:rPr>
        <w:t>162</w:t>
      </w:r>
      <w:r w:rsidRPr="00043A1E">
        <w:rPr>
          <w:rFonts w:hint="eastAsia"/>
          <w:szCs w:val="22"/>
        </w:rPr>
        <w:t>）</w:t>
      </w:r>
    </w:p>
  </w:footnote>
  <w:footnote w:id="538">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rFonts w:hint="eastAsia"/>
          <w:szCs w:val="22"/>
        </w:rPr>
        <w:t>苦慮：苦思冥想。（《漢語大詞典》（九），</w:t>
      </w:r>
      <w:r w:rsidRPr="00761EF3">
        <w:rPr>
          <w:rFonts w:hint="eastAsia"/>
          <w:szCs w:val="22"/>
        </w:rPr>
        <w:t>p</w:t>
      </w:r>
      <w:r w:rsidRPr="00043A1E">
        <w:rPr>
          <w:rFonts w:hint="eastAsia"/>
          <w:szCs w:val="22"/>
        </w:rPr>
        <w:t>.</w:t>
      </w:r>
      <w:r w:rsidRPr="00761EF3">
        <w:rPr>
          <w:rFonts w:hint="eastAsia"/>
          <w:szCs w:val="22"/>
        </w:rPr>
        <w:t>324</w:t>
      </w:r>
      <w:r w:rsidRPr="00043A1E">
        <w:rPr>
          <w:rFonts w:hint="eastAsia"/>
          <w:szCs w:val="22"/>
        </w:rPr>
        <w:t>）</w:t>
      </w:r>
    </w:p>
  </w:footnote>
  <w:footnote w:id="539">
    <w:p w:rsidR="00C5164C"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szCs w:val="22"/>
        </w:rPr>
        <w:t>瞠</w:t>
      </w:r>
      <w:r w:rsidRPr="00043A1E">
        <w:rPr>
          <w:rFonts w:hint="eastAsia"/>
          <w:szCs w:val="22"/>
        </w:rPr>
        <w:t>（ㄔㄥ）</w:t>
      </w:r>
      <w:r w:rsidRPr="00043A1E">
        <w:rPr>
          <w:szCs w:val="22"/>
        </w:rPr>
        <w:t>目結舌</w:t>
      </w:r>
      <w:r w:rsidRPr="00043A1E">
        <w:rPr>
          <w:rFonts w:hint="eastAsia"/>
          <w:szCs w:val="22"/>
        </w:rPr>
        <w:t>：</w:t>
      </w:r>
      <w:r w:rsidRPr="00043A1E">
        <w:rPr>
          <w:szCs w:val="22"/>
        </w:rPr>
        <w:t>瞪着眼睛說不出話來。形容窘迫或驚呆的樣子。</w:t>
      </w:r>
    </w:p>
    <w:p w:rsidR="00157EF6" w:rsidRPr="00043A1E" w:rsidRDefault="00157EF6" w:rsidP="00C5164C">
      <w:pPr>
        <w:pStyle w:val="a5"/>
        <w:ind w:left="187" w:hangingChars="85" w:hanging="187"/>
        <w:jc w:val="right"/>
        <w:rPr>
          <w:szCs w:val="22"/>
        </w:rPr>
      </w:pPr>
      <w:r w:rsidRPr="00043A1E">
        <w:rPr>
          <w:rFonts w:hint="eastAsia"/>
          <w:szCs w:val="22"/>
        </w:rPr>
        <w:t>（《漢語大詞典》（七），</w:t>
      </w:r>
      <w:r w:rsidRPr="00761EF3">
        <w:rPr>
          <w:rFonts w:hint="eastAsia"/>
          <w:szCs w:val="22"/>
        </w:rPr>
        <w:t>p</w:t>
      </w:r>
      <w:r w:rsidRPr="00043A1E">
        <w:rPr>
          <w:rFonts w:hint="eastAsia"/>
          <w:szCs w:val="22"/>
        </w:rPr>
        <w:t>.</w:t>
      </w:r>
      <w:r w:rsidRPr="00761EF3">
        <w:rPr>
          <w:rFonts w:hint="eastAsia"/>
          <w:szCs w:val="22"/>
        </w:rPr>
        <w:t>1250</w:t>
      </w:r>
      <w:r w:rsidRPr="00043A1E">
        <w:rPr>
          <w:rFonts w:hint="eastAsia"/>
          <w:szCs w:val="22"/>
        </w:rPr>
        <w:t>）</w:t>
      </w:r>
    </w:p>
  </w:footnote>
  <w:footnote w:id="540">
    <w:p w:rsidR="00157EF6" w:rsidRPr="00043A1E" w:rsidRDefault="00157EF6" w:rsidP="00AA120F">
      <w:pPr>
        <w:pStyle w:val="a5"/>
        <w:spacing w:line="0" w:lineRule="atLeast"/>
        <w:ind w:left="726" w:hangingChars="330" w:hanging="726"/>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szCs w:val="22"/>
        </w:rPr>
        <w:t>參見</w:t>
      </w:r>
      <w:r w:rsidRPr="00043A1E">
        <w:rPr>
          <w:rFonts w:hint="eastAsia"/>
          <w:szCs w:val="22"/>
        </w:rPr>
        <w:t>《雜阿含經》卷</w:t>
      </w:r>
      <w:r w:rsidRPr="00761EF3">
        <w:rPr>
          <w:rFonts w:hint="eastAsia"/>
          <w:szCs w:val="22"/>
        </w:rPr>
        <w:t>34</w:t>
      </w:r>
      <w:r w:rsidRPr="00043A1E">
        <w:rPr>
          <w:rFonts w:hint="eastAsia"/>
          <w:szCs w:val="22"/>
        </w:rPr>
        <w:t>（</w:t>
      </w:r>
      <w:r w:rsidRPr="00761EF3">
        <w:rPr>
          <w:rFonts w:hint="eastAsia"/>
          <w:szCs w:val="22"/>
        </w:rPr>
        <w:t>962</w:t>
      </w:r>
      <w:r w:rsidRPr="00043A1E">
        <w:rPr>
          <w:rFonts w:hint="eastAsia"/>
          <w:szCs w:val="22"/>
        </w:rPr>
        <w:t>經）（大正</w:t>
      </w:r>
      <w:r w:rsidRPr="00761EF3">
        <w:rPr>
          <w:rFonts w:hint="eastAsia"/>
          <w:szCs w:val="22"/>
        </w:rPr>
        <w:t>2</w:t>
      </w:r>
      <w:r w:rsidRPr="00043A1E">
        <w:rPr>
          <w:rFonts w:hint="eastAsia"/>
          <w:szCs w:val="22"/>
        </w:rPr>
        <w:t>，</w:t>
      </w:r>
      <w:r w:rsidRPr="00761EF3">
        <w:rPr>
          <w:szCs w:val="22"/>
        </w:rPr>
        <w:t>245b27</w:t>
      </w:r>
      <w:r w:rsidRPr="00043A1E">
        <w:rPr>
          <w:szCs w:val="22"/>
        </w:rPr>
        <w:t>-</w:t>
      </w:r>
      <w:r w:rsidRPr="00761EF3">
        <w:rPr>
          <w:szCs w:val="22"/>
        </w:rPr>
        <w:t>246a10</w:t>
      </w:r>
      <w:r w:rsidRPr="00043A1E">
        <w:rPr>
          <w:szCs w:val="22"/>
        </w:rPr>
        <w:t>）</w:t>
      </w:r>
      <w:r w:rsidRPr="00043A1E">
        <w:rPr>
          <w:rFonts w:hint="eastAsia"/>
          <w:szCs w:val="22"/>
        </w:rPr>
        <w:t>。</w:t>
      </w:r>
    </w:p>
    <w:p w:rsidR="00157EF6" w:rsidRPr="00043A1E" w:rsidRDefault="00157EF6" w:rsidP="00AA120F">
      <w:pPr>
        <w:pStyle w:val="a5"/>
        <w:ind w:leftChars="80" w:left="73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w:t>
      </w:r>
      <w:r w:rsidRPr="00043A1E">
        <w:rPr>
          <w:szCs w:val="22"/>
        </w:rPr>
        <w:t>《起世經》卷</w:t>
      </w:r>
      <w:r w:rsidRPr="00761EF3">
        <w:rPr>
          <w:szCs w:val="22"/>
        </w:rPr>
        <w:t>5</w:t>
      </w:r>
      <w:r w:rsidRPr="00043A1E">
        <w:rPr>
          <w:rFonts w:hint="eastAsia"/>
          <w:szCs w:val="22"/>
        </w:rPr>
        <w:t>（</w:t>
      </w:r>
      <w:r w:rsidRPr="00043A1E">
        <w:rPr>
          <w:szCs w:val="22"/>
        </w:rPr>
        <w:t>大正</w:t>
      </w:r>
      <w:r w:rsidRPr="00761EF3">
        <w:rPr>
          <w:szCs w:val="22"/>
        </w:rPr>
        <w:t>1</w:t>
      </w:r>
      <w:r w:rsidRPr="00043A1E">
        <w:rPr>
          <w:szCs w:val="22"/>
        </w:rPr>
        <w:t>，</w:t>
      </w:r>
      <w:r w:rsidRPr="00761EF3">
        <w:rPr>
          <w:szCs w:val="22"/>
        </w:rPr>
        <w:t>333c22</w:t>
      </w:r>
      <w:r w:rsidRPr="00043A1E">
        <w:rPr>
          <w:szCs w:val="22"/>
        </w:rPr>
        <w:t>-</w:t>
      </w:r>
      <w:r w:rsidRPr="00761EF3">
        <w:rPr>
          <w:szCs w:val="22"/>
        </w:rPr>
        <w:t>334a1</w:t>
      </w:r>
      <w:r w:rsidRPr="00043A1E">
        <w:rPr>
          <w:rFonts w:hint="eastAsia"/>
          <w:szCs w:val="22"/>
        </w:rPr>
        <w:t>）。</w:t>
      </w:r>
    </w:p>
    <w:p w:rsidR="00157EF6" w:rsidRPr="00043A1E" w:rsidRDefault="00157EF6" w:rsidP="00AA120F">
      <w:pPr>
        <w:pStyle w:val="a5"/>
        <w:ind w:leftChars="80" w:left="731" w:hangingChars="245" w:hanging="539"/>
        <w:jc w:val="both"/>
        <w:rPr>
          <w:szCs w:val="22"/>
        </w:rPr>
      </w:pPr>
      <w:r w:rsidRPr="00043A1E">
        <w:rPr>
          <w:rFonts w:hint="eastAsia"/>
          <w:szCs w:val="22"/>
        </w:rPr>
        <w:t>（</w:t>
      </w:r>
      <w:r w:rsidRPr="00761EF3">
        <w:rPr>
          <w:rFonts w:hint="eastAsia"/>
          <w:szCs w:val="22"/>
        </w:rPr>
        <w:t>3</w:t>
      </w:r>
      <w:r w:rsidRPr="00043A1E">
        <w:rPr>
          <w:rFonts w:hint="eastAsia"/>
          <w:szCs w:val="22"/>
        </w:rPr>
        <w:t>）《大智度論》卷</w:t>
      </w:r>
      <w:r w:rsidRPr="00761EF3">
        <w:rPr>
          <w:rFonts w:hint="eastAsia"/>
          <w:szCs w:val="22"/>
        </w:rPr>
        <w:t>2</w:t>
      </w:r>
      <w:r w:rsidR="00E64597">
        <w:rPr>
          <w:rFonts w:hint="eastAsia"/>
          <w:color w:val="FF0000"/>
          <w:szCs w:val="22"/>
          <w:highlight w:val="yellow"/>
        </w:rPr>
        <w:t>釋</w:t>
      </w:r>
      <w:r w:rsidRPr="00043A1E">
        <w:rPr>
          <w:rFonts w:hint="eastAsia"/>
          <w:szCs w:val="22"/>
        </w:rPr>
        <w:t>〈</w:t>
      </w:r>
      <w:r w:rsidRPr="00761EF3">
        <w:rPr>
          <w:rFonts w:hint="eastAsia"/>
          <w:szCs w:val="22"/>
        </w:rPr>
        <w:t>1</w:t>
      </w:r>
      <w:r w:rsidRPr="00043A1E">
        <w:rPr>
          <w:szCs w:val="22"/>
        </w:rPr>
        <w:t xml:space="preserve"> </w:t>
      </w:r>
      <w:r w:rsidRPr="00043A1E">
        <w:rPr>
          <w:rFonts w:hint="eastAsia"/>
          <w:szCs w:val="22"/>
        </w:rPr>
        <w:t>序品〉（大正</w:t>
      </w:r>
      <w:r w:rsidRPr="00761EF3">
        <w:rPr>
          <w:rFonts w:hint="eastAsia"/>
          <w:szCs w:val="22"/>
        </w:rPr>
        <w:t>25</w:t>
      </w:r>
      <w:r w:rsidRPr="00043A1E">
        <w:rPr>
          <w:rFonts w:hint="eastAsia"/>
          <w:szCs w:val="22"/>
        </w:rPr>
        <w:t>，</w:t>
      </w:r>
      <w:r w:rsidRPr="00761EF3">
        <w:rPr>
          <w:rFonts w:hint="eastAsia"/>
          <w:szCs w:val="22"/>
        </w:rPr>
        <w:t>74c8</w:t>
      </w:r>
      <w:r w:rsidRPr="00043A1E">
        <w:rPr>
          <w:rFonts w:hint="eastAsia"/>
          <w:szCs w:val="22"/>
        </w:rPr>
        <w:t>-</w:t>
      </w:r>
      <w:r w:rsidRPr="00761EF3">
        <w:rPr>
          <w:rFonts w:hint="eastAsia"/>
          <w:szCs w:val="22"/>
        </w:rPr>
        <w:t>75a1</w:t>
      </w:r>
      <w:r w:rsidRPr="00043A1E">
        <w:rPr>
          <w:rFonts w:hint="eastAsia"/>
          <w:szCs w:val="22"/>
        </w:rPr>
        <w:t>）</w:t>
      </w:r>
      <w:r w:rsidRPr="00043A1E">
        <w:rPr>
          <w:rFonts w:ascii="標楷體" w:eastAsia="標楷體" w:hAnsi="標楷體" w:hint="eastAsia"/>
          <w:szCs w:val="22"/>
        </w:rPr>
        <w:t>。</w:t>
      </w:r>
    </w:p>
  </w:footnote>
  <w:footnote w:id="541">
    <w:p w:rsidR="00157EF6" w:rsidRPr="00043A1E" w:rsidRDefault="00157EF6" w:rsidP="00AA120F">
      <w:pPr>
        <w:pStyle w:val="a5"/>
        <w:ind w:left="187" w:hangingChars="85" w:hanging="187"/>
        <w:jc w:val="both"/>
        <w:rPr>
          <w:szCs w:val="22"/>
        </w:rPr>
      </w:pPr>
      <w:r w:rsidRPr="00043A1E">
        <w:rPr>
          <w:rStyle w:val="a6"/>
          <w:szCs w:val="22"/>
        </w:rPr>
        <w:footnoteRef/>
      </w:r>
      <w:r w:rsidRPr="00043A1E">
        <w:rPr>
          <w:szCs w:val="22"/>
        </w:rPr>
        <w:t xml:space="preserve"> </w:t>
      </w:r>
      <w:r w:rsidRPr="00043A1E">
        <w:rPr>
          <w:rFonts w:hint="eastAsia"/>
          <w:szCs w:val="22"/>
        </w:rPr>
        <w:t>宇宙：</w:t>
      </w:r>
      <w:r w:rsidRPr="00761EF3">
        <w:rPr>
          <w:rFonts w:hint="eastAsia"/>
          <w:szCs w:val="22"/>
        </w:rPr>
        <w:t>5</w:t>
      </w:r>
      <w:r w:rsidRPr="00043A1E">
        <w:rPr>
          <w:rFonts w:hint="eastAsia"/>
          <w:szCs w:val="22"/>
        </w:rPr>
        <w:t>.</w:t>
      </w:r>
      <w:r w:rsidRPr="00043A1E">
        <w:rPr>
          <w:rFonts w:hint="eastAsia"/>
          <w:szCs w:val="22"/>
        </w:rPr>
        <w:t>包括地球及其他一切天體的無限空間。</w:t>
      </w:r>
      <w:r w:rsidRPr="00761EF3">
        <w:rPr>
          <w:rFonts w:hint="eastAsia"/>
          <w:szCs w:val="22"/>
        </w:rPr>
        <w:t>6</w:t>
      </w:r>
      <w:r w:rsidRPr="00043A1E">
        <w:rPr>
          <w:rFonts w:hint="eastAsia"/>
          <w:szCs w:val="22"/>
        </w:rPr>
        <w:t>.</w:t>
      </w:r>
      <w:r w:rsidRPr="00043A1E">
        <w:rPr>
          <w:rFonts w:hint="eastAsia"/>
          <w:szCs w:val="22"/>
        </w:rPr>
        <w:t>一切物質及其存在形式的總體。宇，指無限空間；宙，指無限時間。（《漢語大詞典》（三），</w:t>
      </w:r>
      <w:r w:rsidRPr="00761EF3">
        <w:rPr>
          <w:rFonts w:hint="eastAsia"/>
          <w:szCs w:val="22"/>
        </w:rPr>
        <w:t>p</w:t>
      </w:r>
      <w:r w:rsidRPr="00043A1E">
        <w:rPr>
          <w:rFonts w:hint="eastAsia"/>
          <w:szCs w:val="22"/>
        </w:rPr>
        <w:t>.</w:t>
      </w:r>
      <w:r w:rsidRPr="00761EF3">
        <w:rPr>
          <w:rFonts w:hint="eastAsia"/>
          <w:szCs w:val="22"/>
        </w:rPr>
        <w:t>1295</w:t>
      </w:r>
      <w:r w:rsidRPr="00043A1E">
        <w:rPr>
          <w:rFonts w:hint="eastAsia"/>
          <w:szCs w:val="22"/>
        </w:rPr>
        <w:t>）</w:t>
      </w:r>
    </w:p>
  </w:footnote>
  <w:footnote w:id="542">
    <w:p w:rsidR="00157EF6" w:rsidRPr="00043A1E" w:rsidRDefault="00157EF6" w:rsidP="00AA120F">
      <w:pPr>
        <w:pStyle w:val="a5"/>
        <w:ind w:left="187" w:hangingChars="85" w:hanging="187"/>
        <w:jc w:val="both"/>
        <w:rPr>
          <w:szCs w:val="22"/>
        </w:rPr>
      </w:pPr>
      <w:r w:rsidRPr="00043A1E">
        <w:rPr>
          <w:rStyle w:val="a6"/>
          <w:szCs w:val="22"/>
        </w:rPr>
        <w:footnoteRef/>
      </w:r>
      <w:r w:rsidRPr="00043A1E">
        <w:rPr>
          <w:szCs w:val="22"/>
        </w:rPr>
        <w:t xml:space="preserve"> </w:t>
      </w:r>
      <w:r w:rsidRPr="00043A1E">
        <w:rPr>
          <w:rFonts w:hint="eastAsia"/>
          <w:szCs w:val="22"/>
        </w:rPr>
        <w:t>置：</w:t>
      </w:r>
      <w:r w:rsidRPr="00761EF3">
        <w:rPr>
          <w:rFonts w:hint="eastAsia"/>
          <w:szCs w:val="22"/>
        </w:rPr>
        <w:t>3</w:t>
      </w:r>
      <w:r w:rsidRPr="00043A1E">
        <w:rPr>
          <w:rFonts w:hint="eastAsia"/>
          <w:szCs w:val="22"/>
        </w:rPr>
        <w:t>.</w:t>
      </w:r>
      <w:r w:rsidRPr="00043A1E">
        <w:rPr>
          <w:rFonts w:hint="eastAsia"/>
          <w:szCs w:val="22"/>
        </w:rPr>
        <w:t>廢棄，捨棄。</w:t>
      </w:r>
      <w:r w:rsidRPr="00761EF3">
        <w:rPr>
          <w:rFonts w:hint="eastAsia"/>
          <w:szCs w:val="22"/>
        </w:rPr>
        <w:t>4</w:t>
      </w:r>
      <w:r w:rsidRPr="00043A1E">
        <w:rPr>
          <w:rFonts w:hint="eastAsia"/>
          <w:szCs w:val="22"/>
        </w:rPr>
        <w:t>.</w:t>
      </w:r>
      <w:r w:rsidRPr="00043A1E">
        <w:rPr>
          <w:rFonts w:hint="eastAsia"/>
          <w:szCs w:val="22"/>
        </w:rPr>
        <w:t>擱置，放下。（《漢語大詞典》（八），</w:t>
      </w:r>
      <w:r w:rsidRPr="00761EF3">
        <w:rPr>
          <w:rFonts w:hint="eastAsia"/>
          <w:szCs w:val="22"/>
        </w:rPr>
        <w:t>p</w:t>
      </w:r>
      <w:r w:rsidRPr="00043A1E">
        <w:rPr>
          <w:rFonts w:hint="eastAsia"/>
          <w:szCs w:val="22"/>
        </w:rPr>
        <w:t>.</w:t>
      </w:r>
      <w:r w:rsidRPr="00761EF3">
        <w:rPr>
          <w:rFonts w:hint="eastAsia"/>
          <w:szCs w:val="22"/>
        </w:rPr>
        <w:t>1024</w:t>
      </w:r>
      <w:r w:rsidRPr="00043A1E">
        <w:rPr>
          <w:rFonts w:hint="eastAsia"/>
          <w:szCs w:val="22"/>
        </w:rPr>
        <w:t>）</w:t>
      </w:r>
    </w:p>
  </w:footnote>
  <w:footnote w:id="543">
    <w:p w:rsidR="00157EF6" w:rsidRPr="00043A1E" w:rsidRDefault="00157EF6" w:rsidP="00AA120F">
      <w:pPr>
        <w:pStyle w:val="a5"/>
        <w:ind w:left="187" w:hangingChars="85" w:hanging="187"/>
        <w:jc w:val="both"/>
        <w:rPr>
          <w:rFonts w:hAnsi="新細明體"/>
          <w:szCs w:val="22"/>
        </w:rPr>
      </w:pPr>
      <w:r w:rsidRPr="00043A1E">
        <w:rPr>
          <w:rStyle w:val="a6"/>
          <w:szCs w:val="22"/>
        </w:rPr>
        <w:footnoteRef/>
      </w:r>
      <w:r w:rsidRPr="00043A1E">
        <w:rPr>
          <w:rFonts w:hint="eastAsia"/>
          <w:szCs w:val="22"/>
        </w:rPr>
        <w:t xml:space="preserve"> </w:t>
      </w:r>
      <w:r w:rsidRPr="00043A1E">
        <w:rPr>
          <w:rFonts w:hAnsi="新細明體" w:hint="eastAsia"/>
          <w:szCs w:val="22"/>
        </w:rPr>
        <w:t>印順法師，</w:t>
      </w:r>
      <w:r w:rsidRPr="00043A1E">
        <w:rPr>
          <w:rFonts w:hAnsi="新細明體"/>
          <w:szCs w:val="22"/>
        </w:rPr>
        <w:t>《中觀論頌講記》</w:t>
      </w:r>
      <w:r w:rsidRPr="00043A1E">
        <w:rPr>
          <w:rFonts w:hAnsi="新細明體" w:hint="eastAsia"/>
          <w:szCs w:val="22"/>
        </w:rPr>
        <w:t>，</w:t>
      </w:r>
      <w:r w:rsidRPr="00761EF3">
        <w:rPr>
          <w:szCs w:val="22"/>
        </w:rPr>
        <w:t>pp</w:t>
      </w:r>
      <w:r w:rsidRPr="00043A1E">
        <w:rPr>
          <w:szCs w:val="22"/>
        </w:rPr>
        <w:t>.</w:t>
      </w:r>
      <w:r w:rsidRPr="00761EF3">
        <w:rPr>
          <w:szCs w:val="22"/>
        </w:rPr>
        <w:t>343</w:t>
      </w:r>
      <w:r w:rsidRPr="00043A1E">
        <w:rPr>
          <w:szCs w:val="22"/>
        </w:rPr>
        <w:t>-</w:t>
      </w:r>
      <w:r w:rsidRPr="00761EF3">
        <w:rPr>
          <w:szCs w:val="22"/>
        </w:rPr>
        <w:t>344</w:t>
      </w:r>
      <w:r w:rsidRPr="00043A1E">
        <w:rPr>
          <w:rFonts w:hAnsi="新細明體"/>
          <w:szCs w:val="22"/>
        </w:rPr>
        <w:t>：</w:t>
      </w:r>
    </w:p>
    <w:p w:rsidR="00157EF6" w:rsidRPr="00043A1E" w:rsidRDefault="00157EF6" w:rsidP="00AA120F">
      <w:pPr>
        <w:pStyle w:val="a5"/>
        <w:ind w:leftChars="75" w:left="180"/>
        <w:jc w:val="both"/>
        <w:rPr>
          <w:rFonts w:ascii="標楷體" w:eastAsia="標楷體" w:hAnsi="標楷體"/>
          <w:szCs w:val="22"/>
        </w:rPr>
      </w:pPr>
      <w:r w:rsidRPr="00043A1E">
        <w:rPr>
          <w:rFonts w:ascii="標楷體" w:eastAsia="標楷體" w:hAnsi="標楷體"/>
          <w:szCs w:val="22"/>
        </w:rPr>
        <w:t>時論外道，以為時間是萬有的本體，一切的一切，都從時間實體中出來。一切受時間的支配和決定；一切法的生起</w:t>
      </w:r>
      <w:r w:rsidRPr="00043A1E">
        <w:rPr>
          <w:rFonts w:ascii="標楷體" w:eastAsia="標楷體" w:hAnsi="標楷體" w:hint="eastAsia"/>
          <w:szCs w:val="22"/>
        </w:rPr>
        <w:t>、</w:t>
      </w:r>
      <w:r w:rsidRPr="00043A1E">
        <w:rPr>
          <w:rFonts w:ascii="標楷體" w:eastAsia="標楷體" w:hAnsi="標楷體"/>
          <w:szCs w:val="22"/>
        </w:rPr>
        <w:t>滅亡，都不過是時間實體的象徵。到了這時這法生，到了那時那法滅，一切以時間而定的。所以，他說：</w:t>
      </w:r>
      <w:r w:rsidRPr="00043A1E">
        <w:rPr>
          <w:rFonts w:ascii="標楷體" w:eastAsia="標楷體" w:hAnsi="標楷體" w:hint="eastAsia"/>
          <w:szCs w:val="22"/>
        </w:rPr>
        <w:t>「</w:t>
      </w:r>
      <w:r w:rsidRPr="00043A1E">
        <w:rPr>
          <w:rFonts w:ascii="標楷體" w:eastAsia="標楷體" w:hAnsi="標楷體"/>
          <w:szCs w:val="22"/>
        </w:rPr>
        <w:t>時來眾生熟，時去則摧朽；時轉如車輪，是故時為因。</w:t>
      </w:r>
      <w:r w:rsidRPr="00043A1E">
        <w:rPr>
          <w:rFonts w:ascii="標楷體" w:eastAsia="標楷體" w:hAnsi="標楷體" w:hint="eastAsia"/>
          <w:szCs w:val="22"/>
        </w:rPr>
        <w:t>」</w:t>
      </w:r>
      <w:r w:rsidRPr="00043A1E">
        <w:rPr>
          <w:rFonts w:ascii="標楷體" w:eastAsia="標楷體" w:hAnsi="標楷體"/>
          <w:szCs w:val="22"/>
        </w:rPr>
        <w:t>這樣的時間，是一切法的生因。</w:t>
      </w:r>
    </w:p>
  </w:footnote>
  <w:footnote w:id="544">
    <w:p w:rsidR="00157EF6" w:rsidRPr="00043A1E" w:rsidRDefault="00157EF6" w:rsidP="00AA120F">
      <w:pPr>
        <w:pStyle w:val="a5"/>
        <w:spacing w:line="0" w:lineRule="atLeast"/>
        <w:ind w:left="253" w:hangingChars="115" w:hanging="253"/>
        <w:jc w:val="both"/>
        <w:rPr>
          <w:rFonts w:hAnsi="新細明體"/>
          <w:szCs w:val="22"/>
        </w:rPr>
      </w:pPr>
      <w:r w:rsidRPr="00043A1E">
        <w:rPr>
          <w:rStyle w:val="a6"/>
          <w:szCs w:val="22"/>
        </w:rPr>
        <w:footnoteRef/>
      </w:r>
      <w:r w:rsidRPr="00043A1E">
        <w:rPr>
          <w:rFonts w:hint="eastAsia"/>
          <w:szCs w:val="22"/>
        </w:rPr>
        <w:t xml:space="preserve"> </w:t>
      </w:r>
      <w:r w:rsidRPr="00043A1E">
        <w:rPr>
          <w:rFonts w:hAnsi="新細明體"/>
          <w:szCs w:val="22"/>
        </w:rPr>
        <w:t>《大智度論》卷</w:t>
      </w:r>
      <w:r w:rsidRPr="00761EF3">
        <w:rPr>
          <w:szCs w:val="22"/>
        </w:rPr>
        <w:t>1</w:t>
      </w:r>
      <w:r w:rsidR="00E64597">
        <w:rPr>
          <w:rFonts w:hint="eastAsia"/>
          <w:color w:val="FF0000"/>
          <w:szCs w:val="22"/>
          <w:highlight w:val="yellow"/>
        </w:rPr>
        <w:t>釋</w:t>
      </w:r>
      <w:r w:rsidRPr="00043A1E">
        <w:rPr>
          <w:rFonts w:hAnsi="新細明體"/>
          <w:szCs w:val="22"/>
        </w:rPr>
        <w:t>〈</w:t>
      </w:r>
      <w:r w:rsidRPr="00761EF3">
        <w:rPr>
          <w:szCs w:val="22"/>
        </w:rPr>
        <w:t>1</w:t>
      </w:r>
      <w:r w:rsidRPr="00043A1E">
        <w:rPr>
          <w:szCs w:val="22"/>
        </w:rPr>
        <w:t xml:space="preserve"> </w:t>
      </w:r>
      <w:r w:rsidRPr="00043A1E">
        <w:rPr>
          <w:rFonts w:hAnsi="新細明體"/>
          <w:szCs w:val="22"/>
        </w:rPr>
        <w:t>序品〉</w:t>
      </w:r>
      <w:r w:rsidRPr="00043A1E">
        <w:rPr>
          <w:rFonts w:hint="eastAsia"/>
          <w:szCs w:val="22"/>
        </w:rPr>
        <w:t>（大正</w:t>
      </w:r>
      <w:r w:rsidRPr="00761EF3">
        <w:rPr>
          <w:szCs w:val="22"/>
        </w:rPr>
        <w:t>25</w:t>
      </w:r>
      <w:r w:rsidRPr="00043A1E">
        <w:rPr>
          <w:rFonts w:hint="eastAsia"/>
          <w:szCs w:val="22"/>
        </w:rPr>
        <w:t>，</w:t>
      </w:r>
      <w:r w:rsidRPr="00761EF3">
        <w:rPr>
          <w:szCs w:val="22"/>
        </w:rPr>
        <w:t>65b10</w:t>
      </w:r>
      <w:r w:rsidRPr="00043A1E">
        <w:rPr>
          <w:szCs w:val="22"/>
        </w:rPr>
        <w:t>-</w:t>
      </w:r>
      <w:r w:rsidRPr="00761EF3">
        <w:rPr>
          <w:szCs w:val="22"/>
        </w:rPr>
        <w:t>15</w:t>
      </w:r>
      <w:r w:rsidRPr="00043A1E">
        <w:rPr>
          <w:rFonts w:hint="eastAsia"/>
          <w:szCs w:val="22"/>
        </w:rPr>
        <w:t>）</w:t>
      </w:r>
      <w:r w:rsidRPr="00043A1E">
        <w:rPr>
          <w:rFonts w:hAnsi="新細明體"/>
          <w:szCs w:val="22"/>
        </w:rPr>
        <w:t>：</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szCs w:val="22"/>
        </w:rPr>
        <w:t>有人言：一切天地好醜皆以</w:t>
      </w:r>
      <w:r w:rsidR="00C5164C">
        <w:rPr>
          <w:rFonts w:ascii="標楷體" w:eastAsia="標楷體" w:hAnsi="標楷體" w:hint="eastAsia"/>
          <w:bCs/>
          <w:color w:val="FF0000"/>
          <w:kern w:val="0"/>
          <w:highlight w:val="yellow"/>
        </w:rPr>
        <w:t>「</w:t>
      </w:r>
      <w:r w:rsidRPr="00043A1E">
        <w:rPr>
          <w:rFonts w:ascii="標楷體" w:eastAsia="標楷體" w:hAnsi="標楷體"/>
          <w:szCs w:val="22"/>
        </w:rPr>
        <w:t>時</w:t>
      </w:r>
      <w:r w:rsidR="00C5164C">
        <w:rPr>
          <w:rFonts w:ascii="標楷體" w:eastAsia="標楷體" w:hAnsi="標楷體" w:hint="eastAsia"/>
          <w:bCs/>
          <w:color w:val="FF0000"/>
          <w:kern w:val="0"/>
          <w:highlight w:val="yellow"/>
        </w:rPr>
        <w:t>」</w:t>
      </w:r>
      <w:r w:rsidRPr="00043A1E">
        <w:rPr>
          <w:rFonts w:ascii="標楷體" w:eastAsia="標楷體" w:hAnsi="標楷體"/>
          <w:szCs w:val="22"/>
        </w:rPr>
        <w:t>為因，如《時經》中偈說</w:t>
      </w:r>
      <w:r w:rsidR="00ED3E7D" w:rsidRPr="00043A1E">
        <w:rPr>
          <w:rFonts w:ascii="標楷體" w:eastAsia="標楷體" w:hAnsi="標楷體"/>
          <w:szCs w:val="22"/>
        </w:rPr>
        <w:t>：</w:t>
      </w:r>
      <w:r w:rsidR="00ED3E7D" w:rsidRPr="00043A1E">
        <w:rPr>
          <w:rFonts w:ascii="標楷體" w:eastAsia="標楷體" w:hAnsi="標楷體" w:hint="eastAsia"/>
          <w:szCs w:val="22"/>
        </w:rPr>
        <w:t>「</w:t>
      </w:r>
      <w:r w:rsidR="00C5164C">
        <w:rPr>
          <w:rFonts w:ascii="標楷體" w:eastAsia="標楷體" w:hAnsi="標楷體" w:hint="eastAsia"/>
          <w:color w:val="FF0000"/>
          <w:kern w:val="0"/>
          <w:highlight w:val="yellow"/>
        </w:rPr>
        <w:t>『</w:t>
      </w:r>
      <w:r w:rsidRPr="00043A1E">
        <w:rPr>
          <w:rFonts w:ascii="標楷體" w:eastAsia="標楷體" w:hAnsi="標楷體"/>
          <w:szCs w:val="22"/>
        </w:rPr>
        <w:t>時</w:t>
      </w:r>
      <w:r w:rsidR="00C5164C">
        <w:rPr>
          <w:rFonts w:ascii="標楷體" w:eastAsia="標楷體" w:hAnsi="標楷體" w:hint="eastAsia"/>
          <w:color w:val="FF0000"/>
          <w:kern w:val="0"/>
          <w:highlight w:val="yellow"/>
        </w:rPr>
        <w:t>』</w:t>
      </w:r>
      <w:r w:rsidRPr="00043A1E">
        <w:rPr>
          <w:rFonts w:ascii="標楷體" w:eastAsia="標楷體" w:hAnsi="標楷體"/>
          <w:szCs w:val="22"/>
        </w:rPr>
        <w:t>來眾生熟，</w:t>
      </w:r>
      <w:r w:rsidR="00C5164C">
        <w:rPr>
          <w:rFonts w:ascii="標楷體" w:eastAsia="標楷體" w:hAnsi="標楷體" w:hint="eastAsia"/>
          <w:color w:val="FF0000"/>
          <w:kern w:val="0"/>
          <w:highlight w:val="yellow"/>
        </w:rPr>
        <w:t>『</w:t>
      </w:r>
      <w:r w:rsidR="00C5164C" w:rsidRPr="00043A1E">
        <w:rPr>
          <w:rFonts w:ascii="標楷體" w:eastAsia="標楷體" w:hAnsi="標楷體"/>
          <w:szCs w:val="22"/>
        </w:rPr>
        <w:t>時</w:t>
      </w:r>
      <w:r w:rsidR="00C5164C">
        <w:rPr>
          <w:rFonts w:ascii="標楷體" w:eastAsia="標楷體" w:hAnsi="標楷體" w:hint="eastAsia"/>
          <w:color w:val="FF0000"/>
          <w:kern w:val="0"/>
          <w:highlight w:val="yellow"/>
        </w:rPr>
        <w:t>』</w:t>
      </w:r>
      <w:r w:rsidRPr="00043A1E">
        <w:rPr>
          <w:rFonts w:ascii="標楷體" w:eastAsia="標楷體" w:hAnsi="標楷體"/>
          <w:szCs w:val="22"/>
        </w:rPr>
        <w:t>至則催促，</w:t>
      </w:r>
      <w:r w:rsidR="00C5164C">
        <w:rPr>
          <w:rFonts w:ascii="標楷體" w:eastAsia="標楷體" w:hAnsi="標楷體" w:hint="eastAsia"/>
          <w:color w:val="FF0000"/>
          <w:kern w:val="0"/>
          <w:highlight w:val="yellow"/>
        </w:rPr>
        <w:t>『</w:t>
      </w:r>
      <w:r w:rsidR="00C5164C" w:rsidRPr="00043A1E">
        <w:rPr>
          <w:rFonts w:ascii="標楷體" w:eastAsia="標楷體" w:hAnsi="標楷體"/>
          <w:szCs w:val="22"/>
        </w:rPr>
        <w:t>時</w:t>
      </w:r>
      <w:r w:rsidR="00C5164C">
        <w:rPr>
          <w:rFonts w:ascii="標楷體" w:eastAsia="標楷體" w:hAnsi="標楷體" w:hint="eastAsia"/>
          <w:color w:val="FF0000"/>
          <w:kern w:val="0"/>
          <w:highlight w:val="yellow"/>
        </w:rPr>
        <w:t>』</w:t>
      </w:r>
      <w:r w:rsidRPr="00043A1E">
        <w:rPr>
          <w:rFonts w:ascii="標楷體" w:eastAsia="標楷體" w:hAnsi="標楷體"/>
          <w:szCs w:val="22"/>
        </w:rPr>
        <w:t>能覺悟人</w:t>
      </w:r>
      <w:r w:rsidRPr="00043A1E">
        <w:rPr>
          <w:rFonts w:ascii="標楷體" w:eastAsia="標楷體" w:hAnsi="標楷體" w:hint="eastAsia"/>
          <w:szCs w:val="22"/>
        </w:rPr>
        <w:t>，</w:t>
      </w:r>
      <w:r w:rsidRPr="00043A1E">
        <w:rPr>
          <w:rFonts w:ascii="標楷體" w:eastAsia="標楷體" w:hAnsi="標楷體"/>
          <w:szCs w:val="22"/>
        </w:rPr>
        <w:t>是故</w:t>
      </w:r>
      <w:r w:rsidR="00C5164C">
        <w:rPr>
          <w:rFonts w:ascii="標楷體" w:eastAsia="標楷體" w:hAnsi="標楷體" w:hint="eastAsia"/>
          <w:color w:val="FF0000"/>
          <w:kern w:val="0"/>
          <w:highlight w:val="yellow"/>
        </w:rPr>
        <w:t>『</w:t>
      </w:r>
      <w:r w:rsidR="00C5164C" w:rsidRPr="00043A1E">
        <w:rPr>
          <w:rFonts w:ascii="標楷體" w:eastAsia="標楷體" w:hAnsi="標楷體"/>
          <w:szCs w:val="22"/>
        </w:rPr>
        <w:t>時</w:t>
      </w:r>
      <w:r w:rsidR="00C5164C">
        <w:rPr>
          <w:rFonts w:ascii="標楷體" w:eastAsia="標楷體" w:hAnsi="標楷體" w:hint="eastAsia"/>
          <w:color w:val="FF0000"/>
          <w:kern w:val="0"/>
          <w:highlight w:val="yellow"/>
        </w:rPr>
        <w:t>』</w:t>
      </w:r>
      <w:r w:rsidRPr="00043A1E">
        <w:rPr>
          <w:rFonts w:ascii="標楷體" w:eastAsia="標楷體" w:hAnsi="標楷體"/>
          <w:szCs w:val="22"/>
        </w:rPr>
        <w:t>為因。世界如車輪，</w:t>
      </w:r>
      <w:r w:rsidR="00C5164C">
        <w:rPr>
          <w:rFonts w:ascii="標楷體" w:eastAsia="標楷體" w:hAnsi="標楷體" w:hint="eastAsia"/>
          <w:color w:val="FF0000"/>
          <w:kern w:val="0"/>
          <w:highlight w:val="yellow"/>
        </w:rPr>
        <w:t>『</w:t>
      </w:r>
      <w:r w:rsidR="00C5164C" w:rsidRPr="00043A1E">
        <w:rPr>
          <w:rFonts w:ascii="標楷體" w:eastAsia="標楷體" w:hAnsi="標楷體"/>
          <w:szCs w:val="22"/>
        </w:rPr>
        <w:t>時</w:t>
      </w:r>
      <w:r w:rsidR="00C5164C">
        <w:rPr>
          <w:rFonts w:ascii="標楷體" w:eastAsia="標楷體" w:hAnsi="標楷體" w:hint="eastAsia"/>
          <w:color w:val="FF0000"/>
          <w:kern w:val="0"/>
          <w:highlight w:val="yellow"/>
        </w:rPr>
        <w:t>』</w:t>
      </w:r>
      <w:r w:rsidRPr="00043A1E">
        <w:rPr>
          <w:rFonts w:ascii="標楷體" w:eastAsia="標楷體" w:hAnsi="標楷體"/>
          <w:szCs w:val="22"/>
        </w:rPr>
        <w:t>變如轉輪，人亦如車輪，或上而或下。」</w:t>
      </w:r>
    </w:p>
  </w:footnote>
  <w:footnote w:id="545">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〔唐〕普光述，《俱舍論記》卷</w:t>
      </w:r>
      <w:r w:rsidRPr="00761EF3">
        <w:rPr>
          <w:rFonts w:hint="eastAsia"/>
          <w:szCs w:val="22"/>
        </w:rPr>
        <w:t>5</w:t>
      </w:r>
      <w:r w:rsidRPr="00043A1E">
        <w:rPr>
          <w:rFonts w:hint="eastAsia"/>
          <w:szCs w:val="22"/>
        </w:rPr>
        <w:t>〈</w:t>
      </w:r>
      <w:r w:rsidRPr="00761EF3">
        <w:rPr>
          <w:rFonts w:hint="eastAsia"/>
          <w:szCs w:val="22"/>
        </w:rPr>
        <w:t>2</w:t>
      </w:r>
      <w:r w:rsidRPr="00043A1E">
        <w:rPr>
          <w:szCs w:val="22"/>
        </w:rPr>
        <w:t xml:space="preserve"> </w:t>
      </w:r>
      <w:r w:rsidRPr="00043A1E">
        <w:rPr>
          <w:rFonts w:hint="eastAsia"/>
          <w:szCs w:val="22"/>
        </w:rPr>
        <w:t>分別根品〉（大正</w:t>
      </w:r>
      <w:r w:rsidRPr="00761EF3">
        <w:rPr>
          <w:rFonts w:hint="eastAsia"/>
          <w:szCs w:val="22"/>
        </w:rPr>
        <w:t>41</w:t>
      </w:r>
      <w:r w:rsidRPr="00043A1E">
        <w:rPr>
          <w:rFonts w:hint="eastAsia"/>
          <w:szCs w:val="22"/>
        </w:rPr>
        <w:t>，</w:t>
      </w:r>
      <w:r w:rsidRPr="00761EF3">
        <w:rPr>
          <w:rFonts w:hint="eastAsia"/>
          <w:szCs w:val="22"/>
        </w:rPr>
        <w:t>9</w:t>
      </w:r>
      <w:r w:rsidRPr="00761EF3">
        <w:rPr>
          <w:szCs w:val="22"/>
        </w:rPr>
        <w:t>4b29</w:t>
      </w:r>
      <w:r w:rsidRPr="00043A1E">
        <w:rPr>
          <w:szCs w:val="22"/>
        </w:rPr>
        <w:t>-</w:t>
      </w:r>
      <w:r w:rsidRPr="00761EF3">
        <w:rPr>
          <w:szCs w:val="22"/>
        </w:rPr>
        <w:t>c</w:t>
      </w:r>
      <w:r w:rsidRPr="00761EF3">
        <w:rPr>
          <w:rFonts w:hint="eastAsia"/>
          <w:szCs w:val="22"/>
        </w:rPr>
        <w:t>2</w:t>
      </w:r>
      <w:r w:rsidRPr="00043A1E">
        <w:rPr>
          <w:rFonts w:hint="eastAsia"/>
          <w:szCs w:val="22"/>
        </w:rPr>
        <w:t>）：</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hint="eastAsia"/>
          <w:szCs w:val="22"/>
        </w:rPr>
        <w:t>若依勝論宗中先代古師，立六句義：</w:t>
      </w:r>
      <w:r w:rsidRPr="00043A1E">
        <w:rPr>
          <w:rFonts w:ascii="標楷體" w:eastAsia="標楷體" w:hAnsi="標楷體" w:hint="eastAsia"/>
          <w:b/>
          <w:szCs w:val="22"/>
        </w:rPr>
        <w:t>一、實，二、德，三、業，四、有，五、同異，六、和合</w:t>
      </w:r>
      <w:r w:rsidRPr="00043A1E">
        <w:rPr>
          <w:rFonts w:ascii="標楷體" w:eastAsia="標楷體" w:hAnsi="標楷體" w:hint="eastAsia"/>
          <w:szCs w:val="22"/>
        </w:rPr>
        <w:t>。</w:t>
      </w:r>
    </w:p>
  </w:footnote>
  <w:footnote w:id="546">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〔唐〕普光述，《</w:t>
      </w:r>
      <w:r w:rsidRPr="00043A1E">
        <w:rPr>
          <w:szCs w:val="22"/>
        </w:rPr>
        <w:t>俱舍論記》卷</w:t>
      </w:r>
      <w:r w:rsidRPr="00761EF3">
        <w:rPr>
          <w:szCs w:val="22"/>
        </w:rPr>
        <w:t>5</w:t>
      </w:r>
      <w:r w:rsidRPr="00043A1E">
        <w:rPr>
          <w:szCs w:val="22"/>
        </w:rPr>
        <w:t>〈</w:t>
      </w:r>
      <w:r w:rsidRPr="00761EF3">
        <w:rPr>
          <w:szCs w:val="22"/>
        </w:rPr>
        <w:t>2</w:t>
      </w:r>
      <w:r w:rsidRPr="00043A1E">
        <w:rPr>
          <w:szCs w:val="22"/>
        </w:rPr>
        <w:t xml:space="preserve"> </w:t>
      </w:r>
      <w:r w:rsidRPr="00043A1E">
        <w:rPr>
          <w:szCs w:val="22"/>
        </w:rPr>
        <w:t>分別根品〉</w:t>
      </w:r>
      <w:r w:rsidRPr="00043A1E">
        <w:rPr>
          <w:rFonts w:hint="eastAsia"/>
          <w:szCs w:val="22"/>
        </w:rPr>
        <w:t>（大正</w:t>
      </w:r>
      <w:r w:rsidRPr="00761EF3">
        <w:rPr>
          <w:szCs w:val="22"/>
        </w:rPr>
        <w:t>41</w:t>
      </w:r>
      <w:r w:rsidRPr="00043A1E">
        <w:rPr>
          <w:rFonts w:hint="eastAsia"/>
          <w:szCs w:val="22"/>
        </w:rPr>
        <w:t>，</w:t>
      </w:r>
      <w:r w:rsidRPr="00761EF3">
        <w:rPr>
          <w:szCs w:val="22"/>
        </w:rPr>
        <w:t>94c11</w:t>
      </w:r>
      <w:r w:rsidRPr="00043A1E">
        <w:rPr>
          <w:szCs w:val="22"/>
        </w:rPr>
        <w:t>-</w:t>
      </w:r>
      <w:r w:rsidRPr="00761EF3">
        <w:rPr>
          <w:szCs w:val="22"/>
        </w:rPr>
        <w:t>14</w:t>
      </w:r>
      <w:r w:rsidRPr="00043A1E">
        <w:rPr>
          <w:rFonts w:hint="eastAsia"/>
          <w:szCs w:val="22"/>
        </w:rPr>
        <w:t>）</w:t>
      </w:r>
      <w:r w:rsidRPr="00043A1E">
        <w:rPr>
          <w:szCs w:val="22"/>
        </w:rPr>
        <w:t>：</w:t>
      </w:r>
    </w:p>
    <w:p w:rsidR="00157EF6" w:rsidRPr="00043A1E" w:rsidRDefault="00ED3E7D" w:rsidP="00AA120F">
      <w:pPr>
        <w:pStyle w:val="a5"/>
        <w:ind w:leftChars="105" w:left="252"/>
        <w:jc w:val="both"/>
        <w:rPr>
          <w:rFonts w:ascii="標楷體" w:eastAsia="標楷體" w:hAnsi="標楷體"/>
          <w:szCs w:val="22"/>
        </w:rPr>
      </w:pPr>
      <w:r w:rsidRPr="00ED3E7D">
        <w:rPr>
          <w:rFonts w:ascii="標楷體" w:eastAsia="標楷體" w:hAnsi="標楷體" w:hint="eastAsia"/>
          <w:color w:val="FF0000"/>
          <w:szCs w:val="22"/>
          <w:highlight w:val="yellow"/>
        </w:rPr>
        <w:t>「</w:t>
      </w:r>
      <w:r w:rsidRPr="00043A1E">
        <w:rPr>
          <w:rFonts w:ascii="標楷體" w:eastAsia="標楷體" w:hAnsi="標楷體"/>
          <w:szCs w:val="22"/>
        </w:rPr>
        <w:t>實句義</w:t>
      </w:r>
      <w:r w:rsidRPr="00ED3E7D">
        <w:rPr>
          <w:rFonts w:ascii="標楷體" w:eastAsia="標楷體" w:hAnsi="標楷體" w:hint="eastAsia"/>
          <w:color w:val="FF0000"/>
          <w:szCs w:val="22"/>
          <w:highlight w:val="yellow"/>
        </w:rPr>
        <w:t>」，</w:t>
      </w:r>
      <w:r w:rsidR="00157EF6" w:rsidRPr="00043A1E">
        <w:rPr>
          <w:rFonts w:ascii="標楷體" w:eastAsia="標楷體" w:hAnsi="標楷體"/>
          <w:szCs w:val="22"/>
        </w:rPr>
        <w:t>云何</w:t>
      </w:r>
      <w:r w:rsidR="00157EF6" w:rsidRPr="00043A1E">
        <w:rPr>
          <w:rFonts w:ascii="標楷體" w:eastAsia="標楷體" w:hAnsi="標楷體" w:hint="eastAsia"/>
          <w:szCs w:val="22"/>
        </w:rPr>
        <w:t>？</w:t>
      </w:r>
      <w:r w:rsidR="00157EF6" w:rsidRPr="00043A1E">
        <w:rPr>
          <w:rFonts w:ascii="標楷體" w:eastAsia="標楷體" w:hAnsi="標楷體"/>
          <w:szCs w:val="22"/>
        </w:rPr>
        <w:t>謂九種實名</w:t>
      </w:r>
      <w:r w:rsidRPr="00ED3E7D">
        <w:rPr>
          <w:rFonts w:ascii="標楷體" w:eastAsia="標楷體" w:hAnsi="標楷體" w:hint="eastAsia"/>
          <w:color w:val="FF0000"/>
          <w:szCs w:val="22"/>
          <w:highlight w:val="yellow"/>
        </w:rPr>
        <w:t>「</w:t>
      </w:r>
      <w:r w:rsidR="00157EF6" w:rsidRPr="00043A1E">
        <w:rPr>
          <w:rFonts w:ascii="標楷體" w:eastAsia="標楷體" w:hAnsi="標楷體"/>
          <w:szCs w:val="22"/>
        </w:rPr>
        <w:t>實句義</w:t>
      </w:r>
      <w:r w:rsidRPr="00ED3E7D">
        <w:rPr>
          <w:rFonts w:ascii="標楷體" w:eastAsia="標楷體" w:hAnsi="標楷體" w:hint="eastAsia"/>
          <w:color w:val="FF0000"/>
          <w:szCs w:val="22"/>
          <w:highlight w:val="yellow"/>
        </w:rPr>
        <w:t>」</w:t>
      </w:r>
      <w:r w:rsidR="00157EF6" w:rsidRPr="00043A1E">
        <w:rPr>
          <w:rFonts w:ascii="標楷體" w:eastAsia="標楷體" w:hAnsi="標楷體"/>
          <w:szCs w:val="22"/>
        </w:rPr>
        <w:t>。何者為九</w:t>
      </w:r>
      <w:r w:rsidR="00157EF6" w:rsidRPr="00043A1E">
        <w:rPr>
          <w:rFonts w:ascii="標楷體" w:eastAsia="標楷體" w:hAnsi="標楷體" w:hint="eastAsia"/>
          <w:szCs w:val="22"/>
        </w:rPr>
        <w:t>？</w:t>
      </w:r>
      <w:r w:rsidR="00157EF6" w:rsidRPr="00043A1E">
        <w:rPr>
          <w:rFonts w:ascii="標楷體" w:eastAsia="標楷體" w:hAnsi="標楷體"/>
          <w:szCs w:val="22"/>
        </w:rPr>
        <w:t>一</w:t>
      </w:r>
      <w:r w:rsidR="00157EF6" w:rsidRPr="00043A1E">
        <w:rPr>
          <w:rFonts w:ascii="標楷體" w:eastAsia="標楷體" w:hAnsi="標楷體" w:hint="eastAsia"/>
          <w:szCs w:val="22"/>
        </w:rPr>
        <w:t>、</w:t>
      </w:r>
      <w:r w:rsidR="00157EF6" w:rsidRPr="00043A1E">
        <w:rPr>
          <w:rFonts w:ascii="標楷體" w:eastAsia="標楷體" w:hAnsi="標楷體"/>
          <w:szCs w:val="22"/>
        </w:rPr>
        <w:t>地</w:t>
      </w:r>
      <w:r w:rsidR="00157EF6" w:rsidRPr="00043A1E">
        <w:rPr>
          <w:rFonts w:ascii="標楷體" w:eastAsia="標楷體" w:hAnsi="標楷體" w:hint="eastAsia"/>
          <w:szCs w:val="22"/>
        </w:rPr>
        <w:t>，</w:t>
      </w:r>
      <w:r w:rsidR="00157EF6" w:rsidRPr="00043A1E">
        <w:rPr>
          <w:rFonts w:ascii="標楷體" w:eastAsia="標楷體" w:hAnsi="標楷體"/>
          <w:szCs w:val="22"/>
        </w:rPr>
        <w:t>二</w:t>
      </w:r>
      <w:r w:rsidR="00157EF6" w:rsidRPr="00043A1E">
        <w:rPr>
          <w:rFonts w:ascii="標楷體" w:eastAsia="標楷體" w:hAnsi="標楷體" w:hint="eastAsia"/>
          <w:szCs w:val="22"/>
        </w:rPr>
        <w:t>、</w:t>
      </w:r>
      <w:r w:rsidR="00157EF6" w:rsidRPr="00043A1E">
        <w:rPr>
          <w:rFonts w:ascii="標楷體" w:eastAsia="標楷體" w:hAnsi="標楷體"/>
          <w:szCs w:val="22"/>
        </w:rPr>
        <w:t>水</w:t>
      </w:r>
      <w:r w:rsidR="00157EF6" w:rsidRPr="00043A1E">
        <w:rPr>
          <w:rFonts w:ascii="標楷體" w:eastAsia="標楷體" w:hAnsi="標楷體" w:hint="eastAsia"/>
          <w:szCs w:val="22"/>
        </w:rPr>
        <w:t>，</w:t>
      </w:r>
      <w:r w:rsidR="00157EF6" w:rsidRPr="00043A1E">
        <w:rPr>
          <w:rFonts w:ascii="標楷體" w:eastAsia="標楷體" w:hAnsi="標楷體"/>
          <w:szCs w:val="22"/>
        </w:rPr>
        <w:t>三</w:t>
      </w:r>
      <w:r w:rsidR="00157EF6" w:rsidRPr="00043A1E">
        <w:rPr>
          <w:rFonts w:ascii="標楷體" w:eastAsia="標楷體" w:hAnsi="標楷體" w:hint="eastAsia"/>
          <w:szCs w:val="22"/>
        </w:rPr>
        <w:t>、</w:t>
      </w:r>
      <w:r w:rsidR="00157EF6" w:rsidRPr="00043A1E">
        <w:rPr>
          <w:rFonts w:ascii="標楷體" w:eastAsia="標楷體" w:hAnsi="標楷體"/>
          <w:szCs w:val="22"/>
        </w:rPr>
        <w:t>火</w:t>
      </w:r>
      <w:r w:rsidR="00157EF6" w:rsidRPr="00043A1E">
        <w:rPr>
          <w:rFonts w:ascii="標楷體" w:eastAsia="標楷體" w:hAnsi="標楷體" w:hint="eastAsia"/>
          <w:szCs w:val="22"/>
        </w:rPr>
        <w:t>，</w:t>
      </w:r>
      <w:r w:rsidR="00157EF6" w:rsidRPr="00043A1E">
        <w:rPr>
          <w:rFonts w:ascii="標楷體" w:eastAsia="標楷體" w:hAnsi="標楷體"/>
          <w:szCs w:val="22"/>
        </w:rPr>
        <w:t>四</w:t>
      </w:r>
      <w:r w:rsidR="00157EF6" w:rsidRPr="00043A1E">
        <w:rPr>
          <w:rFonts w:ascii="標楷體" w:eastAsia="標楷體" w:hAnsi="標楷體" w:hint="eastAsia"/>
          <w:szCs w:val="22"/>
        </w:rPr>
        <w:t>、</w:t>
      </w:r>
      <w:r w:rsidR="00157EF6" w:rsidRPr="00043A1E">
        <w:rPr>
          <w:rFonts w:ascii="標楷體" w:eastAsia="標楷體" w:hAnsi="標楷體"/>
          <w:szCs w:val="22"/>
        </w:rPr>
        <w:t>風</w:t>
      </w:r>
      <w:r w:rsidR="00157EF6" w:rsidRPr="00043A1E">
        <w:rPr>
          <w:rFonts w:ascii="標楷體" w:eastAsia="標楷體" w:hAnsi="標楷體" w:hint="eastAsia"/>
          <w:szCs w:val="22"/>
        </w:rPr>
        <w:t>，</w:t>
      </w:r>
      <w:r w:rsidR="00157EF6" w:rsidRPr="00043A1E">
        <w:rPr>
          <w:rFonts w:ascii="標楷體" w:eastAsia="標楷體" w:hAnsi="標楷體"/>
          <w:szCs w:val="22"/>
        </w:rPr>
        <w:t>五</w:t>
      </w:r>
      <w:r w:rsidR="00157EF6" w:rsidRPr="00043A1E">
        <w:rPr>
          <w:rFonts w:ascii="標楷體" w:eastAsia="標楷體" w:hAnsi="標楷體" w:hint="eastAsia"/>
          <w:szCs w:val="22"/>
        </w:rPr>
        <w:t>、</w:t>
      </w:r>
      <w:r w:rsidR="00157EF6" w:rsidRPr="00043A1E">
        <w:rPr>
          <w:rFonts w:ascii="標楷體" w:eastAsia="標楷體" w:hAnsi="標楷體"/>
          <w:szCs w:val="22"/>
        </w:rPr>
        <w:t>空</w:t>
      </w:r>
      <w:r w:rsidR="00157EF6" w:rsidRPr="00043A1E">
        <w:rPr>
          <w:rFonts w:ascii="標楷體" w:eastAsia="標楷體" w:hAnsi="標楷體" w:hint="eastAsia"/>
          <w:szCs w:val="22"/>
        </w:rPr>
        <w:t>，</w:t>
      </w:r>
      <w:r w:rsidR="00157EF6" w:rsidRPr="00043A1E">
        <w:rPr>
          <w:rFonts w:ascii="標楷體" w:eastAsia="標楷體" w:hAnsi="標楷體"/>
          <w:szCs w:val="22"/>
        </w:rPr>
        <w:t>六</w:t>
      </w:r>
      <w:r w:rsidR="00157EF6" w:rsidRPr="00043A1E">
        <w:rPr>
          <w:rFonts w:ascii="標楷體" w:eastAsia="標楷體" w:hAnsi="標楷體" w:hint="eastAsia"/>
          <w:szCs w:val="22"/>
        </w:rPr>
        <w:t>、</w:t>
      </w:r>
      <w:r w:rsidR="00157EF6" w:rsidRPr="00043A1E">
        <w:rPr>
          <w:rFonts w:ascii="標楷體" w:eastAsia="標楷體" w:hAnsi="標楷體"/>
          <w:szCs w:val="22"/>
        </w:rPr>
        <w:t>時</w:t>
      </w:r>
      <w:r w:rsidR="00157EF6" w:rsidRPr="00043A1E">
        <w:rPr>
          <w:rFonts w:ascii="標楷體" w:eastAsia="標楷體" w:hAnsi="標楷體" w:hint="eastAsia"/>
          <w:szCs w:val="22"/>
        </w:rPr>
        <w:t>，</w:t>
      </w:r>
      <w:r w:rsidR="00157EF6" w:rsidRPr="00043A1E">
        <w:rPr>
          <w:rFonts w:ascii="標楷體" w:eastAsia="標楷體" w:hAnsi="標楷體"/>
          <w:szCs w:val="22"/>
        </w:rPr>
        <w:t>七</w:t>
      </w:r>
      <w:r w:rsidR="00157EF6" w:rsidRPr="00043A1E">
        <w:rPr>
          <w:rFonts w:ascii="標楷體" w:eastAsia="標楷體" w:hAnsi="標楷體" w:hint="eastAsia"/>
          <w:szCs w:val="22"/>
        </w:rPr>
        <w:t>、</w:t>
      </w:r>
      <w:r w:rsidR="00157EF6" w:rsidRPr="00043A1E">
        <w:rPr>
          <w:rFonts w:ascii="標楷體" w:eastAsia="標楷體" w:hAnsi="標楷體"/>
          <w:szCs w:val="22"/>
        </w:rPr>
        <w:t>方</w:t>
      </w:r>
      <w:r w:rsidR="00157EF6" w:rsidRPr="00043A1E">
        <w:rPr>
          <w:rFonts w:ascii="標楷體" w:eastAsia="標楷體" w:hAnsi="標楷體" w:hint="eastAsia"/>
          <w:szCs w:val="22"/>
        </w:rPr>
        <w:t>，</w:t>
      </w:r>
      <w:r w:rsidR="00157EF6" w:rsidRPr="00043A1E">
        <w:rPr>
          <w:rFonts w:ascii="標楷體" w:eastAsia="標楷體" w:hAnsi="標楷體"/>
          <w:szCs w:val="22"/>
        </w:rPr>
        <w:t>八</w:t>
      </w:r>
      <w:r w:rsidR="00157EF6" w:rsidRPr="00043A1E">
        <w:rPr>
          <w:rFonts w:ascii="標楷體" w:eastAsia="標楷體" w:hAnsi="標楷體" w:hint="eastAsia"/>
          <w:szCs w:val="22"/>
        </w:rPr>
        <w:t>、</w:t>
      </w:r>
      <w:r w:rsidR="00157EF6" w:rsidRPr="00043A1E">
        <w:rPr>
          <w:rFonts w:ascii="標楷體" w:eastAsia="標楷體" w:hAnsi="標楷體"/>
          <w:szCs w:val="22"/>
        </w:rPr>
        <w:t>我</w:t>
      </w:r>
      <w:r w:rsidR="00157EF6" w:rsidRPr="00043A1E">
        <w:rPr>
          <w:rFonts w:ascii="標楷體" w:eastAsia="標楷體" w:hAnsi="標楷體" w:hint="eastAsia"/>
          <w:szCs w:val="22"/>
        </w:rPr>
        <w:t>，</w:t>
      </w:r>
      <w:r w:rsidR="00157EF6" w:rsidRPr="00043A1E">
        <w:rPr>
          <w:rFonts w:ascii="標楷體" w:eastAsia="標楷體" w:hAnsi="標楷體"/>
          <w:szCs w:val="22"/>
        </w:rPr>
        <w:t>九</w:t>
      </w:r>
      <w:r w:rsidR="00157EF6" w:rsidRPr="00043A1E">
        <w:rPr>
          <w:rFonts w:ascii="標楷體" w:eastAsia="標楷體" w:hAnsi="標楷體" w:hint="eastAsia"/>
          <w:szCs w:val="22"/>
        </w:rPr>
        <w:t>、</w:t>
      </w:r>
      <w:r w:rsidR="00157EF6" w:rsidRPr="00043A1E">
        <w:rPr>
          <w:rFonts w:ascii="標楷體" w:eastAsia="標楷體" w:hAnsi="標楷體"/>
          <w:szCs w:val="22"/>
        </w:rPr>
        <w:t>意</w:t>
      </w:r>
      <w:r w:rsidR="00157EF6" w:rsidRPr="00043A1E">
        <w:rPr>
          <w:rFonts w:ascii="標楷體" w:eastAsia="標楷體" w:hAnsi="標楷體" w:hint="eastAsia"/>
          <w:szCs w:val="22"/>
        </w:rPr>
        <w:t>，</w:t>
      </w:r>
      <w:r w:rsidR="00157EF6" w:rsidRPr="00043A1E">
        <w:rPr>
          <w:rFonts w:ascii="標楷體" w:eastAsia="標楷體" w:hAnsi="標楷體"/>
          <w:szCs w:val="22"/>
        </w:rPr>
        <w:t>是為九實。</w:t>
      </w:r>
    </w:p>
  </w:footnote>
  <w:footnote w:id="547">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《阿毘達磨大毘婆沙論》卷</w:t>
      </w:r>
      <w:r w:rsidRPr="00761EF3">
        <w:rPr>
          <w:szCs w:val="22"/>
        </w:rPr>
        <w:t>135</w:t>
      </w:r>
      <w:r w:rsidRPr="00043A1E">
        <w:rPr>
          <w:rFonts w:hint="eastAsia"/>
          <w:szCs w:val="22"/>
        </w:rPr>
        <w:t>（大正</w:t>
      </w:r>
      <w:r w:rsidRPr="00761EF3">
        <w:rPr>
          <w:szCs w:val="22"/>
        </w:rPr>
        <w:t>27</w:t>
      </w:r>
      <w:r w:rsidRPr="00043A1E">
        <w:rPr>
          <w:rFonts w:hint="eastAsia"/>
          <w:szCs w:val="22"/>
        </w:rPr>
        <w:t>，</w:t>
      </w:r>
      <w:r w:rsidRPr="00761EF3">
        <w:rPr>
          <w:szCs w:val="22"/>
        </w:rPr>
        <w:t>700a26</w:t>
      </w:r>
      <w:r w:rsidRPr="00043A1E">
        <w:rPr>
          <w:szCs w:val="22"/>
        </w:rPr>
        <w:t>-</w:t>
      </w:r>
      <w:r w:rsidRPr="00761EF3">
        <w:rPr>
          <w:szCs w:val="22"/>
        </w:rPr>
        <w:t>29</w:t>
      </w:r>
      <w:r w:rsidRPr="00043A1E">
        <w:rPr>
          <w:rFonts w:hint="eastAsia"/>
          <w:szCs w:val="22"/>
        </w:rPr>
        <w:t>）</w:t>
      </w:r>
      <w:r w:rsidRPr="00043A1E">
        <w:rPr>
          <w:szCs w:val="22"/>
        </w:rPr>
        <w:t>：</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szCs w:val="22"/>
        </w:rPr>
        <w:t>譬喻者</w:t>
      </w:r>
      <w:r w:rsidRPr="00043A1E">
        <w:rPr>
          <w:rFonts w:ascii="標楷體" w:eastAsia="標楷體" w:hAnsi="標楷體" w:hint="eastAsia"/>
          <w:szCs w:val="22"/>
        </w:rPr>
        <w:t>、</w:t>
      </w:r>
      <w:r w:rsidRPr="00043A1E">
        <w:rPr>
          <w:rFonts w:ascii="標楷體" w:eastAsia="標楷體" w:hAnsi="標楷體"/>
          <w:szCs w:val="22"/>
        </w:rPr>
        <w:t>分別論師執</w:t>
      </w:r>
      <w:r w:rsidR="00ED3E7D">
        <w:rPr>
          <w:rFonts w:ascii="標楷體" w:eastAsia="標楷體" w:hAnsi="標楷體" w:hint="eastAsia"/>
          <w:szCs w:val="22"/>
        </w:rPr>
        <w:t>：</w:t>
      </w:r>
      <w:r w:rsidR="00ED3E7D">
        <w:rPr>
          <w:rFonts w:ascii="標楷體" w:eastAsia="標楷體" w:hAnsi="標楷體" w:hint="eastAsia"/>
          <w:color w:val="FF0000"/>
          <w:szCs w:val="22"/>
          <w:highlight w:val="yellow"/>
        </w:rPr>
        <w:t>「</w:t>
      </w:r>
      <w:r w:rsidRPr="00043A1E">
        <w:rPr>
          <w:rFonts w:ascii="標楷體" w:eastAsia="標楷體" w:hAnsi="標楷體"/>
          <w:szCs w:val="22"/>
        </w:rPr>
        <w:t>世</w:t>
      </w:r>
      <w:r w:rsidR="00ED3E7D">
        <w:rPr>
          <w:rFonts w:ascii="標楷體" w:eastAsia="標楷體" w:hAnsi="標楷體" w:hint="eastAsia"/>
          <w:color w:val="FF0000"/>
          <w:szCs w:val="22"/>
          <w:highlight w:val="yellow"/>
        </w:rPr>
        <w:t>」</w:t>
      </w:r>
      <w:r w:rsidRPr="00043A1E">
        <w:rPr>
          <w:rFonts w:ascii="標楷體" w:eastAsia="標楷體" w:hAnsi="標楷體"/>
          <w:szCs w:val="22"/>
        </w:rPr>
        <w:t>與</w:t>
      </w:r>
      <w:r w:rsidR="00ED3E7D">
        <w:rPr>
          <w:rFonts w:ascii="標楷體" w:eastAsia="標楷體" w:hAnsi="標楷體" w:hint="eastAsia"/>
          <w:color w:val="FF0000"/>
          <w:szCs w:val="22"/>
          <w:highlight w:val="yellow"/>
        </w:rPr>
        <w:t>「</w:t>
      </w:r>
      <w:r w:rsidRPr="00043A1E">
        <w:rPr>
          <w:rFonts w:ascii="標楷體" w:eastAsia="標楷體" w:hAnsi="標楷體"/>
          <w:szCs w:val="22"/>
        </w:rPr>
        <w:t>行</w:t>
      </w:r>
      <w:r w:rsidR="00ED3E7D">
        <w:rPr>
          <w:rFonts w:ascii="標楷體" w:eastAsia="標楷體" w:hAnsi="標楷體" w:hint="eastAsia"/>
          <w:color w:val="FF0000"/>
          <w:szCs w:val="22"/>
          <w:highlight w:val="yellow"/>
        </w:rPr>
        <w:t>」</w:t>
      </w:r>
      <w:r w:rsidRPr="00043A1E">
        <w:rPr>
          <w:rFonts w:ascii="標楷體" w:eastAsia="標楷體" w:hAnsi="標楷體"/>
          <w:szCs w:val="22"/>
        </w:rPr>
        <w:t>其體各別</w:t>
      </w:r>
      <w:r w:rsidRPr="00043A1E">
        <w:rPr>
          <w:rFonts w:ascii="標楷體" w:eastAsia="標楷體" w:hAnsi="標楷體" w:hint="eastAsia"/>
          <w:szCs w:val="22"/>
        </w:rPr>
        <w:t>，</w:t>
      </w:r>
      <w:r w:rsidR="00ED3E7D">
        <w:rPr>
          <w:rFonts w:ascii="標楷體" w:eastAsia="標楷體" w:hAnsi="標楷體" w:hint="eastAsia"/>
          <w:color w:val="FF0000"/>
          <w:szCs w:val="22"/>
          <w:highlight w:val="yellow"/>
        </w:rPr>
        <w:t>「</w:t>
      </w:r>
      <w:r w:rsidRPr="00043A1E">
        <w:rPr>
          <w:rFonts w:ascii="標楷體" w:eastAsia="標楷體" w:hAnsi="標楷體"/>
          <w:szCs w:val="22"/>
        </w:rPr>
        <w:t>行</w:t>
      </w:r>
      <w:r w:rsidR="00ED3E7D">
        <w:rPr>
          <w:rFonts w:ascii="標楷體" w:eastAsia="標楷體" w:hAnsi="標楷體" w:hint="eastAsia"/>
          <w:color w:val="FF0000"/>
          <w:szCs w:val="22"/>
          <w:highlight w:val="yellow"/>
        </w:rPr>
        <w:t>」</w:t>
      </w:r>
      <w:r w:rsidRPr="00043A1E">
        <w:rPr>
          <w:rFonts w:ascii="標楷體" w:eastAsia="標楷體" w:hAnsi="標楷體"/>
          <w:szCs w:val="22"/>
        </w:rPr>
        <w:t>體無常</w:t>
      </w:r>
      <w:r w:rsidRPr="00043A1E">
        <w:rPr>
          <w:rFonts w:ascii="標楷體" w:eastAsia="標楷體" w:hAnsi="標楷體" w:hint="eastAsia"/>
          <w:szCs w:val="22"/>
        </w:rPr>
        <w:t>，</w:t>
      </w:r>
      <w:r w:rsidR="00ED3E7D">
        <w:rPr>
          <w:rFonts w:ascii="標楷體" w:eastAsia="標楷體" w:hAnsi="標楷體" w:hint="eastAsia"/>
          <w:color w:val="FF0000"/>
          <w:szCs w:val="22"/>
          <w:highlight w:val="yellow"/>
        </w:rPr>
        <w:t>「</w:t>
      </w:r>
      <w:r w:rsidRPr="00043A1E">
        <w:rPr>
          <w:rFonts w:ascii="標楷體" w:eastAsia="標楷體" w:hAnsi="標楷體"/>
          <w:szCs w:val="22"/>
        </w:rPr>
        <w:t>世</w:t>
      </w:r>
      <w:r w:rsidR="00ED3E7D">
        <w:rPr>
          <w:rFonts w:ascii="標楷體" w:eastAsia="標楷體" w:hAnsi="標楷體" w:hint="eastAsia"/>
          <w:color w:val="FF0000"/>
          <w:szCs w:val="22"/>
          <w:highlight w:val="yellow"/>
        </w:rPr>
        <w:t>」</w:t>
      </w:r>
      <w:r w:rsidRPr="00043A1E">
        <w:rPr>
          <w:rFonts w:ascii="標楷體" w:eastAsia="標楷體" w:hAnsi="標楷體"/>
          <w:szCs w:val="22"/>
        </w:rPr>
        <w:t>體是常</w:t>
      </w:r>
      <w:r w:rsidRPr="00043A1E">
        <w:rPr>
          <w:rFonts w:ascii="標楷體" w:eastAsia="標楷體" w:hAnsi="標楷體" w:hint="eastAsia"/>
          <w:szCs w:val="22"/>
        </w:rPr>
        <w:t>；</w:t>
      </w:r>
      <w:r w:rsidR="00ED3E7D">
        <w:rPr>
          <w:rFonts w:ascii="標楷體" w:eastAsia="標楷體" w:hAnsi="標楷體" w:hint="eastAsia"/>
          <w:color w:val="FF0000"/>
          <w:szCs w:val="22"/>
          <w:highlight w:val="yellow"/>
        </w:rPr>
        <w:t>「</w:t>
      </w:r>
      <w:r w:rsidRPr="00043A1E">
        <w:rPr>
          <w:rFonts w:ascii="標楷體" w:eastAsia="標楷體" w:hAnsi="標楷體"/>
          <w:szCs w:val="22"/>
        </w:rPr>
        <w:t>諸無常</w:t>
      </w:r>
      <w:r w:rsidR="00ED3E7D" w:rsidRPr="00ED3E7D">
        <w:rPr>
          <w:rFonts w:ascii="標楷體" w:eastAsia="標楷體" w:hAnsi="標楷體" w:hint="eastAsia"/>
          <w:color w:val="FF0000"/>
          <w:szCs w:val="22"/>
          <w:highlight w:val="yellow"/>
        </w:rPr>
        <w:t>『</w:t>
      </w:r>
      <w:r w:rsidRPr="00043A1E">
        <w:rPr>
          <w:rFonts w:ascii="標楷體" w:eastAsia="標楷體" w:hAnsi="標楷體"/>
          <w:szCs w:val="22"/>
        </w:rPr>
        <w:t>行</w:t>
      </w:r>
      <w:r w:rsidR="000C6752">
        <w:rPr>
          <w:rFonts w:ascii="標楷體" w:eastAsia="標楷體" w:hAnsi="標楷體" w:hint="eastAsia"/>
          <w:color w:val="FF0000"/>
          <w:kern w:val="0"/>
          <w:highlight w:val="yellow"/>
        </w:rPr>
        <w:t>』</w:t>
      </w:r>
      <w:r w:rsidRPr="00043A1E">
        <w:rPr>
          <w:rFonts w:ascii="標楷體" w:eastAsia="標楷體" w:hAnsi="標楷體" w:hint="eastAsia"/>
          <w:szCs w:val="22"/>
        </w:rPr>
        <w:t>」</w:t>
      </w:r>
      <w:r w:rsidRPr="00043A1E">
        <w:rPr>
          <w:rFonts w:ascii="標楷體" w:eastAsia="標楷體" w:hAnsi="標楷體"/>
          <w:szCs w:val="22"/>
        </w:rPr>
        <w:t>行</w:t>
      </w:r>
      <w:r w:rsidRPr="00043A1E">
        <w:rPr>
          <w:rFonts w:ascii="標楷體" w:eastAsia="標楷體" w:hAnsi="標楷體" w:hint="eastAsia"/>
          <w:szCs w:val="22"/>
        </w:rPr>
        <w:t>「</w:t>
      </w:r>
      <w:r w:rsidRPr="00043A1E">
        <w:rPr>
          <w:rFonts w:ascii="標楷體" w:eastAsia="標楷體" w:hAnsi="標楷體"/>
          <w:szCs w:val="22"/>
        </w:rPr>
        <w:t>常</w:t>
      </w:r>
      <w:r w:rsidR="00ED3E7D">
        <w:rPr>
          <w:rFonts w:ascii="標楷體" w:eastAsia="標楷體" w:hAnsi="標楷體" w:hint="eastAsia"/>
          <w:color w:val="FF0000"/>
          <w:szCs w:val="22"/>
          <w:highlight w:val="yellow"/>
        </w:rPr>
        <w:t>『</w:t>
      </w:r>
      <w:r w:rsidRPr="00043A1E">
        <w:rPr>
          <w:rFonts w:ascii="標楷體" w:eastAsia="標楷體" w:hAnsi="標楷體"/>
          <w:szCs w:val="22"/>
        </w:rPr>
        <w:t>世</w:t>
      </w:r>
      <w:r w:rsidR="00ED3E7D">
        <w:rPr>
          <w:rFonts w:ascii="標楷體" w:eastAsia="標楷體" w:hAnsi="標楷體" w:hint="eastAsia"/>
          <w:color w:val="FF0000"/>
          <w:szCs w:val="22"/>
          <w:highlight w:val="yellow"/>
        </w:rPr>
        <w:t>』</w:t>
      </w:r>
      <w:r w:rsidRPr="00043A1E">
        <w:rPr>
          <w:rFonts w:ascii="標楷體" w:eastAsia="標楷體" w:hAnsi="標楷體" w:hint="eastAsia"/>
          <w:szCs w:val="22"/>
        </w:rPr>
        <w:t>」</w:t>
      </w:r>
      <w:r w:rsidRPr="00043A1E">
        <w:rPr>
          <w:rFonts w:ascii="標楷體" w:eastAsia="標楷體" w:hAnsi="標楷體"/>
          <w:szCs w:val="22"/>
        </w:rPr>
        <w:t>時</w:t>
      </w:r>
      <w:r w:rsidRPr="00043A1E">
        <w:rPr>
          <w:rFonts w:ascii="標楷體" w:eastAsia="標楷體" w:hAnsi="標楷體" w:hint="eastAsia"/>
          <w:szCs w:val="22"/>
        </w:rPr>
        <w:t>，</w:t>
      </w:r>
      <w:r w:rsidRPr="00043A1E">
        <w:rPr>
          <w:rFonts w:ascii="標楷體" w:eastAsia="標楷體" w:hAnsi="標楷體"/>
          <w:szCs w:val="22"/>
        </w:rPr>
        <w:t>如諸器中果等轉易</w:t>
      </w:r>
      <w:r w:rsidR="00ED3E7D" w:rsidRPr="00ED3E7D">
        <w:rPr>
          <w:rFonts w:ascii="標楷體" w:eastAsia="標楷體" w:hAnsi="標楷體" w:hint="eastAsia"/>
          <w:color w:val="FF0000"/>
          <w:szCs w:val="22"/>
          <w:highlight w:val="yellow"/>
        </w:rPr>
        <w:t>，</w:t>
      </w:r>
      <w:r w:rsidRPr="00043A1E">
        <w:rPr>
          <w:rFonts w:ascii="標楷體" w:eastAsia="標楷體" w:hAnsi="標楷體"/>
          <w:szCs w:val="22"/>
        </w:rPr>
        <w:t>又如人等歷入諸舍。</w:t>
      </w:r>
    </w:p>
  </w:footnote>
  <w:footnote w:id="548">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szCs w:val="22"/>
        </w:rPr>
        <w:t>《阿毘達磨大毘婆沙論》卷</w:t>
      </w:r>
      <w:r w:rsidRPr="00761EF3">
        <w:rPr>
          <w:szCs w:val="22"/>
        </w:rPr>
        <w:t>76</w:t>
      </w:r>
      <w:r w:rsidRPr="00FA5018">
        <w:rPr>
          <w:rFonts w:hint="eastAsia"/>
          <w:szCs w:val="22"/>
        </w:rPr>
        <w:t>（大正</w:t>
      </w:r>
      <w:r w:rsidRPr="00FA5018">
        <w:rPr>
          <w:rFonts w:hint="eastAsia"/>
          <w:szCs w:val="22"/>
        </w:rPr>
        <w:t>27</w:t>
      </w:r>
      <w:r w:rsidRPr="00FA5018">
        <w:rPr>
          <w:rFonts w:hint="eastAsia"/>
          <w:szCs w:val="22"/>
        </w:rPr>
        <w:t>，</w:t>
      </w:r>
      <w:r w:rsidRPr="00FA5018">
        <w:rPr>
          <w:rFonts w:hint="eastAsia"/>
          <w:szCs w:val="22"/>
        </w:rPr>
        <w:t>393a10-15</w:t>
      </w:r>
      <w:r w:rsidRPr="00FA5018">
        <w:rPr>
          <w:rFonts w:hint="eastAsia"/>
          <w:szCs w:val="22"/>
        </w:rPr>
        <w:t>）</w:t>
      </w:r>
      <w:r w:rsidRPr="00043A1E">
        <w:rPr>
          <w:szCs w:val="22"/>
        </w:rPr>
        <w:t>：</w:t>
      </w:r>
    </w:p>
    <w:p w:rsidR="00157EF6" w:rsidRPr="00043A1E" w:rsidRDefault="00157EF6" w:rsidP="00ED3E7D">
      <w:pPr>
        <w:pStyle w:val="a5"/>
        <w:ind w:leftChars="335" w:left="804"/>
        <w:rPr>
          <w:szCs w:val="22"/>
        </w:rPr>
      </w:pPr>
      <w:r w:rsidRPr="00043A1E">
        <w:rPr>
          <w:rFonts w:ascii="標楷體" w:eastAsia="標楷體" w:hAnsi="標楷體"/>
          <w:szCs w:val="22"/>
        </w:rPr>
        <w:t>或有執</w:t>
      </w:r>
      <w:r w:rsidRPr="00043A1E">
        <w:rPr>
          <w:rFonts w:ascii="標楷體" w:eastAsia="標楷體" w:hAnsi="標楷體" w:hint="eastAsia"/>
          <w:szCs w:val="22"/>
        </w:rPr>
        <w:t>「</w:t>
      </w:r>
      <w:r w:rsidR="00ED3E7D">
        <w:rPr>
          <w:rFonts w:ascii="標楷體" w:eastAsia="標楷體" w:hAnsi="標楷體" w:hint="eastAsia"/>
          <w:color w:val="FF0000"/>
          <w:szCs w:val="22"/>
          <w:highlight w:val="yellow"/>
        </w:rPr>
        <w:t>『</w:t>
      </w:r>
      <w:r w:rsidRPr="00043A1E">
        <w:rPr>
          <w:rFonts w:ascii="標楷體" w:eastAsia="標楷體" w:hAnsi="標楷體"/>
          <w:szCs w:val="22"/>
        </w:rPr>
        <w:t>世</w:t>
      </w:r>
      <w:r w:rsidR="00ED3E7D">
        <w:rPr>
          <w:rFonts w:ascii="標楷體" w:eastAsia="標楷體" w:hAnsi="標楷體" w:hint="eastAsia"/>
          <w:color w:val="FF0000"/>
          <w:szCs w:val="22"/>
          <w:highlight w:val="yellow"/>
        </w:rPr>
        <w:t>』</w:t>
      </w:r>
      <w:r w:rsidRPr="00043A1E">
        <w:rPr>
          <w:rFonts w:ascii="標楷體" w:eastAsia="標楷體" w:hAnsi="標楷體"/>
          <w:szCs w:val="22"/>
        </w:rPr>
        <w:t>與</w:t>
      </w:r>
      <w:r w:rsidR="00ED3E7D">
        <w:rPr>
          <w:rFonts w:ascii="標楷體" w:eastAsia="標楷體" w:hAnsi="標楷體" w:hint="eastAsia"/>
          <w:color w:val="FF0000"/>
          <w:szCs w:val="22"/>
          <w:highlight w:val="yellow"/>
        </w:rPr>
        <w:t>『</w:t>
      </w:r>
      <w:r w:rsidRPr="00043A1E">
        <w:rPr>
          <w:rFonts w:ascii="標楷體" w:eastAsia="標楷體" w:hAnsi="標楷體"/>
          <w:szCs w:val="22"/>
        </w:rPr>
        <w:t>行</w:t>
      </w:r>
      <w:r w:rsidR="00ED3E7D">
        <w:rPr>
          <w:rFonts w:ascii="標楷體" w:eastAsia="標楷體" w:hAnsi="標楷體" w:hint="eastAsia"/>
          <w:color w:val="FF0000"/>
          <w:szCs w:val="22"/>
          <w:highlight w:val="yellow"/>
        </w:rPr>
        <w:t>』</w:t>
      </w:r>
      <w:r w:rsidRPr="00043A1E">
        <w:rPr>
          <w:rFonts w:ascii="標楷體" w:eastAsia="標楷體" w:hAnsi="標楷體"/>
          <w:szCs w:val="22"/>
        </w:rPr>
        <w:t>異</w:t>
      </w:r>
      <w:r w:rsidRPr="00043A1E">
        <w:rPr>
          <w:rFonts w:ascii="標楷體" w:eastAsia="標楷體" w:hAnsi="標楷體" w:hint="eastAsia"/>
          <w:szCs w:val="22"/>
        </w:rPr>
        <w:t>」，</w:t>
      </w:r>
      <w:r w:rsidRPr="00043A1E">
        <w:rPr>
          <w:rFonts w:ascii="標楷體" w:eastAsia="標楷體" w:hAnsi="標楷體"/>
          <w:szCs w:val="22"/>
        </w:rPr>
        <w:t>如譬喻者</w:t>
      </w:r>
      <w:r w:rsidRPr="00043A1E">
        <w:rPr>
          <w:rFonts w:ascii="標楷體" w:eastAsia="標楷體" w:hAnsi="標楷體" w:hint="eastAsia"/>
          <w:szCs w:val="22"/>
        </w:rPr>
        <w:t>、</w:t>
      </w:r>
      <w:r w:rsidRPr="00043A1E">
        <w:rPr>
          <w:rFonts w:ascii="標楷體" w:eastAsia="標楷體" w:hAnsi="標楷體"/>
          <w:szCs w:val="22"/>
        </w:rPr>
        <w:t>分別論師。彼作是說</w:t>
      </w:r>
      <w:r w:rsidRPr="00043A1E">
        <w:rPr>
          <w:rFonts w:ascii="標楷體" w:eastAsia="標楷體" w:hAnsi="標楷體" w:hint="eastAsia"/>
          <w:szCs w:val="22"/>
        </w:rPr>
        <w:t>：「</w:t>
      </w:r>
      <w:r w:rsidRPr="00043A1E">
        <w:rPr>
          <w:rFonts w:ascii="標楷體" w:eastAsia="標楷體" w:hAnsi="標楷體"/>
          <w:szCs w:val="22"/>
        </w:rPr>
        <w:t>世</w:t>
      </w:r>
      <w:r w:rsidR="00ED3E7D">
        <w:rPr>
          <w:rFonts w:ascii="標楷體" w:eastAsia="標楷體" w:hAnsi="標楷體" w:hint="eastAsia"/>
          <w:color w:val="FF0000"/>
          <w:szCs w:val="22"/>
          <w:highlight w:val="yellow"/>
        </w:rPr>
        <w:t>」</w:t>
      </w:r>
      <w:r w:rsidRPr="00043A1E">
        <w:rPr>
          <w:rFonts w:ascii="標楷體" w:eastAsia="標楷體" w:hAnsi="標楷體"/>
          <w:szCs w:val="22"/>
        </w:rPr>
        <w:t>體是常</w:t>
      </w:r>
      <w:r w:rsidRPr="00043A1E">
        <w:rPr>
          <w:rFonts w:ascii="標楷體" w:eastAsia="標楷體" w:hAnsi="標楷體" w:hint="eastAsia"/>
          <w:szCs w:val="22"/>
        </w:rPr>
        <w:t>，</w:t>
      </w:r>
      <w:r w:rsidR="00ED3E7D">
        <w:rPr>
          <w:rFonts w:ascii="標楷體" w:eastAsia="標楷體" w:hAnsi="標楷體" w:hint="eastAsia"/>
          <w:color w:val="FF0000"/>
          <w:szCs w:val="22"/>
          <w:highlight w:val="yellow"/>
        </w:rPr>
        <w:t>「</w:t>
      </w:r>
      <w:r w:rsidRPr="00043A1E">
        <w:rPr>
          <w:rFonts w:ascii="標楷體" w:eastAsia="標楷體" w:hAnsi="標楷體"/>
          <w:szCs w:val="22"/>
        </w:rPr>
        <w:t>行</w:t>
      </w:r>
      <w:r w:rsidR="00ED3E7D">
        <w:rPr>
          <w:rFonts w:ascii="標楷體" w:eastAsia="標楷體" w:hAnsi="標楷體" w:hint="eastAsia"/>
          <w:color w:val="FF0000"/>
          <w:szCs w:val="22"/>
          <w:highlight w:val="yellow"/>
        </w:rPr>
        <w:t>」</w:t>
      </w:r>
      <w:r w:rsidRPr="00043A1E">
        <w:rPr>
          <w:rFonts w:ascii="標楷體" w:eastAsia="標楷體" w:hAnsi="標楷體"/>
          <w:szCs w:val="22"/>
        </w:rPr>
        <w:t>體無常</w:t>
      </w:r>
      <w:r w:rsidRPr="00043A1E">
        <w:rPr>
          <w:rFonts w:ascii="標楷體" w:eastAsia="標楷體" w:hAnsi="標楷體" w:hint="eastAsia"/>
          <w:szCs w:val="22"/>
        </w:rPr>
        <w:t>。</w:t>
      </w:r>
      <w:r w:rsidR="00ED3E7D">
        <w:rPr>
          <w:rFonts w:ascii="標楷體" w:eastAsia="標楷體" w:hAnsi="標楷體" w:hint="eastAsia"/>
          <w:color w:val="FF0000"/>
          <w:szCs w:val="22"/>
          <w:highlight w:val="yellow"/>
        </w:rPr>
        <w:t>「</w:t>
      </w:r>
      <w:r w:rsidRPr="00043A1E">
        <w:rPr>
          <w:rFonts w:ascii="標楷體" w:eastAsia="標楷體" w:hAnsi="標楷體"/>
          <w:szCs w:val="22"/>
        </w:rPr>
        <w:t>行</w:t>
      </w:r>
      <w:r w:rsidR="00ED3E7D">
        <w:rPr>
          <w:rFonts w:ascii="標楷體" w:eastAsia="標楷體" w:hAnsi="標楷體" w:hint="eastAsia"/>
          <w:color w:val="FF0000"/>
          <w:szCs w:val="22"/>
          <w:highlight w:val="yellow"/>
        </w:rPr>
        <w:t>」</w:t>
      </w:r>
      <w:r w:rsidRPr="00043A1E">
        <w:rPr>
          <w:rFonts w:ascii="標楷體" w:eastAsia="標楷體" w:hAnsi="標楷體"/>
          <w:szCs w:val="22"/>
        </w:rPr>
        <w:t>行</w:t>
      </w:r>
      <w:r w:rsidR="000C6752">
        <w:rPr>
          <w:rFonts w:ascii="標楷體" w:eastAsia="標楷體" w:hAnsi="標楷體" w:hint="eastAsia"/>
          <w:bCs/>
          <w:color w:val="FF0000"/>
          <w:kern w:val="0"/>
          <w:highlight w:val="yellow"/>
        </w:rPr>
        <w:t>「</w:t>
      </w:r>
      <w:r w:rsidRPr="00043A1E">
        <w:rPr>
          <w:rFonts w:ascii="標楷體" w:eastAsia="標楷體" w:hAnsi="標楷體"/>
          <w:szCs w:val="22"/>
        </w:rPr>
        <w:t>世</w:t>
      </w:r>
      <w:r w:rsidR="000C6752">
        <w:rPr>
          <w:rFonts w:ascii="標楷體" w:eastAsia="標楷體" w:hAnsi="標楷體" w:hint="eastAsia"/>
          <w:bCs/>
          <w:color w:val="FF0000"/>
          <w:kern w:val="0"/>
          <w:highlight w:val="yellow"/>
        </w:rPr>
        <w:t>」</w:t>
      </w:r>
      <w:r w:rsidRPr="00043A1E">
        <w:rPr>
          <w:rFonts w:ascii="標楷體" w:eastAsia="標楷體" w:hAnsi="標楷體"/>
          <w:szCs w:val="22"/>
        </w:rPr>
        <w:t>時</w:t>
      </w:r>
      <w:r w:rsidRPr="00043A1E">
        <w:rPr>
          <w:rFonts w:ascii="標楷體" w:eastAsia="標楷體" w:hAnsi="標楷體" w:hint="eastAsia"/>
          <w:szCs w:val="22"/>
        </w:rPr>
        <w:t>，</w:t>
      </w:r>
      <w:r w:rsidRPr="00043A1E">
        <w:rPr>
          <w:rFonts w:ascii="標楷體" w:eastAsia="標楷體" w:hAnsi="標楷體"/>
          <w:szCs w:val="22"/>
        </w:rPr>
        <w:t>如器中果</w:t>
      </w:r>
      <w:r w:rsidRPr="00043A1E">
        <w:rPr>
          <w:rFonts w:ascii="標楷體" w:eastAsia="標楷體" w:hAnsi="標楷體" w:hint="eastAsia"/>
          <w:szCs w:val="22"/>
        </w:rPr>
        <w:t>，</w:t>
      </w:r>
      <w:r w:rsidRPr="00043A1E">
        <w:rPr>
          <w:rFonts w:ascii="標楷體" w:eastAsia="標楷體" w:hAnsi="標楷體"/>
          <w:szCs w:val="22"/>
        </w:rPr>
        <w:t>從此器出</w:t>
      </w:r>
      <w:r w:rsidRPr="00043A1E">
        <w:rPr>
          <w:rFonts w:ascii="標楷體" w:eastAsia="標楷體" w:hAnsi="標楷體" w:hint="eastAsia"/>
          <w:szCs w:val="22"/>
        </w:rPr>
        <w:t>，</w:t>
      </w:r>
      <w:r w:rsidRPr="00043A1E">
        <w:rPr>
          <w:rFonts w:ascii="標楷體" w:eastAsia="標楷體" w:hAnsi="標楷體"/>
          <w:szCs w:val="22"/>
        </w:rPr>
        <w:t>轉入彼器</w:t>
      </w:r>
      <w:r w:rsidRPr="00043A1E">
        <w:rPr>
          <w:rFonts w:ascii="標楷體" w:eastAsia="標楷體" w:hAnsi="標楷體" w:hint="eastAsia"/>
          <w:szCs w:val="22"/>
        </w:rPr>
        <w:t>；</w:t>
      </w:r>
      <w:r w:rsidRPr="00043A1E">
        <w:rPr>
          <w:rFonts w:ascii="標楷體" w:eastAsia="標楷體" w:hAnsi="標楷體"/>
          <w:szCs w:val="22"/>
        </w:rPr>
        <w:t>亦如多人</w:t>
      </w:r>
      <w:r w:rsidRPr="00043A1E">
        <w:rPr>
          <w:rFonts w:ascii="標楷體" w:eastAsia="標楷體" w:hAnsi="標楷體" w:hint="eastAsia"/>
          <w:szCs w:val="22"/>
        </w:rPr>
        <w:t>，</w:t>
      </w:r>
      <w:r w:rsidRPr="00043A1E">
        <w:rPr>
          <w:rFonts w:ascii="標楷體" w:eastAsia="標楷體" w:hAnsi="標楷體"/>
          <w:szCs w:val="22"/>
        </w:rPr>
        <w:t>從此舍出</w:t>
      </w:r>
      <w:r w:rsidRPr="00043A1E">
        <w:rPr>
          <w:rFonts w:ascii="標楷體" w:eastAsia="標楷體" w:hAnsi="標楷體" w:hint="eastAsia"/>
          <w:szCs w:val="22"/>
        </w:rPr>
        <w:t>，</w:t>
      </w:r>
      <w:r w:rsidRPr="00043A1E">
        <w:rPr>
          <w:rFonts w:ascii="標楷體" w:eastAsia="標楷體" w:hAnsi="標楷體"/>
          <w:szCs w:val="22"/>
        </w:rPr>
        <w:t>轉入彼舍。</w:t>
      </w:r>
      <w:r w:rsidR="00ED3E7D">
        <w:rPr>
          <w:rFonts w:ascii="標楷體" w:eastAsia="標楷體" w:hAnsi="標楷體" w:hint="eastAsia"/>
          <w:color w:val="FF0000"/>
          <w:szCs w:val="22"/>
          <w:highlight w:val="yellow"/>
        </w:rPr>
        <w:t>「</w:t>
      </w:r>
      <w:r w:rsidRPr="00043A1E">
        <w:rPr>
          <w:rFonts w:ascii="標楷體" w:eastAsia="標楷體" w:hAnsi="標楷體"/>
          <w:szCs w:val="22"/>
        </w:rPr>
        <w:t>諸</w:t>
      </w:r>
      <w:r w:rsidR="00ED3E7D">
        <w:rPr>
          <w:rFonts w:ascii="標楷體" w:eastAsia="標楷體" w:hAnsi="標楷體" w:hint="eastAsia"/>
          <w:color w:val="FF0000"/>
          <w:szCs w:val="22"/>
          <w:highlight w:val="yellow"/>
        </w:rPr>
        <w:t>『</w:t>
      </w:r>
      <w:r w:rsidRPr="00043A1E">
        <w:rPr>
          <w:rFonts w:ascii="標楷體" w:eastAsia="標楷體" w:hAnsi="標楷體"/>
          <w:szCs w:val="22"/>
        </w:rPr>
        <w:t>行</w:t>
      </w:r>
      <w:r w:rsidR="00ED3E7D">
        <w:rPr>
          <w:rFonts w:ascii="標楷體" w:eastAsia="標楷體" w:hAnsi="標楷體" w:hint="eastAsia"/>
          <w:color w:val="FF0000"/>
          <w:szCs w:val="22"/>
          <w:highlight w:val="yellow"/>
        </w:rPr>
        <w:t>』」</w:t>
      </w:r>
      <w:r w:rsidRPr="00043A1E">
        <w:rPr>
          <w:rFonts w:ascii="標楷體" w:eastAsia="標楷體" w:hAnsi="標楷體"/>
          <w:szCs w:val="22"/>
        </w:rPr>
        <w:t>亦爾</w:t>
      </w:r>
      <w:r w:rsidRPr="00043A1E">
        <w:rPr>
          <w:rFonts w:ascii="標楷體" w:eastAsia="標楷體" w:hAnsi="標楷體" w:hint="eastAsia"/>
          <w:szCs w:val="22"/>
        </w:rPr>
        <w:t>，</w:t>
      </w:r>
      <w:r w:rsidRPr="00043A1E">
        <w:rPr>
          <w:rFonts w:ascii="標楷體" w:eastAsia="標楷體" w:hAnsi="標楷體"/>
          <w:szCs w:val="22"/>
        </w:rPr>
        <w:t>從未來</w:t>
      </w:r>
      <w:r w:rsidRPr="00ED3E7D">
        <w:rPr>
          <w:rFonts w:ascii="標楷體" w:eastAsia="標楷體" w:hAnsi="標楷體"/>
          <w:szCs w:val="22"/>
          <w:highlight w:val="yellow"/>
        </w:rPr>
        <w:t>世入</w:t>
      </w:r>
      <w:r w:rsidRPr="00043A1E">
        <w:rPr>
          <w:rFonts w:ascii="標楷體" w:eastAsia="標楷體" w:hAnsi="標楷體"/>
          <w:szCs w:val="22"/>
        </w:rPr>
        <w:t>現在世</w:t>
      </w:r>
      <w:r w:rsidR="00ED3E7D">
        <w:rPr>
          <w:rFonts w:ascii="標楷體" w:eastAsia="標楷體" w:hAnsi="標楷體" w:hint="eastAsia"/>
          <w:color w:val="FF0000"/>
          <w:szCs w:val="22"/>
          <w:highlight w:val="yellow"/>
        </w:rPr>
        <w:t>，</w:t>
      </w:r>
      <w:r w:rsidRPr="00043A1E">
        <w:rPr>
          <w:rFonts w:ascii="標楷體" w:eastAsia="標楷體" w:hAnsi="標楷體"/>
          <w:szCs w:val="22"/>
        </w:rPr>
        <w:t>從現在</w:t>
      </w:r>
      <w:r w:rsidRPr="00ED3E7D">
        <w:rPr>
          <w:rFonts w:ascii="標楷體" w:eastAsia="標楷體" w:hAnsi="標楷體"/>
          <w:szCs w:val="22"/>
          <w:highlight w:val="yellow"/>
        </w:rPr>
        <w:t>世入</w:t>
      </w:r>
      <w:r w:rsidRPr="00043A1E">
        <w:rPr>
          <w:rFonts w:ascii="標楷體" w:eastAsia="標楷體" w:hAnsi="標楷體"/>
          <w:szCs w:val="22"/>
        </w:rPr>
        <w:t>過去世</w:t>
      </w:r>
      <w:r w:rsidRPr="00ED3E7D">
        <w:rPr>
          <w:rFonts w:ascii="標楷體" w:eastAsia="標楷體" w:hAnsi="標楷體"/>
          <w:szCs w:val="22"/>
          <w:highlight w:val="yellow"/>
        </w:rPr>
        <w:t>。</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）印順法師，《性空學探源》，</w:t>
      </w:r>
      <w:r w:rsidRPr="00761EF3">
        <w:rPr>
          <w:rFonts w:hint="eastAsia"/>
          <w:szCs w:val="22"/>
        </w:rPr>
        <w:t>p</w:t>
      </w:r>
      <w:r w:rsidRPr="00043A1E">
        <w:rPr>
          <w:rFonts w:hint="eastAsia"/>
          <w:szCs w:val="22"/>
        </w:rPr>
        <w:t>.</w:t>
      </w:r>
      <w:r w:rsidRPr="00761EF3">
        <w:rPr>
          <w:rFonts w:hint="eastAsia"/>
          <w:szCs w:val="22"/>
        </w:rPr>
        <w:t>183</w:t>
      </w:r>
      <w:r w:rsidRPr="00043A1E">
        <w:rPr>
          <w:rFonts w:hint="eastAsia"/>
          <w:szCs w:val="22"/>
        </w:rPr>
        <w:t>：</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從後代一切大小學派看來，時間是依法之流動建立的，離法之外，並沒有時間的別體單獨存在。但是古代的分別論者及譬喻論師曾有過時間別有實體的主張。如《婆沙</w:t>
      </w:r>
      <w:r w:rsidRPr="000C504E">
        <w:rPr>
          <w:rFonts w:eastAsia="標楷體" w:hint="eastAsia"/>
          <w:szCs w:val="22"/>
        </w:rPr>
        <w:t>》卷</w:t>
      </w:r>
      <w:r w:rsidR="000C504E" w:rsidRPr="000C504E">
        <w:rPr>
          <w:rFonts w:eastAsia="標楷體" w:hint="eastAsia"/>
          <w:szCs w:val="22"/>
        </w:rPr>
        <w:t>76</w:t>
      </w:r>
      <w:r w:rsidRPr="000C504E">
        <w:rPr>
          <w:rFonts w:eastAsia="標楷體" w:hint="eastAsia"/>
          <w:szCs w:val="22"/>
        </w:rPr>
        <w:t>及</w:t>
      </w:r>
      <w:r w:rsidR="000C504E" w:rsidRPr="000C504E">
        <w:rPr>
          <w:rFonts w:eastAsia="標楷體" w:hint="eastAsia"/>
          <w:szCs w:val="22"/>
        </w:rPr>
        <w:t>135</w:t>
      </w:r>
      <w:r w:rsidRPr="00043A1E">
        <w:rPr>
          <w:rFonts w:ascii="標楷體" w:eastAsia="標楷體" w:hAnsi="標楷體" w:hint="eastAsia"/>
          <w:szCs w:val="22"/>
        </w:rPr>
        <w:t>說：</w:t>
      </w:r>
    </w:p>
    <w:p w:rsidR="00157EF6" w:rsidRPr="00043A1E" w:rsidRDefault="00157EF6" w:rsidP="00AA120F">
      <w:pPr>
        <w:pStyle w:val="a5"/>
        <w:ind w:leftChars="435" w:left="1044"/>
        <w:jc w:val="both"/>
        <w:rPr>
          <w:rFonts w:ascii="標楷體" w:eastAsia="標楷體" w:hAnsi="標楷體"/>
          <w:szCs w:val="22"/>
        </w:rPr>
      </w:pPr>
      <w:r w:rsidRPr="00043A1E">
        <w:rPr>
          <w:rFonts w:ascii="標楷體" w:eastAsia="標楷體" w:hAnsi="標楷體" w:hint="eastAsia"/>
          <w:szCs w:val="22"/>
        </w:rPr>
        <w:t>「譬喻者、分別論師彼作是說：世體是常，行體無常；行行世時，如器中果，從此器出，轉入彼器。</w:t>
      </w:r>
      <w:r w:rsidRPr="000C504E">
        <w:rPr>
          <w:rFonts w:ascii="標楷體" w:eastAsia="標楷體" w:hAnsi="標楷體" w:hint="eastAsia"/>
          <w:szCs w:val="22"/>
        </w:rPr>
        <w:t>……</w:t>
      </w:r>
      <w:r w:rsidRPr="00043A1E">
        <w:rPr>
          <w:rFonts w:ascii="標楷體" w:eastAsia="標楷體" w:hAnsi="標楷體" w:hint="eastAsia"/>
          <w:szCs w:val="22"/>
        </w:rPr>
        <w:t>為止彼意，顯世與行，體無差別。」</w:t>
      </w:r>
    </w:p>
    <w:p w:rsidR="00157EF6" w:rsidRPr="00043A1E" w:rsidRDefault="00157EF6" w:rsidP="00AA120F">
      <w:pPr>
        <w:pStyle w:val="a5"/>
        <w:ind w:leftChars="335" w:left="804"/>
        <w:jc w:val="both"/>
        <w:rPr>
          <w:szCs w:val="22"/>
        </w:rPr>
      </w:pPr>
      <w:r w:rsidRPr="00043A1E">
        <w:rPr>
          <w:rFonts w:ascii="標楷體" w:eastAsia="標楷體" w:hAnsi="標楷體" w:hint="eastAsia"/>
          <w:szCs w:val="22"/>
        </w:rPr>
        <w:t>他們主張</w:t>
      </w:r>
      <w:r w:rsidRPr="00043A1E">
        <w:rPr>
          <w:rFonts w:ascii="標楷體" w:eastAsia="標楷體" w:hAnsi="標楷體" w:hint="eastAsia"/>
          <w:b/>
          <w:szCs w:val="22"/>
        </w:rPr>
        <w:t>時間（世體）是常住的，固定的。諸法（行）是無常的，流動的。</w:t>
      </w:r>
      <w:r w:rsidRPr="00043A1E">
        <w:rPr>
          <w:rFonts w:ascii="標楷體" w:eastAsia="標楷體" w:hAnsi="標楷體" w:hint="eastAsia"/>
          <w:szCs w:val="22"/>
        </w:rPr>
        <w:t>諸法的流動，是在固定的時間中流動著，如像果子的從這盤子（未來）到那盤子（現在）的情形一樣。</w:t>
      </w:r>
    </w:p>
  </w:footnote>
  <w:footnote w:id="549">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印順法師，</w:t>
      </w:r>
      <w:r w:rsidRPr="00043A1E">
        <w:rPr>
          <w:szCs w:val="22"/>
        </w:rPr>
        <w:t>《中觀論頌講記》</w:t>
      </w:r>
      <w:r w:rsidRPr="00043A1E">
        <w:rPr>
          <w:rFonts w:hint="eastAsia"/>
          <w:szCs w:val="22"/>
        </w:rPr>
        <w:t>，</w:t>
      </w:r>
      <w:r w:rsidRPr="00761EF3">
        <w:rPr>
          <w:szCs w:val="22"/>
        </w:rPr>
        <w:t>p</w:t>
      </w:r>
      <w:r w:rsidRPr="00043A1E">
        <w:rPr>
          <w:rFonts w:hint="eastAsia"/>
          <w:szCs w:val="22"/>
        </w:rPr>
        <w:t>.</w:t>
      </w:r>
      <w:r w:rsidRPr="00761EF3">
        <w:rPr>
          <w:szCs w:val="22"/>
        </w:rPr>
        <w:t>344</w:t>
      </w:r>
      <w:r w:rsidRPr="00043A1E">
        <w:rPr>
          <w:szCs w:val="22"/>
        </w:rPr>
        <w:t>：</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szCs w:val="22"/>
        </w:rPr>
        <w:t>釋尊說法，不詳為時間的解說。佛法的真義，要從聖典的綜合研究中理解出來。佛滅後，聲聞學者，對這一問題，略有不同的兩派：</w:t>
      </w:r>
    </w:p>
    <w:p w:rsidR="00157EF6" w:rsidRPr="00043A1E" w:rsidRDefault="00157EF6" w:rsidP="00AA120F">
      <w:pPr>
        <w:pStyle w:val="a5"/>
        <w:ind w:leftChars="105" w:left="692" w:hangingChars="200" w:hanging="440"/>
        <w:jc w:val="both"/>
        <w:rPr>
          <w:rFonts w:ascii="標楷體" w:eastAsia="標楷體" w:hAnsi="標楷體"/>
          <w:szCs w:val="22"/>
        </w:rPr>
      </w:pPr>
      <w:r w:rsidRPr="00043A1E">
        <w:rPr>
          <w:rFonts w:ascii="標楷體" w:eastAsia="標楷體" w:hAnsi="標楷體"/>
          <w:szCs w:val="22"/>
        </w:rPr>
        <w:t>一、譬喻師說：時間是有實體的，是常住的。常住的實體的時間，是諸法活動的架格；未來的通過了現在，又轉入過去。過、現、未來三世，是有他的實體而嚴密的畫出界限的。所以，諸行是無常的，而諸行所通過的時間，卻是常住的。這是絕對的時間觀。</w:t>
      </w:r>
    </w:p>
    <w:p w:rsidR="00157EF6" w:rsidRPr="00043A1E" w:rsidRDefault="00157EF6" w:rsidP="00AA120F">
      <w:pPr>
        <w:pStyle w:val="a5"/>
        <w:ind w:leftChars="105" w:left="692" w:hangingChars="200" w:hanging="440"/>
        <w:jc w:val="both"/>
        <w:rPr>
          <w:rFonts w:ascii="標楷體" w:eastAsia="標楷體" w:hAnsi="標楷體"/>
          <w:szCs w:val="22"/>
        </w:rPr>
      </w:pPr>
      <w:r w:rsidRPr="00043A1E">
        <w:rPr>
          <w:rFonts w:ascii="標楷體" w:eastAsia="標楷體" w:hAnsi="標楷體"/>
          <w:szCs w:val="22"/>
        </w:rPr>
        <w:t>二、其他學派，都說時間並沒有實體，是精神</w:t>
      </w:r>
      <w:r w:rsidRPr="00043A1E">
        <w:rPr>
          <w:rFonts w:ascii="標楷體" w:eastAsia="標楷體" w:hAnsi="標楷體" w:hint="eastAsia"/>
          <w:szCs w:val="22"/>
        </w:rPr>
        <w:t>、</w:t>
      </w:r>
      <w:r w:rsidRPr="00043A1E">
        <w:rPr>
          <w:rFonts w:ascii="標楷體" w:eastAsia="標楷體" w:hAnsi="標楷體"/>
          <w:szCs w:val="22"/>
        </w:rPr>
        <w:t>物質的活動所表現的；不是離了具體的事物，另有實在的時間。</w:t>
      </w:r>
    </w:p>
    <w:p w:rsidR="00157EF6" w:rsidRPr="00043A1E" w:rsidRDefault="00157EF6" w:rsidP="00AA120F">
      <w:pPr>
        <w:pStyle w:val="a5"/>
        <w:ind w:leftChars="105" w:left="252"/>
        <w:jc w:val="both"/>
        <w:rPr>
          <w:szCs w:val="22"/>
        </w:rPr>
      </w:pPr>
      <w:r w:rsidRPr="00043A1E">
        <w:rPr>
          <w:rFonts w:ascii="標楷體" w:eastAsia="標楷體" w:hAnsi="標楷體"/>
          <w:szCs w:val="22"/>
        </w:rPr>
        <w:t>依性空者看來，二派都不免錯誤。絕對的時間，是非佛法的，不消說。一般以色法</w:t>
      </w:r>
      <w:r w:rsidRPr="00043A1E">
        <w:rPr>
          <w:rFonts w:ascii="標楷體" w:eastAsia="標楷體" w:hAnsi="標楷體" w:hint="eastAsia"/>
          <w:szCs w:val="22"/>
        </w:rPr>
        <w:t>、</w:t>
      </w:r>
      <w:r w:rsidRPr="00043A1E">
        <w:rPr>
          <w:rFonts w:ascii="標楷體" w:eastAsia="標楷體" w:hAnsi="標楷體"/>
          <w:szCs w:val="22"/>
        </w:rPr>
        <w:t>心法為實有，以時間為假有，不但依實立假，是根本錯誤；抹煞時間的緣起性，也是大大不可的。在後一派中，所說依法有生滅而立時間，然表現時間的諸法生滅，怎樣入於過去，怎樣到達現在，怎樣尚在未來，這又是很有諍論的。</w:t>
      </w:r>
    </w:p>
  </w:footnote>
  <w:footnote w:id="550">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szCs w:val="22"/>
        </w:rPr>
        <w:t>《中論》卷</w:t>
      </w:r>
      <w:r w:rsidRPr="00761EF3">
        <w:rPr>
          <w:szCs w:val="22"/>
        </w:rPr>
        <w:t>3</w:t>
      </w:r>
      <w:r w:rsidRPr="00043A1E">
        <w:rPr>
          <w:szCs w:val="22"/>
        </w:rPr>
        <w:t>〈</w:t>
      </w:r>
      <w:r w:rsidRPr="00761EF3">
        <w:rPr>
          <w:szCs w:val="22"/>
        </w:rPr>
        <w:t>19</w:t>
      </w:r>
      <w:r w:rsidRPr="00043A1E">
        <w:rPr>
          <w:szCs w:val="22"/>
        </w:rPr>
        <w:t xml:space="preserve"> </w:t>
      </w:r>
      <w:r w:rsidRPr="00043A1E">
        <w:rPr>
          <w:szCs w:val="22"/>
        </w:rPr>
        <w:t>觀時品〉</w:t>
      </w:r>
      <w:r w:rsidRPr="00043A1E">
        <w:rPr>
          <w:rFonts w:hint="eastAsia"/>
          <w:szCs w:val="22"/>
        </w:rPr>
        <w:t>（大正</w:t>
      </w:r>
      <w:r w:rsidRPr="00761EF3">
        <w:rPr>
          <w:szCs w:val="22"/>
        </w:rPr>
        <w:t>30</w:t>
      </w:r>
      <w:r w:rsidRPr="00043A1E">
        <w:rPr>
          <w:rFonts w:hint="eastAsia"/>
          <w:szCs w:val="22"/>
        </w:rPr>
        <w:t>，</w:t>
      </w:r>
      <w:r w:rsidRPr="00761EF3">
        <w:rPr>
          <w:szCs w:val="22"/>
        </w:rPr>
        <w:t>26a24</w:t>
      </w:r>
      <w:r w:rsidRPr="00043A1E">
        <w:rPr>
          <w:szCs w:val="22"/>
        </w:rPr>
        <w:t>-</w:t>
      </w:r>
      <w:r w:rsidRPr="00761EF3">
        <w:rPr>
          <w:szCs w:val="22"/>
        </w:rPr>
        <w:t>25</w:t>
      </w:r>
      <w:r w:rsidRPr="00043A1E">
        <w:rPr>
          <w:rFonts w:hint="eastAsia"/>
          <w:szCs w:val="22"/>
        </w:rPr>
        <w:t>）</w:t>
      </w:r>
      <w:r w:rsidRPr="00043A1E">
        <w:rPr>
          <w:szCs w:val="22"/>
        </w:rPr>
        <w:t>：</w:t>
      </w:r>
    </w:p>
    <w:p w:rsidR="00157EF6" w:rsidRPr="00043A1E" w:rsidRDefault="00157EF6" w:rsidP="00AA120F">
      <w:pPr>
        <w:pStyle w:val="a5"/>
        <w:ind w:leftChars="335" w:left="804"/>
        <w:jc w:val="both"/>
        <w:rPr>
          <w:szCs w:val="22"/>
        </w:rPr>
      </w:pPr>
      <w:r w:rsidRPr="00043A1E">
        <w:rPr>
          <w:rFonts w:ascii="標楷體" w:eastAsia="標楷體" w:hAnsi="標楷體"/>
          <w:szCs w:val="22"/>
        </w:rPr>
        <w:t>因物故有</w:t>
      </w:r>
      <w:r w:rsidR="00C81A71">
        <w:rPr>
          <w:rFonts w:ascii="標楷體" w:eastAsia="標楷體" w:hAnsi="標楷體" w:hint="eastAsia"/>
          <w:bCs/>
          <w:color w:val="FF0000"/>
          <w:kern w:val="0"/>
          <w:highlight w:val="yellow"/>
        </w:rPr>
        <w:t>「</w:t>
      </w:r>
      <w:r w:rsidRPr="00043A1E">
        <w:rPr>
          <w:rFonts w:ascii="標楷體" w:eastAsia="標楷體" w:hAnsi="標楷體"/>
          <w:szCs w:val="22"/>
        </w:rPr>
        <w:t>時</w:t>
      </w:r>
      <w:r w:rsidR="00C81A71">
        <w:rPr>
          <w:rFonts w:ascii="標楷體" w:eastAsia="標楷體" w:hAnsi="標楷體" w:hint="eastAsia"/>
          <w:bCs/>
          <w:color w:val="FF0000"/>
          <w:kern w:val="0"/>
          <w:highlight w:val="yellow"/>
        </w:rPr>
        <w:t>」</w:t>
      </w:r>
      <w:r w:rsidRPr="00043A1E">
        <w:rPr>
          <w:rFonts w:ascii="標楷體" w:eastAsia="標楷體" w:hAnsi="標楷體" w:hint="eastAsia"/>
          <w:szCs w:val="22"/>
        </w:rPr>
        <w:t>，</w:t>
      </w:r>
      <w:r w:rsidRPr="00043A1E">
        <w:rPr>
          <w:rFonts w:ascii="標楷體" w:eastAsia="標楷體" w:hAnsi="標楷體"/>
          <w:szCs w:val="22"/>
        </w:rPr>
        <w:t>離物何有</w:t>
      </w:r>
      <w:r w:rsidR="00C81A71">
        <w:rPr>
          <w:rFonts w:ascii="標楷體" w:eastAsia="標楷體" w:hAnsi="標楷體" w:hint="eastAsia"/>
          <w:bCs/>
          <w:color w:val="FF0000"/>
          <w:kern w:val="0"/>
          <w:highlight w:val="yellow"/>
        </w:rPr>
        <w:t>「</w:t>
      </w:r>
      <w:r w:rsidRPr="00043A1E">
        <w:rPr>
          <w:rFonts w:ascii="標楷體" w:eastAsia="標楷體" w:hAnsi="標楷體"/>
          <w:szCs w:val="22"/>
        </w:rPr>
        <w:t>時</w:t>
      </w:r>
      <w:r w:rsidR="00C81A71">
        <w:rPr>
          <w:rFonts w:ascii="標楷體" w:eastAsia="標楷體" w:hAnsi="標楷體" w:hint="eastAsia"/>
          <w:bCs/>
          <w:color w:val="FF0000"/>
          <w:kern w:val="0"/>
          <w:highlight w:val="yellow"/>
        </w:rPr>
        <w:t>」</w:t>
      </w:r>
      <w:r w:rsidR="000C6752">
        <w:rPr>
          <w:rFonts w:ascii="標楷體" w:eastAsia="標楷體" w:hAnsi="標楷體" w:hint="eastAsia"/>
          <w:color w:val="FF0000"/>
          <w:spacing w:val="-4"/>
          <w:kern w:val="0"/>
          <w:highlight w:val="yellow"/>
        </w:rPr>
        <w:t>？</w:t>
      </w:r>
      <w:r w:rsidRPr="00043A1E">
        <w:rPr>
          <w:rFonts w:ascii="標楷體" w:eastAsia="標楷體" w:hAnsi="標楷體"/>
          <w:szCs w:val="22"/>
        </w:rPr>
        <w:t>物尚無所有</w:t>
      </w:r>
      <w:r w:rsidRPr="00043A1E">
        <w:rPr>
          <w:rFonts w:ascii="標楷體" w:eastAsia="標楷體" w:hAnsi="標楷體" w:hint="eastAsia"/>
          <w:szCs w:val="22"/>
        </w:rPr>
        <w:t>，</w:t>
      </w:r>
      <w:r w:rsidRPr="00043A1E">
        <w:rPr>
          <w:rFonts w:ascii="標楷體" w:eastAsia="標楷體" w:hAnsi="標楷體"/>
          <w:szCs w:val="22"/>
        </w:rPr>
        <w:t>何況當有</w:t>
      </w:r>
      <w:r w:rsidR="00C81A71">
        <w:rPr>
          <w:rFonts w:ascii="標楷體" w:eastAsia="標楷體" w:hAnsi="標楷體" w:hint="eastAsia"/>
          <w:bCs/>
          <w:color w:val="FF0000"/>
          <w:kern w:val="0"/>
          <w:highlight w:val="yellow"/>
        </w:rPr>
        <w:t>「</w:t>
      </w:r>
      <w:r w:rsidRPr="00043A1E">
        <w:rPr>
          <w:rFonts w:ascii="標楷體" w:eastAsia="標楷體" w:hAnsi="標楷體"/>
          <w:szCs w:val="22"/>
        </w:rPr>
        <w:t>時</w:t>
      </w:r>
      <w:r w:rsidR="00C81A71">
        <w:rPr>
          <w:rFonts w:ascii="標楷體" w:eastAsia="標楷體" w:hAnsi="標楷體" w:hint="eastAsia"/>
          <w:bCs/>
          <w:color w:val="FF0000"/>
          <w:kern w:val="0"/>
          <w:highlight w:val="yellow"/>
        </w:rPr>
        <w:t>」</w:t>
      </w:r>
      <w:r w:rsidR="000C6752">
        <w:rPr>
          <w:rFonts w:ascii="標楷體" w:eastAsia="標楷體" w:hAnsi="標楷體" w:hint="eastAsia"/>
          <w:color w:val="FF0000"/>
          <w:spacing w:val="-4"/>
          <w:kern w:val="0"/>
          <w:highlight w:val="yellow"/>
        </w:rPr>
        <w:t>？</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）印順法師，</w:t>
      </w:r>
      <w:r w:rsidRPr="00043A1E">
        <w:rPr>
          <w:szCs w:val="22"/>
        </w:rPr>
        <w:t>《中觀論頌講記》</w:t>
      </w:r>
      <w:r w:rsidRPr="00043A1E">
        <w:rPr>
          <w:rFonts w:hint="eastAsia"/>
          <w:szCs w:val="22"/>
        </w:rPr>
        <w:t>，</w:t>
      </w:r>
      <w:r w:rsidRPr="00761EF3">
        <w:rPr>
          <w:szCs w:val="22"/>
        </w:rPr>
        <w:t>p</w:t>
      </w:r>
      <w:r w:rsidRPr="00043A1E">
        <w:rPr>
          <w:rFonts w:hint="eastAsia"/>
          <w:szCs w:val="22"/>
        </w:rPr>
        <w:t>.</w:t>
      </w:r>
      <w:r w:rsidRPr="00761EF3">
        <w:rPr>
          <w:szCs w:val="22"/>
        </w:rPr>
        <w:t>352</w:t>
      </w:r>
      <w:r w:rsidRPr="00043A1E">
        <w:rPr>
          <w:szCs w:val="22"/>
        </w:rPr>
        <w:t>：</w:t>
      </w:r>
    </w:p>
    <w:p w:rsidR="00157EF6" w:rsidRPr="00043A1E" w:rsidRDefault="00157EF6" w:rsidP="00AA120F">
      <w:pPr>
        <w:pStyle w:val="a5"/>
        <w:ind w:leftChars="335" w:left="804"/>
        <w:jc w:val="both"/>
        <w:rPr>
          <w:szCs w:val="22"/>
        </w:rPr>
      </w:pPr>
      <w:r w:rsidRPr="00043A1E">
        <w:rPr>
          <w:rFonts w:ascii="標楷體" w:eastAsia="標楷體" w:hAnsi="標楷體"/>
          <w:szCs w:val="22"/>
        </w:rPr>
        <w:t>有實在的事物，或許可說</w:t>
      </w:r>
      <w:r w:rsidRPr="00043A1E">
        <w:rPr>
          <w:rFonts w:ascii="標楷體" w:eastAsia="標楷體" w:hAnsi="標楷體" w:hint="eastAsia"/>
          <w:szCs w:val="22"/>
        </w:rPr>
        <w:t>「</w:t>
      </w:r>
      <w:r w:rsidRPr="00043A1E">
        <w:rPr>
          <w:rFonts w:ascii="標楷體" w:eastAsia="標楷體" w:hAnsi="標楷體"/>
          <w:szCs w:val="22"/>
        </w:rPr>
        <w:t>因物故有時</w:t>
      </w:r>
      <w:r w:rsidRPr="00043A1E">
        <w:rPr>
          <w:rFonts w:ascii="標楷體" w:eastAsia="標楷體" w:hAnsi="標楷體" w:hint="eastAsia"/>
          <w:szCs w:val="22"/>
        </w:rPr>
        <w:t>」</w:t>
      </w:r>
      <w:r w:rsidRPr="00043A1E">
        <w:rPr>
          <w:rFonts w:ascii="標楷體" w:eastAsia="標楷體" w:hAnsi="標楷體"/>
          <w:szCs w:val="22"/>
        </w:rPr>
        <w:t>。既知因物而有，那就</w:t>
      </w:r>
      <w:r w:rsidRPr="00043A1E">
        <w:rPr>
          <w:rFonts w:ascii="標楷體" w:eastAsia="標楷體" w:hAnsi="標楷體" w:hint="eastAsia"/>
          <w:szCs w:val="22"/>
        </w:rPr>
        <w:t>「</w:t>
      </w:r>
      <w:r w:rsidRPr="00043A1E">
        <w:rPr>
          <w:rFonts w:ascii="標楷體" w:eastAsia="標楷體" w:hAnsi="標楷體"/>
          <w:szCs w:val="22"/>
        </w:rPr>
        <w:t>離物</w:t>
      </w:r>
      <w:r w:rsidRPr="00043A1E">
        <w:rPr>
          <w:rFonts w:ascii="標楷體" w:eastAsia="標楷體" w:hAnsi="標楷體" w:hint="eastAsia"/>
          <w:szCs w:val="22"/>
        </w:rPr>
        <w:t>」</w:t>
      </w:r>
      <w:r w:rsidRPr="00043A1E">
        <w:rPr>
          <w:rFonts w:ascii="標楷體" w:eastAsia="標楷體" w:hAnsi="標楷體"/>
          <w:szCs w:val="22"/>
        </w:rPr>
        <w:t>沒</w:t>
      </w:r>
      <w:r w:rsidRPr="00043A1E">
        <w:rPr>
          <w:rFonts w:ascii="標楷體" w:eastAsia="標楷體" w:hAnsi="標楷體" w:hint="eastAsia"/>
          <w:szCs w:val="22"/>
        </w:rPr>
        <w:t>「</w:t>
      </w:r>
      <w:r w:rsidRPr="00043A1E">
        <w:rPr>
          <w:rFonts w:ascii="標楷體" w:eastAsia="標楷體" w:hAnsi="標楷體"/>
          <w:szCs w:val="22"/>
        </w:rPr>
        <w:t>有時</w:t>
      </w:r>
      <w:r w:rsidRPr="00043A1E">
        <w:rPr>
          <w:rFonts w:ascii="標楷體" w:eastAsia="標楷體" w:hAnsi="標楷體" w:hint="eastAsia"/>
          <w:szCs w:val="22"/>
        </w:rPr>
        <w:t>」</w:t>
      </w:r>
      <w:r w:rsidRPr="00043A1E">
        <w:rPr>
          <w:rFonts w:ascii="標楷體" w:eastAsia="標楷體" w:hAnsi="標楷體"/>
          <w:szCs w:val="22"/>
        </w:rPr>
        <w:t>了，為什麼還戲論時間相呢？況且，切實的觀察起來，是沒有真實物體的。既然</w:t>
      </w:r>
      <w:r w:rsidRPr="00043A1E">
        <w:rPr>
          <w:rFonts w:ascii="標楷體" w:eastAsia="標楷體" w:hAnsi="標楷體" w:hint="eastAsia"/>
          <w:szCs w:val="22"/>
        </w:rPr>
        <w:t>「</w:t>
      </w:r>
      <w:r w:rsidRPr="00043A1E">
        <w:rPr>
          <w:rFonts w:ascii="標楷體" w:eastAsia="標楷體" w:hAnsi="標楷體"/>
          <w:szCs w:val="22"/>
        </w:rPr>
        <w:t>物</w:t>
      </w:r>
      <w:r w:rsidRPr="00043A1E">
        <w:rPr>
          <w:rFonts w:ascii="標楷體" w:eastAsia="標楷體" w:hAnsi="標楷體" w:hint="eastAsia"/>
          <w:szCs w:val="22"/>
        </w:rPr>
        <w:t>」</w:t>
      </w:r>
      <w:r w:rsidRPr="00043A1E">
        <w:rPr>
          <w:rFonts w:ascii="標楷體" w:eastAsia="標楷體" w:hAnsi="標楷體"/>
          <w:szCs w:val="22"/>
        </w:rPr>
        <w:t>體</w:t>
      </w:r>
      <w:r w:rsidRPr="00043A1E">
        <w:rPr>
          <w:rFonts w:ascii="標楷體" w:eastAsia="標楷體" w:hAnsi="標楷體" w:hint="eastAsia"/>
          <w:szCs w:val="22"/>
        </w:rPr>
        <w:t>「</w:t>
      </w:r>
      <w:r w:rsidRPr="00043A1E">
        <w:rPr>
          <w:rFonts w:ascii="標楷體" w:eastAsia="標楷體" w:hAnsi="標楷體"/>
          <w:szCs w:val="22"/>
        </w:rPr>
        <w:t>尚無所有</w:t>
      </w:r>
      <w:r w:rsidRPr="00043A1E">
        <w:rPr>
          <w:rFonts w:ascii="標楷體" w:eastAsia="標楷體" w:hAnsi="標楷體" w:hint="eastAsia"/>
          <w:szCs w:val="22"/>
        </w:rPr>
        <w:t>」</w:t>
      </w:r>
      <w:r w:rsidRPr="00043A1E">
        <w:rPr>
          <w:rFonts w:ascii="標楷體" w:eastAsia="標楷體" w:hAnsi="標楷體"/>
          <w:szCs w:val="22"/>
        </w:rPr>
        <w:t>，那裡還可說</w:t>
      </w:r>
      <w:r w:rsidRPr="00043A1E">
        <w:rPr>
          <w:rFonts w:ascii="標楷體" w:eastAsia="標楷體" w:hAnsi="標楷體" w:hint="eastAsia"/>
          <w:szCs w:val="22"/>
        </w:rPr>
        <w:t>「</w:t>
      </w:r>
      <w:r w:rsidRPr="00043A1E">
        <w:rPr>
          <w:rFonts w:ascii="標楷體" w:eastAsia="標楷體" w:hAnsi="標楷體"/>
          <w:szCs w:val="22"/>
        </w:rPr>
        <w:t>有時</w:t>
      </w:r>
      <w:r w:rsidRPr="00043A1E">
        <w:rPr>
          <w:rFonts w:ascii="標楷體" w:eastAsia="標楷體" w:hAnsi="標楷體" w:hint="eastAsia"/>
          <w:szCs w:val="22"/>
        </w:rPr>
        <w:t>」</w:t>
      </w:r>
      <w:r w:rsidRPr="00043A1E">
        <w:rPr>
          <w:rFonts w:ascii="標楷體" w:eastAsia="標楷體" w:hAnsi="標楷體"/>
          <w:szCs w:val="22"/>
        </w:rPr>
        <w:t>呢？這不過是從他所承認的而加以破斥罷了。中觀者的真義：「若法因待成，是法還成待。</w:t>
      </w:r>
      <w:r w:rsidRPr="00043A1E">
        <w:rPr>
          <w:rFonts w:ascii="標楷體" w:eastAsia="標楷體" w:hAnsi="標楷體" w:hint="eastAsia"/>
          <w:szCs w:val="22"/>
        </w:rPr>
        <w:t>」</w:t>
      </w:r>
      <w:r w:rsidRPr="00043A1E">
        <w:rPr>
          <w:rFonts w:ascii="標楷體" w:eastAsia="標楷體" w:hAnsi="標楷體"/>
          <w:szCs w:val="22"/>
        </w:rPr>
        <w:t>所以，不但時是因物有的，物也是因時而有的。物與時，都是緣起的存在，彼此沒有實在的自性，而各有他的緣起特相</w:t>
      </w:r>
      <w:r w:rsidRPr="00043A1E">
        <w:rPr>
          <w:szCs w:val="22"/>
        </w:rPr>
        <w:t>。</w:t>
      </w:r>
    </w:p>
  </w:footnote>
  <w:footnote w:id="551">
    <w:p w:rsidR="00157EF6" w:rsidRPr="00043A1E" w:rsidRDefault="00157EF6" w:rsidP="00AA120F">
      <w:pPr>
        <w:pStyle w:val="a5"/>
        <w:spacing w:line="300" w:lineRule="exact"/>
        <w:ind w:left="253" w:hangingChars="115" w:hanging="253"/>
        <w:jc w:val="both"/>
        <w:rPr>
          <w:szCs w:val="22"/>
        </w:rPr>
      </w:pPr>
      <w:r w:rsidRPr="00043A1E">
        <w:rPr>
          <w:rStyle w:val="a6"/>
          <w:szCs w:val="22"/>
        </w:rPr>
        <w:footnoteRef/>
      </w:r>
      <w:r w:rsidRPr="00043A1E">
        <w:rPr>
          <w:szCs w:val="22"/>
        </w:rPr>
        <w:t xml:space="preserve"> </w:t>
      </w:r>
      <w:r w:rsidRPr="00043A1E">
        <w:rPr>
          <w:szCs w:val="22"/>
        </w:rPr>
        <w:t>息息：</w:t>
      </w:r>
      <w:r w:rsidRPr="00761EF3">
        <w:rPr>
          <w:szCs w:val="22"/>
        </w:rPr>
        <w:t>2</w:t>
      </w:r>
      <w:r w:rsidRPr="00043A1E">
        <w:rPr>
          <w:szCs w:val="22"/>
        </w:rPr>
        <w:t>.</w:t>
      </w:r>
      <w:r w:rsidRPr="00043A1E">
        <w:rPr>
          <w:szCs w:val="22"/>
        </w:rPr>
        <w:t>猶言時時刻刻。（《漢語大詞典》（七）</w:t>
      </w:r>
      <w:r w:rsidRPr="00043A1E">
        <w:rPr>
          <w:rFonts w:hint="eastAsia"/>
          <w:szCs w:val="22"/>
        </w:rPr>
        <w:t>，</w:t>
      </w:r>
      <w:r w:rsidRPr="00761EF3">
        <w:rPr>
          <w:szCs w:val="22"/>
        </w:rPr>
        <w:t>p</w:t>
      </w:r>
      <w:r w:rsidRPr="00043A1E">
        <w:rPr>
          <w:szCs w:val="22"/>
        </w:rPr>
        <w:t>.</w:t>
      </w:r>
      <w:r w:rsidRPr="00761EF3">
        <w:rPr>
          <w:szCs w:val="22"/>
        </w:rPr>
        <w:t>50</w:t>
      </w:r>
      <w:r w:rsidRPr="00761EF3">
        <w:rPr>
          <w:rFonts w:hint="eastAsia"/>
          <w:szCs w:val="22"/>
        </w:rPr>
        <w:t>3</w:t>
      </w:r>
      <w:r w:rsidRPr="00043A1E">
        <w:rPr>
          <w:szCs w:val="22"/>
        </w:rPr>
        <w:t>）</w:t>
      </w:r>
    </w:p>
  </w:footnote>
  <w:footnote w:id="552">
    <w:p w:rsidR="00157EF6" w:rsidRPr="00043A1E" w:rsidRDefault="00157EF6" w:rsidP="00AA120F">
      <w:pPr>
        <w:pStyle w:val="a5"/>
        <w:spacing w:line="300" w:lineRule="exact"/>
        <w:ind w:left="253" w:hangingChars="115" w:hanging="253"/>
        <w:jc w:val="both"/>
        <w:rPr>
          <w:szCs w:val="22"/>
        </w:rPr>
      </w:pPr>
      <w:r w:rsidRPr="00043A1E">
        <w:rPr>
          <w:rStyle w:val="a6"/>
          <w:szCs w:val="22"/>
        </w:rPr>
        <w:footnoteRef/>
      </w:r>
      <w:r w:rsidRPr="00043A1E">
        <w:rPr>
          <w:szCs w:val="22"/>
        </w:rPr>
        <w:t xml:space="preserve"> </w:t>
      </w:r>
      <w:r w:rsidRPr="00043A1E">
        <w:rPr>
          <w:szCs w:val="22"/>
        </w:rPr>
        <w:t>流變：變遷，變化。（《漢語大詞典》（五）</w:t>
      </w:r>
      <w:r w:rsidRPr="00043A1E">
        <w:rPr>
          <w:rFonts w:hint="eastAsia"/>
          <w:szCs w:val="22"/>
        </w:rPr>
        <w:t>，</w:t>
      </w:r>
      <w:r w:rsidRPr="00761EF3">
        <w:rPr>
          <w:szCs w:val="22"/>
        </w:rPr>
        <w:t>p</w:t>
      </w:r>
      <w:r w:rsidRPr="00043A1E">
        <w:rPr>
          <w:szCs w:val="22"/>
        </w:rPr>
        <w:t>.</w:t>
      </w:r>
      <w:r w:rsidRPr="00761EF3">
        <w:rPr>
          <w:szCs w:val="22"/>
        </w:rPr>
        <w:t>12</w:t>
      </w:r>
      <w:r w:rsidRPr="00761EF3">
        <w:rPr>
          <w:rFonts w:hint="eastAsia"/>
          <w:szCs w:val="22"/>
        </w:rPr>
        <w:t>78</w:t>
      </w:r>
      <w:r w:rsidRPr="00043A1E">
        <w:rPr>
          <w:szCs w:val="22"/>
        </w:rPr>
        <w:t>）</w:t>
      </w:r>
    </w:p>
  </w:footnote>
  <w:footnote w:id="553">
    <w:p w:rsidR="00157EF6" w:rsidRPr="00043A1E" w:rsidRDefault="00157EF6" w:rsidP="00AA120F">
      <w:pPr>
        <w:pStyle w:val="a5"/>
        <w:spacing w:line="300" w:lineRule="exact"/>
        <w:ind w:left="792" w:hangingChars="360" w:hanging="792"/>
        <w:jc w:val="both"/>
        <w:rPr>
          <w:szCs w:val="22"/>
        </w:rPr>
      </w:pPr>
      <w:r w:rsidRPr="00043A1E">
        <w:rPr>
          <w:rStyle w:val="a6"/>
          <w:szCs w:val="22"/>
        </w:rPr>
        <w:footnoteRef/>
      </w:r>
      <w:r w:rsidRPr="00043A1E">
        <w:rPr>
          <w:rFonts w:hint="eastAsia"/>
          <w:szCs w:val="22"/>
        </w:rPr>
        <w:t xml:space="preserve"> </w:t>
      </w:r>
      <w:r w:rsidRPr="00043A1E">
        <w:rPr>
          <w:szCs w:val="22"/>
        </w:rPr>
        <w:t>（</w:t>
      </w:r>
      <w:r w:rsidRPr="00761EF3">
        <w:rPr>
          <w:rFonts w:hint="eastAsia"/>
          <w:szCs w:val="22"/>
        </w:rPr>
        <w:t>1</w:t>
      </w:r>
      <w:r w:rsidRPr="00043A1E">
        <w:rPr>
          <w:szCs w:val="22"/>
        </w:rPr>
        <w:t>）《中論》卷</w:t>
      </w:r>
      <w:r w:rsidRPr="00761EF3">
        <w:rPr>
          <w:szCs w:val="22"/>
        </w:rPr>
        <w:t>1</w:t>
      </w:r>
      <w:r w:rsidRPr="00043A1E">
        <w:rPr>
          <w:szCs w:val="22"/>
        </w:rPr>
        <w:t>〈</w:t>
      </w:r>
      <w:r w:rsidRPr="00761EF3">
        <w:rPr>
          <w:szCs w:val="22"/>
        </w:rPr>
        <w:t>2</w:t>
      </w:r>
      <w:r w:rsidRPr="00043A1E">
        <w:rPr>
          <w:szCs w:val="22"/>
        </w:rPr>
        <w:t xml:space="preserve"> </w:t>
      </w:r>
      <w:r w:rsidRPr="00043A1E">
        <w:rPr>
          <w:szCs w:val="22"/>
        </w:rPr>
        <w:t>觀去來品〉（大正</w:t>
      </w:r>
      <w:r w:rsidRPr="00761EF3">
        <w:rPr>
          <w:szCs w:val="22"/>
        </w:rPr>
        <w:t>30</w:t>
      </w:r>
      <w:r w:rsidRPr="00043A1E">
        <w:rPr>
          <w:szCs w:val="22"/>
        </w:rPr>
        <w:t>，</w:t>
      </w:r>
      <w:r w:rsidRPr="00761EF3">
        <w:rPr>
          <w:szCs w:val="22"/>
        </w:rPr>
        <w:t>4a2</w:t>
      </w:r>
      <w:r w:rsidRPr="00043A1E">
        <w:rPr>
          <w:szCs w:val="22"/>
        </w:rPr>
        <w:t>-</w:t>
      </w:r>
      <w:r w:rsidRPr="00761EF3">
        <w:rPr>
          <w:szCs w:val="22"/>
        </w:rPr>
        <w:t>3</w:t>
      </w:r>
      <w:r w:rsidRPr="00043A1E">
        <w:rPr>
          <w:szCs w:val="22"/>
        </w:rPr>
        <w:t>）：</w:t>
      </w:r>
    </w:p>
    <w:p w:rsidR="00157EF6" w:rsidRPr="00043A1E" w:rsidRDefault="00157EF6" w:rsidP="00AA120F">
      <w:pPr>
        <w:pStyle w:val="a5"/>
        <w:spacing w:line="300" w:lineRule="exact"/>
        <w:ind w:leftChars="335" w:left="804"/>
        <w:jc w:val="both"/>
        <w:rPr>
          <w:szCs w:val="22"/>
        </w:rPr>
      </w:pPr>
      <w:r w:rsidRPr="00043A1E">
        <w:rPr>
          <w:rFonts w:ascii="標楷體" w:eastAsia="標楷體" w:hAnsi="標楷體"/>
          <w:szCs w:val="22"/>
        </w:rPr>
        <w:t>云何於去</w:t>
      </w:r>
      <w:r w:rsidRPr="00C81A71">
        <w:rPr>
          <w:rFonts w:ascii="標楷體" w:eastAsia="標楷體" w:hAnsi="標楷體"/>
          <w:szCs w:val="22"/>
          <w:highlight w:val="yellow"/>
        </w:rPr>
        <w:t>時而</w:t>
      </w:r>
      <w:r w:rsidRPr="00043A1E">
        <w:rPr>
          <w:rFonts w:ascii="標楷體" w:eastAsia="標楷體" w:hAnsi="標楷體"/>
          <w:szCs w:val="22"/>
        </w:rPr>
        <w:t>當有去法</w:t>
      </w:r>
      <w:r w:rsidR="000C504E">
        <w:rPr>
          <w:rFonts w:ascii="標楷體" w:eastAsia="標楷體" w:hAnsi="標楷體" w:hint="eastAsia"/>
          <w:color w:val="FF0000"/>
          <w:szCs w:val="22"/>
          <w:highlight w:val="yellow"/>
        </w:rPr>
        <w:t>？</w:t>
      </w:r>
      <w:r w:rsidRPr="00043A1E">
        <w:rPr>
          <w:rFonts w:ascii="標楷體" w:eastAsia="標楷體" w:hAnsi="標楷體"/>
          <w:szCs w:val="22"/>
        </w:rPr>
        <w:t>若離於去法</w:t>
      </w:r>
      <w:r w:rsidRPr="00043A1E">
        <w:rPr>
          <w:rFonts w:ascii="標楷體" w:eastAsia="標楷體" w:hAnsi="標楷體" w:hint="eastAsia"/>
          <w:szCs w:val="22"/>
        </w:rPr>
        <w:t>，</w:t>
      </w:r>
      <w:r w:rsidRPr="00043A1E">
        <w:rPr>
          <w:rFonts w:ascii="標楷體" w:eastAsia="標楷體" w:hAnsi="標楷體"/>
          <w:szCs w:val="22"/>
        </w:rPr>
        <w:t>去時不可得</w:t>
      </w:r>
      <w:r w:rsidRPr="00043A1E">
        <w:rPr>
          <w:rFonts w:ascii="標楷體" w:eastAsia="標楷體" w:hAnsi="標楷體" w:hint="eastAsia"/>
          <w:szCs w:val="22"/>
        </w:rPr>
        <w:t>。</w:t>
      </w:r>
    </w:p>
    <w:p w:rsidR="00157EF6" w:rsidRPr="00043A1E" w:rsidRDefault="00157EF6" w:rsidP="00AA120F">
      <w:pPr>
        <w:pStyle w:val="a5"/>
        <w:spacing w:line="300" w:lineRule="exact"/>
        <w:ind w:leftChars="105" w:left="791" w:hangingChars="245" w:hanging="539"/>
        <w:jc w:val="both"/>
        <w:rPr>
          <w:szCs w:val="22"/>
        </w:rPr>
      </w:pPr>
      <w:r w:rsidRPr="00043A1E">
        <w:rPr>
          <w:szCs w:val="22"/>
        </w:rPr>
        <w:t>（</w:t>
      </w:r>
      <w:r w:rsidRPr="00761EF3">
        <w:rPr>
          <w:rFonts w:hint="eastAsia"/>
          <w:szCs w:val="22"/>
        </w:rPr>
        <w:t>2</w:t>
      </w:r>
      <w:r w:rsidRPr="00043A1E">
        <w:rPr>
          <w:szCs w:val="22"/>
        </w:rPr>
        <w:t>）</w:t>
      </w:r>
      <w:r w:rsidRPr="00043A1E">
        <w:rPr>
          <w:rFonts w:hint="eastAsia"/>
          <w:szCs w:val="22"/>
        </w:rPr>
        <w:t>印順法師，《中觀論頌講記》，</w:t>
      </w:r>
      <w:r w:rsidRPr="00761EF3">
        <w:rPr>
          <w:rFonts w:hint="eastAsia"/>
          <w:szCs w:val="22"/>
        </w:rPr>
        <w:t>p</w:t>
      </w:r>
      <w:r w:rsidRPr="00043A1E">
        <w:rPr>
          <w:rFonts w:hint="eastAsia"/>
          <w:szCs w:val="22"/>
        </w:rPr>
        <w:t>.</w:t>
      </w:r>
      <w:r w:rsidRPr="00761EF3">
        <w:rPr>
          <w:rFonts w:hint="eastAsia"/>
          <w:szCs w:val="22"/>
        </w:rPr>
        <w:t>86</w:t>
      </w:r>
      <w:r w:rsidRPr="00043A1E">
        <w:rPr>
          <w:rFonts w:hint="eastAsia"/>
          <w:szCs w:val="22"/>
        </w:rPr>
        <w:t>：</w:t>
      </w:r>
    </w:p>
    <w:p w:rsidR="00157EF6" w:rsidRPr="00043A1E" w:rsidRDefault="00157EF6" w:rsidP="00AA120F">
      <w:pPr>
        <w:pStyle w:val="a5"/>
        <w:spacing w:line="300" w:lineRule="exact"/>
        <w:ind w:leftChars="335" w:left="804"/>
        <w:jc w:val="both"/>
        <w:rPr>
          <w:rFonts w:ascii="標楷體" w:eastAsia="標楷體" w:hAnsi="標楷體"/>
          <w:szCs w:val="22"/>
        </w:rPr>
      </w:pPr>
      <w:r w:rsidRPr="00043A1E">
        <w:rPr>
          <w:rFonts w:ascii="標楷體" w:eastAsia="標楷體" w:hAnsi="標楷體" w:hint="eastAsia"/>
          <w:szCs w:val="22"/>
        </w:rPr>
        <w:t>外人要執著有去時，去時中有去，那要觀察去時到底是什麼？要知道，時間是在諸法的動作變異上建立的，不能離開具體的運動者，執著另有一實體的時間。時間不離動作而存在，這是不容否認的。那麼，怎麼「於去時」中「而」說應「當有去法」呢？為什麼不能說去時中有去？因為「若離於去法，去時不可得」。</w:t>
      </w:r>
    </w:p>
  </w:footnote>
  <w:footnote w:id="554">
    <w:p w:rsidR="00157EF6" w:rsidRPr="00043A1E" w:rsidRDefault="00157EF6" w:rsidP="00AA120F">
      <w:pPr>
        <w:pStyle w:val="a5"/>
        <w:spacing w:line="0" w:lineRule="atLeast"/>
        <w:ind w:left="253" w:hangingChars="115" w:hanging="253"/>
        <w:jc w:val="both"/>
        <w:rPr>
          <w:szCs w:val="22"/>
          <w:u w:val="single"/>
        </w:rPr>
      </w:pPr>
      <w:r w:rsidRPr="00043A1E">
        <w:rPr>
          <w:rStyle w:val="a6"/>
          <w:szCs w:val="22"/>
        </w:rPr>
        <w:footnoteRef/>
      </w:r>
      <w:r w:rsidRPr="00043A1E">
        <w:rPr>
          <w:rFonts w:hint="eastAsia"/>
          <w:szCs w:val="22"/>
        </w:rPr>
        <w:t xml:space="preserve"> </w:t>
      </w:r>
      <w:r w:rsidRPr="00043A1E">
        <w:rPr>
          <w:szCs w:val="22"/>
        </w:rPr>
        <w:t>十二時：</w:t>
      </w:r>
      <w:r w:rsidRPr="00761EF3">
        <w:rPr>
          <w:szCs w:val="22"/>
        </w:rPr>
        <w:t>1</w:t>
      </w:r>
      <w:r w:rsidRPr="00043A1E">
        <w:rPr>
          <w:szCs w:val="22"/>
        </w:rPr>
        <w:t>.</w:t>
      </w:r>
      <w:r w:rsidRPr="00043A1E">
        <w:rPr>
          <w:szCs w:val="22"/>
        </w:rPr>
        <w:t>古時分一晝夜為十二時，以干支為記。《左傳</w:t>
      </w:r>
      <w:r w:rsidRPr="00043A1E">
        <w:rPr>
          <w:rFonts w:ascii="新細明體" w:hAnsi="新細明體" w:cs="新細明體" w:hint="eastAsia"/>
          <w:szCs w:val="22"/>
        </w:rPr>
        <w:t>‧</w:t>
      </w:r>
      <w:r w:rsidRPr="00043A1E">
        <w:rPr>
          <w:szCs w:val="22"/>
        </w:rPr>
        <w:t>昭公五年》杜預</w:t>
      </w:r>
      <w:r w:rsidRPr="00043A1E">
        <w:rPr>
          <w:szCs w:val="22"/>
        </w:rPr>
        <w:t xml:space="preserve"> </w:t>
      </w:r>
      <w:r w:rsidRPr="00043A1E">
        <w:rPr>
          <w:szCs w:val="22"/>
        </w:rPr>
        <w:t>注有夜半、雞鳴、平旦、日出、食時、隅中、日中、日映、晡時、日入、黃昏、人定等名目，雖不立十二支之目，但已分十二時。至以十二支記時，《南齊書</w:t>
      </w:r>
      <w:r w:rsidRPr="00043A1E">
        <w:rPr>
          <w:rFonts w:ascii="新細明體" w:hAnsi="新細明體" w:cs="新細明體" w:hint="eastAsia"/>
          <w:szCs w:val="22"/>
        </w:rPr>
        <w:t>‧</w:t>
      </w:r>
      <w:r w:rsidRPr="00043A1E">
        <w:rPr>
          <w:szCs w:val="22"/>
        </w:rPr>
        <w:t>天文志》始有之。參閱</w:t>
      </w:r>
      <w:r w:rsidRPr="00043A1E">
        <w:rPr>
          <w:szCs w:val="22"/>
        </w:rPr>
        <w:t xml:space="preserve"> </w:t>
      </w:r>
      <w:r w:rsidRPr="00043A1E">
        <w:rPr>
          <w:szCs w:val="22"/>
        </w:rPr>
        <w:t>清</w:t>
      </w:r>
      <w:r w:rsidRPr="00043A1E">
        <w:rPr>
          <w:szCs w:val="22"/>
        </w:rPr>
        <w:t xml:space="preserve"> </w:t>
      </w:r>
      <w:r w:rsidRPr="00043A1E">
        <w:rPr>
          <w:szCs w:val="22"/>
        </w:rPr>
        <w:t>趙翼《陔餘叢考</w:t>
      </w:r>
      <w:r w:rsidRPr="00043A1E">
        <w:rPr>
          <w:rFonts w:ascii="新細明體" w:hAnsi="新細明體" w:cs="新細明體" w:hint="eastAsia"/>
          <w:szCs w:val="22"/>
        </w:rPr>
        <w:t>‧</w:t>
      </w:r>
      <w:r w:rsidRPr="00043A1E">
        <w:rPr>
          <w:szCs w:val="22"/>
        </w:rPr>
        <w:t>一日十二時始於漢》、楊伯峻《春秋左傳注</w:t>
      </w:r>
      <w:r w:rsidRPr="00043A1E">
        <w:rPr>
          <w:rFonts w:ascii="新細明體" w:hAnsi="新細明體" w:cs="新細明體" w:hint="eastAsia"/>
          <w:szCs w:val="22"/>
        </w:rPr>
        <w:t>‧</w:t>
      </w:r>
      <w:r w:rsidRPr="00043A1E">
        <w:rPr>
          <w:szCs w:val="22"/>
        </w:rPr>
        <w:t>昭公五年》</w:t>
      </w:r>
      <w:r w:rsidRPr="00043A1E">
        <w:rPr>
          <w:szCs w:val="22"/>
        </w:rPr>
        <w:t>“</w:t>
      </w:r>
      <w:r w:rsidRPr="00043A1E">
        <w:rPr>
          <w:szCs w:val="22"/>
        </w:rPr>
        <w:t>十時</w:t>
      </w:r>
      <w:r w:rsidRPr="00043A1E">
        <w:rPr>
          <w:szCs w:val="22"/>
        </w:rPr>
        <w:t>”</w:t>
      </w:r>
      <w:r w:rsidRPr="00043A1E">
        <w:rPr>
          <w:szCs w:val="22"/>
        </w:rPr>
        <w:t>注。（《漢語大詞典》（一），</w:t>
      </w:r>
      <w:r w:rsidRPr="00761EF3">
        <w:rPr>
          <w:szCs w:val="22"/>
        </w:rPr>
        <w:t>p</w:t>
      </w:r>
      <w:r w:rsidRPr="00043A1E">
        <w:rPr>
          <w:szCs w:val="22"/>
        </w:rPr>
        <w:t>.</w:t>
      </w:r>
      <w:r w:rsidRPr="00761EF3">
        <w:rPr>
          <w:szCs w:val="22"/>
        </w:rPr>
        <w:t>807</w:t>
      </w:r>
      <w:r w:rsidRPr="00043A1E">
        <w:rPr>
          <w:szCs w:val="22"/>
        </w:rPr>
        <w:t>）</w:t>
      </w:r>
    </w:p>
  </w:footnote>
  <w:footnote w:id="555">
    <w:p w:rsidR="00157EF6" w:rsidRPr="00043A1E" w:rsidRDefault="00157EF6" w:rsidP="00AA120F">
      <w:pPr>
        <w:pStyle w:val="a5"/>
        <w:spacing w:line="0" w:lineRule="atLeast"/>
        <w:ind w:left="792" w:hangingChars="360" w:hanging="792"/>
        <w:jc w:val="both"/>
        <w:rPr>
          <w:rFonts w:hAnsi="新細明體"/>
          <w:szCs w:val="22"/>
        </w:rPr>
      </w:pPr>
      <w:r w:rsidRPr="00043A1E">
        <w:rPr>
          <w:rStyle w:val="a6"/>
          <w:szCs w:val="22"/>
        </w:rPr>
        <w:footnoteRef/>
      </w:r>
      <w:r w:rsidRPr="00043A1E">
        <w:rPr>
          <w:rFonts w:hAnsi="Arial" w:hint="eastAsia"/>
          <w:szCs w:val="22"/>
        </w:rPr>
        <w:t xml:space="preserve"> </w:t>
      </w:r>
      <w:r w:rsidRPr="00043A1E">
        <w:rPr>
          <w:rFonts w:hAnsi="Arial"/>
          <w:szCs w:val="22"/>
        </w:rPr>
        <w:t>（</w:t>
      </w:r>
      <w:r w:rsidRPr="00761EF3">
        <w:rPr>
          <w:rFonts w:hint="eastAsia"/>
          <w:szCs w:val="22"/>
        </w:rPr>
        <w:t>1</w:t>
      </w:r>
      <w:r w:rsidRPr="00043A1E">
        <w:rPr>
          <w:rFonts w:hAnsi="Arial"/>
          <w:szCs w:val="22"/>
        </w:rPr>
        <w:t>）</w:t>
      </w:r>
      <w:r w:rsidRPr="00043A1E">
        <w:rPr>
          <w:rFonts w:hAnsi="新細明體"/>
          <w:szCs w:val="22"/>
        </w:rPr>
        <w:t>《阿毘達磨大毘婆沙論》卷</w:t>
      </w:r>
      <w:r w:rsidRPr="00761EF3">
        <w:rPr>
          <w:szCs w:val="22"/>
        </w:rPr>
        <w:t>179</w:t>
      </w:r>
      <w:r w:rsidR="000058DD" w:rsidRPr="00043A1E">
        <w:rPr>
          <w:rFonts w:hint="eastAsia"/>
          <w:szCs w:val="22"/>
        </w:rPr>
        <w:t>（大正</w:t>
      </w:r>
      <w:r w:rsidR="000058DD" w:rsidRPr="00761EF3">
        <w:rPr>
          <w:szCs w:val="22"/>
        </w:rPr>
        <w:t>27</w:t>
      </w:r>
      <w:r w:rsidR="000058DD" w:rsidRPr="00043A1E">
        <w:rPr>
          <w:rFonts w:hint="eastAsia"/>
          <w:szCs w:val="22"/>
        </w:rPr>
        <w:t>，</w:t>
      </w:r>
      <w:r w:rsidR="000058DD" w:rsidRPr="00761EF3">
        <w:rPr>
          <w:szCs w:val="22"/>
        </w:rPr>
        <w:t>898a28</w:t>
      </w:r>
      <w:r w:rsidR="000058DD" w:rsidRPr="00043A1E">
        <w:rPr>
          <w:rFonts w:hint="eastAsia"/>
          <w:szCs w:val="22"/>
        </w:rPr>
        <w:t>）</w:t>
      </w:r>
      <w:r w:rsidRPr="00043A1E">
        <w:rPr>
          <w:rFonts w:hAnsi="新細明體"/>
          <w:szCs w:val="22"/>
        </w:rPr>
        <w:t>：「</w:t>
      </w:r>
      <w:r w:rsidRPr="00043A1E">
        <w:rPr>
          <w:rFonts w:ascii="標楷體" w:eastAsia="標楷體" w:hAnsi="標楷體" w:hint="eastAsia"/>
          <w:szCs w:val="22"/>
        </w:rPr>
        <w:t>時謂六時，即日、夜各</w:t>
      </w:r>
      <w:r w:rsidR="00C81A71">
        <w:rPr>
          <w:rFonts w:ascii="標楷體" w:eastAsia="標楷體" w:hAnsi="標楷體" w:hint="eastAsia"/>
          <w:color w:val="FF0000"/>
          <w:kern w:val="0"/>
          <w:highlight w:val="yellow"/>
        </w:rPr>
        <w:t>『</w:t>
      </w:r>
      <w:r w:rsidRPr="00043A1E">
        <w:rPr>
          <w:rFonts w:ascii="標楷體" w:eastAsia="標楷體" w:hAnsi="標楷體" w:hint="eastAsia"/>
          <w:szCs w:val="22"/>
        </w:rPr>
        <w:t>初、中、後</w:t>
      </w:r>
      <w:r w:rsidR="00C81A71">
        <w:rPr>
          <w:rFonts w:ascii="標楷體" w:eastAsia="標楷體" w:hAnsi="標楷體" w:hint="eastAsia"/>
          <w:color w:val="FF0000"/>
          <w:kern w:val="0"/>
          <w:highlight w:val="yellow"/>
        </w:rPr>
        <w:t>』</w:t>
      </w:r>
      <w:r w:rsidRPr="00043A1E">
        <w:rPr>
          <w:rFonts w:ascii="標楷體" w:eastAsia="標楷體" w:hAnsi="標楷體" w:hint="eastAsia"/>
          <w:szCs w:val="22"/>
        </w:rPr>
        <w:t>分。</w:t>
      </w:r>
      <w:r w:rsidRPr="00043A1E">
        <w:rPr>
          <w:rFonts w:hAnsi="新細明體"/>
          <w:szCs w:val="22"/>
        </w:rPr>
        <w:t>」</w:t>
      </w:r>
    </w:p>
    <w:p w:rsidR="00157EF6" w:rsidRPr="00043A1E" w:rsidRDefault="00157EF6" w:rsidP="00AA120F">
      <w:pPr>
        <w:pStyle w:val="a5"/>
        <w:ind w:leftChars="105" w:left="791" w:hangingChars="245" w:hanging="539"/>
        <w:jc w:val="both"/>
        <w:rPr>
          <w:rFonts w:hAnsi="新細明體"/>
          <w:szCs w:val="22"/>
        </w:rPr>
      </w:pPr>
      <w:r w:rsidRPr="00043A1E">
        <w:rPr>
          <w:rFonts w:hAnsi="Arial"/>
          <w:szCs w:val="22"/>
        </w:rPr>
        <w:t>（</w:t>
      </w:r>
      <w:r w:rsidRPr="00761EF3">
        <w:rPr>
          <w:rFonts w:hint="eastAsia"/>
          <w:szCs w:val="22"/>
        </w:rPr>
        <w:t>2</w:t>
      </w:r>
      <w:r w:rsidRPr="00043A1E">
        <w:rPr>
          <w:rFonts w:hAnsi="Arial"/>
          <w:szCs w:val="22"/>
        </w:rPr>
        <w:t>）</w:t>
      </w:r>
      <w:r w:rsidRPr="00043A1E">
        <w:rPr>
          <w:rFonts w:hAnsi="新細明體" w:hint="eastAsia"/>
          <w:szCs w:val="22"/>
        </w:rPr>
        <w:t>《大智度論》卷</w:t>
      </w:r>
      <w:r w:rsidRPr="00761EF3">
        <w:rPr>
          <w:rFonts w:hint="eastAsia"/>
          <w:szCs w:val="22"/>
        </w:rPr>
        <w:t>48</w:t>
      </w:r>
      <w:r w:rsidR="00E64597">
        <w:rPr>
          <w:rFonts w:hint="eastAsia"/>
          <w:color w:val="FF0000"/>
          <w:szCs w:val="22"/>
          <w:highlight w:val="yellow"/>
        </w:rPr>
        <w:t>釋</w:t>
      </w:r>
      <w:r w:rsidRPr="00043A1E">
        <w:rPr>
          <w:rFonts w:hAnsi="新細明體" w:hint="eastAsia"/>
          <w:szCs w:val="22"/>
        </w:rPr>
        <w:t>〈</w:t>
      </w:r>
      <w:r w:rsidRPr="00761EF3">
        <w:rPr>
          <w:rFonts w:hint="eastAsia"/>
          <w:szCs w:val="22"/>
        </w:rPr>
        <w:t>19</w:t>
      </w:r>
      <w:r w:rsidRPr="00043A1E">
        <w:rPr>
          <w:rFonts w:hint="eastAsia"/>
          <w:szCs w:val="22"/>
        </w:rPr>
        <w:t xml:space="preserve"> </w:t>
      </w:r>
      <w:r w:rsidRPr="00043A1E">
        <w:rPr>
          <w:rFonts w:hAnsi="新細明體" w:hint="eastAsia"/>
          <w:szCs w:val="22"/>
        </w:rPr>
        <w:t>四念處品〉（大正</w:t>
      </w:r>
      <w:r w:rsidRPr="00761EF3">
        <w:rPr>
          <w:rFonts w:hint="eastAsia"/>
          <w:szCs w:val="22"/>
        </w:rPr>
        <w:t>25</w:t>
      </w:r>
      <w:r w:rsidRPr="00043A1E">
        <w:rPr>
          <w:rFonts w:hAnsi="新細明體" w:hint="eastAsia"/>
          <w:szCs w:val="22"/>
        </w:rPr>
        <w:t>，</w:t>
      </w:r>
      <w:r w:rsidRPr="00761EF3">
        <w:rPr>
          <w:rFonts w:hint="eastAsia"/>
          <w:szCs w:val="22"/>
        </w:rPr>
        <w:t>409b25</w:t>
      </w:r>
      <w:r w:rsidRPr="00043A1E">
        <w:rPr>
          <w:rFonts w:hint="eastAsia"/>
          <w:szCs w:val="22"/>
        </w:rPr>
        <w:t>-</w:t>
      </w:r>
      <w:r w:rsidRPr="00761EF3">
        <w:rPr>
          <w:rFonts w:hint="eastAsia"/>
          <w:szCs w:val="22"/>
        </w:rPr>
        <w:t>27</w:t>
      </w:r>
      <w:r w:rsidRPr="00043A1E">
        <w:rPr>
          <w:rFonts w:hAnsi="新細明體" w:hint="eastAsia"/>
          <w:szCs w:val="22"/>
        </w:rPr>
        <w:t>）：</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「日月歲節」者，日名從旦至旦，初分、中分、後分，夜亦三分。</w:t>
      </w:r>
      <w:r w:rsidRPr="00043A1E">
        <w:rPr>
          <w:rFonts w:ascii="標楷體" w:eastAsia="標楷體" w:hAnsi="標楷體" w:hint="eastAsia"/>
          <w:b/>
          <w:szCs w:val="22"/>
        </w:rPr>
        <w:t>一日一夜有三十時</w:t>
      </w:r>
      <w:r w:rsidRPr="00043A1E">
        <w:rPr>
          <w:rFonts w:ascii="標楷體" w:eastAsia="標楷體" w:hAnsi="標楷體" w:hint="eastAsia"/>
          <w:szCs w:val="22"/>
        </w:rPr>
        <w:t>：春、秋分時，十五時屬晝，十五時屬夜，餘時增減。</w:t>
      </w:r>
    </w:p>
  </w:footnote>
  <w:footnote w:id="556">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《大智度論》卷</w:t>
      </w:r>
      <w:r w:rsidRPr="00761EF3">
        <w:rPr>
          <w:szCs w:val="22"/>
        </w:rPr>
        <w:t>48</w:t>
      </w:r>
      <w:r w:rsidR="00E64597">
        <w:rPr>
          <w:rFonts w:hint="eastAsia"/>
          <w:color w:val="FF0000"/>
          <w:szCs w:val="22"/>
          <w:highlight w:val="yellow"/>
        </w:rPr>
        <w:t>釋</w:t>
      </w:r>
      <w:r w:rsidRPr="00043A1E">
        <w:rPr>
          <w:szCs w:val="22"/>
        </w:rPr>
        <w:t>〈</w:t>
      </w:r>
      <w:r w:rsidRPr="00761EF3">
        <w:rPr>
          <w:szCs w:val="22"/>
        </w:rPr>
        <w:t>19</w:t>
      </w:r>
      <w:r w:rsidRPr="00043A1E">
        <w:rPr>
          <w:rFonts w:hint="eastAsia"/>
          <w:szCs w:val="22"/>
        </w:rPr>
        <w:t xml:space="preserve"> </w:t>
      </w:r>
      <w:r w:rsidRPr="00043A1E">
        <w:rPr>
          <w:rFonts w:hint="eastAsia"/>
          <w:szCs w:val="22"/>
        </w:rPr>
        <w:t>四念處品〉（</w:t>
      </w:r>
      <w:r w:rsidRPr="00043A1E">
        <w:rPr>
          <w:szCs w:val="22"/>
        </w:rPr>
        <w:t>大正</w:t>
      </w:r>
      <w:r w:rsidRPr="00761EF3">
        <w:rPr>
          <w:szCs w:val="22"/>
        </w:rPr>
        <w:t>25</w:t>
      </w:r>
      <w:r w:rsidRPr="00043A1E">
        <w:rPr>
          <w:szCs w:val="22"/>
        </w:rPr>
        <w:t>，</w:t>
      </w:r>
      <w:r w:rsidRPr="00761EF3">
        <w:rPr>
          <w:szCs w:val="22"/>
        </w:rPr>
        <w:t>409c1</w:t>
      </w:r>
      <w:r w:rsidRPr="00043A1E">
        <w:rPr>
          <w:szCs w:val="22"/>
        </w:rPr>
        <w:t>-</w:t>
      </w:r>
      <w:r w:rsidRPr="00761EF3">
        <w:rPr>
          <w:szCs w:val="22"/>
        </w:rPr>
        <w:t>7</w:t>
      </w:r>
      <w:r w:rsidRPr="00043A1E">
        <w:rPr>
          <w:szCs w:val="22"/>
        </w:rPr>
        <w:t>）</w:t>
      </w:r>
      <w:r w:rsidRPr="00043A1E">
        <w:rPr>
          <w:rFonts w:hint="eastAsia"/>
          <w:szCs w:val="22"/>
        </w:rPr>
        <w:t>：</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hint="eastAsia"/>
          <w:szCs w:val="22"/>
        </w:rPr>
        <w:t>有四種月：一者、日月，</w:t>
      </w:r>
      <w:r w:rsidRPr="00043A1E">
        <w:rPr>
          <w:rFonts w:ascii="標楷體" w:eastAsia="標楷體" w:hAnsi="標楷體" w:hint="eastAsia"/>
          <w:b/>
          <w:szCs w:val="22"/>
        </w:rPr>
        <w:t>二者、世間月</w:t>
      </w:r>
      <w:r w:rsidRPr="00043A1E">
        <w:rPr>
          <w:rFonts w:ascii="標楷體" w:eastAsia="標楷體" w:hAnsi="標楷體" w:hint="eastAsia"/>
          <w:szCs w:val="22"/>
        </w:rPr>
        <w:t>，三者、月月，四者、星宿月。</w:t>
      </w:r>
    </w:p>
    <w:p w:rsidR="00157EF6" w:rsidRPr="00043A1E" w:rsidRDefault="00C81A71" w:rsidP="00AA120F">
      <w:pPr>
        <w:pStyle w:val="a5"/>
        <w:ind w:leftChars="105" w:left="252"/>
        <w:jc w:val="both"/>
        <w:rPr>
          <w:rFonts w:ascii="標楷體" w:eastAsia="標楷體" w:hAnsi="標楷體"/>
          <w:szCs w:val="22"/>
        </w:rPr>
      </w:pP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日月</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者，三十日半；</w:t>
      </w:r>
      <w:r>
        <w:rPr>
          <w:rFonts w:ascii="標楷體" w:eastAsia="標楷體" w:hAnsi="標楷體" w:hint="eastAsia"/>
          <w:bCs/>
          <w:color w:val="FF0000"/>
          <w:kern w:val="0"/>
          <w:highlight w:val="yellow"/>
        </w:rPr>
        <w:t>「</w:t>
      </w:r>
      <w:r w:rsidR="00157EF6" w:rsidRPr="00043A1E">
        <w:rPr>
          <w:rFonts w:ascii="標楷體" w:eastAsia="標楷體" w:hAnsi="標楷體" w:hint="eastAsia"/>
          <w:b/>
          <w:szCs w:val="22"/>
        </w:rPr>
        <w:t>世間月</w:t>
      </w:r>
      <w:r>
        <w:rPr>
          <w:rFonts w:ascii="標楷體" w:eastAsia="標楷體" w:hAnsi="標楷體" w:hint="eastAsia"/>
          <w:bCs/>
          <w:color w:val="FF0000"/>
          <w:kern w:val="0"/>
          <w:highlight w:val="yellow"/>
        </w:rPr>
        <w:t>」</w:t>
      </w:r>
      <w:r w:rsidR="00157EF6" w:rsidRPr="00043A1E">
        <w:rPr>
          <w:rFonts w:ascii="標楷體" w:eastAsia="標楷體" w:hAnsi="標楷體" w:hint="eastAsia"/>
          <w:b/>
          <w:szCs w:val="22"/>
        </w:rPr>
        <w:t>者，三十日</w:t>
      </w:r>
      <w:r w:rsidR="00157EF6" w:rsidRPr="00043A1E">
        <w:rPr>
          <w:rFonts w:ascii="標楷體" w:eastAsia="標楷體" w:hAnsi="標楷體" w:hint="eastAsia"/>
          <w:szCs w:val="22"/>
        </w:rPr>
        <w:t>；</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月月</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者，二十九日加六十二分之三十；</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星宿月</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者，二十七日，加六十七分之二十一。</w:t>
      </w:r>
    </w:p>
    <w:p w:rsidR="00157EF6" w:rsidRPr="00043A1E" w:rsidRDefault="00C81A71" w:rsidP="00AA120F">
      <w:pPr>
        <w:pStyle w:val="a5"/>
        <w:ind w:leftChars="110" w:left="264"/>
        <w:jc w:val="both"/>
        <w:rPr>
          <w:szCs w:val="22"/>
        </w:rPr>
      </w:pP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閏月</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者，從</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日月、世間月</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二事中出，是名十三月。或十二月</w:t>
      </w:r>
      <w:r>
        <w:rPr>
          <w:rFonts w:ascii="標楷體" w:eastAsia="標楷體" w:hAnsi="標楷體" w:hint="eastAsia"/>
          <w:color w:val="FF0000"/>
          <w:szCs w:val="22"/>
          <w:highlight w:val="yellow"/>
        </w:rPr>
        <w:t>、</w:t>
      </w:r>
      <w:r w:rsidR="00157EF6" w:rsidRPr="00043A1E">
        <w:rPr>
          <w:rFonts w:ascii="標楷體" w:eastAsia="標楷體" w:hAnsi="標楷體" w:hint="eastAsia"/>
          <w:szCs w:val="22"/>
        </w:rPr>
        <w:t>或十三</w:t>
      </w:r>
      <w:r w:rsidR="00157EF6" w:rsidRPr="00C81A71">
        <w:rPr>
          <w:rFonts w:ascii="標楷體" w:eastAsia="標楷體" w:hAnsi="標楷體" w:hint="eastAsia"/>
          <w:szCs w:val="22"/>
          <w:highlight w:val="yellow"/>
        </w:rPr>
        <w:t>月名</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一歲</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w:t>
      </w:r>
    </w:p>
  </w:footnote>
  <w:footnote w:id="557">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印順法師，《藥師經講記》，</w:t>
      </w:r>
      <w:r w:rsidRPr="00761EF3">
        <w:rPr>
          <w:rFonts w:hint="eastAsia"/>
          <w:szCs w:val="22"/>
        </w:rPr>
        <w:t>p</w:t>
      </w:r>
      <w:r w:rsidRPr="00043A1E">
        <w:rPr>
          <w:rFonts w:hint="eastAsia"/>
          <w:szCs w:val="22"/>
        </w:rPr>
        <w:t>.</w:t>
      </w:r>
      <w:r w:rsidRPr="00761EF3">
        <w:rPr>
          <w:rFonts w:hint="eastAsia"/>
          <w:szCs w:val="22"/>
        </w:rPr>
        <w:t>81</w:t>
      </w:r>
      <w:r w:rsidRPr="00043A1E">
        <w:rPr>
          <w:rFonts w:hint="eastAsia"/>
          <w:szCs w:val="22"/>
        </w:rPr>
        <w:t>：</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hint="eastAsia"/>
          <w:szCs w:val="22"/>
        </w:rPr>
        <w:t>劫，梵語劫波，義譯為時分；有小劫、中劫、大劫。依佛法說，世界最初成立，人壽八萬四千歲，百年減一歲，慢慢減到人壽十歲時，又百年增一歲，一直增到八萬四千歲；</w:t>
      </w:r>
      <w:r w:rsidRPr="00043A1E">
        <w:rPr>
          <w:rFonts w:ascii="標楷體" w:eastAsia="標楷體" w:hAnsi="標楷體" w:hint="eastAsia"/>
          <w:b/>
          <w:szCs w:val="22"/>
        </w:rPr>
        <w:t>這樣的一減一增，名叫小劫；二十個小劫，為一中劫；八十個小劫為一大劫。</w:t>
      </w:r>
    </w:p>
  </w:footnote>
  <w:footnote w:id="558">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）瀑（ㄅㄠ</w:t>
      </w:r>
      <w:r w:rsidRPr="00043A1E">
        <w:rPr>
          <w:rFonts w:ascii="標楷體" w:eastAsia="標楷體" w:hAnsi="標楷體" w:hint="eastAsia"/>
          <w:szCs w:val="22"/>
        </w:rPr>
        <w:t>ˋ</w:t>
      </w:r>
      <w:r w:rsidRPr="00043A1E">
        <w:rPr>
          <w:rFonts w:hint="eastAsia"/>
          <w:szCs w:val="22"/>
        </w:rPr>
        <w:t>）流：</w:t>
      </w:r>
      <w:r w:rsidRPr="00761EF3">
        <w:rPr>
          <w:rFonts w:hint="eastAsia"/>
          <w:szCs w:val="22"/>
        </w:rPr>
        <w:t>2</w:t>
      </w:r>
      <w:r w:rsidRPr="00043A1E">
        <w:rPr>
          <w:rFonts w:hint="eastAsia"/>
          <w:szCs w:val="22"/>
        </w:rPr>
        <w:t>.</w:t>
      </w:r>
      <w:r w:rsidRPr="00043A1E">
        <w:rPr>
          <w:rFonts w:hint="eastAsia"/>
          <w:szCs w:val="22"/>
        </w:rPr>
        <w:t>猶洪流。（《漢語大詞典》（六），</w:t>
      </w:r>
      <w:r w:rsidRPr="00761EF3">
        <w:rPr>
          <w:rFonts w:hint="eastAsia"/>
          <w:szCs w:val="22"/>
        </w:rPr>
        <w:t>p</w:t>
      </w:r>
      <w:r w:rsidRPr="00043A1E">
        <w:rPr>
          <w:rFonts w:hint="eastAsia"/>
          <w:szCs w:val="22"/>
        </w:rPr>
        <w:t>.</w:t>
      </w:r>
      <w:r w:rsidRPr="00761EF3">
        <w:rPr>
          <w:rFonts w:hint="eastAsia"/>
          <w:szCs w:val="22"/>
        </w:rPr>
        <w:t>201</w:t>
      </w:r>
      <w:r w:rsidRPr="00043A1E">
        <w:rPr>
          <w:rFonts w:hint="eastAsia"/>
          <w:szCs w:val="22"/>
        </w:rPr>
        <w:t>）</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）瀑（ㄆㄨ</w:t>
      </w:r>
      <w:r w:rsidRPr="00043A1E">
        <w:rPr>
          <w:rFonts w:ascii="標楷體" w:eastAsia="標楷體" w:hAnsi="標楷體" w:hint="eastAsia"/>
          <w:szCs w:val="22"/>
        </w:rPr>
        <w:t>ˋ</w:t>
      </w:r>
      <w:r w:rsidRPr="00043A1E">
        <w:rPr>
          <w:rFonts w:hint="eastAsia"/>
          <w:szCs w:val="22"/>
        </w:rPr>
        <w:t>）流：瀑布。（《漢語大詞典》（六），</w:t>
      </w:r>
      <w:r w:rsidRPr="00761EF3">
        <w:rPr>
          <w:rFonts w:hint="eastAsia"/>
          <w:szCs w:val="22"/>
        </w:rPr>
        <w:t>p</w:t>
      </w:r>
      <w:r w:rsidRPr="00043A1E">
        <w:rPr>
          <w:rFonts w:hint="eastAsia"/>
          <w:szCs w:val="22"/>
        </w:rPr>
        <w:t>.</w:t>
      </w:r>
      <w:r w:rsidRPr="00761EF3">
        <w:rPr>
          <w:rFonts w:hint="eastAsia"/>
          <w:szCs w:val="22"/>
        </w:rPr>
        <w:t>201</w:t>
      </w:r>
      <w:r w:rsidRPr="00043A1E">
        <w:rPr>
          <w:rFonts w:hint="eastAsia"/>
          <w:szCs w:val="22"/>
        </w:rPr>
        <w:t>）</w:t>
      </w:r>
    </w:p>
  </w:footnote>
  <w:footnote w:id="559">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平流：平緩地流動。（《漢語大詞典》（二），</w:t>
      </w:r>
      <w:r w:rsidRPr="00761EF3">
        <w:rPr>
          <w:rFonts w:hint="eastAsia"/>
          <w:szCs w:val="22"/>
        </w:rPr>
        <w:t>p</w:t>
      </w:r>
      <w:r w:rsidRPr="00043A1E">
        <w:rPr>
          <w:rFonts w:hint="eastAsia"/>
          <w:szCs w:val="22"/>
        </w:rPr>
        <w:t>.</w:t>
      </w:r>
      <w:r w:rsidRPr="00761EF3">
        <w:rPr>
          <w:szCs w:val="22"/>
        </w:rPr>
        <w:t>9</w:t>
      </w:r>
      <w:r w:rsidRPr="00761EF3">
        <w:rPr>
          <w:rFonts w:hint="eastAsia"/>
          <w:szCs w:val="22"/>
        </w:rPr>
        <w:t>35</w:t>
      </w:r>
      <w:r w:rsidRPr="00043A1E">
        <w:rPr>
          <w:rFonts w:hint="eastAsia"/>
          <w:szCs w:val="22"/>
        </w:rPr>
        <w:t>）</w:t>
      </w:r>
    </w:p>
  </w:footnote>
  <w:footnote w:id="560">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方：</w:t>
      </w:r>
      <w:r w:rsidRPr="00761EF3">
        <w:rPr>
          <w:rFonts w:hint="eastAsia"/>
          <w:szCs w:val="22"/>
        </w:rPr>
        <w:t>41</w:t>
      </w:r>
      <w:r w:rsidRPr="00043A1E">
        <w:rPr>
          <w:rFonts w:hint="eastAsia"/>
          <w:szCs w:val="22"/>
        </w:rPr>
        <w:t>.</w:t>
      </w:r>
      <w:r w:rsidRPr="00043A1E">
        <w:rPr>
          <w:rFonts w:hint="eastAsia"/>
          <w:szCs w:val="22"/>
        </w:rPr>
        <w:t>副詞。僅僅，僅只。（《漢語大詞典》（六），</w:t>
      </w:r>
      <w:r w:rsidRPr="00761EF3">
        <w:rPr>
          <w:rFonts w:hint="eastAsia"/>
          <w:szCs w:val="22"/>
        </w:rPr>
        <w:t>p</w:t>
      </w:r>
      <w:r w:rsidRPr="00043A1E">
        <w:rPr>
          <w:rFonts w:hint="eastAsia"/>
          <w:szCs w:val="22"/>
        </w:rPr>
        <w:t>.</w:t>
      </w:r>
      <w:r w:rsidRPr="00761EF3">
        <w:rPr>
          <w:rFonts w:hint="eastAsia"/>
          <w:szCs w:val="22"/>
        </w:rPr>
        <w:t>1549</w:t>
      </w:r>
      <w:r w:rsidRPr="00043A1E">
        <w:rPr>
          <w:rFonts w:hint="eastAsia"/>
          <w:szCs w:val="22"/>
        </w:rPr>
        <w:t>）</w:t>
      </w:r>
    </w:p>
  </w:footnote>
  <w:footnote w:id="561">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rFonts w:hint="eastAsia"/>
          <w:szCs w:val="22"/>
        </w:rPr>
        <w:t>相入：</w:t>
      </w:r>
      <w:r w:rsidRPr="00761EF3">
        <w:rPr>
          <w:szCs w:val="22"/>
        </w:rPr>
        <w:t>1</w:t>
      </w:r>
      <w:r w:rsidRPr="00043A1E">
        <w:rPr>
          <w:szCs w:val="22"/>
        </w:rPr>
        <w:t>.</w:t>
      </w:r>
      <w:r w:rsidRPr="00043A1E">
        <w:rPr>
          <w:szCs w:val="22"/>
        </w:rPr>
        <w:t>互相為用，彼此投合</w:t>
      </w:r>
      <w:r w:rsidRPr="00043A1E">
        <w:rPr>
          <w:rFonts w:hint="eastAsia"/>
          <w:szCs w:val="22"/>
        </w:rPr>
        <w:t>。</w:t>
      </w:r>
      <w:r w:rsidRPr="00761EF3">
        <w:rPr>
          <w:szCs w:val="22"/>
        </w:rPr>
        <w:t>2</w:t>
      </w:r>
      <w:r w:rsidRPr="00043A1E">
        <w:rPr>
          <w:szCs w:val="22"/>
        </w:rPr>
        <w:t>.</w:t>
      </w:r>
      <w:r w:rsidRPr="00043A1E">
        <w:rPr>
          <w:szCs w:val="22"/>
        </w:rPr>
        <w:t>佛教語，猶包含。（《</w:t>
      </w:r>
      <w:r w:rsidRPr="00043A1E">
        <w:rPr>
          <w:rFonts w:hint="eastAsia"/>
          <w:szCs w:val="22"/>
        </w:rPr>
        <w:t>漢語大詞典</w:t>
      </w:r>
      <w:r w:rsidRPr="00043A1E">
        <w:rPr>
          <w:szCs w:val="22"/>
        </w:rPr>
        <w:t>》</w:t>
      </w:r>
      <w:r w:rsidRPr="00043A1E">
        <w:rPr>
          <w:rFonts w:hint="eastAsia"/>
          <w:szCs w:val="22"/>
        </w:rPr>
        <w:t>（七），</w:t>
      </w:r>
      <w:r w:rsidRPr="00761EF3">
        <w:rPr>
          <w:rFonts w:hint="eastAsia"/>
          <w:szCs w:val="22"/>
        </w:rPr>
        <w:t>p</w:t>
      </w:r>
      <w:r w:rsidRPr="00043A1E">
        <w:rPr>
          <w:rFonts w:hint="eastAsia"/>
          <w:szCs w:val="22"/>
        </w:rPr>
        <w:t>.</w:t>
      </w:r>
      <w:r w:rsidRPr="00761EF3">
        <w:rPr>
          <w:rFonts w:hint="eastAsia"/>
          <w:szCs w:val="22"/>
        </w:rPr>
        <w:t>1135</w:t>
      </w:r>
      <w:r w:rsidRPr="00043A1E">
        <w:rPr>
          <w:rFonts w:hint="eastAsia"/>
          <w:szCs w:val="22"/>
        </w:rPr>
        <w:t>）</w:t>
      </w:r>
    </w:p>
  </w:footnote>
  <w:footnote w:id="562">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大全</w:t>
      </w:r>
      <w:r w:rsidRPr="00043A1E">
        <w:rPr>
          <w:rFonts w:hint="eastAsia"/>
          <w:szCs w:val="22"/>
        </w:rPr>
        <w:t>：全部。（《漢語大詞典》（二），</w:t>
      </w:r>
      <w:r w:rsidRPr="00761EF3">
        <w:rPr>
          <w:rFonts w:hint="eastAsia"/>
          <w:szCs w:val="22"/>
        </w:rPr>
        <w:t>p</w:t>
      </w:r>
      <w:r w:rsidRPr="00043A1E">
        <w:rPr>
          <w:rFonts w:hint="eastAsia"/>
          <w:szCs w:val="22"/>
        </w:rPr>
        <w:t>.</w:t>
      </w:r>
      <w:r w:rsidRPr="00761EF3">
        <w:rPr>
          <w:rFonts w:hint="eastAsia"/>
          <w:szCs w:val="22"/>
        </w:rPr>
        <w:t>1338</w:t>
      </w:r>
      <w:r w:rsidRPr="00043A1E">
        <w:rPr>
          <w:rFonts w:hint="eastAsia"/>
          <w:szCs w:val="22"/>
        </w:rPr>
        <w:t>）</w:t>
      </w:r>
    </w:p>
  </w:footnote>
  <w:footnote w:id="563">
    <w:p w:rsidR="00157EF6" w:rsidRPr="00043A1E" w:rsidRDefault="00157EF6" w:rsidP="00AA120F">
      <w:pPr>
        <w:pStyle w:val="a5"/>
        <w:spacing w:line="0" w:lineRule="atLeast"/>
        <w:ind w:left="253" w:hangingChars="115" w:hanging="253"/>
        <w:jc w:val="both"/>
        <w:rPr>
          <w:rFonts w:eastAsia="標楷體"/>
          <w:szCs w:val="22"/>
        </w:rPr>
      </w:pPr>
      <w:r w:rsidRPr="00043A1E">
        <w:rPr>
          <w:rStyle w:val="a6"/>
          <w:szCs w:val="22"/>
        </w:rPr>
        <w:footnoteRef/>
      </w:r>
      <w:r w:rsidRPr="00043A1E">
        <w:rPr>
          <w:rFonts w:eastAsia="SimSun"/>
          <w:szCs w:val="22"/>
        </w:rPr>
        <w:t xml:space="preserve"> </w:t>
      </w:r>
      <w:r w:rsidRPr="00043A1E">
        <w:rPr>
          <w:szCs w:val="22"/>
        </w:rPr>
        <w:t>印順</w:t>
      </w:r>
      <w:r w:rsidRPr="00043A1E">
        <w:rPr>
          <w:rFonts w:hint="eastAsia"/>
          <w:szCs w:val="22"/>
        </w:rPr>
        <w:t>法師</w:t>
      </w:r>
      <w:r w:rsidRPr="00043A1E">
        <w:rPr>
          <w:szCs w:val="22"/>
        </w:rPr>
        <w:t>，《中觀論頌講記》，</w:t>
      </w:r>
      <w:r w:rsidRPr="00761EF3">
        <w:rPr>
          <w:rFonts w:eastAsia="標楷體"/>
          <w:szCs w:val="22"/>
        </w:rPr>
        <w:t>p</w:t>
      </w:r>
      <w:r w:rsidRPr="00043A1E">
        <w:rPr>
          <w:rFonts w:eastAsia="標楷體"/>
          <w:szCs w:val="22"/>
        </w:rPr>
        <w:t>.</w:t>
      </w:r>
      <w:r w:rsidRPr="00761EF3">
        <w:rPr>
          <w:rFonts w:eastAsia="標楷體"/>
          <w:szCs w:val="22"/>
        </w:rPr>
        <w:t>346</w:t>
      </w:r>
      <w:r w:rsidRPr="00043A1E">
        <w:rPr>
          <w:rFonts w:eastAsia="標楷體"/>
          <w:szCs w:val="22"/>
        </w:rPr>
        <w:t>：</w:t>
      </w:r>
    </w:p>
    <w:p w:rsidR="00157EF6" w:rsidRPr="00043A1E" w:rsidRDefault="00157EF6" w:rsidP="00AA120F">
      <w:pPr>
        <w:snapToGrid w:val="0"/>
        <w:ind w:leftChars="105" w:left="252"/>
        <w:jc w:val="both"/>
        <w:rPr>
          <w:rFonts w:ascii="Times New Roman" w:hAnsi="Times New Roman"/>
          <w:sz w:val="22"/>
          <w:szCs w:val="22"/>
        </w:rPr>
      </w:pPr>
      <w:r w:rsidRPr="00043A1E">
        <w:rPr>
          <w:rFonts w:ascii="Times New Roman" w:eastAsia="標楷體" w:hAnsi="Times New Roman"/>
          <w:sz w:val="22"/>
          <w:szCs w:val="22"/>
        </w:rPr>
        <w:t>現在實有者有一根本的錯誤。不知現在是不能獨立的；沒有絕對的現在可說。現在是觀待過去</w:t>
      </w:r>
      <w:r w:rsidRPr="00043A1E">
        <w:rPr>
          <w:rFonts w:ascii="Times New Roman" w:eastAsia="標楷體" w:hAnsi="Times New Roman" w:hint="eastAsia"/>
          <w:sz w:val="22"/>
          <w:szCs w:val="22"/>
        </w:rPr>
        <w:t>、</w:t>
      </w:r>
      <w:r w:rsidRPr="00043A1E">
        <w:rPr>
          <w:rFonts w:ascii="Times New Roman" w:eastAsia="標楷體" w:hAnsi="Times New Roman"/>
          <w:sz w:val="22"/>
          <w:szCs w:val="22"/>
        </w:rPr>
        <w:t>未來而有；離了過去</w:t>
      </w:r>
      <w:r w:rsidRPr="00043A1E">
        <w:rPr>
          <w:rFonts w:ascii="Times New Roman" w:eastAsia="標楷體" w:hAnsi="Times New Roman" w:hint="eastAsia"/>
          <w:sz w:val="22"/>
          <w:szCs w:val="22"/>
        </w:rPr>
        <w:t>、</w:t>
      </w:r>
      <w:r w:rsidRPr="00043A1E">
        <w:rPr>
          <w:rFonts w:ascii="Times New Roman" w:eastAsia="標楷體" w:hAnsi="Times New Roman"/>
          <w:sz w:val="22"/>
          <w:szCs w:val="22"/>
        </w:rPr>
        <w:t>未來，還有什麼現在？沒有前後相的時間，根本是破壞時間特性的。凡建立現在有的，被剎那論所縛，還不得解脫呢</w:t>
      </w:r>
      <w:r w:rsidRPr="00043A1E">
        <w:rPr>
          <w:rFonts w:ascii="Times New Roman" w:eastAsia="標楷體" w:hAnsi="Times New Roman" w:hint="eastAsia"/>
          <w:sz w:val="22"/>
          <w:szCs w:val="22"/>
        </w:rPr>
        <w:t>！</w:t>
      </w:r>
    </w:p>
  </w:footnote>
  <w:footnote w:id="564">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ascii="新細明體" w:hAnsi="新細明體" w:hint="eastAsia"/>
          <w:szCs w:val="22"/>
        </w:rPr>
        <w:t xml:space="preserve"> </w:t>
      </w:r>
      <w:r w:rsidRPr="00043A1E">
        <w:rPr>
          <w:rFonts w:ascii="新細明體" w:hAnsi="新細明體"/>
          <w:szCs w:val="22"/>
        </w:rPr>
        <w:t>（</w:t>
      </w:r>
      <w:r w:rsidRPr="00761EF3">
        <w:rPr>
          <w:szCs w:val="22"/>
        </w:rPr>
        <w:t>1</w:t>
      </w:r>
      <w:r w:rsidRPr="00043A1E">
        <w:rPr>
          <w:rFonts w:ascii="新細明體" w:hAnsi="新細明體"/>
          <w:szCs w:val="22"/>
        </w:rPr>
        <w:t>）</w:t>
      </w:r>
      <w:r w:rsidRPr="00043A1E">
        <w:rPr>
          <w:szCs w:val="22"/>
        </w:rPr>
        <w:t>《中論》卷</w:t>
      </w:r>
      <w:r w:rsidRPr="00761EF3">
        <w:rPr>
          <w:szCs w:val="22"/>
        </w:rPr>
        <w:t>1</w:t>
      </w:r>
      <w:r w:rsidRPr="00043A1E">
        <w:rPr>
          <w:szCs w:val="22"/>
        </w:rPr>
        <w:t>〈</w:t>
      </w:r>
      <w:r w:rsidRPr="00761EF3">
        <w:rPr>
          <w:szCs w:val="22"/>
        </w:rPr>
        <w:t>2</w:t>
      </w:r>
      <w:r w:rsidRPr="00043A1E">
        <w:rPr>
          <w:szCs w:val="22"/>
        </w:rPr>
        <w:t xml:space="preserve"> </w:t>
      </w:r>
      <w:r w:rsidRPr="00043A1E">
        <w:rPr>
          <w:szCs w:val="22"/>
        </w:rPr>
        <w:t>觀去來品〉（大正</w:t>
      </w:r>
      <w:r w:rsidRPr="00761EF3">
        <w:rPr>
          <w:szCs w:val="22"/>
        </w:rPr>
        <w:t>30</w:t>
      </w:r>
      <w:r w:rsidRPr="00043A1E">
        <w:rPr>
          <w:szCs w:val="22"/>
        </w:rPr>
        <w:t>，</w:t>
      </w:r>
      <w:r w:rsidRPr="00761EF3">
        <w:rPr>
          <w:szCs w:val="22"/>
        </w:rPr>
        <w:t>3c8</w:t>
      </w:r>
      <w:r w:rsidRPr="00043A1E">
        <w:rPr>
          <w:rFonts w:eastAsia="SimSun"/>
          <w:szCs w:val="22"/>
        </w:rPr>
        <w:t>-</w:t>
      </w:r>
      <w:r w:rsidRPr="00761EF3">
        <w:rPr>
          <w:szCs w:val="22"/>
        </w:rPr>
        <w:t>9</w:t>
      </w:r>
      <w:r w:rsidRPr="00043A1E">
        <w:rPr>
          <w:szCs w:val="22"/>
        </w:rPr>
        <w:t>）：</w:t>
      </w:r>
    </w:p>
    <w:p w:rsidR="00157EF6" w:rsidRPr="00043A1E" w:rsidRDefault="00157EF6" w:rsidP="00AA120F">
      <w:pPr>
        <w:snapToGrid w:val="0"/>
        <w:ind w:leftChars="335" w:left="804"/>
        <w:jc w:val="both"/>
        <w:rPr>
          <w:rFonts w:ascii="Times New Roman" w:hAnsi="Times New Roman"/>
          <w:sz w:val="22"/>
          <w:szCs w:val="22"/>
        </w:rPr>
      </w:pPr>
      <w:r w:rsidRPr="00043A1E">
        <w:rPr>
          <w:rFonts w:ascii="Times New Roman" w:eastAsia="標楷體" w:hAnsi="Times New Roman"/>
          <w:sz w:val="22"/>
          <w:szCs w:val="22"/>
        </w:rPr>
        <w:t>已去無有去，未去亦無去，離已去未去，去時亦無去。</w:t>
      </w:r>
    </w:p>
    <w:p w:rsidR="00157EF6" w:rsidRPr="00043A1E" w:rsidRDefault="00157EF6" w:rsidP="00AA120F">
      <w:pPr>
        <w:pStyle w:val="a5"/>
        <w:ind w:leftChars="105" w:left="791" w:hangingChars="245" w:hanging="539"/>
        <w:jc w:val="both"/>
        <w:rPr>
          <w:szCs w:val="22"/>
        </w:rPr>
      </w:pPr>
      <w:r w:rsidRPr="00043A1E">
        <w:rPr>
          <w:rFonts w:ascii="新細明體" w:hAnsi="新細明體"/>
          <w:szCs w:val="22"/>
        </w:rPr>
        <w:t>（</w:t>
      </w:r>
      <w:r w:rsidRPr="00761EF3">
        <w:rPr>
          <w:rFonts w:eastAsia="標楷體"/>
          <w:szCs w:val="22"/>
        </w:rPr>
        <w:t>2</w:t>
      </w:r>
      <w:r w:rsidRPr="00043A1E">
        <w:rPr>
          <w:rFonts w:ascii="新細明體" w:hAnsi="新細明體"/>
          <w:szCs w:val="22"/>
        </w:rPr>
        <w:t>）</w:t>
      </w:r>
      <w:r w:rsidRPr="00043A1E">
        <w:rPr>
          <w:szCs w:val="22"/>
        </w:rPr>
        <w:t>印順</w:t>
      </w:r>
      <w:r w:rsidRPr="00043A1E">
        <w:rPr>
          <w:rFonts w:hint="eastAsia"/>
          <w:szCs w:val="22"/>
        </w:rPr>
        <w:t>法師</w:t>
      </w:r>
      <w:r w:rsidRPr="00043A1E">
        <w:rPr>
          <w:szCs w:val="22"/>
        </w:rPr>
        <w:t>，《中觀論頌講記》，</w:t>
      </w:r>
      <w:r w:rsidRPr="00761EF3">
        <w:rPr>
          <w:szCs w:val="22"/>
        </w:rPr>
        <w:t>pp</w:t>
      </w:r>
      <w:r w:rsidRPr="00043A1E">
        <w:rPr>
          <w:szCs w:val="22"/>
        </w:rPr>
        <w:t>.</w:t>
      </w:r>
      <w:r w:rsidRPr="00761EF3">
        <w:rPr>
          <w:szCs w:val="22"/>
        </w:rPr>
        <w:t>84</w:t>
      </w:r>
      <w:r w:rsidRPr="00043A1E">
        <w:rPr>
          <w:szCs w:val="22"/>
        </w:rPr>
        <w:t>-</w:t>
      </w:r>
      <w:r w:rsidRPr="00761EF3">
        <w:rPr>
          <w:szCs w:val="22"/>
        </w:rPr>
        <w:t>85</w:t>
      </w:r>
      <w:r w:rsidRPr="00043A1E">
        <w:rPr>
          <w:szCs w:val="22"/>
        </w:rPr>
        <w:t>：</w:t>
      </w:r>
    </w:p>
    <w:p w:rsidR="00697809" w:rsidRDefault="00157EF6" w:rsidP="00AA120F">
      <w:pPr>
        <w:snapToGrid w:val="0"/>
        <w:ind w:leftChars="335" w:left="804"/>
        <w:jc w:val="both"/>
        <w:rPr>
          <w:rFonts w:ascii="Times New Roman" w:eastAsia="標楷體" w:hAnsi="Times New Roman"/>
          <w:sz w:val="22"/>
          <w:szCs w:val="22"/>
        </w:rPr>
      </w:pPr>
      <w:r w:rsidRPr="00043A1E">
        <w:rPr>
          <w:rFonts w:ascii="Times New Roman" w:eastAsia="標楷體" w:hAnsi="Times New Roman"/>
          <w:sz w:val="22"/>
          <w:szCs w:val="22"/>
        </w:rPr>
        <w:t>這首頌，是總依三時的觀門中，明沒有去法。</w:t>
      </w:r>
    </w:p>
    <w:p w:rsidR="00697809" w:rsidRDefault="00157EF6" w:rsidP="00AA120F">
      <w:pPr>
        <w:snapToGrid w:val="0"/>
        <w:ind w:leftChars="335" w:left="804"/>
        <w:jc w:val="both"/>
        <w:rPr>
          <w:rFonts w:ascii="Times New Roman" w:eastAsia="標楷體" w:hAnsi="Times New Roman"/>
          <w:sz w:val="22"/>
          <w:szCs w:val="22"/>
        </w:rPr>
      </w:pPr>
      <w:r w:rsidRPr="00697809">
        <w:rPr>
          <w:rFonts w:ascii="Times New Roman" w:eastAsia="標楷體" w:hAnsi="Times New Roman"/>
          <w:sz w:val="22"/>
          <w:szCs w:val="22"/>
          <w:highlight w:val="yellow"/>
        </w:rPr>
        <w:t>說</w:t>
      </w:r>
      <w:r w:rsidRPr="00043A1E">
        <w:rPr>
          <w:rFonts w:ascii="Times New Roman" w:eastAsia="標楷體" w:hAnsi="Times New Roman"/>
          <w:sz w:val="22"/>
          <w:szCs w:val="22"/>
        </w:rPr>
        <w:t>到去，去是一種動作，有動作就有時間相，所以必然的在某一時間中去。一說到時間，就不外已去</w:t>
      </w:r>
      <w:r w:rsidR="00697809" w:rsidRPr="00697809">
        <w:rPr>
          <w:rFonts w:ascii="Times New Roman" w:eastAsia="標楷體" w:hAnsi="Times New Roman" w:hint="eastAsia"/>
          <w:color w:val="FF0000"/>
          <w:sz w:val="22"/>
          <w:szCs w:val="22"/>
          <w:shd w:val="pct15" w:color="auto" w:fill="FFFFFF"/>
        </w:rPr>
        <w:t>、</w:t>
      </w:r>
      <w:r w:rsidRPr="00043A1E">
        <w:rPr>
          <w:rFonts w:ascii="Times New Roman" w:eastAsia="標楷體" w:hAnsi="Times New Roman"/>
          <w:sz w:val="22"/>
          <w:szCs w:val="22"/>
        </w:rPr>
        <w:t>未去</w:t>
      </w:r>
      <w:r w:rsidR="00697809" w:rsidRPr="00697809">
        <w:rPr>
          <w:rFonts w:ascii="Times New Roman" w:eastAsia="標楷體" w:hAnsi="Times New Roman" w:hint="eastAsia"/>
          <w:color w:val="FF0000"/>
          <w:sz w:val="22"/>
          <w:szCs w:val="22"/>
          <w:shd w:val="pct15" w:color="auto" w:fill="FFFFFF"/>
        </w:rPr>
        <w:t>、</w:t>
      </w:r>
      <w:r w:rsidRPr="00043A1E">
        <w:rPr>
          <w:rFonts w:ascii="Times New Roman" w:eastAsia="標楷體" w:hAnsi="Times New Roman"/>
          <w:sz w:val="22"/>
          <w:szCs w:val="22"/>
        </w:rPr>
        <w:t>去時的三時。</w:t>
      </w:r>
    </w:p>
    <w:p w:rsidR="00157EF6" w:rsidRPr="00043A1E" w:rsidRDefault="00157EF6" w:rsidP="00AA120F">
      <w:pPr>
        <w:snapToGrid w:val="0"/>
        <w:ind w:leftChars="335" w:left="804"/>
        <w:jc w:val="both"/>
        <w:rPr>
          <w:rFonts w:ascii="Times New Roman" w:eastAsia="標楷體" w:hAnsi="Times New Roman"/>
          <w:sz w:val="22"/>
          <w:szCs w:val="22"/>
        </w:rPr>
      </w:pPr>
      <w:r w:rsidRPr="00697809">
        <w:rPr>
          <w:rFonts w:ascii="Times New Roman" w:eastAsia="標楷體" w:hAnsi="Times New Roman"/>
          <w:sz w:val="22"/>
          <w:szCs w:val="22"/>
          <w:highlight w:val="yellow"/>
        </w:rPr>
        <w:t>若</w:t>
      </w:r>
      <w:r w:rsidRPr="00043A1E">
        <w:rPr>
          <w:rFonts w:ascii="Times New Roman" w:eastAsia="標楷體" w:hAnsi="Times New Roman"/>
          <w:sz w:val="22"/>
          <w:szCs w:val="22"/>
        </w:rPr>
        <w:t>執著有自性的去法，那就該觀察他到底在那一時間中去呢？</w:t>
      </w:r>
    </w:p>
    <w:p w:rsidR="00157EF6" w:rsidRPr="00043A1E" w:rsidRDefault="00157EF6" w:rsidP="00AA120F">
      <w:pPr>
        <w:snapToGrid w:val="0"/>
        <w:ind w:leftChars="335" w:left="804"/>
        <w:jc w:val="both"/>
        <w:rPr>
          <w:rFonts w:ascii="Times New Roman" w:eastAsia="標楷體" w:hAnsi="Times New Roman"/>
          <w:sz w:val="22"/>
          <w:szCs w:val="22"/>
        </w:rPr>
      </w:pPr>
      <w:r w:rsidRPr="00043A1E">
        <w:rPr>
          <w:rFonts w:ascii="Times New Roman" w:eastAsia="標楷體" w:hAnsi="Times New Roman"/>
          <w:sz w:val="22"/>
          <w:szCs w:val="22"/>
        </w:rPr>
        <w:t>是</w:t>
      </w:r>
      <w:r w:rsidRPr="00043A1E">
        <w:rPr>
          <w:rFonts w:ascii="Times New Roman" w:eastAsia="標楷體" w:hAnsi="Times New Roman"/>
          <w:b/>
          <w:sz w:val="22"/>
          <w:szCs w:val="22"/>
        </w:rPr>
        <w:t>已去</w:t>
      </w:r>
      <w:r w:rsidRPr="00043A1E">
        <w:rPr>
          <w:rFonts w:ascii="Times New Roman" w:eastAsia="標楷體" w:hAnsi="Times New Roman"/>
          <w:sz w:val="22"/>
          <w:szCs w:val="22"/>
        </w:rPr>
        <w:t>時嗎？運動的作業已過去了，怎麼還可說有去呢？所以「已去無有去」。</w:t>
      </w:r>
    </w:p>
    <w:p w:rsidR="00157EF6" w:rsidRPr="00043A1E" w:rsidRDefault="00157EF6" w:rsidP="00AA120F">
      <w:pPr>
        <w:snapToGrid w:val="0"/>
        <w:ind w:leftChars="335" w:left="804"/>
        <w:jc w:val="both"/>
        <w:rPr>
          <w:rFonts w:ascii="Times New Roman" w:eastAsia="標楷體" w:hAnsi="Times New Roman"/>
          <w:sz w:val="22"/>
          <w:szCs w:val="22"/>
        </w:rPr>
      </w:pPr>
      <w:r w:rsidRPr="00043A1E">
        <w:rPr>
          <w:rFonts w:ascii="Times New Roman" w:eastAsia="標楷體" w:hAnsi="Times New Roman"/>
          <w:b/>
          <w:sz w:val="22"/>
          <w:szCs w:val="22"/>
        </w:rPr>
        <w:t>未去</w:t>
      </w:r>
      <w:r w:rsidRPr="00043A1E">
        <w:rPr>
          <w:rFonts w:ascii="Times New Roman" w:eastAsia="標楷體" w:hAnsi="Times New Roman"/>
          <w:sz w:val="22"/>
          <w:szCs w:val="22"/>
        </w:rPr>
        <w:t>，去的動作還沒有開始，當然也談不上去，所以「未去」時中，也是「無去」的。</w:t>
      </w:r>
    </w:p>
    <w:p w:rsidR="00697809" w:rsidRDefault="00157EF6" w:rsidP="00AA120F">
      <w:pPr>
        <w:snapToGrid w:val="0"/>
        <w:ind w:leftChars="335" w:left="804"/>
        <w:jc w:val="both"/>
        <w:rPr>
          <w:rFonts w:ascii="Times New Roman" w:eastAsia="標楷體" w:hAnsi="Times New Roman"/>
          <w:sz w:val="22"/>
          <w:szCs w:val="22"/>
        </w:rPr>
      </w:pPr>
      <w:r w:rsidRPr="00043A1E">
        <w:rPr>
          <w:rFonts w:ascii="Times New Roman" w:eastAsia="標楷體" w:hAnsi="Times New Roman"/>
          <w:sz w:val="22"/>
          <w:szCs w:val="22"/>
        </w:rPr>
        <w:t>若說</w:t>
      </w:r>
      <w:r w:rsidRPr="00043A1E">
        <w:rPr>
          <w:rFonts w:ascii="Times New Roman" w:eastAsia="標楷體" w:hAnsi="Times New Roman"/>
          <w:b/>
          <w:sz w:val="22"/>
          <w:szCs w:val="22"/>
        </w:rPr>
        <w:t>去時</w:t>
      </w:r>
      <w:r w:rsidRPr="00043A1E">
        <w:rPr>
          <w:rFonts w:ascii="Times New Roman" w:eastAsia="標楷體" w:hAnsi="Times New Roman"/>
          <w:sz w:val="22"/>
          <w:szCs w:val="22"/>
        </w:rPr>
        <w:t>中去，這格外不可。因為不是已去，就是未去，「離」了「已去</w:t>
      </w:r>
      <w:r w:rsidRPr="00043A1E">
        <w:rPr>
          <w:rFonts w:ascii="Times New Roman" w:eastAsia="標楷體" w:hAnsi="Times New Roman" w:hint="eastAsia"/>
          <w:sz w:val="22"/>
          <w:szCs w:val="22"/>
        </w:rPr>
        <w:t>、</w:t>
      </w:r>
      <w:r w:rsidRPr="00043A1E">
        <w:rPr>
          <w:rFonts w:ascii="Times New Roman" w:eastAsia="標楷體" w:hAnsi="Times New Roman"/>
          <w:sz w:val="22"/>
          <w:szCs w:val="22"/>
        </w:rPr>
        <w:t>未去」二者，根本沒有去時的第三位，所以「去時亦無去」。</w:t>
      </w:r>
    </w:p>
    <w:p w:rsidR="00157EF6" w:rsidRPr="00043A1E" w:rsidRDefault="00157EF6" w:rsidP="00AA120F">
      <w:pPr>
        <w:snapToGrid w:val="0"/>
        <w:ind w:leftChars="335" w:left="804"/>
        <w:jc w:val="both"/>
        <w:rPr>
          <w:rFonts w:ascii="Times New Roman" w:eastAsia="標楷體" w:hAnsi="Times New Roman"/>
          <w:sz w:val="22"/>
          <w:szCs w:val="22"/>
        </w:rPr>
      </w:pPr>
      <w:r w:rsidRPr="00697809">
        <w:rPr>
          <w:rFonts w:ascii="Times New Roman" w:eastAsia="標楷體" w:hAnsi="Times New Roman"/>
          <w:sz w:val="22"/>
          <w:szCs w:val="22"/>
          <w:highlight w:val="yellow"/>
        </w:rPr>
        <w:t>這</w:t>
      </w:r>
      <w:r w:rsidRPr="00043A1E">
        <w:rPr>
          <w:rFonts w:ascii="Times New Roman" w:eastAsia="標楷體" w:hAnsi="Times New Roman"/>
          <w:sz w:val="22"/>
          <w:szCs w:val="22"/>
        </w:rPr>
        <w:t>對三時中去，作一個根本的否定。</w:t>
      </w:r>
    </w:p>
    <w:p w:rsidR="00157EF6" w:rsidRPr="00043A1E" w:rsidRDefault="00157EF6" w:rsidP="00AA120F">
      <w:pPr>
        <w:pStyle w:val="a5"/>
        <w:ind w:leftChars="105" w:left="791" w:hangingChars="245" w:hanging="539"/>
        <w:jc w:val="both"/>
        <w:rPr>
          <w:szCs w:val="22"/>
        </w:rPr>
      </w:pPr>
      <w:r w:rsidRPr="00043A1E">
        <w:rPr>
          <w:rFonts w:ascii="新細明體" w:hAnsi="新細明體"/>
          <w:szCs w:val="22"/>
        </w:rPr>
        <w:t>（</w:t>
      </w:r>
      <w:r w:rsidRPr="00761EF3">
        <w:rPr>
          <w:szCs w:val="22"/>
        </w:rPr>
        <w:t>3</w:t>
      </w:r>
      <w:r w:rsidRPr="00043A1E">
        <w:rPr>
          <w:rFonts w:ascii="新細明體" w:hAnsi="新細明體"/>
          <w:szCs w:val="22"/>
        </w:rPr>
        <w:t>）</w:t>
      </w:r>
      <w:r w:rsidRPr="00043A1E">
        <w:rPr>
          <w:szCs w:val="22"/>
        </w:rPr>
        <w:t>《中論》卷</w:t>
      </w:r>
      <w:r w:rsidRPr="00761EF3">
        <w:rPr>
          <w:szCs w:val="22"/>
        </w:rPr>
        <w:t>1</w:t>
      </w:r>
      <w:r w:rsidRPr="00043A1E">
        <w:rPr>
          <w:szCs w:val="22"/>
        </w:rPr>
        <w:t>〈</w:t>
      </w:r>
      <w:r w:rsidRPr="00761EF3">
        <w:rPr>
          <w:szCs w:val="22"/>
        </w:rPr>
        <w:t>2</w:t>
      </w:r>
      <w:r w:rsidRPr="00043A1E">
        <w:rPr>
          <w:szCs w:val="22"/>
        </w:rPr>
        <w:t xml:space="preserve"> </w:t>
      </w:r>
      <w:r w:rsidRPr="00043A1E">
        <w:rPr>
          <w:szCs w:val="22"/>
        </w:rPr>
        <w:t>觀去來品〉（大正</w:t>
      </w:r>
      <w:r w:rsidRPr="00761EF3">
        <w:rPr>
          <w:szCs w:val="22"/>
        </w:rPr>
        <w:t>30</w:t>
      </w:r>
      <w:r w:rsidRPr="00043A1E">
        <w:rPr>
          <w:szCs w:val="22"/>
        </w:rPr>
        <w:t>，</w:t>
      </w:r>
      <w:r w:rsidRPr="00761EF3">
        <w:rPr>
          <w:szCs w:val="22"/>
        </w:rPr>
        <w:t>4a2</w:t>
      </w:r>
      <w:r w:rsidRPr="00043A1E">
        <w:rPr>
          <w:szCs w:val="22"/>
        </w:rPr>
        <w:t>-</w:t>
      </w:r>
      <w:r w:rsidRPr="00761EF3">
        <w:rPr>
          <w:rFonts w:hint="eastAsia"/>
          <w:szCs w:val="22"/>
        </w:rPr>
        <w:t>19</w:t>
      </w:r>
      <w:r w:rsidRPr="00043A1E">
        <w:rPr>
          <w:szCs w:val="22"/>
        </w:rPr>
        <w:t>）：</w:t>
      </w:r>
    </w:p>
    <w:p w:rsidR="00157EF6" w:rsidRPr="00043A1E" w:rsidRDefault="00157EF6" w:rsidP="00AA120F">
      <w:pPr>
        <w:snapToGrid w:val="0"/>
        <w:ind w:leftChars="335" w:left="804"/>
        <w:jc w:val="both"/>
        <w:rPr>
          <w:rFonts w:ascii="Times New Roman" w:hAnsi="Times New Roman"/>
          <w:sz w:val="22"/>
          <w:szCs w:val="22"/>
        </w:rPr>
      </w:pPr>
      <w:r w:rsidRPr="00043A1E">
        <w:rPr>
          <w:rFonts w:ascii="Times New Roman" w:eastAsia="標楷體" w:hAnsi="Times New Roman"/>
          <w:sz w:val="22"/>
          <w:szCs w:val="22"/>
        </w:rPr>
        <w:t>云何於去時</w:t>
      </w:r>
      <w:r w:rsidR="00C81A71">
        <w:rPr>
          <w:rFonts w:ascii="Times New Roman" w:eastAsia="標楷體" w:hAnsi="Times New Roman" w:hint="eastAsia"/>
          <w:sz w:val="22"/>
          <w:szCs w:val="22"/>
        </w:rPr>
        <w:t xml:space="preserve">　</w:t>
      </w:r>
      <w:r w:rsidRPr="00043A1E">
        <w:rPr>
          <w:rFonts w:ascii="Times New Roman" w:eastAsia="標楷體" w:hAnsi="Times New Roman"/>
          <w:sz w:val="22"/>
          <w:szCs w:val="22"/>
        </w:rPr>
        <w:t>而當有去法</w:t>
      </w:r>
      <w:r w:rsidR="000C504E">
        <w:rPr>
          <w:rFonts w:ascii="Times New Roman" w:eastAsia="標楷體" w:hAnsi="Times New Roman" w:hint="eastAsia"/>
          <w:color w:val="FF0000"/>
          <w:sz w:val="22"/>
          <w:szCs w:val="22"/>
          <w:highlight w:val="yellow"/>
        </w:rPr>
        <w:t>？</w:t>
      </w:r>
      <w:r w:rsidRPr="00043A1E">
        <w:rPr>
          <w:rFonts w:ascii="Times New Roman" w:eastAsia="標楷體" w:hAnsi="Times New Roman"/>
          <w:sz w:val="22"/>
          <w:szCs w:val="22"/>
        </w:rPr>
        <w:t>若離於去法，去時不可得。</w:t>
      </w:r>
    </w:p>
    <w:p w:rsidR="00157EF6" w:rsidRPr="00043A1E" w:rsidRDefault="00157EF6" w:rsidP="00AA120F">
      <w:pPr>
        <w:snapToGrid w:val="0"/>
        <w:ind w:leftChars="335" w:left="804"/>
        <w:jc w:val="both"/>
        <w:rPr>
          <w:rFonts w:ascii="Times New Roman" w:hAnsi="Times New Roman"/>
          <w:sz w:val="22"/>
          <w:szCs w:val="22"/>
        </w:rPr>
      </w:pPr>
      <w:r w:rsidRPr="00043A1E">
        <w:rPr>
          <w:rFonts w:ascii="Times New Roman" w:eastAsia="標楷體" w:hAnsi="Times New Roman"/>
          <w:sz w:val="22"/>
          <w:szCs w:val="22"/>
        </w:rPr>
        <w:t>若言去時去，是人則有咎，離去有去時，去時獨去故。</w:t>
      </w:r>
    </w:p>
    <w:p w:rsidR="00157EF6" w:rsidRPr="00043A1E" w:rsidRDefault="00157EF6" w:rsidP="00AA120F">
      <w:pPr>
        <w:snapToGrid w:val="0"/>
        <w:ind w:leftChars="335" w:left="804"/>
        <w:jc w:val="both"/>
        <w:rPr>
          <w:rFonts w:ascii="Times New Roman" w:hAnsi="Times New Roman"/>
          <w:sz w:val="22"/>
          <w:szCs w:val="22"/>
        </w:rPr>
      </w:pPr>
      <w:r w:rsidRPr="00043A1E">
        <w:rPr>
          <w:rFonts w:ascii="Times New Roman" w:eastAsia="標楷體" w:hAnsi="Times New Roman"/>
          <w:sz w:val="22"/>
          <w:szCs w:val="22"/>
        </w:rPr>
        <w:t>若去時有去，則有二種去</w:t>
      </w:r>
      <w:r w:rsidR="00C81A71">
        <w:rPr>
          <w:rFonts w:ascii="標楷體" w:eastAsia="標楷體" w:hAnsi="標楷體" w:hint="eastAsia"/>
          <w:color w:val="FF0000"/>
          <w:spacing w:val="-4"/>
          <w:kern w:val="0"/>
          <w:sz w:val="22"/>
          <w:highlight w:val="yellow"/>
        </w:rPr>
        <w:t>：</w:t>
      </w:r>
      <w:r w:rsidRPr="00043A1E">
        <w:rPr>
          <w:rFonts w:ascii="Times New Roman" w:eastAsia="標楷體" w:hAnsi="Times New Roman"/>
          <w:sz w:val="22"/>
          <w:szCs w:val="22"/>
        </w:rPr>
        <w:t>一謂為去時，二謂去時去。</w:t>
      </w:r>
    </w:p>
    <w:p w:rsidR="00157EF6" w:rsidRPr="00043A1E" w:rsidRDefault="00157EF6" w:rsidP="00AA120F">
      <w:pPr>
        <w:snapToGrid w:val="0"/>
        <w:ind w:leftChars="335" w:left="804"/>
        <w:jc w:val="both"/>
        <w:rPr>
          <w:rFonts w:ascii="Times New Roman" w:hAnsi="Times New Roman"/>
          <w:sz w:val="22"/>
          <w:szCs w:val="22"/>
        </w:rPr>
      </w:pPr>
      <w:r w:rsidRPr="00043A1E">
        <w:rPr>
          <w:rFonts w:ascii="Times New Roman" w:eastAsia="標楷體" w:hAnsi="Times New Roman"/>
          <w:sz w:val="22"/>
          <w:szCs w:val="22"/>
        </w:rPr>
        <w:t>若有二去法，則有二去者，以離於去者，去法不可得。</w:t>
      </w:r>
    </w:p>
    <w:p w:rsidR="00157EF6" w:rsidRPr="00043A1E" w:rsidRDefault="00157EF6" w:rsidP="00AA120F">
      <w:pPr>
        <w:pStyle w:val="a5"/>
        <w:ind w:leftChars="105" w:left="791" w:hangingChars="245" w:hanging="539"/>
        <w:jc w:val="both"/>
        <w:rPr>
          <w:szCs w:val="22"/>
        </w:rPr>
      </w:pPr>
      <w:r w:rsidRPr="00043A1E">
        <w:rPr>
          <w:rFonts w:ascii="新細明體" w:hAnsi="新細明體"/>
          <w:szCs w:val="22"/>
        </w:rPr>
        <w:t>（</w:t>
      </w:r>
      <w:r w:rsidRPr="00761EF3">
        <w:rPr>
          <w:szCs w:val="22"/>
        </w:rPr>
        <w:t>4</w:t>
      </w:r>
      <w:r w:rsidRPr="00043A1E">
        <w:rPr>
          <w:rFonts w:ascii="新細明體" w:hAnsi="新細明體"/>
          <w:szCs w:val="22"/>
        </w:rPr>
        <w:t>）</w:t>
      </w:r>
      <w:r w:rsidRPr="00043A1E">
        <w:rPr>
          <w:szCs w:val="22"/>
        </w:rPr>
        <w:t>印順</w:t>
      </w:r>
      <w:r w:rsidRPr="00043A1E">
        <w:rPr>
          <w:rFonts w:hint="eastAsia"/>
          <w:szCs w:val="22"/>
        </w:rPr>
        <w:t>法師</w:t>
      </w:r>
      <w:r w:rsidRPr="00043A1E">
        <w:rPr>
          <w:szCs w:val="22"/>
        </w:rPr>
        <w:t>，《中觀論頌講記》，</w:t>
      </w:r>
      <w:r w:rsidRPr="00761EF3">
        <w:rPr>
          <w:szCs w:val="22"/>
        </w:rPr>
        <w:t>pp</w:t>
      </w:r>
      <w:r w:rsidRPr="00043A1E">
        <w:rPr>
          <w:szCs w:val="22"/>
        </w:rPr>
        <w:t>.</w:t>
      </w:r>
      <w:r w:rsidRPr="00761EF3">
        <w:rPr>
          <w:szCs w:val="22"/>
        </w:rPr>
        <w:t>86</w:t>
      </w:r>
      <w:r w:rsidRPr="00043A1E">
        <w:rPr>
          <w:szCs w:val="22"/>
        </w:rPr>
        <w:t>-</w:t>
      </w:r>
      <w:r w:rsidRPr="00761EF3">
        <w:rPr>
          <w:szCs w:val="22"/>
        </w:rPr>
        <w:t>88</w:t>
      </w:r>
      <w:r w:rsidRPr="00043A1E">
        <w:rPr>
          <w:szCs w:val="22"/>
        </w:rPr>
        <w:t>：</w:t>
      </w:r>
    </w:p>
    <w:p w:rsidR="00157EF6" w:rsidRPr="00043A1E" w:rsidRDefault="00157EF6" w:rsidP="00AA120F">
      <w:pPr>
        <w:snapToGrid w:val="0"/>
        <w:ind w:leftChars="335" w:left="804"/>
        <w:jc w:val="both"/>
        <w:rPr>
          <w:rFonts w:ascii="標楷體" w:eastAsia="標楷體" w:hAnsi="標楷體"/>
          <w:sz w:val="22"/>
          <w:szCs w:val="22"/>
        </w:rPr>
      </w:pPr>
      <w:r w:rsidRPr="00043A1E">
        <w:rPr>
          <w:rFonts w:ascii="Times New Roman" w:eastAsia="標楷體" w:hAnsi="Times New Roman"/>
          <w:b/>
          <w:sz w:val="22"/>
          <w:szCs w:val="22"/>
        </w:rPr>
        <w:t>怎麼「於去時」中「而」說應「當有去法」呢？為什麼不能說去時中有去？因為「若離於去法，去時不可得」。</w:t>
      </w:r>
      <w:r w:rsidRPr="00043A1E">
        <w:rPr>
          <w:rFonts w:ascii="Times New Roman" w:eastAsia="標楷體" w:hAnsi="Times New Roman"/>
          <w:sz w:val="22"/>
          <w:szCs w:val="22"/>
        </w:rPr>
        <w:t>去時是不離去法而存在的，關於去法的有無自性，正在討論，還不知能不能成立，你就豫想去法的可能，把去法成立的去時，作為此中有去的理由，這怎麼可以呢？</w:t>
      </w:r>
      <w:r w:rsidRPr="00043A1E">
        <w:rPr>
          <w:rFonts w:ascii="標楷體" w:eastAsia="標楷體" w:hAnsi="標楷體" w:hint="eastAsia"/>
          <w:sz w:val="22"/>
          <w:szCs w:val="22"/>
        </w:rPr>
        <w:t>譬如石女兒的有無，雙方正在討論；敵者就由石女兒的長短妍醜來證明石女兒之有，豈非錯誤到極點？</w:t>
      </w:r>
    </w:p>
    <w:p w:rsidR="00157EF6" w:rsidRPr="00043A1E" w:rsidRDefault="00157EF6" w:rsidP="00AA120F">
      <w:pPr>
        <w:snapToGrid w:val="0"/>
        <w:ind w:leftChars="335" w:left="804"/>
        <w:jc w:val="both"/>
        <w:rPr>
          <w:rFonts w:ascii="Times New Roman" w:eastAsia="SimSun" w:hAnsi="Times New Roman"/>
          <w:sz w:val="22"/>
          <w:szCs w:val="22"/>
        </w:rPr>
      </w:pPr>
      <w:r w:rsidRPr="00043A1E">
        <w:rPr>
          <w:rFonts w:ascii="Times New Roman" w:eastAsia="標楷體" w:hAnsi="Times New Roman"/>
          <w:sz w:val="22"/>
          <w:szCs w:val="22"/>
        </w:rPr>
        <w:t>這樣，去時要待去法而成立，所以不能用去時為理由，成立去法的實有。</w:t>
      </w:r>
      <w:r w:rsidRPr="00043A1E">
        <w:rPr>
          <w:rFonts w:ascii="Times New Roman" w:eastAsia="標楷體" w:hAnsi="Times New Roman"/>
          <w:b/>
          <w:sz w:val="22"/>
          <w:szCs w:val="22"/>
        </w:rPr>
        <w:t>「若」不知這點，一定要說「去時」中有「去」的話，此「人」就「有」很大的過「咎」，他不能理解去時依去法而存在，等於承認了「離去」法之外別「有去時」，「去時」是「獨」存的，是離了「去」法而存在的（獨是相離的意思）。</w:t>
      </w:r>
      <w:r w:rsidRPr="00043A1E">
        <w:rPr>
          <w:rFonts w:ascii="Times New Roman" w:eastAsia="標楷體" w:hAnsi="Times New Roman"/>
          <w:sz w:val="22"/>
          <w:szCs w:val="22"/>
        </w:rPr>
        <w:t>自性有的去時不可得，執著去時有去，不消說，是不能成立的。</w:t>
      </w:r>
    </w:p>
    <w:p w:rsidR="00157EF6" w:rsidRPr="00043A1E" w:rsidRDefault="00157EF6" w:rsidP="00AA120F">
      <w:pPr>
        <w:snapToGrid w:val="0"/>
        <w:ind w:leftChars="335" w:left="804"/>
        <w:jc w:val="both"/>
        <w:rPr>
          <w:rFonts w:ascii="Times New Roman" w:eastAsia="標楷體" w:hAnsi="Times New Roman"/>
          <w:sz w:val="22"/>
          <w:szCs w:val="22"/>
        </w:rPr>
      </w:pPr>
      <w:r w:rsidRPr="00043A1E">
        <w:rPr>
          <w:rFonts w:ascii="標楷體" w:eastAsia="標楷體" w:hAnsi="標楷體" w:hint="eastAsia"/>
          <w:sz w:val="22"/>
          <w:szCs w:val="22"/>
        </w:rPr>
        <w:t>有人說：離了動作沒有去時，這是對的，但去時去還是可以成立。這因為有去，所以能成立去時，就在這去時中有去。執著實有者，論理是不能承認矛盾，事實上卻無法避免。所以進一步的破道：</w:t>
      </w:r>
      <w:r w:rsidRPr="00043A1E">
        <w:rPr>
          <w:rFonts w:ascii="Times New Roman" w:eastAsia="標楷體" w:hAnsi="Times New Roman"/>
          <w:b/>
          <w:sz w:val="22"/>
          <w:szCs w:val="22"/>
        </w:rPr>
        <w:t>「若」固執「去時有去」，「則」應「有二種」的「去」：「一」、是因去法而有「去時」的這個去（去在時先）；「二」、是「去時」中動作的那個「去」（去在時後）。</w:t>
      </w:r>
      <w:r w:rsidRPr="00043A1E">
        <w:rPr>
          <w:rFonts w:ascii="Times New Roman" w:eastAsia="標楷體" w:hAnsi="Times New Roman"/>
          <w:sz w:val="22"/>
          <w:szCs w:val="22"/>
        </w:rPr>
        <w:t>一切是觀待的假名，因果是不異而交涉的。因去有去時，也就待去時有去，假名的緣起是這樣的。但執著自性的人，把去法與去時，看成各別的實體，因之，由去而成立去時的去，在去時之前；去時中去的去，卻在去時之後。不見緣起無礙的正義，主張去時去，結果，犯了二去的過失。</w:t>
      </w:r>
    </w:p>
    <w:p w:rsidR="00157EF6" w:rsidRPr="00043A1E" w:rsidRDefault="00157EF6" w:rsidP="00AA120F">
      <w:pPr>
        <w:snapToGrid w:val="0"/>
        <w:ind w:leftChars="335" w:left="804"/>
        <w:jc w:val="both"/>
        <w:rPr>
          <w:rFonts w:ascii="Times New Roman" w:eastAsia="SimSun" w:hAnsi="Times New Roman"/>
          <w:sz w:val="22"/>
          <w:szCs w:val="22"/>
        </w:rPr>
      </w:pPr>
      <w:r w:rsidRPr="00043A1E">
        <w:rPr>
          <w:rFonts w:ascii="Times New Roman" w:eastAsia="標楷體" w:hAnsi="Times New Roman"/>
          <w:sz w:val="22"/>
          <w:szCs w:val="22"/>
        </w:rPr>
        <w:t>有兩種去，又有什麼過失呢？這犯了二人的過失，因為去法是離不了去者的。</w:t>
      </w:r>
    </w:p>
    <w:p w:rsidR="00157EF6" w:rsidRPr="00043A1E" w:rsidRDefault="00157EF6" w:rsidP="00AA120F">
      <w:pPr>
        <w:snapToGrid w:val="0"/>
        <w:ind w:leftChars="335" w:left="804"/>
        <w:jc w:val="both"/>
        <w:rPr>
          <w:rFonts w:ascii="標楷體" w:eastAsia="標楷體" w:hAnsi="標楷體"/>
          <w:sz w:val="22"/>
          <w:szCs w:val="22"/>
        </w:rPr>
      </w:pPr>
      <w:r w:rsidRPr="00043A1E">
        <w:rPr>
          <w:rFonts w:ascii="標楷體" w:eastAsia="標楷體" w:hAnsi="標楷體" w:hint="eastAsia"/>
          <w:sz w:val="22"/>
          <w:szCs w:val="22"/>
        </w:rPr>
        <w:t>去者是我的異名；如我能見東西，說是見者；做什麼事，說是作者；走動的說是去者。佛教雖說緣起無我，但只是沒有自性的實我，中觀家的見解，世俗諦中是有假名我的。我與法是互相依待而存在的。凡是一個有情，必然現起種種的相用，這種種，像五蘊、六處等，就是假名的一切法。種種法是和合統一的，不礙差別的統一，就是假名的補特伽羅。假名我與假名法，非一非異的，相依相待而存在。所以去者與去法，二者是不容分離的，有去法就有去者，有去者也就有去法。</w:t>
      </w:r>
    </w:p>
    <w:p w:rsidR="00157EF6" w:rsidRPr="00043A1E" w:rsidRDefault="00157EF6" w:rsidP="00AA120F">
      <w:pPr>
        <w:snapToGrid w:val="0"/>
        <w:ind w:leftChars="335" w:left="804"/>
        <w:jc w:val="both"/>
        <w:rPr>
          <w:rFonts w:ascii="Times New Roman" w:hAnsi="Times New Roman"/>
          <w:b/>
          <w:sz w:val="22"/>
          <w:szCs w:val="22"/>
        </w:rPr>
      </w:pPr>
      <w:r w:rsidRPr="00043A1E">
        <w:rPr>
          <w:rFonts w:ascii="Times New Roman" w:eastAsia="標楷體" w:hAnsi="Times New Roman"/>
          <w:sz w:val="22"/>
          <w:szCs w:val="22"/>
        </w:rPr>
        <w:t>這樣，</w:t>
      </w:r>
      <w:r w:rsidRPr="00043A1E">
        <w:rPr>
          <w:rFonts w:ascii="Times New Roman" w:eastAsia="標楷體" w:hAnsi="Times New Roman"/>
          <w:b/>
          <w:sz w:val="22"/>
          <w:szCs w:val="22"/>
        </w:rPr>
        <w:t>「若」如外人的妄執，承認「有二去法」，豈不是等於承認「有二去者」嗎？要知道：「離於去者」，「去法」是「不可得」的啦。</w:t>
      </w:r>
    </w:p>
  </w:footnote>
  <w:footnote w:id="565">
    <w:p w:rsidR="00157EF6" w:rsidRPr="00043A1E" w:rsidRDefault="00157EF6" w:rsidP="00AA120F">
      <w:pPr>
        <w:pStyle w:val="a5"/>
        <w:jc w:val="both"/>
        <w:rPr>
          <w:szCs w:val="22"/>
        </w:rPr>
      </w:pPr>
      <w:r w:rsidRPr="00043A1E">
        <w:rPr>
          <w:rStyle w:val="a6"/>
          <w:szCs w:val="22"/>
        </w:rPr>
        <w:footnoteRef/>
      </w:r>
      <w:r w:rsidRPr="00043A1E">
        <w:rPr>
          <w:szCs w:val="22"/>
        </w:rPr>
        <w:t xml:space="preserve"> </w:t>
      </w:r>
      <w:r w:rsidRPr="00043A1E">
        <w:rPr>
          <w:szCs w:val="22"/>
        </w:rPr>
        <w:t>元：</w:t>
      </w:r>
      <w:r w:rsidRPr="00761EF3">
        <w:rPr>
          <w:szCs w:val="22"/>
        </w:rPr>
        <w:t>9</w:t>
      </w:r>
      <w:r w:rsidRPr="00043A1E">
        <w:rPr>
          <w:szCs w:val="22"/>
        </w:rPr>
        <w:t>.</w:t>
      </w:r>
      <w:r w:rsidRPr="00043A1E">
        <w:rPr>
          <w:rFonts w:hint="eastAsia"/>
          <w:szCs w:val="22"/>
        </w:rPr>
        <w:t>開始</w:t>
      </w:r>
      <w:r w:rsidRPr="00043A1E">
        <w:rPr>
          <w:szCs w:val="22"/>
        </w:rPr>
        <w:t>，起端。</w:t>
      </w:r>
      <w:r w:rsidRPr="00761EF3">
        <w:rPr>
          <w:szCs w:val="22"/>
        </w:rPr>
        <w:t>10</w:t>
      </w:r>
      <w:r w:rsidRPr="00043A1E">
        <w:rPr>
          <w:szCs w:val="22"/>
        </w:rPr>
        <w:t>.</w:t>
      </w:r>
      <w:r w:rsidRPr="00043A1E">
        <w:rPr>
          <w:szCs w:val="22"/>
        </w:rPr>
        <w:t>根源，根本。（《漢語大詞典》（二），</w:t>
      </w:r>
      <w:r w:rsidRPr="00761EF3">
        <w:rPr>
          <w:szCs w:val="22"/>
        </w:rPr>
        <w:t>p</w:t>
      </w:r>
      <w:r w:rsidRPr="00043A1E">
        <w:rPr>
          <w:szCs w:val="22"/>
        </w:rPr>
        <w:t>.</w:t>
      </w:r>
      <w:r w:rsidRPr="00761EF3">
        <w:rPr>
          <w:szCs w:val="22"/>
        </w:rPr>
        <w:t>207</w:t>
      </w:r>
      <w:r w:rsidRPr="00043A1E">
        <w:rPr>
          <w:szCs w:val="22"/>
        </w:rPr>
        <w:t>）</w:t>
      </w:r>
    </w:p>
  </w:footnote>
  <w:footnote w:id="566">
    <w:p w:rsidR="00157EF6" w:rsidRPr="00043A1E" w:rsidRDefault="00157EF6" w:rsidP="00AA120F">
      <w:pPr>
        <w:pStyle w:val="a5"/>
        <w:jc w:val="both"/>
        <w:rPr>
          <w:szCs w:val="22"/>
        </w:rPr>
      </w:pPr>
      <w:r w:rsidRPr="00043A1E">
        <w:rPr>
          <w:rStyle w:val="a6"/>
          <w:szCs w:val="22"/>
        </w:rPr>
        <w:footnoteRef/>
      </w:r>
      <w:r w:rsidRPr="00043A1E">
        <w:rPr>
          <w:szCs w:val="22"/>
        </w:rPr>
        <w:t xml:space="preserve"> </w:t>
      </w:r>
      <w:r w:rsidRPr="00043A1E">
        <w:rPr>
          <w:szCs w:val="22"/>
        </w:rPr>
        <w:t>元始：</w:t>
      </w:r>
      <w:r w:rsidRPr="00761EF3">
        <w:rPr>
          <w:szCs w:val="22"/>
        </w:rPr>
        <w:t>1</w:t>
      </w:r>
      <w:r w:rsidRPr="00043A1E">
        <w:rPr>
          <w:szCs w:val="22"/>
        </w:rPr>
        <w:t>.</w:t>
      </w:r>
      <w:r w:rsidRPr="00043A1E">
        <w:rPr>
          <w:szCs w:val="22"/>
        </w:rPr>
        <w:t>起始。（《漢語大詞典》（二），</w:t>
      </w:r>
      <w:r w:rsidRPr="00761EF3">
        <w:rPr>
          <w:szCs w:val="22"/>
        </w:rPr>
        <w:t>p</w:t>
      </w:r>
      <w:r w:rsidRPr="00043A1E">
        <w:rPr>
          <w:szCs w:val="22"/>
        </w:rPr>
        <w:t>.</w:t>
      </w:r>
      <w:r w:rsidRPr="00761EF3">
        <w:rPr>
          <w:szCs w:val="22"/>
        </w:rPr>
        <w:t>2</w:t>
      </w:r>
      <w:r w:rsidRPr="00761EF3">
        <w:rPr>
          <w:rFonts w:eastAsia="SimSun"/>
          <w:szCs w:val="22"/>
        </w:rPr>
        <w:t>12</w:t>
      </w:r>
      <w:r w:rsidRPr="00043A1E">
        <w:rPr>
          <w:szCs w:val="22"/>
        </w:rPr>
        <w:t>）</w:t>
      </w:r>
    </w:p>
  </w:footnote>
  <w:footnote w:id="567">
    <w:p w:rsidR="00157EF6" w:rsidRPr="00043A1E" w:rsidRDefault="00157EF6" w:rsidP="00AA120F">
      <w:pPr>
        <w:pStyle w:val="a5"/>
        <w:jc w:val="both"/>
        <w:rPr>
          <w:szCs w:val="22"/>
        </w:rPr>
      </w:pPr>
      <w:r w:rsidRPr="00043A1E">
        <w:rPr>
          <w:rStyle w:val="a6"/>
          <w:szCs w:val="22"/>
        </w:rPr>
        <w:footnoteRef/>
      </w:r>
      <w:r w:rsidRPr="00043A1E">
        <w:rPr>
          <w:szCs w:val="22"/>
        </w:rPr>
        <w:t xml:space="preserve"> </w:t>
      </w:r>
      <w:r w:rsidRPr="00043A1E">
        <w:rPr>
          <w:szCs w:val="22"/>
        </w:rPr>
        <w:t>原始：</w:t>
      </w:r>
      <w:r w:rsidRPr="00761EF3">
        <w:rPr>
          <w:szCs w:val="22"/>
        </w:rPr>
        <w:t>1</w:t>
      </w:r>
      <w:r w:rsidRPr="00043A1E">
        <w:rPr>
          <w:szCs w:val="22"/>
        </w:rPr>
        <w:t>.</w:t>
      </w:r>
      <w:r w:rsidRPr="00043A1E">
        <w:rPr>
          <w:szCs w:val="22"/>
        </w:rPr>
        <w:t>考察本始。</w:t>
      </w:r>
      <w:r w:rsidRPr="00761EF3">
        <w:rPr>
          <w:szCs w:val="22"/>
        </w:rPr>
        <w:t>2</w:t>
      </w:r>
      <w:r w:rsidRPr="00043A1E">
        <w:rPr>
          <w:szCs w:val="22"/>
        </w:rPr>
        <w:t>.</w:t>
      </w:r>
      <w:r w:rsidRPr="00043A1E">
        <w:rPr>
          <w:szCs w:val="22"/>
        </w:rPr>
        <w:t>最初，第一手的。（《漢語大詞典》（一），</w:t>
      </w:r>
      <w:r w:rsidRPr="00761EF3">
        <w:rPr>
          <w:szCs w:val="22"/>
        </w:rPr>
        <w:t>pp</w:t>
      </w:r>
      <w:r w:rsidRPr="00043A1E">
        <w:rPr>
          <w:szCs w:val="22"/>
        </w:rPr>
        <w:t>.</w:t>
      </w:r>
      <w:r w:rsidRPr="00761EF3">
        <w:rPr>
          <w:szCs w:val="22"/>
        </w:rPr>
        <w:t>9</w:t>
      </w:r>
      <w:r w:rsidRPr="00761EF3">
        <w:rPr>
          <w:rFonts w:hint="eastAsia"/>
          <w:szCs w:val="22"/>
        </w:rPr>
        <w:t>30</w:t>
      </w:r>
      <w:r w:rsidRPr="00043A1E">
        <w:rPr>
          <w:szCs w:val="22"/>
        </w:rPr>
        <w:t>-</w:t>
      </w:r>
      <w:r w:rsidRPr="00761EF3">
        <w:rPr>
          <w:rFonts w:hint="eastAsia"/>
          <w:szCs w:val="22"/>
        </w:rPr>
        <w:t>931</w:t>
      </w:r>
      <w:r w:rsidRPr="00043A1E">
        <w:rPr>
          <w:szCs w:val="22"/>
        </w:rPr>
        <w:t>）</w:t>
      </w:r>
    </w:p>
  </w:footnote>
  <w:footnote w:id="568">
    <w:p w:rsidR="00157EF6" w:rsidRPr="00043A1E" w:rsidRDefault="00157EF6" w:rsidP="00AA120F">
      <w:pPr>
        <w:pStyle w:val="a5"/>
        <w:jc w:val="both"/>
        <w:rPr>
          <w:szCs w:val="22"/>
        </w:rPr>
      </w:pPr>
      <w:r w:rsidRPr="00043A1E">
        <w:rPr>
          <w:rStyle w:val="a6"/>
          <w:szCs w:val="22"/>
        </w:rPr>
        <w:footnoteRef/>
      </w:r>
      <w:r w:rsidRPr="00043A1E">
        <w:rPr>
          <w:szCs w:val="22"/>
        </w:rPr>
        <w:t xml:space="preserve"> </w:t>
      </w:r>
      <w:r w:rsidRPr="00043A1E">
        <w:rPr>
          <w:rFonts w:hint="eastAsia"/>
          <w:szCs w:val="22"/>
        </w:rPr>
        <w:t>邊沿：邊緣，邊際。（《漢語大詞典》（十），</w:t>
      </w:r>
      <w:r w:rsidRPr="00761EF3">
        <w:rPr>
          <w:rFonts w:hint="eastAsia"/>
          <w:szCs w:val="22"/>
        </w:rPr>
        <w:t>p</w:t>
      </w:r>
      <w:r w:rsidRPr="00043A1E">
        <w:rPr>
          <w:szCs w:val="22"/>
        </w:rPr>
        <w:t>.</w:t>
      </w:r>
      <w:r w:rsidRPr="00761EF3">
        <w:rPr>
          <w:szCs w:val="22"/>
        </w:rPr>
        <w:t>128</w:t>
      </w:r>
      <w:r w:rsidRPr="00761EF3">
        <w:rPr>
          <w:rFonts w:hint="eastAsia"/>
          <w:szCs w:val="22"/>
        </w:rPr>
        <w:t>9</w:t>
      </w:r>
      <w:r w:rsidRPr="00043A1E">
        <w:rPr>
          <w:rFonts w:hint="eastAsia"/>
          <w:szCs w:val="22"/>
        </w:rPr>
        <w:t>）</w:t>
      </w:r>
    </w:p>
  </w:footnote>
  <w:footnote w:id="569">
    <w:p w:rsidR="00157EF6" w:rsidRPr="00043A1E" w:rsidRDefault="00157EF6" w:rsidP="00AA120F">
      <w:pPr>
        <w:pStyle w:val="a5"/>
        <w:spacing w:line="0" w:lineRule="atLeast"/>
        <w:ind w:left="792" w:hangingChars="360" w:hanging="792"/>
        <w:jc w:val="both"/>
        <w:rPr>
          <w:rFonts w:eastAsia="標楷體"/>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szCs w:val="22"/>
        </w:rPr>
        <w:t>）《雜阿含經》卷</w:t>
      </w:r>
      <w:r w:rsidRPr="00761EF3">
        <w:rPr>
          <w:szCs w:val="22"/>
        </w:rPr>
        <w:t>34</w:t>
      </w:r>
      <w:r w:rsidRPr="00043A1E">
        <w:rPr>
          <w:szCs w:val="22"/>
        </w:rPr>
        <w:t>（</w:t>
      </w:r>
      <w:r w:rsidRPr="00761EF3">
        <w:rPr>
          <w:rFonts w:eastAsia="SimSun"/>
          <w:szCs w:val="22"/>
        </w:rPr>
        <w:t>940</w:t>
      </w:r>
      <w:r w:rsidRPr="00043A1E">
        <w:rPr>
          <w:szCs w:val="22"/>
        </w:rPr>
        <w:t>經）（</w:t>
      </w:r>
      <w:r w:rsidRPr="00043A1E">
        <w:rPr>
          <w:rFonts w:eastAsia="SimSun"/>
          <w:szCs w:val="22"/>
        </w:rPr>
        <w:t>大正</w:t>
      </w:r>
      <w:r w:rsidRPr="00761EF3">
        <w:rPr>
          <w:szCs w:val="22"/>
        </w:rPr>
        <w:t>2</w:t>
      </w:r>
      <w:r w:rsidRPr="00043A1E">
        <w:rPr>
          <w:rFonts w:eastAsia="標楷體"/>
          <w:szCs w:val="22"/>
        </w:rPr>
        <w:t>，</w:t>
      </w:r>
      <w:r w:rsidRPr="00761EF3">
        <w:rPr>
          <w:szCs w:val="22"/>
        </w:rPr>
        <w:t>241b16</w:t>
      </w:r>
      <w:r w:rsidRPr="00043A1E">
        <w:rPr>
          <w:szCs w:val="22"/>
        </w:rPr>
        <w:t>-</w:t>
      </w:r>
      <w:r w:rsidRPr="00761EF3">
        <w:rPr>
          <w:szCs w:val="22"/>
        </w:rPr>
        <w:t>17</w:t>
      </w:r>
      <w:r w:rsidRPr="00043A1E">
        <w:rPr>
          <w:szCs w:val="22"/>
        </w:rPr>
        <w:t>）：</w:t>
      </w:r>
    </w:p>
    <w:p w:rsidR="00157EF6" w:rsidRPr="00043A1E" w:rsidRDefault="00157EF6" w:rsidP="00AA120F">
      <w:pPr>
        <w:pStyle w:val="a5"/>
        <w:ind w:leftChars="335" w:left="804"/>
        <w:jc w:val="both"/>
        <w:rPr>
          <w:rFonts w:ascii="新細明體" w:eastAsia="SimSun" w:hAnsi="新細明體"/>
          <w:szCs w:val="22"/>
        </w:rPr>
      </w:pPr>
      <w:r w:rsidRPr="00043A1E">
        <w:rPr>
          <w:rFonts w:eastAsia="標楷體"/>
          <w:szCs w:val="22"/>
        </w:rPr>
        <w:t>世尊告諸比丘：</w:t>
      </w:r>
      <w:r w:rsidRPr="00043A1E">
        <w:rPr>
          <w:rFonts w:eastAsia="標楷體" w:hint="eastAsia"/>
          <w:szCs w:val="22"/>
        </w:rPr>
        <w:t>「</w:t>
      </w:r>
      <w:r w:rsidRPr="00043A1E">
        <w:rPr>
          <w:rFonts w:eastAsia="標楷體"/>
          <w:szCs w:val="22"/>
        </w:rPr>
        <w:t>眾生無始生死，長夜輪轉，</w:t>
      </w:r>
      <w:r w:rsidRPr="00043A1E">
        <w:rPr>
          <w:rFonts w:ascii="標楷體" w:eastAsia="標楷體" w:hAnsi="標楷體"/>
          <w:szCs w:val="22"/>
        </w:rPr>
        <w:t>不知</w:t>
      </w:r>
      <w:r w:rsidRPr="00043A1E">
        <w:rPr>
          <w:rFonts w:eastAsia="標楷體"/>
          <w:szCs w:val="22"/>
        </w:rPr>
        <w:t>苦之本際</w:t>
      </w:r>
      <w:r w:rsidRPr="00043A1E">
        <w:rPr>
          <w:szCs w:val="22"/>
        </w:rPr>
        <w:t>。」</w:t>
      </w:r>
    </w:p>
    <w:p w:rsidR="00157EF6" w:rsidRPr="00043A1E" w:rsidRDefault="00157EF6" w:rsidP="00AA120F">
      <w:pPr>
        <w:pStyle w:val="a5"/>
        <w:ind w:leftChars="105" w:left="791" w:hangingChars="245" w:hanging="539"/>
        <w:jc w:val="both"/>
        <w:rPr>
          <w:szCs w:val="22"/>
        </w:rPr>
      </w:pPr>
      <w:r w:rsidRPr="00043A1E">
        <w:rPr>
          <w:rFonts w:ascii="新細明體" w:hAnsi="新細明體" w:hint="eastAsia"/>
          <w:szCs w:val="22"/>
        </w:rPr>
        <w:t>（</w:t>
      </w:r>
      <w:r w:rsidRPr="00761EF3">
        <w:rPr>
          <w:rFonts w:eastAsia="SimSun"/>
          <w:szCs w:val="22"/>
        </w:rPr>
        <w:t>2</w:t>
      </w:r>
      <w:r w:rsidRPr="00043A1E">
        <w:rPr>
          <w:rFonts w:ascii="新細明體" w:hAnsi="新細明體" w:hint="eastAsia"/>
          <w:szCs w:val="22"/>
        </w:rPr>
        <w:t>）</w:t>
      </w:r>
      <w:r w:rsidRPr="00043A1E">
        <w:rPr>
          <w:szCs w:val="22"/>
        </w:rPr>
        <w:t>《大智度論》卷</w:t>
      </w:r>
      <w:r w:rsidRPr="00761EF3">
        <w:rPr>
          <w:szCs w:val="22"/>
        </w:rPr>
        <w:t>31</w:t>
      </w:r>
      <w:r w:rsidR="00E64597">
        <w:rPr>
          <w:rFonts w:hint="eastAsia"/>
          <w:color w:val="FF0000"/>
          <w:szCs w:val="22"/>
          <w:highlight w:val="yellow"/>
        </w:rPr>
        <w:t>釋</w:t>
      </w:r>
      <w:r w:rsidRPr="00043A1E">
        <w:rPr>
          <w:szCs w:val="22"/>
        </w:rPr>
        <w:t>〈</w:t>
      </w:r>
      <w:r w:rsidRPr="00761EF3">
        <w:rPr>
          <w:szCs w:val="22"/>
        </w:rPr>
        <w:t>1</w:t>
      </w:r>
      <w:r w:rsidRPr="00043A1E">
        <w:rPr>
          <w:szCs w:val="22"/>
        </w:rPr>
        <w:t xml:space="preserve"> </w:t>
      </w:r>
      <w:r w:rsidRPr="00043A1E">
        <w:rPr>
          <w:szCs w:val="22"/>
        </w:rPr>
        <w:t>序品〉（大正</w:t>
      </w:r>
      <w:r w:rsidRPr="00761EF3">
        <w:rPr>
          <w:szCs w:val="22"/>
        </w:rPr>
        <w:t>25</w:t>
      </w:r>
      <w:r w:rsidRPr="00043A1E">
        <w:rPr>
          <w:szCs w:val="22"/>
        </w:rPr>
        <w:t>，</w:t>
      </w:r>
      <w:r w:rsidRPr="00761EF3">
        <w:rPr>
          <w:szCs w:val="22"/>
        </w:rPr>
        <w:t>290c27</w:t>
      </w:r>
      <w:r w:rsidRPr="00043A1E">
        <w:rPr>
          <w:szCs w:val="22"/>
        </w:rPr>
        <w:t>-</w:t>
      </w:r>
      <w:r w:rsidRPr="00761EF3">
        <w:rPr>
          <w:szCs w:val="22"/>
        </w:rPr>
        <w:t>291a4</w:t>
      </w:r>
      <w:r w:rsidRPr="00043A1E">
        <w:rPr>
          <w:szCs w:val="22"/>
        </w:rPr>
        <w:t>）：</w:t>
      </w:r>
    </w:p>
    <w:p w:rsidR="00157EF6" w:rsidRPr="00043A1E" w:rsidRDefault="00157EF6" w:rsidP="00AA120F">
      <w:pPr>
        <w:pStyle w:val="a5"/>
        <w:ind w:leftChars="335" w:left="804"/>
        <w:jc w:val="both"/>
        <w:rPr>
          <w:szCs w:val="22"/>
        </w:rPr>
      </w:pPr>
      <w:r w:rsidRPr="00043A1E">
        <w:rPr>
          <w:rFonts w:ascii="標楷體" w:eastAsia="標楷體" w:hAnsi="標楷體" w:hint="eastAsia"/>
          <w:szCs w:val="22"/>
        </w:rPr>
        <w:t>「</w:t>
      </w:r>
      <w:r w:rsidRPr="00043A1E">
        <w:rPr>
          <w:rFonts w:ascii="標楷體" w:eastAsia="標楷體" w:hAnsi="標楷體"/>
          <w:szCs w:val="22"/>
        </w:rPr>
        <w:t>無始空</w:t>
      </w:r>
      <w:r w:rsidRPr="00043A1E">
        <w:rPr>
          <w:rFonts w:ascii="標楷體" w:eastAsia="標楷體" w:hAnsi="標楷體" w:hint="eastAsia"/>
          <w:szCs w:val="22"/>
        </w:rPr>
        <w:t>」</w:t>
      </w:r>
      <w:r w:rsidRPr="00043A1E">
        <w:rPr>
          <w:rFonts w:ascii="標楷體" w:eastAsia="標楷體" w:hAnsi="標楷體"/>
          <w:szCs w:val="22"/>
        </w:rPr>
        <w:t>者</w:t>
      </w:r>
      <w:r w:rsidR="005F5BAF">
        <w:rPr>
          <w:rFonts w:ascii="標楷體" w:eastAsia="標楷體" w:hAnsi="標楷體" w:hint="eastAsia"/>
          <w:color w:val="FF0000"/>
          <w:spacing w:val="-4"/>
          <w:kern w:val="0"/>
          <w:highlight w:val="yellow"/>
        </w:rPr>
        <w:t>：</w:t>
      </w:r>
      <w:r w:rsidRPr="00043A1E">
        <w:rPr>
          <w:rFonts w:ascii="標楷體" w:eastAsia="標楷體" w:hAnsi="標楷體"/>
          <w:szCs w:val="22"/>
        </w:rPr>
        <w:t>世間若眾生、若法，皆無有始。如今生從前世因緣有，前世復從前世有，如是展轉，無有眾生始；法亦如是。何以故？若先生後死，則不從死故生，生亦無死；若先死後有生，則無因無緣</w:t>
      </w:r>
      <w:r w:rsidRPr="00043A1E">
        <w:rPr>
          <w:rFonts w:ascii="標楷體" w:eastAsia="標楷體" w:hAnsi="標楷體" w:hint="eastAsia"/>
          <w:szCs w:val="22"/>
        </w:rPr>
        <w:t>，</w:t>
      </w:r>
      <w:r w:rsidRPr="00043A1E">
        <w:rPr>
          <w:rFonts w:ascii="標楷體" w:eastAsia="標楷體" w:hAnsi="標楷體"/>
          <w:szCs w:val="22"/>
        </w:rPr>
        <w:t>亦不生而有死。以是故，一切法則無有始。</w:t>
      </w:r>
    </w:p>
  </w:footnote>
  <w:footnote w:id="570">
    <w:p w:rsidR="00157EF6" w:rsidRPr="00043A1E" w:rsidRDefault="00157EF6" w:rsidP="00AA120F">
      <w:pPr>
        <w:pStyle w:val="a5"/>
        <w:spacing w:line="0" w:lineRule="atLeast"/>
        <w:ind w:left="792" w:hangingChars="360" w:hanging="792"/>
        <w:jc w:val="both"/>
        <w:rPr>
          <w:rFonts w:ascii="新細明體" w:eastAsia="SimSun" w:hAnsi="新細明體"/>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szCs w:val="22"/>
        </w:rPr>
        <w:t>）印順</w:t>
      </w:r>
      <w:r w:rsidRPr="00043A1E">
        <w:rPr>
          <w:rFonts w:hint="eastAsia"/>
          <w:szCs w:val="22"/>
        </w:rPr>
        <w:t>法師</w:t>
      </w:r>
      <w:r w:rsidRPr="00043A1E">
        <w:rPr>
          <w:szCs w:val="22"/>
        </w:rPr>
        <w:t>，《中觀論頌講記》，</w:t>
      </w:r>
      <w:r w:rsidRPr="00761EF3">
        <w:rPr>
          <w:szCs w:val="22"/>
        </w:rPr>
        <w:t>pp</w:t>
      </w:r>
      <w:r w:rsidRPr="00043A1E">
        <w:rPr>
          <w:szCs w:val="22"/>
        </w:rPr>
        <w:t>.</w:t>
      </w:r>
      <w:r w:rsidRPr="00761EF3">
        <w:rPr>
          <w:szCs w:val="22"/>
        </w:rPr>
        <w:t>361</w:t>
      </w:r>
      <w:r w:rsidRPr="00043A1E">
        <w:rPr>
          <w:szCs w:val="22"/>
        </w:rPr>
        <w:t>-</w:t>
      </w:r>
      <w:r w:rsidRPr="00761EF3">
        <w:rPr>
          <w:szCs w:val="22"/>
        </w:rPr>
        <w:t>362</w:t>
      </w:r>
      <w:r w:rsidRPr="00043A1E">
        <w:rPr>
          <w:rFonts w:ascii="新細明體" w:hAnsi="新細明體" w:hint="eastAsia"/>
          <w:szCs w:val="22"/>
        </w:rPr>
        <w:t>：</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szCs w:val="22"/>
        </w:rPr>
        <w:t>數論是因中有果論者，認為世間的根本，是冥性──自性。冥性，雖不能具體的說出，但精神</w:t>
      </w:r>
      <w:r w:rsidRPr="00043A1E">
        <w:rPr>
          <w:rFonts w:ascii="標楷體" w:eastAsia="標楷體" w:hAnsi="標楷體" w:hint="eastAsia"/>
          <w:szCs w:val="22"/>
        </w:rPr>
        <w:t>、</w:t>
      </w:r>
      <w:r w:rsidRPr="00043A1E">
        <w:rPr>
          <w:rFonts w:ascii="標楷體" w:eastAsia="標楷體" w:hAnsi="標楷體"/>
          <w:szCs w:val="22"/>
        </w:rPr>
        <w:t>物質都從他發展出來；所以世間的一切，也就存在於冥性中。冥性由神我的要求，發展出大、我慢、五微、五大等的二十三諦。這變異的二十三諦，都是冥性中本有的發現。如泥中有瓶性，在泥未轉變為瓶的形態時，現實的泥土，是不見有瓶相的；但泥團因轉變為瓶時，瓶性顯發，就失去泥名，而生起瓶了。雖是這樣的轉變了，果在因中是先有的；因變為果時，因體也存在而不失。所以世間的一切，都統一於真常實在的自性中。</w:t>
      </w:r>
    </w:p>
    <w:p w:rsidR="00157EF6" w:rsidRPr="00043A1E" w:rsidRDefault="00157EF6" w:rsidP="00AA120F">
      <w:pPr>
        <w:pStyle w:val="a5"/>
        <w:ind w:leftChars="105" w:left="791" w:hangingChars="245" w:hanging="539"/>
        <w:jc w:val="both"/>
        <w:rPr>
          <w:rFonts w:ascii="新細明體" w:hAnsi="新細明體"/>
          <w:szCs w:val="22"/>
        </w:rPr>
      </w:pPr>
      <w:r w:rsidRPr="00043A1E">
        <w:rPr>
          <w:rFonts w:ascii="新細明體" w:hAnsi="新細明體" w:hint="eastAsia"/>
          <w:szCs w:val="22"/>
        </w:rPr>
        <w:t>（</w:t>
      </w:r>
      <w:r w:rsidRPr="00761EF3">
        <w:rPr>
          <w:rFonts w:eastAsia="SimSun"/>
          <w:szCs w:val="22"/>
        </w:rPr>
        <w:t>2</w:t>
      </w:r>
      <w:r w:rsidRPr="00043A1E">
        <w:rPr>
          <w:rFonts w:ascii="新細明體" w:hAnsi="新細明體" w:hint="eastAsia"/>
          <w:szCs w:val="22"/>
        </w:rPr>
        <w:t>）</w:t>
      </w:r>
      <w:r w:rsidRPr="00043A1E">
        <w:rPr>
          <w:szCs w:val="22"/>
        </w:rPr>
        <w:t>印順</w:t>
      </w:r>
      <w:r w:rsidRPr="00043A1E">
        <w:rPr>
          <w:rFonts w:hint="eastAsia"/>
          <w:szCs w:val="22"/>
        </w:rPr>
        <w:t>法師</w:t>
      </w:r>
      <w:r w:rsidRPr="00043A1E">
        <w:rPr>
          <w:szCs w:val="22"/>
        </w:rPr>
        <w:t>，《</w:t>
      </w:r>
      <w:r w:rsidRPr="00043A1E">
        <w:rPr>
          <w:rFonts w:hint="eastAsia"/>
          <w:szCs w:val="22"/>
        </w:rPr>
        <w:t>中國禪宗史</w:t>
      </w:r>
      <w:r w:rsidRPr="00043A1E">
        <w:rPr>
          <w:szCs w:val="22"/>
        </w:rPr>
        <w:t>》，</w:t>
      </w:r>
      <w:r w:rsidRPr="00761EF3">
        <w:rPr>
          <w:rFonts w:hint="eastAsia"/>
          <w:szCs w:val="22"/>
        </w:rPr>
        <w:t>p</w:t>
      </w:r>
      <w:r w:rsidRPr="00043A1E">
        <w:rPr>
          <w:rFonts w:hint="eastAsia"/>
          <w:szCs w:val="22"/>
        </w:rPr>
        <w:t>.</w:t>
      </w:r>
      <w:r w:rsidRPr="00761EF3">
        <w:rPr>
          <w:rFonts w:hint="eastAsia"/>
          <w:szCs w:val="22"/>
        </w:rPr>
        <w:t>384</w:t>
      </w:r>
      <w:r w:rsidRPr="00043A1E">
        <w:rPr>
          <w:rFonts w:ascii="新細明體" w:hAnsi="新細明體" w:hint="eastAsia"/>
          <w:szCs w:val="22"/>
        </w:rPr>
        <w:t>：</w:t>
      </w:r>
    </w:p>
    <w:p w:rsidR="00157EF6" w:rsidRPr="00043A1E" w:rsidRDefault="00157EF6" w:rsidP="00AA120F">
      <w:pPr>
        <w:pStyle w:val="a5"/>
        <w:ind w:leftChars="335" w:left="804"/>
        <w:jc w:val="both"/>
        <w:rPr>
          <w:rFonts w:eastAsia="SimSun"/>
          <w:szCs w:val="22"/>
        </w:rPr>
      </w:pPr>
      <w:r w:rsidRPr="00043A1E">
        <w:rPr>
          <w:rFonts w:ascii="標楷體" w:eastAsia="標楷體" w:hAnsi="標楷體" w:hint="eastAsia"/>
          <w:szCs w:val="22"/>
        </w:rPr>
        <w:t>「數論」為印度六大學派中的重要的一派。依「數論」說：「自性」（</w:t>
      </w:r>
      <w:r w:rsidRPr="00043A1E">
        <w:rPr>
          <w:rFonts w:ascii="標楷體" w:eastAsia="標楷體" w:hAnsi="標楷體" w:hint="eastAsia"/>
          <w:b/>
          <w:szCs w:val="22"/>
        </w:rPr>
        <w:t>羅什譯為世性。約起用說，名為「勝性」。約微妙不易知說，名為「冥性」</w:t>
      </w:r>
      <w:r w:rsidRPr="00043A1E">
        <w:rPr>
          <w:rFonts w:ascii="標楷體" w:eastAsia="標楷體" w:hAnsi="標楷體" w:hint="eastAsia"/>
          <w:szCs w:val="22"/>
        </w:rPr>
        <w:t>）為生起一切的根元。「自性」為什麼「變異」而起一切？「數論」說：「我是思。」由於我思，所以自性就變異而現起一切。這與「性即空寂，思量即是變化」，「自性變化」，不是非常類似的嗎？陳真諦在南方傳譯的</w:t>
      </w:r>
      <w:r w:rsidRPr="00043A1E">
        <w:rPr>
          <w:szCs w:val="22"/>
        </w:rPr>
        <w:t>《</w:t>
      </w:r>
      <w:r w:rsidRPr="00043A1E">
        <w:rPr>
          <w:rFonts w:ascii="標楷體" w:eastAsia="標楷體" w:hAnsi="標楷體" w:hint="eastAsia"/>
          <w:szCs w:val="22"/>
        </w:rPr>
        <w:t>金七十論</w:t>
      </w:r>
      <w:r w:rsidRPr="00043A1E">
        <w:rPr>
          <w:szCs w:val="22"/>
        </w:rPr>
        <w:t>》</w:t>
      </w:r>
      <w:r w:rsidRPr="00043A1E">
        <w:rPr>
          <w:rFonts w:ascii="標楷體" w:eastAsia="標楷體" w:hAnsi="標楷體" w:hint="eastAsia"/>
          <w:szCs w:val="22"/>
        </w:rPr>
        <w:t>，就敘述這「變，自性所作故」（</w:t>
      </w:r>
      <w:r w:rsidRPr="00043A1E">
        <w:rPr>
          <w:rFonts w:ascii="新細明體" w:hAnsi="新細明體" w:hint="eastAsia"/>
          <w:szCs w:val="22"/>
        </w:rPr>
        <w:t>大正</w:t>
      </w:r>
      <w:r w:rsidRPr="00761EF3">
        <w:rPr>
          <w:rFonts w:eastAsia="SimSun"/>
          <w:szCs w:val="22"/>
        </w:rPr>
        <w:t>54</w:t>
      </w:r>
      <w:r w:rsidRPr="00043A1E">
        <w:rPr>
          <w:rFonts w:ascii="標楷體" w:eastAsia="標楷體" w:hAnsi="標楷體" w:hint="eastAsia"/>
          <w:szCs w:val="22"/>
        </w:rPr>
        <w:t>，</w:t>
      </w:r>
      <w:r w:rsidRPr="00761EF3">
        <w:rPr>
          <w:rFonts w:eastAsia="SimSun"/>
          <w:szCs w:val="22"/>
        </w:rPr>
        <w:t>1245c</w:t>
      </w:r>
      <w:r w:rsidRPr="00761EF3">
        <w:rPr>
          <w:rFonts w:hint="eastAsia"/>
          <w:szCs w:val="22"/>
        </w:rPr>
        <w:t>4</w:t>
      </w:r>
      <w:r w:rsidRPr="00043A1E">
        <w:rPr>
          <w:rFonts w:ascii="標楷體" w:eastAsia="標楷體" w:hAnsi="標楷體" w:hint="eastAsia"/>
          <w:szCs w:val="22"/>
        </w:rPr>
        <w:t>）的思想。論上還說：「如是我者，見自性故，即得解脫。」（</w:t>
      </w:r>
      <w:r w:rsidRPr="00043A1E">
        <w:rPr>
          <w:rFonts w:ascii="新細明體" w:hAnsi="新細明體" w:hint="eastAsia"/>
          <w:szCs w:val="22"/>
        </w:rPr>
        <w:t>大正</w:t>
      </w:r>
      <w:r w:rsidRPr="00761EF3">
        <w:rPr>
          <w:rFonts w:eastAsia="SimSun"/>
          <w:szCs w:val="22"/>
        </w:rPr>
        <w:t>54</w:t>
      </w:r>
      <w:r w:rsidRPr="00043A1E">
        <w:rPr>
          <w:rFonts w:eastAsia="標楷體"/>
          <w:szCs w:val="22"/>
        </w:rPr>
        <w:t>，</w:t>
      </w:r>
      <w:r w:rsidRPr="00761EF3">
        <w:rPr>
          <w:rFonts w:eastAsia="SimSun"/>
          <w:szCs w:val="22"/>
        </w:rPr>
        <w:t>1250b</w:t>
      </w:r>
      <w:r w:rsidRPr="00761EF3">
        <w:rPr>
          <w:rFonts w:hint="eastAsia"/>
          <w:szCs w:val="22"/>
        </w:rPr>
        <w:t>21</w:t>
      </w:r>
      <w:r w:rsidRPr="00043A1E">
        <w:rPr>
          <w:rFonts w:hint="eastAsia"/>
          <w:szCs w:val="22"/>
        </w:rPr>
        <w:t>-</w:t>
      </w:r>
      <w:r w:rsidRPr="00761EF3">
        <w:rPr>
          <w:rFonts w:hint="eastAsia"/>
          <w:szCs w:val="22"/>
        </w:rPr>
        <w:t>22</w:t>
      </w:r>
      <w:r w:rsidRPr="00043A1E">
        <w:rPr>
          <w:rFonts w:ascii="標楷體" w:eastAsia="標楷體" w:hAnsi="標楷體" w:hint="eastAsia"/>
          <w:szCs w:val="22"/>
        </w:rPr>
        <w:t>）</w:t>
      </w:r>
    </w:p>
  </w:footnote>
  <w:footnote w:id="571">
    <w:p w:rsidR="00157EF6" w:rsidRPr="00043A1E" w:rsidRDefault="00157EF6" w:rsidP="00AA120F">
      <w:pPr>
        <w:pStyle w:val="a5"/>
        <w:spacing w:line="0" w:lineRule="atLeast"/>
        <w:ind w:left="792" w:hangingChars="360" w:hanging="792"/>
        <w:jc w:val="both"/>
        <w:rPr>
          <w:rFonts w:eastAsia="SimSun"/>
          <w:szCs w:val="22"/>
        </w:rPr>
      </w:pPr>
      <w:r w:rsidRPr="00043A1E">
        <w:rPr>
          <w:rStyle w:val="a6"/>
          <w:szCs w:val="22"/>
        </w:rPr>
        <w:footnoteRef/>
      </w:r>
      <w:r w:rsidRPr="00043A1E">
        <w:rPr>
          <w:rFonts w:ascii="SimSun" w:hAnsi="SimSun" w:hint="eastAsia"/>
          <w:szCs w:val="22"/>
        </w:rPr>
        <w:t xml:space="preserve"> </w:t>
      </w:r>
      <w:r w:rsidRPr="00043A1E">
        <w:rPr>
          <w:rFonts w:ascii="SimSun" w:hAnsi="SimSun" w:hint="eastAsia"/>
          <w:szCs w:val="22"/>
        </w:rPr>
        <w:t>（</w:t>
      </w:r>
      <w:r w:rsidRPr="00761EF3">
        <w:rPr>
          <w:rFonts w:hint="eastAsia"/>
          <w:szCs w:val="22"/>
        </w:rPr>
        <w:t>1</w:t>
      </w:r>
      <w:r w:rsidRPr="00043A1E">
        <w:rPr>
          <w:rFonts w:ascii="SimSun" w:hAnsi="SimSun" w:hint="eastAsia"/>
          <w:szCs w:val="22"/>
        </w:rPr>
        <w:t>）</w:t>
      </w:r>
      <w:r w:rsidRPr="00043A1E">
        <w:rPr>
          <w:rFonts w:hint="eastAsia"/>
          <w:szCs w:val="22"/>
        </w:rPr>
        <w:t>杳杳：</w:t>
      </w:r>
      <w:r w:rsidRPr="00761EF3">
        <w:rPr>
          <w:szCs w:val="22"/>
        </w:rPr>
        <w:t>1</w:t>
      </w:r>
      <w:r w:rsidRPr="00043A1E">
        <w:rPr>
          <w:szCs w:val="22"/>
        </w:rPr>
        <w:t>.</w:t>
      </w:r>
      <w:r w:rsidRPr="00043A1E">
        <w:rPr>
          <w:rFonts w:ascii="SimSun" w:hAnsi="SimSun" w:hint="eastAsia"/>
          <w:szCs w:val="22"/>
        </w:rPr>
        <w:t>昏暗貌</w:t>
      </w:r>
      <w:r w:rsidRPr="00043A1E">
        <w:rPr>
          <w:rFonts w:hint="eastAsia"/>
          <w:szCs w:val="22"/>
        </w:rPr>
        <w:t>。</w:t>
      </w:r>
      <w:r w:rsidRPr="00761EF3">
        <w:rPr>
          <w:szCs w:val="22"/>
        </w:rPr>
        <w:t>4</w:t>
      </w:r>
      <w:r w:rsidRPr="00043A1E">
        <w:rPr>
          <w:szCs w:val="22"/>
        </w:rPr>
        <w:t>.</w:t>
      </w:r>
      <w:r w:rsidRPr="00043A1E">
        <w:rPr>
          <w:rFonts w:hint="eastAsia"/>
          <w:szCs w:val="22"/>
        </w:rPr>
        <w:t>猶隱約，依稀。（《漢語大詞典》（二），</w:t>
      </w:r>
      <w:r w:rsidRPr="00761EF3">
        <w:rPr>
          <w:rFonts w:hint="eastAsia"/>
          <w:szCs w:val="22"/>
        </w:rPr>
        <w:t>p</w:t>
      </w:r>
      <w:r w:rsidRPr="00043A1E">
        <w:rPr>
          <w:szCs w:val="22"/>
        </w:rPr>
        <w:t>.</w:t>
      </w:r>
      <w:r w:rsidRPr="00761EF3">
        <w:rPr>
          <w:szCs w:val="22"/>
        </w:rPr>
        <w:t>816</w:t>
      </w:r>
      <w:r w:rsidRPr="00043A1E">
        <w:rPr>
          <w:rFonts w:hint="eastAsia"/>
          <w:szCs w:val="22"/>
        </w:rPr>
        <w:t>）</w:t>
      </w:r>
    </w:p>
    <w:p w:rsidR="00157EF6" w:rsidRPr="00043A1E" w:rsidRDefault="00157EF6" w:rsidP="00AA120F">
      <w:pPr>
        <w:pStyle w:val="a5"/>
        <w:ind w:leftChars="105" w:left="791" w:hangingChars="245" w:hanging="539"/>
        <w:jc w:val="both"/>
        <w:rPr>
          <w:rFonts w:eastAsia="SimSun"/>
          <w:szCs w:val="22"/>
        </w:rPr>
      </w:pPr>
      <w:r w:rsidRPr="00043A1E">
        <w:rPr>
          <w:rFonts w:hint="eastAsia"/>
          <w:szCs w:val="22"/>
        </w:rPr>
        <w:t>（</w:t>
      </w:r>
      <w:r w:rsidRPr="00761EF3">
        <w:rPr>
          <w:rFonts w:hint="eastAsia"/>
          <w:szCs w:val="22"/>
        </w:rPr>
        <w:t>2</w:t>
      </w:r>
      <w:r w:rsidRPr="00043A1E">
        <w:rPr>
          <w:rFonts w:hint="eastAsia"/>
          <w:szCs w:val="22"/>
        </w:rPr>
        <w:t>）杳冥：</w:t>
      </w:r>
      <w:r w:rsidRPr="00761EF3">
        <w:rPr>
          <w:szCs w:val="22"/>
        </w:rPr>
        <w:t>4</w:t>
      </w:r>
      <w:r w:rsidRPr="00043A1E">
        <w:rPr>
          <w:szCs w:val="22"/>
        </w:rPr>
        <w:t>.</w:t>
      </w:r>
      <w:r w:rsidRPr="00043A1E">
        <w:rPr>
          <w:rFonts w:hint="eastAsia"/>
          <w:szCs w:val="22"/>
        </w:rPr>
        <w:t>謂奧秘莫測。（《漢語大詞典》（二），</w:t>
      </w:r>
      <w:r w:rsidRPr="00761EF3">
        <w:rPr>
          <w:rFonts w:hint="eastAsia"/>
          <w:szCs w:val="22"/>
        </w:rPr>
        <w:t>p</w:t>
      </w:r>
      <w:r w:rsidRPr="00043A1E">
        <w:rPr>
          <w:szCs w:val="22"/>
        </w:rPr>
        <w:t>.</w:t>
      </w:r>
      <w:r w:rsidRPr="00761EF3">
        <w:rPr>
          <w:szCs w:val="22"/>
        </w:rPr>
        <w:t>816</w:t>
      </w:r>
      <w:r w:rsidRPr="00043A1E">
        <w:rPr>
          <w:rFonts w:hint="eastAsia"/>
          <w:szCs w:val="22"/>
        </w:rPr>
        <w:t>）</w:t>
      </w:r>
    </w:p>
  </w:footnote>
  <w:footnote w:id="572">
    <w:p w:rsidR="00157EF6" w:rsidRPr="00043A1E" w:rsidRDefault="00157EF6" w:rsidP="00AA120F">
      <w:pPr>
        <w:pStyle w:val="a5"/>
        <w:spacing w:line="0" w:lineRule="atLeast"/>
        <w:ind w:left="792" w:hangingChars="360" w:hanging="792"/>
        <w:jc w:val="both"/>
        <w:rPr>
          <w:rFonts w:ascii="SimSun" w:eastAsia="SimSun" w:hAnsi="SimSun"/>
          <w:szCs w:val="22"/>
        </w:rPr>
      </w:pPr>
      <w:r w:rsidRPr="00043A1E">
        <w:rPr>
          <w:rStyle w:val="a6"/>
          <w:szCs w:val="22"/>
        </w:rPr>
        <w:footnoteRef/>
      </w:r>
      <w:r w:rsidRPr="00043A1E">
        <w:rPr>
          <w:rFonts w:ascii="SimSun" w:hAnsi="SimSun" w:hint="eastAsia"/>
          <w:szCs w:val="22"/>
        </w:rPr>
        <w:t xml:space="preserve"> </w:t>
      </w:r>
      <w:r w:rsidRPr="00043A1E">
        <w:rPr>
          <w:rFonts w:ascii="SimSun" w:hAnsi="SimSun" w:hint="eastAsia"/>
          <w:szCs w:val="22"/>
        </w:rPr>
        <w:t>（</w:t>
      </w:r>
      <w:r w:rsidRPr="00761EF3">
        <w:rPr>
          <w:rFonts w:hint="eastAsia"/>
          <w:szCs w:val="22"/>
        </w:rPr>
        <w:t>1</w:t>
      </w:r>
      <w:r w:rsidRPr="00043A1E">
        <w:rPr>
          <w:rFonts w:ascii="SimSun" w:hAnsi="SimSun" w:hint="eastAsia"/>
          <w:szCs w:val="22"/>
        </w:rPr>
        <w:t>）</w:t>
      </w:r>
      <w:r w:rsidRPr="00043A1E">
        <w:rPr>
          <w:rFonts w:hint="eastAsia"/>
          <w:szCs w:val="22"/>
        </w:rPr>
        <w:t>冥：</w:t>
      </w:r>
      <w:r w:rsidRPr="00761EF3">
        <w:rPr>
          <w:szCs w:val="22"/>
        </w:rPr>
        <w:t>2</w:t>
      </w:r>
      <w:r w:rsidRPr="00043A1E">
        <w:rPr>
          <w:szCs w:val="22"/>
        </w:rPr>
        <w:t>.</w:t>
      </w:r>
      <w:r w:rsidRPr="00043A1E">
        <w:rPr>
          <w:rFonts w:hint="eastAsia"/>
          <w:szCs w:val="22"/>
        </w:rPr>
        <w:t>昏暗，不明。</w:t>
      </w:r>
      <w:r w:rsidRPr="00761EF3">
        <w:rPr>
          <w:szCs w:val="22"/>
        </w:rPr>
        <w:t>6</w:t>
      </w:r>
      <w:r w:rsidRPr="00043A1E">
        <w:rPr>
          <w:szCs w:val="22"/>
        </w:rPr>
        <w:t>.</w:t>
      </w:r>
      <w:r w:rsidRPr="00043A1E">
        <w:rPr>
          <w:rFonts w:hint="eastAsia"/>
          <w:szCs w:val="22"/>
        </w:rPr>
        <w:t>隱蔽，幽深。</w:t>
      </w:r>
      <w:r w:rsidRPr="00043A1E">
        <w:rPr>
          <w:szCs w:val="22"/>
        </w:rPr>
        <w:t>（《漢語大詞典》（二），</w:t>
      </w:r>
      <w:r w:rsidRPr="00761EF3">
        <w:rPr>
          <w:szCs w:val="22"/>
        </w:rPr>
        <w:t>p</w:t>
      </w:r>
      <w:r w:rsidRPr="00043A1E">
        <w:rPr>
          <w:szCs w:val="22"/>
        </w:rPr>
        <w:t>.</w:t>
      </w:r>
      <w:r w:rsidRPr="00761EF3">
        <w:rPr>
          <w:szCs w:val="22"/>
        </w:rPr>
        <w:t>448</w:t>
      </w:r>
      <w:r w:rsidRPr="00043A1E">
        <w:rPr>
          <w:szCs w:val="22"/>
        </w:rPr>
        <w:t>）</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）冥冥：</w:t>
      </w:r>
      <w:r w:rsidRPr="00761EF3">
        <w:rPr>
          <w:szCs w:val="22"/>
        </w:rPr>
        <w:t>3</w:t>
      </w:r>
      <w:r w:rsidRPr="00043A1E">
        <w:rPr>
          <w:szCs w:val="22"/>
        </w:rPr>
        <w:t>.</w:t>
      </w:r>
      <w:r w:rsidRPr="00043A1E">
        <w:rPr>
          <w:rFonts w:hint="eastAsia"/>
          <w:szCs w:val="22"/>
        </w:rPr>
        <w:t>懵懂無知貌。（《漢語大詞典》（二），</w:t>
      </w:r>
      <w:r w:rsidRPr="00761EF3">
        <w:rPr>
          <w:rFonts w:hint="eastAsia"/>
          <w:szCs w:val="22"/>
        </w:rPr>
        <w:t>p</w:t>
      </w:r>
      <w:r w:rsidRPr="00043A1E">
        <w:rPr>
          <w:szCs w:val="22"/>
        </w:rPr>
        <w:t>.</w:t>
      </w:r>
      <w:r w:rsidRPr="00761EF3">
        <w:rPr>
          <w:rFonts w:eastAsia="SimSun"/>
          <w:szCs w:val="22"/>
        </w:rPr>
        <w:t>452</w:t>
      </w:r>
      <w:r w:rsidRPr="00043A1E">
        <w:rPr>
          <w:rFonts w:hint="eastAsia"/>
          <w:szCs w:val="22"/>
        </w:rPr>
        <w:t>）</w:t>
      </w:r>
    </w:p>
  </w:footnote>
  <w:footnote w:id="573">
    <w:p w:rsidR="00157EF6" w:rsidRPr="00043A1E" w:rsidRDefault="00157EF6" w:rsidP="00AA120F">
      <w:pPr>
        <w:pStyle w:val="a5"/>
        <w:spacing w:line="0" w:lineRule="atLeast"/>
        <w:ind w:left="253" w:hangingChars="115" w:hanging="253"/>
        <w:jc w:val="both"/>
        <w:rPr>
          <w:rFonts w:eastAsia="SimSun"/>
          <w:szCs w:val="22"/>
        </w:rPr>
      </w:pPr>
      <w:r w:rsidRPr="00043A1E">
        <w:rPr>
          <w:rStyle w:val="a6"/>
          <w:szCs w:val="22"/>
        </w:rPr>
        <w:footnoteRef/>
      </w:r>
      <w:r w:rsidRPr="00043A1E">
        <w:rPr>
          <w:szCs w:val="22"/>
        </w:rPr>
        <w:t xml:space="preserve"> </w:t>
      </w:r>
      <w:r w:rsidRPr="00043A1E">
        <w:rPr>
          <w:szCs w:val="22"/>
        </w:rPr>
        <w:t>形狀：</w:t>
      </w:r>
      <w:r w:rsidRPr="00761EF3">
        <w:rPr>
          <w:szCs w:val="22"/>
        </w:rPr>
        <w:t>5</w:t>
      </w:r>
      <w:r w:rsidRPr="00043A1E">
        <w:rPr>
          <w:szCs w:val="22"/>
        </w:rPr>
        <w:t>.</w:t>
      </w:r>
      <w:r w:rsidRPr="00043A1E">
        <w:rPr>
          <w:szCs w:val="22"/>
        </w:rPr>
        <w:t>描摹，形容比擬。（《漢語大詞典》（三），</w:t>
      </w:r>
      <w:r w:rsidRPr="00761EF3">
        <w:rPr>
          <w:szCs w:val="22"/>
        </w:rPr>
        <w:t>pp</w:t>
      </w:r>
      <w:r w:rsidRPr="00043A1E">
        <w:rPr>
          <w:szCs w:val="22"/>
        </w:rPr>
        <w:t>.</w:t>
      </w:r>
      <w:r w:rsidRPr="00761EF3">
        <w:rPr>
          <w:szCs w:val="22"/>
        </w:rPr>
        <w:t>111</w:t>
      </w:r>
      <w:r w:rsidRPr="00761EF3">
        <w:rPr>
          <w:rFonts w:hint="eastAsia"/>
          <w:szCs w:val="22"/>
        </w:rPr>
        <w:t>4</w:t>
      </w:r>
      <w:r w:rsidRPr="00043A1E">
        <w:rPr>
          <w:szCs w:val="22"/>
        </w:rPr>
        <w:t>-</w:t>
      </w:r>
      <w:r w:rsidRPr="00761EF3">
        <w:rPr>
          <w:szCs w:val="22"/>
        </w:rPr>
        <w:t>1115</w:t>
      </w:r>
      <w:r w:rsidRPr="00043A1E">
        <w:rPr>
          <w:szCs w:val="22"/>
        </w:rPr>
        <w:t>）</w:t>
      </w:r>
    </w:p>
  </w:footnote>
  <w:footnote w:id="574">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精：</w:t>
      </w:r>
      <w:r w:rsidRPr="00761EF3">
        <w:rPr>
          <w:szCs w:val="22"/>
        </w:rPr>
        <w:t>12</w:t>
      </w:r>
      <w:r w:rsidRPr="00043A1E">
        <w:rPr>
          <w:szCs w:val="22"/>
        </w:rPr>
        <w:t>.</w:t>
      </w:r>
      <w:r w:rsidRPr="00043A1E">
        <w:rPr>
          <w:szCs w:val="22"/>
        </w:rPr>
        <w:t>隱微，奧妙。</w:t>
      </w:r>
      <w:r w:rsidRPr="00761EF3">
        <w:rPr>
          <w:szCs w:val="22"/>
        </w:rPr>
        <w:t>15</w:t>
      </w:r>
      <w:r w:rsidRPr="00043A1E">
        <w:rPr>
          <w:szCs w:val="22"/>
        </w:rPr>
        <w:t>.</w:t>
      </w:r>
      <w:r w:rsidRPr="00043A1E">
        <w:rPr>
          <w:szCs w:val="22"/>
        </w:rPr>
        <w:t>精氣。（《漢語大詞典》（九），</w:t>
      </w:r>
      <w:r w:rsidRPr="00761EF3">
        <w:rPr>
          <w:szCs w:val="22"/>
        </w:rPr>
        <w:t>p</w:t>
      </w:r>
      <w:r w:rsidRPr="00043A1E">
        <w:rPr>
          <w:szCs w:val="22"/>
        </w:rPr>
        <w:t>.</w:t>
      </w:r>
      <w:r w:rsidRPr="00761EF3">
        <w:rPr>
          <w:szCs w:val="22"/>
        </w:rPr>
        <w:t>216</w:t>
      </w:r>
      <w:r w:rsidRPr="00043A1E">
        <w:rPr>
          <w:szCs w:val="22"/>
        </w:rPr>
        <w:t>）</w:t>
      </w:r>
    </w:p>
  </w:footnote>
  <w:footnote w:id="575">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szCs w:val="22"/>
        </w:rPr>
        <w:t>恍恍：</w:t>
      </w:r>
      <w:r w:rsidRPr="00761EF3">
        <w:rPr>
          <w:szCs w:val="22"/>
        </w:rPr>
        <w:t>1</w:t>
      </w:r>
      <w:r w:rsidRPr="00043A1E">
        <w:rPr>
          <w:szCs w:val="22"/>
        </w:rPr>
        <w:t>.</w:t>
      </w:r>
      <w:r w:rsidRPr="00043A1E">
        <w:rPr>
          <w:rFonts w:hint="eastAsia"/>
          <w:szCs w:val="22"/>
        </w:rPr>
        <w:t>朦朧不清貌</w:t>
      </w:r>
      <w:r w:rsidRPr="00043A1E">
        <w:rPr>
          <w:szCs w:val="22"/>
        </w:rPr>
        <w:t>。（《漢語大詞典》（七），</w:t>
      </w:r>
      <w:r w:rsidRPr="00761EF3">
        <w:rPr>
          <w:szCs w:val="22"/>
        </w:rPr>
        <w:t>p</w:t>
      </w:r>
      <w:r w:rsidRPr="00043A1E">
        <w:rPr>
          <w:szCs w:val="22"/>
        </w:rPr>
        <w:t>.</w:t>
      </w:r>
      <w:r w:rsidRPr="00761EF3">
        <w:rPr>
          <w:szCs w:val="22"/>
        </w:rPr>
        <w:t>518</w:t>
      </w:r>
      <w:r w:rsidRPr="00043A1E">
        <w:rPr>
          <w:szCs w:val="22"/>
        </w:rPr>
        <w:t>）</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w:t>
      </w:r>
      <w:r w:rsidRPr="00043A1E">
        <w:rPr>
          <w:szCs w:val="22"/>
        </w:rPr>
        <w:t>恍惚：</w:t>
      </w:r>
      <w:r w:rsidRPr="00761EF3">
        <w:rPr>
          <w:szCs w:val="22"/>
        </w:rPr>
        <w:t>1</w:t>
      </w:r>
      <w:r w:rsidRPr="00043A1E">
        <w:rPr>
          <w:szCs w:val="22"/>
        </w:rPr>
        <w:t>.</w:t>
      </w:r>
      <w:r w:rsidRPr="00043A1E">
        <w:rPr>
          <w:rFonts w:hint="eastAsia"/>
          <w:szCs w:val="22"/>
        </w:rPr>
        <w:t>迷離，難以捉摸</w:t>
      </w:r>
      <w:r w:rsidRPr="00043A1E">
        <w:rPr>
          <w:szCs w:val="22"/>
        </w:rPr>
        <w:t>。（《漢語大詞典》（七），</w:t>
      </w:r>
      <w:r w:rsidRPr="00761EF3">
        <w:rPr>
          <w:szCs w:val="22"/>
        </w:rPr>
        <w:t>p</w:t>
      </w:r>
      <w:r w:rsidRPr="00043A1E">
        <w:rPr>
          <w:szCs w:val="22"/>
        </w:rPr>
        <w:t>.</w:t>
      </w:r>
      <w:r w:rsidRPr="00761EF3">
        <w:rPr>
          <w:szCs w:val="22"/>
        </w:rPr>
        <w:t>518</w:t>
      </w:r>
      <w:r w:rsidRPr="00043A1E">
        <w:rPr>
          <w:szCs w:val="22"/>
        </w:rPr>
        <w:t>）</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3</w:t>
      </w:r>
      <w:r w:rsidRPr="00043A1E">
        <w:rPr>
          <w:rFonts w:hint="eastAsia"/>
          <w:szCs w:val="22"/>
        </w:rPr>
        <w:t>）</w:t>
      </w:r>
      <w:r w:rsidRPr="00043A1E">
        <w:rPr>
          <w:szCs w:val="22"/>
        </w:rPr>
        <w:t>惚：</w:t>
      </w:r>
      <w:r w:rsidRPr="00043A1E">
        <w:rPr>
          <w:rFonts w:hint="eastAsia"/>
          <w:szCs w:val="22"/>
        </w:rPr>
        <w:t>隱約或遊移而不可捉摸；不清晰</w:t>
      </w:r>
      <w:r w:rsidRPr="00043A1E">
        <w:rPr>
          <w:szCs w:val="22"/>
        </w:rPr>
        <w:t>。（《漢語大詞典》（七），</w:t>
      </w:r>
      <w:r w:rsidRPr="00761EF3">
        <w:rPr>
          <w:szCs w:val="22"/>
        </w:rPr>
        <w:t>p</w:t>
      </w:r>
      <w:r w:rsidRPr="00043A1E">
        <w:rPr>
          <w:szCs w:val="22"/>
        </w:rPr>
        <w:t>.</w:t>
      </w:r>
      <w:r w:rsidRPr="00761EF3">
        <w:rPr>
          <w:szCs w:val="22"/>
        </w:rPr>
        <w:t>602</w:t>
      </w:r>
      <w:r w:rsidRPr="00043A1E">
        <w:rPr>
          <w:szCs w:val="22"/>
        </w:rPr>
        <w:t>）</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4</w:t>
      </w:r>
      <w:r w:rsidRPr="00043A1E">
        <w:rPr>
          <w:rFonts w:hint="eastAsia"/>
          <w:szCs w:val="22"/>
        </w:rPr>
        <w:t>）惚恍：混沌不分，隱約不清</w:t>
      </w:r>
      <w:r w:rsidRPr="00043A1E">
        <w:rPr>
          <w:szCs w:val="22"/>
        </w:rPr>
        <w:t>。（《漢語大詞典》（七），</w:t>
      </w:r>
      <w:r w:rsidRPr="00761EF3">
        <w:rPr>
          <w:szCs w:val="22"/>
        </w:rPr>
        <w:t>p</w:t>
      </w:r>
      <w:r w:rsidRPr="00043A1E">
        <w:rPr>
          <w:szCs w:val="22"/>
        </w:rPr>
        <w:t>.</w:t>
      </w:r>
      <w:r w:rsidRPr="00761EF3">
        <w:rPr>
          <w:szCs w:val="22"/>
        </w:rPr>
        <w:t>602</w:t>
      </w:r>
      <w:r w:rsidRPr="00043A1E">
        <w:rPr>
          <w:szCs w:val="22"/>
        </w:rPr>
        <w:t>）</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5</w:t>
      </w:r>
      <w:r w:rsidRPr="00043A1E">
        <w:rPr>
          <w:rFonts w:hint="eastAsia"/>
          <w:szCs w:val="22"/>
        </w:rPr>
        <w:t>）</w:t>
      </w:r>
      <w:r w:rsidRPr="00043A1E">
        <w:rPr>
          <w:szCs w:val="22"/>
        </w:rPr>
        <w:t>恍恍惚惚：</w:t>
      </w:r>
      <w:r w:rsidRPr="00761EF3">
        <w:rPr>
          <w:szCs w:val="22"/>
        </w:rPr>
        <w:t>2</w:t>
      </w:r>
      <w:r w:rsidRPr="00043A1E">
        <w:rPr>
          <w:szCs w:val="22"/>
        </w:rPr>
        <w:t>.</w:t>
      </w:r>
      <w:r w:rsidRPr="00043A1E">
        <w:rPr>
          <w:rFonts w:hint="eastAsia"/>
          <w:szCs w:val="22"/>
        </w:rPr>
        <w:t>模糊不清貌。</w:t>
      </w:r>
      <w:r w:rsidRPr="00043A1E">
        <w:rPr>
          <w:szCs w:val="22"/>
        </w:rPr>
        <w:t>（《漢語大詞典》（七），</w:t>
      </w:r>
      <w:r w:rsidRPr="00761EF3">
        <w:rPr>
          <w:szCs w:val="22"/>
        </w:rPr>
        <w:t>p</w:t>
      </w:r>
      <w:r w:rsidRPr="00043A1E">
        <w:rPr>
          <w:szCs w:val="22"/>
        </w:rPr>
        <w:t>.</w:t>
      </w:r>
      <w:r w:rsidRPr="00761EF3">
        <w:rPr>
          <w:szCs w:val="22"/>
        </w:rPr>
        <w:t>519</w:t>
      </w:r>
      <w:r w:rsidRPr="00043A1E">
        <w:rPr>
          <w:szCs w:val="22"/>
        </w:rPr>
        <w:t>）</w:t>
      </w:r>
    </w:p>
  </w:footnote>
  <w:footnote w:id="576">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szCs w:val="22"/>
        </w:rPr>
        <w:t>）老子《</w:t>
      </w:r>
      <w:r w:rsidRPr="00043A1E">
        <w:rPr>
          <w:rFonts w:ascii="SimSun" w:hAnsi="SimSun" w:hint="eastAsia"/>
          <w:szCs w:val="22"/>
        </w:rPr>
        <w:t>道德經</w:t>
      </w:r>
      <w:r w:rsidRPr="00043A1E">
        <w:rPr>
          <w:szCs w:val="22"/>
        </w:rPr>
        <w:t>》〈二十一章〉：</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孔德之容，惟道是從。道之為物，惟恍惟惚。惚兮恍兮，其中有象；恍兮惚兮，其中有物。窈兮冥兮，其中有精；其精甚真，其中有信。自今及古，其名不去，以閱眾甫。吾何以知眾甫之狀哉？以此。</w:t>
      </w:r>
    </w:p>
    <w:p w:rsidR="00157EF6" w:rsidRPr="00043A1E" w:rsidRDefault="00157EF6" w:rsidP="00AA120F">
      <w:pPr>
        <w:pStyle w:val="a5"/>
        <w:ind w:leftChars="105" w:left="791" w:hangingChars="245" w:hanging="539"/>
        <w:jc w:val="both"/>
        <w:rPr>
          <w:szCs w:val="22"/>
        </w:rPr>
      </w:pPr>
      <w:r w:rsidRPr="00043A1E">
        <w:rPr>
          <w:szCs w:val="22"/>
        </w:rPr>
        <w:t>（</w:t>
      </w:r>
      <w:r w:rsidRPr="00761EF3">
        <w:rPr>
          <w:szCs w:val="22"/>
        </w:rPr>
        <w:t>2</w:t>
      </w:r>
      <w:r w:rsidRPr="00043A1E">
        <w:rPr>
          <w:szCs w:val="22"/>
        </w:rPr>
        <w:t>）</w:t>
      </w:r>
      <w:r w:rsidRPr="00043A1E">
        <w:rPr>
          <w:rFonts w:hint="eastAsia"/>
          <w:szCs w:val="22"/>
        </w:rPr>
        <w:t>陳鼓應，</w:t>
      </w:r>
      <w:r w:rsidRPr="00043A1E">
        <w:rPr>
          <w:szCs w:val="22"/>
        </w:rPr>
        <w:t>《老子的註譯及評介》，中華書局出版，</w:t>
      </w:r>
      <w:r w:rsidRPr="00761EF3">
        <w:rPr>
          <w:szCs w:val="22"/>
        </w:rPr>
        <w:t>2001</w:t>
      </w:r>
      <w:r w:rsidRPr="00043A1E">
        <w:rPr>
          <w:szCs w:val="22"/>
        </w:rPr>
        <w:t>年，</w:t>
      </w:r>
      <w:r w:rsidRPr="00761EF3">
        <w:rPr>
          <w:szCs w:val="22"/>
        </w:rPr>
        <w:t>p</w:t>
      </w:r>
      <w:r w:rsidRPr="00043A1E">
        <w:rPr>
          <w:szCs w:val="22"/>
        </w:rPr>
        <w:t>.</w:t>
      </w:r>
      <w:r w:rsidRPr="00761EF3">
        <w:rPr>
          <w:szCs w:val="22"/>
        </w:rPr>
        <w:t>152</w:t>
      </w:r>
      <w:r w:rsidRPr="00043A1E">
        <w:rPr>
          <w:rFonts w:hint="eastAsia"/>
          <w:szCs w:val="22"/>
        </w:rPr>
        <w:t>：</w:t>
      </w:r>
    </w:p>
    <w:p w:rsidR="00157EF6" w:rsidRPr="00043A1E" w:rsidRDefault="00157EF6" w:rsidP="00AA120F">
      <w:pPr>
        <w:pStyle w:val="a5"/>
        <w:ind w:leftChars="335" w:left="804"/>
        <w:jc w:val="both"/>
        <w:rPr>
          <w:rFonts w:eastAsia="SimSun"/>
          <w:szCs w:val="22"/>
        </w:rPr>
      </w:pPr>
      <w:r w:rsidRPr="00043A1E">
        <w:rPr>
          <w:rFonts w:ascii="標楷體" w:eastAsia="標楷體" w:hAnsi="標楷體" w:hint="eastAsia"/>
          <w:szCs w:val="22"/>
        </w:rPr>
        <w:t>大「德」的樣態，隨著「道」為轉移。「道」這個東西，是恍恍惚惚的。那樣地惚惚恍恍，其中卻有形象；那樣地恍恍惚惚，其中卻有事物。那樣地深遠暗昧，其中卻有精質；這精質是非常真實的，這精質是可信驗的。從當今上溯到古代，它的名字永遠不能消去，依據它才能認識萬物的本始。我怎麼知道萬物本始的情形呢？從「道」認識的。</w:t>
      </w:r>
    </w:p>
  </w:footnote>
  <w:footnote w:id="577">
    <w:p w:rsidR="00157EF6" w:rsidRPr="00043A1E" w:rsidRDefault="00157EF6" w:rsidP="00AA120F">
      <w:pPr>
        <w:pStyle w:val="a5"/>
        <w:spacing w:line="0" w:lineRule="atLeast"/>
        <w:ind w:left="253" w:hangingChars="115" w:hanging="253"/>
        <w:jc w:val="both"/>
        <w:rPr>
          <w:rFonts w:ascii="新細明體" w:eastAsia="SimSun" w:hAnsi="新細明體"/>
          <w:szCs w:val="22"/>
        </w:rPr>
      </w:pPr>
      <w:r w:rsidRPr="00043A1E">
        <w:rPr>
          <w:rStyle w:val="a6"/>
          <w:szCs w:val="22"/>
        </w:rPr>
        <w:footnoteRef/>
      </w:r>
      <w:r w:rsidRPr="00043A1E">
        <w:rPr>
          <w:rFonts w:eastAsia="SimSun" w:hint="eastAsia"/>
          <w:szCs w:val="22"/>
        </w:rPr>
        <w:t xml:space="preserve"> </w:t>
      </w:r>
      <w:r w:rsidRPr="00043A1E">
        <w:rPr>
          <w:szCs w:val="22"/>
        </w:rPr>
        <w:t>印順</w:t>
      </w:r>
      <w:r w:rsidRPr="00043A1E">
        <w:rPr>
          <w:rFonts w:hint="eastAsia"/>
          <w:szCs w:val="22"/>
        </w:rPr>
        <w:t>法師</w:t>
      </w:r>
      <w:r w:rsidRPr="00043A1E">
        <w:rPr>
          <w:szCs w:val="22"/>
        </w:rPr>
        <w:t>，《</w:t>
      </w:r>
      <w:r w:rsidRPr="00043A1E">
        <w:rPr>
          <w:rFonts w:hint="eastAsia"/>
          <w:szCs w:val="22"/>
        </w:rPr>
        <w:t>中國禪宗史</w:t>
      </w:r>
      <w:r w:rsidRPr="00043A1E">
        <w:rPr>
          <w:szCs w:val="22"/>
        </w:rPr>
        <w:t>》，</w:t>
      </w:r>
      <w:r w:rsidRPr="00761EF3">
        <w:rPr>
          <w:rFonts w:hint="eastAsia"/>
          <w:szCs w:val="22"/>
        </w:rPr>
        <w:t>pp</w:t>
      </w:r>
      <w:r w:rsidRPr="00043A1E">
        <w:rPr>
          <w:rFonts w:hint="eastAsia"/>
          <w:szCs w:val="22"/>
        </w:rPr>
        <w:t>.</w:t>
      </w:r>
      <w:r w:rsidRPr="00761EF3">
        <w:rPr>
          <w:rFonts w:hint="eastAsia"/>
          <w:szCs w:val="22"/>
        </w:rPr>
        <w:t>384</w:t>
      </w:r>
      <w:r w:rsidRPr="00043A1E">
        <w:rPr>
          <w:rFonts w:hint="eastAsia"/>
          <w:szCs w:val="22"/>
        </w:rPr>
        <w:t>-</w:t>
      </w:r>
      <w:r w:rsidRPr="00761EF3">
        <w:rPr>
          <w:rFonts w:hint="eastAsia"/>
          <w:szCs w:val="22"/>
        </w:rPr>
        <w:t>385</w:t>
      </w:r>
      <w:r w:rsidRPr="00043A1E">
        <w:rPr>
          <w:rFonts w:ascii="新細明體" w:hAnsi="新細明體" w:hint="eastAsia"/>
          <w:szCs w:val="22"/>
        </w:rPr>
        <w:t>：</w:t>
      </w:r>
    </w:p>
    <w:p w:rsidR="00157EF6" w:rsidRPr="00043A1E" w:rsidRDefault="00157EF6" w:rsidP="00AA120F">
      <w:pPr>
        <w:pStyle w:val="a5"/>
        <w:ind w:leftChars="105" w:left="252"/>
        <w:jc w:val="both"/>
        <w:rPr>
          <w:rFonts w:ascii="標楷體" w:eastAsia="SimSun" w:hAnsi="標楷體"/>
          <w:szCs w:val="22"/>
        </w:rPr>
      </w:pPr>
      <w:r w:rsidRPr="00043A1E">
        <w:rPr>
          <w:rFonts w:ascii="標楷體" w:eastAsia="標楷體" w:hAnsi="標楷體" w:hint="eastAsia"/>
          <w:szCs w:val="22"/>
        </w:rPr>
        <w:t>當然，「數論」與「南方宗旨」，決不是完全相同的。但對因思量而自性變化一切來說，不能說沒有間接的關係。「自性」，或譯為「冥性」，中國佛學者，早就指出：老子的「杳杳冥冥，其中有精；恍恍惚惚，其中有物」，從「道」而生一切，與「數論」的「冥性」說相近。所以「南方宗旨」的「自性」變化一切說，對未來的融「道」於禪，的確是從旁打開了方便之門。這些，是與曹溪本旨無關。</w:t>
      </w:r>
    </w:p>
  </w:footnote>
  <w:footnote w:id="578">
    <w:p w:rsidR="00157EF6" w:rsidRPr="00043A1E" w:rsidRDefault="00157EF6" w:rsidP="00AA120F">
      <w:pPr>
        <w:pStyle w:val="a5"/>
        <w:spacing w:line="0" w:lineRule="atLeast"/>
        <w:ind w:left="253" w:hangingChars="115" w:hanging="253"/>
        <w:jc w:val="both"/>
        <w:rPr>
          <w:rFonts w:eastAsia="SimSun"/>
          <w:szCs w:val="22"/>
        </w:rPr>
      </w:pPr>
      <w:r w:rsidRPr="00043A1E">
        <w:rPr>
          <w:rStyle w:val="a6"/>
          <w:szCs w:val="22"/>
        </w:rPr>
        <w:footnoteRef/>
      </w:r>
      <w:r w:rsidRPr="00043A1E">
        <w:rPr>
          <w:szCs w:val="22"/>
        </w:rPr>
        <w:t xml:space="preserve"> </w:t>
      </w:r>
      <w:r w:rsidRPr="00043A1E">
        <w:rPr>
          <w:rFonts w:ascii="新細明體" w:hAnsi="新細明體"/>
          <w:szCs w:val="22"/>
        </w:rPr>
        <w:t>推溯</w:t>
      </w:r>
      <w:r w:rsidRPr="00043A1E">
        <w:rPr>
          <w:rFonts w:ascii="新細明體" w:hAnsi="新細明體" w:hint="eastAsia"/>
          <w:szCs w:val="22"/>
        </w:rPr>
        <w:t>：</w:t>
      </w:r>
      <w:r w:rsidRPr="00043A1E">
        <w:rPr>
          <w:rFonts w:ascii="新細明體" w:hAnsi="新細明體"/>
          <w:szCs w:val="22"/>
        </w:rPr>
        <w:t>推</w:t>
      </w:r>
      <w:r w:rsidRPr="00043A1E">
        <w:rPr>
          <w:rFonts w:ascii="新細明體" w:hAnsi="新細明體" w:hint="eastAsia"/>
          <w:szCs w:val="22"/>
        </w:rPr>
        <w:t>本</w:t>
      </w:r>
      <w:r w:rsidRPr="00043A1E">
        <w:rPr>
          <w:rFonts w:ascii="新細明體" w:hAnsi="新細明體"/>
          <w:szCs w:val="22"/>
        </w:rPr>
        <w:t>溯</w:t>
      </w:r>
      <w:r w:rsidRPr="00043A1E">
        <w:rPr>
          <w:rFonts w:ascii="新細明體" w:hAnsi="新細明體" w:hint="eastAsia"/>
          <w:szCs w:val="22"/>
        </w:rPr>
        <w:t>源</w:t>
      </w:r>
      <w:r w:rsidRPr="00043A1E">
        <w:rPr>
          <w:szCs w:val="22"/>
        </w:rPr>
        <w:t>。（《漢語大詞典》（</w:t>
      </w:r>
      <w:r w:rsidRPr="00043A1E">
        <w:rPr>
          <w:rFonts w:ascii="新細明體" w:hAnsi="新細明體" w:hint="eastAsia"/>
          <w:szCs w:val="22"/>
        </w:rPr>
        <w:t>六</w:t>
      </w:r>
      <w:r w:rsidRPr="00043A1E">
        <w:rPr>
          <w:szCs w:val="22"/>
        </w:rPr>
        <w:t>），</w:t>
      </w:r>
      <w:r w:rsidRPr="00761EF3">
        <w:rPr>
          <w:szCs w:val="22"/>
        </w:rPr>
        <w:t>p</w:t>
      </w:r>
      <w:r w:rsidRPr="00043A1E">
        <w:rPr>
          <w:szCs w:val="22"/>
        </w:rPr>
        <w:t>.</w:t>
      </w:r>
      <w:r w:rsidRPr="00761EF3">
        <w:rPr>
          <w:rFonts w:eastAsia="SimSun"/>
          <w:szCs w:val="22"/>
        </w:rPr>
        <w:t>6</w:t>
      </w:r>
      <w:r w:rsidRPr="00761EF3">
        <w:rPr>
          <w:rFonts w:hint="eastAsia"/>
          <w:szCs w:val="22"/>
        </w:rPr>
        <w:t>79</w:t>
      </w:r>
      <w:r w:rsidRPr="00043A1E">
        <w:rPr>
          <w:szCs w:val="22"/>
        </w:rPr>
        <w:t>）</w:t>
      </w:r>
    </w:p>
  </w:footnote>
  <w:footnote w:id="579">
    <w:p w:rsidR="005F5BAF" w:rsidRDefault="00157EF6" w:rsidP="00AA120F">
      <w:pPr>
        <w:pStyle w:val="a5"/>
        <w:spacing w:line="0" w:lineRule="atLeast"/>
        <w:ind w:left="253" w:hangingChars="115" w:hanging="253"/>
        <w:jc w:val="both"/>
        <w:rPr>
          <w:rFonts w:ascii="SimSun" w:hAnsi="SimSun"/>
          <w:szCs w:val="22"/>
        </w:rPr>
      </w:pPr>
      <w:r w:rsidRPr="00043A1E">
        <w:rPr>
          <w:rStyle w:val="a6"/>
          <w:szCs w:val="22"/>
        </w:rPr>
        <w:footnoteRef/>
      </w:r>
      <w:r w:rsidRPr="00043A1E">
        <w:rPr>
          <w:szCs w:val="22"/>
        </w:rPr>
        <w:t xml:space="preserve"> </w:t>
      </w:r>
      <w:r w:rsidRPr="00043A1E">
        <w:rPr>
          <w:szCs w:val="22"/>
        </w:rPr>
        <w:t>展轉：</w:t>
      </w:r>
      <w:r w:rsidRPr="00761EF3">
        <w:rPr>
          <w:szCs w:val="22"/>
        </w:rPr>
        <w:t>2</w:t>
      </w:r>
      <w:r w:rsidRPr="00043A1E">
        <w:rPr>
          <w:szCs w:val="22"/>
        </w:rPr>
        <w:t>.</w:t>
      </w:r>
      <w:r w:rsidRPr="00043A1E">
        <w:rPr>
          <w:rFonts w:ascii="新細明體" w:hAnsi="新細明體" w:hint="eastAsia"/>
          <w:szCs w:val="22"/>
        </w:rPr>
        <w:t>重</w:t>
      </w:r>
      <w:r w:rsidRPr="00043A1E">
        <w:rPr>
          <w:rFonts w:ascii="SimSun" w:hAnsi="SimSun" w:hint="eastAsia"/>
          <w:szCs w:val="22"/>
        </w:rPr>
        <w:t>複貌</w:t>
      </w:r>
      <w:r w:rsidRPr="00043A1E">
        <w:rPr>
          <w:szCs w:val="22"/>
        </w:rPr>
        <w:t>。</w:t>
      </w:r>
      <w:r w:rsidRPr="00043A1E">
        <w:rPr>
          <w:rFonts w:ascii="SimSun" w:hAnsi="SimSun" w:hint="eastAsia"/>
          <w:szCs w:val="22"/>
        </w:rPr>
        <w:t>形容次數多。</w:t>
      </w:r>
      <w:r w:rsidRPr="00761EF3">
        <w:rPr>
          <w:szCs w:val="22"/>
        </w:rPr>
        <w:t>3</w:t>
      </w:r>
      <w:r w:rsidRPr="00043A1E">
        <w:rPr>
          <w:szCs w:val="22"/>
        </w:rPr>
        <w:t>.</w:t>
      </w:r>
      <w:r w:rsidRPr="00043A1E">
        <w:rPr>
          <w:rFonts w:ascii="SimSun" w:hAnsi="SimSun" w:hint="eastAsia"/>
          <w:szCs w:val="22"/>
        </w:rPr>
        <w:t>形容經過多種途徑，非直接的。</w:t>
      </w:r>
    </w:p>
    <w:p w:rsidR="00157EF6" w:rsidRPr="00043A1E" w:rsidRDefault="00157EF6" w:rsidP="005F5BAF">
      <w:pPr>
        <w:pStyle w:val="a5"/>
        <w:spacing w:line="0" w:lineRule="atLeast"/>
        <w:ind w:left="253" w:hangingChars="115" w:hanging="253"/>
        <w:jc w:val="right"/>
        <w:rPr>
          <w:szCs w:val="22"/>
        </w:rPr>
      </w:pPr>
      <w:r w:rsidRPr="00043A1E">
        <w:rPr>
          <w:szCs w:val="22"/>
        </w:rPr>
        <w:t>（《漢語大詞典》（四），</w:t>
      </w:r>
      <w:r w:rsidRPr="00761EF3">
        <w:rPr>
          <w:szCs w:val="22"/>
        </w:rPr>
        <w:t>p</w:t>
      </w:r>
      <w:r w:rsidRPr="00043A1E">
        <w:rPr>
          <w:szCs w:val="22"/>
        </w:rPr>
        <w:t>.</w:t>
      </w:r>
      <w:r w:rsidRPr="00761EF3">
        <w:rPr>
          <w:szCs w:val="22"/>
        </w:rPr>
        <w:t>4</w:t>
      </w:r>
      <w:r w:rsidRPr="00761EF3">
        <w:rPr>
          <w:rFonts w:hint="eastAsia"/>
          <w:szCs w:val="22"/>
        </w:rPr>
        <w:t>7</w:t>
      </w:r>
      <w:r w:rsidRPr="00043A1E">
        <w:rPr>
          <w:szCs w:val="22"/>
        </w:rPr>
        <w:t>）</w:t>
      </w:r>
    </w:p>
  </w:footnote>
  <w:footnote w:id="580">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相資：</w:t>
      </w:r>
      <w:r w:rsidRPr="00761EF3">
        <w:rPr>
          <w:szCs w:val="22"/>
        </w:rPr>
        <w:t>1</w:t>
      </w:r>
      <w:r w:rsidRPr="00043A1E">
        <w:rPr>
          <w:szCs w:val="22"/>
        </w:rPr>
        <w:t>.</w:t>
      </w:r>
      <w:r w:rsidRPr="00043A1E">
        <w:rPr>
          <w:szCs w:val="22"/>
        </w:rPr>
        <w:t>相互憑藉。</w:t>
      </w:r>
      <w:r w:rsidRPr="00761EF3">
        <w:rPr>
          <w:szCs w:val="22"/>
        </w:rPr>
        <w:t>2</w:t>
      </w:r>
      <w:r w:rsidRPr="00043A1E">
        <w:rPr>
          <w:szCs w:val="22"/>
        </w:rPr>
        <w:t>.</w:t>
      </w:r>
      <w:r w:rsidRPr="00043A1E">
        <w:rPr>
          <w:szCs w:val="22"/>
        </w:rPr>
        <w:t>相互資助。（《漢語大詞典》（七），</w:t>
      </w:r>
      <w:r w:rsidRPr="00761EF3">
        <w:rPr>
          <w:szCs w:val="22"/>
        </w:rPr>
        <w:t>p</w:t>
      </w:r>
      <w:r w:rsidRPr="00043A1E">
        <w:rPr>
          <w:szCs w:val="22"/>
        </w:rPr>
        <w:t>.</w:t>
      </w:r>
      <w:r w:rsidRPr="00761EF3">
        <w:rPr>
          <w:szCs w:val="22"/>
        </w:rPr>
        <w:t>11</w:t>
      </w:r>
      <w:r w:rsidRPr="00761EF3">
        <w:rPr>
          <w:rFonts w:hint="eastAsia"/>
          <w:szCs w:val="22"/>
        </w:rPr>
        <w:t>58</w:t>
      </w:r>
      <w:r w:rsidRPr="00043A1E">
        <w:rPr>
          <w:szCs w:val="22"/>
        </w:rPr>
        <w:t>）</w:t>
      </w:r>
    </w:p>
  </w:footnote>
  <w:footnote w:id="581">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函：</w:t>
      </w:r>
      <w:r w:rsidRPr="00761EF3">
        <w:rPr>
          <w:szCs w:val="22"/>
        </w:rPr>
        <w:t>5</w:t>
      </w:r>
      <w:r w:rsidRPr="00043A1E">
        <w:rPr>
          <w:szCs w:val="22"/>
        </w:rPr>
        <w:t>.</w:t>
      </w:r>
      <w:r w:rsidRPr="00043A1E">
        <w:rPr>
          <w:szCs w:val="22"/>
        </w:rPr>
        <w:t>匣子，封套。（《漢語大詞典》（二），</w:t>
      </w:r>
      <w:r w:rsidRPr="00761EF3">
        <w:rPr>
          <w:szCs w:val="22"/>
        </w:rPr>
        <w:t>p</w:t>
      </w:r>
      <w:r w:rsidRPr="00043A1E">
        <w:rPr>
          <w:szCs w:val="22"/>
        </w:rPr>
        <w:t>.</w:t>
      </w:r>
      <w:r w:rsidRPr="00761EF3">
        <w:rPr>
          <w:szCs w:val="22"/>
        </w:rPr>
        <w:t>506</w:t>
      </w:r>
      <w:r w:rsidRPr="00043A1E">
        <w:rPr>
          <w:szCs w:val="22"/>
        </w:rPr>
        <w:t>）</w:t>
      </w:r>
    </w:p>
  </w:footnote>
  <w:footnote w:id="582">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蓋：</w:t>
      </w:r>
      <w:r w:rsidRPr="00761EF3">
        <w:rPr>
          <w:rFonts w:eastAsia="SimSun"/>
          <w:szCs w:val="22"/>
        </w:rPr>
        <w:t>3</w:t>
      </w:r>
      <w:r w:rsidRPr="00043A1E">
        <w:rPr>
          <w:szCs w:val="22"/>
        </w:rPr>
        <w:t>.</w:t>
      </w:r>
      <w:r w:rsidRPr="00043A1E">
        <w:rPr>
          <w:szCs w:val="22"/>
        </w:rPr>
        <w:t>器物上部有遮蓋作用的東西。（《漢語大詞典》（</w:t>
      </w:r>
      <w:r w:rsidRPr="00043A1E">
        <w:rPr>
          <w:rFonts w:ascii="SimSun" w:eastAsia="SimSun" w:hAnsi="SimSun" w:hint="eastAsia"/>
          <w:szCs w:val="22"/>
        </w:rPr>
        <w:t>九</w:t>
      </w:r>
      <w:r w:rsidRPr="00043A1E">
        <w:rPr>
          <w:szCs w:val="22"/>
        </w:rPr>
        <w:t>），</w:t>
      </w:r>
      <w:r w:rsidRPr="00761EF3">
        <w:rPr>
          <w:szCs w:val="22"/>
        </w:rPr>
        <w:t>p</w:t>
      </w:r>
      <w:r w:rsidRPr="00043A1E">
        <w:rPr>
          <w:szCs w:val="22"/>
        </w:rPr>
        <w:t>.</w:t>
      </w:r>
      <w:r w:rsidRPr="00761EF3">
        <w:rPr>
          <w:rFonts w:eastAsia="SimSun"/>
          <w:szCs w:val="22"/>
        </w:rPr>
        <w:t>496</w:t>
      </w:r>
      <w:r w:rsidRPr="00043A1E">
        <w:rPr>
          <w:szCs w:val="22"/>
        </w:rPr>
        <w:t>）</w:t>
      </w:r>
    </w:p>
  </w:footnote>
  <w:footnote w:id="583">
    <w:p w:rsidR="00157EF6" w:rsidRPr="00043A1E" w:rsidRDefault="00157EF6" w:rsidP="00AA120F">
      <w:pPr>
        <w:pStyle w:val="a5"/>
        <w:spacing w:line="0" w:lineRule="atLeast"/>
        <w:ind w:left="253" w:hangingChars="115" w:hanging="253"/>
        <w:jc w:val="both"/>
        <w:rPr>
          <w:rFonts w:ascii="新細明體" w:hAnsi="新細明體"/>
          <w:szCs w:val="22"/>
        </w:rPr>
      </w:pPr>
      <w:r w:rsidRPr="00043A1E">
        <w:rPr>
          <w:rStyle w:val="a6"/>
          <w:szCs w:val="22"/>
        </w:rPr>
        <w:footnoteRef/>
      </w:r>
      <w:r w:rsidRPr="00043A1E">
        <w:rPr>
          <w:rFonts w:hint="eastAsia"/>
          <w:szCs w:val="22"/>
        </w:rPr>
        <w:t xml:space="preserve"> </w:t>
      </w:r>
      <w:r w:rsidRPr="00043A1E">
        <w:rPr>
          <w:rFonts w:ascii="新細明體" w:hAnsi="新細明體"/>
          <w:szCs w:val="22"/>
        </w:rPr>
        <w:t>《大智度論》卷</w:t>
      </w:r>
      <w:r w:rsidRPr="00761EF3">
        <w:rPr>
          <w:rFonts w:hint="eastAsia"/>
          <w:szCs w:val="22"/>
        </w:rPr>
        <w:t>2</w:t>
      </w:r>
      <w:r w:rsidR="00E64597">
        <w:rPr>
          <w:rFonts w:hint="eastAsia"/>
          <w:color w:val="FF0000"/>
          <w:szCs w:val="22"/>
          <w:highlight w:val="yellow"/>
        </w:rPr>
        <w:t>釋</w:t>
      </w:r>
      <w:r w:rsidRPr="00043A1E">
        <w:rPr>
          <w:rFonts w:ascii="新細明體" w:hAnsi="新細明體"/>
          <w:szCs w:val="22"/>
        </w:rPr>
        <w:t>〈</w:t>
      </w:r>
      <w:r w:rsidRPr="00761EF3">
        <w:rPr>
          <w:szCs w:val="22"/>
        </w:rPr>
        <w:t>1</w:t>
      </w:r>
      <w:r w:rsidRPr="00043A1E">
        <w:rPr>
          <w:szCs w:val="22"/>
        </w:rPr>
        <w:t xml:space="preserve"> </w:t>
      </w:r>
      <w:r w:rsidRPr="00043A1E">
        <w:rPr>
          <w:rFonts w:ascii="新細明體" w:hAnsi="新細明體"/>
          <w:szCs w:val="22"/>
        </w:rPr>
        <w:t>序品〉（大正</w:t>
      </w:r>
      <w:r w:rsidRPr="00761EF3">
        <w:rPr>
          <w:szCs w:val="22"/>
        </w:rPr>
        <w:t>25</w:t>
      </w:r>
      <w:r w:rsidRPr="00043A1E">
        <w:rPr>
          <w:szCs w:val="22"/>
        </w:rPr>
        <w:t>，</w:t>
      </w:r>
      <w:r w:rsidRPr="00761EF3">
        <w:rPr>
          <w:szCs w:val="22"/>
        </w:rPr>
        <w:t>74b29</w:t>
      </w:r>
      <w:r w:rsidRPr="00043A1E">
        <w:rPr>
          <w:szCs w:val="22"/>
        </w:rPr>
        <w:t>-</w:t>
      </w:r>
      <w:r w:rsidRPr="00761EF3">
        <w:rPr>
          <w:szCs w:val="22"/>
        </w:rPr>
        <w:t>c2</w:t>
      </w:r>
      <w:r w:rsidRPr="00043A1E">
        <w:rPr>
          <w:rFonts w:ascii="新細明體" w:hAnsi="新細明體"/>
          <w:szCs w:val="22"/>
        </w:rPr>
        <w:t>）：</w:t>
      </w:r>
    </w:p>
    <w:p w:rsidR="00157EF6" w:rsidRPr="00043A1E" w:rsidRDefault="00157EF6" w:rsidP="00AA120F">
      <w:pPr>
        <w:pStyle w:val="a5"/>
        <w:ind w:leftChars="105" w:left="252"/>
        <w:jc w:val="both"/>
        <w:rPr>
          <w:rFonts w:ascii="標楷體" w:eastAsia="SimSun" w:hAnsi="標楷體"/>
          <w:szCs w:val="22"/>
        </w:rPr>
      </w:pPr>
      <w:r w:rsidRPr="00043A1E">
        <w:rPr>
          <w:rFonts w:ascii="標楷體" w:eastAsia="標楷體" w:hAnsi="標楷體" w:hint="eastAsia"/>
          <w:szCs w:val="22"/>
        </w:rPr>
        <w:t>如諸法無量，智慧亦無量無數無邊；如函大蓋亦大，函小蓋亦小。</w:t>
      </w:r>
    </w:p>
  </w:footnote>
  <w:footnote w:id="584">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eastAsia="SimSun" w:hint="eastAsia"/>
          <w:szCs w:val="22"/>
        </w:rPr>
        <w:t xml:space="preserve"> </w:t>
      </w:r>
      <w:r w:rsidRPr="00043A1E">
        <w:rPr>
          <w:szCs w:val="22"/>
        </w:rPr>
        <w:t>（</w:t>
      </w:r>
      <w:r w:rsidRPr="00761EF3">
        <w:rPr>
          <w:szCs w:val="22"/>
        </w:rPr>
        <w:t>1</w:t>
      </w:r>
      <w:r w:rsidRPr="00043A1E">
        <w:rPr>
          <w:szCs w:val="22"/>
        </w:rPr>
        <w:t>）</w:t>
      </w:r>
      <w:r w:rsidR="009160B5">
        <w:rPr>
          <w:rFonts w:hint="eastAsia"/>
          <w:szCs w:val="22"/>
        </w:rPr>
        <w:t>參見：印</w:t>
      </w:r>
      <w:r w:rsidRPr="00043A1E">
        <w:rPr>
          <w:szCs w:val="22"/>
        </w:rPr>
        <w:t>順</w:t>
      </w:r>
      <w:r w:rsidRPr="00043A1E">
        <w:rPr>
          <w:rFonts w:hint="eastAsia"/>
          <w:szCs w:val="22"/>
        </w:rPr>
        <w:t>法師</w:t>
      </w:r>
      <w:r w:rsidRPr="00043A1E">
        <w:rPr>
          <w:szCs w:val="22"/>
        </w:rPr>
        <w:t>，《中</w:t>
      </w:r>
      <w:r w:rsidRPr="00043A1E">
        <w:rPr>
          <w:rFonts w:ascii="新細明體" w:hAnsi="新細明體"/>
          <w:szCs w:val="22"/>
        </w:rPr>
        <w:t>觀</w:t>
      </w:r>
      <w:r w:rsidRPr="00043A1E">
        <w:rPr>
          <w:rFonts w:ascii="新細明體" w:hAnsi="新細明體" w:hint="eastAsia"/>
          <w:szCs w:val="22"/>
        </w:rPr>
        <w:t>今</w:t>
      </w:r>
      <w:r w:rsidRPr="00043A1E">
        <w:rPr>
          <w:szCs w:val="22"/>
        </w:rPr>
        <w:t>論》</w:t>
      </w:r>
      <w:r w:rsidRPr="00043A1E">
        <w:rPr>
          <w:rFonts w:hint="eastAsia"/>
          <w:szCs w:val="22"/>
        </w:rPr>
        <w:t>，</w:t>
      </w:r>
      <w:r w:rsidRPr="00043A1E">
        <w:rPr>
          <w:szCs w:val="22"/>
        </w:rPr>
        <w:t>第</w:t>
      </w:r>
      <w:r w:rsidRPr="00761EF3">
        <w:rPr>
          <w:rFonts w:hint="eastAsia"/>
          <w:szCs w:val="22"/>
        </w:rPr>
        <w:t>8</w:t>
      </w:r>
      <w:r w:rsidRPr="00043A1E">
        <w:rPr>
          <w:szCs w:val="22"/>
        </w:rPr>
        <w:t>章〈</w:t>
      </w:r>
      <w:r w:rsidRPr="00043A1E">
        <w:rPr>
          <w:rFonts w:hint="eastAsia"/>
          <w:szCs w:val="22"/>
        </w:rPr>
        <w:t>中觀之諸法實相</w:t>
      </w:r>
      <w:r w:rsidRPr="00043A1E">
        <w:rPr>
          <w:szCs w:val="22"/>
        </w:rPr>
        <w:t>〉</w:t>
      </w:r>
      <w:r w:rsidRPr="00043A1E">
        <w:rPr>
          <w:rFonts w:hint="eastAsia"/>
          <w:szCs w:val="22"/>
        </w:rPr>
        <w:t>，第</w:t>
      </w:r>
      <w:r w:rsidRPr="00761EF3">
        <w:rPr>
          <w:rFonts w:hint="eastAsia"/>
          <w:szCs w:val="22"/>
        </w:rPr>
        <w:t>2</w:t>
      </w:r>
      <w:r w:rsidRPr="00043A1E">
        <w:rPr>
          <w:rFonts w:hint="eastAsia"/>
          <w:szCs w:val="22"/>
        </w:rPr>
        <w:t>節，</w:t>
      </w:r>
      <w:r w:rsidRPr="00043A1E">
        <w:rPr>
          <w:szCs w:val="22"/>
        </w:rPr>
        <w:t>〈</w:t>
      </w:r>
      <w:r w:rsidRPr="00043A1E">
        <w:rPr>
          <w:rFonts w:hint="eastAsia"/>
          <w:szCs w:val="22"/>
        </w:rPr>
        <w:t>性、相</w:t>
      </w:r>
      <w:r w:rsidRPr="00043A1E">
        <w:rPr>
          <w:szCs w:val="22"/>
        </w:rPr>
        <w:t>〉</w:t>
      </w:r>
      <w:r w:rsidRPr="00043A1E">
        <w:rPr>
          <w:rFonts w:hint="eastAsia"/>
          <w:szCs w:val="22"/>
        </w:rPr>
        <w:t>，</w:t>
      </w:r>
      <w:r w:rsidRPr="00761EF3">
        <w:rPr>
          <w:szCs w:val="22"/>
        </w:rPr>
        <w:t>pp</w:t>
      </w:r>
      <w:r w:rsidRPr="00043A1E">
        <w:rPr>
          <w:szCs w:val="22"/>
        </w:rPr>
        <w:t>.</w:t>
      </w:r>
      <w:r w:rsidRPr="00761EF3">
        <w:rPr>
          <w:rFonts w:hint="eastAsia"/>
          <w:szCs w:val="22"/>
        </w:rPr>
        <w:t>159</w:t>
      </w:r>
      <w:r w:rsidRPr="00043A1E">
        <w:rPr>
          <w:szCs w:val="22"/>
        </w:rPr>
        <w:t>-</w:t>
      </w:r>
      <w:r w:rsidRPr="00761EF3">
        <w:rPr>
          <w:rFonts w:hint="eastAsia"/>
          <w:szCs w:val="22"/>
        </w:rPr>
        <w:t>161</w:t>
      </w:r>
      <w:r w:rsidRPr="00043A1E">
        <w:rPr>
          <w:rFonts w:hint="eastAsia"/>
          <w:szCs w:val="22"/>
        </w:rPr>
        <w:t>：</w:t>
      </w:r>
    </w:p>
    <w:p w:rsidR="00157EF6" w:rsidRPr="00043A1E" w:rsidRDefault="00157EF6" w:rsidP="00AA120F">
      <w:pPr>
        <w:widowControl/>
        <w:snapToGrid w:val="0"/>
        <w:ind w:leftChars="335" w:left="804"/>
        <w:jc w:val="both"/>
        <w:rPr>
          <w:rFonts w:ascii="標楷體" w:eastAsia="標楷體" w:hAnsi="標楷體" w:cs="新細明體"/>
          <w:sz w:val="22"/>
          <w:szCs w:val="22"/>
        </w:rPr>
      </w:pPr>
      <w:r w:rsidRPr="00043A1E">
        <w:rPr>
          <w:rFonts w:ascii="標楷體" w:eastAsia="標楷體" w:hAnsi="標楷體" w:cs="新細明體" w:hint="eastAsia"/>
          <w:sz w:val="22"/>
          <w:szCs w:val="22"/>
        </w:rPr>
        <w:t>唯心論者說：凡是有的，必是依心識而存在的。一切不過是自心所幻現的，是自心所涵攝的，是自心表象的客觀化──物化。我們所知道的，不出於心識名言。這即是必由心識的了相而知性，被解說為並無心外的存在。所以，「若人識得心，大地無寸土」。</w:t>
      </w:r>
    </w:p>
    <w:p w:rsidR="00157EF6" w:rsidRPr="00043A1E" w:rsidRDefault="00157EF6" w:rsidP="00AA120F">
      <w:pPr>
        <w:widowControl/>
        <w:snapToGrid w:val="0"/>
        <w:ind w:leftChars="335" w:left="804"/>
        <w:jc w:val="both"/>
        <w:rPr>
          <w:rFonts w:ascii="標楷體" w:eastAsia="標楷體" w:hAnsi="標楷體" w:cs="新細明體"/>
          <w:sz w:val="22"/>
          <w:szCs w:val="22"/>
        </w:rPr>
      </w:pPr>
      <w:r w:rsidRPr="00043A1E">
        <w:rPr>
          <w:rFonts w:ascii="標楷體" w:eastAsia="標楷體" w:hAnsi="標楷體" w:cs="新細明體" w:hint="eastAsia"/>
          <w:sz w:val="22"/>
          <w:szCs w:val="22"/>
        </w:rPr>
        <w:t>中觀者從緣起觀的立場，即不作此等說。</w:t>
      </w:r>
      <w:r w:rsidRPr="000C504E">
        <w:rPr>
          <w:rFonts w:ascii="標楷體" w:eastAsia="標楷體" w:hAnsi="標楷體" w:cs="新細明體" w:hint="eastAsia"/>
          <w:color w:val="FF0000"/>
          <w:sz w:val="22"/>
          <w:szCs w:val="22"/>
          <w:shd w:val="pct15" w:color="auto" w:fill="FFFFFF"/>
        </w:rPr>
        <w:t>……</w:t>
      </w:r>
      <w:r w:rsidRPr="00043A1E">
        <w:rPr>
          <w:rFonts w:ascii="標楷體" w:eastAsia="標楷體" w:hAnsi="標楷體" w:cs="新細明體" w:hint="eastAsia"/>
          <w:sz w:val="22"/>
          <w:szCs w:val="22"/>
        </w:rPr>
        <w:t>中觀者世俗諦安立──施設諸法為有，不即是客觀實在性的如此而有，這與心識、根身有莫大關係，尤其不能離意識的名言而存在。若離開心識名言，即不能知它是如此如此而有的。但依於心識，不即是主觀的心識，所以與唯識者所見不同。所認識的是因果能所相依相涉的幻相，離開能所系即不會如此的，離開因果系也不會如此的，極無自性而為緣起──因果、能所交織的存在。</w:t>
      </w:r>
    </w:p>
    <w:p w:rsidR="00157EF6" w:rsidRPr="00043A1E" w:rsidRDefault="00157EF6" w:rsidP="00AA120F">
      <w:pPr>
        <w:pStyle w:val="a5"/>
        <w:ind w:leftChars="105" w:left="791" w:hangingChars="245" w:hanging="539"/>
        <w:jc w:val="both"/>
        <w:rPr>
          <w:rFonts w:eastAsia="SimSun"/>
          <w:szCs w:val="22"/>
        </w:rPr>
      </w:pPr>
      <w:r w:rsidRPr="00043A1E">
        <w:rPr>
          <w:szCs w:val="22"/>
        </w:rPr>
        <w:t>（</w:t>
      </w:r>
      <w:r w:rsidRPr="00761EF3">
        <w:rPr>
          <w:szCs w:val="22"/>
        </w:rPr>
        <w:t>2</w:t>
      </w:r>
      <w:r w:rsidRPr="00043A1E">
        <w:rPr>
          <w:szCs w:val="22"/>
        </w:rPr>
        <w:t>）印順</w:t>
      </w:r>
      <w:r w:rsidRPr="00043A1E">
        <w:rPr>
          <w:rFonts w:hint="eastAsia"/>
          <w:szCs w:val="22"/>
        </w:rPr>
        <w:t>法師</w:t>
      </w:r>
      <w:r w:rsidRPr="00043A1E">
        <w:rPr>
          <w:szCs w:val="22"/>
        </w:rPr>
        <w:t>，</w:t>
      </w:r>
      <w:r w:rsidRPr="00043A1E">
        <w:rPr>
          <w:rFonts w:cs="新細明體"/>
          <w:szCs w:val="22"/>
        </w:rPr>
        <w:t>《中觀今論》</w:t>
      </w:r>
      <w:r w:rsidRPr="00043A1E">
        <w:rPr>
          <w:szCs w:val="22"/>
        </w:rPr>
        <w:t>第</w:t>
      </w:r>
      <w:r w:rsidRPr="00761EF3">
        <w:rPr>
          <w:rFonts w:hint="eastAsia"/>
          <w:szCs w:val="22"/>
        </w:rPr>
        <w:t>11</w:t>
      </w:r>
      <w:r w:rsidRPr="00043A1E">
        <w:rPr>
          <w:szCs w:val="22"/>
        </w:rPr>
        <w:t>章</w:t>
      </w:r>
      <w:r w:rsidRPr="00043A1E">
        <w:rPr>
          <w:rFonts w:ascii="新細明體" w:hAnsi="新細明體" w:hint="eastAsia"/>
          <w:szCs w:val="22"/>
        </w:rPr>
        <w:t>〈</w:t>
      </w:r>
      <w:r w:rsidRPr="00043A1E">
        <w:rPr>
          <w:rFonts w:hint="eastAsia"/>
          <w:szCs w:val="22"/>
        </w:rPr>
        <w:t>中道之實踐</w:t>
      </w:r>
      <w:r w:rsidRPr="00043A1E">
        <w:rPr>
          <w:rFonts w:ascii="新細明體" w:hAnsi="新細明體" w:hint="eastAsia"/>
          <w:szCs w:val="22"/>
        </w:rPr>
        <w:t>〉，</w:t>
      </w:r>
      <w:r w:rsidRPr="00043A1E">
        <w:rPr>
          <w:rFonts w:hint="eastAsia"/>
          <w:szCs w:val="22"/>
        </w:rPr>
        <w:t>第</w:t>
      </w:r>
      <w:r w:rsidRPr="00761EF3">
        <w:rPr>
          <w:rFonts w:hint="eastAsia"/>
          <w:szCs w:val="22"/>
        </w:rPr>
        <w:t>2</w:t>
      </w:r>
      <w:r w:rsidRPr="00043A1E">
        <w:rPr>
          <w:rFonts w:hint="eastAsia"/>
          <w:szCs w:val="22"/>
        </w:rPr>
        <w:t>節</w:t>
      </w:r>
      <w:r w:rsidRPr="00043A1E">
        <w:rPr>
          <w:szCs w:val="22"/>
        </w:rPr>
        <w:t>〈</w:t>
      </w:r>
      <w:r w:rsidRPr="00043A1E">
        <w:rPr>
          <w:rFonts w:hint="eastAsia"/>
          <w:szCs w:val="22"/>
        </w:rPr>
        <w:t>緣起空有</w:t>
      </w:r>
      <w:r w:rsidRPr="00043A1E">
        <w:rPr>
          <w:szCs w:val="22"/>
        </w:rPr>
        <w:t>〉</w:t>
      </w:r>
      <w:r w:rsidRPr="00043A1E">
        <w:rPr>
          <w:rFonts w:hint="eastAsia"/>
          <w:szCs w:val="22"/>
        </w:rPr>
        <w:t>，</w:t>
      </w:r>
      <w:r w:rsidRPr="00761EF3">
        <w:rPr>
          <w:szCs w:val="22"/>
        </w:rPr>
        <w:t>pp</w:t>
      </w:r>
      <w:r w:rsidRPr="00043A1E">
        <w:rPr>
          <w:szCs w:val="22"/>
        </w:rPr>
        <w:t>.</w:t>
      </w:r>
      <w:r w:rsidRPr="00761EF3">
        <w:rPr>
          <w:szCs w:val="22"/>
        </w:rPr>
        <w:t>241</w:t>
      </w:r>
      <w:r w:rsidRPr="00043A1E">
        <w:rPr>
          <w:szCs w:val="22"/>
        </w:rPr>
        <w:t>-</w:t>
      </w:r>
      <w:r w:rsidRPr="00761EF3">
        <w:rPr>
          <w:szCs w:val="22"/>
        </w:rPr>
        <w:t>242</w:t>
      </w:r>
      <w:r w:rsidRPr="00043A1E">
        <w:rPr>
          <w:rFonts w:cs="新細明體" w:hint="eastAsia"/>
          <w:szCs w:val="22"/>
        </w:rPr>
        <w:t>。</w:t>
      </w:r>
    </w:p>
  </w:footnote>
  <w:footnote w:id="585">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拘礙：拘閡亦作</w:t>
      </w:r>
      <w:r w:rsidRPr="00043A1E">
        <w:rPr>
          <w:szCs w:val="22"/>
        </w:rPr>
        <w:t>“</w:t>
      </w:r>
      <w:r w:rsidRPr="00043A1E">
        <w:rPr>
          <w:szCs w:val="22"/>
        </w:rPr>
        <w:t>拘礙</w:t>
      </w:r>
      <w:r w:rsidRPr="00043A1E">
        <w:rPr>
          <w:szCs w:val="22"/>
        </w:rPr>
        <w:t>”</w:t>
      </w:r>
      <w:r w:rsidRPr="00043A1E">
        <w:rPr>
          <w:szCs w:val="22"/>
        </w:rPr>
        <w:t>，束縛阻礙。（《漢語大詞典》（六），</w:t>
      </w:r>
      <w:r w:rsidRPr="00761EF3">
        <w:rPr>
          <w:szCs w:val="22"/>
        </w:rPr>
        <w:t>p</w:t>
      </w:r>
      <w:r w:rsidRPr="00043A1E">
        <w:rPr>
          <w:szCs w:val="22"/>
        </w:rPr>
        <w:t>.</w:t>
      </w:r>
      <w:r w:rsidRPr="00761EF3">
        <w:rPr>
          <w:szCs w:val="22"/>
        </w:rPr>
        <w:t>48</w:t>
      </w:r>
      <w:r w:rsidRPr="00761EF3">
        <w:rPr>
          <w:rFonts w:hint="eastAsia"/>
          <w:szCs w:val="22"/>
        </w:rPr>
        <w:t>7</w:t>
      </w:r>
      <w:r w:rsidRPr="00043A1E">
        <w:rPr>
          <w:szCs w:val="22"/>
        </w:rPr>
        <w:t>）</w:t>
      </w:r>
    </w:p>
  </w:footnote>
  <w:footnote w:id="586">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環：</w:t>
      </w:r>
      <w:r w:rsidRPr="00761EF3">
        <w:rPr>
          <w:szCs w:val="22"/>
        </w:rPr>
        <w:t>2</w:t>
      </w:r>
      <w:r w:rsidRPr="00043A1E">
        <w:rPr>
          <w:szCs w:val="22"/>
        </w:rPr>
        <w:t>.</w:t>
      </w:r>
      <w:r w:rsidRPr="00043A1E">
        <w:rPr>
          <w:szCs w:val="22"/>
        </w:rPr>
        <w:t>泛指圓圈形的物品。（《漢語大詞典》（四），</w:t>
      </w:r>
      <w:r w:rsidRPr="00761EF3">
        <w:rPr>
          <w:szCs w:val="22"/>
        </w:rPr>
        <w:t>p</w:t>
      </w:r>
      <w:r w:rsidRPr="00043A1E">
        <w:rPr>
          <w:szCs w:val="22"/>
        </w:rPr>
        <w:t>.</w:t>
      </w:r>
      <w:r w:rsidRPr="00761EF3">
        <w:rPr>
          <w:szCs w:val="22"/>
        </w:rPr>
        <w:t>635</w:t>
      </w:r>
      <w:r w:rsidRPr="00043A1E">
        <w:rPr>
          <w:szCs w:val="22"/>
        </w:rPr>
        <w:t>）</w:t>
      </w:r>
    </w:p>
  </w:footnote>
  <w:footnote w:id="587">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端：</w:t>
      </w:r>
      <w:r w:rsidRPr="00761EF3">
        <w:rPr>
          <w:szCs w:val="22"/>
        </w:rPr>
        <w:t>7</w:t>
      </w:r>
      <w:r w:rsidRPr="00043A1E">
        <w:rPr>
          <w:szCs w:val="22"/>
        </w:rPr>
        <w:t>.</w:t>
      </w:r>
      <w:r w:rsidRPr="00043A1E">
        <w:rPr>
          <w:szCs w:val="22"/>
        </w:rPr>
        <w:t>開始。（《漢語大詞典》（八），</w:t>
      </w:r>
      <w:r w:rsidRPr="00761EF3">
        <w:rPr>
          <w:szCs w:val="22"/>
        </w:rPr>
        <w:t>p</w:t>
      </w:r>
      <w:r w:rsidRPr="00043A1E">
        <w:rPr>
          <w:szCs w:val="22"/>
        </w:rPr>
        <w:t>.</w:t>
      </w:r>
      <w:r w:rsidRPr="00761EF3">
        <w:rPr>
          <w:szCs w:val="22"/>
        </w:rPr>
        <w:t>394</w:t>
      </w:r>
      <w:r w:rsidRPr="00043A1E">
        <w:rPr>
          <w:szCs w:val="22"/>
        </w:rPr>
        <w:t>）</w:t>
      </w:r>
    </w:p>
  </w:footnote>
  <w:footnote w:id="588">
    <w:p w:rsidR="00D211A0" w:rsidRPr="002D6BA0" w:rsidRDefault="00D211A0" w:rsidP="00D211A0">
      <w:pPr>
        <w:pStyle w:val="a5"/>
        <w:rPr>
          <w:color w:val="FF0000"/>
          <w:highlight w:val="yellow"/>
        </w:rPr>
      </w:pPr>
      <w:r w:rsidRPr="002D6BA0">
        <w:rPr>
          <w:rStyle w:val="a6"/>
          <w:color w:val="FF0000"/>
          <w:highlight w:val="yellow"/>
        </w:rPr>
        <w:footnoteRef/>
      </w:r>
      <w:r>
        <w:t xml:space="preserve"> </w:t>
      </w:r>
      <w:r w:rsidRPr="002D6BA0">
        <w:rPr>
          <w:rFonts w:hint="eastAsia"/>
          <w:color w:val="FF0000"/>
          <w:highlight w:val="yellow"/>
        </w:rPr>
        <w:t>（</w:t>
      </w:r>
      <w:r w:rsidRPr="002D6BA0">
        <w:rPr>
          <w:rFonts w:hint="eastAsia"/>
          <w:color w:val="FF0000"/>
          <w:highlight w:val="yellow"/>
        </w:rPr>
        <w:t>1</w:t>
      </w:r>
      <w:r w:rsidRPr="002D6BA0">
        <w:rPr>
          <w:rFonts w:hint="eastAsia"/>
          <w:color w:val="FF0000"/>
          <w:highlight w:val="yellow"/>
        </w:rPr>
        <w:t>）《正法念處經》卷</w:t>
      </w:r>
      <w:r w:rsidRPr="002D6BA0">
        <w:rPr>
          <w:rFonts w:hint="eastAsia"/>
          <w:color w:val="FF0000"/>
          <w:highlight w:val="yellow"/>
        </w:rPr>
        <w:t>8</w:t>
      </w:r>
      <w:r w:rsidRPr="002D6BA0">
        <w:rPr>
          <w:rFonts w:hint="eastAsia"/>
          <w:color w:val="FF0000"/>
          <w:highlight w:val="yellow"/>
        </w:rPr>
        <w:t>〈</w:t>
      </w:r>
      <w:r w:rsidR="002D6BA0" w:rsidRPr="002D6BA0">
        <w:rPr>
          <w:rFonts w:hint="eastAsia"/>
          <w:color w:val="FF0000"/>
          <w:highlight w:val="yellow"/>
        </w:rPr>
        <w:t xml:space="preserve">3 </w:t>
      </w:r>
      <w:r w:rsidRPr="002D6BA0">
        <w:rPr>
          <w:rFonts w:hint="eastAsia"/>
          <w:color w:val="FF0000"/>
          <w:highlight w:val="yellow"/>
        </w:rPr>
        <w:t>地獄品〉</w:t>
      </w:r>
      <w:r w:rsidR="002D6BA0" w:rsidRPr="002D6BA0">
        <w:rPr>
          <w:rFonts w:hint="eastAsia"/>
          <w:color w:val="FF0000"/>
          <w:szCs w:val="22"/>
          <w:highlight w:val="yellow"/>
        </w:rPr>
        <w:t>（</w:t>
      </w:r>
      <w:r w:rsidR="002D6BA0" w:rsidRPr="002D6BA0">
        <w:rPr>
          <w:rFonts w:eastAsia="SimSun" w:hint="eastAsia"/>
          <w:color w:val="FF0000"/>
          <w:szCs w:val="22"/>
          <w:highlight w:val="yellow"/>
        </w:rPr>
        <w:t>大正</w:t>
      </w:r>
      <w:r w:rsidRPr="002D6BA0">
        <w:rPr>
          <w:rFonts w:hint="eastAsia"/>
          <w:color w:val="FF0000"/>
          <w:highlight w:val="yellow"/>
        </w:rPr>
        <w:t>17</w:t>
      </w:r>
      <w:r w:rsidR="002D6BA0" w:rsidRPr="002D6BA0">
        <w:rPr>
          <w:rFonts w:hint="eastAsia"/>
          <w:color w:val="FF0000"/>
          <w:highlight w:val="yellow"/>
        </w:rPr>
        <w:t>，</w:t>
      </w:r>
      <w:r w:rsidR="002D6BA0" w:rsidRPr="002D6BA0">
        <w:rPr>
          <w:rFonts w:hint="eastAsia"/>
          <w:color w:val="FF0000"/>
          <w:highlight w:val="yellow"/>
        </w:rPr>
        <w:t>47</w:t>
      </w:r>
      <w:r w:rsidRPr="002D6BA0">
        <w:rPr>
          <w:rFonts w:hint="eastAsia"/>
          <w:color w:val="FF0000"/>
          <w:highlight w:val="yellow"/>
        </w:rPr>
        <w:t>b2-3</w:t>
      </w:r>
      <w:r w:rsidR="002D6BA0" w:rsidRPr="002D6BA0">
        <w:rPr>
          <w:color w:val="FF0000"/>
          <w:szCs w:val="22"/>
          <w:highlight w:val="yellow"/>
        </w:rPr>
        <w:t>）</w:t>
      </w:r>
      <w:r w:rsidRPr="002D6BA0">
        <w:rPr>
          <w:rFonts w:hint="eastAsia"/>
          <w:color w:val="FF0000"/>
          <w:highlight w:val="yellow"/>
        </w:rPr>
        <w:t>：</w:t>
      </w:r>
    </w:p>
    <w:p w:rsidR="00D211A0" w:rsidRPr="002D6BA0" w:rsidRDefault="00D211A0" w:rsidP="00D211A0">
      <w:pPr>
        <w:pStyle w:val="a5"/>
        <w:ind w:leftChars="305" w:left="732"/>
        <w:jc w:val="both"/>
        <w:rPr>
          <w:rFonts w:ascii="標楷體" w:eastAsia="標楷體" w:hAnsi="標楷體"/>
          <w:color w:val="FF0000"/>
          <w:highlight w:val="yellow"/>
        </w:rPr>
      </w:pPr>
      <w:r w:rsidRPr="002D6BA0">
        <w:rPr>
          <w:rFonts w:ascii="標楷體" w:eastAsia="標楷體" w:hAnsi="標楷體" w:hint="eastAsia"/>
          <w:color w:val="FF0000"/>
          <w:highlight w:val="yellow"/>
        </w:rPr>
        <w:t>如是受苦，無有休止，業與煩惱，生死輪轉，無有邊際，猶如旋環。</w:t>
      </w:r>
    </w:p>
    <w:p w:rsidR="00D211A0" w:rsidRPr="002D6BA0" w:rsidRDefault="00D211A0" w:rsidP="002D6BA0">
      <w:pPr>
        <w:pStyle w:val="a5"/>
        <w:ind w:leftChars="80" w:left="731" w:hangingChars="245" w:hanging="539"/>
        <w:jc w:val="both"/>
        <w:rPr>
          <w:color w:val="FF0000"/>
          <w:highlight w:val="yellow"/>
        </w:rPr>
      </w:pPr>
      <w:r w:rsidRPr="002D6BA0">
        <w:rPr>
          <w:rFonts w:hint="eastAsia"/>
          <w:color w:val="FF0000"/>
          <w:highlight w:val="yellow"/>
        </w:rPr>
        <w:t>（</w:t>
      </w:r>
      <w:r w:rsidRPr="002D6BA0">
        <w:rPr>
          <w:rFonts w:hint="eastAsia"/>
          <w:color w:val="FF0000"/>
          <w:highlight w:val="yellow"/>
        </w:rPr>
        <w:t>2</w:t>
      </w:r>
      <w:r w:rsidRPr="002D6BA0">
        <w:rPr>
          <w:rFonts w:hint="eastAsia"/>
          <w:color w:val="FF0000"/>
          <w:highlight w:val="yellow"/>
        </w:rPr>
        <w:t>）《阿毘達磨俱舍論》卷</w:t>
      </w:r>
      <w:r w:rsidRPr="002D6BA0">
        <w:rPr>
          <w:rFonts w:hint="eastAsia"/>
          <w:color w:val="FF0000"/>
          <w:highlight w:val="yellow"/>
        </w:rPr>
        <w:t>9</w:t>
      </w:r>
      <w:r w:rsidRPr="002D6BA0">
        <w:rPr>
          <w:rFonts w:hint="eastAsia"/>
          <w:color w:val="FF0000"/>
          <w:highlight w:val="yellow"/>
        </w:rPr>
        <w:t>〈</w:t>
      </w:r>
      <w:r w:rsidRPr="002D6BA0">
        <w:rPr>
          <w:rFonts w:hint="eastAsia"/>
          <w:color w:val="FF0000"/>
          <w:highlight w:val="yellow"/>
        </w:rPr>
        <w:t xml:space="preserve">3 </w:t>
      </w:r>
      <w:r w:rsidRPr="002D6BA0">
        <w:rPr>
          <w:rFonts w:hint="eastAsia"/>
          <w:color w:val="FF0000"/>
          <w:highlight w:val="yellow"/>
        </w:rPr>
        <w:t>分別世品〉</w:t>
      </w:r>
      <w:r w:rsidR="002D6BA0" w:rsidRPr="002D6BA0">
        <w:rPr>
          <w:rFonts w:hint="eastAsia"/>
          <w:color w:val="FF0000"/>
          <w:szCs w:val="22"/>
          <w:highlight w:val="yellow"/>
        </w:rPr>
        <w:t>（</w:t>
      </w:r>
      <w:r w:rsidR="002D6BA0" w:rsidRPr="002D6BA0">
        <w:rPr>
          <w:rFonts w:eastAsia="SimSun" w:hint="eastAsia"/>
          <w:color w:val="FF0000"/>
          <w:szCs w:val="22"/>
          <w:highlight w:val="yellow"/>
        </w:rPr>
        <w:t>大正</w:t>
      </w:r>
      <w:r w:rsidRPr="002D6BA0">
        <w:rPr>
          <w:rFonts w:hint="eastAsia"/>
          <w:color w:val="FF0000"/>
          <w:highlight w:val="yellow"/>
        </w:rPr>
        <w:t>29</w:t>
      </w:r>
      <w:r w:rsidR="002D6BA0" w:rsidRPr="002D6BA0">
        <w:rPr>
          <w:rFonts w:hint="eastAsia"/>
          <w:color w:val="FF0000"/>
          <w:highlight w:val="yellow"/>
        </w:rPr>
        <w:t>，</w:t>
      </w:r>
      <w:r w:rsidRPr="002D6BA0">
        <w:rPr>
          <w:rFonts w:hint="eastAsia"/>
          <w:color w:val="FF0000"/>
          <w:highlight w:val="yellow"/>
        </w:rPr>
        <w:t>48a13-15</w:t>
      </w:r>
      <w:r w:rsidR="002D6BA0" w:rsidRPr="002D6BA0">
        <w:rPr>
          <w:color w:val="FF0000"/>
          <w:szCs w:val="22"/>
          <w:highlight w:val="yellow"/>
        </w:rPr>
        <w:t>）</w:t>
      </w:r>
      <w:r w:rsidR="002D6BA0" w:rsidRPr="002D6BA0">
        <w:rPr>
          <w:rFonts w:hint="eastAsia"/>
          <w:color w:val="FF0000"/>
          <w:highlight w:val="yellow"/>
        </w:rPr>
        <w:t>：</w:t>
      </w:r>
    </w:p>
    <w:p w:rsidR="00D211A0" w:rsidRPr="00D211A0" w:rsidRDefault="00D211A0" w:rsidP="00D211A0">
      <w:pPr>
        <w:pStyle w:val="a5"/>
        <w:ind w:leftChars="305" w:left="732"/>
        <w:jc w:val="both"/>
      </w:pPr>
      <w:r w:rsidRPr="002D6BA0">
        <w:rPr>
          <w:rFonts w:ascii="標楷體" w:eastAsia="標楷體" w:hAnsi="標楷體" w:hint="eastAsia"/>
          <w:color w:val="FF0000"/>
          <w:highlight w:val="yellow"/>
        </w:rPr>
        <w:t>如是惑業為因故生。生復為因起於惑業。從此惑業更復有生。故知有輪旋環無始。</w:t>
      </w:r>
    </w:p>
  </w:footnote>
  <w:footnote w:id="589">
    <w:p w:rsidR="003B754E" w:rsidRPr="003B754E" w:rsidRDefault="003B754E" w:rsidP="003B754E">
      <w:pPr>
        <w:pStyle w:val="a5"/>
        <w:rPr>
          <w:color w:val="FF0000"/>
          <w:highlight w:val="yellow"/>
        </w:rPr>
      </w:pPr>
      <w:r w:rsidRPr="003B754E">
        <w:rPr>
          <w:rStyle w:val="a6"/>
          <w:color w:val="FF0000"/>
          <w:highlight w:val="yellow"/>
        </w:rPr>
        <w:footnoteRef/>
      </w:r>
      <w:r>
        <w:t xml:space="preserve"> </w:t>
      </w:r>
      <w:r w:rsidRPr="003B754E">
        <w:rPr>
          <w:rFonts w:hint="eastAsia"/>
          <w:color w:val="FF0000"/>
          <w:highlight w:val="yellow"/>
        </w:rPr>
        <w:t>《中觀論頌講記》，</w:t>
      </w:r>
      <w:r w:rsidRPr="003B754E">
        <w:rPr>
          <w:rFonts w:hint="eastAsia"/>
          <w:color w:val="FF0000"/>
          <w:highlight w:val="yellow"/>
        </w:rPr>
        <w:t>p.217</w:t>
      </w:r>
      <w:r w:rsidRPr="003B754E">
        <w:rPr>
          <w:rFonts w:hint="eastAsia"/>
          <w:color w:val="FF0000"/>
          <w:highlight w:val="yellow"/>
        </w:rPr>
        <w:t>：</w:t>
      </w:r>
    </w:p>
    <w:p w:rsidR="003B754E" w:rsidRPr="003B754E" w:rsidRDefault="003B754E" w:rsidP="003B754E">
      <w:pPr>
        <w:pStyle w:val="a5"/>
        <w:ind w:leftChars="105" w:left="252"/>
        <w:jc w:val="both"/>
        <w:rPr>
          <w:rFonts w:ascii="標楷體" w:eastAsia="標楷體" w:hAnsi="標楷體"/>
        </w:rPr>
      </w:pPr>
      <w:r w:rsidRPr="003B754E">
        <w:rPr>
          <w:rFonts w:ascii="標楷體" w:eastAsia="標楷體" w:hAnsi="標楷體" w:hint="eastAsia"/>
          <w:color w:val="FF0000"/>
          <w:highlight w:val="yellow"/>
        </w:rPr>
        <w:t>由十二</w:t>
      </w:r>
      <w:r w:rsidRPr="003B754E">
        <w:rPr>
          <w:rFonts w:ascii="標楷體" w:eastAsia="標楷體" w:hAnsi="標楷體" w:hint="eastAsia"/>
          <w:color w:val="FF0000"/>
          <w:szCs w:val="22"/>
          <w:highlight w:val="yellow"/>
        </w:rPr>
        <w:t>緣起</w:t>
      </w:r>
      <w:r w:rsidRPr="003B754E">
        <w:rPr>
          <w:rFonts w:ascii="標楷體" w:eastAsia="標楷體" w:hAnsi="標楷體" w:hint="eastAsia"/>
          <w:color w:val="FF0000"/>
          <w:highlight w:val="yellow"/>
        </w:rPr>
        <w:t>的因果鉤鎖，從惑起業，由業感苦，從苦生苦，從苦起惑。這樣的生命，是螺旋式的延續，所以說：「緣起如環之無端」。</w:t>
      </w:r>
    </w:p>
  </w:footnote>
  <w:footnote w:id="590">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周而復始：循環往復。（《漢語大詞典》（三），</w:t>
      </w:r>
      <w:r w:rsidRPr="00761EF3">
        <w:rPr>
          <w:szCs w:val="22"/>
        </w:rPr>
        <w:t>p</w:t>
      </w:r>
      <w:r w:rsidRPr="00043A1E">
        <w:rPr>
          <w:szCs w:val="22"/>
        </w:rPr>
        <w:t>.</w:t>
      </w:r>
      <w:r w:rsidRPr="00761EF3">
        <w:rPr>
          <w:szCs w:val="22"/>
        </w:rPr>
        <w:t>29</w:t>
      </w:r>
      <w:r w:rsidRPr="00761EF3">
        <w:rPr>
          <w:rFonts w:hint="eastAsia"/>
          <w:szCs w:val="22"/>
        </w:rPr>
        <w:t>6</w:t>
      </w:r>
      <w:r w:rsidRPr="00043A1E">
        <w:rPr>
          <w:szCs w:val="22"/>
        </w:rPr>
        <w:t>）</w:t>
      </w:r>
    </w:p>
  </w:footnote>
  <w:footnote w:id="591">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《阿毘達磨大毘婆沙論》卷</w:t>
      </w:r>
      <w:r w:rsidRPr="00761EF3">
        <w:rPr>
          <w:rFonts w:hint="eastAsia"/>
          <w:szCs w:val="22"/>
        </w:rPr>
        <w:t>135</w:t>
      </w:r>
      <w:r w:rsidRPr="00043A1E">
        <w:rPr>
          <w:rFonts w:hint="eastAsia"/>
          <w:szCs w:val="22"/>
        </w:rPr>
        <w:t>（</w:t>
      </w:r>
      <w:r w:rsidRPr="00043A1E">
        <w:rPr>
          <w:rFonts w:eastAsia="SimSun" w:hint="eastAsia"/>
          <w:szCs w:val="22"/>
        </w:rPr>
        <w:t>大正</w:t>
      </w:r>
      <w:r w:rsidRPr="00761EF3">
        <w:rPr>
          <w:rFonts w:hint="eastAsia"/>
          <w:szCs w:val="22"/>
        </w:rPr>
        <w:t>27</w:t>
      </w:r>
      <w:r w:rsidRPr="00043A1E">
        <w:rPr>
          <w:szCs w:val="22"/>
        </w:rPr>
        <w:t>，</w:t>
      </w:r>
      <w:r w:rsidRPr="00761EF3">
        <w:rPr>
          <w:szCs w:val="22"/>
        </w:rPr>
        <w:t>700c11</w:t>
      </w:r>
      <w:r w:rsidRPr="00043A1E">
        <w:rPr>
          <w:szCs w:val="22"/>
        </w:rPr>
        <w:t>-</w:t>
      </w:r>
      <w:r w:rsidRPr="00761EF3">
        <w:rPr>
          <w:rFonts w:hint="eastAsia"/>
          <w:szCs w:val="22"/>
        </w:rPr>
        <w:t>19</w:t>
      </w:r>
      <w:r w:rsidRPr="00043A1E">
        <w:rPr>
          <w:szCs w:val="22"/>
        </w:rPr>
        <w:t>）</w:t>
      </w:r>
      <w:r w:rsidRPr="00043A1E">
        <w:rPr>
          <w:rFonts w:hint="eastAsia"/>
          <w:szCs w:val="22"/>
        </w:rPr>
        <w:t>：</w:t>
      </w:r>
    </w:p>
    <w:p w:rsidR="00157EF6" w:rsidRPr="00043A1E" w:rsidRDefault="00157EF6" w:rsidP="00AA120F">
      <w:pPr>
        <w:pStyle w:val="a5"/>
        <w:ind w:leftChars="105" w:left="252"/>
        <w:jc w:val="both"/>
        <w:rPr>
          <w:rFonts w:eastAsia="SimSun"/>
          <w:szCs w:val="22"/>
        </w:rPr>
      </w:pPr>
      <w:r w:rsidRPr="00043A1E">
        <w:rPr>
          <w:rFonts w:ascii="標楷體" w:eastAsia="標楷體" w:hAnsi="標楷體" w:hint="eastAsia"/>
          <w:szCs w:val="22"/>
        </w:rPr>
        <w:t>劫有三種：一、中間劫，二、成壞劫，三、大劫。</w:t>
      </w:r>
      <w:r w:rsidR="0044684B">
        <w:rPr>
          <w:rFonts w:ascii="標楷體" w:eastAsia="標楷體" w:hAnsi="標楷體" w:hint="eastAsia"/>
          <w:bCs/>
          <w:color w:val="FF0000"/>
          <w:kern w:val="0"/>
          <w:highlight w:val="yellow"/>
        </w:rPr>
        <w:t>「</w:t>
      </w:r>
      <w:r w:rsidRPr="00043A1E">
        <w:rPr>
          <w:rFonts w:ascii="標楷體" w:eastAsia="標楷體" w:hAnsi="標楷體" w:hint="eastAsia"/>
          <w:szCs w:val="22"/>
        </w:rPr>
        <w:t>中間劫</w:t>
      </w:r>
      <w:r w:rsidR="0044684B">
        <w:rPr>
          <w:rFonts w:ascii="標楷體" w:eastAsia="標楷體" w:hAnsi="標楷體" w:hint="eastAsia"/>
          <w:bCs/>
          <w:color w:val="FF0000"/>
          <w:kern w:val="0"/>
          <w:highlight w:val="yellow"/>
        </w:rPr>
        <w:t>」</w:t>
      </w:r>
      <w:r w:rsidRPr="00043A1E">
        <w:rPr>
          <w:rFonts w:ascii="標楷體" w:eastAsia="標楷體" w:hAnsi="標楷體" w:hint="eastAsia"/>
          <w:szCs w:val="22"/>
        </w:rPr>
        <w:t>復有三種：一、減劫，二、增劫，三、增減劫。</w:t>
      </w:r>
      <w:r w:rsidRPr="00043A1E">
        <w:rPr>
          <w:rFonts w:ascii="標楷體" w:eastAsia="標楷體" w:hAnsi="標楷體" w:hint="eastAsia"/>
          <w:b/>
          <w:szCs w:val="22"/>
        </w:rPr>
        <w:t>減者</w:t>
      </w:r>
      <w:r w:rsidR="0044684B">
        <w:rPr>
          <w:rFonts w:ascii="標楷體" w:eastAsia="標楷體" w:hAnsi="標楷體" w:hint="eastAsia"/>
          <w:color w:val="FF0000"/>
          <w:kern w:val="0"/>
          <w:highlight w:val="yellow"/>
        </w:rPr>
        <w:t>，</w:t>
      </w:r>
      <w:r w:rsidRPr="00043A1E">
        <w:rPr>
          <w:rFonts w:ascii="標楷體" w:eastAsia="標楷體" w:hAnsi="標楷體" w:hint="eastAsia"/>
          <w:b/>
          <w:szCs w:val="22"/>
        </w:rPr>
        <w:t>從人壽無量歲減至十歲</w:t>
      </w:r>
      <w:r w:rsidR="0044684B">
        <w:rPr>
          <w:rFonts w:ascii="標楷體" w:eastAsia="標楷體" w:hAnsi="標楷體" w:hint="eastAsia"/>
          <w:color w:val="FF0000"/>
          <w:spacing w:val="-4"/>
          <w:kern w:val="0"/>
          <w:highlight w:val="yellow"/>
        </w:rPr>
        <w:t>；</w:t>
      </w:r>
      <w:r w:rsidRPr="00043A1E">
        <w:rPr>
          <w:rFonts w:ascii="標楷體" w:eastAsia="標楷體" w:hAnsi="標楷體" w:hint="eastAsia"/>
          <w:b/>
          <w:szCs w:val="22"/>
        </w:rPr>
        <w:t>增者</w:t>
      </w:r>
      <w:r w:rsidR="0044684B">
        <w:rPr>
          <w:rFonts w:ascii="標楷體" w:eastAsia="標楷體" w:hAnsi="標楷體" w:hint="eastAsia"/>
          <w:color w:val="FF0000"/>
          <w:kern w:val="0"/>
          <w:highlight w:val="yellow"/>
        </w:rPr>
        <w:t>，</w:t>
      </w:r>
      <w:r w:rsidRPr="00043A1E">
        <w:rPr>
          <w:rFonts w:ascii="標楷體" w:eastAsia="標楷體" w:hAnsi="標楷體" w:hint="eastAsia"/>
          <w:b/>
          <w:szCs w:val="22"/>
        </w:rPr>
        <w:t>從人壽十歲增至八萬歲</w:t>
      </w:r>
      <w:r w:rsidR="0044684B">
        <w:rPr>
          <w:rFonts w:ascii="標楷體" w:eastAsia="標楷體" w:hAnsi="標楷體" w:hint="eastAsia"/>
          <w:color w:val="FF0000"/>
          <w:spacing w:val="-4"/>
          <w:kern w:val="0"/>
          <w:highlight w:val="yellow"/>
        </w:rPr>
        <w:t>；</w:t>
      </w:r>
      <w:r w:rsidRPr="00043A1E">
        <w:rPr>
          <w:rFonts w:ascii="標楷體" w:eastAsia="標楷體" w:hAnsi="標楷體" w:hint="eastAsia"/>
          <w:szCs w:val="22"/>
        </w:rPr>
        <w:t>增減者</w:t>
      </w:r>
      <w:r w:rsidR="0044684B">
        <w:rPr>
          <w:rFonts w:ascii="標楷體" w:eastAsia="標楷體" w:hAnsi="標楷體" w:hint="eastAsia"/>
          <w:color w:val="FF0000"/>
          <w:kern w:val="0"/>
          <w:highlight w:val="yellow"/>
        </w:rPr>
        <w:t>，</w:t>
      </w:r>
      <w:r w:rsidRPr="00043A1E">
        <w:rPr>
          <w:rFonts w:ascii="標楷體" w:eastAsia="標楷體" w:hAnsi="標楷體" w:hint="eastAsia"/>
          <w:szCs w:val="22"/>
        </w:rPr>
        <w:t>從人壽十歲增至八萬歲，復從八萬歲減至十歲。此中一減一增十八增減，有二十中間劫</w:t>
      </w:r>
      <w:r w:rsidR="0044684B">
        <w:rPr>
          <w:rFonts w:ascii="標楷體" w:eastAsia="標楷體" w:hAnsi="標楷體" w:hint="eastAsia"/>
          <w:color w:val="FF0000"/>
          <w:kern w:val="0"/>
          <w:highlight w:val="yellow"/>
        </w:rPr>
        <w:t>。</w:t>
      </w:r>
      <w:r w:rsidRPr="00043A1E">
        <w:rPr>
          <w:rFonts w:ascii="標楷體" w:eastAsia="標楷體" w:hAnsi="標楷體" w:hint="eastAsia"/>
          <w:szCs w:val="22"/>
        </w:rPr>
        <w:t>經二十中劫</w:t>
      </w:r>
      <w:r w:rsidR="0044684B">
        <w:rPr>
          <w:rFonts w:ascii="標楷體" w:eastAsia="標楷體" w:hAnsi="標楷體" w:hint="eastAsia"/>
          <w:color w:val="FF0000"/>
          <w:kern w:val="0"/>
          <w:highlight w:val="yellow"/>
        </w:rPr>
        <w:t>，</w:t>
      </w:r>
      <w:r w:rsidRPr="00043A1E">
        <w:rPr>
          <w:rFonts w:ascii="標楷體" w:eastAsia="標楷體" w:hAnsi="標楷體" w:hint="eastAsia"/>
          <w:szCs w:val="22"/>
        </w:rPr>
        <w:t>世間成</w:t>
      </w:r>
      <w:r w:rsidR="0044684B">
        <w:rPr>
          <w:rFonts w:ascii="標楷體" w:eastAsia="標楷體" w:hAnsi="標楷體" w:hint="eastAsia"/>
          <w:color w:val="FF0000"/>
          <w:spacing w:val="-4"/>
          <w:kern w:val="0"/>
          <w:highlight w:val="yellow"/>
        </w:rPr>
        <w:t>；</w:t>
      </w:r>
      <w:r w:rsidRPr="00043A1E">
        <w:rPr>
          <w:rFonts w:ascii="標楷體" w:eastAsia="標楷體" w:hAnsi="標楷體" w:hint="eastAsia"/>
          <w:szCs w:val="22"/>
        </w:rPr>
        <w:t>二十中劫</w:t>
      </w:r>
      <w:r w:rsidR="0044684B">
        <w:rPr>
          <w:rFonts w:ascii="標楷體" w:eastAsia="標楷體" w:hAnsi="標楷體" w:hint="eastAsia"/>
          <w:color w:val="FF0000"/>
          <w:kern w:val="0"/>
          <w:highlight w:val="yellow"/>
        </w:rPr>
        <w:t>，</w:t>
      </w:r>
      <w:r w:rsidRPr="00043A1E">
        <w:rPr>
          <w:rFonts w:ascii="標楷體" w:eastAsia="標楷體" w:hAnsi="標楷體" w:hint="eastAsia"/>
          <w:szCs w:val="22"/>
        </w:rPr>
        <w:t>成已住</w:t>
      </w:r>
      <w:r w:rsidR="0044684B">
        <w:rPr>
          <w:rFonts w:ascii="標楷體" w:eastAsia="標楷體" w:hAnsi="標楷體" w:hint="eastAsia"/>
          <w:color w:val="FF0000"/>
          <w:kern w:val="0"/>
          <w:highlight w:val="yellow"/>
        </w:rPr>
        <w:t>──</w:t>
      </w:r>
      <w:r w:rsidRPr="00043A1E">
        <w:rPr>
          <w:rFonts w:ascii="標楷體" w:eastAsia="標楷體" w:hAnsi="標楷體" w:hint="eastAsia"/>
          <w:szCs w:val="22"/>
        </w:rPr>
        <w:t>此合名</w:t>
      </w:r>
      <w:r w:rsidR="0044684B">
        <w:rPr>
          <w:rFonts w:ascii="標楷體" w:eastAsia="標楷體" w:hAnsi="標楷體" w:hint="eastAsia"/>
          <w:bCs/>
          <w:color w:val="FF0000"/>
          <w:kern w:val="0"/>
          <w:highlight w:val="yellow"/>
        </w:rPr>
        <w:t>「</w:t>
      </w:r>
      <w:r w:rsidRPr="00043A1E">
        <w:rPr>
          <w:rFonts w:ascii="標楷體" w:eastAsia="標楷體" w:hAnsi="標楷體" w:hint="eastAsia"/>
          <w:szCs w:val="22"/>
        </w:rPr>
        <w:t>成劫</w:t>
      </w:r>
      <w:r w:rsidR="0044684B">
        <w:rPr>
          <w:rFonts w:ascii="標楷體" w:eastAsia="標楷體" w:hAnsi="標楷體" w:hint="eastAsia"/>
          <w:bCs/>
          <w:color w:val="FF0000"/>
          <w:kern w:val="0"/>
          <w:highlight w:val="yellow"/>
        </w:rPr>
        <w:t>」</w:t>
      </w:r>
      <w:r w:rsidRPr="00043A1E">
        <w:rPr>
          <w:rFonts w:ascii="標楷體" w:eastAsia="標楷體" w:hAnsi="標楷體" w:hint="eastAsia"/>
          <w:szCs w:val="22"/>
        </w:rPr>
        <w:t>。經二十中劫</w:t>
      </w:r>
      <w:r w:rsidR="0044684B">
        <w:rPr>
          <w:rFonts w:ascii="標楷體" w:eastAsia="標楷體" w:hAnsi="標楷體" w:hint="eastAsia"/>
          <w:color w:val="FF0000"/>
          <w:kern w:val="0"/>
          <w:highlight w:val="yellow"/>
        </w:rPr>
        <w:t>，</w:t>
      </w:r>
      <w:r w:rsidRPr="00043A1E">
        <w:rPr>
          <w:rFonts w:ascii="標楷體" w:eastAsia="標楷體" w:hAnsi="標楷體" w:hint="eastAsia"/>
          <w:szCs w:val="22"/>
        </w:rPr>
        <w:t>世間壞</w:t>
      </w:r>
      <w:r w:rsidR="0044684B">
        <w:rPr>
          <w:rFonts w:ascii="標楷體" w:eastAsia="標楷體" w:hAnsi="標楷體" w:hint="eastAsia"/>
          <w:color w:val="FF0000"/>
          <w:spacing w:val="-4"/>
          <w:kern w:val="0"/>
          <w:highlight w:val="yellow"/>
        </w:rPr>
        <w:t>；</w:t>
      </w:r>
      <w:r w:rsidRPr="00043A1E">
        <w:rPr>
          <w:rFonts w:ascii="標楷體" w:eastAsia="標楷體" w:hAnsi="標楷體" w:hint="eastAsia"/>
          <w:szCs w:val="22"/>
        </w:rPr>
        <w:t>二十中劫</w:t>
      </w:r>
      <w:r w:rsidR="0044684B">
        <w:rPr>
          <w:rFonts w:ascii="標楷體" w:eastAsia="標楷體" w:hAnsi="標楷體" w:hint="eastAsia"/>
          <w:color w:val="FF0000"/>
          <w:kern w:val="0"/>
          <w:highlight w:val="yellow"/>
        </w:rPr>
        <w:t>，</w:t>
      </w:r>
      <w:r w:rsidRPr="00043A1E">
        <w:rPr>
          <w:rFonts w:ascii="標楷體" w:eastAsia="標楷體" w:hAnsi="標楷體" w:hint="eastAsia"/>
          <w:szCs w:val="22"/>
        </w:rPr>
        <w:t>壞已空</w:t>
      </w:r>
      <w:r w:rsidR="0044684B">
        <w:rPr>
          <w:rFonts w:ascii="標楷體" w:eastAsia="標楷體" w:hAnsi="標楷體" w:hint="eastAsia"/>
          <w:color w:val="FF0000"/>
          <w:kern w:val="0"/>
          <w:highlight w:val="yellow"/>
        </w:rPr>
        <w:t>──</w:t>
      </w:r>
      <w:r w:rsidRPr="00043A1E">
        <w:rPr>
          <w:rFonts w:ascii="標楷體" w:eastAsia="標楷體" w:hAnsi="標楷體" w:hint="eastAsia"/>
          <w:szCs w:val="22"/>
        </w:rPr>
        <w:t>此合名</w:t>
      </w:r>
      <w:r w:rsidR="0044684B">
        <w:rPr>
          <w:rFonts w:ascii="標楷體" w:eastAsia="標楷體" w:hAnsi="標楷體" w:hint="eastAsia"/>
          <w:bCs/>
          <w:color w:val="FF0000"/>
          <w:kern w:val="0"/>
          <w:highlight w:val="yellow"/>
        </w:rPr>
        <w:t>「</w:t>
      </w:r>
      <w:r w:rsidRPr="00043A1E">
        <w:rPr>
          <w:rFonts w:ascii="標楷體" w:eastAsia="標楷體" w:hAnsi="標楷體" w:hint="eastAsia"/>
          <w:szCs w:val="22"/>
        </w:rPr>
        <w:t>壞劫</w:t>
      </w:r>
      <w:r w:rsidR="0044684B">
        <w:rPr>
          <w:rFonts w:ascii="標楷體" w:eastAsia="標楷體" w:hAnsi="標楷體" w:hint="eastAsia"/>
          <w:bCs/>
          <w:color w:val="FF0000"/>
          <w:kern w:val="0"/>
          <w:highlight w:val="yellow"/>
        </w:rPr>
        <w:t>」。</w:t>
      </w:r>
      <w:r w:rsidRPr="00043A1E">
        <w:rPr>
          <w:rFonts w:ascii="標楷體" w:eastAsia="標楷體" w:hAnsi="標楷體" w:hint="eastAsia"/>
          <w:szCs w:val="22"/>
        </w:rPr>
        <w:t>總八十中劫合名</w:t>
      </w:r>
      <w:r w:rsidR="0044684B">
        <w:rPr>
          <w:rFonts w:ascii="標楷體" w:eastAsia="標楷體" w:hAnsi="標楷體" w:hint="eastAsia"/>
          <w:bCs/>
          <w:color w:val="FF0000"/>
          <w:kern w:val="0"/>
          <w:highlight w:val="yellow"/>
        </w:rPr>
        <w:t>「</w:t>
      </w:r>
      <w:r w:rsidRPr="00043A1E">
        <w:rPr>
          <w:rFonts w:ascii="標楷體" w:eastAsia="標楷體" w:hAnsi="標楷體" w:hint="eastAsia"/>
          <w:szCs w:val="22"/>
        </w:rPr>
        <w:t>大劫</w:t>
      </w:r>
      <w:r w:rsidR="0044684B">
        <w:rPr>
          <w:rFonts w:ascii="標楷體" w:eastAsia="標楷體" w:hAnsi="標楷體" w:hint="eastAsia"/>
          <w:bCs/>
          <w:color w:val="FF0000"/>
          <w:kern w:val="0"/>
          <w:highlight w:val="yellow"/>
        </w:rPr>
        <w:t>」</w:t>
      </w:r>
      <w:r w:rsidRPr="00043A1E">
        <w:rPr>
          <w:rFonts w:ascii="標楷體" w:eastAsia="標楷體" w:hAnsi="標楷體" w:hint="eastAsia"/>
          <w:szCs w:val="22"/>
        </w:rPr>
        <w:t>。</w:t>
      </w:r>
    </w:p>
  </w:footnote>
  <w:footnote w:id="592">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深微：深奧微妙。（《漢語大詞典》（五），</w:t>
      </w:r>
      <w:r w:rsidRPr="00761EF3">
        <w:rPr>
          <w:szCs w:val="22"/>
        </w:rPr>
        <w:t>p</w:t>
      </w:r>
      <w:r w:rsidRPr="00043A1E">
        <w:rPr>
          <w:szCs w:val="22"/>
        </w:rPr>
        <w:t>.</w:t>
      </w:r>
      <w:r w:rsidRPr="00761EF3">
        <w:rPr>
          <w:szCs w:val="22"/>
        </w:rPr>
        <w:t>14</w:t>
      </w:r>
      <w:r w:rsidRPr="00761EF3">
        <w:rPr>
          <w:rFonts w:hint="eastAsia"/>
          <w:szCs w:val="22"/>
        </w:rPr>
        <w:t>31</w:t>
      </w:r>
      <w:r w:rsidRPr="00043A1E">
        <w:rPr>
          <w:szCs w:val="22"/>
        </w:rPr>
        <w:t>）</w:t>
      </w:r>
    </w:p>
  </w:footnote>
  <w:footnote w:id="593">
    <w:p w:rsidR="00157EF6" w:rsidRPr="00043A1E" w:rsidRDefault="00157EF6" w:rsidP="009E0A5A">
      <w:pPr>
        <w:pStyle w:val="a5"/>
        <w:ind w:left="187" w:hangingChars="85" w:hanging="187"/>
        <w:jc w:val="both"/>
        <w:rPr>
          <w:szCs w:val="22"/>
        </w:rPr>
      </w:pPr>
      <w:r w:rsidRPr="00043A1E">
        <w:rPr>
          <w:rStyle w:val="a6"/>
          <w:szCs w:val="22"/>
        </w:rPr>
        <w:footnoteRef/>
      </w:r>
      <w:r w:rsidRPr="00043A1E">
        <w:rPr>
          <w:szCs w:val="22"/>
        </w:rPr>
        <w:t xml:space="preserve"> </w:t>
      </w:r>
      <w:r w:rsidRPr="00043A1E">
        <w:rPr>
          <w:rFonts w:hint="eastAsia"/>
          <w:szCs w:val="22"/>
        </w:rPr>
        <w:t>〔唐〕</w:t>
      </w:r>
      <w:r w:rsidRPr="00043A1E">
        <w:rPr>
          <w:rFonts w:ascii="新細明體" w:hAnsi="新細明體" w:hint="eastAsia"/>
          <w:szCs w:val="22"/>
        </w:rPr>
        <w:t>窺基</w:t>
      </w:r>
      <w:r w:rsidRPr="00043A1E">
        <w:rPr>
          <w:rStyle w:val="byline"/>
          <w:rFonts w:ascii="新細明體" w:hAnsi="新細明體" w:hint="eastAsia"/>
          <w:color w:val="auto"/>
          <w:sz w:val="22"/>
          <w:szCs w:val="22"/>
        </w:rPr>
        <w:t>撰，《</w:t>
      </w:r>
      <w:r w:rsidRPr="00043A1E">
        <w:rPr>
          <w:rFonts w:hint="eastAsia"/>
          <w:szCs w:val="22"/>
        </w:rPr>
        <w:t>大乘法苑義林章》卷</w:t>
      </w:r>
      <w:r w:rsidRPr="00761EF3">
        <w:rPr>
          <w:szCs w:val="22"/>
        </w:rPr>
        <w:t>3</w:t>
      </w:r>
      <w:r w:rsidRPr="00043A1E">
        <w:rPr>
          <w:szCs w:val="22"/>
        </w:rPr>
        <w:t>（</w:t>
      </w:r>
      <w:r w:rsidRPr="00043A1E">
        <w:rPr>
          <w:rFonts w:hint="eastAsia"/>
          <w:szCs w:val="22"/>
        </w:rPr>
        <w:t>大正</w:t>
      </w:r>
      <w:r w:rsidRPr="00761EF3">
        <w:rPr>
          <w:szCs w:val="22"/>
        </w:rPr>
        <w:t>45</w:t>
      </w:r>
      <w:r w:rsidRPr="00043A1E">
        <w:rPr>
          <w:rFonts w:hint="eastAsia"/>
          <w:szCs w:val="22"/>
        </w:rPr>
        <w:t>，</w:t>
      </w:r>
      <w:r w:rsidRPr="00761EF3">
        <w:rPr>
          <w:szCs w:val="22"/>
        </w:rPr>
        <w:t>297c5</w:t>
      </w:r>
      <w:r w:rsidRPr="00043A1E">
        <w:rPr>
          <w:szCs w:val="22"/>
        </w:rPr>
        <w:t>-</w:t>
      </w:r>
      <w:r w:rsidRPr="00761EF3">
        <w:rPr>
          <w:szCs w:val="22"/>
        </w:rPr>
        <w:t>8</w:t>
      </w:r>
      <w:r w:rsidRPr="00043A1E">
        <w:rPr>
          <w:szCs w:val="22"/>
        </w:rPr>
        <w:t>）</w:t>
      </w:r>
      <w:r w:rsidRPr="00043A1E">
        <w:rPr>
          <w:rFonts w:hint="eastAsia"/>
          <w:szCs w:val="22"/>
        </w:rPr>
        <w:t>：</w:t>
      </w:r>
    </w:p>
    <w:p w:rsidR="00157EF6" w:rsidRPr="00043A1E" w:rsidRDefault="00157EF6" w:rsidP="00E50E9C">
      <w:pPr>
        <w:pStyle w:val="a5"/>
        <w:ind w:leftChars="75" w:left="1280" w:hangingChars="500" w:hanging="1100"/>
        <w:jc w:val="both"/>
        <w:rPr>
          <w:rFonts w:eastAsia="標楷體"/>
          <w:szCs w:val="22"/>
        </w:rPr>
      </w:pPr>
      <w:r w:rsidRPr="00043A1E">
        <w:rPr>
          <w:rFonts w:eastAsia="標楷體" w:hint="eastAsia"/>
          <w:szCs w:val="22"/>
        </w:rPr>
        <w:t>數論師說：</w:t>
      </w:r>
      <w:r w:rsidRPr="00E50E9C">
        <w:rPr>
          <w:rFonts w:eastAsia="標楷體" w:hint="eastAsia"/>
          <w:color w:val="FF0000"/>
          <w:szCs w:val="22"/>
          <w:highlight w:val="yellow"/>
        </w:rPr>
        <w:t>「</w:t>
      </w:r>
      <w:r w:rsidRPr="00043A1E">
        <w:rPr>
          <w:rFonts w:eastAsia="標楷體" w:hint="eastAsia"/>
          <w:szCs w:val="22"/>
        </w:rPr>
        <w:t>自性</w:t>
      </w:r>
      <w:r w:rsidR="00E50E9C" w:rsidRPr="00E50E9C">
        <w:rPr>
          <w:rFonts w:eastAsia="標楷體" w:hint="eastAsia"/>
          <w:color w:val="FF0000"/>
          <w:szCs w:val="22"/>
          <w:highlight w:val="yellow"/>
        </w:rPr>
        <w:t>」</w:t>
      </w:r>
      <w:r w:rsidRPr="00043A1E">
        <w:rPr>
          <w:rFonts w:eastAsia="標楷體" w:hint="eastAsia"/>
          <w:szCs w:val="22"/>
        </w:rPr>
        <w:t>成</w:t>
      </w:r>
      <w:r w:rsidR="00E50E9C" w:rsidRPr="00E50E9C">
        <w:rPr>
          <w:rFonts w:eastAsia="標楷體" w:hint="eastAsia"/>
          <w:color w:val="FF0000"/>
          <w:szCs w:val="22"/>
          <w:highlight w:val="yellow"/>
        </w:rPr>
        <w:t>「</w:t>
      </w:r>
      <w:r w:rsidRPr="00043A1E">
        <w:rPr>
          <w:rFonts w:eastAsia="標楷體" w:hint="eastAsia"/>
          <w:szCs w:val="22"/>
        </w:rPr>
        <w:t>大</w:t>
      </w:r>
      <w:r w:rsidR="00E50E9C">
        <w:rPr>
          <w:rFonts w:eastAsia="標楷體" w:hint="eastAsia"/>
          <w:color w:val="FF0000"/>
          <w:szCs w:val="22"/>
          <w:highlight w:val="yellow"/>
        </w:rPr>
        <w:t>」</w:t>
      </w:r>
      <w:r w:rsidRPr="00043A1E">
        <w:rPr>
          <w:rFonts w:eastAsia="標楷體" w:hint="eastAsia"/>
          <w:szCs w:val="22"/>
        </w:rPr>
        <w:t>，</w:t>
      </w:r>
      <w:r w:rsidR="00E50E9C">
        <w:rPr>
          <w:rFonts w:eastAsia="標楷體" w:hint="eastAsia"/>
          <w:color w:val="FF0000"/>
          <w:szCs w:val="22"/>
          <w:highlight w:val="yellow"/>
        </w:rPr>
        <w:t>「</w:t>
      </w:r>
      <w:r w:rsidRPr="00043A1E">
        <w:rPr>
          <w:rFonts w:eastAsia="標楷體" w:hint="eastAsia"/>
          <w:szCs w:val="22"/>
        </w:rPr>
        <w:t>大</w:t>
      </w:r>
      <w:r w:rsidR="00E50E9C">
        <w:rPr>
          <w:rFonts w:eastAsia="標楷體" w:hint="eastAsia"/>
          <w:color w:val="FF0000"/>
          <w:szCs w:val="22"/>
          <w:highlight w:val="yellow"/>
        </w:rPr>
        <w:t>」</w:t>
      </w:r>
      <w:r w:rsidRPr="00043A1E">
        <w:rPr>
          <w:rFonts w:eastAsia="標楷體" w:hint="eastAsia"/>
          <w:szCs w:val="22"/>
        </w:rPr>
        <w:t>成</w:t>
      </w:r>
      <w:r w:rsidR="00E50E9C">
        <w:rPr>
          <w:rFonts w:eastAsia="標楷體" w:hint="eastAsia"/>
          <w:color w:val="FF0000"/>
          <w:szCs w:val="22"/>
          <w:highlight w:val="yellow"/>
        </w:rPr>
        <w:t>「</w:t>
      </w:r>
      <w:r w:rsidRPr="00043A1E">
        <w:rPr>
          <w:rFonts w:eastAsia="標楷體" w:hint="eastAsia"/>
          <w:szCs w:val="22"/>
        </w:rPr>
        <w:t>我執</w:t>
      </w:r>
      <w:r w:rsidR="00E50E9C">
        <w:rPr>
          <w:rFonts w:eastAsia="標楷體" w:hint="eastAsia"/>
          <w:color w:val="FF0000"/>
          <w:szCs w:val="22"/>
          <w:highlight w:val="yellow"/>
        </w:rPr>
        <w:t>」</w:t>
      </w:r>
      <w:r w:rsidRPr="00043A1E">
        <w:rPr>
          <w:rFonts w:eastAsia="標楷體" w:hint="eastAsia"/>
          <w:szCs w:val="22"/>
        </w:rPr>
        <w:t>，</w:t>
      </w:r>
      <w:r w:rsidR="00E50E9C">
        <w:rPr>
          <w:rFonts w:eastAsia="標楷體" w:hint="eastAsia"/>
          <w:color w:val="FF0000"/>
          <w:szCs w:val="22"/>
          <w:highlight w:val="yellow"/>
        </w:rPr>
        <w:t>「</w:t>
      </w:r>
      <w:r w:rsidRPr="00043A1E">
        <w:rPr>
          <w:rFonts w:eastAsia="標楷體" w:hint="eastAsia"/>
          <w:szCs w:val="22"/>
        </w:rPr>
        <w:t>我執</w:t>
      </w:r>
      <w:r w:rsidR="00E50E9C">
        <w:rPr>
          <w:rFonts w:eastAsia="標楷體" w:hint="eastAsia"/>
          <w:color w:val="FF0000"/>
          <w:szCs w:val="22"/>
          <w:highlight w:val="yellow"/>
        </w:rPr>
        <w:t>」</w:t>
      </w:r>
      <w:r w:rsidRPr="00043A1E">
        <w:rPr>
          <w:rFonts w:eastAsia="標楷體" w:hint="eastAsia"/>
          <w:szCs w:val="22"/>
        </w:rPr>
        <w:t>成</w:t>
      </w:r>
      <w:r w:rsidR="00E50E9C">
        <w:rPr>
          <w:rFonts w:eastAsia="標楷體" w:hint="eastAsia"/>
          <w:color w:val="FF0000"/>
          <w:szCs w:val="22"/>
          <w:highlight w:val="yellow"/>
        </w:rPr>
        <w:t>「</w:t>
      </w:r>
      <w:r w:rsidRPr="00043A1E">
        <w:rPr>
          <w:rFonts w:eastAsia="標楷體" w:hint="eastAsia"/>
          <w:szCs w:val="22"/>
        </w:rPr>
        <w:t>五唯</w:t>
      </w:r>
      <w:r w:rsidR="00E50E9C">
        <w:rPr>
          <w:rFonts w:eastAsia="標楷體" w:hint="eastAsia"/>
          <w:color w:val="FF0000"/>
          <w:szCs w:val="22"/>
          <w:highlight w:val="yellow"/>
        </w:rPr>
        <w:t>」</w:t>
      </w:r>
      <w:r w:rsidRPr="00043A1E">
        <w:rPr>
          <w:rFonts w:eastAsia="標楷體" w:hint="eastAsia"/>
          <w:szCs w:val="22"/>
        </w:rPr>
        <w:t>，</w:t>
      </w:r>
      <w:r w:rsidR="00E50E9C">
        <w:rPr>
          <w:rFonts w:eastAsia="標楷體" w:hint="eastAsia"/>
          <w:color w:val="FF0000"/>
          <w:szCs w:val="22"/>
          <w:highlight w:val="yellow"/>
        </w:rPr>
        <w:t>「</w:t>
      </w:r>
      <w:r w:rsidRPr="00043A1E">
        <w:rPr>
          <w:rFonts w:eastAsia="標楷體" w:hint="eastAsia"/>
          <w:szCs w:val="22"/>
        </w:rPr>
        <w:t>五唯</w:t>
      </w:r>
      <w:r w:rsidR="00E50E9C">
        <w:rPr>
          <w:rFonts w:eastAsia="標楷體" w:hint="eastAsia"/>
          <w:color w:val="FF0000"/>
          <w:szCs w:val="22"/>
          <w:highlight w:val="yellow"/>
        </w:rPr>
        <w:t>」</w:t>
      </w:r>
      <w:r w:rsidRPr="00043A1E">
        <w:rPr>
          <w:rFonts w:eastAsia="標楷體" w:hint="eastAsia"/>
          <w:szCs w:val="22"/>
        </w:rPr>
        <w:t>成</w:t>
      </w:r>
      <w:r w:rsidR="00E50E9C">
        <w:rPr>
          <w:rFonts w:eastAsia="標楷體" w:hint="eastAsia"/>
          <w:color w:val="FF0000"/>
          <w:szCs w:val="22"/>
          <w:highlight w:val="yellow"/>
        </w:rPr>
        <w:t>「</w:t>
      </w:r>
      <w:r w:rsidRPr="00043A1E">
        <w:rPr>
          <w:rFonts w:eastAsia="標楷體" w:hint="eastAsia"/>
          <w:szCs w:val="22"/>
        </w:rPr>
        <w:t>五大</w:t>
      </w:r>
      <w:r w:rsidR="00E50E9C">
        <w:rPr>
          <w:rFonts w:eastAsia="標楷體" w:hint="eastAsia"/>
          <w:color w:val="FF0000"/>
          <w:szCs w:val="22"/>
          <w:highlight w:val="yellow"/>
        </w:rPr>
        <w:t>」</w:t>
      </w:r>
      <w:r w:rsidRPr="00043A1E">
        <w:rPr>
          <w:rFonts w:eastAsia="標楷體" w:hint="eastAsia"/>
          <w:szCs w:val="22"/>
        </w:rPr>
        <w:t>，</w:t>
      </w:r>
      <w:r w:rsidR="00E50E9C">
        <w:rPr>
          <w:rFonts w:eastAsia="標楷體" w:hint="eastAsia"/>
          <w:color w:val="FF0000"/>
          <w:szCs w:val="22"/>
          <w:highlight w:val="yellow"/>
        </w:rPr>
        <w:t>「</w:t>
      </w:r>
      <w:r w:rsidRPr="00043A1E">
        <w:rPr>
          <w:rFonts w:eastAsia="標楷體" w:hint="eastAsia"/>
          <w:szCs w:val="22"/>
        </w:rPr>
        <w:t>五大</w:t>
      </w:r>
      <w:r w:rsidR="00E50E9C">
        <w:rPr>
          <w:rFonts w:eastAsia="標楷體" w:hint="eastAsia"/>
          <w:color w:val="FF0000"/>
          <w:szCs w:val="22"/>
          <w:highlight w:val="yellow"/>
        </w:rPr>
        <w:t>」</w:t>
      </w:r>
      <w:r w:rsidRPr="00043A1E">
        <w:rPr>
          <w:rFonts w:eastAsia="標楷體" w:hint="eastAsia"/>
          <w:szCs w:val="22"/>
        </w:rPr>
        <w:t>成</w:t>
      </w:r>
      <w:r w:rsidR="00E50E9C">
        <w:rPr>
          <w:rFonts w:eastAsia="標楷體" w:hint="eastAsia"/>
          <w:color w:val="FF0000"/>
          <w:szCs w:val="22"/>
          <w:highlight w:val="yellow"/>
        </w:rPr>
        <w:t>「</w:t>
      </w:r>
      <w:r w:rsidRPr="00043A1E">
        <w:rPr>
          <w:rFonts w:eastAsia="標楷體" w:hint="eastAsia"/>
          <w:szCs w:val="22"/>
        </w:rPr>
        <w:t>十一根</w:t>
      </w:r>
      <w:r w:rsidR="00E50E9C">
        <w:rPr>
          <w:rFonts w:eastAsia="標楷體" w:hint="eastAsia"/>
          <w:color w:val="FF0000"/>
          <w:szCs w:val="22"/>
          <w:highlight w:val="yellow"/>
        </w:rPr>
        <w:t>」</w:t>
      </w:r>
      <w:r w:rsidRPr="00E50E9C">
        <w:rPr>
          <w:rFonts w:eastAsia="標楷體" w:hint="eastAsia"/>
          <w:szCs w:val="22"/>
          <w:highlight w:val="yellow"/>
        </w:rPr>
        <w:t>。</w:t>
      </w:r>
    </w:p>
    <w:p w:rsidR="00157EF6" w:rsidRDefault="00157EF6" w:rsidP="00AA120F">
      <w:pPr>
        <w:pStyle w:val="a5"/>
        <w:ind w:leftChars="75" w:left="180"/>
        <w:jc w:val="both"/>
        <w:rPr>
          <w:rFonts w:eastAsia="標楷體"/>
          <w:szCs w:val="22"/>
        </w:rPr>
      </w:pPr>
      <w:r w:rsidRPr="00043A1E">
        <w:rPr>
          <w:rFonts w:eastAsia="標楷體" w:hint="eastAsia"/>
          <w:szCs w:val="22"/>
        </w:rPr>
        <w:t>有說：「火</w:t>
      </w:r>
      <w:r w:rsidR="00E50E9C">
        <w:rPr>
          <w:rFonts w:eastAsia="標楷體" w:hint="eastAsia"/>
          <w:color w:val="FF0000"/>
          <w:szCs w:val="22"/>
          <w:highlight w:val="yellow"/>
        </w:rPr>
        <w:t>」</w:t>
      </w:r>
      <w:r w:rsidRPr="00043A1E">
        <w:rPr>
          <w:rFonts w:eastAsia="標楷體" w:hint="eastAsia"/>
          <w:szCs w:val="22"/>
        </w:rPr>
        <w:t>成眼根、</w:t>
      </w:r>
      <w:r w:rsidR="00E50E9C">
        <w:rPr>
          <w:rFonts w:eastAsia="標楷體" w:hint="eastAsia"/>
          <w:color w:val="FF0000"/>
          <w:szCs w:val="22"/>
          <w:highlight w:val="yellow"/>
        </w:rPr>
        <w:t>「</w:t>
      </w:r>
      <w:r w:rsidRPr="00043A1E">
        <w:rPr>
          <w:rFonts w:eastAsia="標楷體" w:hint="eastAsia"/>
          <w:szCs w:val="22"/>
        </w:rPr>
        <w:t>空</w:t>
      </w:r>
      <w:r w:rsidR="00E50E9C">
        <w:rPr>
          <w:rFonts w:eastAsia="標楷體" w:hint="eastAsia"/>
          <w:color w:val="FF0000"/>
          <w:szCs w:val="22"/>
          <w:highlight w:val="yellow"/>
        </w:rPr>
        <w:t>」</w:t>
      </w:r>
      <w:r w:rsidRPr="00043A1E">
        <w:rPr>
          <w:rFonts w:eastAsia="標楷體" w:hint="eastAsia"/>
          <w:szCs w:val="22"/>
        </w:rPr>
        <w:t>成耳根、</w:t>
      </w:r>
      <w:r w:rsidR="00E50E9C">
        <w:rPr>
          <w:rFonts w:eastAsia="標楷體" w:hint="eastAsia"/>
          <w:color w:val="FF0000"/>
          <w:szCs w:val="22"/>
          <w:highlight w:val="yellow"/>
        </w:rPr>
        <w:t>「</w:t>
      </w:r>
      <w:r w:rsidRPr="00043A1E">
        <w:rPr>
          <w:rFonts w:eastAsia="標楷體" w:hint="eastAsia"/>
          <w:szCs w:val="22"/>
        </w:rPr>
        <w:t>地</w:t>
      </w:r>
      <w:r w:rsidR="00E50E9C">
        <w:rPr>
          <w:rFonts w:eastAsia="標楷體" w:hint="eastAsia"/>
          <w:color w:val="FF0000"/>
          <w:szCs w:val="22"/>
          <w:highlight w:val="yellow"/>
        </w:rPr>
        <w:t>」</w:t>
      </w:r>
      <w:r w:rsidRPr="00043A1E">
        <w:rPr>
          <w:rFonts w:eastAsia="標楷體" w:hint="eastAsia"/>
          <w:szCs w:val="22"/>
        </w:rPr>
        <w:t>造鼻根、</w:t>
      </w:r>
      <w:r w:rsidR="00E50E9C">
        <w:rPr>
          <w:rFonts w:eastAsia="標楷體" w:hint="eastAsia"/>
          <w:color w:val="FF0000"/>
          <w:szCs w:val="22"/>
          <w:highlight w:val="yellow"/>
        </w:rPr>
        <w:t>「</w:t>
      </w:r>
      <w:r w:rsidRPr="00043A1E">
        <w:rPr>
          <w:rFonts w:eastAsia="標楷體" w:hint="eastAsia"/>
          <w:szCs w:val="22"/>
        </w:rPr>
        <w:t>水</w:t>
      </w:r>
      <w:r w:rsidR="00E50E9C">
        <w:rPr>
          <w:rFonts w:eastAsia="標楷體" w:hint="eastAsia"/>
          <w:color w:val="FF0000"/>
          <w:szCs w:val="22"/>
          <w:highlight w:val="yellow"/>
        </w:rPr>
        <w:t>」</w:t>
      </w:r>
      <w:r w:rsidRPr="00043A1E">
        <w:rPr>
          <w:rFonts w:eastAsia="標楷體" w:hint="eastAsia"/>
          <w:szCs w:val="22"/>
        </w:rPr>
        <w:t>成舌根、</w:t>
      </w:r>
      <w:r w:rsidR="00E50E9C">
        <w:rPr>
          <w:rFonts w:eastAsia="標楷體" w:hint="eastAsia"/>
          <w:color w:val="FF0000"/>
          <w:szCs w:val="22"/>
          <w:highlight w:val="yellow"/>
        </w:rPr>
        <w:t>「</w:t>
      </w:r>
      <w:r w:rsidRPr="00043A1E">
        <w:rPr>
          <w:rFonts w:eastAsia="標楷體" w:hint="eastAsia"/>
          <w:szCs w:val="22"/>
        </w:rPr>
        <w:t>風</w:t>
      </w:r>
      <w:r w:rsidR="00E50E9C">
        <w:rPr>
          <w:rFonts w:eastAsia="標楷體" w:hint="eastAsia"/>
          <w:color w:val="FF0000"/>
          <w:szCs w:val="22"/>
          <w:highlight w:val="yellow"/>
        </w:rPr>
        <w:t>」</w:t>
      </w:r>
      <w:r w:rsidRPr="00043A1E">
        <w:rPr>
          <w:rFonts w:eastAsia="標楷體" w:hint="eastAsia"/>
          <w:szCs w:val="22"/>
        </w:rPr>
        <w:t>造皮根</w:t>
      </w:r>
      <w:r w:rsidRPr="00E50E9C">
        <w:rPr>
          <w:rFonts w:eastAsia="標楷體" w:hint="eastAsia"/>
          <w:szCs w:val="22"/>
          <w:highlight w:val="yellow"/>
        </w:rPr>
        <w:t>。</w:t>
      </w:r>
    </w:p>
    <w:p w:rsidR="00E50E9C" w:rsidRPr="00E50E9C" w:rsidRDefault="00E50E9C" w:rsidP="00AA120F">
      <w:pPr>
        <w:pStyle w:val="a5"/>
        <w:ind w:leftChars="75" w:left="180"/>
        <w:jc w:val="both"/>
        <w:rPr>
          <w:rFonts w:ascii="新細明體" w:hAnsi="新細明體"/>
          <w:color w:val="FF0000"/>
          <w:szCs w:val="22"/>
          <w:highlight w:val="yellow"/>
        </w:rPr>
      </w:pPr>
      <w:r>
        <w:rPr>
          <w:rFonts w:eastAsia="標楷體" w:hint="eastAsia"/>
          <w:szCs w:val="22"/>
          <w:highlight w:val="yellow"/>
        </w:rPr>
        <w:t>※</w:t>
      </w:r>
      <w:r w:rsidRPr="00E50E9C">
        <w:rPr>
          <w:rFonts w:ascii="新細明體" w:hAnsi="新細明體" w:hint="eastAsia"/>
          <w:szCs w:val="22"/>
          <w:highlight w:val="yellow"/>
        </w:rPr>
        <w:t>案</w:t>
      </w:r>
      <w:r w:rsidRPr="00E50E9C">
        <w:rPr>
          <w:rFonts w:ascii="新細明體" w:hAnsi="新細明體" w:hint="eastAsia"/>
          <w:color w:val="FF0000"/>
          <w:szCs w:val="22"/>
          <w:highlight w:val="yellow"/>
        </w:rPr>
        <w:t>：「五唯」：色唯、聲唯、香唯、味唯、觸唯。</w:t>
      </w:r>
    </w:p>
    <w:p w:rsidR="00E50E9C" w:rsidRDefault="00E50E9C" w:rsidP="00E50E9C">
      <w:pPr>
        <w:pStyle w:val="a5"/>
        <w:ind w:leftChars="300" w:left="720"/>
        <w:jc w:val="both"/>
        <w:rPr>
          <w:rFonts w:ascii="新細明體" w:hAnsi="新細明體"/>
          <w:color w:val="FF0000"/>
          <w:szCs w:val="22"/>
        </w:rPr>
      </w:pPr>
      <w:r w:rsidRPr="00E50E9C">
        <w:rPr>
          <w:rFonts w:ascii="新細明體" w:hAnsi="新細明體" w:hint="eastAsia"/>
          <w:color w:val="FF0000"/>
          <w:szCs w:val="22"/>
          <w:highlight w:val="yellow"/>
        </w:rPr>
        <w:t>「五大」：地大、水大、火大、風大、空大。</w:t>
      </w:r>
    </w:p>
    <w:p w:rsidR="00976074" w:rsidRDefault="00E50E9C" w:rsidP="00976074">
      <w:pPr>
        <w:pStyle w:val="a5"/>
        <w:ind w:leftChars="300" w:left="1930" w:hangingChars="550" w:hanging="1210"/>
        <w:jc w:val="both"/>
        <w:rPr>
          <w:color w:val="FF0000"/>
          <w:szCs w:val="22"/>
          <w:highlight w:val="yellow"/>
        </w:rPr>
      </w:pPr>
      <w:r w:rsidRPr="00E50E9C">
        <w:rPr>
          <w:rFonts w:ascii="新細明體" w:hAnsi="新細明體" w:hint="eastAsia"/>
          <w:color w:val="FF0000"/>
          <w:szCs w:val="22"/>
          <w:highlight w:val="yellow"/>
        </w:rPr>
        <w:t>「</w:t>
      </w:r>
      <w:r>
        <w:rPr>
          <w:rFonts w:ascii="新細明體" w:hAnsi="新細明體" w:hint="eastAsia"/>
          <w:color w:val="FF0000"/>
          <w:szCs w:val="22"/>
          <w:highlight w:val="yellow"/>
        </w:rPr>
        <w:t>十一根</w:t>
      </w:r>
      <w:r w:rsidRPr="00E50E9C">
        <w:rPr>
          <w:rFonts w:ascii="新細明體" w:hAnsi="新細明體" w:hint="eastAsia"/>
          <w:color w:val="FF0000"/>
          <w:szCs w:val="22"/>
          <w:highlight w:val="yellow"/>
        </w:rPr>
        <w:t>」：耳根、皮根、眼根、舌根</w:t>
      </w:r>
      <w:r>
        <w:rPr>
          <w:rFonts w:ascii="新細明體" w:hAnsi="新細明體" w:hint="eastAsia"/>
          <w:color w:val="FF0000"/>
          <w:szCs w:val="22"/>
          <w:highlight w:val="yellow"/>
        </w:rPr>
        <w:t>［取「味」］</w:t>
      </w:r>
      <w:r w:rsidRPr="00E50E9C">
        <w:rPr>
          <w:rFonts w:ascii="新細明體" w:hAnsi="新細明體" w:hint="eastAsia"/>
          <w:color w:val="FF0000"/>
          <w:szCs w:val="22"/>
          <w:highlight w:val="yellow"/>
        </w:rPr>
        <w:t>、鼻根</w:t>
      </w:r>
      <w:r>
        <w:rPr>
          <w:rFonts w:ascii="新細明體" w:hAnsi="新細明體" w:hint="eastAsia"/>
          <w:color w:val="FF0000"/>
          <w:szCs w:val="22"/>
          <w:highlight w:val="yellow"/>
        </w:rPr>
        <w:t>，</w:t>
      </w:r>
      <w:r w:rsidRPr="00E50E9C">
        <w:rPr>
          <w:rFonts w:ascii="新細明體" w:hAnsi="新細明體" w:hint="eastAsia"/>
          <w:color w:val="FF0000"/>
          <w:szCs w:val="22"/>
          <w:highlight w:val="yellow"/>
        </w:rPr>
        <w:t>舌根</w:t>
      </w:r>
      <w:r>
        <w:rPr>
          <w:rFonts w:ascii="新細明體" w:hAnsi="新細明體" w:hint="eastAsia"/>
          <w:color w:val="FF0000"/>
          <w:szCs w:val="22"/>
          <w:highlight w:val="yellow"/>
        </w:rPr>
        <w:t>［言說］</w:t>
      </w:r>
      <w:r w:rsidRPr="00E50E9C">
        <w:rPr>
          <w:rFonts w:ascii="新細明體" w:hAnsi="新細明體" w:hint="eastAsia"/>
          <w:color w:val="FF0000"/>
          <w:szCs w:val="22"/>
          <w:highlight w:val="yellow"/>
        </w:rPr>
        <w:t>、手根、足根、</w:t>
      </w:r>
      <w:r w:rsidRPr="00E50E9C">
        <w:rPr>
          <w:rFonts w:hint="eastAsia"/>
          <w:color w:val="FF0000"/>
          <w:szCs w:val="22"/>
          <w:highlight w:val="yellow"/>
        </w:rPr>
        <w:t>人根、大遺根</w:t>
      </w:r>
      <w:r>
        <w:rPr>
          <w:rFonts w:hint="eastAsia"/>
          <w:color w:val="FF0000"/>
          <w:szCs w:val="22"/>
          <w:highlight w:val="yellow"/>
        </w:rPr>
        <w:t>，</w:t>
      </w:r>
      <w:r w:rsidRPr="00E50E9C">
        <w:rPr>
          <w:rFonts w:hint="eastAsia"/>
          <w:color w:val="FF0000"/>
          <w:szCs w:val="22"/>
          <w:highlight w:val="yellow"/>
        </w:rPr>
        <w:t>心根。</w:t>
      </w:r>
    </w:p>
    <w:p w:rsidR="00E50E9C" w:rsidRPr="00E50E9C" w:rsidRDefault="00E50E9C" w:rsidP="00976074">
      <w:pPr>
        <w:pStyle w:val="a5"/>
        <w:ind w:leftChars="300" w:left="1930" w:hangingChars="550" w:hanging="1210"/>
        <w:jc w:val="both"/>
        <w:rPr>
          <w:rFonts w:ascii="新細明體" w:hAnsi="新細明體"/>
          <w:szCs w:val="22"/>
        </w:rPr>
      </w:pPr>
      <w:r w:rsidRPr="00E50E9C">
        <w:rPr>
          <w:rFonts w:hint="eastAsia"/>
          <w:color w:val="FF0000"/>
          <w:szCs w:val="22"/>
          <w:highlight w:val="yellow"/>
        </w:rPr>
        <w:t>詳見《金七十論》卷中（大正</w:t>
      </w:r>
      <w:r w:rsidRPr="00E50E9C">
        <w:rPr>
          <w:rFonts w:hint="eastAsia"/>
          <w:color w:val="FF0000"/>
          <w:szCs w:val="22"/>
          <w:highlight w:val="yellow"/>
        </w:rPr>
        <w:t>54</w:t>
      </w:r>
      <w:r w:rsidRPr="00E50E9C">
        <w:rPr>
          <w:rFonts w:hint="eastAsia"/>
          <w:color w:val="FF0000"/>
          <w:szCs w:val="22"/>
          <w:highlight w:val="yellow"/>
        </w:rPr>
        <w:t>，</w:t>
      </w:r>
      <w:r w:rsidRPr="00E50E9C">
        <w:rPr>
          <w:rFonts w:hint="eastAsia"/>
          <w:color w:val="FF0000"/>
          <w:szCs w:val="22"/>
          <w:highlight w:val="yellow"/>
        </w:rPr>
        <w:t>1251c9-1252a8</w:t>
      </w:r>
      <w:r w:rsidRPr="00E50E9C">
        <w:rPr>
          <w:rFonts w:hint="eastAsia"/>
          <w:color w:val="FF0000"/>
          <w:szCs w:val="22"/>
          <w:highlight w:val="yellow"/>
        </w:rPr>
        <w:t>）。</w:t>
      </w:r>
      <w:r w:rsidRPr="00E50E9C">
        <w:rPr>
          <w:rFonts w:ascii="新細明體" w:hAnsi="新細明體"/>
          <w:szCs w:val="22"/>
        </w:rPr>
        <w:t xml:space="preserve"> </w:t>
      </w:r>
    </w:p>
  </w:footnote>
  <w:footnote w:id="594">
    <w:p w:rsidR="00157EF6" w:rsidRPr="00043A1E" w:rsidRDefault="00157EF6" w:rsidP="00AA120F">
      <w:pPr>
        <w:pStyle w:val="a5"/>
        <w:ind w:left="187" w:hangingChars="85" w:hanging="187"/>
        <w:jc w:val="both"/>
        <w:rPr>
          <w:szCs w:val="22"/>
        </w:rPr>
      </w:pPr>
      <w:r w:rsidRPr="00043A1E">
        <w:rPr>
          <w:rStyle w:val="a6"/>
          <w:szCs w:val="22"/>
        </w:rPr>
        <w:footnoteRef/>
      </w:r>
      <w:r w:rsidRPr="00043A1E">
        <w:rPr>
          <w:szCs w:val="22"/>
        </w:rPr>
        <w:t xml:space="preserve"> </w:t>
      </w:r>
      <w:r w:rsidRPr="00043A1E">
        <w:rPr>
          <w:rFonts w:hint="eastAsia"/>
          <w:szCs w:val="22"/>
        </w:rPr>
        <w:t>印順法師，《中觀論頌講記</w:t>
      </w:r>
      <w:r w:rsidRPr="00043A1E">
        <w:rPr>
          <w:szCs w:val="22"/>
        </w:rPr>
        <w:t>》，</w:t>
      </w:r>
      <w:r w:rsidRPr="00761EF3">
        <w:rPr>
          <w:rFonts w:eastAsia="標楷體"/>
          <w:szCs w:val="22"/>
        </w:rPr>
        <w:t>pp</w:t>
      </w:r>
      <w:r w:rsidRPr="00043A1E">
        <w:rPr>
          <w:rFonts w:eastAsia="標楷體"/>
          <w:szCs w:val="22"/>
        </w:rPr>
        <w:t>.</w:t>
      </w:r>
      <w:r w:rsidRPr="00761EF3">
        <w:rPr>
          <w:rFonts w:eastAsia="標楷體"/>
          <w:szCs w:val="22"/>
        </w:rPr>
        <w:t>123</w:t>
      </w:r>
      <w:r w:rsidRPr="00043A1E">
        <w:rPr>
          <w:rFonts w:eastAsia="標楷體"/>
          <w:szCs w:val="22"/>
        </w:rPr>
        <w:t>-</w:t>
      </w:r>
      <w:r w:rsidRPr="00761EF3">
        <w:rPr>
          <w:rFonts w:eastAsia="標楷體"/>
          <w:szCs w:val="22"/>
        </w:rPr>
        <w:t>124</w:t>
      </w:r>
      <w:r w:rsidRPr="00043A1E">
        <w:rPr>
          <w:szCs w:val="22"/>
        </w:rPr>
        <w:t>：</w:t>
      </w:r>
    </w:p>
    <w:p w:rsidR="00157EF6" w:rsidRPr="00043A1E" w:rsidRDefault="00157EF6" w:rsidP="00AA120F">
      <w:pPr>
        <w:snapToGrid w:val="0"/>
        <w:ind w:leftChars="75" w:left="180"/>
        <w:jc w:val="both"/>
        <w:rPr>
          <w:rFonts w:ascii="標楷體" w:eastAsia="標楷體" w:hAnsi="標楷體"/>
          <w:sz w:val="22"/>
          <w:szCs w:val="22"/>
        </w:rPr>
      </w:pPr>
      <w:r w:rsidRPr="00043A1E">
        <w:rPr>
          <w:rFonts w:ascii="標楷體" w:eastAsia="標楷體" w:hAnsi="標楷體" w:hint="eastAsia"/>
          <w:sz w:val="22"/>
          <w:szCs w:val="22"/>
        </w:rPr>
        <w:t>薩婆多部說：虛空是有實在體性的。</w:t>
      </w:r>
    </w:p>
    <w:p w:rsidR="00157EF6" w:rsidRPr="00043A1E" w:rsidRDefault="00157EF6" w:rsidP="00AA120F">
      <w:pPr>
        <w:snapToGrid w:val="0"/>
        <w:ind w:leftChars="75" w:left="180"/>
        <w:jc w:val="both"/>
        <w:rPr>
          <w:rFonts w:ascii="標楷體" w:eastAsia="標楷體" w:hAnsi="標楷體"/>
          <w:sz w:val="22"/>
          <w:szCs w:val="22"/>
        </w:rPr>
      </w:pPr>
      <w:r w:rsidRPr="00043A1E">
        <w:rPr>
          <w:rFonts w:ascii="標楷體" w:eastAsia="標楷體" w:hAnsi="標楷體" w:hint="eastAsia"/>
          <w:b/>
          <w:sz w:val="22"/>
          <w:szCs w:val="22"/>
        </w:rPr>
        <w:t>經部譬喻師說</w:t>
      </w:r>
      <w:r w:rsidRPr="00043A1E">
        <w:rPr>
          <w:rFonts w:ascii="標楷體" w:eastAsia="標楷體" w:hAnsi="標楷體" w:hint="eastAsia"/>
          <w:sz w:val="22"/>
          <w:szCs w:val="22"/>
        </w:rPr>
        <w:t>：虛空只是沒有色法的質礙，所以沒有真實的體性。</w:t>
      </w:r>
    </w:p>
    <w:p w:rsidR="00157EF6" w:rsidRPr="00043A1E" w:rsidRDefault="00157EF6" w:rsidP="00AA120F">
      <w:pPr>
        <w:snapToGrid w:val="0"/>
        <w:ind w:leftChars="75" w:left="180"/>
        <w:jc w:val="both"/>
        <w:rPr>
          <w:rFonts w:ascii="標楷體" w:eastAsia="標楷體" w:hAnsi="標楷體"/>
          <w:sz w:val="22"/>
          <w:szCs w:val="22"/>
        </w:rPr>
      </w:pPr>
      <w:r w:rsidRPr="00043A1E">
        <w:rPr>
          <w:rFonts w:ascii="標楷體" w:eastAsia="標楷體" w:hAnsi="標楷體" w:hint="eastAsia"/>
          <w:b/>
          <w:sz w:val="22"/>
          <w:szCs w:val="22"/>
        </w:rPr>
        <w:t>案達羅學派說</w:t>
      </w:r>
      <w:r w:rsidRPr="00043A1E">
        <w:rPr>
          <w:rFonts w:ascii="標楷體" w:eastAsia="標楷體" w:hAnsi="標楷體" w:hint="eastAsia"/>
          <w:sz w:val="22"/>
          <w:szCs w:val="22"/>
        </w:rPr>
        <w:t>：虛空是有為法。</w:t>
      </w:r>
    </w:p>
    <w:p w:rsidR="00157EF6" w:rsidRPr="00043A1E" w:rsidRDefault="00157EF6" w:rsidP="00AA120F">
      <w:pPr>
        <w:snapToGrid w:val="0"/>
        <w:ind w:leftChars="75" w:left="180"/>
        <w:jc w:val="both"/>
        <w:rPr>
          <w:rFonts w:ascii="標楷體" w:eastAsia="標楷體" w:hAnsi="標楷體"/>
          <w:sz w:val="22"/>
          <w:szCs w:val="22"/>
        </w:rPr>
      </w:pPr>
      <w:r w:rsidRPr="00043A1E">
        <w:rPr>
          <w:rFonts w:ascii="標楷體" w:eastAsia="標楷體" w:hAnsi="標楷體" w:hint="eastAsia"/>
          <w:b/>
          <w:sz w:val="22"/>
          <w:szCs w:val="22"/>
        </w:rPr>
        <w:t>薩婆多部</w:t>
      </w:r>
      <w:r w:rsidRPr="00043A1E">
        <w:rPr>
          <w:rFonts w:ascii="標楷體" w:eastAsia="標楷體" w:hAnsi="標楷體" w:hint="eastAsia"/>
          <w:sz w:val="22"/>
          <w:szCs w:val="22"/>
        </w:rPr>
        <w:t>說虛空有二：</w:t>
      </w:r>
    </w:p>
    <w:p w:rsidR="00157EF6" w:rsidRPr="00043A1E" w:rsidRDefault="00157EF6" w:rsidP="00AA120F">
      <w:pPr>
        <w:snapToGrid w:val="0"/>
        <w:ind w:leftChars="75" w:left="620" w:hangingChars="200" w:hanging="440"/>
        <w:jc w:val="both"/>
        <w:rPr>
          <w:rFonts w:ascii="標楷體" w:eastAsia="標楷體" w:hAnsi="標楷體"/>
          <w:sz w:val="22"/>
          <w:szCs w:val="22"/>
        </w:rPr>
      </w:pPr>
      <w:r w:rsidRPr="00043A1E">
        <w:rPr>
          <w:rFonts w:ascii="標楷體" w:eastAsia="標楷體" w:hAnsi="標楷體" w:hint="eastAsia"/>
          <w:sz w:val="22"/>
          <w:szCs w:val="22"/>
        </w:rPr>
        <w:t>一、我們眼見的空空如也的空，是有為法。六種和合為人的空種，是屬於這一類的。這虛空，是色法之一，就是竅隙的空。</w:t>
      </w:r>
    </w:p>
    <w:p w:rsidR="00157EF6" w:rsidRPr="00043A1E" w:rsidRDefault="00157EF6" w:rsidP="00AA120F">
      <w:pPr>
        <w:snapToGrid w:val="0"/>
        <w:ind w:leftChars="75" w:left="620" w:hangingChars="200" w:hanging="440"/>
        <w:jc w:val="both"/>
        <w:rPr>
          <w:rFonts w:ascii="標楷體" w:eastAsia="標楷體" w:hAnsi="標楷體"/>
          <w:sz w:val="22"/>
          <w:szCs w:val="22"/>
        </w:rPr>
      </w:pPr>
      <w:r w:rsidRPr="00043A1E">
        <w:rPr>
          <w:rFonts w:ascii="標楷體" w:eastAsia="標楷體" w:hAnsi="標楷體" w:hint="eastAsia"/>
          <w:sz w:val="22"/>
          <w:szCs w:val="22"/>
        </w:rPr>
        <w:t>二、虛空無為，無障礙為性，一切色法的活動，存在或不存在，都在無礙的虛空中。虛空是遍一切的，實有的，真常的。這虛空無為，不礙他，他也不會障礙虛空。</w:t>
      </w:r>
    </w:p>
    <w:p w:rsidR="00157EF6" w:rsidRPr="00043A1E" w:rsidRDefault="00157EF6" w:rsidP="00AA120F">
      <w:pPr>
        <w:snapToGrid w:val="0"/>
        <w:ind w:leftChars="75" w:left="180"/>
        <w:jc w:val="both"/>
        <w:rPr>
          <w:rFonts w:ascii="標楷體" w:eastAsia="標楷體" w:hAnsi="標楷體"/>
          <w:sz w:val="22"/>
          <w:szCs w:val="22"/>
        </w:rPr>
      </w:pPr>
      <w:r w:rsidRPr="00043A1E">
        <w:rPr>
          <w:rFonts w:ascii="標楷體" w:eastAsia="標楷體" w:hAnsi="標楷體" w:hint="eastAsia"/>
          <w:b/>
          <w:sz w:val="22"/>
          <w:szCs w:val="22"/>
        </w:rPr>
        <w:t>空宗說</w:t>
      </w:r>
      <w:r w:rsidRPr="00043A1E">
        <w:rPr>
          <w:rFonts w:ascii="標楷體" w:eastAsia="標楷體" w:hAnsi="標楷體" w:hint="eastAsia"/>
          <w:sz w:val="22"/>
          <w:szCs w:val="22"/>
        </w:rPr>
        <w:t>：虛空是緣起假名，與經部及案達羅學派的思想有關。</w:t>
      </w:r>
    </w:p>
    <w:p w:rsidR="00157EF6" w:rsidRPr="00043A1E" w:rsidRDefault="00157EF6" w:rsidP="00AA120F">
      <w:pPr>
        <w:snapToGrid w:val="0"/>
        <w:ind w:leftChars="75" w:left="180"/>
        <w:jc w:val="both"/>
        <w:rPr>
          <w:rFonts w:ascii="標楷體" w:eastAsia="標楷體" w:hAnsi="標楷體"/>
          <w:sz w:val="22"/>
          <w:szCs w:val="22"/>
        </w:rPr>
      </w:pPr>
      <w:r w:rsidRPr="00043A1E">
        <w:rPr>
          <w:rFonts w:ascii="標楷體" w:eastAsia="標楷體" w:hAnsi="標楷體" w:hint="eastAsia"/>
          <w:sz w:val="22"/>
          <w:szCs w:val="22"/>
        </w:rPr>
        <w:t>空間，哲學上是個很重要的問題，諍論也很多。</w:t>
      </w:r>
    </w:p>
    <w:p w:rsidR="00157EF6" w:rsidRPr="00043A1E" w:rsidRDefault="00157EF6" w:rsidP="00AA120F">
      <w:pPr>
        <w:snapToGrid w:val="0"/>
        <w:ind w:leftChars="75" w:left="180"/>
        <w:jc w:val="both"/>
        <w:rPr>
          <w:rFonts w:ascii="標楷體" w:eastAsia="標楷體" w:hAnsi="標楷體"/>
          <w:sz w:val="22"/>
          <w:szCs w:val="22"/>
        </w:rPr>
      </w:pPr>
      <w:r w:rsidRPr="00043A1E">
        <w:rPr>
          <w:rFonts w:ascii="標楷體" w:eastAsia="標楷體" w:hAnsi="標楷體" w:hint="eastAsia"/>
          <w:b/>
          <w:sz w:val="22"/>
          <w:szCs w:val="22"/>
        </w:rPr>
        <w:t>有說空間是外界絕對的存在</w:t>
      </w:r>
      <w:r w:rsidRPr="00043A1E">
        <w:rPr>
          <w:rFonts w:ascii="標楷體" w:eastAsia="標楷體" w:hAnsi="標楷體" w:hint="eastAsia"/>
          <w:sz w:val="22"/>
          <w:szCs w:val="22"/>
        </w:rPr>
        <w:t>，不是寸尺的長短可以量的。</w:t>
      </w:r>
    </w:p>
    <w:p w:rsidR="00157EF6" w:rsidRPr="00043A1E" w:rsidRDefault="00157EF6" w:rsidP="00AA120F">
      <w:pPr>
        <w:snapToGrid w:val="0"/>
        <w:ind w:leftChars="75" w:left="180"/>
        <w:jc w:val="both"/>
        <w:rPr>
          <w:rFonts w:ascii="標楷體" w:eastAsia="標楷體" w:hAnsi="標楷體"/>
          <w:sz w:val="22"/>
          <w:szCs w:val="22"/>
        </w:rPr>
      </w:pPr>
      <w:r w:rsidRPr="00043A1E">
        <w:rPr>
          <w:rFonts w:ascii="標楷體" w:eastAsia="標楷體" w:hAnsi="標楷體" w:hint="eastAsia"/>
          <w:b/>
          <w:sz w:val="22"/>
          <w:szCs w:val="22"/>
        </w:rPr>
        <w:t>有說空間是內在的，是認識上的格式</w:t>
      </w:r>
      <w:r w:rsidRPr="00043A1E">
        <w:rPr>
          <w:rFonts w:ascii="標楷體" w:eastAsia="標楷體" w:hAnsi="標楷體" w:hint="eastAsia"/>
          <w:sz w:val="22"/>
          <w:szCs w:val="22"/>
        </w:rPr>
        <w:t>，認識本有空間的格式，從空間的格式中，認識一切，一切都現出空間相；所以，空是內心的存在，不是外界存在的。</w:t>
      </w:r>
    </w:p>
    <w:p w:rsidR="00157EF6" w:rsidRPr="00043A1E" w:rsidRDefault="00157EF6" w:rsidP="00AA120F">
      <w:pPr>
        <w:snapToGrid w:val="0"/>
        <w:ind w:leftChars="75" w:left="180"/>
        <w:jc w:val="both"/>
        <w:rPr>
          <w:rFonts w:ascii="標楷體" w:eastAsia="標楷體" w:hAnsi="標楷體"/>
          <w:sz w:val="22"/>
          <w:szCs w:val="22"/>
        </w:rPr>
      </w:pPr>
      <w:r w:rsidRPr="00043A1E">
        <w:rPr>
          <w:rFonts w:ascii="標楷體" w:eastAsia="標楷體" w:hAnsi="標楷體" w:hint="eastAsia"/>
          <w:b/>
          <w:sz w:val="22"/>
          <w:szCs w:val="22"/>
        </w:rPr>
        <w:t>有的說：空間是外在的，但是物質的存在、形態，有物質，就顯有空間相。物質的有變動，空間性也就有變化；是相對而不是絕對的</w:t>
      </w:r>
      <w:r w:rsidRPr="00043A1E">
        <w:rPr>
          <w:rFonts w:ascii="標楷體" w:eastAsia="標楷體" w:hAnsi="標楷體" w:hint="eastAsia"/>
          <w:sz w:val="22"/>
          <w:szCs w:val="22"/>
        </w:rPr>
        <w:t>。</w:t>
      </w:r>
    </w:p>
    <w:p w:rsidR="00157EF6" w:rsidRPr="00043A1E" w:rsidRDefault="00157EF6" w:rsidP="00AA120F">
      <w:pPr>
        <w:snapToGrid w:val="0"/>
        <w:ind w:leftChars="75" w:left="180"/>
        <w:jc w:val="both"/>
        <w:rPr>
          <w:rFonts w:ascii="標楷體" w:eastAsia="標楷體" w:hAnsi="標楷體"/>
          <w:sz w:val="22"/>
          <w:szCs w:val="22"/>
        </w:rPr>
      </w:pPr>
      <w:r w:rsidRPr="00043A1E">
        <w:rPr>
          <w:rFonts w:ascii="標楷體" w:eastAsia="標楷體" w:hAnsi="標楷體" w:hint="eastAsia"/>
          <w:sz w:val="22"/>
          <w:szCs w:val="22"/>
        </w:rPr>
        <w:t>這可見空間的問題，在世學，在佛法，都有很多的諍論，但主要不外絕對的與相對的，外在的與內在的諍論。</w:t>
      </w:r>
    </w:p>
    <w:p w:rsidR="00157EF6" w:rsidRPr="00043A1E" w:rsidRDefault="00157EF6" w:rsidP="00AA120F">
      <w:pPr>
        <w:snapToGrid w:val="0"/>
        <w:ind w:leftChars="75" w:left="180"/>
        <w:jc w:val="both"/>
        <w:rPr>
          <w:rFonts w:ascii="標楷體" w:eastAsia="標楷體" w:hAnsi="標楷體"/>
          <w:sz w:val="22"/>
          <w:szCs w:val="22"/>
        </w:rPr>
      </w:pPr>
      <w:r w:rsidRPr="00043A1E">
        <w:rPr>
          <w:rFonts w:ascii="標楷體" w:eastAsia="標楷體" w:hAnsi="標楷體" w:hint="eastAsia"/>
          <w:b/>
          <w:sz w:val="22"/>
          <w:szCs w:val="22"/>
        </w:rPr>
        <w:t>空宗不否認對象的虛空，不過不承認他是實有真常；承認他是緣起的幻相，他的存在，與色法有依存的關係。如板壁上的空隙，是由根見、身觸而得的認識，空宗是接近經驗論的。虛空依緣起而存在，也就依緣起而離散，所以，有集也有散；緣起的存在，是畢竟性空的。</w:t>
      </w:r>
    </w:p>
  </w:footnote>
  <w:footnote w:id="595">
    <w:p w:rsidR="00157EF6" w:rsidRPr="00043A1E" w:rsidRDefault="00157EF6" w:rsidP="00AA120F">
      <w:pPr>
        <w:pStyle w:val="a5"/>
        <w:ind w:left="187" w:hangingChars="85" w:hanging="187"/>
        <w:jc w:val="both"/>
        <w:rPr>
          <w:rFonts w:eastAsia="SimSun"/>
          <w:szCs w:val="22"/>
        </w:rPr>
      </w:pPr>
      <w:r w:rsidRPr="00043A1E">
        <w:rPr>
          <w:rStyle w:val="a6"/>
          <w:szCs w:val="22"/>
        </w:rPr>
        <w:footnoteRef/>
      </w:r>
      <w:r w:rsidRPr="00043A1E">
        <w:rPr>
          <w:rFonts w:hint="eastAsia"/>
          <w:szCs w:val="22"/>
        </w:rPr>
        <w:t xml:space="preserve"> </w:t>
      </w:r>
      <w:r w:rsidRPr="00043A1E">
        <w:rPr>
          <w:rFonts w:hint="eastAsia"/>
          <w:szCs w:val="22"/>
        </w:rPr>
        <w:t>《阿毘達磨大毘婆沙論》卷</w:t>
      </w:r>
      <w:r w:rsidRPr="00761EF3">
        <w:rPr>
          <w:szCs w:val="22"/>
        </w:rPr>
        <w:t>75</w:t>
      </w:r>
      <w:r w:rsidRPr="00043A1E">
        <w:rPr>
          <w:szCs w:val="22"/>
        </w:rPr>
        <w:t>（</w:t>
      </w:r>
      <w:r w:rsidRPr="00043A1E">
        <w:rPr>
          <w:rFonts w:hint="eastAsia"/>
          <w:szCs w:val="22"/>
        </w:rPr>
        <w:t>大正</w:t>
      </w:r>
      <w:r w:rsidRPr="00761EF3">
        <w:rPr>
          <w:szCs w:val="22"/>
        </w:rPr>
        <w:t>27</w:t>
      </w:r>
      <w:r w:rsidRPr="00043A1E">
        <w:rPr>
          <w:rFonts w:hint="eastAsia"/>
          <w:szCs w:val="22"/>
        </w:rPr>
        <w:t>，</w:t>
      </w:r>
      <w:r w:rsidRPr="00761EF3">
        <w:rPr>
          <w:szCs w:val="22"/>
        </w:rPr>
        <w:t>388b19</w:t>
      </w:r>
      <w:r w:rsidRPr="00043A1E">
        <w:rPr>
          <w:szCs w:val="22"/>
        </w:rPr>
        <w:t>-</w:t>
      </w:r>
      <w:r w:rsidRPr="00761EF3">
        <w:rPr>
          <w:rFonts w:hint="eastAsia"/>
          <w:szCs w:val="22"/>
        </w:rPr>
        <w:t>21</w:t>
      </w:r>
      <w:r w:rsidRPr="00043A1E">
        <w:rPr>
          <w:szCs w:val="22"/>
        </w:rPr>
        <w:t>）</w:t>
      </w:r>
      <w:r w:rsidRPr="00043A1E">
        <w:rPr>
          <w:rFonts w:hint="eastAsia"/>
          <w:szCs w:val="22"/>
        </w:rPr>
        <w:t>：</w:t>
      </w:r>
    </w:p>
    <w:p w:rsidR="00157EF6" w:rsidRPr="00043A1E" w:rsidRDefault="00157EF6" w:rsidP="00AA120F">
      <w:pPr>
        <w:snapToGrid w:val="0"/>
        <w:ind w:leftChars="75" w:left="620" w:hangingChars="200" w:hanging="440"/>
        <w:jc w:val="both"/>
        <w:rPr>
          <w:rFonts w:eastAsia="SimSun"/>
          <w:sz w:val="22"/>
          <w:szCs w:val="22"/>
        </w:rPr>
      </w:pPr>
      <w:r w:rsidRPr="00043A1E">
        <w:rPr>
          <w:rFonts w:ascii="Times New Roman" w:eastAsia="標楷體" w:hAnsi="Times New Roman" w:hint="eastAsia"/>
          <w:sz w:val="22"/>
          <w:szCs w:val="22"/>
        </w:rPr>
        <w:t>問：</w:t>
      </w:r>
      <w:r w:rsidR="00812788">
        <w:rPr>
          <w:rFonts w:eastAsia="標楷體" w:hint="eastAsia"/>
          <w:color w:val="FF0000"/>
          <w:sz w:val="22"/>
          <w:szCs w:val="22"/>
          <w:highlight w:val="yellow"/>
        </w:rPr>
        <w:t>「</w:t>
      </w:r>
      <w:r w:rsidRPr="00043A1E">
        <w:rPr>
          <w:rFonts w:ascii="Times New Roman" w:eastAsia="標楷體" w:hAnsi="Times New Roman" w:hint="eastAsia"/>
          <w:sz w:val="22"/>
          <w:szCs w:val="22"/>
        </w:rPr>
        <w:t>虛空</w:t>
      </w:r>
      <w:r w:rsidR="00812788">
        <w:rPr>
          <w:rFonts w:eastAsia="標楷體" w:hint="eastAsia"/>
          <w:color w:val="FF0000"/>
          <w:sz w:val="22"/>
          <w:szCs w:val="22"/>
          <w:highlight w:val="yellow"/>
        </w:rPr>
        <w:t>」</w:t>
      </w:r>
      <w:r w:rsidRPr="00043A1E">
        <w:rPr>
          <w:rFonts w:ascii="Times New Roman" w:eastAsia="標楷體" w:hAnsi="Times New Roman" w:hint="eastAsia"/>
          <w:sz w:val="22"/>
          <w:szCs w:val="22"/>
        </w:rPr>
        <w:t>、</w:t>
      </w:r>
      <w:r w:rsidR="00812788">
        <w:rPr>
          <w:rFonts w:eastAsia="標楷體" w:hint="eastAsia"/>
          <w:color w:val="FF0000"/>
          <w:sz w:val="22"/>
          <w:szCs w:val="22"/>
          <w:highlight w:val="yellow"/>
        </w:rPr>
        <w:t>「</w:t>
      </w:r>
      <w:r w:rsidRPr="00043A1E">
        <w:rPr>
          <w:rFonts w:ascii="Times New Roman" w:eastAsia="標楷體" w:hAnsi="Times New Roman" w:hint="eastAsia"/>
          <w:sz w:val="22"/>
          <w:szCs w:val="22"/>
        </w:rPr>
        <w:t>空界</w:t>
      </w:r>
      <w:r w:rsidR="00812788">
        <w:rPr>
          <w:rFonts w:eastAsia="標楷體" w:hint="eastAsia"/>
          <w:color w:val="FF0000"/>
          <w:sz w:val="22"/>
          <w:szCs w:val="22"/>
          <w:highlight w:val="yellow"/>
        </w:rPr>
        <w:t>」，</w:t>
      </w:r>
      <w:r w:rsidRPr="00043A1E">
        <w:rPr>
          <w:rFonts w:ascii="Times New Roman" w:eastAsia="標楷體" w:hAnsi="Times New Roman" w:hint="eastAsia"/>
          <w:sz w:val="22"/>
          <w:szCs w:val="22"/>
        </w:rPr>
        <w:t>有何差別？</w:t>
      </w:r>
    </w:p>
    <w:p w:rsidR="00157EF6" w:rsidRPr="00043A1E" w:rsidRDefault="00157EF6" w:rsidP="00AA120F">
      <w:pPr>
        <w:snapToGrid w:val="0"/>
        <w:ind w:leftChars="75" w:left="620" w:hangingChars="200" w:hanging="440"/>
        <w:jc w:val="both"/>
        <w:rPr>
          <w:rFonts w:ascii="Times New Roman" w:hAnsi="Times New Roman"/>
          <w:sz w:val="22"/>
          <w:szCs w:val="22"/>
        </w:rPr>
      </w:pPr>
      <w:r w:rsidRPr="00043A1E">
        <w:rPr>
          <w:rFonts w:ascii="Times New Roman" w:eastAsia="標楷體" w:hAnsi="Times New Roman" w:hint="eastAsia"/>
          <w:sz w:val="22"/>
          <w:szCs w:val="22"/>
        </w:rPr>
        <w:t>答：</w:t>
      </w:r>
      <w:r w:rsidR="00812788">
        <w:rPr>
          <w:rFonts w:eastAsia="標楷體" w:hint="eastAsia"/>
          <w:color w:val="FF0000"/>
          <w:sz w:val="22"/>
          <w:szCs w:val="22"/>
          <w:highlight w:val="yellow"/>
        </w:rPr>
        <w:t>「</w:t>
      </w:r>
      <w:r w:rsidR="00812788" w:rsidRPr="00812788">
        <w:rPr>
          <w:rFonts w:ascii="Times New Roman" w:eastAsia="標楷體" w:hAnsi="Times New Roman" w:hint="eastAsia"/>
          <w:b/>
          <w:sz w:val="22"/>
          <w:szCs w:val="22"/>
        </w:rPr>
        <w:t>虛空</w:t>
      </w:r>
      <w:r w:rsidR="00812788">
        <w:rPr>
          <w:rFonts w:eastAsia="標楷體" w:hint="eastAsia"/>
          <w:color w:val="FF0000"/>
          <w:sz w:val="22"/>
          <w:szCs w:val="22"/>
          <w:highlight w:val="yellow"/>
        </w:rPr>
        <w:t>」</w:t>
      </w:r>
      <w:r w:rsidRPr="00043A1E">
        <w:rPr>
          <w:rFonts w:ascii="Times New Roman" w:eastAsia="標楷體" w:hAnsi="Times New Roman" w:hint="eastAsia"/>
          <w:b/>
          <w:sz w:val="22"/>
          <w:szCs w:val="22"/>
        </w:rPr>
        <w:t>非色</w:t>
      </w:r>
      <w:r w:rsidRPr="00043A1E">
        <w:rPr>
          <w:rFonts w:ascii="Times New Roman" w:eastAsia="標楷體" w:hAnsi="Times New Roman" w:hint="eastAsia"/>
          <w:sz w:val="22"/>
          <w:szCs w:val="22"/>
        </w:rPr>
        <w:t>，</w:t>
      </w:r>
      <w:r w:rsidR="00812788">
        <w:rPr>
          <w:rFonts w:eastAsia="標楷體" w:hint="eastAsia"/>
          <w:color w:val="FF0000"/>
          <w:sz w:val="22"/>
          <w:szCs w:val="22"/>
          <w:highlight w:val="yellow"/>
        </w:rPr>
        <w:t>「</w:t>
      </w:r>
      <w:r w:rsidR="00812788" w:rsidRPr="00043A1E">
        <w:rPr>
          <w:rFonts w:ascii="Times New Roman" w:eastAsia="標楷體" w:hAnsi="Times New Roman" w:hint="eastAsia"/>
          <w:sz w:val="22"/>
          <w:szCs w:val="22"/>
        </w:rPr>
        <w:t>空界</w:t>
      </w:r>
      <w:r w:rsidR="00812788">
        <w:rPr>
          <w:rFonts w:eastAsia="標楷體" w:hint="eastAsia"/>
          <w:color w:val="FF0000"/>
          <w:sz w:val="22"/>
          <w:szCs w:val="22"/>
          <w:highlight w:val="yellow"/>
        </w:rPr>
        <w:t>」</w:t>
      </w:r>
      <w:r w:rsidRPr="00043A1E">
        <w:rPr>
          <w:rFonts w:ascii="Times New Roman" w:eastAsia="標楷體" w:hAnsi="Times New Roman" w:hint="eastAsia"/>
          <w:sz w:val="22"/>
          <w:szCs w:val="22"/>
        </w:rPr>
        <w:t>是色；</w:t>
      </w:r>
      <w:r w:rsidR="00812788">
        <w:rPr>
          <w:rFonts w:eastAsia="標楷體" w:hint="eastAsia"/>
          <w:color w:val="FF0000"/>
          <w:sz w:val="22"/>
          <w:szCs w:val="22"/>
          <w:highlight w:val="yellow"/>
        </w:rPr>
        <w:t>「</w:t>
      </w:r>
      <w:r w:rsidR="00812788" w:rsidRPr="00812788">
        <w:rPr>
          <w:rFonts w:ascii="Times New Roman" w:eastAsia="標楷體" w:hAnsi="Times New Roman" w:hint="eastAsia"/>
          <w:b/>
          <w:sz w:val="22"/>
          <w:szCs w:val="22"/>
        </w:rPr>
        <w:t>虛空</w:t>
      </w:r>
      <w:r w:rsidR="00812788">
        <w:rPr>
          <w:rFonts w:eastAsia="標楷體" w:hint="eastAsia"/>
          <w:color w:val="FF0000"/>
          <w:sz w:val="22"/>
          <w:szCs w:val="22"/>
          <w:highlight w:val="yellow"/>
        </w:rPr>
        <w:t>」</w:t>
      </w:r>
      <w:r w:rsidRPr="00043A1E">
        <w:rPr>
          <w:rFonts w:ascii="Times New Roman" w:eastAsia="標楷體" w:hAnsi="Times New Roman" w:hint="eastAsia"/>
          <w:b/>
          <w:sz w:val="22"/>
          <w:szCs w:val="22"/>
        </w:rPr>
        <w:t>無見</w:t>
      </w:r>
      <w:r w:rsidRPr="00043A1E">
        <w:rPr>
          <w:rFonts w:ascii="Times New Roman" w:eastAsia="標楷體" w:hAnsi="Times New Roman" w:hint="eastAsia"/>
          <w:sz w:val="22"/>
          <w:szCs w:val="22"/>
        </w:rPr>
        <w:t>，</w:t>
      </w:r>
      <w:r w:rsidR="00812788">
        <w:rPr>
          <w:rFonts w:eastAsia="標楷體" w:hint="eastAsia"/>
          <w:color w:val="FF0000"/>
          <w:sz w:val="22"/>
          <w:szCs w:val="22"/>
          <w:highlight w:val="yellow"/>
        </w:rPr>
        <w:t>「</w:t>
      </w:r>
      <w:r w:rsidR="00812788" w:rsidRPr="00043A1E">
        <w:rPr>
          <w:rFonts w:ascii="Times New Roman" w:eastAsia="標楷體" w:hAnsi="Times New Roman" w:hint="eastAsia"/>
          <w:sz w:val="22"/>
          <w:szCs w:val="22"/>
        </w:rPr>
        <w:t>空界</w:t>
      </w:r>
      <w:r w:rsidR="00812788">
        <w:rPr>
          <w:rFonts w:eastAsia="標楷體" w:hint="eastAsia"/>
          <w:color w:val="FF0000"/>
          <w:sz w:val="22"/>
          <w:szCs w:val="22"/>
          <w:highlight w:val="yellow"/>
        </w:rPr>
        <w:t>」</w:t>
      </w:r>
      <w:r w:rsidRPr="00043A1E">
        <w:rPr>
          <w:rFonts w:ascii="Times New Roman" w:eastAsia="標楷體" w:hAnsi="Times New Roman" w:hint="eastAsia"/>
          <w:sz w:val="22"/>
          <w:szCs w:val="22"/>
        </w:rPr>
        <w:t>有見；</w:t>
      </w:r>
      <w:r w:rsidR="00812788">
        <w:rPr>
          <w:rFonts w:eastAsia="標楷體" w:hint="eastAsia"/>
          <w:color w:val="FF0000"/>
          <w:sz w:val="22"/>
          <w:szCs w:val="22"/>
          <w:highlight w:val="yellow"/>
        </w:rPr>
        <w:t>「</w:t>
      </w:r>
      <w:r w:rsidR="00812788" w:rsidRPr="00812788">
        <w:rPr>
          <w:rFonts w:ascii="Times New Roman" w:eastAsia="標楷體" w:hAnsi="Times New Roman" w:hint="eastAsia"/>
          <w:b/>
          <w:sz w:val="22"/>
          <w:szCs w:val="22"/>
        </w:rPr>
        <w:t>虛空</w:t>
      </w:r>
      <w:r w:rsidR="00812788">
        <w:rPr>
          <w:rFonts w:eastAsia="標楷體" w:hint="eastAsia"/>
          <w:color w:val="FF0000"/>
          <w:sz w:val="22"/>
          <w:szCs w:val="22"/>
          <w:highlight w:val="yellow"/>
        </w:rPr>
        <w:t>」</w:t>
      </w:r>
      <w:r w:rsidRPr="00043A1E">
        <w:rPr>
          <w:rFonts w:ascii="Times New Roman" w:eastAsia="標楷體" w:hAnsi="Times New Roman" w:hint="eastAsia"/>
          <w:b/>
          <w:sz w:val="22"/>
          <w:szCs w:val="22"/>
        </w:rPr>
        <w:t>無對</w:t>
      </w:r>
      <w:r w:rsidRPr="00043A1E">
        <w:rPr>
          <w:rFonts w:ascii="Times New Roman" w:eastAsia="標楷體" w:hAnsi="Times New Roman" w:hint="eastAsia"/>
          <w:sz w:val="22"/>
          <w:szCs w:val="22"/>
        </w:rPr>
        <w:t>，</w:t>
      </w:r>
      <w:r w:rsidR="00812788">
        <w:rPr>
          <w:rFonts w:eastAsia="標楷體" w:hint="eastAsia"/>
          <w:color w:val="FF0000"/>
          <w:sz w:val="22"/>
          <w:szCs w:val="22"/>
          <w:highlight w:val="yellow"/>
        </w:rPr>
        <w:t>「</w:t>
      </w:r>
      <w:r w:rsidR="00812788" w:rsidRPr="00043A1E">
        <w:rPr>
          <w:rFonts w:ascii="Times New Roman" w:eastAsia="標楷體" w:hAnsi="Times New Roman" w:hint="eastAsia"/>
          <w:sz w:val="22"/>
          <w:szCs w:val="22"/>
        </w:rPr>
        <w:t>空界</w:t>
      </w:r>
      <w:r w:rsidR="00812788">
        <w:rPr>
          <w:rFonts w:eastAsia="標楷體" w:hint="eastAsia"/>
          <w:color w:val="FF0000"/>
          <w:sz w:val="22"/>
          <w:szCs w:val="22"/>
          <w:highlight w:val="yellow"/>
        </w:rPr>
        <w:t>」</w:t>
      </w:r>
      <w:r w:rsidRPr="00043A1E">
        <w:rPr>
          <w:rFonts w:ascii="Times New Roman" w:eastAsia="標楷體" w:hAnsi="Times New Roman" w:hint="eastAsia"/>
          <w:sz w:val="22"/>
          <w:szCs w:val="22"/>
        </w:rPr>
        <w:t>有對；</w:t>
      </w:r>
      <w:r w:rsidR="00812788">
        <w:rPr>
          <w:rFonts w:eastAsia="標楷體" w:hint="eastAsia"/>
          <w:color w:val="FF0000"/>
          <w:sz w:val="22"/>
          <w:szCs w:val="22"/>
          <w:highlight w:val="yellow"/>
        </w:rPr>
        <w:t>「</w:t>
      </w:r>
      <w:r w:rsidR="00812788" w:rsidRPr="00812788">
        <w:rPr>
          <w:rFonts w:ascii="Times New Roman" w:eastAsia="標楷體" w:hAnsi="Times New Roman" w:hint="eastAsia"/>
          <w:b/>
          <w:sz w:val="22"/>
          <w:szCs w:val="22"/>
        </w:rPr>
        <w:t>虛空</w:t>
      </w:r>
      <w:r w:rsidR="00812788">
        <w:rPr>
          <w:rFonts w:eastAsia="標楷體" w:hint="eastAsia"/>
          <w:color w:val="FF0000"/>
          <w:sz w:val="22"/>
          <w:szCs w:val="22"/>
          <w:highlight w:val="yellow"/>
        </w:rPr>
        <w:t>」</w:t>
      </w:r>
      <w:r w:rsidRPr="00043A1E">
        <w:rPr>
          <w:rFonts w:ascii="Times New Roman" w:eastAsia="標楷體" w:hAnsi="Times New Roman" w:hint="eastAsia"/>
          <w:b/>
          <w:sz w:val="22"/>
          <w:szCs w:val="22"/>
        </w:rPr>
        <w:t>無漏</w:t>
      </w:r>
      <w:r w:rsidRPr="00043A1E">
        <w:rPr>
          <w:rFonts w:ascii="Times New Roman" w:eastAsia="標楷體" w:hAnsi="Times New Roman" w:hint="eastAsia"/>
          <w:sz w:val="22"/>
          <w:szCs w:val="22"/>
        </w:rPr>
        <w:t>，</w:t>
      </w:r>
      <w:r w:rsidR="00812788">
        <w:rPr>
          <w:rFonts w:eastAsia="標楷體" w:hint="eastAsia"/>
          <w:color w:val="FF0000"/>
          <w:sz w:val="22"/>
          <w:szCs w:val="22"/>
          <w:highlight w:val="yellow"/>
        </w:rPr>
        <w:t>「</w:t>
      </w:r>
      <w:r w:rsidR="00812788" w:rsidRPr="00043A1E">
        <w:rPr>
          <w:rFonts w:ascii="Times New Roman" w:eastAsia="標楷體" w:hAnsi="Times New Roman" w:hint="eastAsia"/>
          <w:sz w:val="22"/>
          <w:szCs w:val="22"/>
        </w:rPr>
        <w:t>空界</w:t>
      </w:r>
      <w:r w:rsidR="00812788">
        <w:rPr>
          <w:rFonts w:eastAsia="標楷體" w:hint="eastAsia"/>
          <w:color w:val="FF0000"/>
          <w:sz w:val="22"/>
          <w:szCs w:val="22"/>
          <w:highlight w:val="yellow"/>
        </w:rPr>
        <w:t>」</w:t>
      </w:r>
      <w:r w:rsidRPr="00043A1E">
        <w:rPr>
          <w:rFonts w:ascii="Times New Roman" w:eastAsia="標楷體" w:hAnsi="Times New Roman" w:hint="eastAsia"/>
          <w:sz w:val="22"/>
          <w:szCs w:val="22"/>
        </w:rPr>
        <w:t>有漏；</w:t>
      </w:r>
      <w:r w:rsidR="00812788">
        <w:rPr>
          <w:rFonts w:eastAsia="標楷體" w:hint="eastAsia"/>
          <w:color w:val="FF0000"/>
          <w:sz w:val="22"/>
          <w:szCs w:val="22"/>
          <w:highlight w:val="yellow"/>
        </w:rPr>
        <w:t>「</w:t>
      </w:r>
      <w:r w:rsidR="00812788" w:rsidRPr="00812788">
        <w:rPr>
          <w:rFonts w:ascii="Times New Roman" w:eastAsia="標楷體" w:hAnsi="Times New Roman" w:hint="eastAsia"/>
          <w:b/>
          <w:sz w:val="22"/>
          <w:szCs w:val="22"/>
        </w:rPr>
        <w:t>虛空</w:t>
      </w:r>
      <w:r w:rsidR="00812788">
        <w:rPr>
          <w:rFonts w:eastAsia="標楷體" w:hint="eastAsia"/>
          <w:color w:val="FF0000"/>
          <w:sz w:val="22"/>
          <w:szCs w:val="22"/>
          <w:highlight w:val="yellow"/>
        </w:rPr>
        <w:t>」</w:t>
      </w:r>
      <w:r w:rsidRPr="00043A1E">
        <w:rPr>
          <w:rFonts w:ascii="Times New Roman" w:eastAsia="標楷體" w:hAnsi="Times New Roman" w:hint="eastAsia"/>
          <w:b/>
          <w:sz w:val="22"/>
          <w:szCs w:val="22"/>
        </w:rPr>
        <w:t>無為</w:t>
      </w:r>
      <w:r w:rsidRPr="00043A1E">
        <w:rPr>
          <w:rFonts w:ascii="Times New Roman" w:eastAsia="標楷體" w:hAnsi="Times New Roman" w:hint="eastAsia"/>
          <w:sz w:val="22"/>
          <w:szCs w:val="22"/>
        </w:rPr>
        <w:t>，</w:t>
      </w:r>
      <w:r w:rsidR="00812788">
        <w:rPr>
          <w:rFonts w:eastAsia="標楷體" w:hint="eastAsia"/>
          <w:color w:val="FF0000"/>
          <w:sz w:val="22"/>
          <w:szCs w:val="22"/>
          <w:highlight w:val="yellow"/>
        </w:rPr>
        <w:t>「</w:t>
      </w:r>
      <w:r w:rsidR="00812788" w:rsidRPr="00043A1E">
        <w:rPr>
          <w:rFonts w:ascii="Times New Roman" w:eastAsia="標楷體" w:hAnsi="Times New Roman" w:hint="eastAsia"/>
          <w:sz w:val="22"/>
          <w:szCs w:val="22"/>
        </w:rPr>
        <w:t>空界</w:t>
      </w:r>
      <w:r w:rsidR="00812788">
        <w:rPr>
          <w:rFonts w:eastAsia="標楷體" w:hint="eastAsia"/>
          <w:color w:val="FF0000"/>
          <w:sz w:val="22"/>
          <w:szCs w:val="22"/>
          <w:highlight w:val="yellow"/>
        </w:rPr>
        <w:t>」</w:t>
      </w:r>
      <w:r w:rsidRPr="00043A1E">
        <w:rPr>
          <w:rFonts w:ascii="Times New Roman" w:eastAsia="標楷體" w:hAnsi="Times New Roman" w:hint="eastAsia"/>
          <w:sz w:val="22"/>
          <w:szCs w:val="22"/>
        </w:rPr>
        <w:t>有為。</w:t>
      </w:r>
    </w:p>
  </w:footnote>
  <w:footnote w:id="596">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rFonts w:hint="eastAsia"/>
          <w:szCs w:val="22"/>
        </w:rPr>
        <w:t>《阿毘達磨大毘婆沙論》卷</w:t>
      </w:r>
      <w:r w:rsidRPr="00761EF3">
        <w:rPr>
          <w:szCs w:val="22"/>
        </w:rPr>
        <w:t>75</w:t>
      </w:r>
      <w:r w:rsidRPr="00043A1E">
        <w:rPr>
          <w:szCs w:val="22"/>
        </w:rPr>
        <w:t>（</w:t>
      </w:r>
      <w:r w:rsidRPr="00043A1E">
        <w:rPr>
          <w:rFonts w:hint="eastAsia"/>
          <w:szCs w:val="22"/>
        </w:rPr>
        <w:t>大正</w:t>
      </w:r>
      <w:r w:rsidRPr="00761EF3">
        <w:rPr>
          <w:szCs w:val="22"/>
        </w:rPr>
        <w:t>27</w:t>
      </w:r>
      <w:r w:rsidRPr="00043A1E">
        <w:rPr>
          <w:rFonts w:hint="eastAsia"/>
          <w:szCs w:val="22"/>
        </w:rPr>
        <w:t>，</w:t>
      </w:r>
      <w:r w:rsidRPr="00761EF3">
        <w:rPr>
          <w:szCs w:val="22"/>
        </w:rPr>
        <w:t>388b4</w:t>
      </w:r>
      <w:r w:rsidRPr="00043A1E">
        <w:rPr>
          <w:szCs w:val="22"/>
        </w:rPr>
        <w:t>-</w:t>
      </w:r>
      <w:r w:rsidRPr="00761EF3">
        <w:rPr>
          <w:szCs w:val="22"/>
        </w:rPr>
        <w:t>7</w:t>
      </w:r>
      <w:r w:rsidRPr="00043A1E">
        <w:rPr>
          <w:szCs w:val="22"/>
        </w:rPr>
        <w:t>）</w:t>
      </w:r>
      <w:r w:rsidRPr="00043A1E">
        <w:rPr>
          <w:rFonts w:hint="eastAsia"/>
          <w:szCs w:val="22"/>
        </w:rPr>
        <w:t>：</w:t>
      </w:r>
    </w:p>
    <w:p w:rsidR="00157EF6" w:rsidRPr="00043A1E" w:rsidRDefault="00157EF6" w:rsidP="00AA120F">
      <w:pPr>
        <w:snapToGrid w:val="0"/>
        <w:ind w:leftChars="75" w:left="180"/>
        <w:jc w:val="both"/>
        <w:rPr>
          <w:rFonts w:ascii="Times New Roman" w:hAnsi="Times New Roman"/>
          <w:sz w:val="22"/>
          <w:szCs w:val="22"/>
        </w:rPr>
      </w:pPr>
      <w:r w:rsidRPr="00043A1E">
        <w:rPr>
          <w:rFonts w:ascii="標楷體" w:eastAsia="標楷體" w:hAnsi="標楷體" w:hint="eastAsia"/>
          <w:sz w:val="22"/>
          <w:szCs w:val="22"/>
        </w:rPr>
        <w:t>云</w:t>
      </w:r>
      <w:r w:rsidRPr="00043A1E">
        <w:rPr>
          <w:rFonts w:ascii="Times New Roman" w:eastAsia="標楷體" w:hAnsi="Times New Roman" w:hint="eastAsia"/>
          <w:sz w:val="22"/>
          <w:szCs w:val="22"/>
        </w:rPr>
        <w:t>何</w:t>
      </w:r>
      <w:r w:rsidR="00812788">
        <w:rPr>
          <w:rFonts w:eastAsia="標楷體" w:hint="eastAsia"/>
          <w:color w:val="FF0000"/>
          <w:sz w:val="22"/>
          <w:szCs w:val="22"/>
          <w:highlight w:val="yellow"/>
        </w:rPr>
        <w:t>「</w:t>
      </w:r>
      <w:r w:rsidR="00812788">
        <w:rPr>
          <w:rFonts w:ascii="Times New Roman" w:eastAsia="標楷體" w:hAnsi="Times New Roman" w:hint="eastAsia"/>
          <w:sz w:val="22"/>
          <w:szCs w:val="22"/>
        </w:rPr>
        <w:t>空界</w:t>
      </w:r>
      <w:r w:rsidR="00812788">
        <w:rPr>
          <w:rFonts w:eastAsia="標楷體" w:hint="eastAsia"/>
          <w:color w:val="FF0000"/>
          <w:sz w:val="22"/>
          <w:szCs w:val="22"/>
          <w:highlight w:val="yellow"/>
        </w:rPr>
        <w:t>」</w:t>
      </w:r>
      <w:r w:rsidRPr="00043A1E">
        <w:rPr>
          <w:rFonts w:ascii="Times New Roman" w:eastAsia="標楷體" w:hAnsi="Times New Roman" w:hint="eastAsia"/>
          <w:sz w:val="22"/>
          <w:szCs w:val="22"/>
        </w:rPr>
        <w:t>？謂</w:t>
      </w:r>
      <w:r w:rsidR="00812788">
        <w:rPr>
          <w:rFonts w:eastAsia="標楷體" w:hint="eastAsia"/>
          <w:color w:val="FF0000"/>
          <w:sz w:val="22"/>
          <w:szCs w:val="22"/>
          <w:highlight w:val="yellow"/>
        </w:rPr>
        <w:t>「</w:t>
      </w:r>
      <w:r w:rsidRPr="00043A1E">
        <w:rPr>
          <w:rFonts w:ascii="Times New Roman" w:eastAsia="標楷體" w:hAnsi="Times New Roman" w:hint="eastAsia"/>
          <w:sz w:val="22"/>
          <w:szCs w:val="22"/>
        </w:rPr>
        <w:t>鄰礙色</w:t>
      </w:r>
      <w:r w:rsidR="00812788">
        <w:rPr>
          <w:rFonts w:eastAsia="標楷體" w:hint="eastAsia"/>
          <w:color w:val="FF0000"/>
          <w:sz w:val="22"/>
          <w:szCs w:val="22"/>
          <w:highlight w:val="yellow"/>
        </w:rPr>
        <w:t>」</w:t>
      </w:r>
      <w:r w:rsidRPr="00043A1E">
        <w:rPr>
          <w:rFonts w:ascii="Times New Roman" w:eastAsia="標楷體" w:hAnsi="Times New Roman" w:hint="eastAsia"/>
          <w:sz w:val="22"/>
          <w:szCs w:val="22"/>
        </w:rPr>
        <w:t>。</w:t>
      </w:r>
      <w:r w:rsidR="00812788">
        <w:rPr>
          <w:rFonts w:eastAsia="標楷體" w:hint="eastAsia"/>
          <w:color w:val="FF0000"/>
          <w:sz w:val="22"/>
          <w:szCs w:val="22"/>
          <w:highlight w:val="yellow"/>
        </w:rPr>
        <w:t>「</w:t>
      </w:r>
      <w:r w:rsidRPr="00043A1E">
        <w:rPr>
          <w:rFonts w:ascii="Times New Roman" w:eastAsia="標楷體" w:hAnsi="Times New Roman" w:hint="eastAsia"/>
          <w:sz w:val="22"/>
          <w:szCs w:val="22"/>
        </w:rPr>
        <w:t>礙</w:t>
      </w:r>
      <w:r w:rsidR="00812788">
        <w:rPr>
          <w:rFonts w:eastAsia="標楷體" w:hint="eastAsia"/>
          <w:color w:val="FF0000"/>
          <w:sz w:val="22"/>
          <w:szCs w:val="22"/>
          <w:highlight w:val="yellow"/>
        </w:rPr>
        <w:t>」</w:t>
      </w:r>
      <w:r w:rsidRPr="00043A1E">
        <w:rPr>
          <w:rFonts w:ascii="Times New Roman" w:eastAsia="標楷體" w:hAnsi="Times New Roman" w:hint="eastAsia"/>
          <w:sz w:val="22"/>
          <w:szCs w:val="22"/>
        </w:rPr>
        <w:t>謂</w:t>
      </w:r>
      <w:r w:rsidR="00812788">
        <w:rPr>
          <w:rFonts w:eastAsia="標楷體" w:hint="eastAsia"/>
          <w:color w:val="FF0000"/>
          <w:sz w:val="22"/>
          <w:szCs w:val="22"/>
          <w:highlight w:val="yellow"/>
        </w:rPr>
        <w:t>「</w:t>
      </w:r>
      <w:r w:rsidRPr="00043A1E">
        <w:rPr>
          <w:rFonts w:ascii="Times New Roman" w:eastAsia="標楷體" w:hAnsi="Times New Roman" w:hint="eastAsia"/>
          <w:sz w:val="22"/>
          <w:szCs w:val="22"/>
        </w:rPr>
        <w:t>積聚</w:t>
      </w:r>
      <w:r w:rsidR="00812788">
        <w:rPr>
          <w:rFonts w:eastAsia="標楷體" w:hint="eastAsia"/>
          <w:color w:val="FF0000"/>
          <w:sz w:val="22"/>
          <w:szCs w:val="22"/>
          <w:highlight w:val="yellow"/>
        </w:rPr>
        <w:t>」</w:t>
      </w:r>
      <w:r w:rsidR="00812788">
        <w:rPr>
          <w:rFonts w:ascii="Times New Roman" w:eastAsia="標楷體" w:hAnsi="Times New Roman" w:hint="eastAsia"/>
          <w:sz w:val="22"/>
          <w:szCs w:val="22"/>
        </w:rPr>
        <w:t>，即牆壁等</w:t>
      </w:r>
      <w:r w:rsidR="00812788" w:rsidRPr="00812788">
        <w:rPr>
          <w:rFonts w:ascii="Times New Roman" w:eastAsia="標楷體" w:hAnsi="Times New Roman" w:hint="eastAsia"/>
          <w:color w:val="FF0000"/>
          <w:sz w:val="22"/>
          <w:szCs w:val="22"/>
          <w:highlight w:val="yellow"/>
        </w:rPr>
        <w:t>；</w:t>
      </w:r>
      <w:r w:rsidRPr="00043A1E">
        <w:rPr>
          <w:rFonts w:ascii="Times New Roman" w:eastAsia="標楷體" w:hAnsi="Times New Roman" w:hint="eastAsia"/>
          <w:sz w:val="22"/>
          <w:szCs w:val="22"/>
        </w:rPr>
        <w:t>有色近此，名</w:t>
      </w:r>
      <w:r w:rsidR="00812788">
        <w:rPr>
          <w:rFonts w:eastAsia="標楷體" w:hint="eastAsia"/>
          <w:color w:val="FF0000"/>
          <w:sz w:val="22"/>
          <w:szCs w:val="22"/>
          <w:highlight w:val="yellow"/>
        </w:rPr>
        <w:t>「</w:t>
      </w:r>
      <w:r w:rsidRPr="00043A1E">
        <w:rPr>
          <w:rFonts w:ascii="Times New Roman" w:eastAsia="標楷體" w:hAnsi="Times New Roman" w:hint="eastAsia"/>
          <w:sz w:val="22"/>
          <w:szCs w:val="22"/>
        </w:rPr>
        <w:t>鄰礙色</w:t>
      </w:r>
      <w:r w:rsidR="00812788">
        <w:rPr>
          <w:rFonts w:eastAsia="標楷體" w:hint="eastAsia"/>
          <w:color w:val="FF0000"/>
          <w:sz w:val="22"/>
          <w:szCs w:val="22"/>
          <w:highlight w:val="yellow"/>
        </w:rPr>
        <w:t>」</w:t>
      </w:r>
      <w:r w:rsidRPr="00043A1E">
        <w:rPr>
          <w:rFonts w:ascii="Times New Roman" w:eastAsia="標楷體" w:hAnsi="Times New Roman" w:hint="eastAsia"/>
          <w:sz w:val="22"/>
          <w:szCs w:val="22"/>
        </w:rPr>
        <w:t>。如牆壁間空、叢林間空、樹葉間空、窗牖間空、往來處空、指間等空</w:t>
      </w:r>
      <w:r w:rsidR="00812788">
        <w:rPr>
          <w:rFonts w:ascii="Times New Roman" w:eastAsia="標楷體" w:hAnsi="Times New Roman" w:hint="eastAsia"/>
          <w:color w:val="FF0000"/>
          <w:sz w:val="22"/>
          <w:szCs w:val="22"/>
          <w:highlight w:val="yellow"/>
        </w:rPr>
        <w:t>。</w:t>
      </w:r>
      <w:r w:rsidRPr="00043A1E">
        <w:rPr>
          <w:rFonts w:ascii="Times New Roman" w:eastAsia="標楷體" w:hAnsi="Times New Roman" w:hint="eastAsia"/>
          <w:sz w:val="22"/>
          <w:szCs w:val="22"/>
        </w:rPr>
        <w:t>是名</w:t>
      </w:r>
      <w:r w:rsidR="00812788">
        <w:rPr>
          <w:rFonts w:eastAsia="標楷體" w:hint="eastAsia"/>
          <w:color w:val="FF0000"/>
          <w:sz w:val="22"/>
          <w:szCs w:val="22"/>
          <w:highlight w:val="yellow"/>
        </w:rPr>
        <w:t>「</w:t>
      </w:r>
      <w:r w:rsidRPr="00043A1E">
        <w:rPr>
          <w:rFonts w:ascii="Times New Roman" w:eastAsia="標楷體" w:hAnsi="Times New Roman" w:hint="eastAsia"/>
          <w:sz w:val="22"/>
          <w:szCs w:val="22"/>
        </w:rPr>
        <w:t>空界</w:t>
      </w:r>
      <w:r w:rsidR="00812788">
        <w:rPr>
          <w:rFonts w:eastAsia="標楷體" w:hint="eastAsia"/>
          <w:color w:val="FF0000"/>
          <w:sz w:val="22"/>
          <w:szCs w:val="22"/>
          <w:highlight w:val="yellow"/>
        </w:rPr>
        <w:t>」</w:t>
      </w:r>
      <w:r w:rsidRPr="00043A1E">
        <w:rPr>
          <w:rFonts w:ascii="Times New Roman" w:eastAsia="標楷體" w:hAnsi="Times New Roman" w:hint="eastAsia"/>
          <w:sz w:val="22"/>
          <w:szCs w:val="22"/>
        </w:rPr>
        <w:t>。</w:t>
      </w:r>
    </w:p>
  </w:footnote>
  <w:footnote w:id="597">
    <w:p w:rsidR="00157EF6" w:rsidRPr="00043A1E" w:rsidRDefault="00157EF6" w:rsidP="00AA120F">
      <w:pPr>
        <w:pStyle w:val="a5"/>
        <w:ind w:left="187" w:hangingChars="85" w:hanging="187"/>
        <w:jc w:val="both"/>
        <w:rPr>
          <w:rFonts w:eastAsia="標楷體"/>
          <w:szCs w:val="22"/>
        </w:rPr>
      </w:pPr>
      <w:r w:rsidRPr="00043A1E">
        <w:rPr>
          <w:rStyle w:val="a6"/>
          <w:szCs w:val="22"/>
        </w:rPr>
        <w:footnoteRef/>
      </w:r>
      <w:r w:rsidRPr="00043A1E">
        <w:rPr>
          <w:rFonts w:hint="eastAsia"/>
          <w:szCs w:val="22"/>
        </w:rPr>
        <w:t xml:space="preserve"> </w:t>
      </w:r>
      <w:r w:rsidRPr="00043A1E">
        <w:rPr>
          <w:rFonts w:hint="eastAsia"/>
          <w:szCs w:val="22"/>
        </w:rPr>
        <w:t>《阿毘達磨俱舍論》卷</w:t>
      </w:r>
      <w:r w:rsidRPr="00761EF3">
        <w:rPr>
          <w:szCs w:val="22"/>
        </w:rPr>
        <w:t>1</w:t>
      </w:r>
      <w:r w:rsidRPr="00043A1E">
        <w:rPr>
          <w:rFonts w:hint="eastAsia"/>
          <w:szCs w:val="22"/>
        </w:rPr>
        <w:t>〈</w:t>
      </w:r>
      <w:r w:rsidRPr="00761EF3">
        <w:rPr>
          <w:rFonts w:hint="eastAsia"/>
          <w:szCs w:val="22"/>
        </w:rPr>
        <w:t>1</w:t>
      </w:r>
      <w:r w:rsidRPr="00043A1E">
        <w:rPr>
          <w:rFonts w:hint="eastAsia"/>
          <w:szCs w:val="22"/>
        </w:rPr>
        <w:t xml:space="preserve"> </w:t>
      </w:r>
      <w:r w:rsidRPr="00043A1E">
        <w:rPr>
          <w:rFonts w:hint="eastAsia"/>
          <w:szCs w:val="22"/>
        </w:rPr>
        <w:t>分別界品〉</w:t>
      </w:r>
      <w:r w:rsidRPr="00043A1E">
        <w:rPr>
          <w:szCs w:val="22"/>
        </w:rPr>
        <w:t>（</w:t>
      </w:r>
      <w:r w:rsidRPr="00043A1E">
        <w:rPr>
          <w:rFonts w:hint="eastAsia"/>
          <w:szCs w:val="22"/>
        </w:rPr>
        <w:t>大正</w:t>
      </w:r>
      <w:r w:rsidRPr="00761EF3">
        <w:rPr>
          <w:szCs w:val="22"/>
        </w:rPr>
        <w:t>29</w:t>
      </w:r>
      <w:r w:rsidRPr="00043A1E">
        <w:rPr>
          <w:rFonts w:hint="eastAsia"/>
          <w:szCs w:val="22"/>
        </w:rPr>
        <w:t>，</w:t>
      </w:r>
      <w:r w:rsidRPr="00761EF3">
        <w:rPr>
          <w:szCs w:val="22"/>
        </w:rPr>
        <w:t>1c10</w:t>
      </w:r>
      <w:r w:rsidRPr="00043A1E">
        <w:rPr>
          <w:szCs w:val="22"/>
        </w:rPr>
        <w:t>-</w:t>
      </w:r>
      <w:r w:rsidRPr="00761EF3">
        <w:rPr>
          <w:szCs w:val="22"/>
        </w:rPr>
        <w:t>15</w:t>
      </w:r>
      <w:r w:rsidRPr="00043A1E">
        <w:rPr>
          <w:szCs w:val="22"/>
        </w:rPr>
        <w:t>）</w:t>
      </w:r>
      <w:r w:rsidRPr="00043A1E">
        <w:rPr>
          <w:rFonts w:hint="eastAsia"/>
          <w:szCs w:val="22"/>
        </w:rPr>
        <w:t>：</w:t>
      </w:r>
    </w:p>
    <w:p w:rsidR="00812788" w:rsidRDefault="00812788" w:rsidP="00AA120F">
      <w:pPr>
        <w:pStyle w:val="a5"/>
        <w:ind w:leftChars="75" w:left="180"/>
        <w:jc w:val="both"/>
        <w:rPr>
          <w:rFonts w:eastAsia="標楷體"/>
          <w:szCs w:val="22"/>
        </w:rPr>
      </w:pPr>
      <w:r>
        <w:rPr>
          <w:rFonts w:eastAsia="標楷體" w:hint="eastAsia"/>
          <w:color w:val="FF0000"/>
          <w:szCs w:val="22"/>
          <w:highlight w:val="yellow"/>
        </w:rPr>
        <w:t>「</w:t>
      </w:r>
      <w:r w:rsidR="00157EF6" w:rsidRPr="00043A1E">
        <w:rPr>
          <w:rFonts w:eastAsia="標楷體" w:hint="eastAsia"/>
          <w:szCs w:val="22"/>
        </w:rPr>
        <w:t>無漏</w:t>
      </w:r>
      <w:r>
        <w:rPr>
          <w:rFonts w:eastAsia="標楷體" w:hint="eastAsia"/>
          <w:color w:val="FF0000"/>
          <w:szCs w:val="22"/>
          <w:highlight w:val="yellow"/>
        </w:rPr>
        <w:t>」，</w:t>
      </w:r>
      <w:r w:rsidR="00157EF6" w:rsidRPr="00043A1E">
        <w:rPr>
          <w:rFonts w:ascii="標楷體" w:eastAsia="標楷體" w:hAnsi="標楷體" w:hint="eastAsia"/>
          <w:szCs w:val="22"/>
        </w:rPr>
        <w:t>云</w:t>
      </w:r>
      <w:r w:rsidR="00157EF6" w:rsidRPr="00043A1E">
        <w:rPr>
          <w:rFonts w:eastAsia="標楷體" w:hint="eastAsia"/>
          <w:szCs w:val="22"/>
        </w:rPr>
        <w:t>何？謂道聖諦及三無為。何等為三？虛空、二滅。</w:t>
      </w:r>
      <w:r>
        <w:rPr>
          <w:rFonts w:eastAsia="標楷體" w:hint="eastAsia"/>
          <w:color w:val="FF0000"/>
          <w:szCs w:val="22"/>
          <w:highlight w:val="yellow"/>
        </w:rPr>
        <w:t>「</w:t>
      </w:r>
      <w:r w:rsidR="00157EF6" w:rsidRPr="00043A1E">
        <w:rPr>
          <w:rFonts w:eastAsia="標楷體" w:hint="eastAsia"/>
          <w:szCs w:val="22"/>
        </w:rPr>
        <w:t>二滅</w:t>
      </w:r>
      <w:r>
        <w:rPr>
          <w:rFonts w:eastAsia="標楷體" w:hint="eastAsia"/>
          <w:color w:val="FF0000"/>
          <w:szCs w:val="22"/>
          <w:highlight w:val="yellow"/>
        </w:rPr>
        <w:t>」</w:t>
      </w:r>
      <w:r w:rsidR="00157EF6" w:rsidRPr="00043A1E">
        <w:rPr>
          <w:rFonts w:eastAsia="標楷體" w:hint="eastAsia"/>
          <w:szCs w:val="22"/>
        </w:rPr>
        <w:t>者</w:t>
      </w:r>
      <w:r>
        <w:rPr>
          <w:rFonts w:eastAsia="標楷體" w:hint="eastAsia"/>
          <w:szCs w:val="22"/>
        </w:rPr>
        <w:t>，</w:t>
      </w:r>
      <w:r w:rsidR="00157EF6" w:rsidRPr="00043A1E">
        <w:rPr>
          <w:rFonts w:eastAsia="標楷體" w:hint="eastAsia"/>
          <w:szCs w:val="22"/>
        </w:rPr>
        <w:t>何？</w:t>
      </w:r>
      <w:r>
        <w:rPr>
          <w:rFonts w:eastAsia="標楷體" w:hint="eastAsia"/>
          <w:color w:val="FF0000"/>
          <w:szCs w:val="22"/>
          <w:highlight w:val="yellow"/>
        </w:rPr>
        <w:t>「</w:t>
      </w:r>
      <w:r w:rsidRPr="00812788">
        <w:rPr>
          <w:rFonts w:eastAsia="標楷體" w:hint="eastAsia"/>
          <w:color w:val="FF0000"/>
          <w:szCs w:val="22"/>
          <w:highlight w:val="yellow"/>
        </w:rPr>
        <w:t>『</w:t>
      </w:r>
      <w:r w:rsidR="00157EF6" w:rsidRPr="00043A1E">
        <w:rPr>
          <w:rFonts w:eastAsia="標楷體" w:hint="eastAsia"/>
          <w:szCs w:val="22"/>
        </w:rPr>
        <w:t>擇、非擇</w:t>
      </w:r>
      <w:r w:rsidRPr="00812788">
        <w:rPr>
          <w:rFonts w:eastAsia="標楷體" w:hint="eastAsia"/>
          <w:color w:val="FF0000"/>
          <w:szCs w:val="22"/>
          <w:highlight w:val="yellow"/>
        </w:rPr>
        <w:t>』</w:t>
      </w:r>
      <w:r w:rsidR="00157EF6" w:rsidRPr="00043A1E">
        <w:rPr>
          <w:rFonts w:eastAsia="標楷體" w:hint="eastAsia"/>
          <w:szCs w:val="22"/>
        </w:rPr>
        <w:t>滅</w:t>
      </w:r>
      <w:r>
        <w:rPr>
          <w:rFonts w:eastAsia="標楷體" w:hint="eastAsia"/>
          <w:color w:val="FF0000"/>
          <w:szCs w:val="22"/>
          <w:highlight w:val="yellow"/>
        </w:rPr>
        <w:t>」</w:t>
      </w:r>
      <w:r w:rsidR="00157EF6" w:rsidRPr="00043A1E">
        <w:rPr>
          <w:rFonts w:eastAsia="標楷體" w:hint="eastAsia"/>
          <w:szCs w:val="22"/>
        </w:rPr>
        <w:t>。此</w:t>
      </w:r>
      <w:r w:rsidR="002D47F7">
        <w:rPr>
          <w:rFonts w:ascii="標楷體" w:eastAsia="標楷體" w:hAnsi="標楷體" w:hint="eastAsia"/>
          <w:bCs/>
          <w:color w:val="FF0000"/>
          <w:kern w:val="0"/>
          <w:highlight w:val="yellow"/>
        </w:rPr>
        <w:t>「</w:t>
      </w:r>
      <w:r w:rsidR="00157EF6" w:rsidRPr="00043A1E">
        <w:rPr>
          <w:rFonts w:eastAsia="標楷體" w:hint="eastAsia"/>
          <w:szCs w:val="22"/>
        </w:rPr>
        <w:t>虛空</w:t>
      </w:r>
      <w:r w:rsidR="002D47F7">
        <w:rPr>
          <w:rFonts w:ascii="標楷體" w:eastAsia="標楷體" w:hAnsi="標楷體" w:hint="eastAsia"/>
          <w:bCs/>
          <w:color w:val="FF0000"/>
          <w:kern w:val="0"/>
          <w:highlight w:val="yellow"/>
        </w:rPr>
        <w:t>」</w:t>
      </w:r>
      <w:r w:rsidR="00157EF6" w:rsidRPr="00043A1E">
        <w:rPr>
          <w:rFonts w:eastAsia="標楷體" w:hint="eastAsia"/>
          <w:szCs w:val="22"/>
        </w:rPr>
        <w:t>等三種無為及道聖</w:t>
      </w:r>
      <w:r w:rsidR="00157EF6" w:rsidRPr="00812788">
        <w:rPr>
          <w:rFonts w:eastAsia="標楷體" w:hint="eastAsia"/>
          <w:szCs w:val="22"/>
          <w:highlight w:val="yellow"/>
        </w:rPr>
        <w:t>諦名</w:t>
      </w:r>
      <w:r>
        <w:rPr>
          <w:rFonts w:eastAsia="標楷體" w:hint="eastAsia"/>
          <w:color w:val="FF0000"/>
          <w:szCs w:val="22"/>
          <w:highlight w:val="yellow"/>
        </w:rPr>
        <w:t>「</w:t>
      </w:r>
      <w:r w:rsidR="00157EF6" w:rsidRPr="00043A1E">
        <w:rPr>
          <w:rFonts w:eastAsia="標楷體" w:hint="eastAsia"/>
          <w:szCs w:val="22"/>
        </w:rPr>
        <w:t>無漏法</w:t>
      </w:r>
      <w:r>
        <w:rPr>
          <w:rFonts w:eastAsia="標楷體" w:hint="eastAsia"/>
          <w:color w:val="FF0000"/>
          <w:szCs w:val="22"/>
          <w:highlight w:val="yellow"/>
        </w:rPr>
        <w:t>」</w:t>
      </w:r>
      <w:r w:rsidR="00157EF6" w:rsidRPr="00043A1E">
        <w:rPr>
          <w:rFonts w:eastAsia="標楷體" w:hint="eastAsia"/>
          <w:szCs w:val="22"/>
        </w:rPr>
        <w:t>。所以者何？諸漏於中不隨增故</w:t>
      </w:r>
      <w:r w:rsidR="00983B2B">
        <w:rPr>
          <w:rFonts w:eastAsia="標楷體" w:hint="eastAsia"/>
          <w:szCs w:val="22"/>
        </w:rPr>
        <w:t>。</w:t>
      </w:r>
    </w:p>
    <w:p w:rsidR="00157EF6" w:rsidRPr="00043A1E" w:rsidRDefault="00157EF6" w:rsidP="00AA120F">
      <w:pPr>
        <w:pStyle w:val="a5"/>
        <w:ind w:leftChars="75" w:left="180"/>
        <w:jc w:val="both"/>
        <w:rPr>
          <w:szCs w:val="22"/>
        </w:rPr>
      </w:pPr>
      <w:r w:rsidRPr="00812788">
        <w:rPr>
          <w:rFonts w:eastAsia="標楷體" w:hint="eastAsia"/>
          <w:szCs w:val="22"/>
          <w:highlight w:val="yellow"/>
        </w:rPr>
        <w:t>於</w:t>
      </w:r>
      <w:r w:rsidRPr="00043A1E">
        <w:rPr>
          <w:rFonts w:eastAsia="標楷體" w:hint="eastAsia"/>
          <w:szCs w:val="22"/>
        </w:rPr>
        <w:t>略所說</w:t>
      </w:r>
      <w:r w:rsidR="00812788">
        <w:rPr>
          <w:rFonts w:eastAsia="標楷體" w:hint="eastAsia"/>
          <w:color w:val="FF0000"/>
          <w:szCs w:val="22"/>
          <w:highlight w:val="yellow"/>
        </w:rPr>
        <w:t>「</w:t>
      </w:r>
      <w:r w:rsidRPr="00043A1E">
        <w:rPr>
          <w:rFonts w:eastAsia="標楷體" w:hint="eastAsia"/>
          <w:szCs w:val="22"/>
        </w:rPr>
        <w:t>三無為</w:t>
      </w:r>
      <w:r w:rsidR="00812788">
        <w:rPr>
          <w:rFonts w:eastAsia="標楷體" w:hint="eastAsia"/>
          <w:color w:val="FF0000"/>
          <w:szCs w:val="22"/>
          <w:highlight w:val="yellow"/>
        </w:rPr>
        <w:t>」</w:t>
      </w:r>
      <w:r w:rsidRPr="00043A1E">
        <w:rPr>
          <w:rFonts w:eastAsia="標楷體" w:hint="eastAsia"/>
          <w:szCs w:val="22"/>
        </w:rPr>
        <w:t>中</w:t>
      </w:r>
      <w:r w:rsidR="00983B2B" w:rsidRPr="00016D77">
        <w:rPr>
          <w:rFonts w:eastAsia="標楷體" w:hint="eastAsia"/>
          <w:color w:val="FF0000"/>
          <w:szCs w:val="22"/>
          <w:highlight w:val="yellow"/>
        </w:rPr>
        <w:t>，</w:t>
      </w:r>
      <w:r w:rsidR="00812788">
        <w:rPr>
          <w:rFonts w:eastAsia="標楷體" w:hint="eastAsia"/>
          <w:color w:val="FF0000"/>
          <w:szCs w:val="22"/>
          <w:highlight w:val="yellow"/>
        </w:rPr>
        <w:t>「</w:t>
      </w:r>
      <w:r w:rsidRPr="00043A1E">
        <w:rPr>
          <w:rFonts w:eastAsia="標楷體" w:hint="eastAsia"/>
          <w:b/>
          <w:szCs w:val="22"/>
        </w:rPr>
        <w:t>虛空</w:t>
      </w:r>
      <w:r w:rsidR="00812788">
        <w:rPr>
          <w:rFonts w:eastAsia="標楷體" w:hint="eastAsia"/>
          <w:color w:val="FF0000"/>
          <w:szCs w:val="22"/>
          <w:highlight w:val="yellow"/>
        </w:rPr>
        <w:t>」</w:t>
      </w:r>
      <w:r w:rsidRPr="00043A1E">
        <w:rPr>
          <w:rFonts w:eastAsia="標楷體" w:hint="eastAsia"/>
          <w:b/>
          <w:szCs w:val="22"/>
        </w:rPr>
        <w:t>但以</w:t>
      </w:r>
      <w:r w:rsidR="00812788">
        <w:rPr>
          <w:rFonts w:eastAsia="標楷體" w:hint="eastAsia"/>
          <w:color w:val="FF0000"/>
          <w:szCs w:val="22"/>
          <w:highlight w:val="yellow"/>
        </w:rPr>
        <w:t>「</w:t>
      </w:r>
      <w:r w:rsidRPr="00043A1E">
        <w:rPr>
          <w:rFonts w:eastAsia="標楷體" w:hint="eastAsia"/>
          <w:b/>
          <w:szCs w:val="22"/>
        </w:rPr>
        <w:t>無礙</w:t>
      </w:r>
      <w:r w:rsidR="00812788">
        <w:rPr>
          <w:rFonts w:eastAsia="標楷體" w:hint="eastAsia"/>
          <w:color w:val="FF0000"/>
          <w:szCs w:val="22"/>
          <w:highlight w:val="yellow"/>
        </w:rPr>
        <w:t>」</w:t>
      </w:r>
      <w:r w:rsidRPr="00043A1E">
        <w:rPr>
          <w:rFonts w:eastAsia="標楷體" w:hint="eastAsia"/>
          <w:b/>
          <w:szCs w:val="22"/>
        </w:rPr>
        <w:t>為性，由無障故，色於中行</w:t>
      </w:r>
      <w:r w:rsidRPr="00043A1E">
        <w:rPr>
          <w:rFonts w:eastAsia="標楷體" w:hint="eastAsia"/>
          <w:szCs w:val="22"/>
        </w:rPr>
        <w:t>。</w:t>
      </w:r>
    </w:p>
  </w:footnote>
  <w:footnote w:id="598">
    <w:p w:rsidR="00157EF6" w:rsidRPr="00043A1E" w:rsidRDefault="00157EF6" w:rsidP="00AA120F">
      <w:pPr>
        <w:pStyle w:val="a5"/>
        <w:ind w:left="187" w:hangingChars="85" w:hanging="187"/>
        <w:jc w:val="both"/>
        <w:rPr>
          <w:rFonts w:eastAsia="SimSun"/>
          <w:szCs w:val="22"/>
        </w:rPr>
      </w:pPr>
      <w:r w:rsidRPr="00043A1E">
        <w:rPr>
          <w:rStyle w:val="a6"/>
          <w:szCs w:val="22"/>
        </w:rPr>
        <w:footnoteRef/>
      </w:r>
      <w:r w:rsidRPr="00043A1E">
        <w:rPr>
          <w:rFonts w:eastAsia="SimSun" w:hint="eastAsia"/>
          <w:szCs w:val="22"/>
        </w:rPr>
        <w:t xml:space="preserve"> </w:t>
      </w:r>
      <w:r w:rsidRPr="00043A1E">
        <w:rPr>
          <w:szCs w:val="22"/>
        </w:rPr>
        <w:t>息息：</w:t>
      </w:r>
      <w:r w:rsidRPr="00761EF3">
        <w:rPr>
          <w:szCs w:val="22"/>
        </w:rPr>
        <w:t>2</w:t>
      </w:r>
      <w:r w:rsidRPr="00043A1E">
        <w:rPr>
          <w:szCs w:val="22"/>
        </w:rPr>
        <w:t>.</w:t>
      </w:r>
      <w:r w:rsidRPr="00043A1E">
        <w:rPr>
          <w:szCs w:val="22"/>
        </w:rPr>
        <w:t>猶言時時刻刻。（《漢語大詞典》（七），</w:t>
      </w:r>
      <w:r w:rsidRPr="00761EF3">
        <w:rPr>
          <w:szCs w:val="22"/>
        </w:rPr>
        <w:t>p</w:t>
      </w:r>
      <w:r w:rsidRPr="00043A1E">
        <w:rPr>
          <w:szCs w:val="22"/>
        </w:rPr>
        <w:t>.</w:t>
      </w:r>
      <w:r w:rsidRPr="00761EF3">
        <w:rPr>
          <w:szCs w:val="22"/>
        </w:rPr>
        <w:t>50</w:t>
      </w:r>
      <w:r w:rsidRPr="00761EF3">
        <w:rPr>
          <w:rFonts w:hint="eastAsia"/>
          <w:szCs w:val="22"/>
        </w:rPr>
        <w:t>3</w:t>
      </w:r>
      <w:r w:rsidRPr="00043A1E">
        <w:rPr>
          <w:szCs w:val="22"/>
        </w:rPr>
        <w:t>）</w:t>
      </w:r>
    </w:p>
  </w:footnote>
  <w:footnote w:id="599">
    <w:p w:rsidR="00157EF6" w:rsidRPr="00043A1E" w:rsidRDefault="00157EF6" w:rsidP="00AA120F">
      <w:pPr>
        <w:pStyle w:val="a5"/>
        <w:ind w:left="187" w:hangingChars="85" w:hanging="187"/>
        <w:jc w:val="both"/>
        <w:rPr>
          <w:rFonts w:eastAsia="SimSun"/>
          <w:szCs w:val="22"/>
        </w:rPr>
      </w:pPr>
      <w:r w:rsidRPr="00043A1E">
        <w:rPr>
          <w:rStyle w:val="a6"/>
          <w:szCs w:val="22"/>
        </w:rPr>
        <w:footnoteRef/>
      </w:r>
      <w:r w:rsidRPr="00043A1E">
        <w:rPr>
          <w:rFonts w:eastAsia="SimSun" w:hint="eastAsia"/>
          <w:szCs w:val="22"/>
        </w:rPr>
        <w:t xml:space="preserve"> </w:t>
      </w:r>
      <w:r w:rsidRPr="00043A1E">
        <w:rPr>
          <w:szCs w:val="22"/>
        </w:rPr>
        <w:t>流變：變遷，變化。（《漢語大詞典》（五），</w:t>
      </w:r>
      <w:r w:rsidRPr="00761EF3">
        <w:rPr>
          <w:szCs w:val="22"/>
        </w:rPr>
        <w:t>p</w:t>
      </w:r>
      <w:r w:rsidRPr="00043A1E">
        <w:rPr>
          <w:szCs w:val="22"/>
        </w:rPr>
        <w:t>.</w:t>
      </w:r>
      <w:r w:rsidRPr="00761EF3">
        <w:rPr>
          <w:szCs w:val="22"/>
        </w:rPr>
        <w:t>12</w:t>
      </w:r>
      <w:r w:rsidRPr="00761EF3">
        <w:rPr>
          <w:rFonts w:hint="eastAsia"/>
          <w:szCs w:val="22"/>
        </w:rPr>
        <w:t>78</w:t>
      </w:r>
      <w:r w:rsidRPr="00043A1E">
        <w:rPr>
          <w:szCs w:val="22"/>
        </w:rPr>
        <w:t>）</w:t>
      </w:r>
    </w:p>
  </w:footnote>
  <w:footnote w:id="600">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rFonts w:hint="eastAsia"/>
          <w:szCs w:val="22"/>
        </w:rPr>
        <w:t>《中論》卷</w:t>
      </w:r>
      <w:r w:rsidRPr="00761EF3">
        <w:rPr>
          <w:szCs w:val="22"/>
        </w:rPr>
        <w:t>1</w:t>
      </w:r>
      <w:r w:rsidRPr="00043A1E">
        <w:rPr>
          <w:rFonts w:hint="eastAsia"/>
          <w:szCs w:val="22"/>
        </w:rPr>
        <w:t>〈</w:t>
      </w:r>
      <w:r w:rsidRPr="00761EF3">
        <w:rPr>
          <w:rFonts w:hint="eastAsia"/>
          <w:szCs w:val="22"/>
        </w:rPr>
        <w:t>5</w:t>
      </w:r>
      <w:r w:rsidRPr="00043A1E">
        <w:rPr>
          <w:rFonts w:hint="eastAsia"/>
          <w:szCs w:val="22"/>
        </w:rPr>
        <w:t xml:space="preserve"> </w:t>
      </w:r>
      <w:r w:rsidRPr="00043A1E">
        <w:rPr>
          <w:rFonts w:hint="eastAsia"/>
          <w:szCs w:val="22"/>
        </w:rPr>
        <w:t>觀六種品〉（青目釋）</w:t>
      </w:r>
      <w:r w:rsidRPr="00043A1E">
        <w:rPr>
          <w:szCs w:val="22"/>
        </w:rPr>
        <w:t>（</w:t>
      </w:r>
      <w:r w:rsidRPr="00043A1E">
        <w:rPr>
          <w:rFonts w:hint="eastAsia"/>
          <w:szCs w:val="22"/>
        </w:rPr>
        <w:t>大正</w:t>
      </w:r>
      <w:r w:rsidRPr="00761EF3">
        <w:rPr>
          <w:szCs w:val="22"/>
        </w:rPr>
        <w:t>30</w:t>
      </w:r>
      <w:r w:rsidRPr="00043A1E">
        <w:rPr>
          <w:rFonts w:hint="eastAsia"/>
          <w:szCs w:val="22"/>
        </w:rPr>
        <w:t>，</w:t>
      </w:r>
      <w:r w:rsidRPr="00761EF3">
        <w:rPr>
          <w:szCs w:val="22"/>
        </w:rPr>
        <w:t>7b10</w:t>
      </w:r>
      <w:r w:rsidRPr="00043A1E">
        <w:rPr>
          <w:szCs w:val="22"/>
        </w:rPr>
        <w:t>-</w:t>
      </w:r>
      <w:r w:rsidRPr="00761EF3">
        <w:rPr>
          <w:szCs w:val="22"/>
        </w:rPr>
        <w:t>13</w:t>
      </w:r>
      <w:r w:rsidRPr="00043A1E">
        <w:rPr>
          <w:szCs w:val="22"/>
        </w:rPr>
        <w:t>）</w:t>
      </w:r>
      <w:r w:rsidRPr="00043A1E">
        <w:rPr>
          <w:rFonts w:hint="eastAsia"/>
          <w:szCs w:val="22"/>
        </w:rPr>
        <w:t>：</w:t>
      </w:r>
    </w:p>
    <w:p w:rsidR="00157EF6" w:rsidRPr="00802F72" w:rsidRDefault="00157EF6" w:rsidP="00AA120F">
      <w:pPr>
        <w:snapToGrid w:val="0"/>
        <w:ind w:leftChars="75" w:left="180"/>
        <w:jc w:val="both"/>
        <w:rPr>
          <w:rFonts w:ascii="Times New Roman" w:hAnsi="Times New Roman"/>
          <w:sz w:val="22"/>
          <w:szCs w:val="22"/>
        </w:rPr>
      </w:pPr>
      <w:r w:rsidRPr="00802F72">
        <w:rPr>
          <w:rFonts w:ascii="標楷體" w:eastAsia="標楷體" w:hAnsi="標楷體" w:hint="eastAsia"/>
          <w:sz w:val="22"/>
          <w:szCs w:val="22"/>
        </w:rPr>
        <w:t>若</w:t>
      </w:r>
      <w:r w:rsidR="00802F72" w:rsidRPr="00802F72">
        <w:rPr>
          <w:rFonts w:ascii="標楷體" w:eastAsia="標楷體" w:hAnsi="標楷體" w:hint="eastAsia"/>
          <w:color w:val="FF0000"/>
          <w:sz w:val="22"/>
          <w:szCs w:val="22"/>
          <w:highlight w:val="yellow"/>
        </w:rPr>
        <w:t>「</w:t>
      </w:r>
      <w:r w:rsidRPr="00802F72">
        <w:rPr>
          <w:rFonts w:ascii="標楷體" w:eastAsia="標楷體" w:hAnsi="標楷體" w:hint="eastAsia"/>
          <w:sz w:val="22"/>
          <w:szCs w:val="22"/>
        </w:rPr>
        <w:t>未有虛空相，先有虛空法</w:t>
      </w:r>
      <w:r w:rsidR="00802F72" w:rsidRPr="00802F72">
        <w:rPr>
          <w:rFonts w:ascii="標楷體" w:eastAsia="標楷體" w:hAnsi="標楷體" w:hint="eastAsia"/>
          <w:bCs/>
          <w:color w:val="FF0000"/>
          <w:kern w:val="0"/>
          <w:sz w:val="22"/>
          <w:szCs w:val="22"/>
          <w:highlight w:val="yellow"/>
        </w:rPr>
        <w:t>」</w:t>
      </w:r>
      <w:r w:rsidRPr="00802F72">
        <w:rPr>
          <w:rFonts w:ascii="標楷體" w:eastAsia="標楷體" w:hAnsi="標楷體" w:hint="eastAsia"/>
          <w:sz w:val="22"/>
          <w:szCs w:val="22"/>
        </w:rPr>
        <w:t>者，</w:t>
      </w:r>
      <w:r w:rsidR="00802F72" w:rsidRPr="00802F72">
        <w:rPr>
          <w:rFonts w:ascii="標楷體" w:eastAsia="標楷體" w:hAnsi="標楷體" w:hint="eastAsia"/>
          <w:color w:val="FF0000"/>
          <w:sz w:val="22"/>
          <w:szCs w:val="22"/>
          <w:highlight w:val="yellow"/>
        </w:rPr>
        <w:t>「</w:t>
      </w:r>
      <w:r w:rsidRPr="00802F72">
        <w:rPr>
          <w:rFonts w:ascii="標楷體" w:eastAsia="標楷體" w:hAnsi="標楷體" w:hint="eastAsia"/>
          <w:sz w:val="22"/>
          <w:szCs w:val="22"/>
        </w:rPr>
        <w:t>虛空</w:t>
      </w:r>
      <w:r w:rsidR="00802F72" w:rsidRPr="00802F72">
        <w:rPr>
          <w:rFonts w:ascii="標楷體" w:eastAsia="標楷體" w:hAnsi="標楷體" w:hint="eastAsia"/>
          <w:bCs/>
          <w:color w:val="FF0000"/>
          <w:kern w:val="0"/>
          <w:sz w:val="22"/>
          <w:szCs w:val="22"/>
          <w:highlight w:val="yellow"/>
        </w:rPr>
        <w:t>」</w:t>
      </w:r>
      <w:r w:rsidRPr="00802F72">
        <w:rPr>
          <w:rFonts w:ascii="標楷體" w:eastAsia="標楷體" w:hAnsi="標楷體" w:hint="eastAsia"/>
          <w:sz w:val="22"/>
          <w:szCs w:val="22"/>
        </w:rPr>
        <w:t>則無</w:t>
      </w:r>
      <w:r w:rsidR="00802F72" w:rsidRPr="00802F72">
        <w:rPr>
          <w:rFonts w:ascii="標楷體" w:eastAsia="標楷體" w:hAnsi="標楷體" w:hint="eastAsia"/>
          <w:color w:val="FF0000"/>
          <w:sz w:val="22"/>
          <w:szCs w:val="22"/>
          <w:highlight w:val="yellow"/>
        </w:rPr>
        <w:t>「</w:t>
      </w:r>
      <w:r w:rsidRPr="00802F72">
        <w:rPr>
          <w:rFonts w:ascii="標楷體" w:eastAsia="標楷體" w:hAnsi="標楷體" w:hint="eastAsia"/>
          <w:sz w:val="22"/>
          <w:szCs w:val="22"/>
        </w:rPr>
        <w:t>相</w:t>
      </w:r>
      <w:r w:rsidR="00802F72" w:rsidRPr="00802F72">
        <w:rPr>
          <w:rFonts w:ascii="標楷體" w:eastAsia="標楷體" w:hAnsi="標楷體" w:hint="eastAsia"/>
          <w:bCs/>
          <w:color w:val="FF0000"/>
          <w:kern w:val="0"/>
          <w:sz w:val="22"/>
          <w:szCs w:val="22"/>
          <w:highlight w:val="yellow"/>
        </w:rPr>
        <w:t>」</w:t>
      </w:r>
      <w:r w:rsidRPr="00802F72">
        <w:rPr>
          <w:rFonts w:ascii="標楷體" w:eastAsia="標楷體" w:hAnsi="標楷體" w:hint="eastAsia"/>
          <w:sz w:val="22"/>
          <w:szCs w:val="22"/>
        </w:rPr>
        <w:t>。何以故？</w:t>
      </w:r>
      <w:r w:rsidR="00802F72">
        <w:rPr>
          <w:rFonts w:ascii="標楷體" w:eastAsia="標楷體" w:hAnsi="標楷體" w:hint="eastAsia"/>
          <w:color w:val="FF0000"/>
          <w:sz w:val="22"/>
          <w:szCs w:val="22"/>
          <w:highlight w:val="yellow"/>
        </w:rPr>
        <w:t>「</w:t>
      </w:r>
      <w:r w:rsidRPr="00802F72">
        <w:rPr>
          <w:rFonts w:ascii="標楷體" w:eastAsia="標楷體" w:hAnsi="標楷體" w:hint="eastAsia"/>
          <w:sz w:val="22"/>
          <w:szCs w:val="22"/>
        </w:rPr>
        <w:t>無色處</w:t>
      </w:r>
      <w:r w:rsidR="00802F72" w:rsidRPr="00802F72">
        <w:rPr>
          <w:rFonts w:ascii="標楷體" w:eastAsia="標楷體" w:hAnsi="標楷體" w:hint="eastAsia"/>
          <w:bCs/>
          <w:color w:val="FF0000"/>
          <w:kern w:val="0"/>
          <w:sz w:val="22"/>
          <w:szCs w:val="22"/>
          <w:highlight w:val="yellow"/>
        </w:rPr>
        <w:t>」</w:t>
      </w:r>
      <w:r w:rsidRPr="00802F72">
        <w:rPr>
          <w:rFonts w:ascii="標楷體" w:eastAsia="標楷體" w:hAnsi="標楷體" w:hint="eastAsia"/>
          <w:sz w:val="22"/>
          <w:szCs w:val="22"/>
        </w:rPr>
        <w:t>名</w:t>
      </w:r>
      <w:r w:rsidR="00802F72">
        <w:rPr>
          <w:rFonts w:ascii="標楷體" w:eastAsia="標楷體" w:hAnsi="標楷體" w:hint="eastAsia"/>
          <w:color w:val="FF0000"/>
          <w:sz w:val="22"/>
          <w:szCs w:val="22"/>
          <w:highlight w:val="yellow"/>
        </w:rPr>
        <w:t>「</w:t>
      </w:r>
      <w:r w:rsidRPr="00802F72">
        <w:rPr>
          <w:rFonts w:ascii="標楷體" w:eastAsia="標楷體" w:hAnsi="標楷體" w:hint="eastAsia"/>
          <w:sz w:val="22"/>
          <w:szCs w:val="22"/>
        </w:rPr>
        <w:t>虛空相</w:t>
      </w:r>
      <w:r w:rsidR="00802F72" w:rsidRPr="00802F72">
        <w:rPr>
          <w:rFonts w:ascii="標楷體" w:eastAsia="標楷體" w:hAnsi="標楷體" w:hint="eastAsia"/>
          <w:bCs/>
          <w:color w:val="FF0000"/>
          <w:kern w:val="0"/>
          <w:sz w:val="22"/>
          <w:szCs w:val="22"/>
          <w:highlight w:val="yellow"/>
        </w:rPr>
        <w:t>」</w:t>
      </w:r>
      <w:r w:rsidR="00802F72" w:rsidRPr="00802F72">
        <w:rPr>
          <w:rFonts w:ascii="標楷體" w:eastAsia="標楷體" w:hAnsi="標楷體" w:hint="eastAsia"/>
          <w:color w:val="FF0000"/>
          <w:sz w:val="22"/>
          <w:szCs w:val="22"/>
          <w:highlight w:val="yellow"/>
        </w:rPr>
        <w:t>；</w:t>
      </w:r>
      <w:r w:rsidR="00802F72">
        <w:rPr>
          <w:rFonts w:ascii="標楷體" w:eastAsia="標楷體" w:hAnsi="標楷體" w:hint="eastAsia"/>
          <w:color w:val="FF0000"/>
          <w:sz w:val="22"/>
          <w:szCs w:val="22"/>
          <w:highlight w:val="yellow"/>
        </w:rPr>
        <w:t>「</w:t>
      </w:r>
      <w:r w:rsidRPr="00802F72">
        <w:rPr>
          <w:rFonts w:ascii="標楷體" w:eastAsia="標楷體" w:hAnsi="標楷體" w:hint="eastAsia"/>
          <w:sz w:val="22"/>
          <w:szCs w:val="22"/>
        </w:rPr>
        <w:t>色</w:t>
      </w:r>
      <w:r w:rsidR="00802F72" w:rsidRPr="00802F72">
        <w:rPr>
          <w:rFonts w:ascii="標楷體" w:eastAsia="標楷體" w:hAnsi="標楷體" w:hint="eastAsia"/>
          <w:bCs/>
          <w:color w:val="FF0000"/>
          <w:kern w:val="0"/>
          <w:sz w:val="22"/>
          <w:szCs w:val="22"/>
          <w:highlight w:val="yellow"/>
        </w:rPr>
        <w:t>」</w:t>
      </w:r>
      <w:r w:rsidRPr="00802F72">
        <w:rPr>
          <w:rFonts w:ascii="標楷體" w:eastAsia="標楷體" w:hAnsi="標楷體" w:hint="eastAsia"/>
          <w:sz w:val="22"/>
          <w:szCs w:val="22"/>
        </w:rPr>
        <w:t>是作法、無常，若</w:t>
      </w:r>
      <w:r w:rsidR="00802F72">
        <w:rPr>
          <w:rFonts w:ascii="標楷體" w:eastAsia="標楷體" w:hAnsi="標楷體" w:hint="eastAsia"/>
          <w:color w:val="FF0000"/>
          <w:sz w:val="22"/>
          <w:szCs w:val="22"/>
          <w:highlight w:val="yellow"/>
        </w:rPr>
        <w:t>「</w:t>
      </w:r>
      <w:r w:rsidR="00802F72" w:rsidRPr="00802F72">
        <w:rPr>
          <w:rFonts w:ascii="標楷體" w:eastAsia="標楷體" w:hAnsi="標楷體" w:hint="eastAsia"/>
          <w:sz w:val="22"/>
          <w:szCs w:val="22"/>
        </w:rPr>
        <w:t>色</w:t>
      </w:r>
      <w:r w:rsidR="00802F72" w:rsidRPr="00802F72">
        <w:rPr>
          <w:rFonts w:ascii="標楷體" w:eastAsia="標楷體" w:hAnsi="標楷體" w:hint="eastAsia"/>
          <w:bCs/>
          <w:color w:val="FF0000"/>
          <w:kern w:val="0"/>
          <w:sz w:val="22"/>
          <w:szCs w:val="22"/>
          <w:highlight w:val="yellow"/>
        </w:rPr>
        <w:t>」</w:t>
      </w:r>
      <w:r w:rsidRPr="00802F72">
        <w:rPr>
          <w:rFonts w:ascii="標楷體" w:eastAsia="標楷體" w:hAnsi="標楷體" w:hint="eastAsia"/>
          <w:sz w:val="22"/>
          <w:szCs w:val="22"/>
        </w:rPr>
        <w:t>未生，未生則無滅，爾時無</w:t>
      </w:r>
      <w:r w:rsidR="00802F72">
        <w:rPr>
          <w:rFonts w:ascii="標楷體" w:eastAsia="標楷體" w:hAnsi="標楷體" w:hint="eastAsia"/>
          <w:color w:val="FF0000"/>
          <w:sz w:val="22"/>
          <w:szCs w:val="22"/>
          <w:highlight w:val="yellow"/>
        </w:rPr>
        <w:t>「</w:t>
      </w:r>
      <w:r w:rsidRPr="00802F72">
        <w:rPr>
          <w:rFonts w:ascii="標楷體" w:eastAsia="標楷體" w:hAnsi="標楷體" w:hint="eastAsia"/>
          <w:sz w:val="22"/>
          <w:szCs w:val="22"/>
        </w:rPr>
        <w:t>虛空相</w:t>
      </w:r>
      <w:r w:rsidR="00802F72" w:rsidRPr="00802F72">
        <w:rPr>
          <w:rFonts w:ascii="標楷體" w:eastAsia="標楷體" w:hAnsi="標楷體" w:hint="eastAsia"/>
          <w:bCs/>
          <w:color w:val="FF0000"/>
          <w:kern w:val="0"/>
          <w:sz w:val="22"/>
          <w:szCs w:val="22"/>
          <w:highlight w:val="yellow"/>
        </w:rPr>
        <w:t>」</w:t>
      </w:r>
      <w:r w:rsidR="00802F72">
        <w:rPr>
          <w:rFonts w:ascii="標楷體" w:eastAsia="標楷體" w:hAnsi="標楷體" w:hint="eastAsia"/>
          <w:bCs/>
          <w:color w:val="FF0000"/>
          <w:kern w:val="0"/>
          <w:sz w:val="22"/>
          <w:szCs w:val="22"/>
          <w:highlight w:val="yellow"/>
        </w:rPr>
        <w:t>；</w:t>
      </w:r>
      <w:r w:rsidRPr="00802F72">
        <w:rPr>
          <w:rFonts w:ascii="標楷體" w:eastAsia="標楷體" w:hAnsi="標楷體" w:hint="eastAsia"/>
          <w:b/>
          <w:sz w:val="22"/>
          <w:szCs w:val="22"/>
        </w:rPr>
        <w:t>因</w:t>
      </w:r>
      <w:r w:rsidR="00802F72">
        <w:rPr>
          <w:rFonts w:ascii="標楷體" w:eastAsia="標楷體" w:hAnsi="標楷體" w:hint="eastAsia"/>
          <w:color w:val="FF0000"/>
          <w:sz w:val="22"/>
          <w:szCs w:val="22"/>
          <w:highlight w:val="yellow"/>
        </w:rPr>
        <w:t>「</w:t>
      </w:r>
      <w:r w:rsidRPr="00802F72">
        <w:rPr>
          <w:rFonts w:ascii="標楷體" w:eastAsia="標楷體" w:hAnsi="標楷體" w:hint="eastAsia"/>
          <w:b/>
          <w:sz w:val="22"/>
          <w:szCs w:val="22"/>
        </w:rPr>
        <w:t>色</w:t>
      </w:r>
      <w:r w:rsidR="00802F72" w:rsidRPr="00802F72">
        <w:rPr>
          <w:rFonts w:ascii="標楷體" w:eastAsia="標楷體" w:hAnsi="標楷體" w:hint="eastAsia"/>
          <w:bCs/>
          <w:color w:val="FF0000"/>
          <w:kern w:val="0"/>
          <w:sz w:val="22"/>
          <w:szCs w:val="22"/>
          <w:highlight w:val="yellow"/>
        </w:rPr>
        <w:t>」</w:t>
      </w:r>
      <w:r w:rsidRPr="00802F72">
        <w:rPr>
          <w:rFonts w:ascii="標楷體" w:eastAsia="標楷體" w:hAnsi="標楷體" w:hint="eastAsia"/>
          <w:b/>
          <w:sz w:val="22"/>
          <w:szCs w:val="22"/>
        </w:rPr>
        <w:t>故有</w:t>
      </w:r>
      <w:r w:rsidR="00802F72">
        <w:rPr>
          <w:rFonts w:ascii="標楷體" w:eastAsia="標楷體" w:hAnsi="標楷體" w:hint="eastAsia"/>
          <w:color w:val="FF0000"/>
          <w:sz w:val="22"/>
          <w:szCs w:val="22"/>
          <w:highlight w:val="yellow"/>
        </w:rPr>
        <w:t>「</w:t>
      </w:r>
      <w:r w:rsidRPr="00802F72">
        <w:rPr>
          <w:rFonts w:ascii="標楷體" w:eastAsia="標楷體" w:hAnsi="標楷體" w:hint="eastAsia"/>
          <w:b/>
          <w:sz w:val="22"/>
          <w:szCs w:val="22"/>
        </w:rPr>
        <w:t>無色處</w:t>
      </w:r>
      <w:r w:rsidR="00802F72" w:rsidRPr="00802F72">
        <w:rPr>
          <w:rFonts w:ascii="標楷體" w:eastAsia="標楷體" w:hAnsi="標楷體" w:hint="eastAsia"/>
          <w:bCs/>
          <w:color w:val="FF0000"/>
          <w:kern w:val="0"/>
          <w:sz w:val="22"/>
          <w:szCs w:val="22"/>
          <w:highlight w:val="yellow"/>
        </w:rPr>
        <w:t>」</w:t>
      </w:r>
      <w:r w:rsidRPr="00802F72">
        <w:rPr>
          <w:rFonts w:ascii="標楷體" w:eastAsia="標楷體" w:hAnsi="標楷體" w:hint="eastAsia"/>
          <w:b/>
          <w:sz w:val="22"/>
          <w:szCs w:val="22"/>
        </w:rPr>
        <w:t>，</w:t>
      </w:r>
      <w:r w:rsidR="00802F72">
        <w:rPr>
          <w:rFonts w:ascii="標楷體" w:eastAsia="標楷體" w:hAnsi="標楷體" w:hint="eastAsia"/>
          <w:color w:val="FF0000"/>
          <w:sz w:val="22"/>
          <w:szCs w:val="22"/>
          <w:highlight w:val="yellow"/>
        </w:rPr>
        <w:t>「</w:t>
      </w:r>
      <w:r w:rsidRPr="00802F72">
        <w:rPr>
          <w:rFonts w:ascii="標楷體" w:eastAsia="標楷體" w:hAnsi="標楷體" w:hint="eastAsia"/>
          <w:b/>
          <w:sz w:val="22"/>
          <w:szCs w:val="22"/>
        </w:rPr>
        <w:t>處</w:t>
      </w:r>
      <w:r w:rsidR="00802F72" w:rsidRPr="00802F72">
        <w:rPr>
          <w:rFonts w:ascii="標楷體" w:eastAsia="標楷體" w:hAnsi="標楷體" w:hint="eastAsia"/>
          <w:bCs/>
          <w:color w:val="FF0000"/>
          <w:kern w:val="0"/>
          <w:sz w:val="22"/>
          <w:szCs w:val="22"/>
          <w:highlight w:val="yellow"/>
        </w:rPr>
        <w:t>」</w:t>
      </w:r>
      <w:r w:rsidRPr="00802F72">
        <w:rPr>
          <w:rFonts w:ascii="標楷體" w:eastAsia="標楷體" w:hAnsi="標楷體" w:hint="eastAsia"/>
          <w:b/>
          <w:sz w:val="22"/>
          <w:szCs w:val="22"/>
        </w:rPr>
        <w:t>名</w:t>
      </w:r>
      <w:r w:rsidR="00802F72">
        <w:rPr>
          <w:rFonts w:ascii="標楷體" w:eastAsia="標楷體" w:hAnsi="標楷體" w:hint="eastAsia"/>
          <w:color w:val="FF0000"/>
          <w:sz w:val="22"/>
          <w:szCs w:val="22"/>
          <w:highlight w:val="yellow"/>
        </w:rPr>
        <w:t>「</w:t>
      </w:r>
      <w:r w:rsidRPr="00802F72">
        <w:rPr>
          <w:rFonts w:ascii="標楷體" w:eastAsia="標楷體" w:hAnsi="標楷體" w:hint="eastAsia"/>
          <w:b/>
          <w:sz w:val="22"/>
          <w:szCs w:val="22"/>
        </w:rPr>
        <w:t>虛空相</w:t>
      </w:r>
      <w:r w:rsidR="00802F72" w:rsidRPr="00802F72">
        <w:rPr>
          <w:rFonts w:ascii="標楷體" w:eastAsia="標楷體" w:hAnsi="標楷體" w:hint="eastAsia"/>
          <w:bCs/>
          <w:color w:val="FF0000"/>
          <w:kern w:val="0"/>
          <w:sz w:val="22"/>
          <w:szCs w:val="22"/>
          <w:highlight w:val="yellow"/>
        </w:rPr>
        <w:t>」</w:t>
      </w:r>
      <w:r w:rsidRPr="00802F72">
        <w:rPr>
          <w:rFonts w:ascii="Times New Roman" w:hAnsi="Times New Roman" w:hint="eastAsia"/>
          <w:sz w:val="22"/>
          <w:szCs w:val="22"/>
        </w:rPr>
        <w:t>。</w:t>
      </w:r>
    </w:p>
  </w:footnote>
  <w:footnote w:id="601">
    <w:p w:rsidR="00157EF6" w:rsidRPr="00043A1E" w:rsidRDefault="00157EF6" w:rsidP="00AA120F">
      <w:pPr>
        <w:pStyle w:val="a5"/>
        <w:spacing w:line="0" w:lineRule="atLeast"/>
        <w:ind w:left="726" w:hangingChars="330" w:hanging="726"/>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szCs w:val="22"/>
        </w:rPr>
        <w:t>1</w:t>
      </w:r>
      <w:r w:rsidRPr="00043A1E">
        <w:rPr>
          <w:rFonts w:hint="eastAsia"/>
          <w:szCs w:val="22"/>
        </w:rPr>
        <w:t>）《中論》卷</w:t>
      </w:r>
      <w:r w:rsidRPr="00761EF3">
        <w:rPr>
          <w:szCs w:val="22"/>
        </w:rPr>
        <w:t>1</w:t>
      </w:r>
      <w:r w:rsidRPr="00043A1E">
        <w:rPr>
          <w:rFonts w:hint="eastAsia"/>
          <w:szCs w:val="22"/>
        </w:rPr>
        <w:t>〈</w:t>
      </w:r>
      <w:r w:rsidRPr="00761EF3">
        <w:rPr>
          <w:szCs w:val="22"/>
        </w:rPr>
        <w:t>5</w:t>
      </w:r>
      <w:r w:rsidRPr="00043A1E">
        <w:rPr>
          <w:szCs w:val="22"/>
        </w:rPr>
        <w:t xml:space="preserve"> </w:t>
      </w:r>
      <w:r w:rsidRPr="00043A1E">
        <w:rPr>
          <w:rFonts w:hint="eastAsia"/>
          <w:szCs w:val="22"/>
        </w:rPr>
        <w:t>觀六種品〉</w:t>
      </w:r>
      <w:r w:rsidR="00983B2B" w:rsidRPr="00983B2B">
        <w:rPr>
          <w:rFonts w:hint="eastAsia"/>
          <w:szCs w:val="22"/>
        </w:rPr>
        <w:t>（青目釋）</w:t>
      </w:r>
      <w:r w:rsidRPr="00043A1E">
        <w:rPr>
          <w:szCs w:val="22"/>
        </w:rPr>
        <w:t>（</w:t>
      </w:r>
      <w:r w:rsidRPr="00043A1E">
        <w:rPr>
          <w:rFonts w:hint="eastAsia"/>
          <w:szCs w:val="22"/>
        </w:rPr>
        <w:t>大正</w:t>
      </w:r>
      <w:r w:rsidRPr="00761EF3">
        <w:rPr>
          <w:szCs w:val="22"/>
        </w:rPr>
        <w:t>30</w:t>
      </w:r>
      <w:r w:rsidRPr="00043A1E">
        <w:rPr>
          <w:rFonts w:hint="eastAsia"/>
          <w:szCs w:val="22"/>
        </w:rPr>
        <w:t>，</w:t>
      </w:r>
      <w:r w:rsidRPr="00761EF3">
        <w:rPr>
          <w:szCs w:val="22"/>
        </w:rPr>
        <w:t>7c16</w:t>
      </w:r>
      <w:r w:rsidRPr="00043A1E">
        <w:rPr>
          <w:szCs w:val="22"/>
        </w:rPr>
        <w:t>-</w:t>
      </w:r>
      <w:r w:rsidRPr="00761EF3">
        <w:rPr>
          <w:rFonts w:hint="eastAsia"/>
          <w:szCs w:val="22"/>
        </w:rPr>
        <w:t>23</w:t>
      </w:r>
      <w:r w:rsidRPr="00043A1E">
        <w:rPr>
          <w:szCs w:val="22"/>
        </w:rPr>
        <w:t>）</w:t>
      </w:r>
      <w:r w:rsidRPr="00043A1E">
        <w:rPr>
          <w:rFonts w:hint="eastAsia"/>
          <w:szCs w:val="22"/>
        </w:rPr>
        <w:t>：</w:t>
      </w:r>
    </w:p>
    <w:p w:rsidR="00157EF6" w:rsidRPr="00043A1E" w:rsidRDefault="00157EF6" w:rsidP="00AA120F">
      <w:pPr>
        <w:pStyle w:val="a5"/>
        <w:ind w:leftChars="305" w:left="732"/>
        <w:jc w:val="both"/>
        <w:rPr>
          <w:rFonts w:ascii="標楷體" w:eastAsia="標楷體" w:hAnsi="標楷體"/>
          <w:b/>
          <w:szCs w:val="22"/>
        </w:rPr>
      </w:pPr>
      <w:r w:rsidRPr="00043A1E">
        <w:rPr>
          <w:rFonts w:ascii="標楷體" w:eastAsia="標楷體" w:hAnsi="標楷體" w:hint="eastAsia"/>
          <w:b/>
          <w:szCs w:val="22"/>
        </w:rPr>
        <w:t>若使無有</w:t>
      </w:r>
      <w:r w:rsidR="002D47F7">
        <w:rPr>
          <w:rFonts w:ascii="標楷體" w:eastAsia="標楷體" w:hAnsi="標楷體" w:hint="eastAsia"/>
          <w:bCs/>
          <w:color w:val="FF0000"/>
          <w:kern w:val="0"/>
          <w:highlight w:val="yellow"/>
        </w:rPr>
        <w:t>「</w:t>
      </w:r>
      <w:r w:rsidRPr="00043A1E">
        <w:rPr>
          <w:rFonts w:ascii="標楷體" w:eastAsia="標楷體" w:hAnsi="標楷體" w:hint="eastAsia"/>
          <w:b/>
          <w:szCs w:val="22"/>
        </w:rPr>
        <w:t>有</w:t>
      </w:r>
      <w:r w:rsidR="002D47F7">
        <w:rPr>
          <w:rFonts w:ascii="標楷體" w:eastAsia="標楷體" w:hAnsi="標楷體" w:hint="eastAsia"/>
          <w:bCs/>
          <w:color w:val="FF0000"/>
          <w:kern w:val="0"/>
          <w:highlight w:val="yellow"/>
        </w:rPr>
        <w:t>」</w:t>
      </w:r>
      <w:r w:rsidRPr="00043A1E">
        <w:rPr>
          <w:rFonts w:ascii="標楷體" w:eastAsia="標楷體" w:hAnsi="標楷體" w:hint="eastAsia"/>
          <w:b/>
          <w:szCs w:val="22"/>
        </w:rPr>
        <w:t>，云何當有</w:t>
      </w:r>
      <w:r w:rsidR="002D47F7">
        <w:rPr>
          <w:rFonts w:ascii="標楷體" w:eastAsia="標楷體" w:hAnsi="標楷體" w:hint="eastAsia"/>
          <w:bCs/>
          <w:color w:val="FF0000"/>
          <w:kern w:val="0"/>
          <w:highlight w:val="yellow"/>
        </w:rPr>
        <w:t>「</w:t>
      </w:r>
      <w:r w:rsidRPr="00043A1E">
        <w:rPr>
          <w:rFonts w:ascii="標楷體" w:eastAsia="標楷體" w:hAnsi="標楷體" w:hint="eastAsia"/>
          <w:b/>
          <w:szCs w:val="22"/>
        </w:rPr>
        <w:t>無</w:t>
      </w:r>
      <w:r w:rsidR="002D47F7">
        <w:rPr>
          <w:rFonts w:ascii="標楷體" w:eastAsia="標楷體" w:hAnsi="標楷體" w:hint="eastAsia"/>
          <w:bCs/>
          <w:color w:val="FF0000"/>
          <w:kern w:val="0"/>
          <w:highlight w:val="yellow"/>
        </w:rPr>
        <w:t>」</w:t>
      </w:r>
      <w:r w:rsidRPr="00043A1E">
        <w:rPr>
          <w:rFonts w:ascii="標楷體" w:eastAsia="標楷體" w:hAnsi="標楷體" w:hint="eastAsia"/>
          <w:b/>
          <w:szCs w:val="22"/>
        </w:rPr>
        <w:t>？</w:t>
      </w:r>
      <w:r w:rsidR="002D47F7">
        <w:rPr>
          <w:rFonts w:ascii="標楷體" w:eastAsia="標楷體" w:hAnsi="標楷體" w:hint="eastAsia"/>
          <w:bCs/>
          <w:color w:val="FF0000"/>
          <w:kern w:val="0"/>
          <w:highlight w:val="yellow"/>
        </w:rPr>
        <w:t>「</w:t>
      </w:r>
      <w:r w:rsidRPr="00043A1E">
        <w:rPr>
          <w:rFonts w:ascii="標楷體" w:eastAsia="標楷體" w:hAnsi="標楷體" w:hint="eastAsia"/>
          <w:b/>
          <w:szCs w:val="22"/>
        </w:rPr>
        <w:t>有</w:t>
      </w:r>
      <w:r w:rsidR="002D47F7">
        <w:rPr>
          <w:rFonts w:ascii="標楷體" w:eastAsia="標楷體" w:hAnsi="標楷體" w:hint="eastAsia"/>
          <w:color w:val="FF0000"/>
          <w:szCs w:val="22"/>
          <w:highlight w:val="yellow"/>
        </w:rPr>
        <w:t>、</w:t>
      </w:r>
      <w:r w:rsidRPr="00043A1E">
        <w:rPr>
          <w:rFonts w:ascii="標楷體" w:eastAsia="標楷體" w:hAnsi="標楷體" w:hint="eastAsia"/>
          <w:b/>
          <w:szCs w:val="22"/>
        </w:rPr>
        <w:t>無</w:t>
      </w:r>
      <w:r w:rsidR="002D47F7">
        <w:rPr>
          <w:rFonts w:ascii="標楷體" w:eastAsia="標楷體" w:hAnsi="標楷體" w:hint="eastAsia"/>
          <w:bCs/>
          <w:color w:val="FF0000"/>
          <w:kern w:val="0"/>
          <w:highlight w:val="yellow"/>
        </w:rPr>
        <w:t>」</w:t>
      </w:r>
      <w:r w:rsidRPr="00043A1E">
        <w:rPr>
          <w:rFonts w:ascii="標楷體" w:eastAsia="標楷體" w:hAnsi="標楷體" w:hint="eastAsia"/>
          <w:b/>
          <w:szCs w:val="22"/>
        </w:rPr>
        <w:t>既已無，</w:t>
      </w:r>
      <w:r w:rsidR="002D47F7">
        <w:rPr>
          <w:rFonts w:ascii="標楷體" w:eastAsia="標楷體" w:hAnsi="標楷體" w:hint="eastAsia"/>
          <w:bCs/>
          <w:color w:val="FF0000"/>
          <w:kern w:val="0"/>
          <w:highlight w:val="yellow"/>
        </w:rPr>
        <w:t>「</w:t>
      </w:r>
      <w:r w:rsidRPr="00043A1E">
        <w:rPr>
          <w:rFonts w:ascii="標楷體" w:eastAsia="標楷體" w:hAnsi="標楷體" w:hint="eastAsia"/>
          <w:b/>
          <w:szCs w:val="22"/>
        </w:rPr>
        <w:t>知有無者</w:t>
      </w:r>
      <w:r w:rsidR="002D47F7">
        <w:rPr>
          <w:rFonts w:ascii="標楷體" w:eastAsia="標楷體" w:hAnsi="標楷體" w:hint="eastAsia"/>
          <w:bCs/>
          <w:color w:val="FF0000"/>
          <w:kern w:val="0"/>
          <w:highlight w:val="yellow"/>
        </w:rPr>
        <w:t>」</w:t>
      </w:r>
      <w:r w:rsidRPr="00043A1E">
        <w:rPr>
          <w:rFonts w:ascii="標楷體" w:eastAsia="標楷體" w:hAnsi="標楷體" w:hint="eastAsia"/>
          <w:b/>
          <w:szCs w:val="22"/>
        </w:rPr>
        <w:t>誰？</w:t>
      </w:r>
    </w:p>
    <w:p w:rsidR="00157EF6" w:rsidRPr="00043A1E" w:rsidRDefault="00157EF6" w:rsidP="00AA120F">
      <w:pPr>
        <w:pStyle w:val="a5"/>
        <w:ind w:leftChars="305" w:left="732"/>
        <w:jc w:val="both"/>
        <w:rPr>
          <w:rFonts w:ascii="標楷體" w:eastAsia="標楷體" w:hAnsi="標楷體"/>
          <w:szCs w:val="22"/>
        </w:rPr>
      </w:pPr>
      <w:r w:rsidRPr="00043A1E">
        <w:rPr>
          <w:rFonts w:ascii="標楷體" w:eastAsia="標楷體" w:hAnsi="標楷體" w:hint="eastAsia"/>
          <w:szCs w:val="22"/>
        </w:rPr>
        <w:t>凡物若自壞</w:t>
      </w:r>
      <w:r w:rsidR="002D47F7">
        <w:rPr>
          <w:rFonts w:ascii="標楷體" w:eastAsia="標楷體" w:hAnsi="標楷體" w:hint="eastAsia"/>
          <w:color w:val="FF0000"/>
          <w:szCs w:val="22"/>
          <w:highlight w:val="yellow"/>
        </w:rPr>
        <w:t>、</w:t>
      </w:r>
      <w:r w:rsidRPr="00043A1E">
        <w:rPr>
          <w:rFonts w:ascii="標楷體" w:eastAsia="標楷體" w:hAnsi="標楷體" w:hint="eastAsia"/>
          <w:szCs w:val="22"/>
        </w:rPr>
        <w:t>若為他壞，名為</w:t>
      </w:r>
      <w:r w:rsidR="002D47F7">
        <w:rPr>
          <w:rFonts w:ascii="標楷體" w:eastAsia="標楷體" w:hAnsi="標楷體" w:hint="eastAsia"/>
          <w:bCs/>
          <w:color w:val="FF0000"/>
          <w:kern w:val="0"/>
          <w:highlight w:val="yellow"/>
        </w:rPr>
        <w:t>「</w:t>
      </w:r>
      <w:r w:rsidRPr="00043A1E">
        <w:rPr>
          <w:rFonts w:ascii="標楷體" w:eastAsia="標楷體" w:hAnsi="標楷體" w:hint="eastAsia"/>
          <w:szCs w:val="22"/>
        </w:rPr>
        <w:t>無</w:t>
      </w:r>
      <w:r w:rsidR="002D47F7">
        <w:rPr>
          <w:rFonts w:ascii="標楷體" w:eastAsia="標楷體" w:hAnsi="標楷體" w:hint="eastAsia"/>
          <w:bCs/>
          <w:color w:val="FF0000"/>
          <w:kern w:val="0"/>
          <w:highlight w:val="yellow"/>
        </w:rPr>
        <w:t>」</w:t>
      </w:r>
      <w:r w:rsidRPr="00043A1E">
        <w:rPr>
          <w:rFonts w:ascii="標楷體" w:eastAsia="標楷體" w:hAnsi="標楷體" w:hint="eastAsia"/>
          <w:szCs w:val="22"/>
        </w:rPr>
        <w:t>。</w:t>
      </w:r>
      <w:r w:rsidR="002D47F7">
        <w:rPr>
          <w:rFonts w:ascii="標楷體" w:eastAsia="標楷體" w:hAnsi="標楷體" w:hint="eastAsia"/>
          <w:bCs/>
          <w:color w:val="FF0000"/>
          <w:kern w:val="0"/>
          <w:highlight w:val="yellow"/>
        </w:rPr>
        <w:t>「</w:t>
      </w:r>
      <w:r w:rsidRPr="00043A1E">
        <w:rPr>
          <w:rFonts w:ascii="標楷體" w:eastAsia="標楷體" w:hAnsi="標楷體" w:hint="eastAsia"/>
          <w:szCs w:val="22"/>
        </w:rPr>
        <w:t>無</w:t>
      </w:r>
      <w:r w:rsidR="002D47F7">
        <w:rPr>
          <w:rFonts w:ascii="標楷體" w:eastAsia="標楷體" w:hAnsi="標楷體" w:hint="eastAsia"/>
          <w:bCs/>
          <w:color w:val="FF0000"/>
          <w:kern w:val="0"/>
          <w:highlight w:val="yellow"/>
        </w:rPr>
        <w:t>」</w:t>
      </w:r>
      <w:r w:rsidRPr="00043A1E">
        <w:rPr>
          <w:rFonts w:ascii="標楷體" w:eastAsia="標楷體" w:hAnsi="標楷體" w:hint="eastAsia"/>
          <w:szCs w:val="22"/>
        </w:rPr>
        <w:t>不自有，從</w:t>
      </w:r>
      <w:r w:rsidR="002D47F7">
        <w:rPr>
          <w:rFonts w:ascii="標楷體" w:eastAsia="標楷體" w:hAnsi="標楷體" w:hint="eastAsia"/>
          <w:bCs/>
          <w:color w:val="FF0000"/>
          <w:kern w:val="0"/>
          <w:highlight w:val="yellow"/>
        </w:rPr>
        <w:t>「</w:t>
      </w:r>
      <w:r w:rsidRPr="00043A1E">
        <w:rPr>
          <w:rFonts w:ascii="標楷體" w:eastAsia="標楷體" w:hAnsi="標楷體" w:hint="eastAsia"/>
          <w:szCs w:val="22"/>
        </w:rPr>
        <w:t>有</w:t>
      </w:r>
      <w:r w:rsidR="002D47F7">
        <w:rPr>
          <w:rFonts w:ascii="標楷體" w:eastAsia="標楷體" w:hAnsi="標楷體" w:hint="eastAsia"/>
          <w:bCs/>
          <w:color w:val="FF0000"/>
          <w:kern w:val="0"/>
          <w:highlight w:val="yellow"/>
        </w:rPr>
        <w:t>」</w:t>
      </w:r>
      <w:r w:rsidRPr="00043A1E">
        <w:rPr>
          <w:rFonts w:ascii="標楷體" w:eastAsia="標楷體" w:hAnsi="標楷體" w:hint="eastAsia"/>
          <w:szCs w:val="22"/>
        </w:rPr>
        <w:t>而有，是故言</w:t>
      </w:r>
      <w:r w:rsidR="002D47F7">
        <w:rPr>
          <w:rFonts w:ascii="標楷體" w:eastAsia="標楷體" w:hAnsi="標楷體" w:hint="eastAsia"/>
          <w:color w:val="FF0000"/>
          <w:spacing w:val="-4"/>
          <w:kern w:val="0"/>
          <w:highlight w:val="yellow"/>
        </w:rPr>
        <w:t>：</w:t>
      </w:r>
      <w:r w:rsidRPr="00043A1E">
        <w:rPr>
          <w:rFonts w:ascii="標楷體" w:eastAsia="標楷體" w:hAnsi="標楷體" w:hint="eastAsia"/>
          <w:szCs w:val="22"/>
        </w:rPr>
        <w:t>「若使無有</w:t>
      </w:r>
      <w:r w:rsidR="002D47F7">
        <w:rPr>
          <w:rFonts w:ascii="標楷體" w:eastAsia="標楷體" w:hAnsi="標楷體" w:hint="eastAsia"/>
          <w:color w:val="FF0000"/>
          <w:kern w:val="0"/>
          <w:highlight w:val="yellow"/>
        </w:rPr>
        <w:t>『</w:t>
      </w:r>
      <w:r w:rsidRPr="00043A1E">
        <w:rPr>
          <w:rFonts w:ascii="標楷體" w:eastAsia="標楷體" w:hAnsi="標楷體" w:hint="eastAsia"/>
          <w:szCs w:val="22"/>
        </w:rPr>
        <w:t>有</w:t>
      </w:r>
      <w:r w:rsidR="002D47F7">
        <w:rPr>
          <w:rFonts w:ascii="標楷體" w:eastAsia="標楷體" w:hAnsi="標楷體" w:hint="eastAsia"/>
          <w:color w:val="FF0000"/>
          <w:kern w:val="0"/>
          <w:highlight w:val="yellow"/>
        </w:rPr>
        <w:t>』</w:t>
      </w:r>
      <w:r w:rsidRPr="00043A1E">
        <w:rPr>
          <w:rFonts w:ascii="標楷體" w:eastAsia="標楷體" w:hAnsi="標楷體" w:hint="eastAsia"/>
          <w:szCs w:val="22"/>
        </w:rPr>
        <w:t>，云何當有</w:t>
      </w:r>
      <w:r w:rsidR="002D47F7">
        <w:rPr>
          <w:rFonts w:ascii="標楷體" w:eastAsia="標楷體" w:hAnsi="標楷體" w:hint="eastAsia"/>
          <w:color w:val="FF0000"/>
          <w:kern w:val="0"/>
          <w:highlight w:val="yellow"/>
        </w:rPr>
        <w:t>『</w:t>
      </w:r>
      <w:r w:rsidRPr="00043A1E">
        <w:rPr>
          <w:rFonts w:ascii="標楷體" w:eastAsia="標楷體" w:hAnsi="標楷體" w:hint="eastAsia"/>
          <w:szCs w:val="22"/>
        </w:rPr>
        <w:t>無</w:t>
      </w:r>
      <w:r w:rsidR="002D47F7">
        <w:rPr>
          <w:rFonts w:ascii="標楷體" w:eastAsia="標楷體" w:hAnsi="標楷體" w:hint="eastAsia"/>
          <w:color w:val="FF0000"/>
          <w:kern w:val="0"/>
          <w:highlight w:val="yellow"/>
        </w:rPr>
        <w:t>』</w:t>
      </w:r>
      <w:r w:rsidR="002D47F7">
        <w:rPr>
          <w:rFonts w:ascii="標楷體" w:eastAsia="標楷體" w:hAnsi="標楷體" w:hint="eastAsia"/>
          <w:color w:val="FF0000"/>
          <w:spacing w:val="-4"/>
          <w:kern w:val="0"/>
          <w:highlight w:val="yellow"/>
        </w:rPr>
        <w:t>？</w:t>
      </w:r>
      <w:r w:rsidRPr="002D47F7">
        <w:rPr>
          <w:rFonts w:ascii="標楷體" w:eastAsia="標楷體" w:hAnsi="標楷體" w:hint="eastAsia"/>
          <w:szCs w:val="22"/>
          <w:highlight w:val="yellow"/>
        </w:rPr>
        <w:t>」眼</w:t>
      </w:r>
      <w:r w:rsidRPr="00043A1E">
        <w:rPr>
          <w:rFonts w:ascii="標楷體" w:eastAsia="標楷體" w:hAnsi="標楷體" w:hint="eastAsia"/>
          <w:szCs w:val="22"/>
        </w:rPr>
        <w:t>見、耳聞</w:t>
      </w:r>
      <w:r w:rsidR="002D47F7">
        <w:rPr>
          <w:rFonts w:ascii="標楷體" w:eastAsia="標楷體" w:hAnsi="標楷體" w:hint="eastAsia"/>
          <w:color w:val="FF0000"/>
          <w:kern w:val="0"/>
          <w:highlight w:val="yellow"/>
        </w:rPr>
        <w:t>，</w:t>
      </w:r>
      <w:r w:rsidRPr="00043A1E">
        <w:rPr>
          <w:rFonts w:ascii="標楷體" w:eastAsia="標楷體" w:hAnsi="標楷體" w:hint="eastAsia"/>
          <w:szCs w:val="22"/>
        </w:rPr>
        <w:t>尚不可得，何況無物！</w:t>
      </w:r>
    </w:p>
    <w:p w:rsidR="00157EF6" w:rsidRPr="00043A1E" w:rsidRDefault="00157EF6" w:rsidP="00AA120F">
      <w:pPr>
        <w:pStyle w:val="a5"/>
        <w:ind w:leftChars="305" w:left="732"/>
        <w:jc w:val="both"/>
        <w:rPr>
          <w:rFonts w:ascii="標楷體" w:eastAsia="標楷體" w:hAnsi="標楷體"/>
          <w:szCs w:val="22"/>
        </w:rPr>
      </w:pPr>
      <w:r w:rsidRPr="00043A1E">
        <w:rPr>
          <w:rFonts w:ascii="標楷體" w:eastAsia="標楷體" w:hAnsi="標楷體" w:hint="eastAsia"/>
          <w:szCs w:val="22"/>
        </w:rPr>
        <w:t>問曰：以無有「有」故，「無」亦無，應當有「知有無者」。</w:t>
      </w:r>
    </w:p>
    <w:p w:rsidR="00157EF6" w:rsidRPr="00043A1E" w:rsidRDefault="00157EF6" w:rsidP="002D47F7">
      <w:pPr>
        <w:pStyle w:val="a5"/>
        <w:ind w:leftChars="305" w:left="1392" w:hangingChars="300" w:hanging="660"/>
        <w:jc w:val="both"/>
        <w:rPr>
          <w:szCs w:val="22"/>
        </w:rPr>
      </w:pPr>
      <w:r w:rsidRPr="00043A1E">
        <w:rPr>
          <w:rFonts w:ascii="標楷體" w:eastAsia="標楷體" w:hAnsi="標楷體" w:hint="eastAsia"/>
          <w:szCs w:val="22"/>
        </w:rPr>
        <w:t>答曰：若有</w:t>
      </w:r>
      <w:r w:rsidR="002D47F7">
        <w:rPr>
          <w:rFonts w:ascii="標楷體" w:eastAsia="標楷體" w:hAnsi="標楷體" w:hint="eastAsia"/>
          <w:bCs/>
          <w:color w:val="FF0000"/>
          <w:kern w:val="0"/>
          <w:highlight w:val="yellow"/>
        </w:rPr>
        <w:t>「</w:t>
      </w:r>
      <w:r w:rsidRPr="00043A1E">
        <w:rPr>
          <w:rFonts w:ascii="標楷體" w:eastAsia="標楷體" w:hAnsi="標楷體" w:hint="eastAsia"/>
          <w:szCs w:val="22"/>
        </w:rPr>
        <w:t>知者</w:t>
      </w:r>
      <w:r w:rsidR="002D47F7">
        <w:rPr>
          <w:rFonts w:ascii="標楷體" w:eastAsia="標楷體" w:hAnsi="標楷體" w:hint="eastAsia"/>
          <w:bCs/>
          <w:color w:val="FF0000"/>
          <w:kern w:val="0"/>
          <w:highlight w:val="yellow"/>
        </w:rPr>
        <w:t>」</w:t>
      </w:r>
      <w:r w:rsidRPr="00043A1E">
        <w:rPr>
          <w:rFonts w:ascii="標楷體" w:eastAsia="標楷體" w:hAnsi="標楷體" w:hint="eastAsia"/>
          <w:szCs w:val="22"/>
        </w:rPr>
        <w:t>，應在</w:t>
      </w:r>
      <w:r w:rsidR="002D47F7">
        <w:rPr>
          <w:rFonts w:ascii="標楷體" w:eastAsia="標楷體" w:hAnsi="標楷體" w:hint="eastAsia"/>
          <w:bCs/>
          <w:color w:val="FF0000"/>
          <w:kern w:val="0"/>
          <w:highlight w:val="yellow"/>
        </w:rPr>
        <w:t>「</w:t>
      </w:r>
      <w:r w:rsidRPr="00043A1E">
        <w:rPr>
          <w:rFonts w:ascii="標楷體" w:eastAsia="標楷體" w:hAnsi="標楷體" w:hint="eastAsia"/>
          <w:szCs w:val="22"/>
        </w:rPr>
        <w:t>有</w:t>
      </w:r>
      <w:r w:rsidR="002D47F7">
        <w:rPr>
          <w:rFonts w:ascii="標楷體" w:eastAsia="標楷體" w:hAnsi="標楷體" w:hint="eastAsia"/>
          <w:bCs/>
          <w:color w:val="FF0000"/>
          <w:kern w:val="0"/>
          <w:highlight w:val="yellow"/>
        </w:rPr>
        <w:t>」</w:t>
      </w:r>
      <w:r w:rsidRPr="00043A1E">
        <w:rPr>
          <w:rFonts w:ascii="標楷體" w:eastAsia="標楷體" w:hAnsi="標楷體" w:hint="eastAsia"/>
          <w:szCs w:val="22"/>
        </w:rPr>
        <w:t>中，應在</w:t>
      </w:r>
      <w:r w:rsidR="002D47F7">
        <w:rPr>
          <w:rFonts w:ascii="標楷體" w:eastAsia="標楷體" w:hAnsi="標楷體" w:hint="eastAsia"/>
          <w:bCs/>
          <w:color w:val="FF0000"/>
          <w:kern w:val="0"/>
          <w:highlight w:val="yellow"/>
        </w:rPr>
        <w:t>「</w:t>
      </w:r>
      <w:r w:rsidRPr="00043A1E">
        <w:rPr>
          <w:rFonts w:ascii="標楷體" w:eastAsia="標楷體" w:hAnsi="標楷體" w:hint="eastAsia"/>
          <w:szCs w:val="22"/>
        </w:rPr>
        <w:t>無</w:t>
      </w:r>
      <w:r w:rsidR="002D47F7">
        <w:rPr>
          <w:rFonts w:ascii="標楷體" w:eastAsia="標楷體" w:hAnsi="標楷體" w:hint="eastAsia"/>
          <w:bCs/>
          <w:color w:val="FF0000"/>
          <w:kern w:val="0"/>
          <w:highlight w:val="yellow"/>
        </w:rPr>
        <w:t>」</w:t>
      </w:r>
      <w:r w:rsidRPr="00043A1E">
        <w:rPr>
          <w:rFonts w:ascii="標楷體" w:eastAsia="標楷體" w:hAnsi="標楷體" w:hint="eastAsia"/>
          <w:szCs w:val="22"/>
        </w:rPr>
        <w:t>中</w:t>
      </w:r>
      <w:r w:rsidR="00983B2B" w:rsidRPr="002D47F7">
        <w:rPr>
          <w:rFonts w:ascii="標楷體" w:eastAsia="標楷體" w:hAnsi="標楷體" w:hint="eastAsia"/>
          <w:szCs w:val="22"/>
          <w:highlight w:val="yellow"/>
        </w:rPr>
        <w:t>？</w:t>
      </w:r>
      <w:r w:rsidR="002D47F7">
        <w:rPr>
          <w:rFonts w:ascii="標楷體" w:eastAsia="標楷體" w:hAnsi="標楷體" w:hint="eastAsia"/>
          <w:bCs/>
          <w:color w:val="FF0000"/>
          <w:kern w:val="0"/>
          <w:highlight w:val="yellow"/>
        </w:rPr>
        <w:t>「</w:t>
      </w:r>
      <w:r w:rsidRPr="00043A1E">
        <w:rPr>
          <w:rFonts w:ascii="標楷體" w:eastAsia="標楷體" w:hAnsi="標楷體" w:hint="eastAsia"/>
          <w:szCs w:val="22"/>
        </w:rPr>
        <w:t>有</w:t>
      </w:r>
      <w:r w:rsidR="002D47F7">
        <w:rPr>
          <w:rFonts w:ascii="標楷體" w:eastAsia="標楷體" w:hAnsi="標楷體" w:hint="eastAsia"/>
          <w:color w:val="FF0000"/>
          <w:szCs w:val="22"/>
          <w:highlight w:val="yellow"/>
        </w:rPr>
        <w:t>、</w:t>
      </w:r>
      <w:r w:rsidRPr="00043A1E">
        <w:rPr>
          <w:rFonts w:ascii="標楷體" w:eastAsia="標楷體" w:hAnsi="標楷體" w:hint="eastAsia"/>
          <w:szCs w:val="22"/>
        </w:rPr>
        <w:t>無</w:t>
      </w:r>
      <w:r w:rsidR="002D47F7">
        <w:rPr>
          <w:rFonts w:ascii="標楷體" w:eastAsia="標楷體" w:hAnsi="標楷體" w:hint="eastAsia"/>
          <w:bCs/>
          <w:color w:val="FF0000"/>
          <w:kern w:val="0"/>
          <w:highlight w:val="yellow"/>
        </w:rPr>
        <w:t>」</w:t>
      </w:r>
      <w:r w:rsidRPr="00043A1E">
        <w:rPr>
          <w:rFonts w:ascii="標楷體" w:eastAsia="標楷體" w:hAnsi="標楷體" w:hint="eastAsia"/>
          <w:szCs w:val="22"/>
        </w:rPr>
        <w:t>既破，</w:t>
      </w:r>
      <w:r w:rsidR="002D47F7">
        <w:rPr>
          <w:rFonts w:ascii="標楷體" w:eastAsia="標楷體" w:hAnsi="標楷體" w:hint="eastAsia"/>
          <w:bCs/>
          <w:color w:val="FF0000"/>
          <w:kern w:val="0"/>
          <w:highlight w:val="yellow"/>
        </w:rPr>
        <w:t>「</w:t>
      </w:r>
      <w:r w:rsidRPr="00043A1E">
        <w:rPr>
          <w:rFonts w:ascii="標楷體" w:eastAsia="標楷體" w:hAnsi="標楷體" w:hint="eastAsia"/>
          <w:szCs w:val="22"/>
        </w:rPr>
        <w:t>知者</w:t>
      </w:r>
      <w:r w:rsidR="002D47F7">
        <w:rPr>
          <w:rFonts w:ascii="標楷體" w:eastAsia="標楷體" w:hAnsi="標楷體" w:hint="eastAsia"/>
          <w:bCs/>
          <w:color w:val="FF0000"/>
          <w:kern w:val="0"/>
          <w:highlight w:val="yellow"/>
        </w:rPr>
        <w:t>」</w:t>
      </w:r>
      <w:r w:rsidRPr="00043A1E">
        <w:rPr>
          <w:rFonts w:ascii="標楷體" w:eastAsia="標楷體" w:hAnsi="標楷體" w:hint="eastAsia"/>
          <w:szCs w:val="22"/>
        </w:rPr>
        <w:t>亦同破</w:t>
      </w:r>
      <w:r w:rsidRPr="002D47F7">
        <w:rPr>
          <w:rFonts w:ascii="標楷體" w:eastAsia="標楷體" w:hAnsi="標楷體" w:hint="eastAsia"/>
          <w:szCs w:val="22"/>
          <w:highlight w:val="yellow"/>
        </w:rPr>
        <w:t>。</w:t>
      </w:r>
    </w:p>
    <w:p w:rsidR="00157EF6" w:rsidRPr="00043A1E" w:rsidRDefault="00157EF6" w:rsidP="00AA120F">
      <w:pPr>
        <w:pStyle w:val="a5"/>
        <w:ind w:leftChars="80" w:left="731" w:hangingChars="245" w:hanging="539"/>
        <w:jc w:val="both"/>
        <w:rPr>
          <w:szCs w:val="22"/>
        </w:rPr>
      </w:pPr>
      <w:r w:rsidRPr="00043A1E">
        <w:rPr>
          <w:rFonts w:hint="eastAsia"/>
          <w:szCs w:val="22"/>
        </w:rPr>
        <w:t>（</w:t>
      </w:r>
      <w:r w:rsidRPr="00761EF3">
        <w:rPr>
          <w:szCs w:val="22"/>
        </w:rPr>
        <w:t>2</w:t>
      </w:r>
      <w:r w:rsidRPr="00043A1E">
        <w:rPr>
          <w:rFonts w:hint="eastAsia"/>
          <w:szCs w:val="22"/>
        </w:rPr>
        <w:t>）印順</w:t>
      </w:r>
      <w:r w:rsidRPr="00043A1E">
        <w:rPr>
          <w:rFonts w:cs="Times Ext Roman" w:hint="eastAsia"/>
          <w:szCs w:val="22"/>
        </w:rPr>
        <w:t>法師</w:t>
      </w:r>
      <w:r w:rsidRPr="00043A1E">
        <w:rPr>
          <w:rFonts w:hint="eastAsia"/>
          <w:szCs w:val="22"/>
        </w:rPr>
        <w:t>，《中觀論頌講記》，</w:t>
      </w:r>
      <w:r w:rsidRPr="00761EF3">
        <w:rPr>
          <w:szCs w:val="22"/>
        </w:rPr>
        <w:t>pp</w:t>
      </w:r>
      <w:r w:rsidRPr="00043A1E">
        <w:rPr>
          <w:szCs w:val="22"/>
        </w:rPr>
        <w:t>.</w:t>
      </w:r>
      <w:r w:rsidRPr="00761EF3">
        <w:rPr>
          <w:szCs w:val="22"/>
        </w:rPr>
        <w:t>129</w:t>
      </w:r>
      <w:r w:rsidRPr="00043A1E">
        <w:rPr>
          <w:szCs w:val="22"/>
        </w:rPr>
        <w:t>-</w:t>
      </w:r>
      <w:r w:rsidRPr="00761EF3">
        <w:rPr>
          <w:szCs w:val="22"/>
        </w:rPr>
        <w:t>130</w:t>
      </w:r>
      <w:r w:rsidRPr="00043A1E">
        <w:rPr>
          <w:rFonts w:hint="eastAsia"/>
          <w:szCs w:val="22"/>
        </w:rPr>
        <w:t>：</w:t>
      </w:r>
    </w:p>
    <w:p w:rsidR="00157EF6" w:rsidRPr="00043A1E" w:rsidRDefault="00157EF6" w:rsidP="00AA120F">
      <w:pPr>
        <w:pStyle w:val="a5"/>
        <w:ind w:leftChars="305" w:left="732"/>
        <w:jc w:val="both"/>
        <w:rPr>
          <w:rFonts w:ascii="標楷體" w:eastAsia="標楷體" w:hAnsi="標楷體"/>
          <w:b/>
          <w:szCs w:val="22"/>
        </w:rPr>
      </w:pPr>
      <w:r w:rsidRPr="00043A1E">
        <w:rPr>
          <w:rFonts w:ascii="標楷體" w:eastAsia="標楷體" w:hAnsi="標楷體" w:hint="eastAsia"/>
          <w:b/>
          <w:szCs w:val="22"/>
        </w:rPr>
        <w:t>「若使無有有，云何當有無？」</w:t>
      </w:r>
    </w:p>
    <w:p w:rsidR="00157EF6" w:rsidRPr="00043A1E" w:rsidRDefault="00157EF6" w:rsidP="00AA120F">
      <w:pPr>
        <w:pStyle w:val="a5"/>
        <w:ind w:leftChars="305" w:left="732"/>
        <w:jc w:val="both"/>
        <w:rPr>
          <w:rFonts w:ascii="標楷體" w:eastAsia="標楷體" w:hAnsi="標楷體"/>
          <w:szCs w:val="22"/>
        </w:rPr>
      </w:pPr>
      <w:r w:rsidRPr="00043A1E">
        <w:rPr>
          <w:rFonts w:ascii="標楷體" w:eastAsia="標楷體" w:hAnsi="標楷體" w:hint="eastAsia"/>
          <w:szCs w:val="22"/>
        </w:rPr>
        <w:t>性空者說：能所相待的緣起虛空，我並不否認他的存在，不過不許實有自性罷了。</w:t>
      </w:r>
    </w:p>
    <w:p w:rsidR="00157EF6" w:rsidRPr="00043A1E" w:rsidRDefault="00157EF6" w:rsidP="00AA120F">
      <w:pPr>
        <w:pStyle w:val="a5"/>
        <w:ind w:leftChars="305" w:left="732"/>
        <w:jc w:val="both"/>
        <w:rPr>
          <w:rFonts w:ascii="標楷體" w:eastAsia="標楷體" w:hAnsi="標楷體"/>
          <w:szCs w:val="22"/>
        </w:rPr>
      </w:pPr>
      <w:r w:rsidRPr="00043A1E">
        <w:rPr>
          <w:rFonts w:ascii="標楷體" w:eastAsia="標楷體" w:hAnsi="標楷體" w:hint="eastAsia"/>
          <w:szCs w:val="22"/>
        </w:rPr>
        <w:t>但一般人，說有就覺得有個實在的；聽說自性非有，就以為什麼都沒有。</w:t>
      </w:r>
    </w:p>
    <w:p w:rsidR="00157EF6" w:rsidRPr="00043A1E" w:rsidRDefault="00157EF6" w:rsidP="00AA120F">
      <w:pPr>
        <w:pStyle w:val="a5"/>
        <w:ind w:leftChars="305" w:left="732"/>
        <w:jc w:val="both"/>
        <w:rPr>
          <w:rFonts w:ascii="標楷體" w:eastAsia="標楷體" w:hAnsi="標楷體"/>
          <w:szCs w:val="22"/>
        </w:rPr>
      </w:pPr>
      <w:r w:rsidRPr="00043A1E">
        <w:rPr>
          <w:rFonts w:ascii="標楷體" w:eastAsia="標楷體" w:hAnsi="標楷體" w:hint="eastAsia"/>
          <w:szCs w:val="22"/>
        </w:rPr>
        <w:t>虛空法體不可得，無礙性的幻相也不可得，這就是破壞緣起的虛空；他們以為虛空是顛倒的妄見，如病眼所見的空花一樣。這是反世俗諦的常識，也就是不瞭解自性的不可得了。</w:t>
      </w:r>
    </w:p>
    <w:p w:rsidR="00157EF6" w:rsidRPr="00043A1E" w:rsidRDefault="00157EF6" w:rsidP="00AA120F">
      <w:pPr>
        <w:pStyle w:val="a5"/>
        <w:ind w:leftChars="305" w:left="732"/>
        <w:jc w:val="both"/>
        <w:rPr>
          <w:rFonts w:ascii="標楷體" w:eastAsia="標楷體" w:hAnsi="標楷體"/>
          <w:szCs w:val="22"/>
        </w:rPr>
      </w:pPr>
      <w:r w:rsidRPr="00043A1E">
        <w:rPr>
          <w:rFonts w:ascii="標楷體" w:eastAsia="標楷體" w:hAnsi="標楷體" w:hint="eastAsia"/>
          <w:szCs w:val="22"/>
        </w:rPr>
        <w:t>要知道上面所以破有，是破他的自性有，不是破壞緣起幻有。</w:t>
      </w:r>
    </w:p>
    <w:p w:rsidR="00157EF6" w:rsidRPr="00043A1E" w:rsidRDefault="00157EF6" w:rsidP="00AA120F">
      <w:pPr>
        <w:pStyle w:val="a5"/>
        <w:ind w:leftChars="305" w:left="732"/>
        <w:jc w:val="both"/>
        <w:rPr>
          <w:rFonts w:ascii="標楷體" w:eastAsia="標楷體" w:hAnsi="標楷體"/>
          <w:szCs w:val="22"/>
        </w:rPr>
      </w:pPr>
      <w:r w:rsidRPr="00043A1E">
        <w:rPr>
          <w:rFonts w:ascii="標楷體" w:eastAsia="標楷體" w:hAnsi="標楷體" w:hint="eastAsia"/>
          <w:szCs w:val="22"/>
        </w:rPr>
        <w:t>同樣的，這裡破無，也是破實自性無。所以說：</w:t>
      </w:r>
      <w:r w:rsidRPr="00043A1E">
        <w:rPr>
          <w:rFonts w:ascii="標楷體" w:eastAsia="標楷體" w:hAnsi="標楷體" w:hint="eastAsia"/>
          <w:b/>
          <w:szCs w:val="22"/>
        </w:rPr>
        <w:t>「若使無有」實在的自性「有」，那裡「有」實在的自性「無」呢？</w:t>
      </w:r>
      <w:r w:rsidRPr="00043A1E">
        <w:rPr>
          <w:rFonts w:ascii="標楷體" w:eastAsia="標楷體" w:hAnsi="標楷體" w:hint="eastAsia"/>
          <w:szCs w:val="22"/>
        </w:rPr>
        <w:t>現實的虛空，有種種的形態，有彼此的差別，吾人可以直接感覺到，怎麼可以說沒有呢？</w:t>
      </w:r>
    </w:p>
    <w:p w:rsidR="00157EF6" w:rsidRPr="00043A1E" w:rsidRDefault="00157EF6" w:rsidP="00AA120F">
      <w:pPr>
        <w:pStyle w:val="a5"/>
        <w:ind w:leftChars="305" w:left="732"/>
        <w:jc w:val="both"/>
        <w:rPr>
          <w:rFonts w:ascii="標楷體" w:eastAsia="標楷體" w:hAnsi="標楷體"/>
          <w:b/>
          <w:szCs w:val="22"/>
        </w:rPr>
      </w:pPr>
      <w:r w:rsidRPr="00043A1E">
        <w:rPr>
          <w:rFonts w:ascii="標楷體" w:eastAsia="標楷體" w:hAnsi="標楷體" w:hint="eastAsia"/>
          <w:b/>
          <w:szCs w:val="22"/>
        </w:rPr>
        <w:t>「有無既已無，知有無者誰？」</w:t>
      </w:r>
    </w:p>
    <w:p w:rsidR="00157EF6" w:rsidRPr="00043A1E" w:rsidRDefault="00157EF6" w:rsidP="00AA120F">
      <w:pPr>
        <w:pStyle w:val="a5"/>
        <w:ind w:leftChars="305" w:left="732"/>
        <w:jc w:val="both"/>
        <w:rPr>
          <w:rFonts w:ascii="標楷體" w:eastAsia="標楷體" w:hAnsi="標楷體"/>
          <w:szCs w:val="22"/>
        </w:rPr>
      </w:pPr>
      <w:r w:rsidRPr="00043A1E">
        <w:rPr>
          <w:rFonts w:ascii="標楷體" w:eastAsia="標楷體" w:hAnsi="標楷體" w:hint="eastAsia"/>
          <w:szCs w:val="22"/>
        </w:rPr>
        <w:t>青目論師說：有責難說，有法不可得，無法也沒有，知道沒有有無的人，應該是有的了。這是不對的，所知的實有、實無都不可能，那裡還有個能知者呢？</w:t>
      </w:r>
    </w:p>
    <w:p w:rsidR="00157EF6" w:rsidRPr="00043A1E" w:rsidRDefault="00157EF6" w:rsidP="00AA120F">
      <w:pPr>
        <w:pStyle w:val="a5"/>
        <w:ind w:leftChars="305" w:left="732"/>
        <w:jc w:val="both"/>
        <w:rPr>
          <w:szCs w:val="22"/>
        </w:rPr>
      </w:pPr>
      <w:r w:rsidRPr="00043A1E">
        <w:rPr>
          <w:rFonts w:ascii="標楷體" w:eastAsia="標楷體" w:hAnsi="標楷體" w:hint="eastAsia"/>
          <w:szCs w:val="22"/>
        </w:rPr>
        <w:t>照這樣解釋，這半頌已超出破虛空的範圍，而從破所知法轉破到能知者的我不可得了。其實，這還是破虛空，意思說：在能知者的意識中，也沒有虛空。因為，假使有有體或無體的虛空作對象，那才能引起能知者的認識，認識這或有或無的虛空；現在</w:t>
      </w:r>
      <w:r w:rsidRPr="00043A1E">
        <w:rPr>
          <w:rFonts w:ascii="標楷體" w:eastAsia="標楷體" w:hAnsi="標楷體" w:hint="eastAsia"/>
          <w:b/>
          <w:szCs w:val="22"/>
        </w:rPr>
        <w:t>「有無」的虛空「既已無」有了，那裡還有「知」這虛空是「有無」的能知者？那裡會離開所知別有內心本具的虛空相？</w:t>
      </w:r>
      <w:r w:rsidRPr="00043A1E">
        <w:rPr>
          <w:rFonts w:ascii="標楷體" w:eastAsia="標楷體" w:hAnsi="標楷體" w:hint="eastAsia"/>
          <w:szCs w:val="22"/>
        </w:rPr>
        <w:t>如這裡有《中論》，能知者的認識上才現起《中論》的認識；假使這裡根本沒有這部書，能知者怎麼會生起《中論》的認識？那裡會有內心本具的《中論》相而可以了知呢？</w:t>
      </w:r>
    </w:p>
  </w:footnote>
  <w:footnote w:id="602">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）《中論》卷</w:t>
      </w:r>
      <w:r w:rsidRPr="00761EF3">
        <w:rPr>
          <w:szCs w:val="22"/>
        </w:rPr>
        <w:t>1</w:t>
      </w:r>
      <w:r w:rsidRPr="00043A1E">
        <w:rPr>
          <w:rFonts w:hint="eastAsia"/>
          <w:szCs w:val="22"/>
        </w:rPr>
        <w:t>〈</w:t>
      </w:r>
      <w:r w:rsidRPr="00761EF3">
        <w:rPr>
          <w:rFonts w:hint="eastAsia"/>
          <w:szCs w:val="22"/>
        </w:rPr>
        <w:t>5</w:t>
      </w:r>
      <w:r w:rsidRPr="00043A1E">
        <w:rPr>
          <w:rFonts w:hint="eastAsia"/>
          <w:szCs w:val="22"/>
        </w:rPr>
        <w:t xml:space="preserve"> </w:t>
      </w:r>
      <w:r w:rsidRPr="00043A1E">
        <w:rPr>
          <w:rFonts w:hint="eastAsia"/>
          <w:szCs w:val="22"/>
        </w:rPr>
        <w:t>觀六種品〉</w:t>
      </w:r>
      <w:r w:rsidRPr="00043A1E">
        <w:rPr>
          <w:szCs w:val="22"/>
        </w:rPr>
        <w:t>（</w:t>
      </w:r>
      <w:r w:rsidRPr="00043A1E">
        <w:rPr>
          <w:rFonts w:hint="eastAsia"/>
          <w:szCs w:val="22"/>
        </w:rPr>
        <w:t>大正</w:t>
      </w:r>
      <w:r w:rsidRPr="00761EF3">
        <w:rPr>
          <w:szCs w:val="22"/>
        </w:rPr>
        <w:t>30</w:t>
      </w:r>
      <w:r w:rsidRPr="00043A1E">
        <w:rPr>
          <w:rFonts w:hint="eastAsia"/>
          <w:szCs w:val="22"/>
        </w:rPr>
        <w:t>，</w:t>
      </w:r>
      <w:r w:rsidRPr="00761EF3">
        <w:rPr>
          <w:szCs w:val="22"/>
        </w:rPr>
        <w:t>7b8</w:t>
      </w:r>
      <w:r w:rsidRPr="00043A1E">
        <w:rPr>
          <w:szCs w:val="22"/>
        </w:rPr>
        <w:t>-</w:t>
      </w:r>
      <w:r w:rsidRPr="00761EF3">
        <w:rPr>
          <w:szCs w:val="22"/>
        </w:rPr>
        <w:t>c10</w:t>
      </w:r>
      <w:r w:rsidRPr="00043A1E">
        <w:rPr>
          <w:szCs w:val="22"/>
        </w:rPr>
        <w:t>）</w:t>
      </w:r>
      <w:r w:rsidRPr="00043A1E">
        <w:rPr>
          <w:rFonts w:hint="eastAsia"/>
          <w:szCs w:val="22"/>
        </w:rPr>
        <w:t>。</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）印順法師，《中觀論頌講記》，</w:t>
      </w:r>
      <w:r w:rsidRPr="00761EF3">
        <w:rPr>
          <w:szCs w:val="22"/>
        </w:rPr>
        <w:t>pp</w:t>
      </w:r>
      <w:r w:rsidRPr="00043A1E">
        <w:rPr>
          <w:szCs w:val="22"/>
        </w:rPr>
        <w:t>.</w:t>
      </w:r>
      <w:r w:rsidRPr="00761EF3">
        <w:rPr>
          <w:szCs w:val="22"/>
        </w:rPr>
        <w:t>125</w:t>
      </w:r>
      <w:r w:rsidRPr="00043A1E">
        <w:rPr>
          <w:szCs w:val="22"/>
        </w:rPr>
        <w:t>-</w:t>
      </w:r>
      <w:r w:rsidRPr="00761EF3">
        <w:rPr>
          <w:szCs w:val="22"/>
        </w:rPr>
        <w:t>126</w:t>
      </w:r>
      <w:r w:rsidRPr="00043A1E">
        <w:rPr>
          <w:szCs w:val="22"/>
        </w:rPr>
        <w:t>：</w:t>
      </w:r>
    </w:p>
    <w:p w:rsidR="00157EF6" w:rsidRPr="00043A1E" w:rsidRDefault="00157EF6" w:rsidP="00AA120F">
      <w:pPr>
        <w:pStyle w:val="a5"/>
        <w:ind w:leftChars="335" w:left="804"/>
        <w:jc w:val="both"/>
        <w:rPr>
          <w:rFonts w:ascii="標楷體" w:eastAsia="標楷體" w:hAnsi="標楷體"/>
          <w:b/>
          <w:szCs w:val="22"/>
        </w:rPr>
      </w:pPr>
      <w:r w:rsidRPr="00043A1E">
        <w:rPr>
          <w:rFonts w:ascii="標楷體" w:eastAsia="標楷體" w:hAnsi="標楷體" w:hint="eastAsia"/>
          <w:b/>
          <w:szCs w:val="22"/>
        </w:rPr>
        <w:t>空相未有時，則無虛空法</w:t>
      </w:r>
      <w:r w:rsidR="000C0D46">
        <w:rPr>
          <w:rFonts w:ascii="標楷體" w:eastAsia="標楷體" w:hAnsi="標楷體" w:hint="eastAsia"/>
          <w:b/>
          <w:color w:val="FF0000"/>
          <w:szCs w:val="22"/>
          <w:highlight w:val="yellow"/>
        </w:rPr>
        <w:t>；</w:t>
      </w:r>
      <w:r w:rsidRPr="00043A1E">
        <w:rPr>
          <w:rFonts w:ascii="標楷體" w:eastAsia="標楷體" w:hAnsi="標楷體" w:hint="eastAsia"/>
          <w:b/>
          <w:szCs w:val="22"/>
        </w:rPr>
        <w:t>若先有虛空，即為是無相。</w:t>
      </w:r>
    </w:p>
    <w:p w:rsidR="00157EF6" w:rsidRPr="00043A1E" w:rsidRDefault="00157EF6" w:rsidP="00AA120F">
      <w:pPr>
        <w:pStyle w:val="a5"/>
        <w:ind w:leftChars="335" w:left="804"/>
        <w:jc w:val="both"/>
        <w:rPr>
          <w:rFonts w:ascii="標楷體" w:eastAsia="標楷體" w:hAnsi="標楷體"/>
          <w:b/>
          <w:szCs w:val="22"/>
        </w:rPr>
      </w:pPr>
      <w:r w:rsidRPr="00043A1E">
        <w:rPr>
          <w:rFonts w:ascii="標楷體" w:eastAsia="標楷體" w:hAnsi="標楷體" w:hint="eastAsia"/>
          <w:b/>
          <w:szCs w:val="22"/>
        </w:rPr>
        <w:t>是無相之法，一切處無有。</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一切法的存在，必有他的樣相，有相才可以了解。法體、樣相，這就是能相所相。佛法說能所，如</w:t>
      </w:r>
      <w:r w:rsidR="00F140C4">
        <w:rPr>
          <w:rFonts w:ascii="標楷體" w:eastAsia="標楷體" w:hAnsi="標楷體" w:hint="eastAsia"/>
          <w:szCs w:val="22"/>
        </w:rPr>
        <w:t>「</w:t>
      </w:r>
      <w:r w:rsidRPr="00043A1E">
        <w:rPr>
          <w:rFonts w:ascii="標楷體" w:eastAsia="標楷體" w:hAnsi="標楷體" w:hint="eastAsia"/>
          <w:szCs w:val="22"/>
        </w:rPr>
        <w:t>量</w:t>
      </w:r>
      <w:r w:rsidR="00F140C4">
        <w:rPr>
          <w:rFonts w:ascii="標楷體" w:eastAsia="標楷體" w:hAnsi="標楷體" w:hint="eastAsia"/>
          <w:szCs w:val="22"/>
        </w:rPr>
        <w:t>」</w:t>
      </w:r>
      <w:r w:rsidRPr="00043A1E">
        <w:rPr>
          <w:rFonts w:ascii="標楷體" w:eastAsia="標楷體" w:hAnsi="標楷體" w:hint="eastAsia"/>
          <w:szCs w:val="22"/>
        </w:rPr>
        <w:t>、</w:t>
      </w:r>
      <w:r w:rsidR="00F140C4">
        <w:rPr>
          <w:rFonts w:ascii="標楷體" w:eastAsia="標楷體" w:hAnsi="標楷體" w:hint="eastAsia"/>
          <w:szCs w:val="22"/>
        </w:rPr>
        <w:t>「</w:t>
      </w:r>
      <w:r w:rsidRPr="00043A1E">
        <w:rPr>
          <w:rFonts w:ascii="標楷體" w:eastAsia="標楷體" w:hAnsi="標楷體" w:hint="eastAsia"/>
          <w:szCs w:val="22"/>
        </w:rPr>
        <w:t>所量</w:t>
      </w:r>
      <w:r w:rsidR="00F140C4">
        <w:rPr>
          <w:rFonts w:ascii="標楷體" w:eastAsia="標楷體" w:hAnsi="標楷體" w:hint="eastAsia"/>
          <w:szCs w:val="22"/>
        </w:rPr>
        <w:t>」</w:t>
      </w:r>
      <w:r w:rsidRPr="00043A1E">
        <w:rPr>
          <w:rFonts w:ascii="標楷體" w:eastAsia="標楷體" w:hAnsi="標楷體" w:hint="eastAsia"/>
          <w:szCs w:val="22"/>
        </w:rPr>
        <w:t>，</w:t>
      </w:r>
      <w:r w:rsidR="00F140C4">
        <w:rPr>
          <w:rFonts w:ascii="標楷體" w:eastAsia="標楷體" w:hAnsi="標楷體" w:hint="eastAsia"/>
          <w:szCs w:val="22"/>
        </w:rPr>
        <w:t>「</w:t>
      </w:r>
      <w:r w:rsidRPr="00043A1E">
        <w:rPr>
          <w:rFonts w:ascii="標楷體" w:eastAsia="標楷體" w:hAnsi="標楷體" w:hint="eastAsia"/>
          <w:szCs w:val="22"/>
        </w:rPr>
        <w:t>知</w:t>
      </w:r>
      <w:r w:rsidR="00F140C4">
        <w:rPr>
          <w:rFonts w:ascii="標楷體" w:eastAsia="標楷體" w:hAnsi="標楷體" w:hint="eastAsia"/>
          <w:szCs w:val="22"/>
        </w:rPr>
        <w:t>」</w:t>
      </w:r>
      <w:r w:rsidRPr="00043A1E">
        <w:rPr>
          <w:rFonts w:ascii="標楷體" w:eastAsia="標楷體" w:hAnsi="標楷體" w:hint="eastAsia"/>
          <w:szCs w:val="22"/>
        </w:rPr>
        <w:t>、</w:t>
      </w:r>
      <w:r w:rsidR="00F140C4">
        <w:rPr>
          <w:rFonts w:ascii="標楷體" w:eastAsia="標楷體" w:hAnsi="標楷體" w:hint="eastAsia"/>
          <w:szCs w:val="22"/>
        </w:rPr>
        <w:t>「</w:t>
      </w:r>
      <w:r w:rsidRPr="00043A1E">
        <w:rPr>
          <w:rFonts w:ascii="標楷體" w:eastAsia="標楷體" w:hAnsi="標楷體" w:hint="eastAsia"/>
          <w:szCs w:val="22"/>
        </w:rPr>
        <w:t>所知</w:t>
      </w:r>
      <w:r w:rsidR="00F140C4">
        <w:rPr>
          <w:rFonts w:ascii="標楷體" w:eastAsia="標楷體" w:hAnsi="標楷體" w:hint="eastAsia"/>
          <w:szCs w:val="22"/>
        </w:rPr>
        <w:t>」</w:t>
      </w:r>
      <w:r w:rsidRPr="00043A1E">
        <w:rPr>
          <w:rFonts w:ascii="標楷體" w:eastAsia="標楷體" w:hAnsi="標楷體" w:hint="eastAsia"/>
          <w:szCs w:val="22"/>
        </w:rPr>
        <w:t>，雖沒有說</w:t>
      </w:r>
      <w:r w:rsidR="00F140C4">
        <w:rPr>
          <w:rFonts w:ascii="標楷體" w:eastAsia="標楷體" w:hAnsi="標楷體" w:hint="eastAsia"/>
          <w:szCs w:val="22"/>
        </w:rPr>
        <w:t>「</w:t>
      </w:r>
      <w:r w:rsidRPr="00043A1E">
        <w:rPr>
          <w:rFonts w:ascii="標楷體" w:eastAsia="標楷體" w:hAnsi="標楷體" w:hint="eastAsia"/>
          <w:szCs w:val="22"/>
        </w:rPr>
        <w:t>能</w:t>
      </w:r>
      <w:r w:rsidR="00F140C4">
        <w:rPr>
          <w:rFonts w:ascii="標楷體" w:eastAsia="標楷體" w:hAnsi="標楷體" w:hint="eastAsia"/>
          <w:szCs w:val="22"/>
        </w:rPr>
        <w:t>」</w:t>
      </w:r>
      <w:r w:rsidRPr="00043A1E">
        <w:rPr>
          <w:rFonts w:ascii="標楷體" w:eastAsia="標楷體" w:hAnsi="標楷體" w:hint="eastAsia"/>
          <w:szCs w:val="22"/>
        </w:rPr>
        <w:t>字，也可知道他是能量、能知，因為量與知，本是動詞而靜詞化的。說相與所相，也就是能相、所相。</w:t>
      </w:r>
    </w:p>
    <w:p w:rsidR="00157EF6" w:rsidRPr="00043A1E" w:rsidRDefault="00157EF6" w:rsidP="00AA120F">
      <w:pPr>
        <w:pStyle w:val="a5"/>
        <w:ind w:leftChars="335" w:left="804"/>
        <w:jc w:val="both"/>
        <w:rPr>
          <w:rFonts w:ascii="標楷體" w:eastAsia="標楷體" w:hAnsi="標楷體"/>
          <w:b/>
          <w:szCs w:val="22"/>
        </w:rPr>
      </w:pPr>
      <w:r w:rsidRPr="00043A1E">
        <w:rPr>
          <w:rFonts w:ascii="標楷體" w:eastAsia="標楷體" w:hAnsi="標楷體" w:hint="eastAsia"/>
          <w:b/>
          <w:szCs w:val="22"/>
        </w:rPr>
        <w:t>虛空的法體，是所相；能表顯虛空之所以為虛空的相，叫能相。</w:t>
      </w:r>
    </w:p>
    <w:p w:rsidR="00157EF6" w:rsidRPr="00043A1E" w:rsidRDefault="00157EF6" w:rsidP="00AA120F">
      <w:pPr>
        <w:pStyle w:val="a5"/>
        <w:ind w:leftChars="335" w:left="804"/>
        <w:jc w:val="both"/>
        <w:rPr>
          <w:rFonts w:ascii="標楷體" w:eastAsia="標楷體" w:hAnsi="標楷體"/>
          <w:b/>
          <w:szCs w:val="22"/>
        </w:rPr>
      </w:pPr>
      <w:r w:rsidRPr="00043A1E">
        <w:rPr>
          <w:rFonts w:ascii="標楷體" w:eastAsia="標楷體" w:hAnsi="標楷體" w:hint="eastAsia"/>
          <w:szCs w:val="22"/>
        </w:rPr>
        <w:t>現在就研究他的</w:t>
      </w:r>
      <w:r w:rsidRPr="00043A1E">
        <w:rPr>
          <w:rFonts w:ascii="標楷體" w:eastAsia="標楷體" w:hAnsi="標楷體" w:hint="eastAsia"/>
          <w:b/>
          <w:szCs w:val="22"/>
        </w:rPr>
        <w:t>所相</w:t>
      </w:r>
      <w:r w:rsidRPr="00043A1E">
        <w:rPr>
          <w:rFonts w:ascii="標楷體" w:eastAsia="標楷體" w:hAnsi="標楷體" w:hint="eastAsia"/>
          <w:szCs w:val="22"/>
        </w:rPr>
        <w:t>：</w:t>
      </w:r>
      <w:r w:rsidRPr="00043A1E">
        <w:rPr>
          <w:rFonts w:ascii="標楷體" w:eastAsia="標楷體" w:hAnsi="標楷體" w:hint="eastAsia"/>
          <w:b/>
          <w:szCs w:val="22"/>
        </w:rPr>
        <w:t>假定承認虛空是以無礙性為相，而無礙性的虛空，又是常住實有的，那麼在空相還沒有時，豈不是沒有虛空嗎？所以說：「空相未有時，則無虛空法。」</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b/>
          <w:szCs w:val="22"/>
        </w:rPr>
        <w:t>什麼是無礙性？是質礙性（色法）沒有了以後所顯出的</w:t>
      </w:r>
      <w:r w:rsidRPr="00043A1E">
        <w:rPr>
          <w:rFonts w:ascii="標楷體" w:eastAsia="標楷體" w:hAnsi="標楷體" w:hint="eastAsia"/>
          <w:szCs w:val="22"/>
        </w:rPr>
        <w:t>；也就是因為沒有色法，或眼見，或身觸，所以知道有虛空。這樣，色法存在的時候，不就是沒有無礙相嗎？心法不是物質，是無礙的，而不能說是無礙性的虛空。單說不是色法，也不能說是無礙性的虛空。</w:t>
      </w:r>
      <w:r w:rsidRPr="00043A1E">
        <w:rPr>
          <w:rFonts w:ascii="標楷體" w:eastAsia="標楷體" w:hAnsi="標楷體" w:hint="eastAsia"/>
          <w:b/>
          <w:szCs w:val="22"/>
        </w:rPr>
        <w:t>虛空與色法有關，必在有色法，而色法又沒有了的時候，才成立</w:t>
      </w:r>
      <w:r w:rsidRPr="00043A1E">
        <w:rPr>
          <w:rFonts w:ascii="標楷體" w:eastAsia="標楷體" w:hAnsi="標楷體" w:hint="eastAsia"/>
          <w:szCs w:val="22"/>
        </w:rPr>
        <w:t>。如說死，沒有人不能叫死，要有人受生後，到生命崩潰時，才叫做死。這樣，怎能說虛空是常住、實有的呢？</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假定說：不是起先沒有虛空，是「先」前已「有虛空」的存在，不過等色法沒有了才顯現而已。所以，沒有上面的過失。這也不然，如果先前已有的話，這虛空法，就應該</w:t>
      </w:r>
      <w:r w:rsidR="00442AD0" w:rsidRPr="00442AD0">
        <w:rPr>
          <w:rFonts w:ascii="標楷體" w:eastAsia="標楷體" w:hAnsi="標楷體" w:hint="eastAsia"/>
          <w:b/>
          <w:color w:val="FF0000"/>
          <w:szCs w:val="22"/>
          <w:highlight w:val="yellow"/>
        </w:rPr>
        <w:t>「</w:t>
      </w:r>
      <w:r w:rsidR="00442AD0" w:rsidRPr="00442AD0">
        <w:rPr>
          <w:rFonts w:ascii="標楷體" w:eastAsia="標楷體" w:hAnsi="標楷體" w:hint="eastAsia"/>
          <w:szCs w:val="22"/>
        </w:rPr>
        <w:t>無</w:t>
      </w:r>
      <w:r w:rsidR="00442AD0" w:rsidRPr="00442AD0">
        <w:rPr>
          <w:rFonts w:ascii="標楷體" w:eastAsia="標楷體" w:hAnsi="標楷體" w:hint="eastAsia"/>
          <w:b/>
          <w:color w:val="FF0000"/>
          <w:szCs w:val="22"/>
          <w:highlight w:val="yellow"/>
        </w:rPr>
        <w:t>」</w:t>
      </w:r>
      <w:r w:rsidRPr="00043A1E">
        <w:rPr>
          <w:rFonts w:ascii="標楷體" w:eastAsia="標楷體" w:hAnsi="標楷體" w:hint="eastAsia"/>
          <w:szCs w:val="22"/>
        </w:rPr>
        <w:t>無有</w:t>
      </w:r>
      <w:r w:rsidRPr="00442AD0">
        <w:rPr>
          <w:rFonts w:ascii="標楷體" w:eastAsia="標楷體" w:hAnsi="標楷體" w:hint="eastAsia"/>
          <w:szCs w:val="22"/>
          <w:highlight w:val="yellow"/>
        </w:rPr>
        <w:t>無</w:t>
      </w:r>
      <w:r w:rsidRPr="00043A1E">
        <w:rPr>
          <w:rFonts w:ascii="標楷體" w:eastAsia="標楷體" w:hAnsi="標楷體" w:hint="eastAsia"/>
          <w:szCs w:val="22"/>
        </w:rPr>
        <w:t>礙「相」。</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b/>
          <w:szCs w:val="22"/>
        </w:rPr>
        <w:t>不但</w:t>
      </w:r>
      <w:r w:rsidR="00442AD0" w:rsidRPr="00442AD0">
        <w:rPr>
          <w:rFonts w:ascii="標楷體" w:eastAsia="標楷體" w:hAnsi="標楷體" w:hint="eastAsia"/>
          <w:b/>
          <w:color w:val="FF0000"/>
          <w:szCs w:val="22"/>
          <w:highlight w:val="yellow"/>
        </w:rPr>
        <w:t>「</w:t>
      </w:r>
      <w:r w:rsidRPr="00043A1E">
        <w:rPr>
          <w:rFonts w:ascii="標楷體" w:eastAsia="標楷體" w:hAnsi="標楷體" w:hint="eastAsia"/>
          <w:b/>
          <w:szCs w:val="22"/>
        </w:rPr>
        <w:t>無</w:t>
      </w:r>
      <w:r w:rsidR="00442AD0" w:rsidRPr="00442AD0">
        <w:rPr>
          <w:rFonts w:ascii="標楷體" w:eastAsia="標楷體" w:hAnsi="標楷體" w:hint="eastAsia"/>
          <w:b/>
          <w:color w:val="FF0000"/>
          <w:szCs w:val="22"/>
          <w:highlight w:val="yellow"/>
        </w:rPr>
        <w:t>」</w:t>
      </w:r>
      <w:r w:rsidRPr="00043A1E">
        <w:rPr>
          <w:rFonts w:ascii="標楷體" w:eastAsia="標楷體" w:hAnsi="標楷體" w:hint="eastAsia"/>
          <w:b/>
          <w:szCs w:val="22"/>
        </w:rPr>
        <w:t>有</w:t>
      </w:r>
      <w:r w:rsidR="00442AD0" w:rsidRPr="00442AD0">
        <w:rPr>
          <w:rFonts w:ascii="標楷體" w:eastAsia="標楷體" w:hAnsi="標楷體" w:hint="eastAsia"/>
          <w:szCs w:val="22"/>
          <w:highlight w:val="yellow"/>
        </w:rPr>
        <w:t>無</w:t>
      </w:r>
      <w:r w:rsidRPr="00043A1E">
        <w:rPr>
          <w:rFonts w:ascii="標楷體" w:eastAsia="標楷體" w:hAnsi="標楷體" w:hint="eastAsia"/>
          <w:b/>
          <w:szCs w:val="22"/>
        </w:rPr>
        <w:t>礙「相」的虛空「法」，凡是無相的，「一切處」都決定「無有」。</w:t>
      </w:r>
      <w:r w:rsidRPr="00043A1E">
        <w:rPr>
          <w:rFonts w:ascii="標楷體" w:eastAsia="標楷體" w:hAnsi="標楷體" w:hint="eastAsia"/>
          <w:szCs w:val="22"/>
        </w:rPr>
        <w:t>無相，怎麼知道他是有呢？怎麼可說先有無相的虛空呢？</w:t>
      </w:r>
      <w:r w:rsidRPr="00043A1E">
        <w:rPr>
          <w:rFonts w:ascii="標楷體" w:eastAsia="標楷體" w:hAnsi="標楷體" w:hint="eastAsia"/>
          <w:b/>
          <w:szCs w:val="22"/>
        </w:rPr>
        <w:t>虛空是眼所見、身所觸，在沒有色法而顯出的，離了這樣的認識，根本沒有虛空。</w:t>
      </w:r>
    </w:p>
  </w:footnote>
  <w:footnote w:id="603">
    <w:p w:rsidR="00157EF6" w:rsidRPr="00043A1E" w:rsidRDefault="00157EF6" w:rsidP="00AA120F">
      <w:pPr>
        <w:pStyle w:val="a5"/>
        <w:spacing w:line="0" w:lineRule="atLeast"/>
        <w:ind w:left="792" w:hangingChars="360" w:hanging="792"/>
        <w:jc w:val="both"/>
        <w:rPr>
          <w:rFonts w:eastAsia="SimSun"/>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szCs w:val="22"/>
        </w:rPr>
        <w:t>）</w:t>
      </w:r>
      <w:r w:rsidRPr="00043A1E">
        <w:rPr>
          <w:rFonts w:hint="eastAsia"/>
          <w:szCs w:val="22"/>
        </w:rPr>
        <w:t>《大智度論》卷</w:t>
      </w:r>
      <w:r w:rsidRPr="00761EF3">
        <w:rPr>
          <w:szCs w:val="22"/>
        </w:rPr>
        <w:t>42</w:t>
      </w:r>
      <w:r w:rsidR="00E64597">
        <w:rPr>
          <w:rFonts w:hint="eastAsia"/>
          <w:color w:val="FF0000"/>
          <w:szCs w:val="22"/>
          <w:highlight w:val="yellow"/>
        </w:rPr>
        <w:t>釋</w:t>
      </w:r>
      <w:r w:rsidR="00E64597" w:rsidRPr="00E64597">
        <w:rPr>
          <w:rFonts w:hint="eastAsia"/>
          <w:color w:val="FF0000"/>
          <w:szCs w:val="22"/>
          <w:highlight w:val="yellow"/>
        </w:rPr>
        <w:t>〈</w:t>
      </w:r>
      <w:r w:rsidR="00E64597" w:rsidRPr="00E64597">
        <w:rPr>
          <w:rFonts w:hint="eastAsia"/>
          <w:color w:val="FF0000"/>
          <w:szCs w:val="22"/>
          <w:highlight w:val="yellow"/>
        </w:rPr>
        <w:t xml:space="preserve">9 </w:t>
      </w:r>
      <w:r w:rsidR="00E64597" w:rsidRPr="00E64597">
        <w:rPr>
          <w:rFonts w:hint="eastAsia"/>
          <w:color w:val="FF0000"/>
          <w:szCs w:val="22"/>
          <w:highlight w:val="yellow"/>
        </w:rPr>
        <w:t>集散品〉</w:t>
      </w:r>
      <w:r w:rsidRPr="00043A1E">
        <w:rPr>
          <w:szCs w:val="22"/>
        </w:rPr>
        <w:t>（</w:t>
      </w:r>
      <w:r w:rsidRPr="00043A1E">
        <w:rPr>
          <w:rFonts w:hint="eastAsia"/>
          <w:szCs w:val="22"/>
        </w:rPr>
        <w:t>大正</w:t>
      </w:r>
      <w:r w:rsidRPr="00761EF3">
        <w:rPr>
          <w:szCs w:val="22"/>
        </w:rPr>
        <w:t>25</w:t>
      </w:r>
      <w:r w:rsidRPr="00043A1E">
        <w:rPr>
          <w:rFonts w:hint="eastAsia"/>
          <w:szCs w:val="22"/>
        </w:rPr>
        <w:t>，</w:t>
      </w:r>
      <w:r w:rsidRPr="00761EF3">
        <w:rPr>
          <w:szCs w:val="22"/>
        </w:rPr>
        <w:t>365b9</w:t>
      </w:r>
      <w:r w:rsidRPr="00043A1E">
        <w:rPr>
          <w:szCs w:val="22"/>
        </w:rPr>
        <w:t>-</w:t>
      </w:r>
      <w:r w:rsidRPr="00761EF3">
        <w:rPr>
          <w:szCs w:val="22"/>
        </w:rPr>
        <w:t>13</w:t>
      </w:r>
      <w:r w:rsidRPr="00043A1E">
        <w:rPr>
          <w:szCs w:val="22"/>
        </w:rPr>
        <w:t>）</w:t>
      </w:r>
      <w:r w:rsidRPr="00043A1E">
        <w:rPr>
          <w:rFonts w:hint="eastAsia"/>
          <w:szCs w:val="22"/>
        </w:rPr>
        <w:t>：</w:t>
      </w:r>
    </w:p>
    <w:p w:rsidR="00157EF6" w:rsidRPr="00043A1E" w:rsidRDefault="00157EF6" w:rsidP="00AA120F">
      <w:pPr>
        <w:pStyle w:val="a5"/>
        <w:ind w:leftChars="335" w:left="1464" w:hangingChars="300" w:hanging="660"/>
        <w:jc w:val="both"/>
        <w:rPr>
          <w:rFonts w:ascii="標楷體" w:eastAsia="SimSun" w:hAnsi="標楷體"/>
          <w:szCs w:val="22"/>
        </w:rPr>
      </w:pPr>
      <w:r w:rsidRPr="00043A1E">
        <w:rPr>
          <w:rFonts w:ascii="標楷體" w:eastAsia="標楷體" w:hAnsi="標楷體" w:hint="eastAsia"/>
          <w:szCs w:val="22"/>
        </w:rPr>
        <w:t>問曰：五眾法</w:t>
      </w:r>
      <w:r w:rsidR="000C0D46">
        <w:rPr>
          <w:rFonts w:ascii="標楷體" w:eastAsia="標楷體" w:hAnsi="標楷體" w:hint="eastAsia"/>
          <w:color w:val="FF0000"/>
          <w:kern w:val="0"/>
          <w:highlight w:val="yellow"/>
        </w:rPr>
        <w:t>，</w:t>
      </w:r>
      <w:r w:rsidRPr="00043A1E">
        <w:rPr>
          <w:rFonts w:ascii="標楷體" w:eastAsia="標楷體" w:hAnsi="標楷體" w:hint="eastAsia"/>
          <w:szCs w:val="22"/>
        </w:rPr>
        <w:t>有集散</w:t>
      </w:r>
      <w:r w:rsidR="000C0D46">
        <w:rPr>
          <w:rFonts w:ascii="標楷體" w:eastAsia="標楷體" w:hAnsi="標楷體" w:hint="eastAsia"/>
          <w:color w:val="FF0000"/>
          <w:spacing w:val="-4"/>
          <w:kern w:val="0"/>
          <w:highlight w:val="yellow"/>
        </w:rPr>
        <w:t>；</w:t>
      </w:r>
      <w:r w:rsidRPr="00043A1E">
        <w:rPr>
          <w:rFonts w:ascii="標楷體" w:eastAsia="標楷體" w:hAnsi="標楷體" w:hint="eastAsia"/>
          <w:szCs w:val="22"/>
        </w:rPr>
        <w:t>與此相違</w:t>
      </w:r>
      <w:r w:rsidR="000C0D46">
        <w:rPr>
          <w:rFonts w:ascii="標楷體" w:eastAsia="標楷體" w:hAnsi="標楷體" w:hint="eastAsia"/>
          <w:color w:val="FF0000"/>
          <w:kern w:val="0"/>
          <w:highlight w:val="yellow"/>
        </w:rPr>
        <w:t>，</w:t>
      </w:r>
      <w:r w:rsidRPr="000C0D46">
        <w:rPr>
          <w:rFonts w:ascii="標楷體" w:eastAsia="標楷體" w:hAnsi="標楷體" w:hint="eastAsia"/>
          <w:szCs w:val="22"/>
          <w:highlight w:val="yellow"/>
        </w:rPr>
        <w:t>故言</w:t>
      </w:r>
      <w:r w:rsidR="000C0D46">
        <w:rPr>
          <w:rFonts w:ascii="標楷體" w:eastAsia="標楷體" w:hAnsi="標楷體" w:hint="eastAsia"/>
          <w:bCs/>
          <w:color w:val="FF0000"/>
          <w:kern w:val="0"/>
          <w:highlight w:val="yellow"/>
        </w:rPr>
        <w:t>「</w:t>
      </w:r>
      <w:r>
        <w:rPr>
          <w:rFonts w:ascii="標楷體" w:eastAsia="標楷體" w:hAnsi="標楷體" w:hint="eastAsia"/>
          <w:szCs w:val="22"/>
        </w:rPr>
        <w:t>不集不散</w:t>
      </w:r>
      <w:r w:rsidR="000C0D46">
        <w:rPr>
          <w:rFonts w:ascii="標楷體" w:eastAsia="標楷體" w:hAnsi="標楷體" w:hint="eastAsia"/>
          <w:bCs/>
          <w:color w:val="FF0000"/>
          <w:kern w:val="0"/>
          <w:highlight w:val="yellow"/>
        </w:rPr>
        <w:t>」</w:t>
      </w:r>
      <w:r>
        <w:rPr>
          <w:rFonts w:ascii="標楷體" w:eastAsia="標楷體" w:hAnsi="標楷體" w:hint="eastAsia"/>
          <w:szCs w:val="22"/>
        </w:rPr>
        <w:t>。如、法性、實際等</w:t>
      </w:r>
      <w:r w:rsidR="000C0D46">
        <w:rPr>
          <w:rFonts w:ascii="標楷體" w:eastAsia="標楷體" w:hAnsi="標楷體" w:hint="eastAsia"/>
          <w:color w:val="FF0000"/>
          <w:kern w:val="0"/>
          <w:highlight w:val="yellow"/>
        </w:rPr>
        <w:t>，</w:t>
      </w:r>
      <w:r>
        <w:rPr>
          <w:rFonts w:ascii="標楷體" w:eastAsia="標楷體" w:hAnsi="標楷體" w:hint="eastAsia"/>
          <w:szCs w:val="22"/>
        </w:rPr>
        <w:t>無相違故，云何言</w:t>
      </w:r>
      <w:r w:rsidR="000C0D46">
        <w:rPr>
          <w:rFonts w:ascii="標楷體" w:eastAsia="標楷體" w:hAnsi="標楷體" w:hint="eastAsia"/>
          <w:bCs/>
          <w:color w:val="FF0000"/>
          <w:kern w:val="0"/>
          <w:highlight w:val="yellow"/>
        </w:rPr>
        <w:t>「</w:t>
      </w:r>
      <w:r>
        <w:rPr>
          <w:rFonts w:ascii="標楷體" w:eastAsia="標楷體" w:hAnsi="標楷體" w:hint="eastAsia"/>
          <w:szCs w:val="22"/>
        </w:rPr>
        <w:t>不集不散</w:t>
      </w:r>
      <w:r w:rsidR="000C0D46">
        <w:rPr>
          <w:rFonts w:ascii="標楷體" w:eastAsia="標楷體" w:hAnsi="標楷體" w:hint="eastAsia"/>
          <w:bCs/>
          <w:color w:val="FF0000"/>
          <w:kern w:val="0"/>
          <w:highlight w:val="yellow"/>
        </w:rPr>
        <w:t>」</w:t>
      </w:r>
      <w:r>
        <w:rPr>
          <w:rFonts w:ascii="標楷體" w:eastAsia="標楷體" w:hAnsi="標楷體" w:hint="eastAsia"/>
          <w:szCs w:val="22"/>
        </w:rPr>
        <w:t>？</w:t>
      </w:r>
    </w:p>
    <w:p w:rsidR="00157EF6" w:rsidRPr="00043A1E" w:rsidRDefault="00157EF6" w:rsidP="00AA120F">
      <w:pPr>
        <w:pStyle w:val="a5"/>
        <w:ind w:leftChars="335" w:left="1464" w:hangingChars="300" w:hanging="660"/>
        <w:jc w:val="both"/>
        <w:rPr>
          <w:rFonts w:ascii="標楷體" w:eastAsia="SimSun" w:hAnsi="標楷體"/>
          <w:szCs w:val="22"/>
        </w:rPr>
      </w:pPr>
      <w:r w:rsidRPr="00043A1E">
        <w:rPr>
          <w:rFonts w:ascii="標楷體" w:eastAsia="標楷體" w:hAnsi="標楷體" w:hint="eastAsia"/>
          <w:szCs w:val="22"/>
        </w:rPr>
        <w:t>答曰：行者得如、法性</w:t>
      </w:r>
      <w:r w:rsidRPr="008026CC">
        <w:rPr>
          <w:rFonts w:ascii="標楷體" w:eastAsia="標楷體" w:hAnsi="標楷體" w:hint="eastAsia"/>
          <w:szCs w:val="22"/>
          <w:highlight w:val="yellow"/>
        </w:rPr>
        <w:t>等故</w:t>
      </w:r>
      <w:r w:rsidRPr="00043A1E">
        <w:rPr>
          <w:rFonts w:ascii="標楷體" w:eastAsia="標楷體" w:hAnsi="標楷體" w:hint="eastAsia"/>
          <w:szCs w:val="22"/>
        </w:rPr>
        <w:t>名為</w:t>
      </w:r>
      <w:r w:rsidR="000C0D46">
        <w:rPr>
          <w:rFonts w:ascii="標楷體" w:eastAsia="標楷體" w:hAnsi="標楷體" w:hint="eastAsia"/>
          <w:bCs/>
          <w:color w:val="FF0000"/>
          <w:kern w:val="0"/>
          <w:highlight w:val="yellow"/>
        </w:rPr>
        <w:t>「</w:t>
      </w:r>
      <w:r w:rsidRPr="00043A1E">
        <w:rPr>
          <w:rFonts w:ascii="標楷體" w:eastAsia="標楷體" w:hAnsi="標楷體" w:hint="eastAsia"/>
          <w:szCs w:val="22"/>
        </w:rPr>
        <w:t>集</w:t>
      </w:r>
      <w:r w:rsidR="000C0D46">
        <w:rPr>
          <w:rFonts w:ascii="標楷體" w:eastAsia="標楷體" w:hAnsi="標楷體" w:hint="eastAsia"/>
          <w:bCs/>
          <w:color w:val="FF0000"/>
          <w:kern w:val="0"/>
          <w:highlight w:val="yellow"/>
        </w:rPr>
        <w:t>」</w:t>
      </w:r>
      <w:r w:rsidR="008026CC">
        <w:rPr>
          <w:rFonts w:ascii="標楷體" w:eastAsia="標楷體" w:hAnsi="標楷體" w:hint="eastAsia"/>
          <w:color w:val="FF0000"/>
          <w:szCs w:val="22"/>
          <w:highlight w:val="yellow"/>
        </w:rPr>
        <w:t>，</w:t>
      </w:r>
      <w:r w:rsidRPr="00043A1E">
        <w:rPr>
          <w:rFonts w:ascii="標楷體" w:eastAsia="標楷體" w:hAnsi="標楷體" w:hint="eastAsia"/>
          <w:szCs w:val="22"/>
        </w:rPr>
        <w:t>失故名為</w:t>
      </w:r>
      <w:r w:rsidR="000C0D46">
        <w:rPr>
          <w:rFonts w:ascii="標楷體" w:eastAsia="標楷體" w:hAnsi="標楷體" w:hint="eastAsia"/>
          <w:bCs/>
          <w:color w:val="FF0000"/>
          <w:kern w:val="0"/>
          <w:highlight w:val="yellow"/>
        </w:rPr>
        <w:t>「</w:t>
      </w:r>
      <w:r w:rsidRPr="00043A1E">
        <w:rPr>
          <w:rFonts w:ascii="標楷體" w:eastAsia="標楷體" w:hAnsi="標楷體" w:hint="eastAsia"/>
          <w:szCs w:val="22"/>
        </w:rPr>
        <w:t>散</w:t>
      </w:r>
      <w:r w:rsidR="000C0D46">
        <w:rPr>
          <w:rFonts w:ascii="標楷體" w:eastAsia="標楷體" w:hAnsi="標楷體" w:hint="eastAsia"/>
          <w:bCs/>
          <w:color w:val="FF0000"/>
          <w:kern w:val="0"/>
          <w:highlight w:val="yellow"/>
        </w:rPr>
        <w:t>」</w:t>
      </w:r>
      <w:r w:rsidRPr="00043A1E">
        <w:rPr>
          <w:rFonts w:ascii="標楷體" w:eastAsia="標楷體" w:hAnsi="標楷體" w:hint="eastAsia"/>
          <w:szCs w:val="22"/>
        </w:rPr>
        <w:t>。</w:t>
      </w:r>
      <w:r w:rsidRPr="00043A1E">
        <w:rPr>
          <w:rFonts w:ascii="標楷體" w:eastAsia="標楷體" w:hAnsi="標楷體" w:hint="eastAsia"/>
          <w:b/>
          <w:szCs w:val="22"/>
        </w:rPr>
        <w:t>如虛空雖無集無散，鑿戶牖名為</w:t>
      </w:r>
      <w:r w:rsidR="000C0D46" w:rsidRPr="000C0D46">
        <w:rPr>
          <w:rFonts w:ascii="標楷體" w:eastAsia="標楷體" w:hAnsi="標楷體" w:hint="eastAsia"/>
          <w:b/>
          <w:bCs/>
          <w:color w:val="FF0000"/>
          <w:kern w:val="0"/>
          <w:highlight w:val="yellow"/>
        </w:rPr>
        <w:t>「</w:t>
      </w:r>
      <w:r w:rsidRPr="000C0D46">
        <w:rPr>
          <w:rFonts w:ascii="標楷體" w:eastAsia="標楷體" w:hAnsi="標楷體" w:hint="eastAsia"/>
          <w:b/>
          <w:szCs w:val="22"/>
        </w:rPr>
        <w:t>集</w:t>
      </w:r>
      <w:r w:rsidR="000C0D46" w:rsidRPr="000C0D46">
        <w:rPr>
          <w:rFonts w:ascii="標楷體" w:eastAsia="標楷體" w:hAnsi="標楷體" w:hint="eastAsia"/>
          <w:b/>
          <w:bCs/>
          <w:color w:val="FF0000"/>
          <w:kern w:val="0"/>
          <w:highlight w:val="yellow"/>
        </w:rPr>
        <w:t>」</w:t>
      </w:r>
      <w:r w:rsidR="000C0D46" w:rsidRPr="000C0D46">
        <w:rPr>
          <w:rFonts w:ascii="標楷體" w:eastAsia="標楷體" w:hAnsi="標楷體" w:hint="eastAsia"/>
          <w:b/>
          <w:color w:val="FF0000"/>
          <w:kern w:val="0"/>
          <w:highlight w:val="yellow"/>
        </w:rPr>
        <w:t>，</w:t>
      </w:r>
      <w:r w:rsidRPr="000C0D46">
        <w:rPr>
          <w:rFonts w:ascii="標楷體" w:eastAsia="標楷體" w:hAnsi="標楷體" w:hint="eastAsia"/>
          <w:b/>
          <w:szCs w:val="22"/>
        </w:rPr>
        <w:t>塞故名為</w:t>
      </w:r>
      <w:r w:rsidR="000C0D46" w:rsidRPr="000C0D46">
        <w:rPr>
          <w:rFonts w:ascii="標楷體" w:eastAsia="標楷體" w:hAnsi="標楷體" w:hint="eastAsia"/>
          <w:b/>
          <w:bCs/>
          <w:color w:val="FF0000"/>
          <w:kern w:val="0"/>
          <w:highlight w:val="yellow"/>
        </w:rPr>
        <w:t>「</w:t>
      </w:r>
      <w:r w:rsidRPr="000C0D46">
        <w:rPr>
          <w:rFonts w:ascii="標楷體" w:eastAsia="標楷體" w:hAnsi="標楷體" w:hint="eastAsia"/>
          <w:b/>
          <w:szCs w:val="22"/>
        </w:rPr>
        <w:t>散</w:t>
      </w:r>
      <w:r w:rsidR="000C0D46" w:rsidRPr="000C0D46">
        <w:rPr>
          <w:rFonts w:ascii="標楷體" w:eastAsia="標楷體" w:hAnsi="標楷體" w:hint="eastAsia"/>
          <w:b/>
          <w:bCs/>
          <w:color w:val="FF0000"/>
          <w:kern w:val="0"/>
          <w:highlight w:val="yellow"/>
        </w:rPr>
        <w:t>」</w:t>
      </w:r>
      <w:r>
        <w:rPr>
          <w:rFonts w:ascii="標楷體" w:eastAsia="標楷體" w:hAnsi="標楷體" w:hint="eastAsia"/>
          <w:szCs w:val="22"/>
        </w:rPr>
        <w:t>。</w:t>
      </w:r>
    </w:p>
    <w:p w:rsidR="00157EF6" w:rsidRPr="00043A1E" w:rsidRDefault="00157EF6" w:rsidP="00AA120F">
      <w:pPr>
        <w:pStyle w:val="a5"/>
        <w:ind w:leftChars="105" w:left="791" w:hangingChars="245" w:hanging="539"/>
        <w:jc w:val="both"/>
        <w:rPr>
          <w:rFonts w:eastAsia="SimSun"/>
          <w:szCs w:val="22"/>
        </w:rPr>
      </w:pPr>
      <w:r w:rsidRPr="00043A1E">
        <w:rPr>
          <w:szCs w:val="22"/>
        </w:rPr>
        <w:t>（</w:t>
      </w:r>
      <w:r w:rsidRPr="00761EF3">
        <w:rPr>
          <w:szCs w:val="22"/>
        </w:rPr>
        <w:t>2</w:t>
      </w:r>
      <w:r w:rsidRPr="00043A1E">
        <w:rPr>
          <w:szCs w:val="22"/>
        </w:rPr>
        <w:t>）〔</w:t>
      </w:r>
      <w:r w:rsidRPr="00043A1E">
        <w:rPr>
          <w:rFonts w:hint="eastAsia"/>
          <w:szCs w:val="22"/>
        </w:rPr>
        <w:t>南北朝</w:t>
      </w:r>
      <w:r w:rsidRPr="00043A1E">
        <w:rPr>
          <w:szCs w:val="22"/>
        </w:rPr>
        <w:t>〕</w:t>
      </w:r>
      <w:r w:rsidRPr="00043A1E">
        <w:rPr>
          <w:rFonts w:ascii="SimSun" w:hAnsi="SimSun" w:hint="eastAsia"/>
          <w:szCs w:val="22"/>
        </w:rPr>
        <w:t>慧影抄</w:t>
      </w:r>
      <w:r w:rsidRPr="00043A1E">
        <w:rPr>
          <w:rStyle w:val="byline"/>
          <w:rFonts w:ascii="新細明體" w:hAnsi="新細明體" w:hint="eastAsia"/>
          <w:color w:val="auto"/>
          <w:sz w:val="22"/>
          <w:szCs w:val="22"/>
        </w:rPr>
        <w:t>撰，</w:t>
      </w:r>
      <w:r w:rsidRPr="00043A1E">
        <w:rPr>
          <w:rFonts w:hint="eastAsia"/>
          <w:szCs w:val="22"/>
        </w:rPr>
        <w:t>《大智度論疏》卷</w:t>
      </w:r>
      <w:r w:rsidRPr="00761EF3">
        <w:rPr>
          <w:szCs w:val="22"/>
        </w:rPr>
        <w:t>17</w:t>
      </w:r>
      <w:r w:rsidRPr="00043A1E">
        <w:rPr>
          <w:szCs w:val="22"/>
        </w:rPr>
        <w:t>（</w:t>
      </w:r>
      <w:r w:rsidRPr="00043A1E">
        <w:rPr>
          <w:rFonts w:hint="eastAsia"/>
          <w:szCs w:val="22"/>
        </w:rPr>
        <w:t>卍新續藏</w:t>
      </w:r>
      <w:r w:rsidRPr="00761EF3">
        <w:rPr>
          <w:szCs w:val="22"/>
        </w:rPr>
        <w:t>46</w:t>
      </w:r>
      <w:r w:rsidRPr="00043A1E">
        <w:rPr>
          <w:rFonts w:hint="eastAsia"/>
          <w:szCs w:val="22"/>
        </w:rPr>
        <w:t>，</w:t>
      </w:r>
      <w:r w:rsidRPr="00761EF3">
        <w:rPr>
          <w:szCs w:val="22"/>
        </w:rPr>
        <w:t>865c</w:t>
      </w:r>
      <w:r w:rsidRPr="00761EF3">
        <w:rPr>
          <w:rFonts w:hint="eastAsia"/>
          <w:szCs w:val="22"/>
        </w:rPr>
        <w:t>1</w:t>
      </w:r>
      <w:r w:rsidRPr="00043A1E">
        <w:rPr>
          <w:rFonts w:hint="eastAsia"/>
          <w:szCs w:val="22"/>
        </w:rPr>
        <w:t>-</w:t>
      </w:r>
      <w:r w:rsidRPr="00761EF3">
        <w:rPr>
          <w:rFonts w:hint="eastAsia"/>
          <w:szCs w:val="22"/>
        </w:rPr>
        <w:t>3</w:t>
      </w:r>
      <w:r w:rsidRPr="00043A1E">
        <w:rPr>
          <w:szCs w:val="22"/>
        </w:rPr>
        <w:t>）</w:t>
      </w:r>
      <w:r w:rsidRPr="00043A1E">
        <w:rPr>
          <w:rFonts w:hint="eastAsia"/>
          <w:szCs w:val="22"/>
        </w:rPr>
        <w:t>：</w:t>
      </w:r>
    </w:p>
    <w:p w:rsidR="00157EF6" w:rsidRPr="00043A1E" w:rsidRDefault="00157EF6" w:rsidP="00AA120F">
      <w:pPr>
        <w:snapToGrid w:val="0"/>
        <w:ind w:leftChars="335" w:left="804"/>
        <w:jc w:val="both"/>
        <w:rPr>
          <w:rFonts w:ascii="標楷體" w:eastAsia="標楷體" w:hAnsi="標楷體"/>
          <w:sz w:val="22"/>
          <w:szCs w:val="22"/>
        </w:rPr>
      </w:pPr>
      <w:r w:rsidRPr="00043A1E">
        <w:rPr>
          <w:rFonts w:ascii="標楷體" w:eastAsia="標楷體" w:hAnsi="標楷體" w:hint="eastAsia"/>
          <w:sz w:val="22"/>
          <w:szCs w:val="22"/>
        </w:rPr>
        <w:t>若鑿其門、開戶牖者，則得入中，得此空用，故名為</w:t>
      </w:r>
      <w:r w:rsidR="008026CC">
        <w:rPr>
          <w:rFonts w:ascii="標楷體" w:eastAsia="標楷體" w:hAnsi="標楷體" w:hint="eastAsia"/>
          <w:bCs/>
          <w:color w:val="FF0000"/>
          <w:kern w:val="0"/>
          <w:sz w:val="22"/>
          <w:highlight w:val="yellow"/>
        </w:rPr>
        <w:t>「</w:t>
      </w:r>
      <w:r w:rsidRPr="00043A1E">
        <w:rPr>
          <w:rFonts w:ascii="標楷體" w:eastAsia="標楷體" w:hAnsi="標楷體" w:hint="eastAsia"/>
          <w:sz w:val="22"/>
          <w:szCs w:val="22"/>
        </w:rPr>
        <w:t>集</w:t>
      </w:r>
      <w:r w:rsidR="008026CC">
        <w:rPr>
          <w:rFonts w:ascii="標楷體" w:eastAsia="標楷體" w:hAnsi="標楷體" w:hint="eastAsia"/>
          <w:bCs/>
          <w:color w:val="FF0000"/>
          <w:kern w:val="0"/>
          <w:sz w:val="22"/>
          <w:highlight w:val="yellow"/>
        </w:rPr>
        <w:t>」</w:t>
      </w:r>
      <w:r w:rsidRPr="00043A1E">
        <w:rPr>
          <w:rFonts w:ascii="標楷體" w:eastAsia="標楷體" w:hAnsi="標楷體" w:hint="eastAsia"/>
          <w:sz w:val="22"/>
          <w:szCs w:val="22"/>
        </w:rPr>
        <w:t>；若塞戶時，不得空用，則名為</w:t>
      </w:r>
      <w:r w:rsidR="008026CC">
        <w:rPr>
          <w:rFonts w:ascii="標楷體" w:eastAsia="標楷體" w:hAnsi="標楷體" w:hint="eastAsia"/>
          <w:bCs/>
          <w:color w:val="FF0000"/>
          <w:kern w:val="0"/>
          <w:sz w:val="22"/>
          <w:highlight w:val="yellow"/>
        </w:rPr>
        <w:t>「</w:t>
      </w:r>
      <w:r w:rsidRPr="00043A1E">
        <w:rPr>
          <w:rFonts w:ascii="標楷體" w:eastAsia="標楷體" w:hAnsi="標楷體" w:hint="eastAsia"/>
          <w:sz w:val="22"/>
          <w:szCs w:val="22"/>
        </w:rPr>
        <w:t>散</w:t>
      </w:r>
      <w:r w:rsidR="008026CC">
        <w:rPr>
          <w:rFonts w:ascii="標楷體" w:eastAsia="標楷體" w:hAnsi="標楷體" w:hint="eastAsia"/>
          <w:bCs/>
          <w:color w:val="FF0000"/>
          <w:kern w:val="0"/>
          <w:sz w:val="22"/>
          <w:highlight w:val="yellow"/>
        </w:rPr>
        <w:t>」</w:t>
      </w:r>
      <w:r w:rsidR="008026CC">
        <w:rPr>
          <w:rFonts w:ascii="標楷體" w:eastAsia="標楷體" w:hAnsi="標楷體" w:hint="eastAsia"/>
          <w:color w:val="FF0000"/>
          <w:kern w:val="0"/>
          <w:sz w:val="22"/>
          <w:highlight w:val="yellow"/>
        </w:rPr>
        <w:t>──</w:t>
      </w:r>
      <w:r w:rsidRPr="00043A1E">
        <w:rPr>
          <w:rFonts w:ascii="標楷體" w:eastAsia="標楷體" w:hAnsi="標楷體" w:hint="eastAsia"/>
          <w:sz w:val="22"/>
          <w:szCs w:val="22"/>
        </w:rPr>
        <w:t>故說</w:t>
      </w:r>
      <w:r w:rsidR="008026CC">
        <w:rPr>
          <w:rFonts w:ascii="標楷體" w:eastAsia="標楷體" w:hAnsi="標楷體" w:hint="eastAsia"/>
          <w:bCs/>
          <w:color w:val="FF0000"/>
          <w:kern w:val="0"/>
          <w:sz w:val="22"/>
          <w:highlight w:val="yellow"/>
        </w:rPr>
        <w:t>「</w:t>
      </w:r>
      <w:r w:rsidRPr="00043A1E">
        <w:rPr>
          <w:rFonts w:ascii="標楷體" w:eastAsia="標楷體" w:hAnsi="標楷體" w:hint="eastAsia"/>
          <w:sz w:val="22"/>
          <w:szCs w:val="22"/>
        </w:rPr>
        <w:t>虗空有於集散</w:t>
      </w:r>
      <w:r w:rsidR="008026CC">
        <w:rPr>
          <w:rFonts w:ascii="標楷體" w:eastAsia="標楷體" w:hAnsi="標楷體" w:hint="eastAsia"/>
          <w:bCs/>
          <w:color w:val="FF0000"/>
          <w:kern w:val="0"/>
          <w:sz w:val="22"/>
          <w:highlight w:val="yellow"/>
        </w:rPr>
        <w:t>」</w:t>
      </w:r>
      <w:r w:rsidRPr="00043A1E">
        <w:rPr>
          <w:rFonts w:ascii="標楷體" w:eastAsia="標楷體" w:hAnsi="標楷體" w:hint="eastAsia"/>
          <w:sz w:val="22"/>
          <w:szCs w:val="22"/>
        </w:rPr>
        <w:t>。</w:t>
      </w:r>
    </w:p>
  </w:footnote>
  <w:footnote w:id="604">
    <w:p w:rsidR="008026CC" w:rsidRDefault="00157EF6" w:rsidP="008026CC">
      <w:pPr>
        <w:pStyle w:val="a5"/>
        <w:spacing w:line="0" w:lineRule="atLeast"/>
        <w:ind w:left="792" w:hangingChars="360" w:hanging="792"/>
        <w:jc w:val="both"/>
        <w:rPr>
          <w:spacing w:val="4"/>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spacing w:val="4"/>
          <w:szCs w:val="22"/>
        </w:rPr>
        <w:t>垛</w:t>
      </w:r>
      <w:r w:rsidRPr="00043A1E">
        <w:rPr>
          <w:rFonts w:hint="eastAsia"/>
          <w:spacing w:val="4"/>
          <w:szCs w:val="22"/>
        </w:rPr>
        <w:t>（ㄉㄨㄛ</w:t>
      </w:r>
      <w:r w:rsidRPr="00043A1E">
        <w:rPr>
          <w:rFonts w:ascii="標楷體" w:eastAsia="標楷體" w:hAnsi="標楷體" w:hint="eastAsia"/>
          <w:spacing w:val="4"/>
          <w:szCs w:val="22"/>
        </w:rPr>
        <w:t>ˇ</w:t>
      </w:r>
      <w:r w:rsidRPr="00043A1E">
        <w:rPr>
          <w:rFonts w:hint="eastAsia"/>
          <w:spacing w:val="4"/>
          <w:szCs w:val="22"/>
        </w:rPr>
        <w:t>）</w:t>
      </w:r>
      <w:r w:rsidRPr="00043A1E">
        <w:rPr>
          <w:spacing w:val="4"/>
          <w:szCs w:val="22"/>
        </w:rPr>
        <w:t>：</w:t>
      </w:r>
      <w:r w:rsidRPr="00761EF3">
        <w:rPr>
          <w:spacing w:val="4"/>
          <w:szCs w:val="22"/>
        </w:rPr>
        <w:t>1</w:t>
      </w:r>
      <w:r w:rsidRPr="00043A1E">
        <w:rPr>
          <w:spacing w:val="4"/>
          <w:szCs w:val="22"/>
        </w:rPr>
        <w:t>.</w:t>
      </w:r>
      <w:r w:rsidRPr="00043A1E">
        <w:rPr>
          <w:spacing w:val="4"/>
          <w:szCs w:val="22"/>
        </w:rPr>
        <w:t>墻或某些建築物的突出部位。</w:t>
      </w:r>
    </w:p>
    <w:p w:rsidR="00157EF6" w:rsidRPr="00043A1E" w:rsidRDefault="00157EF6" w:rsidP="008026CC">
      <w:pPr>
        <w:pStyle w:val="a5"/>
        <w:spacing w:line="0" w:lineRule="atLeast"/>
        <w:ind w:left="821" w:hangingChars="360" w:hanging="821"/>
        <w:jc w:val="right"/>
        <w:rPr>
          <w:rFonts w:ascii="新細明體" w:hAnsi="新細明體"/>
          <w:szCs w:val="22"/>
        </w:rPr>
      </w:pPr>
      <w:r w:rsidRPr="00043A1E">
        <w:rPr>
          <w:spacing w:val="4"/>
          <w:szCs w:val="22"/>
        </w:rPr>
        <w:t>（《漢語大詞典》（二），</w:t>
      </w:r>
      <w:r w:rsidRPr="00761EF3">
        <w:rPr>
          <w:spacing w:val="4"/>
          <w:szCs w:val="22"/>
        </w:rPr>
        <w:t>p</w:t>
      </w:r>
      <w:r w:rsidRPr="00043A1E">
        <w:rPr>
          <w:spacing w:val="4"/>
          <w:szCs w:val="22"/>
        </w:rPr>
        <w:t>.</w:t>
      </w:r>
      <w:r w:rsidRPr="00761EF3">
        <w:rPr>
          <w:spacing w:val="4"/>
          <w:szCs w:val="22"/>
        </w:rPr>
        <w:t>1101</w:t>
      </w:r>
      <w:r w:rsidRPr="00043A1E">
        <w:rPr>
          <w:spacing w:val="4"/>
          <w:szCs w:val="22"/>
        </w:rPr>
        <w:t>）</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）垛（ㄉㄨㄛ</w:t>
      </w:r>
      <w:r w:rsidRPr="00043A1E">
        <w:rPr>
          <w:rFonts w:ascii="標楷體" w:eastAsia="標楷體" w:hAnsi="標楷體" w:hint="eastAsia"/>
          <w:szCs w:val="22"/>
        </w:rPr>
        <w:t>ˋ</w:t>
      </w:r>
      <w:r w:rsidRPr="00043A1E">
        <w:rPr>
          <w:rFonts w:hint="eastAsia"/>
          <w:szCs w:val="22"/>
        </w:rPr>
        <w:t>）：</w:t>
      </w:r>
      <w:r w:rsidRPr="00761EF3">
        <w:rPr>
          <w:szCs w:val="22"/>
        </w:rPr>
        <w:t>4</w:t>
      </w:r>
      <w:r w:rsidRPr="00043A1E">
        <w:rPr>
          <w:szCs w:val="22"/>
        </w:rPr>
        <w:t>.</w:t>
      </w:r>
      <w:r w:rsidRPr="00043A1E">
        <w:rPr>
          <w:szCs w:val="22"/>
        </w:rPr>
        <w:t>量詞。《二刻拍案驚奇》卷三七：</w:t>
      </w:r>
      <w:r w:rsidRPr="00043A1E">
        <w:rPr>
          <w:rFonts w:hint="eastAsia"/>
          <w:szCs w:val="22"/>
        </w:rPr>
        <w:t>「</w:t>
      </w:r>
      <w:r w:rsidRPr="00043A1E">
        <w:rPr>
          <w:szCs w:val="22"/>
        </w:rPr>
        <w:t>那下處一帶兩間，兄弟各駐一間，只隔得中間一垛板壁。</w:t>
      </w:r>
      <w:r w:rsidRPr="00043A1E">
        <w:rPr>
          <w:rFonts w:ascii="標楷體" w:eastAsia="標楷體" w:hAnsi="標楷體" w:hint="eastAsia"/>
          <w:szCs w:val="22"/>
        </w:rPr>
        <w:t>」</w:t>
      </w:r>
      <w:r w:rsidRPr="00043A1E">
        <w:rPr>
          <w:szCs w:val="22"/>
        </w:rPr>
        <w:t>（《漢語大詞典》（二），</w:t>
      </w:r>
      <w:r w:rsidRPr="00761EF3">
        <w:rPr>
          <w:szCs w:val="22"/>
        </w:rPr>
        <w:t>p</w:t>
      </w:r>
      <w:r w:rsidRPr="00043A1E">
        <w:rPr>
          <w:szCs w:val="22"/>
        </w:rPr>
        <w:t>.</w:t>
      </w:r>
      <w:r w:rsidRPr="00761EF3">
        <w:rPr>
          <w:szCs w:val="22"/>
        </w:rPr>
        <w:t>1101</w:t>
      </w:r>
      <w:r w:rsidRPr="00043A1E">
        <w:rPr>
          <w:szCs w:val="22"/>
        </w:rPr>
        <w:t>）</w:t>
      </w:r>
    </w:p>
  </w:footnote>
  <w:footnote w:id="605">
    <w:p w:rsidR="00157EF6" w:rsidRPr="00043A1E" w:rsidRDefault="00157EF6" w:rsidP="00AA120F">
      <w:pPr>
        <w:pStyle w:val="a5"/>
        <w:ind w:left="284" w:hangingChars="129" w:hanging="284"/>
        <w:jc w:val="both"/>
        <w:rPr>
          <w:rFonts w:eastAsia="SimSun"/>
          <w:szCs w:val="22"/>
        </w:rPr>
      </w:pPr>
      <w:r w:rsidRPr="00043A1E">
        <w:rPr>
          <w:rStyle w:val="a6"/>
          <w:szCs w:val="22"/>
        </w:rPr>
        <w:footnoteRef/>
      </w:r>
      <w:r w:rsidRPr="00043A1E">
        <w:rPr>
          <w:rFonts w:eastAsia="SimSun" w:hint="eastAsia"/>
          <w:szCs w:val="22"/>
        </w:rPr>
        <w:t xml:space="preserve"> </w:t>
      </w:r>
      <w:r w:rsidRPr="00043A1E">
        <w:rPr>
          <w:rFonts w:ascii="SimSun" w:hAnsi="SimSun" w:hint="eastAsia"/>
          <w:szCs w:val="22"/>
        </w:rPr>
        <w:t>士夫，即</w:t>
      </w:r>
      <w:r w:rsidRPr="003332C9">
        <w:rPr>
          <w:rFonts w:hint="eastAsia"/>
          <w:szCs w:val="22"/>
        </w:rPr>
        <w:t>「</w:t>
      </w:r>
      <w:r w:rsidRPr="00043A1E">
        <w:rPr>
          <w:rFonts w:ascii="SimSun" w:hAnsi="SimSun" w:hint="eastAsia"/>
          <w:szCs w:val="22"/>
        </w:rPr>
        <w:t>人」，或譯為</w:t>
      </w:r>
      <w:r w:rsidRPr="00043A1E">
        <w:rPr>
          <w:szCs w:val="22"/>
        </w:rPr>
        <w:t>補特伽羅（</w:t>
      </w:r>
      <w:r w:rsidRPr="00761EF3">
        <w:rPr>
          <w:szCs w:val="22"/>
        </w:rPr>
        <w:t>pudgala</w:t>
      </w:r>
      <w:r w:rsidRPr="00043A1E">
        <w:rPr>
          <w:szCs w:val="22"/>
        </w:rPr>
        <w:t>）</w:t>
      </w:r>
      <w:r w:rsidRPr="00043A1E">
        <w:rPr>
          <w:rFonts w:hint="eastAsia"/>
          <w:szCs w:val="22"/>
        </w:rPr>
        <w:t>。</w:t>
      </w:r>
    </w:p>
  </w:footnote>
  <w:footnote w:id="606">
    <w:p w:rsidR="00AE6593" w:rsidRPr="00043A1E" w:rsidRDefault="00AE6593" w:rsidP="00AE6593">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szCs w:val="22"/>
        </w:rPr>
        <w:t>1</w:t>
      </w:r>
      <w:r w:rsidRPr="00043A1E">
        <w:rPr>
          <w:rFonts w:hint="eastAsia"/>
          <w:szCs w:val="22"/>
        </w:rPr>
        <w:t>）《中阿含經》卷</w:t>
      </w:r>
      <w:r w:rsidRPr="00761EF3">
        <w:rPr>
          <w:rFonts w:hint="eastAsia"/>
          <w:szCs w:val="22"/>
        </w:rPr>
        <w:t>42</w:t>
      </w:r>
      <w:r w:rsidRPr="00043A1E">
        <w:rPr>
          <w:rFonts w:hint="eastAsia"/>
          <w:szCs w:val="22"/>
        </w:rPr>
        <w:t>（</w:t>
      </w:r>
      <w:r w:rsidRPr="00761EF3">
        <w:rPr>
          <w:rFonts w:hint="eastAsia"/>
          <w:szCs w:val="22"/>
        </w:rPr>
        <w:t>162</w:t>
      </w:r>
      <w:r w:rsidRPr="00043A1E">
        <w:rPr>
          <w:rFonts w:hint="eastAsia"/>
          <w:szCs w:val="22"/>
        </w:rPr>
        <w:t>經）</w:t>
      </w:r>
      <w:r w:rsidRPr="00043A1E">
        <w:rPr>
          <w:rFonts w:ascii="新細明體" w:hAnsi="新細明體" w:hint="eastAsia"/>
          <w:szCs w:val="22"/>
        </w:rPr>
        <w:t>《六界經</w:t>
      </w:r>
      <w:r w:rsidRPr="00043A1E">
        <w:rPr>
          <w:rFonts w:hint="eastAsia"/>
          <w:szCs w:val="22"/>
        </w:rPr>
        <w:t>》（大正</w:t>
      </w:r>
      <w:r w:rsidRPr="00761EF3">
        <w:rPr>
          <w:rFonts w:hint="eastAsia"/>
          <w:szCs w:val="22"/>
        </w:rPr>
        <w:t>1</w:t>
      </w:r>
      <w:r w:rsidRPr="00043A1E">
        <w:rPr>
          <w:rFonts w:hint="eastAsia"/>
          <w:szCs w:val="22"/>
        </w:rPr>
        <w:t>，</w:t>
      </w:r>
      <w:r w:rsidRPr="00761EF3">
        <w:rPr>
          <w:rFonts w:hint="eastAsia"/>
          <w:szCs w:val="22"/>
        </w:rPr>
        <w:t>690b27</w:t>
      </w:r>
      <w:r w:rsidRPr="00043A1E">
        <w:rPr>
          <w:rFonts w:hint="eastAsia"/>
          <w:szCs w:val="22"/>
        </w:rPr>
        <w:t>-</w:t>
      </w:r>
      <w:r w:rsidRPr="00761EF3">
        <w:rPr>
          <w:rFonts w:hint="eastAsia"/>
          <w:szCs w:val="22"/>
        </w:rPr>
        <w:t>29</w:t>
      </w:r>
      <w:r w:rsidRPr="00043A1E">
        <w:rPr>
          <w:rFonts w:hint="eastAsia"/>
          <w:szCs w:val="22"/>
        </w:rPr>
        <w:t>）：</w:t>
      </w:r>
    </w:p>
    <w:p w:rsidR="00AE6593" w:rsidRPr="00043A1E" w:rsidRDefault="00AE6593" w:rsidP="00AE6593">
      <w:pPr>
        <w:pStyle w:val="a5"/>
        <w:ind w:leftChars="335" w:left="804"/>
        <w:jc w:val="both"/>
        <w:rPr>
          <w:rFonts w:ascii="標楷體" w:eastAsia="標楷體" w:hAnsi="標楷體"/>
          <w:szCs w:val="22"/>
        </w:rPr>
      </w:pPr>
      <w:r w:rsidRPr="00043A1E">
        <w:rPr>
          <w:rFonts w:ascii="標楷體" w:eastAsia="標楷體" w:hAnsi="標楷體" w:hint="eastAsia"/>
          <w:szCs w:val="22"/>
        </w:rPr>
        <w:t>人有六界聚，此說何因？謂地界、水界、火界、風界、空界、識界。比丘！人有六界聚者，因此故說。</w:t>
      </w:r>
    </w:p>
    <w:p w:rsidR="00AE6593" w:rsidRPr="00043A1E" w:rsidRDefault="00AE6593" w:rsidP="00AE6593">
      <w:pPr>
        <w:pStyle w:val="a5"/>
        <w:ind w:leftChars="105" w:left="791" w:hangingChars="245" w:hanging="539"/>
        <w:jc w:val="both"/>
        <w:rPr>
          <w:rFonts w:eastAsia="SimSun"/>
          <w:szCs w:val="22"/>
        </w:rPr>
      </w:pPr>
      <w:r w:rsidRPr="00043A1E">
        <w:rPr>
          <w:szCs w:val="22"/>
        </w:rPr>
        <w:t>（</w:t>
      </w:r>
      <w:r w:rsidRPr="00761EF3">
        <w:rPr>
          <w:szCs w:val="22"/>
        </w:rPr>
        <w:t>2</w:t>
      </w:r>
      <w:r w:rsidRPr="00043A1E">
        <w:rPr>
          <w:szCs w:val="22"/>
        </w:rPr>
        <w:t>）</w:t>
      </w:r>
      <w:r w:rsidRPr="00043A1E">
        <w:rPr>
          <w:rFonts w:hint="eastAsia"/>
          <w:szCs w:val="22"/>
        </w:rPr>
        <w:t>《成實論》卷</w:t>
      </w:r>
      <w:r w:rsidRPr="00761EF3">
        <w:rPr>
          <w:rFonts w:hint="eastAsia"/>
          <w:szCs w:val="22"/>
        </w:rPr>
        <w:t>2</w:t>
      </w:r>
      <w:r w:rsidRPr="00043A1E">
        <w:rPr>
          <w:rFonts w:hint="eastAsia"/>
          <w:szCs w:val="22"/>
        </w:rPr>
        <w:t>〈</w:t>
      </w:r>
      <w:r w:rsidRPr="00761EF3">
        <w:rPr>
          <w:rFonts w:hint="eastAsia"/>
          <w:szCs w:val="22"/>
        </w:rPr>
        <w:t>17</w:t>
      </w:r>
      <w:r w:rsidRPr="00043A1E">
        <w:rPr>
          <w:szCs w:val="22"/>
        </w:rPr>
        <w:t xml:space="preserve"> </w:t>
      </w:r>
      <w:r w:rsidRPr="00043A1E">
        <w:rPr>
          <w:rFonts w:hint="eastAsia"/>
          <w:szCs w:val="22"/>
        </w:rPr>
        <w:t>四諦品〉</w:t>
      </w:r>
      <w:r w:rsidRPr="00043A1E">
        <w:rPr>
          <w:szCs w:val="22"/>
        </w:rPr>
        <w:t>（</w:t>
      </w:r>
      <w:r w:rsidRPr="00043A1E">
        <w:rPr>
          <w:rFonts w:hint="eastAsia"/>
          <w:szCs w:val="22"/>
        </w:rPr>
        <w:t>大正</w:t>
      </w:r>
      <w:r w:rsidRPr="00761EF3">
        <w:rPr>
          <w:rFonts w:hint="eastAsia"/>
          <w:szCs w:val="22"/>
        </w:rPr>
        <w:t>32</w:t>
      </w:r>
      <w:r w:rsidRPr="00043A1E">
        <w:rPr>
          <w:rFonts w:hint="eastAsia"/>
          <w:szCs w:val="22"/>
        </w:rPr>
        <w:t>，</w:t>
      </w:r>
      <w:r w:rsidRPr="00761EF3">
        <w:rPr>
          <w:rFonts w:hint="eastAsia"/>
          <w:szCs w:val="22"/>
        </w:rPr>
        <w:t>251a8</w:t>
      </w:r>
      <w:r w:rsidRPr="00043A1E">
        <w:rPr>
          <w:rFonts w:hint="eastAsia"/>
          <w:szCs w:val="22"/>
        </w:rPr>
        <w:t>-</w:t>
      </w:r>
      <w:r w:rsidRPr="00761EF3">
        <w:rPr>
          <w:rFonts w:hint="eastAsia"/>
          <w:szCs w:val="22"/>
        </w:rPr>
        <w:t>10</w:t>
      </w:r>
      <w:r w:rsidRPr="00043A1E">
        <w:rPr>
          <w:szCs w:val="22"/>
        </w:rPr>
        <w:t>）</w:t>
      </w:r>
      <w:r w:rsidRPr="00043A1E">
        <w:rPr>
          <w:rFonts w:hint="eastAsia"/>
          <w:szCs w:val="22"/>
        </w:rPr>
        <w:t>：</w:t>
      </w:r>
    </w:p>
    <w:p w:rsidR="00AE6593" w:rsidRPr="00043A1E" w:rsidRDefault="00AE6593" w:rsidP="00AE6593">
      <w:pPr>
        <w:pStyle w:val="a5"/>
        <w:ind w:leftChars="335" w:left="804"/>
        <w:jc w:val="both"/>
        <w:rPr>
          <w:rFonts w:eastAsia="SimSun"/>
          <w:szCs w:val="22"/>
        </w:rPr>
      </w:pPr>
      <w:r w:rsidRPr="00043A1E">
        <w:rPr>
          <w:rFonts w:ascii="標楷體" w:eastAsia="標楷體" w:hAnsi="標楷體" w:hint="eastAsia"/>
          <w:szCs w:val="22"/>
        </w:rPr>
        <w:t>又有六種：地、水、火、風、空、識。</w:t>
      </w:r>
      <w:r>
        <w:rPr>
          <w:rFonts w:eastAsia="標楷體" w:hint="eastAsia"/>
          <w:color w:val="FF0000"/>
          <w:szCs w:val="22"/>
          <w:highlight w:val="yellow"/>
        </w:rPr>
        <w:t>「</w:t>
      </w:r>
      <w:r w:rsidRPr="00043A1E">
        <w:rPr>
          <w:rFonts w:ascii="標楷體" w:eastAsia="標楷體" w:hAnsi="標楷體" w:hint="eastAsia"/>
          <w:szCs w:val="22"/>
        </w:rPr>
        <w:t>四大</w:t>
      </w:r>
      <w:r>
        <w:rPr>
          <w:rFonts w:eastAsia="標楷體" w:hint="eastAsia"/>
          <w:color w:val="FF0000"/>
          <w:szCs w:val="22"/>
          <w:highlight w:val="yellow"/>
        </w:rPr>
        <w:t>」</w:t>
      </w:r>
      <w:r w:rsidRPr="00043A1E">
        <w:rPr>
          <w:rFonts w:ascii="標楷體" w:eastAsia="標楷體" w:hAnsi="標楷體" w:hint="eastAsia"/>
          <w:szCs w:val="22"/>
        </w:rPr>
        <w:t>圍</w:t>
      </w:r>
      <w:r>
        <w:rPr>
          <w:rFonts w:eastAsia="標楷體" w:hint="eastAsia"/>
          <w:color w:val="FF0000"/>
          <w:szCs w:val="22"/>
          <w:highlight w:val="yellow"/>
        </w:rPr>
        <w:t>「</w:t>
      </w:r>
      <w:r w:rsidRPr="00043A1E">
        <w:rPr>
          <w:rFonts w:ascii="標楷體" w:eastAsia="標楷體" w:hAnsi="標楷體" w:hint="eastAsia"/>
          <w:szCs w:val="22"/>
        </w:rPr>
        <w:t>空</w:t>
      </w:r>
      <w:r>
        <w:rPr>
          <w:rFonts w:eastAsia="標楷體" w:hint="eastAsia"/>
          <w:color w:val="FF0000"/>
          <w:szCs w:val="22"/>
          <w:highlight w:val="yellow"/>
        </w:rPr>
        <w:t>」</w:t>
      </w:r>
      <w:r w:rsidRPr="00043A1E">
        <w:rPr>
          <w:rFonts w:ascii="標楷體" w:eastAsia="標楷體" w:hAnsi="標楷體" w:hint="eastAsia"/>
          <w:szCs w:val="22"/>
        </w:rPr>
        <w:t>，有</w:t>
      </w:r>
      <w:r>
        <w:rPr>
          <w:rFonts w:eastAsia="標楷體" w:hint="eastAsia"/>
          <w:color w:val="FF0000"/>
          <w:szCs w:val="22"/>
          <w:highlight w:val="yellow"/>
        </w:rPr>
        <w:t>「</w:t>
      </w:r>
      <w:r w:rsidRPr="00043A1E">
        <w:rPr>
          <w:rFonts w:ascii="標楷體" w:eastAsia="標楷體" w:hAnsi="標楷體" w:hint="eastAsia"/>
          <w:szCs w:val="22"/>
        </w:rPr>
        <w:t>識</w:t>
      </w:r>
      <w:r>
        <w:rPr>
          <w:rFonts w:eastAsia="標楷體" w:hint="eastAsia"/>
          <w:color w:val="FF0000"/>
          <w:szCs w:val="22"/>
          <w:highlight w:val="yellow"/>
        </w:rPr>
        <w:t>」</w:t>
      </w:r>
      <w:r w:rsidRPr="00043A1E">
        <w:rPr>
          <w:rFonts w:ascii="標楷體" w:eastAsia="標楷體" w:hAnsi="標楷體" w:hint="eastAsia"/>
          <w:szCs w:val="22"/>
        </w:rPr>
        <w:t>在中</w:t>
      </w:r>
      <w:r w:rsidRPr="00FC005D">
        <w:rPr>
          <w:rFonts w:ascii="標楷體" w:eastAsia="標楷體" w:hAnsi="標楷體" w:hint="eastAsia"/>
          <w:color w:val="FF0000"/>
          <w:szCs w:val="22"/>
          <w:highlight w:val="yellow"/>
        </w:rPr>
        <w:t>，</w:t>
      </w:r>
      <w:r w:rsidRPr="00043A1E">
        <w:rPr>
          <w:rFonts w:ascii="標楷體" w:eastAsia="標楷體" w:hAnsi="標楷體" w:hint="eastAsia"/>
          <w:szCs w:val="22"/>
        </w:rPr>
        <w:t>數名為</w:t>
      </w:r>
      <w:r>
        <w:rPr>
          <w:rFonts w:eastAsia="標楷體" w:hint="eastAsia"/>
          <w:color w:val="FF0000"/>
          <w:szCs w:val="22"/>
          <w:highlight w:val="yellow"/>
        </w:rPr>
        <w:t>「</w:t>
      </w:r>
      <w:r w:rsidRPr="00043A1E">
        <w:rPr>
          <w:rFonts w:ascii="標楷體" w:eastAsia="標楷體" w:hAnsi="標楷體" w:hint="eastAsia"/>
          <w:szCs w:val="22"/>
        </w:rPr>
        <w:t>人</w:t>
      </w:r>
      <w:r>
        <w:rPr>
          <w:rFonts w:eastAsia="標楷體" w:hint="eastAsia"/>
          <w:color w:val="FF0000"/>
          <w:szCs w:val="22"/>
          <w:highlight w:val="yellow"/>
        </w:rPr>
        <w:t>」</w:t>
      </w:r>
      <w:r w:rsidRPr="00043A1E">
        <w:rPr>
          <w:rFonts w:ascii="標楷體" w:eastAsia="標楷體" w:hAnsi="標楷體" w:hint="eastAsia"/>
          <w:szCs w:val="22"/>
        </w:rPr>
        <w:t>。</w:t>
      </w:r>
    </w:p>
    <w:p w:rsidR="00AE6593" w:rsidRPr="00043A1E" w:rsidRDefault="00AE6593" w:rsidP="00AE6593">
      <w:pPr>
        <w:pStyle w:val="a5"/>
        <w:ind w:leftChars="105" w:left="791" w:hangingChars="245" w:hanging="539"/>
        <w:jc w:val="both"/>
        <w:rPr>
          <w:rFonts w:eastAsia="SimSun"/>
          <w:szCs w:val="22"/>
        </w:rPr>
      </w:pPr>
      <w:r w:rsidRPr="00043A1E">
        <w:rPr>
          <w:szCs w:val="22"/>
        </w:rPr>
        <w:t>（</w:t>
      </w:r>
      <w:r w:rsidRPr="00761EF3">
        <w:rPr>
          <w:rFonts w:eastAsia="標楷體"/>
          <w:szCs w:val="22"/>
        </w:rPr>
        <w:t>3</w:t>
      </w:r>
      <w:r w:rsidRPr="00043A1E">
        <w:rPr>
          <w:szCs w:val="22"/>
        </w:rPr>
        <w:t>）</w:t>
      </w:r>
      <w:r w:rsidRPr="00043A1E">
        <w:rPr>
          <w:rFonts w:ascii="新細明體" w:hAnsi="新細明體" w:hint="eastAsia"/>
          <w:szCs w:val="22"/>
        </w:rPr>
        <w:t>印順法師，《成佛之道</w:t>
      </w:r>
      <w:r w:rsidRPr="00043A1E">
        <w:rPr>
          <w:rFonts w:hint="eastAsia"/>
          <w:szCs w:val="22"/>
        </w:rPr>
        <w:t>》</w:t>
      </w:r>
      <w:r w:rsidRPr="00043A1E">
        <w:rPr>
          <w:rFonts w:ascii="新細明體" w:hAnsi="新細明體" w:hint="eastAsia"/>
          <w:szCs w:val="22"/>
        </w:rPr>
        <w:t>（增注本），</w:t>
      </w:r>
      <w:r w:rsidRPr="00761EF3">
        <w:rPr>
          <w:rFonts w:eastAsia="SimSun" w:hint="eastAsia"/>
          <w:szCs w:val="22"/>
        </w:rPr>
        <w:t>pp</w:t>
      </w:r>
      <w:r w:rsidRPr="00043A1E">
        <w:rPr>
          <w:rFonts w:eastAsia="SimSun" w:hint="eastAsia"/>
          <w:szCs w:val="22"/>
        </w:rPr>
        <w:t>.</w:t>
      </w:r>
      <w:r w:rsidRPr="00761EF3">
        <w:rPr>
          <w:rFonts w:eastAsia="SimSun" w:hint="eastAsia"/>
          <w:szCs w:val="22"/>
        </w:rPr>
        <w:t>152</w:t>
      </w:r>
      <w:r w:rsidRPr="00043A1E">
        <w:rPr>
          <w:rFonts w:eastAsia="SimSun" w:hint="eastAsia"/>
          <w:szCs w:val="22"/>
        </w:rPr>
        <w:t>-</w:t>
      </w:r>
      <w:r w:rsidRPr="00761EF3">
        <w:rPr>
          <w:rFonts w:eastAsia="SimSun" w:hint="eastAsia"/>
          <w:szCs w:val="22"/>
        </w:rPr>
        <w:t>153</w:t>
      </w:r>
      <w:r w:rsidRPr="00043A1E">
        <w:rPr>
          <w:rFonts w:hint="eastAsia"/>
          <w:szCs w:val="22"/>
        </w:rPr>
        <w:t>：</w:t>
      </w:r>
    </w:p>
    <w:p w:rsidR="00AE6593" w:rsidRPr="00043A1E" w:rsidRDefault="00AE6593" w:rsidP="00AE6593">
      <w:pPr>
        <w:pStyle w:val="a5"/>
        <w:ind w:leftChars="335" w:left="804"/>
        <w:jc w:val="both"/>
        <w:rPr>
          <w:rFonts w:eastAsia="SimSun"/>
          <w:szCs w:val="22"/>
        </w:rPr>
      </w:pPr>
      <w:r w:rsidRPr="00043A1E">
        <w:rPr>
          <w:rFonts w:ascii="標楷體" w:eastAsia="標楷體" w:hAnsi="標楷體" w:hint="eastAsia"/>
          <w:szCs w:val="22"/>
        </w:rPr>
        <w:t>六界，是六類，是構成眾生自體的六項因素，界是種類或因素的意義。六界是：地界、水界、火界、風界、空界、識界，也叫六大。地、水、火、風四（大）界，是物質特性的分類，意義有深有淺。從淺近處說：身體的骨肉等堅硬性，是地界；血汗等潤濕性，是水界；溫熱性，是火界；呼吸運動等輕動性，是風界。這是物質──生理的一切。空界，是空間。如臟腑中空隙，眼耳鼻口等空隙，以及周身毛孔，都是空界。換言之，物質的身體，是充滿空隙的。識界就是了別，取著的六識。有了這六種因素，就成為眾生。</w:t>
      </w:r>
    </w:p>
  </w:footnote>
  <w:footnote w:id="607">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腠理：</w:t>
      </w:r>
      <w:r w:rsidRPr="00761EF3">
        <w:rPr>
          <w:szCs w:val="22"/>
        </w:rPr>
        <w:t>1</w:t>
      </w:r>
      <w:r w:rsidRPr="00043A1E">
        <w:rPr>
          <w:szCs w:val="22"/>
        </w:rPr>
        <w:t>.</w:t>
      </w:r>
      <w:r w:rsidRPr="00043A1E">
        <w:rPr>
          <w:szCs w:val="22"/>
        </w:rPr>
        <w:t>中醫指皮下肌肉之間的空隙和皮膚、肌肉的紋理。為滲泄及氣血流通灌注之處。（《漢語大詞典》（</w:t>
      </w:r>
      <w:r w:rsidRPr="00043A1E">
        <w:rPr>
          <w:rFonts w:ascii="SimSun" w:eastAsia="SimSun" w:hAnsi="SimSun" w:hint="eastAsia"/>
          <w:szCs w:val="22"/>
        </w:rPr>
        <w:t>六</w:t>
      </w:r>
      <w:r w:rsidRPr="00043A1E">
        <w:rPr>
          <w:szCs w:val="22"/>
        </w:rPr>
        <w:t>），</w:t>
      </w:r>
      <w:r w:rsidRPr="00761EF3">
        <w:rPr>
          <w:szCs w:val="22"/>
        </w:rPr>
        <w:t>p</w:t>
      </w:r>
      <w:r w:rsidRPr="00043A1E">
        <w:rPr>
          <w:szCs w:val="22"/>
        </w:rPr>
        <w:t>.</w:t>
      </w:r>
      <w:r w:rsidRPr="00761EF3">
        <w:rPr>
          <w:szCs w:val="22"/>
        </w:rPr>
        <w:t>1</w:t>
      </w:r>
      <w:r w:rsidRPr="00761EF3">
        <w:rPr>
          <w:rFonts w:eastAsia="SimSun"/>
          <w:szCs w:val="22"/>
        </w:rPr>
        <w:t>340</w:t>
      </w:r>
      <w:r w:rsidRPr="00043A1E">
        <w:rPr>
          <w:szCs w:val="22"/>
        </w:rPr>
        <w:t>）</w:t>
      </w:r>
    </w:p>
  </w:footnote>
  <w:footnote w:id="608">
    <w:p w:rsidR="00157EF6" w:rsidRPr="00043A1E" w:rsidRDefault="00157EF6" w:rsidP="00AA120F">
      <w:pPr>
        <w:pStyle w:val="a5"/>
        <w:spacing w:line="0" w:lineRule="atLeast"/>
        <w:ind w:left="253" w:hangingChars="115" w:hanging="253"/>
        <w:jc w:val="both"/>
        <w:rPr>
          <w:rFonts w:eastAsia="SimSun"/>
          <w:szCs w:val="22"/>
        </w:rPr>
      </w:pPr>
      <w:r w:rsidRPr="00043A1E">
        <w:rPr>
          <w:rStyle w:val="a6"/>
          <w:szCs w:val="22"/>
        </w:rPr>
        <w:footnoteRef/>
      </w:r>
      <w:r w:rsidRPr="00043A1E">
        <w:rPr>
          <w:rFonts w:hint="eastAsia"/>
          <w:szCs w:val="22"/>
        </w:rPr>
        <w:t xml:space="preserve"> </w:t>
      </w:r>
      <w:r w:rsidRPr="00043A1E">
        <w:rPr>
          <w:rFonts w:hint="eastAsia"/>
          <w:szCs w:val="22"/>
        </w:rPr>
        <w:t>《阿毘達磨大毘婆沙論》卷</w:t>
      </w:r>
      <w:r w:rsidRPr="00761EF3">
        <w:rPr>
          <w:rFonts w:hint="eastAsia"/>
          <w:szCs w:val="22"/>
        </w:rPr>
        <w:t>75</w:t>
      </w:r>
      <w:r w:rsidRPr="00043A1E">
        <w:rPr>
          <w:szCs w:val="22"/>
        </w:rPr>
        <w:t>（</w:t>
      </w:r>
      <w:r w:rsidRPr="00043A1E">
        <w:rPr>
          <w:rFonts w:hint="eastAsia"/>
          <w:szCs w:val="22"/>
        </w:rPr>
        <w:t>大正</w:t>
      </w:r>
      <w:r w:rsidRPr="00761EF3">
        <w:rPr>
          <w:rFonts w:hint="eastAsia"/>
          <w:szCs w:val="22"/>
        </w:rPr>
        <w:t>27</w:t>
      </w:r>
      <w:r w:rsidRPr="00043A1E">
        <w:rPr>
          <w:rFonts w:hint="eastAsia"/>
          <w:szCs w:val="22"/>
        </w:rPr>
        <w:t>，</w:t>
      </w:r>
      <w:r w:rsidRPr="00761EF3">
        <w:rPr>
          <w:rFonts w:hint="eastAsia"/>
          <w:szCs w:val="22"/>
        </w:rPr>
        <w:t>388a29</w:t>
      </w:r>
      <w:r w:rsidRPr="00043A1E">
        <w:rPr>
          <w:rFonts w:hint="eastAsia"/>
          <w:szCs w:val="22"/>
        </w:rPr>
        <w:t>-</w:t>
      </w:r>
      <w:r w:rsidRPr="00761EF3">
        <w:rPr>
          <w:rFonts w:hint="eastAsia"/>
          <w:szCs w:val="22"/>
        </w:rPr>
        <w:t>b4</w:t>
      </w:r>
      <w:r w:rsidRPr="00043A1E">
        <w:rPr>
          <w:rFonts w:hint="eastAsia"/>
          <w:szCs w:val="22"/>
        </w:rPr>
        <w:t>）：</w:t>
      </w:r>
    </w:p>
    <w:p w:rsidR="00157EF6" w:rsidRPr="00043A1E" w:rsidRDefault="00157EF6" w:rsidP="00AA120F">
      <w:pPr>
        <w:pStyle w:val="a5"/>
        <w:ind w:leftChars="105" w:left="692" w:hangingChars="200" w:hanging="440"/>
        <w:jc w:val="both"/>
        <w:rPr>
          <w:rFonts w:ascii="標楷體" w:eastAsia="SimSun" w:hAnsi="標楷體"/>
          <w:szCs w:val="22"/>
        </w:rPr>
      </w:pPr>
      <w:r w:rsidRPr="00043A1E">
        <w:rPr>
          <w:rFonts w:ascii="標楷體" w:eastAsia="標楷體" w:hAnsi="標楷體" w:hint="eastAsia"/>
          <w:szCs w:val="22"/>
        </w:rPr>
        <w:t>問：</w:t>
      </w:r>
      <w:r w:rsidR="00FC005D">
        <w:rPr>
          <w:rFonts w:eastAsia="標楷體" w:hint="eastAsia"/>
          <w:color w:val="FF0000"/>
          <w:szCs w:val="22"/>
          <w:highlight w:val="yellow"/>
        </w:rPr>
        <w:t>「</w:t>
      </w:r>
      <w:r w:rsidRPr="00043A1E">
        <w:rPr>
          <w:rFonts w:ascii="標楷體" w:eastAsia="標楷體" w:hAnsi="標楷體" w:hint="eastAsia"/>
          <w:szCs w:val="22"/>
        </w:rPr>
        <w:t>空界</w:t>
      </w:r>
      <w:r w:rsidR="00FC005D">
        <w:rPr>
          <w:rFonts w:eastAsia="標楷體" w:hint="eastAsia"/>
          <w:color w:val="FF0000"/>
          <w:szCs w:val="22"/>
          <w:highlight w:val="yellow"/>
        </w:rPr>
        <w:t>」，</w:t>
      </w:r>
      <w:r w:rsidRPr="00043A1E">
        <w:rPr>
          <w:rFonts w:ascii="標楷體" w:eastAsia="標楷體" w:hAnsi="標楷體" w:hint="eastAsia"/>
          <w:szCs w:val="22"/>
        </w:rPr>
        <w:t>云何？</w:t>
      </w:r>
    </w:p>
    <w:p w:rsidR="00157EF6" w:rsidRPr="00043A1E" w:rsidRDefault="00157EF6" w:rsidP="00AA120F">
      <w:pPr>
        <w:pStyle w:val="a5"/>
        <w:ind w:leftChars="105" w:left="692" w:hangingChars="200" w:hanging="440"/>
        <w:jc w:val="both"/>
        <w:rPr>
          <w:rFonts w:ascii="新細明體" w:hAnsi="新細明體"/>
          <w:szCs w:val="22"/>
        </w:rPr>
      </w:pPr>
      <w:r w:rsidRPr="00043A1E">
        <w:rPr>
          <w:rFonts w:ascii="標楷體" w:eastAsia="標楷體" w:hAnsi="標楷體" w:hint="eastAsia"/>
          <w:szCs w:val="22"/>
        </w:rPr>
        <w:t>答：</w:t>
      </w:r>
      <w:r>
        <w:rPr>
          <w:rFonts w:ascii="標楷體" w:eastAsia="標楷體" w:hAnsi="標楷體" w:hint="eastAsia"/>
          <w:szCs w:val="22"/>
        </w:rPr>
        <w:t>如契經說：「</w:t>
      </w:r>
      <w:r w:rsidRPr="00043A1E">
        <w:rPr>
          <w:rFonts w:ascii="標楷體" w:eastAsia="標楷體" w:hAnsi="標楷體" w:hint="eastAsia"/>
          <w:szCs w:val="22"/>
        </w:rPr>
        <w:t>有眼穴空</w:t>
      </w:r>
      <w:r w:rsidRPr="00043A1E">
        <w:rPr>
          <w:rFonts w:ascii="標楷體" w:eastAsia="標楷體" w:hAnsi="標楷體"/>
          <w:szCs w:val="22"/>
        </w:rPr>
        <w:t>、</w:t>
      </w:r>
      <w:r w:rsidRPr="00043A1E">
        <w:rPr>
          <w:rFonts w:ascii="標楷體" w:eastAsia="標楷體" w:hAnsi="標楷體" w:hint="eastAsia"/>
          <w:szCs w:val="22"/>
        </w:rPr>
        <w:t>有耳穴空</w:t>
      </w:r>
      <w:r w:rsidRPr="00043A1E">
        <w:rPr>
          <w:rFonts w:ascii="標楷體" w:eastAsia="標楷體" w:hAnsi="標楷體"/>
          <w:szCs w:val="22"/>
        </w:rPr>
        <w:t>、</w:t>
      </w:r>
      <w:r w:rsidRPr="00043A1E">
        <w:rPr>
          <w:rFonts w:ascii="標楷體" w:eastAsia="標楷體" w:hAnsi="標楷體" w:hint="eastAsia"/>
          <w:szCs w:val="22"/>
        </w:rPr>
        <w:t>有鼻穴空</w:t>
      </w:r>
      <w:r w:rsidRPr="00043A1E">
        <w:rPr>
          <w:rFonts w:ascii="標楷體" w:eastAsia="標楷體" w:hAnsi="標楷體"/>
          <w:szCs w:val="22"/>
        </w:rPr>
        <w:t>、</w:t>
      </w:r>
      <w:r w:rsidRPr="00043A1E">
        <w:rPr>
          <w:rFonts w:ascii="標楷體" w:eastAsia="標楷體" w:hAnsi="標楷體" w:hint="eastAsia"/>
          <w:szCs w:val="22"/>
        </w:rPr>
        <w:t>有面門空</w:t>
      </w:r>
      <w:r w:rsidRPr="00043A1E">
        <w:rPr>
          <w:rFonts w:ascii="標楷體" w:eastAsia="標楷體" w:hAnsi="標楷體"/>
          <w:szCs w:val="22"/>
        </w:rPr>
        <w:t>、</w:t>
      </w:r>
      <w:r w:rsidRPr="00043A1E">
        <w:rPr>
          <w:rFonts w:ascii="標楷體" w:eastAsia="標楷體" w:hAnsi="標楷體" w:hint="eastAsia"/>
          <w:szCs w:val="22"/>
        </w:rPr>
        <w:t>有咽喉空</w:t>
      </w:r>
      <w:r w:rsidRPr="00043A1E">
        <w:rPr>
          <w:rFonts w:ascii="標楷體" w:eastAsia="標楷體" w:hAnsi="標楷體"/>
          <w:szCs w:val="22"/>
        </w:rPr>
        <w:t>、</w:t>
      </w:r>
      <w:r w:rsidRPr="00043A1E">
        <w:rPr>
          <w:rFonts w:ascii="標楷體" w:eastAsia="標楷體" w:hAnsi="標楷體" w:hint="eastAsia"/>
          <w:szCs w:val="22"/>
        </w:rPr>
        <w:t>有心中空</w:t>
      </w:r>
      <w:r w:rsidRPr="00043A1E">
        <w:rPr>
          <w:rFonts w:ascii="標楷體" w:eastAsia="標楷體" w:hAnsi="標楷體"/>
          <w:szCs w:val="22"/>
        </w:rPr>
        <w:t>、</w:t>
      </w:r>
      <w:r w:rsidRPr="00043A1E">
        <w:rPr>
          <w:rFonts w:ascii="標楷體" w:eastAsia="標楷體" w:hAnsi="標楷體" w:hint="eastAsia"/>
          <w:szCs w:val="22"/>
        </w:rPr>
        <w:t>有心邊空</w:t>
      </w:r>
      <w:r w:rsidRPr="00043A1E">
        <w:rPr>
          <w:rFonts w:ascii="標楷體" w:eastAsia="標楷體" w:hAnsi="標楷體"/>
          <w:szCs w:val="22"/>
        </w:rPr>
        <w:t>、</w:t>
      </w:r>
      <w:r w:rsidRPr="00043A1E">
        <w:rPr>
          <w:rFonts w:ascii="標楷體" w:eastAsia="標楷體" w:hAnsi="標楷體" w:hint="eastAsia"/>
          <w:szCs w:val="22"/>
        </w:rPr>
        <w:t>有通飲食處空</w:t>
      </w:r>
      <w:r w:rsidRPr="00043A1E">
        <w:rPr>
          <w:rFonts w:ascii="標楷體" w:eastAsia="標楷體" w:hAnsi="標楷體"/>
          <w:szCs w:val="22"/>
        </w:rPr>
        <w:t>、</w:t>
      </w:r>
      <w:r w:rsidRPr="00043A1E">
        <w:rPr>
          <w:rFonts w:ascii="標楷體" w:eastAsia="標楷體" w:hAnsi="標楷體" w:hint="eastAsia"/>
          <w:szCs w:val="22"/>
        </w:rPr>
        <w:t>有貯飲食處空</w:t>
      </w:r>
      <w:r w:rsidRPr="00043A1E">
        <w:rPr>
          <w:rFonts w:ascii="標楷體" w:eastAsia="標楷體" w:hAnsi="標楷體"/>
          <w:szCs w:val="22"/>
        </w:rPr>
        <w:t>、</w:t>
      </w:r>
      <w:r w:rsidRPr="00043A1E">
        <w:rPr>
          <w:rFonts w:ascii="標楷體" w:eastAsia="標楷體" w:hAnsi="標楷體" w:hint="eastAsia"/>
          <w:szCs w:val="22"/>
        </w:rPr>
        <w:t>有棄飲食處空</w:t>
      </w:r>
      <w:r w:rsidRPr="00043A1E">
        <w:rPr>
          <w:rFonts w:ascii="標楷體" w:eastAsia="標楷體" w:hAnsi="標楷體"/>
          <w:szCs w:val="22"/>
        </w:rPr>
        <w:t>、</w:t>
      </w:r>
      <w:r>
        <w:rPr>
          <w:rFonts w:ascii="標楷體" w:eastAsia="標楷體" w:hAnsi="標楷體" w:hint="eastAsia"/>
          <w:szCs w:val="22"/>
        </w:rPr>
        <w:t>有諸支節毛孔等空，是名</w:t>
      </w:r>
      <w:r w:rsidR="00FC005D">
        <w:rPr>
          <w:rFonts w:eastAsia="標楷體" w:hint="eastAsia"/>
          <w:color w:val="FF0000"/>
          <w:szCs w:val="22"/>
          <w:highlight w:val="yellow"/>
        </w:rPr>
        <w:t>『</w:t>
      </w:r>
      <w:r>
        <w:rPr>
          <w:rFonts w:ascii="標楷體" w:eastAsia="標楷體" w:hAnsi="標楷體" w:hint="eastAsia"/>
          <w:szCs w:val="22"/>
        </w:rPr>
        <w:t>空界</w:t>
      </w:r>
      <w:r w:rsidR="00FC005D">
        <w:rPr>
          <w:rFonts w:eastAsia="標楷體" w:hint="eastAsia"/>
          <w:color w:val="FF0000"/>
          <w:szCs w:val="22"/>
          <w:highlight w:val="yellow"/>
        </w:rPr>
        <w:t>』</w:t>
      </w:r>
      <w:r>
        <w:rPr>
          <w:rFonts w:ascii="標楷體" w:eastAsia="標楷體" w:hAnsi="標楷體" w:hint="eastAsia"/>
          <w:szCs w:val="22"/>
        </w:rPr>
        <w:t>。」</w:t>
      </w:r>
    </w:p>
  </w:footnote>
  <w:footnote w:id="609">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《大智度論》卷</w:t>
      </w:r>
      <w:r w:rsidRPr="00761EF3">
        <w:rPr>
          <w:szCs w:val="22"/>
        </w:rPr>
        <w:t>33</w:t>
      </w:r>
      <w:r w:rsidR="00E64597">
        <w:rPr>
          <w:rFonts w:hint="eastAsia"/>
          <w:color w:val="FF0000"/>
          <w:szCs w:val="22"/>
          <w:highlight w:val="yellow"/>
        </w:rPr>
        <w:t>釋</w:t>
      </w:r>
      <w:r w:rsidRPr="00043A1E">
        <w:rPr>
          <w:szCs w:val="22"/>
        </w:rPr>
        <w:t>〈</w:t>
      </w:r>
      <w:r w:rsidRPr="00761EF3">
        <w:rPr>
          <w:szCs w:val="22"/>
        </w:rPr>
        <w:t>1</w:t>
      </w:r>
      <w:r w:rsidRPr="00043A1E">
        <w:rPr>
          <w:szCs w:val="22"/>
        </w:rPr>
        <w:t xml:space="preserve"> </w:t>
      </w:r>
      <w:r w:rsidRPr="00043A1E">
        <w:rPr>
          <w:szCs w:val="22"/>
        </w:rPr>
        <w:t>序品〉（大正</w:t>
      </w:r>
      <w:r w:rsidRPr="00761EF3">
        <w:rPr>
          <w:szCs w:val="22"/>
        </w:rPr>
        <w:t>25</w:t>
      </w:r>
      <w:r w:rsidRPr="00043A1E">
        <w:rPr>
          <w:szCs w:val="22"/>
        </w:rPr>
        <w:t>，</w:t>
      </w:r>
      <w:r w:rsidRPr="00761EF3">
        <w:rPr>
          <w:szCs w:val="22"/>
        </w:rPr>
        <w:t>305c21</w:t>
      </w:r>
      <w:r w:rsidRPr="00043A1E">
        <w:rPr>
          <w:szCs w:val="22"/>
        </w:rPr>
        <w:t>-</w:t>
      </w:r>
      <w:r w:rsidRPr="00761EF3">
        <w:rPr>
          <w:szCs w:val="22"/>
        </w:rPr>
        <w:t>24</w:t>
      </w:r>
      <w:r w:rsidRPr="00043A1E">
        <w:rPr>
          <w:szCs w:val="22"/>
        </w:rPr>
        <w:t>）：</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szCs w:val="22"/>
        </w:rPr>
        <w:t>得是天眼，遠近皆見，前後、內外、晝夜、上下，悉皆無礙。是天眼見和合因緣生假名之物，不見實相</w:t>
      </w:r>
      <w:r w:rsidR="00FC005D">
        <w:rPr>
          <w:rFonts w:ascii="標楷體" w:eastAsia="標楷體" w:hAnsi="標楷體" w:hint="eastAsia"/>
          <w:color w:val="FF0000"/>
          <w:szCs w:val="22"/>
          <w:highlight w:val="yellow"/>
        </w:rPr>
        <w:t>──</w:t>
      </w:r>
      <w:r w:rsidRPr="00043A1E">
        <w:rPr>
          <w:rFonts w:ascii="標楷體" w:eastAsia="標楷體" w:hAnsi="標楷體"/>
          <w:szCs w:val="22"/>
        </w:rPr>
        <w:t>所謂空、無相、無作，無生、無滅</w:t>
      </w:r>
      <w:r w:rsidR="00FC005D">
        <w:rPr>
          <w:rFonts w:ascii="標楷體" w:eastAsia="標楷體" w:hAnsi="標楷體" w:hint="eastAsia"/>
          <w:color w:val="FF0000"/>
          <w:szCs w:val="22"/>
          <w:highlight w:val="yellow"/>
        </w:rPr>
        <w:t>；</w:t>
      </w:r>
      <w:r w:rsidRPr="00043A1E">
        <w:rPr>
          <w:rFonts w:ascii="標楷體" w:eastAsia="標楷體" w:hAnsi="標楷體"/>
          <w:szCs w:val="22"/>
        </w:rPr>
        <w:t>如前</w:t>
      </w:r>
      <w:r w:rsidR="00FC005D">
        <w:rPr>
          <w:rFonts w:ascii="標楷體" w:eastAsia="標楷體" w:hAnsi="標楷體" w:hint="eastAsia"/>
          <w:color w:val="FF0000"/>
          <w:szCs w:val="22"/>
          <w:highlight w:val="yellow"/>
        </w:rPr>
        <w:t>，</w:t>
      </w:r>
      <w:r w:rsidRPr="00043A1E">
        <w:rPr>
          <w:rFonts w:ascii="標楷體" w:eastAsia="標楷體" w:hAnsi="標楷體"/>
          <w:szCs w:val="22"/>
        </w:rPr>
        <w:t>中、後亦爾。</w:t>
      </w:r>
    </w:p>
  </w:footnote>
  <w:footnote w:id="610">
    <w:p w:rsidR="00FC005D"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rFonts w:hint="eastAsia"/>
          <w:szCs w:val="22"/>
        </w:rPr>
        <w:t>作祟：謂鬼怪妖物害人。後亦指人或某種因素作怪、搗亂。</w:t>
      </w:r>
    </w:p>
    <w:p w:rsidR="00157EF6" w:rsidRPr="00043A1E" w:rsidRDefault="00157EF6" w:rsidP="00FC005D">
      <w:pPr>
        <w:pStyle w:val="a5"/>
        <w:spacing w:line="0" w:lineRule="atLeast"/>
        <w:ind w:left="253" w:hangingChars="115" w:hanging="253"/>
        <w:jc w:val="right"/>
        <w:rPr>
          <w:szCs w:val="22"/>
        </w:rPr>
      </w:pPr>
      <w:r w:rsidRPr="00043A1E">
        <w:rPr>
          <w:szCs w:val="22"/>
        </w:rPr>
        <w:t>（《漢語大詞典》（</w:t>
      </w:r>
      <w:r w:rsidRPr="00043A1E">
        <w:rPr>
          <w:rFonts w:hint="eastAsia"/>
          <w:szCs w:val="22"/>
        </w:rPr>
        <w:t>一</w:t>
      </w:r>
      <w:r w:rsidRPr="00043A1E">
        <w:rPr>
          <w:szCs w:val="22"/>
        </w:rPr>
        <w:t>），</w:t>
      </w:r>
      <w:r w:rsidRPr="00761EF3">
        <w:rPr>
          <w:szCs w:val="22"/>
        </w:rPr>
        <w:t>p</w:t>
      </w:r>
      <w:r w:rsidRPr="00043A1E">
        <w:rPr>
          <w:szCs w:val="22"/>
        </w:rPr>
        <w:t>.</w:t>
      </w:r>
      <w:r w:rsidRPr="00761EF3">
        <w:rPr>
          <w:szCs w:val="22"/>
        </w:rPr>
        <w:t>1</w:t>
      </w:r>
      <w:r w:rsidRPr="00761EF3">
        <w:rPr>
          <w:rFonts w:hint="eastAsia"/>
          <w:szCs w:val="22"/>
        </w:rPr>
        <w:t>254</w:t>
      </w:r>
      <w:r w:rsidRPr="00043A1E">
        <w:rPr>
          <w:szCs w:val="22"/>
        </w:rPr>
        <w:t>）</w:t>
      </w:r>
    </w:p>
  </w:footnote>
  <w:footnote w:id="611">
    <w:p w:rsidR="007A6E3C" w:rsidRPr="00043A1E" w:rsidRDefault="007A6E3C" w:rsidP="007A6E3C">
      <w:pPr>
        <w:pStyle w:val="a5"/>
        <w:spacing w:line="0" w:lineRule="atLeast"/>
        <w:ind w:left="792" w:hangingChars="360" w:hanging="792"/>
        <w:jc w:val="both"/>
        <w:rPr>
          <w:rFonts w:eastAsia="SimSun"/>
          <w:szCs w:val="22"/>
        </w:rPr>
      </w:pPr>
      <w:r w:rsidRPr="00043A1E">
        <w:rPr>
          <w:rStyle w:val="a6"/>
          <w:szCs w:val="22"/>
        </w:rPr>
        <w:footnoteRef/>
      </w:r>
      <w:r w:rsidRPr="00043A1E">
        <w:rPr>
          <w:rFonts w:hint="eastAsia"/>
          <w:szCs w:val="22"/>
        </w:rPr>
        <w:t xml:space="preserve"> </w:t>
      </w:r>
      <w:r w:rsidRPr="00043A1E">
        <w:rPr>
          <w:szCs w:val="22"/>
        </w:rPr>
        <w:t>（</w:t>
      </w:r>
      <w:r w:rsidRPr="00761EF3">
        <w:rPr>
          <w:rFonts w:eastAsia="SimSun"/>
          <w:szCs w:val="22"/>
        </w:rPr>
        <w:t>1</w:t>
      </w:r>
      <w:r w:rsidRPr="00043A1E">
        <w:rPr>
          <w:szCs w:val="22"/>
        </w:rPr>
        <w:t>）</w:t>
      </w:r>
      <w:r w:rsidRPr="00043A1E">
        <w:rPr>
          <w:rFonts w:hint="eastAsia"/>
          <w:szCs w:val="22"/>
        </w:rPr>
        <w:t>《長阿含經》卷</w:t>
      </w:r>
      <w:r w:rsidRPr="00761EF3">
        <w:rPr>
          <w:rFonts w:hint="eastAsia"/>
          <w:szCs w:val="22"/>
        </w:rPr>
        <w:t>17</w:t>
      </w:r>
      <w:r w:rsidRPr="00043A1E">
        <w:rPr>
          <w:rFonts w:ascii="SimSun" w:eastAsia="SimSun" w:hAnsi="SimSun" w:hint="eastAsia"/>
          <w:szCs w:val="22"/>
        </w:rPr>
        <w:t>（</w:t>
      </w:r>
      <w:r w:rsidRPr="00761EF3">
        <w:rPr>
          <w:szCs w:val="22"/>
        </w:rPr>
        <w:t>28</w:t>
      </w:r>
      <w:r w:rsidRPr="00043A1E">
        <w:rPr>
          <w:szCs w:val="22"/>
        </w:rPr>
        <w:t>經</w:t>
      </w:r>
      <w:r w:rsidRPr="00043A1E">
        <w:rPr>
          <w:rFonts w:ascii="SimSun" w:eastAsia="SimSun" w:hAnsi="SimSun" w:hint="eastAsia"/>
          <w:szCs w:val="22"/>
        </w:rPr>
        <w:t>）</w:t>
      </w:r>
      <w:r w:rsidRPr="00043A1E">
        <w:rPr>
          <w:rFonts w:hint="eastAsia"/>
          <w:szCs w:val="22"/>
        </w:rPr>
        <w:t>《</w:t>
      </w:r>
      <w:r w:rsidRPr="00043A1E">
        <w:rPr>
          <w:rStyle w:val="headname1"/>
          <w:b w:val="0"/>
          <w:color w:val="auto"/>
          <w:sz w:val="22"/>
          <w:szCs w:val="22"/>
        </w:rPr>
        <w:t>布吒婆樓經》</w:t>
      </w:r>
      <w:r w:rsidRPr="00043A1E">
        <w:rPr>
          <w:szCs w:val="22"/>
        </w:rPr>
        <w:t>（</w:t>
      </w:r>
      <w:r w:rsidRPr="00043A1E">
        <w:rPr>
          <w:rFonts w:hint="eastAsia"/>
          <w:szCs w:val="22"/>
        </w:rPr>
        <w:t>大正</w:t>
      </w:r>
      <w:r w:rsidRPr="00761EF3">
        <w:rPr>
          <w:rFonts w:eastAsia="SimSun" w:hint="eastAsia"/>
          <w:szCs w:val="22"/>
        </w:rPr>
        <w:t>1</w:t>
      </w:r>
      <w:r w:rsidRPr="00043A1E">
        <w:rPr>
          <w:rFonts w:hint="eastAsia"/>
          <w:szCs w:val="22"/>
        </w:rPr>
        <w:t>，</w:t>
      </w:r>
      <w:r w:rsidRPr="00761EF3">
        <w:rPr>
          <w:rFonts w:hint="eastAsia"/>
          <w:szCs w:val="22"/>
        </w:rPr>
        <w:t>111a1</w:t>
      </w:r>
      <w:r w:rsidRPr="00043A1E">
        <w:rPr>
          <w:rFonts w:hint="eastAsia"/>
          <w:szCs w:val="22"/>
        </w:rPr>
        <w:t>-</w:t>
      </w:r>
      <w:r w:rsidRPr="00761EF3">
        <w:rPr>
          <w:rFonts w:hint="eastAsia"/>
          <w:szCs w:val="22"/>
        </w:rPr>
        <w:t>14</w:t>
      </w:r>
      <w:r w:rsidRPr="00043A1E">
        <w:rPr>
          <w:rFonts w:hint="eastAsia"/>
          <w:szCs w:val="22"/>
        </w:rPr>
        <w:t>）：</w:t>
      </w:r>
    </w:p>
    <w:p w:rsidR="007A6E3C" w:rsidRPr="00043A1E" w:rsidRDefault="007A6E3C" w:rsidP="007A6E3C">
      <w:pPr>
        <w:pStyle w:val="a5"/>
        <w:ind w:leftChars="335" w:left="804"/>
        <w:jc w:val="both"/>
        <w:rPr>
          <w:rFonts w:ascii="標楷體" w:eastAsia="標楷體" w:hAnsi="標楷體"/>
          <w:szCs w:val="22"/>
        </w:rPr>
      </w:pPr>
      <w:r w:rsidRPr="00043A1E">
        <w:rPr>
          <w:rFonts w:ascii="標楷體" w:eastAsia="標楷體" w:hAnsi="標楷體" w:hint="eastAsia"/>
          <w:szCs w:val="22"/>
        </w:rPr>
        <w:t>梵志白佛言：「如是，瞿曇！我異見、異習、異忍、異受，依異法故，欲知人想生、人想滅者，甚難！甚難！所以者何？我、世間有常，此實</w:t>
      </w:r>
      <w:r>
        <w:rPr>
          <w:rFonts w:ascii="標楷體" w:eastAsia="標楷體" w:hAnsi="標楷體" w:hint="eastAsia"/>
          <w:color w:val="FF0000"/>
          <w:kern w:val="0"/>
          <w:highlight w:val="yellow"/>
        </w:rPr>
        <w:t>，</w:t>
      </w:r>
      <w:r w:rsidRPr="00043A1E">
        <w:rPr>
          <w:rFonts w:ascii="標楷體" w:eastAsia="標楷體" w:hAnsi="標楷體" w:hint="eastAsia"/>
          <w:szCs w:val="22"/>
        </w:rPr>
        <w:t>餘虛；我、世間無常，此實</w:t>
      </w:r>
      <w:r>
        <w:rPr>
          <w:rFonts w:ascii="標楷體" w:eastAsia="標楷體" w:hAnsi="標楷體" w:hint="eastAsia"/>
          <w:color w:val="FF0000"/>
          <w:kern w:val="0"/>
          <w:highlight w:val="yellow"/>
        </w:rPr>
        <w:t>，</w:t>
      </w:r>
      <w:r w:rsidRPr="00043A1E">
        <w:rPr>
          <w:rFonts w:ascii="標楷體" w:eastAsia="標楷體" w:hAnsi="標楷體" w:hint="eastAsia"/>
          <w:szCs w:val="22"/>
        </w:rPr>
        <w:t>餘虛；我、世間有常無常，此實</w:t>
      </w:r>
      <w:r>
        <w:rPr>
          <w:rFonts w:ascii="標楷體" w:eastAsia="標楷體" w:hAnsi="標楷體" w:hint="eastAsia"/>
          <w:color w:val="FF0000"/>
          <w:kern w:val="0"/>
          <w:highlight w:val="yellow"/>
        </w:rPr>
        <w:t>，</w:t>
      </w:r>
      <w:r w:rsidRPr="00043A1E">
        <w:rPr>
          <w:rFonts w:ascii="標楷體" w:eastAsia="標楷體" w:hAnsi="標楷體" w:hint="eastAsia"/>
          <w:szCs w:val="22"/>
        </w:rPr>
        <w:t>餘虛；我、世間非有常非無常，此實</w:t>
      </w:r>
      <w:r>
        <w:rPr>
          <w:rFonts w:ascii="標楷體" w:eastAsia="標楷體" w:hAnsi="標楷體" w:hint="eastAsia"/>
          <w:color w:val="FF0000"/>
          <w:kern w:val="0"/>
          <w:highlight w:val="yellow"/>
        </w:rPr>
        <w:t>，</w:t>
      </w:r>
      <w:r w:rsidRPr="00043A1E">
        <w:rPr>
          <w:rFonts w:ascii="標楷體" w:eastAsia="標楷體" w:hAnsi="標楷體" w:hint="eastAsia"/>
          <w:szCs w:val="22"/>
        </w:rPr>
        <w:t>餘虛。</w:t>
      </w:r>
      <w:r w:rsidRPr="00043A1E">
        <w:rPr>
          <w:rFonts w:ascii="標楷體" w:eastAsia="標楷體" w:hAnsi="標楷體" w:hint="eastAsia"/>
          <w:b/>
          <w:szCs w:val="22"/>
        </w:rPr>
        <w:t>我、世間有邊，此實</w:t>
      </w:r>
      <w:r>
        <w:rPr>
          <w:rFonts w:ascii="標楷體" w:eastAsia="標楷體" w:hAnsi="標楷體" w:hint="eastAsia"/>
          <w:color w:val="FF0000"/>
          <w:kern w:val="0"/>
          <w:highlight w:val="yellow"/>
        </w:rPr>
        <w:t>，</w:t>
      </w:r>
      <w:r w:rsidRPr="00043A1E">
        <w:rPr>
          <w:rFonts w:ascii="標楷體" w:eastAsia="標楷體" w:hAnsi="標楷體" w:hint="eastAsia"/>
          <w:b/>
          <w:szCs w:val="22"/>
        </w:rPr>
        <w:t>餘虛；我、世間無邊，此實</w:t>
      </w:r>
      <w:r>
        <w:rPr>
          <w:rFonts w:ascii="標楷體" w:eastAsia="標楷體" w:hAnsi="標楷體" w:hint="eastAsia"/>
          <w:color w:val="FF0000"/>
          <w:kern w:val="0"/>
          <w:highlight w:val="yellow"/>
        </w:rPr>
        <w:t>，</w:t>
      </w:r>
      <w:r w:rsidRPr="00043A1E">
        <w:rPr>
          <w:rFonts w:ascii="標楷體" w:eastAsia="標楷體" w:hAnsi="標楷體" w:hint="eastAsia"/>
          <w:b/>
          <w:szCs w:val="22"/>
        </w:rPr>
        <w:t>餘虛；我、世間有邊無邊，此實</w:t>
      </w:r>
      <w:r>
        <w:rPr>
          <w:rFonts w:ascii="標楷體" w:eastAsia="標楷體" w:hAnsi="標楷體" w:hint="eastAsia"/>
          <w:color w:val="FF0000"/>
          <w:kern w:val="0"/>
          <w:highlight w:val="yellow"/>
        </w:rPr>
        <w:t>，</w:t>
      </w:r>
      <w:r w:rsidRPr="00043A1E">
        <w:rPr>
          <w:rFonts w:ascii="標楷體" w:eastAsia="標楷體" w:hAnsi="標楷體" w:hint="eastAsia"/>
          <w:b/>
          <w:szCs w:val="22"/>
        </w:rPr>
        <w:t>餘虛；我、世間非有邊非無邊，此實</w:t>
      </w:r>
      <w:r>
        <w:rPr>
          <w:rFonts w:ascii="標楷體" w:eastAsia="標楷體" w:hAnsi="標楷體" w:hint="eastAsia"/>
          <w:color w:val="FF0000"/>
          <w:kern w:val="0"/>
          <w:highlight w:val="yellow"/>
        </w:rPr>
        <w:t>，</w:t>
      </w:r>
      <w:r w:rsidRPr="00043A1E">
        <w:rPr>
          <w:rFonts w:ascii="標楷體" w:eastAsia="標楷體" w:hAnsi="標楷體" w:hint="eastAsia"/>
          <w:b/>
          <w:szCs w:val="22"/>
        </w:rPr>
        <w:t>餘虛。</w:t>
      </w:r>
      <w:r w:rsidRPr="00043A1E">
        <w:rPr>
          <w:rFonts w:ascii="標楷體" w:eastAsia="標楷體" w:hAnsi="標楷體" w:hint="eastAsia"/>
          <w:szCs w:val="22"/>
        </w:rPr>
        <w:t>是命是身，此實</w:t>
      </w:r>
      <w:r>
        <w:rPr>
          <w:rFonts w:ascii="標楷體" w:eastAsia="標楷體" w:hAnsi="標楷體" w:hint="eastAsia"/>
          <w:color w:val="FF0000"/>
          <w:kern w:val="0"/>
          <w:highlight w:val="yellow"/>
        </w:rPr>
        <w:t>，</w:t>
      </w:r>
      <w:r w:rsidRPr="00043A1E">
        <w:rPr>
          <w:rFonts w:ascii="標楷體" w:eastAsia="標楷體" w:hAnsi="標楷體" w:hint="eastAsia"/>
          <w:szCs w:val="22"/>
        </w:rPr>
        <w:t>餘虛；命異身異，此實</w:t>
      </w:r>
      <w:r>
        <w:rPr>
          <w:rFonts w:ascii="標楷體" w:eastAsia="標楷體" w:hAnsi="標楷體" w:hint="eastAsia"/>
          <w:color w:val="FF0000"/>
          <w:kern w:val="0"/>
          <w:highlight w:val="yellow"/>
        </w:rPr>
        <w:t>，</w:t>
      </w:r>
      <w:r w:rsidRPr="00043A1E">
        <w:rPr>
          <w:rFonts w:ascii="標楷體" w:eastAsia="標楷體" w:hAnsi="標楷體" w:hint="eastAsia"/>
          <w:szCs w:val="22"/>
        </w:rPr>
        <w:t>餘虛；身</w:t>
      </w:r>
      <w:r w:rsidRPr="00FC005D">
        <w:rPr>
          <w:rFonts w:ascii="標楷體" w:eastAsia="標楷體" w:hAnsi="標楷體" w:hint="eastAsia"/>
          <w:color w:val="FF0000"/>
          <w:szCs w:val="22"/>
          <w:highlight w:val="yellow"/>
        </w:rPr>
        <w:t>、</w:t>
      </w:r>
      <w:r w:rsidRPr="00043A1E">
        <w:rPr>
          <w:rFonts w:ascii="標楷體" w:eastAsia="標楷體" w:hAnsi="標楷體" w:hint="eastAsia"/>
          <w:szCs w:val="22"/>
        </w:rPr>
        <w:t>命非異非不異，此實</w:t>
      </w:r>
      <w:r>
        <w:rPr>
          <w:rFonts w:ascii="標楷體" w:eastAsia="標楷體" w:hAnsi="標楷體" w:hint="eastAsia"/>
          <w:color w:val="FF0000"/>
          <w:kern w:val="0"/>
          <w:highlight w:val="yellow"/>
        </w:rPr>
        <w:t>，</w:t>
      </w:r>
      <w:r w:rsidRPr="00043A1E">
        <w:rPr>
          <w:rFonts w:ascii="標楷體" w:eastAsia="標楷體" w:hAnsi="標楷體" w:hint="eastAsia"/>
          <w:szCs w:val="22"/>
        </w:rPr>
        <w:t>餘虛；無命無身，此實</w:t>
      </w:r>
      <w:r>
        <w:rPr>
          <w:rFonts w:ascii="標楷體" w:eastAsia="標楷體" w:hAnsi="標楷體" w:hint="eastAsia"/>
          <w:color w:val="FF0000"/>
          <w:kern w:val="0"/>
          <w:highlight w:val="yellow"/>
        </w:rPr>
        <w:t>，</w:t>
      </w:r>
      <w:r w:rsidRPr="00043A1E">
        <w:rPr>
          <w:rFonts w:ascii="標楷體" w:eastAsia="標楷體" w:hAnsi="標楷體" w:hint="eastAsia"/>
          <w:szCs w:val="22"/>
        </w:rPr>
        <w:t>餘虛。如來終，此實</w:t>
      </w:r>
      <w:r>
        <w:rPr>
          <w:rFonts w:ascii="標楷體" w:eastAsia="標楷體" w:hAnsi="標楷體" w:hint="eastAsia"/>
          <w:color w:val="FF0000"/>
          <w:kern w:val="0"/>
          <w:highlight w:val="yellow"/>
        </w:rPr>
        <w:t>，</w:t>
      </w:r>
      <w:r w:rsidRPr="00043A1E">
        <w:rPr>
          <w:rFonts w:ascii="標楷體" w:eastAsia="標楷體" w:hAnsi="標楷體" w:hint="eastAsia"/>
          <w:szCs w:val="22"/>
        </w:rPr>
        <w:t>餘虛；如來不終，此實</w:t>
      </w:r>
      <w:r>
        <w:rPr>
          <w:rFonts w:ascii="標楷體" w:eastAsia="標楷體" w:hAnsi="標楷體" w:hint="eastAsia"/>
          <w:color w:val="FF0000"/>
          <w:kern w:val="0"/>
          <w:highlight w:val="yellow"/>
        </w:rPr>
        <w:t>，</w:t>
      </w:r>
      <w:r w:rsidRPr="00043A1E">
        <w:rPr>
          <w:rFonts w:ascii="標楷體" w:eastAsia="標楷體" w:hAnsi="標楷體" w:hint="eastAsia"/>
          <w:szCs w:val="22"/>
        </w:rPr>
        <w:t>餘虛；如來終不終，此實</w:t>
      </w:r>
      <w:r>
        <w:rPr>
          <w:rFonts w:ascii="標楷體" w:eastAsia="標楷體" w:hAnsi="標楷體" w:hint="eastAsia"/>
          <w:color w:val="FF0000"/>
          <w:kern w:val="0"/>
          <w:highlight w:val="yellow"/>
        </w:rPr>
        <w:t>，</w:t>
      </w:r>
      <w:r w:rsidRPr="00043A1E">
        <w:rPr>
          <w:rFonts w:ascii="標楷體" w:eastAsia="標楷體" w:hAnsi="標楷體" w:hint="eastAsia"/>
          <w:szCs w:val="22"/>
        </w:rPr>
        <w:t>餘虛；如來非終非不終，此實</w:t>
      </w:r>
      <w:r>
        <w:rPr>
          <w:rFonts w:ascii="標楷體" w:eastAsia="標楷體" w:hAnsi="標楷體" w:hint="eastAsia"/>
          <w:color w:val="FF0000"/>
          <w:kern w:val="0"/>
          <w:highlight w:val="yellow"/>
        </w:rPr>
        <w:t>，</w:t>
      </w:r>
      <w:r w:rsidRPr="00043A1E">
        <w:rPr>
          <w:rFonts w:ascii="標楷體" w:eastAsia="標楷體" w:hAnsi="標楷體" w:hint="eastAsia"/>
          <w:szCs w:val="22"/>
        </w:rPr>
        <w:t>餘虛。」</w:t>
      </w:r>
    </w:p>
    <w:p w:rsidR="007A6E3C" w:rsidRPr="00043A1E" w:rsidRDefault="007A6E3C" w:rsidP="007A6E3C">
      <w:pPr>
        <w:pStyle w:val="a5"/>
        <w:ind w:leftChars="335" w:left="804"/>
        <w:jc w:val="both"/>
        <w:rPr>
          <w:rFonts w:ascii="標楷體" w:eastAsia="標楷體" w:hAnsi="標楷體"/>
          <w:szCs w:val="22"/>
        </w:rPr>
      </w:pPr>
      <w:r w:rsidRPr="00043A1E">
        <w:rPr>
          <w:rFonts w:ascii="標楷體" w:eastAsia="標楷體" w:hAnsi="標楷體" w:hint="eastAsia"/>
          <w:szCs w:val="22"/>
        </w:rPr>
        <w:t>佛告梵志：「世間有</w:t>
      </w:r>
      <w:r w:rsidRPr="008026CC">
        <w:rPr>
          <w:rFonts w:ascii="標楷體" w:eastAsia="標楷體" w:hAnsi="標楷體" w:hint="eastAsia"/>
          <w:szCs w:val="22"/>
          <w:highlight w:val="yellow"/>
        </w:rPr>
        <w:t>常乃</w:t>
      </w:r>
      <w:r w:rsidRPr="00043A1E">
        <w:rPr>
          <w:rFonts w:ascii="標楷體" w:eastAsia="標楷體" w:hAnsi="標楷體" w:hint="eastAsia"/>
          <w:szCs w:val="22"/>
        </w:rPr>
        <w:t>至如來非終非不終，我所不記。」</w:t>
      </w:r>
    </w:p>
    <w:p w:rsidR="007A6E3C" w:rsidRPr="00043A1E" w:rsidRDefault="007A6E3C" w:rsidP="007A6E3C">
      <w:pPr>
        <w:pStyle w:val="a5"/>
        <w:ind w:leftChars="105" w:left="791" w:hangingChars="245" w:hanging="539"/>
        <w:jc w:val="both"/>
        <w:rPr>
          <w:rFonts w:eastAsia="SimSun"/>
          <w:szCs w:val="22"/>
        </w:rPr>
      </w:pPr>
      <w:r w:rsidRPr="00043A1E">
        <w:rPr>
          <w:szCs w:val="22"/>
        </w:rPr>
        <w:t>（</w:t>
      </w:r>
      <w:r w:rsidRPr="00761EF3">
        <w:rPr>
          <w:rFonts w:eastAsia="SimSun" w:hint="eastAsia"/>
          <w:szCs w:val="22"/>
        </w:rPr>
        <w:t>2</w:t>
      </w:r>
      <w:r w:rsidRPr="00043A1E">
        <w:rPr>
          <w:szCs w:val="22"/>
        </w:rPr>
        <w:t>）</w:t>
      </w:r>
      <w:r w:rsidRPr="00043A1E">
        <w:rPr>
          <w:rFonts w:ascii="SimSun" w:hAnsi="SimSun" w:hint="eastAsia"/>
          <w:szCs w:val="22"/>
        </w:rPr>
        <w:t>另參見</w:t>
      </w:r>
      <w:r w:rsidRPr="00043A1E">
        <w:rPr>
          <w:rFonts w:hint="eastAsia"/>
          <w:szCs w:val="22"/>
        </w:rPr>
        <w:t>《長阿含經》卷</w:t>
      </w:r>
      <w:r w:rsidRPr="00761EF3">
        <w:rPr>
          <w:rFonts w:hint="eastAsia"/>
          <w:szCs w:val="22"/>
        </w:rPr>
        <w:t>14</w:t>
      </w:r>
      <w:r w:rsidRPr="00043A1E">
        <w:rPr>
          <w:rFonts w:ascii="SimSun" w:eastAsia="SimSun" w:hAnsi="SimSun" w:hint="eastAsia"/>
          <w:szCs w:val="22"/>
        </w:rPr>
        <w:t>（</w:t>
      </w:r>
      <w:r w:rsidRPr="00761EF3">
        <w:rPr>
          <w:szCs w:val="22"/>
        </w:rPr>
        <w:t>2</w:t>
      </w:r>
      <w:r w:rsidRPr="00761EF3">
        <w:rPr>
          <w:rFonts w:eastAsia="SimSun"/>
          <w:szCs w:val="22"/>
        </w:rPr>
        <w:t>1</w:t>
      </w:r>
      <w:r w:rsidRPr="00043A1E">
        <w:rPr>
          <w:szCs w:val="22"/>
        </w:rPr>
        <w:t>經</w:t>
      </w:r>
      <w:r w:rsidRPr="00043A1E">
        <w:rPr>
          <w:rFonts w:ascii="SimSun" w:eastAsia="SimSun" w:hAnsi="SimSun" w:hint="eastAsia"/>
          <w:szCs w:val="22"/>
        </w:rPr>
        <w:t>）</w:t>
      </w:r>
      <w:r w:rsidRPr="00043A1E">
        <w:rPr>
          <w:rFonts w:hint="eastAsia"/>
          <w:szCs w:val="22"/>
        </w:rPr>
        <w:t>《</w:t>
      </w:r>
      <w:r w:rsidRPr="00043A1E">
        <w:rPr>
          <w:rStyle w:val="headname1"/>
          <w:b w:val="0"/>
          <w:color w:val="auto"/>
          <w:sz w:val="22"/>
          <w:szCs w:val="22"/>
        </w:rPr>
        <w:t>梵動經》</w:t>
      </w:r>
      <w:r w:rsidRPr="00043A1E">
        <w:rPr>
          <w:szCs w:val="22"/>
        </w:rPr>
        <w:t>（</w:t>
      </w:r>
      <w:r w:rsidRPr="00043A1E">
        <w:rPr>
          <w:rFonts w:hint="eastAsia"/>
          <w:szCs w:val="22"/>
        </w:rPr>
        <w:t>大正</w:t>
      </w:r>
      <w:r w:rsidRPr="00761EF3">
        <w:rPr>
          <w:rFonts w:eastAsia="SimSun"/>
          <w:szCs w:val="22"/>
        </w:rPr>
        <w:t>1</w:t>
      </w:r>
      <w:r w:rsidRPr="00043A1E">
        <w:rPr>
          <w:rFonts w:hint="eastAsia"/>
          <w:szCs w:val="22"/>
        </w:rPr>
        <w:t>，</w:t>
      </w:r>
      <w:r w:rsidRPr="00761EF3">
        <w:rPr>
          <w:rFonts w:hint="eastAsia"/>
          <w:szCs w:val="22"/>
        </w:rPr>
        <w:t>91a16</w:t>
      </w:r>
      <w:r w:rsidRPr="00043A1E">
        <w:rPr>
          <w:rFonts w:hint="eastAsia"/>
          <w:szCs w:val="22"/>
        </w:rPr>
        <w:t>-</w:t>
      </w:r>
      <w:r w:rsidRPr="00761EF3">
        <w:rPr>
          <w:rFonts w:hint="eastAsia"/>
          <w:szCs w:val="22"/>
        </w:rPr>
        <w:t>b25</w:t>
      </w:r>
      <w:r w:rsidRPr="00043A1E">
        <w:rPr>
          <w:rFonts w:hint="eastAsia"/>
          <w:szCs w:val="22"/>
        </w:rPr>
        <w:t>）</w:t>
      </w:r>
      <w:r w:rsidRPr="00043A1E">
        <w:rPr>
          <w:rFonts w:ascii="標楷體" w:eastAsia="標楷體" w:hAnsi="標楷體" w:hint="eastAsia"/>
          <w:szCs w:val="22"/>
        </w:rPr>
        <w:t>。</w:t>
      </w:r>
    </w:p>
  </w:footnote>
  <w:footnote w:id="612">
    <w:p w:rsidR="00157EF6" w:rsidRPr="00043A1E" w:rsidRDefault="00157EF6" w:rsidP="00AA120F">
      <w:pPr>
        <w:pStyle w:val="a5"/>
        <w:spacing w:line="0" w:lineRule="atLeast"/>
        <w:ind w:left="792" w:hangingChars="360" w:hanging="792"/>
        <w:jc w:val="both"/>
        <w:rPr>
          <w:rFonts w:eastAsia="SimSun"/>
          <w:szCs w:val="22"/>
        </w:rPr>
      </w:pPr>
      <w:r w:rsidRPr="00043A1E">
        <w:rPr>
          <w:rStyle w:val="a6"/>
          <w:szCs w:val="22"/>
        </w:rPr>
        <w:footnoteRef/>
      </w:r>
      <w:r w:rsidRPr="00043A1E">
        <w:rPr>
          <w:rFonts w:hint="eastAsia"/>
          <w:szCs w:val="22"/>
        </w:rPr>
        <w:t xml:space="preserve"> </w:t>
      </w:r>
      <w:r w:rsidRPr="00043A1E">
        <w:rPr>
          <w:szCs w:val="22"/>
        </w:rPr>
        <w:t>（</w:t>
      </w:r>
      <w:r w:rsidRPr="00761EF3">
        <w:rPr>
          <w:rFonts w:eastAsia="SimSun" w:hint="eastAsia"/>
          <w:szCs w:val="22"/>
        </w:rPr>
        <w:t>1</w:t>
      </w:r>
      <w:r w:rsidRPr="00043A1E">
        <w:rPr>
          <w:szCs w:val="22"/>
        </w:rPr>
        <w:t>）</w:t>
      </w:r>
      <w:r w:rsidRPr="00043A1E">
        <w:rPr>
          <w:rFonts w:hint="eastAsia"/>
          <w:szCs w:val="22"/>
        </w:rPr>
        <w:t>《大智度論》卷</w:t>
      </w:r>
      <w:r w:rsidRPr="00761EF3">
        <w:rPr>
          <w:rFonts w:hint="eastAsia"/>
          <w:szCs w:val="22"/>
        </w:rPr>
        <w:t>28</w:t>
      </w:r>
      <w:r w:rsidR="005C0D01">
        <w:rPr>
          <w:rFonts w:hint="eastAsia"/>
          <w:color w:val="FF0000"/>
          <w:szCs w:val="22"/>
          <w:highlight w:val="yellow"/>
        </w:rPr>
        <w:t>釋</w:t>
      </w:r>
      <w:r w:rsidRPr="00043A1E">
        <w:rPr>
          <w:rFonts w:hint="eastAsia"/>
          <w:szCs w:val="22"/>
        </w:rPr>
        <w:t>〈</w:t>
      </w:r>
      <w:r w:rsidRPr="00761EF3">
        <w:rPr>
          <w:rFonts w:hint="eastAsia"/>
          <w:szCs w:val="22"/>
        </w:rPr>
        <w:t>1</w:t>
      </w:r>
      <w:r w:rsidRPr="00043A1E">
        <w:rPr>
          <w:rFonts w:hint="eastAsia"/>
          <w:szCs w:val="22"/>
        </w:rPr>
        <w:t xml:space="preserve"> </w:t>
      </w:r>
      <w:r w:rsidRPr="00043A1E">
        <w:rPr>
          <w:rFonts w:hint="eastAsia"/>
          <w:szCs w:val="22"/>
        </w:rPr>
        <w:t>序品〉</w:t>
      </w:r>
      <w:r w:rsidRPr="00043A1E">
        <w:rPr>
          <w:szCs w:val="22"/>
        </w:rPr>
        <w:t>（</w:t>
      </w:r>
      <w:r w:rsidRPr="00043A1E">
        <w:rPr>
          <w:rFonts w:hint="eastAsia"/>
          <w:szCs w:val="22"/>
        </w:rPr>
        <w:t>大正</w:t>
      </w:r>
      <w:r w:rsidRPr="00761EF3">
        <w:rPr>
          <w:szCs w:val="22"/>
        </w:rPr>
        <w:t>25</w:t>
      </w:r>
      <w:r w:rsidRPr="00043A1E">
        <w:rPr>
          <w:rFonts w:hint="eastAsia"/>
          <w:szCs w:val="22"/>
        </w:rPr>
        <w:t>，</w:t>
      </w:r>
      <w:r w:rsidRPr="00761EF3">
        <w:rPr>
          <w:rFonts w:hint="eastAsia"/>
          <w:szCs w:val="22"/>
        </w:rPr>
        <w:t>266a10</w:t>
      </w:r>
      <w:r w:rsidRPr="00043A1E">
        <w:rPr>
          <w:rFonts w:hint="eastAsia"/>
          <w:szCs w:val="22"/>
        </w:rPr>
        <w:t>-</w:t>
      </w:r>
      <w:r w:rsidRPr="00761EF3">
        <w:rPr>
          <w:rFonts w:hint="eastAsia"/>
          <w:szCs w:val="22"/>
        </w:rPr>
        <w:t>11</w:t>
      </w:r>
      <w:r w:rsidRPr="00043A1E">
        <w:rPr>
          <w:szCs w:val="22"/>
        </w:rPr>
        <w:t>）</w:t>
      </w:r>
      <w:r w:rsidRPr="00043A1E">
        <w:rPr>
          <w:rFonts w:hint="eastAsia"/>
          <w:szCs w:val="22"/>
        </w:rPr>
        <w:t>：</w:t>
      </w:r>
    </w:p>
    <w:p w:rsidR="00157EF6" w:rsidRPr="00043A1E" w:rsidRDefault="00157EF6" w:rsidP="00AA120F">
      <w:pPr>
        <w:pStyle w:val="a5"/>
        <w:ind w:leftChars="335" w:left="804"/>
        <w:jc w:val="both"/>
        <w:rPr>
          <w:rFonts w:ascii="標楷體" w:eastAsia="SimSun" w:hAnsi="標楷體"/>
          <w:szCs w:val="22"/>
        </w:rPr>
      </w:pPr>
      <w:r w:rsidRPr="00043A1E">
        <w:rPr>
          <w:rFonts w:ascii="標楷體" w:eastAsia="標楷體" w:hAnsi="標楷體" w:hint="eastAsia"/>
          <w:szCs w:val="22"/>
        </w:rPr>
        <w:t>若言「有邊」、「無邊」，此二於佛法中是置答</w:t>
      </w:r>
      <w:r w:rsidR="00FC005D">
        <w:rPr>
          <w:rFonts w:ascii="標楷體" w:eastAsia="標楷體" w:hAnsi="標楷體" w:hint="eastAsia"/>
          <w:color w:val="FF0000"/>
          <w:szCs w:val="22"/>
          <w:highlight w:val="yellow"/>
        </w:rPr>
        <w:t>；</w:t>
      </w:r>
      <w:r w:rsidRPr="00043A1E">
        <w:rPr>
          <w:rFonts w:ascii="標楷體" w:eastAsia="標楷體" w:hAnsi="標楷體" w:hint="eastAsia"/>
          <w:szCs w:val="22"/>
        </w:rPr>
        <w:t>是十四事虛</w:t>
      </w:r>
      <w:r w:rsidRPr="00FC005D">
        <w:rPr>
          <w:rFonts w:ascii="標楷體" w:eastAsia="標楷體" w:hAnsi="標楷體" w:hint="eastAsia"/>
          <w:szCs w:val="22"/>
          <w:highlight w:val="yellow"/>
        </w:rPr>
        <w:t>妄無</w:t>
      </w:r>
      <w:r w:rsidRPr="00043A1E">
        <w:rPr>
          <w:rFonts w:ascii="標楷體" w:eastAsia="標楷體" w:hAnsi="標楷體" w:hint="eastAsia"/>
          <w:szCs w:val="22"/>
        </w:rPr>
        <w:t>實</w:t>
      </w:r>
      <w:r w:rsidR="00FC005D" w:rsidRPr="00FC005D">
        <w:rPr>
          <w:rFonts w:ascii="標楷體" w:eastAsia="標楷體" w:hAnsi="標楷體" w:hint="eastAsia"/>
          <w:color w:val="FF0000"/>
          <w:szCs w:val="22"/>
          <w:highlight w:val="yellow"/>
        </w:rPr>
        <w:t>、</w:t>
      </w:r>
      <w:r w:rsidRPr="00043A1E">
        <w:rPr>
          <w:rFonts w:ascii="標楷體" w:eastAsia="標楷體" w:hAnsi="標楷體" w:hint="eastAsia"/>
          <w:szCs w:val="22"/>
        </w:rPr>
        <w:t>無益故</w:t>
      </w:r>
      <w:r w:rsidR="00FC005D">
        <w:rPr>
          <w:rFonts w:ascii="標楷體" w:eastAsia="標楷體" w:hAnsi="標楷體" w:hint="eastAsia"/>
          <w:color w:val="FF0000"/>
          <w:szCs w:val="22"/>
          <w:highlight w:val="yellow"/>
        </w:rPr>
        <w:t>，不應為難。</w:t>
      </w:r>
    </w:p>
    <w:p w:rsidR="00157EF6" w:rsidRPr="00043A1E" w:rsidRDefault="00157EF6" w:rsidP="00AA120F">
      <w:pPr>
        <w:pStyle w:val="a5"/>
        <w:ind w:leftChars="105" w:left="791" w:hangingChars="245" w:hanging="539"/>
        <w:jc w:val="both"/>
        <w:rPr>
          <w:rFonts w:eastAsia="SimSun"/>
          <w:szCs w:val="22"/>
        </w:rPr>
      </w:pPr>
      <w:r w:rsidRPr="00043A1E">
        <w:rPr>
          <w:szCs w:val="22"/>
        </w:rPr>
        <w:t>（</w:t>
      </w:r>
      <w:r w:rsidRPr="00761EF3">
        <w:rPr>
          <w:rFonts w:eastAsia="SimSun"/>
          <w:szCs w:val="22"/>
        </w:rPr>
        <w:t>2</w:t>
      </w:r>
      <w:r w:rsidRPr="00043A1E">
        <w:rPr>
          <w:szCs w:val="22"/>
        </w:rPr>
        <w:t>）參見</w:t>
      </w:r>
      <w:r w:rsidR="00FC005D">
        <w:rPr>
          <w:rFonts w:hint="eastAsia"/>
          <w:szCs w:val="22"/>
        </w:rPr>
        <w:t>：</w:t>
      </w:r>
      <w:r w:rsidRPr="00043A1E">
        <w:rPr>
          <w:szCs w:val="22"/>
        </w:rPr>
        <w:t>印順法師，《中觀今論》，第</w:t>
      </w:r>
      <w:r w:rsidRPr="00761EF3">
        <w:rPr>
          <w:szCs w:val="22"/>
        </w:rPr>
        <w:t>7</w:t>
      </w:r>
      <w:r w:rsidRPr="00043A1E">
        <w:rPr>
          <w:szCs w:val="22"/>
        </w:rPr>
        <w:t>章，第</w:t>
      </w:r>
      <w:r w:rsidRPr="00761EF3">
        <w:rPr>
          <w:szCs w:val="22"/>
        </w:rPr>
        <w:t>5</w:t>
      </w:r>
      <w:r w:rsidRPr="00043A1E">
        <w:rPr>
          <w:szCs w:val="22"/>
        </w:rPr>
        <w:t>節〈無言之秘〉，</w:t>
      </w:r>
      <w:r w:rsidRPr="00761EF3">
        <w:rPr>
          <w:szCs w:val="22"/>
        </w:rPr>
        <w:t>pp</w:t>
      </w:r>
      <w:r w:rsidRPr="00043A1E">
        <w:rPr>
          <w:szCs w:val="22"/>
        </w:rPr>
        <w:t>.</w:t>
      </w:r>
      <w:r w:rsidRPr="00761EF3">
        <w:rPr>
          <w:szCs w:val="22"/>
        </w:rPr>
        <w:t>141</w:t>
      </w:r>
      <w:r w:rsidRPr="00043A1E">
        <w:rPr>
          <w:szCs w:val="22"/>
        </w:rPr>
        <w:t>-</w:t>
      </w:r>
      <w:r w:rsidRPr="00761EF3">
        <w:rPr>
          <w:szCs w:val="22"/>
        </w:rPr>
        <w:t>143</w:t>
      </w:r>
      <w:r w:rsidRPr="00043A1E">
        <w:rPr>
          <w:szCs w:val="22"/>
        </w:rPr>
        <w:t>。</w:t>
      </w:r>
    </w:p>
  </w:footnote>
  <w:footnote w:id="613">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ascii="SimSun" w:hAnsi="SimSun" w:hint="eastAsia"/>
          <w:szCs w:val="22"/>
        </w:rPr>
        <w:t xml:space="preserve"> </w:t>
      </w:r>
      <w:r w:rsidRPr="00043A1E">
        <w:rPr>
          <w:rFonts w:ascii="SimSun" w:hAnsi="SimSun" w:hint="eastAsia"/>
          <w:szCs w:val="22"/>
        </w:rPr>
        <w:t>（</w:t>
      </w:r>
      <w:r w:rsidRPr="00761EF3">
        <w:rPr>
          <w:rFonts w:hint="eastAsia"/>
          <w:szCs w:val="22"/>
        </w:rPr>
        <w:t>1</w:t>
      </w:r>
      <w:r w:rsidRPr="00043A1E">
        <w:rPr>
          <w:rFonts w:hint="eastAsia"/>
          <w:szCs w:val="22"/>
        </w:rPr>
        <w:t>）</w:t>
      </w:r>
      <w:r w:rsidRPr="00043A1E">
        <w:rPr>
          <w:szCs w:val="22"/>
        </w:rPr>
        <w:t>《中論》卷</w:t>
      </w:r>
      <w:r w:rsidRPr="00761EF3">
        <w:rPr>
          <w:szCs w:val="22"/>
        </w:rPr>
        <w:t>4</w:t>
      </w:r>
      <w:r w:rsidRPr="00043A1E">
        <w:rPr>
          <w:szCs w:val="22"/>
        </w:rPr>
        <w:t>〈</w:t>
      </w:r>
      <w:r w:rsidRPr="00761EF3">
        <w:rPr>
          <w:szCs w:val="22"/>
        </w:rPr>
        <w:t>22</w:t>
      </w:r>
      <w:r w:rsidRPr="00043A1E">
        <w:rPr>
          <w:szCs w:val="22"/>
        </w:rPr>
        <w:t xml:space="preserve"> </w:t>
      </w:r>
      <w:r w:rsidRPr="00043A1E">
        <w:rPr>
          <w:szCs w:val="22"/>
        </w:rPr>
        <w:t>觀如來品〉（大正</w:t>
      </w:r>
      <w:r w:rsidRPr="00761EF3">
        <w:rPr>
          <w:szCs w:val="22"/>
        </w:rPr>
        <w:t>30</w:t>
      </w:r>
      <w:r w:rsidRPr="00043A1E">
        <w:rPr>
          <w:szCs w:val="22"/>
        </w:rPr>
        <w:t>，</w:t>
      </w:r>
      <w:r w:rsidRPr="00761EF3">
        <w:rPr>
          <w:szCs w:val="22"/>
        </w:rPr>
        <w:t>30b29</w:t>
      </w:r>
      <w:r w:rsidRPr="00043A1E">
        <w:rPr>
          <w:szCs w:val="22"/>
        </w:rPr>
        <w:t>-</w:t>
      </w:r>
      <w:r w:rsidRPr="00761EF3">
        <w:rPr>
          <w:szCs w:val="22"/>
        </w:rPr>
        <w:t>c1</w:t>
      </w:r>
      <w:r w:rsidRPr="00043A1E">
        <w:rPr>
          <w:szCs w:val="22"/>
        </w:rPr>
        <w:t>）：</w:t>
      </w:r>
    </w:p>
    <w:p w:rsidR="00157EF6" w:rsidRPr="00043A1E" w:rsidRDefault="00157EF6" w:rsidP="00AA120F">
      <w:pPr>
        <w:pStyle w:val="a5"/>
        <w:ind w:leftChars="335" w:left="804"/>
        <w:jc w:val="both"/>
        <w:rPr>
          <w:szCs w:val="22"/>
        </w:rPr>
      </w:pPr>
      <w:r w:rsidRPr="00043A1E">
        <w:rPr>
          <w:rFonts w:ascii="標楷體" w:eastAsia="標楷體" w:hAnsi="標楷體"/>
          <w:szCs w:val="22"/>
        </w:rPr>
        <w:t>寂滅相中</w:t>
      </w:r>
      <w:r w:rsidRPr="00FC005D">
        <w:rPr>
          <w:rFonts w:ascii="標楷體" w:eastAsia="標楷體" w:hAnsi="標楷體"/>
          <w:szCs w:val="22"/>
          <w:highlight w:val="yellow"/>
        </w:rPr>
        <w:t>無</w:t>
      </w:r>
      <w:r w:rsidR="00FC005D">
        <w:rPr>
          <w:rFonts w:ascii="標楷體" w:eastAsia="標楷體" w:hAnsi="標楷體" w:hint="eastAsia"/>
          <w:color w:val="FF0000"/>
          <w:szCs w:val="22"/>
          <w:highlight w:val="yellow"/>
        </w:rPr>
        <w:t>「</w:t>
      </w:r>
      <w:r w:rsidR="00FC005D">
        <w:rPr>
          <w:rFonts w:eastAsia="標楷體" w:hint="eastAsia"/>
          <w:color w:val="FF0000"/>
          <w:szCs w:val="22"/>
          <w:highlight w:val="yellow"/>
        </w:rPr>
        <w:t>『</w:t>
      </w:r>
      <w:r w:rsidRPr="00FC005D">
        <w:rPr>
          <w:rFonts w:ascii="標楷體" w:eastAsia="標楷體" w:hAnsi="標楷體"/>
          <w:szCs w:val="22"/>
        </w:rPr>
        <w:t>常</w:t>
      </w:r>
      <w:r w:rsidR="00FC005D" w:rsidRPr="00FC005D">
        <w:rPr>
          <w:rFonts w:ascii="標楷體" w:eastAsia="標楷體" w:hAnsi="標楷體" w:hint="eastAsia"/>
          <w:color w:val="FF0000"/>
          <w:szCs w:val="22"/>
          <w:highlight w:val="yellow"/>
        </w:rPr>
        <w:t>、</w:t>
      </w:r>
      <w:r w:rsidRPr="00043A1E">
        <w:rPr>
          <w:rFonts w:ascii="標楷體" w:eastAsia="標楷體" w:hAnsi="標楷體"/>
          <w:szCs w:val="22"/>
        </w:rPr>
        <w:t>無常</w:t>
      </w:r>
      <w:r w:rsidR="00FC005D">
        <w:rPr>
          <w:rFonts w:eastAsia="標楷體" w:hint="eastAsia"/>
          <w:color w:val="FF0000"/>
          <w:szCs w:val="22"/>
          <w:highlight w:val="yellow"/>
        </w:rPr>
        <w:t>』</w:t>
      </w:r>
      <w:r w:rsidRPr="00043A1E">
        <w:rPr>
          <w:rFonts w:ascii="標楷體" w:eastAsia="標楷體" w:hAnsi="標楷體"/>
          <w:szCs w:val="22"/>
        </w:rPr>
        <w:t>等四</w:t>
      </w:r>
      <w:r w:rsidR="00FC005D" w:rsidRPr="00FC005D">
        <w:rPr>
          <w:rFonts w:ascii="標楷體" w:eastAsia="標楷體" w:hAnsi="標楷體" w:hint="eastAsia"/>
          <w:color w:val="FF0000"/>
          <w:szCs w:val="22"/>
          <w:highlight w:val="yellow"/>
        </w:rPr>
        <w:t>」</w:t>
      </w:r>
      <w:r w:rsidRPr="00043A1E">
        <w:rPr>
          <w:rFonts w:ascii="標楷體" w:eastAsia="標楷體" w:hAnsi="標楷體"/>
          <w:szCs w:val="22"/>
        </w:rPr>
        <w:t>；寂滅相中無</w:t>
      </w:r>
      <w:r w:rsidR="00FC005D" w:rsidRPr="00FC005D">
        <w:rPr>
          <w:rFonts w:ascii="標楷體" w:eastAsia="標楷體" w:hAnsi="標楷體"/>
          <w:szCs w:val="22"/>
          <w:highlight w:val="yellow"/>
        </w:rPr>
        <w:t>無</w:t>
      </w:r>
      <w:r w:rsidR="00FC005D">
        <w:rPr>
          <w:rFonts w:ascii="標楷體" w:eastAsia="標楷體" w:hAnsi="標楷體" w:hint="eastAsia"/>
          <w:color w:val="FF0000"/>
          <w:szCs w:val="22"/>
          <w:highlight w:val="yellow"/>
        </w:rPr>
        <w:t>「</w:t>
      </w:r>
      <w:r w:rsidR="00FC005D">
        <w:rPr>
          <w:rFonts w:eastAsia="標楷體" w:hint="eastAsia"/>
          <w:color w:val="FF0000"/>
          <w:szCs w:val="22"/>
          <w:highlight w:val="yellow"/>
        </w:rPr>
        <w:t>『</w:t>
      </w:r>
      <w:r w:rsidRPr="00043A1E">
        <w:rPr>
          <w:rFonts w:ascii="標楷體" w:eastAsia="標楷體" w:hAnsi="標楷體"/>
          <w:szCs w:val="22"/>
        </w:rPr>
        <w:t>邊</w:t>
      </w:r>
      <w:r w:rsidR="00FC005D" w:rsidRPr="00FC005D">
        <w:rPr>
          <w:rFonts w:ascii="標楷體" w:eastAsia="標楷體" w:hAnsi="標楷體" w:hint="eastAsia"/>
          <w:color w:val="FF0000"/>
          <w:szCs w:val="22"/>
          <w:highlight w:val="yellow"/>
        </w:rPr>
        <w:t>、</w:t>
      </w:r>
      <w:r w:rsidRPr="00043A1E">
        <w:rPr>
          <w:rFonts w:ascii="標楷體" w:eastAsia="標楷體" w:hAnsi="標楷體"/>
          <w:szCs w:val="22"/>
        </w:rPr>
        <w:t>無邊</w:t>
      </w:r>
      <w:r w:rsidR="00FC005D">
        <w:rPr>
          <w:rFonts w:eastAsia="標楷體" w:hint="eastAsia"/>
          <w:color w:val="FF0000"/>
          <w:szCs w:val="22"/>
          <w:highlight w:val="yellow"/>
        </w:rPr>
        <w:t>』</w:t>
      </w:r>
      <w:r w:rsidRPr="00043A1E">
        <w:rPr>
          <w:rFonts w:ascii="標楷體" w:eastAsia="標楷體" w:hAnsi="標楷體"/>
          <w:szCs w:val="22"/>
        </w:rPr>
        <w:t>等四</w:t>
      </w:r>
      <w:r w:rsidR="00FC005D" w:rsidRPr="00FC005D">
        <w:rPr>
          <w:rFonts w:ascii="標楷體" w:eastAsia="標楷體" w:hAnsi="標楷體" w:hint="eastAsia"/>
          <w:color w:val="FF0000"/>
          <w:szCs w:val="22"/>
          <w:highlight w:val="yellow"/>
        </w:rPr>
        <w:t>」</w:t>
      </w:r>
      <w:r w:rsidRPr="00043A1E">
        <w:rPr>
          <w:rFonts w:ascii="標楷體" w:eastAsia="標楷體" w:hAnsi="標楷體"/>
          <w:szCs w:val="22"/>
        </w:rPr>
        <w:t>。</w:t>
      </w:r>
    </w:p>
    <w:p w:rsidR="00157EF6" w:rsidRPr="00043A1E" w:rsidRDefault="00157EF6" w:rsidP="00AA120F">
      <w:pPr>
        <w:pStyle w:val="a5"/>
        <w:ind w:leftChars="105" w:left="791" w:hangingChars="245" w:hanging="539"/>
        <w:jc w:val="both"/>
        <w:rPr>
          <w:rFonts w:eastAsia="標楷體"/>
          <w:szCs w:val="22"/>
        </w:rPr>
      </w:pPr>
      <w:r w:rsidRPr="00043A1E">
        <w:rPr>
          <w:rFonts w:ascii="SimSun" w:hAnsi="SimSun" w:hint="eastAsia"/>
          <w:szCs w:val="22"/>
        </w:rPr>
        <w:t>（</w:t>
      </w:r>
      <w:r w:rsidRPr="00761EF3">
        <w:rPr>
          <w:rFonts w:hint="eastAsia"/>
          <w:szCs w:val="22"/>
        </w:rPr>
        <w:t>2</w:t>
      </w:r>
      <w:r w:rsidRPr="00043A1E">
        <w:rPr>
          <w:rFonts w:hint="eastAsia"/>
          <w:szCs w:val="22"/>
        </w:rPr>
        <w:t>）</w:t>
      </w:r>
      <w:r w:rsidRPr="00043A1E">
        <w:rPr>
          <w:rFonts w:ascii="新細明體" w:hAnsi="新細明體"/>
          <w:szCs w:val="22"/>
        </w:rPr>
        <w:t>印順法師，《中觀論頌講記》，</w:t>
      </w:r>
      <w:r w:rsidRPr="00761EF3">
        <w:rPr>
          <w:rFonts w:eastAsia="標楷體"/>
          <w:szCs w:val="22"/>
        </w:rPr>
        <w:t>p</w:t>
      </w:r>
      <w:r w:rsidRPr="00043A1E">
        <w:rPr>
          <w:rFonts w:eastAsia="標楷體"/>
          <w:szCs w:val="22"/>
        </w:rPr>
        <w:t>.</w:t>
      </w:r>
      <w:r w:rsidRPr="00761EF3">
        <w:rPr>
          <w:rFonts w:eastAsia="標楷體"/>
          <w:szCs w:val="22"/>
        </w:rPr>
        <w:t>406</w:t>
      </w:r>
      <w:r w:rsidRPr="00043A1E">
        <w:rPr>
          <w:rFonts w:eastAsia="標楷體"/>
          <w:szCs w:val="22"/>
        </w:rPr>
        <w:t>：</w:t>
      </w:r>
    </w:p>
    <w:p w:rsidR="00157EF6" w:rsidRPr="00043A1E" w:rsidRDefault="00157EF6" w:rsidP="00AA120F">
      <w:pPr>
        <w:pStyle w:val="a5"/>
        <w:ind w:leftChars="335" w:left="804"/>
        <w:jc w:val="both"/>
        <w:rPr>
          <w:rFonts w:eastAsia="標楷體"/>
          <w:szCs w:val="22"/>
        </w:rPr>
      </w:pPr>
      <w:r w:rsidRPr="00043A1E">
        <w:rPr>
          <w:rFonts w:eastAsia="標楷體"/>
          <w:szCs w:val="22"/>
        </w:rPr>
        <w:t>外道的這種分別，以性空的正見觀察，在諸法「寂滅相」的性空「中」，根本是「無」有「常無常等」的「四」句的；在諸法「寂滅相」的性空「中」，也根本是「無」有「邊無邊等四」句的。為什麼呢？諸法性空中，是畢竟清淨的，那裡有這些不正的邪見？如加以批評，時間上的常無常，有斷常過；空間中的邊無邊，有一異過。外道雖以我及世間，分別常無常等，但這是以緣起如來的畢竟空寂性而遮破的。</w:t>
      </w:r>
    </w:p>
  </w:footnote>
  <w:footnote w:id="614">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範：</w:t>
      </w:r>
      <w:r w:rsidRPr="00761EF3">
        <w:rPr>
          <w:rFonts w:eastAsia="SimSun" w:hint="eastAsia"/>
          <w:szCs w:val="22"/>
        </w:rPr>
        <w:t>6</w:t>
      </w:r>
      <w:r w:rsidRPr="00043A1E">
        <w:rPr>
          <w:szCs w:val="22"/>
        </w:rPr>
        <w:t>.</w:t>
      </w:r>
      <w:r w:rsidRPr="00043A1E">
        <w:rPr>
          <w:rFonts w:hint="eastAsia"/>
          <w:szCs w:val="22"/>
        </w:rPr>
        <w:t>納入</w:t>
      </w:r>
      <w:r w:rsidRPr="00043A1E">
        <w:rPr>
          <w:rFonts w:ascii="新細明體" w:hAnsi="新細明體" w:hint="eastAsia"/>
          <w:szCs w:val="22"/>
        </w:rPr>
        <w:t>規範，使依規矩行事，控制。</w:t>
      </w:r>
      <w:r w:rsidRPr="00043A1E">
        <w:rPr>
          <w:szCs w:val="22"/>
        </w:rPr>
        <w:t>（《漢語大詞典》（八），</w:t>
      </w:r>
      <w:r w:rsidRPr="00761EF3">
        <w:rPr>
          <w:szCs w:val="22"/>
        </w:rPr>
        <w:t>p</w:t>
      </w:r>
      <w:r w:rsidRPr="00043A1E">
        <w:rPr>
          <w:szCs w:val="22"/>
        </w:rPr>
        <w:t>.</w:t>
      </w:r>
      <w:r w:rsidRPr="00761EF3">
        <w:rPr>
          <w:szCs w:val="22"/>
        </w:rPr>
        <w:t>1209</w:t>
      </w:r>
      <w:r w:rsidRPr="00043A1E">
        <w:rPr>
          <w:szCs w:val="22"/>
        </w:rPr>
        <w:t>）</w:t>
      </w:r>
    </w:p>
  </w:footnote>
  <w:footnote w:id="615">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無外：</w:t>
      </w:r>
      <w:r w:rsidRPr="00761EF3">
        <w:rPr>
          <w:szCs w:val="22"/>
        </w:rPr>
        <w:t>2</w:t>
      </w:r>
      <w:r w:rsidRPr="00043A1E">
        <w:rPr>
          <w:szCs w:val="22"/>
        </w:rPr>
        <w:t>.</w:t>
      </w:r>
      <w:r w:rsidRPr="00043A1E">
        <w:rPr>
          <w:szCs w:val="22"/>
        </w:rPr>
        <w:t>猶無窮，無所不包。（《漢語大詞典》（七），</w:t>
      </w:r>
      <w:r w:rsidRPr="00761EF3">
        <w:rPr>
          <w:szCs w:val="22"/>
        </w:rPr>
        <w:t>p</w:t>
      </w:r>
      <w:r w:rsidRPr="00043A1E">
        <w:rPr>
          <w:szCs w:val="22"/>
        </w:rPr>
        <w:t>.</w:t>
      </w:r>
      <w:r w:rsidRPr="00761EF3">
        <w:rPr>
          <w:szCs w:val="22"/>
        </w:rPr>
        <w:t>97</w:t>
      </w:r>
      <w:r w:rsidRPr="00043A1E">
        <w:rPr>
          <w:szCs w:val="22"/>
        </w:rPr>
        <w:t>）</w:t>
      </w:r>
    </w:p>
  </w:footnote>
  <w:footnote w:id="616">
    <w:p w:rsidR="00157EF6" w:rsidRPr="00043A1E" w:rsidRDefault="00157EF6" w:rsidP="00AA120F">
      <w:pPr>
        <w:pStyle w:val="a5"/>
        <w:spacing w:line="0" w:lineRule="atLeast"/>
        <w:ind w:left="792" w:hangingChars="360" w:hanging="792"/>
        <w:jc w:val="both"/>
        <w:rPr>
          <w:rFonts w:ascii="新細明體" w:hAnsi="新細明體"/>
          <w:szCs w:val="22"/>
        </w:rPr>
      </w:pPr>
      <w:r w:rsidRPr="00043A1E">
        <w:rPr>
          <w:rStyle w:val="a6"/>
          <w:szCs w:val="22"/>
        </w:rPr>
        <w:footnoteRef/>
      </w:r>
      <w:r w:rsidRPr="00043A1E">
        <w:rPr>
          <w:rFonts w:ascii="新細明體" w:hAnsi="新細明體" w:hint="eastAsia"/>
          <w:szCs w:val="22"/>
        </w:rPr>
        <w:t xml:space="preserve"> （</w:t>
      </w:r>
      <w:r w:rsidRPr="00761EF3">
        <w:rPr>
          <w:rFonts w:eastAsia="標楷體"/>
          <w:szCs w:val="22"/>
        </w:rPr>
        <w:t>1</w:t>
      </w:r>
      <w:r w:rsidRPr="00043A1E">
        <w:rPr>
          <w:rFonts w:ascii="新細明體" w:hAnsi="新細明體" w:hint="eastAsia"/>
          <w:szCs w:val="22"/>
        </w:rPr>
        <w:t>）〔隋〕</w:t>
      </w:r>
      <w:r w:rsidRPr="00043A1E">
        <w:rPr>
          <w:szCs w:val="22"/>
        </w:rPr>
        <w:t>吉藏撰，《</w:t>
      </w:r>
      <w:r w:rsidRPr="00043A1E">
        <w:rPr>
          <w:rFonts w:hint="eastAsia"/>
          <w:szCs w:val="22"/>
        </w:rPr>
        <w:t>中觀論疏》卷</w:t>
      </w:r>
      <w:r w:rsidRPr="00761EF3">
        <w:rPr>
          <w:szCs w:val="22"/>
        </w:rPr>
        <w:t>1</w:t>
      </w:r>
      <w:r w:rsidRPr="00043A1E">
        <w:rPr>
          <w:rFonts w:hint="eastAsia"/>
          <w:szCs w:val="22"/>
        </w:rPr>
        <w:t>〈</w:t>
      </w:r>
      <w:r w:rsidRPr="00761EF3">
        <w:rPr>
          <w:rFonts w:hint="eastAsia"/>
          <w:szCs w:val="22"/>
        </w:rPr>
        <w:t>1</w:t>
      </w:r>
      <w:r w:rsidRPr="00043A1E">
        <w:rPr>
          <w:rFonts w:hint="eastAsia"/>
          <w:szCs w:val="22"/>
        </w:rPr>
        <w:t xml:space="preserve"> </w:t>
      </w:r>
      <w:r w:rsidRPr="00043A1E">
        <w:rPr>
          <w:rFonts w:hint="eastAsia"/>
          <w:szCs w:val="22"/>
        </w:rPr>
        <w:t>因緣品〉</w:t>
      </w:r>
      <w:r w:rsidRPr="00043A1E">
        <w:rPr>
          <w:rFonts w:ascii="新細明體" w:hAnsi="新細明體" w:hint="eastAsia"/>
          <w:szCs w:val="22"/>
        </w:rPr>
        <w:t>（</w:t>
      </w:r>
      <w:r w:rsidRPr="00043A1E">
        <w:rPr>
          <w:rFonts w:hint="eastAsia"/>
          <w:szCs w:val="22"/>
        </w:rPr>
        <w:t>大正</w:t>
      </w:r>
      <w:r w:rsidRPr="00761EF3">
        <w:rPr>
          <w:szCs w:val="22"/>
        </w:rPr>
        <w:t>42</w:t>
      </w:r>
      <w:r w:rsidRPr="00043A1E">
        <w:rPr>
          <w:rFonts w:hint="eastAsia"/>
          <w:szCs w:val="22"/>
        </w:rPr>
        <w:t>，</w:t>
      </w:r>
      <w:r w:rsidRPr="00761EF3">
        <w:rPr>
          <w:szCs w:val="22"/>
        </w:rPr>
        <w:t>15b13</w:t>
      </w:r>
      <w:r w:rsidRPr="00043A1E">
        <w:rPr>
          <w:szCs w:val="22"/>
        </w:rPr>
        <w:t>-</w:t>
      </w:r>
      <w:r w:rsidRPr="00761EF3">
        <w:rPr>
          <w:szCs w:val="22"/>
        </w:rPr>
        <w:t>14</w:t>
      </w:r>
      <w:r w:rsidRPr="00043A1E">
        <w:rPr>
          <w:rFonts w:ascii="新細明體" w:hAnsi="新細明體" w:hint="eastAsia"/>
          <w:szCs w:val="22"/>
        </w:rPr>
        <w:t>）</w:t>
      </w:r>
      <w:r w:rsidRPr="00043A1E">
        <w:rPr>
          <w:rFonts w:hint="eastAsia"/>
          <w:szCs w:val="22"/>
        </w:rPr>
        <w:t>：</w:t>
      </w:r>
    </w:p>
    <w:p w:rsidR="00157EF6" w:rsidRPr="00043A1E" w:rsidRDefault="00157EF6" w:rsidP="00AA120F">
      <w:pPr>
        <w:pStyle w:val="a5"/>
        <w:ind w:leftChars="335" w:left="804"/>
        <w:jc w:val="both"/>
        <w:rPr>
          <w:rFonts w:eastAsia="SimSun"/>
          <w:szCs w:val="22"/>
        </w:rPr>
      </w:pPr>
      <w:r w:rsidRPr="00043A1E">
        <w:rPr>
          <w:rFonts w:ascii="標楷體" w:eastAsia="標楷體" w:hAnsi="標楷體" w:hint="eastAsia"/>
          <w:szCs w:val="22"/>
        </w:rPr>
        <w:t>數論師云：「以細色成麁色，而</w:t>
      </w:r>
      <w:r w:rsidR="008026CC">
        <w:rPr>
          <w:rFonts w:ascii="標楷體" w:eastAsia="標楷體" w:hAnsi="標楷體" w:hint="eastAsia"/>
          <w:color w:val="FF0000"/>
          <w:kern w:val="0"/>
          <w:highlight w:val="yellow"/>
        </w:rPr>
        <w:t>『</w:t>
      </w:r>
      <w:r w:rsidRPr="00043A1E">
        <w:rPr>
          <w:rFonts w:ascii="標楷體" w:eastAsia="標楷體" w:hAnsi="標楷體" w:hint="eastAsia"/>
          <w:b/>
          <w:szCs w:val="22"/>
        </w:rPr>
        <w:t>隣虛</w:t>
      </w:r>
      <w:r w:rsidR="008026CC">
        <w:rPr>
          <w:rFonts w:ascii="標楷體" w:eastAsia="標楷體" w:hAnsi="標楷體" w:hint="eastAsia"/>
          <w:color w:val="FF0000"/>
          <w:kern w:val="0"/>
          <w:highlight w:val="yellow"/>
        </w:rPr>
        <w:t>』</w:t>
      </w:r>
      <w:r w:rsidRPr="00043A1E">
        <w:rPr>
          <w:rFonts w:ascii="標楷體" w:eastAsia="標楷體" w:hAnsi="標楷體" w:hint="eastAsia"/>
          <w:szCs w:val="22"/>
        </w:rPr>
        <w:t>最小</w:t>
      </w:r>
      <w:r w:rsidRPr="00043A1E">
        <w:rPr>
          <w:rFonts w:ascii="新細明體" w:hAnsi="新細明體" w:hint="eastAsia"/>
          <w:szCs w:val="22"/>
        </w:rPr>
        <w:t>。」</w:t>
      </w:r>
    </w:p>
    <w:p w:rsidR="00157EF6" w:rsidRPr="00043A1E" w:rsidRDefault="00157EF6" w:rsidP="00AA120F">
      <w:pPr>
        <w:pStyle w:val="a5"/>
        <w:ind w:leftChars="105" w:left="791" w:hangingChars="245" w:hanging="539"/>
        <w:jc w:val="both"/>
        <w:rPr>
          <w:szCs w:val="22"/>
        </w:rPr>
      </w:pPr>
      <w:r w:rsidRPr="00043A1E">
        <w:rPr>
          <w:rFonts w:ascii="新細明體" w:hAnsi="新細明體" w:hint="eastAsia"/>
          <w:szCs w:val="22"/>
        </w:rPr>
        <w:t>（</w:t>
      </w:r>
      <w:r w:rsidRPr="00761EF3">
        <w:rPr>
          <w:rFonts w:eastAsia="SimSun"/>
          <w:szCs w:val="22"/>
        </w:rPr>
        <w:t>2</w:t>
      </w:r>
      <w:r w:rsidRPr="00043A1E">
        <w:rPr>
          <w:rFonts w:ascii="新細明體" w:hAnsi="新細明體" w:hint="eastAsia"/>
          <w:szCs w:val="22"/>
        </w:rPr>
        <w:t>）</w:t>
      </w:r>
      <w:r w:rsidRPr="00043A1E">
        <w:rPr>
          <w:szCs w:val="22"/>
        </w:rPr>
        <w:t>印順法師，《初期大乘佛教之起源與開展》，</w:t>
      </w:r>
      <w:r w:rsidRPr="00761EF3">
        <w:rPr>
          <w:szCs w:val="22"/>
        </w:rPr>
        <w:t>p</w:t>
      </w:r>
      <w:r w:rsidRPr="00043A1E">
        <w:rPr>
          <w:szCs w:val="22"/>
        </w:rPr>
        <w:t>.</w:t>
      </w:r>
      <w:r w:rsidRPr="00761EF3">
        <w:rPr>
          <w:szCs w:val="22"/>
        </w:rPr>
        <w:t>734</w:t>
      </w:r>
      <w:r w:rsidRPr="00043A1E">
        <w:rPr>
          <w:rFonts w:eastAsia="標楷體"/>
          <w:szCs w:val="22"/>
        </w:rPr>
        <w:t>：</w:t>
      </w:r>
    </w:p>
    <w:p w:rsidR="00157EF6" w:rsidRPr="00043A1E" w:rsidRDefault="00157EF6" w:rsidP="00AA120F">
      <w:pPr>
        <w:pStyle w:val="a5"/>
        <w:ind w:leftChars="335" w:left="804"/>
        <w:jc w:val="both"/>
        <w:rPr>
          <w:rFonts w:eastAsia="SimSun"/>
          <w:szCs w:val="22"/>
        </w:rPr>
      </w:pPr>
      <w:r w:rsidRPr="00043A1E">
        <w:rPr>
          <w:rFonts w:eastAsia="標楷體"/>
          <w:szCs w:val="22"/>
        </w:rPr>
        <w:t>依薩婆多部：極微</w:t>
      </w:r>
      <w:r w:rsidRPr="00043A1E">
        <w:rPr>
          <w:szCs w:val="22"/>
        </w:rPr>
        <w:t>（</w:t>
      </w:r>
      <w:r w:rsidRPr="00761EF3">
        <w:rPr>
          <w:rFonts w:eastAsia="標楷體"/>
          <w:szCs w:val="22"/>
        </w:rPr>
        <w:t>param</w:t>
      </w:r>
      <w:r w:rsidRPr="00761EF3">
        <w:rPr>
          <w:szCs w:val="22"/>
        </w:rPr>
        <w:t>ā</w:t>
      </w:r>
      <w:r w:rsidRPr="00761EF3">
        <w:rPr>
          <w:rFonts w:eastAsia="標楷體"/>
          <w:szCs w:val="22"/>
        </w:rPr>
        <w:t>ṇu</w:t>
      </w:r>
      <w:r w:rsidRPr="00043A1E">
        <w:rPr>
          <w:rFonts w:ascii="新細明體" w:hAnsi="新細明體" w:hint="eastAsia"/>
          <w:szCs w:val="22"/>
        </w:rPr>
        <w:t>）</w:t>
      </w:r>
      <w:r w:rsidRPr="00043A1E">
        <w:rPr>
          <w:rFonts w:eastAsia="標楷體"/>
          <w:szCs w:val="22"/>
        </w:rPr>
        <w:t>是最細色，小到不能小的物質單位，再細就要近於空虛了，所以稱為</w:t>
      </w:r>
      <w:r w:rsidRPr="00043A1E">
        <w:rPr>
          <w:rFonts w:eastAsia="標楷體"/>
          <w:b/>
          <w:szCs w:val="22"/>
        </w:rPr>
        <w:t>鄰虛塵</w:t>
      </w:r>
      <w:r w:rsidRPr="00043A1E">
        <w:rPr>
          <w:szCs w:val="22"/>
        </w:rPr>
        <w:t>。</w:t>
      </w:r>
    </w:p>
    <w:p w:rsidR="00157EF6" w:rsidRPr="00043A1E" w:rsidRDefault="00157EF6" w:rsidP="00AA120F">
      <w:pPr>
        <w:pStyle w:val="a5"/>
        <w:ind w:leftChars="105" w:left="791" w:hangingChars="245" w:hanging="539"/>
        <w:jc w:val="both"/>
        <w:rPr>
          <w:szCs w:val="22"/>
        </w:rPr>
      </w:pPr>
      <w:r w:rsidRPr="00043A1E">
        <w:rPr>
          <w:rFonts w:ascii="新細明體" w:hAnsi="新細明體" w:hint="eastAsia"/>
          <w:szCs w:val="22"/>
        </w:rPr>
        <w:t>（</w:t>
      </w:r>
      <w:r w:rsidRPr="00761EF3">
        <w:rPr>
          <w:rFonts w:eastAsia="SimSun" w:hint="eastAsia"/>
          <w:szCs w:val="22"/>
        </w:rPr>
        <w:t>3</w:t>
      </w:r>
      <w:r w:rsidRPr="00043A1E">
        <w:rPr>
          <w:rFonts w:ascii="新細明體" w:hAnsi="新細明體" w:hint="eastAsia"/>
          <w:szCs w:val="22"/>
        </w:rPr>
        <w:t>）</w:t>
      </w:r>
      <w:r w:rsidRPr="00043A1E">
        <w:rPr>
          <w:szCs w:val="22"/>
        </w:rPr>
        <w:t>印順法師，《寶積經講記》，</w:t>
      </w:r>
      <w:r w:rsidRPr="00761EF3">
        <w:rPr>
          <w:szCs w:val="22"/>
        </w:rPr>
        <w:t>p</w:t>
      </w:r>
      <w:r w:rsidRPr="00043A1E">
        <w:rPr>
          <w:szCs w:val="22"/>
        </w:rPr>
        <w:t>.</w:t>
      </w:r>
      <w:r w:rsidRPr="00761EF3">
        <w:rPr>
          <w:szCs w:val="22"/>
        </w:rPr>
        <w:t>11</w:t>
      </w:r>
      <w:r w:rsidRPr="00761EF3">
        <w:rPr>
          <w:rFonts w:eastAsia="SimSun" w:hint="eastAsia"/>
          <w:szCs w:val="22"/>
        </w:rPr>
        <w:t>3</w:t>
      </w:r>
      <w:r w:rsidRPr="00043A1E">
        <w:rPr>
          <w:rFonts w:eastAsia="標楷體"/>
          <w:szCs w:val="22"/>
        </w:rPr>
        <w:t>：</w:t>
      </w:r>
    </w:p>
    <w:p w:rsidR="00157EF6" w:rsidRPr="00043A1E" w:rsidRDefault="00157EF6" w:rsidP="00AA120F">
      <w:pPr>
        <w:pStyle w:val="a5"/>
        <w:ind w:leftChars="335" w:left="804"/>
        <w:jc w:val="both"/>
        <w:rPr>
          <w:rFonts w:eastAsia="SimSun"/>
          <w:szCs w:val="22"/>
        </w:rPr>
      </w:pPr>
      <w:r w:rsidRPr="00043A1E">
        <w:rPr>
          <w:rFonts w:ascii="標楷體" w:eastAsia="標楷體" w:hAnsi="標楷體" w:hint="eastAsia"/>
          <w:szCs w:val="22"/>
        </w:rPr>
        <w:t>「分破空」：以分析的觀法來通達空；經中名為「散空」，天台稱之為「析空」。如色法，分分的分析起來，分析到分無可分時，名「</w:t>
      </w:r>
      <w:r w:rsidRPr="00043A1E">
        <w:rPr>
          <w:rFonts w:ascii="標楷體" w:eastAsia="標楷體" w:hAnsi="標楷體" w:hint="eastAsia"/>
          <w:b/>
          <w:szCs w:val="22"/>
        </w:rPr>
        <w:t>鄰虛塵</w:t>
      </w:r>
      <w:r w:rsidRPr="00043A1E">
        <w:rPr>
          <w:rFonts w:ascii="標楷體" w:eastAsia="標楷體" w:hAnsi="標楷體" w:hint="eastAsia"/>
          <w:szCs w:val="22"/>
        </w:rPr>
        <w:t>」，即到了空的邊緣。再進，就有空相現前。但這是假觀而不是實觀，因為這樣的分析，即使分析到千萬億分之一，也還是有，還是色。</w:t>
      </w:r>
    </w:p>
  </w:footnote>
  <w:footnote w:id="617">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方分：主張極微有上、下、左、右之方位，在空間占有體積，稱為方分。一說極微為圓形，而無方分。（《佛光大辭典》（二），</w:t>
      </w:r>
      <w:r w:rsidRPr="00761EF3">
        <w:rPr>
          <w:rFonts w:hint="eastAsia"/>
          <w:szCs w:val="22"/>
        </w:rPr>
        <w:t>p</w:t>
      </w:r>
      <w:r w:rsidRPr="00043A1E">
        <w:rPr>
          <w:rFonts w:hint="eastAsia"/>
          <w:szCs w:val="22"/>
        </w:rPr>
        <w:t>.</w:t>
      </w:r>
      <w:r w:rsidRPr="00761EF3">
        <w:rPr>
          <w:rFonts w:hint="eastAsia"/>
          <w:szCs w:val="22"/>
        </w:rPr>
        <w:t>1433</w:t>
      </w:r>
      <w:r w:rsidRPr="00043A1E">
        <w:rPr>
          <w:rFonts w:hint="eastAsia"/>
          <w:szCs w:val="22"/>
        </w:rPr>
        <w:t>.</w:t>
      </w:r>
      <w:r w:rsidRPr="00761EF3">
        <w:rPr>
          <w:rFonts w:hint="eastAsia"/>
          <w:szCs w:val="22"/>
        </w:rPr>
        <w:t>2</w:t>
      </w:r>
      <w:r w:rsidRPr="00043A1E">
        <w:rPr>
          <w:rFonts w:hint="eastAsia"/>
          <w:szCs w:val="22"/>
        </w:rPr>
        <w:t>）</w:t>
      </w:r>
    </w:p>
  </w:footnote>
  <w:footnote w:id="618">
    <w:p w:rsidR="00157EF6" w:rsidRPr="00043A1E" w:rsidRDefault="00157EF6" w:rsidP="00AA120F">
      <w:pPr>
        <w:snapToGrid w:val="0"/>
        <w:ind w:leftChars="14" w:left="584" w:hangingChars="250" w:hanging="550"/>
        <w:jc w:val="both"/>
        <w:rPr>
          <w:rFonts w:ascii="Times New Roman" w:eastAsia="SimSun" w:hAnsi="Times New Roman"/>
          <w:sz w:val="22"/>
          <w:szCs w:val="22"/>
        </w:rPr>
      </w:pPr>
      <w:r w:rsidRPr="00043A1E">
        <w:rPr>
          <w:rStyle w:val="a6"/>
          <w:rFonts w:ascii="Times New Roman" w:hAnsi="Times New Roman"/>
          <w:sz w:val="22"/>
          <w:szCs w:val="22"/>
        </w:rPr>
        <w:footnoteRef/>
      </w:r>
      <w:r w:rsidRPr="00043A1E">
        <w:rPr>
          <w:rFonts w:ascii="新細明體" w:hAnsi="新細明體" w:hint="eastAsia"/>
          <w:sz w:val="22"/>
          <w:szCs w:val="22"/>
        </w:rPr>
        <w:t xml:space="preserve"> （</w:t>
      </w:r>
      <w:r w:rsidRPr="00761EF3">
        <w:rPr>
          <w:rFonts w:ascii="Times New Roman" w:eastAsia="標楷體" w:hAnsi="Times New Roman"/>
          <w:sz w:val="22"/>
          <w:szCs w:val="22"/>
        </w:rPr>
        <w:t>1</w:t>
      </w:r>
      <w:r w:rsidRPr="00043A1E">
        <w:rPr>
          <w:rFonts w:ascii="新細明體" w:hAnsi="新細明體" w:hint="eastAsia"/>
          <w:sz w:val="22"/>
          <w:szCs w:val="22"/>
        </w:rPr>
        <w:t>）</w:t>
      </w:r>
      <w:r w:rsidRPr="00043A1E">
        <w:rPr>
          <w:rFonts w:ascii="Times New Roman" w:hAnsi="Times New Roman" w:hint="eastAsia"/>
          <w:sz w:val="22"/>
          <w:szCs w:val="22"/>
        </w:rPr>
        <w:t>參見《大智度論》卷</w:t>
      </w:r>
      <w:r w:rsidRPr="00761EF3">
        <w:rPr>
          <w:rFonts w:ascii="Times New Roman" w:hAnsi="Times New Roman"/>
          <w:sz w:val="22"/>
          <w:szCs w:val="22"/>
        </w:rPr>
        <w:t>12</w:t>
      </w:r>
      <w:r w:rsidR="005C0D01">
        <w:rPr>
          <w:rFonts w:ascii="Times New Roman" w:hAnsi="Times New Roman" w:hint="eastAsia"/>
          <w:color w:val="FF0000"/>
          <w:sz w:val="22"/>
          <w:szCs w:val="22"/>
          <w:highlight w:val="yellow"/>
        </w:rPr>
        <w:t>釋〈</w:t>
      </w:r>
      <w:r w:rsidR="005C0D01">
        <w:rPr>
          <w:rFonts w:ascii="Times New Roman" w:hAnsi="Times New Roman"/>
          <w:color w:val="FF0000"/>
          <w:sz w:val="22"/>
          <w:szCs w:val="22"/>
          <w:highlight w:val="yellow"/>
        </w:rPr>
        <w:t xml:space="preserve">1 </w:t>
      </w:r>
      <w:r w:rsidR="005C0D01">
        <w:rPr>
          <w:rFonts w:ascii="Times New Roman" w:hAnsi="Times New Roman" w:hint="eastAsia"/>
          <w:color w:val="FF0000"/>
          <w:sz w:val="22"/>
          <w:szCs w:val="22"/>
          <w:highlight w:val="yellow"/>
        </w:rPr>
        <w:t>序品〉</w:t>
      </w:r>
      <w:r w:rsidRPr="00043A1E">
        <w:rPr>
          <w:rFonts w:ascii="新細明體" w:hAnsi="新細明體" w:hint="eastAsia"/>
          <w:sz w:val="22"/>
          <w:szCs w:val="22"/>
        </w:rPr>
        <w:t>（</w:t>
      </w:r>
      <w:r w:rsidRPr="00043A1E">
        <w:rPr>
          <w:rFonts w:ascii="Times New Roman" w:hAnsi="Times New Roman" w:hint="eastAsia"/>
          <w:sz w:val="22"/>
          <w:szCs w:val="22"/>
        </w:rPr>
        <w:t>大正</w:t>
      </w:r>
      <w:r w:rsidRPr="00761EF3">
        <w:rPr>
          <w:rFonts w:ascii="Times New Roman" w:hAnsi="Times New Roman"/>
          <w:sz w:val="22"/>
          <w:szCs w:val="22"/>
        </w:rPr>
        <w:t>25</w:t>
      </w:r>
      <w:r w:rsidRPr="00043A1E">
        <w:rPr>
          <w:rFonts w:ascii="Times New Roman" w:hAnsi="Times New Roman" w:hint="eastAsia"/>
          <w:sz w:val="22"/>
          <w:szCs w:val="22"/>
        </w:rPr>
        <w:t>，</w:t>
      </w:r>
      <w:r w:rsidRPr="00761EF3">
        <w:rPr>
          <w:rFonts w:ascii="Times New Roman" w:hAnsi="Times New Roman"/>
          <w:sz w:val="22"/>
          <w:szCs w:val="22"/>
        </w:rPr>
        <w:t>147c21</w:t>
      </w:r>
      <w:r w:rsidRPr="00043A1E">
        <w:rPr>
          <w:rFonts w:ascii="Times New Roman" w:hAnsi="Times New Roman"/>
          <w:sz w:val="22"/>
          <w:szCs w:val="22"/>
        </w:rPr>
        <w:t>-</w:t>
      </w:r>
      <w:r w:rsidRPr="00761EF3">
        <w:rPr>
          <w:rFonts w:ascii="Times New Roman" w:hAnsi="Times New Roman"/>
          <w:sz w:val="22"/>
          <w:szCs w:val="22"/>
        </w:rPr>
        <w:t>148a2</w:t>
      </w:r>
      <w:r w:rsidRPr="00043A1E">
        <w:rPr>
          <w:rFonts w:ascii="新細明體" w:hAnsi="新細明體" w:hint="eastAsia"/>
          <w:sz w:val="22"/>
          <w:szCs w:val="22"/>
        </w:rPr>
        <w:t>）</w:t>
      </w:r>
      <w:r w:rsidRPr="00043A1E">
        <w:rPr>
          <w:rFonts w:ascii="Times New Roman" w:hAnsi="Times New Roman" w:hint="eastAsia"/>
          <w:sz w:val="22"/>
          <w:szCs w:val="22"/>
        </w:rPr>
        <w:t>：</w:t>
      </w:r>
    </w:p>
    <w:p w:rsidR="00157EF6" w:rsidRPr="00043A1E" w:rsidRDefault="00157EF6" w:rsidP="00AA120F">
      <w:pPr>
        <w:snapToGrid w:val="0"/>
        <w:ind w:leftChars="335" w:left="1464" w:hangingChars="300" w:hanging="660"/>
        <w:jc w:val="both"/>
        <w:rPr>
          <w:rFonts w:ascii="標楷體" w:eastAsia="SimSun" w:hAnsi="標楷體"/>
          <w:sz w:val="22"/>
          <w:szCs w:val="22"/>
        </w:rPr>
      </w:pPr>
      <w:r w:rsidRPr="00043A1E">
        <w:rPr>
          <w:rFonts w:ascii="標楷體" w:eastAsia="標楷體" w:hAnsi="標楷體" w:hint="eastAsia"/>
          <w:sz w:val="22"/>
          <w:szCs w:val="22"/>
        </w:rPr>
        <w:t>問曰：亦不必一切物皆從因緣和合故有；如</w:t>
      </w:r>
      <w:r w:rsidR="00616B02">
        <w:rPr>
          <w:rFonts w:eastAsia="標楷體" w:hint="eastAsia"/>
          <w:color w:val="FF0000"/>
          <w:sz w:val="22"/>
          <w:szCs w:val="22"/>
          <w:highlight w:val="yellow"/>
        </w:rPr>
        <w:t>「</w:t>
      </w:r>
      <w:r w:rsidRPr="00043A1E">
        <w:rPr>
          <w:rFonts w:ascii="標楷體" w:eastAsia="標楷體" w:hAnsi="標楷體" w:hint="eastAsia"/>
          <w:sz w:val="22"/>
          <w:szCs w:val="22"/>
        </w:rPr>
        <w:t>微塵</w:t>
      </w:r>
      <w:r w:rsidR="00616B02">
        <w:rPr>
          <w:rFonts w:eastAsia="標楷體" w:hint="eastAsia"/>
          <w:color w:val="FF0000"/>
          <w:sz w:val="22"/>
          <w:szCs w:val="22"/>
          <w:highlight w:val="yellow"/>
        </w:rPr>
        <w:t>」，</w:t>
      </w:r>
      <w:r w:rsidRPr="00043A1E">
        <w:rPr>
          <w:rFonts w:ascii="標楷體" w:eastAsia="標楷體" w:hAnsi="標楷體" w:hint="eastAsia"/>
          <w:sz w:val="22"/>
          <w:szCs w:val="22"/>
        </w:rPr>
        <w:t>至細故無分，無分故無和合。疊</w:t>
      </w:r>
      <w:r w:rsidR="00616B02" w:rsidRPr="00616B02">
        <w:rPr>
          <w:rFonts w:ascii="標楷體" w:eastAsia="標楷體" w:hAnsi="標楷體" w:hint="eastAsia"/>
          <w:color w:val="FF0000"/>
          <w:sz w:val="22"/>
          <w:szCs w:val="22"/>
          <w:highlight w:val="yellow"/>
        </w:rPr>
        <w:t>，</w:t>
      </w:r>
      <w:r w:rsidRPr="00043A1E">
        <w:rPr>
          <w:rFonts w:ascii="標楷體" w:eastAsia="標楷體" w:hAnsi="標楷體" w:hint="eastAsia"/>
          <w:sz w:val="22"/>
          <w:szCs w:val="22"/>
        </w:rPr>
        <w:t>麤故</w:t>
      </w:r>
      <w:r w:rsidR="00616B02" w:rsidRPr="00616B02">
        <w:rPr>
          <w:rFonts w:ascii="標楷體" w:eastAsia="標楷體" w:hAnsi="標楷體" w:hint="eastAsia"/>
          <w:color w:val="FF0000"/>
          <w:sz w:val="22"/>
          <w:szCs w:val="22"/>
          <w:highlight w:val="yellow"/>
        </w:rPr>
        <w:t>，</w:t>
      </w:r>
      <w:r w:rsidRPr="00043A1E">
        <w:rPr>
          <w:rFonts w:ascii="標楷體" w:eastAsia="標楷體" w:hAnsi="標楷體" w:hint="eastAsia"/>
          <w:sz w:val="22"/>
          <w:szCs w:val="22"/>
        </w:rPr>
        <w:t>可破</w:t>
      </w:r>
      <w:r w:rsidR="00616B02">
        <w:rPr>
          <w:rFonts w:ascii="標楷體" w:eastAsia="標楷體" w:hAnsi="標楷體" w:hint="eastAsia"/>
          <w:color w:val="FF0000"/>
          <w:sz w:val="22"/>
          <w:szCs w:val="22"/>
          <w:highlight w:val="yellow"/>
        </w:rPr>
        <w:t>；</w:t>
      </w:r>
      <w:r w:rsidR="00616B02">
        <w:rPr>
          <w:rFonts w:eastAsia="標楷體" w:hint="eastAsia"/>
          <w:color w:val="FF0000"/>
          <w:sz w:val="22"/>
          <w:szCs w:val="22"/>
          <w:highlight w:val="yellow"/>
        </w:rPr>
        <w:t>「</w:t>
      </w:r>
      <w:r w:rsidRPr="00043A1E">
        <w:rPr>
          <w:rFonts w:ascii="標楷體" w:eastAsia="標楷體" w:hAnsi="標楷體" w:hint="eastAsia"/>
          <w:sz w:val="22"/>
          <w:szCs w:val="22"/>
        </w:rPr>
        <w:t>微塵</w:t>
      </w:r>
      <w:r w:rsidR="00616B02">
        <w:rPr>
          <w:rFonts w:eastAsia="標楷體" w:hint="eastAsia"/>
          <w:color w:val="FF0000"/>
          <w:sz w:val="22"/>
          <w:szCs w:val="22"/>
          <w:highlight w:val="yellow"/>
        </w:rPr>
        <w:t>」</w:t>
      </w:r>
      <w:r w:rsidRPr="00043A1E">
        <w:rPr>
          <w:rFonts w:ascii="標楷體" w:eastAsia="標楷體" w:hAnsi="標楷體" w:hint="eastAsia"/>
          <w:sz w:val="22"/>
          <w:szCs w:val="22"/>
        </w:rPr>
        <w:t>中無分，云何可破？</w:t>
      </w:r>
    </w:p>
    <w:p w:rsidR="00157EF6" w:rsidRPr="00043A1E" w:rsidRDefault="00157EF6" w:rsidP="00AA120F">
      <w:pPr>
        <w:snapToGrid w:val="0"/>
        <w:ind w:leftChars="335" w:left="1464" w:hangingChars="300" w:hanging="660"/>
        <w:jc w:val="both"/>
        <w:rPr>
          <w:rFonts w:ascii="標楷體" w:eastAsia="標楷體" w:hAnsi="標楷體"/>
          <w:sz w:val="22"/>
          <w:szCs w:val="22"/>
        </w:rPr>
      </w:pPr>
      <w:r w:rsidRPr="00043A1E">
        <w:rPr>
          <w:rFonts w:ascii="標楷體" w:eastAsia="標楷體" w:hAnsi="標楷體" w:hint="eastAsia"/>
          <w:sz w:val="22"/>
          <w:szCs w:val="22"/>
        </w:rPr>
        <w:t>答曰：至微無實，強為之名。何以故？麤</w:t>
      </w:r>
      <w:r w:rsidR="00616B02" w:rsidRPr="00616B02">
        <w:rPr>
          <w:rFonts w:ascii="標楷體" w:eastAsia="標楷體" w:hAnsi="標楷體" w:hint="eastAsia"/>
          <w:color w:val="FF0000"/>
          <w:sz w:val="22"/>
          <w:szCs w:val="22"/>
          <w:highlight w:val="yellow"/>
        </w:rPr>
        <w:t>、</w:t>
      </w:r>
      <w:r w:rsidRPr="00043A1E">
        <w:rPr>
          <w:rFonts w:ascii="標楷體" w:eastAsia="標楷體" w:hAnsi="標楷體" w:hint="eastAsia"/>
          <w:sz w:val="22"/>
          <w:szCs w:val="22"/>
        </w:rPr>
        <w:t>細相待，因麤故有細；是細復應有細。</w:t>
      </w:r>
    </w:p>
    <w:p w:rsidR="00157EF6" w:rsidRPr="00043A1E" w:rsidRDefault="00157EF6" w:rsidP="00AA120F">
      <w:pPr>
        <w:snapToGrid w:val="0"/>
        <w:ind w:leftChars="610" w:left="1464"/>
        <w:jc w:val="both"/>
        <w:rPr>
          <w:rFonts w:ascii="標楷體" w:eastAsia="標楷體" w:hAnsi="標楷體"/>
          <w:sz w:val="22"/>
          <w:szCs w:val="22"/>
        </w:rPr>
      </w:pPr>
      <w:r w:rsidRPr="00043A1E">
        <w:rPr>
          <w:rFonts w:ascii="標楷體" w:eastAsia="標楷體" w:hAnsi="標楷體" w:hint="eastAsia"/>
          <w:sz w:val="22"/>
          <w:szCs w:val="22"/>
        </w:rPr>
        <w:t>復次，若有</w:t>
      </w:r>
      <w:r w:rsidR="00616B02">
        <w:rPr>
          <w:rFonts w:eastAsia="標楷體" w:hint="eastAsia"/>
          <w:color w:val="FF0000"/>
          <w:sz w:val="22"/>
          <w:szCs w:val="22"/>
          <w:highlight w:val="yellow"/>
        </w:rPr>
        <w:t>「</w:t>
      </w:r>
      <w:r w:rsidRPr="00043A1E">
        <w:rPr>
          <w:rFonts w:ascii="標楷體" w:eastAsia="標楷體" w:hAnsi="標楷體" w:hint="eastAsia"/>
          <w:sz w:val="22"/>
          <w:szCs w:val="22"/>
        </w:rPr>
        <w:t>極微色</w:t>
      </w:r>
      <w:r w:rsidR="00616B02">
        <w:rPr>
          <w:rFonts w:eastAsia="標楷體" w:hint="eastAsia"/>
          <w:color w:val="FF0000"/>
          <w:sz w:val="22"/>
          <w:szCs w:val="22"/>
          <w:highlight w:val="yellow"/>
        </w:rPr>
        <w:t>」</w:t>
      </w:r>
      <w:r w:rsidRPr="00043A1E">
        <w:rPr>
          <w:rFonts w:ascii="標楷體" w:eastAsia="標楷體" w:hAnsi="標楷體" w:hint="eastAsia"/>
          <w:sz w:val="22"/>
          <w:szCs w:val="22"/>
        </w:rPr>
        <w:t>，則有十方分；若有十方分，是不名為</w:t>
      </w:r>
      <w:r w:rsidR="00616B02">
        <w:rPr>
          <w:rFonts w:eastAsia="標楷體" w:hint="eastAsia"/>
          <w:color w:val="FF0000"/>
          <w:sz w:val="22"/>
          <w:szCs w:val="22"/>
          <w:highlight w:val="yellow"/>
        </w:rPr>
        <w:t>「</w:t>
      </w:r>
      <w:r w:rsidRPr="00043A1E">
        <w:rPr>
          <w:rFonts w:ascii="標楷體" w:eastAsia="標楷體" w:hAnsi="標楷體" w:hint="eastAsia"/>
          <w:sz w:val="22"/>
          <w:szCs w:val="22"/>
        </w:rPr>
        <w:t>極微</w:t>
      </w:r>
      <w:r w:rsidR="00616B02">
        <w:rPr>
          <w:rFonts w:eastAsia="標楷體" w:hint="eastAsia"/>
          <w:color w:val="FF0000"/>
          <w:sz w:val="22"/>
          <w:szCs w:val="22"/>
          <w:highlight w:val="yellow"/>
        </w:rPr>
        <w:t>」</w:t>
      </w:r>
      <w:r w:rsidRPr="00043A1E">
        <w:rPr>
          <w:rFonts w:ascii="標楷體" w:eastAsia="標楷體" w:hAnsi="標楷體" w:hint="eastAsia"/>
          <w:sz w:val="22"/>
          <w:szCs w:val="22"/>
        </w:rPr>
        <w:t>；若無十方分，則不名為</w:t>
      </w:r>
      <w:r w:rsidR="00616B02">
        <w:rPr>
          <w:rFonts w:eastAsia="標楷體" w:hint="eastAsia"/>
          <w:color w:val="FF0000"/>
          <w:sz w:val="22"/>
          <w:szCs w:val="22"/>
          <w:highlight w:val="yellow"/>
        </w:rPr>
        <w:t>「</w:t>
      </w:r>
      <w:r w:rsidRPr="00043A1E">
        <w:rPr>
          <w:rFonts w:ascii="標楷體" w:eastAsia="標楷體" w:hAnsi="標楷體" w:hint="eastAsia"/>
          <w:sz w:val="22"/>
          <w:szCs w:val="22"/>
        </w:rPr>
        <w:t>色</w:t>
      </w:r>
      <w:r w:rsidR="00616B02">
        <w:rPr>
          <w:rFonts w:eastAsia="標楷體" w:hint="eastAsia"/>
          <w:color w:val="FF0000"/>
          <w:sz w:val="22"/>
          <w:szCs w:val="22"/>
          <w:highlight w:val="yellow"/>
        </w:rPr>
        <w:t>」</w:t>
      </w:r>
      <w:r w:rsidRPr="00043A1E">
        <w:rPr>
          <w:rFonts w:ascii="標楷體" w:eastAsia="標楷體" w:hAnsi="標楷體" w:hint="eastAsia"/>
          <w:sz w:val="22"/>
          <w:szCs w:val="22"/>
        </w:rPr>
        <w:t>。</w:t>
      </w:r>
    </w:p>
    <w:p w:rsidR="00157EF6" w:rsidRPr="00043A1E" w:rsidRDefault="00157EF6" w:rsidP="00AA120F">
      <w:pPr>
        <w:snapToGrid w:val="0"/>
        <w:ind w:leftChars="610" w:left="1464"/>
        <w:jc w:val="both"/>
        <w:rPr>
          <w:rFonts w:ascii="標楷體" w:eastAsia="標楷體" w:hAnsi="標楷體"/>
          <w:sz w:val="22"/>
          <w:szCs w:val="22"/>
        </w:rPr>
      </w:pPr>
      <w:r w:rsidRPr="00043A1E">
        <w:rPr>
          <w:rFonts w:ascii="標楷體" w:eastAsia="標楷體" w:hAnsi="標楷體" w:hint="eastAsia"/>
          <w:sz w:val="22"/>
          <w:szCs w:val="22"/>
        </w:rPr>
        <w:t>復次，若有</w:t>
      </w:r>
      <w:r w:rsidR="00616B02">
        <w:rPr>
          <w:rFonts w:eastAsia="標楷體" w:hint="eastAsia"/>
          <w:color w:val="FF0000"/>
          <w:sz w:val="22"/>
          <w:szCs w:val="22"/>
          <w:highlight w:val="yellow"/>
        </w:rPr>
        <w:t>「</w:t>
      </w:r>
      <w:r w:rsidRPr="00043A1E">
        <w:rPr>
          <w:rFonts w:ascii="標楷體" w:eastAsia="標楷體" w:hAnsi="標楷體" w:hint="eastAsia"/>
          <w:sz w:val="22"/>
          <w:szCs w:val="22"/>
        </w:rPr>
        <w:t>極微</w:t>
      </w:r>
      <w:r w:rsidR="00616B02">
        <w:rPr>
          <w:rFonts w:eastAsia="標楷體" w:hint="eastAsia"/>
          <w:color w:val="FF0000"/>
          <w:sz w:val="22"/>
          <w:szCs w:val="22"/>
          <w:highlight w:val="yellow"/>
        </w:rPr>
        <w:t>」</w:t>
      </w:r>
      <w:r w:rsidRPr="00043A1E">
        <w:rPr>
          <w:rFonts w:ascii="標楷體" w:eastAsia="標楷體" w:hAnsi="標楷體" w:hint="eastAsia"/>
          <w:sz w:val="22"/>
          <w:szCs w:val="22"/>
        </w:rPr>
        <w:t>，則應有虛空分齊</w:t>
      </w:r>
      <w:r w:rsidR="00A95F24" w:rsidRPr="00A95F24">
        <w:rPr>
          <w:rFonts w:ascii="Times New Roman" w:eastAsia="標楷體" w:hAnsi="Times New Roman" w:hint="eastAsia"/>
          <w:color w:val="FF0000"/>
          <w:sz w:val="22"/>
          <w:szCs w:val="22"/>
          <w:shd w:val="pct15" w:color="auto" w:fill="FFFFFF"/>
        </w:rPr>
        <w:t>*</w:t>
      </w:r>
      <w:r w:rsidRPr="00043A1E">
        <w:rPr>
          <w:rFonts w:ascii="標楷體" w:eastAsia="標楷體" w:hAnsi="標楷體" w:hint="eastAsia"/>
          <w:sz w:val="22"/>
          <w:szCs w:val="22"/>
        </w:rPr>
        <w:t>；若有分者，則不名</w:t>
      </w:r>
      <w:r w:rsidR="00616B02">
        <w:rPr>
          <w:rFonts w:eastAsia="標楷體" w:hint="eastAsia"/>
          <w:color w:val="FF0000"/>
          <w:sz w:val="22"/>
          <w:szCs w:val="22"/>
          <w:highlight w:val="yellow"/>
        </w:rPr>
        <w:t>「</w:t>
      </w:r>
      <w:r w:rsidRPr="00043A1E">
        <w:rPr>
          <w:rFonts w:ascii="標楷體" w:eastAsia="標楷體" w:hAnsi="標楷體" w:hint="eastAsia"/>
          <w:sz w:val="22"/>
          <w:szCs w:val="22"/>
        </w:rPr>
        <w:t>極微</w:t>
      </w:r>
      <w:r w:rsidR="00616B02">
        <w:rPr>
          <w:rFonts w:eastAsia="標楷體" w:hint="eastAsia"/>
          <w:color w:val="FF0000"/>
          <w:sz w:val="22"/>
          <w:szCs w:val="22"/>
          <w:highlight w:val="yellow"/>
        </w:rPr>
        <w:t>」</w:t>
      </w:r>
      <w:r w:rsidRPr="00043A1E">
        <w:rPr>
          <w:rFonts w:ascii="標楷體" w:eastAsia="標楷體" w:hAnsi="標楷體" w:hint="eastAsia"/>
          <w:sz w:val="22"/>
          <w:szCs w:val="22"/>
        </w:rPr>
        <w:t>。</w:t>
      </w:r>
    </w:p>
    <w:p w:rsidR="00616B02" w:rsidRDefault="00157EF6" w:rsidP="00AA120F">
      <w:pPr>
        <w:snapToGrid w:val="0"/>
        <w:ind w:leftChars="610" w:left="1464"/>
        <w:jc w:val="both"/>
        <w:rPr>
          <w:rFonts w:ascii="標楷體" w:eastAsia="標楷體" w:hAnsi="標楷體"/>
          <w:sz w:val="22"/>
          <w:szCs w:val="22"/>
        </w:rPr>
      </w:pPr>
      <w:r w:rsidRPr="00043A1E">
        <w:rPr>
          <w:rFonts w:ascii="標楷體" w:eastAsia="標楷體" w:hAnsi="標楷體" w:hint="eastAsia"/>
          <w:sz w:val="22"/>
          <w:szCs w:val="22"/>
        </w:rPr>
        <w:t>復次，若有</w:t>
      </w:r>
      <w:r w:rsidR="00616B02">
        <w:rPr>
          <w:rFonts w:eastAsia="標楷體" w:hint="eastAsia"/>
          <w:color w:val="FF0000"/>
          <w:sz w:val="22"/>
          <w:szCs w:val="22"/>
          <w:highlight w:val="yellow"/>
        </w:rPr>
        <w:t>「</w:t>
      </w:r>
      <w:r w:rsidRPr="00043A1E">
        <w:rPr>
          <w:rFonts w:ascii="標楷體" w:eastAsia="標楷體" w:hAnsi="標楷體" w:hint="eastAsia"/>
          <w:sz w:val="22"/>
          <w:szCs w:val="22"/>
        </w:rPr>
        <w:t>極微</w:t>
      </w:r>
      <w:r w:rsidR="00616B02">
        <w:rPr>
          <w:rFonts w:eastAsia="標楷體" w:hint="eastAsia"/>
          <w:color w:val="FF0000"/>
          <w:sz w:val="22"/>
          <w:szCs w:val="22"/>
          <w:highlight w:val="yellow"/>
        </w:rPr>
        <w:t>」</w:t>
      </w:r>
      <w:r w:rsidRPr="00043A1E">
        <w:rPr>
          <w:rFonts w:ascii="標楷體" w:eastAsia="標楷體" w:hAnsi="標楷體" w:hint="eastAsia"/>
          <w:sz w:val="22"/>
          <w:szCs w:val="22"/>
        </w:rPr>
        <w:t>，是中有</w:t>
      </w:r>
      <w:r w:rsidR="00616B02">
        <w:rPr>
          <w:rFonts w:eastAsia="標楷體" w:hint="eastAsia"/>
          <w:color w:val="FF0000"/>
          <w:sz w:val="22"/>
          <w:szCs w:val="22"/>
          <w:highlight w:val="yellow"/>
        </w:rPr>
        <w:t>「</w:t>
      </w:r>
      <w:r w:rsidRPr="00043A1E">
        <w:rPr>
          <w:rFonts w:ascii="標楷體" w:eastAsia="標楷體" w:hAnsi="標楷體" w:hint="eastAsia"/>
          <w:sz w:val="22"/>
          <w:szCs w:val="22"/>
        </w:rPr>
        <w:t>色、香、味、觸</w:t>
      </w:r>
      <w:r w:rsidR="00616B02">
        <w:rPr>
          <w:rFonts w:eastAsia="標楷體" w:hint="eastAsia"/>
          <w:color w:val="FF0000"/>
          <w:sz w:val="22"/>
          <w:szCs w:val="22"/>
          <w:highlight w:val="yellow"/>
        </w:rPr>
        <w:t>」</w:t>
      </w:r>
      <w:r w:rsidR="00616B02">
        <w:rPr>
          <w:rFonts w:ascii="標楷體" w:eastAsia="標楷體" w:hAnsi="標楷體" w:hint="eastAsia"/>
          <w:sz w:val="22"/>
          <w:szCs w:val="22"/>
        </w:rPr>
        <w:t>作分</w:t>
      </w:r>
      <w:r w:rsidR="00616B02" w:rsidRPr="00616B02">
        <w:rPr>
          <w:rFonts w:ascii="標楷體" w:eastAsia="標楷體" w:hAnsi="標楷體" w:hint="eastAsia"/>
          <w:color w:val="FF0000"/>
          <w:sz w:val="22"/>
          <w:szCs w:val="22"/>
          <w:highlight w:val="yellow"/>
        </w:rPr>
        <w:t>──</w:t>
      </w:r>
      <w:r w:rsidR="00616B02">
        <w:rPr>
          <w:rFonts w:eastAsia="標楷體" w:hint="eastAsia"/>
          <w:color w:val="FF0000"/>
          <w:sz w:val="22"/>
          <w:szCs w:val="22"/>
          <w:highlight w:val="yellow"/>
        </w:rPr>
        <w:t>「</w:t>
      </w:r>
      <w:r w:rsidRPr="00043A1E">
        <w:rPr>
          <w:rFonts w:ascii="標楷體" w:eastAsia="標楷體" w:hAnsi="標楷體" w:hint="eastAsia"/>
          <w:sz w:val="22"/>
          <w:szCs w:val="22"/>
        </w:rPr>
        <w:t>色、香、味、觸</w:t>
      </w:r>
      <w:r w:rsidR="00616B02">
        <w:rPr>
          <w:rFonts w:eastAsia="標楷體" w:hint="eastAsia"/>
          <w:color w:val="FF0000"/>
          <w:sz w:val="22"/>
          <w:szCs w:val="22"/>
          <w:highlight w:val="yellow"/>
        </w:rPr>
        <w:t>」</w:t>
      </w:r>
      <w:r w:rsidRPr="00043A1E">
        <w:rPr>
          <w:rFonts w:ascii="標楷體" w:eastAsia="標楷體" w:hAnsi="標楷體" w:hint="eastAsia"/>
          <w:sz w:val="22"/>
          <w:szCs w:val="22"/>
        </w:rPr>
        <w:t>作分，是不名</w:t>
      </w:r>
      <w:r w:rsidR="00616B02">
        <w:rPr>
          <w:rFonts w:eastAsia="標楷體" w:hint="eastAsia"/>
          <w:color w:val="FF0000"/>
          <w:sz w:val="22"/>
          <w:szCs w:val="22"/>
          <w:highlight w:val="yellow"/>
        </w:rPr>
        <w:t>「</w:t>
      </w:r>
      <w:r w:rsidRPr="00043A1E">
        <w:rPr>
          <w:rFonts w:ascii="標楷體" w:eastAsia="標楷體" w:hAnsi="標楷體" w:hint="eastAsia"/>
          <w:sz w:val="22"/>
          <w:szCs w:val="22"/>
        </w:rPr>
        <w:t>極微</w:t>
      </w:r>
      <w:r w:rsidR="00616B02">
        <w:rPr>
          <w:rFonts w:eastAsia="標楷體" w:hint="eastAsia"/>
          <w:color w:val="FF0000"/>
          <w:sz w:val="22"/>
          <w:szCs w:val="22"/>
          <w:highlight w:val="yellow"/>
        </w:rPr>
        <w:t>」</w:t>
      </w:r>
      <w:r w:rsidRPr="00043A1E">
        <w:rPr>
          <w:rFonts w:ascii="標楷體" w:eastAsia="標楷體" w:hAnsi="標楷體" w:hint="eastAsia"/>
          <w:sz w:val="22"/>
          <w:szCs w:val="22"/>
        </w:rPr>
        <w:t>。</w:t>
      </w:r>
    </w:p>
    <w:p w:rsidR="00157EF6" w:rsidRDefault="00157EF6" w:rsidP="00AA120F">
      <w:pPr>
        <w:snapToGrid w:val="0"/>
        <w:ind w:leftChars="610" w:left="1464"/>
        <w:jc w:val="both"/>
        <w:rPr>
          <w:rFonts w:ascii="Times New Roman" w:hAnsi="Times New Roman"/>
          <w:sz w:val="22"/>
          <w:szCs w:val="22"/>
        </w:rPr>
      </w:pPr>
      <w:r w:rsidRPr="00616B02">
        <w:rPr>
          <w:rFonts w:ascii="標楷體" w:eastAsia="標楷體" w:hAnsi="標楷體" w:hint="eastAsia"/>
          <w:sz w:val="22"/>
          <w:szCs w:val="22"/>
          <w:highlight w:val="yellow"/>
        </w:rPr>
        <w:t>以</w:t>
      </w:r>
      <w:r w:rsidRPr="00043A1E">
        <w:rPr>
          <w:rFonts w:ascii="標楷體" w:eastAsia="標楷體" w:hAnsi="標楷體" w:hint="eastAsia"/>
          <w:sz w:val="22"/>
          <w:szCs w:val="22"/>
        </w:rPr>
        <w:t>是推求，</w:t>
      </w:r>
      <w:r w:rsidR="00616B02">
        <w:rPr>
          <w:rFonts w:eastAsia="標楷體" w:hint="eastAsia"/>
          <w:color w:val="FF0000"/>
          <w:sz w:val="22"/>
          <w:szCs w:val="22"/>
          <w:highlight w:val="yellow"/>
        </w:rPr>
        <w:t>「</w:t>
      </w:r>
      <w:r w:rsidRPr="00043A1E">
        <w:rPr>
          <w:rFonts w:ascii="標楷體" w:eastAsia="標楷體" w:hAnsi="標楷體" w:hint="eastAsia"/>
          <w:sz w:val="22"/>
          <w:szCs w:val="22"/>
        </w:rPr>
        <w:t>微塵</w:t>
      </w:r>
      <w:r w:rsidR="00616B02">
        <w:rPr>
          <w:rFonts w:eastAsia="標楷體" w:hint="eastAsia"/>
          <w:color w:val="FF0000"/>
          <w:sz w:val="22"/>
          <w:szCs w:val="22"/>
          <w:highlight w:val="yellow"/>
        </w:rPr>
        <w:t>」</w:t>
      </w:r>
      <w:r w:rsidRPr="00043A1E">
        <w:rPr>
          <w:rFonts w:ascii="標楷體" w:eastAsia="標楷體" w:hAnsi="標楷體" w:hint="eastAsia"/>
          <w:sz w:val="22"/>
          <w:szCs w:val="22"/>
        </w:rPr>
        <w:t>則不可得</w:t>
      </w:r>
      <w:r>
        <w:rPr>
          <w:rFonts w:ascii="Times New Roman" w:hAnsi="Times New Roman" w:hint="eastAsia"/>
          <w:sz w:val="22"/>
          <w:szCs w:val="22"/>
        </w:rPr>
        <w:t>。</w:t>
      </w:r>
    </w:p>
    <w:p w:rsidR="00A95F24" w:rsidRDefault="00A95F24" w:rsidP="00A95F24">
      <w:pPr>
        <w:pStyle w:val="a5"/>
        <w:ind w:leftChars="335" w:left="804"/>
        <w:jc w:val="both"/>
        <w:rPr>
          <w:rFonts w:asciiTheme="minorEastAsia" w:eastAsiaTheme="minorEastAsia" w:hAnsiTheme="minorEastAsia"/>
          <w:szCs w:val="22"/>
        </w:rPr>
      </w:pPr>
      <w:r w:rsidRPr="00A95F24">
        <w:rPr>
          <w:rFonts w:eastAsia="標楷體" w:hint="eastAsia"/>
          <w:color w:val="FF0000"/>
          <w:szCs w:val="22"/>
          <w:shd w:val="pct15" w:color="auto" w:fill="FFFFFF"/>
        </w:rPr>
        <w:t>*</w:t>
      </w:r>
      <w:r>
        <w:rPr>
          <w:rFonts w:asciiTheme="minorEastAsia" w:eastAsiaTheme="minorEastAsia" w:hAnsiTheme="minorEastAsia" w:hint="eastAsia"/>
          <w:szCs w:val="22"/>
        </w:rPr>
        <w:t>分齊：分際，分寸。</w:t>
      </w:r>
      <w:r w:rsidRPr="00043A1E">
        <w:rPr>
          <w:szCs w:val="22"/>
        </w:rPr>
        <w:t>（《漢語大詞典》（</w:t>
      </w:r>
      <w:r>
        <w:rPr>
          <w:rFonts w:hint="eastAsia"/>
          <w:szCs w:val="22"/>
        </w:rPr>
        <w:t>二</w:t>
      </w:r>
      <w:r w:rsidRPr="00043A1E">
        <w:rPr>
          <w:szCs w:val="22"/>
        </w:rPr>
        <w:t>），</w:t>
      </w:r>
      <w:r w:rsidRPr="00761EF3">
        <w:rPr>
          <w:szCs w:val="22"/>
        </w:rPr>
        <w:t>p</w:t>
      </w:r>
      <w:r w:rsidRPr="00043A1E">
        <w:rPr>
          <w:szCs w:val="22"/>
        </w:rPr>
        <w:t>.</w:t>
      </w:r>
      <w:r>
        <w:rPr>
          <w:rFonts w:hint="eastAsia"/>
          <w:szCs w:val="22"/>
        </w:rPr>
        <w:t>586</w:t>
      </w:r>
      <w:r w:rsidRPr="00043A1E">
        <w:rPr>
          <w:szCs w:val="22"/>
        </w:rPr>
        <w:t>）</w:t>
      </w:r>
    </w:p>
    <w:p w:rsidR="00A95F24" w:rsidRPr="00043A1E" w:rsidRDefault="00A95F24" w:rsidP="00A95F24">
      <w:pPr>
        <w:pStyle w:val="a5"/>
        <w:ind w:leftChars="335" w:left="804"/>
        <w:jc w:val="both"/>
        <w:rPr>
          <w:rFonts w:eastAsia="SimSun"/>
          <w:szCs w:val="22"/>
        </w:rPr>
      </w:pPr>
      <w:r w:rsidRPr="00A95F24">
        <w:rPr>
          <w:rFonts w:eastAsia="標楷體" w:hint="eastAsia"/>
          <w:color w:val="FF0000"/>
          <w:szCs w:val="22"/>
          <w:shd w:val="pct15" w:color="auto" w:fill="FFFFFF"/>
        </w:rPr>
        <w:t>*</w:t>
      </w:r>
      <w:r>
        <w:rPr>
          <w:rFonts w:asciiTheme="minorEastAsia" w:eastAsiaTheme="minorEastAsia" w:hAnsiTheme="minorEastAsia" w:hint="eastAsia"/>
          <w:szCs w:val="22"/>
        </w:rPr>
        <w:t>分際：1.界限，分寸。</w:t>
      </w:r>
      <w:r w:rsidRPr="00043A1E">
        <w:rPr>
          <w:szCs w:val="22"/>
        </w:rPr>
        <w:t>（《漢語大詞典》（</w:t>
      </w:r>
      <w:r>
        <w:rPr>
          <w:rFonts w:hint="eastAsia"/>
          <w:szCs w:val="22"/>
        </w:rPr>
        <w:t>二</w:t>
      </w:r>
      <w:r w:rsidRPr="00043A1E">
        <w:rPr>
          <w:szCs w:val="22"/>
        </w:rPr>
        <w:t>），</w:t>
      </w:r>
      <w:r w:rsidRPr="00761EF3">
        <w:rPr>
          <w:szCs w:val="22"/>
        </w:rPr>
        <w:t>p</w:t>
      </w:r>
      <w:r w:rsidRPr="00043A1E">
        <w:rPr>
          <w:szCs w:val="22"/>
        </w:rPr>
        <w:t>.</w:t>
      </w:r>
      <w:r>
        <w:rPr>
          <w:rFonts w:hint="eastAsia"/>
          <w:szCs w:val="22"/>
        </w:rPr>
        <w:t>586</w:t>
      </w:r>
      <w:r w:rsidRPr="00043A1E">
        <w:rPr>
          <w:szCs w:val="22"/>
        </w:rPr>
        <w:t>）</w:t>
      </w:r>
    </w:p>
    <w:p w:rsidR="00157EF6" w:rsidRPr="00043A1E" w:rsidRDefault="00157EF6" w:rsidP="00AA120F">
      <w:pPr>
        <w:pStyle w:val="a5"/>
        <w:ind w:leftChars="105" w:left="791" w:hangingChars="245" w:hanging="539"/>
        <w:jc w:val="both"/>
        <w:rPr>
          <w:rFonts w:eastAsia="SimSun"/>
          <w:szCs w:val="22"/>
        </w:rPr>
      </w:pPr>
      <w:r w:rsidRPr="00043A1E">
        <w:rPr>
          <w:rFonts w:ascii="新細明體" w:hAnsi="新細明體" w:hint="eastAsia"/>
          <w:szCs w:val="22"/>
        </w:rPr>
        <w:t>（</w:t>
      </w:r>
      <w:r w:rsidRPr="00761EF3">
        <w:rPr>
          <w:rFonts w:eastAsia="SimSun"/>
          <w:szCs w:val="22"/>
        </w:rPr>
        <w:t>2</w:t>
      </w:r>
      <w:r w:rsidRPr="00043A1E">
        <w:rPr>
          <w:rFonts w:ascii="新細明體" w:hAnsi="新細明體" w:hint="eastAsia"/>
          <w:szCs w:val="22"/>
        </w:rPr>
        <w:t>）〔隋〕</w:t>
      </w:r>
      <w:r w:rsidRPr="00043A1E">
        <w:rPr>
          <w:szCs w:val="22"/>
        </w:rPr>
        <w:t>吉藏撰，《中觀論疏》卷</w:t>
      </w:r>
      <w:r w:rsidRPr="00761EF3">
        <w:rPr>
          <w:szCs w:val="22"/>
        </w:rPr>
        <w:t>1</w:t>
      </w:r>
      <w:r w:rsidRPr="00043A1E">
        <w:rPr>
          <w:szCs w:val="22"/>
        </w:rPr>
        <w:t>〈</w:t>
      </w:r>
      <w:r w:rsidRPr="00761EF3">
        <w:rPr>
          <w:szCs w:val="22"/>
        </w:rPr>
        <w:t>1</w:t>
      </w:r>
      <w:r w:rsidRPr="00043A1E">
        <w:rPr>
          <w:szCs w:val="22"/>
        </w:rPr>
        <w:t xml:space="preserve"> </w:t>
      </w:r>
      <w:r w:rsidRPr="00043A1E">
        <w:rPr>
          <w:szCs w:val="22"/>
        </w:rPr>
        <w:t>因緣品〉</w:t>
      </w:r>
      <w:r w:rsidRPr="00043A1E">
        <w:rPr>
          <w:rFonts w:ascii="新細明體" w:hAnsi="新細明體" w:hint="eastAsia"/>
          <w:szCs w:val="22"/>
        </w:rPr>
        <w:t>（</w:t>
      </w:r>
      <w:r w:rsidRPr="00043A1E">
        <w:rPr>
          <w:szCs w:val="22"/>
        </w:rPr>
        <w:t>大正</w:t>
      </w:r>
      <w:r w:rsidRPr="00761EF3">
        <w:rPr>
          <w:szCs w:val="22"/>
        </w:rPr>
        <w:t>42</w:t>
      </w:r>
      <w:r w:rsidRPr="00043A1E">
        <w:rPr>
          <w:szCs w:val="22"/>
        </w:rPr>
        <w:t>，</w:t>
      </w:r>
      <w:r w:rsidRPr="00761EF3">
        <w:rPr>
          <w:szCs w:val="22"/>
        </w:rPr>
        <w:t>15b14</w:t>
      </w:r>
      <w:r w:rsidRPr="00043A1E">
        <w:rPr>
          <w:szCs w:val="22"/>
        </w:rPr>
        <w:t>-</w:t>
      </w:r>
      <w:r w:rsidRPr="00761EF3">
        <w:rPr>
          <w:szCs w:val="22"/>
        </w:rPr>
        <w:t>16</w:t>
      </w:r>
      <w:r w:rsidRPr="00043A1E">
        <w:rPr>
          <w:rFonts w:ascii="新細明體" w:hAnsi="新細明體" w:hint="eastAsia"/>
          <w:szCs w:val="22"/>
        </w:rPr>
        <w:t>）</w:t>
      </w:r>
      <w:r w:rsidRPr="00043A1E">
        <w:rPr>
          <w:rFonts w:hint="eastAsia"/>
          <w:szCs w:val="22"/>
        </w:rPr>
        <w:t>：</w:t>
      </w:r>
    </w:p>
    <w:p w:rsidR="00157EF6" w:rsidRPr="00043A1E" w:rsidRDefault="00157EF6" w:rsidP="00AA120F">
      <w:pPr>
        <w:snapToGrid w:val="0"/>
        <w:ind w:leftChars="335" w:left="804"/>
        <w:jc w:val="both"/>
        <w:rPr>
          <w:rFonts w:ascii="Times New Roman" w:eastAsia="SimSun" w:hAnsi="Times New Roman"/>
          <w:sz w:val="22"/>
          <w:szCs w:val="22"/>
          <w:lang w:eastAsia="zh-CN"/>
        </w:rPr>
      </w:pPr>
      <w:r w:rsidRPr="00043A1E">
        <w:rPr>
          <w:rFonts w:ascii="標楷體" w:eastAsia="標楷體" w:hAnsi="標楷體"/>
          <w:sz w:val="22"/>
          <w:szCs w:val="22"/>
        </w:rPr>
        <w:t>羅什師云：</w:t>
      </w:r>
      <w:r w:rsidRPr="00043A1E">
        <w:rPr>
          <w:sz w:val="22"/>
          <w:szCs w:val="22"/>
        </w:rPr>
        <w:t>「</w:t>
      </w:r>
      <w:r w:rsidRPr="00043A1E">
        <w:rPr>
          <w:rFonts w:ascii="標楷體" w:eastAsia="標楷體" w:hAnsi="標楷體"/>
          <w:sz w:val="22"/>
          <w:szCs w:val="22"/>
        </w:rPr>
        <w:t>不說有</w:t>
      </w:r>
      <w:r w:rsidR="008D7D31">
        <w:rPr>
          <w:rFonts w:eastAsia="標楷體" w:hint="eastAsia"/>
          <w:color w:val="FF0000"/>
          <w:sz w:val="22"/>
          <w:szCs w:val="22"/>
          <w:highlight w:val="yellow"/>
        </w:rPr>
        <w:t>『</w:t>
      </w:r>
      <w:r w:rsidRPr="00043A1E">
        <w:rPr>
          <w:rFonts w:ascii="標楷體" w:eastAsia="標楷體" w:hAnsi="標楷體"/>
          <w:sz w:val="22"/>
          <w:szCs w:val="22"/>
        </w:rPr>
        <w:t>極微</w:t>
      </w:r>
      <w:r w:rsidR="008D7D31">
        <w:rPr>
          <w:rFonts w:eastAsia="標楷體" w:hint="eastAsia"/>
          <w:color w:val="FF0000"/>
          <w:sz w:val="22"/>
          <w:szCs w:val="22"/>
          <w:highlight w:val="yellow"/>
        </w:rPr>
        <w:t>』；</w:t>
      </w:r>
      <w:r w:rsidRPr="00043A1E">
        <w:rPr>
          <w:rFonts w:ascii="標楷體" w:eastAsia="標楷體" w:hAnsi="標楷體"/>
          <w:sz w:val="22"/>
          <w:szCs w:val="22"/>
        </w:rPr>
        <w:t>若說</w:t>
      </w:r>
      <w:r w:rsidR="008D7D31">
        <w:rPr>
          <w:rFonts w:eastAsia="標楷體" w:hint="eastAsia"/>
          <w:color w:val="FF0000"/>
          <w:sz w:val="22"/>
          <w:szCs w:val="22"/>
          <w:highlight w:val="yellow"/>
        </w:rPr>
        <w:t>『</w:t>
      </w:r>
      <w:r w:rsidRPr="00043A1E">
        <w:rPr>
          <w:rFonts w:ascii="標楷體" w:eastAsia="標楷體" w:hAnsi="標楷體"/>
          <w:sz w:val="22"/>
          <w:szCs w:val="22"/>
        </w:rPr>
        <w:t>極微</w:t>
      </w:r>
      <w:r w:rsidR="008D7D31">
        <w:rPr>
          <w:rFonts w:eastAsia="標楷體" w:hint="eastAsia"/>
          <w:color w:val="FF0000"/>
          <w:sz w:val="22"/>
          <w:szCs w:val="22"/>
          <w:highlight w:val="yellow"/>
        </w:rPr>
        <w:t>』</w:t>
      </w:r>
      <w:r w:rsidRPr="00043A1E">
        <w:rPr>
          <w:rFonts w:ascii="標楷體" w:eastAsia="標楷體" w:hAnsi="標楷體" w:hint="eastAsia"/>
          <w:sz w:val="22"/>
          <w:szCs w:val="22"/>
        </w:rPr>
        <w:t>，</w:t>
      </w:r>
      <w:r w:rsidRPr="00043A1E">
        <w:rPr>
          <w:rFonts w:ascii="標楷體" w:eastAsia="標楷體" w:hAnsi="標楷體"/>
          <w:sz w:val="22"/>
          <w:szCs w:val="22"/>
        </w:rPr>
        <w:t>即墮邊見。但說</w:t>
      </w:r>
      <w:r w:rsidR="008D7D31">
        <w:rPr>
          <w:rFonts w:eastAsia="標楷體" w:hint="eastAsia"/>
          <w:color w:val="FF0000"/>
          <w:sz w:val="22"/>
          <w:szCs w:val="22"/>
          <w:highlight w:val="yellow"/>
        </w:rPr>
        <w:t>『</w:t>
      </w:r>
      <w:r w:rsidRPr="00043A1E">
        <w:rPr>
          <w:rFonts w:ascii="標楷體" w:eastAsia="標楷體" w:hAnsi="標楷體"/>
          <w:sz w:val="22"/>
          <w:szCs w:val="22"/>
        </w:rPr>
        <w:t>一切色若麁、若</w:t>
      </w:r>
      <w:r w:rsidRPr="008D7D31">
        <w:rPr>
          <w:rFonts w:ascii="標楷體" w:eastAsia="標楷體" w:hAnsi="標楷體"/>
          <w:sz w:val="22"/>
          <w:szCs w:val="22"/>
          <w:highlight w:val="yellow"/>
        </w:rPr>
        <w:t>細皆</w:t>
      </w:r>
      <w:r w:rsidRPr="00043A1E">
        <w:rPr>
          <w:rFonts w:ascii="標楷體" w:eastAsia="標楷體" w:hAnsi="標楷體"/>
          <w:sz w:val="22"/>
          <w:szCs w:val="22"/>
        </w:rPr>
        <w:t>是無常、苦、空、無我</w:t>
      </w:r>
      <w:r w:rsidR="008D7D31">
        <w:rPr>
          <w:rFonts w:eastAsia="標楷體" w:hint="eastAsia"/>
          <w:color w:val="FF0000"/>
          <w:sz w:val="22"/>
          <w:szCs w:val="22"/>
          <w:highlight w:val="yellow"/>
        </w:rPr>
        <w:t>』</w:t>
      </w:r>
      <w:r w:rsidRPr="00043A1E">
        <w:rPr>
          <w:rFonts w:ascii="標楷體" w:eastAsia="標楷體" w:hAnsi="標楷體" w:hint="eastAsia"/>
          <w:sz w:val="22"/>
          <w:szCs w:val="22"/>
        </w:rPr>
        <w:t>，</w:t>
      </w:r>
      <w:r w:rsidRPr="00043A1E">
        <w:rPr>
          <w:rFonts w:ascii="標楷體" w:eastAsia="標楷體" w:hAnsi="標楷體"/>
          <w:sz w:val="22"/>
          <w:szCs w:val="22"/>
        </w:rPr>
        <w:t>令人得道。</w:t>
      </w:r>
      <w:r w:rsidRPr="00043A1E">
        <w:rPr>
          <w:rFonts w:ascii="Times New Roman" w:hAnsi="Times New Roman"/>
          <w:sz w:val="22"/>
          <w:szCs w:val="22"/>
          <w:lang w:eastAsia="zh-CN"/>
        </w:rPr>
        <w:t>」</w:t>
      </w:r>
    </w:p>
  </w:footnote>
  <w:footnote w:id="619">
    <w:p w:rsidR="00157EF6" w:rsidRPr="00043A1E" w:rsidRDefault="00157EF6" w:rsidP="009E0A5A">
      <w:pPr>
        <w:pStyle w:val="a5"/>
        <w:ind w:left="187" w:hangingChars="85" w:hanging="187"/>
        <w:jc w:val="both"/>
        <w:rPr>
          <w:szCs w:val="22"/>
        </w:rPr>
      </w:pPr>
      <w:r w:rsidRPr="00043A1E">
        <w:rPr>
          <w:rStyle w:val="a6"/>
          <w:szCs w:val="22"/>
        </w:rPr>
        <w:footnoteRef/>
      </w:r>
      <w:r w:rsidRPr="00043A1E">
        <w:rPr>
          <w:szCs w:val="22"/>
        </w:rPr>
        <w:t xml:space="preserve"> </w:t>
      </w:r>
      <w:r w:rsidRPr="00043A1E">
        <w:rPr>
          <w:szCs w:val="22"/>
        </w:rPr>
        <w:t>流行：</w:t>
      </w:r>
      <w:r w:rsidRPr="00761EF3">
        <w:rPr>
          <w:szCs w:val="22"/>
        </w:rPr>
        <w:t>2</w:t>
      </w:r>
      <w:r w:rsidRPr="00043A1E">
        <w:rPr>
          <w:szCs w:val="22"/>
        </w:rPr>
        <w:t>.</w:t>
      </w:r>
      <w:r w:rsidRPr="00043A1E">
        <w:rPr>
          <w:szCs w:val="22"/>
        </w:rPr>
        <w:t>傳遞，運行。</w:t>
      </w:r>
      <w:r w:rsidRPr="00761EF3">
        <w:rPr>
          <w:szCs w:val="22"/>
        </w:rPr>
        <w:t>3</w:t>
      </w:r>
      <w:r w:rsidRPr="00043A1E">
        <w:rPr>
          <w:szCs w:val="22"/>
        </w:rPr>
        <w:t>.</w:t>
      </w:r>
      <w:r w:rsidRPr="00043A1E">
        <w:rPr>
          <w:szCs w:val="22"/>
        </w:rPr>
        <w:t>移動，流動。（《漢語大詞典》（五），</w:t>
      </w:r>
      <w:r w:rsidRPr="00761EF3">
        <w:rPr>
          <w:szCs w:val="22"/>
        </w:rPr>
        <w:t>p</w:t>
      </w:r>
      <w:r w:rsidRPr="00043A1E">
        <w:rPr>
          <w:szCs w:val="22"/>
        </w:rPr>
        <w:t>.</w:t>
      </w:r>
      <w:r w:rsidRPr="00761EF3">
        <w:rPr>
          <w:szCs w:val="22"/>
        </w:rPr>
        <w:t>1260</w:t>
      </w:r>
      <w:r w:rsidRPr="00043A1E">
        <w:rPr>
          <w:szCs w:val="22"/>
        </w:rPr>
        <w:t>）</w:t>
      </w:r>
    </w:p>
  </w:footnote>
  <w:footnote w:id="620">
    <w:p w:rsidR="00157EF6" w:rsidRPr="00043A1E" w:rsidRDefault="00157EF6" w:rsidP="00F87E84">
      <w:pPr>
        <w:pStyle w:val="a5"/>
        <w:ind w:left="726" w:hangingChars="330" w:hanging="726"/>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szCs w:val="22"/>
        </w:rPr>
        <w:t>《雜阿含經》卷</w:t>
      </w:r>
      <w:r w:rsidRPr="00761EF3">
        <w:rPr>
          <w:szCs w:val="22"/>
        </w:rPr>
        <w:t>34</w:t>
      </w:r>
      <w:r w:rsidRPr="00043A1E">
        <w:rPr>
          <w:rFonts w:hint="eastAsia"/>
          <w:szCs w:val="22"/>
        </w:rPr>
        <w:t>（</w:t>
      </w:r>
      <w:r w:rsidRPr="00761EF3">
        <w:rPr>
          <w:szCs w:val="22"/>
        </w:rPr>
        <w:t>958</w:t>
      </w:r>
      <w:r w:rsidRPr="00043A1E">
        <w:rPr>
          <w:szCs w:val="22"/>
        </w:rPr>
        <w:t>經</w:t>
      </w:r>
      <w:r w:rsidRPr="00043A1E">
        <w:rPr>
          <w:rFonts w:hint="eastAsia"/>
          <w:szCs w:val="22"/>
        </w:rPr>
        <w:t>）</w:t>
      </w:r>
      <w:r w:rsidRPr="00043A1E">
        <w:rPr>
          <w:szCs w:val="22"/>
        </w:rPr>
        <w:t>（大正</w:t>
      </w:r>
      <w:r w:rsidRPr="00761EF3">
        <w:rPr>
          <w:szCs w:val="22"/>
        </w:rPr>
        <w:t>2</w:t>
      </w:r>
      <w:r w:rsidRPr="00043A1E">
        <w:rPr>
          <w:szCs w:val="22"/>
        </w:rPr>
        <w:t>，</w:t>
      </w:r>
      <w:r w:rsidRPr="00761EF3">
        <w:rPr>
          <w:szCs w:val="22"/>
        </w:rPr>
        <w:t>244b15</w:t>
      </w:r>
      <w:r w:rsidRPr="00043A1E">
        <w:rPr>
          <w:rFonts w:hint="eastAsia"/>
          <w:szCs w:val="22"/>
        </w:rPr>
        <w:t>-</w:t>
      </w:r>
      <w:r w:rsidRPr="00761EF3">
        <w:rPr>
          <w:szCs w:val="22"/>
        </w:rPr>
        <w:t>c10</w:t>
      </w:r>
      <w:r w:rsidRPr="00043A1E">
        <w:rPr>
          <w:szCs w:val="22"/>
        </w:rPr>
        <w:t>）</w:t>
      </w:r>
      <w:r w:rsidRPr="00043A1E">
        <w:rPr>
          <w:rFonts w:hint="eastAsia"/>
          <w:szCs w:val="22"/>
        </w:rPr>
        <w:t>。</w:t>
      </w:r>
    </w:p>
    <w:p w:rsidR="00157EF6" w:rsidRPr="00043A1E" w:rsidRDefault="00157EF6" w:rsidP="00F87E84">
      <w:pPr>
        <w:pStyle w:val="a5"/>
        <w:ind w:leftChars="80" w:left="73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w:t>
      </w:r>
      <w:r w:rsidRPr="00043A1E">
        <w:rPr>
          <w:szCs w:val="22"/>
        </w:rPr>
        <w:t>《起世經》卷</w:t>
      </w:r>
      <w:r w:rsidRPr="00761EF3">
        <w:rPr>
          <w:szCs w:val="22"/>
        </w:rPr>
        <w:t>5</w:t>
      </w:r>
      <w:r w:rsidRPr="00043A1E">
        <w:rPr>
          <w:szCs w:val="22"/>
        </w:rPr>
        <w:t>（大正</w:t>
      </w:r>
      <w:r w:rsidRPr="00761EF3">
        <w:rPr>
          <w:szCs w:val="22"/>
        </w:rPr>
        <w:t>1</w:t>
      </w:r>
      <w:r w:rsidRPr="00043A1E">
        <w:rPr>
          <w:szCs w:val="22"/>
        </w:rPr>
        <w:t>，</w:t>
      </w:r>
      <w:r w:rsidRPr="00761EF3">
        <w:rPr>
          <w:szCs w:val="22"/>
        </w:rPr>
        <w:t>33</w:t>
      </w:r>
      <w:r w:rsidRPr="00761EF3">
        <w:rPr>
          <w:rFonts w:hint="eastAsia"/>
          <w:szCs w:val="22"/>
        </w:rPr>
        <w:t>3c23</w:t>
      </w:r>
      <w:r w:rsidRPr="00043A1E">
        <w:rPr>
          <w:rFonts w:hint="eastAsia"/>
          <w:szCs w:val="22"/>
        </w:rPr>
        <w:t>-</w:t>
      </w:r>
      <w:r w:rsidRPr="00761EF3">
        <w:rPr>
          <w:rFonts w:hint="eastAsia"/>
          <w:szCs w:val="22"/>
        </w:rPr>
        <w:t>336a8</w:t>
      </w:r>
      <w:r w:rsidRPr="00043A1E">
        <w:rPr>
          <w:szCs w:val="22"/>
        </w:rPr>
        <w:t>）</w:t>
      </w:r>
      <w:r w:rsidRPr="00043A1E">
        <w:rPr>
          <w:rFonts w:hint="eastAsia"/>
          <w:szCs w:val="22"/>
        </w:rPr>
        <w:t>。</w:t>
      </w:r>
    </w:p>
    <w:p w:rsidR="00157EF6" w:rsidRPr="00043A1E" w:rsidRDefault="00157EF6" w:rsidP="00F87E84">
      <w:pPr>
        <w:pStyle w:val="a5"/>
        <w:ind w:leftChars="80" w:left="731" w:hangingChars="245" w:hanging="539"/>
        <w:jc w:val="both"/>
        <w:rPr>
          <w:rFonts w:ascii="標楷體" w:eastAsia="標楷體" w:hAnsi="標楷體"/>
          <w:szCs w:val="22"/>
        </w:rPr>
      </w:pPr>
      <w:r w:rsidRPr="00043A1E">
        <w:rPr>
          <w:rFonts w:hint="eastAsia"/>
          <w:szCs w:val="22"/>
        </w:rPr>
        <w:t>（</w:t>
      </w:r>
      <w:r w:rsidRPr="00761EF3">
        <w:rPr>
          <w:rFonts w:hint="eastAsia"/>
          <w:szCs w:val="22"/>
        </w:rPr>
        <w:t>3</w:t>
      </w:r>
      <w:r w:rsidRPr="00043A1E">
        <w:rPr>
          <w:rFonts w:hint="eastAsia"/>
          <w:szCs w:val="22"/>
        </w:rPr>
        <w:t>）</w:t>
      </w:r>
      <w:r w:rsidRPr="00043A1E">
        <w:rPr>
          <w:szCs w:val="22"/>
        </w:rPr>
        <w:t>《大智度論》卷</w:t>
      </w:r>
      <w:r w:rsidRPr="00761EF3">
        <w:rPr>
          <w:szCs w:val="22"/>
        </w:rPr>
        <w:t>2</w:t>
      </w:r>
      <w:r w:rsidR="005C0D01">
        <w:rPr>
          <w:rFonts w:hint="eastAsia"/>
          <w:color w:val="FF0000"/>
          <w:szCs w:val="22"/>
          <w:highlight w:val="yellow"/>
        </w:rPr>
        <w:t>釋</w:t>
      </w:r>
      <w:r w:rsidRPr="00043A1E">
        <w:rPr>
          <w:rFonts w:hint="eastAsia"/>
          <w:szCs w:val="22"/>
        </w:rPr>
        <w:t>〈</w:t>
      </w:r>
      <w:r w:rsidRPr="00761EF3">
        <w:rPr>
          <w:rFonts w:hint="eastAsia"/>
          <w:szCs w:val="22"/>
        </w:rPr>
        <w:t>1</w:t>
      </w:r>
      <w:r w:rsidRPr="00043A1E">
        <w:rPr>
          <w:rFonts w:hint="eastAsia"/>
          <w:szCs w:val="22"/>
        </w:rPr>
        <w:t xml:space="preserve"> </w:t>
      </w:r>
      <w:r w:rsidRPr="00043A1E">
        <w:rPr>
          <w:rFonts w:hint="eastAsia"/>
          <w:szCs w:val="22"/>
        </w:rPr>
        <w:t>序品〉</w:t>
      </w:r>
      <w:r w:rsidRPr="00043A1E">
        <w:rPr>
          <w:szCs w:val="22"/>
        </w:rPr>
        <w:t>（大正</w:t>
      </w:r>
      <w:r w:rsidRPr="00761EF3">
        <w:rPr>
          <w:szCs w:val="22"/>
        </w:rPr>
        <w:t>25</w:t>
      </w:r>
      <w:r w:rsidRPr="00043A1E">
        <w:rPr>
          <w:szCs w:val="22"/>
        </w:rPr>
        <w:t>，</w:t>
      </w:r>
      <w:r w:rsidRPr="00761EF3">
        <w:rPr>
          <w:szCs w:val="22"/>
        </w:rPr>
        <w:t>74c8</w:t>
      </w:r>
      <w:r w:rsidRPr="00043A1E">
        <w:rPr>
          <w:rFonts w:hint="eastAsia"/>
          <w:szCs w:val="22"/>
        </w:rPr>
        <w:t>-</w:t>
      </w:r>
      <w:r w:rsidRPr="00761EF3">
        <w:rPr>
          <w:szCs w:val="22"/>
        </w:rPr>
        <w:t>75a19</w:t>
      </w:r>
      <w:r w:rsidRPr="00043A1E">
        <w:rPr>
          <w:szCs w:val="22"/>
        </w:rPr>
        <w:t>）</w:t>
      </w:r>
      <w:r w:rsidRPr="00043A1E">
        <w:rPr>
          <w:rFonts w:ascii="標楷體" w:eastAsia="標楷體" w:hAnsi="標楷體" w:hint="eastAsia"/>
          <w:szCs w:val="22"/>
        </w:rPr>
        <w:t>。</w:t>
      </w:r>
    </w:p>
    <w:p w:rsidR="00157EF6" w:rsidRPr="00043A1E" w:rsidRDefault="00157EF6" w:rsidP="00F87E84">
      <w:pPr>
        <w:pStyle w:val="a5"/>
        <w:ind w:leftChars="80" w:left="731" w:hangingChars="245" w:hanging="539"/>
        <w:jc w:val="both"/>
        <w:rPr>
          <w:szCs w:val="22"/>
        </w:rPr>
      </w:pPr>
      <w:r w:rsidRPr="00043A1E">
        <w:rPr>
          <w:rFonts w:hint="eastAsia"/>
          <w:szCs w:val="22"/>
        </w:rPr>
        <w:t>（</w:t>
      </w:r>
      <w:r w:rsidRPr="00761EF3">
        <w:rPr>
          <w:rFonts w:hint="eastAsia"/>
          <w:szCs w:val="22"/>
        </w:rPr>
        <w:t>4</w:t>
      </w:r>
      <w:r w:rsidRPr="00043A1E">
        <w:rPr>
          <w:rFonts w:hint="eastAsia"/>
          <w:szCs w:val="22"/>
        </w:rPr>
        <w:t>）《大智度論》卷</w:t>
      </w:r>
      <w:r w:rsidRPr="00761EF3">
        <w:rPr>
          <w:rFonts w:hint="eastAsia"/>
          <w:szCs w:val="22"/>
        </w:rPr>
        <w:t>70</w:t>
      </w:r>
      <w:r w:rsidR="005C0D01">
        <w:rPr>
          <w:rFonts w:hint="eastAsia"/>
          <w:color w:val="FF0000"/>
          <w:szCs w:val="22"/>
          <w:highlight w:val="yellow"/>
        </w:rPr>
        <w:t>釋</w:t>
      </w:r>
      <w:r w:rsidRPr="00043A1E">
        <w:rPr>
          <w:rFonts w:hint="eastAsia"/>
          <w:szCs w:val="22"/>
        </w:rPr>
        <w:t>〈</w:t>
      </w:r>
      <w:r w:rsidRPr="00761EF3">
        <w:rPr>
          <w:rFonts w:hint="eastAsia"/>
          <w:szCs w:val="22"/>
        </w:rPr>
        <w:t>48</w:t>
      </w:r>
      <w:r w:rsidRPr="00043A1E">
        <w:rPr>
          <w:rFonts w:hint="eastAsia"/>
          <w:szCs w:val="22"/>
        </w:rPr>
        <w:t xml:space="preserve"> </w:t>
      </w:r>
      <w:r w:rsidRPr="00043A1E">
        <w:rPr>
          <w:rFonts w:hint="eastAsia"/>
          <w:szCs w:val="22"/>
        </w:rPr>
        <w:t>佛母品〉</w:t>
      </w:r>
      <w:r w:rsidRPr="00043A1E">
        <w:rPr>
          <w:szCs w:val="22"/>
        </w:rPr>
        <w:t>（大正</w:t>
      </w:r>
      <w:r w:rsidRPr="00761EF3">
        <w:rPr>
          <w:szCs w:val="22"/>
        </w:rPr>
        <w:t>25</w:t>
      </w:r>
      <w:r w:rsidRPr="00043A1E">
        <w:rPr>
          <w:szCs w:val="22"/>
        </w:rPr>
        <w:t>，</w:t>
      </w:r>
      <w:r w:rsidRPr="00761EF3">
        <w:rPr>
          <w:rFonts w:hint="eastAsia"/>
          <w:szCs w:val="22"/>
        </w:rPr>
        <w:t>547b5</w:t>
      </w:r>
      <w:r w:rsidRPr="00043A1E">
        <w:rPr>
          <w:rFonts w:hint="eastAsia"/>
          <w:szCs w:val="22"/>
        </w:rPr>
        <w:t>-</w:t>
      </w:r>
      <w:r w:rsidRPr="00761EF3">
        <w:rPr>
          <w:rFonts w:hint="eastAsia"/>
          <w:szCs w:val="22"/>
        </w:rPr>
        <w:t>14</w:t>
      </w:r>
      <w:r w:rsidRPr="00043A1E">
        <w:rPr>
          <w:rFonts w:hint="eastAsia"/>
          <w:szCs w:val="22"/>
        </w:rPr>
        <w:t>）：</w:t>
      </w:r>
    </w:p>
    <w:p w:rsidR="00157EF6" w:rsidRPr="00043A1E" w:rsidRDefault="00157EF6" w:rsidP="00F87E84">
      <w:pPr>
        <w:pStyle w:val="a5"/>
        <w:ind w:leftChars="305" w:left="732"/>
        <w:jc w:val="both"/>
        <w:rPr>
          <w:rFonts w:ascii="標楷體" w:eastAsia="標楷體" w:hAnsi="標楷體"/>
          <w:szCs w:val="22"/>
        </w:rPr>
      </w:pPr>
      <w:r w:rsidRPr="00043A1E">
        <w:rPr>
          <w:rFonts w:ascii="標楷體" w:eastAsia="標楷體" w:hAnsi="標楷體" w:hint="eastAsia"/>
          <w:szCs w:val="22"/>
        </w:rPr>
        <w:t>「死後有如去」者</w:t>
      </w:r>
      <w:r w:rsidR="00BB63F0">
        <w:rPr>
          <w:rFonts w:ascii="標楷體" w:eastAsia="標楷體" w:hAnsi="標楷體" w:hint="eastAsia"/>
          <w:color w:val="FF0000"/>
          <w:spacing w:val="-4"/>
          <w:kern w:val="0"/>
          <w:highlight w:val="yellow"/>
        </w:rPr>
        <w:t>：</w:t>
      </w:r>
    </w:p>
    <w:p w:rsidR="00157EF6" w:rsidRPr="00043A1E" w:rsidRDefault="00157EF6" w:rsidP="00F87E84">
      <w:pPr>
        <w:pStyle w:val="a5"/>
        <w:ind w:leftChars="305" w:left="1392" w:hangingChars="300" w:hanging="660"/>
        <w:jc w:val="both"/>
        <w:rPr>
          <w:rFonts w:ascii="標楷體" w:eastAsia="標楷體" w:hAnsi="標楷體"/>
          <w:szCs w:val="22"/>
        </w:rPr>
      </w:pPr>
      <w:r w:rsidRPr="00043A1E">
        <w:rPr>
          <w:rFonts w:ascii="標楷體" w:eastAsia="標楷體" w:hAnsi="標楷體" w:hint="eastAsia"/>
          <w:szCs w:val="22"/>
        </w:rPr>
        <w:t>問曰：先說「常</w:t>
      </w:r>
      <w:r w:rsidR="00256510">
        <w:rPr>
          <w:rFonts w:ascii="標楷體" w:eastAsia="標楷體" w:hAnsi="標楷體" w:hint="eastAsia"/>
          <w:color w:val="FF0000"/>
          <w:szCs w:val="22"/>
          <w:highlight w:val="yellow"/>
        </w:rPr>
        <w:t>、</w:t>
      </w:r>
      <w:r w:rsidRPr="00043A1E">
        <w:rPr>
          <w:rFonts w:ascii="標楷體" w:eastAsia="標楷體" w:hAnsi="標楷體" w:hint="eastAsia"/>
          <w:szCs w:val="22"/>
        </w:rPr>
        <w:t>無常」等，即是「後世</w:t>
      </w:r>
      <w:r w:rsidR="00256510">
        <w:rPr>
          <w:rFonts w:ascii="標楷體" w:eastAsia="標楷體" w:hAnsi="標楷體" w:hint="eastAsia"/>
          <w:color w:val="FF0000"/>
          <w:kern w:val="0"/>
          <w:highlight w:val="yellow"/>
        </w:rPr>
        <w:t>『</w:t>
      </w:r>
      <w:r w:rsidRPr="00043A1E">
        <w:rPr>
          <w:rFonts w:ascii="標楷體" w:eastAsia="標楷體" w:hAnsi="標楷體" w:hint="eastAsia"/>
          <w:szCs w:val="22"/>
        </w:rPr>
        <w:t>或有</w:t>
      </w:r>
      <w:r w:rsidR="00256510">
        <w:rPr>
          <w:rFonts w:ascii="標楷體" w:eastAsia="標楷體" w:hAnsi="標楷體" w:hint="eastAsia"/>
          <w:color w:val="FF0000"/>
          <w:szCs w:val="22"/>
          <w:highlight w:val="yellow"/>
        </w:rPr>
        <w:t>、</w:t>
      </w:r>
      <w:r w:rsidRPr="00043A1E">
        <w:rPr>
          <w:rFonts w:ascii="標楷體" w:eastAsia="標楷體" w:hAnsi="標楷體" w:hint="eastAsia"/>
          <w:szCs w:val="22"/>
        </w:rPr>
        <w:t>或無</w:t>
      </w:r>
      <w:r w:rsidR="00256510">
        <w:rPr>
          <w:rFonts w:ascii="標楷體" w:eastAsia="標楷體" w:hAnsi="標楷體" w:hint="eastAsia"/>
          <w:color w:val="FF0000"/>
          <w:kern w:val="0"/>
          <w:highlight w:val="yellow"/>
        </w:rPr>
        <w:t>』</w:t>
      </w:r>
      <w:r w:rsidRPr="00043A1E">
        <w:rPr>
          <w:rFonts w:ascii="標楷體" w:eastAsia="標楷體" w:hAnsi="標楷體" w:hint="eastAsia"/>
          <w:szCs w:val="22"/>
        </w:rPr>
        <w:t>」，今何以別說「如去」四句？</w:t>
      </w:r>
    </w:p>
    <w:p w:rsidR="00157EF6" w:rsidRPr="00043A1E" w:rsidRDefault="00157EF6" w:rsidP="00256510">
      <w:pPr>
        <w:pStyle w:val="a5"/>
        <w:ind w:leftChars="305" w:left="1392" w:hangingChars="300" w:hanging="660"/>
        <w:jc w:val="both"/>
        <w:rPr>
          <w:rFonts w:ascii="標楷體" w:eastAsia="標楷體" w:hAnsi="標楷體"/>
          <w:szCs w:val="22"/>
        </w:rPr>
      </w:pPr>
      <w:r w:rsidRPr="00043A1E">
        <w:rPr>
          <w:rFonts w:ascii="標楷體" w:eastAsia="標楷體" w:hAnsi="標楷體" w:hint="eastAsia"/>
          <w:szCs w:val="22"/>
        </w:rPr>
        <w:t>答曰：上總說「一切世間</w:t>
      </w:r>
      <w:r w:rsidR="00256510">
        <w:rPr>
          <w:rFonts w:ascii="標楷體" w:eastAsia="標楷體" w:hAnsi="標楷體" w:hint="eastAsia"/>
          <w:color w:val="FF0000"/>
          <w:kern w:val="0"/>
          <w:highlight w:val="yellow"/>
        </w:rPr>
        <w:t>『</w:t>
      </w:r>
      <w:r w:rsidR="00256510" w:rsidRPr="00212D57">
        <w:rPr>
          <w:rFonts w:ascii="標楷體" w:eastAsia="標楷體" w:hAnsi="標楷體" w:hint="eastAsia"/>
          <w:szCs w:val="22"/>
        </w:rPr>
        <w:t>常</w:t>
      </w:r>
      <w:r w:rsidR="00256510" w:rsidRPr="00256510">
        <w:rPr>
          <w:rFonts w:ascii="標楷體" w:eastAsia="標楷體" w:hAnsi="標楷體" w:hint="eastAsia"/>
          <w:color w:val="FF0000"/>
          <w:szCs w:val="22"/>
          <w:highlight w:val="yellow"/>
        </w:rPr>
        <w:t>、</w:t>
      </w:r>
      <w:r w:rsidR="00256510" w:rsidRPr="00212D57">
        <w:rPr>
          <w:rFonts w:ascii="標楷體" w:eastAsia="標楷體" w:hAnsi="標楷體" w:hint="eastAsia"/>
          <w:szCs w:val="22"/>
        </w:rPr>
        <w:t>非常</w:t>
      </w:r>
      <w:r w:rsidR="00256510">
        <w:rPr>
          <w:rFonts w:ascii="標楷體" w:eastAsia="標楷體" w:hAnsi="標楷體" w:hint="eastAsia"/>
          <w:color w:val="FF0000"/>
          <w:kern w:val="0"/>
          <w:highlight w:val="yellow"/>
        </w:rPr>
        <w:t>』</w:t>
      </w:r>
      <w:r w:rsidRPr="00043A1E">
        <w:rPr>
          <w:rFonts w:ascii="標楷體" w:eastAsia="標楷體" w:hAnsi="標楷體" w:hint="eastAsia"/>
          <w:szCs w:val="22"/>
        </w:rPr>
        <w:t>」</w:t>
      </w:r>
      <w:r w:rsidR="00256510">
        <w:rPr>
          <w:rFonts w:ascii="標楷體" w:eastAsia="標楷體" w:hAnsi="標楷體" w:hint="eastAsia"/>
          <w:color w:val="FF0000"/>
          <w:spacing w:val="-4"/>
          <w:kern w:val="0"/>
          <w:highlight w:val="yellow"/>
        </w:rPr>
        <w:t>；</w:t>
      </w:r>
      <w:r w:rsidR="00256510" w:rsidRPr="00212D57">
        <w:rPr>
          <w:rFonts w:ascii="標楷體" w:eastAsia="標楷體" w:hAnsi="標楷體" w:hint="eastAsia"/>
          <w:szCs w:val="22"/>
        </w:rPr>
        <w:t>「後世</w:t>
      </w:r>
      <w:r w:rsidR="00256510">
        <w:rPr>
          <w:rFonts w:ascii="標楷體" w:eastAsia="標楷體" w:hAnsi="標楷體" w:hint="eastAsia"/>
          <w:color w:val="FF0000"/>
          <w:kern w:val="0"/>
          <w:highlight w:val="yellow"/>
        </w:rPr>
        <w:t>『</w:t>
      </w:r>
      <w:r w:rsidR="00256510" w:rsidRPr="00212D57">
        <w:rPr>
          <w:rFonts w:ascii="標楷體" w:eastAsia="標楷體" w:hAnsi="標楷體" w:hint="eastAsia"/>
          <w:szCs w:val="22"/>
        </w:rPr>
        <w:t>有、無</w:t>
      </w:r>
      <w:r w:rsidR="00256510">
        <w:rPr>
          <w:rFonts w:ascii="標楷體" w:eastAsia="標楷體" w:hAnsi="標楷體" w:hint="eastAsia"/>
          <w:color w:val="FF0000"/>
          <w:kern w:val="0"/>
          <w:highlight w:val="yellow"/>
        </w:rPr>
        <w:t>』</w:t>
      </w:r>
      <w:r w:rsidR="00256510" w:rsidRPr="00212D57">
        <w:rPr>
          <w:rFonts w:ascii="標楷體" w:eastAsia="標楷體" w:hAnsi="標楷體" w:hint="eastAsia"/>
          <w:szCs w:val="22"/>
        </w:rPr>
        <w:t>」</w:t>
      </w:r>
      <w:r w:rsidRPr="00043A1E">
        <w:rPr>
          <w:rFonts w:ascii="標楷體" w:eastAsia="標楷體" w:hAnsi="標楷體" w:hint="eastAsia"/>
          <w:szCs w:val="22"/>
        </w:rPr>
        <w:t>，事要，故別說。</w:t>
      </w:r>
    </w:p>
    <w:p w:rsidR="00157EF6" w:rsidRPr="00043A1E" w:rsidRDefault="00157EF6" w:rsidP="00F87E84">
      <w:pPr>
        <w:pStyle w:val="a5"/>
        <w:ind w:leftChars="605" w:left="1452"/>
        <w:jc w:val="both"/>
        <w:rPr>
          <w:rFonts w:ascii="標楷體" w:eastAsia="標楷體" w:hAnsi="標楷體"/>
          <w:szCs w:val="22"/>
        </w:rPr>
      </w:pPr>
      <w:r w:rsidRPr="00043A1E">
        <w:rPr>
          <w:rFonts w:ascii="標楷體" w:eastAsia="標楷體" w:hAnsi="標楷體" w:hint="eastAsia"/>
          <w:szCs w:val="22"/>
        </w:rPr>
        <w:t>「</w:t>
      </w:r>
      <w:r w:rsidRPr="00043A1E">
        <w:rPr>
          <w:rFonts w:ascii="標楷體" w:eastAsia="標楷體" w:hAnsi="標楷體" w:hint="eastAsia"/>
          <w:b/>
          <w:szCs w:val="22"/>
        </w:rPr>
        <w:t>如去</w:t>
      </w:r>
      <w:r w:rsidRPr="00043A1E">
        <w:rPr>
          <w:rFonts w:ascii="標楷體" w:eastAsia="標楷體" w:hAnsi="標楷體" w:hint="eastAsia"/>
          <w:szCs w:val="22"/>
        </w:rPr>
        <w:t>」者，如人來此間生，去至後世亦如是。</w:t>
      </w:r>
    </w:p>
    <w:p w:rsidR="00157EF6" w:rsidRPr="00043A1E" w:rsidRDefault="00157EF6" w:rsidP="00F87E84">
      <w:pPr>
        <w:pStyle w:val="a5"/>
        <w:ind w:leftChars="605" w:left="1452"/>
        <w:jc w:val="both"/>
        <w:rPr>
          <w:rFonts w:ascii="標楷體" w:eastAsia="標楷體" w:hAnsi="標楷體"/>
          <w:szCs w:val="22"/>
        </w:rPr>
      </w:pPr>
      <w:r w:rsidRPr="00043A1E">
        <w:rPr>
          <w:rFonts w:ascii="標楷體" w:eastAsia="標楷體" w:hAnsi="標楷體" w:hint="eastAsia"/>
          <w:szCs w:val="22"/>
        </w:rPr>
        <w:t>有人言：先世無所從來，滅亦</w:t>
      </w:r>
      <w:r w:rsidRPr="00043A1E">
        <w:rPr>
          <w:rFonts w:ascii="標楷體" w:eastAsia="標楷體" w:hAnsi="標楷體" w:hint="eastAsia"/>
          <w:b/>
          <w:szCs w:val="22"/>
        </w:rPr>
        <w:t>無所去</w:t>
      </w:r>
      <w:r w:rsidRPr="00043A1E">
        <w:rPr>
          <w:rFonts w:ascii="標楷體" w:eastAsia="標楷體" w:hAnsi="標楷體" w:hint="eastAsia"/>
          <w:szCs w:val="22"/>
        </w:rPr>
        <w:t>。</w:t>
      </w:r>
    </w:p>
    <w:p w:rsidR="00157EF6" w:rsidRPr="00F87E84" w:rsidRDefault="00157EF6" w:rsidP="00F87E84">
      <w:pPr>
        <w:pStyle w:val="a5"/>
        <w:ind w:leftChars="605" w:left="1452"/>
        <w:jc w:val="both"/>
        <w:rPr>
          <w:rFonts w:ascii="標楷體" w:eastAsia="標楷體" w:hAnsi="標楷體"/>
          <w:spacing w:val="-4"/>
          <w:szCs w:val="22"/>
        </w:rPr>
      </w:pPr>
      <w:r w:rsidRPr="00F87E84">
        <w:rPr>
          <w:rFonts w:ascii="標楷體" w:eastAsia="標楷體" w:hAnsi="標楷體" w:hint="eastAsia"/>
          <w:spacing w:val="-4"/>
          <w:szCs w:val="22"/>
        </w:rPr>
        <w:t>有人言：身、神和合為人；死後，神去，身不去。是名「</w:t>
      </w:r>
      <w:r w:rsidRPr="00F87E84">
        <w:rPr>
          <w:rFonts w:ascii="標楷體" w:eastAsia="標楷體" w:hAnsi="標楷體" w:hint="eastAsia"/>
          <w:b/>
          <w:spacing w:val="-4"/>
          <w:szCs w:val="22"/>
        </w:rPr>
        <w:t>如去不如去</w:t>
      </w:r>
      <w:r w:rsidRPr="00F87E84">
        <w:rPr>
          <w:rFonts w:ascii="標楷體" w:eastAsia="標楷體" w:hAnsi="標楷體" w:hint="eastAsia"/>
          <w:spacing w:val="-4"/>
          <w:szCs w:val="22"/>
        </w:rPr>
        <w:t>」。</w:t>
      </w:r>
    </w:p>
    <w:p w:rsidR="00157EF6" w:rsidRPr="00043A1E" w:rsidRDefault="00157EF6" w:rsidP="00F87E84">
      <w:pPr>
        <w:pStyle w:val="a5"/>
        <w:ind w:leftChars="605" w:left="1452"/>
        <w:jc w:val="both"/>
        <w:rPr>
          <w:szCs w:val="22"/>
        </w:rPr>
      </w:pPr>
      <w:r w:rsidRPr="00043A1E">
        <w:rPr>
          <w:rFonts w:ascii="標楷體" w:eastAsia="標楷體" w:hAnsi="標楷體" w:hint="eastAsia"/>
          <w:szCs w:val="22"/>
        </w:rPr>
        <w:t>「</w:t>
      </w:r>
      <w:r w:rsidRPr="00043A1E">
        <w:rPr>
          <w:rFonts w:ascii="標楷體" w:eastAsia="標楷體" w:hAnsi="標楷體" w:hint="eastAsia"/>
          <w:b/>
          <w:szCs w:val="22"/>
        </w:rPr>
        <w:t>非有如去非無如去</w:t>
      </w:r>
      <w:r w:rsidRPr="00043A1E">
        <w:rPr>
          <w:rFonts w:ascii="標楷體" w:eastAsia="標楷體" w:hAnsi="標楷體" w:hint="eastAsia"/>
          <w:szCs w:val="22"/>
        </w:rPr>
        <w:t>」者，見「去」、「不去」有失故，說「非去非不去」。是人不能捨</w:t>
      </w:r>
      <w:r w:rsidRPr="00256510">
        <w:rPr>
          <w:rFonts w:ascii="標楷體" w:eastAsia="標楷體" w:hAnsi="標楷體" w:hint="eastAsia"/>
          <w:szCs w:val="22"/>
          <w:highlight w:val="yellow"/>
        </w:rPr>
        <w:t>神而</w:t>
      </w:r>
      <w:r w:rsidRPr="00043A1E">
        <w:rPr>
          <w:rFonts w:ascii="標楷體" w:eastAsia="標楷體" w:hAnsi="標楷體" w:hint="eastAsia"/>
          <w:szCs w:val="22"/>
        </w:rPr>
        <w:t>著「非去非不去」。</w:t>
      </w:r>
    </w:p>
  </w:footnote>
  <w:footnote w:id="621">
    <w:p w:rsidR="00C41F21" w:rsidRPr="00043A1E" w:rsidRDefault="00C41F21" w:rsidP="00C41F21">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szCs w:val="22"/>
        </w:rPr>
        <w:t>《雜阿含經》卷</w:t>
      </w:r>
      <w:r w:rsidRPr="00761EF3">
        <w:rPr>
          <w:szCs w:val="22"/>
        </w:rPr>
        <w:t>13</w:t>
      </w:r>
      <w:r w:rsidRPr="00043A1E">
        <w:rPr>
          <w:rFonts w:hint="eastAsia"/>
          <w:szCs w:val="22"/>
        </w:rPr>
        <w:t>（</w:t>
      </w:r>
      <w:r w:rsidRPr="00761EF3">
        <w:rPr>
          <w:szCs w:val="22"/>
        </w:rPr>
        <w:t>335</w:t>
      </w:r>
      <w:r w:rsidRPr="00043A1E">
        <w:rPr>
          <w:szCs w:val="22"/>
        </w:rPr>
        <w:t>經</w:t>
      </w:r>
      <w:r w:rsidRPr="00043A1E">
        <w:rPr>
          <w:rFonts w:hint="eastAsia"/>
          <w:szCs w:val="22"/>
        </w:rPr>
        <w:t>）</w:t>
      </w:r>
      <w:r w:rsidRPr="00043A1E">
        <w:rPr>
          <w:szCs w:val="22"/>
        </w:rPr>
        <w:t>（大正</w:t>
      </w:r>
      <w:r w:rsidRPr="00761EF3">
        <w:rPr>
          <w:szCs w:val="22"/>
        </w:rPr>
        <w:t>2</w:t>
      </w:r>
      <w:r w:rsidRPr="00043A1E">
        <w:rPr>
          <w:szCs w:val="22"/>
        </w:rPr>
        <w:t>，</w:t>
      </w:r>
      <w:r w:rsidRPr="00761EF3">
        <w:rPr>
          <w:szCs w:val="22"/>
        </w:rPr>
        <w:t>92c12</w:t>
      </w:r>
      <w:r w:rsidRPr="00043A1E">
        <w:rPr>
          <w:rFonts w:hint="eastAsia"/>
          <w:szCs w:val="22"/>
        </w:rPr>
        <w:t>-</w:t>
      </w:r>
      <w:r w:rsidRPr="00761EF3">
        <w:rPr>
          <w:szCs w:val="22"/>
        </w:rPr>
        <w:t>25</w:t>
      </w:r>
      <w:r w:rsidRPr="00043A1E">
        <w:rPr>
          <w:szCs w:val="22"/>
        </w:rPr>
        <w:t>）：</w:t>
      </w:r>
    </w:p>
    <w:p w:rsidR="00C41F21" w:rsidRPr="00043A1E" w:rsidRDefault="00C41F21" w:rsidP="00C41F21">
      <w:pPr>
        <w:pStyle w:val="a5"/>
        <w:ind w:leftChars="75" w:left="180"/>
        <w:jc w:val="both"/>
        <w:rPr>
          <w:szCs w:val="22"/>
        </w:rPr>
      </w:pPr>
      <w:r w:rsidRPr="00043A1E">
        <w:rPr>
          <w:rFonts w:ascii="標楷體" w:eastAsia="標楷體" w:hAnsi="標楷體"/>
          <w:szCs w:val="22"/>
        </w:rPr>
        <w:t>如是我聞</w:t>
      </w:r>
      <w:r w:rsidRPr="00043A1E">
        <w:rPr>
          <w:rFonts w:ascii="標楷體" w:eastAsia="標楷體" w:hAnsi="標楷體" w:hint="eastAsia"/>
          <w:szCs w:val="22"/>
        </w:rPr>
        <w:t>：</w:t>
      </w:r>
      <w:r w:rsidRPr="00043A1E">
        <w:rPr>
          <w:rFonts w:ascii="標楷體" w:eastAsia="標楷體" w:hAnsi="標楷體"/>
          <w:szCs w:val="22"/>
        </w:rPr>
        <w:t>一時佛住拘留搜調牛聚落。爾時</w:t>
      </w:r>
      <w:r w:rsidRPr="00043A1E">
        <w:rPr>
          <w:rFonts w:ascii="標楷體" w:eastAsia="標楷體" w:hAnsi="標楷體" w:hint="eastAsia"/>
          <w:szCs w:val="22"/>
        </w:rPr>
        <w:t>，</w:t>
      </w:r>
      <w:r w:rsidRPr="00043A1E">
        <w:rPr>
          <w:rFonts w:ascii="標楷體" w:eastAsia="標楷體" w:hAnsi="標楷體"/>
          <w:szCs w:val="22"/>
        </w:rPr>
        <w:t>世尊告諸比丘：</w:t>
      </w:r>
      <w:r w:rsidRPr="00043A1E">
        <w:rPr>
          <w:rFonts w:ascii="標楷體" w:eastAsia="標楷體" w:hAnsi="標楷體" w:hint="eastAsia"/>
          <w:szCs w:val="22"/>
        </w:rPr>
        <w:t>「</w:t>
      </w:r>
      <w:r w:rsidRPr="00043A1E">
        <w:rPr>
          <w:rFonts w:ascii="標楷體" w:eastAsia="標楷體" w:hAnsi="標楷體"/>
          <w:szCs w:val="22"/>
        </w:rPr>
        <w:t>我今當為汝等說法</w:t>
      </w:r>
      <w:r w:rsidRPr="00043A1E">
        <w:rPr>
          <w:rFonts w:ascii="標楷體" w:eastAsia="標楷體" w:hAnsi="標楷體" w:hint="eastAsia"/>
          <w:szCs w:val="22"/>
        </w:rPr>
        <w:t>。</w:t>
      </w:r>
      <w:r w:rsidRPr="00F72B25">
        <w:rPr>
          <w:rFonts w:ascii="標楷體" w:eastAsia="標楷體" w:hAnsi="標楷體"/>
          <w:szCs w:val="22"/>
          <w:highlight w:val="yellow"/>
        </w:rPr>
        <w:t>初中後</w:t>
      </w:r>
      <w:r w:rsidRPr="00043A1E">
        <w:rPr>
          <w:rFonts w:ascii="標楷體" w:eastAsia="標楷體" w:hAnsi="標楷體"/>
          <w:szCs w:val="22"/>
        </w:rPr>
        <w:t>善，善義、善味，純一滿淨，梵行清白，所謂</w:t>
      </w:r>
      <w:r w:rsidRPr="00043A1E">
        <w:rPr>
          <w:rFonts w:ascii="標楷體" w:eastAsia="標楷體" w:hAnsi="標楷體" w:hint="eastAsia"/>
          <w:szCs w:val="22"/>
        </w:rPr>
        <w:t>『</w:t>
      </w:r>
      <w:r w:rsidRPr="00043A1E">
        <w:rPr>
          <w:rFonts w:ascii="標楷體" w:eastAsia="標楷體" w:hAnsi="標楷體"/>
          <w:szCs w:val="22"/>
        </w:rPr>
        <w:t>第一義空經</w:t>
      </w:r>
      <w:r w:rsidRPr="00043A1E">
        <w:rPr>
          <w:rFonts w:ascii="標楷體" w:eastAsia="標楷體" w:hAnsi="標楷體" w:hint="eastAsia"/>
          <w:szCs w:val="22"/>
        </w:rPr>
        <w:t>』</w:t>
      </w:r>
      <w:r w:rsidRPr="00043A1E">
        <w:rPr>
          <w:rFonts w:ascii="標楷體" w:eastAsia="標楷體" w:hAnsi="標楷體"/>
          <w:szCs w:val="22"/>
        </w:rPr>
        <w:t>。諦聽</w:t>
      </w:r>
      <w:r w:rsidRPr="00043A1E">
        <w:rPr>
          <w:rFonts w:ascii="標楷體" w:eastAsia="標楷體" w:hAnsi="標楷體" w:hint="eastAsia"/>
          <w:szCs w:val="22"/>
        </w:rPr>
        <w:t>！</w:t>
      </w:r>
      <w:r w:rsidRPr="00043A1E">
        <w:rPr>
          <w:rFonts w:ascii="標楷體" w:eastAsia="標楷體" w:hAnsi="標楷體"/>
          <w:szCs w:val="22"/>
        </w:rPr>
        <w:t>善思</w:t>
      </w:r>
      <w:r w:rsidRPr="00043A1E">
        <w:rPr>
          <w:rFonts w:ascii="標楷體" w:eastAsia="標楷體" w:hAnsi="標楷體" w:hint="eastAsia"/>
          <w:szCs w:val="22"/>
        </w:rPr>
        <w:t>！</w:t>
      </w:r>
      <w:r w:rsidRPr="00043A1E">
        <w:rPr>
          <w:rFonts w:ascii="標楷體" w:eastAsia="標楷體" w:hAnsi="標楷體"/>
          <w:szCs w:val="22"/>
        </w:rPr>
        <w:t>當為汝說。云何為</w:t>
      </w:r>
      <w:r w:rsidRPr="00043A1E">
        <w:rPr>
          <w:rFonts w:ascii="標楷體" w:eastAsia="標楷體" w:hAnsi="標楷體" w:hint="eastAsia"/>
          <w:szCs w:val="22"/>
        </w:rPr>
        <w:t>『</w:t>
      </w:r>
      <w:r w:rsidRPr="00043A1E">
        <w:rPr>
          <w:rFonts w:ascii="標楷體" w:eastAsia="標楷體" w:hAnsi="標楷體"/>
          <w:szCs w:val="22"/>
        </w:rPr>
        <w:t>第一義空經</w:t>
      </w:r>
      <w:r w:rsidRPr="00043A1E">
        <w:rPr>
          <w:rFonts w:ascii="標楷體" w:eastAsia="標楷體" w:hAnsi="標楷體" w:hint="eastAsia"/>
          <w:szCs w:val="22"/>
        </w:rPr>
        <w:t>』</w:t>
      </w:r>
      <w:r w:rsidRPr="00043A1E">
        <w:rPr>
          <w:rFonts w:ascii="標楷體" w:eastAsia="標楷體" w:hAnsi="標楷體"/>
          <w:szCs w:val="22"/>
        </w:rPr>
        <w:t>？諸比丘！</w:t>
      </w:r>
      <w:r w:rsidRPr="00043A1E">
        <w:rPr>
          <w:rFonts w:ascii="標楷體" w:eastAsia="標楷體" w:hAnsi="標楷體"/>
          <w:b/>
          <w:szCs w:val="22"/>
        </w:rPr>
        <w:t>眼生時無有來處，滅時無有去處</w:t>
      </w:r>
      <w:r w:rsidR="00F72B25">
        <w:rPr>
          <w:rFonts w:ascii="標楷體" w:eastAsia="標楷體" w:hAnsi="標楷體" w:hint="eastAsia"/>
          <w:color w:val="FF0000"/>
          <w:spacing w:val="-4"/>
          <w:kern w:val="0"/>
          <w:highlight w:val="yellow"/>
        </w:rPr>
        <w:t>；</w:t>
      </w:r>
      <w:r w:rsidRPr="00043A1E">
        <w:rPr>
          <w:rFonts w:ascii="標楷體" w:eastAsia="標楷體" w:hAnsi="標楷體"/>
          <w:szCs w:val="22"/>
        </w:rPr>
        <w:t>如是眼不實而生，生已盡滅</w:t>
      </w:r>
      <w:r w:rsidR="00F72B25">
        <w:rPr>
          <w:rFonts w:ascii="標楷體" w:eastAsia="標楷體" w:hAnsi="標楷體" w:hint="eastAsia"/>
          <w:color w:val="FF0000"/>
          <w:spacing w:val="-4"/>
          <w:kern w:val="0"/>
          <w:highlight w:val="yellow"/>
        </w:rPr>
        <w:t>；</w:t>
      </w:r>
      <w:r w:rsidR="00F72B25">
        <w:rPr>
          <w:rFonts w:ascii="標楷體" w:eastAsia="標楷體" w:hAnsi="標楷體"/>
          <w:szCs w:val="22"/>
        </w:rPr>
        <w:t>有業報而無作者</w:t>
      </w:r>
      <w:r w:rsidR="00F72B25">
        <w:rPr>
          <w:rFonts w:ascii="標楷體" w:eastAsia="標楷體" w:hAnsi="標楷體" w:hint="eastAsia"/>
          <w:color w:val="FF0000"/>
          <w:spacing w:val="-4"/>
          <w:kern w:val="0"/>
          <w:highlight w:val="yellow"/>
        </w:rPr>
        <w:t>；</w:t>
      </w:r>
      <w:r w:rsidRPr="00043A1E">
        <w:rPr>
          <w:rFonts w:ascii="標楷體" w:eastAsia="標楷體" w:hAnsi="標楷體"/>
          <w:szCs w:val="22"/>
        </w:rPr>
        <w:t>此陰滅已，異陰相續，除俗數法。耳、鼻、舌、身、意</w:t>
      </w:r>
      <w:r w:rsidR="00F72B25">
        <w:rPr>
          <w:rFonts w:ascii="標楷體" w:eastAsia="標楷體" w:hAnsi="標楷體" w:hint="eastAsia"/>
          <w:color w:val="FF0000"/>
          <w:kern w:val="0"/>
          <w:highlight w:val="yellow"/>
        </w:rPr>
        <w:t>，</w:t>
      </w:r>
      <w:r w:rsidRPr="00043A1E">
        <w:rPr>
          <w:rFonts w:ascii="標楷體" w:eastAsia="標楷體" w:hAnsi="標楷體"/>
          <w:szCs w:val="22"/>
        </w:rPr>
        <w:t>亦如是說，除俗數法。</w:t>
      </w:r>
      <w:r w:rsidR="00F72B25">
        <w:rPr>
          <w:rFonts w:ascii="標楷體" w:eastAsia="標楷體" w:hAnsi="標楷體" w:hint="eastAsia"/>
          <w:color w:val="FF0000"/>
          <w:kern w:val="0"/>
          <w:highlight w:val="yellow"/>
        </w:rPr>
        <w:t>『</w:t>
      </w:r>
      <w:r w:rsidRPr="00043A1E">
        <w:rPr>
          <w:rFonts w:ascii="標楷體" w:eastAsia="標楷體" w:hAnsi="標楷體"/>
          <w:szCs w:val="22"/>
        </w:rPr>
        <w:t>俗數法</w:t>
      </w:r>
      <w:r w:rsidR="00F72B25">
        <w:rPr>
          <w:rFonts w:ascii="標楷體" w:eastAsia="標楷體" w:hAnsi="標楷體" w:hint="eastAsia"/>
          <w:color w:val="FF0000"/>
          <w:kern w:val="0"/>
          <w:highlight w:val="yellow"/>
        </w:rPr>
        <w:t>』</w:t>
      </w:r>
      <w:r w:rsidRPr="00043A1E">
        <w:rPr>
          <w:rFonts w:ascii="標楷體" w:eastAsia="標楷體" w:hAnsi="標楷體"/>
          <w:szCs w:val="22"/>
        </w:rPr>
        <w:t>者，謂</w:t>
      </w:r>
      <w:r w:rsidR="00F72B25">
        <w:rPr>
          <w:rFonts w:ascii="標楷體" w:eastAsia="標楷體" w:hAnsi="標楷體" w:hint="eastAsia"/>
          <w:color w:val="FF0000"/>
          <w:kern w:val="0"/>
          <w:highlight w:val="yellow"/>
        </w:rPr>
        <w:t>『</w:t>
      </w:r>
      <w:r w:rsidRPr="00043A1E">
        <w:rPr>
          <w:rFonts w:ascii="標楷體" w:eastAsia="標楷體" w:hAnsi="標楷體"/>
          <w:szCs w:val="22"/>
        </w:rPr>
        <w:t>此有故彼有，此起故彼起</w:t>
      </w:r>
      <w:r w:rsidR="00F72B25">
        <w:rPr>
          <w:rFonts w:ascii="標楷體" w:eastAsia="標楷體" w:hAnsi="標楷體" w:hint="eastAsia"/>
          <w:color w:val="FF0000"/>
          <w:kern w:val="0"/>
          <w:highlight w:val="yellow"/>
        </w:rPr>
        <w:t>』，</w:t>
      </w:r>
      <w:r w:rsidRPr="00043A1E">
        <w:rPr>
          <w:rFonts w:ascii="標楷體" w:eastAsia="標楷體" w:hAnsi="標楷體"/>
          <w:szCs w:val="22"/>
        </w:rPr>
        <w:t>如無明緣行，行緣識，廣說乃至純大苦聚集起</w:t>
      </w:r>
      <w:r w:rsidR="00F72B25">
        <w:rPr>
          <w:rFonts w:ascii="標楷體" w:eastAsia="標楷體" w:hAnsi="標楷體" w:hint="eastAsia"/>
          <w:color w:val="FF0000"/>
          <w:spacing w:val="-4"/>
          <w:kern w:val="0"/>
          <w:highlight w:val="yellow"/>
        </w:rPr>
        <w:t>；</w:t>
      </w:r>
      <w:r w:rsidRPr="00043A1E">
        <w:rPr>
          <w:rFonts w:ascii="標楷體" w:eastAsia="標楷體" w:hAnsi="標楷體"/>
          <w:szCs w:val="22"/>
        </w:rPr>
        <w:t>又復</w:t>
      </w:r>
      <w:r w:rsidR="00F72B25">
        <w:rPr>
          <w:rFonts w:ascii="標楷體" w:eastAsia="標楷體" w:hAnsi="標楷體" w:hint="eastAsia"/>
          <w:color w:val="FF0000"/>
          <w:kern w:val="0"/>
          <w:highlight w:val="yellow"/>
        </w:rPr>
        <w:t>『</w:t>
      </w:r>
      <w:r w:rsidRPr="00043A1E">
        <w:rPr>
          <w:rFonts w:ascii="標楷體" w:eastAsia="標楷體" w:hAnsi="標楷體"/>
          <w:szCs w:val="22"/>
        </w:rPr>
        <w:t>此無故彼無，此滅故彼滅</w:t>
      </w:r>
      <w:r w:rsidR="00F72B25">
        <w:rPr>
          <w:rFonts w:ascii="標楷體" w:eastAsia="標楷體" w:hAnsi="標楷體" w:hint="eastAsia"/>
          <w:color w:val="FF0000"/>
          <w:kern w:val="0"/>
          <w:highlight w:val="yellow"/>
        </w:rPr>
        <w:t>』，</w:t>
      </w:r>
      <w:r w:rsidRPr="00043A1E">
        <w:rPr>
          <w:rFonts w:ascii="標楷體" w:eastAsia="標楷體" w:hAnsi="標楷體"/>
          <w:szCs w:val="22"/>
        </w:rPr>
        <w:t>無明滅故行滅，行滅故識滅，如是廣說</w:t>
      </w:r>
      <w:r w:rsidR="00F72B25">
        <w:rPr>
          <w:rFonts w:ascii="標楷體" w:eastAsia="標楷體" w:hAnsi="標楷體" w:hint="eastAsia"/>
          <w:color w:val="FF0000"/>
          <w:kern w:val="0"/>
          <w:highlight w:val="yellow"/>
        </w:rPr>
        <w:t>，</w:t>
      </w:r>
      <w:r w:rsidRPr="00043A1E">
        <w:rPr>
          <w:rFonts w:ascii="標楷體" w:eastAsia="標楷體" w:hAnsi="標楷體"/>
          <w:szCs w:val="22"/>
        </w:rPr>
        <w:t>乃至純大苦聚滅。比丘！是名</w:t>
      </w:r>
      <w:r w:rsidRPr="00043A1E">
        <w:rPr>
          <w:rFonts w:ascii="標楷體" w:eastAsia="標楷體" w:hAnsi="標楷體" w:hint="eastAsia"/>
          <w:szCs w:val="22"/>
        </w:rPr>
        <w:t>『</w:t>
      </w:r>
      <w:r w:rsidRPr="00043A1E">
        <w:rPr>
          <w:rFonts w:ascii="標楷體" w:eastAsia="標楷體" w:hAnsi="標楷體"/>
          <w:b/>
          <w:szCs w:val="22"/>
        </w:rPr>
        <w:t>第一義空法經</w:t>
      </w:r>
      <w:r w:rsidRPr="00357F1D">
        <w:rPr>
          <w:rFonts w:ascii="標楷體" w:eastAsia="標楷體" w:hAnsi="標楷體" w:hint="eastAsia"/>
          <w:bCs/>
          <w:szCs w:val="22"/>
        </w:rPr>
        <w:t>』</w:t>
      </w:r>
      <w:r w:rsidRPr="00043A1E">
        <w:rPr>
          <w:rFonts w:ascii="標楷體" w:eastAsia="標楷體" w:hAnsi="標楷體"/>
          <w:szCs w:val="22"/>
        </w:rPr>
        <w:t>。</w:t>
      </w:r>
      <w:r w:rsidRPr="00043A1E">
        <w:rPr>
          <w:rFonts w:ascii="標楷體" w:eastAsia="標楷體" w:hAnsi="標楷體" w:hint="eastAsia"/>
          <w:szCs w:val="22"/>
        </w:rPr>
        <w:t>」</w:t>
      </w:r>
    </w:p>
  </w:footnote>
  <w:footnote w:id="622">
    <w:p w:rsidR="007A6E3C" w:rsidRPr="00043A1E" w:rsidRDefault="007A6E3C" w:rsidP="007A6E3C">
      <w:pPr>
        <w:pStyle w:val="a5"/>
        <w:spacing w:line="300" w:lineRule="exact"/>
        <w:ind w:left="726" w:hangingChars="330" w:hanging="726"/>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）《大寶積經》卷</w:t>
      </w:r>
      <w:r w:rsidRPr="00761EF3">
        <w:rPr>
          <w:rFonts w:hint="eastAsia"/>
          <w:szCs w:val="22"/>
        </w:rPr>
        <w:t>90</w:t>
      </w:r>
      <w:r w:rsidRPr="00043A1E">
        <w:rPr>
          <w:rFonts w:hint="eastAsia"/>
          <w:szCs w:val="22"/>
        </w:rPr>
        <w:t>〈</w:t>
      </w:r>
      <w:r w:rsidRPr="00761EF3">
        <w:rPr>
          <w:rFonts w:hint="eastAsia"/>
          <w:szCs w:val="22"/>
        </w:rPr>
        <w:t>24</w:t>
      </w:r>
      <w:r w:rsidRPr="00043A1E">
        <w:rPr>
          <w:szCs w:val="22"/>
        </w:rPr>
        <w:t xml:space="preserve"> </w:t>
      </w:r>
      <w:r w:rsidRPr="00043A1E">
        <w:rPr>
          <w:rFonts w:hint="eastAsia"/>
          <w:szCs w:val="22"/>
        </w:rPr>
        <w:t>優波離會〉（</w:t>
      </w:r>
      <w:r w:rsidRPr="00043A1E">
        <w:rPr>
          <w:szCs w:val="22"/>
        </w:rPr>
        <w:t>大正</w:t>
      </w:r>
      <w:r w:rsidRPr="00761EF3">
        <w:rPr>
          <w:rFonts w:hint="eastAsia"/>
          <w:szCs w:val="22"/>
        </w:rPr>
        <w:t>11</w:t>
      </w:r>
      <w:r w:rsidRPr="00043A1E">
        <w:rPr>
          <w:rFonts w:hint="eastAsia"/>
          <w:szCs w:val="22"/>
        </w:rPr>
        <w:t>，</w:t>
      </w:r>
      <w:r w:rsidRPr="00761EF3">
        <w:rPr>
          <w:rFonts w:hint="eastAsia"/>
          <w:szCs w:val="22"/>
        </w:rPr>
        <w:t>516a13</w:t>
      </w:r>
      <w:r w:rsidRPr="00043A1E">
        <w:rPr>
          <w:rFonts w:hint="eastAsia"/>
          <w:szCs w:val="22"/>
        </w:rPr>
        <w:t>-</w:t>
      </w:r>
      <w:r w:rsidRPr="00761EF3">
        <w:rPr>
          <w:rFonts w:hint="eastAsia"/>
          <w:szCs w:val="22"/>
        </w:rPr>
        <w:t>16</w:t>
      </w:r>
      <w:r w:rsidRPr="00043A1E">
        <w:rPr>
          <w:rFonts w:hint="eastAsia"/>
          <w:szCs w:val="22"/>
        </w:rPr>
        <w:t>）：</w:t>
      </w:r>
    </w:p>
    <w:p w:rsidR="007A6E3C" w:rsidRPr="00043A1E" w:rsidRDefault="007A6E3C" w:rsidP="007A6E3C">
      <w:pPr>
        <w:pStyle w:val="a5"/>
        <w:spacing w:line="300" w:lineRule="exact"/>
        <w:ind w:leftChars="305" w:left="732"/>
        <w:jc w:val="both"/>
        <w:rPr>
          <w:szCs w:val="22"/>
        </w:rPr>
      </w:pPr>
      <w:r w:rsidRPr="00043A1E">
        <w:rPr>
          <w:rFonts w:ascii="標楷體" w:eastAsia="標楷體" w:hAnsi="標楷體" w:hint="eastAsia"/>
          <w:szCs w:val="22"/>
        </w:rPr>
        <w:t>如是等一切世界諸佛世尊常住在世，是諸世尊當慈念我，若我此生</w:t>
      </w:r>
      <w:r>
        <w:rPr>
          <w:rFonts w:ascii="標楷體" w:eastAsia="標楷體" w:hAnsi="標楷體" w:hint="eastAsia"/>
          <w:color w:val="FF0000"/>
          <w:szCs w:val="22"/>
          <w:highlight w:val="yellow"/>
        </w:rPr>
        <w:t>、</w:t>
      </w:r>
      <w:r w:rsidRPr="00043A1E">
        <w:rPr>
          <w:rFonts w:ascii="標楷體" w:eastAsia="標楷體" w:hAnsi="標楷體" w:hint="eastAsia"/>
          <w:szCs w:val="22"/>
        </w:rPr>
        <w:t>若我前生，</w:t>
      </w:r>
      <w:r w:rsidRPr="00043A1E">
        <w:rPr>
          <w:rFonts w:ascii="標楷體" w:eastAsia="標楷體" w:hAnsi="標楷體" w:hint="eastAsia"/>
          <w:b/>
          <w:szCs w:val="22"/>
        </w:rPr>
        <w:t>從無始生死已來</w:t>
      </w:r>
      <w:r w:rsidRPr="00043A1E">
        <w:rPr>
          <w:rFonts w:ascii="標楷體" w:eastAsia="標楷體" w:hAnsi="標楷體" w:hint="eastAsia"/>
          <w:szCs w:val="22"/>
        </w:rPr>
        <w:t>所作眾罪，若自作</w:t>
      </w:r>
      <w:r>
        <w:rPr>
          <w:rFonts w:ascii="標楷體" w:eastAsia="標楷體" w:hAnsi="標楷體" w:hint="eastAsia"/>
          <w:color w:val="FF0000"/>
          <w:szCs w:val="22"/>
          <w:highlight w:val="yellow"/>
        </w:rPr>
        <w:t>、</w:t>
      </w:r>
      <w:r w:rsidRPr="00043A1E">
        <w:rPr>
          <w:rFonts w:ascii="標楷體" w:eastAsia="標楷體" w:hAnsi="標楷體" w:hint="eastAsia"/>
          <w:szCs w:val="22"/>
        </w:rPr>
        <w:t>若教他作</w:t>
      </w:r>
      <w:r>
        <w:rPr>
          <w:rFonts w:ascii="標楷體" w:eastAsia="標楷體" w:hAnsi="標楷體" w:hint="eastAsia"/>
          <w:color w:val="FF0000"/>
          <w:szCs w:val="22"/>
          <w:highlight w:val="yellow"/>
        </w:rPr>
        <w:t>、</w:t>
      </w:r>
      <w:r w:rsidRPr="00043A1E">
        <w:rPr>
          <w:rFonts w:ascii="標楷體" w:eastAsia="標楷體" w:hAnsi="標楷體" w:hint="eastAsia"/>
          <w:szCs w:val="22"/>
        </w:rPr>
        <w:t>見作隨喜。</w:t>
      </w:r>
    </w:p>
    <w:p w:rsidR="007A6E3C" w:rsidRPr="00043A1E" w:rsidRDefault="007A6E3C" w:rsidP="007A6E3C">
      <w:pPr>
        <w:pStyle w:val="a5"/>
        <w:spacing w:line="300" w:lineRule="exact"/>
        <w:ind w:leftChars="80" w:left="73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）《大智度論》卷</w:t>
      </w:r>
      <w:r w:rsidRPr="00761EF3">
        <w:rPr>
          <w:rFonts w:hint="eastAsia"/>
          <w:szCs w:val="22"/>
        </w:rPr>
        <w:t>1</w:t>
      </w:r>
      <w:r w:rsidR="005C0D01">
        <w:rPr>
          <w:rFonts w:hint="eastAsia"/>
          <w:color w:val="FF0000"/>
          <w:szCs w:val="22"/>
          <w:highlight w:val="yellow"/>
        </w:rPr>
        <w:t>釋</w:t>
      </w:r>
      <w:r w:rsidRPr="00043A1E">
        <w:rPr>
          <w:rFonts w:hint="eastAsia"/>
          <w:szCs w:val="22"/>
        </w:rPr>
        <w:t>〈</w:t>
      </w:r>
      <w:r w:rsidRPr="00761EF3">
        <w:rPr>
          <w:rFonts w:hint="eastAsia"/>
          <w:szCs w:val="22"/>
        </w:rPr>
        <w:t>1</w:t>
      </w:r>
      <w:r w:rsidRPr="00043A1E">
        <w:rPr>
          <w:rFonts w:hint="eastAsia"/>
          <w:szCs w:val="22"/>
        </w:rPr>
        <w:t xml:space="preserve"> </w:t>
      </w:r>
      <w:r w:rsidRPr="00043A1E">
        <w:rPr>
          <w:rFonts w:hint="eastAsia"/>
          <w:szCs w:val="22"/>
        </w:rPr>
        <w:t>序品〉（</w:t>
      </w:r>
      <w:r w:rsidRPr="00043A1E">
        <w:rPr>
          <w:szCs w:val="22"/>
        </w:rPr>
        <w:t>大正</w:t>
      </w:r>
      <w:r w:rsidRPr="00761EF3">
        <w:rPr>
          <w:rFonts w:hint="eastAsia"/>
          <w:szCs w:val="22"/>
        </w:rPr>
        <w:t>25</w:t>
      </w:r>
      <w:r w:rsidRPr="00043A1E">
        <w:rPr>
          <w:rFonts w:hint="eastAsia"/>
          <w:szCs w:val="22"/>
        </w:rPr>
        <w:t>，</w:t>
      </w:r>
      <w:r w:rsidRPr="00761EF3">
        <w:rPr>
          <w:rFonts w:hint="eastAsia"/>
          <w:szCs w:val="22"/>
        </w:rPr>
        <w:t>58c4</w:t>
      </w:r>
      <w:r w:rsidRPr="00043A1E">
        <w:rPr>
          <w:rFonts w:hint="eastAsia"/>
          <w:szCs w:val="22"/>
        </w:rPr>
        <w:t>-</w:t>
      </w:r>
      <w:r w:rsidRPr="00761EF3">
        <w:rPr>
          <w:rFonts w:hint="eastAsia"/>
          <w:szCs w:val="22"/>
        </w:rPr>
        <w:t>8</w:t>
      </w:r>
      <w:r w:rsidRPr="00043A1E">
        <w:rPr>
          <w:rFonts w:hint="eastAsia"/>
          <w:szCs w:val="22"/>
        </w:rPr>
        <w:t>）：</w:t>
      </w:r>
    </w:p>
    <w:p w:rsidR="007A6E3C" w:rsidRPr="00043A1E" w:rsidRDefault="007A6E3C" w:rsidP="007A6E3C">
      <w:pPr>
        <w:pStyle w:val="a5"/>
        <w:spacing w:line="300" w:lineRule="exact"/>
        <w:ind w:leftChars="305" w:left="732"/>
        <w:jc w:val="both"/>
        <w:rPr>
          <w:szCs w:val="22"/>
        </w:rPr>
      </w:pPr>
      <w:r w:rsidRPr="00043A1E">
        <w:rPr>
          <w:rFonts w:ascii="標楷體" w:eastAsia="標楷體" w:hAnsi="標楷體" w:hint="eastAsia"/>
          <w:szCs w:val="22"/>
        </w:rPr>
        <w:t>復次，一切眾生為結使病所煩惱，</w:t>
      </w:r>
      <w:r w:rsidRPr="00043A1E">
        <w:rPr>
          <w:rFonts w:ascii="標楷體" w:eastAsia="標楷體" w:hAnsi="標楷體" w:hint="eastAsia"/>
          <w:b/>
          <w:szCs w:val="22"/>
        </w:rPr>
        <w:t>無始生死已來</w:t>
      </w:r>
      <w:r w:rsidRPr="00043A1E">
        <w:rPr>
          <w:rFonts w:ascii="標楷體" w:eastAsia="標楷體" w:hAnsi="標楷體" w:hint="eastAsia"/>
          <w:szCs w:val="22"/>
        </w:rPr>
        <w:t>，無人能治此病者，常為外道惡師所誤。我今出世為大醫王，集諸法藥，汝等當服</w:t>
      </w:r>
      <w:r>
        <w:rPr>
          <w:rFonts w:ascii="標楷體" w:eastAsia="標楷體" w:hAnsi="標楷體" w:hint="eastAsia"/>
          <w:color w:val="FF0000"/>
          <w:kern w:val="0"/>
          <w:highlight w:val="yellow"/>
        </w:rPr>
        <w:t>。</w:t>
      </w:r>
      <w:r w:rsidRPr="00043A1E">
        <w:rPr>
          <w:rFonts w:ascii="標楷體" w:eastAsia="標楷體" w:hAnsi="標楷體" w:hint="eastAsia"/>
          <w:szCs w:val="22"/>
        </w:rPr>
        <w:t>是故佛說《摩訶般若波羅蜜經》。</w:t>
      </w:r>
    </w:p>
  </w:footnote>
  <w:footnote w:id="623">
    <w:p w:rsidR="007A6E3C" w:rsidRPr="00043A1E" w:rsidRDefault="007A6E3C" w:rsidP="007A6E3C">
      <w:pPr>
        <w:pStyle w:val="a5"/>
        <w:spacing w:line="300" w:lineRule="exact"/>
        <w:ind w:left="726" w:hangingChars="330" w:hanging="726"/>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）《佛說德護長者經》卷</w:t>
      </w:r>
      <w:r w:rsidRPr="00761EF3">
        <w:rPr>
          <w:rFonts w:hint="eastAsia"/>
          <w:szCs w:val="22"/>
        </w:rPr>
        <w:t>2</w:t>
      </w:r>
      <w:r w:rsidRPr="00043A1E">
        <w:rPr>
          <w:rFonts w:hint="eastAsia"/>
          <w:szCs w:val="22"/>
        </w:rPr>
        <w:t>（</w:t>
      </w:r>
      <w:r w:rsidRPr="00043A1E">
        <w:rPr>
          <w:szCs w:val="22"/>
        </w:rPr>
        <w:t>大正</w:t>
      </w:r>
      <w:r w:rsidRPr="00761EF3">
        <w:rPr>
          <w:rFonts w:hint="eastAsia"/>
          <w:szCs w:val="22"/>
        </w:rPr>
        <w:t>14</w:t>
      </w:r>
      <w:r w:rsidRPr="00043A1E">
        <w:rPr>
          <w:rFonts w:hint="eastAsia"/>
          <w:szCs w:val="22"/>
        </w:rPr>
        <w:t>，</w:t>
      </w:r>
      <w:r w:rsidRPr="00761EF3">
        <w:rPr>
          <w:rFonts w:hint="eastAsia"/>
          <w:szCs w:val="22"/>
        </w:rPr>
        <w:t>847b6</w:t>
      </w:r>
      <w:r w:rsidRPr="00043A1E">
        <w:rPr>
          <w:rFonts w:hint="eastAsia"/>
          <w:szCs w:val="22"/>
        </w:rPr>
        <w:t>-</w:t>
      </w:r>
      <w:r w:rsidRPr="00761EF3">
        <w:rPr>
          <w:rFonts w:hint="eastAsia"/>
          <w:szCs w:val="22"/>
        </w:rPr>
        <w:t>8</w:t>
      </w:r>
      <w:r w:rsidRPr="00043A1E">
        <w:rPr>
          <w:rFonts w:hint="eastAsia"/>
          <w:szCs w:val="22"/>
        </w:rPr>
        <w:t>）：</w:t>
      </w:r>
    </w:p>
    <w:p w:rsidR="007A6E3C" w:rsidRPr="00043A1E" w:rsidRDefault="007A6E3C" w:rsidP="007A6E3C">
      <w:pPr>
        <w:pStyle w:val="a5"/>
        <w:spacing w:line="300" w:lineRule="exact"/>
        <w:ind w:leftChars="305" w:left="732"/>
        <w:jc w:val="both"/>
        <w:rPr>
          <w:szCs w:val="22"/>
        </w:rPr>
      </w:pPr>
      <w:r w:rsidRPr="00043A1E">
        <w:rPr>
          <w:rFonts w:ascii="標楷體" w:eastAsia="標楷體" w:hAnsi="標楷體" w:hint="eastAsia"/>
          <w:szCs w:val="22"/>
        </w:rPr>
        <w:t>一切智善調，今</w:t>
      </w:r>
      <w:r w:rsidRPr="00043A1E">
        <w:rPr>
          <w:rFonts w:ascii="標楷體" w:eastAsia="標楷體" w:hAnsi="標楷體" w:hint="eastAsia"/>
          <w:b/>
          <w:szCs w:val="22"/>
        </w:rPr>
        <w:t>來王舍城</w:t>
      </w:r>
      <w:r w:rsidRPr="00043A1E">
        <w:rPr>
          <w:rFonts w:ascii="標楷體" w:eastAsia="標楷體" w:hAnsi="標楷體" w:hint="eastAsia"/>
          <w:szCs w:val="22"/>
        </w:rPr>
        <w:t>，不思議菩薩，俱到於彼岸。</w:t>
      </w:r>
    </w:p>
    <w:p w:rsidR="007A6E3C" w:rsidRPr="00043A1E" w:rsidRDefault="007A6E3C" w:rsidP="007A6E3C">
      <w:pPr>
        <w:pStyle w:val="a5"/>
        <w:spacing w:line="300" w:lineRule="exact"/>
        <w:ind w:leftChars="80" w:left="73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w:t>
      </w:r>
      <w:r w:rsidRPr="00043A1E">
        <w:rPr>
          <w:rFonts w:cs="Times Ext Roman" w:hint="eastAsia"/>
          <w:szCs w:val="22"/>
        </w:rPr>
        <w:t>四分</w:t>
      </w:r>
      <w:r w:rsidRPr="00043A1E">
        <w:rPr>
          <w:rFonts w:hint="eastAsia"/>
          <w:szCs w:val="22"/>
        </w:rPr>
        <w:t>律》卷</w:t>
      </w:r>
      <w:r w:rsidRPr="00761EF3">
        <w:rPr>
          <w:rFonts w:hint="eastAsia"/>
          <w:szCs w:val="22"/>
        </w:rPr>
        <w:t>50</w:t>
      </w:r>
      <w:r w:rsidRPr="00043A1E">
        <w:rPr>
          <w:rFonts w:hint="eastAsia"/>
          <w:szCs w:val="22"/>
        </w:rPr>
        <w:t>（</w:t>
      </w:r>
      <w:r w:rsidRPr="00043A1E">
        <w:rPr>
          <w:szCs w:val="22"/>
        </w:rPr>
        <w:t>大正</w:t>
      </w:r>
      <w:r w:rsidRPr="00761EF3">
        <w:rPr>
          <w:rFonts w:hint="eastAsia"/>
          <w:szCs w:val="22"/>
        </w:rPr>
        <w:t>22</w:t>
      </w:r>
      <w:r w:rsidRPr="00043A1E">
        <w:rPr>
          <w:rFonts w:hint="eastAsia"/>
          <w:szCs w:val="22"/>
        </w:rPr>
        <w:t>，</w:t>
      </w:r>
      <w:r w:rsidRPr="00761EF3">
        <w:rPr>
          <w:rFonts w:hint="eastAsia"/>
          <w:szCs w:val="22"/>
        </w:rPr>
        <w:t>936c24</w:t>
      </w:r>
      <w:r w:rsidRPr="00043A1E">
        <w:rPr>
          <w:rFonts w:hint="eastAsia"/>
          <w:szCs w:val="22"/>
        </w:rPr>
        <w:t>-</w:t>
      </w:r>
      <w:r w:rsidRPr="00761EF3">
        <w:rPr>
          <w:rFonts w:hint="eastAsia"/>
          <w:szCs w:val="22"/>
        </w:rPr>
        <w:t>25</w:t>
      </w:r>
      <w:r w:rsidRPr="00043A1E">
        <w:rPr>
          <w:rFonts w:hint="eastAsia"/>
          <w:szCs w:val="22"/>
        </w:rPr>
        <w:t>）：「</w:t>
      </w:r>
      <w:r w:rsidRPr="00043A1E">
        <w:rPr>
          <w:rFonts w:ascii="標楷體" w:eastAsia="標楷體" w:hAnsi="標楷體" w:hint="eastAsia"/>
          <w:szCs w:val="22"/>
        </w:rPr>
        <w:t>時諸比丘，清旦，從耆闍崛山</w:t>
      </w:r>
      <w:r w:rsidRPr="00043A1E">
        <w:rPr>
          <w:rFonts w:ascii="標楷體" w:eastAsia="標楷體" w:hAnsi="標楷體" w:hint="eastAsia"/>
          <w:b/>
          <w:szCs w:val="22"/>
        </w:rPr>
        <w:t>來王舍城</w:t>
      </w:r>
      <w:r w:rsidRPr="00043A1E">
        <w:rPr>
          <w:rFonts w:ascii="標楷體" w:eastAsia="標楷體" w:hAnsi="標楷體" w:hint="eastAsia"/>
          <w:szCs w:val="22"/>
        </w:rPr>
        <w:t>中。</w:t>
      </w:r>
      <w:r w:rsidRPr="00043A1E">
        <w:rPr>
          <w:rFonts w:hint="eastAsia"/>
          <w:szCs w:val="22"/>
        </w:rPr>
        <w:t>」</w:t>
      </w:r>
    </w:p>
  </w:footnote>
  <w:footnote w:id="624">
    <w:p w:rsidR="007A6E3C" w:rsidRPr="00043A1E" w:rsidRDefault="007A6E3C" w:rsidP="007A6E3C">
      <w:pPr>
        <w:pStyle w:val="a5"/>
        <w:spacing w:line="300" w:lineRule="exact"/>
        <w:ind w:left="726" w:hangingChars="330" w:hanging="726"/>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szCs w:val="22"/>
        </w:rPr>
        <w:t>《大智度論》卷</w:t>
      </w:r>
      <w:r w:rsidRPr="00761EF3">
        <w:rPr>
          <w:szCs w:val="22"/>
        </w:rPr>
        <w:t>15</w:t>
      </w:r>
      <w:r w:rsidR="005C0D01">
        <w:rPr>
          <w:rFonts w:hint="eastAsia"/>
          <w:color w:val="FF0000"/>
          <w:szCs w:val="22"/>
          <w:highlight w:val="yellow"/>
        </w:rPr>
        <w:t>釋〈</w:t>
      </w:r>
      <w:r w:rsidR="005C0D01">
        <w:rPr>
          <w:color w:val="FF0000"/>
          <w:szCs w:val="22"/>
          <w:highlight w:val="yellow"/>
        </w:rPr>
        <w:t xml:space="preserve">1 </w:t>
      </w:r>
      <w:r w:rsidR="005C0D01">
        <w:rPr>
          <w:rFonts w:hint="eastAsia"/>
          <w:color w:val="FF0000"/>
          <w:szCs w:val="22"/>
          <w:highlight w:val="yellow"/>
        </w:rPr>
        <w:t>序品〉</w:t>
      </w:r>
      <w:r w:rsidRPr="00043A1E">
        <w:rPr>
          <w:szCs w:val="22"/>
        </w:rPr>
        <w:t>（大正</w:t>
      </w:r>
      <w:r w:rsidRPr="00761EF3">
        <w:rPr>
          <w:szCs w:val="22"/>
        </w:rPr>
        <w:t>25</w:t>
      </w:r>
      <w:r w:rsidRPr="00043A1E">
        <w:rPr>
          <w:szCs w:val="22"/>
        </w:rPr>
        <w:t>，</w:t>
      </w:r>
      <w:r w:rsidRPr="00761EF3">
        <w:rPr>
          <w:szCs w:val="22"/>
        </w:rPr>
        <w:t>171b1</w:t>
      </w:r>
      <w:r w:rsidRPr="00043A1E">
        <w:rPr>
          <w:rFonts w:hint="eastAsia"/>
          <w:szCs w:val="22"/>
        </w:rPr>
        <w:t>-</w:t>
      </w:r>
      <w:r w:rsidRPr="00761EF3">
        <w:rPr>
          <w:szCs w:val="22"/>
        </w:rPr>
        <w:t>5</w:t>
      </w:r>
      <w:r w:rsidRPr="00043A1E">
        <w:rPr>
          <w:szCs w:val="22"/>
        </w:rPr>
        <w:t>）：</w:t>
      </w:r>
    </w:p>
    <w:p w:rsidR="007A6E3C" w:rsidRPr="00043A1E" w:rsidRDefault="007A6E3C" w:rsidP="007A6E3C">
      <w:pPr>
        <w:pStyle w:val="a5"/>
        <w:spacing w:line="300" w:lineRule="exact"/>
        <w:ind w:leftChars="305" w:left="732"/>
        <w:jc w:val="both"/>
        <w:rPr>
          <w:rFonts w:ascii="標楷體" w:eastAsia="標楷體" w:hAnsi="標楷體"/>
          <w:szCs w:val="22"/>
        </w:rPr>
      </w:pPr>
      <w:r w:rsidRPr="00043A1E">
        <w:rPr>
          <w:rFonts w:ascii="標楷體" w:eastAsia="標楷體" w:hAnsi="標楷體"/>
          <w:b/>
          <w:szCs w:val="22"/>
        </w:rPr>
        <w:t>行者觀心生滅如流水</w:t>
      </w:r>
      <w:r w:rsidRPr="00043A1E">
        <w:rPr>
          <w:rFonts w:ascii="標楷體" w:eastAsia="標楷體" w:hAnsi="標楷體" w:hint="eastAsia"/>
          <w:b/>
          <w:szCs w:val="22"/>
        </w:rPr>
        <w:t>、</w:t>
      </w:r>
      <w:r w:rsidRPr="00043A1E">
        <w:rPr>
          <w:rFonts w:ascii="標楷體" w:eastAsia="標楷體" w:hAnsi="標楷體"/>
          <w:b/>
          <w:szCs w:val="22"/>
        </w:rPr>
        <w:t>燈焰</w:t>
      </w:r>
      <w:r w:rsidRPr="00043A1E">
        <w:rPr>
          <w:rFonts w:ascii="標楷體" w:eastAsia="標楷體" w:hAnsi="標楷體"/>
          <w:szCs w:val="22"/>
        </w:rPr>
        <w:t>，此名入空智門。何以故？若</w:t>
      </w:r>
      <w:r>
        <w:rPr>
          <w:rFonts w:ascii="標楷體" w:eastAsia="標楷體" w:hAnsi="標楷體" w:hint="eastAsia"/>
          <w:bCs/>
          <w:color w:val="FF0000"/>
          <w:kern w:val="0"/>
          <w:highlight w:val="yellow"/>
        </w:rPr>
        <w:t>「</w:t>
      </w:r>
      <w:r w:rsidRPr="00043A1E">
        <w:rPr>
          <w:rFonts w:ascii="標楷體" w:eastAsia="標楷體" w:hAnsi="標楷體"/>
          <w:szCs w:val="22"/>
        </w:rPr>
        <w:t>一時生，餘時中滅</w:t>
      </w:r>
      <w:r>
        <w:rPr>
          <w:rFonts w:ascii="標楷體" w:eastAsia="標楷體" w:hAnsi="標楷體" w:hint="eastAsia"/>
          <w:bCs/>
          <w:color w:val="FF0000"/>
          <w:kern w:val="0"/>
          <w:highlight w:val="yellow"/>
        </w:rPr>
        <w:t>」</w:t>
      </w:r>
      <w:r w:rsidRPr="00043A1E">
        <w:rPr>
          <w:rFonts w:ascii="標楷體" w:eastAsia="標楷體" w:hAnsi="標楷體"/>
          <w:szCs w:val="22"/>
        </w:rPr>
        <w:t>者，此心應常。何以故？此極少時中無滅故</w:t>
      </w:r>
      <w:r>
        <w:rPr>
          <w:rFonts w:ascii="標楷體" w:eastAsia="標楷體" w:hAnsi="標楷體" w:hint="eastAsia"/>
          <w:color w:val="FF0000"/>
          <w:kern w:val="0"/>
          <w:highlight w:val="yellow"/>
        </w:rPr>
        <w:t>。</w:t>
      </w:r>
      <w:r w:rsidRPr="00043A1E">
        <w:rPr>
          <w:rFonts w:ascii="標楷體" w:eastAsia="標楷體" w:hAnsi="標楷體"/>
          <w:szCs w:val="22"/>
        </w:rPr>
        <w:t>若一時中無滅者，應終始無滅。</w:t>
      </w:r>
    </w:p>
    <w:p w:rsidR="007A6E3C" w:rsidRPr="00043A1E" w:rsidRDefault="007A6E3C" w:rsidP="007A6E3C">
      <w:pPr>
        <w:pStyle w:val="a5"/>
        <w:spacing w:line="300" w:lineRule="exact"/>
        <w:ind w:leftChars="80" w:left="73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w:t>
      </w:r>
      <w:r w:rsidRPr="00043A1E">
        <w:rPr>
          <w:szCs w:val="22"/>
        </w:rPr>
        <w:t>《大智度論》卷</w:t>
      </w:r>
      <w:r w:rsidRPr="00761EF3">
        <w:rPr>
          <w:szCs w:val="22"/>
        </w:rPr>
        <w:t>22</w:t>
      </w:r>
      <w:r w:rsidR="005C0D01">
        <w:rPr>
          <w:rFonts w:hint="eastAsia"/>
          <w:color w:val="FF0000"/>
          <w:szCs w:val="22"/>
          <w:highlight w:val="yellow"/>
        </w:rPr>
        <w:t>釋〈</w:t>
      </w:r>
      <w:r w:rsidR="005C0D01">
        <w:rPr>
          <w:color w:val="FF0000"/>
          <w:szCs w:val="22"/>
          <w:highlight w:val="yellow"/>
        </w:rPr>
        <w:t xml:space="preserve">1 </w:t>
      </w:r>
      <w:r w:rsidR="005C0D01">
        <w:rPr>
          <w:rFonts w:hint="eastAsia"/>
          <w:color w:val="FF0000"/>
          <w:szCs w:val="22"/>
          <w:highlight w:val="yellow"/>
        </w:rPr>
        <w:t>序品〉</w:t>
      </w:r>
      <w:r w:rsidRPr="00043A1E">
        <w:rPr>
          <w:szCs w:val="22"/>
        </w:rPr>
        <w:t>（大正</w:t>
      </w:r>
      <w:r w:rsidRPr="00761EF3">
        <w:rPr>
          <w:szCs w:val="22"/>
        </w:rPr>
        <w:t>25</w:t>
      </w:r>
      <w:r w:rsidRPr="00043A1E">
        <w:rPr>
          <w:szCs w:val="22"/>
        </w:rPr>
        <w:t>，</w:t>
      </w:r>
      <w:r w:rsidRPr="00761EF3">
        <w:rPr>
          <w:szCs w:val="22"/>
        </w:rPr>
        <w:t>222b</w:t>
      </w:r>
      <w:r w:rsidRPr="00761EF3">
        <w:rPr>
          <w:rFonts w:hint="eastAsia"/>
          <w:szCs w:val="22"/>
        </w:rPr>
        <w:t>1</w:t>
      </w:r>
      <w:r w:rsidRPr="00043A1E">
        <w:rPr>
          <w:rFonts w:hint="eastAsia"/>
          <w:szCs w:val="22"/>
        </w:rPr>
        <w:t>-</w:t>
      </w:r>
      <w:r w:rsidRPr="00761EF3">
        <w:rPr>
          <w:szCs w:val="22"/>
        </w:rPr>
        <w:t>6</w:t>
      </w:r>
      <w:r w:rsidRPr="00043A1E">
        <w:rPr>
          <w:szCs w:val="22"/>
        </w:rPr>
        <w:t>）：</w:t>
      </w:r>
    </w:p>
    <w:p w:rsidR="007A6E3C" w:rsidRPr="00043A1E" w:rsidRDefault="007A6E3C" w:rsidP="007A6E3C">
      <w:pPr>
        <w:pStyle w:val="a5"/>
        <w:spacing w:line="300" w:lineRule="exact"/>
        <w:ind w:leftChars="305" w:left="732"/>
        <w:jc w:val="both"/>
        <w:rPr>
          <w:rFonts w:ascii="標楷體" w:eastAsia="標楷體" w:hAnsi="標楷體"/>
          <w:szCs w:val="22"/>
        </w:rPr>
      </w:pPr>
      <w:r w:rsidRPr="00043A1E">
        <w:rPr>
          <w:rFonts w:ascii="標楷體" w:eastAsia="標楷體" w:hAnsi="標楷體"/>
          <w:szCs w:val="22"/>
        </w:rPr>
        <w:t>行者知三界皆是有為生</w:t>
      </w:r>
      <w:r w:rsidRPr="002E4C17">
        <w:rPr>
          <w:rFonts w:ascii="標楷體" w:eastAsia="標楷體" w:hAnsi="標楷體"/>
          <w:szCs w:val="22"/>
          <w:highlight w:val="yellow"/>
        </w:rPr>
        <w:t>滅作</w:t>
      </w:r>
      <w:r w:rsidRPr="00043A1E">
        <w:rPr>
          <w:rFonts w:ascii="標楷體" w:eastAsia="標楷體" w:hAnsi="標楷體"/>
          <w:szCs w:val="22"/>
        </w:rPr>
        <w:t>法</w:t>
      </w:r>
      <w:r w:rsidRPr="00043A1E">
        <w:rPr>
          <w:rFonts w:ascii="標楷體" w:eastAsia="標楷體" w:hAnsi="標楷體" w:hint="eastAsia"/>
          <w:szCs w:val="22"/>
        </w:rPr>
        <w:t>，</w:t>
      </w:r>
      <w:r w:rsidRPr="00043A1E">
        <w:rPr>
          <w:rFonts w:ascii="標楷體" w:eastAsia="標楷體" w:hAnsi="標楷體"/>
          <w:szCs w:val="22"/>
        </w:rPr>
        <w:t>先有今無，今有後無，念念生滅，相續相似生故，可得見知。</w:t>
      </w:r>
      <w:r w:rsidRPr="00043A1E">
        <w:rPr>
          <w:rFonts w:ascii="標楷體" w:eastAsia="標楷體" w:hAnsi="標楷體"/>
          <w:b/>
          <w:szCs w:val="22"/>
        </w:rPr>
        <w:t>如流水</w:t>
      </w:r>
      <w:r w:rsidRPr="00043A1E">
        <w:rPr>
          <w:rFonts w:ascii="標楷體" w:eastAsia="標楷體" w:hAnsi="標楷體" w:hint="eastAsia"/>
          <w:b/>
          <w:szCs w:val="22"/>
        </w:rPr>
        <w:t>、</w:t>
      </w:r>
      <w:r w:rsidRPr="00043A1E">
        <w:rPr>
          <w:rFonts w:ascii="標楷體" w:eastAsia="標楷體" w:hAnsi="標楷體"/>
          <w:b/>
          <w:szCs w:val="22"/>
        </w:rPr>
        <w:t>燈焰</w:t>
      </w:r>
      <w:r w:rsidRPr="00043A1E">
        <w:rPr>
          <w:rFonts w:ascii="標楷體" w:eastAsia="標楷體" w:hAnsi="標楷體" w:hint="eastAsia"/>
          <w:szCs w:val="22"/>
        </w:rPr>
        <w:t>、</w:t>
      </w:r>
      <w:r w:rsidRPr="00043A1E">
        <w:rPr>
          <w:rFonts w:ascii="標楷體" w:eastAsia="標楷體" w:hAnsi="標楷體"/>
          <w:szCs w:val="22"/>
        </w:rPr>
        <w:t>長風</w:t>
      </w:r>
      <w:r w:rsidRPr="00043A1E">
        <w:rPr>
          <w:rFonts w:ascii="標楷體" w:eastAsia="標楷體" w:hAnsi="標楷體" w:hint="eastAsia"/>
          <w:szCs w:val="22"/>
        </w:rPr>
        <w:t>，</w:t>
      </w:r>
      <w:r w:rsidRPr="00043A1E">
        <w:rPr>
          <w:rFonts w:ascii="標楷體" w:eastAsia="標楷體" w:hAnsi="標楷體"/>
          <w:szCs w:val="22"/>
        </w:rPr>
        <w:t>相似相續故，人以為一</w:t>
      </w:r>
      <w:r w:rsidRPr="00043A1E">
        <w:rPr>
          <w:rFonts w:ascii="標楷體" w:eastAsia="標楷體" w:hAnsi="標楷體" w:hint="eastAsia"/>
          <w:szCs w:val="22"/>
        </w:rPr>
        <w:t>。</w:t>
      </w:r>
      <w:r w:rsidRPr="00043A1E">
        <w:rPr>
          <w:rFonts w:ascii="標楷體" w:eastAsia="標楷體" w:hAnsi="標楷體"/>
          <w:szCs w:val="22"/>
        </w:rPr>
        <w:t>眾生於無常法中常顛倒故，謂去者是常住</w:t>
      </w:r>
      <w:r>
        <w:rPr>
          <w:rFonts w:ascii="標楷體" w:eastAsia="標楷體" w:hAnsi="標楷體" w:hint="eastAsia"/>
          <w:color w:val="FF0000"/>
          <w:kern w:val="0"/>
          <w:highlight w:val="yellow"/>
        </w:rPr>
        <w:t>。</w:t>
      </w:r>
      <w:r w:rsidRPr="00043A1E">
        <w:rPr>
          <w:rFonts w:ascii="標楷體" w:eastAsia="標楷體" w:hAnsi="標楷體"/>
          <w:szCs w:val="22"/>
        </w:rPr>
        <w:t>是名</w:t>
      </w:r>
      <w:r>
        <w:rPr>
          <w:rFonts w:ascii="標楷體" w:eastAsia="標楷體" w:hAnsi="標楷體" w:hint="eastAsia"/>
          <w:bCs/>
          <w:color w:val="FF0000"/>
          <w:kern w:val="0"/>
          <w:highlight w:val="yellow"/>
        </w:rPr>
        <w:t>「</w:t>
      </w:r>
      <w:r w:rsidRPr="00043A1E">
        <w:rPr>
          <w:rFonts w:ascii="標楷體" w:eastAsia="標楷體" w:hAnsi="標楷體"/>
          <w:szCs w:val="22"/>
        </w:rPr>
        <w:t>一切作法無常印</w:t>
      </w:r>
      <w:r>
        <w:rPr>
          <w:rFonts w:ascii="標楷體" w:eastAsia="標楷體" w:hAnsi="標楷體" w:hint="eastAsia"/>
          <w:bCs/>
          <w:color w:val="FF0000"/>
          <w:kern w:val="0"/>
          <w:highlight w:val="yellow"/>
        </w:rPr>
        <w:t>」</w:t>
      </w:r>
      <w:r w:rsidRPr="00043A1E">
        <w:rPr>
          <w:rFonts w:ascii="標楷體" w:eastAsia="標楷體" w:hAnsi="標楷體"/>
          <w:szCs w:val="22"/>
        </w:rPr>
        <w:t>。</w:t>
      </w:r>
    </w:p>
  </w:footnote>
  <w:footnote w:id="625">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rFonts w:hint="eastAsia"/>
          <w:szCs w:val="22"/>
        </w:rPr>
        <w:t>舉趾：</w:t>
      </w:r>
      <w:r w:rsidRPr="00761EF3">
        <w:rPr>
          <w:rFonts w:hint="eastAsia"/>
          <w:szCs w:val="22"/>
        </w:rPr>
        <w:t>1</w:t>
      </w:r>
      <w:r w:rsidRPr="00043A1E">
        <w:rPr>
          <w:rFonts w:hint="eastAsia"/>
          <w:szCs w:val="22"/>
        </w:rPr>
        <w:t>.</w:t>
      </w:r>
      <w:r w:rsidRPr="00043A1E">
        <w:rPr>
          <w:rFonts w:hint="eastAsia"/>
          <w:szCs w:val="22"/>
        </w:rPr>
        <w:t>舉足，抬腳。（《漢語大詞典》（八），</w:t>
      </w:r>
      <w:r w:rsidRPr="00761EF3">
        <w:rPr>
          <w:szCs w:val="22"/>
        </w:rPr>
        <w:t>p</w:t>
      </w:r>
      <w:r w:rsidRPr="00043A1E">
        <w:rPr>
          <w:szCs w:val="22"/>
        </w:rPr>
        <w:t>.</w:t>
      </w:r>
      <w:r w:rsidRPr="00761EF3">
        <w:rPr>
          <w:rFonts w:hint="eastAsia"/>
          <w:szCs w:val="22"/>
        </w:rPr>
        <w:t>1296</w:t>
      </w:r>
      <w:r w:rsidRPr="00043A1E">
        <w:rPr>
          <w:rFonts w:hint="eastAsia"/>
          <w:szCs w:val="22"/>
        </w:rPr>
        <w:t>）</w:t>
      </w:r>
    </w:p>
  </w:footnote>
  <w:footnote w:id="626">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rFonts w:hint="eastAsia"/>
          <w:szCs w:val="22"/>
        </w:rPr>
        <w:t>瞬目：</w:t>
      </w:r>
      <w:r w:rsidRPr="00761EF3">
        <w:rPr>
          <w:rFonts w:hint="eastAsia"/>
          <w:szCs w:val="22"/>
        </w:rPr>
        <w:t>1</w:t>
      </w:r>
      <w:r w:rsidRPr="00043A1E">
        <w:rPr>
          <w:rFonts w:hint="eastAsia"/>
          <w:szCs w:val="22"/>
        </w:rPr>
        <w:t>.</w:t>
      </w:r>
      <w:r w:rsidRPr="00043A1E">
        <w:rPr>
          <w:rFonts w:hint="eastAsia"/>
          <w:szCs w:val="22"/>
        </w:rPr>
        <w:t>眨眼。（《漢語大詞典》（七），</w:t>
      </w:r>
      <w:r w:rsidRPr="00761EF3">
        <w:rPr>
          <w:szCs w:val="22"/>
        </w:rPr>
        <w:t>p</w:t>
      </w:r>
      <w:r w:rsidRPr="00043A1E">
        <w:rPr>
          <w:szCs w:val="22"/>
        </w:rPr>
        <w:t>.</w:t>
      </w:r>
      <w:r w:rsidRPr="00761EF3">
        <w:rPr>
          <w:rFonts w:hint="eastAsia"/>
          <w:szCs w:val="22"/>
        </w:rPr>
        <w:t>1255</w:t>
      </w:r>
      <w:r w:rsidRPr="00043A1E">
        <w:rPr>
          <w:rFonts w:hint="eastAsia"/>
          <w:szCs w:val="22"/>
        </w:rPr>
        <w:t>）</w:t>
      </w:r>
    </w:p>
  </w:footnote>
  <w:footnote w:id="627">
    <w:p w:rsidR="00157EF6" w:rsidRPr="00043A1E" w:rsidRDefault="00157EF6" w:rsidP="00AA120F">
      <w:pPr>
        <w:pStyle w:val="a5"/>
        <w:spacing w:line="0" w:lineRule="atLeast"/>
        <w:ind w:left="726" w:hangingChars="330" w:hanging="726"/>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rFonts w:hint="eastAsia"/>
          <w:spacing w:val="4"/>
          <w:szCs w:val="22"/>
        </w:rPr>
        <w:t>阿毘達</w:t>
      </w:r>
      <w:r w:rsidRPr="00043A1E">
        <w:rPr>
          <w:rFonts w:hint="eastAsia"/>
          <w:szCs w:val="22"/>
        </w:rPr>
        <w:t>磨大毘婆沙論》卷</w:t>
      </w:r>
      <w:r w:rsidRPr="00761EF3">
        <w:rPr>
          <w:rFonts w:hint="eastAsia"/>
          <w:szCs w:val="22"/>
        </w:rPr>
        <w:t>122</w:t>
      </w:r>
      <w:r w:rsidRPr="00043A1E">
        <w:rPr>
          <w:rFonts w:hint="eastAsia"/>
          <w:szCs w:val="22"/>
        </w:rPr>
        <w:t>（大正</w:t>
      </w:r>
      <w:r w:rsidRPr="00761EF3">
        <w:rPr>
          <w:rFonts w:hint="eastAsia"/>
          <w:szCs w:val="22"/>
        </w:rPr>
        <w:t>27</w:t>
      </w:r>
      <w:r w:rsidRPr="00043A1E">
        <w:rPr>
          <w:rFonts w:hint="eastAsia"/>
          <w:szCs w:val="22"/>
        </w:rPr>
        <w:t>，</w:t>
      </w:r>
      <w:r w:rsidRPr="00761EF3">
        <w:rPr>
          <w:rFonts w:hint="eastAsia"/>
          <w:szCs w:val="22"/>
        </w:rPr>
        <w:t>635a11</w:t>
      </w:r>
      <w:r w:rsidRPr="00043A1E">
        <w:rPr>
          <w:rFonts w:hint="eastAsia"/>
          <w:szCs w:val="22"/>
        </w:rPr>
        <w:t>-</w:t>
      </w:r>
      <w:r w:rsidRPr="00761EF3">
        <w:rPr>
          <w:rFonts w:hint="eastAsia"/>
          <w:szCs w:val="22"/>
        </w:rPr>
        <w:t>1</w:t>
      </w:r>
      <w:r w:rsidR="003B4351">
        <w:rPr>
          <w:rFonts w:hint="eastAsia"/>
          <w:color w:val="FF0000"/>
          <w:szCs w:val="22"/>
          <w:highlight w:val="yellow"/>
        </w:rPr>
        <w:t>5</w:t>
      </w:r>
      <w:r w:rsidRPr="00043A1E">
        <w:rPr>
          <w:rFonts w:hint="eastAsia"/>
          <w:szCs w:val="22"/>
        </w:rPr>
        <w:t>）：</w:t>
      </w:r>
    </w:p>
    <w:p w:rsidR="00C1289A" w:rsidRDefault="00C1289A" w:rsidP="00AA120F">
      <w:pPr>
        <w:pStyle w:val="a5"/>
        <w:ind w:leftChars="305" w:left="732"/>
        <w:jc w:val="both"/>
        <w:rPr>
          <w:rFonts w:ascii="標楷體" w:eastAsia="標楷體" w:hAnsi="標楷體"/>
          <w:color w:val="FF0000"/>
          <w:szCs w:val="22"/>
        </w:rPr>
      </w:pPr>
      <w:r w:rsidRPr="003B4351">
        <w:rPr>
          <w:rFonts w:ascii="標楷體" w:eastAsia="標楷體" w:hAnsi="標楷體" w:hint="eastAsia"/>
          <w:color w:val="FF0000"/>
          <w:szCs w:val="22"/>
          <w:shd w:val="pct15" w:color="auto" w:fill="FFFFFF"/>
        </w:rPr>
        <w:t>……</w:t>
      </w:r>
      <w:r>
        <w:rPr>
          <w:rFonts w:ascii="標楷體" w:eastAsia="標楷體" w:hAnsi="標楷體" w:hint="eastAsia"/>
          <w:color w:val="FF0000"/>
          <w:szCs w:val="22"/>
          <w:highlight w:val="yellow"/>
        </w:rPr>
        <w:t>故</w:t>
      </w:r>
      <w:r w:rsidR="003B4351" w:rsidRPr="003B4351">
        <w:rPr>
          <w:rFonts w:ascii="標楷體" w:eastAsia="標楷體" w:hAnsi="標楷體" w:hint="eastAsia"/>
          <w:color w:val="FF0000"/>
          <w:szCs w:val="22"/>
          <w:highlight w:val="yellow"/>
        </w:rPr>
        <w:t>「</w:t>
      </w:r>
      <w:r w:rsidR="00157EF6" w:rsidRPr="00043A1E">
        <w:rPr>
          <w:rFonts w:ascii="標楷體" w:eastAsia="標楷體" w:hAnsi="標楷體" w:hint="eastAsia"/>
          <w:b/>
          <w:szCs w:val="22"/>
        </w:rPr>
        <w:t>表、</w:t>
      </w:r>
      <w:r w:rsidR="00157EF6" w:rsidRPr="00043A1E">
        <w:rPr>
          <w:rFonts w:ascii="標楷體" w:eastAsia="標楷體" w:hAnsi="標楷體" w:hint="eastAsia"/>
          <w:szCs w:val="22"/>
        </w:rPr>
        <w:t>無表</w:t>
      </w:r>
      <w:r w:rsidR="003B4351" w:rsidRPr="003B4351">
        <w:rPr>
          <w:rFonts w:ascii="標楷體" w:eastAsia="標楷體" w:hAnsi="標楷體" w:hint="eastAsia"/>
          <w:color w:val="FF0000"/>
          <w:szCs w:val="22"/>
          <w:highlight w:val="yellow"/>
        </w:rPr>
        <w:t>」</w:t>
      </w:r>
      <w:r w:rsidR="00157EF6" w:rsidRPr="00043A1E">
        <w:rPr>
          <w:rFonts w:ascii="標楷體" w:eastAsia="標楷體" w:hAnsi="標楷體" w:hint="eastAsia"/>
          <w:szCs w:val="22"/>
        </w:rPr>
        <w:t>決定實有</w:t>
      </w:r>
      <w:r>
        <w:rPr>
          <w:rFonts w:ascii="標楷體" w:eastAsia="標楷體" w:hAnsi="標楷體" w:hint="eastAsia"/>
          <w:color w:val="FF0000"/>
          <w:szCs w:val="22"/>
          <w:highlight w:val="yellow"/>
        </w:rPr>
        <w:t>。</w:t>
      </w:r>
    </w:p>
    <w:p w:rsidR="00C1289A" w:rsidRDefault="00157EF6" w:rsidP="00AA120F">
      <w:pPr>
        <w:pStyle w:val="a5"/>
        <w:ind w:leftChars="305" w:left="732"/>
        <w:jc w:val="both"/>
        <w:rPr>
          <w:rFonts w:ascii="標楷體" w:eastAsia="標楷體" w:hAnsi="標楷體"/>
          <w:color w:val="FF0000"/>
          <w:szCs w:val="22"/>
        </w:rPr>
      </w:pPr>
      <w:r w:rsidRPr="00C1289A">
        <w:rPr>
          <w:rFonts w:ascii="標楷體" w:eastAsia="標楷體" w:hAnsi="標楷體" w:hint="eastAsia"/>
          <w:szCs w:val="22"/>
          <w:highlight w:val="yellow"/>
        </w:rPr>
        <w:t>然</w:t>
      </w:r>
      <w:r w:rsidR="003B4351" w:rsidRPr="003B4351">
        <w:rPr>
          <w:rFonts w:ascii="標楷體" w:eastAsia="標楷體" w:hAnsi="標楷體" w:hint="eastAsia"/>
          <w:color w:val="FF0000"/>
          <w:szCs w:val="22"/>
          <w:highlight w:val="yellow"/>
        </w:rPr>
        <w:t>「</w:t>
      </w:r>
      <w:r w:rsidRPr="00043A1E">
        <w:rPr>
          <w:rFonts w:ascii="標楷體" w:eastAsia="標楷體" w:hAnsi="標楷體" w:hint="eastAsia"/>
          <w:szCs w:val="22"/>
        </w:rPr>
        <w:t>表、無表</w:t>
      </w:r>
      <w:r w:rsidR="003B4351">
        <w:rPr>
          <w:rFonts w:ascii="標楷體" w:eastAsia="標楷體" w:hAnsi="標楷體" w:hint="eastAsia"/>
          <w:color w:val="FF0000"/>
          <w:szCs w:val="22"/>
          <w:highlight w:val="yellow"/>
        </w:rPr>
        <w:t>」</w:t>
      </w:r>
      <w:r w:rsidRPr="00043A1E">
        <w:rPr>
          <w:rFonts w:ascii="標楷體" w:eastAsia="標楷體" w:hAnsi="標楷體" w:hint="eastAsia"/>
          <w:szCs w:val="22"/>
        </w:rPr>
        <w:t>依</w:t>
      </w:r>
      <w:r w:rsidR="003B4351" w:rsidRPr="003B4351">
        <w:rPr>
          <w:rFonts w:ascii="標楷體" w:eastAsia="標楷體" w:hAnsi="標楷體" w:hint="eastAsia"/>
          <w:color w:val="FF0000"/>
          <w:szCs w:val="22"/>
          <w:highlight w:val="yellow"/>
        </w:rPr>
        <w:t>「</w:t>
      </w:r>
      <w:r w:rsidRPr="00043A1E">
        <w:rPr>
          <w:rFonts w:ascii="標楷體" w:eastAsia="標楷體" w:hAnsi="標楷體" w:hint="eastAsia"/>
          <w:szCs w:val="22"/>
        </w:rPr>
        <w:t>身</w:t>
      </w:r>
      <w:r w:rsidR="00C1289A">
        <w:rPr>
          <w:rFonts w:ascii="標楷體" w:eastAsia="標楷體" w:hAnsi="標楷體" w:hint="eastAsia"/>
          <w:color w:val="FF0000"/>
          <w:szCs w:val="22"/>
          <w:highlight w:val="yellow"/>
        </w:rPr>
        <w:t>」</w:t>
      </w:r>
      <w:r w:rsidRPr="00043A1E">
        <w:rPr>
          <w:rFonts w:ascii="標楷體" w:eastAsia="標楷體" w:hAnsi="標楷體" w:hint="eastAsia"/>
          <w:szCs w:val="22"/>
        </w:rPr>
        <w:t>而起</w:t>
      </w:r>
      <w:r w:rsidR="003B4351">
        <w:rPr>
          <w:rFonts w:ascii="標楷體" w:eastAsia="標楷體" w:hAnsi="標楷體" w:hint="eastAsia"/>
          <w:color w:val="FF0000"/>
          <w:szCs w:val="22"/>
          <w:highlight w:val="yellow"/>
        </w:rPr>
        <w:t>──</w:t>
      </w:r>
      <w:r w:rsidRPr="00043A1E">
        <w:rPr>
          <w:rFonts w:ascii="標楷體" w:eastAsia="標楷體" w:hAnsi="標楷體" w:hint="eastAsia"/>
          <w:szCs w:val="22"/>
        </w:rPr>
        <w:t>有依一分，如彈指、舉足</w:t>
      </w:r>
      <w:r w:rsidRPr="003B4351">
        <w:rPr>
          <w:rFonts w:ascii="標楷體" w:eastAsia="標楷體" w:hAnsi="標楷體" w:hint="eastAsia"/>
          <w:szCs w:val="22"/>
          <w:highlight w:val="yellow"/>
        </w:rPr>
        <w:t>等一</w:t>
      </w:r>
      <w:r w:rsidRPr="00043A1E">
        <w:rPr>
          <w:rFonts w:ascii="標楷體" w:eastAsia="標楷體" w:hAnsi="標楷體" w:hint="eastAsia"/>
          <w:szCs w:val="22"/>
        </w:rPr>
        <w:t>分動轉作善惡業；有依具分，如禮佛、逐怨</w:t>
      </w:r>
      <w:r w:rsidRPr="003B4351">
        <w:rPr>
          <w:rFonts w:ascii="標楷體" w:eastAsia="標楷體" w:hAnsi="標楷體" w:hint="eastAsia"/>
          <w:szCs w:val="22"/>
          <w:highlight w:val="yellow"/>
        </w:rPr>
        <w:t>等舉</w:t>
      </w:r>
      <w:r w:rsidRPr="00043A1E">
        <w:rPr>
          <w:rFonts w:ascii="標楷體" w:eastAsia="標楷體" w:hAnsi="標楷體" w:hint="eastAsia"/>
          <w:szCs w:val="22"/>
        </w:rPr>
        <w:t>身運動作善惡業</w:t>
      </w:r>
      <w:r w:rsidR="003B4351">
        <w:rPr>
          <w:rFonts w:ascii="標楷體" w:eastAsia="標楷體" w:hAnsi="標楷體" w:hint="eastAsia"/>
          <w:color w:val="FF0000"/>
          <w:szCs w:val="22"/>
          <w:highlight w:val="yellow"/>
        </w:rPr>
        <w:t>。</w:t>
      </w:r>
    </w:p>
    <w:p w:rsidR="00157EF6" w:rsidRPr="00043A1E" w:rsidRDefault="00157EF6" w:rsidP="00AA120F">
      <w:pPr>
        <w:pStyle w:val="a5"/>
        <w:ind w:leftChars="305" w:left="732"/>
        <w:jc w:val="both"/>
        <w:rPr>
          <w:rFonts w:ascii="標楷體" w:eastAsia="標楷體" w:hAnsi="標楷體"/>
          <w:szCs w:val="22"/>
        </w:rPr>
      </w:pPr>
      <w:r w:rsidRPr="00C1289A">
        <w:rPr>
          <w:rFonts w:ascii="標楷體" w:eastAsia="標楷體" w:hAnsi="標楷體" w:hint="eastAsia"/>
          <w:szCs w:val="22"/>
          <w:highlight w:val="yellow"/>
        </w:rPr>
        <w:t>此</w:t>
      </w:r>
      <w:r w:rsidRPr="00043A1E">
        <w:rPr>
          <w:rFonts w:ascii="標楷體" w:eastAsia="標楷體" w:hAnsi="標楷體" w:hint="eastAsia"/>
          <w:szCs w:val="22"/>
        </w:rPr>
        <w:t>中</w:t>
      </w:r>
      <w:r w:rsidR="003B4351" w:rsidRPr="003B4351">
        <w:rPr>
          <w:rFonts w:ascii="標楷體" w:eastAsia="標楷體" w:hAnsi="標楷體" w:hint="eastAsia"/>
          <w:color w:val="FF0000"/>
          <w:szCs w:val="22"/>
          <w:highlight w:val="yellow"/>
        </w:rPr>
        <w:t>，</w:t>
      </w:r>
      <w:r w:rsidRPr="00043A1E">
        <w:rPr>
          <w:rFonts w:ascii="標楷體" w:eastAsia="標楷體" w:hAnsi="標楷體" w:hint="eastAsia"/>
          <w:szCs w:val="22"/>
        </w:rPr>
        <w:t>隨所依身</w:t>
      </w:r>
      <w:r w:rsidR="003B4351" w:rsidRPr="003B4351">
        <w:rPr>
          <w:rFonts w:ascii="標楷體" w:eastAsia="標楷體" w:hAnsi="標楷體" w:hint="eastAsia"/>
          <w:color w:val="FF0000"/>
          <w:szCs w:val="22"/>
          <w:highlight w:val="yellow"/>
        </w:rPr>
        <w:t>極微數量，「表業」亦爾；如「表」數量，「無表」亦爾。</w:t>
      </w:r>
    </w:p>
    <w:p w:rsidR="00157EF6" w:rsidRPr="00043A1E" w:rsidRDefault="00157EF6" w:rsidP="00AA120F">
      <w:pPr>
        <w:pStyle w:val="a5"/>
        <w:ind w:leftChars="80" w:left="73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w:t>
      </w:r>
      <w:r w:rsidRPr="00043A1E">
        <w:rPr>
          <w:rFonts w:cs="Times Ext Roman" w:hint="eastAsia"/>
          <w:szCs w:val="22"/>
        </w:rPr>
        <w:t>瑜伽</w:t>
      </w:r>
      <w:r w:rsidRPr="00043A1E">
        <w:rPr>
          <w:rFonts w:hint="eastAsia"/>
          <w:szCs w:val="22"/>
        </w:rPr>
        <w:t>師地論》卷</w:t>
      </w:r>
      <w:r w:rsidRPr="00761EF3">
        <w:rPr>
          <w:rFonts w:hint="eastAsia"/>
          <w:szCs w:val="22"/>
        </w:rPr>
        <w:t>1</w:t>
      </w:r>
      <w:r w:rsidRPr="00043A1E">
        <w:rPr>
          <w:rFonts w:hint="eastAsia"/>
          <w:szCs w:val="22"/>
        </w:rPr>
        <w:t>（大正</w:t>
      </w:r>
      <w:r w:rsidRPr="00761EF3">
        <w:rPr>
          <w:rFonts w:hint="eastAsia"/>
          <w:szCs w:val="22"/>
        </w:rPr>
        <w:t>30</w:t>
      </w:r>
      <w:r w:rsidRPr="00043A1E">
        <w:rPr>
          <w:rFonts w:hint="eastAsia"/>
          <w:szCs w:val="22"/>
        </w:rPr>
        <w:t>，</w:t>
      </w:r>
      <w:r w:rsidRPr="00761EF3">
        <w:rPr>
          <w:rFonts w:hint="eastAsia"/>
          <w:szCs w:val="22"/>
        </w:rPr>
        <w:t>279b7</w:t>
      </w:r>
      <w:r w:rsidRPr="00043A1E">
        <w:rPr>
          <w:rFonts w:hint="eastAsia"/>
          <w:szCs w:val="22"/>
        </w:rPr>
        <w:t>-</w:t>
      </w:r>
      <w:r w:rsidRPr="00761EF3">
        <w:rPr>
          <w:rFonts w:hint="eastAsia"/>
          <w:szCs w:val="22"/>
        </w:rPr>
        <w:t>8</w:t>
      </w:r>
      <w:r w:rsidRPr="00043A1E">
        <w:rPr>
          <w:rFonts w:hint="eastAsia"/>
          <w:szCs w:val="22"/>
        </w:rPr>
        <w:t>）：</w:t>
      </w:r>
    </w:p>
    <w:p w:rsidR="00157EF6" w:rsidRPr="00043A1E" w:rsidRDefault="002E4C17" w:rsidP="00AA120F">
      <w:pPr>
        <w:pStyle w:val="a5"/>
        <w:ind w:leftChars="305" w:left="732"/>
        <w:jc w:val="both"/>
        <w:rPr>
          <w:szCs w:val="22"/>
        </w:rPr>
      </w:pPr>
      <w:r>
        <w:rPr>
          <w:rFonts w:ascii="標楷體" w:eastAsia="標楷體" w:hAnsi="標楷體" w:hint="eastAsia"/>
          <w:bCs/>
          <w:color w:val="FF0000"/>
          <w:kern w:val="0"/>
          <w:highlight w:val="yellow"/>
        </w:rPr>
        <w:t>「</w:t>
      </w:r>
      <w:r w:rsidR="00157EF6" w:rsidRPr="00043A1E">
        <w:rPr>
          <w:rFonts w:ascii="標楷體" w:eastAsia="標楷體" w:hAnsi="標楷體" w:hint="eastAsia"/>
          <w:b/>
          <w:szCs w:val="22"/>
        </w:rPr>
        <w:t>表色</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者，謂取、捨、屈、伸，行、住、坐、臥，如是等色。</w:t>
      </w:r>
    </w:p>
  </w:footnote>
  <w:footnote w:id="628">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）《大乘成業論</w:t>
      </w:r>
      <w:r w:rsidRPr="00C41F21">
        <w:rPr>
          <w:rFonts w:hint="eastAsia"/>
          <w:szCs w:val="22"/>
          <w:highlight w:val="yellow"/>
        </w:rPr>
        <w:t>》（</w:t>
      </w:r>
      <w:r w:rsidRPr="00043A1E">
        <w:rPr>
          <w:rFonts w:hint="eastAsia"/>
          <w:szCs w:val="22"/>
        </w:rPr>
        <w:t>大正</w:t>
      </w:r>
      <w:r w:rsidRPr="00761EF3">
        <w:rPr>
          <w:rFonts w:hint="eastAsia"/>
          <w:szCs w:val="22"/>
        </w:rPr>
        <w:t>31</w:t>
      </w:r>
      <w:r w:rsidRPr="00043A1E">
        <w:rPr>
          <w:rFonts w:hint="eastAsia"/>
          <w:szCs w:val="22"/>
        </w:rPr>
        <w:t>，</w:t>
      </w:r>
      <w:r w:rsidRPr="00761EF3">
        <w:rPr>
          <w:rFonts w:hint="eastAsia"/>
          <w:szCs w:val="22"/>
        </w:rPr>
        <w:t>781c15</w:t>
      </w:r>
      <w:r w:rsidRPr="00043A1E">
        <w:rPr>
          <w:rFonts w:hint="eastAsia"/>
          <w:szCs w:val="22"/>
        </w:rPr>
        <w:t>-</w:t>
      </w:r>
      <w:r w:rsidRPr="00761EF3">
        <w:rPr>
          <w:rFonts w:hint="eastAsia"/>
          <w:szCs w:val="22"/>
        </w:rPr>
        <w:t>19</w:t>
      </w:r>
      <w:r w:rsidRPr="00043A1E">
        <w:rPr>
          <w:rFonts w:hint="eastAsia"/>
          <w:szCs w:val="22"/>
        </w:rPr>
        <w:t>）：</w:t>
      </w:r>
    </w:p>
    <w:p w:rsidR="00157EF6" w:rsidRPr="00043A1E" w:rsidRDefault="003B4351" w:rsidP="00AA120F">
      <w:pPr>
        <w:pStyle w:val="a5"/>
        <w:ind w:leftChars="335" w:left="804"/>
        <w:jc w:val="both"/>
        <w:rPr>
          <w:rFonts w:ascii="標楷體" w:eastAsia="標楷體" w:hAnsi="標楷體"/>
          <w:szCs w:val="22"/>
        </w:rPr>
      </w:pPr>
      <w:r>
        <w:rPr>
          <w:rFonts w:ascii="標楷體" w:eastAsia="標楷體" w:hAnsi="標楷體" w:hint="eastAsia"/>
          <w:color w:val="FF0000"/>
          <w:szCs w:val="22"/>
          <w:highlight w:val="yellow"/>
        </w:rPr>
        <w:t>「</w:t>
      </w:r>
      <w:r w:rsidR="00157EF6" w:rsidRPr="00043A1E">
        <w:rPr>
          <w:rFonts w:ascii="標楷體" w:eastAsia="標楷體" w:hAnsi="標楷體" w:hint="eastAsia"/>
          <w:b/>
          <w:szCs w:val="22"/>
        </w:rPr>
        <w:t>身表</w:t>
      </w:r>
      <w:r>
        <w:rPr>
          <w:rFonts w:ascii="標楷體" w:eastAsia="標楷體" w:hAnsi="標楷體" w:hint="eastAsia"/>
          <w:color w:val="FF0000"/>
          <w:szCs w:val="22"/>
          <w:highlight w:val="yellow"/>
        </w:rPr>
        <w:t>」</w:t>
      </w:r>
      <w:r w:rsidRPr="003B4351">
        <w:rPr>
          <w:rFonts w:ascii="標楷體" w:eastAsia="標楷體" w:hAnsi="標楷體" w:hint="eastAsia"/>
          <w:b/>
          <w:color w:val="FF0000"/>
          <w:szCs w:val="22"/>
          <w:highlight w:val="yellow"/>
        </w:rPr>
        <w:t>，</w:t>
      </w:r>
      <w:r>
        <w:rPr>
          <w:rFonts w:ascii="標楷體" w:eastAsia="標楷體" w:hAnsi="標楷體" w:hint="eastAsia"/>
          <w:color w:val="FF0000"/>
          <w:szCs w:val="22"/>
          <w:highlight w:val="yellow"/>
        </w:rPr>
        <w:t>「</w:t>
      </w:r>
      <w:r w:rsidR="00157EF6" w:rsidRPr="00043A1E">
        <w:rPr>
          <w:rFonts w:ascii="標楷體" w:eastAsia="標楷體" w:hAnsi="標楷體" w:hint="eastAsia"/>
          <w:b/>
          <w:szCs w:val="22"/>
        </w:rPr>
        <w:t>行動</w:t>
      </w:r>
      <w:r>
        <w:rPr>
          <w:rFonts w:ascii="標楷體" w:eastAsia="標楷體" w:hAnsi="標楷體" w:hint="eastAsia"/>
          <w:color w:val="FF0000"/>
          <w:szCs w:val="22"/>
          <w:highlight w:val="yellow"/>
        </w:rPr>
        <w:t>」</w:t>
      </w:r>
      <w:r w:rsidR="00157EF6" w:rsidRPr="00043A1E">
        <w:rPr>
          <w:rFonts w:ascii="標楷體" w:eastAsia="標楷體" w:hAnsi="標楷體" w:hint="eastAsia"/>
          <w:b/>
          <w:szCs w:val="22"/>
        </w:rPr>
        <w:t>為性</w:t>
      </w:r>
      <w:r w:rsidR="00157EF6" w:rsidRPr="00043A1E">
        <w:rPr>
          <w:rFonts w:ascii="標楷體" w:eastAsia="標楷體" w:hAnsi="標楷體" w:hint="eastAsia"/>
          <w:szCs w:val="22"/>
        </w:rPr>
        <w:t>。</w:t>
      </w:r>
      <w:r w:rsidR="00157EF6" w:rsidRPr="003B4351">
        <w:rPr>
          <w:rFonts w:ascii="標楷體" w:eastAsia="標楷體" w:hAnsi="標楷體" w:hint="eastAsia"/>
          <w:color w:val="FF0000"/>
          <w:szCs w:val="22"/>
          <w:shd w:val="pct15" w:color="auto" w:fill="FFFFFF"/>
        </w:rPr>
        <w:t>……</w:t>
      </w:r>
      <w:r w:rsidR="00157EF6" w:rsidRPr="00043A1E">
        <w:rPr>
          <w:rFonts w:ascii="標楷體" w:eastAsia="標楷體" w:hAnsi="標楷體" w:hint="eastAsia"/>
          <w:szCs w:val="22"/>
        </w:rPr>
        <w:t>云何名</w:t>
      </w:r>
      <w:r>
        <w:rPr>
          <w:rFonts w:ascii="標楷體" w:eastAsia="標楷體" w:hAnsi="標楷體" w:hint="eastAsia"/>
          <w:color w:val="FF0000"/>
          <w:szCs w:val="22"/>
          <w:highlight w:val="yellow"/>
        </w:rPr>
        <w:t>「</w:t>
      </w:r>
      <w:r w:rsidR="00157EF6" w:rsidRPr="00043A1E">
        <w:rPr>
          <w:rFonts w:ascii="標楷體" w:eastAsia="標楷體" w:hAnsi="標楷體" w:hint="eastAsia"/>
          <w:szCs w:val="22"/>
        </w:rPr>
        <w:t>行動</w:t>
      </w:r>
      <w:r>
        <w:rPr>
          <w:rFonts w:ascii="標楷體" w:eastAsia="標楷體" w:hAnsi="標楷體" w:hint="eastAsia"/>
          <w:color w:val="FF0000"/>
          <w:szCs w:val="22"/>
          <w:highlight w:val="yellow"/>
        </w:rPr>
        <w:t>」</w:t>
      </w:r>
      <w:r w:rsidR="00157EF6" w:rsidRPr="00043A1E">
        <w:rPr>
          <w:rFonts w:ascii="標楷體" w:eastAsia="標楷體" w:hAnsi="標楷體" w:hint="eastAsia"/>
          <w:szCs w:val="22"/>
        </w:rPr>
        <w:t>？謂轉至餘方</w:t>
      </w:r>
      <w:r>
        <w:rPr>
          <w:rFonts w:ascii="標楷體" w:eastAsia="標楷體" w:hAnsi="標楷體" w:hint="eastAsia"/>
          <w:color w:val="FF0000"/>
          <w:szCs w:val="22"/>
          <w:highlight w:val="yellow"/>
        </w:rPr>
        <w:t>。</w:t>
      </w:r>
      <w:r w:rsidR="00157EF6" w:rsidRPr="00043A1E">
        <w:rPr>
          <w:rFonts w:ascii="標楷體" w:eastAsia="標楷體" w:hAnsi="標楷體" w:hint="eastAsia"/>
          <w:szCs w:val="22"/>
        </w:rPr>
        <w:t>此攝在何處？謂</w:t>
      </w:r>
      <w:r>
        <w:rPr>
          <w:rFonts w:ascii="標楷體" w:eastAsia="標楷體" w:hAnsi="標楷體" w:hint="eastAsia"/>
          <w:color w:val="FF0000"/>
          <w:szCs w:val="22"/>
          <w:highlight w:val="yellow"/>
        </w:rPr>
        <w:t>「</w:t>
      </w:r>
      <w:r w:rsidR="00157EF6" w:rsidRPr="00043A1E">
        <w:rPr>
          <w:rFonts w:ascii="標楷體" w:eastAsia="標楷體" w:hAnsi="標楷體" w:hint="eastAsia"/>
          <w:szCs w:val="22"/>
        </w:rPr>
        <w:t>色處</w:t>
      </w:r>
      <w:r>
        <w:rPr>
          <w:rFonts w:ascii="標楷體" w:eastAsia="標楷體" w:hAnsi="標楷體" w:hint="eastAsia"/>
          <w:color w:val="FF0000"/>
          <w:szCs w:val="22"/>
          <w:highlight w:val="yellow"/>
        </w:rPr>
        <w:t>」</w:t>
      </w:r>
      <w:r w:rsidR="00157EF6" w:rsidRPr="00043A1E">
        <w:rPr>
          <w:rFonts w:ascii="標楷體" w:eastAsia="標楷體" w:hAnsi="標楷體" w:hint="eastAsia"/>
          <w:szCs w:val="22"/>
        </w:rPr>
        <w:t>所攝。</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）印順法師，《印度佛教思想史》，</w:t>
      </w:r>
      <w:r w:rsidRPr="00761EF3">
        <w:rPr>
          <w:rFonts w:hint="eastAsia"/>
          <w:szCs w:val="22"/>
        </w:rPr>
        <w:t>p</w:t>
      </w:r>
      <w:r w:rsidRPr="00043A1E">
        <w:rPr>
          <w:rFonts w:hint="eastAsia"/>
          <w:szCs w:val="22"/>
        </w:rPr>
        <w:t>.</w:t>
      </w:r>
      <w:r w:rsidRPr="00761EF3">
        <w:rPr>
          <w:rFonts w:hint="eastAsia"/>
          <w:szCs w:val="22"/>
        </w:rPr>
        <w:t>214</w:t>
      </w:r>
      <w:r w:rsidRPr="00043A1E">
        <w:rPr>
          <w:rFonts w:hint="eastAsia"/>
          <w:szCs w:val="22"/>
        </w:rPr>
        <w:t>：</w:t>
      </w:r>
    </w:p>
    <w:p w:rsidR="00157EF6" w:rsidRPr="00043A1E" w:rsidRDefault="00157EF6" w:rsidP="00AA120F">
      <w:pPr>
        <w:pStyle w:val="a5"/>
        <w:ind w:leftChars="335" w:left="804"/>
        <w:jc w:val="both"/>
        <w:rPr>
          <w:szCs w:val="22"/>
        </w:rPr>
      </w:pPr>
      <w:r w:rsidRPr="00043A1E">
        <w:rPr>
          <w:rFonts w:ascii="標楷體" w:eastAsia="標楷體" w:hAnsi="標楷體" w:hint="eastAsia"/>
          <w:szCs w:val="22"/>
        </w:rPr>
        <w:t>正量部就說：「身表</w:t>
      </w:r>
      <w:r w:rsidRPr="002E4C17">
        <w:rPr>
          <w:rFonts w:ascii="新細明體" w:hAnsi="新細明體" w:hint="eastAsia"/>
          <w:szCs w:val="22"/>
        </w:rPr>
        <w:t>（以）</w:t>
      </w:r>
      <w:r w:rsidRPr="00043A1E">
        <w:rPr>
          <w:rFonts w:ascii="標楷體" w:eastAsia="標楷體" w:hAnsi="標楷體" w:hint="eastAsia"/>
          <w:szCs w:val="22"/>
        </w:rPr>
        <w:t>行動為性。……云何名行動？謂轉至餘方，……色處所攝。」身表業，如從此到彼；身體的行為，在動作過程中，動是暫住的，所以能從此到彼。</w:t>
      </w:r>
    </w:p>
  </w:footnote>
  <w:footnote w:id="629">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《成唯識論》卷</w:t>
      </w:r>
      <w:r w:rsidRPr="00761EF3">
        <w:rPr>
          <w:szCs w:val="22"/>
        </w:rPr>
        <w:t>1</w:t>
      </w:r>
      <w:r w:rsidRPr="00043A1E">
        <w:rPr>
          <w:szCs w:val="22"/>
        </w:rPr>
        <w:t>（大正</w:t>
      </w:r>
      <w:r w:rsidRPr="00761EF3">
        <w:rPr>
          <w:szCs w:val="22"/>
        </w:rPr>
        <w:t>31</w:t>
      </w:r>
      <w:r w:rsidRPr="00043A1E">
        <w:rPr>
          <w:szCs w:val="22"/>
        </w:rPr>
        <w:t>，</w:t>
      </w:r>
      <w:r w:rsidRPr="00761EF3">
        <w:rPr>
          <w:szCs w:val="22"/>
        </w:rPr>
        <w:t>4c8</w:t>
      </w:r>
      <w:r w:rsidRPr="00043A1E">
        <w:rPr>
          <w:rFonts w:hint="eastAsia"/>
          <w:szCs w:val="22"/>
        </w:rPr>
        <w:t>-</w:t>
      </w:r>
      <w:r w:rsidRPr="00761EF3">
        <w:rPr>
          <w:szCs w:val="22"/>
        </w:rPr>
        <w:t>13</w:t>
      </w:r>
      <w:r w:rsidRPr="00043A1E">
        <w:rPr>
          <w:szCs w:val="22"/>
        </w:rPr>
        <w:t>）：</w:t>
      </w:r>
    </w:p>
    <w:p w:rsidR="00157EF6" w:rsidRPr="00043A1E" w:rsidRDefault="00C1289A" w:rsidP="00AA120F">
      <w:pPr>
        <w:pStyle w:val="a5"/>
        <w:ind w:leftChars="105" w:left="252"/>
        <w:jc w:val="both"/>
        <w:rPr>
          <w:rFonts w:ascii="標楷體" w:eastAsia="標楷體" w:hAnsi="標楷體"/>
          <w:szCs w:val="22"/>
        </w:rPr>
      </w:pPr>
      <w:r>
        <w:rPr>
          <w:rFonts w:ascii="標楷體" w:eastAsia="標楷體" w:hAnsi="標楷體" w:hint="eastAsia"/>
          <w:color w:val="FF0000"/>
          <w:szCs w:val="22"/>
          <w:highlight w:val="yellow"/>
        </w:rPr>
        <w:t>「『</w:t>
      </w:r>
      <w:r w:rsidR="00157EF6" w:rsidRPr="00043A1E">
        <w:rPr>
          <w:rFonts w:ascii="標楷體" w:eastAsia="標楷體" w:hAnsi="標楷體"/>
          <w:szCs w:val="22"/>
        </w:rPr>
        <w:t>表</w:t>
      </w:r>
      <w:r w:rsidR="00157EF6" w:rsidRPr="00043A1E">
        <w:rPr>
          <w:rFonts w:ascii="標楷體" w:eastAsia="標楷體" w:hAnsi="標楷體" w:hint="eastAsia"/>
          <w:szCs w:val="22"/>
        </w:rPr>
        <w:t>、</w:t>
      </w:r>
      <w:r w:rsidR="00157EF6" w:rsidRPr="00043A1E">
        <w:rPr>
          <w:rFonts w:ascii="標楷體" w:eastAsia="標楷體" w:hAnsi="標楷體"/>
          <w:szCs w:val="22"/>
        </w:rPr>
        <w:t>無表</w:t>
      </w:r>
      <w:r w:rsidRPr="00C1289A">
        <w:rPr>
          <w:rFonts w:ascii="標楷體" w:eastAsia="標楷體" w:hAnsi="標楷體" w:hint="eastAsia"/>
          <w:color w:val="FF0000"/>
          <w:szCs w:val="22"/>
          <w:highlight w:val="yellow"/>
        </w:rPr>
        <w:t>』</w:t>
      </w:r>
      <w:r w:rsidR="00157EF6" w:rsidRPr="00043A1E">
        <w:rPr>
          <w:rFonts w:ascii="標楷體" w:eastAsia="標楷體" w:hAnsi="標楷體"/>
          <w:szCs w:val="22"/>
        </w:rPr>
        <w:t>色</w:t>
      </w:r>
      <w:r>
        <w:rPr>
          <w:rFonts w:ascii="標楷體" w:eastAsia="標楷體" w:hAnsi="標楷體" w:hint="eastAsia"/>
          <w:color w:val="FF0000"/>
          <w:szCs w:val="22"/>
          <w:highlight w:val="yellow"/>
        </w:rPr>
        <w:t>」</w:t>
      </w:r>
      <w:r w:rsidRPr="00C1289A">
        <w:rPr>
          <w:rFonts w:ascii="標楷體" w:eastAsia="標楷體" w:hAnsi="標楷體" w:hint="eastAsia"/>
          <w:color w:val="FF0000"/>
          <w:szCs w:val="22"/>
          <w:highlight w:val="yellow"/>
        </w:rPr>
        <w:t>，</w:t>
      </w:r>
      <w:r w:rsidR="00157EF6" w:rsidRPr="00043A1E">
        <w:rPr>
          <w:rFonts w:ascii="標楷體" w:eastAsia="標楷體" w:hAnsi="標楷體"/>
          <w:szCs w:val="22"/>
        </w:rPr>
        <w:t>豈非實有？此非實有</w:t>
      </w:r>
      <w:r>
        <w:rPr>
          <w:rFonts w:ascii="標楷體" w:eastAsia="標楷體" w:hAnsi="標楷體" w:hint="eastAsia"/>
          <w:color w:val="FF0000"/>
          <w:szCs w:val="22"/>
          <w:highlight w:val="yellow"/>
        </w:rPr>
        <w:t>。</w:t>
      </w:r>
      <w:r w:rsidR="00157EF6" w:rsidRPr="00043A1E">
        <w:rPr>
          <w:rFonts w:ascii="標楷體" w:eastAsia="標楷體" w:hAnsi="標楷體"/>
          <w:szCs w:val="22"/>
        </w:rPr>
        <w:t>所以者何？且</w:t>
      </w:r>
      <w:r w:rsidR="002E4C17">
        <w:rPr>
          <w:rFonts w:ascii="標楷體" w:eastAsia="標楷體" w:hAnsi="標楷體" w:hint="eastAsia"/>
          <w:bCs/>
          <w:color w:val="FF0000"/>
          <w:kern w:val="0"/>
          <w:highlight w:val="yellow"/>
        </w:rPr>
        <w:t>「</w:t>
      </w:r>
      <w:r w:rsidR="00157EF6" w:rsidRPr="00043A1E">
        <w:rPr>
          <w:rFonts w:ascii="標楷體" w:eastAsia="標楷體" w:hAnsi="標楷體"/>
          <w:szCs w:val="22"/>
        </w:rPr>
        <w:t>身表色</w:t>
      </w:r>
      <w:r w:rsidR="002E4C17">
        <w:rPr>
          <w:rFonts w:ascii="標楷體" w:eastAsia="標楷體" w:hAnsi="標楷體" w:hint="eastAsia"/>
          <w:bCs/>
          <w:color w:val="FF0000"/>
          <w:kern w:val="0"/>
          <w:highlight w:val="yellow"/>
        </w:rPr>
        <w:t>」</w:t>
      </w:r>
      <w:r w:rsidR="00157EF6" w:rsidRPr="00043A1E">
        <w:rPr>
          <w:rFonts w:ascii="標楷體" w:eastAsia="標楷體" w:hAnsi="標楷體"/>
          <w:szCs w:val="22"/>
        </w:rPr>
        <w:t>若是實有，以何為性？</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szCs w:val="22"/>
        </w:rPr>
        <w:t>若言是</w:t>
      </w:r>
      <w:r w:rsidR="00C1289A">
        <w:rPr>
          <w:rFonts w:ascii="標楷體" w:eastAsia="標楷體" w:hAnsi="標楷體" w:hint="eastAsia"/>
          <w:color w:val="FF0000"/>
          <w:szCs w:val="22"/>
          <w:highlight w:val="yellow"/>
        </w:rPr>
        <w:t>「</w:t>
      </w:r>
      <w:r w:rsidRPr="00043A1E">
        <w:rPr>
          <w:rFonts w:ascii="標楷體" w:eastAsia="標楷體" w:hAnsi="標楷體"/>
          <w:b/>
          <w:szCs w:val="22"/>
        </w:rPr>
        <w:t>形</w:t>
      </w:r>
      <w:r w:rsidR="00C1289A">
        <w:rPr>
          <w:rFonts w:ascii="標楷體" w:eastAsia="標楷體" w:hAnsi="標楷體" w:hint="eastAsia"/>
          <w:color w:val="FF0000"/>
          <w:szCs w:val="22"/>
          <w:highlight w:val="yellow"/>
        </w:rPr>
        <w:t>」</w:t>
      </w:r>
      <w:r w:rsidRPr="00043A1E">
        <w:rPr>
          <w:rFonts w:ascii="標楷體" w:eastAsia="標楷體" w:hAnsi="標楷體"/>
          <w:szCs w:val="22"/>
        </w:rPr>
        <w:t>，便非實有</w:t>
      </w:r>
      <w:r w:rsidRPr="00043A1E">
        <w:rPr>
          <w:rFonts w:ascii="標楷體" w:eastAsia="標楷體" w:hAnsi="標楷體" w:hint="eastAsia"/>
          <w:szCs w:val="22"/>
        </w:rPr>
        <w:t>，</w:t>
      </w:r>
      <w:r w:rsidRPr="00043A1E">
        <w:rPr>
          <w:rFonts w:ascii="標楷體" w:eastAsia="標楷體" w:hAnsi="標楷體"/>
          <w:szCs w:val="22"/>
        </w:rPr>
        <w:t>可分析故，長等極微不可得故。</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szCs w:val="22"/>
        </w:rPr>
        <w:t>若言是</w:t>
      </w:r>
      <w:r w:rsidR="00C1289A">
        <w:rPr>
          <w:rFonts w:ascii="標楷體" w:eastAsia="標楷體" w:hAnsi="標楷體" w:hint="eastAsia"/>
          <w:color w:val="FF0000"/>
          <w:szCs w:val="22"/>
          <w:highlight w:val="yellow"/>
        </w:rPr>
        <w:t>「</w:t>
      </w:r>
      <w:r w:rsidRPr="00043A1E">
        <w:rPr>
          <w:rFonts w:ascii="標楷體" w:eastAsia="標楷體" w:hAnsi="標楷體"/>
          <w:b/>
          <w:szCs w:val="22"/>
        </w:rPr>
        <w:t>動</w:t>
      </w:r>
      <w:r w:rsidR="00C1289A">
        <w:rPr>
          <w:rFonts w:ascii="標楷體" w:eastAsia="標楷體" w:hAnsi="標楷體" w:hint="eastAsia"/>
          <w:color w:val="FF0000"/>
          <w:szCs w:val="22"/>
          <w:highlight w:val="yellow"/>
        </w:rPr>
        <w:t>」</w:t>
      </w:r>
      <w:r w:rsidRPr="00043A1E">
        <w:rPr>
          <w:rFonts w:ascii="標楷體" w:eastAsia="標楷體" w:hAnsi="標楷體"/>
          <w:szCs w:val="22"/>
        </w:rPr>
        <w:t>，亦非實有，</w:t>
      </w:r>
      <w:r w:rsidRPr="00043A1E">
        <w:rPr>
          <w:rFonts w:ascii="標楷體" w:eastAsia="標楷體" w:hAnsi="標楷體"/>
          <w:b/>
          <w:szCs w:val="22"/>
        </w:rPr>
        <w:t>纔生即滅，無</w:t>
      </w:r>
      <w:r w:rsidR="00C1289A">
        <w:rPr>
          <w:rFonts w:ascii="標楷體" w:eastAsia="標楷體" w:hAnsi="標楷體" w:hint="eastAsia"/>
          <w:color w:val="FF0000"/>
          <w:szCs w:val="22"/>
          <w:highlight w:val="yellow"/>
        </w:rPr>
        <w:t>「</w:t>
      </w:r>
      <w:r w:rsidRPr="00043A1E">
        <w:rPr>
          <w:rFonts w:ascii="標楷體" w:eastAsia="標楷體" w:hAnsi="標楷體"/>
          <w:b/>
          <w:szCs w:val="22"/>
        </w:rPr>
        <w:t>動</w:t>
      </w:r>
      <w:r w:rsidR="00C1289A">
        <w:rPr>
          <w:rFonts w:ascii="標楷體" w:eastAsia="標楷體" w:hAnsi="標楷體" w:hint="eastAsia"/>
          <w:color w:val="FF0000"/>
          <w:szCs w:val="22"/>
          <w:highlight w:val="yellow"/>
        </w:rPr>
        <w:t>」</w:t>
      </w:r>
      <w:r w:rsidRPr="00043A1E">
        <w:rPr>
          <w:rFonts w:ascii="標楷體" w:eastAsia="標楷體" w:hAnsi="標楷體"/>
          <w:b/>
          <w:szCs w:val="22"/>
        </w:rPr>
        <w:t>義故</w:t>
      </w:r>
      <w:r w:rsidRPr="00043A1E">
        <w:rPr>
          <w:rFonts w:ascii="標楷體" w:eastAsia="標楷體" w:hAnsi="標楷體"/>
          <w:szCs w:val="22"/>
        </w:rPr>
        <w:t>。有為法</w:t>
      </w:r>
      <w:r w:rsidRPr="00C1289A">
        <w:rPr>
          <w:rFonts w:ascii="標楷體" w:eastAsia="標楷體" w:hAnsi="標楷體"/>
          <w:szCs w:val="22"/>
          <w:highlight w:val="yellow"/>
        </w:rPr>
        <w:t>滅不</w:t>
      </w:r>
      <w:r w:rsidRPr="00043A1E">
        <w:rPr>
          <w:rFonts w:ascii="標楷體" w:eastAsia="標楷體" w:hAnsi="標楷體"/>
          <w:szCs w:val="22"/>
        </w:rPr>
        <w:t>待因故；滅若待因，應非滅故。</w:t>
      </w:r>
    </w:p>
  </w:footnote>
  <w:footnote w:id="630">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交織：</w:t>
      </w:r>
      <w:r w:rsidRPr="00761EF3">
        <w:rPr>
          <w:rFonts w:hint="eastAsia"/>
          <w:szCs w:val="22"/>
        </w:rPr>
        <w:t>2</w:t>
      </w:r>
      <w:r w:rsidRPr="00043A1E">
        <w:rPr>
          <w:rFonts w:hint="eastAsia"/>
          <w:szCs w:val="22"/>
        </w:rPr>
        <w:t>.</w:t>
      </w:r>
      <w:r w:rsidRPr="00043A1E">
        <w:rPr>
          <w:rFonts w:hint="eastAsia"/>
          <w:szCs w:val="22"/>
        </w:rPr>
        <w:t>縱橫交錯或錯綜複雜地合在一起。（《漢語大詞典》（二），</w:t>
      </w:r>
      <w:r w:rsidRPr="00761EF3">
        <w:rPr>
          <w:szCs w:val="22"/>
        </w:rPr>
        <w:t>p</w:t>
      </w:r>
      <w:r w:rsidRPr="00043A1E">
        <w:rPr>
          <w:szCs w:val="22"/>
        </w:rPr>
        <w:t>.</w:t>
      </w:r>
      <w:r w:rsidRPr="00761EF3">
        <w:rPr>
          <w:rFonts w:hint="eastAsia"/>
          <w:szCs w:val="22"/>
        </w:rPr>
        <w:t>345</w:t>
      </w:r>
      <w:r w:rsidRPr="00043A1E">
        <w:rPr>
          <w:rFonts w:hint="eastAsia"/>
          <w:szCs w:val="22"/>
        </w:rPr>
        <w:t>）</w:t>
      </w:r>
    </w:p>
  </w:footnote>
  <w:footnote w:id="631">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方分：空間有上、下、左、右之方位，稱為方分。</w:t>
      </w:r>
    </w:p>
  </w:footnote>
  <w:footnote w:id="632">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ascii="新細明體" w:hAnsi="新細明體" w:hint="eastAsia"/>
          <w:szCs w:val="22"/>
        </w:rPr>
        <w:t>序列：</w:t>
      </w:r>
      <w:r w:rsidRPr="00761EF3">
        <w:rPr>
          <w:rFonts w:hint="eastAsia"/>
          <w:szCs w:val="22"/>
        </w:rPr>
        <w:t>2</w:t>
      </w:r>
      <w:r w:rsidRPr="00043A1E">
        <w:rPr>
          <w:rFonts w:hint="eastAsia"/>
          <w:szCs w:val="22"/>
        </w:rPr>
        <w:t>.</w:t>
      </w:r>
      <w:r w:rsidRPr="00043A1E">
        <w:rPr>
          <w:rFonts w:hint="eastAsia"/>
          <w:szCs w:val="22"/>
        </w:rPr>
        <w:t>謂按某種標準排列。（《漢語大詞典》（三），</w:t>
      </w:r>
      <w:r w:rsidRPr="00761EF3">
        <w:rPr>
          <w:szCs w:val="22"/>
        </w:rPr>
        <w:t>p</w:t>
      </w:r>
      <w:r w:rsidRPr="00043A1E">
        <w:rPr>
          <w:szCs w:val="22"/>
        </w:rPr>
        <w:t>.</w:t>
      </w:r>
      <w:r w:rsidRPr="00761EF3">
        <w:rPr>
          <w:rFonts w:hint="eastAsia"/>
          <w:szCs w:val="22"/>
        </w:rPr>
        <w:t>1211</w:t>
      </w:r>
      <w:r w:rsidRPr="00043A1E">
        <w:rPr>
          <w:rFonts w:hint="eastAsia"/>
          <w:szCs w:val="22"/>
        </w:rPr>
        <w:t>）</w:t>
      </w:r>
    </w:p>
  </w:footnote>
  <w:footnote w:id="633">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rFonts w:hint="eastAsia"/>
          <w:szCs w:val="22"/>
        </w:rPr>
        <w:t>愚蔽：愚鈍，不通事理。（《漢語大詞典》（七），</w:t>
      </w:r>
      <w:r w:rsidRPr="00761EF3">
        <w:rPr>
          <w:szCs w:val="22"/>
        </w:rPr>
        <w:t>p</w:t>
      </w:r>
      <w:r w:rsidRPr="00043A1E">
        <w:rPr>
          <w:szCs w:val="22"/>
        </w:rPr>
        <w:t>.</w:t>
      </w:r>
      <w:r w:rsidRPr="00761EF3">
        <w:rPr>
          <w:rFonts w:hint="eastAsia"/>
          <w:szCs w:val="22"/>
        </w:rPr>
        <w:t>622</w:t>
      </w:r>
      <w:r w:rsidRPr="00043A1E">
        <w:rPr>
          <w:rFonts w:hint="eastAsia"/>
          <w:szCs w:val="22"/>
        </w:rPr>
        <w:t>）</w:t>
      </w:r>
    </w:p>
  </w:footnote>
  <w:footnote w:id="634">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rFonts w:hint="eastAsia"/>
          <w:szCs w:val="22"/>
        </w:rPr>
        <w:t>公例：猶言一般的規律。（《漢語大詞典》（二），</w:t>
      </w:r>
      <w:r w:rsidRPr="00761EF3">
        <w:rPr>
          <w:szCs w:val="22"/>
        </w:rPr>
        <w:t>p</w:t>
      </w:r>
      <w:r w:rsidRPr="00043A1E">
        <w:rPr>
          <w:szCs w:val="22"/>
        </w:rPr>
        <w:t>.</w:t>
      </w:r>
      <w:r w:rsidRPr="00761EF3">
        <w:rPr>
          <w:rFonts w:hint="eastAsia"/>
          <w:szCs w:val="22"/>
        </w:rPr>
        <w:t>65</w:t>
      </w:r>
      <w:r w:rsidRPr="00043A1E">
        <w:rPr>
          <w:rFonts w:hint="eastAsia"/>
          <w:szCs w:val="22"/>
        </w:rPr>
        <w:t>）</w:t>
      </w:r>
    </w:p>
  </w:footnote>
  <w:footnote w:id="635">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szCs w:val="22"/>
        </w:rPr>
        <w:t>《中論》卷</w:t>
      </w:r>
      <w:r w:rsidRPr="00761EF3">
        <w:rPr>
          <w:szCs w:val="22"/>
        </w:rPr>
        <w:t>3</w:t>
      </w:r>
      <w:r w:rsidRPr="00043A1E">
        <w:rPr>
          <w:szCs w:val="22"/>
        </w:rPr>
        <w:t>〈</w:t>
      </w:r>
      <w:r w:rsidRPr="00761EF3">
        <w:rPr>
          <w:rFonts w:hint="eastAsia"/>
          <w:szCs w:val="22"/>
        </w:rPr>
        <w:t>16</w:t>
      </w:r>
      <w:r w:rsidRPr="00043A1E">
        <w:rPr>
          <w:szCs w:val="22"/>
        </w:rPr>
        <w:t xml:space="preserve"> </w:t>
      </w:r>
      <w:r w:rsidRPr="00043A1E">
        <w:rPr>
          <w:szCs w:val="22"/>
        </w:rPr>
        <w:t>觀縛解品〉</w:t>
      </w:r>
      <w:r w:rsidRPr="00043A1E">
        <w:rPr>
          <w:rFonts w:hint="eastAsia"/>
          <w:szCs w:val="22"/>
        </w:rPr>
        <w:t>：</w:t>
      </w:r>
    </w:p>
    <w:p w:rsidR="00157EF6" w:rsidRPr="00043A1E" w:rsidRDefault="00157EF6" w:rsidP="00AA120F">
      <w:pPr>
        <w:pStyle w:val="a5"/>
        <w:ind w:leftChars="335" w:left="804"/>
        <w:jc w:val="both"/>
        <w:rPr>
          <w:rFonts w:eastAsia="標楷體"/>
          <w:szCs w:val="22"/>
        </w:rPr>
      </w:pPr>
      <w:r w:rsidRPr="00043A1E">
        <w:rPr>
          <w:rFonts w:eastAsia="標楷體" w:hAnsi="標楷體"/>
          <w:b/>
          <w:szCs w:val="22"/>
        </w:rPr>
        <w:t>諸行</w:t>
      </w:r>
      <w:r w:rsidRPr="00043A1E">
        <w:rPr>
          <w:rFonts w:eastAsia="標楷體" w:hAnsi="標楷體"/>
          <w:szCs w:val="22"/>
        </w:rPr>
        <w:t>往來者，常不應往來，無常亦不應；</w:t>
      </w:r>
      <w:r w:rsidRPr="00043A1E">
        <w:rPr>
          <w:rFonts w:eastAsia="標楷體" w:hAnsi="標楷體"/>
          <w:b/>
          <w:szCs w:val="22"/>
        </w:rPr>
        <w:t>眾生</w:t>
      </w:r>
      <w:r w:rsidRPr="00043A1E">
        <w:rPr>
          <w:rFonts w:eastAsia="標楷體" w:hAnsi="標楷體"/>
          <w:szCs w:val="22"/>
        </w:rPr>
        <w:t>亦復然。</w:t>
      </w:r>
      <w:r w:rsidRPr="00043A1E">
        <w:rPr>
          <w:rFonts w:eastAsia="標楷體" w:hAnsi="標楷體" w:hint="eastAsia"/>
          <w:szCs w:val="22"/>
        </w:rPr>
        <w:t>（</w:t>
      </w:r>
      <w:r w:rsidRPr="00043A1E">
        <w:rPr>
          <w:rFonts w:ascii="新細明體" w:hAnsi="新細明體"/>
          <w:szCs w:val="22"/>
        </w:rPr>
        <w:t>大正</w:t>
      </w:r>
      <w:r w:rsidRPr="00761EF3">
        <w:rPr>
          <w:rFonts w:eastAsia="標楷體"/>
          <w:szCs w:val="22"/>
        </w:rPr>
        <w:t>30</w:t>
      </w:r>
      <w:r w:rsidRPr="00043A1E">
        <w:rPr>
          <w:rFonts w:eastAsia="標楷體" w:hAnsi="標楷體"/>
          <w:szCs w:val="22"/>
        </w:rPr>
        <w:t>，</w:t>
      </w:r>
      <w:r w:rsidRPr="00761EF3">
        <w:rPr>
          <w:rFonts w:eastAsia="標楷體"/>
          <w:szCs w:val="22"/>
        </w:rPr>
        <w:t>20c9</w:t>
      </w:r>
      <w:r w:rsidRPr="00043A1E">
        <w:rPr>
          <w:rFonts w:hint="eastAsia"/>
          <w:szCs w:val="22"/>
        </w:rPr>
        <w:t>-</w:t>
      </w:r>
      <w:r w:rsidRPr="00761EF3">
        <w:rPr>
          <w:rFonts w:eastAsia="標楷體"/>
          <w:szCs w:val="22"/>
        </w:rPr>
        <w:t>10</w:t>
      </w:r>
      <w:r w:rsidRPr="00043A1E">
        <w:rPr>
          <w:rFonts w:eastAsia="標楷體" w:hAnsi="標楷體" w:hint="eastAsia"/>
          <w:szCs w:val="22"/>
        </w:rPr>
        <w:t>）</w:t>
      </w:r>
    </w:p>
    <w:p w:rsidR="00157EF6" w:rsidRPr="00043A1E" w:rsidRDefault="00157EF6" w:rsidP="00AA120F">
      <w:pPr>
        <w:pStyle w:val="a5"/>
        <w:ind w:leftChars="335" w:left="804"/>
        <w:jc w:val="both"/>
        <w:rPr>
          <w:rFonts w:eastAsia="標楷體"/>
          <w:szCs w:val="22"/>
        </w:rPr>
      </w:pPr>
      <w:r w:rsidRPr="00043A1E">
        <w:rPr>
          <w:rFonts w:eastAsia="標楷體" w:hAnsi="標楷體"/>
          <w:szCs w:val="22"/>
        </w:rPr>
        <w:t>若眾生往來，陰界諸入中，五種求盡無，誰有往來者？</w:t>
      </w:r>
      <w:r w:rsidRPr="00043A1E">
        <w:rPr>
          <w:rFonts w:eastAsia="標楷體" w:hAnsi="標楷體" w:hint="eastAsia"/>
          <w:szCs w:val="22"/>
        </w:rPr>
        <w:t>（</w:t>
      </w:r>
      <w:r w:rsidRPr="00043A1E">
        <w:rPr>
          <w:rFonts w:ascii="新細明體" w:hAnsi="新細明體"/>
          <w:szCs w:val="22"/>
        </w:rPr>
        <w:t>大正</w:t>
      </w:r>
      <w:r w:rsidRPr="00761EF3">
        <w:rPr>
          <w:rFonts w:eastAsia="標楷體"/>
          <w:szCs w:val="22"/>
        </w:rPr>
        <w:t>30</w:t>
      </w:r>
      <w:r w:rsidRPr="00043A1E">
        <w:rPr>
          <w:rFonts w:eastAsia="標楷體" w:hAnsi="標楷體"/>
          <w:szCs w:val="22"/>
        </w:rPr>
        <w:t>，</w:t>
      </w:r>
      <w:r w:rsidRPr="00761EF3">
        <w:rPr>
          <w:rFonts w:eastAsia="標楷體"/>
          <w:szCs w:val="22"/>
        </w:rPr>
        <w:t>20c17</w:t>
      </w:r>
      <w:r w:rsidRPr="00043A1E">
        <w:rPr>
          <w:rFonts w:hint="eastAsia"/>
          <w:szCs w:val="22"/>
        </w:rPr>
        <w:t>-</w:t>
      </w:r>
      <w:r w:rsidRPr="00761EF3">
        <w:rPr>
          <w:rFonts w:eastAsia="標楷體"/>
          <w:szCs w:val="22"/>
        </w:rPr>
        <w:t>18</w:t>
      </w:r>
      <w:r w:rsidRPr="00043A1E">
        <w:rPr>
          <w:rFonts w:eastAsia="標楷體" w:hAnsi="標楷體" w:hint="eastAsia"/>
          <w:szCs w:val="22"/>
        </w:rPr>
        <w:t>）</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）印順法師，《中觀論頌講記》，</w:t>
      </w:r>
      <w:r w:rsidRPr="00761EF3">
        <w:rPr>
          <w:rFonts w:hint="eastAsia"/>
          <w:szCs w:val="22"/>
        </w:rPr>
        <w:t>pp</w:t>
      </w:r>
      <w:r w:rsidRPr="00043A1E">
        <w:rPr>
          <w:rFonts w:hint="eastAsia"/>
          <w:szCs w:val="22"/>
        </w:rPr>
        <w:t>.</w:t>
      </w:r>
      <w:r w:rsidRPr="00761EF3">
        <w:rPr>
          <w:rFonts w:hint="eastAsia"/>
          <w:szCs w:val="22"/>
        </w:rPr>
        <w:t>260</w:t>
      </w:r>
      <w:r w:rsidRPr="00043A1E">
        <w:rPr>
          <w:rFonts w:hint="eastAsia"/>
          <w:szCs w:val="22"/>
        </w:rPr>
        <w:t>-</w:t>
      </w:r>
      <w:r w:rsidRPr="00761EF3">
        <w:rPr>
          <w:rFonts w:hint="eastAsia"/>
          <w:szCs w:val="22"/>
        </w:rPr>
        <w:t>262</w:t>
      </w:r>
      <w:r w:rsidRPr="00043A1E">
        <w:rPr>
          <w:rFonts w:hint="eastAsia"/>
          <w:szCs w:val="22"/>
        </w:rPr>
        <w:t>：</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往來天上人間，三界五趣，是生死流轉的現象。說到流轉，不外</w:t>
      </w:r>
      <w:r w:rsidRPr="00043A1E">
        <w:rPr>
          <w:rFonts w:ascii="標楷體" w:eastAsia="標楷體" w:hAnsi="標楷體" w:hint="eastAsia"/>
          <w:b/>
          <w:szCs w:val="22"/>
        </w:rPr>
        <w:t>諸行的流轉，有情的流轉。</w:t>
      </w:r>
    </w:p>
    <w:p w:rsidR="00157EF6" w:rsidRPr="00043A1E" w:rsidRDefault="00157EF6" w:rsidP="00AA120F">
      <w:pPr>
        <w:pStyle w:val="a5"/>
        <w:ind w:leftChars="335" w:left="804"/>
        <w:jc w:val="both"/>
        <w:rPr>
          <w:rFonts w:ascii="標楷體" w:eastAsia="標楷體" w:hAnsi="標楷體"/>
          <w:b/>
          <w:szCs w:val="22"/>
        </w:rPr>
      </w:pPr>
      <w:r w:rsidRPr="00043A1E">
        <w:rPr>
          <w:rFonts w:ascii="標楷體" w:eastAsia="標楷體" w:hAnsi="標楷體" w:hint="eastAsia"/>
          <w:szCs w:val="22"/>
        </w:rPr>
        <w:t>無我有法，法從前世移轉到後世，如</w:t>
      </w:r>
      <w:r w:rsidRPr="00043A1E">
        <w:rPr>
          <w:rFonts w:ascii="標楷體" w:eastAsia="標楷體" w:hAnsi="標楷體" w:hint="eastAsia"/>
          <w:b/>
          <w:szCs w:val="22"/>
        </w:rPr>
        <w:t>化地部的窮生死蘊，銅鍱者的有分識，這是諸行的流轉。</w:t>
      </w:r>
    </w:p>
    <w:p w:rsidR="00157EF6" w:rsidRPr="00043A1E" w:rsidRDefault="00157EF6" w:rsidP="00AA120F">
      <w:pPr>
        <w:pStyle w:val="a5"/>
        <w:ind w:leftChars="335" w:left="804"/>
        <w:jc w:val="both"/>
        <w:rPr>
          <w:rFonts w:ascii="標楷體" w:eastAsia="標楷體" w:hAnsi="標楷體"/>
          <w:b/>
          <w:szCs w:val="22"/>
        </w:rPr>
      </w:pPr>
      <w:r w:rsidRPr="00043A1E">
        <w:rPr>
          <w:rFonts w:ascii="標楷體" w:eastAsia="標楷體" w:hAnsi="標楷體" w:hint="eastAsia"/>
          <w:szCs w:val="22"/>
        </w:rPr>
        <w:t>或</w:t>
      </w:r>
      <w:r w:rsidRPr="00043A1E">
        <w:rPr>
          <w:rFonts w:ascii="標楷體" w:eastAsia="標楷體" w:hAnsi="標楷體" w:hint="eastAsia"/>
          <w:b/>
          <w:szCs w:val="22"/>
        </w:rPr>
        <w:t>說五蘊法中有不可說我，一心相續中有真我，從前生移轉到後生，這是有情的流轉。</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學派中，</w:t>
      </w:r>
      <w:r w:rsidRPr="00043A1E">
        <w:rPr>
          <w:rFonts w:ascii="標楷體" w:eastAsia="標楷體" w:hAnsi="標楷體" w:hint="eastAsia"/>
          <w:b/>
          <w:szCs w:val="22"/>
        </w:rPr>
        <w:t>大眾及分別說系，多說諸行流轉</w:t>
      </w:r>
      <w:r w:rsidRPr="00043A1E">
        <w:rPr>
          <w:rFonts w:ascii="標楷體" w:eastAsia="標楷體" w:hAnsi="標楷體" w:hint="eastAsia"/>
          <w:szCs w:val="22"/>
        </w:rPr>
        <w:t>；</w:t>
      </w:r>
      <w:r w:rsidRPr="00043A1E">
        <w:rPr>
          <w:rFonts w:ascii="標楷體" w:eastAsia="標楷體" w:hAnsi="標楷體" w:hint="eastAsia"/>
          <w:b/>
          <w:szCs w:val="22"/>
        </w:rPr>
        <w:t>說有情流轉的，如說一切有系的假名我，犢子系的不可說我，都是說明從前世到後世的</w:t>
      </w:r>
      <w:r w:rsidRPr="00043A1E">
        <w:rPr>
          <w:rFonts w:ascii="標楷體" w:eastAsia="標楷體" w:hAnsi="標楷體" w:hint="eastAsia"/>
          <w:szCs w:val="22"/>
        </w:rPr>
        <w:t>。</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薩婆多部說：諸行無常，念念生滅，三世恆住自性，所以不許流轉。</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大眾、分別說系，說的諸行無常，不但念念生滅，而且是念念轉變；這就是承認諸行的流轉了。</w:t>
      </w:r>
    </w:p>
    <w:p w:rsidR="00157EF6" w:rsidRPr="002E4C17" w:rsidRDefault="00157EF6" w:rsidP="00AE3920">
      <w:pPr>
        <w:pStyle w:val="a5"/>
        <w:spacing w:beforeLines="20"/>
        <w:ind w:leftChars="335" w:left="804"/>
        <w:jc w:val="both"/>
        <w:rPr>
          <w:b/>
          <w:sz w:val="18"/>
          <w:szCs w:val="22"/>
          <w:bdr w:val="single" w:sz="4" w:space="0" w:color="auto"/>
        </w:rPr>
      </w:pPr>
      <w:r w:rsidRPr="002E4C17">
        <w:rPr>
          <w:rFonts w:ascii="新細明體" w:hAnsi="新細明體" w:cs="新細明體" w:hint="eastAsia"/>
          <w:b/>
          <w:sz w:val="18"/>
          <w:szCs w:val="22"/>
          <w:bdr w:val="single" w:sz="4" w:space="0" w:color="auto"/>
        </w:rPr>
        <w:t xml:space="preserve">※ </w:t>
      </w:r>
      <w:r w:rsidRPr="002E4C17">
        <w:rPr>
          <w:b/>
          <w:sz w:val="18"/>
          <w:szCs w:val="22"/>
          <w:bdr w:val="single" w:sz="4" w:space="0" w:color="auto"/>
        </w:rPr>
        <w:t>釋第</w:t>
      </w:r>
      <w:r w:rsidRPr="002E4C17">
        <w:rPr>
          <w:b/>
          <w:sz w:val="18"/>
          <w:szCs w:val="22"/>
          <w:bdr w:val="single" w:sz="4" w:space="0" w:color="auto"/>
        </w:rPr>
        <w:t>1</w:t>
      </w:r>
      <w:r w:rsidRPr="002E4C17">
        <w:rPr>
          <w:b/>
          <w:sz w:val="18"/>
          <w:szCs w:val="22"/>
          <w:bdr w:val="single" w:sz="4" w:space="0" w:color="auto"/>
        </w:rPr>
        <w:t>頌：破諸行的流轉、眾生的流轉</w:t>
      </w:r>
    </w:p>
    <w:p w:rsidR="00157EF6" w:rsidRPr="002E4C17" w:rsidRDefault="00157EF6" w:rsidP="00AA120F">
      <w:pPr>
        <w:pStyle w:val="a5"/>
        <w:ind w:leftChars="335" w:left="804"/>
        <w:jc w:val="both"/>
        <w:rPr>
          <w:rFonts w:ascii="新細明體" w:hAnsi="新細明體" w:cs="新細明體"/>
          <w:b/>
          <w:sz w:val="18"/>
          <w:szCs w:val="22"/>
          <w:bdr w:val="single" w:sz="4" w:space="0" w:color="auto"/>
        </w:rPr>
      </w:pPr>
      <w:r w:rsidRPr="002E4C17">
        <w:rPr>
          <w:b/>
          <w:sz w:val="18"/>
          <w:szCs w:val="22"/>
          <w:bdr w:val="single" w:sz="4" w:space="0" w:color="auto"/>
        </w:rPr>
        <w:t>A</w:t>
      </w:r>
      <w:r w:rsidRPr="002E4C17">
        <w:rPr>
          <w:b/>
          <w:sz w:val="18"/>
          <w:szCs w:val="22"/>
          <w:bdr w:val="single" w:sz="4" w:space="0" w:color="auto"/>
        </w:rPr>
        <w:t>、</w:t>
      </w:r>
      <w:r w:rsidRPr="002E4C17">
        <w:rPr>
          <w:rFonts w:ascii="新細明體" w:hAnsi="新細明體" w:cs="新細明體"/>
          <w:b/>
          <w:sz w:val="18"/>
          <w:szCs w:val="22"/>
          <w:bdr w:val="single" w:sz="4" w:space="0" w:color="auto"/>
        </w:rPr>
        <w:t>破諸行的流轉</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先考察</w:t>
      </w:r>
      <w:r w:rsidRPr="00043A1E">
        <w:rPr>
          <w:rFonts w:ascii="標楷體" w:eastAsia="標楷體" w:hAnsi="標楷體" w:hint="eastAsia"/>
          <w:b/>
          <w:szCs w:val="22"/>
        </w:rPr>
        <w:t>諸行的流轉</w:t>
      </w:r>
      <w:r w:rsidRPr="00043A1E">
        <w:rPr>
          <w:rFonts w:ascii="標楷體" w:eastAsia="標楷體" w:hAnsi="標楷體" w:hint="eastAsia"/>
          <w:szCs w:val="22"/>
        </w:rPr>
        <w:t>：是</w:t>
      </w:r>
      <w:r w:rsidRPr="00043A1E">
        <w:rPr>
          <w:rFonts w:ascii="標楷體" w:eastAsia="標楷體" w:hAnsi="標楷體" w:hint="eastAsia"/>
          <w:b/>
          <w:szCs w:val="22"/>
        </w:rPr>
        <w:t>常恆不變</w:t>
      </w:r>
      <w:r w:rsidRPr="00043A1E">
        <w:rPr>
          <w:rFonts w:ascii="標楷體" w:eastAsia="標楷體" w:hAnsi="標楷體" w:hint="eastAsia"/>
          <w:szCs w:val="22"/>
        </w:rPr>
        <w:t>的流轉呢？是</w:t>
      </w:r>
      <w:r w:rsidRPr="00043A1E">
        <w:rPr>
          <w:rFonts w:ascii="標楷體" w:eastAsia="標楷體" w:hAnsi="標楷體" w:hint="eastAsia"/>
          <w:b/>
          <w:szCs w:val="22"/>
        </w:rPr>
        <w:t>無常演變</w:t>
      </w:r>
      <w:r w:rsidRPr="00043A1E">
        <w:rPr>
          <w:rFonts w:ascii="標楷體" w:eastAsia="標楷體" w:hAnsi="標楷體" w:hint="eastAsia"/>
          <w:szCs w:val="22"/>
        </w:rPr>
        <w:t>的流轉呢？</w:t>
      </w:r>
    </w:p>
    <w:p w:rsidR="00157EF6" w:rsidRPr="002E4C17" w:rsidRDefault="00157EF6" w:rsidP="00AA120F">
      <w:pPr>
        <w:pStyle w:val="a5"/>
        <w:ind w:leftChars="385" w:left="924"/>
        <w:jc w:val="both"/>
        <w:rPr>
          <w:b/>
          <w:sz w:val="18"/>
          <w:szCs w:val="22"/>
          <w:bdr w:val="single" w:sz="4" w:space="0" w:color="auto"/>
        </w:rPr>
      </w:pPr>
      <w:r w:rsidRPr="002E4C17">
        <w:rPr>
          <w:rFonts w:hint="eastAsia"/>
          <w:b/>
          <w:sz w:val="18"/>
          <w:szCs w:val="22"/>
          <w:bdr w:val="single" w:sz="4" w:space="0" w:color="auto"/>
        </w:rPr>
        <w:t>（</w:t>
      </w:r>
      <w:r w:rsidRPr="002E4C17">
        <w:rPr>
          <w:rFonts w:hint="eastAsia"/>
          <w:b/>
          <w:sz w:val="18"/>
          <w:szCs w:val="22"/>
          <w:bdr w:val="single" w:sz="4" w:space="0" w:color="auto"/>
        </w:rPr>
        <w:t>A</w:t>
      </w:r>
      <w:r w:rsidRPr="002E4C17">
        <w:rPr>
          <w:rFonts w:hint="eastAsia"/>
          <w:b/>
          <w:sz w:val="18"/>
          <w:szCs w:val="22"/>
          <w:bdr w:val="single" w:sz="4" w:space="0" w:color="auto"/>
        </w:rPr>
        <w:t>）若諸行是常恆不變的流轉</w:t>
      </w:r>
    </w:p>
    <w:p w:rsidR="00157EF6" w:rsidRPr="00043A1E" w:rsidRDefault="00157EF6" w:rsidP="00AA120F">
      <w:pPr>
        <w:pStyle w:val="a5"/>
        <w:ind w:leftChars="385" w:left="924"/>
        <w:jc w:val="both"/>
        <w:rPr>
          <w:rFonts w:ascii="標楷體" w:eastAsia="標楷體" w:hAnsi="標楷體"/>
          <w:szCs w:val="22"/>
        </w:rPr>
      </w:pPr>
      <w:r w:rsidRPr="00043A1E">
        <w:rPr>
          <w:rFonts w:ascii="標楷體" w:eastAsia="標楷體" w:hAnsi="標楷體" w:hint="eastAsia"/>
          <w:szCs w:val="22"/>
        </w:rPr>
        <w:t>假定是</w:t>
      </w:r>
      <w:r w:rsidRPr="00043A1E">
        <w:rPr>
          <w:rFonts w:ascii="標楷體" w:eastAsia="標楷體" w:hAnsi="標楷體" w:hint="eastAsia"/>
          <w:b/>
          <w:szCs w:val="22"/>
        </w:rPr>
        <w:t>常恆不變的流轉</w:t>
      </w:r>
      <w:r w:rsidRPr="00043A1E">
        <w:rPr>
          <w:rFonts w:ascii="標楷體" w:eastAsia="標楷體" w:hAnsi="標楷體" w:hint="eastAsia"/>
          <w:szCs w:val="22"/>
        </w:rPr>
        <w:t>，這不但不成其為諸行（行是遷流變化的），也不成其為流轉。常恆是前後一致沒有變化的；人間常在人間，天上常住天上，這還說什麼流轉呢？所以在</w:t>
      </w:r>
      <w:r w:rsidRPr="00043A1E">
        <w:rPr>
          <w:rFonts w:ascii="標楷體" w:eastAsia="標楷體" w:hAnsi="標楷體" w:hint="eastAsia"/>
          <w:b/>
          <w:szCs w:val="22"/>
        </w:rPr>
        <w:t>「諸行往來」生死中，如執著「常」住，就「不應」說他有「往來」。</w:t>
      </w:r>
    </w:p>
    <w:p w:rsidR="00157EF6" w:rsidRPr="002E4C17" w:rsidRDefault="00157EF6" w:rsidP="00AA120F">
      <w:pPr>
        <w:pStyle w:val="a5"/>
        <w:ind w:leftChars="385" w:left="924"/>
        <w:jc w:val="both"/>
        <w:rPr>
          <w:b/>
          <w:sz w:val="18"/>
          <w:szCs w:val="22"/>
          <w:bdr w:val="single" w:sz="4" w:space="0" w:color="auto"/>
        </w:rPr>
      </w:pPr>
      <w:r w:rsidRPr="002E4C17">
        <w:rPr>
          <w:rFonts w:hint="eastAsia"/>
          <w:b/>
          <w:sz w:val="18"/>
          <w:szCs w:val="22"/>
          <w:bdr w:val="single" w:sz="4" w:space="0" w:color="auto"/>
        </w:rPr>
        <w:t>（</w:t>
      </w:r>
      <w:r w:rsidRPr="002E4C17">
        <w:rPr>
          <w:rFonts w:hint="eastAsia"/>
          <w:b/>
          <w:sz w:val="18"/>
          <w:szCs w:val="22"/>
          <w:bdr w:val="single" w:sz="4" w:space="0" w:color="auto"/>
        </w:rPr>
        <w:t>B</w:t>
      </w:r>
      <w:r w:rsidRPr="002E4C17">
        <w:rPr>
          <w:rFonts w:hint="eastAsia"/>
          <w:b/>
          <w:sz w:val="18"/>
          <w:szCs w:val="22"/>
          <w:bdr w:val="single" w:sz="4" w:space="0" w:color="auto"/>
        </w:rPr>
        <w:t>）若諸行是無常演變的流轉</w:t>
      </w:r>
    </w:p>
    <w:p w:rsidR="00157EF6" w:rsidRPr="00043A1E" w:rsidRDefault="00157EF6" w:rsidP="00AA120F">
      <w:pPr>
        <w:pStyle w:val="a5"/>
        <w:ind w:leftChars="385" w:left="924"/>
        <w:jc w:val="both"/>
        <w:rPr>
          <w:rFonts w:ascii="標楷體" w:eastAsia="標楷體" w:hAnsi="標楷體"/>
          <w:szCs w:val="22"/>
        </w:rPr>
      </w:pPr>
      <w:r w:rsidRPr="00043A1E">
        <w:rPr>
          <w:rFonts w:ascii="標楷體" w:eastAsia="標楷體" w:hAnsi="標楷體" w:hint="eastAsia"/>
          <w:szCs w:val="22"/>
        </w:rPr>
        <w:t>假定是</w:t>
      </w:r>
      <w:r w:rsidRPr="00043A1E">
        <w:rPr>
          <w:rFonts w:ascii="標楷體" w:eastAsia="標楷體" w:hAnsi="標楷體" w:hint="eastAsia"/>
          <w:b/>
          <w:szCs w:val="22"/>
        </w:rPr>
        <w:t>無常演變的流轉</w:t>
      </w:r>
      <w:r w:rsidRPr="00043A1E">
        <w:rPr>
          <w:rFonts w:ascii="標楷體" w:eastAsia="標楷體" w:hAnsi="標楷體" w:hint="eastAsia"/>
          <w:szCs w:val="22"/>
        </w:rPr>
        <w:t>，無常是終歸於滅，而且是剎那剎那的即生即滅。滅了，還有什麼從前世移轉到後世去呢？有從前世到後世的法，必有前後的延續性；纔生即滅的無常，如執有自性，怎麼可以說他有流轉？所以</w:t>
      </w:r>
      <w:r w:rsidRPr="00043A1E">
        <w:rPr>
          <w:rFonts w:ascii="標楷體" w:eastAsia="標楷體" w:hAnsi="標楷體" w:hint="eastAsia"/>
          <w:b/>
          <w:szCs w:val="22"/>
        </w:rPr>
        <w:t>諸行是「無常」的，也「不應」說他有往來</w:t>
      </w:r>
      <w:r w:rsidRPr="00043A1E">
        <w:rPr>
          <w:rFonts w:ascii="標楷體" w:eastAsia="標楷體" w:hAnsi="標楷體" w:hint="eastAsia"/>
          <w:szCs w:val="22"/>
        </w:rPr>
        <w:t>。</w:t>
      </w:r>
    </w:p>
    <w:p w:rsidR="00157EF6" w:rsidRPr="002E4C17" w:rsidRDefault="00157EF6" w:rsidP="00AA120F">
      <w:pPr>
        <w:pStyle w:val="a5"/>
        <w:ind w:leftChars="335" w:left="804"/>
        <w:jc w:val="both"/>
        <w:rPr>
          <w:b/>
          <w:sz w:val="18"/>
          <w:szCs w:val="22"/>
          <w:bdr w:val="single" w:sz="4" w:space="0" w:color="auto"/>
        </w:rPr>
      </w:pPr>
      <w:r w:rsidRPr="002E4C17">
        <w:rPr>
          <w:b/>
          <w:sz w:val="18"/>
          <w:szCs w:val="22"/>
          <w:bdr w:val="single" w:sz="4" w:space="0" w:color="auto"/>
        </w:rPr>
        <w:t>B</w:t>
      </w:r>
      <w:r w:rsidRPr="002E4C17">
        <w:rPr>
          <w:b/>
          <w:sz w:val="18"/>
          <w:szCs w:val="22"/>
          <w:bdr w:val="single" w:sz="4" w:space="0" w:color="auto"/>
        </w:rPr>
        <w:t>、破眾生的流轉</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諸行的常無常，不可說他有往來生死的流轉；依蘊、界、處而安立的眾生，說他是常或無常，也同樣的不能成立生死流轉的往來。所以說：「眾生亦復然」。</w:t>
      </w:r>
    </w:p>
    <w:p w:rsidR="00157EF6" w:rsidRPr="00E15E6F" w:rsidRDefault="00157EF6" w:rsidP="00AE3920">
      <w:pPr>
        <w:pStyle w:val="a5"/>
        <w:spacing w:beforeLines="20"/>
        <w:ind w:leftChars="335" w:left="804"/>
        <w:jc w:val="both"/>
        <w:rPr>
          <w:b/>
          <w:szCs w:val="22"/>
          <w:bdr w:val="single" w:sz="4" w:space="0" w:color="auto"/>
        </w:rPr>
      </w:pPr>
      <w:r w:rsidRPr="002E4C17">
        <w:rPr>
          <w:rFonts w:ascii="新細明體" w:hAnsi="新細明體" w:cs="新細明體" w:hint="eastAsia"/>
          <w:b/>
          <w:sz w:val="18"/>
          <w:szCs w:val="22"/>
          <w:bdr w:val="single" w:sz="4" w:space="0" w:color="auto"/>
        </w:rPr>
        <w:t xml:space="preserve">※ </w:t>
      </w:r>
      <w:r w:rsidRPr="002E4C17">
        <w:rPr>
          <w:b/>
          <w:sz w:val="18"/>
          <w:szCs w:val="22"/>
          <w:bdr w:val="single" w:sz="4" w:space="0" w:color="auto"/>
        </w:rPr>
        <w:t>釋第</w:t>
      </w:r>
      <w:r w:rsidRPr="002E4C17">
        <w:rPr>
          <w:b/>
          <w:sz w:val="18"/>
          <w:szCs w:val="22"/>
          <w:bdr w:val="single" w:sz="4" w:space="0" w:color="auto"/>
        </w:rPr>
        <w:t>2</w:t>
      </w:r>
      <w:r w:rsidRPr="002E4C17">
        <w:rPr>
          <w:b/>
          <w:sz w:val="18"/>
          <w:szCs w:val="22"/>
          <w:bdr w:val="single" w:sz="4" w:space="0" w:color="auto"/>
        </w:rPr>
        <w:t>頌：別破眾生的流轉</w:t>
      </w:r>
    </w:p>
    <w:p w:rsidR="00157EF6" w:rsidRPr="00043A1E" w:rsidRDefault="00157EF6" w:rsidP="00AA120F">
      <w:pPr>
        <w:pStyle w:val="a5"/>
        <w:ind w:leftChars="335" w:left="804"/>
        <w:jc w:val="both"/>
        <w:rPr>
          <w:rFonts w:ascii="標楷體" w:eastAsia="標楷體" w:hAnsi="標楷體"/>
          <w:szCs w:val="22"/>
        </w:rPr>
      </w:pPr>
      <w:r w:rsidRPr="00E15E6F">
        <w:rPr>
          <w:rFonts w:ascii="標楷體" w:eastAsia="標楷體" w:hAnsi="標楷體" w:hint="eastAsia"/>
          <w:szCs w:val="22"/>
        </w:rPr>
        <w:t>雖然說</w:t>
      </w:r>
      <w:r w:rsidRPr="00043A1E">
        <w:rPr>
          <w:rFonts w:ascii="標楷體" w:eastAsia="標楷體" w:hAnsi="標楷體" w:hint="eastAsia"/>
          <w:szCs w:val="22"/>
        </w:rPr>
        <w:t>了</w:t>
      </w:r>
      <w:r w:rsidRPr="00043A1E">
        <w:rPr>
          <w:rFonts w:ascii="標楷體" w:eastAsia="標楷體" w:hAnsi="標楷體" w:hint="eastAsia"/>
          <w:b/>
          <w:szCs w:val="22"/>
        </w:rPr>
        <w:t>諸行和眾生的流轉都不可能</w:t>
      </w:r>
      <w:r w:rsidRPr="00043A1E">
        <w:rPr>
          <w:rFonts w:ascii="標楷體" w:eastAsia="標楷體" w:hAnsi="標楷體" w:hint="eastAsia"/>
          <w:szCs w:val="22"/>
        </w:rPr>
        <w:t>，但在固執實有自性者的學者，特別是</w:t>
      </w:r>
      <w:r w:rsidRPr="00043A1E">
        <w:rPr>
          <w:rFonts w:ascii="標楷體" w:eastAsia="標楷體" w:hAnsi="標楷體" w:hint="eastAsia"/>
          <w:b/>
          <w:szCs w:val="22"/>
        </w:rPr>
        <w:t>一切有與犢子系，以為諸行雖不能建立往來，在諸行和合的相續中有我；依這假名的或真實的眾生，就可以說有流轉了</w:t>
      </w:r>
      <w:r w:rsidRPr="00043A1E">
        <w:rPr>
          <w:rFonts w:ascii="標楷體" w:eastAsia="標楷體" w:hAnsi="標楷體" w:hint="eastAsia"/>
          <w:szCs w:val="22"/>
        </w:rPr>
        <w:t>。</w:t>
      </w:r>
    </w:p>
    <w:p w:rsidR="00157EF6" w:rsidRPr="00043A1E" w:rsidRDefault="00157EF6" w:rsidP="00AA120F">
      <w:pPr>
        <w:pStyle w:val="a5"/>
        <w:ind w:leftChars="335" w:left="804"/>
        <w:jc w:val="both"/>
        <w:rPr>
          <w:rFonts w:ascii="標楷體" w:eastAsia="標楷體" w:hAnsi="標楷體"/>
          <w:b/>
          <w:szCs w:val="22"/>
        </w:rPr>
      </w:pPr>
      <w:r w:rsidRPr="00043A1E">
        <w:rPr>
          <w:rFonts w:ascii="標楷體" w:eastAsia="標楷體" w:hAnsi="標楷體" w:hint="eastAsia"/>
          <w:szCs w:val="22"/>
        </w:rPr>
        <w:t>這對於眾生，倒需要考察：</w:t>
      </w:r>
      <w:r w:rsidRPr="00043A1E">
        <w:rPr>
          <w:rFonts w:ascii="標楷體" w:eastAsia="標楷體" w:hAnsi="標楷體" w:hint="eastAsia"/>
          <w:b/>
          <w:szCs w:val="22"/>
        </w:rPr>
        <w:t>假定說有「眾生」的「往來」，這眾生是假有的嗎？是實有的嗎？</w:t>
      </w:r>
    </w:p>
    <w:p w:rsidR="00157EF6" w:rsidRPr="002E4C17" w:rsidRDefault="00157EF6" w:rsidP="00AA120F">
      <w:pPr>
        <w:pStyle w:val="a5"/>
        <w:ind w:leftChars="335" w:left="804"/>
        <w:jc w:val="both"/>
        <w:rPr>
          <w:b/>
          <w:sz w:val="18"/>
          <w:szCs w:val="22"/>
          <w:bdr w:val="single" w:sz="4" w:space="0" w:color="auto"/>
        </w:rPr>
      </w:pPr>
      <w:r w:rsidRPr="002E4C17">
        <w:rPr>
          <w:b/>
          <w:sz w:val="18"/>
          <w:szCs w:val="22"/>
          <w:bdr w:val="single" w:sz="4" w:space="0" w:color="auto"/>
        </w:rPr>
        <w:t>A</w:t>
      </w:r>
      <w:r w:rsidRPr="002E4C17">
        <w:rPr>
          <w:b/>
          <w:sz w:val="18"/>
          <w:szCs w:val="22"/>
          <w:bdr w:val="single" w:sz="4" w:space="0" w:color="auto"/>
        </w:rPr>
        <w:t>、</w:t>
      </w:r>
      <w:r w:rsidRPr="002E4C17">
        <w:rPr>
          <w:rFonts w:hint="eastAsia"/>
          <w:b/>
          <w:sz w:val="18"/>
          <w:szCs w:val="22"/>
          <w:bdr w:val="single" w:sz="4" w:space="0" w:color="auto"/>
        </w:rPr>
        <w:t>若眾生是假有</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假定說是</w:t>
      </w:r>
      <w:r w:rsidRPr="00043A1E">
        <w:rPr>
          <w:rFonts w:ascii="標楷體" w:eastAsia="標楷體" w:hAnsi="標楷體" w:hint="eastAsia"/>
          <w:b/>
          <w:szCs w:val="22"/>
        </w:rPr>
        <w:t>假有的</w:t>
      </w:r>
      <w:r w:rsidRPr="00043A1E">
        <w:rPr>
          <w:rFonts w:ascii="標楷體" w:eastAsia="標楷體" w:hAnsi="標楷體" w:hint="eastAsia"/>
          <w:szCs w:val="22"/>
        </w:rPr>
        <w:t>，那應當反省：所建立的實有諸法，尚且不能流轉；卻想在假有的眾生上建立，豈不是笑話？真水不能解渴，想以陽燄來解渴，這當然是不能達到目的的。主張實有自性，就應當在實有上建立流轉；否則，應痛快的接受一切唯名論，在假名中建立一切。</w:t>
      </w:r>
    </w:p>
    <w:p w:rsidR="00157EF6" w:rsidRPr="002E4C17" w:rsidRDefault="00157EF6" w:rsidP="00AA120F">
      <w:pPr>
        <w:pStyle w:val="a5"/>
        <w:ind w:leftChars="335" w:left="804"/>
        <w:jc w:val="both"/>
        <w:rPr>
          <w:b/>
          <w:sz w:val="18"/>
          <w:szCs w:val="22"/>
          <w:bdr w:val="single" w:sz="4" w:space="0" w:color="auto"/>
        </w:rPr>
      </w:pPr>
      <w:r w:rsidRPr="002E4C17">
        <w:rPr>
          <w:b/>
          <w:sz w:val="18"/>
          <w:szCs w:val="22"/>
          <w:bdr w:val="single" w:sz="4" w:space="0" w:color="auto"/>
        </w:rPr>
        <w:t>B</w:t>
      </w:r>
      <w:r w:rsidRPr="002E4C17">
        <w:rPr>
          <w:b/>
          <w:sz w:val="18"/>
          <w:szCs w:val="22"/>
          <w:bdr w:val="single" w:sz="4" w:space="0" w:color="auto"/>
        </w:rPr>
        <w:t>、</w:t>
      </w:r>
      <w:r w:rsidRPr="002E4C17">
        <w:rPr>
          <w:rFonts w:hint="eastAsia"/>
          <w:b/>
          <w:sz w:val="18"/>
          <w:szCs w:val="22"/>
          <w:bdr w:val="single" w:sz="4" w:space="0" w:color="auto"/>
        </w:rPr>
        <w:t>若</w:t>
      </w:r>
      <w:r w:rsidRPr="002E4C17">
        <w:rPr>
          <w:b/>
          <w:sz w:val="18"/>
          <w:szCs w:val="22"/>
          <w:bdr w:val="single" w:sz="4" w:space="0" w:color="auto"/>
        </w:rPr>
        <w:t>眾生</w:t>
      </w:r>
      <w:r w:rsidRPr="002E4C17">
        <w:rPr>
          <w:rFonts w:hint="eastAsia"/>
          <w:b/>
          <w:sz w:val="18"/>
          <w:szCs w:val="22"/>
          <w:bdr w:val="single" w:sz="4" w:space="0" w:color="auto"/>
        </w:rPr>
        <w:t>是實有</w:t>
      </w:r>
    </w:p>
    <w:p w:rsidR="00157EF6" w:rsidRPr="00043A1E" w:rsidRDefault="00157EF6" w:rsidP="00AA120F">
      <w:pPr>
        <w:pStyle w:val="a5"/>
        <w:ind w:leftChars="335" w:left="804"/>
        <w:jc w:val="both"/>
        <w:rPr>
          <w:rFonts w:ascii="標楷體" w:eastAsia="標楷體" w:hAnsi="標楷體"/>
          <w:b/>
          <w:szCs w:val="22"/>
        </w:rPr>
      </w:pPr>
      <w:r w:rsidRPr="00043A1E">
        <w:rPr>
          <w:rFonts w:ascii="標楷體" w:eastAsia="標楷體" w:hAnsi="標楷體" w:hint="eastAsia"/>
          <w:szCs w:val="22"/>
        </w:rPr>
        <w:t>假定說是</w:t>
      </w:r>
      <w:r w:rsidRPr="00043A1E">
        <w:rPr>
          <w:rFonts w:ascii="標楷體" w:eastAsia="標楷體" w:hAnsi="標楷體" w:hint="eastAsia"/>
          <w:b/>
          <w:szCs w:val="22"/>
        </w:rPr>
        <w:t>實有的</w:t>
      </w:r>
      <w:r w:rsidRPr="00043A1E">
        <w:rPr>
          <w:rFonts w:ascii="標楷體" w:eastAsia="標楷體" w:hAnsi="標楷體" w:hint="eastAsia"/>
          <w:szCs w:val="22"/>
        </w:rPr>
        <w:t>，或妙有的，根本佛法中，徹底不承認這種思想。因為實有、妙有的眾生，在現實身心的探求中，了不可得。</w:t>
      </w:r>
      <w:r w:rsidRPr="00043A1E">
        <w:rPr>
          <w:rFonts w:ascii="標楷體" w:eastAsia="標楷體" w:hAnsi="標楷體" w:hint="eastAsia"/>
          <w:b/>
          <w:szCs w:val="22"/>
        </w:rPr>
        <w:t>如在五「陰」、六「界」、六「入」的諸法「中」，以「五種」方法，「求」微妙實有的自我，「盡無」所有。</w:t>
      </w:r>
      <w:r w:rsidRPr="00043A1E">
        <w:rPr>
          <w:rFonts w:ascii="標楷體" w:eastAsia="標楷體" w:hAnsi="標楷體" w:hint="eastAsia"/>
          <w:szCs w:val="22"/>
        </w:rPr>
        <w:t>陰、界、入是組合有情的原素，所以在這一切法中求。且以五陰中的色陰說：色不是我，離色沒有我，不離色也沒有我，我中沒有色，色中也沒有我。五門尋求色陰中的我不可得，餘陰，六界，六入，以五門尋求，同樣的也沒有。</w:t>
      </w:r>
      <w:r w:rsidRPr="00043A1E">
        <w:rPr>
          <w:rFonts w:ascii="標楷體" w:eastAsia="標楷體" w:hAnsi="標楷體" w:hint="eastAsia"/>
          <w:b/>
          <w:szCs w:val="22"/>
        </w:rPr>
        <w:t>諸法中求我既不可得，那還「有」「誰」在「往來」呢？</w:t>
      </w:r>
    </w:p>
  </w:footnote>
  <w:footnote w:id="636">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詳見《中論》卷</w:t>
      </w:r>
      <w:r w:rsidRPr="00761EF3">
        <w:rPr>
          <w:szCs w:val="22"/>
        </w:rPr>
        <w:t>1</w:t>
      </w:r>
      <w:r w:rsidRPr="00043A1E">
        <w:rPr>
          <w:szCs w:val="22"/>
        </w:rPr>
        <w:t>〈</w:t>
      </w:r>
      <w:r w:rsidRPr="00761EF3">
        <w:rPr>
          <w:rFonts w:hint="eastAsia"/>
          <w:szCs w:val="22"/>
        </w:rPr>
        <w:t>2</w:t>
      </w:r>
      <w:r w:rsidRPr="00043A1E">
        <w:rPr>
          <w:szCs w:val="22"/>
        </w:rPr>
        <w:t xml:space="preserve"> </w:t>
      </w:r>
      <w:r w:rsidRPr="00043A1E">
        <w:rPr>
          <w:szCs w:val="22"/>
        </w:rPr>
        <w:t>觀去來品〉</w:t>
      </w:r>
      <w:r w:rsidRPr="00043A1E">
        <w:rPr>
          <w:rFonts w:hint="eastAsia"/>
          <w:szCs w:val="22"/>
        </w:rPr>
        <w:t>（</w:t>
      </w:r>
      <w:r w:rsidRPr="00043A1E">
        <w:rPr>
          <w:szCs w:val="22"/>
        </w:rPr>
        <w:t>大正</w:t>
      </w:r>
      <w:r w:rsidRPr="00761EF3">
        <w:rPr>
          <w:szCs w:val="22"/>
        </w:rPr>
        <w:t>30</w:t>
      </w:r>
      <w:r w:rsidRPr="00043A1E">
        <w:rPr>
          <w:szCs w:val="22"/>
        </w:rPr>
        <w:t>，</w:t>
      </w:r>
      <w:r w:rsidRPr="00761EF3">
        <w:rPr>
          <w:szCs w:val="22"/>
        </w:rPr>
        <w:t>3c8</w:t>
      </w:r>
      <w:r w:rsidRPr="00043A1E">
        <w:rPr>
          <w:rFonts w:hint="eastAsia"/>
          <w:szCs w:val="22"/>
        </w:rPr>
        <w:t>-</w:t>
      </w:r>
      <w:r w:rsidRPr="00761EF3">
        <w:rPr>
          <w:szCs w:val="22"/>
        </w:rPr>
        <w:t>5c14</w:t>
      </w:r>
      <w:r w:rsidRPr="00043A1E">
        <w:rPr>
          <w:rFonts w:hint="eastAsia"/>
          <w:szCs w:val="22"/>
        </w:rPr>
        <w:t>）</w:t>
      </w:r>
      <w:r w:rsidRPr="00043A1E">
        <w:rPr>
          <w:szCs w:val="22"/>
        </w:rPr>
        <w:t>。</w:t>
      </w:r>
    </w:p>
  </w:footnote>
  <w:footnote w:id="637">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rFonts w:hint="eastAsia"/>
          <w:szCs w:val="22"/>
        </w:rPr>
        <w:t>研考：研究考查。</w:t>
      </w:r>
      <w:r w:rsidRPr="00043A1E">
        <w:rPr>
          <w:szCs w:val="22"/>
        </w:rPr>
        <w:t>（《漢語大詞典》（七）</w:t>
      </w:r>
      <w:r w:rsidRPr="00043A1E">
        <w:rPr>
          <w:rFonts w:hint="eastAsia"/>
          <w:szCs w:val="22"/>
        </w:rPr>
        <w:t>，</w:t>
      </w:r>
      <w:r w:rsidRPr="00761EF3">
        <w:rPr>
          <w:szCs w:val="22"/>
        </w:rPr>
        <w:t>p</w:t>
      </w:r>
      <w:r w:rsidRPr="00043A1E">
        <w:rPr>
          <w:szCs w:val="22"/>
        </w:rPr>
        <w:t>.</w:t>
      </w:r>
      <w:r w:rsidRPr="00761EF3">
        <w:rPr>
          <w:rFonts w:hint="eastAsia"/>
          <w:szCs w:val="22"/>
        </w:rPr>
        <w:t>1007</w:t>
      </w:r>
      <w:r w:rsidRPr="00043A1E">
        <w:rPr>
          <w:szCs w:val="22"/>
        </w:rPr>
        <w:t>）</w:t>
      </w:r>
    </w:p>
  </w:footnote>
  <w:footnote w:id="638">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ascii="新細明體" w:hAnsi="新細明體" w:hint="eastAsia"/>
          <w:szCs w:val="22"/>
        </w:rPr>
        <w:t xml:space="preserve"> </w:t>
      </w:r>
      <w:r w:rsidRPr="00043A1E">
        <w:rPr>
          <w:rFonts w:ascii="新細明體" w:hAnsi="新細明體"/>
          <w:szCs w:val="22"/>
        </w:rPr>
        <w:t>（</w:t>
      </w:r>
      <w:r w:rsidRPr="00761EF3">
        <w:rPr>
          <w:szCs w:val="22"/>
        </w:rPr>
        <w:t>1</w:t>
      </w:r>
      <w:r w:rsidRPr="00043A1E">
        <w:rPr>
          <w:rFonts w:ascii="新細明體" w:hAnsi="新細明體"/>
          <w:szCs w:val="22"/>
        </w:rPr>
        <w:t>）</w:t>
      </w:r>
      <w:r w:rsidRPr="00043A1E">
        <w:rPr>
          <w:szCs w:val="22"/>
        </w:rPr>
        <w:t>《中論》卷</w:t>
      </w:r>
      <w:r w:rsidRPr="00761EF3">
        <w:rPr>
          <w:szCs w:val="22"/>
        </w:rPr>
        <w:t>1</w:t>
      </w:r>
      <w:r w:rsidRPr="00043A1E">
        <w:rPr>
          <w:szCs w:val="22"/>
        </w:rPr>
        <w:t>〈</w:t>
      </w:r>
      <w:r w:rsidRPr="00761EF3">
        <w:rPr>
          <w:szCs w:val="22"/>
        </w:rPr>
        <w:t>2</w:t>
      </w:r>
      <w:r w:rsidRPr="00043A1E">
        <w:rPr>
          <w:szCs w:val="22"/>
        </w:rPr>
        <w:t xml:space="preserve"> </w:t>
      </w:r>
      <w:r w:rsidRPr="00043A1E">
        <w:rPr>
          <w:szCs w:val="22"/>
        </w:rPr>
        <w:t>觀去來品〉（大正</w:t>
      </w:r>
      <w:r w:rsidRPr="00761EF3">
        <w:rPr>
          <w:szCs w:val="22"/>
        </w:rPr>
        <w:t>30</w:t>
      </w:r>
      <w:r w:rsidRPr="00043A1E">
        <w:rPr>
          <w:szCs w:val="22"/>
        </w:rPr>
        <w:t>，</w:t>
      </w:r>
      <w:r w:rsidRPr="00761EF3">
        <w:rPr>
          <w:szCs w:val="22"/>
        </w:rPr>
        <w:t>3c8</w:t>
      </w:r>
      <w:r w:rsidRPr="00043A1E">
        <w:rPr>
          <w:rFonts w:eastAsia="SimSun"/>
          <w:szCs w:val="22"/>
        </w:rPr>
        <w:t>-</w:t>
      </w:r>
      <w:r w:rsidRPr="00761EF3">
        <w:rPr>
          <w:szCs w:val="22"/>
        </w:rPr>
        <w:t>9</w:t>
      </w:r>
      <w:r w:rsidRPr="00043A1E">
        <w:rPr>
          <w:szCs w:val="22"/>
        </w:rPr>
        <w:t>）：</w:t>
      </w:r>
    </w:p>
    <w:p w:rsidR="00157EF6" w:rsidRPr="00043A1E" w:rsidRDefault="00157EF6" w:rsidP="00AA120F">
      <w:pPr>
        <w:snapToGrid w:val="0"/>
        <w:ind w:leftChars="335" w:left="804"/>
        <w:jc w:val="both"/>
        <w:rPr>
          <w:sz w:val="22"/>
          <w:szCs w:val="22"/>
        </w:rPr>
      </w:pPr>
      <w:r w:rsidRPr="00043A1E">
        <w:rPr>
          <w:rFonts w:eastAsia="標楷體"/>
          <w:sz w:val="22"/>
          <w:szCs w:val="22"/>
        </w:rPr>
        <w:t>已去無有去，未去亦無去，離已去未去，去時亦無去</w:t>
      </w:r>
      <w:r w:rsidRPr="002E4C17">
        <w:rPr>
          <w:rFonts w:eastAsia="標楷體"/>
          <w:sz w:val="22"/>
          <w:szCs w:val="22"/>
          <w:highlight w:val="yellow"/>
        </w:rPr>
        <w:t>。</w:t>
      </w:r>
    </w:p>
    <w:p w:rsidR="00157EF6" w:rsidRPr="00043A1E" w:rsidRDefault="00157EF6" w:rsidP="00AA120F">
      <w:pPr>
        <w:pStyle w:val="a5"/>
        <w:ind w:leftChars="105" w:left="791" w:hangingChars="245" w:hanging="539"/>
        <w:jc w:val="both"/>
        <w:rPr>
          <w:szCs w:val="22"/>
        </w:rPr>
      </w:pPr>
      <w:r w:rsidRPr="00043A1E">
        <w:rPr>
          <w:rFonts w:ascii="新細明體" w:hAnsi="新細明體"/>
          <w:szCs w:val="22"/>
        </w:rPr>
        <w:t>（</w:t>
      </w:r>
      <w:r w:rsidRPr="00761EF3">
        <w:rPr>
          <w:rFonts w:eastAsia="標楷體"/>
          <w:szCs w:val="22"/>
        </w:rPr>
        <w:t>2</w:t>
      </w:r>
      <w:r w:rsidRPr="00043A1E">
        <w:rPr>
          <w:rFonts w:ascii="新細明體" w:hAnsi="新細明體"/>
          <w:szCs w:val="22"/>
        </w:rPr>
        <w:t>）</w:t>
      </w:r>
      <w:r w:rsidRPr="00043A1E">
        <w:rPr>
          <w:szCs w:val="22"/>
        </w:rPr>
        <w:t>印順</w:t>
      </w:r>
      <w:r w:rsidRPr="00043A1E">
        <w:rPr>
          <w:rFonts w:hint="eastAsia"/>
          <w:szCs w:val="22"/>
        </w:rPr>
        <w:t>法師</w:t>
      </w:r>
      <w:r w:rsidRPr="00043A1E">
        <w:rPr>
          <w:szCs w:val="22"/>
        </w:rPr>
        <w:t>，《中觀論頌講記》，</w:t>
      </w:r>
      <w:r w:rsidRPr="00761EF3">
        <w:rPr>
          <w:szCs w:val="22"/>
        </w:rPr>
        <w:t>pp</w:t>
      </w:r>
      <w:r w:rsidRPr="00043A1E">
        <w:rPr>
          <w:szCs w:val="22"/>
        </w:rPr>
        <w:t>.</w:t>
      </w:r>
      <w:r w:rsidRPr="00761EF3">
        <w:rPr>
          <w:szCs w:val="22"/>
        </w:rPr>
        <w:t>84</w:t>
      </w:r>
      <w:r w:rsidRPr="00043A1E">
        <w:rPr>
          <w:szCs w:val="22"/>
        </w:rPr>
        <w:t>-</w:t>
      </w:r>
      <w:r w:rsidRPr="00761EF3">
        <w:rPr>
          <w:szCs w:val="22"/>
        </w:rPr>
        <w:t>85</w:t>
      </w:r>
      <w:r w:rsidRPr="00043A1E">
        <w:rPr>
          <w:szCs w:val="22"/>
        </w:rPr>
        <w:t>：</w:t>
      </w:r>
    </w:p>
    <w:p w:rsidR="00157EF6" w:rsidRPr="00043A1E" w:rsidRDefault="00157EF6" w:rsidP="00AA120F">
      <w:pPr>
        <w:snapToGrid w:val="0"/>
        <w:ind w:leftChars="335" w:left="804"/>
        <w:jc w:val="both"/>
        <w:rPr>
          <w:rFonts w:eastAsia="標楷體"/>
          <w:sz w:val="22"/>
          <w:szCs w:val="22"/>
        </w:rPr>
      </w:pPr>
      <w:r w:rsidRPr="00043A1E">
        <w:rPr>
          <w:rFonts w:eastAsia="標楷體"/>
          <w:sz w:val="22"/>
          <w:szCs w:val="22"/>
        </w:rPr>
        <w:t>這首頌，是總依三時的觀門中，明沒有去法。說到去，去是一種動作，有動作就有時間相，所以必然的在某一時間中去。一說到時間，就不外已去，未去，去時的三時。若執著有自性的去法，那就該觀察他到底在那一時間中去呢？</w:t>
      </w:r>
    </w:p>
    <w:p w:rsidR="00157EF6" w:rsidRPr="00043A1E" w:rsidRDefault="00157EF6" w:rsidP="00AA120F">
      <w:pPr>
        <w:snapToGrid w:val="0"/>
        <w:ind w:leftChars="335" w:left="804"/>
        <w:jc w:val="both"/>
        <w:rPr>
          <w:rFonts w:eastAsia="標楷體"/>
          <w:sz w:val="22"/>
          <w:szCs w:val="22"/>
        </w:rPr>
      </w:pPr>
      <w:r w:rsidRPr="00043A1E">
        <w:rPr>
          <w:rFonts w:eastAsia="標楷體"/>
          <w:sz w:val="22"/>
          <w:szCs w:val="22"/>
        </w:rPr>
        <w:t>是</w:t>
      </w:r>
      <w:r w:rsidRPr="00043A1E">
        <w:rPr>
          <w:rFonts w:eastAsia="標楷體"/>
          <w:b/>
          <w:sz w:val="22"/>
          <w:szCs w:val="22"/>
        </w:rPr>
        <w:t>已去</w:t>
      </w:r>
      <w:r w:rsidRPr="00043A1E">
        <w:rPr>
          <w:rFonts w:eastAsia="標楷體"/>
          <w:sz w:val="22"/>
          <w:szCs w:val="22"/>
        </w:rPr>
        <w:t>時嗎？運動的作業已過去了，怎麼還可說有去呢？所以「已去無有去」。</w:t>
      </w:r>
    </w:p>
    <w:p w:rsidR="00157EF6" w:rsidRPr="00043A1E" w:rsidRDefault="00157EF6" w:rsidP="00AA120F">
      <w:pPr>
        <w:snapToGrid w:val="0"/>
        <w:ind w:leftChars="335" w:left="804"/>
        <w:jc w:val="both"/>
        <w:rPr>
          <w:rFonts w:eastAsia="標楷體"/>
          <w:sz w:val="22"/>
          <w:szCs w:val="22"/>
        </w:rPr>
      </w:pPr>
      <w:r w:rsidRPr="00043A1E">
        <w:rPr>
          <w:rFonts w:eastAsia="標楷體"/>
          <w:b/>
          <w:sz w:val="22"/>
          <w:szCs w:val="22"/>
        </w:rPr>
        <w:t>未去</w:t>
      </w:r>
      <w:r w:rsidRPr="00043A1E">
        <w:rPr>
          <w:rFonts w:eastAsia="標楷體"/>
          <w:sz w:val="22"/>
          <w:szCs w:val="22"/>
        </w:rPr>
        <w:t>，去的動作還沒有開始，當然也談不上去，所以「未去」時中，也是「無去」的。</w:t>
      </w:r>
    </w:p>
    <w:p w:rsidR="00FC75B7" w:rsidRDefault="00157EF6" w:rsidP="00AA120F">
      <w:pPr>
        <w:snapToGrid w:val="0"/>
        <w:ind w:leftChars="335" w:left="804"/>
        <w:jc w:val="both"/>
        <w:rPr>
          <w:rFonts w:eastAsia="標楷體"/>
          <w:sz w:val="22"/>
          <w:szCs w:val="22"/>
        </w:rPr>
      </w:pPr>
      <w:r w:rsidRPr="00043A1E">
        <w:rPr>
          <w:rFonts w:eastAsia="標楷體"/>
          <w:sz w:val="22"/>
          <w:szCs w:val="22"/>
        </w:rPr>
        <w:t>若說</w:t>
      </w:r>
      <w:r w:rsidRPr="00043A1E">
        <w:rPr>
          <w:rFonts w:eastAsia="標楷體"/>
          <w:b/>
          <w:sz w:val="22"/>
          <w:szCs w:val="22"/>
        </w:rPr>
        <w:t>去時</w:t>
      </w:r>
      <w:r w:rsidRPr="00043A1E">
        <w:rPr>
          <w:rFonts w:eastAsia="標楷體"/>
          <w:sz w:val="22"/>
          <w:szCs w:val="22"/>
        </w:rPr>
        <w:t>中去，這格外不可。因為不是已去，就是未去，「離」了「已去未去」二者，根本沒有去時的第三位，所以「去時亦無去」。</w:t>
      </w:r>
    </w:p>
    <w:p w:rsidR="00157EF6" w:rsidRPr="00043A1E" w:rsidRDefault="00157EF6" w:rsidP="00AA120F">
      <w:pPr>
        <w:snapToGrid w:val="0"/>
        <w:ind w:leftChars="335" w:left="804"/>
        <w:jc w:val="both"/>
        <w:rPr>
          <w:b/>
          <w:sz w:val="22"/>
          <w:szCs w:val="22"/>
        </w:rPr>
      </w:pPr>
      <w:r w:rsidRPr="00FC75B7">
        <w:rPr>
          <w:rFonts w:eastAsia="標楷體"/>
          <w:sz w:val="22"/>
          <w:szCs w:val="22"/>
          <w:highlight w:val="yellow"/>
        </w:rPr>
        <w:t>這</w:t>
      </w:r>
      <w:r w:rsidRPr="00043A1E">
        <w:rPr>
          <w:rFonts w:eastAsia="標楷體"/>
          <w:sz w:val="22"/>
          <w:szCs w:val="22"/>
        </w:rPr>
        <w:t>對三時中去，作一個根本的否定。</w:t>
      </w:r>
    </w:p>
  </w:footnote>
  <w:footnote w:id="639">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szCs w:val="22"/>
        </w:rPr>
        <w:t>《中論》卷</w:t>
      </w:r>
      <w:r w:rsidRPr="00761EF3">
        <w:rPr>
          <w:szCs w:val="22"/>
        </w:rPr>
        <w:t>1</w:t>
      </w:r>
      <w:r w:rsidRPr="00043A1E">
        <w:rPr>
          <w:szCs w:val="22"/>
        </w:rPr>
        <w:t>〈</w:t>
      </w:r>
      <w:r w:rsidRPr="00761EF3">
        <w:rPr>
          <w:rFonts w:hint="eastAsia"/>
          <w:szCs w:val="22"/>
        </w:rPr>
        <w:t>2</w:t>
      </w:r>
      <w:r w:rsidRPr="00043A1E">
        <w:rPr>
          <w:szCs w:val="22"/>
        </w:rPr>
        <w:t xml:space="preserve"> </w:t>
      </w:r>
      <w:r w:rsidRPr="00043A1E">
        <w:rPr>
          <w:szCs w:val="22"/>
        </w:rPr>
        <w:t>觀去來品〉（青目釋）（大正</w:t>
      </w:r>
      <w:r w:rsidRPr="00761EF3">
        <w:rPr>
          <w:szCs w:val="22"/>
        </w:rPr>
        <w:t>30</w:t>
      </w:r>
      <w:r w:rsidRPr="00043A1E">
        <w:rPr>
          <w:szCs w:val="22"/>
        </w:rPr>
        <w:t>，</w:t>
      </w:r>
      <w:r w:rsidRPr="00761EF3">
        <w:rPr>
          <w:szCs w:val="22"/>
        </w:rPr>
        <w:t>4b21</w:t>
      </w:r>
      <w:r w:rsidRPr="00043A1E">
        <w:rPr>
          <w:rFonts w:hint="eastAsia"/>
          <w:szCs w:val="22"/>
        </w:rPr>
        <w:t>-</w:t>
      </w:r>
      <w:r w:rsidRPr="00761EF3">
        <w:rPr>
          <w:szCs w:val="22"/>
        </w:rPr>
        <w:t>c5</w:t>
      </w:r>
      <w:r w:rsidRPr="00043A1E">
        <w:rPr>
          <w:szCs w:val="22"/>
        </w:rPr>
        <w:t>）：</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szCs w:val="22"/>
        </w:rPr>
        <w:t>若決定有去、有去者，應有初發。而於三時中，求發不可得。何以故？</w:t>
      </w:r>
    </w:p>
    <w:p w:rsidR="002E4C17" w:rsidRDefault="00157EF6" w:rsidP="00AA120F">
      <w:pPr>
        <w:pStyle w:val="a5"/>
        <w:ind w:leftChars="335" w:left="804"/>
        <w:jc w:val="both"/>
        <w:rPr>
          <w:rFonts w:ascii="標楷體" w:eastAsia="標楷體" w:hAnsi="標楷體"/>
          <w:b/>
          <w:szCs w:val="22"/>
        </w:rPr>
      </w:pPr>
      <w:r w:rsidRPr="00043A1E">
        <w:rPr>
          <w:rFonts w:ascii="標楷體" w:eastAsia="標楷體" w:hAnsi="標楷體"/>
          <w:b/>
          <w:szCs w:val="22"/>
        </w:rPr>
        <w:t>已去中無發，未去中無發，去時中無發，何處當有發？</w:t>
      </w:r>
    </w:p>
    <w:p w:rsidR="00157EF6" w:rsidRPr="00043A1E" w:rsidRDefault="00157EF6" w:rsidP="00AA120F">
      <w:pPr>
        <w:pStyle w:val="a5"/>
        <w:ind w:leftChars="335" w:left="804"/>
        <w:jc w:val="both"/>
        <w:rPr>
          <w:rFonts w:ascii="標楷體" w:eastAsia="標楷體" w:hAnsi="標楷體"/>
          <w:szCs w:val="22"/>
        </w:rPr>
      </w:pPr>
      <w:r w:rsidRPr="002E4C17">
        <w:rPr>
          <w:rFonts w:ascii="標楷體" w:eastAsia="標楷體" w:hAnsi="標楷體"/>
          <w:szCs w:val="22"/>
          <w:highlight w:val="yellow"/>
        </w:rPr>
        <w:t>何</w:t>
      </w:r>
      <w:r w:rsidRPr="00043A1E">
        <w:rPr>
          <w:rFonts w:ascii="標楷體" w:eastAsia="標楷體" w:hAnsi="標楷體"/>
          <w:szCs w:val="22"/>
        </w:rPr>
        <w:t>以故？三時中無發。</w:t>
      </w:r>
    </w:p>
    <w:p w:rsidR="00157EF6" w:rsidRPr="00043A1E" w:rsidRDefault="00157EF6" w:rsidP="00AA120F">
      <w:pPr>
        <w:pStyle w:val="a5"/>
        <w:ind w:leftChars="335" w:left="804"/>
        <w:jc w:val="both"/>
        <w:rPr>
          <w:rFonts w:ascii="標楷體" w:eastAsia="標楷體" w:hAnsi="標楷體"/>
          <w:b/>
          <w:szCs w:val="22"/>
        </w:rPr>
      </w:pPr>
      <w:r w:rsidRPr="00043A1E">
        <w:rPr>
          <w:rFonts w:ascii="標楷體" w:eastAsia="標楷體" w:hAnsi="標楷體"/>
          <w:b/>
          <w:szCs w:val="22"/>
        </w:rPr>
        <w:t>未發無去時，亦無有已去，是二應有發，未去何有發？</w:t>
      </w:r>
    </w:p>
    <w:p w:rsidR="00157EF6" w:rsidRPr="00043A1E" w:rsidRDefault="00157EF6" w:rsidP="00AA120F">
      <w:pPr>
        <w:pStyle w:val="a5"/>
        <w:ind w:leftChars="335" w:left="804"/>
        <w:jc w:val="both"/>
        <w:rPr>
          <w:rFonts w:ascii="標楷體" w:eastAsia="標楷體" w:hAnsi="標楷體"/>
          <w:b/>
          <w:szCs w:val="22"/>
        </w:rPr>
      </w:pPr>
      <w:r w:rsidRPr="00043A1E">
        <w:rPr>
          <w:rFonts w:ascii="標楷體" w:eastAsia="標楷體" w:hAnsi="標楷體"/>
          <w:b/>
          <w:szCs w:val="22"/>
        </w:rPr>
        <w:t>無去無未去，亦復無去時，一切無有發，何故而分別？</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szCs w:val="22"/>
        </w:rPr>
        <w:t>若人未發</w:t>
      </w:r>
      <w:r w:rsidR="002E4C17">
        <w:rPr>
          <w:rFonts w:ascii="標楷體" w:eastAsia="標楷體" w:hAnsi="標楷體" w:hint="eastAsia"/>
          <w:color w:val="FF0000"/>
          <w:kern w:val="0"/>
          <w:highlight w:val="yellow"/>
        </w:rPr>
        <w:t>，</w:t>
      </w:r>
      <w:r w:rsidRPr="00043A1E">
        <w:rPr>
          <w:rFonts w:ascii="標楷體" w:eastAsia="標楷體" w:hAnsi="標楷體"/>
          <w:szCs w:val="22"/>
        </w:rPr>
        <w:t>則無去時</w:t>
      </w:r>
      <w:r w:rsidRPr="00043A1E">
        <w:rPr>
          <w:rFonts w:ascii="標楷體" w:eastAsia="標楷體" w:hAnsi="標楷體" w:hint="eastAsia"/>
          <w:szCs w:val="22"/>
        </w:rPr>
        <w:t>，</w:t>
      </w:r>
      <w:r w:rsidRPr="00043A1E">
        <w:rPr>
          <w:rFonts w:ascii="標楷體" w:eastAsia="標楷體" w:hAnsi="標楷體"/>
          <w:szCs w:val="22"/>
        </w:rPr>
        <w:t>亦無已去。若有發</w:t>
      </w:r>
      <w:r w:rsidRPr="00043A1E">
        <w:rPr>
          <w:rFonts w:ascii="標楷體" w:eastAsia="標楷體" w:hAnsi="標楷體" w:hint="eastAsia"/>
          <w:szCs w:val="22"/>
        </w:rPr>
        <w:t>，</w:t>
      </w:r>
      <w:r w:rsidRPr="00043A1E">
        <w:rPr>
          <w:rFonts w:ascii="標楷體" w:eastAsia="標楷體" w:hAnsi="標楷體"/>
          <w:szCs w:val="22"/>
        </w:rPr>
        <w:t>當在二處</w:t>
      </w:r>
      <w:r w:rsidRPr="00043A1E">
        <w:rPr>
          <w:rFonts w:ascii="標楷體" w:eastAsia="標楷體" w:hAnsi="標楷體" w:hint="eastAsia"/>
          <w:szCs w:val="22"/>
        </w:rPr>
        <w:t>：</w:t>
      </w:r>
      <w:r w:rsidRPr="00043A1E">
        <w:rPr>
          <w:rFonts w:ascii="標楷體" w:eastAsia="標楷體" w:hAnsi="標楷體"/>
          <w:szCs w:val="22"/>
        </w:rPr>
        <w:t>去時</w:t>
      </w:r>
      <w:r w:rsidRPr="00043A1E">
        <w:rPr>
          <w:rFonts w:ascii="標楷體" w:eastAsia="標楷體" w:hAnsi="標楷體" w:hint="eastAsia"/>
          <w:szCs w:val="22"/>
        </w:rPr>
        <w:t>、</w:t>
      </w:r>
      <w:r w:rsidRPr="00043A1E">
        <w:rPr>
          <w:rFonts w:ascii="標楷體" w:eastAsia="標楷體" w:hAnsi="標楷體"/>
          <w:szCs w:val="22"/>
        </w:rPr>
        <w:t>已去中</w:t>
      </w:r>
      <w:r w:rsidRPr="00043A1E">
        <w:rPr>
          <w:rFonts w:ascii="標楷體" w:eastAsia="標楷體" w:hAnsi="標楷體" w:hint="eastAsia"/>
          <w:szCs w:val="22"/>
        </w:rPr>
        <w:t>；</w:t>
      </w:r>
      <w:r w:rsidRPr="00043A1E">
        <w:rPr>
          <w:rFonts w:ascii="標楷體" w:eastAsia="標楷體" w:hAnsi="標楷體"/>
          <w:szCs w:val="22"/>
        </w:rPr>
        <w:t>二俱不然</w:t>
      </w:r>
      <w:r w:rsidRPr="00043A1E">
        <w:rPr>
          <w:rFonts w:ascii="標楷體" w:eastAsia="標楷體" w:hAnsi="標楷體" w:hint="eastAsia"/>
          <w:szCs w:val="22"/>
        </w:rPr>
        <w:t>。</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szCs w:val="22"/>
        </w:rPr>
        <w:t>未去時未有發故</w:t>
      </w:r>
      <w:r w:rsidRPr="00043A1E">
        <w:rPr>
          <w:rFonts w:ascii="標楷體" w:eastAsia="標楷體" w:hAnsi="標楷體" w:hint="eastAsia"/>
          <w:szCs w:val="22"/>
        </w:rPr>
        <w:t>，</w:t>
      </w:r>
      <w:r w:rsidRPr="00043A1E">
        <w:rPr>
          <w:rFonts w:ascii="標楷體" w:eastAsia="標楷體" w:hAnsi="標楷體"/>
          <w:szCs w:val="22"/>
        </w:rPr>
        <w:t>未去中何有發</w:t>
      </w:r>
      <w:r w:rsidRPr="00043A1E">
        <w:rPr>
          <w:rFonts w:ascii="標楷體" w:eastAsia="標楷體" w:hAnsi="標楷體" w:hint="eastAsia"/>
          <w:szCs w:val="22"/>
        </w:rPr>
        <w:t>？</w:t>
      </w:r>
      <w:r w:rsidRPr="00043A1E">
        <w:rPr>
          <w:rFonts w:ascii="標楷體" w:eastAsia="標楷體" w:hAnsi="標楷體"/>
          <w:szCs w:val="22"/>
        </w:rPr>
        <w:t>發無故無去</w:t>
      </w:r>
      <w:r w:rsidRPr="00043A1E">
        <w:rPr>
          <w:rFonts w:ascii="標楷體" w:eastAsia="標楷體" w:hAnsi="標楷體" w:hint="eastAsia"/>
          <w:szCs w:val="22"/>
        </w:rPr>
        <w:t>，</w:t>
      </w:r>
      <w:r w:rsidRPr="00043A1E">
        <w:rPr>
          <w:rFonts w:ascii="標楷體" w:eastAsia="標楷體" w:hAnsi="標楷體"/>
          <w:szCs w:val="22"/>
        </w:rPr>
        <w:t>無去故無去者</w:t>
      </w:r>
      <w:r w:rsidRPr="00043A1E">
        <w:rPr>
          <w:rFonts w:ascii="標楷體" w:eastAsia="標楷體" w:hAnsi="標楷體" w:hint="eastAsia"/>
          <w:szCs w:val="22"/>
        </w:rPr>
        <w:t>，</w:t>
      </w:r>
      <w:r w:rsidRPr="00043A1E">
        <w:rPr>
          <w:rFonts w:ascii="標楷體" w:eastAsia="標楷體" w:hAnsi="標楷體"/>
          <w:szCs w:val="22"/>
        </w:rPr>
        <w:t>何得有</w:t>
      </w:r>
      <w:r w:rsidR="002E4C17">
        <w:rPr>
          <w:rFonts w:ascii="標楷體" w:eastAsia="標楷體" w:hAnsi="標楷體" w:hint="eastAsia"/>
          <w:bCs/>
          <w:color w:val="FF0000"/>
          <w:kern w:val="0"/>
          <w:highlight w:val="yellow"/>
        </w:rPr>
        <w:t>「</w:t>
      </w:r>
      <w:r w:rsidRPr="00043A1E">
        <w:rPr>
          <w:rFonts w:ascii="標楷體" w:eastAsia="標楷體" w:hAnsi="標楷體"/>
          <w:szCs w:val="22"/>
        </w:rPr>
        <w:t>已去</w:t>
      </w:r>
      <w:r w:rsidRPr="00043A1E">
        <w:rPr>
          <w:rFonts w:ascii="標楷體" w:eastAsia="標楷體" w:hAnsi="標楷體" w:hint="eastAsia"/>
          <w:szCs w:val="22"/>
        </w:rPr>
        <w:t>、</w:t>
      </w:r>
      <w:r w:rsidRPr="00043A1E">
        <w:rPr>
          <w:rFonts w:ascii="標楷體" w:eastAsia="標楷體" w:hAnsi="標楷體"/>
          <w:szCs w:val="22"/>
        </w:rPr>
        <w:t>未去</w:t>
      </w:r>
      <w:r w:rsidRPr="00043A1E">
        <w:rPr>
          <w:rFonts w:ascii="標楷體" w:eastAsia="標楷體" w:hAnsi="標楷體" w:hint="eastAsia"/>
          <w:szCs w:val="22"/>
        </w:rPr>
        <w:t>、</w:t>
      </w:r>
      <w:r w:rsidRPr="00043A1E">
        <w:rPr>
          <w:rFonts w:ascii="標楷體" w:eastAsia="標楷體" w:hAnsi="標楷體"/>
          <w:szCs w:val="22"/>
        </w:rPr>
        <w:t>去時</w:t>
      </w:r>
      <w:r w:rsidRPr="00043A1E">
        <w:rPr>
          <w:rFonts w:ascii="標楷體" w:eastAsia="標楷體" w:hAnsi="標楷體" w:hint="eastAsia"/>
          <w:szCs w:val="22"/>
        </w:rPr>
        <w:t>？</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）印順法師，《中觀論頌講記》，</w:t>
      </w:r>
      <w:r w:rsidRPr="00761EF3">
        <w:rPr>
          <w:rFonts w:hint="eastAsia"/>
          <w:szCs w:val="22"/>
        </w:rPr>
        <w:t>pp</w:t>
      </w:r>
      <w:r w:rsidRPr="00043A1E">
        <w:rPr>
          <w:rFonts w:hint="eastAsia"/>
          <w:szCs w:val="22"/>
        </w:rPr>
        <w:t>.</w:t>
      </w:r>
      <w:r w:rsidRPr="00761EF3">
        <w:rPr>
          <w:rFonts w:hint="eastAsia"/>
          <w:szCs w:val="22"/>
        </w:rPr>
        <w:t>91</w:t>
      </w:r>
      <w:r w:rsidRPr="00043A1E">
        <w:rPr>
          <w:rFonts w:hint="eastAsia"/>
          <w:szCs w:val="22"/>
        </w:rPr>
        <w:t>-</w:t>
      </w:r>
      <w:r w:rsidRPr="00761EF3">
        <w:rPr>
          <w:rFonts w:hint="eastAsia"/>
          <w:szCs w:val="22"/>
        </w:rPr>
        <w:t>93</w:t>
      </w:r>
      <w:r w:rsidRPr="00043A1E">
        <w:rPr>
          <w:rFonts w:hint="eastAsia"/>
          <w:szCs w:val="22"/>
        </w:rPr>
        <w:t>：</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這三首頌，是破最初的發動不成。外人聽了去時去不可能，去者也不可能，但他的內心，總覺得有真實的去。他覺得眼見有開始動作的初發，有了發，不能說沒有去。從世間的常識說，</w:t>
      </w:r>
      <w:r w:rsidRPr="00043A1E">
        <w:rPr>
          <w:rFonts w:ascii="標楷體" w:eastAsia="標楷體" w:hAnsi="標楷體" w:hint="eastAsia"/>
          <w:b/>
          <w:szCs w:val="22"/>
        </w:rPr>
        <w:t>最初提起兩隻腳來是發，正在走的時候是去</w:t>
      </w:r>
      <w:r w:rsidRPr="00043A1E">
        <w:rPr>
          <w:rFonts w:ascii="標楷體" w:eastAsia="標楷體" w:hAnsi="標楷體" w:hint="eastAsia"/>
          <w:szCs w:val="22"/>
        </w:rPr>
        <w:t>。</w:t>
      </w:r>
      <w:r w:rsidRPr="00043A1E">
        <w:rPr>
          <w:rFonts w:ascii="標楷體" w:eastAsia="標楷體" w:hAnsi="標楷體" w:hint="eastAsia"/>
          <w:b/>
          <w:szCs w:val="22"/>
        </w:rPr>
        <w:t>約動作說：去發是沒有差別的；約先後說，那麼發是因，去是果。</w:t>
      </w:r>
      <w:r w:rsidRPr="00043A1E">
        <w:rPr>
          <w:rFonts w:ascii="標楷體" w:eastAsia="標楷體" w:hAnsi="標楷體" w:hint="eastAsia"/>
          <w:szCs w:val="22"/>
        </w:rPr>
        <w:t>有發決定有去；他提出最初的發動，目的仍在成立他的有去。</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外人既執著初發的動作，那不妨觀察所說的初發，是在</w:t>
      </w:r>
      <w:r w:rsidRPr="00043A1E">
        <w:rPr>
          <w:rFonts w:ascii="標楷體" w:eastAsia="標楷體" w:hAnsi="標楷體" w:hint="eastAsia"/>
          <w:b/>
          <w:szCs w:val="22"/>
        </w:rPr>
        <w:t>已去</w:t>
      </w:r>
      <w:r w:rsidRPr="00043A1E">
        <w:rPr>
          <w:rFonts w:ascii="標楷體" w:eastAsia="標楷體" w:hAnsi="標楷體" w:hint="eastAsia"/>
          <w:szCs w:val="22"/>
        </w:rPr>
        <w:t>中、</w:t>
      </w:r>
      <w:r w:rsidRPr="00043A1E">
        <w:rPr>
          <w:rFonts w:ascii="標楷體" w:eastAsia="標楷體" w:hAnsi="標楷體" w:hint="eastAsia"/>
          <w:b/>
          <w:szCs w:val="22"/>
        </w:rPr>
        <w:t>未去</w:t>
      </w:r>
      <w:r w:rsidRPr="00043A1E">
        <w:rPr>
          <w:rFonts w:ascii="標楷體" w:eastAsia="標楷體" w:hAnsi="標楷體" w:hint="eastAsia"/>
          <w:szCs w:val="22"/>
        </w:rPr>
        <w:t>中，還是</w:t>
      </w:r>
      <w:r w:rsidRPr="00043A1E">
        <w:rPr>
          <w:rFonts w:ascii="標楷體" w:eastAsia="標楷體" w:hAnsi="標楷體" w:hint="eastAsia"/>
          <w:b/>
          <w:szCs w:val="22"/>
        </w:rPr>
        <w:t>去時</w:t>
      </w:r>
      <w:r w:rsidRPr="00043A1E">
        <w:rPr>
          <w:rFonts w:ascii="標楷體" w:eastAsia="標楷體" w:hAnsi="標楷體" w:hint="eastAsia"/>
          <w:szCs w:val="22"/>
        </w:rPr>
        <w:t>中呢？</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b/>
          <w:szCs w:val="22"/>
        </w:rPr>
        <w:t>「已去中」是「無發」的</w:t>
      </w:r>
      <w:r w:rsidRPr="00043A1E">
        <w:rPr>
          <w:rFonts w:ascii="標楷體" w:eastAsia="標楷體" w:hAnsi="標楷體" w:hint="eastAsia"/>
          <w:szCs w:val="22"/>
        </w:rPr>
        <w:t>，因為去是發果，早已過去了，不可說還有去因的初發。</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b/>
          <w:szCs w:val="22"/>
        </w:rPr>
        <w:t>「未去中」也「無發」</w:t>
      </w:r>
      <w:r w:rsidRPr="00043A1E">
        <w:rPr>
          <w:rFonts w:ascii="標楷體" w:eastAsia="標楷體" w:hAnsi="標楷體" w:hint="eastAsia"/>
          <w:szCs w:val="22"/>
        </w:rPr>
        <w:t>，發是從靜到動的轉扭點，但已是動作，未去還沒有動作，所以不能有發。</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離已去未去，既沒有去時的別體，</w:t>
      </w:r>
      <w:r w:rsidRPr="00043A1E">
        <w:rPr>
          <w:rFonts w:ascii="標楷體" w:eastAsia="標楷體" w:hAnsi="標楷體" w:hint="eastAsia"/>
          <w:b/>
          <w:szCs w:val="22"/>
        </w:rPr>
        <w:t>「去時中」也當然「無發」。</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在三時門中觀察，求初發都不可得，</w:t>
      </w:r>
      <w:r w:rsidRPr="00043A1E">
        <w:rPr>
          <w:rFonts w:ascii="標楷體" w:eastAsia="標楷體" w:hAnsi="標楷體" w:hint="eastAsia"/>
          <w:b/>
          <w:szCs w:val="22"/>
        </w:rPr>
        <w:t>三時都不可得，「何處」還可說「有發」呢？</w:t>
      </w:r>
    </w:p>
    <w:p w:rsidR="00157EF6" w:rsidRPr="00043A1E" w:rsidRDefault="00157EF6" w:rsidP="00AA120F">
      <w:pPr>
        <w:pStyle w:val="a5"/>
        <w:ind w:leftChars="335" w:left="804"/>
        <w:jc w:val="both"/>
        <w:rPr>
          <w:rFonts w:ascii="標楷體" w:eastAsia="標楷體" w:hAnsi="標楷體"/>
          <w:b/>
          <w:szCs w:val="22"/>
        </w:rPr>
      </w:pPr>
      <w:r w:rsidRPr="00043A1E">
        <w:rPr>
          <w:rFonts w:ascii="標楷體" w:eastAsia="標楷體" w:hAnsi="標楷體" w:hint="eastAsia"/>
          <w:szCs w:val="22"/>
        </w:rPr>
        <w:t>作三時門的推究，不說發則已，要說有發，那決定在已去或去時中，因為發是發動，未去是沒有發的。但是，似乎應有發的去時與已去，要在發動以後才能成立，在沒有發動之前，根本談不上去時和已去。因此，在去時和已去中求初發，也同樣的不可得。所以說</w:t>
      </w:r>
      <w:r w:rsidRPr="00043A1E">
        <w:rPr>
          <w:rFonts w:ascii="標楷體" w:eastAsia="標楷體" w:hAnsi="標楷體" w:hint="eastAsia"/>
          <w:b/>
          <w:szCs w:val="22"/>
        </w:rPr>
        <w:t>「未」曾「發」動時是「無」有「去時，亦無有已去」的。假定要說有發，就在這已去、去時的二者中；這「二」者，「應有發」而實際還是沒有；沒有動作的「未去」，那裡還會「有發」呢？</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這樣，</w:t>
      </w:r>
      <w:r w:rsidRPr="00043A1E">
        <w:rPr>
          <w:rFonts w:ascii="標楷體" w:eastAsia="標楷體" w:hAnsi="標楷體" w:hint="eastAsia"/>
          <w:b/>
          <w:szCs w:val="22"/>
        </w:rPr>
        <w:t>「無」已「去」的發，「無未去」的發，也「無去時」的發，在「一切」時中都「無有發」，既沒有去因的初發，就沒有去法的實體，沒有去，「何故」還要「分別」已去，未去，去時呢？</w:t>
      </w:r>
      <w:r w:rsidRPr="00043A1E">
        <w:rPr>
          <w:rFonts w:ascii="標楷體" w:eastAsia="標楷體" w:hAnsi="標楷體" w:hint="eastAsia"/>
          <w:szCs w:val="22"/>
        </w:rPr>
        <w:t>最初動作的發不可得，去法仍然不得成立。</w:t>
      </w:r>
    </w:p>
  </w:footnote>
  <w:footnote w:id="640">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）《中論》卷</w:t>
      </w:r>
      <w:r w:rsidRPr="00761EF3">
        <w:rPr>
          <w:rFonts w:hint="eastAsia"/>
          <w:szCs w:val="22"/>
        </w:rPr>
        <w:t>1</w:t>
      </w:r>
      <w:r w:rsidRPr="00043A1E">
        <w:rPr>
          <w:rFonts w:hint="eastAsia"/>
          <w:szCs w:val="22"/>
        </w:rPr>
        <w:t>〈</w:t>
      </w:r>
      <w:r w:rsidRPr="00761EF3">
        <w:rPr>
          <w:rFonts w:hint="eastAsia"/>
          <w:szCs w:val="22"/>
        </w:rPr>
        <w:t>2</w:t>
      </w:r>
      <w:r w:rsidRPr="00043A1E">
        <w:rPr>
          <w:szCs w:val="22"/>
        </w:rPr>
        <w:t xml:space="preserve"> </w:t>
      </w:r>
      <w:r w:rsidRPr="00043A1E">
        <w:rPr>
          <w:rFonts w:hint="eastAsia"/>
          <w:szCs w:val="22"/>
        </w:rPr>
        <w:t>觀去來品〉：</w:t>
      </w:r>
    </w:p>
    <w:p w:rsidR="00157EF6" w:rsidRPr="00043A1E" w:rsidRDefault="00157EF6" w:rsidP="00AA120F">
      <w:pPr>
        <w:pStyle w:val="a5"/>
        <w:ind w:leftChars="335" w:left="804"/>
        <w:jc w:val="both"/>
        <w:rPr>
          <w:rFonts w:ascii="標楷體" w:eastAsia="標楷體" w:hAnsi="標楷體"/>
          <w:b/>
          <w:szCs w:val="22"/>
        </w:rPr>
      </w:pPr>
      <w:r w:rsidRPr="00043A1E">
        <w:rPr>
          <w:rFonts w:ascii="標楷體" w:eastAsia="標楷體" w:hAnsi="標楷體" w:hint="eastAsia"/>
          <w:b/>
          <w:szCs w:val="22"/>
        </w:rPr>
        <w:t>去者若當住，云何有此義？若當離於去，去者不可得。</w:t>
      </w:r>
      <w:r w:rsidRPr="00043A1E">
        <w:rPr>
          <w:rFonts w:hint="eastAsia"/>
          <w:szCs w:val="22"/>
        </w:rPr>
        <w:t>（大正</w:t>
      </w:r>
      <w:r w:rsidRPr="00761EF3">
        <w:rPr>
          <w:rFonts w:hint="eastAsia"/>
          <w:szCs w:val="22"/>
        </w:rPr>
        <w:t>30</w:t>
      </w:r>
      <w:r w:rsidRPr="00043A1E">
        <w:rPr>
          <w:rFonts w:hint="eastAsia"/>
          <w:szCs w:val="22"/>
        </w:rPr>
        <w:t>，</w:t>
      </w:r>
      <w:r w:rsidRPr="00761EF3">
        <w:rPr>
          <w:rFonts w:hint="eastAsia"/>
          <w:szCs w:val="22"/>
        </w:rPr>
        <w:t>5a5</w:t>
      </w:r>
      <w:r w:rsidRPr="00043A1E">
        <w:rPr>
          <w:rFonts w:hint="eastAsia"/>
          <w:szCs w:val="22"/>
        </w:rPr>
        <w:t>-</w:t>
      </w:r>
      <w:r w:rsidRPr="00761EF3">
        <w:rPr>
          <w:rFonts w:hint="eastAsia"/>
          <w:szCs w:val="22"/>
        </w:rPr>
        <w:t>6</w:t>
      </w:r>
      <w:r w:rsidRPr="00043A1E">
        <w:rPr>
          <w:rFonts w:hint="eastAsia"/>
          <w:szCs w:val="22"/>
        </w:rPr>
        <w:t>）</w:t>
      </w:r>
    </w:p>
    <w:p w:rsidR="00157EF6" w:rsidRPr="00043A1E" w:rsidRDefault="00157EF6" w:rsidP="00AA120F">
      <w:pPr>
        <w:pStyle w:val="a5"/>
        <w:ind w:leftChars="335" w:left="804"/>
        <w:jc w:val="both"/>
        <w:rPr>
          <w:szCs w:val="22"/>
        </w:rPr>
      </w:pPr>
      <w:r w:rsidRPr="00043A1E">
        <w:rPr>
          <w:rFonts w:ascii="標楷體" w:eastAsia="標楷體" w:hAnsi="標楷體" w:hint="eastAsia"/>
          <w:b/>
          <w:szCs w:val="22"/>
        </w:rPr>
        <w:t>去未去無住，去時亦無住。所有行止法，皆同於去義。</w:t>
      </w:r>
      <w:r w:rsidRPr="00043A1E">
        <w:rPr>
          <w:rFonts w:hint="eastAsia"/>
          <w:szCs w:val="22"/>
        </w:rPr>
        <w:t>（大正</w:t>
      </w:r>
      <w:r w:rsidRPr="00761EF3">
        <w:rPr>
          <w:rFonts w:hint="eastAsia"/>
          <w:szCs w:val="22"/>
        </w:rPr>
        <w:t>30</w:t>
      </w:r>
      <w:r w:rsidRPr="00043A1E">
        <w:rPr>
          <w:rFonts w:hint="eastAsia"/>
          <w:szCs w:val="22"/>
        </w:rPr>
        <w:t>，</w:t>
      </w:r>
      <w:r w:rsidRPr="00761EF3">
        <w:rPr>
          <w:rFonts w:hint="eastAsia"/>
          <w:szCs w:val="22"/>
        </w:rPr>
        <w:t>5a10</w:t>
      </w:r>
      <w:r w:rsidRPr="00043A1E">
        <w:rPr>
          <w:rFonts w:hint="eastAsia"/>
          <w:szCs w:val="22"/>
        </w:rPr>
        <w:t>-</w:t>
      </w:r>
      <w:r w:rsidRPr="00761EF3">
        <w:rPr>
          <w:rFonts w:hint="eastAsia"/>
          <w:szCs w:val="22"/>
        </w:rPr>
        <w:t>11</w:t>
      </w:r>
      <w:r w:rsidRPr="00043A1E">
        <w:rPr>
          <w:rFonts w:hint="eastAsia"/>
          <w:szCs w:val="22"/>
        </w:rPr>
        <w:t>）</w:t>
      </w:r>
    </w:p>
    <w:p w:rsidR="00157EF6" w:rsidRPr="00043A1E" w:rsidRDefault="00157EF6" w:rsidP="00AA120F">
      <w:pPr>
        <w:pStyle w:val="a5"/>
        <w:ind w:leftChars="105" w:left="791" w:hangingChars="245" w:hanging="539"/>
        <w:jc w:val="both"/>
        <w:rPr>
          <w:szCs w:val="22"/>
        </w:rPr>
      </w:pPr>
      <w:r w:rsidRPr="00043A1E">
        <w:rPr>
          <w:szCs w:val="22"/>
        </w:rPr>
        <w:t>（</w:t>
      </w:r>
      <w:r w:rsidRPr="00761EF3">
        <w:rPr>
          <w:szCs w:val="22"/>
        </w:rPr>
        <w:t>2</w:t>
      </w:r>
      <w:r w:rsidRPr="00043A1E">
        <w:rPr>
          <w:szCs w:val="22"/>
        </w:rPr>
        <w:t>）</w:t>
      </w:r>
      <w:r w:rsidRPr="00043A1E">
        <w:rPr>
          <w:rFonts w:hint="eastAsia"/>
          <w:szCs w:val="22"/>
        </w:rPr>
        <w:t>印順法師，《</w:t>
      </w:r>
      <w:r w:rsidRPr="00043A1E">
        <w:rPr>
          <w:szCs w:val="22"/>
        </w:rPr>
        <w:t>中</w:t>
      </w:r>
      <w:r w:rsidRPr="00043A1E">
        <w:rPr>
          <w:rFonts w:hint="eastAsia"/>
          <w:szCs w:val="22"/>
        </w:rPr>
        <w:t>觀論頌講記》，</w:t>
      </w:r>
      <w:r w:rsidRPr="00761EF3">
        <w:rPr>
          <w:rFonts w:hint="eastAsia"/>
          <w:szCs w:val="22"/>
        </w:rPr>
        <w:t>pp</w:t>
      </w:r>
      <w:r w:rsidRPr="00043A1E">
        <w:rPr>
          <w:rFonts w:hint="eastAsia"/>
          <w:szCs w:val="22"/>
        </w:rPr>
        <w:t>.</w:t>
      </w:r>
      <w:r w:rsidRPr="00761EF3">
        <w:rPr>
          <w:rFonts w:hint="eastAsia"/>
          <w:szCs w:val="22"/>
        </w:rPr>
        <w:t>93</w:t>
      </w:r>
      <w:r w:rsidRPr="00043A1E">
        <w:rPr>
          <w:rFonts w:hint="eastAsia"/>
          <w:szCs w:val="22"/>
        </w:rPr>
        <w:t>-</w:t>
      </w:r>
      <w:r w:rsidRPr="00761EF3">
        <w:rPr>
          <w:rFonts w:hint="eastAsia"/>
          <w:szCs w:val="22"/>
        </w:rPr>
        <w:t>95</w:t>
      </w:r>
      <w:r w:rsidRPr="00043A1E">
        <w:rPr>
          <w:rFonts w:hint="eastAsia"/>
          <w:szCs w:val="22"/>
        </w:rPr>
        <w:t>：</w:t>
      </w:r>
    </w:p>
    <w:p w:rsidR="00157EF6" w:rsidRPr="00043A1E" w:rsidRDefault="00157EF6" w:rsidP="00AA120F">
      <w:pPr>
        <w:pStyle w:val="a5"/>
        <w:ind w:leftChars="335" w:left="804"/>
        <w:jc w:val="both"/>
        <w:rPr>
          <w:rFonts w:ascii="標楷體" w:eastAsia="標楷體" w:hAnsi="標楷體"/>
          <w:b/>
          <w:szCs w:val="22"/>
        </w:rPr>
      </w:pPr>
      <w:r w:rsidRPr="00043A1E">
        <w:rPr>
          <w:rFonts w:ascii="標楷體" w:eastAsia="標楷體" w:hAnsi="標楷體" w:hint="eastAsia"/>
          <w:b/>
          <w:szCs w:val="22"/>
        </w:rPr>
        <w:t>去者若當住，云何有此義？若當離於去，去者不可得。</w:t>
      </w:r>
    </w:p>
    <w:p w:rsidR="00157EF6" w:rsidRPr="00043A1E" w:rsidRDefault="00157EF6" w:rsidP="00AA120F">
      <w:pPr>
        <w:pStyle w:val="a5"/>
        <w:ind w:leftChars="335" w:left="804"/>
        <w:jc w:val="both"/>
        <w:rPr>
          <w:rFonts w:ascii="標楷體" w:eastAsia="標楷體" w:hAnsi="標楷體"/>
          <w:b/>
          <w:szCs w:val="22"/>
        </w:rPr>
      </w:pPr>
      <w:r w:rsidRPr="00043A1E">
        <w:rPr>
          <w:rFonts w:ascii="標楷體" w:eastAsia="標楷體" w:hAnsi="標楷體" w:hint="eastAsia"/>
          <w:b/>
          <w:szCs w:val="22"/>
        </w:rPr>
        <w:t>去未去無住，去時亦無住。所有行止法，皆同於去義。</w:t>
      </w:r>
    </w:p>
    <w:p w:rsidR="00157EF6" w:rsidRPr="00E15E6F"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b/>
          <w:szCs w:val="22"/>
        </w:rPr>
        <w:t>行動的「去者，若」說他「當」來可以有「住」，這怎麼會「有此義」呢？要知道去者與去法，是不相離的，「若」是「當」來到了靜止的時候，那時已「離於去」法，離了去法，「去者」就「不可得」。</w:t>
      </w:r>
      <w:r w:rsidRPr="00043A1E">
        <w:rPr>
          <w:rFonts w:ascii="標楷體" w:eastAsia="標楷體" w:hAnsi="標楷體" w:hint="eastAsia"/>
          <w:szCs w:val="22"/>
        </w:rPr>
        <w:t>已經住下的時候，去</w:t>
      </w:r>
      <w:r w:rsidRPr="00E15E6F">
        <w:rPr>
          <w:rFonts w:ascii="標楷體" w:eastAsia="標楷體" w:hAnsi="標楷體" w:hint="eastAsia"/>
          <w:szCs w:val="22"/>
        </w:rPr>
        <w:t>者的名義已不再存在，或者可以說住者住，怎麼可以說去者住呢？</w:t>
      </w:r>
    </w:p>
    <w:p w:rsidR="00157EF6" w:rsidRPr="00043A1E" w:rsidRDefault="00157EF6" w:rsidP="00AE3920">
      <w:pPr>
        <w:pStyle w:val="a5"/>
        <w:spacing w:beforeLines="20"/>
        <w:ind w:leftChars="335" w:left="804"/>
        <w:jc w:val="both"/>
        <w:rPr>
          <w:rFonts w:ascii="標楷體" w:eastAsia="標楷體" w:hAnsi="標楷體"/>
          <w:szCs w:val="22"/>
        </w:rPr>
      </w:pPr>
      <w:r w:rsidRPr="00E15E6F">
        <w:rPr>
          <w:rFonts w:ascii="標楷體" w:eastAsia="標楷體" w:hAnsi="標楷體" w:hint="eastAsia"/>
          <w:szCs w:val="22"/>
        </w:rPr>
        <w:t>這樣的一一推究起來，</w:t>
      </w:r>
      <w:r w:rsidRPr="00E15E6F">
        <w:rPr>
          <w:rFonts w:ascii="標楷體" w:eastAsia="標楷體" w:hAnsi="標楷體" w:hint="eastAsia"/>
          <w:b/>
          <w:szCs w:val="22"/>
        </w:rPr>
        <w:t>已「去」是沒有住的，「未去」是「無」有「住」的，「去時亦」是「無住」的</w:t>
      </w:r>
      <w:r w:rsidRPr="00E15E6F">
        <w:rPr>
          <w:rFonts w:ascii="標楷體" w:eastAsia="標楷體" w:hAnsi="標楷體" w:hint="eastAsia"/>
          <w:szCs w:val="22"/>
        </w:rPr>
        <w:t>。自性有的住止既不可得，想以住成立去，那更是不行了。不但人的來去，應作如此觀，</w:t>
      </w:r>
      <w:r w:rsidRPr="00E15E6F">
        <w:rPr>
          <w:rFonts w:ascii="標楷體" w:eastAsia="標楷體" w:hAnsi="標楷體" w:hint="eastAsia"/>
          <w:b/>
          <w:szCs w:val="22"/>
        </w:rPr>
        <w:t>「所有」的「行止法」，都應作這樣的</w:t>
      </w:r>
      <w:r w:rsidRPr="00043A1E">
        <w:rPr>
          <w:rFonts w:ascii="標楷體" w:eastAsia="標楷體" w:hAnsi="標楷體" w:hint="eastAsia"/>
          <w:b/>
          <w:szCs w:val="22"/>
        </w:rPr>
        <w:t>正觀。</w:t>
      </w:r>
      <w:r w:rsidRPr="00043A1E">
        <w:rPr>
          <w:rFonts w:ascii="標楷體" w:eastAsia="標楷體" w:hAnsi="標楷體" w:hint="eastAsia"/>
          <w:szCs w:val="22"/>
        </w:rPr>
        <w:t>凡是時間上的過去來現在，現在去未來；空間中的從此去彼，從彼來此；就是十二緣起中的無明緣行，行緣識等的諸行，無明滅則行滅，行滅則識滅等的寂止。這一切一切的動靜相，都可以準此類推。三界生死流動的諸行，諸行息滅無餘的寂止，在緣起如幻的世俗諦中，本來是可以成立的，但是若執著實在的自性，說我與法別體，法與時別體，法與法別體，那麼所有的動靜相，都不可能了！</w:t>
      </w:r>
    </w:p>
  </w:footnote>
  <w:footnote w:id="641">
    <w:p w:rsidR="002968BA" w:rsidRPr="00043A1E" w:rsidRDefault="002968BA" w:rsidP="002968BA">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印順法師，《中觀今論》，</w:t>
      </w:r>
      <w:r w:rsidRPr="00761EF3">
        <w:rPr>
          <w:rFonts w:hint="eastAsia"/>
          <w:szCs w:val="22"/>
        </w:rPr>
        <w:t>pp</w:t>
      </w:r>
      <w:r w:rsidRPr="00043A1E">
        <w:rPr>
          <w:rFonts w:hint="eastAsia"/>
          <w:szCs w:val="22"/>
        </w:rPr>
        <w:t>.</w:t>
      </w:r>
      <w:r w:rsidRPr="00761EF3">
        <w:rPr>
          <w:rFonts w:hint="eastAsia"/>
          <w:szCs w:val="22"/>
        </w:rPr>
        <w:t>103</w:t>
      </w:r>
      <w:r w:rsidRPr="00043A1E">
        <w:rPr>
          <w:rFonts w:hint="eastAsia"/>
          <w:szCs w:val="22"/>
        </w:rPr>
        <w:t>-</w:t>
      </w:r>
      <w:r w:rsidRPr="00761EF3">
        <w:rPr>
          <w:rFonts w:hint="eastAsia"/>
          <w:szCs w:val="22"/>
        </w:rPr>
        <w:t>104</w:t>
      </w:r>
      <w:r w:rsidRPr="00043A1E">
        <w:rPr>
          <w:rFonts w:hint="eastAsia"/>
          <w:szCs w:val="22"/>
        </w:rPr>
        <w:t>：</w:t>
      </w:r>
    </w:p>
    <w:p w:rsidR="002968BA" w:rsidRPr="00043A1E" w:rsidRDefault="002968BA" w:rsidP="002968BA">
      <w:pPr>
        <w:pStyle w:val="a5"/>
        <w:ind w:leftChars="105" w:left="252"/>
        <w:jc w:val="both"/>
        <w:rPr>
          <w:rFonts w:ascii="標楷體" w:eastAsia="標楷體" w:hAnsi="標楷體"/>
          <w:szCs w:val="22"/>
        </w:rPr>
      </w:pPr>
      <w:r w:rsidRPr="00043A1E">
        <w:rPr>
          <w:rFonts w:ascii="標楷體" w:eastAsia="標楷體" w:hAnsi="標楷體" w:hint="eastAsia"/>
          <w:szCs w:val="22"/>
        </w:rPr>
        <w:t>薩婆多部是主張生住滅同時的，換句話說：有「生」時，即有「住」，也即有「滅」。但這在自性論者，論理上是矛盾的──自性論者是不能容許矛盾的。生時有住也有滅，則此法究竟是生是住還是滅？這是一個難題。在此，</w:t>
      </w:r>
      <w:r w:rsidRPr="00043A1E">
        <w:rPr>
          <w:rFonts w:ascii="標楷體" w:eastAsia="標楷體" w:hAnsi="標楷體" w:hint="eastAsia"/>
          <w:b/>
          <w:szCs w:val="22"/>
        </w:rPr>
        <w:t>薩婆多部給以「體同時，用前後」的解說。</w:t>
      </w:r>
      <w:r w:rsidRPr="00043A1E">
        <w:rPr>
          <w:rFonts w:ascii="標楷體" w:eastAsia="標楷體" w:hAnsi="標楷體" w:hint="eastAsia"/>
          <w:szCs w:val="22"/>
        </w:rPr>
        <w:t>他們說：「生」起生用的時候，雖已有「住」與「滅」的體，而還沒有起住用與滅用。這樣，「住」現起住用的時候，「生」與「滅」同在，而生的作用已息，滅的作用未來。等到「滅」現起作用時，同樣地，「生」「住」之體還現在，而作用已息。</w:t>
      </w:r>
    </w:p>
    <w:p w:rsidR="002968BA" w:rsidRPr="00043A1E" w:rsidRDefault="002968BA" w:rsidP="002968BA">
      <w:pPr>
        <w:pStyle w:val="a5"/>
        <w:ind w:leftChars="105" w:left="252"/>
        <w:jc w:val="both"/>
        <w:rPr>
          <w:rFonts w:ascii="標楷體" w:eastAsia="標楷體" w:hAnsi="標楷體"/>
          <w:szCs w:val="22"/>
        </w:rPr>
      </w:pPr>
      <w:r w:rsidRPr="00043A1E">
        <w:rPr>
          <w:rFonts w:ascii="標楷體" w:eastAsia="標楷體" w:hAnsi="標楷體" w:hint="eastAsia"/>
          <w:szCs w:val="22"/>
        </w:rPr>
        <w:t>這樣說生住滅同時，而又說生住滅作用不同時，似乎可以避免作用的矛盾，而又可以成立同時有「三有為相」了。</w:t>
      </w:r>
    </w:p>
    <w:p w:rsidR="002968BA" w:rsidRPr="00043A1E" w:rsidRDefault="002968BA" w:rsidP="002968BA">
      <w:pPr>
        <w:pStyle w:val="a5"/>
        <w:ind w:leftChars="105" w:left="252"/>
        <w:jc w:val="both"/>
        <w:rPr>
          <w:rFonts w:ascii="標楷體" w:eastAsia="標楷體" w:hAnsi="標楷體"/>
          <w:szCs w:val="22"/>
        </w:rPr>
      </w:pPr>
      <w:r w:rsidRPr="00043A1E">
        <w:rPr>
          <w:rFonts w:ascii="標楷體" w:eastAsia="標楷體" w:hAnsi="標楷體" w:hint="eastAsia"/>
          <w:szCs w:val="22"/>
        </w:rPr>
        <w:t>但在中觀者看來，「體同時，用前後」，是不可能的事。既說有前後的生等作用，為什麼不許生等的體有前後？生等的體既同時，為何不許同時有生等的作用？把體用劃分兩截，事實上那會有離體之用、離用之體呢？所以，終不免《中論》</w:t>
      </w:r>
      <w:r w:rsidR="00B5563D">
        <w:rPr>
          <w:rFonts w:hint="eastAsia"/>
        </w:rPr>
        <w:t>〈</w:t>
      </w:r>
      <w:r w:rsidR="00B5563D" w:rsidRPr="00B5563D">
        <w:rPr>
          <w:rFonts w:hint="eastAsia"/>
          <w:shd w:val="pct15" w:color="auto" w:fill="FFFFFF"/>
        </w:rPr>
        <w:t>21</w:t>
      </w:r>
      <w:r w:rsidR="00B5563D">
        <w:rPr>
          <w:rFonts w:hint="eastAsia"/>
        </w:rPr>
        <w:t xml:space="preserve"> </w:t>
      </w:r>
      <w:r w:rsidR="00B5563D" w:rsidRPr="00043A1E">
        <w:rPr>
          <w:rFonts w:ascii="標楷體" w:eastAsia="標楷體" w:hAnsi="標楷體" w:hint="eastAsia"/>
          <w:szCs w:val="22"/>
        </w:rPr>
        <w:t>觀成壞品</w:t>
      </w:r>
      <w:r w:rsidR="00B5563D">
        <w:rPr>
          <w:rFonts w:hint="eastAsia"/>
        </w:rPr>
        <w:t>〉</w:t>
      </w:r>
      <w:r w:rsidRPr="00043A1E">
        <w:rPr>
          <w:rFonts w:ascii="標楷體" w:eastAsia="標楷體" w:hAnsi="標楷體" w:hint="eastAsia"/>
          <w:szCs w:val="22"/>
        </w:rPr>
        <w:t>所說的「若言於生滅，而謂一時者，則於此陰死，即於此陰生」的過失。</w:t>
      </w:r>
    </w:p>
  </w:footnote>
  <w:footnote w:id="642">
    <w:p w:rsidR="002968BA" w:rsidRPr="00043A1E" w:rsidRDefault="002968BA" w:rsidP="002968BA">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印順法師，《中觀今論》，</w:t>
      </w:r>
      <w:r w:rsidRPr="00761EF3">
        <w:rPr>
          <w:rFonts w:hint="eastAsia"/>
          <w:szCs w:val="22"/>
        </w:rPr>
        <w:t>pp</w:t>
      </w:r>
      <w:r w:rsidRPr="00043A1E">
        <w:rPr>
          <w:rFonts w:hint="eastAsia"/>
          <w:szCs w:val="22"/>
        </w:rPr>
        <w:t>.</w:t>
      </w:r>
      <w:r w:rsidRPr="00761EF3">
        <w:rPr>
          <w:rFonts w:hint="eastAsia"/>
          <w:szCs w:val="22"/>
        </w:rPr>
        <w:t>102</w:t>
      </w:r>
      <w:r w:rsidRPr="00043A1E">
        <w:rPr>
          <w:rFonts w:hint="eastAsia"/>
          <w:szCs w:val="22"/>
        </w:rPr>
        <w:t>-</w:t>
      </w:r>
      <w:r w:rsidRPr="00761EF3">
        <w:rPr>
          <w:rFonts w:hint="eastAsia"/>
          <w:szCs w:val="22"/>
        </w:rPr>
        <w:t>103</w:t>
      </w:r>
      <w:r w:rsidRPr="00043A1E">
        <w:rPr>
          <w:rFonts w:hint="eastAsia"/>
          <w:szCs w:val="22"/>
        </w:rPr>
        <w:t>：</w:t>
      </w:r>
    </w:p>
    <w:p w:rsidR="002968BA" w:rsidRPr="00043A1E" w:rsidRDefault="002968BA" w:rsidP="002968BA">
      <w:pPr>
        <w:pStyle w:val="a5"/>
        <w:ind w:leftChars="105" w:left="252"/>
        <w:jc w:val="both"/>
        <w:rPr>
          <w:rFonts w:ascii="標楷體" w:eastAsia="標楷體" w:hAnsi="標楷體"/>
          <w:szCs w:val="22"/>
        </w:rPr>
      </w:pPr>
      <w:r w:rsidRPr="00043A1E">
        <w:rPr>
          <w:rFonts w:ascii="標楷體" w:eastAsia="標楷體" w:hAnsi="標楷體" w:hint="eastAsia"/>
          <w:szCs w:val="22"/>
        </w:rPr>
        <w:t>在執有自性者，不論執聚或執散，論理上都是說不通的。比如時間最短不過的剎那，經部師和上座部他們，主張生滅不同時的，這不同時的前生後滅，約剎那心上說。</w:t>
      </w:r>
      <w:r w:rsidRPr="00043A1E">
        <w:rPr>
          <w:rFonts w:ascii="標楷體" w:eastAsia="標楷體" w:hAnsi="標楷體" w:hint="eastAsia"/>
          <w:b/>
          <w:szCs w:val="22"/>
        </w:rPr>
        <w:t>若生時與滅時不同而又同在此一剎那心，則一剎那已可分為前後兩時，即不能成立剎那是時間中最短的</w:t>
      </w:r>
      <w:r w:rsidRPr="00043A1E">
        <w:rPr>
          <w:rFonts w:ascii="標楷體" w:eastAsia="標楷體" w:hAnsi="標楷體" w:hint="eastAsia"/>
          <w:szCs w:val="22"/>
        </w:rPr>
        <w:t>。而且，一切因果諸行在息息變滅中，決無生（或住）而不滅的，如《中論》</w:t>
      </w:r>
      <w:r w:rsidR="00B5563D">
        <w:rPr>
          <w:rFonts w:hint="eastAsia"/>
        </w:rPr>
        <w:t>〈</w:t>
      </w:r>
      <w:r w:rsidR="00B5563D" w:rsidRPr="00B5563D">
        <w:rPr>
          <w:rFonts w:hint="eastAsia"/>
          <w:shd w:val="pct15" w:color="auto" w:fill="FFFFFF"/>
        </w:rPr>
        <w:t>7</w:t>
      </w:r>
      <w:r w:rsidR="00B5563D">
        <w:rPr>
          <w:rFonts w:hint="eastAsia"/>
        </w:rPr>
        <w:t xml:space="preserve"> </w:t>
      </w:r>
      <w:r w:rsidR="00B5563D" w:rsidRPr="00043A1E">
        <w:rPr>
          <w:rFonts w:ascii="標楷體" w:eastAsia="標楷體" w:hAnsi="標楷體" w:hint="eastAsia"/>
          <w:szCs w:val="22"/>
        </w:rPr>
        <w:t>觀三相品</w:t>
      </w:r>
      <w:r w:rsidR="00B5563D">
        <w:rPr>
          <w:rFonts w:hint="eastAsia"/>
        </w:rPr>
        <w:t>〉</w:t>
      </w:r>
      <w:r w:rsidRPr="00043A1E">
        <w:rPr>
          <w:rFonts w:ascii="標楷體" w:eastAsia="標楷體" w:hAnsi="標楷體" w:hint="eastAsia"/>
          <w:szCs w:val="22"/>
        </w:rPr>
        <w:t>說：「所有一切法，皆是老死</w:t>
      </w:r>
      <w:r w:rsidRPr="002968BA">
        <w:rPr>
          <w:rFonts w:ascii="新細明體" w:hAnsi="新細明體" w:hint="eastAsia"/>
          <w:color w:val="FF0000"/>
          <w:szCs w:val="22"/>
        </w:rPr>
        <w:t>（異滅）</w:t>
      </w:r>
      <w:r w:rsidRPr="00043A1E">
        <w:rPr>
          <w:rFonts w:ascii="標楷體" w:eastAsia="標楷體" w:hAnsi="標楷體" w:hint="eastAsia"/>
          <w:szCs w:val="22"/>
        </w:rPr>
        <w:t>相，終不見有法，離老死有住。」所以在最短的時間，經部與上座部，即不能成立有三有為相的生住滅，也即是不能在法的當體，了知其即生即滅的緣起正理，僅能粗相的在相續上說有生有滅。</w:t>
      </w:r>
    </w:p>
  </w:footnote>
  <w:footnote w:id="643">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石火：以石敲擊，迸發出的火花。其閃現極為短暫。（《漢語大詞典》（七），</w:t>
      </w:r>
      <w:r w:rsidRPr="00761EF3">
        <w:rPr>
          <w:szCs w:val="22"/>
        </w:rPr>
        <w:t>p</w:t>
      </w:r>
      <w:r w:rsidRPr="00043A1E">
        <w:rPr>
          <w:szCs w:val="22"/>
        </w:rPr>
        <w:t>.</w:t>
      </w:r>
      <w:r w:rsidRPr="00761EF3">
        <w:rPr>
          <w:rFonts w:hint="eastAsia"/>
          <w:szCs w:val="22"/>
        </w:rPr>
        <w:t>981</w:t>
      </w:r>
      <w:r w:rsidRPr="00043A1E">
        <w:rPr>
          <w:rFonts w:hint="eastAsia"/>
          <w:szCs w:val="22"/>
        </w:rPr>
        <w:t>）</w:t>
      </w:r>
    </w:p>
  </w:footnote>
  <w:footnote w:id="644">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石火電光：佛教語。喻時光的短促。（《漢語大詞典》（七），</w:t>
      </w:r>
      <w:r w:rsidRPr="00761EF3">
        <w:rPr>
          <w:szCs w:val="22"/>
        </w:rPr>
        <w:t>p</w:t>
      </w:r>
      <w:r w:rsidRPr="00043A1E">
        <w:rPr>
          <w:szCs w:val="22"/>
        </w:rPr>
        <w:t>.</w:t>
      </w:r>
      <w:r w:rsidRPr="00761EF3">
        <w:rPr>
          <w:rFonts w:hint="eastAsia"/>
          <w:szCs w:val="22"/>
        </w:rPr>
        <w:t>982</w:t>
      </w:r>
      <w:r w:rsidRPr="00043A1E">
        <w:rPr>
          <w:rFonts w:hint="eastAsia"/>
          <w:szCs w:val="22"/>
        </w:rPr>
        <w:t>）</w:t>
      </w:r>
    </w:p>
  </w:footnote>
  <w:footnote w:id="645">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szCs w:val="22"/>
        </w:rPr>
        <w:t>《中論》卷</w:t>
      </w:r>
      <w:r w:rsidRPr="00761EF3">
        <w:rPr>
          <w:szCs w:val="22"/>
        </w:rPr>
        <w:t>1</w:t>
      </w:r>
      <w:r w:rsidRPr="00043A1E">
        <w:rPr>
          <w:szCs w:val="22"/>
        </w:rPr>
        <w:t>〈</w:t>
      </w:r>
      <w:r w:rsidRPr="00761EF3">
        <w:rPr>
          <w:rFonts w:hint="eastAsia"/>
          <w:szCs w:val="22"/>
        </w:rPr>
        <w:t>5</w:t>
      </w:r>
      <w:r w:rsidRPr="00043A1E">
        <w:rPr>
          <w:szCs w:val="22"/>
        </w:rPr>
        <w:t xml:space="preserve"> </w:t>
      </w:r>
      <w:r w:rsidRPr="00043A1E">
        <w:rPr>
          <w:szCs w:val="22"/>
        </w:rPr>
        <w:t>觀六種品〉</w:t>
      </w:r>
      <w:r w:rsidRPr="00043A1E">
        <w:rPr>
          <w:rFonts w:hint="eastAsia"/>
          <w:szCs w:val="22"/>
        </w:rPr>
        <w:t>（青目釋）</w:t>
      </w:r>
      <w:r w:rsidRPr="00043A1E">
        <w:rPr>
          <w:szCs w:val="22"/>
        </w:rPr>
        <w:t>（大正</w:t>
      </w:r>
      <w:r w:rsidRPr="00761EF3">
        <w:rPr>
          <w:szCs w:val="22"/>
        </w:rPr>
        <w:t>30</w:t>
      </w:r>
      <w:r w:rsidRPr="00043A1E">
        <w:rPr>
          <w:szCs w:val="22"/>
        </w:rPr>
        <w:t>，</w:t>
      </w:r>
      <w:r w:rsidRPr="00761EF3">
        <w:rPr>
          <w:szCs w:val="22"/>
        </w:rPr>
        <w:t>7c1</w:t>
      </w:r>
      <w:r w:rsidRPr="00761EF3">
        <w:rPr>
          <w:rFonts w:hint="eastAsia"/>
          <w:szCs w:val="22"/>
        </w:rPr>
        <w:t>6</w:t>
      </w:r>
      <w:r w:rsidRPr="00043A1E">
        <w:rPr>
          <w:rFonts w:hint="eastAsia"/>
          <w:szCs w:val="22"/>
        </w:rPr>
        <w:t>-</w:t>
      </w:r>
      <w:r w:rsidRPr="00761EF3">
        <w:rPr>
          <w:rFonts w:hint="eastAsia"/>
          <w:szCs w:val="22"/>
        </w:rPr>
        <w:t>23</w:t>
      </w:r>
      <w:r w:rsidRPr="00043A1E">
        <w:rPr>
          <w:szCs w:val="22"/>
        </w:rPr>
        <w:t>）：</w:t>
      </w:r>
    </w:p>
    <w:p w:rsidR="00157EF6" w:rsidRPr="00043A1E" w:rsidRDefault="00157EF6" w:rsidP="00AA120F">
      <w:pPr>
        <w:pStyle w:val="a5"/>
        <w:ind w:leftChars="335" w:left="804"/>
        <w:jc w:val="both"/>
        <w:rPr>
          <w:rFonts w:ascii="標楷體" w:eastAsia="標楷體" w:hAnsi="標楷體"/>
          <w:b/>
          <w:bCs/>
          <w:szCs w:val="22"/>
        </w:rPr>
      </w:pPr>
      <w:r w:rsidRPr="00043A1E">
        <w:rPr>
          <w:rFonts w:ascii="標楷體" w:eastAsia="標楷體" w:hAnsi="標楷體"/>
          <w:b/>
          <w:bCs/>
          <w:szCs w:val="22"/>
        </w:rPr>
        <w:t>若使無有</w:t>
      </w:r>
      <w:r w:rsidR="00CE680E">
        <w:rPr>
          <w:rFonts w:ascii="標楷體" w:eastAsia="標楷體" w:hAnsi="標楷體" w:hint="eastAsia"/>
          <w:bCs/>
          <w:color w:val="FF0000"/>
          <w:kern w:val="0"/>
          <w:highlight w:val="yellow"/>
        </w:rPr>
        <w:t>「</w:t>
      </w:r>
      <w:r w:rsidRPr="00043A1E">
        <w:rPr>
          <w:rFonts w:ascii="標楷體" w:eastAsia="標楷體" w:hAnsi="標楷體"/>
          <w:b/>
          <w:bCs/>
          <w:szCs w:val="22"/>
        </w:rPr>
        <w:t>有</w:t>
      </w:r>
      <w:r w:rsidR="00CE680E">
        <w:rPr>
          <w:rFonts w:ascii="標楷體" w:eastAsia="標楷體" w:hAnsi="標楷體" w:hint="eastAsia"/>
          <w:bCs/>
          <w:color w:val="FF0000"/>
          <w:kern w:val="0"/>
          <w:highlight w:val="yellow"/>
        </w:rPr>
        <w:t>」</w:t>
      </w:r>
      <w:r w:rsidRPr="00043A1E">
        <w:rPr>
          <w:rFonts w:ascii="標楷體" w:eastAsia="標楷體" w:hAnsi="標楷體"/>
          <w:b/>
          <w:bCs/>
          <w:szCs w:val="22"/>
        </w:rPr>
        <w:t>，云何當有</w:t>
      </w:r>
      <w:r w:rsidR="00CE680E">
        <w:rPr>
          <w:rFonts w:ascii="標楷體" w:eastAsia="標楷體" w:hAnsi="標楷體" w:hint="eastAsia"/>
          <w:bCs/>
          <w:color w:val="FF0000"/>
          <w:kern w:val="0"/>
          <w:highlight w:val="yellow"/>
        </w:rPr>
        <w:t>「</w:t>
      </w:r>
      <w:r w:rsidRPr="00043A1E">
        <w:rPr>
          <w:rFonts w:ascii="標楷體" w:eastAsia="標楷體" w:hAnsi="標楷體"/>
          <w:b/>
          <w:bCs/>
          <w:szCs w:val="22"/>
        </w:rPr>
        <w:t>無</w:t>
      </w:r>
      <w:r w:rsidR="00CE680E">
        <w:rPr>
          <w:rFonts w:ascii="標楷體" w:eastAsia="標楷體" w:hAnsi="標楷體" w:hint="eastAsia"/>
          <w:bCs/>
          <w:color w:val="FF0000"/>
          <w:kern w:val="0"/>
          <w:highlight w:val="yellow"/>
        </w:rPr>
        <w:t>」</w:t>
      </w:r>
      <w:r w:rsidRPr="00043A1E">
        <w:rPr>
          <w:rFonts w:ascii="標楷體" w:eastAsia="標楷體" w:hAnsi="標楷體"/>
          <w:b/>
          <w:bCs/>
          <w:szCs w:val="22"/>
        </w:rPr>
        <w:t>？</w:t>
      </w:r>
      <w:r w:rsidR="00CE680E">
        <w:rPr>
          <w:rFonts w:ascii="標楷體" w:eastAsia="標楷體" w:hAnsi="標楷體" w:hint="eastAsia"/>
          <w:bCs/>
          <w:color w:val="FF0000"/>
          <w:kern w:val="0"/>
          <w:highlight w:val="yellow"/>
        </w:rPr>
        <w:t>「</w:t>
      </w:r>
      <w:r w:rsidRPr="00043A1E">
        <w:rPr>
          <w:rFonts w:ascii="標楷體" w:eastAsia="標楷體" w:hAnsi="標楷體"/>
          <w:b/>
          <w:bCs/>
          <w:szCs w:val="22"/>
        </w:rPr>
        <w:t>有</w:t>
      </w:r>
      <w:r w:rsidR="00CE680E">
        <w:rPr>
          <w:rFonts w:ascii="標楷體" w:eastAsia="標楷體" w:hAnsi="標楷體" w:hint="eastAsia"/>
          <w:color w:val="FF0000"/>
          <w:szCs w:val="22"/>
          <w:highlight w:val="yellow"/>
        </w:rPr>
        <w:t>、</w:t>
      </w:r>
      <w:r w:rsidRPr="00043A1E">
        <w:rPr>
          <w:rFonts w:ascii="標楷體" w:eastAsia="標楷體" w:hAnsi="標楷體"/>
          <w:b/>
          <w:bCs/>
          <w:szCs w:val="22"/>
        </w:rPr>
        <w:t>無</w:t>
      </w:r>
      <w:r w:rsidR="00CE680E">
        <w:rPr>
          <w:rFonts w:ascii="標楷體" w:eastAsia="標楷體" w:hAnsi="標楷體" w:hint="eastAsia"/>
          <w:bCs/>
          <w:color w:val="FF0000"/>
          <w:kern w:val="0"/>
          <w:highlight w:val="yellow"/>
        </w:rPr>
        <w:t>」</w:t>
      </w:r>
      <w:r w:rsidRPr="00043A1E">
        <w:rPr>
          <w:rFonts w:ascii="標楷體" w:eastAsia="標楷體" w:hAnsi="標楷體"/>
          <w:b/>
          <w:bCs/>
          <w:szCs w:val="22"/>
        </w:rPr>
        <w:t>既已無，</w:t>
      </w:r>
      <w:r w:rsidR="00CE680E">
        <w:rPr>
          <w:rFonts w:ascii="標楷體" w:eastAsia="標楷體" w:hAnsi="標楷體" w:hint="eastAsia"/>
          <w:bCs/>
          <w:color w:val="FF0000"/>
          <w:kern w:val="0"/>
          <w:highlight w:val="yellow"/>
        </w:rPr>
        <w:t>「</w:t>
      </w:r>
      <w:r w:rsidRPr="00043A1E">
        <w:rPr>
          <w:rFonts w:ascii="標楷體" w:eastAsia="標楷體" w:hAnsi="標楷體"/>
          <w:b/>
          <w:bCs/>
          <w:szCs w:val="22"/>
        </w:rPr>
        <w:t>知有無者</w:t>
      </w:r>
      <w:r w:rsidR="00CE680E">
        <w:rPr>
          <w:rFonts w:ascii="標楷體" w:eastAsia="標楷體" w:hAnsi="標楷體" w:hint="eastAsia"/>
          <w:bCs/>
          <w:color w:val="FF0000"/>
          <w:kern w:val="0"/>
          <w:highlight w:val="yellow"/>
        </w:rPr>
        <w:t>」</w:t>
      </w:r>
      <w:r w:rsidRPr="00043A1E">
        <w:rPr>
          <w:rFonts w:ascii="標楷體" w:eastAsia="標楷體" w:hAnsi="標楷體"/>
          <w:b/>
          <w:bCs/>
          <w:szCs w:val="22"/>
        </w:rPr>
        <w:t>誰？</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szCs w:val="22"/>
        </w:rPr>
        <w:t>凡物，若自壞</w:t>
      </w:r>
      <w:r w:rsidR="00B07717">
        <w:rPr>
          <w:rFonts w:ascii="標楷體" w:eastAsia="標楷體" w:hAnsi="標楷體" w:hint="eastAsia"/>
          <w:color w:val="FF0000"/>
          <w:szCs w:val="22"/>
          <w:highlight w:val="yellow"/>
        </w:rPr>
        <w:t>、</w:t>
      </w:r>
      <w:r w:rsidRPr="00043A1E">
        <w:rPr>
          <w:rFonts w:ascii="標楷體" w:eastAsia="標楷體" w:hAnsi="標楷體"/>
          <w:szCs w:val="22"/>
        </w:rPr>
        <w:t>若為他壞，名為</w:t>
      </w:r>
      <w:r w:rsidR="00B07717">
        <w:rPr>
          <w:rFonts w:ascii="標楷體" w:eastAsia="標楷體" w:hAnsi="標楷體" w:hint="eastAsia"/>
          <w:color w:val="FF0000"/>
          <w:szCs w:val="22"/>
          <w:highlight w:val="yellow"/>
        </w:rPr>
        <w:t>「</w:t>
      </w:r>
      <w:r w:rsidRPr="00043A1E">
        <w:rPr>
          <w:rFonts w:ascii="標楷體" w:eastAsia="標楷體" w:hAnsi="標楷體"/>
          <w:szCs w:val="22"/>
        </w:rPr>
        <w:t>無</w:t>
      </w:r>
      <w:r w:rsidR="00B07717">
        <w:rPr>
          <w:rFonts w:ascii="標楷體" w:eastAsia="標楷體" w:hAnsi="標楷體" w:hint="eastAsia"/>
          <w:color w:val="FF0000"/>
          <w:szCs w:val="22"/>
          <w:highlight w:val="yellow"/>
        </w:rPr>
        <w:t>」</w:t>
      </w:r>
      <w:r w:rsidRPr="00043A1E">
        <w:rPr>
          <w:rFonts w:ascii="標楷體" w:eastAsia="標楷體" w:hAnsi="標楷體"/>
          <w:szCs w:val="22"/>
        </w:rPr>
        <w:t>。</w:t>
      </w:r>
      <w:r w:rsidR="00B07717">
        <w:rPr>
          <w:rFonts w:ascii="標楷體" w:eastAsia="標楷體" w:hAnsi="標楷體" w:hint="eastAsia"/>
          <w:color w:val="FF0000"/>
          <w:szCs w:val="22"/>
          <w:highlight w:val="yellow"/>
        </w:rPr>
        <w:t>「</w:t>
      </w:r>
      <w:r w:rsidRPr="00043A1E">
        <w:rPr>
          <w:rFonts w:ascii="標楷體" w:eastAsia="標楷體" w:hAnsi="標楷體"/>
          <w:szCs w:val="22"/>
        </w:rPr>
        <w:t>無</w:t>
      </w:r>
      <w:r w:rsidR="00B07717">
        <w:rPr>
          <w:rFonts w:ascii="標楷體" w:eastAsia="標楷體" w:hAnsi="標楷體" w:hint="eastAsia"/>
          <w:color w:val="FF0000"/>
          <w:szCs w:val="22"/>
          <w:highlight w:val="yellow"/>
        </w:rPr>
        <w:t>」</w:t>
      </w:r>
      <w:r w:rsidRPr="00043A1E">
        <w:rPr>
          <w:rFonts w:ascii="標楷體" w:eastAsia="標楷體" w:hAnsi="標楷體"/>
          <w:szCs w:val="22"/>
        </w:rPr>
        <w:t>不自有，從</w:t>
      </w:r>
      <w:r w:rsidR="00B07717">
        <w:rPr>
          <w:rFonts w:ascii="標楷體" w:eastAsia="標楷體" w:hAnsi="標楷體" w:hint="eastAsia"/>
          <w:color w:val="FF0000"/>
          <w:szCs w:val="22"/>
          <w:highlight w:val="yellow"/>
        </w:rPr>
        <w:t>「</w:t>
      </w:r>
      <w:r w:rsidRPr="00043A1E">
        <w:rPr>
          <w:rFonts w:ascii="標楷體" w:eastAsia="標楷體" w:hAnsi="標楷體"/>
          <w:szCs w:val="22"/>
        </w:rPr>
        <w:t>有</w:t>
      </w:r>
      <w:r w:rsidR="00B07717">
        <w:rPr>
          <w:rFonts w:ascii="標楷體" w:eastAsia="標楷體" w:hAnsi="標楷體" w:hint="eastAsia"/>
          <w:color w:val="FF0000"/>
          <w:szCs w:val="22"/>
          <w:highlight w:val="yellow"/>
        </w:rPr>
        <w:t>」</w:t>
      </w:r>
      <w:r w:rsidRPr="00043A1E">
        <w:rPr>
          <w:rFonts w:ascii="標楷體" w:eastAsia="標楷體" w:hAnsi="標楷體"/>
          <w:szCs w:val="22"/>
        </w:rPr>
        <w:t>而有，是故言：</w:t>
      </w:r>
      <w:r w:rsidRPr="00043A1E">
        <w:rPr>
          <w:rFonts w:ascii="標楷體" w:eastAsia="標楷體" w:hAnsi="標楷體" w:hint="eastAsia"/>
          <w:szCs w:val="22"/>
        </w:rPr>
        <w:t>「</w:t>
      </w:r>
      <w:r w:rsidRPr="00043A1E">
        <w:rPr>
          <w:rFonts w:ascii="標楷體" w:eastAsia="標楷體" w:hAnsi="標楷體"/>
          <w:szCs w:val="22"/>
        </w:rPr>
        <w:t>若使無有</w:t>
      </w:r>
      <w:r w:rsidR="00CE680E">
        <w:rPr>
          <w:rFonts w:ascii="標楷體" w:eastAsia="標楷體" w:hAnsi="標楷體" w:hint="eastAsia"/>
          <w:color w:val="FF0000"/>
          <w:kern w:val="0"/>
          <w:highlight w:val="yellow"/>
        </w:rPr>
        <w:t>『</w:t>
      </w:r>
      <w:r w:rsidRPr="00043A1E">
        <w:rPr>
          <w:rFonts w:ascii="標楷體" w:eastAsia="標楷體" w:hAnsi="標楷體"/>
          <w:szCs w:val="22"/>
        </w:rPr>
        <w:t>有</w:t>
      </w:r>
      <w:r w:rsidR="00CE680E">
        <w:rPr>
          <w:rFonts w:ascii="標楷體" w:eastAsia="標楷體" w:hAnsi="標楷體" w:hint="eastAsia"/>
          <w:color w:val="FF0000"/>
          <w:kern w:val="0"/>
          <w:highlight w:val="yellow"/>
        </w:rPr>
        <w:t>』</w:t>
      </w:r>
      <w:r w:rsidRPr="00043A1E">
        <w:rPr>
          <w:rFonts w:ascii="標楷體" w:eastAsia="標楷體" w:hAnsi="標楷體"/>
          <w:szCs w:val="22"/>
        </w:rPr>
        <w:t>，云何當有</w:t>
      </w:r>
      <w:r w:rsidR="00CE680E">
        <w:rPr>
          <w:rFonts w:ascii="標楷體" w:eastAsia="標楷體" w:hAnsi="標楷體" w:hint="eastAsia"/>
          <w:color w:val="FF0000"/>
          <w:kern w:val="0"/>
          <w:highlight w:val="yellow"/>
        </w:rPr>
        <w:t>『</w:t>
      </w:r>
      <w:r w:rsidRPr="00043A1E">
        <w:rPr>
          <w:rFonts w:ascii="標楷體" w:eastAsia="標楷體" w:hAnsi="標楷體"/>
          <w:szCs w:val="22"/>
        </w:rPr>
        <w:t>無</w:t>
      </w:r>
      <w:r w:rsidR="00CE680E">
        <w:rPr>
          <w:rFonts w:ascii="標楷體" w:eastAsia="標楷體" w:hAnsi="標楷體" w:hint="eastAsia"/>
          <w:color w:val="FF0000"/>
          <w:kern w:val="0"/>
          <w:highlight w:val="yellow"/>
        </w:rPr>
        <w:t>』</w:t>
      </w:r>
      <w:r w:rsidRPr="00043A1E">
        <w:rPr>
          <w:rFonts w:ascii="標楷體" w:eastAsia="標楷體" w:hAnsi="標楷體"/>
          <w:szCs w:val="22"/>
        </w:rPr>
        <w:t>？</w:t>
      </w:r>
      <w:r w:rsidRPr="00043A1E">
        <w:rPr>
          <w:rFonts w:ascii="標楷體" w:eastAsia="標楷體" w:hAnsi="標楷體" w:hint="eastAsia"/>
          <w:szCs w:val="22"/>
        </w:rPr>
        <w:t>」</w:t>
      </w:r>
      <w:r w:rsidRPr="00043A1E">
        <w:rPr>
          <w:rFonts w:ascii="標楷體" w:eastAsia="標楷體" w:hAnsi="標楷體"/>
          <w:szCs w:val="22"/>
        </w:rPr>
        <w:t>眼見</w:t>
      </w:r>
      <w:r w:rsidRPr="00043A1E">
        <w:rPr>
          <w:rFonts w:ascii="標楷體" w:eastAsia="標楷體" w:hAnsi="標楷體" w:hint="eastAsia"/>
          <w:szCs w:val="22"/>
        </w:rPr>
        <w:t>、</w:t>
      </w:r>
      <w:r w:rsidRPr="00043A1E">
        <w:rPr>
          <w:rFonts w:ascii="標楷體" w:eastAsia="標楷體" w:hAnsi="標楷體"/>
          <w:szCs w:val="22"/>
        </w:rPr>
        <w:t>耳聞</w:t>
      </w:r>
      <w:r w:rsidR="00CE680E">
        <w:rPr>
          <w:rFonts w:ascii="標楷體" w:eastAsia="標楷體" w:hAnsi="標楷體" w:hint="eastAsia"/>
          <w:color w:val="FF0000"/>
          <w:kern w:val="0"/>
          <w:highlight w:val="yellow"/>
        </w:rPr>
        <w:t>，</w:t>
      </w:r>
      <w:r w:rsidRPr="00043A1E">
        <w:rPr>
          <w:rFonts w:ascii="標楷體" w:eastAsia="標楷體" w:hAnsi="標楷體"/>
          <w:szCs w:val="22"/>
        </w:rPr>
        <w:t>尚不可得，何況無物？</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問曰：</w:t>
      </w:r>
      <w:r>
        <w:rPr>
          <w:rFonts w:ascii="標楷體" w:eastAsia="標楷體" w:hAnsi="標楷體" w:hint="eastAsia"/>
          <w:szCs w:val="22"/>
        </w:rPr>
        <w:t>以無有</w:t>
      </w:r>
      <w:r w:rsidR="00B011C4">
        <w:rPr>
          <w:rFonts w:ascii="標楷體" w:eastAsia="標楷體" w:hAnsi="標楷體" w:hint="eastAsia"/>
          <w:color w:val="FF0000"/>
          <w:szCs w:val="22"/>
          <w:highlight w:val="yellow"/>
        </w:rPr>
        <w:t>「</w:t>
      </w:r>
      <w:r>
        <w:rPr>
          <w:rFonts w:ascii="標楷體" w:eastAsia="標楷體" w:hAnsi="標楷體" w:hint="eastAsia"/>
          <w:szCs w:val="22"/>
        </w:rPr>
        <w:t>有</w:t>
      </w:r>
      <w:r w:rsidR="00B011C4">
        <w:rPr>
          <w:rFonts w:ascii="標楷體" w:eastAsia="標楷體" w:hAnsi="標楷體" w:hint="eastAsia"/>
          <w:color w:val="FF0000"/>
          <w:szCs w:val="22"/>
          <w:highlight w:val="yellow"/>
        </w:rPr>
        <w:t>」</w:t>
      </w:r>
      <w:r>
        <w:rPr>
          <w:rFonts w:ascii="標楷體" w:eastAsia="標楷體" w:hAnsi="標楷體" w:hint="eastAsia"/>
          <w:szCs w:val="22"/>
        </w:rPr>
        <w:t>故，</w:t>
      </w:r>
      <w:r w:rsidR="00B011C4">
        <w:rPr>
          <w:rFonts w:ascii="標楷體" w:eastAsia="標楷體" w:hAnsi="標楷體" w:hint="eastAsia"/>
          <w:color w:val="FF0000"/>
          <w:szCs w:val="22"/>
          <w:highlight w:val="yellow"/>
        </w:rPr>
        <w:t>「</w:t>
      </w:r>
      <w:r>
        <w:rPr>
          <w:rFonts w:ascii="標楷體" w:eastAsia="標楷體" w:hAnsi="標楷體" w:hint="eastAsia"/>
          <w:szCs w:val="22"/>
        </w:rPr>
        <w:t>無</w:t>
      </w:r>
      <w:r w:rsidR="00B011C4">
        <w:rPr>
          <w:rFonts w:ascii="標楷體" w:eastAsia="標楷體" w:hAnsi="標楷體" w:hint="eastAsia"/>
          <w:color w:val="FF0000"/>
          <w:szCs w:val="22"/>
          <w:highlight w:val="yellow"/>
        </w:rPr>
        <w:t>」</w:t>
      </w:r>
      <w:r>
        <w:rPr>
          <w:rFonts w:ascii="標楷體" w:eastAsia="標楷體" w:hAnsi="標楷體" w:hint="eastAsia"/>
          <w:szCs w:val="22"/>
        </w:rPr>
        <w:t>亦無，應當有</w:t>
      </w:r>
      <w:r w:rsidR="00B011C4">
        <w:rPr>
          <w:rFonts w:ascii="標楷體" w:eastAsia="標楷體" w:hAnsi="標楷體" w:hint="eastAsia"/>
          <w:color w:val="FF0000"/>
          <w:szCs w:val="22"/>
          <w:highlight w:val="yellow"/>
        </w:rPr>
        <w:t>「</w:t>
      </w:r>
      <w:r>
        <w:rPr>
          <w:rFonts w:ascii="標楷體" w:eastAsia="標楷體" w:hAnsi="標楷體" w:hint="eastAsia"/>
          <w:szCs w:val="22"/>
        </w:rPr>
        <w:t>知有無者</w:t>
      </w:r>
      <w:r w:rsidR="00B011C4">
        <w:rPr>
          <w:rFonts w:ascii="標楷體" w:eastAsia="標楷體" w:hAnsi="標楷體" w:hint="eastAsia"/>
          <w:color w:val="FF0000"/>
          <w:szCs w:val="22"/>
          <w:highlight w:val="yellow"/>
        </w:rPr>
        <w:t>」</w:t>
      </w:r>
      <w:r>
        <w:rPr>
          <w:rFonts w:ascii="標楷體" w:eastAsia="標楷體" w:hAnsi="標楷體" w:hint="eastAsia"/>
          <w:szCs w:val="22"/>
        </w:rPr>
        <w:t>。</w:t>
      </w:r>
    </w:p>
    <w:p w:rsidR="00157EF6" w:rsidRPr="00043A1E" w:rsidRDefault="00157EF6" w:rsidP="00B011C4">
      <w:pPr>
        <w:pStyle w:val="a5"/>
        <w:ind w:leftChars="335" w:left="1464" w:hangingChars="300" w:hanging="660"/>
        <w:jc w:val="both"/>
        <w:rPr>
          <w:rFonts w:ascii="標楷體" w:eastAsia="標楷體" w:hAnsi="標楷體"/>
          <w:szCs w:val="22"/>
        </w:rPr>
      </w:pPr>
      <w:r>
        <w:rPr>
          <w:rFonts w:ascii="標楷體" w:eastAsia="標楷體" w:hAnsi="標楷體" w:hint="eastAsia"/>
          <w:szCs w:val="22"/>
        </w:rPr>
        <w:t>答曰：若有</w:t>
      </w:r>
      <w:r w:rsidR="00B011C4">
        <w:rPr>
          <w:rFonts w:ascii="標楷體" w:eastAsia="標楷體" w:hAnsi="標楷體" w:hint="eastAsia"/>
          <w:color w:val="FF0000"/>
          <w:szCs w:val="22"/>
          <w:highlight w:val="yellow"/>
        </w:rPr>
        <w:t>「</w:t>
      </w:r>
      <w:r>
        <w:rPr>
          <w:rFonts w:ascii="標楷體" w:eastAsia="標楷體" w:hAnsi="標楷體" w:hint="eastAsia"/>
          <w:szCs w:val="22"/>
        </w:rPr>
        <w:t>知者</w:t>
      </w:r>
      <w:r w:rsidR="00B011C4">
        <w:rPr>
          <w:rFonts w:ascii="標楷體" w:eastAsia="標楷體" w:hAnsi="標楷體" w:hint="eastAsia"/>
          <w:color w:val="FF0000"/>
          <w:szCs w:val="22"/>
          <w:highlight w:val="yellow"/>
        </w:rPr>
        <w:t>」</w:t>
      </w:r>
      <w:r>
        <w:rPr>
          <w:rFonts w:ascii="標楷體" w:eastAsia="標楷體" w:hAnsi="標楷體" w:hint="eastAsia"/>
          <w:szCs w:val="22"/>
        </w:rPr>
        <w:t>，應在</w:t>
      </w:r>
      <w:r w:rsidR="00B011C4">
        <w:rPr>
          <w:rFonts w:ascii="標楷體" w:eastAsia="標楷體" w:hAnsi="標楷體" w:hint="eastAsia"/>
          <w:color w:val="FF0000"/>
          <w:szCs w:val="22"/>
          <w:highlight w:val="yellow"/>
        </w:rPr>
        <w:t>「</w:t>
      </w:r>
      <w:r>
        <w:rPr>
          <w:rFonts w:ascii="標楷體" w:eastAsia="標楷體" w:hAnsi="標楷體" w:hint="eastAsia"/>
          <w:szCs w:val="22"/>
        </w:rPr>
        <w:t>有</w:t>
      </w:r>
      <w:r w:rsidR="00B011C4">
        <w:rPr>
          <w:rFonts w:ascii="標楷體" w:eastAsia="標楷體" w:hAnsi="標楷體" w:hint="eastAsia"/>
          <w:color w:val="FF0000"/>
          <w:szCs w:val="22"/>
          <w:highlight w:val="yellow"/>
        </w:rPr>
        <w:t>」</w:t>
      </w:r>
      <w:r>
        <w:rPr>
          <w:rFonts w:ascii="標楷體" w:eastAsia="標楷體" w:hAnsi="標楷體" w:hint="eastAsia"/>
          <w:szCs w:val="22"/>
        </w:rPr>
        <w:t>中、應在</w:t>
      </w:r>
      <w:r w:rsidR="00B011C4">
        <w:rPr>
          <w:rFonts w:ascii="標楷體" w:eastAsia="標楷體" w:hAnsi="標楷體" w:hint="eastAsia"/>
          <w:color w:val="FF0000"/>
          <w:szCs w:val="22"/>
          <w:highlight w:val="yellow"/>
        </w:rPr>
        <w:t>「</w:t>
      </w:r>
      <w:r>
        <w:rPr>
          <w:rFonts w:ascii="標楷體" w:eastAsia="標楷體" w:hAnsi="標楷體" w:hint="eastAsia"/>
          <w:szCs w:val="22"/>
        </w:rPr>
        <w:t>無</w:t>
      </w:r>
      <w:r w:rsidR="00B011C4">
        <w:rPr>
          <w:rFonts w:ascii="標楷體" w:eastAsia="標楷體" w:hAnsi="標楷體" w:hint="eastAsia"/>
          <w:color w:val="FF0000"/>
          <w:szCs w:val="22"/>
          <w:highlight w:val="yellow"/>
        </w:rPr>
        <w:t>」</w:t>
      </w:r>
      <w:r>
        <w:rPr>
          <w:rFonts w:ascii="標楷體" w:eastAsia="標楷體" w:hAnsi="標楷體" w:hint="eastAsia"/>
          <w:szCs w:val="22"/>
        </w:rPr>
        <w:t>中</w:t>
      </w:r>
      <w:r w:rsidR="00CE680E">
        <w:rPr>
          <w:rFonts w:ascii="標楷體" w:eastAsia="標楷體" w:hAnsi="標楷體" w:hint="eastAsia"/>
          <w:color w:val="FF0000"/>
          <w:spacing w:val="-4"/>
          <w:kern w:val="0"/>
          <w:highlight w:val="yellow"/>
        </w:rPr>
        <w:t>？</w:t>
      </w:r>
      <w:r w:rsidR="00B011C4">
        <w:rPr>
          <w:rFonts w:ascii="標楷體" w:eastAsia="標楷體" w:hAnsi="標楷體" w:hint="eastAsia"/>
          <w:color w:val="FF0000"/>
          <w:szCs w:val="22"/>
          <w:highlight w:val="yellow"/>
        </w:rPr>
        <w:t>「</w:t>
      </w:r>
      <w:r>
        <w:rPr>
          <w:rFonts w:ascii="標楷體" w:eastAsia="標楷體" w:hAnsi="標楷體" w:hint="eastAsia"/>
          <w:szCs w:val="22"/>
        </w:rPr>
        <w:t>有</w:t>
      </w:r>
      <w:r w:rsidR="00B011C4" w:rsidRPr="00B011C4">
        <w:rPr>
          <w:rFonts w:ascii="標楷體" w:eastAsia="標楷體" w:hAnsi="標楷體" w:hint="eastAsia"/>
          <w:color w:val="FF0000"/>
          <w:szCs w:val="22"/>
          <w:highlight w:val="yellow"/>
        </w:rPr>
        <w:t>、</w:t>
      </w:r>
      <w:r>
        <w:rPr>
          <w:rFonts w:ascii="標楷體" w:eastAsia="標楷體" w:hAnsi="標楷體" w:hint="eastAsia"/>
          <w:szCs w:val="22"/>
        </w:rPr>
        <w:t>無</w:t>
      </w:r>
      <w:r w:rsidR="00B011C4">
        <w:rPr>
          <w:rFonts w:ascii="標楷體" w:eastAsia="標楷體" w:hAnsi="標楷體" w:hint="eastAsia"/>
          <w:color w:val="FF0000"/>
          <w:szCs w:val="22"/>
          <w:highlight w:val="yellow"/>
        </w:rPr>
        <w:t>」</w:t>
      </w:r>
      <w:r>
        <w:rPr>
          <w:rFonts w:ascii="標楷體" w:eastAsia="標楷體" w:hAnsi="標楷體" w:hint="eastAsia"/>
          <w:szCs w:val="22"/>
        </w:rPr>
        <w:t>既破，</w:t>
      </w:r>
      <w:r w:rsidR="00B011C4">
        <w:rPr>
          <w:rFonts w:ascii="標楷體" w:eastAsia="標楷體" w:hAnsi="標楷體" w:hint="eastAsia"/>
          <w:color w:val="FF0000"/>
          <w:szCs w:val="22"/>
          <w:highlight w:val="yellow"/>
        </w:rPr>
        <w:t>「</w:t>
      </w:r>
      <w:r>
        <w:rPr>
          <w:rFonts w:ascii="標楷體" w:eastAsia="標楷體" w:hAnsi="標楷體" w:hint="eastAsia"/>
          <w:szCs w:val="22"/>
        </w:rPr>
        <w:t>知者</w:t>
      </w:r>
      <w:r w:rsidR="00B011C4">
        <w:rPr>
          <w:rFonts w:ascii="標楷體" w:eastAsia="標楷體" w:hAnsi="標楷體" w:hint="eastAsia"/>
          <w:color w:val="FF0000"/>
          <w:szCs w:val="22"/>
          <w:highlight w:val="yellow"/>
        </w:rPr>
        <w:t>」</w:t>
      </w:r>
      <w:r>
        <w:rPr>
          <w:rFonts w:ascii="標楷體" w:eastAsia="標楷體" w:hAnsi="標楷體" w:hint="eastAsia"/>
          <w:szCs w:val="22"/>
        </w:rPr>
        <w:t>亦同破。</w:t>
      </w:r>
    </w:p>
    <w:p w:rsidR="00157EF6" w:rsidRPr="00043A1E" w:rsidRDefault="00157EF6" w:rsidP="00AA120F">
      <w:pPr>
        <w:pStyle w:val="a5"/>
        <w:ind w:leftChars="105" w:left="791" w:hangingChars="245" w:hanging="539"/>
        <w:jc w:val="both"/>
        <w:rPr>
          <w:rFonts w:ascii="標楷體" w:eastAsia="標楷體" w:hAnsi="標楷體"/>
          <w:szCs w:val="22"/>
        </w:rPr>
      </w:pPr>
      <w:r w:rsidRPr="00043A1E">
        <w:rPr>
          <w:rFonts w:hAnsi="新細明體"/>
          <w:szCs w:val="22"/>
        </w:rPr>
        <w:t>（</w:t>
      </w:r>
      <w:r w:rsidRPr="00761EF3">
        <w:rPr>
          <w:szCs w:val="22"/>
        </w:rPr>
        <w:t>2</w:t>
      </w:r>
      <w:r w:rsidRPr="00043A1E">
        <w:rPr>
          <w:rFonts w:hAnsi="新細明體"/>
          <w:szCs w:val="22"/>
        </w:rPr>
        <w:t>）</w:t>
      </w:r>
      <w:r w:rsidR="009160B5">
        <w:rPr>
          <w:rFonts w:hint="eastAsia"/>
          <w:szCs w:val="22"/>
        </w:rPr>
        <w:t>參見：印</w:t>
      </w:r>
      <w:r w:rsidRPr="00043A1E">
        <w:rPr>
          <w:rFonts w:hAnsi="新細明體"/>
          <w:szCs w:val="22"/>
        </w:rPr>
        <w:t>順法師，《中觀論頌講記》，</w:t>
      </w:r>
      <w:r w:rsidRPr="00761EF3">
        <w:rPr>
          <w:szCs w:val="22"/>
        </w:rPr>
        <w:t>pp</w:t>
      </w:r>
      <w:r w:rsidRPr="00043A1E">
        <w:rPr>
          <w:szCs w:val="22"/>
        </w:rPr>
        <w:t>.</w:t>
      </w:r>
      <w:r w:rsidRPr="00761EF3">
        <w:rPr>
          <w:szCs w:val="22"/>
        </w:rPr>
        <w:t>129</w:t>
      </w:r>
      <w:r w:rsidRPr="00043A1E">
        <w:rPr>
          <w:szCs w:val="22"/>
        </w:rPr>
        <w:t>-</w:t>
      </w:r>
      <w:r w:rsidRPr="00761EF3">
        <w:rPr>
          <w:szCs w:val="22"/>
        </w:rPr>
        <w:t>130</w:t>
      </w:r>
      <w:r w:rsidRPr="00043A1E">
        <w:rPr>
          <w:rFonts w:hint="eastAsia"/>
          <w:szCs w:val="22"/>
        </w:rPr>
        <w:t>。</w:t>
      </w:r>
    </w:p>
  </w:footnote>
  <w:footnote w:id="646">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rFonts w:hint="eastAsia"/>
          <w:szCs w:val="22"/>
        </w:rPr>
        <w:t>灰滅：如灰燼之消散泯滅。（《漢語大詞典》（七），</w:t>
      </w:r>
      <w:r w:rsidRPr="00761EF3">
        <w:rPr>
          <w:szCs w:val="22"/>
        </w:rPr>
        <w:t>p</w:t>
      </w:r>
      <w:r w:rsidRPr="00043A1E">
        <w:rPr>
          <w:szCs w:val="22"/>
        </w:rPr>
        <w:t>.</w:t>
      </w:r>
      <w:r w:rsidRPr="00761EF3">
        <w:rPr>
          <w:rFonts w:hint="eastAsia"/>
          <w:szCs w:val="22"/>
        </w:rPr>
        <w:t>27</w:t>
      </w:r>
      <w:r w:rsidRPr="00043A1E">
        <w:rPr>
          <w:rFonts w:hint="eastAsia"/>
          <w:szCs w:val="22"/>
        </w:rPr>
        <w:t>）</w:t>
      </w:r>
    </w:p>
  </w:footnote>
  <w:footnote w:id="647">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《大智度論》卷</w:t>
      </w:r>
      <w:r w:rsidRPr="00761EF3">
        <w:rPr>
          <w:szCs w:val="22"/>
        </w:rPr>
        <w:t>1</w:t>
      </w:r>
      <w:r w:rsidR="005C0D01">
        <w:rPr>
          <w:rFonts w:hint="eastAsia"/>
          <w:color w:val="FF0000"/>
          <w:szCs w:val="22"/>
          <w:highlight w:val="yellow"/>
        </w:rPr>
        <w:t>釋〈</w:t>
      </w:r>
      <w:r w:rsidR="005C0D01">
        <w:rPr>
          <w:color w:val="FF0000"/>
          <w:szCs w:val="22"/>
          <w:highlight w:val="yellow"/>
        </w:rPr>
        <w:t xml:space="preserve">1 </w:t>
      </w:r>
      <w:r w:rsidR="005C0D01">
        <w:rPr>
          <w:rFonts w:hint="eastAsia"/>
          <w:color w:val="FF0000"/>
          <w:szCs w:val="22"/>
          <w:highlight w:val="yellow"/>
        </w:rPr>
        <w:t>序品〉</w:t>
      </w:r>
      <w:r w:rsidRPr="00043A1E">
        <w:rPr>
          <w:szCs w:val="22"/>
        </w:rPr>
        <w:t>（大正</w:t>
      </w:r>
      <w:r w:rsidRPr="00761EF3">
        <w:rPr>
          <w:szCs w:val="22"/>
        </w:rPr>
        <w:t>25</w:t>
      </w:r>
      <w:r w:rsidRPr="00043A1E">
        <w:rPr>
          <w:szCs w:val="22"/>
        </w:rPr>
        <w:t>，</w:t>
      </w:r>
      <w:r w:rsidRPr="00761EF3">
        <w:rPr>
          <w:szCs w:val="22"/>
        </w:rPr>
        <w:t>60b28</w:t>
      </w:r>
      <w:r w:rsidRPr="00043A1E">
        <w:rPr>
          <w:rFonts w:hint="eastAsia"/>
          <w:szCs w:val="22"/>
        </w:rPr>
        <w:t>-</w:t>
      </w:r>
      <w:r w:rsidRPr="00761EF3">
        <w:rPr>
          <w:szCs w:val="22"/>
        </w:rPr>
        <w:t>c5</w:t>
      </w:r>
      <w:r w:rsidRPr="00043A1E">
        <w:rPr>
          <w:szCs w:val="22"/>
        </w:rPr>
        <w:t>）：</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szCs w:val="22"/>
        </w:rPr>
        <w:t>若一切實性無常，則無行業報。何以故？</w:t>
      </w:r>
      <w:r w:rsidR="00CE680E">
        <w:rPr>
          <w:rFonts w:ascii="標楷體" w:eastAsia="標楷體" w:hAnsi="標楷體" w:hint="eastAsia"/>
          <w:bCs/>
          <w:color w:val="FF0000"/>
          <w:kern w:val="0"/>
          <w:highlight w:val="yellow"/>
        </w:rPr>
        <w:t>「</w:t>
      </w:r>
      <w:r w:rsidRPr="00043A1E">
        <w:rPr>
          <w:rFonts w:ascii="標楷體" w:eastAsia="標楷體" w:hAnsi="標楷體"/>
          <w:szCs w:val="22"/>
        </w:rPr>
        <w:t>無常</w:t>
      </w:r>
      <w:r w:rsidR="00CE680E">
        <w:rPr>
          <w:rFonts w:ascii="標楷體" w:eastAsia="標楷體" w:hAnsi="標楷體" w:hint="eastAsia"/>
          <w:bCs/>
          <w:color w:val="FF0000"/>
          <w:kern w:val="0"/>
          <w:highlight w:val="yellow"/>
        </w:rPr>
        <w:t>」</w:t>
      </w:r>
      <w:r w:rsidRPr="00043A1E">
        <w:rPr>
          <w:rFonts w:ascii="標楷體" w:eastAsia="標楷體" w:hAnsi="標楷體"/>
          <w:szCs w:val="22"/>
        </w:rPr>
        <w:t>名生滅失故。譬如腐種子不生果，如是則無行業</w:t>
      </w:r>
      <w:r w:rsidRPr="00043A1E">
        <w:rPr>
          <w:rFonts w:ascii="標楷體" w:eastAsia="標楷體" w:hAnsi="標楷體" w:hint="eastAsia"/>
          <w:szCs w:val="22"/>
        </w:rPr>
        <w:t>；</w:t>
      </w:r>
      <w:r w:rsidRPr="00043A1E">
        <w:rPr>
          <w:rFonts w:ascii="標楷體" w:eastAsia="標楷體" w:hAnsi="標楷體"/>
          <w:szCs w:val="22"/>
        </w:rPr>
        <w:t>無行業，云何有果報？今一切賢聖法有果報，善智之人所可信受，不應言無。以是故，諸法非無常性</w:t>
      </w:r>
      <w:r w:rsidR="00CE680E">
        <w:rPr>
          <w:rFonts w:ascii="標楷體" w:eastAsia="標楷體" w:hAnsi="標楷體" w:hint="eastAsia"/>
          <w:color w:val="FF0000"/>
          <w:kern w:val="0"/>
          <w:highlight w:val="yellow"/>
        </w:rPr>
        <w:t>。</w:t>
      </w:r>
      <w:r w:rsidRPr="00043A1E">
        <w:rPr>
          <w:rFonts w:ascii="標楷體" w:eastAsia="標楷體" w:hAnsi="標楷體"/>
          <w:szCs w:val="22"/>
        </w:rPr>
        <w:t>如是等無量因緣說，不得言</w:t>
      </w:r>
      <w:r w:rsidR="00CE680E">
        <w:rPr>
          <w:rFonts w:ascii="標楷體" w:eastAsia="標楷體" w:hAnsi="標楷體" w:hint="eastAsia"/>
          <w:bCs/>
          <w:color w:val="FF0000"/>
          <w:kern w:val="0"/>
          <w:highlight w:val="yellow"/>
        </w:rPr>
        <w:t>「</w:t>
      </w:r>
      <w:r w:rsidRPr="00043A1E">
        <w:rPr>
          <w:rFonts w:ascii="標楷體" w:eastAsia="標楷體" w:hAnsi="標楷體"/>
          <w:szCs w:val="22"/>
        </w:rPr>
        <w:t>諸法無常性</w:t>
      </w:r>
      <w:r w:rsidR="00CE680E">
        <w:rPr>
          <w:rFonts w:ascii="標楷體" w:eastAsia="標楷體" w:hAnsi="標楷體" w:hint="eastAsia"/>
          <w:bCs/>
          <w:color w:val="FF0000"/>
          <w:kern w:val="0"/>
          <w:highlight w:val="yellow"/>
        </w:rPr>
        <w:t>」</w:t>
      </w:r>
      <w:r w:rsidRPr="00043A1E">
        <w:rPr>
          <w:rFonts w:ascii="標楷體" w:eastAsia="標楷體" w:hAnsi="標楷體"/>
          <w:szCs w:val="22"/>
        </w:rPr>
        <w:t>。</w:t>
      </w:r>
    </w:p>
  </w:footnote>
  <w:footnote w:id="648">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rFonts w:hint="eastAsia"/>
          <w:szCs w:val="22"/>
        </w:rPr>
        <w:t>歷然：清晰貌。（《漢語大詞典》（五），</w:t>
      </w:r>
      <w:r w:rsidRPr="00761EF3">
        <w:rPr>
          <w:szCs w:val="22"/>
        </w:rPr>
        <w:t>p</w:t>
      </w:r>
      <w:r w:rsidRPr="00043A1E">
        <w:rPr>
          <w:szCs w:val="22"/>
        </w:rPr>
        <w:t>.</w:t>
      </w:r>
      <w:r w:rsidRPr="00761EF3">
        <w:rPr>
          <w:rFonts w:hint="eastAsia"/>
          <w:szCs w:val="22"/>
        </w:rPr>
        <w:t>365</w:t>
      </w:r>
      <w:r w:rsidRPr="00043A1E">
        <w:rPr>
          <w:rFonts w:hint="eastAsia"/>
          <w:szCs w:val="22"/>
        </w:rPr>
        <w:t>）</w:t>
      </w:r>
    </w:p>
  </w:footnote>
  <w:footnote w:id="649">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szCs w:val="22"/>
        </w:rPr>
        <w:t>）《入中論》卷</w:t>
      </w:r>
      <w:r w:rsidRPr="00761EF3">
        <w:rPr>
          <w:szCs w:val="22"/>
        </w:rPr>
        <w:t>2</w:t>
      </w:r>
      <w:r w:rsidRPr="00043A1E">
        <w:rPr>
          <w:szCs w:val="22"/>
        </w:rPr>
        <w:t>（《佛教大藏經》第</w:t>
      </w:r>
      <w:r w:rsidRPr="00761EF3">
        <w:rPr>
          <w:szCs w:val="22"/>
        </w:rPr>
        <w:t>48</w:t>
      </w:r>
      <w:r w:rsidRPr="00043A1E">
        <w:rPr>
          <w:szCs w:val="22"/>
        </w:rPr>
        <w:t>冊，</w:t>
      </w:r>
      <w:r w:rsidRPr="00761EF3">
        <w:rPr>
          <w:szCs w:val="22"/>
        </w:rPr>
        <w:t>p</w:t>
      </w:r>
      <w:r w:rsidRPr="00043A1E">
        <w:rPr>
          <w:szCs w:val="22"/>
        </w:rPr>
        <w:t>.</w:t>
      </w:r>
      <w:r w:rsidRPr="00761EF3">
        <w:rPr>
          <w:szCs w:val="22"/>
        </w:rPr>
        <w:t>32</w:t>
      </w:r>
      <w:r w:rsidRPr="00043A1E">
        <w:rPr>
          <w:szCs w:val="22"/>
        </w:rPr>
        <w:t>）：</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由業非以自性滅，故無賴耶亦能生；有業雖滅經久時，當知猶能生自果。</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）演培法師，《入中論頌講記》，</w:t>
      </w:r>
      <w:r w:rsidRPr="00761EF3">
        <w:rPr>
          <w:rFonts w:hint="eastAsia"/>
          <w:szCs w:val="22"/>
        </w:rPr>
        <w:t>pp</w:t>
      </w:r>
      <w:r w:rsidRPr="00043A1E">
        <w:rPr>
          <w:rFonts w:hint="eastAsia"/>
          <w:szCs w:val="22"/>
        </w:rPr>
        <w:t>.</w:t>
      </w:r>
      <w:r w:rsidRPr="00761EF3">
        <w:rPr>
          <w:rFonts w:hint="eastAsia"/>
          <w:szCs w:val="22"/>
        </w:rPr>
        <w:t>215</w:t>
      </w:r>
      <w:r w:rsidRPr="00043A1E">
        <w:rPr>
          <w:rFonts w:hint="eastAsia"/>
          <w:szCs w:val="22"/>
        </w:rPr>
        <w:t>-</w:t>
      </w:r>
      <w:r w:rsidRPr="00761EF3">
        <w:rPr>
          <w:rFonts w:hint="eastAsia"/>
          <w:szCs w:val="22"/>
        </w:rPr>
        <w:t>217</w:t>
      </w:r>
      <w:r w:rsidRPr="00043A1E">
        <w:rPr>
          <w:rFonts w:hint="eastAsia"/>
          <w:szCs w:val="22"/>
        </w:rPr>
        <w:t>：</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先來破斥唯識的賴耶說。一切有為法都是剎那生滅，這是佛弟子所共認的。因此，你所說的阿賴耶與業力，同樣是剎那生滅的，既然都是剎那生滅的，那我就得問你：業滅能不能感果？如說業滅不能感果，那你賴耶滅了，亦復不能感果；若汝賴耶滅後，是可感果的話，則業力滅後，亦應如賴耶可以感果，業既可以感果，還要你的阿賴耶識做什麼？</w:t>
      </w:r>
      <w:r w:rsidRPr="00043A1E">
        <w:rPr>
          <w:rFonts w:ascii="標楷體" w:eastAsia="標楷體" w:hAnsi="標楷體" w:hint="eastAsia"/>
          <w:b/>
          <w:szCs w:val="22"/>
        </w:rPr>
        <w:t>因為業滅，在中觀家看來，不是實有自性的毀滅，而是如幻假相的幻滅，幻滅即顯示業的本身仍然存在，以此去感果就可以了，無需阿賴耶識在中間做個橋樑，所以說「由業非以自性滅，故無賴耶亦能生」</w:t>
      </w:r>
      <w:r w:rsidRPr="00043A1E">
        <w:rPr>
          <w:rFonts w:ascii="標楷體" w:eastAsia="標楷體" w:hAnsi="標楷體" w:hint="eastAsia"/>
          <w:szCs w:val="22"/>
        </w:rPr>
        <w:t>。</w:t>
      </w:r>
      <w:r w:rsidRPr="00D805E9">
        <w:rPr>
          <w:rFonts w:ascii="標楷體" w:eastAsia="標楷體" w:hAnsi="標楷體" w:hint="eastAsia"/>
          <w:color w:val="FF0000"/>
          <w:szCs w:val="22"/>
          <w:shd w:val="pct15" w:color="auto" w:fill="FFFFFF"/>
        </w:rPr>
        <w:t>……</w:t>
      </w:r>
      <w:r w:rsidRPr="00043A1E">
        <w:rPr>
          <w:rFonts w:ascii="標楷體" w:eastAsia="標楷體" w:hAnsi="標楷體" w:hint="eastAsia"/>
          <w:szCs w:val="22"/>
        </w:rPr>
        <w:t>業雖如幻，但如幻的業用，在沒有感果之前，並不是消失的，所以吾人如造了業，不管是善業、不善業，不論是經多久的時間，縱然是滅而過去，但因緣成熟的時候，自然而然的就去感果，沒有任何力量，可以阻止或破壞的。所以說「</w:t>
      </w:r>
      <w:r w:rsidRPr="00043A1E">
        <w:rPr>
          <w:rFonts w:ascii="標楷體" w:eastAsia="標楷體" w:hAnsi="標楷體" w:hint="eastAsia"/>
          <w:b/>
          <w:szCs w:val="22"/>
        </w:rPr>
        <w:t>有業雖滅經久時，當知猶能生自果</w:t>
      </w:r>
      <w:r w:rsidRPr="00043A1E">
        <w:rPr>
          <w:rFonts w:ascii="標楷體" w:eastAsia="標楷體" w:hAnsi="標楷體" w:hint="eastAsia"/>
          <w:szCs w:val="22"/>
        </w:rPr>
        <w:t>」。</w:t>
      </w:r>
    </w:p>
  </w:footnote>
  <w:footnote w:id="650">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）〔後秦〕僧肇</w:t>
      </w:r>
      <w:r w:rsidR="00CC5CAB">
        <w:rPr>
          <w:rFonts w:hint="eastAsia"/>
          <w:szCs w:val="22"/>
        </w:rPr>
        <w:t>作</w:t>
      </w:r>
      <w:r w:rsidRPr="00043A1E">
        <w:rPr>
          <w:rFonts w:hint="eastAsia"/>
          <w:szCs w:val="22"/>
        </w:rPr>
        <w:t>，《肇論</w:t>
      </w:r>
      <w:r w:rsidR="00CC5CAB" w:rsidRPr="00043A1E">
        <w:rPr>
          <w:rFonts w:hint="eastAsia"/>
          <w:szCs w:val="22"/>
        </w:rPr>
        <w:t>》</w:t>
      </w:r>
      <w:r w:rsidR="002162B3">
        <w:rPr>
          <w:rFonts w:hint="eastAsia"/>
          <w:szCs w:val="22"/>
        </w:rPr>
        <w:t>〈</w:t>
      </w:r>
      <w:r w:rsidR="002162B3" w:rsidRPr="00043A1E">
        <w:rPr>
          <w:rFonts w:hint="eastAsia"/>
          <w:szCs w:val="22"/>
        </w:rPr>
        <w:t>物不遷論</w:t>
      </w:r>
      <w:r w:rsidR="002162B3">
        <w:rPr>
          <w:rFonts w:hint="eastAsia"/>
          <w:szCs w:val="22"/>
        </w:rPr>
        <w:t>〉</w:t>
      </w:r>
      <w:r w:rsidRPr="00043A1E">
        <w:rPr>
          <w:rFonts w:hint="eastAsia"/>
          <w:szCs w:val="22"/>
        </w:rPr>
        <w:t>（大正</w:t>
      </w:r>
      <w:r w:rsidRPr="00761EF3">
        <w:rPr>
          <w:rFonts w:hint="eastAsia"/>
          <w:szCs w:val="22"/>
        </w:rPr>
        <w:t>45</w:t>
      </w:r>
      <w:r w:rsidRPr="00043A1E">
        <w:rPr>
          <w:rFonts w:hint="eastAsia"/>
          <w:szCs w:val="22"/>
        </w:rPr>
        <w:t>，</w:t>
      </w:r>
      <w:r w:rsidRPr="00761EF3">
        <w:rPr>
          <w:rFonts w:hint="eastAsia"/>
          <w:szCs w:val="22"/>
        </w:rPr>
        <w:t>151a9</w:t>
      </w:r>
      <w:r w:rsidRPr="00043A1E">
        <w:rPr>
          <w:rFonts w:hint="eastAsia"/>
          <w:szCs w:val="22"/>
        </w:rPr>
        <w:t>-</w:t>
      </w:r>
      <w:r w:rsidRPr="00761EF3">
        <w:rPr>
          <w:rFonts w:hint="eastAsia"/>
          <w:szCs w:val="22"/>
        </w:rPr>
        <w:t>14</w:t>
      </w:r>
      <w:r w:rsidRPr="00043A1E">
        <w:rPr>
          <w:rFonts w:hint="eastAsia"/>
          <w:szCs w:val="22"/>
        </w:rPr>
        <w:t>）：</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夫生死交謝，寒暑迭遷，有物流動，人之常情；余則謂之不然。何者？《放光》云：「法無去來，無動轉者。」尋夫不動之作，豈釋動以求靜？必求靜於諸動。必求靜於諸動故，雖動而常靜；不釋動以求靜故，雖靜而不離動。然則動靜未始異，而惑者不同。</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）印順法師，《初期大乘佛教之起源與開展</w:t>
      </w:r>
      <w:r w:rsidRPr="00043A1E">
        <w:rPr>
          <w:szCs w:val="22"/>
        </w:rPr>
        <w:t>》，</w:t>
      </w:r>
      <w:r w:rsidRPr="00761EF3">
        <w:rPr>
          <w:rFonts w:hint="eastAsia"/>
          <w:szCs w:val="22"/>
        </w:rPr>
        <w:t>p</w:t>
      </w:r>
      <w:r w:rsidRPr="00043A1E">
        <w:rPr>
          <w:rFonts w:hint="eastAsia"/>
          <w:szCs w:val="22"/>
        </w:rPr>
        <w:t>.</w:t>
      </w:r>
      <w:r w:rsidRPr="00FC75B7">
        <w:rPr>
          <w:rFonts w:hint="eastAsia"/>
          <w:color w:val="FF0000"/>
          <w:szCs w:val="22"/>
          <w:highlight w:val="yellow"/>
        </w:rPr>
        <w:t>7</w:t>
      </w:r>
      <w:r w:rsidR="00FC75B7" w:rsidRPr="00FC75B7">
        <w:rPr>
          <w:rFonts w:hint="eastAsia"/>
          <w:color w:val="FF0000"/>
          <w:szCs w:val="22"/>
          <w:highlight w:val="yellow"/>
        </w:rPr>
        <w:t>33</w:t>
      </w:r>
      <w:r w:rsidRPr="00043A1E">
        <w:rPr>
          <w:rFonts w:hint="eastAsia"/>
          <w:szCs w:val="22"/>
        </w:rPr>
        <w:t>：</w:t>
      </w:r>
    </w:p>
    <w:p w:rsidR="00FC75B7" w:rsidRPr="00FC75B7" w:rsidRDefault="00FC75B7" w:rsidP="00AA120F">
      <w:pPr>
        <w:pStyle w:val="a5"/>
        <w:ind w:leftChars="335" w:left="804"/>
        <w:jc w:val="both"/>
        <w:rPr>
          <w:rFonts w:ascii="標楷體" w:eastAsia="標楷體" w:hAnsi="標楷體"/>
          <w:color w:val="FF0000"/>
          <w:szCs w:val="22"/>
          <w:highlight w:val="yellow"/>
        </w:rPr>
      </w:pPr>
      <w:r w:rsidRPr="00FC75B7">
        <w:rPr>
          <w:rFonts w:ascii="標楷體" w:eastAsia="標楷體" w:hAnsi="標楷體" w:hint="eastAsia"/>
          <w:color w:val="FF0000"/>
          <w:szCs w:val="22"/>
          <w:highlight w:val="yellow"/>
        </w:rPr>
        <w:t>依薩婆多部，有自體而存在於時間中的，只能稱為「恆」，不能說是常住的。</w:t>
      </w:r>
    </w:p>
    <w:p w:rsidR="00157EF6" w:rsidRPr="00043A1E" w:rsidRDefault="00FC75B7" w:rsidP="00FC75B7">
      <w:pPr>
        <w:pStyle w:val="a5"/>
        <w:adjustRightInd w:val="0"/>
        <w:ind w:leftChars="335" w:left="1882" w:hangingChars="490" w:hanging="1078"/>
        <w:jc w:val="both"/>
        <w:rPr>
          <w:rFonts w:ascii="標楷體" w:eastAsia="標楷體" w:hAnsi="標楷體"/>
          <w:szCs w:val="22"/>
        </w:rPr>
      </w:pPr>
      <w:r w:rsidRPr="00FC75B7">
        <w:rPr>
          <w:rFonts w:hint="eastAsia"/>
          <w:color w:val="FF0000"/>
          <w:szCs w:val="22"/>
          <w:highlight w:val="yellow"/>
        </w:rPr>
        <w:t>[</w:t>
      </w:r>
      <w:r w:rsidRPr="00FC75B7">
        <w:rPr>
          <w:rFonts w:hint="eastAsia"/>
          <w:color w:val="FF0000"/>
          <w:szCs w:val="22"/>
          <w:highlight w:val="yellow"/>
        </w:rPr>
        <w:t>原書註</w:t>
      </w:r>
      <w:r w:rsidRPr="00FC75B7">
        <w:rPr>
          <w:rFonts w:hint="eastAsia"/>
          <w:color w:val="FF0000"/>
          <w:szCs w:val="22"/>
          <w:highlight w:val="yellow"/>
        </w:rPr>
        <w:t>57]</w:t>
      </w:r>
      <w:r w:rsidR="00157EF6" w:rsidRPr="00043A1E">
        <w:rPr>
          <w:rFonts w:ascii="標楷體" w:eastAsia="標楷體" w:hAnsi="標楷體" w:hint="eastAsia"/>
          <w:szCs w:val="22"/>
        </w:rPr>
        <w:t>僧肇</w:t>
      </w:r>
      <w:r w:rsidR="00157EF6" w:rsidRPr="00043A1E">
        <w:rPr>
          <w:rFonts w:ascii="標楷體" w:eastAsia="標楷體" w:hAnsi="標楷體"/>
          <w:szCs w:val="22"/>
        </w:rPr>
        <w:t>《</w:t>
      </w:r>
      <w:r w:rsidR="00157EF6" w:rsidRPr="00043A1E">
        <w:rPr>
          <w:rFonts w:ascii="標楷體" w:eastAsia="標楷體" w:hAnsi="標楷體" w:hint="eastAsia"/>
          <w:szCs w:val="22"/>
        </w:rPr>
        <w:t>物不遷論</w:t>
      </w:r>
      <w:r w:rsidR="00157EF6" w:rsidRPr="00043A1E">
        <w:rPr>
          <w:rFonts w:ascii="標楷體" w:eastAsia="標楷體" w:hAnsi="標楷體"/>
          <w:szCs w:val="22"/>
        </w:rPr>
        <w:t>》</w:t>
      </w:r>
      <w:r w:rsidR="00157EF6" w:rsidRPr="00043A1E">
        <w:rPr>
          <w:rFonts w:ascii="標楷體" w:eastAsia="標楷體" w:hAnsi="標楷體" w:hint="eastAsia"/>
          <w:szCs w:val="22"/>
        </w:rPr>
        <w:t>，所說動而常靜的道理，與薩婆多部說相合。但以即動而靜為常，不合薩婆多部說，也與</w:t>
      </w:r>
      <w:r w:rsidR="00157EF6" w:rsidRPr="00043A1E">
        <w:rPr>
          <w:rFonts w:ascii="標楷體" w:eastAsia="標楷體" w:hAnsi="標楷體"/>
          <w:szCs w:val="22"/>
        </w:rPr>
        <w:t>《</w:t>
      </w:r>
      <w:r w:rsidR="00157EF6" w:rsidRPr="00043A1E">
        <w:rPr>
          <w:rFonts w:ascii="標楷體" w:eastAsia="標楷體" w:hAnsi="標楷體" w:hint="eastAsia"/>
          <w:szCs w:val="22"/>
        </w:rPr>
        <w:t>般若經</w:t>
      </w:r>
      <w:r w:rsidR="00157EF6" w:rsidRPr="00043A1E">
        <w:rPr>
          <w:rFonts w:ascii="標楷體" w:eastAsia="標楷體" w:hAnsi="標楷體"/>
          <w:szCs w:val="22"/>
        </w:rPr>
        <w:t>》</w:t>
      </w:r>
      <w:r w:rsidR="00157EF6" w:rsidRPr="00043A1E">
        <w:rPr>
          <w:rFonts w:ascii="標楷體" w:eastAsia="標楷體" w:hAnsi="標楷體" w:hint="eastAsia"/>
          <w:szCs w:val="22"/>
        </w:rPr>
        <w:t>義不合。</w:t>
      </w:r>
    </w:p>
  </w:footnote>
  <w:footnote w:id="651">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）〔後秦〕僧肇</w:t>
      </w:r>
      <w:r w:rsidR="00CC5CAB">
        <w:rPr>
          <w:rFonts w:hint="eastAsia"/>
          <w:szCs w:val="22"/>
        </w:rPr>
        <w:t>作</w:t>
      </w:r>
      <w:r w:rsidRPr="00043A1E">
        <w:rPr>
          <w:rFonts w:hint="eastAsia"/>
          <w:szCs w:val="22"/>
        </w:rPr>
        <w:t>，《</w:t>
      </w:r>
      <w:r w:rsidRPr="00043A1E">
        <w:rPr>
          <w:szCs w:val="22"/>
        </w:rPr>
        <w:t>肇論</w:t>
      </w:r>
      <w:r w:rsidRPr="00CC5CAB">
        <w:rPr>
          <w:szCs w:val="22"/>
        </w:rPr>
        <w:t>》</w:t>
      </w:r>
      <w:r w:rsidR="00EE7161">
        <w:rPr>
          <w:rFonts w:hint="eastAsia"/>
          <w:szCs w:val="22"/>
        </w:rPr>
        <w:t>〈</w:t>
      </w:r>
      <w:r w:rsidR="00EE7161" w:rsidRPr="00043A1E">
        <w:rPr>
          <w:rFonts w:hint="eastAsia"/>
          <w:szCs w:val="22"/>
        </w:rPr>
        <w:t>物不遷論</w:t>
      </w:r>
      <w:r w:rsidR="00EE7161">
        <w:rPr>
          <w:rFonts w:hint="eastAsia"/>
          <w:szCs w:val="22"/>
        </w:rPr>
        <w:t>〉</w:t>
      </w:r>
      <w:r w:rsidRPr="00043A1E">
        <w:rPr>
          <w:rFonts w:hint="eastAsia"/>
          <w:szCs w:val="22"/>
        </w:rPr>
        <w:t>（</w:t>
      </w:r>
      <w:r w:rsidRPr="00043A1E">
        <w:rPr>
          <w:szCs w:val="22"/>
        </w:rPr>
        <w:t>大正</w:t>
      </w:r>
      <w:r w:rsidRPr="00761EF3">
        <w:rPr>
          <w:szCs w:val="22"/>
        </w:rPr>
        <w:t>45</w:t>
      </w:r>
      <w:r w:rsidRPr="00043A1E">
        <w:rPr>
          <w:szCs w:val="22"/>
        </w:rPr>
        <w:t>，</w:t>
      </w:r>
      <w:r w:rsidRPr="00761EF3">
        <w:rPr>
          <w:szCs w:val="22"/>
        </w:rPr>
        <w:t>151a</w:t>
      </w:r>
      <w:r w:rsidRPr="00761EF3">
        <w:rPr>
          <w:rFonts w:hint="eastAsia"/>
          <w:szCs w:val="22"/>
        </w:rPr>
        <w:t>20</w:t>
      </w:r>
      <w:r w:rsidRPr="00043A1E">
        <w:rPr>
          <w:rFonts w:hint="eastAsia"/>
          <w:szCs w:val="22"/>
        </w:rPr>
        <w:t>-</w:t>
      </w:r>
      <w:r w:rsidRPr="00761EF3">
        <w:rPr>
          <w:szCs w:val="22"/>
        </w:rPr>
        <w:t>b5</w:t>
      </w:r>
      <w:r w:rsidRPr="00043A1E">
        <w:rPr>
          <w:rFonts w:hint="eastAsia"/>
          <w:szCs w:val="22"/>
        </w:rPr>
        <w:t>）：</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szCs w:val="22"/>
        </w:rPr>
        <w:t>《</w:t>
      </w:r>
      <w:r w:rsidRPr="00043A1E">
        <w:rPr>
          <w:rFonts w:ascii="標楷體" w:eastAsia="標楷體" w:hAnsi="標楷體" w:hint="eastAsia"/>
          <w:szCs w:val="22"/>
        </w:rPr>
        <w:t>道行</w:t>
      </w:r>
      <w:r w:rsidRPr="00043A1E">
        <w:rPr>
          <w:rFonts w:ascii="標楷體" w:eastAsia="標楷體" w:hAnsi="標楷體"/>
          <w:szCs w:val="22"/>
        </w:rPr>
        <w:t>》</w:t>
      </w:r>
      <w:r w:rsidRPr="00043A1E">
        <w:rPr>
          <w:rFonts w:ascii="標楷體" w:eastAsia="標楷體" w:hAnsi="標楷體" w:hint="eastAsia"/>
          <w:szCs w:val="22"/>
        </w:rPr>
        <w:t>云：「諸法本無所從來，去亦無所至。」</w:t>
      </w:r>
      <w:r w:rsidR="00CE680E" w:rsidRPr="008C51FD">
        <w:rPr>
          <w:rFonts w:eastAsia="標楷體" w:hint="eastAsia"/>
          <w:color w:val="FF0000"/>
          <w:szCs w:val="22"/>
          <w:shd w:val="pct15" w:color="auto" w:fill="FFFFFF"/>
        </w:rPr>
        <w:t>*</w:t>
      </w:r>
      <w:r w:rsidRPr="00043A1E">
        <w:rPr>
          <w:rFonts w:ascii="標楷體" w:eastAsia="標楷體" w:hAnsi="標楷體"/>
          <w:szCs w:val="22"/>
        </w:rPr>
        <w:t>《</w:t>
      </w:r>
      <w:r w:rsidRPr="00043A1E">
        <w:rPr>
          <w:rFonts w:ascii="標楷體" w:eastAsia="標楷體" w:hAnsi="標楷體" w:hint="eastAsia"/>
          <w:szCs w:val="22"/>
        </w:rPr>
        <w:t>中觀</w:t>
      </w:r>
      <w:r w:rsidRPr="00043A1E">
        <w:rPr>
          <w:rFonts w:ascii="標楷體" w:eastAsia="標楷體" w:hAnsi="標楷體"/>
          <w:szCs w:val="22"/>
        </w:rPr>
        <w:t>》</w:t>
      </w:r>
      <w:r w:rsidRPr="00043A1E">
        <w:rPr>
          <w:rFonts w:ascii="標楷體" w:eastAsia="標楷體" w:hAnsi="標楷體" w:hint="eastAsia"/>
          <w:szCs w:val="22"/>
        </w:rPr>
        <w:t>云：「觀方知彼去，去者不至方。」斯皆即動而求靜，以知</w:t>
      </w:r>
      <w:r w:rsidR="00CE680E">
        <w:rPr>
          <w:rFonts w:ascii="標楷體" w:eastAsia="標楷體" w:hAnsi="標楷體" w:hint="eastAsia"/>
          <w:bCs/>
          <w:color w:val="FF0000"/>
          <w:kern w:val="0"/>
          <w:highlight w:val="yellow"/>
        </w:rPr>
        <w:t>「</w:t>
      </w:r>
      <w:r w:rsidRPr="00043A1E">
        <w:rPr>
          <w:rFonts w:ascii="標楷體" w:eastAsia="標楷體" w:hAnsi="標楷體" w:hint="eastAsia"/>
          <w:szCs w:val="22"/>
        </w:rPr>
        <w:t>物不遷</w:t>
      </w:r>
      <w:r w:rsidR="00CE680E">
        <w:rPr>
          <w:rFonts w:ascii="標楷體" w:eastAsia="標楷體" w:hAnsi="標楷體" w:hint="eastAsia"/>
          <w:bCs/>
          <w:color w:val="FF0000"/>
          <w:kern w:val="0"/>
          <w:highlight w:val="yellow"/>
        </w:rPr>
        <w:t>」</w:t>
      </w:r>
      <w:r w:rsidRPr="00043A1E">
        <w:rPr>
          <w:rFonts w:ascii="標楷體" w:eastAsia="標楷體" w:hAnsi="標楷體" w:hint="eastAsia"/>
          <w:szCs w:val="22"/>
        </w:rPr>
        <w:t>，明矣</w:t>
      </w:r>
      <w:r w:rsidR="00CE680E">
        <w:rPr>
          <w:rFonts w:ascii="標楷體" w:eastAsia="標楷體" w:hAnsi="標楷體" w:hint="eastAsia"/>
          <w:color w:val="FF0000"/>
          <w:kern w:val="0"/>
          <w:highlight w:val="yellow"/>
        </w:rPr>
        <w:t>！</w:t>
      </w:r>
      <w:r w:rsidRPr="00043A1E">
        <w:rPr>
          <w:rFonts w:ascii="標楷體" w:eastAsia="標楷體" w:hAnsi="標楷體" w:hint="eastAsia"/>
          <w:szCs w:val="22"/>
        </w:rPr>
        <w:t>夫</w:t>
      </w:r>
      <w:r w:rsidRPr="00043A1E">
        <w:rPr>
          <w:rFonts w:ascii="標楷體" w:eastAsia="標楷體" w:hAnsi="標楷體" w:hint="eastAsia"/>
          <w:b/>
          <w:szCs w:val="22"/>
        </w:rPr>
        <w:t>人之所謂</w:t>
      </w:r>
      <w:r w:rsidR="00CE680E">
        <w:rPr>
          <w:rFonts w:ascii="標楷體" w:eastAsia="標楷體" w:hAnsi="標楷體" w:hint="eastAsia"/>
          <w:bCs/>
          <w:color w:val="FF0000"/>
          <w:kern w:val="0"/>
          <w:highlight w:val="yellow"/>
        </w:rPr>
        <w:t>「</w:t>
      </w:r>
      <w:r w:rsidRPr="00043A1E">
        <w:rPr>
          <w:rFonts w:ascii="標楷體" w:eastAsia="標楷體" w:hAnsi="標楷體" w:hint="eastAsia"/>
          <w:b/>
          <w:szCs w:val="22"/>
        </w:rPr>
        <w:t>動</w:t>
      </w:r>
      <w:r w:rsidR="00CE680E">
        <w:rPr>
          <w:rFonts w:ascii="標楷體" w:eastAsia="標楷體" w:hAnsi="標楷體" w:hint="eastAsia"/>
          <w:bCs/>
          <w:color w:val="FF0000"/>
          <w:kern w:val="0"/>
          <w:highlight w:val="yellow"/>
        </w:rPr>
        <w:t>」</w:t>
      </w:r>
      <w:r w:rsidRPr="00043A1E">
        <w:rPr>
          <w:rFonts w:ascii="標楷體" w:eastAsia="標楷體" w:hAnsi="標楷體" w:hint="eastAsia"/>
          <w:b/>
          <w:szCs w:val="22"/>
        </w:rPr>
        <w:t>者，以昔物不至今，故曰</w:t>
      </w:r>
      <w:r w:rsidR="00CE680E">
        <w:rPr>
          <w:rFonts w:ascii="標楷體" w:eastAsia="標楷體" w:hAnsi="標楷體" w:hint="eastAsia"/>
          <w:bCs/>
          <w:color w:val="FF0000"/>
          <w:kern w:val="0"/>
          <w:highlight w:val="yellow"/>
        </w:rPr>
        <w:t>「</w:t>
      </w:r>
      <w:r w:rsidRPr="00043A1E">
        <w:rPr>
          <w:rFonts w:ascii="標楷體" w:eastAsia="標楷體" w:hAnsi="標楷體" w:hint="eastAsia"/>
          <w:b/>
          <w:szCs w:val="22"/>
        </w:rPr>
        <w:t>動而非靜</w:t>
      </w:r>
      <w:r w:rsidR="00CE680E">
        <w:rPr>
          <w:rFonts w:ascii="標楷體" w:eastAsia="標楷體" w:hAnsi="標楷體" w:hint="eastAsia"/>
          <w:bCs/>
          <w:color w:val="FF0000"/>
          <w:kern w:val="0"/>
          <w:highlight w:val="yellow"/>
        </w:rPr>
        <w:t>」</w:t>
      </w:r>
      <w:r w:rsidR="00CE680E">
        <w:rPr>
          <w:rFonts w:ascii="標楷體" w:eastAsia="標楷體" w:hAnsi="標楷體" w:hint="eastAsia"/>
          <w:color w:val="FF0000"/>
          <w:spacing w:val="-4"/>
          <w:kern w:val="0"/>
          <w:highlight w:val="yellow"/>
        </w:rPr>
        <w:t>；</w:t>
      </w:r>
      <w:r w:rsidRPr="00043A1E">
        <w:rPr>
          <w:rFonts w:ascii="標楷體" w:eastAsia="標楷體" w:hAnsi="標楷體" w:hint="eastAsia"/>
          <w:b/>
          <w:szCs w:val="22"/>
        </w:rPr>
        <w:t>我之所謂</w:t>
      </w:r>
      <w:r w:rsidR="00CE680E">
        <w:rPr>
          <w:rFonts w:ascii="標楷體" w:eastAsia="標楷體" w:hAnsi="標楷體" w:hint="eastAsia"/>
          <w:bCs/>
          <w:color w:val="FF0000"/>
          <w:kern w:val="0"/>
          <w:highlight w:val="yellow"/>
        </w:rPr>
        <w:t>「</w:t>
      </w:r>
      <w:r w:rsidRPr="00043A1E">
        <w:rPr>
          <w:rFonts w:ascii="標楷體" w:eastAsia="標楷體" w:hAnsi="標楷體" w:hint="eastAsia"/>
          <w:b/>
          <w:szCs w:val="22"/>
        </w:rPr>
        <w:t>靜</w:t>
      </w:r>
      <w:r w:rsidR="00CE680E">
        <w:rPr>
          <w:rFonts w:ascii="標楷體" w:eastAsia="標楷體" w:hAnsi="標楷體" w:hint="eastAsia"/>
          <w:bCs/>
          <w:color w:val="FF0000"/>
          <w:kern w:val="0"/>
          <w:highlight w:val="yellow"/>
        </w:rPr>
        <w:t>」</w:t>
      </w:r>
      <w:r w:rsidRPr="00043A1E">
        <w:rPr>
          <w:rFonts w:ascii="標楷體" w:eastAsia="標楷體" w:hAnsi="標楷體" w:hint="eastAsia"/>
          <w:b/>
          <w:szCs w:val="22"/>
        </w:rPr>
        <w:t>者，亦以昔物不至今，故曰</w:t>
      </w:r>
      <w:r w:rsidR="00CE680E">
        <w:rPr>
          <w:rFonts w:ascii="標楷體" w:eastAsia="標楷體" w:hAnsi="標楷體" w:hint="eastAsia"/>
          <w:bCs/>
          <w:color w:val="FF0000"/>
          <w:kern w:val="0"/>
          <w:highlight w:val="yellow"/>
        </w:rPr>
        <w:t>「</w:t>
      </w:r>
      <w:r w:rsidRPr="00043A1E">
        <w:rPr>
          <w:rFonts w:ascii="標楷體" w:eastAsia="標楷體" w:hAnsi="標楷體" w:hint="eastAsia"/>
          <w:b/>
          <w:szCs w:val="22"/>
        </w:rPr>
        <w:t>靜而非動</w:t>
      </w:r>
      <w:r w:rsidR="00CE680E">
        <w:rPr>
          <w:rFonts w:ascii="標楷體" w:eastAsia="標楷體" w:hAnsi="標楷體" w:hint="eastAsia"/>
          <w:bCs/>
          <w:color w:val="FF0000"/>
          <w:kern w:val="0"/>
          <w:highlight w:val="yellow"/>
        </w:rPr>
        <w:t>」</w:t>
      </w:r>
      <w:r w:rsidRPr="00043A1E">
        <w:rPr>
          <w:rFonts w:ascii="標楷體" w:eastAsia="標楷體" w:hAnsi="標楷體" w:hint="eastAsia"/>
          <w:b/>
          <w:szCs w:val="22"/>
        </w:rPr>
        <w:t>。</w:t>
      </w:r>
      <w:r w:rsidRPr="00043A1E">
        <w:rPr>
          <w:rFonts w:ascii="標楷體" w:eastAsia="標楷體" w:hAnsi="標楷體" w:hint="eastAsia"/>
          <w:szCs w:val="22"/>
        </w:rPr>
        <w:t>動而非靜，以其不來；靜而非動，以其不去。然則所造未嘗異，所見未嘗同；逆之所謂塞，順之所謂通；苟得其道，復何滯哉？傷夫人情之惑也，久矣！目對真而莫覺，既知</w:t>
      </w:r>
      <w:r w:rsidR="00CE680E">
        <w:rPr>
          <w:rFonts w:ascii="標楷體" w:eastAsia="標楷體" w:hAnsi="標楷體" w:hint="eastAsia"/>
          <w:bCs/>
          <w:color w:val="FF0000"/>
          <w:kern w:val="0"/>
          <w:highlight w:val="yellow"/>
        </w:rPr>
        <w:t>「</w:t>
      </w:r>
      <w:r w:rsidRPr="00043A1E">
        <w:rPr>
          <w:rFonts w:ascii="標楷體" w:eastAsia="標楷體" w:hAnsi="標楷體" w:hint="eastAsia"/>
          <w:szCs w:val="22"/>
        </w:rPr>
        <w:t>往物而不來</w:t>
      </w:r>
      <w:r w:rsidR="00CE680E">
        <w:rPr>
          <w:rFonts w:ascii="標楷體" w:eastAsia="標楷體" w:hAnsi="標楷體" w:hint="eastAsia"/>
          <w:bCs/>
          <w:color w:val="FF0000"/>
          <w:kern w:val="0"/>
          <w:highlight w:val="yellow"/>
        </w:rPr>
        <w:t>」</w:t>
      </w:r>
      <w:r w:rsidRPr="00043A1E">
        <w:rPr>
          <w:rFonts w:ascii="標楷體" w:eastAsia="標楷體" w:hAnsi="標楷體" w:hint="eastAsia"/>
          <w:szCs w:val="22"/>
        </w:rPr>
        <w:t>，而謂</w:t>
      </w:r>
      <w:r w:rsidR="00CE680E">
        <w:rPr>
          <w:rFonts w:ascii="標楷體" w:eastAsia="標楷體" w:hAnsi="標楷體" w:hint="eastAsia"/>
          <w:bCs/>
          <w:color w:val="FF0000"/>
          <w:kern w:val="0"/>
          <w:highlight w:val="yellow"/>
        </w:rPr>
        <w:t>「</w:t>
      </w:r>
      <w:r w:rsidRPr="00043A1E">
        <w:rPr>
          <w:rFonts w:ascii="標楷體" w:eastAsia="標楷體" w:hAnsi="標楷體" w:hint="eastAsia"/>
          <w:szCs w:val="22"/>
        </w:rPr>
        <w:t>今物而可往</w:t>
      </w:r>
      <w:r w:rsidR="00CE680E">
        <w:rPr>
          <w:rFonts w:ascii="標楷體" w:eastAsia="標楷體" w:hAnsi="標楷體" w:hint="eastAsia"/>
          <w:bCs/>
          <w:color w:val="FF0000"/>
          <w:kern w:val="0"/>
          <w:highlight w:val="yellow"/>
        </w:rPr>
        <w:t>」</w:t>
      </w:r>
      <w:r w:rsidRPr="00043A1E">
        <w:rPr>
          <w:rFonts w:ascii="標楷體" w:eastAsia="標楷體" w:hAnsi="標楷體" w:hint="eastAsia"/>
          <w:szCs w:val="22"/>
        </w:rPr>
        <w:t>；往物既不來，今物何所往！</w:t>
      </w:r>
    </w:p>
    <w:p w:rsidR="00157EF6" w:rsidRDefault="00157EF6" w:rsidP="00AA120F">
      <w:pPr>
        <w:pStyle w:val="a5"/>
        <w:ind w:leftChars="335" w:left="804"/>
        <w:jc w:val="both"/>
        <w:rPr>
          <w:rFonts w:ascii="標楷體" w:eastAsia="標楷體" w:hAnsi="標楷體"/>
          <w:b/>
          <w:szCs w:val="22"/>
        </w:rPr>
      </w:pPr>
      <w:r w:rsidRPr="00043A1E">
        <w:rPr>
          <w:rFonts w:ascii="標楷體" w:eastAsia="標楷體" w:hAnsi="標楷體" w:hint="eastAsia"/>
          <w:szCs w:val="22"/>
        </w:rPr>
        <w:t>何則？求向物於向，於向未甞無；責向物於今，於今未甞有。於今未嘗有，以明</w:t>
      </w:r>
      <w:r w:rsidR="00CE680E">
        <w:rPr>
          <w:rFonts w:ascii="標楷體" w:eastAsia="標楷體" w:hAnsi="標楷體" w:hint="eastAsia"/>
          <w:bCs/>
          <w:color w:val="FF0000"/>
          <w:kern w:val="0"/>
          <w:highlight w:val="yellow"/>
        </w:rPr>
        <w:t>「</w:t>
      </w:r>
      <w:r w:rsidRPr="00043A1E">
        <w:rPr>
          <w:rFonts w:ascii="標楷體" w:eastAsia="標楷體" w:hAnsi="標楷體" w:hint="eastAsia"/>
          <w:szCs w:val="22"/>
        </w:rPr>
        <w:t>物不來</w:t>
      </w:r>
      <w:r w:rsidR="00CE680E">
        <w:rPr>
          <w:rFonts w:ascii="標楷體" w:eastAsia="標楷體" w:hAnsi="標楷體" w:hint="eastAsia"/>
          <w:bCs/>
          <w:color w:val="FF0000"/>
          <w:kern w:val="0"/>
          <w:highlight w:val="yellow"/>
        </w:rPr>
        <w:t>」</w:t>
      </w:r>
      <w:r w:rsidRPr="00043A1E">
        <w:rPr>
          <w:rFonts w:ascii="標楷體" w:eastAsia="標楷體" w:hAnsi="標楷體" w:hint="eastAsia"/>
          <w:szCs w:val="22"/>
        </w:rPr>
        <w:t>；於向未甞無，故知</w:t>
      </w:r>
      <w:r w:rsidR="00CE680E">
        <w:rPr>
          <w:rFonts w:ascii="標楷體" w:eastAsia="標楷體" w:hAnsi="標楷體" w:hint="eastAsia"/>
          <w:bCs/>
          <w:color w:val="FF0000"/>
          <w:kern w:val="0"/>
          <w:highlight w:val="yellow"/>
        </w:rPr>
        <w:t>「</w:t>
      </w:r>
      <w:r w:rsidRPr="00043A1E">
        <w:rPr>
          <w:rFonts w:ascii="標楷體" w:eastAsia="標楷體" w:hAnsi="標楷體" w:hint="eastAsia"/>
          <w:szCs w:val="22"/>
        </w:rPr>
        <w:t>物不去</w:t>
      </w:r>
      <w:r w:rsidR="00CE680E">
        <w:rPr>
          <w:rFonts w:ascii="標楷體" w:eastAsia="標楷體" w:hAnsi="標楷體" w:hint="eastAsia"/>
          <w:bCs/>
          <w:color w:val="FF0000"/>
          <w:kern w:val="0"/>
          <w:highlight w:val="yellow"/>
        </w:rPr>
        <w:t>」</w:t>
      </w:r>
      <w:r w:rsidRPr="00043A1E">
        <w:rPr>
          <w:rFonts w:ascii="標楷體" w:eastAsia="標楷體" w:hAnsi="標楷體" w:hint="eastAsia"/>
          <w:szCs w:val="22"/>
        </w:rPr>
        <w:t>。覆而求今，今亦不往，是謂</w:t>
      </w:r>
      <w:r w:rsidRPr="00043A1E">
        <w:rPr>
          <w:rFonts w:ascii="標楷體" w:eastAsia="標楷體" w:hAnsi="標楷體" w:hint="eastAsia"/>
          <w:b/>
          <w:szCs w:val="22"/>
        </w:rPr>
        <w:t>昔物自在昔，不從今以至昔；今物自在今，不從昔以至今。</w:t>
      </w:r>
    </w:p>
    <w:p w:rsidR="00CE680E" w:rsidRPr="00043A1E" w:rsidRDefault="00CE680E" w:rsidP="00CE680E">
      <w:pPr>
        <w:pStyle w:val="a5"/>
        <w:ind w:leftChars="335" w:left="804"/>
        <w:jc w:val="both"/>
        <w:rPr>
          <w:rFonts w:ascii="標楷體" w:eastAsia="標楷體" w:hAnsi="標楷體"/>
          <w:szCs w:val="22"/>
        </w:rPr>
      </w:pPr>
      <w:r w:rsidRPr="00CE680E">
        <w:rPr>
          <w:rFonts w:eastAsia="標楷體" w:hint="eastAsia"/>
          <w:color w:val="FF0000"/>
          <w:szCs w:val="22"/>
          <w:shd w:val="pct15" w:color="auto" w:fill="FFFFFF"/>
        </w:rPr>
        <w:t>*</w:t>
      </w:r>
      <w:r w:rsidRPr="00CE680E">
        <w:rPr>
          <w:rFonts w:hint="eastAsia"/>
          <w:color w:val="FF0000"/>
          <w:szCs w:val="22"/>
          <w:highlight w:val="yellow"/>
        </w:rPr>
        <w:t>《道行般若經》卷</w:t>
      </w:r>
      <w:r w:rsidRPr="00CE680E">
        <w:rPr>
          <w:rFonts w:hint="eastAsia"/>
          <w:color w:val="FF0000"/>
          <w:szCs w:val="22"/>
          <w:highlight w:val="yellow"/>
        </w:rPr>
        <w:t>9</w:t>
      </w:r>
      <w:r w:rsidRPr="00CE680E">
        <w:rPr>
          <w:rFonts w:hint="eastAsia"/>
          <w:color w:val="FF0000"/>
          <w:szCs w:val="22"/>
          <w:highlight w:val="yellow"/>
        </w:rPr>
        <w:t>（大正</w:t>
      </w:r>
      <w:r w:rsidRPr="00CE680E">
        <w:rPr>
          <w:rFonts w:hint="eastAsia"/>
          <w:color w:val="FF0000"/>
          <w:szCs w:val="22"/>
          <w:highlight w:val="yellow"/>
        </w:rPr>
        <w:t>8</w:t>
      </w:r>
      <w:r w:rsidRPr="00CE680E">
        <w:rPr>
          <w:rFonts w:hint="eastAsia"/>
          <w:color w:val="FF0000"/>
          <w:szCs w:val="22"/>
          <w:highlight w:val="yellow"/>
        </w:rPr>
        <w:t>，</w:t>
      </w:r>
      <w:r w:rsidRPr="00CE680E">
        <w:rPr>
          <w:rFonts w:hint="eastAsia"/>
          <w:color w:val="FF0000"/>
          <w:szCs w:val="22"/>
          <w:highlight w:val="yellow"/>
        </w:rPr>
        <w:t>473c9-24</w:t>
      </w:r>
      <w:r w:rsidRPr="00CE680E">
        <w:rPr>
          <w:rFonts w:hint="eastAsia"/>
          <w:color w:val="FF0000"/>
          <w:szCs w:val="22"/>
          <w:highlight w:val="yellow"/>
        </w:rPr>
        <w:t>）。</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）〔後秦〕</w:t>
      </w:r>
      <w:r w:rsidR="00CC5CAB" w:rsidRPr="00043A1E">
        <w:rPr>
          <w:rFonts w:hint="eastAsia"/>
          <w:szCs w:val="22"/>
        </w:rPr>
        <w:t>僧肇</w:t>
      </w:r>
      <w:r w:rsidR="00CC5CAB">
        <w:rPr>
          <w:rFonts w:hint="eastAsia"/>
          <w:szCs w:val="22"/>
        </w:rPr>
        <w:t>作</w:t>
      </w:r>
      <w:r w:rsidR="00CC5CAB" w:rsidRPr="00043A1E">
        <w:rPr>
          <w:rFonts w:hint="eastAsia"/>
          <w:szCs w:val="22"/>
        </w:rPr>
        <w:t>，</w:t>
      </w:r>
      <w:r w:rsidR="00EE7161" w:rsidRPr="00043A1E">
        <w:rPr>
          <w:rFonts w:hint="eastAsia"/>
          <w:szCs w:val="22"/>
        </w:rPr>
        <w:t>《</w:t>
      </w:r>
      <w:r w:rsidR="00EE7161" w:rsidRPr="00043A1E">
        <w:rPr>
          <w:szCs w:val="22"/>
        </w:rPr>
        <w:t>肇論</w:t>
      </w:r>
      <w:r w:rsidR="00EE7161" w:rsidRPr="00CC5CAB">
        <w:rPr>
          <w:szCs w:val="22"/>
        </w:rPr>
        <w:t>》</w:t>
      </w:r>
      <w:r w:rsidR="00EE7161">
        <w:rPr>
          <w:rFonts w:hint="eastAsia"/>
          <w:szCs w:val="22"/>
        </w:rPr>
        <w:t>〈</w:t>
      </w:r>
      <w:r w:rsidR="00EE7161" w:rsidRPr="00043A1E">
        <w:rPr>
          <w:rFonts w:hint="eastAsia"/>
          <w:szCs w:val="22"/>
        </w:rPr>
        <w:t>物不遷論</w:t>
      </w:r>
      <w:r w:rsidR="00EE7161">
        <w:rPr>
          <w:rFonts w:hint="eastAsia"/>
          <w:szCs w:val="22"/>
        </w:rPr>
        <w:t>〉</w:t>
      </w:r>
      <w:r w:rsidRPr="00043A1E">
        <w:rPr>
          <w:rFonts w:hint="eastAsia"/>
          <w:szCs w:val="22"/>
        </w:rPr>
        <w:t>（</w:t>
      </w:r>
      <w:r w:rsidRPr="00043A1E">
        <w:rPr>
          <w:szCs w:val="22"/>
        </w:rPr>
        <w:t>大正</w:t>
      </w:r>
      <w:r w:rsidRPr="00761EF3">
        <w:rPr>
          <w:szCs w:val="22"/>
        </w:rPr>
        <w:t>45</w:t>
      </w:r>
      <w:r w:rsidRPr="00043A1E">
        <w:rPr>
          <w:szCs w:val="22"/>
        </w:rPr>
        <w:t>，</w:t>
      </w:r>
      <w:r w:rsidRPr="00761EF3">
        <w:rPr>
          <w:rFonts w:hint="eastAsia"/>
          <w:szCs w:val="22"/>
        </w:rPr>
        <w:t>151c13</w:t>
      </w:r>
      <w:r w:rsidRPr="00043A1E">
        <w:rPr>
          <w:rFonts w:hint="eastAsia"/>
          <w:szCs w:val="22"/>
        </w:rPr>
        <w:t>-</w:t>
      </w:r>
      <w:r w:rsidRPr="00761EF3">
        <w:rPr>
          <w:rFonts w:hint="eastAsia"/>
          <w:szCs w:val="22"/>
        </w:rPr>
        <w:t>17</w:t>
      </w:r>
      <w:r w:rsidRPr="00043A1E">
        <w:rPr>
          <w:rFonts w:hint="eastAsia"/>
          <w:szCs w:val="22"/>
        </w:rPr>
        <w:t>）：</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人則求古於今，謂其不住；吾則求今於古，知其不去。今若至古，古應有今；古若至今，今應有古。今而無古，以知不來；古而無今，以知不去。若古不至今，今亦不至古，事各性住於一世，有何物而可去來？</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3</w:t>
      </w:r>
      <w:r w:rsidRPr="00043A1E">
        <w:rPr>
          <w:rFonts w:hint="eastAsia"/>
          <w:szCs w:val="22"/>
        </w:rPr>
        <w:t>）印順法師，《中國禪宗史</w:t>
      </w:r>
      <w:r w:rsidRPr="00043A1E">
        <w:rPr>
          <w:szCs w:val="22"/>
        </w:rPr>
        <w:t>》，</w:t>
      </w:r>
      <w:r w:rsidRPr="00761EF3">
        <w:rPr>
          <w:szCs w:val="22"/>
        </w:rPr>
        <w:t>p</w:t>
      </w:r>
      <w:r w:rsidRPr="00761EF3">
        <w:rPr>
          <w:rFonts w:hint="eastAsia"/>
          <w:szCs w:val="22"/>
        </w:rPr>
        <w:t>p</w:t>
      </w:r>
      <w:r w:rsidRPr="00043A1E">
        <w:rPr>
          <w:rFonts w:hint="eastAsia"/>
          <w:szCs w:val="22"/>
        </w:rPr>
        <w:t>.</w:t>
      </w:r>
      <w:r w:rsidRPr="00761EF3">
        <w:rPr>
          <w:rFonts w:hint="eastAsia"/>
          <w:szCs w:val="22"/>
        </w:rPr>
        <w:t>357</w:t>
      </w:r>
      <w:r w:rsidRPr="00043A1E">
        <w:rPr>
          <w:rFonts w:hint="eastAsia"/>
          <w:szCs w:val="22"/>
        </w:rPr>
        <w:t>-</w:t>
      </w:r>
      <w:r w:rsidRPr="00761EF3">
        <w:rPr>
          <w:rFonts w:hint="eastAsia"/>
          <w:szCs w:val="22"/>
        </w:rPr>
        <w:t>358</w:t>
      </w:r>
      <w:r w:rsidRPr="00043A1E">
        <w:rPr>
          <w:rFonts w:hint="eastAsia"/>
          <w:szCs w:val="22"/>
        </w:rPr>
        <w:t>：</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一切法在自性，也是念念不住的（或稱為三世遷流），然眾生不能明了。試引</w:t>
      </w:r>
      <w:r w:rsidRPr="00043A1E">
        <w:rPr>
          <w:rFonts w:ascii="標楷體" w:eastAsia="標楷體" w:hAnsi="標楷體"/>
          <w:szCs w:val="22"/>
        </w:rPr>
        <w:t>《</w:t>
      </w:r>
      <w:r w:rsidRPr="00043A1E">
        <w:rPr>
          <w:rFonts w:ascii="標楷體" w:eastAsia="標楷體" w:hAnsi="標楷體" w:hint="eastAsia"/>
          <w:szCs w:val="22"/>
        </w:rPr>
        <w:t>肇論</w:t>
      </w:r>
      <w:r w:rsidRPr="00043A1E">
        <w:rPr>
          <w:rFonts w:ascii="標楷體" w:eastAsia="標楷體" w:hAnsi="標楷體"/>
          <w:szCs w:val="22"/>
        </w:rPr>
        <w:t>》</w:t>
      </w:r>
      <w:r w:rsidRPr="00043A1E">
        <w:rPr>
          <w:rFonts w:ascii="標楷體" w:eastAsia="標楷體" w:hAnsi="標楷體" w:hint="eastAsia"/>
          <w:szCs w:val="22"/>
        </w:rPr>
        <w:t>的「物不遷論」來解說：一切法是前念、今念、後念；念念相續的。審諦的觀察起來：「</w:t>
      </w:r>
      <w:r w:rsidRPr="00043A1E">
        <w:rPr>
          <w:rFonts w:ascii="標楷體" w:eastAsia="標楷體" w:hAnsi="標楷體" w:hint="eastAsia"/>
          <w:b/>
          <w:szCs w:val="22"/>
        </w:rPr>
        <w:t>昔物自</w:t>
      </w:r>
      <w:r w:rsidRPr="00043A1E">
        <w:rPr>
          <w:rFonts w:ascii="標楷體" w:eastAsia="標楷體" w:hAnsi="標楷體"/>
          <w:b/>
          <w:szCs w:val="22"/>
        </w:rPr>
        <w:t>在昔，不從今以至昔；今物自在今，不從昔於至今</w:t>
      </w:r>
      <w:r w:rsidRPr="00043A1E">
        <w:rPr>
          <w:rFonts w:ascii="標楷體" w:eastAsia="標楷體" w:hAnsi="標楷體"/>
          <w:szCs w:val="22"/>
        </w:rPr>
        <w:t>。</w:t>
      </w:r>
      <w:r w:rsidRPr="00043A1E">
        <w:rPr>
          <w:rFonts w:ascii="標楷體" w:eastAsia="標楷體" w:hAnsi="標楷體"/>
          <w:b/>
          <w:szCs w:val="22"/>
        </w:rPr>
        <w:t>」</w:t>
      </w:r>
      <w:r w:rsidRPr="00043A1E">
        <w:rPr>
          <w:rFonts w:ascii="標楷體" w:eastAsia="標楷體" w:hAnsi="標楷體"/>
          <w:szCs w:val="22"/>
        </w:rPr>
        <w:t>念念相續，而實是「法法不相到」的，「性各住於一世」的；不是葛藤一般的牽連於前後的。因為眾生不了解，「既知往物而不來，而謂今物而可往」，所以就念念住著了。經上說：「顧戀過去，欣求未來，耽著現在</w:t>
      </w:r>
      <w:r>
        <w:rPr>
          <w:rFonts w:ascii="標楷體" w:eastAsia="標楷體" w:hAnsi="標楷體"/>
          <w:szCs w:val="22"/>
        </w:rPr>
        <w:t>。</w:t>
      </w:r>
      <w:r w:rsidRPr="00043A1E">
        <w:rPr>
          <w:rFonts w:ascii="標楷體" w:eastAsia="標楷體" w:hAnsi="標楷體"/>
          <w:szCs w:val="22"/>
        </w:rPr>
        <w:t>」於念念中繫縛，往來生死。如能體悟自性的本來不住；一切法在自性，也無所住。</w:t>
      </w:r>
    </w:p>
  </w:footnote>
  <w:footnote w:id="652">
    <w:p w:rsidR="00157EF6" w:rsidRPr="00043A1E" w:rsidRDefault="00157EF6" w:rsidP="00AA120F">
      <w:pPr>
        <w:pStyle w:val="a5"/>
        <w:spacing w:line="0" w:lineRule="atLeast"/>
        <w:ind w:left="253" w:hangingChars="115" w:hanging="253"/>
        <w:jc w:val="both"/>
        <w:rPr>
          <w:rFonts w:ascii="標楷體" w:eastAsia="標楷體" w:hAnsi="標楷體"/>
          <w:szCs w:val="22"/>
        </w:rPr>
      </w:pPr>
      <w:r w:rsidRPr="00043A1E">
        <w:rPr>
          <w:rStyle w:val="a6"/>
          <w:szCs w:val="22"/>
        </w:rPr>
        <w:footnoteRef/>
      </w:r>
      <w:r w:rsidRPr="00043A1E">
        <w:rPr>
          <w:rFonts w:hint="eastAsia"/>
          <w:szCs w:val="22"/>
        </w:rPr>
        <w:t xml:space="preserve"> </w:t>
      </w:r>
      <w:r w:rsidRPr="00043A1E">
        <w:rPr>
          <w:szCs w:val="22"/>
        </w:rPr>
        <w:t>《前赤壁賦》：</w:t>
      </w:r>
      <w:r w:rsidRPr="00043A1E">
        <w:rPr>
          <w:rFonts w:ascii="標楷體" w:eastAsia="標楷體" w:hAnsi="標楷體" w:hint="eastAsia"/>
          <w:szCs w:val="22"/>
        </w:rPr>
        <w:t>「</w:t>
      </w:r>
      <w:r w:rsidRPr="00043A1E">
        <w:rPr>
          <w:rFonts w:ascii="標楷體" w:eastAsia="標楷體" w:hAnsi="標楷體"/>
          <w:szCs w:val="22"/>
        </w:rPr>
        <w:t>蘇子曰：</w:t>
      </w:r>
      <w:r w:rsidRPr="00043A1E">
        <w:rPr>
          <w:rFonts w:ascii="標楷體" w:eastAsia="標楷體" w:hAnsi="標楷體" w:hint="eastAsia"/>
          <w:szCs w:val="22"/>
        </w:rPr>
        <w:t>『</w:t>
      </w:r>
      <w:r w:rsidRPr="00043A1E">
        <w:rPr>
          <w:rFonts w:ascii="標楷體" w:eastAsia="標楷體" w:hAnsi="標楷體"/>
          <w:szCs w:val="22"/>
        </w:rPr>
        <w:t>客亦知夫水與月乎？逝者如斯，而未嘗往也；盈虛者如彼，而卒莫消長也</w:t>
      </w:r>
      <w:r w:rsidRPr="00043A1E">
        <w:rPr>
          <w:rFonts w:ascii="標楷體" w:eastAsia="標楷體" w:hAnsi="標楷體" w:hint="eastAsia"/>
          <w:szCs w:val="22"/>
        </w:rPr>
        <w:t>。</w:t>
      </w:r>
      <w:r w:rsidRPr="00043A1E">
        <w:rPr>
          <w:rFonts w:ascii="標楷體" w:eastAsia="標楷體" w:hAnsi="標楷體"/>
          <w:b/>
          <w:szCs w:val="22"/>
        </w:rPr>
        <w:t>蓋將自其變者而觀之，則天地曾不能以一瞬；自其不變者而觀之，則物與我皆無盡也。</w:t>
      </w:r>
      <w:r w:rsidRPr="00043A1E">
        <w:rPr>
          <w:rFonts w:ascii="標楷體" w:eastAsia="標楷體" w:hAnsi="標楷體"/>
          <w:szCs w:val="22"/>
        </w:rPr>
        <w:t>而又何羨乎？</w:t>
      </w:r>
      <w:r w:rsidRPr="00043A1E">
        <w:rPr>
          <w:rFonts w:ascii="標楷體" w:eastAsia="標楷體" w:hAnsi="標楷體" w:hint="eastAsia"/>
          <w:szCs w:val="22"/>
        </w:rPr>
        <w:t>』</w:t>
      </w:r>
      <w:r w:rsidRPr="00043A1E">
        <w:rPr>
          <w:rFonts w:ascii="標楷體" w:eastAsia="標楷體" w:hAnsi="標楷體"/>
          <w:szCs w:val="22"/>
        </w:rPr>
        <w:t>」</w:t>
      </w:r>
    </w:p>
  </w:footnote>
  <w:footnote w:id="653">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擬：</w:t>
      </w:r>
      <w:r w:rsidRPr="00761EF3">
        <w:rPr>
          <w:szCs w:val="22"/>
        </w:rPr>
        <w:t>1</w:t>
      </w:r>
      <w:r w:rsidRPr="00043A1E">
        <w:rPr>
          <w:szCs w:val="22"/>
        </w:rPr>
        <w:t>.</w:t>
      </w:r>
      <w:r w:rsidRPr="00043A1E">
        <w:rPr>
          <w:szCs w:val="22"/>
        </w:rPr>
        <w:t>揣度，推測。（《漢語大詞典》（</w:t>
      </w:r>
      <w:r w:rsidRPr="00043A1E">
        <w:rPr>
          <w:rFonts w:hint="eastAsia"/>
          <w:szCs w:val="22"/>
        </w:rPr>
        <w:t>六</w:t>
      </w:r>
      <w:r w:rsidRPr="00043A1E">
        <w:rPr>
          <w:szCs w:val="22"/>
        </w:rPr>
        <w:t>），</w:t>
      </w:r>
      <w:r w:rsidRPr="00761EF3">
        <w:rPr>
          <w:szCs w:val="22"/>
        </w:rPr>
        <w:t>p</w:t>
      </w:r>
      <w:r w:rsidRPr="00043A1E">
        <w:rPr>
          <w:szCs w:val="22"/>
        </w:rPr>
        <w:t>.</w:t>
      </w:r>
      <w:r w:rsidRPr="00761EF3">
        <w:rPr>
          <w:rFonts w:hint="eastAsia"/>
          <w:szCs w:val="22"/>
        </w:rPr>
        <w:t>936</w:t>
      </w:r>
      <w:r w:rsidRPr="00043A1E">
        <w:rPr>
          <w:szCs w:val="22"/>
        </w:rPr>
        <w:t>）</w:t>
      </w:r>
    </w:p>
  </w:footnote>
  <w:footnote w:id="654">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印順法師</w:t>
      </w:r>
      <w:r w:rsidRPr="00043A1E">
        <w:rPr>
          <w:szCs w:val="22"/>
        </w:rPr>
        <w:t>，《中觀今論》，</w:t>
      </w:r>
      <w:r w:rsidRPr="00761EF3">
        <w:rPr>
          <w:szCs w:val="22"/>
        </w:rPr>
        <w:t>pp</w:t>
      </w:r>
      <w:r w:rsidRPr="00043A1E">
        <w:rPr>
          <w:szCs w:val="22"/>
        </w:rPr>
        <w:t>.</w:t>
      </w:r>
      <w:r w:rsidRPr="00761EF3">
        <w:rPr>
          <w:szCs w:val="22"/>
        </w:rPr>
        <w:t>183</w:t>
      </w:r>
      <w:r w:rsidRPr="00043A1E">
        <w:rPr>
          <w:szCs w:val="22"/>
        </w:rPr>
        <w:t>-</w:t>
      </w:r>
      <w:r w:rsidRPr="00761EF3">
        <w:rPr>
          <w:szCs w:val="22"/>
        </w:rPr>
        <w:t>184</w:t>
      </w:r>
      <w:r w:rsidRPr="00043A1E">
        <w:rPr>
          <w:szCs w:val="22"/>
        </w:rPr>
        <w:t>：</w:t>
      </w:r>
    </w:p>
    <w:p w:rsidR="00157EF6" w:rsidRPr="00043A1E" w:rsidRDefault="00157EF6" w:rsidP="00AA120F">
      <w:pPr>
        <w:pStyle w:val="a5"/>
        <w:ind w:leftChars="105" w:left="252"/>
        <w:jc w:val="both"/>
        <w:rPr>
          <w:rFonts w:eastAsia="標楷體" w:hAnsi="標楷體"/>
          <w:szCs w:val="22"/>
        </w:rPr>
      </w:pPr>
      <w:r w:rsidRPr="00043A1E">
        <w:rPr>
          <w:rFonts w:eastAsia="標楷體" w:hAnsi="標楷體" w:hint="eastAsia"/>
          <w:szCs w:val="22"/>
        </w:rPr>
        <w:t>「假名空」：三論宗的正義是假名空，簡說為假空。緣起是假有法，假有即非真實性的，非真實有即是空。</w:t>
      </w:r>
    </w:p>
    <w:p w:rsidR="00157EF6" w:rsidRPr="00043A1E" w:rsidRDefault="00157EF6" w:rsidP="00AA120F">
      <w:pPr>
        <w:pStyle w:val="a5"/>
        <w:ind w:leftChars="105" w:left="252"/>
        <w:jc w:val="both"/>
        <w:rPr>
          <w:rFonts w:eastAsia="標楷體" w:hAnsi="標楷體"/>
          <w:szCs w:val="22"/>
        </w:rPr>
      </w:pPr>
      <w:r w:rsidRPr="00043A1E">
        <w:rPr>
          <w:rFonts w:eastAsia="標楷體" w:hAnsi="標楷體" w:hint="eastAsia"/>
          <w:szCs w:val="22"/>
        </w:rPr>
        <w:t>假名宛然現處，無自性即是空，不是無緣起假名的，此與空假名不同。</w:t>
      </w:r>
    </w:p>
    <w:p w:rsidR="00157EF6" w:rsidRPr="00043A1E" w:rsidRDefault="00157EF6" w:rsidP="00AA120F">
      <w:pPr>
        <w:pStyle w:val="a5"/>
        <w:ind w:leftChars="105" w:left="252"/>
        <w:jc w:val="both"/>
        <w:rPr>
          <w:rFonts w:eastAsia="標楷體" w:hAnsi="標楷體"/>
          <w:szCs w:val="22"/>
        </w:rPr>
      </w:pPr>
      <w:r w:rsidRPr="00043A1E">
        <w:rPr>
          <w:rFonts w:eastAsia="標楷體" w:hAnsi="標楷體" w:hint="eastAsia"/>
          <w:szCs w:val="22"/>
        </w:rPr>
        <w:t>空是即假名的，非離假名而別觀空，即假名非實有名空，故又與不空假名不同。</w:t>
      </w:r>
    </w:p>
    <w:p w:rsidR="00157EF6" w:rsidRPr="00043A1E" w:rsidRDefault="00157EF6" w:rsidP="00AA120F">
      <w:pPr>
        <w:pStyle w:val="a5"/>
        <w:ind w:leftChars="105" w:left="252"/>
        <w:jc w:val="both"/>
        <w:rPr>
          <w:rFonts w:eastAsia="標楷體" w:hAnsi="標楷體"/>
          <w:szCs w:val="22"/>
        </w:rPr>
      </w:pPr>
      <w:r w:rsidRPr="00043A1E">
        <w:rPr>
          <w:rFonts w:eastAsia="標楷體" w:hAnsi="標楷體" w:hint="eastAsia"/>
          <w:szCs w:val="22"/>
        </w:rPr>
        <w:t>《大乘玄論》說：「假空者，雖空而宛然假，雖假而宛然空，空有無礙。」如此方可說為中道，古三論師取此為正義。</w:t>
      </w:r>
      <w:r w:rsidRPr="001B3B3B">
        <w:rPr>
          <w:rFonts w:eastAsia="標楷體" w:hAnsi="標楷體" w:hint="eastAsia"/>
          <w:color w:val="FF0000"/>
          <w:szCs w:val="22"/>
          <w:shd w:val="pct15" w:color="auto" w:fill="FFFFFF"/>
        </w:rPr>
        <w:t>……</w:t>
      </w:r>
    </w:p>
    <w:p w:rsidR="00157EF6" w:rsidRPr="00043A1E" w:rsidRDefault="00157EF6" w:rsidP="00AA120F">
      <w:pPr>
        <w:pStyle w:val="a5"/>
        <w:ind w:leftChars="105" w:left="252"/>
        <w:jc w:val="both"/>
        <w:rPr>
          <w:rFonts w:eastAsia="標楷體" w:hAnsi="標楷體"/>
          <w:szCs w:val="22"/>
        </w:rPr>
      </w:pPr>
      <w:r w:rsidRPr="00043A1E">
        <w:rPr>
          <w:rFonts w:eastAsia="標楷體" w:hAnsi="標楷體" w:hint="eastAsia"/>
          <w:szCs w:val="22"/>
        </w:rPr>
        <w:t>中土的三論宗，近於此宗。此種思想，乃循僧肇法師的《不真空論》而來：「欲言其有，有非真生；欲言其無，事象既形。象形不即無，非真非實有，然則不真空義，顯於玆矣！故《放光》云：『諸法假號不真，譬如幻化人，非無幻化人，幻化人非真人也。』」三論宗傳此為假名空，說一切法空故非不及；雖空而假有不壞，也不是太過，所以能得現象與實性的中道。</w:t>
      </w:r>
    </w:p>
  </w:footnote>
  <w:footnote w:id="655">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印順法師，《</w:t>
      </w:r>
      <w:r w:rsidRPr="00043A1E">
        <w:rPr>
          <w:szCs w:val="22"/>
        </w:rPr>
        <w:t>中觀論頌講記》，</w:t>
      </w:r>
      <w:r w:rsidRPr="00761EF3">
        <w:rPr>
          <w:szCs w:val="22"/>
        </w:rPr>
        <w:t>pp</w:t>
      </w:r>
      <w:r w:rsidRPr="00043A1E">
        <w:rPr>
          <w:szCs w:val="22"/>
        </w:rPr>
        <w:t>.</w:t>
      </w:r>
      <w:r w:rsidRPr="00761EF3">
        <w:rPr>
          <w:szCs w:val="22"/>
        </w:rPr>
        <w:t>81</w:t>
      </w:r>
      <w:r w:rsidRPr="00043A1E">
        <w:rPr>
          <w:szCs w:val="22"/>
        </w:rPr>
        <w:t>-</w:t>
      </w:r>
      <w:r w:rsidRPr="00761EF3">
        <w:rPr>
          <w:szCs w:val="22"/>
        </w:rPr>
        <w:t>83</w:t>
      </w:r>
      <w:r w:rsidRPr="00043A1E">
        <w:rPr>
          <w:szCs w:val="22"/>
        </w:rPr>
        <w:t>：</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b/>
          <w:szCs w:val="22"/>
        </w:rPr>
        <w:t>佛法的根本見解</w:t>
      </w:r>
      <w:r w:rsidRPr="00043A1E">
        <w:rPr>
          <w:rFonts w:ascii="標楷體" w:eastAsia="標楷體" w:hAnsi="標楷體"/>
          <w:szCs w:val="22"/>
        </w:rPr>
        <w:t>，諸行無常是法印，是世間的實相，就是諸</w:t>
      </w:r>
      <w:r w:rsidRPr="00043A1E">
        <w:rPr>
          <w:rFonts w:ascii="標楷體" w:eastAsia="標楷體" w:hAnsi="標楷體" w:hint="eastAsia"/>
          <w:szCs w:val="22"/>
        </w:rPr>
        <w:t>法</w:t>
      </w:r>
      <w:r w:rsidRPr="00043A1E">
        <w:rPr>
          <w:rFonts w:ascii="標楷體" w:eastAsia="標楷體" w:hAnsi="標楷體"/>
          <w:szCs w:val="22"/>
        </w:rPr>
        <w:t>剎那剎那都在動，一剎那都是有生也有滅，沒有一刻停止過</w:t>
      </w:r>
      <w:r w:rsidRPr="00043A1E">
        <w:rPr>
          <w:rFonts w:ascii="標楷體" w:eastAsia="標楷體" w:hAnsi="標楷體" w:hint="eastAsia"/>
          <w:szCs w:val="22"/>
        </w:rPr>
        <w:t>。</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b/>
          <w:szCs w:val="22"/>
        </w:rPr>
        <w:t>辯證法的唯物論者</w:t>
      </w:r>
      <w:r w:rsidRPr="00043A1E">
        <w:rPr>
          <w:rFonts w:ascii="標楷體" w:eastAsia="標楷體" w:hAnsi="標楷體"/>
          <w:szCs w:val="22"/>
        </w:rPr>
        <w:t>，說在同一時間，在此又在彼，當體即動，比那真常不動的思想，要深刻而接近佛法些。但他執著一切的實在性，還是難得講通，不得不把矛盾作為真理。</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szCs w:val="22"/>
        </w:rPr>
        <w:t>佛教的小乘學者，像</w:t>
      </w:r>
      <w:r w:rsidRPr="00043A1E">
        <w:rPr>
          <w:rFonts w:ascii="標楷體" w:eastAsia="標楷體" w:hAnsi="標楷體"/>
          <w:b/>
          <w:szCs w:val="22"/>
        </w:rPr>
        <w:t>三世實有派的一切有部</w:t>
      </w:r>
      <w:r w:rsidRPr="00043A1E">
        <w:rPr>
          <w:rFonts w:ascii="標楷體" w:eastAsia="標楷體" w:hAnsi="標楷體"/>
          <w:szCs w:val="22"/>
        </w:rPr>
        <w:t>，他雖也說諸行無常，但無常是約諸法作用的起滅，而法體是三世一如，從來沒有差別。可說是用動而體靜的。</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b/>
          <w:szCs w:val="22"/>
        </w:rPr>
        <w:t>現在實有派的經部</w:t>
      </w:r>
      <w:r w:rsidRPr="00043A1E">
        <w:rPr>
          <w:rFonts w:ascii="標楷體" w:eastAsia="標楷體" w:hAnsi="標楷體"/>
          <w:szCs w:val="22"/>
        </w:rPr>
        <w:t>，不能不建立長時的生滅，假名相續的來去。也有建立剎那生滅的，但一剎那的生滅同時，與前後剎那的前滅後生，中無間隔，是含有矛盾的。</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b/>
          <w:szCs w:val="22"/>
        </w:rPr>
        <w:t>一分大乘學者</w:t>
      </w:r>
      <w:r w:rsidRPr="00043A1E">
        <w:rPr>
          <w:rFonts w:ascii="標楷體" w:eastAsia="標楷體" w:hAnsi="標楷體"/>
          <w:szCs w:val="22"/>
        </w:rPr>
        <w:t>，索性高唱真常不動了！所以不能從一切法性空中，達到徹底的諸行無常論。總之，執著自性有的，不是用動體靜，妄動真靜，就是承認矛盾為真理。</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szCs w:val="22"/>
        </w:rPr>
        <w:t>唯有</w:t>
      </w:r>
      <w:r w:rsidRPr="00043A1E">
        <w:rPr>
          <w:rFonts w:ascii="標楷體" w:eastAsia="標楷體" w:hAnsi="標楷體"/>
          <w:b/>
          <w:szCs w:val="22"/>
        </w:rPr>
        <w:t>性空正見的佛學者</w:t>
      </w:r>
      <w:r w:rsidRPr="00043A1E">
        <w:rPr>
          <w:rFonts w:ascii="標楷體" w:eastAsia="標楷體" w:hAnsi="標楷體"/>
          <w:szCs w:val="22"/>
        </w:rPr>
        <w:t>，凡是存在（有）的，是運動的；沒有存在而是真實常住的。自性有的本無自性，說</w:t>
      </w:r>
      <w:r w:rsidR="00F140C4">
        <w:rPr>
          <w:rFonts w:ascii="標楷體" w:eastAsia="標楷體" w:hAnsi="標楷體" w:hint="eastAsia"/>
          <w:szCs w:val="22"/>
        </w:rPr>
        <w:t>「</w:t>
      </w:r>
      <w:r w:rsidRPr="00043A1E">
        <w:rPr>
          <w:rFonts w:ascii="標楷體" w:eastAsia="標楷體" w:hAnsi="標楷體"/>
          <w:szCs w:val="22"/>
        </w:rPr>
        <w:t>諸法從本來，常自寂滅相</w:t>
      </w:r>
      <w:r w:rsidR="00F140C4">
        <w:rPr>
          <w:rFonts w:ascii="標楷體" w:eastAsia="標楷體" w:hAnsi="標楷體" w:hint="eastAsia"/>
          <w:szCs w:val="22"/>
        </w:rPr>
        <w:t>」</w:t>
      </w:r>
      <w:r w:rsidRPr="00043A1E">
        <w:rPr>
          <w:rFonts w:ascii="標楷體" w:eastAsia="標楷體" w:hAnsi="標楷體"/>
          <w:szCs w:val="22"/>
        </w:rPr>
        <w:t>。這常無自性的緣起假名有，是動的，不是真常的，所以說無常；無有常，而卻不是斷滅的。</w:t>
      </w:r>
      <w:r w:rsidRPr="00043A1E">
        <w:rPr>
          <w:rFonts w:ascii="標楷體" w:eastAsia="標楷體" w:hAnsi="標楷體"/>
          <w:b/>
          <w:szCs w:val="22"/>
        </w:rPr>
        <w:t>從無性的緣起上說，動靜相待而不相離</w:t>
      </w:r>
      <w:r w:rsidRPr="00043A1E">
        <w:rPr>
          <w:rFonts w:ascii="標楷體" w:eastAsia="標楷體" w:hAnsi="標楷體"/>
          <w:szCs w:val="22"/>
        </w:rPr>
        <w:t>。</w:t>
      </w:r>
    </w:p>
    <w:p w:rsidR="00157EF6" w:rsidRPr="00043A1E" w:rsidRDefault="00157EF6" w:rsidP="00AA120F">
      <w:pPr>
        <w:pStyle w:val="a5"/>
        <w:ind w:leftChars="105" w:left="252"/>
        <w:jc w:val="both"/>
        <w:rPr>
          <w:rFonts w:ascii="標楷體" w:eastAsia="標楷體" w:hAnsi="標楷體"/>
          <w:b/>
          <w:szCs w:val="22"/>
        </w:rPr>
      </w:pPr>
      <w:r w:rsidRPr="00043A1E">
        <w:rPr>
          <w:rFonts w:ascii="標楷體" w:eastAsia="標楷體" w:hAnsi="標楷體"/>
          <w:b/>
          <w:szCs w:val="22"/>
        </w:rPr>
        <w:t>僧肇的〈物不遷論〉</w:t>
      </w:r>
      <w:r w:rsidRPr="00043A1E">
        <w:rPr>
          <w:rFonts w:ascii="標楷體" w:eastAsia="標楷體" w:hAnsi="標楷體"/>
          <w:szCs w:val="22"/>
        </w:rPr>
        <w:t>，就是開顯緣起的即動即靜，即靜常動的問題。一切法從未來來現在，現在到過去，這是動；但是過去不到現在來，現在在現在，並不到未來去，這是靜。三世變異性，可以說是動；三世住自性，可以說是靜。所以即靜是動的，即動是靜的，動靜是相待的。從三世互相觀待上，理解到剎那的動靜不二。</w:t>
      </w:r>
      <w:r w:rsidRPr="00043A1E">
        <w:rPr>
          <w:rFonts w:ascii="標楷體" w:eastAsia="標楷體" w:hAnsi="標楷體"/>
          <w:b/>
          <w:szCs w:val="22"/>
        </w:rPr>
        <w:t>但這都是在緣起的假名上說，要通過自性空才行，否則，等於一切有者的見解。</w:t>
      </w:r>
    </w:p>
  </w:footnote>
  <w:footnote w:id="656">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）印順法師，《中觀論頌講記</w:t>
      </w:r>
      <w:r w:rsidRPr="00043A1E">
        <w:rPr>
          <w:szCs w:val="22"/>
        </w:rPr>
        <w:t>》，</w:t>
      </w:r>
      <w:r w:rsidRPr="00761EF3">
        <w:rPr>
          <w:szCs w:val="22"/>
        </w:rPr>
        <w:t>p</w:t>
      </w:r>
      <w:r w:rsidRPr="00043A1E">
        <w:rPr>
          <w:rFonts w:hint="eastAsia"/>
          <w:szCs w:val="22"/>
        </w:rPr>
        <w:t>.</w:t>
      </w:r>
      <w:r w:rsidRPr="00761EF3">
        <w:rPr>
          <w:rFonts w:hint="eastAsia"/>
          <w:szCs w:val="22"/>
        </w:rPr>
        <w:t>80</w:t>
      </w:r>
      <w:r w:rsidRPr="00043A1E">
        <w:rPr>
          <w:rFonts w:hint="eastAsia"/>
          <w:szCs w:val="22"/>
        </w:rPr>
        <w:t>：</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世間的智者，見到人有生老病死的演變，世界有滄桑的變化，也有推論到一切一切，無時不在生滅變化中的。但一旦發覺他本身的矛盾，就從運動講到不動上去。像希臘哲學者芝諾，早就有運動不可能的論證。中國的哲者，也說見鳥不見飛。的確，執有實在的自性，運動是不可能的，除非承認他本身的矛盾不通。</w:t>
      </w:r>
    </w:p>
    <w:p w:rsidR="00157EF6" w:rsidRPr="00043A1E" w:rsidRDefault="00157EF6" w:rsidP="00AA120F">
      <w:pPr>
        <w:pStyle w:val="a5"/>
        <w:ind w:leftChars="105" w:left="791" w:hangingChars="245" w:hanging="539"/>
        <w:jc w:val="both"/>
        <w:rPr>
          <w:rFonts w:eastAsia="標楷體" w:hAnsi="標楷體"/>
          <w:szCs w:val="22"/>
        </w:rPr>
      </w:pPr>
      <w:r w:rsidRPr="00043A1E">
        <w:rPr>
          <w:rFonts w:eastAsia="標楷體" w:hAnsi="標楷體"/>
          <w:szCs w:val="22"/>
        </w:rPr>
        <w:t>（</w:t>
      </w:r>
      <w:r w:rsidRPr="00761EF3">
        <w:rPr>
          <w:rFonts w:eastAsia="標楷體"/>
          <w:szCs w:val="22"/>
        </w:rPr>
        <w:t>2</w:t>
      </w:r>
      <w:r w:rsidRPr="00043A1E">
        <w:rPr>
          <w:rFonts w:eastAsia="標楷體" w:hAnsi="標楷體"/>
          <w:szCs w:val="22"/>
        </w:rPr>
        <w:t>）</w:t>
      </w:r>
      <w:r w:rsidRPr="00043A1E">
        <w:rPr>
          <w:rFonts w:ascii="新細明體" w:hAnsi="新細明體" w:hint="eastAsia"/>
          <w:szCs w:val="22"/>
        </w:rPr>
        <w:t>《</w:t>
      </w:r>
      <w:r w:rsidRPr="00043A1E">
        <w:rPr>
          <w:rFonts w:hint="eastAsia"/>
          <w:szCs w:val="22"/>
        </w:rPr>
        <w:t>莊子</w:t>
      </w:r>
      <w:r>
        <w:rPr>
          <w:rFonts w:ascii="新細明體" w:hAnsi="新細明體" w:hint="eastAsia"/>
          <w:szCs w:val="22"/>
        </w:rPr>
        <w:t>•</w:t>
      </w:r>
      <w:r w:rsidRPr="00043A1E">
        <w:rPr>
          <w:rFonts w:ascii="新細明體" w:hAnsi="新細明體" w:hint="eastAsia"/>
          <w:szCs w:val="22"/>
        </w:rPr>
        <w:t>雜篇•天下</w:t>
      </w:r>
      <w:r>
        <w:rPr>
          <w:rFonts w:ascii="新細明體" w:hAnsi="新細明體" w:hint="eastAsia"/>
          <w:szCs w:val="22"/>
        </w:rPr>
        <w:t>》</w:t>
      </w:r>
      <w:r w:rsidRPr="00043A1E">
        <w:rPr>
          <w:rFonts w:ascii="新細明體" w:hAnsi="新細明體" w:hint="eastAsia"/>
          <w:szCs w:val="22"/>
        </w:rPr>
        <w:t>：</w:t>
      </w:r>
    </w:p>
    <w:p w:rsidR="00157EF6" w:rsidRPr="00043A1E" w:rsidRDefault="00157EF6" w:rsidP="00AA120F">
      <w:pPr>
        <w:pStyle w:val="a5"/>
        <w:ind w:leftChars="335" w:left="804"/>
        <w:jc w:val="both"/>
        <w:rPr>
          <w:rFonts w:eastAsia="標楷體" w:hAnsi="標楷體"/>
          <w:szCs w:val="22"/>
        </w:rPr>
      </w:pPr>
      <w:r w:rsidRPr="00043A1E">
        <w:rPr>
          <w:rFonts w:eastAsia="標楷體" w:hAnsi="標楷體" w:hint="eastAsia"/>
          <w:szCs w:val="22"/>
        </w:rPr>
        <w:t>惠施多方，其書五車，其道舛駁，其言也不中。歷物之意，曰：「至大無外，謂之大一﹔至小無內，謂之小一。</w:t>
      </w:r>
      <w:r w:rsidR="001B3B3B" w:rsidRPr="001B3B3B">
        <w:rPr>
          <w:rFonts w:eastAsia="標楷體" w:hAnsi="標楷體" w:hint="eastAsia"/>
          <w:color w:val="FF0000"/>
          <w:szCs w:val="22"/>
          <w:shd w:val="pct15" w:color="auto" w:fill="FFFFFF"/>
        </w:rPr>
        <w:t>……</w:t>
      </w:r>
      <w:r w:rsidRPr="00043A1E">
        <w:rPr>
          <w:rFonts w:eastAsia="標楷體" w:hAnsi="標楷體" w:hint="eastAsia"/>
          <w:szCs w:val="22"/>
        </w:rPr>
        <w:t>觀於天下而曉辯者，天下之辯者相與樂之</w:t>
      </w:r>
      <w:r w:rsidR="001B3B3B" w:rsidRPr="001B3B3B">
        <w:rPr>
          <w:rFonts w:eastAsia="標楷體" w:hAnsi="標楷體" w:hint="eastAsia"/>
          <w:color w:val="FF0000"/>
          <w:szCs w:val="22"/>
          <w:shd w:val="pct15" w:color="auto" w:fill="FFFFFF"/>
        </w:rPr>
        <w:t>……</w:t>
      </w:r>
      <w:r w:rsidRPr="00043A1E">
        <w:rPr>
          <w:rFonts w:eastAsia="標楷體" w:hAnsi="標楷體" w:hint="eastAsia"/>
          <w:b/>
          <w:szCs w:val="22"/>
        </w:rPr>
        <w:t>飛鳥之景未嘗動也；</w:t>
      </w:r>
      <w:r w:rsidRPr="00043A1E">
        <w:rPr>
          <w:rFonts w:eastAsia="標楷體" w:hAnsi="標楷體" w:hint="eastAsia"/>
          <w:szCs w:val="22"/>
        </w:rPr>
        <w:t>鏃矢之疾而有不行不止之時；</w:t>
      </w:r>
      <w:r w:rsidR="001B3B3B" w:rsidRPr="001B3B3B">
        <w:rPr>
          <w:rFonts w:eastAsia="標楷體" w:hAnsi="標楷體" w:hint="eastAsia"/>
          <w:color w:val="FF0000"/>
          <w:szCs w:val="22"/>
          <w:shd w:val="pct15" w:color="auto" w:fill="FFFFFF"/>
        </w:rPr>
        <w:t>……</w:t>
      </w:r>
      <w:r w:rsidRPr="00043A1E">
        <w:rPr>
          <w:rFonts w:eastAsia="標楷體" w:hAnsi="標楷體" w:hint="eastAsia"/>
          <w:szCs w:val="22"/>
        </w:rPr>
        <w:t>辯者以此與惠施相應，終身無窮。</w:t>
      </w:r>
    </w:p>
    <w:p w:rsidR="00157EF6" w:rsidRPr="00043A1E" w:rsidRDefault="00157EF6" w:rsidP="00AA120F">
      <w:pPr>
        <w:pStyle w:val="a5"/>
        <w:ind w:leftChars="105" w:left="791" w:hangingChars="245" w:hanging="539"/>
        <w:jc w:val="both"/>
        <w:rPr>
          <w:rFonts w:eastAsia="標楷體"/>
          <w:szCs w:val="22"/>
        </w:rPr>
      </w:pPr>
      <w:r w:rsidRPr="00043A1E">
        <w:rPr>
          <w:rFonts w:eastAsia="標楷體" w:hAnsi="標楷體" w:hint="eastAsia"/>
          <w:szCs w:val="22"/>
        </w:rPr>
        <w:t>（</w:t>
      </w:r>
      <w:r w:rsidRPr="00761EF3">
        <w:rPr>
          <w:rFonts w:eastAsia="標楷體" w:hint="eastAsia"/>
          <w:szCs w:val="22"/>
        </w:rPr>
        <w:t>3</w:t>
      </w:r>
      <w:r w:rsidRPr="00043A1E">
        <w:rPr>
          <w:rFonts w:eastAsia="標楷體" w:hAnsi="標楷體" w:hint="eastAsia"/>
          <w:szCs w:val="22"/>
        </w:rPr>
        <w:t>）</w:t>
      </w:r>
      <w:r w:rsidRPr="00043A1E">
        <w:rPr>
          <w:rFonts w:ascii="新細明體" w:hAnsi="新細明體" w:hint="eastAsia"/>
          <w:szCs w:val="22"/>
        </w:rPr>
        <w:t>陳鼓應注譯，《莊子今注今譯》，中華書局出版，</w:t>
      </w:r>
      <w:r w:rsidRPr="00761EF3">
        <w:rPr>
          <w:rFonts w:eastAsia="標楷體"/>
          <w:szCs w:val="22"/>
        </w:rPr>
        <w:t>1983</w:t>
      </w:r>
      <w:r w:rsidRPr="00043A1E">
        <w:rPr>
          <w:rFonts w:eastAsia="標楷體" w:hAnsi="標楷體"/>
          <w:szCs w:val="22"/>
        </w:rPr>
        <w:t>年</w:t>
      </w:r>
      <w:r w:rsidRPr="00043A1E">
        <w:rPr>
          <w:rFonts w:ascii="新細明體" w:hAnsi="新細明體"/>
          <w:szCs w:val="22"/>
        </w:rPr>
        <w:t>，</w:t>
      </w:r>
      <w:r w:rsidRPr="00761EF3">
        <w:rPr>
          <w:rFonts w:eastAsia="標楷體"/>
          <w:szCs w:val="22"/>
        </w:rPr>
        <w:t>pp</w:t>
      </w:r>
      <w:r w:rsidRPr="00043A1E">
        <w:rPr>
          <w:rFonts w:eastAsia="標楷體"/>
          <w:szCs w:val="22"/>
        </w:rPr>
        <w:t>.</w:t>
      </w:r>
      <w:r w:rsidRPr="00761EF3">
        <w:rPr>
          <w:rFonts w:eastAsia="標楷體"/>
          <w:szCs w:val="22"/>
        </w:rPr>
        <w:t>895</w:t>
      </w:r>
      <w:r w:rsidRPr="00043A1E">
        <w:rPr>
          <w:rFonts w:eastAsia="標楷體"/>
          <w:szCs w:val="22"/>
        </w:rPr>
        <w:t>-</w:t>
      </w:r>
      <w:r w:rsidRPr="00761EF3">
        <w:rPr>
          <w:rFonts w:eastAsia="標楷體"/>
          <w:szCs w:val="22"/>
        </w:rPr>
        <w:t>907</w:t>
      </w:r>
      <w:r w:rsidRPr="00043A1E">
        <w:rPr>
          <w:rFonts w:eastAsia="標楷體" w:hint="eastAsia"/>
          <w:szCs w:val="22"/>
        </w:rPr>
        <w:t>：</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天下的辯者也都喜歡這學說：「</w:t>
      </w:r>
      <w:r w:rsidR="001B3B3B" w:rsidRPr="001B3B3B">
        <w:rPr>
          <w:rFonts w:eastAsia="標楷體" w:hAnsi="標楷體" w:hint="eastAsia"/>
          <w:color w:val="FF0000"/>
          <w:szCs w:val="22"/>
          <w:shd w:val="pct15" w:color="auto" w:fill="FFFFFF"/>
        </w:rPr>
        <w:t>……</w:t>
      </w:r>
      <w:r w:rsidRPr="00043A1E">
        <w:rPr>
          <w:rFonts w:ascii="標楷體" w:eastAsia="標楷體" w:hAnsi="標楷體" w:hint="eastAsia"/>
          <w:b/>
          <w:szCs w:val="22"/>
        </w:rPr>
        <w:t>飛鳥的影子不曾移動</w:t>
      </w:r>
      <w:r w:rsidRPr="00043A1E">
        <w:rPr>
          <w:rFonts w:ascii="標楷體" w:eastAsia="標楷體" w:hAnsi="標楷體" w:hint="eastAsia"/>
          <w:szCs w:val="22"/>
        </w:rPr>
        <w:t>；箭鏃發射的疾速卻有不前進不停止的時候；</w:t>
      </w:r>
      <w:r w:rsidR="001B3B3B" w:rsidRPr="001B3B3B">
        <w:rPr>
          <w:rFonts w:eastAsia="標楷體" w:hAnsi="標楷體" w:hint="eastAsia"/>
          <w:color w:val="FF0000"/>
          <w:szCs w:val="22"/>
          <w:shd w:val="pct15" w:color="auto" w:fill="FFFFFF"/>
        </w:rPr>
        <w:t>……</w:t>
      </w:r>
      <w:r w:rsidRPr="00043A1E">
        <w:rPr>
          <w:rFonts w:ascii="標楷體" w:eastAsia="標楷體" w:hAnsi="標楷體" w:hint="eastAsia"/>
          <w:szCs w:val="22"/>
        </w:rPr>
        <w:t>」辯者用這些論題和惠施相對應，終身沒有窮盡。</w:t>
      </w:r>
    </w:p>
    <w:p w:rsidR="00157EF6" w:rsidRPr="00043A1E" w:rsidRDefault="00157EF6" w:rsidP="00AA120F">
      <w:pPr>
        <w:pStyle w:val="a5"/>
        <w:ind w:leftChars="105" w:left="791" w:hangingChars="245" w:hanging="539"/>
        <w:jc w:val="both"/>
        <w:rPr>
          <w:rFonts w:eastAsia="標楷體"/>
          <w:szCs w:val="22"/>
        </w:rPr>
      </w:pPr>
      <w:r w:rsidRPr="00043A1E">
        <w:rPr>
          <w:rFonts w:ascii="標楷體" w:eastAsia="標楷體" w:hAnsi="標楷體" w:hint="eastAsia"/>
          <w:szCs w:val="22"/>
        </w:rPr>
        <w:t>（</w:t>
      </w:r>
      <w:r w:rsidRPr="00761EF3">
        <w:rPr>
          <w:rFonts w:eastAsia="標楷體"/>
          <w:szCs w:val="22"/>
        </w:rPr>
        <w:t>4</w:t>
      </w:r>
      <w:r w:rsidRPr="00043A1E">
        <w:rPr>
          <w:rFonts w:ascii="標楷體" w:eastAsia="標楷體" w:hAnsi="標楷體" w:hint="eastAsia"/>
          <w:szCs w:val="22"/>
        </w:rPr>
        <w:t>）</w:t>
      </w:r>
      <w:r w:rsidRPr="00043A1E">
        <w:rPr>
          <w:rFonts w:ascii="新細明體" w:hAnsi="新細明體" w:hint="eastAsia"/>
          <w:szCs w:val="22"/>
        </w:rPr>
        <w:t>陳鼓應注譯，《莊子今注今譯》，</w:t>
      </w:r>
      <w:r w:rsidRPr="00761EF3">
        <w:rPr>
          <w:rFonts w:eastAsia="標楷體"/>
          <w:szCs w:val="22"/>
        </w:rPr>
        <w:t>p</w:t>
      </w:r>
      <w:r w:rsidRPr="00043A1E">
        <w:rPr>
          <w:rFonts w:eastAsia="標楷體"/>
          <w:szCs w:val="22"/>
        </w:rPr>
        <w:t>.</w:t>
      </w:r>
      <w:r w:rsidRPr="00761EF3">
        <w:rPr>
          <w:rFonts w:eastAsia="標楷體" w:hint="eastAsia"/>
          <w:szCs w:val="22"/>
        </w:rPr>
        <w:t>903</w:t>
      </w:r>
      <w:r w:rsidRPr="00043A1E">
        <w:rPr>
          <w:rFonts w:eastAsia="標楷體" w:hint="eastAsia"/>
          <w:szCs w:val="22"/>
        </w:rPr>
        <w:t>：</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飛鳥之景未嘗動也：這條辯論，用形而上學的觀點解釋運動。他認為若果把一個運動所經過的時間及空間加以分割，分成許多點，把空間的點與時間上的點一一相當地配合起來，就可見飛鳥之影在某一時間還是停留在某一空間的點上，所以是「未嘗動也」。</w:t>
      </w:r>
    </w:p>
  </w:footnote>
  <w:footnote w:id="657">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009160B5">
        <w:rPr>
          <w:szCs w:val="22"/>
        </w:rPr>
        <w:t>參見：印</w:t>
      </w:r>
      <w:r w:rsidRPr="00043A1E">
        <w:rPr>
          <w:szCs w:val="22"/>
        </w:rPr>
        <w:t>順</w:t>
      </w:r>
      <w:r w:rsidRPr="00043A1E">
        <w:rPr>
          <w:rFonts w:hint="eastAsia"/>
          <w:szCs w:val="22"/>
        </w:rPr>
        <w:t>法師</w:t>
      </w:r>
      <w:r w:rsidRPr="00043A1E">
        <w:rPr>
          <w:szCs w:val="22"/>
        </w:rPr>
        <w:t>，《中觀今論》</w:t>
      </w:r>
      <w:r w:rsidRPr="00043A1E">
        <w:rPr>
          <w:rFonts w:hint="eastAsia"/>
          <w:szCs w:val="22"/>
        </w:rPr>
        <w:t>，</w:t>
      </w:r>
      <w:r w:rsidRPr="00043A1E">
        <w:rPr>
          <w:szCs w:val="22"/>
        </w:rPr>
        <w:t>第</w:t>
      </w:r>
      <w:r w:rsidRPr="00761EF3">
        <w:rPr>
          <w:rFonts w:hint="eastAsia"/>
          <w:szCs w:val="22"/>
        </w:rPr>
        <w:t>8</w:t>
      </w:r>
      <w:r w:rsidRPr="00043A1E">
        <w:rPr>
          <w:szCs w:val="22"/>
        </w:rPr>
        <w:t>章〈中觀之諸法實相〉</w:t>
      </w:r>
      <w:r w:rsidRPr="00043A1E">
        <w:rPr>
          <w:rFonts w:hint="eastAsia"/>
          <w:szCs w:val="22"/>
        </w:rPr>
        <w:t>，</w:t>
      </w:r>
      <w:r w:rsidRPr="00043A1E">
        <w:rPr>
          <w:szCs w:val="22"/>
        </w:rPr>
        <w:t>第</w:t>
      </w:r>
      <w:r w:rsidRPr="00761EF3">
        <w:rPr>
          <w:rFonts w:hint="eastAsia"/>
          <w:szCs w:val="22"/>
        </w:rPr>
        <w:t>4</w:t>
      </w:r>
      <w:r w:rsidRPr="00043A1E">
        <w:rPr>
          <w:szCs w:val="22"/>
        </w:rPr>
        <w:t>節〈因、緣、果、報〉，</w:t>
      </w:r>
      <w:r w:rsidRPr="00761EF3">
        <w:rPr>
          <w:szCs w:val="22"/>
        </w:rPr>
        <w:t>pp</w:t>
      </w:r>
      <w:r w:rsidRPr="00043A1E">
        <w:rPr>
          <w:szCs w:val="22"/>
        </w:rPr>
        <w:t>.</w:t>
      </w:r>
      <w:r w:rsidRPr="00761EF3">
        <w:rPr>
          <w:szCs w:val="22"/>
        </w:rPr>
        <w:t>178</w:t>
      </w:r>
      <w:r w:rsidRPr="00043A1E">
        <w:rPr>
          <w:szCs w:val="22"/>
        </w:rPr>
        <w:t>-</w:t>
      </w:r>
      <w:r w:rsidRPr="00761EF3">
        <w:rPr>
          <w:szCs w:val="22"/>
        </w:rPr>
        <w:t>180</w:t>
      </w:r>
      <w:r w:rsidRPr="00043A1E">
        <w:rPr>
          <w:szCs w:val="22"/>
        </w:rPr>
        <w:t>。</w:t>
      </w:r>
    </w:p>
  </w:footnote>
  <w:footnote w:id="658">
    <w:p w:rsidR="00157EF6" w:rsidRPr="00043A1E" w:rsidRDefault="00157EF6" w:rsidP="009E0A5A">
      <w:pPr>
        <w:pStyle w:val="a5"/>
        <w:spacing w:line="0" w:lineRule="atLeast"/>
        <w:ind w:left="726" w:hangingChars="330" w:hanging="726"/>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）《雜阿含經》卷</w:t>
      </w:r>
      <w:r w:rsidRPr="00761EF3">
        <w:rPr>
          <w:rFonts w:hint="eastAsia"/>
          <w:szCs w:val="22"/>
        </w:rPr>
        <w:t>34</w:t>
      </w:r>
      <w:r w:rsidRPr="00043A1E">
        <w:rPr>
          <w:rFonts w:hint="eastAsia"/>
          <w:szCs w:val="22"/>
        </w:rPr>
        <w:t>（</w:t>
      </w:r>
      <w:r w:rsidRPr="00761EF3">
        <w:rPr>
          <w:rFonts w:hint="eastAsia"/>
          <w:szCs w:val="22"/>
        </w:rPr>
        <w:t>962</w:t>
      </w:r>
      <w:r w:rsidRPr="00043A1E">
        <w:rPr>
          <w:rFonts w:hint="eastAsia"/>
          <w:szCs w:val="22"/>
        </w:rPr>
        <w:t>經）（大正</w:t>
      </w:r>
      <w:r w:rsidRPr="00761EF3">
        <w:rPr>
          <w:rFonts w:hint="eastAsia"/>
          <w:szCs w:val="22"/>
        </w:rPr>
        <w:t>2</w:t>
      </w:r>
      <w:r w:rsidRPr="00043A1E">
        <w:rPr>
          <w:rFonts w:hint="eastAsia"/>
          <w:szCs w:val="22"/>
        </w:rPr>
        <w:t>，</w:t>
      </w:r>
      <w:r w:rsidRPr="00761EF3">
        <w:rPr>
          <w:szCs w:val="22"/>
        </w:rPr>
        <w:t>245b27</w:t>
      </w:r>
      <w:r w:rsidRPr="00043A1E">
        <w:rPr>
          <w:szCs w:val="22"/>
        </w:rPr>
        <w:t>-</w:t>
      </w:r>
      <w:r w:rsidRPr="00761EF3">
        <w:rPr>
          <w:szCs w:val="22"/>
        </w:rPr>
        <w:t>246a10</w:t>
      </w:r>
      <w:r w:rsidRPr="00043A1E">
        <w:rPr>
          <w:szCs w:val="22"/>
        </w:rPr>
        <w:t>）</w:t>
      </w:r>
      <w:r w:rsidRPr="00043A1E">
        <w:rPr>
          <w:rFonts w:hint="eastAsia"/>
          <w:szCs w:val="22"/>
        </w:rPr>
        <w:t>。</w:t>
      </w:r>
    </w:p>
    <w:p w:rsidR="00157EF6" w:rsidRPr="00043A1E" w:rsidRDefault="00157EF6" w:rsidP="00AA120F">
      <w:pPr>
        <w:pStyle w:val="a5"/>
        <w:ind w:leftChars="80" w:left="73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w:t>
      </w:r>
      <w:r w:rsidRPr="00043A1E">
        <w:rPr>
          <w:szCs w:val="22"/>
        </w:rPr>
        <w:t>《</w:t>
      </w:r>
      <w:r w:rsidRPr="00043A1E">
        <w:rPr>
          <w:rFonts w:hint="eastAsia"/>
          <w:szCs w:val="22"/>
        </w:rPr>
        <w:t>起世經</w:t>
      </w:r>
      <w:r w:rsidRPr="00043A1E">
        <w:rPr>
          <w:szCs w:val="22"/>
        </w:rPr>
        <w:t>》卷</w:t>
      </w:r>
      <w:r w:rsidRPr="00761EF3">
        <w:rPr>
          <w:rFonts w:hint="eastAsia"/>
          <w:szCs w:val="22"/>
        </w:rPr>
        <w:t>5</w:t>
      </w:r>
      <w:r w:rsidRPr="00043A1E">
        <w:rPr>
          <w:rFonts w:hint="eastAsia"/>
          <w:szCs w:val="22"/>
        </w:rPr>
        <w:t>（大正</w:t>
      </w:r>
      <w:r w:rsidRPr="00761EF3">
        <w:rPr>
          <w:rFonts w:hint="eastAsia"/>
          <w:szCs w:val="22"/>
        </w:rPr>
        <w:t>1</w:t>
      </w:r>
      <w:r w:rsidRPr="00043A1E">
        <w:rPr>
          <w:rFonts w:hint="eastAsia"/>
          <w:szCs w:val="22"/>
        </w:rPr>
        <w:t>，</w:t>
      </w:r>
      <w:r w:rsidRPr="00761EF3">
        <w:rPr>
          <w:rFonts w:hint="eastAsia"/>
          <w:szCs w:val="22"/>
        </w:rPr>
        <w:t>333c22</w:t>
      </w:r>
      <w:r w:rsidRPr="00043A1E">
        <w:rPr>
          <w:rFonts w:hint="eastAsia"/>
          <w:szCs w:val="22"/>
        </w:rPr>
        <w:t>-</w:t>
      </w:r>
      <w:r w:rsidRPr="00761EF3">
        <w:rPr>
          <w:rFonts w:hint="eastAsia"/>
          <w:szCs w:val="22"/>
        </w:rPr>
        <w:t>334a1</w:t>
      </w:r>
      <w:r w:rsidRPr="00043A1E">
        <w:rPr>
          <w:rFonts w:hint="eastAsia"/>
          <w:szCs w:val="22"/>
        </w:rPr>
        <w:t>）。</w:t>
      </w:r>
    </w:p>
    <w:p w:rsidR="00157EF6" w:rsidRPr="00043A1E" w:rsidRDefault="00157EF6" w:rsidP="00AA120F">
      <w:pPr>
        <w:pStyle w:val="a5"/>
        <w:ind w:leftChars="80" w:left="731" w:hangingChars="245" w:hanging="539"/>
        <w:jc w:val="both"/>
        <w:rPr>
          <w:rFonts w:ascii="標楷體" w:eastAsia="標楷體" w:hAnsi="標楷體"/>
          <w:szCs w:val="22"/>
        </w:rPr>
      </w:pPr>
      <w:r w:rsidRPr="00043A1E">
        <w:rPr>
          <w:rFonts w:hint="eastAsia"/>
          <w:szCs w:val="22"/>
        </w:rPr>
        <w:t>（</w:t>
      </w:r>
      <w:r w:rsidRPr="00761EF3">
        <w:rPr>
          <w:rFonts w:hint="eastAsia"/>
          <w:szCs w:val="22"/>
        </w:rPr>
        <w:t>3</w:t>
      </w:r>
      <w:r w:rsidRPr="00043A1E">
        <w:rPr>
          <w:rFonts w:hint="eastAsia"/>
          <w:szCs w:val="22"/>
        </w:rPr>
        <w:t>）《大智度論》卷</w:t>
      </w:r>
      <w:r w:rsidRPr="00761EF3">
        <w:rPr>
          <w:rFonts w:hint="eastAsia"/>
          <w:szCs w:val="22"/>
        </w:rPr>
        <w:t>2</w:t>
      </w:r>
      <w:r w:rsidR="005C0D01">
        <w:rPr>
          <w:rFonts w:hint="eastAsia"/>
          <w:color w:val="FF0000"/>
          <w:szCs w:val="22"/>
          <w:highlight w:val="yellow"/>
        </w:rPr>
        <w:t>釋〈</w:t>
      </w:r>
      <w:r w:rsidR="005C0D01">
        <w:rPr>
          <w:color w:val="FF0000"/>
          <w:szCs w:val="22"/>
          <w:highlight w:val="yellow"/>
        </w:rPr>
        <w:t xml:space="preserve">1 </w:t>
      </w:r>
      <w:r w:rsidR="005C0D01">
        <w:rPr>
          <w:rFonts w:hint="eastAsia"/>
          <w:color w:val="FF0000"/>
          <w:szCs w:val="22"/>
          <w:highlight w:val="yellow"/>
        </w:rPr>
        <w:t>序品〉</w:t>
      </w:r>
      <w:r w:rsidRPr="00043A1E">
        <w:rPr>
          <w:rFonts w:hint="eastAsia"/>
          <w:szCs w:val="22"/>
        </w:rPr>
        <w:t>（大正</w:t>
      </w:r>
      <w:r w:rsidRPr="00761EF3">
        <w:rPr>
          <w:rFonts w:hint="eastAsia"/>
          <w:szCs w:val="22"/>
        </w:rPr>
        <w:t>25</w:t>
      </w:r>
      <w:r w:rsidRPr="00043A1E">
        <w:rPr>
          <w:rFonts w:hint="eastAsia"/>
          <w:szCs w:val="22"/>
        </w:rPr>
        <w:t>，</w:t>
      </w:r>
      <w:r w:rsidRPr="00761EF3">
        <w:rPr>
          <w:rFonts w:hint="eastAsia"/>
          <w:szCs w:val="22"/>
        </w:rPr>
        <w:t>74c8</w:t>
      </w:r>
      <w:r w:rsidRPr="00043A1E">
        <w:rPr>
          <w:rFonts w:hint="eastAsia"/>
          <w:szCs w:val="22"/>
        </w:rPr>
        <w:t>-</w:t>
      </w:r>
      <w:r w:rsidRPr="00761EF3">
        <w:rPr>
          <w:rFonts w:hint="eastAsia"/>
          <w:szCs w:val="22"/>
        </w:rPr>
        <w:t>75a19</w:t>
      </w:r>
      <w:r w:rsidRPr="00043A1E">
        <w:rPr>
          <w:rFonts w:hint="eastAsia"/>
          <w:szCs w:val="22"/>
        </w:rPr>
        <w:t>）</w:t>
      </w:r>
      <w:r w:rsidRPr="00043A1E">
        <w:rPr>
          <w:rFonts w:ascii="標楷體" w:eastAsia="標楷體" w:hAnsi="標楷體" w:hint="eastAsia"/>
          <w:szCs w:val="22"/>
        </w:rPr>
        <w:t>：</w:t>
      </w:r>
    </w:p>
    <w:p w:rsidR="00157EF6" w:rsidRPr="00043A1E" w:rsidRDefault="00157EF6" w:rsidP="00AA120F">
      <w:pPr>
        <w:pStyle w:val="a5"/>
        <w:ind w:leftChars="305" w:left="1392" w:hangingChars="300" w:hanging="660"/>
        <w:jc w:val="both"/>
        <w:rPr>
          <w:rFonts w:ascii="標楷體" w:eastAsia="SimSun" w:hAnsi="標楷體"/>
          <w:szCs w:val="22"/>
        </w:rPr>
      </w:pPr>
      <w:r>
        <w:rPr>
          <w:rFonts w:ascii="標楷體" w:eastAsia="標楷體" w:hAnsi="標楷體" w:hint="eastAsia"/>
          <w:szCs w:val="22"/>
        </w:rPr>
        <w:t>問曰：</w:t>
      </w:r>
      <w:r w:rsidRPr="00043A1E">
        <w:rPr>
          <w:rFonts w:ascii="標楷體" w:eastAsia="標楷體" w:hAnsi="標楷體" w:hint="eastAsia"/>
          <w:szCs w:val="22"/>
        </w:rPr>
        <w:t>十四難</w:t>
      </w:r>
      <w:r w:rsidR="00CE680E">
        <w:rPr>
          <w:rFonts w:ascii="標楷體" w:eastAsia="標楷體" w:hAnsi="標楷體" w:hint="eastAsia"/>
          <w:color w:val="FF0000"/>
          <w:kern w:val="0"/>
          <w:highlight w:val="yellow"/>
        </w:rPr>
        <w:t>，</w:t>
      </w:r>
      <w:r w:rsidRPr="00043A1E">
        <w:rPr>
          <w:rFonts w:ascii="標楷體" w:eastAsia="標楷體" w:hAnsi="標楷體" w:hint="eastAsia"/>
          <w:szCs w:val="22"/>
        </w:rPr>
        <w:t>不答故，知非一切智人。何等十四難？</w:t>
      </w:r>
      <w:r w:rsidRPr="004849F8">
        <w:rPr>
          <w:rFonts w:hint="eastAsia"/>
          <w:szCs w:val="22"/>
          <w:shd w:val="pct15" w:color="auto" w:fill="FFFFFF"/>
          <w:vertAlign w:val="superscript"/>
        </w:rPr>
        <w:t>（</w:t>
      </w:r>
      <w:r w:rsidRPr="004849F8">
        <w:rPr>
          <w:szCs w:val="22"/>
          <w:shd w:val="pct15" w:color="auto" w:fill="FFFFFF"/>
          <w:vertAlign w:val="superscript"/>
        </w:rPr>
        <w:t>1</w:t>
      </w:r>
      <w:r w:rsidRPr="004849F8">
        <w:rPr>
          <w:rFonts w:hint="eastAsia"/>
          <w:szCs w:val="22"/>
          <w:shd w:val="pct15" w:color="auto" w:fill="FFFFFF"/>
          <w:vertAlign w:val="superscript"/>
        </w:rPr>
        <w:t>）</w:t>
      </w:r>
      <w:r w:rsidRPr="00043A1E">
        <w:rPr>
          <w:rFonts w:ascii="標楷體" w:eastAsia="標楷體" w:hAnsi="標楷體" w:hint="eastAsia"/>
          <w:szCs w:val="22"/>
        </w:rPr>
        <w:t>世界及我常，</w:t>
      </w:r>
      <w:r w:rsidRPr="004849F8">
        <w:rPr>
          <w:rFonts w:hint="eastAsia"/>
          <w:szCs w:val="22"/>
          <w:shd w:val="pct15" w:color="auto" w:fill="FFFFFF"/>
          <w:vertAlign w:val="superscript"/>
        </w:rPr>
        <w:t>（</w:t>
      </w:r>
      <w:r w:rsidRPr="004849F8">
        <w:rPr>
          <w:szCs w:val="22"/>
          <w:shd w:val="pct15" w:color="auto" w:fill="FFFFFF"/>
          <w:vertAlign w:val="superscript"/>
        </w:rPr>
        <w:t>2</w:t>
      </w:r>
      <w:r w:rsidRPr="004849F8">
        <w:rPr>
          <w:rFonts w:hint="eastAsia"/>
          <w:szCs w:val="22"/>
          <w:shd w:val="pct15" w:color="auto" w:fill="FFFFFF"/>
          <w:vertAlign w:val="superscript"/>
        </w:rPr>
        <w:t>）</w:t>
      </w:r>
      <w:r w:rsidRPr="00043A1E">
        <w:rPr>
          <w:rFonts w:ascii="標楷體" w:eastAsia="標楷體" w:hAnsi="標楷體" w:hint="eastAsia"/>
          <w:szCs w:val="22"/>
        </w:rPr>
        <w:t>世界及我無常，</w:t>
      </w:r>
      <w:r w:rsidRPr="004849F8">
        <w:rPr>
          <w:rFonts w:hint="eastAsia"/>
          <w:szCs w:val="22"/>
          <w:shd w:val="pct15" w:color="auto" w:fill="FFFFFF"/>
          <w:vertAlign w:val="superscript"/>
        </w:rPr>
        <w:t>（</w:t>
      </w:r>
      <w:r w:rsidRPr="004849F8">
        <w:rPr>
          <w:rFonts w:hint="eastAsia"/>
          <w:szCs w:val="22"/>
          <w:shd w:val="pct15" w:color="auto" w:fill="FFFFFF"/>
          <w:vertAlign w:val="superscript"/>
        </w:rPr>
        <w:t>3</w:t>
      </w:r>
      <w:r w:rsidRPr="004849F8">
        <w:rPr>
          <w:rFonts w:hint="eastAsia"/>
          <w:szCs w:val="22"/>
          <w:shd w:val="pct15" w:color="auto" w:fill="FFFFFF"/>
          <w:vertAlign w:val="superscript"/>
        </w:rPr>
        <w:t>）</w:t>
      </w:r>
      <w:r w:rsidRPr="00043A1E">
        <w:rPr>
          <w:rFonts w:ascii="標楷體" w:eastAsia="標楷體" w:hAnsi="標楷體" w:hint="eastAsia"/>
          <w:szCs w:val="22"/>
        </w:rPr>
        <w:t>世界及我亦有常亦無常，</w:t>
      </w:r>
      <w:r w:rsidRPr="004849F8">
        <w:rPr>
          <w:rFonts w:hint="eastAsia"/>
          <w:szCs w:val="22"/>
          <w:shd w:val="pct15" w:color="auto" w:fill="FFFFFF"/>
          <w:vertAlign w:val="superscript"/>
        </w:rPr>
        <w:t>（</w:t>
      </w:r>
      <w:r w:rsidRPr="004849F8">
        <w:rPr>
          <w:rFonts w:hint="eastAsia"/>
          <w:szCs w:val="22"/>
          <w:shd w:val="pct15" w:color="auto" w:fill="FFFFFF"/>
          <w:vertAlign w:val="superscript"/>
        </w:rPr>
        <w:t>4</w:t>
      </w:r>
      <w:r w:rsidRPr="004849F8">
        <w:rPr>
          <w:rFonts w:hint="eastAsia"/>
          <w:szCs w:val="22"/>
          <w:shd w:val="pct15" w:color="auto" w:fill="FFFFFF"/>
          <w:vertAlign w:val="superscript"/>
        </w:rPr>
        <w:t>）</w:t>
      </w:r>
      <w:r w:rsidRPr="00043A1E">
        <w:rPr>
          <w:rFonts w:ascii="標楷體" w:eastAsia="標楷體" w:hAnsi="標楷體" w:hint="eastAsia"/>
          <w:szCs w:val="22"/>
        </w:rPr>
        <w:t>世界及我亦非有常亦非無常，</w:t>
      </w:r>
      <w:r w:rsidRPr="004849F8">
        <w:rPr>
          <w:rFonts w:hint="eastAsia"/>
          <w:szCs w:val="22"/>
          <w:shd w:val="pct15" w:color="auto" w:fill="FFFFFF"/>
          <w:vertAlign w:val="superscript"/>
        </w:rPr>
        <w:t>（</w:t>
      </w:r>
      <w:r w:rsidRPr="004849F8">
        <w:rPr>
          <w:rFonts w:hint="eastAsia"/>
          <w:szCs w:val="22"/>
          <w:shd w:val="pct15" w:color="auto" w:fill="FFFFFF"/>
          <w:vertAlign w:val="superscript"/>
        </w:rPr>
        <w:t>5</w:t>
      </w:r>
      <w:r w:rsidRPr="004849F8">
        <w:rPr>
          <w:rFonts w:hint="eastAsia"/>
          <w:szCs w:val="22"/>
          <w:shd w:val="pct15" w:color="auto" w:fill="FFFFFF"/>
          <w:vertAlign w:val="superscript"/>
        </w:rPr>
        <w:t>）</w:t>
      </w:r>
      <w:r w:rsidRPr="00043A1E">
        <w:rPr>
          <w:rFonts w:ascii="標楷體" w:eastAsia="標楷體" w:hAnsi="標楷體" w:hint="eastAsia"/>
          <w:szCs w:val="22"/>
        </w:rPr>
        <w:t>世界及我有邊、</w:t>
      </w:r>
      <w:r w:rsidRPr="004849F8">
        <w:rPr>
          <w:rFonts w:hint="eastAsia"/>
          <w:szCs w:val="22"/>
          <w:shd w:val="pct15" w:color="auto" w:fill="FFFFFF"/>
          <w:vertAlign w:val="superscript"/>
        </w:rPr>
        <w:t>（</w:t>
      </w:r>
      <w:r w:rsidRPr="004849F8">
        <w:rPr>
          <w:rFonts w:hint="eastAsia"/>
          <w:szCs w:val="22"/>
          <w:shd w:val="pct15" w:color="auto" w:fill="FFFFFF"/>
          <w:vertAlign w:val="superscript"/>
        </w:rPr>
        <w:t>6</w:t>
      </w:r>
      <w:r w:rsidRPr="004849F8">
        <w:rPr>
          <w:rFonts w:hint="eastAsia"/>
          <w:szCs w:val="22"/>
          <w:shd w:val="pct15" w:color="auto" w:fill="FFFFFF"/>
          <w:vertAlign w:val="superscript"/>
        </w:rPr>
        <w:t>）</w:t>
      </w:r>
      <w:r w:rsidRPr="00043A1E">
        <w:rPr>
          <w:rFonts w:ascii="標楷體" w:eastAsia="標楷體" w:hAnsi="標楷體" w:hint="eastAsia"/>
          <w:szCs w:val="22"/>
        </w:rPr>
        <w:t>無邊，</w:t>
      </w:r>
      <w:r w:rsidRPr="004849F8">
        <w:rPr>
          <w:rFonts w:hint="eastAsia"/>
          <w:szCs w:val="22"/>
          <w:shd w:val="pct15" w:color="auto" w:fill="FFFFFF"/>
          <w:vertAlign w:val="superscript"/>
        </w:rPr>
        <w:t>（</w:t>
      </w:r>
      <w:r w:rsidRPr="004849F8">
        <w:rPr>
          <w:rFonts w:hint="eastAsia"/>
          <w:szCs w:val="22"/>
          <w:shd w:val="pct15" w:color="auto" w:fill="FFFFFF"/>
          <w:vertAlign w:val="superscript"/>
        </w:rPr>
        <w:t>7</w:t>
      </w:r>
      <w:r w:rsidRPr="004849F8">
        <w:rPr>
          <w:rFonts w:hint="eastAsia"/>
          <w:szCs w:val="22"/>
          <w:shd w:val="pct15" w:color="auto" w:fill="FFFFFF"/>
          <w:vertAlign w:val="superscript"/>
        </w:rPr>
        <w:t>）</w:t>
      </w:r>
      <w:r w:rsidRPr="00043A1E">
        <w:rPr>
          <w:rFonts w:ascii="標楷體" w:eastAsia="標楷體" w:hAnsi="標楷體" w:hint="eastAsia"/>
          <w:szCs w:val="22"/>
        </w:rPr>
        <w:t>亦有邊亦無邊，</w:t>
      </w:r>
      <w:r w:rsidRPr="004849F8">
        <w:rPr>
          <w:rFonts w:hint="eastAsia"/>
          <w:szCs w:val="22"/>
          <w:shd w:val="pct15" w:color="auto" w:fill="FFFFFF"/>
          <w:vertAlign w:val="superscript"/>
        </w:rPr>
        <w:t>（</w:t>
      </w:r>
      <w:r w:rsidRPr="004849F8">
        <w:rPr>
          <w:rFonts w:hint="eastAsia"/>
          <w:szCs w:val="22"/>
          <w:shd w:val="pct15" w:color="auto" w:fill="FFFFFF"/>
          <w:vertAlign w:val="superscript"/>
        </w:rPr>
        <w:t>8</w:t>
      </w:r>
      <w:r w:rsidRPr="004849F8">
        <w:rPr>
          <w:rFonts w:hint="eastAsia"/>
          <w:szCs w:val="22"/>
          <w:shd w:val="pct15" w:color="auto" w:fill="FFFFFF"/>
          <w:vertAlign w:val="superscript"/>
        </w:rPr>
        <w:t>）</w:t>
      </w:r>
      <w:r w:rsidRPr="00043A1E">
        <w:rPr>
          <w:rFonts w:ascii="標楷體" w:eastAsia="標楷體" w:hAnsi="標楷體" w:hint="eastAsia"/>
          <w:szCs w:val="22"/>
        </w:rPr>
        <w:t>亦非有邊亦非無邊，</w:t>
      </w:r>
      <w:r w:rsidRPr="004849F8">
        <w:rPr>
          <w:rFonts w:hint="eastAsia"/>
          <w:szCs w:val="22"/>
          <w:shd w:val="pct15" w:color="auto" w:fill="FFFFFF"/>
          <w:vertAlign w:val="superscript"/>
        </w:rPr>
        <w:t>（</w:t>
      </w:r>
      <w:r w:rsidRPr="004849F8">
        <w:rPr>
          <w:rFonts w:hint="eastAsia"/>
          <w:szCs w:val="22"/>
          <w:shd w:val="pct15" w:color="auto" w:fill="FFFFFF"/>
          <w:vertAlign w:val="superscript"/>
        </w:rPr>
        <w:t>9</w:t>
      </w:r>
      <w:r w:rsidRPr="004849F8">
        <w:rPr>
          <w:rFonts w:hint="eastAsia"/>
          <w:szCs w:val="22"/>
          <w:shd w:val="pct15" w:color="auto" w:fill="FFFFFF"/>
          <w:vertAlign w:val="superscript"/>
        </w:rPr>
        <w:t>）</w:t>
      </w:r>
      <w:r w:rsidRPr="00043A1E">
        <w:rPr>
          <w:rFonts w:ascii="標楷體" w:eastAsia="標楷體" w:hAnsi="標楷體" w:hint="eastAsia"/>
          <w:szCs w:val="22"/>
        </w:rPr>
        <w:t>死後有神去後世，</w:t>
      </w:r>
      <w:r w:rsidRPr="004849F8">
        <w:rPr>
          <w:rFonts w:hint="eastAsia"/>
          <w:szCs w:val="22"/>
          <w:shd w:val="pct15" w:color="auto" w:fill="FFFFFF"/>
          <w:vertAlign w:val="superscript"/>
        </w:rPr>
        <w:t>（</w:t>
      </w:r>
      <w:r w:rsidRPr="004849F8">
        <w:rPr>
          <w:rFonts w:hint="eastAsia"/>
          <w:szCs w:val="22"/>
          <w:shd w:val="pct15" w:color="auto" w:fill="FFFFFF"/>
          <w:vertAlign w:val="superscript"/>
        </w:rPr>
        <w:t>10</w:t>
      </w:r>
      <w:r w:rsidRPr="004849F8">
        <w:rPr>
          <w:rFonts w:hint="eastAsia"/>
          <w:szCs w:val="22"/>
          <w:shd w:val="pct15" w:color="auto" w:fill="FFFFFF"/>
          <w:vertAlign w:val="superscript"/>
        </w:rPr>
        <w:t>）</w:t>
      </w:r>
      <w:r w:rsidRPr="00043A1E">
        <w:rPr>
          <w:rFonts w:ascii="標楷體" w:eastAsia="標楷體" w:hAnsi="標楷體" w:hint="eastAsia"/>
          <w:szCs w:val="22"/>
        </w:rPr>
        <w:t>無神去後世，</w:t>
      </w:r>
      <w:r w:rsidRPr="004849F8">
        <w:rPr>
          <w:rFonts w:hint="eastAsia"/>
          <w:szCs w:val="22"/>
          <w:shd w:val="pct15" w:color="auto" w:fill="FFFFFF"/>
          <w:vertAlign w:val="superscript"/>
        </w:rPr>
        <w:t>（</w:t>
      </w:r>
      <w:r w:rsidRPr="004849F8">
        <w:rPr>
          <w:rFonts w:hint="eastAsia"/>
          <w:szCs w:val="22"/>
          <w:shd w:val="pct15" w:color="auto" w:fill="FFFFFF"/>
          <w:vertAlign w:val="superscript"/>
        </w:rPr>
        <w:t>11</w:t>
      </w:r>
      <w:r w:rsidRPr="004849F8">
        <w:rPr>
          <w:rFonts w:hint="eastAsia"/>
          <w:szCs w:val="22"/>
          <w:shd w:val="pct15" w:color="auto" w:fill="FFFFFF"/>
          <w:vertAlign w:val="superscript"/>
        </w:rPr>
        <w:t>）</w:t>
      </w:r>
      <w:r w:rsidRPr="00043A1E">
        <w:rPr>
          <w:rFonts w:ascii="標楷體" w:eastAsia="標楷體" w:hAnsi="標楷體" w:hint="eastAsia"/>
          <w:szCs w:val="22"/>
        </w:rPr>
        <w:t>亦有神去亦無神去，</w:t>
      </w:r>
      <w:r w:rsidRPr="004849F8">
        <w:rPr>
          <w:rFonts w:hint="eastAsia"/>
          <w:szCs w:val="22"/>
          <w:shd w:val="pct15" w:color="auto" w:fill="FFFFFF"/>
          <w:vertAlign w:val="superscript"/>
        </w:rPr>
        <w:t>（</w:t>
      </w:r>
      <w:r w:rsidRPr="004849F8">
        <w:rPr>
          <w:rFonts w:hint="eastAsia"/>
          <w:szCs w:val="22"/>
          <w:shd w:val="pct15" w:color="auto" w:fill="FFFFFF"/>
          <w:vertAlign w:val="superscript"/>
        </w:rPr>
        <w:t>12</w:t>
      </w:r>
      <w:r w:rsidRPr="004849F8">
        <w:rPr>
          <w:rFonts w:hint="eastAsia"/>
          <w:szCs w:val="22"/>
          <w:shd w:val="pct15" w:color="auto" w:fill="FFFFFF"/>
          <w:vertAlign w:val="superscript"/>
        </w:rPr>
        <w:t>）</w:t>
      </w:r>
      <w:r w:rsidRPr="00043A1E">
        <w:rPr>
          <w:rFonts w:ascii="標楷體" w:eastAsia="標楷體" w:hAnsi="標楷體" w:hint="eastAsia"/>
          <w:szCs w:val="22"/>
        </w:rPr>
        <w:t>死後亦非有神去亦非無神去後世，</w:t>
      </w:r>
      <w:r w:rsidRPr="004849F8">
        <w:rPr>
          <w:rFonts w:hint="eastAsia"/>
          <w:szCs w:val="22"/>
          <w:shd w:val="pct15" w:color="auto" w:fill="FFFFFF"/>
          <w:vertAlign w:val="superscript"/>
        </w:rPr>
        <w:t>（</w:t>
      </w:r>
      <w:r w:rsidRPr="004849F8">
        <w:rPr>
          <w:rFonts w:hint="eastAsia"/>
          <w:szCs w:val="22"/>
          <w:shd w:val="pct15" w:color="auto" w:fill="FFFFFF"/>
          <w:vertAlign w:val="superscript"/>
        </w:rPr>
        <w:t>13</w:t>
      </w:r>
      <w:r w:rsidRPr="004849F8">
        <w:rPr>
          <w:rFonts w:hint="eastAsia"/>
          <w:szCs w:val="22"/>
          <w:shd w:val="pct15" w:color="auto" w:fill="FFFFFF"/>
          <w:vertAlign w:val="superscript"/>
        </w:rPr>
        <w:t>）</w:t>
      </w:r>
      <w:r w:rsidRPr="00043A1E">
        <w:rPr>
          <w:rFonts w:ascii="標楷體" w:eastAsia="標楷體" w:hAnsi="標楷體" w:hint="eastAsia"/>
          <w:szCs w:val="22"/>
        </w:rPr>
        <w:t>是身是神，</w:t>
      </w:r>
      <w:r w:rsidRPr="004849F8">
        <w:rPr>
          <w:rFonts w:hint="eastAsia"/>
          <w:szCs w:val="22"/>
          <w:shd w:val="pct15" w:color="auto" w:fill="FFFFFF"/>
          <w:vertAlign w:val="superscript"/>
        </w:rPr>
        <w:t>（</w:t>
      </w:r>
      <w:r w:rsidRPr="004849F8">
        <w:rPr>
          <w:rFonts w:hint="eastAsia"/>
          <w:szCs w:val="22"/>
          <w:shd w:val="pct15" w:color="auto" w:fill="FFFFFF"/>
          <w:vertAlign w:val="superscript"/>
        </w:rPr>
        <w:t>14</w:t>
      </w:r>
      <w:r w:rsidRPr="004849F8">
        <w:rPr>
          <w:rFonts w:hint="eastAsia"/>
          <w:szCs w:val="22"/>
          <w:shd w:val="pct15" w:color="auto" w:fill="FFFFFF"/>
          <w:vertAlign w:val="superscript"/>
        </w:rPr>
        <w:t>）</w:t>
      </w:r>
      <w:r>
        <w:rPr>
          <w:rFonts w:ascii="標楷體" w:eastAsia="標楷體" w:hAnsi="標楷體" w:hint="eastAsia"/>
          <w:szCs w:val="22"/>
        </w:rPr>
        <w:t>身異神異。</w:t>
      </w:r>
    </w:p>
    <w:p w:rsidR="00157EF6" w:rsidRPr="00043A1E" w:rsidRDefault="00157EF6" w:rsidP="00AA120F">
      <w:pPr>
        <w:pStyle w:val="a5"/>
        <w:ind w:leftChars="305" w:left="1392" w:hangingChars="300" w:hanging="660"/>
        <w:jc w:val="both"/>
        <w:rPr>
          <w:rFonts w:ascii="標楷體" w:eastAsia="標楷體" w:hAnsi="標楷體"/>
          <w:szCs w:val="22"/>
        </w:rPr>
      </w:pPr>
      <w:r w:rsidRPr="00043A1E">
        <w:rPr>
          <w:rFonts w:ascii="標楷體" w:eastAsia="標楷體" w:hAnsi="標楷體" w:hint="eastAsia"/>
          <w:szCs w:val="22"/>
        </w:rPr>
        <w:t>答曰：此事無實故不答。諸法有常，無此理；諸法斷，亦無此理</w:t>
      </w:r>
      <w:r w:rsidR="00CE680E">
        <w:rPr>
          <w:rFonts w:ascii="標楷體" w:eastAsia="標楷體" w:hAnsi="標楷體" w:hint="eastAsia"/>
          <w:color w:val="FF0000"/>
          <w:kern w:val="0"/>
          <w:highlight w:val="yellow"/>
        </w:rPr>
        <w:t>。</w:t>
      </w:r>
      <w:r w:rsidRPr="00043A1E">
        <w:rPr>
          <w:rFonts w:ascii="標楷體" w:eastAsia="標楷體" w:hAnsi="標楷體" w:hint="eastAsia"/>
          <w:szCs w:val="22"/>
        </w:rPr>
        <w:t>以是故，佛不答。譬如人問</w:t>
      </w:r>
      <w:r w:rsidR="00000815" w:rsidRPr="00000815">
        <w:rPr>
          <w:rFonts w:ascii="標楷體" w:eastAsia="標楷體" w:hAnsi="標楷體" w:hint="eastAsia"/>
          <w:color w:val="FF0000"/>
          <w:szCs w:val="22"/>
          <w:highlight w:val="yellow"/>
        </w:rPr>
        <w:t>「</w:t>
      </w:r>
      <w:r w:rsidRPr="00043A1E">
        <w:rPr>
          <w:rFonts w:ascii="標楷體" w:eastAsia="標楷體" w:hAnsi="標楷體" w:hint="eastAsia"/>
          <w:szCs w:val="22"/>
        </w:rPr>
        <w:t>搆牛角得幾升乳</w:t>
      </w:r>
      <w:r w:rsidR="00000815" w:rsidRPr="00000815">
        <w:rPr>
          <w:rFonts w:ascii="標楷體" w:eastAsia="標楷體" w:hAnsi="標楷體" w:hint="eastAsia"/>
          <w:color w:val="FF0000"/>
          <w:szCs w:val="22"/>
          <w:highlight w:val="yellow"/>
        </w:rPr>
        <w:t>？</w:t>
      </w:r>
      <w:r w:rsidR="00000815">
        <w:rPr>
          <w:rFonts w:ascii="標楷體" w:eastAsia="標楷體" w:hAnsi="標楷體" w:hint="eastAsia"/>
          <w:color w:val="FF0000"/>
          <w:szCs w:val="22"/>
          <w:highlight w:val="yellow"/>
        </w:rPr>
        <w:t>」</w:t>
      </w:r>
      <w:r w:rsidRPr="00043A1E">
        <w:rPr>
          <w:rFonts w:ascii="標楷體" w:eastAsia="標楷體" w:hAnsi="標楷體" w:hint="eastAsia"/>
          <w:szCs w:val="22"/>
        </w:rPr>
        <w:t>是為非問，不應答。</w:t>
      </w:r>
    </w:p>
    <w:p w:rsidR="00157EF6" w:rsidRPr="00043A1E" w:rsidRDefault="00157EF6" w:rsidP="00AA120F">
      <w:pPr>
        <w:pStyle w:val="a5"/>
        <w:ind w:leftChars="580" w:left="1392"/>
        <w:jc w:val="both"/>
        <w:rPr>
          <w:rFonts w:ascii="標楷體" w:eastAsia="標楷體" w:hAnsi="標楷體"/>
          <w:szCs w:val="22"/>
        </w:rPr>
      </w:pPr>
      <w:r w:rsidRPr="00043A1E">
        <w:rPr>
          <w:rFonts w:ascii="標楷體" w:eastAsia="標楷體" w:hAnsi="標楷體" w:hint="eastAsia"/>
          <w:szCs w:val="22"/>
        </w:rPr>
        <w:t>復次，世界無窮，如車輪無初無後。</w:t>
      </w:r>
    </w:p>
    <w:p w:rsidR="00157EF6" w:rsidRPr="00043A1E" w:rsidRDefault="00157EF6" w:rsidP="004849F8">
      <w:pPr>
        <w:pStyle w:val="a5"/>
        <w:ind w:leftChars="580" w:left="2052" w:hangingChars="300" w:hanging="660"/>
        <w:jc w:val="both"/>
        <w:rPr>
          <w:rFonts w:ascii="標楷體" w:eastAsia="標楷體" w:hAnsi="標楷體"/>
          <w:szCs w:val="22"/>
        </w:rPr>
      </w:pPr>
      <w:r w:rsidRPr="00043A1E">
        <w:rPr>
          <w:rFonts w:ascii="標楷體" w:eastAsia="標楷體" w:hAnsi="標楷體" w:hint="eastAsia"/>
          <w:szCs w:val="22"/>
        </w:rPr>
        <w:t>復次，答此無利</w:t>
      </w:r>
      <w:r w:rsidR="00000815" w:rsidRPr="00000815">
        <w:rPr>
          <w:rFonts w:ascii="標楷體" w:eastAsia="標楷體" w:hAnsi="標楷體" w:hint="eastAsia"/>
          <w:color w:val="FF0000"/>
          <w:szCs w:val="22"/>
          <w:highlight w:val="yellow"/>
        </w:rPr>
        <w:t>、</w:t>
      </w:r>
      <w:r w:rsidRPr="00043A1E">
        <w:rPr>
          <w:rFonts w:ascii="標楷體" w:eastAsia="標楷體" w:hAnsi="標楷體" w:hint="eastAsia"/>
          <w:szCs w:val="22"/>
        </w:rPr>
        <w:t>有失，墮惡邪中。佛知十四</w:t>
      </w:r>
      <w:r w:rsidRPr="00000815">
        <w:rPr>
          <w:rFonts w:ascii="標楷體" w:eastAsia="標楷體" w:hAnsi="標楷體" w:hint="eastAsia"/>
          <w:szCs w:val="22"/>
          <w:highlight w:val="yellow"/>
        </w:rPr>
        <w:t>難常</w:t>
      </w:r>
      <w:r w:rsidRPr="00043A1E">
        <w:rPr>
          <w:rFonts w:ascii="標楷體" w:eastAsia="標楷體" w:hAnsi="標楷體" w:hint="eastAsia"/>
          <w:szCs w:val="22"/>
        </w:rPr>
        <w:t>覆四諦</w:t>
      </w:r>
      <w:r w:rsidR="00555942" w:rsidRPr="00555942">
        <w:rPr>
          <w:rFonts w:ascii="標楷體" w:eastAsia="標楷體" w:hAnsi="標楷體" w:hint="eastAsia"/>
          <w:color w:val="FF0000"/>
          <w:szCs w:val="22"/>
          <w:highlight w:val="yellow"/>
        </w:rPr>
        <w:t>、</w:t>
      </w:r>
      <w:r w:rsidRPr="00043A1E">
        <w:rPr>
          <w:rFonts w:ascii="標楷體" w:eastAsia="標楷體" w:hAnsi="標楷體" w:hint="eastAsia"/>
          <w:szCs w:val="22"/>
        </w:rPr>
        <w:t>諸法實相。如渡處有惡虫水，不應將人渡；安隱無患處，可示人令渡。</w:t>
      </w:r>
    </w:p>
    <w:p w:rsidR="00157EF6" w:rsidRPr="00043A1E" w:rsidRDefault="00157EF6" w:rsidP="004849F8">
      <w:pPr>
        <w:pStyle w:val="a5"/>
        <w:ind w:leftChars="580" w:left="2052" w:hangingChars="300" w:hanging="660"/>
        <w:jc w:val="both"/>
        <w:rPr>
          <w:rFonts w:ascii="標楷體" w:eastAsia="標楷體" w:hAnsi="標楷體"/>
          <w:szCs w:val="22"/>
        </w:rPr>
      </w:pPr>
      <w:r w:rsidRPr="00043A1E">
        <w:rPr>
          <w:rFonts w:ascii="標楷體" w:eastAsia="標楷體" w:hAnsi="標楷體" w:hint="eastAsia"/>
          <w:szCs w:val="22"/>
        </w:rPr>
        <w:t>復次，有人言：是事非一切智人不能解，以人不能知，故佛不答。</w:t>
      </w:r>
    </w:p>
    <w:p w:rsidR="00157EF6" w:rsidRPr="00043A1E" w:rsidRDefault="00157EF6" w:rsidP="004849F8">
      <w:pPr>
        <w:pStyle w:val="a5"/>
        <w:ind w:leftChars="580" w:left="2052" w:hangingChars="300" w:hanging="660"/>
        <w:jc w:val="both"/>
        <w:rPr>
          <w:rFonts w:ascii="標楷體" w:eastAsia="標楷體" w:hAnsi="標楷體"/>
          <w:szCs w:val="22"/>
        </w:rPr>
      </w:pPr>
      <w:r w:rsidRPr="00043A1E">
        <w:rPr>
          <w:rFonts w:ascii="標楷體" w:eastAsia="標楷體" w:hAnsi="標楷體" w:hint="eastAsia"/>
          <w:szCs w:val="22"/>
        </w:rPr>
        <w:t>復次，若人</w:t>
      </w:r>
      <w:r w:rsidR="00A9704C">
        <w:rPr>
          <w:rFonts w:ascii="標楷體" w:eastAsia="標楷體" w:hAnsi="標楷體" w:hint="eastAsia"/>
          <w:color w:val="FF0000"/>
          <w:kern w:val="0"/>
          <w:highlight w:val="yellow"/>
        </w:rPr>
        <w:t>──</w:t>
      </w:r>
      <w:r w:rsidRPr="00043A1E">
        <w:rPr>
          <w:rFonts w:ascii="標楷體" w:eastAsia="標楷體" w:hAnsi="標楷體" w:hint="eastAsia"/>
          <w:szCs w:val="22"/>
        </w:rPr>
        <w:t>無言</w:t>
      </w:r>
      <w:r w:rsidR="00555942">
        <w:rPr>
          <w:rFonts w:ascii="標楷體" w:eastAsia="標楷體" w:hAnsi="標楷體" w:hint="eastAsia"/>
          <w:bCs/>
          <w:color w:val="FF0000"/>
          <w:kern w:val="0"/>
          <w:highlight w:val="yellow"/>
        </w:rPr>
        <w:t>「</w:t>
      </w:r>
      <w:r w:rsidRPr="00043A1E">
        <w:rPr>
          <w:rFonts w:ascii="標楷體" w:eastAsia="標楷體" w:hAnsi="標楷體" w:hint="eastAsia"/>
          <w:szCs w:val="22"/>
        </w:rPr>
        <w:t>有</w:t>
      </w:r>
      <w:r w:rsidR="00555942">
        <w:rPr>
          <w:rFonts w:ascii="標楷體" w:eastAsia="標楷體" w:hAnsi="標楷體" w:hint="eastAsia"/>
          <w:bCs/>
          <w:color w:val="FF0000"/>
          <w:kern w:val="0"/>
          <w:highlight w:val="yellow"/>
        </w:rPr>
        <w:t>」</w:t>
      </w:r>
      <w:r w:rsidR="005E6D60">
        <w:rPr>
          <w:rFonts w:ascii="標楷體" w:eastAsia="標楷體" w:hAnsi="標楷體" w:hint="eastAsia"/>
          <w:color w:val="FF0000"/>
          <w:szCs w:val="22"/>
          <w:highlight w:val="yellow"/>
        </w:rPr>
        <w:t>、</w:t>
      </w:r>
      <w:r w:rsidRPr="00043A1E">
        <w:rPr>
          <w:rFonts w:ascii="標楷體" w:eastAsia="標楷體" w:hAnsi="標楷體" w:hint="eastAsia"/>
          <w:szCs w:val="22"/>
        </w:rPr>
        <w:t>有言</w:t>
      </w:r>
      <w:r w:rsidR="00555942">
        <w:rPr>
          <w:rFonts w:ascii="標楷體" w:eastAsia="標楷體" w:hAnsi="標楷體" w:hint="eastAsia"/>
          <w:bCs/>
          <w:color w:val="FF0000"/>
          <w:kern w:val="0"/>
          <w:highlight w:val="yellow"/>
        </w:rPr>
        <w:t>「</w:t>
      </w:r>
      <w:r w:rsidRPr="00043A1E">
        <w:rPr>
          <w:rFonts w:ascii="標楷體" w:eastAsia="標楷體" w:hAnsi="標楷體" w:hint="eastAsia"/>
          <w:szCs w:val="22"/>
        </w:rPr>
        <w:t>無</w:t>
      </w:r>
      <w:r w:rsidR="00555942">
        <w:rPr>
          <w:rFonts w:ascii="標楷體" w:eastAsia="標楷體" w:hAnsi="標楷體" w:hint="eastAsia"/>
          <w:bCs/>
          <w:color w:val="FF0000"/>
          <w:kern w:val="0"/>
          <w:highlight w:val="yellow"/>
        </w:rPr>
        <w:t>」</w:t>
      </w:r>
      <w:r w:rsidRPr="00043A1E">
        <w:rPr>
          <w:rFonts w:ascii="標楷體" w:eastAsia="標楷體" w:hAnsi="標楷體" w:hint="eastAsia"/>
          <w:szCs w:val="22"/>
        </w:rPr>
        <w:t>，是名</w:t>
      </w:r>
      <w:r w:rsidR="00555942">
        <w:rPr>
          <w:rFonts w:ascii="標楷體" w:eastAsia="標楷體" w:hAnsi="標楷體" w:hint="eastAsia"/>
          <w:bCs/>
          <w:color w:val="FF0000"/>
          <w:kern w:val="0"/>
          <w:highlight w:val="yellow"/>
        </w:rPr>
        <w:t>「</w:t>
      </w:r>
      <w:r w:rsidRPr="00043A1E">
        <w:rPr>
          <w:rFonts w:ascii="標楷體" w:eastAsia="標楷體" w:hAnsi="標楷體" w:hint="eastAsia"/>
          <w:szCs w:val="22"/>
        </w:rPr>
        <w:t>非一切智人</w:t>
      </w:r>
      <w:r w:rsidR="00555942">
        <w:rPr>
          <w:rFonts w:ascii="標楷體" w:eastAsia="標楷體" w:hAnsi="標楷體" w:hint="eastAsia"/>
          <w:bCs/>
          <w:color w:val="FF0000"/>
          <w:kern w:val="0"/>
          <w:highlight w:val="yellow"/>
        </w:rPr>
        <w:t>」</w:t>
      </w:r>
      <w:r w:rsidRPr="00043A1E">
        <w:rPr>
          <w:rFonts w:ascii="標楷體" w:eastAsia="標楷體" w:hAnsi="標楷體" w:hint="eastAsia"/>
          <w:szCs w:val="22"/>
        </w:rPr>
        <w:t>；一切智人</w:t>
      </w:r>
      <w:r w:rsidR="00A9704C">
        <w:rPr>
          <w:rFonts w:ascii="標楷體" w:eastAsia="標楷體" w:hAnsi="標楷體" w:hint="eastAsia"/>
          <w:color w:val="FF0000"/>
          <w:kern w:val="0"/>
          <w:highlight w:val="yellow"/>
        </w:rPr>
        <w:t>──</w:t>
      </w:r>
      <w:r w:rsidRPr="00043A1E">
        <w:rPr>
          <w:rFonts w:ascii="標楷體" w:eastAsia="標楷體" w:hAnsi="標楷體" w:hint="eastAsia"/>
          <w:szCs w:val="22"/>
        </w:rPr>
        <w:t>有言</w:t>
      </w:r>
      <w:r w:rsidR="00555942">
        <w:rPr>
          <w:rFonts w:ascii="標楷體" w:eastAsia="標楷體" w:hAnsi="標楷體" w:hint="eastAsia"/>
          <w:bCs/>
          <w:color w:val="FF0000"/>
          <w:kern w:val="0"/>
          <w:highlight w:val="yellow"/>
        </w:rPr>
        <w:t>「</w:t>
      </w:r>
      <w:r w:rsidRPr="00043A1E">
        <w:rPr>
          <w:rFonts w:ascii="標楷體" w:eastAsia="標楷體" w:hAnsi="標楷體" w:hint="eastAsia"/>
          <w:szCs w:val="22"/>
        </w:rPr>
        <w:t>有</w:t>
      </w:r>
      <w:r w:rsidR="00555942">
        <w:rPr>
          <w:rFonts w:ascii="標楷體" w:eastAsia="標楷體" w:hAnsi="標楷體" w:hint="eastAsia"/>
          <w:bCs/>
          <w:color w:val="FF0000"/>
          <w:kern w:val="0"/>
          <w:highlight w:val="yellow"/>
        </w:rPr>
        <w:t>」</w:t>
      </w:r>
      <w:r w:rsidR="005E6D60">
        <w:rPr>
          <w:rFonts w:ascii="標楷體" w:eastAsia="標楷體" w:hAnsi="標楷體" w:hint="eastAsia"/>
          <w:color w:val="FF0000"/>
          <w:szCs w:val="22"/>
          <w:highlight w:val="yellow"/>
        </w:rPr>
        <w:t>、</w:t>
      </w:r>
      <w:r w:rsidRPr="00043A1E">
        <w:rPr>
          <w:rFonts w:ascii="標楷體" w:eastAsia="標楷體" w:hAnsi="標楷體" w:hint="eastAsia"/>
          <w:szCs w:val="22"/>
        </w:rPr>
        <w:t>無言</w:t>
      </w:r>
      <w:r w:rsidR="00555942">
        <w:rPr>
          <w:rFonts w:ascii="標楷體" w:eastAsia="標楷體" w:hAnsi="標楷體" w:hint="eastAsia"/>
          <w:bCs/>
          <w:color w:val="FF0000"/>
          <w:kern w:val="0"/>
          <w:highlight w:val="yellow"/>
        </w:rPr>
        <w:t>「</w:t>
      </w:r>
      <w:r w:rsidRPr="00043A1E">
        <w:rPr>
          <w:rFonts w:ascii="標楷體" w:eastAsia="標楷體" w:hAnsi="標楷體" w:hint="eastAsia"/>
          <w:szCs w:val="22"/>
        </w:rPr>
        <w:t>無</w:t>
      </w:r>
      <w:r w:rsidR="00555942">
        <w:rPr>
          <w:rFonts w:ascii="標楷體" w:eastAsia="標楷體" w:hAnsi="標楷體" w:hint="eastAsia"/>
          <w:bCs/>
          <w:color w:val="FF0000"/>
          <w:kern w:val="0"/>
          <w:highlight w:val="yellow"/>
        </w:rPr>
        <w:t>」</w:t>
      </w:r>
      <w:r w:rsidRPr="00043A1E">
        <w:rPr>
          <w:rFonts w:ascii="標楷體" w:eastAsia="標楷體" w:hAnsi="標楷體" w:hint="eastAsia"/>
          <w:szCs w:val="22"/>
        </w:rPr>
        <w:t>。佛</w:t>
      </w:r>
      <w:r w:rsidR="005E6D60">
        <w:rPr>
          <w:rFonts w:ascii="標楷體" w:eastAsia="標楷體" w:hAnsi="標楷體" w:hint="eastAsia"/>
          <w:color w:val="FF0000"/>
          <w:kern w:val="0"/>
          <w:highlight w:val="yellow"/>
        </w:rPr>
        <w:t>──</w:t>
      </w:r>
      <w:r w:rsidRPr="00043A1E">
        <w:rPr>
          <w:rFonts w:ascii="標楷體" w:eastAsia="標楷體" w:hAnsi="標楷體" w:hint="eastAsia"/>
          <w:szCs w:val="22"/>
        </w:rPr>
        <w:t>有不言</w:t>
      </w:r>
      <w:r w:rsidR="00555942">
        <w:rPr>
          <w:rFonts w:ascii="標楷體" w:eastAsia="標楷體" w:hAnsi="標楷體" w:hint="eastAsia"/>
          <w:bCs/>
          <w:color w:val="FF0000"/>
          <w:kern w:val="0"/>
          <w:highlight w:val="yellow"/>
        </w:rPr>
        <w:t>「</w:t>
      </w:r>
      <w:r w:rsidRPr="00043A1E">
        <w:rPr>
          <w:rFonts w:ascii="標楷體" w:eastAsia="標楷體" w:hAnsi="標楷體" w:hint="eastAsia"/>
          <w:szCs w:val="22"/>
        </w:rPr>
        <w:t>無</w:t>
      </w:r>
      <w:r w:rsidR="00555942">
        <w:rPr>
          <w:rFonts w:ascii="標楷體" w:eastAsia="標楷體" w:hAnsi="標楷體" w:hint="eastAsia"/>
          <w:bCs/>
          <w:color w:val="FF0000"/>
          <w:kern w:val="0"/>
          <w:highlight w:val="yellow"/>
        </w:rPr>
        <w:t>」</w:t>
      </w:r>
      <w:r w:rsidRPr="00043A1E">
        <w:rPr>
          <w:rFonts w:ascii="標楷體" w:eastAsia="標楷體" w:hAnsi="標楷體" w:hint="eastAsia"/>
          <w:szCs w:val="22"/>
        </w:rPr>
        <w:t>，無不言</w:t>
      </w:r>
      <w:r w:rsidR="00555942">
        <w:rPr>
          <w:rFonts w:ascii="標楷體" w:eastAsia="標楷體" w:hAnsi="標楷體" w:hint="eastAsia"/>
          <w:bCs/>
          <w:color w:val="FF0000"/>
          <w:kern w:val="0"/>
          <w:highlight w:val="yellow"/>
        </w:rPr>
        <w:t>「</w:t>
      </w:r>
      <w:r w:rsidRPr="00043A1E">
        <w:rPr>
          <w:rFonts w:ascii="標楷體" w:eastAsia="標楷體" w:hAnsi="標楷體" w:hint="eastAsia"/>
          <w:szCs w:val="22"/>
        </w:rPr>
        <w:t>有</w:t>
      </w:r>
      <w:r w:rsidR="00555942">
        <w:rPr>
          <w:rFonts w:ascii="標楷體" w:eastAsia="標楷體" w:hAnsi="標楷體" w:hint="eastAsia"/>
          <w:bCs/>
          <w:color w:val="FF0000"/>
          <w:kern w:val="0"/>
          <w:highlight w:val="yellow"/>
        </w:rPr>
        <w:t>」</w:t>
      </w:r>
      <w:r w:rsidRPr="00043A1E">
        <w:rPr>
          <w:rFonts w:ascii="標楷體" w:eastAsia="標楷體" w:hAnsi="標楷體" w:hint="eastAsia"/>
          <w:szCs w:val="22"/>
        </w:rPr>
        <w:t>，但說諸法實相，云何不名</w:t>
      </w:r>
      <w:r w:rsidR="00555942">
        <w:rPr>
          <w:rFonts w:ascii="標楷體" w:eastAsia="標楷體" w:hAnsi="標楷體" w:hint="eastAsia"/>
          <w:bCs/>
          <w:color w:val="FF0000"/>
          <w:kern w:val="0"/>
          <w:highlight w:val="yellow"/>
        </w:rPr>
        <w:t>「</w:t>
      </w:r>
      <w:r w:rsidRPr="00043A1E">
        <w:rPr>
          <w:rFonts w:ascii="標楷體" w:eastAsia="標楷體" w:hAnsi="標楷體" w:hint="eastAsia"/>
          <w:szCs w:val="22"/>
        </w:rPr>
        <w:t>一切智人</w:t>
      </w:r>
      <w:r w:rsidR="00555942">
        <w:rPr>
          <w:rFonts w:ascii="標楷體" w:eastAsia="標楷體" w:hAnsi="標楷體" w:hint="eastAsia"/>
          <w:bCs/>
          <w:color w:val="FF0000"/>
          <w:kern w:val="0"/>
          <w:highlight w:val="yellow"/>
        </w:rPr>
        <w:t>」</w:t>
      </w:r>
      <w:r w:rsidRPr="00043A1E">
        <w:rPr>
          <w:rFonts w:ascii="標楷體" w:eastAsia="標楷體" w:hAnsi="標楷體" w:hint="eastAsia"/>
          <w:szCs w:val="22"/>
        </w:rPr>
        <w:t>？譬如日不作高下，亦不作平地，等一而照</w:t>
      </w:r>
      <w:r w:rsidR="005E6D60">
        <w:rPr>
          <w:rFonts w:ascii="標楷體" w:eastAsia="標楷體" w:hAnsi="標楷體" w:hint="eastAsia"/>
          <w:color w:val="FF0000"/>
          <w:spacing w:val="-4"/>
          <w:kern w:val="0"/>
          <w:highlight w:val="yellow"/>
        </w:rPr>
        <w:t>；</w:t>
      </w:r>
      <w:r w:rsidRPr="00043A1E">
        <w:rPr>
          <w:rFonts w:ascii="標楷體" w:eastAsia="標楷體" w:hAnsi="標楷體" w:hint="eastAsia"/>
          <w:szCs w:val="22"/>
        </w:rPr>
        <w:t>佛亦如是，非令有作無，非令無作有，常說實</w:t>
      </w:r>
      <w:r w:rsidR="00CE0AF8" w:rsidRPr="00CE0AF8">
        <w:rPr>
          <w:rFonts w:ascii="標楷體" w:eastAsia="標楷體" w:hAnsi="標楷體" w:hint="eastAsia"/>
          <w:color w:val="FF0000"/>
          <w:szCs w:val="22"/>
          <w:highlight w:val="yellow"/>
        </w:rPr>
        <w:t>，</w:t>
      </w:r>
      <w:r w:rsidRPr="00043A1E">
        <w:rPr>
          <w:rFonts w:ascii="標楷體" w:eastAsia="標楷體" w:hAnsi="標楷體" w:hint="eastAsia"/>
          <w:szCs w:val="22"/>
        </w:rPr>
        <w:t>智慧光照諸法。如一道人問佛言：</w:t>
      </w:r>
      <w:r w:rsidR="00F140C4">
        <w:rPr>
          <w:rFonts w:ascii="標楷體" w:eastAsia="標楷體" w:hAnsi="標楷體" w:hint="eastAsia"/>
          <w:szCs w:val="22"/>
        </w:rPr>
        <w:t>「</w:t>
      </w:r>
      <w:r w:rsidRPr="00043A1E">
        <w:rPr>
          <w:rFonts w:ascii="標楷體" w:eastAsia="標楷體" w:hAnsi="標楷體" w:hint="eastAsia"/>
          <w:szCs w:val="22"/>
        </w:rPr>
        <w:t>大德！十二因緣</w:t>
      </w:r>
      <w:r w:rsidR="005E6D60">
        <w:rPr>
          <w:rFonts w:ascii="標楷體" w:eastAsia="標楷體" w:hAnsi="標楷體" w:hint="eastAsia"/>
          <w:color w:val="FF0000"/>
          <w:kern w:val="0"/>
          <w:highlight w:val="yellow"/>
        </w:rPr>
        <w:t>，</w:t>
      </w:r>
      <w:r w:rsidRPr="00043A1E">
        <w:rPr>
          <w:rFonts w:ascii="標楷體" w:eastAsia="標楷體" w:hAnsi="標楷體" w:hint="eastAsia"/>
          <w:szCs w:val="22"/>
        </w:rPr>
        <w:t>佛作耶？他作耶？</w:t>
      </w:r>
      <w:r w:rsidR="00F140C4">
        <w:rPr>
          <w:rFonts w:ascii="標楷體" w:eastAsia="標楷體" w:hAnsi="標楷體" w:hint="eastAsia"/>
          <w:szCs w:val="22"/>
        </w:rPr>
        <w:t>」</w:t>
      </w:r>
      <w:r w:rsidRPr="00043A1E">
        <w:rPr>
          <w:rFonts w:ascii="標楷體" w:eastAsia="標楷體" w:hAnsi="標楷體" w:hint="eastAsia"/>
          <w:szCs w:val="22"/>
        </w:rPr>
        <w:t>佛言：</w:t>
      </w:r>
      <w:r w:rsidR="00F140C4">
        <w:rPr>
          <w:rFonts w:ascii="標楷體" w:eastAsia="標楷體" w:hAnsi="標楷體" w:hint="eastAsia"/>
          <w:szCs w:val="22"/>
        </w:rPr>
        <w:t>「</w:t>
      </w:r>
      <w:r w:rsidRPr="00043A1E">
        <w:rPr>
          <w:rFonts w:ascii="標楷體" w:eastAsia="標楷體" w:hAnsi="標楷體" w:hint="eastAsia"/>
          <w:szCs w:val="22"/>
        </w:rPr>
        <w:t>我不作十二因緣，餘人亦不作。有佛</w:t>
      </w:r>
      <w:r w:rsidR="005E6D60" w:rsidRPr="005E6D60">
        <w:rPr>
          <w:rFonts w:ascii="標楷體" w:eastAsia="標楷體" w:hAnsi="標楷體" w:hint="eastAsia"/>
          <w:color w:val="FF0000"/>
          <w:szCs w:val="22"/>
          <w:highlight w:val="yellow"/>
        </w:rPr>
        <w:t>、</w:t>
      </w:r>
      <w:r w:rsidRPr="00043A1E">
        <w:rPr>
          <w:rFonts w:ascii="標楷體" w:eastAsia="標楷體" w:hAnsi="標楷體" w:hint="eastAsia"/>
          <w:szCs w:val="22"/>
        </w:rPr>
        <w:t>無佛，生因緣老死，是法常定住。</w:t>
      </w:r>
      <w:r w:rsidR="00F140C4">
        <w:rPr>
          <w:rFonts w:ascii="標楷體" w:eastAsia="標楷體" w:hAnsi="標楷體" w:hint="eastAsia"/>
          <w:szCs w:val="22"/>
        </w:rPr>
        <w:t>」</w:t>
      </w:r>
      <w:r w:rsidRPr="00043A1E">
        <w:rPr>
          <w:rFonts w:ascii="標楷體" w:eastAsia="標楷體" w:hAnsi="標楷體" w:hint="eastAsia"/>
          <w:szCs w:val="22"/>
        </w:rPr>
        <w:t>佛能說</w:t>
      </w:r>
      <w:r w:rsidR="005E6D60">
        <w:rPr>
          <w:rFonts w:ascii="標楷體" w:eastAsia="標楷體" w:hAnsi="標楷體" w:hint="eastAsia"/>
          <w:bCs/>
          <w:color w:val="FF0000"/>
          <w:kern w:val="0"/>
          <w:highlight w:val="yellow"/>
        </w:rPr>
        <w:t>「</w:t>
      </w:r>
      <w:r w:rsidRPr="00043A1E">
        <w:rPr>
          <w:rFonts w:ascii="標楷體" w:eastAsia="標楷體" w:hAnsi="標楷體" w:hint="eastAsia"/>
          <w:szCs w:val="22"/>
        </w:rPr>
        <w:t>是生因緣老死</w:t>
      </w:r>
      <w:r w:rsidR="00555942">
        <w:rPr>
          <w:rFonts w:ascii="標楷體" w:eastAsia="標楷體" w:hAnsi="標楷體" w:hint="eastAsia"/>
          <w:bCs/>
          <w:color w:val="FF0000"/>
          <w:kern w:val="0"/>
          <w:highlight w:val="yellow"/>
        </w:rPr>
        <w:t>」</w:t>
      </w:r>
      <w:r w:rsidRPr="00043A1E">
        <w:rPr>
          <w:rFonts w:ascii="標楷體" w:eastAsia="標楷體" w:hAnsi="標楷體" w:hint="eastAsia"/>
          <w:szCs w:val="22"/>
        </w:rPr>
        <w:t>乃至</w:t>
      </w:r>
      <w:r w:rsidR="00555942">
        <w:rPr>
          <w:rFonts w:ascii="標楷體" w:eastAsia="標楷體" w:hAnsi="標楷體" w:hint="eastAsia"/>
          <w:bCs/>
          <w:color w:val="FF0000"/>
          <w:kern w:val="0"/>
          <w:highlight w:val="yellow"/>
        </w:rPr>
        <w:t>「</w:t>
      </w:r>
      <w:r w:rsidRPr="00043A1E">
        <w:rPr>
          <w:rFonts w:ascii="標楷體" w:eastAsia="標楷體" w:hAnsi="標楷體" w:hint="eastAsia"/>
          <w:szCs w:val="22"/>
        </w:rPr>
        <w:t>無明因緣諸行</w:t>
      </w:r>
      <w:r w:rsidR="005E6D60">
        <w:rPr>
          <w:rFonts w:ascii="標楷體" w:eastAsia="標楷體" w:hAnsi="標楷體" w:hint="eastAsia"/>
          <w:bCs/>
          <w:color w:val="FF0000"/>
          <w:kern w:val="0"/>
          <w:highlight w:val="yellow"/>
        </w:rPr>
        <w:t>」</w:t>
      </w:r>
      <w:r w:rsidRPr="00043A1E">
        <w:rPr>
          <w:rFonts w:ascii="標楷體" w:eastAsia="標楷體" w:hAnsi="標楷體" w:hint="eastAsia"/>
          <w:szCs w:val="22"/>
        </w:rPr>
        <w:t>。</w:t>
      </w:r>
    </w:p>
    <w:p w:rsidR="00157EF6" w:rsidRPr="00043A1E" w:rsidRDefault="00157EF6" w:rsidP="004849F8">
      <w:pPr>
        <w:pStyle w:val="a5"/>
        <w:ind w:leftChars="580" w:left="2052" w:hangingChars="300" w:hanging="660"/>
        <w:jc w:val="both"/>
        <w:rPr>
          <w:rFonts w:ascii="標楷體" w:eastAsia="標楷體" w:hAnsi="標楷體"/>
          <w:szCs w:val="22"/>
        </w:rPr>
      </w:pPr>
      <w:r w:rsidRPr="00043A1E">
        <w:rPr>
          <w:rFonts w:ascii="標楷體" w:eastAsia="標楷體" w:hAnsi="標楷體" w:hint="eastAsia"/>
          <w:szCs w:val="22"/>
        </w:rPr>
        <w:t>復次，十四難中</w:t>
      </w:r>
      <w:r w:rsidR="005E6D60">
        <w:rPr>
          <w:rFonts w:ascii="標楷體" w:eastAsia="標楷體" w:hAnsi="標楷體" w:hint="eastAsia"/>
          <w:color w:val="FF0000"/>
          <w:kern w:val="0"/>
          <w:highlight w:val="yellow"/>
        </w:rPr>
        <w:t>，</w:t>
      </w:r>
      <w:r w:rsidRPr="00043A1E">
        <w:rPr>
          <w:rFonts w:ascii="標楷體" w:eastAsia="標楷體" w:hAnsi="標楷體" w:hint="eastAsia"/>
          <w:szCs w:val="22"/>
        </w:rPr>
        <w:t>若答</w:t>
      </w:r>
      <w:r w:rsidR="005E6D60">
        <w:rPr>
          <w:rFonts w:ascii="標楷體" w:eastAsia="標楷體" w:hAnsi="標楷體" w:hint="eastAsia"/>
          <w:color w:val="FF0000"/>
          <w:kern w:val="0"/>
          <w:highlight w:val="yellow"/>
        </w:rPr>
        <w:t>，</w:t>
      </w:r>
      <w:r w:rsidRPr="00043A1E">
        <w:rPr>
          <w:rFonts w:ascii="標楷體" w:eastAsia="標楷體" w:hAnsi="標楷體" w:hint="eastAsia"/>
          <w:szCs w:val="22"/>
        </w:rPr>
        <w:t>有過罪。若人問：</w:t>
      </w:r>
      <w:r w:rsidR="00F140C4">
        <w:rPr>
          <w:rFonts w:ascii="標楷體" w:eastAsia="標楷體" w:hAnsi="標楷體" w:hint="eastAsia"/>
          <w:szCs w:val="22"/>
        </w:rPr>
        <w:t>「</w:t>
      </w:r>
      <w:r w:rsidRPr="00043A1E">
        <w:rPr>
          <w:rFonts w:ascii="標楷體" w:eastAsia="標楷體" w:hAnsi="標楷體" w:hint="eastAsia"/>
          <w:szCs w:val="22"/>
        </w:rPr>
        <w:t>石女、黃門兒，長短好醜何類？</w:t>
      </w:r>
      <w:r w:rsidR="00F140C4">
        <w:rPr>
          <w:rFonts w:ascii="標楷體" w:eastAsia="標楷體" w:hAnsi="標楷體" w:hint="eastAsia"/>
          <w:szCs w:val="22"/>
        </w:rPr>
        <w:t>」</w:t>
      </w:r>
      <w:r w:rsidRPr="00043A1E">
        <w:rPr>
          <w:rFonts w:ascii="標楷體" w:eastAsia="標楷體" w:hAnsi="標楷體" w:hint="eastAsia"/>
          <w:szCs w:val="22"/>
        </w:rPr>
        <w:t>此不應答，以無兒故。</w:t>
      </w:r>
    </w:p>
    <w:p w:rsidR="00157EF6" w:rsidRPr="00043A1E" w:rsidRDefault="00157EF6" w:rsidP="00AA120F">
      <w:pPr>
        <w:pStyle w:val="a5"/>
        <w:ind w:leftChars="580" w:left="1392"/>
        <w:jc w:val="both"/>
        <w:rPr>
          <w:rFonts w:ascii="標楷體" w:eastAsia="標楷體" w:hAnsi="標楷體"/>
          <w:szCs w:val="22"/>
        </w:rPr>
      </w:pPr>
      <w:r w:rsidRPr="00043A1E">
        <w:rPr>
          <w:rFonts w:ascii="標楷體" w:eastAsia="標楷體" w:hAnsi="標楷體" w:hint="eastAsia"/>
          <w:szCs w:val="22"/>
        </w:rPr>
        <w:t>復次，此十四難，是邪見</w:t>
      </w:r>
      <w:r w:rsidR="00555942">
        <w:rPr>
          <w:rFonts w:ascii="標楷體" w:eastAsia="標楷體" w:hAnsi="標楷體" w:hint="eastAsia"/>
          <w:color w:val="FF0000"/>
          <w:szCs w:val="22"/>
          <w:highlight w:val="yellow"/>
        </w:rPr>
        <w:t>，</w:t>
      </w:r>
      <w:r w:rsidRPr="00043A1E">
        <w:rPr>
          <w:rFonts w:ascii="標楷體" w:eastAsia="標楷體" w:hAnsi="標楷體" w:hint="eastAsia"/>
          <w:szCs w:val="22"/>
        </w:rPr>
        <w:t>非真實</w:t>
      </w:r>
      <w:r w:rsidR="00555942">
        <w:rPr>
          <w:rFonts w:ascii="標楷體" w:eastAsia="標楷體" w:hAnsi="標楷體" w:hint="eastAsia"/>
          <w:color w:val="FF0000"/>
          <w:szCs w:val="22"/>
          <w:highlight w:val="yellow"/>
        </w:rPr>
        <w:t>；</w:t>
      </w:r>
      <w:r w:rsidRPr="00043A1E">
        <w:rPr>
          <w:rFonts w:ascii="標楷體" w:eastAsia="標楷體" w:hAnsi="標楷體" w:hint="eastAsia"/>
          <w:szCs w:val="22"/>
        </w:rPr>
        <w:t>佛常以真實，以是故，置不答。</w:t>
      </w:r>
    </w:p>
    <w:p w:rsidR="00157EF6" w:rsidRPr="00043A1E" w:rsidRDefault="00157EF6" w:rsidP="004849F8">
      <w:pPr>
        <w:pStyle w:val="a5"/>
        <w:ind w:leftChars="580" w:left="2052" w:hangingChars="300" w:hanging="660"/>
        <w:jc w:val="both"/>
        <w:rPr>
          <w:rFonts w:ascii="標楷體" w:eastAsia="標楷體" w:hAnsi="標楷體"/>
          <w:szCs w:val="22"/>
        </w:rPr>
      </w:pPr>
      <w:r w:rsidRPr="00043A1E">
        <w:rPr>
          <w:rFonts w:ascii="標楷體" w:eastAsia="標楷體" w:hAnsi="標楷體" w:hint="eastAsia"/>
          <w:szCs w:val="22"/>
        </w:rPr>
        <w:t>復次，置不答，是為答。有四種答：一、決了答，如</w:t>
      </w:r>
      <w:r w:rsidR="00CE0AF8" w:rsidRPr="00CE0AF8">
        <w:rPr>
          <w:rFonts w:ascii="標楷體" w:eastAsia="標楷體" w:hAnsi="標楷體" w:hint="eastAsia"/>
          <w:color w:val="FF0000"/>
          <w:szCs w:val="22"/>
          <w:highlight w:val="yellow"/>
        </w:rPr>
        <w:t>「</w:t>
      </w:r>
      <w:r w:rsidRPr="00043A1E">
        <w:rPr>
          <w:rFonts w:ascii="標楷體" w:eastAsia="標楷體" w:hAnsi="標楷體" w:hint="eastAsia"/>
          <w:szCs w:val="22"/>
        </w:rPr>
        <w:t>佛</w:t>
      </w:r>
      <w:r w:rsidR="00CE0AF8" w:rsidRPr="00CE0AF8">
        <w:rPr>
          <w:rFonts w:ascii="標楷體" w:eastAsia="標楷體" w:hAnsi="標楷體" w:hint="eastAsia"/>
          <w:color w:val="FF0000"/>
          <w:szCs w:val="22"/>
          <w:highlight w:val="yellow"/>
        </w:rPr>
        <w:t>，</w:t>
      </w:r>
      <w:r w:rsidRPr="00043A1E">
        <w:rPr>
          <w:rFonts w:ascii="標楷體" w:eastAsia="標楷體" w:hAnsi="標楷體" w:hint="eastAsia"/>
          <w:szCs w:val="22"/>
        </w:rPr>
        <w:t>第一</w:t>
      </w:r>
      <w:r w:rsidR="00CE0AF8" w:rsidRPr="00CE0AF8">
        <w:rPr>
          <w:rFonts w:ascii="標楷體" w:eastAsia="標楷體" w:hAnsi="標楷體" w:hint="eastAsia"/>
          <w:color w:val="FF0000"/>
          <w:szCs w:val="22"/>
          <w:highlight w:val="yellow"/>
        </w:rPr>
        <w:t>」、「</w:t>
      </w:r>
      <w:r w:rsidRPr="00043A1E">
        <w:rPr>
          <w:rFonts w:ascii="標楷體" w:eastAsia="標楷體" w:hAnsi="標楷體" w:hint="eastAsia"/>
          <w:szCs w:val="22"/>
        </w:rPr>
        <w:t>涅槃</w:t>
      </w:r>
      <w:r w:rsidR="00CE0AF8" w:rsidRPr="00CE0AF8">
        <w:rPr>
          <w:rFonts w:ascii="標楷體" w:eastAsia="標楷體" w:hAnsi="標楷體" w:hint="eastAsia"/>
          <w:color w:val="FF0000"/>
          <w:szCs w:val="22"/>
          <w:highlight w:val="yellow"/>
        </w:rPr>
        <w:t>，</w:t>
      </w:r>
      <w:r w:rsidRPr="00043A1E">
        <w:rPr>
          <w:rFonts w:ascii="標楷體" w:eastAsia="標楷體" w:hAnsi="標楷體" w:hint="eastAsia"/>
          <w:szCs w:val="22"/>
        </w:rPr>
        <w:t>安隱</w:t>
      </w:r>
      <w:r w:rsidR="00CE0AF8" w:rsidRPr="00CE0AF8">
        <w:rPr>
          <w:rFonts w:ascii="標楷體" w:eastAsia="標楷體" w:hAnsi="標楷體" w:hint="eastAsia"/>
          <w:color w:val="FF0000"/>
          <w:szCs w:val="22"/>
          <w:highlight w:val="yellow"/>
        </w:rPr>
        <w:t>」；</w:t>
      </w:r>
      <w:r w:rsidRPr="00043A1E">
        <w:rPr>
          <w:rFonts w:ascii="標楷體" w:eastAsia="標楷體" w:hAnsi="標楷體" w:hint="eastAsia"/>
          <w:szCs w:val="22"/>
        </w:rPr>
        <w:t>二、解義答</w:t>
      </w:r>
      <w:r w:rsidR="00CE0AF8" w:rsidRPr="00CE0AF8">
        <w:rPr>
          <w:rFonts w:ascii="標楷體" w:eastAsia="標楷體" w:hAnsi="標楷體" w:hint="eastAsia"/>
          <w:color w:val="FF0000"/>
          <w:szCs w:val="22"/>
          <w:highlight w:val="yellow"/>
        </w:rPr>
        <w:t>；</w:t>
      </w:r>
      <w:r w:rsidRPr="00043A1E">
        <w:rPr>
          <w:rFonts w:ascii="標楷體" w:eastAsia="標楷體" w:hAnsi="標楷體" w:hint="eastAsia"/>
          <w:szCs w:val="22"/>
        </w:rPr>
        <w:t>三、反問答</w:t>
      </w:r>
      <w:r w:rsidR="00CE0AF8" w:rsidRPr="00CE0AF8">
        <w:rPr>
          <w:rFonts w:ascii="標楷體" w:eastAsia="標楷體" w:hAnsi="標楷體" w:hint="eastAsia"/>
          <w:color w:val="FF0000"/>
          <w:szCs w:val="22"/>
          <w:highlight w:val="yellow"/>
        </w:rPr>
        <w:t>；</w:t>
      </w:r>
      <w:r w:rsidRPr="00043A1E">
        <w:rPr>
          <w:rFonts w:ascii="標楷體" w:eastAsia="標楷體" w:hAnsi="標楷體" w:hint="eastAsia"/>
          <w:szCs w:val="22"/>
        </w:rPr>
        <w:t>四、置答。此中佛以置答。</w:t>
      </w:r>
    </w:p>
    <w:p w:rsidR="00157EF6" w:rsidRPr="00043A1E" w:rsidRDefault="00157EF6" w:rsidP="00AA120F">
      <w:pPr>
        <w:pStyle w:val="a5"/>
        <w:ind w:leftChars="80" w:left="731" w:hangingChars="245" w:hanging="539"/>
        <w:jc w:val="both"/>
        <w:rPr>
          <w:szCs w:val="22"/>
        </w:rPr>
      </w:pPr>
      <w:r w:rsidRPr="00043A1E">
        <w:rPr>
          <w:rFonts w:hint="eastAsia"/>
          <w:szCs w:val="22"/>
        </w:rPr>
        <w:t>（</w:t>
      </w:r>
      <w:r w:rsidRPr="00761EF3">
        <w:rPr>
          <w:rFonts w:hint="eastAsia"/>
          <w:szCs w:val="22"/>
        </w:rPr>
        <w:t>4</w:t>
      </w:r>
      <w:r w:rsidRPr="00043A1E">
        <w:rPr>
          <w:rFonts w:hint="eastAsia"/>
          <w:szCs w:val="22"/>
        </w:rPr>
        <w:t>）《大智度論》卷</w:t>
      </w:r>
      <w:r w:rsidRPr="00761EF3">
        <w:rPr>
          <w:rFonts w:hint="eastAsia"/>
          <w:szCs w:val="22"/>
        </w:rPr>
        <w:t>26</w:t>
      </w:r>
      <w:r w:rsidR="005C0D01">
        <w:rPr>
          <w:rFonts w:hint="eastAsia"/>
          <w:color w:val="FF0000"/>
          <w:szCs w:val="22"/>
          <w:highlight w:val="yellow"/>
        </w:rPr>
        <w:t>釋</w:t>
      </w:r>
      <w:r w:rsidRPr="00043A1E">
        <w:rPr>
          <w:rFonts w:hint="eastAsia"/>
          <w:szCs w:val="22"/>
        </w:rPr>
        <w:t>〈</w:t>
      </w:r>
      <w:r w:rsidRPr="00761EF3">
        <w:rPr>
          <w:rFonts w:hint="eastAsia"/>
          <w:szCs w:val="22"/>
        </w:rPr>
        <w:t>1</w:t>
      </w:r>
      <w:r w:rsidRPr="00043A1E">
        <w:rPr>
          <w:rFonts w:hint="eastAsia"/>
          <w:szCs w:val="22"/>
        </w:rPr>
        <w:t xml:space="preserve"> </w:t>
      </w:r>
      <w:r w:rsidRPr="00043A1E">
        <w:rPr>
          <w:rFonts w:hint="eastAsia"/>
          <w:szCs w:val="22"/>
        </w:rPr>
        <w:t>序品〉（大正</w:t>
      </w:r>
      <w:r w:rsidRPr="00761EF3">
        <w:rPr>
          <w:rFonts w:hint="eastAsia"/>
          <w:szCs w:val="22"/>
        </w:rPr>
        <w:t>25</w:t>
      </w:r>
      <w:r w:rsidRPr="00043A1E">
        <w:rPr>
          <w:rFonts w:hint="eastAsia"/>
          <w:szCs w:val="22"/>
        </w:rPr>
        <w:t>，</w:t>
      </w:r>
      <w:r w:rsidRPr="00761EF3">
        <w:rPr>
          <w:rFonts w:hint="eastAsia"/>
          <w:szCs w:val="22"/>
        </w:rPr>
        <w:t>253b13</w:t>
      </w:r>
      <w:r w:rsidRPr="00043A1E">
        <w:rPr>
          <w:rFonts w:hint="eastAsia"/>
          <w:szCs w:val="22"/>
        </w:rPr>
        <w:t>-</w:t>
      </w:r>
      <w:r w:rsidRPr="00761EF3">
        <w:rPr>
          <w:rFonts w:hint="eastAsia"/>
          <w:szCs w:val="22"/>
        </w:rPr>
        <w:t>c6</w:t>
      </w:r>
      <w:r w:rsidRPr="00043A1E">
        <w:rPr>
          <w:rFonts w:hint="eastAsia"/>
          <w:szCs w:val="22"/>
        </w:rPr>
        <w:t>）：</w:t>
      </w:r>
    </w:p>
    <w:p w:rsidR="00157EF6" w:rsidRPr="00043A1E" w:rsidRDefault="00157EF6" w:rsidP="00AA120F">
      <w:pPr>
        <w:pStyle w:val="a5"/>
        <w:ind w:leftChars="305" w:left="732"/>
        <w:jc w:val="both"/>
        <w:rPr>
          <w:rFonts w:ascii="標楷體" w:eastAsia="標楷體" w:hAnsi="標楷體"/>
          <w:szCs w:val="22"/>
        </w:rPr>
      </w:pPr>
      <w:r w:rsidRPr="00043A1E">
        <w:rPr>
          <w:rFonts w:ascii="標楷體" w:eastAsia="標楷體" w:hAnsi="標楷體" w:hint="eastAsia"/>
          <w:szCs w:val="22"/>
        </w:rPr>
        <w:t>「佛不答十四難」者，佛有四種答：一者、定答，二者、分別義答，三者、反問答，四者、置答。此十四難，法應置答。</w:t>
      </w:r>
    </w:p>
    <w:p w:rsidR="00157EF6" w:rsidRPr="00043A1E" w:rsidRDefault="00157EF6" w:rsidP="00AA120F">
      <w:pPr>
        <w:pStyle w:val="a5"/>
        <w:ind w:leftChars="305" w:left="732"/>
        <w:jc w:val="both"/>
        <w:rPr>
          <w:rFonts w:ascii="標楷體" w:eastAsia="標楷體" w:hAnsi="標楷體"/>
          <w:szCs w:val="22"/>
        </w:rPr>
      </w:pPr>
      <w:r w:rsidRPr="00043A1E">
        <w:rPr>
          <w:rFonts w:ascii="標楷體" w:eastAsia="標楷體" w:hAnsi="標楷體" w:hint="eastAsia"/>
          <w:szCs w:val="22"/>
        </w:rPr>
        <w:t>又復，若有所利益事，則答；外道所問</w:t>
      </w:r>
      <w:r w:rsidR="005E6D60">
        <w:rPr>
          <w:rFonts w:ascii="標楷體" w:eastAsia="標楷體" w:hAnsi="標楷體" w:hint="eastAsia"/>
          <w:color w:val="FF0000"/>
          <w:kern w:val="0"/>
          <w:highlight w:val="yellow"/>
        </w:rPr>
        <w:t>，</w:t>
      </w:r>
      <w:r w:rsidRPr="00043A1E">
        <w:rPr>
          <w:rFonts w:ascii="標楷體" w:eastAsia="標楷體" w:hAnsi="標楷體" w:hint="eastAsia"/>
          <w:szCs w:val="22"/>
        </w:rPr>
        <w:t>不為涅槃，增長疑惑，故以置答。知必有所益者，分別為答；必無所益，置而不答。以是因緣故，知佛是一切智人。</w:t>
      </w:r>
    </w:p>
    <w:p w:rsidR="00157EF6" w:rsidRPr="00043A1E" w:rsidRDefault="00157EF6" w:rsidP="00AA120F">
      <w:pPr>
        <w:pStyle w:val="a5"/>
        <w:ind w:leftChars="305" w:left="732"/>
        <w:jc w:val="both"/>
        <w:rPr>
          <w:rFonts w:ascii="標楷體" w:eastAsia="標楷體" w:hAnsi="標楷體"/>
          <w:szCs w:val="22"/>
        </w:rPr>
      </w:pPr>
      <w:r w:rsidRPr="00043A1E">
        <w:rPr>
          <w:rFonts w:ascii="標楷體" w:eastAsia="標楷體" w:hAnsi="標楷體" w:hint="eastAsia"/>
          <w:szCs w:val="22"/>
        </w:rPr>
        <w:t>復次，若佛說三種法：有為法、無為法、不可說法，則為已說一切法竟。</w:t>
      </w:r>
    </w:p>
    <w:p w:rsidR="00157EF6" w:rsidRPr="00043A1E" w:rsidRDefault="00157EF6" w:rsidP="00AA120F">
      <w:pPr>
        <w:pStyle w:val="a5"/>
        <w:ind w:leftChars="305" w:left="732"/>
        <w:jc w:val="both"/>
        <w:rPr>
          <w:rFonts w:ascii="標楷體" w:eastAsia="標楷體" w:hAnsi="標楷體"/>
          <w:szCs w:val="22"/>
        </w:rPr>
      </w:pPr>
      <w:r w:rsidRPr="00043A1E">
        <w:rPr>
          <w:rFonts w:ascii="標楷體" w:eastAsia="標楷體" w:hAnsi="標楷體" w:hint="eastAsia"/>
          <w:szCs w:val="22"/>
        </w:rPr>
        <w:t>復次，是諸外道依止常見、依止滅見</w:t>
      </w:r>
      <w:r w:rsidRPr="005E6D60">
        <w:rPr>
          <w:rFonts w:ascii="標楷體" w:eastAsia="標楷體" w:hAnsi="標楷體" w:hint="eastAsia"/>
          <w:szCs w:val="22"/>
          <w:highlight w:val="yellow"/>
        </w:rPr>
        <w:t>故問</w:t>
      </w:r>
      <w:r w:rsidR="005E6D60">
        <w:rPr>
          <w:rFonts w:ascii="標楷體" w:eastAsia="標楷體" w:hAnsi="標楷體" w:hint="eastAsia"/>
          <w:color w:val="FF0000"/>
          <w:spacing w:val="-4"/>
          <w:kern w:val="0"/>
          <w:highlight w:val="yellow"/>
        </w:rPr>
        <w:t>；</w:t>
      </w:r>
      <w:r w:rsidRPr="00043A1E">
        <w:rPr>
          <w:rFonts w:ascii="標楷體" w:eastAsia="標楷體" w:hAnsi="標楷體" w:hint="eastAsia"/>
          <w:szCs w:val="22"/>
        </w:rPr>
        <w:t>以常、滅</w:t>
      </w:r>
      <w:r w:rsidR="005E6D60">
        <w:rPr>
          <w:rFonts w:ascii="標楷體" w:eastAsia="標楷體" w:hAnsi="標楷體" w:hint="eastAsia"/>
          <w:color w:val="FF0000"/>
          <w:kern w:val="0"/>
          <w:highlight w:val="yellow"/>
        </w:rPr>
        <w:t>，</w:t>
      </w:r>
      <w:r w:rsidRPr="00043A1E">
        <w:rPr>
          <w:rFonts w:ascii="標楷體" w:eastAsia="標楷體" w:hAnsi="標楷體" w:hint="eastAsia"/>
          <w:szCs w:val="22"/>
        </w:rPr>
        <w:t>實相無故，佛不答。如外道所見常相、無常相，無是事。何以故？外道取相，著是常、滅故；佛雖說</w:t>
      </w:r>
      <w:r w:rsidR="005E6D60">
        <w:rPr>
          <w:rFonts w:ascii="標楷體" w:eastAsia="標楷體" w:hAnsi="標楷體" w:hint="eastAsia"/>
          <w:bCs/>
          <w:color w:val="FF0000"/>
          <w:kern w:val="0"/>
          <w:highlight w:val="yellow"/>
        </w:rPr>
        <w:t>「</w:t>
      </w:r>
      <w:r w:rsidRPr="00043A1E">
        <w:rPr>
          <w:rFonts w:ascii="標楷體" w:eastAsia="標楷體" w:hAnsi="標楷體" w:hint="eastAsia"/>
          <w:szCs w:val="22"/>
        </w:rPr>
        <w:t>常、無常</w:t>
      </w:r>
      <w:r w:rsidR="005E6D60">
        <w:rPr>
          <w:rFonts w:ascii="標楷體" w:eastAsia="標楷體" w:hAnsi="標楷體" w:hint="eastAsia"/>
          <w:bCs/>
          <w:color w:val="FF0000"/>
          <w:kern w:val="0"/>
          <w:highlight w:val="yellow"/>
        </w:rPr>
        <w:t>」</w:t>
      </w:r>
      <w:r w:rsidRPr="00043A1E">
        <w:rPr>
          <w:rFonts w:ascii="標楷體" w:eastAsia="標楷體" w:hAnsi="標楷體" w:hint="eastAsia"/>
          <w:szCs w:val="22"/>
        </w:rPr>
        <w:t>相，但為治用故。</w:t>
      </w:r>
    </w:p>
    <w:p w:rsidR="00157EF6" w:rsidRPr="00043A1E" w:rsidRDefault="00157EF6" w:rsidP="00AA120F">
      <w:pPr>
        <w:pStyle w:val="a5"/>
        <w:ind w:leftChars="305" w:left="732"/>
        <w:jc w:val="both"/>
        <w:rPr>
          <w:rFonts w:ascii="標楷體" w:eastAsia="標楷體" w:hAnsi="標楷體"/>
          <w:szCs w:val="22"/>
        </w:rPr>
      </w:pPr>
      <w:r w:rsidRPr="00043A1E">
        <w:rPr>
          <w:rFonts w:ascii="標楷體" w:eastAsia="標楷體" w:hAnsi="標楷體" w:hint="eastAsia"/>
          <w:szCs w:val="22"/>
        </w:rPr>
        <w:t>復次，若人說無者為有、有者為無，如是人則是過罪</w:t>
      </w:r>
      <w:r w:rsidR="005E6D60">
        <w:rPr>
          <w:rFonts w:ascii="標楷體" w:eastAsia="標楷體" w:hAnsi="標楷體" w:hint="eastAsia"/>
          <w:color w:val="FF0000"/>
          <w:spacing w:val="-4"/>
          <w:kern w:val="0"/>
          <w:highlight w:val="yellow"/>
        </w:rPr>
        <w:t>；</w:t>
      </w:r>
      <w:r w:rsidRPr="00043A1E">
        <w:rPr>
          <w:rFonts w:ascii="標楷體" w:eastAsia="標楷體" w:hAnsi="標楷體" w:hint="eastAsia"/>
          <w:szCs w:val="22"/>
        </w:rPr>
        <w:t>佛不答</w:t>
      </w:r>
      <w:r w:rsidR="005E6D60">
        <w:rPr>
          <w:rFonts w:ascii="標楷體" w:eastAsia="標楷體" w:hAnsi="標楷體" w:hint="eastAsia"/>
          <w:color w:val="FF0000"/>
          <w:kern w:val="0"/>
          <w:highlight w:val="yellow"/>
        </w:rPr>
        <w:t>，</w:t>
      </w:r>
      <w:r w:rsidRPr="00043A1E">
        <w:rPr>
          <w:rFonts w:ascii="標楷體" w:eastAsia="標楷體" w:hAnsi="標楷體" w:hint="eastAsia"/>
          <w:szCs w:val="22"/>
        </w:rPr>
        <w:t>則無咎。如日照天下，不能令高者下</w:t>
      </w:r>
      <w:r w:rsidR="005E6D60">
        <w:rPr>
          <w:rFonts w:ascii="標楷體" w:eastAsia="標楷體" w:hAnsi="標楷體" w:hint="eastAsia"/>
          <w:color w:val="FF0000"/>
          <w:szCs w:val="22"/>
          <w:highlight w:val="yellow"/>
        </w:rPr>
        <w:t>、</w:t>
      </w:r>
      <w:r w:rsidRPr="00043A1E">
        <w:rPr>
          <w:rFonts w:ascii="標楷體" w:eastAsia="標楷體" w:hAnsi="標楷體" w:hint="eastAsia"/>
          <w:szCs w:val="22"/>
        </w:rPr>
        <w:t>下者高，但以顯現而已；佛亦如是，於諸法無所作，諸法有者說有</w:t>
      </w:r>
      <w:r w:rsidR="005E6D60">
        <w:rPr>
          <w:rFonts w:ascii="標楷體" w:eastAsia="標楷體" w:hAnsi="標楷體" w:hint="eastAsia"/>
          <w:color w:val="FF0000"/>
          <w:szCs w:val="22"/>
          <w:highlight w:val="yellow"/>
        </w:rPr>
        <w:t>、</w:t>
      </w:r>
      <w:r w:rsidRPr="00043A1E">
        <w:rPr>
          <w:rFonts w:ascii="標楷體" w:eastAsia="標楷體" w:hAnsi="標楷體" w:hint="eastAsia"/>
          <w:szCs w:val="22"/>
        </w:rPr>
        <w:t>無者說無。如說：「生因緣老死，乃至無明因緣諸行，有佛</w:t>
      </w:r>
      <w:r w:rsidR="005E6D60">
        <w:rPr>
          <w:rFonts w:ascii="標楷體" w:eastAsia="標楷體" w:hAnsi="標楷體" w:hint="eastAsia"/>
          <w:color w:val="FF0000"/>
          <w:szCs w:val="22"/>
          <w:highlight w:val="yellow"/>
        </w:rPr>
        <w:t>、</w:t>
      </w:r>
      <w:r w:rsidRPr="00043A1E">
        <w:rPr>
          <w:rFonts w:ascii="標楷體" w:eastAsia="標楷體" w:hAnsi="標楷體" w:hint="eastAsia"/>
          <w:szCs w:val="22"/>
        </w:rPr>
        <w:t>無佛，是因緣法相續常在世間</w:t>
      </w:r>
      <w:r w:rsidR="005E6D60">
        <w:rPr>
          <w:rFonts w:ascii="標楷體" w:eastAsia="標楷體" w:hAnsi="標楷體" w:hint="eastAsia"/>
          <w:color w:val="FF0000"/>
          <w:kern w:val="0"/>
          <w:highlight w:val="yellow"/>
        </w:rPr>
        <w:t>。</w:t>
      </w:r>
      <w:r w:rsidRPr="00043A1E">
        <w:rPr>
          <w:rFonts w:ascii="標楷體" w:eastAsia="標楷體" w:hAnsi="標楷體" w:hint="eastAsia"/>
          <w:szCs w:val="22"/>
        </w:rPr>
        <w:t>諸佛出世，為眾生顯示此法。」</w:t>
      </w:r>
    </w:p>
    <w:p w:rsidR="00157EF6" w:rsidRPr="00043A1E" w:rsidRDefault="00157EF6" w:rsidP="00AA120F">
      <w:pPr>
        <w:pStyle w:val="a5"/>
        <w:ind w:leftChars="305" w:left="732"/>
        <w:jc w:val="both"/>
        <w:rPr>
          <w:rFonts w:ascii="標楷體" w:eastAsia="標楷體" w:hAnsi="標楷體"/>
          <w:szCs w:val="22"/>
        </w:rPr>
      </w:pPr>
      <w:r w:rsidRPr="00043A1E">
        <w:rPr>
          <w:rFonts w:ascii="標楷體" w:eastAsia="標楷體" w:hAnsi="標楷體" w:hint="eastAsia"/>
          <w:szCs w:val="22"/>
        </w:rPr>
        <w:t>復次，若答常、滅，則為有咎。如問：「石女、黃門兒，修短、黑白，何類？」此問</w:t>
      </w:r>
      <w:r w:rsidR="005E6D60">
        <w:rPr>
          <w:rFonts w:ascii="標楷體" w:eastAsia="標楷體" w:hAnsi="標楷體" w:hint="eastAsia"/>
          <w:color w:val="FF0000"/>
          <w:kern w:val="0"/>
          <w:highlight w:val="yellow"/>
        </w:rPr>
        <w:t>，</w:t>
      </w:r>
      <w:r w:rsidRPr="00043A1E">
        <w:rPr>
          <w:rFonts w:ascii="標楷體" w:eastAsia="標楷體" w:hAnsi="標楷體" w:hint="eastAsia"/>
          <w:szCs w:val="22"/>
        </w:rPr>
        <w:t>則不應答；十四難</w:t>
      </w:r>
      <w:r w:rsidR="005E6D60">
        <w:rPr>
          <w:rFonts w:ascii="標楷體" w:eastAsia="標楷體" w:hAnsi="標楷體" w:hint="eastAsia"/>
          <w:color w:val="FF0000"/>
          <w:kern w:val="0"/>
          <w:highlight w:val="yellow"/>
        </w:rPr>
        <w:t>，</w:t>
      </w:r>
      <w:r w:rsidRPr="00043A1E">
        <w:rPr>
          <w:rFonts w:ascii="標楷體" w:eastAsia="標楷體" w:hAnsi="標楷體" w:hint="eastAsia"/>
          <w:szCs w:val="22"/>
        </w:rPr>
        <w:t>亦如是，但以「常、滅」為本故問，無「常、滅」故佛不答。</w:t>
      </w:r>
    </w:p>
    <w:p w:rsidR="00157EF6" w:rsidRPr="00043A1E" w:rsidRDefault="00157EF6" w:rsidP="00AA120F">
      <w:pPr>
        <w:pStyle w:val="a5"/>
        <w:ind w:leftChars="305" w:left="732"/>
        <w:jc w:val="both"/>
        <w:rPr>
          <w:szCs w:val="22"/>
        </w:rPr>
      </w:pPr>
      <w:r w:rsidRPr="00043A1E">
        <w:rPr>
          <w:rFonts w:ascii="標楷體" w:eastAsia="標楷體" w:hAnsi="標楷體" w:hint="eastAsia"/>
          <w:szCs w:val="22"/>
        </w:rPr>
        <w:t>如是等種種因緣故，佛不答十四難，無咎。</w:t>
      </w:r>
    </w:p>
    <w:p w:rsidR="002F57EE" w:rsidRDefault="00157EF6" w:rsidP="00AA120F">
      <w:pPr>
        <w:pStyle w:val="a5"/>
        <w:ind w:leftChars="80" w:left="731" w:hangingChars="245" w:hanging="539"/>
        <w:jc w:val="both"/>
        <w:rPr>
          <w:szCs w:val="22"/>
        </w:rPr>
      </w:pPr>
      <w:r w:rsidRPr="00043A1E">
        <w:rPr>
          <w:rFonts w:hint="eastAsia"/>
          <w:szCs w:val="22"/>
        </w:rPr>
        <w:t>（</w:t>
      </w:r>
      <w:r w:rsidRPr="00761EF3">
        <w:rPr>
          <w:rFonts w:hint="eastAsia"/>
          <w:szCs w:val="22"/>
        </w:rPr>
        <w:t>5</w:t>
      </w:r>
      <w:r w:rsidRPr="00043A1E">
        <w:rPr>
          <w:rFonts w:hint="eastAsia"/>
          <w:szCs w:val="22"/>
        </w:rPr>
        <w:t>）</w:t>
      </w:r>
      <w:r w:rsidRPr="00043A1E">
        <w:rPr>
          <w:szCs w:val="22"/>
        </w:rPr>
        <w:t>佛不答十四難：</w:t>
      </w:r>
      <w:r w:rsidRPr="00761EF3">
        <w:rPr>
          <w:szCs w:val="22"/>
        </w:rPr>
        <w:t>1</w:t>
      </w:r>
      <w:r w:rsidRPr="00043A1E">
        <w:rPr>
          <w:szCs w:val="22"/>
        </w:rPr>
        <w:t>、應置答故，</w:t>
      </w:r>
      <w:r w:rsidRPr="00761EF3">
        <w:rPr>
          <w:szCs w:val="22"/>
        </w:rPr>
        <w:t>2</w:t>
      </w:r>
      <w:r w:rsidRPr="00043A1E">
        <w:rPr>
          <w:szCs w:val="22"/>
        </w:rPr>
        <w:t>、無所益故，</w:t>
      </w:r>
      <w:r w:rsidRPr="00761EF3">
        <w:rPr>
          <w:szCs w:val="22"/>
        </w:rPr>
        <w:t>3</w:t>
      </w:r>
      <w:r w:rsidRPr="00043A1E">
        <w:rPr>
          <w:szCs w:val="22"/>
        </w:rPr>
        <w:t>、三種法已總攝故，</w:t>
      </w:r>
      <w:r w:rsidRPr="00761EF3">
        <w:rPr>
          <w:szCs w:val="22"/>
        </w:rPr>
        <w:t>4</w:t>
      </w:r>
      <w:r w:rsidRPr="00043A1E">
        <w:rPr>
          <w:szCs w:val="22"/>
        </w:rPr>
        <w:t>、外道常滅無是事故，</w:t>
      </w:r>
      <w:r w:rsidRPr="00761EF3">
        <w:rPr>
          <w:szCs w:val="22"/>
        </w:rPr>
        <w:t>5</w:t>
      </w:r>
      <w:r w:rsidRPr="00043A1E">
        <w:rPr>
          <w:szCs w:val="22"/>
        </w:rPr>
        <w:t>、顯現諸法如實有無故，</w:t>
      </w:r>
      <w:r w:rsidRPr="00761EF3">
        <w:rPr>
          <w:szCs w:val="22"/>
        </w:rPr>
        <w:t>6</w:t>
      </w:r>
      <w:r w:rsidRPr="00043A1E">
        <w:rPr>
          <w:szCs w:val="22"/>
        </w:rPr>
        <w:t>、如問石女兒為黑為白故。</w:t>
      </w:r>
    </w:p>
    <w:p w:rsidR="00157EF6" w:rsidRPr="00043A1E" w:rsidRDefault="00157EF6" w:rsidP="002F57EE">
      <w:pPr>
        <w:pStyle w:val="a5"/>
        <w:ind w:leftChars="80" w:left="731" w:hangingChars="245" w:hanging="539"/>
        <w:jc w:val="right"/>
        <w:rPr>
          <w:szCs w:val="22"/>
        </w:rPr>
      </w:pPr>
      <w:r w:rsidRPr="00043A1E">
        <w:rPr>
          <w:rFonts w:hint="eastAsia"/>
          <w:szCs w:val="22"/>
        </w:rPr>
        <w:t>（印順法師，《大智度論筆記》，〔</w:t>
      </w:r>
      <w:r w:rsidRPr="00761EF3">
        <w:rPr>
          <w:rFonts w:hint="eastAsia"/>
          <w:szCs w:val="22"/>
        </w:rPr>
        <w:t>F012</w:t>
      </w:r>
      <w:r w:rsidRPr="00043A1E">
        <w:rPr>
          <w:rFonts w:hint="eastAsia"/>
          <w:szCs w:val="22"/>
        </w:rPr>
        <w:t>〕</w:t>
      </w:r>
      <w:r w:rsidRPr="00761EF3">
        <w:rPr>
          <w:rFonts w:hint="eastAsia"/>
          <w:szCs w:val="22"/>
        </w:rPr>
        <w:t>p</w:t>
      </w:r>
      <w:r w:rsidRPr="00043A1E">
        <w:rPr>
          <w:rFonts w:hint="eastAsia"/>
          <w:szCs w:val="22"/>
        </w:rPr>
        <w:t>.</w:t>
      </w:r>
      <w:r w:rsidRPr="00761EF3">
        <w:rPr>
          <w:rFonts w:hint="eastAsia"/>
          <w:szCs w:val="22"/>
        </w:rPr>
        <w:t>340</w:t>
      </w:r>
      <w:r w:rsidRPr="00043A1E">
        <w:rPr>
          <w:rFonts w:hint="eastAsia"/>
          <w:szCs w:val="22"/>
        </w:rPr>
        <w:t>）</w:t>
      </w:r>
    </w:p>
  </w:footnote>
  <w:footnote w:id="659">
    <w:p w:rsidR="00157EF6" w:rsidRPr="00043A1E" w:rsidRDefault="00157EF6" w:rsidP="00AA120F">
      <w:pPr>
        <w:pStyle w:val="a5"/>
        <w:ind w:left="187" w:hangingChars="85" w:hanging="187"/>
        <w:jc w:val="both"/>
        <w:rPr>
          <w:szCs w:val="22"/>
        </w:rPr>
      </w:pPr>
      <w:r w:rsidRPr="00043A1E">
        <w:rPr>
          <w:rStyle w:val="a6"/>
          <w:szCs w:val="22"/>
        </w:rPr>
        <w:footnoteRef/>
      </w:r>
      <w:r w:rsidRPr="00043A1E">
        <w:rPr>
          <w:szCs w:val="22"/>
        </w:rPr>
        <w:t xml:space="preserve"> </w:t>
      </w:r>
      <w:r w:rsidRPr="00043A1E">
        <w:rPr>
          <w:rFonts w:hAnsi="新細明體"/>
          <w:szCs w:val="22"/>
        </w:rPr>
        <w:t>尚</w:t>
      </w:r>
      <w:r w:rsidRPr="00043A1E">
        <w:rPr>
          <w:rFonts w:hAnsi="新細明體" w:hint="eastAsia"/>
          <w:szCs w:val="22"/>
        </w:rPr>
        <w:t>：</w:t>
      </w:r>
      <w:r w:rsidRPr="00761EF3">
        <w:rPr>
          <w:rFonts w:hint="eastAsia"/>
          <w:szCs w:val="22"/>
        </w:rPr>
        <w:t>2</w:t>
      </w:r>
      <w:r w:rsidRPr="00043A1E">
        <w:rPr>
          <w:rFonts w:hint="eastAsia"/>
          <w:szCs w:val="22"/>
        </w:rPr>
        <w:t>.</w:t>
      </w:r>
      <w:r w:rsidRPr="00043A1E">
        <w:rPr>
          <w:rFonts w:hint="eastAsia"/>
          <w:szCs w:val="22"/>
        </w:rPr>
        <w:t>尊崇，重視。（《漢語大詞典》（二），</w:t>
      </w:r>
      <w:r w:rsidRPr="00761EF3">
        <w:rPr>
          <w:rFonts w:hint="eastAsia"/>
          <w:szCs w:val="22"/>
        </w:rPr>
        <w:t>p</w:t>
      </w:r>
      <w:r w:rsidRPr="00043A1E">
        <w:rPr>
          <w:szCs w:val="22"/>
        </w:rPr>
        <w:t>.</w:t>
      </w:r>
      <w:r w:rsidRPr="00761EF3">
        <w:rPr>
          <w:rFonts w:hint="eastAsia"/>
          <w:szCs w:val="22"/>
        </w:rPr>
        <w:t>1659</w:t>
      </w:r>
      <w:r w:rsidRPr="00043A1E">
        <w:rPr>
          <w:rFonts w:hint="eastAsia"/>
          <w:szCs w:val="22"/>
        </w:rPr>
        <w:t>）</w:t>
      </w:r>
    </w:p>
  </w:footnote>
  <w:footnote w:id="660">
    <w:p w:rsidR="00157EF6" w:rsidRPr="00043A1E" w:rsidRDefault="00157EF6" w:rsidP="00AA120F">
      <w:pPr>
        <w:pStyle w:val="a5"/>
        <w:spacing w:line="0" w:lineRule="atLeast"/>
        <w:ind w:left="726" w:hangingChars="330" w:hanging="726"/>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rFonts w:ascii="新細明體" w:hAnsi="新細明體" w:hint="eastAsia"/>
          <w:szCs w:val="22"/>
        </w:rPr>
        <w:t>固：</w:t>
      </w:r>
      <w:r w:rsidRPr="00761EF3">
        <w:rPr>
          <w:szCs w:val="22"/>
        </w:rPr>
        <w:t>20</w:t>
      </w:r>
      <w:r w:rsidRPr="00043A1E">
        <w:rPr>
          <w:szCs w:val="22"/>
        </w:rPr>
        <w:t>.</w:t>
      </w:r>
      <w:r w:rsidRPr="00043A1E">
        <w:rPr>
          <w:szCs w:val="22"/>
        </w:rPr>
        <w:t>副詞。固然。（《漢語大</w:t>
      </w:r>
      <w:r w:rsidRPr="00043A1E">
        <w:rPr>
          <w:rFonts w:hint="eastAsia"/>
          <w:szCs w:val="22"/>
        </w:rPr>
        <w:t>詞典</w:t>
      </w:r>
      <w:r w:rsidRPr="00043A1E">
        <w:rPr>
          <w:szCs w:val="22"/>
        </w:rPr>
        <w:t>》</w:t>
      </w:r>
      <w:r w:rsidRPr="00043A1E">
        <w:rPr>
          <w:rFonts w:hint="eastAsia"/>
          <w:szCs w:val="22"/>
        </w:rPr>
        <w:t>（三），</w:t>
      </w:r>
      <w:r w:rsidRPr="00761EF3">
        <w:rPr>
          <w:rFonts w:hint="eastAsia"/>
          <w:szCs w:val="22"/>
        </w:rPr>
        <w:t>p</w:t>
      </w:r>
      <w:r w:rsidRPr="00043A1E">
        <w:rPr>
          <w:szCs w:val="22"/>
        </w:rPr>
        <w:t>.</w:t>
      </w:r>
      <w:r w:rsidRPr="00761EF3">
        <w:rPr>
          <w:rFonts w:hint="eastAsia"/>
          <w:szCs w:val="22"/>
        </w:rPr>
        <w:t>625</w:t>
      </w:r>
      <w:r w:rsidRPr="00043A1E">
        <w:rPr>
          <w:rFonts w:hint="eastAsia"/>
          <w:szCs w:val="22"/>
        </w:rPr>
        <w:t>）</w:t>
      </w:r>
    </w:p>
    <w:p w:rsidR="005E6D60" w:rsidRDefault="00157EF6" w:rsidP="00AA120F">
      <w:pPr>
        <w:pStyle w:val="a5"/>
        <w:ind w:leftChars="80" w:left="73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w:t>
      </w:r>
      <w:r w:rsidRPr="00043A1E">
        <w:rPr>
          <w:szCs w:val="22"/>
        </w:rPr>
        <w:t>固然</w:t>
      </w:r>
      <w:r w:rsidRPr="00043A1E">
        <w:rPr>
          <w:rFonts w:hint="eastAsia"/>
          <w:szCs w:val="22"/>
        </w:rPr>
        <w:t>：</w:t>
      </w:r>
      <w:r w:rsidRPr="00761EF3">
        <w:rPr>
          <w:rFonts w:hint="eastAsia"/>
          <w:szCs w:val="22"/>
        </w:rPr>
        <w:t>4</w:t>
      </w:r>
      <w:r w:rsidRPr="00043A1E">
        <w:rPr>
          <w:rFonts w:hint="eastAsia"/>
          <w:szCs w:val="22"/>
        </w:rPr>
        <w:t>.</w:t>
      </w:r>
      <w:r w:rsidRPr="00043A1E">
        <w:rPr>
          <w:rFonts w:hint="eastAsia"/>
          <w:szCs w:val="22"/>
        </w:rPr>
        <w:t>副詞。猶誠然、雖然。表示承認某個事實，引起下文轉折。</w:t>
      </w:r>
    </w:p>
    <w:p w:rsidR="00157EF6" w:rsidRPr="00043A1E" w:rsidRDefault="00157EF6" w:rsidP="005E6D60">
      <w:pPr>
        <w:pStyle w:val="a5"/>
        <w:ind w:leftChars="80" w:left="731" w:hangingChars="245" w:hanging="539"/>
        <w:jc w:val="right"/>
        <w:rPr>
          <w:rFonts w:ascii="新細明體" w:hAnsi="新細明體"/>
          <w:szCs w:val="22"/>
        </w:rPr>
      </w:pPr>
      <w:r w:rsidRPr="00043A1E">
        <w:rPr>
          <w:szCs w:val="22"/>
        </w:rPr>
        <w:t>（《漢語大</w:t>
      </w:r>
      <w:r w:rsidRPr="00043A1E">
        <w:rPr>
          <w:rFonts w:hint="eastAsia"/>
          <w:szCs w:val="22"/>
        </w:rPr>
        <w:t>詞典</w:t>
      </w:r>
      <w:r w:rsidRPr="00043A1E">
        <w:rPr>
          <w:szCs w:val="22"/>
        </w:rPr>
        <w:t>》</w:t>
      </w:r>
      <w:r w:rsidRPr="00043A1E">
        <w:rPr>
          <w:rFonts w:hint="eastAsia"/>
          <w:szCs w:val="22"/>
        </w:rPr>
        <w:t>（三），</w:t>
      </w:r>
      <w:r w:rsidRPr="00761EF3">
        <w:rPr>
          <w:rFonts w:hint="eastAsia"/>
          <w:szCs w:val="22"/>
        </w:rPr>
        <w:t>p</w:t>
      </w:r>
      <w:r w:rsidRPr="00043A1E">
        <w:rPr>
          <w:szCs w:val="22"/>
        </w:rPr>
        <w:t>.</w:t>
      </w:r>
      <w:r w:rsidRPr="00761EF3">
        <w:rPr>
          <w:rFonts w:hint="eastAsia"/>
          <w:szCs w:val="22"/>
        </w:rPr>
        <w:t>627</w:t>
      </w:r>
      <w:r w:rsidRPr="00043A1E">
        <w:rPr>
          <w:rFonts w:hint="eastAsia"/>
          <w:szCs w:val="22"/>
        </w:rPr>
        <w:t>）</w:t>
      </w:r>
    </w:p>
  </w:footnote>
  <w:footnote w:id="661">
    <w:p w:rsidR="00157EF6" w:rsidRPr="00043A1E" w:rsidRDefault="00157EF6" w:rsidP="00AA120F">
      <w:pPr>
        <w:pStyle w:val="a5"/>
        <w:spacing w:line="0" w:lineRule="atLeast"/>
        <w:ind w:left="726" w:hangingChars="330" w:hanging="726"/>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）《雜阿含經》卷</w:t>
      </w:r>
      <w:r w:rsidRPr="00761EF3">
        <w:rPr>
          <w:rFonts w:hint="eastAsia"/>
          <w:szCs w:val="22"/>
        </w:rPr>
        <w:t>12</w:t>
      </w:r>
      <w:r w:rsidRPr="00043A1E">
        <w:rPr>
          <w:rFonts w:hint="eastAsia"/>
          <w:szCs w:val="22"/>
        </w:rPr>
        <w:t>（</w:t>
      </w:r>
      <w:r w:rsidRPr="00761EF3">
        <w:rPr>
          <w:rFonts w:hint="eastAsia"/>
          <w:szCs w:val="22"/>
        </w:rPr>
        <w:t>293</w:t>
      </w:r>
      <w:r w:rsidRPr="00043A1E">
        <w:rPr>
          <w:rFonts w:hint="eastAsia"/>
          <w:szCs w:val="22"/>
        </w:rPr>
        <w:t>經）（大正</w:t>
      </w:r>
      <w:r w:rsidRPr="00761EF3">
        <w:rPr>
          <w:rFonts w:hint="eastAsia"/>
          <w:szCs w:val="22"/>
        </w:rPr>
        <w:t>2</w:t>
      </w:r>
      <w:r w:rsidRPr="00043A1E">
        <w:rPr>
          <w:rFonts w:hint="eastAsia"/>
          <w:szCs w:val="22"/>
        </w:rPr>
        <w:t>，</w:t>
      </w:r>
      <w:r w:rsidRPr="00761EF3">
        <w:rPr>
          <w:rFonts w:hint="eastAsia"/>
          <w:szCs w:val="22"/>
        </w:rPr>
        <w:t>83c2</w:t>
      </w:r>
      <w:r w:rsidRPr="00043A1E">
        <w:rPr>
          <w:rFonts w:hint="eastAsia"/>
          <w:szCs w:val="22"/>
        </w:rPr>
        <w:t>-</w:t>
      </w:r>
      <w:r w:rsidRPr="00761EF3">
        <w:rPr>
          <w:rFonts w:hint="eastAsia"/>
          <w:szCs w:val="22"/>
        </w:rPr>
        <w:t>21</w:t>
      </w:r>
      <w:r w:rsidRPr="00043A1E">
        <w:rPr>
          <w:rFonts w:hint="eastAsia"/>
          <w:szCs w:val="22"/>
        </w:rPr>
        <w:t>）：</w:t>
      </w:r>
    </w:p>
    <w:p w:rsidR="00157EF6" w:rsidRDefault="00157EF6" w:rsidP="00AA120F">
      <w:pPr>
        <w:pStyle w:val="a5"/>
        <w:ind w:leftChars="305" w:left="732"/>
        <w:jc w:val="both"/>
        <w:rPr>
          <w:rFonts w:ascii="標楷體" w:eastAsia="標楷體" w:hAnsi="標楷體"/>
          <w:szCs w:val="22"/>
        </w:rPr>
      </w:pPr>
      <w:r w:rsidRPr="00043A1E">
        <w:rPr>
          <w:rFonts w:ascii="標楷體" w:eastAsia="標楷體" w:hAnsi="標楷體" w:hint="eastAsia"/>
          <w:szCs w:val="22"/>
        </w:rPr>
        <w:t>爾時，世尊告異比丘：「我已度疑，離於猶豫，拔邪見刺，不復退轉</w:t>
      </w:r>
      <w:r w:rsidR="000C79F9">
        <w:rPr>
          <w:rFonts w:ascii="標楷體" w:eastAsia="標楷體" w:hAnsi="標楷體" w:hint="eastAsia"/>
          <w:color w:val="FF0000"/>
          <w:kern w:val="0"/>
          <w:highlight w:val="yellow"/>
        </w:rPr>
        <w:t>，</w:t>
      </w:r>
      <w:r w:rsidRPr="00043A1E">
        <w:rPr>
          <w:rFonts w:ascii="標楷體" w:eastAsia="標楷體" w:hAnsi="標楷體" w:hint="eastAsia"/>
          <w:szCs w:val="22"/>
        </w:rPr>
        <w:t>心無所著故，何處有我</w:t>
      </w:r>
      <w:r w:rsidR="000C79F9">
        <w:rPr>
          <w:rFonts w:ascii="標楷體" w:eastAsia="標楷體" w:hAnsi="標楷體" w:hint="eastAsia"/>
          <w:color w:val="FF0000"/>
          <w:spacing w:val="-4"/>
          <w:kern w:val="0"/>
          <w:highlight w:val="yellow"/>
        </w:rPr>
        <w:t>？</w:t>
      </w:r>
      <w:r w:rsidRPr="00043A1E">
        <w:rPr>
          <w:rFonts w:ascii="標楷體" w:eastAsia="標楷體" w:hAnsi="標楷體" w:hint="eastAsia"/>
          <w:szCs w:val="22"/>
        </w:rPr>
        <w:t>為彼比丘說法</w:t>
      </w:r>
      <w:r w:rsidR="000C79F9">
        <w:rPr>
          <w:rFonts w:ascii="標楷體" w:eastAsia="標楷體" w:hAnsi="標楷體" w:hint="eastAsia"/>
          <w:color w:val="FF0000"/>
          <w:kern w:val="0"/>
          <w:highlight w:val="yellow"/>
        </w:rPr>
        <w:t>，</w:t>
      </w:r>
      <w:r w:rsidRPr="00043A1E">
        <w:rPr>
          <w:rFonts w:ascii="標楷體" w:eastAsia="標楷體" w:hAnsi="標楷體" w:hint="eastAsia"/>
          <w:szCs w:val="22"/>
        </w:rPr>
        <w:t>為彼比丘說賢聖出世空相應緣起隨順法，所謂</w:t>
      </w:r>
      <w:r w:rsidR="000C79F9">
        <w:rPr>
          <w:rFonts w:ascii="標楷體" w:eastAsia="標楷體" w:hAnsi="標楷體" w:hint="eastAsia"/>
          <w:color w:val="FF0000"/>
          <w:kern w:val="0"/>
          <w:highlight w:val="yellow"/>
        </w:rPr>
        <w:t>『</w:t>
      </w:r>
      <w:r w:rsidRPr="00043A1E">
        <w:rPr>
          <w:rFonts w:ascii="標楷體" w:eastAsia="標楷體" w:hAnsi="標楷體" w:hint="eastAsia"/>
          <w:szCs w:val="22"/>
        </w:rPr>
        <w:t>有是故是事有，是事有故是事起</w:t>
      </w:r>
      <w:r w:rsidR="000C79F9">
        <w:rPr>
          <w:rFonts w:ascii="標楷體" w:eastAsia="標楷體" w:hAnsi="標楷體" w:hint="eastAsia"/>
          <w:color w:val="FF0000"/>
          <w:kern w:val="0"/>
          <w:highlight w:val="yellow"/>
        </w:rPr>
        <w:t>』</w:t>
      </w:r>
      <w:r w:rsidRPr="00043A1E">
        <w:rPr>
          <w:rFonts w:ascii="標楷體" w:eastAsia="標楷體" w:hAnsi="標楷體" w:hint="eastAsia"/>
          <w:szCs w:val="22"/>
        </w:rPr>
        <w:t>，所謂緣無明行，緣行識，緣識名色，</w:t>
      </w:r>
      <w:r w:rsidR="002F57EE" w:rsidRPr="002F57EE">
        <w:rPr>
          <w:rFonts w:ascii="標楷體" w:eastAsia="標楷體" w:hAnsi="標楷體" w:hint="eastAsia"/>
          <w:color w:val="FF0000"/>
          <w:szCs w:val="22"/>
          <w:shd w:val="pct15" w:color="auto" w:fill="FFFFFF"/>
        </w:rPr>
        <w:t>……</w:t>
      </w:r>
      <w:r w:rsidRPr="00043A1E">
        <w:rPr>
          <w:rFonts w:ascii="標楷體" w:eastAsia="標楷體" w:hAnsi="標楷體" w:hint="eastAsia"/>
          <w:szCs w:val="22"/>
        </w:rPr>
        <w:t>如是如是純大苦聚集</w:t>
      </w:r>
      <w:r w:rsidR="000C79F9">
        <w:rPr>
          <w:rFonts w:ascii="標楷體" w:eastAsia="標楷體" w:hAnsi="標楷體" w:hint="eastAsia"/>
          <w:color w:val="FF0000"/>
          <w:spacing w:val="-4"/>
          <w:kern w:val="0"/>
          <w:highlight w:val="yellow"/>
        </w:rPr>
        <w:t>；</w:t>
      </w:r>
      <w:r w:rsidRPr="00043A1E">
        <w:rPr>
          <w:rFonts w:ascii="標楷體" w:eastAsia="標楷體" w:hAnsi="標楷體" w:hint="eastAsia"/>
          <w:szCs w:val="22"/>
        </w:rPr>
        <w:t>乃至如是純大苦聚滅。如是說法，而彼比丘猶有疑惑、猶豫</w:t>
      </w:r>
      <w:r w:rsidR="000C79F9">
        <w:rPr>
          <w:rFonts w:ascii="標楷體" w:eastAsia="標楷體" w:hAnsi="標楷體" w:hint="eastAsia"/>
          <w:color w:val="FF0000"/>
          <w:kern w:val="0"/>
          <w:highlight w:val="yellow"/>
        </w:rPr>
        <w:t>，</w:t>
      </w:r>
      <w:r w:rsidRPr="00043A1E">
        <w:rPr>
          <w:rFonts w:ascii="標楷體" w:eastAsia="標楷體" w:hAnsi="標楷體" w:hint="eastAsia"/>
          <w:szCs w:val="22"/>
        </w:rPr>
        <w:t>先不得得想</w:t>
      </w:r>
      <w:r w:rsidR="000C79F9">
        <w:rPr>
          <w:rFonts w:ascii="標楷體" w:eastAsia="標楷體" w:hAnsi="標楷體" w:hint="eastAsia"/>
          <w:color w:val="FF0000"/>
          <w:spacing w:val="-4"/>
          <w:kern w:val="0"/>
          <w:highlight w:val="yellow"/>
        </w:rPr>
        <w:t>、</w:t>
      </w:r>
      <w:r w:rsidR="000C79F9">
        <w:rPr>
          <w:rFonts w:ascii="標楷體" w:eastAsia="標楷體" w:hAnsi="標楷體" w:hint="eastAsia"/>
          <w:szCs w:val="22"/>
        </w:rPr>
        <w:t>不獲獲想</w:t>
      </w:r>
      <w:r w:rsidR="000C79F9">
        <w:rPr>
          <w:rFonts w:ascii="標楷體" w:eastAsia="標楷體" w:hAnsi="標楷體" w:hint="eastAsia"/>
          <w:color w:val="FF0000"/>
          <w:spacing w:val="-4"/>
          <w:kern w:val="0"/>
          <w:highlight w:val="yellow"/>
        </w:rPr>
        <w:t>、</w:t>
      </w:r>
      <w:r w:rsidRPr="00043A1E">
        <w:rPr>
          <w:rFonts w:ascii="標楷體" w:eastAsia="標楷體" w:hAnsi="標楷體" w:hint="eastAsia"/>
          <w:szCs w:val="22"/>
        </w:rPr>
        <w:t>不證證想；今聞法已，心生憂苦、悔恨、朦沒、障礙。所以者何？</w:t>
      </w:r>
      <w:r w:rsidRPr="00043A1E">
        <w:rPr>
          <w:rFonts w:ascii="標楷體" w:eastAsia="標楷體" w:hAnsi="標楷體" w:hint="eastAsia"/>
          <w:b/>
          <w:szCs w:val="22"/>
        </w:rPr>
        <w:t>此甚深處，所謂緣起；倍復甚深難見，所謂一切取離、愛盡、無欲、寂滅、涅槃</w:t>
      </w:r>
      <w:r w:rsidRPr="00043A1E">
        <w:rPr>
          <w:rFonts w:ascii="標楷體" w:eastAsia="標楷體" w:hAnsi="標楷體" w:hint="eastAsia"/>
          <w:szCs w:val="22"/>
        </w:rPr>
        <w:t>。如此二法，謂</w:t>
      </w:r>
      <w:r w:rsidR="002F57EE" w:rsidRPr="002F57EE">
        <w:rPr>
          <w:rFonts w:ascii="標楷體" w:eastAsia="標楷體" w:hAnsi="標楷體" w:hint="eastAsia"/>
          <w:color w:val="FF0000"/>
          <w:szCs w:val="22"/>
          <w:highlight w:val="yellow"/>
        </w:rPr>
        <w:t>『</w:t>
      </w:r>
      <w:r w:rsidRPr="00043A1E">
        <w:rPr>
          <w:rFonts w:ascii="標楷體" w:eastAsia="標楷體" w:hAnsi="標楷體" w:hint="eastAsia"/>
          <w:szCs w:val="22"/>
        </w:rPr>
        <w:t>有為、無為</w:t>
      </w:r>
      <w:r w:rsidR="002F57EE">
        <w:rPr>
          <w:rFonts w:ascii="標楷體" w:eastAsia="標楷體" w:hAnsi="標楷體" w:hint="eastAsia"/>
          <w:color w:val="FF0000"/>
          <w:szCs w:val="22"/>
          <w:highlight w:val="yellow"/>
        </w:rPr>
        <w:t>』</w:t>
      </w:r>
      <w:r w:rsidR="000C79F9">
        <w:rPr>
          <w:rFonts w:ascii="標楷體" w:eastAsia="標楷體" w:hAnsi="標楷體" w:hint="eastAsia"/>
          <w:color w:val="FF0000"/>
          <w:kern w:val="0"/>
          <w:highlight w:val="yellow"/>
        </w:rPr>
        <w:t>──</w:t>
      </w:r>
      <w:r w:rsidR="002F57EE" w:rsidRPr="002F57EE">
        <w:rPr>
          <w:rFonts w:ascii="標楷體" w:eastAsia="標楷體" w:hAnsi="標楷體" w:hint="eastAsia"/>
          <w:color w:val="FF0000"/>
          <w:szCs w:val="22"/>
          <w:highlight w:val="yellow"/>
        </w:rPr>
        <w:t>『</w:t>
      </w:r>
      <w:r w:rsidRPr="00043A1E">
        <w:rPr>
          <w:rFonts w:ascii="標楷體" w:eastAsia="標楷體" w:hAnsi="標楷體" w:hint="eastAsia"/>
          <w:szCs w:val="22"/>
        </w:rPr>
        <w:t>有為</w:t>
      </w:r>
      <w:r w:rsidR="002F57EE">
        <w:rPr>
          <w:rFonts w:ascii="標楷體" w:eastAsia="標楷體" w:hAnsi="標楷體" w:hint="eastAsia"/>
          <w:color w:val="FF0000"/>
          <w:szCs w:val="22"/>
          <w:highlight w:val="yellow"/>
        </w:rPr>
        <w:t>』</w:t>
      </w:r>
      <w:r w:rsidRPr="00043A1E">
        <w:rPr>
          <w:rFonts w:ascii="標楷體" w:eastAsia="標楷體" w:hAnsi="標楷體" w:hint="eastAsia"/>
          <w:szCs w:val="22"/>
        </w:rPr>
        <w:t>者，若生、若住、若異、若滅；</w:t>
      </w:r>
      <w:r w:rsidR="002F57EE" w:rsidRPr="002F57EE">
        <w:rPr>
          <w:rFonts w:ascii="標楷體" w:eastAsia="標楷體" w:hAnsi="標楷體" w:hint="eastAsia"/>
          <w:color w:val="FF0000"/>
          <w:szCs w:val="22"/>
          <w:highlight w:val="yellow"/>
        </w:rPr>
        <w:t>『</w:t>
      </w:r>
      <w:r w:rsidRPr="00043A1E">
        <w:rPr>
          <w:rFonts w:ascii="標楷體" w:eastAsia="標楷體" w:hAnsi="標楷體" w:hint="eastAsia"/>
          <w:szCs w:val="22"/>
        </w:rPr>
        <w:t>無為</w:t>
      </w:r>
      <w:r w:rsidR="002F57EE">
        <w:rPr>
          <w:rFonts w:ascii="標楷體" w:eastAsia="標楷體" w:hAnsi="標楷體" w:hint="eastAsia"/>
          <w:color w:val="FF0000"/>
          <w:szCs w:val="22"/>
          <w:highlight w:val="yellow"/>
        </w:rPr>
        <w:t>』</w:t>
      </w:r>
      <w:r w:rsidRPr="00043A1E">
        <w:rPr>
          <w:rFonts w:ascii="標楷體" w:eastAsia="標楷體" w:hAnsi="標楷體" w:hint="eastAsia"/>
          <w:szCs w:val="22"/>
        </w:rPr>
        <w:t>者，不生、不住、不異、不滅</w:t>
      </w:r>
      <w:r w:rsidR="000C79F9">
        <w:rPr>
          <w:rFonts w:ascii="標楷體" w:eastAsia="標楷體" w:hAnsi="標楷體" w:hint="eastAsia"/>
          <w:color w:val="FF0000"/>
          <w:kern w:val="0"/>
          <w:highlight w:val="yellow"/>
        </w:rPr>
        <w:t>。</w:t>
      </w:r>
      <w:r w:rsidRPr="00043A1E">
        <w:rPr>
          <w:rFonts w:ascii="標楷體" w:eastAsia="標楷體" w:hAnsi="標楷體" w:hint="eastAsia"/>
          <w:szCs w:val="22"/>
        </w:rPr>
        <w:t>是名</w:t>
      </w:r>
      <w:r w:rsidR="000C79F9">
        <w:rPr>
          <w:rFonts w:ascii="標楷體" w:eastAsia="標楷體" w:hAnsi="標楷體" w:hint="eastAsia"/>
          <w:color w:val="FF0000"/>
          <w:kern w:val="0"/>
          <w:highlight w:val="yellow"/>
        </w:rPr>
        <w:t>，</w:t>
      </w:r>
      <w:r w:rsidRPr="00043A1E">
        <w:rPr>
          <w:rFonts w:ascii="標楷體" w:eastAsia="標楷體" w:hAnsi="標楷體" w:hint="eastAsia"/>
          <w:szCs w:val="22"/>
        </w:rPr>
        <w:t>比丘</w:t>
      </w:r>
      <w:r w:rsidR="000C79F9">
        <w:rPr>
          <w:rFonts w:ascii="標楷體" w:eastAsia="標楷體" w:hAnsi="標楷體" w:hint="eastAsia"/>
          <w:color w:val="FF0000"/>
          <w:kern w:val="0"/>
          <w:highlight w:val="yellow"/>
        </w:rPr>
        <w:t>！</w:t>
      </w:r>
      <w:r w:rsidRPr="00043A1E">
        <w:rPr>
          <w:rFonts w:ascii="標楷體" w:eastAsia="標楷體" w:hAnsi="標楷體" w:hint="eastAsia"/>
          <w:szCs w:val="22"/>
        </w:rPr>
        <w:t>諸行苦、寂滅涅槃。因集故苦集，因滅故苦滅，斷諸逕路，滅於相續，相續滅</w:t>
      </w:r>
      <w:r w:rsidR="000C79F9" w:rsidRPr="00043A1E">
        <w:rPr>
          <w:rFonts w:ascii="標楷體" w:eastAsia="標楷體" w:hAnsi="標楷體" w:hint="eastAsia"/>
          <w:szCs w:val="22"/>
        </w:rPr>
        <w:t>滅</w:t>
      </w:r>
      <w:r w:rsidR="000C79F9" w:rsidRPr="005E6D60">
        <w:rPr>
          <w:rFonts w:eastAsia="標楷體" w:hint="eastAsia"/>
          <w:color w:val="FF0000"/>
          <w:szCs w:val="22"/>
          <w:shd w:val="pct15" w:color="auto" w:fill="FFFFFF"/>
        </w:rPr>
        <w:t>*</w:t>
      </w:r>
      <w:r w:rsidRPr="00043A1E">
        <w:rPr>
          <w:rFonts w:ascii="標楷體" w:eastAsia="標楷體" w:hAnsi="標楷體" w:hint="eastAsia"/>
          <w:szCs w:val="22"/>
        </w:rPr>
        <w:t>，是名苦邊。比丘！彼何所滅？謂有餘苦。彼若滅、止、清涼、息、沒，所謂一切取滅、愛盡、無欲、寂滅、涅槃。」</w:t>
      </w:r>
    </w:p>
    <w:p w:rsidR="000C79F9" w:rsidRPr="00043A1E" w:rsidRDefault="000C79F9" w:rsidP="00AA120F">
      <w:pPr>
        <w:pStyle w:val="a5"/>
        <w:ind w:leftChars="305" w:left="732"/>
        <w:jc w:val="both"/>
        <w:rPr>
          <w:szCs w:val="22"/>
        </w:rPr>
      </w:pPr>
      <w:r>
        <w:rPr>
          <w:rFonts w:eastAsia="標楷體" w:cs="Times Ext Roman"/>
          <w:color w:val="FF0000"/>
          <w:szCs w:val="22"/>
          <w:shd w:val="pct15" w:color="auto" w:fill="FFFFFF"/>
        </w:rPr>
        <w:t>*</w:t>
      </w:r>
      <w:r>
        <w:rPr>
          <w:rFonts w:ascii="新細明體" w:hAnsi="新細明體" w:cs="Times Ext Roman" w:hint="eastAsia"/>
          <w:color w:val="FF0000"/>
          <w:szCs w:val="22"/>
          <w:highlight w:val="yellow"/>
        </w:rPr>
        <w:t>依《雜阿含經論會編》（中</w:t>
      </w:r>
      <w:r>
        <w:rPr>
          <w:rFonts w:cs="Times Ext Roman" w:hint="eastAsia"/>
          <w:color w:val="FF0000"/>
          <w:szCs w:val="22"/>
          <w:highlight w:val="yellow"/>
        </w:rPr>
        <w:t>）</w:t>
      </w:r>
      <w:r>
        <w:rPr>
          <w:color w:val="FF0000"/>
          <w:szCs w:val="22"/>
          <w:highlight w:val="yellow"/>
        </w:rPr>
        <w:t>p.27</w:t>
      </w:r>
      <w:r>
        <w:rPr>
          <w:rFonts w:hint="eastAsia"/>
          <w:color w:val="FF0000"/>
          <w:szCs w:val="22"/>
          <w:highlight w:val="yellow"/>
        </w:rPr>
        <w:t>注腳</w:t>
      </w:r>
      <w:r>
        <w:rPr>
          <w:rFonts w:cs="Times Ext Roman" w:hint="eastAsia"/>
          <w:color w:val="FF0000"/>
          <w:szCs w:val="22"/>
          <w:highlight w:val="yellow"/>
        </w:rPr>
        <w:t>，「</w:t>
      </w:r>
      <w:r>
        <w:rPr>
          <w:rFonts w:ascii="標楷體" w:eastAsia="標楷體" w:hAnsi="標楷體" w:cs="Times Ext Roman" w:hint="eastAsia"/>
          <w:color w:val="FF0000"/>
          <w:szCs w:val="22"/>
          <w:highlight w:val="yellow"/>
        </w:rPr>
        <w:t>相續滅滅</w:t>
      </w:r>
      <w:r>
        <w:rPr>
          <w:rFonts w:cs="Times Ext Roman" w:hint="eastAsia"/>
          <w:color w:val="FF0000"/>
          <w:szCs w:val="22"/>
          <w:highlight w:val="yellow"/>
        </w:rPr>
        <w:t>」應改作「</w:t>
      </w:r>
      <w:r>
        <w:rPr>
          <w:rFonts w:ascii="標楷體" w:eastAsia="標楷體" w:hAnsi="標楷體" w:cs="Times Ext Roman" w:hint="eastAsia"/>
          <w:color w:val="FF0000"/>
          <w:szCs w:val="22"/>
          <w:highlight w:val="yellow"/>
        </w:rPr>
        <w:t>相續滅</w:t>
      </w:r>
      <w:r>
        <w:rPr>
          <w:rFonts w:cs="Times Ext Roman" w:hint="eastAsia"/>
          <w:color w:val="FF0000"/>
          <w:szCs w:val="22"/>
          <w:highlight w:val="yellow"/>
        </w:rPr>
        <w:t>」。</w:t>
      </w:r>
    </w:p>
    <w:p w:rsidR="00157EF6" w:rsidRPr="00043A1E" w:rsidRDefault="00157EF6" w:rsidP="00AA120F">
      <w:pPr>
        <w:pStyle w:val="a5"/>
        <w:ind w:leftChars="80" w:left="73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）另參見《中阿含經》卷</w:t>
      </w:r>
      <w:r w:rsidRPr="00761EF3">
        <w:rPr>
          <w:rFonts w:hint="eastAsia"/>
          <w:szCs w:val="22"/>
        </w:rPr>
        <w:t>24</w:t>
      </w:r>
      <w:r w:rsidRPr="00043A1E">
        <w:rPr>
          <w:rFonts w:hint="eastAsia"/>
          <w:szCs w:val="22"/>
        </w:rPr>
        <w:t>（</w:t>
      </w:r>
      <w:r w:rsidRPr="00761EF3">
        <w:rPr>
          <w:rFonts w:hint="eastAsia"/>
          <w:szCs w:val="22"/>
        </w:rPr>
        <w:t>97</w:t>
      </w:r>
      <w:r w:rsidRPr="00043A1E">
        <w:rPr>
          <w:rFonts w:hint="eastAsia"/>
          <w:szCs w:val="22"/>
        </w:rPr>
        <w:t>經）《大因經》（大正</w:t>
      </w:r>
      <w:r w:rsidRPr="00761EF3">
        <w:rPr>
          <w:rFonts w:hint="eastAsia"/>
          <w:szCs w:val="22"/>
        </w:rPr>
        <w:t>1</w:t>
      </w:r>
      <w:r w:rsidRPr="00043A1E">
        <w:rPr>
          <w:rFonts w:hint="eastAsia"/>
          <w:szCs w:val="22"/>
        </w:rPr>
        <w:t>，</w:t>
      </w:r>
      <w:r w:rsidRPr="00761EF3">
        <w:rPr>
          <w:rFonts w:hint="eastAsia"/>
          <w:szCs w:val="22"/>
        </w:rPr>
        <w:t>578b8</w:t>
      </w:r>
      <w:r w:rsidRPr="00043A1E">
        <w:rPr>
          <w:rFonts w:hint="eastAsia"/>
          <w:szCs w:val="22"/>
        </w:rPr>
        <w:t>-</w:t>
      </w:r>
      <w:r w:rsidRPr="00761EF3">
        <w:rPr>
          <w:rFonts w:hint="eastAsia"/>
          <w:szCs w:val="22"/>
        </w:rPr>
        <w:t>22</w:t>
      </w:r>
      <w:r w:rsidRPr="00043A1E">
        <w:rPr>
          <w:rFonts w:hint="eastAsia"/>
          <w:szCs w:val="22"/>
        </w:rPr>
        <w:t>）。</w:t>
      </w:r>
    </w:p>
  </w:footnote>
  <w:footnote w:id="662">
    <w:p w:rsidR="00157EF6" w:rsidRPr="00043A1E" w:rsidRDefault="00157EF6" w:rsidP="00AA120F">
      <w:pPr>
        <w:pStyle w:val="a5"/>
        <w:spacing w:line="0" w:lineRule="atLeast"/>
        <w:ind w:left="726" w:hangingChars="330" w:hanging="726"/>
        <w:jc w:val="both"/>
        <w:rPr>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szCs w:val="22"/>
        </w:rPr>
        <w:t>）《雜阿含經》卷</w:t>
      </w:r>
      <w:r w:rsidRPr="00761EF3">
        <w:rPr>
          <w:szCs w:val="22"/>
        </w:rPr>
        <w:t>12</w:t>
      </w:r>
      <w:r w:rsidRPr="00043A1E">
        <w:rPr>
          <w:rFonts w:hint="eastAsia"/>
          <w:szCs w:val="22"/>
        </w:rPr>
        <w:t>（</w:t>
      </w:r>
      <w:r w:rsidRPr="00761EF3">
        <w:rPr>
          <w:szCs w:val="22"/>
        </w:rPr>
        <w:t>302</w:t>
      </w:r>
      <w:r w:rsidRPr="00043A1E">
        <w:rPr>
          <w:szCs w:val="22"/>
        </w:rPr>
        <w:t>經</w:t>
      </w:r>
      <w:r w:rsidRPr="00043A1E">
        <w:rPr>
          <w:rFonts w:hint="eastAsia"/>
          <w:szCs w:val="22"/>
        </w:rPr>
        <w:t>）</w:t>
      </w:r>
      <w:r w:rsidRPr="00043A1E">
        <w:rPr>
          <w:szCs w:val="22"/>
        </w:rPr>
        <w:t>（大正</w:t>
      </w:r>
      <w:r w:rsidRPr="00761EF3">
        <w:rPr>
          <w:szCs w:val="22"/>
        </w:rPr>
        <w:t>2</w:t>
      </w:r>
      <w:r w:rsidRPr="00043A1E">
        <w:rPr>
          <w:szCs w:val="22"/>
        </w:rPr>
        <w:t>，</w:t>
      </w:r>
      <w:r w:rsidRPr="00761EF3">
        <w:rPr>
          <w:szCs w:val="22"/>
        </w:rPr>
        <w:t>86a13</w:t>
      </w:r>
      <w:r w:rsidRPr="00043A1E">
        <w:rPr>
          <w:rFonts w:hint="eastAsia"/>
          <w:szCs w:val="22"/>
        </w:rPr>
        <w:t>-</w:t>
      </w:r>
      <w:r w:rsidRPr="00761EF3">
        <w:rPr>
          <w:szCs w:val="22"/>
        </w:rPr>
        <w:t>20</w:t>
      </w:r>
      <w:r w:rsidRPr="00043A1E">
        <w:rPr>
          <w:szCs w:val="22"/>
        </w:rPr>
        <w:t>）：</w:t>
      </w:r>
    </w:p>
    <w:p w:rsidR="00157EF6" w:rsidRPr="00043A1E" w:rsidRDefault="00157EF6" w:rsidP="00AA120F">
      <w:pPr>
        <w:pStyle w:val="a5"/>
        <w:ind w:leftChars="305" w:left="732"/>
        <w:jc w:val="both"/>
        <w:rPr>
          <w:rFonts w:ascii="標楷體" w:eastAsia="標楷體" w:hAnsi="標楷體"/>
          <w:szCs w:val="22"/>
        </w:rPr>
      </w:pPr>
      <w:r w:rsidRPr="00043A1E">
        <w:rPr>
          <w:rFonts w:ascii="標楷體" w:eastAsia="標楷體" w:hAnsi="標楷體" w:hint="eastAsia"/>
          <w:szCs w:val="22"/>
        </w:rPr>
        <w:t>阿支羅迦葉白佛言：「云何？瞿曇！苦自作耶？」</w:t>
      </w:r>
    </w:p>
    <w:p w:rsidR="00157EF6" w:rsidRPr="00043A1E" w:rsidRDefault="00157EF6" w:rsidP="00AA120F">
      <w:pPr>
        <w:pStyle w:val="a5"/>
        <w:ind w:leftChars="305" w:left="732"/>
        <w:jc w:val="both"/>
        <w:rPr>
          <w:rFonts w:ascii="標楷體" w:eastAsia="標楷體" w:hAnsi="標楷體"/>
          <w:szCs w:val="22"/>
        </w:rPr>
      </w:pPr>
      <w:r w:rsidRPr="00043A1E">
        <w:rPr>
          <w:rFonts w:ascii="標楷體" w:eastAsia="標楷體" w:hAnsi="標楷體" w:hint="eastAsia"/>
          <w:szCs w:val="22"/>
        </w:rPr>
        <w:t>佛告迦葉：「苦自作者，此是無記。」</w:t>
      </w:r>
    </w:p>
    <w:p w:rsidR="00157EF6" w:rsidRPr="00043A1E" w:rsidRDefault="00157EF6" w:rsidP="00AA120F">
      <w:pPr>
        <w:pStyle w:val="a5"/>
        <w:ind w:leftChars="305" w:left="732"/>
        <w:jc w:val="both"/>
        <w:rPr>
          <w:rFonts w:ascii="標楷體" w:eastAsia="標楷體" w:hAnsi="標楷體"/>
          <w:szCs w:val="22"/>
        </w:rPr>
      </w:pPr>
      <w:r w:rsidRPr="00043A1E">
        <w:rPr>
          <w:rFonts w:ascii="標楷體" w:eastAsia="標楷體" w:hAnsi="標楷體" w:hint="eastAsia"/>
          <w:szCs w:val="22"/>
        </w:rPr>
        <w:t>迦葉復問：「云何？瞿曇！苦他作耶？」</w:t>
      </w:r>
    </w:p>
    <w:p w:rsidR="00157EF6" w:rsidRPr="00043A1E" w:rsidRDefault="00157EF6" w:rsidP="00AA120F">
      <w:pPr>
        <w:pStyle w:val="a5"/>
        <w:ind w:leftChars="305" w:left="732"/>
        <w:jc w:val="both"/>
        <w:rPr>
          <w:rFonts w:ascii="標楷體" w:eastAsia="標楷體" w:hAnsi="標楷體"/>
          <w:szCs w:val="22"/>
        </w:rPr>
      </w:pPr>
      <w:r w:rsidRPr="00043A1E">
        <w:rPr>
          <w:rFonts w:ascii="標楷體" w:eastAsia="標楷體" w:hAnsi="標楷體" w:hint="eastAsia"/>
          <w:szCs w:val="22"/>
        </w:rPr>
        <w:t>佛告迦葉；「苦他作者，此亦無記。」</w:t>
      </w:r>
    </w:p>
    <w:p w:rsidR="00157EF6" w:rsidRPr="00043A1E" w:rsidRDefault="00157EF6" w:rsidP="00AA120F">
      <w:pPr>
        <w:pStyle w:val="a5"/>
        <w:ind w:leftChars="305" w:left="732"/>
        <w:jc w:val="both"/>
        <w:rPr>
          <w:rFonts w:ascii="標楷體" w:eastAsia="標楷體" w:hAnsi="標楷體"/>
          <w:szCs w:val="22"/>
        </w:rPr>
      </w:pPr>
      <w:r w:rsidRPr="00043A1E">
        <w:rPr>
          <w:rFonts w:ascii="標楷體" w:eastAsia="標楷體" w:hAnsi="標楷體" w:hint="eastAsia"/>
          <w:szCs w:val="22"/>
        </w:rPr>
        <w:t>迦葉復問：「苦自他作耶？」</w:t>
      </w:r>
    </w:p>
    <w:p w:rsidR="00157EF6" w:rsidRPr="00043A1E" w:rsidRDefault="00157EF6" w:rsidP="00AA120F">
      <w:pPr>
        <w:pStyle w:val="a5"/>
        <w:ind w:leftChars="305" w:left="732"/>
        <w:jc w:val="both"/>
        <w:rPr>
          <w:rFonts w:ascii="標楷體" w:eastAsia="標楷體" w:hAnsi="標楷體"/>
          <w:szCs w:val="22"/>
        </w:rPr>
      </w:pPr>
      <w:r w:rsidRPr="00043A1E">
        <w:rPr>
          <w:rFonts w:ascii="標楷體" w:eastAsia="標楷體" w:hAnsi="標楷體" w:hint="eastAsia"/>
          <w:szCs w:val="22"/>
        </w:rPr>
        <w:t>佛告迦葉：「苦自他作，此亦無記。」</w:t>
      </w:r>
    </w:p>
    <w:p w:rsidR="00157EF6" w:rsidRPr="00043A1E" w:rsidRDefault="00157EF6" w:rsidP="00AA120F">
      <w:pPr>
        <w:pStyle w:val="a5"/>
        <w:ind w:leftChars="305" w:left="732"/>
        <w:jc w:val="both"/>
        <w:rPr>
          <w:rFonts w:ascii="標楷體" w:eastAsia="標楷體" w:hAnsi="標楷體"/>
          <w:szCs w:val="22"/>
        </w:rPr>
      </w:pPr>
      <w:r w:rsidRPr="00043A1E">
        <w:rPr>
          <w:rFonts w:ascii="標楷體" w:eastAsia="標楷體" w:hAnsi="標楷體" w:hint="eastAsia"/>
          <w:szCs w:val="22"/>
        </w:rPr>
        <w:t>迦葉復問：「云何？瞿曇！苦非自非他，無因作耶？」</w:t>
      </w:r>
    </w:p>
    <w:p w:rsidR="00157EF6" w:rsidRPr="00043A1E" w:rsidRDefault="00157EF6" w:rsidP="00AA120F">
      <w:pPr>
        <w:pStyle w:val="a5"/>
        <w:ind w:leftChars="305" w:left="732"/>
        <w:jc w:val="both"/>
        <w:rPr>
          <w:rFonts w:ascii="標楷體" w:eastAsia="標楷體" w:hAnsi="標楷體"/>
          <w:szCs w:val="22"/>
        </w:rPr>
      </w:pPr>
      <w:r w:rsidRPr="00043A1E">
        <w:rPr>
          <w:rFonts w:ascii="標楷體" w:eastAsia="標楷體" w:hAnsi="標楷體" w:hint="eastAsia"/>
          <w:szCs w:val="22"/>
        </w:rPr>
        <w:t>佛告迦葉：「苦非自非他，無因作者，此亦無記。」</w:t>
      </w:r>
    </w:p>
    <w:p w:rsidR="00157EF6" w:rsidRPr="00043A1E" w:rsidRDefault="00157EF6" w:rsidP="00AA120F">
      <w:pPr>
        <w:pStyle w:val="a5"/>
        <w:ind w:leftChars="80" w:left="73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w:t>
      </w:r>
      <w:r w:rsidRPr="00043A1E">
        <w:rPr>
          <w:szCs w:val="22"/>
        </w:rPr>
        <w:t>另參見《雜阿含經》卷</w:t>
      </w:r>
      <w:r w:rsidRPr="00761EF3">
        <w:rPr>
          <w:szCs w:val="22"/>
        </w:rPr>
        <w:t>13</w:t>
      </w:r>
      <w:r w:rsidRPr="00043A1E">
        <w:rPr>
          <w:rFonts w:hint="eastAsia"/>
          <w:szCs w:val="22"/>
        </w:rPr>
        <w:t>（</w:t>
      </w:r>
      <w:r w:rsidRPr="00761EF3">
        <w:rPr>
          <w:szCs w:val="22"/>
        </w:rPr>
        <w:t>343</w:t>
      </w:r>
      <w:r w:rsidRPr="00043A1E">
        <w:rPr>
          <w:szCs w:val="22"/>
        </w:rPr>
        <w:t>經</w:t>
      </w:r>
      <w:r w:rsidRPr="00043A1E">
        <w:rPr>
          <w:rFonts w:hint="eastAsia"/>
          <w:szCs w:val="22"/>
        </w:rPr>
        <w:t>）（</w:t>
      </w:r>
      <w:r w:rsidRPr="00043A1E">
        <w:rPr>
          <w:szCs w:val="22"/>
        </w:rPr>
        <w:t>大正</w:t>
      </w:r>
      <w:r w:rsidRPr="00761EF3">
        <w:rPr>
          <w:szCs w:val="22"/>
        </w:rPr>
        <w:t>2</w:t>
      </w:r>
      <w:r w:rsidRPr="00043A1E">
        <w:rPr>
          <w:szCs w:val="22"/>
        </w:rPr>
        <w:t>，</w:t>
      </w:r>
      <w:r w:rsidRPr="00761EF3">
        <w:rPr>
          <w:szCs w:val="22"/>
        </w:rPr>
        <w:t>93c2</w:t>
      </w:r>
      <w:r w:rsidRPr="00043A1E">
        <w:rPr>
          <w:rFonts w:hint="eastAsia"/>
          <w:szCs w:val="22"/>
        </w:rPr>
        <w:t>-</w:t>
      </w:r>
      <w:r w:rsidRPr="00761EF3">
        <w:rPr>
          <w:szCs w:val="22"/>
        </w:rPr>
        <w:t>9</w:t>
      </w:r>
      <w:r w:rsidRPr="00043A1E">
        <w:rPr>
          <w:rFonts w:hint="eastAsia"/>
          <w:szCs w:val="22"/>
        </w:rPr>
        <w:t>）</w:t>
      </w:r>
      <w:r w:rsidRPr="00043A1E">
        <w:rPr>
          <w:szCs w:val="22"/>
        </w:rPr>
        <w:t>。</w:t>
      </w:r>
    </w:p>
    <w:p w:rsidR="00157EF6" w:rsidRPr="00043A1E" w:rsidRDefault="00157EF6" w:rsidP="00AA120F">
      <w:pPr>
        <w:pStyle w:val="a5"/>
        <w:ind w:leftChars="80" w:left="731" w:hangingChars="245" w:hanging="539"/>
        <w:jc w:val="both"/>
        <w:rPr>
          <w:szCs w:val="22"/>
        </w:rPr>
      </w:pPr>
      <w:r w:rsidRPr="00043A1E">
        <w:rPr>
          <w:rFonts w:hint="eastAsia"/>
          <w:szCs w:val="22"/>
        </w:rPr>
        <w:t>（</w:t>
      </w:r>
      <w:r w:rsidRPr="00761EF3">
        <w:rPr>
          <w:rFonts w:hint="eastAsia"/>
          <w:szCs w:val="22"/>
        </w:rPr>
        <w:t>3</w:t>
      </w:r>
      <w:r w:rsidRPr="00043A1E">
        <w:rPr>
          <w:rFonts w:hint="eastAsia"/>
          <w:szCs w:val="22"/>
        </w:rPr>
        <w:t>）</w:t>
      </w:r>
      <w:r w:rsidRPr="00043A1E">
        <w:rPr>
          <w:rFonts w:cs="Times Ext Roman" w:hint="eastAsia"/>
          <w:szCs w:val="22"/>
        </w:rPr>
        <w:t>參見</w:t>
      </w:r>
      <w:r w:rsidRPr="00043A1E">
        <w:rPr>
          <w:rFonts w:hint="eastAsia"/>
          <w:szCs w:val="22"/>
        </w:rPr>
        <w:t>《中論》卷</w:t>
      </w:r>
      <w:r w:rsidRPr="00761EF3">
        <w:rPr>
          <w:rFonts w:hint="eastAsia"/>
          <w:szCs w:val="22"/>
        </w:rPr>
        <w:t>2</w:t>
      </w:r>
      <w:r w:rsidRPr="00043A1E">
        <w:rPr>
          <w:rFonts w:hint="eastAsia"/>
          <w:szCs w:val="22"/>
        </w:rPr>
        <w:t>〈</w:t>
      </w:r>
      <w:r w:rsidRPr="00761EF3">
        <w:rPr>
          <w:rFonts w:hint="eastAsia"/>
          <w:szCs w:val="22"/>
        </w:rPr>
        <w:t>12</w:t>
      </w:r>
      <w:r w:rsidRPr="00043A1E">
        <w:rPr>
          <w:rFonts w:hint="eastAsia"/>
          <w:szCs w:val="22"/>
        </w:rPr>
        <w:t xml:space="preserve"> </w:t>
      </w:r>
      <w:r w:rsidRPr="00043A1E">
        <w:rPr>
          <w:rFonts w:hint="eastAsia"/>
          <w:szCs w:val="22"/>
        </w:rPr>
        <w:t>觀苦品〉（大正</w:t>
      </w:r>
      <w:r w:rsidRPr="00761EF3">
        <w:rPr>
          <w:rFonts w:hint="eastAsia"/>
          <w:szCs w:val="22"/>
        </w:rPr>
        <w:t>30</w:t>
      </w:r>
      <w:r w:rsidRPr="00043A1E">
        <w:rPr>
          <w:rFonts w:hint="eastAsia"/>
          <w:szCs w:val="22"/>
        </w:rPr>
        <w:t>，</w:t>
      </w:r>
      <w:r w:rsidRPr="00761EF3">
        <w:rPr>
          <w:szCs w:val="22"/>
        </w:rPr>
        <w:t>16b20</w:t>
      </w:r>
      <w:r w:rsidRPr="00043A1E">
        <w:rPr>
          <w:szCs w:val="22"/>
        </w:rPr>
        <w:t>-</w:t>
      </w:r>
      <w:r w:rsidRPr="00761EF3">
        <w:rPr>
          <w:szCs w:val="22"/>
        </w:rPr>
        <w:t>17a24</w:t>
      </w:r>
      <w:r w:rsidRPr="00043A1E">
        <w:rPr>
          <w:rFonts w:hint="eastAsia"/>
          <w:szCs w:val="22"/>
        </w:rPr>
        <w:t>）。</w:t>
      </w:r>
    </w:p>
    <w:p w:rsidR="00157EF6" w:rsidRPr="00043A1E" w:rsidRDefault="00157EF6" w:rsidP="00AA120F">
      <w:pPr>
        <w:pStyle w:val="a5"/>
        <w:ind w:leftChars="80" w:left="731" w:hangingChars="245" w:hanging="539"/>
        <w:jc w:val="both"/>
        <w:rPr>
          <w:szCs w:val="22"/>
        </w:rPr>
      </w:pPr>
      <w:r w:rsidRPr="00043A1E">
        <w:rPr>
          <w:rFonts w:hint="eastAsia"/>
          <w:szCs w:val="22"/>
        </w:rPr>
        <w:t>（</w:t>
      </w:r>
      <w:r w:rsidRPr="00761EF3">
        <w:rPr>
          <w:rFonts w:hint="eastAsia"/>
          <w:szCs w:val="22"/>
        </w:rPr>
        <w:t>4</w:t>
      </w:r>
      <w:r w:rsidRPr="00043A1E">
        <w:rPr>
          <w:rFonts w:hint="eastAsia"/>
          <w:szCs w:val="22"/>
        </w:rPr>
        <w:t>）印順法師，《中觀論頌講記》〈觀苦品〉，</w:t>
      </w:r>
      <w:r w:rsidRPr="00761EF3">
        <w:rPr>
          <w:rFonts w:hint="eastAsia"/>
          <w:szCs w:val="22"/>
        </w:rPr>
        <w:t>pp</w:t>
      </w:r>
      <w:r w:rsidRPr="00043A1E">
        <w:rPr>
          <w:rFonts w:hint="eastAsia"/>
          <w:szCs w:val="22"/>
        </w:rPr>
        <w:t>.</w:t>
      </w:r>
      <w:r w:rsidRPr="00761EF3">
        <w:rPr>
          <w:rFonts w:hint="eastAsia"/>
          <w:szCs w:val="22"/>
        </w:rPr>
        <w:t>217</w:t>
      </w:r>
      <w:r w:rsidRPr="00043A1E">
        <w:rPr>
          <w:rFonts w:hint="eastAsia"/>
          <w:szCs w:val="22"/>
        </w:rPr>
        <w:t>-</w:t>
      </w:r>
      <w:r w:rsidRPr="00761EF3">
        <w:rPr>
          <w:rFonts w:hint="eastAsia"/>
          <w:szCs w:val="22"/>
        </w:rPr>
        <w:t>225</w:t>
      </w:r>
      <w:r w:rsidRPr="00043A1E">
        <w:rPr>
          <w:rFonts w:hint="eastAsia"/>
          <w:szCs w:val="22"/>
        </w:rPr>
        <w:t>。</w:t>
      </w:r>
    </w:p>
  </w:footnote>
  <w:footnote w:id="663">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rFonts w:hint="eastAsia"/>
          <w:szCs w:val="22"/>
        </w:rPr>
        <w:t>龍樹造，</w:t>
      </w:r>
      <w:r w:rsidRPr="00043A1E">
        <w:rPr>
          <w:szCs w:val="22"/>
        </w:rPr>
        <w:t>〔</w:t>
      </w:r>
      <w:r w:rsidRPr="00043A1E">
        <w:rPr>
          <w:rFonts w:hint="eastAsia"/>
          <w:szCs w:val="22"/>
        </w:rPr>
        <w:t>姚秦</w:t>
      </w:r>
      <w:r w:rsidRPr="00043A1E">
        <w:rPr>
          <w:szCs w:val="22"/>
        </w:rPr>
        <w:t>〕</w:t>
      </w:r>
      <w:r w:rsidRPr="00043A1E">
        <w:rPr>
          <w:rFonts w:hint="eastAsia"/>
          <w:szCs w:val="22"/>
        </w:rPr>
        <w:t>鳩摩羅什譯，《</w:t>
      </w:r>
      <w:r w:rsidRPr="00043A1E">
        <w:rPr>
          <w:szCs w:val="22"/>
        </w:rPr>
        <w:t>十二門論</w:t>
      </w:r>
      <w:r w:rsidRPr="0050521E">
        <w:rPr>
          <w:szCs w:val="22"/>
          <w:highlight w:val="yellow"/>
        </w:rPr>
        <w:t>》〈</w:t>
      </w:r>
      <w:r w:rsidRPr="00761EF3">
        <w:rPr>
          <w:rStyle w:val="headname"/>
          <w:b w:val="0"/>
          <w:color w:val="auto"/>
          <w:sz w:val="22"/>
          <w:szCs w:val="22"/>
        </w:rPr>
        <w:t>10</w:t>
      </w:r>
      <w:r w:rsidRPr="00043A1E">
        <w:rPr>
          <w:rStyle w:val="headname"/>
          <w:b w:val="0"/>
          <w:color w:val="auto"/>
          <w:sz w:val="22"/>
          <w:szCs w:val="22"/>
        </w:rPr>
        <w:t xml:space="preserve"> </w:t>
      </w:r>
      <w:r w:rsidRPr="00043A1E">
        <w:rPr>
          <w:rStyle w:val="headname"/>
          <w:b w:val="0"/>
          <w:color w:val="auto"/>
          <w:sz w:val="22"/>
          <w:szCs w:val="22"/>
        </w:rPr>
        <w:t>觀作者門</w:t>
      </w:r>
      <w:r w:rsidRPr="00043A1E">
        <w:rPr>
          <w:szCs w:val="22"/>
        </w:rPr>
        <w:t>〉</w:t>
      </w:r>
      <w:r w:rsidRPr="00043A1E">
        <w:rPr>
          <w:rFonts w:hint="eastAsia"/>
          <w:szCs w:val="22"/>
        </w:rPr>
        <w:t>（大正</w:t>
      </w:r>
      <w:r w:rsidRPr="00761EF3">
        <w:rPr>
          <w:rFonts w:hint="eastAsia"/>
          <w:szCs w:val="22"/>
        </w:rPr>
        <w:t>30</w:t>
      </w:r>
      <w:r w:rsidRPr="00043A1E">
        <w:rPr>
          <w:rFonts w:hint="eastAsia"/>
          <w:szCs w:val="22"/>
        </w:rPr>
        <w:t>，</w:t>
      </w:r>
      <w:r w:rsidRPr="00761EF3">
        <w:rPr>
          <w:rFonts w:hint="eastAsia"/>
          <w:szCs w:val="22"/>
        </w:rPr>
        <w:t>166c13</w:t>
      </w:r>
      <w:r w:rsidRPr="00043A1E">
        <w:rPr>
          <w:rFonts w:hint="eastAsia"/>
          <w:szCs w:val="22"/>
        </w:rPr>
        <w:t>-</w:t>
      </w:r>
      <w:r w:rsidRPr="00761EF3">
        <w:rPr>
          <w:rFonts w:hint="eastAsia"/>
          <w:szCs w:val="22"/>
        </w:rPr>
        <w:t>17</w:t>
      </w:r>
      <w:r w:rsidRPr="00043A1E">
        <w:rPr>
          <w:rFonts w:hint="eastAsia"/>
          <w:szCs w:val="22"/>
        </w:rPr>
        <w:t>）</w:t>
      </w:r>
      <w:r w:rsidRPr="00043A1E">
        <w:rPr>
          <w:szCs w:val="22"/>
        </w:rPr>
        <w:t>：</w:t>
      </w:r>
    </w:p>
    <w:p w:rsidR="00157EF6" w:rsidRPr="00043A1E" w:rsidRDefault="00157EF6" w:rsidP="00AA120F">
      <w:pPr>
        <w:pStyle w:val="a5"/>
        <w:ind w:leftChars="75" w:left="180"/>
        <w:jc w:val="both"/>
        <w:rPr>
          <w:szCs w:val="22"/>
        </w:rPr>
      </w:pPr>
      <w:r w:rsidRPr="00043A1E">
        <w:rPr>
          <w:rFonts w:ascii="標楷體" w:eastAsia="標楷體" w:hAnsi="標楷體" w:hint="eastAsia"/>
          <w:szCs w:val="22"/>
        </w:rPr>
        <w:t>從眾因緣生苦，破四種邪見，</w:t>
      </w:r>
      <w:r w:rsidRPr="00043A1E">
        <w:rPr>
          <w:rFonts w:ascii="標楷體" w:eastAsia="標楷體" w:hAnsi="標楷體" w:hint="eastAsia"/>
          <w:b/>
          <w:szCs w:val="22"/>
        </w:rPr>
        <w:t>即是說</w:t>
      </w:r>
      <w:r w:rsidR="005E6D60">
        <w:rPr>
          <w:rFonts w:ascii="標楷體" w:eastAsia="標楷體" w:hAnsi="標楷體" w:hint="eastAsia"/>
          <w:bCs/>
          <w:color w:val="FF0000"/>
          <w:kern w:val="0"/>
          <w:highlight w:val="yellow"/>
        </w:rPr>
        <w:t>「</w:t>
      </w:r>
      <w:r w:rsidRPr="00043A1E">
        <w:rPr>
          <w:rFonts w:ascii="標楷體" w:eastAsia="標楷體" w:hAnsi="標楷體" w:hint="eastAsia"/>
          <w:b/>
          <w:szCs w:val="22"/>
        </w:rPr>
        <w:t>空</w:t>
      </w:r>
      <w:r w:rsidR="005E6D60">
        <w:rPr>
          <w:rFonts w:ascii="標楷體" w:eastAsia="標楷體" w:hAnsi="標楷體" w:hint="eastAsia"/>
          <w:bCs/>
          <w:color w:val="FF0000"/>
          <w:kern w:val="0"/>
          <w:highlight w:val="yellow"/>
        </w:rPr>
        <w:t>」</w:t>
      </w:r>
      <w:r w:rsidRPr="00043A1E">
        <w:rPr>
          <w:rFonts w:ascii="標楷體" w:eastAsia="標楷體" w:hAnsi="標楷體" w:hint="eastAsia"/>
          <w:szCs w:val="22"/>
        </w:rPr>
        <w:t>。說</w:t>
      </w:r>
      <w:r w:rsidR="005E6D60">
        <w:rPr>
          <w:rFonts w:ascii="標楷體" w:eastAsia="標楷體" w:hAnsi="標楷體" w:hint="eastAsia"/>
          <w:bCs/>
          <w:color w:val="FF0000"/>
          <w:kern w:val="0"/>
          <w:highlight w:val="yellow"/>
        </w:rPr>
        <w:t>「</w:t>
      </w:r>
      <w:r w:rsidRPr="00043A1E">
        <w:rPr>
          <w:rFonts w:ascii="標楷體" w:eastAsia="標楷體" w:hAnsi="標楷體" w:hint="eastAsia"/>
          <w:szCs w:val="22"/>
        </w:rPr>
        <w:t>苦</w:t>
      </w:r>
      <w:r w:rsidRPr="00043A1E">
        <w:rPr>
          <w:rFonts w:ascii="標楷體" w:eastAsia="標楷體" w:hAnsi="標楷體" w:hint="eastAsia"/>
          <w:b/>
          <w:szCs w:val="22"/>
        </w:rPr>
        <w:t>從眾因緣生</w:t>
      </w:r>
      <w:r w:rsidR="005E6D60">
        <w:rPr>
          <w:rFonts w:ascii="標楷體" w:eastAsia="標楷體" w:hAnsi="標楷體" w:hint="eastAsia"/>
          <w:bCs/>
          <w:color w:val="FF0000"/>
          <w:kern w:val="0"/>
          <w:highlight w:val="yellow"/>
        </w:rPr>
        <w:t>」</w:t>
      </w:r>
      <w:r w:rsidRPr="00043A1E">
        <w:rPr>
          <w:rFonts w:ascii="標楷體" w:eastAsia="標楷體" w:hAnsi="標楷體" w:hint="eastAsia"/>
          <w:b/>
          <w:szCs w:val="22"/>
        </w:rPr>
        <w:t>，即是說</w:t>
      </w:r>
      <w:r w:rsidR="005E6D60">
        <w:rPr>
          <w:rFonts w:ascii="標楷體" w:eastAsia="標楷體" w:hAnsi="標楷體" w:hint="eastAsia"/>
          <w:bCs/>
          <w:color w:val="FF0000"/>
          <w:kern w:val="0"/>
          <w:highlight w:val="yellow"/>
        </w:rPr>
        <w:t>「</w:t>
      </w:r>
      <w:r w:rsidRPr="00043A1E">
        <w:rPr>
          <w:rFonts w:ascii="標楷體" w:eastAsia="標楷體" w:hAnsi="標楷體" w:hint="eastAsia"/>
          <w:b/>
          <w:szCs w:val="22"/>
        </w:rPr>
        <w:t>空</w:t>
      </w:r>
      <w:r w:rsidR="005E6D60">
        <w:rPr>
          <w:rFonts w:ascii="標楷體" w:eastAsia="標楷體" w:hAnsi="標楷體" w:hint="eastAsia"/>
          <w:bCs/>
          <w:color w:val="FF0000"/>
          <w:kern w:val="0"/>
          <w:highlight w:val="yellow"/>
        </w:rPr>
        <w:t>」</w:t>
      </w:r>
      <w:r w:rsidRPr="00043A1E">
        <w:rPr>
          <w:rFonts w:ascii="標楷體" w:eastAsia="標楷體" w:hAnsi="標楷體" w:hint="eastAsia"/>
          <w:b/>
          <w:szCs w:val="22"/>
        </w:rPr>
        <w:t>義</w:t>
      </w:r>
      <w:r w:rsidRPr="00043A1E">
        <w:rPr>
          <w:rFonts w:ascii="標楷體" w:eastAsia="標楷體" w:hAnsi="標楷體" w:hint="eastAsia"/>
          <w:szCs w:val="22"/>
        </w:rPr>
        <w:t>。何以故？若從眾因緣生，則無自性</w:t>
      </w:r>
      <w:r w:rsidR="005E6D60">
        <w:rPr>
          <w:rFonts w:ascii="標楷體" w:eastAsia="標楷體" w:hAnsi="標楷體" w:hint="eastAsia"/>
          <w:color w:val="FF0000"/>
          <w:kern w:val="0"/>
          <w:highlight w:val="yellow"/>
        </w:rPr>
        <w:t>──</w:t>
      </w:r>
      <w:r w:rsidRPr="00043A1E">
        <w:rPr>
          <w:rFonts w:ascii="標楷體" w:eastAsia="標楷體" w:hAnsi="標楷體" w:hint="eastAsia"/>
          <w:szCs w:val="22"/>
        </w:rPr>
        <w:t>無自性即是</w:t>
      </w:r>
      <w:r w:rsidR="005E6D60">
        <w:rPr>
          <w:rFonts w:ascii="標楷體" w:eastAsia="標楷體" w:hAnsi="標楷體" w:hint="eastAsia"/>
          <w:bCs/>
          <w:color w:val="FF0000"/>
          <w:kern w:val="0"/>
          <w:highlight w:val="yellow"/>
        </w:rPr>
        <w:t>「</w:t>
      </w:r>
      <w:r w:rsidRPr="00043A1E">
        <w:rPr>
          <w:rFonts w:ascii="標楷體" w:eastAsia="標楷體" w:hAnsi="標楷體" w:hint="eastAsia"/>
          <w:szCs w:val="22"/>
        </w:rPr>
        <w:t>空</w:t>
      </w:r>
      <w:r w:rsidR="005E6D60">
        <w:rPr>
          <w:rFonts w:ascii="標楷體" w:eastAsia="標楷體" w:hAnsi="標楷體" w:hint="eastAsia"/>
          <w:bCs/>
          <w:color w:val="FF0000"/>
          <w:kern w:val="0"/>
          <w:highlight w:val="yellow"/>
        </w:rPr>
        <w:t>」</w:t>
      </w:r>
      <w:r w:rsidRPr="00043A1E">
        <w:rPr>
          <w:rFonts w:ascii="標楷體" w:eastAsia="標楷體" w:hAnsi="標楷體" w:hint="eastAsia"/>
          <w:szCs w:val="22"/>
        </w:rPr>
        <w:t>。如苦空，當知有為、無為及眾生一切皆空。</w:t>
      </w:r>
    </w:p>
  </w:footnote>
  <w:footnote w:id="664">
    <w:p w:rsidR="00000815" w:rsidRDefault="00157EF6" w:rsidP="00AA120F">
      <w:pPr>
        <w:pStyle w:val="a5"/>
        <w:ind w:left="187" w:hangingChars="85" w:hanging="187"/>
        <w:jc w:val="both"/>
        <w:rPr>
          <w:szCs w:val="22"/>
        </w:rPr>
      </w:pPr>
      <w:r w:rsidRPr="00043A1E">
        <w:rPr>
          <w:rStyle w:val="a6"/>
          <w:szCs w:val="22"/>
        </w:rPr>
        <w:footnoteRef/>
      </w:r>
      <w:r w:rsidRPr="00043A1E">
        <w:rPr>
          <w:szCs w:val="22"/>
        </w:rPr>
        <w:t xml:space="preserve"> </w:t>
      </w:r>
      <w:r w:rsidRPr="00043A1E">
        <w:rPr>
          <w:szCs w:val="22"/>
        </w:rPr>
        <w:t>庶：</w:t>
      </w:r>
      <w:r w:rsidRPr="00761EF3">
        <w:rPr>
          <w:szCs w:val="22"/>
        </w:rPr>
        <w:t>5</w:t>
      </w:r>
      <w:r w:rsidRPr="00043A1E">
        <w:rPr>
          <w:szCs w:val="22"/>
        </w:rPr>
        <w:t>.</w:t>
      </w:r>
      <w:r w:rsidRPr="00043A1E">
        <w:rPr>
          <w:szCs w:val="22"/>
        </w:rPr>
        <w:t>將近，差不多。</w:t>
      </w:r>
      <w:r w:rsidRPr="00761EF3">
        <w:rPr>
          <w:rFonts w:hint="eastAsia"/>
          <w:szCs w:val="22"/>
        </w:rPr>
        <w:t>7</w:t>
      </w:r>
      <w:r w:rsidRPr="00043A1E">
        <w:rPr>
          <w:rFonts w:hint="eastAsia"/>
          <w:szCs w:val="22"/>
        </w:rPr>
        <w:t>.</w:t>
      </w:r>
      <w:r w:rsidRPr="00043A1E">
        <w:rPr>
          <w:rFonts w:hint="eastAsia"/>
          <w:szCs w:val="22"/>
        </w:rPr>
        <w:t>副詞。希望，但願。</w:t>
      </w:r>
      <w:r w:rsidRPr="00761EF3">
        <w:rPr>
          <w:rFonts w:hint="eastAsia"/>
          <w:szCs w:val="22"/>
        </w:rPr>
        <w:t>8</w:t>
      </w:r>
      <w:r w:rsidRPr="00043A1E">
        <w:rPr>
          <w:rFonts w:hint="eastAsia"/>
          <w:szCs w:val="22"/>
        </w:rPr>
        <w:t>.</w:t>
      </w:r>
      <w:r w:rsidRPr="00043A1E">
        <w:rPr>
          <w:rFonts w:hint="eastAsia"/>
          <w:szCs w:val="22"/>
        </w:rPr>
        <w:t>副詞。或許，也許。</w:t>
      </w:r>
    </w:p>
    <w:p w:rsidR="00157EF6" w:rsidRPr="00043A1E" w:rsidRDefault="00157EF6" w:rsidP="00000815">
      <w:pPr>
        <w:pStyle w:val="a5"/>
        <w:ind w:left="187" w:hangingChars="85" w:hanging="187"/>
        <w:jc w:val="right"/>
        <w:rPr>
          <w:szCs w:val="22"/>
        </w:rPr>
      </w:pPr>
      <w:r w:rsidRPr="00043A1E">
        <w:rPr>
          <w:rFonts w:hint="eastAsia"/>
          <w:szCs w:val="22"/>
        </w:rPr>
        <w:t>（《漢語大詞典》（三），</w:t>
      </w:r>
      <w:r w:rsidRPr="00761EF3">
        <w:rPr>
          <w:rFonts w:hint="eastAsia"/>
          <w:szCs w:val="22"/>
        </w:rPr>
        <w:t>p</w:t>
      </w:r>
      <w:r w:rsidRPr="00043A1E">
        <w:rPr>
          <w:szCs w:val="22"/>
        </w:rPr>
        <w:t>.</w:t>
      </w:r>
      <w:r w:rsidRPr="00761EF3">
        <w:rPr>
          <w:rFonts w:hint="eastAsia"/>
          <w:szCs w:val="22"/>
        </w:rPr>
        <w:t>1234</w:t>
      </w:r>
      <w:r w:rsidRPr="00043A1E">
        <w:rPr>
          <w:rFonts w:hint="eastAsia"/>
          <w:szCs w:val="22"/>
        </w:rPr>
        <w:t>）</w:t>
      </w:r>
    </w:p>
  </w:footnote>
  <w:footnote w:id="665">
    <w:p w:rsidR="00157EF6" w:rsidRPr="00043A1E" w:rsidRDefault="00157EF6" w:rsidP="009E0A5A">
      <w:pPr>
        <w:pStyle w:val="a5"/>
        <w:ind w:left="187" w:hangingChars="85" w:hanging="187"/>
        <w:jc w:val="both"/>
        <w:rPr>
          <w:szCs w:val="22"/>
        </w:rPr>
      </w:pPr>
      <w:r w:rsidRPr="00043A1E">
        <w:rPr>
          <w:rStyle w:val="a6"/>
          <w:szCs w:val="22"/>
        </w:rPr>
        <w:footnoteRef/>
      </w:r>
      <w:r w:rsidRPr="00043A1E">
        <w:rPr>
          <w:szCs w:val="22"/>
        </w:rPr>
        <w:t xml:space="preserve"> </w:t>
      </w:r>
      <w:r w:rsidRPr="00043A1E">
        <w:rPr>
          <w:szCs w:val="22"/>
        </w:rPr>
        <w:t>發端：</w:t>
      </w:r>
      <w:r w:rsidRPr="00761EF3">
        <w:rPr>
          <w:szCs w:val="22"/>
        </w:rPr>
        <w:t>1</w:t>
      </w:r>
      <w:r w:rsidRPr="00043A1E">
        <w:rPr>
          <w:szCs w:val="22"/>
        </w:rPr>
        <w:t>.</w:t>
      </w:r>
      <w:r w:rsidRPr="00043A1E">
        <w:rPr>
          <w:szCs w:val="22"/>
        </w:rPr>
        <w:t>開始，起頭。</w:t>
      </w:r>
      <w:r w:rsidRPr="00761EF3">
        <w:rPr>
          <w:szCs w:val="22"/>
        </w:rPr>
        <w:t>2</w:t>
      </w:r>
      <w:r w:rsidRPr="00043A1E">
        <w:rPr>
          <w:szCs w:val="22"/>
        </w:rPr>
        <w:t>.</w:t>
      </w:r>
      <w:r w:rsidRPr="00043A1E">
        <w:rPr>
          <w:szCs w:val="22"/>
        </w:rPr>
        <w:t>特指一篇或一段文章的開頭。（《漢語大詞典》（八）</w:t>
      </w:r>
      <w:r w:rsidRPr="00043A1E">
        <w:rPr>
          <w:rFonts w:hint="eastAsia"/>
          <w:szCs w:val="22"/>
        </w:rPr>
        <w:t>，</w:t>
      </w:r>
      <w:r w:rsidRPr="00761EF3">
        <w:rPr>
          <w:szCs w:val="22"/>
        </w:rPr>
        <w:t>p</w:t>
      </w:r>
      <w:r w:rsidRPr="00043A1E">
        <w:rPr>
          <w:szCs w:val="22"/>
        </w:rPr>
        <w:t>.</w:t>
      </w:r>
      <w:r w:rsidRPr="00761EF3">
        <w:rPr>
          <w:szCs w:val="22"/>
        </w:rPr>
        <w:t>570</w:t>
      </w:r>
      <w:r w:rsidRPr="00043A1E">
        <w:rPr>
          <w:szCs w:val="22"/>
        </w:rPr>
        <w:t>）</w:t>
      </w:r>
    </w:p>
  </w:footnote>
  <w:footnote w:id="666">
    <w:p w:rsidR="00157EF6" w:rsidRPr="00043A1E" w:rsidRDefault="00157EF6" w:rsidP="00AA120F">
      <w:pPr>
        <w:pStyle w:val="a5"/>
        <w:ind w:left="187" w:hangingChars="85" w:hanging="187"/>
        <w:jc w:val="both"/>
        <w:rPr>
          <w:szCs w:val="22"/>
        </w:rPr>
      </w:pPr>
      <w:r w:rsidRPr="00043A1E">
        <w:rPr>
          <w:rStyle w:val="a6"/>
          <w:szCs w:val="22"/>
        </w:rPr>
        <w:footnoteRef/>
      </w:r>
      <w:r w:rsidRPr="00043A1E">
        <w:rPr>
          <w:szCs w:val="22"/>
        </w:rPr>
        <w:t xml:space="preserve"> </w:t>
      </w:r>
      <w:r w:rsidRPr="00043A1E">
        <w:rPr>
          <w:szCs w:val="22"/>
        </w:rPr>
        <w:t>法勝論，優波扇多釋</w:t>
      </w:r>
      <w:bookmarkStart w:id="112" w:name="0833c05"/>
      <w:bookmarkEnd w:id="112"/>
      <w:r w:rsidRPr="00043A1E">
        <w:rPr>
          <w:szCs w:val="22"/>
        </w:rPr>
        <w:t>，〔高齊〕那連提耶舍譯，《阿毘曇心論經》卷</w:t>
      </w:r>
      <w:r w:rsidRPr="00761EF3">
        <w:rPr>
          <w:szCs w:val="22"/>
        </w:rPr>
        <w:t>1</w:t>
      </w:r>
      <w:r w:rsidRPr="00043A1E">
        <w:rPr>
          <w:szCs w:val="22"/>
        </w:rPr>
        <w:t>〈</w:t>
      </w:r>
      <w:r w:rsidRPr="00761EF3">
        <w:rPr>
          <w:szCs w:val="22"/>
        </w:rPr>
        <w:t>1</w:t>
      </w:r>
      <w:r w:rsidRPr="00043A1E">
        <w:rPr>
          <w:szCs w:val="22"/>
        </w:rPr>
        <w:t xml:space="preserve"> </w:t>
      </w:r>
      <w:r w:rsidRPr="00043A1E">
        <w:rPr>
          <w:szCs w:val="22"/>
        </w:rPr>
        <w:t>界品〉（大正</w:t>
      </w:r>
      <w:r w:rsidRPr="00761EF3">
        <w:rPr>
          <w:szCs w:val="22"/>
        </w:rPr>
        <w:t>28</w:t>
      </w:r>
      <w:r w:rsidRPr="00043A1E">
        <w:rPr>
          <w:szCs w:val="22"/>
        </w:rPr>
        <w:t>，</w:t>
      </w:r>
      <w:r w:rsidRPr="00761EF3">
        <w:rPr>
          <w:szCs w:val="22"/>
        </w:rPr>
        <w:t>833c29</w:t>
      </w:r>
      <w:r w:rsidRPr="00043A1E">
        <w:rPr>
          <w:szCs w:val="22"/>
        </w:rPr>
        <w:t>）：「</w:t>
      </w:r>
      <w:r w:rsidRPr="00043A1E">
        <w:rPr>
          <w:rFonts w:eastAsia="標楷體"/>
          <w:szCs w:val="22"/>
        </w:rPr>
        <w:t>佛者，知一切法，知一切種，故名為佛。」</w:t>
      </w:r>
    </w:p>
  </w:footnote>
  <w:footnote w:id="667">
    <w:p w:rsidR="00157EF6" w:rsidRPr="00043A1E" w:rsidRDefault="00157EF6" w:rsidP="00AA120F">
      <w:pPr>
        <w:pStyle w:val="a5"/>
        <w:ind w:left="187" w:hangingChars="85" w:hanging="187"/>
        <w:jc w:val="both"/>
        <w:rPr>
          <w:szCs w:val="22"/>
        </w:rPr>
      </w:pPr>
      <w:r w:rsidRPr="00043A1E">
        <w:rPr>
          <w:rStyle w:val="a6"/>
          <w:szCs w:val="22"/>
        </w:rPr>
        <w:footnoteRef/>
      </w:r>
      <w:r w:rsidRPr="00043A1E">
        <w:rPr>
          <w:szCs w:val="22"/>
        </w:rPr>
        <w:t xml:space="preserve"> </w:t>
      </w:r>
      <w:r w:rsidRPr="00043A1E">
        <w:rPr>
          <w:szCs w:val="22"/>
        </w:rPr>
        <w:t>印順法師，《說一切有部為主的論書與論師之研究》，</w:t>
      </w:r>
      <w:r w:rsidRPr="00761EF3">
        <w:rPr>
          <w:szCs w:val="22"/>
        </w:rPr>
        <w:t>pp</w:t>
      </w:r>
      <w:r w:rsidRPr="00043A1E">
        <w:rPr>
          <w:szCs w:val="22"/>
        </w:rPr>
        <w:t>.</w:t>
      </w:r>
      <w:r w:rsidRPr="00761EF3">
        <w:rPr>
          <w:szCs w:val="22"/>
        </w:rPr>
        <w:t>190</w:t>
      </w:r>
      <w:r w:rsidRPr="00043A1E">
        <w:rPr>
          <w:szCs w:val="22"/>
        </w:rPr>
        <w:t>-</w:t>
      </w:r>
      <w:r w:rsidRPr="00761EF3">
        <w:rPr>
          <w:szCs w:val="22"/>
        </w:rPr>
        <w:t>191</w:t>
      </w:r>
      <w:r w:rsidRPr="00043A1E">
        <w:rPr>
          <w:szCs w:val="22"/>
        </w:rPr>
        <w:t>：</w:t>
      </w:r>
    </w:p>
    <w:p w:rsidR="00157EF6" w:rsidRPr="00043A1E" w:rsidRDefault="00157EF6" w:rsidP="00AA120F">
      <w:pPr>
        <w:pStyle w:val="a5"/>
        <w:ind w:leftChars="75" w:left="180"/>
        <w:jc w:val="both"/>
        <w:rPr>
          <w:rFonts w:eastAsia="標楷體"/>
          <w:szCs w:val="22"/>
        </w:rPr>
      </w:pPr>
      <w:r w:rsidRPr="00043A1E">
        <w:rPr>
          <w:rFonts w:eastAsia="標楷體"/>
          <w:szCs w:val="22"/>
        </w:rPr>
        <w:t>「</w:t>
      </w:r>
      <w:r w:rsidRPr="00043A1E">
        <w:rPr>
          <w:rFonts w:eastAsia="標楷體"/>
          <w:b/>
          <w:szCs w:val="22"/>
        </w:rPr>
        <w:t>相攝</w:t>
      </w:r>
      <w:r w:rsidRPr="00043A1E">
        <w:rPr>
          <w:rFonts w:eastAsia="標楷體"/>
          <w:szCs w:val="22"/>
        </w:rPr>
        <w:t>」：凡體性相同的，彼此相攝，否則不相攝。這一論門，或以一法對一法，或以一法對多法，或以一類對一類，或以一類對多類，互論攝或不攝。經此相攝</w:t>
      </w:r>
      <w:r w:rsidRPr="00043A1E">
        <w:rPr>
          <w:rFonts w:eastAsia="標楷體" w:hint="eastAsia"/>
          <w:szCs w:val="22"/>
        </w:rPr>
        <w:t>、</w:t>
      </w:r>
      <w:r w:rsidRPr="00043A1E">
        <w:rPr>
          <w:rFonts w:eastAsia="標楷體"/>
          <w:szCs w:val="22"/>
        </w:rPr>
        <w:t>不相攝的論究，彼此間的同異，就非常明確了。然阿毘達磨論所常用的，有「蘊界處攝」或「處攝」，這是沿用佛說的分類法，而明一切法的性質與所攝屬的。</w:t>
      </w:r>
    </w:p>
    <w:p w:rsidR="00157EF6" w:rsidRPr="00043A1E" w:rsidRDefault="00157EF6" w:rsidP="00AA120F">
      <w:pPr>
        <w:pStyle w:val="a5"/>
        <w:ind w:leftChars="75" w:left="180"/>
        <w:jc w:val="both"/>
        <w:rPr>
          <w:rFonts w:eastAsia="標楷體"/>
          <w:szCs w:val="22"/>
        </w:rPr>
      </w:pPr>
      <w:r w:rsidRPr="00043A1E">
        <w:rPr>
          <w:rFonts w:eastAsia="標楷體"/>
          <w:szCs w:val="22"/>
        </w:rPr>
        <w:t>「</w:t>
      </w:r>
      <w:r w:rsidRPr="00043A1E">
        <w:rPr>
          <w:rFonts w:eastAsia="標楷體"/>
          <w:b/>
          <w:szCs w:val="22"/>
        </w:rPr>
        <w:t>相應</w:t>
      </w:r>
      <w:r w:rsidRPr="00043A1E">
        <w:rPr>
          <w:rFonts w:eastAsia="標楷體"/>
          <w:szCs w:val="22"/>
        </w:rPr>
        <w:t>」：凡屬心心所法，彼此間或是一定相應的，或可以相應而不一定相應的，或性質不同而不能相應的，所以要作相應</w:t>
      </w:r>
      <w:r w:rsidRPr="00043A1E">
        <w:rPr>
          <w:rFonts w:eastAsia="標楷體" w:hint="eastAsia"/>
          <w:szCs w:val="22"/>
        </w:rPr>
        <w:t>、</w:t>
      </w:r>
      <w:r w:rsidRPr="00043A1E">
        <w:rPr>
          <w:rFonts w:eastAsia="標楷體"/>
          <w:szCs w:val="22"/>
        </w:rPr>
        <w:t>不相應的分別。然本論</w:t>
      </w:r>
      <w:r w:rsidR="007450FC" w:rsidRPr="007450FC">
        <w:rPr>
          <w:rFonts w:eastAsia="標楷體"/>
          <w:color w:val="FF0000"/>
          <w:szCs w:val="22"/>
          <w:shd w:val="pct15" w:color="auto" w:fill="FFFFFF"/>
        </w:rPr>
        <w:t>（《發智論》）</w:t>
      </w:r>
      <w:r w:rsidRPr="00043A1E">
        <w:rPr>
          <w:rFonts w:eastAsia="標楷體"/>
          <w:szCs w:val="22"/>
        </w:rPr>
        <w:t>以修道斷惑的實踐為主，多沿用契經舊說，對心與心所，還沒有專重的辨析，所以不同後代的泛約心與心所而明相應。本論</w:t>
      </w:r>
      <w:r w:rsidRPr="007450FC">
        <w:rPr>
          <w:rFonts w:eastAsia="標楷體"/>
          <w:szCs w:val="22"/>
          <w:shd w:val="pct15" w:color="auto" w:fill="FFFFFF"/>
        </w:rPr>
        <w:t>（《發智論》）</w:t>
      </w:r>
      <w:r w:rsidRPr="00043A1E">
        <w:rPr>
          <w:rFonts w:eastAsia="標楷體"/>
          <w:szCs w:val="22"/>
        </w:rPr>
        <w:t>對於「相應」，多用於功德法的分別，如約覺支與道品論相應等。其中，「智相應」，「根相應」，尤為本論</w:t>
      </w:r>
      <w:r w:rsidRPr="007450FC">
        <w:rPr>
          <w:rFonts w:eastAsia="標楷體"/>
          <w:szCs w:val="22"/>
          <w:shd w:val="pct15" w:color="auto" w:fill="FFFFFF"/>
        </w:rPr>
        <w:t>（《發智論》）</w:t>
      </w:r>
      <w:r w:rsidRPr="00043A1E">
        <w:rPr>
          <w:rFonts w:eastAsia="標楷體"/>
          <w:szCs w:val="22"/>
        </w:rPr>
        <w:t>常用的論門。</w:t>
      </w:r>
    </w:p>
    <w:p w:rsidR="00157EF6" w:rsidRPr="00043A1E" w:rsidRDefault="00157EF6" w:rsidP="00AA120F">
      <w:pPr>
        <w:pStyle w:val="a5"/>
        <w:ind w:leftChars="75" w:left="180"/>
        <w:jc w:val="both"/>
        <w:rPr>
          <w:rFonts w:eastAsia="標楷體"/>
          <w:szCs w:val="22"/>
        </w:rPr>
      </w:pPr>
      <w:r w:rsidRPr="00043A1E">
        <w:rPr>
          <w:rFonts w:eastAsia="標楷體"/>
          <w:szCs w:val="22"/>
        </w:rPr>
        <w:t>「</w:t>
      </w:r>
      <w:r w:rsidRPr="00043A1E">
        <w:rPr>
          <w:rFonts w:eastAsia="標楷體"/>
          <w:b/>
          <w:szCs w:val="22"/>
        </w:rPr>
        <w:t>成就</w:t>
      </w:r>
      <w:r w:rsidRPr="00043A1E">
        <w:rPr>
          <w:rFonts w:eastAsia="標楷體"/>
          <w:szCs w:val="22"/>
        </w:rPr>
        <w:t>」：這是說一切有部特重的論門。成就，是已得而沒有失去的意思。與成就</w:t>
      </w:r>
      <w:r w:rsidRPr="00043A1E">
        <w:rPr>
          <w:rFonts w:eastAsia="標楷體" w:hint="eastAsia"/>
          <w:szCs w:val="22"/>
        </w:rPr>
        <w:t>、</w:t>
      </w:r>
      <w:r w:rsidRPr="00043A1E">
        <w:rPr>
          <w:rFonts w:eastAsia="標楷體"/>
          <w:szCs w:val="22"/>
        </w:rPr>
        <w:t>不成就相關的，有「得」，「捨」，「退」。</w:t>
      </w:r>
      <w:r w:rsidRPr="00043A1E">
        <w:rPr>
          <w:rFonts w:eastAsia="標楷體"/>
          <w:b/>
          <w:szCs w:val="22"/>
        </w:rPr>
        <w:t>「得」</w:t>
      </w:r>
      <w:r w:rsidRPr="00043A1E">
        <w:rPr>
          <w:rFonts w:eastAsia="標楷體"/>
          <w:szCs w:val="22"/>
        </w:rPr>
        <w:t>，是初得。所以凡是成就的，一定是得的；但有是得的而不成就，那是已得而又失去了。</w:t>
      </w:r>
      <w:r w:rsidRPr="00043A1E">
        <w:rPr>
          <w:rFonts w:eastAsia="標楷體"/>
          <w:b/>
          <w:szCs w:val="22"/>
        </w:rPr>
        <w:t>「捨」</w:t>
      </w:r>
      <w:r w:rsidRPr="00043A1E">
        <w:rPr>
          <w:rFonts w:eastAsia="標楷體"/>
          <w:szCs w:val="22"/>
        </w:rPr>
        <w:t>，是得而又失去了。有捨此而得彼的，也有捨此而不得彼的。</w:t>
      </w:r>
      <w:r w:rsidRPr="00043A1E">
        <w:rPr>
          <w:rFonts w:eastAsia="標楷體"/>
          <w:b/>
          <w:szCs w:val="22"/>
        </w:rPr>
        <w:t>「退」</w:t>
      </w:r>
      <w:r w:rsidRPr="00043A1E">
        <w:rPr>
          <w:rFonts w:eastAsia="標楷體"/>
          <w:szCs w:val="22"/>
        </w:rPr>
        <w:t>，專用於功德法的退失。可能得，由於因緣的乖違而沒有得，也可以名為退。成就</w:t>
      </w:r>
      <w:r w:rsidRPr="00043A1E">
        <w:rPr>
          <w:rFonts w:eastAsia="標楷體"/>
          <w:szCs w:val="22"/>
        </w:rPr>
        <w:t>──</w:t>
      </w:r>
      <w:r w:rsidRPr="00043A1E">
        <w:rPr>
          <w:rFonts w:eastAsia="標楷體"/>
          <w:szCs w:val="22"/>
        </w:rPr>
        <w:t>得，與法不一定是同時的：有得在先而法在後的，有得在後而法在先的，也有法與得同時的。所以成就論門，多約三世說；也常約三性、三界、三學說，分別極為繁密。</w:t>
      </w:r>
    </w:p>
  </w:footnote>
  <w:footnote w:id="668">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szCs w:val="22"/>
        </w:rPr>
        <w:t>〔姚秦〕鳩摩羅什譯，《妙法蓮華經》卷</w:t>
      </w:r>
      <w:r w:rsidRPr="00761EF3">
        <w:rPr>
          <w:szCs w:val="22"/>
        </w:rPr>
        <w:t>1</w:t>
      </w:r>
      <w:r w:rsidRPr="00043A1E">
        <w:rPr>
          <w:szCs w:val="22"/>
        </w:rPr>
        <w:t>〈</w:t>
      </w:r>
      <w:r w:rsidRPr="00761EF3">
        <w:rPr>
          <w:szCs w:val="22"/>
        </w:rPr>
        <w:t>2</w:t>
      </w:r>
      <w:r w:rsidRPr="00043A1E">
        <w:rPr>
          <w:szCs w:val="22"/>
        </w:rPr>
        <w:t xml:space="preserve"> </w:t>
      </w:r>
      <w:r w:rsidRPr="00043A1E">
        <w:rPr>
          <w:szCs w:val="22"/>
        </w:rPr>
        <w:t>方便品〉（大正</w:t>
      </w:r>
      <w:r w:rsidRPr="00761EF3">
        <w:rPr>
          <w:szCs w:val="22"/>
        </w:rPr>
        <w:t>9</w:t>
      </w:r>
      <w:r w:rsidRPr="00043A1E">
        <w:rPr>
          <w:szCs w:val="22"/>
        </w:rPr>
        <w:t>，</w:t>
      </w:r>
      <w:r w:rsidRPr="00761EF3">
        <w:rPr>
          <w:szCs w:val="22"/>
        </w:rPr>
        <w:t>5c10</w:t>
      </w:r>
      <w:r w:rsidRPr="00043A1E">
        <w:rPr>
          <w:szCs w:val="22"/>
        </w:rPr>
        <w:t>-</w:t>
      </w:r>
      <w:r w:rsidRPr="00761EF3">
        <w:rPr>
          <w:szCs w:val="22"/>
        </w:rPr>
        <w:t>13</w:t>
      </w:r>
      <w:r w:rsidRPr="00043A1E">
        <w:rPr>
          <w:szCs w:val="22"/>
        </w:rPr>
        <w:t>）：</w:t>
      </w:r>
    </w:p>
    <w:p w:rsidR="00157EF6" w:rsidRPr="00043A1E" w:rsidRDefault="00157EF6" w:rsidP="00AA120F">
      <w:pPr>
        <w:snapToGrid w:val="0"/>
        <w:ind w:leftChars="75" w:left="180"/>
        <w:jc w:val="both"/>
        <w:rPr>
          <w:rFonts w:ascii="Times New Roman" w:hAnsi="Times New Roman"/>
          <w:sz w:val="22"/>
          <w:szCs w:val="22"/>
        </w:rPr>
      </w:pPr>
      <w:r w:rsidRPr="00043A1E">
        <w:rPr>
          <w:rFonts w:ascii="Times New Roman" w:eastAsia="標楷體" w:hAnsi="Times New Roman"/>
          <w:sz w:val="22"/>
          <w:szCs w:val="22"/>
        </w:rPr>
        <w:t>佛所成就第一希有難解之法，唯佛與佛乃能究盡諸法實相，所謂諸法如是相、如是性、如是體、如是力、如是作、如是因、如是緣、如是果、如是報、如是本末究竟等。</w:t>
      </w:r>
    </w:p>
  </w:footnote>
  <w:footnote w:id="669">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szCs w:val="22"/>
        </w:rPr>
        <w:t>婆藪槃豆釋，〔後魏〕菩提留支</w:t>
      </w:r>
      <w:bookmarkStart w:id="113" w:name="0001a07"/>
      <w:bookmarkEnd w:id="113"/>
      <w:r w:rsidRPr="00043A1E">
        <w:rPr>
          <w:szCs w:val="22"/>
        </w:rPr>
        <w:t>共曇林等譯，《妙法蓮華經憂波提舍》卷</w:t>
      </w:r>
      <w:r w:rsidR="00C803C9">
        <w:rPr>
          <w:rFonts w:hint="eastAsia"/>
          <w:color w:val="FF0000"/>
          <w:szCs w:val="22"/>
          <w:highlight w:val="yellow"/>
        </w:rPr>
        <w:t>上</w:t>
      </w:r>
      <w:r w:rsidRPr="00043A1E">
        <w:rPr>
          <w:szCs w:val="22"/>
        </w:rPr>
        <w:t>〈</w:t>
      </w:r>
      <w:r w:rsidRPr="00761EF3">
        <w:rPr>
          <w:szCs w:val="22"/>
        </w:rPr>
        <w:t>2</w:t>
      </w:r>
      <w:r w:rsidRPr="00043A1E">
        <w:rPr>
          <w:szCs w:val="22"/>
        </w:rPr>
        <w:t xml:space="preserve"> </w:t>
      </w:r>
      <w:r w:rsidRPr="00043A1E">
        <w:rPr>
          <w:szCs w:val="22"/>
        </w:rPr>
        <w:t>方便品〉（大正</w:t>
      </w:r>
      <w:r w:rsidRPr="00761EF3">
        <w:rPr>
          <w:szCs w:val="22"/>
        </w:rPr>
        <w:t>26</w:t>
      </w:r>
      <w:r w:rsidRPr="00043A1E">
        <w:rPr>
          <w:szCs w:val="22"/>
        </w:rPr>
        <w:t>，</w:t>
      </w:r>
      <w:r w:rsidRPr="00761EF3">
        <w:rPr>
          <w:szCs w:val="22"/>
        </w:rPr>
        <w:t>4c23</w:t>
      </w:r>
      <w:r w:rsidRPr="00043A1E">
        <w:rPr>
          <w:szCs w:val="22"/>
        </w:rPr>
        <w:t>-</w:t>
      </w:r>
      <w:r w:rsidRPr="00761EF3">
        <w:rPr>
          <w:szCs w:val="22"/>
        </w:rPr>
        <w:t>28</w:t>
      </w:r>
      <w:r w:rsidRPr="00043A1E">
        <w:rPr>
          <w:szCs w:val="22"/>
        </w:rPr>
        <w:t>）：</w:t>
      </w:r>
    </w:p>
    <w:p w:rsidR="00157EF6" w:rsidRDefault="00157EF6" w:rsidP="00AA120F">
      <w:pPr>
        <w:pStyle w:val="a5"/>
        <w:ind w:leftChars="75" w:left="180"/>
        <w:jc w:val="both"/>
        <w:rPr>
          <w:rFonts w:eastAsia="標楷體"/>
          <w:szCs w:val="22"/>
        </w:rPr>
      </w:pPr>
      <w:r w:rsidRPr="00043A1E">
        <w:rPr>
          <w:rFonts w:eastAsia="標楷體"/>
          <w:szCs w:val="22"/>
        </w:rPr>
        <w:t>舍利弗！唯佛與佛說法，諸佛如來能知彼法究竟實相。舍利弗！唯佛如來知一切法。舍利弗！唯佛如來能說一切法。何等法？云何法？何似法？何相法？何體法？何等、云何、何似、何相、何體</w:t>
      </w:r>
      <w:r w:rsidR="00C44045" w:rsidRPr="007450FC">
        <w:rPr>
          <w:rFonts w:eastAsia="標楷體" w:hint="eastAsia"/>
          <w:color w:val="FF0000"/>
          <w:szCs w:val="22"/>
          <w:highlight w:val="yellow"/>
        </w:rPr>
        <w:t>，</w:t>
      </w:r>
      <w:r w:rsidRPr="00043A1E">
        <w:rPr>
          <w:rFonts w:eastAsia="標楷體"/>
          <w:szCs w:val="22"/>
        </w:rPr>
        <w:t>如是等一切法，如來現見，非不現見。</w:t>
      </w:r>
    </w:p>
    <w:p w:rsidR="00C803C9" w:rsidRPr="00043A1E" w:rsidRDefault="00C803C9" w:rsidP="00C803C9">
      <w:pPr>
        <w:pStyle w:val="a5"/>
        <w:ind w:leftChars="75" w:left="1170" w:hangingChars="450" w:hanging="990"/>
        <w:jc w:val="both"/>
        <w:rPr>
          <w:szCs w:val="22"/>
        </w:rPr>
      </w:pPr>
      <w:r w:rsidRPr="00C803C9">
        <w:rPr>
          <w:rFonts w:ascii="新細明體" w:hAnsi="新細明體" w:hint="eastAsia"/>
          <w:color w:val="FF0000"/>
          <w:szCs w:val="22"/>
          <w:highlight w:val="yellow"/>
        </w:rPr>
        <w:t>※重編案：「</w:t>
      </w:r>
      <w:r w:rsidRPr="00C803C9">
        <w:rPr>
          <w:rFonts w:eastAsia="標楷體" w:hint="eastAsia"/>
          <w:color w:val="FF0000"/>
          <w:szCs w:val="22"/>
          <w:highlight w:val="yellow"/>
        </w:rPr>
        <w:t>何等法</w:t>
      </w:r>
      <w:r w:rsidRPr="00C803C9">
        <w:rPr>
          <w:rFonts w:ascii="新細明體" w:hAnsi="新細明體" w:hint="eastAsia"/>
          <w:color w:val="FF0000"/>
          <w:szCs w:val="22"/>
          <w:highlight w:val="yellow"/>
        </w:rPr>
        <w:t>」乃至「</w:t>
      </w:r>
      <w:r w:rsidRPr="00C803C9">
        <w:rPr>
          <w:rFonts w:eastAsia="標楷體" w:hint="eastAsia"/>
          <w:color w:val="FF0000"/>
          <w:szCs w:val="22"/>
          <w:highlight w:val="yellow"/>
        </w:rPr>
        <w:t>何體法</w:t>
      </w:r>
      <w:r w:rsidRPr="00C803C9">
        <w:rPr>
          <w:rFonts w:ascii="新細明體" w:hAnsi="新細明體" w:hint="eastAsia"/>
          <w:color w:val="FF0000"/>
          <w:szCs w:val="22"/>
          <w:highlight w:val="yellow"/>
        </w:rPr>
        <w:t>」</w:t>
      </w:r>
      <w:r>
        <w:rPr>
          <w:rFonts w:ascii="新細明體" w:hAnsi="新細明體" w:hint="eastAsia"/>
          <w:color w:val="FF0000"/>
          <w:szCs w:val="22"/>
          <w:highlight w:val="yellow"/>
        </w:rPr>
        <w:t>的解釋</w:t>
      </w:r>
      <w:r w:rsidRPr="00C803C9">
        <w:rPr>
          <w:rFonts w:ascii="新細明體" w:hAnsi="新細明體" w:hint="eastAsia"/>
          <w:color w:val="FF0000"/>
          <w:szCs w:val="22"/>
          <w:highlight w:val="yellow"/>
        </w:rPr>
        <w:t>，詳見</w:t>
      </w:r>
      <w:r w:rsidRPr="00C803C9">
        <w:rPr>
          <w:rFonts w:hint="eastAsia"/>
          <w:color w:val="FF0000"/>
          <w:szCs w:val="22"/>
          <w:highlight w:val="yellow"/>
        </w:rPr>
        <w:t>《妙法蓮華經憂波提舍》卷下〈</w:t>
      </w:r>
      <w:r w:rsidRPr="00C803C9">
        <w:rPr>
          <w:rFonts w:hint="eastAsia"/>
          <w:color w:val="FF0000"/>
          <w:szCs w:val="22"/>
          <w:highlight w:val="yellow"/>
        </w:rPr>
        <w:t xml:space="preserve">2 </w:t>
      </w:r>
      <w:r w:rsidRPr="00C803C9">
        <w:rPr>
          <w:rFonts w:hint="eastAsia"/>
          <w:color w:val="FF0000"/>
          <w:szCs w:val="22"/>
          <w:highlight w:val="yellow"/>
        </w:rPr>
        <w:t>方便品〉</w:t>
      </w:r>
      <w:r w:rsidRPr="00C803C9">
        <w:rPr>
          <w:color w:val="FF0000"/>
          <w:szCs w:val="22"/>
          <w:highlight w:val="yellow"/>
        </w:rPr>
        <w:t>（大正</w:t>
      </w:r>
      <w:r w:rsidRPr="00C803C9">
        <w:rPr>
          <w:color w:val="FF0000"/>
          <w:szCs w:val="22"/>
          <w:highlight w:val="yellow"/>
        </w:rPr>
        <w:t>26</w:t>
      </w:r>
      <w:r w:rsidRPr="00C803C9">
        <w:rPr>
          <w:color w:val="FF0000"/>
          <w:szCs w:val="22"/>
          <w:highlight w:val="yellow"/>
        </w:rPr>
        <w:t>，</w:t>
      </w:r>
      <w:r w:rsidRPr="00C803C9">
        <w:rPr>
          <w:rFonts w:hint="eastAsia"/>
          <w:color w:val="FF0000"/>
          <w:szCs w:val="22"/>
          <w:highlight w:val="yellow"/>
        </w:rPr>
        <w:t>6a29-b18</w:t>
      </w:r>
      <w:r w:rsidRPr="00C803C9">
        <w:rPr>
          <w:color w:val="FF0000"/>
          <w:szCs w:val="22"/>
          <w:highlight w:val="yellow"/>
        </w:rPr>
        <w:t>）</w:t>
      </w:r>
      <w:r w:rsidRPr="00C803C9">
        <w:rPr>
          <w:rFonts w:hint="eastAsia"/>
          <w:color w:val="FF0000"/>
          <w:szCs w:val="22"/>
          <w:highlight w:val="yellow"/>
        </w:rPr>
        <w:t>。</w:t>
      </w:r>
    </w:p>
  </w:footnote>
  <w:footnote w:id="670">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szCs w:val="22"/>
        </w:rPr>
        <w:t>〔西晉〕竺法護譯，《正法華經》卷</w:t>
      </w:r>
      <w:r w:rsidRPr="00761EF3">
        <w:rPr>
          <w:szCs w:val="22"/>
        </w:rPr>
        <w:t>1</w:t>
      </w:r>
      <w:r w:rsidRPr="00043A1E">
        <w:rPr>
          <w:szCs w:val="22"/>
        </w:rPr>
        <w:t>〈</w:t>
      </w:r>
      <w:r w:rsidRPr="00761EF3">
        <w:rPr>
          <w:rFonts w:hint="eastAsia"/>
          <w:szCs w:val="22"/>
        </w:rPr>
        <w:t>2</w:t>
      </w:r>
      <w:r w:rsidRPr="00043A1E">
        <w:rPr>
          <w:szCs w:val="22"/>
        </w:rPr>
        <w:t xml:space="preserve"> </w:t>
      </w:r>
      <w:r w:rsidRPr="00043A1E">
        <w:rPr>
          <w:szCs w:val="22"/>
        </w:rPr>
        <w:t>善權品〉（大正</w:t>
      </w:r>
      <w:r w:rsidRPr="00761EF3">
        <w:rPr>
          <w:szCs w:val="22"/>
        </w:rPr>
        <w:t>9</w:t>
      </w:r>
      <w:r w:rsidRPr="00043A1E">
        <w:rPr>
          <w:szCs w:val="22"/>
        </w:rPr>
        <w:t>，</w:t>
      </w:r>
      <w:r w:rsidRPr="00761EF3">
        <w:rPr>
          <w:szCs w:val="22"/>
        </w:rPr>
        <w:t>68a9</w:t>
      </w:r>
      <w:r w:rsidRPr="00043A1E">
        <w:rPr>
          <w:szCs w:val="22"/>
        </w:rPr>
        <w:t>-</w:t>
      </w:r>
      <w:r w:rsidRPr="00761EF3">
        <w:rPr>
          <w:szCs w:val="22"/>
        </w:rPr>
        <w:t>12</w:t>
      </w:r>
      <w:r w:rsidRPr="00043A1E">
        <w:rPr>
          <w:szCs w:val="22"/>
        </w:rPr>
        <w:t>）：</w:t>
      </w:r>
    </w:p>
    <w:p w:rsidR="00157EF6" w:rsidRPr="00043A1E" w:rsidRDefault="00157EF6" w:rsidP="00AA120F">
      <w:pPr>
        <w:pStyle w:val="a5"/>
        <w:ind w:leftChars="75" w:left="180"/>
        <w:jc w:val="both"/>
        <w:rPr>
          <w:szCs w:val="22"/>
        </w:rPr>
      </w:pPr>
      <w:r w:rsidRPr="00043A1E">
        <w:rPr>
          <w:rFonts w:eastAsia="標楷體"/>
          <w:szCs w:val="22"/>
        </w:rPr>
        <w:t>大聖所說得未曾有，巍巍難量，如來皆了諸法所由、從何所來、諸法自然，分別法貌、眾相根本、知法自然。</w:t>
      </w:r>
    </w:p>
  </w:footnote>
  <w:footnote w:id="671">
    <w:p w:rsidR="00157EF6" w:rsidRPr="00043A1E" w:rsidRDefault="00157EF6" w:rsidP="00AA120F">
      <w:pPr>
        <w:pStyle w:val="a5"/>
        <w:ind w:left="187" w:hangingChars="85" w:hanging="187"/>
        <w:jc w:val="both"/>
        <w:rPr>
          <w:szCs w:val="22"/>
        </w:rPr>
      </w:pPr>
      <w:r w:rsidRPr="00043A1E">
        <w:rPr>
          <w:rStyle w:val="a6"/>
          <w:szCs w:val="22"/>
        </w:rPr>
        <w:footnoteRef/>
      </w:r>
      <w:r w:rsidRPr="00043A1E">
        <w:rPr>
          <w:szCs w:val="22"/>
        </w:rPr>
        <w:t xml:space="preserve"> </w:t>
      </w:r>
      <w:r w:rsidRPr="00043A1E">
        <w:rPr>
          <w:szCs w:val="22"/>
        </w:rPr>
        <w:t>限礙：阻礙。（《漢語大詞典》（十一）</w:t>
      </w:r>
      <w:r w:rsidRPr="00043A1E">
        <w:rPr>
          <w:rFonts w:hint="eastAsia"/>
          <w:szCs w:val="22"/>
        </w:rPr>
        <w:t>，</w:t>
      </w:r>
      <w:r w:rsidRPr="00761EF3">
        <w:rPr>
          <w:szCs w:val="22"/>
        </w:rPr>
        <w:t>p</w:t>
      </w:r>
      <w:r w:rsidRPr="00043A1E">
        <w:rPr>
          <w:szCs w:val="22"/>
        </w:rPr>
        <w:t>.</w:t>
      </w:r>
      <w:r w:rsidRPr="00761EF3">
        <w:rPr>
          <w:szCs w:val="22"/>
        </w:rPr>
        <w:t>976</w:t>
      </w:r>
      <w:r w:rsidRPr="00043A1E">
        <w:rPr>
          <w:szCs w:val="22"/>
        </w:rPr>
        <w:t>）</w:t>
      </w:r>
    </w:p>
  </w:footnote>
  <w:footnote w:id="672">
    <w:p w:rsidR="00157EF6" w:rsidRPr="00043A1E" w:rsidRDefault="00157EF6" w:rsidP="00AA120F">
      <w:pPr>
        <w:pStyle w:val="a5"/>
        <w:ind w:left="187" w:hangingChars="85" w:hanging="187"/>
        <w:jc w:val="both"/>
        <w:rPr>
          <w:szCs w:val="22"/>
        </w:rPr>
      </w:pPr>
      <w:r w:rsidRPr="00043A1E">
        <w:rPr>
          <w:rStyle w:val="a6"/>
          <w:szCs w:val="22"/>
        </w:rPr>
        <w:footnoteRef/>
      </w:r>
      <w:r w:rsidRPr="00043A1E">
        <w:rPr>
          <w:szCs w:val="22"/>
        </w:rPr>
        <w:t xml:space="preserve"> </w:t>
      </w:r>
      <w:r w:rsidRPr="00043A1E">
        <w:rPr>
          <w:szCs w:val="22"/>
        </w:rPr>
        <w:t>開通：打通，疏通。（《漢語大詞典》（十二）</w:t>
      </w:r>
      <w:r w:rsidRPr="00043A1E">
        <w:rPr>
          <w:rFonts w:hint="eastAsia"/>
          <w:szCs w:val="22"/>
        </w:rPr>
        <w:t>，</w:t>
      </w:r>
      <w:r w:rsidRPr="00761EF3">
        <w:rPr>
          <w:szCs w:val="22"/>
        </w:rPr>
        <w:t>p</w:t>
      </w:r>
      <w:r w:rsidRPr="00043A1E">
        <w:rPr>
          <w:szCs w:val="22"/>
        </w:rPr>
        <w:t>.</w:t>
      </w:r>
      <w:r w:rsidRPr="00761EF3">
        <w:rPr>
          <w:szCs w:val="22"/>
        </w:rPr>
        <w:t>54</w:t>
      </w:r>
      <w:r w:rsidRPr="00043A1E">
        <w:rPr>
          <w:szCs w:val="22"/>
        </w:rPr>
        <w:t>）</w:t>
      </w:r>
    </w:p>
  </w:footnote>
  <w:footnote w:id="673">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szCs w:val="22"/>
        </w:rPr>
        <w:t>《大智度論》卷</w:t>
      </w:r>
      <w:r w:rsidRPr="00761EF3">
        <w:rPr>
          <w:szCs w:val="22"/>
        </w:rPr>
        <w:t>32</w:t>
      </w:r>
      <w:r w:rsidR="005C0D01">
        <w:rPr>
          <w:rFonts w:hint="eastAsia"/>
          <w:color w:val="FF0000"/>
          <w:szCs w:val="22"/>
          <w:highlight w:val="yellow"/>
        </w:rPr>
        <w:t>釋〈</w:t>
      </w:r>
      <w:r w:rsidR="005C0D01">
        <w:rPr>
          <w:color w:val="FF0000"/>
          <w:szCs w:val="22"/>
          <w:highlight w:val="yellow"/>
        </w:rPr>
        <w:t xml:space="preserve">1 </w:t>
      </w:r>
      <w:r w:rsidR="005C0D01">
        <w:rPr>
          <w:rFonts w:hint="eastAsia"/>
          <w:color w:val="FF0000"/>
          <w:szCs w:val="22"/>
          <w:highlight w:val="yellow"/>
        </w:rPr>
        <w:t>序品〉</w:t>
      </w:r>
      <w:r w:rsidRPr="00043A1E">
        <w:rPr>
          <w:szCs w:val="22"/>
        </w:rPr>
        <w:t>（大正</w:t>
      </w:r>
      <w:r w:rsidRPr="00761EF3">
        <w:rPr>
          <w:szCs w:val="22"/>
        </w:rPr>
        <w:t>25</w:t>
      </w:r>
      <w:r w:rsidRPr="00043A1E">
        <w:rPr>
          <w:szCs w:val="22"/>
        </w:rPr>
        <w:t>，</w:t>
      </w:r>
      <w:r w:rsidRPr="00761EF3">
        <w:rPr>
          <w:szCs w:val="22"/>
        </w:rPr>
        <w:t>298c6</w:t>
      </w:r>
      <w:r w:rsidRPr="00043A1E">
        <w:rPr>
          <w:szCs w:val="22"/>
        </w:rPr>
        <w:t>-</w:t>
      </w:r>
      <w:r w:rsidRPr="00761EF3">
        <w:rPr>
          <w:szCs w:val="22"/>
        </w:rPr>
        <w:t>14</w:t>
      </w:r>
      <w:r w:rsidRPr="00043A1E">
        <w:rPr>
          <w:szCs w:val="22"/>
        </w:rPr>
        <w:t>）：</w:t>
      </w:r>
    </w:p>
    <w:p w:rsidR="00157EF6" w:rsidRPr="00043A1E" w:rsidRDefault="00157EF6" w:rsidP="00AA120F">
      <w:pPr>
        <w:snapToGrid w:val="0"/>
        <w:ind w:leftChars="75" w:left="180"/>
        <w:jc w:val="both"/>
        <w:rPr>
          <w:rFonts w:ascii="Times New Roman" w:hAnsi="Times New Roman"/>
          <w:sz w:val="22"/>
          <w:szCs w:val="22"/>
        </w:rPr>
      </w:pPr>
      <w:r w:rsidRPr="00043A1E">
        <w:rPr>
          <w:rFonts w:ascii="Times New Roman" w:eastAsia="標楷體" w:hAnsi="Times New Roman"/>
          <w:sz w:val="22"/>
          <w:szCs w:val="22"/>
        </w:rPr>
        <w:t>一一法有九種：一者、有體；二者、各各有法；如眼、耳雖同四大造，而眼獨能見，耳無見功；又如火以熱為法，而不能潤；三者、諸法各有力</w:t>
      </w:r>
      <w:r w:rsidRPr="00043A1E">
        <w:rPr>
          <w:rFonts w:ascii="Times New Roman" w:eastAsia="標楷體" w:hAnsi="Times New Roman" w:hint="eastAsia"/>
          <w:sz w:val="22"/>
          <w:szCs w:val="22"/>
        </w:rPr>
        <w:t>，</w:t>
      </w:r>
      <w:r w:rsidRPr="00043A1E">
        <w:rPr>
          <w:rFonts w:ascii="Times New Roman" w:eastAsia="標楷體" w:hAnsi="Times New Roman"/>
          <w:sz w:val="22"/>
          <w:szCs w:val="22"/>
        </w:rPr>
        <w:t>如火以燒為力</w:t>
      </w:r>
      <w:r w:rsidRPr="00043A1E">
        <w:rPr>
          <w:rFonts w:ascii="Times New Roman" w:eastAsia="標楷體" w:hAnsi="Times New Roman" w:hint="eastAsia"/>
          <w:sz w:val="22"/>
          <w:szCs w:val="22"/>
        </w:rPr>
        <w:t>，</w:t>
      </w:r>
      <w:r w:rsidRPr="00043A1E">
        <w:rPr>
          <w:rFonts w:ascii="Times New Roman" w:eastAsia="標楷體" w:hAnsi="Times New Roman"/>
          <w:sz w:val="22"/>
          <w:szCs w:val="22"/>
        </w:rPr>
        <w:t>水以潤為力；四者、諸法各自有因；五者、諸法各自有緣；六者、諸法各自有果；七者、諸法各自有性；八者、諸法各有限礙；九者、諸法各各有開通方便。諸法生時，體及餘法，凡有九事。</w:t>
      </w:r>
    </w:p>
  </w:footnote>
  <w:footnote w:id="674">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《大智度論》卷</w:t>
      </w:r>
      <w:r w:rsidRPr="00761EF3">
        <w:rPr>
          <w:szCs w:val="22"/>
        </w:rPr>
        <w:t>33</w:t>
      </w:r>
      <w:r w:rsidR="005C0D01">
        <w:rPr>
          <w:rFonts w:hint="eastAsia"/>
          <w:color w:val="FF0000"/>
          <w:szCs w:val="22"/>
          <w:highlight w:val="yellow"/>
        </w:rPr>
        <w:t>釋〈</w:t>
      </w:r>
      <w:r w:rsidR="005C0D01">
        <w:rPr>
          <w:color w:val="FF0000"/>
          <w:szCs w:val="22"/>
          <w:highlight w:val="yellow"/>
        </w:rPr>
        <w:t xml:space="preserve">1 </w:t>
      </w:r>
      <w:r w:rsidR="005C0D01">
        <w:rPr>
          <w:rFonts w:hint="eastAsia"/>
          <w:color w:val="FF0000"/>
          <w:szCs w:val="22"/>
          <w:highlight w:val="yellow"/>
        </w:rPr>
        <w:t>序品〉</w:t>
      </w:r>
      <w:r w:rsidRPr="00043A1E">
        <w:rPr>
          <w:szCs w:val="22"/>
        </w:rPr>
        <w:t>（大正</w:t>
      </w:r>
      <w:r w:rsidRPr="00761EF3">
        <w:rPr>
          <w:szCs w:val="22"/>
        </w:rPr>
        <w:t>25</w:t>
      </w:r>
      <w:r w:rsidRPr="00043A1E">
        <w:rPr>
          <w:szCs w:val="22"/>
        </w:rPr>
        <w:t>，</w:t>
      </w:r>
      <w:r w:rsidRPr="00761EF3">
        <w:rPr>
          <w:rFonts w:hint="eastAsia"/>
          <w:szCs w:val="22"/>
        </w:rPr>
        <w:t>303</w:t>
      </w:r>
      <w:r w:rsidRPr="00761EF3">
        <w:rPr>
          <w:szCs w:val="22"/>
        </w:rPr>
        <w:t>a8</w:t>
      </w:r>
      <w:r w:rsidRPr="00043A1E">
        <w:rPr>
          <w:szCs w:val="22"/>
        </w:rPr>
        <w:t>-</w:t>
      </w:r>
      <w:r w:rsidRPr="00761EF3">
        <w:rPr>
          <w:szCs w:val="22"/>
        </w:rPr>
        <w:t>11</w:t>
      </w:r>
      <w:r w:rsidRPr="00043A1E">
        <w:rPr>
          <w:szCs w:val="22"/>
        </w:rPr>
        <w:t>）：</w:t>
      </w:r>
    </w:p>
    <w:p w:rsidR="00157EF6" w:rsidRPr="005C0D01" w:rsidRDefault="005C0D01" w:rsidP="005C0D01">
      <w:pPr>
        <w:pStyle w:val="a5"/>
        <w:ind w:leftChars="105" w:left="252"/>
        <w:jc w:val="both"/>
        <w:rPr>
          <w:rFonts w:eastAsia="標楷體"/>
          <w:szCs w:val="22"/>
        </w:rPr>
      </w:pPr>
      <w:r w:rsidRPr="005C0D01">
        <w:rPr>
          <w:rFonts w:eastAsia="標楷體" w:hint="eastAsia"/>
          <w:color w:val="FF0000"/>
          <w:szCs w:val="22"/>
          <w:highlight w:val="yellow"/>
        </w:rPr>
        <w:t>「</w:t>
      </w:r>
      <w:r w:rsidR="00157EF6" w:rsidRPr="00043A1E">
        <w:rPr>
          <w:rFonts w:eastAsia="標楷體"/>
          <w:szCs w:val="22"/>
        </w:rPr>
        <w:t>法相</w:t>
      </w:r>
      <w:r w:rsidRPr="005C0D01">
        <w:rPr>
          <w:rFonts w:eastAsia="標楷體" w:hint="eastAsia"/>
          <w:color w:val="FF0000"/>
          <w:szCs w:val="22"/>
          <w:highlight w:val="yellow"/>
        </w:rPr>
        <w:t>」</w:t>
      </w:r>
      <w:r w:rsidR="00157EF6" w:rsidRPr="00043A1E">
        <w:rPr>
          <w:rFonts w:eastAsia="標楷體"/>
          <w:szCs w:val="22"/>
        </w:rPr>
        <w:t>名</w:t>
      </w:r>
      <w:r w:rsidRPr="005C0D01">
        <w:rPr>
          <w:rFonts w:eastAsia="標楷體" w:hint="eastAsia"/>
          <w:color w:val="FF0000"/>
          <w:szCs w:val="22"/>
          <w:highlight w:val="yellow"/>
        </w:rPr>
        <w:t>「</w:t>
      </w:r>
      <w:r w:rsidR="00157EF6" w:rsidRPr="00043A1E">
        <w:rPr>
          <w:rFonts w:eastAsia="標楷體"/>
          <w:szCs w:val="22"/>
        </w:rPr>
        <w:t>諸法</w:t>
      </w:r>
      <w:r w:rsidR="00157EF6" w:rsidRPr="00043A1E">
        <w:rPr>
          <w:rFonts w:eastAsia="標楷體"/>
          <w:b/>
          <w:szCs w:val="22"/>
        </w:rPr>
        <w:t>業</w:t>
      </w:r>
      <w:r w:rsidRPr="005C0D01">
        <w:rPr>
          <w:rFonts w:eastAsia="標楷體" w:hint="eastAsia"/>
          <w:color w:val="FF0000"/>
          <w:szCs w:val="22"/>
          <w:highlight w:val="yellow"/>
        </w:rPr>
        <w:t>」</w:t>
      </w:r>
      <w:r>
        <w:rPr>
          <w:rFonts w:eastAsia="標楷體" w:hint="eastAsia"/>
          <w:color w:val="FF0000"/>
          <w:szCs w:val="22"/>
          <w:highlight w:val="yellow"/>
        </w:rPr>
        <w:t>、</w:t>
      </w:r>
      <w:r w:rsidR="00157EF6" w:rsidRPr="00043A1E">
        <w:rPr>
          <w:rFonts w:eastAsia="標楷體"/>
          <w:szCs w:val="22"/>
        </w:rPr>
        <w:t>諸法</w:t>
      </w:r>
      <w:r w:rsidRPr="005C0D01">
        <w:rPr>
          <w:rFonts w:eastAsia="標楷體" w:hint="eastAsia"/>
          <w:color w:val="FF0000"/>
          <w:szCs w:val="22"/>
          <w:highlight w:val="yellow"/>
        </w:rPr>
        <w:t>「</w:t>
      </w:r>
      <w:r w:rsidR="00157EF6" w:rsidRPr="00043A1E">
        <w:rPr>
          <w:rFonts w:eastAsia="標楷體"/>
          <w:b/>
          <w:szCs w:val="22"/>
        </w:rPr>
        <w:t>所作</w:t>
      </w:r>
      <w:r w:rsidR="00157EF6" w:rsidRPr="00043A1E">
        <w:rPr>
          <w:rFonts w:eastAsia="標楷體"/>
          <w:szCs w:val="22"/>
        </w:rPr>
        <w:t>、</w:t>
      </w:r>
      <w:r w:rsidR="00157EF6" w:rsidRPr="00043A1E">
        <w:rPr>
          <w:rFonts w:eastAsia="標楷體"/>
          <w:b/>
          <w:szCs w:val="22"/>
        </w:rPr>
        <w:t>力</w:t>
      </w:r>
      <w:r w:rsidR="00157EF6" w:rsidRPr="00043A1E">
        <w:rPr>
          <w:rFonts w:eastAsia="標楷體"/>
          <w:szCs w:val="22"/>
        </w:rPr>
        <w:t>、</w:t>
      </w:r>
      <w:r w:rsidR="00157EF6" w:rsidRPr="00043A1E">
        <w:rPr>
          <w:rFonts w:eastAsia="標楷體"/>
          <w:b/>
          <w:szCs w:val="22"/>
        </w:rPr>
        <w:t>因、緣、果、報</w:t>
      </w:r>
      <w:r w:rsidRPr="005C0D01">
        <w:rPr>
          <w:rFonts w:eastAsia="標楷體" w:hint="eastAsia"/>
          <w:color w:val="FF0000"/>
          <w:szCs w:val="22"/>
          <w:highlight w:val="yellow"/>
        </w:rPr>
        <w:t>」</w:t>
      </w:r>
      <w:r w:rsidR="00157EF6" w:rsidRPr="00043A1E">
        <w:rPr>
          <w:rFonts w:eastAsia="標楷體"/>
          <w:szCs w:val="22"/>
        </w:rPr>
        <w:t>。如火為熱相</w:t>
      </w:r>
      <w:r>
        <w:rPr>
          <w:rFonts w:eastAsia="標楷體" w:hint="eastAsia"/>
          <w:color w:val="FF0000"/>
          <w:szCs w:val="22"/>
          <w:highlight w:val="yellow"/>
        </w:rPr>
        <w:t>、</w:t>
      </w:r>
      <w:r w:rsidR="00157EF6" w:rsidRPr="00043A1E">
        <w:rPr>
          <w:rFonts w:eastAsia="標楷體"/>
          <w:szCs w:val="22"/>
        </w:rPr>
        <w:t>水為濕相；如是諸法中分別</w:t>
      </w:r>
      <w:r w:rsidRPr="005C0D01">
        <w:rPr>
          <w:rFonts w:eastAsia="標楷體" w:hint="eastAsia"/>
          <w:color w:val="FF0000"/>
          <w:szCs w:val="22"/>
          <w:highlight w:val="yellow"/>
        </w:rPr>
        <w:t>「</w:t>
      </w:r>
      <w:r w:rsidR="00157EF6" w:rsidRPr="00043A1E">
        <w:rPr>
          <w:rFonts w:eastAsia="標楷體"/>
          <w:szCs w:val="22"/>
        </w:rPr>
        <w:t>因、緣、果、報</w:t>
      </w:r>
      <w:r w:rsidRPr="005C0D01">
        <w:rPr>
          <w:rFonts w:eastAsia="標楷體" w:hint="eastAsia"/>
          <w:color w:val="FF0000"/>
          <w:szCs w:val="22"/>
          <w:highlight w:val="yellow"/>
        </w:rPr>
        <w:t>」</w:t>
      </w:r>
      <w:r w:rsidR="00157EF6" w:rsidRPr="00043A1E">
        <w:rPr>
          <w:rFonts w:eastAsia="標楷體"/>
          <w:szCs w:val="22"/>
        </w:rPr>
        <w:t>各各別相</w:t>
      </w:r>
      <w:r>
        <w:rPr>
          <w:rFonts w:eastAsia="標楷體" w:hint="eastAsia"/>
          <w:color w:val="FF0000"/>
          <w:szCs w:val="22"/>
          <w:highlight w:val="yellow"/>
        </w:rPr>
        <w:t>。</w:t>
      </w:r>
      <w:r w:rsidR="00157EF6" w:rsidRPr="00043A1E">
        <w:rPr>
          <w:rFonts w:eastAsia="標楷體"/>
          <w:szCs w:val="22"/>
        </w:rPr>
        <w:t>如</w:t>
      </w:r>
      <w:r w:rsidRPr="005C0D01">
        <w:rPr>
          <w:rFonts w:eastAsia="標楷體" w:hint="eastAsia"/>
          <w:color w:val="FF0000"/>
          <w:szCs w:val="22"/>
          <w:highlight w:val="yellow"/>
        </w:rPr>
        <w:t>「</w:t>
      </w:r>
      <w:r w:rsidR="00157EF6" w:rsidRPr="00043A1E">
        <w:rPr>
          <w:rFonts w:eastAsia="標楷體"/>
          <w:szCs w:val="22"/>
        </w:rPr>
        <w:t>是處非處力</w:t>
      </w:r>
      <w:r w:rsidRPr="005C0D01">
        <w:rPr>
          <w:rFonts w:eastAsia="標楷體" w:hint="eastAsia"/>
          <w:color w:val="FF0000"/>
          <w:szCs w:val="22"/>
          <w:highlight w:val="yellow"/>
        </w:rPr>
        <w:t>」</w:t>
      </w:r>
      <w:r w:rsidR="00157EF6" w:rsidRPr="00043A1E">
        <w:rPr>
          <w:rFonts w:eastAsia="標楷體"/>
          <w:szCs w:val="22"/>
        </w:rPr>
        <w:t>中說</w:t>
      </w:r>
      <w:r>
        <w:rPr>
          <w:rFonts w:eastAsia="標楷體" w:hint="eastAsia"/>
          <w:color w:val="FF0000"/>
          <w:szCs w:val="22"/>
          <w:highlight w:val="yellow"/>
        </w:rPr>
        <w:t>。</w:t>
      </w:r>
      <w:r w:rsidR="00157EF6" w:rsidRPr="00043A1E">
        <w:rPr>
          <w:rFonts w:eastAsia="標楷體"/>
          <w:szCs w:val="22"/>
        </w:rPr>
        <w:t>是名</w:t>
      </w:r>
      <w:r w:rsidRPr="005C0D01">
        <w:rPr>
          <w:rFonts w:eastAsia="標楷體" w:hint="eastAsia"/>
          <w:color w:val="FF0000"/>
          <w:szCs w:val="22"/>
          <w:highlight w:val="yellow"/>
        </w:rPr>
        <w:t>「</w:t>
      </w:r>
      <w:r w:rsidR="00157EF6" w:rsidRPr="00043A1E">
        <w:rPr>
          <w:rFonts w:eastAsia="標楷體"/>
          <w:szCs w:val="22"/>
        </w:rPr>
        <w:t>世間法相</w:t>
      </w:r>
      <w:r w:rsidRPr="005C0D01">
        <w:rPr>
          <w:rFonts w:eastAsia="標楷體" w:hint="eastAsia"/>
          <w:color w:val="FF0000"/>
          <w:szCs w:val="22"/>
          <w:highlight w:val="yellow"/>
        </w:rPr>
        <w:t>」</w:t>
      </w:r>
      <w:r w:rsidR="00157EF6" w:rsidRPr="00043A1E">
        <w:rPr>
          <w:rFonts w:eastAsia="標楷體"/>
          <w:szCs w:val="22"/>
        </w:rPr>
        <w:t>。</w:t>
      </w:r>
    </w:p>
  </w:footnote>
  <w:footnote w:id="675">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《大智度論》卷</w:t>
      </w:r>
      <w:r w:rsidRPr="00761EF3">
        <w:rPr>
          <w:szCs w:val="22"/>
        </w:rPr>
        <w:t>27</w:t>
      </w:r>
      <w:r w:rsidR="005C0D01">
        <w:rPr>
          <w:rFonts w:hint="eastAsia"/>
          <w:color w:val="FF0000"/>
          <w:szCs w:val="22"/>
          <w:highlight w:val="yellow"/>
        </w:rPr>
        <w:t>釋〈</w:t>
      </w:r>
      <w:r w:rsidR="005C0D01">
        <w:rPr>
          <w:color w:val="FF0000"/>
          <w:szCs w:val="22"/>
          <w:highlight w:val="yellow"/>
        </w:rPr>
        <w:t xml:space="preserve">1 </w:t>
      </w:r>
      <w:r w:rsidR="005C0D01">
        <w:rPr>
          <w:rFonts w:hint="eastAsia"/>
          <w:color w:val="FF0000"/>
          <w:szCs w:val="22"/>
          <w:highlight w:val="yellow"/>
        </w:rPr>
        <w:t>序品〉</w:t>
      </w:r>
      <w:r w:rsidRPr="00043A1E">
        <w:rPr>
          <w:szCs w:val="22"/>
        </w:rPr>
        <w:t>（大正</w:t>
      </w:r>
      <w:r w:rsidRPr="00761EF3">
        <w:rPr>
          <w:szCs w:val="22"/>
        </w:rPr>
        <w:t>25</w:t>
      </w:r>
      <w:r w:rsidRPr="00043A1E">
        <w:rPr>
          <w:szCs w:val="22"/>
        </w:rPr>
        <w:t>，</w:t>
      </w:r>
      <w:r w:rsidRPr="00761EF3">
        <w:rPr>
          <w:szCs w:val="22"/>
        </w:rPr>
        <w:t>260b4</w:t>
      </w:r>
      <w:r w:rsidRPr="00043A1E">
        <w:rPr>
          <w:szCs w:val="22"/>
        </w:rPr>
        <w:t>-</w:t>
      </w:r>
      <w:r w:rsidRPr="00761EF3">
        <w:rPr>
          <w:szCs w:val="22"/>
        </w:rPr>
        <w:t>6</w:t>
      </w:r>
      <w:r w:rsidRPr="00043A1E">
        <w:rPr>
          <w:szCs w:val="22"/>
        </w:rPr>
        <w:t>）：</w:t>
      </w:r>
    </w:p>
    <w:p w:rsidR="00157EF6" w:rsidRPr="00043A1E" w:rsidRDefault="00157EF6" w:rsidP="00AA120F">
      <w:pPr>
        <w:pStyle w:val="a5"/>
        <w:ind w:leftChars="105" w:left="252"/>
        <w:jc w:val="both"/>
        <w:rPr>
          <w:szCs w:val="22"/>
        </w:rPr>
      </w:pPr>
      <w:r w:rsidRPr="00043A1E">
        <w:rPr>
          <w:rFonts w:eastAsia="標楷體"/>
          <w:szCs w:val="22"/>
        </w:rPr>
        <w:t>佛知是一切法，一相、異相，漏相、非漏相，作相、非作相等，</w:t>
      </w:r>
      <w:r w:rsidRPr="00043A1E">
        <w:rPr>
          <w:rFonts w:eastAsia="標楷體"/>
          <w:b/>
          <w:szCs w:val="22"/>
        </w:rPr>
        <w:t>一切法各各相，各各力，各各</w:t>
      </w:r>
      <w:r w:rsidRPr="00B6071A">
        <w:rPr>
          <w:rFonts w:eastAsia="標楷體"/>
          <w:b/>
          <w:szCs w:val="22"/>
          <w:highlight w:val="yellow"/>
        </w:rPr>
        <w:t>因緣</w:t>
      </w:r>
      <w:r w:rsidRPr="00043A1E">
        <w:rPr>
          <w:rFonts w:eastAsia="標楷體"/>
          <w:b/>
          <w:szCs w:val="22"/>
        </w:rPr>
        <w:t>，各各果報，各各性，各各得，各各失</w:t>
      </w:r>
      <w:r w:rsidRPr="00043A1E">
        <w:rPr>
          <w:rFonts w:eastAsia="標楷體"/>
          <w:szCs w:val="22"/>
        </w:rPr>
        <w:t>；一切智慧力故，一切世一切種盡遍解知。</w:t>
      </w:r>
    </w:p>
  </w:footnote>
  <w:footnote w:id="676">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窮原竟委：比喻深入探求事物的始末。（《漢語大詞典》（八）</w:t>
      </w:r>
      <w:r w:rsidRPr="00043A1E">
        <w:rPr>
          <w:rFonts w:hint="eastAsia"/>
          <w:szCs w:val="22"/>
        </w:rPr>
        <w:t>，</w:t>
      </w:r>
      <w:r w:rsidRPr="00761EF3">
        <w:rPr>
          <w:szCs w:val="22"/>
        </w:rPr>
        <w:t>p</w:t>
      </w:r>
      <w:r w:rsidRPr="00043A1E">
        <w:rPr>
          <w:szCs w:val="22"/>
        </w:rPr>
        <w:t>.</w:t>
      </w:r>
      <w:r w:rsidRPr="00761EF3">
        <w:rPr>
          <w:szCs w:val="22"/>
        </w:rPr>
        <w:t>466</w:t>
      </w:r>
      <w:r w:rsidRPr="00043A1E">
        <w:rPr>
          <w:szCs w:val="22"/>
        </w:rPr>
        <w:t>）</w:t>
      </w:r>
    </w:p>
  </w:footnote>
  <w:footnote w:id="677">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szCs w:val="22"/>
        </w:rPr>
        <w:t>）〔隋〕灌頂撰，《天台八教大意</w:t>
      </w:r>
      <w:r w:rsidRPr="0077258A">
        <w:rPr>
          <w:szCs w:val="22"/>
          <w:highlight w:val="yellow"/>
        </w:rPr>
        <w:t>》（</w:t>
      </w:r>
      <w:r w:rsidRPr="00043A1E">
        <w:rPr>
          <w:szCs w:val="22"/>
        </w:rPr>
        <w:t>大正</w:t>
      </w:r>
      <w:r w:rsidRPr="00761EF3">
        <w:rPr>
          <w:szCs w:val="22"/>
        </w:rPr>
        <w:t>46</w:t>
      </w:r>
      <w:r w:rsidRPr="00043A1E">
        <w:rPr>
          <w:szCs w:val="22"/>
        </w:rPr>
        <w:t>，</w:t>
      </w:r>
      <w:r w:rsidRPr="00761EF3">
        <w:rPr>
          <w:szCs w:val="22"/>
        </w:rPr>
        <w:t>771a14</w:t>
      </w:r>
      <w:r w:rsidRPr="00043A1E">
        <w:rPr>
          <w:szCs w:val="22"/>
        </w:rPr>
        <w:t>-</w:t>
      </w:r>
      <w:r w:rsidRPr="00761EF3">
        <w:rPr>
          <w:szCs w:val="22"/>
        </w:rPr>
        <w:t>27</w:t>
      </w:r>
      <w:r w:rsidRPr="00043A1E">
        <w:rPr>
          <w:szCs w:val="22"/>
        </w:rPr>
        <w:t>）：</w:t>
      </w:r>
    </w:p>
    <w:p w:rsidR="00157EF6" w:rsidRPr="00043A1E" w:rsidRDefault="00157EF6" w:rsidP="00AA120F">
      <w:pPr>
        <w:pStyle w:val="a5"/>
        <w:ind w:leftChars="335" w:left="804"/>
        <w:jc w:val="both"/>
        <w:rPr>
          <w:rFonts w:eastAsia="標楷體"/>
          <w:szCs w:val="22"/>
        </w:rPr>
      </w:pPr>
      <w:r w:rsidRPr="00043A1E">
        <w:rPr>
          <w:rFonts w:eastAsia="標楷體"/>
          <w:szCs w:val="22"/>
        </w:rPr>
        <w:t>今亦約有門明於</w:t>
      </w:r>
      <w:r w:rsidRPr="00043A1E">
        <w:rPr>
          <w:rFonts w:eastAsia="標楷體"/>
          <w:b/>
          <w:szCs w:val="22"/>
        </w:rPr>
        <w:t>十法成乘</w:t>
      </w:r>
      <w:r w:rsidRPr="00043A1E">
        <w:rPr>
          <w:rFonts w:eastAsia="標楷體"/>
          <w:szCs w:val="22"/>
        </w:rPr>
        <w:t>：初、明觀境，即六道陰入，能觀</w:t>
      </w:r>
      <w:r w:rsidR="00B6071A">
        <w:rPr>
          <w:rFonts w:eastAsia="標楷體" w:hint="eastAsia"/>
          <w:color w:val="FF0000"/>
          <w:szCs w:val="22"/>
          <w:highlight w:val="yellow"/>
        </w:rPr>
        <w:t>、</w:t>
      </w:r>
      <w:r w:rsidRPr="00043A1E">
        <w:rPr>
          <w:rFonts w:eastAsia="標楷體"/>
          <w:szCs w:val="22"/>
        </w:rPr>
        <w:t>所觀皆如幻化。二、明發心</w:t>
      </w:r>
      <w:r w:rsidR="00B6071A">
        <w:rPr>
          <w:rFonts w:eastAsia="標楷體" w:hint="eastAsia"/>
          <w:color w:val="FF0000"/>
          <w:szCs w:val="22"/>
          <w:highlight w:val="yellow"/>
        </w:rPr>
        <w:t>：</w:t>
      </w:r>
      <w:r w:rsidRPr="00043A1E">
        <w:rPr>
          <w:rFonts w:eastAsia="標楷體"/>
          <w:szCs w:val="22"/>
        </w:rPr>
        <w:t>二乘緣真</w:t>
      </w:r>
      <w:r w:rsidR="00B6071A">
        <w:rPr>
          <w:rFonts w:eastAsia="標楷體" w:hint="eastAsia"/>
          <w:color w:val="FF0000"/>
          <w:szCs w:val="22"/>
          <w:highlight w:val="yellow"/>
        </w:rPr>
        <w:t>、</w:t>
      </w:r>
      <w:r w:rsidRPr="00043A1E">
        <w:rPr>
          <w:rFonts w:eastAsia="標楷體"/>
          <w:szCs w:val="22"/>
        </w:rPr>
        <w:t>自行</w:t>
      </w:r>
      <w:r w:rsidR="00B6071A" w:rsidRPr="00B6071A">
        <w:rPr>
          <w:rFonts w:eastAsia="標楷體" w:hint="eastAsia"/>
          <w:color w:val="FF0000"/>
          <w:szCs w:val="22"/>
          <w:highlight w:val="yellow"/>
        </w:rPr>
        <w:t>；</w:t>
      </w:r>
      <w:r w:rsidRPr="00043A1E">
        <w:rPr>
          <w:rFonts w:eastAsia="標楷體"/>
          <w:szCs w:val="22"/>
        </w:rPr>
        <w:t>菩薩體幻</w:t>
      </w:r>
      <w:r w:rsidR="00B6071A" w:rsidRPr="00B6071A">
        <w:rPr>
          <w:rFonts w:eastAsia="標楷體" w:hint="eastAsia"/>
          <w:color w:val="FF0000"/>
          <w:szCs w:val="22"/>
          <w:highlight w:val="yellow"/>
        </w:rPr>
        <w:t>，</w:t>
      </w:r>
      <w:r w:rsidRPr="00043A1E">
        <w:rPr>
          <w:rFonts w:eastAsia="標楷體"/>
          <w:szCs w:val="22"/>
        </w:rPr>
        <w:t>兼人與樂拔苦</w:t>
      </w:r>
      <w:r w:rsidR="00B6071A" w:rsidRPr="00B6071A">
        <w:rPr>
          <w:rFonts w:eastAsia="標楷體" w:hint="eastAsia"/>
          <w:color w:val="FF0000"/>
          <w:szCs w:val="22"/>
          <w:highlight w:val="yellow"/>
        </w:rPr>
        <w:t>，</w:t>
      </w:r>
      <w:r w:rsidRPr="00043A1E">
        <w:rPr>
          <w:rFonts w:eastAsia="標楷體"/>
          <w:szCs w:val="22"/>
        </w:rPr>
        <w:t>譬於鏡像。三、安心定慧</w:t>
      </w:r>
      <w:r w:rsidR="00B6071A" w:rsidRPr="00B6071A">
        <w:rPr>
          <w:rFonts w:eastAsia="標楷體" w:hint="eastAsia"/>
          <w:color w:val="FF0000"/>
          <w:szCs w:val="22"/>
          <w:highlight w:val="yellow"/>
        </w:rPr>
        <w:t>：</w:t>
      </w:r>
      <w:r w:rsidRPr="00B6071A">
        <w:rPr>
          <w:rFonts w:eastAsia="標楷體"/>
          <w:szCs w:val="22"/>
          <w:highlight w:val="yellow"/>
        </w:rPr>
        <w:t>前雖</w:t>
      </w:r>
      <w:r w:rsidRPr="00043A1E">
        <w:rPr>
          <w:rFonts w:eastAsia="標楷體"/>
          <w:szCs w:val="22"/>
        </w:rPr>
        <w:t>止觀並空</w:t>
      </w:r>
      <w:r w:rsidR="00B6071A" w:rsidRPr="00B6071A">
        <w:rPr>
          <w:rFonts w:eastAsia="標楷體" w:hint="eastAsia"/>
          <w:color w:val="FF0000"/>
          <w:szCs w:val="22"/>
          <w:highlight w:val="yellow"/>
        </w:rPr>
        <w:t>，</w:t>
      </w:r>
      <w:r w:rsidRPr="00043A1E">
        <w:rPr>
          <w:rFonts w:eastAsia="標楷體"/>
          <w:szCs w:val="22"/>
        </w:rPr>
        <w:t>如</w:t>
      </w:r>
      <w:r w:rsidRPr="00B6071A">
        <w:rPr>
          <w:rFonts w:eastAsia="標楷體"/>
          <w:szCs w:val="22"/>
          <w:highlight w:val="yellow"/>
        </w:rPr>
        <w:t>空而</w:t>
      </w:r>
      <w:r w:rsidRPr="00043A1E">
        <w:rPr>
          <w:rFonts w:eastAsia="標楷體"/>
          <w:szCs w:val="22"/>
        </w:rPr>
        <w:t>安二法</w:t>
      </w:r>
      <w:r w:rsidRPr="00043A1E">
        <w:rPr>
          <w:rFonts w:eastAsia="標楷體" w:hint="eastAsia"/>
          <w:szCs w:val="22"/>
        </w:rPr>
        <w:t>。</w:t>
      </w:r>
      <w:r w:rsidRPr="00043A1E">
        <w:rPr>
          <w:rFonts w:eastAsia="標楷體"/>
          <w:szCs w:val="22"/>
        </w:rPr>
        <w:t>四、破法遍</w:t>
      </w:r>
      <w:r w:rsidR="00B6071A">
        <w:rPr>
          <w:rFonts w:eastAsia="標楷體" w:hint="eastAsia"/>
          <w:color w:val="FF0000"/>
          <w:szCs w:val="22"/>
          <w:highlight w:val="yellow"/>
        </w:rPr>
        <w:t>：</w:t>
      </w:r>
      <w:r w:rsidRPr="00043A1E">
        <w:rPr>
          <w:rFonts w:eastAsia="標楷體"/>
          <w:szCs w:val="22"/>
        </w:rPr>
        <w:t>用幻化之慧，破幻化</w:t>
      </w:r>
      <w:r w:rsidR="00115686" w:rsidRPr="005C0D01">
        <w:rPr>
          <w:rFonts w:eastAsia="標楷體" w:hint="eastAsia"/>
          <w:color w:val="FF0000"/>
          <w:szCs w:val="22"/>
          <w:highlight w:val="yellow"/>
        </w:rPr>
        <w:t>「</w:t>
      </w:r>
      <w:r w:rsidRPr="00043A1E">
        <w:rPr>
          <w:rFonts w:eastAsia="標楷體"/>
          <w:szCs w:val="22"/>
        </w:rPr>
        <w:t>見</w:t>
      </w:r>
      <w:r w:rsidRPr="00043A1E">
        <w:rPr>
          <w:rFonts w:eastAsia="標楷體" w:hint="eastAsia"/>
          <w:szCs w:val="22"/>
        </w:rPr>
        <w:t>、</w:t>
      </w:r>
      <w:r w:rsidRPr="00043A1E">
        <w:rPr>
          <w:rFonts w:eastAsia="標楷體"/>
          <w:szCs w:val="22"/>
        </w:rPr>
        <w:t>思</w:t>
      </w:r>
      <w:r w:rsidR="00115686" w:rsidRPr="005C0D01">
        <w:rPr>
          <w:rFonts w:eastAsia="標楷體" w:hint="eastAsia"/>
          <w:color w:val="FF0000"/>
          <w:szCs w:val="22"/>
          <w:highlight w:val="yellow"/>
        </w:rPr>
        <w:t>」</w:t>
      </w:r>
      <w:r w:rsidRPr="00043A1E">
        <w:rPr>
          <w:rFonts w:eastAsia="標楷體"/>
          <w:szCs w:val="22"/>
        </w:rPr>
        <w:t>。</w:t>
      </w:r>
      <w:r w:rsidRPr="00043A1E">
        <w:rPr>
          <w:rFonts w:eastAsia="標楷體"/>
          <w:b/>
          <w:szCs w:val="22"/>
        </w:rPr>
        <w:t>五、識通塞，雖知苦</w:t>
      </w:r>
      <w:r w:rsidRPr="00043A1E">
        <w:rPr>
          <w:rFonts w:eastAsia="標楷體" w:hint="eastAsia"/>
          <w:b/>
          <w:szCs w:val="22"/>
        </w:rPr>
        <w:t>、</w:t>
      </w:r>
      <w:r w:rsidRPr="00043A1E">
        <w:rPr>
          <w:rFonts w:eastAsia="標楷體"/>
          <w:b/>
          <w:szCs w:val="22"/>
        </w:rPr>
        <w:t>集</w:t>
      </w:r>
      <w:r w:rsidRPr="00043A1E">
        <w:rPr>
          <w:rFonts w:eastAsia="標楷體" w:hint="eastAsia"/>
          <w:b/>
          <w:szCs w:val="22"/>
        </w:rPr>
        <w:t>、</w:t>
      </w:r>
      <w:r w:rsidRPr="00043A1E">
        <w:rPr>
          <w:rFonts w:eastAsia="標楷體"/>
          <w:b/>
          <w:szCs w:val="22"/>
        </w:rPr>
        <w:t>十二緣生及六蔽</w:t>
      </w:r>
      <w:r w:rsidRPr="00C803C9">
        <w:rPr>
          <w:rFonts w:eastAsia="標楷體"/>
          <w:b/>
          <w:szCs w:val="22"/>
          <w:highlight w:val="yellow"/>
        </w:rPr>
        <w:t>等皆</w:t>
      </w:r>
      <w:r w:rsidRPr="00043A1E">
        <w:rPr>
          <w:rFonts w:eastAsia="標楷體"/>
          <w:b/>
          <w:szCs w:val="22"/>
        </w:rPr>
        <w:t>如幻化</w:t>
      </w:r>
      <w:r w:rsidR="00C803C9">
        <w:rPr>
          <w:rFonts w:eastAsia="標楷體" w:hint="eastAsia"/>
          <w:b/>
          <w:color w:val="FF0000"/>
          <w:szCs w:val="22"/>
          <w:highlight w:val="yellow"/>
        </w:rPr>
        <w:t>，</w:t>
      </w:r>
      <w:r w:rsidRPr="00043A1E">
        <w:rPr>
          <w:rFonts w:eastAsia="標楷體"/>
          <w:b/>
          <w:szCs w:val="22"/>
        </w:rPr>
        <w:t>亦以幻化道</w:t>
      </w:r>
      <w:r w:rsidRPr="00043A1E">
        <w:rPr>
          <w:rFonts w:eastAsia="標楷體" w:hint="eastAsia"/>
          <w:b/>
          <w:szCs w:val="22"/>
        </w:rPr>
        <w:t>、</w:t>
      </w:r>
      <w:r w:rsidRPr="00043A1E">
        <w:rPr>
          <w:rFonts w:eastAsia="標楷體"/>
          <w:b/>
          <w:szCs w:val="22"/>
        </w:rPr>
        <w:t>滅</w:t>
      </w:r>
      <w:r w:rsidRPr="00043A1E">
        <w:rPr>
          <w:rFonts w:eastAsia="標楷體" w:hint="eastAsia"/>
          <w:b/>
          <w:szCs w:val="22"/>
        </w:rPr>
        <w:t>、</w:t>
      </w:r>
      <w:r w:rsidRPr="00043A1E">
        <w:rPr>
          <w:rFonts w:eastAsia="標楷體"/>
          <w:b/>
          <w:szCs w:val="22"/>
        </w:rPr>
        <w:t>十二緣滅及六度等通之，節節檢校</w:t>
      </w:r>
      <w:r w:rsidR="00B6071A" w:rsidRPr="00B6071A">
        <w:rPr>
          <w:rFonts w:eastAsia="標楷體" w:hint="eastAsia"/>
          <w:b/>
          <w:color w:val="FF0000"/>
          <w:szCs w:val="22"/>
          <w:highlight w:val="yellow"/>
        </w:rPr>
        <w:t>，</w:t>
      </w:r>
      <w:r w:rsidRPr="00043A1E">
        <w:rPr>
          <w:rFonts w:eastAsia="標楷體"/>
          <w:b/>
          <w:szCs w:val="22"/>
        </w:rPr>
        <w:t>皆如幻化。</w:t>
      </w:r>
      <w:r w:rsidRPr="00043A1E">
        <w:rPr>
          <w:rFonts w:eastAsia="標楷體"/>
          <w:szCs w:val="22"/>
        </w:rPr>
        <w:t>六、道品調適者，以不可得心修三十七品也。七、對治者，體三藏法無常</w:t>
      </w:r>
      <w:r w:rsidRPr="00043A1E">
        <w:rPr>
          <w:rFonts w:eastAsia="標楷體" w:hint="eastAsia"/>
          <w:szCs w:val="22"/>
        </w:rPr>
        <w:t>、</w:t>
      </w:r>
      <w:r w:rsidRPr="00043A1E">
        <w:rPr>
          <w:rFonts w:eastAsia="標楷體"/>
          <w:szCs w:val="22"/>
        </w:rPr>
        <w:t>苦</w:t>
      </w:r>
      <w:r w:rsidRPr="00043A1E">
        <w:rPr>
          <w:rFonts w:eastAsia="標楷體" w:hint="eastAsia"/>
          <w:szCs w:val="22"/>
        </w:rPr>
        <w:t>、</w:t>
      </w:r>
      <w:r w:rsidRPr="00043A1E">
        <w:rPr>
          <w:rFonts w:eastAsia="標楷體"/>
          <w:szCs w:val="22"/>
        </w:rPr>
        <w:t>空</w:t>
      </w:r>
      <w:r w:rsidR="00B6071A" w:rsidRPr="00B6071A">
        <w:rPr>
          <w:rFonts w:eastAsia="標楷體" w:hint="eastAsia"/>
          <w:color w:val="FF0000"/>
          <w:szCs w:val="22"/>
          <w:highlight w:val="yellow"/>
        </w:rPr>
        <w:t>，</w:t>
      </w:r>
      <w:r w:rsidRPr="00043A1E">
        <w:rPr>
          <w:rFonts w:eastAsia="標楷體"/>
          <w:szCs w:val="22"/>
        </w:rPr>
        <w:t>如幻而治。八、識次位者，了乾慧等十地因果，三人殊途</w:t>
      </w:r>
      <w:r w:rsidR="00B6071A" w:rsidRPr="00B6071A">
        <w:rPr>
          <w:rFonts w:eastAsia="標楷體" w:hint="eastAsia"/>
          <w:color w:val="FF0000"/>
          <w:szCs w:val="22"/>
          <w:highlight w:val="yellow"/>
        </w:rPr>
        <w:t>，</w:t>
      </w:r>
      <w:r w:rsidRPr="00043A1E">
        <w:rPr>
          <w:rFonts w:eastAsia="標楷體"/>
          <w:szCs w:val="22"/>
        </w:rPr>
        <w:t>而不謬濫。九、令安忍乾慧外凡內外諸障而入性地。第十、速令內凡性地，不著相似法愛，而入</w:t>
      </w:r>
      <w:r w:rsidR="00B6071A" w:rsidRPr="00B6071A">
        <w:rPr>
          <w:rFonts w:eastAsia="標楷體" w:hint="eastAsia"/>
          <w:color w:val="FF0000"/>
          <w:szCs w:val="22"/>
          <w:highlight w:val="yellow"/>
        </w:rPr>
        <w:t>「</w:t>
      </w:r>
      <w:r w:rsidRPr="00043A1E">
        <w:rPr>
          <w:rFonts w:eastAsia="標楷體"/>
          <w:szCs w:val="22"/>
        </w:rPr>
        <w:t>八人</w:t>
      </w:r>
      <w:r w:rsidR="00B6071A" w:rsidRPr="00B6071A">
        <w:rPr>
          <w:rFonts w:eastAsia="標楷體" w:hint="eastAsia"/>
          <w:color w:val="FF0000"/>
          <w:szCs w:val="22"/>
          <w:highlight w:val="yellow"/>
        </w:rPr>
        <w:t>、</w:t>
      </w:r>
      <w:r w:rsidRPr="00043A1E">
        <w:rPr>
          <w:rFonts w:eastAsia="標楷體"/>
          <w:szCs w:val="22"/>
        </w:rPr>
        <w:t>見</w:t>
      </w:r>
      <w:r w:rsidR="00B6071A" w:rsidRPr="00B6071A">
        <w:rPr>
          <w:rFonts w:eastAsia="標楷體" w:hint="eastAsia"/>
          <w:color w:val="FF0000"/>
          <w:szCs w:val="22"/>
          <w:highlight w:val="yellow"/>
        </w:rPr>
        <w:t>」</w:t>
      </w:r>
      <w:r w:rsidRPr="00043A1E">
        <w:rPr>
          <w:rFonts w:eastAsia="標楷體"/>
          <w:szCs w:val="22"/>
        </w:rPr>
        <w:t>地</w:t>
      </w:r>
      <w:r w:rsidR="00B6071A">
        <w:rPr>
          <w:rFonts w:eastAsia="標楷體" w:hint="eastAsia"/>
          <w:color w:val="FF0000"/>
          <w:szCs w:val="22"/>
          <w:highlight w:val="yellow"/>
        </w:rPr>
        <w:t>，</w:t>
      </w:r>
      <w:r w:rsidRPr="00043A1E">
        <w:rPr>
          <w:rFonts w:eastAsia="標楷體"/>
          <w:szCs w:val="22"/>
        </w:rPr>
        <w:t>證真</w:t>
      </w:r>
      <w:r w:rsidR="00B6071A">
        <w:rPr>
          <w:rFonts w:eastAsia="標楷體" w:hint="eastAsia"/>
          <w:color w:val="FF0000"/>
          <w:szCs w:val="22"/>
          <w:highlight w:val="yellow"/>
        </w:rPr>
        <w:t>。</w:t>
      </w:r>
      <w:r w:rsidRPr="00043A1E">
        <w:rPr>
          <w:rFonts w:eastAsia="標楷體"/>
          <w:szCs w:val="22"/>
        </w:rPr>
        <w:t>餘三門</w:t>
      </w:r>
      <w:r w:rsidR="00B6071A" w:rsidRPr="00B6071A">
        <w:rPr>
          <w:rFonts w:eastAsia="標楷體" w:hint="eastAsia"/>
          <w:color w:val="FF0000"/>
          <w:szCs w:val="22"/>
          <w:highlight w:val="yellow"/>
        </w:rPr>
        <w:t>，</w:t>
      </w:r>
      <w:r w:rsidRPr="00043A1E">
        <w:rPr>
          <w:rFonts w:eastAsia="標楷體"/>
          <w:szCs w:val="22"/>
        </w:rPr>
        <w:t>亦如是。</w:t>
      </w:r>
    </w:p>
    <w:p w:rsidR="00157EF6" w:rsidRPr="00043A1E" w:rsidRDefault="00157EF6" w:rsidP="00AA120F">
      <w:pPr>
        <w:pStyle w:val="a5"/>
        <w:ind w:leftChars="335" w:left="804"/>
        <w:jc w:val="both"/>
        <w:rPr>
          <w:rFonts w:eastAsia="標楷體"/>
          <w:szCs w:val="22"/>
        </w:rPr>
      </w:pPr>
      <w:r w:rsidRPr="00043A1E">
        <w:rPr>
          <w:rFonts w:ascii="新細明體" w:hAnsi="新細明體" w:cs="新細明體" w:hint="eastAsia"/>
          <w:szCs w:val="22"/>
        </w:rPr>
        <w:t>※</w:t>
      </w:r>
      <w:r w:rsidRPr="00043A1E">
        <w:rPr>
          <w:szCs w:val="22"/>
        </w:rPr>
        <w:t>案：「檢校」：查核察看。（《漢語大詞典》（四）</w:t>
      </w:r>
      <w:r w:rsidRPr="00043A1E">
        <w:rPr>
          <w:rFonts w:hint="eastAsia"/>
          <w:szCs w:val="22"/>
        </w:rPr>
        <w:t>，</w:t>
      </w:r>
      <w:r w:rsidRPr="00761EF3">
        <w:rPr>
          <w:szCs w:val="22"/>
        </w:rPr>
        <w:t>p</w:t>
      </w:r>
      <w:r w:rsidRPr="00043A1E">
        <w:rPr>
          <w:szCs w:val="22"/>
        </w:rPr>
        <w:t>.</w:t>
      </w:r>
      <w:r w:rsidRPr="00761EF3">
        <w:rPr>
          <w:szCs w:val="22"/>
        </w:rPr>
        <w:t>1341</w:t>
      </w:r>
      <w:r w:rsidRPr="00043A1E">
        <w:rPr>
          <w:szCs w:val="22"/>
        </w:rPr>
        <w:t>）</w:t>
      </w:r>
    </w:p>
    <w:p w:rsidR="00157EF6" w:rsidRPr="00043A1E" w:rsidRDefault="00157EF6" w:rsidP="00AA120F">
      <w:pPr>
        <w:pStyle w:val="a5"/>
        <w:ind w:leftChars="105" w:left="791" w:hangingChars="245" w:hanging="539"/>
        <w:jc w:val="both"/>
        <w:rPr>
          <w:rFonts w:eastAsia="標楷體"/>
          <w:szCs w:val="22"/>
        </w:rPr>
      </w:pPr>
      <w:r w:rsidRPr="00043A1E">
        <w:rPr>
          <w:rFonts w:eastAsia="標楷體"/>
          <w:szCs w:val="22"/>
        </w:rPr>
        <w:t>（</w:t>
      </w:r>
      <w:r w:rsidRPr="00761EF3">
        <w:rPr>
          <w:rFonts w:eastAsia="標楷體"/>
          <w:szCs w:val="22"/>
        </w:rPr>
        <w:t>2</w:t>
      </w:r>
      <w:r w:rsidRPr="00043A1E">
        <w:rPr>
          <w:rFonts w:eastAsia="標楷體"/>
          <w:szCs w:val="22"/>
        </w:rPr>
        <w:t>）</w:t>
      </w:r>
      <w:r w:rsidRPr="00043A1E">
        <w:rPr>
          <w:szCs w:val="22"/>
        </w:rPr>
        <w:t>〔隋〕智顗撰，《三觀義》卷</w:t>
      </w:r>
      <w:r w:rsidRPr="00761EF3">
        <w:rPr>
          <w:rFonts w:eastAsia="標楷體"/>
          <w:szCs w:val="22"/>
        </w:rPr>
        <w:t>2</w:t>
      </w:r>
      <w:r w:rsidRPr="00043A1E">
        <w:rPr>
          <w:szCs w:val="22"/>
        </w:rPr>
        <w:t>（卍新續藏</w:t>
      </w:r>
      <w:r w:rsidRPr="00761EF3">
        <w:rPr>
          <w:rFonts w:eastAsia="標楷體"/>
          <w:szCs w:val="22"/>
        </w:rPr>
        <w:t>55</w:t>
      </w:r>
      <w:r w:rsidRPr="00043A1E">
        <w:rPr>
          <w:rFonts w:eastAsia="標楷體"/>
          <w:szCs w:val="22"/>
        </w:rPr>
        <w:t>，</w:t>
      </w:r>
      <w:r w:rsidRPr="00761EF3">
        <w:rPr>
          <w:rFonts w:eastAsia="標楷體"/>
          <w:szCs w:val="22"/>
        </w:rPr>
        <w:t>677a18</w:t>
      </w:r>
      <w:r w:rsidRPr="00043A1E">
        <w:rPr>
          <w:rFonts w:eastAsia="標楷體"/>
          <w:szCs w:val="22"/>
        </w:rPr>
        <w:t>-</w:t>
      </w:r>
      <w:r w:rsidRPr="00761EF3">
        <w:rPr>
          <w:rFonts w:eastAsia="標楷體"/>
          <w:szCs w:val="22"/>
        </w:rPr>
        <w:t>22</w:t>
      </w:r>
      <w:r w:rsidRPr="00043A1E">
        <w:rPr>
          <w:rFonts w:eastAsia="標楷體"/>
          <w:szCs w:val="22"/>
        </w:rPr>
        <w:t>）：</w:t>
      </w:r>
    </w:p>
    <w:p w:rsidR="00554D45" w:rsidRDefault="00157EF6" w:rsidP="00AA120F">
      <w:pPr>
        <w:pStyle w:val="a5"/>
        <w:ind w:leftChars="335" w:left="804"/>
        <w:jc w:val="both"/>
        <w:rPr>
          <w:rFonts w:eastAsia="標楷體"/>
          <w:szCs w:val="22"/>
        </w:rPr>
      </w:pPr>
      <w:r w:rsidRPr="00043A1E">
        <w:rPr>
          <w:rFonts w:eastAsia="標楷體"/>
          <w:szCs w:val="22"/>
        </w:rPr>
        <w:t>明</w:t>
      </w:r>
      <w:r w:rsidR="00554D45">
        <w:rPr>
          <w:rFonts w:eastAsia="標楷體" w:hint="eastAsia"/>
          <w:color w:val="FF0000"/>
          <w:szCs w:val="22"/>
          <w:highlight w:val="yellow"/>
        </w:rPr>
        <w:t>「</w:t>
      </w:r>
      <w:r w:rsidRPr="00043A1E">
        <w:rPr>
          <w:rFonts w:eastAsia="標楷體"/>
          <w:szCs w:val="22"/>
        </w:rPr>
        <w:t>十法成大乘</w:t>
      </w:r>
      <w:r w:rsidR="00554D45">
        <w:rPr>
          <w:rFonts w:eastAsia="標楷體" w:hint="eastAsia"/>
          <w:color w:val="FF0000"/>
          <w:szCs w:val="22"/>
          <w:highlight w:val="yellow"/>
        </w:rPr>
        <w:t>」</w:t>
      </w:r>
      <w:r w:rsidRPr="00043A1E">
        <w:rPr>
          <w:rFonts w:eastAsia="標楷體"/>
          <w:szCs w:val="22"/>
        </w:rPr>
        <w:t>者</w:t>
      </w:r>
      <w:r w:rsidR="00554D45" w:rsidRPr="00554D45">
        <w:rPr>
          <w:rFonts w:eastAsia="標楷體" w:hint="eastAsia"/>
          <w:color w:val="FF0000"/>
          <w:szCs w:val="22"/>
          <w:highlight w:val="yellow"/>
        </w:rPr>
        <w:t>：</w:t>
      </w:r>
      <w:r w:rsidRPr="00043A1E">
        <w:rPr>
          <w:rFonts w:eastAsia="標楷體"/>
          <w:szCs w:val="22"/>
        </w:rPr>
        <w:t>一、善識不思議境，二、真正發心，三、止觀修習，四、破諸法遍，五、善知通塞，六、行三十七道品，七、對治諸波羅蜜，八、善識次位，九、安忍成就，十、順道法愛不生。</w:t>
      </w:r>
    </w:p>
    <w:p w:rsidR="00157EF6" w:rsidRPr="00043A1E" w:rsidRDefault="00157EF6" w:rsidP="00AA120F">
      <w:pPr>
        <w:pStyle w:val="a5"/>
        <w:ind w:leftChars="335" w:left="804"/>
        <w:jc w:val="both"/>
        <w:rPr>
          <w:szCs w:val="22"/>
        </w:rPr>
      </w:pPr>
      <w:r w:rsidRPr="00043A1E">
        <w:rPr>
          <w:rFonts w:eastAsia="標楷體"/>
          <w:szCs w:val="22"/>
        </w:rPr>
        <w:t>若修此一心三觀，具此十法，是大乘</w:t>
      </w:r>
      <w:r w:rsidR="00554D45" w:rsidRPr="00554D45">
        <w:rPr>
          <w:rFonts w:eastAsia="標楷體" w:hint="eastAsia"/>
          <w:color w:val="FF0000"/>
          <w:szCs w:val="22"/>
          <w:highlight w:val="yellow"/>
        </w:rPr>
        <w:t>，</w:t>
      </w:r>
      <w:r w:rsidRPr="00043A1E">
        <w:rPr>
          <w:rFonts w:eastAsia="標楷體"/>
          <w:szCs w:val="22"/>
        </w:rPr>
        <w:t>從三界出</w:t>
      </w:r>
      <w:r w:rsidR="00554D45" w:rsidRPr="00554D45">
        <w:rPr>
          <w:rFonts w:eastAsia="標楷體" w:hint="eastAsia"/>
          <w:color w:val="FF0000"/>
          <w:szCs w:val="22"/>
          <w:highlight w:val="yellow"/>
        </w:rPr>
        <w:t>，</w:t>
      </w:r>
      <w:r w:rsidRPr="00043A1E">
        <w:rPr>
          <w:rFonts w:eastAsia="標楷體"/>
          <w:szCs w:val="22"/>
        </w:rPr>
        <w:t>到薩婆若住也。</w:t>
      </w:r>
    </w:p>
  </w:footnote>
  <w:footnote w:id="678">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szCs w:val="22"/>
        </w:rPr>
        <w:t>）〔隋〕智顗說，灌頂述</w:t>
      </w:r>
      <w:r w:rsidRPr="00043A1E">
        <w:rPr>
          <w:rFonts w:hint="eastAsia"/>
          <w:szCs w:val="22"/>
        </w:rPr>
        <w:t>，</w:t>
      </w:r>
      <w:r w:rsidRPr="00043A1E">
        <w:rPr>
          <w:szCs w:val="22"/>
        </w:rPr>
        <w:t>《妙法蓮華經玄義》卷</w:t>
      </w:r>
      <w:r w:rsidRPr="00761EF3">
        <w:rPr>
          <w:szCs w:val="22"/>
        </w:rPr>
        <w:t>8</w:t>
      </w:r>
      <w:r w:rsidRPr="00043A1E">
        <w:rPr>
          <w:szCs w:val="22"/>
        </w:rPr>
        <w:t>（大正</w:t>
      </w:r>
      <w:r w:rsidRPr="00761EF3">
        <w:rPr>
          <w:szCs w:val="22"/>
        </w:rPr>
        <w:t>33</w:t>
      </w:r>
      <w:r w:rsidRPr="00043A1E">
        <w:rPr>
          <w:szCs w:val="22"/>
        </w:rPr>
        <w:t>，</w:t>
      </w:r>
      <w:r w:rsidRPr="00761EF3">
        <w:rPr>
          <w:szCs w:val="22"/>
        </w:rPr>
        <w:t>786b11</w:t>
      </w:r>
      <w:r w:rsidRPr="00043A1E">
        <w:rPr>
          <w:szCs w:val="22"/>
        </w:rPr>
        <w:t>-</w:t>
      </w:r>
      <w:r w:rsidRPr="00761EF3">
        <w:rPr>
          <w:szCs w:val="22"/>
        </w:rPr>
        <w:t>22</w:t>
      </w:r>
      <w:r w:rsidRPr="00043A1E">
        <w:rPr>
          <w:szCs w:val="22"/>
        </w:rPr>
        <w:t>）：</w:t>
      </w:r>
    </w:p>
    <w:p w:rsidR="00157EF6" w:rsidRPr="00043A1E" w:rsidRDefault="00157EF6" w:rsidP="00AA120F">
      <w:pPr>
        <w:pStyle w:val="a5"/>
        <w:ind w:leftChars="335" w:left="804"/>
        <w:jc w:val="both"/>
        <w:rPr>
          <w:rFonts w:eastAsia="標楷體"/>
          <w:szCs w:val="22"/>
        </w:rPr>
      </w:pPr>
      <w:r w:rsidRPr="00043A1E">
        <w:rPr>
          <w:rFonts w:eastAsia="標楷體"/>
          <w:szCs w:val="22"/>
        </w:rPr>
        <w:t>五、</w:t>
      </w:r>
      <w:r w:rsidR="004D4750">
        <w:rPr>
          <w:rFonts w:eastAsia="標楷體" w:hint="eastAsia"/>
          <w:color w:val="FF0000"/>
          <w:szCs w:val="22"/>
          <w:highlight w:val="yellow"/>
        </w:rPr>
        <w:t>「</w:t>
      </w:r>
      <w:r w:rsidRPr="00043A1E">
        <w:rPr>
          <w:rFonts w:eastAsia="標楷體"/>
          <w:b/>
          <w:szCs w:val="22"/>
        </w:rPr>
        <w:t>知通塞</w:t>
      </w:r>
      <w:r w:rsidR="004D4750">
        <w:rPr>
          <w:rFonts w:eastAsia="標楷體" w:hint="eastAsia"/>
          <w:color w:val="FF0000"/>
          <w:szCs w:val="22"/>
          <w:highlight w:val="yellow"/>
        </w:rPr>
        <w:t>」</w:t>
      </w:r>
      <w:r w:rsidRPr="00043A1E">
        <w:rPr>
          <w:rFonts w:eastAsia="標楷體"/>
          <w:szCs w:val="22"/>
        </w:rPr>
        <w:t>者</w:t>
      </w:r>
      <w:r w:rsidR="004D4750" w:rsidRPr="004D4750">
        <w:rPr>
          <w:rFonts w:eastAsia="標楷體" w:hint="eastAsia"/>
          <w:color w:val="FF0000"/>
          <w:szCs w:val="22"/>
          <w:highlight w:val="yellow"/>
        </w:rPr>
        <w:t>：</w:t>
      </w:r>
      <w:r w:rsidRPr="00043A1E">
        <w:rPr>
          <w:rFonts w:eastAsia="標楷體"/>
          <w:szCs w:val="22"/>
        </w:rPr>
        <w:t>前雖遍破諸見之過，未見其德。</w:t>
      </w:r>
      <w:r w:rsidR="004D4750">
        <w:rPr>
          <w:rFonts w:eastAsia="標楷體" w:hint="eastAsia"/>
          <w:color w:val="FF0000"/>
          <w:szCs w:val="22"/>
          <w:highlight w:val="yellow"/>
        </w:rPr>
        <w:t>「</w:t>
      </w:r>
      <w:r w:rsidRPr="00043A1E">
        <w:rPr>
          <w:rFonts w:eastAsia="標楷體"/>
          <w:b/>
          <w:szCs w:val="22"/>
        </w:rPr>
        <w:t>過</w:t>
      </w:r>
      <w:r w:rsidR="004D4750">
        <w:rPr>
          <w:rFonts w:eastAsia="標楷體" w:hint="eastAsia"/>
          <w:color w:val="FF0000"/>
          <w:szCs w:val="22"/>
          <w:highlight w:val="yellow"/>
        </w:rPr>
        <w:t>」</w:t>
      </w:r>
      <w:r w:rsidRPr="00043A1E">
        <w:rPr>
          <w:rFonts w:eastAsia="標楷體"/>
          <w:b/>
          <w:szCs w:val="22"/>
        </w:rPr>
        <w:t>即是</w:t>
      </w:r>
      <w:r w:rsidR="004D4750">
        <w:rPr>
          <w:rFonts w:eastAsia="標楷體" w:hint="eastAsia"/>
          <w:color w:val="FF0000"/>
          <w:szCs w:val="22"/>
          <w:highlight w:val="yellow"/>
        </w:rPr>
        <w:t>「</w:t>
      </w:r>
      <w:r w:rsidRPr="00043A1E">
        <w:rPr>
          <w:rFonts w:eastAsia="標楷體"/>
          <w:b/>
          <w:szCs w:val="22"/>
        </w:rPr>
        <w:t>塞</w:t>
      </w:r>
      <w:r w:rsidR="004D4750">
        <w:rPr>
          <w:rFonts w:eastAsia="標楷體" w:hint="eastAsia"/>
          <w:color w:val="FF0000"/>
          <w:szCs w:val="22"/>
          <w:highlight w:val="yellow"/>
        </w:rPr>
        <w:t>」</w:t>
      </w:r>
      <w:r w:rsidRPr="00043A1E">
        <w:rPr>
          <w:rFonts w:eastAsia="標楷體"/>
          <w:b/>
          <w:szCs w:val="22"/>
        </w:rPr>
        <w:t>，</w:t>
      </w:r>
      <w:r w:rsidR="004D4750">
        <w:rPr>
          <w:rFonts w:eastAsia="標楷體" w:hint="eastAsia"/>
          <w:color w:val="FF0000"/>
          <w:szCs w:val="22"/>
          <w:highlight w:val="yellow"/>
        </w:rPr>
        <w:t>「</w:t>
      </w:r>
      <w:r w:rsidRPr="00043A1E">
        <w:rPr>
          <w:rFonts w:eastAsia="標楷體"/>
          <w:b/>
          <w:szCs w:val="22"/>
        </w:rPr>
        <w:t>德</w:t>
      </w:r>
      <w:r w:rsidR="004D4750">
        <w:rPr>
          <w:rFonts w:eastAsia="標楷體" w:hint="eastAsia"/>
          <w:color w:val="FF0000"/>
          <w:szCs w:val="22"/>
          <w:highlight w:val="yellow"/>
        </w:rPr>
        <w:t>」</w:t>
      </w:r>
      <w:r w:rsidRPr="00043A1E">
        <w:rPr>
          <w:rFonts w:eastAsia="標楷體"/>
          <w:b/>
          <w:szCs w:val="22"/>
        </w:rPr>
        <w:t>即是</w:t>
      </w:r>
      <w:r w:rsidR="004D4750">
        <w:rPr>
          <w:rFonts w:eastAsia="標楷體" w:hint="eastAsia"/>
          <w:color w:val="FF0000"/>
          <w:szCs w:val="22"/>
          <w:highlight w:val="yellow"/>
        </w:rPr>
        <w:t>「</w:t>
      </w:r>
      <w:r w:rsidRPr="00043A1E">
        <w:rPr>
          <w:rFonts w:eastAsia="標楷體"/>
          <w:b/>
          <w:szCs w:val="22"/>
        </w:rPr>
        <w:t>通</w:t>
      </w:r>
      <w:r w:rsidR="004D4750">
        <w:rPr>
          <w:rFonts w:eastAsia="標楷體" w:hint="eastAsia"/>
          <w:color w:val="FF0000"/>
          <w:szCs w:val="22"/>
          <w:highlight w:val="yellow"/>
        </w:rPr>
        <w:t>」</w:t>
      </w:r>
      <w:r w:rsidRPr="00043A1E">
        <w:rPr>
          <w:rFonts w:eastAsia="標楷體"/>
          <w:szCs w:val="22"/>
        </w:rPr>
        <w:t>。</w:t>
      </w:r>
    </w:p>
    <w:p w:rsidR="004D4750" w:rsidRDefault="00157EF6" w:rsidP="00AA120F">
      <w:pPr>
        <w:pStyle w:val="a5"/>
        <w:ind w:leftChars="335" w:left="804"/>
        <w:jc w:val="both"/>
        <w:rPr>
          <w:rFonts w:eastAsia="標楷體"/>
          <w:szCs w:val="22"/>
        </w:rPr>
      </w:pPr>
      <w:r w:rsidRPr="00043A1E">
        <w:rPr>
          <w:rFonts w:eastAsia="標楷體"/>
          <w:szCs w:val="22"/>
        </w:rPr>
        <w:t>若有見中八十八使，乃至非有非無不可說見中八十八使，悉從緣生，名之為</w:t>
      </w:r>
      <w:r w:rsidR="004D4750">
        <w:rPr>
          <w:rFonts w:eastAsia="標楷體" w:hint="eastAsia"/>
          <w:color w:val="FF0000"/>
          <w:szCs w:val="22"/>
          <w:highlight w:val="yellow"/>
        </w:rPr>
        <w:t>「</w:t>
      </w:r>
      <w:r w:rsidRPr="00043A1E">
        <w:rPr>
          <w:rFonts w:eastAsia="標楷體"/>
          <w:b/>
          <w:szCs w:val="22"/>
        </w:rPr>
        <w:t>塞</w:t>
      </w:r>
      <w:r w:rsidR="004D4750">
        <w:rPr>
          <w:rFonts w:eastAsia="標楷體" w:hint="eastAsia"/>
          <w:color w:val="FF0000"/>
          <w:szCs w:val="22"/>
          <w:highlight w:val="yellow"/>
        </w:rPr>
        <w:t>」</w:t>
      </w:r>
      <w:r w:rsidRPr="00043A1E">
        <w:rPr>
          <w:rFonts w:eastAsia="標楷體"/>
          <w:szCs w:val="22"/>
        </w:rPr>
        <w:t>，</w:t>
      </w:r>
      <w:r w:rsidR="004D4750">
        <w:rPr>
          <w:rFonts w:eastAsia="標楷體" w:hint="eastAsia"/>
          <w:color w:val="FF0000"/>
          <w:szCs w:val="22"/>
          <w:highlight w:val="yellow"/>
        </w:rPr>
        <w:t>「</w:t>
      </w:r>
      <w:r w:rsidRPr="00043A1E">
        <w:rPr>
          <w:rFonts w:eastAsia="標楷體"/>
          <w:szCs w:val="22"/>
        </w:rPr>
        <w:t>塞</w:t>
      </w:r>
      <w:r w:rsidR="004D4750">
        <w:rPr>
          <w:rFonts w:eastAsia="標楷體" w:hint="eastAsia"/>
          <w:color w:val="FF0000"/>
          <w:szCs w:val="22"/>
          <w:highlight w:val="yellow"/>
        </w:rPr>
        <w:t>」</w:t>
      </w:r>
      <w:r w:rsidRPr="00043A1E">
        <w:rPr>
          <w:rFonts w:eastAsia="標楷體"/>
          <w:szCs w:val="22"/>
        </w:rPr>
        <w:t>故</w:t>
      </w:r>
      <w:r w:rsidR="004D4750" w:rsidRPr="004D4750">
        <w:rPr>
          <w:rFonts w:eastAsia="標楷體" w:hint="eastAsia"/>
          <w:color w:val="FF0000"/>
          <w:szCs w:val="22"/>
          <w:highlight w:val="yellow"/>
        </w:rPr>
        <w:t>，</w:t>
      </w:r>
      <w:r w:rsidRPr="00043A1E">
        <w:rPr>
          <w:rFonts w:eastAsia="標楷體"/>
          <w:szCs w:val="22"/>
        </w:rPr>
        <w:t>須破。</w:t>
      </w:r>
    </w:p>
    <w:p w:rsidR="004D4750" w:rsidRDefault="00157EF6" w:rsidP="00AA120F">
      <w:pPr>
        <w:pStyle w:val="a5"/>
        <w:ind w:leftChars="335" w:left="804"/>
        <w:jc w:val="both"/>
        <w:rPr>
          <w:rFonts w:eastAsia="標楷體"/>
          <w:szCs w:val="22"/>
        </w:rPr>
      </w:pPr>
      <w:r w:rsidRPr="004D4750">
        <w:rPr>
          <w:rFonts w:eastAsia="標楷體"/>
          <w:szCs w:val="22"/>
          <w:highlight w:val="yellow"/>
        </w:rPr>
        <w:t>復</w:t>
      </w:r>
      <w:r w:rsidRPr="00043A1E">
        <w:rPr>
          <w:rFonts w:eastAsia="標楷體"/>
          <w:szCs w:val="22"/>
        </w:rPr>
        <w:t>識其</w:t>
      </w:r>
      <w:r w:rsidR="004D4750">
        <w:rPr>
          <w:rFonts w:eastAsia="標楷體" w:hint="eastAsia"/>
          <w:color w:val="FF0000"/>
          <w:szCs w:val="22"/>
          <w:highlight w:val="yellow"/>
        </w:rPr>
        <w:t>「</w:t>
      </w:r>
      <w:r w:rsidRPr="00043A1E">
        <w:rPr>
          <w:rFonts w:eastAsia="標楷體"/>
          <w:b/>
          <w:szCs w:val="22"/>
        </w:rPr>
        <w:t>通</w:t>
      </w:r>
      <w:r w:rsidR="004D4750">
        <w:rPr>
          <w:rFonts w:eastAsia="標楷體" w:hint="eastAsia"/>
          <w:color w:val="FF0000"/>
          <w:szCs w:val="22"/>
          <w:highlight w:val="yellow"/>
        </w:rPr>
        <w:t>」</w:t>
      </w:r>
      <w:r w:rsidRPr="00043A1E">
        <w:rPr>
          <w:rFonts w:eastAsia="標楷體"/>
          <w:szCs w:val="22"/>
        </w:rPr>
        <w:t>者，所謂有見中</w:t>
      </w:r>
      <w:r w:rsidR="004D4750">
        <w:rPr>
          <w:rFonts w:eastAsia="標楷體" w:hint="eastAsia"/>
          <w:color w:val="FF0000"/>
          <w:szCs w:val="22"/>
          <w:highlight w:val="yellow"/>
        </w:rPr>
        <w:t>「</w:t>
      </w:r>
      <w:r w:rsidRPr="00043A1E">
        <w:rPr>
          <w:rFonts w:eastAsia="標楷體"/>
          <w:szCs w:val="22"/>
        </w:rPr>
        <w:t>道</w:t>
      </w:r>
      <w:r w:rsidR="004D4750" w:rsidRPr="004D4750">
        <w:rPr>
          <w:rFonts w:eastAsia="標楷體" w:hint="eastAsia"/>
          <w:color w:val="FF0000"/>
          <w:szCs w:val="22"/>
          <w:highlight w:val="yellow"/>
        </w:rPr>
        <w:t>、</w:t>
      </w:r>
      <w:r w:rsidRPr="00043A1E">
        <w:rPr>
          <w:rFonts w:eastAsia="標楷體"/>
          <w:szCs w:val="22"/>
        </w:rPr>
        <w:t>滅</w:t>
      </w:r>
      <w:r w:rsidR="004D4750">
        <w:rPr>
          <w:rFonts w:eastAsia="標楷體" w:hint="eastAsia"/>
          <w:color w:val="FF0000"/>
          <w:szCs w:val="22"/>
          <w:highlight w:val="yellow"/>
        </w:rPr>
        <w:t>」</w:t>
      </w:r>
      <w:r w:rsidRPr="00043A1E">
        <w:rPr>
          <w:rFonts w:eastAsia="標楷體"/>
          <w:szCs w:val="22"/>
        </w:rPr>
        <w:t>，乃至非有非無不可說見中</w:t>
      </w:r>
      <w:r w:rsidR="004D4750">
        <w:rPr>
          <w:rFonts w:eastAsia="標楷體" w:hint="eastAsia"/>
          <w:color w:val="FF0000"/>
          <w:szCs w:val="22"/>
          <w:highlight w:val="yellow"/>
        </w:rPr>
        <w:t>「</w:t>
      </w:r>
      <w:r w:rsidR="004D4750" w:rsidRPr="00043A1E">
        <w:rPr>
          <w:rFonts w:eastAsia="標楷體"/>
          <w:szCs w:val="22"/>
        </w:rPr>
        <w:t>道</w:t>
      </w:r>
      <w:r w:rsidR="004D4750" w:rsidRPr="004D4750">
        <w:rPr>
          <w:rFonts w:eastAsia="標楷體" w:hint="eastAsia"/>
          <w:color w:val="FF0000"/>
          <w:szCs w:val="22"/>
          <w:highlight w:val="yellow"/>
        </w:rPr>
        <w:t>、</w:t>
      </w:r>
      <w:r w:rsidR="004D4750" w:rsidRPr="00043A1E">
        <w:rPr>
          <w:rFonts w:eastAsia="標楷體"/>
          <w:szCs w:val="22"/>
        </w:rPr>
        <w:t>滅</w:t>
      </w:r>
      <w:r w:rsidR="004D4750">
        <w:rPr>
          <w:rFonts w:eastAsia="標楷體" w:hint="eastAsia"/>
          <w:color w:val="FF0000"/>
          <w:szCs w:val="22"/>
          <w:highlight w:val="yellow"/>
        </w:rPr>
        <w:t>」</w:t>
      </w:r>
      <w:r w:rsidRPr="00043A1E">
        <w:rPr>
          <w:rFonts w:eastAsia="標楷體"/>
          <w:szCs w:val="22"/>
        </w:rPr>
        <w:t>如是。</w:t>
      </w:r>
      <w:r w:rsidR="004D4750">
        <w:rPr>
          <w:rFonts w:eastAsia="標楷體" w:hint="eastAsia"/>
          <w:color w:val="FF0000"/>
          <w:szCs w:val="22"/>
          <w:highlight w:val="yellow"/>
        </w:rPr>
        <w:t>「</w:t>
      </w:r>
      <w:r w:rsidR="004D4750" w:rsidRPr="00043A1E">
        <w:rPr>
          <w:rFonts w:eastAsia="標楷體"/>
          <w:szCs w:val="22"/>
        </w:rPr>
        <w:t>道</w:t>
      </w:r>
      <w:r w:rsidR="004D4750" w:rsidRPr="004D4750">
        <w:rPr>
          <w:rFonts w:eastAsia="標楷體" w:hint="eastAsia"/>
          <w:color w:val="FF0000"/>
          <w:szCs w:val="22"/>
          <w:highlight w:val="yellow"/>
        </w:rPr>
        <w:t>、</w:t>
      </w:r>
      <w:r w:rsidR="004D4750" w:rsidRPr="00043A1E">
        <w:rPr>
          <w:rFonts w:eastAsia="標楷體"/>
          <w:szCs w:val="22"/>
        </w:rPr>
        <w:t>滅</w:t>
      </w:r>
      <w:r w:rsidR="004D4750">
        <w:rPr>
          <w:rFonts w:eastAsia="標楷體" w:hint="eastAsia"/>
          <w:color w:val="FF0000"/>
          <w:szCs w:val="22"/>
          <w:highlight w:val="yellow"/>
        </w:rPr>
        <w:t>」</w:t>
      </w:r>
      <w:r w:rsidRPr="00043A1E">
        <w:rPr>
          <w:rFonts w:eastAsia="標楷體"/>
          <w:szCs w:val="22"/>
        </w:rPr>
        <w:t>從因緣生</w:t>
      </w:r>
      <w:r w:rsidR="004D4750" w:rsidRPr="004D4750">
        <w:rPr>
          <w:rFonts w:eastAsia="標楷體" w:hint="eastAsia"/>
          <w:color w:val="FF0000"/>
          <w:szCs w:val="22"/>
          <w:highlight w:val="yellow"/>
        </w:rPr>
        <w:t>，</w:t>
      </w:r>
      <w:r w:rsidRPr="00043A1E">
        <w:rPr>
          <w:rFonts w:eastAsia="標楷體"/>
          <w:szCs w:val="22"/>
        </w:rPr>
        <w:t>名之為</w:t>
      </w:r>
      <w:r w:rsidR="004D4750">
        <w:rPr>
          <w:rFonts w:eastAsia="標楷體" w:hint="eastAsia"/>
          <w:color w:val="FF0000"/>
          <w:szCs w:val="22"/>
          <w:highlight w:val="yellow"/>
        </w:rPr>
        <w:t>「</w:t>
      </w:r>
      <w:r w:rsidRPr="00043A1E">
        <w:rPr>
          <w:rFonts w:eastAsia="標楷體"/>
          <w:szCs w:val="22"/>
        </w:rPr>
        <w:t>通</w:t>
      </w:r>
      <w:r w:rsidR="004D4750">
        <w:rPr>
          <w:rFonts w:eastAsia="標楷體" w:hint="eastAsia"/>
          <w:color w:val="FF0000"/>
          <w:szCs w:val="22"/>
          <w:highlight w:val="yellow"/>
        </w:rPr>
        <w:t>」</w:t>
      </w:r>
      <w:r w:rsidRPr="00043A1E">
        <w:rPr>
          <w:rFonts w:eastAsia="標楷體"/>
          <w:szCs w:val="22"/>
        </w:rPr>
        <w:t>，</w:t>
      </w:r>
      <w:r w:rsidR="004D4750">
        <w:rPr>
          <w:rFonts w:eastAsia="標楷體" w:hint="eastAsia"/>
          <w:color w:val="FF0000"/>
          <w:szCs w:val="22"/>
          <w:highlight w:val="yellow"/>
        </w:rPr>
        <w:t>「</w:t>
      </w:r>
      <w:r w:rsidRPr="00043A1E">
        <w:rPr>
          <w:rFonts w:eastAsia="標楷體"/>
          <w:szCs w:val="22"/>
        </w:rPr>
        <w:t>通</w:t>
      </w:r>
      <w:r w:rsidR="004D4750">
        <w:rPr>
          <w:rFonts w:eastAsia="標楷體" w:hint="eastAsia"/>
          <w:color w:val="FF0000"/>
          <w:szCs w:val="22"/>
          <w:highlight w:val="yellow"/>
        </w:rPr>
        <w:t>」，</w:t>
      </w:r>
      <w:r w:rsidRPr="00043A1E">
        <w:rPr>
          <w:rFonts w:eastAsia="標楷體"/>
          <w:szCs w:val="22"/>
        </w:rPr>
        <w:t>何須破？</w:t>
      </w:r>
    </w:p>
    <w:p w:rsidR="004D4750" w:rsidRDefault="00157EF6" w:rsidP="00AA120F">
      <w:pPr>
        <w:pStyle w:val="a5"/>
        <w:ind w:leftChars="335" w:left="804"/>
        <w:jc w:val="both"/>
        <w:rPr>
          <w:rFonts w:eastAsia="標楷體"/>
          <w:szCs w:val="22"/>
        </w:rPr>
      </w:pPr>
      <w:r w:rsidRPr="004D4750">
        <w:rPr>
          <w:rFonts w:eastAsia="標楷體"/>
          <w:szCs w:val="22"/>
          <w:highlight w:val="yellow"/>
        </w:rPr>
        <w:t>若</w:t>
      </w:r>
      <w:r w:rsidRPr="00043A1E">
        <w:rPr>
          <w:rFonts w:eastAsia="標楷體"/>
          <w:szCs w:val="22"/>
        </w:rPr>
        <w:t>不識諸見，謂</w:t>
      </w:r>
      <w:r w:rsidR="004D4750">
        <w:rPr>
          <w:rFonts w:eastAsia="標楷體" w:hint="eastAsia"/>
          <w:color w:val="FF0000"/>
          <w:szCs w:val="22"/>
          <w:highlight w:val="yellow"/>
        </w:rPr>
        <w:t>「</w:t>
      </w:r>
      <w:r w:rsidRPr="00043A1E">
        <w:rPr>
          <w:rFonts w:eastAsia="標楷體"/>
          <w:szCs w:val="22"/>
        </w:rPr>
        <w:t>是事實</w:t>
      </w:r>
      <w:r w:rsidR="004D4750" w:rsidRPr="004D4750">
        <w:rPr>
          <w:rFonts w:eastAsia="標楷體" w:hint="eastAsia"/>
          <w:color w:val="FF0000"/>
          <w:szCs w:val="22"/>
          <w:highlight w:val="yellow"/>
        </w:rPr>
        <w:t>，</w:t>
      </w:r>
      <w:r w:rsidRPr="00043A1E">
        <w:rPr>
          <w:rFonts w:eastAsia="標楷體"/>
          <w:szCs w:val="22"/>
        </w:rPr>
        <w:t>餘妄語</w:t>
      </w:r>
      <w:r w:rsidR="004D4750">
        <w:rPr>
          <w:rFonts w:eastAsia="標楷體" w:hint="eastAsia"/>
          <w:color w:val="FF0000"/>
          <w:szCs w:val="22"/>
          <w:highlight w:val="yellow"/>
        </w:rPr>
        <w:t>」</w:t>
      </w:r>
      <w:r w:rsidRPr="00043A1E">
        <w:rPr>
          <w:rFonts w:eastAsia="標楷體"/>
          <w:szCs w:val="22"/>
        </w:rPr>
        <w:t>，執見成業</w:t>
      </w:r>
      <w:r w:rsidR="004D4750" w:rsidRPr="004D4750">
        <w:rPr>
          <w:rFonts w:eastAsia="標楷體" w:hint="eastAsia"/>
          <w:color w:val="FF0000"/>
          <w:szCs w:val="22"/>
          <w:highlight w:val="yellow"/>
        </w:rPr>
        <w:t>，</w:t>
      </w:r>
      <w:r w:rsidRPr="00043A1E">
        <w:rPr>
          <w:rFonts w:eastAsia="標楷體"/>
          <w:szCs w:val="22"/>
        </w:rPr>
        <w:t>愛潤感果，豈非</w:t>
      </w:r>
      <w:r w:rsidR="004D4750">
        <w:rPr>
          <w:rFonts w:eastAsia="標楷體" w:hint="eastAsia"/>
          <w:color w:val="FF0000"/>
          <w:szCs w:val="22"/>
          <w:highlight w:val="yellow"/>
        </w:rPr>
        <w:t>「</w:t>
      </w:r>
      <w:r w:rsidRPr="00043A1E">
        <w:rPr>
          <w:rFonts w:eastAsia="標楷體"/>
          <w:szCs w:val="22"/>
        </w:rPr>
        <w:t>塞</w:t>
      </w:r>
      <w:r w:rsidR="004D4750">
        <w:rPr>
          <w:rFonts w:eastAsia="標楷體" w:hint="eastAsia"/>
          <w:color w:val="FF0000"/>
          <w:szCs w:val="22"/>
          <w:highlight w:val="yellow"/>
        </w:rPr>
        <w:t>」</w:t>
      </w:r>
      <w:r w:rsidRPr="00043A1E">
        <w:rPr>
          <w:rFonts w:eastAsia="標楷體"/>
          <w:szCs w:val="22"/>
        </w:rPr>
        <w:t>耶？</w:t>
      </w:r>
    </w:p>
    <w:p w:rsidR="004D4750" w:rsidRDefault="00157EF6" w:rsidP="00AA120F">
      <w:pPr>
        <w:pStyle w:val="a5"/>
        <w:ind w:leftChars="335" w:left="804"/>
        <w:jc w:val="both"/>
        <w:rPr>
          <w:rFonts w:eastAsia="標楷體"/>
          <w:szCs w:val="22"/>
        </w:rPr>
      </w:pPr>
      <w:r w:rsidRPr="00043A1E">
        <w:rPr>
          <w:rFonts w:eastAsia="標楷體"/>
          <w:szCs w:val="22"/>
        </w:rPr>
        <w:t>能於諸見一一皆知無常</w:t>
      </w:r>
      <w:r w:rsidR="004D4750" w:rsidRPr="004D4750">
        <w:rPr>
          <w:rFonts w:eastAsia="標楷體" w:hint="eastAsia"/>
          <w:color w:val="FF0000"/>
          <w:szCs w:val="22"/>
          <w:highlight w:val="yellow"/>
        </w:rPr>
        <w:t>、</w:t>
      </w:r>
      <w:r w:rsidRPr="00043A1E">
        <w:rPr>
          <w:rFonts w:eastAsia="標楷體"/>
          <w:szCs w:val="22"/>
        </w:rPr>
        <w:t>顛倒，不生計著，不執則無業，無業則無果</w:t>
      </w:r>
      <w:r w:rsidRPr="00043A1E">
        <w:rPr>
          <w:rFonts w:eastAsia="標楷體" w:hint="eastAsia"/>
          <w:szCs w:val="22"/>
        </w:rPr>
        <w:t>；</w:t>
      </w:r>
      <w:r w:rsidRPr="00043A1E">
        <w:rPr>
          <w:rFonts w:eastAsia="標楷體"/>
          <w:szCs w:val="22"/>
        </w:rPr>
        <w:t>如是達者</w:t>
      </w:r>
      <w:r w:rsidR="004D4750" w:rsidRPr="004D4750">
        <w:rPr>
          <w:rFonts w:eastAsia="標楷體" w:hint="eastAsia"/>
          <w:color w:val="FF0000"/>
          <w:szCs w:val="22"/>
          <w:highlight w:val="yellow"/>
        </w:rPr>
        <w:t>，</w:t>
      </w:r>
      <w:r w:rsidRPr="00043A1E">
        <w:rPr>
          <w:rFonts w:eastAsia="標楷體"/>
          <w:szCs w:val="22"/>
        </w:rPr>
        <w:t>則有</w:t>
      </w:r>
      <w:r w:rsidR="004D4750">
        <w:rPr>
          <w:rFonts w:eastAsia="標楷體" w:hint="eastAsia"/>
          <w:color w:val="FF0000"/>
          <w:szCs w:val="22"/>
          <w:highlight w:val="yellow"/>
        </w:rPr>
        <w:t>「</w:t>
      </w:r>
      <w:r w:rsidR="004D4750">
        <w:rPr>
          <w:rFonts w:eastAsia="標楷體" w:hint="eastAsia"/>
          <w:szCs w:val="22"/>
        </w:rPr>
        <w:t>道</w:t>
      </w:r>
      <w:r w:rsidR="004D4750">
        <w:rPr>
          <w:rFonts w:eastAsia="標楷體" w:hint="eastAsia"/>
          <w:color w:val="FF0000"/>
          <w:szCs w:val="22"/>
          <w:highlight w:val="yellow"/>
        </w:rPr>
        <w:t>、</w:t>
      </w:r>
      <w:r w:rsidR="004D4750">
        <w:rPr>
          <w:rFonts w:eastAsia="標楷體" w:hint="eastAsia"/>
          <w:szCs w:val="22"/>
        </w:rPr>
        <w:t>滅</w:t>
      </w:r>
      <w:r w:rsidR="004D4750">
        <w:rPr>
          <w:rFonts w:eastAsia="標楷體" w:hint="eastAsia"/>
          <w:color w:val="FF0000"/>
          <w:szCs w:val="22"/>
          <w:highlight w:val="yellow"/>
        </w:rPr>
        <w:t>」</w:t>
      </w:r>
      <w:r w:rsidRPr="00043A1E">
        <w:rPr>
          <w:rFonts w:eastAsia="標楷體"/>
          <w:szCs w:val="22"/>
        </w:rPr>
        <w:t>，豈不名</w:t>
      </w:r>
      <w:r w:rsidR="004D4750">
        <w:rPr>
          <w:rFonts w:eastAsia="標楷體" w:hint="eastAsia"/>
          <w:color w:val="FF0000"/>
          <w:szCs w:val="22"/>
          <w:highlight w:val="yellow"/>
        </w:rPr>
        <w:t>「</w:t>
      </w:r>
      <w:r w:rsidRPr="00043A1E">
        <w:rPr>
          <w:rFonts w:eastAsia="標楷體"/>
          <w:szCs w:val="22"/>
        </w:rPr>
        <w:t>通</w:t>
      </w:r>
      <w:r w:rsidR="004D4750">
        <w:rPr>
          <w:rFonts w:eastAsia="標楷體" w:hint="eastAsia"/>
          <w:color w:val="FF0000"/>
          <w:szCs w:val="22"/>
          <w:highlight w:val="yellow"/>
        </w:rPr>
        <w:t>」</w:t>
      </w:r>
      <w:r w:rsidRPr="00043A1E">
        <w:rPr>
          <w:rFonts w:eastAsia="標楷體" w:hint="eastAsia"/>
          <w:szCs w:val="22"/>
        </w:rPr>
        <w:t>？</w:t>
      </w:r>
    </w:p>
    <w:p w:rsidR="00157EF6" w:rsidRPr="00043A1E" w:rsidRDefault="00157EF6" w:rsidP="00AA120F">
      <w:pPr>
        <w:pStyle w:val="a5"/>
        <w:ind w:leftChars="335" w:left="804"/>
        <w:jc w:val="both"/>
        <w:rPr>
          <w:szCs w:val="22"/>
        </w:rPr>
      </w:pPr>
      <w:r w:rsidRPr="004D4750">
        <w:rPr>
          <w:rFonts w:eastAsia="標楷體"/>
          <w:szCs w:val="22"/>
          <w:highlight w:val="yellow"/>
        </w:rPr>
        <w:t>不</w:t>
      </w:r>
      <w:r w:rsidRPr="00043A1E">
        <w:rPr>
          <w:rFonts w:eastAsia="標楷體"/>
          <w:szCs w:val="22"/>
        </w:rPr>
        <w:t>同外道如蟲食木，是蟲不知是字</w:t>
      </w:r>
      <w:r w:rsidR="004D4750" w:rsidRPr="004D4750">
        <w:rPr>
          <w:rFonts w:eastAsia="標楷體" w:hint="eastAsia"/>
          <w:color w:val="FF0000"/>
          <w:szCs w:val="22"/>
          <w:highlight w:val="yellow"/>
        </w:rPr>
        <w:t>、</w:t>
      </w:r>
      <w:r w:rsidRPr="00043A1E">
        <w:rPr>
          <w:rFonts w:eastAsia="標楷體"/>
          <w:szCs w:val="22"/>
        </w:rPr>
        <w:t>非字也。</w:t>
      </w:r>
    </w:p>
    <w:p w:rsidR="00157EF6" w:rsidRPr="00043A1E" w:rsidRDefault="00157EF6" w:rsidP="00AA120F">
      <w:pPr>
        <w:pStyle w:val="a5"/>
        <w:ind w:leftChars="105" w:left="791" w:hangingChars="245" w:hanging="539"/>
        <w:jc w:val="both"/>
        <w:rPr>
          <w:szCs w:val="22"/>
        </w:rPr>
      </w:pPr>
      <w:r w:rsidRPr="00043A1E">
        <w:rPr>
          <w:szCs w:val="22"/>
        </w:rPr>
        <w:t>（</w:t>
      </w:r>
      <w:r w:rsidRPr="00761EF3">
        <w:rPr>
          <w:szCs w:val="22"/>
        </w:rPr>
        <w:t>2</w:t>
      </w:r>
      <w:r w:rsidRPr="00043A1E">
        <w:rPr>
          <w:szCs w:val="22"/>
        </w:rPr>
        <w:t>）《妙法蓮華經玄義》卷</w:t>
      </w:r>
      <w:r w:rsidRPr="00761EF3">
        <w:rPr>
          <w:szCs w:val="22"/>
        </w:rPr>
        <w:t>9</w:t>
      </w:r>
      <w:r w:rsidRPr="00043A1E">
        <w:rPr>
          <w:szCs w:val="22"/>
        </w:rPr>
        <w:t>（大正</w:t>
      </w:r>
      <w:r w:rsidRPr="00761EF3">
        <w:rPr>
          <w:szCs w:val="22"/>
        </w:rPr>
        <w:t>33</w:t>
      </w:r>
      <w:r w:rsidRPr="00043A1E">
        <w:rPr>
          <w:szCs w:val="22"/>
        </w:rPr>
        <w:t>，</w:t>
      </w:r>
      <w:r w:rsidRPr="00761EF3">
        <w:rPr>
          <w:szCs w:val="22"/>
        </w:rPr>
        <w:t>790a13</w:t>
      </w:r>
      <w:r w:rsidRPr="00043A1E">
        <w:rPr>
          <w:szCs w:val="22"/>
        </w:rPr>
        <w:t>-</w:t>
      </w:r>
      <w:r w:rsidRPr="00761EF3">
        <w:rPr>
          <w:szCs w:val="22"/>
        </w:rPr>
        <w:t>19</w:t>
      </w:r>
      <w:r w:rsidRPr="00043A1E">
        <w:rPr>
          <w:szCs w:val="22"/>
        </w:rPr>
        <w:t>）：</w:t>
      </w:r>
    </w:p>
    <w:p w:rsidR="00157EF6" w:rsidRDefault="00157EF6" w:rsidP="00AA120F">
      <w:pPr>
        <w:pStyle w:val="a5"/>
        <w:ind w:leftChars="335" w:left="804"/>
        <w:jc w:val="both"/>
        <w:rPr>
          <w:rFonts w:eastAsia="標楷體"/>
          <w:szCs w:val="22"/>
        </w:rPr>
      </w:pPr>
      <w:r w:rsidRPr="00043A1E">
        <w:rPr>
          <w:rFonts w:eastAsia="標楷體"/>
          <w:szCs w:val="22"/>
        </w:rPr>
        <w:t>五、</w:t>
      </w:r>
      <w:r w:rsidR="006A4EB0">
        <w:rPr>
          <w:rFonts w:eastAsia="標楷體" w:hint="eastAsia"/>
          <w:color w:val="FF0000"/>
          <w:szCs w:val="22"/>
          <w:highlight w:val="yellow"/>
        </w:rPr>
        <w:t>「</w:t>
      </w:r>
      <w:r w:rsidRPr="00043A1E">
        <w:rPr>
          <w:rFonts w:eastAsia="標楷體"/>
          <w:b/>
          <w:szCs w:val="22"/>
        </w:rPr>
        <w:t>識通塞</w:t>
      </w:r>
      <w:r w:rsidR="006A4EB0">
        <w:rPr>
          <w:rFonts w:eastAsia="標楷體" w:hint="eastAsia"/>
          <w:color w:val="FF0000"/>
          <w:szCs w:val="22"/>
          <w:highlight w:val="yellow"/>
        </w:rPr>
        <w:t>」</w:t>
      </w:r>
      <w:r w:rsidRPr="00043A1E">
        <w:rPr>
          <w:rFonts w:eastAsia="標楷體"/>
          <w:szCs w:val="22"/>
        </w:rPr>
        <w:t>者</w:t>
      </w:r>
      <w:r w:rsidR="006A4EB0" w:rsidRPr="006A4EB0">
        <w:rPr>
          <w:rFonts w:eastAsia="標楷體" w:hint="eastAsia"/>
          <w:color w:val="FF0000"/>
          <w:szCs w:val="22"/>
          <w:highlight w:val="yellow"/>
        </w:rPr>
        <w:t>：</w:t>
      </w:r>
      <w:r w:rsidRPr="00043A1E">
        <w:rPr>
          <w:rFonts w:eastAsia="標楷體"/>
          <w:szCs w:val="22"/>
        </w:rPr>
        <w:t>如主兵寶取捨得宜</w:t>
      </w:r>
      <w:r w:rsidR="006A4EB0">
        <w:rPr>
          <w:rFonts w:eastAsia="標楷體" w:hint="eastAsia"/>
          <w:color w:val="FF0000"/>
          <w:szCs w:val="22"/>
          <w:highlight w:val="yellow"/>
        </w:rPr>
        <w:t>──</w:t>
      </w:r>
      <w:r w:rsidRPr="00043A1E">
        <w:rPr>
          <w:rFonts w:eastAsia="標楷體"/>
          <w:szCs w:val="22"/>
        </w:rPr>
        <w:t>強者</w:t>
      </w:r>
      <w:r w:rsidR="006A4EB0" w:rsidRPr="004D4750">
        <w:rPr>
          <w:rFonts w:eastAsia="標楷體" w:hint="eastAsia"/>
          <w:color w:val="FF0000"/>
          <w:szCs w:val="22"/>
          <w:highlight w:val="yellow"/>
        </w:rPr>
        <w:t>，</w:t>
      </w:r>
      <w:r w:rsidRPr="00043A1E">
        <w:rPr>
          <w:rFonts w:eastAsia="標楷體"/>
          <w:szCs w:val="22"/>
        </w:rPr>
        <w:t>綏之</w:t>
      </w:r>
      <w:r w:rsidR="006A4EB0">
        <w:rPr>
          <w:rFonts w:eastAsia="標楷體" w:hint="eastAsia"/>
          <w:color w:val="FF0000"/>
          <w:szCs w:val="22"/>
          <w:highlight w:val="yellow"/>
        </w:rPr>
        <w:t>；</w:t>
      </w:r>
      <w:r w:rsidRPr="00043A1E">
        <w:rPr>
          <w:rFonts w:eastAsia="標楷體"/>
          <w:szCs w:val="22"/>
        </w:rPr>
        <w:t>弱者</w:t>
      </w:r>
      <w:r w:rsidR="006A4EB0" w:rsidRPr="006A4EB0">
        <w:rPr>
          <w:rFonts w:eastAsia="標楷體" w:hint="eastAsia"/>
          <w:color w:val="FF0000"/>
          <w:szCs w:val="22"/>
          <w:highlight w:val="yellow"/>
        </w:rPr>
        <w:t>，</w:t>
      </w:r>
      <w:r w:rsidRPr="00043A1E">
        <w:rPr>
          <w:rFonts w:eastAsia="標楷體"/>
          <w:szCs w:val="22"/>
        </w:rPr>
        <w:t>撫之。</w:t>
      </w:r>
      <w:r w:rsidRPr="00043A1E">
        <w:rPr>
          <w:rFonts w:eastAsia="標楷體"/>
          <w:b/>
          <w:szCs w:val="22"/>
        </w:rPr>
        <w:t>知生死過患名為</w:t>
      </w:r>
      <w:r w:rsidR="00185C61">
        <w:rPr>
          <w:rFonts w:eastAsia="標楷體" w:hint="eastAsia"/>
          <w:color w:val="FF0000"/>
          <w:szCs w:val="22"/>
          <w:highlight w:val="yellow"/>
        </w:rPr>
        <w:t>「</w:t>
      </w:r>
      <w:r w:rsidRPr="00043A1E">
        <w:rPr>
          <w:rFonts w:eastAsia="標楷體"/>
          <w:b/>
          <w:szCs w:val="22"/>
        </w:rPr>
        <w:t>塞</w:t>
      </w:r>
      <w:r w:rsidR="00185C61">
        <w:rPr>
          <w:rFonts w:eastAsia="標楷體" w:hint="eastAsia"/>
          <w:color w:val="FF0000"/>
          <w:szCs w:val="22"/>
          <w:highlight w:val="yellow"/>
        </w:rPr>
        <w:t>」</w:t>
      </w:r>
      <w:r w:rsidRPr="00043A1E">
        <w:rPr>
          <w:rFonts w:eastAsia="標楷體"/>
          <w:b/>
          <w:szCs w:val="22"/>
        </w:rPr>
        <w:t>，即涅槃名為</w:t>
      </w:r>
      <w:r w:rsidR="00185C61">
        <w:rPr>
          <w:rFonts w:eastAsia="標楷體" w:hint="eastAsia"/>
          <w:color w:val="FF0000"/>
          <w:szCs w:val="22"/>
          <w:highlight w:val="yellow"/>
        </w:rPr>
        <w:t>「</w:t>
      </w:r>
      <w:r w:rsidRPr="00043A1E">
        <w:rPr>
          <w:rFonts w:eastAsia="標楷體"/>
          <w:b/>
          <w:szCs w:val="22"/>
        </w:rPr>
        <w:t>通</w:t>
      </w:r>
      <w:r w:rsidR="00185C61">
        <w:rPr>
          <w:rFonts w:eastAsia="標楷體" w:hint="eastAsia"/>
          <w:color w:val="FF0000"/>
          <w:szCs w:val="22"/>
          <w:highlight w:val="yellow"/>
        </w:rPr>
        <w:t>」</w:t>
      </w:r>
      <w:r w:rsidRPr="00043A1E">
        <w:rPr>
          <w:rFonts w:eastAsia="標楷體"/>
          <w:b/>
          <w:szCs w:val="22"/>
        </w:rPr>
        <w:t>。煩惱惱亂名為</w:t>
      </w:r>
      <w:r w:rsidR="00185C61">
        <w:rPr>
          <w:rFonts w:eastAsia="標楷體" w:hint="eastAsia"/>
          <w:color w:val="FF0000"/>
          <w:szCs w:val="22"/>
          <w:highlight w:val="yellow"/>
        </w:rPr>
        <w:t>「</w:t>
      </w:r>
      <w:r w:rsidRPr="00043A1E">
        <w:rPr>
          <w:rFonts w:eastAsia="標楷體"/>
          <w:b/>
          <w:szCs w:val="22"/>
        </w:rPr>
        <w:t>塞</w:t>
      </w:r>
      <w:r w:rsidR="00185C61">
        <w:rPr>
          <w:rFonts w:eastAsia="標楷體" w:hint="eastAsia"/>
          <w:color w:val="FF0000"/>
          <w:szCs w:val="22"/>
          <w:highlight w:val="yellow"/>
        </w:rPr>
        <w:t>」</w:t>
      </w:r>
      <w:r w:rsidRPr="00043A1E">
        <w:rPr>
          <w:rFonts w:eastAsia="標楷體"/>
          <w:b/>
          <w:szCs w:val="22"/>
        </w:rPr>
        <w:t>，即是菩提名為</w:t>
      </w:r>
      <w:r w:rsidR="00185C61">
        <w:rPr>
          <w:rFonts w:eastAsia="標楷體" w:hint="eastAsia"/>
          <w:color w:val="FF0000"/>
          <w:szCs w:val="22"/>
          <w:highlight w:val="yellow"/>
        </w:rPr>
        <w:t>「</w:t>
      </w:r>
      <w:r w:rsidRPr="00043A1E">
        <w:rPr>
          <w:rFonts w:eastAsia="標楷體"/>
          <w:b/>
          <w:szCs w:val="22"/>
        </w:rPr>
        <w:t>通</w:t>
      </w:r>
      <w:r w:rsidR="00185C61">
        <w:rPr>
          <w:rFonts w:eastAsia="標楷體" w:hint="eastAsia"/>
          <w:color w:val="FF0000"/>
          <w:szCs w:val="22"/>
          <w:highlight w:val="yellow"/>
        </w:rPr>
        <w:t>」</w:t>
      </w:r>
      <w:r w:rsidRPr="00043A1E">
        <w:rPr>
          <w:rFonts w:eastAsia="標楷體"/>
          <w:b/>
          <w:szCs w:val="22"/>
        </w:rPr>
        <w:t>。</w:t>
      </w:r>
      <w:r w:rsidRPr="00043A1E">
        <w:rPr>
          <w:rFonts w:eastAsia="標楷體"/>
          <w:szCs w:val="22"/>
        </w:rPr>
        <w:t>始從外道四見乃至圓教四門</w:t>
      </w:r>
      <w:r w:rsidR="00185C61" w:rsidRPr="00185C61">
        <w:rPr>
          <w:rFonts w:eastAsia="標楷體" w:hint="eastAsia"/>
          <w:color w:val="FF0000"/>
          <w:szCs w:val="22"/>
          <w:highlight w:val="yellow"/>
        </w:rPr>
        <w:t>，</w:t>
      </w:r>
      <w:r w:rsidRPr="00043A1E">
        <w:rPr>
          <w:rFonts w:eastAsia="標楷體"/>
          <w:szCs w:val="22"/>
        </w:rPr>
        <w:t>皆識通塞。</w:t>
      </w:r>
      <w:r w:rsidRPr="00043A1E">
        <w:rPr>
          <w:rFonts w:eastAsia="標楷體"/>
          <w:b/>
          <w:szCs w:val="22"/>
        </w:rPr>
        <w:t>節節</w:t>
      </w:r>
      <w:r w:rsidR="00185C61" w:rsidRPr="00185C61">
        <w:rPr>
          <w:rFonts w:eastAsia="標楷體" w:hint="eastAsia"/>
          <w:color w:val="FF0000"/>
          <w:szCs w:val="22"/>
          <w:shd w:val="pct15" w:color="auto" w:fill="FFFFFF"/>
        </w:rPr>
        <w:t>*</w:t>
      </w:r>
      <w:r w:rsidRPr="00043A1E">
        <w:rPr>
          <w:rFonts w:eastAsia="標楷體"/>
          <w:b/>
          <w:szCs w:val="22"/>
        </w:rPr>
        <w:t>執著即是</w:t>
      </w:r>
      <w:r w:rsidR="00185C61">
        <w:rPr>
          <w:rFonts w:eastAsia="標楷體" w:hint="eastAsia"/>
          <w:color w:val="FF0000"/>
          <w:szCs w:val="22"/>
          <w:highlight w:val="yellow"/>
        </w:rPr>
        <w:t>「</w:t>
      </w:r>
      <w:r w:rsidRPr="00043A1E">
        <w:rPr>
          <w:rFonts w:eastAsia="標楷體"/>
          <w:b/>
          <w:szCs w:val="22"/>
        </w:rPr>
        <w:t>塞</w:t>
      </w:r>
      <w:r w:rsidR="00185C61">
        <w:rPr>
          <w:rFonts w:eastAsia="標楷體" w:hint="eastAsia"/>
          <w:color w:val="FF0000"/>
          <w:szCs w:val="22"/>
          <w:highlight w:val="yellow"/>
        </w:rPr>
        <w:t>」</w:t>
      </w:r>
      <w:r w:rsidRPr="00043A1E">
        <w:rPr>
          <w:rFonts w:eastAsia="標楷體"/>
          <w:b/>
          <w:szCs w:val="22"/>
        </w:rPr>
        <w:t>，節節亡妙名為</w:t>
      </w:r>
      <w:r w:rsidR="00185C61">
        <w:rPr>
          <w:rFonts w:eastAsia="標楷體" w:hint="eastAsia"/>
          <w:color w:val="FF0000"/>
          <w:szCs w:val="22"/>
          <w:highlight w:val="yellow"/>
        </w:rPr>
        <w:t>「</w:t>
      </w:r>
      <w:r w:rsidRPr="00043A1E">
        <w:rPr>
          <w:rFonts w:eastAsia="標楷體"/>
          <w:b/>
          <w:szCs w:val="22"/>
        </w:rPr>
        <w:t>通</w:t>
      </w:r>
      <w:r w:rsidR="00185C61">
        <w:rPr>
          <w:rFonts w:eastAsia="標楷體" w:hint="eastAsia"/>
          <w:color w:val="FF0000"/>
          <w:szCs w:val="22"/>
          <w:highlight w:val="yellow"/>
        </w:rPr>
        <w:t>」</w:t>
      </w:r>
      <w:r w:rsidRPr="00043A1E">
        <w:rPr>
          <w:rFonts w:eastAsia="標楷體"/>
          <w:szCs w:val="22"/>
        </w:rPr>
        <w:t>。若不識諸法夷嶮，非但行法不前，亦亡去重寶也</w:t>
      </w:r>
      <w:r w:rsidRPr="00185C61">
        <w:rPr>
          <w:rFonts w:eastAsia="標楷體"/>
          <w:szCs w:val="22"/>
          <w:highlight w:val="yellow"/>
        </w:rPr>
        <w:t>。</w:t>
      </w:r>
    </w:p>
    <w:p w:rsidR="00185C61" w:rsidRPr="00185C61" w:rsidRDefault="00185C61" w:rsidP="00AA120F">
      <w:pPr>
        <w:pStyle w:val="a5"/>
        <w:ind w:leftChars="335" w:left="804"/>
        <w:jc w:val="both"/>
        <w:rPr>
          <w:szCs w:val="22"/>
        </w:rPr>
      </w:pPr>
      <w:r w:rsidRPr="00185C61">
        <w:rPr>
          <w:rFonts w:eastAsia="標楷體" w:hint="eastAsia"/>
          <w:color w:val="FF0000"/>
          <w:szCs w:val="22"/>
          <w:shd w:val="pct15" w:color="auto" w:fill="FFFFFF"/>
        </w:rPr>
        <w:t>*</w:t>
      </w:r>
      <w:r w:rsidRPr="00554D45">
        <w:rPr>
          <w:color w:val="FF0000"/>
          <w:szCs w:val="22"/>
          <w:highlight w:val="yellow"/>
        </w:rPr>
        <w:t>節節</w:t>
      </w:r>
      <w:r w:rsidRPr="00554D45">
        <w:rPr>
          <w:rFonts w:hint="eastAsia"/>
          <w:color w:val="FF0000"/>
          <w:szCs w:val="22"/>
          <w:highlight w:val="yellow"/>
        </w:rPr>
        <w:t>：</w:t>
      </w:r>
      <w:r w:rsidRPr="00554D45">
        <w:rPr>
          <w:rFonts w:hint="eastAsia"/>
          <w:color w:val="FF0000"/>
          <w:szCs w:val="22"/>
          <w:highlight w:val="yellow"/>
        </w:rPr>
        <w:t>2.</w:t>
      </w:r>
      <w:r w:rsidRPr="00554D45">
        <w:rPr>
          <w:rFonts w:hint="eastAsia"/>
          <w:color w:val="FF0000"/>
          <w:szCs w:val="22"/>
          <w:highlight w:val="yellow"/>
        </w:rPr>
        <w:t>猶「處處」。</w:t>
      </w:r>
      <w:r w:rsidRPr="00554D45">
        <w:rPr>
          <w:color w:val="FF0000"/>
          <w:szCs w:val="22"/>
          <w:highlight w:val="yellow"/>
        </w:rPr>
        <w:t>（《漢語大詞典》（</w:t>
      </w:r>
      <w:r w:rsidRPr="00554D45">
        <w:rPr>
          <w:rFonts w:hint="eastAsia"/>
          <w:color w:val="FF0000"/>
          <w:szCs w:val="22"/>
          <w:highlight w:val="yellow"/>
        </w:rPr>
        <w:t>八</w:t>
      </w:r>
      <w:r w:rsidRPr="00554D45">
        <w:rPr>
          <w:color w:val="FF0000"/>
          <w:szCs w:val="22"/>
          <w:highlight w:val="yellow"/>
        </w:rPr>
        <w:t>）</w:t>
      </w:r>
      <w:r w:rsidRPr="00554D45">
        <w:rPr>
          <w:rFonts w:hint="eastAsia"/>
          <w:color w:val="FF0000"/>
          <w:szCs w:val="22"/>
          <w:highlight w:val="yellow"/>
        </w:rPr>
        <w:t>，</w:t>
      </w:r>
      <w:r w:rsidRPr="00554D45">
        <w:rPr>
          <w:color w:val="FF0000"/>
          <w:szCs w:val="22"/>
          <w:highlight w:val="yellow"/>
        </w:rPr>
        <w:t>p.</w:t>
      </w:r>
      <w:r w:rsidRPr="00554D45">
        <w:rPr>
          <w:rFonts w:hint="eastAsia"/>
          <w:color w:val="FF0000"/>
          <w:szCs w:val="22"/>
          <w:highlight w:val="yellow"/>
        </w:rPr>
        <w:t>1182</w:t>
      </w:r>
      <w:r w:rsidRPr="00554D45">
        <w:rPr>
          <w:color w:val="FF0000"/>
          <w:szCs w:val="22"/>
          <w:highlight w:val="yellow"/>
        </w:rPr>
        <w:t>）</w:t>
      </w:r>
    </w:p>
  </w:footnote>
  <w:footnote w:id="679">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變動不居：謂事物不斷變化，沒有固定的形態。（《漢語大詞典》（五）</w:t>
      </w:r>
      <w:r w:rsidRPr="00043A1E">
        <w:rPr>
          <w:rFonts w:hint="eastAsia"/>
          <w:szCs w:val="22"/>
        </w:rPr>
        <w:t>，</w:t>
      </w:r>
      <w:r w:rsidRPr="00761EF3">
        <w:rPr>
          <w:szCs w:val="22"/>
        </w:rPr>
        <w:t>p</w:t>
      </w:r>
      <w:r w:rsidRPr="00043A1E">
        <w:rPr>
          <w:szCs w:val="22"/>
        </w:rPr>
        <w:t>.</w:t>
      </w:r>
      <w:r w:rsidRPr="00761EF3">
        <w:rPr>
          <w:szCs w:val="22"/>
        </w:rPr>
        <w:t>532</w:t>
      </w:r>
      <w:r w:rsidRPr="00043A1E">
        <w:rPr>
          <w:szCs w:val="22"/>
        </w:rPr>
        <w:t>）</w:t>
      </w:r>
    </w:p>
  </w:footnote>
  <w:footnote w:id="680">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《大智度論》卷</w:t>
      </w:r>
      <w:r w:rsidRPr="00761EF3">
        <w:rPr>
          <w:szCs w:val="22"/>
        </w:rPr>
        <w:t>32</w:t>
      </w:r>
      <w:r w:rsidR="005C0D01">
        <w:rPr>
          <w:rFonts w:hint="eastAsia"/>
          <w:color w:val="FF0000"/>
          <w:szCs w:val="22"/>
          <w:highlight w:val="yellow"/>
        </w:rPr>
        <w:t>釋</w:t>
      </w:r>
      <w:r w:rsidRPr="00043A1E">
        <w:rPr>
          <w:szCs w:val="22"/>
        </w:rPr>
        <w:t>〈</w:t>
      </w:r>
      <w:r w:rsidRPr="00761EF3">
        <w:rPr>
          <w:szCs w:val="22"/>
        </w:rPr>
        <w:t>1</w:t>
      </w:r>
      <w:r w:rsidRPr="00043A1E">
        <w:rPr>
          <w:szCs w:val="22"/>
        </w:rPr>
        <w:t xml:space="preserve"> </w:t>
      </w:r>
      <w:r w:rsidRPr="00043A1E">
        <w:rPr>
          <w:szCs w:val="22"/>
        </w:rPr>
        <w:t>序品〉（大正</w:t>
      </w:r>
      <w:r w:rsidRPr="00761EF3">
        <w:rPr>
          <w:szCs w:val="22"/>
        </w:rPr>
        <w:t>25</w:t>
      </w:r>
      <w:r w:rsidRPr="00043A1E">
        <w:rPr>
          <w:szCs w:val="22"/>
        </w:rPr>
        <w:t>，</w:t>
      </w:r>
      <w:r w:rsidRPr="00761EF3">
        <w:rPr>
          <w:szCs w:val="22"/>
        </w:rPr>
        <w:t>298c6</w:t>
      </w:r>
      <w:r w:rsidRPr="00043A1E">
        <w:rPr>
          <w:szCs w:val="22"/>
        </w:rPr>
        <w:t>-</w:t>
      </w:r>
      <w:r w:rsidRPr="00761EF3">
        <w:rPr>
          <w:szCs w:val="22"/>
        </w:rPr>
        <w:t>18</w:t>
      </w:r>
      <w:r w:rsidRPr="00043A1E">
        <w:rPr>
          <w:szCs w:val="22"/>
        </w:rPr>
        <w:t>）：</w:t>
      </w:r>
    </w:p>
    <w:p w:rsidR="00157EF6" w:rsidRPr="00043A1E" w:rsidRDefault="00157EF6" w:rsidP="00AA120F">
      <w:pPr>
        <w:pStyle w:val="a5"/>
        <w:ind w:leftChars="105" w:left="252"/>
        <w:jc w:val="both"/>
        <w:rPr>
          <w:rFonts w:eastAsia="標楷體"/>
          <w:szCs w:val="22"/>
        </w:rPr>
      </w:pPr>
      <w:r w:rsidRPr="00043A1E">
        <w:rPr>
          <w:rFonts w:eastAsia="標楷體"/>
          <w:szCs w:val="22"/>
        </w:rPr>
        <w:t>一一法有九種：一者、有</w:t>
      </w:r>
      <w:r w:rsidRPr="00043A1E">
        <w:rPr>
          <w:rFonts w:eastAsia="標楷體"/>
          <w:b/>
          <w:szCs w:val="22"/>
        </w:rPr>
        <w:t>體</w:t>
      </w:r>
      <w:r w:rsidR="002D311F">
        <w:rPr>
          <w:rFonts w:ascii="標楷體" w:eastAsia="標楷體" w:hAnsi="標楷體" w:hint="eastAsia"/>
          <w:color w:val="FF0000"/>
          <w:kern w:val="0"/>
          <w:highlight w:val="yellow"/>
        </w:rPr>
        <w:t>。</w:t>
      </w:r>
      <w:r w:rsidRPr="00043A1E">
        <w:rPr>
          <w:rFonts w:eastAsia="標楷體"/>
          <w:szCs w:val="22"/>
        </w:rPr>
        <w:t>二者、各各有</w:t>
      </w:r>
      <w:r w:rsidRPr="00043A1E">
        <w:rPr>
          <w:rFonts w:eastAsia="標楷體"/>
          <w:b/>
          <w:szCs w:val="22"/>
        </w:rPr>
        <w:t>法</w:t>
      </w:r>
      <w:r w:rsidRPr="00043A1E">
        <w:rPr>
          <w:rFonts w:eastAsia="標楷體"/>
          <w:szCs w:val="22"/>
        </w:rPr>
        <w:t>；如</w:t>
      </w:r>
      <w:r w:rsidR="002D311F">
        <w:rPr>
          <w:rFonts w:ascii="標楷體" w:eastAsia="標楷體" w:hAnsi="標楷體" w:hint="eastAsia"/>
          <w:color w:val="FF0000"/>
          <w:spacing w:val="-4"/>
          <w:kern w:val="0"/>
          <w:highlight w:val="yellow"/>
        </w:rPr>
        <w:t>：</w:t>
      </w:r>
      <w:r w:rsidRPr="00043A1E">
        <w:rPr>
          <w:rFonts w:eastAsia="標楷體"/>
          <w:szCs w:val="22"/>
        </w:rPr>
        <w:t>眼、耳</w:t>
      </w:r>
      <w:r w:rsidR="002D311F">
        <w:rPr>
          <w:rFonts w:ascii="標楷體" w:eastAsia="標楷體" w:hAnsi="標楷體" w:hint="eastAsia"/>
          <w:color w:val="FF0000"/>
          <w:kern w:val="0"/>
          <w:highlight w:val="yellow"/>
        </w:rPr>
        <w:t>，</w:t>
      </w:r>
      <w:r w:rsidRPr="00043A1E">
        <w:rPr>
          <w:rFonts w:eastAsia="標楷體"/>
          <w:szCs w:val="22"/>
        </w:rPr>
        <w:t>雖同四大造，而眼獨能見，耳無見功；又如</w:t>
      </w:r>
      <w:r w:rsidR="002D311F">
        <w:rPr>
          <w:rFonts w:ascii="標楷體" w:eastAsia="標楷體" w:hAnsi="標楷體" w:hint="eastAsia"/>
          <w:color w:val="FF0000"/>
          <w:spacing w:val="-4"/>
          <w:kern w:val="0"/>
          <w:highlight w:val="yellow"/>
        </w:rPr>
        <w:t>：</w:t>
      </w:r>
      <w:r w:rsidRPr="00043A1E">
        <w:rPr>
          <w:rFonts w:eastAsia="標楷體"/>
          <w:szCs w:val="22"/>
        </w:rPr>
        <w:t>火以熱為法，而不能潤</w:t>
      </w:r>
      <w:r w:rsidR="002D311F">
        <w:rPr>
          <w:rFonts w:ascii="標楷體" w:eastAsia="標楷體" w:hAnsi="標楷體" w:hint="eastAsia"/>
          <w:color w:val="FF0000"/>
          <w:kern w:val="0"/>
          <w:highlight w:val="yellow"/>
        </w:rPr>
        <w:t>。</w:t>
      </w:r>
      <w:r w:rsidRPr="00043A1E">
        <w:rPr>
          <w:rFonts w:eastAsia="標楷體"/>
          <w:szCs w:val="22"/>
        </w:rPr>
        <w:t>三者、諸法各有</w:t>
      </w:r>
      <w:r w:rsidRPr="00043A1E">
        <w:rPr>
          <w:rFonts w:eastAsia="標楷體"/>
          <w:b/>
          <w:szCs w:val="22"/>
        </w:rPr>
        <w:t>力</w:t>
      </w:r>
      <w:r w:rsidRPr="00043A1E">
        <w:rPr>
          <w:rFonts w:eastAsia="標楷體" w:hint="eastAsia"/>
          <w:szCs w:val="22"/>
        </w:rPr>
        <w:t>，</w:t>
      </w:r>
      <w:r w:rsidRPr="00043A1E">
        <w:rPr>
          <w:rFonts w:eastAsia="標楷體"/>
          <w:szCs w:val="22"/>
        </w:rPr>
        <w:t>如</w:t>
      </w:r>
      <w:r w:rsidR="002D311F">
        <w:rPr>
          <w:rFonts w:ascii="標楷體" w:eastAsia="標楷體" w:hAnsi="標楷體" w:hint="eastAsia"/>
          <w:color w:val="FF0000"/>
          <w:spacing w:val="-4"/>
          <w:kern w:val="0"/>
          <w:highlight w:val="yellow"/>
        </w:rPr>
        <w:t>：</w:t>
      </w:r>
      <w:r w:rsidRPr="00043A1E">
        <w:rPr>
          <w:rFonts w:eastAsia="標楷體"/>
          <w:szCs w:val="22"/>
        </w:rPr>
        <w:t>火以燒為力，水以潤為力</w:t>
      </w:r>
      <w:r w:rsidR="002D311F">
        <w:rPr>
          <w:rFonts w:ascii="標楷體" w:eastAsia="標楷體" w:hAnsi="標楷體" w:hint="eastAsia"/>
          <w:color w:val="FF0000"/>
          <w:kern w:val="0"/>
          <w:highlight w:val="yellow"/>
        </w:rPr>
        <w:t>。</w:t>
      </w:r>
      <w:r w:rsidRPr="00043A1E">
        <w:rPr>
          <w:rFonts w:eastAsia="標楷體"/>
          <w:szCs w:val="22"/>
        </w:rPr>
        <w:t>四者、諸法各自有</w:t>
      </w:r>
      <w:r w:rsidRPr="00043A1E">
        <w:rPr>
          <w:rFonts w:eastAsia="標楷體"/>
          <w:b/>
          <w:szCs w:val="22"/>
        </w:rPr>
        <w:t>因</w:t>
      </w:r>
      <w:r w:rsidR="002D311F">
        <w:rPr>
          <w:rFonts w:ascii="標楷體" w:eastAsia="標楷體" w:hAnsi="標楷體" w:hint="eastAsia"/>
          <w:color w:val="FF0000"/>
          <w:kern w:val="0"/>
          <w:highlight w:val="yellow"/>
        </w:rPr>
        <w:t>。</w:t>
      </w:r>
      <w:r w:rsidRPr="00043A1E">
        <w:rPr>
          <w:rFonts w:eastAsia="標楷體"/>
          <w:szCs w:val="22"/>
        </w:rPr>
        <w:t>五者、諸法各自有</w:t>
      </w:r>
      <w:r w:rsidRPr="00043A1E">
        <w:rPr>
          <w:rFonts w:eastAsia="標楷體"/>
          <w:b/>
          <w:szCs w:val="22"/>
        </w:rPr>
        <w:t>緣</w:t>
      </w:r>
      <w:r w:rsidR="002D311F">
        <w:rPr>
          <w:rFonts w:ascii="標楷體" w:eastAsia="標楷體" w:hAnsi="標楷體" w:hint="eastAsia"/>
          <w:color w:val="FF0000"/>
          <w:kern w:val="0"/>
          <w:highlight w:val="yellow"/>
        </w:rPr>
        <w:t>。</w:t>
      </w:r>
      <w:r w:rsidRPr="00043A1E">
        <w:rPr>
          <w:rFonts w:eastAsia="標楷體"/>
          <w:szCs w:val="22"/>
        </w:rPr>
        <w:t>六者、諸法各自有</w:t>
      </w:r>
      <w:r w:rsidRPr="00043A1E">
        <w:rPr>
          <w:rFonts w:eastAsia="標楷體"/>
          <w:b/>
          <w:szCs w:val="22"/>
        </w:rPr>
        <w:t>果</w:t>
      </w:r>
      <w:r w:rsidR="002D311F">
        <w:rPr>
          <w:rFonts w:ascii="標楷體" w:eastAsia="標楷體" w:hAnsi="標楷體" w:hint="eastAsia"/>
          <w:color w:val="FF0000"/>
          <w:kern w:val="0"/>
          <w:highlight w:val="yellow"/>
        </w:rPr>
        <w:t>。</w:t>
      </w:r>
      <w:r w:rsidRPr="00043A1E">
        <w:rPr>
          <w:rFonts w:eastAsia="標楷體"/>
          <w:szCs w:val="22"/>
        </w:rPr>
        <w:t>七者、諸法各自有性</w:t>
      </w:r>
      <w:r w:rsidR="002D311F">
        <w:rPr>
          <w:rFonts w:ascii="標楷體" w:eastAsia="標楷體" w:hAnsi="標楷體" w:hint="eastAsia"/>
          <w:color w:val="FF0000"/>
          <w:kern w:val="0"/>
          <w:highlight w:val="yellow"/>
        </w:rPr>
        <w:t>。</w:t>
      </w:r>
      <w:r w:rsidRPr="00043A1E">
        <w:rPr>
          <w:rFonts w:eastAsia="標楷體"/>
          <w:szCs w:val="22"/>
        </w:rPr>
        <w:t>八者、諸法各有</w:t>
      </w:r>
      <w:r w:rsidRPr="00043A1E">
        <w:rPr>
          <w:rFonts w:eastAsia="標楷體"/>
          <w:b/>
          <w:szCs w:val="22"/>
        </w:rPr>
        <w:t>限礙</w:t>
      </w:r>
      <w:r w:rsidR="002D311F">
        <w:rPr>
          <w:rFonts w:ascii="標楷體" w:eastAsia="標楷體" w:hAnsi="標楷體" w:hint="eastAsia"/>
          <w:color w:val="FF0000"/>
          <w:kern w:val="0"/>
          <w:highlight w:val="yellow"/>
        </w:rPr>
        <w:t>。</w:t>
      </w:r>
      <w:r w:rsidRPr="00043A1E">
        <w:rPr>
          <w:rFonts w:eastAsia="標楷體"/>
          <w:szCs w:val="22"/>
        </w:rPr>
        <w:t>九者、諸法各各有</w:t>
      </w:r>
      <w:r w:rsidRPr="00043A1E">
        <w:rPr>
          <w:rFonts w:eastAsia="標楷體"/>
          <w:b/>
          <w:szCs w:val="22"/>
        </w:rPr>
        <w:t>開通方便</w:t>
      </w:r>
      <w:r w:rsidRPr="00043A1E">
        <w:rPr>
          <w:rFonts w:eastAsia="標楷體"/>
          <w:szCs w:val="22"/>
        </w:rPr>
        <w:t>。</w:t>
      </w:r>
    </w:p>
    <w:p w:rsidR="00157EF6" w:rsidRPr="00043A1E" w:rsidRDefault="00157EF6" w:rsidP="00AA120F">
      <w:pPr>
        <w:pStyle w:val="a5"/>
        <w:ind w:leftChars="105" w:left="252"/>
        <w:jc w:val="both"/>
        <w:rPr>
          <w:rFonts w:eastAsia="標楷體"/>
          <w:szCs w:val="22"/>
        </w:rPr>
      </w:pPr>
      <w:r w:rsidRPr="00043A1E">
        <w:rPr>
          <w:rFonts w:eastAsia="標楷體"/>
          <w:szCs w:val="22"/>
        </w:rPr>
        <w:t>諸法生時，</w:t>
      </w:r>
      <w:r w:rsidR="002D311F">
        <w:rPr>
          <w:rFonts w:ascii="標楷體" w:eastAsia="標楷體" w:hAnsi="標楷體" w:hint="eastAsia"/>
          <w:bCs/>
          <w:color w:val="FF0000"/>
          <w:kern w:val="0"/>
          <w:highlight w:val="yellow"/>
        </w:rPr>
        <w:t>「</w:t>
      </w:r>
      <w:r w:rsidRPr="00043A1E">
        <w:rPr>
          <w:rFonts w:eastAsia="標楷體"/>
          <w:szCs w:val="22"/>
        </w:rPr>
        <w:t>體</w:t>
      </w:r>
      <w:r w:rsidR="002D311F">
        <w:rPr>
          <w:rFonts w:ascii="標楷體" w:eastAsia="標楷體" w:hAnsi="標楷體" w:hint="eastAsia"/>
          <w:bCs/>
          <w:color w:val="FF0000"/>
          <w:kern w:val="0"/>
          <w:highlight w:val="yellow"/>
        </w:rPr>
        <w:t>」</w:t>
      </w:r>
      <w:r w:rsidRPr="00043A1E">
        <w:rPr>
          <w:rFonts w:eastAsia="標楷體"/>
          <w:szCs w:val="22"/>
        </w:rPr>
        <w:t>及餘法，凡有九事。</w:t>
      </w:r>
    </w:p>
    <w:p w:rsidR="00157EF6" w:rsidRPr="00043A1E" w:rsidRDefault="00157EF6" w:rsidP="00AA120F">
      <w:pPr>
        <w:pStyle w:val="a5"/>
        <w:ind w:leftChars="105" w:left="252"/>
        <w:jc w:val="both"/>
        <w:rPr>
          <w:rFonts w:eastAsia="標楷體"/>
          <w:szCs w:val="22"/>
        </w:rPr>
      </w:pPr>
      <w:r w:rsidRPr="00043A1E">
        <w:rPr>
          <w:rFonts w:eastAsia="標楷體"/>
          <w:szCs w:val="22"/>
        </w:rPr>
        <w:t>知此法各各有體</w:t>
      </w:r>
      <w:r w:rsidR="00A43E10" w:rsidRPr="00A43E10">
        <w:rPr>
          <w:rFonts w:eastAsia="標楷體" w:hint="eastAsia"/>
          <w:color w:val="FF0000"/>
          <w:szCs w:val="22"/>
          <w:highlight w:val="yellow"/>
        </w:rPr>
        <w:t>、</w:t>
      </w:r>
      <w:r w:rsidRPr="00043A1E">
        <w:rPr>
          <w:rFonts w:eastAsia="標楷體"/>
          <w:szCs w:val="22"/>
        </w:rPr>
        <w:t>法具足，是名</w:t>
      </w:r>
      <w:r w:rsidR="002D311F">
        <w:rPr>
          <w:rFonts w:ascii="標楷體" w:eastAsia="標楷體" w:hAnsi="標楷體" w:hint="eastAsia"/>
          <w:bCs/>
          <w:color w:val="FF0000"/>
          <w:kern w:val="0"/>
          <w:highlight w:val="yellow"/>
        </w:rPr>
        <w:t>「</w:t>
      </w:r>
      <w:r w:rsidRPr="00043A1E">
        <w:rPr>
          <w:rFonts w:eastAsia="標楷體"/>
          <w:szCs w:val="22"/>
        </w:rPr>
        <w:t>世間</w:t>
      </w:r>
      <w:r w:rsidRPr="00043A1E">
        <w:rPr>
          <w:rFonts w:eastAsia="標楷體"/>
          <w:b/>
          <w:szCs w:val="22"/>
        </w:rPr>
        <w:t>下如</w:t>
      </w:r>
      <w:r w:rsidR="002D311F">
        <w:rPr>
          <w:rFonts w:ascii="標楷體" w:eastAsia="標楷體" w:hAnsi="標楷體" w:hint="eastAsia"/>
          <w:bCs/>
          <w:color w:val="FF0000"/>
          <w:kern w:val="0"/>
          <w:highlight w:val="yellow"/>
        </w:rPr>
        <w:t>」</w:t>
      </w:r>
      <w:r w:rsidRPr="00043A1E">
        <w:rPr>
          <w:rFonts w:eastAsia="標楷體"/>
          <w:szCs w:val="22"/>
        </w:rPr>
        <w:t>。</w:t>
      </w:r>
    </w:p>
    <w:p w:rsidR="00157EF6" w:rsidRPr="00043A1E" w:rsidRDefault="00157EF6" w:rsidP="00AA120F">
      <w:pPr>
        <w:pStyle w:val="a5"/>
        <w:ind w:leftChars="105" w:left="252"/>
        <w:jc w:val="both"/>
        <w:rPr>
          <w:rFonts w:eastAsia="標楷體"/>
          <w:szCs w:val="22"/>
        </w:rPr>
      </w:pPr>
      <w:r w:rsidRPr="00043A1E">
        <w:rPr>
          <w:rFonts w:eastAsia="標楷體"/>
          <w:szCs w:val="22"/>
        </w:rPr>
        <w:t>知此九法終歸變異盡滅，是名</w:t>
      </w:r>
      <w:r w:rsidR="002D311F">
        <w:rPr>
          <w:rFonts w:ascii="標楷體" w:eastAsia="標楷體" w:hAnsi="標楷體" w:hint="eastAsia"/>
          <w:bCs/>
          <w:color w:val="FF0000"/>
          <w:kern w:val="0"/>
          <w:highlight w:val="yellow"/>
        </w:rPr>
        <w:t>「</w:t>
      </w:r>
      <w:r w:rsidRPr="00043A1E">
        <w:rPr>
          <w:rFonts w:eastAsia="標楷體"/>
          <w:b/>
          <w:szCs w:val="22"/>
        </w:rPr>
        <w:t>中如</w:t>
      </w:r>
      <w:r w:rsidR="002D311F">
        <w:rPr>
          <w:rFonts w:ascii="標楷體" w:eastAsia="標楷體" w:hAnsi="標楷體" w:hint="eastAsia"/>
          <w:bCs/>
          <w:color w:val="FF0000"/>
          <w:kern w:val="0"/>
          <w:highlight w:val="yellow"/>
        </w:rPr>
        <w:t>」</w:t>
      </w:r>
      <w:r w:rsidR="002D311F">
        <w:rPr>
          <w:rFonts w:ascii="標楷體" w:eastAsia="標楷體" w:hAnsi="標楷體" w:hint="eastAsia"/>
          <w:color w:val="FF0000"/>
          <w:spacing w:val="-4"/>
          <w:kern w:val="0"/>
          <w:highlight w:val="yellow"/>
        </w:rPr>
        <w:t>；</w:t>
      </w:r>
      <w:r w:rsidRPr="00043A1E">
        <w:rPr>
          <w:rFonts w:eastAsia="標楷體"/>
          <w:szCs w:val="22"/>
        </w:rPr>
        <w:t>譬如此身生，從不淨出，雖復澡浴嚴飾，終歸不淨。</w:t>
      </w:r>
    </w:p>
    <w:p w:rsidR="00157EF6" w:rsidRPr="00043A1E" w:rsidRDefault="00157EF6" w:rsidP="00AA120F">
      <w:pPr>
        <w:pStyle w:val="a5"/>
        <w:ind w:leftChars="105" w:left="252"/>
        <w:jc w:val="both"/>
        <w:rPr>
          <w:szCs w:val="22"/>
        </w:rPr>
      </w:pPr>
      <w:r w:rsidRPr="00043A1E">
        <w:rPr>
          <w:rFonts w:eastAsia="標楷體"/>
          <w:szCs w:val="22"/>
        </w:rPr>
        <w:t>是法非有非無、非生非滅，滅諸觀法，究竟清淨，是名</w:t>
      </w:r>
      <w:r w:rsidR="002D311F">
        <w:rPr>
          <w:rFonts w:ascii="標楷體" w:eastAsia="標楷體" w:hAnsi="標楷體" w:hint="eastAsia"/>
          <w:bCs/>
          <w:color w:val="FF0000"/>
          <w:kern w:val="0"/>
          <w:highlight w:val="yellow"/>
        </w:rPr>
        <w:t>「</w:t>
      </w:r>
      <w:r w:rsidRPr="00043A1E">
        <w:rPr>
          <w:rFonts w:eastAsia="標楷體"/>
          <w:b/>
          <w:szCs w:val="22"/>
        </w:rPr>
        <w:t>上如</w:t>
      </w:r>
      <w:r w:rsidR="002D311F">
        <w:rPr>
          <w:rFonts w:ascii="標楷體" w:eastAsia="標楷體" w:hAnsi="標楷體" w:hint="eastAsia"/>
          <w:bCs/>
          <w:color w:val="FF0000"/>
          <w:kern w:val="0"/>
          <w:highlight w:val="yellow"/>
        </w:rPr>
        <w:t>」</w:t>
      </w:r>
      <w:r w:rsidRPr="00043A1E">
        <w:rPr>
          <w:rFonts w:eastAsia="標楷體"/>
          <w:szCs w:val="22"/>
        </w:rPr>
        <w:t>。</w:t>
      </w:r>
    </w:p>
  </w:footnote>
  <w:footnote w:id="681">
    <w:p w:rsidR="00157EF6" w:rsidRPr="00043A1E" w:rsidRDefault="00157EF6" w:rsidP="009E0A5A">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szCs w:val="22"/>
        </w:rPr>
        <w:t>《大智度論》卷</w:t>
      </w:r>
      <w:r w:rsidRPr="00761EF3">
        <w:rPr>
          <w:szCs w:val="22"/>
        </w:rPr>
        <w:t>31</w:t>
      </w:r>
      <w:r w:rsidR="005C0D01">
        <w:rPr>
          <w:rFonts w:hint="eastAsia"/>
          <w:color w:val="FF0000"/>
          <w:szCs w:val="22"/>
          <w:highlight w:val="yellow"/>
        </w:rPr>
        <w:t>釋〈</w:t>
      </w:r>
      <w:r w:rsidR="005C0D01">
        <w:rPr>
          <w:color w:val="FF0000"/>
          <w:szCs w:val="22"/>
          <w:highlight w:val="yellow"/>
        </w:rPr>
        <w:t xml:space="preserve">1 </w:t>
      </w:r>
      <w:r w:rsidR="005C0D01">
        <w:rPr>
          <w:rFonts w:hint="eastAsia"/>
          <w:color w:val="FF0000"/>
          <w:szCs w:val="22"/>
          <w:highlight w:val="yellow"/>
        </w:rPr>
        <w:t>序品〉</w:t>
      </w:r>
      <w:r w:rsidRPr="00043A1E">
        <w:rPr>
          <w:szCs w:val="22"/>
        </w:rPr>
        <w:t>（大正</w:t>
      </w:r>
      <w:r w:rsidRPr="00761EF3">
        <w:rPr>
          <w:szCs w:val="22"/>
        </w:rPr>
        <w:t>25</w:t>
      </w:r>
      <w:r w:rsidRPr="00043A1E">
        <w:rPr>
          <w:szCs w:val="22"/>
        </w:rPr>
        <w:t>，</w:t>
      </w:r>
      <w:r w:rsidRPr="00761EF3">
        <w:rPr>
          <w:szCs w:val="22"/>
        </w:rPr>
        <w:t>292b29</w:t>
      </w:r>
      <w:r w:rsidRPr="00043A1E">
        <w:rPr>
          <w:szCs w:val="22"/>
        </w:rPr>
        <w:t>-</w:t>
      </w:r>
      <w:r w:rsidRPr="00761EF3">
        <w:rPr>
          <w:szCs w:val="22"/>
        </w:rPr>
        <w:t>293a29</w:t>
      </w:r>
      <w:r w:rsidRPr="00043A1E">
        <w:rPr>
          <w:szCs w:val="22"/>
        </w:rPr>
        <w:t>）：</w:t>
      </w:r>
    </w:p>
    <w:p w:rsidR="00157EF6" w:rsidRPr="00043A1E" w:rsidRDefault="00157EF6" w:rsidP="00AA120F">
      <w:pPr>
        <w:pStyle w:val="a5"/>
        <w:ind w:leftChars="75" w:left="180"/>
        <w:jc w:val="both"/>
        <w:rPr>
          <w:rFonts w:eastAsia="標楷體"/>
          <w:szCs w:val="22"/>
        </w:rPr>
      </w:pPr>
      <w:r w:rsidRPr="00043A1E">
        <w:rPr>
          <w:rFonts w:eastAsia="標楷體"/>
          <w:b/>
          <w:szCs w:val="22"/>
        </w:rPr>
        <w:t>一切諸法</w:t>
      </w:r>
      <w:r w:rsidR="002D311F">
        <w:rPr>
          <w:rFonts w:ascii="標楷體" w:eastAsia="標楷體" w:hAnsi="標楷體" w:hint="eastAsia"/>
          <w:color w:val="FF0000"/>
          <w:kern w:val="0"/>
          <w:highlight w:val="yellow"/>
        </w:rPr>
        <w:t>，</w:t>
      </w:r>
      <w:r w:rsidR="002D311F">
        <w:rPr>
          <w:rFonts w:ascii="標楷體" w:eastAsia="標楷體" w:hAnsi="標楷體" w:hint="eastAsia"/>
          <w:bCs/>
          <w:color w:val="FF0000"/>
          <w:kern w:val="0"/>
          <w:highlight w:val="yellow"/>
        </w:rPr>
        <w:t>「</w:t>
      </w:r>
      <w:r w:rsidRPr="00043A1E">
        <w:rPr>
          <w:rFonts w:eastAsia="標楷體"/>
          <w:b/>
          <w:szCs w:val="22"/>
        </w:rPr>
        <w:t>性</w:t>
      </w:r>
      <w:r w:rsidR="002D311F">
        <w:rPr>
          <w:rFonts w:ascii="標楷體" w:eastAsia="標楷體" w:hAnsi="標楷體" w:hint="eastAsia"/>
          <w:bCs/>
          <w:color w:val="FF0000"/>
          <w:kern w:val="0"/>
          <w:highlight w:val="yellow"/>
        </w:rPr>
        <w:t>」</w:t>
      </w:r>
      <w:r w:rsidRPr="00043A1E">
        <w:rPr>
          <w:rFonts w:eastAsia="標楷體"/>
          <w:b/>
          <w:szCs w:val="22"/>
        </w:rPr>
        <w:t>有二種：一者、總性，二者、別性</w:t>
      </w:r>
      <w:r w:rsidRPr="00043A1E">
        <w:rPr>
          <w:rFonts w:eastAsia="標楷體"/>
          <w:szCs w:val="22"/>
        </w:rPr>
        <w:t>。</w:t>
      </w:r>
    </w:p>
    <w:p w:rsidR="00157EF6" w:rsidRPr="00043A1E" w:rsidRDefault="002D311F" w:rsidP="00AA120F">
      <w:pPr>
        <w:pStyle w:val="a5"/>
        <w:ind w:leftChars="75" w:left="180"/>
        <w:jc w:val="both"/>
        <w:rPr>
          <w:rFonts w:eastAsia="標楷體"/>
          <w:szCs w:val="22"/>
        </w:rPr>
      </w:pPr>
      <w:r>
        <w:rPr>
          <w:rFonts w:ascii="標楷體" w:eastAsia="標楷體" w:hAnsi="標楷體" w:hint="eastAsia"/>
          <w:bCs/>
          <w:color w:val="FF0000"/>
          <w:kern w:val="0"/>
          <w:highlight w:val="yellow"/>
        </w:rPr>
        <w:t>「</w:t>
      </w:r>
      <w:r w:rsidR="00157EF6" w:rsidRPr="00043A1E">
        <w:rPr>
          <w:rFonts w:eastAsia="標楷體"/>
          <w:b/>
          <w:szCs w:val="22"/>
        </w:rPr>
        <w:t>總性</w:t>
      </w:r>
      <w:r>
        <w:rPr>
          <w:rFonts w:ascii="標楷體" w:eastAsia="標楷體" w:hAnsi="標楷體" w:hint="eastAsia"/>
          <w:bCs/>
          <w:color w:val="FF0000"/>
          <w:kern w:val="0"/>
          <w:highlight w:val="yellow"/>
        </w:rPr>
        <w:t>」</w:t>
      </w:r>
      <w:r w:rsidR="00157EF6" w:rsidRPr="00043A1E">
        <w:rPr>
          <w:rFonts w:eastAsia="標楷體"/>
          <w:szCs w:val="22"/>
        </w:rPr>
        <w:t>者，無常、苦、空、無我，無生無滅</w:t>
      </w:r>
      <w:r>
        <w:rPr>
          <w:rFonts w:ascii="標楷體" w:eastAsia="標楷體" w:hAnsi="標楷體" w:hint="eastAsia"/>
          <w:color w:val="FF0000"/>
          <w:spacing w:val="-4"/>
          <w:kern w:val="0"/>
          <w:highlight w:val="yellow"/>
        </w:rPr>
        <w:t>、</w:t>
      </w:r>
      <w:r w:rsidR="00157EF6" w:rsidRPr="00043A1E">
        <w:rPr>
          <w:rFonts w:eastAsia="標楷體"/>
          <w:szCs w:val="22"/>
        </w:rPr>
        <w:t>無來無去</w:t>
      </w:r>
      <w:r>
        <w:rPr>
          <w:rFonts w:ascii="標楷體" w:eastAsia="標楷體" w:hAnsi="標楷體" w:hint="eastAsia"/>
          <w:color w:val="FF0000"/>
          <w:spacing w:val="-4"/>
          <w:kern w:val="0"/>
          <w:highlight w:val="yellow"/>
        </w:rPr>
        <w:t>、</w:t>
      </w:r>
      <w:r w:rsidR="00157EF6" w:rsidRPr="00043A1E">
        <w:rPr>
          <w:rFonts w:eastAsia="標楷體"/>
          <w:szCs w:val="22"/>
        </w:rPr>
        <w:t>無入無出等。</w:t>
      </w:r>
    </w:p>
    <w:p w:rsidR="002D311F" w:rsidRDefault="002D311F" w:rsidP="002D311F">
      <w:pPr>
        <w:pStyle w:val="a5"/>
        <w:ind w:leftChars="75" w:left="1500" w:hangingChars="600" w:hanging="1320"/>
        <w:jc w:val="both"/>
        <w:rPr>
          <w:rFonts w:ascii="標楷體" w:eastAsia="標楷體" w:hAnsi="標楷體"/>
          <w:szCs w:val="22"/>
          <w:shd w:val="pct15" w:color="auto" w:fill="FFFFFF"/>
        </w:rPr>
      </w:pPr>
      <w:r>
        <w:rPr>
          <w:rFonts w:ascii="標楷體" w:eastAsia="標楷體" w:hAnsi="標楷體" w:hint="eastAsia"/>
          <w:bCs/>
          <w:color w:val="FF0000"/>
          <w:kern w:val="0"/>
          <w:highlight w:val="yellow"/>
        </w:rPr>
        <w:t>「</w:t>
      </w:r>
      <w:r w:rsidR="00157EF6" w:rsidRPr="00043A1E">
        <w:rPr>
          <w:rFonts w:eastAsia="標楷體"/>
          <w:b/>
          <w:szCs w:val="22"/>
        </w:rPr>
        <w:t>別性</w:t>
      </w:r>
      <w:r>
        <w:rPr>
          <w:rFonts w:ascii="標楷體" w:eastAsia="標楷體" w:hAnsi="標楷體" w:hint="eastAsia"/>
          <w:bCs/>
          <w:color w:val="FF0000"/>
          <w:kern w:val="0"/>
          <w:highlight w:val="yellow"/>
        </w:rPr>
        <w:t>」</w:t>
      </w:r>
      <w:r w:rsidR="00157EF6" w:rsidRPr="00043A1E">
        <w:rPr>
          <w:rFonts w:eastAsia="標楷體"/>
          <w:szCs w:val="22"/>
        </w:rPr>
        <w:t>者，如</w:t>
      </w:r>
      <w:r>
        <w:rPr>
          <w:rFonts w:ascii="標楷體" w:eastAsia="標楷體" w:hAnsi="標楷體" w:hint="eastAsia"/>
          <w:color w:val="FF0000"/>
          <w:spacing w:val="-4"/>
          <w:kern w:val="0"/>
          <w:highlight w:val="yellow"/>
        </w:rPr>
        <w:t>：</w:t>
      </w:r>
      <w:r w:rsidR="00157EF6" w:rsidRPr="00043A1E">
        <w:rPr>
          <w:rFonts w:eastAsia="標楷體"/>
          <w:szCs w:val="22"/>
        </w:rPr>
        <w:t>火</w:t>
      </w:r>
      <w:r>
        <w:rPr>
          <w:rFonts w:ascii="標楷體" w:eastAsia="標楷體" w:hAnsi="標楷體" w:hint="eastAsia"/>
          <w:color w:val="FF0000"/>
          <w:kern w:val="0"/>
          <w:highlight w:val="yellow"/>
        </w:rPr>
        <w:t>，</w:t>
      </w:r>
      <w:r w:rsidR="00157EF6" w:rsidRPr="00043A1E">
        <w:rPr>
          <w:rFonts w:eastAsia="標楷體"/>
          <w:szCs w:val="22"/>
        </w:rPr>
        <w:t>熱性</w:t>
      </w:r>
      <w:r>
        <w:rPr>
          <w:rFonts w:ascii="標楷體" w:eastAsia="標楷體" w:hAnsi="標楷體" w:hint="eastAsia"/>
          <w:color w:val="FF0000"/>
          <w:spacing w:val="-4"/>
          <w:kern w:val="0"/>
          <w:highlight w:val="yellow"/>
        </w:rPr>
        <w:t>；</w:t>
      </w:r>
      <w:r w:rsidR="00157EF6" w:rsidRPr="00043A1E">
        <w:rPr>
          <w:rFonts w:eastAsia="標楷體"/>
          <w:szCs w:val="22"/>
        </w:rPr>
        <w:t>水</w:t>
      </w:r>
      <w:r>
        <w:rPr>
          <w:rFonts w:ascii="標楷體" w:eastAsia="標楷體" w:hAnsi="標楷體" w:hint="eastAsia"/>
          <w:color w:val="FF0000"/>
          <w:kern w:val="0"/>
          <w:highlight w:val="yellow"/>
        </w:rPr>
        <w:t>，</w:t>
      </w:r>
      <w:r w:rsidR="00157EF6" w:rsidRPr="00043A1E">
        <w:rPr>
          <w:rFonts w:eastAsia="標楷體"/>
          <w:szCs w:val="22"/>
        </w:rPr>
        <w:t>濕性</w:t>
      </w:r>
      <w:r>
        <w:rPr>
          <w:rFonts w:ascii="標楷體" w:eastAsia="標楷體" w:hAnsi="標楷體" w:hint="eastAsia"/>
          <w:color w:val="FF0000"/>
          <w:spacing w:val="-4"/>
          <w:kern w:val="0"/>
          <w:highlight w:val="yellow"/>
        </w:rPr>
        <w:t>；</w:t>
      </w:r>
      <w:r w:rsidR="00157EF6" w:rsidRPr="00043A1E">
        <w:rPr>
          <w:rFonts w:eastAsia="標楷體"/>
          <w:szCs w:val="22"/>
        </w:rPr>
        <w:t>心為識性。如</w:t>
      </w:r>
      <w:r>
        <w:rPr>
          <w:rFonts w:ascii="標楷體" w:eastAsia="標楷體" w:hAnsi="標楷體" w:hint="eastAsia"/>
          <w:color w:val="FF0000"/>
          <w:spacing w:val="-4"/>
          <w:kern w:val="0"/>
          <w:highlight w:val="yellow"/>
        </w:rPr>
        <w:t>：</w:t>
      </w:r>
      <w:r w:rsidR="00157EF6" w:rsidRPr="00043A1E">
        <w:rPr>
          <w:rFonts w:eastAsia="標楷體"/>
          <w:szCs w:val="22"/>
        </w:rPr>
        <w:t>人</w:t>
      </w:r>
      <w:r>
        <w:rPr>
          <w:rFonts w:ascii="標楷體" w:eastAsia="標楷體" w:hAnsi="標楷體" w:hint="eastAsia"/>
          <w:color w:val="FF0000"/>
          <w:kern w:val="0"/>
          <w:highlight w:val="yellow"/>
        </w:rPr>
        <w:t>──</w:t>
      </w:r>
      <w:r w:rsidR="00157EF6" w:rsidRPr="00043A1E">
        <w:rPr>
          <w:rFonts w:eastAsia="標楷體"/>
          <w:szCs w:val="22"/>
        </w:rPr>
        <w:t>喜作諸惡，故名為惡性；好集善事，故名為善性。</w:t>
      </w:r>
      <w:r w:rsidR="00157EF6" w:rsidRPr="002D311F">
        <w:rPr>
          <w:rFonts w:ascii="標楷體" w:eastAsia="標楷體" w:hAnsi="標楷體"/>
          <w:szCs w:val="22"/>
          <w:shd w:val="pct15" w:color="auto" w:fill="FFFFFF"/>
        </w:rPr>
        <w:t>……</w:t>
      </w:r>
    </w:p>
    <w:p w:rsidR="00157EF6" w:rsidRPr="00043A1E" w:rsidRDefault="00157EF6" w:rsidP="00AA120F">
      <w:pPr>
        <w:pStyle w:val="a5"/>
        <w:ind w:leftChars="75" w:left="180"/>
        <w:jc w:val="both"/>
        <w:rPr>
          <w:rFonts w:eastAsia="標楷體"/>
          <w:szCs w:val="22"/>
        </w:rPr>
      </w:pPr>
      <w:r w:rsidRPr="00941929">
        <w:rPr>
          <w:rFonts w:eastAsia="標楷體"/>
          <w:b/>
          <w:szCs w:val="22"/>
          <w:highlight w:val="yellow"/>
        </w:rPr>
        <w:t>一</w:t>
      </w:r>
      <w:r w:rsidRPr="00941929">
        <w:rPr>
          <w:rFonts w:eastAsia="標楷體"/>
          <w:b/>
          <w:szCs w:val="22"/>
        </w:rPr>
        <w:t>切法有二種相</w:t>
      </w:r>
      <w:r w:rsidRPr="00941929">
        <w:rPr>
          <w:rFonts w:eastAsia="標楷體" w:hint="eastAsia"/>
          <w:b/>
          <w:szCs w:val="22"/>
        </w:rPr>
        <w:t>：</w:t>
      </w:r>
      <w:r w:rsidRPr="00941929">
        <w:rPr>
          <w:rFonts w:eastAsia="標楷體"/>
          <w:b/>
          <w:szCs w:val="22"/>
        </w:rPr>
        <w:t>總相</w:t>
      </w:r>
      <w:r w:rsidRPr="00941929">
        <w:rPr>
          <w:rFonts w:eastAsia="標楷體" w:hint="eastAsia"/>
          <w:b/>
          <w:szCs w:val="22"/>
        </w:rPr>
        <w:t>、</w:t>
      </w:r>
      <w:r w:rsidRPr="00941929">
        <w:rPr>
          <w:rFonts w:eastAsia="標楷體"/>
          <w:b/>
          <w:szCs w:val="22"/>
        </w:rPr>
        <w:t>別相。</w:t>
      </w:r>
      <w:r w:rsidRPr="00043A1E">
        <w:rPr>
          <w:rFonts w:eastAsia="標楷體"/>
          <w:szCs w:val="22"/>
        </w:rPr>
        <w:t>是二相空，故名為</w:t>
      </w:r>
      <w:r w:rsidR="002D311F">
        <w:rPr>
          <w:rFonts w:ascii="標楷體" w:eastAsia="標楷體" w:hAnsi="標楷體" w:hint="eastAsia"/>
          <w:bCs/>
          <w:color w:val="FF0000"/>
          <w:kern w:val="0"/>
          <w:highlight w:val="yellow"/>
        </w:rPr>
        <w:t>「</w:t>
      </w:r>
      <w:r w:rsidRPr="00043A1E">
        <w:rPr>
          <w:rFonts w:eastAsia="標楷體"/>
          <w:szCs w:val="22"/>
        </w:rPr>
        <w:t>相空</w:t>
      </w:r>
      <w:r w:rsidR="002D311F">
        <w:rPr>
          <w:rFonts w:ascii="標楷體" w:eastAsia="標楷體" w:hAnsi="標楷體" w:hint="eastAsia"/>
          <w:bCs/>
          <w:color w:val="FF0000"/>
          <w:kern w:val="0"/>
          <w:highlight w:val="yellow"/>
        </w:rPr>
        <w:t>」</w:t>
      </w:r>
      <w:r w:rsidRPr="00043A1E">
        <w:rPr>
          <w:rFonts w:eastAsia="標楷體"/>
          <w:szCs w:val="22"/>
        </w:rPr>
        <w:t>。</w:t>
      </w:r>
    </w:p>
    <w:p w:rsidR="00157EF6" w:rsidRPr="00043A1E" w:rsidRDefault="00157EF6" w:rsidP="00AA120F">
      <w:pPr>
        <w:pStyle w:val="a5"/>
        <w:ind w:leftChars="75" w:left="840" w:hangingChars="300" w:hanging="660"/>
        <w:jc w:val="both"/>
        <w:rPr>
          <w:rFonts w:eastAsia="標楷體"/>
          <w:szCs w:val="22"/>
        </w:rPr>
      </w:pPr>
      <w:r w:rsidRPr="00043A1E">
        <w:rPr>
          <w:rFonts w:eastAsia="標楷體"/>
          <w:szCs w:val="22"/>
        </w:rPr>
        <w:t>問曰：何等是</w:t>
      </w:r>
      <w:r w:rsidR="002D311F">
        <w:rPr>
          <w:rFonts w:ascii="標楷體" w:eastAsia="標楷體" w:hAnsi="標楷體" w:hint="eastAsia"/>
          <w:bCs/>
          <w:color w:val="FF0000"/>
          <w:kern w:val="0"/>
          <w:highlight w:val="yellow"/>
        </w:rPr>
        <w:t>「</w:t>
      </w:r>
      <w:r w:rsidRPr="00043A1E">
        <w:rPr>
          <w:rFonts w:eastAsia="標楷體"/>
          <w:szCs w:val="22"/>
        </w:rPr>
        <w:t>總相</w:t>
      </w:r>
      <w:r w:rsidR="002D311F">
        <w:rPr>
          <w:rFonts w:ascii="標楷體" w:eastAsia="標楷體" w:hAnsi="標楷體" w:hint="eastAsia"/>
          <w:bCs/>
          <w:color w:val="FF0000"/>
          <w:kern w:val="0"/>
          <w:highlight w:val="yellow"/>
        </w:rPr>
        <w:t>」</w:t>
      </w:r>
      <w:r w:rsidRPr="00043A1E">
        <w:rPr>
          <w:rFonts w:eastAsia="標楷體"/>
          <w:szCs w:val="22"/>
        </w:rPr>
        <w:t>？何等是</w:t>
      </w:r>
      <w:r w:rsidR="002D311F">
        <w:rPr>
          <w:rFonts w:ascii="標楷體" w:eastAsia="標楷體" w:hAnsi="標楷體" w:hint="eastAsia"/>
          <w:bCs/>
          <w:color w:val="FF0000"/>
          <w:kern w:val="0"/>
          <w:highlight w:val="yellow"/>
        </w:rPr>
        <w:t>「</w:t>
      </w:r>
      <w:r w:rsidRPr="00043A1E">
        <w:rPr>
          <w:rFonts w:eastAsia="標楷體"/>
          <w:szCs w:val="22"/>
        </w:rPr>
        <w:t>別相</w:t>
      </w:r>
      <w:r w:rsidR="002D311F">
        <w:rPr>
          <w:rFonts w:ascii="標楷體" w:eastAsia="標楷體" w:hAnsi="標楷體" w:hint="eastAsia"/>
          <w:bCs/>
          <w:color w:val="FF0000"/>
          <w:kern w:val="0"/>
          <w:highlight w:val="yellow"/>
        </w:rPr>
        <w:t>」</w:t>
      </w:r>
      <w:r w:rsidRPr="00043A1E">
        <w:rPr>
          <w:rFonts w:eastAsia="標楷體"/>
          <w:szCs w:val="22"/>
        </w:rPr>
        <w:t>？</w:t>
      </w:r>
    </w:p>
    <w:p w:rsidR="002D311F" w:rsidRDefault="00157EF6" w:rsidP="00AA120F">
      <w:pPr>
        <w:pStyle w:val="a5"/>
        <w:ind w:leftChars="75" w:left="840" w:hangingChars="300" w:hanging="660"/>
        <w:jc w:val="both"/>
        <w:rPr>
          <w:rFonts w:eastAsia="標楷體"/>
          <w:b/>
          <w:szCs w:val="22"/>
        </w:rPr>
      </w:pPr>
      <w:r w:rsidRPr="00043A1E">
        <w:rPr>
          <w:rFonts w:eastAsia="標楷體"/>
          <w:szCs w:val="22"/>
        </w:rPr>
        <w:t>答曰：</w:t>
      </w:r>
      <w:r w:rsidR="002D311F">
        <w:rPr>
          <w:rFonts w:ascii="標楷體" w:eastAsia="標楷體" w:hAnsi="標楷體" w:hint="eastAsia"/>
          <w:bCs/>
          <w:color w:val="FF0000"/>
          <w:kern w:val="0"/>
          <w:highlight w:val="yellow"/>
        </w:rPr>
        <w:t>「</w:t>
      </w:r>
      <w:r w:rsidRPr="00043A1E">
        <w:rPr>
          <w:rFonts w:eastAsia="標楷體"/>
          <w:b/>
          <w:szCs w:val="22"/>
        </w:rPr>
        <w:t>總相</w:t>
      </w:r>
      <w:r w:rsidR="002D311F">
        <w:rPr>
          <w:rFonts w:ascii="標楷體" w:eastAsia="標楷體" w:hAnsi="標楷體" w:hint="eastAsia"/>
          <w:bCs/>
          <w:color w:val="FF0000"/>
          <w:kern w:val="0"/>
          <w:highlight w:val="yellow"/>
        </w:rPr>
        <w:t>」</w:t>
      </w:r>
      <w:r w:rsidRPr="00043A1E">
        <w:rPr>
          <w:rFonts w:eastAsia="標楷體"/>
          <w:b/>
          <w:szCs w:val="22"/>
        </w:rPr>
        <w:t>者，如</w:t>
      </w:r>
      <w:r w:rsidR="002D311F">
        <w:rPr>
          <w:rFonts w:ascii="標楷體" w:eastAsia="標楷體" w:hAnsi="標楷體" w:hint="eastAsia"/>
          <w:bCs/>
          <w:color w:val="FF0000"/>
          <w:kern w:val="0"/>
          <w:highlight w:val="yellow"/>
        </w:rPr>
        <w:t>「</w:t>
      </w:r>
      <w:r w:rsidRPr="00043A1E">
        <w:rPr>
          <w:rFonts w:eastAsia="標楷體"/>
          <w:b/>
          <w:szCs w:val="22"/>
        </w:rPr>
        <w:t>無常</w:t>
      </w:r>
      <w:r w:rsidR="002D311F">
        <w:rPr>
          <w:rFonts w:ascii="標楷體" w:eastAsia="標楷體" w:hAnsi="標楷體" w:hint="eastAsia"/>
          <w:bCs/>
          <w:color w:val="FF0000"/>
          <w:kern w:val="0"/>
          <w:highlight w:val="yellow"/>
        </w:rPr>
        <w:t>」</w:t>
      </w:r>
      <w:r w:rsidRPr="00043A1E">
        <w:rPr>
          <w:rFonts w:eastAsia="標楷體"/>
          <w:b/>
          <w:szCs w:val="22"/>
        </w:rPr>
        <w:t>等。</w:t>
      </w:r>
    </w:p>
    <w:p w:rsidR="00157EF6" w:rsidRPr="00043A1E" w:rsidRDefault="002D311F" w:rsidP="002D311F">
      <w:pPr>
        <w:pStyle w:val="a5"/>
        <w:ind w:leftChars="350" w:left="840"/>
        <w:jc w:val="both"/>
        <w:rPr>
          <w:szCs w:val="22"/>
        </w:rPr>
      </w:pPr>
      <w:r>
        <w:rPr>
          <w:rFonts w:ascii="標楷體" w:eastAsia="標楷體" w:hAnsi="標楷體" w:hint="eastAsia"/>
          <w:bCs/>
          <w:color w:val="FF0000"/>
          <w:kern w:val="0"/>
          <w:highlight w:val="yellow"/>
        </w:rPr>
        <w:t>「</w:t>
      </w:r>
      <w:r w:rsidR="00157EF6" w:rsidRPr="00043A1E">
        <w:rPr>
          <w:rFonts w:eastAsia="標楷體"/>
          <w:b/>
          <w:szCs w:val="22"/>
        </w:rPr>
        <w:t>別相</w:t>
      </w:r>
      <w:r>
        <w:rPr>
          <w:rFonts w:ascii="標楷體" w:eastAsia="標楷體" w:hAnsi="標楷體" w:hint="eastAsia"/>
          <w:bCs/>
          <w:color w:val="FF0000"/>
          <w:kern w:val="0"/>
          <w:highlight w:val="yellow"/>
        </w:rPr>
        <w:t>」</w:t>
      </w:r>
      <w:r w:rsidR="00157EF6" w:rsidRPr="00043A1E">
        <w:rPr>
          <w:rFonts w:eastAsia="標楷體"/>
          <w:b/>
          <w:szCs w:val="22"/>
        </w:rPr>
        <w:t>者，諸法雖皆無常，而各有別相</w:t>
      </w:r>
      <w:r>
        <w:rPr>
          <w:rFonts w:ascii="標楷體" w:eastAsia="標楷體" w:hAnsi="標楷體" w:hint="eastAsia"/>
          <w:color w:val="FF0000"/>
          <w:kern w:val="0"/>
          <w:highlight w:val="yellow"/>
        </w:rPr>
        <w:t>，</w:t>
      </w:r>
      <w:r w:rsidR="00157EF6" w:rsidRPr="00043A1E">
        <w:rPr>
          <w:rFonts w:eastAsia="標楷體"/>
          <w:b/>
          <w:szCs w:val="22"/>
        </w:rPr>
        <w:t>如</w:t>
      </w:r>
      <w:r>
        <w:rPr>
          <w:rFonts w:ascii="標楷體" w:eastAsia="標楷體" w:hAnsi="標楷體" w:hint="eastAsia"/>
          <w:color w:val="FF0000"/>
          <w:spacing w:val="-4"/>
          <w:kern w:val="0"/>
          <w:highlight w:val="yellow"/>
        </w:rPr>
        <w:t>：</w:t>
      </w:r>
      <w:r w:rsidR="00157EF6" w:rsidRPr="00043A1E">
        <w:rPr>
          <w:rFonts w:eastAsia="標楷體"/>
          <w:b/>
          <w:szCs w:val="22"/>
        </w:rPr>
        <w:t>地為堅相，火為熱相</w:t>
      </w:r>
      <w:r w:rsidR="00157EF6" w:rsidRPr="00043A1E">
        <w:rPr>
          <w:rFonts w:eastAsia="標楷體"/>
          <w:szCs w:val="22"/>
        </w:rPr>
        <w:t>。</w:t>
      </w:r>
    </w:p>
  </w:footnote>
  <w:footnote w:id="682">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szCs w:val="22"/>
        </w:rPr>
        <w:t>《解深密經》卷</w:t>
      </w:r>
      <w:r w:rsidRPr="00761EF3">
        <w:rPr>
          <w:szCs w:val="22"/>
        </w:rPr>
        <w:t>2</w:t>
      </w:r>
      <w:r w:rsidRPr="00043A1E">
        <w:rPr>
          <w:szCs w:val="22"/>
        </w:rPr>
        <w:t>〈</w:t>
      </w:r>
      <w:r w:rsidRPr="00761EF3">
        <w:rPr>
          <w:szCs w:val="22"/>
        </w:rPr>
        <w:t>4</w:t>
      </w:r>
      <w:r w:rsidRPr="00043A1E">
        <w:rPr>
          <w:szCs w:val="22"/>
        </w:rPr>
        <w:t xml:space="preserve"> </w:t>
      </w:r>
      <w:r w:rsidRPr="00043A1E">
        <w:rPr>
          <w:szCs w:val="22"/>
        </w:rPr>
        <w:t>一切法相品〉（大正</w:t>
      </w:r>
      <w:r w:rsidRPr="00761EF3">
        <w:rPr>
          <w:szCs w:val="22"/>
        </w:rPr>
        <w:t>16</w:t>
      </w:r>
      <w:r w:rsidRPr="00043A1E">
        <w:rPr>
          <w:szCs w:val="22"/>
        </w:rPr>
        <w:t>，</w:t>
      </w:r>
      <w:r w:rsidRPr="00761EF3">
        <w:rPr>
          <w:szCs w:val="22"/>
        </w:rPr>
        <w:t>693a1</w:t>
      </w:r>
      <w:r w:rsidRPr="00761EF3">
        <w:rPr>
          <w:rFonts w:hint="eastAsia"/>
          <w:szCs w:val="22"/>
        </w:rPr>
        <w:t>1</w:t>
      </w:r>
      <w:r w:rsidRPr="00043A1E">
        <w:rPr>
          <w:szCs w:val="22"/>
        </w:rPr>
        <w:t>-</w:t>
      </w:r>
      <w:r w:rsidRPr="00761EF3">
        <w:rPr>
          <w:szCs w:val="22"/>
        </w:rPr>
        <w:t>17</w:t>
      </w:r>
      <w:r w:rsidRPr="00043A1E">
        <w:rPr>
          <w:szCs w:val="22"/>
        </w:rPr>
        <w:t>）：</w:t>
      </w:r>
    </w:p>
    <w:p w:rsidR="00157EF6" w:rsidRPr="00043A1E" w:rsidRDefault="00157EF6" w:rsidP="00AA120F">
      <w:pPr>
        <w:pStyle w:val="a5"/>
        <w:ind w:leftChars="75" w:left="180"/>
        <w:jc w:val="both"/>
        <w:rPr>
          <w:szCs w:val="22"/>
        </w:rPr>
      </w:pPr>
      <w:r w:rsidRPr="00043A1E">
        <w:rPr>
          <w:rFonts w:eastAsia="標楷體" w:hint="eastAsia"/>
          <w:szCs w:val="22"/>
        </w:rPr>
        <w:t>爾時世尊告德本菩薩曰：「善哉！德本！汝今乃能請問如來如是深義，汝今為欲利益安樂無量眾生，哀愍世間及諸天</w:t>
      </w:r>
      <w:r w:rsidR="002D311F">
        <w:rPr>
          <w:rFonts w:ascii="標楷體" w:eastAsia="標楷體" w:hAnsi="標楷體" w:hint="eastAsia"/>
          <w:color w:val="FF0000"/>
          <w:spacing w:val="-4"/>
          <w:kern w:val="0"/>
          <w:highlight w:val="yellow"/>
        </w:rPr>
        <w:t>、</w:t>
      </w:r>
      <w:r w:rsidRPr="00043A1E">
        <w:rPr>
          <w:rFonts w:eastAsia="標楷體" w:hint="eastAsia"/>
          <w:szCs w:val="22"/>
        </w:rPr>
        <w:t>人</w:t>
      </w:r>
      <w:r w:rsidR="002D311F">
        <w:rPr>
          <w:rFonts w:ascii="標楷體" w:eastAsia="標楷體" w:hAnsi="標楷體" w:hint="eastAsia"/>
          <w:color w:val="FF0000"/>
          <w:spacing w:val="-4"/>
          <w:kern w:val="0"/>
          <w:highlight w:val="yellow"/>
        </w:rPr>
        <w:t>、</w:t>
      </w:r>
      <w:r w:rsidRPr="00043A1E">
        <w:rPr>
          <w:rFonts w:eastAsia="標楷體" w:hint="eastAsia"/>
          <w:szCs w:val="22"/>
        </w:rPr>
        <w:t>阿素洛等，為令獲得義利安樂</w:t>
      </w:r>
      <w:r w:rsidR="002D311F">
        <w:rPr>
          <w:rFonts w:ascii="標楷體" w:eastAsia="標楷體" w:hAnsi="標楷體" w:hint="eastAsia"/>
          <w:color w:val="FF0000"/>
          <w:kern w:val="0"/>
          <w:highlight w:val="yellow"/>
        </w:rPr>
        <w:t>，</w:t>
      </w:r>
      <w:r w:rsidRPr="00043A1E">
        <w:rPr>
          <w:rFonts w:eastAsia="標楷體" w:hint="eastAsia"/>
          <w:szCs w:val="22"/>
        </w:rPr>
        <w:t>故發斯問。汝應諦聽！吾當為汝說諸法相</w:t>
      </w:r>
      <w:r w:rsidR="002D311F">
        <w:rPr>
          <w:rFonts w:ascii="標楷體" w:eastAsia="標楷體" w:hAnsi="標楷體" w:hint="eastAsia"/>
          <w:color w:val="FF0000"/>
          <w:kern w:val="0"/>
          <w:highlight w:val="yellow"/>
        </w:rPr>
        <w:t>。</w:t>
      </w:r>
      <w:r w:rsidRPr="00043A1E">
        <w:rPr>
          <w:rFonts w:eastAsia="標楷體"/>
          <w:szCs w:val="22"/>
        </w:rPr>
        <w:t>謂諸法相略有三種。何等為三？一者</w:t>
      </w:r>
      <w:r w:rsidR="00A6163F" w:rsidRPr="00A6163F">
        <w:rPr>
          <w:rFonts w:eastAsia="標楷體" w:hint="eastAsia"/>
          <w:color w:val="FF0000"/>
          <w:szCs w:val="22"/>
          <w:highlight w:val="yellow"/>
        </w:rPr>
        <w:t>、</w:t>
      </w:r>
      <w:r w:rsidRPr="00043A1E">
        <w:rPr>
          <w:rFonts w:eastAsia="標楷體"/>
          <w:b/>
          <w:szCs w:val="22"/>
        </w:rPr>
        <w:t>遍計所執相</w:t>
      </w:r>
      <w:r w:rsidRPr="00043A1E">
        <w:rPr>
          <w:rFonts w:eastAsia="標楷體"/>
          <w:szCs w:val="22"/>
        </w:rPr>
        <w:t>，二者</w:t>
      </w:r>
      <w:r w:rsidR="00A6163F" w:rsidRPr="00A6163F">
        <w:rPr>
          <w:rFonts w:eastAsia="標楷體" w:hint="eastAsia"/>
          <w:color w:val="FF0000"/>
          <w:szCs w:val="22"/>
          <w:highlight w:val="yellow"/>
        </w:rPr>
        <w:t>、</w:t>
      </w:r>
      <w:r w:rsidRPr="00043A1E">
        <w:rPr>
          <w:rFonts w:eastAsia="標楷體"/>
          <w:b/>
          <w:szCs w:val="22"/>
        </w:rPr>
        <w:t>依他起相</w:t>
      </w:r>
      <w:r w:rsidRPr="00043A1E">
        <w:rPr>
          <w:rFonts w:eastAsia="標楷體"/>
          <w:szCs w:val="22"/>
        </w:rPr>
        <w:t>，三者</w:t>
      </w:r>
      <w:r w:rsidR="00A6163F" w:rsidRPr="00A6163F">
        <w:rPr>
          <w:rFonts w:eastAsia="標楷體" w:hint="eastAsia"/>
          <w:color w:val="FF0000"/>
          <w:szCs w:val="22"/>
          <w:highlight w:val="yellow"/>
        </w:rPr>
        <w:t>、</w:t>
      </w:r>
      <w:r w:rsidRPr="00043A1E">
        <w:rPr>
          <w:rFonts w:eastAsia="標楷體"/>
          <w:b/>
          <w:szCs w:val="22"/>
        </w:rPr>
        <w:t>圓成實相</w:t>
      </w:r>
      <w:r w:rsidRPr="00043A1E">
        <w:rPr>
          <w:rFonts w:eastAsia="標楷體"/>
          <w:szCs w:val="22"/>
        </w:rPr>
        <w:t>。</w:t>
      </w:r>
      <w:r w:rsidRPr="00043A1E">
        <w:rPr>
          <w:rFonts w:eastAsia="標楷體" w:hint="eastAsia"/>
          <w:szCs w:val="22"/>
        </w:rPr>
        <w:t>」</w:t>
      </w:r>
    </w:p>
  </w:footnote>
  <w:footnote w:id="683">
    <w:p w:rsidR="00157EF6" w:rsidRPr="00043A1E" w:rsidRDefault="00157EF6" w:rsidP="00AA120F">
      <w:pPr>
        <w:pStyle w:val="a5"/>
        <w:ind w:left="726" w:hangingChars="330" w:hanging="726"/>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szCs w:val="22"/>
        </w:rPr>
        <w:t>《攝大乘論本》卷</w:t>
      </w:r>
      <w:r w:rsidR="00A6163F">
        <w:rPr>
          <w:rFonts w:hint="eastAsia"/>
          <w:color w:val="FF0000"/>
          <w:szCs w:val="22"/>
          <w:highlight w:val="yellow"/>
        </w:rPr>
        <w:t>中</w:t>
      </w:r>
      <w:r w:rsidRPr="00043A1E">
        <w:rPr>
          <w:szCs w:val="22"/>
        </w:rPr>
        <w:t>〈</w:t>
      </w:r>
      <w:r w:rsidRPr="00761EF3">
        <w:rPr>
          <w:szCs w:val="22"/>
        </w:rPr>
        <w:t>4</w:t>
      </w:r>
      <w:r w:rsidRPr="00043A1E">
        <w:rPr>
          <w:szCs w:val="22"/>
        </w:rPr>
        <w:t xml:space="preserve"> </w:t>
      </w:r>
      <w:r w:rsidRPr="00043A1E">
        <w:rPr>
          <w:szCs w:val="22"/>
        </w:rPr>
        <w:t>入所知相分〉（大正</w:t>
      </w:r>
      <w:r w:rsidRPr="00761EF3">
        <w:rPr>
          <w:szCs w:val="22"/>
        </w:rPr>
        <w:t>31</w:t>
      </w:r>
      <w:r w:rsidRPr="00043A1E">
        <w:rPr>
          <w:szCs w:val="22"/>
        </w:rPr>
        <w:t>，</w:t>
      </w:r>
      <w:r w:rsidRPr="00761EF3">
        <w:rPr>
          <w:szCs w:val="22"/>
        </w:rPr>
        <w:t>143a9</w:t>
      </w:r>
      <w:r w:rsidRPr="00043A1E">
        <w:rPr>
          <w:szCs w:val="22"/>
        </w:rPr>
        <w:t>-</w:t>
      </w:r>
      <w:r w:rsidRPr="00761EF3">
        <w:rPr>
          <w:szCs w:val="22"/>
        </w:rPr>
        <w:t>16</w:t>
      </w:r>
      <w:r w:rsidRPr="00043A1E">
        <w:rPr>
          <w:szCs w:val="22"/>
        </w:rPr>
        <w:t>）：</w:t>
      </w:r>
    </w:p>
    <w:p w:rsidR="00157EF6" w:rsidRPr="00043A1E" w:rsidRDefault="00157EF6" w:rsidP="00AA120F">
      <w:pPr>
        <w:pStyle w:val="a5"/>
        <w:ind w:leftChars="305" w:left="732"/>
        <w:jc w:val="both"/>
        <w:rPr>
          <w:rFonts w:eastAsia="標楷體"/>
          <w:szCs w:val="22"/>
        </w:rPr>
      </w:pPr>
      <w:r w:rsidRPr="00043A1E">
        <w:rPr>
          <w:rFonts w:eastAsia="標楷體"/>
          <w:szCs w:val="22"/>
        </w:rPr>
        <w:t>如是菩薩悟入意言似義相故，悟入</w:t>
      </w:r>
      <w:r w:rsidRPr="00043A1E">
        <w:rPr>
          <w:rFonts w:eastAsia="標楷體"/>
          <w:b/>
          <w:szCs w:val="22"/>
        </w:rPr>
        <w:t>遍計所執性</w:t>
      </w:r>
      <w:r w:rsidRPr="00043A1E">
        <w:rPr>
          <w:rFonts w:eastAsia="標楷體"/>
          <w:szCs w:val="22"/>
        </w:rPr>
        <w:t>；悟入唯識故，悟入</w:t>
      </w:r>
      <w:r w:rsidRPr="00043A1E">
        <w:rPr>
          <w:rFonts w:eastAsia="標楷體"/>
          <w:b/>
          <w:szCs w:val="22"/>
        </w:rPr>
        <w:t>依他起性</w:t>
      </w:r>
      <w:r w:rsidRPr="00043A1E">
        <w:rPr>
          <w:rFonts w:eastAsia="標楷體"/>
          <w:szCs w:val="22"/>
        </w:rPr>
        <w:t>；云何悟入</w:t>
      </w:r>
      <w:r w:rsidRPr="00043A1E">
        <w:rPr>
          <w:rFonts w:eastAsia="標楷體"/>
          <w:b/>
          <w:szCs w:val="22"/>
        </w:rPr>
        <w:t>圓成實性</w:t>
      </w:r>
      <w:r w:rsidRPr="00043A1E">
        <w:rPr>
          <w:rFonts w:eastAsia="標楷體"/>
          <w:szCs w:val="22"/>
        </w:rPr>
        <w:t>？若已滅除意言聞法熏習種類唯識之想，爾時菩薩已遣義想，一切似義無容得生，故似唯識亦不得生；由是因緣，住一切義無分別名，於法界中</w:t>
      </w:r>
      <w:r w:rsidR="002D311F">
        <w:rPr>
          <w:rFonts w:ascii="標楷體" w:eastAsia="標楷體" w:hAnsi="標楷體" w:hint="eastAsia"/>
          <w:color w:val="FF0000"/>
          <w:kern w:val="0"/>
          <w:highlight w:val="yellow"/>
        </w:rPr>
        <w:t>，</w:t>
      </w:r>
      <w:r w:rsidRPr="00043A1E">
        <w:rPr>
          <w:rFonts w:eastAsia="標楷體"/>
          <w:szCs w:val="22"/>
        </w:rPr>
        <w:t>便得現見</w:t>
      </w:r>
      <w:r w:rsidR="002D311F">
        <w:rPr>
          <w:rFonts w:ascii="標楷體" w:eastAsia="標楷體" w:hAnsi="標楷體" w:hint="eastAsia"/>
          <w:color w:val="FF0000"/>
          <w:kern w:val="0"/>
          <w:highlight w:val="yellow"/>
        </w:rPr>
        <w:t>，</w:t>
      </w:r>
      <w:r w:rsidRPr="00043A1E">
        <w:rPr>
          <w:rFonts w:eastAsia="標楷體"/>
          <w:szCs w:val="22"/>
        </w:rPr>
        <w:t>相應而住。爾時，菩薩平等平等所緣</w:t>
      </w:r>
      <w:r w:rsidR="002D311F">
        <w:rPr>
          <w:rFonts w:ascii="標楷體" w:eastAsia="標楷體" w:hAnsi="標楷體" w:hint="eastAsia"/>
          <w:color w:val="FF0000"/>
          <w:kern w:val="0"/>
          <w:highlight w:val="yellow"/>
        </w:rPr>
        <w:t>.</w:t>
      </w:r>
      <w:r w:rsidRPr="00043A1E">
        <w:rPr>
          <w:rFonts w:eastAsia="標楷體"/>
          <w:szCs w:val="22"/>
        </w:rPr>
        <w:t>能緣無分別智已得生起，由此菩薩名</w:t>
      </w:r>
      <w:r w:rsidR="002D311F">
        <w:rPr>
          <w:rFonts w:ascii="標楷體" w:eastAsia="標楷體" w:hAnsi="標楷體" w:hint="eastAsia"/>
          <w:bCs/>
          <w:color w:val="FF0000"/>
          <w:kern w:val="0"/>
          <w:highlight w:val="yellow"/>
        </w:rPr>
        <w:t>「</w:t>
      </w:r>
      <w:r w:rsidRPr="00043A1E">
        <w:rPr>
          <w:rFonts w:eastAsia="標楷體"/>
          <w:szCs w:val="22"/>
        </w:rPr>
        <w:t>已悟入圓成實性</w:t>
      </w:r>
      <w:r w:rsidR="002D311F">
        <w:rPr>
          <w:rFonts w:ascii="標楷體" w:eastAsia="標楷體" w:hAnsi="標楷體" w:hint="eastAsia"/>
          <w:bCs/>
          <w:color w:val="FF0000"/>
          <w:kern w:val="0"/>
          <w:highlight w:val="yellow"/>
        </w:rPr>
        <w:t>」</w:t>
      </w:r>
      <w:r w:rsidRPr="00043A1E">
        <w:rPr>
          <w:rFonts w:eastAsia="標楷體"/>
          <w:szCs w:val="22"/>
        </w:rPr>
        <w:t>。</w:t>
      </w:r>
    </w:p>
    <w:p w:rsidR="00157EF6" w:rsidRPr="00043A1E" w:rsidRDefault="00157EF6" w:rsidP="00AA120F">
      <w:pPr>
        <w:pStyle w:val="a5"/>
        <w:ind w:leftChars="80" w:left="731" w:hangingChars="245" w:hanging="539"/>
        <w:jc w:val="both"/>
        <w:rPr>
          <w:szCs w:val="22"/>
        </w:rPr>
      </w:pPr>
      <w:r w:rsidRPr="00043A1E">
        <w:rPr>
          <w:szCs w:val="22"/>
        </w:rPr>
        <w:t>（</w:t>
      </w:r>
      <w:r w:rsidRPr="00761EF3">
        <w:rPr>
          <w:szCs w:val="22"/>
        </w:rPr>
        <w:t>2</w:t>
      </w:r>
      <w:r w:rsidRPr="00043A1E">
        <w:rPr>
          <w:szCs w:val="22"/>
        </w:rPr>
        <w:t>）</w:t>
      </w:r>
      <w:r w:rsidR="009160B5">
        <w:rPr>
          <w:rFonts w:cs="Times Ext Roman"/>
          <w:szCs w:val="22"/>
        </w:rPr>
        <w:t>參見：印</w:t>
      </w:r>
      <w:r w:rsidRPr="00043A1E">
        <w:rPr>
          <w:szCs w:val="22"/>
        </w:rPr>
        <w:t>順法師，《攝大乘論講記》，</w:t>
      </w:r>
      <w:r w:rsidRPr="00761EF3">
        <w:rPr>
          <w:szCs w:val="22"/>
        </w:rPr>
        <w:t>pp</w:t>
      </w:r>
      <w:r w:rsidRPr="00043A1E">
        <w:rPr>
          <w:szCs w:val="22"/>
        </w:rPr>
        <w:t>.</w:t>
      </w:r>
      <w:r w:rsidRPr="00761EF3">
        <w:rPr>
          <w:szCs w:val="22"/>
        </w:rPr>
        <w:t>325</w:t>
      </w:r>
      <w:r w:rsidRPr="00043A1E">
        <w:rPr>
          <w:szCs w:val="22"/>
        </w:rPr>
        <w:t>-</w:t>
      </w:r>
      <w:r w:rsidRPr="00761EF3">
        <w:rPr>
          <w:szCs w:val="22"/>
        </w:rPr>
        <w:t>331</w:t>
      </w:r>
      <w:r w:rsidRPr="00043A1E">
        <w:rPr>
          <w:szCs w:val="22"/>
        </w:rPr>
        <w:t>。</w:t>
      </w:r>
    </w:p>
  </w:footnote>
  <w:footnote w:id="684">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szCs w:val="22"/>
        </w:rPr>
        <w:t>《大智度論》卷</w:t>
      </w:r>
      <w:r w:rsidRPr="00761EF3">
        <w:rPr>
          <w:szCs w:val="22"/>
        </w:rPr>
        <w:t>31</w:t>
      </w:r>
      <w:r w:rsidR="005C0D01">
        <w:rPr>
          <w:rFonts w:hint="eastAsia"/>
          <w:color w:val="FF0000"/>
          <w:szCs w:val="22"/>
          <w:highlight w:val="yellow"/>
        </w:rPr>
        <w:t>釋〈</w:t>
      </w:r>
      <w:r w:rsidR="005C0D01">
        <w:rPr>
          <w:color w:val="FF0000"/>
          <w:szCs w:val="22"/>
          <w:highlight w:val="yellow"/>
        </w:rPr>
        <w:t xml:space="preserve">1 </w:t>
      </w:r>
      <w:r w:rsidR="005C0D01">
        <w:rPr>
          <w:rFonts w:hint="eastAsia"/>
          <w:color w:val="FF0000"/>
          <w:szCs w:val="22"/>
          <w:highlight w:val="yellow"/>
        </w:rPr>
        <w:t>序品〉</w:t>
      </w:r>
      <w:r w:rsidRPr="00043A1E">
        <w:rPr>
          <w:szCs w:val="22"/>
        </w:rPr>
        <w:t>（大正</w:t>
      </w:r>
      <w:r w:rsidRPr="00761EF3">
        <w:rPr>
          <w:szCs w:val="22"/>
        </w:rPr>
        <w:t>25</w:t>
      </w:r>
      <w:r w:rsidRPr="00043A1E">
        <w:rPr>
          <w:szCs w:val="22"/>
        </w:rPr>
        <w:t>，</w:t>
      </w:r>
      <w:r w:rsidRPr="00761EF3">
        <w:rPr>
          <w:szCs w:val="22"/>
        </w:rPr>
        <w:t>293a29</w:t>
      </w:r>
      <w:r w:rsidRPr="00043A1E">
        <w:rPr>
          <w:szCs w:val="22"/>
        </w:rPr>
        <w:t>-</w:t>
      </w:r>
      <w:r w:rsidRPr="00761EF3">
        <w:rPr>
          <w:szCs w:val="22"/>
        </w:rPr>
        <w:t>b3</w:t>
      </w:r>
      <w:r w:rsidRPr="00043A1E">
        <w:rPr>
          <w:szCs w:val="22"/>
        </w:rPr>
        <w:t>）：</w:t>
      </w:r>
    </w:p>
    <w:p w:rsidR="00157EF6" w:rsidRPr="00043A1E" w:rsidRDefault="00157EF6" w:rsidP="00AA120F">
      <w:pPr>
        <w:snapToGrid w:val="0"/>
        <w:ind w:leftChars="75" w:left="840" w:hangingChars="300" w:hanging="660"/>
        <w:jc w:val="both"/>
        <w:rPr>
          <w:rFonts w:ascii="Times New Roman" w:eastAsia="標楷體" w:hAnsi="Times New Roman"/>
          <w:b/>
          <w:sz w:val="22"/>
          <w:szCs w:val="22"/>
        </w:rPr>
      </w:pPr>
      <w:r w:rsidRPr="00043A1E">
        <w:rPr>
          <w:rFonts w:ascii="Times New Roman" w:eastAsia="標楷體" w:hAnsi="Times New Roman"/>
          <w:sz w:val="22"/>
          <w:szCs w:val="22"/>
        </w:rPr>
        <w:t>問曰：先已說</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性</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，今說</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相</w:t>
      </w:r>
      <w:r w:rsidR="002D311F">
        <w:rPr>
          <w:rFonts w:ascii="標楷體" w:eastAsia="標楷體" w:hAnsi="標楷體" w:hint="eastAsia"/>
          <w:bCs/>
          <w:color w:val="FF0000"/>
          <w:kern w:val="0"/>
          <w:sz w:val="22"/>
          <w:highlight w:val="yellow"/>
        </w:rPr>
        <w:t>」</w:t>
      </w:r>
      <w:r w:rsidR="00A6163F">
        <w:rPr>
          <w:rFonts w:ascii="Times New Roman" w:eastAsia="標楷體" w:hAnsi="Times New Roman" w:hint="eastAsia"/>
          <w:color w:val="FF0000"/>
          <w:sz w:val="22"/>
          <w:szCs w:val="22"/>
          <w:highlight w:val="yellow"/>
        </w:rPr>
        <w:t>。</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b/>
          <w:sz w:val="22"/>
          <w:szCs w:val="22"/>
        </w:rPr>
        <w:t>性</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b/>
          <w:sz w:val="22"/>
          <w:szCs w:val="22"/>
        </w:rPr>
        <w:t>、</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b/>
          <w:sz w:val="22"/>
          <w:szCs w:val="22"/>
        </w:rPr>
        <w:t>相</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b/>
          <w:sz w:val="22"/>
          <w:szCs w:val="22"/>
        </w:rPr>
        <w:t>有何等異？</w:t>
      </w:r>
    </w:p>
    <w:p w:rsidR="00157EF6" w:rsidRPr="00043A1E" w:rsidRDefault="00157EF6" w:rsidP="00AA120F">
      <w:pPr>
        <w:snapToGrid w:val="0"/>
        <w:ind w:leftChars="75" w:left="841" w:hangingChars="300" w:hanging="661"/>
        <w:jc w:val="both"/>
        <w:rPr>
          <w:rFonts w:ascii="Times New Roman" w:hAnsi="Times New Roman"/>
          <w:sz w:val="22"/>
          <w:szCs w:val="22"/>
        </w:rPr>
      </w:pPr>
      <w:r w:rsidRPr="00043A1E">
        <w:rPr>
          <w:rFonts w:ascii="Times New Roman" w:eastAsia="標楷體" w:hAnsi="Times New Roman"/>
          <w:b/>
          <w:sz w:val="22"/>
          <w:szCs w:val="22"/>
        </w:rPr>
        <w:t>答曰：有人言：其實無異，名有差別</w:t>
      </w:r>
      <w:r w:rsidRPr="00043A1E">
        <w:rPr>
          <w:rFonts w:ascii="Times New Roman" w:eastAsia="標楷體" w:hAnsi="Times New Roman"/>
          <w:sz w:val="22"/>
          <w:szCs w:val="22"/>
        </w:rPr>
        <w:t>，說</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性</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則為說</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相</w:t>
      </w:r>
      <w:r w:rsidR="002D311F">
        <w:rPr>
          <w:rFonts w:ascii="標楷體" w:eastAsia="標楷體" w:hAnsi="標楷體" w:hint="eastAsia"/>
          <w:bCs/>
          <w:color w:val="FF0000"/>
          <w:kern w:val="0"/>
          <w:sz w:val="22"/>
          <w:highlight w:val="yellow"/>
        </w:rPr>
        <w:t>」</w:t>
      </w:r>
      <w:r w:rsidR="002D311F" w:rsidRPr="00043A1E">
        <w:rPr>
          <w:rFonts w:ascii="Times New Roman" w:eastAsia="標楷體" w:hAnsi="Times New Roman"/>
          <w:sz w:val="22"/>
          <w:szCs w:val="22"/>
        </w:rPr>
        <w:t>，</w:t>
      </w:r>
      <w:r w:rsidRPr="00043A1E">
        <w:rPr>
          <w:rFonts w:ascii="Times New Roman" w:eastAsia="標楷體" w:hAnsi="Times New Roman"/>
          <w:sz w:val="22"/>
          <w:szCs w:val="22"/>
        </w:rPr>
        <w:t>說</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相</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則為說</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性</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；譬如</w:t>
      </w:r>
      <w:r w:rsidR="002D311F">
        <w:rPr>
          <w:rFonts w:ascii="標楷體" w:eastAsia="標楷體" w:hAnsi="標楷體" w:hint="eastAsia"/>
          <w:color w:val="FF0000"/>
          <w:spacing w:val="-4"/>
          <w:kern w:val="0"/>
          <w:sz w:val="22"/>
          <w:highlight w:val="yellow"/>
        </w:rPr>
        <w:t>：</w:t>
      </w:r>
      <w:r w:rsidRPr="00043A1E">
        <w:rPr>
          <w:rFonts w:ascii="Times New Roman" w:eastAsia="標楷體" w:hAnsi="Times New Roman"/>
          <w:sz w:val="22"/>
          <w:szCs w:val="22"/>
        </w:rPr>
        <w:t>說火性即是熱相，說熱相即是火性。</w:t>
      </w:r>
    </w:p>
  </w:footnote>
  <w:footnote w:id="685">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szCs w:val="22"/>
        </w:rPr>
        <w:t>《大智度論》卷</w:t>
      </w:r>
      <w:r w:rsidRPr="00761EF3">
        <w:rPr>
          <w:szCs w:val="22"/>
        </w:rPr>
        <w:t>31</w:t>
      </w:r>
      <w:r w:rsidR="005C0D01">
        <w:rPr>
          <w:rFonts w:hint="eastAsia"/>
          <w:color w:val="FF0000"/>
          <w:szCs w:val="22"/>
          <w:highlight w:val="yellow"/>
        </w:rPr>
        <w:t>釋〈</w:t>
      </w:r>
      <w:r w:rsidR="005C0D01">
        <w:rPr>
          <w:color w:val="FF0000"/>
          <w:szCs w:val="22"/>
          <w:highlight w:val="yellow"/>
        </w:rPr>
        <w:t xml:space="preserve">1 </w:t>
      </w:r>
      <w:r w:rsidR="005C0D01">
        <w:rPr>
          <w:rFonts w:hint="eastAsia"/>
          <w:color w:val="FF0000"/>
          <w:szCs w:val="22"/>
          <w:highlight w:val="yellow"/>
        </w:rPr>
        <w:t>序品〉</w:t>
      </w:r>
      <w:r w:rsidRPr="00043A1E">
        <w:rPr>
          <w:szCs w:val="22"/>
        </w:rPr>
        <w:t>（大正</w:t>
      </w:r>
      <w:r w:rsidRPr="00761EF3">
        <w:rPr>
          <w:szCs w:val="22"/>
        </w:rPr>
        <w:t>25</w:t>
      </w:r>
      <w:r w:rsidRPr="00043A1E">
        <w:rPr>
          <w:szCs w:val="22"/>
        </w:rPr>
        <w:t>，</w:t>
      </w:r>
      <w:r w:rsidRPr="00761EF3">
        <w:rPr>
          <w:szCs w:val="22"/>
        </w:rPr>
        <w:t>293b3</w:t>
      </w:r>
      <w:r w:rsidRPr="00043A1E">
        <w:rPr>
          <w:szCs w:val="22"/>
        </w:rPr>
        <w:t>-</w:t>
      </w:r>
      <w:r w:rsidRPr="00761EF3">
        <w:rPr>
          <w:szCs w:val="22"/>
        </w:rPr>
        <w:t>12</w:t>
      </w:r>
      <w:r w:rsidRPr="00043A1E">
        <w:rPr>
          <w:szCs w:val="22"/>
        </w:rPr>
        <w:t>）：</w:t>
      </w:r>
    </w:p>
    <w:p w:rsidR="00157EF6" w:rsidRPr="00043A1E" w:rsidRDefault="00157EF6" w:rsidP="00AA120F">
      <w:pPr>
        <w:pStyle w:val="Web"/>
        <w:snapToGrid w:val="0"/>
        <w:spacing w:before="0" w:beforeAutospacing="0" w:after="0" w:afterAutospacing="0"/>
        <w:ind w:leftChars="75" w:left="180"/>
        <w:jc w:val="both"/>
        <w:rPr>
          <w:rFonts w:ascii="Times New Roman" w:hAnsi="Times New Roman" w:cs="Times New Roman"/>
          <w:kern w:val="2"/>
          <w:szCs w:val="22"/>
        </w:rPr>
      </w:pPr>
      <w:r w:rsidRPr="00043A1E">
        <w:rPr>
          <w:rFonts w:ascii="Times New Roman" w:eastAsia="標楷體" w:hAnsi="Times New Roman" w:cs="Times New Roman"/>
          <w:kern w:val="2"/>
          <w:szCs w:val="22"/>
        </w:rPr>
        <w:t>有人言：</w:t>
      </w:r>
      <w:r w:rsidRPr="00043A1E">
        <w:rPr>
          <w:rFonts w:ascii="Times New Roman" w:eastAsia="標楷體" w:hAnsi="Times New Roman" w:cs="Times New Roman" w:hint="eastAsia"/>
          <w:kern w:val="2"/>
          <w:szCs w:val="22"/>
        </w:rPr>
        <w:t>「</w:t>
      </w:r>
      <w:r w:rsidRPr="00043A1E">
        <w:rPr>
          <w:rFonts w:ascii="Times New Roman" w:eastAsia="標楷體" w:hAnsi="Times New Roman" w:cs="Times New Roman"/>
          <w:b/>
          <w:kern w:val="2"/>
          <w:szCs w:val="22"/>
        </w:rPr>
        <w:t>性</w:t>
      </w:r>
      <w:r w:rsidR="002D311F">
        <w:rPr>
          <w:rFonts w:ascii="標楷體" w:eastAsia="標楷體" w:hAnsi="標楷體" w:hint="eastAsia"/>
          <w:bCs/>
          <w:color w:val="FF0000"/>
          <w:highlight w:val="yellow"/>
        </w:rPr>
        <w:t>」</w:t>
      </w:r>
      <w:r w:rsidR="002D311F">
        <w:rPr>
          <w:rFonts w:ascii="標楷體" w:eastAsia="標楷體" w:hAnsi="標楷體" w:hint="eastAsia"/>
          <w:color w:val="FF0000"/>
          <w:spacing w:val="-4"/>
          <w:highlight w:val="yellow"/>
        </w:rPr>
        <w:t>、</w:t>
      </w:r>
      <w:r w:rsidR="002D311F">
        <w:rPr>
          <w:rFonts w:ascii="標楷體" w:eastAsia="標楷體" w:hAnsi="標楷體" w:hint="eastAsia"/>
          <w:bCs/>
          <w:color w:val="FF0000"/>
          <w:highlight w:val="yellow"/>
        </w:rPr>
        <w:t>「</w:t>
      </w:r>
      <w:r w:rsidRPr="00043A1E">
        <w:rPr>
          <w:rFonts w:ascii="Times New Roman" w:eastAsia="標楷體" w:hAnsi="Times New Roman" w:cs="Times New Roman"/>
          <w:b/>
          <w:kern w:val="2"/>
          <w:szCs w:val="22"/>
        </w:rPr>
        <w:t>相</w:t>
      </w:r>
      <w:r w:rsidR="002D311F">
        <w:rPr>
          <w:rFonts w:ascii="標楷體" w:eastAsia="標楷體" w:hAnsi="標楷體" w:hint="eastAsia"/>
          <w:bCs/>
          <w:color w:val="FF0000"/>
          <w:highlight w:val="yellow"/>
        </w:rPr>
        <w:t>」</w:t>
      </w:r>
      <w:r w:rsidR="002D311F">
        <w:rPr>
          <w:rFonts w:ascii="標楷體" w:eastAsia="標楷體" w:hAnsi="標楷體" w:hint="eastAsia"/>
          <w:color w:val="FF0000"/>
          <w:highlight w:val="yellow"/>
        </w:rPr>
        <w:t>，</w:t>
      </w:r>
      <w:r w:rsidRPr="00043A1E">
        <w:rPr>
          <w:rFonts w:ascii="Times New Roman" w:eastAsia="標楷體" w:hAnsi="Times New Roman" w:cs="Times New Roman"/>
          <w:b/>
          <w:kern w:val="2"/>
          <w:szCs w:val="22"/>
        </w:rPr>
        <w:t>小有差別</w:t>
      </w:r>
      <w:r w:rsidR="002D311F">
        <w:rPr>
          <w:rFonts w:ascii="標楷體" w:eastAsia="標楷體" w:hAnsi="標楷體" w:hint="eastAsia"/>
          <w:color w:val="FF0000"/>
          <w:highlight w:val="yellow"/>
        </w:rPr>
        <w:t>──</w:t>
      </w:r>
      <w:r w:rsidR="002D311F">
        <w:rPr>
          <w:rFonts w:ascii="標楷體" w:eastAsia="標楷體" w:hAnsi="標楷體" w:hint="eastAsia"/>
          <w:bCs/>
          <w:color w:val="FF0000"/>
          <w:highlight w:val="yellow"/>
        </w:rPr>
        <w:t>「</w:t>
      </w:r>
      <w:r w:rsidRPr="00043A1E">
        <w:rPr>
          <w:rFonts w:ascii="Times New Roman" w:eastAsia="標楷體" w:hAnsi="Times New Roman" w:cs="Times New Roman"/>
          <w:b/>
          <w:kern w:val="2"/>
          <w:szCs w:val="22"/>
        </w:rPr>
        <w:t>性</w:t>
      </w:r>
      <w:r w:rsidR="002D311F">
        <w:rPr>
          <w:rFonts w:ascii="標楷體" w:eastAsia="標楷體" w:hAnsi="標楷體" w:hint="eastAsia"/>
          <w:bCs/>
          <w:color w:val="FF0000"/>
          <w:highlight w:val="yellow"/>
        </w:rPr>
        <w:t>」</w:t>
      </w:r>
      <w:r w:rsidRPr="00043A1E">
        <w:rPr>
          <w:rFonts w:ascii="Times New Roman" w:eastAsia="標楷體" w:hAnsi="Times New Roman" w:cs="Times New Roman"/>
          <w:b/>
          <w:kern w:val="2"/>
          <w:szCs w:val="22"/>
        </w:rPr>
        <w:t>言其體，</w:t>
      </w:r>
      <w:r w:rsidR="002D311F">
        <w:rPr>
          <w:rFonts w:ascii="標楷體" w:eastAsia="標楷體" w:hAnsi="標楷體" w:hint="eastAsia"/>
          <w:bCs/>
          <w:color w:val="FF0000"/>
          <w:highlight w:val="yellow"/>
        </w:rPr>
        <w:t>「</w:t>
      </w:r>
      <w:r w:rsidRPr="00043A1E">
        <w:rPr>
          <w:rFonts w:ascii="Times New Roman" w:eastAsia="標楷體" w:hAnsi="Times New Roman" w:cs="Times New Roman"/>
          <w:b/>
          <w:kern w:val="2"/>
          <w:szCs w:val="22"/>
        </w:rPr>
        <w:t>相</w:t>
      </w:r>
      <w:r w:rsidR="002D311F">
        <w:rPr>
          <w:rFonts w:ascii="標楷體" w:eastAsia="標楷體" w:hAnsi="標楷體" w:hint="eastAsia"/>
          <w:bCs/>
          <w:color w:val="FF0000"/>
          <w:highlight w:val="yellow"/>
        </w:rPr>
        <w:t>」</w:t>
      </w:r>
      <w:r w:rsidRPr="00043A1E">
        <w:rPr>
          <w:rFonts w:ascii="Times New Roman" w:eastAsia="標楷體" w:hAnsi="Times New Roman" w:cs="Times New Roman"/>
          <w:b/>
          <w:kern w:val="2"/>
          <w:szCs w:val="22"/>
        </w:rPr>
        <w:t>言可識</w:t>
      </w:r>
      <w:r w:rsidRPr="00043A1E">
        <w:rPr>
          <w:rFonts w:ascii="Times New Roman" w:eastAsia="標楷體" w:hAnsi="Times New Roman" w:cs="Times New Roman"/>
          <w:kern w:val="2"/>
          <w:szCs w:val="22"/>
        </w:rPr>
        <w:t>。如釋子受持禁戒，是其</w:t>
      </w:r>
      <w:r w:rsidR="002D311F">
        <w:rPr>
          <w:rFonts w:ascii="標楷體" w:eastAsia="標楷體" w:hAnsi="標楷體" w:hint="eastAsia"/>
          <w:bCs/>
          <w:color w:val="FF0000"/>
          <w:highlight w:val="yellow"/>
        </w:rPr>
        <w:t>「</w:t>
      </w:r>
      <w:r w:rsidRPr="00043A1E">
        <w:rPr>
          <w:rFonts w:ascii="Times New Roman" w:eastAsia="標楷體" w:hAnsi="Times New Roman" w:cs="Times New Roman"/>
          <w:kern w:val="2"/>
          <w:szCs w:val="22"/>
        </w:rPr>
        <w:t>性</w:t>
      </w:r>
      <w:r w:rsidR="002D311F">
        <w:rPr>
          <w:rFonts w:ascii="標楷體" w:eastAsia="標楷體" w:hAnsi="標楷體" w:hint="eastAsia"/>
          <w:bCs/>
          <w:color w:val="FF0000"/>
          <w:highlight w:val="yellow"/>
        </w:rPr>
        <w:t>」</w:t>
      </w:r>
      <w:r w:rsidRPr="00043A1E">
        <w:rPr>
          <w:rFonts w:ascii="Times New Roman" w:eastAsia="標楷體" w:hAnsi="Times New Roman" w:cs="Times New Roman"/>
          <w:kern w:val="2"/>
          <w:szCs w:val="22"/>
        </w:rPr>
        <w:t>；剃髮、割截染衣，是其</w:t>
      </w:r>
      <w:r w:rsidR="002D311F">
        <w:rPr>
          <w:rFonts w:ascii="標楷體" w:eastAsia="標楷體" w:hAnsi="標楷體" w:hint="eastAsia"/>
          <w:bCs/>
          <w:color w:val="FF0000"/>
          <w:highlight w:val="yellow"/>
        </w:rPr>
        <w:t>「</w:t>
      </w:r>
      <w:r w:rsidRPr="00043A1E">
        <w:rPr>
          <w:rFonts w:ascii="Times New Roman" w:eastAsia="標楷體" w:hAnsi="Times New Roman" w:cs="Times New Roman"/>
          <w:kern w:val="2"/>
          <w:szCs w:val="22"/>
        </w:rPr>
        <w:t>相</w:t>
      </w:r>
      <w:r w:rsidR="002D311F">
        <w:rPr>
          <w:rFonts w:ascii="標楷體" w:eastAsia="標楷體" w:hAnsi="標楷體" w:hint="eastAsia"/>
          <w:bCs/>
          <w:color w:val="FF0000"/>
          <w:highlight w:val="yellow"/>
        </w:rPr>
        <w:t>」</w:t>
      </w:r>
      <w:r w:rsidRPr="00043A1E">
        <w:rPr>
          <w:rFonts w:ascii="Times New Roman" w:eastAsia="標楷體" w:hAnsi="Times New Roman" w:cs="Times New Roman"/>
          <w:kern w:val="2"/>
          <w:szCs w:val="22"/>
        </w:rPr>
        <w:t>。梵志自受其法，是其</w:t>
      </w:r>
      <w:r w:rsidR="002D311F">
        <w:rPr>
          <w:rFonts w:ascii="標楷體" w:eastAsia="標楷體" w:hAnsi="標楷體" w:hint="eastAsia"/>
          <w:bCs/>
          <w:color w:val="FF0000"/>
          <w:highlight w:val="yellow"/>
        </w:rPr>
        <w:t>「</w:t>
      </w:r>
      <w:r w:rsidRPr="00043A1E">
        <w:rPr>
          <w:rFonts w:ascii="Times New Roman" w:eastAsia="標楷體" w:hAnsi="Times New Roman" w:cs="Times New Roman"/>
          <w:kern w:val="2"/>
          <w:szCs w:val="22"/>
        </w:rPr>
        <w:t>性</w:t>
      </w:r>
      <w:r w:rsidR="002D311F">
        <w:rPr>
          <w:rFonts w:ascii="標楷體" w:eastAsia="標楷體" w:hAnsi="標楷體" w:hint="eastAsia"/>
          <w:bCs/>
          <w:color w:val="FF0000"/>
          <w:highlight w:val="yellow"/>
        </w:rPr>
        <w:t>」</w:t>
      </w:r>
      <w:r w:rsidRPr="00043A1E">
        <w:rPr>
          <w:rFonts w:ascii="Times New Roman" w:eastAsia="標楷體" w:hAnsi="Times New Roman" w:cs="Times New Roman"/>
          <w:kern w:val="2"/>
          <w:szCs w:val="22"/>
        </w:rPr>
        <w:t>；頂有周羅，執三奇杖，是其</w:t>
      </w:r>
      <w:r w:rsidR="002D311F">
        <w:rPr>
          <w:rFonts w:ascii="標楷體" w:eastAsia="標楷體" w:hAnsi="標楷體" w:hint="eastAsia"/>
          <w:bCs/>
          <w:color w:val="FF0000"/>
          <w:highlight w:val="yellow"/>
        </w:rPr>
        <w:t>「</w:t>
      </w:r>
      <w:r w:rsidRPr="00043A1E">
        <w:rPr>
          <w:rFonts w:ascii="Times New Roman" w:eastAsia="標楷體" w:hAnsi="Times New Roman" w:cs="Times New Roman"/>
          <w:kern w:val="2"/>
          <w:szCs w:val="22"/>
        </w:rPr>
        <w:t>相</w:t>
      </w:r>
      <w:r w:rsidR="002D311F">
        <w:rPr>
          <w:rFonts w:ascii="標楷體" w:eastAsia="標楷體" w:hAnsi="標楷體" w:hint="eastAsia"/>
          <w:bCs/>
          <w:color w:val="FF0000"/>
          <w:highlight w:val="yellow"/>
        </w:rPr>
        <w:t>」</w:t>
      </w:r>
      <w:r w:rsidRPr="00043A1E">
        <w:rPr>
          <w:rFonts w:ascii="Times New Roman" w:eastAsia="標楷體" w:hAnsi="Times New Roman" w:cs="Times New Roman"/>
          <w:kern w:val="2"/>
          <w:szCs w:val="22"/>
        </w:rPr>
        <w:t>。如</w:t>
      </w:r>
      <w:r w:rsidR="002D311F">
        <w:rPr>
          <w:rFonts w:ascii="標楷體" w:eastAsia="標楷體" w:hAnsi="標楷體" w:hint="eastAsia"/>
          <w:color w:val="FF0000"/>
          <w:spacing w:val="-4"/>
          <w:highlight w:val="yellow"/>
        </w:rPr>
        <w:t>：</w:t>
      </w:r>
      <w:r w:rsidRPr="00043A1E">
        <w:rPr>
          <w:rFonts w:ascii="Times New Roman" w:eastAsia="標楷體" w:hAnsi="Times New Roman" w:cs="Times New Roman"/>
          <w:kern w:val="2"/>
          <w:szCs w:val="22"/>
        </w:rPr>
        <w:t>火</w:t>
      </w:r>
      <w:r w:rsidR="002D311F">
        <w:rPr>
          <w:rFonts w:ascii="標楷體" w:eastAsia="標楷體" w:hAnsi="標楷體" w:hint="eastAsia"/>
          <w:color w:val="FF0000"/>
          <w:highlight w:val="yellow"/>
        </w:rPr>
        <w:t>，</w:t>
      </w:r>
      <w:r w:rsidRPr="00043A1E">
        <w:rPr>
          <w:rFonts w:ascii="Times New Roman" w:eastAsia="標楷體" w:hAnsi="Times New Roman" w:cs="Times New Roman"/>
          <w:kern w:val="2"/>
          <w:szCs w:val="22"/>
        </w:rPr>
        <w:t>熱是其</w:t>
      </w:r>
      <w:r w:rsidR="002D311F">
        <w:rPr>
          <w:rFonts w:ascii="標楷體" w:eastAsia="標楷體" w:hAnsi="標楷體" w:hint="eastAsia"/>
          <w:bCs/>
          <w:color w:val="FF0000"/>
          <w:highlight w:val="yellow"/>
        </w:rPr>
        <w:t>「</w:t>
      </w:r>
      <w:r w:rsidRPr="00043A1E">
        <w:rPr>
          <w:rFonts w:ascii="Times New Roman" w:eastAsia="標楷體" w:hAnsi="Times New Roman" w:cs="Times New Roman"/>
          <w:kern w:val="2"/>
          <w:szCs w:val="22"/>
        </w:rPr>
        <w:t>性</w:t>
      </w:r>
      <w:r w:rsidR="002D311F">
        <w:rPr>
          <w:rFonts w:ascii="標楷體" w:eastAsia="標楷體" w:hAnsi="標楷體" w:hint="eastAsia"/>
          <w:bCs/>
          <w:color w:val="FF0000"/>
          <w:highlight w:val="yellow"/>
        </w:rPr>
        <w:t>」</w:t>
      </w:r>
      <w:r w:rsidRPr="00043A1E">
        <w:rPr>
          <w:rFonts w:ascii="Times New Roman" w:eastAsia="標楷體" w:hAnsi="Times New Roman" w:cs="Times New Roman"/>
          <w:kern w:val="2"/>
          <w:szCs w:val="22"/>
        </w:rPr>
        <w:t>，煙是其</w:t>
      </w:r>
      <w:r w:rsidR="002D311F">
        <w:rPr>
          <w:rFonts w:ascii="標楷體" w:eastAsia="標楷體" w:hAnsi="標楷體" w:hint="eastAsia"/>
          <w:bCs/>
          <w:color w:val="FF0000"/>
          <w:highlight w:val="yellow"/>
        </w:rPr>
        <w:t>「</w:t>
      </w:r>
      <w:r w:rsidRPr="00043A1E">
        <w:rPr>
          <w:rFonts w:ascii="Times New Roman" w:eastAsia="標楷體" w:hAnsi="Times New Roman" w:cs="Times New Roman"/>
          <w:kern w:val="2"/>
          <w:szCs w:val="22"/>
        </w:rPr>
        <w:t>相</w:t>
      </w:r>
      <w:r w:rsidR="002D311F">
        <w:rPr>
          <w:rFonts w:ascii="標楷體" w:eastAsia="標楷體" w:hAnsi="標楷體" w:hint="eastAsia"/>
          <w:bCs/>
          <w:color w:val="FF0000"/>
          <w:highlight w:val="yellow"/>
        </w:rPr>
        <w:t>」</w:t>
      </w:r>
      <w:r w:rsidRPr="00043A1E">
        <w:rPr>
          <w:rFonts w:ascii="Times New Roman" w:eastAsia="標楷體" w:hAnsi="Times New Roman" w:cs="Times New Roman"/>
          <w:kern w:val="2"/>
          <w:szCs w:val="22"/>
        </w:rPr>
        <w:t>。近為</w:t>
      </w:r>
      <w:r w:rsidR="002D311F">
        <w:rPr>
          <w:rFonts w:ascii="標楷體" w:eastAsia="標楷體" w:hAnsi="標楷體" w:hint="eastAsia"/>
          <w:bCs/>
          <w:color w:val="FF0000"/>
          <w:highlight w:val="yellow"/>
        </w:rPr>
        <w:t>「</w:t>
      </w:r>
      <w:r w:rsidRPr="00043A1E">
        <w:rPr>
          <w:rFonts w:ascii="Times New Roman" w:eastAsia="標楷體" w:hAnsi="Times New Roman" w:cs="Times New Roman"/>
          <w:kern w:val="2"/>
          <w:szCs w:val="22"/>
        </w:rPr>
        <w:t>性</w:t>
      </w:r>
      <w:r w:rsidR="002D311F">
        <w:rPr>
          <w:rFonts w:ascii="標楷體" w:eastAsia="標楷體" w:hAnsi="標楷體" w:hint="eastAsia"/>
          <w:bCs/>
          <w:color w:val="FF0000"/>
          <w:highlight w:val="yellow"/>
        </w:rPr>
        <w:t>」</w:t>
      </w:r>
      <w:r w:rsidRPr="00043A1E">
        <w:rPr>
          <w:rFonts w:ascii="Times New Roman" w:eastAsia="標楷體" w:hAnsi="Times New Roman" w:cs="Times New Roman"/>
          <w:kern w:val="2"/>
          <w:szCs w:val="22"/>
        </w:rPr>
        <w:t>，遠為</w:t>
      </w:r>
      <w:r w:rsidR="002D311F">
        <w:rPr>
          <w:rFonts w:ascii="標楷體" w:eastAsia="標楷體" w:hAnsi="標楷體" w:hint="eastAsia"/>
          <w:bCs/>
          <w:color w:val="FF0000"/>
          <w:highlight w:val="yellow"/>
        </w:rPr>
        <w:t>「</w:t>
      </w:r>
      <w:r w:rsidRPr="00043A1E">
        <w:rPr>
          <w:rFonts w:ascii="Times New Roman" w:eastAsia="標楷體" w:hAnsi="Times New Roman" w:cs="Times New Roman"/>
          <w:kern w:val="2"/>
          <w:szCs w:val="22"/>
        </w:rPr>
        <w:t>相</w:t>
      </w:r>
      <w:r w:rsidR="002D311F">
        <w:rPr>
          <w:rFonts w:ascii="標楷體" w:eastAsia="標楷體" w:hAnsi="標楷體" w:hint="eastAsia"/>
          <w:bCs/>
          <w:color w:val="FF0000"/>
          <w:highlight w:val="yellow"/>
        </w:rPr>
        <w:t>」</w:t>
      </w:r>
      <w:r w:rsidRPr="00043A1E">
        <w:rPr>
          <w:rFonts w:ascii="Times New Roman" w:eastAsia="標楷體" w:hAnsi="Times New Roman" w:cs="Times New Roman"/>
          <w:kern w:val="2"/>
          <w:szCs w:val="22"/>
        </w:rPr>
        <w:t>。</w:t>
      </w:r>
      <w:r w:rsidR="002D311F">
        <w:rPr>
          <w:rFonts w:ascii="標楷體" w:eastAsia="標楷體" w:hAnsi="標楷體" w:hint="eastAsia"/>
          <w:bCs/>
          <w:color w:val="FF0000"/>
          <w:highlight w:val="yellow"/>
        </w:rPr>
        <w:t>「</w:t>
      </w:r>
      <w:r w:rsidRPr="00043A1E">
        <w:rPr>
          <w:rFonts w:ascii="Times New Roman" w:eastAsia="標楷體" w:hAnsi="Times New Roman" w:cs="Times New Roman"/>
          <w:kern w:val="2"/>
          <w:szCs w:val="22"/>
        </w:rPr>
        <w:t>相</w:t>
      </w:r>
      <w:r w:rsidR="002D311F">
        <w:rPr>
          <w:rFonts w:ascii="標楷體" w:eastAsia="標楷體" w:hAnsi="標楷體" w:hint="eastAsia"/>
          <w:bCs/>
          <w:color w:val="FF0000"/>
          <w:highlight w:val="yellow"/>
        </w:rPr>
        <w:t>」</w:t>
      </w:r>
      <w:r w:rsidRPr="00043A1E">
        <w:rPr>
          <w:rFonts w:ascii="Times New Roman" w:eastAsia="標楷體" w:hAnsi="Times New Roman" w:cs="Times New Roman"/>
          <w:kern w:val="2"/>
          <w:szCs w:val="22"/>
        </w:rPr>
        <w:t>不定，從身出</w:t>
      </w:r>
      <w:r w:rsidR="002D311F">
        <w:rPr>
          <w:rFonts w:ascii="標楷體" w:eastAsia="標楷體" w:hAnsi="標楷體" w:hint="eastAsia"/>
          <w:color w:val="FF0000"/>
          <w:spacing w:val="-4"/>
          <w:highlight w:val="yellow"/>
        </w:rPr>
        <w:t>；</w:t>
      </w:r>
      <w:r w:rsidR="002D311F">
        <w:rPr>
          <w:rFonts w:ascii="標楷體" w:eastAsia="標楷體" w:hAnsi="標楷體" w:hint="eastAsia"/>
          <w:bCs/>
          <w:color w:val="FF0000"/>
          <w:highlight w:val="yellow"/>
        </w:rPr>
        <w:t>「</w:t>
      </w:r>
      <w:r w:rsidRPr="00043A1E">
        <w:rPr>
          <w:rFonts w:ascii="Times New Roman" w:eastAsia="標楷體" w:hAnsi="Times New Roman" w:cs="Times New Roman"/>
          <w:kern w:val="2"/>
          <w:szCs w:val="22"/>
        </w:rPr>
        <w:t>性</w:t>
      </w:r>
      <w:r w:rsidR="002D311F">
        <w:rPr>
          <w:rFonts w:ascii="標楷體" w:eastAsia="標楷體" w:hAnsi="標楷體" w:hint="eastAsia"/>
          <w:bCs/>
          <w:color w:val="FF0000"/>
          <w:highlight w:val="yellow"/>
        </w:rPr>
        <w:t>」</w:t>
      </w:r>
      <w:r w:rsidRPr="00043A1E">
        <w:rPr>
          <w:rFonts w:ascii="Times New Roman" w:eastAsia="標楷體" w:hAnsi="Times New Roman" w:cs="Times New Roman"/>
          <w:kern w:val="2"/>
          <w:szCs w:val="22"/>
        </w:rPr>
        <w:t>則言其實。如見黃色為金相而內是銅，火燒</w:t>
      </w:r>
      <w:r w:rsidR="002D311F">
        <w:rPr>
          <w:rFonts w:ascii="標楷體" w:eastAsia="標楷體" w:hAnsi="標楷體" w:hint="eastAsia"/>
          <w:color w:val="FF0000"/>
          <w:spacing w:val="-4"/>
          <w:highlight w:val="yellow"/>
        </w:rPr>
        <w:t>、</w:t>
      </w:r>
      <w:r w:rsidRPr="00043A1E">
        <w:rPr>
          <w:rFonts w:ascii="Times New Roman" w:eastAsia="標楷體" w:hAnsi="Times New Roman" w:cs="Times New Roman"/>
          <w:kern w:val="2"/>
          <w:szCs w:val="22"/>
        </w:rPr>
        <w:t>石磨，知非金性。如人恭敬供養時，似是善人，是為</w:t>
      </w:r>
      <w:r w:rsidR="002D311F">
        <w:rPr>
          <w:rFonts w:ascii="標楷體" w:eastAsia="標楷體" w:hAnsi="標楷體" w:hint="eastAsia"/>
          <w:bCs/>
          <w:color w:val="FF0000"/>
          <w:highlight w:val="yellow"/>
        </w:rPr>
        <w:t>「</w:t>
      </w:r>
      <w:r w:rsidRPr="00043A1E">
        <w:rPr>
          <w:rFonts w:ascii="Times New Roman" w:eastAsia="標楷體" w:hAnsi="Times New Roman" w:cs="Times New Roman"/>
          <w:kern w:val="2"/>
          <w:szCs w:val="22"/>
        </w:rPr>
        <w:t>相</w:t>
      </w:r>
      <w:r w:rsidR="002D311F">
        <w:rPr>
          <w:rFonts w:ascii="標楷體" w:eastAsia="標楷體" w:hAnsi="標楷體" w:hint="eastAsia"/>
          <w:bCs/>
          <w:color w:val="FF0000"/>
          <w:highlight w:val="yellow"/>
        </w:rPr>
        <w:t>」</w:t>
      </w:r>
      <w:r w:rsidRPr="00043A1E">
        <w:rPr>
          <w:rFonts w:ascii="Times New Roman" w:eastAsia="標楷體" w:hAnsi="Times New Roman" w:cs="Times New Roman"/>
          <w:kern w:val="2"/>
          <w:szCs w:val="22"/>
        </w:rPr>
        <w:t>；罵</w:t>
      </w:r>
      <w:hyperlink w:history="1"/>
      <w:r w:rsidRPr="00043A1E">
        <w:rPr>
          <w:rStyle w:val="foot"/>
          <w:rFonts w:ascii="Times New Roman" w:eastAsia="標楷體" w:hAnsi="Times New Roman" w:cs="Times New Roman"/>
          <w:kern w:val="2"/>
          <w:szCs w:val="22"/>
        </w:rPr>
        <w:t>詈</w:t>
      </w:r>
      <w:r w:rsidRPr="00043A1E">
        <w:rPr>
          <w:rFonts w:ascii="Times New Roman" w:eastAsia="標楷體" w:hAnsi="Times New Roman" w:cs="Times New Roman"/>
          <w:kern w:val="2"/>
          <w:szCs w:val="22"/>
        </w:rPr>
        <w:t>毀辱，忿然瞋恚</w:t>
      </w:r>
      <w:hyperlink w:history="1"/>
      <w:r w:rsidRPr="00043A1E">
        <w:rPr>
          <w:rFonts w:ascii="Times New Roman" w:eastAsia="標楷體" w:hAnsi="Times New Roman" w:cs="Times New Roman"/>
          <w:kern w:val="2"/>
          <w:szCs w:val="22"/>
        </w:rPr>
        <w:t>，</w:t>
      </w:r>
      <w:r w:rsidRPr="00043A1E">
        <w:rPr>
          <w:rStyle w:val="foot"/>
          <w:rFonts w:ascii="Times New Roman" w:eastAsia="標楷體" w:hAnsi="Times New Roman" w:cs="Times New Roman"/>
          <w:kern w:val="2"/>
          <w:szCs w:val="22"/>
        </w:rPr>
        <w:t>便</w:t>
      </w:r>
      <w:r w:rsidRPr="00043A1E">
        <w:rPr>
          <w:rFonts w:ascii="Times New Roman" w:eastAsia="標楷體" w:hAnsi="Times New Roman" w:cs="Times New Roman"/>
          <w:kern w:val="2"/>
          <w:szCs w:val="22"/>
        </w:rPr>
        <w:t>是其</w:t>
      </w:r>
      <w:r w:rsidR="002D311F">
        <w:rPr>
          <w:rFonts w:ascii="標楷體" w:eastAsia="標楷體" w:hAnsi="標楷體" w:hint="eastAsia"/>
          <w:bCs/>
          <w:color w:val="FF0000"/>
          <w:highlight w:val="yellow"/>
        </w:rPr>
        <w:t>「</w:t>
      </w:r>
      <w:r w:rsidRPr="00043A1E">
        <w:rPr>
          <w:rFonts w:ascii="Times New Roman" w:eastAsia="標楷體" w:hAnsi="Times New Roman" w:cs="Times New Roman"/>
          <w:kern w:val="2"/>
          <w:szCs w:val="22"/>
        </w:rPr>
        <w:t>性</w:t>
      </w:r>
      <w:r w:rsidR="002D311F">
        <w:rPr>
          <w:rFonts w:ascii="標楷體" w:eastAsia="標楷體" w:hAnsi="標楷體" w:hint="eastAsia"/>
          <w:bCs/>
          <w:color w:val="FF0000"/>
          <w:highlight w:val="yellow"/>
        </w:rPr>
        <w:t>」</w:t>
      </w:r>
      <w:r w:rsidRPr="00043A1E">
        <w:rPr>
          <w:rFonts w:ascii="Times New Roman" w:eastAsia="標楷體" w:hAnsi="Times New Roman" w:cs="Times New Roman"/>
          <w:kern w:val="2"/>
          <w:szCs w:val="22"/>
        </w:rPr>
        <w:t>。</w:t>
      </w:r>
      <w:r w:rsidR="002D311F">
        <w:rPr>
          <w:rFonts w:ascii="標楷體" w:eastAsia="標楷體" w:hAnsi="標楷體" w:hint="eastAsia"/>
          <w:bCs/>
          <w:color w:val="FF0000"/>
          <w:highlight w:val="yellow"/>
        </w:rPr>
        <w:t>「</w:t>
      </w:r>
      <w:r w:rsidRPr="00043A1E">
        <w:rPr>
          <w:rFonts w:ascii="Times New Roman" w:eastAsia="標楷體" w:hAnsi="Times New Roman" w:cs="Times New Roman"/>
          <w:b/>
          <w:kern w:val="2"/>
          <w:szCs w:val="22"/>
        </w:rPr>
        <w:t>性</w:t>
      </w:r>
      <w:r w:rsidR="002D311F">
        <w:rPr>
          <w:rFonts w:ascii="標楷體" w:eastAsia="標楷體" w:hAnsi="標楷體" w:hint="eastAsia"/>
          <w:bCs/>
          <w:color w:val="FF0000"/>
          <w:highlight w:val="yellow"/>
        </w:rPr>
        <w:t>」</w:t>
      </w:r>
      <w:r w:rsidR="002D311F">
        <w:rPr>
          <w:rFonts w:ascii="標楷體" w:eastAsia="標楷體" w:hAnsi="標楷體" w:hint="eastAsia"/>
          <w:color w:val="FF0000"/>
          <w:spacing w:val="-4"/>
          <w:highlight w:val="yellow"/>
        </w:rPr>
        <w:t>、</w:t>
      </w:r>
      <w:r w:rsidR="002D311F">
        <w:rPr>
          <w:rFonts w:ascii="標楷體" w:eastAsia="標楷體" w:hAnsi="標楷體" w:hint="eastAsia"/>
          <w:bCs/>
          <w:color w:val="FF0000"/>
          <w:highlight w:val="yellow"/>
        </w:rPr>
        <w:t>「</w:t>
      </w:r>
      <w:r w:rsidRPr="00043A1E">
        <w:rPr>
          <w:rFonts w:ascii="Times New Roman" w:eastAsia="標楷體" w:hAnsi="Times New Roman" w:cs="Times New Roman"/>
          <w:b/>
          <w:kern w:val="2"/>
          <w:szCs w:val="22"/>
        </w:rPr>
        <w:t>相</w:t>
      </w:r>
      <w:r w:rsidR="002D311F">
        <w:rPr>
          <w:rFonts w:ascii="標楷體" w:eastAsia="標楷體" w:hAnsi="標楷體" w:hint="eastAsia"/>
          <w:bCs/>
          <w:color w:val="FF0000"/>
          <w:highlight w:val="yellow"/>
        </w:rPr>
        <w:t>」</w:t>
      </w:r>
      <w:r w:rsidR="002D311F">
        <w:rPr>
          <w:rFonts w:ascii="標楷體" w:eastAsia="標楷體" w:hAnsi="標楷體" w:hint="eastAsia"/>
          <w:color w:val="FF0000"/>
          <w:highlight w:val="yellow"/>
        </w:rPr>
        <w:t>──</w:t>
      </w:r>
      <w:r w:rsidR="002D311F">
        <w:rPr>
          <w:rFonts w:ascii="標楷體" w:eastAsia="標楷體" w:hAnsi="標楷體" w:hint="eastAsia"/>
          <w:bCs/>
          <w:color w:val="FF0000"/>
          <w:highlight w:val="yellow"/>
        </w:rPr>
        <w:t>「</w:t>
      </w:r>
      <w:r w:rsidRPr="00043A1E">
        <w:rPr>
          <w:rFonts w:ascii="Times New Roman" w:eastAsia="標楷體" w:hAnsi="Times New Roman" w:cs="Times New Roman"/>
          <w:b/>
          <w:kern w:val="2"/>
          <w:szCs w:val="22"/>
        </w:rPr>
        <w:t>內</w:t>
      </w:r>
      <w:r w:rsidR="002D311F">
        <w:rPr>
          <w:rFonts w:ascii="標楷體" w:eastAsia="標楷體" w:hAnsi="標楷體" w:hint="eastAsia"/>
          <w:color w:val="FF0000"/>
          <w:spacing w:val="-4"/>
          <w:highlight w:val="yellow"/>
        </w:rPr>
        <w:t>、</w:t>
      </w:r>
      <w:r w:rsidRPr="00043A1E">
        <w:rPr>
          <w:rFonts w:ascii="Times New Roman" w:eastAsia="標楷體" w:hAnsi="Times New Roman" w:cs="Times New Roman"/>
          <w:b/>
          <w:kern w:val="2"/>
          <w:szCs w:val="22"/>
        </w:rPr>
        <w:t>外</w:t>
      </w:r>
      <w:r w:rsidR="002D311F">
        <w:rPr>
          <w:rFonts w:ascii="標楷體" w:eastAsia="標楷體" w:hAnsi="標楷體" w:hint="eastAsia"/>
          <w:color w:val="FF0000"/>
          <w:highlight w:val="yellow"/>
        </w:rPr>
        <w:t>，</w:t>
      </w:r>
      <w:r w:rsidRPr="00043A1E">
        <w:rPr>
          <w:rFonts w:ascii="Times New Roman" w:eastAsia="標楷體" w:hAnsi="Times New Roman" w:cs="Times New Roman"/>
          <w:b/>
          <w:kern w:val="2"/>
          <w:szCs w:val="22"/>
        </w:rPr>
        <w:t>遠</w:t>
      </w:r>
      <w:r w:rsidR="002D311F">
        <w:rPr>
          <w:rFonts w:ascii="標楷體" w:eastAsia="標楷體" w:hAnsi="標楷體" w:hint="eastAsia"/>
          <w:color w:val="FF0000"/>
          <w:spacing w:val="-4"/>
          <w:highlight w:val="yellow"/>
        </w:rPr>
        <w:t>、</w:t>
      </w:r>
      <w:r w:rsidRPr="00043A1E">
        <w:rPr>
          <w:rFonts w:ascii="Times New Roman" w:eastAsia="標楷體" w:hAnsi="Times New Roman" w:cs="Times New Roman"/>
          <w:b/>
          <w:kern w:val="2"/>
          <w:szCs w:val="22"/>
        </w:rPr>
        <w:t>近</w:t>
      </w:r>
      <w:r w:rsidR="002D311F">
        <w:rPr>
          <w:rFonts w:ascii="標楷體" w:eastAsia="標楷體" w:hAnsi="標楷體" w:hint="eastAsia"/>
          <w:color w:val="FF0000"/>
          <w:highlight w:val="yellow"/>
        </w:rPr>
        <w:t>，</w:t>
      </w:r>
      <w:r w:rsidRPr="00043A1E">
        <w:rPr>
          <w:rFonts w:ascii="Times New Roman" w:eastAsia="標楷體" w:hAnsi="Times New Roman" w:cs="Times New Roman"/>
          <w:b/>
          <w:kern w:val="2"/>
          <w:szCs w:val="22"/>
        </w:rPr>
        <w:t>初</w:t>
      </w:r>
      <w:r w:rsidR="002D311F">
        <w:rPr>
          <w:rFonts w:ascii="標楷體" w:eastAsia="標楷體" w:hAnsi="標楷體" w:hint="eastAsia"/>
          <w:color w:val="FF0000"/>
          <w:spacing w:val="-4"/>
          <w:highlight w:val="yellow"/>
        </w:rPr>
        <w:t>、</w:t>
      </w:r>
      <w:r w:rsidRPr="00043A1E">
        <w:rPr>
          <w:rFonts w:ascii="Times New Roman" w:eastAsia="標楷體" w:hAnsi="Times New Roman" w:cs="Times New Roman"/>
          <w:b/>
          <w:kern w:val="2"/>
          <w:szCs w:val="22"/>
        </w:rPr>
        <w:t>後</w:t>
      </w:r>
      <w:r w:rsidR="002D311F">
        <w:rPr>
          <w:rFonts w:ascii="標楷體" w:eastAsia="標楷體" w:hAnsi="標楷體" w:hint="eastAsia"/>
          <w:bCs/>
          <w:color w:val="FF0000"/>
          <w:highlight w:val="yellow"/>
        </w:rPr>
        <w:t>」</w:t>
      </w:r>
      <w:hyperlink w:history="1"/>
      <w:r w:rsidRPr="00043A1E">
        <w:rPr>
          <w:rStyle w:val="foot"/>
          <w:rFonts w:ascii="Times New Roman" w:eastAsia="標楷體" w:hAnsi="Times New Roman" w:cs="Times New Roman"/>
          <w:b/>
          <w:kern w:val="2"/>
          <w:szCs w:val="22"/>
        </w:rPr>
        <w:t>等，</w:t>
      </w:r>
      <w:r w:rsidRPr="00043A1E">
        <w:rPr>
          <w:rFonts w:ascii="Times New Roman" w:eastAsia="標楷體" w:hAnsi="Times New Roman" w:cs="Times New Roman"/>
          <w:b/>
          <w:kern w:val="2"/>
          <w:szCs w:val="22"/>
        </w:rPr>
        <w:t>有如是差別</w:t>
      </w:r>
      <w:r w:rsidRPr="002D311F">
        <w:rPr>
          <w:rFonts w:ascii="Times New Roman" w:eastAsia="標楷體" w:hAnsi="Times New Roman" w:cs="Times New Roman"/>
          <w:kern w:val="2"/>
          <w:szCs w:val="22"/>
          <w:highlight w:val="yellow"/>
        </w:rPr>
        <w:t>。</w:t>
      </w:r>
    </w:p>
  </w:footnote>
  <w:footnote w:id="686">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szCs w:val="22"/>
        </w:rPr>
        <w:t>《大智度論》卷</w:t>
      </w:r>
      <w:r w:rsidRPr="00761EF3">
        <w:rPr>
          <w:szCs w:val="22"/>
        </w:rPr>
        <w:t>67</w:t>
      </w:r>
      <w:r w:rsidR="005C0D01">
        <w:rPr>
          <w:rFonts w:hint="eastAsia"/>
          <w:color w:val="FF0000"/>
          <w:szCs w:val="22"/>
          <w:highlight w:val="yellow"/>
        </w:rPr>
        <w:t>釋</w:t>
      </w:r>
      <w:r w:rsidR="005C0D01" w:rsidRPr="005C0D01">
        <w:rPr>
          <w:rFonts w:hint="eastAsia"/>
          <w:color w:val="FF0000"/>
          <w:szCs w:val="22"/>
          <w:highlight w:val="yellow"/>
        </w:rPr>
        <w:t>〈</w:t>
      </w:r>
      <w:r w:rsidR="005C0D01" w:rsidRPr="005C0D01">
        <w:rPr>
          <w:rFonts w:hint="eastAsia"/>
          <w:color w:val="FF0000"/>
          <w:szCs w:val="22"/>
          <w:highlight w:val="yellow"/>
        </w:rPr>
        <w:t xml:space="preserve">45 </w:t>
      </w:r>
      <w:r w:rsidR="005C0D01" w:rsidRPr="005C0D01">
        <w:rPr>
          <w:rFonts w:hint="eastAsia"/>
          <w:color w:val="FF0000"/>
          <w:szCs w:val="22"/>
          <w:highlight w:val="yellow"/>
        </w:rPr>
        <w:t>歎信行品〉</w:t>
      </w:r>
      <w:r w:rsidRPr="00043A1E">
        <w:rPr>
          <w:szCs w:val="22"/>
        </w:rPr>
        <w:t>（大正</w:t>
      </w:r>
      <w:r w:rsidRPr="00761EF3">
        <w:rPr>
          <w:szCs w:val="22"/>
        </w:rPr>
        <w:t>25</w:t>
      </w:r>
      <w:r w:rsidRPr="00043A1E">
        <w:rPr>
          <w:szCs w:val="22"/>
        </w:rPr>
        <w:t>，</w:t>
      </w:r>
      <w:r w:rsidRPr="00761EF3">
        <w:rPr>
          <w:szCs w:val="22"/>
        </w:rPr>
        <w:t>528b24</w:t>
      </w:r>
      <w:r w:rsidRPr="00043A1E">
        <w:rPr>
          <w:szCs w:val="22"/>
        </w:rPr>
        <w:t>-</w:t>
      </w:r>
      <w:r w:rsidRPr="00761EF3">
        <w:rPr>
          <w:szCs w:val="22"/>
        </w:rPr>
        <w:t>28</w:t>
      </w:r>
      <w:r w:rsidRPr="00043A1E">
        <w:rPr>
          <w:szCs w:val="22"/>
        </w:rPr>
        <w:t>）：</w:t>
      </w:r>
    </w:p>
    <w:p w:rsidR="00157EF6" w:rsidRPr="00043A1E" w:rsidRDefault="00157EF6" w:rsidP="00AA120F">
      <w:pPr>
        <w:snapToGrid w:val="0"/>
        <w:ind w:leftChars="75" w:left="840" w:hangingChars="300" w:hanging="660"/>
        <w:jc w:val="both"/>
        <w:rPr>
          <w:rFonts w:ascii="Times New Roman" w:eastAsia="標楷體" w:hAnsi="Times New Roman"/>
          <w:sz w:val="22"/>
          <w:szCs w:val="22"/>
        </w:rPr>
      </w:pPr>
      <w:r w:rsidRPr="00043A1E">
        <w:rPr>
          <w:rFonts w:ascii="Times New Roman" w:eastAsia="標楷體" w:hAnsi="Times New Roman"/>
          <w:sz w:val="22"/>
          <w:szCs w:val="22"/>
        </w:rPr>
        <w:t>問曰：地是堅相，何以言</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性</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w:t>
      </w:r>
    </w:p>
    <w:p w:rsidR="00157EF6" w:rsidRPr="00043A1E" w:rsidRDefault="00157EF6" w:rsidP="00AA120F">
      <w:pPr>
        <w:snapToGrid w:val="0"/>
        <w:ind w:leftChars="75" w:left="840" w:hangingChars="300" w:hanging="660"/>
        <w:jc w:val="both"/>
        <w:rPr>
          <w:rFonts w:ascii="Times New Roman" w:hAnsi="Times New Roman"/>
          <w:sz w:val="22"/>
          <w:szCs w:val="22"/>
        </w:rPr>
      </w:pPr>
      <w:r w:rsidRPr="00043A1E">
        <w:rPr>
          <w:rFonts w:ascii="Times New Roman" w:eastAsia="標楷體" w:hAnsi="Times New Roman"/>
          <w:sz w:val="22"/>
          <w:szCs w:val="22"/>
        </w:rPr>
        <w:t>答曰：</w:t>
      </w:r>
      <w:r w:rsidRPr="00043A1E">
        <w:rPr>
          <w:rFonts w:ascii="Times New Roman" w:eastAsia="標楷體" w:hAnsi="Times New Roman"/>
          <w:b/>
          <w:sz w:val="22"/>
          <w:szCs w:val="22"/>
        </w:rPr>
        <w:t>是</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b/>
          <w:sz w:val="22"/>
          <w:szCs w:val="22"/>
        </w:rPr>
        <w:t>相</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b/>
          <w:sz w:val="22"/>
          <w:szCs w:val="22"/>
        </w:rPr>
        <w:t>積習成</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b/>
          <w:sz w:val="22"/>
          <w:szCs w:val="22"/>
        </w:rPr>
        <w:t>性</w:t>
      </w:r>
      <w:r w:rsidR="002D311F">
        <w:rPr>
          <w:rFonts w:ascii="標楷體" w:eastAsia="標楷體" w:hAnsi="標楷體" w:hint="eastAsia"/>
          <w:bCs/>
          <w:color w:val="FF0000"/>
          <w:kern w:val="0"/>
          <w:sz w:val="22"/>
          <w:highlight w:val="yellow"/>
        </w:rPr>
        <w:t>」</w:t>
      </w:r>
      <w:r w:rsidR="002D311F">
        <w:rPr>
          <w:rFonts w:ascii="標楷體" w:eastAsia="標楷體" w:hAnsi="標楷體" w:hint="eastAsia"/>
          <w:color w:val="FF0000"/>
          <w:spacing w:val="-4"/>
          <w:kern w:val="0"/>
          <w:sz w:val="22"/>
          <w:highlight w:val="yellow"/>
        </w:rPr>
        <w:t>；</w:t>
      </w:r>
      <w:r w:rsidRPr="00043A1E">
        <w:rPr>
          <w:rFonts w:ascii="Times New Roman" w:eastAsia="標楷體" w:hAnsi="Times New Roman"/>
          <w:b/>
          <w:sz w:val="22"/>
          <w:szCs w:val="22"/>
        </w:rPr>
        <w:t>譬如人瞋，日習不已，則成惡性</w:t>
      </w:r>
      <w:r w:rsidRPr="00043A1E">
        <w:rPr>
          <w:rFonts w:ascii="Times New Roman" w:eastAsia="標楷體" w:hAnsi="Times New Roman"/>
          <w:sz w:val="22"/>
          <w:szCs w:val="22"/>
        </w:rPr>
        <w:t>。或</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性</w:t>
      </w:r>
      <w:r w:rsidR="002D311F">
        <w:rPr>
          <w:rFonts w:ascii="標楷體" w:eastAsia="標楷體" w:hAnsi="標楷體" w:hint="eastAsia"/>
          <w:bCs/>
          <w:color w:val="FF0000"/>
          <w:kern w:val="0"/>
          <w:sz w:val="22"/>
          <w:highlight w:val="yellow"/>
        </w:rPr>
        <w:t>」</w:t>
      </w:r>
      <w:r w:rsidR="002D311F">
        <w:rPr>
          <w:rFonts w:ascii="標楷體" w:eastAsia="標楷體" w:hAnsi="標楷體" w:hint="eastAsia"/>
          <w:color w:val="FF0000"/>
          <w:spacing w:val="-4"/>
          <w:kern w:val="0"/>
          <w:sz w:val="22"/>
          <w:highlight w:val="yellow"/>
        </w:rPr>
        <w:t>、</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相</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異，如</w:t>
      </w:r>
      <w:r w:rsidR="002D311F">
        <w:rPr>
          <w:rFonts w:ascii="標楷體" w:eastAsia="標楷體" w:hAnsi="標楷體" w:hint="eastAsia"/>
          <w:color w:val="FF0000"/>
          <w:spacing w:val="-4"/>
          <w:kern w:val="0"/>
          <w:sz w:val="22"/>
          <w:highlight w:val="yellow"/>
        </w:rPr>
        <w:t>：</w:t>
      </w:r>
      <w:r w:rsidRPr="00043A1E">
        <w:rPr>
          <w:rFonts w:ascii="Times New Roman" w:eastAsia="標楷體" w:hAnsi="Times New Roman"/>
          <w:sz w:val="22"/>
          <w:szCs w:val="22"/>
        </w:rPr>
        <w:t>見煙知火，煙是火相，而非火也。或</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相</w:t>
      </w:r>
      <w:r w:rsidR="002D311F">
        <w:rPr>
          <w:rFonts w:ascii="標楷體" w:eastAsia="標楷體" w:hAnsi="標楷體" w:hint="eastAsia"/>
          <w:bCs/>
          <w:color w:val="FF0000"/>
          <w:kern w:val="0"/>
          <w:sz w:val="22"/>
          <w:highlight w:val="yellow"/>
        </w:rPr>
        <w:t>」</w:t>
      </w:r>
      <w:r w:rsidR="002D311F">
        <w:rPr>
          <w:rFonts w:ascii="標楷體" w:eastAsia="標楷體" w:hAnsi="標楷體" w:hint="eastAsia"/>
          <w:color w:val="FF0000"/>
          <w:spacing w:val="-4"/>
          <w:kern w:val="0"/>
          <w:sz w:val="22"/>
          <w:highlight w:val="yellow"/>
        </w:rPr>
        <w:t>、</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性</w:t>
      </w:r>
      <w:r w:rsidR="002D311F">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不異，如</w:t>
      </w:r>
      <w:r w:rsidR="002D311F">
        <w:rPr>
          <w:rFonts w:ascii="標楷體" w:eastAsia="標楷體" w:hAnsi="標楷體" w:hint="eastAsia"/>
          <w:color w:val="FF0000"/>
          <w:spacing w:val="-4"/>
          <w:kern w:val="0"/>
          <w:sz w:val="22"/>
          <w:highlight w:val="yellow"/>
        </w:rPr>
        <w:t>：</w:t>
      </w:r>
      <w:r w:rsidRPr="00043A1E">
        <w:rPr>
          <w:rFonts w:ascii="Times New Roman" w:eastAsia="標楷體" w:hAnsi="Times New Roman"/>
          <w:sz w:val="22"/>
          <w:szCs w:val="22"/>
        </w:rPr>
        <w:t>熱是火相，亦是火性。</w:t>
      </w:r>
    </w:p>
  </w:footnote>
  <w:footnote w:id="687">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szCs w:val="22"/>
        </w:rPr>
        <w:t>《大方廣佛華嚴經》卷</w:t>
      </w:r>
      <w:r w:rsidRPr="00761EF3">
        <w:rPr>
          <w:szCs w:val="22"/>
        </w:rPr>
        <w:t>10</w:t>
      </w:r>
      <w:r w:rsidRPr="00043A1E">
        <w:rPr>
          <w:szCs w:val="22"/>
        </w:rPr>
        <w:t>〈</w:t>
      </w:r>
      <w:r w:rsidRPr="00761EF3">
        <w:rPr>
          <w:szCs w:val="22"/>
        </w:rPr>
        <w:t>14</w:t>
      </w:r>
      <w:r w:rsidRPr="00043A1E">
        <w:rPr>
          <w:szCs w:val="22"/>
        </w:rPr>
        <w:t xml:space="preserve"> </w:t>
      </w:r>
      <w:r w:rsidRPr="00043A1E">
        <w:rPr>
          <w:szCs w:val="22"/>
        </w:rPr>
        <w:t>明法品〉（大正</w:t>
      </w:r>
      <w:r w:rsidRPr="00761EF3">
        <w:rPr>
          <w:szCs w:val="22"/>
        </w:rPr>
        <w:t>9</w:t>
      </w:r>
      <w:r w:rsidRPr="00043A1E">
        <w:rPr>
          <w:szCs w:val="22"/>
        </w:rPr>
        <w:t>，</w:t>
      </w:r>
      <w:r w:rsidRPr="00761EF3">
        <w:rPr>
          <w:szCs w:val="22"/>
        </w:rPr>
        <w:t>460c5</w:t>
      </w:r>
      <w:r w:rsidRPr="00043A1E">
        <w:rPr>
          <w:szCs w:val="22"/>
        </w:rPr>
        <w:t>-</w:t>
      </w:r>
      <w:r w:rsidRPr="00761EF3">
        <w:rPr>
          <w:szCs w:val="22"/>
        </w:rPr>
        <w:t>14</w:t>
      </w:r>
      <w:r w:rsidRPr="00043A1E">
        <w:rPr>
          <w:szCs w:val="22"/>
        </w:rPr>
        <w:t>）：</w:t>
      </w:r>
    </w:p>
    <w:p w:rsidR="00157EF6" w:rsidRPr="00043A1E" w:rsidRDefault="00157EF6" w:rsidP="00AA120F">
      <w:pPr>
        <w:pStyle w:val="a5"/>
        <w:ind w:leftChars="75" w:left="180"/>
        <w:jc w:val="both"/>
        <w:rPr>
          <w:szCs w:val="22"/>
        </w:rPr>
      </w:pPr>
      <w:r w:rsidRPr="00043A1E">
        <w:rPr>
          <w:rFonts w:eastAsia="標楷體"/>
          <w:szCs w:val="22"/>
        </w:rPr>
        <w:t>佛子！云何菩薩摩訶薩隨其所應而化眾生？此菩薩知諸眾生所宜方便</w:t>
      </w:r>
      <w:r w:rsidRPr="00043A1E">
        <w:rPr>
          <w:rFonts w:eastAsia="標楷體" w:hint="eastAsia"/>
          <w:szCs w:val="22"/>
        </w:rPr>
        <w:t>，</w:t>
      </w:r>
      <w:r w:rsidRPr="00043A1E">
        <w:rPr>
          <w:rFonts w:eastAsia="標楷體"/>
          <w:szCs w:val="22"/>
        </w:rPr>
        <w:t>知諸眾生種種因緣</w:t>
      </w:r>
      <w:r w:rsidRPr="00043A1E">
        <w:rPr>
          <w:rFonts w:eastAsia="標楷體" w:hint="eastAsia"/>
          <w:szCs w:val="22"/>
        </w:rPr>
        <w:t>，</w:t>
      </w:r>
      <w:r w:rsidRPr="00043A1E">
        <w:rPr>
          <w:rFonts w:eastAsia="標楷體"/>
          <w:szCs w:val="22"/>
        </w:rPr>
        <w:t>知諸眾生心心所念；知心念已，教對治法</w:t>
      </w:r>
      <w:r w:rsidR="002D311F">
        <w:rPr>
          <w:rFonts w:ascii="標楷體" w:eastAsia="標楷體" w:hAnsi="標楷體" w:hint="eastAsia"/>
          <w:color w:val="FF0000"/>
          <w:kern w:val="0"/>
          <w:highlight w:val="yellow"/>
        </w:rPr>
        <w:t>──</w:t>
      </w:r>
      <w:r w:rsidRPr="00043A1E">
        <w:rPr>
          <w:rFonts w:eastAsia="標楷體"/>
          <w:b/>
          <w:szCs w:val="22"/>
        </w:rPr>
        <w:t>貪欲多者，教不淨觀；瞋恚多者，教大慈觀；愚癡多者，教令分別一切諸法</w:t>
      </w:r>
      <w:r w:rsidRPr="00043A1E">
        <w:rPr>
          <w:rFonts w:eastAsia="標楷體"/>
          <w:szCs w:val="22"/>
        </w:rPr>
        <w:t>；三毒等分，教以具足勝智法門；樂生死者，教三種苦；著諸有者，教空法門；懈怠眾生，教行精進；我慢眾生，教平等觀；心諂曲者，教菩薩心寂靜非有</w:t>
      </w:r>
      <w:r w:rsidRPr="00043A1E">
        <w:rPr>
          <w:rFonts w:eastAsia="標楷體" w:hint="eastAsia"/>
          <w:szCs w:val="22"/>
        </w:rPr>
        <w:t>。</w:t>
      </w:r>
      <w:r w:rsidRPr="00043A1E">
        <w:rPr>
          <w:rFonts w:eastAsia="標楷體"/>
          <w:szCs w:val="22"/>
        </w:rPr>
        <w:t>如是一切諸煩惱患，教以無量對治法門。</w:t>
      </w:r>
    </w:p>
  </w:footnote>
  <w:footnote w:id="688">
    <w:p w:rsidR="00157EF6" w:rsidRPr="00043A1E" w:rsidRDefault="00157EF6" w:rsidP="00AA120F">
      <w:pPr>
        <w:pStyle w:val="a5"/>
        <w:spacing w:line="0" w:lineRule="atLeast"/>
        <w:ind w:left="726" w:hangingChars="330" w:hanging="726"/>
        <w:jc w:val="both"/>
        <w:rPr>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szCs w:val="22"/>
        </w:rPr>
        <w:t>）《大智度論》卷</w:t>
      </w:r>
      <w:r w:rsidRPr="00761EF3">
        <w:rPr>
          <w:szCs w:val="22"/>
        </w:rPr>
        <w:t>31</w:t>
      </w:r>
      <w:r w:rsidR="003B68A0">
        <w:rPr>
          <w:rFonts w:hint="eastAsia"/>
          <w:color w:val="FF0000"/>
          <w:szCs w:val="22"/>
          <w:highlight w:val="yellow"/>
        </w:rPr>
        <w:t>釋〈</w:t>
      </w:r>
      <w:r w:rsidR="003B68A0">
        <w:rPr>
          <w:color w:val="FF0000"/>
          <w:szCs w:val="22"/>
          <w:highlight w:val="yellow"/>
        </w:rPr>
        <w:t xml:space="preserve">1 </w:t>
      </w:r>
      <w:r w:rsidR="003B68A0">
        <w:rPr>
          <w:rFonts w:hint="eastAsia"/>
          <w:color w:val="FF0000"/>
          <w:szCs w:val="22"/>
          <w:highlight w:val="yellow"/>
        </w:rPr>
        <w:t>序品〉</w:t>
      </w:r>
      <w:r w:rsidRPr="00043A1E">
        <w:rPr>
          <w:szCs w:val="22"/>
        </w:rPr>
        <w:t>（大正</w:t>
      </w:r>
      <w:r w:rsidRPr="00761EF3">
        <w:rPr>
          <w:szCs w:val="22"/>
        </w:rPr>
        <w:t>25</w:t>
      </w:r>
      <w:r w:rsidRPr="00043A1E">
        <w:rPr>
          <w:szCs w:val="22"/>
        </w:rPr>
        <w:t>，</w:t>
      </w:r>
      <w:r w:rsidRPr="00761EF3">
        <w:rPr>
          <w:szCs w:val="22"/>
        </w:rPr>
        <w:t>292c4</w:t>
      </w:r>
      <w:r w:rsidRPr="00043A1E">
        <w:rPr>
          <w:szCs w:val="22"/>
        </w:rPr>
        <w:t>-</w:t>
      </w:r>
      <w:r w:rsidRPr="00761EF3">
        <w:rPr>
          <w:szCs w:val="22"/>
        </w:rPr>
        <w:t>5</w:t>
      </w:r>
      <w:r w:rsidRPr="00043A1E">
        <w:rPr>
          <w:szCs w:val="22"/>
        </w:rPr>
        <w:t>）。</w:t>
      </w:r>
    </w:p>
    <w:p w:rsidR="00157EF6" w:rsidRPr="00043A1E" w:rsidRDefault="00157EF6" w:rsidP="00AA120F">
      <w:pPr>
        <w:pStyle w:val="a5"/>
        <w:ind w:leftChars="80" w:left="731" w:hangingChars="245" w:hanging="539"/>
        <w:jc w:val="both"/>
        <w:rPr>
          <w:szCs w:val="22"/>
        </w:rPr>
      </w:pPr>
      <w:r w:rsidRPr="00043A1E">
        <w:rPr>
          <w:szCs w:val="22"/>
        </w:rPr>
        <w:t>（</w:t>
      </w:r>
      <w:r w:rsidRPr="00761EF3">
        <w:rPr>
          <w:szCs w:val="22"/>
        </w:rPr>
        <w:t>2</w:t>
      </w:r>
      <w:r w:rsidRPr="00043A1E">
        <w:rPr>
          <w:szCs w:val="22"/>
        </w:rPr>
        <w:t>）《十力經》，參見《雜阿含經》卷</w:t>
      </w:r>
      <w:r w:rsidRPr="00761EF3">
        <w:rPr>
          <w:szCs w:val="22"/>
        </w:rPr>
        <w:t>26</w:t>
      </w:r>
      <w:r w:rsidRPr="00043A1E">
        <w:rPr>
          <w:szCs w:val="22"/>
        </w:rPr>
        <w:t>（</w:t>
      </w:r>
      <w:r w:rsidRPr="00761EF3">
        <w:rPr>
          <w:szCs w:val="22"/>
        </w:rPr>
        <w:t>684</w:t>
      </w:r>
      <w:r w:rsidRPr="00043A1E">
        <w:rPr>
          <w:szCs w:val="22"/>
        </w:rPr>
        <w:t>經）（大正</w:t>
      </w:r>
      <w:r w:rsidRPr="00761EF3">
        <w:rPr>
          <w:szCs w:val="22"/>
        </w:rPr>
        <w:t>2</w:t>
      </w:r>
      <w:r w:rsidRPr="00043A1E">
        <w:rPr>
          <w:szCs w:val="22"/>
        </w:rPr>
        <w:t>，</w:t>
      </w:r>
      <w:r w:rsidRPr="00761EF3">
        <w:rPr>
          <w:szCs w:val="22"/>
        </w:rPr>
        <w:t>186c14</w:t>
      </w:r>
      <w:r w:rsidRPr="00043A1E">
        <w:rPr>
          <w:szCs w:val="22"/>
        </w:rPr>
        <w:t>-</w:t>
      </w:r>
      <w:r w:rsidRPr="00761EF3">
        <w:rPr>
          <w:szCs w:val="22"/>
        </w:rPr>
        <w:t>187b5</w:t>
      </w:r>
      <w:r w:rsidRPr="00043A1E">
        <w:rPr>
          <w:szCs w:val="22"/>
        </w:rPr>
        <w:t>）。如來十力中的第六力是「世間眾生種種諸界如實知」，如《雜阿含經》卷</w:t>
      </w:r>
      <w:r w:rsidRPr="00761EF3">
        <w:rPr>
          <w:szCs w:val="22"/>
        </w:rPr>
        <w:t>26</w:t>
      </w:r>
      <w:r w:rsidRPr="00043A1E">
        <w:rPr>
          <w:szCs w:val="22"/>
        </w:rPr>
        <w:t>（</w:t>
      </w:r>
      <w:r w:rsidRPr="00761EF3">
        <w:rPr>
          <w:szCs w:val="22"/>
        </w:rPr>
        <w:t>684</w:t>
      </w:r>
      <w:r w:rsidRPr="00043A1E">
        <w:rPr>
          <w:szCs w:val="22"/>
        </w:rPr>
        <w:t>經）（大正</w:t>
      </w:r>
      <w:r w:rsidRPr="00761EF3">
        <w:rPr>
          <w:szCs w:val="22"/>
        </w:rPr>
        <w:t>2</w:t>
      </w:r>
      <w:r w:rsidRPr="00043A1E">
        <w:rPr>
          <w:szCs w:val="22"/>
        </w:rPr>
        <w:t>，</w:t>
      </w:r>
      <w:r w:rsidRPr="00761EF3">
        <w:rPr>
          <w:szCs w:val="22"/>
        </w:rPr>
        <w:t>187a4</w:t>
      </w:r>
      <w:r w:rsidRPr="00043A1E">
        <w:rPr>
          <w:szCs w:val="22"/>
        </w:rPr>
        <w:t>-</w:t>
      </w:r>
      <w:r w:rsidRPr="00761EF3">
        <w:rPr>
          <w:szCs w:val="22"/>
        </w:rPr>
        <w:t>7</w:t>
      </w:r>
      <w:r w:rsidRPr="00043A1E">
        <w:rPr>
          <w:szCs w:val="22"/>
        </w:rPr>
        <w:t>）云：「</w:t>
      </w:r>
      <w:r w:rsidRPr="00043A1E">
        <w:rPr>
          <w:rFonts w:eastAsia="標楷體"/>
          <w:szCs w:val="22"/>
        </w:rPr>
        <w:t>復次，如來悉知世間眾生種種諸界如實知，是名第六如來力。若於此力成就</w:t>
      </w:r>
      <w:r w:rsidR="002D311F">
        <w:rPr>
          <w:rFonts w:ascii="標楷體" w:eastAsia="標楷體" w:hAnsi="標楷體" w:hint="eastAsia"/>
          <w:color w:val="FF0000"/>
          <w:kern w:val="0"/>
          <w:highlight w:val="yellow"/>
        </w:rPr>
        <w:t>，</w:t>
      </w:r>
      <w:r w:rsidRPr="00043A1E">
        <w:rPr>
          <w:rFonts w:eastAsia="標楷體"/>
          <w:szCs w:val="22"/>
        </w:rPr>
        <w:t>如來、應、正</w:t>
      </w:r>
      <w:r w:rsidRPr="002D311F">
        <w:rPr>
          <w:rFonts w:eastAsia="標楷體"/>
          <w:szCs w:val="22"/>
          <w:highlight w:val="yellow"/>
        </w:rPr>
        <w:t>覺得</w:t>
      </w:r>
      <w:r w:rsidRPr="00043A1E">
        <w:rPr>
          <w:rFonts w:eastAsia="標楷體"/>
          <w:szCs w:val="22"/>
        </w:rPr>
        <w:t>先佛最勝處智，能轉梵輪，於大眾中師子吼而吼。</w:t>
      </w:r>
      <w:r w:rsidRPr="00043A1E">
        <w:rPr>
          <w:szCs w:val="22"/>
        </w:rPr>
        <w:t>」</w:t>
      </w:r>
    </w:p>
    <w:p w:rsidR="00157EF6" w:rsidRPr="00043A1E" w:rsidRDefault="00157EF6" w:rsidP="00AA120F">
      <w:pPr>
        <w:pStyle w:val="a5"/>
        <w:ind w:leftChars="80" w:left="731" w:hangingChars="245" w:hanging="539"/>
        <w:jc w:val="both"/>
        <w:rPr>
          <w:szCs w:val="22"/>
        </w:rPr>
      </w:pPr>
      <w:r w:rsidRPr="00043A1E">
        <w:rPr>
          <w:szCs w:val="22"/>
        </w:rPr>
        <w:t>（</w:t>
      </w:r>
      <w:r w:rsidRPr="00761EF3">
        <w:rPr>
          <w:szCs w:val="22"/>
        </w:rPr>
        <w:t>3</w:t>
      </w:r>
      <w:r w:rsidRPr="00043A1E">
        <w:rPr>
          <w:szCs w:val="22"/>
        </w:rPr>
        <w:t>）《摩訶</w:t>
      </w:r>
      <w:r w:rsidRPr="00043A1E">
        <w:rPr>
          <w:rFonts w:cs="Times Ext Roman"/>
          <w:szCs w:val="22"/>
        </w:rPr>
        <w:t>般若</w:t>
      </w:r>
      <w:r w:rsidRPr="00043A1E">
        <w:rPr>
          <w:szCs w:val="22"/>
        </w:rPr>
        <w:t>波羅蜜經》卷</w:t>
      </w:r>
      <w:r w:rsidRPr="00761EF3">
        <w:rPr>
          <w:szCs w:val="22"/>
        </w:rPr>
        <w:t>5</w:t>
      </w:r>
      <w:r w:rsidRPr="00043A1E">
        <w:rPr>
          <w:szCs w:val="22"/>
        </w:rPr>
        <w:t>〈</w:t>
      </w:r>
      <w:r w:rsidRPr="00761EF3">
        <w:rPr>
          <w:szCs w:val="22"/>
        </w:rPr>
        <w:t>19</w:t>
      </w:r>
      <w:r w:rsidRPr="00043A1E">
        <w:rPr>
          <w:szCs w:val="22"/>
        </w:rPr>
        <w:t xml:space="preserve"> </w:t>
      </w:r>
      <w:r w:rsidRPr="00043A1E">
        <w:rPr>
          <w:szCs w:val="22"/>
        </w:rPr>
        <w:t>廣乘品〉（大正</w:t>
      </w:r>
      <w:r w:rsidRPr="00761EF3">
        <w:rPr>
          <w:szCs w:val="22"/>
        </w:rPr>
        <w:t>8</w:t>
      </w:r>
      <w:r w:rsidRPr="00043A1E">
        <w:rPr>
          <w:szCs w:val="22"/>
        </w:rPr>
        <w:t>，</w:t>
      </w:r>
      <w:r w:rsidRPr="00761EF3">
        <w:rPr>
          <w:szCs w:val="22"/>
        </w:rPr>
        <w:t>255a28</w:t>
      </w:r>
      <w:r w:rsidRPr="00043A1E">
        <w:rPr>
          <w:szCs w:val="22"/>
        </w:rPr>
        <w:t>-</w:t>
      </w:r>
      <w:r w:rsidRPr="00761EF3">
        <w:rPr>
          <w:szCs w:val="22"/>
        </w:rPr>
        <w:t>b22</w:t>
      </w:r>
      <w:r w:rsidRPr="00043A1E">
        <w:rPr>
          <w:szCs w:val="22"/>
        </w:rPr>
        <w:t>）：</w:t>
      </w:r>
    </w:p>
    <w:p w:rsidR="00157EF6" w:rsidRPr="00043A1E" w:rsidRDefault="00157EF6" w:rsidP="00AA120F">
      <w:pPr>
        <w:pStyle w:val="a5"/>
        <w:ind w:leftChars="305" w:left="732"/>
        <w:jc w:val="both"/>
        <w:rPr>
          <w:szCs w:val="22"/>
        </w:rPr>
      </w:pPr>
      <w:r w:rsidRPr="00043A1E">
        <w:rPr>
          <w:rFonts w:eastAsia="標楷體"/>
          <w:szCs w:val="22"/>
        </w:rPr>
        <w:t>所謂</w:t>
      </w:r>
      <w:r w:rsidR="002D311F">
        <w:rPr>
          <w:rFonts w:ascii="標楷體" w:eastAsia="標楷體" w:hAnsi="標楷體" w:hint="eastAsia"/>
          <w:bCs/>
          <w:color w:val="FF0000"/>
          <w:kern w:val="0"/>
          <w:highlight w:val="yellow"/>
        </w:rPr>
        <w:t>「</w:t>
      </w:r>
      <w:r w:rsidRPr="00043A1E">
        <w:rPr>
          <w:rFonts w:eastAsia="標楷體"/>
          <w:szCs w:val="22"/>
        </w:rPr>
        <w:t>佛十力</w:t>
      </w:r>
      <w:r w:rsidR="002D311F">
        <w:rPr>
          <w:rFonts w:ascii="標楷體" w:eastAsia="標楷體" w:hAnsi="標楷體" w:hint="eastAsia"/>
          <w:bCs/>
          <w:color w:val="FF0000"/>
          <w:kern w:val="0"/>
          <w:highlight w:val="yellow"/>
        </w:rPr>
        <w:t>」</w:t>
      </w:r>
      <w:r w:rsidR="002D311F">
        <w:rPr>
          <w:rFonts w:ascii="標楷體" w:eastAsia="標楷體" w:hAnsi="標楷體" w:hint="eastAsia"/>
          <w:color w:val="FF0000"/>
          <w:kern w:val="0"/>
          <w:highlight w:val="yellow"/>
        </w:rPr>
        <w:t>。</w:t>
      </w:r>
      <w:r w:rsidRPr="00043A1E">
        <w:rPr>
          <w:rFonts w:eastAsia="標楷體"/>
          <w:szCs w:val="22"/>
        </w:rPr>
        <w:t>何等十？佛如實知一切法是處不是處相，一力也。如實知他眾生過去、未來、現在諸業諸受法，知造業處，知因緣，知報，二力也。如實知諸</w:t>
      </w:r>
      <w:r w:rsidR="002D311F">
        <w:rPr>
          <w:rFonts w:ascii="標楷體" w:eastAsia="標楷體" w:hAnsi="標楷體" w:hint="eastAsia"/>
          <w:bCs/>
          <w:color w:val="FF0000"/>
          <w:kern w:val="0"/>
          <w:highlight w:val="yellow"/>
        </w:rPr>
        <w:t>「</w:t>
      </w:r>
      <w:r w:rsidRPr="00043A1E">
        <w:rPr>
          <w:rFonts w:eastAsia="標楷體"/>
          <w:szCs w:val="22"/>
        </w:rPr>
        <w:t>禪、解脫、三昧、定</w:t>
      </w:r>
      <w:r w:rsidR="002D311F">
        <w:rPr>
          <w:rFonts w:ascii="標楷體" w:eastAsia="標楷體" w:hAnsi="標楷體" w:hint="eastAsia"/>
          <w:bCs/>
          <w:color w:val="FF0000"/>
          <w:kern w:val="0"/>
          <w:highlight w:val="yellow"/>
        </w:rPr>
        <w:t>」</w:t>
      </w:r>
      <w:r w:rsidRPr="00043A1E">
        <w:rPr>
          <w:rFonts w:eastAsia="標楷體"/>
          <w:szCs w:val="22"/>
        </w:rPr>
        <w:t>垢</w:t>
      </w:r>
      <w:r w:rsidR="002D311F">
        <w:rPr>
          <w:rFonts w:ascii="標楷體" w:eastAsia="標楷體" w:hAnsi="標楷體" w:hint="eastAsia"/>
          <w:color w:val="FF0000"/>
          <w:kern w:val="0"/>
          <w:highlight w:val="yellow"/>
        </w:rPr>
        <w:t>.</w:t>
      </w:r>
      <w:r w:rsidRPr="00043A1E">
        <w:rPr>
          <w:rFonts w:eastAsia="標楷體"/>
          <w:szCs w:val="22"/>
        </w:rPr>
        <w:t>淨分別相，三力也。如實知他眾生諸根上</w:t>
      </w:r>
      <w:r w:rsidR="002D311F">
        <w:rPr>
          <w:rFonts w:ascii="標楷體" w:eastAsia="標楷體" w:hAnsi="標楷體" w:hint="eastAsia"/>
          <w:color w:val="FF0000"/>
          <w:kern w:val="0"/>
          <w:highlight w:val="yellow"/>
        </w:rPr>
        <w:t>.</w:t>
      </w:r>
      <w:r w:rsidRPr="00043A1E">
        <w:rPr>
          <w:rFonts w:eastAsia="標楷體"/>
          <w:szCs w:val="22"/>
        </w:rPr>
        <w:t>下相，四力也。如實知他眾生種種欲解，五力也。</w:t>
      </w:r>
      <w:r w:rsidRPr="00043A1E">
        <w:rPr>
          <w:rFonts w:eastAsia="標楷體"/>
          <w:b/>
          <w:szCs w:val="22"/>
        </w:rPr>
        <w:t>如實知世間種種無數性，六力也</w:t>
      </w:r>
      <w:r w:rsidRPr="00043A1E">
        <w:rPr>
          <w:rFonts w:eastAsia="標楷體"/>
          <w:szCs w:val="22"/>
        </w:rPr>
        <w:t>。如實知一切至處道，七力也。知種種宿命有相有因緣。</w:t>
      </w:r>
      <w:r w:rsidRPr="00A6163F">
        <w:rPr>
          <w:rFonts w:ascii="標楷體" w:eastAsia="標楷體" w:hAnsi="標楷體"/>
          <w:color w:val="FF0000"/>
          <w:szCs w:val="22"/>
          <w:shd w:val="pct15" w:color="auto" w:fill="FFFFFF"/>
        </w:rPr>
        <w:t>……</w:t>
      </w:r>
      <w:r w:rsidRPr="00043A1E">
        <w:rPr>
          <w:rFonts w:eastAsia="標楷體"/>
          <w:szCs w:val="22"/>
        </w:rPr>
        <w:t>八力也。佛天眼淨過諸天眼，</w:t>
      </w:r>
      <w:r w:rsidRPr="00A6163F">
        <w:rPr>
          <w:rFonts w:ascii="標楷體" w:eastAsia="標楷體" w:hAnsi="標楷體"/>
          <w:color w:val="FF0000"/>
          <w:szCs w:val="22"/>
          <w:shd w:val="pct15" w:color="auto" w:fill="FFFFFF"/>
        </w:rPr>
        <w:t>……</w:t>
      </w:r>
      <w:r w:rsidRPr="00043A1E">
        <w:rPr>
          <w:rFonts w:eastAsia="標楷體"/>
          <w:szCs w:val="22"/>
        </w:rPr>
        <w:t>九力也。佛如實知諸漏盡故，</w:t>
      </w:r>
      <w:r w:rsidRPr="00A6163F">
        <w:rPr>
          <w:rFonts w:ascii="標楷體" w:eastAsia="標楷體" w:hAnsi="標楷體"/>
          <w:color w:val="FF0000"/>
          <w:szCs w:val="22"/>
          <w:shd w:val="pct15" w:color="auto" w:fill="FFFFFF"/>
        </w:rPr>
        <w:t>……</w:t>
      </w:r>
      <w:r w:rsidRPr="00043A1E">
        <w:rPr>
          <w:rFonts w:eastAsia="標楷體"/>
          <w:szCs w:val="22"/>
        </w:rPr>
        <w:t>十力也。</w:t>
      </w:r>
      <w:r w:rsidRPr="00043A1E">
        <w:rPr>
          <w:szCs w:val="22"/>
        </w:rPr>
        <w:t>」</w:t>
      </w:r>
    </w:p>
    <w:p w:rsidR="00157EF6" w:rsidRPr="00043A1E" w:rsidRDefault="00157EF6" w:rsidP="00AA120F">
      <w:pPr>
        <w:pStyle w:val="a5"/>
        <w:ind w:leftChars="80" w:left="731" w:hangingChars="245" w:hanging="539"/>
        <w:jc w:val="both"/>
        <w:rPr>
          <w:szCs w:val="22"/>
        </w:rPr>
      </w:pPr>
      <w:r w:rsidRPr="00043A1E">
        <w:rPr>
          <w:szCs w:val="22"/>
        </w:rPr>
        <w:t>（</w:t>
      </w:r>
      <w:r w:rsidRPr="00761EF3">
        <w:rPr>
          <w:szCs w:val="22"/>
        </w:rPr>
        <w:t>4</w:t>
      </w:r>
      <w:r w:rsidRPr="00043A1E">
        <w:rPr>
          <w:szCs w:val="22"/>
        </w:rPr>
        <w:t>）參見《大智度論》卷</w:t>
      </w:r>
      <w:r w:rsidRPr="00761EF3">
        <w:rPr>
          <w:szCs w:val="22"/>
        </w:rPr>
        <w:t>24</w:t>
      </w:r>
      <w:r w:rsidR="003B68A0">
        <w:rPr>
          <w:rFonts w:hint="eastAsia"/>
          <w:color w:val="FF0000"/>
          <w:szCs w:val="22"/>
          <w:highlight w:val="yellow"/>
        </w:rPr>
        <w:t>釋〈</w:t>
      </w:r>
      <w:r w:rsidR="003B68A0">
        <w:rPr>
          <w:color w:val="FF0000"/>
          <w:szCs w:val="22"/>
          <w:highlight w:val="yellow"/>
        </w:rPr>
        <w:t xml:space="preserve">1 </w:t>
      </w:r>
      <w:r w:rsidR="003B68A0">
        <w:rPr>
          <w:rFonts w:hint="eastAsia"/>
          <w:color w:val="FF0000"/>
          <w:szCs w:val="22"/>
          <w:highlight w:val="yellow"/>
        </w:rPr>
        <w:t>序品〉</w:t>
      </w:r>
      <w:r w:rsidRPr="00043A1E">
        <w:rPr>
          <w:szCs w:val="22"/>
        </w:rPr>
        <w:t>（大正</w:t>
      </w:r>
      <w:r w:rsidRPr="00761EF3">
        <w:rPr>
          <w:szCs w:val="22"/>
        </w:rPr>
        <w:t>25</w:t>
      </w:r>
      <w:r w:rsidRPr="00043A1E">
        <w:rPr>
          <w:szCs w:val="22"/>
        </w:rPr>
        <w:t>，</w:t>
      </w:r>
      <w:r w:rsidRPr="00761EF3">
        <w:rPr>
          <w:szCs w:val="22"/>
        </w:rPr>
        <w:t>239b14</w:t>
      </w:r>
      <w:r w:rsidRPr="00043A1E">
        <w:rPr>
          <w:szCs w:val="22"/>
        </w:rPr>
        <w:t>-</w:t>
      </w:r>
      <w:r w:rsidRPr="00761EF3">
        <w:rPr>
          <w:szCs w:val="22"/>
        </w:rPr>
        <w:t>240a12</w:t>
      </w:r>
      <w:r w:rsidRPr="00043A1E">
        <w:rPr>
          <w:szCs w:val="22"/>
        </w:rPr>
        <w:t>）</w:t>
      </w:r>
      <w:r w:rsidRPr="00043A1E">
        <w:rPr>
          <w:rFonts w:hint="eastAsia"/>
          <w:szCs w:val="22"/>
        </w:rPr>
        <w:t>：</w:t>
      </w:r>
    </w:p>
    <w:p w:rsidR="00157EF6" w:rsidRPr="00043A1E" w:rsidRDefault="00157EF6" w:rsidP="00AA120F">
      <w:pPr>
        <w:pStyle w:val="a5"/>
        <w:ind w:leftChars="305" w:left="732"/>
        <w:jc w:val="both"/>
        <w:rPr>
          <w:rFonts w:eastAsia="標楷體"/>
          <w:szCs w:val="22"/>
        </w:rPr>
      </w:pPr>
      <w:r w:rsidRPr="00043A1E">
        <w:rPr>
          <w:rFonts w:eastAsia="標楷體" w:hint="eastAsia"/>
          <w:szCs w:val="22"/>
        </w:rPr>
        <w:t>「性智力」者，佛知世間種種別異性。</w:t>
      </w:r>
      <w:r w:rsidR="002D311F">
        <w:rPr>
          <w:rFonts w:ascii="標楷體" w:eastAsia="標楷體" w:hAnsi="標楷體" w:hint="eastAsia"/>
          <w:bCs/>
          <w:color w:val="FF0000"/>
          <w:kern w:val="0"/>
          <w:highlight w:val="yellow"/>
        </w:rPr>
        <w:t>「</w:t>
      </w:r>
      <w:r w:rsidRPr="00043A1E">
        <w:rPr>
          <w:rFonts w:eastAsia="標楷體" w:hint="eastAsia"/>
          <w:b/>
          <w:szCs w:val="22"/>
        </w:rPr>
        <w:t>性</w:t>
      </w:r>
      <w:r w:rsidR="002D311F">
        <w:rPr>
          <w:rFonts w:ascii="標楷體" w:eastAsia="標楷體" w:hAnsi="標楷體" w:hint="eastAsia"/>
          <w:bCs/>
          <w:color w:val="FF0000"/>
          <w:kern w:val="0"/>
          <w:highlight w:val="yellow"/>
        </w:rPr>
        <w:t>」</w:t>
      </w:r>
      <w:r w:rsidRPr="00043A1E">
        <w:rPr>
          <w:rFonts w:eastAsia="標楷體" w:hint="eastAsia"/>
          <w:b/>
          <w:szCs w:val="22"/>
        </w:rPr>
        <w:t>名積習，</w:t>
      </w:r>
      <w:r w:rsidR="002D311F">
        <w:rPr>
          <w:rFonts w:ascii="標楷體" w:eastAsia="標楷體" w:hAnsi="標楷體" w:hint="eastAsia"/>
          <w:bCs/>
          <w:color w:val="FF0000"/>
          <w:kern w:val="0"/>
          <w:highlight w:val="yellow"/>
        </w:rPr>
        <w:t>「</w:t>
      </w:r>
      <w:r w:rsidRPr="00043A1E">
        <w:rPr>
          <w:rFonts w:eastAsia="標楷體" w:hint="eastAsia"/>
          <w:b/>
          <w:szCs w:val="22"/>
        </w:rPr>
        <w:t>相</w:t>
      </w:r>
      <w:r w:rsidR="002D311F">
        <w:rPr>
          <w:rFonts w:ascii="標楷體" w:eastAsia="標楷體" w:hAnsi="標楷體" w:hint="eastAsia"/>
          <w:bCs/>
          <w:color w:val="FF0000"/>
          <w:kern w:val="0"/>
          <w:highlight w:val="yellow"/>
        </w:rPr>
        <w:t>」</w:t>
      </w:r>
      <w:r w:rsidRPr="00043A1E">
        <w:rPr>
          <w:rFonts w:eastAsia="標楷體" w:hint="eastAsia"/>
          <w:b/>
          <w:szCs w:val="22"/>
        </w:rPr>
        <w:t>從</w:t>
      </w:r>
      <w:r w:rsidR="002D311F">
        <w:rPr>
          <w:rFonts w:ascii="標楷體" w:eastAsia="標楷體" w:hAnsi="標楷體" w:hint="eastAsia"/>
          <w:bCs/>
          <w:color w:val="FF0000"/>
          <w:kern w:val="0"/>
          <w:highlight w:val="yellow"/>
        </w:rPr>
        <w:t>「</w:t>
      </w:r>
      <w:r w:rsidRPr="00043A1E">
        <w:rPr>
          <w:rFonts w:eastAsia="標楷體" w:hint="eastAsia"/>
          <w:b/>
          <w:szCs w:val="22"/>
        </w:rPr>
        <w:t>性</w:t>
      </w:r>
      <w:r w:rsidR="002D311F">
        <w:rPr>
          <w:rFonts w:ascii="標楷體" w:eastAsia="標楷體" w:hAnsi="標楷體" w:hint="eastAsia"/>
          <w:bCs/>
          <w:color w:val="FF0000"/>
          <w:kern w:val="0"/>
          <w:highlight w:val="yellow"/>
        </w:rPr>
        <w:t>」</w:t>
      </w:r>
      <w:r w:rsidRPr="00043A1E">
        <w:rPr>
          <w:rFonts w:eastAsia="標楷體" w:hint="eastAsia"/>
          <w:b/>
          <w:szCs w:val="22"/>
        </w:rPr>
        <w:t>生</w:t>
      </w:r>
      <w:r w:rsidR="002D311F">
        <w:rPr>
          <w:rFonts w:ascii="標楷體" w:eastAsia="標楷體" w:hAnsi="標楷體" w:hint="eastAsia"/>
          <w:color w:val="FF0000"/>
          <w:kern w:val="0"/>
          <w:highlight w:val="yellow"/>
        </w:rPr>
        <w:t>。</w:t>
      </w:r>
      <w:r w:rsidR="002D311F">
        <w:rPr>
          <w:rFonts w:ascii="標楷體" w:eastAsia="標楷體" w:hAnsi="標楷體" w:hint="eastAsia"/>
          <w:bCs/>
          <w:color w:val="FF0000"/>
          <w:kern w:val="0"/>
          <w:highlight w:val="yellow"/>
        </w:rPr>
        <w:t>「</w:t>
      </w:r>
      <w:r w:rsidRPr="00043A1E">
        <w:rPr>
          <w:rFonts w:eastAsia="標楷體" w:hint="eastAsia"/>
          <w:szCs w:val="22"/>
        </w:rPr>
        <w:t>欲</w:t>
      </w:r>
      <w:r w:rsidR="002D311F">
        <w:rPr>
          <w:rFonts w:ascii="標楷體" w:eastAsia="標楷體" w:hAnsi="標楷體" w:hint="eastAsia"/>
          <w:bCs/>
          <w:color w:val="FF0000"/>
          <w:kern w:val="0"/>
          <w:highlight w:val="yellow"/>
        </w:rPr>
        <w:t>」</w:t>
      </w:r>
      <w:r w:rsidRPr="00043A1E">
        <w:rPr>
          <w:rFonts w:eastAsia="標楷體" w:hint="eastAsia"/>
          <w:szCs w:val="22"/>
        </w:rPr>
        <w:t>隨</w:t>
      </w:r>
      <w:r w:rsidR="002D311F">
        <w:rPr>
          <w:rFonts w:ascii="標楷體" w:eastAsia="標楷體" w:hAnsi="標楷體" w:hint="eastAsia"/>
          <w:bCs/>
          <w:color w:val="FF0000"/>
          <w:kern w:val="0"/>
          <w:highlight w:val="yellow"/>
        </w:rPr>
        <w:t>「</w:t>
      </w:r>
      <w:r w:rsidRPr="00043A1E">
        <w:rPr>
          <w:rFonts w:eastAsia="標楷體" w:hint="eastAsia"/>
          <w:szCs w:val="22"/>
        </w:rPr>
        <w:t>性</w:t>
      </w:r>
      <w:r w:rsidR="002D311F">
        <w:rPr>
          <w:rFonts w:ascii="標楷體" w:eastAsia="標楷體" w:hAnsi="標楷體" w:hint="eastAsia"/>
          <w:bCs/>
          <w:color w:val="FF0000"/>
          <w:kern w:val="0"/>
          <w:highlight w:val="yellow"/>
        </w:rPr>
        <w:t>」</w:t>
      </w:r>
      <w:r w:rsidRPr="00043A1E">
        <w:rPr>
          <w:rFonts w:eastAsia="標楷體" w:hint="eastAsia"/>
          <w:szCs w:val="22"/>
        </w:rPr>
        <w:t>作行；或時從</w:t>
      </w:r>
      <w:r w:rsidR="002D311F">
        <w:rPr>
          <w:rFonts w:ascii="標楷體" w:eastAsia="標楷體" w:hAnsi="標楷體" w:hint="eastAsia"/>
          <w:bCs/>
          <w:color w:val="FF0000"/>
          <w:kern w:val="0"/>
          <w:highlight w:val="yellow"/>
        </w:rPr>
        <w:t>「</w:t>
      </w:r>
      <w:r w:rsidRPr="00043A1E">
        <w:rPr>
          <w:rFonts w:eastAsia="標楷體" w:hint="eastAsia"/>
          <w:szCs w:val="22"/>
        </w:rPr>
        <w:t>欲</w:t>
      </w:r>
      <w:r w:rsidR="002D311F">
        <w:rPr>
          <w:rFonts w:ascii="標楷體" w:eastAsia="標楷體" w:hAnsi="標楷體" w:hint="eastAsia"/>
          <w:bCs/>
          <w:color w:val="FF0000"/>
          <w:kern w:val="0"/>
          <w:highlight w:val="yellow"/>
        </w:rPr>
        <w:t>」</w:t>
      </w:r>
      <w:r w:rsidRPr="00043A1E">
        <w:rPr>
          <w:rFonts w:eastAsia="標楷體" w:hint="eastAsia"/>
          <w:szCs w:val="22"/>
        </w:rPr>
        <w:t>為</w:t>
      </w:r>
      <w:r w:rsidR="002D311F">
        <w:rPr>
          <w:rFonts w:ascii="標楷體" w:eastAsia="標楷體" w:hAnsi="標楷體" w:hint="eastAsia"/>
          <w:bCs/>
          <w:color w:val="FF0000"/>
          <w:kern w:val="0"/>
          <w:highlight w:val="yellow"/>
        </w:rPr>
        <w:t>「</w:t>
      </w:r>
      <w:r w:rsidRPr="00043A1E">
        <w:rPr>
          <w:rFonts w:eastAsia="標楷體" w:hint="eastAsia"/>
          <w:szCs w:val="22"/>
        </w:rPr>
        <w:t>性</w:t>
      </w:r>
      <w:r w:rsidR="002D311F">
        <w:rPr>
          <w:rFonts w:ascii="標楷體" w:eastAsia="標楷體" w:hAnsi="標楷體" w:hint="eastAsia"/>
          <w:bCs/>
          <w:color w:val="FF0000"/>
          <w:kern w:val="0"/>
          <w:highlight w:val="yellow"/>
        </w:rPr>
        <w:t>」</w:t>
      </w:r>
      <w:r w:rsidRPr="00043A1E">
        <w:rPr>
          <w:rFonts w:eastAsia="標楷體" w:hint="eastAsia"/>
          <w:szCs w:val="22"/>
        </w:rPr>
        <w:t>，習</w:t>
      </w:r>
      <w:r w:rsidR="002D311F">
        <w:rPr>
          <w:rFonts w:ascii="標楷體" w:eastAsia="標楷體" w:hAnsi="標楷體" w:hint="eastAsia"/>
          <w:bCs/>
          <w:color w:val="FF0000"/>
          <w:kern w:val="0"/>
          <w:highlight w:val="yellow"/>
        </w:rPr>
        <w:t>「</w:t>
      </w:r>
      <w:r w:rsidRPr="00043A1E">
        <w:rPr>
          <w:rFonts w:eastAsia="標楷體" w:hint="eastAsia"/>
          <w:szCs w:val="22"/>
        </w:rPr>
        <w:t>欲</w:t>
      </w:r>
      <w:r w:rsidR="002D311F">
        <w:rPr>
          <w:rFonts w:ascii="標楷體" w:eastAsia="標楷體" w:hAnsi="標楷體" w:hint="eastAsia"/>
          <w:bCs/>
          <w:color w:val="FF0000"/>
          <w:kern w:val="0"/>
          <w:highlight w:val="yellow"/>
        </w:rPr>
        <w:t>」</w:t>
      </w:r>
      <w:r w:rsidRPr="00043A1E">
        <w:rPr>
          <w:rFonts w:eastAsia="標楷體" w:hint="eastAsia"/>
          <w:szCs w:val="22"/>
        </w:rPr>
        <w:t>成</w:t>
      </w:r>
      <w:r w:rsidR="002D311F">
        <w:rPr>
          <w:rFonts w:ascii="標楷體" w:eastAsia="標楷體" w:hAnsi="標楷體" w:hint="eastAsia"/>
          <w:bCs/>
          <w:color w:val="FF0000"/>
          <w:kern w:val="0"/>
          <w:highlight w:val="yellow"/>
        </w:rPr>
        <w:t>「</w:t>
      </w:r>
      <w:r w:rsidRPr="00043A1E">
        <w:rPr>
          <w:rFonts w:eastAsia="標楷體" w:hint="eastAsia"/>
          <w:szCs w:val="22"/>
        </w:rPr>
        <w:t>性</w:t>
      </w:r>
      <w:r w:rsidR="002D311F">
        <w:rPr>
          <w:rFonts w:ascii="標楷體" w:eastAsia="標楷體" w:hAnsi="標楷體" w:hint="eastAsia"/>
          <w:bCs/>
          <w:color w:val="FF0000"/>
          <w:kern w:val="0"/>
          <w:highlight w:val="yellow"/>
        </w:rPr>
        <w:t>」</w:t>
      </w:r>
      <w:r w:rsidRPr="00043A1E">
        <w:rPr>
          <w:rFonts w:eastAsia="標楷體" w:hint="eastAsia"/>
          <w:szCs w:val="22"/>
        </w:rPr>
        <w:t>。「性」名深心為事，「欲」名隨緣起，是為「欲」、「性」分別。</w:t>
      </w:r>
      <w:r w:rsidRPr="00ED3A72">
        <w:rPr>
          <w:rFonts w:ascii="標楷體" w:eastAsia="標楷體" w:hAnsi="標楷體" w:hint="eastAsia"/>
          <w:color w:val="FF0000"/>
          <w:szCs w:val="22"/>
          <w:shd w:val="pct15" w:color="auto" w:fill="FFFFFF"/>
        </w:rPr>
        <w:t>……</w:t>
      </w:r>
    </w:p>
    <w:p w:rsidR="00157EF6" w:rsidRPr="00043A1E" w:rsidRDefault="00157EF6" w:rsidP="00AA120F">
      <w:pPr>
        <w:pStyle w:val="a5"/>
        <w:ind w:leftChars="305" w:left="732"/>
        <w:jc w:val="both"/>
        <w:rPr>
          <w:rFonts w:eastAsia="標楷體"/>
          <w:szCs w:val="22"/>
        </w:rPr>
      </w:pPr>
      <w:r w:rsidRPr="00043A1E">
        <w:rPr>
          <w:rFonts w:eastAsia="標楷體" w:hint="eastAsia"/>
          <w:szCs w:val="22"/>
        </w:rPr>
        <w:t>佛知眾生如是性、如是欲，從是處來，若成就善根、不善根，可度、不可度，定、不定，必、不必，行何行、生何處、在何地。</w:t>
      </w:r>
      <w:r w:rsidRPr="00ED3A72">
        <w:rPr>
          <w:rFonts w:ascii="標楷體" w:eastAsia="標楷體" w:hAnsi="標楷體" w:hint="eastAsia"/>
          <w:color w:val="FF0000"/>
          <w:szCs w:val="22"/>
          <w:shd w:val="pct15" w:color="auto" w:fill="FFFFFF"/>
        </w:rPr>
        <w:t>……</w:t>
      </w:r>
    </w:p>
    <w:p w:rsidR="00157EF6" w:rsidRPr="001B64AB" w:rsidRDefault="00157EF6" w:rsidP="00AE3920">
      <w:pPr>
        <w:pStyle w:val="a5"/>
        <w:spacing w:beforeLines="20"/>
        <w:ind w:leftChars="305" w:left="732"/>
        <w:jc w:val="both"/>
        <w:rPr>
          <w:rFonts w:eastAsia="標楷體"/>
          <w:szCs w:val="22"/>
        </w:rPr>
      </w:pPr>
      <w:r w:rsidRPr="001B64AB">
        <w:rPr>
          <w:rFonts w:eastAsia="標楷體" w:hint="eastAsia"/>
          <w:szCs w:val="22"/>
        </w:rPr>
        <w:t>復次，佛用是種種性智</w:t>
      </w:r>
      <w:r w:rsidRPr="002D311F">
        <w:rPr>
          <w:rFonts w:eastAsia="標楷體" w:hint="eastAsia"/>
          <w:szCs w:val="22"/>
          <w:highlight w:val="yellow"/>
        </w:rPr>
        <w:t>力知</w:t>
      </w:r>
      <w:r w:rsidR="002D311F">
        <w:rPr>
          <w:rFonts w:ascii="標楷體" w:eastAsia="標楷體" w:hAnsi="標楷體" w:hint="eastAsia"/>
          <w:bCs/>
          <w:color w:val="FF0000"/>
          <w:kern w:val="0"/>
          <w:highlight w:val="yellow"/>
        </w:rPr>
        <w:t>「</w:t>
      </w:r>
      <w:r w:rsidRPr="001B64AB">
        <w:rPr>
          <w:rFonts w:eastAsia="標楷體" w:hint="eastAsia"/>
          <w:szCs w:val="22"/>
        </w:rPr>
        <w:t>是眾生可度，是不可度</w:t>
      </w:r>
      <w:r w:rsidR="002D311F">
        <w:rPr>
          <w:rFonts w:ascii="標楷體" w:eastAsia="標楷體" w:hAnsi="標楷體" w:hint="eastAsia"/>
          <w:color w:val="FF0000"/>
          <w:kern w:val="0"/>
          <w:highlight w:val="yellow"/>
        </w:rPr>
        <w:t>。</w:t>
      </w:r>
      <w:r w:rsidRPr="001B64AB">
        <w:rPr>
          <w:rFonts w:eastAsia="標楷體" w:hint="eastAsia"/>
          <w:szCs w:val="22"/>
        </w:rPr>
        <w:t>是今世可度，是後世可度</w:t>
      </w:r>
      <w:r w:rsidR="002D311F">
        <w:rPr>
          <w:rFonts w:ascii="標楷體" w:eastAsia="標楷體" w:hAnsi="標楷體" w:hint="eastAsia"/>
          <w:color w:val="FF0000"/>
          <w:kern w:val="0"/>
          <w:highlight w:val="yellow"/>
        </w:rPr>
        <w:t>。</w:t>
      </w:r>
      <w:r w:rsidRPr="001B64AB">
        <w:rPr>
          <w:rFonts w:eastAsia="標楷體" w:hint="eastAsia"/>
          <w:szCs w:val="22"/>
        </w:rPr>
        <w:t>是即時可度，是異時可度</w:t>
      </w:r>
      <w:r w:rsidR="002D311F">
        <w:rPr>
          <w:rFonts w:ascii="標楷體" w:eastAsia="標楷體" w:hAnsi="標楷體" w:hint="eastAsia"/>
          <w:color w:val="FF0000"/>
          <w:kern w:val="0"/>
          <w:highlight w:val="yellow"/>
        </w:rPr>
        <w:t>。</w:t>
      </w:r>
      <w:r w:rsidRPr="001B64AB">
        <w:rPr>
          <w:rFonts w:eastAsia="標楷體" w:hint="eastAsia"/>
          <w:szCs w:val="22"/>
        </w:rPr>
        <w:t>是現前可度，是眼不見可度</w:t>
      </w:r>
      <w:r w:rsidR="002D311F">
        <w:rPr>
          <w:rFonts w:ascii="標楷體" w:eastAsia="標楷體" w:hAnsi="標楷體" w:hint="eastAsia"/>
          <w:color w:val="FF0000"/>
          <w:kern w:val="0"/>
          <w:highlight w:val="yellow"/>
        </w:rPr>
        <w:t>。</w:t>
      </w:r>
      <w:r w:rsidRPr="001B64AB">
        <w:rPr>
          <w:rFonts w:eastAsia="標楷體" w:hint="eastAsia"/>
          <w:szCs w:val="22"/>
        </w:rPr>
        <w:t>是人</w:t>
      </w:r>
      <w:r w:rsidR="002D311F">
        <w:rPr>
          <w:rFonts w:ascii="標楷體" w:eastAsia="標楷體" w:hAnsi="標楷體" w:hint="eastAsia"/>
          <w:color w:val="FF0000"/>
          <w:kern w:val="0"/>
          <w:highlight w:val="yellow"/>
        </w:rPr>
        <w:t>，</w:t>
      </w:r>
      <w:r w:rsidRPr="001B64AB">
        <w:rPr>
          <w:rFonts w:eastAsia="標楷體" w:hint="eastAsia"/>
          <w:szCs w:val="22"/>
        </w:rPr>
        <w:t>佛能度</w:t>
      </w:r>
      <w:r w:rsidR="002D311F">
        <w:rPr>
          <w:rFonts w:ascii="標楷體" w:eastAsia="標楷體" w:hAnsi="標楷體" w:hint="eastAsia"/>
          <w:color w:val="FF0000"/>
          <w:spacing w:val="-4"/>
          <w:kern w:val="0"/>
          <w:highlight w:val="yellow"/>
        </w:rPr>
        <w:t>；</w:t>
      </w:r>
      <w:r w:rsidRPr="001B64AB">
        <w:rPr>
          <w:rFonts w:eastAsia="標楷體" w:hint="eastAsia"/>
          <w:szCs w:val="22"/>
        </w:rPr>
        <w:t>是人</w:t>
      </w:r>
      <w:r w:rsidR="002D311F">
        <w:rPr>
          <w:rFonts w:ascii="標楷體" w:eastAsia="標楷體" w:hAnsi="標楷體" w:hint="eastAsia"/>
          <w:color w:val="FF0000"/>
          <w:kern w:val="0"/>
          <w:highlight w:val="yellow"/>
        </w:rPr>
        <w:t>，</w:t>
      </w:r>
      <w:r w:rsidRPr="001B64AB">
        <w:rPr>
          <w:rFonts w:eastAsia="標楷體" w:hint="eastAsia"/>
          <w:szCs w:val="22"/>
        </w:rPr>
        <w:t>聲聞能度</w:t>
      </w:r>
      <w:r w:rsidR="002D311F">
        <w:rPr>
          <w:rFonts w:ascii="標楷體" w:eastAsia="標楷體" w:hAnsi="標楷體" w:hint="eastAsia"/>
          <w:color w:val="FF0000"/>
          <w:spacing w:val="-4"/>
          <w:kern w:val="0"/>
          <w:highlight w:val="yellow"/>
        </w:rPr>
        <w:t>；</w:t>
      </w:r>
      <w:r w:rsidRPr="001B64AB">
        <w:rPr>
          <w:rFonts w:eastAsia="標楷體" w:hint="eastAsia"/>
          <w:szCs w:val="22"/>
        </w:rPr>
        <w:t>是人</w:t>
      </w:r>
      <w:r w:rsidR="002D311F">
        <w:rPr>
          <w:rFonts w:ascii="標楷體" w:eastAsia="標楷體" w:hAnsi="標楷體" w:hint="eastAsia"/>
          <w:color w:val="FF0000"/>
          <w:kern w:val="0"/>
          <w:highlight w:val="yellow"/>
        </w:rPr>
        <w:t>，</w:t>
      </w:r>
      <w:r w:rsidRPr="001B64AB">
        <w:rPr>
          <w:rFonts w:eastAsia="標楷體" w:hint="eastAsia"/>
          <w:szCs w:val="22"/>
        </w:rPr>
        <w:t>共可度</w:t>
      </w:r>
      <w:r w:rsidR="002D311F">
        <w:rPr>
          <w:rFonts w:ascii="標楷體" w:eastAsia="標楷體" w:hAnsi="標楷體" w:hint="eastAsia"/>
          <w:color w:val="FF0000"/>
          <w:kern w:val="0"/>
          <w:highlight w:val="yellow"/>
        </w:rPr>
        <w:t>。</w:t>
      </w:r>
      <w:r w:rsidRPr="001B64AB">
        <w:rPr>
          <w:rFonts w:eastAsia="標楷體" w:hint="eastAsia"/>
          <w:szCs w:val="22"/>
        </w:rPr>
        <w:t>是人</w:t>
      </w:r>
      <w:r w:rsidR="002D311F">
        <w:rPr>
          <w:rFonts w:ascii="標楷體" w:eastAsia="標楷體" w:hAnsi="標楷體" w:hint="eastAsia"/>
          <w:color w:val="FF0000"/>
          <w:kern w:val="0"/>
          <w:highlight w:val="yellow"/>
        </w:rPr>
        <w:t>，</w:t>
      </w:r>
      <w:r w:rsidRPr="001B64AB">
        <w:rPr>
          <w:rFonts w:eastAsia="標楷體" w:hint="eastAsia"/>
          <w:szCs w:val="22"/>
        </w:rPr>
        <w:t>必可度</w:t>
      </w:r>
      <w:r w:rsidR="002D311F">
        <w:rPr>
          <w:rFonts w:ascii="標楷體" w:eastAsia="標楷體" w:hAnsi="標楷體" w:hint="eastAsia"/>
          <w:color w:val="FF0000"/>
          <w:spacing w:val="-4"/>
          <w:kern w:val="0"/>
          <w:highlight w:val="yellow"/>
        </w:rPr>
        <w:t>；</w:t>
      </w:r>
      <w:r w:rsidRPr="001B64AB">
        <w:rPr>
          <w:rFonts w:eastAsia="標楷體" w:hint="eastAsia"/>
          <w:szCs w:val="22"/>
        </w:rPr>
        <w:t>是人</w:t>
      </w:r>
      <w:r w:rsidR="002D311F">
        <w:rPr>
          <w:rFonts w:ascii="標楷體" w:eastAsia="標楷體" w:hAnsi="標楷體" w:hint="eastAsia"/>
          <w:color w:val="FF0000"/>
          <w:kern w:val="0"/>
          <w:highlight w:val="yellow"/>
        </w:rPr>
        <w:t>，</w:t>
      </w:r>
      <w:r w:rsidRPr="001B64AB">
        <w:rPr>
          <w:rFonts w:eastAsia="標楷體" w:hint="eastAsia"/>
          <w:szCs w:val="22"/>
        </w:rPr>
        <w:t>必不可度</w:t>
      </w:r>
      <w:r w:rsidR="002D311F">
        <w:rPr>
          <w:rFonts w:ascii="標楷體" w:eastAsia="標楷體" w:hAnsi="標楷體" w:hint="eastAsia"/>
          <w:color w:val="FF0000"/>
          <w:kern w:val="0"/>
          <w:highlight w:val="yellow"/>
        </w:rPr>
        <w:t>。</w:t>
      </w:r>
      <w:r w:rsidRPr="001B64AB">
        <w:rPr>
          <w:rFonts w:eastAsia="標楷體" w:hint="eastAsia"/>
          <w:szCs w:val="22"/>
        </w:rPr>
        <w:t>是人</w:t>
      </w:r>
      <w:r w:rsidR="002D311F">
        <w:rPr>
          <w:rFonts w:ascii="標楷體" w:eastAsia="標楷體" w:hAnsi="標楷體" w:hint="eastAsia"/>
          <w:color w:val="FF0000"/>
          <w:kern w:val="0"/>
          <w:highlight w:val="yellow"/>
        </w:rPr>
        <w:t>，</w:t>
      </w:r>
      <w:r w:rsidRPr="001B64AB">
        <w:rPr>
          <w:rFonts w:eastAsia="標楷體" w:hint="eastAsia"/>
          <w:szCs w:val="22"/>
        </w:rPr>
        <w:t>略說可度</w:t>
      </w:r>
      <w:r w:rsidR="002D311F">
        <w:rPr>
          <w:rFonts w:ascii="標楷體" w:eastAsia="標楷體" w:hAnsi="標楷體" w:hint="eastAsia"/>
          <w:color w:val="FF0000"/>
          <w:spacing w:val="-4"/>
          <w:kern w:val="0"/>
          <w:highlight w:val="yellow"/>
        </w:rPr>
        <w:t>；</w:t>
      </w:r>
      <w:r w:rsidRPr="001B64AB">
        <w:rPr>
          <w:rFonts w:eastAsia="標楷體" w:hint="eastAsia"/>
          <w:szCs w:val="22"/>
        </w:rPr>
        <w:t>是人</w:t>
      </w:r>
      <w:r w:rsidR="002D311F">
        <w:rPr>
          <w:rFonts w:ascii="標楷體" w:eastAsia="標楷體" w:hAnsi="標楷體" w:hint="eastAsia"/>
          <w:color w:val="FF0000"/>
          <w:kern w:val="0"/>
          <w:highlight w:val="yellow"/>
        </w:rPr>
        <w:t>，</w:t>
      </w:r>
      <w:r w:rsidRPr="001B64AB">
        <w:rPr>
          <w:rFonts w:eastAsia="標楷體" w:hint="eastAsia"/>
          <w:szCs w:val="22"/>
        </w:rPr>
        <w:t>廣說可度</w:t>
      </w:r>
      <w:r w:rsidR="002D311F">
        <w:rPr>
          <w:rFonts w:ascii="標楷體" w:eastAsia="標楷體" w:hAnsi="標楷體" w:hint="eastAsia"/>
          <w:color w:val="FF0000"/>
          <w:spacing w:val="-4"/>
          <w:kern w:val="0"/>
          <w:highlight w:val="yellow"/>
        </w:rPr>
        <w:t>；</w:t>
      </w:r>
      <w:r w:rsidRPr="001B64AB">
        <w:rPr>
          <w:rFonts w:eastAsia="標楷體" w:hint="eastAsia"/>
          <w:szCs w:val="22"/>
        </w:rPr>
        <w:t>是人</w:t>
      </w:r>
      <w:r w:rsidR="002D311F">
        <w:rPr>
          <w:rFonts w:ascii="標楷體" w:eastAsia="標楷體" w:hAnsi="標楷體" w:hint="eastAsia"/>
          <w:color w:val="FF0000"/>
          <w:kern w:val="0"/>
          <w:highlight w:val="yellow"/>
        </w:rPr>
        <w:t>，</w:t>
      </w:r>
      <w:r w:rsidRPr="001B64AB">
        <w:rPr>
          <w:rFonts w:eastAsia="標楷體" w:hint="eastAsia"/>
          <w:szCs w:val="22"/>
        </w:rPr>
        <w:t>略廣說可度</w:t>
      </w:r>
      <w:r w:rsidR="002D311F">
        <w:rPr>
          <w:rFonts w:ascii="標楷體" w:eastAsia="標楷體" w:hAnsi="標楷體" w:hint="eastAsia"/>
          <w:color w:val="FF0000"/>
          <w:kern w:val="0"/>
          <w:highlight w:val="yellow"/>
        </w:rPr>
        <w:t>。</w:t>
      </w:r>
      <w:r w:rsidRPr="001B64AB">
        <w:rPr>
          <w:rFonts w:eastAsia="標楷體" w:hint="eastAsia"/>
          <w:szCs w:val="22"/>
        </w:rPr>
        <w:t>是人</w:t>
      </w:r>
      <w:r w:rsidR="002D311F">
        <w:rPr>
          <w:rFonts w:ascii="標楷體" w:eastAsia="標楷體" w:hAnsi="標楷體" w:hint="eastAsia"/>
          <w:color w:val="FF0000"/>
          <w:kern w:val="0"/>
          <w:highlight w:val="yellow"/>
        </w:rPr>
        <w:t>，</w:t>
      </w:r>
      <w:r w:rsidRPr="001B64AB">
        <w:rPr>
          <w:rFonts w:eastAsia="標楷體" w:hint="eastAsia"/>
          <w:szCs w:val="22"/>
        </w:rPr>
        <w:t>讚嘆可度</w:t>
      </w:r>
      <w:r w:rsidR="002D311F">
        <w:rPr>
          <w:rFonts w:ascii="標楷體" w:eastAsia="標楷體" w:hAnsi="標楷體" w:hint="eastAsia"/>
          <w:color w:val="FF0000"/>
          <w:spacing w:val="-4"/>
          <w:kern w:val="0"/>
          <w:highlight w:val="yellow"/>
        </w:rPr>
        <w:t>；</w:t>
      </w:r>
      <w:r w:rsidRPr="001B64AB">
        <w:rPr>
          <w:rFonts w:eastAsia="標楷體" w:hint="eastAsia"/>
          <w:szCs w:val="22"/>
        </w:rPr>
        <w:t>是人</w:t>
      </w:r>
      <w:r w:rsidR="002D311F">
        <w:rPr>
          <w:rFonts w:ascii="標楷體" w:eastAsia="標楷體" w:hAnsi="標楷體" w:hint="eastAsia"/>
          <w:color w:val="FF0000"/>
          <w:kern w:val="0"/>
          <w:highlight w:val="yellow"/>
        </w:rPr>
        <w:t>，</w:t>
      </w:r>
      <w:r w:rsidRPr="001B64AB">
        <w:rPr>
          <w:rFonts w:eastAsia="標楷體" w:hint="eastAsia"/>
          <w:szCs w:val="22"/>
        </w:rPr>
        <w:t>折伏可度</w:t>
      </w:r>
      <w:r w:rsidR="002D311F">
        <w:rPr>
          <w:rFonts w:ascii="標楷體" w:eastAsia="標楷體" w:hAnsi="標楷體" w:hint="eastAsia"/>
          <w:color w:val="FF0000"/>
          <w:kern w:val="0"/>
          <w:highlight w:val="yellow"/>
        </w:rPr>
        <w:t>。</w:t>
      </w:r>
      <w:r w:rsidRPr="001B64AB">
        <w:rPr>
          <w:rFonts w:eastAsia="標楷體" w:hint="eastAsia"/>
          <w:szCs w:val="22"/>
        </w:rPr>
        <w:t>是人</w:t>
      </w:r>
      <w:r w:rsidR="002D311F">
        <w:rPr>
          <w:rFonts w:ascii="標楷體" w:eastAsia="標楷體" w:hAnsi="標楷體" w:hint="eastAsia"/>
          <w:color w:val="FF0000"/>
          <w:kern w:val="0"/>
          <w:highlight w:val="yellow"/>
        </w:rPr>
        <w:t>，</w:t>
      </w:r>
      <w:r w:rsidRPr="001B64AB">
        <w:rPr>
          <w:rFonts w:eastAsia="標楷體" w:hint="eastAsia"/>
          <w:szCs w:val="22"/>
        </w:rPr>
        <w:t>將迎可度</w:t>
      </w:r>
      <w:r w:rsidR="002D311F">
        <w:rPr>
          <w:rFonts w:ascii="標楷體" w:eastAsia="標楷體" w:hAnsi="標楷體" w:hint="eastAsia"/>
          <w:color w:val="FF0000"/>
          <w:spacing w:val="-4"/>
          <w:kern w:val="0"/>
          <w:highlight w:val="yellow"/>
        </w:rPr>
        <w:t>；</w:t>
      </w:r>
      <w:r w:rsidRPr="001B64AB">
        <w:rPr>
          <w:rFonts w:eastAsia="標楷體" w:hint="eastAsia"/>
          <w:szCs w:val="22"/>
        </w:rPr>
        <w:t>是人</w:t>
      </w:r>
      <w:r w:rsidR="002D311F">
        <w:rPr>
          <w:rFonts w:ascii="標楷體" w:eastAsia="標楷體" w:hAnsi="標楷體" w:hint="eastAsia"/>
          <w:color w:val="FF0000"/>
          <w:kern w:val="0"/>
          <w:highlight w:val="yellow"/>
        </w:rPr>
        <w:t>，</w:t>
      </w:r>
      <w:r w:rsidRPr="001B64AB">
        <w:rPr>
          <w:rFonts w:eastAsia="標楷體" w:hint="eastAsia"/>
          <w:szCs w:val="22"/>
        </w:rPr>
        <w:t>棄捨可度</w:t>
      </w:r>
      <w:r w:rsidR="002D311F">
        <w:rPr>
          <w:rFonts w:ascii="標楷體" w:eastAsia="標楷體" w:hAnsi="標楷體" w:hint="eastAsia"/>
          <w:color w:val="FF0000"/>
          <w:kern w:val="0"/>
          <w:highlight w:val="yellow"/>
        </w:rPr>
        <w:t>。</w:t>
      </w:r>
      <w:r w:rsidRPr="001B64AB">
        <w:rPr>
          <w:rFonts w:eastAsia="標楷體" w:hint="eastAsia"/>
          <w:szCs w:val="22"/>
        </w:rPr>
        <w:t>是人</w:t>
      </w:r>
      <w:r w:rsidR="002D311F">
        <w:rPr>
          <w:rFonts w:ascii="標楷體" w:eastAsia="標楷體" w:hAnsi="標楷體" w:hint="eastAsia"/>
          <w:color w:val="FF0000"/>
          <w:kern w:val="0"/>
          <w:highlight w:val="yellow"/>
        </w:rPr>
        <w:t>，</w:t>
      </w:r>
      <w:r w:rsidRPr="001B64AB">
        <w:rPr>
          <w:rFonts w:eastAsia="標楷體" w:hint="eastAsia"/>
          <w:szCs w:val="22"/>
        </w:rPr>
        <w:t>細法可度</w:t>
      </w:r>
      <w:r w:rsidR="002D311F">
        <w:rPr>
          <w:rFonts w:ascii="標楷體" w:eastAsia="標楷體" w:hAnsi="標楷體" w:hint="eastAsia"/>
          <w:color w:val="FF0000"/>
          <w:spacing w:val="-4"/>
          <w:kern w:val="0"/>
          <w:highlight w:val="yellow"/>
        </w:rPr>
        <w:t>；</w:t>
      </w:r>
      <w:r w:rsidRPr="001B64AB">
        <w:rPr>
          <w:rFonts w:eastAsia="標楷體" w:hint="eastAsia"/>
          <w:szCs w:val="22"/>
        </w:rPr>
        <w:t>是人</w:t>
      </w:r>
      <w:r w:rsidR="002D311F">
        <w:rPr>
          <w:rFonts w:ascii="標楷體" w:eastAsia="標楷體" w:hAnsi="標楷體" w:hint="eastAsia"/>
          <w:color w:val="FF0000"/>
          <w:kern w:val="0"/>
          <w:highlight w:val="yellow"/>
        </w:rPr>
        <w:t>，</w:t>
      </w:r>
      <w:r w:rsidRPr="001B64AB">
        <w:rPr>
          <w:rFonts w:eastAsia="標楷體" w:hint="eastAsia"/>
          <w:szCs w:val="22"/>
        </w:rPr>
        <w:t>麁法可度</w:t>
      </w:r>
      <w:r w:rsidR="002D311F">
        <w:rPr>
          <w:rFonts w:ascii="標楷體" w:eastAsia="標楷體" w:hAnsi="標楷體" w:hint="eastAsia"/>
          <w:color w:val="FF0000"/>
          <w:kern w:val="0"/>
          <w:highlight w:val="yellow"/>
        </w:rPr>
        <w:t>。</w:t>
      </w:r>
      <w:r w:rsidRPr="001B64AB">
        <w:rPr>
          <w:rFonts w:eastAsia="標楷體" w:hint="eastAsia"/>
          <w:szCs w:val="22"/>
        </w:rPr>
        <w:t>是人</w:t>
      </w:r>
      <w:r w:rsidR="002D311F">
        <w:rPr>
          <w:rFonts w:ascii="標楷體" w:eastAsia="標楷體" w:hAnsi="標楷體" w:hint="eastAsia"/>
          <w:color w:val="FF0000"/>
          <w:kern w:val="0"/>
          <w:highlight w:val="yellow"/>
        </w:rPr>
        <w:t>，</w:t>
      </w:r>
      <w:r w:rsidRPr="001B64AB">
        <w:rPr>
          <w:rFonts w:eastAsia="標楷體" w:hint="eastAsia"/>
          <w:szCs w:val="22"/>
        </w:rPr>
        <w:t>苦切可度</w:t>
      </w:r>
      <w:r w:rsidR="002D311F">
        <w:rPr>
          <w:rFonts w:ascii="標楷體" w:eastAsia="標楷體" w:hAnsi="標楷體" w:hint="eastAsia"/>
          <w:color w:val="FF0000"/>
          <w:spacing w:val="-4"/>
          <w:kern w:val="0"/>
          <w:highlight w:val="yellow"/>
        </w:rPr>
        <w:t>；</w:t>
      </w:r>
      <w:r w:rsidRPr="001B64AB">
        <w:rPr>
          <w:rFonts w:eastAsia="標楷體" w:hint="eastAsia"/>
          <w:szCs w:val="22"/>
        </w:rPr>
        <w:t>是人</w:t>
      </w:r>
      <w:r w:rsidR="002D311F">
        <w:rPr>
          <w:rFonts w:ascii="標楷體" w:eastAsia="標楷體" w:hAnsi="標楷體" w:hint="eastAsia"/>
          <w:color w:val="FF0000"/>
          <w:kern w:val="0"/>
          <w:highlight w:val="yellow"/>
        </w:rPr>
        <w:t>，</w:t>
      </w:r>
      <w:r w:rsidRPr="001B64AB">
        <w:rPr>
          <w:rFonts w:eastAsia="標楷體" w:hint="eastAsia"/>
          <w:szCs w:val="22"/>
        </w:rPr>
        <w:t>軟語可度</w:t>
      </w:r>
      <w:r w:rsidR="002D311F">
        <w:rPr>
          <w:rFonts w:ascii="標楷體" w:eastAsia="標楷體" w:hAnsi="標楷體" w:hint="eastAsia"/>
          <w:color w:val="FF0000"/>
          <w:spacing w:val="-4"/>
          <w:kern w:val="0"/>
          <w:highlight w:val="yellow"/>
        </w:rPr>
        <w:t>；</w:t>
      </w:r>
      <w:r w:rsidRPr="001B64AB">
        <w:rPr>
          <w:rFonts w:eastAsia="標楷體" w:hint="eastAsia"/>
          <w:szCs w:val="22"/>
        </w:rPr>
        <w:t>是人</w:t>
      </w:r>
      <w:r w:rsidR="002D311F">
        <w:rPr>
          <w:rFonts w:ascii="標楷體" w:eastAsia="標楷體" w:hAnsi="標楷體" w:hint="eastAsia"/>
          <w:color w:val="FF0000"/>
          <w:kern w:val="0"/>
          <w:highlight w:val="yellow"/>
        </w:rPr>
        <w:t>，</w:t>
      </w:r>
      <w:r w:rsidRPr="001B64AB">
        <w:rPr>
          <w:rFonts w:eastAsia="標楷體" w:hint="eastAsia"/>
          <w:szCs w:val="22"/>
        </w:rPr>
        <w:t>苦軟可度。</w:t>
      </w:r>
      <w:r w:rsidRPr="00A6163F">
        <w:rPr>
          <w:rFonts w:ascii="標楷體" w:eastAsia="標楷體" w:hAnsi="標楷體" w:hint="eastAsia"/>
          <w:color w:val="FF0000"/>
          <w:szCs w:val="22"/>
          <w:shd w:val="pct15" w:color="auto" w:fill="FFFFFF"/>
        </w:rPr>
        <w:t>……</w:t>
      </w:r>
      <w:r w:rsidR="002D311F">
        <w:rPr>
          <w:rFonts w:ascii="標楷體" w:eastAsia="標楷體" w:hAnsi="標楷體" w:hint="eastAsia"/>
          <w:bCs/>
          <w:color w:val="FF0000"/>
          <w:kern w:val="0"/>
          <w:highlight w:val="yellow"/>
        </w:rPr>
        <w:t>」</w:t>
      </w:r>
    </w:p>
    <w:p w:rsidR="00157EF6" w:rsidRPr="00043A1E" w:rsidRDefault="00157EF6" w:rsidP="00AE3920">
      <w:pPr>
        <w:pStyle w:val="a5"/>
        <w:spacing w:beforeLines="20"/>
        <w:ind w:leftChars="305" w:left="732"/>
        <w:jc w:val="both"/>
        <w:rPr>
          <w:rFonts w:eastAsia="標楷體"/>
          <w:szCs w:val="22"/>
        </w:rPr>
      </w:pPr>
      <w:r w:rsidRPr="001B64AB">
        <w:rPr>
          <w:rFonts w:eastAsia="標楷體" w:hint="eastAsia"/>
          <w:szCs w:val="22"/>
        </w:rPr>
        <w:t>復次，佛知</w:t>
      </w:r>
      <w:r w:rsidR="002D311F">
        <w:rPr>
          <w:rFonts w:ascii="標楷體" w:eastAsia="標楷體" w:hAnsi="標楷體" w:hint="eastAsia"/>
          <w:bCs/>
          <w:color w:val="FF0000"/>
          <w:kern w:val="0"/>
          <w:highlight w:val="yellow"/>
        </w:rPr>
        <w:t>「</w:t>
      </w:r>
      <w:r w:rsidRPr="001B64AB">
        <w:rPr>
          <w:rFonts w:eastAsia="標楷體" w:hint="eastAsia"/>
          <w:szCs w:val="22"/>
        </w:rPr>
        <w:t>是欲界眾生，是色界、是無色界眾生；是地獄、畜生、餓鬼、人、天</w:t>
      </w:r>
      <w:r w:rsidRPr="00043A1E">
        <w:rPr>
          <w:rFonts w:eastAsia="標楷體" w:hint="eastAsia"/>
          <w:szCs w:val="22"/>
        </w:rPr>
        <w:t>；是卵生、胎生、濕生、化生；是有色、是無色，是有想、是無想；是短命，是長命；是但凡夫人未離欲，是凡夫人離下地欲、未離禪欲，如是乃至非有想非無想；是向道，是得果；是辟支佛，是諸佛無礙解脫</w:t>
      </w:r>
      <w:r w:rsidR="002D311F">
        <w:rPr>
          <w:rFonts w:ascii="標楷體" w:eastAsia="標楷體" w:hAnsi="標楷體" w:hint="eastAsia"/>
          <w:bCs/>
          <w:color w:val="FF0000"/>
          <w:kern w:val="0"/>
          <w:highlight w:val="yellow"/>
        </w:rPr>
        <w:t>」</w:t>
      </w:r>
      <w:r w:rsidRPr="00043A1E">
        <w:rPr>
          <w:rFonts w:eastAsia="標楷體" w:hint="eastAsia"/>
          <w:szCs w:val="22"/>
        </w:rPr>
        <w:t>。如是等種種分別</w:t>
      </w:r>
      <w:r w:rsidR="002D311F">
        <w:rPr>
          <w:rFonts w:ascii="標楷體" w:eastAsia="標楷體" w:hAnsi="標楷體" w:hint="eastAsia"/>
          <w:bCs/>
          <w:color w:val="FF0000"/>
          <w:kern w:val="0"/>
          <w:highlight w:val="yellow"/>
        </w:rPr>
        <w:t>「</w:t>
      </w:r>
      <w:r w:rsidRPr="00043A1E">
        <w:rPr>
          <w:rFonts w:eastAsia="標楷體" w:hint="eastAsia"/>
          <w:szCs w:val="22"/>
        </w:rPr>
        <w:t>五道，四生，三聚，假名，障，眾、入、界，善根、不善根，諸結使，地，業果，是可度、是不可度，滅、智</w:t>
      </w:r>
      <w:r w:rsidR="002D311F">
        <w:rPr>
          <w:rFonts w:ascii="標楷體" w:eastAsia="標楷體" w:hAnsi="標楷體" w:hint="eastAsia"/>
          <w:bCs/>
          <w:color w:val="FF0000"/>
          <w:kern w:val="0"/>
          <w:highlight w:val="yellow"/>
        </w:rPr>
        <w:t>」</w:t>
      </w:r>
      <w:r w:rsidRPr="00043A1E">
        <w:rPr>
          <w:rFonts w:eastAsia="標楷體" w:hint="eastAsia"/>
          <w:szCs w:val="22"/>
        </w:rPr>
        <w:t>分別。</w:t>
      </w:r>
    </w:p>
    <w:p w:rsidR="002D311F" w:rsidRDefault="00157EF6" w:rsidP="00AA120F">
      <w:pPr>
        <w:pStyle w:val="a5"/>
        <w:ind w:leftChars="305" w:left="732"/>
        <w:jc w:val="both"/>
        <w:rPr>
          <w:rFonts w:eastAsia="標楷體"/>
          <w:szCs w:val="22"/>
        </w:rPr>
      </w:pPr>
      <w:r w:rsidRPr="00043A1E">
        <w:rPr>
          <w:rFonts w:eastAsia="標楷體" w:hint="eastAsia"/>
          <w:szCs w:val="22"/>
        </w:rPr>
        <w:t>以如是等分別，知世間種種別異性，得無礙解脫。</w:t>
      </w:r>
    </w:p>
    <w:p w:rsidR="00157EF6" w:rsidRPr="00043A1E" w:rsidRDefault="00157EF6" w:rsidP="00AA120F">
      <w:pPr>
        <w:pStyle w:val="a5"/>
        <w:ind w:leftChars="305" w:left="732"/>
        <w:jc w:val="both"/>
        <w:rPr>
          <w:szCs w:val="22"/>
        </w:rPr>
      </w:pPr>
      <w:r w:rsidRPr="002D311F">
        <w:rPr>
          <w:rFonts w:eastAsia="標楷體" w:hint="eastAsia"/>
          <w:szCs w:val="22"/>
          <w:highlight w:val="yellow"/>
        </w:rPr>
        <w:t>如</w:t>
      </w:r>
      <w:r w:rsidRPr="00043A1E">
        <w:rPr>
          <w:rFonts w:eastAsia="標楷體" w:hint="eastAsia"/>
          <w:szCs w:val="22"/>
        </w:rPr>
        <w:t>是等種種別異，佛悉遍知，無能壞、無能勝，是名第六力。</w:t>
      </w:r>
    </w:p>
    <w:p w:rsidR="00157EF6" w:rsidRPr="00043A1E" w:rsidRDefault="00157EF6" w:rsidP="00AA120F">
      <w:pPr>
        <w:pStyle w:val="a5"/>
        <w:ind w:leftChars="80" w:left="731" w:hangingChars="245" w:hanging="539"/>
        <w:jc w:val="both"/>
        <w:rPr>
          <w:szCs w:val="22"/>
        </w:rPr>
      </w:pPr>
      <w:r w:rsidRPr="00043A1E">
        <w:rPr>
          <w:szCs w:val="22"/>
        </w:rPr>
        <w:t>（</w:t>
      </w:r>
      <w:r w:rsidRPr="00761EF3">
        <w:rPr>
          <w:szCs w:val="22"/>
        </w:rPr>
        <w:t>5</w:t>
      </w:r>
      <w:r w:rsidRPr="00043A1E">
        <w:rPr>
          <w:szCs w:val="22"/>
        </w:rPr>
        <w:t>）</w:t>
      </w:r>
      <w:r w:rsidRPr="00043A1E">
        <w:rPr>
          <w:rFonts w:cs="Times Ext Roman" w:hint="eastAsia"/>
          <w:szCs w:val="22"/>
        </w:rPr>
        <w:t>參見</w:t>
      </w:r>
      <w:r w:rsidRPr="00043A1E">
        <w:rPr>
          <w:szCs w:val="22"/>
        </w:rPr>
        <w:t>《阿毘達磨俱舍論》卷</w:t>
      </w:r>
      <w:r w:rsidRPr="00761EF3">
        <w:rPr>
          <w:szCs w:val="22"/>
        </w:rPr>
        <w:t>27</w:t>
      </w:r>
      <w:r w:rsidRPr="00043A1E">
        <w:rPr>
          <w:szCs w:val="22"/>
        </w:rPr>
        <w:t>〈</w:t>
      </w:r>
      <w:r w:rsidRPr="00761EF3">
        <w:rPr>
          <w:szCs w:val="22"/>
        </w:rPr>
        <w:t>7</w:t>
      </w:r>
      <w:r w:rsidRPr="00043A1E">
        <w:rPr>
          <w:szCs w:val="22"/>
        </w:rPr>
        <w:t xml:space="preserve"> </w:t>
      </w:r>
      <w:r w:rsidRPr="00043A1E">
        <w:rPr>
          <w:szCs w:val="22"/>
        </w:rPr>
        <w:t>分別智品〉（大正</w:t>
      </w:r>
      <w:r w:rsidRPr="00761EF3">
        <w:rPr>
          <w:szCs w:val="22"/>
        </w:rPr>
        <w:t>29</w:t>
      </w:r>
      <w:r w:rsidRPr="00043A1E">
        <w:rPr>
          <w:szCs w:val="22"/>
        </w:rPr>
        <w:t>，</w:t>
      </w:r>
      <w:r w:rsidRPr="00761EF3">
        <w:rPr>
          <w:szCs w:val="22"/>
        </w:rPr>
        <w:t>140b9</w:t>
      </w:r>
      <w:r w:rsidRPr="00043A1E">
        <w:rPr>
          <w:szCs w:val="22"/>
        </w:rPr>
        <w:t>-</w:t>
      </w:r>
      <w:r w:rsidRPr="00761EF3">
        <w:rPr>
          <w:szCs w:val="22"/>
        </w:rPr>
        <w:t>19</w:t>
      </w:r>
      <w:r w:rsidRPr="00043A1E">
        <w:rPr>
          <w:szCs w:val="22"/>
        </w:rPr>
        <w:t>）</w:t>
      </w:r>
      <w:r w:rsidRPr="00043A1E">
        <w:rPr>
          <w:rFonts w:eastAsia="標楷體"/>
          <w:szCs w:val="22"/>
        </w:rPr>
        <w:t>。</w:t>
      </w:r>
    </w:p>
  </w:footnote>
  <w:footnote w:id="689">
    <w:p w:rsidR="00157EF6" w:rsidRPr="00043A1E" w:rsidRDefault="00157EF6" w:rsidP="00AA120F">
      <w:pPr>
        <w:pStyle w:val="a5"/>
        <w:ind w:left="187" w:hangingChars="85" w:hanging="187"/>
        <w:jc w:val="both"/>
        <w:rPr>
          <w:szCs w:val="22"/>
        </w:rPr>
      </w:pPr>
      <w:r w:rsidRPr="00043A1E">
        <w:rPr>
          <w:rStyle w:val="a6"/>
          <w:szCs w:val="22"/>
        </w:rPr>
        <w:footnoteRef/>
      </w:r>
      <w:r w:rsidRPr="00043A1E">
        <w:rPr>
          <w:szCs w:val="22"/>
        </w:rPr>
        <w:t xml:space="preserve"> </w:t>
      </w:r>
      <w:r w:rsidRPr="00043A1E">
        <w:rPr>
          <w:szCs w:val="22"/>
        </w:rPr>
        <w:t>印順法師，《中觀論頌講記》，</w:t>
      </w:r>
      <w:r w:rsidRPr="00761EF3">
        <w:rPr>
          <w:szCs w:val="22"/>
        </w:rPr>
        <w:t>p</w:t>
      </w:r>
      <w:r w:rsidRPr="00043A1E">
        <w:rPr>
          <w:szCs w:val="22"/>
        </w:rPr>
        <w:t>.</w:t>
      </w:r>
      <w:r w:rsidRPr="00761EF3">
        <w:rPr>
          <w:szCs w:val="22"/>
        </w:rPr>
        <w:t>122</w:t>
      </w:r>
      <w:r w:rsidRPr="00043A1E">
        <w:rPr>
          <w:szCs w:val="22"/>
        </w:rPr>
        <w:t>：</w:t>
      </w:r>
    </w:p>
    <w:p w:rsidR="00157EF6" w:rsidRDefault="00157EF6" w:rsidP="00AA120F">
      <w:pPr>
        <w:snapToGrid w:val="0"/>
        <w:ind w:leftChars="75" w:left="180"/>
        <w:jc w:val="both"/>
        <w:rPr>
          <w:rFonts w:ascii="Times New Roman" w:eastAsia="標楷體" w:hAnsi="Times New Roman"/>
          <w:sz w:val="22"/>
          <w:szCs w:val="22"/>
        </w:rPr>
      </w:pPr>
      <w:r w:rsidRPr="00043A1E">
        <w:rPr>
          <w:rFonts w:ascii="Times New Roman" w:eastAsia="標楷體" w:hAnsi="Times New Roman"/>
          <w:sz w:val="22"/>
          <w:szCs w:val="22"/>
        </w:rPr>
        <w:t>界的意思有二：</w:t>
      </w:r>
      <w:r w:rsidRPr="00043A1E">
        <w:rPr>
          <w:rFonts w:ascii="Times New Roman" w:eastAsia="標楷體" w:hAnsi="Times New Roman"/>
          <w:b/>
          <w:sz w:val="22"/>
          <w:szCs w:val="22"/>
        </w:rPr>
        <w:t>一、類性</w:t>
      </w:r>
      <w:r w:rsidRPr="00043A1E">
        <w:rPr>
          <w:rFonts w:ascii="Times New Roman" w:eastAsia="標楷體" w:hAnsi="Times New Roman"/>
          <w:sz w:val="22"/>
          <w:szCs w:val="22"/>
        </w:rPr>
        <w:t>，就是類同的。在事相上，是一類類的法；在理性上，就成為普遍性。所以，法界可解說為一切法的普遍真性。</w:t>
      </w:r>
      <w:r w:rsidRPr="00043A1E">
        <w:rPr>
          <w:rFonts w:ascii="Times New Roman" w:eastAsia="標楷體" w:hAnsi="Times New Roman"/>
          <w:b/>
          <w:sz w:val="22"/>
          <w:szCs w:val="22"/>
        </w:rPr>
        <w:t>二、種義</w:t>
      </w:r>
      <w:r w:rsidRPr="00043A1E">
        <w:rPr>
          <w:rFonts w:ascii="Times New Roman" w:eastAsia="標楷體" w:hAnsi="Times New Roman"/>
          <w:sz w:val="22"/>
          <w:szCs w:val="22"/>
        </w:rPr>
        <w:t>，就是所依的因性。這就發生了種子的思想；法界也就被解說為三乘聖法的因性。《俱舍》說界為</w:t>
      </w:r>
      <w:r w:rsidRPr="00043A1E">
        <w:rPr>
          <w:rFonts w:ascii="Times New Roman" w:eastAsia="標楷體" w:hAnsi="Times New Roman"/>
          <w:b/>
          <w:sz w:val="22"/>
          <w:szCs w:val="22"/>
        </w:rPr>
        <w:t>種類、種族</w:t>
      </w:r>
      <w:r w:rsidRPr="00043A1E">
        <w:rPr>
          <w:rFonts w:ascii="Times New Roman" w:eastAsia="標楷體" w:hAnsi="Times New Roman"/>
          <w:sz w:val="22"/>
          <w:szCs w:val="22"/>
        </w:rPr>
        <w:t>，</w:t>
      </w:r>
      <w:r w:rsidR="002D311F" w:rsidRPr="002D311F">
        <w:rPr>
          <w:rFonts w:ascii="Times New Roman" w:eastAsia="標楷體" w:hAnsi="Times New Roman" w:hint="eastAsia"/>
          <w:color w:val="FF0000"/>
          <w:sz w:val="22"/>
          <w:szCs w:val="22"/>
          <w:shd w:val="pct15" w:color="auto" w:fill="FFFFFF"/>
        </w:rPr>
        <w:t>*</w:t>
      </w:r>
      <w:r w:rsidRPr="00043A1E">
        <w:rPr>
          <w:rFonts w:ascii="Times New Roman" w:eastAsia="標楷體" w:hAnsi="Times New Roman"/>
          <w:sz w:val="22"/>
          <w:szCs w:val="22"/>
        </w:rPr>
        <w:t>也就是這個意思。</w:t>
      </w:r>
    </w:p>
    <w:p w:rsidR="002D311F" w:rsidRPr="002D311F" w:rsidRDefault="002D311F" w:rsidP="00AA120F">
      <w:pPr>
        <w:snapToGrid w:val="0"/>
        <w:ind w:leftChars="75" w:left="180"/>
        <w:jc w:val="both"/>
        <w:rPr>
          <w:rFonts w:ascii="Times New Roman" w:hAnsi="Times New Roman"/>
          <w:sz w:val="22"/>
          <w:szCs w:val="22"/>
        </w:rPr>
      </w:pPr>
      <w:r w:rsidRPr="002D311F">
        <w:rPr>
          <w:rFonts w:ascii="Times New Roman" w:eastAsia="標楷體" w:hAnsi="Times New Roman" w:hint="eastAsia"/>
          <w:color w:val="FF0000"/>
          <w:sz w:val="22"/>
          <w:szCs w:val="22"/>
          <w:shd w:val="pct15" w:color="auto" w:fill="FFFFFF"/>
        </w:rPr>
        <w:t>*</w:t>
      </w:r>
      <w:r w:rsidRPr="002D311F">
        <w:rPr>
          <w:rFonts w:ascii="Times New Roman" w:hAnsi="Times New Roman" w:hint="eastAsia"/>
          <w:color w:val="FF0000"/>
          <w:sz w:val="22"/>
          <w:szCs w:val="22"/>
          <w:highlight w:val="yellow"/>
        </w:rPr>
        <w:t>詳見《阿毘達磨俱舍論》卷</w:t>
      </w:r>
      <w:r w:rsidRPr="002D311F">
        <w:rPr>
          <w:rFonts w:ascii="Times New Roman" w:hAnsi="Times New Roman" w:hint="eastAsia"/>
          <w:color w:val="FF0000"/>
          <w:sz w:val="22"/>
          <w:szCs w:val="22"/>
          <w:highlight w:val="yellow"/>
        </w:rPr>
        <w:t>1</w:t>
      </w:r>
      <w:r w:rsidRPr="002D311F">
        <w:rPr>
          <w:rFonts w:ascii="Times New Roman" w:hAnsi="Times New Roman" w:hint="eastAsia"/>
          <w:color w:val="FF0000"/>
          <w:sz w:val="22"/>
          <w:szCs w:val="22"/>
          <w:highlight w:val="yellow"/>
        </w:rPr>
        <w:t>〈</w:t>
      </w:r>
      <w:r w:rsidRPr="002D311F">
        <w:rPr>
          <w:rFonts w:ascii="Times New Roman" w:hAnsi="Times New Roman" w:hint="eastAsia"/>
          <w:color w:val="FF0000"/>
          <w:sz w:val="22"/>
          <w:szCs w:val="22"/>
          <w:highlight w:val="yellow"/>
        </w:rPr>
        <w:t xml:space="preserve">1 </w:t>
      </w:r>
      <w:r w:rsidRPr="002D311F">
        <w:rPr>
          <w:rFonts w:ascii="Times New Roman" w:hAnsi="Times New Roman" w:hint="eastAsia"/>
          <w:color w:val="FF0000"/>
          <w:sz w:val="22"/>
          <w:szCs w:val="22"/>
          <w:highlight w:val="yellow"/>
        </w:rPr>
        <w:t>分別界品〉</w:t>
      </w:r>
      <w:r w:rsidRPr="002D311F">
        <w:rPr>
          <w:rFonts w:ascii="Times New Roman" w:hAnsi="Times New Roman"/>
          <w:color w:val="FF0000"/>
          <w:sz w:val="22"/>
          <w:szCs w:val="22"/>
          <w:highlight w:val="yellow"/>
        </w:rPr>
        <w:t>（大正</w:t>
      </w:r>
      <w:r w:rsidRPr="002D311F">
        <w:rPr>
          <w:rFonts w:ascii="Times New Roman" w:hAnsi="Times New Roman"/>
          <w:color w:val="FF0000"/>
          <w:sz w:val="22"/>
          <w:szCs w:val="22"/>
          <w:highlight w:val="yellow"/>
        </w:rPr>
        <w:t>29</w:t>
      </w:r>
      <w:r w:rsidRPr="002D311F">
        <w:rPr>
          <w:rFonts w:ascii="Times New Roman" w:hAnsi="Times New Roman" w:hint="eastAsia"/>
          <w:color w:val="FF0000"/>
          <w:sz w:val="22"/>
          <w:szCs w:val="22"/>
          <w:highlight w:val="yellow"/>
        </w:rPr>
        <w:t>，</w:t>
      </w:r>
      <w:r w:rsidRPr="002D311F">
        <w:rPr>
          <w:rFonts w:ascii="Times New Roman" w:hAnsi="Times New Roman" w:hint="eastAsia"/>
          <w:color w:val="FF0000"/>
          <w:sz w:val="22"/>
          <w:szCs w:val="22"/>
          <w:highlight w:val="yellow"/>
        </w:rPr>
        <w:t>5a4-10</w:t>
      </w:r>
      <w:r w:rsidRPr="002D311F">
        <w:rPr>
          <w:rFonts w:ascii="Times New Roman" w:hAnsi="Times New Roman"/>
          <w:color w:val="FF0000"/>
          <w:sz w:val="22"/>
          <w:szCs w:val="22"/>
          <w:highlight w:val="yellow"/>
        </w:rPr>
        <w:t>）。</w:t>
      </w:r>
    </w:p>
  </w:footnote>
  <w:footnote w:id="690">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稟性：猶天性。指天賦的品性資質。（《漢語大詞典》（八）</w:t>
      </w:r>
      <w:r w:rsidRPr="00043A1E">
        <w:rPr>
          <w:rFonts w:hint="eastAsia"/>
          <w:szCs w:val="22"/>
        </w:rPr>
        <w:t>，</w:t>
      </w:r>
      <w:r w:rsidRPr="00761EF3">
        <w:rPr>
          <w:szCs w:val="22"/>
        </w:rPr>
        <w:t>p</w:t>
      </w:r>
      <w:r w:rsidRPr="00043A1E">
        <w:rPr>
          <w:szCs w:val="22"/>
        </w:rPr>
        <w:t>.</w:t>
      </w:r>
      <w:r w:rsidRPr="00761EF3">
        <w:rPr>
          <w:szCs w:val="22"/>
        </w:rPr>
        <w:t>105</w:t>
      </w:r>
      <w:r w:rsidRPr="00043A1E">
        <w:rPr>
          <w:szCs w:val="22"/>
        </w:rPr>
        <w:t>）</w:t>
      </w:r>
    </w:p>
  </w:footnote>
  <w:footnote w:id="691">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串習：習慣。（《漢語大詞典》（一）</w:t>
      </w:r>
      <w:r w:rsidRPr="00043A1E">
        <w:rPr>
          <w:rFonts w:hint="eastAsia"/>
          <w:szCs w:val="22"/>
        </w:rPr>
        <w:t>，</w:t>
      </w:r>
      <w:r w:rsidRPr="00761EF3">
        <w:rPr>
          <w:szCs w:val="22"/>
        </w:rPr>
        <w:t>p</w:t>
      </w:r>
      <w:r w:rsidRPr="00043A1E">
        <w:rPr>
          <w:szCs w:val="22"/>
        </w:rPr>
        <w:t>.</w:t>
      </w:r>
      <w:r w:rsidRPr="00761EF3">
        <w:rPr>
          <w:szCs w:val="22"/>
        </w:rPr>
        <w:t>625</w:t>
      </w:r>
      <w:r w:rsidRPr="00043A1E">
        <w:rPr>
          <w:szCs w:val="22"/>
        </w:rPr>
        <w:t>）</w:t>
      </w:r>
    </w:p>
  </w:footnote>
  <w:footnote w:id="692">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嗜欲：亦作</w:t>
      </w:r>
      <w:r w:rsidRPr="00043A1E">
        <w:rPr>
          <w:szCs w:val="22"/>
        </w:rPr>
        <w:t>“</w:t>
      </w:r>
      <w:r w:rsidRPr="00043A1E">
        <w:rPr>
          <w:szCs w:val="22"/>
        </w:rPr>
        <w:t>嗜慾</w:t>
      </w:r>
      <w:r w:rsidRPr="00043A1E">
        <w:rPr>
          <w:szCs w:val="22"/>
        </w:rPr>
        <w:t>”</w:t>
      </w:r>
      <w:r w:rsidRPr="00043A1E">
        <w:rPr>
          <w:szCs w:val="22"/>
        </w:rPr>
        <w:t>。</w:t>
      </w:r>
      <w:r w:rsidRPr="00761EF3">
        <w:rPr>
          <w:szCs w:val="22"/>
        </w:rPr>
        <w:t>1</w:t>
      </w:r>
      <w:r w:rsidRPr="00043A1E">
        <w:rPr>
          <w:szCs w:val="22"/>
        </w:rPr>
        <w:t>.</w:t>
      </w:r>
      <w:r w:rsidRPr="00043A1E">
        <w:rPr>
          <w:szCs w:val="22"/>
        </w:rPr>
        <w:t>嗜好與欲望。多指貪圖身體感官方面享受的欲望。（《漢語大詞典》（三）</w:t>
      </w:r>
      <w:r w:rsidRPr="00043A1E">
        <w:rPr>
          <w:rFonts w:hint="eastAsia"/>
          <w:szCs w:val="22"/>
        </w:rPr>
        <w:t>，</w:t>
      </w:r>
      <w:r w:rsidRPr="00761EF3">
        <w:rPr>
          <w:szCs w:val="22"/>
        </w:rPr>
        <w:t>p</w:t>
      </w:r>
      <w:r w:rsidRPr="00043A1E">
        <w:rPr>
          <w:szCs w:val="22"/>
        </w:rPr>
        <w:t>.</w:t>
      </w:r>
      <w:r w:rsidRPr="00761EF3">
        <w:rPr>
          <w:szCs w:val="22"/>
        </w:rPr>
        <w:t>456</w:t>
      </w:r>
      <w:r w:rsidRPr="00043A1E">
        <w:rPr>
          <w:szCs w:val="22"/>
        </w:rPr>
        <w:t>）</w:t>
      </w:r>
    </w:p>
  </w:footnote>
  <w:footnote w:id="693">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積漸：逐漸形成。（《漢語大詞典》（八）</w:t>
      </w:r>
      <w:r w:rsidRPr="00043A1E">
        <w:rPr>
          <w:rFonts w:hint="eastAsia"/>
          <w:szCs w:val="22"/>
        </w:rPr>
        <w:t>，</w:t>
      </w:r>
      <w:r w:rsidRPr="00761EF3">
        <w:rPr>
          <w:szCs w:val="22"/>
        </w:rPr>
        <w:t>p</w:t>
      </w:r>
      <w:r w:rsidRPr="00043A1E">
        <w:rPr>
          <w:szCs w:val="22"/>
        </w:rPr>
        <w:t>.</w:t>
      </w:r>
      <w:r w:rsidRPr="00761EF3">
        <w:rPr>
          <w:szCs w:val="22"/>
        </w:rPr>
        <w:t>144</w:t>
      </w:r>
      <w:r w:rsidRPr="00043A1E">
        <w:rPr>
          <w:szCs w:val="22"/>
        </w:rPr>
        <w:t>）</w:t>
      </w:r>
    </w:p>
  </w:footnote>
  <w:footnote w:id="694">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著（</w:t>
      </w:r>
      <w:r w:rsidRPr="00043A1E">
        <w:rPr>
          <w:rFonts w:eastAsia="標楷體"/>
          <w:szCs w:val="22"/>
        </w:rPr>
        <w:t>ㄓㄨ</w:t>
      </w:r>
      <w:r w:rsidRPr="00043A1E">
        <w:rPr>
          <w:rFonts w:ascii="標楷體" w:eastAsia="標楷體" w:hAnsi="標楷體"/>
          <w:szCs w:val="22"/>
        </w:rPr>
        <w:t>ˋ</w:t>
      </w:r>
      <w:r w:rsidRPr="00043A1E">
        <w:rPr>
          <w:szCs w:val="22"/>
        </w:rPr>
        <w:t>）：亦作</w:t>
      </w:r>
      <w:r w:rsidRPr="00043A1E">
        <w:rPr>
          <w:szCs w:val="22"/>
        </w:rPr>
        <w:t>“</w:t>
      </w:r>
      <w:r w:rsidRPr="00043A1E">
        <w:rPr>
          <w:szCs w:val="22"/>
        </w:rPr>
        <w:t>箸</w:t>
      </w:r>
      <w:r w:rsidRPr="00043A1E">
        <w:rPr>
          <w:szCs w:val="22"/>
        </w:rPr>
        <w:t>”</w:t>
      </w:r>
      <w:r w:rsidRPr="00043A1E">
        <w:rPr>
          <w:szCs w:val="22"/>
        </w:rPr>
        <w:t>。</w:t>
      </w:r>
      <w:r w:rsidRPr="00761EF3">
        <w:rPr>
          <w:szCs w:val="22"/>
        </w:rPr>
        <w:t>1</w:t>
      </w:r>
      <w:r w:rsidRPr="00043A1E">
        <w:rPr>
          <w:szCs w:val="22"/>
        </w:rPr>
        <w:t>.</w:t>
      </w:r>
      <w:r w:rsidRPr="00043A1E">
        <w:rPr>
          <w:szCs w:val="22"/>
        </w:rPr>
        <w:t>明顯，顯著。（《漢語大詞典》（九）</w:t>
      </w:r>
      <w:r w:rsidRPr="00043A1E">
        <w:rPr>
          <w:rFonts w:hint="eastAsia"/>
          <w:szCs w:val="22"/>
        </w:rPr>
        <w:t>，</w:t>
      </w:r>
      <w:r w:rsidRPr="00761EF3">
        <w:rPr>
          <w:szCs w:val="22"/>
        </w:rPr>
        <w:t>p</w:t>
      </w:r>
      <w:r w:rsidRPr="00043A1E">
        <w:rPr>
          <w:szCs w:val="22"/>
        </w:rPr>
        <w:t>.</w:t>
      </w:r>
      <w:r w:rsidRPr="00761EF3">
        <w:rPr>
          <w:szCs w:val="22"/>
        </w:rPr>
        <w:t>430</w:t>
      </w:r>
      <w:r w:rsidRPr="00043A1E">
        <w:rPr>
          <w:szCs w:val="22"/>
        </w:rPr>
        <w:t>）</w:t>
      </w:r>
    </w:p>
  </w:footnote>
  <w:footnote w:id="695">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）親光等造，</w:t>
      </w:r>
      <w:r>
        <w:rPr>
          <w:rFonts w:hint="eastAsia"/>
          <w:szCs w:val="22"/>
        </w:rPr>
        <w:t>［唐］</w:t>
      </w:r>
      <w:r w:rsidRPr="00043A1E">
        <w:rPr>
          <w:rFonts w:hint="eastAsia"/>
          <w:szCs w:val="22"/>
        </w:rPr>
        <w:t>玄奘譯，《佛地經論》卷</w:t>
      </w:r>
      <w:r w:rsidRPr="00761EF3">
        <w:rPr>
          <w:rFonts w:hint="eastAsia"/>
          <w:szCs w:val="22"/>
        </w:rPr>
        <w:t>2</w:t>
      </w:r>
      <w:r w:rsidRPr="00043A1E">
        <w:rPr>
          <w:rFonts w:hint="eastAsia"/>
          <w:szCs w:val="22"/>
        </w:rPr>
        <w:t>（大正</w:t>
      </w:r>
      <w:r w:rsidRPr="00761EF3">
        <w:rPr>
          <w:rFonts w:hint="eastAsia"/>
          <w:szCs w:val="22"/>
        </w:rPr>
        <w:t>26</w:t>
      </w:r>
      <w:r w:rsidRPr="00043A1E">
        <w:rPr>
          <w:rFonts w:hint="eastAsia"/>
          <w:szCs w:val="22"/>
        </w:rPr>
        <w:t>，</w:t>
      </w:r>
      <w:r w:rsidRPr="00761EF3">
        <w:rPr>
          <w:rFonts w:hint="eastAsia"/>
          <w:szCs w:val="22"/>
        </w:rPr>
        <w:t>298a12</w:t>
      </w:r>
      <w:r w:rsidRPr="00043A1E">
        <w:rPr>
          <w:rFonts w:hint="eastAsia"/>
          <w:szCs w:val="22"/>
        </w:rPr>
        <w:t>-</w:t>
      </w:r>
      <w:r w:rsidRPr="00761EF3">
        <w:rPr>
          <w:rFonts w:hint="eastAsia"/>
          <w:szCs w:val="22"/>
        </w:rPr>
        <w:t>15</w:t>
      </w:r>
      <w:r w:rsidRPr="00043A1E">
        <w:rPr>
          <w:rFonts w:hint="eastAsia"/>
          <w:szCs w:val="22"/>
        </w:rPr>
        <w:t>）：</w:t>
      </w:r>
    </w:p>
    <w:p w:rsidR="00157EF6" w:rsidRPr="00043A1E" w:rsidRDefault="00157EF6" w:rsidP="00AA120F">
      <w:pPr>
        <w:snapToGrid w:val="0"/>
        <w:ind w:leftChars="335" w:left="804"/>
        <w:jc w:val="both"/>
        <w:rPr>
          <w:rFonts w:ascii="Times New Roman" w:hAnsi="Times New Roman"/>
          <w:sz w:val="22"/>
          <w:szCs w:val="22"/>
        </w:rPr>
      </w:pPr>
      <w:r w:rsidRPr="00043A1E">
        <w:rPr>
          <w:rFonts w:ascii="標楷體" w:eastAsia="標楷體" w:hAnsi="標楷體" w:hint="eastAsia"/>
          <w:sz w:val="22"/>
          <w:szCs w:val="22"/>
        </w:rPr>
        <w:t>無始時來</w:t>
      </w:r>
      <w:r w:rsidR="002D311F">
        <w:rPr>
          <w:rFonts w:ascii="標楷體" w:eastAsia="標楷體" w:hAnsi="標楷體" w:hint="eastAsia"/>
          <w:color w:val="FF0000"/>
          <w:kern w:val="0"/>
          <w:sz w:val="22"/>
          <w:highlight w:val="yellow"/>
        </w:rPr>
        <w:t>，</w:t>
      </w:r>
      <w:r w:rsidRPr="00043A1E">
        <w:rPr>
          <w:rFonts w:ascii="標楷體" w:eastAsia="標楷體" w:hAnsi="標楷體" w:hint="eastAsia"/>
          <w:sz w:val="22"/>
          <w:szCs w:val="22"/>
        </w:rPr>
        <w:t>一切有情有五種性：一、聲聞種性，二、獨覺種性，三、如來種性，四、不定種性，五、無有出世功德種性。</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w:t>
      </w:r>
      <w:r w:rsidRPr="00043A1E">
        <w:rPr>
          <w:szCs w:val="22"/>
        </w:rPr>
        <w:t>〔唐〕實叉難陀譯，《大乘入楞伽經》卷</w:t>
      </w:r>
      <w:r w:rsidRPr="00761EF3">
        <w:rPr>
          <w:szCs w:val="22"/>
        </w:rPr>
        <w:t>2</w:t>
      </w:r>
      <w:r w:rsidRPr="00043A1E">
        <w:rPr>
          <w:szCs w:val="22"/>
        </w:rPr>
        <w:t>〈</w:t>
      </w:r>
      <w:r w:rsidRPr="00761EF3">
        <w:rPr>
          <w:szCs w:val="22"/>
        </w:rPr>
        <w:t>2</w:t>
      </w:r>
      <w:r w:rsidRPr="00043A1E">
        <w:rPr>
          <w:szCs w:val="22"/>
        </w:rPr>
        <w:t xml:space="preserve"> </w:t>
      </w:r>
      <w:r w:rsidRPr="00043A1E">
        <w:rPr>
          <w:szCs w:val="22"/>
        </w:rPr>
        <w:t>集一切法品〉（大正</w:t>
      </w:r>
      <w:r w:rsidRPr="00761EF3">
        <w:rPr>
          <w:szCs w:val="22"/>
        </w:rPr>
        <w:t>16</w:t>
      </w:r>
      <w:r w:rsidRPr="00043A1E">
        <w:rPr>
          <w:szCs w:val="22"/>
        </w:rPr>
        <w:t>，</w:t>
      </w:r>
      <w:r w:rsidRPr="00761EF3">
        <w:rPr>
          <w:szCs w:val="22"/>
        </w:rPr>
        <w:t>597a29</w:t>
      </w:r>
      <w:r w:rsidRPr="00043A1E">
        <w:rPr>
          <w:szCs w:val="22"/>
        </w:rPr>
        <w:t>-</w:t>
      </w:r>
      <w:r w:rsidRPr="00761EF3">
        <w:rPr>
          <w:szCs w:val="22"/>
        </w:rPr>
        <w:t>b2</w:t>
      </w:r>
      <w:r w:rsidRPr="00043A1E">
        <w:rPr>
          <w:szCs w:val="22"/>
        </w:rPr>
        <w:t>）：</w:t>
      </w:r>
    </w:p>
    <w:p w:rsidR="00157EF6" w:rsidRPr="00043A1E" w:rsidRDefault="00157EF6" w:rsidP="00AA120F">
      <w:pPr>
        <w:pStyle w:val="a5"/>
        <w:ind w:leftChars="335" w:left="804"/>
        <w:jc w:val="both"/>
        <w:rPr>
          <w:rFonts w:eastAsia="標楷體"/>
          <w:szCs w:val="22"/>
        </w:rPr>
      </w:pPr>
      <w:r w:rsidRPr="00043A1E">
        <w:rPr>
          <w:rFonts w:ascii="標楷體" w:eastAsia="標楷體" w:hAnsi="標楷體"/>
          <w:szCs w:val="22"/>
        </w:rPr>
        <w:t>有五</w:t>
      </w:r>
      <w:r w:rsidRPr="00043A1E">
        <w:rPr>
          <w:rFonts w:eastAsia="標楷體"/>
          <w:szCs w:val="22"/>
        </w:rPr>
        <w:t>種種性。何等為五？謂聲聞乘種性</w:t>
      </w:r>
      <w:r w:rsidR="008D652C">
        <w:rPr>
          <w:rFonts w:ascii="標楷體" w:eastAsia="標楷體" w:hAnsi="標楷體" w:hint="eastAsia"/>
          <w:color w:val="FF0000"/>
          <w:spacing w:val="-4"/>
          <w:kern w:val="0"/>
          <w:highlight w:val="yellow"/>
        </w:rPr>
        <w:t>、</w:t>
      </w:r>
      <w:r w:rsidR="008D652C">
        <w:rPr>
          <w:rFonts w:eastAsia="標楷體"/>
          <w:szCs w:val="22"/>
        </w:rPr>
        <w:t>緣覺乘種性</w:t>
      </w:r>
      <w:r w:rsidR="008D652C">
        <w:rPr>
          <w:rFonts w:ascii="標楷體" w:eastAsia="標楷體" w:hAnsi="標楷體" w:hint="eastAsia"/>
          <w:color w:val="FF0000"/>
          <w:spacing w:val="-4"/>
          <w:kern w:val="0"/>
          <w:highlight w:val="yellow"/>
        </w:rPr>
        <w:t>、</w:t>
      </w:r>
      <w:r w:rsidRPr="00043A1E">
        <w:rPr>
          <w:rFonts w:eastAsia="標楷體"/>
          <w:szCs w:val="22"/>
        </w:rPr>
        <w:t>如來乘種性</w:t>
      </w:r>
      <w:r w:rsidR="008D652C">
        <w:rPr>
          <w:rFonts w:ascii="標楷體" w:eastAsia="標楷體" w:hAnsi="標楷體" w:hint="eastAsia"/>
          <w:color w:val="FF0000"/>
          <w:spacing w:val="-4"/>
          <w:kern w:val="0"/>
          <w:highlight w:val="yellow"/>
        </w:rPr>
        <w:t>、</w:t>
      </w:r>
      <w:r w:rsidRPr="00043A1E">
        <w:rPr>
          <w:rFonts w:eastAsia="標楷體"/>
          <w:szCs w:val="22"/>
        </w:rPr>
        <w:t>不定種性</w:t>
      </w:r>
      <w:r w:rsidR="008D652C">
        <w:rPr>
          <w:rFonts w:ascii="標楷體" w:eastAsia="標楷體" w:hAnsi="標楷體" w:hint="eastAsia"/>
          <w:color w:val="FF0000"/>
          <w:spacing w:val="-4"/>
          <w:kern w:val="0"/>
          <w:highlight w:val="yellow"/>
        </w:rPr>
        <w:t>、</w:t>
      </w:r>
      <w:r w:rsidRPr="00043A1E">
        <w:rPr>
          <w:rFonts w:eastAsia="標楷體"/>
          <w:szCs w:val="22"/>
        </w:rPr>
        <w:t>無種性。</w:t>
      </w:r>
    </w:p>
  </w:footnote>
  <w:footnote w:id="696">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szCs w:val="22"/>
        </w:rPr>
        <w:t>）《中論》卷</w:t>
      </w:r>
      <w:r w:rsidRPr="00761EF3">
        <w:rPr>
          <w:szCs w:val="22"/>
        </w:rPr>
        <w:t>4</w:t>
      </w:r>
      <w:r w:rsidRPr="00043A1E">
        <w:rPr>
          <w:szCs w:val="22"/>
        </w:rPr>
        <w:t>〈</w:t>
      </w:r>
      <w:r w:rsidRPr="00761EF3">
        <w:rPr>
          <w:szCs w:val="22"/>
        </w:rPr>
        <w:t>24</w:t>
      </w:r>
      <w:r w:rsidRPr="00043A1E">
        <w:rPr>
          <w:szCs w:val="22"/>
        </w:rPr>
        <w:t xml:space="preserve"> </w:t>
      </w:r>
      <w:r w:rsidRPr="00043A1E">
        <w:rPr>
          <w:szCs w:val="22"/>
        </w:rPr>
        <w:t>觀四諦品〉（大正</w:t>
      </w:r>
      <w:r w:rsidRPr="00761EF3">
        <w:rPr>
          <w:szCs w:val="22"/>
        </w:rPr>
        <w:t>30</w:t>
      </w:r>
      <w:r w:rsidRPr="00043A1E">
        <w:rPr>
          <w:szCs w:val="22"/>
        </w:rPr>
        <w:t>，</w:t>
      </w:r>
      <w:r w:rsidRPr="00761EF3">
        <w:rPr>
          <w:szCs w:val="22"/>
        </w:rPr>
        <w:t>34a24</w:t>
      </w:r>
      <w:r w:rsidRPr="00043A1E">
        <w:rPr>
          <w:szCs w:val="22"/>
        </w:rPr>
        <w:t>-</w:t>
      </w:r>
      <w:r w:rsidRPr="00761EF3">
        <w:rPr>
          <w:szCs w:val="22"/>
        </w:rPr>
        <w:t>25</w:t>
      </w:r>
      <w:r w:rsidRPr="00043A1E">
        <w:rPr>
          <w:szCs w:val="22"/>
        </w:rPr>
        <w:t>）：</w:t>
      </w:r>
    </w:p>
    <w:p w:rsidR="00157EF6" w:rsidRPr="00043A1E" w:rsidRDefault="00157EF6" w:rsidP="00AA120F">
      <w:pPr>
        <w:snapToGrid w:val="0"/>
        <w:ind w:leftChars="335" w:left="804"/>
        <w:jc w:val="both"/>
        <w:rPr>
          <w:rFonts w:ascii="Times New Roman" w:hAnsi="Times New Roman"/>
          <w:sz w:val="22"/>
          <w:szCs w:val="22"/>
        </w:rPr>
      </w:pPr>
      <w:r w:rsidRPr="00043A1E">
        <w:rPr>
          <w:rFonts w:ascii="Times New Roman" w:eastAsia="標楷體" w:hAnsi="Times New Roman"/>
          <w:b/>
          <w:sz w:val="22"/>
          <w:szCs w:val="22"/>
        </w:rPr>
        <w:t>雖復勤精進，修行菩提道，若先非佛性，不應得成佛。</w:t>
      </w:r>
    </w:p>
    <w:p w:rsidR="00157EF6" w:rsidRPr="00043A1E" w:rsidRDefault="00157EF6" w:rsidP="00AA120F">
      <w:pPr>
        <w:pStyle w:val="a5"/>
        <w:ind w:leftChars="105" w:left="791" w:hangingChars="245" w:hanging="539"/>
        <w:jc w:val="both"/>
        <w:rPr>
          <w:szCs w:val="22"/>
        </w:rPr>
      </w:pPr>
      <w:r w:rsidRPr="00043A1E">
        <w:rPr>
          <w:szCs w:val="22"/>
        </w:rPr>
        <w:t>（</w:t>
      </w:r>
      <w:r w:rsidRPr="00761EF3">
        <w:rPr>
          <w:szCs w:val="22"/>
        </w:rPr>
        <w:t>2</w:t>
      </w:r>
      <w:r w:rsidRPr="00043A1E">
        <w:rPr>
          <w:szCs w:val="22"/>
        </w:rPr>
        <w:t>）印順法師</w:t>
      </w:r>
      <w:r w:rsidRPr="00043A1E">
        <w:rPr>
          <w:rFonts w:hint="eastAsia"/>
          <w:szCs w:val="22"/>
        </w:rPr>
        <w:t>，</w:t>
      </w:r>
      <w:r w:rsidRPr="00043A1E">
        <w:rPr>
          <w:szCs w:val="22"/>
        </w:rPr>
        <w:t>《中觀論頌講記》</w:t>
      </w:r>
      <w:r w:rsidRPr="00043A1E">
        <w:rPr>
          <w:rFonts w:hint="eastAsia"/>
          <w:szCs w:val="22"/>
        </w:rPr>
        <w:t>，</w:t>
      </w:r>
      <w:r w:rsidRPr="00761EF3">
        <w:rPr>
          <w:szCs w:val="22"/>
        </w:rPr>
        <w:t>pp</w:t>
      </w:r>
      <w:r w:rsidRPr="00043A1E">
        <w:rPr>
          <w:szCs w:val="22"/>
        </w:rPr>
        <w:t>.</w:t>
      </w:r>
      <w:r w:rsidRPr="00761EF3">
        <w:rPr>
          <w:szCs w:val="22"/>
        </w:rPr>
        <w:t>474</w:t>
      </w:r>
      <w:r w:rsidRPr="00043A1E">
        <w:rPr>
          <w:szCs w:val="22"/>
        </w:rPr>
        <w:t>-</w:t>
      </w:r>
      <w:r w:rsidRPr="00761EF3">
        <w:rPr>
          <w:szCs w:val="22"/>
        </w:rPr>
        <w:t>475</w:t>
      </w:r>
      <w:r w:rsidRPr="00043A1E">
        <w:rPr>
          <w:szCs w:val="22"/>
        </w:rPr>
        <w:t>：</w:t>
      </w:r>
    </w:p>
    <w:p w:rsidR="00157EF6" w:rsidRPr="00043A1E" w:rsidRDefault="00157EF6" w:rsidP="00AA120F">
      <w:pPr>
        <w:snapToGrid w:val="0"/>
        <w:ind w:leftChars="335" w:left="804"/>
        <w:jc w:val="both"/>
        <w:rPr>
          <w:rFonts w:ascii="Times New Roman" w:eastAsia="標楷體" w:hAnsi="Times New Roman"/>
          <w:b/>
          <w:sz w:val="22"/>
          <w:szCs w:val="22"/>
        </w:rPr>
      </w:pPr>
      <w:r w:rsidRPr="00043A1E">
        <w:rPr>
          <w:rFonts w:ascii="Times New Roman" w:eastAsia="標楷體" w:hAnsi="Times New Roman"/>
          <w:b/>
          <w:sz w:val="22"/>
          <w:szCs w:val="22"/>
        </w:rPr>
        <w:t>一般的有情，是沒有成佛的，自然也就沒有佛的體性。</w:t>
      </w:r>
      <w:r w:rsidRPr="00043A1E">
        <w:rPr>
          <w:rFonts w:ascii="Times New Roman" w:eastAsia="標楷體" w:hAnsi="Times New Roman"/>
          <w:sz w:val="22"/>
          <w:szCs w:val="22"/>
        </w:rPr>
        <w:t>既先前沒有佛性，就該永沒有；因為自性有的佛，一定是始終一如的。有定性，就不能先沒有而後有。這樣，眾生本來沒有成佛，就是沒有佛性。</w:t>
      </w:r>
      <w:r w:rsidRPr="00043A1E">
        <w:rPr>
          <w:rFonts w:ascii="Times New Roman" w:eastAsia="標楷體" w:hAnsi="Times New Roman"/>
          <w:b/>
          <w:sz w:val="22"/>
          <w:szCs w:val="22"/>
        </w:rPr>
        <w:t>既沒有佛性，「雖」發菩提心而「復勤」猛「精進」的「修行」六度萬行，嚴土度生的「菩提道」，然他原「先」沒有「佛性」，發心修行也還是「不」「得成佛」。</w:t>
      </w:r>
    </w:p>
    <w:p w:rsidR="00157EF6" w:rsidRPr="001B64AB" w:rsidRDefault="00157EF6" w:rsidP="00AE3920">
      <w:pPr>
        <w:snapToGrid w:val="0"/>
        <w:spacing w:beforeLines="20"/>
        <w:ind w:leftChars="335" w:left="804"/>
        <w:jc w:val="both"/>
        <w:rPr>
          <w:rFonts w:ascii="Times New Roman" w:eastAsia="標楷體" w:hAnsi="Times New Roman"/>
          <w:sz w:val="22"/>
          <w:szCs w:val="22"/>
        </w:rPr>
      </w:pPr>
      <w:r w:rsidRPr="001B64AB">
        <w:rPr>
          <w:rFonts w:ascii="Times New Roman" w:eastAsia="標楷體" w:hAnsi="Times New Roman"/>
          <w:sz w:val="22"/>
          <w:szCs w:val="22"/>
        </w:rPr>
        <w:t>事實上，以善士指示，聽聞正法，發菩提心為因，三大阿僧祇的長期修行為緣，到福智資糧圓滿時，是可以成佛的。在因緣和合的條件下，既可以成佛，可知是緣起無自性的。</w:t>
      </w:r>
    </w:p>
    <w:p w:rsidR="00157EF6" w:rsidRPr="001B64AB" w:rsidRDefault="00157EF6" w:rsidP="00AE3920">
      <w:pPr>
        <w:snapToGrid w:val="0"/>
        <w:spacing w:beforeLines="20"/>
        <w:ind w:leftChars="335" w:left="804"/>
        <w:jc w:val="both"/>
        <w:rPr>
          <w:rFonts w:ascii="Times New Roman" w:eastAsia="標楷體" w:hAnsi="Times New Roman"/>
          <w:sz w:val="22"/>
          <w:szCs w:val="22"/>
        </w:rPr>
      </w:pPr>
      <w:r w:rsidRPr="001B64AB">
        <w:rPr>
          <w:rFonts w:ascii="Times New Roman" w:eastAsia="標楷體" w:hAnsi="Times New Roman"/>
          <w:sz w:val="22"/>
          <w:szCs w:val="22"/>
        </w:rPr>
        <w:t>實有論者，如說一切有部等，也還是說修行成佛的。現在難他不得成佛，是因他主張有定性的，有定性怎麼可以修行成佛呢？</w:t>
      </w:r>
    </w:p>
    <w:p w:rsidR="00157EF6" w:rsidRPr="001B64AB" w:rsidRDefault="00157EF6" w:rsidP="00AE3920">
      <w:pPr>
        <w:snapToGrid w:val="0"/>
        <w:spacing w:beforeLines="20"/>
        <w:ind w:leftChars="335" w:left="804"/>
        <w:jc w:val="both"/>
        <w:rPr>
          <w:rFonts w:ascii="Times New Roman" w:eastAsia="標楷體" w:hAnsi="Times New Roman"/>
          <w:sz w:val="22"/>
          <w:szCs w:val="22"/>
        </w:rPr>
      </w:pPr>
      <w:r w:rsidRPr="001B64AB">
        <w:rPr>
          <w:rFonts w:ascii="Times New Roman" w:eastAsia="標楷體" w:hAnsi="Times New Roman"/>
          <w:b/>
          <w:sz w:val="22"/>
          <w:szCs w:val="22"/>
        </w:rPr>
        <w:t>真常妙有論者，不知性空者以眾生沒有佛自性的理論，責難實事論者。竟然斷章取義的，以本頌為據，說龍樹菩薩也成立一切眾生皆有佛性</w:t>
      </w:r>
      <w:r w:rsidRPr="001B64AB">
        <w:rPr>
          <w:rFonts w:ascii="新細明體" w:hAnsi="新細明體"/>
          <w:b/>
          <w:sz w:val="22"/>
          <w:szCs w:val="22"/>
        </w:rPr>
        <w:t>──</w:t>
      </w:r>
      <w:r w:rsidRPr="001B64AB">
        <w:rPr>
          <w:rFonts w:ascii="Times New Roman" w:eastAsia="標楷體" w:hAnsi="Times New Roman"/>
          <w:b/>
          <w:sz w:val="22"/>
          <w:szCs w:val="22"/>
        </w:rPr>
        <w:t>「</w:t>
      </w:r>
      <w:r w:rsidRPr="001B64AB">
        <w:rPr>
          <w:rFonts w:ascii="Times New Roman" w:eastAsia="標楷體" w:hAnsi="Times New Roman"/>
          <w:sz w:val="22"/>
          <w:szCs w:val="22"/>
        </w:rPr>
        <w:t>假使眾生起初沒有佛性，就不能成佛了。現見眾生能成佛，可知原來就有這佛性存在的。不然，修行怎麼能成佛呢？」</w:t>
      </w:r>
    </w:p>
    <w:p w:rsidR="00157EF6" w:rsidRPr="00043A1E" w:rsidRDefault="00157EF6" w:rsidP="00AE3920">
      <w:pPr>
        <w:snapToGrid w:val="0"/>
        <w:spacing w:beforeLines="20"/>
        <w:ind w:leftChars="335" w:left="804"/>
        <w:jc w:val="both"/>
        <w:rPr>
          <w:rFonts w:ascii="Times New Roman" w:eastAsia="標楷體" w:hAnsi="Times New Roman"/>
          <w:sz w:val="22"/>
          <w:szCs w:val="22"/>
        </w:rPr>
      </w:pPr>
      <w:r w:rsidRPr="001B64AB">
        <w:rPr>
          <w:rFonts w:ascii="Times New Roman" w:eastAsia="標楷體" w:hAnsi="Times New Roman"/>
          <w:sz w:val="22"/>
          <w:szCs w:val="22"/>
        </w:rPr>
        <w:t>這種不顧</w:t>
      </w:r>
      <w:r w:rsidRPr="00043A1E">
        <w:rPr>
          <w:rFonts w:ascii="Times New Roman" w:eastAsia="標楷體" w:hAnsi="Times New Roman"/>
          <w:sz w:val="22"/>
          <w:szCs w:val="22"/>
        </w:rPr>
        <w:t>頌意，強龍樹同己，真是龍樹的罪人！實則，</w:t>
      </w:r>
      <w:r w:rsidRPr="00043A1E">
        <w:rPr>
          <w:rFonts w:ascii="Times New Roman" w:eastAsia="標楷體" w:hAnsi="Times New Roman"/>
          <w:b/>
          <w:sz w:val="22"/>
          <w:szCs w:val="22"/>
        </w:rPr>
        <w:t>龍樹並不承認先有佛性的；佛性先有，這是因中有果論，是龍樹所痛斥的。</w:t>
      </w:r>
      <w:r w:rsidRPr="00043A1E">
        <w:rPr>
          <w:rFonts w:ascii="Times New Roman" w:eastAsia="標楷體" w:hAnsi="Times New Roman"/>
          <w:sz w:val="22"/>
          <w:szCs w:val="22"/>
        </w:rPr>
        <w:t>性空者的意見，一切法是性空的，是待緣而成的。因為性空，所以因緣和合可以發心，可以修行，可以成佛。《法華經》說：</w:t>
      </w:r>
      <w:r w:rsidR="00434424">
        <w:rPr>
          <w:rFonts w:ascii="Times New Roman" w:eastAsia="標楷體" w:hAnsi="Times New Roman" w:hint="eastAsia"/>
          <w:sz w:val="22"/>
          <w:szCs w:val="22"/>
        </w:rPr>
        <w:t>「</w:t>
      </w:r>
      <w:r w:rsidRPr="00043A1E">
        <w:rPr>
          <w:rFonts w:ascii="Times New Roman" w:eastAsia="標楷體" w:hAnsi="Times New Roman"/>
          <w:sz w:val="22"/>
          <w:szCs w:val="22"/>
        </w:rPr>
        <w:t>知法常無性；佛種從緣起</w:t>
      </w:r>
      <w:r>
        <w:rPr>
          <w:rFonts w:ascii="Times New Roman" w:eastAsia="標楷體" w:hAnsi="Times New Roman"/>
          <w:sz w:val="22"/>
          <w:szCs w:val="22"/>
        </w:rPr>
        <w:t>。</w:t>
      </w:r>
      <w:r w:rsidR="00434424">
        <w:rPr>
          <w:rFonts w:ascii="Times New Roman" w:eastAsia="標楷體" w:hAnsi="Times New Roman" w:hint="eastAsia"/>
          <w:sz w:val="22"/>
          <w:szCs w:val="22"/>
        </w:rPr>
        <w:t>」</w:t>
      </w:r>
      <w:r w:rsidRPr="00043A1E">
        <w:rPr>
          <w:rFonts w:ascii="Times New Roman" w:eastAsia="標楷體" w:hAnsi="Times New Roman"/>
          <w:sz w:val="22"/>
          <w:szCs w:val="22"/>
        </w:rPr>
        <w:t>也與性空者相合。一切眾生是有成佛可能的，因為是性空的。然而性空並不能決定你成佛，還是由因緣而定。所以，一切眾生有成佛的可能，而三乘還是究竟的。佛性本有論者，只是覺得性空不能成立，非要有實在的、微妙的無漏因緣而已。</w:t>
      </w:r>
    </w:p>
  </w:footnote>
  <w:footnote w:id="697">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相干：</w:t>
      </w:r>
      <w:r w:rsidRPr="00761EF3">
        <w:rPr>
          <w:szCs w:val="22"/>
        </w:rPr>
        <w:t>2</w:t>
      </w:r>
      <w:r w:rsidRPr="00043A1E">
        <w:rPr>
          <w:szCs w:val="22"/>
        </w:rPr>
        <w:t>.</w:t>
      </w:r>
      <w:r w:rsidRPr="00043A1E">
        <w:rPr>
          <w:szCs w:val="22"/>
        </w:rPr>
        <w:t>相關聯，相牽涉。（《漢語大詞典》（七）</w:t>
      </w:r>
      <w:r w:rsidRPr="00043A1E">
        <w:rPr>
          <w:rFonts w:hint="eastAsia"/>
          <w:szCs w:val="22"/>
        </w:rPr>
        <w:t>，</w:t>
      </w:r>
      <w:r w:rsidRPr="00761EF3">
        <w:rPr>
          <w:szCs w:val="22"/>
        </w:rPr>
        <w:t>p</w:t>
      </w:r>
      <w:r w:rsidRPr="00043A1E">
        <w:rPr>
          <w:szCs w:val="22"/>
        </w:rPr>
        <w:t>.</w:t>
      </w:r>
      <w:r w:rsidRPr="00761EF3">
        <w:rPr>
          <w:szCs w:val="22"/>
        </w:rPr>
        <w:t>1136</w:t>
      </w:r>
      <w:r w:rsidRPr="00043A1E">
        <w:rPr>
          <w:szCs w:val="22"/>
        </w:rPr>
        <w:t>）</w:t>
      </w:r>
    </w:p>
  </w:footnote>
  <w:footnote w:id="698">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《妙法蓮華經》卷</w:t>
      </w:r>
      <w:r w:rsidRPr="00761EF3">
        <w:rPr>
          <w:szCs w:val="22"/>
        </w:rPr>
        <w:t>2</w:t>
      </w:r>
      <w:r w:rsidRPr="00043A1E">
        <w:rPr>
          <w:szCs w:val="22"/>
        </w:rPr>
        <w:t>〈</w:t>
      </w:r>
      <w:r w:rsidRPr="00761EF3">
        <w:rPr>
          <w:szCs w:val="22"/>
        </w:rPr>
        <w:t>2</w:t>
      </w:r>
      <w:r w:rsidRPr="00043A1E">
        <w:rPr>
          <w:szCs w:val="22"/>
        </w:rPr>
        <w:t xml:space="preserve"> </w:t>
      </w:r>
      <w:r w:rsidRPr="00043A1E">
        <w:rPr>
          <w:szCs w:val="22"/>
        </w:rPr>
        <w:t>方便品〉（大正</w:t>
      </w:r>
      <w:r w:rsidRPr="00761EF3">
        <w:rPr>
          <w:szCs w:val="22"/>
        </w:rPr>
        <w:t>9</w:t>
      </w:r>
      <w:r w:rsidRPr="00043A1E">
        <w:rPr>
          <w:szCs w:val="22"/>
        </w:rPr>
        <w:t>，</w:t>
      </w:r>
      <w:r w:rsidRPr="00761EF3">
        <w:rPr>
          <w:szCs w:val="22"/>
        </w:rPr>
        <w:t>9b6</w:t>
      </w:r>
      <w:r w:rsidRPr="00043A1E">
        <w:rPr>
          <w:szCs w:val="22"/>
        </w:rPr>
        <w:t>-</w:t>
      </w:r>
      <w:r w:rsidRPr="00761EF3">
        <w:rPr>
          <w:szCs w:val="22"/>
        </w:rPr>
        <w:t>9</w:t>
      </w:r>
      <w:r w:rsidRPr="00043A1E">
        <w:rPr>
          <w:szCs w:val="22"/>
        </w:rPr>
        <w:t>）：</w:t>
      </w:r>
    </w:p>
    <w:p w:rsidR="00157EF6" w:rsidRPr="00043A1E" w:rsidRDefault="00157EF6" w:rsidP="00AA120F">
      <w:pPr>
        <w:pStyle w:val="a5"/>
        <w:ind w:leftChars="105" w:left="252"/>
        <w:jc w:val="both"/>
        <w:rPr>
          <w:szCs w:val="22"/>
        </w:rPr>
      </w:pPr>
      <w:r w:rsidRPr="00043A1E">
        <w:rPr>
          <w:rFonts w:eastAsia="標楷體"/>
          <w:szCs w:val="22"/>
        </w:rPr>
        <w:t>未來世諸</w:t>
      </w:r>
      <w:r w:rsidRPr="008D652C">
        <w:rPr>
          <w:rFonts w:eastAsia="標楷體"/>
          <w:szCs w:val="22"/>
          <w:highlight w:val="yellow"/>
        </w:rPr>
        <w:t>佛雖</w:t>
      </w:r>
      <w:r w:rsidRPr="00043A1E">
        <w:rPr>
          <w:rFonts w:eastAsia="標楷體"/>
          <w:szCs w:val="22"/>
        </w:rPr>
        <w:t>說百千</w:t>
      </w:r>
      <w:r w:rsidRPr="008D652C">
        <w:rPr>
          <w:rFonts w:eastAsia="標楷體"/>
          <w:szCs w:val="22"/>
          <w:highlight w:val="yellow"/>
        </w:rPr>
        <w:t>億無</w:t>
      </w:r>
      <w:r w:rsidRPr="00043A1E">
        <w:rPr>
          <w:rFonts w:eastAsia="標楷體"/>
          <w:szCs w:val="22"/>
        </w:rPr>
        <w:t>數諸法門，其實為一乘；諸佛兩足尊，</w:t>
      </w:r>
      <w:r w:rsidRPr="00043A1E">
        <w:rPr>
          <w:rFonts w:eastAsia="標楷體"/>
          <w:b/>
          <w:bCs/>
          <w:iCs/>
          <w:szCs w:val="22"/>
        </w:rPr>
        <w:t>知</w:t>
      </w:r>
      <w:r w:rsidRPr="00043A1E">
        <w:rPr>
          <w:rFonts w:eastAsia="標楷體"/>
          <w:b/>
          <w:szCs w:val="22"/>
        </w:rPr>
        <w:t>法常無性，佛種從緣起，是故說一乘。</w:t>
      </w:r>
    </w:p>
  </w:footnote>
  <w:footnote w:id="699">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《大智度論》卷</w:t>
      </w:r>
      <w:r w:rsidRPr="00761EF3">
        <w:rPr>
          <w:szCs w:val="22"/>
        </w:rPr>
        <w:t>31</w:t>
      </w:r>
      <w:r w:rsidR="003B68A0">
        <w:rPr>
          <w:rFonts w:hint="eastAsia"/>
          <w:color w:val="FF0000"/>
          <w:szCs w:val="22"/>
          <w:highlight w:val="yellow"/>
        </w:rPr>
        <w:t>釋〈</w:t>
      </w:r>
      <w:r w:rsidR="003B68A0">
        <w:rPr>
          <w:color w:val="FF0000"/>
          <w:szCs w:val="22"/>
          <w:highlight w:val="yellow"/>
        </w:rPr>
        <w:t xml:space="preserve">1 </w:t>
      </w:r>
      <w:r w:rsidR="003B68A0">
        <w:rPr>
          <w:rFonts w:hint="eastAsia"/>
          <w:color w:val="FF0000"/>
          <w:szCs w:val="22"/>
          <w:highlight w:val="yellow"/>
        </w:rPr>
        <w:t>序品〉</w:t>
      </w:r>
      <w:r w:rsidRPr="00043A1E">
        <w:rPr>
          <w:szCs w:val="22"/>
        </w:rPr>
        <w:t>（大正</w:t>
      </w:r>
      <w:r w:rsidRPr="00761EF3">
        <w:rPr>
          <w:szCs w:val="22"/>
        </w:rPr>
        <w:t>25</w:t>
      </w:r>
      <w:r w:rsidRPr="00043A1E">
        <w:rPr>
          <w:szCs w:val="22"/>
        </w:rPr>
        <w:t>，</w:t>
      </w:r>
      <w:r w:rsidRPr="00761EF3">
        <w:rPr>
          <w:szCs w:val="22"/>
        </w:rPr>
        <w:t>293b8</w:t>
      </w:r>
      <w:r w:rsidRPr="00043A1E">
        <w:rPr>
          <w:szCs w:val="22"/>
        </w:rPr>
        <w:t>）。</w:t>
      </w:r>
    </w:p>
  </w:footnote>
  <w:footnote w:id="700">
    <w:p w:rsidR="002F0F4A" w:rsidRPr="00043A1E" w:rsidRDefault="002F0F4A" w:rsidP="002F0F4A">
      <w:pPr>
        <w:pStyle w:val="a5"/>
        <w:spacing w:line="0" w:lineRule="atLeast"/>
        <w:ind w:left="792" w:hangingChars="360" w:hanging="792"/>
        <w:jc w:val="both"/>
        <w:rPr>
          <w:szCs w:val="22"/>
        </w:rPr>
      </w:pPr>
      <w:r w:rsidRPr="00043A1E">
        <w:rPr>
          <w:rStyle w:val="a6"/>
          <w:szCs w:val="22"/>
        </w:rPr>
        <w:footnoteRef/>
      </w:r>
      <w:bookmarkStart w:id="116" w:name="0748a09"/>
      <w:r w:rsidRPr="00043A1E">
        <w:rPr>
          <w:rFonts w:hint="eastAsia"/>
          <w:szCs w:val="22"/>
        </w:rPr>
        <w:t xml:space="preserve"> </w:t>
      </w:r>
      <w:r w:rsidRPr="00043A1E">
        <w:rPr>
          <w:szCs w:val="22"/>
        </w:rPr>
        <w:t>（</w:t>
      </w:r>
      <w:r w:rsidRPr="00761EF3">
        <w:rPr>
          <w:szCs w:val="22"/>
        </w:rPr>
        <w:t>1</w:t>
      </w:r>
      <w:r w:rsidRPr="00043A1E">
        <w:rPr>
          <w:szCs w:val="22"/>
        </w:rPr>
        <w:t>）《增壹阿含經》卷</w:t>
      </w:r>
      <w:r w:rsidRPr="00761EF3">
        <w:rPr>
          <w:szCs w:val="22"/>
        </w:rPr>
        <w:t>17</w:t>
      </w:r>
      <w:r w:rsidRPr="00043A1E">
        <w:rPr>
          <w:szCs w:val="22"/>
        </w:rPr>
        <w:t>〈</w:t>
      </w:r>
      <w:r w:rsidRPr="00761EF3">
        <w:rPr>
          <w:szCs w:val="22"/>
        </w:rPr>
        <w:t>25</w:t>
      </w:r>
      <w:r w:rsidRPr="00043A1E">
        <w:rPr>
          <w:szCs w:val="22"/>
        </w:rPr>
        <w:t xml:space="preserve"> </w:t>
      </w:r>
      <w:r w:rsidRPr="00043A1E">
        <w:rPr>
          <w:szCs w:val="22"/>
        </w:rPr>
        <w:t>四諦品〉（</w:t>
      </w:r>
      <w:r w:rsidRPr="00761EF3">
        <w:rPr>
          <w:szCs w:val="22"/>
        </w:rPr>
        <w:t>7</w:t>
      </w:r>
      <w:r w:rsidRPr="00043A1E">
        <w:rPr>
          <w:szCs w:val="22"/>
        </w:rPr>
        <w:t>經）（大正</w:t>
      </w:r>
      <w:r w:rsidRPr="00761EF3">
        <w:rPr>
          <w:szCs w:val="22"/>
        </w:rPr>
        <w:t>2</w:t>
      </w:r>
      <w:r w:rsidRPr="00043A1E">
        <w:rPr>
          <w:szCs w:val="22"/>
        </w:rPr>
        <w:t>，</w:t>
      </w:r>
      <w:r w:rsidRPr="00761EF3">
        <w:rPr>
          <w:szCs w:val="22"/>
        </w:rPr>
        <w:t>634a18</w:t>
      </w:r>
      <w:r w:rsidRPr="00043A1E">
        <w:rPr>
          <w:szCs w:val="22"/>
        </w:rPr>
        <w:t>-</w:t>
      </w:r>
      <w:r w:rsidRPr="00761EF3">
        <w:rPr>
          <w:szCs w:val="22"/>
        </w:rPr>
        <w:t>b16</w:t>
      </w:r>
      <w:r w:rsidRPr="00043A1E">
        <w:rPr>
          <w:szCs w:val="22"/>
        </w:rPr>
        <w:t>）：</w:t>
      </w:r>
    </w:p>
    <w:p w:rsidR="002F0F4A" w:rsidRPr="00043A1E" w:rsidRDefault="002F0F4A" w:rsidP="002F0F4A">
      <w:pPr>
        <w:pStyle w:val="Web"/>
        <w:snapToGrid w:val="0"/>
        <w:spacing w:before="0" w:beforeAutospacing="0" w:after="0" w:afterAutospacing="0"/>
        <w:ind w:leftChars="335" w:left="804"/>
        <w:jc w:val="both"/>
        <w:rPr>
          <w:rFonts w:ascii="Times New Roman" w:eastAsia="標楷體" w:hAnsi="Times New Roman" w:cs="Times New Roman"/>
          <w:kern w:val="2"/>
          <w:szCs w:val="22"/>
        </w:rPr>
      </w:pPr>
      <w:r w:rsidRPr="00043A1E">
        <w:rPr>
          <w:rFonts w:ascii="Times New Roman" w:eastAsia="標楷體" w:hAnsi="Times New Roman" w:cs="Times New Roman"/>
          <w:kern w:val="2"/>
          <w:szCs w:val="22"/>
        </w:rPr>
        <w:t>爾時，世尊告諸比丘：「有此四果。云何為四？</w:t>
      </w:r>
      <w:r w:rsidRPr="00043A1E">
        <w:rPr>
          <w:rFonts w:ascii="Times New Roman" w:eastAsia="標楷體" w:hAnsi="Times New Roman" w:cs="Times New Roman"/>
          <w:b/>
          <w:kern w:val="2"/>
          <w:szCs w:val="22"/>
        </w:rPr>
        <w:t>或有果生而似熟，或有果熟而似生，或有果熟而似熟，或有果生而似生</w:t>
      </w:r>
      <w:r w:rsidRPr="00043A1E">
        <w:rPr>
          <w:rFonts w:ascii="Times New Roman" w:eastAsia="標楷體" w:hAnsi="Times New Roman" w:cs="Times New Roman"/>
          <w:kern w:val="2"/>
          <w:szCs w:val="22"/>
        </w:rPr>
        <w:t>。是謂，比丘！世間有此四果。世間有此四人，亦復如是。云何為四？</w:t>
      </w:r>
      <w:r w:rsidRPr="00043A1E">
        <w:rPr>
          <w:rFonts w:ascii="Times New Roman" w:eastAsia="標楷體" w:hAnsi="Times New Roman" w:cs="Times New Roman"/>
          <w:b/>
          <w:kern w:val="2"/>
          <w:szCs w:val="22"/>
        </w:rPr>
        <w:t>或有人熟而像生，或有人生而像熟，或有人生而似生，或有人熟而似熟</w:t>
      </w:r>
      <w:r w:rsidRPr="00043A1E">
        <w:rPr>
          <w:rFonts w:ascii="Times New Roman" w:eastAsia="標楷體" w:hAnsi="Times New Roman" w:cs="Times New Roman"/>
          <w:kern w:val="2"/>
          <w:szCs w:val="22"/>
        </w:rPr>
        <w:t>。</w:t>
      </w:r>
    </w:p>
    <w:p w:rsidR="002F0F4A" w:rsidRPr="00043A1E" w:rsidRDefault="002F0F4A" w:rsidP="002F0F4A">
      <w:pPr>
        <w:pStyle w:val="Web"/>
        <w:snapToGrid w:val="0"/>
        <w:spacing w:before="0" w:beforeAutospacing="0" w:after="0" w:afterAutospacing="0"/>
        <w:ind w:leftChars="335" w:left="804"/>
        <w:jc w:val="both"/>
        <w:rPr>
          <w:rFonts w:ascii="Times New Roman" w:eastAsia="標楷體" w:hAnsi="Times New Roman" w:cs="Times New Roman"/>
          <w:kern w:val="2"/>
          <w:szCs w:val="22"/>
        </w:rPr>
      </w:pPr>
      <w:r w:rsidRPr="00043A1E">
        <w:rPr>
          <w:rFonts w:ascii="Times New Roman" w:eastAsia="標楷體" w:hAnsi="Times New Roman" w:cs="Times New Roman"/>
          <w:kern w:val="2"/>
          <w:szCs w:val="22"/>
        </w:rPr>
        <w:t>何等人</w:t>
      </w:r>
      <w:r w:rsidRPr="00043A1E">
        <w:rPr>
          <w:rFonts w:ascii="Times New Roman" w:eastAsia="標楷體" w:hAnsi="Times New Roman" w:cs="Times New Roman"/>
          <w:b/>
          <w:kern w:val="2"/>
          <w:szCs w:val="22"/>
        </w:rPr>
        <w:t>生而似熟</w:t>
      </w:r>
      <w:r w:rsidRPr="00043A1E">
        <w:rPr>
          <w:rFonts w:ascii="Times New Roman" w:eastAsia="標楷體" w:hAnsi="Times New Roman" w:cs="Times New Roman"/>
          <w:kern w:val="2"/>
          <w:szCs w:val="22"/>
        </w:rPr>
        <w:t>？或有人往來行步不行卒暴，眼目視瞻恒隨法教，著衣持</w:t>
      </w:r>
      <w:r w:rsidRPr="008D652C">
        <w:rPr>
          <w:rFonts w:ascii="Times New Roman" w:eastAsia="標楷體" w:hAnsi="Times New Roman" w:cs="Times New Roman"/>
          <w:kern w:val="2"/>
          <w:szCs w:val="22"/>
          <w:highlight w:val="yellow"/>
        </w:rPr>
        <w:t>鉢亦</w:t>
      </w:r>
      <w:r w:rsidRPr="00043A1E">
        <w:rPr>
          <w:rFonts w:ascii="Times New Roman" w:eastAsia="標楷體" w:hAnsi="Times New Roman" w:cs="Times New Roman"/>
          <w:kern w:val="2"/>
          <w:szCs w:val="22"/>
        </w:rPr>
        <w:t>復隨法</w:t>
      </w:r>
      <w:r>
        <w:rPr>
          <w:rFonts w:ascii="標楷體" w:eastAsia="標楷體" w:hAnsi="標楷體" w:hint="eastAsia"/>
          <w:color w:val="FF0000"/>
          <w:highlight w:val="yellow"/>
        </w:rPr>
        <w:t>，</w:t>
      </w:r>
      <w:r w:rsidRPr="00043A1E">
        <w:rPr>
          <w:rFonts w:ascii="Times New Roman" w:eastAsia="標楷體" w:hAnsi="Times New Roman" w:cs="Times New Roman"/>
          <w:kern w:val="2"/>
          <w:szCs w:val="22"/>
        </w:rPr>
        <w:t>行步視地，不左右顧望；然復犯戒</w:t>
      </w:r>
      <w:r>
        <w:rPr>
          <w:rFonts w:ascii="標楷體" w:eastAsia="標楷體" w:hAnsi="標楷體" w:hint="eastAsia"/>
          <w:color w:val="FF0000"/>
          <w:highlight w:val="yellow"/>
        </w:rPr>
        <w:t>，</w:t>
      </w:r>
      <w:r w:rsidRPr="00043A1E">
        <w:rPr>
          <w:rFonts w:ascii="Times New Roman" w:eastAsia="標楷體" w:hAnsi="Times New Roman" w:cs="Times New Roman"/>
          <w:kern w:val="2"/>
          <w:szCs w:val="22"/>
        </w:rPr>
        <w:t>不隨正行，實非沙門而似沙門，不行梵行而自言行梵行，盡壞敗正法，根敗之種</w:t>
      </w:r>
      <w:r>
        <w:rPr>
          <w:rFonts w:ascii="Times New Roman" w:eastAsia="標楷體" w:hAnsi="Times New Roman" w:cs="Times New Roman" w:hint="eastAsia"/>
          <w:kern w:val="2"/>
          <w:szCs w:val="22"/>
        </w:rPr>
        <w:t>──</w:t>
      </w:r>
      <w:r w:rsidRPr="00043A1E">
        <w:rPr>
          <w:rFonts w:ascii="Times New Roman" w:eastAsia="標楷體" w:hAnsi="Times New Roman" w:cs="Times New Roman"/>
          <w:kern w:val="2"/>
          <w:szCs w:val="22"/>
        </w:rPr>
        <w:t>是謂此人生而像熟。</w:t>
      </w:r>
    </w:p>
    <w:p w:rsidR="002F0F4A" w:rsidRPr="00043A1E" w:rsidRDefault="002F0F4A" w:rsidP="002F0F4A">
      <w:pPr>
        <w:pStyle w:val="Web"/>
        <w:snapToGrid w:val="0"/>
        <w:spacing w:before="0" w:beforeAutospacing="0" w:after="0" w:afterAutospacing="0"/>
        <w:ind w:leftChars="335" w:left="804"/>
        <w:jc w:val="both"/>
        <w:rPr>
          <w:rFonts w:ascii="Times New Roman" w:eastAsia="標楷體" w:hAnsi="Times New Roman" w:cs="Times New Roman"/>
          <w:kern w:val="2"/>
          <w:szCs w:val="22"/>
        </w:rPr>
      </w:pPr>
      <w:r w:rsidRPr="00043A1E">
        <w:rPr>
          <w:rFonts w:ascii="Times New Roman" w:eastAsia="標楷體" w:hAnsi="Times New Roman" w:cs="Times New Roman"/>
          <w:kern w:val="2"/>
          <w:szCs w:val="22"/>
        </w:rPr>
        <w:t>彼人云何</w:t>
      </w:r>
      <w:r w:rsidRPr="00043A1E">
        <w:rPr>
          <w:rFonts w:ascii="Times New Roman" w:eastAsia="標楷體" w:hAnsi="Times New Roman" w:cs="Times New Roman"/>
          <w:b/>
          <w:kern w:val="2"/>
          <w:szCs w:val="22"/>
        </w:rPr>
        <w:t>熟而像生</w:t>
      </w:r>
      <w:r w:rsidRPr="00043A1E">
        <w:rPr>
          <w:rFonts w:ascii="Times New Roman" w:eastAsia="標楷體" w:hAnsi="Times New Roman" w:cs="Times New Roman"/>
          <w:kern w:val="2"/>
          <w:szCs w:val="22"/>
        </w:rPr>
        <w:t>？或有比丘性行似踈，視瞻不端，亦不隨法行，喜左右顧視；然復精進多聞，修行善法，恒持戒律，不失威儀，見少非法便懷恐懼</w:t>
      </w:r>
      <w:r>
        <w:rPr>
          <w:rFonts w:ascii="Times New Roman" w:eastAsia="標楷體" w:hAnsi="Times New Roman" w:cs="Times New Roman" w:hint="eastAsia"/>
          <w:kern w:val="2"/>
          <w:szCs w:val="22"/>
        </w:rPr>
        <w:t>──</w:t>
      </w:r>
      <w:r w:rsidRPr="00043A1E">
        <w:rPr>
          <w:rFonts w:ascii="Times New Roman" w:eastAsia="標楷體" w:hAnsi="Times New Roman" w:cs="Times New Roman"/>
          <w:kern w:val="2"/>
          <w:szCs w:val="22"/>
        </w:rPr>
        <w:t>是謂此人熟而像生。</w:t>
      </w:r>
    </w:p>
    <w:p w:rsidR="002F0F4A" w:rsidRPr="00043A1E" w:rsidRDefault="002F0F4A" w:rsidP="002F0F4A">
      <w:pPr>
        <w:pStyle w:val="Web"/>
        <w:snapToGrid w:val="0"/>
        <w:spacing w:before="0" w:beforeAutospacing="0" w:after="0" w:afterAutospacing="0"/>
        <w:ind w:leftChars="335" w:left="804"/>
        <w:jc w:val="both"/>
        <w:rPr>
          <w:rFonts w:ascii="Times New Roman" w:eastAsia="標楷體" w:hAnsi="Times New Roman" w:cs="Times New Roman"/>
          <w:kern w:val="2"/>
          <w:szCs w:val="22"/>
        </w:rPr>
      </w:pPr>
      <w:r w:rsidRPr="00043A1E">
        <w:rPr>
          <w:rFonts w:ascii="Times New Roman" w:eastAsia="標楷體" w:hAnsi="Times New Roman" w:cs="Times New Roman"/>
          <w:kern w:val="2"/>
          <w:szCs w:val="22"/>
        </w:rPr>
        <w:t>彼云何人</w:t>
      </w:r>
      <w:r w:rsidRPr="00043A1E">
        <w:rPr>
          <w:rFonts w:ascii="Times New Roman" w:eastAsia="標楷體" w:hAnsi="Times New Roman" w:cs="Times New Roman"/>
          <w:b/>
          <w:kern w:val="2"/>
          <w:szCs w:val="22"/>
        </w:rPr>
        <w:t>生而像生</w:t>
      </w:r>
      <w:r w:rsidRPr="00043A1E">
        <w:rPr>
          <w:rFonts w:ascii="Times New Roman" w:eastAsia="標楷體" w:hAnsi="Times New Roman" w:cs="Times New Roman"/>
          <w:kern w:val="2"/>
          <w:szCs w:val="22"/>
        </w:rPr>
        <w:t>？或有比丘不持禁戒，不知行步禮節，亦復不知出入行來，亦復不知著衣持鉢，諸根錯亂，心著色、聲、香、味、細滑之法，彼犯禁戒，不行正法，不是沙門而似沙門，不行梵行而似梵行，根敗之人，不可修飾</w:t>
      </w:r>
      <w:r>
        <w:rPr>
          <w:rFonts w:ascii="Times New Roman" w:eastAsia="標楷體" w:hAnsi="Times New Roman" w:cs="Times New Roman" w:hint="eastAsia"/>
          <w:kern w:val="2"/>
          <w:szCs w:val="22"/>
        </w:rPr>
        <w:t>──</w:t>
      </w:r>
      <w:r w:rsidRPr="00043A1E">
        <w:rPr>
          <w:rFonts w:ascii="Times New Roman" w:eastAsia="標楷體" w:hAnsi="Times New Roman" w:cs="Times New Roman"/>
          <w:kern w:val="2"/>
          <w:szCs w:val="22"/>
        </w:rPr>
        <w:t>是謂此人生而似生。</w:t>
      </w:r>
    </w:p>
    <w:p w:rsidR="002F0F4A" w:rsidRPr="00043A1E" w:rsidRDefault="002F0F4A" w:rsidP="002F0F4A">
      <w:pPr>
        <w:pStyle w:val="Web"/>
        <w:snapToGrid w:val="0"/>
        <w:spacing w:before="0" w:beforeAutospacing="0" w:after="0" w:afterAutospacing="0"/>
        <w:ind w:leftChars="335" w:left="804"/>
        <w:jc w:val="both"/>
        <w:rPr>
          <w:rFonts w:ascii="Times New Roman" w:eastAsia="標楷體" w:hAnsi="Times New Roman" w:cs="Times New Roman"/>
          <w:kern w:val="2"/>
          <w:szCs w:val="22"/>
        </w:rPr>
      </w:pPr>
      <w:r w:rsidRPr="00043A1E">
        <w:rPr>
          <w:rFonts w:ascii="Times New Roman" w:eastAsia="標楷體" w:hAnsi="Times New Roman" w:cs="Times New Roman"/>
          <w:kern w:val="2"/>
          <w:szCs w:val="22"/>
        </w:rPr>
        <w:t>彼云何有人</w:t>
      </w:r>
      <w:r w:rsidRPr="00043A1E">
        <w:rPr>
          <w:rFonts w:ascii="Times New Roman" w:eastAsia="標楷體" w:hAnsi="Times New Roman" w:cs="Times New Roman"/>
          <w:b/>
          <w:kern w:val="2"/>
          <w:szCs w:val="22"/>
        </w:rPr>
        <w:t>熟</w:t>
      </w:r>
      <w:r w:rsidRPr="00D641C6">
        <w:rPr>
          <w:rFonts w:ascii="Times New Roman" w:hAnsi="Times New Roman" w:hint="eastAsia"/>
          <w:kern w:val="2"/>
          <w:szCs w:val="22"/>
          <w:shd w:val="pct15" w:color="auto" w:fill="FFFFFF"/>
          <w:vertAlign w:val="superscript"/>
        </w:rPr>
        <w:t>※</w:t>
      </w:r>
      <w:r w:rsidRPr="00043A1E">
        <w:rPr>
          <w:rFonts w:ascii="Times New Roman" w:eastAsia="標楷體" w:hAnsi="Times New Roman" w:cs="Times New Roman"/>
          <w:b/>
          <w:kern w:val="2"/>
          <w:szCs w:val="22"/>
        </w:rPr>
        <w:t>而似熟</w:t>
      </w:r>
      <w:r w:rsidRPr="00043A1E">
        <w:rPr>
          <w:rFonts w:ascii="Times New Roman" w:eastAsia="標楷體" w:hAnsi="Times New Roman" w:cs="Times New Roman"/>
          <w:kern w:val="2"/>
          <w:szCs w:val="22"/>
        </w:rPr>
        <w:t>？或有比丘持戒禁限，出入行步不失時節，看視不失威儀；然極精進，修行善法，威儀禮節皆悉成就，見小非法便懷恐怖，況復大者</w:t>
      </w:r>
      <w:r>
        <w:rPr>
          <w:rFonts w:ascii="Times New Roman" w:eastAsia="標楷體" w:hAnsi="Times New Roman" w:cs="Times New Roman" w:hint="eastAsia"/>
          <w:color w:val="FF0000"/>
          <w:kern w:val="2"/>
          <w:szCs w:val="22"/>
          <w:highlight w:val="yellow"/>
        </w:rPr>
        <w:t>！</w:t>
      </w:r>
      <w:r w:rsidRPr="00043A1E">
        <w:rPr>
          <w:rFonts w:ascii="Times New Roman" w:eastAsia="標楷體" w:hAnsi="Times New Roman" w:cs="Times New Roman"/>
          <w:kern w:val="2"/>
          <w:szCs w:val="22"/>
        </w:rPr>
        <w:t>是謂此人熟而似熟。</w:t>
      </w:r>
    </w:p>
    <w:p w:rsidR="002F0F4A" w:rsidRPr="00043A1E" w:rsidRDefault="002F0F4A" w:rsidP="002F0F4A">
      <w:pPr>
        <w:pStyle w:val="Web"/>
        <w:snapToGrid w:val="0"/>
        <w:spacing w:before="0" w:beforeAutospacing="0" w:after="0" w:afterAutospacing="0"/>
        <w:ind w:leftChars="335" w:left="804"/>
        <w:jc w:val="both"/>
        <w:rPr>
          <w:rFonts w:ascii="Times New Roman" w:hAnsi="Times New Roman" w:cs="Times New Roman"/>
          <w:kern w:val="2"/>
          <w:szCs w:val="22"/>
        </w:rPr>
      </w:pPr>
      <w:r w:rsidRPr="00043A1E">
        <w:rPr>
          <w:rFonts w:ascii="Times New Roman" w:eastAsia="標楷體" w:hAnsi="Times New Roman" w:cs="Times New Roman"/>
          <w:kern w:val="2"/>
          <w:szCs w:val="22"/>
        </w:rPr>
        <w:t>是謂，比丘！世間有此四果之人，當學熟果之人。如是，諸比丘！當作是學。</w:t>
      </w:r>
      <w:r w:rsidRPr="00043A1E">
        <w:rPr>
          <w:rFonts w:ascii="Times New Roman" w:hAnsi="Times New Roman" w:cs="Times New Roman"/>
          <w:kern w:val="2"/>
          <w:szCs w:val="22"/>
        </w:rPr>
        <w:t>」</w:t>
      </w:r>
    </w:p>
    <w:p w:rsidR="002F0F4A" w:rsidRPr="00043A1E" w:rsidRDefault="002F0F4A" w:rsidP="002F0F4A">
      <w:pPr>
        <w:pStyle w:val="Default"/>
        <w:adjustRightInd/>
        <w:snapToGrid w:val="0"/>
        <w:ind w:leftChars="335" w:left="804"/>
        <w:jc w:val="both"/>
        <w:rPr>
          <w:rFonts w:ascii="Times New Roman" w:hAnsi="Times New Roman" w:cs="Times New Roman"/>
          <w:color w:val="auto"/>
          <w:kern w:val="2"/>
          <w:sz w:val="22"/>
          <w:szCs w:val="22"/>
        </w:rPr>
      </w:pPr>
      <w:r w:rsidRPr="00D641C6">
        <w:rPr>
          <w:rFonts w:hAnsi="新細明體" w:hint="eastAsia"/>
          <w:color w:val="auto"/>
          <w:kern w:val="2"/>
          <w:sz w:val="22"/>
          <w:szCs w:val="22"/>
          <w:shd w:val="pct15" w:color="auto" w:fill="FFFFFF"/>
        </w:rPr>
        <w:t>※</w:t>
      </w:r>
      <w:r w:rsidRPr="00043A1E">
        <w:rPr>
          <w:rFonts w:ascii="Times New Roman" w:hAnsi="Times New Roman" w:cs="Times New Roman"/>
          <w:color w:val="auto"/>
          <w:kern w:val="2"/>
          <w:sz w:val="22"/>
          <w:szCs w:val="22"/>
        </w:rPr>
        <w:t>案：《大正藏》原作「熱」，今依前後文義改作「熟」。</w:t>
      </w:r>
    </w:p>
    <w:p w:rsidR="002F0F4A" w:rsidRPr="00043A1E" w:rsidRDefault="002F0F4A" w:rsidP="002F0F4A">
      <w:pPr>
        <w:pStyle w:val="a5"/>
        <w:ind w:leftChars="105" w:left="791" w:hangingChars="245" w:hanging="539"/>
        <w:jc w:val="both"/>
        <w:rPr>
          <w:szCs w:val="22"/>
        </w:rPr>
      </w:pPr>
      <w:r w:rsidRPr="00043A1E">
        <w:rPr>
          <w:szCs w:val="22"/>
        </w:rPr>
        <w:t>（</w:t>
      </w:r>
      <w:r w:rsidRPr="00761EF3">
        <w:rPr>
          <w:szCs w:val="22"/>
        </w:rPr>
        <w:t>2</w:t>
      </w:r>
      <w:r w:rsidRPr="00043A1E">
        <w:rPr>
          <w:szCs w:val="22"/>
        </w:rPr>
        <w:t>）龍樹撰，</w:t>
      </w:r>
      <w:bookmarkEnd w:id="116"/>
      <w:r w:rsidRPr="00043A1E">
        <w:rPr>
          <w:szCs w:val="22"/>
        </w:rPr>
        <w:t>〔</w:t>
      </w:r>
      <w:bookmarkStart w:id="117" w:name="0748a10"/>
      <w:r w:rsidRPr="00043A1E">
        <w:rPr>
          <w:szCs w:val="22"/>
        </w:rPr>
        <w:t>宋</w:t>
      </w:r>
      <w:bookmarkEnd w:id="117"/>
      <w:r w:rsidRPr="00043A1E">
        <w:rPr>
          <w:szCs w:val="22"/>
        </w:rPr>
        <w:t>〕僧伽跋摩譯，《勸發諸王要偈》（大正</w:t>
      </w:r>
      <w:r w:rsidRPr="00761EF3">
        <w:rPr>
          <w:szCs w:val="22"/>
        </w:rPr>
        <w:t>32</w:t>
      </w:r>
      <w:r w:rsidRPr="00043A1E">
        <w:rPr>
          <w:szCs w:val="22"/>
        </w:rPr>
        <w:t>，</w:t>
      </w:r>
      <w:r w:rsidRPr="00761EF3">
        <w:rPr>
          <w:szCs w:val="22"/>
        </w:rPr>
        <w:t>748c3</w:t>
      </w:r>
      <w:r w:rsidRPr="00043A1E">
        <w:rPr>
          <w:szCs w:val="22"/>
        </w:rPr>
        <w:t>-</w:t>
      </w:r>
      <w:r w:rsidRPr="00761EF3">
        <w:rPr>
          <w:szCs w:val="22"/>
        </w:rPr>
        <w:t>4</w:t>
      </w:r>
      <w:r w:rsidRPr="00043A1E">
        <w:rPr>
          <w:szCs w:val="22"/>
        </w:rPr>
        <w:t>）：</w:t>
      </w:r>
    </w:p>
    <w:p w:rsidR="002F0F4A" w:rsidRPr="00043A1E" w:rsidRDefault="002F0F4A" w:rsidP="002F0F4A">
      <w:pPr>
        <w:pStyle w:val="Web"/>
        <w:snapToGrid w:val="0"/>
        <w:spacing w:before="0" w:beforeAutospacing="0" w:after="0" w:afterAutospacing="0"/>
        <w:ind w:leftChars="335" w:left="804"/>
        <w:jc w:val="both"/>
        <w:rPr>
          <w:rFonts w:ascii="Times New Roman" w:hAnsi="Times New Roman" w:cs="Times New Roman"/>
          <w:kern w:val="2"/>
          <w:szCs w:val="22"/>
        </w:rPr>
      </w:pPr>
      <w:r w:rsidRPr="00043A1E">
        <w:rPr>
          <w:rFonts w:ascii="Times New Roman" w:eastAsia="標楷體" w:hAnsi="Times New Roman" w:cs="Times New Roman"/>
          <w:kern w:val="2"/>
          <w:szCs w:val="22"/>
        </w:rPr>
        <w:t>有人生似熟，或復熟似生，或二俱生熟，明者諦分別。</w:t>
      </w:r>
    </w:p>
  </w:footnote>
  <w:footnote w:id="701">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罵詈（</w:t>
      </w:r>
      <w:r w:rsidRPr="00043A1E">
        <w:rPr>
          <w:rFonts w:eastAsia="標楷體"/>
          <w:szCs w:val="22"/>
        </w:rPr>
        <w:t>ㄌ一</w:t>
      </w:r>
      <w:r w:rsidRPr="00043A1E">
        <w:rPr>
          <w:rFonts w:ascii="標楷體" w:eastAsia="標楷體" w:hAnsi="標楷體"/>
          <w:szCs w:val="22"/>
        </w:rPr>
        <w:t>ˋ</w:t>
      </w:r>
      <w:r w:rsidRPr="00043A1E">
        <w:rPr>
          <w:szCs w:val="22"/>
        </w:rPr>
        <w:t>）：罵，斥罵。多用作書面語。（《漢語大詞典》（十二）</w:t>
      </w:r>
      <w:r w:rsidRPr="00043A1E">
        <w:rPr>
          <w:rFonts w:hint="eastAsia"/>
          <w:szCs w:val="22"/>
        </w:rPr>
        <w:t>，</w:t>
      </w:r>
      <w:r w:rsidRPr="00761EF3">
        <w:rPr>
          <w:szCs w:val="22"/>
        </w:rPr>
        <w:t>p</w:t>
      </w:r>
      <w:r w:rsidRPr="00043A1E">
        <w:rPr>
          <w:szCs w:val="22"/>
        </w:rPr>
        <w:t>.</w:t>
      </w:r>
      <w:r w:rsidRPr="00761EF3">
        <w:rPr>
          <w:szCs w:val="22"/>
        </w:rPr>
        <w:t>815</w:t>
      </w:r>
      <w:r w:rsidRPr="00043A1E">
        <w:rPr>
          <w:szCs w:val="22"/>
        </w:rPr>
        <w:t>）</w:t>
      </w:r>
    </w:p>
  </w:footnote>
  <w:footnote w:id="702">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毀辱：</w:t>
      </w:r>
      <w:r w:rsidRPr="00761EF3">
        <w:rPr>
          <w:szCs w:val="22"/>
        </w:rPr>
        <w:t>1</w:t>
      </w:r>
      <w:r w:rsidRPr="00043A1E">
        <w:rPr>
          <w:szCs w:val="22"/>
        </w:rPr>
        <w:t>.</w:t>
      </w:r>
      <w:r w:rsidRPr="00043A1E">
        <w:rPr>
          <w:szCs w:val="22"/>
        </w:rPr>
        <w:t>詆毀污辱。（《漢語大詞典》（六）</w:t>
      </w:r>
      <w:r w:rsidRPr="00043A1E">
        <w:rPr>
          <w:rFonts w:hint="eastAsia"/>
          <w:szCs w:val="22"/>
        </w:rPr>
        <w:t>，</w:t>
      </w:r>
      <w:r w:rsidRPr="00761EF3">
        <w:rPr>
          <w:szCs w:val="22"/>
        </w:rPr>
        <w:t>p</w:t>
      </w:r>
      <w:r w:rsidRPr="00043A1E">
        <w:rPr>
          <w:szCs w:val="22"/>
        </w:rPr>
        <w:t>.</w:t>
      </w:r>
      <w:r w:rsidRPr="00761EF3">
        <w:rPr>
          <w:szCs w:val="22"/>
        </w:rPr>
        <w:t>1497</w:t>
      </w:r>
      <w:r w:rsidRPr="00043A1E">
        <w:rPr>
          <w:szCs w:val="22"/>
        </w:rPr>
        <w:t>）</w:t>
      </w:r>
    </w:p>
  </w:footnote>
  <w:footnote w:id="703">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忿然：憤怒貌。（《漢語大詞典》（七）</w:t>
      </w:r>
      <w:r w:rsidRPr="00043A1E">
        <w:rPr>
          <w:rFonts w:hint="eastAsia"/>
          <w:szCs w:val="22"/>
        </w:rPr>
        <w:t>，</w:t>
      </w:r>
      <w:r w:rsidRPr="00761EF3">
        <w:rPr>
          <w:szCs w:val="22"/>
        </w:rPr>
        <w:t>p</w:t>
      </w:r>
      <w:r w:rsidRPr="00043A1E">
        <w:rPr>
          <w:szCs w:val="22"/>
        </w:rPr>
        <w:t>.</w:t>
      </w:r>
      <w:r w:rsidRPr="00761EF3">
        <w:rPr>
          <w:szCs w:val="22"/>
        </w:rPr>
        <w:t>425</w:t>
      </w:r>
      <w:r w:rsidRPr="00043A1E">
        <w:rPr>
          <w:szCs w:val="22"/>
        </w:rPr>
        <w:t>）</w:t>
      </w:r>
    </w:p>
  </w:footnote>
  <w:footnote w:id="704">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《大智度論》卷</w:t>
      </w:r>
      <w:r w:rsidRPr="00761EF3">
        <w:rPr>
          <w:szCs w:val="22"/>
        </w:rPr>
        <w:t>31</w:t>
      </w:r>
      <w:r w:rsidR="003B68A0">
        <w:rPr>
          <w:rFonts w:hint="eastAsia"/>
          <w:color w:val="FF0000"/>
          <w:szCs w:val="22"/>
          <w:highlight w:val="yellow"/>
        </w:rPr>
        <w:t>釋〈</w:t>
      </w:r>
      <w:r w:rsidR="003B68A0">
        <w:rPr>
          <w:color w:val="FF0000"/>
          <w:szCs w:val="22"/>
          <w:highlight w:val="yellow"/>
        </w:rPr>
        <w:t xml:space="preserve">1 </w:t>
      </w:r>
      <w:r w:rsidR="003B68A0">
        <w:rPr>
          <w:rFonts w:hint="eastAsia"/>
          <w:color w:val="FF0000"/>
          <w:szCs w:val="22"/>
          <w:highlight w:val="yellow"/>
        </w:rPr>
        <w:t>序品〉</w:t>
      </w:r>
      <w:r w:rsidRPr="00043A1E">
        <w:rPr>
          <w:szCs w:val="22"/>
        </w:rPr>
        <w:t>（大正</w:t>
      </w:r>
      <w:r w:rsidRPr="00761EF3">
        <w:rPr>
          <w:szCs w:val="22"/>
        </w:rPr>
        <w:t>25</w:t>
      </w:r>
      <w:r w:rsidRPr="00043A1E">
        <w:rPr>
          <w:szCs w:val="22"/>
        </w:rPr>
        <w:t>，</w:t>
      </w:r>
      <w:r w:rsidRPr="00761EF3">
        <w:rPr>
          <w:szCs w:val="22"/>
        </w:rPr>
        <w:t>293b8</w:t>
      </w:r>
      <w:r w:rsidRPr="00043A1E">
        <w:rPr>
          <w:szCs w:val="22"/>
        </w:rPr>
        <w:t>-</w:t>
      </w:r>
      <w:r w:rsidRPr="00761EF3">
        <w:rPr>
          <w:szCs w:val="22"/>
        </w:rPr>
        <w:t>11</w:t>
      </w:r>
      <w:r w:rsidRPr="00043A1E">
        <w:rPr>
          <w:szCs w:val="22"/>
        </w:rPr>
        <w:t>）：</w:t>
      </w:r>
    </w:p>
    <w:p w:rsidR="00157EF6" w:rsidRPr="00043A1E" w:rsidRDefault="00157EF6" w:rsidP="00AA120F">
      <w:pPr>
        <w:pStyle w:val="a5"/>
        <w:ind w:leftChars="105" w:left="252"/>
        <w:jc w:val="both"/>
        <w:rPr>
          <w:szCs w:val="22"/>
        </w:rPr>
      </w:pPr>
      <w:r w:rsidRPr="00043A1E">
        <w:rPr>
          <w:rFonts w:eastAsia="標楷體"/>
          <w:szCs w:val="22"/>
        </w:rPr>
        <w:t>如見黃色為金相而內是銅，火燒</w:t>
      </w:r>
      <w:r w:rsidR="008D652C">
        <w:rPr>
          <w:rFonts w:ascii="標楷體" w:eastAsia="標楷體" w:hAnsi="標楷體" w:hint="eastAsia"/>
          <w:color w:val="FF0000"/>
          <w:spacing w:val="-4"/>
          <w:kern w:val="0"/>
          <w:highlight w:val="yellow"/>
        </w:rPr>
        <w:t>、</w:t>
      </w:r>
      <w:r w:rsidRPr="00043A1E">
        <w:rPr>
          <w:rFonts w:eastAsia="標楷體"/>
          <w:szCs w:val="22"/>
        </w:rPr>
        <w:t>石磨，知非金性。如人</w:t>
      </w:r>
      <w:r w:rsidRPr="00043A1E">
        <w:rPr>
          <w:rFonts w:eastAsia="標楷體"/>
          <w:bCs/>
          <w:iCs/>
          <w:szCs w:val="22"/>
        </w:rPr>
        <w:t>恭敬</w:t>
      </w:r>
      <w:r w:rsidRPr="00043A1E">
        <w:rPr>
          <w:rFonts w:eastAsia="標楷體"/>
          <w:szCs w:val="22"/>
        </w:rPr>
        <w:t>供養時，似是善人，是為</w:t>
      </w:r>
      <w:r w:rsidR="008D652C">
        <w:rPr>
          <w:rFonts w:ascii="標楷體" w:eastAsia="標楷體" w:hAnsi="標楷體" w:hint="eastAsia"/>
          <w:bCs/>
          <w:color w:val="FF0000"/>
          <w:kern w:val="0"/>
          <w:highlight w:val="yellow"/>
        </w:rPr>
        <w:t>「</w:t>
      </w:r>
      <w:r w:rsidRPr="00043A1E">
        <w:rPr>
          <w:rFonts w:eastAsia="標楷體"/>
          <w:szCs w:val="22"/>
        </w:rPr>
        <w:t>相</w:t>
      </w:r>
      <w:r w:rsidR="008D652C">
        <w:rPr>
          <w:rFonts w:ascii="標楷體" w:eastAsia="標楷體" w:hAnsi="標楷體" w:hint="eastAsia"/>
          <w:bCs/>
          <w:color w:val="FF0000"/>
          <w:kern w:val="0"/>
          <w:highlight w:val="yellow"/>
        </w:rPr>
        <w:t>」</w:t>
      </w:r>
      <w:r w:rsidRPr="00043A1E">
        <w:rPr>
          <w:rFonts w:eastAsia="標楷體"/>
          <w:szCs w:val="22"/>
        </w:rPr>
        <w:t>；罵詈毀辱，忿然瞋恚，便是其</w:t>
      </w:r>
      <w:r w:rsidR="008D652C">
        <w:rPr>
          <w:rFonts w:ascii="標楷體" w:eastAsia="標楷體" w:hAnsi="標楷體" w:hint="eastAsia"/>
          <w:bCs/>
          <w:color w:val="FF0000"/>
          <w:kern w:val="0"/>
          <w:highlight w:val="yellow"/>
        </w:rPr>
        <w:t>「</w:t>
      </w:r>
      <w:r w:rsidRPr="00043A1E">
        <w:rPr>
          <w:rFonts w:eastAsia="標楷體"/>
          <w:szCs w:val="22"/>
        </w:rPr>
        <w:t>性</w:t>
      </w:r>
      <w:r w:rsidR="008D652C">
        <w:rPr>
          <w:rFonts w:ascii="標楷體" w:eastAsia="標楷體" w:hAnsi="標楷體" w:hint="eastAsia"/>
          <w:bCs/>
          <w:color w:val="FF0000"/>
          <w:kern w:val="0"/>
          <w:highlight w:val="yellow"/>
        </w:rPr>
        <w:t>」</w:t>
      </w:r>
      <w:r w:rsidRPr="00043A1E">
        <w:rPr>
          <w:rFonts w:eastAsia="標楷體"/>
          <w:szCs w:val="22"/>
        </w:rPr>
        <w:t>。</w:t>
      </w:r>
    </w:p>
  </w:footnote>
  <w:footnote w:id="705">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儘</w:t>
      </w:r>
      <w:r w:rsidRPr="00043A1E">
        <w:rPr>
          <w:rFonts w:eastAsia="標楷體"/>
          <w:szCs w:val="22"/>
        </w:rPr>
        <w:t>（ㄐㄧㄣ</w:t>
      </w:r>
      <w:r w:rsidRPr="00043A1E">
        <w:rPr>
          <w:rFonts w:ascii="標楷體" w:eastAsia="標楷體" w:hAnsi="標楷體"/>
          <w:szCs w:val="22"/>
        </w:rPr>
        <w:t>ˇ</w:t>
      </w:r>
      <w:r w:rsidRPr="00043A1E">
        <w:rPr>
          <w:rFonts w:eastAsia="標楷體"/>
          <w:szCs w:val="22"/>
        </w:rPr>
        <w:t>）：</w:t>
      </w:r>
      <w:r w:rsidRPr="00043A1E">
        <w:rPr>
          <w:szCs w:val="22"/>
        </w:rPr>
        <w:t>亦作</w:t>
      </w:r>
      <w:r w:rsidRPr="00043A1E">
        <w:rPr>
          <w:szCs w:val="22"/>
        </w:rPr>
        <w:t>“</w:t>
      </w:r>
      <w:r w:rsidRPr="00043A1E">
        <w:rPr>
          <w:szCs w:val="22"/>
        </w:rPr>
        <w:t>盡</w:t>
      </w:r>
      <w:r w:rsidRPr="00043A1E">
        <w:rPr>
          <w:szCs w:val="22"/>
        </w:rPr>
        <w:t>”</w:t>
      </w:r>
      <w:r w:rsidRPr="00043A1E">
        <w:rPr>
          <w:szCs w:val="22"/>
        </w:rPr>
        <w:t>。</w:t>
      </w:r>
      <w:r w:rsidRPr="00761EF3">
        <w:rPr>
          <w:szCs w:val="22"/>
        </w:rPr>
        <w:t>6</w:t>
      </w:r>
      <w:r w:rsidRPr="00043A1E">
        <w:rPr>
          <w:szCs w:val="22"/>
        </w:rPr>
        <w:t>.</w:t>
      </w:r>
      <w:r w:rsidRPr="00043A1E">
        <w:rPr>
          <w:szCs w:val="22"/>
        </w:rPr>
        <w:t>一味，老是。（《漢語大詞典》（一）</w:t>
      </w:r>
      <w:r w:rsidRPr="00043A1E">
        <w:rPr>
          <w:rFonts w:hint="eastAsia"/>
          <w:szCs w:val="22"/>
        </w:rPr>
        <w:t>，</w:t>
      </w:r>
      <w:r w:rsidRPr="00761EF3">
        <w:rPr>
          <w:szCs w:val="22"/>
        </w:rPr>
        <w:t>p</w:t>
      </w:r>
      <w:r w:rsidRPr="00043A1E">
        <w:rPr>
          <w:szCs w:val="22"/>
        </w:rPr>
        <w:t>.</w:t>
      </w:r>
      <w:r w:rsidRPr="00761EF3">
        <w:rPr>
          <w:szCs w:val="22"/>
        </w:rPr>
        <w:t>1719</w:t>
      </w:r>
      <w:r w:rsidRPr="00043A1E">
        <w:rPr>
          <w:szCs w:val="22"/>
        </w:rPr>
        <w:t>）</w:t>
      </w:r>
    </w:p>
  </w:footnote>
  <w:footnote w:id="706">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用膳：吃飯。（《漢語大詞典》（一）</w:t>
      </w:r>
      <w:r w:rsidRPr="00043A1E">
        <w:rPr>
          <w:rFonts w:hint="eastAsia"/>
          <w:szCs w:val="22"/>
        </w:rPr>
        <w:t>，</w:t>
      </w:r>
      <w:r w:rsidRPr="00761EF3">
        <w:rPr>
          <w:szCs w:val="22"/>
        </w:rPr>
        <w:t>p</w:t>
      </w:r>
      <w:r w:rsidRPr="00043A1E">
        <w:rPr>
          <w:szCs w:val="22"/>
        </w:rPr>
        <w:t>.</w:t>
      </w:r>
      <w:r w:rsidRPr="00761EF3">
        <w:rPr>
          <w:szCs w:val="22"/>
        </w:rPr>
        <w:t>1027</w:t>
      </w:r>
      <w:r w:rsidRPr="00043A1E">
        <w:rPr>
          <w:szCs w:val="22"/>
        </w:rPr>
        <w:t>）</w:t>
      </w:r>
    </w:p>
  </w:footnote>
  <w:footnote w:id="707">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大發雷霆：比喻大發脾氣。（《漢語大詞典》（二）</w:t>
      </w:r>
      <w:r w:rsidRPr="00043A1E">
        <w:rPr>
          <w:rFonts w:hint="eastAsia"/>
          <w:szCs w:val="22"/>
        </w:rPr>
        <w:t>，</w:t>
      </w:r>
      <w:r w:rsidRPr="00761EF3">
        <w:rPr>
          <w:szCs w:val="22"/>
        </w:rPr>
        <w:t>p</w:t>
      </w:r>
      <w:r w:rsidRPr="00043A1E">
        <w:rPr>
          <w:szCs w:val="22"/>
        </w:rPr>
        <w:t>.</w:t>
      </w:r>
      <w:r w:rsidRPr="00761EF3">
        <w:rPr>
          <w:szCs w:val="22"/>
        </w:rPr>
        <w:t>1380</w:t>
      </w:r>
      <w:r w:rsidRPr="00043A1E">
        <w:rPr>
          <w:szCs w:val="22"/>
        </w:rPr>
        <w:t>）</w:t>
      </w:r>
    </w:p>
  </w:footnote>
  <w:footnote w:id="708">
    <w:p w:rsidR="00157EF6" w:rsidRPr="00043A1E" w:rsidRDefault="00157EF6" w:rsidP="00AA120F">
      <w:pPr>
        <w:pStyle w:val="a5"/>
        <w:spacing w:line="0" w:lineRule="atLeast"/>
        <w:ind w:left="792" w:hangingChars="360" w:hanging="792"/>
        <w:jc w:val="both"/>
        <w:rPr>
          <w:rFonts w:eastAsia="標楷體"/>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szCs w:val="22"/>
        </w:rPr>
        <w:t>）《大學》：「</w:t>
      </w:r>
      <w:r w:rsidRPr="00043A1E">
        <w:rPr>
          <w:rFonts w:eastAsia="標楷體"/>
          <w:szCs w:val="22"/>
        </w:rPr>
        <w:t>所謂誠其意者，毋自欺也。如惡惡臭，如好好色，此之謂自謙，故君子必慎其獨也。小人閒居為不善，無所不至；見君子而</w:t>
      </w:r>
      <w:r w:rsidRPr="00043A1E">
        <w:rPr>
          <w:rFonts w:eastAsia="標楷體" w:hint="eastAsia"/>
          <w:szCs w:val="22"/>
        </w:rPr>
        <w:t>後</w:t>
      </w:r>
      <w:r w:rsidRPr="00043A1E">
        <w:rPr>
          <w:rFonts w:eastAsia="標楷體"/>
          <w:szCs w:val="22"/>
        </w:rPr>
        <w:t>厭然，</w:t>
      </w:r>
      <w:r w:rsidRPr="00043A1E">
        <w:rPr>
          <w:rFonts w:eastAsia="標楷體"/>
          <w:b/>
          <w:szCs w:val="22"/>
        </w:rPr>
        <w:t>揜</w:t>
      </w:r>
      <w:r w:rsidRPr="00043A1E">
        <w:rPr>
          <w:rFonts w:cs="新細明體" w:hint="eastAsia"/>
          <w:szCs w:val="22"/>
          <w:vertAlign w:val="superscript"/>
        </w:rPr>
        <w:t>※</w:t>
      </w:r>
      <w:r w:rsidRPr="00043A1E">
        <w:rPr>
          <w:rFonts w:eastAsia="標楷體"/>
          <w:szCs w:val="22"/>
        </w:rPr>
        <w:t>其不善而著其善，人之視己，如見其肺肝然，則何益矣。此謂</w:t>
      </w:r>
      <w:r w:rsidRPr="00043A1E">
        <w:rPr>
          <w:rFonts w:eastAsia="標楷體"/>
          <w:b/>
          <w:szCs w:val="22"/>
        </w:rPr>
        <w:t>誠於中，形於外</w:t>
      </w:r>
      <w:r w:rsidRPr="00043A1E">
        <w:rPr>
          <w:rFonts w:eastAsia="標楷體"/>
          <w:szCs w:val="22"/>
        </w:rPr>
        <w:t>，故君子必慎其獨也。」</w:t>
      </w:r>
    </w:p>
    <w:p w:rsidR="00157EF6" w:rsidRPr="00043A1E" w:rsidRDefault="00157EF6" w:rsidP="00AA120F">
      <w:pPr>
        <w:pStyle w:val="a5"/>
        <w:ind w:leftChars="335" w:left="804"/>
        <w:jc w:val="both"/>
        <w:rPr>
          <w:rFonts w:eastAsia="標楷體"/>
          <w:szCs w:val="22"/>
        </w:rPr>
      </w:pPr>
      <w:r w:rsidRPr="00043A1E">
        <w:rPr>
          <w:rFonts w:ascii="新細明體" w:hAnsi="新細明體" w:cs="新細明體" w:hint="eastAsia"/>
          <w:szCs w:val="22"/>
        </w:rPr>
        <w:t>※</w:t>
      </w:r>
      <w:r w:rsidRPr="00043A1E">
        <w:rPr>
          <w:szCs w:val="22"/>
        </w:rPr>
        <w:t>案：揜</w:t>
      </w:r>
      <w:r w:rsidRPr="00043A1E">
        <w:rPr>
          <w:rFonts w:eastAsia="標楷體"/>
          <w:szCs w:val="22"/>
        </w:rPr>
        <w:t>（一ㄢ</w:t>
      </w:r>
      <w:r w:rsidRPr="00043A1E">
        <w:rPr>
          <w:rFonts w:ascii="標楷體" w:eastAsia="標楷體" w:hAnsi="標楷體"/>
          <w:szCs w:val="22"/>
        </w:rPr>
        <w:t>ˇ</w:t>
      </w:r>
      <w:r w:rsidRPr="00043A1E">
        <w:rPr>
          <w:rFonts w:eastAsia="標楷體"/>
          <w:szCs w:val="22"/>
        </w:rPr>
        <w:t>）：</w:t>
      </w:r>
      <w:r w:rsidRPr="00043A1E">
        <w:rPr>
          <w:szCs w:val="22"/>
        </w:rPr>
        <w:t>遮蔽。（《漢語大詞典》（六）</w:t>
      </w:r>
      <w:r w:rsidRPr="00043A1E">
        <w:rPr>
          <w:rFonts w:hint="eastAsia"/>
          <w:szCs w:val="22"/>
        </w:rPr>
        <w:t>，</w:t>
      </w:r>
      <w:r w:rsidRPr="00761EF3">
        <w:rPr>
          <w:szCs w:val="22"/>
        </w:rPr>
        <w:t>p</w:t>
      </w:r>
      <w:r w:rsidRPr="00043A1E">
        <w:rPr>
          <w:szCs w:val="22"/>
        </w:rPr>
        <w:t>.</w:t>
      </w:r>
      <w:r w:rsidRPr="00761EF3">
        <w:rPr>
          <w:szCs w:val="22"/>
        </w:rPr>
        <w:t>770</w:t>
      </w:r>
      <w:r w:rsidRPr="00043A1E">
        <w:rPr>
          <w:szCs w:val="22"/>
        </w:rPr>
        <w:t>）</w:t>
      </w:r>
    </w:p>
    <w:p w:rsidR="00157EF6" w:rsidRPr="00043A1E" w:rsidRDefault="00157EF6" w:rsidP="00AA120F">
      <w:pPr>
        <w:pStyle w:val="a5"/>
        <w:ind w:leftChars="105" w:left="791" w:hangingChars="245" w:hanging="539"/>
        <w:jc w:val="both"/>
        <w:rPr>
          <w:szCs w:val="22"/>
        </w:rPr>
      </w:pPr>
      <w:r w:rsidRPr="00043A1E">
        <w:rPr>
          <w:szCs w:val="22"/>
        </w:rPr>
        <w:t>（</w:t>
      </w:r>
      <w:r w:rsidRPr="00761EF3">
        <w:rPr>
          <w:szCs w:val="22"/>
        </w:rPr>
        <w:t>2</w:t>
      </w:r>
      <w:r w:rsidRPr="00043A1E">
        <w:rPr>
          <w:szCs w:val="22"/>
        </w:rPr>
        <w:t>）劉真</w:t>
      </w:r>
      <w:r w:rsidRPr="00043A1E">
        <w:rPr>
          <w:rFonts w:hint="eastAsia"/>
          <w:szCs w:val="22"/>
        </w:rPr>
        <w:t>，</w:t>
      </w:r>
      <w:r w:rsidRPr="00043A1E">
        <w:rPr>
          <w:szCs w:val="22"/>
        </w:rPr>
        <w:t>白話新譯，《四書讀本》，綜合出版社，民國</w:t>
      </w:r>
      <w:r w:rsidRPr="00761EF3">
        <w:rPr>
          <w:szCs w:val="22"/>
        </w:rPr>
        <w:t>69</w:t>
      </w:r>
      <w:r w:rsidRPr="00043A1E">
        <w:rPr>
          <w:szCs w:val="22"/>
        </w:rPr>
        <w:t>年，</w:t>
      </w:r>
      <w:r w:rsidRPr="00761EF3">
        <w:rPr>
          <w:szCs w:val="22"/>
        </w:rPr>
        <w:t>pp</w:t>
      </w:r>
      <w:r w:rsidRPr="00043A1E">
        <w:rPr>
          <w:szCs w:val="22"/>
        </w:rPr>
        <w:t>.</w:t>
      </w:r>
      <w:r w:rsidRPr="00761EF3">
        <w:rPr>
          <w:szCs w:val="22"/>
        </w:rPr>
        <w:t>7</w:t>
      </w:r>
      <w:r w:rsidRPr="00043A1E">
        <w:rPr>
          <w:szCs w:val="22"/>
        </w:rPr>
        <w:t>-</w:t>
      </w:r>
      <w:r w:rsidRPr="00761EF3">
        <w:rPr>
          <w:szCs w:val="22"/>
        </w:rPr>
        <w:t>8</w:t>
      </w:r>
      <w:r w:rsidRPr="00043A1E">
        <w:rPr>
          <w:szCs w:val="22"/>
        </w:rPr>
        <w:t>：</w:t>
      </w:r>
    </w:p>
    <w:p w:rsidR="00157EF6" w:rsidRPr="00043A1E" w:rsidRDefault="00157EF6" w:rsidP="00AA120F">
      <w:pPr>
        <w:pStyle w:val="a5"/>
        <w:ind w:leftChars="335" w:left="804"/>
        <w:jc w:val="both"/>
        <w:rPr>
          <w:rFonts w:eastAsia="標楷體"/>
          <w:szCs w:val="22"/>
        </w:rPr>
      </w:pPr>
      <w:r w:rsidRPr="00043A1E">
        <w:rPr>
          <w:rFonts w:eastAsia="標楷體"/>
          <w:szCs w:val="22"/>
        </w:rPr>
        <w:t>經文上說的「誠其意」的意思，是說自己不要欺騙自己。要像厭惡那腐壞的氣味和愛好那美麗的顏色一般真切，這才算得自家快活受用。所以君子定要小心謹防自己一人獨處的時候；而小人恰好相反：平常住在家裏，專做不好的事，所謂壞事做盡，看見君子然後再遮遮掩掩地去隱藏他那壞處，故意顯揚他的假善，殊不知別人早已看透了他，清清楚楚地就同看見他的肺肝一樣。他的那種作法，其實有什麼益處呢？一個心裏誠實，便會表現在外面，所以君子一定要小心謹防自家一人獨處的時候。</w:t>
      </w:r>
    </w:p>
  </w:footnote>
  <w:footnote w:id="709">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假充：假冒，冒充。（《漢語大詞典》（一）</w:t>
      </w:r>
      <w:r w:rsidRPr="00043A1E">
        <w:rPr>
          <w:rFonts w:hint="eastAsia"/>
          <w:szCs w:val="22"/>
        </w:rPr>
        <w:t>，</w:t>
      </w:r>
      <w:r w:rsidRPr="00761EF3">
        <w:rPr>
          <w:szCs w:val="22"/>
        </w:rPr>
        <w:t>p</w:t>
      </w:r>
      <w:r w:rsidRPr="00043A1E">
        <w:rPr>
          <w:szCs w:val="22"/>
        </w:rPr>
        <w:t>.</w:t>
      </w:r>
      <w:r w:rsidRPr="00761EF3">
        <w:rPr>
          <w:szCs w:val="22"/>
        </w:rPr>
        <w:t>1575</w:t>
      </w:r>
      <w:r w:rsidRPr="00043A1E">
        <w:rPr>
          <w:szCs w:val="22"/>
        </w:rPr>
        <w:t>）</w:t>
      </w:r>
    </w:p>
  </w:footnote>
  <w:footnote w:id="710">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參見《雜寶藏經》卷</w:t>
      </w:r>
      <w:r w:rsidRPr="00761EF3">
        <w:rPr>
          <w:szCs w:val="22"/>
        </w:rPr>
        <w:t>3</w:t>
      </w:r>
      <w:r w:rsidRPr="00043A1E">
        <w:rPr>
          <w:szCs w:val="22"/>
        </w:rPr>
        <w:t>〈</w:t>
      </w:r>
      <w:r w:rsidRPr="00761EF3">
        <w:rPr>
          <w:szCs w:val="22"/>
        </w:rPr>
        <w:t>35</w:t>
      </w:r>
      <w:r w:rsidRPr="00043A1E">
        <w:rPr>
          <w:szCs w:val="22"/>
        </w:rPr>
        <w:t xml:space="preserve"> </w:t>
      </w:r>
      <w:r w:rsidRPr="00043A1E">
        <w:rPr>
          <w:szCs w:val="22"/>
        </w:rPr>
        <w:t>山鷄王緣〉（大正</w:t>
      </w:r>
      <w:r w:rsidRPr="00761EF3">
        <w:rPr>
          <w:szCs w:val="22"/>
        </w:rPr>
        <w:t>4</w:t>
      </w:r>
      <w:r w:rsidRPr="00043A1E">
        <w:rPr>
          <w:szCs w:val="22"/>
        </w:rPr>
        <w:t>，</w:t>
      </w:r>
      <w:r w:rsidRPr="00761EF3">
        <w:rPr>
          <w:szCs w:val="22"/>
        </w:rPr>
        <w:t>465a9</w:t>
      </w:r>
      <w:r w:rsidRPr="00043A1E">
        <w:rPr>
          <w:szCs w:val="22"/>
        </w:rPr>
        <w:t>-</w:t>
      </w:r>
      <w:r w:rsidRPr="00761EF3">
        <w:rPr>
          <w:szCs w:val="22"/>
        </w:rPr>
        <w:t>13</w:t>
      </w:r>
      <w:r w:rsidRPr="00043A1E">
        <w:rPr>
          <w:szCs w:val="22"/>
        </w:rPr>
        <w:t>）：</w:t>
      </w:r>
    </w:p>
    <w:p w:rsidR="00157EF6" w:rsidRPr="00043A1E" w:rsidRDefault="00157EF6" w:rsidP="00AA120F">
      <w:pPr>
        <w:pStyle w:val="a5"/>
        <w:ind w:leftChars="105" w:left="252"/>
        <w:jc w:val="both"/>
        <w:rPr>
          <w:rFonts w:eastAsia="標楷體"/>
          <w:szCs w:val="22"/>
        </w:rPr>
      </w:pPr>
      <w:r w:rsidRPr="00043A1E">
        <w:rPr>
          <w:rFonts w:eastAsia="標楷體"/>
          <w:szCs w:val="22"/>
        </w:rPr>
        <w:t>佛在王舍城，提婆達多往至佛所，而作是言：「如來今</w:t>
      </w:r>
      <w:r w:rsidRPr="00113284">
        <w:rPr>
          <w:rFonts w:eastAsia="標楷體"/>
          <w:szCs w:val="22"/>
          <w:highlight w:val="yellow"/>
        </w:rPr>
        <w:t>者可</w:t>
      </w:r>
      <w:r w:rsidRPr="00043A1E">
        <w:rPr>
          <w:rFonts w:eastAsia="標楷體"/>
          <w:szCs w:val="22"/>
        </w:rPr>
        <w:t>閑靜住，以此大眾，付囑於我。」</w:t>
      </w:r>
    </w:p>
    <w:p w:rsidR="00157EF6" w:rsidRPr="00043A1E" w:rsidRDefault="00157EF6" w:rsidP="00AA120F">
      <w:pPr>
        <w:pStyle w:val="a5"/>
        <w:ind w:leftChars="105" w:left="252"/>
        <w:jc w:val="both"/>
        <w:rPr>
          <w:rFonts w:eastAsia="標楷體"/>
          <w:szCs w:val="22"/>
        </w:rPr>
      </w:pPr>
      <w:r w:rsidRPr="00043A1E">
        <w:rPr>
          <w:rFonts w:eastAsia="標楷體"/>
          <w:szCs w:val="22"/>
        </w:rPr>
        <w:t>佛言：「食唾癡人！我尚不以諸大眾等付囑舍利弗、目犍連，云何乃當付囑於汝？」</w:t>
      </w:r>
    </w:p>
    <w:p w:rsidR="00157EF6" w:rsidRPr="00043A1E" w:rsidRDefault="00157EF6" w:rsidP="00AA120F">
      <w:pPr>
        <w:pStyle w:val="a5"/>
        <w:ind w:leftChars="105" w:left="252"/>
        <w:jc w:val="both"/>
        <w:rPr>
          <w:szCs w:val="22"/>
        </w:rPr>
      </w:pPr>
      <w:r w:rsidRPr="00043A1E">
        <w:rPr>
          <w:rFonts w:eastAsia="標楷體"/>
          <w:szCs w:val="22"/>
        </w:rPr>
        <w:t>提婆達</w:t>
      </w:r>
      <w:r w:rsidRPr="008D652C">
        <w:rPr>
          <w:rFonts w:eastAsia="標楷體"/>
          <w:szCs w:val="22"/>
          <w:highlight w:val="yellow"/>
        </w:rPr>
        <w:t>多瞋</w:t>
      </w:r>
      <w:r w:rsidRPr="00043A1E">
        <w:rPr>
          <w:rFonts w:eastAsia="標楷體"/>
          <w:szCs w:val="22"/>
        </w:rPr>
        <w:t>罵而去。</w:t>
      </w:r>
    </w:p>
  </w:footnote>
  <w:footnote w:id="711">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szCs w:val="22"/>
        </w:rPr>
        <w:t>《雜阿含經》卷</w:t>
      </w:r>
      <w:r w:rsidRPr="00761EF3">
        <w:rPr>
          <w:szCs w:val="22"/>
        </w:rPr>
        <w:t>26</w:t>
      </w:r>
      <w:r w:rsidRPr="00043A1E">
        <w:rPr>
          <w:szCs w:val="22"/>
        </w:rPr>
        <w:t>（</w:t>
      </w:r>
      <w:r w:rsidRPr="00761EF3">
        <w:rPr>
          <w:szCs w:val="22"/>
        </w:rPr>
        <w:t>684</w:t>
      </w:r>
      <w:r w:rsidRPr="00043A1E">
        <w:rPr>
          <w:szCs w:val="22"/>
        </w:rPr>
        <w:t>經）（大正</w:t>
      </w:r>
      <w:r w:rsidRPr="00761EF3">
        <w:rPr>
          <w:szCs w:val="22"/>
        </w:rPr>
        <w:t>2</w:t>
      </w:r>
      <w:r w:rsidRPr="00043A1E">
        <w:rPr>
          <w:szCs w:val="22"/>
        </w:rPr>
        <w:t>，</w:t>
      </w:r>
      <w:r w:rsidRPr="00761EF3">
        <w:rPr>
          <w:szCs w:val="22"/>
        </w:rPr>
        <w:t>187a4</w:t>
      </w:r>
      <w:r w:rsidRPr="00043A1E">
        <w:rPr>
          <w:szCs w:val="22"/>
        </w:rPr>
        <w:t>-</w:t>
      </w:r>
      <w:r w:rsidRPr="00761EF3">
        <w:rPr>
          <w:rFonts w:hint="eastAsia"/>
          <w:szCs w:val="22"/>
        </w:rPr>
        <w:t>5</w:t>
      </w:r>
      <w:r w:rsidRPr="00043A1E">
        <w:rPr>
          <w:szCs w:val="22"/>
        </w:rPr>
        <w:t>）：</w:t>
      </w:r>
    </w:p>
    <w:p w:rsidR="00157EF6" w:rsidRPr="00043A1E" w:rsidRDefault="00157EF6" w:rsidP="00AA120F">
      <w:pPr>
        <w:pStyle w:val="a5"/>
        <w:ind w:leftChars="335" w:left="804"/>
        <w:jc w:val="both"/>
        <w:rPr>
          <w:dstrike/>
          <w:szCs w:val="22"/>
        </w:rPr>
      </w:pPr>
      <w:r w:rsidRPr="00043A1E">
        <w:rPr>
          <w:rFonts w:eastAsia="標楷體"/>
          <w:szCs w:val="22"/>
        </w:rPr>
        <w:t>如來悉知世間眾生種種諸界如實知，是名第六如來力。</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w:t>
      </w:r>
      <w:r w:rsidRPr="00043A1E">
        <w:rPr>
          <w:szCs w:val="22"/>
        </w:rPr>
        <w:t>另參見《摩訶般若波羅蜜經》卷</w:t>
      </w:r>
      <w:r w:rsidRPr="00761EF3">
        <w:rPr>
          <w:szCs w:val="22"/>
        </w:rPr>
        <w:t>5</w:t>
      </w:r>
      <w:r w:rsidRPr="00043A1E">
        <w:rPr>
          <w:szCs w:val="22"/>
        </w:rPr>
        <w:t>〈</w:t>
      </w:r>
      <w:r w:rsidRPr="00761EF3">
        <w:rPr>
          <w:szCs w:val="22"/>
        </w:rPr>
        <w:t>19</w:t>
      </w:r>
      <w:r w:rsidRPr="00043A1E">
        <w:rPr>
          <w:szCs w:val="22"/>
        </w:rPr>
        <w:t xml:space="preserve"> </w:t>
      </w:r>
      <w:r w:rsidRPr="00043A1E">
        <w:rPr>
          <w:szCs w:val="22"/>
        </w:rPr>
        <w:t>廣乘品〉（大正</w:t>
      </w:r>
      <w:r w:rsidRPr="00761EF3">
        <w:rPr>
          <w:szCs w:val="22"/>
        </w:rPr>
        <w:t>8</w:t>
      </w:r>
      <w:r w:rsidRPr="00043A1E">
        <w:rPr>
          <w:szCs w:val="22"/>
        </w:rPr>
        <w:t>，</w:t>
      </w:r>
      <w:r w:rsidRPr="00761EF3">
        <w:rPr>
          <w:szCs w:val="22"/>
        </w:rPr>
        <w:t>255a28</w:t>
      </w:r>
      <w:r w:rsidRPr="00043A1E">
        <w:rPr>
          <w:szCs w:val="22"/>
        </w:rPr>
        <w:t>-</w:t>
      </w:r>
      <w:r w:rsidRPr="00761EF3">
        <w:rPr>
          <w:szCs w:val="22"/>
        </w:rPr>
        <w:t>b22</w:t>
      </w:r>
      <w:r w:rsidRPr="00043A1E">
        <w:rPr>
          <w:szCs w:val="22"/>
        </w:rPr>
        <w:t>），《大智度論》卷</w:t>
      </w:r>
      <w:r w:rsidRPr="00761EF3">
        <w:rPr>
          <w:szCs w:val="22"/>
        </w:rPr>
        <w:t>24</w:t>
      </w:r>
      <w:r w:rsidR="003B68A0">
        <w:rPr>
          <w:rFonts w:hint="eastAsia"/>
          <w:color w:val="FF0000"/>
          <w:szCs w:val="22"/>
          <w:highlight w:val="yellow"/>
        </w:rPr>
        <w:t>釋〈</w:t>
      </w:r>
      <w:r w:rsidR="003B68A0">
        <w:rPr>
          <w:color w:val="FF0000"/>
          <w:szCs w:val="22"/>
          <w:highlight w:val="yellow"/>
        </w:rPr>
        <w:t xml:space="preserve">1 </w:t>
      </w:r>
      <w:r w:rsidR="003B68A0">
        <w:rPr>
          <w:rFonts w:hint="eastAsia"/>
          <w:color w:val="FF0000"/>
          <w:szCs w:val="22"/>
          <w:highlight w:val="yellow"/>
        </w:rPr>
        <w:t>序品〉</w:t>
      </w:r>
      <w:r w:rsidRPr="00043A1E">
        <w:rPr>
          <w:szCs w:val="22"/>
        </w:rPr>
        <w:t>（大正</w:t>
      </w:r>
      <w:r w:rsidRPr="00761EF3">
        <w:rPr>
          <w:szCs w:val="22"/>
        </w:rPr>
        <w:t>25</w:t>
      </w:r>
      <w:r w:rsidRPr="00043A1E">
        <w:rPr>
          <w:szCs w:val="22"/>
        </w:rPr>
        <w:t>，</w:t>
      </w:r>
      <w:r w:rsidRPr="00761EF3">
        <w:rPr>
          <w:szCs w:val="22"/>
        </w:rPr>
        <w:t>239b14</w:t>
      </w:r>
      <w:r w:rsidRPr="00043A1E">
        <w:rPr>
          <w:szCs w:val="22"/>
        </w:rPr>
        <w:t>-</w:t>
      </w:r>
      <w:r w:rsidRPr="00761EF3">
        <w:rPr>
          <w:szCs w:val="22"/>
        </w:rPr>
        <w:t>240a12</w:t>
      </w:r>
      <w:r w:rsidRPr="00043A1E">
        <w:rPr>
          <w:szCs w:val="22"/>
        </w:rPr>
        <w:t>）。</w:t>
      </w:r>
    </w:p>
  </w:footnote>
  <w:footnote w:id="712">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參見《雜阿含經》卷</w:t>
      </w:r>
      <w:r w:rsidRPr="00761EF3">
        <w:rPr>
          <w:szCs w:val="22"/>
        </w:rPr>
        <w:t>38</w:t>
      </w:r>
      <w:r w:rsidRPr="00043A1E">
        <w:rPr>
          <w:szCs w:val="22"/>
        </w:rPr>
        <w:t>（</w:t>
      </w:r>
      <w:r w:rsidRPr="00761EF3">
        <w:rPr>
          <w:szCs w:val="22"/>
        </w:rPr>
        <w:t>1077</w:t>
      </w:r>
      <w:r w:rsidRPr="00043A1E">
        <w:rPr>
          <w:szCs w:val="22"/>
        </w:rPr>
        <w:t>經）（大正</w:t>
      </w:r>
      <w:r w:rsidRPr="00761EF3">
        <w:rPr>
          <w:szCs w:val="22"/>
        </w:rPr>
        <w:t>2</w:t>
      </w:r>
      <w:r w:rsidRPr="00043A1E">
        <w:rPr>
          <w:szCs w:val="22"/>
        </w:rPr>
        <w:t>，</w:t>
      </w:r>
      <w:r w:rsidRPr="00761EF3">
        <w:rPr>
          <w:szCs w:val="22"/>
        </w:rPr>
        <w:t>280c17</w:t>
      </w:r>
      <w:r w:rsidRPr="00043A1E">
        <w:rPr>
          <w:szCs w:val="22"/>
        </w:rPr>
        <w:t>-</w:t>
      </w:r>
      <w:r w:rsidRPr="00761EF3">
        <w:rPr>
          <w:szCs w:val="22"/>
        </w:rPr>
        <w:t>281c2</w:t>
      </w:r>
      <w:r w:rsidRPr="00043A1E">
        <w:rPr>
          <w:szCs w:val="22"/>
        </w:rPr>
        <w:t>），《增壹阿含經》卷</w:t>
      </w:r>
      <w:r w:rsidRPr="00761EF3">
        <w:rPr>
          <w:szCs w:val="22"/>
        </w:rPr>
        <w:t>31</w:t>
      </w:r>
      <w:r w:rsidRPr="00043A1E">
        <w:rPr>
          <w:szCs w:val="22"/>
        </w:rPr>
        <w:t>〈</w:t>
      </w:r>
      <w:r w:rsidRPr="00761EF3">
        <w:rPr>
          <w:szCs w:val="22"/>
        </w:rPr>
        <w:t>38</w:t>
      </w:r>
      <w:r w:rsidRPr="00043A1E">
        <w:rPr>
          <w:szCs w:val="22"/>
        </w:rPr>
        <w:t xml:space="preserve"> </w:t>
      </w:r>
      <w:r w:rsidRPr="00043A1E">
        <w:rPr>
          <w:szCs w:val="22"/>
        </w:rPr>
        <w:t>力品〉（</w:t>
      </w:r>
      <w:r w:rsidRPr="00761EF3">
        <w:rPr>
          <w:szCs w:val="22"/>
        </w:rPr>
        <w:t>6</w:t>
      </w:r>
      <w:r w:rsidRPr="00043A1E">
        <w:rPr>
          <w:szCs w:val="22"/>
        </w:rPr>
        <w:t>經）（大正</w:t>
      </w:r>
      <w:r w:rsidRPr="00761EF3">
        <w:rPr>
          <w:szCs w:val="22"/>
        </w:rPr>
        <w:t>2</w:t>
      </w:r>
      <w:r w:rsidRPr="00043A1E">
        <w:rPr>
          <w:szCs w:val="22"/>
        </w:rPr>
        <w:t>，</w:t>
      </w:r>
      <w:r w:rsidRPr="00761EF3">
        <w:rPr>
          <w:szCs w:val="22"/>
        </w:rPr>
        <w:t>719b20</w:t>
      </w:r>
      <w:r w:rsidRPr="00043A1E">
        <w:rPr>
          <w:szCs w:val="22"/>
        </w:rPr>
        <w:t>-</w:t>
      </w:r>
      <w:r w:rsidRPr="00761EF3">
        <w:rPr>
          <w:szCs w:val="22"/>
        </w:rPr>
        <w:t>722c22</w:t>
      </w:r>
      <w:r w:rsidRPr="00043A1E">
        <w:rPr>
          <w:szCs w:val="22"/>
        </w:rPr>
        <w:t>），《賢愚經》卷</w:t>
      </w:r>
      <w:r w:rsidRPr="00761EF3">
        <w:rPr>
          <w:szCs w:val="22"/>
        </w:rPr>
        <w:t>11</w:t>
      </w:r>
      <w:r w:rsidRPr="00043A1E">
        <w:rPr>
          <w:szCs w:val="22"/>
        </w:rPr>
        <w:t>〈</w:t>
      </w:r>
      <w:r w:rsidRPr="00761EF3">
        <w:rPr>
          <w:szCs w:val="22"/>
        </w:rPr>
        <w:t>45</w:t>
      </w:r>
      <w:r w:rsidRPr="00043A1E">
        <w:rPr>
          <w:szCs w:val="22"/>
        </w:rPr>
        <w:t xml:space="preserve"> </w:t>
      </w:r>
      <w:r w:rsidRPr="00043A1E">
        <w:rPr>
          <w:szCs w:val="22"/>
        </w:rPr>
        <w:t>無惱指鬘品〉（大正</w:t>
      </w:r>
      <w:r w:rsidRPr="00761EF3">
        <w:rPr>
          <w:szCs w:val="22"/>
        </w:rPr>
        <w:t>4</w:t>
      </w:r>
      <w:r w:rsidRPr="00043A1E">
        <w:rPr>
          <w:szCs w:val="22"/>
        </w:rPr>
        <w:t>，</w:t>
      </w:r>
      <w:r w:rsidRPr="00761EF3">
        <w:rPr>
          <w:szCs w:val="22"/>
        </w:rPr>
        <w:t>423b5</w:t>
      </w:r>
      <w:r w:rsidRPr="00043A1E">
        <w:rPr>
          <w:szCs w:val="22"/>
        </w:rPr>
        <w:t>-</w:t>
      </w:r>
      <w:r w:rsidRPr="00761EF3">
        <w:rPr>
          <w:szCs w:val="22"/>
        </w:rPr>
        <w:t>427c28</w:t>
      </w:r>
      <w:r w:rsidRPr="00043A1E">
        <w:rPr>
          <w:szCs w:val="22"/>
        </w:rPr>
        <w:t>）。</w:t>
      </w:r>
    </w:p>
  </w:footnote>
  <w:footnote w:id="713">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《大智度論》卷</w:t>
      </w:r>
      <w:r w:rsidRPr="00761EF3">
        <w:rPr>
          <w:szCs w:val="22"/>
        </w:rPr>
        <w:t>67</w:t>
      </w:r>
      <w:r w:rsidR="003B68A0">
        <w:rPr>
          <w:rFonts w:hint="eastAsia"/>
          <w:color w:val="FF0000"/>
          <w:szCs w:val="22"/>
          <w:highlight w:val="yellow"/>
        </w:rPr>
        <w:t>釋</w:t>
      </w:r>
      <w:r w:rsidR="003B68A0" w:rsidRPr="003B68A0">
        <w:rPr>
          <w:rFonts w:hint="eastAsia"/>
          <w:color w:val="FF0000"/>
          <w:szCs w:val="22"/>
          <w:highlight w:val="yellow"/>
        </w:rPr>
        <w:t>〈</w:t>
      </w:r>
      <w:r w:rsidR="003B68A0" w:rsidRPr="003B68A0">
        <w:rPr>
          <w:rFonts w:hint="eastAsia"/>
          <w:color w:val="FF0000"/>
          <w:szCs w:val="22"/>
          <w:highlight w:val="yellow"/>
        </w:rPr>
        <w:t xml:space="preserve">45 </w:t>
      </w:r>
      <w:r w:rsidR="003B68A0" w:rsidRPr="003B68A0">
        <w:rPr>
          <w:rFonts w:hint="eastAsia"/>
          <w:color w:val="FF0000"/>
          <w:szCs w:val="22"/>
          <w:highlight w:val="yellow"/>
        </w:rPr>
        <w:t>歎信行品〉</w:t>
      </w:r>
      <w:r w:rsidRPr="00043A1E">
        <w:rPr>
          <w:szCs w:val="22"/>
        </w:rPr>
        <w:t>（大正</w:t>
      </w:r>
      <w:r w:rsidRPr="00761EF3">
        <w:rPr>
          <w:szCs w:val="22"/>
        </w:rPr>
        <w:t>25</w:t>
      </w:r>
      <w:r w:rsidRPr="00043A1E">
        <w:rPr>
          <w:szCs w:val="22"/>
        </w:rPr>
        <w:t>，</w:t>
      </w:r>
      <w:r w:rsidRPr="00761EF3">
        <w:rPr>
          <w:szCs w:val="22"/>
        </w:rPr>
        <w:t>528b16</w:t>
      </w:r>
      <w:r w:rsidRPr="00043A1E">
        <w:rPr>
          <w:szCs w:val="22"/>
        </w:rPr>
        <w:t>-</w:t>
      </w:r>
      <w:r w:rsidRPr="00761EF3">
        <w:rPr>
          <w:szCs w:val="22"/>
        </w:rPr>
        <w:t>c1</w:t>
      </w:r>
      <w:r w:rsidRPr="00043A1E">
        <w:rPr>
          <w:szCs w:val="22"/>
        </w:rPr>
        <w:t>）：</w:t>
      </w:r>
    </w:p>
    <w:p w:rsidR="00157EF6" w:rsidRPr="00043A1E" w:rsidRDefault="00157EF6" w:rsidP="00AA120F">
      <w:pPr>
        <w:pStyle w:val="a5"/>
        <w:ind w:leftChars="105" w:left="252"/>
        <w:jc w:val="both"/>
        <w:rPr>
          <w:rFonts w:eastAsia="標楷體"/>
          <w:szCs w:val="22"/>
        </w:rPr>
      </w:pPr>
      <w:r w:rsidRPr="00043A1E">
        <w:rPr>
          <w:rFonts w:eastAsia="標楷體"/>
          <w:szCs w:val="22"/>
        </w:rPr>
        <w:t>佛言：</w:t>
      </w:r>
      <w:r w:rsidRPr="00043A1E">
        <w:rPr>
          <w:rFonts w:eastAsia="標楷體" w:hint="eastAsia"/>
          <w:szCs w:val="22"/>
        </w:rPr>
        <w:t>「</w:t>
      </w:r>
      <w:r w:rsidRPr="00043A1E">
        <w:rPr>
          <w:rFonts w:eastAsia="標楷體"/>
          <w:szCs w:val="22"/>
        </w:rPr>
        <w:t>若菩薩摩訶薩了了知般若波羅蜜相，不分別一切法，所謂不分別色</w:t>
      </w:r>
      <w:r w:rsidR="007A5AE8">
        <w:rPr>
          <w:rFonts w:ascii="新細明體" w:hAnsi="新細明體" w:hint="eastAsia"/>
          <w:bCs/>
          <w:szCs w:val="22"/>
        </w:rPr>
        <w:t>──</w:t>
      </w:r>
      <w:r w:rsidRPr="00043A1E">
        <w:rPr>
          <w:rFonts w:eastAsia="標楷體"/>
          <w:szCs w:val="22"/>
        </w:rPr>
        <w:t>四大、若四大造色。</w:t>
      </w:r>
      <w:r w:rsidR="008D652C">
        <w:rPr>
          <w:rFonts w:ascii="標楷體" w:eastAsia="標楷體" w:hAnsi="標楷體" w:hint="eastAsia"/>
          <w:bCs/>
          <w:color w:val="FF0000"/>
          <w:kern w:val="0"/>
          <w:highlight w:val="yellow"/>
        </w:rPr>
        <w:t>「</w:t>
      </w:r>
      <w:r w:rsidRPr="00043A1E">
        <w:rPr>
          <w:rFonts w:eastAsia="標楷體"/>
          <w:b/>
          <w:szCs w:val="22"/>
        </w:rPr>
        <w:t>不分別色相</w:t>
      </w:r>
      <w:r w:rsidR="008D652C">
        <w:rPr>
          <w:rFonts w:ascii="標楷體" w:eastAsia="標楷體" w:hAnsi="標楷體" w:hint="eastAsia"/>
          <w:bCs/>
          <w:color w:val="FF0000"/>
          <w:kern w:val="0"/>
          <w:highlight w:val="yellow"/>
        </w:rPr>
        <w:t>」</w:t>
      </w:r>
      <w:r w:rsidRPr="00043A1E">
        <w:rPr>
          <w:rFonts w:eastAsia="標楷體"/>
          <w:szCs w:val="22"/>
        </w:rPr>
        <w:t>者，不分別</w:t>
      </w:r>
      <w:r w:rsidR="008D652C">
        <w:rPr>
          <w:rFonts w:ascii="標楷體" w:eastAsia="標楷體" w:hAnsi="標楷體" w:hint="eastAsia"/>
          <w:bCs/>
          <w:color w:val="FF0000"/>
          <w:kern w:val="0"/>
          <w:highlight w:val="yellow"/>
        </w:rPr>
        <w:t>「</w:t>
      </w:r>
      <w:r w:rsidRPr="00043A1E">
        <w:rPr>
          <w:rFonts w:eastAsia="標楷體"/>
          <w:szCs w:val="22"/>
        </w:rPr>
        <w:t>色是可見，聲是可聞</w:t>
      </w:r>
      <w:r w:rsidR="008D652C">
        <w:rPr>
          <w:rFonts w:ascii="標楷體" w:eastAsia="標楷體" w:hAnsi="標楷體" w:hint="eastAsia"/>
          <w:color w:val="FF0000"/>
          <w:spacing w:val="-4"/>
          <w:kern w:val="0"/>
          <w:highlight w:val="yellow"/>
        </w:rPr>
        <w:t>；</w:t>
      </w:r>
      <w:r w:rsidRPr="00043A1E">
        <w:rPr>
          <w:rFonts w:eastAsia="標楷體"/>
          <w:szCs w:val="22"/>
        </w:rPr>
        <w:t>是色</w:t>
      </w:r>
      <w:r w:rsidR="008D652C">
        <w:rPr>
          <w:rFonts w:ascii="標楷體" w:eastAsia="標楷體" w:hAnsi="標楷體" w:hint="eastAsia"/>
          <w:color w:val="FF0000"/>
          <w:kern w:val="0"/>
          <w:highlight w:val="yellow"/>
        </w:rPr>
        <w:t>『</w:t>
      </w:r>
      <w:r w:rsidRPr="00043A1E">
        <w:rPr>
          <w:rFonts w:eastAsia="標楷體"/>
          <w:szCs w:val="22"/>
        </w:rPr>
        <w:t>若好、若醜，若短、若長，若常、若無常，若苦、若樂</w:t>
      </w:r>
      <w:r w:rsidR="008D652C">
        <w:rPr>
          <w:rFonts w:ascii="標楷體" w:eastAsia="標楷體" w:hAnsi="標楷體" w:hint="eastAsia"/>
          <w:color w:val="FF0000"/>
          <w:kern w:val="0"/>
          <w:highlight w:val="yellow"/>
        </w:rPr>
        <w:t>』</w:t>
      </w:r>
      <w:r w:rsidRPr="00043A1E">
        <w:rPr>
          <w:rFonts w:eastAsia="標楷體"/>
          <w:szCs w:val="22"/>
        </w:rPr>
        <w:t>等</w:t>
      </w:r>
      <w:r w:rsidR="008D652C">
        <w:rPr>
          <w:rFonts w:ascii="標楷體" w:eastAsia="標楷體" w:hAnsi="標楷體" w:hint="eastAsia"/>
          <w:bCs/>
          <w:color w:val="FF0000"/>
          <w:kern w:val="0"/>
          <w:highlight w:val="yellow"/>
        </w:rPr>
        <w:t>」</w:t>
      </w:r>
      <w:r w:rsidRPr="00043A1E">
        <w:rPr>
          <w:rFonts w:eastAsia="標楷體"/>
          <w:szCs w:val="22"/>
        </w:rPr>
        <w:t>。</w:t>
      </w:r>
      <w:r w:rsidR="008D652C">
        <w:rPr>
          <w:rFonts w:ascii="標楷體" w:eastAsia="標楷體" w:hAnsi="標楷體" w:hint="eastAsia"/>
          <w:bCs/>
          <w:color w:val="FF0000"/>
          <w:kern w:val="0"/>
          <w:highlight w:val="yellow"/>
        </w:rPr>
        <w:t>「</w:t>
      </w:r>
      <w:r w:rsidRPr="00043A1E">
        <w:rPr>
          <w:rFonts w:eastAsia="標楷體"/>
          <w:b/>
          <w:szCs w:val="22"/>
        </w:rPr>
        <w:t>不分別色性</w:t>
      </w:r>
      <w:r w:rsidR="008D652C">
        <w:rPr>
          <w:rFonts w:ascii="標楷體" w:eastAsia="標楷體" w:hAnsi="標楷體" w:hint="eastAsia"/>
          <w:bCs/>
          <w:color w:val="FF0000"/>
          <w:kern w:val="0"/>
          <w:highlight w:val="yellow"/>
        </w:rPr>
        <w:t>」</w:t>
      </w:r>
      <w:r w:rsidRPr="00043A1E">
        <w:rPr>
          <w:rFonts w:eastAsia="標楷體"/>
          <w:b/>
          <w:szCs w:val="22"/>
        </w:rPr>
        <w:t>者，不見色常法</w:t>
      </w:r>
      <w:r w:rsidR="008D652C">
        <w:rPr>
          <w:rFonts w:ascii="標楷體" w:eastAsia="標楷體" w:hAnsi="標楷體" w:hint="eastAsia"/>
          <w:color w:val="FF0000"/>
          <w:kern w:val="0"/>
          <w:highlight w:val="yellow"/>
        </w:rPr>
        <w:t>──</w:t>
      </w:r>
      <w:r w:rsidRPr="00043A1E">
        <w:rPr>
          <w:rFonts w:eastAsia="標楷體"/>
          <w:b/>
          <w:szCs w:val="22"/>
        </w:rPr>
        <w:t>所謂</w:t>
      </w:r>
      <w:r w:rsidR="008D652C">
        <w:rPr>
          <w:rFonts w:ascii="標楷體" w:eastAsia="標楷體" w:hAnsi="標楷體" w:hint="eastAsia"/>
          <w:bCs/>
          <w:color w:val="FF0000"/>
          <w:kern w:val="0"/>
          <w:highlight w:val="yellow"/>
        </w:rPr>
        <w:t>「</w:t>
      </w:r>
      <w:r w:rsidRPr="00043A1E">
        <w:rPr>
          <w:rFonts w:eastAsia="標楷體"/>
          <w:b/>
          <w:szCs w:val="22"/>
        </w:rPr>
        <w:t>地</w:t>
      </w:r>
      <w:r w:rsidR="008D652C">
        <w:rPr>
          <w:rFonts w:ascii="標楷體" w:eastAsia="標楷體" w:hAnsi="標楷體" w:hint="eastAsia"/>
          <w:color w:val="FF0000"/>
          <w:kern w:val="0"/>
          <w:highlight w:val="yellow"/>
        </w:rPr>
        <w:t>，</w:t>
      </w:r>
      <w:r w:rsidRPr="00043A1E">
        <w:rPr>
          <w:rFonts w:eastAsia="標楷體"/>
          <w:b/>
          <w:szCs w:val="22"/>
        </w:rPr>
        <w:t>堅性</w:t>
      </w:r>
      <w:r w:rsidR="008D652C">
        <w:rPr>
          <w:rFonts w:ascii="標楷體" w:eastAsia="標楷體" w:hAnsi="標楷體" w:hint="eastAsia"/>
          <w:bCs/>
          <w:color w:val="FF0000"/>
          <w:kern w:val="0"/>
          <w:highlight w:val="yellow"/>
        </w:rPr>
        <w:t>」</w:t>
      </w:r>
      <w:r w:rsidRPr="00043A1E">
        <w:rPr>
          <w:rFonts w:eastAsia="標楷體"/>
          <w:b/>
          <w:szCs w:val="22"/>
        </w:rPr>
        <w:t>等</w:t>
      </w:r>
      <w:r w:rsidRPr="00043A1E">
        <w:rPr>
          <w:rFonts w:eastAsia="標楷體"/>
          <w:szCs w:val="22"/>
        </w:rPr>
        <w:t>。復次，</w:t>
      </w:r>
      <w:r w:rsidRPr="00043A1E">
        <w:rPr>
          <w:rFonts w:eastAsia="標楷體"/>
          <w:b/>
          <w:szCs w:val="22"/>
        </w:rPr>
        <w:t>色實性名</w:t>
      </w:r>
      <w:r w:rsidR="008D652C">
        <w:rPr>
          <w:rFonts w:ascii="標楷體" w:eastAsia="標楷體" w:hAnsi="標楷體" w:hint="eastAsia"/>
          <w:bCs/>
          <w:color w:val="FF0000"/>
          <w:kern w:val="0"/>
          <w:highlight w:val="yellow"/>
        </w:rPr>
        <w:t>「</w:t>
      </w:r>
      <w:r w:rsidRPr="00043A1E">
        <w:rPr>
          <w:rFonts w:eastAsia="標楷體"/>
          <w:b/>
          <w:szCs w:val="22"/>
        </w:rPr>
        <w:t>法性</w:t>
      </w:r>
      <w:r w:rsidR="008D652C">
        <w:rPr>
          <w:rFonts w:ascii="標楷體" w:eastAsia="標楷體" w:hAnsi="標楷體" w:hint="eastAsia"/>
          <w:bCs/>
          <w:color w:val="FF0000"/>
          <w:kern w:val="0"/>
          <w:highlight w:val="yellow"/>
        </w:rPr>
        <w:t>」</w:t>
      </w:r>
      <w:r w:rsidRPr="00043A1E">
        <w:rPr>
          <w:rFonts w:eastAsia="標楷體"/>
          <w:b/>
          <w:szCs w:val="22"/>
        </w:rPr>
        <w:t>，畢竟空故</w:t>
      </w:r>
      <w:r w:rsidRPr="00043A1E">
        <w:rPr>
          <w:rFonts w:eastAsia="標楷體"/>
          <w:szCs w:val="22"/>
        </w:rPr>
        <w:t>；是菩薩不分別法性，法性不壞相故</w:t>
      </w:r>
      <w:r w:rsidR="008D652C">
        <w:rPr>
          <w:rFonts w:ascii="標楷體" w:eastAsia="標楷體" w:hAnsi="標楷體" w:hint="eastAsia"/>
          <w:color w:val="FF0000"/>
          <w:kern w:val="0"/>
          <w:highlight w:val="yellow"/>
        </w:rPr>
        <w:t>。</w:t>
      </w:r>
      <w:r w:rsidRPr="00043A1E">
        <w:rPr>
          <w:rFonts w:eastAsia="標楷體"/>
          <w:szCs w:val="22"/>
        </w:rPr>
        <w:t>乃至一切種智</w:t>
      </w:r>
      <w:r w:rsidR="008D652C">
        <w:rPr>
          <w:rFonts w:ascii="標楷體" w:eastAsia="標楷體" w:hAnsi="標楷體" w:hint="eastAsia"/>
          <w:color w:val="FF0000"/>
          <w:kern w:val="0"/>
          <w:highlight w:val="yellow"/>
        </w:rPr>
        <w:t>，</w:t>
      </w:r>
      <w:r w:rsidRPr="00043A1E">
        <w:rPr>
          <w:rFonts w:eastAsia="標楷體"/>
          <w:szCs w:val="22"/>
        </w:rPr>
        <w:t>亦如是。</w:t>
      </w:r>
      <w:r w:rsidRPr="00043A1E">
        <w:rPr>
          <w:rFonts w:eastAsia="標楷體" w:hint="eastAsia"/>
          <w:szCs w:val="22"/>
        </w:rPr>
        <w:t>」</w:t>
      </w:r>
    </w:p>
    <w:p w:rsidR="00157EF6" w:rsidRPr="00043A1E" w:rsidRDefault="00157EF6" w:rsidP="00AA120F">
      <w:pPr>
        <w:pStyle w:val="a5"/>
        <w:ind w:leftChars="105" w:left="912" w:hangingChars="300" w:hanging="660"/>
        <w:jc w:val="both"/>
        <w:rPr>
          <w:rFonts w:eastAsia="標楷體"/>
          <w:szCs w:val="22"/>
        </w:rPr>
      </w:pPr>
      <w:r w:rsidRPr="00043A1E">
        <w:rPr>
          <w:rFonts w:eastAsia="標楷體"/>
          <w:szCs w:val="22"/>
        </w:rPr>
        <w:t>問曰：地是堅相，何以言</w:t>
      </w:r>
      <w:r w:rsidR="008D652C">
        <w:rPr>
          <w:rFonts w:ascii="標楷體" w:eastAsia="標楷體" w:hAnsi="標楷體" w:hint="eastAsia"/>
          <w:bCs/>
          <w:color w:val="FF0000"/>
          <w:kern w:val="0"/>
          <w:highlight w:val="yellow"/>
        </w:rPr>
        <w:t>「</w:t>
      </w:r>
      <w:r w:rsidRPr="00043A1E">
        <w:rPr>
          <w:rFonts w:eastAsia="標楷體"/>
          <w:szCs w:val="22"/>
        </w:rPr>
        <w:t>性</w:t>
      </w:r>
      <w:r w:rsidR="008D652C">
        <w:rPr>
          <w:rFonts w:ascii="標楷體" w:eastAsia="標楷體" w:hAnsi="標楷體" w:hint="eastAsia"/>
          <w:bCs/>
          <w:color w:val="FF0000"/>
          <w:kern w:val="0"/>
          <w:highlight w:val="yellow"/>
        </w:rPr>
        <w:t>」</w:t>
      </w:r>
      <w:r w:rsidRPr="00043A1E">
        <w:rPr>
          <w:rFonts w:eastAsia="標楷體"/>
          <w:szCs w:val="22"/>
        </w:rPr>
        <w:t>？</w:t>
      </w:r>
    </w:p>
    <w:p w:rsidR="00157EF6" w:rsidRPr="00043A1E" w:rsidRDefault="00157EF6" w:rsidP="00AA120F">
      <w:pPr>
        <w:pStyle w:val="a5"/>
        <w:ind w:leftChars="105" w:left="912" w:hangingChars="300" w:hanging="660"/>
        <w:jc w:val="both"/>
        <w:rPr>
          <w:szCs w:val="22"/>
        </w:rPr>
      </w:pPr>
      <w:r w:rsidRPr="00043A1E">
        <w:rPr>
          <w:rFonts w:eastAsia="標楷體"/>
          <w:szCs w:val="22"/>
        </w:rPr>
        <w:t>答曰：是</w:t>
      </w:r>
      <w:r w:rsidR="008D652C">
        <w:rPr>
          <w:rFonts w:ascii="標楷體" w:eastAsia="標楷體" w:hAnsi="標楷體" w:hint="eastAsia"/>
          <w:bCs/>
          <w:color w:val="FF0000"/>
          <w:kern w:val="0"/>
          <w:highlight w:val="yellow"/>
        </w:rPr>
        <w:t>「</w:t>
      </w:r>
      <w:r w:rsidRPr="00043A1E">
        <w:rPr>
          <w:rFonts w:eastAsia="標楷體"/>
          <w:szCs w:val="22"/>
        </w:rPr>
        <w:t>相</w:t>
      </w:r>
      <w:r w:rsidR="008D652C">
        <w:rPr>
          <w:rFonts w:ascii="標楷體" w:eastAsia="標楷體" w:hAnsi="標楷體" w:hint="eastAsia"/>
          <w:bCs/>
          <w:color w:val="FF0000"/>
          <w:kern w:val="0"/>
          <w:highlight w:val="yellow"/>
        </w:rPr>
        <w:t>」</w:t>
      </w:r>
      <w:r w:rsidRPr="00043A1E">
        <w:rPr>
          <w:rFonts w:eastAsia="標楷體"/>
          <w:szCs w:val="22"/>
        </w:rPr>
        <w:t>積習成</w:t>
      </w:r>
      <w:r w:rsidR="008D652C">
        <w:rPr>
          <w:rFonts w:ascii="標楷體" w:eastAsia="標楷體" w:hAnsi="標楷體" w:hint="eastAsia"/>
          <w:bCs/>
          <w:color w:val="FF0000"/>
          <w:kern w:val="0"/>
          <w:highlight w:val="yellow"/>
        </w:rPr>
        <w:t>「</w:t>
      </w:r>
      <w:r w:rsidRPr="00043A1E">
        <w:rPr>
          <w:rFonts w:eastAsia="標楷體"/>
          <w:szCs w:val="22"/>
        </w:rPr>
        <w:t>性</w:t>
      </w:r>
      <w:r w:rsidR="008D652C">
        <w:rPr>
          <w:rFonts w:ascii="標楷體" w:eastAsia="標楷體" w:hAnsi="標楷體" w:hint="eastAsia"/>
          <w:bCs/>
          <w:color w:val="FF0000"/>
          <w:kern w:val="0"/>
          <w:highlight w:val="yellow"/>
        </w:rPr>
        <w:t>」</w:t>
      </w:r>
      <w:r w:rsidRPr="00043A1E">
        <w:rPr>
          <w:rFonts w:eastAsia="標楷體" w:hint="eastAsia"/>
          <w:szCs w:val="22"/>
        </w:rPr>
        <w:t>；</w:t>
      </w:r>
      <w:r w:rsidRPr="00043A1E">
        <w:rPr>
          <w:rFonts w:eastAsia="標楷體"/>
          <w:szCs w:val="22"/>
        </w:rPr>
        <w:t>譬如人瞋，日習不已，則成惡性。或</w:t>
      </w:r>
      <w:r w:rsidR="008D652C">
        <w:rPr>
          <w:rFonts w:ascii="標楷體" w:eastAsia="標楷體" w:hAnsi="標楷體" w:hint="eastAsia"/>
          <w:bCs/>
          <w:color w:val="FF0000"/>
          <w:kern w:val="0"/>
          <w:highlight w:val="yellow"/>
        </w:rPr>
        <w:t>「</w:t>
      </w:r>
      <w:r w:rsidRPr="00043A1E">
        <w:rPr>
          <w:rFonts w:eastAsia="標楷體"/>
          <w:szCs w:val="22"/>
        </w:rPr>
        <w:t>性</w:t>
      </w:r>
      <w:r w:rsidR="008D652C">
        <w:rPr>
          <w:rFonts w:ascii="標楷體" w:eastAsia="標楷體" w:hAnsi="標楷體" w:hint="eastAsia"/>
          <w:bCs/>
          <w:color w:val="FF0000"/>
          <w:kern w:val="0"/>
          <w:highlight w:val="yellow"/>
        </w:rPr>
        <w:t>」</w:t>
      </w:r>
      <w:r w:rsidR="008D652C">
        <w:rPr>
          <w:rFonts w:ascii="標楷體" w:eastAsia="標楷體" w:hAnsi="標楷體" w:hint="eastAsia"/>
          <w:color w:val="FF0000"/>
          <w:spacing w:val="-4"/>
          <w:kern w:val="0"/>
          <w:highlight w:val="yellow"/>
        </w:rPr>
        <w:t>、</w:t>
      </w:r>
      <w:r w:rsidR="008D652C">
        <w:rPr>
          <w:rFonts w:ascii="標楷體" w:eastAsia="標楷體" w:hAnsi="標楷體" w:hint="eastAsia"/>
          <w:bCs/>
          <w:color w:val="FF0000"/>
          <w:kern w:val="0"/>
          <w:highlight w:val="yellow"/>
        </w:rPr>
        <w:t>「</w:t>
      </w:r>
      <w:r w:rsidRPr="00043A1E">
        <w:rPr>
          <w:rFonts w:eastAsia="標楷體"/>
          <w:szCs w:val="22"/>
        </w:rPr>
        <w:t>相</w:t>
      </w:r>
      <w:r w:rsidR="008D652C">
        <w:rPr>
          <w:rFonts w:ascii="標楷體" w:eastAsia="標楷體" w:hAnsi="標楷體" w:hint="eastAsia"/>
          <w:bCs/>
          <w:color w:val="FF0000"/>
          <w:kern w:val="0"/>
          <w:highlight w:val="yellow"/>
        </w:rPr>
        <w:t>」</w:t>
      </w:r>
      <w:r w:rsidRPr="00043A1E">
        <w:rPr>
          <w:rFonts w:eastAsia="標楷體"/>
          <w:szCs w:val="22"/>
        </w:rPr>
        <w:t>異，如</w:t>
      </w:r>
      <w:r w:rsidR="008D652C">
        <w:rPr>
          <w:rFonts w:ascii="標楷體" w:eastAsia="標楷體" w:hAnsi="標楷體" w:hint="eastAsia"/>
          <w:color w:val="FF0000"/>
          <w:spacing w:val="-4"/>
          <w:kern w:val="0"/>
          <w:highlight w:val="yellow"/>
        </w:rPr>
        <w:t>：</w:t>
      </w:r>
      <w:r w:rsidRPr="00043A1E">
        <w:rPr>
          <w:rFonts w:eastAsia="標楷體"/>
          <w:szCs w:val="22"/>
        </w:rPr>
        <w:t>見煙知火，煙是火相，而非火也；或</w:t>
      </w:r>
      <w:r w:rsidR="008D652C">
        <w:rPr>
          <w:rFonts w:ascii="標楷體" w:eastAsia="標楷體" w:hAnsi="標楷體" w:hint="eastAsia"/>
          <w:bCs/>
          <w:color w:val="FF0000"/>
          <w:kern w:val="0"/>
          <w:highlight w:val="yellow"/>
        </w:rPr>
        <w:t>「</w:t>
      </w:r>
      <w:r w:rsidRPr="00043A1E">
        <w:rPr>
          <w:rFonts w:eastAsia="標楷體"/>
          <w:szCs w:val="22"/>
        </w:rPr>
        <w:t>相</w:t>
      </w:r>
      <w:r w:rsidR="008D652C">
        <w:rPr>
          <w:rFonts w:ascii="標楷體" w:eastAsia="標楷體" w:hAnsi="標楷體" w:hint="eastAsia"/>
          <w:bCs/>
          <w:color w:val="FF0000"/>
          <w:kern w:val="0"/>
          <w:highlight w:val="yellow"/>
        </w:rPr>
        <w:t>」</w:t>
      </w:r>
      <w:r w:rsidR="008D652C">
        <w:rPr>
          <w:rFonts w:ascii="標楷體" w:eastAsia="標楷體" w:hAnsi="標楷體" w:hint="eastAsia"/>
          <w:color w:val="FF0000"/>
          <w:spacing w:val="-4"/>
          <w:kern w:val="0"/>
          <w:highlight w:val="yellow"/>
        </w:rPr>
        <w:t>、</w:t>
      </w:r>
      <w:r w:rsidR="008D652C">
        <w:rPr>
          <w:rFonts w:ascii="標楷體" w:eastAsia="標楷體" w:hAnsi="標楷體" w:hint="eastAsia"/>
          <w:bCs/>
          <w:color w:val="FF0000"/>
          <w:kern w:val="0"/>
          <w:highlight w:val="yellow"/>
        </w:rPr>
        <w:t>「</w:t>
      </w:r>
      <w:r w:rsidRPr="00043A1E">
        <w:rPr>
          <w:rFonts w:eastAsia="標楷體"/>
          <w:szCs w:val="22"/>
        </w:rPr>
        <w:t>性</w:t>
      </w:r>
      <w:r w:rsidR="008D652C">
        <w:rPr>
          <w:rFonts w:ascii="標楷體" w:eastAsia="標楷體" w:hAnsi="標楷體" w:hint="eastAsia"/>
          <w:bCs/>
          <w:color w:val="FF0000"/>
          <w:kern w:val="0"/>
          <w:highlight w:val="yellow"/>
        </w:rPr>
        <w:t>」</w:t>
      </w:r>
      <w:r w:rsidRPr="00043A1E">
        <w:rPr>
          <w:rFonts w:eastAsia="標楷體"/>
          <w:szCs w:val="22"/>
        </w:rPr>
        <w:t>不異，如</w:t>
      </w:r>
      <w:r w:rsidR="008D652C">
        <w:rPr>
          <w:rFonts w:ascii="標楷體" w:eastAsia="標楷體" w:hAnsi="標楷體" w:hint="eastAsia"/>
          <w:color w:val="FF0000"/>
          <w:spacing w:val="-4"/>
          <w:kern w:val="0"/>
          <w:highlight w:val="yellow"/>
        </w:rPr>
        <w:t>：</w:t>
      </w:r>
      <w:r w:rsidRPr="00043A1E">
        <w:rPr>
          <w:rFonts w:eastAsia="標楷體"/>
          <w:szCs w:val="22"/>
        </w:rPr>
        <w:t>熱是火相，亦是火性。此中</w:t>
      </w:r>
      <w:r w:rsidR="008D652C">
        <w:rPr>
          <w:rFonts w:ascii="標楷體" w:eastAsia="標楷體" w:hAnsi="標楷體" w:hint="eastAsia"/>
          <w:color w:val="FF0000"/>
          <w:kern w:val="0"/>
          <w:highlight w:val="yellow"/>
        </w:rPr>
        <w:t>，</w:t>
      </w:r>
      <w:r w:rsidRPr="00043A1E">
        <w:rPr>
          <w:rFonts w:eastAsia="標楷體"/>
          <w:szCs w:val="22"/>
        </w:rPr>
        <w:t>佛說因緣</w:t>
      </w:r>
      <w:r w:rsidR="008D652C">
        <w:rPr>
          <w:rFonts w:ascii="標楷體" w:eastAsia="標楷體" w:hAnsi="標楷體" w:hint="eastAsia"/>
          <w:color w:val="FF0000"/>
          <w:spacing w:val="-4"/>
          <w:kern w:val="0"/>
          <w:highlight w:val="yellow"/>
        </w:rPr>
        <w:t>：</w:t>
      </w:r>
      <w:r w:rsidR="008D652C">
        <w:rPr>
          <w:rFonts w:ascii="標楷體" w:eastAsia="標楷體" w:hAnsi="標楷體" w:hint="eastAsia"/>
          <w:bCs/>
          <w:color w:val="FF0000"/>
          <w:kern w:val="0"/>
          <w:highlight w:val="yellow"/>
        </w:rPr>
        <w:t>「</w:t>
      </w:r>
      <w:r w:rsidRPr="00043A1E">
        <w:rPr>
          <w:rFonts w:eastAsia="標楷體"/>
          <w:szCs w:val="22"/>
        </w:rPr>
        <w:t>色等諸法不可思議</w:t>
      </w:r>
      <w:r w:rsidR="008D652C">
        <w:rPr>
          <w:rFonts w:ascii="標楷體" w:eastAsia="標楷體" w:hAnsi="標楷體" w:hint="eastAsia"/>
          <w:bCs/>
          <w:color w:val="FF0000"/>
          <w:kern w:val="0"/>
          <w:highlight w:val="yellow"/>
        </w:rPr>
        <w:t>」</w:t>
      </w:r>
      <w:r w:rsidRPr="00043A1E">
        <w:rPr>
          <w:rFonts w:eastAsia="標楷體"/>
          <w:szCs w:val="22"/>
        </w:rPr>
        <w:t>，</w:t>
      </w:r>
      <w:r w:rsidR="008D652C">
        <w:rPr>
          <w:rFonts w:ascii="標楷體" w:eastAsia="標楷體" w:hAnsi="標楷體" w:hint="eastAsia"/>
          <w:bCs/>
          <w:color w:val="FF0000"/>
          <w:kern w:val="0"/>
          <w:highlight w:val="yellow"/>
        </w:rPr>
        <w:t>「</w:t>
      </w:r>
      <w:r w:rsidRPr="00043A1E">
        <w:rPr>
          <w:rFonts w:eastAsia="標楷體"/>
          <w:szCs w:val="22"/>
        </w:rPr>
        <w:t>不可思議</w:t>
      </w:r>
      <w:r w:rsidR="008D652C">
        <w:rPr>
          <w:rFonts w:ascii="標楷體" w:eastAsia="標楷體" w:hAnsi="標楷體" w:hint="eastAsia"/>
          <w:bCs/>
          <w:color w:val="FF0000"/>
          <w:kern w:val="0"/>
          <w:highlight w:val="yellow"/>
        </w:rPr>
        <w:t>」</w:t>
      </w:r>
      <w:r w:rsidRPr="00043A1E">
        <w:rPr>
          <w:rFonts w:eastAsia="標楷體"/>
          <w:szCs w:val="22"/>
        </w:rPr>
        <w:t>即是</w:t>
      </w:r>
      <w:r w:rsidR="008D652C">
        <w:rPr>
          <w:rFonts w:ascii="標楷體" w:eastAsia="標楷體" w:hAnsi="標楷體" w:hint="eastAsia"/>
          <w:bCs/>
          <w:color w:val="FF0000"/>
          <w:kern w:val="0"/>
          <w:highlight w:val="yellow"/>
        </w:rPr>
        <w:t>「</w:t>
      </w:r>
      <w:r w:rsidRPr="00043A1E">
        <w:rPr>
          <w:rFonts w:eastAsia="標楷體"/>
          <w:szCs w:val="22"/>
        </w:rPr>
        <w:t>畢竟空</w:t>
      </w:r>
      <w:r w:rsidR="008D652C">
        <w:rPr>
          <w:rFonts w:ascii="標楷體" w:eastAsia="標楷體" w:hAnsi="標楷體" w:hint="eastAsia"/>
          <w:bCs/>
          <w:color w:val="FF0000"/>
          <w:kern w:val="0"/>
          <w:highlight w:val="yellow"/>
        </w:rPr>
        <w:t>」</w:t>
      </w:r>
      <w:r w:rsidRPr="00043A1E">
        <w:rPr>
          <w:rFonts w:eastAsia="標楷體"/>
          <w:szCs w:val="22"/>
        </w:rPr>
        <w:t>，諸法實相常清淨。</w:t>
      </w:r>
    </w:p>
  </w:footnote>
  <w:footnote w:id="714">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《大智度論》卷</w:t>
      </w:r>
      <w:r w:rsidRPr="00761EF3">
        <w:rPr>
          <w:szCs w:val="22"/>
        </w:rPr>
        <w:t>31</w:t>
      </w:r>
      <w:r w:rsidR="00EB671A">
        <w:rPr>
          <w:rFonts w:hint="eastAsia"/>
          <w:color w:val="FF0000"/>
          <w:szCs w:val="22"/>
          <w:highlight w:val="yellow"/>
        </w:rPr>
        <w:t>釋〈</w:t>
      </w:r>
      <w:r w:rsidR="00EB671A">
        <w:rPr>
          <w:color w:val="FF0000"/>
          <w:szCs w:val="22"/>
          <w:highlight w:val="yellow"/>
        </w:rPr>
        <w:t xml:space="preserve">1 </w:t>
      </w:r>
      <w:r w:rsidR="00EB671A">
        <w:rPr>
          <w:rFonts w:hint="eastAsia"/>
          <w:color w:val="FF0000"/>
          <w:szCs w:val="22"/>
          <w:highlight w:val="yellow"/>
        </w:rPr>
        <w:t>序品〉</w:t>
      </w:r>
      <w:r w:rsidRPr="00043A1E">
        <w:rPr>
          <w:szCs w:val="22"/>
        </w:rPr>
        <w:t>（大正</w:t>
      </w:r>
      <w:r w:rsidRPr="00761EF3">
        <w:rPr>
          <w:szCs w:val="22"/>
        </w:rPr>
        <w:t>25</w:t>
      </w:r>
      <w:r w:rsidRPr="00043A1E">
        <w:rPr>
          <w:szCs w:val="22"/>
        </w:rPr>
        <w:t>．</w:t>
      </w:r>
      <w:r w:rsidRPr="00761EF3">
        <w:rPr>
          <w:szCs w:val="22"/>
        </w:rPr>
        <w:t>293a25</w:t>
      </w:r>
      <w:r w:rsidRPr="00043A1E">
        <w:rPr>
          <w:szCs w:val="22"/>
        </w:rPr>
        <w:t>-</w:t>
      </w:r>
      <w:r w:rsidRPr="00761EF3">
        <w:rPr>
          <w:szCs w:val="22"/>
        </w:rPr>
        <w:t>29</w:t>
      </w:r>
      <w:r w:rsidRPr="00043A1E">
        <w:rPr>
          <w:szCs w:val="22"/>
        </w:rPr>
        <w:t>）：</w:t>
      </w:r>
    </w:p>
    <w:p w:rsidR="00157EF6" w:rsidRPr="00043A1E" w:rsidRDefault="008D652C" w:rsidP="00AA120F">
      <w:pPr>
        <w:snapToGrid w:val="0"/>
        <w:ind w:leftChars="105" w:left="252"/>
        <w:jc w:val="both"/>
        <w:rPr>
          <w:rFonts w:ascii="Times New Roman" w:eastAsia="標楷體" w:hAnsi="Times New Roman"/>
          <w:sz w:val="22"/>
          <w:szCs w:val="22"/>
        </w:rPr>
      </w:pPr>
      <w:r>
        <w:rPr>
          <w:rFonts w:ascii="標楷體" w:eastAsia="標楷體" w:hAnsi="標楷體" w:hint="eastAsia"/>
          <w:bCs/>
          <w:color w:val="FF0000"/>
          <w:kern w:val="0"/>
          <w:sz w:val="22"/>
          <w:highlight w:val="yellow"/>
        </w:rPr>
        <w:t>「</w:t>
      </w:r>
      <w:r w:rsidR="00157EF6" w:rsidRPr="00043A1E">
        <w:rPr>
          <w:rFonts w:ascii="Times New Roman" w:eastAsia="標楷體" w:hAnsi="Times New Roman"/>
          <w:sz w:val="22"/>
          <w:szCs w:val="22"/>
        </w:rPr>
        <w:t>自相空</w:t>
      </w:r>
      <w:r>
        <w:rPr>
          <w:rFonts w:ascii="標楷體" w:eastAsia="標楷體" w:hAnsi="標楷體" w:hint="eastAsia"/>
          <w:bCs/>
          <w:color w:val="FF0000"/>
          <w:kern w:val="0"/>
          <w:sz w:val="22"/>
          <w:highlight w:val="yellow"/>
        </w:rPr>
        <w:t>」</w:t>
      </w:r>
      <w:r w:rsidR="00157EF6" w:rsidRPr="00043A1E">
        <w:rPr>
          <w:rFonts w:ascii="Times New Roman" w:eastAsia="標楷體" w:hAnsi="Times New Roman"/>
          <w:sz w:val="22"/>
          <w:szCs w:val="22"/>
        </w:rPr>
        <w:t>者，一切法有二種相：總相，別相。是二相空，故名為</w:t>
      </w:r>
      <w:r>
        <w:rPr>
          <w:rFonts w:ascii="標楷體" w:eastAsia="標楷體" w:hAnsi="標楷體" w:hint="eastAsia"/>
          <w:bCs/>
          <w:color w:val="FF0000"/>
          <w:kern w:val="0"/>
          <w:sz w:val="22"/>
          <w:highlight w:val="yellow"/>
        </w:rPr>
        <w:t>「</w:t>
      </w:r>
      <w:r w:rsidR="00157EF6" w:rsidRPr="00043A1E">
        <w:rPr>
          <w:rFonts w:ascii="Times New Roman" w:eastAsia="標楷體" w:hAnsi="Times New Roman"/>
          <w:sz w:val="22"/>
          <w:szCs w:val="22"/>
        </w:rPr>
        <w:t>相空</w:t>
      </w:r>
      <w:r>
        <w:rPr>
          <w:rFonts w:ascii="標楷體" w:eastAsia="標楷體" w:hAnsi="標楷體" w:hint="eastAsia"/>
          <w:bCs/>
          <w:color w:val="FF0000"/>
          <w:kern w:val="0"/>
          <w:sz w:val="22"/>
          <w:highlight w:val="yellow"/>
        </w:rPr>
        <w:t>」</w:t>
      </w:r>
      <w:r w:rsidR="00157EF6" w:rsidRPr="00043A1E">
        <w:rPr>
          <w:rFonts w:ascii="Times New Roman" w:eastAsia="標楷體" w:hAnsi="Times New Roman"/>
          <w:sz w:val="22"/>
          <w:szCs w:val="22"/>
        </w:rPr>
        <w:t>。</w:t>
      </w:r>
    </w:p>
    <w:p w:rsidR="00157EF6" w:rsidRPr="00043A1E" w:rsidRDefault="00157EF6" w:rsidP="00AA120F">
      <w:pPr>
        <w:snapToGrid w:val="0"/>
        <w:ind w:leftChars="105" w:left="912" w:hangingChars="300" w:hanging="660"/>
        <w:jc w:val="both"/>
        <w:rPr>
          <w:rFonts w:ascii="Times New Roman" w:eastAsia="標楷體" w:hAnsi="Times New Roman"/>
          <w:sz w:val="22"/>
          <w:szCs w:val="22"/>
        </w:rPr>
      </w:pPr>
      <w:r w:rsidRPr="00043A1E">
        <w:rPr>
          <w:rFonts w:ascii="Times New Roman" w:eastAsia="標楷體" w:hAnsi="Times New Roman"/>
          <w:sz w:val="22"/>
          <w:szCs w:val="22"/>
        </w:rPr>
        <w:t>問曰：何等是</w:t>
      </w:r>
      <w:r w:rsidR="008D652C">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總相</w:t>
      </w:r>
      <w:r w:rsidR="008D652C">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？何</w:t>
      </w:r>
      <w:r>
        <w:rPr>
          <w:rFonts w:ascii="Times New Roman" w:eastAsia="標楷體" w:hAnsi="Times New Roman"/>
          <w:sz w:val="22"/>
          <w:szCs w:val="22"/>
        </w:rPr>
        <w:t>等是</w:t>
      </w:r>
      <w:r w:rsidR="008D652C">
        <w:rPr>
          <w:rFonts w:ascii="標楷體" w:eastAsia="標楷體" w:hAnsi="標楷體" w:hint="eastAsia"/>
          <w:bCs/>
          <w:color w:val="FF0000"/>
          <w:kern w:val="0"/>
          <w:sz w:val="22"/>
          <w:highlight w:val="yellow"/>
        </w:rPr>
        <w:t>「</w:t>
      </w:r>
      <w:r>
        <w:rPr>
          <w:rFonts w:ascii="Times New Roman" w:eastAsia="標楷體" w:hAnsi="Times New Roman"/>
          <w:sz w:val="22"/>
          <w:szCs w:val="22"/>
        </w:rPr>
        <w:t>別相</w:t>
      </w:r>
      <w:r w:rsidR="008D652C">
        <w:rPr>
          <w:rFonts w:ascii="標楷體" w:eastAsia="標楷體" w:hAnsi="標楷體" w:hint="eastAsia"/>
          <w:bCs/>
          <w:color w:val="FF0000"/>
          <w:kern w:val="0"/>
          <w:sz w:val="22"/>
          <w:highlight w:val="yellow"/>
        </w:rPr>
        <w:t>」</w:t>
      </w:r>
      <w:r>
        <w:rPr>
          <w:rFonts w:ascii="Times New Roman" w:eastAsia="標楷體" w:hAnsi="Times New Roman"/>
          <w:sz w:val="22"/>
          <w:szCs w:val="22"/>
        </w:rPr>
        <w:t>？</w:t>
      </w:r>
    </w:p>
    <w:p w:rsidR="008D652C" w:rsidRDefault="00157EF6" w:rsidP="00AA120F">
      <w:pPr>
        <w:snapToGrid w:val="0"/>
        <w:ind w:leftChars="105" w:left="912" w:hangingChars="300" w:hanging="660"/>
        <w:jc w:val="both"/>
        <w:rPr>
          <w:rFonts w:ascii="標楷體" w:eastAsia="標楷體" w:hAnsi="標楷體"/>
          <w:color w:val="FF0000"/>
          <w:kern w:val="0"/>
          <w:sz w:val="22"/>
        </w:rPr>
      </w:pPr>
      <w:r w:rsidRPr="00043A1E">
        <w:rPr>
          <w:rFonts w:ascii="Times New Roman" w:eastAsia="標楷體" w:hAnsi="Times New Roman"/>
          <w:sz w:val="22"/>
          <w:szCs w:val="22"/>
        </w:rPr>
        <w:t>答曰：</w:t>
      </w:r>
      <w:r w:rsidR="008D652C">
        <w:rPr>
          <w:rFonts w:ascii="標楷體" w:eastAsia="標楷體" w:hAnsi="標楷體" w:hint="eastAsia"/>
          <w:bCs/>
          <w:color w:val="FF0000"/>
          <w:kern w:val="0"/>
          <w:sz w:val="22"/>
          <w:highlight w:val="yellow"/>
        </w:rPr>
        <w:t>「</w:t>
      </w:r>
      <w:r w:rsidRPr="00043A1E">
        <w:rPr>
          <w:rFonts w:ascii="Times New Roman" w:eastAsia="標楷體" w:hAnsi="Times New Roman"/>
          <w:b/>
          <w:sz w:val="22"/>
          <w:szCs w:val="22"/>
        </w:rPr>
        <w:t>總相</w:t>
      </w:r>
      <w:r w:rsidR="008D652C">
        <w:rPr>
          <w:rFonts w:ascii="標楷體" w:eastAsia="標楷體" w:hAnsi="標楷體" w:hint="eastAsia"/>
          <w:bCs/>
          <w:color w:val="FF0000"/>
          <w:kern w:val="0"/>
          <w:sz w:val="22"/>
          <w:highlight w:val="yellow"/>
        </w:rPr>
        <w:t>」</w:t>
      </w:r>
      <w:r w:rsidRPr="00043A1E">
        <w:rPr>
          <w:rFonts w:ascii="Times New Roman" w:eastAsia="標楷體" w:hAnsi="Times New Roman"/>
          <w:b/>
          <w:sz w:val="22"/>
          <w:szCs w:val="22"/>
        </w:rPr>
        <w:t>者，如</w:t>
      </w:r>
      <w:r w:rsidR="008D652C">
        <w:rPr>
          <w:rFonts w:ascii="標楷體" w:eastAsia="標楷體" w:hAnsi="標楷體" w:hint="eastAsia"/>
          <w:bCs/>
          <w:color w:val="FF0000"/>
          <w:kern w:val="0"/>
          <w:sz w:val="22"/>
          <w:highlight w:val="yellow"/>
        </w:rPr>
        <w:t>「</w:t>
      </w:r>
      <w:r w:rsidRPr="00043A1E">
        <w:rPr>
          <w:rFonts w:ascii="Times New Roman" w:eastAsia="標楷體" w:hAnsi="Times New Roman"/>
          <w:b/>
          <w:sz w:val="22"/>
          <w:szCs w:val="22"/>
        </w:rPr>
        <w:t>無常</w:t>
      </w:r>
      <w:r w:rsidR="008D652C">
        <w:rPr>
          <w:rFonts w:ascii="標楷體" w:eastAsia="標楷體" w:hAnsi="標楷體" w:hint="eastAsia"/>
          <w:bCs/>
          <w:color w:val="FF0000"/>
          <w:kern w:val="0"/>
          <w:sz w:val="22"/>
          <w:highlight w:val="yellow"/>
        </w:rPr>
        <w:t>」</w:t>
      </w:r>
      <w:r w:rsidR="008D652C">
        <w:rPr>
          <w:rFonts w:ascii="Times New Roman" w:eastAsia="標楷體" w:hAnsi="Times New Roman"/>
          <w:b/>
          <w:sz w:val="22"/>
          <w:szCs w:val="22"/>
        </w:rPr>
        <w:t>等</w:t>
      </w:r>
      <w:r w:rsidR="008D652C">
        <w:rPr>
          <w:rFonts w:ascii="標楷體" w:eastAsia="標楷體" w:hAnsi="標楷體" w:hint="eastAsia"/>
          <w:color w:val="FF0000"/>
          <w:kern w:val="0"/>
          <w:sz w:val="22"/>
          <w:highlight w:val="yellow"/>
        </w:rPr>
        <w:t>。</w:t>
      </w:r>
    </w:p>
    <w:p w:rsidR="00157EF6" w:rsidRPr="00043A1E" w:rsidRDefault="008D652C" w:rsidP="008D652C">
      <w:pPr>
        <w:snapToGrid w:val="0"/>
        <w:ind w:leftChars="405" w:left="972"/>
        <w:jc w:val="both"/>
        <w:rPr>
          <w:rFonts w:ascii="Times New Roman" w:hAnsi="Times New Roman"/>
          <w:sz w:val="22"/>
          <w:szCs w:val="22"/>
        </w:rPr>
      </w:pPr>
      <w:r>
        <w:rPr>
          <w:rFonts w:ascii="標楷體" w:eastAsia="標楷體" w:hAnsi="標楷體" w:hint="eastAsia"/>
          <w:bCs/>
          <w:color w:val="FF0000"/>
          <w:kern w:val="0"/>
          <w:sz w:val="22"/>
          <w:highlight w:val="yellow"/>
        </w:rPr>
        <w:t>「</w:t>
      </w:r>
      <w:r w:rsidR="00157EF6" w:rsidRPr="00043A1E">
        <w:rPr>
          <w:rFonts w:ascii="Times New Roman" w:eastAsia="標楷體" w:hAnsi="Times New Roman"/>
          <w:b/>
          <w:sz w:val="22"/>
          <w:szCs w:val="22"/>
        </w:rPr>
        <w:t>別相</w:t>
      </w:r>
      <w:r>
        <w:rPr>
          <w:rFonts w:ascii="標楷體" w:eastAsia="標楷體" w:hAnsi="標楷體" w:hint="eastAsia"/>
          <w:bCs/>
          <w:color w:val="FF0000"/>
          <w:kern w:val="0"/>
          <w:sz w:val="22"/>
          <w:highlight w:val="yellow"/>
        </w:rPr>
        <w:t>」</w:t>
      </w:r>
      <w:r>
        <w:rPr>
          <w:rFonts w:ascii="Times New Roman" w:eastAsia="標楷體" w:hAnsi="Times New Roman"/>
          <w:b/>
          <w:sz w:val="22"/>
          <w:szCs w:val="22"/>
        </w:rPr>
        <w:t>者，諸法雖皆無常，而各有別相</w:t>
      </w:r>
      <w:r>
        <w:rPr>
          <w:rFonts w:ascii="標楷體" w:eastAsia="標楷體" w:hAnsi="標楷體" w:hint="eastAsia"/>
          <w:color w:val="FF0000"/>
          <w:kern w:val="0"/>
          <w:sz w:val="22"/>
          <w:highlight w:val="yellow"/>
        </w:rPr>
        <w:t>，</w:t>
      </w:r>
      <w:r w:rsidR="00157EF6" w:rsidRPr="00043A1E">
        <w:rPr>
          <w:rFonts w:ascii="Times New Roman" w:eastAsia="標楷體" w:hAnsi="Times New Roman"/>
          <w:b/>
          <w:sz w:val="22"/>
          <w:szCs w:val="22"/>
        </w:rPr>
        <w:t>如</w:t>
      </w:r>
      <w:r>
        <w:rPr>
          <w:rFonts w:ascii="標楷體" w:eastAsia="標楷體" w:hAnsi="標楷體" w:hint="eastAsia"/>
          <w:color w:val="FF0000"/>
          <w:spacing w:val="-4"/>
          <w:kern w:val="0"/>
          <w:sz w:val="22"/>
          <w:highlight w:val="yellow"/>
        </w:rPr>
        <w:t>：</w:t>
      </w:r>
      <w:r w:rsidR="00157EF6" w:rsidRPr="00043A1E">
        <w:rPr>
          <w:rFonts w:ascii="Times New Roman" w:eastAsia="標楷體" w:hAnsi="Times New Roman"/>
          <w:b/>
          <w:sz w:val="22"/>
          <w:szCs w:val="22"/>
        </w:rPr>
        <w:t>地為堅相，火為熱相。</w:t>
      </w:r>
    </w:p>
  </w:footnote>
  <w:footnote w:id="715">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失卻：失掉。（《漢語大詞典》（二）</w:t>
      </w:r>
      <w:r w:rsidRPr="00043A1E">
        <w:rPr>
          <w:rFonts w:hint="eastAsia"/>
          <w:szCs w:val="22"/>
        </w:rPr>
        <w:t>，</w:t>
      </w:r>
      <w:r w:rsidRPr="00761EF3">
        <w:rPr>
          <w:szCs w:val="22"/>
        </w:rPr>
        <w:t>p</w:t>
      </w:r>
      <w:r w:rsidRPr="00043A1E">
        <w:rPr>
          <w:szCs w:val="22"/>
        </w:rPr>
        <w:t>.</w:t>
      </w:r>
      <w:r w:rsidRPr="00761EF3">
        <w:rPr>
          <w:szCs w:val="22"/>
        </w:rPr>
        <w:t>1480</w:t>
      </w:r>
      <w:r w:rsidRPr="00043A1E">
        <w:rPr>
          <w:szCs w:val="22"/>
        </w:rPr>
        <w:t>）</w:t>
      </w:r>
    </w:p>
  </w:footnote>
  <w:footnote w:id="716">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《大智度論》卷</w:t>
      </w:r>
      <w:r w:rsidRPr="00761EF3">
        <w:rPr>
          <w:szCs w:val="22"/>
        </w:rPr>
        <w:t>67</w:t>
      </w:r>
      <w:r w:rsidR="00EB671A">
        <w:rPr>
          <w:rFonts w:hint="eastAsia"/>
          <w:color w:val="FF0000"/>
          <w:szCs w:val="22"/>
          <w:highlight w:val="yellow"/>
        </w:rPr>
        <w:t>釋</w:t>
      </w:r>
      <w:r w:rsidR="00EB671A" w:rsidRPr="00EB671A">
        <w:rPr>
          <w:rFonts w:hint="eastAsia"/>
          <w:color w:val="FF0000"/>
          <w:szCs w:val="22"/>
          <w:highlight w:val="yellow"/>
        </w:rPr>
        <w:t>〈</w:t>
      </w:r>
      <w:r w:rsidR="00EB671A" w:rsidRPr="00EB671A">
        <w:rPr>
          <w:rFonts w:hint="eastAsia"/>
          <w:color w:val="FF0000"/>
          <w:szCs w:val="22"/>
          <w:highlight w:val="yellow"/>
        </w:rPr>
        <w:t xml:space="preserve">45 </w:t>
      </w:r>
      <w:r w:rsidR="00EB671A" w:rsidRPr="00EB671A">
        <w:rPr>
          <w:rFonts w:hint="eastAsia"/>
          <w:color w:val="FF0000"/>
          <w:szCs w:val="22"/>
          <w:highlight w:val="yellow"/>
        </w:rPr>
        <w:t>歎信行品〉</w:t>
      </w:r>
      <w:r w:rsidRPr="00043A1E">
        <w:rPr>
          <w:szCs w:val="22"/>
        </w:rPr>
        <w:t>（大正</w:t>
      </w:r>
      <w:r w:rsidRPr="00761EF3">
        <w:rPr>
          <w:szCs w:val="22"/>
        </w:rPr>
        <w:t>25</w:t>
      </w:r>
      <w:r w:rsidRPr="00043A1E">
        <w:rPr>
          <w:szCs w:val="22"/>
        </w:rPr>
        <w:t>，</w:t>
      </w:r>
      <w:r w:rsidRPr="00761EF3">
        <w:rPr>
          <w:szCs w:val="22"/>
        </w:rPr>
        <w:t>528b21</w:t>
      </w:r>
      <w:r w:rsidRPr="00043A1E">
        <w:rPr>
          <w:szCs w:val="22"/>
        </w:rPr>
        <w:t>-</w:t>
      </w:r>
      <w:r w:rsidRPr="00761EF3">
        <w:rPr>
          <w:szCs w:val="22"/>
        </w:rPr>
        <w:t>22</w:t>
      </w:r>
      <w:r w:rsidRPr="00043A1E">
        <w:rPr>
          <w:szCs w:val="22"/>
        </w:rPr>
        <w:t>）：「</w:t>
      </w:r>
      <w:r w:rsidR="008D652C">
        <w:rPr>
          <w:rFonts w:ascii="標楷體" w:eastAsia="標楷體" w:hAnsi="標楷體" w:hint="eastAsia"/>
          <w:color w:val="FF0000"/>
          <w:kern w:val="0"/>
          <w:highlight w:val="yellow"/>
        </w:rPr>
        <w:t>『</w:t>
      </w:r>
      <w:r w:rsidRPr="00043A1E">
        <w:rPr>
          <w:rFonts w:eastAsia="標楷體"/>
          <w:szCs w:val="22"/>
        </w:rPr>
        <w:t>不分別色性</w:t>
      </w:r>
      <w:r w:rsidR="008D652C">
        <w:rPr>
          <w:rFonts w:ascii="標楷體" w:eastAsia="標楷體" w:hAnsi="標楷體" w:hint="eastAsia"/>
          <w:color w:val="FF0000"/>
          <w:kern w:val="0"/>
          <w:highlight w:val="yellow"/>
        </w:rPr>
        <w:t>』</w:t>
      </w:r>
      <w:r w:rsidRPr="00043A1E">
        <w:rPr>
          <w:rFonts w:eastAsia="標楷體"/>
          <w:szCs w:val="22"/>
        </w:rPr>
        <w:t>者，不見色</w:t>
      </w:r>
      <w:r w:rsidRPr="00043A1E">
        <w:rPr>
          <w:rFonts w:eastAsia="標楷體"/>
          <w:b/>
          <w:szCs w:val="22"/>
        </w:rPr>
        <w:t>常法</w:t>
      </w:r>
      <w:r w:rsidR="008D652C">
        <w:rPr>
          <w:rFonts w:ascii="標楷體" w:eastAsia="標楷體" w:hAnsi="標楷體" w:hint="eastAsia"/>
          <w:color w:val="FF0000"/>
          <w:kern w:val="0"/>
          <w:highlight w:val="yellow"/>
        </w:rPr>
        <w:t>──</w:t>
      </w:r>
      <w:r w:rsidRPr="00043A1E">
        <w:rPr>
          <w:rFonts w:eastAsia="標楷體"/>
          <w:szCs w:val="22"/>
        </w:rPr>
        <w:t>所謂</w:t>
      </w:r>
      <w:r w:rsidR="008D652C">
        <w:rPr>
          <w:rFonts w:ascii="標楷體" w:eastAsia="標楷體" w:hAnsi="標楷體" w:hint="eastAsia"/>
          <w:color w:val="FF0000"/>
          <w:kern w:val="0"/>
          <w:highlight w:val="yellow"/>
        </w:rPr>
        <w:t>『</w:t>
      </w:r>
      <w:r w:rsidRPr="00043A1E">
        <w:rPr>
          <w:rFonts w:eastAsia="標楷體"/>
          <w:szCs w:val="22"/>
        </w:rPr>
        <w:t>地</w:t>
      </w:r>
      <w:r w:rsidR="008D652C">
        <w:rPr>
          <w:rFonts w:ascii="標楷體" w:eastAsia="標楷體" w:hAnsi="標楷體" w:hint="eastAsia"/>
          <w:color w:val="FF0000"/>
          <w:kern w:val="0"/>
          <w:highlight w:val="yellow"/>
        </w:rPr>
        <w:t>，</w:t>
      </w:r>
      <w:r w:rsidRPr="00043A1E">
        <w:rPr>
          <w:rFonts w:eastAsia="標楷體"/>
          <w:szCs w:val="22"/>
        </w:rPr>
        <w:t>堅性</w:t>
      </w:r>
      <w:r w:rsidR="008D652C">
        <w:rPr>
          <w:rFonts w:ascii="標楷體" w:eastAsia="標楷體" w:hAnsi="標楷體" w:hint="eastAsia"/>
          <w:color w:val="FF0000"/>
          <w:kern w:val="0"/>
          <w:highlight w:val="yellow"/>
        </w:rPr>
        <w:t>』</w:t>
      </w:r>
      <w:r w:rsidRPr="00043A1E">
        <w:rPr>
          <w:rFonts w:eastAsia="標楷體"/>
          <w:szCs w:val="22"/>
        </w:rPr>
        <w:t>等。</w:t>
      </w:r>
      <w:r w:rsidRPr="00043A1E">
        <w:rPr>
          <w:szCs w:val="22"/>
        </w:rPr>
        <w:t>」</w:t>
      </w:r>
    </w:p>
  </w:footnote>
  <w:footnote w:id="717">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《大智度論》卷</w:t>
      </w:r>
      <w:r w:rsidRPr="00761EF3">
        <w:rPr>
          <w:szCs w:val="22"/>
        </w:rPr>
        <w:t>31</w:t>
      </w:r>
      <w:r w:rsidR="00EB671A">
        <w:rPr>
          <w:rFonts w:hint="eastAsia"/>
          <w:color w:val="FF0000"/>
          <w:szCs w:val="22"/>
          <w:highlight w:val="yellow"/>
        </w:rPr>
        <w:t>釋〈</w:t>
      </w:r>
      <w:r w:rsidR="00EB671A">
        <w:rPr>
          <w:color w:val="FF0000"/>
          <w:szCs w:val="22"/>
          <w:highlight w:val="yellow"/>
        </w:rPr>
        <w:t xml:space="preserve">1 </w:t>
      </w:r>
      <w:r w:rsidR="00EB671A">
        <w:rPr>
          <w:rFonts w:hint="eastAsia"/>
          <w:color w:val="FF0000"/>
          <w:szCs w:val="22"/>
          <w:highlight w:val="yellow"/>
        </w:rPr>
        <w:t>序品〉</w:t>
      </w:r>
      <w:r w:rsidRPr="00043A1E">
        <w:rPr>
          <w:szCs w:val="22"/>
        </w:rPr>
        <w:t>（大正</w:t>
      </w:r>
      <w:r w:rsidRPr="00761EF3">
        <w:rPr>
          <w:szCs w:val="22"/>
        </w:rPr>
        <w:t>25</w:t>
      </w:r>
      <w:r w:rsidRPr="00043A1E">
        <w:rPr>
          <w:szCs w:val="22"/>
        </w:rPr>
        <w:t>，</w:t>
      </w:r>
      <w:r w:rsidRPr="00761EF3">
        <w:rPr>
          <w:szCs w:val="22"/>
        </w:rPr>
        <w:t>292c29</w:t>
      </w:r>
      <w:r w:rsidRPr="00043A1E">
        <w:rPr>
          <w:szCs w:val="22"/>
        </w:rPr>
        <w:t>-</w:t>
      </w:r>
      <w:r w:rsidRPr="00761EF3">
        <w:rPr>
          <w:szCs w:val="22"/>
        </w:rPr>
        <w:t>293a6</w:t>
      </w:r>
      <w:r w:rsidRPr="00043A1E">
        <w:rPr>
          <w:szCs w:val="22"/>
        </w:rPr>
        <w:t>）：</w:t>
      </w:r>
    </w:p>
    <w:p w:rsidR="00157EF6" w:rsidRPr="00043A1E" w:rsidRDefault="00157EF6" w:rsidP="00AA120F">
      <w:pPr>
        <w:snapToGrid w:val="0"/>
        <w:ind w:leftChars="105" w:left="252"/>
        <w:jc w:val="both"/>
        <w:rPr>
          <w:rFonts w:ascii="Times New Roman" w:eastAsia="標楷體" w:hAnsi="Times New Roman"/>
          <w:b/>
          <w:sz w:val="22"/>
          <w:szCs w:val="22"/>
        </w:rPr>
      </w:pPr>
      <w:r w:rsidRPr="00043A1E">
        <w:rPr>
          <w:rFonts w:ascii="Times New Roman" w:eastAsia="標楷體" w:hAnsi="Times New Roman"/>
          <w:sz w:val="22"/>
          <w:szCs w:val="22"/>
        </w:rPr>
        <w:t>如</w:t>
      </w:r>
      <w:r w:rsidRPr="00043A1E">
        <w:rPr>
          <w:rFonts w:ascii="Times New Roman" w:eastAsia="標楷體" w:hAnsi="Times New Roman"/>
          <w:b/>
          <w:sz w:val="22"/>
          <w:szCs w:val="22"/>
        </w:rPr>
        <w:t>火能燒，造色能炤，二法和合故名為</w:t>
      </w:r>
      <w:r w:rsidR="002D37D6">
        <w:rPr>
          <w:rFonts w:ascii="標楷體" w:eastAsia="標楷體" w:hAnsi="標楷體" w:hint="eastAsia"/>
          <w:bCs/>
          <w:color w:val="FF0000"/>
          <w:kern w:val="0"/>
          <w:sz w:val="22"/>
          <w:highlight w:val="yellow"/>
        </w:rPr>
        <w:t>「</w:t>
      </w:r>
      <w:r w:rsidRPr="00043A1E">
        <w:rPr>
          <w:rFonts w:ascii="Times New Roman" w:eastAsia="標楷體" w:hAnsi="Times New Roman"/>
          <w:b/>
          <w:sz w:val="22"/>
          <w:szCs w:val="22"/>
        </w:rPr>
        <w:t>火</w:t>
      </w:r>
      <w:r w:rsidR="002D37D6">
        <w:rPr>
          <w:rFonts w:ascii="標楷體" w:eastAsia="標楷體" w:hAnsi="標楷體" w:hint="eastAsia"/>
          <w:bCs/>
          <w:color w:val="FF0000"/>
          <w:kern w:val="0"/>
          <w:sz w:val="22"/>
          <w:highlight w:val="yellow"/>
        </w:rPr>
        <w:t>」</w:t>
      </w:r>
      <w:r w:rsidRPr="00043A1E">
        <w:rPr>
          <w:rFonts w:ascii="Times New Roman" w:eastAsia="標楷體" w:hAnsi="Times New Roman"/>
          <w:b/>
          <w:sz w:val="22"/>
          <w:szCs w:val="22"/>
        </w:rPr>
        <w:t>。</w:t>
      </w:r>
      <w:r w:rsidRPr="00043A1E">
        <w:rPr>
          <w:rFonts w:ascii="Times New Roman" w:eastAsia="標楷體" w:hAnsi="Times New Roman"/>
          <w:sz w:val="22"/>
          <w:szCs w:val="22"/>
        </w:rPr>
        <w:t>若離是二法有火者，應別有火用</w:t>
      </w:r>
      <w:r w:rsidR="002D37D6">
        <w:rPr>
          <w:rFonts w:ascii="標楷體" w:eastAsia="標楷體" w:hAnsi="標楷體" w:hint="eastAsia"/>
          <w:color w:val="FF0000"/>
          <w:kern w:val="0"/>
          <w:sz w:val="22"/>
          <w:highlight w:val="yellow"/>
        </w:rPr>
        <w:t>！</w:t>
      </w:r>
      <w:r w:rsidRPr="00043A1E">
        <w:rPr>
          <w:rFonts w:ascii="Times New Roman" w:eastAsia="標楷體" w:hAnsi="Times New Roman"/>
          <w:sz w:val="22"/>
          <w:szCs w:val="22"/>
        </w:rPr>
        <w:t>而無別用</w:t>
      </w:r>
      <w:r w:rsidR="002D37D6">
        <w:rPr>
          <w:rFonts w:ascii="標楷體" w:eastAsia="標楷體" w:hAnsi="標楷體" w:hint="eastAsia"/>
          <w:color w:val="FF0000"/>
          <w:kern w:val="0"/>
          <w:sz w:val="22"/>
          <w:highlight w:val="yellow"/>
        </w:rPr>
        <w:t>。</w:t>
      </w:r>
      <w:r w:rsidRPr="00043A1E">
        <w:rPr>
          <w:rFonts w:ascii="Times New Roman" w:eastAsia="標楷體" w:hAnsi="Times New Roman"/>
          <w:sz w:val="22"/>
          <w:szCs w:val="22"/>
        </w:rPr>
        <w:t>以是</w:t>
      </w:r>
      <w:r w:rsidRPr="002D37D6">
        <w:rPr>
          <w:rFonts w:ascii="Times New Roman" w:eastAsia="標楷體" w:hAnsi="Times New Roman"/>
          <w:sz w:val="22"/>
          <w:szCs w:val="22"/>
          <w:highlight w:val="yellow"/>
        </w:rPr>
        <w:t>故知</w:t>
      </w:r>
      <w:r w:rsidR="002D37D6">
        <w:rPr>
          <w:rFonts w:ascii="標楷體" w:eastAsia="標楷體" w:hAnsi="標楷體" w:hint="eastAsia"/>
          <w:color w:val="FF0000"/>
          <w:spacing w:val="-4"/>
          <w:kern w:val="0"/>
          <w:sz w:val="22"/>
          <w:highlight w:val="yellow"/>
        </w:rPr>
        <w:t>：</w:t>
      </w:r>
      <w:r w:rsidR="002D37D6">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火</w:t>
      </w:r>
      <w:r w:rsidR="002D37D6">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是假名，亦無有實。若實無火法，</w:t>
      </w:r>
      <w:r w:rsidRPr="00043A1E">
        <w:rPr>
          <w:rFonts w:ascii="Times New Roman" w:eastAsia="標楷體" w:hAnsi="Times New Roman"/>
          <w:b/>
          <w:sz w:val="22"/>
          <w:szCs w:val="22"/>
        </w:rPr>
        <w:t>云何言</w:t>
      </w:r>
      <w:r w:rsidR="002D37D6">
        <w:rPr>
          <w:rFonts w:ascii="標楷體" w:eastAsia="標楷體" w:hAnsi="標楷體" w:hint="eastAsia"/>
          <w:bCs/>
          <w:color w:val="FF0000"/>
          <w:kern w:val="0"/>
          <w:sz w:val="22"/>
          <w:highlight w:val="yellow"/>
        </w:rPr>
        <w:t>「</w:t>
      </w:r>
      <w:r w:rsidRPr="00043A1E">
        <w:rPr>
          <w:rFonts w:ascii="Times New Roman" w:eastAsia="標楷體" w:hAnsi="Times New Roman"/>
          <w:b/>
          <w:sz w:val="22"/>
          <w:szCs w:val="22"/>
        </w:rPr>
        <w:t>熱是火性</w:t>
      </w:r>
      <w:r w:rsidR="002D37D6">
        <w:rPr>
          <w:rFonts w:ascii="標楷體" w:eastAsia="標楷體" w:hAnsi="標楷體" w:hint="eastAsia"/>
          <w:bCs/>
          <w:color w:val="FF0000"/>
          <w:kern w:val="0"/>
          <w:sz w:val="22"/>
          <w:highlight w:val="yellow"/>
        </w:rPr>
        <w:t>」</w:t>
      </w:r>
      <w:r w:rsidRPr="00043A1E">
        <w:rPr>
          <w:rFonts w:ascii="Times New Roman" w:eastAsia="標楷體" w:hAnsi="Times New Roman"/>
          <w:b/>
          <w:sz w:val="22"/>
          <w:szCs w:val="22"/>
        </w:rPr>
        <w:t>？</w:t>
      </w:r>
    </w:p>
    <w:p w:rsidR="00157EF6" w:rsidRPr="00043A1E" w:rsidRDefault="00157EF6" w:rsidP="00AA120F">
      <w:pPr>
        <w:snapToGrid w:val="0"/>
        <w:ind w:leftChars="105" w:left="252"/>
        <w:jc w:val="both"/>
        <w:rPr>
          <w:rFonts w:ascii="Times New Roman" w:hAnsi="Times New Roman"/>
          <w:sz w:val="22"/>
          <w:szCs w:val="22"/>
        </w:rPr>
      </w:pPr>
      <w:r w:rsidRPr="00043A1E">
        <w:rPr>
          <w:rFonts w:ascii="Times New Roman" w:eastAsia="標楷體" w:hAnsi="Times New Roman"/>
          <w:b/>
          <w:sz w:val="22"/>
          <w:szCs w:val="22"/>
        </w:rPr>
        <w:t>復次，熱性從眾緣生</w:t>
      </w:r>
      <w:r w:rsidR="002D37D6">
        <w:rPr>
          <w:rFonts w:ascii="標楷體" w:eastAsia="標楷體" w:hAnsi="標楷體" w:hint="eastAsia"/>
          <w:color w:val="FF0000"/>
          <w:kern w:val="0"/>
          <w:sz w:val="22"/>
          <w:highlight w:val="yellow"/>
        </w:rPr>
        <w:t>──</w:t>
      </w:r>
      <w:r w:rsidRPr="00043A1E">
        <w:rPr>
          <w:rFonts w:ascii="Times New Roman" w:eastAsia="標楷體" w:hAnsi="Times New Roman"/>
          <w:sz w:val="22"/>
          <w:szCs w:val="22"/>
        </w:rPr>
        <w:t>內有身根，外有色觸，和合生身識，覺知有熱；若未和合時，則無熱性</w:t>
      </w:r>
      <w:r w:rsidR="002D37D6">
        <w:rPr>
          <w:rFonts w:ascii="標楷體" w:eastAsia="標楷體" w:hAnsi="標楷體" w:hint="eastAsia"/>
          <w:color w:val="FF0000"/>
          <w:kern w:val="0"/>
          <w:sz w:val="22"/>
          <w:highlight w:val="yellow"/>
        </w:rPr>
        <w:t>。</w:t>
      </w:r>
      <w:r w:rsidRPr="00043A1E">
        <w:rPr>
          <w:rFonts w:ascii="Times New Roman" w:eastAsia="標楷體" w:hAnsi="Times New Roman"/>
          <w:sz w:val="22"/>
          <w:szCs w:val="22"/>
        </w:rPr>
        <w:t>以是故知</w:t>
      </w:r>
      <w:r w:rsidR="002D37D6">
        <w:rPr>
          <w:rFonts w:ascii="標楷體" w:eastAsia="標楷體" w:hAnsi="標楷體" w:hint="eastAsia"/>
          <w:color w:val="FF0000"/>
          <w:spacing w:val="-4"/>
          <w:kern w:val="0"/>
          <w:sz w:val="22"/>
          <w:highlight w:val="yellow"/>
        </w:rPr>
        <w:t>：</w:t>
      </w:r>
      <w:r w:rsidRPr="00043A1E">
        <w:rPr>
          <w:rFonts w:ascii="Times New Roman" w:eastAsia="標楷體" w:hAnsi="Times New Roman"/>
          <w:sz w:val="22"/>
          <w:szCs w:val="22"/>
        </w:rPr>
        <w:t>無定熱為火性。</w:t>
      </w:r>
    </w:p>
  </w:footnote>
  <w:footnote w:id="718">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記：</w:t>
      </w:r>
      <w:r w:rsidRPr="00761EF3">
        <w:rPr>
          <w:szCs w:val="22"/>
        </w:rPr>
        <w:t>8</w:t>
      </w:r>
      <w:r w:rsidRPr="00043A1E">
        <w:rPr>
          <w:szCs w:val="22"/>
        </w:rPr>
        <w:t>.</w:t>
      </w:r>
      <w:r w:rsidRPr="00043A1E">
        <w:rPr>
          <w:szCs w:val="22"/>
        </w:rPr>
        <w:t>表記，標志。（《漢語大詞典》（十一）</w:t>
      </w:r>
      <w:r w:rsidRPr="00043A1E">
        <w:rPr>
          <w:rFonts w:hint="eastAsia"/>
          <w:szCs w:val="22"/>
        </w:rPr>
        <w:t>，</w:t>
      </w:r>
      <w:r w:rsidRPr="00761EF3">
        <w:rPr>
          <w:szCs w:val="22"/>
        </w:rPr>
        <w:t>p</w:t>
      </w:r>
      <w:r w:rsidRPr="00043A1E">
        <w:rPr>
          <w:szCs w:val="22"/>
        </w:rPr>
        <w:t>.</w:t>
      </w:r>
      <w:r w:rsidRPr="00761EF3">
        <w:rPr>
          <w:szCs w:val="22"/>
        </w:rPr>
        <w:t>58</w:t>
      </w:r>
      <w:r w:rsidRPr="00043A1E">
        <w:rPr>
          <w:szCs w:val="22"/>
        </w:rPr>
        <w:t>）</w:t>
      </w:r>
    </w:p>
  </w:footnote>
  <w:footnote w:id="719">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szCs w:val="22"/>
        </w:rPr>
        <w:t>）《中論》卷</w:t>
      </w:r>
      <w:r w:rsidRPr="00761EF3">
        <w:rPr>
          <w:szCs w:val="22"/>
        </w:rPr>
        <w:t>1</w:t>
      </w:r>
      <w:r w:rsidRPr="00043A1E">
        <w:rPr>
          <w:szCs w:val="22"/>
        </w:rPr>
        <w:t>〈</w:t>
      </w:r>
      <w:r w:rsidRPr="00761EF3">
        <w:rPr>
          <w:szCs w:val="22"/>
        </w:rPr>
        <w:t>3</w:t>
      </w:r>
      <w:r w:rsidRPr="00043A1E">
        <w:rPr>
          <w:szCs w:val="22"/>
        </w:rPr>
        <w:t xml:space="preserve"> </w:t>
      </w:r>
      <w:r w:rsidRPr="00043A1E">
        <w:rPr>
          <w:szCs w:val="22"/>
        </w:rPr>
        <w:t>觀六情品〉</w:t>
      </w:r>
      <w:r w:rsidRPr="00043A1E">
        <w:rPr>
          <w:rFonts w:hint="eastAsia"/>
          <w:szCs w:val="22"/>
        </w:rPr>
        <w:t>（青目釋）</w:t>
      </w:r>
      <w:r w:rsidRPr="00043A1E">
        <w:rPr>
          <w:szCs w:val="22"/>
        </w:rPr>
        <w:t>（大正</w:t>
      </w:r>
      <w:r w:rsidRPr="00761EF3">
        <w:rPr>
          <w:szCs w:val="22"/>
        </w:rPr>
        <w:t>30</w:t>
      </w:r>
      <w:r w:rsidRPr="00043A1E">
        <w:rPr>
          <w:szCs w:val="22"/>
        </w:rPr>
        <w:t>，</w:t>
      </w:r>
      <w:r w:rsidRPr="00761EF3">
        <w:rPr>
          <w:szCs w:val="22"/>
        </w:rPr>
        <w:t>6a6</w:t>
      </w:r>
      <w:r w:rsidRPr="00043A1E">
        <w:rPr>
          <w:szCs w:val="22"/>
        </w:rPr>
        <w:t>-</w:t>
      </w:r>
      <w:r w:rsidRPr="00761EF3">
        <w:rPr>
          <w:szCs w:val="22"/>
        </w:rPr>
        <w:t>2</w:t>
      </w:r>
      <w:r w:rsidRPr="00761EF3">
        <w:rPr>
          <w:rFonts w:hint="eastAsia"/>
          <w:szCs w:val="22"/>
        </w:rPr>
        <w:t>3</w:t>
      </w:r>
      <w:r w:rsidRPr="00043A1E">
        <w:rPr>
          <w:szCs w:val="22"/>
        </w:rPr>
        <w:t>）：</w:t>
      </w:r>
    </w:p>
    <w:p w:rsidR="00157EF6" w:rsidRPr="00043A1E" w:rsidRDefault="00157EF6" w:rsidP="00AA120F">
      <w:pPr>
        <w:pStyle w:val="a5"/>
        <w:ind w:leftChars="335" w:left="804"/>
        <w:jc w:val="both"/>
        <w:rPr>
          <w:rFonts w:eastAsia="標楷體"/>
          <w:b/>
          <w:szCs w:val="22"/>
        </w:rPr>
      </w:pPr>
      <w:r w:rsidRPr="00043A1E">
        <w:rPr>
          <w:rFonts w:eastAsia="標楷體"/>
          <w:b/>
          <w:szCs w:val="22"/>
        </w:rPr>
        <w:t>是眼則不能，自見其己體；若不能自見，云何見餘物？</w:t>
      </w:r>
    </w:p>
    <w:p w:rsidR="002D37D6" w:rsidRDefault="00157EF6" w:rsidP="00AA120F">
      <w:pPr>
        <w:pStyle w:val="a5"/>
        <w:ind w:leftChars="335" w:left="804"/>
        <w:jc w:val="both"/>
        <w:rPr>
          <w:rFonts w:eastAsia="標楷體"/>
          <w:szCs w:val="22"/>
        </w:rPr>
      </w:pPr>
      <w:r w:rsidRPr="00043A1E">
        <w:rPr>
          <w:rFonts w:eastAsia="標楷體" w:hint="eastAsia"/>
          <w:szCs w:val="22"/>
        </w:rPr>
        <w:t>是眼不能見自體。何以故？如燈能自照</w:t>
      </w:r>
      <w:r w:rsidR="002D37D6">
        <w:rPr>
          <w:rFonts w:ascii="標楷體" w:eastAsia="標楷體" w:hAnsi="標楷體" w:hint="eastAsia"/>
          <w:color w:val="FF0000"/>
          <w:kern w:val="0"/>
          <w:highlight w:val="yellow"/>
        </w:rPr>
        <w:t>，</w:t>
      </w:r>
      <w:r w:rsidRPr="00043A1E">
        <w:rPr>
          <w:rFonts w:eastAsia="標楷體" w:hint="eastAsia"/>
          <w:szCs w:val="22"/>
        </w:rPr>
        <w:t>亦能照他</w:t>
      </w:r>
      <w:r w:rsidR="002D37D6">
        <w:rPr>
          <w:rFonts w:ascii="標楷體" w:eastAsia="標楷體" w:hAnsi="標楷體" w:hint="eastAsia"/>
          <w:color w:val="FF0000"/>
          <w:spacing w:val="-4"/>
          <w:kern w:val="0"/>
          <w:highlight w:val="yellow"/>
        </w:rPr>
        <w:t>；</w:t>
      </w:r>
      <w:r w:rsidRPr="00043A1E">
        <w:rPr>
          <w:rFonts w:eastAsia="標楷體" w:hint="eastAsia"/>
          <w:szCs w:val="22"/>
        </w:rPr>
        <w:t>眼若是見相，亦應自見</w:t>
      </w:r>
      <w:r w:rsidR="002D37D6">
        <w:rPr>
          <w:rFonts w:ascii="標楷體" w:eastAsia="標楷體" w:hAnsi="標楷體" w:hint="eastAsia"/>
          <w:color w:val="FF0000"/>
          <w:spacing w:val="-4"/>
          <w:kern w:val="0"/>
          <w:highlight w:val="yellow"/>
        </w:rPr>
        <w:t>；</w:t>
      </w:r>
      <w:r w:rsidRPr="00043A1E">
        <w:rPr>
          <w:rFonts w:eastAsia="標楷體" w:hint="eastAsia"/>
          <w:szCs w:val="22"/>
        </w:rPr>
        <w:t>亦應見他</w:t>
      </w:r>
      <w:r w:rsidR="002D37D6">
        <w:rPr>
          <w:rFonts w:ascii="標楷體" w:eastAsia="標楷體" w:hAnsi="標楷體" w:hint="eastAsia"/>
          <w:color w:val="FF0000"/>
          <w:kern w:val="0"/>
          <w:highlight w:val="yellow"/>
        </w:rPr>
        <w:t>──</w:t>
      </w:r>
      <w:r w:rsidRPr="00043A1E">
        <w:rPr>
          <w:rFonts w:eastAsia="標楷體" w:hint="eastAsia"/>
          <w:szCs w:val="22"/>
        </w:rPr>
        <w:t>而實不爾。是故偈中說：若眼不自見，何能見餘物？</w:t>
      </w:r>
    </w:p>
    <w:p w:rsidR="002D37D6" w:rsidRDefault="00157EF6" w:rsidP="00AA120F">
      <w:pPr>
        <w:pStyle w:val="a5"/>
        <w:ind w:leftChars="335" w:left="804"/>
        <w:jc w:val="both"/>
        <w:rPr>
          <w:rFonts w:eastAsia="標楷體"/>
          <w:szCs w:val="22"/>
        </w:rPr>
      </w:pPr>
      <w:r w:rsidRPr="002D37D6">
        <w:rPr>
          <w:rFonts w:eastAsia="標楷體" w:hint="eastAsia"/>
          <w:szCs w:val="22"/>
          <w:highlight w:val="yellow"/>
        </w:rPr>
        <w:t>問</w:t>
      </w:r>
      <w:r w:rsidRPr="00043A1E">
        <w:rPr>
          <w:rFonts w:eastAsia="標楷體" w:hint="eastAsia"/>
          <w:szCs w:val="22"/>
        </w:rPr>
        <w:t>曰：眼雖不能自見，而能見他</w:t>
      </w:r>
      <w:r w:rsidR="002D37D6">
        <w:rPr>
          <w:rFonts w:ascii="標楷體" w:eastAsia="標楷體" w:hAnsi="標楷體" w:hint="eastAsia"/>
          <w:color w:val="FF0000"/>
          <w:spacing w:val="-4"/>
          <w:kern w:val="0"/>
          <w:highlight w:val="yellow"/>
        </w:rPr>
        <w:t>；</w:t>
      </w:r>
      <w:r w:rsidRPr="00043A1E">
        <w:rPr>
          <w:rFonts w:eastAsia="標楷體" w:hint="eastAsia"/>
          <w:szCs w:val="22"/>
        </w:rPr>
        <w:t>如火能燒他，不能自燒。</w:t>
      </w:r>
    </w:p>
    <w:p w:rsidR="00157EF6" w:rsidRPr="00043A1E" w:rsidRDefault="00157EF6" w:rsidP="00AA120F">
      <w:pPr>
        <w:pStyle w:val="a5"/>
        <w:ind w:leftChars="335" w:left="804"/>
        <w:jc w:val="both"/>
        <w:rPr>
          <w:rFonts w:eastAsia="標楷體"/>
          <w:szCs w:val="22"/>
        </w:rPr>
      </w:pPr>
      <w:r w:rsidRPr="002D37D6">
        <w:rPr>
          <w:rFonts w:eastAsia="標楷體" w:hint="eastAsia"/>
          <w:szCs w:val="22"/>
          <w:highlight w:val="yellow"/>
        </w:rPr>
        <w:t>答</w:t>
      </w:r>
      <w:r w:rsidRPr="00043A1E">
        <w:rPr>
          <w:rFonts w:eastAsia="標楷體" w:hint="eastAsia"/>
          <w:szCs w:val="22"/>
        </w:rPr>
        <w:t>曰：</w:t>
      </w:r>
    </w:p>
    <w:p w:rsidR="00157EF6" w:rsidRPr="00043A1E" w:rsidRDefault="002D37D6" w:rsidP="00AA120F">
      <w:pPr>
        <w:pStyle w:val="a5"/>
        <w:ind w:leftChars="335" w:left="804"/>
        <w:jc w:val="both"/>
        <w:rPr>
          <w:rFonts w:eastAsia="標楷體"/>
          <w:b/>
          <w:szCs w:val="22"/>
        </w:rPr>
      </w:pPr>
      <w:r>
        <w:rPr>
          <w:rFonts w:ascii="標楷體" w:eastAsia="標楷體" w:hAnsi="標楷體" w:hint="eastAsia"/>
          <w:bCs/>
          <w:color w:val="FF0000"/>
          <w:kern w:val="0"/>
          <w:highlight w:val="yellow"/>
        </w:rPr>
        <w:t>「</w:t>
      </w:r>
      <w:r w:rsidR="00157EF6" w:rsidRPr="00043A1E">
        <w:rPr>
          <w:rFonts w:eastAsia="標楷體"/>
          <w:b/>
          <w:szCs w:val="22"/>
        </w:rPr>
        <w:t>火喻</w:t>
      </w:r>
      <w:r>
        <w:rPr>
          <w:rFonts w:ascii="標楷體" w:eastAsia="標楷體" w:hAnsi="標楷體" w:hint="eastAsia"/>
          <w:bCs/>
          <w:color w:val="FF0000"/>
          <w:kern w:val="0"/>
          <w:highlight w:val="yellow"/>
        </w:rPr>
        <w:t>」</w:t>
      </w:r>
      <w:r w:rsidR="00157EF6" w:rsidRPr="00043A1E">
        <w:rPr>
          <w:rFonts w:eastAsia="標楷體"/>
          <w:b/>
          <w:szCs w:val="22"/>
        </w:rPr>
        <w:t>則不能成於</w:t>
      </w:r>
      <w:r>
        <w:rPr>
          <w:rFonts w:ascii="標楷體" w:eastAsia="標楷體" w:hAnsi="標楷體" w:hint="eastAsia"/>
          <w:bCs/>
          <w:color w:val="FF0000"/>
          <w:kern w:val="0"/>
          <w:highlight w:val="yellow"/>
        </w:rPr>
        <w:t>「</w:t>
      </w:r>
      <w:r w:rsidR="00157EF6" w:rsidRPr="00043A1E">
        <w:rPr>
          <w:rFonts w:eastAsia="標楷體"/>
          <w:b/>
          <w:szCs w:val="22"/>
        </w:rPr>
        <w:t>眼見</w:t>
      </w:r>
      <w:r>
        <w:rPr>
          <w:rFonts w:ascii="標楷體" w:eastAsia="標楷體" w:hAnsi="標楷體" w:hint="eastAsia"/>
          <w:bCs/>
          <w:color w:val="FF0000"/>
          <w:kern w:val="0"/>
          <w:highlight w:val="yellow"/>
        </w:rPr>
        <w:t>」</w:t>
      </w:r>
      <w:r w:rsidR="00157EF6" w:rsidRPr="00043A1E">
        <w:rPr>
          <w:rFonts w:eastAsia="標楷體"/>
          <w:b/>
          <w:szCs w:val="22"/>
        </w:rPr>
        <w:t>法；去未</w:t>
      </w:r>
      <w:r>
        <w:rPr>
          <w:rFonts w:ascii="標楷體" w:eastAsia="標楷體" w:hAnsi="標楷體" w:hint="eastAsia"/>
          <w:color w:val="FF0000"/>
          <w:spacing w:val="-4"/>
          <w:kern w:val="0"/>
          <w:highlight w:val="yellow"/>
        </w:rPr>
        <w:t>、</w:t>
      </w:r>
      <w:r w:rsidR="00157EF6" w:rsidRPr="00043A1E">
        <w:rPr>
          <w:rFonts w:eastAsia="標楷體"/>
          <w:b/>
          <w:szCs w:val="22"/>
        </w:rPr>
        <w:t>去</w:t>
      </w:r>
      <w:r>
        <w:rPr>
          <w:rFonts w:ascii="標楷體" w:eastAsia="標楷體" w:hAnsi="標楷體" w:hint="eastAsia"/>
          <w:color w:val="FF0000"/>
          <w:spacing w:val="-4"/>
          <w:kern w:val="0"/>
          <w:highlight w:val="yellow"/>
        </w:rPr>
        <w:t>、</w:t>
      </w:r>
      <w:r w:rsidR="00157EF6" w:rsidRPr="00043A1E">
        <w:rPr>
          <w:rFonts w:eastAsia="標楷體"/>
          <w:b/>
          <w:szCs w:val="22"/>
        </w:rPr>
        <w:t>去時，已總答是事</w:t>
      </w:r>
      <w:r>
        <w:rPr>
          <w:rFonts w:eastAsia="標楷體" w:hint="eastAsia"/>
          <w:b/>
          <w:color w:val="FF0000"/>
          <w:szCs w:val="22"/>
          <w:highlight w:val="yellow"/>
        </w:rPr>
        <w:t>。</w:t>
      </w:r>
    </w:p>
    <w:p w:rsidR="00157EF6" w:rsidRPr="00043A1E" w:rsidRDefault="00157EF6" w:rsidP="00AA120F">
      <w:pPr>
        <w:pStyle w:val="a5"/>
        <w:ind w:leftChars="335" w:left="804"/>
        <w:jc w:val="both"/>
        <w:rPr>
          <w:rFonts w:eastAsia="標楷體"/>
          <w:szCs w:val="22"/>
        </w:rPr>
      </w:pPr>
      <w:r w:rsidRPr="00043A1E">
        <w:rPr>
          <w:rFonts w:eastAsia="標楷體" w:hint="eastAsia"/>
          <w:szCs w:val="22"/>
        </w:rPr>
        <w:t>汝雖作</w:t>
      </w:r>
      <w:r w:rsidR="002D37D6">
        <w:rPr>
          <w:rFonts w:ascii="標楷體" w:eastAsia="標楷體" w:hAnsi="標楷體" w:hint="eastAsia"/>
          <w:bCs/>
          <w:color w:val="FF0000"/>
          <w:kern w:val="0"/>
          <w:highlight w:val="yellow"/>
        </w:rPr>
        <w:t>「</w:t>
      </w:r>
      <w:r w:rsidRPr="00043A1E">
        <w:rPr>
          <w:rFonts w:eastAsia="標楷體" w:hint="eastAsia"/>
          <w:szCs w:val="22"/>
        </w:rPr>
        <w:t>火喻</w:t>
      </w:r>
      <w:r w:rsidR="002D37D6">
        <w:rPr>
          <w:rFonts w:ascii="標楷體" w:eastAsia="標楷體" w:hAnsi="標楷體" w:hint="eastAsia"/>
          <w:bCs/>
          <w:color w:val="FF0000"/>
          <w:kern w:val="0"/>
          <w:highlight w:val="yellow"/>
        </w:rPr>
        <w:t>」</w:t>
      </w:r>
      <w:r w:rsidRPr="00043A1E">
        <w:rPr>
          <w:rFonts w:eastAsia="標楷體" w:hint="eastAsia"/>
          <w:szCs w:val="22"/>
        </w:rPr>
        <w:t>，不能成</w:t>
      </w:r>
      <w:r w:rsidR="002D37D6">
        <w:rPr>
          <w:rFonts w:ascii="標楷體" w:eastAsia="標楷體" w:hAnsi="標楷體" w:hint="eastAsia"/>
          <w:bCs/>
          <w:color w:val="FF0000"/>
          <w:kern w:val="0"/>
          <w:highlight w:val="yellow"/>
        </w:rPr>
        <w:t>「</w:t>
      </w:r>
      <w:r w:rsidRPr="00043A1E">
        <w:rPr>
          <w:rFonts w:eastAsia="標楷體" w:hint="eastAsia"/>
          <w:szCs w:val="22"/>
        </w:rPr>
        <w:t>眼見</w:t>
      </w:r>
      <w:r w:rsidR="002D37D6">
        <w:rPr>
          <w:rFonts w:ascii="標楷體" w:eastAsia="標楷體" w:hAnsi="標楷體" w:hint="eastAsia"/>
          <w:bCs/>
          <w:color w:val="FF0000"/>
          <w:kern w:val="0"/>
          <w:highlight w:val="yellow"/>
        </w:rPr>
        <w:t>」</w:t>
      </w:r>
      <w:r w:rsidR="002D37D6">
        <w:rPr>
          <w:rFonts w:eastAsia="標楷體" w:hint="eastAsia"/>
          <w:szCs w:val="22"/>
        </w:rPr>
        <w:t>法</w:t>
      </w:r>
      <w:r w:rsidR="002D37D6">
        <w:rPr>
          <w:rFonts w:ascii="標楷體" w:eastAsia="標楷體" w:hAnsi="標楷體" w:hint="eastAsia"/>
          <w:color w:val="FF0000"/>
          <w:spacing w:val="-4"/>
          <w:kern w:val="0"/>
          <w:highlight w:val="yellow"/>
        </w:rPr>
        <w:t>；</w:t>
      </w:r>
      <w:r w:rsidRPr="00043A1E">
        <w:rPr>
          <w:rFonts w:eastAsia="標楷體" w:hint="eastAsia"/>
          <w:szCs w:val="22"/>
        </w:rPr>
        <w:t>是事</w:t>
      </w:r>
      <w:r w:rsidR="002D37D6">
        <w:rPr>
          <w:rFonts w:ascii="標楷體" w:eastAsia="標楷體" w:hAnsi="標楷體" w:hint="eastAsia"/>
          <w:color w:val="FF0000"/>
          <w:kern w:val="0"/>
          <w:highlight w:val="yellow"/>
        </w:rPr>
        <w:t>，</w:t>
      </w:r>
      <w:r w:rsidRPr="00043A1E">
        <w:rPr>
          <w:rFonts w:eastAsia="標楷體" w:hint="eastAsia"/>
          <w:szCs w:val="22"/>
        </w:rPr>
        <w:t>〈去來品〉中已答，如</w:t>
      </w:r>
      <w:r w:rsidR="002D37D6">
        <w:rPr>
          <w:rFonts w:ascii="標楷體" w:eastAsia="標楷體" w:hAnsi="標楷體" w:hint="eastAsia"/>
          <w:color w:val="FF0000"/>
          <w:spacing w:val="-4"/>
          <w:kern w:val="0"/>
          <w:highlight w:val="yellow"/>
        </w:rPr>
        <w:t>：</w:t>
      </w:r>
      <w:r w:rsidRPr="00043A1E">
        <w:rPr>
          <w:rFonts w:eastAsia="標楷體" w:hint="eastAsia"/>
          <w:szCs w:val="22"/>
        </w:rPr>
        <w:t>已去中無去，未去中無去，去時中無去。如</w:t>
      </w:r>
      <w:r w:rsidR="002D37D6">
        <w:rPr>
          <w:rFonts w:ascii="標楷體" w:eastAsia="標楷體" w:hAnsi="標楷體" w:hint="eastAsia"/>
          <w:color w:val="FF0000"/>
          <w:spacing w:val="-4"/>
          <w:kern w:val="0"/>
          <w:highlight w:val="yellow"/>
        </w:rPr>
        <w:t>：</w:t>
      </w:r>
      <w:r w:rsidRPr="00043A1E">
        <w:rPr>
          <w:rFonts w:eastAsia="標楷體" w:hint="eastAsia"/>
          <w:szCs w:val="22"/>
        </w:rPr>
        <w:t>已燒、未燒、燒時</w:t>
      </w:r>
      <w:r w:rsidR="002D37D6">
        <w:rPr>
          <w:rFonts w:ascii="標楷體" w:eastAsia="標楷體" w:hAnsi="標楷體" w:hint="eastAsia"/>
          <w:color w:val="FF0000"/>
          <w:kern w:val="0"/>
          <w:highlight w:val="yellow"/>
        </w:rPr>
        <w:t>，</w:t>
      </w:r>
      <w:r w:rsidRPr="00043A1E">
        <w:rPr>
          <w:rFonts w:eastAsia="標楷體" w:hint="eastAsia"/>
          <w:szCs w:val="22"/>
        </w:rPr>
        <w:t>俱無有燒</w:t>
      </w:r>
      <w:r w:rsidR="002D37D6">
        <w:rPr>
          <w:rFonts w:ascii="標楷體" w:eastAsia="標楷體" w:hAnsi="標楷體" w:hint="eastAsia"/>
          <w:color w:val="FF0000"/>
          <w:spacing w:val="-4"/>
          <w:kern w:val="0"/>
          <w:highlight w:val="yellow"/>
        </w:rPr>
        <w:t>；</w:t>
      </w:r>
      <w:r w:rsidRPr="00043A1E">
        <w:rPr>
          <w:rFonts w:eastAsia="標楷體" w:hint="eastAsia"/>
          <w:szCs w:val="22"/>
        </w:rPr>
        <w:t>如是已見、未見、見時</w:t>
      </w:r>
      <w:r w:rsidR="002D37D6">
        <w:rPr>
          <w:rFonts w:ascii="標楷體" w:eastAsia="標楷體" w:hAnsi="標楷體" w:hint="eastAsia"/>
          <w:color w:val="FF0000"/>
          <w:kern w:val="0"/>
          <w:highlight w:val="yellow"/>
        </w:rPr>
        <w:t>，</w:t>
      </w:r>
      <w:r w:rsidRPr="00043A1E">
        <w:rPr>
          <w:rFonts w:eastAsia="標楷體" w:hint="eastAsia"/>
          <w:szCs w:val="22"/>
        </w:rPr>
        <w:t>俱無見相。復次，</w:t>
      </w:r>
    </w:p>
    <w:p w:rsidR="00157EF6" w:rsidRPr="00043A1E" w:rsidRDefault="00157EF6" w:rsidP="00AA120F">
      <w:pPr>
        <w:pStyle w:val="a5"/>
        <w:ind w:leftChars="335" w:left="804"/>
        <w:jc w:val="both"/>
        <w:rPr>
          <w:szCs w:val="22"/>
        </w:rPr>
      </w:pPr>
      <w:r w:rsidRPr="00043A1E">
        <w:rPr>
          <w:rFonts w:eastAsia="標楷體"/>
          <w:b/>
          <w:szCs w:val="22"/>
        </w:rPr>
        <w:t>見若未見時，則不名為見，而言見能見，是事則不然。</w:t>
      </w:r>
    </w:p>
    <w:p w:rsidR="00157EF6" w:rsidRPr="00043A1E" w:rsidRDefault="00157EF6" w:rsidP="00AA120F">
      <w:pPr>
        <w:pStyle w:val="a5"/>
        <w:ind w:leftChars="335" w:left="804"/>
        <w:jc w:val="both"/>
        <w:rPr>
          <w:rFonts w:eastAsia="標楷體"/>
          <w:szCs w:val="22"/>
        </w:rPr>
      </w:pPr>
      <w:r w:rsidRPr="00043A1E">
        <w:rPr>
          <w:rFonts w:eastAsia="標楷體" w:hint="eastAsia"/>
          <w:szCs w:val="22"/>
        </w:rPr>
        <w:t>眼未對色，則不能見，爾時不名為</w:t>
      </w:r>
      <w:r w:rsidR="002D37D6">
        <w:rPr>
          <w:rFonts w:ascii="標楷體" w:eastAsia="標楷體" w:hAnsi="標楷體" w:hint="eastAsia"/>
          <w:bCs/>
          <w:color w:val="FF0000"/>
          <w:kern w:val="0"/>
          <w:highlight w:val="yellow"/>
        </w:rPr>
        <w:t>「</w:t>
      </w:r>
      <w:r w:rsidRPr="00043A1E">
        <w:rPr>
          <w:rFonts w:eastAsia="標楷體" w:hint="eastAsia"/>
          <w:szCs w:val="22"/>
        </w:rPr>
        <w:t>見</w:t>
      </w:r>
      <w:r w:rsidR="002D37D6">
        <w:rPr>
          <w:rFonts w:ascii="標楷體" w:eastAsia="標楷體" w:hAnsi="標楷體" w:hint="eastAsia"/>
          <w:bCs/>
          <w:color w:val="FF0000"/>
          <w:kern w:val="0"/>
          <w:highlight w:val="yellow"/>
        </w:rPr>
        <w:t>」</w:t>
      </w:r>
      <w:r w:rsidRPr="00043A1E">
        <w:rPr>
          <w:rFonts w:eastAsia="標楷體" w:hint="eastAsia"/>
          <w:szCs w:val="22"/>
        </w:rPr>
        <w:t>，因</w:t>
      </w:r>
      <w:r w:rsidR="002D37D6">
        <w:rPr>
          <w:rFonts w:ascii="標楷體" w:eastAsia="標楷體" w:hAnsi="標楷體" w:hint="eastAsia"/>
          <w:bCs/>
          <w:color w:val="FF0000"/>
          <w:kern w:val="0"/>
          <w:highlight w:val="yellow"/>
        </w:rPr>
        <w:t>「</w:t>
      </w:r>
      <w:r w:rsidRPr="00043A1E">
        <w:rPr>
          <w:rFonts w:eastAsia="標楷體" w:hint="eastAsia"/>
          <w:szCs w:val="22"/>
        </w:rPr>
        <w:t>對</w:t>
      </w:r>
      <w:r w:rsidR="002D37D6">
        <w:rPr>
          <w:rFonts w:ascii="標楷體" w:eastAsia="標楷體" w:hAnsi="標楷體" w:hint="eastAsia"/>
          <w:color w:val="FF0000"/>
          <w:kern w:val="0"/>
          <w:highlight w:val="yellow"/>
        </w:rPr>
        <w:t>『</w:t>
      </w:r>
      <w:r w:rsidRPr="00043A1E">
        <w:rPr>
          <w:rFonts w:eastAsia="標楷體" w:hint="eastAsia"/>
          <w:szCs w:val="22"/>
        </w:rPr>
        <w:t>色</w:t>
      </w:r>
      <w:r w:rsidR="002D37D6">
        <w:rPr>
          <w:rFonts w:ascii="標楷體" w:eastAsia="標楷體" w:hAnsi="標楷體" w:hint="eastAsia"/>
          <w:color w:val="FF0000"/>
          <w:kern w:val="0"/>
          <w:highlight w:val="yellow"/>
        </w:rPr>
        <w:t>』</w:t>
      </w:r>
      <w:r w:rsidR="002D37D6">
        <w:rPr>
          <w:rFonts w:ascii="標楷體" w:eastAsia="標楷體" w:hAnsi="標楷體" w:hint="eastAsia"/>
          <w:bCs/>
          <w:color w:val="FF0000"/>
          <w:kern w:val="0"/>
          <w:highlight w:val="yellow"/>
        </w:rPr>
        <w:t>」</w:t>
      </w:r>
      <w:r w:rsidRPr="00043A1E">
        <w:rPr>
          <w:rFonts w:eastAsia="標楷體" w:hint="eastAsia"/>
          <w:szCs w:val="22"/>
        </w:rPr>
        <w:t>名為</w:t>
      </w:r>
      <w:r w:rsidR="002D37D6">
        <w:rPr>
          <w:rFonts w:ascii="標楷體" w:eastAsia="標楷體" w:hAnsi="標楷體" w:hint="eastAsia"/>
          <w:bCs/>
          <w:color w:val="FF0000"/>
          <w:kern w:val="0"/>
          <w:highlight w:val="yellow"/>
        </w:rPr>
        <w:t>「</w:t>
      </w:r>
      <w:r w:rsidRPr="00043A1E">
        <w:rPr>
          <w:rFonts w:eastAsia="標楷體" w:hint="eastAsia"/>
          <w:szCs w:val="22"/>
        </w:rPr>
        <w:t>見</w:t>
      </w:r>
      <w:r w:rsidR="002D37D6">
        <w:rPr>
          <w:rFonts w:ascii="標楷體" w:eastAsia="標楷體" w:hAnsi="標楷體" w:hint="eastAsia"/>
          <w:bCs/>
          <w:color w:val="FF0000"/>
          <w:kern w:val="0"/>
          <w:highlight w:val="yellow"/>
        </w:rPr>
        <w:t>」</w:t>
      </w:r>
      <w:r w:rsidRPr="00043A1E">
        <w:rPr>
          <w:rFonts w:eastAsia="標楷體" w:hint="eastAsia"/>
          <w:szCs w:val="22"/>
        </w:rPr>
        <w:t>。是故偈中說：未見時無見，云何以見能見？</w:t>
      </w:r>
    </w:p>
    <w:p w:rsidR="00157EF6" w:rsidRPr="00043A1E" w:rsidRDefault="00157EF6" w:rsidP="00AA120F">
      <w:pPr>
        <w:pStyle w:val="a5"/>
        <w:ind w:leftChars="105" w:left="791" w:hangingChars="245" w:hanging="539"/>
        <w:jc w:val="both"/>
        <w:rPr>
          <w:szCs w:val="22"/>
        </w:rPr>
      </w:pPr>
      <w:r w:rsidRPr="00043A1E">
        <w:rPr>
          <w:szCs w:val="22"/>
        </w:rPr>
        <w:t>（</w:t>
      </w:r>
      <w:r w:rsidRPr="00761EF3">
        <w:rPr>
          <w:szCs w:val="22"/>
        </w:rPr>
        <w:t>2</w:t>
      </w:r>
      <w:r w:rsidRPr="00043A1E">
        <w:rPr>
          <w:szCs w:val="22"/>
        </w:rPr>
        <w:t>）</w:t>
      </w:r>
      <w:r w:rsidRPr="00043A1E">
        <w:rPr>
          <w:rFonts w:hint="eastAsia"/>
          <w:szCs w:val="22"/>
        </w:rPr>
        <w:t>印順法師，</w:t>
      </w:r>
      <w:r w:rsidRPr="00043A1E">
        <w:rPr>
          <w:szCs w:val="22"/>
        </w:rPr>
        <w:t>《中觀論頌講記》</w:t>
      </w:r>
      <w:r w:rsidRPr="00043A1E">
        <w:rPr>
          <w:rFonts w:hint="eastAsia"/>
          <w:szCs w:val="22"/>
        </w:rPr>
        <w:t>，</w:t>
      </w:r>
      <w:r w:rsidRPr="00761EF3">
        <w:rPr>
          <w:szCs w:val="22"/>
        </w:rPr>
        <w:t>pp</w:t>
      </w:r>
      <w:r w:rsidRPr="00043A1E">
        <w:rPr>
          <w:szCs w:val="22"/>
        </w:rPr>
        <w:t>.</w:t>
      </w:r>
      <w:r w:rsidRPr="00761EF3">
        <w:rPr>
          <w:szCs w:val="22"/>
        </w:rPr>
        <w:t>103</w:t>
      </w:r>
      <w:r w:rsidRPr="00043A1E">
        <w:rPr>
          <w:szCs w:val="22"/>
        </w:rPr>
        <w:t>-</w:t>
      </w:r>
      <w:r w:rsidRPr="00761EF3">
        <w:rPr>
          <w:szCs w:val="22"/>
        </w:rPr>
        <w:t>106</w:t>
      </w:r>
      <w:r w:rsidRPr="00043A1E">
        <w:rPr>
          <w:szCs w:val="22"/>
        </w:rPr>
        <w:t>：</w:t>
      </w:r>
    </w:p>
    <w:p w:rsidR="00157EF6" w:rsidRPr="001B64AB" w:rsidRDefault="00157EF6" w:rsidP="00AA120F">
      <w:pPr>
        <w:pStyle w:val="a5"/>
        <w:ind w:leftChars="335" w:left="804"/>
        <w:jc w:val="both"/>
        <w:rPr>
          <w:rFonts w:eastAsia="標楷體"/>
          <w:szCs w:val="22"/>
        </w:rPr>
      </w:pPr>
      <w:r w:rsidRPr="00043A1E">
        <w:rPr>
          <w:rFonts w:eastAsia="標楷體"/>
          <w:szCs w:val="22"/>
        </w:rPr>
        <w:t>初觀眼根，不成其為能見。關於見色，</w:t>
      </w:r>
      <w:r w:rsidRPr="00043A1E">
        <w:rPr>
          <w:rFonts w:eastAsia="標楷體"/>
          <w:b/>
          <w:szCs w:val="22"/>
        </w:rPr>
        <w:t>有部</w:t>
      </w:r>
      <w:r w:rsidRPr="00043A1E">
        <w:rPr>
          <w:rFonts w:eastAsia="標楷體"/>
          <w:szCs w:val="22"/>
        </w:rPr>
        <w:t>說見是眼根的作用；</w:t>
      </w:r>
      <w:r w:rsidRPr="00043A1E">
        <w:rPr>
          <w:rFonts w:eastAsia="標楷體"/>
          <w:b/>
          <w:szCs w:val="22"/>
        </w:rPr>
        <w:t>犢子部</w:t>
      </w:r>
      <w:r w:rsidRPr="00043A1E">
        <w:rPr>
          <w:rFonts w:eastAsia="標楷體"/>
          <w:szCs w:val="22"/>
        </w:rPr>
        <w:t>說我能見；</w:t>
      </w:r>
      <w:r w:rsidRPr="00043A1E">
        <w:rPr>
          <w:rFonts w:eastAsia="標楷體"/>
          <w:b/>
          <w:szCs w:val="22"/>
        </w:rPr>
        <w:t>大眾部</w:t>
      </w:r>
      <w:r w:rsidRPr="00043A1E">
        <w:rPr>
          <w:rFonts w:eastAsia="標楷體"/>
          <w:szCs w:val="22"/>
        </w:rPr>
        <w:t>說眼根不能見，眼識才能見，不過要利用眼根才能見。這裡</w:t>
      </w:r>
      <w:r w:rsidRPr="001B64AB">
        <w:rPr>
          <w:rFonts w:eastAsia="標楷體"/>
          <w:szCs w:val="22"/>
        </w:rPr>
        <w:t>破眼根能見，是針對有部的。</w:t>
      </w:r>
    </w:p>
    <w:p w:rsidR="00157EF6" w:rsidRPr="001B64AB" w:rsidRDefault="00157EF6" w:rsidP="00AE3920">
      <w:pPr>
        <w:pStyle w:val="a5"/>
        <w:spacing w:beforeLines="20"/>
        <w:ind w:leftChars="335" w:left="804"/>
        <w:jc w:val="both"/>
        <w:rPr>
          <w:rFonts w:eastAsia="標楷體"/>
          <w:szCs w:val="22"/>
        </w:rPr>
      </w:pPr>
      <w:r w:rsidRPr="001B64AB">
        <w:rPr>
          <w:rFonts w:eastAsia="標楷體"/>
          <w:b/>
          <w:szCs w:val="22"/>
        </w:rPr>
        <w:t>有部</w:t>
      </w:r>
      <w:r w:rsidRPr="001B64AB">
        <w:rPr>
          <w:rFonts w:eastAsia="標楷體"/>
          <w:szCs w:val="22"/>
        </w:rPr>
        <w:t>說眼根是色法，是一種不可見而有對礙的色法，不是指外面可見的扶根塵，是指分布在瞳人裏面的微細清淨色，叫淨色根。瞎子不能見，就因淨色根壞了。</w:t>
      </w:r>
    </w:p>
    <w:p w:rsidR="00157EF6" w:rsidRPr="001B64AB" w:rsidRDefault="00157EF6" w:rsidP="00AE3920">
      <w:pPr>
        <w:pStyle w:val="a5"/>
        <w:spacing w:beforeLines="20"/>
        <w:ind w:leftChars="335" w:left="804"/>
        <w:jc w:val="both"/>
        <w:rPr>
          <w:rFonts w:eastAsia="標楷體"/>
          <w:szCs w:val="22"/>
        </w:rPr>
      </w:pPr>
      <w:r w:rsidRPr="001B64AB">
        <w:rPr>
          <w:rFonts w:eastAsia="標楷體"/>
          <w:szCs w:val="22"/>
        </w:rPr>
        <w:t>據</w:t>
      </w:r>
      <w:r w:rsidRPr="001B64AB">
        <w:rPr>
          <w:rFonts w:eastAsia="標楷體"/>
          <w:b/>
          <w:szCs w:val="22"/>
        </w:rPr>
        <w:t>性空者</w:t>
      </w:r>
      <w:r w:rsidRPr="001B64AB">
        <w:rPr>
          <w:rFonts w:eastAsia="標楷體"/>
          <w:szCs w:val="22"/>
        </w:rPr>
        <w:t>看來，這自性眼根的見色，大成問題。他們承認眼根實有而能見的，這種見性，是眼根特有的作用。眼根既不因他（色識等）而自體成就能見性，那麼，在沒有見色生識的時候，眼根的能見性已成就，應該有所見；這時，既不見色而有能見性，那就應該能見到自己，否則，怎麼能知道他是能見性呢？</w:t>
      </w:r>
    </w:p>
    <w:p w:rsidR="00157EF6" w:rsidRPr="001B64AB" w:rsidRDefault="00157EF6" w:rsidP="00AE3920">
      <w:pPr>
        <w:pStyle w:val="a5"/>
        <w:spacing w:beforeLines="20"/>
        <w:ind w:leftChars="335" w:left="804"/>
        <w:jc w:val="both"/>
        <w:rPr>
          <w:rFonts w:eastAsia="標楷體"/>
          <w:b/>
          <w:szCs w:val="22"/>
        </w:rPr>
      </w:pPr>
      <w:r w:rsidRPr="001B64AB">
        <w:rPr>
          <w:rFonts w:eastAsia="標楷體"/>
          <w:szCs w:val="22"/>
        </w:rPr>
        <w:t>但</w:t>
      </w:r>
      <w:r w:rsidRPr="001B64AB">
        <w:rPr>
          <w:rFonts w:eastAsia="標楷體"/>
          <w:b/>
          <w:szCs w:val="22"/>
        </w:rPr>
        <w:t>事實上，他從來只見到外境，「不能自見其己體」的</w:t>
      </w:r>
      <w:r w:rsidRPr="001B64AB">
        <w:rPr>
          <w:rFonts w:eastAsia="標楷體"/>
          <w:szCs w:val="22"/>
        </w:rPr>
        <w:t>。眼根不能離色境等而有見的作用，這見的作用，顯然是眾緣和合而存在的，不能自己見自己，怎麼說眼根是能見的自性呢？</w:t>
      </w:r>
      <w:r w:rsidRPr="001B64AB">
        <w:rPr>
          <w:rFonts w:eastAsia="標楷體"/>
          <w:b/>
          <w:szCs w:val="22"/>
        </w:rPr>
        <w:t>「若不能自」己「見」自己，就證明了見色不是眼根自性成就的作用，那怎麼還說他能「見」其「餘」的事「物」呢？</w:t>
      </w:r>
    </w:p>
    <w:p w:rsidR="00157EF6" w:rsidRPr="001B64AB" w:rsidRDefault="00157EF6" w:rsidP="00AA120F">
      <w:pPr>
        <w:pStyle w:val="a5"/>
        <w:ind w:leftChars="335" w:left="804"/>
        <w:jc w:val="both"/>
        <w:rPr>
          <w:rFonts w:eastAsia="標楷體"/>
          <w:szCs w:val="22"/>
        </w:rPr>
      </w:pPr>
      <w:r w:rsidRPr="001B64AB">
        <w:rPr>
          <w:rFonts w:eastAsia="標楷體"/>
          <w:szCs w:val="22"/>
        </w:rPr>
        <w:t>外人說：你不能這樣說，我舉個</w:t>
      </w:r>
      <w:r w:rsidRPr="001B64AB">
        <w:rPr>
          <w:rFonts w:eastAsia="標楷體"/>
          <w:b/>
          <w:szCs w:val="22"/>
        </w:rPr>
        <w:t>「火」燒的譬「喻」</w:t>
      </w:r>
      <w:r w:rsidRPr="001B64AB">
        <w:rPr>
          <w:rFonts w:eastAsia="標楷體"/>
          <w:szCs w:val="22"/>
        </w:rPr>
        <w:t>吧。火自己不能燒自己，卻能燒柴等他物。眼根也是這樣，自己雖不能見到自己，卻能見色境，所以眼根名為能見。</w:t>
      </w:r>
    </w:p>
    <w:p w:rsidR="00157EF6" w:rsidRPr="00043A1E" w:rsidRDefault="00157EF6" w:rsidP="00AE3920">
      <w:pPr>
        <w:pStyle w:val="a5"/>
        <w:spacing w:beforeLines="20"/>
        <w:ind w:leftChars="335" w:left="804"/>
        <w:jc w:val="both"/>
        <w:rPr>
          <w:rFonts w:eastAsia="標楷體"/>
          <w:szCs w:val="22"/>
        </w:rPr>
      </w:pPr>
      <w:r w:rsidRPr="001B64AB">
        <w:rPr>
          <w:rFonts w:eastAsia="標楷體"/>
          <w:szCs w:val="22"/>
        </w:rPr>
        <w:t>這譬喻，</w:t>
      </w:r>
      <w:r w:rsidRPr="001B64AB">
        <w:rPr>
          <w:rFonts w:eastAsia="標楷體"/>
          <w:b/>
          <w:szCs w:val="22"/>
        </w:rPr>
        <w:t>其實「不能成」立「眼」是能「見法」，因為火喻的自不燒而能燒他，我是不共許的。</w:t>
      </w:r>
      <w:r w:rsidRPr="001B64AB">
        <w:rPr>
          <w:rFonts w:eastAsia="標楷體"/>
          <w:szCs w:val="22"/>
        </w:rPr>
        <w:t>本來，</w:t>
      </w:r>
      <w:r w:rsidRPr="001B64AB">
        <w:rPr>
          <w:rFonts w:eastAsia="標楷體"/>
          <w:b/>
          <w:szCs w:val="22"/>
        </w:rPr>
        <w:t>這問題在上面已「去、未去、去時」的三去無去中，「已</w:t>
      </w:r>
      <w:r w:rsidRPr="00043A1E">
        <w:rPr>
          <w:rFonts w:eastAsia="標楷體"/>
          <w:b/>
          <w:szCs w:val="22"/>
        </w:rPr>
        <w:t>」經「總答」的了！</w:t>
      </w:r>
      <w:r w:rsidRPr="00043A1E">
        <w:rPr>
          <w:rFonts w:eastAsia="標楷體"/>
          <w:szCs w:val="22"/>
        </w:rPr>
        <w:t>可惜你自己不覺得。請問：火是怎樣的燒呢？已燒是不能燒，未燒也不能燒，離卻已燒未燒，又沒有正燒的時候可燒。能成的火喻，尚且不能成立，那怎能成立所成的眼見呢？</w:t>
      </w:r>
    </w:p>
    <w:p w:rsidR="00157EF6" w:rsidRDefault="00157EF6" w:rsidP="00AA120F">
      <w:pPr>
        <w:pStyle w:val="a5"/>
        <w:ind w:leftChars="335" w:left="804"/>
        <w:jc w:val="both"/>
        <w:rPr>
          <w:rFonts w:eastAsia="標楷體"/>
          <w:szCs w:val="22"/>
        </w:rPr>
      </w:pPr>
      <w:r w:rsidRPr="00043A1E">
        <w:rPr>
          <w:rFonts w:eastAsia="標楷體"/>
          <w:szCs w:val="22"/>
        </w:rPr>
        <w:t>你一定要執著眼根能見，那就應常見，無論開眼、閉眼，光中、暗中，有境、無境，一切時、一切處，都能見。事實上並不如此，</w:t>
      </w:r>
      <w:r w:rsidRPr="00043A1E">
        <w:rPr>
          <w:rFonts w:eastAsia="標楷體"/>
          <w:b/>
          <w:szCs w:val="22"/>
        </w:rPr>
        <w:t>在「見」「未見」色的「時」候，「不名為見」，這就是眾緣和合而有見了。「而」還要說「見能見」，怎麼能合理呢？所以說「是事則不然」。</w:t>
      </w:r>
      <w:r w:rsidRPr="00043A1E">
        <w:rPr>
          <w:rFonts w:eastAsia="標楷體"/>
          <w:szCs w:val="22"/>
        </w:rPr>
        <w:t>（《楞嚴經》中主張眼根的見性常在，開眼見色，閉眼見闇，</w:t>
      </w:r>
      <w:r w:rsidR="009138B4" w:rsidRPr="00EB57EF">
        <w:rPr>
          <w:rFonts w:eastAsia="標楷體" w:hint="eastAsia"/>
          <w:color w:val="FF0000"/>
          <w:szCs w:val="22"/>
          <w:shd w:val="pct15" w:color="auto" w:fill="FFFFFF"/>
        </w:rPr>
        <w:t>*</w:t>
      </w:r>
      <w:r w:rsidRPr="00043A1E">
        <w:rPr>
          <w:rFonts w:eastAsia="標楷體"/>
          <w:szCs w:val="22"/>
        </w:rPr>
        <w:t>與中觀的見地不合。）</w:t>
      </w:r>
    </w:p>
    <w:p w:rsidR="009138B4" w:rsidRPr="009138B4" w:rsidRDefault="009138B4" w:rsidP="009138B4">
      <w:pPr>
        <w:pStyle w:val="a5"/>
        <w:ind w:leftChars="335" w:left="914" w:hangingChars="50" w:hanging="110"/>
        <w:jc w:val="both"/>
        <w:rPr>
          <w:color w:val="FF0000"/>
          <w:szCs w:val="22"/>
          <w:highlight w:val="yellow"/>
        </w:rPr>
      </w:pPr>
      <w:r w:rsidRPr="00EB57EF">
        <w:rPr>
          <w:rFonts w:hint="eastAsia"/>
          <w:color w:val="FF0000"/>
          <w:szCs w:val="22"/>
          <w:shd w:val="pct15" w:color="auto" w:fill="FFFFFF"/>
        </w:rPr>
        <w:t>*</w:t>
      </w:r>
      <w:r w:rsidRPr="009138B4">
        <w:rPr>
          <w:rFonts w:hint="eastAsia"/>
          <w:color w:val="FF0000"/>
          <w:szCs w:val="22"/>
          <w:highlight w:val="yellow"/>
        </w:rPr>
        <w:t>諸如《大佛頂如來密因修證了義諸菩薩萬行首楞嚴經》卷</w:t>
      </w:r>
      <w:r w:rsidRPr="009138B4">
        <w:rPr>
          <w:rFonts w:hint="eastAsia"/>
          <w:color w:val="FF0000"/>
          <w:szCs w:val="22"/>
          <w:highlight w:val="yellow"/>
        </w:rPr>
        <w:t>1</w:t>
      </w:r>
      <w:r>
        <w:rPr>
          <w:rFonts w:hint="eastAsia"/>
          <w:color w:val="FF0000"/>
          <w:szCs w:val="22"/>
          <w:highlight w:val="yellow"/>
        </w:rPr>
        <w:t>（大正</w:t>
      </w:r>
      <w:r w:rsidRPr="009138B4">
        <w:rPr>
          <w:rFonts w:hint="eastAsia"/>
          <w:color w:val="FF0000"/>
          <w:szCs w:val="22"/>
          <w:highlight w:val="yellow"/>
        </w:rPr>
        <w:t>19</w:t>
      </w:r>
      <w:r>
        <w:rPr>
          <w:rFonts w:hint="eastAsia"/>
          <w:color w:val="FF0000"/>
          <w:szCs w:val="22"/>
          <w:highlight w:val="yellow"/>
        </w:rPr>
        <w:t>，</w:t>
      </w:r>
      <w:r w:rsidRPr="009138B4">
        <w:rPr>
          <w:rFonts w:hint="eastAsia"/>
          <w:color w:val="FF0000"/>
          <w:szCs w:val="22"/>
          <w:highlight w:val="yellow"/>
        </w:rPr>
        <w:t>109a28</w:t>
      </w:r>
      <w:r>
        <w:rPr>
          <w:rFonts w:hint="eastAsia"/>
          <w:color w:val="FF0000"/>
          <w:szCs w:val="22"/>
          <w:highlight w:val="yellow"/>
        </w:rPr>
        <w:t xml:space="preserve"> </w:t>
      </w:r>
      <w:r w:rsidRPr="009138B4">
        <w:rPr>
          <w:rFonts w:hint="eastAsia"/>
          <w:color w:val="FF0000"/>
          <w:szCs w:val="22"/>
          <w:highlight w:val="yellow"/>
        </w:rPr>
        <w:t>-b27</w:t>
      </w:r>
      <w:r>
        <w:rPr>
          <w:rFonts w:hint="eastAsia"/>
          <w:color w:val="FF0000"/>
          <w:szCs w:val="22"/>
          <w:highlight w:val="yellow"/>
        </w:rPr>
        <w:t>）</w:t>
      </w:r>
      <w:r w:rsidRPr="009138B4">
        <w:rPr>
          <w:rFonts w:hint="eastAsia"/>
          <w:color w:val="FF0000"/>
          <w:szCs w:val="22"/>
          <w:highlight w:val="yellow"/>
        </w:rPr>
        <w:t>，卷</w:t>
      </w:r>
      <w:r w:rsidRPr="009138B4">
        <w:rPr>
          <w:rFonts w:hint="eastAsia"/>
          <w:color w:val="FF0000"/>
          <w:szCs w:val="22"/>
          <w:highlight w:val="yellow"/>
        </w:rPr>
        <w:t>2</w:t>
      </w:r>
      <w:r>
        <w:rPr>
          <w:rFonts w:hint="eastAsia"/>
          <w:color w:val="FF0000"/>
          <w:szCs w:val="22"/>
          <w:highlight w:val="yellow"/>
        </w:rPr>
        <w:t>（大正</w:t>
      </w:r>
      <w:r w:rsidRPr="009138B4">
        <w:rPr>
          <w:rFonts w:hint="eastAsia"/>
          <w:color w:val="FF0000"/>
          <w:szCs w:val="22"/>
          <w:highlight w:val="yellow"/>
        </w:rPr>
        <w:t>19</w:t>
      </w:r>
      <w:r>
        <w:rPr>
          <w:rFonts w:hint="eastAsia"/>
          <w:color w:val="FF0000"/>
          <w:szCs w:val="22"/>
          <w:highlight w:val="yellow"/>
        </w:rPr>
        <w:t>，</w:t>
      </w:r>
      <w:r w:rsidRPr="009138B4">
        <w:rPr>
          <w:rFonts w:hint="eastAsia"/>
          <w:color w:val="FF0000"/>
          <w:szCs w:val="22"/>
          <w:highlight w:val="yellow"/>
        </w:rPr>
        <w:t>112c11-113a21</w:t>
      </w:r>
      <w:r>
        <w:rPr>
          <w:rFonts w:hint="eastAsia"/>
          <w:color w:val="FF0000"/>
          <w:szCs w:val="22"/>
          <w:highlight w:val="yellow"/>
        </w:rPr>
        <w:t>）</w:t>
      </w:r>
      <w:r w:rsidRPr="009138B4">
        <w:rPr>
          <w:rFonts w:hint="eastAsia"/>
          <w:color w:val="FF0000"/>
          <w:szCs w:val="22"/>
          <w:highlight w:val="yellow"/>
        </w:rPr>
        <w:t>，卷</w:t>
      </w:r>
      <w:r w:rsidRPr="009138B4">
        <w:rPr>
          <w:rFonts w:hint="eastAsia"/>
          <w:color w:val="FF0000"/>
          <w:szCs w:val="22"/>
          <w:highlight w:val="yellow"/>
        </w:rPr>
        <w:t>3</w:t>
      </w:r>
      <w:r>
        <w:rPr>
          <w:rFonts w:hint="eastAsia"/>
          <w:color w:val="FF0000"/>
          <w:szCs w:val="22"/>
          <w:highlight w:val="yellow"/>
        </w:rPr>
        <w:t>（大正</w:t>
      </w:r>
      <w:r w:rsidRPr="009138B4">
        <w:rPr>
          <w:rFonts w:hint="eastAsia"/>
          <w:color w:val="FF0000"/>
          <w:szCs w:val="22"/>
          <w:highlight w:val="yellow"/>
        </w:rPr>
        <w:t>19</w:t>
      </w:r>
      <w:r>
        <w:rPr>
          <w:rFonts w:hint="eastAsia"/>
          <w:color w:val="FF0000"/>
          <w:szCs w:val="22"/>
          <w:highlight w:val="yellow"/>
        </w:rPr>
        <w:t>，</w:t>
      </w:r>
      <w:r w:rsidRPr="009138B4">
        <w:rPr>
          <w:color w:val="FF0000"/>
          <w:szCs w:val="22"/>
          <w:highlight w:val="yellow"/>
        </w:rPr>
        <w:t>114c21-115a1</w:t>
      </w:r>
      <w:r>
        <w:rPr>
          <w:rFonts w:hint="eastAsia"/>
          <w:color w:val="FF0000"/>
          <w:szCs w:val="22"/>
          <w:highlight w:val="yellow"/>
        </w:rPr>
        <w:t>）</w:t>
      </w:r>
      <w:r w:rsidRPr="009138B4">
        <w:rPr>
          <w:rFonts w:hint="eastAsia"/>
          <w:color w:val="FF0000"/>
          <w:szCs w:val="22"/>
          <w:highlight w:val="yellow"/>
        </w:rPr>
        <w:t>。</w:t>
      </w:r>
    </w:p>
  </w:footnote>
  <w:footnote w:id="720">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《阿毘達磨品類足論》卷</w:t>
      </w:r>
      <w:r w:rsidRPr="00761EF3">
        <w:rPr>
          <w:szCs w:val="22"/>
        </w:rPr>
        <w:t>10</w:t>
      </w:r>
      <w:r w:rsidRPr="00043A1E">
        <w:rPr>
          <w:szCs w:val="22"/>
        </w:rPr>
        <w:t>～卷</w:t>
      </w:r>
      <w:r w:rsidRPr="00761EF3">
        <w:rPr>
          <w:szCs w:val="22"/>
        </w:rPr>
        <w:t>17</w:t>
      </w:r>
      <w:r w:rsidRPr="00043A1E">
        <w:rPr>
          <w:szCs w:val="22"/>
        </w:rPr>
        <w:t>〈</w:t>
      </w:r>
      <w:r w:rsidRPr="00761EF3">
        <w:rPr>
          <w:rFonts w:hint="eastAsia"/>
          <w:szCs w:val="22"/>
        </w:rPr>
        <w:t>7</w:t>
      </w:r>
      <w:r w:rsidRPr="00043A1E">
        <w:rPr>
          <w:szCs w:val="22"/>
        </w:rPr>
        <w:t xml:space="preserve"> </w:t>
      </w:r>
      <w:r w:rsidRPr="00043A1E">
        <w:rPr>
          <w:szCs w:val="22"/>
        </w:rPr>
        <w:t>辯千問品〉（大正</w:t>
      </w:r>
      <w:r w:rsidRPr="00761EF3">
        <w:rPr>
          <w:szCs w:val="22"/>
        </w:rPr>
        <w:t>26</w:t>
      </w:r>
      <w:r w:rsidRPr="00043A1E">
        <w:rPr>
          <w:szCs w:val="22"/>
        </w:rPr>
        <w:t>，</w:t>
      </w:r>
      <w:r w:rsidRPr="00761EF3">
        <w:rPr>
          <w:szCs w:val="22"/>
        </w:rPr>
        <w:t>733a17</w:t>
      </w:r>
      <w:r w:rsidRPr="00043A1E">
        <w:rPr>
          <w:szCs w:val="22"/>
        </w:rPr>
        <w:t>-</w:t>
      </w:r>
      <w:r w:rsidRPr="00761EF3">
        <w:rPr>
          <w:szCs w:val="22"/>
        </w:rPr>
        <w:t>765c25</w:t>
      </w:r>
      <w:r w:rsidRPr="00043A1E">
        <w:rPr>
          <w:szCs w:val="22"/>
        </w:rPr>
        <w:t>）。</w:t>
      </w:r>
    </w:p>
  </w:footnote>
  <w:footnote w:id="721">
    <w:p w:rsidR="00157EF6" w:rsidRPr="00043A1E" w:rsidRDefault="00157EF6" w:rsidP="00AA120F">
      <w:pPr>
        <w:pStyle w:val="a5"/>
        <w:spacing w:line="300" w:lineRule="exact"/>
        <w:ind w:left="253" w:hangingChars="115" w:hanging="253"/>
        <w:jc w:val="both"/>
        <w:rPr>
          <w:szCs w:val="22"/>
        </w:rPr>
      </w:pPr>
      <w:r w:rsidRPr="00043A1E">
        <w:rPr>
          <w:rStyle w:val="a6"/>
          <w:szCs w:val="22"/>
        </w:rPr>
        <w:footnoteRef/>
      </w:r>
      <w:r w:rsidRPr="00043A1E">
        <w:rPr>
          <w:szCs w:val="22"/>
        </w:rPr>
        <w:t xml:space="preserve"> </w:t>
      </w:r>
      <w:r w:rsidRPr="00043A1E">
        <w:rPr>
          <w:szCs w:val="22"/>
        </w:rPr>
        <w:t>概括：</w:t>
      </w:r>
      <w:r w:rsidRPr="00761EF3">
        <w:rPr>
          <w:szCs w:val="22"/>
        </w:rPr>
        <w:t>1</w:t>
      </w:r>
      <w:r w:rsidRPr="00043A1E">
        <w:rPr>
          <w:szCs w:val="22"/>
        </w:rPr>
        <w:t>.</w:t>
      </w:r>
      <w:r w:rsidRPr="00043A1E">
        <w:rPr>
          <w:szCs w:val="22"/>
        </w:rPr>
        <w:t>歸納，總括。（《漢語大詞典》（四）</w:t>
      </w:r>
      <w:r w:rsidRPr="00043A1E">
        <w:rPr>
          <w:rFonts w:hint="eastAsia"/>
          <w:szCs w:val="22"/>
        </w:rPr>
        <w:t>，</w:t>
      </w:r>
      <w:r w:rsidRPr="00761EF3">
        <w:rPr>
          <w:szCs w:val="22"/>
        </w:rPr>
        <w:t>p</w:t>
      </w:r>
      <w:r w:rsidRPr="00043A1E">
        <w:rPr>
          <w:szCs w:val="22"/>
        </w:rPr>
        <w:t>.</w:t>
      </w:r>
      <w:r w:rsidRPr="00761EF3">
        <w:rPr>
          <w:szCs w:val="22"/>
        </w:rPr>
        <w:t>1197</w:t>
      </w:r>
      <w:r w:rsidRPr="00043A1E">
        <w:rPr>
          <w:szCs w:val="22"/>
        </w:rPr>
        <w:t>）</w:t>
      </w:r>
    </w:p>
  </w:footnote>
  <w:footnote w:id="722">
    <w:p w:rsidR="00157EF6" w:rsidRPr="00043A1E" w:rsidRDefault="00157EF6" w:rsidP="00AA120F">
      <w:pPr>
        <w:pStyle w:val="a5"/>
        <w:spacing w:line="300" w:lineRule="exac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《大智度論》卷</w:t>
      </w:r>
      <w:r w:rsidRPr="00761EF3">
        <w:rPr>
          <w:szCs w:val="22"/>
        </w:rPr>
        <w:t>51</w:t>
      </w:r>
      <w:r w:rsidR="00EB671A">
        <w:rPr>
          <w:rFonts w:hint="eastAsia"/>
          <w:color w:val="FF0000"/>
          <w:szCs w:val="22"/>
          <w:highlight w:val="yellow"/>
        </w:rPr>
        <w:t>釋</w:t>
      </w:r>
      <w:r w:rsidR="00EB671A" w:rsidRPr="00EB671A">
        <w:rPr>
          <w:rFonts w:hint="eastAsia"/>
          <w:color w:val="FF0000"/>
          <w:szCs w:val="22"/>
          <w:highlight w:val="yellow"/>
        </w:rPr>
        <w:t>〈</w:t>
      </w:r>
      <w:r w:rsidR="00EB671A" w:rsidRPr="00EB671A">
        <w:rPr>
          <w:rFonts w:hint="eastAsia"/>
          <w:color w:val="FF0000"/>
          <w:szCs w:val="22"/>
          <w:highlight w:val="yellow"/>
        </w:rPr>
        <w:t xml:space="preserve">23 </w:t>
      </w:r>
      <w:r w:rsidR="00EB671A" w:rsidRPr="00EB671A">
        <w:rPr>
          <w:rFonts w:hint="eastAsia"/>
          <w:color w:val="FF0000"/>
          <w:szCs w:val="22"/>
          <w:highlight w:val="yellow"/>
        </w:rPr>
        <w:t>含受品〉</w:t>
      </w:r>
      <w:r w:rsidRPr="00043A1E">
        <w:rPr>
          <w:szCs w:val="22"/>
        </w:rPr>
        <w:t>（大正</w:t>
      </w:r>
      <w:r w:rsidRPr="00761EF3">
        <w:rPr>
          <w:szCs w:val="22"/>
        </w:rPr>
        <w:t>25</w:t>
      </w:r>
      <w:r w:rsidRPr="00043A1E">
        <w:rPr>
          <w:szCs w:val="22"/>
        </w:rPr>
        <w:t>，</w:t>
      </w:r>
      <w:r w:rsidRPr="00761EF3">
        <w:rPr>
          <w:szCs w:val="22"/>
        </w:rPr>
        <w:t>428a18</w:t>
      </w:r>
      <w:r w:rsidRPr="00043A1E">
        <w:rPr>
          <w:szCs w:val="22"/>
        </w:rPr>
        <w:t>-</w:t>
      </w:r>
      <w:r w:rsidRPr="00761EF3">
        <w:rPr>
          <w:szCs w:val="22"/>
        </w:rPr>
        <w:t>23</w:t>
      </w:r>
      <w:r w:rsidRPr="00043A1E">
        <w:rPr>
          <w:szCs w:val="22"/>
        </w:rPr>
        <w:t>）：</w:t>
      </w:r>
    </w:p>
    <w:p w:rsidR="00157EF6" w:rsidRPr="00043A1E" w:rsidRDefault="00157EF6" w:rsidP="00AA120F">
      <w:pPr>
        <w:pStyle w:val="a5"/>
        <w:spacing w:line="300" w:lineRule="exact"/>
        <w:ind w:leftChars="105" w:left="252"/>
        <w:jc w:val="both"/>
        <w:rPr>
          <w:rFonts w:eastAsia="標楷體"/>
          <w:szCs w:val="22"/>
        </w:rPr>
      </w:pPr>
      <w:r w:rsidRPr="00043A1E">
        <w:rPr>
          <w:rFonts w:eastAsia="標楷體"/>
          <w:szCs w:val="22"/>
        </w:rPr>
        <w:t>如諸佛觀色相畢竟清淨空，菩薩亦應如是觀。</w:t>
      </w:r>
      <w:r w:rsidR="003F5A24">
        <w:rPr>
          <w:rFonts w:ascii="標楷體" w:eastAsia="標楷體" w:hAnsi="標楷體" w:hint="eastAsia"/>
          <w:bCs/>
          <w:color w:val="FF0000"/>
          <w:kern w:val="0"/>
          <w:highlight w:val="yellow"/>
        </w:rPr>
        <w:t>「</w:t>
      </w:r>
      <w:r w:rsidRPr="00043A1E">
        <w:rPr>
          <w:rFonts w:eastAsia="標楷體"/>
          <w:szCs w:val="22"/>
        </w:rPr>
        <w:t>色</w:t>
      </w:r>
      <w:r w:rsidR="003F5A24" w:rsidRPr="003F5A24">
        <w:rPr>
          <w:rFonts w:ascii="標楷體" w:eastAsia="標楷體" w:hAnsi="標楷體" w:hint="eastAsia"/>
          <w:szCs w:val="22"/>
        </w:rPr>
        <w:t>眼</w:t>
      </w:r>
      <w:r w:rsidR="003F5A24" w:rsidRPr="003F5A24">
        <w:rPr>
          <w:rFonts w:hint="eastAsia"/>
          <w:color w:val="FF0000"/>
          <w:szCs w:val="22"/>
          <w:highlight w:val="yellow"/>
          <w:vertAlign w:val="superscript"/>
        </w:rPr>
        <w:t>[1]</w:t>
      </w:r>
      <w:r w:rsidRPr="00043A1E">
        <w:rPr>
          <w:rFonts w:eastAsia="標楷體"/>
          <w:szCs w:val="22"/>
        </w:rPr>
        <w:t>法</w:t>
      </w:r>
      <w:r w:rsidR="003F5A24">
        <w:rPr>
          <w:rFonts w:ascii="標楷體" w:eastAsia="標楷體" w:hAnsi="標楷體" w:hint="eastAsia"/>
          <w:bCs/>
          <w:color w:val="FF0000"/>
          <w:kern w:val="0"/>
          <w:highlight w:val="yellow"/>
        </w:rPr>
        <w:t>」</w:t>
      </w:r>
      <w:r w:rsidRPr="00043A1E">
        <w:rPr>
          <w:rFonts w:eastAsia="標楷體"/>
          <w:szCs w:val="22"/>
        </w:rPr>
        <w:t>、</w:t>
      </w:r>
      <w:r w:rsidR="003F5A24">
        <w:rPr>
          <w:rFonts w:ascii="標楷體" w:eastAsia="標楷體" w:hAnsi="標楷體" w:hint="eastAsia"/>
          <w:bCs/>
          <w:color w:val="FF0000"/>
          <w:kern w:val="0"/>
          <w:highlight w:val="yellow"/>
        </w:rPr>
        <w:t>「</w:t>
      </w:r>
      <w:r w:rsidRPr="00043A1E">
        <w:rPr>
          <w:rFonts w:eastAsia="標楷體"/>
          <w:szCs w:val="22"/>
        </w:rPr>
        <w:t>色如</w:t>
      </w:r>
      <w:r w:rsidR="003F5A24">
        <w:rPr>
          <w:rFonts w:ascii="標楷體" w:eastAsia="標楷體" w:hAnsi="標楷體" w:hint="eastAsia"/>
          <w:bCs/>
          <w:color w:val="FF0000"/>
          <w:kern w:val="0"/>
          <w:highlight w:val="yellow"/>
        </w:rPr>
        <w:t>」</w:t>
      </w:r>
      <w:r w:rsidRPr="00043A1E">
        <w:rPr>
          <w:rFonts w:eastAsia="標楷體"/>
          <w:szCs w:val="22"/>
        </w:rPr>
        <w:t>，何因緣不如凡夫人所見？性自爾故！</w:t>
      </w:r>
    </w:p>
    <w:p w:rsidR="00157EF6" w:rsidRDefault="00157EF6" w:rsidP="00AA120F">
      <w:pPr>
        <w:pStyle w:val="a5"/>
        <w:spacing w:line="300" w:lineRule="exact"/>
        <w:ind w:leftChars="105" w:left="252"/>
        <w:jc w:val="both"/>
        <w:rPr>
          <w:rFonts w:eastAsia="標楷體"/>
          <w:szCs w:val="22"/>
        </w:rPr>
      </w:pPr>
      <w:r w:rsidRPr="00043A1E">
        <w:rPr>
          <w:rFonts w:eastAsia="標楷體"/>
          <w:b/>
          <w:szCs w:val="22"/>
        </w:rPr>
        <w:t>此</w:t>
      </w:r>
      <w:r w:rsidR="003F5A24">
        <w:rPr>
          <w:rFonts w:ascii="標楷體" w:eastAsia="標楷體" w:hAnsi="標楷體" w:hint="eastAsia"/>
          <w:bCs/>
          <w:color w:val="FF0000"/>
          <w:kern w:val="0"/>
          <w:highlight w:val="yellow"/>
        </w:rPr>
        <w:t>「</w:t>
      </w:r>
      <w:r w:rsidRPr="00043A1E">
        <w:rPr>
          <w:rFonts w:eastAsia="標楷體"/>
          <w:b/>
          <w:szCs w:val="22"/>
        </w:rPr>
        <w:t>性</w:t>
      </w:r>
      <w:r w:rsidR="003F5A24">
        <w:rPr>
          <w:rFonts w:ascii="標楷體" w:eastAsia="標楷體" w:hAnsi="標楷體" w:hint="eastAsia"/>
          <w:bCs/>
          <w:color w:val="FF0000"/>
          <w:kern w:val="0"/>
          <w:highlight w:val="yellow"/>
        </w:rPr>
        <w:t>」</w:t>
      </w:r>
      <w:r w:rsidRPr="00043A1E">
        <w:rPr>
          <w:rFonts w:eastAsia="標楷體"/>
          <w:b/>
          <w:szCs w:val="22"/>
        </w:rPr>
        <w:t>深妙，云何可知？以</w:t>
      </w:r>
      <w:r w:rsidR="003F5A24">
        <w:rPr>
          <w:rFonts w:ascii="標楷體" w:eastAsia="標楷體" w:hAnsi="標楷體" w:hint="eastAsia"/>
          <w:bCs/>
          <w:color w:val="FF0000"/>
          <w:kern w:val="0"/>
          <w:highlight w:val="yellow"/>
        </w:rPr>
        <w:t>「</w:t>
      </w:r>
      <w:r w:rsidRPr="00043A1E">
        <w:rPr>
          <w:rFonts w:eastAsia="標楷體"/>
          <w:b/>
          <w:szCs w:val="22"/>
        </w:rPr>
        <w:t>色相</w:t>
      </w:r>
      <w:r w:rsidR="003F5A24">
        <w:rPr>
          <w:rFonts w:ascii="標楷體" w:eastAsia="標楷體" w:hAnsi="標楷體" w:hint="eastAsia"/>
          <w:bCs/>
          <w:color w:val="FF0000"/>
          <w:kern w:val="0"/>
          <w:highlight w:val="yellow"/>
        </w:rPr>
        <w:t>」</w:t>
      </w:r>
      <w:r w:rsidRPr="00043A1E">
        <w:rPr>
          <w:rFonts w:eastAsia="標楷體"/>
          <w:b/>
          <w:szCs w:val="22"/>
        </w:rPr>
        <w:t>力故可知</w:t>
      </w:r>
      <w:r w:rsidRPr="00043A1E">
        <w:rPr>
          <w:rFonts w:eastAsia="標楷體"/>
          <w:szCs w:val="22"/>
        </w:rPr>
        <w:t>。如火以煙為相，見煙則知有火；見今眼色</w:t>
      </w:r>
      <w:r w:rsidR="003F5A24">
        <w:rPr>
          <w:rFonts w:ascii="標楷體" w:eastAsia="標楷體" w:hAnsi="標楷體" w:hint="eastAsia"/>
          <w:bCs/>
          <w:color w:val="FF0000"/>
          <w:kern w:val="0"/>
          <w:highlight w:val="yellow"/>
        </w:rPr>
        <w:t>「</w:t>
      </w:r>
      <w:r w:rsidR="003F5A24">
        <w:rPr>
          <w:rFonts w:ascii="標楷體" w:eastAsia="標楷體" w:hAnsi="標楷體" w:hint="eastAsia"/>
          <w:color w:val="FF0000"/>
          <w:kern w:val="0"/>
          <w:highlight w:val="yellow"/>
        </w:rPr>
        <w:t>『</w:t>
      </w:r>
      <w:r w:rsidRPr="00043A1E">
        <w:rPr>
          <w:rFonts w:eastAsia="標楷體"/>
          <w:szCs w:val="22"/>
        </w:rPr>
        <w:t>無常</w:t>
      </w:r>
      <w:r w:rsidRPr="00043A1E">
        <w:rPr>
          <w:rFonts w:eastAsia="標楷體" w:hint="eastAsia"/>
          <w:szCs w:val="22"/>
        </w:rPr>
        <w:t>、</w:t>
      </w:r>
      <w:r w:rsidRPr="00043A1E">
        <w:rPr>
          <w:rFonts w:eastAsia="標楷體"/>
          <w:szCs w:val="22"/>
        </w:rPr>
        <w:t>破壞、苦惱、粗澀</w:t>
      </w:r>
      <w:r w:rsidR="003F5A24">
        <w:rPr>
          <w:rFonts w:ascii="標楷體" w:eastAsia="標楷體" w:hAnsi="標楷體" w:hint="eastAsia"/>
          <w:color w:val="FF0000"/>
          <w:kern w:val="0"/>
          <w:highlight w:val="yellow"/>
        </w:rPr>
        <w:t>』</w:t>
      </w:r>
      <w:r w:rsidRPr="00043A1E">
        <w:rPr>
          <w:rFonts w:eastAsia="標楷體"/>
          <w:szCs w:val="22"/>
        </w:rPr>
        <w:t>相</w:t>
      </w:r>
      <w:r w:rsidR="003F5A24">
        <w:rPr>
          <w:rFonts w:ascii="標楷體" w:eastAsia="標楷體" w:hAnsi="標楷體" w:hint="eastAsia"/>
          <w:bCs/>
          <w:color w:val="FF0000"/>
          <w:kern w:val="0"/>
          <w:highlight w:val="yellow"/>
        </w:rPr>
        <w:t>」</w:t>
      </w:r>
      <w:r w:rsidRPr="00043A1E">
        <w:rPr>
          <w:rFonts w:eastAsia="標楷體"/>
          <w:szCs w:val="22"/>
        </w:rPr>
        <w:t>，知其</w:t>
      </w:r>
      <w:r w:rsidR="003F5A24">
        <w:rPr>
          <w:rFonts w:ascii="標楷體" w:eastAsia="標楷體" w:hAnsi="標楷體" w:hint="eastAsia"/>
          <w:bCs/>
          <w:color w:val="FF0000"/>
          <w:kern w:val="0"/>
          <w:highlight w:val="yellow"/>
        </w:rPr>
        <w:t>「</w:t>
      </w:r>
      <w:r w:rsidRPr="00043A1E">
        <w:rPr>
          <w:rFonts w:eastAsia="標楷體"/>
          <w:szCs w:val="22"/>
        </w:rPr>
        <w:t>性</w:t>
      </w:r>
      <w:r w:rsidR="003F5A24">
        <w:rPr>
          <w:rFonts w:ascii="標楷體" w:eastAsia="標楷體" w:hAnsi="標楷體" w:hint="eastAsia"/>
          <w:bCs/>
          <w:color w:val="FF0000"/>
          <w:kern w:val="0"/>
          <w:highlight w:val="yellow"/>
        </w:rPr>
        <w:t>」</w:t>
      </w:r>
      <w:r w:rsidRPr="00043A1E">
        <w:rPr>
          <w:rFonts w:eastAsia="標楷體"/>
          <w:szCs w:val="22"/>
        </w:rPr>
        <w:t>爾。</w:t>
      </w:r>
    </w:p>
    <w:p w:rsidR="003F5A24" w:rsidRPr="003F5A24" w:rsidRDefault="003F5A24" w:rsidP="003F5A24">
      <w:pPr>
        <w:pStyle w:val="a5"/>
        <w:spacing w:line="300" w:lineRule="exact"/>
        <w:ind w:leftChars="105" w:left="252"/>
        <w:jc w:val="both"/>
        <w:rPr>
          <w:color w:val="FF0000"/>
          <w:szCs w:val="22"/>
          <w:highlight w:val="yellow"/>
        </w:rPr>
      </w:pPr>
      <w:r w:rsidRPr="003F5A24">
        <w:rPr>
          <w:rFonts w:hint="eastAsia"/>
          <w:color w:val="FF0000"/>
          <w:szCs w:val="22"/>
          <w:highlight w:val="yellow"/>
        </w:rPr>
        <w:t>[1]</w:t>
      </w:r>
      <w:r w:rsidRPr="003F5A24">
        <w:rPr>
          <w:rFonts w:hint="eastAsia"/>
          <w:color w:val="FF0000"/>
          <w:szCs w:val="22"/>
          <w:highlight w:val="yellow"/>
        </w:rPr>
        <w:t>〔眼〕－【宋】【元】【明】【宮】【聖】【石】。</w:t>
      </w:r>
      <w:r w:rsidRPr="003F5A24">
        <w:rPr>
          <w:color w:val="FF0000"/>
          <w:szCs w:val="22"/>
          <w:highlight w:val="yellow"/>
        </w:rPr>
        <w:t>（大正</w:t>
      </w:r>
      <w:r w:rsidRPr="003F5A24">
        <w:rPr>
          <w:color w:val="FF0000"/>
          <w:szCs w:val="22"/>
          <w:highlight w:val="yellow"/>
        </w:rPr>
        <w:t>25</w:t>
      </w:r>
      <w:r w:rsidRPr="003F5A24">
        <w:rPr>
          <w:color w:val="FF0000"/>
          <w:szCs w:val="22"/>
          <w:highlight w:val="yellow"/>
        </w:rPr>
        <w:t>，</w:t>
      </w:r>
      <w:r w:rsidRPr="003F5A24">
        <w:rPr>
          <w:color w:val="FF0000"/>
          <w:szCs w:val="22"/>
          <w:highlight w:val="yellow"/>
        </w:rPr>
        <w:t>428</w:t>
      </w:r>
      <w:r w:rsidRPr="003F5A24">
        <w:rPr>
          <w:rFonts w:hint="eastAsia"/>
          <w:color w:val="FF0000"/>
          <w:szCs w:val="22"/>
          <w:highlight w:val="yellow"/>
        </w:rPr>
        <w:t>d</w:t>
      </w:r>
      <w:r w:rsidRPr="003F5A24">
        <w:rPr>
          <w:rFonts w:hint="eastAsia"/>
          <w:color w:val="FF0000"/>
          <w:szCs w:val="22"/>
          <w:highlight w:val="yellow"/>
        </w:rPr>
        <w:t>，</w:t>
      </w:r>
      <w:r w:rsidRPr="003F5A24">
        <w:rPr>
          <w:rFonts w:hint="eastAsia"/>
          <w:color w:val="FF0000"/>
          <w:szCs w:val="22"/>
          <w:highlight w:val="yellow"/>
        </w:rPr>
        <w:t>n.1</w:t>
      </w:r>
      <w:r w:rsidRPr="003F5A24">
        <w:rPr>
          <w:color w:val="FF0000"/>
          <w:szCs w:val="22"/>
          <w:highlight w:val="yellow"/>
        </w:rPr>
        <w:t>）</w:t>
      </w:r>
    </w:p>
  </w:footnote>
  <w:footnote w:id="723">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角（</w:t>
      </w:r>
      <w:r w:rsidRPr="00043A1E">
        <w:rPr>
          <w:rFonts w:eastAsia="標楷體"/>
          <w:szCs w:val="22"/>
        </w:rPr>
        <w:t>ㄐㄩㄝ</w:t>
      </w:r>
      <w:r w:rsidRPr="00043A1E">
        <w:rPr>
          <w:rFonts w:ascii="標楷體" w:eastAsia="標楷體" w:hAnsi="標楷體"/>
          <w:szCs w:val="22"/>
        </w:rPr>
        <w:t>ˊ</w:t>
      </w:r>
      <w:r w:rsidRPr="00043A1E">
        <w:rPr>
          <w:szCs w:val="22"/>
        </w:rPr>
        <w:t>）：</w:t>
      </w:r>
      <w:r w:rsidRPr="00761EF3">
        <w:rPr>
          <w:szCs w:val="22"/>
        </w:rPr>
        <w:t>5</w:t>
      </w:r>
      <w:r w:rsidRPr="00043A1E">
        <w:rPr>
          <w:szCs w:val="22"/>
        </w:rPr>
        <w:t>.</w:t>
      </w:r>
      <w:r w:rsidRPr="00043A1E">
        <w:rPr>
          <w:szCs w:val="22"/>
        </w:rPr>
        <w:t>角色，人物。</w:t>
      </w:r>
      <w:r w:rsidRPr="00761EF3">
        <w:rPr>
          <w:szCs w:val="22"/>
        </w:rPr>
        <w:t>6</w:t>
      </w:r>
      <w:r w:rsidRPr="00043A1E">
        <w:rPr>
          <w:szCs w:val="22"/>
        </w:rPr>
        <w:t>.</w:t>
      </w:r>
      <w:r w:rsidRPr="00043A1E">
        <w:rPr>
          <w:szCs w:val="22"/>
        </w:rPr>
        <w:t>我國戲曲演員專業分工的類別，主要根據角色類型劃分，如京劇有生、旦、淨、丑四大角。（《漢語大詞典》（十）</w:t>
      </w:r>
      <w:r w:rsidRPr="00043A1E">
        <w:rPr>
          <w:rFonts w:hint="eastAsia"/>
          <w:szCs w:val="22"/>
        </w:rPr>
        <w:t>，</w:t>
      </w:r>
      <w:r w:rsidRPr="00761EF3">
        <w:rPr>
          <w:szCs w:val="22"/>
        </w:rPr>
        <w:t>p</w:t>
      </w:r>
      <w:r w:rsidRPr="00043A1E">
        <w:rPr>
          <w:szCs w:val="22"/>
        </w:rPr>
        <w:t>.</w:t>
      </w:r>
      <w:r w:rsidRPr="00761EF3">
        <w:rPr>
          <w:szCs w:val="22"/>
        </w:rPr>
        <w:t>1346</w:t>
      </w:r>
      <w:r w:rsidRPr="00043A1E">
        <w:rPr>
          <w:szCs w:val="22"/>
        </w:rPr>
        <w:t>）</w:t>
      </w:r>
    </w:p>
  </w:footnote>
  <w:footnote w:id="724">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臉譜：</w:t>
      </w:r>
      <w:r w:rsidRPr="00761EF3">
        <w:rPr>
          <w:szCs w:val="22"/>
        </w:rPr>
        <w:t>1</w:t>
      </w:r>
      <w:r w:rsidRPr="00043A1E">
        <w:rPr>
          <w:szCs w:val="22"/>
        </w:rPr>
        <w:t>.</w:t>
      </w:r>
      <w:r w:rsidRPr="00043A1E">
        <w:rPr>
          <w:szCs w:val="22"/>
        </w:rPr>
        <w:t>傳統戲曲演員面部化裝的一種程式。在面部勾畫一定的彩色圖案，以顯示劇中人物的性格和特徵。主要用於淨角和丑角。（《漢語大詞典》（六）</w:t>
      </w:r>
      <w:r w:rsidRPr="00043A1E">
        <w:rPr>
          <w:rFonts w:hint="eastAsia"/>
          <w:szCs w:val="22"/>
        </w:rPr>
        <w:t>，</w:t>
      </w:r>
      <w:r w:rsidRPr="00761EF3">
        <w:rPr>
          <w:szCs w:val="22"/>
        </w:rPr>
        <w:t>p</w:t>
      </w:r>
      <w:r w:rsidRPr="00043A1E">
        <w:rPr>
          <w:szCs w:val="22"/>
        </w:rPr>
        <w:t>.</w:t>
      </w:r>
      <w:r w:rsidRPr="00761EF3">
        <w:rPr>
          <w:szCs w:val="22"/>
        </w:rPr>
        <w:t>1387</w:t>
      </w:r>
      <w:r w:rsidRPr="00043A1E">
        <w:rPr>
          <w:szCs w:val="22"/>
        </w:rPr>
        <w:t>）</w:t>
      </w:r>
    </w:p>
  </w:footnote>
  <w:footnote w:id="725">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szCs w:val="22"/>
        </w:rPr>
        <w:t>）《中論》卷</w:t>
      </w:r>
      <w:r w:rsidRPr="00761EF3">
        <w:rPr>
          <w:szCs w:val="22"/>
        </w:rPr>
        <w:t>1</w:t>
      </w:r>
      <w:r w:rsidRPr="00043A1E">
        <w:rPr>
          <w:szCs w:val="22"/>
        </w:rPr>
        <w:t>〈</w:t>
      </w:r>
      <w:r w:rsidRPr="00761EF3">
        <w:rPr>
          <w:szCs w:val="22"/>
        </w:rPr>
        <w:t>5</w:t>
      </w:r>
      <w:r w:rsidRPr="00043A1E">
        <w:rPr>
          <w:szCs w:val="22"/>
        </w:rPr>
        <w:t xml:space="preserve"> </w:t>
      </w:r>
      <w:r w:rsidRPr="00043A1E">
        <w:rPr>
          <w:szCs w:val="22"/>
        </w:rPr>
        <w:t>觀六種品〉（大正</w:t>
      </w:r>
      <w:r w:rsidRPr="00761EF3">
        <w:rPr>
          <w:szCs w:val="22"/>
        </w:rPr>
        <w:t>30</w:t>
      </w:r>
      <w:r w:rsidRPr="00043A1E">
        <w:rPr>
          <w:szCs w:val="22"/>
        </w:rPr>
        <w:t>，</w:t>
      </w:r>
      <w:r w:rsidRPr="00761EF3">
        <w:rPr>
          <w:szCs w:val="22"/>
        </w:rPr>
        <w:t>7b</w:t>
      </w:r>
      <w:r w:rsidRPr="00761EF3">
        <w:rPr>
          <w:rFonts w:hint="eastAsia"/>
          <w:szCs w:val="22"/>
        </w:rPr>
        <w:t>15</w:t>
      </w:r>
      <w:r w:rsidRPr="00043A1E">
        <w:rPr>
          <w:szCs w:val="22"/>
        </w:rPr>
        <w:t>-</w:t>
      </w:r>
      <w:r w:rsidRPr="00761EF3">
        <w:rPr>
          <w:szCs w:val="22"/>
        </w:rPr>
        <w:t>16</w:t>
      </w:r>
      <w:r w:rsidRPr="00043A1E">
        <w:rPr>
          <w:szCs w:val="22"/>
        </w:rPr>
        <w:t>）：</w:t>
      </w:r>
    </w:p>
    <w:p w:rsidR="00157EF6" w:rsidRPr="00043A1E" w:rsidRDefault="00157EF6" w:rsidP="00AA120F">
      <w:pPr>
        <w:pStyle w:val="a5"/>
        <w:ind w:leftChars="335" w:left="804"/>
        <w:jc w:val="both"/>
        <w:rPr>
          <w:szCs w:val="22"/>
        </w:rPr>
      </w:pPr>
      <w:r w:rsidRPr="00043A1E">
        <w:rPr>
          <w:rFonts w:eastAsia="標楷體"/>
          <w:b/>
          <w:szCs w:val="22"/>
        </w:rPr>
        <w:t>是無相之法，一切處無有</w:t>
      </w:r>
      <w:r w:rsidR="008F071E">
        <w:rPr>
          <w:rFonts w:ascii="標楷體" w:eastAsia="標楷體" w:hAnsi="標楷體" w:hint="eastAsia"/>
          <w:color w:val="FF0000"/>
          <w:spacing w:val="-4"/>
          <w:kern w:val="0"/>
          <w:highlight w:val="yellow"/>
        </w:rPr>
        <w:t>；</w:t>
      </w:r>
      <w:r w:rsidRPr="00043A1E">
        <w:rPr>
          <w:rFonts w:eastAsia="標楷體"/>
          <w:szCs w:val="22"/>
        </w:rPr>
        <w:t>於無相法中，相則無所相。</w:t>
      </w:r>
    </w:p>
    <w:p w:rsidR="00157EF6" w:rsidRPr="00043A1E" w:rsidRDefault="00157EF6" w:rsidP="00AA120F">
      <w:pPr>
        <w:pStyle w:val="a5"/>
        <w:ind w:leftChars="105" w:left="791" w:hangingChars="245" w:hanging="539"/>
        <w:jc w:val="both"/>
        <w:rPr>
          <w:rFonts w:eastAsia="標楷體"/>
          <w:szCs w:val="22"/>
        </w:rPr>
      </w:pPr>
      <w:r w:rsidRPr="00043A1E">
        <w:rPr>
          <w:szCs w:val="22"/>
        </w:rPr>
        <w:t>（</w:t>
      </w:r>
      <w:r w:rsidRPr="00761EF3">
        <w:rPr>
          <w:szCs w:val="22"/>
        </w:rPr>
        <w:t>2</w:t>
      </w:r>
      <w:r w:rsidRPr="00043A1E">
        <w:rPr>
          <w:szCs w:val="22"/>
        </w:rPr>
        <w:t>）</w:t>
      </w:r>
      <w:r w:rsidR="009160B5">
        <w:rPr>
          <w:rFonts w:hint="eastAsia"/>
          <w:szCs w:val="22"/>
        </w:rPr>
        <w:t>參見：印</w:t>
      </w:r>
      <w:r w:rsidRPr="00043A1E">
        <w:rPr>
          <w:rFonts w:hint="eastAsia"/>
          <w:szCs w:val="22"/>
        </w:rPr>
        <w:t>順法師，</w:t>
      </w:r>
      <w:r w:rsidRPr="00043A1E">
        <w:rPr>
          <w:szCs w:val="22"/>
        </w:rPr>
        <w:t>《中觀論頌講記》</w:t>
      </w:r>
      <w:r w:rsidRPr="00043A1E">
        <w:rPr>
          <w:rFonts w:hint="eastAsia"/>
          <w:szCs w:val="22"/>
        </w:rPr>
        <w:t>，</w:t>
      </w:r>
      <w:r w:rsidRPr="00761EF3">
        <w:rPr>
          <w:szCs w:val="22"/>
        </w:rPr>
        <w:t>pp</w:t>
      </w:r>
      <w:r w:rsidRPr="00043A1E">
        <w:rPr>
          <w:szCs w:val="22"/>
        </w:rPr>
        <w:t>.</w:t>
      </w:r>
      <w:r w:rsidRPr="00761EF3">
        <w:rPr>
          <w:szCs w:val="22"/>
        </w:rPr>
        <w:t>125</w:t>
      </w:r>
      <w:r w:rsidRPr="00043A1E">
        <w:rPr>
          <w:szCs w:val="22"/>
        </w:rPr>
        <w:t>-</w:t>
      </w:r>
      <w:r w:rsidRPr="00761EF3">
        <w:rPr>
          <w:szCs w:val="22"/>
        </w:rPr>
        <w:t>127</w:t>
      </w:r>
      <w:r w:rsidRPr="00043A1E">
        <w:rPr>
          <w:rFonts w:hint="eastAsia"/>
          <w:szCs w:val="22"/>
        </w:rPr>
        <w:t>。</w:t>
      </w:r>
    </w:p>
  </w:footnote>
  <w:footnote w:id="726">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004D33C6" w:rsidRPr="00043A1E">
        <w:rPr>
          <w:szCs w:val="22"/>
        </w:rPr>
        <w:t>（</w:t>
      </w:r>
      <w:r w:rsidR="004D33C6" w:rsidRPr="00761EF3">
        <w:rPr>
          <w:szCs w:val="22"/>
        </w:rPr>
        <w:t>1</w:t>
      </w:r>
      <w:r w:rsidR="004D33C6" w:rsidRPr="00043A1E">
        <w:rPr>
          <w:szCs w:val="22"/>
        </w:rPr>
        <w:t>）</w:t>
      </w:r>
      <w:r w:rsidRPr="00043A1E">
        <w:rPr>
          <w:szCs w:val="22"/>
        </w:rPr>
        <w:t>〔唐〕普光述，《俱舍論記》卷</w:t>
      </w:r>
      <w:r w:rsidRPr="00761EF3">
        <w:rPr>
          <w:szCs w:val="22"/>
        </w:rPr>
        <w:t>5</w:t>
      </w:r>
      <w:r w:rsidRPr="00043A1E">
        <w:rPr>
          <w:szCs w:val="22"/>
        </w:rPr>
        <w:t>〈</w:t>
      </w:r>
      <w:r w:rsidRPr="00761EF3">
        <w:rPr>
          <w:szCs w:val="22"/>
        </w:rPr>
        <w:t>2</w:t>
      </w:r>
      <w:r w:rsidRPr="00043A1E">
        <w:rPr>
          <w:szCs w:val="22"/>
        </w:rPr>
        <w:t xml:space="preserve"> </w:t>
      </w:r>
      <w:r w:rsidRPr="00043A1E">
        <w:rPr>
          <w:szCs w:val="22"/>
        </w:rPr>
        <w:t>分別根品〉（大正</w:t>
      </w:r>
      <w:r w:rsidRPr="00761EF3">
        <w:rPr>
          <w:szCs w:val="22"/>
        </w:rPr>
        <w:t>41</w:t>
      </w:r>
      <w:r w:rsidRPr="00043A1E">
        <w:rPr>
          <w:szCs w:val="22"/>
        </w:rPr>
        <w:t>，</w:t>
      </w:r>
      <w:r w:rsidRPr="00761EF3">
        <w:rPr>
          <w:szCs w:val="22"/>
        </w:rPr>
        <w:t>94b29</w:t>
      </w:r>
      <w:r w:rsidRPr="00043A1E">
        <w:rPr>
          <w:szCs w:val="22"/>
        </w:rPr>
        <w:t>-</w:t>
      </w:r>
      <w:r w:rsidRPr="00761EF3">
        <w:rPr>
          <w:szCs w:val="22"/>
        </w:rPr>
        <w:t>c</w:t>
      </w:r>
      <w:r w:rsidRPr="00761EF3">
        <w:rPr>
          <w:rFonts w:hint="eastAsia"/>
          <w:szCs w:val="22"/>
        </w:rPr>
        <w:t>2</w:t>
      </w:r>
      <w:r w:rsidRPr="00043A1E">
        <w:rPr>
          <w:szCs w:val="22"/>
        </w:rPr>
        <w:t>）：</w:t>
      </w:r>
    </w:p>
    <w:p w:rsidR="00157EF6" w:rsidRDefault="00157EF6" w:rsidP="004D33C6">
      <w:pPr>
        <w:pStyle w:val="a5"/>
        <w:ind w:leftChars="335" w:left="804"/>
        <w:jc w:val="both"/>
        <w:rPr>
          <w:rFonts w:eastAsia="標楷體"/>
          <w:szCs w:val="22"/>
        </w:rPr>
      </w:pPr>
      <w:r w:rsidRPr="00043A1E">
        <w:rPr>
          <w:rFonts w:eastAsia="標楷體"/>
          <w:szCs w:val="22"/>
        </w:rPr>
        <w:t>若依勝論宗中先代古師，立六句義：</w:t>
      </w:r>
      <w:r w:rsidRPr="00043A1E">
        <w:rPr>
          <w:rFonts w:eastAsia="標楷體"/>
          <w:b/>
          <w:szCs w:val="22"/>
        </w:rPr>
        <w:t>一、實，二、德，三、業，四、有，五、同異，六、和合</w:t>
      </w:r>
      <w:r w:rsidRPr="00043A1E">
        <w:rPr>
          <w:rFonts w:eastAsia="標楷體"/>
          <w:szCs w:val="22"/>
        </w:rPr>
        <w:t>。</w:t>
      </w:r>
    </w:p>
    <w:p w:rsidR="004D33C6" w:rsidRPr="004D33C6" w:rsidRDefault="004D33C6" w:rsidP="004D33C6">
      <w:pPr>
        <w:pStyle w:val="a5"/>
        <w:ind w:leftChars="105" w:left="252"/>
        <w:jc w:val="both"/>
        <w:rPr>
          <w:rFonts w:eastAsia="標楷體"/>
          <w:color w:val="FF0000"/>
          <w:szCs w:val="22"/>
          <w:highlight w:val="yellow"/>
        </w:rPr>
      </w:pPr>
      <w:r w:rsidRPr="004D33C6">
        <w:rPr>
          <w:color w:val="FF0000"/>
          <w:szCs w:val="22"/>
          <w:highlight w:val="yellow"/>
        </w:rPr>
        <w:t>（</w:t>
      </w:r>
      <w:r w:rsidRPr="004D33C6">
        <w:rPr>
          <w:color w:val="FF0000"/>
          <w:szCs w:val="22"/>
          <w:highlight w:val="yellow"/>
        </w:rPr>
        <w:t>2</w:t>
      </w:r>
      <w:r w:rsidRPr="004D33C6">
        <w:rPr>
          <w:color w:val="FF0000"/>
          <w:szCs w:val="22"/>
          <w:highlight w:val="yellow"/>
        </w:rPr>
        <w:t>）</w:t>
      </w:r>
      <w:r w:rsidRPr="004D33C6">
        <w:rPr>
          <w:rFonts w:hint="eastAsia"/>
          <w:color w:val="FF0000"/>
          <w:szCs w:val="22"/>
          <w:highlight w:val="yellow"/>
        </w:rPr>
        <w:t>《勝宗十句義論》</w:t>
      </w:r>
      <w:r w:rsidRPr="004D33C6">
        <w:rPr>
          <w:color w:val="FF0000"/>
          <w:szCs w:val="22"/>
          <w:highlight w:val="yellow"/>
        </w:rPr>
        <w:t>（大正</w:t>
      </w:r>
      <w:r w:rsidRPr="004D33C6">
        <w:rPr>
          <w:rFonts w:hint="eastAsia"/>
          <w:color w:val="FF0000"/>
          <w:szCs w:val="22"/>
          <w:highlight w:val="yellow"/>
        </w:rPr>
        <w:t>5</w:t>
      </w:r>
      <w:r w:rsidRPr="004D33C6">
        <w:rPr>
          <w:color w:val="FF0000"/>
          <w:szCs w:val="22"/>
          <w:highlight w:val="yellow"/>
        </w:rPr>
        <w:t>4</w:t>
      </w:r>
      <w:r w:rsidRPr="004D33C6">
        <w:rPr>
          <w:color w:val="FF0000"/>
          <w:szCs w:val="22"/>
          <w:highlight w:val="yellow"/>
        </w:rPr>
        <w:t>，</w:t>
      </w:r>
      <w:r w:rsidRPr="004D33C6">
        <w:rPr>
          <w:rFonts w:hint="eastAsia"/>
          <w:color w:val="FF0000"/>
          <w:szCs w:val="22"/>
          <w:highlight w:val="yellow"/>
        </w:rPr>
        <w:t>1262c19-1263c2</w:t>
      </w:r>
      <w:r w:rsidRPr="004D33C6">
        <w:rPr>
          <w:color w:val="FF0000"/>
          <w:szCs w:val="22"/>
          <w:highlight w:val="yellow"/>
        </w:rPr>
        <w:t>）</w:t>
      </w:r>
      <w:r w:rsidRPr="004D33C6">
        <w:rPr>
          <w:rFonts w:hint="eastAsia"/>
          <w:color w:val="FF0000"/>
          <w:szCs w:val="22"/>
          <w:highlight w:val="yellow"/>
        </w:rPr>
        <w:t>。</w:t>
      </w:r>
    </w:p>
  </w:footnote>
  <w:footnote w:id="727">
    <w:p w:rsidR="00A731D5" w:rsidRDefault="00A731D5" w:rsidP="00A731D5">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szCs w:val="22"/>
        </w:rPr>
        <w:t>）</w:t>
      </w:r>
      <w:r w:rsidRPr="00043A1E">
        <w:rPr>
          <w:rFonts w:hint="eastAsia"/>
          <w:szCs w:val="22"/>
        </w:rPr>
        <w:t>參見</w:t>
      </w:r>
      <w:r>
        <w:rPr>
          <w:rFonts w:hint="eastAsia"/>
          <w:szCs w:val="22"/>
        </w:rPr>
        <w:t>：</w:t>
      </w:r>
      <w:r w:rsidRPr="00043A1E">
        <w:rPr>
          <w:szCs w:val="22"/>
        </w:rPr>
        <w:t>《中論》卷</w:t>
      </w:r>
      <w:r w:rsidRPr="00761EF3">
        <w:rPr>
          <w:szCs w:val="22"/>
        </w:rPr>
        <w:t>1</w:t>
      </w:r>
      <w:r w:rsidRPr="00043A1E">
        <w:rPr>
          <w:szCs w:val="22"/>
        </w:rPr>
        <w:t>〈</w:t>
      </w:r>
      <w:r w:rsidRPr="00761EF3">
        <w:rPr>
          <w:szCs w:val="22"/>
        </w:rPr>
        <w:t>5</w:t>
      </w:r>
      <w:r w:rsidRPr="00043A1E">
        <w:rPr>
          <w:szCs w:val="22"/>
        </w:rPr>
        <w:t xml:space="preserve"> </w:t>
      </w:r>
      <w:r w:rsidRPr="00043A1E">
        <w:rPr>
          <w:szCs w:val="22"/>
        </w:rPr>
        <w:t>觀六種品〉（青目釋）（大正</w:t>
      </w:r>
      <w:r w:rsidRPr="00761EF3">
        <w:rPr>
          <w:szCs w:val="22"/>
        </w:rPr>
        <w:t>30</w:t>
      </w:r>
      <w:r w:rsidRPr="00043A1E">
        <w:rPr>
          <w:szCs w:val="22"/>
        </w:rPr>
        <w:t>，</w:t>
      </w:r>
      <w:r w:rsidRPr="00761EF3">
        <w:rPr>
          <w:szCs w:val="22"/>
        </w:rPr>
        <w:t>7c4</w:t>
      </w:r>
      <w:r w:rsidRPr="00043A1E">
        <w:rPr>
          <w:szCs w:val="22"/>
        </w:rPr>
        <w:t>-</w:t>
      </w:r>
      <w:r w:rsidRPr="00761EF3">
        <w:rPr>
          <w:szCs w:val="22"/>
        </w:rPr>
        <w:t>10</w:t>
      </w:r>
      <w:r w:rsidRPr="00043A1E">
        <w:rPr>
          <w:szCs w:val="22"/>
        </w:rPr>
        <w:t>）</w:t>
      </w:r>
      <w:r w:rsidRPr="00043A1E">
        <w:rPr>
          <w:rFonts w:hint="eastAsia"/>
          <w:szCs w:val="22"/>
        </w:rPr>
        <w:t>；</w:t>
      </w:r>
    </w:p>
    <w:p w:rsidR="00A731D5" w:rsidRDefault="00A731D5" w:rsidP="00A731D5">
      <w:pPr>
        <w:pStyle w:val="a5"/>
        <w:spacing w:line="0" w:lineRule="atLeast"/>
        <w:ind w:leftChars="600" w:left="1440"/>
        <w:jc w:val="both"/>
        <w:rPr>
          <w:rFonts w:eastAsia="標楷體"/>
          <w:szCs w:val="22"/>
        </w:rPr>
      </w:pPr>
      <w:r w:rsidRPr="00043A1E">
        <w:rPr>
          <w:rFonts w:hint="eastAsia"/>
          <w:szCs w:val="22"/>
        </w:rPr>
        <w:t>印順法師，</w:t>
      </w:r>
      <w:r w:rsidRPr="00043A1E">
        <w:rPr>
          <w:szCs w:val="22"/>
        </w:rPr>
        <w:t>《中觀論頌講記》，</w:t>
      </w:r>
      <w:r w:rsidRPr="00761EF3">
        <w:rPr>
          <w:szCs w:val="22"/>
        </w:rPr>
        <w:t>p</w:t>
      </w:r>
      <w:r w:rsidRPr="00043A1E">
        <w:rPr>
          <w:szCs w:val="22"/>
        </w:rPr>
        <w:t>.</w:t>
      </w:r>
      <w:r w:rsidRPr="00761EF3">
        <w:rPr>
          <w:szCs w:val="22"/>
        </w:rPr>
        <w:t>128</w:t>
      </w:r>
      <w:r w:rsidRPr="00043A1E">
        <w:rPr>
          <w:rFonts w:eastAsia="標楷體"/>
          <w:szCs w:val="22"/>
        </w:rPr>
        <w:t>。</w:t>
      </w:r>
    </w:p>
    <w:p w:rsidR="00A731D5" w:rsidRDefault="00A731D5" w:rsidP="00A731D5">
      <w:pPr>
        <w:pStyle w:val="a5"/>
        <w:ind w:leftChars="105" w:left="791" w:hangingChars="245" w:hanging="539"/>
        <w:jc w:val="both"/>
        <w:rPr>
          <w:rFonts w:eastAsia="標楷體"/>
          <w:szCs w:val="22"/>
        </w:rPr>
      </w:pPr>
      <w:r w:rsidRPr="00043A1E">
        <w:rPr>
          <w:szCs w:val="22"/>
        </w:rPr>
        <w:t>（</w:t>
      </w:r>
      <w:r w:rsidRPr="00761EF3">
        <w:rPr>
          <w:szCs w:val="22"/>
        </w:rPr>
        <w:t>2</w:t>
      </w:r>
      <w:r w:rsidRPr="00043A1E">
        <w:rPr>
          <w:szCs w:val="22"/>
        </w:rPr>
        <w:t>）</w:t>
      </w:r>
      <w:r w:rsidRPr="00043A1E">
        <w:rPr>
          <w:rFonts w:hint="eastAsia"/>
          <w:szCs w:val="22"/>
        </w:rPr>
        <w:t>參見</w:t>
      </w:r>
      <w:r w:rsidRPr="00043A1E">
        <w:rPr>
          <w:szCs w:val="22"/>
        </w:rPr>
        <w:t>《十二門論</w:t>
      </w:r>
      <w:r w:rsidRPr="00142DED">
        <w:rPr>
          <w:color w:val="FF0000"/>
          <w:szCs w:val="22"/>
          <w:highlight w:val="yellow"/>
        </w:rPr>
        <w:t>》〈</w:t>
      </w:r>
      <w:r w:rsidRPr="00761EF3">
        <w:rPr>
          <w:szCs w:val="22"/>
        </w:rPr>
        <w:t>5</w:t>
      </w:r>
      <w:r w:rsidRPr="00043A1E">
        <w:rPr>
          <w:szCs w:val="22"/>
        </w:rPr>
        <w:t xml:space="preserve"> </w:t>
      </w:r>
      <w:r w:rsidRPr="00043A1E">
        <w:rPr>
          <w:szCs w:val="22"/>
        </w:rPr>
        <w:t>觀有相無相門〉（大正</w:t>
      </w:r>
      <w:r w:rsidRPr="00761EF3">
        <w:rPr>
          <w:szCs w:val="22"/>
        </w:rPr>
        <w:t>30</w:t>
      </w:r>
      <w:r w:rsidRPr="00043A1E">
        <w:rPr>
          <w:szCs w:val="22"/>
        </w:rPr>
        <w:t>，</w:t>
      </w:r>
      <w:r w:rsidRPr="00761EF3">
        <w:rPr>
          <w:szCs w:val="22"/>
        </w:rPr>
        <w:t>163c14</w:t>
      </w:r>
      <w:r w:rsidRPr="00043A1E">
        <w:rPr>
          <w:szCs w:val="22"/>
        </w:rPr>
        <w:t>-</w:t>
      </w:r>
      <w:r w:rsidRPr="00761EF3">
        <w:rPr>
          <w:szCs w:val="22"/>
        </w:rPr>
        <w:t>164a7</w:t>
      </w:r>
      <w:r>
        <w:rPr>
          <w:szCs w:val="22"/>
        </w:rPr>
        <w:t>）</w:t>
      </w:r>
      <w:r w:rsidRPr="00043A1E">
        <w:rPr>
          <w:rFonts w:eastAsia="標楷體"/>
          <w:szCs w:val="22"/>
        </w:rPr>
        <w:t>。</w:t>
      </w:r>
    </w:p>
    <w:p w:rsidR="00A731D5" w:rsidRPr="00043A1E" w:rsidRDefault="00A731D5" w:rsidP="00A731D5">
      <w:pPr>
        <w:pStyle w:val="a5"/>
        <w:ind w:leftChars="105" w:left="791" w:hangingChars="245" w:hanging="539"/>
        <w:jc w:val="both"/>
        <w:rPr>
          <w:rFonts w:eastAsia="標楷體"/>
          <w:szCs w:val="22"/>
        </w:rPr>
      </w:pPr>
      <w:r w:rsidRPr="00043A1E">
        <w:rPr>
          <w:szCs w:val="22"/>
        </w:rPr>
        <w:t>（</w:t>
      </w:r>
      <w:r>
        <w:rPr>
          <w:rFonts w:hint="eastAsia"/>
          <w:szCs w:val="22"/>
        </w:rPr>
        <w:t>3</w:t>
      </w:r>
      <w:r w:rsidRPr="00043A1E">
        <w:rPr>
          <w:szCs w:val="22"/>
        </w:rPr>
        <w:t>）</w:t>
      </w:r>
      <w:r w:rsidRPr="00043A1E">
        <w:rPr>
          <w:rFonts w:hint="eastAsia"/>
          <w:szCs w:val="22"/>
        </w:rPr>
        <w:t>參見</w:t>
      </w:r>
      <w:r w:rsidRPr="00043A1E">
        <w:rPr>
          <w:szCs w:val="22"/>
        </w:rPr>
        <w:t>《十二門論</w:t>
      </w:r>
      <w:r w:rsidR="00142DED" w:rsidRPr="00142DED">
        <w:rPr>
          <w:color w:val="FF0000"/>
          <w:szCs w:val="22"/>
          <w:highlight w:val="yellow"/>
        </w:rPr>
        <w:t>》〈</w:t>
      </w:r>
      <w:r w:rsidRPr="00761EF3">
        <w:rPr>
          <w:szCs w:val="22"/>
        </w:rPr>
        <w:t>6</w:t>
      </w:r>
      <w:r w:rsidRPr="00043A1E">
        <w:rPr>
          <w:szCs w:val="22"/>
        </w:rPr>
        <w:t xml:space="preserve"> </w:t>
      </w:r>
      <w:r w:rsidRPr="00043A1E">
        <w:rPr>
          <w:szCs w:val="22"/>
        </w:rPr>
        <w:t>觀一異門〉（大正</w:t>
      </w:r>
      <w:r w:rsidRPr="00761EF3">
        <w:rPr>
          <w:szCs w:val="22"/>
        </w:rPr>
        <w:t>30</w:t>
      </w:r>
      <w:r w:rsidRPr="00043A1E">
        <w:rPr>
          <w:szCs w:val="22"/>
        </w:rPr>
        <w:t>，</w:t>
      </w:r>
      <w:r w:rsidRPr="00761EF3">
        <w:rPr>
          <w:szCs w:val="22"/>
        </w:rPr>
        <w:t>164a8</w:t>
      </w:r>
      <w:r w:rsidRPr="00043A1E">
        <w:rPr>
          <w:szCs w:val="22"/>
        </w:rPr>
        <w:t>-</w:t>
      </w:r>
      <w:r w:rsidRPr="00761EF3">
        <w:rPr>
          <w:szCs w:val="22"/>
        </w:rPr>
        <w:t>b23</w:t>
      </w:r>
      <w:r w:rsidRPr="00043A1E">
        <w:rPr>
          <w:rFonts w:hint="eastAsia"/>
          <w:szCs w:val="22"/>
        </w:rPr>
        <w:t>）。</w:t>
      </w:r>
    </w:p>
  </w:footnote>
  <w:footnote w:id="728">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頷（</w:t>
      </w:r>
      <w:r w:rsidRPr="00043A1E">
        <w:rPr>
          <w:rFonts w:eastAsia="標楷體"/>
          <w:szCs w:val="22"/>
        </w:rPr>
        <w:t>ㄏㄢ</w:t>
      </w:r>
      <w:r w:rsidRPr="00043A1E">
        <w:rPr>
          <w:rFonts w:ascii="標楷體" w:eastAsia="標楷體" w:hAnsi="標楷體"/>
          <w:szCs w:val="22"/>
        </w:rPr>
        <w:t>ˋ</w:t>
      </w:r>
      <w:r w:rsidRPr="00043A1E">
        <w:rPr>
          <w:szCs w:val="22"/>
        </w:rPr>
        <w:t>）：</w:t>
      </w:r>
      <w:r w:rsidRPr="00761EF3">
        <w:rPr>
          <w:szCs w:val="22"/>
        </w:rPr>
        <w:t>1</w:t>
      </w:r>
      <w:r w:rsidRPr="00043A1E">
        <w:rPr>
          <w:szCs w:val="22"/>
        </w:rPr>
        <w:t>.</w:t>
      </w:r>
      <w:r w:rsidRPr="00043A1E">
        <w:rPr>
          <w:szCs w:val="22"/>
        </w:rPr>
        <w:t>下巴。（《漢語大詞典》（十二）</w:t>
      </w:r>
      <w:r w:rsidRPr="00043A1E">
        <w:rPr>
          <w:rFonts w:hint="eastAsia"/>
          <w:szCs w:val="22"/>
        </w:rPr>
        <w:t>，</w:t>
      </w:r>
      <w:r w:rsidRPr="00761EF3">
        <w:rPr>
          <w:szCs w:val="22"/>
        </w:rPr>
        <w:t>p</w:t>
      </w:r>
      <w:r w:rsidRPr="00043A1E">
        <w:rPr>
          <w:szCs w:val="22"/>
        </w:rPr>
        <w:t>.</w:t>
      </w:r>
      <w:r w:rsidRPr="00761EF3">
        <w:rPr>
          <w:szCs w:val="22"/>
        </w:rPr>
        <w:t>320</w:t>
      </w:r>
      <w:r w:rsidRPr="00043A1E">
        <w:rPr>
          <w:szCs w:val="22"/>
        </w:rPr>
        <w:t>）</w:t>
      </w:r>
    </w:p>
  </w:footnote>
  <w:footnote w:id="729">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《中觀論疏》卷</w:t>
      </w:r>
      <w:r w:rsidRPr="00761EF3">
        <w:rPr>
          <w:szCs w:val="22"/>
        </w:rPr>
        <w:t>5</w:t>
      </w:r>
      <w:r w:rsidRPr="00043A1E">
        <w:rPr>
          <w:szCs w:val="22"/>
        </w:rPr>
        <w:t>〈</w:t>
      </w:r>
      <w:r w:rsidRPr="00761EF3">
        <w:rPr>
          <w:szCs w:val="22"/>
        </w:rPr>
        <w:t>5</w:t>
      </w:r>
      <w:r w:rsidRPr="00043A1E">
        <w:rPr>
          <w:szCs w:val="22"/>
        </w:rPr>
        <w:t xml:space="preserve"> </w:t>
      </w:r>
      <w:r w:rsidRPr="00043A1E">
        <w:rPr>
          <w:szCs w:val="22"/>
        </w:rPr>
        <w:t>六種品〉（大正</w:t>
      </w:r>
      <w:r w:rsidRPr="00761EF3">
        <w:rPr>
          <w:szCs w:val="22"/>
        </w:rPr>
        <w:t>42</w:t>
      </w:r>
      <w:r w:rsidRPr="00043A1E">
        <w:rPr>
          <w:szCs w:val="22"/>
        </w:rPr>
        <w:t>，</w:t>
      </w:r>
      <w:r w:rsidRPr="00761EF3">
        <w:rPr>
          <w:szCs w:val="22"/>
        </w:rPr>
        <w:t>70c15</w:t>
      </w:r>
      <w:r w:rsidRPr="00043A1E">
        <w:rPr>
          <w:szCs w:val="22"/>
        </w:rPr>
        <w:t>-</w:t>
      </w:r>
      <w:r w:rsidRPr="00761EF3">
        <w:rPr>
          <w:szCs w:val="22"/>
        </w:rPr>
        <w:t>18</w:t>
      </w:r>
      <w:r w:rsidRPr="00043A1E">
        <w:rPr>
          <w:szCs w:val="22"/>
        </w:rPr>
        <w:t>）：</w:t>
      </w:r>
    </w:p>
    <w:p w:rsidR="00157EF6" w:rsidRPr="00043A1E" w:rsidRDefault="00157EF6" w:rsidP="00AA120F">
      <w:pPr>
        <w:pStyle w:val="a5"/>
        <w:ind w:leftChars="105" w:left="692" w:hangingChars="200" w:hanging="440"/>
        <w:jc w:val="both"/>
        <w:rPr>
          <w:rFonts w:eastAsia="標楷體"/>
          <w:szCs w:val="22"/>
        </w:rPr>
      </w:pPr>
      <w:r w:rsidRPr="00043A1E">
        <w:rPr>
          <w:rFonts w:eastAsia="標楷體"/>
          <w:szCs w:val="22"/>
        </w:rPr>
        <w:t>問：何者為</w:t>
      </w:r>
      <w:r w:rsidR="008F071E">
        <w:rPr>
          <w:rFonts w:ascii="標楷體" w:eastAsia="標楷體" w:hAnsi="標楷體" w:hint="eastAsia"/>
          <w:bCs/>
          <w:color w:val="FF0000"/>
          <w:kern w:val="0"/>
          <w:highlight w:val="yellow"/>
        </w:rPr>
        <w:t>「</w:t>
      </w:r>
      <w:r w:rsidRPr="00043A1E">
        <w:rPr>
          <w:rFonts w:eastAsia="標楷體"/>
          <w:szCs w:val="22"/>
        </w:rPr>
        <w:t>空相</w:t>
      </w:r>
      <w:r w:rsidR="008F071E">
        <w:rPr>
          <w:rFonts w:ascii="標楷體" w:eastAsia="標楷體" w:hAnsi="標楷體" w:hint="eastAsia"/>
          <w:bCs/>
          <w:color w:val="FF0000"/>
          <w:kern w:val="0"/>
          <w:highlight w:val="yellow"/>
        </w:rPr>
        <w:t>」</w:t>
      </w:r>
      <w:r w:rsidRPr="00043A1E">
        <w:rPr>
          <w:rFonts w:eastAsia="標楷體"/>
          <w:szCs w:val="22"/>
        </w:rPr>
        <w:t>？</w:t>
      </w:r>
    </w:p>
    <w:p w:rsidR="008F071E" w:rsidRDefault="00157EF6" w:rsidP="00AA120F">
      <w:pPr>
        <w:pStyle w:val="a5"/>
        <w:ind w:leftChars="105" w:left="692" w:hangingChars="200" w:hanging="440"/>
        <w:jc w:val="both"/>
        <w:rPr>
          <w:rFonts w:eastAsia="標楷體"/>
          <w:szCs w:val="22"/>
        </w:rPr>
      </w:pPr>
      <w:r w:rsidRPr="00043A1E">
        <w:rPr>
          <w:rFonts w:eastAsia="標楷體"/>
          <w:szCs w:val="22"/>
        </w:rPr>
        <w:t>答：</w:t>
      </w:r>
      <w:r w:rsidR="008F071E">
        <w:rPr>
          <w:rFonts w:ascii="標楷體" w:eastAsia="標楷體" w:hAnsi="標楷體" w:hint="eastAsia"/>
          <w:bCs/>
          <w:color w:val="FF0000"/>
          <w:kern w:val="0"/>
          <w:highlight w:val="yellow"/>
        </w:rPr>
        <w:t>「</w:t>
      </w:r>
      <w:r w:rsidRPr="00043A1E">
        <w:rPr>
          <w:rFonts w:eastAsia="標楷體"/>
          <w:szCs w:val="22"/>
        </w:rPr>
        <w:t>空</w:t>
      </w:r>
      <w:r w:rsidR="008F071E">
        <w:rPr>
          <w:rFonts w:ascii="標楷體" w:eastAsia="標楷體" w:hAnsi="標楷體" w:hint="eastAsia"/>
          <w:bCs/>
          <w:color w:val="FF0000"/>
          <w:kern w:val="0"/>
          <w:highlight w:val="yellow"/>
        </w:rPr>
        <w:t>」</w:t>
      </w:r>
      <w:r w:rsidRPr="00043A1E">
        <w:rPr>
          <w:rFonts w:eastAsia="標楷體"/>
          <w:szCs w:val="22"/>
        </w:rPr>
        <w:t>有二種相</w:t>
      </w:r>
      <w:r w:rsidRPr="00043A1E">
        <w:rPr>
          <w:rFonts w:eastAsia="標楷體" w:hint="eastAsia"/>
          <w:szCs w:val="22"/>
        </w:rPr>
        <w:t>：</w:t>
      </w:r>
      <w:r w:rsidRPr="00043A1E">
        <w:rPr>
          <w:rFonts w:eastAsia="標楷體"/>
          <w:szCs w:val="22"/>
        </w:rPr>
        <w:t>一、</w:t>
      </w:r>
      <w:r w:rsidRPr="00043A1E">
        <w:rPr>
          <w:rFonts w:eastAsia="標楷體"/>
          <w:b/>
          <w:szCs w:val="22"/>
        </w:rPr>
        <w:t>標相</w:t>
      </w:r>
      <w:r w:rsidRPr="00043A1E">
        <w:rPr>
          <w:rFonts w:eastAsia="標楷體"/>
          <w:szCs w:val="22"/>
        </w:rPr>
        <w:t>，二、體相。</w:t>
      </w:r>
    </w:p>
    <w:p w:rsidR="008F071E" w:rsidRDefault="00157EF6" w:rsidP="008F071E">
      <w:pPr>
        <w:pStyle w:val="a5"/>
        <w:ind w:leftChars="305" w:left="732"/>
        <w:jc w:val="both"/>
        <w:rPr>
          <w:rFonts w:eastAsia="標楷體"/>
          <w:szCs w:val="22"/>
        </w:rPr>
      </w:pPr>
      <w:r w:rsidRPr="008F071E">
        <w:rPr>
          <w:rFonts w:eastAsia="標楷體"/>
          <w:b/>
          <w:szCs w:val="22"/>
          <w:highlight w:val="yellow"/>
        </w:rPr>
        <w:t>如</w:t>
      </w:r>
      <w:r w:rsidRPr="00043A1E">
        <w:rPr>
          <w:rFonts w:eastAsia="標楷體"/>
          <w:b/>
          <w:szCs w:val="22"/>
        </w:rPr>
        <w:t>見柱有</w:t>
      </w:r>
      <w:r w:rsidRPr="00043A1E">
        <w:rPr>
          <w:rFonts w:eastAsia="標楷體" w:hint="eastAsia"/>
          <w:b/>
          <w:szCs w:val="22"/>
        </w:rPr>
        <w:t>，</w:t>
      </w:r>
      <w:r w:rsidRPr="00043A1E">
        <w:rPr>
          <w:rFonts w:eastAsia="標楷體"/>
          <w:b/>
          <w:szCs w:val="22"/>
        </w:rPr>
        <w:t>知柱外即無</w:t>
      </w:r>
      <w:r w:rsidR="008F071E">
        <w:rPr>
          <w:rFonts w:ascii="標楷體" w:eastAsia="標楷體" w:hAnsi="標楷體" w:hint="eastAsia"/>
          <w:color w:val="FF0000"/>
          <w:spacing w:val="-4"/>
          <w:kern w:val="0"/>
          <w:highlight w:val="yellow"/>
        </w:rPr>
        <w:t>；</w:t>
      </w:r>
      <w:r w:rsidRPr="00043A1E">
        <w:rPr>
          <w:rFonts w:eastAsia="標楷體"/>
          <w:b/>
          <w:szCs w:val="22"/>
        </w:rPr>
        <w:t>因</w:t>
      </w:r>
      <w:r w:rsidR="008F071E">
        <w:rPr>
          <w:rFonts w:ascii="標楷體" w:eastAsia="標楷體" w:hAnsi="標楷體" w:hint="eastAsia"/>
          <w:bCs/>
          <w:color w:val="FF0000"/>
          <w:kern w:val="0"/>
          <w:highlight w:val="yellow"/>
        </w:rPr>
        <w:t>「</w:t>
      </w:r>
      <w:r w:rsidRPr="00043A1E">
        <w:rPr>
          <w:rFonts w:eastAsia="標楷體"/>
          <w:b/>
          <w:szCs w:val="22"/>
        </w:rPr>
        <w:t>有</w:t>
      </w:r>
      <w:r w:rsidR="008F071E">
        <w:rPr>
          <w:rFonts w:ascii="標楷體" w:eastAsia="標楷體" w:hAnsi="標楷體" w:hint="eastAsia"/>
          <w:bCs/>
          <w:color w:val="FF0000"/>
          <w:kern w:val="0"/>
          <w:highlight w:val="yellow"/>
        </w:rPr>
        <w:t>」</w:t>
      </w:r>
      <w:r w:rsidRPr="00043A1E">
        <w:rPr>
          <w:rFonts w:eastAsia="標楷體"/>
          <w:b/>
          <w:szCs w:val="22"/>
        </w:rPr>
        <w:t>知</w:t>
      </w:r>
      <w:r w:rsidR="008F071E">
        <w:rPr>
          <w:rFonts w:ascii="標楷體" w:eastAsia="標楷體" w:hAnsi="標楷體" w:hint="eastAsia"/>
          <w:bCs/>
          <w:color w:val="FF0000"/>
          <w:kern w:val="0"/>
          <w:highlight w:val="yellow"/>
        </w:rPr>
        <w:t>「</w:t>
      </w:r>
      <w:r w:rsidRPr="00043A1E">
        <w:rPr>
          <w:rFonts w:eastAsia="標楷體"/>
          <w:b/>
          <w:szCs w:val="22"/>
        </w:rPr>
        <w:t>無</w:t>
      </w:r>
      <w:r w:rsidR="008F071E">
        <w:rPr>
          <w:rFonts w:ascii="標楷體" w:eastAsia="標楷體" w:hAnsi="標楷體" w:hint="eastAsia"/>
          <w:bCs/>
          <w:color w:val="FF0000"/>
          <w:kern w:val="0"/>
          <w:highlight w:val="yellow"/>
        </w:rPr>
        <w:t>」</w:t>
      </w:r>
      <w:r w:rsidRPr="00043A1E">
        <w:rPr>
          <w:rFonts w:eastAsia="標楷體"/>
          <w:b/>
          <w:szCs w:val="22"/>
        </w:rPr>
        <w:t>，</w:t>
      </w:r>
      <w:r w:rsidR="008F071E">
        <w:rPr>
          <w:rFonts w:ascii="標楷體" w:eastAsia="標楷體" w:hAnsi="標楷體" w:hint="eastAsia"/>
          <w:bCs/>
          <w:color w:val="FF0000"/>
          <w:kern w:val="0"/>
          <w:highlight w:val="yellow"/>
        </w:rPr>
        <w:t>「</w:t>
      </w:r>
      <w:r w:rsidRPr="00043A1E">
        <w:rPr>
          <w:rFonts w:eastAsia="標楷體"/>
          <w:b/>
          <w:szCs w:val="22"/>
        </w:rPr>
        <w:t>有</w:t>
      </w:r>
      <w:r w:rsidR="008F071E">
        <w:rPr>
          <w:rFonts w:ascii="標楷體" w:eastAsia="標楷體" w:hAnsi="標楷體" w:hint="eastAsia"/>
          <w:bCs/>
          <w:color w:val="FF0000"/>
          <w:kern w:val="0"/>
          <w:highlight w:val="yellow"/>
        </w:rPr>
        <w:t>」</w:t>
      </w:r>
      <w:r w:rsidRPr="00043A1E">
        <w:rPr>
          <w:rFonts w:eastAsia="標楷體"/>
          <w:b/>
          <w:szCs w:val="22"/>
        </w:rPr>
        <w:t>是</w:t>
      </w:r>
      <w:r w:rsidR="008F071E">
        <w:rPr>
          <w:rFonts w:ascii="標楷體" w:eastAsia="標楷體" w:hAnsi="標楷體" w:hint="eastAsia"/>
          <w:bCs/>
          <w:color w:val="FF0000"/>
          <w:kern w:val="0"/>
          <w:highlight w:val="yellow"/>
        </w:rPr>
        <w:t>「</w:t>
      </w:r>
      <w:r w:rsidRPr="00043A1E">
        <w:rPr>
          <w:rFonts w:eastAsia="標楷體"/>
          <w:b/>
          <w:szCs w:val="22"/>
        </w:rPr>
        <w:t>無</w:t>
      </w:r>
      <w:r w:rsidR="008F071E">
        <w:rPr>
          <w:rFonts w:ascii="標楷體" w:eastAsia="標楷體" w:hAnsi="標楷體" w:hint="eastAsia"/>
          <w:bCs/>
          <w:color w:val="FF0000"/>
          <w:kern w:val="0"/>
          <w:highlight w:val="yellow"/>
        </w:rPr>
        <w:t>」</w:t>
      </w:r>
      <w:r w:rsidRPr="00043A1E">
        <w:rPr>
          <w:rFonts w:eastAsia="標楷體"/>
          <w:b/>
          <w:szCs w:val="22"/>
        </w:rPr>
        <w:t>家</w:t>
      </w:r>
      <w:r w:rsidR="008F071E">
        <w:rPr>
          <w:rFonts w:ascii="標楷體" w:eastAsia="標楷體" w:hAnsi="標楷體" w:hint="eastAsia"/>
          <w:bCs/>
          <w:color w:val="FF0000"/>
          <w:kern w:val="0"/>
          <w:highlight w:val="yellow"/>
        </w:rPr>
        <w:t>「</w:t>
      </w:r>
      <w:r w:rsidRPr="00043A1E">
        <w:rPr>
          <w:rFonts w:eastAsia="標楷體"/>
          <w:b/>
          <w:szCs w:val="22"/>
        </w:rPr>
        <w:t>標相</w:t>
      </w:r>
      <w:r w:rsidR="008F071E">
        <w:rPr>
          <w:rFonts w:ascii="標楷體" w:eastAsia="標楷體" w:hAnsi="標楷體" w:hint="eastAsia"/>
          <w:bCs/>
          <w:color w:val="FF0000"/>
          <w:kern w:val="0"/>
          <w:highlight w:val="yellow"/>
        </w:rPr>
        <w:t>」</w:t>
      </w:r>
      <w:r w:rsidRPr="00043A1E">
        <w:rPr>
          <w:rFonts w:eastAsia="標楷體"/>
          <w:szCs w:val="22"/>
        </w:rPr>
        <w:t>。</w:t>
      </w:r>
    </w:p>
    <w:p w:rsidR="00157EF6" w:rsidRPr="00043A1E" w:rsidRDefault="00157EF6" w:rsidP="008F071E">
      <w:pPr>
        <w:pStyle w:val="a5"/>
        <w:ind w:leftChars="305" w:left="732"/>
        <w:jc w:val="both"/>
        <w:rPr>
          <w:rFonts w:eastAsia="標楷體"/>
          <w:szCs w:val="22"/>
        </w:rPr>
      </w:pPr>
      <w:r w:rsidRPr="008F071E">
        <w:rPr>
          <w:rFonts w:eastAsia="標楷體"/>
          <w:szCs w:val="22"/>
          <w:highlight w:val="yellow"/>
        </w:rPr>
        <w:t>二</w:t>
      </w:r>
      <w:r w:rsidRPr="00043A1E">
        <w:rPr>
          <w:rFonts w:eastAsia="標楷體"/>
          <w:szCs w:val="22"/>
        </w:rPr>
        <w:t>者，除柱故得柱無，柱無之處為</w:t>
      </w:r>
      <w:r w:rsidR="008F071E">
        <w:rPr>
          <w:rFonts w:ascii="標楷體" w:eastAsia="標楷體" w:hAnsi="標楷體" w:hint="eastAsia"/>
          <w:bCs/>
          <w:color w:val="FF0000"/>
          <w:kern w:val="0"/>
          <w:highlight w:val="yellow"/>
        </w:rPr>
        <w:t>「</w:t>
      </w:r>
      <w:r w:rsidRPr="00043A1E">
        <w:rPr>
          <w:rFonts w:eastAsia="標楷體"/>
          <w:szCs w:val="22"/>
        </w:rPr>
        <w:t>空</w:t>
      </w:r>
      <w:r w:rsidR="008F071E">
        <w:rPr>
          <w:rFonts w:ascii="標楷體" w:eastAsia="標楷體" w:hAnsi="標楷體" w:hint="eastAsia"/>
          <w:color w:val="FF0000"/>
          <w:kern w:val="0"/>
          <w:highlight w:val="yellow"/>
        </w:rPr>
        <w:t>『</w:t>
      </w:r>
      <w:r w:rsidRPr="00043A1E">
        <w:rPr>
          <w:rFonts w:eastAsia="標楷體"/>
          <w:szCs w:val="22"/>
        </w:rPr>
        <w:t>體相</w:t>
      </w:r>
      <w:r w:rsidR="008F071E">
        <w:rPr>
          <w:rFonts w:ascii="標楷體" w:eastAsia="標楷體" w:hAnsi="標楷體" w:hint="eastAsia"/>
          <w:color w:val="FF0000"/>
          <w:kern w:val="0"/>
          <w:highlight w:val="yellow"/>
        </w:rPr>
        <w:t>』</w:t>
      </w:r>
      <w:r w:rsidR="008F071E">
        <w:rPr>
          <w:rFonts w:ascii="標楷體" w:eastAsia="標楷體" w:hAnsi="標楷體" w:hint="eastAsia"/>
          <w:bCs/>
          <w:color w:val="FF0000"/>
          <w:kern w:val="0"/>
          <w:highlight w:val="yellow"/>
        </w:rPr>
        <w:t>」</w:t>
      </w:r>
      <w:r w:rsidRPr="00043A1E">
        <w:rPr>
          <w:rFonts w:eastAsia="標楷體"/>
          <w:szCs w:val="22"/>
        </w:rPr>
        <w:t>。</w:t>
      </w:r>
    </w:p>
  </w:footnote>
  <w:footnote w:id="730">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《大智度論》卷</w:t>
      </w:r>
      <w:r w:rsidRPr="00761EF3">
        <w:rPr>
          <w:szCs w:val="22"/>
        </w:rPr>
        <w:t>67</w:t>
      </w:r>
      <w:r w:rsidR="00EB671A">
        <w:rPr>
          <w:rFonts w:hint="eastAsia"/>
          <w:color w:val="FF0000"/>
          <w:szCs w:val="22"/>
          <w:highlight w:val="yellow"/>
        </w:rPr>
        <w:t>釋</w:t>
      </w:r>
      <w:r w:rsidRPr="00043A1E">
        <w:rPr>
          <w:szCs w:val="22"/>
        </w:rPr>
        <w:t>〈</w:t>
      </w:r>
      <w:r w:rsidRPr="00761EF3">
        <w:rPr>
          <w:szCs w:val="22"/>
        </w:rPr>
        <w:t>45</w:t>
      </w:r>
      <w:r w:rsidRPr="00043A1E">
        <w:rPr>
          <w:szCs w:val="22"/>
        </w:rPr>
        <w:t xml:space="preserve"> </w:t>
      </w:r>
      <w:r w:rsidRPr="00043A1E">
        <w:rPr>
          <w:szCs w:val="22"/>
        </w:rPr>
        <w:t>歎信行品〉（大正</w:t>
      </w:r>
      <w:r w:rsidRPr="00761EF3">
        <w:rPr>
          <w:szCs w:val="22"/>
        </w:rPr>
        <w:t>25</w:t>
      </w:r>
      <w:r w:rsidRPr="00043A1E">
        <w:rPr>
          <w:szCs w:val="22"/>
        </w:rPr>
        <w:t>，</w:t>
      </w:r>
      <w:r w:rsidRPr="00761EF3">
        <w:rPr>
          <w:szCs w:val="22"/>
        </w:rPr>
        <w:t>528b2</w:t>
      </w:r>
      <w:r w:rsidRPr="00761EF3">
        <w:rPr>
          <w:rFonts w:hint="eastAsia"/>
          <w:szCs w:val="22"/>
        </w:rPr>
        <w:t>4</w:t>
      </w:r>
      <w:r w:rsidRPr="00043A1E">
        <w:rPr>
          <w:szCs w:val="22"/>
        </w:rPr>
        <w:t>-</w:t>
      </w:r>
      <w:r w:rsidRPr="00761EF3">
        <w:rPr>
          <w:szCs w:val="22"/>
        </w:rPr>
        <w:t>2</w:t>
      </w:r>
      <w:r w:rsidRPr="00761EF3">
        <w:rPr>
          <w:rFonts w:hint="eastAsia"/>
          <w:szCs w:val="22"/>
        </w:rPr>
        <w:t>8</w:t>
      </w:r>
      <w:r w:rsidRPr="00043A1E">
        <w:rPr>
          <w:szCs w:val="22"/>
        </w:rPr>
        <w:t>）：</w:t>
      </w:r>
    </w:p>
    <w:p w:rsidR="00157EF6" w:rsidRPr="00043A1E" w:rsidRDefault="00157EF6" w:rsidP="00AA120F">
      <w:pPr>
        <w:pStyle w:val="a5"/>
        <w:ind w:leftChars="105" w:left="912" w:hangingChars="300" w:hanging="660"/>
        <w:jc w:val="both"/>
        <w:rPr>
          <w:rFonts w:eastAsia="標楷體"/>
          <w:szCs w:val="22"/>
        </w:rPr>
      </w:pPr>
      <w:r w:rsidRPr="00043A1E">
        <w:rPr>
          <w:rFonts w:eastAsia="標楷體"/>
          <w:szCs w:val="22"/>
        </w:rPr>
        <w:t>問曰：地是堅相，何以言</w:t>
      </w:r>
      <w:r w:rsidR="008F071E">
        <w:rPr>
          <w:rFonts w:ascii="標楷體" w:eastAsia="標楷體" w:hAnsi="標楷體" w:hint="eastAsia"/>
          <w:bCs/>
          <w:color w:val="FF0000"/>
          <w:kern w:val="0"/>
          <w:highlight w:val="yellow"/>
        </w:rPr>
        <w:t>「</w:t>
      </w:r>
      <w:r w:rsidRPr="00043A1E">
        <w:rPr>
          <w:rFonts w:eastAsia="標楷體"/>
          <w:szCs w:val="22"/>
        </w:rPr>
        <w:t>性</w:t>
      </w:r>
      <w:r w:rsidR="008F071E">
        <w:rPr>
          <w:rFonts w:ascii="標楷體" w:eastAsia="標楷體" w:hAnsi="標楷體" w:hint="eastAsia"/>
          <w:bCs/>
          <w:color w:val="FF0000"/>
          <w:kern w:val="0"/>
          <w:highlight w:val="yellow"/>
        </w:rPr>
        <w:t>」</w:t>
      </w:r>
      <w:r w:rsidRPr="00043A1E">
        <w:rPr>
          <w:rFonts w:eastAsia="標楷體"/>
          <w:szCs w:val="22"/>
        </w:rPr>
        <w:t>？</w:t>
      </w:r>
    </w:p>
    <w:p w:rsidR="00157EF6" w:rsidRPr="00043A1E" w:rsidRDefault="00157EF6" w:rsidP="00AA120F">
      <w:pPr>
        <w:pStyle w:val="a5"/>
        <w:ind w:leftChars="105" w:left="912" w:hangingChars="300" w:hanging="660"/>
        <w:jc w:val="both"/>
        <w:rPr>
          <w:szCs w:val="22"/>
        </w:rPr>
      </w:pPr>
      <w:r w:rsidRPr="00043A1E">
        <w:rPr>
          <w:rFonts w:eastAsia="標楷體"/>
          <w:szCs w:val="22"/>
        </w:rPr>
        <w:t>答曰：是</w:t>
      </w:r>
      <w:r w:rsidR="008F071E">
        <w:rPr>
          <w:rFonts w:ascii="標楷體" w:eastAsia="標楷體" w:hAnsi="標楷體" w:hint="eastAsia"/>
          <w:bCs/>
          <w:color w:val="FF0000"/>
          <w:kern w:val="0"/>
          <w:highlight w:val="yellow"/>
        </w:rPr>
        <w:t>「</w:t>
      </w:r>
      <w:r w:rsidRPr="00043A1E">
        <w:rPr>
          <w:rFonts w:eastAsia="標楷體"/>
          <w:szCs w:val="22"/>
        </w:rPr>
        <w:t>相</w:t>
      </w:r>
      <w:r w:rsidR="008F071E">
        <w:rPr>
          <w:rFonts w:ascii="標楷體" w:eastAsia="標楷體" w:hAnsi="標楷體" w:hint="eastAsia"/>
          <w:bCs/>
          <w:color w:val="FF0000"/>
          <w:kern w:val="0"/>
          <w:highlight w:val="yellow"/>
        </w:rPr>
        <w:t>」</w:t>
      </w:r>
      <w:r w:rsidRPr="00043A1E">
        <w:rPr>
          <w:rFonts w:eastAsia="標楷體"/>
          <w:szCs w:val="22"/>
        </w:rPr>
        <w:t>積習成</w:t>
      </w:r>
      <w:r w:rsidR="008F071E">
        <w:rPr>
          <w:rFonts w:ascii="標楷體" w:eastAsia="標楷體" w:hAnsi="標楷體" w:hint="eastAsia"/>
          <w:bCs/>
          <w:color w:val="FF0000"/>
          <w:kern w:val="0"/>
          <w:highlight w:val="yellow"/>
        </w:rPr>
        <w:t>「</w:t>
      </w:r>
      <w:r w:rsidRPr="00043A1E">
        <w:rPr>
          <w:rFonts w:eastAsia="標楷體"/>
          <w:szCs w:val="22"/>
        </w:rPr>
        <w:t>性</w:t>
      </w:r>
      <w:r w:rsidR="008F071E">
        <w:rPr>
          <w:rFonts w:ascii="標楷體" w:eastAsia="標楷體" w:hAnsi="標楷體" w:hint="eastAsia"/>
          <w:bCs/>
          <w:color w:val="FF0000"/>
          <w:kern w:val="0"/>
          <w:highlight w:val="yellow"/>
        </w:rPr>
        <w:t>」</w:t>
      </w:r>
      <w:r w:rsidR="008F071E">
        <w:rPr>
          <w:rFonts w:ascii="標楷體" w:eastAsia="標楷體" w:hAnsi="標楷體" w:hint="eastAsia"/>
          <w:color w:val="FF0000"/>
          <w:spacing w:val="-4"/>
          <w:kern w:val="0"/>
          <w:highlight w:val="yellow"/>
        </w:rPr>
        <w:t>；</w:t>
      </w:r>
      <w:r w:rsidRPr="00043A1E">
        <w:rPr>
          <w:rFonts w:eastAsia="標楷體"/>
          <w:szCs w:val="22"/>
        </w:rPr>
        <w:t>譬如人瞋，日習不已，則成惡性。或</w:t>
      </w:r>
      <w:r w:rsidR="008F071E">
        <w:rPr>
          <w:rFonts w:ascii="標楷體" w:eastAsia="標楷體" w:hAnsi="標楷體" w:hint="eastAsia"/>
          <w:bCs/>
          <w:color w:val="FF0000"/>
          <w:kern w:val="0"/>
          <w:highlight w:val="yellow"/>
        </w:rPr>
        <w:t>「</w:t>
      </w:r>
      <w:r w:rsidRPr="00043A1E">
        <w:rPr>
          <w:rFonts w:eastAsia="標楷體"/>
          <w:szCs w:val="22"/>
        </w:rPr>
        <w:t>性</w:t>
      </w:r>
      <w:r w:rsidR="008F071E">
        <w:rPr>
          <w:rFonts w:ascii="標楷體" w:eastAsia="標楷體" w:hAnsi="標楷體" w:hint="eastAsia"/>
          <w:bCs/>
          <w:color w:val="FF0000"/>
          <w:kern w:val="0"/>
          <w:highlight w:val="yellow"/>
        </w:rPr>
        <w:t>」</w:t>
      </w:r>
      <w:r w:rsidR="008F071E">
        <w:rPr>
          <w:rFonts w:ascii="標楷體" w:eastAsia="標楷體" w:hAnsi="標楷體" w:hint="eastAsia"/>
          <w:color w:val="FF0000"/>
          <w:spacing w:val="-4"/>
          <w:kern w:val="0"/>
          <w:highlight w:val="yellow"/>
        </w:rPr>
        <w:t>、</w:t>
      </w:r>
      <w:r w:rsidR="008F071E">
        <w:rPr>
          <w:rFonts w:ascii="標楷體" w:eastAsia="標楷體" w:hAnsi="標楷體" w:hint="eastAsia"/>
          <w:bCs/>
          <w:color w:val="FF0000"/>
          <w:kern w:val="0"/>
          <w:highlight w:val="yellow"/>
        </w:rPr>
        <w:t>「</w:t>
      </w:r>
      <w:r w:rsidRPr="00043A1E">
        <w:rPr>
          <w:rFonts w:eastAsia="標楷體"/>
          <w:szCs w:val="22"/>
        </w:rPr>
        <w:t>相</w:t>
      </w:r>
      <w:r w:rsidR="008F071E">
        <w:rPr>
          <w:rFonts w:ascii="標楷體" w:eastAsia="標楷體" w:hAnsi="標楷體" w:hint="eastAsia"/>
          <w:bCs/>
          <w:color w:val="FF0000"/>
          <w:kern w:val="0"/>
          <w:highlight w:val="yellow"/>
        </w:rPr>
        <w:t>」</w:t>
      </w:r>
      <w:r w:rsidRPr="00043A1E">
        <w:rPr>
          <w:rFonts w:eastAsia="標楷體"/>
          <w:szCs w:val="22"/>
        </w:rPr>
        <w:t>異，</w:t>
      </w:r>
      <w:r w:rsidRPr="00043A1E">
        <w:rPr>
          <w:rFonts w:eastAsia="標楷體"/>
          <w:b/>
          <w:szCs w:val="22"/>
        </w:rPr>
        <w:t>如</w:t>
      </w:r>
      <w:r w:rsidR="008F071E">
        <w:rPr>
          <w:rFonts w:ascii="標楷體" w:eastAsia="標楷體" w:hAnsi="標楷體" w:hint="eastAsia"/>
          <w:color w:val="FF0000"/>
          <w:spacing w:val="-4"/>
          <w:kern w:val="0"/>
          <w:highlight w:val="yellow"/>
        </w:rPr>
        <w:t>：</w:t>
      </w:r>
      <w:r w:rsidRPr="00043A1E">
        <w:rPr>
          <w:rFonts w:eastAsia="標楷體"/>
          <w:b/>
          <w:szCs w:val="22"/>
        </w:rPr>
        <w:t>見煙知火，煙是火相，而非火也</w:t>
      </w:r>
      <w:r w:rsidRPr="00043A1E">
        <w:rPr>
          <w:rFonts w:eastAsia="標楷體"/>
          <w:szCs w:val="22"/>
        </w:rPr>
        <w:t>；或</w:t>
      </w:r>
      <w:r w:rsidR="008F071E">
        <w:rPr>
          <w:rFonts w:ascii="標楷體" w:eastAsia="標楷體" w:hAnsi="標楷體" w:hint="eastAsia"/>
          <w:bCs/>
          <w:color w:val="FF0000"/>
          <w:kern w:val="0"/>
          <w:highlight w:val="yellow"/>
        </w:rPr>
        <w:t>「</w:t>
      </w:r>
      <w:r w:rsidRPr="00043A1E">
        <w:rPr>
          <w:rFonts w:eastAsia="標楷體"/>
          <w:szCs w:val="22"/>
        </w:rPr>
        <w:t>相</w:t>
      </w:r>
      <w:r w:rsidR="008F071E">
        <w:rPr>
          <w:rFonts w:ascii="標楷體" w:eastAsia="標楷體" w:hAnsi="標楷體" w:hint="eastAsia"/>
          <w:bCs/>
          <w:color w:val="FF0000"/>
          <w:kern w:val="0"/>
          <w:highlight w:val="yellow"/>
        </w:rPr>
        <w:t>」</w:t>
      </w:r>
      <w:r w:rsidR="008F071E">
        <w:rPr>
          <w:rFonts w:ascii="標楷體" w:eastAsia="標楷體" w:hAnsi="標楷體" w:hint="eastAsia"/>
          <w:color w:val="FF0000"/>
          <w:spacing w:val="-4"/>
          <w:kern w:val="0"/>
          <w:highlight w:val="yellow"/>
        </w:rPr>
        <w:t>、</w:t>
      </w:r>
      <w:r w:rsidR="008F071E">
        <w:rPr>
          <w:rFonts w:ascii="標楷體" w:eastAsia="標楷體" w:hAnsi="標楷體" w:hint="eastAsia"/>
          <w:bCs/>
          <w:color w:val="FF0000"/>
          <w:kern w:val="0"/>
          <w:highlight w:val="yellow"/>
        </w:rPr>
        <w:t>「</w:t>
      </w:r>
      <w:r w:rsidRPr="00043A1E">
        <w:rPr>
          <w:rFonts w:eastAsia="標楷體"/>
          <w:szCs w:val="22"/>
        </w:rPr>
        <w:t>性</w:t>
      </w:r>
      <w:r w:rsidR="008F071E">
        <w:rPr>
          <w:rFonts w:ascii="標楷體" w:eastAsia="標楷體" w:hAnsi="標楷體" w:hint="eastAsia"/>
          <w:bCs/>
          <w:color w:val="FF0000"/>
          <w:kern w:val="0"/>
          <w:highlight w:val="yellow"/>
        </w:rPr>
        <w:t>」</w:t>
      </w:r>
      <w:r w:rsidRPr="00043A1E">
        <w:rPr>
          <w:rFonts w:eastAsia="標楷體"/>
          <w:szCs w:val="22"/>
        </w:rPr>
        <w:t>不異，如</w:t>
      </w:r>
      <w:r w:rsidR="008F071E">
        <w:rPr>
          <w:rFonts w:ascii="標楷體" w:eastAsia="標楷體" w:hAnsi="標楷體" w:hint="eastAsia"/>
          <w:color w:val="FF0000"/>
          <w:spacing w:val="-4"/>
          <w:kern w:val="0"/>
          <w:highlight w:val="yellow"/>
        </w:rPr>
        <w:t>：</w:t>
      </w:r>
      <w:r w:rsidRPr="00043A1E">
        <w:rPr>
          <w:rFonts w:eastAsia="標楷體"/>
          <w:szCs w:val="22"/>
        </w:rPr>
        <w:t>熱是火相，亦是火性。</w:t>
      </w:r>
    </w:p>
  </w:footnote>
  <w:footnote w:id="731">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《大智度論》卷</w:t>
      </w:r>
      <w:r w:rsidRPr="00761EF3">
        <w:rPr>
          <w:szCs w:val="22"/>
        </w:rPr>
        <w:t>46</w:t>
      </w:r>
      <w:r w:rsidRPr="00043A1E">
        <w:rPr>
          <w:szCs w:val="22"/>
        </w:rPr>
        <w:t>（大正</w:t>
      </w:r>
      <w:r w:rsidRPr="00761EF3">
        <w:rPr>
          <w:szCs w:val="22"/>
        </w:rPr>
        <w:t>25</w:t>
      </w:r>
      <w:r w:rsidRPr="00043A1E">
        <w:rPr>
          <w:szCs w:val="22"/>
        </w:rPr>
        <w:t>，</w:t>
      </w:r>
      <w:r w:rsidRPr="00761EF3">
        <w:rPr>
          <w:szCs w:val="22"/>
        </w:rPr>
        <w:t>394a5</w:t>
      </w:r>
      <w:r w:rsidRPr="00043A1E">
        <w:rPr>
          <w:szCs w:val="22"/>
        </w:rPr>
        <w:t>-</w:t>
      </w:r>
      <w:r w:rsidRPr="00761EF3">
        <w:rPr>
          <w:szCs w:val="22"/>
        </w:rPr>
        <w:t>8</w:t>
      </w:r>
      <w:r w:rsidRPr="00043A1E">
        <w:rPr>
          <w:szCs w:val="22"/>
        </w:rPr>
        <w:t>）</w:t>
      </w:r>
      <w:r w:rsidR="00EB671A" w:rsidRPr="00EB671A">
        <w:rPr>
          <w:rFonts w:hint="eastAsia"/>
          <w:color w:val="FF0000"/>
          <w:szCs w:val="22"/>
          <w:highlight w:val="yellow"/>
        </w:rPr>
        <w:t>引經［〈</w:t>
      </w:r>
      <w:r w:rsidR="00EB671A" w:rsidRPr="00EB671A">
        <w:rPr>
          <w:rFonts w:hint="eastAsia"/>
          <w:color w:val="FF0000"/>
          <w:szCs w:val="22"/>
          <w:highlight w:val="yellow"/>
        </w:rPr>
        <w:t xml:space="preserve">18 </w:t>
      </w:r>
      <w:r w:rsidR="00EB671A" w:rsidRPr="00EB671A">
        <w:rPr>
          <w:rFonts w:hint="eastAsia"/>
          <w:color w:val="FF0000"/>
          <w:szCs w:val="22"/>
          <w:highlight w:val="yellow"/>
        </w:rPr>
        <w:t>摩訶衍品〉］</w:t>
      </w:r>
      <w:r w:rsidRPr="00043A1E">
        <w:rPr>
          <w:szCs w:val="22"/>
        </w:rPr>
        <w:t>：</w:t>
      </w:r>
    </w:p>
    <w:p w:rsidR="00157EF6" w:rsidRPr="00043A1E" w:rsidRDefault="00157EF6" w:rsidP="00AA120F">
      <w:pPr>
        <w:pStyle w:val="a5"/>
        <w:ind w:leftChars="105" w:left="252"/>
        <w:jc w:val="both"/>
        <w:rPr>
          <w:szCs w:val="22"/>
        </w:rPr>
      </w:pPr>
      <w:r w:rsidRPr="00043A1E">
        <w:rPr>
          <w:rFonts w:eastAsia="標楷體"/>
          <w:szCs w:val="22"/>
        </w:rPr>
        <w:t>何等為</w:t>
      </w:r>
      <w:r w:rsidR="008F071E">
        <w:rPr>
          <w:rFonts w:ascii="標楷體" w:eastAsia="標楷體" w:hAnsi="標楷體" w:hint="eastAsia"/>
          <w:bCs/>
          <w:color w:val="FF0000"/>
          <w:kern w:val="0"/>
          <w:highlight w:val="yellow"/>
        </w:rPr>
        <w:t>「</w:t>
      </w:r>
      <w:r w:rsidRPr="00043A1E">
        <w:rPr>
          <w:rFonts w:eastAsia="標楷體"/>
          <w:szCs w:val="22"/>
        </w:rPr>
        <w:t>性空</w:t>
      </w:r>
      <w:r w:rsidR="008F071E">
        <w:rPr>
          <w:rFonts w:ascii="標楷體" w:eastAsia="標楷體" w:hAnsi="標楷體" w:hint="eastAsia"/>
          <w:bCs/>
          <w:color w:val="FF0000"/>
          <w:kern w:val="0"/>
          <w:highlight w:val="yellow"/>
        </w:rPr>
        <w:t>」</w:t>
      </w:r>
      <w:r w:rsidRPr="00043A1E">
        <w:rPr>
          <w:rFonts w:eastAsia="標楷體"/>
          <w:szCs w:val="22"/>
        </w:rPr>
        <w:t>？一切法性</w:t>
      </w:r>
      <w:r w:rsidRPr="00043A1E">
        <w:rPr>
          <w:rFonts w:eastAsia="標楷體"/>
          <w:szCs w:val="22"/>
        </w:rPr>
        <w:t>——</w:t>
      </w:r>
      <w:r w:rsidRPr="00043A1E">
        <w:rPr>
          <w:rFonts w:eastAsia="標楷體"/>
          <w:b/>
          <w:szCs w:val="22"/>
        </w:rPr>
        <w:t>若有為法性，若無為法性，是性非聲聞</w:t>
      </w:r>
      <w:r w:rsidR="008F071E">
        <w:rPr>
          <w:rFonts w:ascii="標楷體" w:eastAsia="標楷體" w:hAnsi="標楷體" w:hint="eastAsia"/>
          <w:color w:val="FF0000"/>
          <w:kern w:val="0"/>
          <w:highlight w:val="yellow"/>
        </w:rPr>
        <w:t>.</w:t>
      </w:r>
      <w:r w:rsidRPr="00043A1E">
        <w:rPr>
          <w:rFonts w:eastAsia="標楷體"/>
          <w:b/>
          <w:szCs w:val="22"/>
        </w:rPr>
        <w:t>辟支佛所作，非佛所作，亦非餘人所作。</w:t>
      </w:r>
      <w:r w:rsidR="008F071E">
        <w:rPr>
          <w:rFonts w:eastAsia="標楷體"/>
          <w:szCs w:val="22"/>
        </w:rPr>
        <w:t>是性、性空，非常非滅故。何以故？性自爾</w:t>
      </w:r>
      <w:r w:rsidR="008F071E">
        <w:rPr>
          <w:rFonts w:ascii="標楷體" w:eastAsia="標楷體" w:hAnsi="標楷體" w:hint="eastAsia"/>
          <w:color w:val="FF0000"/>
          <w:kern w:val="0"/>
          <w:highlight w:val="yellow"/>
        </w:rPr>
        <w:t>。</w:t>
      </w:r>
      <w:r w:rsidRPr="00043A1E">
        <w:rPr>
          <w:rFonts w:eastAsia="標楷體"/>
          <w:szCs w:val="22"/>
        </w:rPr>
        <w:t>是名</w:t>
      </w:r>
      <w:r w:rsidR="008F071E">
        <w:rPr>
          <w:rFonts w:ascii="標楷體" w:eastAsia="標楷體" w:hAnsi="標楷體" w:hint="eastAsia"/>
          <w:bCs/>
          <w:color w:val="FF0000"/>
          <w:kern w:val="0"/>
          <w:highlight w:val="yellow"/>
        </w:rPr>
        <w:t>「</w:t>
      </w:r>
      <w:r w:rsidRPr="00043A1E">
        <w:rPr>
          <w:rFonts w:eastAsia="標楷體"/>
          <w:szCs w:val="22"/>
        </w:rPr>
        <w:t>性空</w:t>
      </w:r>
      <w:r w:rsidR="008F071E">
        <w:rPr>
          <w:rFonts w:ascii="標楷體" w:eastAsia="標楷體" w:hAnsi="標楷體" w:hint="eastAsia"/>
          <w:bCs/>
          <w:color w:val="FF0000"/>
          <w:kern w:val="0"/>
          <w:highlight w:val="yellow"/>
        </w:rPr>
        <w:t>」</w:t>
      </w:r>
      <w:r w:rsidRPr="00043A1E">
        <w:rPr>
          <w:rFonts w:eastAsia="標楷體"/>
          <w:szCs w:val="22"/>
        </w:rPr>
        <w:t>。</w:t>
      </w:r>
    </w:p>
  </w:footnote>
  <w:footnote w:id="732">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《大智度論》卷</w:t>
      </w:r>
      <w:r w:rsidRPr="00761EF3">
        <w:rPr>
          <w:szCs w:val="22"/>
        </w:rPr>
        <w:t>31</w:t>
      </w:r>
      <w:r w:rsidR="003A5C8E">
        <w:rPr>
          <w:rFonts w:hint="eastAsia"/>
          <w:color w:val="FF0000"/>
          <w:szCs w:val="22"/>
          <w:highlight w:val="yellow"/>
        </w:rPr>
        <w:t>釋〈</w:t>
      </w:r>
      <w:r w:rsidR="003A5C8E">
        <w:rPr>
          <w:color w:val="FF0000"/>
          <w:szCs w:val="22"/>
          <w:highlight w:val="yellow"/>
        </w:rPr>
        <w:t xml:space="preserve">1 </w:t>
      </w:r>
      <w:r w:rsidR="003A5C8E">
        <w:rPr>
          <w:rFonts w:hint="eastAsia"/>
          <w:color w:val="FF0000"/>
          <w:szCs w:val="22"/>
          <w:highlight w:val="yellow"/>
        </w:rPr>
        <w:t>序品〉</w:t>
      </w:r>
      <w:r w:rsidRPr="00043A1E">
        <w:rPr>
          <w:szCs w:val="22"/>
        </w:rPr>
        <w:t>（大正</w:t>
      </w:r>
      <w:r w:rsidRPr="00761EF3">
        <w:rPr>
          <w:szCs w:val="22"/>
        </w:rPr>
        <w:t>25</w:t>
      </w:r>
      <w:r w:rsidRPr="00043A1E">
        <w:rPr>
          <w:szCs w:val="22"/>
        </w:rPr>
        <w:t>，</w:t>
      </w:r>
      <w:r w:rsidRPr="00761EF3">
        <w:rPr>
          <w:szCs w:val="22"/>
        </w:rPr>
        <w:t>293a21</w:t>
      </w:r>
      <w:r w:rsidRPr="00043A1E">
        <w:rPr>
          <w:szCs w:val="22"/>
        </w:rPr>
        <w:t>-</w:t>
      </w:r>
      <w:r w:rsidRPr="00761EF3">
        <w:rPr>
          <w:szCs w:val="22"/>
        </w:rPr>
        <w:t>24</w:t>
      </w:r>
      <w:r w:rsidRPr="00043A1E">
        <w:rPr>
          <w:szCs w:val="22"/>
        </w:rPr>
        <w:t>）：</w:t>
      </w:r>
    </w:p>
    <w:p w:rsidR="00157EF6" w:rsidRPr="00043A1E" w:rsidRDefault="00157EF6" w:rsidP="00AA120F">
      <w:pPr>
        <w:snapToGrid w:val="0"/>
        <w:ind w:leftChars="105" w:left="252"/>
        <w:jc w:val="both"/>
        <w:rPr>
          <w:rFonts w:ascii="Times New Roman" w:hAnsi="Times New Roman"/>
          <w:sz w:val="22"/>
          <w:szCs w:val="22"/>
        </w:rPr>
      </w:pPr>
      <w:r w:rsidRPr="00043A1E">
        <w:rPr>
          <w:rFonts w:ascii="Times New Roman" w:eastAsia="標楷體" w:hAnsi="Times New Roman"/>
          <w:sz w:val="22"/>
          <w:szCs w:val="22"/>
        </w:rPr>
        <w:t>有為性三相</w:t>
      </w:r>
      <w:r w:rsidRPr="00043A1E">
        <w:rPr>
          <w:rFonts w:ascii="Times New Roman" w:eastAsia="標楷體" w:hAnsi="Times New Roman" w:hint="eastAsia"/>
          <w:sz w:val="22"/>
          <w:szCs w:val="22"/>
        </w:rPr>
        <w:t>：</w:t>
      </w:r>
      <w:r w:rsidRPr="00043A1E">
        <w:rPr>
          <w:rFonts w:ascii="Times New Roman" w:eastAsia="標楷體" w:hAnsi="Times New Roman"/>
          <w:sz w:val="22"/>
          <w:szCs w:val="22"/>
        </w:rPr>
        <w:t>生、住、滅；無為性亦三相：不生、不住、不滅。有為性尚空，何況有為法！無為性尚空，何況無為法！以是種種因緣，性不可得，名為</w:t>
      </w:r>
      <w:r w:rsidR="008F071E">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性空</w:t>
      </w:r>
      <w:r w:rsidR="008F071E">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w:t>
      </w:r>
    </w:p>
  </w:footnote>
  <w:footnote w:id="733">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《大智度論》卷</w:t>
      </w:r>
      <w:r w:rsidRPr="00761EF3">
        <w:rPr>
          <w:szCs w:val="22"/>
        </w:rPr>
        <w:t>51</w:t>
      </w:r>
      <w:r w:rsidR="003A5C8E">
        <w:rPr>
          <w:rFonts w:hint="eastAsia"/>
          <w:color w:val="FF0000"/>
          <w:szCs w:val="22"/>
          <w:highlight w:val="yellow"/>
        </w:rPr>
        <w:t>釋</w:t>
      </w:r>
      <w:r w:rsidR="003A5C8E" w:rsidRPr="003A5C8E">
        <w:rPr>
          <w:rFonts w:hint="eastAsia"/>
          <w:color w:val="FF0000"/>
          <w:szCs w:val="22"/>
          <w:highlight w:val="yellow"/>
        </w:rPr>
        <w:t>〈</w:t>
      </w:r>
      <w:r w:rsidR="003A5C8E" w:rsidRPr="003A5C8E">
        <w:rPr>
          <w:rFonts w:hint="eastAsia"/>
          <w:color w:val="FF0000"/>
          <w:szCs w:val="22"/>
          <w:highlight w:val="yellow"/>
        </w:rPr>
        <w:t xml:space="preserve">23 </w:t>
      </w:r>
      <w:r w:rsidR="003A5C8E" w:rsidRPr="003A5C8E">
        <w:rPr>
          <w:rFonts w:hint="eastAsia"/>
          <w:color w:val="FF0000"/>
          <w:szCs w:val="22"/>
          <w:highlight w:val="yellow"/>
        </w:rPr>
        <w:t>含受品〉</w:t>
      </w:r>
      <w:r w:rsidRPr="00043A1E">
        <w:rPr>
          <w:szCs w:val="22"/>
        </w:rPr>
        <w:t>（大正</w:t>
      </w:r>
      <w:r w:rsidRPr="00761EF3">
        <w:rPr>
          <w:szCs w:val="22"/>
        </w:rPr>
        <w:t>25</w:t>
      </w:r>
      <w:r w:rsidRPr="00043A1E">
        <w:rPr>
          <w:szCs w:val="22"/>
        </w:rPr>
        <w:t>，</w:t>
      </w:r>
      <w:r w:rsidRPr="00761EF3">
        <w:rPr>
          <w:szCs w:val="22"/>
        </w:rPr>
        <w:t>428a19</w:t>
      </w:r>
      <w:r w:rsidRPr="00043A1E">
        <w:rPr>
          <w:szCs w:val="22"/>
        </w:rPr>
        <w:t>-</w:t>
      </w:r>
      <w:r w:rsidRPr="00761EF3">
        <w:rPr>
          <w:szCs w:val="22"/>
        </w:rPr>
        <w:t>2</w:t>
      </w:r>
      <w:r w:rsidRPr="00761EF3">
        <w:rPr>
          <w:rFonts w:hint="eastAsia"/>
          <w:szCs w:val="22"/>
        </w:rPr>
        <w:t>3</w:t>
      </w:r>
      <w:r w:rsidRPr="00043A1E">
        <w:rPr>
          <w:szCs w:val="22"/>
        </w:rPr>
        <w:t>）：</w:t>
      </w:r>
    </w:p>
    <w:p w:rsidR="00157EF6" w:rsidRDefault="00157EF6" w:rsidP="00AA120F">
      <w:pPr>
        <w:snapToGrid w:val="0"/>
        <w:ind w:leftChars="105" w:left="252"/>
        <w:jc w:val="both"/>
        <w:rPr>
          <w:rFonts w:ascii="Times New Roman" w:eastAsia="標楷體" w:hAnsi="Times New Roman"/>
          <w:sz w:val="22"/>
          <w:szCs w:val="22"/>
        </w:rPr>
      </w:pPr>
      <w:r w:rsidRPr="00043A1E">
        <w:rPr>
          <w:rFonts w:ascii="Times New Roman" w:eastAsia="標楷體" w:hAnsi="Times New Roman"/>
          <w:sz w:val="22"/>
          <w:szCs w:val="22"/>
        </w:rPr>
        <w:t>如</w:t>
      </w:r>
      <w:r w:rsidRPr="00043A1E">
        <w:rPr>
          <w:rFonts w:ascii="Times New Roman" w:eastAsia="標楷體" w:hAnsi="Times New Roman"/>
          <w:b/>
          <w:sz w:val="22"/>
          <w:szCs w:val="22"/>
        </w:rPr>
        <w:t>諸佛觀色相畢竟清淨空</w:t>
      </w:r>
      <w:r w:rsidR="008F071E">
        <w:rPr>
          <w:rFonts w:ascii="標楷體" w:eastAsia="標楷體" w:hAnsi="標楷體" w:hint="eastAsia"/>
          <w:color w:val="FF0000"/>
          <w:kern w:val="0"/>
          <w:sz w:val="22"/>
          <w:highlight w:val="yellow"/>
        </w:rPr>
        <w:t>，</w:t>
      </w:r>
      <w:r w:rsidRPr="00043A1E">
        <w:rPr>
          <w:rFonts w:ascii="Times New Roman" w:eastAsia="標楷體" w:hAnsi="Times New Roman"/>
          <w:sz w:val="22"/>
          <w:szCs w:val="22"/>
        </w:rPr>
        <w:t>菩薩亦應如是觀</w:t>
      </w:r>
      <w:r w:rsidR="008F071E">
        <w:rPr>
          <w:rFonts w:ascii="標楷體" w:eastAsia="標楷體" w:hAnsi="標楷體" w:hint="eastAsia"/>
          <w:color w:val="FF0000"/>
          <w:kern w:val="0"/>
          <w:sz w:val="22"/>
          <w:highlight w:val="yellow"/>
        </w:rPr>
        <w:t>。</w:t>
      </w:r>
      <w:r w:rsidR="008F071E">
        <w:rPr>
          <w:rFonts w:ascii="標楷體" w:eastAsia="標楷體" w:hAnsi="標楷體" w:hint="eastAsia"/>
          <w:bCs/>
          <w:color w:val="FF0000"/>
          <w:kern w:val="0"/>
          <w:sz w:val="22"/>
          <w:highlight w:val="yellow"/>
        </w:rPr>
        <w:t>「</w:t>
      </w:r>
      <w:r w:rsidR="008F071E" w:rsidRPr="00043A1E">
        <w:rPr>
          <w:rFonts w:ascii="Times New Roman" w:eastAsia="標楷體" w:hAnsi="Times New Roman"/>
          <w:sz w:val="22"/>
          <w:szCs w:val="22"/>
        </w:rPr>
        <w:t>色</w:t>
      </w:r>
      <w:r w:rsidR="008F071E" w:rsidRPr="003F5A24">
        <w:rPr>
          <w:rFonts w:ascii="標楷體" w:eastAsia="標楷體" w:hAnsi="標楷體" w:hint="eastAsia"/>
          <w:sz w:val="22"/>
          <w:szCs w:val="22"/>
        </w:rPr>
        <w:t>眼</w:t>
      </w:r>
      <w:r w:rsidR="008F071E" w:rsidRPr="003F5A24">
        <w:rPr>
          <w:rFonts w:ascii="Times New Roman" w:hAnsi="Times New Roman" w:hint="eastAsia"/>
          <w:color w:val="FF0000"/>
          <w:sz w:val="22"/>
          <w:szCs w:val="22"/>
          <w:highlight w:val="yellow"/>
          <w:vertAlign w:val="superscript"/>
        </w:rPr>
        <w:t>[1]</w:t>
      </w:r>
      <w:r w:rsidR="008F071E" w:rsidRPr="00043A1E">
        <w:rPr>
          <w:rFonts w:ascii="Times New Roman" w:eastAsia="標楷體" w:hAnsi="Times New Roman"/>
          <w:sz w:val="22"/>
          <w:szCs w:val="22"/>
        </w:rPr>
        <w:t>法</w:t>
      </w:r>
      <w:r w:rsidR="008F071E">
        <w:rPr>
          <w:rFonts w:ascii="標楷體" w:eastAsia="標楷體" w:hAnsi="標楷體" w:hint="eastAsia"/>
          <w:bCs/>
          <w:color w:val="FF0000"/>
          <w:kern w:val="0"/>
          <w:sz w:val="22"/>
          <w:highlight w:val="yellow"/>
        </w:rPr>
        <w:t>」</w:t>
      </w:r>
      <w:r w:rsidR="008F071E" w:rsidRPr="00043A1E">
        <w:rPr>
          <w:rFonts w:ascii="Times New Roman" w:eastAsia="標楷體" w:hAnsi="Times New Roman"/>
          <w:sz w:val="22"/>
          <w:szCs w:val="22"/>
        </w:rPr>
        <w:t>、</w:t>
      </w:r>
      <w:r w:rsidR="008F071E">
        <w:rPr>
          <w:rFonts w:ascii="標楷體" w:eastAsia="標楷體" w:hAnsi="標楷體" w:hint="eastAsia"/>
          <w:bCs/>
          <w:color w:val="FF0000"/>
          <w:kern w:val="0"/>
          <w:sz w:val="22"/>
          <w:highlight w:val="yellow"/>
        </w:rPr>
        <w:t>「</w:t>
      </w:r>
      <w:r w:rsidR="008F071E" w:rsidRPr="00043A1E">
        <w:rPr>
          <w:rFonts w:ascii="Times New Roman" w:eastAsia="標楷體" w:hAnsi="Times New Roman"/>
          <w:sz w:val="22"/>
          <w:szCs w:val="22"/>
        </w:rPr>
        <w:t>色如</w:t>
      </w:r>
      <w:r w:rsidR="008F071E">
        <w:rPr>
          <w:rFonts w:ascii="標楷體" w:eastAsia="標楷體" w:hAnsi="標楷體" w:hint="eastAsia"/>
          <w:bCs/>
          <w:color w:val="FF0000"/>
          <w:kern w:val="0"/>
          <w:sz w:val="22"/>
          <w:highlight w:val="yellow"/>
        </w:rPr>
        <w:t>」</w:t>
      </w:r>
      <w:r w:rsidR="008F071E">
        <w:rPr>
          <w:rFonts w:ascii="標楷體" w:eastAsia="標楷體" w:hAnsi="標楷體" w:hint="eastAsia"/>
          <w:color w:val="FF0000"/>
          <w:kern w:val="0"/>
          <w:sz w:val="22"/>
          <w:highlight w:val="yellow"/>
        </w:rPr>
        <w:t>，</w:t>
      </w:r>
      <w:r w:rsidRPr="00043A1E">
        <w:rPr>
          <w:rFonts w:ascii="Times New Roman" w:eastAsia="標楷體" w:hAnsi="Times New Roman"/>
          <w:sz w:val="22"/>
          <w:szCs w:val="22"/>
        </w:rPr>
        <w:t>何因緣不如凡夫人所見？</w:t>
      </w:r>
      <w:r w:rsidRPr="00043A1E">
        <w:rPr>
          <w:rFonts w:ascii="Times New Roman" w:eastAsia="標楷體" w:hAnsi="Times New Roman"/>
          <w:b/>
          <w:iCs/>
          <w:sz w:val="22"/>
          <w:szCs w:val="22"/>
        </w:rPr>
        <w:t>性自爾故</w:t>
      </w:r>
      <w:r w:rsidRPr="00043A1E">
        <w:rPr>
          <w:rFonts w:ascii="Times New Roman" w:eastAsia="標楷體" w:hAnsi="Times New Roman"/>
          <w:sz w:val="22"/>
          <w:szCs w:val="22"/>
        </w:rPr>
        <w:t>。</w:t>
      </w:r>
      <w:r w:rsidRPr="00043A1E">
        <w:rPr>
          <w:rFonts w:ascii="Times New Roman" w:eastAsia="標楷體" w:hAnsi="Times New Roman"/>
          <w:b/>
          <w:sz w:val="22"/>
          <w:szCs w:val="22"/>
        </w:rPr>
        <w:t>此</w:t>
      </w:r>
      <w:r w:rsidR="008F071E">
        <w:rPr>
          <w:rFonts w:ascii="標楷體" w:eastAsia="標楷體" w:hAnsi="標楷體" w:hint="eastAsia"/>
          <w:bCs/>
          <w:color w:val="FF0000"/>
          <w:kern w:val="0"/>
          <w:sz w:val="22"/>
          <w:highlight w:val="yellow"/>
        </w:rPr>
        <w:t>「</w:t>
      </w:r>
      <w:r w:rsidRPr="00043A1E">
        <w:rPr>
          <w:rFonts w:ascii="Times New Roman" w:eastAsia="標楷體" w:hAnsi="Times New Roman"/>
          <w:b/>
          <w:sz w:val="22"/>
          <w:szCs w:val="22"/>
        </w:rPr>
        <w:t>性</w:t>
      </w:r>
      <w:r w:rsidR="008F071E">
        <w:rPr>
          <w:rFonts w:ascii="標楷體" w:eastAsia="標楷體" w:hAnsi="標楷體" w:hint="eastAsia"/>
          <w:bCs/>
          <w:color w:val="FF0000"/>
          <w:kern w:val="0"/>
          <w:sz w:val="22"/>
          <w:highlight w:val="yellow"/>
        </w:rPr>
        <w:t>」</w:t>
      </w:r>
      <w:r w:rsidRPr="00043A1E">
        <w:rPr>
          <w:rFonts w:ascii="Times New Roman" w:eastAsia="標楷體" w:hAnsi="Times New Roman"/>
          <w:b/>
          <w:sz w:val="22"/>
          <w:szCs w:val="22"/>
        </w:rPr>
        <w:t>深妙，云何可知？以</w:t>
      </w:r>
      <w:r w:rsidR="008F071E">
        <w:rPr>
          <w:rFonts w:ascii="標楷體" w:eastAsia="標楷體" w:hAnsi="標楷體" w:hint="eastAsia"/>
          <w:bCs/>
          <w:color w:val="FF0000"/>
          <w:kern w:val="0"/>
          <w:sz w:val="22"/>
          <w:highlight w:val="yellow"/>
        </w:rPr>
        <w:t>「</w:t>
      </w:r>
      <w:r w:rsidRPr="00043A1E">
        <w:rPr>
          <w:rFonts w:ascii="Times New Roman" w:eastAsia="標楷體" w:hAnsi="Times New Roman"/>
          <w:b/>
          <w:sz w:val="22"/>
          <w:szCs w:val="22"/>
        </w:rPr>
        <w:t>色相</w:t>
      </w:r>
      <w:r w:rsidR="008F071E">
        <w:rPr>
          <w:rFonts w:ascii="標楷體" w:eastAsia="標楷體" w:hAnsi="標楷體" w:hint="eastAsia"/>
          <w:bCs/>
          <w:color w:val="FF0000"/>
          <w:kern w:val="0"/>
          <w:sz w:val="22"/>
          <w:highlight w:val="yellow"/>
        </w:rPr>
        <w:t>」</w:t>
      </w:r>
      <w:r w:rsidRPr="00043A1E">
        <w:rPr>
          <w:rFonts w:ascii="Times New Roman" w:eastAsia="標楷體" w:hAnsi="Times New Roman"/>
          <w:b/>
          <w:sz w:val="22"/>
          <w:szCs w:val="22"/>
        </w:rPr>
        <w:t>力故可知。</w:t>
      </w:r>
      <w:r w:rsidRPr="00043A1E">
        <w:rPr>
          <w:rFonts w:ascii="Times New Roman" w:eastAsia="標楷體" w:hAnsi="Times New Roman"/>
          <w:sz w:val="22"/>
          <w:szCs w:val="22"/>
        </w:rPr>
        <w:t>如</w:t>
      </w:r>
      <w:r w:rsidR="008F071E">
        <w:rPr>
          <w:rFonts w:ascii="標楷體" w:eastAsia="標楷體" w:hAnsi="標楷體" w:hint="eastAsia"/>
          <w:color w:val="FF0000"/>
          <w:spacing w:val="-4"/>
          <w:kern w:val="0"/>
          <w:sz w:val="22"/>
          <w:highlight w:val="yellow"/>
        </w:rPr>
        <w:t>：</w:t>
      </w:r>
      <w:r w:rsidRPr="00043A1E">
        <w:rPr>
          <w:rFonts w:ascii="Times New Roman" w:eastAsia="標楷體" w:hAnsi="Times New Roman"/>
          <w:sz w:val="22"/>
          <w:szCs w:val="22"/>
        </w:rPr>
        <w:t>火以煙為相，見煙則知有火；今見眼色</w:t>
      </w:r>
      <w:r w:rsidR="008F071E">
        <w:rPr>
          <w:rFonts w:ascii="標楷體" w:eastAsia="標楷體" w:hAnsi="標楷體" w:hint="eastAsia"/>
          <w:bCs/>
          <w:color w:val="FF0000"/>
          <w:kern w:val="0"/>
          <w:sz w:val="22"/>
          <w:highlight w:val="yellow"/>
        </w:rPr>
        <w:t>「</w:t>
      </w:r>
      <w:r w:rsidR="008F071E">
        <w:rPr>
          <w:rFonts w:ascii="標楷體" w:eastAsia="標楷體" w:hAnsi="標楷體" w:hint="eastAsia"/>
          <w:color w:val="FF0000"/>
          <w:kern w:val="0"/>
          <w:sz w:val="22"/>
          <w:highlight w:val="yellow"/>
        </w:rPr>
        <w:t>『</w:t>
      </w:r>
      <w:r w:rsidRPr="00043A1E">
        <w:rPr>
          <w:rFonts w:ascii="Times New Roman" w:eastAsia="標楷體" w:hAnsi="Times New Roman"/>
          <w:sz w:val="22"/>
          <w:szCs w:val="22"/>
        </w:rPr>
        <w:t>無常</w:t>
      </w:r>
      <w:r w:rsidRPr="00043A1E">
        <w:rPr>
          <w:rFonts w:ascii="Times New Roman" w:eastAsia="標楷體" w:hAnsi="Times New Roman" w:hint="eastAsia"/>
          <w:sz w:val="22"/>
          <w:szCs w:val="22"/>
        </w:rPr>
        <w:t>、</w:t>
      </w:r>
      <w:r w:rsidRPr="00043A1E">
        <w:rPr>
          <w:rFonts w:ascii="Times New Roman" w:eastAsia="標楷體" w:hAnsi="Times New Roman"/>
          <w:sz w:val="22"/>
          <w:szCs w:val="22"/>
        </w:rPr>
        <w:t>破壞、苦惱、粗澀</w:t>
      </w:r>
      <w:r w:rsidR="008F071E">
        <w:rPr>
          <w:rFonts w:ascii="標楷體" w:eastAsia="標楷體" w:hAnsi="標楷體" w:hint="eastAsia"/>
          <w:color w:val="FF0000"/>
          <w:kern w:val="0"/>
          <w:sz w:val="22"/>
          <w:highlight w:val="yellow"/>
        </w:rPr>
        <w:t>』</w:t>
      </w:r>
      <w:r w:rsidRPr="00043A1E">
        <w:rPr>
          <w:rFonts w:ascii="Times New Roman" w:eastAsia="標楷體" w:hAnsi="Times New Roman"/>
          <w:sz w:val="22"/>
          <w:szCs w:val="22"/>
        </w:rPr>
        <w:t>相</w:t>
      </w:r>
      <w:r w:rsidR="008F071E">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，知其</w:t>
      </w:r>
      <w:r w:rsidR="008F071E">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性</w:t>
      </w:r>
      <w:r w:rsidR="008F071E">
        <w:rPr>
          <w:rFonts w:ascii="標楷體" w:eastAsia="標楷體" w:hAnsi="標楷體" w:hint="eastAsia"/>
          <w:bCs/>
          <w:color w:val="FF0000"/>
          <w:kern w:val="0"/>
          <w:sz w:val="22"/>
          <w:highlight w:val="yellow"/>
        </w:rPr>
        <w:t>」</w:t>
      </w:r>
      <w:r w:rsidRPr="00043A1E">
        <w:rPr>
          <w:rFonts w:ascii="Times New Roman" w:eastAsia="標楷體" w:hAnsi="Times New Roman"/>
          <w:sz w:val="22"/>
          <w:szCs w:val="22"/>
        </w:rPr>
        <w:t>爾。</w:t>
      </w:r>
    </w:p>
    <w:p w:rsidR="008F071E" w:rsidRPr="00043A1E" w:rsidRDefault="008F071E" w:rsidP="00AA120F">
      <w:pPr>
        <w:snapToGrid w:val="0"/>
        <w:ind w:leftChars="105" w:left="252"/>
        <w:jc w:val="both"/>
        <w:rPr>
          <w:rFonts w:ascii="Times New Roman" w:hAnsi="Times New Roman"/>
          <w:sz w:val="22"/>
          <w:szCs w:val="22"/>
        </w:rPr>
      </w:pPr>
      <w:r w:rsidRPr="003F5A24">
        <w:rPr>
          <w:rFonts w:ascii="Times New Roman" w:hAnsi="Times New Roman" w:hint="eastAsia"/>
          <w:color w:val="FF0000"/>
          <w:sz w:val="22"/>
          <w:szCs w:val="22"/>
          <w:highlight w:val="yellow"/>
        </w:rPr>
        <w:t>[1]</w:t>
      </w:r>
      <w:r w:rsidRPr="003F5A24">
        <w:rPr>
          <w:rFonts w:ascii="Times New Roman" w:hAnsi="Times New Roman" w:hint="eastAsia"/>
          <w:color w:val="FF0000"/>
          <w:sz w:val="22"/>
          <w:szCs w:val="22"/>
          <w:highlight w:val="yellow"/>
        </w:rPr>
        <w:t>〔眼〕－【宋】【元】【明】【宮】【聖】【石】。</w:t>
      </w:r>
      <w:r w:rsidRPr="003F5A24">
        <w:rPr>
          <w:rFonts w:ascii="Times New Roman" w:hAnsi="Times New Roman"/>
          <w:color w:val="FF0000"/>
          <w:sz w:val="22"/>
          <w:szCs w:val="22"/>
          <w:highlight w:val="yellow"/>
        </w:rPr>
        <w:t>（大正</w:t>
      </w:r>
      <w:r w:rsidRPr="003F5A24">
        <w:rPr>
          <w:rFonts w:ascii="Times New Roman" w:hAnsi="Times New Roman"/>
          <w:color w:val="FF0000"/>
          <w:sz w:val="22"/>
          <w:szCs w:val="22"/>
          <w:highlight w:val="yellow"/>
        </w:rPr>
        <w:t>25</w:t>
      </w:r>
      <w:r w:rsidRPr="003F5A24">
        <w:rPr>
          <w:rFonts w:ascii="Times New Roman" w:hAnsi="Times New Roman"/>
          <w:color w:val="FF0000"/>
          <w:sz w:val="22"/>
          <w:szCs w:val="22"/>
          <w:highlight w:val="yellow"/>
        </w:rPr>
        <w:t>，</w:t>
      </w:r>
      <w:r w:rsidRPr="003F5A24">
        <w:rPr>
          <w:rFonts w:ascii="Times New Roman" w:hAnsi="Times New Roman"/>
          <w:color w:val="FF0000"/>
          <w:sz w:val="22"/>
          <w:szCs w:val="22"/>
          <w:highlight w:val="yellow"/>
        </w:rPr>
        <w:t>428</w:t>
      </w:r>
      <w:r w:rsidRPr="003F5A24">
        <w:rPr>
          <w:rFonts w:ascii="Times New Roman" w:hAnsi="Times New Roman" w:hint="eastAsia"/>
          <w:color w:val="FF0000"/>
          <w:sz w:val="22"/>
          <w:szCs w:val="22"/>
          <w:highlight w:val="yellow"/>
        </w:rPr>
        <w:t>d</w:t>
      </w:r>
      <w:r w:rsidRPr="003F5A24">
        <w:rPr>
          <w:rFonts w:ascii="Times New Roman" w:hAnsi="Times New Roman" w:hint="eastAsia"/>
          <w:color w:val="FF0000"/>
          <w:sz w:val="22"/>
          <w:szCs w:val="22"/>
          <w:highlight w:val="yellow"/>
        </w:rPr>
        <w:t>，</w:t>
      </w:r>
      <w:r w:rsidRPr="003F5A24">
        <w:rPr>
          <w:rFonts w:ascii="Times New Roman" w:hAnsi="Times New Roman" w:hint="eastAsia"/>
          <w:color w:val="FF0000"/>
          <w:sz w:val="22"/>
          <w:szCs w:val="22"/>
          <w:highlight w:val="yellow"/>
        </w:rPr>
        <w:t>n.1</w:t>
      </w:r>
      <w:r w:rsidRPr="003F5A24">
        <w:rPr>
          <w:rFonts w:ascii="Times New Roman" w:hAnsi="Times New Roman"/>
          <w:color w:val="FF0000"/>
          <w:sz w:val="22"/>
          <w:szCs w:val="22"/>
          <w:highlight w:val="yellow"/>
        </w:rPr>
        <w:t>）</w:t>
      </w:r>
    </w:p>
  </w:footnote>
  <w:footnote w:id="734">
    <w:p w:rsidR="008F07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類名：《墨經》中的邏輯術語。指反映同類對象的概念，相當於普遍概念。如</w:t>
      </w:r>
      <w:r w:rsidRPr="00043A1E">
        <w:rPr>
          <w:szCs w:val="22"/>
        </w:rPr>
        <w:t>“</w:t>
      </w:r>
      <w:r w:rsidRPr="00043A1E">
        <w:rPr>
          <w:szCs w:val="22"/>
        </w:rPr>
        <w:t>馬</w:t>
      </w:r>
      <w:r w:rsidRPr="00043A1E">
        <w:rPr>
          <w:szCs w:val="22"/>
        </w:rPr>
        <w:t>”</w:t>
      </w:r>
      <w:r w:rsidRPr="00043A1E">
        <w:rPr>
          <w:szCs w:val="22"/>
        </w:rPr>
        <w:t>即類名。《墨子</w:t>
      </w:r>
      <w:r w:rsidRPr="00043A1E">
        <w:rPr>
          <w:rFonts w:ascii="新細明體" w:hAnsi="新細明體" w:cs="新細明體" w:hint="eastAsia"/>
          <w:szCs w:val="22"/>
        </w:rPr>
        <w:t>‧</w:t>
      </w:r>
      <w:r w:rsidRPr="00043A1E">
        <w:rPr>
          <w:szCs w:val="22"/>
        </w:rPr>
        <w:t>經說上》：</w:t>
      </w:r>
      <w:r w:rsidRPr="00043A1E">
        <w:rPr>
          <w:szCs w:val="22"/>
        </w:rPr>
        <w:t>“</w:t>
      </w:r>
      <w:r w:rsidRPr="00043A1E">
        <w:rPr>
          <w:szCs w:val="22"/>
        </w:rPr>
        <w:t>命之馬，類也；若實也者，必以是名也。</w:t>
      </w:r>
      <w:r w:rsidRPr="00043A1E">
        <w:rPr>
          <w:szCs w:val="22"/>
        </w:rPr>
        <w:t xml:space="preserve">” </w:t>
      </w:r>
      <w:r w:rsidRPr="00043A1E">
        <w:rPr>
          <w:szCs w:val="22"/>
        </w:rPr>
        <w:t>孫詒讓</w:t>
      </w:r>
      <w:r w:rsidRPr="00043A1E">
        <w:rPr>
          <w:szCs w:val="22"/>
        </w:rPr>
        <w:t xml:space="preserve"> </w:t>
      </w:r>
      <w:r w:rsidRPr="00043A1E">
        <w:rPr>
          <w:szCs w:val="22"/>
        </w:rPr>
        <w:t>間詁：</w:t>
      </w:r>
      <w:r w:rsidRPr="00043A1E">
        <w:rPr>
          <w:szCs w:val="22"/>
        </w:rPr>
        <w:t xml:space="preserve">“ </w:t>
      </w:r>
      <w:r w:rsidRPr="00043A1E">
        <w:rPr>
          <w:szCs w:val="22"/>
        </w:rPr>
        <w:t>張</w:t>
      </w:r>
      <w:r w:rsidRPr="00043A1E">
        <w:rPr>
          <w:szCs w:val="22"/>
        </w:rPr>
        <w:t xml:space="preserve"> </w:t>
      </w:r>
      <w:r w:rsidRPr="00043A1E">
        <w:rPr>
          <w:szCs w:val="22"/>
        </w:rPr>
        <w:t>云：</w:t>
      </w:r>
      <w:r w:rsidRPr="00043A1E">
        <w:rPr>
          <w:szCs w:val="22"/>
        </w:rPr>
        <w:t>‘</w:t>
      </w:r>
      <w:r w:rsidRPr="00043A1E">
        <w:rPr>
          <w:szCs w:val="22"/>
        </w:rPr>
        <w:t>馬而名之馬，是類也。凡馬之實，皆得名之馬。</w:t>
      </w:r>
    </w:p>
    <w:p w:rsidR="00157EF6" w:rsidRPr="00043A1E" w:rsidRDefault="00157EF6" w:rsidP="008F071E">
      <w:pPr>
        <w:pStyle w:val="a5"/>
        <w:spacing w:line="0" w:lineRule="atLeast"/>
        <w:ind w:left="253" w:hangingChars="115" w:hanging="253"/>
        <w:jc w:val="right"/>
        <w:rPr>
          <w:szCs w:val="22"/>
        </w:rPr>
      </w:pPr>
      <w:r w:rsidRPr="00043A1E">
        <w:rPr>
          <w:szCs w:val="22"/>
        </w:rPr>
        <w:t>（《漢語大詞典》（十二）</w:t>
      </w:r>
      <w:r w:rsidRPr="00043A1E">
        <w:rPr>
          <w:rFonts w:hint="eastAsia"/>
          <w:szCs w:val="22"/>
        </w:rPr>
        <w:t>，</w:t>
      </w:r>
      <w:r w:rsidRPr="00761EF3">
        <w:rPr>
          <w:szCs w:val="22"/>
        </w:rPr>
        <w:t>p</w:t>
      </w:r>
      <w:r w:rsidRPr="00043A1E">
        <w:rPr>
          <w:szCs w:val="22"/>
        </w:rPr>
        <w:t>.</w:t>
      </w:r>
      <w:r w:rsidRPr="00761EF3">
        <w:rPr>
          <w:szCs w:val="22"/>
        </w:rPr>
        <w:t>354</w:t>
      </w:r>
      <w:r w:rsidRPr="00043A1E">
        <w:rPr>
          <w:szCs w:val="22"/>
        </w:rPr>
        <w:t>）</w:t>
      </w:r>
    </w:p>
  </w:footnote>
  <w:footnote w:id="735">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了得：</w:t>
      </w:r>
      <w:r w:rsidRPr="00761EF3">
        <w:rPr>
          <w:szCs w:val="22"/>
        </w:rPr>
        <w:t>1</w:t>
      </w:r>
      <w:r w:rsidRPr="00043A1E">
        <w:rPr>
          <w:szCs w:val="22"/>
        </w:rPr>
        <w:t>.</w:t>
      </w:r>
      <w:r w:rsidRPr="00043A1E">
        <w:rPr>
          <w:szCs w:val="22"/>
        </w:rPr>
        <w:t>領悟，理解。（《漢語大詞典》（一）</w:t>
      </w:r>
      <w:r w:rsidRPr="00043A1E">
        <w:rPr>
          <w:rFonts w:hint="eastAsia"/>
          <w:szCs w:val="22"/>
        </w:rPr>
        <w:t>，</w:t>
      </w:r>
      <w:r w:rsidRPr="00761EF3">
        <w:rPr>
          <w:szCs w:val="22"/>
        </w:rPr>
        <w:t>p</w:t>
      </w:r>
      <w:r w:rsidRPr="00043A1E">
        <w:rPr>
          <w:szCs w:val="22"/>
        </w:rPr>
        <w:t>.</w:t>
      </w:r>
      <w:r w:rsidRPr="00761EF3">
        <w:rPr>
          <w:szCs w:val="22"/>
        </w:rPr>
        <w:t>724</w:t>
      </w:r>
      <w:r w:rsidRPr="00043A1E">
        <w:rPr>
          <w:szCs w:val="22"/>
        </w:rPr>
        <w:t>）</w:t>
      </w:r>
    </w:p>
  </w:footnote>
  <w:footnote w:id="736">
    <w:p w:rsidR="004D33C6" w:rsidRDefault="004D33C6" w:rsidP="004D33C6">
      <w:pPr>
        <w:pStyle w:val="a5"/>
        <w:ind w:left="220" w:hangingChars="100" w:hanging="220"/>
      </w:pPr>
      <w:r w:rsidRPr="004D33C6">
        <w:rPr>
          <w:rStyle w:val="a6"/>
          <w:color w:val="FF0000"/>
          <w:highlight w:val="yellow"/>
        </w:rPr>
        <w:footnoteRef/>
      </w:r>
      <w:r>
        <w:t xml:space="preserve"> </w:t>
      </w:r>
      <w:r w:rsidRPr="004D33C6">
        <w:rPr>
          <w:rFonts w:hint="eastAsia"/>
          <w:color w:val="FF0000"/>
          <w:highlight w:val="yellow"/>
        </w:rPr>
        <w:t>詳見《阿毘達磨大毘婆沙論》卷</w:t>
      </w:r>
      <w:r w:rsidRPr="004D33C6">
        <w:rPr>
          <w:rFonts w:hint="eastAsia"/>
          <w:color w:val="FF0000"/>
          <w:highlight w:val="yellow"/>
        </w:rPr>
        <w:t>37</w:t>
      </w:r>
      <w:r w:rsidRPr="004D33C6">
        <w:rPr>
          <w:color w:val="FF0000"/>
          <w:szCs w:val="22"/>
          <w:highlight w:val="yellow"/>
        </w:rPr>
        <w:t>（大正</w:t>
      </w:r>
      <w:r w:rsidRPr="004D33C6">
        <w:rPr>
          <w:rFonts w:hint="eastAsia"/>
          <w:color w:val="FF0000"/>
          <w:highlight w:val="yellow"/>
        </w:rPr>
        <w:t>27</w:t>
      </w:r>
      <w:r w:rsidRPr="004D33C6">
        <w:rPr>
          <w:rFonts w:hint="eastAsia"/>
          <w:color w:val="FF0000"/>
          <w:highlight w:val="yellow"/>
        </w:rPr>
        <w:t>，</w:t>
      </w:r>
      <w:r w:rsidRPr="004D33C6">
        <w:rPr>
          <w:rFonts w:hint="eastAsia"/>
          <w:color w:val="FF0000"/>
          <w:highlight w:val="yellow"/>
        </w:rPr>
        <w:t>193b4-194c15</w:t>
      </w:r>
      <w:r w:rsidRPr="004D33C6">
        <w:rPr>
          <w:color w:val="FF0000"/>
          <w:szCs w:val="22"/>
          <w:highlight w:val="yellow"/>
        </w:rPr>
        <w:t>）</w:t>
      </w:r>
      <w:r w:rsidRPr="004D33C6">
        <w:rPr>
          <w:rFonts w:hint="eastAsia"/>
          <w:color w:val="FF0000"/>
          <w:highlight w:val="yellow"/>
        </w:rPr>
        <w:t>、《大智度論》卷</w:t>
      </w:r>
      <w:r w:rsidRPr="004D33C6">
        <w:rPr>
          <w:rFonts w:hint="eastAsia"/>
          <w:color w:val="FF0000"/>
          <w:highlight w:val="yellow"/>
        </w:rPr>
        <w:t>6</w:t>
      </w:r>
      <w:r w:rsidRPr="004D33C6">
        <w:rPr>
          <w:color w:val="FF0000"/>
          <w:szCs w:val="22"/>
          <w:highlight w:val="yellow"/>
        </w:rPr>
        <w:t>（大正</w:t>
      </w:r>
      <w:r w:rsidRPr="004D33C6">
        <w:rPr>
          <w:rFonts w:hint="eastAsia"/>
          <w:color w:val="FF0000"/>
          <w:highlight w:val="yellow"/>
        </w:rPr>
        <w:t>25</w:t>
      </w:r>
      <w:r w:rsidRPr="004D33C6">
        <w:rPr>
          <w:rFonts w:hint="eastAsia"/>
          <w:color w:val="FF0000"/>
          <w:highlight w:val="yellow"/>
        </w:rPr>
        <w:t>，</w:t>
      </w:r>
      <w:r w:rsidRPr="004D33C6">
        <w:rPr>
          <w:rFonts w:hint="eastAsia"/>
          <w:color w:val="FF0000"/>
          <w:highlight w:val="yellow"/>
        </w:rPr>
        <w:t>103b29-104a9</w:t>
      </w:r>
      <w:r w:rsidRPr="004D33C6">
        <w:rPr>
          <w:color w:val="FF0000"/>
          <w:szCs w:val="22"/>
          <w:highlight w:val="yellow"/>
        </w:rPr>
        <w:t>）</w:t>
      </w:r>
      <w:r w:rsidRPr="004D33C6">
        <w:rPr>
          <w:rFonts w:hint="eastAsia"/>
          <w:color w:val="FF0000"/>
          <w:highlight w:val="yellow"/>
        </w:rPr>
        <w:t>。</w:t>
      </w:r>
    </w:p>
  </w:footnote>
  <w:footnote w:id="737">
    <w:p w:rsidR="006E67C3" w:rsidRPr="00043A1E" w:rsidRDefault="006E67C3" w:rsidP="006E67C3">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szCs w:val="22"/>
        </w:rPr>
        <w:t>）《續傳燈錄》卷</w:t>
      </w:r>
      <w:r w:rsidRPr="00761EF3">
        <w:rPr>
          <w:szCs w:val="22"/>
        </w:rPr>
        <w:t>32</w:t>
      </w:r>
      <w:r w:rsidRPr="00043A1E">
        <w:rPr>
          <w:szCs w:val="22"/>
        </w:rPr>
        <w:t>（大正</w:t>
      </w:r>
      <w:r w:rsidRPr="00761EF3">
        <w:rPr>
          <w:szCs w:val="22"/>
        </w:rPr>
        <w:t>51</w:t>
      </w:r>
      <w:r w:rsidRPr="00043A1E">
        <w:rPr>
          <w:szCs w:val="22"/>
        </w:rPr>
        <w:t>，</w:t>
      </w:r>
      <w:r w:rsidRPr="00761EF3">
        <w:rPr>
          <w:szCs w:val="22"/>
        </w:rPr>
        <w:t>691a29</w:t>
      </w:r>
      <w:r w:rsidRPr="00043A1E">
        <w:rPr>
          <w:szCs w:val="22"/>
        </w:rPr>
        <w:t>-</w:t>
      </w:r>
      <w:r w:rsidRPr="00761EF3">
        <w:rPr>
          <w:szCs w:val="22"/>
        </w:rPr>
        <w:t>b3</w:t>
      </w:r>
      <w:r w:rsidRPr="00043A1E">
        <w:rPr>
          <w:szCs w:val="22"/>
        </w:rPr>
        <w:t>）：</w:t>
      </w:r>
    </w:p>
    <w:p w:rsidR="006E67C3" w:rsidRPr="00043A1E" w:rsidRDefault="006E67C3" w:rsidP="006E67C3">
      <w:pPr>
        <w:pStyle w:val="a5"/>
        <w:ind w:leftChars="335" w:left="804"/>
        <w:jc w:val="both"/>
        <w:rPr>
          <w:szCs w:val="22"/>
        </w:rPr>
      </w:pPr>
      <w:r w:rsidRPr="00043A1E">
        <w:rPr>
          <w:rFonts w:eastAsia="標楷體"/>
          <w:szCs w:val="22"/>
        </w:rPr>
        <w:t>劍州萬壽自護禪師上堂</w:t>
      </w:r>
      <w:r w:rsidRPr="00043A1E">
        <w:rPr>
          <w:rFonts w:eastAsia="標楷體" w:hint="eastAsia"/>
          <w:szCs w:val="22"/>
        </w:rPr>
        <w:t>：「</w:t>
      </w:r>
      <w:r w:rsidRPr="00043A1E">
        <w:rPr>
          <w:rFonts w:eastAsia="標楷體"/>
          <w:szCs w:val="22"/>
        </w:rPr>
        <w:t>古者道</w:t>
      </w:r>
      <w:r w:rsidRPr="00043A1E">
        <w:rPr>
          <w:rFonts w:eastAsia="標楷體" w:hint="eastAsia"/>
          <w:szCs w:val="22"/>
        </w:rPr>
        <w:t>：『</w:t>
      </w:r>
      <w:r w:rsidRPr="00043A1E">
        <w:rPr>
          <w:rFonts w:eastAsia="標楷體"/>
          <w:b/>
          <w:szCs w:val="22"/>
        </w:rPr>
        <w:t>若人識得心，大地無寸土</w:t>
      </w:r>
      <w:r w:rsidRPr="00043A1E">
        <w:rPr>
          <w:rFonts w:eastAsia="標楷體" w:hint="eastAsia"/>
          <w:szCs w:val="22"/>
        </w:rPr>
        <w:t>。』</w:t>
      </w:r>
      <w:r w:rsidRPr="00043A1E">
        <w:rPr>
          <w:rFonts w:eastAsia="標楷體"/>
          <w:szCs w:val="22"/>
        </w:rPr>
        <w:t>萬壽即不然。</w:t>
      </w:r>
      <w:r w:rsidRPr="00043A1E">
        <w:rPr>
          <w:rFonts w:eastAsia="標楷體"/>
          <w:b/>
          <w:szCs w:val="22"/>
        </w:rPr>
        <w:t>若人識得心，未是究竟處，且那裏是究竟處</w:t>
      </w:r>
      <w:r w:rsidRPr="00043A1E">
        <w:rPr>
          <w:rFonts w:eastAsia="標楷體"/>
          <w:szCs w:val="22"/>
        </w:rPr>
        <w:t>？</w:t>
      </w:r>
      <w:r w:rsidRPr="00043A1E">
        <w:rPr>
          <w:rFonts w:eastAsia="標楷體" w:hint="eastAsia"/>
          <w:szCs w:val="22"/>
        </w:rPr>
        <w:t>」</w:t>
      </w:r>
      <w:r w:rsidRPr="00043A1E">
        <w:rPr>
          <w:rFonts w:eastAsia="標楷體"/>
          <w:szCs w:val="22"/>
        </w:rPr>
        <w:t>拈拄杖卓一下，曰：</w:t>
      </w:r>
      <w:r w:rsidRPr="00043A1E">
        <w:rPr>
          <w:rFonts w:eastAsia="標楷體" w:hint="eastAsia"/>
          <w:szCs w:val="22"/>
        </w:rPr>
        <w:t>「</w:t>
      </w:r>
      <w:r w:rsidRPr="00043A1E">
        <w:rPr>
          <w:rFonts w:eastAsia="標楷體"/>
          <w:szCs w:val="22"/>
        </w:rPr>
        <w:t>甜瓜徹蒂甜，苦瓠連根苦。</w:t>
      </w:r>
      <w:r w:rsidRPr="00043A1E">
        <w:rPr>
          <w:rFonts w:eastAsia="標楷體" w:hint="eastAsia"/>
          <w:szCs w:val="22"/>
        </w:rPr>
        <w:t>」</w:t>
      </w:r>
    </w:p>
    <w:p w:rsidR="006E67C3" w:rsidRPr="00043A1E" w:rsidRDefault="006E67C3" w:rsidP="006E67C3">
      <w:pPr>
        <w:pStyle w:val="a5"/>
        <w:ind w:leftChars="105" w:left="791" w:hangingChars="245" w:hanging="539"/>
        <w:jc w:val="both"/>
        <w:rPr>
          <w:szCs w:val="22"/>
        </w:rPr>
      </w:pPr>
      <w:r w:rsidRPr="00043A1E">
        <w:rPr>
          <w:szCs w:val="22"/>
        </w:rPr>
        <w:t>（</w:t>
      </w:r>
      <w:r w:rsidRPr="00761EF3">
        <w:rPr>
          <w:szCs w:val="22"/>
        </w:rPr>
        <w:t>2</w:t>
      </w:r>
      <w:r w:rsidRPr="00043A1E">
        <w:rPr>
          <w:szCs w:val="22"/>
        </w:rPr>
        <w:t>）</w:t>
      </w:r>
      <w:r w:rsidRPr="00043A1E">
        <w:rPr>
          <w:spacing w:val="4"/>
          <w:szCs w:val="22"/>
        </w:rPr>
        <w:t>〔明〕袾宏述，《梵網菩薩戒經義疏發隱問辯</w:t>
      </w:r>
      <w:r w:rsidRPr="00142DED">
        <w:rPr>
          <w:spacing w:val="4"/>
          <w:szCs w:val="22"/>
          <w:highlight w:val="yellow"/>
        </w:rPr>
        <w:t>》（</w:t>
      </w:r>
      <w:r w:rsidRPr="00043A1E">
        <w:rPr>
          <w:spacing w:val="4"/>
          <w:szCs w:val="22"/>
        </w:rPr>
        <w:t>卍新續藏</w:t>
      </w:r>
      <w:r w:rsidRPr="00761EF3">
        <w:rPr>
          <w:spacing w:val="4"/>
          <w:szCs w:val="22"/>
        </w:rPr>
        <w:t>38</w:t>
      </w:r>
      <w:r w:rsidRPr="00043A1E">
        <w:rPr>
          <w:spacing w:val="4"/>
          <w:szCs w:val="22"/>
        </w:rPr>
        <w:t>，</w:t>
      </w:r>
      <w:r w:rsidRPr="00761EF3">
        <w:rPr>
          <w:spacing w:val="4"/>
          <w:szCs w:val="22"/>
        </w:rPr>
        <w:t>235a11</w:t>
      </w:r>
      <w:r w:rsidRPr="00043A1E">
        <w:rPr>
          <w:spacing w:val="4"/>
          <w:szCs w:val="22"/>
        </w:rPr>
        <w:t>-</w:t>
      </w:r>
      <w:r w:rsidRPr="00761EF3">
        <w:rPr>
          <w:spacing w:val="4"/>
          <w:szCs w:val="22"/>
        </w:rPr>
        <w:t>13</w:t>
      </w:r>
      <w:r w:rsidRPr="00043A1E">
        <w:rPr>
          <w:spacing w:val="4"/>
          <w:szCs w:val="22"/>
        </w:rPr>
        <w:t>）：</w:t>
      </w:r>
    </w:p>
    <w:p w:rsidR="006E67C3" w:rsidRPr="00043A1E" w:rsidRDefault="006E67C3" w:rsidP="006E67C3">
      <w:pPr>
        <w:pStyle w:val="a5"/>
        <w:ind w:leftChars="335" w:left="804"/>
        <w:jc w:val="both"/>
        <w:rPr>
          <w:szCs w:val="22"/>
        </w:rPr>
      </w:pPr>
      <w:r w:rsidRPr="00043A1E">
        <w:rPr>
          <w:rFonts w:eastAsia="標楷體"/>
          <w:szCs w:val="22"/>
        </w:rPr>
        <w:t>又云：</w:t>
      </w:r>
      <w:r w:rsidRPr="00043A1E">
        <w:rPr>
          <w:rFonts w:eastAsia="標楷體" w:hint="eastAsia"/>
          <w:szCs w:val="22"/>
        </w:rPr>
        <w:t>「</w:t>
      </w:r>
      <w:r w:rsidRPr="00043A1E">
        <w:rPr>
          <w:rFonts w:eastAsia="標楷體"/>
          <w:szCs w:val="22"/>
        </w:rPr>
        <w:t>若人識得心，大地無寸土。土既即心，水火與風亦如是矣。本來成佛</w:t>
      </w:r>
      <w:r w:rsidR="009A34C1">
        <w:rPr>
          <w:rFonts w:eastAsia="標楷體" w:hint="eastAsia"/>
          <w:color w:val="FF0000"/>
          <w:szCs w:val="22"/>
          <w:highlight w:val="yellow"/>
        </w:rPr>
        <w:t>，</w:t>
      </w:r>
      <w:r w:rsidRPr="00043A1E">
        <w:rPr>
          <w:rFonts w:eastAsia="標楷體"/>
          <w:szCs w:val="22"/>
        </w:rPr>
        <w:t>何以度為？</w:t>
      </w:r>
      <w:r w:rsidRPr="00043A1E">
        <w:rPr>
          <w:rFonts w:eastAsia="標楷體" w:hint="eastAsia"/>
          <w:szCs w:val="22"/>
        </w:rPr>
        <w:t>」</w:t>
      </w:r>
    </w:p>
  </w:footnote>
  <w:footnote w:id="738">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《大智度論》卷</w:t>
      </w:r>
      <w:r w:rsidRPr="00761EF3">
        <w:rPr>
          <w:szCs w:val="22"/>
        </w:rPr>
        <w:t>15</w:t>
      </w:r>
      <w:r w:rsidR="003A5C8E">
        <w:rPr>
          <w:rFonts w:hint="eastAsia"/>
          <w:color w:val="FF0000"/>
          <w:szCs w:val="22"/>
          <w:highlight w:val="yellow"/>
        </w:rPr>
        <w:t>釋〈</w:t>
      </w:r>
      <w:r w:rsidR="003A5C8E">
        <w:rPr>
          <w:color w:val="FF0000"/>
          <w:szCs w:val="22"/>
          <w:highlight w:val="yellow"/>
        </w:rPr>
        <w:t xml:space="preserve">1 </w:t>
      </w:r>
      <w:r w:rsidR="003A5C8E">
        <w:rPr>
          <w:rFonts w:hint="eastAsia"/>
          <w:color w:val="FF0000"/>
          <w:szCs w:val="22"/>
          <w:highlight w:val="yellow"/>
        </w:rPr>
        <w:t>序品〉</w:t>
      </w:r>
      <w:r w:rsidRPr="00043A1E">
        <w:rPr>
          <w:szCs w:val="22"/>
        </w:rPr>
        <w:t>（大正</w:t>
      </w:r>
      <w:r w:rsidRPr="00761EF3">
        <w:rPr>
          <w:szCs w:val="22"/>
        </w:rPr>
        <w:t>25</w:t>
      </w:r>
      <w:r w:rsidRPr="00043A1E">
        <w:rPr>
          <w:szCs w:val="22"/>
        </w:rPr>
        <w:t>，</w:t>
      </w:r>
      <w:r w:rsidRPr="00761EF3">
        <w:rPr>
          <w:szCs w:val="22"/>
        </w:rPr>
        <w:t>171a9</w:t>
      </w:r>
      <w:r w:rsidRPr="00043A1E">
        <w:rPr>
          <w:szCs w:val="22"/>
        </w:rPr>
        <w:t>-</w:t>
      </w:r>
      <w:r w:rsidRPr="00761EF3">
        <w:rPr>
          <w:szCs w:val="22"/>
        </w:rPr>
        <w:t>12</w:t>
      </w:r>
      <w:r w:rsidRPr="00043A1E">
        <w:rPr>
          <w:szCs w:val="22"/>
        </w:rPr>
        <w:t>）：</w:t>
      </w:r>
    </w:p>
    <w:p w:rsidR="00157EF6" w:rsidRPr="00043A1E" w:rsidRDefault="00157EF6" w:rsidP="00AA120F">
      <w:pPr>
        <w:snapToGrid w:val="0"/>
        <w:ind w:leftChars="105" w:left="252"/>
        <w:jc w:val="both"/>
        <w:rPr>
          <w:rFonts w:ascii="Times New Roman" w:hAnsi="Times New Roman"/>
          <w:sz w:val="22"/>
          <w:szCs w:val="22"/>
        </w:rPr>
      </w:pPr>
      <w:r w:rsidRPr="00043A1E">
        <w:rPr>
          <w:rFonts w:ascii="Times New Roman" w:eastAsia="標楷體" w:hAnsi="Times New Roman"/>
          <w:b/>
          <w:sz w:val="22"/>
          <w:szCs w:val="22"/>
        </w:rPr>
        <w:t>若諸法實有，不應以心識故知有</w:t>
      </w:r>
      <w:r w:rsidR="00142DED">
        <w:rPr>
          <w:rFonts w:ascii="標楷體" w:eastAsia="標楷體" w:hAnsi="標楷體" w:hint="eastAsia"/>
          <w:color w:val="FF0000"/>
          <w:spacing w:val="-4"/>
          <w:kern w:val="0"/>
          <w:sz w:val="22"/>
          <w:highlight w:val="yellow"/>
        </w:rPr>
        <w:t>；</w:t>
      </w:r>
      <w:r w:rsidRPr="00043A1E">
        <w:rPr>
          <w:rFonts w:ascii="Times New Roman" w:eastAsia="標楷體" w:hAnsi="Times New Roman"/>
          <w:b/>
          <w:sz w:val="22"/>
          <w:szCs w:val="22"/>
        </w:rPr>
        <w:t>若以心識故知有，是則非有</w:t>
      </w:r>
      <w:r w:rsidRPr="00043A1E">
        <w:rPr>
          <w:rFonts w:ascii="Times New Roman" w:eastAsia="標楷體" w:hAnsi="Times New Roman"/>
          <w:sz w:val="22"/>
          <w:szCs w:val="22"/>
        </w:rPr>
        <w:t>。如</w:t>
      </w:r>
      <w:r w:rsidR="00142DED">
        <w:rPr>
          <w:rFonts w:ascii="標楷體" w:eastAsia="標楷體" w:hAnsi="標楷體" w:hint="eastAsia"/>
          <w:color w:val="FF0000"/>
          <w:spacing w:val="-4"/>
          <w:kern w:val="0"/>
          <w:sz w:val="22"/>
          <w:highlight w:val="yellow"/>
        </w:rPr>
        <w:t>：</w:t>
      </w:r>
      <w:r w:rsidRPr="00043A1E">
        <w:rPr>
          <w:rFonts w:ascii="Times New Roman" w:eastAsia="標楷體" w:hAnsi="Times New Roman"/>
          <w:b/>
          <w:sz w:val="22"/>
          <w:szCs w:val="22"/>
        </w:rPr>
        <w:t>地堅相，以身根、身識知故有</w:t>
      </w:r>
      <w:r w:rsidR="00142DED">
        <w:rPr>
          <w:rFonts w:ascii="標楷體" w:eastAsia="標楷體" w:hAnsi="標楷體" w:hint="eastAsia"/>
          <w:color w:val="FF0000"/>
          <w:spacing w:val="-4"/>
          <w:kern w:val="0"/>
          <w:sz w:val="22"/>
          <w:highlight w:val="yellow"/>
        </w:rPr>
        <w:t>；</w:t>
      </w:r>
      <w:r w:rsidRPr="00043A1E">
        <w:rPr>
          <w:rFonts w:ascii="Times New Roman" w:eastAsia="標楷體" w:hAnsi="Times New Roman"/>
          <w:sz w:val="22"/>
          <w:szCs w:val="22"/>
        </w:rPr>
        <w:t>若無身根、身識知，則無堅相。</w:t>
      </w:r>
    </w:p>
  </w:footnote>
  <w:footnote w:id="739">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ascii="新細明體" w:hAnsi="新細明體" w:hint="eastAsia"/>
          <w:szCs w:val="22"/>
        </w:rPr>
        <w:t xml:space="preserve"> </w:t>
      </w:r>
      <w:r w:rsidRPr="00043A1E">
        <w:rPr>
          <w:rFonts w:ascii="新細明體" w:hAnsi="新細明體"/>
          <w:szCs w:val="22"/>
        </w:rPr>
        <w:t>（</w:t>
      </w:r>
      <w:r w:rsidRPr="00761EF3">
        <w:rPr>
          <w:rFonts w:eastAsia="標楷體"/>
          <w:szCs w:val="22"/>
        </w:rPr>
        <w:t>1</w:t>
      </w:r>
      <w:r w:rsidRPr="00043A1E">
        <w:rPr>
          <w:rFonts w:ascii="新細明體" w:hAnsi="新細明體"/>
          <w:szCs w:val="22"/>
        </w:rPr>
        <w:t>）</w:t>
      </w:r>
      <w:r w:rsidRPr="00043A1E">
        <w:rPr>
          <w:rFonts w:hint="eastAsia"/>
          <w:szCs w:val="22"/>
        </w:rPr>
        <w:t>參見《大智度論》卷</w:t>
      </w:r>
      <w:r w:rsidRPr="00761EF3">
        <w:rPr>
          <w:rFonts w:hint="eastAsia"/>
          <w:szCs w:val="22"/>
        </w:rPr>
        <w:t>12</w:t>
      </w:r>
      <w:r w:rsidR="003A5C8E">
        <w:rPr>
          <w:rFonts w:hint="eastAsia"/>
          <w:color w:val="FF0000"/>
          <w:szCs w:val="22"/>
          <w:highlight w:val="yellow"/>
        </w:rPr>
        <w:t>釋</w:t>
      </w:r>
      <w:r w:rsidRPr="00043A1E">
        <w:rPr>
          <w:rFonts w:hint="eastAsia"/>
          <w:szCs w:val="22"/>
        </w:rPr>
        <w:t>〈</w:t>
      </w:r>
      <w:r w:rsidRPr="00761EF3">
        <w:rPr>
          <w:rFonts w:hint="eastAsia"/>
          <w:szCs w:val="22"/>
        </w:rPr>
        <w:t>1</w:t>
      </w:r>
      <w:r w:rsidRPr="00043A1E">
        <w:rPr>
          <w:rFonts w:hint="eastAsia"/>
          <w:szCs w:val="22"/>
        </w:rPr>
        <w:t xml:space="preserve"> </w:t>
      </w:r>
      <w:r w:rsidRPr="00043A1E">
        <w:rPr>
          <w:rFonts w:hint="eastAsia"/>
          <w:szCs w:val="22"/>
        </w:rPr>
        <w:t>序品〉（大正</w:t>
      </w:r>
      <w:r w:rsidRPr="00761EF3">
        <w:rPr>
          <w:rFonts w:hint="eastAsia"/>
          <w:szCs w:val="22"/>
        </w:rPr>
        <w:t>25</w:t>
      </w:r>
      <w:r w:rsidRPr="00043A1E">
        <w:rPr>
          <w:rFonts w:hint="eastAsia"/>
          <w:szCs w:val="22"/>
        </w:rPr>
        <w:t>，</w:t>
      </w:r>
      <w:r w:rsidRPr="00761EF3">
        <w:rPr>
          <w:szCs w:val="22"/>
        </w:rPr>
        <w:t>147c21</w:t>
      </w:r>
      <w:r w:rsidRPr="00043A1E">
        <w:rPr>
          <w:szCs w:val="22"/>
        </w:rPr>
        <w:t>-</w:t>
      </w:r>
      <w:r w:rsidRPr="00761EF3">
        <w:rPr>
          <w:szCs w:val="22"/>
        </w:rPr>
        <w:t>148a22</w:t>
      </w:r>
      <w:r w:rsidRPr="00043A1E">
        <w:rPr>
          <w:rFonts w:hint="eastAsia"/>
          <w:szCs w:val="22"/>
        </w:rPr>
        <w:t>）。</w:t>
      </w:r>
    </w:p>
    <w:p w:rsidR="00157EF6" w:rsidRPr="00043A1E" w:rsidRDefault="00157EF6" w:rsidP="00AA120F">
      <w:pPr>
        <w:pStyle w:val="a5"/>
        <w:ind w:leftChars="105" w:left="791" w:hangingChars="245" w:hanging="539"/>
        <w:jc w:val="both"/>
        <w:rPr>
          <w:szCs w:val="22"/>
        </w:rPr>
      </w:pPr>
      <w:r w:rsidRPr="00043A1E">
        <w:rPr>
          <w:rFonts w:ascii="新細明體" w:hAnsi="新細明體" w:hint="eastAsia"/>
          <w:szCs w:val="22"/>
        </w:rPr>
        <w:t>（</w:t>
      </w:r>
      <w:r w:rsidRPr="00761EF3">
        <w:rPr>
          <w:rFonts w:eastAsia="標楷體" w:hint="eastAsia"/>
          <w:szCs w:val="22"/>
        </w:rPr>
        <w:t>2</w:t>
      </w:r>
      <w:r w:rsidRPr="00043A1E">
        <w:rPr>
          <w:rFonts w:ascii="新細明體" w:hAnsi="新細明體" w:hint="eastAsia"/>
          <w:szCs w:val="22"/>
        </w:rPr>
        <w:t>）</w:t>
      </w:r>
      <w:r w:rsidRPr="00043A1E">
        <w:rPr>
          <w:szCs w:val="22"/>
        </w:rPr>
        <w:t>三空</w:t>
      </w:r>
      <w:r w:rsidRPr="00043A1E">
        <w:rPr>
          <w:rFonts w:hint="eastAsia"/>
          <w:szCs w:val="22"/>
        </w:rPr>
        <w:t>，</w:t>
      </w:r>
      <w:r w:rsidR="009160B5">
        <w:rPr>
          <w:rFonts w:hint="eastAsia"/>
          <w:szCs w:val="22"/>
        </w:rPr>
        <w:t>參見：印</w:t>
      </w:r>
      <w:r w:rsidRPr="00043A1E">
        <w:rPr>
          <w:szCs w:val="22"/>
        </w:rPr>
        <w:t>順</w:t>
      </w:r>
      <w:r w:rsidRPr="00043A1E">
        <w:rPr>
          <w:rFonts w:hint="eastAsia"/>
          <w:szCs w:val="22"/>
        </w:rPr>
        <w:t>法師</w:t>
      </w:r>
      <w:r w:rsidRPr="00043A1E">
        <w:rPr>
          <w:szCs w:val="22"/>
        </w:rPr>
        <w:t>，《中觀今論》</w:t>
      </w:r>
      <w:r w:rsidRPr="00043A1E">
        <w:rPr>
          <w:rFonts w:hint="eastAsia"/>
          <w:szCs w:val="22"/>
        </w:rPr>
        <w:t>，</w:t>
      </w:r>
      <w:r w:rsidRPr="00043A1E">
        <w:rPr>
          <w:szCs w:val="22"/>
        </w:rPr>
        <w:t>第</w:t>
      </w:r>
      <w:r w:rsidRPr="00761EF3">
        <w:rPr>
          <w:szCs w:val="22"/>
        </w:rPr>
        <w:t>5</w:t>
      </w:r>
      <w:r w:rsidRPr="00043A1E">
        <w:rPr>
          <w:szCs w:val="22"/>
        </w:rPr>
        <w:t>章</w:t>
      </w:r>
      <w:r w:rsidRPr="00043A1E">
        <w:rPr>
          <w:rFonts w:hint="eastAsia"/>
          <w:szCs w:val="22"/>
        </w:rPr>
        <w:t>，</w:t>
      </w:r>
      <w:r w:rsidRPr="00043A1E">
        <w:rPr>
          <w:szCs w:val="22"/>
        </w:rPr>
        <w:t>第</w:t>
      </w:r>
      <w:r w:rsidRPr="00761EF3">
        <w:rPr>
          <w:szCs w:val="22"/>
        </w:rPr>
        <w:t>2</w:t>
      </w:r>
      <w:r w:rsidRPr="00043A1E">
        <w:rPr>
          <w:szCs w:val="22"/>
        </w:rPr>
        <w:t>節〈自性〉，</w:t>
      </w:r>
      <w:r w:rsidRPr="00761EF3">
        <w:rPr>
          <w:szCs w:val="22"/>
        </w:rPr>
        <w:t>pp</w:t>
      </w:r>
      <w:r w:rsidRPr="00043A1E">
        <w:rPr>
          <w:szCs w:val="22"/>
        </w:rPr>
        <w:t>.</w:t>
      </w:r>
      <w:r w:rsidRPr="00761EF3">
        <w:rPr>
          <w:szCs w:val="22"/>
        </w:rPr>
        <w:t>70</w:t>
      </w:r>
      <w:r w:rsidRPr="00043A1E">
        <w:rPr>
          <w:szCs w:val="22"/>
        </w:rPr>
        <w:t>-</w:t>
      </w:r>
      <w:r w:rsidRPr="00761EF3">
        <w:rPr>
          <w:szCs w:val="22"/>
        </w:rPr>
        <w:t>71</w:t>
      </w:r>
      <w:r w:rsidRPr="00043A1E">
        <w:rPr>
          <w:szCs w:val="22"/>
        </w:rPr>
        <w:t>：</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szCs w:val="22"/>
        </w:rPr>
        <w:t>空，是佛教所共同的，而中觀家的觀法不盡與他派相同。如《大智度論》卷</w:t>
      </w:r>
      <w:r w:rsidR="00142DED" w:rsidRPr="00142DED">
        <w:rPr>
          <w:rFonts w:eastAsia="標楷體" w:hint="eastAsia"/>
          <w:szCs w:val="22"/>
        </w:rPr>
        <w:t>12</w:t>
      </w:r>
      <w:r w:rsidRPr="00043A1E">
        <w:rPr>
          <w:rFonts w:ascii="標楷體" w:eastAsia="標楷體" w:hAnsi="標楷體"/>
          <w:szCs w:val="22"/>
        </w:rPr>
        <w:t>說有三種空：一、分破空，二、觀空，三、十八空。</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b/>
          <w:szCs w:val="22"/>
        </w:rPr>
        <w:t>「分破空」</w:t>
      </w:r>
      <w:r w:rsidRPr="00043A1E">
        <w:rPr>
          <w:rFonts w:ascii="標楷體" w:eastAsia="標楷體" w:hAnsi="標楷體"/>
          <w:szCs w:val="22"/>
        </w:rPr>
        <w:t>，即臺宗所說的析法空。如舉</w:t>
      </w:r>
      <w:r w:rsidRPr="00043A1E">
        <w:rPr>
          <w:rFonts w:ascii="新細明體" w:hAnsi="新細明體" w:cs="新細明體" w:hint="eastAsia"/>
          <w:szCs w:val="22"/>
        </w:rPr>
        <w:t>㲲</w:t>
      </w:r>
      <w:r w:rsidRPr="00043A1E">
        <w:rPr>
          <w:rFonts w:ascii="標楷體" w:eastAsia="標楷體" w:hAnsi="標楷體"/>
          <w:szCs w:val="22"/>
        </w:rPr>
        <w:t>為喻，將</w:t>
      </w:r>
      <w:r w:rsidRPr="00043A1E">
        <w:rPr>
          <w:rFonts w:ascii="新細明體" w:hAnsi="新細明體" w:cs="新細明體" w:hint="eastAsia"/>
          <w:szCs w:val="22"/>
        </w:rPr>
        <w:t>㲲</w:t>
      </w:r>
      <w:r w:rsidRPr="00043A1E">
        <w:rPr>
          <w:rFonts w:ascii="標楷體" w:eastAsia="標楷體" w:hAnsi="標楷體"/>
          <w:szCs w:val="22"/>
        </w:rPr>
        <w:t>析至極微，再分析到無方分相，即現空相，所以極微名為「鄰虛」。這是從佔有空間的物質上說</w:t>
      </w:r>
      <w:r w:rsidRPr="00043A1E">
        <w:rPr>
          <w:rFonts w:ascii="標楷體" w:eastAsia="標楷體" w:hAnsi="標楷體" w:hint="eastAsia"/>
          <w:szCs w:val="22"/>
        </w:rPr>
        <w:t>；</w:t>
      </w:r>
      <w:r w:rsidRPr="00043A1E">
        <w:rPr>
          <w:rFonts w:ascii="標楷體" w:eastAsia="標楷體" w:hAnsi="標楷體"/>
          <w:szCs w:val="22"/>
        </w:rPr>
        <w:t>若從佔有時間者說，分析到剎那──最短的一念，沒有前後相，再也顯不出時間的特性時，也可以現出空相。由此分破的方法，分析時空中的存在者而達到空。</w:t>
      </w:r>
    </w:p>
    <w:p w:rsidR="00157EF6" w:rsidRPr="00043A1E" w:rsidRDefault="00157EF6" w:rsidP="00AA120F">
      <w:pPr>
        <w:pStyle w:val="a5"/>
        <w:ind w:leftChars="280" w:left="672"/>
        <w:jc w:val="both"/>
        <w:rPr>
          <w:rFonts w:ascii="標楷體" w:eastAsia="標楷體" w:hAnsi="標楷體"/>
          <w:szCs w:val="22"/>
        </w:rPr>
      </w:pPr>
      <w:r w:rsidRPr="00043A1E">
        <w:rPr>
          <w:rFonts w:ascii="標楷體" w:eastAsia="標楷體" w:hAnsi="標楷體"/>
          <w:szCs w:val="22"/>
        </w:rPr>
        <w:t>「</w:t>
      </w:r>
      <w:r w:rsidRPr="00043A1E">
        <w:rPr>
          <w:rFonts w:ascii="標楷體" w:eastAsia="標楷體" w:hAnsi="標楷體"/>
          <w:b/>
          <w:szCs w:val="22"/>
        </w:rPr>
        <w:t>觀空</w:t>
      </w:r>
      <w:r w:rsidRPr="00043A1E">
        <w:rPr>
          <w:rFonts w:ascii="標楷體" w:eastAsia="標楷體" w:hAnsi="標楷體"/>
          <w:szCs w:val="22"/>
        </w:rPr>
        <w:t>」，這是從觀心的作用上說。如觀</w:t>
      </w:r>
      <w:r w:rsidRPr="00043A1E">
        <w:rPr>
          <w:rFonts w:ascii="新細明體" w:hAnsi="新細明體" w:cs="新細明體" w:hint="eastAsia"/>
          <w:szCs w:val="22"/>
        </w:rPr>
        <w:t>㲲</w:t>
      </w:r>
      <w:r w:rsidRPr="00043A1E">
        <w:rPr>
          <w:rFonts w:ascii="標楷體" w:eastAsia="標楷體" w:hAnsi="標楷體"/>
          <w:szCs w:val="22"/>
        </w:rPr>
        <w:t>為青，即成青</w:t>
      </w:r>
      <w:r w:rsidRPr="00043A1E">
        <w:rPr>
          <w:rFonts w:ascii="新細明體" w:hAnsi="新細明體" w:cs="新細明體" w:hint="eastAsia"/>
          <w:szCs w:val="22"/>
        </w:rPr>
        <w:t>㲲</w:t>
      </w:r>
      <w:r w:rsidRPr="00043A1E">
        <w:rPr>
          <w:rFonts w:ascii="標楷體" w:eastAsia="標楷體" w:hAnsi="標楷體"/>
          <w:szCs w:val="22"/>
        </w:rPr>
        <w:t>；觀</w:t>
      </w:r>
      <w:r w:rsidRPr="00043A1E">
        <w:rPr>
          <w:rFonts w:ascii="新細明體" w:hAnsi="新細明體" w:cs="新細明體" w:hint="eastAsia"/>
          <w:szCs w:val="22"/>
        </w:rPr>
        <w:t>㲲</w:t>
      </w:r>
      <w:r w:rsidRPr="00043A1E">
        <w:rPr>
          <w:rFonts w:ascii="標楷體" w:eastAsia="標楷體" w:hAnsi="標楷體"/>
          <w:szCs w:val="22"/>
        </w:rPr>
        <w:t>為黃，即成黃</w:t>
      </w:r>
      <w:r w:rsidRPr="00043A1E">
        <w:rPr>
          <w:rFonts w:ascii="新細明體" w:hAnsi="新細明體" w:cs="新細明體" w:hint="eastAsia"/>
          <w:szCs w:val="22"/>
        </w:rPr>
        <w:t>㲲</w:t>
      </w:r>
      <w:r w:rsidRPr="00043A1E">
        <w:rPr>
          <w:rFonts w:ascii="標楷體" w:eastAsia="標楷體" w:hAnsi="標楷體"/>
          <w:szCs w:val="22"/>
        </w:rPr>
        <w:t>等。十遍處觀等，就是此一方法的具體說明。由觀空的方法，知所觀的外境是空。這境相空的最好例子，如一女人：冤仇看了生瞋，情人見了起愛，兒女見了起敬，鳥獸望而逃走。所以，好惡、美醜，都是隨能觀心的不同而轉變的，境無實體，故名觀空。</w:t>
      </w:r>
    </w:p>
    <w:p w:rsidR="00157EF6" w:rsidRPr="00043A1E" w:rsidRDefault="00157EF6" w:rsidP="00AA120F">
      <w:pPr>
        <w:pStyle w:val="a5"/>
        <w:ind w:leftChars="280" w:left="672"/>
        <w:jc w:val="both"/>
        <w:rPr>
          <w:rFonts w:ascii="標楷體" w:eastAsia="標楷體" w:hAnsi="標楷體"/>
          <w:szCs w:val="22"/>
        </w:rPr>
      </w:pPr>
      <w:r w:rsidRPr="00043A1E">
        <w:rPr>
          <w:rFonts w:ascii="標楷體" w:eastAsia="標楷體" w:hAnsi="標楷體"/>
          <w:b/>
          <w:szCs w:val="22"/>
        </w:rPr>
        <w:t>「十八空」，《般若經》著重在自性空</w:t>
      </w:r>
      <w:r w:rsidRPr="00043A1E">
        <w:rPr>
          <w:rFonts w:ascii="標楷體" w:eastAsia="標楷體" w:hAnsi="標楷體"/>
          <w:szCs w:val="22"/>
        </w:rPr>
        <w:t>。自性空，就是任何一法的本體，都是不可得而當體即空的。</w:t>
      </w:r>
    </w:p>
    <w:p w:rsidR="00157EF6" w:rsidRPr="00043A1E" w:rsidRDefault="00157EF6" w:rsidP="00AA120F">
      <w:pPr>
        <w:pStyle w:val="a5"/>
        <w:ind w:leftChars="105" w:left="791" w:hangingChars="245" w:hanging="539"/>
        <w:jc w:val="both"/>
        <w:rPr>
          <w:szCs w:val="22"/>
        </w:rPr>
      </w:pPr>
      <w:r w:rsidRPr="00043A1E">
        <w:rPr>
          <w:rFonts w:ascii="新細明體" w:hAnsi="新細明體"/>
          <w:szCs w:val="22"/>
        </w:rPr>
        <w:t>（</w:t>
      </w:r>
      <w:r w:rsidRPr="00761EF3">
        <w:rPr>
          <w:rFonts w:hint="eastAsia"/>
          <w:szCs w:val="22"/>
        </w:rPr>
        <w:t>3</w:t>
      </w:r>
      <w:r w:rsidRPr="00043A1E">
        <w:rPr>
          <w:rFonts w:ascii="新細明體" w:hAnsi="新細明體"/>
          <w:szCs w:val="22"/>
        </w:rPr>
        <w:t>）</w:t>
      </w:r>
      <w:r w:rsidR="009160B5">
        <w:rPr>
          <w:rFonts w:hint="eastAsia"/>
          <w:szCs w:val="22"/>
        </w:rPr>
        <w:t>參見：印</w:t>
      </w:r>
      <w:r w:rsidRPr="00043A1E">
        <w:rPr>
          <w:szCs w:val="22"/>
        </w:rPr>
        <w:t>順</w:t>
      </w:r>
      <w:r w:rsidRPr="00043A1E">
        <w:rPr>
          <w:rFonts w:hint="eastAsia"/>
          <w:szCs w:val="22"/>
        </w:rPr>
        <w:t>法師</w:t>
      </w:r>
      <w:r w:rsidRPr="00043A1E">
        <w:rPr>
          <w:szCs w:val="22"/>
        </w:rPr>
        <w:t>：《中觀今論》</w:t>
      </w:r>
      <w:r w:rsidRPr="00043A1E">
        <w:rPr>
          <w:rFonts w:hint="eastAsia"/>
          <w:szCs w:val="22"/>
        </w:rPr>
        <w:t>，</w:t>
      </w:r>
      <w:r w:rsidRPr="00043A1E">
        <w:rPr>
          <w:szCs w:val="22"/>
        </w:rPr>
        <w:t>第</w:t>
      </w:r>
      <w:r w:rsidRPr="00761EF3">
        <w:rPr>
          <w:szCs w:val="22"/>
        </w:rPr>
        <w:t>5</w:t>
      </w:r>
      <w:r w:rsidRPr="00043A1E">
        <w:rPr>
          <w:szCs w:val="22"/>
        </w:rPr>
        <w:t>章</w:t>
      </w:r>
      <w:r w:rsidRPr="00043A1E">
        <w:rPr>
          <w:rFonts w:hint="eastAsia"/>
          <w:szCs w:val="22"/>
        </w:rPr>
        <w:t>，</w:t>
      </w:r>
      <w:r w:rsidRPr="00043A1E">
        <w:rPr>
          <w:szCs w:val="22"/>
        </w:rPr>
        <w:t>第</w:t>
      </w:r>
      <w:r w:rsidRPr="00761EF3">
        <w:rPr>
          <w:szCs w:val="22"/>
        </w:rPr>
        <w:t>2</w:t>
      </w:r>
      <w:r w:rsidRPr="00043A1E">
        <w:rPr>
          <w:szCs w:val="22"/>
        </w:rPr>
        <w:t>節〈自性〉</w:t>
      </w:r>
      <w:r w:rsidRPr="00043A1E">
        <w:rPr>
          <w:rFonts w:hint="eastAsia"/>
          <w:szCs w:val="22"/>
        </w:rPr>
        <w:t>，</w:t>
      </w:r>
      <w:r w:rsidRPr="00761EF3">
        <w:rPr>
          <w:szCs w:val="22"/>
        </w:rPr>
        <w:t>pp</w:t>
      </w:r>
      <w:r w:rsidRPr="00043A1E">
        <w:rPr>
          <w:szCs w:val="22"/>
        </w:rPr>
        <w:t>.</w:t>
      </w:r>
      <w:r w:rsidRPr="00761EF3">
        <w:rPr>
          <w:szCs w:val="22"/>
        </w:rPr>
        <w:t>70</w:t>
      </w:r>
      <w:r w:rsidRPr="00043A1E">
        <w:rPr>
          <w:szCs w:val="22"/>
        </w:rPr>
        <w:t>-</w:t>
      </w:r>
      <w:r w:rsidRPr="00761EF3">
        <w:rPr>
          <w:szCs w:val="22"/>
        </w:rPr>
        <w:t>73</w:t>
      </w:r>
      <w:r w:rsidRPr="00043A1E">
        <w:rPr>
          <w:szCs w:val="22"/>
        </w:rPr>
        <w:t>；《中觀論頌講記》〈懸論〉</w:t>
      </w:r>
      <w:r w:rsidRPr="00043A1E">
        <w:rPr>
          <w:rFonts w:hint="eastAsia"/>
          <w:szCs w:val="22"/>
        </w:rPr>
        <w:t>，</w:t>
      </w:r>
      <w:r w:rsidRPr="00761EF3">
        <w:rPr>
          <w:szCs w:val="22"/>
        </w:rPr>
        <w:t>pp</w:t>
      </w:r>
      <w:r w:rsidRPr="00043A1E">
        <w:rPr>
          <w:szCs w:val="22"/>
        </w:rPr>
        <w:t>.</w:t>
      </w:r>
      <w:r w:rsidRPr="00761EF3">
        <w:rPr>
          <w:szCs w:val="22"/>
        </w:rPr>
        <w:t>22</w:t>
      </w:r>
      <w:r w:rsidRPr="00043A1E">
        <w:rPr>
          <w:szCs w:val="22"/>
        </w:rPr>
        <w:t>-</w:t>
      </w:r>
      <w:r w:rsidRPr="00761EF3">
        <w:rPr>
          <w:szCs w:val="22"/>
        </w:rPr>
        <w:t>24</w:t>
      </w:r>
      <w:r w:rsidRPr="00043A1E">
        <w:rPr>
          <w:szCs w:val="22"/>
        </w:rPr>
        <w:t>。</w:t>
      </w:r>
    </w:p>
  </w:footnote>
  <w:footnote w:id="740">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印順法師</w:t>
      </w:r>
      <w:r w:rsidRPr="00043A1E">
        <w:rPr>
          <w:rFonts w:hint="eastAsia"/>
          <w:szCs w:val="22"/>
        </w:rPr>
        <w:t>，《中觀論頌講記》，</w:t>
      </w:r>
      <w:r w:rsidRPr="00761EF3">
        <w:rPr>
          <w:rFonts w:hint="eastAsia"/>
          <w:szCs w:val="22"/>
        </w:rPr>
        <w:t>p</w:t>
      </w:r>
      <w:r w:rsidRPr="00043A1E">
        <w:rPr>
          <w:rFonts w:hint="eastAsia"/>
          <w:szCs w:val="22"/>
        </w:rPr>
        <w:t>.</w:t>
      </w:r>
      <w:r w:rsidRPr="00761EF3">
        <w:rPr>
          <w:rFonts w:hint="eastAsia"/>
          <w:szCs w:val="22"/>
        </w:rPr>
        <w:t>66</w:t>
      </w:r>
      <w:r w:rsidRPr="00043A1E">
        <w:rPr>
          <w:rFonts w:hint="eastAsia"/>
          <w:szCs w:val="22"/>
        </w:rPr>
        <w:t>：</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hint="eastAsia"/>
          <w:szCs w:val="22"/>
        </w:rPr>
        <w:t>「緣緣」，就是所緣緣。心心所的生起，必有他的所緣境，這所緣境，能為心心所生起之緣，所以叫（所）緣緣。像滅諦無為等，都是所緣的，可知的，所以緣緣通於一切法。</w:t>
      </w:r>
    </w:p>
  </w:footnote>
  <w:footnote w:id="741">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考見：察知，稽考發見。（《漢語大詞典》（八）</w:t>
      </w:r>
      <w:r w:rsidRPr="00043A1E">
        <w:rPr>
          <w:rFonts w:hint="eastAsia"/>
          <w:szCs w:val="22"/>
        </w:rPr>
        <w:t>，</w:t>
      </w:r>
      <w:r w:rsidRPr="00761EF3">
        <w:rPr>
          <w:szCs w:val="22"/>
        </w:rPr>
        <w:t>p</w:t>
      </w:r>
      <w:r w:rsidRPr="00043A1E">
        <w:rPr>
          <w:szCs w:val="22"/>
        </w:rPr>
        <w:t>.</w:t>
      </w:r>
      <w:r w:rsidRPr="00761EF3">
        <w:rPr>
          <w:szCs w:val="22"/>
        </w:rPr>
        <w:t>634</w:t>
      </w:r>
      <w:r w:rsidRPr="00043A1E">
        <w:rPr>
          <w:szCs w:val="22"/>
        </w:rPr>
        <w:t>）</w:t>
      </w:r>
    </w:p>
  </w:footnote>
  <w:footnote w:id="742">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逐：</w:t>
      </w:r>
      <w:r w:rsidRPr="00761EF3">
        <w:rPr>
          <w:rFonts w:hint="eastAsia"/>
          <w:szCs w:val="22"/>
        </w:rPr>
        <w:t>5</w:t>
      </w:r>
      <w:r w:rsidRPr="00043A1E">
        <w:rPr>
          <w:rFonts w:hint="eastAsia"/>
          <w:szCs w:val="22"/>
        </w:rPr>
        <w:t>.</w:t>
      </w:r>
      <w:r w:rsidRPr="00043A1E">
        <w:rPr>
          <w:rFonts w:hint="eastAsia"/>
          <w:szCs w:val="22"/>
        </w:rPr>
        <w:t>跟隨</w:t>
      </w:r>
      <w:r w:rsidRPr="00043A1E">
        <w:rPr>
          <w:szCs w:val="22"/>
        </w:rPr>
        <w:t>。（《漢語大詞典》（十）</w:t>
      </w:r>
      <w:r w:rsidRPr="00043A1E">
        <w:rPr>
          <w:rFonts w:hint="eastAsia"/>
          <w:szCs w:val="22"/>
        </w:rPr>
        <w:t>，</w:t>
      </w:r>
      <w:r w:rsidRPr="00761EF3">
        <w:rPr>
          <w:szCs w:val="22"/>
        </w:rPr>
        <w:t>p</w:t>
      </w:r>
      <w:r w:rsidRPr="00043A1E">
        <w:rPr>
          <w:szCs w:val="22"/>
        </w:rPr>
        <w:t>.</w:t>
      </w:r>
      <w:r w:rsidRPr="00761EF3">
        <w:rPr>
          <w:szCs w:val="22"/>
        </w:rPr>
        <w:t>887</w:t>
      </w:r>
      <w:r w:rsidRPr="00043A1E">
        <w:rPr>
          <w:szCs w:val="22"/>
        </w:rPr>
        <w:t>）</w:t>
      </w:r>
    </w:p>
  </w:footnote>
  <w:footnote w:id="743">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szCs w:val="22"/>
        </w:rPr>
        <w:t>）《摩訶般若波羅蜜經》卷</w:t>
      </w:r>
      <w:r w:rsidRPr="00761EF3">
        <w:rPr>
          <w:szCs w:val="22"/>
        </w:rPr>
        <w:t>3</w:t>
      </w:r>
      <w:r w:rsidRPr="00043A1E">
        <w:rPr>
          <w:szCs w:val="22"/>
        </w:rPr>
        <w:t>〈</w:t>
      </w:r>
      <w:r w:rsidRPr="00761EF3">
        <w:rPr>
          <w:szCs w:val="22"/>
        </w:rPr>
        <w:t>10</w:t>
      </w:r>
      <w:r w:rsidRPr="00043A1E">
        <w:rPr>
          <w:szCs w:val="22"/>
        </w:rPr>
        <w:t xml:space="preserve"> </w:t>
      </w:r>
      <w:r w:rsidRPr="00043A1E">
        <w:rPr>
          <w:szCs w:val="22"/>
        </w:rPr>
        <w:t>相行品〉（大正</w:t>
      </w:r>
      <w:r w:rsidRPr="00761EF3">
        <w:rPr>
          <w:szCs w:val="22"/>
        </w:rPr>
        <w:t>8</w:t>
      </w:r>
      <w:r w:rsidRPr="00043A1E">
        <w:rPr>
          <w:szCs w:val="22"/>
        </w:rPr>
        <w:t>，</w:t>
      </w:r>
      <w:r w:rsidRPr="00761EF3">
        <w:rPr>
          <w:szCs w:val="22"/>
        </w:rPr>
        <w:t>238c23</w:t>
      </w:r>
      <w:r w:rsidRPr="00043A1E">
        <w:rPr>
          <w:szCs w:val="22"/>
        </w:rPr>
        <w:t>-</w:t>
      </w:r>
      <w:r w:rsidRPr="00761EF3">
        <w:rPr>
          <w:szCs w:val="22"/>
        </w:rPr>
        <w:t>25</w:t>
      </w:r>
      <w:r w:rsidRPr="00043A1E">
        <w:rPr>
          <w:szCs w:val="22"/>
        </w:rPr>
        <w:t>）：</w:t>
      </w:r>
    </w:p>
    <w:p w:rsidR="00157EF6" w:rsidRPr="00043A1E" w:rsidRDefault="00157EF6" w:rsidP="00AA120F">
      <w:pPr>
        <w:pStyle w:val="a5"/>
        <w:ind w:leftChars="335" w:left="804"/>
        <w:jc w:val="both"/>
        <w:rPr>
          <w:rFonts w:eastAsia="標楷體"/>
          <w:szCs w:val="22"/>
        </w:rPr>
      </w:pPr>
      <w:r w:rsidRPr="00043A1E">
        <w:rPr>
          <w:rFonts w:eastAsia="標楷體"/>
          <w:szCs w:val="22"/>
        </w:rPr>
        <w:t>舍利弗白佛言：「世尊！諸法實相云何有？</w:t>
      </w:r>
      <w:r w:rsidRPr="00043A1E">
        <w:rPr>
          <w:rFonts w:eastAsia="標楷體" w:hint="eastAsia"/>
          <w:szCs w:val="22"/>
        </w:rPr>
        <w:t>」</w:t>
      </w:r>
    </w:p>
    <w:p w:rsidR="00157EF6" w:rsidRPr="00043A1E" w:rsidRDefault="00157EF6" w:rsidP="00AA120F">
      <w:pPr>
        <w:pStyle w:val="a5"/>
        <w:ind w:leftChars="335" w:left="804"/>
        <w:jc w:val="both"/>
        <w:rPr>
          <w:szCs w:val="22"/>
        </w:rPr>
      </w:pPr>
      <w:r w:rsidRPr="00043A1E">
        <w:rPr>
          <w:rFonts w:eastAsia="標楷體"/>
          <w:szCs w:val="22"/>
        </w:rPr>
        <w:t>佛言：</w:t>
      </w:r>
      <w:r w:rsidRPr="00043A1E">
        <w:rPr>
          <w:rFonts w:eastAsia="標楷體" w:hint="eastAsia"/>
          <w:szCs w:val="22"/>
        </w:rPr>
        <w:t>「</w:t>
      </w:r>
      <w:r w:rsidRPr="00043A1E">
        <w:rPr>
          <w:rFonts w:eastAsia="標楷體"/>
          <w:szCs w:val="22"/>
        </w:rPr>
        <w:t>諸法無所有，如是有</w:t>
      </w:r>
      <w:r w:rsidR="00D641C6">
        <w:rPr>
          <w:rFonts w:eastAsia="標楷體" w:hint="eastAsia"/>
          <w:color w:val="FF0000"/>
          <w:szCs w:val="22"/>
          <w:highlight w:val="yellow"/>
        </w:rPr>
        <w:t>；</w:t>
      </w:r>
      <w:r w:rsidRPr="00043A1E">
        <w:rPr>
          <w:rFonts w:eastAsia="標楷體"/>
          <w:szCs w:val="22"/>
        </w:rPr>
        <w:t>如是無所有，是事不知，名為</w:t>
      </w:r>
      <w:r w:rsidR="0010084D">
        <w:rPr>
          <w:rFonts w:ascii="標楷體" w:eastAsia="標楷體" w:hAnsi="標楷體" w:hint="eastAsia"/>
          <w:color w:val="FF0000"/>
          <w:kern w:val="0"/>
          <w:highlight w:val="yellow"/>
        </w:rPr>
        <w:t>『</w:t>
      </w:r>
      <w:r w:rsidRPr="00043A1E">
        <w:rPr>
          <w:rFonts w:eastAsia="標楷體"/>
          <w:szCs w:val="22"/>
        </w:rPr>
        <w:t>無明</w:t>
      </w:r>
      <w:r w:rsidR="0010084D">
        <w:rPr>
          <w:rFonts w:ascii="標楷體" w:eastAsia="標楷體" w:hAnsi="標楷體" w:hint="eastAsia"/>
          <w:color w:val="FF0000"/>
          <w:kern w:val="0"/>
          <w:highlight w:val="yellow"/>
        </w:rPr>
        <w:t>』</w:t>
      </w:r>
      <w:r w:rsidRPr="00043A1E">
        <w:rPr>
          <w:rFonts w:eastAsia="標楷體"/>
          <w:szCs w:val="22"/>
        </w:rPr>
        <w:t>。</w:t>
      </w:r>
      <w:r w:rsidRPr="00043A1E">
        <w:rPr>
          <w:szCs w:val="22"/>
        </w:rPr>
        <w:t>」</w:t>
      </w:r>
    </w:p>
    <w:p w:rsidR="00157EF6" w:rsidRPr="00043A1E" w:rsidRDefault="00157EF6" w:rsidP="00AA120F">
      <w:pPr>
        <w:pStyle w:val="a5"/>
        <w:ind w:leftChars="105" w:left="791" w:hangingChars="245" w:hanging="539"/>
        <w:jc w:val="both"/>
        <w:rPr>
          <w:szCs w:val="22"/>
        </w:rPr>
      </w:pPr>
      <w:r w:rsidRPr="00043A1E">
        <w:rPr>
          <w:szCs w:val="22"/>
        </w:rPr>
        <w:t>（</w:t>
      </w:r>
      <w:r w:rsidRPr="00761EF3">
        <w:rPr>
          <w:szCs w:val="22"/>
        </w:rPr>
        <w:t>2</w:t>
      </w:r>
      <w:r w:rsidRPr="00043A1E">
        <w:rPr>
          <w:szCs w:val="22"/>
        </w:rPr>
        <w:t>）《大智度論》卷</w:t>
      </w:r>
      <w:r w:rsidRPr="00761EF3">
        <w:rPr>
          <w:szCs w:val="22"/>
        </w:rPr>
        <w:t>34</w:t>
      </w:r>
      <w:r w:rsidR="003A5C8E">
        <w:rPr>
          <w:rFonts w:hint="eastAsia"/>
          <w:color w:val="FF0000"/>
          <w:szCs w:val="22"/>
          <w:highlight w:val="yellow"/>
        </w:rPr>
        <w:t>釋</w:t>
      </w:r>
      <w:r w:rsidRPr="00043A1E">
        <w:rPr>
          <w:szCs w:val="22"/>
        </w:rPr>
        <w:t>〈</w:t>
      </w:r>
      <w:r w:rsidRPr="00761EF3">
        <w:rPr>
          <w:szCs w:val="22"/>
        </w:rPr>
        <w:t>10</w:t>
      </w:r>
      <w:r w:rsidRPr="00043A1E">
        <w:rPr>
          <w:szCs w:val="22"/>
        </w:rPr>
        <w:t xml:space="preserve"> </w:t>
      </w:r>
      <w:r w:rsidRPr="00043A1E">
        <w:rPr>
          <w:szCs w:val="22"/>
        </w:rPr>
        <w:t>行相品〉（大正</w:t>
      </w:r>
      <w:r w:rsidRPr="00761EF3">
        <w:rPr>
          <w:szCs w:val="22"/>
        </w:rPr>
        <w:t>25</w:t>
      </w:r>
      <w:r w:rsidRPr="00043A1E">
        <w:rPr>
          <w:szCs w:val="22"/>
        </w:rPr>
        <w:t>，</w:t>
      </w:r>
      <w:r w:rsidRPr="00761EF3">
        <w:rPr>
          <w:szCs w:val="22"/>
        </w:rPr>
        <w:t>375a10</w:t>
      </w:r>
      <w:r w:rsidRPr="00043A1E">
        <w:rPr>
          <w:szCs w:val="22"/>
        </w:rPr>
        <w:t>-</w:t>
      </w:r>
      <w:r w:rsidRPr="00761EF3">
        <w:rPr>
          <w:szCs w:val="22"/>
        </w:rPr>
        <w:t>14</w:t>
      </w:r>
      <w:r w:rsidRPr="00043A1E">
        <w:rPr>
          <w:szCs w:val="22"/>
        </w:rPr>
        <w:t>）：</w:t>
      </w:r>
    </w:p>
    <w:p w:rsidR="00157EF6" w:rsidRPr="00043A1E" w:rsidRDefault="0010084D" w:rsidP="00AA120F">
      <w:pPr>
        <w:pStyle w:val="a5"/>
        <w:ind w:leftChars="335" w:left="804"/>
        <w:jc w:val="both"/>
        <w:rPr>
          <w:rFonts w:eastAsia="標楷體"/>
          <w:szCs w:val="22"/>
        </w:rPr>
      </w:pPr>
      <w:r>
        <w:rPr>
          <w:rFonts w:eastAsia="標楷體"/>
          <w:szCs w:val="22"/>
        </w:rPr>
        <w:t>舍利弗白佛言：「若凡夫人所</w:t>
      </w:r>
      <w:r w:rsidRPr="0010084D">
        <w:rPr>
          <w:rFonts w:eastAsia="標楷體"/>
          <w:szCs w:val="22"/>
          <w:highlight w:val="yellow"/>
        </w:rPr>
        <w:t>見</w:t>
      </w:r>
      <w:r w:rsidR="00157EF6" w:rsidRPr="0010084D">
        <w:rPr>
          <w:rFonts w:eastAsia="標楷體"/>
          <w:szCs w:val="22"/>
          <w:highlight w:val="yellow"/>
        </w:rPr>
        <w:t>皆</w:t>
      </w:r>
      <w:r w:rsidR="00157EF6" w:rsidRPr="00043A1E">
        <w:rPr>
          <w:rFonts w:eastAsia="標楷體"/>
          <w:szCs w:val="22"/>
        </w:rPr>
        <w:t>是不實，今是諸法云何有？」</w:t>
      </w:r>
    </w:p>
    <w:p w:rsidR="00157EF6" w:rsidRPr="00043A1E" w:rsidRDefault="00157EF6" w:rsidP="00AA120F">
      <w:pPr>
        <w:pStyle w:val="a5"/>
        <w:ind w:leftChars="335" w:left="804"/>
        <w:jc w:val="both"/>
        <w:rPr>
          <w:szCs w:val="22"/>
        </w:rPr>
      </w:pPr>
      <w:r w:rsidRPr="00043A1E">
        <w:rPr>
          <w:rFonts w:eastAsia="標楷體"/>
          <w:szCs w:val="22"/>
        </w:rPr>
        <w:t>佛言：「諸法無所有</w:t>
      </w:r>
      <w:r w:rsidR="0010084D">
        <w:rPr>
          <w:rFonts w:ascii="標楷體" w:eastAsia="標楷體" w:hAnsi="標楷體" w:hint="eastAsia"/>
          <w:color w:val="FF0000"/>
          <w:kern w:val="0"/>
          <w:highlight w:val="yellow"/>
        </w:rPr>
        <w:t>。</w:t>
      </w:r>
      <w:r w:rsidRPr="00043A1E">
        <w:rPr>
          <w:rFonts w:eastAsia="標楷體"/>
          <w:szCs w:val="22"/>
        </w:rPr>
        <w:t>凡夫人於無所有</w:t>
      </w:r>
      <w:r w:rsidRPr="0010084D">
        <w:rPr>
          <w:rFonts w:eastAsia="標楷體"/>
          <w:szCs w:val="22"/>
          <w:highlight w:val="yellow"/>
        </w:rPr>
        <w:t>處亦</w:t>
      </w:r>
      <w:r w:rsidRPr="00043A1E">
        <w:rPr>
          <w:rFonts w:eastAsia="標楷體"/>
          <w:szCs w:val="22"/>
        </w:rPr>
        <w:t>以為有。所以者何？是凡夫人離無明、邪見不能有所觀</w:t>
      </w:r>
      <w:r w:rsidR="0010084D">
        <w:rPr>
          <w:rFonts w:ascii="標楷體" w:eastAsia="標楷體" w:hAnsi="標楷體" w:hint="eastAsia"/>
          <w:color w:val="FF0000"/>
          <w:spacing w:val="-4"/>
          <w:kern w:val="0"/>
          <w:highlight w:val="yellow"/>
        </w:rPr>
        <w:t>；</w:t>
      </w:r>
      <w:r w:rsidRPr="00043A1E">
        <w:rPr>
          <w:rFonts w:eastAsia="標楷體"/>
          <w:szCs w:val="22"/>
        </w:rPr>
        <w:t>以是故說</w:t>
      </w:r>
      <w:r w:rsidR="0010084D">
        <w:rPr>
          <w:rFonts w:ascii="標楷體" w:eastAsia="標楷體" w:hAnsi="標楷體" w:hint="eastAsia"/>
          <w:color w:val="FF0000"/>
          <w:spacing w:val="-4"/>
          <w:kern w:val="0"/>
          <w:highlight w:val="yellow"/>
        </w:rPr>
        <w:t>：</w:t>
      </w:r>
      <w:r w:rsidRPr="00043A1E">
        <w:rPr>
          <w:rFonts w:eastAsia="標楷體"/>
          <w:szCs w:val="22"/>
        </w:rPr>
        <w:t>著無所有故，名為</w:t>
      </w:r>
      <w:r w:rsidR="0010084D" w:rsidRPr="0010084D">
        <w:rPr>
          <w:rFonts w:eastAsia="標楷體" w:hint="eastAsia"/>
          <w:color w:val="FF0000"/>
          <w:szCs w:val="22"/>
          <w:highlight w:val="yellow"/>
        </w:rPr>
        <w:t>『</w:t>
      </w:r>
      <w:r w:rsidRPr="00043A1E">
        <w:rPr>
          <w:rFonts w:eastAsia="標楷體"/>
          <w:szCs w:val="22"/>
        </w:rPr>
        <w:t>無明</w:t>
      </w:r>
      <w:r w:rsidR="0010084D">
        <w:rPr>
          <w:rFonts w:eastAsia="標楷體" w:hint="eastAsia"/>
          <w:color w:val="FF0000"/>
          <w:szCs w:val="22"/>
          <w:highlight w:val="yellow"/>
        </w:rPr>
        <w:t>』</w:t>
      </w:r>
      <w:r w:rsidRPr="00043A1E">
        <w:rPr>
          <w:rFonts w:eastAsia="標楷體"/>
          <w:szCs w:val="22"/>
        </w:rPr>
        <w:t>。</w:t>
      </w:r>
      <w:r w:rsidRPr="00043A1E">
        <w:rPr>
          <w:szCs w:val="22"/>
        </w:rPr>
        <w:t>」</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3</w:t>
      </w:r>
      <w:r w:rsidRPr="00043A1E">
        <w:rPr>
          <w:rFonts w:hint="eastAsia"/>
          <w:szCs w:val="22"/>
        </w:rPr>
        <w:t>）印順法師，《中觀論頌講記》，</w:t>
      </w:r>
      <w:r w:rsidRPr="00761EF3">
        <w:rPr>
          <w:rFonts w:hint="eastAsia"/>
          <w:szCs w:val="22"/>
        </w:rPr>
        <w:t>p</w:t>
      </w:r>
      <w:r w:rsidRPr="00043A1E">
        <w:rPr>
          <w:rFonts w:hint="eastAsia"/>
          <w:szCs w:val="22"/>
        </w:rPr>
        <w:t>.</w:t>
      </w:r>
      <w:r w:rsidRPr="00761EF3">
        <w:rPr>
          <w:rFonts w:hint="eastAsia"/>
          <w:szCs w:val="22"/>
        </w:rPr>
        <w:t>448</w:t>
      </w:r>
      <w:r w:rsidRPr="00043A1E">
        <w:rPr>
          <w:rFonts w:hint="eastAsia"/>
          <w:szCs w:val="22"/>
        </w:rPr>
        <w:t>：</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經中說：「諸法無所有，如是有；如是無所有，愚夫不知，名為無明。」</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無所有」，是諸法的畢竟空性；「如是有」，是畢竟空性中的緣起幻有。緣起幻有，是無所有而畢竟性空的，所以又說「如是無所有」。但愚夫為無明蒙蔽，不能了知，在此無明（自性見）的心境上，非實似實，成為世俗諦。聖人破除了無知的無明，通達此「如是有的緣起」是「無所有的性空」，此性空才是一切法的本性，所以名為勝義。</w:t>
      </w:r>
    </w:p>
  </w:footnote>
  <w:footnote w:id="744">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szCs w:val="22"/>
        </w:rPr>
        <w:t>）《金剛般若波羅蜜經》（大正</w:t>
      </w:r>
      <w:r w:rsidRPr="00761EF3">
        <w:rPr>
          <w:szCs w:val="22"/>
        </w:rPr>
        <w:t>8</w:t>
      </w:r>
      <w:r w:rsidRPr="00043A1E">
        <w:rPr>
          <w:szCs w:val="22"/>
        </w:rPr>
        <w:t>，</w:t>
      </w:r>
      <w:r w:rsidRPr="00761EF3">
        <w:rPr>
          <w:szCs w:val="22"/>
        </w:rPr>
        <w:t>749a24</w:t>
      </w:r>
      <w:r w:rsidRPr="00043A1E">
        <w:rPr>
          <w:szCs w:val="22"/>
        </w:rPr>
        <w:t>-</w:t>
      </w:r>
      <w:r w:rsidRPr="00761EF3">
        <w:rPr>
          <w:szCs w:val="22"/>
        </w:rPr>
        <w:t>25</w:t>
      </w:r>
      <w:r w:rsidRPr="00043A1E">
        <w:rPr>
          <w:szCs w:val="22"/>
        </w:rPr>
        <w:t>）：</w:t>
      </w:r>
    </w:p>
    <w:p w:rsidR="00157EF6" w:rsidRPr="00043A1E" w:rsidRDefault="00157EF6" w:rsidP="00AA120F">
      <w:pPr>
        <w:pStyle w:val="a5"/>
        <w:ind w:leftChars="335" w:left="804"/>
        <w:jc w:val="both"/>
        <w:rPr>
          <w:rFonts w:eastAsia="標楷體"/>
          <w:szCs w:val="22"/>
        </w:rPr>
      </w:pPr>
      <w:r w:rsidRPr="00043A1E">
        <w:rPr>
          <w:rFonts w:eastAsia="標楷體"/>
          <w:szCs w:val="22"/>
        </w:rPr>
        <w:t>凡所有相，皆是虛妄。若見諸相非相，則見如來。</w:t>
      </w:r>
    </w:p>
    <w:p w:rsidR="00157EF6" w:rsidRPr="00043A1E" w:rsidRDefault="00157EF6" w:rsidP="00AA120F">
      <w:pPr>
        <w:pStyle w:val="a5"/>
        <w:ind w:leftChars="105" w:left="791" w:hangingChars="245" w:hanging="539"/>
        <w:jc w:val="both"/>
        <w:rPr>
          <w:szCs w:val="22"/>
        </w:rPr>
      </w:pPr>
      <w:r w:rsidRPr="00043A1E">
        <w:rPr>
          <w:szCs w:val="22"/>
        </w:rPr>
        <w:t>（</w:t>
      </w:r>
      <w:r w:rsidRPr="00761EF3">
        <w:rPr>
          <w:szCs w:val="22"/>
        </w:rPr>
        <w:t>2</w:t>
      </w:r>
      <w:r w:rsidRPr="00043A1E">
        <w:rPr>
          <w:szCs w:val="22"/>
        </w:rPr>
        <w:t>）印順法師</w:t>
      </w:r>
      <w:r w:rsidR="009B65F0">
        <w:rPr>
          <w:rFonts w:hint="eastAsia"/>
          <w:szCs w:val="22"/>
        </w:rPr>
        <w:t>，</w:t>
      </w:r>
      <w:r w:rsidRPr="00043A1E">
        <w:rPr>
          <w:szCs w:val="22"/>
        </w:rPr>
        <w:t>《般若經講記》</w:t>
      </w:r>
      <w:r w:rsidR="00577E95">
        <w:rPr>
          <w:rFonts w:hint="eastAsia"/>
          <w:szCs w:val="22"/>
        </w:rPr>
        <w:t>，</w:t>
      </w:r>
      <w:r w:rsidRPr="00761EF3">
        <w:rPr>
          <w:szCs w:val="22"/>
        </w:rPr>
        <w:t>p</w:t>
      </w:r>
      <w:r w:rsidRPr="00043A1E">
        <w:rPr>
          <w:szCs w:val="22"/>
        </w:rPr>
        <w:t>.</w:t>
      </w:r>
      <w:r w:rsidRPr="00761EF3">
        <w:rPr>
          <w:szCs w:val="22"/>
        </w:rPr>
        <w:t>43</w:t>
      </w:r>
      <w:r w:rsidRPr="00043A1E">
        <w:rPr>
          <w:szCs w:val="22"/>
        </w:rPr>
        <w:t>：</w:t>
      </w:r>
    </w:p>
    <w:p w:rsidR="00157EF6" w:rsidRDefault="00157EF6" w:rsidP="00AA120F">
      <w:pPr>
        <w:pStyle w:val="a5"/>
        <w:ind w:leftChars="335" w:left="804"/>
        <w:jc w:val="both"/>
        <w:rPr>
          <w:rFonts w:eastAsia="標楷體"/>
          <w:szCs w:val="22"/>
        </w:rPr>
      </w:pPr>
      <w:r w:rsidRPr="00043A1E">
        <w:rPr>
          <w:rFonts w:eastAsia="標楷體"/>
          <w:szCs w:val="22"/>
        </w:rPr>
        <w:t>不但如來的身相是虛妄的，所有一切的法相，如山河大地器界相，凡外賢聖眾生相，有礙可壞的色相，明了分別的心相，這一切無不是依緣起滅，虛妄不實的。虛妄的還他虛妄，如不執妄相自性為可見可得，即由諸相非相的無相門，契入法性空寂，徹見如來法身了！從緣起的虛誑妄取相看，千差萬別；從緣起本性如實空相看，卻是一味平等的。法性即一切法自性不可得而無所不在，所以也不須於妄相外另覓法身，能見得諸相非相，即在在</w:t>
      </w:r>
      <w:r w:rsidR="00095C66" w:rsidRPr="00095C66">
        <w:rPr>
          <w:rFonts w:eastAsia="標楷體" w:hint="eastAsia"/>
          <w:color w:val="FF0000"/>
          <w:szCs w:val="22"/>
          <w:shd w:val="pct15" w:color="auto" w:fill="FFFFFF"/>
        </w:rPr>
        <w:t>*</w:t>
      </w:r>
      <w:r w:rsidRPr="00043A1E">
        <w:rPr>
          <w:rFonts w:eastAsia="標楷體"/>
          <w:szCs w:val="22"/>
        </w:rPr>
        <w:t>直見如來。</w:t>
      </w:r>
    </w:p>
    <w:p w:rsidR="00095C66" w:rsidRPr="00095C66" w:rsidRDefault="00095C66" w:rsidP="00AA120F">
      <w:pPr>
        <w:pStyle w:val="a5"/>
        <w:ind w:leftChars="335" w:left="804"/>
        <w:jc w:val="both"/>
        <w:rPr>
          <w:rFonts w:ascii="新細明體" w:hAnsi="新細明體"/>
          <w:szCs w:val="22"/>
        </w:rPr>
      </w:pPr>
      <w:r w:rsidRPr="00095C66">
        <w:rPr>
          <w:rFonts w:eastAsia="標楷體" w:hint="eastAsia"/>
          <w:color w:val="FF0000"/>
          <w:szCs w:val="22"/>
          <w:shd w:val="pct15" w:color="auto" w:fill="FFFFFF"/>
        </w:rPr>
        <w:t>*</w:t>
      </w:r>
      <w:r w:rsidRPr="00095C66">
        <w:rPr>
          <w:rFonts w:ascii="新細明體" w:hAnsi="新細明體"/>
          <w:color w:val="FF0000"/>
          <w:szCs w:val="22"/>
          <w:highlight w:val="yellow"/>
        </w:rPr>
        <w:t>在在</w:t>
      </w:r>
      <w:r w:rsidRPr="00095C66">
        <w:rPr>
          <w:rFonts w:ascii="新細明體" w:hAnsi="新細明體" w:hint="eastAsia"/>
          <w:color w:val="FF0000"/>
          <w:szCs w:val="22"/>
          <w:highlight w:val="yellow"/>
        </w:rPr>
        <w:t>：處處，到處。</w:t>
      </w:r>
      <w:r w:rsidRPr="00095C66">
        <w:rPr>
          <w:color w:val="FF0000"/>
          <w:szCs w:val="22"/>
          <w:highlight w:val="yellow"/>
        </w:rPr>
        <w:t>（《漢語大詞典》（</w:t>
      </w:r>
      <w:r w:rsidRPr="00095C66">
        <w:rPr>
          <w:rFonts w:hint="eastAsia"/>
          <w:color w:val="FF0000"/>
          <w:szCs w:val="22"/>
          <w:highlight w:val="yellow"/>
        </w:rPr>
        <w:t>二</w:t>
      </w:r>
      <w:r w:rsidRPr="00095C66">
        <w:rPr>
          <w:color w:val="FF0000"/>
          <w:szCs w:val="22"/>
          <w:highlight w:val="yellow"/>
        </w:rPr>
        <w:t>）</w:t>
      </w:r>
      <w:r w:rsidRPr="00095C66">
        <w:rPr>
          <w:rFonts w:hint="eastAsia"/>
          <w:color w:val="FF0000"/>
          <w:szCs w:val="22"/>
          <w:highlight w:val="yellow"/>
        </w:rPr>
        <w:t>，</w:t>
      </w:r>
      <w:r w:rsidRPr="00095C66">
        <w:rPr>
          <w:color w:val="FF0000"/>
          <w:szCs w:val="22"/>
          <w:highlight w:val="yellow"/>
        </w:rPr>
        <w:t>p.</w:t>
      </w:r>
      <w:r w:rsidRPr="00095C66">
        <w:rPr>
          <w:rFonts w:hint="eastAsia"/>
          <w:color w:val="FF0000"/>
          <w:szCs w:val="22"/>
          <w:highlight w:val="yellow"/>
        </w:rPr>
        <w:t>1010</w:t>
      </w:r>
      <w:r w:rsidRPr="00095C66">
        <w:rPr>
          <w:color w:val="FF0000"/>
          <w:szCs w:val="22"/>
          <w:highlight w:val="yellow"/>
        </w:rPr>
        <w:t>）</w:t>
      </w:r>
    </w:p>
  </w:footnote>
  <w:footnote w:id="745">
    <w:p w:rsidR="00157EF6" w:rsidRPr="00043A1E" w:rsidRDefault="00157EF6" w:rsidP="009E0A5A">
      <w:pPr>
        <w:pStyle w:val="a5"/>
        <w:spacing w:line="0" w:lineRule="atLeast"/>
        <w:ind w:left="726" w:hangingChars="330" w:hanging="726"/>
        <w:jc w:val="both"/>
        <w:rPr>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szCs w:val="22"/>
        </w:rPr>
        <w:t>）《阿毘達磨俱舍論》卷</w:t>
      </w:r>
      <w:r w:rsidRPr="00761EF3">
        <w:rPr>
          <w:szCs w:val="22"/>
        </w:rPr>
        <w:t>20</w:t>
      </w:r>
      <w:r w:rsidRPr="00043A1E">
        <w:rPr>
          <w:szCs w:val="22"/>
        </w:rPr>
        <w:t>〈</w:t>
      </w:r>
      <w:r w:rsidRPr="00761EF3">
        <w:rPr>
          <w:szCs w:val="22"/>
        </w:rPr>
        <w:t>5</w:t>
      </w:r>
      <w:r w:rsidRPr="00043A1E">
        <w:rPr>
          <w:szCs w:val="22"/>
        </w:rPr>
        <w:t xml:space="preserve"> </w:t>
      </w:r>
      <w:r w:rsidRPr="00043A1E">
        <w:rPr>
          <w:szCs w:val="22"/>
        </w:rPr>
        <w:t>分別隨眠品〉（大正</w:t>
      </w:r>
      <w:r w:rsidRPr="00761EF3">
        <w:rPr>
          <w:szCs w:val="22"/>
        </w:rPr>
        <w:t>29</w:t>
      </w:r>
      <w:r w:rsidRPr="00043A1E">
        <w:rPr>
          <w:szCs w:val="22"/>
        </w:rPr>
        <w:t>，</w:t>
      </w:r>
      <w:r w:rsidRPr="00761EF3">
        <w:rPr>
          <w:szCs w:val="22"/>
        </w:rPr>
        <w:t>105a27</w:t>
      </w:r>
      <w:r w:rsidRPr="00043A1E">
        <w:rPr>
          <w:szCs w:val="22"/>
        </w:rPr>
        <w:t>-</w:t>
      </w:r>
      <w:r w:rsidRPr="00761EF3">
        <w:rPr>
          <w:szCs w:val="22"/>
        </w:rPr>
        <w:t>b3</w:t>
      </w:r>
      <w:r w:rsidRPr="00043A1E">
        <w:rPr>
          <w:szCs w:val="22"/>
        </w:rPr>
        <w:t>）：</w:t>
      </w:r>
    </w:p>
    <w:p w:rsidR="00157EF6" w:rsidRPr="00043A1E" w:rsidRDefault="00157EF6" w:rsidP="00AA120F">
      <w:pPr>
        <w:pStyle w:val="a5"/>
        <w:ind w:leftChars="305" w:left="732"/>
        <w:jc w:val="both"/>
        <w:rPr>
          <w:rFonts w:eastAsia="標楷體"/>
          <w:szCs w:val="22"/>
        </w:rPr>
      </w:pPr>
      <w:r w:rsidRPr="00043A1E">
        <w:rPr>
          <w:rFonts w:eastAsia="標楷體"/>
          <w:szCs w:val="22"/>
        </w:rPr>
        <w:t>然彼所說「恒與</w:t>
      </w:r>
      <w:r w:rsidR="0047032E">
        <w:rPr>
          <w:rFonts w:eastAsia="標楷體" w:hint="eastAsia"/>
          <w:color w:val="FF0000"/>
          <w:szCs w:val="22"/>
          <w:highlight w:val="yellow"/>
        </w:rPr>
        <w:t>『</w:t>
      </w:r>
      <w:r w:rsidRPr="00043A1E">
        <w:rPr>
          <w:rFonts w:eastAsia="標楷體"/>
          <w:szCs w:val="22"/>
        </w:rPr>
        <w:t>有為諸相</w:t>
      </w:r>
      <w:r w:rsidR="0047032E">
        <w:rPr>
          <w:rFonts w:eastAsia="標楷體" w:hint="eastAsia"/>
          <w:color w:val="FF0000"/>
          <w:szCs w:val="22"/>
          <w:highlight w:val="yellow"/>
        </w:rPr>
        <w:t>』</w:t>
      </w:r>
      <w:r w:rsidRPr="00043A1E">
        <w:rPr>
          <w:rFonts w:eastAsia="標楷體"/>
          <w:szCs w:val="22"/>
        </w:rPr>
        <w:t>合故行非常」者，此但有虛言，</w:t>
      </w:r>
      <w:r w:rsidR="0047032E">
        <w:rPr>
          <w:rFonts w:eastAsia="標楷體" w:hint="eastAsia"/>
          <w:color w:val="FF0000"/>
          <w:szCs w:val="22"/>
          <w:highlight w:val="yellow"/>
        </w:rPr>
        <w:t>『</w:t>
      </w:r>
      <w:r w:rsidRPr="00043A1E">
        <w:rPr>
          <w:rFonts w:eastAsia="標楷體"/>
          <w:szCs w:val="22"/>
        </w:rPr>
        <w:t>生滅</w:t>
      </w:r>
      <w:r w:rsidR="0047032E">
        <w:rPr>
          <w:rFonts w:eastAsia="標楷體" w:hint="eastAsia"/>
          <w:color w:val="FF0000"/>
          <w:szCs w:val="22"/>
          <w:highlight w:val="yellow"/>
        </w:rPr>
        <w:t>』</w:t>
      </w:r>
      <w:r w:rsidRPr="00043A1E">
        <w:rPr>
          <w:rFonts w:eastAsia="標楷體"/>
          <w:szCs w:val="22"/>
        </w:rPr>
        <w:t>理無故。許「體恒有」說「性非常」，如是義言，所未曾有。</w:t>
      </w:r>
    </w:p>
    <w:p w:rsidR="00157EF6" w:rsidRPr="00043A1E" w:rsidRDefault="00157EF6" w:rsidP="00AA120F">
      <w:pPr>
        <w:pStyle w:val="a5"/>
        <w:ind w:leftChars="305" w:left="732"/>
        <w:jc w:val="both"/>
        <w:rPr>
          <w:szCs w:val="22"/>
        </w:rPr>
      </w:pPr>
      <w:r w:rsidRPr="00043A1E">
        <w:rPr>
          <w:rFonts w:eastAsia="標楷體"/>
          <w:szCs w:val="22"/>
        </w:rPr>
        <w:t>依如是義</w:t>
      </w:r>
      <w:r w:rsidRPr="00043A1E">
        <w:rPr>
          <w:rFonts w:eastAsia="標楷體" w:hint="eastAsia"/>
          <w:szCs w:val="22"/>
        </w:rPr>
        <w:t>，</w:t>
      </w:r>
      <w:r w:rsidRPr="00043A1E">
        <w:rPr>
          <w:rFonts w:eastAsia="標楷體"/>
          <w:szCs w:val="22"/>
        </w:rPr>
        <w:t>故有頌言：「許</w:t>
      </w:r>
      <w:r w:rsidR="0047032E">
        <w:rPr>
          <w:rFonts w:eastAsia="標楷體" w:hint="eastAsia"/>
          <w:color w:val="FF0000"/>
          <w:szCs w:val="22"/>
          <w:highlight w:val="yellow"/>
        </w:rPr>
        <w:t>『</w:t>
      </w:r>
      <w:r w:rsidRPr="00043A1E">
        <w:rPr>
          <w:rFonts w:eastAsia="標楷體"/>
          <w:szCs w:val="22"/>
        </w:rPr>
        <w:t>法體恒有</w:t>
      </w:r>
      <w:r w:rsidR="0047032E">
        <w:rPr>
          <w:rFonts w:eastAsia="標楷體" w:hint="eastAsia"/>
          <w:color w:val="FF0000"/>
          <w:szCs w:val="22"/>
          <w:highlight w:val="yellow"/>
        </w:rPr>
        <w:t>』</w:t>
      </w:r>
      <w:r w:rsidRPr="00043A1E">
        <w:rPr>
          <w:rFonts w:eastAsia="標楷體"/>
          <w:szCs w:val="22"/>
        </w:rPr>
        <w:t>，而說</w:t>
      </w:r>
      <w:r w:rsidR="0047032E">
        <w:rPr>
          <w:rFonts w:eastAsia="標楷體" w:hint="eastAsia"/>
          <w:color w:val="FF0000"/>
          <w:szCs w:val="22"/>
          <w:highlight w:val="yellow"/>
        </w:rPr>
        <w:t>『</w:t>
      </w:r>
      <w:r w:rsidRPr="00043A1E">
        <w:rPr>
          <w:rFonts w:eastAsia="標楷體"/>
          <w:szCs w:val="22"/>
        </w:rPr>
        <w:t>性非常</w:t>
      </w:r>
      <w:r w:rsidR="0047032E">
        <w:rPr>
          <w:rFonts w:eastAsia="標楷體" w:hint="eastAsia"/>
          <w:color w:val="FF0000"/>
          <w:szCs w:val="22"/>
          <w:highlight w:val="yellow"/>
        </w:rPr>
        <w:t>』</w:t>
      </w:r>
      <w:r w:rsidRPr="00043A1E">
        <w:rPr>
          <w:rFonts w:eastAsia="標楷體"/>
          <w:szCs w:val="22"/>
        </w:rPr>
        <w:t>，</w:t>
      </w:r>
      <w:r w:rsidR="0047032E">
        <w:rPr>
          <w:rFonts w:eastAsia="標楷體" w:hint="eastAsia"/>
          <w:color w:val="FF0000"/>
          <w:szCs w:val="22"/>
          <w:highlight w:val="yellow"/>
        </w:rPr>
        <w:t>『</w:t>
      </w:r>
      <w:r w:rsidRPr="00043A1E">
        <w:rPr>
          <w:rFonts w:eastAsia="標楷體"/>
          <w:szCs w:val="22"/>
        </w:rPr>
        <w:t>性</w:t>
      </w:r>
      <w:r w:rsidR="0047032E">
        <w:rPr>
          <w:rFonts w:eastAsia="標楷體" w:hint="eastAsia"/>
          <w:color w:val="FF0000"/>
          <w:szCs w:val="22"/>
          <w:highlight w:val="yellow"/>
        </w:rPr>
        <w:t>』</w:t>
      </w:r>
      <w:r w:rsidR="0047032E">
        <w:rPr>
          <w:rFonts w:ascii="標楷體" w:eastAsia="標楷體" w:hAnsi="標楷體" w:hint="eastAsia"/>
          <w:color w:val="FF0000"/>
          <w:spacing w:val="-4"/>
          <w:kern w:val="0"/>
          <w:highlight w:val="yellow"/>
        </w:rPr>
        <w:t>、</w:t>
      </w:r>
      <w:r w:rsidR="0047032E">
        <w:rPr>
          <w:rFonts w:eastAsia="標楷體" w:hint="eastAsia"/>
          <w:color w:val="FF0000"/>
          <w:szCs w:val="22"/>
          <w:highlight w:val="yellow"/>
        </w:rPr>
        <w:t>『</w:t>
      </w:r>
      <w:r w:rsidRPr="00043A1E">
        <w:rPr>
          <w:rFonts w:eastAsia="標楷體"/>
          <w:szCs w:val="22"/>
        </w:rPr>
        <w:t>體</w:t>
      </w:r>
      <w:r w:rsidR="0047032E">
        <w:rPr>
          <w:rFonts w:eastAsia="標楷體" w:hint="eastAsia"/>
          <w:color w:val="FF0000"/>
          <w:szCs w:val="22"/>
          <w:highlight w:val="yellow"/>
        </w:rPr>
        <w:t>』</w:t>
      </w:r>
      <w:r w:rsidRPr="00043A1E">
        <w:rPr>
          <w:rFonts w:eastAsia="標楷體"/>
          <w:szCs w:val="22"/>
        </w:rPr>
        <w:t>復無別，此真自在作！」</w:t>
      </w:r>
    </w:p>
    <w:p w:rsidR="00157EF6" w:rsidRPr="00043A1E" w:rsidRDefault="00157EF6" w:rsidP="00AA120F">
      <w:pPr>
        <w:pStyle w:val="a5"/>
        <w:ind w:leftChars="80" w:left="731" w:hangingChars="245" w:hanging="539"/>
        <w:jc w:val="both"/>
        <w:rPr>
          <w:szCs w:val="22"/>
        </w:rPr>
      </w:pPr>
      <w:r w:rsidRPr="00043A1E">
        <w:rPr>
          <w:szCs w:val="22"/>
        </w:rPr>
        <w:t>（</w:t>
      </w:r>
      <w:r w:rsidRPr="00761EF3">
        <w:rPr>
          <w:szCs w:val="22"/>
        </w:rPr>
        <w:t>2</w:t>
      </w:r>
      <w:r w:rsidRPr="00043A1E">
        <w:rPr>
          <w:szCs w:val="22"/>
        </w:rPr>
        <w:t>）</w:t>
      </w:r>
      <w:r w:rsidRPr="00043A1E">
        <w:rPr>
          <w:spacing w:val="-4"/>
          <w:szCs w:val="22"/>
        </w:rPr>
        <w:t>〔唐〕普光述，《俱舍論記》卷</w:t>
      </w:r>
      <w:r w:rsidRPr="00761EF3">
        <w:rPr>
          <w:szCs w:val="22"/>
        </w:rPr>
        <w:t>20</w:t>
      </w:r>
      <w:r w:rsidRPr="00043A1E">
        <w:rPr>
          <w:spacing w:val="-4"/>
          <w:szCs w:val="22"/>
        </w:rPr>
        <w:t>〈</w:t>
      </w:r>
      <w:r w:rsidRPr="00761EF3">
        <w:rPr>
          <w:szCs w:val="22"/>
        </w:rPr>
        <w:t>5</w:t>
      </w:r>
      <w:r w:rsidRPr="00043A1E">
        <w:rPr>
          <w:spacing w:val="-4"/>
          <w:szCs w:val="22"/>
        </w:rPr>
        <w:t xml:space="preserve"> </w:t>
      </w:r>
      <w:r w:rsidRPr="00043A1E">
        <w:rPr>
          <w:spacing w:val="-4"/>
          <w:szCs w:val="22"/>
        </w:rPr>
        <w:t>分別隨眠品〉（大正</w:t>
      </w:r>
      <w:r w:rsidRPr="00761EF3">
        <w:rPr>
          <w:szCs w:val="22"/>
        </w:rPr>
        <w:t>41</w:t>
      </w:r>
      <w:r w:rsidRPr="00043A1E">
        <w:rPr>
          <w:spacing w:val="-4"/>
          <w:szCs w:val="22"/>
        </w:rPr>
        <w:t>，</w:t>
      </w:r>
      <w:r w:rsidRPr="00761EF3">
        <w:rPr>
          <w:szCs w:val="22"/>
        </w:rPr>
        <w:t>311c24</w:t>
      </w:r>
      <w:r w:rsidRPr="00043A1E">
        <w:rPr>
          <w:spacing w:val="-4"/>
          <w:szCs w:val="22"/>
        </w:rPr>
        <w:t>-</w:t>
      </w:r>
      <w:r w:rsidRPr="00761EF3">
        <w:rPr>
          <w:szCs w:val="22"/>
        </w:rPr>
        <w:t>312a4</w:t>
      </w:r>
      <w:r w:rsidRPr="00043A1E">
        <w:rPr>
          <w:spacing w:val="-4"/>
          <w:szCs w:val="22"/>
        </w:rPr>
        <w:t>）：</w:t>
      </w:r>
    </w:p>
    <w:p w:rsidR="00157EF6" w:rsidRPr="00043A1E" w:rsidRDefault="00157EF6" w:rsidP="00AA120F">
      <w:pPr>
        <w:pStyle w:val="a5"/>
        <w:ind w:leftChars="305" w:left="732"/>
        <w:jc w:val="both"/>
        <w:rPr>
          <w:szCs w:val="22"/>
        </w:rPr>
      </w:pPr>
      <w:r w:rsidRPr="00043A1E">
        <w:rPr>
          <w:rFonts w:eastAsia="標楷體"/>
          <w:szCs w:val="22"/>
        </w:rPr>
        <w:t>「然彼所說」至「此真自在作」者，此下</w:t>
      </w:r>
      <w:r w:rsidR="0047032E">
        <w:rPr>
          <w:rFonts w:ascii="標楷體" w:eastAsia="標楷體" w:hAnsi="標楷體" w:hint="eastAsia"/>
          <w:color w:val="FF0000"/>
          <w:kern w:val="0"/>
          <w:highlight w:val="yellow"/>
        </w:rPr>
        <w:t>，</w:t>
      </w:r>
      <w:r w:rsidRPr="00043A1E">
        <w:rPr>
          <w:rFonts w:eastAsia="標楷體"/>
          <w:szCs w:val="22"/>
        </w:rPr>
        <w:t>廣破。經部牒前毘婆沙師立義徵破。然彼前文所說「恒與</w:t>
      </w:r>
      <w:r w:rsidR="0047032E">
        <w:rPr>
          <w:rFonts w:eastAsia="標楷體" w:hint="eastAsia"/>
          <w:color w:val="FF0000"/>
          <w:szCs w:val="22"/>
          <w:highlight w:val="yellow"/>
        </w:rPr>
        <w:t>『</w:t>
      </w:r>
      <w:r w:rsidRPr="00043A1E">
        <w:rPr>
          <w:rFonts w:eastAsia="標楷體"/>
          <w:szCs w:val="22"/>
        </w:rPr>
        <w:t>有為諸相</w:t>
      </w:r>
      <w:r w:rsidR="0047032E">
        <w:rPr>
          <w:rFonts w:eastAsia="標楷體" w:hint="eastAsia"/>
          <w:color w:val="FF0000"/>
          <w:szCs w:val="22"/>
          <w:highlight w:val="yellow"/>
        </w:rPr>
        <w:t>』</w:t>
      </w:r>
      <w:r w:rsidRPr="00043A1E">
        <w:rPr>
          <w:rFonts w:eastAsia="標楷體"/>
          <w:szCs w:val="22"/>
        </w:rPr>
        <w:t>合故行非常」者，此但有虛言</w:t>
      </w:r>
      <w:r w:rsidR="0047032E">
        <w:rPr>
          <w:rFonts w:ascii="標楷體" w:eastAsia="標楷體" w:hAnsi="標楷體" w:hint="eastAsia"/>
          <w:bCs/>
          <w:color w:val="FF0000"/>
          <w:kern w:val="0"/>
          <w:highlight w:val="yellow"/>
        </w:rPr>
        <w:t>「</w:t>
      </w:r>
      <w:r w:rsidRPr="00043A1E">
        <w:rPr>
          <w:rFonts w:eastAsia="標楷體"/>
          <w:szCs w:val="22"/>
        </w:rPr>
        <w:t>三世體實有</w:t>
      </w:r>
      <w:r w:rsidR="0047032E">
        <w:rPr>
          <w:rFonts w:ascii="標楷體" w:eastAsia="標楷體" w:hAnsi="標楷體" w:hint="eastAsia"/>
          <w:bCs/>
          <w:color w:val="FF0000"/>
          <w:kern w:val="0"/>
          <w:highlight w:val="yellow"/>
        </w:rPr>
        <w:t>」</w:t>
      </w:r>
      <w:r w:rsidRPr="00043A1E">
        <w:rPr>
          <w:rFonts w:eastAsia="標楷體"/>
          <w:szCs w:val="22"/>
        </w:rPr>
        <w:t>，</w:t>
      </w:r>
      <w:r w:rsidR="0047032E">
        <w:rPr>
          <w:rFonts w:ascii="標楷體" w:eastAsia="標楷體" w:hAnsi="標楷體" w:hint="eastAsia"/>
          <w:bCs/>
          <w:color w:val="FF0000"/>
          <w:kern w:val="0"/>
          <w:highlight w:val="yellow"/>
        </w:rPr>
        <w:t>「</w:t>
      </w:r>
      <w:r w:rsidRPr="00043A1E">
        <w:rPr>
          <w:rFonts w:eastAsia="標楷體"/>
          <w:szCs w:val="22"/>
        </w:rPr>
        <w:t>生滅</w:t>
      </w:r>
      <w:r w:rsidR="0047032E">
        <w:rPr>
          <w:rFonts w:ascii="標楷體" w:eastAsia="標楷體" w:hAnsi="標楷體" w:hint="eastAsia"/>
          <w:bCs/>
          <w:color w:val="FF0000"/>
          <w:kern w:val="0"/>
          <w:highlight w:val="yellow"/>
        </w:rPr>
        <w:t>」</w:t>
      </w:r>
      <w:r w:rsidRPr="00043A1E">
        <w:rPr>
          <w:rFonts w:eastAsia="標楷體"/>
          <w:szCs w:val="22"/>
        </w:rPr>
        <w:t>理無故。汝許</w:t>
      </w:r>
      <w:r w:rsidR="0047032E">
        <w:rPr>
          <w:rFonts w:ascii="標楷體" w:eastAsia="標楷體" w:hAnsi="標楷體" w:hint="eastAsia"/>
          <w:bCs/>
          <w:color w:val="FF0000"/>
          <w:kern w:val="0"/>
          <w:highlight w:val="yellow"/>
        </w:rPr>
        <w:t>「</w:t>
      </w:r>
      <w:r w:rsidRPr="00043A1E">
        <w:rPr>
          <w:rFonts w:eastAsia="標楷體"/>
          <w:szCs w:val="22"/>
        </w:rPr>
        <w:t>體恒三世實有</w:t>
      </w:r>
      <w:r w:rsidR="0047032E">
        <w:rPr>
          <w:rFonts w:ascii="標楷體" w:eastAsia="標楷體" w:hAnsi="標楷體" w:hint="eastAsia"/>
          <w:bCs/>
          <w:color w:val="FF0000"/>
          <w:kern w:val="0"/>
          <w:highlight w:val="yellow"/>
        </w:rPr>
        <w:t>」</w:t>
      </w:r>
      <w:r w:rsidRPr="00043A1E">
        <w:rPr>
          <w:rFonts w:eastAsia="標楷體"/>
          <w:szCs w:val="22"/>
        </w:rPr>
        <w:t>，說「性非常」</w:t>
      </w:r>
      <w:r w:rsidR="0047032E">
        <w:rPr>
          <w:rFonts w:ascii="標楷體" w:eastAsia="標楷體" w:hAnsi="標楷體" w:hint="eastAsia"/>
          <w:color w:val="FF0000"/>
          <w:kern w:val="0"/>
          <w:highlight w:val="yellow"/>
        </w:rPr>
        <w:t>──</w:t>
      </w:r>
      <w:r w:rsidRPr="00043A1E">
        <w:rPr>
          <w:rFonts w:eastAsia="標楷體"/>
          <w:szCs w:val="22"/>
        </w:rPr>
        <w:t>如是義言</w:t>
      </w:r>
      <w:r w:rsidR="0047032E">
        <w:rPr>
          <w:rFonts w:ascii="標楷體" w:eastAsia="標楷體" w:hAnsi="標楷體" w:hint="eastAsia"/>
          <w:color w:val="FF0000"/>
          <w:kern w:val="0"/>
          <w:highlight w:val="yellow"/>
        </w:rPr>
        <w:t>，</w:t>
      </w:r>
      <w:r w:rsidRPr="00043A1E">
        <w:rPr>
          <w:rFonts w:eastAsia="標楷體"/>
          <w:szCs w:val="22"/>
        </w:rPr>
        <w:t>所未曾有。依如是義，故有頌言：「許</w:t>
      </w:r>
      <w:r w:rsidR="0047032E">
        <w:rPr>
          <w:rFonts w:eastAsia="標楷體" w:hint="eastAsia"/>
          <w:color w:val="FF0000"/>
          <w:szCs w:val="22"/>
          <w:highlight w:val="yellow"/>
        </w:rPr>
        <w:t>『</w:t>
      </w:r>
      <w:r w:rsidRPr="00043A1E">
        <w:rPr>
          <w:rFonts w:eastAsia="標楷體"/>
          <w:szCs w:val="22"/>
        </w:rPr>
        <w:t>三世法其體恒有</w:t>
      </w:r>
      <w:r w:rsidR="0047032E">
        <w:rPr>
          <w:rFonts w:eastAsia="標楷體" w:hint="eastAsia"/>
          <w:color w:val="FF0000"/>
          <w:szCs w:val="22"/>
          <w:highlight w:val="yellow"/>
        </w:rPr>
        <w:t>』</w:t>
      </w:r>
      <w:r w:rsidRPr="00043A1E">
        <w:rPr>
          <w:rFonts w:eastAsia="標楷體"/>
          <w:szCs w:val="22"/>
        </w:rPr>
        <w:t>，而說</w:t>
      </w:r>
      <w:r w:rsidR="0047032E">
        <w:rPr>
          <w:rFonts w:eastAsia="標楷體" w:hint="eastAsia"/>
          <w:color w:val="FF0000"/>
          <w:szCs w:val="22"/>
          <w:highlight w:val="yellow"/>
        </w:rPr>
        <w:t>『</w:t>
      </w:r>
      <w:r w:rsidRPr="00043A1E">
        <w:rPr>
          <w:rFonts w:eastAsia="標楷體"/>
          <w:szCs w:val="22"/>
        </w:rPr>
        <w:t>三世其性非常</w:t>
      </w:r>
      <w:r w:rsidR="0047032E">
        <w:rPr>
          <w:rFonts w:eastAsia="標楷體" w:hint="eastAsia"/>
          <w:color w:val="FF0000"/>
          <w:szCs w:val="22"/>
          <w:highlight w:val="yellow"/>
        </w:rPr>
        <w:t>』</w:t>
      </w:r>
      <w:r w:rsidRPr="00043A1E">
        <w:rPr>
          <w:rFonts w:eastAsia="標楷體"/>
          <w:szCs w:val="22"/>
        </w:rPr>
        <w:t>。</w:t>
      </w:r>
      <w:r w:rsidR="0047032E">
        <w:rPr>
          <w:rFonts w:eastAsia="標楷體" w:hint="eastAsia"/>
          <w:color w:val="FF0000"/>
          <w:szCs w:val="22"/>
          <w:highlight w:val="yellow"/>
        </w:rPr>
        <w:t>『</w:t>
      </w:r>
      <w:r w:rsidRPr="00043A1E">
        <w:rPr>
          <w:rFonts w:eastAsia="標楷體"/>
          <w:szCs w:val="22"/>
        </w:rPr>
        <w:t>性</w:t>
      </w:r>
      <w:r w:rsidR="0047032E">
        <w:rPr>
          <w:rFonts w:eastAsia="標楷體" w:hint="eastAsia"/>
          <w:color w:val="FF0000"/>
          <w:szCs w:val="22"/>
          <w:highlight w:val="yellow"/>
        </w:rPr>
        <w:t>』</w:t>
      </w:r>
      <w:r w:rsidRPr="00043A1E">
        <w:rPr>
          <w:rFonts w:eastAsia="標楷體"/>
          <w:szCs w:val="22"/>
        </w:rPr>
        <w:t>之與</w:t>
      </w:r>
      <w:r w:rsidR="0047032E">
        <w:rPr>
          <w:rFonts w:eastAsia="標楷體" w:hint="eastAsia"/>
          <w:color w:val="FF0000"/>
          <w:szCs w:val="22"/>
          <w:highlight w:val="yellow"/>
        </w:rPr>
        <w:t>『</w:t>
      </w:r>
      <w:r w:rsidRPr="00043A1E">
        <w:rPr>
          <w:rFonts w:eastAsia="標楷體"/>
          <w:szCs w:val="22"/>
        </w:rPr>
        <w:t>體</w:t>
      </w:r>
      <w:r w:rsidR="0047032E">
        <w:rPr>
          <w:rFonts w:eastAsia="標楷體" w:hint="eastAsia"/>
          <w:color w:val="FF0000"/>
          <w:szCs w:val="22"/>
          <w:highlight w:val="yellow"/>
        </w:rPr>
        <w:t>』，『</w:t>
      </w:r>
      <w:r w:rsidRPr="00043A1E">
        <w:rPr>
          <w:rFonts w:eastAsia="標楷體"/>
          <w:szCs w:val="22"/>
        </w:rPr>
        <w:t>眼</w:t>
      </w:r>
      <w:r w:rsidR="0047032E">
        <w:rPr>
          <w:rFonts w:eastAsia="標楷體" w:hint="eastAsia"/>
          <w:color w:val="FF0000"/>
          <w:szCs w:val="22"/>
          <w:highlight w:val="yellow"/>
        </w:rPr>
        <w:t>』、『</w:t>
      </w:r>
      <w:r w:rsidRPr="00043A1E">
        <w:rPr>
          <w:rFonts w:eastAsia="標楷體"/>
          <w:szCs w:val="22"/>
        </w:rPr>
        <w:t>目</w:t>
      </w:r>
      <w:r w:rsidR="0047032E">
        <w:rPr>
          <w:rFonts w:eastAsia="標楷體" w:hint="eastAsia"/>
          <w:color w:val="FF0000"/>
          <w:szCs w:val="22"/>
          <w:highlight w:val="yellow"/>
        </w:rPr>
        <w:t>』</w:t>
      </w:r>
      <w:r w:rsidRPr="00043A1E">
        <w:rPr>
          <w:rFonts w:eastAsia="標楷體"/>
          <w:szCs w:val="22"/>
        </w:rPr>
        <w:t>異名，復無有別，此真是彼自在天作！」外道計自在天須作即作。論主調彼：須作即作，同彼自在，故言「此真自在作」。</w:t>
      </w:r>
    </w:p>
  </w:footnote>
  <w:footnote w:id="746">
    <w:p w:rsidR="00BC3C83" w:rsidRPr="00BC3C83" w:rsidRDefault="00157EF6" w:rsidP="00BC3C83">
      <w:pPr>
        <w:pStyle w:val="a5"/>
        <w:ind w:left="187" w:hangingChars="85" w:hanging="187"/>
        <w:jc w:val="both"/>
        <w:rPr>
          <w:color w:val="FF0000"/>
          <w:szCs w:val="22"/>
          <w:highlight w:val="yellow"/>
        </w:rPr>
      </w:pPr>
      <w:r w:rsidRPr="00043A1E">
        <w:rPr>
          <w:rStyle w:val="a6"/>
          <w:szCs w:val="22"/>
        </w:rPr>
        <w:footnoteRef/>
      </w:r>
      <w:r w:rsidRPr="00043A1E">
        <w:rPr>
          <w:szCs w:val="22"/>
        </w:rPr>
        <w:t xml:space="preserve"> </w:t>
      </w:r>
      <w:r w:rsidR="00BC3C83" w:rsidRPr="00BC3C83">
        <w:rPr>
          <w:rFonts w:hint="eastAsia"/>
          <w:color w:val="FF0000"/>
          <w:szCs w:val="22"/>
          <w:highlight w:val="yellow"/>
        </w:rPr>
        <w:t>《大毘婆沙論》卷</w:t>
      </w:r>
      <w:r w:rsidR="00BC3C83" w:rsidRPr="00BC3C83">
        <w:rPr>
          <w:rFonts w:hint="eastAsia"/>
          <w:color w:val="FF0000"/>
          <w:szCs w:val="22"/>
          <w:highlight w:val="yellow"/>
        </w:rPr>
        <w:t>1</w:t>
      </w:r>
      <w:r w:rsidR="00BC3C83" w:rsidRPr="00BC3C83">
        <w:rPr>
          <w:color w:val="FF0000"/>
          <w:spacing w:val="-4"/>
          <w:szCs w:val="22"/>
          <w:highlight w:val="yellow"/>
        </w:rPr>
        <w:t>（大正</w:t>
      </w:r>
      <w:r w:rsidR="00BC3C83" w:rsidRPr="00BC3C83">
        <w:rPr>
          <w:rFonts w:hint="eastAsia"/>
          <w:color w:val="FF0000"/>
          <w:szCs w:val="22"/>
          <w:highlight w:val="yellow"/>
        </w:rPr>
        <w:t>27</w:t>
      </w:r>
      <w:r w:rsidR="00BC3C83" w:rsidRPr="00BC3C83">
        <w:rPr>
          <w:rFonts w:hint="eastAsia"/>
          <w:color w:val="FF0000"/>
          <w:szCs w:val="22"/>
          <w:highlight w:val="yellow"/>
        </w:rPr>
        <w:t>，</w:t>
      </w:r>
      <w:r w:rsidR="00BC3C83" w:rsidRPr="00BC3C83">
        <w:rPr>
          <w:rFonts w:hint="eastAsia"/>
          <w:color w:val="FF0000"/>
          <w:szCs w:val="22"/>
          <w:highlight w:val="yellow"/>
        </w:rPr>
        <w:t>4a10-11</w:t>
      </w:r>
      <w:r w:rsidR="00BC3C83" w:rsidRPr="00BC3C83">
        <w:rPr>
          <w:color w:val="FF0000"/>
          <w:szCs w:val="22"/>
          <w:highlight w:val="yellow"/>
        </w:rPr>
        <w:t>）</w:t>
      </w:r>
      <w:r w:rsidR="00BC3C83" w:rsidRPr="00BC3C83">
        <w:rPr>
          <w:rFonts w:hint="eastAsia"/>
          <w:color w:val="FF0000"/>
          <w:szCs w:val="22"/>
          <w:highlight w:val="yellow"/>
        </w:rPr>
        <w:t>：</w:t>
      </w:r>
    </w:p>
    <w:p w:rsidR="00157EF6" w:rsidRPr="00BC3C83" w:rsidRDefault="00BC3C83" w:rsidP="00BC3C83">
      <w:pPr>
        <w:pStyle w:val="a5"/>
        <w:ind w:leftChars="75" w:left="180"/>
        <w:jc w:val="both"/>
        <w:rPr>
          <w:rFonts w:ascii="標楷體" w:eastAsia="標楷體" w:hAnsi="標楷體"/>
          <w:szCs w:val="22"/>
        </w:rPr>
      </w:pPr>
      <w:r w:rsidRPr="00BC3C83">
        <w:rPr>
          <w:rFonts w:ascii="標楷體" w:eastAsia="標楷體" w:hAnsi="標楷體" w:hint="eastAsia"/>
          <w:color w:val="FF0000"/>
          <w:szCs w:val="22"/>
          <w:highlight w:val="yellow"/>
        </w:rPr>
        <w:t>如說「自性」，「我」、「物」、「自體」、「相」、「分」、「本性」，應知亦爾。</w:t>
      </w:r>
    </w:p>
  </w:footnote>
  <w:footnote w:id="747">
    <w:p w:rsidR="00157EF6" w:rsidRPr="00043A1E" w:rsidRDefault="00157EF6" w:rsidP="00AA120F">
      <w:pPr>
        <w:pStyle w:val="a5"/>
        <w:ind w:left="187" w:hangingChars="85" w:hanging="187"/>
        <w:jc w:val="both"/>
        <w:rPr>
          <w:szCs w:val="22"/>
        </w:rPr>
      </w:pPr>
      <w:r w:rsidRPr="00043A1E">
        <w:rPr>
          <w:rStyle w:val="a6"/>
          <w:szCs w:val="22"/>
        </w:rPr>
        <w:footnoteRef/>
      </w:r>
      <w:r w:rsidRPr="00043A1E">
        <w:rPr>
          <w:szCs w:val="22"/>
        </w:rPr>
        <w:t xml:space="preserve"> </w:t>
      </w:r>
      <w:r w:rsidRPr="00043A1E">
        <w:rPr>
          <w:szCs w:val="22"/>
        </w:rPr>
        <w:t>大全：全部。（《漢語大詞典》（二）</w:t>
      </w:r>
      <w:r w:rsidRPr="00043A1E">
        <w:rPr>
          <w:rFonts w:hint="eastAsia"/>
          <w:szCs w:val="22"/>
        </w:rPr>
        <w:t>，</w:t>
      </w:r>
      <w:r w:rsidRPr="00761EF3">
        <w:rPr>
          <w:szCs w:val="22"/>
        </w:rPr>
        <w:t>p</w:t>
      </w:r>
      <w:r w:rsidRPr="00043A1E">
        <w:rPr>
          <w:szCs w:val="22"/>
        </w:rPr>
        <w:t>.</w:t>
      </w:r>
      <w:r w:rsidRPr="00761EF3">
        <w:rPr>
          <w:szCs w:val="22"/>
        </w:rPr>
        <w:t>1338</w:t>
      </w:r>
      <w:r w:rsidRPr="00043A1E">
        <w:rPr>
          <w:szCs w:val="22"/>
        </w:rPr>
        <w:t>）</w:t>
      </w:r>
    </w:p>
  </w:footnote>
  <w:footnote w:id="748">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szCs w:val="22"/>
        </w:rPr>
        <w:t>《大般若波羅蜜多經》卷</w:t>
      </w:r>
      <w:r w:rsidRPr="00761EF3">
        <w:rPr>
          <w:szCs w:val="22"/>
        </w:rPr>
        <w:t>360</w:t>
      </w:r>
      <w:r w:rsidRPr="00043A1E">
        <w:rPr>
          <w:szCs w:val="22"/>
        </w:rPr>
        <w:t>〈</w:t>
      </w:r>
      <w:r w:rsidRPr="00761EF3">
        <w:rPr>
          <w:szCs w:val="22"/>
        </w:rPr>
        <w:t>61</w:t>
      </w:r>
      <w:r w:rsidRPr="00043A1E">
        <w:rPr>
          <w:szCs w:val="22"/>
        </w:rPr>
        <w:t xml:space="preserve"> </w:t>
      </w:r>
      <w:r w:rsidRPr="00043A1E">
        <w:rPr>
          <w:bCs/>
          <w:szCs w:val="22"/>
        </w:rPr>
        <w:t>多問不二品〉</w:t>
      </w:r>
      <w:r w:rsidRPr="00043A1E">
        <w:rPr>
          <w:szCs w:val="22"/>
        </w:rPr>
        <w:t>（大正</w:t>
      </w:r>
      <w:r w:rsidRPr="00761EF3">
        <w:rPr>
          <w:szCs w:val="22"/>
        </w:rPr>
        <w:t>6</w:t>
      </w:r>
      <w:r w:rsidRPr="00043A1E">
        <w:rPr>
          <w:szCs w:val="22"/>
        </w:rPr>
        <w:t>，</w:t>
      </w:r>
      <w:r w:rsidRPr="00761EF3">
        <w:rPr>
          <w:szCs w:val="22"/>
        </w:rPr>
        <w:t>853c10</w:t>
      </w:r>
      <w:r w:rsidRPr="00043A1E">
        <w:rPr>
          <w:szCs w:val="22"/>
        </w:rPr>
        <w:t>-</w:t>
      </w:r>
      <w:r w:rsidRPr="00761EF3">
        <w:rPr>
          <w:szCs w:val="22"/>
        </w:rPr>
        <w:t>13</w:t>
      </w:r>
      <w:r w:rsidRPr="00043A1E">
        <w:rPr>
          <w:szCs w:val="22"/>
        </w:rPr>
        <w:t>）：</w:t>
      </w:r>
    </w:p>
    <w:p w:rsidR="00157EF6" w:rsidRPr="00043A1E" w:rsidRDefault="00157EF6" w:rsidP="00AA120F">
      <w:pPr>
        <w:pStyle w:val="a5"/>
        <w:ind w:leftChars="75" w:left="180"/>
        <w:jc w:val="both"/>
        <w:rPr>
          <w:szCs w:val="22"/>
        </w:rPr>
      </w:pPr>
      <w:r w:rsidRPr="00043A1E">
        <w:rPr>
          <w:rFonts w:eastAsia="標楷體"/>
          <w:szCs w:val="22"/>
        </w:rPr>
        <w:t>菩薩摩訶薩行般若波羅蜜多時，</w:t>
      </w:r>
      <w:r w:rsidRPr="00043A1E">
        <w:rPr>
          <w:rFonts w:eastAsia="標楷體" w:hint="eastAsia"/>
          <w:szCs w:val="22"/>
        </w:rPr>
        <w:t>應</w:t>
      </w:r>
      <w:r w:rsidRPr="00043A1E">
        <w:rPr>
          <w:rFonts w:eastAsia="標楷體"/>
          <w:szCs w:val="22"/>
        </w:rPr>
        <w:t>於</w:t>
      </w:r>
      <w:r w:rsidRPr="00043A1E">
        <w:rPr>
          <w:rFonts w:eastAsia="標楷體"/>
          <w:b/>
          <w:szCs w:val="22"/>
        </w:rPr>
        <w:t>真如</w:t>
      </w:r>
      <w:r w:rsidRPr="00043A1E">
        <w:rPr>
          <w:rFonts w:eastAsia="標楷體"/>
          <w:szCs w:val="22"/>
        </w:rPr>
        <w:t>學不增不減、亦應於</w:t>
      </w:r>
      <w:r w:rsidRPr="00043A1E">
        <w:rPr>
          <w:rFonts w:eastAsia="標楷體"/>
          <w:b/>
          <w:szCs w:val="22"/>
        </w:rPr>
        <w:t>法界、法性、不虛妄性、不變異性、平等性、離生性、法定、法住、實際、虛空界、不思議界</w:t>
      </w:r>
      <w:r w:rsidRPr="00043A1E">
        <w:rPr>
          <w:rFonts w:eastAsia="標楷體"/>
          <w:szCs w:val="22"/>
        </w:rPr>
        <w:t>學不增不減。</w:t>
      </w:r>
    </w:p>
  </w:footnote>
  <w:footnote w:id="749">
    <w:p w:rsidR="00157EF6" w:rsidRPr="00043A1E" w:rsidRDefault="00157EF6" w:rsidP="00AA120F">
      <w:pPr>
        <w:pStyle w:val="a5"/>
        <w:ind w:left="187" w:hangingChars="85" w:hanging="187"/>
        <w:jc w:val="both"/>
        <w:rPr>
          <w:szCs w:val="22"/>
        </w:rPr>
      </w:pPr>
      <w:r w:rsidRPr="00043A1E">
        <w:rPr>
          <w:rStyle w:val="a6"/>
          <w:szCs w:val="22"/>
        </w:rPr>
        <w:footnoteRef/>
      </w:r>
      <w:r w:rsidRPr="00043A1E">
        <w:rPr>
          <w:szCs w:val="22"/>
        </w:rPr>
        <w:t xml:space="preserve"> </w:t>
      </w:r>
      <w:r w:rsidR="009160B5">
        <w:rPr>
          <w:szCs w:val="22"/>
        </w:rPr>
        <w:t>參見：印</w:t>
      </w:r>
      <w:r w:rsidRPr="00043A1E">
        <w:rPr>
          <w:szCs w:val="22"/>
        </w:rPr>
        <w:t>順法師，《中觀今論》，</w:t>
      </w:r>
      <w:r w:rsidRPr="00761EF3">
        <w:rPr>
          <w:szCs w:val="22"/>
        </w:rPr>
        <w:t>pp</w:t>
      </w:r>
      <w:r w:rsidRPr="00043A1E">
        <w:rPr>
          <w:szCs w:val="22"/>
        </w:rPr>
        <w:t>.</w:t>
      </w:r>
      <w:r w:rsidRPr="00761EF3">
        <w:rPr>
          <w:szCs w:val="22"/>
        </w:rPr>
        <w:t>200</w:t>
      </w:r>
      <w:r w:rsidRPr="00043A1E">
        <w:rPr>
          <w:szCs w:val="22"/>
        </w:rPr>
        <w:t>-</w:t>
      </w:r>
      <w:r w:rsidRPr="00761EF3">
        <w:rPr>
          <w:szCs w:val="22"/>
        </w:rPr>
        <w:t>201</w:t>
      </w:r>
      <w:r w:rsidRPr="00043A1E">
        <w:rPr>
          <w:szCs w:val="22"/>
        </w:rPr>
        <w:t>：</w:t>
      </w:r>
    </w:p>
    <w:p w:rsidR="00157EF6" w:rsidRPr="00043A1E" w:rsidRDefault="00157EF6" w:rsidP="00AA120F">
      <w:pPr>
        <w:pStyle w:val="a5"/>
        <w:ind w:leftChars="75" w:left="180"/>
        <w:jc w:val="both"/>
        <w:rPr>
          <w:rFonts w:eastAsia="標楷體"/>
          <w:szCs w:val="22"/>
        </w:rPr>
      </w:pPr>
      <w:r w:rsidRPr="00043A1E">
        <w:rPr>
          <w:rFonts w:eastAsia="標楷體"/>
          <w:szCs w:val="22"/>
        </w:rPr>
        <w:t>佛法中所說的緣起、本性，與一般宗教及哲學是不同的。佛法的立場是緣起論，是以因果緣起安立世出世間一切法的。依此來說：</w:t>
      </w:r>
      <w:r w:rsidRPr="00043A1E">
        <w:rPr>
          <w:rFonts w:eastAsia="標楷體"/>
          <w:b/>
          <w:szCs w:val="22"/>
        </w:rPr>
        <w:t>聲聞乘說色心等因果緣起是對的，他並不說因無為本體而有一切現象。中觀與唯識，還能保持此種理論。</w:t>
      </w:r>
      <w:r w:rsidRPr="00043A1E">
        <w:rPr>
          <w:rFonts w:eastAsia="標楷體"/>
          <w:szCs w:val="22"/>
        </w:rPr>
        <w:t>唯識者說依阿賴耶種現相生，是從現象方面說的。中觀者說：「以有空義故，一切法得成」，這是說明緣起的所以可能生起，要說明現象差別，還在色心諸法的因緣上說。</w:t>
      </w:r>
    </w:p>
    <w:p w:rsidR="00157EF6" w:rsidRPr="00043A1E" w:rsidRDefault="00157EF6" w:rsidP="00AA120F">
      <w:pPr>
        <w:pStyle w:val="a5"/>
        <w:ind w:leftChars="75" w:left="180"/>
        <w:jc w:val="both"/>
        <w:rPr>
          <w:rFonts w:eastAsia="標楷體"/>
          <w:szCs w:val="22"/>
        </w:rPr>
      </w:pPr>
      <w:r w:rsidRPr="00043A1E">
        <w:rPr>
          <w:rFonts w:eastAsia="標楷體"/>
          <w:szCs w:val="22"/>
        </w:rPr>
        <w:t>佛法的不同於神學及玄學者，出發點是現象的、經驗的。後來，因為有偏重平等無差別的學者，以本性為諸法的真實本體，於是說諸法是本性顯現、生起。至此，與一般神學者、玄學者所談的本體起現象，日漸混雜，與佛法的緣起中道日漸相反。</w:t>
      </w:r>
    </w:p>
    <w:p w:rsidR="00157EF6" w:rsidRPr="00043A1E" w:rsidRDefault="00157EF6" w:rsidP="00AA120F">
      <w:pPr>
        <w:pStyle w:val="a5"/>
        <w:ind w:leftChars="75" w:left="180"/>
        <w:jc w:val="both"/>
        <w:rPr>
          <w:rFonts w:eastAsia="標楷體"/>
          <w:b/>
          <w:szCs w:val="22"/>
        </w:rPr>
      </w:pPr>
      <w:r w:rsidRPr="00043A1E">
        <w:rPr>
          <w:rFonts w:eastAsia="標楷體"/>
          <w:b/>
          <w:szCs w:val="22"/>
        </w:rPr>
        <w:t>大乘說緣起與性空不即不離的，中觀與唯識，都不許本性可以生緣起或轉變為緣起的。本性，不是有甚麼實在的本體、或能力</w:t>
      </w:r>
      <w:r w:rsidRPr="00043A1E">
        <w:rPr>
          <w:rFonts w:eastAsia="標楷體"/>
          <w:szCs w:val="22"/>
        </w:rPr>
        <w:t>。</w:t>
      </w:r>
      <w:r w:rsidRPr="00043A1E">
        <w:rPr>
          <w:rFonts w:eastAsia="標楷體"/>
          <w:b/>
          <w:szCs w:val="22"/>
        </w:rPr>
        <w:t>佛法說色等一切法本性寂滅，使人即俗以顯真</w:t>
      </w:r>
      <w:r w:rsidRPr="00043A1E">
        <w:rPr>
          <w:rFonts w:eastAsia="標楷體"/>
          <w:szCs w:val="22"/>
        </w:rPr>
        <w:t>；真如寂滅不是什麼神秘不思議的實體，所以</w:t>
      </w:r>
      <w:r w:rsidRPr="00043A1E">
        <w:rPr>
          <w:rFonts w:eastAsia="標楷體"/>
          <w:b/>
          <w:szCs w:val="22"/>
        </w:rPr>
        <w:t>從來不說從體起用</w:t>
      </w:r>
      <w:r w:rsidRPr="00043A1E">
        <w:rPr>
          <w:rFonts w:eastAsia="標楷體"/>
          <w:szCs w:val="22"/>
        </w:rPr>
        <w:t>。如不能把握這點，則佛法必將與中國的儒道、印度的婆羅門、西洋哲學的本體論、唯心論者合流。</w:t>
      </w:r>
    </w:p>
  </w:footnote>
  <w:footnote w:id="750">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szCs w:val="22"/>
        </w:rPr>
        <w:t>《中論》卷</w:t>
      </w:r>
      <w:r w:rsidRPr="00761EF3">
        <w:rPr>
          <w:szCs w:val="22"/>
        </w:rPr>
        <w:t>2</w:t>
      </w:r>
      <w:r w:rsidRPr="00043A1E">
        <w:rPr>
          <w:szCs w:val="22"/>
        </w:rPr>
        <w:t>〈</w:t>
      </w:r>
      <w:r w:rsidRPr="00761EF3">
        <w:rPr>
          <w:szCs w:val="22"/>
        </w:rPr>
        <w:t>8</w:t>
      </w:r>
      <w:r w:rsidRPr="00043A1E">
        <w:rPr>
          <w:szCs w:val="22"/>
        </w:rPr>
        <w:t xml:space="preserve"> </w:t>
      </w:r>
      <w:r w:rsidRPr="00043A1E">
        <w:rPr>
          <w:szCs w:val="22"/>
        </w:rPr>
        <w:t>觀作作者品〉（青目釋）（大正</w:t>
      </w:r>
      <w:r w:rsidRPr="00761EF3">
        <w:rPr>
          <w:szCs w:val="22"/>
        </w:rPr>
        <w:t>30</w:t>
      </w:r>
      <w:r w:rsidRPr="00043A1E">
        <w:rPr>
          <w:szCs w:val="22"/>
        </w:rPr>
        <w:t>，</w:t>
      </w:r>
      <w:r w:rsidRPr="00761EF3">
        <w:rPr>
          <w:szCs w:val="22"/>
        </w:rPr>
        <w:t>12b6</w:t>
      </w:r>
      <w:r w:rsidRPr="00043A1E">
        <w:rPr>
          <w:szCs w:val="22"/>
        </w:rPr>
        <w:t>-</w:t>
      </w:r>
      <w:r w:rsidRPr="00761EF3">
        <w:rPr>
          <w:szCs w:val="22"/>
        </w:rPr>
        <w:t>12</w:t>
      </w:r>
      <w:r w:rsidRPr="00043A1E">
        <w:rPr>
          <w:szCs w:val="22"/>
        </w:rPr>
        <w:t>）：</w:t>
      </w:r>
    </w:p>
    <w:p w:rsidR="00B50D80" w:rsidRDefault="00157EF6" w:rsidP="00B50D80">
      <w:pPr>
        <w:pStyle w:val="a5"/>
        <w:ind w:leftChars="75" w:left="840" w:hangingChars="300" w:hanging="660"/>
        <w:jc w:val="both"/>
        <w:rPr>
          <w:rFonts w:ascii="標楷體" w:eastAsia="標楷體" w:hAnsi="標楷體"/>
        </w:rPr>
      </w:pPr>
      <w:r w:rsidRPr="00B50D80">
        <w:rPr>
          <w:rFonts w:ascii="標楷體" w:eastAsia="標楷體" w:hAnsi="標楷體"/>
        </w:rPr>
        <w:t>問曰：</w:t>
      </w:r>
      <w:r w:rsidRPr="00B50D80">
        <w:rPr>
          <w:rFonts w:ascii="標楷體" w:eastAsia="標楷體" w:hAnsi="標楷體"/>
          <w:b/>
        </w:rPr>
        <w:t>現有</w:t>
      </w:r>
      <w:r w:rsidR="0052603A" w:rsidRPr="00B50D80">
        <w:rPr>
          <w:rFonts w:ascii="標楷體" w:eastAsia="標楷體" w:hAnsi="標楷體" w:hint="eastAsia"/>
          <w:bCs/>
          <w:color w:val="FF0000"/>
          <w:kern w:val="0"/>
          <w:highlight w:val="yellow"/>
        </w:rPr>
        <w:t>「</w:t>
      </w:r>
      <w:r w:rsidRPr="00B50D80">
        <w:rPr>
          <w:rFonts w:ascii="標楷體" w:eastAsia="標楷體" w:hAnsi="標楷體"/>
          <w:b/>
        </w:rPr>
        <w:t>作</w:t>
      </w:r>
      <w:r w:rsidR="0052603A" w:rsidRPr="00B50D80">
        <w:rPr>
          <w:rFonts w:ascii="標楷體" w:eastAsia="標楷體" w:hAnsi="標楷體" w:hint="eastAsia"/>
          <w:bCs/>
          <w:color w:val="FF0000"/>
          <w:kern w:val="0"/>
          <w:highlight w:val="yellow"/>
        </w:rPr>
        <w:t>」</w:t>
      </w:r>
      <w:r w:rsidRPr="00B50D80">
        <w:rPr>
          <w:rFonts w:ascii="標楷體" w:eastAsia="標楷體" w:hAnsi="標楷體"/>
          <w:b/>
        </w:rPr>
        <w:t>、有</w:t>
      </w:r>
      <w:r w:rsidR="0052603A" w:rsidRPr="00B50D80">
        <w:rPr>
          <w:rFonts w:ascii="標楷體" w:eastAsia="標楷體" w:hAnsi="標楷體" w:hint="eastAsia"/>
          <w:bCs/>
          <w:color w:val="FF0000"/>
          <w:kern w:val="0"/>
          <w:highlight w:val="yellow"/>
        </w:rPr>
        <w:t>「</w:t>
      </w:r>
      <w:r w:rsidRPr="00B50D80">
        <w:rPr>
          <w:rFonts w:ascii="標楷體" w:eastAsia="標楷體" w:hAnsi="標楷體"/>
          <w:b/>
        </w:rPr>
        <w:t>作者</w:t>
      </w:r>
      <w:r w:rsidR="0052603A" w:rsidRPr="00B50D80">
        <w:rPr>
          <w:rFonts w:ascii="標楷體" w:eastAsia="標楷體" w:hAnsi="標楷體" w:hint="eastAsia"/>
          <w:bCs/>
          <w:color w:val="FF0000"/>
          <w:kern w:val="0"/>
          <w:highlight w:val="yellow"/>
        </w:rPr>
        <w:t>」</w:t>
      </w:r>
      <w:r w:rsidRPr="00B50D80">
        <w:rPr>
          <w:rFonts w:ascii="標楷體" w:eastAsia="標楷體" w:hAnsi="標楷體"/>
          <w:b/>
        </w:rPr>
        <w:t>、有</w:t>
      </w:r>
      <w:r w:rsidR="0052603A" w:rsidRPr="00B50D80">
        <w:rPr>
          <w:rFonts w:ascii="標楷體" w:eastAsia="標楷體" w:hAnsi="標楷體" w:hint="eastAsia"/>
          <w:bCs/>
          <w:color w:val="FF0000"/>
          <w:kern w:val="0"/>
          <w:highlight w:val="yellow"/>
        </w:rPr>
        <w:t>「</w:t>
      </w:r>
      <w:r w:rsidRPr="00B50D80">
        <w:rPr>
          <w:rFonts w:ascii="標楷體" w:eastAsia="標楷體" w:hAnsi="標楷體"/>
          <w:b/>
        </w:rPr>
        <w:t>所用作法</w:t>
      </w:r>
      <w:r w:rsidR="0052603A" w:rsidRPr="00B50D80">
        <w:rPr>
          <w:rFonts w:ascii="標楷體" w:eastAsia="標楷體" w:hAnsi="標楷體" w:hint="eastAsia"/>
          <w:bCs/>
          <w:color w:val="FF0000"/>
          <w:kern w:val="0"/>
          <w:highlight w:val="yellow"/>
        </w:rPr>
        <w:t>」</w:t>
      </w:r>
      <w:r w:rsidRPr="00B50D80">
        <w:rPr>
          <w:rFonts w:ascii="標楷體" w:eastAsia="標楷體" w:hAnsi="標楷體"/>
        </w:rPr>
        <w:t>，三事和合故有果報，是故應有</w:t>
      </w:r>
      <w:r w:rsidR="0052603A" w:rsidRPr="00B50D80">
        <w:rPr>
          <w:rFonts w:ascii="標楷體" w:eastAsia="標楷體" w:hAnsi="標楷體" w:hint="eastAsia"/>
          <w:bCs/>
          <w:color w:val="FF0000"/>
          <w:kern w:val="0"/>
          <w:highlight w:val="yellow"/>
        </w:rPr>
        <w:t>「</w:t>
      </w:r>
      <w:r w:rsidRPr="00B50D80">
        <w:rPr>
          <w:rFonts w:ascii="標楷體" w:eastAsia="標楷體" w:hAnsi="標楷體"/>
        </w:rPr>
        <w:t>作者作業</w:t>
      </w:r>
      <w:r w:rsidR="0052603A" w:rsidRPr="00B50D80">
        <w:rPr>
          <w:rFonts w:ascii="標楷體" w:eastAsia="標楷體" w:hAnsi="標楷體" w:hint="eastAsia"/>
          <w:bCs/>
          <w:color w:val="FF0000"/>
          <w:kern w:val="0"/>
          <w:highlight w:val="yellow"/>
        </w:rPr>
        <w:t>」</w:t>
      </w:r>
      <w:r w:rsidRPr="00B50D80">
        <w:rPr>
          <w:rFonts w:ascii="標楷體" w:eastAsia="標楷體" w:hAnsi="標楷體"/>
        </w:rPr>
        <w:t>。</w:t>
      </w:r>
    </w:p>
    <w:p w:rsidR="00B50D80" w:rsidRPr="00B50D80" w:rsidRDefault="00157EF6" w:rsidP="00B50D80">
      <w:pPr>
        <w:pStyle w:val="a5"/>
        <w:ind w:leftChars="75" w:left="840" w:hangingChars="300" w:hanging="660"/>
        <w:jc w:val="both"/>
        <w:rPr>
          <w:rFonts w:ascii="標楷體" w:eastAsia="標楷體" w:hAnsi="標楷體"/>
          <w:color w:val="FF0000"/>
          <w:kern w:val="0"/>
          <w:highlight w:val="yellow"/>
        </w:rPr>
      </w:pPr>
      <w:r w:rsidRPr="00B50D80">
        <w:rPr>
          <w:rFonts w:ascii="標楷體" w:eastAsia="標楷體" w:hAnsi="標楷體"/>
        </w:rPr>
        <w:t>答曰：上來品品</w:t>
      </w:r>
      <w:r w:rsidRPr="00B50D80">
        <w:rPr>
          <w:rFonts w:ascii="標楷體" w:eastAsia="標楷體" w:hAnsi="標楷體"/>
          <w:highlight w:val="yellow"/>
        </w:rPr>
        <w:t>中破</w:t>
      </w:r>
      <w:r w:rsidRPr="00B50D80">
        <w:rPr>
          <w:rFonts w:ascii="標楷體" w:eastAsia="標楷體" w:hAnsi="標楷體"/>
        </w:rPr>
        <w:t>一切法皆無有餘，如</w:t>
      </w:r>
      <w:r w:rsidR="0052603A" w:rsidRPr="00B50D80">
        <w:rPr>
          <w:rFonts w:ascii="標楷體" w:eastAsia="標楷體" w:hAnsi="標楷體" w:hint="eastAsia"/>
          <w:color w:val="FF0000"/>
          <w:spacing w:val="-4"/>
          <w:kern w:val="0"/>
          <w:highlight w:val="yellow"/>
        </w:rPr>
        <w:t>：</w:t>
      </w:r>
      <w:r w:rsidRPr="00B50D80">
        <w:rPr>
          <w:rFonts w:ascii="標楷體" w:eastAsia="標楷體" w:hAnsi="標楷體"/>
        </w:rPr>
        <w:t>破</w:t>
      </w:r>
      <w:r w:rsidR="0052603A" w:rsidRPr="00B50D80">
        <w:rPr>
          <w:rFonts w:ascii="標楷體" w:eastAsia="標楷體" w:hAnsi="標楷體" w:hint="eastAsia"/>
          <w:bCs/>
          <w:color w:val="FF0000"/>
          <w:kern w:val="0"/>
          <w:highlight w:val="yellow"/>
        </w:rPr>
        <w:t>「</w:t>
      </w:r>
      <w:r w:rsidRPr="00B50D80">
        <w:rPr>
          <w:rFonts w:ascii="標楷體" w:eastAsia="標楷體" w:hAnsi="標楷體"/>
        </w:rPr>
        <w:t>三相</w:t>
      </w:r>
      <w:r w:rsidR="0052603A" w:rsidRPr="00B50D80">
        <w:rPr>
          <w:rFonts w:ascii="標楷體" w:eastAsia="標楷體" w:hAnsi="標楷體" w:hint="eastAsia"/>
          <w:bCs/>
          <w:color w:val="FF0000"/>
          <w:kern w:val="0"/>
          <w:highlight w:val="yellow"/>
        </w:rPr>
        <w:t>」</w:t>
      </w:r>
      <w:r w:rsidRPr="00B50D80">
        <w:rPr>
          <w:rFonts w:ascii="標楷體" w:eastAsia="標楷體" w:hAnsi="標楷體"/>
        </w:rPr>
        <w:t>，</w:t>
      </w:r>
      <w:r w:rsidR="0052603A" w:rsidRPr="00B50D80">
        <w:rPr>
          <w:rFonts w:ascii="標楷體" w:eastAsia="標楷體" w:hAnsi="標楷體" w:hint="eastAsia"/>
          <w:bCs/>
          <w:color w:val="FF0000"/>
          <w:kern w:val="0"/>
          <w:highlight w:val="yellow"/>
        </w:rPr>
        <w:t>「</w:t>
      </w:r>
      <w:r w:rsidRPr="00B50D80">
        <w:rPr>
          <w:rFonts w:ascii="標楷體" w:eastAsia="標楷體" w:hAnsi="標楷體"/>
        </w:rPr>
        <w:t>三相</w:t>
      </w:r>
      <w:r w:rsidR="0052603A" w:rsidRPr="00B50D80">
        <w:rPr>
          <w:rFonts w:ascii="標楷體" w:eastAsia="標楷體" w:hAnsi="標楷體" w:hint="eastAsia"/>
          <w:bCs/>
          <w:color w:val="FF0000"/>
          <w:kern w:val="0"/>
          <w:highlight w:val="yellow"/>
        </w:rPr>
        <w:t>」</w:t>
      </w:r>
      <w:r w:rsidRPr="00B50D80">
        <w:rPr>
          <w:rFonts w:ascii="標楷體" w:eastAsia="標楷體" w:hAnsi="標楷體"/>
        </w:rPr>
        <w:t>無故無有</w:t>
      </w:r>
      <w:r w:rsidR="0052603A" w:rsidRPr="00B50D80">
        <w:rPr>
          <w:rFonts w:ascii="標楷體" w:eastAsia="標楷體" w:hAnsi="標楷體" w:hint="eastAsia"/>
          <w:bCs/>
          <w:color w:val="FF0000"/>
          <w:kern w:val="0"/>
          <w:highlight w:val="yellow"/>
        </w:rPr>
        <w:t>「</w:t>
      </w:r>
      <w:r w:rsidRPr="00B50D80">
        <w:rPr>
          <w:rFonts w:ascii="標楷體" w:eastAsia="標楷體" w:hAnsi="標楷體"/>
        </w:rPr>
        <w:t>有為</w:t>
      </w:r>
      <w:r w:rsidR="0052603A" w:rsidRPr="00B50D80">
        <w:rPr>
          <w:rFonts w:ascii="標楷體" w:eastAsia="標楷體" w:hAnsi="標楷體" w:hint="eastAsia"/>
          <w:bCs/>
          <w:color w:val="FF0000"/>
          <w:kern w:val="0"/>
          <w:highlight w:val="yellow"/>
        </w:rPr>
        <w:t>」</w:t>
      </w:r>
      <w:r w:rsidRPr="00B50D80">
        <w:rPr>
          <w:rFonts w:ascii="標楷體" w:eastAsia="標楷體" w:hAnsi="標楷體"/>
        </w:rPr>
        <w:t>，</w:t>
      </w:r>
      <w:r w:rsidR="0052603A" w:rsidRPr="00B50D80">
        <w:rPr>
          <w:rFonts w:ascii="標楷體" w:eastAsia="標楷體" w:hAnsi="標楷體" w:hint="eastAsia"/>
          <w:bCs/>
          <w:color w:val="FF0000"/>
          <w:kern w:val="0"/>
          <w:highlight w:val="yellow"/>
        </w:rPr>
        <w:t>「</w:t>
      </w:r>
      <w:r w:rsidRPr="00B50D80">
        <w:rPr>
          <w:rFonts w:ascii="標楷體" w:eastAsia="標楷體" w:hAnsi="標楷體"/>
        </w:rPr>
        <w:t>有為</w:t>
      </w:r>
      <w:r w:rsidR="0052603A" w:rsidRPr="00B50D80">
        <w:rPr>
          <w:rFonts w:ascii="標楷體" w:eastAsia="標楷體" w:hAnsi="標楷體" w:hint="eastAsia"/>
          <w:bCs/>
          <w:color w:val="FF0000"/>
          <w:kern w:val="0"/>
          <w:highlight w:val="yellow"/>
        </w:rPr>
        <w:t>」</w:t>
      </w:r>
      <w:r w:rsidRPr="00B50D80">
        <w:rPr>
          <w:rFonts w:ascii="標楷體" w:eastAsia="標楷體" w:hAnsi="標楷體"/>
        </w:rPr>
        <w:t>無故無</w:t>
      </w:r>
      <w:r w:rsidR="0052603A" w:rsidRPr="00B50D80">
        <w:rPr>
          <w:rFonts w:ascii="標楷體" w:eastAsia="標楷體" w:hAnsi="標楷體" w:hint="eastAsia"/>
          <w:bCs/>
          <w:color w:val="FF0000"/>
          <w:kern w:val="0"/>
          <w:highlight w:val="yellow"/>
        </w:rPr>
        <w:t>「</w:t>
      </w:r>
      <w:r w:rsidRPr="00B50D80">
        <w:rPr>
          <w:rFonts w:ascii="標楷體" w:eastAsia="標楷體" w:hAnsi="標楷體"/>
        </w:rPr>
        <w:t>無為</w:t>
      </w:r>
      <w:r w:rsidR="0052603A" w:rsidRPr="00B50D80">
        <w:rPr>
          <w:rFonts w:ascii="標楷體" w:eastAsia="標楷體" w:hAnsi="標楷體" w:hint="eastAsia"/>
          <w:bCs/>
          <w:color w:val="FF0000"/>
          <w:kern w:val="0"/>
          <w:highlight w:val="yellow"/>
        </w:rPr>
        <w:t>」</w:t>
      </w:r>
      <w:r w:rsidRPr="00B50D80">
        <w:rPr>
          <w:rFonts w:ascii="標楷體" w:eastAsia="標楷體" w:hAnsi="標楷體"/>
        </w:rPr>
        <w:t>，</w:t>
      </w:r>
      <w:r w:rsidR="0052603A" w:rsidRPr="00B50D80">
        <w:rPr>
          <w:rFonts w:ascii="標楷體" w:eastAsia="標楷體" w:hAnsi="標楷體" w:hint="eastAsia"/>
          <w:bCs/>
          <w:color w:val="FF0000"/>
          <w:kern w:val="0"/>
          <w:highlight w:val="yellow"/>
        </w:rPr>
        <w:t>「</w:t>
      </w:r>
      <w:r w:rsidRPr="00B50D80">
        <w:rPr>
          <w:rFonts w:ascii="標楷體" w:eastAsia="標楷體" w:hAnsi="標楷體"/>
        </w:rPr>
        <w:t>有為</w:t>
      </w:r>
      <w:r w:rsidRPr="00B50D80">
        <w:rPr>
          <w:rFonts w:ascii="標楷體" w:eastAsia="標楷體" w:hAnsi="標楷體" w:hint="eastAsia"/>
        </w:rPr>
        <w:t>、</w:t>
      </w:r>
      <w:r w:rsidRPr="00B50D80">
        <w:rPr>
          <w:rFonts w:ascii="標楷體" w:eastAsia="標楷體" w:hAnsi="標楷體"/>
        </w:rPr>
        <w:t>無為</w:t>
      </w:r>
      <w:r w:rsidR="0052603A" w:rsidRPr="00B50D80">
        <w:rPr>
          <w:rFonts w:ascii="標楷體" w:eastAsia="標楷體" w:hAnsi="標楷體" w:hint="eastAsia"/>
          <w:bCs/>
          <w:color w:val="FF0000"/>
          <w:kern w:val="0"/>
          <w:highlight w:val="yellow"/>
        </w:rPr>
        <w:t>」</w:t>
      </w:r>
      <w:r w:rsidRPr="00B50D80">
        <w:rPr>
          <w:rFonts w:ascii="標楷體" w:eastAsia="標楷體" w:hAnsi="標楷體"/>
        </w:rPr>
        <w:t>無</w:t>
      </w:r>
      <w:r w:rsidRPr="00B50D80">
        <w:rPr>
          <w:rFonts w:ascii="標楷體" w:eastAsia="標楷體" w:hAnsi="標楷體"/>
          <w:highlight w:val="yellow"/>
        </w:rPr>
        <w:t>故一</w:t>
      </w:r>
      <w:r w:rsidRPr="00B50D80">
        <w:rPr>
          <w:rFonts w:ascii="標楷體" w:eastAsia="標楷體" w:hAnsi="標楷體"/>
        </w:rPr>
        <w:t>切法盡無</w:t>
      </w:r>
      <w:r w:rsidR="0052603A" w:rsidRPr="00B50D80">
        <w:rPr>
          <w:rFonts w:ascii="標楷體" w:eastAsia="標楷體" w:hAnsi="標楷體" w:hint="eastAsia"/>
          <w:color w:val="FF0000"/>
          <w:kern w:val="0"/>
          <w:highlight w:val="yellow"/>
        </w:rPr>
        <w:t>。</w:t>
      </w:r>
    </w:p>
    <w:p w:rsidR="00B50D80" w:rsidRPr="00B50D80" w:rsidRDefault="0052603A" w:rsidP="00B50D80">
      <w:pPr>
        <w:pStyle w:val="a5"/>
        <w:ind w:leftChars="400" w:left="960"/>
        <w:jc w:val="both"/>
        <w:rPr>
          <w:rFonts w:ascii="標楷體" w:eastAsia="標楷體" w:hAnsi="標楷體"/>
        </w:rPr>
      </w:pPr>
      <w:r w:rsidRPr="00B50D80">
        <w:rPr>
          <w:rFonts w:ascii="標楷體" w:eastAsia="標楷體" w:hAnsi="標楷體" w:hint="eastAsia"/>
          <w:bCs/>
          <w:color w:val="FF0000"/>
          <w:kern w:val="0"/>
          <w:highlight w:val="yellow"/>
        </w:rPr>
        <w:t>「</w:t>
      </w:r>
      <w:r w:rsidR="00157EF6" w:rsidRPr="00B50D80">
        <w:rPr>
          <w:rFonts w:ascii="標楷體" w:eastAsia="標楷體" w:hAnsi="標楷體"/>
        </w:rPr>
        <w:t>作</w:t>
      </w:r>
      <w:r w:rsidRPr="00B50D80">
        <w:rPr>
          <w:rFonts w:ascii="標楷體" w:eastAsia="標楷體" w:hAnsi="標楷體" w:hint="eastAsia"/>
          <w:bCs/>
          <w:color w:val="FF0000"/>
          <w:kern w:val="0"/>
          <w:highlight w:val="yellow"/>
        </w:rPr>
        <w:t>」</w:t>
      </w:r>
      <w:r w:rsidRPr="00B50D80">
        <w:rPr>
          <w:rFonts w:ascii="標楷體" w:eastAsia="標楷體" w:hAnsi="標楷體" w:hint="eastAsia"/>
          <w:color w:val="FF0000"/>
          <w:spacing w:val="-4"/>
          <w:kern w:val="0"/>
          <w:highlight w:val="yellow"/>
        </w:rPr>
        <w:t>、</w:t>
      </w:r>
      <w:r w:rsidRPr="00B50D80">
        <w:rPr>
          <w:rFonts w:ascii="標楷體" w:eastAsia="標楷體" w:hAnsi="標楷體" w:hint="eastAsia"/>
          <w:bCs/>
          <w:color w:val="FF0000"/>
          <w:kern w:val="0"/>
          <w:highlight w:val="yellow"/>
        </w:rPr>
        <w:t>「</w:t>
      </w:r>
      <w:r w:rsidR="00157EF6" w:rsidRPr="00B50D80">
        <w:rPr>
          <w:rFonts w:ascii="標楷體" w:eastAsia="標楷體" w:hAnsi="標楷體"/>
        </w:rPr>
        <w:t>作者</w:t>
      </w:r>
      <w:r w:rsidRPr="00B50D80">
        <w:rPr>
          <w:rFonts w:ascii="標楷體" w:eastAsia="標楷體" w:hAnsi="標楷體" w:hint="eastAsia"/>
          <w:bCs/>
          <w:color w:val="FF0000"/>
          <w:kern w:val="0"/>
          <w:highlight w:val="yellow"/>
        </w:rPr>
        <w:t>」</w:t>
      </w:r>
      <w:r w:rsidRPr="00B50D80">
        <w:rPr>
          <w:rFonts w:ascii="標楷體" w:eastAsia="標楷體" w:hAnsi="標楷體" w:hint="eastAsia"/>
          <w:color w:val="FF0000"/>
          <w:kern w:val="0"/>
          <w:highlight w:val="yellow"/>
        </w:rPr>
        <w:t>──</w:t>
      </w:r>
      <w:r w:rsidR="00157EF6" w:rsidRPr="00B50D80">
        <w:rPr>
          <w:rFonts w:ascii="標楷體" w:eastAsia="標楷體" w:hAnsi="標楷體"/>
        </w:rPr>
        <w:t>若是</w:t>
      </w:r>
      <w:r w:rsidRPr="00B50D80">
        <w:rPr>
          <w:rFonts w:ascii="標楷體" w:eastAsia="標楷體" w:hAnsi="標楷體" w:hint="eastAsia"/>
          <w:bCs/>
          <w:color w:val="FF0000"/>
          <w:kern w:val="0"/>
          <w:highlight w:val="yellow"/>
        </w:rPr>
        <w:t>「</w:t>
      </w:r>
      <w:r w:rsidR="00157EF6" w:rsidRPr="00B50D80">
        <w:rPr>
          <w:rFonts w:ascii="標楷體" w:eastAsia="標楷體" w:hAnsi="標楷體"/>
        </w:rPr>
        <w:t>有為</w:t>
      </w:r>
      <w:r w:rsidRPr="00B50D80">
        <w:rPr>
          <w:rFonts w:ascii="標楷體" w:eastAsia="標楷體" w:hAnsi="標楷體" w:hint="eastAsia"/>
          <w:bCs/>
          <w:color w:val="FF0000"/>
          <w:kern w:val="0"/>
          <w:highlight w:val="yellow"/>
        </w:rPr>
        <w:t>」</w:t>
      </w:r>
      <w:r w:rsidR="00157EF6" w:rsidRPr="00B50D80">
        <w:rPr>
          <w:rFonts w:ascii="標楷體" w:eastAsia="標楷體" w:hAnsi="標楷體"/>
        </w:rPr>
        <w:t>，</w:t>
      </w:r>
      <w:r w:rsidRPr="00B50D80">
        <w:rPr>
          <w:rFonts w:ascii="標楷體" w:eastAsia="標楷體" w:hAnsi="標楷體" w:hint="eastAsia"/>
          <w:bCs/>
          <w:color w:val="FF0000"/>
          <w:kern w:val="0"/>
          <w:highlight w:val="yellow"/>
        </w:rPr>
        <w:t>「</w:t>
      </w:r>
      <w:r w:rsidR="00157EF6" w:rsidRPr="00B50D80">
        <w:rPr>
          <w:rFonts w:ascii="標楷體" w:eastAsia="標楷體" w:hAnsi="標楷體"/>
        </w:rPr>
        <w:t>有為</w:t>
      </w:r>
      <w:r w:rsidRPr="00B50D80">
        <w:rPr>
          <w:rFonts w:ascii="標楷體" w:eastAsia="標楷體" w:hAnsi="標楷體" w:hint="eastAsia"/>
          <w:bCs/>
          <w:color w:val="FF0000"/>
          <w:kern w:val="0"/>
          <w:highlight w:val="yellow"/>
        </w:rPr>
        <w:t>」</w:t>
      </w:r>
      <w:r w:rsidR="00157EF6" w:rsidRPr="00B50D80">
        <w:rPr>
          <w:rFonts w:ascii="標楷體" w:eastAsia="標楷體" w:hAnsi="標楷體"/>
        </w:rPr>
        <w:t>中已破；</w:t>
      </w:r>
    </w:p>
    <w:p w:rsidR="00B50D80" w:rsidRDefault="00157EF6" w:rsidP="00A640FC">
      <w:pPr>
        <w:pStyle w:val="afd"/>
        <w:rPr>
          <w:rFonts w:ascii="標楷體" w:hAnsi="標楷體"/>
          <w:color w:val="FF0000"/>
          <w:kern w:val="0"/>
        </w:rPr>
      </w:pPr>
      <w:r>
        <w:t>若是</w:t>
      </w:r>
      <w:r w:rsidR="0052603A">
        <w:rPr>
          <w:rFonts w:ascii="標楷體" w:hAnsi="標楷體" w:hint="eastAsia"/>
          <w:bCs/>
          <w:color w:val="FF0000"/>
          <w:kern w:val="0"/>
          <w:highlight w:val="yellow"/>
        </w:rPr>
        <w:t>「</w:t>
      </w:r>
      <w:r>
        <w:t>無為</w:t>
      </w:r>
      <w:r w:rsidR="0052603A">
        <w:rPr>
          <w:rFonts w:ascii="標楷體" w:hAnsi="標楷體" w:hint="eastAsia"/>
          <w:bCs/>
          <w:color w:val="FF0000"/>
          <w:kern w:val="0"/>
          <w:highlight w:val="yellow"/>
        </w:rPr>
        <w:t>」</w:t>
      </w:r>
      <w:r>
        <w:t>，</w:t>
      </w:r>
      <w:r w:rsidR="0052603A">
        <w:rPr>
          <w:rFonts w:ascii="標楷體" w:hAnsi="標楷體" w:hint="eastAsia"/>
          <w:bCs/>
          <w:color w:val="FF0000"/>
          <w:kern w:val="0"/>
          <w:highlight w:val="yellow"/>
        </w:rPr>
        <w:t>「</w:t>
      </w:r>
      <w:r>
        <w:t>無為</w:t>
      </w:r>
      <w:r w:rsidR="0052603A">
        <w:rPr>
          <w:rFonts w:ascii="標楷體" w:hAnsi="標楷體" w:hint="eastAsia"/>
          <w:bCs/>
          <w:color w:val="FF0000"/>
          <w:kern w:val="0"/>
          <w:highlight w:val="yellow"/>
        </w:rPr>
        <w:t>」</w:t>
      </w:r>
      <w:r>
        <w:t>中已破</w:t>
      </w:r>
      <w:r w:rsidR="0052603A">
        <w:rPr>
          <w:rFonts w:ascii="標楷體" w:hAnsi="標楷體" w:hint="eastAsia"/>
          <w:color w:val="FF0000"/>
          <w:kern w:val="0"/>
          <w:highlight w:val="yellow"/>
        </w:rPr>
        <w:t>。</w:t>
      </w:r>
    </w:p>
    <w:p w:rsidR="00157EF6" w:rsidRPr="00B50D80" w:rsidRDefault="00157EF6" w:rsidP="00B50D80">
      <w:pPr>
        <w:pStyle w:val="a5"/>
        <w:ind w:leftChars="400" w:left="960"/>
        <w:jc w:val="both"/>
        <w:rPr>
          <w:rFonts w:ascii="標楷體" w:eastAsia="標楷體" w:hAnsi="標楷體"/>
        </w:rPr>
      </w:pPr>
      <w:r w:rsidRPr="00B50D80">
        <w:rPr>
          <w:rFonts w:ascii="標楷體" w:eastAsia="標楷體" w:hAnsi="標楷體"/>
        </w:rPr>
        <w:t>不應復問。</w:t>
      </w:r>
    </w:p>
  </w:footnote>
  <w:footnote w:id="751">
    <w:p w:rsidR="00E165BC" w:rsidRPr="00043A1E" w:rsidRDefault="00E165BC" w:rsidP="00E165BC">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szCs w:val="22"/>
        </w:rPr>
        <w:t>《阿毘達磨順正理論》卷</w:t>
      </w:r>
      <w:r w:rsidRPr="00761EF3">
        <w:rPr>
          <w:szCs w:val="22"/>
        </w:rPr>
        <w:t>3</w:t>
      </w:r>
      <w:r w:rsidRPr="00043A1E">
        <w:rPr>
          <w:szCs w:val="22"/>
        </w:rPr>
        <w:t>〈</w:t>
      </w:r>
      <w:r w:rsidRPr="00761EF3">
        <w:rPr>
          <w:szCs w:val="22"/>
        </w:rPr>
        <w:t>1</w:t>
      </w:r>
      <w:r w:rsidRPr="00043A1E">
        <w:rPr>
          <w:szCs w:val="22"/>
        </w:rPr>
        <w:t xml:space="preserve"> </w:t>
      </w:r>
      <w:r w:rsidRPr="00043A1E">
        <w:rPr>
          <w:rStyle w:val="headname1"/>
          <w:b w:val="0"/>
          <w:color w:val="auto"/>
          <w:sz w:val="22"/>
          <w:szCs w:val="22"/>
        </w:rPr>
        <w:t>辯本事品</w:t>
      </w:r>
      <w:r w:rsidRPr="00043A1E">
        <w:rPr>
          <w:szCs w:val="22"/>
        </w:rPr>
        <w:t>〉（大正</w:t>
      </w:r>
      <w:r w:rsidRPr="00761EF3">
        <w:rPr>
          <w:szCs w:val="22"/>
        </w:rPr>
        <w:t>29</w:t>
      </w:r>
      <w:r w:rsidRPr="00043A1E">
        <w:rPr>
          <w:szCs w:val="22"/>
        </w:rPr>
        <w:t>，</w:t>
      </w:r>
      <w:r w:rsidRPr="00761EF3">
        <w:rPr>
          <w:szCs w:val="22"/>
        </w:rPr>
        <w:t>342a</w:t>
      </w:r>
      <w:r w:rsidRPr="00761EF3">
        <w:rPr>
          <w:rFonts w:hint="eastAsia"/>
          <w:szCs w:val="22"/>
        </w:rPr>
        <w:t>17</w:t>
      </w:r>
      <w:r w:rsidRPr="00043A1E">
        <w:rPr>
          <w:szCs w:val="22"/>
        </w:rPr>
        <w:t>-</w:t>
      </w:r>
      <w:r w:rsidRPr="00761EF3">
        <w:rPr>
          <w:szCs w:val="22"/>
        </w:rPr>
        <w:t>29</w:t>
      </w:r>
      <w:r w:rsidRPr="00043A1E">
        <w:rPr>
          <w:szCs w:val="22"/>
        </w:rPr>
        <w:t>）：</w:t>
      </w:r>
    </w:p>
    <w:p w:rsidR="00E165BC" w:rsidRPr="00043A1E" w:rsidRDefault="00E165BC" w:rsidP="00A640FC">
      <w:pPr>
        <w:pStyle w:val="afd"/>
      </w:pPr>
      <w:r w:rsidRPr="00043A1E">
        <w:t>論曰：</w:t>
      </w:r>
      <w:r w:rsidR="00B50D80">
        <w:rPr>
          <w:rFonts w:ascii="標楷體" w:hAnsi="標楷體" w:hint="eastAsia"/>
          <w:bCs/>
          <w:color w:val="FF0000"/>
          <w:kern w:val="0"/>
          <w:highlight w:val="yellow"/>
        </w:rPr>
        <w:t>「</w:t>
      </w:r>
      <w:r w:rsidRPr="00043A1E">
        <w:t>識</w:t>
      </w:r>
      <w:r w:rsidR="00B50D80">
        <w:rPr>
          <w:rFonts w:ascii="標楷體" w:hAnsi="標楷體" w:hint="eastAsia"/>
          <w:bCs/>
          <w:color w:val="FF0000"/>
          <w:kern w:val="0"/>
          <w:highlight w:val="yellow"/>
        </w:rPr>
        <w:t>」</w:t>
      </w:r>
      <w:r w:rsidRPr="00043A1E">
        <w:t>謂</w:t>
      </w:r>
      <w:r w:rsidR="00B50D80">
        <w:rPr>
          <w:rFonts w:ascii="標楷體" w:hAnsi="標楷體" w:hint="eastAsia"/>
          <w:bCs/>
          <w:color w:val="FF0000"/>
          <w:kern w:val="0"/>
          <w:highlight w:val="yellow"/>
        </w:rPr>
        <w:t>「</w:t>
      </w:r>
      <w:r w:rsidRPr="00043A1E">
        <w:t>了別</w:t>
      </w:r>
      <w:r w:rsidR="00B50D80">
        <w:rPr>
          <w:rFonts w:ascii="標楷體" w:hAnsi="標楷體" w:hint="eastAsia"/>
          <w:bCs/>
          <w:color w:val="FF0000"/>
          <w:kern w:val="0"/>
          <w:highlight w:val="yellow"/>
        </w:rPr>
        <w:t>」</w:t>
      </w:r>
      <w:r w:rsidRPr="00043A1E">
        <w:t>者，是唯</w:t>
      </w:r>
      <w:r w:rsidR="00B50D80">
        <w:rPr>
          <w:rFonts w:ascii="標楷體" w:hAnsi="標楷體" w:hint="eastAsia"/>
          <w:bCs/>
          <w:color w:val="FF0000"/>
          <w:kern w:val="0"/>
          <w:highlight w:val="yellow"/>
        </w:rPr>
        <w:t>「</w:t>
      </w:r>
      <w:r w:rsidRPr="00043A1E">
        <w:t>總取境界相</w:t>
      </w:r>
      <w:r w:rsidR="00B50D80">
        <w:rPr>
          <w:rFonts w:ascii="標楷體" w:hAnsi="標楷體" w:hint="eastAsia"/>
          <w:bCs/>
          <w:color w:val="FF0000"/>
          <w:kern w:val="0"/>
          <w:highlight w:val="yellow"/>
        </w:rPr>
        <w:t>」</w:t>
      </w:r>
      <w:r w:rsidR="00B50D80">
        <w:t>義，各各總取彼彼境</w:t>
      </w:r>
      <w:r w:rsidR="00B50D80" w:rsidRPr="00B50D80">
        <w:rPr>
          <w:color w:val="auto"/>
          <w:highlight w:val="yellow"/>
        </w:rPr>
        <w:t>相</w:t>
      </w:r>
      <w:r w:rsidRPr="00B50D80">
        <w:rPr>
          <w:color w:val="auto"/>
          <w:highlight w:val="yellow"/>
        </w:rPr>
        <w:t>名</w:t>
      </w:r>
      <w:r w:rsidR="00B50D80">
        <w:rPr>
          <w:rFonts w:ascii="標楷體" w:hAnsi="標楷體" w:hint="eastAsia"/>
          <w:bCs/>
          <w:color w:val="FF0000"/>
          <w:kern w:val="0"/>
          <w:highlight w:val="yellow"/>
        </w:rPr>
        <w:t>「</w:t>
      </w:r>
      <w:r w:rsidRPr="00043A1E">
        <w:t>各了別</w:t>
      </w:r>
      <w:r w:rsidR="00B50D80">
        <w:rPr>
          <w:rFonts w:ascii="標楷體" w:hAnsi="標楷體" w:hint="eastAsia"/>
          <w:bCs/>
          <w:color w:val="FF0000"/>
          <w:kern w:val="0"/>
          <w:highlight w:val="yellow"/>
        </w:rPr>
        <w:t>」</w:t>
      </w:r>
      <w:r w:rsidRPr="00043A1E">
        <w:t>。謂彼眼識</w:t>
      </w:r>
      <w:r w:rsidR="00B50D80">
        <w:rPr>
          <w:rFonts w:ascii="標楷體" w:hAnsi="標楷體" w:hint="eastAsia"/>
          <w:color w:val="FF0000"/>
          <w:kern w:val="0"/>
          <w:highlight w:val="yellow"/>
        </w:rPr>
        <w:t>，</w:t>
      </w:r>
      <w:r w:rsidRPr="00043A1E">
        <w:t>雖有色等多境現前，然唯取色，不取聲等；唯取青等，非謂青等，亦非可意</w:t>
      </w:r>
      <w:r w:rsidR="003143FC">
        <w:rPr>
          <w:rFonts w:ascii="標楷體" w:hAnsi="標楷體" w:hint="eastAsia"/>
          <w:color w:val="FF0000"/>
          <w:kern w:val="0"/>
          <w:highlight w:val="yellow"/>
        </w:rPr>
        <w:t>.</w:t>
      </w:r>
      <w:r w:rsidRPr="00043A1E">
        <w:t>不可意等，非男</w:t>
      </w:r>
      <w:r w:rsidR="003143FC">
        <w:rPr>
          <w:rFonts w:ascii="標楷體" w:hAnsi="標楷體" w:hint="eastAsia"/>
          <w:color w:val="FF0000"/>
          <w:kern w:val="0"/>
          <w:highlight w:val="yellow"/>
        </w:rPr>
        <w:t>.</w:t>
      </w:r>
      <w:r w:rsidRPr="00043A1E">
        <w:t>女等，非人</w:t>
      </w:r>
      <w:r w:rsidR="003143FC">
        <w:rPr>
          <w:rFonts w:ascii="標楷體" w:hAnsi="標楷體" w:hint="eastAsia"/>
          <w:color w:val="FF0000"/>
          <w:kern w:val="0"/>
          <w:highlight w:val="yellow"/>
        </w:rPr>
        <w:t>.</w:t>
      </w:r>
      <w:r w:rsidRPr="00043A1E">
        <w:t>杌等，非得</w:t>
      </w:r>
      <w:r w:rsidR="003143FC">
        <w:rPr>
          <w:rFonts w:ascii="標楷體" w:hAnsi="標楷體" w:hint="eastAsia"/>
          <w:color w:val="FF0000"/>
          <w:kern w:val="0"/>
          <w:highlight w:val="yellow"/>
        </w:rPr>
        <w:t>.</w:t>
      </w:r>
      <w:r w:rsidRPr="00043A1E">
        <w:t>失等。如彼眼</w:t>
      </w:r>
      <w:r w:rsidRPr="003143FC">
        <w:rPr>
          <w:color w:val="auto"/>
          <w:highlight w:val="yellow"/>
        </w:rPr>
        <w:t>識於</w:t>
      </w:r>
      <w:r w:rsidRPr="00043A1E">
        <w:t>其自</w:t>
      </w:r>
      <w:r w:rsidRPr="003143FC">
        <w:rPr>
          <w:color w:val="auto"/>
          <w:highlight w:val="yellow"/>
        </w:rPr>
        <w:t>境唯</w:t>
      </w:r>
      <w:r w:rsidRPr="00043A1E">
        <w:t>總取相，如是餘識，隨應當知。</w:t>
      </w:r>
    </w:p>
    <w:p w:rsidR="00E165BC" w:rsidRPr="00043A1E" w:rsidRDefault="00E165BC" w:rsidP="00A640FC">
      <w:pPr>
        <w:pStyle w:val="afd"/>
      </w:pPr>
      <w:r w:rsidRPr="00043A1E">
        <w:rPr>
          <w:b/>
        </w:rPr>
        <w:t>有餘師說：誰於法性假說</w:t>
      </w:r>
      <w:r w:rsidR="003143FC">
        <w:rPr>
          <w:rFonts w:ascii="標楷體" w:hAnsi="標楷體" w:hint="eastAsia"/>
          <w:bCs/>
          <w:color w:val="FF0000"/>
          <w:kern w:val="0"/>
          <w:highlight w:val="yellow"/>
        </w:rPr>
        <w:t>「</w:t>
      </w:r>
      <w:r w:rsidRPr="00043A1E">
        <w:rPr>
          <w:b/>
        </w:rPr>
        <w:t>作者</w:t>
      </w:r>
      <w:r w:rsidR="003143FC">
        <w:rPr>
          <w:rFonts w:ascii="標楷體" w:hAnsi="標楷體" w:hint="eastAsia"/>
          <w:bCs/>
          <w:color w:val="FF0000"/>
          <w:kern w:val="0"/>
          <w:highlight w:val="yellow"/>
        </w:rPr>
        <w:t>」</w:t>
      </w:r>
      <w:r w:rsidR="003143FC">
        <w:rPr>
          <w:rFonts w:ascii="標楷體" w:hAnsi="標楷體" w:hint="eastAsia"/>
          <w:color w:val="FF0000"/>
          <w:spacing w:val="-4"/>
          <w:kern w:val="0"/>
          <w:highlight w:val="yellow"/>
        </w:rPr>
        <w:t>？</w:t>
      </w:r>
      <w:r w:rsidRPr="00043A1E">
        <w:rPr>
          <w:b/>
        </w:rPr>
        <w:t>為遮</w:t>
      </w:r>
      <w:r w:rsidR="003143FC">
        <w:rPr>
          <w:rFonts w:ascii="標楷體" w:hAnsi="標楷體" w:hint="eastAsia"/>
          <w:bCs/>
          <w:color w:val="FF0000"/>
          <w:kern w:val="0"/>
          <w:highlight w:val="yellow"/>
        </w:rPr>
        <w:t>「</w:t>
      </w:r>
      <w:r w:rsidRPr="00043A1E">
        <w:rPr>
          <w:b/>
        </w:rPr>
        <w:t>離</w:t>
      </w:r>
      <w:r w:rsidR="003143FC">
        <w:rPr>
          <w:rFonts w:ascii="Times New Roman" w:hAnsi="Times New Roman" w:hint="eastAsia"/>
          <w:color w:val="FF0000"/>
          <w:highlight w:val="yellow"/>
        </w:rPr>
        <w:t>『</w:t>
      </w:r>
      <w:r w:rsidRPr="00043A1E">
        <w:rPr>
          <w:b/>
        </w:rPr>
        <w:t>識</w:t>
      </w:r>
      <w:r w:rsidR="003143FC">
        <w:rPr>
          <w:rFonts w:ascii="Times New Roman" w:hAnsi="Times New Roman" w:hint="eastAsia"/>
          <w:color w:val="FF0000"/>
          <w:highlight w:val="yellow"/>
        </w:rPr>
        <w:t>』</w:t>
      </w:r>
      <w:r w:rsidRPr="00043A1E">
        <w:rPr>
          <w:b/>
        </w:rPr>
        <w:t>有</w:t>
      </w:r>
      <w:r w:rsidR="003143FC">
        <w:rPr>
          <w:rFonts w:ascii="Times New Roman" w:hAnsi="Times New Roman" w:hint="eastAsia"/>
          <w:color w:val="FF0000"/>
          <w:highlight w:val="yellow"/>
        </w:rPr>
        <w:t>『</w:t>
      </w:r>
      <w:r w:rsidRPr="00043A1E">
        <w:rPr>
          <w:b/>
        </w:rPr>
        <w:t>了者</w:t>
      </w:r>
      <w:r w:rsidR="003143FC">
        <w:rPr>
          <w:rFonts w:ascii="Times New Roman" w:hAnsi="Times New Roman" w:hint="eastAsia"/>
          <w:color w:val="FF0000"/>
          <w:highlight w:val="yellow"/>
        </w:rPr>
        <w:t>』</w:t>
      </w:r>
      <w:r w:rsidR="003143FC">
        <w:rPr>
          <w:rFonts w:ascii="標楷體" w:hAnsi="標楷體" w:hint="eastAsia"/>
          <w:bCs/>
          <w:color w:val="FF0000"/>
          <w:kern w:val="0"/>
          <w:highlight w:val="yellow"/>
        </w:rPr>
        <w:t>」</w:t>
      </w:r>
      <w:r w:rsidRPr="00043A1E">
        <w:rPr>
          <w:b/>
        </w:rPr>
        <w:t>計</w:t>
      </w:r>
      <w:r w:rsidR="003143FC">
        <w:rPr>
          <w:rFonts w:ascii="標楷體" w:hAnsi="標楷體" w:hint="eastAsia"/>
          <w:color w:val="FF0000"/>
          <w:kern w:val="0"/>
          <w:highlight w:val="yellow"/>
        </w:rPr>
        <w:t>。</w:t>
      </w:r>
      <w:r w:rsidRPr="00043A1E">
        <w:rPr>
          <w:b/>
        </w:rPr>
        <w:t>何處復見</w:t>
      </w:r>
      <w:r w:rsidR="003143FC">
        <w:rPr>
          <w:rFonts w:ascii="標楷體" w:hAnsi="標楷體" w:hint="eastAsia"/>
          <w:bCs/>
          <w:color w:val="FF0000"/>
          <w:kern w:val="0"/>
          <w:highlight w:val="yellow"/>
        </w:rPr>
        <w:t>「</w:t>
      </w:r>
      <w:r w:rsidRPr="00043A1E">
        <w:rPr>
          <w:b/>
        </w:rPr>
        <w:t>唯於法性假說</w:t>
      </w:r>
      <w:r w:rsidR="003143FC">
        <w:rPr>
          <w:rFonts w:ascii="Times New Roman" w:hAnsi="Times New Roman" w:hint="eastAsia"/>
          <w:color w:val="FF0000"/>
          <w:highlight w:val="yellow"/>
        </w:rPr>
        <w:t>『</w:t>
      </w:r>
      <w:r w:rsidRPr="00043A1E">
        <w:rPr>
          <w:b/>
        </w:rPr>
        <w:t>作者</w:t>
      </w:r>
      <w:r w:rsidR="003143FC">
        <w:rPr>
          <w:rFonts w:ascii="Times New Roman" w:hAnsi="Times New Roman" w:hint="eastAsia"/>
          <w:color w:val="FF0000"/>
          <w:highlight w:val="yellow"/>
        </w:rPr>
        <w:t>』</w:t>
      </w:r>
      <w:r w:rsidR="003143FC">
        <w:rPr>
          <w:rFonts w:ascii="標楷體" w:hAnsi="標楷體" w:hint="eastAsia"/>
          <w:bCs/>
          <w:color w:val="FF0000"/>
          <w:kern w:val="0"/>
          <w:highlight w:val="yellow"/>
        </w:rPr>
        <w:t>」</w:t>
      </w:r>
      <w:r w:rsidR="003143FC">
        <w:rPr>
          <w:rFonts w:ascii="標楷體" w:hAnsi="標楷體" w:hint="eastAsia"/>
          <w:color w:val="FF0000"/>
          <w:spacing w:val="-4"/>
          <w:kern w:val="0"/>
          <w:highlight w:val="yellow"/>
        </w:rPr>
        <w:t>？</w:t>
      </w:r>
      <w:r w:rsidRPr="00043A1E">
        <w:rPr>
          <w:b/>
        </w:rPr>
        <w:t>現見</w:t>
      </w:r>
      <w:r w:rsidR="003143FC">
        <w:rPr>
          <w:rFonts w:ascii="標楷體" w:hAnsi="標楷體" w:hint="eastAsia"/>
          <w:bCs/>
          <w:color w:val="FF0000"/>
          <w:kern w:val="0"/>
          <w:highlight w:val="yellow"/>
        </w:rPr>
        <w:t>「</w:t>
      </w:r>
      <w:r w:rsidRPr="00043A1E">
        <w:rPr>
          <w:b/>
        </w:rPr>
        <w:t>說</w:t>
      </w:r>
      <w:r w:rsidR="003143FC">
        <w:rPr>
          <w:rFonts w:ascii="Times New Roman" w:hAnsi="Times New Roman" w:hint="eastAsia"/>
          <w:color w:val="FF0000"/>
          <w:highlight w:val="yellow"/>
        </w:rPr>
        <w:t>『</w:t>
      </w:r>
      <w:r w:rsidRPr="00043A1E">
        <w:rPr>
          <w:b/>
        </w:rPr>
        <w:t>影</w:t>
      </w:r>
      <w:r w:rsidR="003143FC">
        <w:rPr>
          <w:rFonts w:ascii="Times New Roman" w:hAnsi="Times New Roman" w:hint="eastAsia"/>
          <w:color w:val="FF0000"/>
          <w:highlight w:val="yellow"/>
        </w:rPr>
        <w:t>』</w:t>
      </w:r>
      <w:r w:rsidRPr="00043A1E">
        <w:rPr>
          <w:b/>
        </w:rPr>
        <w:t>為</w:t>
      </w:r>
      <w:r w:rsidR="003143FC">
        <w:rPr>
          <w:rFonts w:ascii="Times New Roman" w:hAnsi="Times New Roman" w:hint="eastAsia"/>
          <w:color w:val="FF0000"/>
          <w:highlight w:val="yellow"/>
        </w:rPr>
        <w:t>『</w:t>
      </w:r>
      <w:r w:rsidRPr="00043A1E">
        <w:rPr>
          <w:b/>
        </w:rPr>
        <w:t>動者</w:t>
      </w:r>
      <w:r w:rsidR="003143FC">
        <w:rPr>
          <w:rFonts w:ascii="Times New Roman" w:hAnsi="Times New Roman" w:hint="eastAsia"/>
          <w:color w:val="FF0000"/>
          <w:highlight w:val="yellow"/>
        </w:rPr>
        <w:t>』</w:t>
      </w:r>
      <w:r w:rsidR="003143FC">
        <w:rPr>
          <w:rFonts w:ascii="標楷體" w:hAnsi="標楷體" w:hint="eastAsia"/>
          <w:bCs/>
          <w:color w:val="FF0000"/>
          <w:kern w:val="0"/>
          <w:highlight w:val="yellow"/>
        </w:rPr>
        <w:t>」</w:t>
      </w:r>
      <w:r w:rsidRPr="00043A1E">
        <w:rPr>
          <w:b/>
        </w:rPr>
        <w:t>故</w:t>
      </w:r>
      <w:r w:rsidR="003143FC">
        <w:rPr>
          <w:rFonts w:ascii="標楷體" w:hAnsi="標楷體" w:hint="eastAsia"/>
          <w:color w:val="FF0000"/>
          <w:kern w:val="0"/>
          <w:highlight w:val="yellow"/>
        </w:rPr>
        <w:t>。</w:t>
      </w:r>
      <w:r w:rsidRPr="00043A1E">
        <w:t>此於異處無間生時，雖無動作而說</w:t>
      </w:r>
      <w:r w:rsidR="003143FC">
        <w:rPr>
          <w:rFonts w:ascii="標楷體" w:hAnsi="標楷體" w:hint="eastAsia"/>
          <w:bCs/>
          <w:color w:val="FF0000"/>
          <w:kern w:val="0"/>
          <w:highlight w:val="yellow"/>
        </w:rPr>
        <w:t>「</w:t>
      </w:r>
      <w:r w:rsidRPr="00043A1E">
        <w:t>動者</w:t>
      </w:r>
      <w:r w:rsidR="003143FC">
        <w:rPr>
          <w:rFonts w:ascii="標楷體" w:hAnsi="標楷體" w:hint="eastAsia"/>
          <w:bCs/>
          <w:color w:val="FF0000"/>
          <w:kern w:val="0"/>
          <w:highlight w:val="yellow"/>
        </w:rPr>
        <w:t>」</w:t>
      </w:r>
      <w:r w:rsidRPr="00043A1E">
        <w:rPr>
          <w:rFonts w:hint="eastAsia"/>
        </w:rPr>
        <w:t>；</w:t>
      </w:r>
      <w:r w:rsidR="003143FC">
        <w:rPr>
          <w:rFonts w:ascii="標楷體" w:hAnsi="標楷體" w:hint="eastAsia"/>
          <w:bCs/>
          <w:color w:val="FF0000"/>
          <w:kern w:val="0"/>
          <w:highlight w:val="yellow"/>
        </w:rPr>
        <w:t>「</w:t>
      </w:r>
      <w:r w:rsidRPr="00043A1E">
        <w:t>識</w:t>
      </w:r>
      <w:r w:rsidR="003143FC">
        <w:rPr>
          <w:rFonts w:ascii="標楷體" w:hAnsi="標楷體" w:hint="eastAsia"/>
          <w:bCs/>
          <w:color w:val="FF0000"/>
          <w:kern w:val="0"/>
          <w:highlight w:val="yellow"/>
        </w:rPr>
        <w:t>」</w:t>
      </w:r>
      <w:r w:rsidRPr="00043A1E">
        <w:t>亦如是，於異境界相續生時，雖無動作而說</w:t>
      </w:r>
      <w:r w:rsidR="003143FC">
        <w:rPr>
          <w:rFonts w:ascii="標楷體" w:hAnsi="標楷體" w:hint="eastAsia"/>
          <w:bCs/>
          <w:color w:val="FF0000"/>
          <w:kern w:val="0"/>
          <w:highlight w:val="yellow"/>
        </w:rPr>
        <w:t>「</w:t>
      </w:r>
      <w:r w:rsidRPr="00043A1E">
        <w:t>了者</w:t>
      </w:r>
      <w:r w:rsidR="003143FC">
        <w:rPr>
          <w:rFonts w:ascii="標楷體" w:hAnsi="標楷體" w:hint="eastAsia"/>
          <w:bCs/>
          <w:color w:val="FF0000"/>
          <w:kern w:val="0"/>
          <w:highlight w:val="yellow"/>
        </w:rPr>
        <w:t>」</w:t>
      </w:r>
      <w:r w:rsidRPr="00043A1E">
        <w:t>，謂能了境</w:t>
      </w:r>
      <w:r w:rsidR="003143FC">
        <w:rPr>
          <w:rFonts w:ascii="標楷體" w:hAnsi="標楷體" w:hint="eastAsia"/>
          <w:color w:val="FF0000"/>
          <w:kern w:val="0"/>
          <w:highlight w:val="yellow"/>
        </w:rPr>
        <w:t>。</w:t>
      </w:r>
      <w:r w:rsidRPr="00043A1E">
        <w:t>故亦無失。云何知然？現見餘處遮</w:t>
      </w:r>
      <w:r w:rsidR="003143FC">
        <w:rPr>
          <w:rFonts w:ascii="標楷體" w:hAnsi="標楷體" w:hint="eastAsia"/>
          <w:bCs/>
          <w:color w:val="FF0000"/>
          <w:kern w:val="0"/>
          <w:highlight w:val="yellow"/>
        </w:rPr>
        <w:t>「</w:t>
      </w:r>
      <w:r w:rsidRPr="00043A1E">
        <w:t>作者</w:t>
      </w:r>
      <w:r w:rsidR="003143FC">
        <w:rPr>
          <w:rFonts w:ascii="標楷體" w:hAnsi="標楷體" w:hint="eastAsia"/>
          <w:bCs/>
          <w:color w:val="FF0000"/>
          <w:kern w:val="0"/>
          <w:highlight w:val="yellow"/>
        </w:rPr>
        <w:t>」</w:t>
      </w:r>
      <w:r w:rsidRPr="00043A1E">
        <w:t>故。如世尊告頗勒具那：</w:t>
      </w:r>
      <w:r w:rsidRPr="00043A1E">
        <w:rPr>
          <w:rFonts w:hint="eastAsia"/>
        </w:rPr>
        <w:t>「</w:t>
      </w:r>
      <w:r w:rsidRPr="00043A1E">
        <w:t>我終不說有</w:t>
      </w:r>
      <w:r w:rsidR="003143FC">
        <w:rPr>
          <w:rFonts w:ascii="Times New Roman" w:hAnsi="Times New Roman" w:hint="eastAsia"/>
          <w:color w:val="FF0000"/>
          <w:highlight w:val="yellow"/>
        </w:rPr>
        <w:t>『</w:t>
      </w:r>
      <w:r w:rsidRPr="00043A1E">
        <w:t>能了者</w:t>
      </w:r>
      <w:r w:rsidR="003143FC">
        <w:rPr>
          <w:rFonts w:ascii="Times New Roman" w:hAnsi="Times New Roman" w:hint="eastAsia"/>
          <w:color w:val="FF0000"/>
          <w:highlight w:val="yellow"/>
        </w:rPr>
        <w:t>』</w:t>
      </w:r>
      <w:r w:rsidRPr="00043A1E">
        <w:t>。</w:t>
      </w:r>
      <w:r w:rsidRPr="00043A1E">
        <w:rPr>
          <w:rFonts w:hint="eastAsia"/>
        </w:rPr>
        <w:t>」</w:t>
      </w:r>
      <w:r w:rsidRPr="00043A1E">
        <w:rPr>
          <w:b/>
        </w:rPr>
        <w:t>復有說言：</w:t>
      </w:r>
      <w:r w:rsidRPr="00043A1E">
        <w:rPr>
          <w:rFonts w:hint="eastAsia"/>
          <w:b/>
        </w:rPr>
        <w:t>「</w:t>
      </w:r>
      <w:r w:rsidRPr="00043A1E">
        <w:rPr>
          <w:b/>
        </w:rPr>
        <w:t>剎那名</w:t>
      </w:r>
      <w:r w:rsidR="003143FC">
        <w:rPr>
          <w:rFonts w:ascii="Times New Roman" w:hAnsi="Times New Roman" w:hint="eastAsia"/>
          <w:color w:val="FF0000"/>
          <w:highlight w:val="yellow"/>
        </w:rPr>
        <w:t>『</w:t>
      </w:r>
      <w:r w:rsidRPr="00043A1E">
        <w:rPr>
          <w:b/>
        </w:rPr>
        <w:t>法性</w:t>
      </w:r>
      <w:r w:rsidR="003143FC">
        <w:rPr>
          <w:rFonts w:ascii="Times New Roman" w:hAnsi="Times New Roman" w:hint="eastAsia"/>
          <w:color w:val="FF0000"/>
          <w:highlight w:val="yellow"/>
        </w:rPr>
        <w:t>』</w:t>
      </w:r>
      <w:r w:rsidRPr="00043A1E">
        <w:rPr>
          <w:b/>
        </w:rPr>
        <w:t>，相續名</w:t>
      </w:r>
      <w:r w:rsidR="003143FC">
        <w:rPr>
          <w:rFonts w:ascii="Times New Roman" w:hAnsi="Times New Roman" w:hint="eastAsia"/>
          <w:color w:val="FF0000"/>
          <w:highlight w:val="yellow"/>
        </w:rPr>
        <w:t>『</w:t>
      </w:r>
      <w:r w:rsidRPr="00043A1E">
        <w:rPr>
          <w:b/>
        </w:rPr>
        <w:t>作者</w:t>
      </w:r>
      <w:r w:rsidR="003143FC">
        <w:rPr>
          <w:rFonts w:ascii="Times New Roman" w:hAnsi="Times New Roman" w:hint="eastAsia"/>
          <w:color w:val="FF0000"/>
          <w:highlight w:val="yellow"/>
        </w:rPr>
        <w:t>』</w:t>
      </w:r>
      <w:r w:rsidRPr="00043A1E">
        <w:rPr>
          <w:b/>
        </w:rPr>
        <w:t>。</w:t>
      </w:r>
      <w:r w:rsidRPr="00043A1E">
        <w:rPr>
          <w:rFonts w:hint="eastAsia"/>
          <w:b/>
        </w:rPr>
        <w:t>」</w:t>
      </w:r>
    </w:p>
  </w:footnote>
  <w:footnote w:id="752">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szCs w:val="22"/>
        </w:rPr>
        <w:t>《大方廣佛華嚴經》卷</w:t>
      </w:r>
      <w:r w:rsidRPr="00761EF3">
        <w:rPr>
          <w:szCs w:val="22"/>
        </w:rPr>
        <w:t>13</w:t>
      </w:r>
      <w:r w:rsidRPr="00043A1E">
        <w:rPr>
          <w:szCs w:val="22"/>
        </w:rPr>
        <w:t>〈</w:t>
      </w:r>
      <w:r w:rsidRPr="00761EF3">
        <w:rPr>
          <w:szCs w:val="22"/>
        </w:rPr>
        <w:t>10</w:t>
      </w:r>
      <w:r w:rsidRPr="00043A1E">
        <w:rPr>
          <w:szCs w:val="22"/>
        </w:rPr>
        <w:t xml:space="preserve"> </w:t>
      </w:r>
      <w:r w:rsidRPr="00043A1E">
        <w:rPr>
          <w:szCs w:val="22"/>
        </w:rPr>
        <w:t>菩薩問明品〉（大正</w:t>
      </w:r>
      <w:r w:rsidRPr="00761EF3">
        <w:rPr>
          <w:szCs w:val="22"/>
        </w:rPr>
        <w:t>10</w:t>
      </w:r>
      <w:r w:rsidRPr="00043A1E">
        <w:rPr>
          <w:szCs w:val="22"/>
        </w:rPr>
        <w:t>，</w:t>
      </w:r>
      <w:r w:rsidRPr="00761EF3">
        <w:rPr>
          <w:szCs w:val="22"/>
        </w:rPr>
        <w:t>66b6</w:t>
      </w:r>
      <w:r w:rsidRPr="00043A1E">
        <w:rPr>
          <w:szCs w:val="22"/>
        </w:rPr>
        <w:t>）。</w:t>
      </w:r>
    </w:p>
  </w:footnote>
  <w:footnote w:id="753">
    <w:p w:rsidR="00157EF6" w:rsidRPr="00043A1E" w:rsidRDefault="00157EF6" w:rsidP="00AA120F">
      <w:pPr>
        <w:pStyle w:val="a5"/>
        <w:spacing w:line="0" w:lineRule="atLeast"/>
        <w:ind w:left="726" w:hangingChars="330" w:hanging="726"/>
        <w:jc w:val="both"/>
        <w:rPr>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szCs w:val="22"/>
        </w:rPr>
        <w:t>）《中論》卷</w:t>
      </w:r>
      <w:r w:rsidRPr="00761EF3">
        <w:rPr>
          <w:szCs w:val="22"/>
        </w:rPr>
        <w:t>2</w:t>
      </w:r>
      <w:r w:rsidRPr="00043A1E">
        <w:rPr>
          <w:szCs w:val="22"/>
        </w:rPr>
        <w:t>〈</w:t>
      </w:r>
      <w:r w:rsidRPr="00761EF3">
        <w:rPr>
          <w:szCs w:val="22"/>
        </w:rPr>
        <w:t>8</w:t>
      </w:r>
      <w:r w:rsidRPr="00043A1E">
        <w:rPr>
          <w:szCs w:val="22"/>
        </w:rPr>
        <w:t xml:space="preserve"> </w:t>
      </w:r>
      <w:r w:rsidRPr="00043A1E">
        <w:rPr>
          <w:szCs w:val="22"/>
        </w:rPr>
        <w:t>觀作作者品〉（大正</w:t>
      </w:r>
      <w:r w:rsidRPr="00761EF3">
        <w:rPr>
          <w:szCs w:val="22"/>
        </w:rPr>
        <w:t>30</w:t>
      </w:r>
      <w:r w:rsidRPr="00043A1E">
        <w:rPr>
          <w:szCs w:val="22"/>
        </w:rPr>
        <w:t>，</w:t>
      </w:r>
      <w:r w:rsidRPr="00761EF3">
        <w:rPr>
          <w:szCs w:val="22"/>
        </w:rPr>
        <w:t>12c8</w:t>
      </w:r>
      <w:r w:rsidRPr="00043A1E">
        <w:rPr>
          <w:szCs w:val="22"/>
        </w:rPr>
        <w:t>-</w:t>
      </w:r>
      <w:r w:rsidRPr="00761EF3">
        <w:rPr>
          <w:szCs w:val="22"/>
        </w:rPr>
        <w:t>9</w:t>
      </w:r>
      <w:r w:rsidRPr="00043A1E">
        <w:rPr>
          <w:szCs w:val="22"/>
        </w:rPr>
        <w:t>）：</w:t>
      </w:r>
    </w:p>
    <w:p w:rsidR="00157EF6" w:rsidRPr="00043A1E" w:rsidRDefault="00157EF6" w:rsidP="00AA120F">
      <w:pPr>
        <w:pStyle w:val="a5"/>
        <w:ind w:leftChars="305" w:left="732"/>
        <w:jc w:val="both"/>
        <w:rPr>
          <w:dstrike/>
          <w:szCs w:val="22"/>
        </w:rPr>
      </w:pPr>
      <w:r w:rsidRPr="00043A1E">
        <w:rPr>
          <w:rFonts w:eastAsia="標楷體"/>
          <w:szCs w:val="22"/>
        </w:rPr>
        <w:t>若無罪福報，亦無有涅槃，</w:t>
      </w:r>
      <w:r w:rsidRPr="00043A1E">
        <w:rPr>
          <w:rFonts w:eastAsia="標楷體"/>
          <w:b/>
          <w:szCs w:val="22"/>
        </w:rPr>
        <w:t>諸可有所作</w:t>
      </w:r>
      <w:r w:rsidRPr="00043A1E">
        <w:rPr>
          <w:rFonts w:eastAsia="標楷體"/>
          <w:szCs w:val="22"/>
        </w:rPr>
        <w:t>，皆空無有果。</w:t>
      </w:r>
    </w:p>
    <w:p w:rsidR="00157EF6" w:rsidRPr="00043A1E" w:rsidRDefault="00157EF6" w:rsidP="00AA120F">
      <w:pPr>
        <w:pStyle w:val="a5"/>
        <w:ind w:leftChars="80" w:left="731" w:hangingChars="245" w:hanging="539"/>
        <w:jc w:val="both"/>
        <w:rPr>
          <w:szCs w:val="22"/>
        </w:rPr>
      </w:pPr>
      <w:r w:rsidRPr="00043A1E">
        <w:rPr>
          <w:szCs w:val="22"/>
        </w:rPr>
        <w:t>（</w:t>
      </w:r>
      <w:r w:rsidRPr="00761EF3">
        <w:rPr>
          <w:szCs w:val="22"/>
        </w:rPr>
        <w:t>2</w:t>
      </w:r>
      <w:r w:rsidRPr="00043A1E">
        <w:rPr>
          <w:szCs w:val="22"/>
        </w:rPr>
        <w:t>）</w:t>
      </w:r>
      <w:r w:rsidRPr="00615847">
        <w:rPr>
          <w:rStyle w:val="21"/>
          <w:szCs w:val="22"/>
        </w:rPr>
        <w:t>三枝充悳</w:t>
      </w:r>
      <w:r w:rsidRPr="00043A1E">
        <w:rPr>
          <w:szCs w:val="22"/>
        </w:rPr>
        <w:t>，《中論偈頌總覽》</w:t>
      </w:r>
      <w:r w:rsidRPr="00043A1E">
        <w:rPr>
          <w:rFonts w:hint="eastAsia"/>
          <w:szCs w:val="22"/>
        </w:rPr>
        <w:t>，</w:t>
      </w:r>
      <w:r w:rsidRPr="00761EF3">
        <w:rPr>
          <w:szCs w:val="22"/>
        </w:rPr>
        <w:t>p</w:t>
      </w:r>
      <w:r w:rsidRPr="00043A1E">
        <w:rPr>
          <w:szCs w:val="22"/>
        </w:rPr>
        <w:t>.</w:t>
      </w:r>
      <w:r w:rsidRPr="00761EF3">
        <w:rPr>
          <w:szCs w:val="22"/>
        </w:rPr>
        <w:t>250</w:t>
      </w:r>
      <w:r w:rsidRPr="00043A1E">
        <w:rPr>
          <w:szCs w:val="22"/>
        </w:rPr>
        <w:t>：</w:t>
      </w:r>
    </w:p>
    <w:p w:rsidR="00157EF6" w:rsidRPr="00043A1E" w:rsidRDefault="00157EF6" w:rsidP="00AA120F">
      <w:pPr>
        <w:pStyle w:val="a5"/>
        <w:ind w:leftChars="305" w:left="732"/>
        <w:jc w:val="both"/>
        <w:rPr>
          <w:rFonts w:eastAsia="標楷體"/>
          <w:bCs/>
          <w:szCs w:val="22"/>
        </w:rPr>
      </w:pPr>
      <w:r w:rsidRPr="00761EF3">
        <w:rPr>
          <w:rFonts w:eastAsia="Roman Unicode"/>
          <w:szCs w:val="22"/>
        </w:rPr>
        <w:t>phale</w:t>
      </w:r>
      <w:r w:rsidRPr="00043A1E">
        <w:rPr>
          <w:szCs w:val="22"/>
        </w:rPr>
        <w:t xml:space="preserve"> '</w:t>
      </w:r>
      <w:r w:rsidRPr="00761EF3">
        <w:rPr>
          <w:rFonts w:eastAsia="Roman Unicode"/>
          <w:szCs w:val="22"/>
        </w:rPr>
        <w:t>sati</w:t>
      </w:r>
      <w:r w:rsidRPr="00043A1E">
        <w:rPr>
          <w:szCs w:val="22"/>
        </w:rPr>
        <w:t xml:space="preserve"> </w:t>
      </w:r>
      <w:r w:rsidRPr="00761EF3">
        <w:rPr>
          <w:rFonts w:eastAsia="Roman Unicode"/>
          <w:szCs w:val="22"/>
        </w:rPr>
        <w:t>na</w:t>
      </w:r>
      <w:r w:rsidRPr="00043A1E">
        <w:rPr>
          <w:szCs w:val="22"/>
        </w:rPr>
        <w:t xml:space="preserve"> </w:t>
      </w:r>
      <w:r w:rsidRPr="00761EF3">
        <w:rPr>
          <w:rFonts w:eastAsia="Roman Unicode"/>
          <w:szCs w:val="22"/>
        </w:rPr>
        <w:t>mokṣāya</w:t>
      </w:r>
      <w:r w:rsidRPr="00043A1E">
        <w:rPr>
          <w:szCs w:val="22"/>
        </w:rPr>
        <w:t xml:space="preserve"> </w:t>
      </w:r>
      <w:r w:rsidRPr="00761EF3">
        <w:rPr>
          <w:rFonts w:eastAsia="Roman Unicode"/>
          <w:szCs w:val="22"/>
        </w:rPr>
        <w:t>na</w:t>
      </w:r>
      <w:r w:rsidRPr="00043A1E">
        <w:rPr>
          <w:szCs w:val="22"/>
        </w:rPr>
        <w:t xml:space="preserve"> </w:t>
      </w:r>
      <w:r w:rsidRPr="00761EF3">
        <w:rPr>
          <w:rFonts w:eastAsia="Roman Unicode"/>
          <w:szCs w:val="22"/>
        </w:rPr>
        <w:t>svargāyopapadyate</w:t>
      </w:r>
      <w:r w:rsidRPr="00043A1E">
        <w:rPr>
          <w:szCs w:val="22"/>
        </w:rPr>
        <w:t xml:space="preserve"> /</w:t>
      </w:r>
      <w:r w:rsidRPr="00043A1E">
        <w:rPr>
          <w:szCs w:val="22"/>
        </w:rPr>
        <w:br/>
      </w:r>
      <w:r w:rsidRPr="00761EF3">
        <w:rPr>
          <w:rFonts w:eastAsia="Roman Unicode"/>
          <w:szCs w:val="22"/>
        </w:rPr>
        <w:t>mārgaḥ</w:t>
      </w:r>
      <w:r w:rsidRPr="00043A1E">
        <w:rPr>
          <w:szCs w:val="22"/>
        </w:rPr>
        <w:t xml:space="preserve"> </w:t>
      </w:r>
      <w:r w:rsidRPr="00761EF3">
        <w:rPr>
          <w:rFonts w:eastAsia="Roman Unicode"/>
          <w:szCs w:val="22"/>
        </w:rPr>
        <w:t>sarva</w:t>
      </w:r>
      <w:r w:rsidRPr="00761EF3">
        <w:rPr>
          <w:rFonts w:eastAsia="Roman Unicode"/>
          <w:b/>
          <w:szCs w:val="22"/>
        </w:rPr>
        <w:t>kriyā</w:t>
      </w:r>
      <w:r w:rsidRPr="00761EF3">
        <w:rPr>
          <w:rFonts w:eastAsia="Roman Unicode"/>
          <w:szCs w:val="22"/>
        </w:rPr>
        <w:t>ṇām</w:t>
      </w:r>
      <w:r w:rsidRPr="00043A1E">
        <w:rPr>
          <w:szCs w:val="22"/>
        </w:rPr>
        <w:t xml:space="preserve"> </w:t>
      </w:r>
      <w:r w:rsidRPr="00761EF3">
        <w:rPr>
          <w:rFonts w:eastAsia="Roman Unicode"/>
          <w:szCs w:val="22"/>
        </w:rPr>
        <w:t>ca</w:t>
      </w:r>
      <w:r w:rsidRPr="00043A1E">
        <w:rPr>
          <w:szCs w:val="22"/>
        </w:rPr>
        <w:t xml:space="preserve"> </w:t>
      </w:r>
      <w:r w:rsidRPr="00761EF3">
        <w:rPr>
          <w:rFonts w:eastAsia="Roman Unicode"/>
          <w:szCs w:val="22"/>
        </w:rPr>
        <w:t>nairarthakyaṃ</w:t>
      </w:r>
      <w:r w:rsidRPr="00043A1E">
        <w:rPr>
          <w:szCs w:val="22"/>
        </w:rPr>
        <w:t xml:space="preserve"> </w:t>
      </w:r>
      <w:r w:rsidRPr="00761EF3">
        <w:rPr>
          <w:rFonts w:eastAsia="Roman Unicode"/>
          <w:szCs w:val="22"/>
        </w:rPr>
        <w:t>prasajyate</w:t>
      </w:r>
      <w:r w:rsidRPr="00043A1E">
        <w:rPr>
          <w:szCs w:val="22"/>
        </w:rPr>
        <w:t xml:space="preserve"> //</w:t>
      </w:r>
    </w:p>
    <w:p w:rsidR="00157EF6" w:rsidRPr="00043A1E" w:rsidRDefault="00157EF6" w:rsidP="00AA120F">
      <w:pPr>
        <w:snapToGrid w:val="0"/>
        <w:ind w:leftChars="305" w:left="732"/>
        <w:jc w:val="both"/>
        <w:rPr>
          <w:rFonts w:ascii="Times New Roman" w:hAnsi="Times New Roman"/>
          <w:sz w:val="22"/>
          <w:szCs w:val="22"/>
          <w:lang w:eastAsia="ja-JP"/>
        </w:rPr>
      </w:pPr>
      <w:r w:rsidRPr="00043A1E">
        <w:rPr>
          <w:rFonts w:ascii="Times New Roman" w:eastAsia="標楷體" w:hAnsi="Times New Roman"/>
          <w:sz w:val="22"/>
          <w:szCs w:val="22"/>
          <w:lang w:eastAsia="ja-JP"/>
        </w:rPr>
        <w:t>果報が存在しないならば，解脫にいたる〔道〕も，また天界にいたる道も，成り立たないことになる。〔こうして〕また，</w:t>
      </w:r>
      <w:r w:rsidRPr="00043A1E">
        <w:rPr>
          <w:rFonts w:ascii="Times New Roman" w:eastAsia="標楷體" w:hAnsi="Times New Roman"/>
          <w:b/>
          <w:sz w:val="22"/>
          <w:szCs w:val="22"/>
          <w:lang w:eastAsia="ja-JP"/>
        </w:rPr>
        <w:t>一切の作用</w:t>
      </w:r>
      <w:r w:rsidRPr="00043A1E">
        <w:rPr>
          <w:rFonts w:ascii="Times New Roman" w:eastAsia="標楷體" w:hAnsi="Times New Roman"/>
          <w:sz w:val="22"/>
          <w:szCs w:val="22"/>
          <w:lang w:eastAsia="ja-JP"/>
        </w:rPr>
        <w:t>が無意味である，という誤りが付随する。</w:t>
      </w:r>
    </w:p>
    <w:p w:rsidR="00157EF6" w:rsidRPr="00043A1E" w:rsidRDefault="00157EF6" w:rsidP="00AA120F">
      <w:pPr>
        <w:pStyle w:val="a5"/>
        <w:ind w:leftChars="80" w:left="731" w:hangingChars="245" w:hanging="539"/>
        <w:jc w:val="both"/>
        <w:rPr>
          <w:szCs w:val="22"/>
        </w:rPr>
      </w:pPr>
      <w:r w:rsidRPr="00043A1E">
        <w:rPr>
          <w:szCs w:val="22"/>
        </w:rPr>
        <w:t>（</w:t>
      </w:r>
      <w:r w:rsidRPr="00761EF3">
        <w:rPr>
          <w:szCs w:val="22"/>
        </w:rPr>
        <w:t>3</w:t>
      </w:r>
      <w:r w:rsidRPr="00043A1E">
        <w:rPr>
          <w:szCs w:val="22"/>
        </w:rPr>
        <w:t>）</w:t>
      </w:r>
      <w:r w:rsidRPr="00043A1E">
        <w:rPr>
          <w:rFonts w:hint="eastAsia"/>
          <w:szCs w:val="22"/>
        </w:rPr>
        <w:t>印順法師，</w:t>
      </w:r>
      <w:r w:rsidRPr="00043A1E">
        <w:rPr>
          <w:szCs w:val="22"/>
        </w:rPr>
        <w:t>《中觀論頌講記》</w:t>
      </w:r>
      <w:r w:rsidRPr="00043A1E">
        <w:rPr>
          <w:rFonts w:hint="eastAsia"/>
          <w:szCs w:val="22"/>
        </w:rPr>
        <w:t>，</w:t>
      </w:r>
      <w:r w:rsidRPr="00761EF3">
        <w:rPr>
          <w:szCs w:val="22"/>
        </w:rPr>
        <w:t>pp</w:t>
      </w:r>
      <w:r w:rsidRPr="00043A1E">
        <w:rPr>
          <w:szCs w:val="22"/>
        </w:rPr>
        <w:t>.</w:t>
      </w:r>
      <w:r w:rsidRPr="00761EF3">
        <w:rPr>
          <w:szCs w:val="22"/>
        </w:rPr>
        <w:t>177</w:t>
      </w:r>
      <w:r w:rsidRPr="00043A1E">
        <w:rPr>
          <w:szCs w:val="22"/>
        </w:rPr>
        <w:t>-</w:t>
      </w:r>
      <w:r w:rsidRPr="00761EF3">
        <w:rPr>
          <w:szCs w:val="22"/>
        </w:rPr>
        <w:t>178</w:t>
      </w:r>
      <w:r w:rsidRPr="00043A1E">
        <w:rPr>
          <w:szCs w:val="22"/>
        </w:rPr>
        <w:t>：</w:t>
      </w:r>
    </w:p>
    <w:p w:rsidR="00157EF6" w:rsidRPr="00043A1E" w:rsidRDefault="00157EF6" w:rsidP="00AA120F">
      <w:pPr>
        <w:pStyle w:val="a5"/>
        <w:tabs>
          <w:tab w:val="left" w:pos="3261"/>
        </w:tabs>
        <w:ind w:leftChars="305" w:left="732"/>
        <w:jc w:val="both"/>
        <w:rPr>
          <w:rFonts w:eastAsia="標楷體"/>
          <w:szCs w:val="22"/>
        </w:rPr>
      </w:pPr>
      <w:r w:rsidRPr="00043A1E">
        <w:rPr>
          <w:rFonts w:eastAsia="標楷體"/>
          <w:szCs w:val="22"/>
        </w:rPr>
        <w:t>有罪福的業行及罪福的果報，就有世間生死的因果，及依此而超脫的出世法。假使沒有了這些，這就是破壞了世間，也就是破壞了出世間。</w:t>
      </w:r>
      <w:r w:rsidRPr="00E165BC">
        <w:rPr>
          <w:rFonts w:ascii="標楷體" w:eastAsia="標楷體" w:hAnsi="標楷體"/>
          <w:color w:val="FF0000"/>
          <w:szCs w:val="22"/>
          <w:shd w:val="pct15" w:color="auto" w:fill="FFFFFF"/>
        </w:rPr>
        <w:t>……</w:t>
      </w:r>
      <w:r w:rsidRPr="00043A1E">
        <w:rPr>
          <w:rFonts w:eastAsia="標楷體"/>
          <w:szCs w:val="22"/>
        </w:rPr>
        <w:t>世出世間一切，不離因果。所以如不能成立因果，世間的苦集不可說，出世間的滅道也不可說，</w:t>
      </w:r>
      <w:r w:rsidRPr="00043A1E">
        <w:rPr>
          <w:rFonts w:eastAsia="標楷體"/>
          <w:b/>
          <w:bCs/>
          <w:szCs w:val="22"/>
        </w:rPr>
        <w:t>那就成為一切「所作」的，「皆空無有果」了</w:t>
      </w:r>
      <w:r w:rsidRPr="00043A1E">
        <w:rPr>
          <w:rFonts w:eastAsia="標楷體"/>
          <w:szCs w:val="22"/>
        </w:rPr>
        <w:t>。那麼，我們還辛勤的修善，精進的修學佛法做什麼呢？</w:t>
      </w:r>
    </w:p>
  </w:footnote>
  <w:footnote w:id="754">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szCs w:val="22"/>
        </w:rPr>
        <w:t>）《中論》卷</w:t>
      </w:r>
      <w:r w:rsidRPr="00761EF3">
        <w:rPr>
          <w:szCs w:val="22"/>
        </w:rPr>
        <w:t>2</w:t>
      </w:r>
      <w:r w:rsidRPr="00043A1E">
        <w:rPr>
          <w:szCs w:val="22"/>
        </w:rPr>
        <w:t>〈</w:t>
      </w:r>
      <w:r w:rsidRPr="00761EF3">
        <w:rPr>
          <w:szCs w:val="22"/>
        </w:rPr>
        <w:t>8</w:t>
      </w:r>
      <w:r w:rsidRPr="00043A1E">
        <w:rPr>
          <w:szCs w:val="22"/>
        </w:rPr>
        <w:t xml:space="preserve"> </w:t>
      </w:r>
      <w:r w:rsidRPr="00043A1E">
        <w:rPr>
          <w:szCs w:val="22"/>
        </w:rPr>
        <w:t>觀作作者品〉（大正</w:t>
      </w:r>
      <w:r w:rsidRPr="00761EF3">
        <w:rPr>
          <w:szCs w:val="22"/>
        </w:rPr>
        <w:t>30</w:t>
      </w:r>
      <w:r w:rsidRPr="00043A1E">
        <w:rPr>
          <w:szCs w:val="22"/>
        </w:rPr>
        <w:t>，</w:t>
      </w:r>
      <w:r w:rsidRPr="00761EF3">
        <w:rPr>
          <w:szCs w:val="22"/>
        </w:rPr>
        <w:t>12c4</w:t>
      </w:r>
      <w:r w:rsidRPr="00043A1E">
        <w:rPr>
          <w:szCs w:val="22"/>
        </w:rPr>
        <w:t>-</w:t>
      </w:r>
      <w:r w:rsidRPr="00761EF3">
        <w:rPr>
          <w:szCs w:val="22"/>
        </w:rPr>
        <w:t>5</w:t>
      </w:r>
      <w:r w:rsidRPr="00043A1E">
        <w:rPr>
          <w:szCs w:val="22"/>
        </w:rPr>
        <w:t>）：</w:t>
      </w:r>
    </w:p>
    <w:p w:rsidR="00157EF6" w:rsidRPr="00043A1E" w:rsidRDefault="00157EF6" w:rsidP="00AA120F">
      <w:pPr>
        <w:pStyle w:val="a5"/>
        <w:ind w:leftChars="335" w:left="804"/>
        <w:jc w:val="both"/>
        <w:rPr>
          <w:dstrike/>
          <w:szCs w:val="22"/>
        </w:rPr>
      </w:pPr>
      <w:r w:rsidRPr="00043A1E">
        <w:rPr>
          <w:rFonts w:eastAsia="標楷體"/>
          <w:szCs w:val="22"/>
        </w:rPr>
        <w:t>若墮於無因，則無因無果，無作</w:t>
      </w:r>
      <w:r w:rsidR="006F5958">
        <w:rPr>
          <w:rFonts w:ascii="標楷體" w:eastAsia="標楷體" w:hAnsi="標楷體" w:hint="eastAsia"/>
          <w:color w:val="FF0000"/>
          <w:spacing w:val="-4"/>
          <w:kern w:val="0"/>
          <w:highlight w:val="yellow"/>
        </w:rPr>
        <w:t>、</w:t>
      </w:r>
      <w:r w:rsidRPr="00043A1E">
        <w:rPr>
          <w:rFonts w:eastAsia="標楷體"/>
          <w:szCs w:val="22"/>
        </w:rPr>
        <w:t>無作者</w:t>
      </w:r>
      <w:r w:rsidR="006F5958">
        <w:rPr>
          <w:rFonts w:ascii="標楷體" w:eastAsia="標楷體" w:hAnsi="標楷體" w:hint="eastAsia"/>
          <w:color w:val="FF0000"/>
          <w:spacing w:val="-4"/>
          <w:kern w:val="0"/>
          <w:highlight w:val="yellow"/>
        </w:rPr>
        <w:t>、</w:t>
      </w:r>
      <w:r w:rsidRPr="00043A1E">
        <w:rPr>
          <w:rFonts w:eastAsia="標楷體"/>
          <w:b/>
          <w:szCs w:val="22"/>
        </w:rPr>
        <w:t>無所用作法</w:t>
      </w:r>
      <w:r w:rsidRPr="00043A1E">
        <w:rPr>
          <w:rFonts w:eastAsia="標楷體"/>
          <w:szCs w:val="22"/>
        </w:rPr>
        <w:t>。</w:t>
      </w:r>
    </w:p>
    <w:p w:rsidR="00157EF6" w:rsidRPr="00043A1E" w:rsidRDefault="00157EF6" w:rsidP="00AA120F">
      <w:pPr>
        <w:pStyle w:val="a5"/>
        <w:ind w:leftChars="105" w:left="791" w:hangingChars="245" w:hanging="539"/>
        <w:jc w:val="both"/>
        <w:rPr>
          <w:szCs w:val="22"/>
        </w:rPr>
      </w:pPr>
      <w:r w:rsidRPr="00043A1E">
        <w:rPr>
          <w:szCs w:val="22"/>
        </w:rPr>
        <w:t>（</w:t>
      </w:r>
      <w:r w:rsidRPr="00761EF3">
        <w:rPr>
          <w:szCs w:val="22"/>
        </w:rPr>
        <w:t>2</w:t>
      </w:r>
      <w:r w:rsidRPr="00043A1E">
        <w:rPr>
          <w:szCs w:val="22"/>
        </w:rPr>
        <w:t>）</w:t>
      </w:r>
      <w:r w:rsidRPr="00615847">
        <w:rPr>
          <w:rStyle w:val="21"/>
          <w:szCs w:val="22"/>
        </w:rPr>
        <w:t>三枝充悳</w:t>
      </w:r>
      <w:r w:rsidRPr="00043A1E">
        <w:rPr>
          <w:rFonts w:hint="eastAsia"/>
          <w:szCs w:val="22"/>
        </w:rPr>
        <w:t>，</w:t>
      </w:r>
      <w:r w:rsidRPr="00043A1E">
        <w:rPr>
          <w:szCs w:val="22"/>
        </w:rPr>
        <w:t>《中論偈頌總覽》</w:t>
      </w:r>
      <w:r w:rsidRPr="00043A1E">
        <w:rPr>
          <w:rFonts w:hint="eastAsia"/>
          <w:szCs w:val="22"/>
        </w:rPr>
        <w:t>，</w:t>
      </w:r>
      <w:r w:rsidRPr="00761EF3">
        <w:rPr>
          <w:szCs w:val="22"/>
        </w:rPr>
        <w:t>p</w:t>
      </w:r>
      <w:r w:rsidRPr="00043A1E">
        <w:rPr>
          <w:szCs w:val="22"/>
        </w:rPr>
        <w:t>.</w:t>
      </w:r>
      <w:r w:rsidRPr="00761EF3">
        <w:rPr>
          <w:szCs w:val="22"/>
        </w:rPr>
        <w:t>246</w:t>
      </w:r>
      <w:r w:rsidRPr="00043A1E">
        <w:rPr>
          <w:szCs w:val="22"/>
        </w:rPr>
        <w:t>：</w:t>
      </w:r>
    </w:p>
    <w:p w:rsidR="00157EF6" w:rsidRPr="00043A1E" w:rsidRDefault="00157EF6" w:rsidP="00AA120F">
      <w:pPr>
        <w:snapToGrid w:val="0"/>
        <w:ind w:leftChars="335" w:left="804"/>
        <w:jc w:val="both"/>
        <w:rPr>
          <w:rFonts w:ascii="Times New Roman" w:eastAsia="標楷體" w:hAnsi="Times New Roman"/>
          <w:bCs/>
          <w:sz w:val="22"/>
          <w:szCs w:val="22"/>
        </w:rPr>
      </w:pPr>
      <w:r w:rsidRPr="00761EF3">
        <w:rPr>
          <w:rFonts w:ascii="Times New Roman" w:hAnsi="Times New Roman"/>
          <w:sz w:val="22"/>
          <w:szCs w:val="22"/>
        </w:rPr>
        <w:t>hetāvasati</w:t>
      </w:r>
      <w:r w:rsidRPr="00043A1E">
        <w:rPr>
          <w:rFonts w:ascii="Times New Roman" w:hAnsi="Times New Roman"/>
          <w:sz w:val="22"/>
          <w:szCs w:val="22"/>
        </w:rPr>
        <w:t xml:space="preserve"> </w:t>
      </w:r>
      <w:r w:rsidRPr="00761EF3">
        <w:rPr>
          <w:rFonts w:ascii="Times New Roman" w:hAnsi="Times New Roman"/>
          <w:sz w:val="22"/>
          <w:szCs w:val="22"/>
        </w:rPr>
        <w:t>kāryaṃ</w:t>
      </w:r>
      <w:r w:rsidRPr="00043A1E">
        <w:rPr>
          <w:rFonts w:ascii="Times New Roman" w:hAnsi="Times New Roman"/>
          <w:sz w:val="22"/>
          <w:szCs w:val="22"/>
        </w:rPr>
        <w:t xml:space="preserve"> </w:t>
      </w:r>
      <w:r w:rsidRPr="00761EF3">
        <w:rPr>
          <w:rFonts w:ascii="Times New Roman" w:hAnsi="Times New Roman"/>
          <w:sz w:val="22"/>
          <w:szCs w:val="22"/>
        </w:rPr>
        <w:t>ca</w:t>
      </w:r>
      <w:r w:rsidRPr="00043A1E">
        <w:rPr>
          <w:rFonts w:ascii="Times New Roman" w:hAnsi="Times New Roman"/>
          <w:sz w:val="22"/>
          <w:szCs w:val="22"/>
        </w:rPr>
        <w:t xml:space="preserve"> </w:t>
      </w:r>
      <w:r w:rsidRPr="00761EF3">
        <w:rPr>
          <w:rFonts w:ascii="Times New Roman" w:hAnsi="Times New Roman"/>
          <w:sz w:val="22"/>
          <w:szCs w:val="22"/>
        </w:rPr>
        <w:t>kāraṇaṃ</w:t>
      </w:r>
      <w:r w:rsidRPr="00043A1E">
        <w:rPr>
          <w:rFonts w:ascii="Times New Roman" w:hAnsi="Times New Roman"/>
          <w:sz w:val="22"/>
          <w:szCs w:val="22"/>
        </w:rPr>
        <w:t xml:space="preserve"> </w:t>
      </w:r>
      <w:r w:rsidRPr="00761EF3">
        <w:rPr>
          <w:rFonts w:ascii="Times New Roman" w:hAnsi="Times New Roman"/>
          <w:sz w:val="22"/>
          <w:szCs w:val="22"/>
        </w:rPr>
        <w:t>ca</w:t>
      </w:r>
      <w:r w:rsidRPr="00043A1E">
        <w:rPr>
          <w:rFonts w:ascii="Times New Roman" w:hAnsi="Times New Roman"/>
          <w:sz w:val="22"/>
          <w:szCs w:val="22"/>
        </w:rPr>
        <w:t xml:space="preserve"> </w:t>
      </w:r>
      <w:r w:rsidRPr="00761EF3">
        <w:rPr>
          <w:rFonts w:ascii="Times New Roman" w:hAnsi="Times New Roman"/>
          <w:sz w:val="22"/>
          <w:szCs w:val="22"/>
        </w:rPr>
        <w:t>na</w:t>
      </w:r>
      <w:r w:rsidRPr="00043A1E">
        <w:rPr>
          <w:rFonts w:ascii="Times New Roman" w:hAnsi="Times New Roman"/>
          <w:sz w:val="22"/>
          <w:szCs w:val="22"/>
        </w:rPr>
        <w:t xml:space="preserve"> </w:t>
      </w:r>
      <w:r w:rsidRPr="00761EF3">
        <w:rPr>
          <w:rFonts w:ascii="Times New Roman" w:hAnsi="Times New Roman"/>
          <w:sz w:val="22"/>
          <w:szCs w:val="22"/>
        </w:rPr>
        <w:t>vidyate</w:t>
      </w:r>
      <w:r w:rsidRPr="00043A1E">
        <w:rPr>
          <w:rFonts w:ascii="Times New Roman" w:hAnsi="Times New Roman"/>
          <w:sz w:val="22"/>
          <w:szCs w:val="22"/>
        </w:rPr>
        <w:t xml:space="preserve"> /</w:t>
      </w:r>
      <w:r w:rsidRPr="00043A1E">
        <w:rPr>
          <w:rFonts w:ascii="Times New Roman" w:hAnsi="Times New Roman"/>
          <w:sz w:val="22"/>
          <w:szCs w:val="22"/>
        </w:rPr>
        <w:br/>
      </w:r>
      <w:r w:rsidRPr="00761EF3">
        <w:rPr>
          <w:rFonts w:ascii="Times New Roman" w:hAnsi="Times New Roman"/>
          <w:sz w:val="22"/>
          <w:szCs w:val="22"/>
        </w:rPr>
        <w:t>tadabhāve</w:t>
      </w:r>
      <w:r w:rsidRPr="00043A1E">
        <w:rPr>
          <w:rFonts w:ascii="Times New Roman" w:hAnsi="Times New Roman"/>
          <w:sz w:val="22"/>
          <w:szCs w:val="22"/>
        </w:rPr>
        <w:t xml:space="preserve"> </w:t>
      </w:r>
      <w:r w:rsidRPr="00761EF3">
        <w:rPr>
          <w:rFonts w:ascii="Times New Roman" w:hAnsi="Times New Roman"/>
          <w:sz w:val="22"/>
          <w:szCs w:val="22"/>
        </w:rPr>
        <w:t>kriyā</w:t>
      </w:r>
      <w:r w:rsidRPr="00043A1E">
        <w:rPr>
          <w:rFonts w:ascii="Times New Roman" w:hAnsi="Times New Roman"/>
          <w:sz w:val="22"/>
          <w:szCs w:val="22"/>
        </w:rPr>
        <w:t xml:space="preserve"> </w:t>
      </w:r>
      <w:r w:rsidRPr="00761EF3">
        <w:rPr>
          <w:rFonts w:ascii="Times New Roman" w:hAnsi="Times New Roman"/>
          <w:sz w:val="22"/>
          <w:szCs w:val="22"/>
        </w:rPr>
        <w:t>kartā</w:t>
      </w:r>
      <w:r w:rsidRPr="00043A1E">
        <w:rPr>
          <w:rFonts w:ascii="Times New Roman" w:hAnsi="Times New Roman"/>
          <w:sz w:val="22"/>
          <w:szCs w:val="22"/>
        </w:rPr>
        <w:t xml:space="preserve"> </w:t>
      </w:r>
      <w:r w:rsidRPr="00761EF3">
        <w:rPr>
          <w:rFonts w:ascii="Times New Roman" w:hAnsi="Times New Roman"/>
          <w:sz w:val="22"/>
          <w:szCs w:val="22"/>
        </w:rPr>
        <w:t>karaṇaṃ</w:t>
      </w:r>
      <w:r w:rsidRPr="00043A1E">
        <w:rPr>
          <w:rFonts w:ascii="Times New Roman" w:hAnsi="Times New Roman"/>
          <w:sz w:val="22"/>
          <w:szCs w:val="22"/>
        </w:rPr>
        <w:t xml:space="preserve"> </w:t>
      </w:r>
      <w:r w:rsidRPr="00761EF3">
        <w:rPr>
          <w:rFonts w:ascii="Times New Roman" w:hAnsi="Times New Roman"/>
          <w:sz w:val="22"/>
          <w:szCs w:val="22"/>
        </w:rPr>
        <w:t>ca</w:t>
      </w:r>
      <w:r w:rsidRPr="00043A1E">
        <w:rPr>
          <w:rFonts w:ascii="Times New Roman" w:hAnsi="Times New Roman"/>
          <w:sz w:val="22"/>
          <w:szCs w:val="22"/>
        </w:rPr>
        <w:t xml:space="preserve"> </w:t>
      </w:r>
      <w:r w:rsidRPr="00761EF3">
        <w:rPr>
          <w:rFonts w:ascii="Times New Roman" w:hAnsi="Times New Roman"/>
          <w:sz w:val="22"/>
          <w:szCs w:val="22"/>
        </w:rPr>
        <w:t>na</w:t>
      </w:r>
      <w:r w:rsidRPr="00043A1E">
        <w:rPr>
          <w:rFonts w:ascii="Times New Roman" w:hAnsi="Times New Roman"/>
          <w:sz w:val="22"/>
          <w:szCs w:val="22"/>
        </w:rPr>
        <w:t xml:space="preserve"> </w:t>
      </w:r>
      <w:r w:rsidRPr="00761EF3">
        <w:rPr>
          <w:rFonts w:ascii="Times New Roman" w:hAnsi="Times New Roman"/>
          <w:sz w:val="22"/>
          <w:szCs w:val="22"/>
        </w:rPr>
        <w:t>vidyate</w:t>
      </w:r>
      <w:r w:rsidRPr="00043A1E">
        <w:rPr>
          <w:rFonts w:ascii="Times New Roman" w:hAnsi="Times New Roman"/>
          <w:sz w:val="22"/>
          <w:szCs w:val="22"/>
        </w:rPr>
        <w:t xml:space="preserve"> //</w:t>
      </w:r>
    </w:p>
    <w:p w:rsidR="00157EF6" w:rsidRPr="00043A1E" w:rsidRDefault="00157EF6" w:rsidP="00AA120F">
      <w:pPr>
        <w:pStyle w:val="a5"/>
        <w:ind w:leftChars="335" w:left="804"/>
        <w:jc w:val="both"/>
        <w:rPr>
          <w:rFonts w:eastAsia="標楷體"/>
          <w:szCs w:val="22"/>
          <w:lang w:eastAsia="ja-JP"/>
        </w:rPr>
      </w:pPr>
      <w:r w:rsidRPr="00043A1E">
        <w:rPr>
          <w:rFonts w:eastAsia="標楷體"/>
          <w:szCs w:val="22"/>
          <w:lang w:eastAsia="ja-JP"/>
        </w:rPr>
        <w:t>原因が存在しないならば，行為の結果も，行為の原因も，存在しない。それ</w:t>
      </w:r>
      <w:r>
        <w:rPr>
          <w:rFonts w:eastAsia="標楷體"/>
          <w:szCs w:val="22"/>
          <w:lang w:eastAsia="ja-JP"/>
        </w:rPr>
        <w:t>（</w:t>
      </w:r>
      <w:r w:rsidRPr="00043A1E">
        <w:rPr>
          <w:rFonts w:eastAsia="標楷體"/>
          <w:szCs w:val="22"/>
          <w:lang w:eastAsia="ja-JP"/>
        </w:rPr>
        <w:t>行為の結果</w:t>
      </w:r>
      <w:r>
        <w:rPr>
          <w:rFonts w:eastAsia="標楷體" w:hint="eastAsia"/>
          <w:szCs w:val="22"/>
          <w:lang w:eastAsia="ja-JP"/>
        </w:rPr>
        <w:t>）</w:t>
      </w:r>
      <w:r w:rsidRPr="00043A1E">
        <w:rPr>
          <w:rFonts w:eastAsia="標楷體"/>
          <w:szCs w:val="22"/>
          <w:lang w:eastAsia="ja-JP"/>
        </w:rPr>
        <w:t>が存在しないならば，</w:t>
      </w:r>
      <w:r w:rsidRPr="00043A1E">
        <w:rPr>
          <w:rFonts w:eastAsia="標楷體"/>
          <w:b/>
          <w:szCs w:val="22"/>
          <w:lang w:eastAsia="ja-JP"/>
        </w:rPr>
        <w:t>作用</w:t>
      </w:r>
      <w:r w:rsidRPr="00043A1E">
        <w:rPr>
          <w:rFonts w:eastAsia="標楷體"/>
          <w:szCs w:val="22"/>
          <w:lang w:eastAsia="ja-JP"/>
        </w:rPr>
        <w:t>も，</w:t>
      </w:r>
      <w:r w:rsidRPr="00043A1E">
        <w:rPr>
          <w:rFonts w:eastAsia="標楷體"/>
          <w:b/>
          <w:szCs w:val="22"/>
          <w:lang w:eastAsia="ja-JP"/>
        </w:rPr>
        <w:t>行為主体</w:t>
      </w:r>
      <w:r w:rsidRPr="00043A1E">
        <w:rPr>
          <w:rFonts w:eastAsia="標楷體"/>
          <w:szCs w:val="22"/>
          <w:lang w:eastAsia="ja-JP"/>
        </w:rPr>
        <w:t>も，</w:t>
      </w:r>
      <w:r w:rsidRPr="00043A1E">
        <w:rPr>
          <w:rFonts w:eastAsia="標楷體"/>
          <w:b/>
          <w:szCs w:val="22"/>
          <w:lang w:eastAsia="ja-JP"/>
        </w:rPr>
        <w:t>手段</w:t>
      </w:r>
      <w:r w:rsidRPr="00043A1E">
        <w:rPr>
          <w:rFonts w:eastAsia="標楷體"/>
          <w:szCs w:val="22"/>
          <w:lang w:eastAsia="ja-JP"/>
        </w:rPr>
        <w:t>も存在しないことになる。</w:t>
      </w:r>
    </w:p>
    <w:p w:rsidR="00157EF6" w:rsidRPr="00043A1E" w:rsidRDefault="00157EF6" w:rsidP="00AA120F">
      <w:pPr>
        <w:pStyle w:val="a5"/>
        <w:ind w:leftChars="105" w:left="791" w:hangingChars="245" w:hanging="539"/>
        <w:jc w:val="both"/>
        <w:rPr>
          <w:szCs w:val="22"/>
        </w:rPr>
      </w:pPr>
      <w:r w:rsidRPr="00043A1E">
        <w:rPr>
          <w:szCs w:val="22"/>
        </w:rPr>
        <w:t>（</w:t>
      </w:r>
      <w:r w:rsidRPr="00761EF3">
        <w:rPr>
          <w:szCs w:val="22"/>
        </w:rPr>
        <w:t>3</w:t>
      </w:r>
      <w:r w:rsidRPr="00043A1E">
        <w:rPr>
          <w:szCs w:val="22"/>
        </w:rPr>
        <w:t>）印順</w:t>
      </w:r>
      <w:r w:rsidRPr="00043A1E">
        <w:rPr>
          <w:rFonts w:hint="eastAsia"/>
          <w:szCs w:val="22"/>
        </w:rPr>
        <w:t>法師</w:t>
      </w:r>
      <w:r w:rsidRPr="00043A1E">
        <w:rPr>
          <w:szCs w:val="22"/>
        </w:rPr>
        <w:t>，《中觀論頌講記》</w:t>
      </w:r>
      <w:r w:rsidRPr="00043A1E">
        <w:rPr>
          <w:rFonts w:hint="eastAsia"/>
          <w:szCs w:val="22"/>
        </w:rPr>
        <w:t>，</w:t>
      </w:r>
      <w:r w:rsidRPr="00761EF3">
        <w:rPr>
          <w:szCs w:val="22"/>
        </w:rPr>
        <w:t>pp</w:t>
      </w:r>
      <w:r w:rsidRPr="00043A1E">
        <w:rPr>
          <w:szCs w:val="22"/>
        </w:rPr>
        <w:t>.</w:t>
      </w:r>
      <w:r w:rsidRPr="00761EF3">
        <w:rPr>
          <w:szCs w:val="22"/>
        </w:rPr>
        <w:t>176</w:t>
      </w:r>
      <w:r w:rsidRPr="00043A1E">
        <w:rPr>
          <w:szCs w:val="22"/>
        </w:rPr>
        <w:t>-</w:t>
      </w:r>
      <w:r w:rsidRPr="00761EF3">
        <w:rPr>
          <w:szCs w:val="22"/>
        </w:rPr>
        <w:t>177</w:t>
      </w:r>
      <w:r w:rsidRPr="00043A1E">
        <w:rPr>
          <w:szCs w:val="22"/>
        </w:rPr>
        <w:t>：</w:t>
      </w:r>
    </w:p>
    <w:p w:rsidR="00157EF6" w:rsidRPr="00043A1E" w:rsidRDefault="00157EF6" w:rsidP="00AA120F">
      <w:pPr>
        <w:pStyle w:val="a5"/>
        <w:ind w:leftChars="335" w:left="804"/>
        <w:jc w:val="both"/>
        <w:rPr>
          <w:rFonts w:eastAsia="標楷體"/>
          <w:szCs w:val="22"/>
        </w:rPr>
      </w:pPr>
      <w:r w:rsidRPr="00043A1E">
        <w:rPr>
          <w:rFonts w:eastAsia="標楷體"/>
          <w:szCs w:val="22"/>
        </w:rPr>
        <w:t>如作者及所作業，不從因緣有，這又有什麼過失呢？這過失太大了！假定作者、作業「墮」在「無因」中，無因，根本就不能成立。而且，作者是作者，作業是作業，二者既「無因」，那當然也就「無果」。真的因果都不可得了，那還有什麼呢？也就</w:t>
      </w:r>
      <w:r w:rsidRPr="00043A1E">
        <w:rPr>
          <w:rFonts w:eastAsia="標楷體"/>
          <w:b/>
          <w:bCs/>
          <w:szCs w:val="22"/>
        </w:rPr>
        <w:t>「無作無作者，無所用作法」了。無作是沒有作業，也可說沒有作果的動作；無作者，是沒有能造作的我；無所用作法，是說所作的資具也不可得。</w:t>
      </w:r>
    </w:p>
  </w:footnote>
  <w:footnote w:id="755">
    <w:p w:rsidR="00E165BC" w:rsidRPr="00E165BC" w:rsidRDefault="00E165BC" w:rsidP="00E165BC">
      <w:pPr>
        <w:pStyle w:val="a5"/>
        <w:spacing w:line="0" w:lineRule="atLeast"/>
        <w:jc w:val="both"/>
        <w:rPr>
          <w:color w:val="FF0000"/>
          <w:szCs w:val="22"/>
          <w:highlight w:val="yellow"/>
        </w:rPr>
      </w:pPr>
      <w:r w:rsidRPr="00E165BC">
        <w:rPr>
          <w:rStyle w:val="a6"/>
          <w:color w:val="FF0000"/>
          <w:szCs w:val="22"/>
          <w:highlight w:val="yellow"/>
        </w:rPr>
        <w:footnoteRef/>
      </w:r>
      <w:r w:rsidRPr="00043A1E">
        <w:rPr>
          <w:szCs w:val="22"/>
        </w:rPr>
        <w:t xml:space="preserve"> </w:t>
      </w:r>
      <w:r w:rsidRPr="00E165BC">
        <w:rPr>
          <w:rFonts w:hint="eastAsia"/>
          <w:color w:val="FF0000"/>
          <w:szCs w:val="22"/>
          <w:highlight w:val="yellow"/>
        </w:rPr>
        <w:t>重編</w:t>
      </w:r>
      <w:r w:rsidRPr="00E165BC">
        <w:rPr>
          <w:color w:val="FF0000"/>
          <w:szCs w:val="22"/>
          <w:highlight w:val="yellow"/>
        </w:rPr>
        <w:t>案：此處的「</w:t>
      </w:r>
      <w:r w:rsidRPr="005545B6">
        <w:rPr>
          <w:rFonts w:ascii="標楷體" w:eastAsia="標楷體" w:hAnsi="標楷體" w:hint="eastAsia"/>
          <w:color w:val="FF0000"/>
          <w:szCs w:val="22"/>
          <w:highlight w:val="yellow"/>
        </w:rPr>
        <w:t>（</w:t>
      </w:r>
      <w:r w:rsidRPr="005545B6">
        <w:rPr>
          <w:rFonts w:ascii="標楷體" w:eastAsia="標楷體" w:hAnsi="標楷體"/>
          <w:color w:val="FF0000"/>
          <w:szCs w:val="22"/>
          <w:highlight w:val="yellow"/>
        </w:rPr>
        <w:t>作</w:t>
      </w:r>
      <w:r w:rsidRPr="005545B6">
        <w:rPr>
          <w:rFonts w:ascii="標楷體" w:eastAsia="標楷體" w:hAnsi="標楷體" w:hint="eastAsia"/>
          <w:color w:val="FF0000"/>
          <w:szCs w:val="22"/>
          <w:highlight w:val="yellow"/>
        </w:rPr>
        <w:t>）業</w:t>
      </w:r>
      <w:r w:rsidRPr="00E165BC">
        <w:rPr>
          <w:color w:val="FF0000"/>
          <w:szCs w:val="22"/>
          <w:highlight w:val="yellow"/>
        </w:rPr>
        <w:t>」</w:t>
      </w:r>
      <w:r w:rsidRPr="00E165BC">
        <w:rPr>
          <w:rFonts w:hint="eastAsia"/>
          <w:color w:val="FF0000"/>
          <w:szCs w:val="22"/>
          <w:highlight w:val="yellow"/>
        </w:rPr>
        <w:t>，</w:t>
      </w:r>
      <w:r w:rsidRPr="00E165BC">
        <w:rPr>
          <w:color w:val="FF0000"/>
          <w:szCs w:val="22"/>
          <w:highlight w:val="yellow"/>
        </w:rPr>
        <w:t>若配合</w:t>
      </w:r>
      <w:r w:rsidRPr="00E165BC">
        <w:rPr>
          <w:rFonts w:hint="eastAsia"/>
          <w:color w:val="FF0000"/>
          <w:szCs w:val="22"/>
          <w:highlight w:val="yellow"/>
        </w:rPr>
        <w:t>前引〈青目釋〉</w:t>
      </w:r>
      <w:r w:rsidRPr="00E165BC">
        <w:rPr>
          <w:color w:val="FF0000"/>
          <w:szCs w:val="22"/>
          <w:highlight w:val="yellow"/>
        </w:rPr>
        <w:t>，</w:t>
      </w:r>
      <w:r w:rsidRPr="00E165BC">
        <w:rPr>
          <w:rFonts w:hint="eastAsia"/>
          <w:color w:val="FF0000"/>
          <w:szCs w:val="22"/>
          <w:highlight w:val="yellow"/>
        </w:rPr>
        <w:t>應言</w:t>
      </w:r>
      <w:r w:rsidRPr="00E165BC">
        <w:rPr>
          <w:color w:val="FF0000"/>
          <w:szCs w:val="22"/>
          <w:highlight w:val="yellow"/>
        </w:rPr>
        <w:t>「</w:t>
      </w:r>
      <w:r w:rsidRPr="00E165BC">
        <w:rPr>
          <w:rFonts w:ascii="標楷體" w:eastAsia="標楷體" w:hAnsi="標楷體"/>
          <w:color w:val="FF0000"/>
          <w:szCs w:val="22"/>
          <w:highlight w:val="yellow"/>
        </w:rPr>
        <w:t>作</w:t>
      </w:r>
      <w:r w:rsidRPr="00E165BC">
        <w:rPr>
          <w:rFonts w:hint="eastAsia"/>
          <w:color w:val="FF0000"/>
          <w:szCs w:val="22"/>
          <w:highlight w:val="yellow"/>
        </w:rPr>
        <w:t>（業）</w:t>
      </w:r>
      <w:r w:rsidRPr="00E165BC">
        <w:rPr>
          <w:color w:val="FF0000"/>
          <w:szCs w:val="22"/>
          <w:highlight w:val="yellow"/>
        </w:rPr>
        <w:t>」。</w:t>
      </w:r>
    </w:p>
  </w:footnote>
  <w:footnote w:id="756">
    <w:p w:rsidR="00E165BC" w:rsidRPr="00043A1E" w:rsidRDefault="00E165BC" w:rsidP="00E165BC">
      <w:pPr>
        <w:pStyle w:val="a5"/>
        <w:spacing w:line="0" w:lineRule="atLeast"/>
        <w:ind w:left="693" w:hangingChars="315" w:hanging="693"/>
        <w:jc w:val="both"/>
        <w:rPr>
          <w:szCs w:val="22"/>
        </w:rPr>
      </w:pPr>
      <w:r w:rsidRPr="00E165BC">
        <w:rPr>
          <w:rStyle w:val="a6"/>
          <w:color w:val="FF0000"/>
          <w:szCs w:val="22"/>
          <w:highlight w:val="yellow"/>
        </w:rPr>
        <w:footnoteRef/>
      </w:r>
      <w:r w:rsidRPr="00E165BC">
        <w:rPr>
          <w:rFonts w:hint="eastAsia"/>
          <w:color w:val="FF0000"/>
          <w:szCs w:val="22"/>
        </w:rPr>
        <w:t xml:space="preserve"> </w:t>
      </w:r>
      <w:r w:rsidRPr="00E165BC">
        <w:rPr>
          <w:rFonts w:hint="eastAsia"/>
          <w:color w:val="FF0000"/>
          <w:szCs w:val="22"/>
          <w:highlight w:val="yellow"/>
        </w:rPr>
        <w:t>重編</w:t>
      </w:r>
      <w:r w:rsidRPr="00E165BC">
        <w:rPr>
          <w:color w:val="FF0000"/>
          <w:szCs w:val="22"/>
          <w:highlight w:val="yellow"/>
        </w:rPr>
        <w:t>案：此處的「</w:t>
      </w:r>
      <w:r w:rsidRPr="005545B6">
        <w:rPr>
          <w:rFonts w:ascii="標楷體" w:eastAsia="標楷體" w:hAnsi="標楷體" w:hint="eastAsia"/>
          <w:color w:val="FF0000"/>
          <w:szCs w:val="22"/>
          <w:highlight w:val="yellow"/>
        </w:rPr>
        <w:t>力</w:t>
      </w:r>
      <w:r w:rsidRPr="00E165BC">
        <w:rPr>
          <w:color w:val="FF0000"/>
          <w:szCs w:val="22"/>
          <w:highlight w:val="yellow"/>
        </w:rPr>
        <w:t>」</w:t>
      </w:r>
      <w:r w:rsidRPr="00E165BC">
        <w:rPr>
          <w:rFonts w:hint="eastAsia"/>
          <w:color w:val="FF0000"/>
          <w:szCs w:val="22"/>
          <w:highlight w:val="yellow"/>
        </w:rPr>
        <w:t>，</w:t>
      </w:r>
      <w:r w:rsidRPr="00E165BC">
        <w:rPr>
          <w:color w:val="FF0000"/>
          <w:szCs w:val="22"/>
          <w:highlight w:val="yellow"/>
        </w:rPr>
        <w:t>若配合</w:t>
      </w:r>
      <w:r>
        <w:rPr>
          <w:rFonts w:hint="eastAsia"/>
          <w:color w:val="FF0000"/>
          <w:szCs w:val="22"/>
          <w:highlight w:val="yellow"/>
        </w:rPr>
        <w:t>上文</w:t>
      </w:r>
      <w:r w:rsidRPr="00E165BC">
        <w:rPr>
          <w:color w:val="FF0000"/>
          <w:szCs w:val="22"/>
          <w:highlight w:val="yellow"/>
        </w:rPr>
        <w:t>，</w:t>
      </w:r>
      <w:r>
        <w:rPr>
          <w:rFonts w:hint="eastAsia"/>
          <w:color w:val="FF0000"/>
          <w:szCs w:val="22"/>
          <w:highlight w:val="yellow"/>
        </w:rPr>
        <w:t>即指</w:t>
      </w:r>
      <w:r w:rsidRPr="00E165BC">
        <w:rPr>
          <w:color w:val="FF0000"/>
          <w:szCs w:val="22"/>
          <w:highlight w:val="yellow"/>
        </w:rPr>
        <w:t>「</w:t>
      </w:r>
      <w:r w:rsidRPr="005545B6">
        <w:rPr>
          <w:rFonts w:ascii="標楷體" w:eastAsia="標楷體" w:hAnsi="標楷體" w:hint="eastAsia"/>
          <w:color w:val="FF0000"/>
          <w:szCs w:val="22"/>
          <w:highlight w:val="yellow"/>
        </w:rPr>
        <w:t>用</w:t>
      </w:r>
      <w:r w:rsidRPr="00E165BC">
        <w:rPr>
          <w:color w:val="FF0000"/>
          <w:szCs w:val="22"/>
          <w:highlight w:val="yellow"/>
        </w:rPr>
        <w:t>」。</w:t>
      </w:r>
    </w:p>
  </w:footnote>
  <w:footnote w:id="757">
    <w:p w:rsidR="00157EF6" w:rsidRPr="00043A1E" w:rsidRDefault="00157EF6" w:rsidP="00E165BC">
      <w:pPr>
        <w:pStyle w:val="a5"/>
        <w:spacing w:line="0" w:lineRule="atLeast"/>
        <w:ind w:left="693" w:hangingChars="315" w:hanging="693"/>
        <w:jc w:val="both"/>
        <w:rPr>
          <w:szCs w:val="22"/>
        </w:rPr>
      </w:pPr>
      <w:r w:rsidRPr="00043A1E">
        <w:rPr>
          <w:rStyle w:val="a6"/>
          <w:szCs w:val="22"/>
        </w:rPr>
        <w:footnoteRef/>
      </w:r>
      <w:r w:rsidRPr="00043A1E">
        <w:rPr>
          <w:szCs w:val="22"/>
        </w:rPr>
        <w:t xml:space="preserve"> </w:t>
      </w:r>
      <w:r w:rsidRPr="00043A1E">
        <w:rPr>
          <w:szCs w:val="22"/>
        </w:rPr>
        <w:t>案：此處的「</w:t>
      </w:r>
      <w:r w:rsidRPr="005545B6">
        <w:rPr>
          <w:rFonts w:ascii="標楷體" w:eastAsia="標楷體" w:hAnsi="標楷體"/>
          <w:b/>
          <w:szCs w:val="22"/>
        </w:rPr>
        <w:t>作用</w:t>
      </w:r>
      <w:r w:rsidRPr="00043A1E">
        <w:rPr>
          <w:szCs w:val="22"/>
        </w:rPr>
        <w:t>」</w:t>
      </w:r>
      <w:r w:rsidR="00E165BC" w:rsidRPr="00E165BC">
        <w:rPr>
          <w:rFonts w:hint="eastAsia"/>
          <w:color w:val="FF0000"/>
          <w:szCs w:val="22"/>
          <w:highlight w:val="yellow"/>
        </w:rPr>
        <w:t>，</w:t>
      </w:r>
      <w:r w:rsidRPr="00043A1E">
        <w:rPr>
          <w:szCs w:val="22"/>
        </w:rPr>
        <w:t>若配合</w:t>
      </w:r>
      <w:r w:rsidR="00E165BC" w:rsidRPr="00E165BC">
        <w:rPr>
          <w:rFonts w:hint="eastAsia"/>
          <w:color w:val="FF0000"/>
          <w:szCs w:val="22"/>
          <w:highlight w:val="yellow"/>
        </w:rPr>
        <w:t>〈青目釋〉</w:t>
      </w:r>
      <w:r w:rsidRPr="00043A1E">
        <w:rPr>
          <w:szCs w:val="22"/>
        </w:rPr>
        <w:t>之「</w:t>
      </w:r>
      <w:r w:rsidRPr="00E165BC">
        <w:rPr>
          <w:rFonts w:ascii="標楷體" w:eastAsia="標楷體" w:hAnsi="標楷體"/>
          <w:szCs w:val="22"/>
        </w:rPr>
        <w:t>作</w:t>
      </w:r>
      <w:r w:rsidRPr="00043A1E">
        <w:rPr>
          <w:szCs w:val="22"/>
        </w:rPr>
        <w:t>（業）」、「</w:t>
      </w:r>
      <w:r w:rsidRPr="00E165BC">
        <w:rPr>
          <w:rFonts w:ascii="標楷體" w:eastAsia="標楷體" w:hAnsi="標楷體"/>
          <w:szCs w:val="22"/>
        </w:rPr>
        <w:t>作者</w:t>
      </w:r>
      <w:r w:rsidRPr="00043A1E">
        <w:rPr>
          <w:szCs w:val="22"/>
        </w:rPr>
        <w:t>」、「</w:t>
      </w:r>
      <w:r w:rsidRPr="00E165BC">
        <w:rPr>
          <w:rFonts w:ascii="標楷體" w:eastAsia="標楷體" w:hAnsi="標楷體"/>
          <w:b/>
          <w:szCs w:val="22"/>
        </w:rPr>
        <w:t>作法</w:t>
      </w:r>
      <w:r w:rsidRPr="00043A1E">
        <w:rPr>
          <w:szCs w:val="22"/>
        </w:rPr>
        <w:t>」三者的話，</w:t>
      </w:r>
      <w:r w:rsidR="00E165BC" w:rsidRPr="00E165BC">
        <w:rPr>
          <w:rFonts w:hint="eastAsia"/>
          <w:color w:val="FF0000"/>
          <w:szCs w:val="22"/>
          <w:highlight w:val="yellow"/>
        </w:rPr>
        <w:t>應言</w:t>
      </w:r>
      <w:r w:rsidRPr="00043A1E">
        <w:rPr>
          <w:szCs w:val="22"/>
        </w:rPr>
        <w:t>「</w:t>
      </w:r>
      <w:r w:rsidRPr="00E165BC">
        <w:rPr>
          <w:rFonts w:ascii="標楷體" w:eastAsia="標楷體" w:hAnsi="標楷體"/>
          <w:b/>
          <w:szCs w:val="22"/>
        </w:rPr>
        <w:t>作法</w:t>
      </w:r>
      <w:r w:rsidRPr="00043A1E">
        <w:rPr>
          <w:szCs w:val="22"/>
        </w:rPr>
        <w:t>」。</w:t>
      </w:r>
    </w:p>
  </w:footnote>
  <w:footnote w:id="758">
    <w:p w:rsidR="00157EF6" w:rsidRPr="00043A1E" w:rsidRDefault="00157EF6" w:rsidP="00AA120F">
      <w:pPr>
        <w:snapToGrid w:val="0"/>
        <w:jc w:val="both"/>
        <w:rPr>
          <w:rFonts w:ascii="Times New Roman" w:hAnsi="Times New Roman"/>
          <w:sz w:val="22"/>
          <w:szCs w:val="22"/>
        </w:rPr>
      </w:pPr>
      <w:r w:rsidRPr="00043A1E">
        <w:rPr>
          <w:rStyle w:val="a6"/>
          <w:rFonts w:ascii="Times New Roman" w:hAnsi="Times New Roman"/>
          <w:sz w:val="22"/>
          <w:szCs w:val="22"/>
        </w:rPr>
        <w:footnoteRef/>
      </w:r>
      <w:r w:rsidRPr="00043A1E">
        <w:rPr>
          <w:rFonts w:ascii="Times New Roman" w:hAnsi="Times New Roman"/>
          <w:sz w:val="22"/>
          <w:szCs w:val="22"/>
        </w:rPr>
        <w:t xml:space="preserve"> </w:t>
      </w:r>
      <w:r w:rsidRPr="00043A1E">
        <w:rPr>
          <w:rFonts w:ascii="Times New Roman" w:hAnsi="Times New Roman"/>
          <w:sz w:val="22"/>
          <w:szCs w:val="22"/>
        </w:rPr>
        <w:t>形：</w:t>
      </w:r>
      <w:r w:rsidR="00B25250">
        <w:rPr>
          <w:rFonts w:ascii="Times New Roman" w:hAnsi="Times New Roman" w:hint="eastAsia"/>
          <w:sz w:val="22"/>
          <w:szCs w:val="22"/>
        </w:rPr>
        <w:t>11.</w:t>
      </w:r>
      <w:r w:rsidRPr="00043A1E">
        <w:rPr>
          <w:rFonts w:ascii="Times New Roman" w:hAnsi="Times New Roman"/>
          <w:sz w:val="22"/>
          <w:szCs w:val="22"/>
        </w:rPr>
        <w:t>比較，對照。（《漢語大詞典》（三）</w:t>
      </w:r>
      <w:r w:rsidRPr="00043A1E">
        <w:rPr>
          <w:rFonts w:ascii="Times New Roman" w:hAnsi="Times New Roman" w:hint="eastAsia"/>
          <w:sz w:val="22"/>
          <w:szCs w:val="22"/>
        </w:rPr>
        <w:t>，</w:t>
      </w:r>
      <w:r w:rsidRPr="00761EF3">
        <w:rPr>
          <w:rFonts w:ascii="Times New Roman" w:hAnsi="Times New Roman"/>
          <w:sz w:val="22"/>
          <w:szCs w:val="22"/>
        </w:rPr>
        <w:t>p</w:t>
      </w:r>
      <w:r w:rsidRPr="00043A1E">
        <w:rPr>
          <w:rFonts w:ascii="Times New Roman" w:hAnsi="Times New Roman"/>
          <w:sz w:val="22"/>
          <w:szCs w:val="22"/>
        </w:rPr>
        <w:t>.</w:t>
      </w:r>
      <w:r w:rsidRPr="00761EF3">
        <w:rPr>
          <w:rFonts w:ascii="Times New Roman" w:hAnsi="Times New Roman"/>
          <w:sz w:val="22"/>
          <w:szCs w:val="22"/>
        </w:rPr>
        <w:t>1112</w:t>
      </w:r>
      <w:r w:rsidRPr="00043A1E">
        <w:rPr>
          <w:rFonts w:ascii="Times New Roman" w:hAnsi="Times New Roman"/>
          <w:sz w:val="22"/>
          <w:szCs w:val="22"/>
        </w:rPr>
        <w:t>）</w:t>
      </w:r>
    </w:p>
  </w:footnote>
  <w:footnote w:id="759">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《中論》卷</w:t>
      </w:r>
      <w:r w:rsidRPr="00761EF3">
        <w:rPr>
          <w:szCs w:val="22"/>
        </w:rPr>
        <w:t>2</w:t>
      </w:r>
      <w:r w:rsidRPr="00043A1E">
        <w:rPr>
          <w:szCs w:val="22"/>
        </w:rPr>
        <w:t>〈</w:t>
      </w:r>
      <w:r w:rsidRPr="00761EF3">
        <w:rPr>
          <w:szCs w:val="22"/>
        </w:rPr>
        <w:t>8</w:t>
      </w:r>
      <w:r w:rsidRPr="00043A1E">
        <w:rPr>
          <w:szCs w:val="22"/>
        </w:rPr>
        <w:t xml:space="preserve"> </w:t>
      </w:r>
      <w:r w:rsidRPr="00043A1E">
        <w:rPr>
          <w:szCs w:val="22"/>
        </w:rPr>
        <w:t>觀作作者品〉（青目釋）（大正</w:t>
      </w:r>
      <w:r w:rsidRPr="00761EF3">
        <w:rPr>
          <w:szCs w:val="22"/>
        </w:rPr>
        <w:t>30</w:t>
      </w:r>
      <w:r w:rsidRPr="00043A1E">
        <w:rPr>
          <w:szCs w:val="22"/>
        </w:rPr>
        <w:t>，</w:t>
      </w:r>
      <w:r w:rsidRPr="00761EF3">
        <w:rPr>
          <w:szCs w:val="22"/>
        </w:rPr>
        <w:t>12b6</w:t>
      </w:r>
      <w:r w:rsidRPr="00043A1E">
        <w:rPr>
          <w:szCs w:val="22"/>
        </w:rPr>
        <w:t>-</w:t>
      </w:r>
      <w:r w:rsidRPr="00761EF3">
        <w:rPr>
          <w:szCs w:val="22"/>
        </w:rPr>
        <w:t>7</w:t>
      </w:r>
      <w:r w:rsidRPr="00043A1E">
        <w:rPr>
          <w:szCs w:val="22"/>
        </w:rPr>
        <w:t>）。</w:t>
      </w:r>
    </w:p>
  </w:footnote>
  <w:footnote w:id="760">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008E4805">
        <w:rPr>
          <w:rFonts w:hint="eastAsia"/>
          <w:szCs w:val="22"/>
        </w:rPr>
        <w:t>（</w:t>
      </w:r>
      <w:r w:rsidR="008E4805">
        <w:rPr>
          <w:rFonts w:hint="eastAsia"/>
          <w:szCs w:val="22"/>
        </w:rPr>
        <w:t>1</w:t>
      </w:r>
      <w:r w:rsidR="008E4805">
        <w:rPr>
          <w:rFonts w:hint="eastAsia"/>
          <w:szCs w:val="22"/>
        </w:rPr>
        <w:t>）</w:t>
      </w:r>
      <w:r w:rsidRPr="00043A1E">
        <w:rPr>
          <w:szCs w:val="22"/>
        </w:rPr>
        <w:t>《順正理論》卷</w:t>
      </w:r>
      <w:r w:rsidRPr="00761EF3">
        <w:rPr>
          <w:szCs w:val="22"/>
        </w:rPr>
        <w:t>52</w:t>
      </w:r>
      <w:r w:rsidRPr="00043A1E">
        <w:rPr>
          <w:szCs w:val="22"/>
        </w:rPr>
        <w:t>〈</w:t>
      </w:r>
      <w:r w:rsidRPr="00761EF3">
        <w:rPr>
          <w:szCs w:val="22"/>
        </w:rPr>
        <w:t>5</w:t>
      </w:r>
      <w:r w:rsidRPr="00043A1E">
        <w:rPr>
          <w:rStyle w:val="headname1"/>
          <w:b w:val="0"/>
          <w:color w:val="auto"/>
          <w:sz w:val="22"/>
          <w:szCs w:val="22"/>
        </w:rPr>
        <w:t xml:space="preserve"> </w:t>
      </w:r>
      <w:r w:rsidRPr="00043A1E">
        <w:rPr>
          <w:rStyle w:val="headname1"/>
          <w:b w:val="0"/>
          <w:color w:val="auto"/>
          <w:sz w:val="22"/>
          <w:szCs w:val="22"/>
        </w:rPr>
        <w:t>辯隨眠品</w:t>
      </w:r>
      <w:r w:rsidRPr="00043A1E">
        <w:rPr>
          <w:szCs w:val="22"/>
        </w:rPr>
        <w:t>〉（大正</w:t>
      </w:r>
      <w:r w:rsidRPr="00761EF3">
        <w:rPr>
          <w:szCs w:val="22"/>
        </w:rPr>
        <w:t>29</w:t>
      </w:r>
      <w:r w:rsidRPr="00043A1E">
        <w:rPr>
          <w:szCs w:val="22"/>
        </w:rPr>
        <w:t>，</w:t>
      </w:r>
      <w:r w:rsidRPr="00761EF3">
        <w:rPr>
          <w:szCs w:val="22"/>
        </w:rPr>
        <w:t>631c</w:t>
      </w:r>
      <w:r w:rsidR="008E4805">
        <w:rPr>
          <w:rFonts w:eastAsia="標楷體" w:hint="eastAsia"/>
          <w:color w:val="FF0000"/>
          <w:szCs w:val="22"/>
          <w:highlight w:val="yellow"/>
        </w:rPr>
        <w:t>5</w:t>
      </w:r>
      <w:r w:rsidR="0084401B" w:rsidRPr="0084401B">
        <w:rPr>
          <w:rFonts w:eastAsia="標楷體" w:hint="eastAsia"/>
          <w:color w:val="FF0000"/>
          <w:szCs w:val="22"/>
          <w:highlight w:val="yellow"/>
        </w:rPr>
        <w:t>-14</w:t>
      </w:r>
      <w:r w:rsidRPr="00043A1E">
        <w:rPr>
          <w:szCs w:val="22"/>
        </w:rPr>
        <w:t>）：</w:t>
      </w:r>
    </w:p>
    <w:p w:rsidR="008E4805" w:rsidRPr="008E4805" w:rsidRDefault="008E4805" w:rsidP="008E4805">
      <w:pPr>
        <w:pStyle w:val="a5"/>
        <w:ind w:leftChars="335" w:left="804"/>
        <w:jc w:val="both"/>
        <w:rPr>
          <w:rFonts w:eastAsia="標楷體"/>
          <w:color w:val="FF0000"/>
          <w:szCs w:val="22"/>
          <w:highlight w:val="yellow"/>
        </w:rPr>
      </w:pPr>
      <w:r w:rsidRPr="008E4805">
        <w:rPr>
          <w:rFonts w:eastAsia="標楷體" w:hint="eastAsia"/>
          <w:color w:val="FF0000"/>
          <w:szCs w:val="22"/>
          <w:highlight w:val="yellow"/>
        </w:rPr>
        <w:t>諸法勢力總有二種：一名「作用」，二謂「功能」。</w:t>
      </w:r>
    </w:p>
    <w:p w:rsidR="00157EF6" w:rsidRDefault="008E4805" w:rsidP="008E4805">
      <w:pPr>
        <w:pStyle w:val="a5"/>
        <w:ind w:leftChars="335" w:left="804"/>
        <w:jc w:val="both"/>
        <w:rPr>
          <w:rFonts w:eastAsia="標楷體"/>
          <w:color w:val="FF0000"/>
          <w:szCs w:val="22"/>
        </w:rPr>
      </w:pPr>
      <w:r w:rsidRPr="008E4805">
        <w:rPr>
          <w:rFonts w:eastAsia="標楷體" w:hint="eastAsia"/>
          <w:color w:val="FF0000"/>
          <w:szCs w:val="22"/>
          <w:highlight w:val="yellow"/>
        </w:rPr>
        <w:t>「引果功能」名為「作用」，非唯「作用」總攝「功能」，亦有「功能」異於「作用」──且闇中眼見色功能為</w:t>
      </w:r>
      <w:r w:rsidRPr="008E4805">
        <w:rPr>
          <w:rFonts w:eastAsia="標楷體" w:hint="eastAsia"/>
          <w:color w:val="FF0000"/>
          <w:szCs w:val="22"/>
          <w:highlight w:val="yellow"/>
        </w:rPr>
        <w:t>[</w:t>
      </w:r>
      <w:r w:rsidRPr="008E4805">
        <w:rPr>
          <w:rFonts w:eastAsia="標楷體" w:hint="eastAsia"/>
          <w:color w:val="FF0000"/>
          <w:szCs w:val="22"/>
          <w:highlight w:val="yellow"/>
        </w:rPr>
        <w:t>闍</w:t>
      </w:r>
      <w:r w:rsidRPr="008E4805">
        <w:rPr>
          <w:rFonts w:eastAsia="標楷體" w:hint="eastAsia"/>
          <w:color w:val="FF0000"/>
          <w:szCs w:val="22"/>
          <w:highlight w:val="yellow"/>
        </w:rPr>
        <w:t>&gt;</w:t>
      </w:r>
      <w:r w:rsidRPr="008E4805">
        <w:rPr>
          <w:rFonts w:eastAsia="標楷體" w:hint="eastAsia"/>
          <w:color w:val="FF0000"/>
          <w:szCs w:val="22"/>
          <w:highlight w:val="yellow"/>
        </w:rPr>
        <w:t>闇</w:t>
      </w:r>
      <w:r w:rsidRPr="008E4805">
        <w:rPr>
          <w:rFonts w:eastAsia="標楷體" w:hint="eastAsia"/>
          <w:color w:val="FF0000"/>
          <w:szCs w:val="22"/>
          <w:highlight w:val="yellow"/>
        </w:rPr>
        <w:t>]</w:t>
      </w:r>
      <w:r w:rsidRPr="008E4805">
        <w:rPr>
          <w:rFonts w:eastAsia="標楷體" w:hint="eastAsia"/>
          <w:color w:val="FF0000"/>
          <w:szCs w:val="22"/>
          <w:highlight w:val="yellow"/>
        </w:rPr>
        <w:t>所違，非違「作用」，謂有闇障違「見</w:t>
      </w:r>
      <w:r w:rsidRPr="008E4805">
        <w:rPr>
          <w:rFonts w:eastAsia="標楷體" w:hint="eastAsia"/>
          <w:color w:val="FF0000"/>
          <w:szCs w:val="22"/>
          <w:highlight w:val="yellow"/>
          <w:u w:val="wave"/>
        </w:rPr>
        <w:t>功能</w:t>
      </w:r>
      <w:r w:rsidRPr="008E4805">
        <w:rPr>
          <w:rFonts w:eastAsia="標楷體" w:hint="eastAsia"/>
          <w:color w:val="FF0000"/>
          <w:szCs w:val="22"/>
          <w:highlight w:val="yellow"/>
        </w:rPr>
        <w:t>」，故眼闇中不能見色；「引果作用」非闇所違，故眼闇中亦能引果，</w:t>
      </w:r>
      <w:r w:rsidR="0084401B" w:rsidRPr="0084401B">
        <w:rPr>
          <w:rFonts w:eastAsia="標楷體" w:hint="eastAsia"/>
          <w:color w:val="FF0000"/>
          <w:szCs w:val="22"/>
          <w:highlight w:val="yellow"/>
        </w:rPr>
        <w:t>無</w:t>
      </w:r>
      <w:r w:rsidR="00E50E2A" w:rsidRPr="0084401B">
        <w:rPr>
          <w:rFonts w:eastAsia="標楷體" w:hint="eastAsia"/>
          <w:color w:val="FF0000"/>
          <w:szCs w:val="22"/>
          <w:highlight w:val="yellow"/>
        </w:rPr>
        <w:t>「</w:t>
      </w:r>
      <w:r w:rsidR="0084401B" w:rsidRPr="0084401B">
        <w:rPr>
          <w:rFonts w:eastAsia="標楷體" w:hint="eastAsia"/>
          <w:color w:val="FF0000"/>
          <w:szCs w:val="22"/>
          <w:highlight w:val="yellow"/>
        </w:rPr>
        <w:t>現在位</w:t>
      </w:r>
      <w:r w:rsidR="00E50E2A">
        <w:rPr>
          <w:rFonts w:eastAsia="標楷體" w:hint="eastAsia"/>
          <w:color w:val="FF0000"/>
          <w:szCs w:val="22"/>
          <w:highlight w:val="yellow"/>
        </w:rPr>
        <w:t>，『</w:t>
      </w:r>
      <w:r w:rsidR="0084401B" w:rsidRPr="0084401B">
        <w:rPr>
          <w:rFonts w:eastAsia="標楷體" w:hint="eastAsia"/>
          <w:color w:val="FF0000"/>
          <w:szCs w:val="22"/>
          <w:highlight w:val="yellow"/>
        </w:rPr>
        <w:t>作用</w:t>
      </w:r>
      <w:r w:rsidR="00E50E2A">
        <w:rPr>
          <w:rFonts w:eastAsia="標楷體" w:hint="eastAsia"/>
          <w:color w:val="FF0000"/>
          <w:szCs w:val="22"/>
          <w:highlight w:val="yellow"/>
        </w:rPr>
        <w:t>』</w:t>
      </w:r>
      <w:r w:rsidR="0084401B" w:rsidRPr="0084401B">
        <w:rPr>
          <w:rFonts w:eastAsia="標楷體" w:hint="eastAsia"/>
          <w:color w:val="FF0000"/>
          <w:szCs w:val="22"/>
          <w:highlight w:val="yellow"/>
        </w:rPr>
        <w:t>有闕</w:t>
      </w:r>
      <w:r w:rsidR="00E50E2A" w:rsidRPr="0084401B">
        <w:rPr>
          <w:rFonts w:eastAsia="標楷體" w:hint="eastAsia"/>
          <w:color w:val="FF0000"/>
          <w:szCs w:val="22"/>
          <w:highlight w:val="yellow"/>
        </w:rPr>
        <w:t>」</w:t>
      </w:r>
      <w:r w:rsidR="0084401B" w:rsidRPr="0084401B">
        <w:rPr>
          <w:rFonts w:eastAsia="標楷體" w:hint="eastAsia"/>
          <w:color w:val="FF0000"/>
          <w:szCs w:val="22"/>
          <w:highlight w:val="yellow"/>
        </w:rPr>
        <w:t>，</w:t>
      </w:r>
      <w:r w:rsidR="00E50E2A" w:rsidRPr="0084401B">
        <w:rPr>
          <w:rFonts w:eastAsia="標楷體" w:hint="eastAsia"/>
          <w:color w:val="FF0000"/>
          <w:szCs w:val="22"/>
          <w:highlight w:val="yellow"/>
        </w:rPr>
        <w:t>「</w:t>
      </w:r>
      <w:r w:rsidR="0084401B" w:rsidRPr="0084401B">
        <w:rPr>
          <w:rFonts w:eastAsia="標楷體" w:hint="eastAsia"/>
          <w:szCs w:val="22"/>
        </w:rPr>
        <w:t>現在</w:t>
      </w:r>
      <w:r w:rsidR="00E50E2A" w:rsidRPr="0084401B">
        <w:rPr>
          <w:rFonts w:eastAsia="標楷體" w:hint="eastAsia"/>
          <w:color w:val="FF0000"/>
          <w:szCs w:val="22"/>
          <w:highlight w:val="yellow"/>
        </w:rPr>
        <w:t>」</w:t>
      </w:r>
      <w:r w:rsidR="0084401B" w:rsidRPr="0084401B">
        <w:rPr>
          <w:rFonts w:eastAsia="標楷體" w:hint="eastAsia"/>
          <w:szCs w:val="22"/>
        </w:rPr>
        <w:t>唯依「作用」立故</w:t>
      </w:r>
      <w:r w:rsidR="007D6727">
        <w:rPr>
          <w:rFonts w:eastAsia="標楷體" w:hint="eastAsia"/>
          <w:color w:val="FF0000"/>
          <w:szCs w:val="22"/>
          <w:highlight w:val="yellow"/>
        </w:rPr>
        <w:t>。</w:t>
      </w:r>
      <w:r w:rsidR="00E50E2A" w:rsidRPr="0084401B">
        <w:rPr>
          <w:rFonts w:eastAsia="標楷體" w:hint="eastAsia"/>
          <w:color w:val="FF0000"/>
          <w:szCs w:val="22"/>
          <w:highlight w:val="yellow"/>
        </w:rPr>
        <w:t>「</w:t>
      </w:r>
      <w:r w:rsidR="00157EF6" w:rsidRPr="00043A1E">
        <w:rPr>
          <w:rFonts w:eastAsia="標楷體"/>
          <w:szCs w:val="22"/>
        </w:rPr>
        <w:t>諸作用</w:t>
      </w:r>
      <w:r w:rsidR="00E50E2A" w:rsidRPr="0084401B">
        <w:rPr>
          <w:rFonts w:eastAsia="標楷體" w:hint="eastAsia"/>
          <w:color w:val="FF0000"/>
          <w:szCs w:val="22"/>
          <w:highlight w:val="yellow"/>
        </w:rPr>
        <w:t>」</w:t>
      </w:r>
      <w:r w:rsidR="00157EF6" w:rsidRPr="00043A1E">
        <w:rPr>
          <w:rFonts w:eastAsia="標楷體"/>
          <w:szCs w:val="22"/>
        </w:rPr>
        <w:t>滅</w:t>
      </w:r>
      <w:r w:rsidR="007D6727">
        <w:rPr>
          <w:rFonts w:eastAsia="標楷體" w:hint="eastAsia"/>
          <w:color w:val="FF0000"/>
          <w:szCs w:val="22"/>
          <w:highlight w:val="yellow"/>
        </w:rPr>
        <w:t>，</w:t>
      </w:r>
      <w:r w:rsidR="00157EF6" w:rsidRPr="00043A1E">
        <w:rPr>
          <w:rFonts w:eastAsia="標楷體"/>
          <w:szCs w:val="22"/>
        </w:rPr>
        <w:t>不至</w:t>
      </w:r>
      <w:r w:rsidR="00E50E2A" w:rsidRPr="0084401B">
        <w:rPr>
          <w:rFonts w:eastAsia="標楷體" w:hint="eastAsia"/>
          <w:color w:val="FF0000"/>
          <w:szCs w:val="22"/>
          <w:highlight w:val="yellow"/>
        </w:rPr>
        <w:t>「</w:t>
      </w:r>
      <w:r w:rsidR="00157EF6" w:rsidRPr="00043A1E">
        <w:rPr>
          <w:rFonts w:eastAsia="標楷體"/>
          <w:szCs w:val="22"/>
        </w:rPr>
        <w:t>無為</w:t>
      </w:r>
      <w:r w:rsidR="00E50E2A" w:rsidRPr="0084401B">
        <w:rPr>
          <w:rFonts w:eastAsia="標楷體" w:hint="eastAsia"/>
          <w:color w:val="FF0000"/>
          <w:szCs w:val="22"/>
          <w:highlight w:val="yellow"/>
        </w:rPr>
        <w:t>」</w:t>
      </w:r>
      <w:r w:rsidR="007D6727" w:rsidRPr="00043A1E">
        <w:rPr>
          <w:rFonts w:eastAsia="標楷體"/>
          <w:szCs w:val="22"/>
        </w:rPr>
        <w:t>，</w:t>
      </w:r>
      <w:r w:rsidR="00157EF6" w:rsidRPr="00043A1E">
        <w:rPr>
          <w:rFonts w:eastAsia="標楷體"/>
          <w:szCs w:val="22"/>
        </w:rPr>
        <w:t>於餘性生能為因性，此非</w:t>
      </w:r>
      <w:r w:rsidR="0084401B" w:rsidRPr="0084401B">
        <w:rPr>
          <w:rFonts w:eastAsia="標楷體" w:hint="eastAsia"/>
          <w:color w:val="FF0000"/>
          <w:szCs w:val="22"/>
          <w:highlight w:val="yellow"/>
        </w:rPr>
        <w:t>「</w:t>
      </w:r>
      <w:r w:rsidR="0084401B" w:rsidRPr="0084401B">
        <w:rPr>
          <w:rFonts w:eastAsia="標楷體" w:hint="eastAsia"/>
          <w:szCs w:val="22"/>
        </w:rPr>
        <w:t>作用</w:t>
      </w:r>
      <w:r w:rsidR="0084401B" w:rsidRPr="0084401B">
        <w:rPr>
          <w:rFonts w:eastAsia="標楷體" w:hint="eastAsia"/>
          <w:color w:val="FF0000"/>
          <w:szCs w:val="22"/>
          <w:highlight w:val="yellow"/>
        </w:rPr>
        <w:t>」</w:t>
      </w:r>
      <w:r w:rsidR="00157EF6" w:rsidRPr="00043A1E">
        <w:rPr>
          <w:rFonts w:eastAsia="標楷體"/>
          <w:szCs w:val="22"/>
        </w:rPr>
        <w:t>，但為</w:t>
      </w:r>
      <w:r w:rsidR="0084401B" w:rsidRPr="0084401B">
        <w:rPr>
          <w:rFonts w:eastAsia="標楷體" w:hint="eastAsia"/>
          <w:color w:val="FF0000"/>
          <w:szCs w:val="22"/>
          <w:highlight w:val="yellow"/>
        </w:rPr>
        <w:t>「</w:t>
      </w:r>
      <w:r w:rsidR="00157EF6" w:rsidRPr="00043A1E">
        <w:rPr>
          <w:rFonts w:eastAsia="標楷體"/>
          <w:szCs w:val="22"/>
        </w:rPr>
        <w:t>功能</w:t>
      </w:r>
      <w:r w:rsidR="0084401B" w:rsidRPr="0084401B">
        <w:rPr>
          <w:rFonts w:eastAsia="標楷體" w:hint="eastAsia"/>
          <w:color w:val="FF0000"/>
          <w:szCs w:val="22"/>
          <w:highlight w:val="yellow"/>
        </w:rPr>
        <w:t>」</w:t>
      </w:r>
      <w:r w:rsidR="0084401B">
        <w:rPr>
          <w:rFonts w:eastAsia="標楷體" w:hint="eastAsia"/>
          <w:color w:val="FF0000"/>
          <w:szCs w:val="22"/>
          <w:highlight w:val="yellow"/>
        </w:rPr>
        <w:t>，</w:t>
      </w:r>
      <w:r w:rsidR="0084401B" w:rsidRPr="0084401B">
        <w:rPr>
          <w:rFonts w:eastAsia="標楷體" w:hint="eastAsia"/>
          <w:color w:val="FF0000"/>
          <w:szCs w:val="22"/>
          <w:highlight w:val="yellow"/>
        </w:rPr>
        <w:t>唯</w:t>
      </w:r>
      <w:r w:rsidR="00E50E2A" w:rsidRPr="0084401B">
        <w:rPr>
          <w:rFonts w:eastAsia="標楷體" w:hint="eastAsia"/>
          <w:color w:val="FF0000"/>
          <w:szCs w:val="22"/>
          <w:highlight w:val="yellow"/>
        </w:rPr>
        <w:t>「</w:t>
      </w:r>
      <w:r w:rsidR="0084401B" w:rsidRPr="0084401B">
        <w:rPr>
          <w:rFonts w:eastAsia="標楷體" w:hint="eastAsia"/>
          <w:color w:val="FF0000"/>
          <w:szCs w:val="22"/>
          <w:highlight w:val="yellow"/>
        </w:rPr>
        <w:t>現在時</w:t>
      </w:r>
      <w:r w:rsidR="00E50E2A" w:rsidRPr="0084401B">
        <w:rPr>
          <w:rFonts w:eastAsia="標楷體" w:hint="eastAsia"/>
          <w:color w:val="FF0000"/>
          <w:szCs w:val="22"/>
          <w:highlight w:val="yellow"/>
        </w:rPr>
        <w:t>」</w:t>
      </w:r>
      <w:r w:rsidR="0084401B" w:rsidRPr="0084401B">
        <w:rPr>
          <w:rFonts w:eastAsia="標楷體" w:hint="eastAsia"/>
          <w:color w:val="FF0000"/>
          <w:szCs w:val="22"/>
          <w:highlight w:val="yellow"/>
        </w:rPr>
        <w:t>能引果故</w:t>
      </w:r>
      <w:r w:rsidR="007D6727">
        <w:rPr>
          <w:rFonts w:eastAsia="標楷體" w:hint="eastAsia"/>
          <w:color w:val="FF0000"/>
          <w:szCs w:val="22"/>
          <w:highlight w:val="yellow"/>
        </w:rPr>
        <w:t>、</w:t>
      </w:r>
      <w:r w:rsidR="00E50E2A" w:rsidRPr="0084401B">
        <w:rPr>
          <w:rFonts w:eastAsia="標楷體" w:hint="eastAsia"/>
          <w:color w:val="FF0000"/>
          <w:szCs w:val="22"/>
          <w:highlight w:val="yellow"/>
        </w:rPr>
        <w:t>「</w:t>
      </w:r>
      <w:r w:rsidR="0084401B" w:rsidRPr="0084401B">
        <w:rPr>
          <w:rFonts w:eastAsia="標楷體" w:hint="eastAsia"/>
          <w:color w:val="FF0000"/>
          <w:szCs w:val="22"/>
          <w:highlight w:val="yellow"/>
        </w:rPr>
        <w:t>無為</w:t>
      </w:r>
      <w:r w:rsidR="00E50E2A" w:rsidRPr="0084401B">
        <w:rPr>
          <w:rFonts w:eastAsia="標楷體" w:hint="eastAsia"/>
          <w:color w:val="FF0000"/>
          <w:szCs w:val="22"/>
          <w:highlight w:val="yellow"/>
        </w:rPr>
        <w:t>」</w:t>
      </w:r>
      <w:r w:rsidR="0084401B" w:rsidRPr="0084401B">
        <w:rPr>
          <w:rFonts w:eastAsia="標楷體" w:hint="eastAsia"/>
          <w:color w:val="FF0000"/>
          <w:szCs w:val="22"/>
          <w:highlight w:val="yellow"/>
        </w:rPr>
        <w:t>不能引自果故</w:t>
      </w:r>
      <w:r w:rsidR="007D6727">
        <w:rPr>
          <w:rFonts w:eastAsia="標楷體" w:hint="eastAsia"/>
          <w:color w:val="FF0000"/>
          <w:szCs w:val="22"/>
          <w:highlight w:val="yellow"/>
        </w:rPr>
        <w:t>、</w:t>
      </w:r>
      <w:r w:rsidR="0084401B" w:rsidRPr="0084401B">
        <w:rPr>
          <w:rFonts w:eastAsia="標楷體" w:hint="eastAsia"/>
          <w:color w:val="FF0000"/>
          <w:szCs w:val="22"/>
          <w:highlight w:val="yellow"/>
        </w:rPr>
        <w:t>唯</w:t>
      </w:r>
      <w:r w:rsidR="00E50E2A" w:rsidRPr="0084401B">
        <w:rPr>
          <w:rFonts w:eastAsia="標楷體" w:hint="eastAsia"/>
          <w:color w:val="FF0000"/>
          <w:szCs w:val="22"/>
          <w:highlight w:val="yellow"/>
        </w:rPr>
        <w:t>「</w:t>
      </w:r>
      <w:r w:rsidR="0084401B" w:rsidRPr="0084401B">
        <w:rPr>
          <w:rFonts w:eastAsia="標楷體" w:hint="eastAsia"/>
          <w:color w:val="FF0000"/>
          <w:szCs w:val="22"/>
          <w:highlight w:val="yellow"/>
        </w:rPr>
        <w:t>引自果</w:t>
      </w:r>
      <w:r w:rsidR="00E50E2A" w:rsidRPr="0084401B">
        <w:rPr>
          <w:rFonts w:eastAsia="標楷體" w:hint="eastAsia"/>
          <w:color w:val="FF0000"/>
          <w:szCs w:val="22"/>
          <w:highlight w:val="yellow"/>
        </w:rPr>
        <w:t>」</w:t>
      </w:r>
      <w:r w:rsidR="0084401B" w:rsidRPr="0084401B">
        <w:rPr>
          <w:rFonts w:eastAsia="標楷體" w:hint="eastAsia"/>
          <w:color w:val="FF0000"/>
          <w:szCs w:val="22"/>
          <w:highlight w:val="yellow"/>
        </w:rPr>
        <w:t>名「作用」故。</w:t>
      </w:r>
    </w:p>
    <w:p w:rsidR="008E4805" w:rsidRPr="008E4805" w:rsidRDefault="008E4805" w:rsidP="008E4805">
      <w:pPr>
        <w:pStyle w:val="a5"/>
        <w:ind w:leftChars="105" w:left="252"/>
        <w:jc w:val="both"/>
        <w:rPr>
          <w:color w:val="FF0000"/>
          <w:szCs w:val="22"/>
          <w:highlight w:val="yellow"/>
        </w:rPr>
      </w:pPr>
      <w:r w:rsidRPr="008E4805">
        <w:rPr>
          <w:rFonts w:hint="eastAsia"/>
          <w:color w:val="FF0000"/>
          <w:szCs w:val="22"/>
          <w:highlight w:val="yellow"/>
        </w:rPr>
        <w:t>（</w:t>
      </w:r>
      <w:r w:rsidRPr="008E4805">
        <w:rPr>
          <w:rFonts w:hint="eastAsia"/>
          <w:color w:val="FF0000"/>
          <w:szCs w:val="22"/>
          <w:highlight w:val="yellow"/>
        </w:rPr>
        <w:t>2</w:t>
      </w:r>
      <w:r w:rsidRPr="008E4805">
        <w:rPr>
          <w:rFonts w:hint="eastAsia"/>
          <w:color w:val="FF0000"/>
          <w:szCs w:val="22"/>
          <w:highlight w:val="yellow"/>
        </w:rPr>
        <w:t>）《順正理論》卷</w:t>
      </w:r>
      <w:r w:rsidRPr="008E4805">
        <w:rPr>
          <w:rFonts w:hint="eastAsia"/>
          <w:color w:val="FF0000"/>
          <w:szCs w:val="22"/>
          <w:highlight w:val="yellow"/>
        </w:rPr>
        <w:t>14</w:t>
      </w:r>
      <w:r w:rsidRPr="008E4805">
        <w:rPr>
          <w:color w:val="FF0000"/>
          <w:szCs w:val="22"/>
          <w:highlight w:val="yellow"/>
        </w:rPr>
        <w:t>（大正</w:t>
      </w:r>
      <w:r w:rsidRPr="008E4805">
        <w:rPr>
          <w:color w:val="FF0000"/>
          <w:szCs w:val="22"/>
          <w:highlight w:val="yellow"/>
        </w:rPr>
        <w:t>29</w:t>
      </w:r>
      <w:r w:rsidRPr="008E4805">
        <w:rPr>
          <w:color w:val="FF0000"/>
          <w:szCs w:val="22"/>
          <w:highlight w:val="yellow"/>
        </w:rPr>
        <w:t>，</w:t>
      </w:r>
      <w:r w:rsidRPr="008E4805">
        <w:rPr>
          <w:rFonts w:hint="eastAsia"/>
          <w:color w:val="FF0000"/>
          <w:szCs w:val="22"/>
          <w:highlight w:val="yellow"/>
        </w:rPr>
        <w:t>409c26-410a3</w:t>
      </w:r>
      <w:r w:rsidRPr="008E4805">
        <w:rPr>
          <w:color w:val="FF0000"/>
          <w:szCs w:val="22"/>
          <w:highlight w:val="yellow"/>
        </w:rPr>
        <w:t>）</w:t>
      </w:r>
      <w:r w:rsidRPr="008E4805">
        <w:rPr>
          <w:rFonts w:hint="eastAsia"/>
          <w:color w:val="FF0000"/>
          <w:szCs w:val="22"/>
          <w:highlight w:val="yellow"/>
        </w:rPr>
        <w:t>：</w:t>
      </w:r>
    </w:p>
    <w:p w:rsidR="008E4805" w:rsidRPr="008E4805" w:rsidRDefault="008E4805" w:rsidP="008E4805">
      <w:pPr>
        <w:pStyle w:val="a5"/>
        <w:ind w:leftChars="335" w:left="804"/>
        <w:jc w:val="both"/>
        <w:rPr>
          <w:rFonts w:eastAsia="標楷體"/>
          <w:color w:val="FF0000"/>
          <w:szCs w:val="22"/>
          <w:highlight w:val="yellow"/>
        </w:rPr>
      </w:pPr>
      <w:r w:rsidRPr="008E4805">
        <w:rPr>
          <w:rFonts w:eastAsia="標楷體" w:hint="eastAsia"/>
          <w:color w:val="FF0000"/>
          <w:szCs w:val="22"/>
          <w:highlight w:val="yellow"/>
        </w:rPr>
        <w:t>謂有為法──若能為因引攝自果，名為「作用」；若能為緣攝助異類，是謂「功能」。如前已辯</w:t>
      </w:r>
      <w:r w:rsidRPr="008E4805">
        <w:rPr>
          <w:rFonts w:eastAsia="標楷體" w:hint="eastAsia"/>
          <w:color w:val="FF0000"/>
          <w:szCs w:val="22"/>
          <w:highlight w:val="yellow"/>
          <w:vertAlign w:val="superscript"/>
        </w:rPr>
        <w:t>[8]</w:t>
      </w:r>
      <w:r w:rsidRPr="008E4805">
        <w:rPr>
          <w:rFonts w:eastAsia="標楷體" w:hint="eastAsia"/>
          <w:color w:val="FF0000"/>
          <w:szCs w:val="22"/>
          <w:highlight w:val="yellow"/>
        </w:rPr>
        <w:t>。一切現在皆能為因引攝自果，非諸現在皆能為緣攝助異類。謂闇中眼，或有功能被損害者，便於眼識不能為緣攝助令起；然其作用非闇所損，定能為因引當眼故。由斯，「作用」、「功能」有別。</w:t>
      </w:r>
    </w:p>
    <w:p w:rsidR="008E4805" w:rsidRPr="00043A1E" w:rsidRDefault="008E4805" w:rsidP="008E4805">
      <w:pPr>
        <w:pStyle w:val="a5"/>
        <w:ind w:leftChars="335" w:left="804"/>
        <w:jc w:val="both"/>
        <w:rPr>
          <w:szCs w:val="22"/>
        </w:rPr>
      </w:pPr>
      <w:r w:rsidRPr="008E4805">
        <w:rPr>
          <w:rFonts w:hint="eastAsia"/>
          <w:color w:val="FF0000"/>
          <w:szCs w:val="22"/>
          <w:highlight w:val="yellow"/>
        </w:rPr>
        <w:t>[8]</w:t>
      </w:r>
      <w:r w:rsidRPr="008E4805">
        <w:rPr>
          <w:rFonts w:hint="eastAsia"/>
          <w:color w:val="FF0000"/>
          <w:szCs w:val="22"/>
          <w:highlight w:val="yellow"/>
        </w:rPr>
        <w:t>辯＝辨【宋】【元】【宮】下同。</w:t>
      </w:r>
    </w:p>
  </w:footnote>
  <w:footnote w:id="761">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szCs w:val="22"/>
        </w:rPr>
        <w:t>）《中論》卷</w:t>
      </w:r>
      <w:r w:rsidRPr="00761EF3">
        <w:rPr>
          <w:szCs w:val="22"/>
        </w:rPr>
        <w:t>2</w:t>
      </w:r>
      <w:r w:rsidRPr="00043A1E">
        <w:rPr>
          <w:szCs w:val="22"/>
        </w:rPr>
        <w:t>〈</w:t>
      </w:r>
      <w:r w:rsidRPr="00761EF3">
        <w:rPr>
          <w:szCs w:val="22"/>
        </w:rPr>
        <w:t>8</w:t>
      </w:r>
      <w:r w:rsidRPr="00043A1E">
        <w:rPr>
          <w:szCs w:val="22"/>
        </w:rPr>
        <w:t xml:space="preserve"> </w:t>
      </w:r>
      <w:r w:rsidRPr="00043A1E">
        <w:rPr>
          <w:szCs w:val="22"/>
        </w:rPr>
        <w:t>觀作作者品〉（大正</w:t>
      </w:r>
      <w:r w:rsidRPr="00761EF3">
        <w:rPr>
          <w:szCs w:val="22"/>
        </w:rPr>
        <w:t>30</w:t>
      </w:r>
      <w:r w:rsidRPr="00043A1E">
        <w:rPr>
          <w:szCs w:val="22"/>
        </w:rPr>
        <w:t>，</w:t>
      </w:r>
      <w:r w:rsidRPr="00761EF3">
        <w:rPr>
          <w:szCs w:val="22"/>
        </w:rPr>
        <w:t>13a17</w:t>
      </w:r>
      <w:r w:rsidRPr="00043A1E">
        <w:rPr>
          <w:szCs w:val="22"/>
        </w:rPr>
        <w:t>-</w:t>
      </w:r>
      <w:r w:rsidRPr="00761EF3">
        <w:rPr>
          <w:szCs w:val="22"/>
        </w:rPr>
        <w:t>18</w:t>
      </w:r>
      <w:r w:rsidRPr="00043A1E">
        <w:rPr>
          <w:szCs w:val="22"/>
        </w:rPr>
        <w:t>）。</w:t>
      </w:r>
    </w:p>
    <w:p w:rsidR="00157EF6" w:rsidRPr="00043A1E" w:rsidRDefault="00157EF6" w:rsidP="00AA120F">
      <w:pPr>
        <w:pStyle w:val="a5"/>
        <w:ind w:leftChars="105" w:left="791" w:hangingChars="245" w:hanging="539"/>
        <w:jc w:val="both"/>
        <w:rPr>
          <w:szCs w:val="22"/>
        </w:rPr>
      </w:pPr>
      <w:r w:rsidRPr="00043A1E">
        <w:rPr>
          <w:szCs w:val="22"/>
        </w:rPr>
        <w:t>（</w:t>
      </w:r>
      <w:r w:rsidRPr="00761EF3">
        <w:rPr>
          <w:szCs w:val="22"/>
        </w:rPr>
        <w:t>2</w:t>
      </w:r>
      <w:r w:rsidRPr="00043A1E">
        <w:rPr>
          <w:szCs w:val="22"/>
        </w:rPr>
        <w:t>）</w:t>
      </w:r>
      <w:r w:rsidRPr="00615847">
        <w:rPr>
          <w:rStyle w:val="21"/>
          <w:szCs w:val="22"/>
        </w:rPr>
        <w:t>三枝充悳</w:t>
      </w:r>
      <w:r w:rsidRPr="00043A1E">
        <w:rPr>
          <w:szCs w:val="22"/>
        </w:rPr>
        <w:t>，《中論偈頌總覽》</w:t>
      </w:r>
      <w:r w:rsidRPr="00043A1E">
        <w:rPr>
          <w:rFonts w:hint="eastAsia"/>
          <w:szCs w:val="22"/>
        </w:rPr>
        <w:t>，</w:t>
      </w:r>
      <w:r w:rsidRPr="00761EF3">
        <w:rPr>
          <w:szCs w:val="22"/>
        </w:rPr>
        <w:t>p</w:t>
      </w:r>
      <w:r w:rsidRPr="00043A1E">
        <w:rPr>
          <w:szCs w:val="22"/>
        </w:rPr>
        <w:t>.</w:t>
      </w:r>
      <w:r w:rsidRPr="00761EF3">
        <w:rPr>
          <w:szCs w:val="22"/>
        </w:rPr>
        <w:t>262</w:t>
      </w:r>
      <w:r w:rsidRPr="00043A1E">
        <w:rPr>
          <w:szCs w:val="22"/>
        </w:rPr>
        <w:t>：</w:t>
      </w:r>
    </w:p>
    <w:p w:rsidR="00157EF6" w:rsidRPr="00043A1E" w:rsidRDefault="00157EF6" w:rsidP="00AA120F">
      <w:pPr>
        <w:pStyle w:val="a5"/>
        <w:ind w:leftChars="335" w:left="804"/>
        <w:jc w:val="both"/>
        <w:rPr>
          <w:szCs w:val="22"/>
        </w:rPr>
      </w:pPr>
      <w:r w:rsidRPr="00761EF3">
        <w:rPr>
          <w:rFonts w:eastAsia="Roman Unicode"/>
          <w:szCs w:val="22"/>
        </w:rPr>
        <w:t>pratītya</w:t>
      </w:r>
      <w:r w:rsidRPr="00043A1E">
        <w:rPr>
          <w:szCs w:val="22"/>
        </w:rPr>
        <w:t xml:space="preserve"> </w:t>
      </w:r>
      <w:r w:rsidRPr="00761EF3">
        <w:rPr>
          <w:rFonts w:eastAsia="Roman Unicode"/>
          <w:szCs w:val="22"/>
        </w:rPr>
        <w:t>kārakaḥ</w:t>
      </w:r>
      <w:r w:rsidRPr="00043A1E">
        <w:rPr>
          <w:szCs w:val="22"/>
        </w:rPr>
        <w:t xml:space="preserve"> </w:t>
      </w:r>
      <w:r w:rsidRPr="00761EF3">
        <w:rPr>
          <w:rFonts w:eastAsia="Roman Unicode"/>
          <w:b/>
          <w:szCs w:val="22"/>
        </w:rPr>
        <w:t>karma</w:t>
      </w:r>
      <w:r w:rsidRPr="00043A1E">
        <w:rPr>
          <w:szCs w:val="22"/>
        </w:rPr>
        <w:t xml:space="preserve"> </w:t>
      </w:r>
      <w:r w:rsidRPr="00761EF3">
        <w:rPr>
          <w:rFonts w:eastAsia="Roman Unicode"/>
          <w:szCs w:val="22"/>
        </w:rPr>
        <w:t>taṃ</w:t>
      </w:r>
      <w:r w:rsidRPr="00043A1E">
        <w:rPr>
          <w:szCs w:val="22"/>
        </w:rPr>
        <w:t xml:space="preserve"> </w:t>
      </w:r>
      <w:r w:rsidRPr="00761EF3">
        <w:rPr>
          <w:rFonts w:eastAsia="Roman Unicode"/>
          <w:szCs w:val="22"/>
        </w:rPr>
        <w:t>pratītya</w:t>
      </w:r>
      <w:r w:rsidRPr="00043A1E">
        <w:rPr>
          <w:szCs w:val="22"/>
        </w:rPr>
        <w:t xml:space="preserve"> </w:t>
      </w:r>
      <w:r w:rsidRPr="00761EF3">
        <w:rPr>
          <w:rFonts w:eastAsia="Roman Unicode"/>
          <w:szCs w:val="22"/>
        </w:rPr>
        <w:t>ca</w:t>
      </w:r>
      <w:r w:rsidRPr="00043A1E">
        <w:rPr>
          <w:szCs w:val="22"/>
        </w:rPr>
        <w:t xml:space="preserve"> </w:t>
      </w:r>
      <w:r w:rsidRPr="00761EF3">
        <w:rPr>
          <w:rFonts w:eastAsia="Roman Unicode"/>
          <w:szCs w:val="22"/>
        </w:rPr>
        <w:t>kārakam</w:t>
      </w:r>
      <w:r w:rsidRPr="00043A1E">
        <w:rPr>
          <w:szCs w:val="22"/>
        </w:rPr>
        <w:t xml:space="preserve"> /</w:t>
      </w:r>
    </w:p>
    <w:p w:rsidR="00157EF6" w:rsidRPr="00043A1E" w:rsidRDefault="00157EF6" w:rsidP="00AA120F">
      <w:pPr>
        <w:pStyle w:val="a5"/>
        <w:ind w:leftChars="335" w:left="804"/>
        <w:jc w:val="both"/>
        <w:rPr>
          <w:rFonts w:eastAsia="標楷體"/>
          <w:bCs/>
          <w:szCs w:val="22"/>
        </w:rPr>
      </w:pPr>
      <w:r w:rsidRPr="00761EF3">
        <w:rPr>
          <w:rFonts w:eastAsia="Roman Unicode"/>
          <w:szCs w:val="22"/>
        </w:rPr>
        <w:t>karma</w:t>
      </w:r>
      <w:r w:rsidRPr="00043A1E">
        <w:rPr>
          <w:szCs w:val="22"/>
        </w:rPr>
        <w:t xml:space="preserve"> </w:t>
      </w:r>
      <w:r w:rsidRPr="00761EF3">
        <w:rPr>
          <w:rFonts w:eastAsia="Roman Unicode"/>
          <w:szCs w:val="22"/>
        </w:rPr>
        <w:t>pravartate</w:t>
      </w:r>
      <w:r w:rsidRPr="00043A1E">
        <w:rPr>
          <w:szCs w:val="22"/>
        </w:rPr>
        <w:t xml:space="preserve"> </w:t>
      </w:r>
      <w:r w:rsidRPr="00761EF3">
        <w:rPr>
          <w:rFonts w:eastAsia="Roman Unicode"/>
          <w:szCs w:val="22"/>
        </w:rPr>
        <w:t>nānyatpaśyāmaḥ</w:t>
      </w:r>
      <w:r w:rsidRPr="00043A1E">
        <w:rPr>
          <w:szCs w:val="22"/>
        </w:rPr>
        <w:t xml:space="preserve"> </w:t>
      </w:r>
      <w:r w:rsidRPr="00761EF3">
        <w:rPr>
          <w:rFonts w:eastAsia="Roman Unicode"/>
          <w:szCs w:val="22"/>
        </w:rPr>
        <w:t>siddhikāraṇam</w:t>
      </w:r>
      <w:r w:rsidRPr="00043A1E">
        <w:rPr>
          <w:szCs w:val="22"/>
        </w:rPr>
        <w:t xml:space="preserve"> //</w:t>
      </w:r>
    </w:p>
    <w:p w:rsidR="00157EF6" w:rsidRPr="00043A1E" w:rsidRDefault="00157EF6" w:rsidP="00AA120F">
      <w:pPr>
        <w:snapToGrid w:val="0"/>
        <w:ind w:leftChars="335" w:left="804"/>
        <w:jc w:val="both"/>
        <w:rPr>
          <w:rFonts w:ascii="Times New Roman" w:hAnsi="Times New Roman"/>
          <w:sz w:val="22"/>
          <w:szCs w:val="22"/>
          <w:lang w:eastAsia="ja-JP"/>
        </w:rPr>
      </w:pPr>
      <w:r w:rsidRPr="00043A1E">
        <w:rPr>
          <w:rFonts w:ascii="Times New Roman" w:eastAsia="標楷體" w:hAnsi="Times New Roman"/>
          <w:sz w:val="22"/>
          <w:szCs w:val="22"/>
          <w:lang w:eastAsia="ja-JP"/>
        </w:rPr>
        <w:t>行為者は行為に縁って〔起こり〕，また行為はその行為者に縁って起こる。それ以外の成立の原因を，われわれは見ない。</w:t>
      </w:r>
    </w:p>
    <w:p w:rsidR="00157EF6" w:rsidRPr="00043A1E" w:rsidRDefault="00157EF6" w:rsidP="00AA120F">
      <w:pPr>
        <w:pStyle w:val="a5"/>
        <w:ind w:leftChars="105" w:left="791" w:hangingChars="245" w:hanging="539"/>
        <w:jc w:val="both"/>
        <w:rPr>
          <w:szCs w:val="22"/>
        </w:rPr>
      </w:pPr>
      <w:r w:rsidRPr="00043A1E">
        <w:rPr>
          <w:szCs w:val="22"/>
        </w:rPr>
        <w:t>（</w:t>
      </w:r>
      <w:r w:rsidRPr="00761EF3">
        <w:rPr>
          <w:szCs w:val="22"/>
        </w:rPr>
        <w:t>3</w:t>
      </w:r>
      <w:r w:rsidRPr="00043A1E">
        <w:rPr>
          <w:szCs w:val="22"/>
        </w:rPr>
        <w:t>）印順</w:t>
      </w:r>
      <w:r w:rsidRPr="00043A1E">
        <w:rPr>
          <w:rFonts w:hint="eastAsia"/>
          <w:szCs w:val="22"/>
        </w:rPr>
        <w:t>法師</w:t>
      </w:r>
      <w:r w:rsidRPr="00043A1E">
        <w:rPr>
          <w:szCs w:val="22"/>
        </w:rPr>
        <w:t>，《中觀論頌講記》</w:t>
      </w:r>
      <w:r w:rsidRPr="00043A1E">
        <w:rPr>
          <w:rFonts w:hint="eastAsia"/>
          <w:szCs w:val="22"/>
        </w:rPr>
        <w:t>，</w:t>
      </w:r>
      <w:r w:rsidRPr="00761EF3">
        <w:rPr>
          <w:szCs w:val="22"/>
        </w:rPr>
        <w:t>pp</w:t>
      </w:r>
      <w:r w:rsidRPr="00043A1E">
        <w:rPr>
          <w:szCs w:val="22"/>
        </w:rPr>
        <w:t>.</w:t>
      </w:r>
      <w:r w:rsidRPr="00761EF3">
        <w:rPr>
          <w:szCs w:val="22"/>
        </w:rPr>
        <w:t>181</w:t>
      </w:r>
      <w:r w:rsidRPr="00043A1E">
        <w:rPr>
          <w:szCs w:val="22"/>
        </w:rPr>
        <w:t>-</w:t>
      </w:r>
      <w:r w:rsidRPr="00761EF3">
        <w:rPr>
          <w:szCs w:val="22"/>
        </w:rPr>
        <w:t>182</w:t>
      </w:r>
      <w:r w:rsidRPr="00043A1E">
        <w:rPr>
          <w:szCs w:val="22"/>
        </w:rPr>
        <w:t>：</w:t>
      </w:r>
    </w:p>
    <w:p w:rsidR="00157EF6" w:rsidRPr="00043A1E" w:rsidRDefault="00157EF6" w:rsidP="00AA120F">
      <w:pPr>
        <w:pStyle w:val="a5"/>
        <w:ind w:leftChars="335" w:left="804"/>
        <w:jc w:val="both"/>
        <w:rPr>
          <w:rFonts w:eastAsia="標楷體"/>
          <w:szCs w:val="22"/>
        </w:rPr>
      </w:pPr>
      <w:r w:rsidRPr="00043A1E">
        <w:rPr>
          <w:rFonts w:eastAsia="標楷體"/>
          <w:szCs w:val="22"/>
        </w:rPr>
        <w:t>作者與作業，是彼此相依而相存的，彼此都從因緣生，沒有自性的作者及作業，但假名相宛然而有。這就是說：作者之所以為作者，是</w:t>
      </w:r>
      <w:r w:rsidRPr="00043A1E">
        <w:rPr>
          <w:rFonts w:eastAsia="標楷體"/>
          <w:b/>
          <w:szCs w:val="22"/>
        </w:rPr>
        <w:t>「因業」而「有作者」</w:t>
      </w:r>
      <w:r w:rsidRPr="00043A1E">
        <w:rPr>
          <w:rFonts w:eastAsia="標楷體"/>
          <w:szCs w:val="22"/>
        </w:rPr>
        <w:t>的；業之所以為業，是</w:t>
      </w:r>
      <w:r w:rsidRPr="00043A1E">
        <w:rPr>
          <w:rFonts w:eastAsia="標楷體"/>
          <w:b/>
          <w:szCs w:val="22"/>
        </w:rPr>
        <w:t>「因作者」而「有業」</w:t>
      </w:r>
      <w:r w:rsidRPr="00043A1E">
        <w:rPr>
          <w:rFonts w:eastAsia="標楷體"/>
          <w:szCs w:val="22"/>
        </w:rPr>
        <w:t>的。因此，作者及作業，成立於假名的相互觀待法則。假使離了作者，作業就不可得；離了作業，作者也就不可得。論主</w:t>
      </w:r>
      <w:r w:rsidRPr="00043A1E">
        <w:rPr>
          <w:rFonts w:eastAsia="標楷體"/>
          <w:b/>
          <w:szCs w:val="22"/>
        </w:rPr>
        <w:t>「成」立「業」及作者的意「義」，就是「如是」</w:t>
      </w:r>
      <w:r w:rsidRPr="00043A1E">
        <w:rPr>
          <w:rFonts w:eastAsia="標楷體"/>
          <w:szCs w:val="22"/>
        </w:rPr>
        <w:t>。除了這緣起義以外，</w:t>
      </w:r>
      <w:r w:rsidRPr="00043A1E">
        <w:rPr>
          <w:rFonts w:eastAsia="標楷體"/>
          <w:b/>
          <w:szCs w:val="22"/>
        </w:rPr>
        <w:t>「更無有」其「餘」的「事」理</w:t>
      </w:r>
      <w:r w:rsidRPr="00043A1E">
        <w:rPr>
          <w:rFonts w:eastAsia="標楷體"/>
          <w:szCs w:val="22"/>
        </w:rPr>
        <w:t>，可以成立的了。</w:t>
      </w:r>
    </w:p>
  </w:footnote>
  <w:footnote w:id="762">
    <w:p w:rsidR="00157EF6" w:rsidRPr="00043A1E" w:rsidRDefault="00157EF6" w:rsidP="00AA120F">
      <w:pPr>
        <w:snapToGrid w:val="0"/>
        <w:jc w:val="both"/>
        <w:rPr>
          <w:rFonts w:ascii="新細明體" w:hAnsi="新細明體"/>
          <w:sz w:val="22"/>
          <w:szCs w:val="22"/>
        </w:rPr>
      </w:pPr>
      <w:r w:rsidRPr="00043A1E">
        <w:rPr>
          <w:rStyle w:val="a6"/>
          <w:rFonts w:ascii="Times New Roman" w:hAnsi="Times New Roman"/>
          <w:sz w:val="22"/>
          <w:szCs w:val="22"/>
        </w:rPr>
        <w:footnoteRef/>
      </w:r>
      <w:r w:rsidRPr="00043A1E">
        <w:rPr>
          <w:rFonts w:ascii="Times New Roman" w:hAnsi="Times New Roman"/>
          <w:sz w:val="22"/>
          <w:szCs w:val="22"/>
        </w:rPr>
        <w:t xml:space="preserve"> </w:t>
      </w:r>
      <w:r w:rsidRPr="00043A1E">
        <w:rPr>
          <w:rFonts w:ascii="新細明體" w:hAnsi="新細明體"/>
          <w:sz w:val="22"/>
          <w:szCs w:val="22"/>
        </w:rPr>
        <w:t>體──體（作者）</w:t>
      </w:r>
    </w:p>
    <w:p w:rsidR="00157EF6" w:rsidRPr="00043A1E" w:rsidRDefault="00157EF6" w:rsidP="00AA120F">
      <w:pPr>
        <w:widowControl/>
        <w:tabs>
          <w:tab w:val="left" w:pos="476"/>
        </w:tabs>
        <w:snapToGrid w:val="0"/>
        <w:jc w:val="both"/>
        <w:rPr>
          <w:rFonts w:ascii="新細明體" w:hAnsi="新細明體"/>
          <w:sz w:val="22"/>
          <w:szCs w:val="22"/>
        </w:rPr>
      </w:pPr>
      <w:r w:rsidRPr="00043A1E">
        <w:rPr>
          <w:rFonts w:ascii="新細明體" w:hAnsi="新細明體"/>
          <w:sz w:val="22"/>
          <w:szCs w:val="22"/>
        </w:rPr>
        <w:tab/>
        <w:t>┌─作（作業）［通於過去、未來］</w:t>
      </w:r>
    </w:p>
    <w:p w:rsidR="00157EF6" w:rsidRPr="00043A1E" w:rsidRDefault="00157EF6" w:rsidP="00AA120F">
      <w:pPr>
        <w:widowControl/>
        <w:tabs>
          <w:tab w:val="left" w:pos="476"/>
        </w:tabs>
        <w:snapToGrid w:val="0"/>
        <w:ind w:leftChars="105" w:left="252"/>
        <w:jc w:val="both"/>
        <w:rPr>
          <w:rFonts w:ascii="新細明體" w:hAnsi="新細明體"/>
          <w:sz w:val="22"/>
          <w:szCs w:val="22"/>
        </w:rPr>
      </w:pPr>
      <w:r w:rsidRPr="00043A1E">
        <w:rPr>
          <w:rFonts w:ascii="新細明體" w:hAnsi="新細明體"/>
          <w:sz w:val="22"/>
          <w:szCs w:val="22"/>
        </w:rPr>
        <w:t>用</w:t>
      </w:r>
      <w:r w:rsidRPr="00043A1E">
        <w:rPr>
          <w:rFonts w:ascii="新細明體" w:hAnsi="新細明體"/>
          <w:sz w:val="22"/>
          <w:szCs w:val="22"/>
        </w:rPr>
        <w:tab/>
        <w:t>┤</w:t>
      </w:r>
    </w:p>
    <w:p w:rsidR="00157EF6" w:rsidRPr="00043A1E" w:rsidRDefault="00157EF6" w:rsidP="00AA120F">
      <w:pPr>
        <w:tabs>
          <w:tab w:val="left" w:pos="476"/>
        </w:tabs>
        <w:snapToGrid w:val="0"/>
        <w:jc w:val="both"/>
        <w:rPr>
          <w:rFonts w:ascii="新細明體" w:hAnsi="新細明體"/>
          <w:sz w:val="22"/>
          <w:szCs w:val="22"/>
        </w:rPr>
      </w:pPr>
      <w:r w:rsidRPr="00043A1E">
        <w:rPr>
          <w:rFonts w:ascii="新細明體" w:hAnsi="新細明體"/>
          <w:sz w:val="22"/>
          <w:szCs w:val="22"/>
        </w:rPr>
        <w:tab/>
        <w:t>└─力（作用）［當前的動作］</w:t>
      </w:r>
    </w:p>
  </w:footnote>
  <w:footnote w:id="763">
    <w:p w:rsidR="00157EF6" w:rsidRPr="00043A1E" w:rsidRDefault="00157EF6" w:rsidP="009E0A5A">
      <w:pPr>
        <w:pStyle w:val="a5"/>
        <w:ind w:left="187" w:hangingChars="85" w:hanging="187"/>
        <w:jc w:val="both"/>
        <w:rPr>
          <w:rFonts w:ascii="Times Ext Roman" w:hAnsi="新細明體" w:cs="Times Ext Roman"/>
          <w:szCs w:val="22"/>
        </w:rPr>
      </w:pPr>
      <w:r w:rsidRPr="00043A1E">
        <w:rPr>
          <w:rStyle w:val="a6"/>
          <w:szCs w:val="22"/>
        </w:rPr>
        <w:footnoteRef/>
      </w:r>
      <w:r w:rsidRPr="00043A1E">
        <w:rPr>
          <w:rFonts w:ascii="Times Ext Roman" w:hAnsi="新細明體" w:cs="Times Ext Roman" w:hint="eastAsia"/>
          <w:szCs w:val="22"/>
        </w:rPr>
        <w:t xml:space="preserve"> </w:t>
      </w:r>
      <w:r w:rsidRPr="00043A1E">
        <w:rPr>
          <w:rFonts w:ascii="Times Ext Roman" w:hAnsi="新細明體" w:cs="Times Ext Roman"/>
          <w:szCs w:val="22"/>
        </w:rPr>
        <w:t>《中阿含</w:t>
      </w:r>
      <w:r w:rsidRPr="00043A1E">
        <w:rPr>
          <w:rFonts w:ascii="Times Ext Roman" w:hAnsi="新細明體" w:cs="Times Ext Roman" w:hint="eastAsia"/>
          <w:szCs w:val="22"/>
        </w:rPr>
        <w:t>經</w:t>
      </w:r>
      <w:r w:rsidRPr="00043A1E">
        <w:rPr>
          <w:rFonts w:ascii="Times Ext Roman" w:hAnsi="新細明體" w:cs="Times Ext Roman"/>
          <w:szCs w:val="22"/>
        </w:rPr>
        <w:t>》卷</w:t>
      </w:r>
      <w:r w:rsidRPr="00761EF3">
        <w:rPr>
          <w:szCs w:val="22"/>
        </w:rPr>
        <w:t>58</w:t>
      </w:r>
      <w:r w:rsidRPr="00043A1E">
        <w:rPr>
          <w:rFonts w:ascii="Times Ext Roman" w:hAnsi="新細明體" w:cs="Times Ext Roman" w:hint="eastAsia"/>
          <w:szCs w:val="22"/>
        </w:rPr>
        <w:t>（</w:t>
      </w:r>
      <w:r w:rsidRPr="00043A1E">
        <w:rPr>
          <w:rFonts w:ascii="Times Ext Roman" w:hAnsi="新細明體" w:cs="Times Ext Roman"/>
          <w:szCs w:val="22"/>
        </w:rPr>
        <w:t>第</w:t>
      </w:r>
      <w:r w:rsidRPr="00761EF3">
        <w:rPr>
          <w:szCs w:val="22"/>
        </w:rPr>
        <w:t>211</w:t>
      </w:r>
      <w:r w:rsidRPr="00043A1E">
        <w:rPr>
          <w:rFonts w:ascii="Times Ext Roman" w:hAnsi="新細明體" w:cs="Times Ext Roman"/>
          <w:szCs w:val="22"/>
        </w:rPr>
        <w:t>經</w:t>
      </w:r>
      <w:r w:rsidRPr="00043A1E">
        <w:rPr>
          <w:rFonts w:ascii="Times Ext Roman" w:hAnsi="新細明體" w:cs="Times Ext Roman" w:hint="eastAsia"/>
          <w:szCs w:val="22"/>
        </w:rPr>
        <w:t>）</w:t>
      </w:r>
      <w:r w:rsidRPr="00043A1E">
        <w:rPr>
          <w:rFonts w:ascii="Times Ext Roman" w:hAnsi="新細明體" w:cs="Times Ext Roman"/>
          <w:bCs/>
          <w:szCs w:val="22"/>
        </w:rPr>
        <w:t>《大拘絺羅經》</w:t>
      </w:r>
      <w:r w:rsidRPr="00043A1E">
        <w:rPr>
          <w:rFonts w:ascii="Times Ext Roman" w:hAnsi="新細明體" w:cs="Times Ext Roman"/>
          <w:szCs w:val="22"/>
        </w:rPr>
        <w:t>（大正</w:t>
      </w:r>
      <w:r w:rsidRPr="00761EF3">
        <w:rPr>
          <w:szCs w:val="22"/>
        </w:rPr>
        <w:t>1</w:t>
      </w:r>
      <w:r w:rsidRPr="00043A1E">
        <w:rPr>
          <w:rFonts w:ascii="Times Ext Roman" w:hAnsi="新細明體" w:cs="Times Ext Roman"/>
          <w:szCs w:val="22"/>
        </w:rPr>
        <w:t>，</w:t>
      </w:r>
      <w:r w:rsidRPr="00761EF3">
        <w:rPr>
          <w:szCs w:val="22"/>
        </w:rPr>
        <w:t>790c28</w:t>
      </w:r>
      <w:r w:rsidRPr="00043A1E">
        <w:rPr>
          <w:szCs w:val="22"/>
        </w:rPr>
        <w:t>-</w:t>
      </w:r>
      <w:r w:rsidRPr="00761EF3">
        <w:rPr>
          <w:szCs w:val="22"/>
        </w:rPr>
        <w:t>791a</w:t>
      </w:r>
      <w:r w:rsidRPr="00761EF3">
        <w:rPr>
          <w:rFonts w:hint="eastAsia"/>
          <w:szCs w:val="22"/>
        </w:rPr>
        <w:t>3</w:t>
      </w:r>
      <w:r w:rsidRPr="00043A1E">
        <w:rPr>
          <w:rFonts w:ascii="Times Ext Roman" w:hAnsi="Times Ext Roman" w:cs="Times Ext Roman"/>
          <w:szCs w:val="22"/>
        </w:rPr>
        <w:t>）</w:t>
      </w:r>
      <w:r w:rsidRPr="00043A1E">
        <w:rPr>
          <w:rFonts w:ascii="Times Ext Roman" w:hAnsi="新細明體" w:cs="Times Ext Roman"/>
          <w:szCs w:val="22"/>
        </w:rPr>
        <w:t>：</w:t>
      </w:r>
    </w:p>
    <w:p w:rsidR="00157EF6" w:rsidRPr="00043A1E" w:rsidRDefault="00157EF6" w:rsidP="00AA120F">
      <w:pPr>
        <w:pStyle w:val="a5"/>
        <w:ind w:leftChars="75" w:left="180"/>
        <w:jc w:val="both"/>
        <w:rPr>
          <w:rFonts w:ascii="Times Ext Roman" w:hAnsi="新細明體" w:cs="Times Ext Roman"/>
          <w:szCs w:val="22"/>
        </w:rPr>
      </w:pPr>
      <w:r w:rsidRPr="00043A1E">
        <w:rPr>
          <w:rFonts w:ascii="Times Ext Roman" w:eastAsia="標楷體" w:hAnsi="新細明體" w:cs="Times Ext Roman"/>
          <w:szCs w:val="22"/>
        </w:rPr>
        <w:t>復問曰：</w:t>
      </w:r>
      <w:r w:rsidRPr="00043A1E">
        <w:rPr>
          <w:rFonts w:ascii="Times Ext Roman" w:hAnsi="新細明體" w:cs="Times Ext Roman"/>
          <w:szCs w:val="22"/>
        </w:rPr>
        <w:t>「</w:t>
      </w:r>
      <w:r w:rsidRPr="00043A1E">
        <w:rPr>
          <w:rFonts w:ascii="Times Ext Roman" w:eastAsia="標楷體" w:hAnsi="新細明體" w:cs="Times Ext Roman"/>
          <w:szCs w:val="22"/>
        </w:rPr>
        <w:t>賢者拘絺羅！幾因幾緣生正見耶？</w:t>
      </w:r>
      <w:r w:rsidRPr="00043A1E">
        <w:rPr>
          <w:rFonts w:ascii="Times Ext Roman" w:hAnsi="新細明體" w:cs="Times Ext Roman"/>
          <w:szCs w:val="22"/>
        </w:rPr>
        <w:t>」</w:t>
      </w:r>
    </w:p>
    <w:p w:rsidR="00157EF6" w:rsidRPr="00043A1E" w:rsidRDefault="00157EF6" w:rsidP="00AA120F">
      <w:pPr>
        <w:pStyle w:val="a5"/>
        <w:ind w:leftChars="75" w:left="180"/>
        <w:jc w:val="both"/>
        <w:rPr>
          <w:rFonts w:ascii="Times Ext Roman" w:hAnsi="Times Ext Roman" w:cs="Times Ext Roman"/>
          <w:szCs w:val="22"/>
        </w:rPr>
      </w:pPr>
      <w:r w:rsidRPr="00043A1E">
        <w:rPr>
          <w:rFonts w:ascii="Times Ext Roman" w:eastAsia="標楷體" w:hAnsi="新細明體" w:cs="Times Ext Roman"/>
          <w:szCs w:val="22"/>
        </w:rPr>
        <w:t>尊者大拘絺羅答曰：</w:t>
      </w:r>
      <w:r w:rsidRPr="00043A1E">
        <w:rPr>
          <w:rFonts w:ascii="Times Ext Roman" w:eastAsia="標楷體" w:hAnsi="新細明體" w:cs="Times Ext Roman" w:hint="eastAsia"/>
          <w:szCs w:val="22"/>
        </w:rPr>
        <w:t>「</w:t>
      </w:r>
      <w:r w:rsidRPr="00043A1E">
        <w:rPr>
          <w:rFonts w:ascii="Times Ext Roman" w:eastAsia="標楷體" w:hAnsi="新細明體" w:cs="Times Ext Roman"/>
          <w:szCs w:val="22"/>
        </w:rPr>
        <w:t>二因二緣而生正見。云何為二？一者</w:t>
      </w:r>
      <w:r w:rsidR="006F5958">
        <w:rPr>
          <w:rFonts w:ascii="標楷體" w:eastAsia="標楷體" w:hAnsi="標楷體" w:hint="eastAsia"/>
          <w:color w:val="FF0000"/>
          <w:spacing w:val="-4"/>
          <w:kern w:val="0"/>
          <w:highlight w:val="yellow"/>
        </w:rPr>
        <w:t>、</w:t>
      </w:r>
      <w:r w:rsidRPr="00043A1E">
        <w:rPr>
          <w:rFonts w:ascii="Times Ext Roman" w:eastAsia="標楷體" w:hAnsi="新細明體" w:cs="Times Ext Roman"/>
          <w:szCs w:val="22"/>
        </w:rPr>
        <w:t>從他聞，二者</w:t>
      </w:r>
      <w:r w:rsidR="006F5958">
        <w:rPr>
          <w:rFonts w:ascii="標楷體" w:eastAsia="標楷體" w:hAnsi="標楷體" w:hint="eastAsia"/>
          <w:color w:val="FF0000"/>
          <w:spacing w:val="-4"/>
          <w:kern w:val="0"/>
          <w:highlight w:val="yellow"/>
        </w:rPr>
        <w:t>、</w:t>
      </w:r>
      <w:r w:rsidRPr="00043A1E">
        <w:rPr>
          <w:rFonts w:ascii="Times Ext Roman" w:eastAsia="標楷體" w:hAnsi="新細明體" w:cs="Times Ext Roman"/>
          <w:szCs w:val="22"/>
        </w:rPr>
        <w:t>內自思惟</w:t>
      </w:r>
      <w:r w:rsidR="006F5958">
        <w:rPr>
          <w:rFonts w:ascii="標楷體" w:eastAsia="標楷體" w:hAnsi="標楷體" w:hint="eastAsia"/>
          <w:color w:val="FF0000"/>
          <w:kern w:val="0"/>
          <w:highlight w:val="yellow"/>
        </w:rPr>
        <w:t>。</w:t>
      </w:r>
      <w:r w:rsidRPr="00043A1E">
        <w:rPr>
          <w:rFonts w:ascii="Times Ext Roman" w:eastAsia="標楷體" w:hAnsi="新細明體" w:cs="Times Ext Roman"/>
          <w:szCs w:val="22"/>
        </w:rPr>
        <w:t>是謂二因二緣而生正見。</w:t>
      </w:r>
      <w:r w:rsidRPr="00043A1E">
        <w:rPr>
          <w:rFonts w:ascii="Times Ext Roman" w:eastAsia="標楷體" w:hAnsi="新細明體" w:cs="Times Ext Roman" w:hint="eastAsia"/>
          <w:szCs w:val="22"/>
        </w:rPr>
        <w:t>」</w:t>
      </w:r>
    </w:p>
  </w:footnote>
  <w:footnote w:id="764">
    <w:p w:rsidR="00355735" w:rsidRPr="00043A1E" w:rsidRDefault="00355735" w:rsidP="00355735">
      <w:pPr>
        <w:pStyle w:val="a5"/>
        <w:ind w:left="187" w:hangingChars="85" w:hanging="187"/>
        <w:jc w:val="both"/>
        <w:rPr>
          <w:rFonts w:ascii="Times Ext Roman" w:hAnsi="Times Ext Roman" w:cs="Times Ext Roman"/>
          <w:szCs w:val="22"/>
        </w:rPr>
      </w:pPr>
      <w:r w:rsidRPr="00355735">
        <w:rPr>
          <w:rStyle w:val="a6"/>
          <w:color w:val="FF0000"/>
          <w:szCs w:val="22"/>
          <w:highlight w:val="yellow"/>
        </w:rPr>
        <w:footnoteRef/>
      </w:r>
      <w:r w:rsidRPr="00355735">
        <w:rPr>
          <w:rFonts w:ascii="Times Ext Roman" w:hAnsi="新細明體" w:cs="Times Ext Roman" w:hint="eastAsia"/>
          <w:color w:val="FF0000"/>
          <w:szCs w:val="22"/>
        </w:rPr>
        <w:t xml:space="preserve"> </w:t>
      </w:r>
      <w:r w:rsidRPr="00355735">
        <w:rPr>
          <w:rFonts w:ascii="Times Ext Roman" w:hAnsi="新細明體" w:cs="Times Ext Roman" w:hint="eastAsia"/>
          <w:color w:val="FF0000"/>
          <w:szCs w:val="22"/>
          <w:highlight w:val="yellow"/>
        </w:rPr>
        <w:t>［唐］窺基撰</w:t>
      </w:r>
      <w:r w:rsidRPr="00355735">
        <w:rPr>
          <w:rFonts w:ascii="Times Ext Roman" w:hAnsi="新細明體" w:cs="Times Ext Roman"/>
          <w:color w:val="FF0000"/>
          <w:szCs w:val="22"/>
          <w:highlight w:val="yellow"/>
        </w:rPr>
        <w:t>《</w:t>
      </w:r>
      <w:r w:rsidRPr="00355735">
        <w:rPr>
          <w:rFonts w:ascii="Times Ext Roman" w:hAnsi="新細明體" w:cs="Times Ext Roman" w:hint="eastAsia"/>
          <w:color w:val="FF0000"/>
          <w:szCs w:val="22"/>
          <w:highlight w:val="yellow"/>
        </w:rPr>
        <w:t>成唯識論述記》卷</w:t>
      </w:r>
      <w:r w:rsidRPr="00355735">
        <w:rPr>
          <w:rFonts w:ascii="Times Ext Roman" w:hAnsi="新細明體" w:cs="Times Ext Roman" w:hint="eastAsia"/>
          <w:color w:val="FF0000"/>
          <w:szCs w:val="22"/>
          <w:highlight w:val="yellow"/>
        </w:rPr>
        <w:t>8</w:t>
      </w:r>
      <w:r w:rsidRPr="00355735">
        <w:rPr>
          <w:rFonts w:ascii="Times Ext Roman" w:hAnsi="新細明體" w:cs="Times Ext Roman"/>
          <w:color w:val="FF0000"/>
          <w:szCs w:val="22"/>
          <w:highlight w:val="yellow"/>
        </w:rPr>
        <w:t>（大正</w:t>
      </w:r>
      <w:r w:rsidRPr="00355735">
        <w:rPr>
          <w:rFonts w:ascii="Times Ext Roman" w:hAnsi="新細明體" w:cs="Times Ext Roman" w:hint="eastAsia"/>
          <w:color w:val="FF0000"/>
          <w:szCs w:val="22"/>
          <w:highlight w:val="yellow"/>
        </w:rPr>
        <w:t>43</w:t>
      </w:r>
      <w:r w:rsidRPr="00355735">
        <w:rPr>
          <w:rFonts w:ascii="Times Ext Roman" w:hAnsi="新細明體" w:cs="Times Ext Roman" w:hint="eastAsia"/>
          <w:color w:val="FF0000"/>
          <w:szCs w:val="22"/>
          <w:highlight w:val="yellow"/>
        </w:rPr>
        <w:t>，</w:t>
      </w:r>
      <w:r w:rsidRPr="00355735">
        <w:rPr>
          <w:rFonts w:ascii="Times Ext Roman" w:hAnsi="新細明體" w:cs="Times Ext Roman" w:hint="eastAsia"/>
          <w:color w:val="FF0000"/>
          <w:szCs w:val="22"/>
          <w:highlight w:val="yellow"/>
        </w:rPr>
        <w:t>512c1</w:t>
      </w:r>
      <w:r w:rsidR="006F5958">
        <w:rPr>
          <w:rFonts w:ascii="Times Ext Roman" w:hAnsi="新細明體" w:cs="Times Ext Roman" w:hint="eastAsia"/>
          <w:color w:val="FF0000"/>
          <w:szCs w:val="22"/>
          <w:highlight w:val="yellow"/>
        </w:rPr>
        <w:t>1</w:t>
      </w:r>
      <w:r w:rsidRPr="00355735">
        <w:rPr>
          <w:rFonts w:ascii="Times Ext Roman" w:hAnsi="新細明體" w:cs="Times Ext Roman" w:hint="eastAsia"/>
          <w:color w:val="FF0000"/>
          <w:szCs w:val="22"/>
          <w:highlight w:val="yellow"/>
        </w:rPr>
        <w:t>-13</w:t>
      </w:r>
      <w:r w:rsidRPr="00355735">
        <w:rPr>
          <w:rFonts w:ascii="Times Ext Roman" w:hAnsi="Times Ext Roman" w:cs="Times Ext Roman"/>
          <w:color w:val="FF0000"/>
          <w:szCs w:val="22"/>
          <w:highlight w:val="yellow"/>
        </w:rPr>
        <w:t>）</w:t>
      </w:r>
      <w:r w:rsidRPr="00355735">
        <w:rPr>
          <w:rFonts w:ascii="Times Ext Roman" w:hAnsi="新細明體" w:cs="Times Ext Roman"/>
          <w:color w:val="FF0000"/>
          <w:szCs w:val="22"/>
          <w:highlight w:val="yellow"/>
        </w:rPr>
        <w:t>：</w:t>
      </w:r>
      <w:r w:rsidRPr="00355735">
        <w:rPr>
          <w:rFonts w:ascii="Times Ext Roman" w:hAnsi="新細明體" w:cs="Times Ext Roman" w:hint="eastAsia"/>
          <w:color w:val="FF0000"/>
          <w:szCs w:val="22"/>
          <w:highlight w:val="yellow"/>
        </w:rPr>
        <w:t>「</w:t>
      </w:r>
      <w:r w:rsidR="006F5958" w:rsidRPr="006F5958">
        <w:rPr>
          <w:rFonts w:ascii="標楷體" w:eastAsia="標楷體" w:hAnsi="標楷體" w:cs="Times Ext Roman" w:hint="eastAsia"/>
          <w:color w:val="FF0000"/>
          <w:szCs w:val="22"/>
          <w:highlight w:val="yellow"/>
        </w:rPr>
        <w:t>前念五識現行相分為能熏，引相分種子，生於後念五識相分；</w:t>
      </w:r>
      <w:r w:rsidRPr="006F5958">
        <w:rPr>
          <w:rFonts w:ascii="標楷體" w:eastAsia="標楷體" w:hAnsi="標楷體" w:cs="Times Ext Roman" w:hint="eastAsia"/>
          <w:color w:val="FF0000"/>
          <w:szCs w:val="22"/>
          <w:highlight w:val="yellow"/>
        </w:rPr>
        <w:t>前念五相有力能生後</w:t>
      </w:r>
      <w:r w:rsidRPr="00355735">
        <w:rPr>
          <w:rFonts w:ascii="標楷體" w:eastAsia="標楷體" w:hAnsi="標楷體" w:cs="Times Ext Roman" w:hint="eastAsia"/>
          <w:color w:val="FF0000"/>
          <w:szCs w:val="22"/>
          <w:highlight w:val="yellow"/>
        </w:rPr>
        <w:t>識見分，故是</w:t>
      </w:r>
      <w:r w:rsidR="006F5958">
        <w:rPr>
          <w:rFonts w:eastAsia="標楷體" w:hint="eastAsia"/>
          <w:color w:val="FF0000"/>
          <w:szCs w:val="22"/>
          <w:highlight w:val="yellow"/>
        </w:rPr>
        <w:t>『</w:t>
      </w:r>
      <w:r w:rsidRPr="00355735">
        <w:rPr>
          <w:rFonts w:ascii="標楷體" w:eastAsia="標楷體" w:hAnsi="標楷體" w:cs="Times Ext Roman" w:hint="eastAsia"/>
          <w:color w:val="FF0000"/>
          <w:szCs w:val="22"/>
          <w:highlight w:val="yellow"/>
        </w:rPr>
        <w:t>緣</w:t>
      </w:r>
      <w:r w:rsidR="006F5958">
        <w:rPr>
          <w:rFonts w:eastAsia="標楷體" w:hint="eastAsia"/>
          <w:color w:val="FF0000"/>
          <w:szCs w:val="22"/>
          <w:highlight w:val="yellow"/>
        </w:rPr>
        <w:t>』</w:t>
      </w:r>
      <w:r w:rsidRPr="00355735">
        <w:rPr>
          <w:rFonts w:ascii="標楷體" w:eastAsia="標楷體" w:hAnsi="標楷體" w:cs="Times Ext Roman" w:hint="eastAsia"/>
          <w:color w:val="FF0000"/>
          <w:szCs w:val="22"/>
          <w:highlight w:val="yellow"/>
        </w:rPr>
        <w:t>義。</w:t>
      </w:r>
      <w:r w:rsidRPr="00355735">
        <w:rPr>
          <w:rFonts w:ascii="Times Ext Roman" w:hAnsi="新細明體" w:cs="Times Ext Roman" w:hint="eastAsia"/>
          <w:szCs w:val="22"/>
        </w:rPr>
        <w:t>」</w:t>
      </w:r>
    </w:p>
  </w:footnote>
  <w:footnote w:id="765">
    <w:p w:rsidR="00157EF6" w:rsidRPr="00043A1E" w:rsidRDefault="00157EF6" w:rsidP="00AA120F">
      <w:pPr>
        <w:pStyle w:val="a5"/>
        <w:spacing w:line="0" w:lineRule="atLeast"/>
        <w:ind w:left="726" w:hangingChars="330" w:hanging="726"/>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szCs w:val="22"/>
        </w:rPr>
        <w:t>四緣：因緣、等無間緣</w:t>
      </w:r>
      <w:r w:rsidRPr="00043A1E">
        <w:rPr>
          <w:rFonts w:hint="eastAsia"/>
          <w:szCs w:val="22"/>
        </w:rPr>
        <w:t>、</w:t>
      </w:r>
      <w:r w:rsidRPr="00043A1E">
        <w:rPr>
          <w:szCs w:val="22"/>
        </w:rPr>
        <w:t>所緣緣</w:t>
      </w:r>
      <w:r w:rsidRPr="00043A1E">
        <w:rPr>
          <w:rFonts w:hint="eastAsia"/>
          <w:szCs w:val="22"/>
        </w:rPr>
        <w:t>、</w:t>
      </w:r>
      <w:r w:rsidRPr="00043A1E">
        <w:rPr>
          <w:szCs w:val="22"/>
        </w:rPr>
        <w:t>增上</w:t>
      </w:r>
      <w:r w:rsidRPr="00043A1E">
        <w:rPr>
          <w:rFonts w:hint="eastAsia"/>
          <w:szCs w:val="22"/>
        </w:rPr>
        <w:t>緣。</w:t>
      </w:r>
    </w:p>
    <w:p w:rsidR="00157EF6" w:rsidRPr="00043A1E" w:rsidRDefault="00157EF6" w:rsidP="00AA120F">
      <w:pPr>
        <w:pStyle w:val="a5"/>
        <w:ind w:leftChars="80" w:left="73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w:t>
      </w:r>
      <w:r w:rsidRPr="00043A1E">
        <w:rPr>
          <w:rFonts w:ascii="新細明體" w:hAnsi="新細明體" w:hint="eastAsia"/>
          <w:szCs w:val="22"/>
        </w:rPr>
        <w:t>印順法師，《中觀論頌講記》，</w:t>
      </w:r>
      <w:r w:rsidRPr="00761EF3">
        <w:rPr>
          <w:rFonts w:hint="eastAsia"/>
          <w:szCs w:val="22"/>
        </w:rPr>
        <w:t>pp</w:t>
      </w:r>
      <w:r w:rsidRPr="00043A1E">
        <w:rPr>
          <w:rFonts w:hint="eastAsia"/>
          <w:szCs w:val="22"/>
        </w:rPr>
        <w:t>.</w:t>
      </w:r>
      <w:r w:rsidRPr="00761EF3">
        <w:rPr>
          <w:rFonts w:hint="eastAsia"/>
          <w:szCs w:val="22"/>
        </w:rPr>
        <w:t>65</w:t>
      </w:r>
      <w:r w:rsidRPr="00043A1E">
        <w:rPr>
          <w:rFonts w:hint="eastAsia"/>
          <w:szCs w:val="22"/>
        </w:rPr>
        <w:t>-</w:t>
      </w:r>
      <w:r w:rsidRPr="00761EF3">
        <w:rPr>
          <w:rFonts w:hint="eastAsia"/>
          <w:szCs w:val="22"/>
        </w:rPr>
        <w:t>67</w:t>
      </w:r>
      <w:r w:rsidRPr="00043A1E">
        <w:rPr>
          <w:rFonts w:hint="eastAsia"/>
          <w:szCs w:val="22"/>
        </w:rPr>
        <w:t>：</w:t>
      </w:r>
    </w:p>
    <w:p w:rsidR="00157EF6" w:rsidRPr="00043A1E" w:rsidRDefault="00157EF6" w:rsidP="00A640FC">
      <w:pPr>
        <w:pStyle w:val="afd"/>
      </w:pPr>
      <w:r w:rsidRPr="00043A1E">
        <w:rPr>
          <w:rFonts w:hint="eastAsia"/>
          <w:b/>
        </w:rPr>
        <w:t>「因緣」</w:t>
      </w:r>
      <w:r w:rsidRPr="00043A1E">
        <w:rPr>
          <w:rFonts w:hint="eastAsia"/>
        </w:rPr>
        <w:t>，在大乘唯識學上，說唯有種子生現行，現行熏種子是因緣。但有部說因緣，體性是一切有為法，在有為法作六因中的前五因（同類因，俱有因，相應因，遍行因，異熟因）時，都名因緣。意義是能為親因的緣。</w:t>
      </w:r>
    </w:p>
    <w:p w:rsidR="00157EF6" w:rsidRPr="00043A1E" w:rsidRDefault="00157EF6" w:rsidP="00A640FC">
      <w:pPr>
        <w:pStyle w:val="afd"/>
      </w:pPr>
      <w:r w:rsidRPr="00043A1E">
        <w:rPr>
          <w:rFonts w:hint="eastAsia"/>
          <w:b/>
        </w:rPr>
        <w:t>「次第緣」就是等無間緣</w:t>
      </w:r>
      <w:r w:rsidRPr="00043A1E">
        <w:rPr>
          <w:rFonts w:hint="eastAsia"/>
        </w:rPr>
        <w:t>，體性是一分的心心所法。前念的心心所法，能為次第的後念心心所法生起之緣，所以叫次第緣。有部的因緣，是通於三世的，次第緣則限於過去、現在，因為未來世的心心所法，是雜亂的，還沒有必然的次第性。過去、現在中，還要除去阿羅漢的最後心，因為剎那滅後，不再引生後念的心心所，所以也不是次第緣。</w:t>
      </w:r>
    </w:p>
    <w:p w:rsidR="00157EF6" w:rsidRPr="00043A1E" w:rsidRDefault="00157EF6" w:rsidP="00A640FC">
      <w:pPr>
        <w:pStyle w:val="afd"/>
      </w:pPr>
      <w:r w:rsidRPr="00043A1E">
        <w:rPr>
          <w:rFonts w:hint="eastAsia"/>
          <w:b/>
        </w:rPr>
        <w:t>「緣緣」，就是所緣緣</w:t>
      </w:r>
      <w:r w:rsidRPr="00043A1E">
        <w:rPr>
          <w:rFonts w:hint="eastAsia"/>
        </w:rPr>
        <w:t>。心心所的生起，必有他的所緣境，這所緣境，能為心心所生起之緣，所以叫（所）緣緣。像滅諦無為等，都是所緣的，可知的，所以緣緣通於一切法。</w:t>
      </w:r>
    </w:p>
    <w:p w:rsidR="00157EF6" w:rsidRPr="00043A1E" w:rsidRDefault="00157EF6" w:rsidP="00A640FC">
      <w:pPr>
        <w:pStyle w:val="afd"/>
      </w:pPr>
      <w:r w:rsidRPr="00043A1E">
        <w:rPr>
          <w:rFonts w:hint="eastAsia"/>
          <w:b/>
        </w:rPr>
        <w:t>「增上緣」</w:t>
      </w:r>
      <w:r w:rsidRPr="00043A1E">
        <w:rPr>
          <w:rFonts w:hint="eastAsia"/>
        </w:rPr>
        <w:t>，不論那一法，凡是有生起他法的勝用，或者不礙其他法的生起，都叫增上緣。這本可以總括一切緣，這裡是指三緣以外的一切。</w:t>
      </w:r>
    </w:p>
    <w:p w:rsidR="00157EF6" w:rsidRPr="00043A1E" w:rsidRDefault="00157EF6" w:rsidP="00A640FC">
      <w:pPr>
        <w:pStyle w:val="afd"/>
      </w:pPr>
      <w:r w:rsidRPr="00043A1E">
        <w:rPr>
          <w:rFonts w:hint="eastAsia"/>
        </w:rPr>
        <w:t>一切法生，不出此四緣，此外更沒有餘緣可以生法的。所以說：「四緣生諸法，更無第五緣。」</w:t>
      </w:r>
    </w:p>
    <w:p w:rsidR="00157EF6" w:rsidRPr="00043A1E" w:rsidRDefault="00157EF6" w:rsidP="00A640FC">
      <w:pPr>
        <w:pStyle w:val="afd"/>
      </w:pPr>
      <w:r w:rsidRPr="00043A1E">
        <w:rPr>
          <w:rFonts w:hint="eastAsia"/>
        </w:rPr>
        <w:t>從緣生的一切有為法，不外心、色、非色非心三類。</w:t>
      </w:r>
    </w:p>
    <w:p w:rsidR="00157EF6" w:rsidRPr="00043A1E" w:rsidRDefault="00157EF6" w:rsidP="00A640FC">
      <w:pPr>
        <w:pStyle w:val="afd"/>
      </w:pPr>
      <w:r w:rsidRPr="00043A1E">
        <w:rPr>
          <w:rFonts w:hint="eastAsia"/>
          <w:b/>
        </w:rPr>
        <w:t>色法</w:t>
      </w:r>
      <w:r w:rsidRPr="00043A1E">
        <w:rPr>
          <w:rFonts w:hint="eastAsia"/>
        </w:rPr>
        <w:t>是依因緣、增上緣二緣生的。</w:t>
      </w:r>
    </w:p>
    <w:p w:rsidR="00157EF6" w:rsidRPr="00043A1E" w:rsidRDefault="00157EF6" w:rsidP="00A640FC">
      <w:pPr>
        <w:pStyle w:val="afd"/>
      </w:pPr>
      <w:r w:rsidRPr="00043A1E">
        <w:rPr>
          <w:rFonts w:hint="eastAsia"/>
          <w:b/>
        </w:rPr>
        <w:t>心、心所法</w:t>
      </w:r>
      <w:r w:rsidRPr="00043A1E">
        <w:rPr>
          <w:rFonts w:hint="eastAsia"/>
        </w:rPr>
        <w:t>，依四緣生。</w:t>
      </w:r>
    </w:p>
    <w:p w:rsidR="00157EF6" w:rsidRPr="00043A1E" w:rsidRDefault="00157EF6" w:rsidP="00A640FC">
      <w:pPr>
        <w:pStyle w:val="afd"/>
      </w:pPr>
      <w:r w:rsidRPr="00043A1E">
        <w:rPr>
          <w:rFonts w:hint="eastAsia"/>
          <w:b/>
        </w:rPr>
        <w:t>非色非心的不相應行法</w:t>
      </w:r>
      <w:r w:rsidRPr="00043A1E">
        <w:rPr>
          <w:rFonts w:hint="eastAsia"/>
        </w:rPr>
        <w:t>中，像無想定、滅盡定，有因緣、次第緣、增上緣三緣；不是心法，所以沒有所緣緣。其他的非色非心法，也從因緣、增上緣二緣生。</w:t>
      </w:r>
    </w:p>
    <w:p w:rsidR="00157EF6" w:rsidRPr="00043A1E" w:rsidRDefault="00157EF6" w:rsidP="00A640FC">
      <w:pPr>
        <w:pStyle w:val="afd"/>
      </w:pPr>
      <w:r w:rsidRPr="00043A1E">
        <w:rPr>
          <w:rFonts w:hint="eastAsia"/>
        </w:rPr>
        <w:t>由此四緣，一切法得生。</w:t>
      </w:r>
    </w:p>
  </w:footnote>
  <w:footnote w:id="766">
    <w:p w:rsidR="00157EF6" w:rsidRPr="00043A1E" w:rsidRDefault="00157EF6" w:rsidP="00AA120F">
      <w:pPr>
        <w:pStyle w:val="a5"/>
        <w:spacing w:line="0" w:lineRule="atLeast"/>
        <w:ind w:left="726" w:hangingChars="330" w:hanging="726"/>
        <w:jc w:val="both"/>
        <w:rPr>
          <w:rFonts w:ascii="Times Ext Roman" w:hAnsi="新細明體" w:cs="Times Ext Roman"/>
          <w:szCs w:val="22"/>
        </w:rPr>
      </w:pPr>
      <w:r w:rsidRPr="00043A1E">
        <w:rPr>
          <w:rStyle w:val="a6"/>
          <w:szCs w:val="22"/>
        </w:rPr>
        <w:footnoteRef/>
      </w:r>
      <w:r w:rsidRPr="00043A1E">
        <w:rPr>
          <w:rFonts w:ascii="Times Ext Roman" w:hAnsi="新細明體" w:cs="Times Ext Roman" w:hint="eastAsia"/>
          <w:szCs w:val="22"/>
        </w:rPr>
        <w:t xml:space="preserve"> </w:t>
      </w:r>
      <w:r w:rsidRPr="00043A1E">
        <w:rPr>
          <w:rFonts w:ascii="Times Ext Roman" w:hAnsi="新細明體" w:cs="Times Ext Roman" w:hint="eastAsia"/>
          <w:szCs w:val="22"/>
        </w:rPr>
        <w:t>（</w:t>
      </w:r>
      <w:r w:rsidRPr="00761EF3">
        <w:rPr>
          <w:rFonts w:hint="eastAsia"/>
          <w:szCs w:val="22"/>
        </w:rPr>
        <w:t>1</w:t>
      </w:r>
      <w:r w:rsidRPr="00043A1E">
        <w:rPr>
          <w:rFonts w:ascii="Times Ext Roman" w:hAnsi="新細明體" w:cs="Times Ext Roman" w:hint="eastAsia"/>
          <w:szCs w:val="22"/>
        </w:rPr>
        <w:t>）五種果</w:t>
      </w:r>
      <w:r w:rsidRPr="00043A1E">
        <w:rPr>
          <w:rFonts w:ascii="Times Ext Roman" w:hAnsi="新細明體" w:cs="Times Ext Roman"/>
          <w:szCs w:val="22"/>
        </w:rPr>
        <w:t>：</w:t>
      </w:r>
      <w:r w:rsidRPr="00043A1E">
        <w:rPr>
          <w:rFonts w:ascii="Times Ext Roman" w:hAnsi="新細明體" w:cs="Times Ext Roman" w:hint="eastAsia"/>
          <w:szCs w:val="22"/>
        </w:rPr>
        <w:t>梵語</w:t>
      </w:r>
      <w:r w:rsidRPr="00761EF3">
        <w:rPr>
          <w:szCs w:val="22"/>
        </w:rPr>
        <w:t>pañca</w:t>
      </w:r>
      <w:r w:rsidRPr="00043A1E">
        <w:rPr>
          <w:szCs w:val="22"/>
        </w:rPr>
        <w:t xml:space="preserve"> </w:t>
      </w:r>
      <w:r w:rsidRPr="00761EF3">
        <w:rPr>
          <w:szCs w:val="22"/>
        </w:rPr>
        <w:t>phalāni</w:t>
      </w:r>
      <w:r w:rsidRPr="00043A1E">
        <w:rPr>
          <w:rFonts w:ascii="Times Ext Roman" w:hAnsi="新細明體" w:cs="Times Ext Roman" w:hint="eastAsia"/>
          <w:szCs w:val="22"/>
        </w:rPr>
        <w:t>。又作五果。</w:t>
      </w:r>
      <w:r w:rsidRPr="00537B91">
        <w:rPr>
          <w:rFonts w:ascii="Times Ext Roman" w:hAnsi="新細明體" w:cs="Times Ext Roman" w:hint="eastAsia"/>
          <w:color w:val="FF0000"/>
          <w:szCs w:val="22"/>
          <w:shd w:val="pct15" w:color="auto" w:fill="FFFFFF"/>
        </w:rPr>
        <w:t>……</w:t>
      </w:r>
    </w:p>
    <w:p w:rsidR="00157EF6" w:rsidRPr="00043A1E" w:rsidRDefault="00157EF6" w:rsidP="00AA120F">
      <w:pPr>
        <w:pStyle w:val="a5"/>
        <w:ind w:leftChars="305" w:left="1172" w:hangingChars="200" w:hanging="440"/>
        <w:jc w:val="both"/>
        <w:rPr>
          <w:rFonts w:ascii="Times Ext Roman" w:hAnsi="新細明體" w:cs="Times Ext Roman"/>
          <w:szCs w:val="22"/>
        </w:rPr>
      </w:pPr>
      <w:r w:rsidRPr="00043A1E">
        <w:rPr>
          <w:rFonts w:ascii="Times Ext Roman" w:hAnsi="新細明體" w:cs="Times Ext Roman" w:hint="eastAsia"/>
          <w:b/>
          <w:szCs w:val="22"/>
        </w:rPr>
        <w:t>一、等流果</w:t>
      </w:r>
      <w:r w:rsidRPr="00043A1E">
        <w:rPr>
          <w:rFonts w:ascii="Times Ext Roman" w:hAnsi="新細明體" w:cs="Times Ext Roman" w:hint="eastAsia"/>
          <w:szCs w:val="22"/>
        </w:rPr>
        <w:t>（</w:t>
      </w:r>
      <w:r w:rsidRPr="00761EF3">
        <w:rPr>
          <w:szCs w:val="22"/>
        </w:rPr>
        <w:t>niṣyanda</w:t>
      </w:r>
      <w:r w:rsidRPr="00043A1E">
        <w:rPr>
          <w:szCs w:val="22"/>
        </w:rPr>
        <w:t>-</w:t>
      </w:r>
      <w:r w:rsidRPr="00761EF3">
        <w:rPr>
          <w:szCs w:val="22"/>
        </w:rPr>
        <w:t>phala</w:t>
      </w:r>
      <w:r w:rsidRPr="00043A1E">
        <w:rPr>
          <w:rFonts w:ascii="Times Ext Roman" w:hAnsi="新細明體" w:cs="Times Ext Roman" w:hint="eastAsia"/>
          <w:szCs w:val="22"/>
        </w:rPr>
        <w:t>），謂眾生由修不善之故，而樂住於不善，則不善之業轉多，反之亦然；如此則果隨業轉，業與果同，業果相似，故稱等流果。</w:t>
      </w:r>
    </w:p>
    <w:p w:rsidR="00157EF6" w:rsidRPr="00043A1E" w:rsidRDefault="00157EF6" w:rsidP="00AA120F">
      <w:pPr>
        <w:pStyle w:val="a5"/>
        <w:ind w:leftChars="305" w:left="1172" w:hangingChars="200" w:hanging="440"/>
        <w:jc w:val="both"/>
        <w:rPr>
          <w:rFonts w:ascii="Times Ext Roman" w:hAnsi="新細明體" w:cs="Times Ext Roman"/>
          <w:szCs w:val="22"/>
        </w:rPr>
      </w:pPr>
      <w:r w:rsidRPr="00043A1E">
        <w:rPr>
          <w:rFonts w:ascii="Times Ext Roman" w:hAnsi="新細明體" w:cs="Times Ext Roman" w:hint="eastAsia"/>
          <w:b/>
          <w:szCs w:val="22"/>
        </w:rPr>
        <w:t>二、異熟果</w:t>
      </w:r>
      <w:r w:rsidRPr="00043A1E">
        <w:rPr>
          <w:rFonts w:ascii="Times Ext Roman" w:hAnsi="新細明體" w:cs="Times Ext Roman" w:hint="eastAsia"/>
          <w:szCs w:val="22"/>
        </w:rPr>
        <w:t>（</w:t>
      </w:r>
      <w:r w:rsidRPr="00761EF3">
        <w:rPr>
          <w:szCs w:val="22"/>
        </w:rPr>
        <w:t>vipāka</w:t>
      </w:r>
      <w:r w:rsidRPr="00043A1E">
        <w:rPr>
          <w:szCs w:val="22"/>
        </w:rPr>
        <w:t>-</w:t>
      </w:r>
      <w:r w:rsidRPr="00761EF3">
        <w:rPr>
          <w:szCs w:val="22"/>
        </w:rPr>
        <w:t>phala</w:t>
      </w:r>
      <w:r w:rsidRPr="00043A1E">
        <w:rPr>
          <w:rFonts w:ascii="Times Ext Roman" w:hAnsi="新細明體" w:cs="Times Ext Roman" w:hint="eastAsia"/>
          <w:szCs w:val="22"/>
        </w:rPr>
        <w:t>），謂眾生以現世惡業招來世三惡之苦，以現世善業招來世人天之樂果；以其異世而成熟，故稱異熟果。</w:t>
      </w:r>
    </w:p>
    <w:p w:rsidR="00157EF6" w:rsidRPr="00043A1E" w:rsidRDefault="00157EF6" w:rsidP="00AA120F">
      <w:pPr>
        <w:pStyle w:val="a5"/>
        <w:ind w:leftChars="305" w:left="1172" w:hangingChars="200" w:hanging="440"/>
        <w:jc w:val="both"/>
        <w:rPr>
          <w:rFonts w:ascii="Times Ext Roman" w:hAnsi="Times Ext Roman" w:cs="Times Ext Roman"/>
          <w:szCs w:val="22"/>
        </w:rPr>
      </w:pPr>
      <w:r w:rsidRPr="00043A1E">
        <w:rPr>
          <w:rFonts w:ascii="Times Ext Roman" w:hAnsi="新細明體" w:cs="Times Ext Roman" w:hint="eastAsia"/>
          <w:b/>
          <w:szCs w:val="22"/>
        </w:rPr>
        <w:t>三、離繫果</w:t>
      </w:r>
      <w:r w:rsidRPr="00043A1E">
        <w:rPr>
          <w:rFonts w:ascii="Times Ext Roman" w:hAnsi="新細明體" w:cs="Times Ext Roman" w:hint="eastAsia"/>
          <w:szCs w:val="22"/>
        </w:rPr>
        <w:t>（</w:t>
      </w:r>
      <w:r w:rsidRPr="00761EF3">
        <w:rPr>
          <w:szCs w:val="22"/>
        </w:rPr>
        <w:t>visaṃyoga</w:t>
      </w:r>
      <w:r w:rsidRPr="00043A1E">
        <w:rPr>
          <w:szCs w:val="22"/>
        </w:rPr>
        <w:t>-</w:t>
      </w:r>
      <w:r w:rsidRPr="00761EF3">
        <w:rPr>
          <w:szCs w:val="22"/>
        </w:rPr>
        <w:t>phala</w:t>
      </w:r>
      <w:r w:rsidRPr="00043A1E">
        <w:rPr>
          <w:rFonts w:ascii="Times Ext Roman" w:hAnsi="新細明體" w:cs="Times Ext Roman" w:hint="eastAsia"/>
          <w:szCs w:val="22"/>
        </w:rPr>
        <w:t>），即無為果。依涅槃之道力而證之者，遠離一切煩惱繫縛。</w:t>
      </w:r>
    </w:p>
    <w:p w:rsidR="00157EF6" w:rsidRPr="00043A1E" w:rsidRDefault="00157EF6" w:rsidP="00AA120F">
      <w:pPr>
        <w:pStyle w:val="a5"/>
        <w:ind w:leftChars="305" w:left="1172" w:hangingChars="200" w:hanging="440"/>
        <w:jc w:val="both"/>
        <w:rPr>
          <w:rFonts w:ascii="Times Ext Roman" w:hAnsi="新細明體" w:cs="Times Ext Roman"/>
          <w:szCs w:val="22"/>
        </w:rPr>
      </w:pPr>
      <w:r w:rsidRPr="00043A1E">
        <w:rPr>
          <w:rFonts w:ascii="Times Ext Roman" w:hAnsi="Times Ext Roman" w:cs="Times Ext Roman" w:hint="eastAsia"/>
          <w:b/>
          <w:szCs w:val="22"/>
        </w:rPr>
        <w:t>四、</w:t>
      </w:r>
      <w:r w:rsidRPr="00043A1E">
        <w:rPr>
          <w:rFonts w:ascii="Times Ext Roman" w:hAnsi="Times Ext Roman" w:cs="Times Ext Roman"/>
          <w:b/>
          <w:szCs w:val="22"/>
        </w:rPr>
        <w:t>士用果</w:t>
      </w:r>
      <w:r w:rsidRPr="00043A1E">
        <w:rPr>
          <w:rFonts w:ascii="Times Ext Roman" w:hAnsi="Times Ext Roman" w:cs="Times Ext Roman"/>
          <w:szCs w:val="22"/>
        </w:rPr>
        <w:t>（</w:t>
      </w:r>
      <w:r w:rsidRPr="00761EF3">
        <w:rPr>
          <w:szCs w:val="22"/>
        </w:rPr>
        <w:t>puruṣakāra</w:t>
      </w:r>
      <w:r w:rsidRPr="00043A1E">
        <w:rPr>
          <w:szCs w:val="22"/>
        </w:rPr>
        <w:t>-</w:t>
      </w:r>
      <w:r w:rsidRPr="00761EF3">
        <w:rPr>
          <w:szCs w:val="22"/>
        </w:rPr>
        <w:t>phala</w:t>
      </w:r>
      <w:r w:rsidRPr="00043A1E">
        <w:rPr>
          <w:rFonts w:ascii="Times Ext Roman" w:hAnsi="Times Ext Roman" w:cs="Times Ext Roman"/>
          <w:szCs w:val="22"/>
        </w:rPr>
        <w:t>），士用，謂士夫所用，即造作之力用</w:t>
      </w:r>
      <w:r w:rsidRPr="00043A1E">
        <w:rPr>
          <w:rFonts w:ascii="Times Ext Roman" w:hAnsi="新細明體" w:cs="Times Ext Roman" w:hint="eastAsia"/>
          <w:szCs w:val="22"/>
        </w:rPr>
        <w:t>。謂於世間諸法，隨依一種而起士夫之用，如農夫因稼而苗稼成熟，商人因貨而獲利；以其依於造作之力用而得，故稱士用果。</w:t>
      </w:r>
    </w:p>
    <w:p w:rsidR="00157EF6" w:rsidRPr="00043A1E" w:rsidRDefault="00157EF6" w:rsidP="00AA120F">
      <w:pPr>
        <w:pStyle w:val="a5"/>
        <w:ind w:leftChars="305" w:left="1172" w:hangingChars="200" w:hanging="440"/>
        <w:jc w:val="both"/>
        <w:rPr>
          <w:rFonts w:ascii="Times Ext Roman" w:hAnsi="新細明體" w:cs="Times Ext Roman"/>
          <w:szCs w:val="22"/>
        </w:rPr>
      </w:pPr>
      <w:r w:rsidRPr="00043A1E">
        <w:rPr>
          <w:rFonts w:ascii="Times Ext Roman" w:hAnsi="新細明體" w:cs="Times Ext Roman" w:hint="eastAsia"/>
          <w:b/>
          <w:szCs w:val="22"/>
        </w:rPr>
        <w:t>五、增上果</w:t>
      </w:r>
      <w:r w:rsidRPr="00043A1E">
        <w:rPr>
          <w:rFonts w:ascii="Times Ext Roman" w:hAnsi="新細明體" w:cs="Times Ext Roman" w:hint="eastAsia"/>
          <w:szCs w:val="22"/>
        </w:rPr>
        <w:t>（</w:t>
      </w:r>
      <w:r w:rsidRPr="00761EF3">
        <w:rPr>
          <w:rFonts w:hint="eastAsia"/>
          <w:szCs w:val="22"/>
        </w:rPr>
        <w:t>adhipati</w:t>
      </w:r>
      <w:r w:rsidRPr="00043A1E">
        <w:rPr>
          <w:rFonts w:hint="eastAsia"/>
          <w:szCs w:val="22"/>
        </w:rPr>
        <w:t>-</w:t>
      </w:r>
      <w:r w:rsidRPr="00761EF3">
        <w:rPr>
          <w:rFonts w:hint="eastAsia"/>
          <w:szCs w:val="22"/>
        </w:rPr>
        <w:t>phala</w:t>
      </w:r>
      <w:r w:rsidRPr="00043A1E">
        <w:rPr>
          <w:rFonts w:ascii="Times Ext Roman" w:hAnsi="新細明體" w:cs="Times Ext Roman" w:hint="eastAsia"/>
          <w:szCs w:val="22"/>
        </w:rPr>
        <w:t>），謂眼、耳、鼻、舌、身、意諸根識，由和合照境而成諸事，故六根各有增上勝力；如眼根雖有見性，但若無眼識之緣境，則無照用之力，故稱增上果。</w:t>
      </w:r>
      <w:r w:rsidRPr="00043A1E">
        <w:rPr>
          <w:rFonts w:ascii="Times Ext Roman" w:hAnsi="新細明體" w:cs="Times Ext Roman"/>
          <w:szCs w:val="22"/>
        </w:rPr>
        <w:t>（《</w:t>
      </w:r>
      <w:r w:rsidRPr="00043A1E">
        <w:rPr>
          <w:rFonts w:ascii="Times Ext Roman" w:hAnsi="新細明體" w:cs="Times Ext Roman" w:hint="eastAsia"/>
          <w:szCs w:val="22"/>
        </w:rPr>
        <w:t>佛光</w:t>
      </w:r>
      <w:r w:rsidRPr="00043A1E">
        <w:rPr>
          <w:rFonts w:ascii="Times Ext Roman" w:hAnsi="新細明體" w:cs="Times Ext Roman"/>
          <w:szCs w:val="22"/>
        </w:rPr>
        <w:t>大</w:t>
      </w:r>
      <w:r w:rsidRPr="00043A1E">
        <w:rPr>
          <w:rFonts w:ascii="Times Ext Roman" w:hAnsi="新細明體" w:cs="Times Ext Roman" w:hint="eastAsia"/>
          <w:szCs w:val="22"/>
        </w:rPr>
        <w:t>辭</w:t>
      </w:r>
      <w:r w:rsidRPr="00043A1E">
        <w:rPr>
          <w:rFonts w:ascii="Times Ext Roman" w:hAnsi="新細明體" w:cs="Times Ext Roman"/>
          <w:szCs w:val="22"/>
        </w:rPr>
        <w:t>典》（</w:t>
      </w:r>
      <w:r w:rsidRPr="00043A1E">
        <w:rPr>
          <w:rFonts w:ascii="Times Ext Roman" w:hAnsi="新細明體" w:cs="Times Ext Roman" w:hint="eastAsia"/>
          <w:szCs w:val="22"/>
        </w:rPr>
        <w:t>二</w:t>
      </w:r>
      <w:r w:rsidRPr="00043A1E">
        <w:rPr>
          <w:rFonts w:ascii="Times Ext Roman" w:hAnsi="新細明體" w:cs="Times Ext Roman"/>
          <w:szCs w:val="22"/>
        </w:rPr>
        <w:t>）</w:t>
      </w:r>
      <w:r w:rsidRPr="00043A1E">
        <w:rPr>
          <w:rFonts w:ascii="Times Ext Roman" w:hAnsi="新細明體" w:cs="Times Ext Roman" w:hint="eastAsia"/>
          <w:szCs w:val="22"/>
        </w:rPr>
        <w:t>，</w:t>
      </w:r>
      <w:r w:rsidRPr="00761EF3">
        <w:rPr>
          <w:szCs w:val="22"/>
        </w:rPr>
        <w:t>p</w:t>
      </w:r>
      <w:r w:rsidRPr="00043A1E">
        <w:rPr>
          <w:szCs w:val="22"/>
        </w:rPr>
        <w:t>.</w:t>
      </w:r>
      <w:r w:rsidRPr="00761EF3">
        <w:rPr>
          <w:rFonts w:hint="eastAsia"/>
          <w:szCs w:val="22"/>
        </w:rPr>
        <w:t>1180</w:t>
      </w:r>
      <w:r w:rsidRPr="00043A1E">
        <w:rPr>
          <w:rFonts w:ascii="Times Ext Roman" w:hAnsi="新細明體" w:cs="Times Ext Roman"/>
          <w:szCs w:val="22"/>
        </w:rPr>
        <w:t>）</w:t>
      </w:r>
    </w:p>
    <w:p w:rsidR="00157EF6" w:rsidRPr="00043A1E" w:rsidRDefault="00157EF6" w:rsidP="00AA120F">
      <w:pPr>
        <w:pStyle w:val="a5"/>
        <w:ind w:leftChars="80" w:left="731" w:hangingChars="245" w:hanging="539"/>
        <w:jc w:val="both"/>
        <w:rPr>
          <w:rFonts w:ascii="Times Ext Roman" w:hAnsi="新細明體" w:cs="Times Ext Roman"/>
          <w:szCs w:val="22"/>
        </w:rPr>
      </w:pPr>
      <w:r w:rsidRPr="00043A1E">
        <w:rPr>
          <w:rFonts w:ascii="Times Ext Roman" w:hAnsi="新細明體" w:cs="Times Ext Roman" w:hint="eastAsia"/>
          <w:szCs w:val="22"/>
        </w:rPr>
        <w:t>（</w:t>
      </w:r>
      <w:r w:rsidRPr="00761EF3">
        <w:rPr>
          <w:rFonts w:hint="eastAsia"/>
          <w:szCs w:val="22"/>
        </w:rPr>
        <w:t>2</w:t>
      </w:r>
      <w:r w:rsidRPr="00043A1E">
        <w:rPr>
          <w:rFonts w:ascii="Times Ext Roman" w:hAnsi="新細明體" w:cs="Times Ext Roman" w:hint="eastAsia"/>
          <w:szCs w:val="22"/>
        </w:rPr>
        <w:t>）</w:t>
      </w:r>
      <w:r w:rsidRPr="00043A1E">
        <w:rPr>
          <w:rFonts w:cs="Times Ext Roman" w:hint="eastAsia"/>
          <w:szCs w:val="22"/>
        </w:rPr>
        <w:t>參見</w:t>
      </w:r>
      <w:r w:rsidRPr="00043A1E">
        <w:rPr>
          <w:rFonts w:ascii="Times Ext Roman" w:hAnsi="新細明體" w:cs="Times Ext Roman" w:hint="eastAsia"/>
          <w:szCs w:val="22"/>
        </w:rPr>
        <w:t>《阿毘達磨大毘婆沙論》卷</w:t>
      </w:r>
      <w:r w:rsidRPr="00761EF3">
        <w:rPr>
          <w:rFonts w:hint="eastAsia"/>
          <w:szCs w:val="22"/>
        </w:rPr>
        <w:t>121</w:t>
      </w:r>
      <w:r w:rsidRPr="00043A1E">
        <w:rPr>
          <w:rFonts w:ascii="Times Ext Roman" w:hAnsi="Times Ext Roman" w:cs="Times Ext Roman"/>
          <w:szCs w:val="22"/>
        </w:rPr>
        <w:t>（</w:t>
      </w:r>
      <w:r w:rsidRPr="00043A1E">
        <w:rPr>
          <w:rFonts w:ascii="Times Ext Roman" w:hAnsi="新細明體" w:cs="Times Ext Roman"/>
          <w:szCs w:val="22"/>
        </w:rPr>
        <w:t>大正</w:t>
      </w:r>
      <w:r w:rsidRPr="00761EF3">
        <w:rPr>
          <w:rFonts w:hint="eastAsia"/>
          <w:szCs w:val="22"/>
        </w:rPr>
        <w:t>27</w:t>
      </w:r>
      <w:r w:rsidRPr="00043A1E">
        <w:rPr>
          <w:rFonts w:ascii="Times Ext Roman" w:hAnsi="新細明體" w:cs="Times Ext Roman"/>
          <w:szCs w:val="22"/>
        </w:rPr>
        <w:t>，</w:t>
      </w:r>
      <w:r w:rsidRPr="00761EF3">
        <w:rPr>
          <w:rFonts w:hint="eastAsia"/>
          <w:szCs w:val="22"/>
        </w:rPr>
        <w:t>629</w:t>
      </w:r>
      <w:r w:rsidRPr="00761EF3">
        <w:rPr>
          <w:szCs w:val="22"/>
        </w:rPr>
        <w:t>c</w:t>
      </w:r>
      <w:r w:rsidRPr="00761EF3">
        <w:rPr>
          <w:rFonts w:hint="eastAsia"/>
          <w:szCs w:val="22"/>
        </w:rPr>
        <w:t>4</w:t>
      </w:r>
      <w:r w:rsidRPr="00043A1E">
        <w:rPr>
          <w:szCs w:val="22"/>
        </w:rPr>
        <w:t>-</w:t>
      </w:r>
      <w:r w:rsidRPr="00761EF3">
        <w:rPr>
          <w:rFonts w:hint="eastAsia"/>
          <w:szCs w:val="22"/>
        </w:rPr>
        <w:t>630b</w:t>
      </w:r>
      <w:r w:rsidRPr="00761EF3">
        <w:rPr>
          <w:szCs w:val="22"/>
        </w:rPr>
        <w:t>2</w:t>
      </w:r>
      <w:r w:rsidRPr="00761EF3">
        <w:rPr>
          <w:rFonts w:hint="eastAsia"/>
          <w:szCs w:val="22"/>
        </w:rPr>
        <w:t>8</w:t>
      </w:r>
      <w:r w:rsidRPr="00043A1E">
        <w:rPr>
          <w:rFonts w:ascii="Times Ext Roman" w:hAnsi="Times Ext Roman" w:cs="Times Ext Roman"/>
          <w:szCs w:val="22"/>
        </w:rPr>
        <w:t>）</w:t>
      </w:r>
      <w:r w:rsidRPr="00043A1E">
        <w:rPr>
          <w:rFonts w:ascii="Times Ext Roman" w:hAnsi="Times Ext Roman" w:cs="Times Ext Roman" w:hint="eastAsia"/>
          <w:szCs w:val="22"/>
        </w:rPr>
        <w:t>。</w:t>
      </w:r>
    </w:p>
  </w:footnote>
  <w:footnote w:id="767">
    <w:p w:rsidR="00157EF6" w:rsidRPr="00043A1E" w:rsidRDefault="00157EF6" w:rsidP="00AA120F">
      <w:pPr>
        <w:pStyle w:val="a5"/>
        <w:ind w:left="187" w:hangingChars="85" w:hanging="187"/>
        <w:jc w:val="both"/>
        <w:rPr>
          <w:rFonts w:ascii="Times Ext Roman" w:hAnsi="新細明體" w:cs="Times Ext Roman"/>
          <w:szCs w:val="22"/>
        </w:rPr>
      </w:pPr>
      <w:r w:rsidRPr="00043A1E">
        <w:rPr>
          <w:rStyle w:val="a6"/>
          <w:szCs w:val="22"/>
        </w:rPr>
        <w:footnoteRef/>
      </w:r>
      <w:r w:rsidRPr="00043A1E">
        <w:rPr>
          <w:szCs w:val="22"/>
        </w:rPr>
        <w:t xml:space="preserve"> </w:t>
      </w:r>
      <w:r>
        <w:rPr>
          <w:szCs w:val="22"/>
        </w:rPr>
        <w:t>［唐］</w:t>
      </w:r>
      <w:r w:rsidRPr="00043A1E">
        <w:rPr>
          <w:rFonts w:ascii="Times Ext Roman" w:hAnsi="新細明體" w:cs="Times Ext Roman"/>
          <w:szCs w:val="22"/>
        </w:rPr>
        <w:t>窺基撰，《成唯識論述記》卷</w:t>
      </w:r>
      <w:r w:rsidRPr="00761EF3">
        <w:rPr>
          <w:szCs w:val="22"/>
        </w:rPr>
        <w:t>1</w:t>
      </w:r>
      <w:r w:rsidRPr="00043A1E">
        <w:rPr>
          <w:rFonts w:ascii="Times Ext Roman" w:hAnsi="Times Ext Roman" w:cs="Times Ext Roman"/>
          <w:szCs w:val="22"/>
        </w:rPr>
        <w:t>（</w:t>
      </w:r>
      <w:r w:rsidRPr="00043A1E">
        <w:rPr>
          <w:rFonts w:ascii="Times Ext Roman" w:hAnsi="新細明體" w:cs="Times Ext Roman"/>
          <w:szCs w:val="22"/>
        </w:rPr>
        <w:t>大正</w:t>
      </w:r>
      <w:r w:rsidRPr="00761EF3">
        <w:rPr>
          <w:szCs w:val="22"/>
        </w:rPr>
        <w:t>43</w:t>
      </w:r>
      <w:r w:rsidRPr="00043A1E">
        <w:rPr>
          <w:rFonts w:ascii="Times Ext Roman" w:hAnsi="新細明體" w:cs="Times Ext Roman"/>
          <w:szCs w:val="22"/>
        </w:rPr>
        <w:t>，</w:t>
      </w:r>
      <w:r w:rsidRPr="00761EF3">
        <w:rPr>
          <w:szCs w:val="22"/>
        </w:rPr>
        <w:t>238c16</w:t>
      </w:r>
      <w:r w:rsidRPr="00043A1E">
        <w:rPr>
          <w:szCs w:val="22"/>
        </w:rPr>
        <w:t>-</w:t>
      </w:r>
      <w:r w:rsidRPr="00761EF3">
        <w:rPr>
          <w:szCs w:val="22"/>
        </w:rPr>
        <w:t>23</w:t>
      </w:r>
      <w:r w:rsidRPr="00043A1E">
        <w:rPr>
          <w:rFonts w:ascii="Times Ext Roman" w:hAnsi="Times Ext Roman" w:cs="Times Ext Roman"/>
          <w:szCs w:val="22"/>
        </w:rPr>
        <w:t>）</w:t>
      </w:r>
      <w:r w:rsidRPr="00043A1E">
        <w:rPr>
          <w:rFonts w:ascii="Times Ext Roman" w:hAnsi="新細明體" w:cs="Times Ext Roman"/>
          <w:szCs w:val="22"/>
        </w:rPr>
        <w:t>：</w:t>
      </w:r>
    </w:p>
    <w:p w:rsidR="00111D54" w:rsidRDefault="00111D54" w:rsidP="00AA120F">
      <w:pPr>
        <w:pStyle w:val="a5"/>
        <w:ind w:leftChars="75" w:left="180"/>
        <w:jc w:val="both"/>
        <w:rPr>
          <w:rFonts w:ascii="標楷體" w:eastAsia="標楷體" w:hAnsi="標楷體"/>
          <w:color w:val="FF0000"/>
          <w:spacing w:val="-4"/>
          <w:kern w:val="0"/>
        </w:rPr>
      </w:pPr>
      <w:r>
        <w:rPr>
          <w:rFonts w:ascii="標楷體" w:eastAsia="標楷體" w:hAnsi="標楷體" w:hint="eastAsia"/>
          <w:bCs/>
          <w:color w:val="FF0000"/>
          <w:kern w:val="0"/>
          <w:highlight w:val="yellow"/>
        </w:rPr>
        <w:t>「</w:t>
      </w:r>
      <w:r w:rsidR="00157EF6" w:rsidRPr="00043A1E">
        <w:rPr>
          <w:rFonts w:ascii="標楷體" w:eastAsia="標楷體" w:hAnsi="標楷體" w:cs="Times Ext Roman"/>
          <w:szCs w:val="22"/>
        </w:rPr>
        <w:t>異熟識</w:t>
      </w:r>
      <w:r>
        <w:rPr>
          <w:rFonts w:ascii="標楷體" w:eastAsia="標楷體" w:hAnsi="標楷體" w:hint="eastAsia"/>
          <w:bCs/>
          <w:color w:val="FF0000"/>
          <w:kern w:val="0"/>
          <w:highlight w:val="yellow"/>
        </w:rPr>
        <w:t>」</w:t>
      </w:r>
      <w:r w:rsidR="00157EF6" w:rsidRPr="00043A1E">
        <w:rPr>
          <w:rFonts w:ascii="標楷體" w:eastAsia="標楷體" w:hAnsi="標楷體" w:cs="Times Ext Roman"/>
          <w:szCs w:val="22"/>
        </w:rPr>
        <w:t>，即第八識，名有多義</w:t>
      </w:r>
      <w:r>
        <w:rPr>
          <w:rFonts w:ascii="標楷體" w:eastAsia="標楷體" w:hAnsi="標楷體" w:hint="eastAsia"/>
          <w:color w:val="FF0000"/>
          <w:spacing w:val="-4"/>
          <w:kern w:val="0"/>
          <w:highlight w:val="yellow"/>
        </w:rPr>
        <w:t>：</w:t>
      </w:r>
    </w:p>
    <w:p w:rsidR="00111D54" w:rsidRDefault="00157EF6" w:rsidP="00AA120F">
      <w:pPr>
        <w:pStyle w:val="a5"/>
        <w:ind w:leftChars="75" w:left="180"/>
        <w:jc w:val="both"/>
        <w:rPr>
          <w:rFonts w:ascii="標楷體" w:eastAsia="標楷體" w:hAnsi="標楷體" w:cs="Times Ext Roman"/>
          <w:szCs w:val="22"/>
        </w:rPr>
      </w:pPr>
      <w:r w:rsidRPr="00043A1E">
        <w:rPr>
          <w:rFonts w:ascii="標楷體" w:eastAsia="標楷體" w:hAnsi="標楷體" w:cs="Times Ext Roman"/>
          <w:szCs w:val="22"/>
        </w:rPr>
        <w:t>一</w:t>
      </w:r>
      <w:r w:rsidRPr="00043A1E">
        <w:rPr>
          <w:rFonts w:ascii="標楷體" w:eastAsia="標楷體" w:hAnsi="標楷體" w:cs="Times Ext Roman" w:hint="eastAsia"/>
          <w:szCs w:val="22"/>
        </w:rPr>
        <w:t>、</w:t>
      </w:r>
      <w:r w:rsidRPr="00043A1E">
        <w:rPr>
          <w:rFonts w:ascii="標楷體" w:eastAsia="標楷體" w:hAnsi="標楷體" w:cs="Times Ext Roman"/>
          <w:b/>
          <w:szCs w:val="22"/>
        </w:rPr>
        <w:t>變異而熟</w:t>
      </w:r>
      <w:r w:rsidR="00111D54">
        <w:rPr>
          <w:rFonts w:ascii="標楷體" w:eastAsia="標楷體" w:hAnsi="標楷體" w:hint="eastAsia"/>
          <w:color w:val="FF0000"/>
          <w:spacing w:val="-4"/>
          <w:kern w:val="0"/>
          <w:highlight w:val="yellow"/>
        </w:rPr>
        <w:t>：</w:t>
      </w:r>
      <w:r w:rsidRPr="00043A1E">
        <w:rPr>
          <w:rFonts w:ascii="標楷體" w:eastAsia="標楷體" w:hAnsi="標楷體" w:cs="Times Ext Roman"/>
          <w:szCs w:val="22"/>
        </w:rPr>
        <w:t>要</w:t>
      </w:r>
      <w:r w:rsidR="00A064D5" w:rsidRPr="00A064D5">
        <w:rPr>
          <w:rFonts w:eastAsia="標楷體" w:hint="eastAsia"/>
          <w:color w:val="FF0000"/>
          <w:szCs w:val="22"/>
          <w:highlight w:val="yellow"/>
        </w:rPr>
        <w:t>「</w:t>
      </w:r>
      <w:r w:rsidRPr="00043A1E">
        <w:rPr>
          <w:rFonts w:ascii="標楷體" w:eastAsia="標楷體" w:hAnsi="標楷體" w:cs="Times Ext Roman"/>
          <w:szCs w:val="22"/>
        </w:rPr>
        <w:t>因</w:t>
      </w:r>
      <w:r w:rsidR="00A064D5" w:rsidRPr="00A064D5">
        <w:rPr>
          <w:rFonts w:eastAsia="標楷體" w:hint="eastAsia"/>
          <w:color w:val="FF0000"/>
          <w:szCs w:val="22"/>
          <w:highlight w:val="yellow"/>
        </w:rPr>
        <w:t>」</w:t>
      </w:r>
      <w:r w:rsidRPr="00043A1E">
        <w:rPr>
          <w:rFonts w:ascii="標楷體" w:eastAsia="標楷體" w:hAnsi="標楷體" w:cs="Times Ext Roman"/>
          <w:szCs w:val="22"/>
        </w:rPr>
        <w:t>變異之時</w:t>
      </w:r>
      <w:r w:rsidR="00A064D5">
        <w:rPr>
          <w:rFonts w:eastAsia="標楷體" w:hint="eastAsia"/>
          <w:color w:val="FF0000"/>
          <w:szCs w:val="22"/>
          <w:highlight w:val="yellow"/>
        </w:rPr>
        <w:t>「</w:t>
      </w:r>
      <w:r w:rsidRPr="00043A1E">
        <w:rPr>
          <w:rFonts w:ascii="標楷體" w:eastAsia="標楷體" w:hAnsi="標楷體" w:cs="Times Ext Roman"/>
          <w:szCs w:val="22"/>
        </w:rPr>
        <w:t>果</w:t>
      </w:r>
      <w:r w:rsidR="00A064D5">
        <w:rPr>
          <w:rFonts w:eastAsia="標楷體" w:hint="eastAsia"/>
          <w:color w:val="FF0000"/>
          <w:szCs w:val="22"/>
          <w:highlight w:val="yellow"/>
        </w:rPr>
        <w:t>」</w:t>
      </w:r>
      <w:r w:rsidRPr="00043A1E">
        <w:rPr>
          <w:rFonts w:ascii="標楷體" w:eastAsia="標楷體" w:hAnsi="標楷體" w:cs="Times Ext Roman"/>
          <w:szCs w:val="22"/>
        </w:rPr>
        <w:t>方熟故</w:t>
      </w:r>
      <w:r w:rsidR="00111D54">
        <w:rPr>
          <w:rFonts w:ascii="標楷體" w:eastAsia="標楷體" w:hAnsi="標楷體" w:hint="eastAsia"/>
          <w:color w:val="FF0000"/>
          <w:kern w:val="0"/>
          <w:highlight w:val="yellow"/>
        </w:rPr>
        <w:t>。</w:t>
      </w:r>
      <w:r w:rsidRPr="00043A1E">
        <w:rPr>
          <w:rFonts w:ascii="標楷體" w:eastAsia="標楷體" w:hAnsi="標楷體" w:cs="Times Ext Roman"/>
          <w:szCs w:val="22"/>
        </w:rPr>
        <w:t>此義通餘</w:t>
      </w:r>
      <w:r w:rsidR="00111D54">
        <w:rPr>
          <w:rFonts w:ascii="標楷體" w:eastAsia="標楷體" w:hAnsi="標楷體" w:hint="eastAsia"/>
          <w:color w:val="FF0000"/>
          <w:kern w:val="0"/>
          <w:highlight w:val="yellow"/>
        </w:rPr>
        <w:t>，</w:t>
      </w:r>
      <w:r w:rsidRPr="00043A1E">
        <w:rPr>
          <w:rFonts w:ascii="標楷體" w:eastAsia="標楷體" w:hAnsi="標楷體" w:cs="Times Ext Roman"/>
          <w:szCs w:val="22"/>
        </w:rPr>
        <w:t>種生果時皆變異故。</w:t>
      </w:r>
    </w:p>
    <w:p w:rsidR="00111D54" w:rsidRDefault="00157EF6" w:rsidP="00111D54">
      <w:pPr>
        <w:pStyle w:val="a5"/>
        <w:ind w:leftChars="75" w:left="1720" w:hangingChars="700" w:hanging="1540"/>
        <w:jc w:val="both"/>
        <w:rPr>
          <w:rFonts w:ascii="標楷體" w:eastAsia="標楷體" w:hAnsi="標楷體" w:cs="Times Ext Roman"/>
          <w:szCs w:val="22"/>
        </w:rPr>
      </w:pPr>
      <w:r w:rsidRPr="00043A1E">
        <w:rPr>
          <w:rFonts w:ascii="標楷體" w:eastAsia="標楷體" w:hAnsi="標楷體" w:cs="Times Ext Roman"/>
          <w:szCs w:val="22"/>
        </w:rPr>
        <w:t>二</w:t>
      </w:r>
      <w:r w:rsidRPr="00043A1E">
        <w:rPr>
          <w:rFonts w:ascii="標楷體" w:eastAsia="標楷體" w:hAnsi="標楷體" w:cs="Times Ext Roman" w:hint="eastAsia"/>
          <w:szCs w:val="22"/>
        </w:rPr>
        <w:t>、</w:t>
      </w:r>
      <w:r w:rsidRPr="00043A1E">
        <w:rPr>
          <w:rFonts w:ascii="標楷體" w:eastAsia="標楷體" w:hAnsi="標楷體" w:cs="Times Ext Roman"/>
          <w:b/>
          <w:szCs w:val="22"/>
        </w:rPr>
        <w:t>異時而熟</w:t>
      </w:r>
      <w:r w:rsidR="00111D54">
        <w:rPr>
          <w:rFonts w:ascii="標楷體" w:eastAsia="標楷體" w:hAnsi="標楷體" w:hint="eastAsia"/>
          <w:color w:val="FF0000"/>
          <w:spacing w:val="-4"/>
          <w:kern w:val="0"/>
          <w:highlight w:val="yellow"/>
        </w:rPr>
        <w:t>：</w:t>
      </w:r>
      <w:r w:rsidRPr="00043A1E">
        <w:rPr>
          <w:rFonts w:ascii="標楷體" w:eastAsia="標楷體" w:hAnsi="標楷體" w:cs="Times Ext Roman"/>
          <w:szCs w:val="22"/>
        </w:rPr>
        <w:t>與</w:t>
      </w:r>
      <w:r w:rsidR="00A064D5">
        <w:rPr>
          <w:rFonts w:eastAsia="標楷體" w:hint="eastAsia"/>
          <w:color w:val="FF0000"/>
          <w:szCs w:val="22"/>
          <w:highlight w:val="yellow"/>
        </w:rPr>
        <w:t>「</w:t>
      </w:r>
      <w:r w:rsidRPr="00043A1E">
        <w:rPr>
          <w:rFonts w:ascii="標楷體" w:eastAsia="標楷體" w:hAnsi="標楷體" w:cs="Times Ext Roman"/>
          <w:szCs w:val="22"/>
        </w:rPr>
        <w:t>因</w:t>
      </w:r>
      <w:r w:rsidR="00A064D5">
        <w:rPr>
          <w:rFonts w:eastAsia="標楷體" w:hint="eastAsia"/>
          <w:color w:val="FF0000"/>
          <w:szCs w:val="22"/>
          <w:highlight w:val="yellow"/>
        </w:rPr>
        <w:t>」</w:t>
      </w:r>
      <w:r w:rsidRPr="00043A1E">
        <w:rPr>
          <w:rFonts w:ascii="標楷體" w:eastAsia="標楷體" w:hAnsi="標楷體" w:cs="Times Ext Roman"/>
          <w:szCs w:val="22"/>
        </w:rPr>
        <w:t>異時</w:t>
      </w:r>
      <w:r w:rsidR="00A064D5">
        <w:rPr>
          <w:rFonts w:eastAsia="標楷體" w:hint="eastAsia"/>
          <w:color w:val="FF0000"/>
          <w:szCs w:val="22"/>
          <w:highlight w:val="yellow"/>
        </w:rPr>
        <w:t>「</w:t>
      </w:r>
      <w:r w:rsidRPr="00043A1E">
        <w:rPr>
          <w:rFonts w:ascii="標楷體" w:eastAsia="標楷體" w:hAnsi="標楷體" w:cs="Times Ext Roman"/>
          <w:szCs w:val="22"/>
        </w:rPr>
        <w:t>果</w:t>
      </w:r>
      <w:r w:rsidR="00A064D5">
        <w:rPr>
          <w:rFonts w:eastAsia="標楷體" w:hint="eastAsia"/>
          <w:color w:val="FF0000"/>
          <w:szCs w:val="22"/>
          <w:highlight w:val="yellow"/>
        </w:rPr>
        <w:t>」</w:t>
      </w:r>
      <w:r w:rsidRPr="00043A1E">
        <w:rPr>
          <w:rFonts w:ascii="標楷體" w:eastAsia="標楷體" w:hAnsi="標楷體" w:cs="Times Ext Roman"/>
          <w:szCs w:val="22"/>
        </w:rPr>
        <w:t>方熟故</w:t>
      </w:r>
      <w:r w:rsidR="00111D54">
        <w:rPr>
          <w:rFonts w:ascii="標楷體" w:eastAsia="標楷體" w:hAnsi="標楷體" w:hint="eastAsia"/>
          <w:color w:val="FF0000"/>
          <w:kern w:val="0"/>
          <w:highlight w:val="yellow"/>
        </w:rPr>
        <w:t>。</w:t>
      </w:r>
      <w:r w:rsidRPr="00043A1E">
        <w:rPr>
          <w:rFonts w:ascii="標楷體" w:eastAsia="標楷體" w:hAnsi="標楷體" w:cs="Times Ext Roman"/>
          <w:szCs w:val="22"/>
        </w:rPr>
        <w:t>今者</w:t>
      </w:r>
      <w:r w:rsidR="00111D54">
        <w:rPr>
          <w:rFonts w:ascii="標楷體" w:eastAsia="標楷體" w:hAnsi="標楷體" w:hint="eastAsia"/>
          <w:color w:val="FF0000"/>
          <w:kern w:val="0"/>
          <w:highlight w:val="yellow"/>
        </w:rPr>
        <w:t>，</w:t>
      </w:r>
      <w:r w:rsidRPr="00043A1E">
        <w:rPr>
          <w:rFonts w:ascii="標楷體" w:eastAsia="標楷體" w:hAnsi="標楷體" w:cs="Times Ext Roman"/>
          <w:szCs w:val="22"/>
        </w:rPr>
        <w:t>大乘約</w:t>
      </w:r>
      <w:r w:rsidR="00111D54">
        <w:rPr>
          <w:rFonts w:ascii="標楷體" w:eastAsia="標楷體" w:hAnsi="標楷體" w:hint="eastAsia"/>
          <w:bCs/>
          <w:color w:val="FF0000"/>
          <w:kern w:val="0"/>
          <w:highlight w:val="yellow"/>
        </w:rPr>
        <w:t>「</w:t>
      </w:r>
      <w:r w:rsidRPr="00043A1E">
        <w:rPr>
          <w:rFonts w:ascii="標楷體" w:eastAsia="標楷體" w:hAnsi="標楷體" w:cs="Times Ext Roman"/>
          <w:szCs w:val="22"/>
        </w:rPr>
        <w:t>造之時</w:t>
      </w:r>
      <w:r w:rsidR="00111D54">
        <w:rPr>
          <w:rFonts w:ascii="標楷體" w:eastAsia="標楷體" w:hAnsi="標楷體" w:hint="eastAsia"/>
          <w:bCs/>
          <w:color w:val="FF0000"/>
          <w:kern w:val="0"/>
          <w:highlight w:val="yellow"/>
        </w:rPr>
        <w:t>」</w:t>
      </w:r>
      <w:r w:rsidRPr="00043A1E">
        <w:rPr>
          <w:rFonts w:ascii="標楷體" w:eastAsia="標楷體" w:hAnsi="標楷體" w:cs="Times Ext Roman"/>
          <w:szCs w:val="22"/>
        </w:rPr>
        <w:t>，非約</w:t>
      </w:r>
      <w:r w:rsidR="00111D54">
        <w:rPr>
          <w:rFonts w:ascii="標楷體" w:eastAsia="標楷體" w:hAnsi="標楷體" w:hint="eastAsia"/>
          <w:bCs/>
          <w:color w:val="FF0000"/>
          <w:kern w:val="0"/>
          <w:highlight w:val="yellow"/>
        </w:rPr>
        <w:t>「</w:t>
      </w:r>
      <w:r w:rsidRPr="00043A1E">
        <w:rPr>
          <w:rFonts w:ascii="標楷體" w:eastAsia="標楷體" w:hAnsi="標楷體" w:cs="Times Ext Roman"/>
          <w:szCs w:val="22"/>
        </w:rPr>
        <w:t>種體</w:t>
      </w:r>
      <w:r w:rsidR="00111D54">
        <w:rPr>
          <w:rFonts w:ascii="標楷體" w:eastAsia="標楷體" w:hAnsi="標楷體" w:hint="eastAsia"/>
          <w:bCs/>
          <w:color w:val="FF0000"/>
          <w:kern w:val="0"/>
          <w:highlight w:val="yellow"/>
        </w:rPr>
        <w:t>」</w:t>
      </w:r>
      <w:r w:rsidR="00111D54">
        <w:rPr>
          <w:rFonts w:ascii="標楷體" w:eastAsia="標楷體" w:hAnsi="標楷體" w:hint="eastAsia"/>
          <w:color w:val="FF0000"/>
          <w:kern w:val="0"/>
          <w:highlight w:val="yellow"/>
        </w:rPr>
        <w:t>，</w:t>
      </w:r>
      <w:r w:rsidRPr="00043A1E">
        <w:rPr>
          <w:rFonts w:ascii="標楷體" w:eastAsia="標楷體" w:hAnsi="標楷體" w:cs="Times Ext Roman"/>
          <w:szCs w:val="22"/>
        </w:rPr>
        <w:t>許</w:t>
      </w:r>
      <w:r w:rsidR="00111D54">
        <w:rPr>
          <w:rFonts w:ascii="標楷體" w:eastAsia="標楷體" w:hAnsi="標楷體" w:hint="eastAsia"/>
          <w:bCs/>
          <w:color w:val="FF0000"/>
          <w:kern w:val="0"/>
          <w:highlight w:val="yellow"/>
        </w:rPr>
        <w:t>「</w:t>
      </w:r>
      <w:r w:rsidRPr="00043A1E">
        <w:rPr>
          <w:rFonts w:ascii="標楷體" w:eastAsia="標楷體" w:hAnsi="標楷體" w:cs="Times Ext Roman"/>
          <w:szCs w:val="22"/>
        </w:rPr>
        <w:t>同世</w:t>
      </w:r>
      <w:r w:rsidR="00111D54">
        <w:rPr>
          <w:rFonts w:ascii="標楷體" w:eastAsia="標楷體" w:hAnsi="標楷體" w:hint="eastAsia"/>
          <w:bCs/>
          <w:color w:val="FF0000"/>
          <w:kern w:val="0"/>
          <w:highlight w:val="yellow"/>
        </w:rPr>
        <w:t>」</w:t>
      </w:r>
      <w:r w:rsidRPr="00043A1E">
        <w:rPr>
          <w:rFonts w:ascii="標楷體" w:eastAsia="標楷體" w:hAnsi="標楷體" w:cs="Times Ext Roman"/>
          <w:szCs w:val="22"/>
        </w:rPr>
        <w:t>故。</w:t>
      </w:r>
    </w:p>
    <w:p w:rsidR="00111D54" w:rsidRDefault="00157EF6" w:rsidP="00AA120F">
      <w:pPr>
        <w:pStyle w:val="a5"/>
        <w:ind w:leftChars="75" w:left="180"/>
        <w:jc w:val="both"/>
        <w:rPr>
          <w:rFonts w:ascii="標楷體" w:eastAsia="標楷體" w:hAnsi="標楷體" w:cs="Times Ext Roman"/>
          <w:color w:val="FF0000"/>
          <w:szCs w:val="22"/>
          <w:shd w:val="pct15" w:color="auto" w:fill="FFFFFF"/>
        </w:rPr>
      </w:pPr>
      <w:r w:rsidRPr="00043A1E">
        <w:rPr>
          <w:rFonts w:ascii="標楷體" w:eastAsia="標楷體" w:hAnsi="標楷體" w:cs="Times Ext Roman"/>
          <w:szCs w:val="22"/>
        </w:rPr>
        <w:t>三</w:t>
      </w:r>
      <w:r w:rsidRPr="00043A1E">
        <w:rPr>
          <w:rFonts w:ascii="標楷體" w:eastAsia="標楷體" w:hAnsi="標楷體" w:cs="Times Ext Roman" w:hint="eastAsia"/>
          <w:szCs w:val="22"/>
        </w:rPr>
        <w:t>、</w:t>
      </w:r>
      <w:r w:rsidRPr="00043A1E">
        <w:rPr>
          <w:rFonts w:ascii="標楷體" w:eastAsia="標楷體" w:hAnsi="標楷體" w:cs="Times Ext Roman"/>
          <w:b/>
          <w:szCs w:val="22"/>
        </w:rPr>
        <w:t>異類而熟</w:t>
      </w:r>
      <w:r w:rsidR="00111D54">
        <w:rPr>
          <w:rFonts w:ascii="標楷體" w:eastAsia="標楷體" w:hAnsi="標楷體" w:hint="eastAsia"/>
          <w:color w:val="FF0000"/>
          <w:spacing w:val="-4"/>
          <w:kern w:val="0"/>
          <w:highlight w:val="yellow"/>
        </w:rPr>
        <w:t>：</w:t>
      </w:r>
      <w:r w:rsidRPr="00043A1E">
        <w:rPr>
          <w:rFonts w:ascii="標楷體" w:eastAsia="標楷體" w:hAnsi="標楷體" w:cs="Times Ext Roman"/>
          <w:szCs w:val="22"/>
        </w:rPr>
        <w:t>與</w:t>
      </w:r>
      <w:r w:rsidR="00A064D5">
        <w:rPr>
          <w:rFonts w:eastAsia="標楷體" w:hint="eastAsia"/>
          <w:color w:val="FF0000"/>
          <w:szCs w:val="22"/>
          <w:highlight w:val="yellow"/>
        </w:rPr>
        <w:t>「</w:t>
      </w:r>
      <w:r w:rsidRPr="00043A1E">
        <w:rPr>
          <w:rFonts w:ascii="標楷體" w:eastAsia="標楷體" w:hAnsi="標楷體" w:cs="Times Ext Roman"/>
          <w:szCs w:val="22"/>
        </w:rPr>
        <w:t>因</w:t>
      </w:r>
      <w:r w:rsidR="00A064D5">
        <w:rPr>
          <w:rFonts w:eastAsia="標楷體" w:hint="eastAsia"/>
          <w:color w:val="FF0000"/>
          <w:szCs w:val="22"/>
          <w:highlight w:val="yellow"/>
        </w:rPr>
        <w:t>」</w:t>
      </w:r>
      <w:r w:rsidRPr="00043A1E">
        <w:rPr>
          <w:rFonts w:ascii="標楷體" w:eastAsia="標楷體" w:hAnsi="標楷體" w:cs="Times Ext Roman"/>
          <w:szCs w:val="22"/>
        </w:rPr>
        <w:t>異性</w:t>
      </w:r>
      <w:r w:rsidR="00111D54">
        <w:rPr>
          <w:rFonts w:ascii="標楷體" w:eastAsia="標楷體" w:hAnsi="標楷體" w:hint="eastAsia"/>
          <w:color w:val="FF0000"/>
          <w:kern w:val="0"/>
          <w:highlight w:val="yellow"/>
        </w:rPr>
        <w:t>，</w:t>
      </w:r>
      <w:r w:rsidR="00A064D5">
        <w:rPr>
          <w:rFonts w:eastAsia="標楷體" w:hint="eastAsia"/>
          <w:color w:val="FF0000"/>
          <w:szCs w:val="22"/>
          <w:highlight w:val="yellow"/>
        </w:rPr>
        <w:t>「</w:t>
      </w:r>
      <w:r w:rsidRPr="00043A1E">
        <w:rPr>
          <w:rFonts w:ascii="標楷體" w:eastAsia="標楷體" w:hAnsi="標楷體" w:cs="Times Ext Roman"/>
          <w:szCs w:val="22"/>
        </w:rPr>
        <w:t>果</w:t>
      </w:r>
      <w:r w:rsidR="00A064D5">
        <w:rPr>
          <w:rFonts w:eastAsia="標楷體" w:hint="eastAsia"/>
          <w:color w:val="FF0000"/>
          <w:szCs w:val="22"/>
          <w:highlight w:val="yellow"/>
        </w:rPr>
        <w:t>」</w:t>
      </w:r>
      <w:r w:rsidRPr="00043A1E">
        <w:rPr>
          <w:rFonts w:ascii="標楷體" w:eastAsia="標楷體" w:hAnsi="標楷體" w:cs="Times Ext Roman"/>
          <w:szCs w:val="22"/>
        </w:rPr>
        <w:t>酬</w:t>
      </w:r>
      <w:r w:rsidR="00A064D5">
        <w:rPr>
          <w:rFonts w:eastAsia="標楷體" w:hint="eastAsia"/>
          <w:color w:val="FF0000"/>
          <w:szCs w:val="22"/>
          <w:highlight w:val="yellow"/>
        </w:rPr>
        <w:t>「</w:t>
      </w:r>
      <w:r w:rsidRPr="00043A1E">
        <w:rPr>
          <w:rFonts w:ascii="標楷體" w:eastAsia="標楷體" w:hAnsi="標楷體" w:cs="Times Ext Roman"/>
          <w:szCs w:val="22"/>
        </w:rPr>
        <w:t>因</w:t>
      </w:r>
      <w:r w:rsidR="00A064D5">
        <w:rPr>
          <w:rFonts w:eastAsia="標楷體" w:hint="eastAsia"/>
          <w:color w:val="FF0000"/>
          <w:szCs w:val="22"/>
          <w:highlight w:val="yellow"/>
        </w:rPr>
        <w:t>」</w:t>
      </w:r>
      <w:r w:rsidRPr="00043A1E">
        <w:rPr>
          <w:rFonts w:ascii="標楷體" w:eastAsia="標楷體" w:hAnsi="標楷體" w:cs="Times Ext Roman"/>
          <w:szCs w:val="22"/>
        </w:rPr>
        <w:t>故。</w:t>
      </w:r>
      <w:r w:rsidRPr="00537B91">
        <w:rPr>
          <w:rFonts w:ascii="標楷體" w:eastAsia="標楷體" w:hAnsi="標楷體" w:cs="Times Ext Roman"/>
          <w:color w:val="FF0000"/>
          <w:szCs w:val="22"/>
          <w:shd w:val="pct15" w:color="auto" w:fill="FFFFFF"/>
        </w:rPr>
        <w:t>……</w:t>
      </w:r>
    </w:p>
    <w:p w:rsidR="00A064D5" w:rsidRDefault="00157EF6" w:rsidP="00AA120F">
      <w:pPr>
        <w:pStyle w:val="a5"/>
        <w:ind w:leftChars="75" w:left="180"/>
        <w:jc w:val="both"/>
        <w:rPr>
          <w:rFonts w:ascii="標楷體" w:eastAsia="標楷體" w:hAnsi="標楷體"/>
          <w:color w:val="FF0000"/>
          <w:kern w:val="0"/>
          <w:highlight w:val="yellow"/>
        </w:rPr>
      </w:pPr>
      <w:r w:rsidRPr="00043A1E">
        <w:rPr>
          <w:rFonts w:ascii="標楷體" w:eastAsia="標楷體" w:hAnsi="標楷體" w:cs="Times Ext Roman"/>
          <w:szCs w:val="22"/>
        </w:rPr>
        <w:t>若</w:t>
      </w:r>
      <w:r w:rsidR="00111D54">
        <w:rPr>
          <w:rFonts w:ascii="標楷體" w:eastAsia="標楷體" w:hAnsi="標楷體" w:hint="eastAsia"/>
          <w:bCs/>
          <w:color w:val="FF0000"/>
          <w:kern w:val="0"/>
          <w:highlight w:val="yellow"/>
        </w:rPr>
        <w:t>「</w:t>
      </w:r>
      <w:r w:rsidRPr="00043A1E">
        <w:rPr>
          <w:rFonts w:ascii="標楷體" w:eastAsia="標楷體" w:hAnsi="標楷體" w:cs="Times Ext Roman"/>
          <w:szCs w:val="22"/>
        </w:rPr>
        <w:t>異</w:t>
      </w:r>
      <w:r w:rsidR="00111D54">
        <w:rPr>
          <w:rFonts w:ascii="標楷體" w:eastAsia="標楷體" w:hAnsi="標楷體" w:hint="eastAsia"/>
          <w:bCs/>
          <w:color w:val="FF0000"/>
          <w:kern w:val="0"/>
          <w:highlight w:val="yellow"/>
        </w:rPr>
        <w:t>」</w:t>
      </w:r>
      <w:r w:rsidRPr="00043A1E">
        <w:rPr>
          <w:rFonts w:ascii="標楷體" w:eastAsia="標楷體" w:hAnsi="標楷體" w:cs="Times Ext Roman"/>
          <w:szCs w:val="22"/>
        </w:rPr>
        <w:t>屬</w:t>
      </w:r>
      <w:r w:rsidR="00111D54">
        <w:rPr>
          <w:rFonts w:ascii="標楷體" w:eastAsia="標楷體" w:hAnsi="標楷體" w:hint="eastAsia"/>
          <w:bCs/>
          <w:color w:val="FF0000"/>
          <w:kern w:val="0"/>
          <w:highlight w:val="yellow"/>
        </w:rPr>
        <w:t>「</w:t>
      </w:r>
      <w:r w:rsidRPr="00043A1E">
        <w:rPr>
          <w:rFonts w:ascii="標楷體" w:eastAsia="標楷體" w:hAnsi="標楷體" w:cs="Times Ext Roman"/>
          <w:szCs w:val="22"/>
        </w:rPr>
        <w:t>因</w:t>
      </w:r>
      <w:r w:rsidR="00111D54">
        <w:rPr>
          <w:rFonts w:ascii="標楷體" w:eastAsia="標楷體" w:hAnsi="標楷體" w:hint="eastAsia"/>
          <w:bCs/>
          <w:color w:val="FF0000"/>
          <w:kern w:val="0"/>
          <w:highlight w:val="yellow"/>
        </w:rPr>
        <w:t>」</w:t>
      </w:r>
      <w:r w:rsidR="00111D54">
        <w:rPr>
          <w:rFonts w:ascii="標楷體" w:eastAsia="標楷體" w:hAnsi="標楷體" w:hint="eastAsia"/>
          <w:color w:val="FF0000"/>
          <w:kern w:val="0"/>
          <w:highlight w:val="yellow"/>
        </w:rPr>
        <w:t>，</w:t>
      </w:r>
      <w:r w:rsidRPr="00043A1E">
        <w:rPr>
          <w:rFonts w:ascii="標楷體" w:eastAsia="標楷體" w:hAnsi="標楷體" w:cs="Times Ext Roman"/>
          <w:szCs w:val="22"/>
        </w:rPr>
        <w:t>即</w:t>
      </w:r>
      <w:r w:rsidR="00111D54">
        <w:rPr>
          <w:rFonts w:ascii="標楷體" w:eastAsia="標楷體" w:hAnsi="標楷體" w:hint="eastAsia"/>
          <w:bCs/>
          <w:color w:val="FF0000"/>
          <w:kern w:val="0"/>
          <w:highlight w:val="yellow"/>
        </w:rPr>
        <w:t>「</w:t>
      </w:r>
      <w:r w:rsidRPr="00043A1E">
        <w:rPr>
          <w:rFonts w:ascii="標楷體" w:eastAsia="標楷體" w:hAnsi="標楷體" w:cs="Times Ext Roman"/>
          <w:szCs w:val="22"/>
        </w:rPr>
        <w:t>異之熟</w:t>
      </w:r>
      <w:r w:rsidR="00111D54">
        <w:rPr>
          <w:rFonts w:ascii="標楷體" w:eastAsia="標楷體" w:hAnsi="標楷體" w:hint="eastAsia"/>
          <w:bCs/>
          <w:color w:val="FF0000"/>
          <w:kern w:val="0"/>
          <w:highlight w:val="yellow"/>
        </w:rPr>
        <w:t>」</w:t>
      </w:r>
      <w:r w:rsidR="00111D54">
        <w:rPr>
          <w:rFonts w:ascii="標楷體" w:eastAsia="標楷體" w:hAnsi="標楷體" w:hint="eastAsia"/>
          <w:color w:val="FF0000"/>
          <w:spacing w:val="-4"/>
          <w:kern w:val="0"/>
          <w:highlight w:val="yellow"/>
        </w:rPr>
        <w:t>；</w:t>
      </w:r>
      <w:r w:rsidRPr="00043A1E">
        <w:rPr>
          <w:rFonts w:ascii="標楷體" w:eastAsia="標楷體" w:hAnsi="標楷體" w:cs="Times Ext Roman"/>
          <w:szCs w:val="22"/>
        </w:rPr>
        <w:t>若</w:t>
      </w:r>
      <w:r w:rsidR="00111D54">
        <w:rPr>
          <w:rFonts w:ascii="標楷體" w:eastAsia="標楷體" w:hAnsi="標楷體" w:hint="eastAsia"/>
          <w:bCs/>
          <w:color w:val="FF0000"/>
          <w:kern w:val="0"/>
          <w:highlight w:val="yellow"/>
        </w:rPr>
        <w:t>「</w:t>
      </w:r>
      <w:r w:rsidRPr="00043A1E">
        <w:rPr>
          <w:rFonts w:ascii="標楷體" w:eastAsia="標楷體" w:hAnsi="標楷體" w:cs="Times Ext Roman"/>
          <w:szCs w:val="22"/>
        </w:rPr>
        <w:t>異</w:t>
      </w:r>
      <w:r w:rsidR="00111D54">
        <w:rPr>
          <w:rFonts w:ascii="標楷體" w:eastAsia="標楷體" w:hAnsi="標楷體" w:hint="eastAsia"/>
          <w:bCs/>
          <w:color w:val="FF0000"/>
          <w:kern w:val="0"/>
          <w:highlight w:val="yellow"/>
        </w:rPr>
        <w:t>」</w:t>
      </w:r>
      <w:r w:rsidRPr="00043A1E">
        <w:rPr>
          <w:rFonts w:ascii="標楷體" w:eastAsia="標楷體" w:hAnsi="標楷體" w:cs="Times Ext Roman"/>
          <w:szCs w:val="22"/>
        </w:rPr>
        <w:t>屬</w:t>
      </w:r>
      <w:r w:rsidR="00111D54">
        <w:rPr>
          <w:rFonts w:ascii="標楷體" w:eastAsia="標楷體" w:hAnsi="標楷體" w:hint="eastAsia"/>
          <w:bCs/>
          <w:color w:val="FF0000"/>
          <w:kern w:val="0"/>
          <w:highlight w:val="yellow"/>
        </w:rPr>
        <w:t>「</w:t>
      </w:r>
      <w:r w:rsidRPr="00043A1E">
        <w:rPr>
          <w:rFonts w:ascii="標楷體" w:eastAsia="標楷體" w:hAnsi="標楷體" w:cs="Times Ext Roman"/>
          <w:szCs w:val="22"/>
        </w:rPr>
        <w:t>果</w:t>
      </w:r>
      <w:r w:rsidR="00111D54">
        <w:rPr>
          <w:rFonts w:ascii="標楷體" w:eastAsia="標楷體" w:hAnsi="標楷體" w:hint="eastAsia"/>
          <w:bCs/>
          <w:color w:val="FF0000"/>
          <w:kern w:val="0"/>
          <w:highlight w:val="yellow"/>
        </w:rPr>
        <w:t>」</w:t>
      </w:r>
      <w:r w:rsidR="00111D54">
        <w:rPr>
          <w:rFonts w:ascii="標楷體" w:eastAsia="標楷體" w:hAnsi="標楷體" w:hint="eastAsia"/>
          <w:color w:val="FF0000"/>
          <w:kern w:val="0"/>
          <w:highlight w:val="yellow"/>
        </w:rPr>
        <w:t>，</w:t>
      </w:r>
      <w:r w:rsidR="00111D54">
        <w:rPr>
          <w:rFonts w:ascii="標楷體" w:eastAsia="標楷體" w:hAnsi="標楷體" w:hint="eastAsia"/>
          <w:bCs/>
          <w:color w:val="FF0000"/>
          <w:kern w:val="0"/>
          <w:highlight w:val="yellow"/>
        </w:rPr>
        <w:t>「</w:t>
      </w:r>
      <w:r w:rsidRPr="00043A1E">
        <w:rPr>
          <w:rFonts w:ascii="標楷體" w:eastAsia="標楷體" w:hAnsi="標楷體" w:cs="Times Ext Roman"/>
          <w:szCs w:val="22"/>
        </w:rPr>
        <w:t>異</w:t>
      </w:r>
      <w:r w:rsidR="00111D54">
        <w:rPr>
          <w:rFonts w:ascii="標楷體" w:eastAsia="標楷體" w:hAnsi="標楷體" w:hint="eastAsia"/>
          <w:bCs/>
          <w:color w:val="FF0000"/>
          <w:kern w:val="0"/>
          <w:highlight w:val="yellow"/>
        </w:rPr>
        <w:t>」</w:t>
      </w:r>
      <w:r w:rsidRPr="00043A1E">
        <w:rPr>
          <w:rFonts w:ascii="標楷體" w:eastAsia="標楷體" w:hAnsi="標楷體" w:cs="Times Ext Roman"/>
          <w:szCs w:val="22"/>
        </w:rPr>
        <w:t>即是</w:t>
      </w:r>
      <w:r w:rsidR="00111D54">
        <w:rPr>
          <w:rFonts w:ascii="標楷體" w:eastAsia="標楷體" w:hAnsi="標楷體" w:hint="eastAsia"/>
          <w:bCs/>
          <w:color w:val="FF0000"/>
          <w:kern w:val="0"/>
          <w:highlight w:val="yellow"/>
        </w:rPr>
        <w:t>「</w:t>
      </w:r>
      <w:r w:rsidRPr="00043A1E">
        <w:rPr>
          <w:rFonts w:ascii="標楷體" w:eastAsia="標楷體" w:hAnsi="標楷體" w:cs="Times Ext Roman"/>
          <w:szCs w:val="22"/>
        </w:rPr>
        <w:t>熟</w:t>
      </w:r>
      <w:r w:rsidR="00111D54">
        <w:rPr>
          <w:rFonts w:ascii="標楷體" w:eastAsia="標楷體" w:hAnsi="標楷體" w:hint="eastAsia"/>
          <w:bCs/>
          <w:color w:val="FF0000"/>
          <w:kern w:val="0"/>
          <w:highlight w:val="yellow"/>
        </w:rPr>
        <w:t>」</w:t>
      </w:r>
      <w:r w:rsidR="00111D54">
        <w:rPr>
          <w:rFonts w:ascii="標楷體" w:eastAsia="標楷體" w:hAnsi="標楷體" w:hint="eastAsia"/>
          <w:color w:val="FF0000"/>
          <w:kern w:val="0"/>
          <w:highlight w:val="yellow"/>
        </w:rPr>
        <w:t>。</w:t>
      </w:r>
    </w:p>
    <w:p w:rsidR="00157EF6" w:rsidRPr="00043A1E" w:rsidRDefault="00111D54" w:rsidP="00AA120F">
      <w:pPr>
        <w:pStyle w:val="a5"/>
        <w:ind w:leftChars="75" w:left="180"/>
        <w:jc w:val="both"/>
        <w:rPr>
          <w:rFonts w:ascii="Times Ext Roman" w:hAnsi="Times Ext Roman" w:cs="Times Ext Roman"/>
          <w:szCs w:val="22"/>
        </w:rPr>
      </w:pPr>
      <w:r>
        <w:rPr>
          <w:rFonts w:ascii="標楷體" w:eastAsia="標楷體" w:hAnsi="標楷體" w:hint="eastAsia"/>
          <w:bCs/>
          <w:color w:val="FF0000"/>
          <w:kern w:val="0"/>
          <w:highlight w:val="yellow"/>
        </w:rPr>
        <w:t>「</w:t>
      </w:r>
      <w:r w:rsidR="00157EF6" w:rsidRPr="00043A1E">
        <w:rPr>
          <w:rFonts w:ascii="標楷體" w:eastAsia="標楷體" w:hAnsi="標楷體" w:cs="Times Ext Roman"/>
          <w:szCs w:val="22"/>
        </w:rPr>
        <w:t>異熟</w:t>
      </w:r>
      <w:r>
        <w:rPr>
          <w:rFonts w:ascii="標楷體" w:eastAsia="標楷體" w:hAnsi="標楷體" w:hint="eastAsia"/>
          <w:bCs/>
          <w:color w:val="FF0000"/>
          <w:kern w:val="0"/>
          <w:highlight w:val="yellow"/>
        </w:rPr>
        <w:t>」</w:t>
      </w:r>
      <w:r w:rsidR="00157EF6" w:rsidRPr="00043A1E">
        <w:rPr>
          <w:rFonts w:ascii="標楷體" w:eastAsia="標楷體" w:hAnsi="標楷體" w:cs="Times Ext Roman"/>
          <w:szCs w:val="22"/>
        </w:rPr>
        <w:t>即</w:t>
      </w:r>
      <w:r>
        <w:rPr>
          <w:rFonts w:ascii="標楷體" w:eastAsia="標楷體" w:hAnsi="標楷體" w:hint="eastAsia"/>
          <w:bCs/>
          <w:color w:val="FF0000"/>
          <w:kern w:val="0"/>
          <w:highlight w:val="yellow"/>
        </w:rPr>
        <w:t>「</w:t>
      </w:r>
      <w:r w:rsidR="00157EF6" w:rsidRPr="00043A1E">
        <w:rPr>
          <w:rFonts w:ascii="標楷體" w:eastAsia="標楷體" w:hAnsi="標楷體" w:cs="Times Ext Roman"/>
          <w:szCs w:val="22"/>
        </w:rPr>
        <w:t>識</w:t>
      </w:r>
      <w:r>
        <w:rPr>
          <w:rFonts w:ascii="標楷體" w:eastAsia="標楷體" w:hAnsi="標楷體" w:hint="eastAsia"/>
          <w:bCs/>
          <w:color w:val="FF0000"/>
          <w:kern w:val="0"/>
          <w:highlight w:val="yellow"/>
        </w:rPr>
        <w:t>」</w:t>
      </w:r>
      <w:r>
        <w:rPr>
          <w:rFonts w:ascii="標楷體" w:eastAsia="標楷體" w:hAnsi="標楷體" w:hint="eastAsia"/>
          <w:color w:val="FF0000"/>
          <w:kern w:val="0"/>
          <w:highlight w:val="yellow"/>
        </w:rPr>
        <w:t>，</w:t>
      </w:r>
      <w:r>
        <w:rPr>
          <w:rFonts w:ascii="標楷體" w:eastAsia="標楷體" w:hAnsi="標楷體" w:hint="eastAsia"/>
          <w:bCs/>
          <w:color w:val="FF0000"/>
          <w:kern w:val="0"/>
          <w:highlight w:val="yellow"/>
        </w:rPr>
        <w:t>「</w:t>
      </w:r>
      <w:r w:rsidR="00157EF6" w:rsidRPr="00043A1E">
        <w:rPr>
          <w:rFonts w:ascii="標楷體" w:eastAsia="標楷體" w:hAnsi="標楷體" w:cs="Times Ext Roman"/>
          <w:szCs w:val="22"/>
        </w:rPr>
        <w:t>熟</w:t>
      </w:r>
      <w:r>
        <w:rPr>
          <w:rFonts w:ascii="標楷體" w:eastAsia="標楷體" w:hAnsi="標楷體" w:hint="eastAsia"/>
          <w:bCs/>
          <w:color w:val="FF0000"/>
          <w:kern w:val="0"/>
          <w:highlight w:val="yellow"/>
        </w:rPr>
        <w:t>」</w:t>
      </w:r>
      <w:r w:rsidR="00157EF6" w:rsidRPr="00043A1E">
        <w:rPr>
          <w:rFonts w:ascii="標楷體" w:eastAsia="標楷體" w:hAnsi="標楷體" w:cs="Times Ext Roman"/>
          <w:szCs w:val="22"/>
        </w:rPr>
        <w:t>屬</w:t>
      </w:r>
      <w:r>
        <w:rPr>
          <w:rFonts w:ascii="標楷體" w:eastAsia="標楷體" w:hAnsi="標楷體" w:hint="eastAsia"/>
          <w:bCs/>
          <w:color w:val="FF0000"/>
          <w:kern w:val="0"/>
          <w:highlight w:val="yellow"/>
        </w:rPr>
        <w:t>「</w:t>
      </w:r>
      <w:r w:rsidR="00157EF6" w:rsidRPr="00043A1E">
        <w:rPr>
          <w:rFonts w:ascii="標楷體" w:eastAsia="標楷體" w:hAnsi="標楷體" w:cs="Times Ext Roman"/>
          <w:szCs w:val="22"/>
        </w:rPr>
        <w:t>現行</w:t>
      </w:r>
      <w:r>
        <w:rPr>
          <w:rFonts w:ascii="標楷體" w:eastAsia="標楷體" w:hAnsi="標楷體" w:hint="eastAsia"/>
          <w:bCs/>
          <w:color w:val="FF0000"/>
          <w:kern w:val="0"/>
          <w:highlight w:val="yellow"/>
        </w:rPr>
        <w:t>」</w:t>
      </w:r>
      <w:r>
        <w:rPr>
          <w:rFonts w:ascii="標楷體" w:eastAsia="標楷體" w:hAnsi="標楷體" w:hint="eastAsia"/>
          <w:color w:val="FF0000"/>
          <w:spacing w:val="-4"/>
          <w:kern w:val="0"/>
          <w:highlight w:val="yellow"/>
        </w:rPr>
        <w:t>；</w:t>
      </w:r>
      <w:r>
        <w:rPr>
          <w:rFonts w:ascii="標楷體" w:eastAsia="標楷體" w:hAnsi="標楷體" w:hint="eastAsia"/>
          <w:bCs/>
          <w:color w:val="FF0000"/>
          <w:kern w:val="0"/>
          <w:highlight w:val="yellow"/>
        </w:rPr>
        <w:t>「</w:t>
      </w:r>
      <w:r w:rsidR="00157EF6" w:rsidRPr="00043A1E">
        <w:rPr>
          <w:rFonts w:ascii="標楷體" w:eastAsia="標楷體" w:hAnsi="標楷體" w:cs="Times Ext Roman"/>
          <w:szCs w:val="22"/>
        </w:rPr>
        <w:t>異熟之識</w:t>
      </w:r>
      <w:r>
        <w:rPr>
          <w:rFonts w:ascii="標楷體" w:eastAsia="標楷體" w:hAnsi="標楷體" w:hint="eastAsia"/>
          <w:bCs/>
          <w:color w:val="FF0000"/>
          <w:kern w:val="0"/>
          <w:highlight w:val="yellow"/>
        </w:rPr>
        <w:t>」</w:t>
      </w:r>
      <w:r>
        <w:rPr>
          <w:rFonts w:ascii="標楷體" w:eastAsia="標楷體" w:hAnsi="標楷體" w:hint="eastAsia"/>
          <w:color w:val="FF0000"/>
          <w:kern w:val="0"/>
          <w:highlight w:val="yellow"/>
        </w:rPr>
        <w:t>，</w:t>
      </w:r>
      <w:r>
        <w:rPr>
          <w:rFonts w:ascii="標楷體" w:eastAsia="標楷體" w:hAnsi="標楷體" w:hint="eastAsia"/>
          <w:bCs/>
          <w:color w:val="FF0000"/>
          <w:kern w:val="0"/>
          <w:highlight w:val="yellow"/>
        </w:rPr>
        <w:t>「</w:t>
      </w:r>
      <w:r w:rsidR="00157EF6" w:rsidRPr="00043A1E">
        <w:rPr>
          <w:rFonts w:ascii="標楷體" w:eastAsia="標楷體" w:hAnsi="標楷體" w:cs="Times Ext Roman"/>
          <w:szCs w:val="22"/>
        </w:rPr>
        <w:t>熟</w:t>
      </w:r>
      <w:r>
        <w:rPr>
          <w:rFonts w:ascii="標楷體" w:eastAsia="標楷體" w:hAnsi="標楷體" w:hint="eastAsia"/>
          <w:bCs/>
          <w:color w:val="FF0000"/>
          <w:kern w:val="0"/>
          <w:highlight w:val="yellow"/>
        </w:rPr>
        <w:t>」</w:t>
      </w:r>
      <w:r w:rsidR="00157EF6" w:rsidRPr="00043A1E">
        <w:rPr>
          <w:rFonts w:ascii="標楷體" w:eastAsia="標楷體" w:hAnsi="標楷體" w:cs="Times Ext Roman"/>
          <w:szCs w:val="22"/>
        </w:rPr>
        <w:t>屬</w:t>
      </w:r>
      <w:r>
        <w:rPr>
          <w:rFonts w:ascii="標楷體" w:eastAsia="標楷體" w:hAnsi="標楷體" w:hint="eastAsia"/>
          <w:bCs/>
          <w:color w:val="FF0000"/>
          <w:kern w:val="0"/>
          <w:highlight w:val="yellow"/>
        </w:rPr>
        <w:t>「</w:t>
      </w:r>
      <w:r w:rsidR="00157EF6" w:rsidRPr="00043A1E">
        <w:rPr>
          <w:rFonts w:ascii="標楷體" w:eastAsia="標楷體" w:hAnsi="標楷體" w:cs="Times Ext Roman"/>
          <w:szCs w:val="22"/>
        </w:rPr>
        <w:t>種子</w:t>
      </w:r>
      <w:r>
        <w:rPr>
          <w:rFonts w:ascii="標楷體" w:eastAsia="標楷體" w:hAnsi="標楷體" w:hint="eastAsia"/>
          <w:bCs/>
          <w:color w:val="FF0000"/>
          <w:kern w:val="0"/>
          <w:highlight w:val="yellow"/>
        </w:rPr>
        <w:t>」</w:t>
      </w:r>
      <w:r w:rsidR="00157EF6" w:rsidRPr="00043A1E">
        <w:rPr>
          <w:rFonts w:ascii="標楷體" w:eastAsia="標楷體" w:hAnsi="標楷體" w:cs="Times Ext Roman"/>
          <w:szCs w:val="22"/>
        </w:rPr>
        <w:t>。</w:t>
      </w:r>
    </w:p>
  </w:footnote>
  <w:footnote w:id="768">
    <w:p w:rsidR="000D4CAA" w:rsidRPr="00043A1E" w:rsidRDefault="000D4CAA" w:rsidP="000D4CAA">
      <w:pPr>
        <w:pStyle w:val="a5"/>
        <w:ind w:left="187" w:hangingChars="85" w:hanging="187"/>
        <w:jc w:val="both"/>
        <w:rPr>
          <w:rFonts w:ascii="Times Ext Roman" w:hAnsi="Times Ext Roman" w:cs="Times Ext Roman"/>
          <w:szCs w:val="22"/>
        </w:rPr>
      </w:pPr>
      <w:r w:rsidRPr="00043A1E">
        <w:rPr>
          <w:rStyle w:val="a6"/>
          <w:szCs w:val="22"/>
        </w:rPr>
        <w:footnoteRef/>
      </w:r>
      <w:r w:rsidRPr="00043A1E">
        <w:rPr>
          <w:rFonts w:ascii="Times Ext Roman" w:hAnsi="新細明體" w:cs="Times Ext Roman" w:hint="eastAsia"/>
          <w:szCs w:val="22"/>
        </w:rPr>
        <w:t xml:space="preserve"> </w:t>
      </w:r>
      <w:r w:rsidRPr="00043A1E">
        <w:rPr>
          <w:rFonts w:ascii="Times Ext Roman" w:hAnsi="新細明體" w:cs="Times Ext Roman"/>
          <w:szCs w:val="22"/>
        </w:rPr>
        <w:t>《攝大乘論本》卷上（大正</w:t>
      </w:r>
      <w:r w:rsidRPr="00761EF3">
        <w:rPr>
          <w:szCs w:val="22"/>
        </w:rPr>
        <w:t>31</w:t>
      </w:r>
      <w:r w:rsidRPr="00043A1E">
        <w:rPr>
          <w:rFonts w:ascii="Times Ext Roman" w:hAnsi="新細明體" w:cs="Times Ext Roman"/>
          <w:szCs w:val="22"/>
        </w:rPr>
        <w:t>，</w:t>
      </w:r>
      <w:r w:rsidRPr="00761EF3">
        <w:rPr>
          <w:szCs w:val="22"/>
        </w:rPr>
        <w:t>134c28</w:t>
      </w:r>
      <w:r w:rsidRPr="00043A1E">
        <w:rPr>
          <w:szCs w:val="22"/>
        </w:rPr>
        <w:t>-</w:t>
      </w:r>
      <w:r w:rsidRPr="00761EF3">
        <w:rPr>
          <w:szCs w:val="22"/>
        </w:rPr>
        <w:t>135a5</w:t>
      </w:r>
      <w:r w:rsidRPr="00043A1E">
        <w:rPr>
          <w:rFonts w:ascii="Times Ext Roman" w:hAnsi="新細明體" w:cs="Times Ext Roman"/>
          <w:szCs w:val="22"/>
        </w:rPr>
        <w:t>）：</w:t>
      </w:r>
    </w:p>
    <w:p w:rsidR="000D4CAA" w:rsidRPr="00043A1E" w:rsidRDefault="000D4CAA" w:rsidP="000D4CAA">
      <w:pPr>
        <w:pStyle w:val="a5"/>
        <w:ind w:leftChars="75" w:left="180"/>
        <w:jc w:val="both"/>
        <w:rPr>
          <w:rFonts w:ascii="Times Ext Roman" w:hAnsi="Times Ext Roman" w:cs="Times Ext Roman"/>
          <w:szCs w:val="22"/>
        </w:rPr>
      </w:pPr>
      <w:r w:rsidRPr="00043A1E">
        <w:rPr>
          <w:rFonts w:ascii="Times Ext Roman" w:eastAsia="標楷體" w:hAnsi="新細明體" w:cs="Times Ext Roman"/>
          <w:szCs w:val="22"/>
        </w:rPr>
        <w:t>略說有二緣起：一者</w:t>
      </w:r>
      <w:r>
        <w:rPr>
          <w:rFonts w:ascii="標楷體" w:eastAsia="標楷體" w:hAnsi="標楷體" w:hint="eastAsia"/>
          <w:color w:val="FF0000"/>
          <w:spacing w:val="-4"/>
          <w:kern w:val="0"/>
          <w:highlight w:val="yellow"/>
        </w:rPr>
        <w:t>、</w:t>
      </w:r>
      <w:r w:rsidRPr="00043A1E">
        <w:rPr>
          <w:rFonts w:ascii="Times Ext Roman" w:eastAsia="標楷體" w:hAnsi="新細明體" w:cs="Times Ext Roman"/>
          <w:b/>
          <w:szCs w:val="22"/>
        </w:rPr>
        <w:t>分別自性緣起</w:t>
      </w:r>
      <w:r w:rsidRPr="00043A1E">
        <w:rPr>
          <w:rFonts w:ascii="Times Ext Roman" w:eastAsia="標楷體" w:hAnsi="新細明體" w:cs="Times Ext Roman"/>
          <w:szCs w:val="22"/>
        </w:rPr>
        <w:t>，二者</w:t>
      </w:r>
      <w:r>
        <w:rPr>
          <w:rFonts w:ascii="標楷體" w:eastAsia="標楷體" w:hAnsi="標楷體" w:hint="eastAsia"/>
          <w:color w:val="FF0000"/>
          <w:spacing w:val="-4"/>
          <w:kern w:val="0"/>
          <w:highlight w:val="yellow"/>
        </w:rPr>
        <w:t>、</w:t>
      </w:r>
      <w:r w:rsidRPr="00043A1E">
        <w:rPr>
          <w:rFonts w:ascii="Times Ext Roman" w:eastAsia="標楷體" w:hAnsi="新細明體" w:cs="Times Ext Roman"/>
          <w:szCs w:val="22"/>
        </w:rPr>
        <w:t>分別愛非愛緣起。此中，依止阿賴耶識</w:t>
      </w:r>
      <w:r>
        <w:rPr>
          <w:rFonts w:ascii="標楷體" w:eastAsia="標楷體" w:hAnsi="標楷體" w:hint="eastAsia"/>
          <w:color w:val="FF0000"/>
          <w:kern w:val="0"/>
          <w:highlight w:val="yellow"/>
        </w:rPr>
        <w:t>，</w:t>
      </w:r>
      <w:r w:rsidRPr="00043A1E">
        <w:rPr>
          <w:rFonts w:ascii="Times Ext Roman" w:eastAsia="標楷體" w:hAnsi="新細明體" w:cs="Times Ext Roman"/>
          <w:szCs w:val="22"/>
        </w:rPr>
        <w:t>諸法生起，是名</w:t>
      </w:r>
      <w:r>
        <w:rPr>
          <w:rFonts w:ascii="標楷體" w:eastAsia="標楷體" w:hAnsi="標楷體" w:hint="eastAsia"/>
          <w:bCs/>
          <w:color w:val="FF0000"/>
          <w:kern w:val="0"/>
          <w:highlight w:val="yellow"/>
        </w:rPr>
        <w:t>「</w:t>
      </w:r>
      <w:r w:rsidRPr="00043A1E">
        <w:rPr>
          <w:rFonts w:ascii="Times Ext Roman" w:eastAsia="標楷體" w:hAnsi="新細明體" w:cs="Times Ext Roman"/>
          <w:b/>
          <w:szCs w:val="22"/>
        </w:rPr>
        <w:t>分別自性緣起</w:t>
      </w:r>
      <w:r>
        <w:rPr>
          <w:rFonts w:ascii="標楷體" w:eastAsia="標楷體" w:hAnsi="標楷體" w:hint="eastAsia"/>
          <w:bCs/>
          <w:color w:val="FF0000"/>
          <w:kern w:val="0"/>
          <w:highlight w:val="yellow"/>
        </w:rPr>
        <w:t>」</w:t>
      </w:r>
      <w:r w:rsidRPr="00043A1E">
        <w:rPr>
          <w:rFonts w:ascii="Times Ext Roman" w:eastAsia="標楷體" w:hAnsi="新細明體" w:cs="Times Ext Roman"/>
          <w:szCs w:val="22"/>
        </w:rPr>
        <w:t>，以能分別種種自性為緣性故。復有十二支緣起，是名</w:t>
      </w:r>
      <w:r>
        <w:rPr>
          <w:rFonts w:ascii="標楷體" w:eastAsia="標楷體" w:hAnsi="標楷體" w:hint="eastAsia"/>
          <w:bCs/>
          <w:color w:val="FF0000"/>
          <w:kern w:val="0"/>
          <w:highlight w:val="yellow"/>
        </w:rPr>
        <w:t>「</w:t>
      </w:r>
      <w:r w:rsidRPr="00043A1E">
        <w:rPr>
          <w:rFonts w:ascii="Times Ext Roman" w:eastAsia="標楷體" w:hAnsi="新細明體" w:cs="Times Ext Roman"/>
          <w:szCs w:val="22"/>
        </w:rPr>
        <w:t>分別愛非愛緣起</w:t>
      </w:r>
      <w:r>
        <w:rPr>
          <w:rFonts w:ascii="標楷體" w:eastAsia="標楷體" w:hAnsi="標楷體" w:hint="eastAsia"/>
          <w:bCs/>
          <w:color w:val="FF0000"/>
          <w:kern w:val="0"/>
          <w:highlight w:val="yellow"/>
        </w:rPr>
        <w:t>」</w:t>
      </w:r>
      <w:r w:rsidRPr="00043A1E">
        <w:rPr>
          <w:rFonts w:ascii="Times Ext Roman" w:eastAsia="標楷體" w:hAnsi="新細明體" w:cs="Times Ext Roman"/>
          <w:szCs w:val="22"/>
        </w:rPr>
        <w:t>，以於善趣</w:t>
      </w:r>
      <w:r>
        <w:rPr>
          <w:rFonts w:ascii="標楷體" w:eastAsia="標楷體" w:hAnsi="標楷體" w:hint="eastAsia"/>
          <w:color w:val="FF0000"/>
          <w:kern w:val="0"/>
          <w:highlight w:val="yellow"/>
        </w:rPr>
        <w:t>.</w:t>
      </w:r>
      <w:r w:rsidRPr="00043A1E">
        <w:rPr>
          <w:rFonts w:ascii="Times Ext Roman" w:eastAsia="標楷體" w:hAnsi="新細明體" w:cs="Times Ext Roman"/>
          <w:szCs w:val="22"/>
        </w:rPr>
        <w:t>惡</w:t>
      </w:r>
      <w:r w:rsidRPr="00AA602B">
        <w:rPr>
          <w:rFonts w:ascii="Times Ext Roman" w:eastAsia="標楷體" w:hAnsi="新細明體" w:cs="Times Ext Roman"/>
          <w:szCs w:val="22"/>
          <w:highlight w:val="yellow"/>
        </w:rPr>
        <w:t>趣能</w:t>
      </w:r>
      <w:r w:rsidRPr="00043A1E">
        <w:rPr>
          <w:rFonts w:ascii="Times Ext Roman" w:eastAsia="標楷體" w:hAnsi="新細明體" w:cs="Times Ext Roman"/>
          <w:szCs w:val="22"/>
        </w:rPr>
        <w:t>分別愛</w:t>
      </w:r>
      <w:r>
        <w:rPr>
          <w:rFonts w:ascii="標楷體" w:eastAsia="標楷體" w:hAnsi="標楷體" w:hint="eastAsia"/>
          <w:color w:val="FF0000"/>
          <w:kern w:val="0"/>
          <w:highlight w:val="yellow"/>
        </w:rPr>
        <w:t>.</w:t>
      </w:r>
      <w:r w:rsidRPr="00043A1E">
        <w:rPr>
          <w:rFonts w:ascii="Times Ext Roman" w:eastAsia="標楷體" w:hAnsi="新細明體" w:cs="Times Ext Roman"/>
          <w:szCs w:val="22"/>
        </w:rPr>
        <w:t>非愛種種自體為緣性故。</w:t>
      </w:r>
    </w:p>
  </w:footnote>
  <w:footnote w:id="769">
    <w:p w:rsidR="00157EF6" w:rsidRPr="00043A1E" w:rsidRDefault="00157EF6" w:rsidP="00AA120F">
      <w:pPr>
        <w:pStyle w:val="a5"/>
        <w:spacing w:line="0" w:lineRule="atLeast"/>
        <w:ind w:left="726" w:hangingChars="330" w:hanging="726"/>
        <w:jc w:val="both"/>
        <w:rPr>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szCs w:val="22"/>
        </w:rPr>
        <w:t>）印順法師，《中觀今論》，</w:t>
      </w:r>
      <w:r w:rsidRPr="00761EF3">
        <w:rPr>
          <w:szCs w:val="22"/>
        </w:rPr>
        <w:t>p</w:t>
      </w:r>
      <w:r w:rsidRPr="00043A1E">
        <w:rPr>
          <w:szCs w:val="22"/>
        </w:rPr>
        <w:t>.</w:t>
      </w:r>
      <w:r w:rsidRPr="00761EF3">
        <w:rPr>
          <w:szCs w:val="22"/>
        </w:rPr>
        <w:t>169</w:t>
      </w:r>
      <w:r w:rsidRPr="00043A1E">
        <w:rPr>
          <w:szCs w:val="22"/>
        </w:rPr>
        <w:t>：</w:t>
      </w:r>
    </w:p>
    <w:p w:rsidR="00157EF6" w:rsidRPr="00043A1E" w:rsidRDefault="00157EF6" w:rsidP="00A640FC">
      <w:pPr>
        <w:pStyle w:val="afd"/>
      </w:pPr>
      <w:r w:rsidRPr="00043A1E">
        <w:t>「界」字，本義為種類，同類與別類，由於想像「自性不失」為實有的本來存在，從此本來存在而現行，即引申為因義，所以說界為種族義，即成為眼從眼生，耳從耳生的自性緣起。</w:t>
      </w:r>
    </w:p>
    <w:p w:rsidR="00157EF6" w:rsidRPr="00043A1E" w:rsidRDefault="00157EF6" w:rsidP="00AA120F">
      <w:pPr>
        <w:pStyle w:val="a5"/>
        <w:ind w:leftChars="80" w:left="731" w:hangingChars="245" w:hanging="539"/>
        <w:jc w:val="both"/>
        <w:rPr>
          <w:szCs w:val="22"/>
        </w:rPr>
      </w:pPr>
      <w:r w:rsidRPr="00043A1E">
        <w:rPr>
          <w:szCs w:val="22"/>
        </w:rPr>
        <w:t>（</w:t>
      </w:r>
      <w:r w:rsidRPr="00761EF3">
        <w:rPr>
          <w:szCs w:val="22"/>
        </w:rPr>
        <w:t>2</w:t>
      </w:r>
      <w:r w:rsidRPr="00043A1E">
        <w:rPr>
          <w:szCs w:val="22"/>
        </w:rPr>
        <w:t>）印順法師，《中觀論頌講記》，</w:t>
      </w:r>
      <w:r w:rsidRPr="00761EF3">
        <w:rPr>
          <w:szCs w:val="22"/>
        </w:rPr>
        <w:t>p</w:t>
      </w:r>
      <w:r w:rsidRPr="00043A1E">
        <w:rPr>
          <w:szCs w:val="22"/>
        </w:rPr>
        <w:t>.</w:t>
      </w:r>
      <w:r w:rsidRPr="00761EF3">
        <w:rPr>
          <w:szCs w:val="22"/>
        </w:rPr>
        <w:t>122</w:t>
      </w:r>
      <w:r w:rsidRPr="00043A1E">
        <w:rPr>
          <w:szCs w:val="22"/>
        </w:rPr>
        <w:t>：</w:t>
      </w:r>
    </w:p>
    <w:p w:rsidR="00157EF6" w:rsidRPr="00043A1E" w:rsidRDefault="00157EF6" w:rsidP="00A640FC">
      <w:pPr>
        <w:pStyle w:val="afd"/>
      </w:pPr>
      <w:r w:rsidRPr="00043A1E">
        <w:t>「界」的意思有二：</w:t>
      </w:r>
      <w:r w:rsidRPr="00043A1E">
        <w:rPr>
          <w:b/>
        </w:rPr>
        <w:t>一、類性</w:t>
      </w:r>
      <w:r w:rsidRPr="00043A1E">
        <w:t>，就是類同的。在事相上，是一類類的法；在理性上，就成為普遍性。所以，法界可解說為一切法的普遍真性。</w:t>
      </w:r>
      <w:r w:rsidRPr="00043A1E">
        <w:rPr>
          <w:b/>
        </w:rPr>
        <w:t>二、種義</w:t>
      </w:r>
      <w:r w:rsidRPr="00043A1E">
        <w:t>，就是所依的因性。這就發生了種子的思想；法界也就被解說為三乘聖法的因性。</w:t>
      </w:r>
    </w:p>
    <w:p w:rsidR="00CA7285" w:rsidRDefault="00157EF6" w:rsidP="00A640FC">
      <w:pPr>
        <w:pStyle w:val="afd"/>
      </w:pPr>
      <w:r w:rsidRPr="00043A1E">
        <w:rPr>
          <w:rFonts w:hint="eastAsia"/>
        </w:rPr>
        <w:t>《</w:t>
      </w:r>
      <w:r w:rsidRPr="00043A1E">
        <w:t>俱舍</w:t>
      </w:r>
      <w:r w:rsidRPr="00043A1E">
        <w:rPr>
          <w:rFonts w:hint="eastAsia"/>
        </w:rPr>
        <w:t>》</w:t>
      </w:r>
      <w:r w:rsidRPr="00043A1E">
        <w:t>說界為種類、種族，</w:t>
      </w:r>
      <w:r w:rsidR="00CA7285" w:rsidRPr="002D311F">
        <w:rPr>
          <w:rFonts w:ascii="Times New Roman" w:hAnsi="Times New Roman" w:hint="eastAsia"/>
          <w:color w:val="FF0000"/>
          <w:shd w:val="pct15" w:color="auto" w:fill="FFFFFF"/>
        </w:rPr>
        <w:t>*</w:t>
      </w:r>
      <w:r w:rsidRPr="00043A1E">
        <w:t>也就是這個意思。</w:t>
      </w:r>
    </w:p>
    <w:p w:rsidR="00157EF6" w:rsidRDefault="00157EF6" w:rsidP="00A640FC">
      <w:pPr>
        <w:pStyle w:val="afd"/>
      </w:pPr>
      <w:r w:rsidRPr="00CA7285">
        <w:rPr>
          <w:color w:val="auto"/>
          <w:highlight w:val="yellow"/>
        </w:rPr>
        <w:t>現</w:t>
      </w:r>
      <w:r w:rsidRPr="00043A1E">
        <w:t>在觀六界，是從事相的類性說的。</w:t>
      </w:r>
    </w:p>
    <w:p w:rsidR="00CA7285" w:rsidRPr="00043A1E" w:rsidRDefault="00CA7285" w:rsidP="00A640FC">
      <w:pPr>
        <w:pStyle w:val="afd"/>
      </w:pPr>
      <w:r w:rsidRPr="000D4CAA">
        <w:rPr>
          <w:rFonts w:hint="eastAsia"/>
          <w:color w:val="FF0000"/>
          <w:shd w:val="pct15" w:color="auto" w:fill="FFFFFF"/>
        </w:rPr>
        <w:t>*</w:t>
      </w:r>
      <w:r w:rsidRPr="00EB57EF">
        <w:rPr>
          <w:rFonts w:hint="eastAsia"/>
          <w:highlight w:val="yellow"/>
        </w:rPr>
        <w:t>詳見《阿毘達磨俱舍論》卷</w:t>
      </w:r>
      <w:r w:rsidRPr="00EB57EF">
        <w:rPr>
          <w:rFonts w:hint="eastAsia"/>
          <w:highlight w:val="yellow"/>
        </w:rPr>
        <w:t>1</w:t>
      </w:r>
      <w:r w:rsidRPr="00EB57EF">
        <w:rPr>
          <w:rFonts w:hint="eastAsia"/>
          <w:highlight w:val="yellow"/>
        </w:rPr>
        <w:t>〈</w:t>
      </w:r>
      <w:r w:rsidRPr="00EB57EF">
        <w:rPr>
          <w:rFonts w:hint="eastAsia"/>
          <w:highlight w:val="yellow"/>
        </w:rPr>
        <w:t xml:space="preserve">1 </w:t>
      </w:r>
      <w:r w:rsidRPr="00EB57EF">
        <w:rPr>
          <w:rFonts w:hint="eastAsia"/>
          <w:highlight w:val="yellow"/>
        </w:rPr>
        <w:t>分別界品〉</w:t>
      </w:r>
      <w:r w:rsidRPr="00EB57EF">
        <w:rPr>
          <w:highlight w:val="yellow"/>
        </w:rPr>
        <w:t>（大正</w:t>
      </w:r>
      <w:r w:rsidRPr="00EB57EF">
        <w:rPr>
          <w:highlight w:val="yellow"/>
        </w:rPr>
        <w:t>29</w:t>
      </w:r>
      <w:r w:rsidRPr="00EB57EF">
        <w:rPr>
          <w:rFonts w:hint="eastAsia"/>
          <w:highlight w:val="yellow"/>
        </w:rPr>
        <w:t>，</w:t>
      </w:r>
      <w:r w:rsidRPr="00EB57EF">
        <w:rPr>
          <w:rFonts w:hint="eastAsia"/>
          <w:highlight w:val="yellow"/>
        </w:rPr>
        <w:t>5a4-10</w:t>
      </w:r>
      <w:r w:rsidRPr="00EB57EF">
        <w:rPr>
          <w:highlight w:val="yellow"/>
        </w:rPr>
        <w:t>）。</w:t>
      </w:r>
    </w:p>
  </w:footnote>
  <w:footnote w:id="770">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rFonts w:hint="eastAsia"/>
          <w:szCs w:val="22"/>
        </w:rPr>
        <w:t>類：</w:t>
      </w:r>
      <w:r w:rsidRPr="00761EF3">
        <w:rPr>
          <w:rFonts w:hint="eastAsia"/>
          <w:szCs w:val="22"/>
        </w:rPr>
        <w:t>12</w:t>
      </w:r>
      <w:r w:rsidRPr="00043A1E">
        <w:rPr>
          <w:rFonts w:hint="eastAsia"/>
          <w:szCs w:val="22"/>
        </w:rPr>
        <w:t>.</w:t>
      </w:r>
      <w:r w:rsidRPr="00043A1E">
        <w:rPr>
          <w:rFonts w:hint="eastAsia"/>
          <w:szCs w:val="22"/>
        </w:rPr>
        <w:t>率，皆，大抵。</w:t>
      </w:r>
      <w:r w:rsidRPr="00043A1E">
        <w:rPr>
          <w:szCs w:val="22"/>
        </w:rPr>
        <w:t>（《漢語大詞典》（</w:t>
      </w:r>
      <w:r w:rsidRPr="00043A1E">
        <w:rPr>
          <w:rFonts w:hint="eastAsia"/>
          <w:szCs w:val="22"/>
        </w:rPr>
        <w:t>十二</w:t>
      </w:r>
      <w:r w:rsidRPr="00043A1E">
        <w:rPr>
          <w:szCs w:val="22"/>
        </w:rPr>
        <w:t>）</w:t>
      </w:r>
      <w:r w:rsidRPr="00043A1E">
        <w:rPr>
          <w:rFonts w:ascii="Times Ext Roman" w:hAnsi="新細明體" w:cs="Times Ext Roman" w:hint="eastAsia"/>
          <w:szCs w:val="22"/>
        </w:rPr>
        <w:t>，</w:t>
      </w:r>
      <w:r w:rsidRPr="00761EF3">
        <w:rPr>
          <w:szCs w:val="22"/>
        </w:rPr>
        <w:t>p</w:t>
      </w:r>
      <w:r w:rsidRPr="00043A1E">
        <w:rPr>
          <w:szCs w:val="22"/>
        </w:rPr>
        <w:t>.</w:t>
      </w:r>
      <w:r w:rsidRPr="00761EF3">
        <w:rPr>
          <w:rFonts w:hint="eastAsia"/>
          <w:szCs w:val="22"/>
        </w:rPr>
        <w:t>353</w:t>
      </w:r>
      <w:r w:rsidRPr="00043A1E">
        <w:rPr>
          <w:szCs w:val="22"/>
        </w:rPr>
        <w:t>）</w:t>
      </w:r>
    </w:p>
  </w:footnote>
  <w:footnote w:id="771">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rFonts w:hint="eastAsia"/>
          <w:szCs w:val="22"/>
        </w:rPr>
        <w:t>括：包容，包括。</w:t>
      </w:r>
      <w:r w:rsidRPr="00043A1E">
        <w:rPr>
          <w:szCs w:val="22"/>
        </w:rPr>
        <w:t>（《漢語大詞典》（</w:t>
      </w:r>
      <w:r w:rsidRPr="00043A1E">
        <w:rPr>
          <w:rFonts w:hint="eastAsia"/>
          <w:szCs w:val="22"/>
        </w:rPr>
        <w:t>六</w:t>
      </w:r>
      <w:r w:rsidRPr="00043A1E">
        <w:rPr>
          <w:szCs w:val="22"/>
        </w:rPr>
        <w:t>）</w:t>
      </w:r>
      <w:r w:rsidRPr="00043A1E">
        <w:rPr>
          <w:rFonts w:ascii="Times Ext Roman" w:hAnsi="新細明體" w:cs="Times Ext Roman" w:hint="eastAsia"/>
          <w:szCs w:val="22"/>
        </w:rPr>
        <w:t>，</w:t>
      </w:r>
      <w:r w:rsidRPr="00761EF3">
        <w:rPr>
          <w:szCs w:val="22"/>
        </w:rPr>
        <w:t>p</w:t>
      </w:r>
      <w:r w:rsidRPr="00043A1E">
        <w:rPr>
          <w:szCs w:val="22"/>
        </w:rPr>
        <w:t>.</w:t>
      </w:r>
      <w:r w:rsidRPr="00761EF3">
        <w:rPr>
          <w:rFonts w:hint="eastAsia"/>
          <w:szCs w:val="22"/>
        </w:rPr>
        <w:t>562</w:t>
      </w:r>
      <w:r w:rsidRPr="00043A1E">
        <w:rPr>
          <w:szCs w:val="22"/>
        </w:rPr>
        <w:t>）</w:t>
      </w:r>
    </w:p>
  </w:footnote>
  <w:footnote w:id="772">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Style w:val="aff0"/>
          <w:rFonts w:ascii="Times New Roman" w:hAnsi="Times New Roman"/>
        </w:rPr>
        <w:t xml:space="preserve"> </w:t>
      </w:r>
      <w:r w:rsidRPr="00043A1E">
        <w:rPr>
          <w:rStyle w:val="aff0"/>
          <w:rFonts w:ascii="Times New Roman" w:hAnsi="Times New Roman"/>
        </w:rPr>
        <w:t>（</w:t>
      </w:r>
      <w:r w:rsidRPr="00761EF3">
        <w:rPr>
          <w:rStyle w:val="aff0"/>
          <w:rFonts w:ascii="Times New Roman" w:hAnsi="Times New Roman"/>
        </w:rPr>
        <w:t>1</w:t>
      </w:r>
      <w:r w:rsidRPr="00043A1E">
        <w:rPr>
          <w:rStyle w:val="aff0"/>
          <w:rFonts w:ascii="Times New Roman" w:hAnsi="Times New Roman"/>
        </w:rPr>
        <w:t>）《長阿含經》卷</w:t>
      </w:r>
      <w:r w:rsidRPr="00761EF3">
        <w:rPr>
          <w:rStyle w:val="aff0"/>
          <w:rFonts w:ascii="Times New Roman" w:hAnsi="Times New Roman"/>
        </w:rPr>
        <w:t>8</w:t>
      </w:r>
      <w:r w:rsidRPr="00043A1E">
        <w:rPr>
          <w:rStyle w:val="aff0"/>
          <w:rFonts w:ascii="Times New Roman" w:hAnsi="Times New Roman"/>
        </w:rPr>
        <w:t>（</w:t>
      </w:r>
      <w:r w:rsidRPr="00761EF3">
        <w:rPr>
          <w:rStyle w:val="aff0"/>
          <w:rFonts w:ascii="Times New Roman" w:hAnsi="Times New Roman"/>
        </w:rPr>
        <w:t>9</w:t>
      </w:r>
      <w:r w:rsidRPr="00043A1E">
        <w:rPr>
          <w:rStyle w:val="aff0"/>
          <w:rFonts w:ascii="Times New Roman" w:hAnsi="Times New Roman"/>
        </w:rPr>
        <w:t>經）</w:t>
      </w:r>
      <w:r w:rsidRPr="00043A1E">
        <w:rPr>
          <w:szCs w:val="22"/>
        </w:rPr>
        <w:t>《</w:t>
      </w:r>
      <w:r w:rsidRPr="00043A1E">
        <w:rPr>
          <w:rStyle w:val="aff0"/>
          <w:rFonts w:ascii="Times New Roman" w:hAnsi="Times New Roman"/>
          <w:bCs/>
        </w:rPr>
        <w:t>眾集經</w:t>
      </w:r>
      <w:r w:rsidRPr="00043A1E">
        <w:rPr>
          <w:szCs w:val="22"/>
        </w:rPr>
        <w:t>》</w:t>
      </w:r>
      <w:r w:rsidRPr="00043A1E">
        <w:rPr>
          <w:rStyle w:val="aff0"/>
          <w:rFonts w:ascii="Times New Roman" w:hAnsi="Times New Roman"/>
        </w:rPr>
        <w:t>（大正</w:t>
      </w:r>
      <w:r w:rsidRPr="00761EF3">
        <w:rPr>
          <w:rStyle w:val="aff0"/>
          <w:rFonts w:ascii="Times New Roman" w:hAnsi="Times New Roman"/>
        </w:rPr>
        <w:t>1</w:t>
      </w:r>
      <w:r w:rsidRPr="00043A1E">
        <w:rPr>
          <w:rStyle w:val="aff0"/>
          <w:rFonts w:ascii="Times New Roman" w:hAnsi="Times New Roman"/>
        </w:rPr>
        <w:t>，</w:t>
      </w:r>
      <w:r w:rsidRPr="00761EF3">
        <w:rPr>
          <w:rStyle w:val="aff0"/>
          <w:rFonts w:ascii="Times New Roman" w:hAnsi="Times New Roman"/>
        </w:rPr>
        <w:t>50a</w:t>
      </w:r>
      <w:r w:rsidRPr="00761EF3">
        <w:rPr>
          <w:szCs w:val="22"/>
        </w:rPr>
        <w:t>27</w:t>
      </w:r>
      <w:r w:rsidRPr="00043A1E">
        <w:rPr>
          <w:szCs w:val="22"/>
        </w:rPr>
        <w:t>-</w:t>
      </w:r>
      <w:r w:rsidRPr="00761EF3">
        <w:rPr>
          <w:szCs w:val="22"/>
        </w:rPr>
        <w:t>28</w:t>
      </w:r>
      <w:r w:rsidRPr="00043A1E">
        <w:rPr>
          <w:rStyle w:val="aff0"/>
          <w:rFonts w:ascii="Times New Roman" w:hAnsi="Times New Roman"/>
        </w:rPr>
        <w:t>）：</w:t>
      </w:r>
    </w:p>
    <w:p w:rsidR="00157EF6" w:rsidRPr="00043A1E" w:rsidRDefault="00157EF6" w:rsidP="00AA120F">
      <w:pPr>
        <w:pStyle w:val="a5"/>
        <w:ind w:leftChars="335" w:left="804"/>
        <w:jc w:val="both"/>
        <w:rPr>
          <w:rStyle w:val="aff0"/>
          <w:rFonts w:ascii="Times New Roman" w:hAnsi="Times New Roman"/>
        </w:rPr>
      </w:pPr>
      <w:r w:rsidRPr="00043A1E">
        <w:rPr>
          <w:rFonts w:eastAsia="標楷體"/>
          <w:szCs w:val="22"/>
        </w:rPr>
        <w:t>復有三法，謂</w:t>
      </w:r>
      <w:r w:rsidR="00CA7285">
        <w:rPr>
          <w:rFonts w:ascii="標楷體" w:eastAsia="標楷體" w:hAnsi="標楷體" w:hint="eastAsia"/>
          <w:bCs/>
          <w:color w:val="FF0000"/>
          <w:kern w:val="0"/>
          <w:highlight w:val="yellow"/>
        </w:rPr>
        <w:t>「</w:t>
      </w:r>
      <w:r w:rsidRPr="00043A1E">
        <w:rPr>
          <w:rFonts w:eastAsia="標楷體"/>
          <w:szCs w:val="22"/>
        </w:rPr>
        <w:t>三界</w:t>
      </w:r>
      <w:r w:rsidR="00CA7285">
        <w:rPr>
          <w:rFonts w:ascii="標楷體" w:eastAsia="標楷體" w:hAnsi="標楷體" w:hint="eastAsia"/>
          <w:bCs/>
          <w:color w:val="FF0000"/>
          <w:kern w:val="0"/>
          <w:highlight w:val="yellow"/>
        </w:rPr>
        <w:t>」</w:t>
      </w:r>
      <w:r w:rsidRPr="00043A1E">
        <w:rPr>
          <w:rFonts w:eastAsia="標楷體"/>
          <w:szCs w:val="22"/>
        </w:rPr>
        <w:t>：色界、無色界、盡界。</w:t>
      </w:r>
    </w:p>
    <w:p w:rsidR="00157EF6" w:rsidRPr="00043A1E" w:rsidRDefault="00157EF6" w:rsidP="00AA120F">
      <w:pPr>
        <w:pStyle w:val="a5"/>
        <w:ind w:leftChars="105" w:left="791" w:hangingChars="245" w:hanging="539"/>
        <w:jc w:val="both"/>
        <w:rPr>
          <w:szCs w:val="22"/>
        </w:rPr>
      </w:pPr>
      <w:r w:rsidRPr="00043A1E">
        <w:rPr>
          <w:szCs w:val="22"/>
        </w:rPr>
        <w:t>（</w:t>
      </w:r>
      <w:r w:rsidRPr="00761EF3">
        <w:rPr>
          <w:szCs w:val="22"/>
        </w:rPr>
        <w:t>2</w:t>
      </w:r>
      <w:r w:rsidRPr="00043A1E">
        <w:rPr>
          <w:szCs w:val="22"/>
        </w:rPr>
        <w:t>）《</w:t>
      </w:r>
      <w:r w:rsidRPr="00043A1E">
        <w:rPr>
          <w:rStyle w:val="aff0"/>
          <w:rFonts w:ascii="Times New Roman" w:hAnsi="Times New Roman"/>
        </w:rPr>
        <w:t>中阿含經</w:t>
      </w:r>
      <w:r w:rsidRPr="00043A1E">
        <w:rPr>
          <w:szCs w:val="22"/>
        </w:rPr>
        <w:t>》卷</w:t>
      </w:r>
      <w:r w:rsidRPr="00761EF3">
        <w:rPr>
          <w:szCs w:val="22"/>
        </w:rPr>
        <w:t>7</w:t>
      </w:r>
      <w:r w:rsidRPr="00043A1E">
        <w:rPr>
          <w:szCs w:val="22"/>
        </w:rPr>
        <w:t>（</w:t>
      </w:r>
      <w:r w:rsidRPr="00761EF3">
        <w:rPr>
          <w:szCs w:val="22"/>
        </w:rPr>
        <w:t>30</w:t>
      </w:r>
      <w:r w:rsidRPr="00043A1E">
        <w:rPr>
          <w:szCs w:val="22"/>
        </w:rPr>
        <w:t>經）《</w:t>
      </w:r>
      <w:r w:rsidRPr="00043A1E">
        <w:rPr>
          <w:rStyle w:val="aff0"/>
          <w:rFonts w:ascii="Times New Roman" w:hAnsi="Times New Roman"/>
          <w:bCs/>
        </w:rPr>
        <w:t>象跡喻經</w:t>
      </w:r>
      <w:r w:rsidRPr="00043A1E">
        <w:rPr>
          <w:szCs w:val="22"/>
        </w:rPr>
        <w:t>》（大正</w:t>
      </w:r>
      <w:r w:rsidRPr="00761EF3">
        <w:rPr>
          <w:szCs w:val="22"/>
        </w:rPr>
        <w:t>1</w:t>
      </w:r>
      <w:r w:rsidRPr="00043A1E">
        <w:rPr>
          <w:szCs w:val="22"/>
        </w:rPr>
        <w:t>，</w:t>
      </w:r>
      <w:r w:rsidRPr="00761EF3">
        <w:rPr>
          <w:szCs w:val="22"/>
        </w:rPr>
        <w:t>464c4</w:t>
      </w:r>
      <w:r w:rsidRPr="00043A1E">
        <w:rPr>
          <w:szCs w:val="22"/>
        </w:rPr>
        <w:t>）：</w:t>
      </w:r>
    </w:p>
    <w:p w:rsidR="00157EF6" w:rsidRPr="00043A1E" w:rsidRDefault="00157EF6" w:rsidP="00A640FC">
      <w:pPr>
        <w:pStyle w:val="afd"/>
      </w:pPr>
      <w:r w:rsidRPr="00043A1E">
        <w:t>云何</w:t>
      </w:r>
      <w:r w:rsidR="00CA7285">
        <w:rPr>
          <w:rFonts w:ascii="標楷體" w:hAnsi="標楷體" w:hint="eastAsia"/>
          <w:bCs/>
          <w:color w:val="FF0000"/>
          <w:kern w:val="0"/>
          <w:highlight w:val="yellow"/>
        </w:rPr>
        <w:t>「</w:t>
      </w:r>
      <w:r w:rsidRPr="00043A1E">
        <w:t>四大</w:t>
      </w:r>
      <w:r w:rsidR="00CA7285">
        <w:rPr>
          <w:rFonts w:ascii="標楷體" w:hAnsi="標楷體" w:hint="eastAsia"/>
          <w:bCs/>
          <w:color w:val="FF0000"/>
          <w:kern w:val="0"/>
          <w:highlight w:val="yellow"/>
        </w:rPr>
        <w:t>」</w:t>
      </w:r>
      <w:r w:rsidRPr="00043A1E">
        <w:t>？謂地界、</w:t>
      </w:r>
      <w:r w:rsidR="00CA7285">
        <w:rPr>
          <w:rFonts w:ascii="標楷體" w:hAnsi="標楷體" w:hint="eastAsia"/>
          <w:bCs/>
          <w:color w:val="FF0000"/>
          <w:kern w:val="0"/>
          <w:highlight w:val="yellow"/>
        </w:rPr>
        <w:t>「</w:t>
      </w:r>
      <w:r w:rsidRPr="00043A1E">
        <w:t>水、火、風</w:t>
      </w:r>
      <w:r w:rsidR="00CA7285">
        <w:rPr>
          <w:rFonts w:ascii="標楷體" w:hAnsi="標楷體" w:hint="eastAsia"/>
          <w:bCs/>
          <w:color w:val="FF0000"/>
          <w:kern w:val="0"/>
          <w:highlight w:val="yellow"/>
        </w:rPr>
        <w:t>」</w:t>
      </w:r>
      <w:r w:rsidRPr="00043A1E">
        <w:t>界。</w:t>
      </w:r>
    </w:p>
    <w:p w:rsidR="00157EF6" w:rsidRPr="00043A1E" w:rsidRDefault="00157EF6" w:rsidP="00AA120F">
      <w:pPr>
        <w:pStyle w:val="a5"/>
        <w:ind w:leftChars="105" w:left="791" w:hangingChars="245" w:hanging="539"/>
        <w:jc w:val="both"/>
        <w:rPr>
          <w:szCs w:val="22"/>
        </w:rPr>
      </w:pPr>
      <w:r w:rsidRPr="00043A1E">
        <w:rPr>
          <w:szCs w:val="22"/>
        </w:rPr>
        <w:t>（</w:t>
      </w:r>
      <w:r w:rsidRPr="00761EF3">
        <w:rPr>
          <w:szCs w:val="22"/>
        </w:rPr>
        <w:t>3</w:t>
      </w:r>
      <w:r w:rsidRPr="00043A1E">
        <w:rPr>
          <w:szCs w:val="22"/>
        </w:rPr>
        <w:t>）《</w:t>
      </w:r>
      <w:r w:rsidRPr="00043A1E">
        <w:rPr>
          <w:rStyle w:val="aff0"/>
          <w:rFonts w:ascii="Times New Roman" w:hAnsi="Times New Roman"/>
        </w:rPr>
        <w:t>中阿含經</w:t>
      </w:r>
      <w:r w:rsidRPr="00043A1E">
        <w:rPr>
          <w:szCs w:val="22"/>
        </w:rPr>
        <w:t>》卷</w:t>
      </w:r>
      <w:r w:rsidRPr="00761EF3">
        <w:rPr>
          <w:szCs w:val="22"/>
        </w:rPr>
        <w:t>3</w:t>
      </w:r>
      <w:r w:rsidRPr="00043A1E">
        <w:rPr>
          <w:szCs w:val="22"/>
        </w:rPr>
        <w:t>（</w:t>
      </w:r>
      <w:r w:rsidRPr="00761EF3">
        <w:rPr>
          <w:szCs w:val="22"/>
        </w:rPr>
        <w:t>13</w:t>
      </w:r>
      <w:r w:rsidRPr="00043A1E">
        <w:rPr>
          <w:szCs w:val="22"/>
        </w:rPr>
        <w:t>經）《</w:t>
      </w:r>
      <w:r w:rsidRPr="00043A1E">
        <w:rPr>
          <w:rStyle w:val="aff0"/>
          <w:rFonts w:ascii="Times New Roman" w:hAnsi="Times New Roman"/>
        </w:rPr>
        <w:t>度經</w:t>
      </w:r>
      <w:r w:rsidRPr="00043A1E">
        <w:rPr>
          <w:szCs w:val="22"/>
        </w:rPr>
        <w:t>》（大正</w:t>
      </w:r>
      <w:r w:rsidRPr="00761EF3">
        <w:rPr>
          <w:szCs w:val="22"/>
        </w:rPr>
        <w:t>1</w:t>
      </w:r>
      <w:r w:rsidRPr="00043A1E">
        <w:rPr>
          <w:szCs w:val="22"/>
        </w:rPr>
        <w:t>，</w:t>
      </w:r>
      <w:r w:rsidRPr="00761EF3">
        <w:rPr>
          <w:szCs w:val="22"/>
        </w:rPr>
        <w:t>435c21</w:t>
      </w:r>
      <w:r w:rsidRPr="00043A1E">
        <w:rPr>
          <w:szCs w:val="22"/>
        </w:rPr>
        <w:t>-</w:t>
      </w:r>
      <w:r w:rsidRPr="00761EF3">
        <w:rPr>
          <w:szCs w:val="22"/>
        </w:rPr>
        <w:t>22</w:t>
      </w:r>
      <w:r w:rsidRPr="00043A1E">
        <w:rPr>
          <w:szCs w:val="22"/>
        </w:rPr>
        <w:t>）：</w:t>
      </w:r>
    </w:p>
    <w:p w:rsidR="00157EF6" w:rsidRPr="00043A1E" w:rsidRDefault="00157EF6" w:rsidP="00A640FC">
      <w:pPr>
        <w:pStyle w:val="afd"/>
      </w:pPr>
      <w:r w:rsidRPr="00043A1E">
        <w:t>云何</w:t>
      </w:r>
      <w:r w:rsidR="00CA7285">
        <w:rPr>
          <w:rFonts w:ascii="標楷體" w:hAnsi="標楷體" w:hint="eastAsia"/>
          <w:bCs/>
          <w:color w:val="FF0000"/>
          <w:kern w:val="0"/>
          <w:highlight w:val="yellow"/>
        </w:rPr>
        <w:t>「</w:t>
      </w:r>
      <w:r w:rsidRPr="00043A1E">
        <w:t>六界法</w:t>
      </w:r>
      <w:r w:rsidR="00CA7285">
        <w:rPr>
          <w:rFonts w:ascii="標楷體" w:hAnsi="標楷體" w:hint="eastAsia"/>
          <w:bCs/>
          <w:color w:val="FF0000"/>
          <w:kern w:val="0"/>
          <w:highlight w:val="yellow"/>
        </w:rPr>
        <w:t>」</w:t>
      </w:r>
      <w:r w:rsidRPr="00043A1E">
        <w:t>？我所自知自覺為汝說，謂地界、</w:t>
      </w:r>
      <w:r w:rsidR="00051FE6" w:rsidRPr="00051FE6">
        <w:rPr>
          <w:rFonts w:hint="eastAsia"/>
          <w:color w:val="FF0000"/>
          <w:highlight w:val="yellow"/>
        </w:rPr>
        <w:t>「</w:t>
      </w:r>
      <w:r w:rsidRPr="00043A1E">
        <w:t>水、火、風、空、識</w:t>
      </w:r>
      <w:r w:rsidR="00051FE6">
        <w:rPr>
          <w:rFonts w:hint="eastAsia"/>
          <w:color w:val="FF0000"/>
          <w:highlight w:val="yellow"/>
        </w:rPr>
        <w:t>」</w:t>
      </w:r>
      <w:r w:rsidRPr="00043A1E">
        <w:t>界。</w:t>
      </w:r>
    </w:p>
    <w:p w:rsidR="00157EF6" w:rsidRPr="00043A1E" w:rsidRDefault="00157EF6" w:rsidP="00AA120F">
      <w:pPr>
        <w:pStyle w:val="a5"/>
        <w:ind w:leftChars="105" w:left="791" w:hangingChars="245" w:hanging="539"/>
        <w:jc w:val="both"/>
        <w:rPr>
          <w:szCs w:val="22"/>
        </w:rPr>
      </w:pPr>
      <w:r w:rsidRPr="00043A1E">
        <w:rPr>
          <w:szCs w:val="22"/>
        </w:rPr>
        <w:t>（</w:t>
      </w:r>
      <w:r w:rsidRPr="00761EF3">
        <w:rPr>
          <w:szCs w:val="22"/>
        </w:rPr>
        <w:t>4</w:t>
      </w:r>
      <w:r w:rsidRPr="00043A1E">
        <w:rPr>
          <w:szCs w:val="22"/>
        </w:rPr>
        <w:t>）《雜阿含經》卷</w:t>
      </w:r>
      <w:r w:rsidRPr="00761EF3">
        <w:rPr>
          <w:szCs w:val="22"/>
        </w:rPr>
        <w:t>16</w:t>
      </w:r>
      <w:r w:rsidRPr="00043A1E">
        <w:rPr>
          <w:szCs w:val="22"/>
        </w:rPr>
        <w:t>（</w:t>
      </w:r>
      <w:r w:rsidRPr="00761EF3">
        <w:rPr>
          <w:szCs w:val="22"/>
        </w:rPr>
        <w:t>452</w:t>
      </w:r>
      <w:r w:rsidRPr="00043A1E">
        <w:rPr>
          <w:szCs w:val="22"/>
        </w:rPr>
        <w:t>經）（大正</w:t>
      </w:r>
      <w:r w:rsidRPr="00761EF3">
        <w:rPr>
          <w:szCs w:val="22"/>
        </w:rPr>
        <w:t>2</w:t>
      </w:r>
      <w:r w:rsidRPr="00043A1E">
        <w:rPr>
          <w:szCs w:val="22"/>
        </w:rPr>
        <w:t>，</w:t>
      </w:r>
      <w:r w:rsidRPr="00761EF3">
        <w:rPr>
          <w:szCs w:val="22"/>
        </w:rPr>
        <w:t>116a8</w:t>
      </w:r>
      <w:r w:rsidRPr="00043A1E">
        <w:rPr>
          <w:szCs w:val="22"/>
        </w:rPr>
        <w:t>-</w:t>
      </w:r>
      <w:r w:rsidRPr="00761EF3">
        <w:rPr>
          <w:szCs w:val="22"/>
        </w:rPr>
        <w:t>9</w:t>
      </w:r>
      <w:r w:rsidRPr="00043A1E">
        <w:rPr>
          <w:szCs w:val="22"/>
        </w:rPr>
        <w:t>）：</w:t>
      </w:r>
    </w:p>
    <w:p w:rsidR="00157EF6" w:rsidRPr="00043A1E" w:rsidRDefault="00157EF6" w:rsidP="00A640FC">
      <w:pPr>
        <w:pStyle w:val="afd"/>
      </w:pPr>
      <w:r w:rsidRPr="00043A1E">
        <w:t>云何</w:t>
      </w:r>
      <w:r w:rsidR="00CA7285">
        <w:rPr>
          <w:rFonts w:ascii="標楷體" w:hAnsi="標楷體" w:hint="eastAsia"/>
          <w:bCs/>
          <w:color w:val="FF0000"/>
          <w:kern w:val="0"/>
          <w:highlight w:val="yellow"/>
        </w:rPr>
        <w:t>「</w:t>
      </w:r>
      <w:r w:rsidRPr="00043A1E">
        <w:t>種種界</w:t>
      </w:r>
      <w:r w:rsidR="00CA7285">
        <w:rPr>
          <w:rFonts w:ascii="標楷體" w:hAnsi="標楷體" w:hint="eastAsia"/>
          <w:bCs/>
          <w:color w:val="FF0000"/>
          <w:kern w:val="0"/>
          <w:highlight w:val="yellow"/>
        </w:rPr>
        <w:t>」</w:t>
      </w:r>
      <w:r w:rsidRPr="00043A1E">
        <w:t>？謂</w:t>
      </w:r>
      <w:r w:rsidR="00CA7285">
        <w:rPr>
          <w:rFonts w:ascii="標楷體" w:hAnsi="標楷體" w:hint="eastAsia"/>
          <w:bCs/>
          <w:color w:val="FF0000"/>
          <w:kern w:val="0"/>
          <w:highlight w:val="yellow"/>
        </w:rPr>
        <w:t>「</w:t>
      </w:r>
      <w:r w:rsidRPr="00043A1E">
        <w:t>十八界</w:t>
      </w:r>
      <w:r w:rsidR="00CA7285">
        <w:rPr>
          <w:rFonts w:ascii="標楷體" w:hAnsi="標楷體" w:hint="eastAsia"/>
          <w:bCs/>
          <w:color w:val="FF0000"/>
          <w:kern w:val="0"/>
          <w:highlight w:val="yellow"/>
        </w:rPr>
        <w:t>」</w:t>
      </w:r>
      <w:r w:rsidR="00CA7285">
        <w:rPr>
          <w:rFonts w:ascii="標楷體" w:hAnsi="標楷體" w:hint="eastAsia"/>
          <w:color w:val="FF0000"/>
          <w:kern w:val="0"/>
          <w:highlight w:val="yellow"/>
        </w:rPr>
        <w:t>──</w:t>
      </w:r>
      <w:r w:rsidRPr="00043A1E">
        <w:t>眼界、色界、眼識界，</w:t>
      </w:r>
      <w:r w:rsidRPr="00051FE6">
        <w:rPr>
          <w:rFonts w:ascii="標楷體" w:hAnsi="標楷體"/>
          <w:shd w:val="pct15" w:color="auto" w:fill="FFFFFF"/>
        </w:rPr>
        <w:t>……</w:t>
      </w:r>
      <w:r w:rsidRPr="00043A1E">
        <w:t>乃至意界、法界、意識界，是名</w:t>
      </w:r>
      <w:r w:rsidR="00CA7285">
        <w:rPr>
          <w:rFonts w:ascii="標楷體" w:hAnsi="標楷體" w:hint="eastAsia"/>
          <w:bCs/>
          <w:color w:val="FF0000"/>
          <w:kern w:val="0"/>
          <w:highlight w:val="yellow"/>
        </w:rPr>
        <w:t>「</w:t>
      </w:r>
      <w:r w:rsidRPr="00043A1E">
        <w:t>種種界</w:t>
      </w:r>
      <w:r w:rsidR="00CA7285">
        <w:rPr>
          <w:rFonts w:ascii="標楷體" w:hAnsi="標楷體" w:hint="eastAsia"/>
          <w:bCs/>
          <w:color w:val="FF0000"/>
          <w:kern w:val="0"/>
          <w:highlight w:val="yellow"/>
        </w:rPr>
        <w:t>」</w:t>
      </w:r>
      <w:r w:rsidRPr="00043A1E">
        <w:t>。</w:t>
      </w:r>
    </w:p>
  </w:footnote>
  <w:footnote w:id="773">
    <w:p w:rsidR="00157EF6" w:rsidRPr="00043A1E" w:rsidRDefault="00157EF6" w:rsidP="00AA120F">
      <w:pPr>
        <w:pStyle w:val="a5"/>
        <w:spacing w:line="0" w:lineRule="atLeast"/>
        <w:ind w:left="253" w:hangingChars="115" w:hanging="253"/>
        <w:jc w:val="both"/>
        <w:rPr>
          <w:rFonts w:ascii="Times Ext Roman" w:hAnsi="Times Ext Roman" w:cs="Times Ext Roman"/>
          <w:szCs w:val="22"/>
        </w:rPr>
      </w:pPr>
      <w:r w:rsidRPr="00043A1E">
        <w:rPr>
          <w:rStyle w:val="a6"/>
          <w:szCs w:val="22"/>
        </w:rPr>
        <w:footnoteRef/>
      </w:r>
      <w:r w:rsidRPr="00043A1E">
        <w:rPr>
          <w:szCs w:val="22"/>
        </w:rPr>
        <w:t xml:space="preserve"> </w:t>
      </w:r>
      <w:r w:rsidRPr="00043A1E">
        <w:rPr>
          <w:rFonts w:ascii="Times Ext Roman" w:hAnsi="新細明體" w:cs="Times Ext Roman"/>
          <w:szCs w:val="22"/>
        </w:rPr>
        <w:t>如《</w:t>
      </w:r>
      <w:r w:rsidRPr="00043A1E">
        <w:rPr>
          <w:szCs w:val="22"/>
        </w:rPr>
        <w:t>阿毘達磨</w:t>
      </w:r>
      <w:r w:rsidRPr="00043A1E">
        <w:rPr>
          <w:rFonts w:ascii="Times Ext Roman" w:hAnsi="新細明體" w:cs="Times Ext Roman"/>
          <w:szCs w:val="22"/>
        </w:rPr>
        <w:t>俱舍論》卷</w:t>
      </w:r>
      <w:r w:rsidRPr="00761EF3">
        <w:rPr>
          <w:szCs w:val="22"/>
        </w:rPr>
        <w:t>1</w:t>
      </w:r>
      <w:r w:rsidRPr="00043A1E">
        <w:rPr>
          <w:rFonts w:ascii="Times Ext Roman" w:hAnsi="新細明體" w:cs="Times Ext Roman"/>
          <w:szCs w:val="22"/>
        </w:rPr>
        <w:t>〈</w:t>
      </w:r>
      <w:r w:rsidRPr="00761EF3">
        <w:rPr>
          <w:szCs w:val="22"/>
        </w:rPr>
        <w:t>1</w:t>
      </w:r>
      <w:r w:rsidRPr="00043A1E">
        <w:rPr>
          <w:szCs w:val="22"/>
        </w:rPr>
        <w:t xml:space="preserve"> </w:t>
      </w:r>
      <w:r w:rsidRPr="00043A1E">
        <w:rPr>
          <w:rFonts w:ascii="Times Ext Roman" w:hAnsi="新細明體" w:cs="Times Ext Roman"/>
          <w:szCs w:val="22"/>
        </w:rPr>
        <w:t>分別界品〉（大正</w:t>
      </w:r>
      <w:r w:rsidRPr="00761EF3">
        <w:rPr>
          <w:szCs w:val="22"/>
        </w:rPr>
        <w:t>29</w:t>
      </w:r>
      <w:r w:rsidRPr="00043A1E">
        <w:rPr>
          <w:rFonts w:ascii="Times Ext Roman" w:hAnsi="新細明體" w:cs="Times Ext Roman"/>
          <w:szCs w:val="22"/>
        </w:rPr>
        <w:t>，</w:t>
      </w:r>
      <w:r w:rsidRPr="00761EF3">
        <w:rPr>
          <w:szCs w:val="22"/>
        </w:rPr>
        <w:t>1a</w:t>
      </w:r>
      <w:r w:rsidRPr="00043A1E">
        <w:rPr>
          <w:szCs w:val="22"/>
        </w:rPr>
        <w:t>-</w:t>
      </w:r>
      <w:r w:rsidRPr="00761EF3">
        <w:rPr>
          <w:szCs w:val="22"/>
        </w:rPr>
        <w:t>13b2</w:t>
      </w:r>
      <w:r w:rsidRPr="00043A1E">
        <w:rPr>
          <w:rFonts w:ascii="Times Ext Roman" w:hAnsi="新細明體" w:cs="Times Ext Roman"/>
          <w:szCs w:val="22"/>
        </w:rPr>
        <w:t>），《阿毘曇心論》〈</w:t>
      </w:r>
      <w:r w:rsidRPr="00761EF3">
        <w:rPr>
          <w:szCs w:val="22"/>
        </w:rPr>
        <w:t>1</w:t>
      </w:r>
      <w:r w:rsidRPr="00043A1E">
        <w:rPr>
          <w:szCs w:val="22"/>
        </w:rPr>
        <w:t xml:space="preserve"> </w:t>
      </w:r>
      <w:r w:rsidRPr="00043A1E">
        <w:rPr>
          <w:rFonts w:ascii="Times Ext Roman" w:hAnsi="新細明體" w:cs="Times Ext Roman"/>
          <w:szCs w:val="22"/>
        </w:rPr>
        <w:t>界品〉（大正</w:t>
      </w:r>
      <w:r w:rsidRPr="00761EF3">
        <w:rPr>
          <w:szCs w:val="22"/>
        </w:rPr>
        <w:t>28</w:t>
      </w:r>
      <w:r w:rsidRPr="00043A1E">
        <w:rPr>
          <w:rFonts w:ascii="Times Ext Roman" w:hAnsi="新細明體" w:cs="Times Ext Roman"/>
          <w:szCs w:val="22"/>
        </w:rPr>
        <w:t>，</w:t>
      </w:r>
      <w:r w:rsidRPr="00761EF3">
        <w:rPr>
          <w:szCs w:val="22"/>
        </w:rPr>
        <w:t>809a</w:t>
      </w:r>
      <w:r w:rsidRPr="00043A1E">
        <w:rPr>
          <w:szCs w:val="22"/>
        </w:rPr>
        <w:t>-</w:t>
      </w:r>
      <w:r w:rsidRPr="00761EF3">
        <w:rPr>
          <w:szCs w:val="22"/>
        </w:rPr>
        <w:t>810b</w:t>
      </w:r>
      <w:r w:rsidRPr="00043A1E">
        <w:rPr>
          <w:rFonts w:ascii="Times Ext Roman" w:hAnsi="新細明體" w:cs="Times Ext Roman"/>
          <w:szCs w:val="22"/>
        </w:rPr>
        <w:t>），《阿毘曇心論經》〈</w:t>
      </w:r>
      <w:r w:rsidRPr="00761EF3">
        <w:rPr>
          <w:szCs w:val="22"/>
        </w:rPr>
        <w:t>1</w:t>
      </w:r>
      <w:r w:rsidRPr="00043A1E">
        <w:rPr>
          <w:szCs w:val="22"/>
        </w:rPr>
        <w:t xml:space="preserve"> </w:t>
      </w:r>
      <w:r w:rsidRPr="00043A1E">
        <w:rPr>
          <w:rFonts w:ascii="Times Ext Roman" w:hAnsi="新細明體" w:cs="Times Ext Roman"/>
          <w:szCs w:val="22"/>
        </w:rPr>
        <w:t>界品〉（大正</w:t>
      </w:r>
      <w:r w:rsidRPr="00761EF3">
        <w:rPr>
          <w:szCs w:val="22"/>
        </w:rPr>
        <w:t>28</w:t>
      </w:r>
      <w:r w:rsidRPr="00043A1E">
        <w:rPr>
          <w:rFonts w:ascii="Times Ext Roman" w:hAnsi="新細明體" w:cs="Times Ext Roman"/>
          <w:szCs w:val="22"/>
        </w:rPr>
        <w:t>，</w:t>
      </w:r>
      <w:r w:rsidRPr="00761EF3">
        <w:rPr>
          <w:szCs w:val="22"/>
        </w:rPr>
        <w:t>833c</w:t>
      </w:r>
      <w:r w:rsidRPr="00043A1E">
        <w:rPr>
          <w:szCs w:val="22"/>
        </w:rPr>
        <w:t>-</w:t>
      </w:r>
      <w:r w:rsidRPr="00761EF3">
        <w:rPr>
          <w:szCs w:val="22"/>
        </w:rPr>
        <w:t>836b</w:t>
      </w:r>
      <w:r w:rsidRPr="00043A1E">
        <w:rPr>
          <w:rFonts w:ascii="Times Ext Roman" w:hAnsi="新細明體" w:cs="Times Ext Roman"/>
          <w:szCs w:val="22"/>
        </w:rPr>
        <w:t>）。</w:t>
      </w:r>
    </w:p>
  </w:footnote>
  <w:footnote w:id="774">
    <w:p w:rsidR="00F93F5B" w:rsidRPr="00F93F5B" w:rsidRDefault="00F93F5B">
      <w:pPr>
        <w:pStyle w:val="a5"/>
        <w:rPr>
          <w:color w:val="FF0000"/>
          <w:highlight w:val="yellow"/>
        </w:rPr>
      </w:pPr>
      <w:r w:rsidRPr="00F93F5B">
        <w:rPr>
          <w:rStyle w:val="a6"/>
          <w:color w:val="FF0000"/>
          <w:highlight w:val="yellow"/>
        </w:rPr>
        <w:footnoteRef/>
      </w:r>
      <w:r>
        <w:t xml:space="preserve"> </w:t>
      </w:r>
      <w:r w:rsidRPr="00F93F5B">
        <w:rPr>
          <w:rFonts w:hint="eastAsia"/>
          <w:color w:val="FF0000"/>
          <w:highlight w:val="yellow"/>
        </w:rPr>
        <w:t>關於經部說明「受熏及種子所依」，可參見：</w:t>
      </w:r>
    </w:p>
    <w:p w:rsidR="00F93F5B" w:rsidRPr="00F93F5B" w:rsidRDefault="00F93F5B" w:rsidP="00F93F5B">
      <w:pPr>
        <w:pStyle w:val="a5"/>
        <w:ind w:leftChars="100" w:left="240"/>
        <w:rPr>
          <w:color w:val="FF0000"/>
          <w:highlight w:val="yellow"/>
        </w:rPr>
      </w:pPr>
      <w:r w:rsidRPr="00F93F5B">
        <w:rPr>
          <w:rFonts w:ascii="Times Ext Roman" w:hAnsi="新細明體" w:cs="Times Ext Roman" w:hint="eastAsia"/>
          <w:color w:val="FF0000"/>
          <w:szCs w:val="22"/>
          <w:highlight w:val="yellow"/>
        </w:rPr>
        <w:t>（</w:t>
      </w:r>
      <w:r w:rsidRPr="00F93F5B">
        <w:rPr>
          <w:rFonts w:hint="eastAsia"/>
          <w:color w:val="FF0000"/>
          <w:szCs w:val="22"/>
          <w:highlight w:val="yellow"/>
        </w:rPr>
        <w:t>1</w:t>
      </w:r>
      <w:r w:rsidRPr="00F93F5B">
        <w:rPr>
          <w:rFonts w:ascii="Times Ext Roman" w:hAnsi="新細明體" w:cs="Times Ext Roman" w:hint="eastAsia"/>
          <w:color w:val="FF0000"/>
          <w:szCs w:val="22"/>
          <w:highlight w:val="yellow"/>
        </w:rPr>
        <w:t>）</w:t>
      </w:r>
      <w:r w:rsidRPr="00F93F5B">
        <w:rPr>
          <w:rFonts w:hint="eastAsia"/>
          <w:color w:val="FF0000"/>
          <w:highlight w:val="yellow"/>
        </w:rPr>
        <w:t>《唯識學探源》，</w:t>
      </w:r>
      <w:r w:rsidRPr="00F93F5B">
        <w:rPr>
          <w:rFonts w:hint="eastAsia"/>
          <w:color w:val="FF0000"/>
          <w:highlight w:val="yellow"/>
        </w:rPr>
        <w:t>pp.177-186</w:t>
      </w:r>
      <w:r w:rsidRPr="00F93F5B">
        <w:rPr>
          <w:rFonts w:hint="eastAsia"/>
          <w:color w:val="FF0000"/>
          <w:highlight w:val="yellow"/>
        </w:rPr>
        <w:t>：一、六識受熏，二、六處受熏，三、細心受熏。</w:t>
      </w:r>
    </w:p>
    <w:p w:rsidR="00F93F5B" w:rsidRPr="00F93F5B" w:rsidRDefault="00F93F5B" w:rsidP="00F93F5B">
      <w:pPr>
        <w:pStyle w:val="a5"/>
        <w:ind w:leftChars="100" w:left="680" w:hangingChars="200" w:hanging="440"/>
        <w:rPr>
          <w:color w:val="FF0000"/>
          <w:highlight w:val="yellow"/>
        </w:rPr>
      </w:pPr>
      <w:r w:rsidRPr="00F93F5B">
        <w:rPr>
          <w:rFonts w:ascii="Times Ext Roman" w:hAnsi="Times Ext Roman" w:cs="Times Ext Roman" w:hint="eastAsia"/>
          <w:color w:val="FF0000"/>
          <w:szCs w:val="22"/>
          <w:highlight w:val="yellow"/>
        </w:rPr>
        <w:t>（</w:t>
      </w:r>
      <w:r w:rsidRPr="00F93F5B">
        <w:rPr>
          <w:rFonts w:hint="eastAsia"/>
          <w:color w:val="FF0000"/>
          <w:szCs w:val="22"/>
          <w:highlight w:val="yellow"/>
        </w:rPr>
        <w:t>2</w:t>
      </w:r>
      <w:r w:rsidRPr="00F93F5B">
        <w:rPr>
          <w:rFonts w:ascii="Times Ext Roman" w:hAnsi="Times Ext Roman" w:cs="Times Ext Roman" w:hint="eastAsia"/>
          <w:color w:val="FF0000"/>
          <w:szCs w:val="22"/>
          <w:highlight w:val="yellow"/>
        </w:rPr>
        <w:t>）</w:t>
      </w:r>
      <w:r w:rsidRPr="00F93F5B">
        <w:rPr>
          <w:rFonts w:hint="eastAsia"/>
          <w:color w:val="FF0000"/>
          <w:highlight w:val="yellow"/>
        </w:rPr>
        <w:t>《說一切有部為主的論書與論師之研究》，</w:t>
      </w:r>
      <w:r w:rsidRPr="00F93F5B">
        <w:rPr>
          <w:rFonts w:hint="eastAsia"/>
          <w:color w:val="FF0000"/>
          <w:highlight w:val="yellow"/>
        </w:rPr>
        <w:t>pp.554-557</w:t>
      </w:r>
      <w:r w:rsidRPr="00F93F5B">
        <w:rPr>
          <w:rFonts w:hint="eastAsia"/>
          <w:color w:val="FF0000"/>
          <w:highlight w:val="yellow"/>
        </w:rPr>
        <w:t>：一、心心相續，</w:t>
      </w:r>
    </w:p>
    <w:p w:rsidR="00F93F5B" w:rsidRPr="00F93F5B" w:rsidRDefault="00F93F5B" w:rsidP="00F93F5B">
      <w:pPr>
        <w:pStyle w:val="a5"/>
        <w:ind w:leftChars="300" w:left="720"/>
      </w:pPr>
      <w:r w:rsidRPr="00F93F5B">
        <w:rPr>
          <w:rFonts w:hint="eastAsia"/>
          <w:color w:val="FF0000"/>
          <w:highlight w:val="yellow"/>
        </w:rPr>
        <w:t>二、六處受熏，三、色（根）心互熏，四、細心相續。</w:t>
      </w:r>
    </w:p>
  </w:footnote>
  <w:footnote w:id="775">
    <w:p w:rsidR="00157EF6" w:rsidRPr="00EB57EF" w:rsidRDefault="00157EF6" w:rsidP="00AA120F">
      <w:pPr>
        <w:pStyle w:val="a5"/>
        <w:ind w:left="642" w:hangingChars="292" w:hanging="642"/>
        <w:jc w:val="both"/>
        <w:rPr>
          <w:rFonts w:ascii="Times Ext Roman" w:hAnsi="新細明體" w:cs="Times Ext Roman"/>
          <w:szCs w:val="22"/>
        </w:rPr>
      </w:pPr>
      <w:r w:rsidRPr="00EB57EF">
        <w:rPr>
          <w:rStyle w:val="a6"/>
          <w:szCs w:val="22"/>
        </w:rPr>
        <w:footnoteRef/>
      </w:r>
      <w:r w:rsidRPr="00EB57EF">
        <w:rPr>
          <w:rFonts w:ascii="Times Ext Roman" w:hAnsi="新細明體" w:cs="Times Ext Roman" w:hint="eastAsia"/>
          <w:szCs w:val="22"/>
        </w:rPr>
        <w:t xml:space="preserve"> </w:t>
      </w:r>
      <w:r w:rsidRPr="00EB57EF">
        <w:rPr>
          <w:rFonts w:ascii="Times Ext Roman" w:hAnsi="新細明體" w:cs="Times Ext Roman" w:hint="eastAsia"/>
          <w:szCs w:val="22"/>
        </w:rPr>
        <w:t>（</w:t>
      </w:r>
      <w:r w:rsidRPr="00EB57EF">
        <w:rPr>
          <w:rFonts w:hint="eastAsia"/>
          <w:szCs w:val="22"/>
        </w:rPr>
        <w:t>1</w:t>
      </w:r>
      <w:r w:rsidRPr="00EB57EF">
        <w:rPr>
          <w:rFonts w:ascii="Times Ext Roman" w:hAnsi="新細明體" w:cs="Times Ext Roman" w:hint="eastAsia"/>
          <w:szCs w:val="22"/>
        </w:rPr>
        <w:t>）</w:t>
      </w:r>
      <w:r w:rsidRPr="00EB57EF">
        <w:rPr>
          <w:rFonts w:ascii="Times Ext Roman" w:hAnsi="新細明體" w:cs="Times Ext Roman"/>
          <w:szCs w:val="22"/>
        </w:rPr>
        <w:t>《阿毘達磨俱舍論》卷</w:t>
      </w:r>
      <w:r w:rsidRPr="00EB57EF">
        <w:rPr>
          <w:szCs w:val="22"/>
        </w:rPr>
        <w:t>8</w:t>
      </w:r>
      <w:r w:rsidRPr="00EB57EF">
        <w:rPr>
          <w:rFonts w:ascii="Times Ext Roman" w:hAnsi="新細明體" w:cs="Times Ext Roman"/>
          <w:szCs w:val="22"/>
        </w:rPr>
        <w:t>〈</w:t>
      </w:r>
      <w:r w:rsidRPr="00EB57EF">
        <w:rPr>
          <w:szCs w:val="22"/>
        </w:rPr>
        <w:t xml:space="preserve">3 </w:t>
      </w:r>
      <w:r w:rsidRPr="00EB57EF">
        <w:rPr>
          <w:rFonts w:ascii="Times Ext Roman" w:hAnsi="新細明體" w:cs="Times Ext Roman"/>
          <w:szCs w:val="22"/>
        </w:rPr>
        <w:t>分別世品〉</w:t>
      </w:r>
      <w:r w:rsidRPr="00EB57EF">
        <w:rPr>
          <w:rFonts w:ascii="Times Ext Roman" w:hAnsi="Times Ext Roman" w:cs="Times Ext Roman"/>
          <w:szCs w:val="22"/>
        </w:rPr>
        <w:t>（</w:t>
      </w:r>
      <w:r w:rsidRPr="00EB57EF">
        <w:rPr>
          <w:rFonts w:ascii="Times Ext Roman" w:hAnsi="新細明體" w:cs="Times Ext Roman"/>
          <w:szCs w:val="22"/>
        </w:rPr>
        <w:t>大正</w:t>
      </w:r>
      <w:r w:rsidRPr="00EB57EF">
        <w:rPr>
          <w:szCs w:val="22"/>
        </w:rPr>
        <w:t>29</w:t>
      </w:r>
      <w:r w:rsidRPr="00EB57EF">
        <w:rPr>
          <w:rFonts w:ascii="Times Ext Roman" w:hAnsi="新細明體" w:cs="Times Ext Roman"/>
          <w:szCs w:val="22"/>
        </w:rPr>
        <w:t>，</w:t>
      </w:r>
      <w:r w:rsidRPr="00EB57EF">
        <w:rPr>
          <w:szCs w:val="22"/>
        </w:rPr>
        <w:t>41b21-22</w:t>
      </w:r>
      <w:r w:rsidRPr="00EB57EF">
        <w:rPr>
          <w:rFonts w:ascii="Times Ext Roman" w:hAnsi="Times Ext Roman" w:cs="Times Ext Roman"/>
          <w:szCs w:val="22"/>
        </w:rPr>
        <w:t>）</w:t>
      </w:r>
      <w:r w:rsidRPr="00EB57EF">
        <w:rPr>
          <w:rFonts w:ascii="Times Ext Roman" w:hAnsi="新細明體" w:cs="Times Ext Roman"/>
          <w:szCs w:val="22"/>
        </w:rPr>
        <w:t>：</w:t>
      </w:r>
    </w:p>
    <w:p w:rsidR="00157EF6" w:rsidRPr="00EB57EF" w:rsidRDefault="00157EF6" w:rsidP="00AA120F">
      <w:pPr>
        <w:pStyle w:val="a5"/>
        <w:ind w:leftChars="335" w:left="804"/>
        <w:jc w:val="both"/>
        <w:rPr>
          <w:rFonts w:ascii="Times Ext Roman" w:hAnsi="Times Ext Roman" w:cs="Times Ext Roman"/>
          <w:szCs w:val="22"/>
        </w:rPr>
      </w:pPr>
      <w:r w:rsidRPr="00EB57EF">
        <w:rPr>
          <w:rFonts w:ascii="Times Ext Roman" w:eastAsia="標楷體" w:hAnsi="新細明體" w:cs="Times Ext Roman"/>
          <w:szCs w:val="22"/>
        </w:rPr>
        <w:t>何故名為</w:t>
      </w:r>
      <w:r w:rsidR="00654C39" w:rsidRPr="00EB57EF">
        <w:rPr>
          <w:rFonts w:ascii="標楷體" w:eastAsia="標楷體" w:hAnsi="標楷體" w:hint="eastAsia"/>
          <w:bCs/>
          <w:color w:val="FF0000"/>
          <w:kern w:val="0"/>
          <w:szCs w:val="22"/>
          <w:highlight w:val="yellow"/>
        </w:rPr>
        <w:t>「</w:t>
      </w:r>
      <w:r w:rsidR="00654C39" w:rsidRPr="00EB57EF">
        <w:rPr>
          <w:rFonts w:eastAsia="標楷體" w:hint="eastAsia"/>
          <w:color w:val="FF0000"/>
          <w:szCs w:val="22"/>
          <w:highlight w:val="yellow"/>
        </w:rPr>
        <w:t>『</w:t>
      </w:r>
      <w:r w:rsidRPr="00EB57EF">
        <w:rPr>
          <w:rFonts w:ascii="Times Ext Roman" w:eastAsia="標楷體" w:hAnsi="新細明體" w:cs="Times Ext Roman"/>
          <w:szCs w:val="22"/>
        </w:rPr>
        <w:t>欲</w:t>
      </w:r>
      <w:r w:rsidR="00654C39" w:rsidRPr="00EB57EF">
        <w:rPr>
          <w:rFonts w:eastAsia="標楷體" w:hint="eastAsia"/>
          <w:color w:val="FF0000"/>
          <w:szCs w:val="22"/>
          <w:highlight w:val="yellow"/>
        </w:rPr>
        <w:t>』</w:t>
      </w:r>
      <w:r w:rsidRPr="00EB57EF">
        <w:rPr>
          <w:rFonts w:ascii="Times Ext Roman" w:eastAsia="標楷體" w:hAnsi="新細明體" w:cs="Times Ext Roman"/>
          <w:szCs w:val="22"/>
        </w:rPr>
        <w:t>等三界</w:t>
      </w:r>
      <w:r w:rsidR="00654C39" w:rsidRPr="00EB57EF">
        <w:rPr>
          <w:rFonts w:ascii="標楷體" w:eastAsia="標楷體" w:hAnsi="標楷體" w:hint="eastAsia"/>
          <w:bCs/>
          <w:color w:val="FF0000"/>
          <w:kern w:val="0"/>
          <w:szCs w:val="22"/>
          <w:highlight w:val="yellow"/>
        </w:rPr>
        <w:t>」</w:t>
      </w:r>
      <w:r w:rsidR="00660E8A" w:rsidRPr="00EB57EF">
        <w:rPr>
          <w:rFonts w:ascii="Times Ext Roman" w:eastAsia="標楷體" w:hAnsi="新細明體" w:cs="Times Ext Roman" w:hint="eastAsia"/>
          <w:color w:val="FF0000"/>
          <w:szCs w:val="22"/>
          <w:highlight w:val="yellow"/>
        </w:rPr>
        <w:t>？</w:t>
      </w:r>
      <w:r w:rsidRPr="00EB57EF">
        <w:rPr>
          <w:rFonts w:ascii="Times Ext Roman" w:eastAsia="標楷體" w:hAnsi="新細明體" w:cs="Times Ext Roman"/>
          <w:b/>
          <w:szCs w:val="22"/>
        </w:rPr>
        <w:t>能持自相故名為</w:t>
      </w:r>
      <w:r w:rsidR="00654C39" w:rsidRPr="00EB57EF">
        <w:rPr>
          <w:rFonts w:ascii="標楷體" w:eastAsia="標楷體" w:hAnsi="標楷體" w:hint="eastAsia"/>
          <w:bCs/>
          <w:color w:val="FF0000"/>
          <w:kern w:val="0"/>
          <w:szCs w:val="22"/>
          <w:highlight w:val="yellow"/>
        </w:rPr>
        <w:t>「</w:t>
      </w:r>
      <w:r w:rsidRPr="00EB57EF">
        <w:rPr>
          <w:rFonts w:ascii="Times Ext Roman" w:eastAsia="標楷體" w:hAnsi="新細明體" w:cs="Times Ext Roman"/>
          <w:b/>
          <w:szCs w:val="22"/>
        </w:rPr>
        <w:t>界</w:t>
      </w:r>
      <w:r w:rsidR="00654C39" w:rsidRPr="00EB57EF">
        <w:rPr>
          <w:rFonts w:ascii="標楷體" w:eastAsia="標楷體" w:hAnsi="標楷體" w:hint="eastAsia"/>
          <w:bCs/>
          <w:color w:val="FF0000"/>
          <w:kern w:val="0"/>
          <w:szCs w:val="22"/>
          <w:highlight w:val="yellow"/>
        </w:rPr>
        <w:t>」</w:t>
      </w:r>
      <w:r w:rsidR="00660E8A" w:rsidRPr="00EB57EF">
        <w:rPr>
          <w:rFonts w:ascii="Times Ext Roman" w:eastAsia="標楷體" w:hAnsi="新細明體" w:cs="Times Ext Roman" w:hint="eastAsia"/>
          <w:b/>
          <w:szCs w:val="22"/>
        </w:rPr>
        <w:t>；</w:t>
      </w:r>
      <w:r w:rsidRPr="00EB57EF">
        <w:rPr>
          <w:rFonts w:ascii="Times Ext Roman" w:eastAsia="標楷體" w:hAnsi="新細明體" w:cs="Times Ext Roman"/>
          <w:b/>
          <w:szCs w:val="22"/>
        </w:rPr>
        <w:t>或</w:t>
      </w:r>
      <w:r w:rsidR="00654C39" w:rsidRPr="00EB57EF">
        <w:rPr>
          <w:rFonts w:ascii="標楷體" w:eastAsia="標楷體" w:hAnsi="標楷體" w:hint="eastAsia"/>
          <w:bCs/>
          <w:color w:val="FF0000"/>
          <w:kern w:val="0"/>
          <w:szCs w:val="22"/>
          <w:highlight w:val="yellow"/>
        </w:rPr>
        <w:t>「</w:t>
      </w:r>
      <w:r w:rsidRPr="00EB57EF">
        <w:rPr>
          <w:rFonts w:ascii="Times Ext Roman" w:eastAsia="標楷體" w:hAnsi="新細明體" w:cs="Times Ext Roman"/>
          <w:b/>
          <w:szCs w:val="22"/>
        </w:rPr>
        <w:t>種族</w:t>
      </w:r>
      <w:r w:rsidR="00654C39" w:rsidRPr="00EB57EF">
        <w:rPr>
          <w:rFonts w:ascii="標楷體" w:eastAsia="標楷體" w:hAnsi="標楷體" w:hint="eastAsia"/>
          <w:bCs/>
          <w:color w:val="FF0000"/>
          <w:kern w:val="0"/>
          <w:szCs w:val="22"/>
          <w:highlight w:val="yellow"/>
        </w:rPr>
        <w:t>」</w:t>
      </w:r>
      <w:r w:rsidRPr="00EB57EF">
        <w:rPr>
          <w:rFonts w:ascii="Times Ext Roman" w:eastAsia="標楷體" w:hAnsi="新細明體" w:cs="Times Ext Roman"/>
          <w:b/>
          <w:szCs w:val="22"/>
        </w:rPr>
        <w:t>義</w:t>
      </w:r>
      <w:r w:rsidR="00660E8A" w:rsidRPr="00EB57EF">
        <w:rPr>
          <w:rFonts w:ascii="Times Ext Roman" w:eastAsia="標楷體" w:hAnsi="新細明體" w:cs="Times Ext Roman" w:hint="eastAsia"/>
          <w:color w:val="FF0000"/>
          <w:szCs w:val="22"/>
          <w:highlight w:val="yellow"/>
        </w:rPr>
        <w:t>，如前已釋</w:t>
      </w:r>
      <w:r w:rsidRPr="00EB57EF">
        <w:rPr>
          <w:rFonts w:ascii="Times Ext Roman" w:eastAsia="標楷體" w:hAnsi="新細明體" w:cs="Times Ext Roman"/>
          <w:color w:val="FF0000"/>
          <w:szCs w:val="22"/>
          <w:highlight w:val="yellow"/>
        </w:rPr>
        <w:t>。</w:t>
      </w:r>
      <w:r w:rsidR="00660E8A" w:rsidRPr="00EB57EF">
        <w:rPr>
          <w:rFonts w:ascii="Times Ext Roman" w:eastAsia="標楷體" w:hAnsi="新細明體" w:cs="Times Ext Roman" w:hint="eastAsia"/>
          <w:b/>
          <w:color w:val="FF0000"/>
          <w:szCs w:val="22"/>
          <w:shd w:val="pct15" w:color="auto" w:fill="FFFFFF"/>
        </w:rPr>
        <w:t>……</w:t>
      </w:r>
    </w:p>
    <w:p w:rsidR="00157EF6" w:rsidRPr="00EB57EF" w:rsidRDefault="00157EF6" w:rsidP="00AA120F">
      <w:pPr>
        <w:pStyle w:val="a5"/>
        <w:ind w:leftChars="105" w:left="791" w:hangingChars="245" w:hanging="539"/>
        <w:jc w:val="both"/>
        <w:rPr>
          <w:rFonts w:ascii="Times Ext Roman" w:hAnsi="Times Ext Roman" w:cs="Times Ext Roman"/>
          <w:szCs w:val="22"/>
        </w:rPr>
      </w:pPr>
      <w:r w:rsidRPr="00EB57EF">
        <w:rPr>
          <w:rFonts w:ascii="Times Ext Roman" w:hAnsi="Times Ext Roman" w:cs="Times Ext Roman" w:hint="eastAsia"/>
          <w:szCs w:val="22"/>
        </w:rPr>
        <w:t>（</w:t>
      </w:r>
      <w:r w:rsidRPr="00EB57EF">
        <w:rPr>
          <w:rFonts w:hint="eastAsia"/>
          <w:szCs w:val="22"/>
        </w:rPr>
        <w:t>2</w:t>
      </w:r>
      <w:r w:rsidRPr="00EB57EF">
        <w:rPr>
          <w:rFonts w:ascii="Times Ext Roman" w:hAnsi="Times Ext Roman" w:cs="Times Ext Roman" w:hint="eastAsia"/>
          <w:szCs w:val="22"/>
        </w:rPr>
        <w:t>）《阿毘達磨俱舍論》卷</w:t>
      </w:r>
      <w:r w:rsidRPr="00EB57EF">
        <w:rPr>
          <w:rFonts w:hint="eastAsia"/>
          <w:szCs w:val="22"/>
        </w:rPr>
        <w:t>1</w:t>
      </w:r>
      <w:r w:rsidRPr="00EB57EF">
        <w:rPr>
          <w:rFonts w:ascii="Times Ext Roman" w:hAnsi="Times Ext Roman" w:cs="Times Ext Roman" w:hint="eastAsia"/>
          <w:szCs w:val="22"/>
        </w:rPr>
        <w:t>〈</w:t>
      </w:r>
      <w:r w:rsidRPr="00EB57EF">
        <w:rPr>
          <w:rFonts w:hint="eastAsia"/>
          <w:szCs w:val="22"/>
        </w:rPr>
        <w:t xml:space="preserve">1 </w:t>
      </w:r>
      <w:r w:rsidRPr="00EB57EF">
        <w:rPr>
          <w:rFonts w:ascii="Times Ext Roman" w:hAnsi="Times Ext Roman" w:cs="Times Ext Roman" w:hint="eastAsia"/>
          <w:szCs w:val="22"/>
        </w:rPr>
        <w:t>分別界品〉（大正</w:t>
      </w:r>
      <w:r w:rsidRPr="00EB57EF">
        <w:rPr>
          <w:rFonts w:hint="eastAsia"/>
          <w:szCs w:val="22"/>
        </w:rPr>
        <w:t>29</w:t>
      </w:r>
      <w:r w:rsidRPr="00EB57EF">
        <w:rPr>
          <w:rFonts w:ascii="Times Ext Roman" w:hAnsi="Times Ext Roman" w:cs="Times Ext Roman" w:hint="eastAsia"/>
          <w:szCs w:val="22"/>
        </w:rPr>
        <w:t>，</w:t>
      </w:r>
      <w:r w:rsidRPr="00EB57EF">
        <w:rPr>
          <w:rFonts w:hint="eastAsia"/>
          <w:szCs w:val="22"/>
        </w:rPr>
        <w:t>5a4-10</w:t>
      </w:r>
      <w:r w:rsidRPr="00EB57EF">
        <w:rPr>
          <w:rFonts w:ascii="Times Ext Roman" w:hAnsi="Times Ext Roman" w:cs="Times Ext Roman" w:hint="eastAsia"/>
          <w:szCs w:val="22"/>
        </w:rPr>
        <w:t>）：</w:t>
      </w:r>
    </w:p>
    <w:p w:rsidR="001E097A" w:rsidRPr="00783B6C" w:rsidRDefault="001E097A" w:rsidP="00AA120F">
      <w:pPr>
        <w:pStyle w:val="a5"/>
        <w:ind w:leftChars="335" w:left="804"/>
        <w:jc w:val="both"/>
        <w:rPr>
          <w:rFonts w:eastAsia="標楷體"/>
          <w:szCs w:val="22"/>
        </w:rPr>
      </w:pPr>
      <w:r w:rsidRPr="00783B6C">
        <w:rPr>
          <w:rFonts w:eastAsia="標楷體" w:hint="eastAsia"/>
          <w:color w:val="FF0000"/>
          <w:szCs w:val="22"/>
          <w:highlight w:val="yellow"/>
        </w:rPr>
        <w:t>「</w:t>
      </w:r>
      <w:r w:rsidR="00157EF6" w:rsidRPr="00783B6C">
        <w:rPr>
          <w:rFonts w:eastAsia="標楷體" w:hint="eastAsia"/>
          <w:szCs w:val="22"/>
        </w:rPr>
        <w:t>法</w:t>
      </w:r>
      <w:r w:rsidR="00157EF6" w:rsidRPr="00783B6C">
        <w:rPr>
          <w:rFonts w:eastAsia="標楷體" w:hint="eastAsia"/>
          <w:b/>
          <w:szCs w:val="22"/>
        </w:rPr>
        <w:t>種族</w:t>
      </w:r>
      <w:r w:rsidRPr="00783B6C">
        <w:rPr>
          <w:rFonts w:eastAsia="標楷體" w:hint="eastAsia"/>
          <w:color w:val="FF0000"/>
          <w:szCs w:val="22"/>
          <w:highlight w:val="yellow"/>
        </w:rPr>
        <w:t>」</w:t>
      </w:r>
      <w:r w:rsidR="00157EF6" w:rsidRPr="00783B6C">
        <w:rPr>
          <w:rFonts w:eastAsia="標楷體" w:hint="eastAsia"/>
          <w:szCs w:val="22"/>
        </w:rPr>
        <w:t>義是</w:t>
      </w:r>
      <w:r w:rsidRPr="00783B6C">
        <w:rPr>
          <w:rFonts w:eastAsia="標楷體" w:hint="eastAsia"/>
          <w:color w:val="FF0000"/>
          <w:szCs w:val="22"/>
          <w:highlight w:val="yellow"/>
        </w:rPr>
        <w:t>「</w:t>
      </w:r>
      <w:r w:rsidR="00157EF6" w:rsidRPr="00783B6C">
        <w:rPr>
          <w:rFonts w:eastAsia="標楷體" w:hint="eastAsia"/>
          <w:szCs w:val="22"/>
        </w:rPr>
        <w:t>界</w:t>
      </w:r>
      <w:r w:rsidRPr="00783B6C">
        <w:rPr>
          <w:rFonts w:eastAsia="標楷體" w:hint="eastAsia"/>
          <w:color w:val="FF0000"/>
          <w:szCs w:val="22"/>
          <w:highlight w:val="yellow"/>
        </w:rPr>
        <w:t>」</w:t>
      </w:r>
      <w:r w:rsidR="00157EF6" w:rsidRPr="00783B6C">
        <w:rPr>
          <w:rFonts w:eastAsia="標楷體" w:hint="eastAsia"/>
          <w:szCs w:val="22"/>
        </w:rPr>
        <w:t>義</w:t>
      </w:r>
      <w:r w:rsidRPr="00783B6C">
        <w:rPr>
          <w:rFonts w:eastAsia="標楷體" w:hint="eastAsia"/>
          <w:color w:val="FF0000"/>
          <w:szCs w:val="22"/>
          <w:highlight w:val="yellow"/>
        </w:rPr>
        <w:t>。</w:t>
      </w:r>
      <w:r w:rsidR="00157EF6" w:rsidRPr="00783B6C">
        <w:rPr>
          <w:rFonts w:eastAsia="標楷體" w:hint="eastAsia"/>
          <w:szCs w:val="22"/>
        </w:rPr>
        <w:t>如一山中有多銅鐵金銀等族</w:t>
      </w:r>
      <w:r w:rsidRPr="00783B6C">
        <w:rPr>
          <w:rFonts w:eastAsia="標楷體" w:hint="eastAsia"/>
          <w:color w:val="FF0000"/>
          <w:szCs w:val="22"/>
          <w:highlight w:val="yellow"/>
        </w:rPr>
        <w:t>，</w:t>
      </w:r>
      <w:r w:rsidR="00157EF6" w:rsidRPr="00783B6C">
        <w:rPr>
          <w:rFonts w:eastAsia="標楷體" w:hint="eastAsia"/>
          <w:szCs w:val="22"/>
        </w:rPr>
        <w:t>說名</w:t>
      </w:r>
      <w:r w:rsidRPr="00783B6C">
        <w:rPr>
          <w:rFonts w:eastAsia="標楷體" w:hint="eastAsia"/>
          <w:color w:val="FF0000"/>
          <w:szCs w:val="22"/>
          <w:highlight w:val="yellow"/>
        </w:rPr>
        <w:t>「</w:t>
      </w:r>
      <w:r w:rsidR="00157EF6" w:rsidRPr="00783B6C">
        <w:rPr>
          <w:rFonts w:eastAsia="標楷體" w:hint="eastAsia"/>
          <w:szCs w:val="22"/>
        </w:rPr>
        <w:t>多界</w:t>
      </w:r>
      <w:r w:rsidRPr="00783B6C">
        <w:rPr>
          <w:rFonts w:eastAsia="標楷體" w:hint="eastAsia"/>
          <w:color w:val="FF0000"/>
          <w:szCs w:val="22"/>
          <w:highlight w:val="yellow"/>
        </w:rPr>
        <w:t>」；</w:t>
      </w:r>
      <w:r w:rsidR="00157EF6" w:rsidRPr="00783B6C">
        <w:rPr>
          <w:rFonts w:eastAsia="標楷體" w:hint="eastAsia"/>
          <w:szCs w:val="22"/>
        </w:rPr>
        <w:t>如是一</w:t>
      </w:r>
      <w:r w:rsidR="00157EF6" w:rsidRPr="00783B6C">
        <w:rPr>
          <w:rFonts w:eastAsia="標楷體" w:hint="eastAsia"/>
          <w:szCs w:val="22"/>
          <w:highlight w:val="yellow"/>
        </w:rPr>
        <w:t>身或</w:t>
      </w:r>
      <w:r w:rsidR="00157EF6" w:rsidRPr="00783B6C">
        <w:rPr>
          <w:rFonts w:eastAsia="標楷體" w:hint="eastAsia"/>
          <w:szCs w:val="22"/>
        </w:rPr>
        <w:t>一相續有十八類諸法種族</w:t>
      </w:r>
      <w:r w:rsidRPr="00783B6C">
        <w:rPr>
          <w:rFonts w:eastAsia="標楷體" w:hint="eastAsia"/>
          <w:color w:val="FF0000"/>
          <w:szCs w:val="22"/>
          <w:highlight w:val="yellow"/>
        </w:rPr>
        <w:t>，</w:t>
      </w:r>
      <w:r w:rsidR="00157EF6" w:rsidRPr="00783B6C">
        <w:rPr>
          <w:rFonts w:eastAsia="標楷體" w:hint="eastAsia"/>
          <w:szCs w:val="22"/>
        </w:rPr>
        <w:t>名</w:t>
      </w:r>
      <w:r w:rsidRPr="00783B6C">
        <w:rPr>
          <w:rFonts w:eastAsia="標楷體" w:hint="eastAsia"/>
          <w:color w:val="FF0000"/>
          <w:szCs w:val="22"/>
          <w:highlight w:val="yellow"/>
        </w:rPr>
        <w:t>「</w:t>
      </w:r>
      <w:r w:rsidR="00157EF6" w:rsidRPr="00783B6C">
        <w:rPr>
          <w:rFonts w:eastAsia="標楷體" w:hint="eastAsia"/>
          <w:szCs w:val="22"/>
        </w:rPr>
        <w:t>十八界</w:t>
      </w:r>
      <w:r w:rsidRPr="00783B6C">
        <w:rPr>
          <w:rFonts w:eastAsia="標楷體" w:hint="eastAsia"/>
          <w:color w:val="FF0000"/>
          <w:szCs w:val="22"/>
          <w:highlight w:val="yellow"/>
        </w:rPr>
        <w:t>」。</w:t>
      </w:r>
      <w:r w:rsidR="00157EF6" w:rsidRPr="00783B6C">
        <w:rPr>
          <w:rFonts w:eastAsia="標楷體" w:hint="eastAsia"/>
          <w:szCs w:val="22"/>
        </w:rPr>
        <w:t>此中</w:t>
      </w:r>
      <w:r w:rsidRPr="00783B6C">
        <w:rPr>
          <w:rFonts w:eastAsia="標楷體" w:hint="eastAsia"/>
          <w:color w:val="FF0000"/>
          <w:szCs w:val="22"/>
          <w:highlight w:val="yellow"/>
        </w:rPr>
        <w:t>「</w:t>
      </w:r>
      <w:r w:rsidR="00157EF6" w:rsidRPr="00783B6C">
        <w:rPr>
          <w:rFonts w:eastAsia="標楷體" w:hint="eastAsia"/>
          <w:szCs w:val="22"/>
        </w:rPr>
        <w:t>種族</w:t>
      </w:r>
      <w:r w:rsidRPr="00783B6C">
        <w:rPr>
          <w:rFonts w:eastAsia="標楷體" w:hint="eastAsia"/>
          <w:color w:val="FF0000"/>
          <w:szCs w:val="22"/>
          <w:highlight w:val="yellow"/>
        </w:rPr>
        <w:t>」</w:t>
      </w:r>
      <w:r w:rsidR="00157EF6" w:rsidRPr="00783B6C">
        <w:rPr>
          <w:rFonts w:eastAsia="標楷體" w:hint="eastAsia"/>
          <w:szCs w:val="22"/>
        </w:rPr>
        <w:t>是</w:t>
      </w:r>
      <w:r w:rsidRPr="00783B6C">
        <w:rPr>
          <w:rFonts w:eastAsia="標楷體" w:hint="eastAsia"/>
          <w:color w:val="FF0000"/>
          <w:szCs w:val="22"/>
          <w:highlight w:val="yellow"/>
        </w:rPr>
        <w:t>「</w:t>
      </w:r>
      <w:r w:rsidR="00157EF6" w:rsidRPr="00783B6C">
        <w:rPr>
          <w:rFonts w:eastAsia="標楷體" w:hint="eastAsia"/>
          <w:szCs w:val="22"/>
        </w:rPr>
        <w:t>生本</w:t>
      </w:r>
      <w:r w:rsidRPr="00783B6C">
        <w:rPr>
          <w:rFonts w:eastAsia="標楷體" w:hint="eastAsia"/>
          <w:color w:val="FF0000"/>
          <w:szCs w:val="22"/>
          <w:highlight w:val="yellow"/>
        </w:rPr>
        <w:t>」</w:t>
      </w:r>
      <w:r w:rsidR="00157EF6" w:rsidRPr="00783B6C">
        <w:rPr>
          <w:rFonts w:eastAsia="標楷體" w:hint="eastAsia"/>
          <w:szCs w:val="22"/>
        </w:rPr>
        <w:t>義。</w:t>
      </w:r>
    </w:p>
    <w:p w:rsidR="00051FE6" w:rsidRPr="00783B6C" w:rsidRDefault="00157EF6" w:rsidP="00AA120F">
      <w:pPr>
        <w:pStyle w:val="a5"/>
        <w:ind w:leftChars="335" w:left="804"/>
        <w:jc w:val="both"/>
        <w:rPr>
          <w:rFonts w:eastAsia="標楷體"/>
          <w:szCs w:val="22"/>
        </w:rPr>
      </w:pPr>
      <w:r w:rsidRPr="00783B6C">
        <w:rPr>
          <w:rFonts w:eastAsia="標楷體" w:hint="eastAsia"/>
          <w:szCs w:val="22"/>
        </w:rPr>
        <w:t>如是眼等</w:t>
      </w:r>
      <w:r w:rsidR="001E097A" w:rsidRPr="00783B6C">
        <w:rPr>
          <w:rFonts w:eastAsia="標楷體" w:hint="eastAsia"/>
          <w:color w:val="FF0000"/>
          <w:szCs w:val="22"/>
          <w:highlight w:val="yellow"/>
        </w:rPr>
        <w:t>，</w:t>
      </w:r>
      <w:r w:rsidRPr="00783B6C">
        <w:rPr>
          <w:rFonts w:eastAsia="標楷體" w:hint="eastAsia"/>
          <w:szCs w:val="22"/>
        </w:rPr>
        <w:t>誰之生本？謂</w:t>
      </w:r>
      <w:r w:rsidRPr="00783B6C">
        <w:rPr>
          <w:rFonts w:eastAsia="標楷體" w:hint="eastAsia"/>
          <w:b/>
          <w:szCs w:val="22"/>
        </w:rPr>
        <w:t>自種類</w:t>
      </w:r>
      <w:r w:rsidR="001E097A" w:rsidRPr="00783B6C">
        <w:rPr>
          <w:rFonts w:eastAsia="標楷體" w:hint="eastAsia"/>
          <w:szCs w:val="22"/>
        </w:rPr>
        <w:t>，</w:t>
      </w:r>
      <w:r w:rsidRPr="00783B6C">
        <w:rPr>
          <w:rFonts w:eastAsia="標楷體" w:hint="eastAsia"/>
          <w:szCs w:val="22"/>
        </w:rPr>
        <w:t>同類因故。</w:t>
      </w:r>
    </w:p>
    <w:p w:rsidR="001E097A" w:rsidRPr="00783B6C" w:rsidRDefault="00157EF6" w:rsidP="00AA120F">
      <w:pPr>
        <w:pStyle w:val="a5"/>
        <w:ind w:leftChars="335" w:left="804"/>
        <w:jc w:val="both"/>
        <w:rPr>
          <w:rFonts w:eastAsia="標楷體"/>
          <w:color w:val="FF0000"/>
          <w:szCs w:val="22"/>
        </w:rPr>
      </w:pPr>
      <w:r w:rsidRPr="00783B6C">
        <w:rPr>
          <w:rFonts w:eastAsia="標楷體" w:hint="eastAsia"/>
          <w:szCs w:val="22"/>
          <w:highlight w:val="yellow"/>
        </w:rPr>
        <w:t>若</w:t>
      </w:r>
      <w:r w:rsidRPr="00783B6C">
        <w:rPr>
          <w:rFonts w:eastAsia="標楷體" w:hint="eastAsia"/>
          <w:szCs w:val="22"/>
        </w:rPr>
        <w:t>爾，</w:t>
      </w:r>
      <w:r w:rsidR="00654C39" w:rsidRPr="00783B6C">
        <w:rPr>
          <w:rFonts w:eastAsia="標楷體" w:hint="eastAsia"/>
          <w:bCs/>
          <w:color w:val="FF0000"/>
          <w:kern w:val="0"/>
          <w:szCs w:val="22"/>
          <w:highlight w:val="yellow"/>
        </w:rPr>
        <w:t>「</w:t>
      </w:r>
      <w:r w:rsidRPr="00783B6C">
        <w:rPr>
          <w:rFonts w:eastAsia="標楷體" w:hint="eastAsia"/>
          <w:szCs w:val="22"/>
        </w:rPr>
        <w:t>無為</w:t>
      </w:r>
      <w:r w:rsidR="00654C39" w:rsidRPr="00783B6C">
        <w:rPr>
          <w:rFonts w:eastAsia="標楷體" w:hint="eastAsia"/>
          <w:bCs/>
          <w:color w:val="FF0000"/>
          <w:kern w:val="0"/>
          <w:szCs w:val="22"/>
          <w:highlight w:val="yellow"/>
        </w:rPr>
        <w:t>」</w:t>
      </w:r>
      <w:r w:rsidRPr="00783B6C">
        <w:rPr>
          <w:rFonts w:eastAsia="標楷體" w:hint="eastAsia"/>
          <w:szCs w:val="22"/>
        </w:rPr>
        <w:t>應不名</w:t>
      </w:r>
      <w:r w:rsidR="001E097A" w:rsidRPr="00783B6C">
        <w:rPr>
          <w:rFonts w:eastAsia="標楷體" w:hint="eastAsia"/>
          <w:color w:val="FF0000"/>
          <w:szCs w:val="22"/>
          <w:highlight w:val="yellow"/>
        </w:rPr>
        <w:t>「</w:t>
      </w:r>
      <w:r w:rsidRPr="00783B6C">
        <w:rPr>
          <w:rFonts w:eastAsia="標楷體" w:hint="eastAsia"/>
          <w:szCs w:val="22"/>
        </w:rPr>
        <w:t>界</w:t>
      </w:r>
      <w:r w:rsidR="001E097A" w:rsidRPr="00783B6C">
        <w:rPr>
          <w:rFonts w:eastAsia="標楷體" w:hint="eastAsia"/>
          <w:color w:val="FF0000"/>
          <w:szCs w:val="22"/>
          <w:highlight w:val="yellow"/>
        </w:rPr>
        <w:t>」。</w:t>
      </w:r>
    </w:p>
    <w:p w:rsidR="00157EF6" w:rsidRPr="00783B6C" w:rsidRDefault="00157EF6" w:rsidP="00AA120F">
      <w:pPr>
        <w:pStyle w:val="a5"/>
        <w:ind w:leftChars="335" w:left="804"/>
        <w:jc w:val="both"/>
        <w:rPr>
          <w:rFonts w:eastAsia="標楷體"/>
          <w:szCs w:val="22"/>
        </w:rPr>
      </w:pPr>
      <w:r w:rsidRPr="00783B6C">
        <w:rPr>
          <w:rFonts w:eastAsia="標楷體" w:hint="eastAsia"/>
          <w:szCs w:val="22"/>
        </w:rPr>
        <w:t>心</w:t>
      </w:r>
      <w:r w:rsidR="00654C39" w:rsidRPr="00783B6C">
        <w:rPr>
          <w:rFonts w:ascii="標楷體" w:eastAsia="標楷體" w:hAnsi="標楷體" w:hint="eastAsia"/>
          <w:color w:val="FF0000"/>
          <w:kern w:val="0"/>
          <w:szCs w:val="22"/>
          <w:highlight w:val="yellow"/>
        </w:rPr>
        <w:t>.</w:t>
      </w:r>
      <w:r w:rsidRPr="00783B6C">
        <w:rPr>
          <w:rFonts w:eastAsia="標楷體" w:hint="eastAsia"/>
          <w:szCs w:val="22"/>
        </w:rPr>
        <w:t>心所法生之本故。</w:t>
      </w:r>
    </w:p>
    <w:p w:rsidR="00157EF6" w:rsidRPr="00EB57EF" w:rsidRDefault="00157EF6" w:rsidP="00AA120F">
      <w:pPr>
        <w:pStyle w:val="a5"/>
        <w:ind w:leftChars="335" w:left="804"/>
        <w:jc w:val="both"/>
        <w:rPr>
          <w:rFonts w:ascii="Times Ext Roman" w:hAnsi="Times Ext Roman" w:cs="Times Ext Roman"/>
          <w:szCs w:val="22"/>
        </w:rPr>
      </w:pPr>
      <w:r w:rsidRPr="00783B6C">
        <w:rPr>
          <w:rFonts w:eastAsia="標楷體" w:hint="eastAsia"/>
          <w:szCs w:val="22"/>
        </w:rPr>
        <w:t>有說：</w:t>
      </w:r>
      <w:r w:rsidR="00654C39" w:rsidRPr="00783B6C">
        <w:rPr>
          <w:rFonts w:eastAsia="標楷體" w:hint="eastAsia"/>
          <w:bCs/>
          <w:color w:val="FF0000"/>
          <w:kern w:val="0"/>
          <w:szCs w:val="22"/>
          <w:highlight w:val="yellow"/>
        </w:rPr>
        <w:t>「</w:t>
      </w:r>
      <w:r w:rsidRPr="00783B6C">
        <w:rPr>
          <w:rFonts w:eastAsia="標楷體" w:hint="eastAsia"/>
          <w:szCs w:val="22"/>
        </w:rPr>
        <w:t>界</w:t>
      </w:r>
      <w:r w:rsidR="00654C39" w:rsidRPr="00783B6C">
        <w:rPr>
          <w:rFonts w:eastAsia="標楷體" w:hint="eastAsia"/>
          <w:bCs/>
          <w:color w:val="FF0000"/>
          <w:kern w:val="0"/>
          <w:szCs w:val="22"/>
          <w:highlight w:val="yellow"/>
        </w:rPr>
        <w:t>」</w:t>
      </w:r>
      <w:r w:rsidRPr="00783B6C">
        <w:rPr>
          <w:rFonts w:eastAsia="標楷體" w:hint="eastAsia"/>
          <w:szCs w:val="22"/>
        </w:rPr>
        <w:t>聲表</w:t>
      </w:r>
      <w:r w:rsidR="001E097A" w:rsidRPr="00783B6C">
        <w:rPr>
          <w:rFonts w:eastAsia="標楷體" w:hint="eastAsia"/>
          <w:color w:val="FF0000"/>
          <w:szCs w:val="22"/>
          <w:highlight w:val="yellow"/>
        </w:rPr>
        <w:t>「</w:t>
      </w:r>
      <w:r w:rsidRPr="00783B6C">
        <w:rPr>
          <w:rFonts w:eastAsia="標楷體" w:hint="eastAsia"/>
          <w:b/>
          <w:szCs w:val="22"/>
        </w:rPr>
        <w:t>種類</w:t>
      </w:r>
      <w:r w:rsidR="001E097A" w:rsidRPr="00783B6C">
        <w:rPr>
          <w:rFonts w:eastAsia="標楷體" w:hint="eastAsia"/>
          <w:color w:val="FF0000"/>
          <w:szCs w:val="22"/>
          <w:highlight w:val="yellow"/>
        </w:rPr>
        <w:t>」</w:t>
      </w:r>
      <w:r w:rsidRPr="00783B6C">
        <w:rPr>
          <w:rFonts w:eastAsia="標楷體" w:hint="eastAsia"/>
          <w:szCs w:val="22"/>
        </w:rPr>
        <w:t>義</w:t>
      </w:r>
      <w:r w:rsidR="001E097A" w:rsidRPr="00783B6C">
        <w:rPr>
          <w:rFonts w:eastAsia="標楷體" w:hint="eastAsia"/>
          <w:color w:val="FF0000"/>
          <w:szCs w:val="22"/>
          <w:highlight w:val="yellow"/>
        </w:rPr>
        <w:t>。</w:t>
      </w:r>
      <w:r w:rsidRPr="00783B6C">
        <w:rPr>
          <w:rFonts w:eastAsia="標楷體" w:hint="eastAsia"/>
          <w:szCs w:val="22"/>
        </w:rPr>
        <w:t>謂十八法種類自性各別不同</w:t>
      </w:r>
      <w:r w:rsidR="00051FE6" w:rsidRPr="00783B6C">
        <w:rPr>
          <w:rFonts w:eastAsia="標楷體" w:hint="eastAsia"/>
          <w:color w:val="FF0000"/>
          <w:szCs w:val="22"/>
          <w:highlight w:val="yellow"/>
        </w:rPr>
        <w:t>，</w:t>
      </w:r>
      <w:r w:rsidRPr="00783B6C">
        <w:rPr>
          <w:rFonts w:eastAsia="標楷體" w:hint="eastAsia"/>
          <w:szCs w:val="22"/>
        </w:rPr>
        <w:t>名</w:t>
      </w:r>
      <w:r w:rsidR="00051FE6" w:rsidRPr="00783B6C">
        <w:rPr>
          <w:rFonts w:eastAsia="標楷體" w:hint="eastAsia"/>
          <w:color w:val="FF0000"/>
          <w:szCs w:val="22"/>
          <w:highlight w:val="yellow"/>
        </w:rPr>
        <w:t>「</w:t>
      </w:r>
      <w:r w:rsidRPr="00783B6C">
        <w:rPr>
          <w:rFonts w:eastAsia="標楷體" w:hint="eastAsia"/>
          <w:szCs w:val="22"/>
        </w:rPr>
        <w:t>十八界</w:t>
      </w:r>
      <w:r w:rsidR="00051FE6" w:rsidRPr="00783B6C">
        <w:rPr>
          <w:rFonts w:eastAsia="標楷體" w:hint="eastAsia"/>
          <w:color w:val="FF0000"/>
          <w:szCs w:val="22"/>
          <w:highlight w:val="yellow"/>
        </w:rPr>
        <w:t>」</w:t>
      </w:r>
      <w:r w:rsidRPr="00783B6C">
        <w:rPr>
          <w:rFonts w:eastAsia="標楷體" w:hint="eastAsia"/>
          <w:szCs w:val="22"/>
        </w:rPr>
        <w:t>。</w:t>
      </w:r>
    </w:p>
  </w:footnote>
  <w:footnote w:id="776">
    <w:p w:rsidR="00157EF6" w:rsidRPr="00EB57EF" w:rsidRDefault="00157EF6" w:rsidP="00AA120F">
      <w:pPr>
        <w:pStyle w:val="a5"/>
        <w:ind w:left="642" w:hangingChars="292" w:hanging="642"/>
        <w:jc w:val="both"/>
        <w:rPr>
          <w:szCs w:val="22"/>
        </w:rPr>
      </w:pPr>
      <w:r w:rsidRPr="00EB57EF">
        <w:rPr>
          <w:rStyle w:val="a6"/>
          <w:szCs w:val="22"/>
        </w:rPr>
        <w:footnoteRef/>
      </w:r>
      <w:r w:rsidRPr="00EB57EF">
        <w:rPr>
          <w:rFonts w:hint="eastAsia"/>
          <w:szCs w:val="22"/>
        </w:rPr>
        <w:t xml:space="preserve"> </w:t>
      </w:r>
      <w:r w:rsidRPr="00EB57EF">
        <w:rPr>
          <w:szCs w:val="22"/>
        </w:rPr>
        <w:t>（</w:t>
      </w:r>
      <w:r w:rsidRPr="00EB57EF">
        <w:rPr>
          <w:szCs w:val="22"/>
        </w:rPr>
        <w:t>1</w:t>
      </w:r>
      <w:r w:rsidRPr="00EB57EF">
        <w:rPr>
          <w:szCs w:val="22"/>
        </w:rPr>
        <w:t>）《</w:t>
      </w:r>
      <w:r w:rsidRPr="00EB57EF">
        <w:rPr>
          <w:rFonts w:ascii="Times Ext Roman" w:hAnsi="新細明體" w:cs="Times Ext Roman"/>
          <w:szCs w:val="22"/>
        </w:rPr>
        <w:t>瑜伽</w:t>
      </w:r>
      <w:r w:rsidRPr="00EB57EF">
        <w:rPr>
          <w:szCs w:val="22"/>
        </w:rPr>
        <w:t>師地論》卷</w:t>
      </w:r>
      <w:r w:rsidRPr="00EB57EF">
        <w:rPr>
          <w:szCs w:val="22"/>
        </w:rPr>
        <w:t>51</w:t>
      </w:r>
      <w:r w:rsidRPr="00EB57EF">
        <w:rPr>
          <w:szCs w:val="22"/>
        </w:rPr>
        <w:t>（</w:t>
      </w:r>
      <w:r w:rsidRPr="00EB57EF">
        <w:rPr>
          <w:rFonts w:ascii="新細明體" w:hAnsi="新細明體"/>
          <w:szCs w:val="22"/>
        </w:rPr>
        <w:t>大正</w:t>
      </w:r>
      <w:r w:rsidRPr="00EB57EF">
        <w:rPr>
          <w:szCs w:val="22"/>
        </w:rPr>
        <w:t>30</w:t>
      </w:r>
      <w:r w:rsidRPr="00EB57EF">
        <w:rPr>
          <w:szCs w:val="22"/>
        </w:rPr>
        <w:t>，</w:t>
      </w:r>
      <w:r w:rsidRPr="00EB57EF">
        <w:rPr>
          <w:szCs w:val="22"/>
        </w:rPr>
        <w:t>581b17-21</w:t>
      </w:r>
      <w:r w:rsidRPr="00EB57EF">
        <w:rPr>
          <w:szCs w:val="22"/>
        </w:rPr>
        <w:t>）：</w:t>
      </w:r>
    </w:p>
    <w:p w:rsidR="00157EF6" w:rsidRPr="00A640FC" w:rsidRDefault="00157EF6" w:rsidP="00A640FC">
      <w:pPr>
        <w:pStyle w:val="a5"/>
        <w:ind w:leftChars="335" w:left="804"/>
        <w:jc w:val="both"/>
        <w:rPr>
          <w:rFonts w:ascii="標楷體" w:eastAsia="標楷體" w:hAnsi="標楷體"/>
        </w:rPr>
      </w:pPr>
      <w:r w:rsidRPr="00A640FC">
        <w:rPr>
          <w:rFonts w:ascii="標楷體" w:eastAsia="標楷體" w:hAnsi="標楷體"/>
        </w:rPr>
        <w:t>薄伽梵說：</w:t>
      </w:r>
      <w:r w:rsidRPr="00A640FC">
        <w:rPr>
          <w:rFonts w:ascii="標楷體" w:eastAsia="標楷體" w:hAnsi="標楷體" w:hint="eastAsia"/>
        </w:rPr>
        <w:t>「</w:t>
      </w:r>
      <w:r w:rsidRPr="00A640FC">
        <w:rPr>
          <w:rFonts w:ascii="標楷體" w:eastAsia="標楷體" w:hAnsi="標楷體"/>
        </w:rPr>
        <w:t>有眼界、色界、眼識界</w:t>
      </w:r>
      <w:r w:rsidR="00051FE6" w:rsidRPr="00A640FC">
        <w:rPr>
          <w:rFonts w:ascii="標楷體" w:eastAsia="標楷體" w:hAnsi="標楷體" w:hint="eastAsia"/>
          <w:color w:val="FF0000"/>
          <w:highlight w:val="yellow"/>
        </w:rPr>
        <w:t>，</w:t>
      </w:r>
      <w:r w:rsidRPr="00A640FC">
        <w:rPr>
          <w:rFonts w:ascii="標楷體" w:eastAsia="標楷體" w:hAnsi="標楷體"/>
        </w:rPr>
        <w:t>乃至有意界、法界、意識界</w:t>
      </w:r>
      <w:r w:rsidR="00051FE6" w:rsidRPr="00A640FC">
        <w:rPr>
          <w:rFonts w:ascii="標楷體" w:eastAsia="標楷體" w:hAnsi="標楷體" w:hint="eastAsia"/>
          <w:color w:val="FF0000"/>
          <w:highlight w:val="yellow"/>
        </w:rPr>
        <w:t>。」</w:t>
      </w:r>
      <w:r w:rsidRPr="00A640FC">
        <w:rPr>
          <w:rFonts w:ascii="標楷體" w:eastAsia="標楷體" w:hAnsi="標楷體"/>
        </w:rPr>
        <w:t>由於阿賴耶識中有種種界故；又</w:t>
      </w:r>
      <w:r w:rsidRPr="00A640FC">
        <w:rPr>
          <w:rFonts w:ascii="標楷體" w:eastAsia="標楷體" w:hAnsi="標楷體"/>
          <w:b/>
        </w:rPr>
        <w:t>如經說</w:t>
      </w:r>
      <w:r w:rsidR="00051FE6" w:rsidRPr="00A640FC">
        <w:rPr>
          <w:rFonts w:ascii="標楷體" w:eastAsia="標楷體" w:hAnsi="標楷體" w:hint="eastAsia"/>
          <w:color w:val="FF0000"/>
          <w:highlight w:val="yellow"/>
        </w:rPr>
        <w:t>「</w:t>
      </w:r>
      <w:r w:rsidRPr="00A640FC">
        <w:rPr>
          <w:rFonts w:ascii="標楷體" w:eastAsia="標楷體" w:hAnsi="標楷體"/>
          <w:b/>
        </w:rPr>
        <w:t>惡叉聚喻</w:t>
      </w:r>
      <w:r w:rsidR="00051FE6" w:rsidRPr="00A640FC">
        <w:rPr>
          <w:rFonts w:ascii="標楷體" w:eastAsia="標楷體" w:hAnsi="標楷體" w:hint="eastAsia"/>
          <w:color w:val="FF0000"/>
          <w:highlight w:val="yellow"/>
        </w:rPr>
        <w:t>」</w:t>
      </w:r>
      <w:r w:rsidRPr="00A640FC">
        <w:rPr>
          <w:rFonts w:ascii="標楷體" w:eastAsia="標楷體" w:hAnsi="標楷體"/>
        </w:rPr>
        <w:t>，由於阿賴耶識中有多界故。</w:t>
      </w:r>
    </w:p>
    <w:p w:rsidR="00157EF6" w:rsidRPr="00EB57EF" w:rsidRDefault="00157EF6" w:rsidP="00AA120F">
      <w:pPr>
        <w:pStyle w:val="a5"/>
        <w:ind w:leftChars="105" w:left="791" w:hangingChars="245" w:hanging="539"/>
        <w:jc w:val="both"/>
        <w:rPr>
          <w:szCs w:val="22"/>
        </w:rPr>
      </w:pPr>
      <w:r w:rsidRPr="00EB57EF">
        <w:rPr>
          <w:szCs w:val="22"/>
        </w:rPr>
        <w:t>（</w:t>
      </w:r>
      <w:r w:rsidRPr="00EB57EF">
        <w:rPr>
          <w:szCs w:val="22"/>
        </w:rPr>
        <w:t>2</w:t>
      </w:r>
      <w:r w:rsidRPr="00EB57EF">
        <w:rPr>
          <w:szCs w:val="22"/>
        </w:rPr>
        <w:t>）《成唯識論》卷</w:t>
      </w:r>
      <w:r w:rsidRPr="00EB57EF">
        <w:rPr>
          <w:szCs w:val="22"/>
        </w:rPr>
        <w:t>2</w:t>
      </w:r>
      <w:r w:rsidRPr="00EB57EF">
        <w:rPr>
          <w:szCs w:val="22"/>
        </w:rPr>
        <w:t>（</w:t>
      </w:r>
      <w:r w:rsidRPr="00EB57EF">
        <w:rPr>
          <w:rFonts w:ascii="新細明體" w:hAnsi="新細明體"/>
          <w:szCs w:val="22"/>
        </w:rPr>
        <w:t>大正</w:t>
      </w:r>
      <w:r w:rsidRPr="00EB57EF">
        <w:rPr>
          <w:szCs w:val="22"/>
        </w:rPr>
        <w:t>31</w:t>
      </w:r>
      <w:r w:rsidRPr="00EB57EF">
        <w:rPr>
          <w:szCs w:val="22"/>
        </w:rPr>
        <w:t>，</w:t>
      </w:r>
      <w:r w:rsidRPr="00EB57EF">
        <w:rPr>
          <w:szCs w:val="22"/>
        </w:rPr>
        <w:t>8a22-2</w:t>
      </w:r>
      <w:r w:rsidRPr="00EB57EF">
        <w:rPr>
          <w:rFonts w:hint="eastAsia"/>
          <w:szCs w:val="22"/>
        </w:rPr>
        <w:t>9</w:t>
      </w:r>
      <w:r w:rsidRPr="00EB57EF">
        <w:rPr>
          <w:szCs w:val="22"/>
        </w:rPr>
        <w:t>）：</w:t>
      </w:r>
    </w:p>
    <w:p w:rsidR="00A640FC" w:rsidRPr="00A640FC" w:rsidRDefault="00157EF6" w:rsidP="00A640FC">
      <w:pPr>
        <w:pStyle w:val="a5"/>
        <w:ind w:leftChars="335" w:left="804"/>
        <w:jc w:val="both"/>
        <w:rPr>
          <w:rFonts w:eastAsia="標楷體"/>
          <w:color w:val="FF0000"/>
          <w:shd w:val="pct15" w:color="auto" w:fill="FFFFFF"/>
          <w:vertAlign w:val="superscript"/>
        </w:rPr>
      </w:pPr>
      <w:r w:rsidRPr="00A640FC">
        <w:rPr>
          <w:rFonts w:eastAsia="標楷體"/>
        </w:rPr>
        <w:t>如契經說：</w:t>
      </w:r>
      <w:r w:rsidR="00051FE6" w:rsidRPr="00A640FC">
        <w:rPr>
          <w:rFonts w:eastAsia="標楷體" w:hint="eastAsia"/>
          <w:color w:val="FF0000"/>
          <w:highlight w:val="yellow"/>
        </w:rPr>
        <w:t>「</w:t>
      </w:r>
      <w:r w:rsidRPr="00A640FC">
        <w:rPr>
          <w:rFonts w:eastAsia="標楷體"/>
          <w:b/>
        </w:rPr>
        <w:t>一切有情無始時</w:t>
      </w:r>
      <w:r w:rsidRPr="00A640FC">
        <w:rPr>
          <w:rFonts w:eastAsia="標楷體"/>
          <w:b/>
          <w:highlight w:val="yellow"/>
        </w:rPr>
        <w:t>來有</w:t>
      </w:r>
      <w:r w:rsidRPr="00A640FC">
        <w:rPr>
          <w:rFonts w:eastAsia="標楷體"/>
          <w:b/>
        </w:rPr>
        <w:t>種種界</w:t>
      </w:r>
      <w:r w:rsidRPr="00A640FC">
        <w:rPr>
          <w:rFonts w:eastAsia="標楷體"/>
        </w:rPr>
        <w:t>，如惡叉聚，法爾而有。</w:t>
      </w:r>
      <w:r w:rsidR="00051FE6" w:rsidRPr="00A640FC">
        <w:rPr>
          <w:rFonts w:eastAsia="標楷體" w:hint="eastAsia"/>
          <w:color w:val="FF0000"/>
          <w:highlight w:val="yellow"/>
        </w:rPr>
        <w:t>」「</w:t>
      </w:r>
      <w:r w:rsidRPr="00A640FC">
        <w:rPr>
          <w:rFonts w:eastAsia="標楷體"/>
          <w:b/>
        </w:rPr>
        <w:t>界</w:t>
      </w:r>
      <w:r w:rsidR="00051FE6" w:rsidRPr="00A640FC">
        <w:rPr>
          <w:rFonts w:eastAsia="標楷體" w:hint="eastAsia"/>
          <w:color w:val="FF0000"/>
          <w:highlight w:val="yellow"/>
        </w:rPr>
        <w:t>」</w:t>
      </w:r>
      <w:r w:rsidRPr="00A640FC">
        <w:rPr>
          <w:rFonts w:eastAsia="標楷體"/>
          <w:b/>
        </w:rPr>
        <w:t>即</w:t>
      </w:r>
      <w:r w:rsidR="00051FE6" w:rsidRPr="00A640FC">
        <w:rPr>
          <w:rFonts w:eastAsia="標楷體" w:hint="eastAsia"/>
          <w:color w:val="FF0000"/>
          <w:highlight w:val="yellow"/>
        </w:rPr>
        <w:t>「</w:t>
      </w:r>
      <w:r w:rsidRPr="00A640FC">
        <w:rPr>
          <w:rFonts w:eastAsia="標楷體"/>
          <w:b/>
        </w:rPr>
        <w:t>種子</w:t>
      </w:r>
      <w:r w:rsidR="00051FE6" w:rsidRPr="00A640FC">
        <w:rPr>
          <w:rFonts w:eastAsia="標楷體" w:hint="eastAsia"/>
          <w:color w:val="FF0000"/>
          <w:highlight w:val="yellow"/>
        </w:rPr>
        <w:t>」</w:t>
      </w:r>
      <w:r w:rsidRPr="00A640FC">
        <w:rPr>
          <w:rFonts w:eastAsia="標楷體"/>
          <w:b/>
        </w:rPr>
        <w:t>差別名</w:t>
      </w:r>
      <w:r w:rsidRPr="00A640FC">
        <w:rPr>
          <w:rFonts w:eastAsia="標楷體"/>
        </w:rPr>
        <w:t>故。又契經說：</w:t>
      </w:r>
      <w:r w:rsidR="00051FE6" w:rsidRPr="00A640FC">
        <w:rPr>
          <w:rFonts w:eastAsia="標楷體" w:hint="eastAsia"/>
          <w:color w:val="FF0000"/>
          <w:highlight w:val="yellow"/>
        </w:rPr>
        <w:t>「</w:t>
      </w:r>
      <w:r w:rsidRPr="00A640FC">
        <w:rPr>
          <w:rFonts w:eastAsia="標楷體"/>
          <w:b/>
        </w:rPr>
        <w:t>無始時來界，一切法等依</w:t>
      </w:r>
      <w:r w:rsidR="00051FE6" w:rsidRPr="00A640FC">
        <w:rPr>
          <w:rFonts w:eastAsia="標楷體" w:hint="eastAsia"/>
          <w:color w:val="FF0000"/>
          <w:highlight w:val="yellow"/>
        </w:rPr>
        <w:t>」</w:t>
      </w:r>
      <w:r w:rsidRPr="00A640FC">
        <w:rPr>
          <w:rFonts w:eastAsia="標楷體"/>
          <w:b/>
        </w:rPr>
        <w:t>，</w:t>
      </w:r>
      <w:r w:rsidR="00051FE6" w:rsidRPr="00A640FC">
        <w:rPr>
          <w:rFonts w:eastAsia="標楷體" w:hint="eastAsia"/>
          <w:color w:val="FF0000"/>
          <w:highlight w:val="yellow"/>
        </w:rPr>
        <w:t>「</w:t>
      </w:r>
      <w:r w:rsidRPr="00A640FC">
        <w:rPr>
          <w:rFonts w:eastAsia="標楷體"/>
          <w:b/>
        </w:rPr>
        <w:t>界</w:t>
      </w:r>
      <w:r w:rsidR="00051FE6" w:rsidRPr="00A640FC">
        <w:rPr>
          <w:rFonts w:eastAsia="標楷體" w:hint="eastAsia"/>
          <w:color w:val="FF0000"/>
          <w:highlight w:val="yellow"/>
        </w:rPr>
        <w:t>」</w:t>
      </w:r>
      <w:r w:rsidRPr="00A640FC">
        <w:rPr>
          <w:rFonts w:eastAsia="標楷體"/>
          <w:b/>
        </w:rPr>
        <w:t>是</w:t>
      </w:r>
      <w:r w:rsidR="00051FE6" w:rsidRPr="00A640FC">
        <w:rPr>
          <w:rFonts w:eastAsia="標楷體" w:hint="eastAsia"/>
          <w:color w:val="FF0000"/>
          <w:highlight w:val="yellow"/>
        </w:rPr>
        <w:t>「</w:t>
      </w:r>
      <w:r w:rsidRPr="00A640FC">
        <w:rPr>
          <w:rFonts w:eastAsia="標楷體"/>
          <w:b/>
        </w:rPr>
        <w:t>因</w:t>
      </w:r>
      <w:r w:rsidR="00051FE6" w:rsidRPr="00A640FC">
        <w:rPr>
          <w:rFonts w:eastAsia="標楷體" w:hint="eastAsia"/>
          <w:color w:val="FF0000"/>
          <w:highlight w:val="yellow"/>
        </w:rPr>
        <w:t>」</w:t>
      </w:r>
      <w:r w:rsidRPr="00A640FC">
        <w:rPr>
          <w:rFonts w:eastAsia="標楷體"/>
          <w:b/>
        </w:rPr>
        <w:t>義</w:t>
      </w:r>
      <w:r w:rsidRPr="00A640FC">
        <w:rPr>
          <w:rFonts w:eastAsia="標楷體" w:hint="eastAsia"/>
          <w:b/>
        </w:rPr>
        <w:t>。</w:t>
      </w:r>
      <w:r w:rsidRPr="00A640FC">
        <w:rPr>
          <w:rFonts w:eastAsia="標楷體" w:hint="eastAsia"/>
        </w:rPr>
        <w:t>《</w:t>
      </w:r>
      <w:r w:rsidRPr="00A640FC">
        <w:rPr>
          <w:rFonts w:eastAsia="標楷體"/>
        </w:rPr>
        <w:t>瑜伽</w:t>
      </w:r>
      <w:r w:rsidRPr="00A640FC">
        <w:rPr>
          <w:rFonts w:eastAsia="標楷體" w:hint="eastAsia"/>
        </w:rPr>
        <w:t>》</w:t>
      </w:r>
      <w:r w:rsidRPr="00A640FC">
        <w:rPr>
          <w:rFonts w:eastAsia="標楷體"/>
        </w:rPr>
        <w:t>亦說：</w:t>
      </w:r>
      <w:r w:rsidR="00051FE6" w:rsidRPr="00A640FC">
        <w:rPr>
          <w:rFonts w:eastAsia="標楷體" w:hint="eastAsia"/>
          <w:color w:val="FF0000"/>
          <w:highlight w:val="yellow"/>
        </w:rPr>
        <w:t>「</w:t>
      </w:r>
      <w:r w:rsidRPr="00A640FC">
        <w:rPr>
          <w:rFonts w:eastAsia="標楷體"/>
        </w:rPr>
        <w:t>諸種子體無始時來性雖本有</w:t>
      </w:r>
      <w:r w:rsidRPr="00A640FC">
        <w:rPr>
          <w:rFonts w:eastAsia="標楷體" w:hint="eastAsia"/>
        </w:rPr>
        <w:t>，而由染淨新所熏發</w:t>
      </w:r>
      <w:r w:rsidR="002F742C" w:rsidRPr="00A640FC">
        <w:rPr>
          <w:rFonts w:eastAsia="標楷體" w:hint="eastAsia"/>
          <w:color w:val="FF0000"/>
          <w:highlight w:val="yellow"/>
        </w:rPr>
        <w:t>」；</w:t>
      </w:r>
      <w:r w:rsidR="002F742C" w:rsidRPr="00A640FC">
        <w:rPr>
          <w:rFonts w:eastAsia="標楷體" w:hint="eastAsia"/>
          <w:color w:val="FF0000"/>
          <w:shd w:val="pct15" w:color="auto" w:fill="FFFFFF"/>
        </w:rPr>
        <w:t>*</w:t>
      </w:r>
      <w:r w:rsidR="002F742C" w:rsidRPr="00A640FC">
        <w:rPr>
          <w:rFonts w:eastAsia="標楷體" w:hint="eastAsia"/>
          <w:color w:val="FF0000"/>
          <w:shd w:val="pct15" w:color="auto" w:fill="FFFFFF"/>
          <w:vertAlign w:val="superscript"/>
        </w:rPr>
        <w:t>1</w:t>
      </w:r>
      <w:r w:rsidRPr="00A640FC">
        <w:rPr>
          <w:rFonts w:eastAsia="標楷體" w:hint="eastAsia"/>
        </w:rPr>
        <w:t>諸有情類無始時來</w:t>
      </w:r>
      <w:r w:rsidR="00051FE6" w:rsidRPr="00A640FC">
        <w:rPr>
          <w:rFonts w:eastAsia="標楷體" w:hint="eastAsia"/>
        </w:rPr>
        <w:t>，</w:t>
      </w:r>
      <w:r w:rsidR="00051FE6" w:rsidRPr="00A640FC">
        <w:rPr>
          <w:rFonts w:eastAsia="標楷體" w:hint="eastAsia"/>
          <w:color w:val="FF0000"/>
          <w:highlight w:val="yellow"/>
        </w:rPr>
        <w:t>「</w:t>
      </w:r>
      <w:r w:rsidRPr="00A640FC">
        <w:rPr>
          <w:rFonts w:eastAsia="標楷體" w:hint="eastAsia"/>
        </w:rPr>
        <w:t>若般涅槃法者，一切種子皆悉具足；不般涅槃法者，便闕三種菩提種子。</w:t>
      </w:r>
      <w:r w:rsidR="00051FE6" w:rsidRPr="00A640FC">
        <w:rPr>
          <w:rFonts w:eastAsia="標楷體" w:hint="eastAsia"/>
          <w:color w:val="FF0000"/>
          <w:highlight w:val="yellow"/>
        </w:rPr>
        <w:t>」</w:t>
      </w:r>
      <w:r w:rsidR="002F742C" w:rsidRPr="00A640FC">
        <w:rPr>
          <w:rFonts w:eastAsia="標楷體" w:hint="eastAsia"/>
          <w:color w:val="FF0000"/>
          <w:shd w:val="pct15" w:color="auto" w:fill="FFFFFF"/>
        </w:rPr>
        <w:t>*</w:t>
      </w:r>
      <w:r w:rsidR="002F742C" w:rsidRPr="00A640FC">
        <w:rPr>
          <w:rFonts w:eastAsia="標楷體" w:hint="eastAsia"/>
          <w:color w:val="FF0000"/>
          <w:shd w:val="pct15" w:color="auto" w:fill="FFFFFF"/>
          <w:vertAlign w:val="superscript"/>
        </w:rPr>
        <w:t>2</w:t>
      </w:r>
    </w:p>
    <w:p w:rsidR="00AA67D6" w:rsidRPr="00783B6C" w:rsidRDefault="00AA67D6" w:rsidP="00A640FC">
      <w:pPr>
        <w:pStyle w:val="a5"/>
        <w:ind w:leftChars="335" w:left="804"/>
        <w:jc w:val="both"/>
        <w:rPr>
          <w:color w:val="FF0000"/>
          <w:highlight w:val="yellow"/>
        </w:rPr>
      </w:pPr>
      <w:r w:rsidRPr="00A640FC">
        <w:rPr>
          <w:rFonts w:hint="eastAsia"/>
          <w:color w:val="FF0000"/>
          <w:shd w:val="pct15" w:color="auto" w:fill="FFFFFF"/>
        </w:rPr>
        <w:t>*1</w:t>
      </w:r>
      <w:r w:rsidRPr="00783B6C">
        <w:rPr>
          <w:rFonts w:hint="eastAsia"/>
          <w:color w:val="FF0000"/>
          <w:highlight w:val="yellow"/>
        </w:rPr>
        <w:t>《瑜伽師地論》卷</w:t>
      </w:r>
      <w:r w:rsidRPr="00783B6C">
        <w:rPr>
          <w:rFonts w:hint="eastAsia"/>
          <w:color w:val="FF0000"/>
          <w:highlight w:val="yellow"/>
        </w:rPr>
        <w:t>2</w:t>
      </w:r>
      <w:r w:rsidRPr="00783B6C">
        <w:rPr>
          <w:color w:val="FF0000"/>
          <w:highlight w:val="yellow"/>
        </w:rPr>
        <w:t>（大正</w:t>
      </w:r>
      <w:r w:rsidRPr="00783B6C">
        <w:rPr>
          <w:rFonts w:hint="eastAsia"/>
          <w:color w:val="FF0000"/>
          <w:highlight w:val="yellow"/>
        </w:rPr>
        <w:t>30</w:t>
      </w:r>
      <w:r w:rsidRPr="00783B6C">
        <w:rPr>
          <w:rFonts w:hint="eastAsia"/>
          <w:color w:val="FF0000"/>
          <w:highlight w:val="yellow"/>
        </w:rPr>
        <w:t>，</w:t>
      </w:r>
      <w:r w:rsidRPr="00783B6C">
        <w:rPr>
          <w:rFonts w:hint="eastAsia"/>
          <w:color w:val="FF0000"/>
          <w:highlight w:val="yellow"/>
        </w:rPr>
        <w:t>284 b19-23</w:t>
      </w:r>
      <w:r w:rsidRPr="00783B6C">
        <w:rPr>
          <w:color w:val="FF0000"/>
          <w:highlight w:val="yellow"/>
        </w:rPr>
        <w:t>）：</w:t>
      </w:r>
    </w:p>
    <w:p w:rsidR="00654C39" w:rsidRPr="00783B6C" w:rsidRDefault="00AA67D6" w:rsidP="00A640FC">
      <w:pPr>
        <w:pStyle w:val="afd"/>
        <w:rPr>
          <w:color w:val="FF0000"/>
        </w:rPr>
      </w:pPr>
      <w:r w:rsidRPr="00783B6C">
        <w:rPr>
          <w:rFonts w:hint="eastAsia"/>
          <w:color w:val="FF0000"/>
          <w:highlight w:val="yellow"/>
        </w:rPr>
        <w:t>又種子體無始時來相續不絕，性雖無始有之，然由淨</w:t>
      </w:r>
      <w:r w:rsidRPr="00725658">
        <w:rPr>
          <w:rFonts w:ascii="標楷體" w:hAnsi="標楷體" w:hint="eastAsia"/>
          <w:color w:val="FF0000"/>
          <w:highlight w:val="yellow"/>
        </w:rPr>
        <w:t>.</w:t>
      </w:r>
      <w:r w:rsidRPr="00783B6C">
        <w:rPr>
          <w:rFonts w:hint="eastAsia"/>
          <w:color w:val="FF0000"/>
          <w:highlight w:val="yellow"/>
        </w:rPr>
        <w:t>不淨業差別熏發，望數數取異熟果，說彼為新。若果已生，說此種子為已受果。由此道理，生死流轉相續不絕乃至未般涅槃。</w:t>
      </w:r>
    </w:p>
    <w:p w:rsidR="00466F61" w:rsidRPr="00783B6C" w:rsidRDefault="00AA67D6" w:rsidP="00A640FC">
      <w:pPr>
        <w:pStyle w:val="a5"/>
        <w:ind w:leftChars="335" w:left="804"/>
        <w:jc w:val="both"/>
        <w:rPr>
          <w:color w:val="FF0000"/>
          <w:highlight w:val="yellow"/>
        </w:rPr>
      </w:pPr>
      <w:r w:rsidRPr="00A640FC">
        <w:rPr>
          <w:rFonts w:hint="eastAsia"/>
          <w:color w:val="FF0000"/>
          <w:shd w:val="pct15" w:color="auto" w:fill="FFFFFF"/>
        </w:rPr>
        <w:t>*2</w:t>
      </w:r>
      <w:r w:rsidR="00051FE6" w:rsidRPr="00783B6C">
        <w:rPr>
          <w:rFonts w:hint="eastAsia"/>
          <w:color w:val="FF0000"/>
          <w:highlight w:val="yellow"/>
        </w:rPr>
        <w:t>《瑜伽師地論》卷</w:t>
      </w:r>
      <w:r w:rsidR="00051FE6" w:rsidRPr="00783B6C">
        <w:rPr>
          <w:rFonts w:hint="eastAsia"/>
          <w:color w:val="FF0000"/>
          <w:highlight w:val="yellow"/>
        </w:rPr>
        <w:t>2</w:t>
      </w:r>
      <w:r w:rsidR="00051FE6" w:rsidRPr="00783B6C">
        <w:rPr>
          <w:color w:val="FF0000"/>
          <w:highlight w:val="yellow"/>
        </w:rPr>
        <w:t>（大正</w:t>
      </w:r>
      <w:r w:rsidR="00051FE6" w:rsidRPr="00783B6C">
        <w:rPr>
          <w:rFonts w:hint="eastAsia"/>
          <w:color w:val="FF0000"/>
          <w:highlight w:val="yellow"/>
        </w:rPr>
        <w:t>30</w:t>
      </w:r>
      <w:r w:rsidR="00051FE6" w:rsidRPr="00783B6C">
        <w:rPr>
          <w:rFonts w:hint="eastAsia"/>
          <w:color w:val="FF0000"/>
          <w:highlight w:val="yellow"/>
        </w:rPr>
        <w:t>，</w:t>
      </w:r>
      <w:r w:rsidR="00051FE6" w:rsidRPr="00783B6C">
        <w:rPr>
          <w:rFonts w:hint="eastAsia"/>
          <w:color w:val="FF0000"/>
          <w:highlight w:val="yellow"/>
        </w:rPr>
        <w:t>284a29-b2</w:t>
      </w:r>
      <w:r w:rsidR="00051FE6" w:rsidRPr="00783B6C">
        <w:rPr>
          <w:color w:val="FF0000"/>
          <w:highlight w:val="yellow"/>
        </w:rPr>
        <w:t>）：</w:t>
      </w:r>
    </w:p>
    <w:p w:rsidR="00654C39" w:rsidRPr="00783B6C" w:rsidRDefault="00051FE6" w:rsidP="00A640FC">
      <w:pPr>
        <w:pStyle w:val="afd"/>
        <w:rPr>
          <w:color w:val="FF0000"/>
          <w:highlight w:val="yellow"/>
        </w:rPr>
      </w:pPr>
      <w:r w:rsidRPr="00783B6C">
        <w:rPr>
          <w:rFonts w:hint="eastAsia"/>
          <w:color w:val="FF0000"/>
          <w:highlight w:val="yellow"/>
        </w:rPr>
        <w:t>復次</w:t>
      </w:r>
      <w:r w:rsidR="00AA67D6" w:rsidRPr="00783B6C">
        <w:rPr>
          <w:rFonts w:hint="eastAsia"/>
          <w:color w:val="FF0000"/>
          <w:highlight w:val="yellow"/>
        </w:rPr>
        <w:t>，</w:t>
      </w:r>
      <w:r w:rsidRPr="00783B6C">
        <w:rPr>
          <w:rFonts w:hint="eastAsia"/>
          <w:color w:val="FF0000"/>
          <w:highlight w:val="yellow"/>
        </w:rPr>
        <w:t>此一切種子識</w:t>
      </w:r>
      <w:r w:rsidR="00AA67D6" w:rsidRPr="00783B6C">
        <w:rPr>
          <w:rFonts w:hint="eastAsia"/>
          <w:color w:val="FF0000"/>
          <w:highlight w:val="yellow"/>
        </w:rPr>
        <w:t>──</w:t>
      </w:r>
      <w:r w:rsidRPr="00783B6C">
        <w:rPr>
          <w:rFonts w:hint="eastAsia"/>
          <w:color w:val="FF0000"/>
          <w:highlight w:val="yellow"/>
        </w:rPr>
        <w:t>若般涅槃法者</w:t>
      </w:r>
      <w:r w:rsidR="00AA67D6" w:rsidRPr="00783B6C">
        <w:rPr>
          <w:rFonts w:hint="eastAsia"/>
          <w:color w:val="FF0000"/>
          <w:highlight w:val="yellow"/>
        </w:rPr>
        <w:t>，</w:t>
      </w:r>
      <w:r w:rsidRPr="00783B6C">
        <w:rPr>
          <w:rFonts w:hint="eastAsia"/>
          <w:color w:val="FF0000"/>
          <w:highlight w:val="yellow"/>
        </w:rPr>
        <w:t>一切種子皆悉具足</w:t>
      </w:r>
      <w:r w:rsidR="00AA67D6" w:rsidRPr="00783B6C">
        <w:rPr>
          <w:rFonts w:hint="eastAsia"/>
          <w:color w:val="FF0000"/>
          <w:highlight w:val="yellow"/>
        </w:rPr>
        <w:t>；</w:t>
      </w:r>
    </w:p>
    <w:p w:rsidR="00051FE6" w:rsidRPr="00051FE6" w:rsidRDefault="00051FE6" w:rsidP="00725658">
      <w:pPr>
        <w:pStyle w:val="afd"/>
        <w:ind w:leftChars="1520" w:left="3648"/>
        <w:rPr>
          <w:rFonts w:ascii="Times New Roman" w:eastAsia="新細明體" w:hAnsi="Times New Roman" w:cs="Times New Roman"/>
          <w:highlight w:val="yellow"/>
        </w:rPr>
      </w:pPr>
      <w:r w:rsidRPr="00783B6C">
        <w:rPr>
          <w:rFonts w:hint="eastAsia"/>
          <w:color w:val="FF0000"/>
          <w:highlight w:val="yellow"/>
        </w:rPr>
        <w:t>不般涅槃法者</w:t>
      </w:r>
      <w:r w:rsidR="00AA67D6" w:rsidRPr="00783B6C">
        <w:rPr>
          <w:rFonts w:hint="eastAsia"/>
          <w:color w:val="FF0000"/>
          <w:highlight w:val="yellow"/>
        </w:rPr>
        <w:t>，</w:t>
      </w:r>
      <w:r w:rsidRPr="00783B6C">
        <w:rPr>
          <w:rFonts w:hint="eastAsia"/>
          <w:color w:val="FF0000"/>
          <w:highlight w:val="yellow"/>
        </w:rPr>
        <w:t>便闕三種菩提種子。</w:t>
      </w:r>
    </w:p>
  </w:footnote>
  <w:footnote w:id="777">
    <w:p w:rsidR="00157EF6" w:rsidRPr="00043A1E" w:rsidRDefault="00157EF6" w:rsidP="00AA120F">
      <w:pPr>
        <w:pStyle w:val="a5"/>
        <w:spacing w:line="0" w:lineRule="atLeast"/>
        <w:ind w:left="792" w:hangingChars="360" w:hanging="792"/>
        <w:jc w:val="both"/>
        <w:rPr>
          <w:rFonts w:ascii="Times Ext Roman" w:hAnsi="新細明體" w:cs="Times Ext Roman"/>
          <w:szCs w:val="22"/>
        </w:rPr>
      </w:pPr>
      <w:r w:rsidRPr="00043A1E">
        <w:rPr>
          <w:rStyle w:val="a6"/>
          <w:szCs w:val="22"/>
        </w:rPr>
        <w:footnoteRef/>
      </w:r>
      <w:r w:rsidRPr="00043A1E">
        <w:rPr>
          <w:rFonts w:ascii="Times Ext Roman" w:hAnsi="Times Ext Roman" w:cs="Times Ext Roman" w:hint="eastAsia"/>
          <w:szCs w:val="22"/>
        </w:rPr>
        <w:t xml:space="preserve"> </w:t>
      </w:r>
      <w:r w:rsidRPr="00043A1E">
        <w:rPr>
          <w:rFonts w:ascii="Times Ext Roman" w:hAnsi="Times Ext Roman" w:cs="Times Ext Roman"/>
          <w:szCs w:val="22"/>
        </w:rPr>
        <w:t>（</w:t>
      </w:r>
      <w:r w:rsidRPr="00761EF3">
        <w:rPr>
          <w:szCs w:val="22"/>
        </w:rPr>
        <w:t>1</w:t>
      </w:r>
      <w:r w:rsidRPr="00043A1E">
        <w:rPr>
          <w:rFonts w:ascii="Times Ext Roman" w:hAnsi="Times Ext Roman" w:cs="Times Ext Roman"/>
          <w:szCs w:val="22"/>
        </w:rPr>
        <w:t>）</w:t>
      </w:r>
      <w:r w:rsidRPr="00043A1E">
        <w:rPr>
          <w:rFonts w:ascii="Times Ext Roman" w:hAnsi="Times Ext Roman" w:cs="Times Ext Roman" w:hint="eastAsia"/>
          <w:szCs w:val="22"/>
        </w:rPr>
        <w:t>無著</w:t>
      </w:r>
      <w:r w:rsidRPr="00043A1E">
        <w:rPr>
          <w:rFonts w:hint="eastAsia"/>
          <w:szCs w:val="22"/>
        </w:rPr>
        <w:t>菩薩</w:t>
      </w:r>
      <w:r w:rsidRPr="00043A1E">
        <w:rPr>
          <w:rFonts w:ascii="Times Ext Roman" w:hAnsi="Times Ext Roman" w:cs="Times Ext Roman" w:hint="eastAsia"/>
          <w:szCs w:val="22"/>
        </w:rPr>
        <w:t>造，〔唐〕玄奘譯，《</w:t>
      </w:r>
      <w:r w:rsidRPr="00043A1E">
        <w:rPr>
          <w:rFonts w:ascii="Times Ext Roman" w:hAnsi="新細明體" w:cs="Times Ext Roman"/>
          <w:szCs w:val="22"/>
        </w:rPr>
        <w:t>攝大乘論本》卷</w:t>
      </w:r>
      <w:r w:rsidRPr="00043A1E">
        <w:rPr>
          <w:rFonts w:hint="eastAsia"/>
          <w:szCs w:val="22"/>
        </w:rPr>
        <w:t>上</w:t>
      </w:r>
      <w:r w:rsidRPr="00043A1E">
        <w:rPr>
          <w:rFonts w:ascii="Times Ext Roman" w:hAnsi="Times Ext Roman" w:cs="Times Ext Roman"/>
          <w:szCs w:val="22"/>
        </w:rPr>
        <w:t>（</w:t>
      </w:r>
      <w:r w:rsidRPr="00043A1E">
        <w:rPr>
          <w:rFonts w:ascii="Times Ext Roman" w:hAnsi="新細明體" w:cs="Times Ext Roman"/>
          <w:szCs w:val="22"/>
        </w:rPr>
        <w:t>大正</w:t>
      </w:r>
      <w:r w:rsidRPr="00761EF3">
        <w:rPr>
          <w:szCs w:val="22"/>
        </w:rPr>
        <w:t>31</w:t>
      </w:r>
      <w:r w:rsidRPr="00043A1E">
        <w:rPr>
          <w:rFonts w:ascii="Times Ext Roman" w:hAnsi="新細明體" w:cs="Times Ext Roman"/>
          <w:szCs w:val="22"/>
        </w:rPr>
        <w:t>，</w:t>
      </w:r>
      <w:r w:rsidRPr="00761EF3">
        <w:rPr>
          <w:szCs w:val="22"/>
        </w:rPr>
        <w:t>133b15</w:t>
      </w:r>
      <w:r w:rsidRPr="00043A1E">
        <w:rPr>
          <w:szCs w:val="22"/>
        </w:rPr>
        <w:t>-</w:t>
      </w:r>
      <w:r w:rsidRPr="00761EF3">
        <w:rPr>
          <w:szCs w:val="22"/>
        </w:rPr>
        <w:t>16</w:t>
      </w:r>
      <w:r w:rsidRPr="00043A1E">
        <w:rPr>
          <w:rFonts w:ascii="Times Ext Roman" w:hAnsi="Times Ext Roman" w:cs="Times Ext Roman"/>
          <w:szCs w:val="22"/>
        </w:rPr>
        <w:t>）</w:t>
      </w:r>
      <w:r w:rsidRPr="00043A1E">
        <w:rPr>
          <w:rFonts w:ascii="Times Ext Roman" w:hAnsi="新細明體" w:cs="Times Ext Roman"/>
          <w:szCs w:val="22"/>
        </w:rPr>
        <w:t>：</w:t>
      </w:r>
    </w:p>
    <w:p w:rsidR="00783B6C" w:rsidRDefault="00157EF6" w:rsidP="00783B6C">
      <w:pPr>
        <w:pStyle w:val="a5"/>
        <w:ind w:leftChars="335" w:left="804"/>
        <w:jc w:val="both"/>
        <w:rPr>
          <w:szCs w:val="22"/>
        </w:rPr>
      </w:pPr>
      <w:r w:rsidRPr="00783B6C">
        <w:rPr>
          <w:rFonts w:ascii="標楷體" w:eastAsia="標楷體" w:hAnsi="標楷體"/>
        </w:rPr>
        <w:t>無始時來界，一切法等依，由此有諸</w:t>
      </w:r>
      <w:r w:rsidRPr="00783B6C">
        <w:rPr>
          <w:rFonts w:ascii="標楷體" w:eastAsia="標楷體" w:hAnsi="標楷體"/>
          <w:highlight w:val="yellow"/>
        </w:rPr>
        <w:t>趣及</w:t>
      </w:r>
      <w:r w:rsidRPr="00783B6C">
        <w:rPr>
          <w:rFonts w:ascii="標楷體" w:eastAsia="標楷體" w:hAnsi="標楷體"/>
        </w:rPr>
        <w:t>涅槃證得。</w:t>
      </w:r>
    </w:p>
    <w:p w:rsidR="00157EF6" w:rsidRPr="00043A1E" w:rsidRDefault="00157EF6" w:rsidP="00AA120F">
      <w:pPr>
        <w:pStyle w:val="a5"/>
        <w:ind w:leftChars="105" w:left="791" w:hangingChars="245" w:hanging="539"/>
        <w:jc w:val="both"/>
        <w:rPr>
          <w:szCs w:val="22"/>
        </w:rPr>
      </w:pPr>
      <w:r w:rsidRPr="00043A1E">
        <w:rPr>
          <w:szCs w:val="22"/>
        </w:rPr>
        <w:t>（</w:t>
      </w:r>
      <w:r w:rsidRPr="00761EF3">
        <w:rPr>
          <w:szCs w:val="22"/>
        </w:rPr>
        <w:t>2</w:t>
      </w:r>
      <w:r w:rsidRPr="00043A1E">
        <w:rPr>
          <w:szCs w:val="22"/>
        </w:rPr>
        <w:t>）印順法師，《攝大乘論講記》，</w:t>
      </w:r>
      <w:r w:rsidRPr="00761EF3">
        <w:rPr>
          <w:szCs w:val="22"/>
        </w:rPr>
        <w:t>p</w:t>
      </w:r>
      <w:r w:rsidRPr="00043A1E">
        <w:rPr>
          <w:szCs w:val="22"/>
        </w:rPr>
        <w:t>.</w:t>
      </w:r>
      <w:r w:rsidRPr="00761EF3">
        <w:rPr>
          <w:szCs w:val="22"/>
        </w:rPr>
        <w:t>35</w:t>
      </w:r>
      <w:r w:rsidRPr="00043A1E">
        <w:rPr>
          <w:szCs w:val="22"/>
        </w:rPr>
        <w:t>：</w:t>
      </w:r>
    </w:p>
    <w:p w:rsidR="00157EF6" w:rsidRPr="00783B6C" w:rsidRDefault="00157EF6" w:rsidP="00783B6C">
      <w:pPr>
        <w:pStyle w:val="a5"/>
        <w:ind w:leftChars="335" w:left="804"/>
        <w:jc w:val="both"/>
        <w:rPr>
          <w:rFonts w:ascii="標楷體" w:eastAsia="標楷體" w:hAnsi="標楷體"/>
        </w:rPr>
      </w:pPr>
      <w:r w:rsidRPr="00783B6C">
        <w:rPr>
          <w:rFonts w:ascii="標楷體" w:eastAsia="標楷體" w:hAnsi="標楷體"/>
        </w:rPr>
        <w:t>「無始時來界」的</w:t>
      </w:r>
      <w:r w:rsidRPr="00783B6C">
        <w:rPr>
          <w:rFonts w:ascii="標楷體" w:eastAsia="標楷體" w:hAnsi="標楷體"/>
          <w:b/>
        </w:rPr>
        <w:t>界字，指所依止的因體，就是種子，</w:t>
      </w:r>
      <w:r w:rsidRPr="00783B6C">
        <w:rPr>
          <w:rFonts w:ascii="標楷體" w:eastAsia="標楷體" w:hAnsi="標楷體"/>
        </w:rPr>
        <w:t>這是眾生無始以來熏習所成就的。「一切法等依」的等字，表示多數，不必作特殊的解說。「由此」界為一切法所依的因體，就「有」了生死流轉的「諸趣」，和清淨還滅「涅槃」的「證得」。依世親論師的解釋：界，是一切雜染有漏諸法的種子。因無始時來有這一切雜染的種子，有為有漏的一切法，才依之而生起。生起了有為有漏法，就有五趣的差別。假使除滅了這雜染種子，就可證得清淨的涅槃。</w:t>
      </w:r>
    </w:p>
  </w:footnote>
  <w:footnote w:id="778">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具體而微：總體的各部分都具備而形狀或規模較小。</w:t>
      </w:r>
      <w:r w:rsidRPr="00043A1E">
        <w:rPr>
          <w:szCs w:val="22"/>
        </w:rPr>
        <w:t>（《漢語大詞典》（</w:t>
      </w:r>
      <w:r w:rsidRPr="00043A1E">
        <w:rPr>
          <w:rFonts w:hint="eastAsia"/>
          <w:szCs w:val="22"/>
        </w:rPr>
        <w:t>二</w:t>
      </w:r>
      <w:r w:rsidRPr="00043A1E">
        <w:rPr>
          <w:szCs w:val="22"/>
        </w:rPr>
        <w:t>）</w:t>
      </w:r>
      <w:r w:rsidRPr="00043A1E">
        <w:rPr>
          <w:rFonts w:ascii="Times Ext Roman" w:hAnsi="新細明體" w:cs="Times Ext Roman" w:hint="eastAsia"/>
          <w:szCs w:val="22"/>
        </w:rPr>
        <w:t>，</w:t>
      </w:r>
      <w:r w:rsidRPr="00761EF3">
        <w:rPr>
          <w:szCs w:val="22"/>
        </w:rPr>
        <w:t>p</w:t>
      </w:r>
      <w:r w:rsidRPr="00043A1E">
        <w:rPr>
          <w:szCs w:val="22"/>
        </w:rPr>
        <w:t>.</w:t>
      </w:r>
      <w:r w:rsidRPr="00761EF3">
        <w:rPr>
          <w:rFonts w:hint="eastAsia"/>
          <w:szCs w:val="22"/>
        </w:rPr>
        <w:t>112</w:t>
      </w:r>
      <w:r w:rsidRPr="00043A1E">
        <w:rPr>
          <w:szCs w:val="22"/>
        </w:rPr>
        <w:t>）</w:t>
      </w:r>
    </w:p>
  </w:footnote>
  <w:footnote w:id="779">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寬泛：謂內容意義等牽涉面寬廣。</w:t>
      </w:r>
      <w:r w:rsidRPr="00043A1E">
        <w:rPr>
          <w:szCs w:val="22"/>
        </w:rPr>
        <w:t>（《漢語大詞典》（</w:t>
      </w:r>
      <w:r w:rsidRPr="00043A1E">
        <w:rPr>
          <w:rFonts w:hint="eastAsia"/>
          <w:szCs w:val="22"/>
        </w:rPr>
        <w:t>三</w:t>
      </w:r>
      <w:r w:rsidRPr="00043A1E">
        <w:rPr>
          <w:szCs w:val="22"/>
        </w:rPr>
        <w:t>）</w:t>
      </w:r>
      <w:r w:rsidRPr="00043A1E">
        <w:rPr>
          <w:rFonts w:ascii="Times Ext Roman" w:hAnsi="新細明體" w:cs="Times Ext Roman" w:hint="eastAsia"/>
          <w:szCs w:val="22"/>
        </w:rPr>
        <w:t>，</w:t>
      </w:r>
      <w:r w:rsidRPr="00761EF3">
        <w:rPr>
          <w:szCs w:val="22"/>
        </w:rPr>
        <w:t>p</w:t>
      </w:r>
      <w:r w:rsidRPr="00043A1E">
        <w:rPr>
          <w:szCs w:val="22"/>
        </w:rPr>
        <w:t>.</w:t>
      </w:r>
      <w:r w:rsidRPr="00761EF3">
        <w:rPr>
          <w:rFonts w:hint="eastAsia"/>
          <w:szCs w:val="22"/>
        </w:rPr>
        <w:t>1</w:t>
      </w:r>
      <w:r w:rsidRPr="00761EF3">
        <w:rPr>
          <w:szCs w:val="22"/>
        </w:rPr>
        <w:t>5</w:t>
      </w:r>
      <w:r w:rsidRPr="00761EF3">
        <w:rPr>
          <w:rFonts w:hint="eastAsia"/>
          <w:szCs w:val="22"/>
        </w:rPr>
        <w:t>81</w:t>
      </w:r>
      <w:r w:rsidRPr="00043A1E">
        <w:rPr>
          <w:szCs w:val="22"/>
        </w:rPr>
        <w:t>）</w:t>
      </w:r>
    </w:p>
  </w:footnote>
  <w:footnote w:id="780">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szCs w:val="22"/>
        </w:rPr>
        <w:t>四緣：因緣、等無間緣</w:t>
      </w:r>
      <w:r w:rsidRPr="00043A1E">
        <w:rPr>
          <w:rFonts w:hint="eastAsia"/>
          <w:szCs w:val="22"/>
        </w:rPr>
        <w:t>、</w:t>
      </w:r>
      <w:r w:rsidRPr="00043A1E">
        <w:rPr>
          <w:szCs w:val="22"/>
        </w:rPr>
        <w:t>所緣緣</w:t>
      </w:r>
      <w:r w:rsidRPr="00043A1E">
        <w:rPr>
          <w:rFonts w:hint="eastAsia"/>
          <w:szCs w:val="22"/>
        </w:rPr>
        <w:t>、</w:t>
      </w:r>
      <w:r w:rsidRPr="00043A1E">
        <w:rPr>
          <w:szCs w:val="22"/>
        </w:rPr>
        <w:t>增上緣</w:t>
      </w:r>
      <w:r w:rsidRPr="00043A1E">
        <w:rPr>
          <w:rFonts w:hint="eastAsia"/>
          <w:szCs w:val="22"/>
        </w:rPr>
        <w:t>。</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）參見</w:t>
      </w:r>
      <w:r w:rsidRPr="00043A1E">
        <w:rPr>
          <w:szCs w:val="22"/>
        </w:rPr>
        <w:t>《增壹阿含經》卷</w:t>
      </w:r>
      <w:r w:rsidRPr="00761EF3">
        <w:rPr>
          <w:szCs w:val="22"/>
        </w:rPr>
        <w:t>23</w:t>
      </w:r>
      <w:r w:rsidRPr="00043A1E">
        <w:rPr>
          <w:szCs w:val="22"/>
        </w:rPr>
        <w:t>〈</w:t>
      </w:r>
      <w:r w:rsidRPr="00761EF3">
        <w:rPr>
          <w:szCs w:val="22"/>
        </w:rPr>
        <w:t>31</w:t>
      </w:r>
      <w:r w:rsidRPr="00043A1E">
        <w:rPr>
          <w:szCs w:val="22"/>
        </w:rPr>
        <w:t xml:space="preserve"> </w:t>
      </w:r>
      <w:r w:rsidRPr="00043A1E">
        <w:rPr>
          <w:szCs w:val="22"/>
        </w:rPr>
        <w:t>增上品〉</w:t>
      </w:r>
      <w:r w:rsidRPr="00043A1E">
        <w:rPr>
          <w:rFonts w:ascii="Times Ext Roman" w:hAnsi="Times Ext Roman" w:cs="Times Ext Roman"/>
          <w:szCs w:val="22"/>
        </w:rPr>
        <w:t>（</w:t>
      </w:r>
      <w:r w:rsidRPr="00043A1E">
        <w:rPr>
          <w:rFonts w:ascii="Times Ext Roman" w:hAnsi="新細明體" w:cs="Times Ext Roman"/>
          <w:szCs w:val="22"/>
        </w:rPr>
        <w:t>大正</w:t>
      </w:r>
      <w:r w:rsidRPr="00761EF3">
        <w:rPr>
          <w:rFonts w:hint="eastAsia"/>
          <w:szCs w:val="22"/>
        </w:rPr>
        <w:t>2</w:t>
      </w:r>
      <w:r w:rsidRPr="00043A1E">
        <w:rPr>
          <w:rFonts w:ascii="Times Ext Roman" w:hAnsi="新細明體" w:cs="Times Ext Roman"/>
          <w:szCs w:val="22"/>
        </w:rPr>
        <w:t>，</w:t>
      </w:r>
      <w:r w:rsidRPr="00761EF3">
        <w:rPr>
          <w:rFonts w:hint="eastAsia"/>
          <w:szCs w:val="22"/>
        </w:rPr>
        <w:t>673</w:t>
      </w:r>
      <w:r w:rsidRPr="00761EF3">
        <w:rPr>
          <w:szCs w:val="22"/>
        </w:rPr>
        <w:t>b</w:t>
      </w:r>
      <w:r w:rsidRPr="00761EF3">
        <w:rPr>
          <w:rFonts w:hint="eastAsia"/>
          <w:szCs w:val="22"/>
        </w:rPr>
        <w:t>15</w:t>
      </w:r>
      <w:r w:rsidRPr="00043A1E">
        <w:rPr>
          <w:szCs w:val="22"/>
        </w:rPr>
        <w:t>-</w:t>
      </w:r>
      <w:r w:rsidRPr="00761EF3">
        <w:rPr>
          <w:szCs w:val="22"/>
        </w:rPr>
        <w:t>2</w:t>
      </w:r>
      <w:r w:rsidRPr="00761EF3">
        <w:rPr>
          <w:rFonts w:hint="eastAsia"/>
          <w:szCs w:val="22"/>
        </w:rPr>
        <w:t>0</w:t>
      </w:r>
      <w:r w:rsidRPr="00043A1E">
        <w:rPr>
          <w:rFonts w:ascii="Times Ext Roman" w:hAnsi="Times Ext Roman" w:cs="Times Ext Roman"/>
          <w:szCs w:val="22"/>
        </w:rPr>
        <w:t>）</w:t>
      </w:r>
      <w:r w:rsidRPr="00043A1E">
        <w:rPr>
          <w:rFonts w:hint="eastAsia"/>
          <w:szCs w:val="22"/>
        </w:rPr>
        <w:t>。</w:t>
      </w:r>
    </w:p>
    <w:p w:rsidR="00157EF6" w:rsidRPr="00043A1E" w:rsidRDefault="00157EF6" w:rsidP="00AA120F">
      <w:pPr>
        <w:pStyle w:val="a5"/>
        <w:ind w:leftChars="105" w:left="791" w:hangingChars="245" w:hanging="539"/>
        <w:jc w:val="both"/>
        <w:rPr>
          <w:rFonts w:ascii="Times Ext Roman" w:hAnsi="新細明體" w:cs="Times Ext Roman"/>
          <w:szCs w:val="22"/>
        </w:rPr>
      </w:pPr>
      <w:r w:rsidRPr="00043A1E">
        <w:rPr>
          <w:rFonts w:ascii="Times Ext Roman" w:hAnsi="新細明體" w:cs="Times Ext Roman" w:hint="eastAsia"/>
          <w:szCs w:val="22"/>
        </w:rPr>
        <w:t>（</w:t>
      </w:r>
      <w:r w:rsidRPr="00761EF3">
        <w:rPr>
          <w:rFonts w:hint="eastAsia"/>
          <w:szCs w:val="22"/>
        </w:rPr>
        <w:t>3</w:t>
      </w:r>
      <w:r w:rsidRPr="00043A1E">
        <w:rPr>
          <w:rFonts w:ascii="Times Ext Roman" w:hAnsi="新細明體" w:cs="Times Ext Roman" w:hint="eastAsia"/>
          <w:szCs w:val="22"/>
        </w:rPr>
        <w:t>）</w:t>
      </w:r>
      <w:r w:rsidRPr="00043A1E">
        <w:rPr>
          <w:rFonts w:hint="eastAsia"/>
          <w:szCs w:val="22"/>
        </w:rPr>
        <w:t>參見</w:t>
      </w:r>
      <w:r w:rsidRPr="00043A1E">
        <w:rPr>
          <w:rFonts w:ascii="Times Ext Roman" w:hAnsi="新細明體" w:cs="Times Ext Roman" w:hint="eastAsia"/>
          <w:szCs w:val="22"/>
        </w:rPr>
        <w:t>《阿毘達磨大毘婆沙論》卷</w:t>
      </w:r>
      <w:r w:rsidRPr="00761EF3">
        <w:rPr>
          <w:rFonts w:hint="eastAsia"/>
          <w:szCs w:val="22"/>
        </w:rPr>
        <w:t>16</w:t>
      </w:r>
      <w:r w:rsidRPr="00043A1E">
        <w:rPr>
          <w:szCs w:val="22"/>
        </w:rPr>
        <w:t>（大正</w:t>
      </w:r>
      <w:r w:rsidRPr="00761EF3">
        <w:rPr>
          <w:szCs w:val="22"/>
        </w:rPr>
        <w:t>27</w:t>
      </w:r>
      <w:r w:rsidRPr="00043A1E">
        <w:rPr>
          <w:szCs w:val="22"/>
        </w:rPr>
        <w:t>，</w:t>
      </w:r>
      <w:r w:rsidRPr="00761EF3">
        <w:rPr>
          <w:szCs w:val="22"/>
        </w:rPr>
        <w:t>79a26</w:t>
      </w:r>
      <w:r w:rsidRPr="00043A1E">
        <w:rPr>
          <w:szCs w:val="22"/>
        </w:rPr>
        <w:t>-</w:t>
      </w:r>
      <w:r w:rsidRPr="00761EF3">
        <w:rPr>
          <w:szCs w:val="22"/>
        </w:rPr>
        <w:t>c5</w:t>
      </w:r>
      <w:r w:rsidRPr="00043A1E">
        <w:rPr>
          <w:szCs w:val="22"/>
        </w:rPr>
        <w:t>）</w:t>
      </w:r>
      <w:r w:rsidRPr="00043A1E">
        <w:rPr>
          <w:rFonts w:hint="eastAsia"/>
          <w:szCs w:val="22"/>
        </w:rPr>
        <w:t>。</w:t>
      </w:r>
    </w:p>
  </w:footnote>
  <w:footnote w:id="781">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szCs w:val="22"/>
        </w:rPr>
        <w:t>六因</w:t>
      </w:r>
      <w:r w:rsidRPr="00043A1E">
        <w:rPr>
          <w:rFonts w:hint="eastAsia"/>
          <w:szCs w:val="22"/>
        </w:rPr>
        <w:t>：</w:t>
      </w:r>
      <w:r w:rsidRPr="00043A1E">
        <w:rPr>
          <w:szCs w:val="22"/>
        </w:rPr>
        <w:t>相應因、俱有因、同類因、遍行因、異熟因</w:t>
      </w:r>
      <w:r w:rsidRPr="00043A1E">
        <w:rPr>
          <w:rFonts w:hint="eastAsia"/>
          <w:szCs w:val="22"/>
        </w:rPr>
        <w:t>、</w:t>
      </w:r>
      <w:r w:rsidRPr="00043A1E">
        <w:rPr>
          <w:szCs w:val="22"/>
        </w:rPr>
        <w:t>能作因</w:t>
      </w:r>
      <w:r w:rsidRPr="00043A1E">
        <w:rPr>
          <w:rFonts w:hint="eastAsia"/>
          <w:szCs w:val="22"/>
        </w:rPr>
        <w:t>。</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）參見</w:t>
      </w:r>
      <w:r w:rsidRPr="00043A1E">
        <w:rPr>
          <w:rStyle w:val="aff0"/>
          <w:rFonts w:ascii="Times New Roman" w:hAnsi="Times New Roman"/>
        </w:rPr>
        <w:t>《阿毘達磨發智論》卷</w:t>
      </w:r>
      <w:r w:rsidRPr="00761EF3">
        <w:rPr>
          <w:rStyle w:val="aff0"/>
          <w:rFonts w:ascii="Times New Roman" w:hAnsi="Times New Roman"/>
        </w:rPr>
        <w:t>1</w:t>
      </w:r>
      <w:r w:rsidRPr="00043A1E">
        <w:rPr>
          <w:szCs w:val="22"/>
        </w:rPr>
        <w:t>（大正</w:t>
      </w:r>
      <w:r w:rsidRPr="00761EF3">
        <w:rPr>
          <w:szCs w:val="22"/>
        </w:rPr>
        <w:t>26</w:t>
      </w:r>
      <w:r w:rsidRPr="00043A1E">
        <w:rPr>
          <w:szCs w:val="22"/>
        </w:rPr>
        <w:t>，</w:t>
      </w:r>
      <w:r w:rsidRPr="00761EF3">
        <w:rPr>
          <w:szCs w:val="22"/>
        </w:rPr>
        <w:t>920c5</w:t>
      </w:r>
      <w:r w:rsidRPr="00043A1E">
        <w:rPr>
          <w:szCs w:val="22"/>
        </w:rPr>
        <w:t>-</w:t>
      </w:r>
      <w:r w:rsidRPr="00761EF3">
        <w:rPr>
          <w:szCs w:val="22"/>
        </w:rPr>
        <w:t>921a10</w:t>
      </w:r>
      <w:r w:rsidRPr="00043A1E">
        <w:rPr>
          <w:szCs w:val="22"/>
        </w:rPr>
        <w:t>）。</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3</w:t>
      </w:r>
      <w:r w:rsidRPr="00043A1E">
        <w:rPr>
          <w:rFonts w:hint="eastAsia"/>
          <w:szCs w:val="22"/>
        </w:rPr>
        <w:t>）六因：</w:t>
      </w:r>
    </w:p>
    <w:p w:rsidR="00157EF6" w:rsidRPr="00043A1E" w:rsidRDefault="00157EF6" w:rsidP="00AA120F">
      <w:pPr>
        <w:pStyle w:val="a5"/>
        <w:ind w:leftChars="335" w:left="1244" w:hangingChars="200" w:hanging="440"/>
        <w:jc w:val="both"/>
        <w:rPr>
          <w:szCs w:val="22"/>
        </w:rPr>
      </w:pPr>
      <w:r w:rsidRPr="00043A1E">
        <w:rPr>
          <w:rFonts w:hint="eastAsia"/>
          <w:b/>
          <w:szCs w:val="22"/>
        </w:rPr>
        <w:t>一、能作因</w:t>
      </w:r>
      <w:r w:rsidRPr="00043A1E">
        <w:rPr>
          <w:rFonts w:hint="eastAsia"/>
          <w:szCs w:val="22"/>
        </w:rPr>
        <w:t>（梵</w:t>
      </w:r>
      <w:r w:rsidRPr="00761EF3">
        <w:rPr>
          <w:szCs w:val="22"/>
        </w:rPr>
        <w:t>kāraṇa</w:t>
      </w:r>
      <w:r w:rsidRPr="00043A1E">
        <w:rPr>
          <w:szCs w:val="22"/>
        </w:rPr>
        <w:t>-</w:t>
      </w:r>
      <w:r w:rsidRPr="00761EF3">
        <w:rPr>
          <w:szCs w:val="22"/>
        </w:rPr>
        <w:t>hetu</w:t>
      </w:r>
      <w:r w:rsidRPr="00043A1E">
        <w:rPr>
          <w:rFonts w:hint="eastAsia"/>
          <w:szCs w:val="22"/>
        </w:rPr>
        <w:t>），又作所作因、隨造因。即某物生時，凡一切不對其發生阻礙作用之事物，皆為某物之能作因，其範圍至廣。又分兩種：</w:t>
      </w:r>
      <w:r w:rsidRPr="00761EF3">
        <w:rPr>
          <w:rFonts w:hint="eastAsia"/>
          <w:szCs w:val="22"/>
        </w:rPr>
        <w:t>1</w:t>
      </w:r>
      <w:r w:rsidRPr="00043A1E">
        <w:rPr>
          <w:rFonts w:hint="eastAsia"/>
          <w:szCs w:val="22"/>
        </w:rPr>
        <w:t>、自法生時，給與勝力而助長者，稱為與力，如眼根生眼識，或如大地之生草木，乃有力之能作因，然僅限於有為法。</w:t>
      </w:r>
      <w:r w:rsidRPr="00761EF3">
        <w:rPr>
          <w:rFonts w:hint="eastAsia"/>
          <w:szCs w:val="22"/>
        </w:rPr>
        <w:t>2</w:t>
      </w:r>
      <w:r w:rsidRPr="00043A1E">
        <w:rPr>
          <w:rFonts w:hint="eastAsia"/>
          <w:szCs w:val="22"/>
        </w:rPr>
        <w:t>、自法生時，無所障礙，令之自在而生者，稱為不障，如虛空之於萬物，乃無力之能作因，通於一切無為法。此因所得之果稱增上果。</w:t>
      </w:r>
    </w:p>
    <w:p w:rsidR="00157EF6" w:rsidRPr="00043A1E" w:rsidRDefault="00157EF6" w:rsidP="00AA120F">
      <w:pPr>
        <w:pStyle w:val="a5"/>
        <w:ind w:leftChars="335" w:left="1244" w:hangingChars="200" w:hanging="440"/>
        <w:jc w:val="both"/>
        <w:rPr>
          <w:szCs w:val="22"/>
        </w:rPr>
      </w:pPr>
      <w:r w:rsidRPr="00043A1E">
        <w:rPr>
          <w:rFonts w:hint="eastAsia"/>
          <w:b/>
          <w:szCs w:val="22"/>
        </w:rPr>
        <w:t>二、俱有因</w:t>
      </w:r>
      <w:r w:rsidRPr="00043A1E">
        <w:rPr>
          <w:rFonts w:hint="eastAsia"/>
          <w:szCs w:val="22"/>
        </w:rPr>
        <w:t>（梵</w:t>
      </w:r>
      <w:r w:rsidRPr="00761EF3">
        <w:rPr>
          <w:szCs w:val="22"/>
        </w:rPr>
        <w:t>sahabhū</w:t>
      </w:r>
      <w:r w:rsidRPr="00043A1E">
        <w:rPr>
          <w:szCs w:val="22"/>
        </w:rPr>
        <w:t>-</w:t>
      </w:r>
      <w:r w:rsidRPr="00761EF3">
        <w:rPr>
          <w:szCs w:val="22"/>
        </w:rPr>
        <w:t>hetu</w:t>
      </w:r>
      <w:r w:rsidRPr="00043A1E">
        <w:rPr>
          <w:rFonts w:hint="eastAsia"/>
          <w:szCs w:val="22"/>
        </w:rPr>
        <w:t>），又作共有因、共生因。為俱有果之因，亦分二種：（</w:t>
      </w:r>
      <w:r w:rsidRPr="00761EF3">
        <w:rPr>
          <w:szCs w:val="22"/>
        </w:rPr>
        <w:t>1</w:t>
      </w:r>
      <w:r w:rsidRPr="00043A1E">
        <w:rPr>
          <w:rFonts w:hint="eastAsia"/>
          <w:szCs w:val="22"/>
        </w:rPr>
        <w:t>）輾轉同時互為因果者，稱為互為果俱有因，如三杖之互相依持而立。（</w:t>
      </w:r>
      <w:r w:rsidRPr="00761EF3">
        <w:rPr>
          <w:szCs w:val="22"/>
        </w:rPr>
        <w:t>2</w:t>
      </w:r>
      <w:r w:rsidRPr="00043A1E">
        <w:rPr>
          <w:rFonts w:hint="eastAsia"/>
          <w:szCs w:val="22"/>
        </w:rPr>
        <w:t>）多法同時為因而得同一果者，稱為同一果俱有因，如三杖互相依持以支持一物。此因所得之果稱士用果。</w:t>
      </w:r>
    </w:p>
    <w:p w:rsidR="00157EF6" w:rsidRPr="00043A1E" w:rsidRDefault="00157EF6" w:rsidP="00AA120F">
      <w:pPr>
        <w:pStyle w:val="a5"/>
        <w:ind w:leftChars="335" w:left="1244" w:hangingChars="200" w:hanging="440"/>
        <w:jc w:val="both"/>
        <w:rPr>
          <w:szCs w:val="22"/>
        </w:rPr>
      </w:pPr>
      <w:r w:rsidRPr="00043A1E">
        <w:rPr>
          <w:rFonts w:hint="eastAsia"/>
          <w:b/>
          <w:szCs w:val="22"/>
        </w:rPr>
        <w:t>三、同類因</w:t>
      </w:r>
      <w:r w:rsidRPr="00043A1E">
        <w:rPr>
          <w:rFonts w:hint="eastAsia"/>
          <w:szCs w:val="22"/>
        </w:rPr>
        <w:t>（梵</w:t>
      </w:r>
      <w:r w:rsidRPr="00761EF3">
        <w:rPr>
          <w:szCs w:val="22"/>
        </w:rPr>
        <w:t>sabhāga</w:t>
      </w:r>
      <w:r w:rsidRPr="00043A1E">
        <w:rPr>
          <w:szCs w:val="22"/>
        </w:rPr>
        <w:t>-</w:t>
      </w:r>
      <w:r w:rsidRPr="00761EF3">
        <w:rPr>
          <w:szCs w:val="22"/>
        </w:rPr>
        <w:t>hetu</w:t>
      </w:r>
      <w:r w:rsidRPr="00043A1E">
        <w:rPr>
          <w:rFonts w:hint="eastAsia"/>
          <w:szCs w:val="22"/>
        </w:rPr>
        <w:t>），又作自分因、自種因。謂過去與現在之一切有漏法，以同類相似之法為因，故稱同類因。如善法為善法之因，乃至無記法為無記法之因。此同類之名，就善惡之性而立，非就色心等之事相。此因所得之果稱等流果。</w:t>
      </w:r>
    </w:p>
    <w:p w:rsidR="00157EF6" w:rsidRPr="00043A1E" w:rsidRDefault="00157EF6" w:rsidP="00AA120F">
      <w:pPr>
        <w:pStyle w:val="a5"/>
        <w:ind w:leftChars="335" w:left="1244" w:hangingChars="200" w:hanging="440"/>
        <w:jc w:val="both"/>
        <w:rPr>
          <w:szCs w:val="22"/>
        </w:rPr>
      </w:pPr>
      <w:r w:rsidRPr="00043A1E">
        <w:rPr>
          <w:rFonts w:hint="eastAsia"/>
          <w:b/>
          <w:szCs w:val="22"/>
        </w:rPr>
        <w:t>四、相應因</w:t>
      </w:r>
      <w:r w:rsidRPr="00043A1E">
        <w:rPr>
          <w:rFonts w:hint="eastAsia"/>
          <w:szCs w:val="22"/>
        </w:rPr>
        <w:t>（梵</w:t>
      </w:r>
      <w:r w:rsidRPr="00761EF3">
        <w:rPr>
          <w:rFonts w:hint="eastAsia"/>
          <w:szCs w:val="22"/>
        </w:rPr>
        <w:t>samprayukta</w:t>
      </w:r>
      <w:r w:rsidRPr="00043A1E">
        <w:rPr>
          <w:rFonts w:hint="eastAsia"/>
          <w:szCs w:val="22"/>
        </w:rPr>
        <w:t>-</w:t>
      </w:r>
      <w:r w:rsidRPr="00761EF3">
        <w:rPr>
          <w:rFonts w:hint="eastAsia"/>
          <w:szCs w:val="22"/>
        </w:rPr>
        <w:t>hetu</w:t>
      </w:r>
      <w:r w:rsidRPr="00043A1E">
        <w:rPr>
          <w:rFonts w:hint="eastAsia"/>
          <w:szCs w:val="22"/>
        </w:rPr>
        <w:t>），謂認識發生時，心及心所必同時相應而起，相互依存，二者同時具足同所依、同所緣、同行相、同時、同事等五義，故稱相應因。此因所得之果稱士用果。</w:t>
      </w:r>
    </w:p>
    <w:p w:rsidR="00157EF6" w:rsidRPr="00043A1E" w:rsidRDefault="00157EF6" w:rsidP="00AA120F">
      <w:pPr>
        <w:pStyle w:val="a5"/>
        <w:ind w:leftChars="335" w:left="1244" w:hangingChars="200" w:hanging="440"/>
        <w:jc w:val="both"/>
        <w:rPr>
          <w:szCs w:val="22"/>
        </w:rPr>
      </w:pPr>
      <w:r w:rsidRPr="00043A1E">
        <w:rPr>
          <w:rFonts w:hint="eastAsia"/>
          <w:b/>
          <w:szCs w:val="22"/>
        </w:rPr>
        <w:t>五、遍行因</w:t>
      </w:r>
      <w:r w:rsidRPr="00043A1E">
        <w:rPr>
          <w:rFonts w:hint="eastAsia"/>
          <w:szCs w:val="22"/>
        </w:rPr>
        <w:t>（梵</w:t>
      </w:r>
      <w:r w:rsidRPr="00761EF3">
        <w:rPr>
          <w:rFonts w:hint="eastAsia"/>
          <w:szCs w:val="22"/>
        </w:rPr>
        <w:t>sarvatraga</w:t>
      </w:r>
      <w:r w:rsidRPr="00043A1E">
        <w:rPr>
          <w:rFonts w:hint="eastAsia"/>
          <w:szCs w:val="22"/>
        </w:rPr>
        <w:t>-</w:t>
      </w:r>
      <w:r w:rsidRPr="00761EF3">
        <w:rPr>
          <w:rFonts w:hint="eastAsia"/>
          <w:szCs w:val="22"/>
        </w:rPr>
        <w:t>hetu</w:t>
      </w:r>
      <w:r w:rsidRPr="00043A1E">
        <w:rPr>
          <w:rFonts w:hint="eastAsia"/>
          <w:szCs w:val="22"/>
        </w:rPr>
        <w:t>），又作一切遍行因。特指能遍行於一切染污法之煩惱而言。與上記之同類因為前後異時之因果法，然同類因通於一切諸法，而遍行因則由心所中之十一遍行遍生一切之惑，故稱遍行因。所謂十一遍行，即逆於四諦之理的諸煩惱中，苦諦下之身見、邊見、邪見、見取見、戒禁取見、疑、無明等七者，與集諦下之邪見、見取見、疑、無明等四者，此十一煩惱即一切煩惱生起之因。此因所得之果稱等</w:t>
      </w:r>
      <w:r w:rsidR="0053352C">
        <w:rPr>
          <w:rFonts w:hint="eastAsia"/>
          <w:szCs w:val="22"/>
        </w:rPr>
        <w:t>流</w:t>
      </w:r>
      <w:r w:rsidRPr="00043A1E">
        <w:rPr>
          <w:rFonts w:hint="eastAsia"/>
          <w:szCs w:val="22"/>
        </w:rPr>
        <w:t>果。</w:t>
      </w:r>
    </w:p>
    <w:p w:rsidR="00157EF6" w:rsidRPr="00043A1E" w:rsidRDefault="00157EF6" w:rsidP="00AA120F">
      <w:pPr>
        <w:pStyle w:val="a5"/>
        <w:ind w:leftChars="335" w:left="1244" w:hangingChars="200" w:hanging="440"/>
        <w:jc w:val="both"/>
        <w:rPr>
          <w:szCs w:val="22"/>
        </w:rPr>
      </w:pPr>
      <w:r w:rsidRPr="00043A1E">
        <w:rPr>
          <w:rFonts w:hint="eastAsia"/>
          <w:b/>
          <w:szCs w:val="22"/>
        </w:rPr>
        <w:t>六、異熟因</w:t>
      </w:r>
      <w:r w:rsidRPr="00043A1E">
        <w:rPr>
          <w:rFonts w:hint="eastAsia"/>
          <w:szCs w:val="22"/>
        </w:rPr>
        <w:t>（梵</w:t>
      </w:r>
      <w:r w:rsidRPr="00761EF3">
        <w:rPr>
          <w:szCs w:val="22"/>
        </w:rPr>
        <w:t>vipāka</w:t>
      </w:r>
      <w:r w:rsidRPr="00043A1E">
        <w:rPr>
          <w:szCs w:val="22"/>
        </w:rPr>
        <w:t>-</w:t>
      </w:r>
      <w:r w:rsidRPr="00761EF3">
        <w:rPr>
          <w:szCs w:val="22"/>
        </w:rPr>
        <w:t>hetu</w:t>
      </w:r>
      <w:r w:rsidRPr="00043A1E">
        <w:rPr>
          <w:rFonts w:hint="eastAsia"/>
          <w:szCs w:val="22"/>
        </w:rPr>
        <w:t>），又作報因。特指能招致三世苦樂果報之善惡業因。如以五逆之惡法感地獄之報，以十善之有漏善招天上之果。彼天上與地獄之果皆非善非惡，而係無記性。如此以善因惡因皆感無記之果，因果異類而熟，故其因稱為異熟因，所得之果稱異熟果。（《佛光大辭典》（二），</w:t>
      </w:r>
      <w:r w:rsidRPr="00761EF3">
        <w:rPr>
          <w:rFonts w:hint="eastAsia"/>
          <w:szCs w:val="22"/>
        </w:rPr>
        <w:t>pp</w:t>
      </w:r>
      <w:r w:rsidRPr="00043A1E">
        <w:rPr>
          <w:rFonts w:hint="eastAsia"/>
          <w:szCs w:val="22"/>
        </w:rPr>
        <w:t>.</w:t>
      </w:r>
      <w:r w:rsidRPr="00761EF3">
        <w:rPr>
          <w:rFonts w:hint="eastAsia"/>
          <w:szCs w:val="22"/>
        </w:rPr>
        <w:t>1256</w:t>
      </w:r>
      <w:r w:rsidRPr="00043A1E">
        <w:rPr>
          <w:rFonts w:hint="eastAsia"/>
          <w:szCs w:val="22"/>
        </w:rPr>
        <w:t>.</w:t>
      </w:r>
      <w:r w:rsidRPr="00761EF3">
        <w:rPr>
          <w:rFonts w:hint="eastAsia"/>
          <w:szCs w:val="22"/>
        </w:rPr>
        <w:t>3</w:t>
      </w:r>
      <w:r w:rsidRPr="00043A1E">
        <w:rPr>
          <w:rFonts w:hint="eastAsia"/>
          <w:szCs w:val="22"/>
        </w:rPr>
        <w:t>-</w:t>
      </w:r>
      <w:r w:rsidRPr="00761EF3">
        <w:rPr>
          <w:rFonts w:hint="eastAsia"/>
          <w:szCs w:val="22"/>
        </w:rPr>
        <w:t>1257</w:t>
      </w:r>
      <w:r w:rsidRPr="00043A1E">
        <w:rPr>
          <w:rFonts w:hint="eastAsia"/>
          <w:szCs w:val="22"/>
        </w:rPr>
        <w:t>.</w:t>
      </w:r>
      <w:r w:rsidRPr="00761EF3">
        <w:rPr>
          <w:rFonts w:hint="eastAsia"/>
          <w:szCs w:val="22"/>
        </w:rPr>
        <w:t>3</w:t>
      </w:r>
      <w:r w:rsidRPr="00043A1E">
        <w:rPr>
          <w:rFonts w:hint="eastAsia"/>
          <w:szCs w:val="22"/>
        </w:rPr>
        <w:t>）</w:t>
      </w:r>
    </w:p>
  </w:footnote>
  <w:footnote w:id="782">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szCs w:val="22"/>
        </w:rPr>
        <w:t>）參見</w:t>
      </w:r>
      <w:r w:rsidRPr="00043A1E">
        <w:rPr>
          <w:rStyle w:val="aff0"/>
          <w:rFonts w:ascii="Times New Roman" w:hAnsi="Times New Roman"/>
        </w:rPr>
        <w:t>《阿毘達磨發智論》卷</w:t>
      </w:r>
      <w:r w:rsidRPr="00761EF3">
        <w:rPr>
          <w:rStyle w:val="aff0"/>
          <w:rFonts w:ascii="Times New Roman" w:hAnsi="Times New Roman"/>
        </w:rPr>
        <w:t>1</w:t>
      </w:r>
      <w:r w:rsidRPr="00043A1E">
        <w:rPr>
          <w:szCs w:val="22"/>
        </w:rPr>
        <w:t>（大正</w:t>
      </w:r>
      <w:r w:rsidRPr="00761EF3">
        <w:rPr>
          <w:szCs w:val="22"/>
        </w:rPr>
        <w:t>26</w:t>
      </w:r>
      <w:r w:rsidRPr="00043A1E">
        <w:rPr>
          <w:szCs w:val="22"/>
        </w:rPr>
        <w:t>，</w:t>
      </w:r>
      <w:r w:rsidRPr="00761EF3">
        <w:rPr>
          <w:szCs w:val="22"/>
        </w:rPr>
        <w:t>920c5</w:t>
      </w:r>
      <w:r w:rsidRPr="00043A1E">
        <w:rPr>
          <w:szCs w:val="22"/>
        </w:rPr>
        <w:t>-</w:t>
      </w:r>
      <w:r w:rsidRPr="00761EF3">
        <w:rPr>
          <w:szCs w:val="22"/>
        </w:rPr>
        <w:t>921a10</w:t>
      </w:r>
      <w:r w:rsidRPr="00043A1E">
        <w:rPr>
          <w:szCs w:val="22"/>
        </w:rPr>
        <w:t>）。</w:t>
      </w:r>
    </w:p>
    <w:p w:rsidR="00157EF6" w:rsidRPr="00043A1E" w:rsidRDefault="00157EF6" w:rsidP="00AA120F">
      <w:pPr>
        <w:pStyle w:val="a5"/>
        <w:ind w:leftChars="105" w:left="791" w:hangingChars="245" w:hanging="539"/>
        <w:jc w:val="both"/>
        <w:rPr>
          <w:rFonts w:ascii="Times Ext Roman" w:hAnsi="Times Ext Roman" w:cs="Times Ext Roman"/>
          <w:szCs w:val="22"/>
        </w:rPr>
      </w:pPr>
      <w:r w:rsidRPr="00043A1E">
        <w:rPr>
          <w:rFonts w:ascii="Times Ext Roman" w:hAnsi="新細明體" w:cs="Times Ext Roman" w:hint="eastAsia"/>
          <w:szCs w:val="22"/>
        </w:rPr>
        <w:t>（</w:t>
      </w:r>
      <w:r w:rsidRPr="00761EF3">
        <w:rPr>
          <w:rFonts w:hint="eastAsia"/>
          <w:szCs w:val="22"/>
        </w:rPr>
        <w:t>2</w:t>
      </w:r>
      <w:r w:rsidRPr="00043A1E">
        <w:rPr>
          <w:rFonts w:ascii="Times Ext Roman" w:hAnsi="新細明體" w:cs="Times Ext Roman" w:hint="eastAsia"/>
          <w:szCs w:val="22"/>
        </w:rPr>
        <w:t>）印順法師，</w:t>
      </w:r>
      <w:r w:rsidRPr="00043A1E">
        <w:rPr>
          <w:rFonts w:ascii="Times Ext Roman" w:hAnsi="Times Ext Roman" w:cs="Times Ext Roman" w:hint="eastAsia"/>
          <w:szCs w:val="22"/>
        </w:rPr>
        <w:t>《說一切有部為主的論書與論師之研究》</w:t>
      </w:r>
      <w:r w:rsidRPr="00043A1E">
        <w:rPr>
          <w:rFonts w:ascii="Times Ext Roman" w:hAnsi="新細明體" w:cs="Times Ext Roman" w:hint="eastAsia"/>
          <w:szCs w:val="22"/>
        </w:rPr>
        <w:t>，</w:t>
      </w:r>
      <w:r w:rsidRPr="00761EF3">
        <w:rPr>
          <w:szCs w:val="22"/>
        </w:rPr>
        <w:t>p</w:t>
      </w:r>
      <w:r w:rsidRPr="00043A1E">
        <w:rPr>
          <w:szCs w:val="22"/>
        </w:rPr>
        <w:t>.</w:t>
      </w:r>
      <w:r w:rsidRPr="00761EF3">
        <w:rPr>
          <w:rFonts w:hint="eastAsia"/>
          <w:szCs w:val="22"/>
        </w:rPr>
        <w:t>190</w:t>
      </w:r>
      <w:r w:rsidRPr="00043A1E">
        <w:rPr>
          <w:rFonts w:ascii="Times Ext Roman" w:hAnsi="Times Ext Roman" w:cs="Times Ext Roman" w:hint="eastAsia"/>
          <w:szCs w:val="22"/>
        </w:rPr>
        <w:t>：</w:t>
      </w:r>
    </w:p>
    <w:p w:rsidR="00157EF6" w:rsidRPr="001F0FDE" w:rsidRDefault="00157EF6" w:rsidP="00AA120F">
      <w:pPr>
        <w:pStyle w:val="a5"/>
        <w:tabs>
          <w:tab w:val="left" w:pos="2128"/>
          <w:tab w:val="left" w:pos="3668"/>
        </w:tabs>
        <w:jc w:val="both"/>
        <w:rPr>
          <w:rFonts w:ascii="標楷體" w:eastAsia="標楷體" w:hAnsi="標楷體" w:cs="Times Ext Roman"/>
          <w:szCs w:val="22"/>
        </w:rPr>
      </w:pPr>
      <w:r>
        <w:rPr>
          <w:szCs w:val="22"/>
        </w:rPr>
        <w:tab/>
      </w:r>
      <w:r w:rsidRPr="001F0FDE">
        <w:rPr>
          <w:rFonts w:ascii="標楷體" w:eastAsia="標楷體" w:hAnsi="標楷體" w:cs="Times Ext Roman" w:hint="eastAsia"/>
          <w:szCs w:val="22"/>
        </w:rPr>
        <w:t>┌─心心所法……………………………………相應因</w:t>
      </w:r>
    </w:p>
    <w:p w:rsidR="00157EF6" w:rsidRPr="001F0FDE" w:rsidRDefault="00157EF6" w:rsidP="00AA120F">
      <w:pPr>
        <w:pStyle w:val="a5"/>
        <w:tabs>
          <w:tab w:val="left" w:pos="2128"/>
          <w:tab w:val="left" w:pos="3668"/>
        </w:tabs>
        <w:ind w:leftChars="335" w:left="804"/>
        <w:jc w:val="both"/>
        <w:rPr>
          <w:rFonts w:ascii="標楷體" w:eastAsia="標楷體" w:hAnsi="標楷體" w:cs="Times Ext Roman"/>
          <w:szCs w:val="22"/>
        </w:rPr>
      </w:pPr>
      <w:r w:rsidRPr="001F0FDE">
        <w:rPr>
          <w:rFonts w:ascii="標楷體" w:eastAsia="標楷體" w:hAnsi="標楷體" w:cs="Times Ext Roman" w:hint="eastAsia"/>
          <w:szCs w:val="22"/>
        </w:rPr>
        <w:t>剎那同時的─┤</w:t>
      </w:r>
    </w:p>
    <w:p w:rsidR="00157EF6" w:rsidRDefault="00157EF6" w:rsidP="00AA120F">
      <w:pPr>
        <w:pStyle w:val="a5"/>
        <w:tabs>
          <w:tab w:val="left" w:pos="2128"/>
          <w:tab w:val="left" w:pos="3668"/>
        </w:tabs>
        <w:jc w:val="both"/>
        <w:rPr>
          <w:rFonts w:ascii="標楷體" w:eastAsia="標楷體" w:hAnsi="標楷體" w:cs="Times Ext Roman"/>
          <w:szCs w:val="22"/>
        </w:rPr>
      </w:pPr>
      <w:r w:rsidRPr="001F0FDE">
        <w:rPr>
          <w:rFonts w:ascii="標楷體" w:eastAsia="標楷體" w:hAnsi="標楷體" w:cs="Times Ext Roman"/>
          <w:szCs w:val="22"/>
        </w:rPr>
        <w:tab/>
      </w:r>
      <w:r w:rsidRPr="001F0FDE">
        <w:rPr>
          <w:rFonts w:ascii="標楷體" w:eastAsia="標楷體" w:hAnsi="標楷體" w:cs="Times Ext Roman" w:hint="eastAsia"/>
          <w:szCs w:val="22"/>
        </w:rPr>
        <w:t>└─有為諸法（一分）…………………………俱有因</w:t>
      </w:r>
    </w:p>
    <w:p w:rsidR="003A24DD" w:rsidRPr="001F0FDE" w:rsidRDefault="003A24DD" w:rsidP="00AA120F">
      <w:pPr>
        <w:pStyle w:val="a5"/>
        <w:tabs>
          <w:tab w:val="left" w:pos="2128"/>
          <w:tab w:val="left" w:pos="3668"/>
        </w:tabs>
        <w:jc w:val="both"/>
        <w:rPr>
          <w:rFonts w:ascii="標楷體" w:eastAsia="標楷體" w:hAnsi="標楷體" w:cs="Times Ext Roman"/>
          <w:szCs w:val="22"/>
        </w:rPr>
      </w:pPr>
    </w:p>
    <w:p w:rsidR="00157EF6" w:rsidRPr="001F0FDE" w:rsidRDefault="00157EF6" w:rsidP="00AA120F">
      <w:pPr>
        <w:pStyle w:val="a5"/>
        <w:tabs>
          <w:tab w:val="left" w:pos="2128"/>
          <w:tab w:val="left" w:pos="3668"/>
        </w:tabs>
        <w:ind w:left="220" w:hangingChars="100" w:hanging="220"/>
        <w:jc w:val="both"/>
        <w:rPr>
          <w:rFonts w:ascii="標楷體" w:eastAsia="標楷體" w:hAnsi="標楷體" w:cs="Times Ext Roman"/>
          <w:szCs w:val="22"/>
        </w:rPr>
      </w:pPr>
      <w:r>
        <w:rPr>
          <w:rFonts w:ascii="新細明體" w:hAnsi="新細明體" w:cs="Times Ext Roman"/>
          <w:szCs w:val="22"/>
        </w:rPr>
        <w:tab/>
      </w:r>
      <w:r>
        <w:rPr>
          <w:rFonts w:ascii="新細明體" w:hAnsi="新細明體" w:cs="Times Ext Roman"/>
          <w:szCs w:val="22"/>
        </w:rPr>
        <w:tab/>
      </w:r>
      <w:r>
        <w:rPr>
          <w:rFonts w:ascii="新細明體" w:hAnsi="新細明體" w:cs="Times Ext Roman"/>
          <w:szCs w:val="22"/>
        </w:rPr>
        <w:tab/>
      </w:r>
      <w:r w:rsidRPr="001F0FDE">
        <w:rPr>
          <w:rFonts w:ascii="標楷體" w:eastAsia="標楷體" w:hAnsi="標楷體" w:cs="Times Ext Roman" w:hint="eastAsia"/>
          <w:szCs w:val="22"/>
        </w:rPr>
        <w:t>┌─三性各生自類……………同類因</w:t>
      </w:r>
    </w:p>
    <w:p w:rsidR="00157EF6" w:rsidRPr="001F0FDE" w:rsidRDefault="00157EF6" w:rsidP="00AA120F">
      <w:pPr>
        <w:pStyle w:val="a5"/>
        <w:tabs>
          <w:tab w:val="left" w:pos="2128"/>
          <w:tab w:val="left" w:pos="3668"/>
        </w:tabs>
        <w:jc w:val="both"/>
        <w:rPr>
          <w:rFonts w:ascii="標楷體" w:eastAsia="標楷體" w:hAnsi="標楷體" w:cs="Times Ext Roman"/>
          <w:szCs w:val="22"/>
        </w:rPr>
      </w:pPr>
      <w:r w:rsidRPr="001F0FDE">
        <w:rPr>
          <w:rFonts w:ascii="標楷體" w:eastAsia="標楷體" w:hAnsi="標楷體" w:cs="Times Ext Roman"/>
          <w:szCs w:val="22"/>
        </w:rPr>
        <w:tab/>
      </w:r>
      <w:r w:rsidRPr="001F0FDE">
        <w:rPr>
          <w:rFonts w:ascii="標楷體" w:eastAsia="標楷體" w:hAnsi="標楷體" w:cs="Times Ext Roman" w:hint="eastAsia"/>
          <w:szCs w:val="22"/>
        </w:rPr>
        <w:t>┌─同性類的─┤</w:t>
      </w:r>
    </w:p>
    <w:p w:rsidR="00157EF6" w:rsidRPr="001F0FDE" w:rsidRDefault="00157EF6" w:rsidP="00AA120F">
      <w:pPr>
        <w:pStyle w:val="a5"/>
        <w:tabs>
          <w:tab w:val="left" w:pos="2128"/>
          <w:tab w:val="left" w:pos="3668"/>
        </w:tabs>
        <w:ind w:leftChars="335" w:left="804"/>
        <w:jc w:val="both"/>
        <w:rPr>
          <w:rFonts w:ascii="標楷體" w:eastAsia="標楷體" w:hAnsi="標楷體" w:cs="Times Ext Roman"/>
          <w:szCs w:val="22"/>
        </w:rPr>
      </w:pPr>
      <w:r w:rsidRPr="001F0FDE">
        <w:rPr>
          <w:rFonts w:ascii="標楷體" w:eastAsia="標楷體" w:hAnsi="標楷體" w:cs="Times Ext Roman" w:hint="eastAsia"/>
          <w:szCs w:val="22"/>
        </w:rPr>
        <w:t>前後異時的─┤</w:t>
      </w:r>
      <w:r w:rsidRPr="001F0FDE">
        <w:rPr>
          <w:rFonts w:ascii="標楷體" w:eastAsia="標楷體" w:hAnsi="標楷體" w:cs="Times Ext Roman"/>
          <w:szCs w:val="22"/>
        </w:rPr>
        <w:tab/>
      </w:r>
      <w:r w:rsidRPr="001F0FDE">
        <w:rPr>
          <w:rFonts w:ascii="標楷體" w:eastAsia="標楷體" w:hAnsi="標楷體" w:cs="Times Ext Roman" w:hint="eastAsia"/>
          <w:szCs w:val="22"/>
        </w:rPr>
        <w:t>└─煩惱遍生五部……………遍行因</w:t>
      </w:r>
    </w:p>
    <w:p w:rsidR="00157EF6" w:rsidRPr="001F0FDE" w:rsidRDefault="00157EF6" w:rsidP="00AA120F">
      <w:pPr>
        <w:pStyle w:val="a5"/>
        <w:tabs>
          <w:tab w:val="left" w:pos="2128"/>
          <w:tab w:val="left" w:pos="3668"/>
        </w:tabs>
        <w:jc w:val="both"/>
        <w:rPr>
          <w:rFonts w:ascii="標楷體" w:eastAsia="標楷體" w:hAnsi="標楷體" w:cs="Times Ext Roman"/>
          <w:szCs w:val="22"/>
        </w:rPr>
      </w:pPr>
      <w:r w:rsidRPr="001F0FDE">
        <w:rPr>
          <w:rFonts w:ascii="標楷體" w:eastAsia="標楷體" w:hAnsi="標楷體" w:cs="Times Ext Roman"/>
          <w:szCs w:val="22"/>
        </w:rPr>
        <w:tab/>
      </w:r>
      <w:r w:rsidRPr="001F0FDE">
        <w:rPr>
          <w:rFonts w:ascii="標楷體" w:eastAsia="標楷體" w:hAnsi="標楷體" w:cs="Times Ext Roman" w:hint="eastAsia"/>
          <w:szCs w:val="22"/>
        </w:rPr>
        <w:t>└─異性類的（約善惡對無記說）……………異熟因</w:t>
      </w:r>
    </w:p>
    <w:p w:rsidR="00157EF6" w:rsidRPr="001F0FDE" w:rsidRDefault="00157EF6" w:rsidP="00AA120F">
      <w:pPr>
        <w:pStyle w:val="a5"/>
        <w:tabs>
          <w:tab w:val="left" w:pos="2128"/>
          <w:tab w:val="left" w:pos="3668"/>
        </w:tabs>
        <w:ind w:leftChars="335" w:left="804"/>
        <w:jc w:val="both"/>
        <w:rPr>
          <w:rFonts w:ascii="標楷體" w:eastAsia="標楷體" w:hAnsi="標楷體" w:cs="Times Ext Roman"/>
          <w:szCs w:val="22"/>
        </w:rPr>
      </w:pPr>
      <w:r w:rsidRPr="001F0FDE">
        <w:rPr>
          <w:rFonts w:ascii="標楷體" w:eastAsia="標楷體" w:hAnsi="標楷體" w:cs="Times Ext Roman" w:hint="eastAsia"/>
          <w:szCs w:val="22"/>
        </w:rPr>
        <w:t>不限時分的………………………………………………………能作因</w:t>
      </w:r>
    </w:p>
  </w:footnote>
  <w:footnote w:id="783">
    <w:p w:rsidR="00157EF6" w:rsidRPr="00043A1E" w:rsidRDefault="00157EF6" w:rsidP="00B87DD2">
      <w:pPr>
        <w:pStyle w:val="a5"/>
        <w:spacing w:line="0" w:lineRule="atLeast"/>
        <w:ind w:left="1320" w:hangingChars="600" w:hanging="1320"/>
        <w:jc w:val="both"/>
        <w:rPr>
          <w:rStyle w:val="aff0"/>
          <w:rFonts w:ascii="Times Ext Roman" w:cs="Times Ext Roman"/>
        </w:rPr>
      </w:pPr>
      <w:r w:rsidRPr="00043A1E">
        <w:rPr>
          <w:rStyle w:val="a6"/>
          <w:szCs w:val="22"/>
        </w:rPr>
        <w:footnoteRef/>
      </w:r>
      <w:r w:rsidRPr="00043A1E">
        <w:rPr>
          <w:rFonts w:ascii="Times Ext Roman" w:hAnsi="Times Ext Roman" w:cs="Times Ext Roman" w:hint="eastAsia"/>
          <w:szCs w:val="22"/>
        </w:rPr>
        <w:t xml:space="preserve"> </w:t>
      </w:r>
      <w:r w:rsidRPr="00043A1E">
        <w:rPr>
          <w:rFonts w:ascii="Times Ext Roman" w:hAnsi="Times Ext Roman" w:cs="Times Ext Roman"/>
          <w:szCs w:val="22"/>
        </w:rPr>
        <w:t>（</w:t>
      </w:r>
      <w:r w:rsidRPr="00761EF3">
        <w:rPr>
          <w:rFonts w:hint="eastAsia"/>
          <w:szCs w:val="22"/>
        </w:rPr>
        <w:t>1</w:t>
      </w:r>
      <w:r w:rsidRPr="00043A1E">
        <w:rPr>
          <w:rFonts w:ascii="Times Ext Roman" w:hAnsi="Times Ext Roman" w:cs="Times Ext Roman"/>
          <w:szCs w:val="22"/>
        </w:rPr>
        <w:t>）</w:t>
      </w:r>
      <w:r w:rsidRPr="00043A1E">
        <w:rPr>
          <w:rFonts w:ascii="Times Ext Roman" w:hAnsi="新細明體" w:cs="Times Ext Roman"/>
          <w:szCs w:val="22"/>
        </w:rPr>
        <w:t>十因：</w:t>
      </w:r>
      <w:r>
        <w:rPr>
          <w:rFonts w:hint="eastAsia"/>
          <w:szCs w:val="22"/>
          <w:vertAlign w:val="superscript"/>
        </w:rPr>
        <w:t>（</w:t>
      </w:r>
      <w:r w:rsidRPr="00761EF3">
        <w:rPr>
          <w:szCs w:val="22"/>
          <w:vertAlign w:val="superscript"/>
        </w:rPr>
        <w:t>1</w:t>
      </w:r>
      <w:r>
        <w:rPr>
          <w:rFonts w:hint="eastAsia"/>
          <w:szCs w:val="22"/>
          <w:vertAlign w:val="superscript"/>
        </w:rPr>
        <w:t>）</w:t>
      </w:r>
      <w:r w:rsidRPr="00043A1E">
        <w:rPr>
          <w:rStyle w:val="aff0"/>
          <w:rFonts w:ascii="Times Ext Roman" w:cs="Times Ext Roman"/>
        </w:rPr>
        <w:t>因因，</w:t>
      </w:r>
      <w:r>
        <w:rPr>
          <w:rStyle w:val="aff0"/>
          <w:rFonts w:ascii="Times New Roman" w:hAnsi="Times New Roman" w:hint="eastAsia"/>
          <w:vertAlign w:val="superscript"/>
        </w:rPr>
        <w:t>（</w:t>
      </w:r>
      <w:r w:rsidRPr="00761EF3">
        <w:rPr>
          <w:rStyle w:val="aff0"/>
          <w:rFonts w:ascii="Times New Roman" w:hAnsi="Times New Roman"/>
          <w:vertAlign w:val="superscript"/>
        </w:rPr>
        <w:t>2</w:t>
      </w:r>
      <w:r>
        <w:rPr>
          <w:rStyle w:val="aff0"/>
          <w:rFonts w:ascii="Times New Roman" w:hAnsi="Times New Roman"/>
          <w:vertAlign w:val="superscript"/>
        </w:rPr>
        <w:t>）</w:t>
      </w:r>
      <w:r w:rsidRPr="00043A1E">
        <w:rPr>
          <w:rStyle w:val="aff0"/>
          <w:rFonts w:ascii="Times Ext Roman" w:cs="Times Ext Roman"/>
        </w:rPr>
        <w:t>無間因，</w:t>
      </w:r>
      <w:r>
        <w:rPr>
          <w:rStyle w:val="aff0"/>
          <w:rFonts w:ascii="Times New Roman" w:hAnsi="Times New Roman" w:hint="eastAsia"/>
          <w:vertAlign w:val="superscript"/>
        </w:rPr>
        <w:t>（</w:t>
      </w:r>
      <w:r w:rsidRPr="00761EF3">
        <w:rPr>
          <w:rStyle w:val="aff0"/>
          <w:rFonts w:ascii="Times New Roman" w:hAnsi="Times New Roman"/>
          <w:vertAlign w:val="superscript"/>
        </w:rPr>
        <w:t>3</w:t>
      </w:r>
      <w:r>
        <w:rPr>
          <w:rStyle w:val="aff0"/>
          <w:rFonts w:ascii="Times New Roman" w:hAnsi="Times New Roman" w:hint="eastAsia"/>
          <w:vertAlign w:val="superscript"/>
        </w:rPr>
        <w:t>）</w:t>
      </w:r>
      <w:r w:rsidRPr="00043A1E">
        <w:rPr>
          <w:rStyle w:val="aff0"/>
          <w:rFonts w:ascii="Times Ext Roman" w:cs="Times Ext Roman"/>
        </w:rPr>
        <w:t>境界因，</w:t>
      </w:r>
      <w:r>
        <w:rPr>
          <w:rStyle w:val="aff0"/>
          <w:rFonts w:ascii="Times New Roman" w:hAnsi="Times New Roman" w:hint="eastAsia"/>
          <w:vertAlign w:val="superscript"/>
        </w:rPr>
        <w:t>（</w:t>
      </w:r>
      <w:r w:rsidRPr="00761EF3">
        <w:rPr>
          <w:rStyle w:val="aff0"/>
          <w:rFonts w:ascii="Times New Roman" w:hAnsi="Times New Roman"/>
          <w:vertAlign w:val="superscript"/>
        </w:rPr>
        <w:t>4</w:t>
      </w:r>
      <w:r>
        <w:rPr>
          <w:rStyle w:val="aff0"/>
          <w:rFonts w:ascii="Times New Roman" w:hAnsi="Times New Roman" w:hint="eastAsia"/>
          <w:vertAlign w:val="superscript"/>
        </w:rPr>
        <w:t>）</w:t>
      </w:r>
      <w:r w:rsidRPr="00043A1E">
        <w:rPr>
          <w:rStyle w:val="aff0"/>
          <w:rFonts w:ascii="Times Ext Roman" w:cs="Times Ext Roman"/>
        </w:rPr>
        <w:t>依因，</w:t>
      </w:r>
      <w:r>
        <w:rPr>
          <w:rStyle w:val="aff0"/>
          <w:rFonts w:ascii="Times New Roman" w:hAnsi="Times New Roman" w:hint="eastAsia"/>
          <w:vertAlign w:val="superscript"/>
        </w:rPr>
        <w:t>（</w:t>
      </w:r>
      <w:r w:rsidRPr="00761EF3">
        <w:rPr>
          <w:rStyle w:val="aff0"/>
          <w:rFonts w:ascii="Times New Roman" w:hAnsi="Times New Roman"/>
          <w:vertAlign w:val="superscript"/>
        </w:rPr>
        <w:t>5</w:t>
      </w:r>
      <w:r>
        <w:rPr>
          <w:rStyle w:val="aff0"/>
          <w:rFonts w:ascii="Times New Roman" w:hAnsi="Times New Roman" w:hint="eastAsia"/>
          <w:vertAlign w:val="superscript"/>
        </w:rPr>
        <w:t>）</w:t>
      </w:r>
      <w:r w:rsidRPr="00043A1E">
        <w:rPr>
          <w:rStyle w:val="aff0"/>
          <w:rFonts w:ascii="Times Ext Roman" w:cs="Times Ext Roman"/>
        </w:rPr>
        <w:t>業因，</w:t>
      </w:r>
      <w:r>
        <w:rPr>
          <w:rStyle w:val="aff0"/>
          <w:rFonts w:ascii="Times New Roman" w:hAnsi="Times New Roman" w:hint="eastAsia"/>
          <w:vertAlign w:val="superscript"/>
        </w:rPr>
        <w:t>（</w:t>
      </w:r>
      <w:r w:rsidRPr="00761EF3">
        <w:rPr>
          <w:rStyle w:val="aff0"/>
          <w:rFonts w:ascii="Times New Roman" w:hAnsi="Times New Roman"/>
          <w:vertAlign w:val="superscript"/>
        </w:rPr>
        <w:t>6</w:t>
      </w:r>
      <w:r>
        <w:rPr>
          <w:rStyle w:val="aff0"/>
          <w:rFonts w:ascii="Times New Roman" w:hAnsi="Times New Roman" w:hint="eastAsia"/>
          <w:vertAlign w:val="superscript"/>
        </w:rPr>
        <w:t>）</w:t>
      </w:r>
      <w:r w:rsidRPr="00043A1E">
        <w:rPr>
          <w:rStyle w:val="aff0"/>
          <w:rFonts w:ascii="Times Ext Roman" w:cs="Times Ext Roman"/>
        </w:rPr>
        <w:t>報因，</w:t>
      </w:r>
      <w:r>
        <w:rPr>
          <w:rStyle w:val="aff0"/>
          <w:rFonts w:ascii="Times New Roman" w:hAnsi="Times New Roman" w:hint="eastAsia"/>
          <w:vertAlign w:val="superscript"/>
        </w:rPr>
        <w:t>（</w:t>
      </w:r>
      <w:r w:rsidRPr="00761EF3">
        <w:rPr>
          <w:rStyle w:val="aff0"/>
          <w:rFonts w:ascii="Times New Roman" w:hAnsi="Times New Roman"/>
          <w:vertAlign w:val="superscript"/>
        </w:rPr>
        <w:t>7</w:t>
      </w:r>
      <w:r>
        <w:rPr>
          <w:rStyle w:val="aff0"/>
          <w:rFonts w:ascii="Times New Roman" w:hAnsi="Times New Roman" w:hint="eastAsia"/>
          <w:vertAlign w:val="superscript"/>
        </w:rPr>
        <w:t>）</w:t>
      </w:r>
      <w:r w:rsidRPr="00043A1E">
        <w:rPr>
          <w:rStyle w:val="aff0"/>
          <w:rFonts w:ascii="Times Ext Roman" w:cs="Times Ext Roman"/>
        </w:rPr>
        <w:t>起因，</w:t>
      </w:r>
      <w:r>
        <w:rPr>
          <w:rStyle w:val="aff0"/>
          <w:rFonts w:ascii="Times New Roman" w:hAnsi="Times New Roman" w:hint="eastAsia"/>
          <w:vertAlign w:val="superscript"/>
        </w:rPr>
        <w:t>（</w:t>
      </w:r>
      <w:r w:rsidRPr="00761EF3">
        <w:rPr>
          <w:rStyle w:val="aff0"/>
          <w:rFonts w:ascii="Times New Roman" w:hAnsi="Times New Roman"/>
          <w:vertAlign w:val="superscript"/>
        </w:rPr>
        <w:t>8</w:t>
      </w:r>
      <w:r>
        <w:rPr>
          <w:rStyle w:val="aff0"/>
          <w:rFonts w:ascii="Times New Roman" w:hAnsi="Times New Roman" w:hint="eastAsia"/>
          <w:vertAlign w:val="superscript"/>
        </w:rPr>
        <w:t>）</w:t>
      </w:r>
      <w:r w:rsidRPr="00043A1E">
        <w:rPr>
          <w:rStyle w:val="aff0"/>
          <w:rFonts w:ascii="Times Ext Roman" w:cs="Times Ext Roman"/>
        </w:rPr>
        <w:t>異因，</w:t>
      </w:r>
      <w:r>
        <w:rPr>
          <w:rFonts w:hint="eastAsia"/>
          <w:szCs w:val="22"/>
          <w:vertAlign w:val="superscript"/>
        </w:rPr>
        <w:t>（</w:t>
      </w:r>
      <w:r w:rsidRPr="00761EF3">
        <w:rPr>
          <w:rFonts w:hint="eastAsia"/>
          <w:szCs w:val="22"/>
          <w:vertAlign w:val="superscript"/>
        </w:rPr>
        <w:t>9</w:t>
      </w:r>
      <w:r>
        <w:rPr>
          <w:rFonts w:hint="eastAsia"/>
          <w:szCs w:val="22"/>
          <w:vertAlign w:val="superscript"/>
        </w:rPr>
        <w:t>）</w:t>
      </w:r>
      <w:r w:rsidRPr="00043A1E">
        <w:rPr>
          <w:rStyle w:val="aff0"/>
          <w:rFonts w:ascii="Times Ext Roman" w:cs="Times Ext Roman"/>
        </w:rPr>
        <w:t>相續因，</w:t>
      </w:r>
      <w:r>
        <w:rPr>
          <w:szCs w:val="22"/>
          <w:vertAlign w:val="superscript"/>
        </w:rPr>
        <w:t>（</w:t>
      </w:r>
      <w:r w:rsidRPr="00761EF3">
        <w:rPr>
          <w:rFonts w:hint="eastAsia"/>
          <w:szCs w:val="22"/>
          <w:vertAlign w:val="superscript"/>
        </w:rPr>
        <w:t>10</w:t>
      </w:r>
      <w:r>
        <w:rPr>
          <w:rFonts w:hint="eastAsia"/>
          <w:szCs w:val="22"/>
          <w:vertAlign w:val="superscript"/>
        </w:rPr>
        <w:t>）</w:t>
      </w:r>
      <w:r w:rsidRPr="00043A1E">
        <w:rPr>
          <w:rStyle w:val="aff0"/>
          <w:rFonts w:ascii="Times Ext Roman" w:cs="Times Ext Roman"/>
        </w:rPr>
        <w:t>增上因。</w:t>
      </w:r>
    </w:p>
    <w:p w:rsidR="00157EF6" w:rsidRPr="00043A1E" w:rsidRDefault="00157EF6" w:rsidP="00AA120F">
      <w:pPr>
        <w:pStyle w:val="a5"/>
        <w:ind w:leftChars="105" w:left="791" w:hangingChars="245" w:hanging="539"/>
        <w:jc w:val="both"/>
        <w:rPr>
          <w:rFonts w:ascii="Times Ext Roman" w:hAnsi="新細明體" w:cs="Times Ext Roman"/>
          <w:szCs w:val="22"/>
        </w:rPr>
      </w:pPr>
      <w:r w:rsidRPr="00043A1E">
        <w:rPr>
          <w:rStyle w:val="aff0"/>
          <w:rFonts w:ascii="Times Ext Roman" w:cs="Times Ext Roman" w:hint="eastAsia"/>
        </w:rPr>
        <w:t>（</w:t>
      </w:r>
      <w:r w:rsidRPr="00761EF3">
        <w:rPr>
          <w:rStyle w:val="aff0"/>
          <w:rFonts w:ascii="Times New Roman" w:hAnsi="Times New Roman" w:hint="eastAsia"/>
        </w:rPr>
        <w:t>2</w:t>
      </w:r>
      <w:r w:rsidRPr="00043A1E">
        <w:rPr>
          <w:rStyle w:val="aff0"/>
          <w:rFonts w:ascii="Times Ext Roman" w:cs="Times Ext Roman" w:hint="eastAsia"/>
        </w:rPr>
        <w:t>）</w:t>
      </w:r>
      <w:r w:rsidRPr="00043A1E">
        <w:rPr>
          <w:rStyle w:val="aff0"/>
          <w:rFonts w:ascii="Times Ext Roman" w:cs="Times Ext Roman"/>
        </w:rPr>
        <w:t>參見</w:t>
      </w:r>
      <w:r w:rsidRPr="00043A1E">
        <w:rPr>
          <w:rFonts w:ascii="Times Ext Roman" w:hAnsi="新細明體" w:cs="Times Ext Roman"/>
          <w:szCs w:val="22"/>
        </w:rPr>
        <w:t>《舍利弗阿毘曇論》卷</w:t>
      </w:r>
      <w:r w:rsidRPr="00761EF3">
        <w:rPr>
          <w:szCs w:val="22"/>
        </w:rPr>
        <w:t>25</w:t>
      </w:r>
      <w:r w:rsidRPr="00043A1E">
        <w:rPr>
          <w:rFonts w:ascii="Times Ext Roman" w:hAnsi="新細明體" w:cs="Times Ext Roman"/>
          <w:szCs w:val="22"/>
        </w:rPr>
        <w:t>〈緒分遍品〉（大正</w:t>
      </w:r>
      <w:r w:rsidRPr="00761EF3">
        <w:rPr>
          <w:szCs w:val="22"/>
        </w:rPr>
        <w:t>28</w:t>
      </w:r>
      <w:r w:rsidRPr="00043A1E">
        <w:rPr>
          <w:rFonts w:ascii="Times Ext Roman" w:hAnsi="新細明體" w:cs="Times Ext Roman"/>
          <w:szCs w:val="22"/>
        </w:rPr>
        <w:t>，</w:t>
      </w:r>
      <w:r w:rsidRPr="00761EF3">
        <w:rPr>
          <w:szCs w:val="22"/>
        </w:rPr>
        <w:t>680b8</w:t>
      </w:r>
      <w:r w:rsidRPr="00043A1E">
        <w:rPr>
          <w:szCs w:val="22"/>
        </w:rPr>
        <w:t>-</w:t>
      </w:r>
      <w:r w:rsidRPr="00761EF3">
        <w:rPr>
          <w:szCs w:val="22"/>
        </w:rPr>
        <w:t>14</w:t>
      </w:r>
      <w:r w:rsidRPr="00043A1E">
        <w:rPr>
          <w:rFonts w:ascii="Times Ext Roman" w:hAnsi="新細明體" w:cs="Times Ext Roman"/>
          <w:szCs w:val="22"/>
        </w:rPr>
        <w:t>）：</w:t>
      </w:r>
    </w:p>
    <w:p w:rsidR="00157EF6" w:rsidRPr="00043A1E" w:rsidRDefault="00783B6C" w:rsidP="00AA120F">
      <w:pPr>
        <w:pStyle w:val="a5"/>
        <w:ind w:leftChars="335" w:left="804"/>
        <w:jc w:val="both"/>
        <w:rPr>
          <w:rFonts w:ascii="Times Ext Roman" w:hAnsi="Times Ext Roman" w:cs="Times Ext Roman"/>
          <w:szCs w:val="22"/>
        </w:rPr>
      </w:pPr>
      <w:r>
        <w:rPr>
          <w:rFonts w:ascii="標楷體" w:eastAsia="標楷體" w:hAnsi="標楷體" w:hint="eastAsia"/>
          <w:bCs/>
          <w:color w:val="FF0000"/>
          <w:kern w:val="0"/>
          <w:highlight w:val="yellow"/>
        </w:rPr>
        <w:t>「</w:t>
      </w:r>
      <w:r w:rsidRPr="00043A1E">
        <w:rPr>
          <w:rStyle w:val="aff0"/>
          <w:rFonts w:ascii="Times Ext Roman" w:eastAsia="標楷體" w:cs="Times Ext Roman"/>
        </w:rPr>
        <w:t>因</w:t>
      </w:r>
      <w:r>
        <w:rPr>
          <w:rFonts w:ascii="標楷體" w:eastAsia="標楷體" w:hAnsi="標楷體" w:hint="eastAsia"/>
          <w:bCs/>
          <w:color w:val="FF0000"/>
          <w:kern w:val="0"/>
          <w:highlight w:val="yellow"/>
        </w:rPr>
        <w:t>」</w:t>
      </w:r>
      <w:r w:rsidR="00157EF6" w:rsidRPr="00043A1E">
        <w:rPr>
          <w:rFonts w:eastAsia="標楷體" w:hAnsi="標楷體"/>
          <w:szCs w:val="22"/>
        </w:rPr>
        <w:t>有幾緣？四。何等四？共</w:t>
      </w:r>
      <w:r w:rsidR="00B87DD2" w:rsidRPr="00B87DD2">
        <w:rPr>
          <w:rFonts w:eastAsia="標楷體" w:hAnsi="標楷體" w:hint="eastAsia"/>
          <w:color w:val="FF0000"/>
          <w:szCs w:val="22"/>
          <w:highlight w:val="yellow"/>
        </w:rPr>
        <w:t>、</w:t>
      </w:r>
      <w:r w:rsidR="00157EF6" w:rsidRPr="00043A1E">
        <w:rPr>
          <w:rFonts w:eastAsia="標楷體" w:hAnsi="標楷體"/>
          <w:szCs w:val="22"/>
        </w:rPr>
        <w:t>起</w:t>
      </w:r>
      <w:r w:rsidR="00B87DD2" w:rsidRPr="00B87DD2">
        <w:rPr>
          <w:rFonts w:eastAsia="標楷體" w:hAnsi="標楷體" w:hint="eastAsia"/>
          <w:color w:val="FF0000"/>
          <w:szCs w:val="22"/>
          <w:highlight w:val="yellow"/>
        </w:rPr>
        <w:t>、</w:t>
      </w:r>
      <w:r w:rsidR="00157EF6" w:rsidRPr="00043A1E">
        <w:rPr>
          <w:rFonts w:eastAsia="標楷體" w:hAnsi="標楷體"/>
          <w:szCs w:val="22"/>
        </w:rPr>
        <w:t>增</w:t>
      </w:r>
      <w:r w:rsidR="00B87DD2" w:rsidRPr="00B87DD2">
        <w:rPr>
          <w:rFonts w:eastAsia="標楷體" w:hAnsi="標楷體" w:hint="eastAsia"/>
          <w:color w:val="FF0000"/>
          <w:szCs w:val="22"/>
          <w:highlight w:val="yellow"/>
        </w:rPr>
        <w:t>、</w:t>
      </w:r>
      <w:r w:rsidR="00157EF6" w:rsidRPr="00043A1E">
        <w:rPr>
          <w:rFonts w:eastAsia="標楷體" w:hAnsi="標楷體"/>
          <w:szCs w:val="22"/>
        </w:rPr>
        <w:t>長報，是名</w:t>
      </w:r>
      <w:r w:rsidR="008B1EC5">
        <w:rPr>
          <w:rFonts w:ascii="標楷體" w:eastAsia="標楷體" w:hAnsi="標楷體" w:hint="eastAsia"/>
          <w:bCs/>
          <w:color w:val="FF0000"/>
          <w:kern w:val="0"/>
          <w:highlight w:val="yellow"/>
        </w:rPr>
        <w:t>「</w:t>
      </w:r>
      <w:r>
        <w:rPr>
          <w:rFonts w:ascii="標楷體" w:eastAsia="標楷體" w:hAnsi="標楷體" w:hint="eastAsia"/>
          <w:bCs/>
          <w:color w:val="FF0000"/>
          <w:kern w:val="0"/>
          <w:highlight w:val="yellow"/>
        </w:rPr>
        <w:t>『</w:t>
      </w:r>
      <w:r w:rsidR="00157EF6" w:rsidRPr="00043A1E">
        <w:rPr>
          <w:rFonts w:eastAsia="標楷體" w:hAnsi="標楷體"/>
          <w:szCs w:val="22"/>
        </w:rPr>
        <w:t>因</w:t>
      </w:r>
      <w:r w:rsidRPr="00783B6C">
        <w:rPr>
          <w:rFonts w:eastAsia="標楷體" w:hAnsi="標楷體" w:hint="eastAsia"/>
          <w:color w:val="FF0000"/>
          <w:szCs w:val="22"/>
          <w:highlight w:val="yellow"/>
        </w:rPr>
        <w:t>』</w:t>
      </w:r>
      <w:r w:rsidR="00157EF6" w:rsidRPr="00043A1E">
        <w:rPr>
          <w:rFonts w:eastAsia="標楷體" w:hAnsi="標楷體"/>
          <w:szCs w:val="22"/>
        </w:rPr>
        <w:t>有四緣</w:t>
      </w:r>
      <w:r w:rsidR="008B1EC5">
        <w:rPr>
          <w:rFonts w:ascii="標楷體" w:eastAsia="標楷體" w:hAnsi="標楷體" w:hint="eastAsia"/>
          <w:bCs/>
          <w:color w:val="FF0000"/>
          <w:kern w:val="0"/>
          <w:highlight w:val="yellow"/>
        </w:rPr>
        <w:t>」</w:t>
      </w:r>
      <w:r w:rsidR="00B87DD2">
        <w:rPr>
          <w:rFonts w:eastAsia="標楷體" w:hAnsi="標楷體" w:hint="eastAsia"/>
          <w:color w:val="FF0000"/>
          <w:szCs w:val="22"/>
          <w:highlight w:val="yellow"/>
        </w:rPr>
        <w:t>。</w:t>
      </w:r>
      <w:r w:rsidR="00157EF6" w:rsidRPr="00043A1E">
        <w:rPr>
          <w:rFonts w:eastAsia="標楷體" w:hAnsi="標楷體"/>
          <w:szCs w:val="22"/>
        </w:rPr>
        <w:t>謂</w:t>
      </w:r>
      <w:r w:rsidR="00254F5D" w:rsidRPr="00254F5D">
        <w:rPr>
          <w:rFonts w:hint="eastAsia"/>
          <w:color w:val="FF0000"/>
          <w:szCs w:val="22"/>
          <w:shd w:val="pct15" w:color="auto" w:fill="FFFFFF"/>
          <w:vertAlign w:val="superscript"/>
        </w:rPr>
        <w:t>（</w:t>
      </w:r>
      <w:r w:rsidR="00254F5D" w:rsidRPr="00254F5D">
        <w:rPr>
          <w:color w:val="FF0000"/>
          <w:szCs w:val="22"/>
          <w:shd w:val="pct15" w:color="auto" w:fill="FFFFFF"/>
          <w:vertAlign w:val="superscript"/>
        </w:rPr>
        <w:t>1</w:t>
      </w:r>
      <w:r w:rsidR="00254F5D" w:rsidRPr="00254F5D">
        <w:rPr>
          <w:rFonts w:hint="eastAsia"/>
          <w:color w:val="FF0000"/>
          <w:szCs w:val="22"/>
          <w:shd w:val="pct15" w:color="auto" w:fill="FFFFFF"/>
          <w:vertAlign w:val="superscript"/>
        </w:rPr>
        <w:t>）</w:t>
      </w:r>
      <w:r w:rsidR="00157EF6" w:rsidRPr="00043A1E">
        <w:rPr>
          <w:rFonts w:eastAsia="標楷體" w:hAnsi="標楷體"/>
          <w:szCs w:val="22"/>
        </w:rPr>
        <w:t>因</w:t>
      </w:r>
      <w:r w:rsidR="00254F5D" w:rsidRPr="00254F5D">
        <w:rPr>
          <w:rFonts w:eastAsia="標楷體" w:hAnsi="標楷體" w:hint="eastAsia"/>
          <w:color w:val="FF0000"/>
          <w:szCs w:val="22"/>
          <w:highlight w:val="yellow"/>
        </w:rPr>
        <w:t>，</w:t>
      </w:r>
      <w:r w:rsidR="00157EF6" w:rsidRPr="00043A1E">
        <w:rPr>
          <w:rFonts w:eastAsia="標楷體" w:hAnsi="標楷體"/>
          <w:szCs w:val="22"/>
        </w:rPr>
        <w:t>生義，如母子。</w:t>
      </w:r>
      <w:r w:rsidR="00157EF6" w:rsidRPr="00416BE2">
        <w:rPr>
          <w:rFonts w:hint="eastAsia"/>
          <w:szCs w:val="22"/>
          <w:shd w:val="pct15" w:color="auto" w:fill="FFFFFF"/>
          <w:vertAlign w:val="superscript"/>
        </w:rPr>
        <w:t>（</w:t>
      </w:r>
      <w:r w:rsidR="00157EF6" w:rsidRPr="00416BE2">
        <w:rPr>
          <w:rFonts w:hint="eastAsia"/>
          <w:szCs w:val="22"/>
          <w:shd w:val="pct15" w:color="auto" w:fill="FFFFFF"/>
          <w:vertAlign w:val="superscript"/>
        </w:rPr>
        <w:t>2</w:t>
      </w:r>
      <w:r w:rsidR="00157EF6" w:rsidRPr="00416BE2">
        <w:rPr>
          <w:rFonts w:hint="eastAsia"/>
          <w:szCs w:val="22"/>
          <w:shd w:val="pct15" w:color="auto" w:fill="FFFFFF"/>
          <w:vertAlign w:val="superscript"/>
        </w:rPr>
        <w:t>）</w:t>
      </w:r>
      <w:r w:rsidR="00157EF6" w:rsidRPr="00043A1E">
        <w:rPr>
          <w:rFonts w:eastAsia="標楷體" w:hAnsi="標楷體"/>
          <w:b/>
          <w:szCs w:val="22"/>
        </w:rPr>
        <w:t>無間</w:t>
      </w:r>
      <w:r w:rsidR="00254F5D" w:rsidRPr="00254F5D">
        <w:rPr>
          <w:rFonts w:eastAsia="標楷體" w:hAnsi="標楷體" w:hint="eastAsia"/>
          <w:color w:val="FF0000"/>
          <w:szCs w:val="22"/>
          <w:highlight w:val="yellow"/>
        </w:rPr>
        <w:t>，</w:t>
      </w:r>
      <w:r w:rsidR="00157EF6" w:rsidRPr="00043A1E">
        <w:rPr>
          <w:rFonts w:eastAsia="標楷體" w:hAnsi="標楷體"/>
          <w:szCs w:val="22"/>
        </w:rPr>
        <w:t>謂補處義，如代坐。</w:t>
      </w:r>
      <w:r w:rsidR="00157EF6" w:rsidRPr="00416BE2">
        <w:rPr>
          <w:rFonts w:hint="eastAsia"/>
          <w:szCs w:val="22"/>
          <w:shd w:val="pct15" w:color="auto" w:fill="FFFFFF"/>
          <w:vertAlign w:val="superscript"/>
        </w:rPr>
        <w:t>（</w:t>
      </w:r>
      <w:r w:rsidR="00157EF6" w:rsidRPr="00416BE2">
        <w:rPr>
          <w:rFonts w:hint="eastAsia"/>
          <w:szCs w:val="22"/>
          <w:shd w:val="pct15" w:color="auto" w:fill="FFFFFF"/>
          <w:vertAlign w:val="superscript"/>
        </w:rPr>
        <w:t>3</w:t>
      </w:r>
      <w:r w:rsidR="00157EF6" w:rsidRPr="00416BE2">
        <w:rPr>
          <w:rFonts w:hint="eastAsia"/>
          <w:szCs w:val="22"/>
          <w:shd w:val="pct15" w:color="auto" w:fill="FFFFFF"/>
          <w:vertAlign w:val="superscript"/>
        </w:rPr>
        <w:t>）</w:t>
      </w:r>
      <w:r w:rsidR="00157EF6" w:rsidRPr="00043A1E">
        <w:rPr>
          <w:rFonts w:eastAsia="標楷體" w:hAnsi="標楷體"/>
          <w:b/>
          <w:szCs w:val="22"/>
        </w:rPr>
        <w:t>境界</w:t>
      </w:r>
      <w:r w:rsidR="00B87DD2">
        <w:rPr>
          <w:rFonts w:eastAsia="標楷體" w:hAnsi="標楷體" w:hint="eastAsia"/>
          <w:color w:val="FF0000"/>
          <w:szCs w:val="22"/>
          <w:highlight w:val="yellow"/>
        </w:rPr>
        <w:t>，</w:t>
      </w:r>
      <w:r w:rsidR="00157EF6" w:rsidRPr="00043A1E">
        <w:rPr>
          <w:rFonts w:eastAsia="標楷體" w:hAnsi="標楷體"/>
          <w:szCs w:val="22"/>
        </w:rPr>
        <w:t>謂的義，如箭射的。</w:t>
      </w:r>
      <w:r w:rsidR="00157EF6" w:rsidRPr="00416BE2">
        <w:rPr>
          <w:rFonts w:hint="eastAsia"/>
          <w:szCs w:val="22"/>
          <w:shd w:val="pct15" w:color="auto" w:fill="FFFFFF"/>
          <w:vertAlign w:val="superscript"/>
        </w:rPr>
        <w:t>（</w:t>
      </w:r>
      <w:r w:rsidR="00157EF6" w:rsidRPr="00416BE2">
        <w:rPr>
          <w:rFonts w:hint="eastAsia"/>
          <w:szCs w:val="22"/>
          <w:shd w:val="pct15" w:color="auto" w:fill="FFFFFF"/>
          <w:vertAlign w:val="superscript"/>
        </w:rPr>
        <w:t>4</w:t>
      </w:r>
      <w:r w:rsidR="00157EF6" w:rsidRPr="00416BE2">
        <w:rPr>
          <w:rFonts w:hint="eastAsia"/>
          <w:szCs w:val="22"/>
          <w:shd w:val="pct15" w:color="auto" w:fill="FFFFFF"/>
          <w:vertAlign w:val="superscript"/>
        </w:rPr>
        <w:t>）</w:t>
      </w:r>
      <w:r w:rsidR="00157EF6" w:rsidRPr="00043A1E">
        <w:rPr>
          <w:rFonts w:eastAsia="標楷體" w:hAnsi="標楷體"/>
          <w:b/>
          <w:szCs w:val="22"/>
        </w:rPr>
        <w:t>依</w:t>
      </w:r>
      <w:r w:rsidR="00B87DD2">
        <w:rPr>
          <w:rFonts w:eastAsia="標楷體" w:hAnsi="標楷體" w:hint="eastAsia"/>
          <w:color w:val="FF0000"/>
          <w:szCs w:val="22"/>
          <w:highlight w:val="yellow"/>
        </w:rPr>
        <w:t>，</w:t>
      </w:r>
      <w:r w:rsidR="00157EF6" w:rsidRPr="00043A1E">
        <w:rPr>
          <w:rFonts w:eastAsia="標楷體" w:hAnsi="標楷體"/>
          <w:szCs w:val="22"/>
        </w:rPr>
        <w:t>謂物義，如舍宅。</w:t>
      </w:r>
      <w:r w:rsidR="00157EF6" w:rsidRPr="00416BE2">
        <w:rPr>
          <w:rFonts w:hint="eastAsia"/>
          <w:szCs w:val="22"/>
          <w:shd w:val="pct15" w:color="auto" w:fill="FFFFFF"/>
          <w:vertAlign w:val="superscript"/>
        </w:rPr>
        <w:t>（</w:t>
      </w:r>
      <w:r w:rsidR="00157EF6" w:rsidRPr="00416BE2">
        <w:rPr>
          <w:rFonts w:hint="eastAsia"/>
          <w:szCs w:val="22"/>
          <w:shd w:val="pct15" w:color="auto" w:fill="FFFFFF"/>
          <w:vertAlign w:val="superscript"/>
        </w:rPr>
        <w:t>5</w:t>
      </w:r>
      <w:r w:rsidR="00157EF6" w:rsidRPr="00416BE2">
        <w:rPr>
          <w:rFonts w:hint="eastAsia"/>
          <w:szCs w:val="22"/>
          <w:shd w:val="pct15" w:color="auto" w:fill="FFFFFF"/>
          <w:vertAlign w:val="superscript"/>
        </w:rPr>
        <w:t>）</w:t>
      </w:r>
      <w:r w:rsidR="00157EF6" w:rsidRPr="00043A1E">
        <w:rPr>
          <w:rFonts w:eastAsia="標楷體" w:hAnsi="標楷體"/>
          <w:b/>
          <w:szCs w:val="22"/>
        </w:rPr>
        <w:t>業</w:t>
      </w:r>
      <w:r w:rsidR="00254F5D" w:rsidRPr="00254F5D">
        <w:rPr>
          <w:rFonts w:eastAsia="標楷體" w:hAnsi="標楷體" w:hint="eastAsia"/>
          <w:color w:val="FF0000"/>
          <w:szCs w:val="22"/>
          <w:highlight w:val="yellow"/>
        </w:rPr>
        <w:t>，</w:t>
      </w:r>
      <w:r w:rsidR="00157EF6" w:rsidRPr="00043A1E">
        <w:rPr>
          <w:rFonts w:eastAsia="標楷體" w:hAnsi="標楷體"/>
          <w:szCs w:val="22"/>
        </w:rPr>
        <w:t>謂作義，如使作。</w:t>
      </w:r>
      <w:r w:rsidR="00157EF6" w:rsidRPr="00416BE2">
        <w:rPr>
          <w:rFonts w:hint="eastAsia"/>
          <w:szCs w:val="22"/>
          <w:shd w:val="pct15" w:color="auto" w:fill="FFFFFF"/>
          <w:vertAlign w:val="superscript"/>
        </w:rPr>
        <w:t>（</w:t>
      </w:r>
      <w:r w:rsidR="00157EF6" w:rsidRPr="00416BE2">
        <w:rPr>
          <w:rFonts w:hint="eastAsia"/>
          <w:szCs w:val="22"/>
          <w:shd w:val="pct15" w:color="auto" w:fill="FFFFFF"/>
          <w:vertAlign w:val="superscript"/>
        </w:rPr>
        <w:t>6</w:t>
      </w:r>
      <w:r w:rsidR="00157EF6" w:rsidRPr="00416BE2">
        <w:rPr>
          <w:rFonts w:hint="eastAsia"/>
          <w:szCs w:val="22"/>
          <w:shd w:val="pct15" w:color="auto" w:fill="FFFFFF"/>
          <w:vertAlign w:val="superscript"/>
        </w:rPr>
        <w:t>）</w:t>
      </w:r>
      <w:r w:rsidR="00157EF6" w:rsidRPr="00043A1E">
        <w:rPr>
          <w:rFonts w:eastAsia="標楷體" w:hAnsi="標楷體"/>
          <w:b/>
          <w:szCs w:val="22"/>
        </w:rPr>
        <w:t>報</w:t>
      </w:r>
      <w:r w:rsidR="00B87DD2">
        <w:rPr>
          <w:rFonts w:eastAsia="標楷體" w:hAnsi="標楷體" w:hint="eastAsia"/>
          <w:color w:val="FF0000"/>
          <w:szCs w:val="22"/>
          <w:highlight w:val="yellow"/>
        </w:rPr>
        <w:t>，</w:t>
      </w:r>
      <w:r w:rsidR="00157EF6" w:rsidRPr="00043A1E">
        <w:rPr>
          <w:rFonts w:eastAsia="標楷體" w:hAnsi="標楷體"/>
          <w:szCs w:val="22"/>
        </w:rPr>
        <w:t>謂津漏義，如樹生果。</w:t>
      </w:r>
      <w:r w:rsidR="00157EF6" w:rsidRPr="00416BE2">
        <w:rPr>
          <w:rFonts w:hint="eastAsia"/>
          <w:szCs w:val="22"/>
          <w:shd w:val="pct15" w:color="auto" w:fill="FFFFFF"/>
          <w:vertAlign w:val="superscript"/>
        </w:rPr>
        <w:t>（</w:t>
      </w:r>
      <w:r w:rsidR="00157EF6" w:rsidRPr="00416BE2">
        <w:rPr>
          <w:rFonts w:hint="eastAsia"/>
          <w:szCs w:val="22"/>
          <w:shd w:val="pct15" w:color="auto" w:fill="FFFFFF"/>
          <w:vertAlign w:val="superscript"/>
        </w:rPr>
        <w:t>7</w:t>
      </w:r>
      <w:r w:rsidR="00157EF6" w:rsidRPr="00416BE2">
        <w:rPr>
          <w:rFonts w:hint="eastAsia"/>
          <w:szCs w:val="22"/>
          <w:shd w:val="pct15" w:color="auto" w:fill="FFFFFF"/>
          <w:vertAlign w:val="superscript"/>
        </w:rPr>
        <w:t>）</w:t>
      </w:r>
      <w:r w:rsidR="00157EF6" w:rsidRPr="00043A1E">
        <w:rPr>
          <w:rFonts w:eastAsia="標楷體" w:hAnsi="標楷體"/>
          <w:b/>
          <w:szCs w:val="22"/>
        </w:rPr>
        <w:t>起</w:t>
      </w:r>
      <w:r w:rsidR="00B87DD2">
        <w:rPr>
          <w:rFonts w:eastAsia="標楷體" w:hAnsi="標楷體" w:hint="eastAsia"/>
          <w:color w:val="FF0000"/>
          <w:szCs w:val="22"/>
          <w:highlight w:val="yellow"/>
        </w:rPr>
        <w:t>，</w:t>
      </w:r>
      <w:r w:rsidR="00157EF6" w:rsidRPr="00043A1E">
        <w:rPr>
          <w:rFonts w:eastAsia="標楷體" w:hAnsi="標楷體"/>
          <w:szCs w:val="22"/>
        </w:rPr>
        <w:t>謂生義，如種</w:t>
      </w:r>
      <w:r w:rsidR="008B1EC5">
        <w:rPr>
          <w:rFonts w:ascii="標楷體" w:eastAsia="標楷體" w:hAnsi="標楷體" w:hint="eastAsia"/>
          <w:color w:val="FF0000"/>
          <w:spacing w:val="-4"/>
          <w:kern w:val="0"/>
          <w:highlight w:val="yellow"/>
        </w:rPr>
        <w:t>、</w:t>
      </w:r>
      <w:r w:rsidR="00157EF6" w:rsidRPr="00043A1E">
        <w:rPr>
          <w:rFonts w:eastAsia="標楷體" w:hAnsi="標楷體"/>
          <w:szCs w:val="22"/>
        </w:rPr>
        <w:t>芽</w:t>
      </w:r>
      <w:r w:rsidR="00B87DD2">
        <w:rPr>
          <w:rFonts w:eastAsia="標楷體" w:hAnsi="標楷體" w:hint="eastAsia"/>
          <w:szCs w:val="22"/>
        </w:rPr>
        <w:t>。</w:t>
      </w:r>
      <w:r w:rsidR="00157EF6" w:rsidRPr="00416BE2">
        <w:rPr>
          <w:rFonts w:hint="eastAsia"/>
          <w:szCs w:val="22"/>
          <w:shd w:val="pct15" w:color="auto" w:fill="FFFFFF"/>
          <w:vertAlign w:val="superscript"/>
        </w:rPr>
        <w:t>（</w:t>
      </w:r>
      <w:r w:rsidR="00157EF6" w:rsidRPr="00416BE2">
        <w:rPr>
          <w:rFonts w:hint="eastAsia"/>
          <w:szCs w:val="22"/>
          <w:shd w:val="pct15" w:color="auto" w:fill="FFFFFF"/>
          <w:vertAlign w:val="superscript"/>
        </w:rPr>
        <w:t>8</w:t>
      </w:r>
      <w:r w:rsidR="00157EF6" w:rsidRPr="00416BE2">
        <w:rPr>
          <w:rFonts w:hint="eastAsia"/>
          <w:szCs w:val="22"/>
          <w:shd w:val="pct15" w:color="auto" w:fill="FFFFFF"/>
          <w:vertAlign w:val="superscript"/>
        </w:rPr>
        <w:t>）</w:t>
      </w:r>
      <w:r w:rsidR="00157EF6" w:rsidRPr="00043A1E">
        <w:rPr>
          <w:rFonts w:eastAsia="標楷體" w:hAnsi="標楷體"/>
          <w:b/>
          <w:szCs w:val="22"/>
        </w:rPr>
        <w:t>異</w:t>
      </w:r>
      <w:r w:rsidR="00254F5D" w:rsidRPr="00254F5D">
        <w:rPr>
          <w:rFonts w:eastAsia="標楷體" w:hAnsi="標楷體" w:hint="eastAsia"/>
          <w:color w:val="FF0000"/>
          <w:szCs w:val="22"/>
          <w:highlight w:val="yellow"/>
        </w:rPr>
        <w:t>，</w:t>
      </w:r>
      <w:r w:rsidR="00157EF6" w:rsidRPr="00043A1E">
        <w:rPr>
          <w:rFonts w:eastAsia="標楷體" w:hAnsi="標楷體"/>
          <w:szCs w:val="22"/>
        </w:rPr>
        <w:t>謂不相離義，如眷屬。</w:t>
      </w:r>
      <w:r w:rsidR="00157EF6" w:rsidRPr="00416BE2">
        <w:rPr>
          <w:rFonts w:hint="eastAsia"/>
          <w:szCs w:val="22"/>
          <w:shd w:val="pct15" w:color="auto" w:fill="FFFFFF"/>
          <w:vertAlign w:val="superscript"/>
        </w:rPr>
        <w:t>（</w:t>
      </w:r>
      <w:r w:rsidR="00157EF6" w:rsidRPr="00416BE2">
        <w:rPr>
          <w:rFonts w:hint="eastAsia"/>
          <w:szCs w:val="22"/>
          <w:shd w:val="pct15" w:color="auto" w:fill="FFFFFF"/>
          <w:vertAlign w:val="superscript"/>
        </w:rPr>
        <w:t>9</w:t>
      </w:r>
      <w:r w:rsidR="00157EF6" w:rsidRPr="00416BE2">
        <w:rPr>
          <w:rFonts w:hint="eastAsia"/>
          <w:szCs w:val="22"/>
          <w:shd w:val="pct15" w:color="auto" w:fill="FFFFFF"/>
          <w:vertAlign w:val="superscript"/>
        </w:rPr>
        <w:t>）</w:t>
      </w:r>
      <w:r w:rsidR="00157EF6" w:rsidRPr="00043A1E">
        <w:rPr>
          <w:rFonts w:eastAsia="標楷體" w:hAnsi="標楷體"/>
          <w:b/>
          <w:szCs w:val="22"/>
        </w:rPr>
        <w:t>相續</w:t>
      </w:r>
      <w:r w:rsidR="00B87DD2">
        <w:rPr>
          <w:rFonts w:eastAsia="標楷體" w:hAnsi="標楷體" w:hint="eastAsia"/>
          <w:color w:val="FF0000"/>
          <w:szCs w:val="22"/>
          <w:highlight w:val="yellow"/>
        </w:rPr>
        <w:t>，</w:t>
      </w:r>
      <w:r w:rsidR="00157EF6" w:rsidRPr="00043A1E">
        <w:rPr>
          <w:rFonts w:eastAsia="標楷體" w:hAnsi="標楷體"/>
          <w:szCs w:val="22"/>
        </w:rPr>
        <w:t>謂增長義，如長財。</w:t>
      </w:r>
      <w:r w:rsidR="00157EF6" w:rsidRPr="00416BE2">
        <w:rPr>
          <w:rFonts w:hint="eastAsia"/>
          <w:szCs w:val="22"/>
          <w:shd w:val="pct15" w:color="auto" w:fill="FFFFFF"/>
          <w:vertAlign w:val="superscript"/>
        </w:rPr>
        <w:t>（</w:t>
      </w:r>
      <w:r w:rsidR="00157EF6" w:rsidRPr="00416BE2">
        <w:rPr>
          <w:szCs w:val="22"/>
          <w:shd w:val="pct15" w:color="auto" w:fill="FFFFFF"/>
          <w:vertAlign w:val="superscript"/>
        </w:rPr>
        <w:t>1</w:t>
      </w:r>
      <w:r w:rsidR="00157EF6" w:rsidRPr="00416BE2">
        <w:rPr>
          <w:rFonts w:hint="eastAsia"/>
          <w:szCs w:val="22"/>
          <w:shd w:val="pct15" w:color="auto" w:fill="FFFFFF"/>
          <w:vertAlign w:val="superscript"/>
        </w:rPr>
        <w:t>0</w:t>
      </w:r>
      <w:r w:rsidR="00157EF6" w:rsidRPr="00416BE2">
        <w:rPr>
          <w:rFonts w:hint="eastAsia"/>
          <w:szCs w:val="22"/>
          <w:shd w:val="pct15" w:color="auto" w:fill="FFFFFF"/>
          <w:vertAlign w:val="superscript"/>
        </w:rPr>
        <w:t>）</w:t>
      </w:r>
      <w:r w:rsidR="00157EF6" w:rsidRPr="00043A1E">
        <w:rPr>
          <w:rFonts w:eastAsia="標楷體" w:hAnsi="標楷體"/>
          <w:b/>
          <w:szCs w:val="22"/>
        </w:rPr>
        <w:t>增上</w:t>
      </w:r>
      <w:r w:rsidR="00B87DD2">
        <w:rPr>
          <w:rFonts w:eastAsia="標楷體" w:hAnsi="標楷體" w:hint="eastAsia"/>
          <w:color w:val="FF0000"/>
          <w:szCs w:val="22"/>
          <w:highlight w:val="yellow"/>
        </w:rPr>
        <w:t>，</w:t>
      </w:r>
      <w:r w:rsidR="00157EF6" w:rsidRPr="00043A1E">
        <w:rPr>
          <w:rFonts w:eastAsia="標楷體" w:hAnsi="標楷體"/>
          <w:szCs w:val="22"/>
        </w:rPr>
        <w:t>謂自在義，如人王。</w:t>
      </w:r>
    </w:p>
    <w:p w:rsidR="00157EF6" w:rsidRPr="00043A1E" w:rsidRDefault="00157EF6" w:rsidP="00AA120F">
      <w:pPr>
        <w:pStyle w:val="a5"/>
        <w:ind w:leftChars="105" w:left="791" w:hangingChars="245" w:hanging="539"/>
        <w:jc w:val="both"/>
        <w:rPr>
          <w:rFonts w:ascii="Times Ext Roman" w:hAnsi="新細明體" w:cs="Times Ext Roman"/>
          <w:szCs w:val="22"/>
        </w:rPr>
      </w:pPr>
      <w:r w:rsidRPr="00043A1E">
        <w:rPr>
          <w:rStyle w:val="aff0"/>
          <w:rFonts w:ascii="Times Ext Roman" w:hAnsi="Times Ext Roman" w:cs="Times Ext Roman"/>
        </w:rPr>
        <w:t>（</w:t>
      </w:r>
      <w:r w:rsidRPr="00761EF3">
        <w:rPr>
          <w:rStyle w:val="aff0"/>
          <w:rFonts w:ascii="Times New Roman" w:hAnsi="Times New Roman"/>
        </w:rPr>
        <w:t>3</w:t>
      </w:r>
      <w:r w:rsidRPr="00043A1E">
        <w:rPr>
          <w:rStyle w:val="aff0"/>
          <w:rFonts w:ascii="Times Ext Roman" w:hAnsi="Times Ext Roman" w:cs="Times Ext Roman"/>
        </w:rPr>
        <w:t>）</w:t>
      </w:r>
      <w:r w:rsidRPr="00043A1E">
        <w:rPr>
          <w:rFonts w:ascii="Times Ext Roman" w:hAnsi="新細明體" w:cs="Times Ext Roman"/>
          <w:szCs w:val="22"/>
        </w:rPr>
        <w:t>印順法師，</w:t>
      </w:r>
      <w:r w:rsidRPr="00043A1E">
        <w:rPr>
          <w:rStyle w:val="aff0"/>
          <w:rFonts w:ascii="Times Ext Roman" w:cs="Times Ext Roman"/>
        </w:rPr>
        <w:t>《</w:t>
      </w:r>
      <w:r w:rsidRPr="00043A1E">
        <w:rPr>
          <w:rFonts w:ascii="Times Ext Roman" w:hAnsi="新細明體" w:cs="Times Ext Roman"/>
          <w:szCs w:val="22"/>
        </w:rPr>
        <w:t>說一切有部為主的論書與論師之研究</w:t>
      </w:r>
      <w:r w:rsidRPr="00043A1E">
        <w:rPr>
          <w:rStyle w:val="aff0"/>
          <w:rFonts w:ascii="Times Ext Roman" w:cs="Times Ext Roman"/>
        </w:rPr>
        <w:t>》</w:t>
      </w:r>
      <w:r w:rsidRPr="00043A1E">
        <w:rPr>
          <w:rFonts w:ascii="Times Ext Roman" w:hAnsi="新細明體" w:cs="Times Ext Roman"/>
          <w:szCs w:val="22"/>
        </w:rPr>
        <w:t>，</w:t>
      </w:r>
      <w:r w:rsidRPr="00761EF3">
        <w:rPr>
          <w:szCs w:val="22"/>
        </w:rPr>
        <w:t>p</w:t>
      </w:r>
      <w:r w:rsidRPr="00043A1E">
        <w:rPr>
          <w:szCs w:val="22"/>
        </w:rPr>
        <w:t>.</w:t>
      </w:r>
      <w:r w:rsidRPr="00761EF3">
        <w:rPr>
          <w:szCs w:val="22"/>
        </w:rPr>
        <w:t>85</w:t>
      </w:r>
      <w:r w:rsidRPr="00043A1E">
        <w:rPr>
          <w:rFonts w:ascii="Times Ext Roman" w:hAnsi="新細明體" w:cs="Times Ext Roman"/>
          <w:szCs w:val="22"/>
        </w:rPr>
        <w:t>：</w:t>
      </w:r>
    </w:p>
    <w:p w:rsidR="00157EF6" w:rsidRPr="00043A1E" w:rsidRDefault="00157EF6" w:rsidP="00AA120F">
      <w:pPr>
        <w:pStyle w:val="a5"/>
        <w:ind w:leftChars="335" w:left="804"/>
        <w:jc w:val="both"/>
        <w:rPr>
          <w:rFonts w:ascii="Times Ext Roman" w:eastAsia="標楷體" w:hAnsi="Times Ext Roman" w:cs="Times Ext Roman"/>
          <w:szCs w:val="22"/>
        </w:rPr>
      </w:pPr>
      <w:r w:rsidRPr="00043A1E">
        <w:rPr>
          <w:rFonts w:ascii="Times Ext Roman" w:eastAsia="標楷體" w:hAnsi="新細明體" w:cs="Times Ext Roman"/>
          <w:szCs w:val="22"/>
        </w:rPr>
        <w:t>依有關因緣的論門，作深入研究，終於成立有關因緣的論書。如</w:t>
      </w:r>
      <w:r w:rsidRPr="00043A1E">
        <w:rPr>
          <w:rFonts w:ascii="Times Ext Roman" w:eastAsia="標楷體" w:hAnsi="新細明體" w:cs="Times Ext Roman" w:hint="eastAsia"/>
          <w:szCs w:val="22"/>
        </w:rPr>
        <w:t>《</w:t>
      </w:r>
      <w:r w:rsidRPr="00043A1E">
        <w:rPr>
          <w:rFonts w:ascii="Times Ext Roman" w:eastAsia="標楷體" w:hAnsi="新細明體" w:cs="Times Ext Roman"/>
          <w:szCs w:val="22"/>
        </w:rPr>
        <w:t>舍利弗阿毘曇論</w:t>
      </w:r>
      <w:r w:rsidRPr="00043A1E">
        <w:rPr>
          <w:rFonts w:ascii="Times Ext Roman" w:eastAsia="標楷體" w:hAnsi="新細明體" w:cs="Times Ext Roman" w:hint="eastAsia"/>
          <w:szCs w:val="22"/>
        </w:rPr>
        <w:t>》</w:t>
      </w:r>
      <w:r w:rsidRPr="00043A1E">
        <w:rPr>
          <w:rFonts w:ascii="Times Ext Roman" w:eastAsia="標楷體" w:hAnsi="新細明體" w:cs="Times Ext Roman"/>
          <w:szCs w:val="22"/>
        </w:rPr>
        <w:t>的</w:t>
      </w:r>
      <w:r w:rsidRPr="00043A1E">
        <w:rPr>
          <w:rFonts w:ascii="Times Ext Roman" w:eastAsia="標楷體" w:hAnsi="新細明體" w:cs="Times Ext Roman" w:hint="eastAsia"/>
          <w:szCs w:val="22"/>
        </w:rPr>
        <w:t>〈</w:t>
      </w:r>
      <w:r w:rsidRPr="00043A1E">
        <w:rPr>
          <w:rFonts w:ascii="Times Ext Roman" w:eastAsia="標楷體" w:hAnsi="新細明體" w:cs="Times Ext Roman"/>
          <w:szCs w:val="22"/>
        </w:rPr>
        <w:t>緒分</w:t>
      </w:r>
      <w:r w:rsidRPr="00043A1E">
        <w:rPr>
          <w:rFonts w:ascii="Times Ext Roman" w:eastAsia="標楷體" w:hAnsi="新細明體" w:cs="Times Ext Roman" w:hint="eastAsia"/>
          <w:szCs w:val="22"/>
        </w:rPr>
        <w:t>〉</w:t>
      </w:r>
      <w:r w:rsidRPr="00043A1E">
        <w:rPr>
          <w:rFonts w:ascii="Times Ext Roman" w:eastAsia="標楷體" w:hAnsi="新細明體" w:cs="Times Ext Roman"/>
          <w:szCs w:val="22"/>
        </w:rPr>
        <w:t>（緒是由緒，與因、緣的意義一樣）：第一品名</w:t>
      </w:r>
      <w:r w:rsidRPr="00043A1E">
        <w:rPr>
          <w:rFonts w:ascii="Times Ext Roman" w:eastAsia="標楷體" w:hAnsi="新細明體" w:cs="Times Ext Roman" w:hint="eastAsia"/>
          <w:szCs w:val="22"/>
        </w:rPr>
        <w:t>〈</w:t>
      </w:r>
      <w:r w:rsidRPr="00043A1E">
        <w:rPr>
          <w:rFonts w:ascii="Times Ext Roman" w:eastAsia="標楷體" w:hAnsi="新細明體" w:cs="Times Ext Roman"/>
          <w:szCs w:val="22"/>
        </w:rPr>
        <w:t>遍品</w:t>
      </w:r>
      <w:r w:rsidRPr="00043A1E">
        <w:rPr>
          <w:rFonts w:ascii="Times Ext Roman" w:eastAsia="標楷體" w:hAnsi="新細明體" w:cs="Times Ext Roman" w:hint="eastAsia"/>
          <w:szCs w:val="22"/>
        </w:rPr>
        <w:t>〉</w:t>
      </w:r>
      <w:r w:rsidRPr="00043A1E">
        <w:rPr>
          <w:rFonts w:ascii="Times Ext Roman" w:eastAsia="標楷體" w:hAnsi="新細明體" w:cs="Times Ext Roman"/>
          <w:szCs w:val="22"/>
        </w:rPr>
        <w:t>，立十因、十緣。第二名</w:t>
      </w:r>
      <w:r w:rsidRPr="00043A1E">
        <w:rPr>
          <w:rFonts w:ascii="Times Ext Roman" w:eastAsia="標楷體" w:hAnsi="新細明體" w:cs="Times Ext Roman" w:hint="eastAsia"/>
          <w:szCs w:val="22"/>
        </w:rPr>
        <w:t>〈</w:t>
      </w:r>
      <w:r w:rsidRPr="00043A1E">
        <w:rPr>
          <w:rFonts w:ascii="Times Ext Roman" w:eastAsia="標楷體" w:hAnsi="新細明體" w:cs="Times Ext Roman"/>
          <w:szCs w:val="22"/>
        </w:rPr>
        <w:t>因品</w:t>
      </w:r>
      <w:r w:rsidRPr="00043A1E">
        <w:rPr>
          <w:rFonts w:ascii="Times Ext Roman" w:eastAsia="標楷體" w:hAnsi="新細明體" w:cs="Times Ext Roman" w:hint="eastAsia"/>
          <w:szCs w:val="22"/>
        </w:rPr>
        <w:t>〉</w:t>
      </w:r>
      <w:r w:rsidRPr="00043A1E">
        <w:rPr>
          <w:rFonts w:ascii="Times Ext Roman" w:eastAsia="標楷體" w:hAnsi="新細明體" w:cs="Times Ext Roman"/>
          <w:szCs w:val="22"/>
        </w:rPr>
        <w:t>，舉三十三因。</w:t>
      </w:r>
    </w:p>
    <w:p w:rsidR="00157EF6" w:rsidRPr="00043A1E" w:rsidRDefault="00157EF6" w:rsidP="00AA120F">
      <w:pPr>
        <w:pStyle w:val="a5"/>
        <w:ind w:leftChars="105" w:left="791" w:hangingChars="245" w:hanging="539"/>
        <w:jc w:val="both"/>
        <w:rPr>
          <w:rStyle w:val="aff0"/>
          <w:rFonts w:ascii="Times Ext Roman" w:cs="Times Ext Roman"/>
        </w:rPr>
      </w:pPr>
      <w:r w:rsidRPr="00043A1E">
        <w:rPr>
          <w:rStyle w:val="aff0"/>
          <w:rFonts w:ascii="Times Ext Roman" w:cs="Times Ext Roman" w:hint="eastAsia"/>
        </w:rPr>
        <w:t>（</w:t>
      </w:r>
      <w:r w:rsidRPr="00761EF3">
        <w:rPr>
          <w:rStyle w:val="aff0"/>
          <w:rFonts w:ascii="Times New Roman" w:hAnsi="Times New Roman" w:hint="eastAsia"/>
        </w:rPr>
        <w:t>4</w:t>
      </w:r>
      <w:r w:rsidRPr="00043A1E">
        <w:rPr>
          <w:rStyle w:val="aff0"/>
          <w:rFonts w:ascii="Times Ext Roman" w:cs="Times Ext Roman" w:hint="eastAsia"/>
        </w:rPr>
        <w:t>）</w:t>
      </w:r>
      <w:r w:rsidRPr="00431088">
        <w:rPr>
          <w:szCs w:val="22"/>
        </w:rPr>
        <w:t>三十三</w:t>
      </w:r>
      <w:r w:rsidRPr="00043A1E">
        <w:rPr>
          <w:rStyle w:val="aff0"/>
          <w:rFonts w:ascii="Times Ext Roman" w:cs="Times Ext Roman"/>
        </w:rPr>
        <w:t>因，參見《舍利弗阿毘曇論》卷</w:t>
      </w:r>
      <w:r w:rsidRPr="00761EF3">
        <w:rPr>
          <w:rStyle w:val="aff0"/>
          <w:rFonts w:ascii="Times New Roman" w:hAnsi="Times New Roman"/>
        </w:rPr>
        <w:t>26</w:t>
      </w:r>
      <w:r w:rsidRPr="00043A1E">
        <w:rPr>
          <w:rStyle w:val="aff0"/>
          <w:rFonts w:ascii="Times Ext Roman" w:hAnsi="Times Ext Roman" w:cs="Times Ext Roman"/>
        </w:rPr>
        <w:t>（</w:t>
      </w:r>
      <w:r w:rsidRPr="00043A1E">
        <w:rPr>
          <w:rStyle w:val="aff0"/>
          <w:rFonts w:ascii="Times Ext Roman" w:cs="Times Ext Roman"/>
        </w:rPr>
        <w:t>大正</w:t>
      </w:r>
      <w:r w:rsidRPr="00761EF3">
        <w:rPr>
          <w:rStyle w:val="aff0"/>
          <w:rFonts w:ascii="Times New Roman" w:hAnsi="Times New Roman"/>
        </w:rPr>
        <w:t>28</w:t>
      </w:r>
      <w:r w:rsidRPr="00043A1E">
        <w:rPr>
          <w:rStyle w:val="aff0"/>
          <w:rFonts w:ascii="Times Ext Roman" w:cs="Times Ext Roman"/>
        </w:rPr>
        <w:t>，</w:t>
      </w:r>
      <w:r w:rsidRPr="00761EF3">
        <w:rPr>
          <w:rStyle w:val="aff0"/>
          <w:rFonts w:ascii="Times New Roman" w:hAnsi="Times New Roman"/>
        </w:rPr>
        <w:t>687b21</w:t>
      </w:r>
      <w:r w:rsidRPr="00043A1E">
        <w:rPr>
          <w:rStyle w:val="aff0"/>
          <w:rFonts w:ascii="Times New Roman" w:hAnsi="Times New Roman"/>
        </w:rPr>
        <w:t>-</w:t>
      </w:r>
      <w:r w:rsidRPr="00761EF3">
        <w:rPr>
          <w:rStyle w:val="aff0"/>
          <w:rFonts w:ascii="Times New Roman" w:hAnsi="Times New Roman"/>
        </w:rPr>
        <w:t>25</w:t>
      </w:r>
      <w:r w:rsidRPr="00043A1E">
        <w:rPr>
          <w:rStyle w:val="aff0"/>
          <w:rFonts w:ascii="Times Ext Roman" w:hAnsi="Times Ext Roman" w:cs="Times Ext Roman"/>
        </w:rPr>
        <w:t>）</w:t>
      </w:r>
      <w:r w:rsidRPr="00043A1E">
        <w:rPr>
          <w:rStyle w:val="aff0"/>
          <w:rFonts w:ascii="Times Ext Roman" w:cs="Times Ext Roman"/>
        </w:rPr>
        <w:t>：</w:t>
      </w:r>
    </w:p>
    <w:p w:rsidR="00157EF6" w:rsidRPr="00043A1E" w:rsidRDefault="00157EF6" w:rsidP="00AA120F">
      <w:pPr>
        <w:pStyle w:val="a5"/>
        <w:ind w:leftChars="335" w:left="804"/>
        <w:jc w:val="both"/>
        <w:rPr>
          <w:rFonts w:ascii="Times Ext Roman" w:hAnsi="Times Ext Roman" w:cs="Times Ext Roman"/>
          <w:szCs w:val="22"/>
        </w:rPr>
      </w:pPr>
      <w:r w:rsidRPr="00416BE2">
        <w:rPr>
          <w:rFonts w:hint="eastAsia"/>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w:t>
      </w:r>
      <w:r w:rsidRPr="00043A1E">
        <w:rPr>
          <w:rStyle w:val="aff0"/>
          <w:rFonts w:ascii="Times New Roman" w:eastAsia="標楷體" w:hAnsi="標楷體"/>
        </w:rPr>
        <w:t>因因，</w:t>
      </w:r>
      <w:r w:rsidRPr="00416BE2">
        <w:rPr>
          <w:rFonts w:hint="eastAsia"/>
          <w:szCs w:val="22"/>
          <w:shd w:val="pct15" w:color="auto" w:fill="FFFFFF"/>
          <w:vertAlign w:val="superscript"/>
        </w:rPr>
        <w:t>（</w:t>
      </w:r>
      <w:r w:rsidRPr="00416BE2">
        <w:rPr>
          <w:rFonts w:hint="eastAsia"/>
          <w:szCs w:val="22"/>
          <w:shd w:val="pct15" w:color="auto" w:fill="FFFFFF"/>
          <w:vertAlign w:val="superscript"/>
        </w:rPr>
        <w:t>2</w:t>
      </w:r>
      <w:r w:rsidRPr="00416BE2">
        <w:rPr>
          <w:rFonts w:hint="eastAsia"/>
          <w:szCs w:val="22"/>
          <w:shd w:val="pct15" w:color="auto" w:fill="FFFFFF"/>
          <w:vertAlign w:val="superscript"/>
        </w:rPr>
        <w:t>）</w:t>
      </w:r>
      <w:r w:rsidRPr="00043A1E">
        <w:rPr>
          <w:rStyle w:val="aff0"/>
          <w:rFonts w:ascii="Times New Roman" w:eastAsia="標楷體" w:hAnsi="標楷體"/>
        </w:rPr>
        <w:t>無間因，</w:t>
      </w:r>
      <w:r w:rsidRPr="00416BE2">
        <w:rPr>
          <w:rFonts w:hint="eastAsia"/>
          <w:szCs w:val="22"/>
          <w:shd w:val="pct15" w:color="auto" w:fill="FFFFFF"/>
          <w:vertAlign w:val="superscript"/>
        </w:rPr>
        <w:t>（</w:t>
      </w:r>
      <w:r w:rsidRPr="00416BE2">
        <w:rPr>
          <w:rFonts w:hint="eastAsia"/>
          <w:szCs w:val="22"/>
          <w:shd w:val="pct15" w:color="auto" w:fill="FFFFFF"/>
          <w:vertAlign w:val="superscript"/>
        </w:rPr>
        <w:t>3</w:t>
      </w:r>
      <w:r w:rsidRPr="00416BE2">
        <w:rPr>
          <w:rFonts w:hint="eastAsia"/>
          <w:szCs w:val="22"/>
          <w:shd w:val="pct15" w:color="auto" w:fill="FFFFFF"/>
          <w:vertAlign w:val="superscript"/>
        </w:rPr>
        <w:t>）</w:t>
      </w:r>
      <w:r w:rsidRPr="00043A1E">
        <w:rPr>
          <w:rStyle w:val="aff0"/>
          <w:rFonts w:ascii="Times New Roman" w:eastAsia="標楷體" w:hAnsi="標楷體"/>
        </w:rPr>
        <w:t>境界因，</w:t>
      </w:r>
      <w:r w:rsidRPr="00416BE2">
        <w:rPr>
          <w:rFonts w:hint="eastAsia"/>
          <w:szCs w:val="22"/>
          <w:shd w:val="pct15" w:color="auto" w:fill="FFFFFF"/>
          <w:vertAlign w:val="superscript"/>
        </w:rPr>
        <w:t>（</w:t>
      </w:r>
      <w:r w:rsidRPr="00416BE2">
        <w:rPr>
          <w:rFonts w:hint="eastAsia"/>
          <w:szCs w:val="22"/>
          <w:shd w:val="pct15" w:color="auto" w:fill="FFFFFF"/>
          <w:vertAlign w:val="superscript"/>
        </w:rPr>
        <w:t>4</w:t>
      </w:r>
      <w:r w:rsidRPr="00416BE2">
        <w:rPr>
          <w:rFonts w:hint="eastAsia"/>
          <w:szCs w:val="22"/>
          <w:shd w:val="pct15" w:color="auto" w:fill="FFFFFF"/>
          <w:vertAlign w:val="superscript"/>
        </w:rPr>
        <w:t>）</w:t>
      </w:r>
      <w:r w:rsidRPr="00043A1E">
        <w:rPr>
          <w:rStyle w:val="aff0"/>
          <w:rFonts w:ascii="Times New Roman" w:eastAsia="標楷體" w:hAnsi="標楷體"/>
        </w:rPr>
        <w:t>依因，</w:t>
      </w:r>
      <w:r w:rsidRPr="00416BE2">
        <w:rPr>
          <w:rFonts w:hint="eastAsia"/>
          <w:szCs w:val="22"/>
          <w:shd w:val="pct15" w:color="auto" w:fill="FFFFFF"/>
          <w:vertAlign w:val="superscript"/>
        </w:rPr>
        <w:t>（</w:t>
      </w:r>
      <w:r w:rsidRPr="00416BE2">
        <w:rPr>
          <w:rFonts w:hint="eastAsia"/>
          <w:szCs w:val="22"/>
          <w:shd w:val="pct15" w:color="auto" w:fill="FFFFFF"/>
          <w:vertAlign w:val="superscript"/>
        </w:rPr>
        <w:t>5</w:t>
      </w:r>
      <w:r w:rsidRPr="00416BE2">
        <w:rPr>
          <w:rFonts w:hint="eastAsia"/>
          <w:szCs w:val="22"/>
          <w:shd w:val="pct15" w:color="auto" w:fill="FFFFFF"/>
          <w:vertAlign w:val="superscript"/>
        </w:rPr>
        <w:t>）</w:t>
      </w:r>
      <w:r w:rsidRPr="00043A1E">
        <w:rPr>
          <w:rStyle w:val="aff0"/>
          <w:rFonts w:ascii="Times New Roman" w:eastAsia="標楷體" w:hAnsi="標楷體"/>
        </w:rPr>
        <w:t>業因，</w:t>
      </w:r>
      <w:r w:rsidRPr="00416BE2">
        <w:rPr>
          <w:rFonts w:hint="eastAsia"/>
          <w:szCs w:val="22"/>
          <w:shd w:val="pct15" w:color="auto" w:fill="FFFFFF"/>
          <w:vertAlign w:val="superscript"/>
        </w:rPr>
        <w:t>（</w:t>
      </w:r>
      <w:r w:rsidRPr="00416BE2">
        <w:rPr>
          <w:rFonts w:hint="eastAsia"/>
          <w:szCs w:val="22"/>
          <w:shd w:val="pct15" w:color="auto" w:fill="FFFFFF"/>
          <w:vertAlign w:val="superscript"/>
        </w:rPr>
        <w:t>6</w:t>
      </w:r>
      <w:r w:rsidRPr="00416BE2">
        <w:rPr>
          <w:rFonts w:hint="eastAsia"/>
          <w:szCs w:val="22"/>
          <w:shd w:val="pct15" w:color="auto" w:fill="FFFFFF"/>
          <w:vertAlign w:val="superscript"/>
        </w:rPr>
        <w:t>）</w:t>
      </w:r>
      <w:r w:rsidRPr="00043A1E">
        <w:rPr>
          <w:rStyle w:val="aff0"/>
          <w:rFonts w:ascii="Times New Roman" w:eastAsia="標楷體" w:hAnsi="標楷體"/>
        </w:rPr>
        <w:t>報因，</w:t>
      </w:r>
      <w:r w:rsidRPr="00416BE2">
        <w:rPr>
          <w:rFonts w:hint="eastAsia"/>
          <w:szCs w:val="22"/>
          <w:shd w:val="pct15" w:color="auto" w:fill="FFFFFF"/>
          <w:vertAlign w:val="superscript"/>
        </w:rPr>
        <w:t>（</w:t>
      </w:r>
      <w:r w:rsidRPr="00416BE2">
        <w:rPr>
          <w:rFonts w:hint="eastAsia"/>
          <w:szCs w:val="22"/>
          <w:shd w:val="pct15" w:color="auto" w:fill="FFFFFF"/>
          <w:vertAlign w:val="superscript"/>
        </w:rPr>
        <w:t>7</w:t>
      </w:r>
      <w:r w:rsidRPr="00416BE2">
        <w:rPr>
          <w:rFonts w:hint="eastAsia"/>
          <w:szCs w:val="22"/>
          <w:shd w:val="pct15" w:color="auto" w:fill="FFFFFF"/>
          <w:vertAlign w:val="superscript"/>
        </w:rPr>
        <w:t>）</w:t>
      </w:r>
      <w:r w:rsidRPr="00043A1E">
        <w:rPr>
          <w:rStyle w:val="aff0"/>
          <w:rFonts w:ascii="Times New Roman" w:eastAsia="標楷體" w:hAnsi="標楷體"/>
        </w:rPr>
        <w:t>起因，</w:t>
      </w:r>
      <w:r w:rsidRPr="00416BE2">
        <w:rPr>
          <w:rFonts w:hint="eastAsia"/>
          <w:szCs w:val="22"/>
          <w:shd w:val="pct15" w:color="auto" w:fill="FFFFFF"/>
          <w:vertAlign w:val="superscript"/>
        </w:rPr>
        <w:t>（</w:t>
      </w:r>
      <w:r w:rsidRPr="00416BE2">
        <w:rPr>
          <w:rFonts w:hint="eastAsia"/>
          <w:szCs w:val="22"/>
          <w:shd w:val="pct15" w:color="auto" w:fill="FFFFFF"/>
          <w:vertAlign w:val="superscript"/>
        </w:rPr>
        <w:t>8</w:t>
      </w:r>
      <w:r w:rsidRPr="00416BE2">
        <w:rPr>
          <w:rFonts w:hint="eastAsia"/>
          <w:szCs w:val="22"/>
          <w:shd w:val="pct15" w:color="auto" w:fill="FFFFFF"/>
          <w:vertAlign w:val="superscript"/>
        </w:rPr>
        <w:t>）</w:t>
      </w:r>
      <w:r w:rsidRPr="00043A1E">
        <w:rPr>
          <w:rStyle w:val="aff0"/>
          <w:rFonts w:ascii="Times New Roman" w:eastAsia="標楷體" w:hAnsi="標楷體"/>
        </w:rPr>
        <w:t>異因，</w:t>
      </w:r>
      <w:r w:rsidRPr="00416BE2">
        <w:rPr>
          <w:rFonts w:hint="eastAsia"/>
          <w:szCs w:val="22"/>
          <w:shd w:val="pct15" w:color="auto" w:fill="FFFFFF"/>
          <w:vertAlign w:val="superscript"/>
        </w:rPr>
        <w:t>（</w:t>
      </w:r>
      <w:r w:rsidRPr="00416BE2">
        <w:rPr>
          <w:rFonts w:hint="eastAsia"/>
          <w:szCs w:val="22"/>
          <w:shd w:val="pct15" w:color="auto" w:fill="FFFFFF"/>
          <w:vertAlign w:val="superscript"/>
        </w:rPr>
        <w:t>9</w:t>
      </w:r>
      <w:r w:rsidRPr="00416BE2">
        <w:rPr>
          <w:rFonts w:hint="eastAsia"/>
          <w:szCs w:val="22"/>
          <w:shd w:val="pct15" w:color="auto" w:fill="FFFFFF"/>
          <w:vertAlign w:val="superscript"/>
        </w:rPr>
        <w:t>）</w:t>
      </w:r>
      <w:r w:rsidRPr="00043A1E">
        <w:rPr>
          <w:rStyle w:val="aff0"/>
          <w:rFonts w:ascii="Times New Roman" w:eastAsia="標楷體" w:hAnsi="標楷體"/>
        </w:rPr>
        <w:t>相續因，</w:t>
      </w:r>
      <w:r w:rsidRPr="00416BE2">
        <w:rPr>
          <w:rFonts w:hint="eastAsia"/>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0</w:t>
      </w:r>
      <w:r w:rsidRPr="00416BE2">
        <w:rPr>
          <w:rFonts w:hint="eastAsia"/>
          <w:szCs w:val="22"/>
          <w:shd w:val="pct15" w:color="auto" w:fill="FFFFFF"/>
          <w:vertAlign w:val="superscript"/>
        </w:rPr>
        <w:t>）</w:t>
      </w:r>
      <w:r w:rsidRPr="00043A1E">
        <w:rPr>
          <w:rStyle w:val="aff0"/>
          <w:rFonts w:ascii="Times New Roman" w:eastAsia="標楷體" w:hAnsi="標楷體"/>
        </w:rPr>
        <w:t>增上因，</w:t>
      </w:r>
      <w:r w:rsidRPr="00416BE2">
        <w:rPr>
          <w:rFonts w:hint="eastAsia"/>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1</w:t>
      </w:r>
      <w:r w:rsidRPr="00416BE2">
        <w:rPr>
          <w:rFonts w:hint="eastAsia"/>
          <w:szCs w:val="22"/>
          <w:shd w:val="pct15" w:color="auto" w:fill="FFFFFF"/>
          <w:vertAlign w:val="superscript"/>
        </w:rPr>
        <w:t>）</w:t>
      </w:r>
      <w:r w:rsidRPr="00043A1E">
        <w:rPr>
          <w:rStyle w:val="aff0"/>
          <w:rFonts w:ascii="Times New Roman" w:eastAsia="標楷體" w:hAnsi="標楷體"/>
        </w:rPr>
        <w:t>名因</w:t>
      </w:r>
      <w:r w:rsidR="00416BE2">
        <w:rPr>
          <w:rStyle w:val="aff0"/>
          <w:rFonts w:ascii="Times New Roman" w:eastAsia="標楷體" w:hAnsi="標楷體" w:hint="eastAsia"/>
        </w:rPr>
        <w:t>。</w:t>
      </w:r>
      <w:r w:rsidRPr="00416BE2">
        <w:rPr>
          <w:rFonts w:hint="eastAsia"/>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2</w:t>
      </w:r>
      <w:r w:rsidRPr="00416BE2">
        <w:rPr>
          <w:rFonts w:hint="eastAsia"/>
          <w:szCs w:val="22"/>
          <w:shd w:val="pct15" w:color="auto" w:fill="FFFFFF"/>
          <w:vertAlign w:val="superscript"/>
        </w:rPr>
        <w:t>）</w:t>
      </w:r>
      <w:r w:rsidRPr="00043A1E">
        <w:rPr>
          <w:rStyle w:val="aff0"/>
          <w:rFonts w:ascii="Times New Roman" w:eastAsia="標楷體" w:hAnsi="標楷體"/>
        </w:rPr>
        <w:t>色因，</w:t>
      </w:r>
      <w:r w:rsidRPr="00416BE2">
        <w:rPr>
          <w:rFonts w:hint="eastAsia"/>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3</w:t>
      </w:r>
      <w:r w:rsidRPr="00416BE2">
        <w:rPr>
          <w:rFonts w:hint="eastAsia"/>
          <w:szCs w:val="22"/>
          <w:shd w:val="pct15" w:color="auto" w:fill="FFFFFF"/>
          <w:vertAlign w:val="superscript"/>
        </w:rPr>
        <w:t>）</w:t>
      </w:r>
      <w:r w:rsidRPr="00043A1E">
        <w:rPr>
          <w:rStyle w:val="aff0"/>
          <w:rFonts w:ascii="Times New Roman" w:eastAsia="標楷體" w:hAnsi="標楷體"/>
        </w:rPr>
        <w:t>無明因，</w:t>
      </w:r>
      <w:r w:rsidRPr="00416BE2">
        <w:rPr>
          <w:rFonts w:hint="eastAsia"/>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4</w:t>
      </w:r>
      <w:r w:rsidRPr="00416BE2">
        <w:rPr>
          <w:rFonts w:hint="eastAsia"/>
          <w:szCs w:val="22"/>
          <w:shd w:val="pct15" w:color="auto" w:fill="FFFFFF"/>
          <w:vertAlign w:val="superscript"/>
        </w:rPr>
        <w:t>）</w:t>
      </w:r>
      <w:r w:rsidRPr="00043A1E">
        <w:rPr>
          <w:rStyle w:val="aff0"/>
          <w:rFonts w:ascii="Times New Roman" w:eastAsia="標楷體" w:hAnsi="標楷體"/>
        </w:rPr>
        <w:t>行因，</w:t>
      </w:r>
      <w:r w:rsidRPr="00416BE2">
        <w:rPr>
          <w:rFonts w:hint="eastAsia"/>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5</w:t>
      </w:r>
      <w:r w:rsidRPr="00416BE2">
        <w:rPr>
          <w:rFonts w:hint="eastAsia"/>
          <w:szCs w:val="22"/>
          <w:shd w:val="pct15" w:color="auto" w:fill="FFFFFF"/>
          <w:vertAlign w:val="superscript"/>
        </w:rPr>
        <w:t>）</w:t>
      </w:r>
      <w:r w:rsidRPr="00043A1E">
        <w:rPr>
          <w:rStyle w:val="aff0"/>
          <w:rFonts w:ascii="Times New Roman" w:eastAsia="標楷體" w:hAnsi="標楷體"/>
        </w:rPr>
        <w:t>識因，</w:t>
      </w:r>
      <w:r w:rsidRPr="00416BE2">
        <w:rPr>
          <w:rFonts w:hint="eastAsia"/>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6</w:t>
      </w:r>
      <w:r w:rsidRPr="00416BE2">
        <w:rPr>
          <w:rFonts w:hint="eastAsia"/>
          <w:szCs w:val="22"/>
          <w:shd w:val="pct15" w:color="auto" w:fill="FFFFFF"/>
          <w:vertAlign w:val="superscript"/>
        </w:rPr>
        <w:t>）</w:t>
      </w:r>
      <w:r w:rsidRPr="00043A1E">
        <w:rPr>
          <w:rStyle w:val="aff0"/>
          <w:rFonts w:ascii="Times New Roman" w:eastAsia="標楷體" w:hAnsi="標楷體"/>
        </w:rPr>
        <w:t>名色因，</w:t>
      </w:r>
      <w:r w:rsidRPr="00416BE2">
        <w:rPr>
          <w:rFonts w:hint="eastAsia"/>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7</w:t>
      </w:r>
      <w:r w:rsidRPr="00416BE2">
        <w:rPr>
          <w:rFonts w:hint="eastAsia"/>
          <w:szCs w:val="22"/>
          <w:shd w:val="pct15" w:color="auto" w:fill="FFFFFF"/>
          <w:vertAlign w:val="superscript"/>
        </w:rPr>
        <w:t>）</w:t>
      </w:r>
      <w:r w:rsidRPr="00043A1E">
        <w:rPr>
          <w:rStyle w:val="aff0"/>
          <w:rFonts w:ascii="Times New Roman" w:eastAsia="標楷體" w:hAnsi="標楷體"/>
        </w:rPr>
        <w:t>六入因，</w:t>
      </w:r>
      <w:r w:rsidRPr="00416BE2">
        <w:rPr>
          <w:rFonts w:hint="eastAsia"/>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8</w:t>
      </w:r>
      <w:r w:rsidRPr="00416BE2">
        <w:rPr>
          <w:rFonts w:hint="eastAsia"/>
          <w:szCs w:val="22"/>
          <w:shd w:val="pct15" w:color="auto" w:fill="FFFFFF"/>
          <w:vertAlign w:val="superscript"/>
        </w:rPr>
        <w:t>）</w:t>
      </w:r>
      <w:r w:rsidRPr="00043A1E">
        <w:rPr>
          <w:rStyle w:val="aff0"/>
          <w:rFonts w:ascii="Times New Roman" w:eastAsia="標楷體" w:hAnsi="標楷體"/>
        </w:rPr>
        <w:t>觸因，</w:t>
      </w:r>
      <w:r w:rsidRPr="00416BE2">
        <w:rPr>
          <w:rFonts w:hint="eastAsia"/>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9</w:t>
      </w:r>
      <w:r w:rsidRPr="00416BE2">
        <w:rPr>
          <w:rFonts w:hint="eastAsia"/>
          <w:szCs w:val="22"/>
          <w:shd w:val="pct15" w:color="auto" w:fill="FFFFFF"/>
          <w:vertAlign w:val="superscript"/>
        </w:rPr>
        <w:t>）</w:t>
      </w:r>
      <w:r w:rsidRPr="00043A1E">
        <w:rPr>
          <w:rStyle w:val="aff0"/>
          <w:rFonts w:ascii="Times New Roman" w:eastAsia="標楷體" w:hAnsi="標楷體"/>
        </w:rPr>
        <w:t>受因，</w:t>
      </w:r>
      <w:r w:rsidRPr="00416BE2">
        <w:rPr>
          <w:rFonts w:hint="eastAsia"/>
          <w:szCs w:val="22"/>
          <w:shd w:val="pct15" w:color="auto" w:fill="FFFFFF"/>
          <w:vertAlign w:val="superscript"/>
        </w:rPr>
        <w:t>（</w:t>
      </w:r>
      <w:r w:rsidRPr="00416BE2">
        <w:rPr>
          <w:rFonts w:hint="eastAsia"/>
          <w:szCs w:val="22"/>
          <w:shd w:val="pct15" w:color="auto" w:fill="FFFFFF"/>
          <w:vertAlign w:val="superscript"/>
        </w:rPr>
        <w:t>20</w:t>
      </w:r>
      <w:r w:rsidRPr="00416BE2">
        <w:rPr>
          <w:rFonts w:hint="eastAsia"/>
          <w:szCs w:val="22"/>
          <w:shd w:val="pct15" w:color="auto" w:fill="FFFFFF"/>
          <w:vertAlign w:val="superscript"/>
        </w:rPr>
        <w:t>）</w:t>
      </w:r>
      <w:r w:rsidRPr="00043A1E">
        <w:rPr>
          <w:rStyle w:val="aff0"/>
          <w:rFonts w:ascii="Times New Roman" w:eastAsia="標楷體" w:hAnsi="標楷體"/>
        </w:rPr>
        <w:t>愛因，</w:t>
      </w:r>
      <w:r w:rsidRPr="00416BE2">
        <w:rPr>
          <w:rFonts w:hint="eastAsia"/>
          <w:szCs w:val="22"/>
          <w:shd w:val="pct15" w:color="auto" w:fill="FFFFFF"/>
          <w:vertAlign w:val="superscript"/>
        </w:rPr>
        <w:t>（</w:t>
      </w:r>
      <w:r w:rsidRPr="00416BE2">
        <w:rPr>
          <w:rFonts w:hint="eastAsia"/>
          <w:szCs w:val="22"/>
          <w:shd w:val="pct15" w:color="auto" w:fill="FFFFFF"/>
          <w:vertAlign w:val="superscript"/>
        </w:rPr>
        <w:t>2</w:t>
      </w:r>
      <w:r w:rsidRPr="00416BE2">
        <w:rPr>
          <w:szCs w:val="22"/>
          <w:shd w:val="pct15" w:color="auto" w:fill="FFFFFF"/>
          <w:vertAlign w:val="superscript"/>
        </w:rPr>
        <w:t>1</w:t>
      </w:r>
      <w:r w:rsidRPr="00416BE2">
        <w:rPr>
          <w:rFonts w:hint="eastAsia"/>
          <w:szCs w:val="22"/>
          <w:shd w:val="pct15" w:color="auto" w:fill="FFFFFF"/>
          <w:vertAlign w:val="superscript"/>
        </w:rPr>
        <w:t>）</w:t>
      </w:r>
      <w:r w:rsidRPr="00043A1E">
        <w:rPr>
          <w:rStyle w:val="aff0"/>
          <w:rFonts w:ascii="Times New Roman" w:eastAsia="標楷體" w:hAnsi="標楷體"/>
        </w:rPr>
        <w:t>取因，</w:t>
      </w:r>
      <w:r w:rsidRPr="00416BE2">
        <w:rPr>
          <w:rFonts w:hint="eastAsia"/>
          <w:szCs w:val="22"/>
          <w:shd w:val="pct15" w:color="auto" w:fill="FFFFFF"/>
          <w:vertAlign w:val="superscript"/>
        </w:rPr>
        <w:t>（</w:t>
      </w:r>
      <w:r w:rsidRPr="00416BE2">
        <w:rPr>
          <w:rFonts w:hint="eastAsia"/>
          <w:szCs w:val="22"/>
          <w:shd w:val="pct15" w:color="auto" w:fill="FFFFFF"/>
          <w:vertAlign w:val="superscript"/>
        </w:rPr>
        <w:t>22</w:t>
      </w:r>
      <w:r w:rsidRPr="00416BE2">
        <w:rPr>
          <w:rFonts w:hint="eastAsia"/>
          <w:szCs w:val="22"/>
          <w:shd w:val="pct15" w:color="auto" w:fill="FFFFFF"/>
          <w:vertAlign w:val="superscript"/>
        </w:rPr>
        <w:t>）</w:t>
      </w:r>
      <w:r w:rsidRPr="00043A1E">
        <w:rPr>
          <w:rStyle w:val="aff0"/>
          <w:rFonts w:ascii="Times New Roman" w:eastAsia="標楷體" w:hAnsi="標楷體"/>
        </w:rPr>
        <w:t>有因，</w:t>
      </w:r>
      <w:r w:rsidRPr="00416BE2">
        <w:rPr>
          <w:rFonts w:hint="eastAsia"/>
          <w:szCs w:val="22"/>
          <w:shd w:val="pct15" w:color="auto" w:fill="FFFFFF"/>
          <w:vertAlign w:val="superscript"/>
        </w:rPr>
        <w:t>（</w:t>
      </w:r>
      <w:r w:rsidRPr="00416BE2">
        <w:rPr>
          <w:rFonts w:hint="eastAsia"/>
          <w:szCs w:val="22"/>
          <w:shd w:val="pct15" w:color="auto" w:fill="FFFFFF"/>
          <w:vertAlign w:val="superscript"/>
        </w:rPr>
        <w:t>23</w:t>
      </w:r>
      <w:r w:rsidRPr="00416BE2">
        <w:rPr>
          <w:rFonts w:hint="eastAsia"/>
          <w:szCs w:val="22"/>
          <w:shd w:val="pct15" w:color="auto" w:fill="FFFFFF"/>
          <w:vertAlign w:val="superscript"/>
        </w:rPr>
        <w:t>）</w:t>
      </w:r>
      <w:r w:rsidRPr="00043A1E">
        <w:rPr>
          <w:rStyle w:val="aff0"/>
          <w:rFonts w:ascii="Times New Roman" w:eastAsia="標楷體" w:hAnsi="標楷體"/>
        </w:rPr>
        <w:t>生因，</w:t>
      </w:r>
      <w:r w:rsidRPr="00416BE2">
        <w:rPr>
          <w:rFonts w:hint="eastAsia"/>
          <w:szCs w:val="22"/>
          <w:shd w:val="pct15" w:color="auto" w:fill="FFFFFF"/>
          <w:vertAlign w:val="superscript"/>
        </w:rPr>
        <w:t>（</w:t>
      </w:r>
      <w:r w:rsidRPr="00416BE2">
        <w:rPr>
          <w:rFonts w:hint="eastAsia"/>
          <w:szCs w:val="22"/>
          <w:shd w:val="pct15" w:color="auto" w:fill="FFFFFF"/>
          <w:vertAlign w:val="superscript"/>
        </w:rPr>
        <w:t>24</w:t>
      </w:r>
      <w:r w:rsidRPr="00416BE2">
        <w:rPr>
          <w:rFonts w:hint="eastAsia"/>
          <w:szCs w:val="22"/>
          <w:shd w:val="pct15" w:color="auto" w:fill="FFFFFF"/>
          <w:vertAlign w:val="superscript"/>
        </w:rPr>
        <w:t>）</w:t>
      </w:r>
      <w:r w:rsidRPr="00043A1E">
        <w:rPr>
          <w:rStyle w:val="aff0"/>
          <w:rFonts w:ascii="Times New Roman" w:eastAsia="標楷體" w:hAnsi="標楷體"/>
        </w:rPr>
        <w:t>老因，</w:t>
      </w:r>
      <w:r w:rsidRPr="00416BE2">
        <w:rPr>
          <w:rFonts w:hint="eastAsia"/>
          <w:szCs w:val="22"/>
          <w:shd w:val="pct15" w:color="auto" w:fill="FFFFFF"/>
          <w:vertAlign w:val="superscript"/>
        </w:rPr>
        <w:t>（</w:t>
      </w:r>
      <w:r w:rsidRPr="00416BE2">
        <w:rPr>
          <w:rFonts w:hint="eastAsia"/>
          <w:szCs w:val="22"/>
          <w:shd w:val="pct15" w:color="auto" w:fill="FFFFFF"/>
          <w:vertAlign w:val="superscript"/>
        </w:rPr>
        <w:t>25</w:t>
      </w:r>
      <w:r w:rsidRPr="00416BE2">
        <w:rPr>
          <w:rFonts w:hint="eastAsia"/>
          <w:szCs w:val="22"/>
          <w:shd w:val="pct15" w:color="auto" w:fill="FFFFFF"/>
          <w:vertAlign w:val="superscript"/>
        </w:rPr>
        <w:t>）</w:t>
      </w:r>
      <w:r w:rsidRPr="00043A1E">
        <w:rPr>
          <w:rStyle w:val="aff0"/>
          <w:rFonts w:ascii="Times New Roman" w:eastAsia="標楷體" w:hAnsi="標楷體"/>
        </w:rPr>
        <w:t>死因，</w:t>
      </w:r>
      <w:r w:rsidRPr="00416BE2">
        <w:rPr>
          <w:rFonts w:hint="eastAsia"/>
          <w:szCs w:val="22"/>
          <w:shd w:val="pct15" w:color="auto" w:fill="FFFFFF"/>
          <w:vertAlign w:val="superscript"/>
        </w:rPr>
        <w:t>（</w:t>
      </w:r>
      <w:r w:rsidRPr="00416BE2">
        <w:rPr>
          <w:rFonts w:hint="eastAsia"/>
          <w:szCs w:val="22"/>
          <w:shd w:val="pct15" w:color="auto" w:fill="FFFFFF"/>
          <w:vertAlign w:val="superscript"/>
        </w:rPr>
        <w:t>26</w:t>
      </w:r>
      <w:r w:rsidRPr="00416BE2">
        <w:rPr>
          <w:rFonts w:hint="eastAsia"/>
          <w:szCs w:val="22"/>
          <w:shd w:val="pct15" w:color="auto" w:fill="FFFFFF"/>
          <w:vertAlign w:val="superscript"/>
        </w:rPr>
        <w:t>）</w:t>
      </w:r>
      <w:r w:rsidRPr="00043A1E">
        <w:rPr>
          <w:rStyle w:val="aff0"/>
          <w:rFonts w:ascii="Times New Roman" w:eastAsia="標楷體" w:hAnsi="標楷體"/>
        </w:rPr>
        <w:t>憂因，</w:t>
      </w:r>
      <w:r w:rsidRPr="00416BE2">
        <w:rPr>
          <w:rFonts w:hint="eastAsia"/>
          <w:szCs w:val="22"/>
          <w:shd w:val="pct15" w:color="auto" w:fill="FFFFFF"/>
          <w:vertAlign w:val="superscript"/>
        </w:rPr>
        <w:t>（</w:t>
      </w:r>
      <w:r w:rsidRPr="00416BE2">
        <w:rPr>
          <w:rFonts w:hint="eastAsia"/>
          <w:szCs w:val="22"/>
          <w:shd w:val="pct15" w:color="auto" w:fill="FFFFFF"/>
          <w:vertAlign w:val="superscript"/>
        </w:rPr>
        <w:t>27</w:t>
      </w:r>
      <w:r w:rsidRPr="00416BE2">
        <w:rPr>
          <w:rFonts w:hint="eastAsia"/>
          <w:szCs w:val="22"/>
          <w:shd w:val="pct15" w:color="auto" w:fill="FFFFFF"/>
          <w:vertAlign w:val="superscript"/>
        </w:rPr>
        <w:t>）</w:t>
      </w:r>
      <w:r w:rsidRPr="00043A1E">
        <w:rPr>
          <w:rStyle w:val="aff0"/>
          <w:rFonts w:ascii="Times New Roman" w:eastAsia="標楷體" w:hAnsi="標楷體"/>
        </w:rPr>
        <w:t>悲因，</w:t>
      </w:r>
      <w:r w:rsidRPr="00416BE2">
        <w:rPr>
          <w:rFonts w:hint="eastAsia"/>
          <w:szCs w:val="22"/>
          <w:shd w:val="pct15" w:color="auto" w:fill="FFFFFF"/>
          <w:vertAlign w:val="superscript"/>
        </w:rPr>
        <w:t>（</w:t>
      </w:r>
      <w:r w:rsidRPr="00416BE2">
        <w:rPr>
          <w:rFonts w:hint="eastAsia"/>
          <w:szCs w:val="22"/>
          <w:shd w:val="pct15" w:color="auto" w:fill="FFFFFF"/>
          <w:vertAlign w:val="superscript"/>
        </w:rPr>
        <w:t>28</w:t>
      </w:r>
      <w:r w:rsidRPr="00416BE2">
        <w:rPr>
          <w:rFonts w:hint="eastAsia"/>
          <w:szCs w:val="22"/>
          <w:shd w:val="pct15" w:color="auto" w:fill="FFFFFF"/>
          <w:vertAlign w:val="superscript"/>
        </w:rPr>
        <w:t>）</w:t>
      </w:r>
      <w:r w:rsidRPr="00043A1E">
        <w:rPr>
          <w:rStyle w:val="aff0"/>
          <w:rFonts w:ascii="Times New Roman" w:eastAsia="標楷體" w:hAnsi="標楷體"/>
        </w:rPr>
        <w:t>苦因，</w:t>
      </w:r>
      <w:r w:rsidRPr="00416BE2">
        <w:rPr>
          <w:rFonts w:hint="eastAsia"/>
          <w:szCs w:val="22"/>
          <w:shd w:val="pct15" w:color="auto" w:fill="FFFFFF"/>
          <w:vertAlign w:val="superscript"/>
        </w:rPr>
        <w:t>（</w:t>
      </w:r>
      <w:r w:rsidRPr="00416BE2">
        <w:rPr>
          <w:rFonts w:hint="eastAsia"/>
          <w:szCs w:val="22"/>
          <w:shd w:val="pct15" w:color="auto" w:fill="FFFFFF"/>
          <w:vertAlign w:val="superscript"/>
        </w:rPr>
        <w:t>29</w:t>
      </w:r>
      <w:r w:rsidRPr="00416BE2">
        <w:rPr>
          <w:rFonts w:hint="eastAsia"/>
          <w:szCs w:val="22"/>
          <w:shd w:val="pct15" w:color="auto" w:fill="FFFFFF"/>
          <w:vertAlign w:val="superscript"/>
        </w:rPr>
        <w:t>）</w:t>
      </w:r>
      <w:r w:rsidRPr="00043A1E">
        <w:rPr>
          <w:rStyle w:val="aff0"/>
          <w:rFonts w:ascii="Times New Roman" w:eastAsia="標楷體" w:hAnsi="標楷體"/>
        </w:rPr>
        <w:t>惱因，</w:t>
      </w:r>
      <w:r w:rsidRPr="00416BE2">
        <w:rPr>
          <w:rFonts w:hint="eastAsia"/>
          <w:szCs w:val="22"/>
          <w:shd w:val="pct15" w:color="auto" w:fill="FFFFFF"/>
          <w:vertAlign w:val="superscript"/>
        </w:rPr>
        <w:t>（</w:t>
      </w:r>
      <w:r w:rsidRPr="00416BE2">
        <w:rPr>
          <w:rFonts w:hint="eastAsia"/>
          <w:szCs w:val="22"/>
          <w:shd w:val="pct15" w:color="auto" w:fill="FFFFFF"/>
          <w:vertAlign w:val="superscript"/>
        </w:rPr>
        <w:t>30</w:t>
      </w:r>
      <w:r w:rsidRPr="00416BE2">
        <w:rPr>
          <w:rFonts w:hint="eastAsia"/>
          <w:szCs w:val="22"/>
          <w:shd w:val="pct15" w:color="auto" w:fill="FFFFFF"/>
          <w:vertAlign w:val="superscript"/>
        </w:rPr>
        <w:t>）</w:t>
      </w:r>
      <w:r w:rsidRPr="00043A1E">
        <w:rPr>
          <w:rStyle w:val="aff0"/>
          <w:rFonts w:ascii="Times New Roman" w:eastAsia="標楷體" w:hAnsi="標楷體"/>
        </w:rPr>
        <w:t>眾苦因，</w:t>
      </w:r>
      <w:r w:rsidRPr="00416BE2">
        <w:rPr>
          <w:rFonts w:hint="eastAsia"/>
          <w:szCs w:val="22"/>
          <w:shd w:val="pct15" w:color="auto" w:fill="FFFFFF"/>
          <w:vertAlign w:val="superscript"/>
        </w:rPr>
        <w:t>（</w:t>
      </w:r>
      <w:r w:rsidRPr="00416BE2">
        <w:rPr>
          <w:rFonts w:hint="eastAsia"/>
          <w:szCs w:val="22"/>
          <w:shd w:val="pct15" w:color="auto" w:fill="FFFFFF"/>
          <w:vertAlign w:val="superscript"/>
        </w:rPr>
        <w:t>3</w:t>
      </w:r>
      <w:r w:rsidRPr="00416BE2">
        <w:rPr>
          <w:szCs w:val="22"/>
          <w:shd w:val="pct15" w:color="auto" w:fill="FFFFFF"/>
          <w:vertAlign w:val="superscript"/>
        </w:rPr>
        <w:t>1</w:t>
      </w:r>
      <w:r w:rsidRPr="00416BE2">
        <w:rPr>
          <w:rFonts w:hint="eastAsia"/>
          <w:szCs w:val="22"/>
          <w:shd w:val="pct15" w:color="auto" w:fill="FFFFFF"/>
          <w:vertAlign w:val="superscript"/>
        </w:rPr>
        <w:t>）</w:t>
      </w:r>
      <w:r w:rsidRPr="00043A1E">
        <w:rPr>
          <w:rStyle w:val="aff0"/>
          <w:rFonts w:ascii="Times New Roman" w:eastAsia="標楷體" w:hAnsi="標楷體"/>
        </w:rPr>
        <w:t>食因，</w:t>
      </w:r>
      <w:r w:rsidRPr="00416BE2">
        <w:rPr>
          <w:rFonts w:hint="eastAsia"/>
          <w:szCs w:val="22"/>
          <w:shd w:val="pct15" w:color="auto" w:fill="FFFFFF"/>
          <w:vertAlign w:val="superscript"/>
        </w:rPr>
        <w:t>（</w:t>
      </w:r>
      <w:r w:rsidRPr="00416BE2">
        <w:rPr>
          <w:rFonts w:hint="eastAsia"/>
          <w:szCs w:val="22"/>
          <w:shd w:val="pct15" w:color="auto" w:fill="FFFFFF"/>
          <w:vertAlign w:val="superscript"/>
        </w:rPr>
        <w:t>32</w:t>
      </w:r>
      <w:r w:rsidRPr="00416BE2">
        <w:rPr>
          <w:rFonts w:hint="eastAsia"/>
          <w:szCs w:val="22"/>
          <w:shd w:val="pct15" w:color="auto" w:fill="FFFFFF"/>
          <w:vertAlign w:val="superscript"/>
        </w:rPr>
        <w:t>）</w:t>
      </w:r>
      <w:r w:rsidRPr="00043A1E">
        <w:rPr>
          <w:rStyle w:val="aff0"/>
          <w:rFonts w:ascii="Times New Roman" w:eastAsia="標楷體" w:hAnsi="標楷體"/>
        </w:rPr>
        <w:t>漏因，</w:t>
      </w:r>
      <w:r w:rsidRPr="00416BE2">
        <w:rPr>
          <w:rFonts w:hint="eastAsia"/>
          <w:szCs w:val="22"/>
          <w:shd w:val="pct15" w:color="auto" w:fill="FFFFFF"/>
          <w:vertAlign w:val="superscript"/>
        </w:rPr>
        <w:t>（</w:t>
      </w:r>
      <w:r w:rsidRPr="00416BE2">
        <w:rPr>
          <w:rFonts w:hint="eastAsia"/>
          <w:szCs w:val="22"/>
          <w:shd w:val="pct15" w:color="auto" w:fill="FFFFFF"/>
          <w:vertAlign w:val="superscript"/>
        </w:rPr>
        <w:t>33</w:t>
      </w:r>
      <w:r w:rsidRPr="00416BE2">
        <w:rPr>
          <w:rFonts w:hint="eastAsia"/>
          <w:szCs w:val="22"/>
          <w:shd w:val="pct15" w:color="auto" w:fill="FFFFFF"/>
          <w:vertAlign w:val="superscript"/>
        </w:rPr>
        <w:t>）</w:t>
      </w:r>
      <w:r w:rsidRPr="00043A1E">
        <w:rPr>
          <w:rStyle w:val="aff0"/>
          <w:rFonts w:ascii="Times New Roman" w:eastAsia="標楷體" w:hAnsi="標楷體"/>
        </w:rPr>
        <w:t>復有因。</w:t>
      </w:r>
    </w:p>
  </w:footnote>
  <w:footnote w:id="784">
    <w:p w:rsidR="00157EF6" w:rsidRPr="00043A1E" w:rsidRDefault="00157EF6" w:rsidP="00AA120F">
      <w:pPr>
        <w:pStyle w:val="a5"/>
        <w:spacing w:line="0" w:lineRule="atLeast"/>
        <w:ind w:left="253" w:hangingChars="115" w:hanging="253"/>
        <w:jc w:val="both"/>
        <w:rPr>
          <w:rStyle w:val="aff0"/>
          <w:rFonts w:ascii="Times Ext Roman" w:cs="Times Ext Roman"/>
        </w:rPr>
      </w:pPr>
      <w:r w:rsidRPr="00043A1E">
        <w:rPr>
          <w:rStyle w:val="a6"/>
          <w:szCs w:val="22"/>
        </w:rPr>
        <w:footnoteRef/>
      </w:r>
      <w:r w:rsidRPr="00043A1E">
        <w:rPr>
          <w:rStyle w:val="aff0"/>
          <w:rFonts w:ascii="Times Ext Roman" w:cs="Times Ext Roman" w:hint="eastAsia"/>
        </w:rPr>
        <w:t xml:space="preserve"> </w:t>
      </w:r>
      <w:r w:rsidRPr="00043A1E">
        <w:rPr>
          <w:rStyle w:val="aff0"/>
          <w:rFonts w:ascii="Times Ext Roman" w:cs="Times Ext Roman"/>
        </w:rPr>
        <w:t>《</w:t>
      </w:r>
      <w:r w:rsidRPr="00431088">
        <w:t>瑜伽</w:t>
      </w:r>
      <w:r w:rsidRPr="00043A1E">
        <w:rPr>
          <w:rStyle w:val="aff0"/>
          <w:rFonts w:ascii="Times Ext Roman" w:cs="Times Ext Roman"/>
        </w:rPr>
        <w:t>師地論》卷</w:t>
      </w:r>
      <w:r w:rsidRPr="00761EF3">
        <w:rPr>
          <w:rStyle w:val="aff0"/>
          <w:rFonts w:ascii="Times New Roman" w:hAnsi="Times New Roman"/>
        </w:rPr>
        <w:t>5</w:t>
      </w:r>
      <w:r w:rsidRPr="00043A1E">
        <w:rPr>
          <w:rStyle w:val="aff0"/>
          <w:rFonts w:ascii="Times Ext Roman" w:hAnsi="Times Ext Roman" w:cs="Times Ext Roman"/>
        </w:rPr>
        <w:t>（</w:t>
      </w:r>
      <w:r w:rsidRPr="00043A1E">
        <w:rPr>
          <w:rStyle w:val="aff0"/>
          <w:rFonts w:ascii="Times Ext Roman" w:cs="Times Ext Roman"/>
        </w:rPr>
        <w:t>大正</w:t>
      </w:r>
      <w:r w:rsidRPr="00761EF3">
        <w:rPr>
          <w:rStyle w:val="aff0"/>
          <w:rFonts w:ascii="Times New Roman" w:hAnsi="Times New Roman"/>
        </w:rPr>
        <w:t>30</w:t>
      </w:r>
      <w:r w:rsidRPr="00043A1E">
        <w:rPr>
          <w:rStyle w:val="aff0"/>
          <w:rFonts w:ascii="Times Ext Roman" w:cs="Times Ext Roman"/>
        </w:rPr>
        <w:t>，</w:t>
      </w:r>
      <w:r w:rsidRPr="00761EF3">
        <w:rPr>
          <w:rStyle w:val="aff0"/>
          <w:rFonts w:ascii="Times New Roman" w:hAnsi="Times New Roman"/>
        </w:rPr>
        <w:t>301b9</w:t>
      </w:r>
      <w:r w:rsidRPr="00043A1E">
        <w:rPr>
          <w:rStyle w:val="aff0"/>
          <w:rFonts w:ascii="Times New Roman" w:hAnsi="Times New Roman"/>
        </w:rPr>
        <w:t>-</w:t>
      </w:r>
      <w:r w:rsidRPr="00761EF3">
        <w:rPr>
          <w:rStyle w:val="aff0"/>
          <w:rFonts w:ascii="Times New Roman" w:hAnsi="Times New Roman"/>
        </w:rPr>
        <w:t>12</w:t>
      </w:r>
      <w:r w:rsidRPr="00043A1E">
        <w:rPr>
          <w:rStyle w:val="aff0"/>
          <w:rFonts w:ascii="Times Ext Roman" w:hAnsi="Times Ext Roman" w:cs="Times Ext Roman"/>
        </w:rPr>
        <w:t>）</w:t>
      </w:r>
      <w:r w:rsidRPr="00043A1E">
        <w:rPr>
          <w:rStyle w:val="aff0"/>
          <w:rFonts w:ascii="Times Ext Roman" w:cs="Times Ext Roman"/>
        </w:rPr>
        <w:t>：</w:t>
      </w:r>
    </w:p>
    <w:p w:rsidR="00157EF6" w:rsidRPr="00043A1E" w:rsidRDefault="00157EF6" w:rsidP="00AA120F">
      <w:pPr>
        <w:pStyle w:val="a5"/>
        <w:ind w:leftChars="105" w:left="252"/>
        <w:jc w:val="both"/>
        <w:rPr>
          <w:rFonts w:ascii="Times Ext Roman" w:hAnsi="Times Ext Roman" w:cs="Times Ext Roman"/>
          <w:szCs w:val="22"/>
        </w:rPr>
      </w:pPr>
      <w:r w:rsidRPr="00043A1E">
        <w:rPr>
          <w:rStyle w:val="aff0"/>
          <w:rFonts w:ascii="Times Ext Roman" w:eastAsia="標楷體" w:cs="Times Ext Roman"/>
        </w:rPr>
        <w:t>十因者：一、隨說因，二、觀待因，三、牽引因，四、生起因，五、攝受因，六、引發因，七、定異因，八、同事因，九、相違因，十、不相違因。</w:t>
      </w:r>
    </w:p>
  </w:footnote>
  <w:footnote w:id="785">
    <w:p w:rsidR="00157EF6" w:rsidRPr="00043A1E" w:rsidRDefault="00157EF6" w:rsidP="00AA120F">
      <w:pPr>
        <w:pStyle w:val="a5"/>
        <w:spacing w:line="0" w:lineRule="atLeast"/>
        <w:ind w:left="253" w:hangingChars="115" w:hanging="253"/>
        <w:jc w:val="both"/>
        <w:rPr>
          <w:rFonts w:ascii="Times Ext Roman" w:hAnsi="新細明體" w:cs="Times Ext Roman"/>
          <w:szCs w:val="22"/>
        </w:rPr>
      </w:pPr>
      <w:r w:rsidRPr="00043A1E">
        <w:rPr>
          <w:rStyle w:val="a6"/>
          <w:szCs w:val="22"/>
        </w:rPr>
        <w:footnoteRef/>
      </w:r>
      <w:r w:rsidRPr="00043A1E">
        <w:rPr>
          <w:rFonts w:ascii="Times Ext Roman" w:hAnsi="新細明體" w:cs="Times Ext Roman" w:hint="eastAsia"/>
          <w:szCs w:val="22"/>
        </w:rPr>
        <w:t xml:space="preserve"> </w:t>
      </w:r>
      <w:r w:rsidRPr="00043A1E">
        <w:rPr>
          <w:rFonts w:ascii="Times Ext Roman" w:hAnsi="新細明體" w:cs="Times Ext Roman"/>
          <w:szCs w:val="22"/>
        </w:rPr>
        <w:t>《成實論》卷</w:t>
      </w:r>
      <w:r w:rsidRPr="00761EF3">
        <w:rPr>
          <w:szCs w:val="22"/>
        </w:rPr>
        <w:t>2</w:t>
      </w:r>
      <w:r w:rsidRPr="00043A1E">
        <w:rPr>
          <w:rFonts w:ascii="Times Ext Roman" w:hAnsi="Times Ext Roman" w:cs="Times Ext Roman" w:hint="eastAsia"/>
          <w:szCs w:val="22"/>
        </w:rPr>
        <w:t>〈</w:t>
      </w:r>
      <w:r w:rsidRPr="00761EF3">
        <w:rPr>
          <w:rFonts w:hint="eastAsia"/>
          <w:szCs w:val="22"/>
        </w:rPr>
        <w:t>18</w:t>
      </w:r>
      <w:r w:rsidRPr="00043A1E">
        <w:rPr>
          <w:szCs w:val="22"/>
        </w:rPr>
        <w:t xml:space="preserve"> </w:t>
      </w:r>
      <w:r w:rsidRPr="00043A1E">
        <w:rPr>
          <w:rFonts w:ascii="Times Ext Roman" w:hAnsi="Times Ext Roman" w:cs="Times Ext Roman" w:hint="eastAsia"/>
          <w:szCs w:val="22"/>
        </w:rPr>
        <w:t>法聚品〉</w:t>
      </w:r>
      <w:r w:rsidRPr="00043A1E">
        <w:rPr>
          <w:rFonts w:ascii="Times Ext Roman" w:hAnsi="Times Ext Roman" w:cs="Times Ext Roman"/>
          <w:szCs w:val="22"/>
        </w:rPr>
        <w:t>（</w:t>
      </w:r>
      <w:r w:rsidRPr="00043A1E">
        <w:rPr>
          <w:rFonts w:ascii="Times Ext Roman" w:hAnsi="新細明體" w:cs="Times Ext Roman"/>
          <w:szCs w:val="22"/>
        </w:rPr>
        <w:t>大正</w:t>
      </w:r>
      <w:r w:rsidRPr="00761EF3">
        <w:rPr>
          <w:szCs w:val="22"/>
        </w:rPr>
        <w:t>32</w:t>
      </w:r>
      <w:r w:rsidRPr="00043A1E">
        <w:rPr>
          <w:rFonts w:ascii="Times Ext Roman" w:hAnsi="新細明體" w:cs="Times Ext Roman"/>
          <w:szCs w:val="22"/>
        </w:rPr>
        <w:t>，</w:t>
      </w:r>
      <w:r w:rsidRPr="00761EF3">
        <w:rPr>
          <w:szCs w:val="22"/>
        </w:rPr>
        <w:t>252c28</w:t>
      </w:r>
      <w:r w:rsidRPr="00043A1E">
        <w:rPr>
          <w:szCs w:val="22"/>
        </w:rPr>
        <w:t>-</w:t>
      </w:r>
      <w:r w:rsidRPr="00761EF3">
        <w:rPr>
          <w:szCs w:val="22"/>
        </w:rPr>
        <w:t>253a</w:t>
      </w:r>
      <w:r w:rsidRPr="00761EF3">
        <w:rPr>
          <w:rStyle w:val="old"/>
          <w:color w:val="auto"/>
          <w:szCs w:val="22"/>
        </w:rPr>
        <w:t>5</w:t>
      </w:r>
      <w:r w:rsidRPr="00043A1E">
        <w:rPr>
          <w:rFonts w:ascii="Times Ext Roman" w:hAnsi="Times Ext Roman" w:cs="Times Ext Roman"/>
          <w:szCs w:val="22"/>
        </w:rPr>
        <w:t>）</w:t>
      </w:r>
      <w:r w:rsidRPr="00043A1E">
        <w:rPr>
          <w:rFonts w:ascii="Times Ext Roman" w:hAnsi="新細明體" w:cs="Times Ext Roman"/>
          <w:szCs w:val="22"/>
        </w:rPr>
        <w:t>：</w:t>
      </w:r>
    </w:p>
    <w:p w:rsidR="008B1EC5" w:rsidRDefault="00157EF6" w:rsidP="008B1EC5">
      <w:pPr>
        <w:pStyle w:val="a5"/>
        <w:ind w:leftChars="105" w:left="912" w:hangingChars="300" w:hanging="660"/>
        <w:jc w:val="both"/>
        <w:rPr>
          <w:rFonts w:eastAsia="標楷體" w:hAnsi="標楷體"/>
          <w:szCs w:val="22"/>
        </w:rPr>
      </w:pPr>
      <w:r w:rsidRPr="00043A1E">
        <w:rPr>
          <w:rFonts w:eastAsia="標楷體" w:hAnsi="標楷體"/>
          <w:szCs w:val="22"/>
        </w:rPr>
        <w:t>四緣：</w:t>
      </w:r>
      <w:r w:rsidR="008B1EC5">
        <w:rPr>
          <w:rFonts w:ascii="標楷體" w:eastAsia="標楷體" w:hAnsi="標楷體" w:hint="eastAsia"/>
          <w:bCs/>
          <w:color w:val="FF0000"/>
          <w:kern w:val="0"/>
          <w:highlight w:val="yellow"/>
        </w:rPr>
        <w:t>「</w:t>
      </w:r>
      <w:r w:rsidRPr="00043A1E">
        <w:rPr>
          <w:rFonts w:eastAsia="標楷體" w:hAnsi="標楷體"/>
          <w:b/>
          <w:szCs w:val="22"/>
        </w:rPr>
        <w:t>因緣</w:t>
      </w:r>
      <w:r w:rsidR="008B1EC5">
        <w:rPr>
          <w:rFonts w:ascii="標楷體" w:eastAsia="標楷體" w:hAnsi="標楷體" w:hint="eastAsia"/>
          <w:bCs/>
          <w:color w:val="FF0000"/>
          <w:kern w:val="0"/>
          <w:highlight w:val="yellow"/>
        </w:rPr>
        <w:t>」</w:t>
      </w:r>
      <w:r w:rsidRPr="00043A1E">
        <w:rPr>
          <w:rFonts w:eastAsia="標楷體" w:hAnsi="標楷體"/>
          <w:szCs w:val="22"/>
        </w:rPr>
        <w:t>者，</w:t>
      </w:r>
      <w:r w:rsidRPr="00043A1E">
        <w:rPr>
          <w:rFonts w:eastAsia="標楷體" w:hAnsi="標楷體"/>
          <w:b/>
          <w:szCs w:val="22"/>
        </w:rPr>
        <w:t>生因、習因、依因</w:t>
      </w:r>
      <w:r w:rsidRPr="00043A1E">
        <w:rPr>
          <w:rFonts w:eastAsia="標楷體" w:hAnsi="標楷體"/>
          <w:szCs w:val="22"/>
        </w:rPr>
        <w:t>。</w:t>
      </w:r>
      <w:r w:rsidRPr="00416BE2">
        <w:rPr>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w:t>
      </w:r>
      <w:r w:rsidR="008B1EC5">
        <w:rPr>
          <w:rFonts w:ascii="標楷體" w:eastAsia="標楷體" w:hAnsi="標楷體" w:hint="eastAsia"/>
          <w:bCs/>
          <w:color w:val="FF0000"/>
          <w:kern w:val="0"/>
          <w:highlight w:val="yellow"/>
        </w:rPr>
        <w:t>「</w:t>
      </w:r>
      <w:r w:rsidRPr="00043A1E">
        <w:rPr>
          <w:rFonts w:eastAsia="標楷體" w:hAnsi="標楷體"/>
          <w:b/>
          <w:szCs w:val="22"/>
        </w:rPr>
        <w:t>生因</w:t>
      </w:r>
      <w:r w:rsidR="008B1EC5">
        <w:rPr>
          <w:rFonts w:ascii="標楷體" w:eastAsia="標楷體" w:hAnsi="標楷體" w:hint="eastAsia"/>
          <w:bCs/>
          <w:color w:val="FF0000"/>
          <w:kern w:val="0"/>
          <w:highlight w:val="yellow"/>
        </w:rPr>
        <w:t>」</w:t>
      </w:r>
      <w:r w:rsidRPr="00043A1E">
        <w:rPr>
          <w:rFonts w:eastAsia="標楷體" w:hAnsi="標楷體"/>
          <w:szCs w:val="22"/>
        </w:rPr>
        <w:t>者，若法生時</w:t>
      </w:r>
      <w:r w:rsidR="008B1EC5">
        <w:rPr>
          <w:rFonts w:ascii="標楷體" w:eastAsia="標楷體" w:hAnsi="標楷體" w:hint="eastAsia"/>
          <w:color w:val="FF0000"/>
          <w:kern w:val="0"/>
          <w:highlight w:val="yellow"/>
        </w:rPr>
        <w:t>，</w:t>
      </w:r>
      <w:r w:rsidRPr="00043A1E">
        <w:rPr>
          <w:rFonts w:eastAsia="標楷體" w:hAnsi="標楷體"/>
          <w:szCs w:val="22"/>
        </w:rPr>
        <w:t>能與作因，如</w:t>
      </w:r>
      <w:r w:rsidR="003B2D56">
        <w:rPr>
          <w:rFonts w:ascii="標楷體" w:eastAsia="標楷體" w:hAnsi="標楷體" w:hint="eastAsia"/>
          <w:color w:val="FF0000"/>
          <w:spacing w:val="-4"/>
          <w:kern w:val="0"/>
          <w:highlight w:val="yellow"/>
        </w:rPr>
        <w:t>：</w:t>
      </w:r>
      <w:r w:rsidRPr="00043A1E">
        <w:rPr>
          <w:rFonts w:eastAsia="標楷體" w:hAnsi="標楷體"/>
          <w:szCs w:val="22"/>
        </w:rPr>
        <w:t>業為報因；</w:t>
      </w:r>
      <w:r w:rsidRPr="00416BE2">
        <w:rPr>
          <w:szCs w:val="22"/>
          <w:shd w:val="pct15" w:color="auto" w:fill="FFFFFF"/>
          <w:vertAlign w:val="superscript"/>
        </w:rPr>
        <w:t>（</w:t>
      </w:r>
      <w:r w:rsidRPr="00416BE2">
        <w:rPr>
          <w:rFonts w:hint="eastAsia"/>
          <w:szCs w:val="22"/>
          <w:shd w:val="pct15" w:color="auto" w:fill="FFFFFF"/>
          <w:vertAlign w:val="superscript"/>
        </w:rPr>
        <w:t>2</w:t>
      </w:r>
      <w:r w:rsidRPr="00416BE2">
        <w:rPr>
          <w:rFonts w:hint="eastAsia"/>
          <w:szCs w:val="22"/>
          <w:shd w:val="pct15" w:color="auto" w:fill="FFFFFF"/>
          <w:vertAlign w:val="superscript"/>
        </w:rPr>
        <w:t>）</w:t>
      </w:r>
      <w:r w:rsidR="008B1EC5">
        <w:rPr>
          <w:rFonts w:ascii="標楷體" w:eastAsia="標楷體" w:hAnsi="標楷體" w:hint="eastAsia"/>
          <w:bCs/>
          <w:color w:val="FF0000"/>
          <w:kern w:val="0"/>
          <w:highlight w:val="yellow"/>
        </w:rPr>
        <w:t>「</w:t>
      </w:r>
      <w:r w:rsidRPr="00043A1E">
        <w:rPr>
          <w:rFonts w:eastAsia="標楷體" w:hAnsi="標楷體"/>
          <w:b/>
          <w:szCs w:val="22"/>
        </w:rPr>
        <w:t>習因</w:t>
      </w:r>
      <w:r w:rsidR="008B1EC5">
        <w:rPr>
          <w:rFonts w:ascii="標楷體" w:eastAsia="標楷體" w:hAnsi="標楷體" w:hint="eastAsia"/>
          <w:bCs/>
          <w:color w:val="FF0000"/>
          <w:kern w:val="0"/>
          <w:highlight w:val="yellow"/>
        </w:rPr>
        <w:t>」</w:t>
      </w:r>
      <w:r w:rsidRPr="00043A1E">
        <w:rPr>
          <w:rFonts w:eastAsia="標楷體" w:hAnsi="標楷體"/>
          <w:szCs w:val="22"/>
        </w:rPr>
        <w:t>者，如</w:t>
      </w:r>
      <w:r w:rsidR="003B2D56">
        <w:rPr>
          <w:rFonts w:ascii="標楷體" w:eastAsia="標楷體" w:hAnsi="標楷體" w:hint="eastAsia"/>
          <w:color w:val="FF0000"/>
          <w:spacing w:val="-4"/>
          <w:kern w:val="0"/>
          <w:highlight w:val="yellow"/>
        </w:rPr>
        <w:t>：</w:t>
      </w:r>
      <w:r w:rsidRPr="00043A1E">
        <w:rPr>
          <w:rFonts w:eastAsia="標楷體" w:hAnsi="標楷體"/>
          <w:szCs w:val="22"/>
        </w:rPr>
        <w:t>習貪欲</w:t>
      </w:r>
      <w:r w:rsidRPr="00043A1E">
        <w:rPr>
          <w:rFonts w:eastAsia="標楷體" w:hAnsi="標楷體" w:hint="eastAsia"/>
          <w:szCs w:val="22"/>
        </w:rPr>
        <w:t>，</w:t>
      </w:r>
      <w:r w:rsidRPr="00043A1E">
        <w:rPr>
          <w:rFonts w:eastAsia="標楷體" w:hAnsi="標楷體"/>
          <w:szCs w:val="22"/>
        </w:rPr>
        <w:t>貪欲增長；</w:t>
      </w:r>
      <w:r w:rsidRPr="00416BE2">
        <w:rPr>
          <w:szCs w:val="22"/>
          <w:shd w:val="pct15" w:color="auto" w:fill="FFFFFF"/>
          <w:vertAlign w:val="superscript"/>
        </w:rPr>
        <w:t>（</w:t>
      </w:r>
      <w:r w:rsidRPr="00416BE2">
        <w:rPr>
          <w:rFonts w:hint="eastAsia"/>
          <w:szCs w:val="22"/>
          <w:shd w:val="pct15" w:color="auto" w:fill="FFFFFF"/>
          <w:vertAlign w:val="superscript"/>
        </w:rPr>
        <w:t>3</w:t>
      </w:r>
      <w:r w:rsidRPr="00416BE2">
        <w:rPr>
          <w:rFonts w:hint="eastAsia"/>
          <w:szCs w:val="22"/>
          <w:shd w:val="pct15" w:color="auto" w:fill="FFFFFF"/>
          <w:vertAlign w:val="superscript"/>
        </w:rPr>
        <w:t>）</w:t>
      </w:r>
      <w:r w:rsidR="008B1EC5">
        <w:rPr>
          <w:rFonts w:ascii="標楷體" w:eastAsia="標楷體" w:hAnsi="標楷體" w:hint="eastAsia"/>
          <w:bCs/>
          <w:color w:val="FF0000"/>
          <w:kern w:val="0"/>
          <w:highlight w:val="yellow"/>
        </w:rPr>
        <w:t>「</w:t>
      </w:r>
      <w:r w:rsidRPr="00043A1E">
        <w:rPr>
          <w:rFonts w:eastAsia="標楷體" w:hAnsi="標楷體"/>
          <w:b/>
          <w:szCs w:val="22"/>
        </w:rPr>
        <w:t>依因</w:t>
      </w:r>
      <w:r w:rsidR="008B1EC5">
        <w:rPr>
          <w:rFonts w:ascii="標楷體" w:eastAsia="標楷體" w:hAnsi="標楷體" w:hint="eastAsia"/>
          <w:bCs/>
          <w:color w:val="FF0000"/>
          <w:kern w:val="0"/>
          <w:highlight w:val="yellow"/>
        </w:rPr>
        <w:t>」</w:t>
      </w:r>
      <w:r w:rsidRPr="00043A1E">
        <w:rPr>
          <w:rFonts w:eastAsia="標楷體" w:hAnsi="標楷體"/>
          <w:szCs w:val="22"/>
        </w:rPr>
        <w:t>者，如</w:t>
      </w:r>
      <w:r w:rsidR="003B2D56">
        <w:rPr>
          <w:rFonts w:ascii="標楷體" w:eastAsia="標楷體" w:hAnsi="標楷體" w:hint="eastAsia"/>
          <w:color w:val="FF0000"/>
          <w:spacing w:val="-4"/>
          <w:kern w:val="0"/>
          <w:highlight w:val="yellow"/>
        </w:rPr>
        <w:t>：</w:t>
      </w:r>
      <w:r w:rsidRPr="00043A1E">
        <w:rPr>
          <w:rFonts w:eastAsia="標楷體" w:hAnsi="標楷體"/>
          <w:szCs w:val="22"/>
        </w:rPr>
        <w:t>心</w:t>
      </w:r>
      <w:r w:rsidR="008B1EC5">
        <w:rPr>
          <w:rFonts w:ascii="標楷體" w:eastAsia="標楷體" w:hAnsi="標楷體" w:hint="eastAsia"/>
          <w:color w:val="FF0000"/>
          <w:kern w:val="0"/>
          <w:highlight w:val="yellow"/>
        </w:rPr>
        <w:t>.</w:t>
      </w:r>
      <w:r w:rsidRPr="00043A1E">
        <w:rPr>
          <w:rFonts w:eastAsia="標楷體" w:hAnsi="標楷體"/>
          <w:szCs w:val="22"/>
        </w:rPr>
        <w:t>心數法依色</w:t>
      </w:r>
      <w:r w:rsidR="008B1EC5">
        <w:rPr>
          <w:rFonts w:ascii="標楷體" w:eastAsia="標楷體" w:hAnsi="標楷體" w:hint="eastAsia"/>
          <w:color w:val="FF0000"/>
          <w:kern w:val="0"/>
          <w:highlight w:val="yellow"/>
        </w:rPr>
        <w:t>.</w:t>
      </w:r>
      <w:r w:rsidRPr="00043A1E">
        <w:rPr>
          <w:rFonts w:eastAsia="標楷體" w:hAnsi="標楷體"/>
          <w:szCs w:val="22"/>
        </w:rPr>
        <w:t>香等</w:t>
      </w:r>
      <w:r w:rsidR="008B1EC5">
        <w:rPr>
          <w:rFonts w:ascii="標楷體" w:eastAsia="標楷體" w:hAnsi="標楷體" w:hint="eastAsia"/>
          <w:color w:val="FF0000"/>
          <w:kern w:val="0"/>
          <w:highlight w:val="yellow"/>
        </w:rPr>
        <w:t>。</w:t>
      </w:r>
      <w:r w:rsidRPr="00043A1E">
        <w:rPr>
          <w:rFonts w:eastAsia="標楷體" w:hAnsi="標楷體"/>
          <w:szCs w:val="22"/>
        </w:rPr>
        <w:t>是名</w:t>
      </w:r>
      <w:r w:rsidR="008B1EC5">
        <w:rPr>
          <w:rFonts w:ascii="標楷體" w:eastAsia="標楷體" w:hAnsi="標楷體" w:hint="eastAsia"/>
          <w:bCs/>
          <w:color w:val="FF0000"/>
          <w:kern w:val="0"/>
          <w:highlight w:val="yellow"/>
        </w:rPr>
        <w:t>「</w:t>
      </w:r>
      <w:r w:rsidRPr="00043A1E">
        <w:rPr>
          <w:rFonts w:eastAsia="標楷體" w:hAnsi="標楷體"/>
          <w:szCs w:val="22"/>
        </w:rPr>
        <w:t>因緣</w:t>
      </w:r>
      <w:r w:rsidR="008B1EC5">
        <w:rPr>
          <w:rFonts w:ascii="標楷體" w:eastAsia="標楷體" w:hAnsi="標楷體" w:hint="eastAsia"/>
          <w:bCs/>
          <w:color w:val="FF0000"/>
          <w:kern w:val="0"/>
          <w:highlight w:val="yellow"/>
        </w:rPr>
        <w:t>」</w:t>
      </w:r>
      <w:r w:rsidRPr="00043A1E">
        <w:rPr>
          <w:rFonts w:eastAsia="標楷體" w:hAnsi="標楷體"/>
          <w:szCs w:val="22"/>
        </w:rPr>
        <w:t>。</w:t>
      </w:r>
    </w:p>
    <w:p w:rsidR="008B1EC5" w:rsidRDefault="008B1EC5" w:rsidP="00AA120F">
      <w:pPr>
        <w:pStyle w:val="a5"/>
        <w:ind w:leftChars="105" w:left="252"/>
        <w:jc w:val="both"/>
        <w:rPr>
          <w:rStyle w:val="old"/>
          <w:rFonts w:eastAsia="標楷體" w:hAnsi="標楷體"/>
          <w:color w:val="auto"/>
          <w:szCs w:val="22"/>
        </w:rPr>
      </w:pPr>
      <w:r>
        <w:rPr>
          <w:rFonts w:ascii="標楷體" w:eastAsia="標楷體" w:hAnsi="標楷體" w:hint="eastAsia"/>
          <w:bCs/>
          <w:color w:val="FF0000"/>
          <w:kern w:val="0"/>
          <w:highlight w:val="yellow"/>
        </w:rPr>
        <w:t>「</w:t>
      </w:r>
      <w:r w:rsidR="00157EF6" w:rsidRPr="00043A1E">
        <w:rPr>
          <w:rStyle w:val="old"/>
          <w:rFonts w:eastAsia="標楷體" w:hAnsi="標楷體"/>
          <w:color w:val="auto"/>
          <w:szCs w:val="22"/>
        </w:rPr>
        <w:t>次第緣</w:t>
      </w:r>
      <w:r>
        <w:rPr>
          <w:rFonts w:ascii="標楷體" w:eastAsia="標楷體" w:hAnsi="標楷體" w:hint="eastAsia"/>
          <w:bCs/>
          <w:color w:val="FF0000"/>
          <w:kern w:val="0"/>
          <w:highlight w:val="yellow"/>
        </w:rPr>
        <w:t>」</w:t>
      </w:r>
      <w:r w:rsidR="00157EF6" w:rsidRPr="00043A1E">
        <w:rPr>
          <w:rStyle w:val="old"/>
          <w:rFonts w:eastAsia="標楷體" w:hAnsi="標楷體"/>
          <w:color w:val="auto"/>
          <w:szCs w:val="22"/>
        </w:rPr>
        <w:t>者，如</w:t>
      </w:r>
      <w:r w:rsidR="003B2D56">
        <w:rPr>
          <w:rFonts w:ascii="標楷體" w:eastAsia="標楷體" w:hAnsi="標楷體" w:hint="eastAsia"/>
          <w:color w:val="FF0000"/>
          <w:spacing w:val="-4"/>
          <w:kern w:val="0"/>
          <w:highlight w:val="yellow"/>
        </w:rPr>
        <w:t>：</w:t>
      </w:r>
      <w:r w:rsidR="00157EF6" w:rsidRPr="00043A1E">
        <w:rPr>
          <w:rStyle w:val="old"/>
          <w:rFonts w:eastAsia="標楷體" w:hAnsi="標楷體"/>
          <w:color w:val="auto"/>
          <w:szCs w:val="22"/>
        </w:rPr>
        <w:t>以前心法滅故，後心得次第生。</w:t>
      </w:r>
    </w:p>
    <w:p w:rsidR="008B1EC5" w:rsidRDefault="008B1EC5" w:rsidP="00AA120F">
      <w:pPr>
        <w:pStyle w:val="a5"/>
        <w:ind w:leftChars="105" w:left="252"/>
        <w:jc w:val="both"/>
        <w:rPr>
          <w:rStyle w:val="old"/>
          <w:rFonts w:eastAsia="標楷體" w:hAnsi="標楷體"/>
          <w:color w:val="auto"/>
          <w:szCs w:val="22"/>
        </w:rPr>
      </w:pPr>
      <w:r>
        <w:rPr>
          <w:rFonts w:ascii="標楷體" w:eastAsia="標楷體" w:hAnsi="標楷體" w:hint="eastAsia"/>
          <w:bCs/>
          <w:color w:val="FF0000"/>
          <w:kern w:val="0"/>
          <w:highlight w:val="yellow"/>
        </w:rPr>
        <w:t>「</w:t>
      </w:r>
      <w:r w:rsidR="00157EF6" w:rsidRPr="00043A1E">
        <w:rPr>
          <w:rStyle w:val="old"/>
          <w:rFonts w:eastAsia="標楷體" w:hAnsi="標楷體"/>
          <w:color w:val="auto"/>
          <w:szCs w:val="22"/>
        </w:rPr>
        <w:t>緣緣</w:t>
      </w:r>
      <w:r>
        <w:rPr>
          <w:rFonts w:ascii="標楷體" w:eastAsia="標楷體" w:hAnsi="標楷體" w:hint="eastAsia"/>
          <w:bCs/>
          <w:color w:val="FF0000"/>
          <w:kern w:val="0"/>
          <w:highlight w:val="yellow"/>
        </w:rPr>
        <w:t>」</w:t>
      </w:r>
      <w:r w:rsidR="00157EF6" w:rsidRPr="00043A1E">
        <w:rPr>
          <w:rStyle w:val="old"/>
          <w:rFonts w:eastAsia="標楷體" w:hAnsi="標楷體"/>
          <w:color w:val="auto"/>
          <w:szCs w:val="22"/>
        </w:rPr>
        <w:t>者，若從緣生法，如色能生眼識。</w:t>
      </w:r>
    </w:p>
    <w:p w:rsidR="00157EF6" w:rsidRPr="00043A1E" w:rsidRDefault="008B1EC5" w:rsidP="00AA120F">
      <w:pPr>
        <w:pStyle w:val="a5"/>
        <w:ind w:leftChars="105" w:left="252"/>
        <w:jc w:val="both"/>
        <w:rPr>
          <w:rFonts w:ascii="Times Ext Roman" w:hAnsi="Times Ext Roman" w:cs="Times Ext Roman"/>
          <w:szCs w:val="22"/>
        </w:rPr>
      </w:pPr>
      <w:r>
        <w:rPr>
          <w:rFonts w:ascii="標楷體" w:eastAsia="標楷體" w:hAnsi="標楷體" w:hint="eastAsia"/>
          <w:bCs/>
          <w:color w:val="FF0000"/>
          <w:kern w:val="0"/>
          <w:highlight w:val="yellow"/>
        </w:rPr>
        <w:t>「</w:t>
      </w:r>
      <w:r w:rsidR="00157EF6" w:rsidRPr="00043A1E">
        <w:rPr>
          <w:rStyle w:val="old"/>
          <w:rFonts w:eastAsia="標楷體" w:hAnsi="標楷體"/>
          <w:color w:val="auto"/>
          <w:szCs w:val="22"/>
        </w:rPr>
        <w:t>增上緣</w:t>
      </w:r>
      <w:r>
        <w:rPr>
          <w:rFonts w:ascii="標楷體" w:eastAsia="標楷體" w:hAnsi="標楷體" w:hint="eastAsia"/>
          <w:bCs/>
          <w:color w:val="FF0000"/>
          <w:kern w:val="0"/>
          <w:highlight w:val="yellow"/>
        </w:rPr>
        <w:t>」</w:t>
      </w:r>
      <w:r w:rsidR="00157EF6" w:rsidRPr="00043A1E">
        <w:rPr>
          <w:rStyle w:val="old"/>
          <w:rFonts w:eastAsia="標楷體" w:hAnsi="標楷體"/>
          <w:color w:val="auto"/>
          <w:szCs w:val="22"/>
        </w:rPr>
        <w:t>者，謂法生時，諸餘緣也。</w:t>
      </w:r>
    </w:p>
  </w:footnote>
  <w:footnote w:id="786">
    <w:p w:rsidR="00157EF6" w:rsidRPr="00043A1E" w:rsidRDefault="00157EF6" w:rsidP="00AA120F">
      <w:pPr>
        <w:pStyle w:val="a5"/>
        <w:spacing w:line="0" w:lineRule="atLeast"/>
        <w:ind w:left="253" w:hangingChars="115" w:hanging="253"/>
        <w:jc w:val="both"/>
        <w:rPr>
          <w:rStyle w:val="aff0"/>
          <w:rFonts w:ascii="Times Ext Roman" w:cs="Times Ext Roman"/>
        </w:rPr>
      </w:pPr>
      <w:r w:rsidRPr="00043A1E">
        <w:rPr>
          <w:rStyle w:val="a6"/>
          <w:szCs w:val="22"/>
        </w:rPr>
        <w:footnoteRef/>
      </w:r>
      <w:r w:rsidRPr="00043A1E">
        <w:rPr>
          <w:rStyle w:val="aff0"/>
          <w:rFonts w:ascii="Times Ext Roman" w:cs="Times Ext Roman" w:hint="eastAsia"/>
        </w:rPr>
        <w:t xml:space="preserve"> </w:t>
      </w:r>
      <w:r w:rsidRPr="00043A1E">
        <w:rPr>
          <w:rStyle w:val="aff0"/>
          <w:rFonts w:ascii="Times Ext Roman" w:cs="Times Ext Roman"/>
        </w:rPr>
        <w:t>《入楞伽經》卷</w:t>
      </w:r>
      <w:r w:rsidRPr="00761EF3">
        <w:rPr>
          <w:rStyle w:val="aff0"/>
          <w:rFonts w:ascii="Times New Roman" w:hAnsi="Times New Roman"/>
        </w:rPr>
        <w:t>3</w:t>
      </w:r>
      <w:r w:rsidRPr="00043A1E">
        <w:rPr>
          <w:rStyle w:val="aff0"/>
          <w:rFonts w:ascii="Times Ext Roman" w:cs="Times Ext Roman" w:hint="eastAsia"/>
        </w:rPr>
        <w:t>〈</w:t>
      </w:r>
      <w:r w:rsidRPr="00761EF3">
        <w:rPr>
          <w:rStyle w:val="aff0"/>
          <w:rFonts w:ascii="Times New Roman" w:hAnsi="Times New Roman"/>
        </w:rPr>
        <w:t>3</w:t>
      </w:r>
      <w:r w:rsidRPr="00043A1E">
        <w:rPr>
          <w:rStyle w:val="aff0"/>
          <w:rFonts w:ascii="Times New Roman" w:hAnsi="Times New Roman"/>
        </w:rPr>
        <w:t xml:space="preserve"> </w:t>
      </w:r>
      <w:r w:rsidRPr="00043A1E">
        <w:rPr>
          <w:rStyle w:val="aff0"/>
          <w:rFonts w:ascii="Times Ext Roman" w:cs="Times Ext Roman"/>
          <w:bCs/>
        </w:rPr>
        <w:t>集一切佛法品</w:t>
      </w:r>
      <w:r w:rsidRPr="00043A1E">
        <w:rPr>
          <w:rStyle w:val="aff0"/>
          <w:rFonts w:ascii="Times Ext Roman" w:cs="Times Ext Roman" w:hint="eastAsia"/>
          <w:bCs/>
        </w:rPr>
        <w:t>〉</w:t>
      </w:r>
      <w:r w:rsidRPr="00043A1E">
        <w:rPr>
          <w:rStyle w:val="aff0"/>
          <w:rFonts w:ascii="Times Ext Roman" w:cs="Times Ext Roman"/>
        </w:rPr>
        <w:t>（大正</w:t>
      </w:r>
      <w:r w:rsidRPr="00761EF3">
        <w:rPr>
          <w:rStyle w:val="aff0"/>
          <w:rFonts w:ascii="Times New Roman" w:hAnsi="Times New Roman"/>
        </w:rPr>
        <w:t>16</w:t>
      </w:r>
      <w:r w:rsidRPr="00043A1E">
        <w:rPr>
          <w:rStyle w:val="aff0"/>
          <w:rFonts w:ascii="Times Ext Roman" w:cs="Times Ext Roman"/>
        </w:rPr>
        <w:t>，</w:t>
      </w:r>
      <w:r w:rsidRPr="00761EF3">
        <w:rPr>
          <w:rStyle w:val="aff0"/>
          <w:rFonts w:ascii="Times New Roman" w:hAnsi="Times New Roman"/>
        </w:rPr>
        <w:t>530b14</w:t>
      </w:r>
      <w:r w:rsidRPr="00043A1E">
        <w:rPr>
          <w:rStyle w:val="aff0"/>
          <w:rFonts w:ascii="Times New Roman" w:hAnsi="Times New Roman"/>
        </w:rPr>
        <w:t>-</w:t>
      </w:r>
      <w:r w:rsidRPr="00761EF3">
        <w:rPr>
          <w:rStyle w:val="aff0"/>
          <w:rFonts w:ascii="Times New Roman" w:hAnsi="Times New Roman"/>
        </w:rPr>
        <w:t>16</w:t>
      </w:r>
      <w:r w:rsidRPr="00043A1E">
        <w:rPr>
          <w:rStyle w:val="aff0"/>
          <w:rFonts w:ascii="Times Ext Roman" w:hAnsi="Times Ext Roman" w:cs="Times Ext Roman"/>
        </w:rPr>
        <w:t>）</w:t>
      </w:r>
      <w:r w:rsidRPr="00043A1E">
        <w:rPr>
          <w:rStyle w:val="aff0"/>
          <w:rFonts w:ascii="Times Ext Roman" w:cs="Times Ext Roman"/>
        </w:rPr>
        <w:t>：</w:t>
      </w:r>
    </w:p>
    <w:p w:rsidR="00157EF6" w:rsidRPr="00043A1E" w:rsidRDefault="00F10EA6" w:rsidP="00AA120F">
      <w:pPr>
        <w:pStyle w:val="a5"/>
        <w:ind w:leftChars="120" w:left="288"/>
        <w:jc w:val="both"/>
        <w:rPr>
          <w:rFonts w:ascii="Times Ext Roman" w:hAnsi="Times Ext Roman" w:cs="Times Ext Roman"/>
          <w:szCs w:val="22"/>
        </w:rPr>
      </w:pPr>
      <w:r>
        <w:rPr>
          <w:rFonts w:ascii="標楷體" w:eastAsia="標楷體" w:hAnsi="標楷體" w:hint="eastAsia"/>
          <w:bCs/>
          <w:color w:val="FF0000"/>
          <w:kern w:val="0"/>
          <w:highlight w:val="yellow"/>
        </w:rPr>
        <w:t>「</w:t>
      </w:r>
      <w:r w:rsidR="00157EF6" w:rsidRPr="00043A1E">
        <w:rPr>
          <w:rStyle w:val="aff0"/>
          <w:rFonts w:ascii="Times Ext Roman" w:eastAsia="標楷體" w:cs="Times Ext Roman"/>
        </w:rPr>
        <w:t>因</w:t>
      </w:r>
      <w:r>
        <w:rPr>
          <w:rFonts w:ascii="標楷體" w:eastAsia="標楷體" w:hAnsi="標楷體" w:hint="eastAsia"/>
          <w:bCs/>
          <w:color w:val="FF0000"/>
          <w:kern w:val="0"/>
          <w:highlight w:val="yellow"/>
        </w:rPr>
        <w:t>」</w:t>
      </w:r>
      <w:r w:rsidR="00157EF6" w:rsidRPr="00043A1E">
        <w:rPr>
          <w:rStyle w:val="aff0"/>
          <w:rFonts w:ascii="Times Ext Roman" w:eastAsia="標楷體" w:cs="Times Ext Roman"/>
        </w:rPr>
        <w:t>有六種</w:t>
      </w:r>
      <w:r>
        <w:rPr>
          <w:rFonts w:ascii="標楷體" w:eastAsia="標楷體" w:hAnsi="標楷體" w:hint="eastAsia"/>
          <w:color w:val="FF0000"/>
          <w:kern w:val="0"/>
          <w:highlight w:val="yellow"/>
        </w:rPr>
        <w:t>。</w:t>
      </w:r>
      <w:r w:rsidR="00157EF6" w:rsidRPr="00043A1E">
        <w:rPr>
          <w:rStyle w:val="aff0"/>
          <w:rFonts w:ascii="Times Ext Roman" w:eastAsia="標楷體" w:cs="Times Ext Roman"/>
        </w:rPr>
        <w:t>何等為六</w:t>
      </w:r>
      <w:r>
        <w:rPr>
          <w:rFonts w:ascii="標楷體" w:eastAsia="標楷體" w:hAnsi="標楷體" w:hint="eastAsia"/>
          <w:color w:val="FF0000"/>
          <w:spacing w:val="-4"/>
          <w:kern w:val="0"/>
          <w:highlight w:val="yellow"/>
        </w:rPr>
        <w:t>？</w:t>
      </w:r>
      <w:r w:rsidR="00157EF6" w:rsidRPr="00043A1E">
        <w:rPr>
          <w:rStyle w:val="aff0"/>
          <w:rFonts w:ascii="Times Ext Roman" w:eastAsia="標楷體" w:cs="Times Ext Roman"/>
        </w:rPr>
        <w:t>一者、當因，二者、相續因，三者、相因，四者、作因，五者、了因，六者、相待因。</w:t>
      </w:r>
    </w:p>
  </w:footnote>
  <w:footnote w:id="787">
    <w:p w:rsidR="00157EF6" w:rsidRPr="00043A1E" w:rsidRDefault="00157EF6" w:rsidP="00AA120F">
      <w:pPr>
        <w:pStyle w:val="a5"/>
        <w:spacing w:line="0" w:lineRule="atLeast"/>
        <w:ind w:left="792" w:hangingChars="360" w:hanging="792"/>
        <w:jc w:val="both"/>
        <w:rPr>
          <w:rFonts w:ascii="Times Ext Roman" w:hAnsi="新細明體" w:cs="Times Ext Roman"/>
          <w:szCs w:val="22"/>
        </w:rPr>
      </w:pPr>
      <w:r w:rsidRPr="00043A1E">
        <w:rPr>
          <w:rStyle w:val="a6"/>
          <w:szCs w:val="22"/>
        </w:rPr>
        <w:footnoteRef/>
      </w:r>
      <w:r w:rsidRPr="00043A1E">
        <w:rPr>
          <w:rFonts w:ascii="Times Ext Roman" w:hAnsi="新細明體" w:cs="Times Ext Roman" w:hint="eastAsia"/>
          <w:szCs w:val="22"/>
        </w:rPr>
        <w:t xml:space="preserve"> </w:t>
      </w:r>
      <w:r w:rsidRPr="00043A1E">
        <w:rPr>
          <w:rFonts w:ascii="Times Ext Roman" w:hAnsi="新細明體" w:cs="Times Ext Roman" w:hint="eastAsia"/>
          <w:szCs w:val="22"/>
        </w:rPr>
        <w:t>（</w:t>
      </w:r>
      <w:r w:rsidRPr="00761EF3">
        <w:rPr>
          <w:rFonts w:hint="eastAsia"/>
          <w:szCs w:val="22"/>
        </w:rPr>
        <w:t>1</w:t>
      </w:r>
      <w:r w:rsidRPr="00043A1E">
        <w:rPr>
          <w:rFonts w:ascii="Times Ext Roman" w:hAnsi="新細明體" w:cs="Times Ext Roman" w:hint="eastAsia"/>
          <w:szCs w:val="22"/>
        </w:rPr>
        <w:t>）</w:t>
      </w:r>
      <w:r w:rsidRPr="00043A1E">
        <w:rPr>
          <w:rFonts w:ascii="Times Ext Roman" w:hAnsi="新細明體" w:cs="Times Ext Roman"/>
          <w:szCs w:val="22"/>
        </w:rPr>
        <w:t>《分別緣起初勝法門經》卷下</w:t>
      </w:r>
      <w:r w:rsidRPr="00043A1E">
        <w:rPr>
          <w:rFonts w:ascii="Times Ext Roman" w:hAnsi="Times Ext Roman" w:cs="Times Ext Roman"/>
          <w:szCs w:val="22"/>
        </w:rPr>
        <w:t>（</w:t>
      </w:r>
      <w:r w:rsidRPr="00043A1E">
        <w:rPr>
          <w:rFonts w:ascii="Times Ext Roman" w:hAnsi="新細明體" w:cs="Times Ext Roman"/>
          <w:szCs w:val="22"/>
        </w:rPr>
        <w:t>大正</w:t>
      </w:r>
      <w:r w:rsidRPr="00761EF3">
        <w:rPr>
          <w:szCs w:val="22"/>
        </w:rPr>
        <w:t>16</w:t>
      </w:r>
      <w:r w:rsidRPr="00043A1E">
        <w:rPr>
          <w:rFonts w:ascii="Times Ext Roman" w:hAnsi="新細明體" w:cs="Times Ext Roman"/>
          <w:szCs w:val="22"/>
        </w:rPr>
        <w:t>，</w:t>
      </w:r>
      <w:r w:rsidRPr="00761EF3">
        <w:rPr>
          <w:szCs w:val="22"/>
        </w:rPr>
        <w:t>840b28</w:t>
      </w:r>
      <w:r w:rsidRPr="00043A1E">
        <w:rPr>
          <w:szCs w:val="22"/>
        </w:rPr>
        <w:t>-</w:t>
      </w:r>
      <w:r w:rsidRPr="00761EF3">
        <w:rPr>
          <w:szCs w:val="22"/>
        </w:rPr>
        <w:t>29</w:t>
      </w:r>
      <w:r w:rsidRPr="00043A1E">
        <w:rPr>
          <w:rFonts w:ascii="Times Ext Roman" w:hAnsi="Times Ext Roman" w:cs="Times Ext Roman"/>
          <w:szCs w:val="22"/>
        </w:rPr>
        <w:t>）</w:t>
      </w:r>
      <w:r w:rsidRPr="00043A1E">
        <w:rPr>
          <w:rFonts w:ascii="Times Ext Roman" w:hAnsi="新細明體" w:cs="Times Ext Roman"/>
          <w:szCs w:val="22"/>
        </w:rPr>
        <w:t>：</w:t>
      </w:r>
    </w:p>
    <w:p w:rsidR="00157EF6" w:rsidRPr="00043A1E" w:rsidRDefault="00157EF6" w:rsidP="00AA120F">
      <w:pPr>
        <w:pStyle w:val="a5"/>
        <w:ind w:leftChars="335" w:left="804"/>
        <w:jc w:val="both"/>
        <w:rPr>
          <w:rFonts w:ascii="Times Ext Roman" w:hAnsi="Times Ext Roman" w:cs="Times Ext Roman"/>
          <w:szCs w:val="22"/>
        </w:rPr>
      </w:pPr>
      <w:r w:rsidRPr="00043A1E">
        <w:rPr>
          <w:rFonts w:ascii="Times Ext Roman" w:eastAsia="標楷體" w:hAnsi="新細明體" w:cs="Times Ext Roman"/>
          <w:szCs w:val="22"/>
        </w:rPr>
        <w:t>世尊如餘處說：</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szCs w:val="22"/>
        </w:rPr>
        <w:t>緣</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szCs w:val="22"/>
        </w:rPr>
        <w:t>有四種，所謂</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szCs w:val="22"/>
        </w:rPr>
        <w:t>因緣</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szCs w:val="22"/>
        </w:rPr>
        <w:t>、</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szCs w:val="22"/>
        </w:rPr>
        <w:t>等無間緣</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szCs w:val="22"/>
        </w:rPr>
        <w:t>，及</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szCs w:val="22"/>
        </w:rPr>
        <w:t>所緣緣</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szCs w:val="22"/>
        </w:rPr>
        <w:t>，并</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szCs w:val="22"/>
        </w:rPr>
        <w:t>增上緣</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szCs w:val="22"/>
        </w:rPr>
        <w:t>。</w:t>
      </w:r>
    </w:p>
    <w:p w:rsidR="00157EF6" w:rsidRPr="00043A1E" w:rsidRDefault="00157EF6" w:rsidP="00AA120F">
      <w:pPr>
        <w:pStyle w:val="a5"/>
        <w:ind w:leftChars="105" w:left="791" w:hangingChars="245" w:hanging="539"/>
        <w:jc w:val="both"/>
        <w:rPr>
          <w:rFonts w:ascii="Times Ext Roman" w:hAnsi="新細明體" w:cs="Times Ext Roman"/>
          <w:szCs w:val="22"/>
        </w:rPr>
      </w:pPr>
      <w:r w:rsidRPr="00043A1E">
        <w:rPr>
          <w:rFonts w:ascii="Times Ext Roman" w:hAnsi="新細明體" w:cs="Times Ext Roman" w:hint="eastAsia"/>
          <w:szCs w:val="22"/>
        </w:rPr>
        <w:t>（</w:t>
      </w:r>
      <w:r w:rsidRPr="00761EF3">
        <w:rPr>
          <w:rFonts w:hint="eastAsia"/>
          <w:szCs w:val="22"/>
        </w:rPr>
        <w:t>2</w:t>
      </w:r>
      <w:r w:rsidRPr="00043A1E">
        <w:rPr>
          <w:rFonts w:ascii="Times Ext Roman" w:hAnsi="新細明體" w:cs="Times Ext Roman" w:hint="eastAsia"/>
          <w:szCs w:val="22"/>
        </w:rPr>
        <w:t>）《阿毘達磨品類足論》卷</w:t>
      </w:r>
      <w:r w:rsidRPr="00761EF3">
        <w:rPr>
          <w:rFonts w:cs="Times Ext Roman" w:hint="eastAsia"/>
          <w:szCs w:val="22"/>
        </w:rPr>
        <w:t>5</w:t>
      </w:r>
      <w:r w:rsidRPr="00043A1E">
        <w:rPr>
          <w:rFonts w:ascii="Times Ext Roman" w:hAnsi="新細明體" w:cs="Times Ext Roman" w:hint="eastAsia"/>
          <w:szCs w:val="22"/>
        </w:rPr>
        <w:t>〈</w:t>
      </w:r>
      <w:r w:rsidRPr="00761EF3">
        <w:rPr>
          <w:rFonts w:cs="Times Ext Roman" w:hint="eastAsia"/>
          <w:szCs w:val="22"/>
        </w:rPr>
        <w:t>6</w:t>
      </w:r>
      <w:r w:rsidRPr="00043A1E">
        <w:rPr>
          <w:rFonts w:ascii="Times Ext Roman" w:hAnsi="新細明體" w:cs="Times Ext Roman" w:hint="eastAsia"/>
          <w:szCs w:val="22"/>
        </w:rPr>
        <w:t xml:space="preserve"> </w:t>
      </w:r>
      <w:r w:rsidRPr="00043A1E">
        <w:rPr>
          <w:rFonts w:ascii="Times Ext Roman" w:hAnsi="新細明體" w:cs="Times Ext Roman" w:hint="eastAsia"/>
          <w:szCs w:val="22"/>
        </w:rPr>
        <w:t>辯攝等品〉</w:t>
      </w:r>
      <w:r w:rsidRPr="00043A1E">
        <w:rPr>
          <w:rFonts w:ascii="Times Ext Roman" w:hAnsi="Times Ext Roman" w:cs="Times Ext Roman"/>
          <w:szCs w:val="22"/>
        </w:rPr>
        <w:t>（</w:t>
      </w:r>
      <w:r w:rsidRPr="00043A1E">
        <w:rPr>
          <w:rFonts w:ascii="Times Ext Roman" w:hAnsi="新細明體" w:cs="Times Ext Roman"/>
          <w:szCs w:val="22"/>
        </w:rPr>
        <w:t>大正</w:t>
      </w:r>
      <w:r w:rsidRPr="00761EF3">
        <w:rPr>
          <w:szCs w:val="22"/>
        </w:rPr>
        <w:t>26</w:t>
      </w:r>
      <w:r w:rsidRPr="00043A1E">
        <w:rPr>
          <w:rFonts w:ascii="Times Ext Roman" w:hAnsi="新細明體" w:cs="Times Ext Roman"/>
          <w:szCs w:val="22"/>
        </w:rPr>
        <w:t>，</w:t>
      </w:r>
      <w:r w:rsidRPr="00761EF3">
        <w:rPr>
          <w:rFonts w:cs="Times Ext Roman" w:hint="eastAsia"/>
          <w:szCs w:val="22"/>
        </w:rPr>
        <w:t>712b12</w:t>
      </w:r>
      <w:r w:rsidRPr="00043A1E">
        <w:rPr>
          <w:rFonts w:ascii="Times Ext Roman" w:hAnsi="新細明體" w:cs="Times Ext Roman" w:hint="eastAsia"/>
          <w:szCs w:val="22"/>
        </w:rPr>
        <w:t>-</w:t>
      </w:r>
      <w:r w:rsidRPr="00761EF3">
        <w:rPr>
          <w:rFonts w:cs="Times Ext Roman" w:hint="eastAsia"/>
          <w:szCs w:val="22"/>
        </w:rPr>
        <w:t>13</w:t>
      </w:r>
      <w:r w:rsidRPr="00043A1E">
        <w:rPr>
          <w:rFonts w:ascii="Times Ext Roman" w:hAnsi="新細明體" w:cs="Times Ext Roman" w:hint="eastAsia"/>
          <w:szCs w:val="22"/>
        </w:rPr>
        <w:t>）：</w:t>
      </w:r>
    </w:p>
    <w:p w:rsidR="00157EF6" w:rsidRPr="00043A1E" w:rsidRDefault="00157EF6" w:rsidP="00AA120F">
      <w:pPr>
        <w:pStyle w:val="a5"/>
        <w:ind w:leftChars="335" w:left="804"/>
        <w:jc w:val="both"/>
        <w:rPr>
          <w:rFonts w:ascii="Times Ext Roman" w:eastAsia="標楷體" w:hAnsi="新細明體" w:cs="Times Ext Roman"/>
          <w:szCs w:val="22"/>
        </w:rPr>
      </w:pPr>
      <w:r w:rsidRPr="00753639">
        <w:rPr>
          <w:rFonts w:ascii="Times Ext Roman" w:eastAsia="標楷體" w:hAnsi="新細明體" w:cs="Times Ext Roman" w:hint="eastAsia"/>
          <w:szCs w:val="22"/>
        </w:rPr>
        <w:t>有四緣</w:t>
      </w:r>
      <w:r w:rsidRPr="00043A1E">
        <w:rPr>
          <w:rFonts w:ascii="Times Ext Roman" w:eastAsia="標楷體" w:hAnsi="新細明體" w:cs="Times Ext Roman" w:hint="eastAsia"/>
          <w:szCs w:val="22"/>
        </w:rPr>
        <w:t>，謂</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hint="eastAsia"/>
          <w:szCs w:val="22"/>
        </w:rPr>
        <w:t>因緣</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hint="eastAsia"/>
          <w:szCs w:val="22"/>
        </w:rPr>
        <w:t>、</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hint="eastAsia"/>
          <w:szCs w:val="22"/>
        </w:rPr>
        <w:t>等無間緣</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hint="eastAsia"/>
          <w:szCs w:val="22"/>
        </w:rPr>
        <w:t>、</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hint="eastAsia"/>
          <w:szCs w:val="22"/>
        </w:rPr>
        <w:t>所緣緣</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hint="eastAsia"/>
          <w:szCs w:val="22"/>
        </w:rPr>
        <w:t>、</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hint="eastAsia"/>
          <w:szCs w:val="22"/>
        </w:rPr>
        <w:t>增上緣</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hint="eastAsia"/>
          <w:szCs w:val="22"/>
        </w:rPr>
        <w:t>。</w:t>
      </w:r>
    </w:p>
    <w:p w:rsidR="00157EF6" w:rsidRPr="00043A1E" w:rsidRDefault="00157EF6" w:rsidP="00AA120F">
      <w:pPr>
        <w:pStyle w:val="a5"/>
        <w:ind w:leftChars="105" w:left="791" w:hangingChars="245" w:hanging="539"/>
        <w:jc w:val="both"/>
        <w:rPr>
          <w:rFonts w:ascii="Times Ext Roman" w:hAnsi="新細明體" w:cs="Times Ext Roman"/>
          <w:szCs w:val="22"/>
        </w:rPr>
      </w:pPr>
      <w:r w:rsidRPr="00043A1E">
        <w:rPr>
          <w:rFonts w:ascii="Times Ext Roman" w:hAnsi="新細明體" w:cs="Times Ext Roman" w:hint="eastAsia"/>
          <w:szCs w:val="22"/>
        </w:rPr>
        <w:t>（</w:t>
      </w:r>
      <w:r w:rsidRPr="00761EF3">
        <w:rPr>
          <w:rFonts w:hint="eastAsia"/>
          <w:szCs w:val="22"/>
        </w:rPr>
        <w:t>3</w:t>
      </w:r>
      <w:r w:rsidRPr="00043A1E">
        <w:rPr>
          <w:rFonts w:ascii="Times Ext Roman" w:hAnsi="新細明體" w:cs="Times Ext Roman" w:hint="eastAsia"/>
          <w:szCs w:val="22"/>
        </w:rPr>
        <w:t>）</w:t>
      </w:r>
      <w:r w:rsidRPr="00043A1E">
        <w:rPr>
          <w:rFonts w:ascii="Times Ext Roman" w:hAnsi="新細明體" w:cs="Times Ext Roman"/>
          <w:szCs w:val="22"/>
        </w:rPr>
        <w:t>《阿毘達磨俱舍論》卷</w:t>
      </w:r>
      <w:r w:rsidRPr="00761EF3">
        <w:rPr>
          <w:szCs w:val="22"/>
        </w:rPr>
        <w:t>7</w:t>
      </w:r>
      <w:r w:rsidRPr="00043A1E">
        <w:rPr>
          <w:rFonts w:ascii="Times Ext Roman" w:hAnsi="Times Ext Roman" w:cs="Times Ext Roman" w:hint="eastAsia"/>
          <w:szCs w:val="22"/>
        </w:rPr>
        <w:t>〈</w:t>
      </w:r>
      <w:r w:rsidRPr="00761EF3">
        <w:rPr>
          <w:rFonts w:hint="eastAsia"/>
          <w:szCs w:val="22"/>
        </w:rPr>
        <w:t>2</w:t>
      </w:r>
      <w:r w:rsidRPr="00043A1E">
        <w:rPr>
          <w:rFonts w:hint="eastAsia"/>
          <w:szCs w:val="22"/>
        </w:rPr>
        <w:t xml:space="preserve"> </w:t>
      </w:r>
      <w:r w:rsidRPr="00043A1E">
        <w:rPr>
          <w:rFonts w:ascii="Times Ext Roman" w:hAnsi="Times Ext Roman" w:cs="Times Ext Roman" w:hint="eastAsia"/>
          <w:szCs w:val="22"/>
        </w:rPr>
        <w:t>分別根品〉</w:t>
      </w:r>
      <w:r w:rsidRPr="00043A1E">
        <w:rPr>
          <w:rFonts w:ascii="Times Ext Roman" w:hAnsi="Times Ext Roman" w:cs="Times Ext Roman"/>
          <w:szCs w:val="22"/>
        </w:rPr>
        <w:t>（</w:t>
      </w:r>
      <w:r w:rsidRPr="00043A1E">
        <w:rPr>
          <w:rFonts w:ascii="Times Ext Roman" w:hAnsi="新細明體" w:cs="Times Ext Roman"/>
          <w:szCs w:val="22"/>
        </w:rPr>
        <w:t>大正</w:t>
      </w:r>
      <w:r w:rsidRPr="00761EF3">
        <w:rPr>
          <w:szCs w:val="22"/>
        </w:rPr>
        <w:t>29</w:t>
      </w:r>
      <w:r w:rsidRPr="00043A1E">
        <w:rPr>
          <w:rFonts w:ascii="Times Ext Roman" w:hAnsi="新細明體" w:cs="Times Ext Roman"/>
          <w:szCs w:val="22"/>
        </w:rPr>
        <w:t>，</w:t>
      </w:r>
      <w:r w:rsidRPr="00761EF3">
        <w:rPr>
          <w:szCs w:val="22"/>
        </w:rPr>
        <w:t>36b14</w:t>
      </w:r>
      <w:r w:rsidRPr="00043A1E">
        <w:rPr>
          <w:szCs w:val="22"/>
        </w:rPr>
        <w:t>-</w:t>
      </w:r>
      <w:r w:rsidRPr="00761EF3">
        <w:rPr>
          <w:szCs w:val="22"/>
        </w:rPr>
        <w:t>16</w:t>
      </w:r>
      <w:r w:rsidRPr="00043A1E">
        <w:rPr>
          <w:rFonts w:ascii="Times Ext Roman" w:hAnsi="Times Ext Roman" w:cs="Times Ext Roman"/>
          <w:szCs w:val="22"/>
        </w:rPr>
        <w:t>）</w:t>
      </w:r>
      <w:r w:rsidRPr="00043A1E">
        <w:rPr>
          <w:rFonts w:ascii="Times Ext Roman" w:hAnsi="新細明體" w:cs="Times Ext Roman"/>
          <w:szCs w:val="22"/>
        </w:rPr>
        <w:t>：</w:t>
      </w:r>
    </w:p>
    <w:p w:rsidR="00157EF6" w:rsidRPr="00043A1E" w:rsidRDefault="00157EF6" w:rsidP="00AA120F">
      <w:pPr>
        <w:pStyle w:val="a5"/>
        <w:ind w:leftChars="335" w:left="804"/>
        <w:jc w:val="both"/>
        <w:rPr>
          <w:rFonts w:ascii="Times Ext Roman" w:hAnsi="Times Ext Roman" w:cs="Times Ext Roman"/>
          <w:szCs w:val="22"/>
        </w:rPr>
      </w:pPr>
      <w:r w:rsidRPr="00043A1E">
        <w:rPr>
          <w:rFonts w:ascii="Times Ext Roman" w:eastAsia="標楷體" w:hAnsi="新細明體" w:cs="Times Ext Roman"/>
          <w:szCs w:val="22"/>
        </w:rPr>
        <w:t>四緣性，謂</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szCs w:val="22"/>
        </w:rPr>
        <w:t>因緣性</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szCs w:val="22"/>
        </w:rPr>
        <w:t>、</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szCs w:val="22"/>
        </w:rPr>
        <w:t>等無間緣性</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szCs w:val="22"/>
        </w:rPr>
        <w:t>、</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szCs w:val="22"/>
        </w:rPr>
        <w:t>所緣緣性</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szCs w:val="22"/>
        </w:rPr>
        <w:t>、</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szCs w:val="22"/>
        </w:rPr>
        <w:t>增上緣性</w:t>
      </w:r>
      <w:r w:rsidR="000F4051">
        <w:rPr>
          <w:rFonts w:ascii="標楷體" w:eastAsia="標楷體" w:hAnsi="標楷體" w:hint="eastAsia"/>
          <w:bCs/>
          <w:color w:val="FF0000"/>
          <w:kern w:val="0"/>
          <w:highlight w:val="yellow"/>
        </w:rPr>
        <w:t>」</w:t>
      </w:r>
      <w:r w:rsidRPr="00043A1E">
        <w:rPr>
          <w:rFonts w:ascii="Times Ext Roman" w:eastAsia="標楷體" w:hAnsi="新細明體" w:cs="Times Ext Roman"/>
          <w:szCs w:val="22"/>
        </w:rPr>
        <w:t>。</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4</w:t>
      </w:r>
      <w:r w:rsidRPr="00043A1E">
        <w:rPr>
          <w:rFonts w:hint="eastAsia"/>
          <w:szCs w:val="22"/>
        </w:rPr>
        <w:t>）</w:t>
      </w:r>
      <w:r w:rsidRPr="00043A1E">
        <w:rPr>
          <w:szCs w:val="22"/>
        </w:rPr>
        <w:t>《成實論》卷</w:t>
      </w:r>
      <w:r w:rsidRPr="00761EF3">
        <w:rPr>
          <w:szCs w:val="22"/>
        </w:rPr>
        <w:t>2</w:t>
      </w:r>
      <w:r w:rsidRPr="00043A1E">
        <w:rPr>
          <w:szCs w:val="22"/>
        </w:rPr>
        <w:t>〈</w:t>
      </w:r>
      <w:r w:rsidRPr="00761EF3">
        <w:rPr>
          <w:szCs w:val="22"/>
        </w:rPr>
        <w:t>17</w:t>
      </w:r>
      <w:r w:rsidRPr="00043A1E">
        <w:rPr>
          <w:rFonts w:hint="eastAsia"/>
          <w:szCs w:val="22"/>
        </w:rPr>
        <w:t xml:space="preserve"> </w:t>
      </w:r>
      <w:r w:rsidRPr="00043A1E">
        <w:rPr>
          <w:rFonts w:hint="eastAsia"/>
          <w:szCs w:val="22"/>
        </w:rPr>
        <w:t>四諦品〉</w:t>
      </w:r>
      <w:r w:rsidRPr="00043A1E">
        <w:rPr>
          <w:szCs w:val="22"/>
        </w:rPr>
        <w:t>（大正</w:t>
      </w:r>
      <w:r w:rsidRPr="00761EF3">
        <w:rPr>
          <w:szCs w:val="22"/>
        </w:rPr>
        <w:t>32</w:t>
      </w:r>
      <w:r w:rsidRPr="00043A1E">
        <w:rPr>
          <w:szCs w:val="22"/>
        </w:rPr>
        <w:t>，</w:t>
      </w:r>
      <w:r w:rsidRPr="00761EF3">
        <w:rPr>
          <w:szCs w:val="22"/>
        </w:rPr>
        <w:t>251a20</w:t>
      </w:r>
      <w:r w:rsidRPr="00043A1E">
        <w:rPr>
          <w:szCs w:val="22"/>
        </w:rPr>
        <w:t>-</w:t>
      </w:r>
      <w:r w:rsidRPr="00761EF3">
        <w:rPr>
          <w:szCs w:val="22"/>
        </w:rPr>
        <w:t>21</w:t>
      </w:r>
      <w:r w:rsidRPr="00043A1E">
        <w:rPr>
          <w:szCs w:val="22"/>
        </w:rPr>
        <w:t>）：</w:t>
      </w:r>
    </w:p>
    <w:p w:rsidR="00157EF6" w:rsidRPr="00043A1E" w:rsidRDefault="00157EF6" w:rsidP="00AA120F">
      <w:pPr>
        <w:pStyle w:val="a5"/>
        <w:ind w:leftChars="335" w:left="804"/>
        <w:jc w:val="both"/>
        <w:rPr>
          <w:szCs w:val="22"/>
        </w:rPr>
      </w:pPr>
      <w:r w:rsidRPr="00043A1E">
        <w:rPr>
          <w:rFonts w:ascii="標楷體" w:eastAsia="標楷體" w:hAnsi="標楷體"/>
          <w:szCs w:val="22"/>
        </w:rPr>
        <w:t>四緣</w:t>
      </w:r>
      <w:r w:rsidR="000F4051">
        <w:rPr>
          <w:rFonts w:ascii="標楷體" w:eastAsia="標楷體" w:hAnsi="標楷體" w:hint="eastAsia"/>
          <w:color w:val="FF0000"/>
          <w:kern w:val="0"/>
          <w:highlight w:val="yellow"/>
        </w:rPr>
        <w:t>，</w:t>
      </w:r>
      <w:r w:rsidRPr="00043A1E">
        <w:rPr>
          <w:rFonts w:ascii="標楷體" w:eastAsia="標楷體" w:hAnsi="標楷體"/>
          <w:szCs w:val="22"/>
        </w:rPr>
        <w:t>識生，所謂</w:t>
      </w:r>
      <w:r w:rsidR="000F4051">
        <w:rPr>
          <w:rFonts w:ascii="標楷體" w:eastAsia="標楷體" w:hAnsi="標楷體" w:hint="eastAsia"/>
          <w:bCs/>
          <w:color w:val="FF0000"/>
          <w:kern w:val="0"/>
          <w:highlight w:val="yellow"/>
        </w:rPr>
        <w:t>「</w:t>
      </w:r>
      <w:r w:rsidRPr="00043A1E">
        <w:rPr>
          <w:rFonts w:ascii="標楷體" w:eastAsia="標楷體" w:hAnsi="標楷體"/>
          <w:szCs w:val="22"/>
        </w:rPr>
        <w:t>因緣</w:t>
      </w:r>
      <w:r w:rsidR="000F4051">
        <w:rPr>
          <w:rFonts w:ascii="標楷體" w:eastAsia="標楷體" w:hAnsi="標楷體" w:hint="eastAsia"/>
          <w:bCs/>
          <w:color w:val="FF0000"/>
          <w:kern w:val="0"/>
          <w:highlight w:val="yellow"/>
        </w:rPr>
        <w:t>」</w:t>
      </w:r>
      <w:r w:rsidRPr="00043A1E">
        <w:rPr>
          <w:rFonts w:ascii="標楷體" w:eastAsia="標楷體" w:hAnsi="標楷體"/>
          <w:szCs w:val="22"/>
        </w:rPr>
        <w:t>、</w:t>
      </w:r>
      <w:r w:rsidR="000F4051">
        <w:rPr>
          <w:rFonts w:ascii="標楷體" w:eastAsia="標楷體" w:hAnsi="標楷體" w:hint="eastAsia"/>
          <w:bCs/>
          <w:color w:val="FF0000"/>
          <w:kern w:val="0"/>
          <w:highlight w:val="yellow"/>
        </w:rPr>
        <w:t>「</w:t>
      </w:r>
      <w:r w:rsidRPr="00043A1E">
        <w:rPr>
          <w:rFonts w:ascii="標楷體" w:eastAsia="標楷體" w:hAnsi="標楷體"/>
          <w:szCs w:val="22"/>
        </w:rPr>
        <w:t>次第緣</w:t>
      </w:r>
      <w:r w:rsidR="000F4051">
        <w:rPr>
          <w:rFonts w:ascii="標楷體" w:eastAsia="標楷體" w:hAnsi="標楷體" w:hint="eastAsia"/>
          <w:bCs/>
          <w:color w:val="FF0000"/>
          <w:kern w:val="0"/>
          <w:highlight w:val="yellow"/>
        </w:rPr>
        <w:t>」</w:t>
      </w:r>
      <w:r w:rsidRPr="00043A1E">
        <w:rPr>
          <w:rFonts w:ascii="標楷體" w:eastAsia="標楷體" w:hAnsi="標楷體"/>
          <w:szCs w:val="22"/>
        </w:rPr>
        <w:t>、</w:t>
      </w:r>
      <w:r w:rsidR="000F4051">
        <w:rPr>
          <w:rFonts w:ascii="標楷體" w:eastAsia="標楷體" w:hAnsi="標楷體" w:hint="eastAsia"/>
          <w:bCs/>
          <w:color w:val="FF0000"/>
          <w:kern w:val="0"/>
          <w:highlight w:val="yellow"/>
        </w:rPr>
        <w:t>「</w:t>
      </w:r>
      <w:r w:rsidRPr="00043A1E">
        <w:rPr>
          <w:rFonts w:ascii="標楷體" w:eastAsia="標楷體" w:hAnsi="標楷體"/>
          <w:szCs w:val="22"/>
        </w:rPr>
        <w:t>緣緣</w:t>
      </w:r>
      <w:r w:rsidR="000F4051">
        <w:rPr>
          <w:rFonts w:ascii="標楷體" w:eastAsia="標楷體" w:hAnsi="標楷體" w:hint="eastAsia"/>
          <w:bCs/>
          <w:color w:val="FF0000"/>
          <w:kern w:val="0"/>
          <w:highlight w:val="yellow"/>
        </w:rPr>
        <w:t>」</w:t>
      </w:r>
      <w:r w:rsidRPr="00043A1E">
        <w:rPr>
          <w:rFonts w:ascii="標楷體" w:eastAsia="標楷體" w:hAnsi="標楷體"/>
          <w:szCs w:val="22"/>
        </w:rPr>
        <w:t>、</w:t>
      </w:r>
      <w:r w:rsidR="000F4051">
        <w:rPr>
          <w:rFonts w:ascii="標楷體" w:eastAsia="標楷體" w:hAnsi="標楷體" w:hint="eastAsia"/>
          <w:bCs/>
          <w:color w:val="FF0000"/>
          <w:kern w:val="0"/>
          <w:highlight w:val="yellow"/>
        </w:rPr>
        <w:t>「</w:t>
      </w:r>
      <w:r w:rsidRPr="00043A1E">
        <w:rPr>
          <w:rFonts w:ascii="標楷體" w:eastAsia="標楷體" w:hAnsi="標楷體"/>
          <w:szCs w:val="22"/>
        </w:rPr>
        <w:t>增上緣</w:t>
      </w:r>
      <w:r w:rsidR="000F4051">
        <w:rPr>
          <w:rFonts w:ascii="標楷體" w:eastAsia="標楷體" w:hAnsi="標楷體" w:hint="eastAsia"/>
          <w:bCs/>
          <w:color w:val="FF0000"/>
          <w:kern w:val="0"/>
          <w:highlight w:val="yellow"/>
        </w:rPr>
        <w:t>」</w:t>
      </w:r>
      <w:r w:rsidRPr="00043A1E">
        <w:rPr>
          <w:rFonts w:ascii="標楷體" w:eastAsia="標楷體" w:hAnsi="標楷體"/>
          <w:szCs w:val="22"/>
        </w:rPr>
        <w:t>。</w:t>
      </w:r>
    </w:p>
    <w:p w:rsidR="00157EF6" w:rsidRPr="00043A1E" w:rsidRDefault="00157EF6" w:rsidP="00AA120F">
      <w:pPr>
        <w:pStyle w:val="a5"/>
        <w:ind w:leftChars="105" w:left="791" w:hangingChars="245" w:hanging="539"/>
        <w:jc w:val="both"/>
        <w:rPr>
          <w:rFonts w:ascii="Times Ext Roman" w:hAnsi="新細明體" w:cs="Times Ext Roman"/>
          <w:szCs w:val="22"/>
        </w:rPr>
      </w:pPr>
      <w:r w:rsidRPr="00043A1E">
        <w:rPr>
          <w:rFonts w:hint="eastAsia"/>
          <w:szCs w:val="22"/>
        </w:rPr>
        <w:t>（</w:t>
      </w:r>
      <w:r w:rsidRPr="00761EF3">
        <w:rPr>
          <w:rFonts w:hint="eastAsia"/>
          <w:szCs w:val="22"/>
        </w:rPr>
        <w:t>5</w:t>
      </w:r>
      <w:r w:rsidRPr="00043A1E">
        <w:rPr>
          <w:rFonts w:hint="eastAsia"/>
          <w:szCs w:val="22"/>
        </w:rPr>
        <w:t>）</w:t>
      </w:r>
      <w:r w:rsidRPr="00043A1E">
        <w:rPr>
          <w:rFonts w:ascii="Times Ext Roman" w:hAnsi="新細明體" w:cs="Times Ext Roman"/>
          <w:szCs w:val="22"/>
        </w:rPr>
        <w:t>《摩訶般若波羅蜜經》卷</w:t>
      </w:r>
      <w:r w:rsidRPr="00761EF3">
        <w:rPr>
          <w:szCs w:val="22"/>
        </w:rPr>
        <w:t>1</w:t>
      </w:r>
      <w:r w:rsidRPr="00043A1E">
        <w:rPr>
          <w:rFonts w:ascii="Times Ext Roman" w:hAnsi="Times Ext Roman" w:cs="Times Ext Roman" w:hint="eastAsia"/>
          <w:szCs w:val="22"/>
        </w:rPr>
        <w:t>〈</w:t>
      </w:r>
      <w:r w:rsidRPr="00761EF3">
        <w:rPr>
          <w:rFonts w:hint="eastAsia"/>
          <w:szCs w:val="22"/>
        </w:rPr>
        <w:t>1</w:t>
      </w:r>
      <w:r w:rsidRPr="00043A1E">
        <w:rPr>
          <w:rFonts w:hint="eastAsia"/>
          <w:szCs w:val="22"/>
        </w:rPr>
        <w:t xml:space="preserve"> </w:t>
      </w:r>
      <w:r w:rsidRPr="00043A1E">
        <w:rPr>
          <w:rFonts w:ascii="Times Ext Roman" w:hAnsi="Times Ext Roman" w:cs="Times Ext Roman" w:hint="eastAsia"/>
          <w:szCs w:val="22"/>
        </w:rPr>
        <w:t>序品〉</w:t>
      </w:r>
      <w:r w:rsidRPr="00043A1E">
        <w:rPr>
          <w:rFonts w:ascii="Times Ext Roman" w:hAnsi="Times Ext Roman" w:cs="Times Ext Roman"/>
          <w:szCs w:val="22"/>
        </w:rPr>
        <w:t>（</w:t>
      </w:r>
      <w:r w:rsidRPr="00043A1E">
        <w:rPr>
          <w:rFonts w:ascii="Times Ext Roman" w:hAnsi="新細明體" w:cs="Times Ext Roman"/>
          <w:szCs w:val="22"/>
        </w:rPr>
        <w:t>大正</w:t>
      </w:r>
      <w:r w:rsidRPr="00761EF3">
        <w:rPr>
          <w:szCs w:val="22"/>
        </w:rPr>
        <w:t>8</w:t>
      </w:r>
      <w:r w:rsidRPr="00043A1E">
        <w:rPr>
          <w:rFonts w:ascii="Times Ext Roman" w:hAnsi="新細明體" w:cs="Times Ext Roman"/>
          <w:szCs w:val="22"/>
        </w:rPr>
        <w:t>，</w:t>
      </w:r>
      <w:r w:rsidRPr="00761EF3">
        <w:rPr>
          <w:szCs w:val="22"/>
        </w:rPr>
        <w:t>219c12</w:t>
      </w:r>
      <w:r w:rsidRPr="00043A1E">
        <w:rPr>
          <w:szCs w:val="22"/>
        </w:rPr>
        <w:t>-</w:t>
      </w:r>
      <w:r w:rsidRPr="00761EF3">
        <w:rPr>
          <w:szCs w:val="22"/>
        </w:rPr>
        <w:t>14</w:t>
      </w:r>
      <w:r w:rsidRPr="00043A1E">
        <w:rPr>
          <w:rFonts w:ascii="Times Ext Roman" w:hAnsi="Times Ext Roman" w:cs="Times Ext Roman"/>
          <w:szCs w:val="22"/>
        </w:rPr>
        <w:t>）</w:t>
      </w:r>
      <w:r w:rsidRPr="00043A1E">
        <w:rPr>
          <w:rFonts w:ascii="Times Ext Roman" w:hAnsi="新細明體" w:cs="Times Ext Roman"/>
          <w:szCs w:val="22"/>
        </w:rPr>
        <w:t>：</w:t>
      </w:r>
    </w:p>
    <w:p w:rsidR="00157EF6" w:rsidRPr="00753639" w:rsidRDefault="00157EF6" w:rsidP="00AA120F">
      <w:pPr>
        <w:pStyle w:val="a5"/>
        <w:ind w:leftChars="335" w:left="804"/>
        <w:jc w:val="both"/>
        <w:rPr>
          <w:rFonts w:ascii="標楷體" w:eastAsia="標楷體" w:hAnsi="標楷體"/>
          <w:szCs w:val="22"/>
        </w:rPr>
      </w:pPr>
      <w:r w:rsidRPr="00753639">
        <w:rPr>
          <w:rFonts w:ascii="標楷體" w:eastAsia="標楷體" w:hAnsi="標楷體"/>
          <w:szCs w:val="22"/>
        </w:rPr>
        <w:t>菩薩摩訶薩欲知諸法</w:t>
      </w:r>
      <w:r w:rsidR="000F4051">
        <w:rPr>
          <w:rFonts w:ascii="標楷體" w:eastAsia="標楷體" w:hAnsi="標楷體" w:hint="eastAsia"/>
          <w:bCs/>
          <w:color w:val="FF0000"/>
          <w:kern w:val="0"/>
          <w:highlight w:val="yellow"/>
        </w:rPr>
        <w:t>「</w:t>
      </w:r>
      <w:r w:rsidRPr="00753639">
        <w:rPr>
          <w:rFonts w:ascii="標楷體" w:eastAsia="標楷體" w:hAnsi="標楷體"/>
          <w:szCs w:val="22"/>
        </w:rPr>
        <w:t>因緣、次第緣、緣緣、增上緣</w:t>
      </w:r>
      <w:r w:rsidR="000F4051">
        <w:rPr>
          <w:rFonts w:ascii="標楷體" w:eastAsia="標楷體" w:hAnsi="標楷體" w:hint="eastAsia"/>
          <w:bCs/>
          <w:color w:val="FF0000"/>
          <w:kern w:val="0"/>
          <w:highlight w:val="yellow"/>
        </w:rPr>
        <w:t>」</w:t>
      </w:r>
      <w:r w:rsidRPr="00753639">
        <w:rPr>
          <w:rFonts w:ascii="標楷體" w:eastAsia="標楷體" w:hAnsi="標楷體"/>
          <w:szCs w:val="22"/>
        </w:rPr>
        <w:t>，當學般若波羅蜜。</w:t>
      </w:r>
    </w:p>
  </w:footnote>
  <w:footnote w:id="788">
    <w:p w:rsidR="00157EF6" w:rsidRPr="00043A1E" w:rsidRDefault="00157EF6" w:rsidP="00AA120F">
      <w:pPr>
        <w:pStyle w:val="a5"/>
        <w:spacing w:line="0" w:lineRule="atLeast"/>
        <w:ind w:left="253" w:hangingChars="115" w:hanging="253"/>
        <w:jc w:val="both"/>
        <w:rPr>
          <w:rFonts w:ascii="Times Ext Roman" w:hAnsi="新細明體" w:cs="Times Ext Roman"/>
          <w:szCs w:val="22"/>
        </w:rPr>
      </w:pPr>
      <w:r w:rsidRPr="00043A1E">
        <w:rPr>
          <w:rStyle w:val="a6"/>
          <w:szCs w:val="22"/>
        </w:rPr>
        <w:footnoteRef/>
      </w:r>
      <w:r w:rsidRPr="00043A1E">
        <w:rPr>
          <w:rFonts w:ascii="Times Ext Roman" w:hAnsi="新細明體" w:cs="Times Ext Roman" w:hint="eastAsia"/>
          <w:szCs w:val="22"/>
        </w:rPr>
        <w:t xml:space="preserve"> </w:t>
      </w:r>
      <w:r w:rsidRPr="00043A1E">
        <w:rPr>
          <w:rFonts w:ascii="Times Ext Roman" w:hAnsi="新細明體" w:cs="Times Ext Roman"/>
          <w:szCs w:val="22"/>
        </w:rPr>
        <w:t>《舍利弗阿毘曇》卷</w:t>
      </w:r>
      <w:r w:rsidRPr="00761EF3">
        <w:rPr>
          <w:szCs w:val="22"/>
        </w:rPr>
        <w:t>25</w:t>
      </w:r>
      <w:r w:rsidRPr="00043A1E">
        <w:rPr>
          <w:rFonts w:ascii="Times Ext Roman" w:hAnsi="Times Ext Roman" w:cs="Times Ext Roman"/>
          <w:szCs w:val="22"/>
        </w:rPr>
        <w:t>〈</w:t>
      </w:r>
      <w:r w:rsidRPr="00761EF3">
        <w:rPr>
          <w:rStyle w:val="aff0"/>
          <w:rFonts w:ascii="Times New Roman" w:hAnsi="Times New Roman"/>
        </w:rPr>
        <w:t>1</w:t>
      </w:r>
      <w:r w:rsidRPr="00043A1E">
        <w:rPr>
          <w:rStyle w:val="aff0"/>
          <w:rFonts w:ascii="Times New Roman" w:hAnsi="Times New Roman"/>
        </w:rPr>
        <w:t xml:space="preserve"> </w:t>
      </w:r>
      <w:r w:rsidRPr="00043A1E">
        <w:rPr>
          <w:rFonts w:ascii="Times Ext Roman" w:hAnsi="新細明體" w:cs="Times Ext Roman"/>
          <w:bCs/>
          <w:szCs w:val="22"/>
        </w:rPr>
        <w:t>緒分遍品</w:t>
      </w:r>
      <w:r w:rsidRPr="00043A1E">
        <w:rPr>
          <w:rFonts w:ascii="Times Ext Roman" w:hAnsi="新細明體" w:cs="Times Ext Roman" w:hint="eastAsia"/>
          <w:bCs/>
          <w:szCs w:val="22"/>
        </w:rPr>
        <w:t>〉</w:t>
      </w:r>
      <w:r w:rsidRPr="00043A1E">
        <w:rPr>
          <w:rFonts w:ascii="Times Ext Roman" w:hAnsi="新細明體" w:cs="Times Ext Roman"/>
          <w:szCs w:val="22"/>
        </w:rPr>
        <w:t>（大正</w:t>
      </w:r>
      <w:r w:rsidRPr="00761EF3">
        <w:rPr>
          <w:szCs w:val="22"/>
        </w:rPr>
        <w:t>28</w:t>
      </w:r>
      <w:r w:rsidRPr="00043A1E">
        <w:rPr>
          <w:rFonts w:ascii="Times Ext Roman" w:hAnsi="新細明體" w:cs="Times Ext Roman"/>
          <w:szCs w:val="22"/>
        </w:rPr>
        <w:t>，</w:t>
      </w:r>
      <w:r w:rsidRPr="00761EF3">
        <w:rPr>
          <w:szCs w:val="22"/>
        </w:rPr>
        <w:t>679b8</w:t>
      </w:r>
      <w:r w:rsidRPr="00043A1E">
        <w:rPr>
          <w:szCs w:val="22"/>
        </w:rPr>
        <w:t>-</w:t>
      </w:r>
      <w:r w:rsidRPr="00761EF3">
        <w:rPr>
          <w:szCs w:val="22"/>
        </w:rPr>
        <w:t>9</w:t>
      </w:r>
      <w:r w:rsidRPr="00043A1E">
        <w:rPr>
          <w:rFonts w:ascii="Times Ext Roman" w:hAnsi="Times Ext Roman" w:cs="Times Ext Roman"/>
          <w:szCs w:val="22"/>
        </w:rPr>
        <w:t>）</w:t>
      </w:r>
      <w:r w:rsidRPr="00043A1E">
        <w:rPr>
          <w:rFonts w:ascii="Times Ext Roman" w:hAnsi="新細明體" w:cs="Times Ext Roman"/>
          <w:szCs w:val="22"/>
        </w:rPr>
        <w:t>：</w:t>
      </w:r>
    </w:p>
    <w:p w:rsidR="00157EF6" w:rsidRPr="00043A1E" w:rsidRDefault="00157EF6" w:rsidP="00AA120F">
      <w:pPr>
        <w:pStyle w:val="a5"/>
        <w:ind w:leftChars="105" w:left="252"/>
        <w:jc w:val="both"/>
        <w:rPr>
          <w:rFonts w:ascii="Times Ext Roman" w:hAnsi="Times Ext Roman" w:cs="Times Ext Roman"/>
          <w:szCs w:val="22"/>
        </w:rPr>
      </w:pPr>
      <w:r w:rsidRPr="00043A1E">
        <w:rPr>
          <w:rFonts w:ascii="Times Ext Roman" w:eastAsia="標楷體" w:hAnsi="新細明體" w:cs="Times Ext Roman"/>
          <w:szCs w:val="22"/>
        </w:rPr>
        <w:t>十緣，謂</w:t>
      </w:r>
      <w:r w:rsidRPr="00416BE2">
        <w:rPr>
          <w:rFonts w:hint="eastAsia"/>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w:t>
      </w:r>
      <w:r w:rsidRPr="00043A1E">
        <w:rPr>
          <w:rFonts w:ascii="Times Ext Roman" w:eastAsia="標楷體" w:hAnsi="新細明體" w:cs="Times Ext Roman"/>
          <w:szCs w:val="22"/>
        </w:rPr>
        <w:t>因緣、</w:t>
      </w:r>
      <w:r w:rsidRPr="00416BE2">
        <w:rPr>
          <w:rFonts w:hint="eastAsia"/>
          <w:szCs w:val="22"/>
          <w:shd w:val="pct15" w:color="auto" w:fill="FFFFFF"/>
          <w:vertAlign w:val="superscript"/>
        </w:rPr>
        <w:t>（</w:t>
      </w:r>
      <w:r w:rsidRPr="00416BE2">
        <w:rPr>
          <w:rFonts w:hint="eastAsia"/>
          <w:szCs w:val="22"/>
          <w:shd w:val="pct15" w:color="auto" w:fill="FFFFFF"/>
          <w:vertAlign w:val="superscript"/>
        </w:rPr>
        <w:t>2</w:t>
      </w:r>
      <w:r w:rsidRPr="00416BE2">
        <w:rPr>
          <w:rFonts w:hint="eastAsia"/>
          <w:szCs w:val="22"/>
          <w:shd w:val="pct15" w:color="auto" w:fill="FFFFFF"/>
          <w:vertAlign w:val="superscript"/>
        </w:rPr>
        <w:t>）</w:t>
      </w:r>
      <w:r w:rsidRPr="00043A1E">
        <w:rPr>
          <w:rFonts w:ascii="Times Ext Roman" w:eastAsia="標楷體" w:hAnsi="新細明體" w:cs="Times Ext Roman"/>
          <w:szCs w:val="22"/>
        </w:rPr>
        <w:t>無間緣、</w:t>
      </w:r>
      <w:r w:rsidRPr="00416BE2">
        <w:rPr>
          <w:rFonts w:hint="eastAsia"/>
          <w:szCs w:val="22"/>
          <w:shd w:val="pct15" w:color="auto" w:fill="FFFFFF"/>
          <w:vertAlign w:val="superscript"/>
        </w:rPr>
        <w:t>（</w:t>
      </w:r>
      <w:r w:rsidRPr="00416BE2">
        <w:rPr>
          <w:rFonts w:hint="eastAsia"/>
          <w:szCs w:val="22"/>
          <w:shd w:val="pct15" w:color="auto" w:fill="FFFFFF"/>
          <w:vertAlign w:val="superscript"/>
        </w:rPr>
        <w:t>3</w:t>
      </w:r>
      <w:r w:rsidRPr="00416BE2">
        <w:rPr>
          <w:rFonts w:hint="eastAsia"/>
          <w:szCs w:val="22"/>
          <w:shd w:val="pct15" w:color="auto" w:fill="FFFFFF"/>
          <w:vertAlign w:val="superscript"/>
        </w:rPr>
        <w:t>）</w:t>
      </w:r>
      <w:r w:rsidRPr="00043A1E">
        <w:rPr>
          <w:rFonts w:ascii="Times Ext Roman" w:eastAsia="標楷體" w:hAnsi="新細明體" w:cs="Times Ext Roman"/>
          <w:szCs w:val="22"/>
        </w:rPr>
        <w:t>境界緣、</w:t>
      </w:r>
      <w:r w:rsidRPr="00416BE2">
        <w:rPr>
          <w:rFonts w:hint="eastAsia"/>
          <w:szCs w:val="22"/>
          <w:shd w:val="pct15" w:color="auto" w:fill="FFFFFF"/>
          <w:vertAlign w:val="superscript"/>
        </w:rPr>
        <w:t>（</w:t>
      </w:r>
      <w:r w:rsidRPr="00416BE2">
        <w:rPr>
          <w:rFonts w:hint="eastAsia"/>
          <w:szCs w:val="22"/>
          <w:shd w:val="pct15" w:color="auto" w:fill="FFFFFF"/>
          <w:vertAlign w:val="superscript"/>
        </w:rPr>
        <w:t>4</w:t>
      </w:r>
      <w:r w:rsidRPr="00416BE2">
        <w:rPr>
          <w:rFonts w:hint="eastAsia"/>
          <w:szCs w:val="22"/>
          <w:shd w:val="pct15" w:color="auto" w:fill="FFFFFF"/>
          <w:vertAlign w:val="superscript"/>
        </w:rPr>
        <w:t>）</w:t>
      </w:r>
      <w:r w:rsidRPr="00043A1E">
        <w:rPr>
          <w:rFonts w:ascii="Times Ext Roman" w:eastAsia="標楷體" w:hAnsi="新細明體" w:cs="Times Ext Roman"/>
          <w:szCs w:val="22"/>
        </w:rPr>
        <w:t>依緣、</w:t>
      </w:r>
      <w:r w:rsidRPr="00416BE2">
        <w:rPr>
          <w:rFonts w:hint="eastAsia"/>
          <w:szCs w:val="22"/>
          <w:shd w:val="pct15" w:color="auto" w:fill="FFFFFF"/>
          <w:vertAlign w:val="superscript"/>
        </w:rPr>
        <w:t>（</w:t>
      </w:r>
      <w:r w:rsidRPr="00416BE2">
        <w:rPr>
          <w:rFonts w:hint="eastAsia"/>
          <w:szCs w:val="22"/>
          <w:shd w:val="pct15" w:color="auto" w:fill="FFFFFF"/>
          <w:vertAlign w:val="superscript"/>
        </w:rPr>
        <w:t>5</w:t>
      </w:r>
      <w:r w:rsidRPr="00416BE2">
        <w:rPr>
          <w:rFonts w:hint="eastAsia"/>
          <w:szCs w:val="22"/>
          <w:shd w:val="pct15" w:color="auto" w:fill="FFFFFF"/>
          <w:vertAlign w:val="superscript"/>
        </w:rPr>
        <w:t>）</w:t>
      </w:r>
      <w:r w:rsidRPr="00043A1E">
        <w:rPr>
          <w:rFonts w:ascii="Times Ext Roman" w:eastAsia="標楷體" w:hAnsi="新細明體" w:cs="Times Ext Roman"/>
          <w:szCs w:val="22"/>
        </w:rPr>
        <w:t>業緣、</w:t>
      </w:r>
      <w:r w:rsidRPr="00416BE2">
        <w:rPr>
          <w:rFonts w:hint="eastAsia"/>
          <w:szCs w:val="22"/>
          <w:shd w:val="pct15" w:color="auto" w:fill="FFFFFF"/>
          <w:vertAlign w:val="superscript"/>
        </w:rPr>
        <w:t>（</w:t>
      </w:r>
      <w:r w:rsidRPr="00416BE2">
        <w:rPr>
          <w:rFonts w:hint="eastAsia"/>
          <w:szCs w:val="22"/>
          <w:shd w:val="pct15" w:color="auto" w:fill="FFFFFF"/>
          <w:vertAlign w:val="superscript"/>
        </w:rPr>
        <w:t>6</w:t>
      </w:r>
      <w:r w:rsidRPr="00416BE2">
        <w:rPr>
          <w:rFonts w:hint="eastAsia"/>
          <w:szCs w:val="22"/>
          <w:shd w:val="pct15" w:color="auto" w:fill="FFFFFF"/>
          <w:vertAlign w:val="superscript"/>
        </w:rPr>
        <w:t>）</w:t>
      </w:r>
      <w:r w:rsidRPr="00043A1E">
        <w:rPr>
          <w:rFonts w:ascii="Times Ext Roman" w:eastAsia="標楷體" w:hAnsi="新細明體" w:cs="Times Ext Roman"/>
          <w:szCs w:val="22"/>
        </w:rPr>
        <w:t>報緣、</w:t>
      </w:r>
      <w:r w:rsidRPr="00416BE2">
        <w:rPr>
          <w:rFonts w:hint="eastAsia"/>
          <w:szCs w:val="22"/>
          <w:shd w:val="pct15" w:color="auto" w:fill="FFFFFF"/>
          <w:vertAlign w:val="superscript"/>
        </w:rPr>
        <w:t>（</w:t>
      </w:r>
      <w:r w:rsidRPr="00416BE2">
        <w:rPr>
          <w:rFonts w:hint="eastAsia"/>
          <w:szCs w:val="22"/>
          <w:shd w:val="pct15" w:color="auto" w:fill="FFFFFF"/>
          <w:vertAlign w:val="superscript"/>
        </w:rPr>
        <w:t>7</w:t>
      </w:r>
      <w:r w:rsidRPr="00416BE2">
        <w:rPr>
          <w:rFonts w:hint="eastAsia"/>
          <w:szCs w:val="22"/>
          <w:shd w:val="pct15" w:color="auto" w:fill="FFFFFF"/>
          <w:vertAlign w:val="superscript"/>
        </w:rPr>
        <w:t>）</w:t>
      </w:r>
      <w:r w:rsidRPr="00043A1E">
        <w:rPr>
          <w:rFonts w:ascii="Times Ext Roman" w:eastAsia="標楷體" w:hAnsi="新細明體" w:cs="Times Ext Roman"/>
          <w:szCs w:val="22"/>
        </w:rPr>
        <w:t>起緣、</w:t>
      </w:r>
      <w:r w:rsidRPr="00416BE2">
        <w:rPr>
          <w:rFonts w:hint="eastAsia"/>
          <w:szCs w:val="22"/>
          <w:shd w:val="pct15" w:color="auto" w:fill="FFFFFF"/>
          <w:vertAlign w:val="superscript"/>
        </w:rPr>
        <w:t>（</w:t>
      </w:r>
      <w:r w:rsidRPr="00416BE2">
        <w:rPr>
          <w:rFonts w:hint="eastAsia"/>
          <w:szCs w:val="22"/>
          <w:shd w:val="pct15" w:color="auto" w:fill="FFFFFF"/>
          <w:vertAlign w:val="superscript"/>
        </w:rPr>
        <w:t>8</w:t>
      </w:r>
      <w:r w:rsidRPr="00416BE2">
        <w:rPr>
          <w:rFonts w:hint="eastAsia"/>
          <w:szCs w:val="22"/>
          <w:shd w:val="pct15" w:color="auto" w:fill="FFFFFF"/>
          <w:vertAlign w:val="superscript"/>
        </w:rPr>
        <w:t>）</w:t>
      </w:r>
      <w:r w:rsidRPr="00043A1E">
        <w:rPr>
          <w:rFonts w:ascii="Times Ext Roman" w:eastAsia="標楷體" w:hAnsi="新細明體" w:cs="Times Ext Roman"/>
          <w:szCs w:val="22"/>
        </w:rPr>
        <w:t>異緣、</w:t>
      </w:r>
      <w:r w:rsidRPr="00416BE2">
        <w:rPr>
          <w:rFonts w:hint="eastAsia"/>
          <w:szCs w:val="22"/>
          <w:shd w:val="pct15" w:color="auto" w:fill="FFFFFF"/>
          <w:vertAlign w:val="superscript"/>
        </w:rPr>
        <w:t>（</w:t>
      </w:r>
      <w:r w:rsidRPr="00416BE2">
        <w:rPr>
          <w:rFonts w:hint="eastAsia"/>
          <w:szCs w:val="22"/>
          <w:shd w:val="pct15" w:color="auto" w:fill="FFFFFF"/>
          <w:vertAlign w:val="superscript"/>
        </w:rPr>
        <w:t>9</w:t>
      </w:r>
      <w:r w:rsidRPr="00416BE2">
        <w:rPr>
          <w:rFonts w:hint="eastAsia"/>
          <w:szCs w:val="22"/>
          <w:shd w:val="pct15" w:color="auto" w:fill="FFFFFF"/>
          <w:vertAlign w:val="superscript"/>
        </w:rPr>
        <w:t>）</w:t>
      </w:r>
      <w:r w:rsidRPr="00043A1E">
        <w:rPr>
          <w:rFonts w:ascii="Times Ext Roman" w:eastAsia="標楷體" w:hAnsi="新細明體" w:cs="Times Ext Roman"/>
          <w:szCs w:val="22"/>
        </w:rPr>
        <w:t>相續緣</w:t>
      </w:r>
      <w:r w:rsidR="00416BE2">
        <w:rPr>
          <w:rFonts w:ascii="Times Ext Roman" w:eastAsia="標楷體" w:hAnsi="新細明體" w:cs="Times Ext Roman" w:hint="eastAsia"/>
          <w:szCs w:val="22"/>
        </w:rPr>
        <w:t>、</w:t>
      </w:r>
      <w:r w:rsidRPr="00416BE2">
        <w:rPr>
          <w:rFonts w:hint="eastAsia"/>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0</w:t>
      </w:r>
      <w:r w:rsidRPr="00416BE2">
        <w:rPr>
          <w:rFonts w:hint="eastAsia"/>
          <w:szCs w:val="22"/>
          <w:shd w:val="pct15" w:color="auto" w:fill="FFFFFF"/>
          <w:vertAlign w:val="superscript"/>
        </w:rPr>
        <w:t>）</w:t>
      </w:r>
      <w:r w:rsidRPr="00043A1E">
        <w:rPr>
          <w:rFonts w:ascii="Times Ext Roman" w:eastAsia="標楷體" w:hAnsi="新細明體" w:cs="Times Ext Roman"/>
          <w:szCs w:val="22"/>
        </w:rPr>
        <w:t>增上緣。</w:t>
      </w:r>
    </w:p>
  </w:footnote>
  <w:footnote w:id="789">
    <w:p w:rsidR="00157EF6" w:rsidRPr="00043A1E" w:rsidRDefault="00157EF6" w:rsidP="00AA120F">
      <w:pPr>
        <w:pStyle w:val="a5"/>
        <w:spacing w:line="0" w:lineRule="atLeast"/>
        <w:ind w:left="792" w:hangingChars="360" w:hanging="792"/>
        <w:jc w:val="both"/>
        <w:rPr>
          <w:rFonts w:ascii="Times Ext Roman" w:hAnsi="新細明體" w:cs="Times Ext Roman"/>
          <w:szCs w:val="22"/>
        </w:rPr>
      </w:pPr>
      <w:r w:rsidRPr="00043A1E">
        <w:rPr>
          <w:rStyle w:val="a6"/>
          <w:szCs w:val="22"/>
        </w:rPr>
        <w:footnoteRef/>
      </w:r>
      <w:r w:rsidRPr="00043A1E">
        <w:rPr>
          <w:rFonts w:ascii="Times Ext Roman" w:hAnsi="Times Ext Roman" w:cs="Times Ext Roman" w:hint="eastAsia"/>
          <w:szCs w:val="22"/>
        </w:rPr>
        <w:t xml:space="preserve"> </w:t>
      </w:r>
      <w:r w:rsidRPr="00043A1E">
        <w:rPr>
          <w:rFonts w:ascii="Times Ext Roman" w:hAnsi="Times Ext Roman" w:cs="Times Ext Roman" w:hint="eastAsia"/>
          <w:szCs w:val="22"/>
        </w:rPr>
        <w:t>（</w:t>
      </w:r>
      <w:r w:rsidRPr="00761EF3">
        <w:rPr>
          <w:rFonts w:hint="eastAsia"/>
          <w:szCs w:val="22"/>
        </w:rPr>
        <w:t>1</w:t>
      </w:r>
      <w:r w:rsidRPr="00043A1E">
        <w:rPr>
          <w:rFonts w:ascii="Times Ext Roman" w:hAnsi="Times Ext Roman" w:cs="Times Ext Roman" w:hint="eastAsia"/>
          <w:szCs w:val="22"/>
        </w:rPr>
        <w:t>）</w:t>
      </w:r>
      <w:r w:rsidRPr="00043A1E">
        <w:rPr>
          <w:rFonts w:ascii="Times Ext Roman" w:hAnsi="新細明體" w:cs="Times Ext Roman"/>
          <w:szCs w:val="22"/>
        </w:rPr>
        <w:t>印順法師，《說一切有部為主的論書與論師之研究》，</w:t>
      </w:r>
      <w:r w:rsidRPr="00761EF3">
        <w:rPr>
          <w:szCs w:val="22"/>
        </w:rPr>
        <w:t>p</w:t>
      </w:r>
      <w:r w:rsidRPr="00043A1E">
        <w:rPr>
          <w:szCs w:val="22"/>
        </w:rPr>
        <w:t>.</w:t>
      </w:r>
      <w:r w:rsidRPr="00761EF3">
        <w:rPr>
          <w:szCs w:val="22"/>
        </w:rPr>
        <w:t>443</w:t>
      </w:r>
      <w:r w:rsidRPr="00043A1E">
        <w:rPr>
          <w:rFonts w:ascii="Times Ext Roman" w:hAnsi="新細明體" w:cs="Times Ext Roman"/>
          <w:szCs w:val="22"/>
        </w:rPr>
        <w:t>：</w:t>
      </w:r>
    </w:p>
    <w:p w:rsidR="00157EF6" w:rsidRDefault="00157EF6" w:rsidP="00AA120F">
      <w:pPr>
        <w:pStyle w:val="a5"/>
        <w:ind w:leftChars="335" w:left="804"/>
        <w:jc w:val="both"/>
        <w:rPr>
          <w:rFonts w:ascii="標楷體" w:eastAsia="標楷體" w:hAnsi="標楷體" w:cs="Times Ext Roman"/>
          <w:szCs w:val="22"/>
        </w:rPr>
      </w:pPr>
      <w:r w:rsidRPr="00043A1E">
        <w:rPr>
          <w:rFonts w:ascii="標楷體" w:eastAsia="標楷體" w:hAnsi="標楷體" w:cs="Times Ext Roman"/>
          <w:szCs w:val="22"/>
        </w:rPr>
        <w:t>銅鍱部所立的二十四緣：</w:t>
      </w:r>
    </w:p>
    <w:p w:rsidR="00157EF6" w:rsidRPr="00043A1E" w:rsidRDefault="00157EF6" w:rsidP="00AA120F">
      <w:pPr>
        <w:pStyle w:val="a5"/>
        <w:ind w:leftChars="335" w:left="804"/>
        <w:jc w:val="both"/>
        <w:rPr>
          <w:rFonts w:ascii="Times Ext Roman" w:hAnsi="新細明體" w:cs="Times Ext Roman"/>
          <w:szCs w:val="22"/>
        </w:rPr>
      </w:pPr>
      <w:r w:rsidRPr="00416BE2">
        <w:rPr>
          <w:rFonts w:hint="eastAsia"/>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w:t>
      </w:r>
      <w:r w:rsidRPr="00043A1E">
        <w:rPr>
          <w:rFonts w:ascii="標楷體" w:eastAsia="標楷體" w:hAnsi="標楷體" w:cs="Times Ext Roman"/>
          <w:szCs w:val="22"/>
        </w:rPr>
        <w:t>因緣</w:t>
      </w:r>
      <w:r w:rsidRPr="00043A1E">
        <w:rPr>
          <w:rFonts w:ascii="標楷體" w:eastAsia="標楷體" w:hAnsi="標楷體" w:cs="Times Ext Roman" w:hint="eastAsia"/>
          <w:szCs w:val="22"/>
        </w:rPr>
        <w:t>、</w:t>
      </w:r>
      <w:r w:rsidRPr="00416BE2">
        <w:rPr>
          <w:rFonts w:hint="eastAsia"/>
          <w:szCs w:val="22"/>
          <w:shd w:val="pct15" w:color="auto" w:fill="FFFFFF"/>
          <w:vertAlign w:val="superscript"/>
        </w:rPr>
        <w:t>（</w:t>
      </w:r>
      <w:r w:rsidRPr="00416BE2">
        <w:rPr>
          <w:rFonts w:hint="eastAsia"/>
          <w:szCs w:val="22"/>
          <w:shd w:val="pct15" w:color="auto" w:fill="FFFFFF"/>
          <w:vertAlign w:val="superscript"/>
        </w:rPr>
        <w:t>2</w:t>
      </w:r>
      <w:r w:rsidRPr="00416BE2">
        <w:rPr>
          <w:rFonts w:hint="eastAsia"/>
          <w:szCs w:val="22"/>
          <w:shd w:val="pct15" w:color="auto" w:fill="FFFFFF"/>
          <w:vertAlign w:val="superscript"/>
        </w:rPr>
        <w:t>）</w:t>
      </w:r>
      <w:r w:rsidRPr="00043A1E">
        <w:rPr>
          <w:rFonts w:ascii="標楷體" w:eastAsia="標楷體" w:hAnsi="標楷體" w:cs="Times Ext Roman"/>
          <w:szCs w:val="22"/>
        </w:rPr>
        <w:t>所緣緣</w:t>
      </w:r>
      <w:r w:rsidRPr="00043A1E">
        <w:rPr>
          <w:rFonts w:ascii="標楷體" w:eastAsia="標楷體" w:hAnsi="標楷體" w:cs="Times Ext Roman" w:hint="eastAsia"/>
          <w:szCs w:val="22"/>
        </w:rPr>
        <w:t>、</w:t>
      </w:r>
      <w:r w:rsidRPr="00416BE2">
        <w:rPr>
          <w:rFonts w:hint="eastAsia"/>
          <w:szCs w:val="22"/>
          <w:shd w:val="pct15" w:color="auto" w:fill="FFFFFF"/>
          <w:vertAlign w:val="superscript"/>
        </w:rPr>
        <w:t>（</w:t>
      </w:r>
      <w:r w:rsidRPr="00416BE2">
        <w:rPr>
          <w:rFonts w:hint="eastAsia"/>
          <w:szCs w:val="22"/>
          <w:shd w:val="pct15" w:color="auto" w:fill="FFFFFF"/>
          <w:vertAlign w:val="superscript"/>
        </w:rPr>
        <w:t>3</w:t>
      </w:r>
      <w:r w:rsidRPr="00416BE2">
        <w:rPr>
          <w:rFonts w:hint="eastAsia"/>
          <w:szCs w:val="22"/>
          <w:shd w:val="pct15" w:color="auto" w:fill="FFFFFF"/>
          <w:vertAlign w:val="superscript"/>
        </w:rPr>
        <w:t>）</w:t>
      </w:r>
      <w:r w:rsidRPr="00043A1E">
        <w:rPr>
          <w:rFonts w:ascii="標楷體" w:eastAsia="標楷體" w:hAnsi="標楷體" w:cs="Times Ext Roman"/>
          <w:szCs w:val="22"/>
        </w:rPr>
        <w:t>增上緣</w:t>
      </w:r>
      <w:r w:rsidRPr="00043A1E">
        <w:rPr>
          <w:rFonts w:ascii="標楷體" w:eastAsia="標楷體" w:hAnsi="標楷體" w:cs="Times Ext Roman" w:hint="eastAsia"/>
          <w:szCs w:val="22"/>
        </w:rPr>
        <w:t>、</w:t>
      </w:r>
      <w:r w:rsidRPr="00416BE2">
        <w:rPr>
          <w:rFonts w:hint="eastAsia"/>
          <w:szCs w:val="22"/>
          <w:shd w:val="pct15" w:color="auto" w:fill="FFFFFF"/>
          <w:vertAlign w:val="superscript"/>
        </w:rPr>
        <w:t>（</w:t>
      </w:r>
      <w:r w:rsidRPr="00416BE2">
        <w:rPr>
          <w:rFonts w:hint="eastAsia"/>
          <w:szCs w:val="22"/>
          <w:shd w:val="pct15" w:color="auto" w:fill="FFFFFF"/>
          <w:vertAlign w:val="superscript"/>
        </w:rPr>
        <w:t>4</w:t>
      </w:r>
      <w:r w:rsidRPr="00416BE2">
        <w:rPr>
          <w:rFonts w:hint="eastAsia"/>
          <w:szCs w:val="22"/>
          <w:shd w:val="pct15" w:color="auto" w:fill="FFFFFF"/>
          <w:vertAlign w:val="superscript"/>
        </w:rPr>
        <w:t>）</w:t>
      </w:r>
      <w:r w:rsidRPr="00043A1E">
        <w:rPr>
          <w:rFonts w:ascii="標楷體" w:eastAsia="標楷體" w:hAnsi="標楷體" w:cs="Times Ext Roman"/>
          <w:szCs w:val="22"/>
        </w:rPr>
        <w:t>無間緣</w:t>
      </w:r>
      <w:r w:rsidRPr="00043A1E">
        <w:rPr>
          <w:rFonts w:ascii="標楷體" w:eastAsia="標楷體" w:hAnsi="標楷體" w:cs="Times Ext Roman" w:hint="eastAsia"/>
          <w:szCs w:val="22"/>
        </w:rPr>
        <w:t>、</w:t>
      </w:r>
      <w:r w:rsidRPr="00416BE2">
        <w:rPr>
          <w:rFonts w:hint="eastAsia"/>
          <w:szCs w:val="22"/>
          <w:shd w:val="pct15" w:color="auto" w:fill="FFFFFF"/>
          <w:vertAlign w:val="superscript"/>
        </w:rPr>
        <w:t>（</w:t>
      </w:r>
      <w:r w:rsidRPr="00416BE2">
        <w:rPr>
          <w:rFonts w:hint="eastAsia"/>
          <w:szCs w:val="22"/>
          <w:shd w:val="pct15" w:color="auto" w:fill="FFFFFF"/>
          <w:vertAlign w:val="superscript"/>
        </w:rPr>
        <w:t>5</w:t>
      </w:r>
      <w:r w:rsidRPr="00416BE2">
        <w:rPr>
          <w:rFonts w:hint="eastAsia"/>
          <w:szCs w:val="22"/>
          <w:shd w:val="pct15" w:color="auto" w:fill="FFFFFF"/>
          <w:vertAlign w:val="superscript"/>
        </w:rPr>
        <w:t>）</w:t>
      </w:r>
      <w:r w:rsidRPr="00043A1E">
        <w:rPr>
          <w:rFonts w:ascii="標楷體" w:eastAsia="標楷體" w:hAnsi="標楷體" w:cs="Times Ext Roman"/>
          <w:szCs w:val="22"/>
        </w:rPr>
        <w:t>等無間緣</w:t>
      </w:r>
      <w:r w:rsidRPr="00043A1E">
        <w:rPr>
          <w:rFonts w:ascii="標楷體" w:eastAsia="標楷體" w:hAnsi="標楷體" w:cs="Times Ext Roman" w:hint="eastAsia"/>
          <w:szCs w:val="22"/>
        </w:rPr>
        <w:t>、</w:t>
      </w:r>
      <w:r w:rsidRPr="00416BE2">
        <w:rPr>
          <w:rFonts w:hint="eastAsia"/>
          <w:szCs w:val="22"/>
          <w:shd w:val="pct15" w:color="auto" w:fill="FFFFFF"/>
          <w:vertAlign w:val="superscript"/>
        </w:rPr>
        <w:t>（</w:t>
      </w:r>
      <w:r w:rsidRPr="00416BE2">
        <w:rPr>
          <w:rFonts w:hint="eastAsia"/>
          <w:szCs w:val="22"/>
          <w:shd w:val="pct15" w:color="auto" w:fill="FFFFFF"/>
          <w:vertAlign w:val="superscript"/>
        </w:rPr>
        <w:t>6</w:t>
      </w:r>
      <w:r w:rsidRPr="00416BE2">
        <w:rPr>
          <w:rFonts w:hint="eastAsia"/>
          <w:szCs w:val="22"/>
          <w:shd w:val="pct15" w:color="auto" w:fill="FFFFFF"/>
          <w:vertAlign w:val="superscript"/>
        </w:rPr>
        <w:t>）</w:t>
      </w:r>
      <w:r w:rsidRPr="00043A1E">
        <w:rPr>
          <w:rFonts w:ascii="標楷體" w:eastAsia="標楷體" w:hAnsi="標楷體" w:cs="Times Ext Roman"/>
          <w:szCs w:val="22"/>
        </w:rPr>
        <w:t>俱生緣</w:t>
      </w:r>
      <w:r w:rsidRPr="00043A1E">
        <w:rPr>
          <w:rFonts w:ascii="標楷體" w:eastAsia="標楷體" w:hAnsi="標楷體" w:cs="Times Ext Roman" w:hint="eastAsia"/>
          <w:szCs w:val="22"/>
        </w:rPr>
        <w:t>、</w:t>
      </w:r>
      <w:r w:rsidRPr="00416BE2">
        <w:rPr>
          <w:rFonts w:hint="eastAsia"/>
          <w:szCs w:val="22"/>
          <w:shd w:val="pct15" w:color="auto" w:fill="FFFFFF"/>
          <w:vertAlign w:val="superscript"/>
        </w:rPr>
        <w:t>（</w:t>
      </w:r>
      <w:r w:rsidRPr="00416BE2">
        <w:rPr>
          <w:rFonts w:hint="eastAsia"/>
          <w:szCs w:val="22"/>
          <w:shd w:val="pct15" w:color="auto" w:fill="FFFFFF"/>
          <w:vertAlign w:val="superscript"/>
        </w:rPr>
        <w:t>7</w:t>
      </w:r>
      <w:r w:rsidRPr="00416BE2">
        <w:rPr>
          <w:rFonts w:hint="eastAsia"/>
          <w:szCs w:val="22"/>
          <w:shd w:val="pct15" w:color="auto" w:fill="FFFFFF"/>
          <w:vertAlign w:val="superscript"/>
        </w:rPr>
        <w:t>）</w:t>
      </w:r>
      <w:r w:rsidRPr="00043A1E">
        <w:rPr>
          <w:rFonts w:ascii="標楷體" w:eastAsia="標楷體" w:hAnsi="標楷體" w:cs="Times Ext Roman"/>
          <w:szCs w:val="22"/>
        </w:rPr>
        <w:t>相互緣</w:t>
      </w:r>
      <w:r w:rsidRPr="00043A1E">
        <w:rPr>
          <w:rFonts w:ascii="標楷體" w:eastAsia="標楷體" w:hAnsi="標楷體" w:cs="Times Ext Roman" w:hint="eastAsia"/>
          <w:szCs w:val="22"/>
        </w:rPr>
        <w:t>、</w:t>
      </w:r>
      <w:r w:rsidRPr="00416BE2">
        <w:rPr>
          <w:rFonts w:hint="eastAsia"/>
          <w:szCs w:val="22"/>
          <w:shd w:val="pct15" w:color="auto" w:fill="FFFFFF"/>
          <w:vertAlign w:val="superscript"/>
        </w:rPr>
        <w:t>（</w:t>
      </w:r>
      <w:r w:rsidRPr="00416BE2">
        <w:rPr>
          <w:rFonts w:hint="eastAsia"/>
          <w:szCs w:val="22"/>
          <w:shd w:val="pct15" w:color="auto" w:fill="FFFFFF"/>
          <w:vertAlign w:val="superscript"/>
        </w:rPr>
        <w:t>8</w:t>
      </w:r>
      <w:r w:rsidRPr="00416BE2">
        <w:rPr>
          <w:rFonts w:hint="eastAsia"/>
          <w:szCs w:val="22"/>
          <w:shd w:val="pct15" w:color="auto" w:fill="FFFFFF"/>
          <w:vertAlign w:val="superscript"/>
        </w:rPr>
        <w:t>）</w:t>
      </w:r>
      <w:r w:rsidRPr="00043A1E">
        <w:rPr>
          <w:rFonts w:ascii="標楷體" w:eastAsia="標楷體" w:hAnsi="標楷體" w:cs="Times Ext Roman"/>
          <w:szCs w:val="22"/>
        </w:rPr>
        <w:t>所依緣</w:t>
      </w:r>
      <w:r w:rsidRPr="00043A1E">
        <w:rPr>
          <w:rFonts w:ascii="標楷體" w:eastAsia="標楷體" w:hAnsi="標楷體" w:cs="Times Ext Roman" w:hint="eastAsia"/>
          <w:szCs w:val="22"/>
        </w:rPr>
        <w:t>、</w:t>
      </w:r>
      <w:r w:rsidRPr="00416BE2">
        <w:rPr>
          <w:rFonts w:hint="eastAsia"/>
          <w:szCs w:val="22"/>
          <w:shd w:val="pct15" w:color="auto" w:fill="FFFFFF"/>
          <w:vertAlign w:val="superscript"/>
        </w:rPr>
        <w:t>（</w:t>
      </w:r>
      <w:r w:rsidRPr="00416BE2">
        <w:rPr>
          <w:rFonts w:hint="eastAsia"/>
          <w:szCs w:val="22"/>
          <w:shd w:val="pct15" w:color="auto" w:fill="FFFFFF"/>
          <w:vertAlign w:val="superscript"/>
        </w:rPr>
        <w:t>9</w:t>
      </w:r>
      <w:r w:rsidRPr="00416BE2">
        <w:rPr>
          <w:rFonts w:hint="eastAsia"/>
          <w:szCs w:val="22"/>
          <w:shd w:val="pct15" w:color="auto" w:fill="FFFFFF"/>
          <w:vertAlign w:val="superscript"/>
        </w:rPr>
        <w:t>）</w:t>
      </w:r>
      <w:r w:rsidRPr="00043A1E">
        <w:rPr>
          <w:rFonts w:ascii="標楷體" w:eastAsia="標楷體" w:hAnsi="標楷體" w:cs="Times Ext Roman"/>
          <w:szCs w:val="22"/>
        </w:rPr>
        <w:t>依止緣</w:t>
      </w:r>
      <w:r w:rsidRPr="00043A1E">
        <w:rPr>
          <w:rFonts w:ascii="標楷體" w:eastAsia="標楷體" w:hAnsi="標楷體" w:cs="Times Ext Roman" w:hint="eastAsia"/>
          <w:szCs w:val="22"/>
        </w:rPr>
        <w:t>、</w:t>
      </w:r>
      <w:r w:rsidRPr="00416BE2">
        <w:rPr>
          <w:rFonts w:hint="eastAsia"/>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0</w:t>
      </w:r>
      <w:r w:rsidRPr="00416BE2">
        <w:rPr>
          <w:rFonts w:hint="eastAsia"/>
          <w:szCs w:val="22"/>
          <w:shd w:val="pct15" w:color="auto" w:fill="FFFFFF"/>
          <w:vertAlign w:val="superscript"/>
        </w:rPr>
        <w:t>）</w:t>
      </w:r>
      <w:r w:rsidRPr="00043A1E">
        <w:rPr>
          <w:rFonts w:ascii="標楷體" w:eastAsia="標楷體" w:hAnsi="標楷體" w:cs="Times Ext Roman"/>
          <w:szCs w:val="22"/>
        </w:rPr>
        <w:t>前生緣</w:t>
      </w:r>
      <w:r w:rsidRPr="00043A1E">
        <w:rPr>
          <w:rFonts w:ascii="標楷體" w:eastAsia="標楷體" w:hAnsi="標楷體" w:cs="Times Ext Roman" w:hint="eastAsia"/>
          <w:szCs w:val="22"/>
        </w:rPr>
        <w:t>、</w:t>
      </w:r>
      <w:r w:rsidRPr="00416BE2">
        <w:rPr>
          <w:rFonts w:hint="eastAsia"/>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1</w:t>
      </w:r>
      <w:r w:rsidRPr="00416BE2">
        <w:rPr>
          <w:rFonts w:hint="eastAsia"/>
          <w:szCs w:val="22"/>
          <w:shd w:val="pct15" w:color="auto" w:fill="FFFFFF"/>
          <w:vertAlign w:val="superscript"/>
        </w:rPr>
        <w:t>）</w:t>
      </w:r>
      <w:r w:rsidRPr="00043A1E">
        <w:rPr>
          <w:rFonts w:ascii="標楷體" w:eastAsia="標楷體" w:hAnsi="標楷體" w:cs="Times Ext Roman"/>
          <w:szCs w:val="22"/>
        </w:rPr>
        <w:t>後生緣</w:t>
      </w:r>
      <w:r w:rsidRPr="00043A1E">
        <w:rPr>
          <w:rFonts w:ascii="標楷體" w:eastAsia="標楷體" w:hAnsi="標楷體" w:cs="Times Ext Roman" w:hint="eastAsia"/>
          <w:szCs w:val="22"/>
        </w:rPr>
        <w:t>、</w:t>
      </w:r>
      <w:r w:rsidRPr="00416BE2">
        <w:rPr>
          <w:rFonts w:hint="eastAsia"/>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2</w:t>
      </w:r>
      <w:r w:rsidRPr="00416BE2">
        <w:rPr>
          <w:rFonts w:hint="eastAsia"/>
          <w:szCs w:val="22"/>
          <w:shd w:val="pct15" w:color="auto" w:fill="FFFFFF"/>
          <w:vertAlign w:val="superscript"/>
        </w:rPr>
        <w:t>）</w:t>
      </w:r>
      <w:r w:rsidRPr="00043A1E">
        <w:rPr>
          <w:rFonts w:ascii="標楷體" w:eastAsia="標楷體" w:hAnsi="標楷體" w:cs="Times Ext Roman"/>
          <w:szCs w:val="22"/>
        </w:rPr>
        <w:t>修習緣</w:t>
      </w:r>
      <w:r w:rsidRPr="00043A1E">
        <w:rPr>
          <w:rFonts w:ascii="標楷體" w:eastAsia="標楷體" w:hAnsi="標楷體" w:cs="Times Ext Roman" w:hint="eastAsia"/>
          <w:szCs w:val="22"/>
        </w:rPr>
        <w:t>、</w:t>
      </w:r>
      <w:r w:rsidRPr="00416BE2">
        <w:rPr>
          <w:rFonts w:hint="eastAsia"/>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3</w:t>
      </w:r>
      <w:r w:rsidRPr="00416BE2">
        <w:rPr>
          <w:rFonts w:hint="eastAsia"/>
          <w:szCs w:val="22"/>
          <w:shd w:val="pct15" w:color="auto" w:fill="FFFFFF"/>
          <w:vertAlign w:val="superscript"/>
        </w:rPr>
        <w:t>）</w:t>
      </w:r>
      <w:r w:rsidRPr="00043A1E">
        <w:rPr>
          <w:rFonts w:ascii="標楷體" w:eastAsia="標楷體" w:hAnsi="標楷體" w:cs="Times Ext Roman"/>
          <w:szCs w:val="22"/>
        </w:rPr>
        <w:t>業緣</w:t>
      </w:r>
      <w:r w:rsidRPr="00043A1E">
        <w:rPr>
          <w:rFonts w:ascii="標楷體" w:eastAsia="標楷體" w:hAnsi="標楷體" w:cs="Times Ext Roman" w:hint="eastAsia"/>
          <w:szCs w:val="22"/>
        </w:rPr>
        <w:t>、</w:t>
      </w:r>
      <w:r w:rsidRPr="00416BE2">
        <w:rPr>
          <w:rFonts w:hint="eastAsia"/>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4</w:t>
      </w:r>
      <w:r w:rsidRPr="00416BE2">
        <w:rPr>
          <w:rFonts w:hint="eastAsia"/>
          <w:szCs w:val="22"/>
          <w:shd w:val="pct15" w:color="auto" w:fill="FFFFFF"/>
          <w:vertAlign w:val="superscript"/>
        </w:rPr>
        <w:t>）</w:t>
      </w:r>
      <w:r w:rsidRPr="00043A1E">
        <w:rPr>
          <w:rFonts w:ascii="標楷體" w:eastAsia="標楷體" w:hAnsi="標楷體" w:cs="Times Ext Roman"/>
          <w:szCs w:val="22"/>
        </w:rPr>
        <w:t>異熟緣</w:t>
      </w:r>
      <w:r w:rsidRPr="00043A1E">
        <w:rPr>
          <w:rFonts w:ascii="標楷體" w:eastAsia="標楷體" w:hAnsi="標楷體" w:cs="Times Ext Roman" w:hint="eastAsia"/>
          <w:szCs w:val="22"/>
        </w:rPr>
        <w:t>、</w:t>
      </w:r>
      <w:r w:rsidRPr="00416BE2">
        <w:rPr>
          <w:rFonts w:hint="eastAsia"/>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5</w:t>
      </w:r>
      <w:r w:rsidRPr="00416BE2">
        <w:rPr>
          <w:rFonts w:hint="eastAsia"/>
          <w:szCs w:val="22"/>
          <w:shd w:val="pct15" w:color="auto" w:fill="FFFFFF"/>
          <w:vertAlign w:val="superscript"/>
        </w:rPr>
        <w:t>）</w:t>
      </w:r>
      <w:r w:rsidRPr="00043A1E">
        <w:rPr>
          <w:rFonts w:ascii="標楷體" w:eastAsia="標楷體" w:hAnsi="標楷體" w:cs="Times Ext Roman"/>
          <w:szCs w:val="22"/>
        </w:rPr>
        <w:t>食緣</w:t>
      </w:r>
      <w:r w:rsidRPr="00043A1E">
        <w:rPr>
          <w:rFonts w:ascii="標楷體" w:eastAsia="標楷體" w:hAnsi="標楷體" w:cs="Times Ext Roman" w:hint="eastAsia"/>
          <w:szCs w:val="22"/>
        </w:rPr>
        <w:t>、</w:t>
      </w:r>
      <w:r w:rsidRPr="00416BE2">
        <w:rPr>
          <w:rFonts w:hint="eastAsia"/>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6</w:t>
      </w:r>
      <w:r w:rsidRPr="00416BE2">
        <w:rPr>
          <w:rFonts w:hint="eastAsia"/>
          <w:szCs w:val="22"/>
          <w:shd w:val="pct15" w:color="auto" w:fill="FFFFFF"/>
          <w:vertAlign w:val="superscript"/>
        </w:rPr>
        <w:t>）</w:t>
      </w:r>
      <w:r w:rsidRPr="00043A1E">
        <w:rPr>
          <w:rFonts w:ascii="標楷體" w:eastAsia="標楷體" w:hAnsi="標楷體" w:cs="Times Ext Roman"/>
          <w:szCs w:val="22"/>
        </w:rPr>
        <w:t>根緣</w:t>
      </w:r>
      <w:r w:rsidRPr="00043A1E">
        <w:rPr>
          <w:rFonts w:ascii="標楷體" w:eastAsia="標楷體" w:hAnsi="標楷體" w:cs="Times Ext Roman" w:hint="eastAsia"/>
          <w:szCs w:val="22"/>
        </w:rPr>
        <w:t>、</w:t>
      </w:r>
      <w:r w:rsidRPr="00416BE2">
        <w:rPr>
          <w:rFonts w:hint="eastAsia"/>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7</w:t>
      </w:r>
      <w:r w:rsidRPr="00416BE2">
        <w:rPr>
          <w:rFonts w:hint="eastAsia"/>
          <w:szCs w:val="22"/>
          <w:shd w:val="pct15" w:color="auto" w:fill="FFFFFF"/>
          <w:vertAlign w:val="superscript"/>
        </w:rPr>
        <w:t>）</w:t>
      </w:r>
      <w:r w:rsidRPr="00043A1E">
        <w:rPr>
          <w:rFonts w:ascii="標楷體" w:eastAsia="標楷體" w:hAnsi="標楷體" w:cs="Times Ext Roman"/>
          <w:szCs w:val="22"/>
        </w:rPr>
        <w:t>靜慮緣</w:t>
      </w:r>
      <w:r w:rsidRPr="00043A1E">
        <w:rPr>
          <w:rFonts w:ascii="標楷體" w:eastAsia="標楷體" w:hAnsi="標楷體" w:cs="Times Ext Roman" w:hint="eastAsia"/>
          <w:szCs w:val="22"/>
        </w:rPr>
        <w:t>、</w:t>
      </w:r>
      <w:r w:rsidRPr="00416BE2">
        <w:rPr>
          <w:rFonts w:hint="eastAsia"/>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8</w:t>
      </w:r>
      <w:r w:rsidRPr="00416BE2">
        <w:rPr>
          <w:rFonts w:hint="eastAsia"/>
          <w:szCs w:val="22"/>
          <w:shd w:val="pct15" w:color="auto" w:fill="FFFFFF"/>
          <w:vertAlign w:val="superscript"/>
        </w:rPr>
        <w:t>）</w:t>
      </w:r>
      <w:r w:rsidRPr="00043A1E">
        <w:rPr>
          <w:rFonts w:ascii="標楷體" w:eastAsia="標楷體" w:hAnsi="標楷體" w:cs="Times Ext Roman"/>
          <w:szCs w:val="22"/>
        </w:rPr>
        <w:t>道緣</w:t>
      </w:r>
      <w:r w:rsidRPr="00043A1E">
        <w:rPr>
          <w:rFonts w:ascii="標楷體" w:eastAsia="標楷體" w:hAnsi="標楷體" w:cs="Times Ext Roman" w:hint="eastAsia"/>
          <w:szCs w:val="22"/>
        </w:rPr>
        <w:t>、</w:t>
      </w:r>
      <w:r w:rsidRPr="00416BE2">
        <w:rPr>
          <w:rFonts w:hint="eastAsia"/>
          <w:szCs w:val="22"/>
          <w:shd w:val="pct15" w:color="auto" w:fill="FFFFFF"/>
          <w:vertAlign w:val="superscript"/>
        </w:rPr>
        <w:t>（</w:t>
      </w:r>
      <w:r w:rsidRPr="00416BE2">
        <w:rPr>
          <w:szCs w:val="22"/>
          <w:shd w:val="pct15" w:color="auto" w:fill="FFFFFF"/>
          <w:vertAlign w:val="superscript"/>
        </w:rPr>
        <w:t>1</w:t>
      </w:r>
      <w:r w:rsidRPr="00416BE2">
        <w:rPr>
          <w:rFonts w:hint="eastAsia"/>
          <w:szCs w:val="22"/>
          <w:shd w:val="pct15" w:color="auto" w:fill="FFFFFF"/>
          <w:vertAlign w:val="superscript"/>
        </w:rPr>
        <w:t>9</w:t>
      </w:r>
      <w:r w:rsidRPr="00416BE2">
        <w:rPr>
          <w:rFonts w:hint="eastAsia"/>
          <w:szCs w:val="22"/>
          <w:shd w:val="pct15" w:color="auto" w:fill="FFFFFF"/>
          <w:vertAlign w:val="superscript"/>
        </w:rPr>
        <w:t>）</w:t>
      </w:r>
      <w:r w:rsidRPr="00043A1E">
        <w:rPr>
          <w:rFonts w:ascii="標楷體" w:eastAsia="標楷體" w:hAnsi="標楷體" w:cs="Times Ext Roman"/>
          <w:szCs w:val="22"/>
        </w:rPr>
        <w:t>相應緣</w:t>
      </w:r>
      <w:r w:rsidRPr="00043A1E">
        <w:rPr>
          <w:rFonts w:ascii="標楷體" w:eastAsia="標楷體" w:hAnsi="標楷體" w:cs="Times Ext Roman" w:hint="eastAsia"/>
          <w:szCs w:val="22"/>
        </w:rPr>
        <w:t>、</w:t>
      </w:r>
      <w:r w:rsidRPr="00416BE2">
        <w:rPr>
          <w:rFonts w:hint="eastAsia"/>
          <w:szCs w:val="22"/>
          <w:shd w:val="pct15" w:color="auto" w:fill="FFFFFF"/>
          <w:vertAlign w:val="superscript"/>
        </w:rPr>
        <w:t>（</w:t>
      </w:r>
      <w:r w:rsidRPr="00416BE2">
        <w:rPr>
          <w:rFonts w:hint="eastAsia"/>
          <w:szCs w:val="22"/>
          <w:shd w:val="pct15" w:color="auto" w:fill="FFFFFF"/>
          <w:vertAlign w:val="superscript"/>
        </w:rPr>
        <w:t>20</w:t>
      </w:r>
      <w:r w:rsidRPr="00416BE2">
        <w:rPr>
          <w:rFonts w:hint="eastAsia"/>
          <w:szCs w:val="22"/>
          <w:shd w:val="pct15" w:color="auto" w:fill="FFFFFF"/>
          <w:vertAlign w:val="superscript"/>
        </w:rPr>
        <w:t>）</w:t>
      </w:r>
      <w:r w:rsidRPr="00043A1E">
        <w:rPr>
          <w:rFonts w:ascii="標楷體" w:eastAsia="標楷體" w:hAnsi="標楷體" w:cs="Times Ext Roman"/>
          <w:szCs w:val="22"/>
        </w:rPr>
        <w:t>不相應緣</w:t>
      </w:r>
      <w:r w:rsidRPr="00043A1E">
        <w:rPr>
          <w:rFonts w:ascii="標楷體" w:eastAsia="標楷體" w:hAnsi="標楷體" w:cs="Times Ext Roman" w:hint="eastAsia"/>
          <w:szCs w:val="22"/>
        </w:rPr>
        <w:t>、</w:t>
      </w:r>
      <w:r w:rsidRPr="00416BE2">
        <w:rPr>
          <w:rFonts w:hint="eastAsia"/>
          <w:szCs w:val="22"/>
          <w:shd w:val="pct15" w:color="auto" w:fill="FFFFFF"/>
          <w:vertAlign w:val="superscript"/>
        </w:rPr>
        <w:t>（</w:t>
      </w:r>
      <w:r w:rsidRPr="00416BE2">
        <w:rPr>
          <w:rFonts w:hint="eastAsia"/>
          <w:szCs w:val="22"/>
          <w:shd w:val="pct15" w:color="auto" w:fill="FFFFFF"/>
          <w:vertAlign w:val="superscript"/>
        </w:rPr>
        <w:t>2</w:t>
      </w:r>
      <w:r w:rsidRPr="00416BE2">
        <w:rPr>
          <w:szCs w:val="22"/>
          <w:shd w:val="pct15" w:color="auto" w:fill="FFFFFF"/>
          <w:vertAlign w:val="superscript"/>
        </w:rPr>
        <w:t>1</w:t>
      </w:r>
      <w:r w:rsidRPr="00416BE2">
        <w:rPr>
          <w:rFonts w:hint="eastAsia"/>
          <w:szCs w:val="22"/>
          <w:shd w:val="pct15" w:color="auto" w:fill="FFFFFF"/>
          <w:vertAlign w:val="superscript"/>
        </w:rPr>
        <w:t>）</w:t>
      </w:r>
      <w:r w:rsidRPr="00043A1E">
        <w:rPr>
          <w:rFonts w:ascii="標楷體" w:eastAsia="標楷體" w:hAnsi="標楷體" w:cs="Times Ext Roman"/>
          <w:szCs w:val="22"/>
        </w:rPr>
        <w:t>有緣</w:t>
      </w:r>
      <w:r w:rsidRPr="00043A1E">
        <w:rPr>
          <w:rFonts w:ascii="標楷體" w:eastAsia="標楷體" w:hAnsi="標楷體" w:cs="Times Ext Roman" w:hint="eastAsia"/>
          <w:szCs w:val="22"/>
        </w:rPr>
        <w:t>、</w:t>
      </w:r>
      <w:r w:rsidRPr="00416BE2">
        <w:rPr>
          <w:rFonts w:hint="eastAsia"/>
          <w:szCs w:val="22"/>
          <w:shd w:val="pct15" w:color="auto" w:fill="FFFFFF"/>
          <w:vertAlign w:val="superscript"/>
        </w:rPr>
        <w:t>（</w:t>
      </w:r>
      <w:r w:rsidRPr="00416BE2">
        <w:rPr>
          <w:rFonts w:hint="eastAsia"/>
          <w:szCs w:val="22"/>
          <w:shd w:val="pct15" w:color="auto" w:fill="FFFFFF"/>
          <w:vertAlign w:val="superscript"/>
        </w:rPr>
        <w:t>22</w:t>
      </w:r>
      <w:r w:rsidRPr="00416BE2">
        <w:rPr>
          <w:rFonts w:hint="eastAsia"/>
          <w:szCs w:val="22"/>
          <w:shd w:val="pct15" w:color="auto" w:fill="FFFFFF"/>
          <w:vertAlign w:val="superscript"/>
        </w:rPr>
        <w:t>）</w:t>
      </w:r>
      <w:r w:rsidRPr="00043A1E">
        <w:rPr>
          <w:rFonts w:ascii="標楷體" w:eastAsia="標楷體" w:hAnsi="標楷體" w:cs="Times Ext Roman"/>
          <w:szCs w:val="22"/>
        </w:rPr>
        <w:t>無有緣</w:t>
      </w:r>
      <w:r w:rsidRPr="00043A1E">
        <w:rPr>
          <w:rFonts w:ascii="標楷體" w:eastAsia="標楷體" w:hAnsi="標楷體" w:cs="Times Ext Roman" w:hint="eastAsia"/>
          <w:szCs w:val="22"/>
        </w:rPr>
        <w:t>、</w:t>
      </w:r>
      <w:r w:rsidRPr="00416BE2">
        <w:rPr>
          <w:rFonts w:hint="eastAsia"/>
          <w:szCs w:val="22"/>
          <w:shd w:val="pct15" w:color="auto" w:fill="FFFFFF"/>
          <w:vertAlign w:val="superscript"/>
        </w:rPr>
        <w:t>（</w:t>
      </w:r>
      <w:r w:rsidRPr="00416BE2">
        <w:rPr>
          <w:rFonts w:hint="eastAsia"/>
          <w:szCs w:val="22"/>
          <w:shd w:val="pct15" w:color="auto" w:fill="FFFFFF"/>
          <w:vertAlign w:val="superscript"/>
        </w:rPr>
        <w:t>23</w:t>
      </w:r>
      <w:r w:rsidRPr="00416BE2">
        <w:rPr>
          <w:rFonts w:hint="eastAsia"/>
          <w:szCs w:val="22"/>
          <w:shd w:val="pct15" w:color="auto" w:fill="FFFFFF"/>
          <w:vertAlign w:val="superscript"/>
        </w:rPr>
        <w:t>）</w:t>
      </w:r>
      <w:r w:rsidRPr="00043A1E">
        <w:rPr>
          <w:rFonts w:ascii="標楷體" w:eastAsia="標楷體" w:hAnsi="標楷體" w:cs="Times Ext Roman"/>
          <w:szCs w:val="22"/>
        </w:rPr>
        <w:t>去緣</w:t>
      </w:r>
      <w:r w:rsidRPr="00043A1E">
        <w:rPr>
          <w:rFonts w:ascii="標楷體" w:eastAsia="標楷體" w:hAnsi="標楷體" w:cs="Times Ext Roman" w:hint="eastAsia"/>
          <w:szCs w:val="22"/>
        </w:rPr>
        <w:t>、</w:t>
      </w:r>
      <w:r w:rsidRPr="00416BE2">
        <w:rPr>
          <w:rFonts w:hint="eastAsia"/>
          <w:szCs w:val="22"/>
          <w:shd w:val="pct15" w:color="auto" w:fill="FFFFFF"/>
          <w:vertAlign w:val="superscript"/>
        </w:rPr>
        <w:t>（</w:t>
      </w:r>
      <w:r w:rsidRPr="00416BE2">
        <w:rPr>
          <w:rFonts w:hint="eastAsia"/>
          <w:szCs w:val="22"/>
          <w:shd w:val="pct15" w:color="auto" w:fill="FFFFFF"/>
          <w:vertAlign w:val="superscript"/>
        </w:rPr>
        <w:t>24</w:t>
      </w:r>
      <w:r w:rsidRPr="00416BE2">
        <w:rPr>
          <w:rFonts w:hint="eastAsia"/>
          <w:szCs w:val="22"/>
          <w:shd w:val="pct15" w:color="auto" w:fill="FFFFFF"/>
          <w:vertAlign w:val="superscript"/>
        </w:rPr>
        <w:t>）</w:t>
      </w:r>
      <w:r w:rsidRPr="00043A1E">
        <w:rPr>
          <w:rFonts w:ascii="標楷體" w:eastAsia="標楷體" w:hAnsi="標楷體" w:cs="Times Ext Roman"/>
          <w:szCs w:val="22"/>
        </w:rPr>
        <w:t>不去緣。</w:t>
      </w:r>
    </w:p>
    <w:p w:rsidR="00157EF6" w:rsidRPr="00043A1E" w:rsidRDefault="00157EF6" w:rsidP="00AA120F">
      <w:pPr>
        <w:pStyle w:val="a5"/>
        <w:ind w:leftChars="105" w:left="791" w:hangingChars="245" w:hanging="539"/>
        <w:jc w:val="both"/>
        <w:rPr>
          <w:rFonts w:ascii="Times Ext Roman" w:hAnsi="新細明體" w:cs="Times Ext Roman"/>
          <w:szCs w:val="22"/>
        </w:rPr>
      </w:pPr>
      <w:r w:rsidRPr="00043A1E">
        <w:rPr>
          <w:rFonts w:ascii="Times Ext Roman" w:hAnsi="新細明體" w:cs="Times Ext Roman" w:hint="eastAsia"/>
          <w:szCs w:val="22"/>
        </w:rPr>
        <w:t>（</w:t>
      </w:r>
      <w:r w:rsidRPr="00761EF3">
        <w:rPr>
          <w:rFonts w:hint="eastAsia"/>
          <w:szCs w:val="22"/>
        </w:rPr>
        <w:t>2</w:t>
      </w:r>
      <w:r w:rsidRPr="00043A1E">
        <w:rPr>
          <w:rFonts w:ascii="Times Ext Roman" w:hAnsi="新細明體" w:cs="Times Ext Roman" w:hint="eastAsia"/>
          <w:szCs w:val="22"/>
        </w:rPr>
        <w:t>）</w:t>
      </w:r>
      <w:r w:rsidRPr="00043A1E">
        <w:rPr>
          <w:rFonts w:ascii="Times Ext Roman" w:hAnsi="新細明體" w:cs="Times Ext Roman"/>
          <w:szCs w:val="22"/>
        </w:rPr>
        <w:t>參見《發趣論》</w:t>
      </w:r>
      <w:r w:rsidRPr="00043A1E">
        <w:rPr>
          <w:rFonts w:ascii="Times Ext Roman" w:hAnsi="新細明體" w:cs="Times Ext Roman" w:hint="eastAsia"/>
          <w:szCs w:val="22"/>
        </w:rPr>
        <w:t>，</w:t>
      </w:r>
      <w:r w:rsidRPr="00043A1E">
        <w:rPr>
          <w:rFonts w:ascii="Times Ext Roman" w:hAnsi="新細明體" w:cs="Times Ext Roman"/>
          <w:szCs w:val="22"/>
        </w:rPr>
        <w:t>《</w:t>
      </w:r>
      <w:r w:rsidRPr="00043A1E">
        <w:rPr>
          <w:rFonts w:ascii="Times Ext Roman" w:hAnsi="新細明體" w:cs="Times Ext Roman" w:hint="eastAsia"/>
          <w:szCs w:val="22"/>
        </w:rPr>
        <w:t>日譯南傳大藏經》（第</w:t>
      </w:r>
      <w:r w:rsidRPr="00761EF3">
        <w:rPr>
          <w:rFonts w:hint="eastAsia"/>
          <w:szCs w:val="22"/>
        </w:rPr>
        <w:t>50</w:t>
      </w:r>
      <w:r w:rsidRPr="00043A1E">
        <w:rPr>
          <w:rFonts w:ascii="Times Ext Roman" w:hAnsi="新細明體" w:cs="Times Ext Roman" w:hint="eastAsia"/>
          <w:szCs w:val="22"/>
        </w:rPr>
        <w:t>冊，</w:t>
      </w:r>
      <w:r w:rsidRPr="00761EF3">
        <w:rPr>
          <w:rFonts w:hint="eastAsia"/>
          <w:szCs w:val="22"/>
        </w:rPr>
        <w:t>pp</w:t>
      </w:r>
      <w:r w:rsidRPr="00043A1E">
        <w:rPr>
          <w:rFonts w:hint="eastAsia"/>
          <w:szCs w:val="22"/>
        </w:rPr>
        <w:t>.</w:t>
      </w:r>
      <w:r w:rsidRPr="00761EF3">
        <w:rPr>
          <w:rFonts w:hint="eastAsia"/>
          <w:szCs w:val="22"/>
        </w:rPr>
        <w:t>1</w:t>
      </w:r>
      <w:r w:rsidRPr="00043A1E">
        <w:rPr>
          <w:rFonts w:hint="eastAsia"/>
          <w:szCs w:val="22"/>
        </w:rPr>
        <w:t>-</w:t>
      </w:r>
      <w:r w:rsidRPr="00761EF3">
        <w:rPr>
          <w:rFonts w:hint="eastAsia"/>
          <w:szCs w:val="22"/>
        </w:rPr>
        <w:t>13</w:t>
      </w:r>
      <w:r w:rsidR="00E607D6">
        <w:rPr>
          <w:rFonts w:ascii="Times Ext Roman" w:hAnsi="新細明體" w:cs="Times Ext Roman" w:hint="eastAsia"/>
          <w:szCs w:val="22"/>
        </w:rPr>
        <w:t>、</w:t>
      </w:r>
      <w:r w:rsidRPr="00761EF3">
        <w:rPr>
          <w:rFonts w:hint="eastAsia"/>
          <w:szCs w:val="22"/>
        </w:rPr>
        <w:t>pp</w:t>
      </w:r>
      <w:r w:rsidRPr="00043A1E">
        <w:rPr>
          <w:rFonts w:hint="eastAsia"/>
          <w:szCs w:val="22"/>
        </w:rPr>
        <w:t>.</w:t>
      </w:r>
      <w:r w:rsidRPr="00761EF3">
        <w:rPr>
          <w:rFonts w:hint="eastAsia"/>
          <w:szCs w:val="22"/>
        </w:rPr>
        <w:t>338</w:t>
      </w:r>
      <w:r w:rsidRPr="00043A1E">
        <w:rPr>
          <w:rFonts w:hint="eastAsia"/>
          <w:szCs w:val="22"/>
        </w:rPr>
        <w:t>-</w:t>
      </w:r>
      <w:r w:rsidRPr="00761EF3">
        <w:rPr>
          <w:rFonts w:hint="eastAsia"/>
          <w:szCs w:val="22"/>
        </w:rPr>
        <w:t>354</w:t>
      </w:r>
      <w:r w:rsidR="00E607D6">
        <w:rPr>
          <w:rFonts w:ascii="Times Ext Roman" w:hAnsi="新細明體" w:cs="Times Ext Roman" w:hint="eastAsia"/>
          <w:szCs w:val="22"/>
        </w:rPr>
        <w:t>、</w:t>
      </w:r>
      <w:r w:rsidRPr="00761EF3">
        <w:rPr>
          <w:rFonts w:hint="eastAsia"/>
          <w:szCs w:val="22"/>
        </w:rPr>
        <w:t>pp</w:t>
      </w:r>
      <w:r w:rsidRPr="00043A1E">
        <w:rPr>
          <w:rFonts w:hint="eastAsia"/>
          <w:szCs w:val="22"/>
        </w:rPr>
        <w:t>.</w:t>
      </w:r>
      <w:r w:rsidRPr="00761EF3">
        <w:rPr>
          <w:rFonts w:hint="eastAsia"/>
          <w:szCs w:val="22"/>
        </w:rPr>
        <w:t>355</w:t>
      </w:r>
      <w:r w:rsidRPr="00043A1E">
        <w:rPr>
          <w:rFonts w:hint="eastAsia"/>
          <w:szCs w:val="22"/>
        </w:rPr>
        <w:t>-</w:t>
      </w:r>
      <w:r w:rsidRPr="00761EF3">
        <w:rPr>
          <w:rFonts w:hint="eastAsia"/>
          <w:szCs w:val="22"/>
        </w:rPr>
        <w:t>413</w:t>
      </w:r>
      <w:r w:rsidRPr="00043A1E">
        <w:rPr>
          <w:rFonts w:ascii="Times Ext Roman" w:hAnsi="新細明體" w:cs="Times Ext Roman" w:hint="eastAsia"/>
          <w:szCs w:val="22"/>
        </w:rPr>
        <w:t>）。</w:t>
      </w:r>
    </w:p>
    <w:p w:rsidR="00157EF6" w:rsidRPr="00043A1E" w:rsidRDefault="00157EF6" w:rsidP="00AA120F">
      <w:pPr>
        <w:pStyle w:val="a5"/>
        <w:ind w:leftChars="105" w:left="791" w:hangingChars="245" w:hanging="539"/>
        <w:jc w:val="both"/>
        <w:rPr>
          <w:rFonts w:ascii="Times Ext Roman" w:hAnsi="Times Ext Roman" w:cs="Times Ext Roman"/>
          <w:szCs w:val="22"/>
        </w:rPr>
      </w:pPr>
      <w:r w:rsidRPr="00043A1E">
        <w:rPr>
          <w:rFonts w:ascii="Times Ext Roman" w:hAnsi="新細明體" w:cs="Times Ext Roman" w:hint="eastAsia"/>
          <w:szCs w:val="22"/>
        </w:rPr>
        <w:t>（</w:t>
      </w:r>
      <w:r w:rsidRPr="00761EF3">
        <w:rPr>
          <w:rFonts w:hint="eastAsia"/>
          <w:szCs w:val="22"/>
        </w:rPr>
        <w:t>3</w:t>
      </w:r>
      <w:r w:rsidRPr="00043A1E">
        <w:rPr>
          <w:rFonts w:ascii="Times Ext Roman" w:hAnsi="新細明體" w:cs="Times Ext Roman" w:hint="eastAsia"/>
          <w:szCs w:val="22"/>
        </w:rPr>
        <w:t>）</w:t>
      </w:r>
      <w:r w:rsidRPr="00043A1E">
        <w:rPr>
          <w:rFonts w:ascii="Times Ext Roman" w:hAnsi="新細明體" w:cs="Times Ext Roman"/>
          <w:szCs w:val="22"/>
        </w:rPr>
        <w:t>《清淨道論》</w:t>
      </w:r>
      <w:r w:rsidRPr="00043A1E">
        <w:rPr>
          <w:rFonts w:ascii="Times Ext Roman" w:hAnsi="新細明體" w:cs="Times Ext Roman" w:hint="eastAsia"/>
          <w:szCs w:val="22"/>
        </w:rPr>
        <w:t>，</w:t>
      </w:r>
      <w:r w:rsidRPr="00043A1E">
        <w:rPr>
          <w:rFonts w:ascii="Times Ext Roman" w:hAnsi="新細明體" w:cs="Times Ext Roman"/>
          <w:szCs w:val="22"/>
        </w:rPr>
        <w:t>《</w:t>
      </w:r>
      <w:r w:rsidRPr="00043A1E">
        <w:rPr>
          <w:rFonts w:ascii="Times Ext Roman" w:hAnsi="新細明體" w:cs="Times Ext Roman" w:hint="eastAsia"/>
          <w:szCs w:val="22"/>
        </w:rPr>
        <w:t>日譯南傳大藏經》（第</w:t>
      </w:r>
      <w:r w:rsidRPr="00761EF3">
        <w:rPr>
          <w:rFonts w:hint="eastAsia"/>
          <w:szCs w:val="22"/>
        </w:rPr>
        <w:t>64</w:t>
      </w:r>
      <w:r w:rsidRPr="00043A1E">
        <w:rPr>
          <w:rFonts w:ascii="Times Ext Roman" w:hAnsi="新細明體" w:cs="Times Ext Roman" w:hint="eastAsia"/>
          <w:szCs w:val="22"/>
        </w:rPr>
        <w:t>冊，</w:t>
      </w:r>
      <w:r w:rsidRPr="00761EF3">
        <w:rPr>
          <w:rFonts w:hint="eastAsia"/>
          <w:szCs w:val="22"/>
        </w:rPr>
        <w:t>pp</w:t>
      </w:r>
      <w:r w:rsidRPr="00043A1E">
        <w:rPr>
          <w:rFonts w:hint="eastAsia"/>
          <w:szCs w:val="22"/>
        </w:rPr>
        <w:t>.</w:t>
      </w:r>
      <w:r w:rsidRPr="00761EF3">
        <w:rPr>
          <w:rFonts w:hint="eastAsia"/>
          <w:szCs w:val="22"/>
        </w:rPr>
        <w:t>180</w:t>
      </w:r>
      <w:r w:rsidRPr="00043A1E">
        <w:rPr>
          <w:rFonts w:hint="eastAsia"/>
          <w:szCs w:val="22"/>
        </w:rPr>
        <w:t>-</w:t>
      </w:r>
      <w:r w:rsidRPr="00761EF3">
        <w:rPr>
          <w:rFonts w:hint="eastAsia"/>
          <w:szCs w:val="22"/>
        </w:rPr>
        <w:t>192</w:t>
      </w:r>
      <w:r w:rsidR="005F505A">
        <w:rPr>
          <w:rFonts w:ascii="Times Ext Roman" w:hAnsi="新細明體" w:cs="Times Ext Roman" w:hint="eastAsia"/>
          <w:szCs w:val="22"/>
        </w:rPr>
        <w:t>、</w:t>
      </w:r>
      <w:r w:rsidRPr="00761EF3">
        <w:rPr>
          <w:rFonts w:hint="eastAsia"/>
          <w:szCs w:val="22"/>
        </w:rPr>
        <w:t>pp</w:t>
      </w:r>
      <w:r w:rsidRPr="00043A1E">
        <w:rPr>
          <w:rFonts w:hint="eastAsia"/>
          <w:szCs w:val="22"/>
        </w:rPr>
        <w:t>.</w:t>
      </w:r>
      <w:r w:rsidRPr="00761EF3">
        <w:rPr>
          <w:rFonts w:hint="eastAsia"/>
          <w:szCs w:val="22"/>
        </w:rPr>
        <w:t>418</w:t>
      </w:r>
      <w:r w:rsidRPr="00043A1E">
        <w:rPr>
          <w:rFonts w:hint="eastAsia"/>
          <w:szCs w:val="22"/>
        </w:rPr>
        <w:t>-</w:t>
      </w:r>
      <w:r w:rsidRPr="00761EF3">
        <w:rPr>
          <w:rFonts w:hint="eastAsia"/>
          <w:szCs w:val="22"/>
        </w:rPr>
        <w:t>416</w:t>
      </w:r>
      <w:r w:rsidRPr="00043A1E">
        <w:rPr>
          <w:rFonts w:ascii="Times Ext Roman" w:hAnsi="新細明體" w:cs="Times Ext Roman" w:hint="eastAsia"/>
          <w:szCs w:val="22"/>
        </w:rPr>
        <w:t>）。</w:t>
      </w:r>
    </w:p>
  </w:footnote>
  <w:footnote w:id="790">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rFonts w:hint="eastAsia"/>
          <w:szCs w:val="22"/>
        </w:rPr>
        <w:t>遙：指距離遠。</w:t>
      </w:r>
      <w:r w:rsidRPr="00043A1E">
        <w:rPr>
          <w:szCs w:val="22"/>
        </w:rPr>
        <w:t>（《漢語大詞典》（</w:t>
      </w:r>
      <w:r w:rsidRPr="00043A1E">
        <w:rPr>
          <w:rFonts w:hint="eastAsia"/>
          <w:szCs w:val="22"/>
        </w:rPr>
        <w:t>十</w:t>
      </w:r>
      <w:r w:rsidRPr="00043A1E">
        <w:rPr>
          <w:szCs w:val="22"/>
        </w:rPr>
        <w:t>）</w:t>
      </w:r>
      <w:r w:rsidRPr="00043A1E">
        <w:rPr>
          <w:rFonts w:ascii="Times Ext Roman" w:hAnsi="新細明體" w:cs="Times Ext Roman" w:hint="eastAsia"/>
          <w:szCs w:val="22"/>
        </w:rPr>
        <w:t>，</w:t>
      </w:r>
      <w:r w:rsidRPr="00761EF3">
        <w:rPr>
          <w:szCs w:val="22"/>
        </w:rPr>
        <w:t>p</w:t>
      </w:r>
      <w:r w:rsidRPr="00043A1E">
        <w:rPr>
          <w:szCs w:val="22"/>
        </w:rPr>
        <w:t>.</w:t>
      </w:r>
      <w:r w:rsidRPr="00761EF3">
        <w:rPr>
          <w:rFonts w:hint="eastAsia"/>
          <w:szCs w:val="22"/>
        </w:rPr>
        <w:t>1142</w:t>
      </w:r>
      <w:r w:rsidRPr="00043A1E">
        <w:rPr>
          <w:szCs w:val="22"/>
        </w:rPr>
        <w:t>）</w:t>
      </w:r>
    </w:p>
  </w:footnote>
  <w:footnote w:id="791">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隔：時間上距離遠。</w:t>
      </w:r>
      <w:r w:rsidRPr="00043A1E">
        <w:rPr>
          <w:szCs w:val="22"/>
        </w:rPr>
        <w:t>（《漢語大詞典》（</w:t>
      </w:r>
      <w:r w:rsidRPr="00043A1E">
        <w:rPr>
          <w:rFonts w:hint="eastAsia"/>
          <w:szCs w:val="22"/>
        </w:rPr>
        <w:t>十一</w:t>
      </w:r>
      <w:r w:rsidRPr="00043A1E">
        <w:rPr>
          <w:szCs w:val="22"/>
        </w:rPr>
        <w:t>）</w:t>
      </w:r>
      <w:r w:rsidRPr="00043A1E">
        <w:rPr>
          <w:rFonts w:ascii="Times Ext Roman" w:hAnsi="新細明體" w:cs="Times Ext Roman" w:hint="eastAsia"/>
          <w:szCs w:val="22"/>
        </w:rPr>
        <w:t>，</w:t>
      </w:r>
      <w:r w:rsidRPr="00761EF3">
        <w:rPr>
          <w:szCs w:val="22"/>
        </w:rPr>
        <w:t>p</w:t>
      </w:r>
      <w:r w:rsidRPr="00043A1E">
        <w:rPr>
          <w:szCs w:val="22"/>
        </w:rPr>
        <w:t>.</w:t>
      </w:r>
      <w:r w:rsidRPr="00761EF3">
        <w:rPr>
          <w:rFonts w:hint="eastAsia"/>
          <w:szCs w:val="22"/>
        </w:rPr>
        <w:t>1087</w:t>
      </w:r>
      <w:r w:rsidRPr="00043A1E">
        <w:rPr>
          <w:szCs w:val="22"/>
        </w:rPr>
        <w:t>）</w:t>
      </w:r>
    </w:p>
  </w:footnote>
  <w:footnote w:id="792">
    <w:p w:rsidR="00157EF6" w:rsidRPr="00043A1E" w:rsidRDefault="00157EF6" w:rsidP="00AA120F">
      <w:pPr>
        <w:pStyle w:val="a5"/>
        <w:spacing w:line="0" w:lineRule="atLeast"/>
        <w:ind w:left="253" w:hangingChars="115" w:hanging="253"/>
        <w:jc w:val="both"/>
        <w:rPr>
          <w:rFonts w:ascii="Times Ext Roman" w:hAnsi="Times Ext Roman" w:cs="Times Ext Roman"/>
          <w:szCs w:val="22"/>
        </w:rPr>
      </w:pPr>
      <w:r w:rsidRPr="00043A1E">
        <w:rPr>
          <w:rStyle w:val="a6"/>
          <w:szCs w:val="22"/>
        </w:rPr>
        <w:footnoteRef/>
      </w:r>
      <w:r w:rsidRPr="00043A1E">
        <w:rPr>
          <w:rFonts w:ascii="Times Ext Roman" w:hAnsi="新細明體" w:cs="Times Ext Roman" w:hint="eastAsia"/>
          <w:szCs w:val="22"/>
        </w:rPr>
        <w:t xml:space="preserve"> </w:t>
      </w:r>
      <w:r w:rsidRPr="00043A1E">
        <w:rPr>
          <w:rFonts w:ascii="Times Ext Roman" w:hAnsi="新細明體" w:cs="Times Ext Roman"/>
          <w:szCs w:val="22"/>
        </w:rPr>
        <w:t>《</w:t>
      </w:r>
      <w:r w:rsidRPr="00753639">
        <w:rPr>
          <w:szCs w:val="22"/>
        </w:rPr>
        <w:t>大智度</w:t>
      </w:r>
      <w:r w:rsidRPr="00043A1E">
        <w:rPr>
          <w:rFonts w:ascii="Times Ext Roman" w:hAnsi="新細明體" w:cs="Times Ext Roman"/>
          <w:szCs w:val="22"/>
        </w:rPr>
        <w:t>論》卷</w:t>
      </w:r>
      <w:r w:rsidRPr="00761EF3">
        <w:rPr>
          <w:szCs w:val="22"/>
        </w:rPr>
        <w:t>54</w:t>
      </w:r>
      <w:r w:rsidR="003A5C8E">
        <w:rPr>
          <w:rFonts w:hint="eastAsia"/>
          <w:color w:val="FF0000"/>
          <w:szCs w:val="22"/>
          <w:highlight w:val="yellow"/>
        </w:rPr>
        <w:t>釋</w:t>
      </w:r>
      <w:r w:rsidRPr="00043A1E">
        <w:rPr>
          <w:rFonts w:ascii="Times Ext Roman" w:hAnsi="新細明體" w:cs="Times Ext Roman"/>
          <w:szCs w:val="22"/>
        </w:rPr>
        <w:t>〈</w:t>
      </w:r>
      <w:r w:rsidRPr="00761EF3">
        <w:rPr>
          <w:szCs w:val="22"/>
        </w:rPr>
        <w:t>27</w:t>
      </w:r>
      <w:r w:rsidRPr="00043A1E">
        <w:rPr>
          <w:szCs w:val="22"/>
        </w:rPr>
        <w:t xml:space="preserve"> </w:t>
      </w:r>
      <w:r w:rsidRPr="00043A1E">
        <w:rPr>
          <w:rFonts w:ascii="Times Ext Roman" w:hAnsi="新細明體" w:cs="Times Ext Roman"/>
          <w:szCs w:val="22"/>
        </w:rPr>
        <w:t>天</w:t>
      </w:r>
      <w:r w:rsidRPr="00043A1E">
        <w:rPr>
          <w:rFonts w:ascii="Times Ext Roman" w:hAnsi="新細明體" w:cs="Times Ext Roman" w:hint="eastAsia"/>
          <w:szCs w:val="22"/>
        </w:rPr>
        <w:t>主</w:t>
      </w:r>
      <w:r w:rsidRPr="00043A1E">
        <w:rPr>
          <w:rFonts w:ascii="Times Ext Roman" w:hAnsi="新細明體" w:cs="Times Ext Roman"/>
          <w:szCs w:val="22"/>
        </w:rPr>
        <w:t>品〉（大正</w:t>
      </w:r>
      <w:r w:rsidRPr="00761EF3">
        <w:rPr>
          <w:szCs w:val="22"/>
        </w:rPr>
        <w:t>25</w:t>
      </w:r>
      <w:r w:rsidRPr="00043A1E">
        <w:rPr>
          <w:rFonts w:ascii="Times Ext Roman" w:hAnsi="新細明體" w:cs="Times Ext Roman"/>
          <w:szCs w:val="22"/>
        </w:rPr>
        <w:t>，</w:t>
      </w:r>
      <w:r w:rsidRPr="00761EF3">
        <w:rPr>
          <w:szCs w:val="22"/>
        </w:rPr>
        <w:t>444b26</w:t>
      </w:r>
      <w:r w:rsidRPr="00043A1E">
        <w:rPr>
          <w:szCs w:val="22"/>
        </w:rPr>
        <w:t>-</w:t>
      </w:r>
      <w:r w:rsidRPr="00761EF3">
        <w:rPr>
          <w:szCs w:val="22"/>
        </w:rPr>
        <w:t>28</w:t>
      </w:r>
      <w:r w:rsidRPr="00043A1E">
        <w:rPr>
          <w:rFonts w:ascii="Times Ext Roman" w:hAnsi="Times Ext Roman" w:cs="Times Ext Roman"/>
          <w:szCs w:val="22"/>
        </w:rPr>
        <w:t>）</w:t>
      </w:r>
      <w:r w:rsidRPr="00043A1E">
        <w:rPr>
          <w:rFonts w:ascii="Times Ext Roman" w:hAnsi="新細明體" w:cs="Times Ext Roman"/>
          <w:szCs w:val="22"/>
        </w:rPr>
        <w:t>。</w:t>
      </w:r>
    </w:p>
  </w:footnote>
  <w:footnote w:id="793">
    <w:p w:rsidR="00157EF6" w:rsidRPr="00043A1E" w:rsidRDefault="00157EF6" w:rsidP="00AA120F">
      <w:pPr>
        <w:pStyle w:val="a5"/>
        <w:spacing w:line="0" w:lineRule="atLeast"/>
        <w:ind w:left="792" w:hangingChars="360" w:hanging="792"/>
        <w:jc w:val="both"/>
        <w:rPr>
          <w:rFonts w:ascii="Times Ext Roman" w:hAnsi="Times Ext Roman" w:cs="Times Ext Roman"/>
          <w:szCs w:val="22"/>
        </w:rPr>
      </w:pPr>
      <w:r w:rsidRPr="00043A1E">
        <w:rPr>
          <w:rStyle w:val="a6"/>
          <w:szCs w:val="22"/>
        </w:rPr>
        <w:footnoteRef/>
      </w:r>
      <w:r w:rsidRPr="00043A1E">
        <w:rPr>
          <w:rFonts w:ascii="Times Ext Roman" w:hAnsi="Times Ext Roman" w:cs="Times Ext Roman" w:hint="eastAsia"/>
          <w:szCs w:val="22"/>
        </w:rPr>
        <w:t xml:space="preserve"> </w:t>
      </w:r>
      <w:r w:rsidRPr="00043A1E">
        <w:rPr>
          <w:rFonts w:ascii="Times Ext Roman" w:hAnsi="Times Ext Roman" w:cs="Times Ext Roman" w:hint="eastAsia"/>
          <w:szCs w:val="22"/>
        </w:rPr>
        <w:t>（</w:t>
      </w:r>
      <w:r w:rsidRPr="00761EF3">
        <w:rPr>
          <w:rFonts w:hint="eastAsia"/>
          <w:szCs w:val="22"/>
        </w:rPr>
        <w:t>1</w:t>
      </w:r>
      <w:r w:rsidRPr="00043A1E">
        <w:rPr>
          <w:rFonts w:ascii="Times Ext Roman" w:hAnsi="Times Ext Roman" w:cs="Times Ext Roman" w:hint="eastAsia"/>
          <w:szCs w:val="22"/>
        </w:rPr>
        <w:t>）</w:t>
      </w:r>
      <w:r w:rsidRPr="00753639">
        <w:rPr>
          <w:szCs w:val="22"/>
        </w:rPr>
        <w:t>參見</w:t>
      </w:r>
      <w:r w:rsidRPr="00043A1E">
        <w:rPr>
          <w:rFonts w:ascii="Times Ext Roman" w:hAnsi="新細明體" w:cs="Times Ext Roman"/>
          <w:szCs w:val="22"/>
        </w:rPr>
        <w:t>《大智度論》卷</w:t>
      </w:r>
      <w:r w:rsidRPr="00761EF3">
        <w:rPr>
          <w:szCs w:val="22"/>
        </w:rPr>
        <w:t>54</w:t>
      </w:r>
      <w:r w:rsidR="003A5C8E">
        <w:rPr>
          <w:rFonts w:hint="eastAsia"/>
          <w:color w:val="FF0000"/>
          <w:szCs w:val="22"/>
          <w:highlight w:val="yellow"/>
        </w:rPr>
        <w:t>釋</w:t>
      </w:r>
      <w:r w:rsidRPr="00043A1E">
        <w:rPr>
          <w:rFonts w:ascii="Times Ext Roman" w:hAnsi="新細明體" w:cs="Times Ext Roman"/>
          <w:szCs w:val="22"/>
        </w:rPr>
        <w:t>〈</w:t>
      </w:r>
      <w:r w:rsidRPr="00761EF3">
        <w:rPr>
          <w:szCs w:val="22"/>
        </w:rPr>
        <w:t>27</w:t>
      </w:r>
      <w:r w:rsidRPr="00043A1E">
        <w:rPr>
          <w:szCs w:val="22"/>
        </w:rPr>
        <w:t xml:space="preserve"> </w:t>
      </w:r>
      <w:r w:rsidRPr="00043A1E">
        <w:rPr>
          <w:rFonts w:ascii="Times Ext Roman" w:hAnsi="新細明體" w:cs="Times Ext Roman"/>
          <w:szCs w:val="22"/>
        </w:rPr>
        <w:t>天</w:t>
      </w:r>
      <w:r w:rsidRPr="00043A1E">
        <w:rPr>
          <w:rFonts w:ascii="Times Ext Roman" w:hAnsi="新細明體" w:cs="Times Ext Roman" w:hint="eastAsia"/>
          <w:szCs w:val="22"/>
        </w:rPr>
        <w:t>主</w:t>
      </w:r>
      <w:r w:rsidRPr="00043A1E">
        <w:rPr>
          <w:rFonts w:ascii="Times Ext Roman" w:hAnsi="新細明體" w:cs="Times Ext Roman"/>
          <w:szCs w:val="22"/>
        </w:rPr>
        <w:t>品〉（大正</w:t>
      </w:r>
      <w:r w:rsidRPr="00761EF3">
        <w:rPr>
          <w:rFonts w:hint="eastAsia"/>
          <w:szCs w:val="22"/>
        </w:rPr>
        <w:t>25</w:t>
      </w:r>
      <w:r w:rsidRPr="00043A1E">
        <w:rPr>
          <w:rFonts w:ascii="Times Ext Roman" w:hAnsi="新細明體" w:cs="Times Ext Roman" w:hint="eastAsia"/>
          <w:szCs w:val="22"/>
        </w:rPr>
        <w:t>，</w:t>
      </w:r>
      <w:r w:rsidRPr="00761EF3">
        <w:rPr>
          <w:szCs w:val="22"/>
        </w:rPr>
        <w:t>444b28</w:t>
      </w:r>
      <w:r w:rsidRPr="00043A1E">
        <w:rPr>
          <w:szCs w:val="22"/>
        </w:rPr>
        <w:t>-</w:t>
      </w:r>
      <w:r w:rsidRPr="00761EF3">
        <w:rPr>
          <w:szCs w:val="22"/>
        </w:rPr>
        <w:t>445a1</w:t>
      </w:r>
      <w:r w:rsidRPr="00043A1E">
        <w:rPr>
          <w:rFonts w:ascii="Times Ext Roman" w:hAnsi="新細明體" w:cs="Times Ext Roman"/>
          <w:szCs w:val="22"/>
        </w:rPr>
        <w:t>）。</w:t>
      </w:r>
    </w:p>
    <w:p w:rsidR="00157EF6" w:rsidRPr="00043A1E" w:rsidRDefault="00157EF6" w:rsidP="00AA120F">
      <w:pPr>
        <w:pStyle w:val="a5"/>
        <w:ind w:leftChars="105" w:left="791" w:hangingChars="245" w:hanging="539"/>
        <w:jc w:val="both"/>
        <w:rPr>
          <w:rFonts w:ascii="Times Ext Roman" w:hAnsi="Times Ext Roman" w:cs="Times Ext Roman"/>
          <w:szCs w:val="22"/>
        </w:rPr>
      </w:pPr>
      <w:r w:rsidRPr="00043A1E">
        <w:rPr>
          <w:rFonts w:ascii="Times Ext Roman" w:hAnsi="新細明體" w:cs="Times Ext Roman" w:hint="eastAsia"/>
          <w:szCs w:val="22"/>
        </w:rPr>
        <w:t>（</w:t>
      </w:r>
      <w:r w:rsidRPr="00761EF3">
        <w:rPr>
          <w:rFonts w:hint="eastAsia"/>
          <w:szCs w:val="22"/>
        </w:rPr>
        <w:t>2</w:t>
      </w:r>
      <w:r w:rsidRPr="00043A1E">
        <w:rPr>
          <w:rFonts w:ascii="Times Ext Roman" w:hAnsi="新細明體" w:cs="Times Ext Roman" w:hint="eastAsia"/>
          <w:szCs w:val="22"/>
        </w:rPr>
        <w:t>）</w:t>
      </w:r>
      <w:r w:rsidR="009160B5">
        <w:rPr>
          <w:szCs w:val="22"/>
        </w:rPr>
        <w:t>參見：印</w:t>
      </w:r>
      <w:r w:rsidRPr="00043A1E">
        <w:rPr>
          <w:rFonts w:ascii="Times Ext Roman" w:hAnsi="新細明體" w:cs="Times Ext Roman"/>
          <w:szCs w:val="22"/>
        </w:rPr>
        <w:t>順法師</w:t>
      </w:r>
      <w:r w:rsidRPr="00043A1E">
        <w:rPr>
          <w:rFonts w:ascii="Times Ext Roman" w:hAnsi="新細明體" w:cs="Times Ext Roman" w:hint="eastAsia"/>
          <w:szCs w:val="22"/>
        </w:rPr>
        <w:t>，</w:t>
      </w:r>
      <w:r w:rsidRPr="00043A1E">
        <w:rPr>
          <w:rFonts w:ascii="Times Ext Roman" w:hAnsi="新細明體" w:cs="Times Ext Roman"/>
          <w:szCs w:val="22"/>
        </w:rPr>
        <w:t>《大智度論筆記》</w:t>
      </w:r>
      <w:r w:rsidRPr="00043A1E">
        <w:rPr>
          <w:szCs w:val="22"/>
        </w:rPr>
        <w:t>[</w:t>
      </w:r>
      <w:r w:rsidRPr="00761EF3">
        <w:rPr>
          <w:szCs w:val="22"/>
        </w:rPr>
        <w:t>F018</w:t>
      </w:r>
      <w:r w:rsidRPr="00043A1E">
        <w:rPr>
          <w:szCs w:val="22"/>
        </w:rPr>
        <w:t>]</w:t>
      </w:r>
      <w:r w:rsidRPr="00043A1E">
        <w:rPr>
          <w:rFonts w:ascii="Times Ext Roman" w:hAnsi="新細明體" w:cs="Times Ext Roman"/>
          <w:szCs w:val="22"/>
        </w:rPr>
        <w:t>，</w:t>
      </w:r>
      <w:r w:rsidRPr="00761EF3">
        <w:rPr>
          <w:szCs w:val="22"/>
        </w:rPr>
        <w:t>p</w:t>
      </w:r>
      <w:r w:rsidRPr="00043A1E">
        <w:rPr>
          <w:szCs w:val="22"/>
        </w:rPr>
        <w:t>.</w:t>
      </w:r>
      <w:r w:rsidRPr="00761EF3">
        <w:rPr>
          <w:szCs w:val="22"/>
        </w:rPr>
        <w:t>144</w:t>
      </w:r>
      <w:r w:rsidRPr="00043A1E">
        <w:rPr>
          <w:rFonts w:ascii="Times Ext Roman" w:hAnsi="新細明體" w:cs="Times Ext Roman"/>
          <w:szCs w:val="22"/>
        </w:rPr>
        <w:t>：</w:t>
      </w:r>
    </w:p>
    <w:p w:rsidR="00157EF6" w:rsidRPr="00AA40AC" w:rsidRDefault="00157EF6" w:rsidP="00AA40AC">
      <w:pPr>
        <w:pStyle w:val="a5"/>
        <w:ind w:leftChars="105" w:left="252"/>
        <w:jc w:val="both"/>
        <w:rPr>
          <w:rFonts w:ascii="標楷體" w:eastAsia="標楷體" w:hAnsi="標楷體"/>
          <w:szCs w:val="22"/>
        </w:rPr>
      </w:pPr>
      <w:r w:rsidRPr="00AA40AC">
        <w:rPr>
          <w:rFonts w:ascii="標楷體" w:eastAsia="標楷體" w:hAnsi="標楷體"/>
          <w:szCs w:val="22"/>
        </w:rPr>
        <w:t>菩提心、回向心，互不相在：</w:t>
      </w:r>
    </w:p>
    <w:p w:rsidR="00157EF6" w:rsidRPr="004D1EBC" w:rsidRDefault="00157EF6" w:rsidP="00A06E2A">
      <w:pPr>
        <w:pStyle w:val="a5"/>
        <w:tabs>
          <w:tab w:val="left" w:pos="1820"/>
        </w:tabs>
        <w:ind w:leftChars="105" w:left="252"/>
        <w:jc w:val="both"/>
        <w:rPr>
          <w:rFonts w:ascii="標楷體" w:eastAsia="標楷體" w:hAnsi="標楷體"/>
          <w:szCs w:val="22"/>
        </w:rPr>
      </w:pPr>
      <w:r w:rsidRPr="004D1EBC">
        <w:rPr>
          <w:rFonts w:ascii="標楷體" w:eastAsia="標楷體" w:hAnsi="標楷體" w:hint="eastAsia"/>
          <w:szCs w:val="22"/>
        </w:rPr>
        <w:t>┌</w:t>
      </w:r>
      <w:r w:rsidRPr="004D1EBC">
        <w:rPr>
          <w:rFonts w:ascii="標楷體" w:eastAsia="標楷體" w:hAnsi="標楷體"/>
          <w:szCs w:val="22"/>
        </w:rPr>
        <w:t>不以世諦說：</w:t>
      </w:r>
      <w:r w:rsidRPr="004D1EBC">
        <w:rPr>
          <w:rFonts w:ascii="標楷體" w:eastAsia="標楷體" w:hAnsi="標楷體"/>
          <w:szCs w:val="22"/>
        </w:rPr>
        <w:tab/>
      </w:r>
      <w:r w:rsidRPr="004D1EBC">
        <w:rPr>
          <w:rFonts w:ascii="標楷體" w:eastAsia="標楷體" w:hAnsi="標楷體" w:hint="eastAsia"/>
          <w:szCs w:val="22"/>
        </w:rPr>
        <w:t>┌</w:t>
      </w:r>
      <w:r w:rsidRPr="004D1EBC">
        <w:rPr>
          <w:rFonts w:ascii="標楷體" w:eastAsia="標楷體" w:hAnsi="標楷體"/>
          <w:szCs w:val="22"/>
        </w:rPr>
        <w:t>諸法非常非無常，不應言回</w:t>
      </w:r>
      <w:r w:rsidRPr="004D1EBC">
        <w:rPr>
          <w:rFonts w:ascii="標楷體" w:eastAsia="標楷體" w:hAnsi="標楷體" w:hint="eastAsia"/>
          <w:szCs w:val="22"/>
        </w:rPr>
        <w:t>「</w:t>
      </w:r>
      <w:r w:rsidRPr="004D1EBC">
        <w:rPr>
          <w:rFonts w:ascii="標楷體" w:eastAsia="標楷體" w:hAnsi="標楷體"/>
          <w:szCs w:val="22"/>
        </w:rPr>
        <w:t>向心已滅，云何與菩提作因</w:t>
      </w:r>
      <w:r w:rsidRPr="004D1EBC">
        <w:rPr>
          <w:rFonts w:ascii="標楷體" w:eastAsia="標楷體" w:hAnsi="標楷體" w:hint="eastAsia"/>
          <w:szCs w:val="22"/>
        </w:rPr>
        <w:t>」</w:t>
      </w:r>
      <w:r w:rsidRPr="004D1EBC">
        <w:rPr>
          <w:rFonts w:ascii="標楷體" w:eastAsia="標楷體" w:hAnsi="標楷體"/>
          <w:szCs w:val="22"/>
        </w:rPr>
        <w:t>。</w:t>
      </w:r>
    </w:p>
    <w:p w:rsidR="00157EF6" w:rsidRPr="004D1EBC" w:rsidRDefault="00157EF6" w:rsidP="00A06E2A">
      <w:pPr>
        <w:widowControl/>
        <w:tabs>
          <w:tab w:val="left" w:pos="1820"/>
          <w:tab w:val="left" w:pos="10992"/>
          <w:tab w:val="left" w:pos="11908"/>
          <w:tab w:val="left" w:pos="12824"/>
          <w:tab w:val="left" w:pos="13740"/>
          <w:tab w:val="left" w:pos="14656"/>
        </w:tabs>
        <w:snapToGrid w:val="0"/>
        <w:ind w:leftChars="105" w:left="252"/>
        <w:jc w:val="both"/>
        <w:rPr>
          <w:rFonts w:ascii="標楷體" w:eastAsia="標楷體" w:hAnsi="標楷體"/>
          <w:sz w:val="22"/>
          <w:szCs w:val="22"/>
        </w:rPr>
      </w:pPr>
      <w:r w:rsidRPr="004D1EBC">
        <w:rPr>
          <w:rFonts w:ascii="標楷體" w:eastAsia="標楷體" w:hAnsi="標楷體"/>
          <w:sz w:val="22"/>
          <w:szCs w:val="22"/>
        </w:rPr>
        <w:t>│</w:t>
      </w:r>
      <w:r w:rsidRPr="004D1EBC">
        <w:rPr>
          <w:rFonts w:ascii="標楷體" w:eastAsia="標楷體" w:hAnsi="標楷體"/>
          <w:sz w:val="22"/>
          <w:szCs w:val="22"/>
        </w:rPr>
        <w:tab/>
        <w:t>│</w:t>
      </w:r>
      <w:r w:rsidRPr="004D1EBC">
        <w:rPr>
          <w:rFonts w:ascii="標楷體" w:eastAsia="標楷體" w:hAnsi="標楷體"/>
          <w:spacing w:val="-6"/>
          <w:sz w:val="22"/>
          <w:szCs w:val="22"/>
        </w:rPr>
        <w:t>諸法非生滅非不生滅，不應言</w:t>
      </w:r>
      <w:r w:rsidRPr="004D1EBC">
        <w:rPr>
          <w:rFonts w:ascii="標楷體" w:eastAsia="標楷體" w:hAnsi="標楷體" w:hint="eastAsia"/>
          <w:spacing w:val="-6"/>
          <w:sz w:val="22"/>
          <w:szCs w:val="22"/>
        </w:rPr>
        <w:t>「</w:t>
      </w:r>
      <w:r w:rsidRPr="004D1EBC">
        <w:rPr>
          <w:rFonts w:ascii="標楷體" w:eastAsia="標楷體" w:hAnsi="標楷體"/>
          <w:spacing w:val="-6"/>
          <w:sz w:val="22"/>
          <w:szCs w:val="22"/>
        </w:rPr>
        <w:t>菩提不生不滅</w:t>
      </w:r>
      <w:r w:rsidRPr="004D1EBC">
        <w:rPr>
          <w:rFonts w:ascii="標楷體" w:eastAsia="標楷體" w:hAnsi="標楷體" w:hint="eastAsia"/>
          <w:spacing w:val="-6"/>
          <w:sz w:val="22"/>
          <w:szCs w:val="22"/>
        </w:rPr>
        <w:t>、</w:t>
      </w:r>
      <w:r w:rsidRPr="004D1EBC">
        <w:rPr>
          <w:rFonts w:ascii="標楷體" w:eastAsia="標楷體" w:hAnsi="標楷體"/>
          <w:spacing w:val="-6"/>
          <w:sz w:val="22"/>
          <w:szCs w:val="22"/>
        </w:rPr>
        <w:t>無所有何所回向</w:t>
      </w:r>
      <w:r w:rsidRPr="004D1EBC">
        <w:rPr>
          <w:rFonts w:ascii="標楷體" w:eastAsia="標楷體" w:hAnsi="標楷體" w:hint="eastAsia"/>
          <w:spacing w:val="-6"/>
          <w:sz w:val="22"/>
          <w:szCs w:val="22"/>
        </w:rPr>
        <w:t>」</w:t>
      </w:r>
      <w:r w:rsidRPr="004D1EBC">
        <w:rPr>
          <w:rFonts w:ascii="標楷體" w:eastAsia="標楷體" w:hAnsi="標楷體"/>
          <w:spacing w:val="-6"/>
          <w:sz w:val="22"/>
          <w:szCs w:val="22"/>
        </w:rPr>
        <w:t>。</w:t>
      </w:r>
    </w:p>
    <w:p w:rsidR="00157EF6" w:rsidRPr="004D1EBC" w:rsidRDefault="00157EF6" w:rsidP="00A06E2A">
      <w:pPr>
        <w:pStyle w:val="a5"/>
        <w:tabs>
          <w:tab w:val="left" w:pos="1820"/>
        </w:tabs>
        <w:ind w:leftChars="105" w:left="252"/>
        <w:jc w:val="both"/>
        <w:rPr>
          <w:rFonts w:ascii="標楷體" w:eastAsia="標楷體" w:hAnsi="標楷體"/>
          <w:szCs w:val="22"/>
        </w:rPr>
      </w:pPr>
      <w:r w:rsidRPr="004D1EBC">
        <w:rPr>
          <w:rFonts w:ascii="標楷體" w:eastAsia="標楷體" w:hAnsi="標楷體"/>
          <w:szCs w:val="22"/>
        </w:rPr>
        <w:t>│</w:t>
      </w:r>
      <w:r w:rsidRPr="004D1EBC">
        <w:rPr>
          <w:rFonts w:ascii="標楷體" w:eastAsia="標楷體" w:hAnsi="標楷體"/>
          <w:szCs w:val="22"/>
        </w:rPr>
        <w:tab/>
        <w:t>│菩提非三世相，不應言</w:t>
      </w:r>
      <w:r w:rsidRPr="004D1EBC">
        <w:rPr>
          <w:rFonts w:ascii="標楷體" w:eastAsia="標楷體" w:hAnsi="標楷體" w:hint="eastAsia"/>
          <w:szCs w:val="22"/>
        </w:rPr>
        <w:t>「</w:t>
      </w:r>
      <w:r w:rsidRPr="004D1EBC">
        <w:rPr>
          <w:rFonts w:ascii="標楷體" w:eastAsia="標楷體" w:hAnsi="標楷體"/>
          <w:szCs w:val="22"/>
        </w:rPr>
        <w:t>未來無菩提，何所回向</w:t>
      </w:r>
      <w:r w:rsidRPr="004D1EBC">
        <w:rPr>
          <w:rFonts w:ascii="標楷體" w:eastAsia="標楷體" w:hAnsi="標楷體" w:hint="eastAsia"/>
          <w:szCs w:val="22"/>
        </w:rPr>
        <w:t>」。</w:t>
      </w:r>
    </w:p>
    <w:p w:rsidR="00157EF6" w:rsidRPr="004D1EBC" w:rsidRDefault="00157EF6" w:rsidP="00A06E2A">
      <w:pPr>
        <w:pStyle w:val="a5"/>
        <w:tabs>
          <w:tab w:val="left" w:pos="1820"/>
        </w:tabs>
        <w:ind w:leftChars="105" w:left="252"/>
        <w:jc w:val="both"/>
        <w:rPr>
          <w:rFonts w:ascii="標楷體" w:eastAsia="標楷體" w:hAnsi="標楷體"/>
          <w:szCs w:val="22"/>
        </w:rPr>
      </w:pPr>
      <w:r w:rsidRPr="004D1EBC">
        <w:rPr>
          <w:rFonts w:ascii="標楷體" w:eastAsia="標楷體" w:hAnsi="標楷體"/>
          <w:szCs w:val="22"/>
        </w:rPr>
        <w:t>│</w:t>
      </w:r>
      <w:r w:rsidRPr="004D1EBC">
        <w:rPr>
          <w:rFonts w:ascii="標楷體" w:eastAsia="標楷體" w:hAnsi="標楷體"/>
          <w:szCs w:val="22"/>
        </w:rPr>
        <w:tab/>
      </w:r>
      <w:r w:rsidRPr="004D1EBC">
        <w:rPr>
          <w:rFonts w:ascii="標楷體" w:eastAsia="標楷體" w:hAnsi="標楷體" w:hint="eastAsia"/>
          <w:szCs w:val="22"/>
        </w:rPr>
        <w:t>└</w:t>
      </w:r>
      <w:r w:rsidRPr="004D1EBC">
        <w:rPr>
          <w:rFonts w:ascii="標楷體" w:eastAsia="標楷體" w:hAnsi="標楷體"/>
          <w:szCs w:val="22"/>
        </w:rPr>
        <w:t>三世互不相離，一如無二，云何說</w:t>
      </w:r>
      <w:r w:rsidRPr="004D1EBC">
        <w:rPr>
          <w:rFonts w:ascii="標楷體" w:eastAsia="標楷體" w:hAnsi="標楷體" w:hint="eastAsia"/>
          <w:szCs w:val="22"/>
        </w:rPr>
        <w:t>「</w:t>
      </w:r>
      <w:r w:rsidRPr="004D1EBC">
        <w:rPr>
          <w:rFonts w:ascii="標楷體" w:eastAsia="標楷體" w:hAnsi="標楷體"/>
          <w:szCs w:val="22"/>
        </w:rPr>
        <w:t>二心互不相在</w:t>
      </w:r>
      <w:r w:rsidRPr="004D1EBC">
        <w:rPr>
          <w:rFonts w:ascii="標楷體" w:eastAsia="標楷體" w:hAnsi="標楷體" w:hint="eastAsia"/>
          <w:szCs w:val="22"/>
        </w:rPr>
        <w:t>」</w:t>
      </w:r>
      <w:r w:rsidRPr="004D1EBC">
        <w:rPr>
          <w:rFonts w:ascii="標楷體" w:eastAsia="標楷體" w:hAnsi="標楷體"/>
          <w:szCs w:val="22"/>
        </w:rPr>
        <w:t>？</w:t>
      </w:r>
    </w:p>
    <w:p w:rsidR="00157EF6" w:rsidRPr="004D1EBC" w:rsidRDefault="00157EF6" w:rsidP="00A06E2A">
      <w:pPr>
        <w:pStyle w:val="a5"/>
        <w:tabs>
          <w:tab w:val="left" w:pos="1820"/>
        </w:tabs>
        <w:ind w:leftChars="105" w:left="252"/>
        <w:jc w:val="both"/>
        <w:rPr>
          <w:rFonts w:ascii="標楷體" w:eastAsia="標楷體" w:hAnsi="標楷體" w:cs="Times Ext Roman"/>
          <w:szCs w:val="22"/>
        </w:rPr>
      </w:pPr>
      <w:r w:rsidRPr="004D1EBC">
        <w:rPr>
          <w:rFonts w:ascii="標楷體" w:eastAsia="標楷體" w:hAnsi="標楷體" w:hint="eastAsia"/>
          <w:szCs w:val="22"/>
        </w:rPr>
        <w:t>└</w:t>
      </w:r>
      <w:r w:rsidRPr="004D1EBC">
        <w:rPr>
          <w:rFonts w:ascii="標楷體" w:eastAsia="標楷體" w:hAnsi="標楷體"/>
          <w:szCs w:val="22"/>
        </w:rPr>
        <w:t>以第一義諦說：皆空，非心相。</w:t>
      </w:r>
    </w:p>
  </w:footnote>
  <w:footnote w:id="794">
    <w:p w:rsidR="003A5C8E" w:rsidRDefault="00157EF6" w:rsidP="003A5C8E">
      <w:pPr>
        <w:pStyle w:val="a5"/>
        <w:spacing w:line="0" w:lineRule="atLeast"/>
        <w:ind w:left="253" w:hangingChars="115" w:hanging="253"/>
        <w:jc w:val="both"/>
        <w:rPr>
          <w:rStyle w:val="aff"/>
          <w:rFonts w:ascii="Times New Roman" w:cs="Times New Roman"/>
          <w:sz w:val="22"/>
          <w:szCs w:val="22"/>
        </w:rPr>
      </w:pPr>
      <w:r w:rsidRPr="00043A1E">
        <w:rPr>
          <w:rStyle w:val="a6"/>
          <w:szCs w:val="22"/>
        </w:rPr>
        <w:footnoteRef/>
      </w:r>
      <w:r w:rsidRPr="00043A1E">
        <w:rPr>
          <w:rStyle w:val="aff"/>
          <w:rFonts w:hint="eastAsia"/>
          <w:sz w:val="22"/>
          <w:szCs w:val="22"/>
        </w:rPr>
        <w:t xml:space="preserve"> </w:t>
      </w:r>
      <w:r w:rsidRPr="00043A1E">
        <w:rPr>
          <w:rStyle w:val="aff"/>
          <w:rFonts w:ascii="Times New Roman" w:cs="Times New Roman"/>
          <w:sz w:val="22"/>
          <w:szCs w:val="22"/>
        </w:rPr>
        <w:t>《大智度論》卷</w:t>
      </w:r>
      <w:r w:rsidRPr="00761EF3">
        <w:rPr>
          <w:rStyle w:val="aff"/>
          <w:rFonts w:ascii="Times New Roman" w:cs="Times New Roman"/>
          <w:sz w:val="22"/>
          <w:szCs w:val="22"/>
        </w:rPr>
        <w:t>75</w:t>
      </w:r>
      <w:r w:rsidR="003A5C8E">
        <w:rPr>
          <w:rFonts w:hint="eastAsia"/>
          <w:color w:val="FF0000"/>
          <w:szCs w:val="22"/>
          <w:highlight w:val="yellow"/>
        </w:rPr>
        <w:t>釋</w:t>
      </w:r>
      <w:r w:rsidRPr="00043A1E">
        <w:rPr>
          <w:rStyle w:val="aff"/>
          <w:rFonts w:ascii="Times New Roman" w:cs="Times New Roman"/>
          <w:sz w:val="22"/>
          <w:szCs w:val="22"/>
        </w:rPr>
        <w:t>〈</w:t>
      </w:r>
      <w:r w:rsidRPr="00761EF3">
        <w:rPr>
          <w:rStyle w:val="aff"/>
          <w:rFonts w:ascii="Times New Roman" w:cs="Times New Roman"/>
          <w:sz w:val="22"/>
          <w:szCs w:val="22"/>
        </w:rPr>
        <w:t>57</w:t>
      </w:r>
      <w:r w:rsidRPr="00043A1E">
        <w:rPr>
          <w:rStyle w:val="aff"/>
          <w:rFonts w:ascii="Times New Roman" w:cs="Times New Roman"/>
          <w:sz w:val="22"/>
          <w:szCs w:val="22"/>
        </w:rPr>
        <w:t xml:space="preserve"> </w:t>
      </w:r>
      <w:r w:rsidRPr="00043A1E">
        <w:rPr>
          <w:rStyle w:val="aff"/>
          <w:rFonts w:ascii="Times New Roman" w:cs="Times New Roman"/>
          <w:sz w:val="22"/>
          <w:szCs w:val="22"/>
        </w:rPr>
        <w:t>燈喻品〉（大正</w:t>
      </w:r>
      <w:r w:rsidRPr="00761EF3">
        <w:rPr>
          <w:rStyle w:val="aff"/>
          <w:rFonts w:ascii="Times New Roman" w:cs="Times New Roman"/>
          <w:sz w:val="22"/>
          <w:szCs w:val="22"/>
        </w:rPr>
        <w:t>25</w:t>
      </w:r>
      <w:r w:rsidRPr="00043A1E">
        <w:rPr>
          <w:rStyle w:val="aff"/>
          <w:rFonts w:ascii="Times New Roman" w:cs="Times New Roman"/>
          <w:sz w:val="22"/>
          <w:szCs w:val="22"/>
        </w:rPr>
        <w:t>，</w:t>
      </w:r>
      <w:r w:rsidRPr="00761EF3">
        <w:rPr>
          <w:rStyle w:val="aff"/>
          <w:rFonts w:ascii="Times New Roman" w:cs="Times New Roman"/>
          <w:sz w:val="22"/>
          <w:szCs w:val="22"/>
        </w:rPr>
        <w:t>585c2</w:t>
      </w:r>
      <w:r w:rsidRPr="00043A1E">
        <w:rPr>
          <w:rStyle w:val="aff"/>
          <w:rFonts w:ascii="Times New Roman" w:cs="Times New Roman"/>
          <w:sz w:val="22"/>
          <w:szCs w:val="22"/>
        </w:rPr>
        <w:t>-</w:t>
      </w:r>
      <w:r w:rsidRPr="00761EF3">
        <w:rPr>
          <w:rStyle w:val="aff"/>
          <w:rFonts w:ascii="Times New Roman" w:cs="Times New Roman"/>
          <w:sz w:val="22"/>
          <w:szCs w:val="22"/>
        </w:rPr>
        <w:t>25</w:t>
      </w:r>
      <w:r w:rsidRPr="00043A1E">
        <w:rPr>
          <w:rStyle w:val="aff"/>
          <w:rFonts w:ascii="Times New Roman" w:cs="Times New Roman"/>
          <w:sz w:val="22"/>
          <w:szCs w:val="22"/>
        </w:rPr>
        <w:t>）：</w:t>
      </w:r>
    </w:p>
    <w:p w:rsidR="003A5C8E" w:rsidRPr="003A5C8E" w:rsidRDefault="00157EF6" w:rsidP="003A5C8E">
      <w:pPr>
        <w:pStyle w:val="a5"/>
        <w:spacing w:line="0" w:lineRule="atLeast"/>
        <w:ind w:leftChars="100" w:left="240"/>
        <w:jc w:val="both"/>
        <w:rPr>
          <w:rFonts w:ascii="標楷體" w:eastAsia="標楷體" w:hAnsi="標楷體"/>
          <w:szCs w:val="22"/>
        </w:rPr>
      </w:pPr>
      <w:r w:rsidRPr="003A5C8E">
        <w:rPr>
          <w:rFonts w:ascii="標楷體" w:eastAsia="標楷體" w:hAnsi="標楷體"/>
          <w:szCs w:val="22"/>
        </w:rPr>
        <w:t>須菩提此中自說難問因緣，所謂</w:t>
      </w:r>
      <w:r w:rsidR="005F505A" w:rsidRPr="003A5C8E">
        <w:rPr>
          <w:rFonts w:ascii="標楷體" w:eastAsia="標楷體" w:hAnsi="標楷體" w:hint="eastAsia"/>
          <w:bCs/>
          <w:color w:val="FF0000"/>
          <w:kern w:val="0"/>
          <w:szCs w:val="22"/>
          <w:highlight w:val="yellow"/>
        </w:rPr>
        <w:t>「</w:t>
      </w:r>
      <w:r w:rsidRPr="003A5C8E">
        <w:rPr>
          <w:rFonts w:ascii="標楷體" w:eastAsia="標楷體" w:hAnsi="標楷體"/>
          <w:b/>
          <w:szCs w:val="22"/>
        </w:rPr>
        <w:t>初心不至後心，後心不在初心，云何增益善根得無上道</w:t>
      </w:r>
      <w:r w:rsidRPr="003A5C8E">
        <w:rPr>
          <w:rFonts w:ascii="標楷體" w:eastAsia="標楷體" w:hAnsi="標楷體"/>
          <w:szCs w:val="22"/>
        </w:rPr>
        <w:t>？</w:t>
      </w:r>
      <w:r w:rsidR="005F505A" w:rsidRPr="003A5C8E">
        <w:rPr>
          <w:rFonts w:ascii="標楷體" w:eastAsia="標楷體" w:hAnsi="標楷體" w:hint="eastAsia"/>
          <w:bCs/>
          <w:color w:val="FF0000"/>
          <w:kern w:val="0"/>
          <w:szCs w:val="22"/>
          <w:highlight w:val="yellow"/>
        </w:rPr>
        <w:t>」</w:t>
      </w:r>
      <w:r w:rsidRPr="003A5C8E">
        <w:rPr>
          <w:rFonts w:ascii="標楷體" w:eastAsia="標楷體" w:hAnsi="標楷體"/>
          <w:szCs w:val="22"/>
        </w:rPr>
        <w:t>如是等因緣</w:t>
      </w:r>
      <w:r w:rsidR="005F505A" w:rsidRPr="003A5C8E">
        <w:rPr>
          <w:rFonts w:ascii="標楷體" w:eastAsia="標楷體" w:hAnsi="標楷體" w:hint="eastAsia"/>
          <w:color w:val="FF0000"/>
          <w:kern w:val="0"/>
          <w:szCs w:val="22"/>
          <w:highlight w:val="yellow"/>
        </w:rPr>
        <w:t>，</w:t>
      </w:r>
      <w:r w:rsidRPr="003A5C8E">
        <w:rPr>
          <w:rFonts w:ascii="標楷體" w:eastAsia="標楷體" w:hAnsi="標楷體"/>
          <w:szCs w:val="22"/>
        </w:rPr>
        <w:t>故作是問：</w:t>
      </w:r>
      <w:r w:rsidRPr="003A5C8E">
        <w:rPr>
          <w:rFonts w:ascii="標楷體" w:eastAsia="標楷體" w:hAnsi="標楷體" w:hint="eastAsia"/>
          <w:szCs w:val="22"/>
        </w:rPr>
        <w:t>「</w:t>
      </w:r>
      <w:r w:rsidRPr="003A5C8E">
        <w:rPr>
          <w:rFonts w:ascii="標楷體" w:eastAsia="標楷體" w:hAnsi="標楷體"/>
          <w:szCs w:val="22"/>
        </w:rPr>
        <w:t>以初心得，後心得？</w:t>
      </w:r>
      <w:r w:rsidRPr="003A5C8E">
        <w:rPr>
          <w:rFonts w:ascii="標楷體" w:eastAsia="標楷體" w:hAnsi="標楷體" w:hint="eastAsia"/>
          <w:szCs w:val="22"/>
        </w:rPr>
        <w:t>」</w:t>
      </w:r>
    </w:p>
    <w:p w:rsidR="003A5C8E" w:rsidRPr="003A5C8E" w:rsidRDefault="00157EF6" w:rsidP="003A5C8E">
      <w:pPr>
        <w:pStyle w:val="a5"/>
        <w:spacing w:line="0" w:lineRule="atLeast"/>
        <w:ind w:leftChars="100" w:left="240"/>
        <w:jc w:val="both"/>
        <w:rPr>
          <w:rFonts w:ascii="標楷體" w:eastAsia="標楷體" w:hAnsi="標楷體"/>
          <w:szCs w:val="22"/>
        </w:rPr>
      </w:pPr>
      <w:r w:rsidRPr="003A5C8E">
        <w:rPr>
          <w:rFonts w:ascii="標楷體" w:eastAsia="標楷體" w:hAnsi="標楷體"/>
          <w:szCs w:val="22"/>
        </w:rPr>
        <w:t>佛以深因緣法答</w:t>
      </w:r>
      <w:r w:rsidR="005F505A" w:rsidRPr="003A5C8E">
        <w:rPr>
          <w:rFonts w:ascii="標楷體" w:eastAsia="標楷體" w:hAnsi="標楷體" w:hint="eastAsia"/>
          <w:color w:val="FF0000"/>
          <w:kern w:val="0"/>
          <w:szCs w:val="22"/>
          <w:highlight w:val="yellow"/>
        </w:rPr>
        <w:t>，</w:t>
      </w:r>
      <w:r w:rsidRPr="003A5C8E">
        <w:rPr>
          <w:rFonts w:ascii="標楷體" w:eastAsia="標楷體" w:hAnsi="標楷體"/>
          <w:szCs w:val="22"/>
        </w:rPr>
        <w:t>所謂</w:t>
      </w:r>
      <w:r w:rsidR="005F505A" w:rsidRPr="003A5C8E">
        <w:rPr>
          <w:rFonts w:ascii="標楷體" w:eastAsia="標楷體" w:hAnsi="標楷體" w:hint="eastAsia"/>
          <w:color w:val="FF0000"/>
          <w:szCs w:val="22"/>
          <w:highlight w:val="yellow"/>
        </w:rPr>
        <w:t>「</w:t>
      </w:r>
      <w:r w:rsidRPr="003A5C8E">
        <w:rPr>
          <w:rFonts w:ascii="標楷體" w:eastAsia="標楷體" w:hAnsi="標楷體"/>
          <w:szCs w:val="22"/>
        </w:rPr>
        <w:t>不但以初心得，亦不離初心得。</w:t>
      </w:r>
      <w:r w:rsidR="005F505A" w:rsidRPr="003A5C8E">
        <w:rPr>
          <w:rFonts w:ascii="標楷體" w:eastAsia="標楷體" w:hAnsi="標楷體" w:hint="eastAsia"/>
          <w:bCs/>
          <w:color w:val="FF0000"/>
          <w:kern w:val="0"/>
          <w:szCs w:val="22"/>
          <w:highlight w:val="yellow"/>
        </w:rPr>
        <w:t>」</w:t>
      </w:r>
      <w:r w:rsidRPr="003A5C8E">
        <w:rPr>
          <w:rFonts w:ascii="標楷體" w:eastAsia="標楷體" w:hAnsi="標楷體"/>
          <w:szCs w:val="22"/>
        </w:rPr>
        <w:t>所以者何？若</w:t>
      </w:r>
      <w:r w:rsidR="00454A65" w:rsidRPr="003A5C8E">
        <w:rPr>
          <w:rFonts w:ascii="標楷體" w:eastAsia="標楷體" w:hAnsi="標楷體" w:hint="eastAsia"/>
          <w:bCs/>
          <w:color w:val="FF0000"/>
          <w:kern w:val="0"/>
          <w:szCs w:val="22"/>
          <w:highlight w:val="yellow"/>
        </w:rPr>
        <w:t>「</w:t>
      </w:r>
      <w:r w:rsidRPr="003A5C8E">
        <w:rPr>
          <w:rFonts w:ascii="標楷體" w:eastAsia="標楷體" w:hAnsi="標楷體"/>
          <w:szCs w:val="22"/>
        </w:rPr>
        <w:t>但以初心得，不以後心</w:t>
      </w:r>
      <w:r w:rsidR="00454A65" w:rsidRPr="003A5C8E">
        <w:rPr>
          <w:rFonts w:ascii="標楷體" w:eastAsia="標楷體" w:hAnsi="標楷體" w:hint="eastAsia"/>
          <w:bCs/>
          <w:color w:val="FF0000"/>
          <w:kern w:val="0"/>
          <w:szCs w:val="22"/>
          <w:highlight w:val="yellow"/>
        </w:rPr>
        <w:t>」</w:t>
      </w:r>
      <w:r w:rsidRPr="003A5C8E">
        <w:rPr>
          <w:rFonts w:ascii="標楷體" w:eastAsia="標楷體" w:hAnsi="標楷體"/>
          <w:szCs w:val="22"/>
        </w:rPr>
        <w:t>者，菩薩初發心，便應是佛。若無初心，云何有</w:t>
      </w:r>
      <w:r w:rsidR="00454A65" w:rsidRPr="003A5C8E">
        <w:rPr>
          <w:rFonts w:ascii="標楷體" w:eastAsia="標楷體" w:hAnsi="標楷體" w:hint="eastAsia"/>
          <w:bCs/>
          <w:color w:val="FF0000"/>
          <w:kern w:val="0"/>
          <w:szCs w:val="22"/>
          <w:highlight w:val="yellow"/>
        </w:rPr>
        <w:t>「</w:t>
      </w:r>
      <w:r w:rsidRPr="003A5C8E">
        <w:rPr>
          <w:rFonts w:ascii="標楷體" w:eastAsia="標楷體" w:hAnsi="標楷體"/>
          <w:szCs w:val="22"/>
        </w:rPr>
        <w:t>第二、第三</w:t>
      </w:r>
      <w:r w:rsidR="00454A65" w:rsidRPr="003A5C8E">
        <w:rPr>
          <w:rFonts w:ascii="標楷體" w:eastAsia="標楷體" w:hAnsi="標楷體" w:hint="eastAsia"/>
          <w:bCs/>
          <w:color w:val="FF0000"/>
          <w:kern w:val="0"/>
          <w:szCs w:val="22"/>
          <w:highlight w:val="yellow"/>
        </w:rPr>
        <w:t>」</w:t>
      </w:r>
      <w:r w:rsidRPr="003A5C8E">
        <w:rPr>
          <w:rFonts w:ascii="標楷體" w:eastAsia="標楷體" w:hAnsi="標楷體"/>
          <w:szCs w:val="22"/>
        </w:rPr>
        <w:t>心？</w:t>
      </w:r>
      <w:r w:rsidR="00454A65" w:rsidRPr="003A5C8E">
        <w:rPr>
          <w:rFonts w:ascii="標楷體" w:eastAsia="標楷體" w:hAnsi="標楷體" w:hint="eastAsia"/>
          <w:bCs/>
          <w:color w:val="FF0000"/>
          <w:kern w:val="0"/>
          <w:szCs w:val="22"/>
          <w:highlight w:val="yellow"/>
        </w:rPr>
        <w:t>「</w:t>
      </w:r>
      <w:r w:rsidRPr="003A5C8E">
        <w:rPr>
          <w:rFonts w:ascii="標楷體" w:eastAsia="標楷體" w:hAnsi="標楷體"/>
          <w:szCs w:val="22"/>
        </w:rPr>
        <w:t>第二、第三</w:t>
      </w:r>
      <w:r w:rsidR="00454A65" w:rsidRPr="003A5C8E">
        <w:rPr>
          <w:rFonts w:ascii="標楷體" w:eastAsia="標楷體" w:hAnsi="標楷體" w:hint="eastAsia"/>
          <w:bCs/>
          <w:color w:val="FF0000"/>
          <w:kern w:val="0"/>
          <w:szCs w:val="22"/>
          <w:highlight w:val="yellow"/>
        </w:rPr>
        <w:t>」</w:t>
      </w:r>
      <w:r w:rsidRPr="003A5C8E">
        <w:rPr>
          <w:rFonts w:ascii="標楷體" w:eastAsia="標楷體" w:hAnsi="標楷體"/>
          <w:szCs w:val="22"/>
          <w:highlight w:val="yellow"/>
        </w:rPr>
        <w:t>心以</w:t>
      </w:r>
      <w:r w:rsidRPr="003A5C8E">
        <w:rPr>
          <w:rFonts w:ascii="標楷體" w:eastAsia="標楷體" w:hAnsi="標楷體"/>
          <w:szCs w:val="22"/>
        </w:rPr>
        <w:t>初心為根本因緣。</w:t>
      </w:r>
      <w:r w:rsidR="00454A65" w:rsidRPr="003A5C8E">
        <w:rPr>
          <w:rFonts w:ascii="標楷體" w:eastAsia="標楷體" w:hAnsi="標楷體" w:hint="eastAsia"/>
          <w:bCs/>
          <w:color w:val="FF0000"/>
          <w:kern w:val="0"/>
          <w:szCs w:val="22"/>
          <w:highlight w:val="yellow"/>
        </w:rPr>
        <w:t>「</w:t>
      </w:r>
      <w:r w:rsidRPr="003A5C8E">
        <w:rPr>
          <w:rFonts w:ascii="標楷體" w:eastAsia="標楷體" w:hAnsi="標楷體"/>
          <w:szCs w:val="22"/>
        </w:rPr>
        <w:t>亦不但後心，亦不離後心</w:t>
      </w:r>
      <w:r w:rsidR="00454A65" w:rsidRPr="003A5C8E">
        <w:rPr>
          <w:rFonts w:ascii="標楷體" w:eastAsia="標楷體" w:hAnsi="標楷體" w:hint="eastAsia"/>
          <w:bCs/>
          <w:color w:val="FF0000"/>
          <w:kern w:val="0"/>
          <w:szCs w:val="22"/>
          <w:highlight w:val="yellow"/>
        </w:rPr>
        <w:t>」</w:t>
      </w:r>
      <w:r w:rsidRPr="003A5C8E">
        <w:rPr>
          <w:rFonts w:ascii="標楷體" w:eastAsia="標楷體" w:hAnsi="標楷體"/>
          <w:szCs w:val="22"/>
        </w:rPr>
        <w:t>者，是後心亦不離初心</w:t>
      </w:r>
      <w:r w:rsidR="00454A65" w:rsidRPr="003A5C8E">
        <w:rPr>
          <w:rFonts w:ascii="標楷體" w:eastAsia="標楷體" w:hAnsi="標楷體" w:hint="eastAsia"/>
          <w:color w:val="FF0000"/>
          <w:spacing w:val="-4"/>
          <w:kern w:val="0"/>
          <w:szCs w:val="22"/>
          <w:highlight w:val="yellow"/>
        </w:rPr>
        <w:t>；</w:t>
      </w:r>
      <w:r w:rsidR="00454A65" w:rsidRPr="003A5C8E">
        <w:rPr>
          <w:rFonts w:ascii="標楷體" w:eastAsia="標楷體" w:hAnsi="標楷體"/>
          <w:szCs w:val="22"/>
        </w:rPr>
        <w:t>若無初心，則無後心</w:t>
      </w:r>
      <w:r w:rsidR="0037111B" w:rsidRPr="003A5C8E">
        <w:rPr>
          <w:rFonts w:ascii="標楷體" w:eastAsia="標楷體" w:hAnsi="標楷體" w:hint="eastAsia"/>
          <w:color w:val="FF0000"/>
          <w:kern w:val="0"/>
          <w:szCs w:val="22"/>
          <w:highlight w:val="yellow"/>
        </w:rPr>
        <w:t>。</w:t>
      </w:r>
      <w:r w:rsidR="00454A65" w:rsidRPr="003A5C8E">
        <w:rPr>
          <w:rFonts w:ascii="標楷體" w:eastAsia="標楷體" w:hAnsi="標楷體"/>
          <w:szCs w:val="22"/>
        </w:rPr>
        <w:t>初心集種種無量功德，後心則具足</w:t>
      </w:r>
      <w:r w:rsidR="00454A65" w:rsidRPr="003A5C8E">
        <w:rPr>
          <w:rFonts w:ascii="標楷體" w:eastAsia="標楷體" w:hAnsi="標楷體" w:hint="eastAsia"/>
          <w:color w:val="FF0000"/>
          <w:spacing w:val="-4"/>
          <w:kern w:val="0"/>
          <w:szCs w:val="22"/>
          <w:highlight w:val="yellow"/>
        </w:rPr>
        <w:t>；</w:t>
      </w:r>
      <w:r w:rsidRPr="003A5C8E">
        <w:rPr>
          <w:rFonts w:ascii="標楷體" w:eastAsia="標楷體" w:hAnsi="標楷體"/>
          <w:szCs w:val="22"/>
        </w:rPr>
        <w:t>具足故</w:t>
      </w:r>
      <w:r w:rsidR="00454A65" w:rsidRPr="003A5C8E">
        <w:rPr>
          <w:rFonts w:ascii="標楷體" w:eastAsia="標楷體" w:hAnsi="標楷體" w:hint="eastAsia"/>
          <w:color w:val="FF0000"/>
          <w:kern w:val="0"/>
          <w:szCs w:val="22"/>
          <w:highlight w:val="yellow"/>
        </w:rPr>
        <w:t>，</w:t>
      </w:r>
      <w:r w:rsidRPr="003A5C8E">
        <w:rPr>
          <w:rFonts w:ascii="標楷體" w:eastAsia="標楷體" w:hAnsi="標楷體"/>
          <w:szCs w:val="22"/>
        </w:rPr>
        <w:t>能斷煩惱習，得無上道</w:t>
      </w:r>
      <w:r w:rsidRPr="003A5C8E">
        <w:rPr>
          <w:rFonts w:ascii="標楷體" w:eastAsia="標楷體" w:hAnsi="標楷體"/>
          <w:szCs w:val="22"/>
          <w:highlight w:val="yellow"/>
        </w:rPr>
        <w:t>。</w:t>
      </w:r>
    </w:p>
    <w:p w:rsidR="003A5C8E" w:rsidRPr="003A5C8E" w:rsidRDefault="00157EF6" w:rsidP="003A5C8E">
      <w:pPr>
        <w:pStyle w:val="a5"/>
        <w:spacing w:line="0" w:lineRule="atLeast"/>
        <w:ind w:leftChars="100" w:left="240"/>
        <w:jc w:val="both"/>
        <w:rPr>
          <w:rFonts w:ascii="標楷體" w:eastAsia="標楷體" w:hAnsi="標楷體"/>
          <w:szCs w:val="22"/>
        </w:rPr>
      </w:pPr>
      <w:r w:rsidRPr="003A5C8E">
        <w:rPr>
          <w:rFonts w:ascii="標楷體" w:eastAsia="標楷體" w:hAnsi="標楷體"/>
          <w:szCs w:val="22"/>
        </w:rPr>
        <w:t>須菩提此中自說難因緣：</w:t>
      </w:r>
      <w:r w:rsidRPr="003A5C8E">
        <w:rPr>
          <w:rFonts w:ascii="標楷體" w:eastAsia="標楷體" w:hAnsi="標楷體" w:hint="eastAsia"/>
          <w:szCs w:val="22"/>
        </w:rPr>
        <w:t>「</w:t>
      </w:r>
      <w:r w:rsidR="0037111B" w:rsidRPr="003A5C8E">
        <w:rPr>
          <w:rFonts w:ascii="標楷體" w:eastAsia="標楷體" w:hAnsi="標楷體" w:hint="eastAsia"/>
          <w:color w:val="FF0000"/>
          <w:szCs w:val="22"/>
          <w:highlight w:val="yellow"/>
        </w:rPr>
        <w:t>『</w:t>
      </w:r>
      <w:r w:rsidRPr="003A5C8E">
        <w:rPr>
          <w:rFonts w:ascii="標楷體" w:eastAsia="標楷體" w:hAnsi="標楷體"/>
          <w:szCs w:val="22"/>
        </w:rPr>
        <w:t>初</w:t>
      </w:r>
      <w:r w:rsidR="0037111B" w:rsidRPr="003A5C8E">
        <w:rPr>
          <w:rFonts w:ascii="標楷體" w:eastAsia="標楷體" w:hAnsi="標楷體" w:hint="eastAsia"/>
          <w:color w:val="FF0000"/>
          <w:spacing w:val="-4"/>
          <w:kern w:val="0"/>
          <w:szCs w:val="22"/>
          <w:highlight w:val="yellow"/>
        </w:rPr>
        <w:t>、</w:t>
      </w:r>
      <w:r w:rsidRPr="003A5C8E">
        <w:rPr>
          <w:rFonts w:ascii="標楷體" w:eastAsia="標楷體" w:hAnsi="標楷體"/>
          <w:szCs w:val="22"/>
        </w:rPr>
        <w:t>後</w:t>
      </w:r>
      <w:r w:rsidR="0037111B" w:rsidRPr="003A5C8E">
        <w:rPr>
          <w:rFonts w:ascii="標楷體" w:eastAsia="標楷體" w:hAnsi="標楷體" w:hint="eastAsia"/>
          <w:color w:val="FF0000"/>
          <w:szCs w:val="22"/>
          <w:highlight w:val="yellow"/>
        </w:rPr>
        <w:t>』</w:t>
      </w:r>
      <w:r w:rsidRPr="003A5C8E">
        <w:rPr>
          <w:rFonts w:ascii="標楷體" w:eastAsia="標楷體" w:hAnsi="標楷體"/>
          <w:szCs w:val="22"/>
        </w:rPr>
        <w:t>心</w:t>
      </w:r>
      <w:r w:rsidR="0037111B" w:rsidRPr="003A5C8E">
        <w:rPr>
          <w:rFonts w:ascii="標楷體" w:eastAsia="標楷體" w:hAnsi="標楷體" w:hint="eastAsia"/>
          <w:color w:val="FF0000"/>
          <w:kern w:val="0"/>
          <w:szCs w:val="22"/>
          <w:highlight w:val="yellow"/>
        </w:rPr>
        <w:t>.</w:t>
      </w:r>
      <w:r w:rsidRPr="003A5C8E">
        <w:rPr>
          <w:rFonts w:ascii="標楷體" w:eastAsia="標楷體" w:hAnsi="標楷體"/>
          <w:szCs w:val="22"/>
        </w:rPr>
        <w:t>心數法不俱</w:t>
      </w:r>
      <w:r w:rsidR="0037111B" w:rsidRPr="003A5C8E">
        <w:rPr>
          <w:rFonts w:ascii="標楷體" w:eastAsia="標楷體" w:hAnsi="標楷體" w:hint="eastAsia"/>
          <w:color w:val="FF0000"/>
          <w:spacing w:val="-4"/>
          <w:kern w:val="0"/>
          <w:szCs w:val="22"/>
          <w:highlight w:val="yellow"/>
        </w:rPr>
        <w:t>；</w:t>
      </w:r>
      <w:r w:rsidRPr="003A5C8E">
        <w:rPr>
          <w:rFonts w:ascii="標楷體" w:eastAsia="標楷體" w:hAnsi="標楷體"/>
          <w:szCs w:val="22"/>
        </w:rPr>
        <w:t>不俱者</w:t>
      </w:r>
      <w:r w:rsidR="0037111B" w:rsidRPr="003A5C8E">
        <w:rPr>
          <w:rFonts w:ascii="標楷體" w:eastAsia="標楷體" w:hAnsi="標楷體" w:hint="eastAsia"/>
          <w:color w:val="FF0000"/>
          <w:kern w:val="0"/>
          <w:szCs w:val="22"/>
          <w:highlight w:val="yellow"/>
        </w:rPr>
        <w:t>，</w:t>
      </w:r>
      <w:r w:rsidRPr="003A5C8E">
        <w:rPr>
          <w:rFonts w:ascii="標楷體" w:eastAsia="標楷體" w:hAnsi="標楷體"/>
          <w:szCs w:val="22"/>
        </w:rPr>
        <w:t>則過去已滅，不得和合；若無和合，則善根不集；善根不集，云何成無上道？</w:t>
      </w:r>
      <w:r w:rsidRPr="003A5C8E">
        <w:rPr>
          <w:rFonts w:ascii="標楷體" w:eastAsia="標楷體" w:hAnsi="標楷體" w:hint="eastAsia"/>
          <w:szCs w:val="22"/>
        </w:rPr>
        <w:t>」</w:t>
      </w:r>
    </w:p>
    <w:p w:rsidR="003A5C8E" w:rsidRPr="003A5C8E" w:rsidRDefault="00157EF6" w:rsidP="003A5C8E">
      <w:pPr>
        <w:pStyle w:val="a5"/>
        <w:spacing w:line="0" w:lineRule="atLeast"/>
        <w:ind w:leftChars="100" w:left="240"/>
        <w:jc w:val="both"/>
        <w:rPr>
          <w:rFonts w:ascii="標楷體" w:eastAsia="標楷體" w:hAnsi="標楷體"/>
          <w:szCs w:val="22"/>
        </w:rPr>
      </w:pPr>
      <w:r w:rsidRPr="003A5C8E">
        <w:rPr>
          <w:rFonts w:ascii="標楷體" w:eastAsia="標楷體" w:hAnsi="標楷體"/>
          <w:szCs w:val="22"/>
          <w:highlight w:val="yellow"/>
        </w:rPr>
        <w:t>佛</w:t>
      </w:r>
      <w:r w:rsidRPr="003A5C8E">
        <w:rPr>
          <w:rFonts w:ascii="標楷體" w:eastAsia="標楷體" w:hAnsi="標楷體"/>
          <w:szCs w:val="22"/>
        </w:rPr>
        <w:t>以現事譬喻答：</w:t>
      </w:r>
      <w:r w:rsidRPr="003A5C8E">
        <w:rPr>
          <w:rFonts w:ascii="標楷體" w:eastAsia="標楷體" w:hAnsi="標楷體" w:hint="eastAsia"/>
          <w:szCs w:val="22"/>
        </w:rPr>
        <w:t>「</w:t>
      </w:r>
      <w:r w:rsidRPr="003A5C8E">
        <w:rPr>
          <w:rFonts w:ascii="標楷體" w:eastAsia="標楷體" w:hAnsi="標楷體"/>
          <w:szCs w:val="22"/>
        </w:rPr>
        <w:t>如燈炷，非獨初焰燋，亦不離初焰，非獨後焰燋，亦不離後焰</w:t>
      </w:r>
      <w:r w:rsidR="00997AB7" w:rsidRPr="003A5C8E">
        <w:rPr>
          <w:rFonts w:ascii="標楷體" w:eastAsia="標楷體" w:hAnsi="標楷體" w:hint="eastAsia"/>
          <w:color w:val="FF0000"/>
          <w:szCs w:val="22"/>
          <w:highlight w:val="yellow"/>
        </w:rPr>
        <w:t>，</w:t>
      </w:r>
      <w:r w:rsidRPr="003A5C8E">
        <w:rPr>
          <w:rFonts w:ascii="標楷體" w:eastAsia="標楷體" w:hAnsi="標楷體"/>
          <w:szCs w:val="22"/>
        </w:rPr>
        <w:t>而燈炷燋。</w:t>
      </w:r>
      <w:r w:rsidRPr="003A5C8E">
        <w:rPr>
          <w:rFonts w:ascii="標楷體" w:eastAsia="標楷體" w:hAnsi="標楷體" w:hint="eastAsia"/>
          <w:szCs w:val="22"/>
        </w:rPr>
        <w:t>」</w:t>
      </w:r>
    </w:p>
    <w:p w:rsidR="003A5C8E" w:rsidRPr="003A5C8E" w:rsidRDefault="00157EF6" w:rsidP="003A5C8E">
      <w:pPr>
        <w:pStyle w:val="a5"/>
        <w:spacing w:line="0" w:lineRule="atLeast"/>
        <w:ind w:leftChars="100" w:left="240"/>
        <w:jc w:val="both"/>
        <w:rPr>
          <w:rFonts w:ascii="標楷體" w:eastAsia="標楷體" w:hAnsi="標楷體"/>
          <w:bCs/>
          <w:color w:val="FF0000"/>
          <w:kern w:val="0"/>
          <w:szCs w:val="22"/>
          <w:highlight w:val="yellow"/>
        </w:rPr>
      </w:pPr>
      <w:r w:rsidRPr="003A5C8E">
        <w:rPr>
          <w:rFonts w:ascii="標楷體" w:eastAsia="標楷體" w:hAnsi="標楷體"/>
          <w:szCs w:val="22"/>
        </w:rPr>
        <w:t>佛語須菩提：</w:t>
      </w:r>
      <w:r w:rsidRPr="003A5C8E">
        <w:rPr>
          <w:rFonts w:ascii="標楷體" w:eastAsia="標楷體" w:hAnsi="標楷體" w:hint="eastAsia"/>
          <w:szCs w:val="22"/>
        </w:rPr>
        <w:t>「</w:t>
      </w:r>
      <w:r w:rsidRPr="003A5C8E">
        <w:rPr>
          <w:rFonts w:ascii="標楷體" w:eastAsia="標楷體" w:hAnsi="標楷體"/>
          <w:szCs w:val="22"/>
        </w:rPr>
        <w:t>汝自見炷燋，非初非後而炷燋</w:t>
      </w:r>
      <w:r w:rsidR="0037111B" w:rsidRPr="003A5C8E">
        <w:rPr>
          <w:rFonts w:ascii="標楷體" w:eastAsia="標楷體" w:hAnsi="標楷體" w:hint="eastAsia"/>
          <w:color w:val="FF0000"/>
          <w:spacing w:val="-4"/>
          <w:kern w:val="0"/>
          <w:szCs w:val="22"/>
          <w:highlight w:val="yellow"/>
        </w:rPr>
        <w:t>；</w:t>
      </w:r>
      <w:r w:rsidRPr="003A5C8E">
        <w:rPr>
          <w:rFonts w:ascii="標楷體" w:eastAsia="標楷體" w:hAnsi="標楷體"/>
          <w:szCs w:val="22"/>
        </w:rPr>
        <w:t>我亦以佛眼見菩薩得無上道，不以初心得，亦不離初心，亦不以後心得，亦不離後心</w:t>
      </w:r>
      <w:r w:rsidR="0037111B" w:rsidRPr="003A5C8E">
        <w:rPr>
          <w:rFonts w:ascii="標楷體" w:eastAsia="標楷體" w:hAnsi="標楷體" w:hint="eastAsia"/>
          <w:color w:val="FF0000"/>
          <w:kern w:val="0"/>
          <w:szCs w:val="22"/>
          <w:highlight w:val="yellow"/>
        </w:rPr>
        <w:t>，</w:t>
      </w:r>
      <w:r w:rsidRPr="003A5C8E">
        <w:rPr>
          <w:rFonts w:ascii="標楷體" w:eastAsia="標楷體" w:hAnsi="標楷體"/>
          <w:szCs w:val="22"/>
        </w:rPr>
        <w:t>而得無上道</w:t>
      </w:r>
      <w:r w:rsidR="0037111B" w:rsidRPr="003A5C8E">
        <w:rPr>
          <w:rFonts w:ascii="標楷體" w:eastAsia="標楷體" w:hAnsi="標楷體" w:hint="eastAsia"/>
          <w:color w:val="FF0000"/>
          <w:kern w:val="0"/>
          <w:szCs w:val="22"/>
          <w:highlight w:val="yellow"/>
        </w:rPr>
        <w:t>。</w:t>
      </w:r>
      <w:r w:rsidR="0037111B" w:rsidRPr="003A5C8E">
        <w:rPr>
          <w:rFonts w:ascii="標楷體" w:eastAsia="標楷體" w:hAnsi="標楷體" w:hint="eastAsia"/>
          <w:bCs/>
          <w:color w:val="FF0000"/>
          <w:kern w:val="0"/>
          <w:szCs w:val="22"/>
          <w:highlight w:val="yellow"/>
        </w:rPr>
        <w:t>」</w:t>
      </w:r>
    </w:p>
    <w:p w:rsidR="003A5C8E" w:rsidRPr="003A5C8E" w:rsidRDefault="0037111B" w:rsidP="003A5C8E">
      <w:pPr>
        <w:pStyle w:val="a5"/>
        <w:spacing w:line="0" w:lineRule="atLeast"/>
        <w:ind w:leftChars="100" w:left="240"/>
        <w:jc w:val="both"/>
        <w:rPr>
          <w:rFonts w:ascii="標楷體" w:eastAsia="標楷體" w:hAnsi="標楷體"/>
          <w:szCs w:val="22"/>
        </w:rPr>
      </w:pPr>
      <w:r w:rsidRPr="003A5C8E">
        <w:rPr>
          <w:rFonts w:ascii="標楷體" w:eastAsia="標楷體" w:hAnsi="標楷體" w:hint="eastAsia"/>
          <w:bCs/>
          <w:color w:val="FF0000"/>
          <w:kern w:val="0"/>
          <w:szCs w:val="22"/>
          <w:highlight w:val="yellow"/>
        </w:rPr>
        <w:t>「</w:t>
      </w:r>
      <w:r w:rsidR="00157EF6" w:rsidRPr="003A5C8E">
        <w:rPr>
          <w:rFonts w:ascii="標楷體" w:eastAsia="標楷體" w:hAnsi="標楷體"/>
          <w:szCs w:val="22"/>
        </w:rPr>
        <w:t>燈</w:t>
      </w:r>
      <w:r w:rsidRPr="003A5C8E">
        <w:rPr>
          <w:rFonts w:ascii="標楷體" w:eastAsia="標楷體" w:hAnsi="標楷體" w:hint="eastAsia"/>
          <w:bCs/>
          <w:color w:val="FF0000"/>
          <w:kern w:val="0"/>
          <w:szCs w:val="22"/>
          <w:highlight w:val="yellow"/>
        </w:rPr>
        <w:t>」</w:t>
      </w:r>
      <w:r w:rsidR="00157EF6" w:rsidRPr="003A5C8E">
        <w:rPr>
          <w:rFonts w:ascii="標楷體" w:eastAsia="標楷體" w:hAnsi="標楷體"/>
          <w:szCs w:val="22"/>
        </w:rPr>
        <w:t>譬</w:t>
      </w:r>
      <w:r w:rsidRPr="003A5C8E">
        <w:rPr>
          <w:rFonts w:ascii="標楷體" w:eastAsia="標楷體" w:hAnsi="標楷體" w:hint="eastAsia"/>
          <w:bCs/>
          <w:color w:val="FF0000"/>
          <w:kern w:val="0"/>
          <w:szCs w:val="22"/>
          <w:highlight w:val="yellow"/>
        </w:rPr>
        <w:t>「</w:t>
      </w:r>
      <w:r w:rsidR="00157EF6" w:rsidRPr="003A5C8E">
        <w:rPr>
          <w:rFonts w:ascii="標楷體" w:eastAsia="標楷體" w:hAnsi="標楷體"/>
          <w:szCs w:val="22"/>
        </w:rPr>
        <w:t>菩薩道</w:t>
      </w:r>
      <w:r w:rsidRPr="003A5C8E">
        <w:rPr>
          <w:rFonts w:ascii="標楷體" w:eastAsia="標楷體" w:hAnsi="標楷體" w:hint="eastAsia"/>
          <w:bCs/>
          <w:color w:val="FF0000"/>
          <w:kern w:val="0"/>
          <w:szCs w:val="22"/>
          <w:highlight w:val="yellow"/>
        </w:rPr>
        <w:t>」</w:t>
      </w:r>
      <w:r w:rsidR="00157EF6" w:rsidRPr="003A5C8E">
        <w:rPr>
          <w:rFonts w:ascii="標楷體" w:eastAsia="標楷體" w:hAnsi="標楷體"/>
          <w:szCs w:val="22"/>
        </w:rPr>
        <w:t>；</w:t>
      </w:r>
      <w:r w:rsidRPr="003A5C8E">
        <w:rPr>
          <w:rFonts w:ascii="標楷體" w:eastAsia="標楷體" w:hAnsi="標楷體" w:hint="eastAsia"/>
          <w:bCs/>
          <w:color w:val="FF0000"/>
          <w:kern w:val="0"/>
          <w:szCs w:val="22"/>
          <w:highlight w:val="yellow"/>
        </w:rPr>
        <w:t>「</w:t>
      </w:r>
      <w:r w:rsidR="00157EF6" w:rsidRPr="003A5C8E">
        <w:rPr>
          <w:rFonts w:ascii="標楷體" w:eastAsia="標楷體" w:hAnsi="標楷體"/>
          <w:szCs w:val="22"/>
        </w:rPr>
        <w:t>炷</w:t>
      </w:r>
      <w:r w:rsidRPr="003A5C8E">
        <w:rPr>
          <w:rFonts w:ascii="標楷體" w:eastAsia="標楷體" w:hAnsi="標楷體" w:hint="eastAsia"/>
          <w:bCs/>
          <w:color w:val="FF0000"/>
          <w:kern w:val="0"/>
          <w:szCs w:val="22"/>
          <w:highlight w:val="yellow"/>
        </w:rPr>
        <w:t>」</w:t>
      </w:r>
      <w:r w:rsidR="00157EF6" w:rsidRPr="003A5C8E">
        <w:rPr>
          <w:rFonts w:ascii="標楷體" w:eastAsia="標楷體" w:hAnsi="標楷體"/>
          <w:szCs w:val="22"/>
        </w:rPr>
        <w:t>喻</w:t>
      </w:r>
      <w:r w:rsidRPr="003A5C8E">
        <w:rPr>
          <w:rFonts w:ascii="標楷體" w:eastAsia="標楷體" w:hAnsi="標楷體" w:hint="eastAsia"/>
          <w:bCs/>
          <w:color w:val="FF0000"/>
          <w:kern w:val="0"/>
          <w:szCs w:val="22"/>
          <w:highlight w:val="yellow"/>
        </w:rPr>
        <w:t>「</w:t>
      </w:r>
      <w:r w:rsidR="00157EF6" w:rsidRPr="003A5C8E">
        <w:rPr>
          <w:rFonts w:ascii="標楷體" w:eastAsia="標楷體" w:hAnsi="標楷體"/>
          <w:szCs w:val="22"/>
        </w:rPr>
        <w:t>無明等煩惱</w:t>
      </w:r>
      <w:r w:rsidRPr="003A5C8E">
        <w:rPr>
          <w:rFonts w:ascii="標楷體" w:eastAsia="標楷體" w:hAnsi="標楷體" w:hint="eastAsia"/>
          <w:bCs/>
          <w:color w:val="FF0000"/>
          <w:kern w:val="0"/>
          <w:szCs w:val="22"/>
          <w:highlight w:val="yellow"/>
        </w:rPr>
        <w:t>」</w:t>
      </w:r>
      <w:r w:rsidRPr="003A5C8E">
        <w:rPr>
          <w:rFonts w:ascii="標楷體" w:eastAsia="標楷體" w:hAnsi="標楷體" w:hint="eastAsia"/>
          <w:color w:val="FF0000"/>
          <w:spacing w:val="-4"/>
          <w:kern w:val="0"/>
          <w:szCs w:val="22"/>
          <w:highlight w:val="yellow"/>
        </w:rPr>
        <w:t>；</w:t>
      </w:r>
      <w:r w:rsidRPr="003A5C8E">
        <w:rPr>
          <w:rFonts w:ascii="標楷體" w:eastAsia="標楷體" w:hAnsi="標楷體" w:hint="eastAsia"/>
          <w:bCs/>
          <w:color w:val="FF0000"/>
          <w:kern w:val="0"/>
          <w:szCs w:val="22"/>
          <w:highlight w:val="yellow"/>
        </w:rPr>
        <w:t>「</w:t>
      </w:r>
      <w:r w:rsidR="00157EF6" w:rsidRPr="003A5C8E">
        <w:rPr>
          <w:rFonts w:ascii="標楷體" w:eastAsia="標楷體" w:hAnsi="標楷體"/>
          <w:szCs w:val="22"/>
        </w:rPr>
        <w:t>焰</w:t>
      </w:r>
      <w:r w:rsidRPr="003A5C8E">
        <w:rPr>
          <w:rFonts w:ascii="標楷體" w:eastAsia="標楷體" w:hAnsi="標楷體" w:hint="eastAsia"/>
          <w:bCs/>
          <w:color w:val="FF0000"/>
          <w:kern w:val="0"/>
          <w:szCs w:val="22"/>
          <w:highlight w:val="yellow"/>
        </w:rPr>
        <w:t>」</w:t>
      </w:r>
      <w:r w:rsidR="00157EF6" w:rsidRPr="003A5C8E">
        <w:rPr>
          <w:rFonts w:ascii="標楷體" w:eastAsia="標楷體" w:hAnsi="標楷體"/>
          <w:szCs w:val="22"/>
        </w:rPr>
        <w:t>如</w:t>
      </w:r>
      <w:r w:rsidRPr="003A5C8E">
        <w:rPr>
          <w:rFonts w:ascii="標楷體" w:eastAsia="標楷體" w:hAnsi="標楷體" w:hint="eastAsia"/>
          <w:bCs/>
          <w:color w:val="FF0000"/>
          <w:kern w:val="0"/>
          <w:szCs w:val="22"/>
          <w:highlight w:val="yellow"/>
        </w:rPr>
        <w:t>「</w:t>
      </w:r>
      <w:r w:rsidR="00157EF6" w:rsidRPr="003A5C8E">
        <w:rPr>
          <w:rFonts w:ascii="標楷體" w:eastAsia="標楷體" w:hAnsi="標楷體"/>
          <w:szCs w:val="22"/>
        </w:rPr>
        <w:t>初地相應智慧乃至金剛三昧相應智慧燋無明等煩惱炷</w:t>
      </w:r>
      <w:r w:rsidRPr="003A5C8E">
        <w:rPr>
          <w:rFonts w:ascii="標楷體" w:eastAsia="標楷體" w:hAnsi="標楷體" w:hint="eastAsia"/>
          <w:bCs/>
          <w:color w:val="FF0000"/>
          <w:kern w:val="0"/>
          <w:szCs w:val="22"/>
          <w:highlight w:val="yellow"/>
        </w:rPr>
        <w:t>」</w:t>
      </w:r>
      <w:r w:rsidR="00157EF6" w:rsidRPr="003A5C8E">
        <w:rPr>
          <w:rFonts w:ascii="標楷體" w:eastAsia="標楷體" w:hAnsi="標楷體"/>
          <w:szCs w:val="22"/>
        </w:rPr>
        <w:t>。</w:t>
      </w:r>
    </w:p>
    <w:p w:rsidR="00157EF6" w:rsidRPr="003A5C8E" w:rsidRDefault="00157EF6" w:rsidP="003A5C8E">
      <w:pPr>
        <w:pStyle w:val="a5"/>
        <w:spacing w:line="0" w:lineRule="atLeast"/>
        <w:ind w:leftChars="100" w:left="240"/>
        <w:jc w:val="both"/>
        <w:rPr>
          <w:szCs w:val="22"/>
        </w:rPr>
      </w:pPr>
      <w:r w:rsidRPr="003A5C8E">
        <w:rPr>
          <w:rFonts w:ascii="標楷體" w:eastAsia="標楷體" w:hAnsi="標楷體"/>
          <w:szCs w:val="22"/>
          <w:highlight w:val="yellow"/>
        </w:rPr>
        <w:t>亦</w:t>
      </w:r>
      <w:r w:rsidRPr="003A5C8E">
        <w:rPr>
          <w:rFonts w:ascii="標楷體" w:eastAsia="標楷體" w:hAnsi="標楷體"/>
          <w:szCs w:val="22"/>
        </w:rPr>
        <w:t>非初心智焰，亦非後心智焰，而無明等煩惱炷燋盡，得成無上道</w:t>
      </w:r>
      <w:r w:rsidRPr="003A5C8E">
        <w:rPr>
          <w:rFonts w:ascii="標楷體" w:eastAsia="標楷體" w:hAnsi="標楷體"/>
          <w:szCs w:val="22"/>
          <w:highlight w:val="yellow"/>
        </w:rPr>
        <w:t>。</w:t>
      </w:r>
    </w:p>
  </w:footnote>
  <w:footnote w:id="795">
    <w:p w:rsidR="006A6D3C" w:rsidRPr="00043A1E" w:rsidRDefault="006A6D3C" w:rsidP="006A6D3C">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週知：遍知，盡知。</w:t>
      </w:r>
      <w:r w:rsidRPr="00043A1E">
        <w:rPr>
          <w:szCs w:val="22"/>
        </w:rPr>
        <w:t>（《漢語大詞典》（</w:t>
      </w:r>
      <w:r w:rsidRPr="00043A1E">
        <w:rPr>
          <w:rFonts w:hint="eastAsia"/>
          <w:szCs w:val="22"/>
        </w:rPr>
        <w:t>十</w:t>
      </w:r>
      <w:r w:rsidRPr="00043A1E">
        <w:rPr>
          <w:szCs w:val="22"/>
        </w:rPr>
        <w:t>）</w:t>
      </w:r>
      <w:r w:rsidRPr="00043A1E">
        <w:rPr>
          <w:rFonts w:ascii="Times Ext Roman" w:hAnsi="新細明體" w:cs="Times Ext Roman" w:hint="eastAsia"/>
          <w:szCs w:val="22"/>
        </w:rPr>
        <w:t>，</w:t>
      </w:r>
      <w:r w:rsidRPr="00761EF3">
        <w:rPr>
          <w:szCs w:val="22"/>
        </w:rPr>
        <w:t>p</w:t>
      </w:r>
      <w:r w:rsidRPr="00043A1E">
        <w:rPr>
          <w:szCs w:val="22"/>
        </w:rPr>
        <w:t>.</w:t>
      </w:r>
      <w:r w:rsidRPr="00761EF3">
        <w:rPr>
          <w:rFonts w:hint="eastAsia"/>
          <w:szCs w:val="22"/>
        </w:rPr>
        <w:t>1001</w:t>
      </w:r>
      <w:r w:rsidRPr="00043A1E">
        <w:rPr>
          <w:szCs w:val="22"/>
        </w:rPr>
        <w:t>）</w:t>
      </w:r>
    </w:p>
  </w:footnote>
  <w:footnote w:id="796">
    <w:p w:rsidR="00157EF6" w:rsidRPr="00043A1E" w:rsidRDefault="00157EF6" w:rsidP="00AA120F">
      <w:pPr>
        <w:pStyle w:val="a5"/>
        <w:spacing w:line="0" w:lineRule="atLeast"/>
        <w:ind w:left="253" w:hangingChars="115" w:hanging="253"/>
        <w:jc w:val="both"/>
        <w:rPr>
          <w:rFonts w:ascii="Times Ext Roman" w:hAnsi="Times Ext Roman" w:cs="Times Ext Roman"/>
          <w:szCs w:val="22"/>
        </w:rPr>
      </w:pPr>
      <w:r w:rsidRPr="00043A1E">
        <w:rPr>
          <w:rStyle w:val="a6"/>
          <w:szCs w:val="22"/>
        </w:rPr>
        <w:footnoteRef/>
      </w:r>
      <w:r w:rsidRPr="00043A1E">
        <w:rPr>
          <w:rFonts w:ascii="Times Ext Roman" w:hAnsi="新細明體" w:cs="Times Ext Roman" w:hint="eastAsia"/>
          <w:szCs w:val="22"/>
        </w:rPr>
        <w:t xml:space="preserve"> </w:t>
      </w:r>
      <w:r w:rsidRPr="00043A1E">
        <w:rPr>
          <w:rFonts w:ascii="Times Ext Roman" w:hAnsi="新細明體" w:cs="Times Ext Roman"/>
          <w:szCs w:val="22"/>
        </w:rPr>
        <w:t>《大智度論》卷</w:t>
      </w:r>
      <w:r w:rsidRPr="00761EF3">
        <w:rPr>
          <w:szCs w:val="22"/>
        </w:rPr>
        <w:t>74</w:t>
      </w:r>
      <w:r w:rsidR="00287E83">
        <w:rPr>
          <w:rFonts w:hint="eastAsia"/>
          <w:color w:val="FF0000"/>
          <w:szCs w:val="22"/>
          <w:highlight w:val="yellow"/>
        </w:rPr>
        <w:t>釋</w:t>
      </w:r>
      <w:r w:rsidRPr="00043A1E">
        <w:rPr>
          <w:rFonts w:ascii="Times Ext Roman" w:hAnsi="新細明體" w:cs="Times Ext Roman"/>
          <w:szCs w:val="22"/>
        </w:rPr>
        <w:t>〈</w:t>
      </w:r>
      <w:r w:rsidRPr="00761EF3">
        <w:rPr>
          <w:rFonts w:hint="eastAsia"/>
          <w:szCs w:val="22"/>
        </w:rPr>
        <w:t>56</w:t>
      </w:r>
      <w:r w:rsidRPr="00043A1E">
        <w:rPr>
          <w:szCs w:val="22"/>
        </w:rPr>
        <w:t xml:space="preserve"> </w:t>
      </w:r>
      <w:r w:rsidRPr="00043A1E">
        <w:rPr>
          <w:rFonts w:ascii="Times Ext Roman" w:hAnsi="新細明體" w:cs="Times Ext Roman"/>
          <w:szCs w:val="22"/>
        </w:rPr>
        <w:t>轉不轉品〉</w:t>
      </w:r>
      <w:r w:rsidRPr="00043A1E">
        <w:rPr>
          <w:rFonts w:ascii="Times Ext Roman" w:hAnsi="Times Ext Roman" w:cs="Times Ext Roman"/>
          <w:szCs w:val="22"/>
        </w:rPr>
        <w:t>（</w:t>
      </w:r>
      <w:r w:rsidRPr="00043A1E">
        <w:rPr>
          <w:rFonts w:ascii="Times Ext Roman" w:hAnsi="新細明體" w:cs="Times Ext Roman"/>
          <w:szCs w:val="22"/>
        </w:rPr>
        <w:t>大正</w:t>
      </w:r>
      <w:r w:rsidRPr="00761EF3">
        <w:rPr>
          <w:szCs w:val="22"/>
        </w:rPr>
        <w:t>25</w:t>
      </w:r>
      <w:r w:rsidRPr="00043A1E">
        <w:rPr>
          <w:rFonts w:ascii="Times Ext Roman" w:hAnsi="新細明體" w:cs="Times Ext Roman"/>
          <w:szCs w:val="22"/>
        </w:rPr>
        <w:t>，</w:t>
      </w:r>
      <w:r w:rsidRPr="00761EF3">
        <w:rPr>
          <w:szCs w:val="22"/>
        </w:rPr>
        <w:t>581c13</w:t>
      </w:r>
      <w:r w:rsidRPr="00043A1E">
        <w:rPr>
          <w:szCs w:val="22"/>
        </w:rPr>
        <w:t>-</w:t>
      </w:r>
      <w:r w:rsidRPr="00761EF3">
        <w:rPr>
          <w:szCs w:val="22"/>
        </w:rPr>
        <w:t>15</w:t>
      </w:r>
      <w:r w:rsidRPr="00043A1E">
        <w:rPr>
          <w:rFonts w:ascii="Times Ext Roman" w:hAnsi="Times Ext Roman" w:cs="Times Ext Roman"/>
          <w:szCs w:val="22"/>
        </w:rPr>
        <w:t>）</w:t>
      </w:r>
      <w:r w:rsidRPr="00043A1E">
        <w:rPr>
          <w:rFonts w:ascii="Times Ext Roman" w:hAnsi="新細明體" w:cs="Times Ext Roman"/>
          <w:szCs w:val="22"/>
        </w:rPr>
        <w:t>。</w:t>
      </w:r>
    </w:p>
  </w:footnote>
  <w:footnote w:id="797">
    <w:p w:rsidR="00157EF6" w:rsidRPr="00043A1E" w:rsidRDefault="00157EF6" w:rsidP="00AA120F">
      <w:pPr>
        <w:pStyle w:val="a5"/>
        <w:spacing w:line="0" w:lineRule="atLeast"/>
        <w:ind w:left="792" w:hangingChars="360" w:hanging="792"/>
        <w:jc w:val="both"/>
        <w:rPr>
          <w:rFonts w:ascii="Times Ext Roman" w:hAnsi="Times Ext Roman" w:cs="Times Ext Roman"/>
          <w:szCs w:val="22"/>
        </w:rPr>
      </w:pPr>
      <w:r w:rsidRPr="00043A1E">
        <w:rPr>
          <w:rStyle w:val="a6"/>
          <w:szCs w:val="22"/>
        </w:rPr>
        <w:footnoteRef/>
      </w:r>
      <w:r w:rsidRPr="00043A1E">
        <w:rPr>
          <w:rFonts w:ascii="Times Ext Roman" w:hAnsi="Times Ext Roman" w:cs="Times Ext Roman" w:hint="eastAsia"/>
          <w:szCs w:val="22"/>
        </w:rPr>
        <w:t xml:space="preserve"> </w:t>
      </w:r>
      <w:r w:rsidRPr="00043A1E">
        <w:rPr>
          <w:rFonts w:ascii="Times Ext Roman" w:hAnsi="Times Ext Roman" w:cs="Times Ext Roman"/>
          <w:szCs w:val="22"/>
        </w:rPr>
        <w:t>（</w:t>
      </w:r>
      <w:r w:rsidRPr="00761EF3">
        <w:rPr>
          <w:szCs w:val="22"/>
        </w:rPr>
        <w:t>1</w:t>
      </w:r>
      <w:r w:rsidRPr="00043A1E">
        <w:rPr>
          <w:rFonts w:ascii="Times Ext Roman" w:hAnsi="Times Ext Roman" w:cs="Times Ext Roman"/>
          <w:szCs w:val="22"/>
        </w:rPr>
        <w:t>）</w:t>
      </w:r>
      <w:r w:rsidRPr="00043A1E">
        <w:rPr>
          <w:rFonts w:ascii="Times Ext Roman" w:hAnsi="Times Ext Roman" w:cs="Times Ext Roman" w:hint="eastAsia"/>
          <w:szCs w:val="22"/>
        </w:rPr>
        <w:t>《中論》卷</w:t>
      </w:r>
      <w:r w:rsidRPr="00761EF3">
        <w:rPr>
          <w:rFonts w:hint="eastAsia"/>
          <w:szCs w:val="22"/>
        </w:rPr>
        <w:t>4</w:t>
      </w:r>
      <w:r w:rsidRPr="00043A1E">
        <w:rPr>
          <w:rFonts w:ascii="Times Ext Roman" w:hAnsi="Times Ext Roman" w:cs="Times Ext Roman" w:hint="eastAsia"/>
          <w:szCs w:val="22"/>
        </w:rPr>
        <w:t>〈</w:t>
      </w:r>
      <w:r w:rsidRPr="00761EF3">
        <w:rPr>
          <w:rFonts w:hint="eastAsia"/>
          <w:szCs w:val="22"/>
        </w:rPr>
        <w:t>27</w:t>
      </w:r>
      <w:r w:rsidRPr="00043A1E">
        <w:rPr>
          <w:rFonts w:hint="eastAsia"/>
          <w:szCs w:val="22"/>
        </w:rPr>
        <w:t xml:space="preserve"> </w:t>
      </w:r>
      <w:r w:rsidRPr="00043A1E">
        <w:rPr>
          <w:rFonts w:ascii="Times Ext Roman" w:hAnsi="Times Ext Roman" w:cs="Times Ext Roman" w:hint="eastAsia"/>
          <w:szCs w:val="22"/>
        </w:rPr>
        <w:t>觀邪見品〉（青目釋）</w:t>
      </w:r>
      <w:r w:rsidRPr="00043A1E">
        <w:rPr>
          <w:rFonts w:ascii="Times Ext Roman" w:hAnsi="新細明體" w:cs="Times Ext Roman"/>
          <w:szCs w:val="22"/>
        </w:rPr>
        <w:t>（大正</w:t>
      </w:r>
      <w:r w:rsidRPr="00761EF3">
        <w:rPr>
          <w:rFonts w:hint="eastAsia"/>
          <w:szCs w:val="22"/>
        </w:rPr>
        <w:t>30</w:t>
      </w:r>
      <w:r w:rsidRPr="00043A1E">
        <w:rPr>
          <w:rFonts w:ascii="Times Ext Roman" w:hAnsi="新細明體" w:cs="Times Ext Roman"/>
          <w:szCs w:val="22"/>
        </w:rPr>
        <w:t>，</w:t>
      </w:r>
      <w:r w:rsidRPr="00761EF3">
        <w:rPr>
          <w:rFonts w:hint="eastAsia"/>
          <w:szCs w:val="22"/>
        </w:rPr>
        <w:t>37a17</w:t>
      </w:r>
      <w:r w:rsidRPr="00043A1E">
        <w:rPr>
          <w:rFonts w:hint="eastAsia"/>
          <w:szCs w:val="22"/>
        </w:rPr>
        <w:t>-</w:t>
      </w:r>
      <w:r w:rsidRPr="00761EF3">
        <w:rPr>
          <w:rFonts w:hint="eastAsia"/>
          <w:szCs w:val="22"/>
        </w:rPr>
        <w:t>38a18</w:t>
      </w:r>
      <w:r w:rsidRPr="00043A1E">
        <w:rPr>
          <w:rFonts w:ascii="Times Ext Roman" w:hAnsi="新細明體" w:cs="Times Ext Roman"/>
          <w:szCs w:val="22"/>
        </w:rPr>
        <w:t>）</w:t>
      </w:r>
      <w:r w:rsidRPr="00043A1E">
        <w:rPr>
          <w:rFonts w:ascii="Times Ext Roman" w:hAnsi="Times Ext Roman" w:cs="Times Ext Roman" w:hint="eastAsia"/>
          <w:szCs w:val="22"/>
        </w:rPr>
        <w:t>：</w:t>
      </w:r>
    </w:p>
    <w:p w:rsidR="00157EF6" w:rsidRPr="00043A1E" w:rsidRDefault="00157EF6" w:rsidP="00AA120F">
      <w:pPr>
        <w:pStyle w:val="a5"/>
        <w:ind w:leftChars="335" w:left="804"/>
        <w:jc w:val="both"/>
        <w:rPr>
          <w:rFonts w:ascii="標楷體" w:eastAsia="標楷體" w:hAnsi="標楷體" w:cs="Times Ext Roman"/>
          <w:szCs w:val="22"/>
        </w:rPr>
      </w:pPr>
      <w:r w:rsidRPr="00043A1E">
        <w:rPr>
          <w:rFonts w:ascii="標楷體" w:eastAsia="標楷體" w:hAnsi="標楷體" w:cs="Times Ext Roman" w:hint="eastAsia"/>
          <w:b/>
          <w:szCs w:val="22"/>
        </w:rPr>
        <w:t>今我不離受，亦不即是受，非無受非無，此即決定義。</w:t>
      </w:r>
      <w:r w:rsidRPr="00475063">
        <w:rPr>
          <w:rFonts w:ascii="標楷體" w:eastAsia="標楷體" w:hAnsi="標楷體" w:cs="Times Ext Roman" w:hint="eastAsia"/>
          <w:szCs w:val="22"/>
          <w:shd w:val="pct15" w:color="auto" w:fill="FFFFFF"/>
        </w:rPr>
        <w:t>……</w:t>
      </w:r>
    </w:p>
    <w:p w:rsidR="00997AB7" w:rsidRDefault="00157EF6" w:rsidP="00AA120F">
      <w:pPr>
        <w:pStyle w:val="a5"/>
        <w:ind w:leftChars="335" w:left="804"/>
        <w:jc w:val="both"/>
        <w:rPr>
          <w:rFonts w:ascii="標楷體" w:eastAsia="標楷體" w:hAnsi="標楷體" w:cs="Times Ext Roman"/>
          <w:szCs w:val="22"/>
        </w:rPr>
      </w:pPr>
      <w:r w:rsidRPr="00043A1E">
        <w:rPr>
          <w:rFonts w:ascii="標楷體" w:eastAsia="標楷體" w:hAnsi="標楷體" w:cs="Times Ext Roman" w:hint="eastAsia"/>
          <w:szCs w:val="22"/>
        </w:rPr>
        <w:t>但五陰和合故假名為</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我</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，無有決定。如樑</w:t>
      </w:r>
      <w:r w:rsidR="00997AB7">
        <w:rPr>
          <w:rFonts w:ascii="標楷體" w:eastAsia="標楷體" w:hAnsi="標楷體" w:hint="eastAsia"/>
          <w:color w:val="FF0000"/>
          <w:kern w:val="0"/>
          <w:highlight w:val="yellow"/>
        </w:rPr>
        <w:t>.</w:t>
      </w:r>
      <w:r w:rsidRPr="00043A1E">
        <w:rPr>
          <w:rFonts w:ascii="標楷體" w:eastAsia="標楷體" w:hAnsi="標楷體" w:cs="Times Ext Roman" w:hint="eastAsia"/>
          <w:szCs w:val="22"/>
        </w:rPr>
        <w:t>椽和合有舍，離樑</w:t>
      </w:r>
      <w:r w:rsidR="00997AB7">
        <w:rPr>
          <w:rFonts w:ascii="標楷體" w:eastAsia="標楷體" w:hAnsi="標楷體" w:hint="eastAsia"/>
          <w:color w:val="FF0000"/>
          <w:kern w:val="0"/>
          <w:highlight w:val="yellow"/>
        </w:rPr>
        <w:t>.</w:t>
      </w:r>
      <w:r w:rsidRPr="00043A1E">
        <w:rPr>
          <w:rFonts w:ascii="標楷體" w:eastAsia="標楷體" w:hAnsi="標楷體" w:cs="Times Ext Roman" w:hint="eastAsia"/>
          <w:szCs w:val="22"/>
        </w:rPr>
        <w:t>椽無別舍</w:t>
      </w:r>
      <w:r w:rsidR="00997AB7">
        <w:rPr>
          <w:rFonts w:ascii="標楷體" w:eastAsia="標楷體" w:hAnsi="標楷體" w:hint="eastAsia"/>
          <w:color w:val="FF0000"/>
          <w:spacing w:val="-4"/>
          <w:kern w:val="0"/>
          <w:highlight w:val="yellow"/>
        </w:rPr>
        <w:t>；</w:t>
      </w:r>
      <w:r w:rsidRPr="00043A1E">
        <w:rPr>
          <w:rFonts w:ascii="標楷體" w:eastAsia="標楷體" w:hAnsi="標楷體" w:cs="Times Ext Roman" w:hint="eastAsia"/>
          <w:szCs w:val="22"/>
        </w:rPr>
        <w:t>如是五陰和合故有我</w:t>
      </w:r>
      <w:r w:rsidR="00594C6F">
        <w:rPr>
          <w:rFonts w:ascii="標楷體" w:eastAsia="標楷體" w:hAnsi="標楷體" w:cs="Times Ext Roman" w:hint="eastAsia"/>
          <w:color w:val="FF0000"/>
          <w:szCs w:val="22"/>
          <w:highlight w:val="yellow"/>
        </w:rPr>
        <w:t>；</w:t>
      </w:r>
      <w:r w:rsidRPr="00043A1E">
        <w:rPr>
          <w:rFonts w:ascii="標楷體" w:eastAsia="標楷體" w:hAnsi="標楷體" w:cs="Times Ext Roman" w:hint="eastAsia"/>
          <w:szCs w:val="22"/>
        </w:rPr>
        <w:t>若離五陰</w:t>
      </w:r>
      <w:r w:rsidR="00997AB7">
        <w:rPr>
          <w:rFonts w:ascii="標楷體" w:eastAsia="標楷體" w:hAnsi="標楷體" w:hint="eastAsia"/>
          <w:color w:val="FF0000"/>
          <w:kern w:val="0"/>
          <w:highlight w:val="yellow"/>
        </w:rPr>
        <w:t>，</w:t>
      </w:r>
      <w:r w:rsidRPr="00043A1E">
        <w:rPr>
          <w:rFonts w:ascii="標楷體" w:eastAsia="標楷體" w:hAnsi="標楷體" w:cs="Times Ext Roman" w:hint="eastAsia"/>
          <w:szCs w:val="22"/>
        </w:rPr>
        <w:t>實無別我</w:t>
      </w:r>
      <w:r w:rsidR="00997AB7">
        <w:rPr>
          <w:rFonts w:ascii="標楷體" w:eastAsia="標楷體" w:hAnsi="標楷體" w:hint="eastAsia"/>
          <w:color w:val="FF0000"/>
          <w:kern w:val="0"/>
          <w:highlight w:val="yellow"/>
        </w:rPr>
        <w:t>。</w:t>
      </w:r>
      <w:r w:rsidRPr="00043A1E">
        <w:rPr>
          <w:rFonts w:ascii="標楷體" w:eastAsia="標楷體" w:hAnsi="標楷體" w:cs="Times Ext Roman" w:hint="eastAsia"/>
          <w:szCs w:val="22"/>
        </w:rPr>
        <w:t>是故</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我</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但有假名</w:t>
      </w:r>
      <w:r w:rsidR="00997AB7">
        <w:rPr>
          <w:rFonts w:ascii="標楷體" w:eastAsia="標楷體" w:hAnsi="標楷體" w:hint="eastAsia"/>
          <w:color w:val="FF0000"/>
          <w:kern w:val="0"/>
          <w:highlight w:val="yellow"/>
        </w:rPr>
        <w:t>，</w:t>
      </w:r>
      <w:r w:rsidRPr="00043A1E">
        <w:rPr>
          <w:rFonts w:ascii="標楷體" w:eastAsia="標楷體" w:hAnsi="標楷體" w:cs="Times Ext Roman" w:hint="eastAsia"/>
          <w:szCs w:val="22"/>
        </w:rPr>
        <w:t>無有定實。</w:t>
      </w:r>
    </w:p>
    <w:p w:rsidR="00997AB7" w:rsidRDefault="00157EF6" w:rsidP="00AA120F">
      <w:pPr>
        <w:pStyle w:val="a5"/>
        <w:ind w:leftChars="335" w:left="804"/>
        <w:jc w:val="both"/>
        <w:rPr>
          <w:rFonts w:ascii="標楷體" w:eastAsia="標楷體" w:hAnsi="標楷體" w:cs="Times Ext Roman"/>
          <w:szCs w:val="22"/>
        </w:rPr>
      </w:pPr>
      <w:r w:rsidRPr="00043A1E">
        <w:rPr>
          <w:rFonts w:ascii="標楷體" w:eastAsia="標楷體" w:hAnsi="標楷體" w:cs="Times Ext Roman" w:hint="eastAsia"/>
          <w:szCs w:val="22"/>
        </w:rPr>
        <w:t>汝先說</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離</w:t>
      </w:r>
      <w:r w:rsidR="00997AB7">
        <w:rPr>
          <w:rFonts w:eastAsia="標楷體" w:hint="eastAsia"/>
          <w:color w:val="FF0000"/>
          <w:szCs w:val="22"/>
          <w:highlight w:val="yellow"/>
        </w:rPr>
        <w:t>『</w:t>
      </w:r>
      <w:r w:rsidRPr="00043A1E">
        <w:rPr>
          <w:rFonts w:ascii="標楷體" w:eastAsia="標楷體" w:hAnsi="標楷體" w:cs="Times Ext Roman" w:hint="eastAsia"/>
          <w:szCs w:val="22"/>
        </w:rPr>
        <w:t>受</w:t>
      </w:r>
      <w:r w:rsidR="00997AB7">
        <w:rPr>
          <w:rFonts w:eastAsia="標楷體" w:hint="eastAsia"/>
          <w:color w:val="FF0000"/>
          <w:szCs w:val="22"/>
          <w:highlight w:val="yellow"/>
        </w:rPr>
        <w:t>』</w:t>
      </w:r>
      <w:r w:rsidRPr="00043A1E">
        <w:rPr>
          <w:rFonts w:ascii="標楷體" w:eastAsia="標楷體" w:hAnsi="標楷體" w:cs="Times Ext Roman" w:hint="eastAsia"/>
          <w:szCs w:val="22"/>
        </w:rPr>
        <w:t>別有</w:t>
      </w:r>
      <w:r w:rsidR="00997AB7">
        <w:rPr>
          <w:rFonts w:eastAsia="標楷體" w:hint="eastAsia"/>
          <w:color w:val="FF0000"/>
          <w:szCs w:val="22"/>
          <w:highlight w:val="yellow"/>
        </w:rPr>
        <w:t>『</w:t>
      </w:r>
      <w:r w:rsidRPr="00043A1E">
        <w:rPr>
          <w:rFonts w:ascii="標楷體" w:eastAsia="標楷體" w:hAnsi="標楷體" w:cs="Times Ext Roman" w:hint="eastAsia"/>
          <w:szCs w:val="22"/>
        </w:rPr>
        <w:t>受者</w:t>
      </w:r>
      <w:r w:rsidR="00997AB7">
        <w:rPr>
          <w:rFonts w:eastAsia="標楷體" w:hint="eastAsia"/>
          <w:color w:val="FF0000"/>
          <w:szCs w:val="22"/>
          <w:highlight w:val="yellow"/>
        </w:rPr>
        <w:t>』</w:t>
      </w:r>
      <w:r w:rsidRPr="00043A1E">
        <w:rPr>
          <w:rFonts w:ascii="標楷體" w:eastAsia="標楷體" w:hAnsi="標楷體" w:cs="Times Ext Roman" w:hint="eastAsia"/>
          <w:szCs w:val="22"/>
        </w:rPr>
        <w:t>，以</w:t>
      </w:r>
      <w:r w:rsidR="00997AB7">
        <w:rPr>
          <w:rFonts w:eastAsia="標楷體" w:hint="eastAsia"/>
          <w:color w:val="FF0000"/>
          <w:szCs w:val="22"/>
          <w:highlight w:val="yellow"/>
        </w:rPr>
        <w:t>『</w:t>
      </w:r>
      <w:r w:rsidRPr="00043A1E">
        <w:rPr>
          <w:rFonts w:ascii="標楷體" w:eastAsia="標楷體" w:hAnsi="標楷體" w:cs="Times Ext Roman" w:hint="eastAsia"/>
          <w:szCs w:val="22"/>
        </w:rPr>
        <w:t>受</w:t>
      </w:r>
      <w:r w:rsidR="00997AB7">
        <w:rPr>
          <w:rFonts w:eastAsia="標楷體" w:hint="eastAsia"/>
          <w:color w:val="FF0000"/>
          <w:szCs w:val="22"/>
          <w:highlight w:val="yellow"/>
        </w:rPr>
        <w:t>』</w:t>
      </w:r>
      <w:r w:rsidRPr="00043A1E">
        <w:rPr>
          <w:rFonts w:ascii="標楷體" w:eastAsia="標楷體" w:hAnsi="標楷體" w:cs="Times Ext Roman" w:hint="eastAsia"/>
          <w:szCs w:val="22"/>
        </w:rPr>
        <w:t>分別</w:t>
      </w:r>
      <w:r w:rsidR="00997AB7">
        <w:rPr>
          <w:rFonts w:eastAsia="標楷體" w:hint="eastAsia"/>
          <w:color w:val="FF0000"/>
          <w:szCs w:val="22"/>
          <w:highlight w:val="yellow"/>
        </w:rPr>
        <w:t>『</w:t>
      </w:r>
      <w:r w:rsidRPr="00043A1E">
        <w:rPr>
          <w:rFonts w:ascii="標楷體" w:eastAsia="標楷體" w:hAnsi="標楷體" w:cs="Times Ext Roman" w:hint="eastAsia"/>
          <w:szCs w:val="22"/>
        </w:rPr>
        <w:t>受者</w:t>
      </w:r>
      <w:r w:rsidR="00997AB7">
        <w:rPr>
          <w:rFonts w:eastAsia="標楷體" w:hint="eastAsia"/>
          <w:color w:val="FF0000"/>
          <w:szCs w:val="22"/>
          <w:highlight w:val="yellow"/>
        </w:rPr>
        <w:t>』</w:t>
      </w:r>
      <w:r w:rsidRPr="00043A1E">
        <w:rPr>
          <w:rFonts w:ascii="標楷體" w:eastAsia="標楷體" w:hAnsi="標楷體" w:cs="Times Ext Roman" w:hint="eastAsia"/>
          <w:szCs w:val="22"/>
        </w:rPr>
        <w:t>是天</w:t>
      </w:r>
      <w:r w:rsidR="00997AB7">
        <w:rPr>
          <w:rFonts w:ascii="標楷體" w:eastAsia="標楷體" w:hAnsi="標楷體" w:hint="eastAsia"/>
          <w:color w:val="FF0000"/>
          <w:spacing w:val="-4"/>
          <w:kern w:val="0"/>
          <w:highlight w:val="yellow"/>
        </w:rPr>
        <w:t>、</w:t>
      </w:r>
      <w:r w:rsidRPr="00043A1E">
        <w:rPr>
          <w:rFonts w:ascii="標楷體" w:eastAsia="標楷體" w:hAnsi="標楷體" w:cs="Times Ext Roman" w:hint="eastAsia"/>
          <w:szCs w:val="22"/>
        </w:rPr>
        <w:t>是人</w:t>
      </w:r>
      <w:r w:rsidR="00997AB7">
        <w:rPr>
          <w:rFonts w:ascii="標楷體" w:eastAsia="標楷體" w:hAnsi="標楷體" w:hint="eastAsia"/>
          <w:bCs/>
          <w:color w:val="FF0000"/>
          <w:kern w:val="0"/>
          <w:highlight w:val="yellow"/>
        </w:rPr>
        <w:t>」</w:t>
      </w:r>
      <w:r w:rsidR="00997AB7">
        <w:rPr>
          <w:rFonts w:ascii="標楷體" w:eastAsia="標楷體" w:hAnsi="標楷體" w:hint="eastAsia"/>
          <w:color w:val="FF0000"/>
          <w:kern w:val="0"/>
          <w:highlight w:val="yellow"/>
        </w:rPr>
        <w:t>，</w:t>
      </w:r>
      <w:r w:rsidRPr="00043A1E">
        <w:rPr>
          <w:rFonts w:ascii="標楷體" w:eastAsia="標楷體" w:hAnsi="標楷體" w:cs="Times Ext Roman" w:hint="eastAsia"/>
          <w:szCs w:val="22"/>
        </w:rPr>
        <w:t>是皆不然</w:t>
      </w:r>
      <w:r w:rsidR="00997AB7">
        <w:rPr>
          <w:rFonts w:ascii="標楷體" w:eastAsia="標楷體" w:hAnsi="標楷體" w:hint="eastAsia"/>
          <w:color w:val="FF0000"/>
          <w:kern w:val="0"/>
          <w:highlight w:val="yellow"/>
        </w:rPr>
        <w:t>！</w:t>
      </w:r>
      <w:r w:rsidRPr="00043A1E">
        <w:rPr>
          <w:rFonts w:ascii="標楷體" w:eastAsia="標楷體" w:hAnsi="標楷體" w:cs="Times Ext Roman" w:hint="eastAsia"/>
          <w:szCs w:val="22"/>
        </w:rPr>
        <w:t>當知</w:t>
      </w:r>
      <w:r w:rsidR="00997AB7">
        <w:rPr>
          <w:rFonts w:ascii="標楷體" w:eastAsia="標楷體" w:hAnsi="標楷體" w:hint="eastAsia"/>
          <w:color w:val="FF0000"/>
          <w:spacing w:val="-4"/>
          <w:kern w:val="0"/>
          <w:highlight w:val="yellow"/>
        </w:rPr>
        <w:t>：</w:t>
      </w:r>
      <w:r w:rsidRPr="00043A1E">
        <w:rPr>
          <w:rFonts w:ascii="標楷體" w:eastAsia="標楷體" w:hAnsi="標楷體" w:cs="Times Ext Roman" w:hint="eastAsia"/>
          <w:szCs w:val="22"/>
        </w:rPr>
        <w:t>但有</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受</w:t>
      </w:r>
      <w:r w:rsidR="00997AB7">
        <w:rPr>
          <w:rFonts w:ascii="標楷體" w:eastAsia="標楷體" w:hAnsi="標楷體" w:hint="eastAsia"/>
          <w:bCs/>
          <w:color w:val="FF0000"/>
          <w:kern w:val="0"/>
          <w:highlight w:val="yellow"/>
        </w:rPr>
        <w:t>」</w:t>
      </w:r>
      <w:r w:rsidR="00997AB7">
        <w:rPr>
          <w:rFonts w:ascii="標楷體" w:eastAsia="標楷體" w:hAnsi="標楷體" w:hint="eastAsia"/>
          <w:color w:val="FF0000"/>
          <w:kern w:val="0"/>
          <w:highlight w:val="yellow"/>
        </w:rPr>
        <w:t>，</w:t>
      </w:r>
      <w:r w:rsidRPr="00043A1E">
        <w:rPr>
          <w:rFonts w:ascii="標楷體" w:eastAsia="標楷體" w:hAnsi="標楷體" w:cs="Times Ext Roman" w:hint="eastAsia"/>
          <w:szCs w:val="22"/>
        </w:rPr>
        <w:t>無別</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受者</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w:t>
      </w:r>
    </w:p>
    <w:p w:rsidR="00997AB7" w:rsidRDefault="00157EF6" w:rsidP="00AA120F">
      <w:pPr>
        <w:pStyle w:val="a5"/>
        <w:ind w:leftChars="335" w:left="804"/>
        <w:jc w:val="both"/>
        <w:rPr>
          <w:rFonts w:ascii="標楷體" w:eastAsia="標楷體" w:hAnsi="標楷體" w:cs="Times Ext Roman"/>
          <w:szCs w:val="22"/>
        </w:rPr>
      </w:pPr>
      <w:r w:rsidRPr="00043A1E">
        <w:rPr>
          <w:rFonts w:ascii="標楷體" w:eastAsia="標楷體" w:hAnsi="標楷體" w:cs="Times Ext Roman" w:hint="eastAsia"/>
          <w:szCs w:val="22"/>
        </w:rPr>
        <w:t>若謂</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離</w:t>
      </w:r>
      <w:r w:rsidR="00997AB7">
        <w:rPr>
          <w:rFonts w:eastAsia="標楷體" w:hint="eastAsia"/>
          <w:color w:val="FF0000"/>
          <w:szCs w:val="22"/>
          <w:highlight w:val="yellow"/>
        </w:rPr>
        <w:t>『</w:t>
      </w:r>
      <w:r w:rsidRPr="00043A1E">
        <w:rPr>
          <w:rFonts w:ascii="標楷體" w:eastAsia="標楷體" w:hAnsi="標楷體" w:cs="Times Ext Roman" w:hint="eastAsia"/>
          <w:szCs w:val="22"/>
        </w:rPr>
        <w:t>受</w:t>
      </w:r>
      <w:r w:rsidR="00997AB7">
        <w:rPr>
          <w:rFonts w:eastAsia="標楷體" w:hint="eastAsia"/>
          <w:color w:val="FF0000"/>
          <w:szCs w:val="22"/>
          <w:highlight w:val="yellow"/>
        </w:rPr>
        <w:t>』</w:t>
      </w:r>
      <w:r w:rsidRPr="00043A1E">
        <w:rPr>
          <w:rFonts w:ascii="標楷體" w:eastAsia="標楷體" w:hAnsi="標楷體" w:cs="Times Ext Roman" w:hint="eastAsia"/>
          <w:szCs w:val="22"/>
        </w:rPr>
        <w:t>別有</w:t>
      </w:r>
      <w:r w:rsidR="00997AB7">
        <w:rPr>
          <w:rFonts w:eastAsia="標楷體" w:hint="eastAsia"/>
          <w:color w:val="FF0000"/>
          <w:szCs w:val="22"/>
          <w:highlight w:val="yellow"/>
        </w:rPr>
        <w:t>『</w:t>
      </w:r>
      <w:r w:rsidRPr="00043A1E">
        <w:rPr>
          <w:rFonts w:ascii="標楷體" w:eastAsia="標楷體" w:hAnsi="標楷體" w:cs="Times Ext Roman" w:hint="eastAsia"/>
          <w:szCs w:val="22"/>
        </w:rPr>
        <w:t>我</w:t>
      </w:r>
      <w:r w:rsidR="00997AB7">
        <w:rPr>
          <w:rFonts w:eastAsia="標楷體" w:hint="eastAsia"/>
          <w:color w:val="FF0000"/>
          <w:szCs w:val="22"/>
          <w:highlight w:val="yellow"/>
        </w:rPr>
        <w:t>』</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，是事不然</w:t>
      </w:r>
      <w:r w:rsidR="00997AB7">
        <w:rPr>
          <w:rFonts w:ascii="標楷體" w:eastAsia="標楷體" w:hAnsi="標楷體" w:hint="eastAsia"/>
          <w:color w:val="FF0000"/>
          <w:kern w:val="0"/>
          <w:highlight w:val="yellow"/>
        </w:rPr>
        <w:t>！</w:t>
      </w:r>
      <w:r w:rsidRPr="00043A1E">
        <w:rPr>
          <w:rFonts w:ascii="標楷體" w:eastAsia="標楷體" w:hAnsi="標楷體" w:cs="Times Ext Roman" w:hint="eastAsia"/>
          <w:szCs w:val="22"/>
        </w:rPr>
        <w:t>若</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離</w:t>
      </w:r>
      <w:r w:rsidR="00997AB7">
        <w:rPr>
          <w:rFonts w:eastAsia="標楷體" w:hint="eastAsia"/>
          <w:color w:val="FF0000"/>
          <w:szCs w:val="22"/>
          <w:highlight w:val="yellow"/>
        </w:rPr>
        <w:t>『</w:t>
      </w:r>
      <w:r w:rsidRPr="00043A1E">
        <w:rPr>
          <w:rFonts w:ascii="標楷體" w:eastAsia="標楷體" w:hAnsi="標楷體" w:cs="Times Ext Roman" w:hint="eastAsia"/>
          <w:szCs w:val="22"/>
        </w:rPr>
        <w:t>受</w:t>
      </w:r>
      <w:r w:rsidR="00997AB7">
        <w:rPr>
          <w:rFonts w:eastAsia="標楷體" w:hint="eastAsia"/>
          <w:color w:val="FF0000"/>
          <w:szCs w:val="22"/>
          <w:highlight w:val="yellow"/>
        </w:rPr>
        <w:t>』</w:t>
      </w:r>
      <w:r w:rsidRPr="00043A1E">
        <w:rPr>
          <w:rFonts w:ascii="標楷體" w:eastAsia="標楷體" w:hAnsi="標楷體" w:cs="Times Ext Roman" w:hint="eastAsia"/>
          <w:szCs w:val="22"/>
        </w:rPr>
        <w:t>有</w:t>
      </w:r>
      <w:r w:rsidR="00997AB7">
        <w:rPr>
          <w:rFonts w:eastAsia="標楷體" w:hint="eastAsia"/>
          <w:color w:val="FF0000"/>
          <w:szCs w:val="22"/>
          <w:highlight w:val="yellow"/>
        </w:rPr>
        <w:t>『</w:t>
      </w:r>
      <w:r w:rsidRPr="00043A1E">
        <w:rPr>
          <w:rFonts w:ascii="標楷體" w:eastAsia="標楷體" w:hAnsi="標楷體" w:cs="Times Ext Roman" w:hint="eastAsia"/>
          <w:szCs w:val="22"/>
        </w:rPr>
        <w:t>我</w:t>
      </w:r>
      <w:r w:rsidR="00997AB7">
        <w:rPr>
          <w:rFonts w:eastAsia="標楷體" w:hint="eastAsia"/>
          <w:color w:val="FF0000"/>
          <w:szCs w:val="22"/>
          <w:highlight w:val="yellow"/>
        </w:rPr>
        <w:t>』</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，云何可得說是</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我</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相？若無相可說，則離</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受</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無</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我</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w:t>
      </w:r>
    </w:p>
    <w:p w:rsidR="00997AB7" w:rsidRDefault="00157EF6" w:rsidP="00AA120F">
      <w:pPr>
        <w:pStyle w:val="a5"/>
        <w:ind w:leftChars="335" w:left="804"/>
        <w:jc w:val="both"/>
        <w:rPr>
          <w:rFonts w:ascii="標楷體" w:eastAsia="標楷體" w:hAnsi="標楷體" w:cs="Times Ext Roman"/>
          <w:szCs w:val="22"/>
        </w:rPr>
      </w:pPr>
      <w:r w:rsidRPr="00043A1E">
        <w:rPr>
          <w:rFonts w:ascii="標楷體" w:eastAsia="標楷體" w:hAnsi="標楷體" w:cs="Times Ext Roman" w:hint="eastAsia"/>
          <w:szCs w:val="22"/>
        </w:rPr>
        <w:t>若謂</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離</w:t>
      </w:r>
      <w:r w:rsidR="00997AB7">
        <w:rPr>
          <w:rFonts w:eastAsia="標楷體" w:hint="eastAsia"/>
          <w:color w:val="FF0000"/>
          <w:szCs w:val="22"/>
          <w:highlight w:val="yellow"/>
        </w:rPr>
        <w:t>『</w:t>
      </w:r>
      <w:r w:rsidRPr="00043A1E">
        <w:rPr>
          <w:rFonts w:ascii="標楷體" w:eastAsia="標楷體" w:hAnsi="標楷體" w:cs="Times Ext Roman" w:hint="eastAsia"/>
          <w:szCs w:val="22"/>
        </w:rPr>
        <w:t>身</w:t>
      </w:r>
      <w:r w:rsidR="00997AB7">
        <w:rPr>
          <w:rFonts w:eastAsia="標楷體" w:hint="eastAsia"/>
          <w:color w:val="FF0000"/>
          <w:szCs w:val="22"/>
          <w:highlight w:val="yellow"/>
        </w:rPr>
        <w:t>』</w:t>
      </w:r>
      <w:r w:rsidRPr="00043A1E">
        <w:rPr>
          <w:rFonts w:ascii="標楷體" w:eastAsia="標楷體" w:hAnsi="標楷體" w:cs="Times Ext Roman" w:hint="eastAsia"/>
          <w:szCs w:val="22"/>
        </w:rPr>
        <w:t>無</w:t>
      </w:r>
      <w:r w:rsidR="00997AB7">
        <w:rPr>
          <w:rFonts w:eastAsia="標楷體" w:hint="eastAsia"/>
          <w:color w:val="FF0000"/>
          <w:szCs w:val="22"/>
          <w:highlight w:val="yellow"/>
        </w:rPr>
        <w:t>『</w:t>
      </w:r>
      <w:r w:rsidRPr="00043A1E">
        <w:rPr>
          <w:rFonts w:ascii="標楷體" w:eastAsia="標楷體" w:hAnsi="標楷體" w:cs="Times Ext Roman" w:hint="eastAsia"/>
          <w:szCs w:val="22"/>
        </w:rPr>
        <w:t>我</w:t>
      </w:r>
      <w:r w:rsidR="00997AB7">
        <w:rPr>
          <w:rFonts w:eastAsia="標楷體" w:hint="eastAsia"/>
          <w:color w:val="FF0000"/>
          <w:szCs w:val="22"/>
          <w:highlight w:val="yellow"/>
        </w:rPr>
        <w:t>』</w:t>
      </w:r>
      <w:r w:rsidRPr="00043A1E">
        <w:rPr>
          <w:rFonts w:ascii="標楷體" w:eastAsia="標楷體" w:hAnsi="標楷體" w:cs="Times Ext Roman" w:hint="eastAsia"/>
          <w:szCs w:val="22"/>
        </w:rPr>
        <w:t>，但</w:t>
      </w:r>
      <w:r w:rsidR="00997AB7">
        <w:rPr>
          <w:rFonts w:eastAsia="標楷體" w:hint="eastAsia"/>
          <w:color w:val="FF0000"/>
          <w:szCs w:val="22"/>
          <w:highlight w:val="yellow"/>
        </w:rPr>
        <w:t>『</w:t>
      </w:r>
      <w:r w:rsidRPr="00043A1E">
        <w:rPr>
          <w:rFonts w:ascii="標楷體" w:eastAsia="標楷體" w:hAnsi="標楷體" w:cs="Times Ext Roman" w:hint="eastAsia"/>
          <w:szCs w:val="22"/>
        </w:rPr>
        <w:t>身</w:t>
      </w:r>
      <w:r w:rsidR="00997AB7">
        <w:rPr>
          <w:rFonts w:eastAsia="標楷體" w:hint="eastAsia"/>
          <w:color w:val="FF0000"/>
          <w:szCs w:val="22"/>
          <w:highlight w:val="yellow"/>
        </w:rPr>
        <w:t>』</w:t>
      </w:r>
      <w:r w:rsidRPr="00043A1E">
        <w:rPr>
          <w:rFonts w:ascii="標楷體" w:eastAsia="標楷體" w:hAnsi="標楷體" w:cs="Times Ext Roman" w:hint="eastAsia"/>
          <w:szCs w:val="22"/>
        </w:rPr>
        <w:t>是</w:t>
      </w:r>
      <w:r w:rsidR="00997AB7">
        <w:rPr>
          <w:rFonts w:eastAsia="標楷體" w:hint="eastAsia"/>
          <w:color w:val="FF0000"/>
          <w:szCs w:val="22"/>
          <w:highlight w:val="yellow"/>
        </w:rPr>
        <w:t>『</w:t>
      </w:r>
      <w:r w:rsidRPr="00043A1E">
        <w:rPr>
          <w:rFonts w:ascii="標楷體" w:eastAsia="標楷體" w:hAnsi="標楷體" w:cs="Times Ext Roman" w:hint="eastAsia"/>
          <w:szCs w:val="22"/>
        </w:rPr>
        <w:t>我</w:t>
      </w:r>
      <w:r w:rsidR="00997AB7">
        <w:rPr>
          <w:rFonts w:eastAsia="標楷體" w:hint="eastAsia"/>
          <w:color w:val="FF0000"/>
          <w:szCs w:val="22"/>
          <w:highlight w:val="yellow"/>
        </w:rPr>
        <w:t>』</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，是亦不然</w:t>
      </w:r>
      <w:r w:rsidR="00997AB7">
        <w:rPr>
          <w:rFonts w:ascii="標楷體" w:eastAsia="標楷體" w:hAnsi="標楷體" w:hint="eastAsia"/>
          <w:color w:val="FF0000"/>
          <w:kern w:val="0"/>
          <w:highlight w:val="yellow"/>
        </w:rPr>
        <w:t>！</w:t>
      </w:r>
      <w:r w:rsidRPr="00043A1E">
        <w:rPr>
          <w:rFonts w:ascii="標楷體" w:eastAsia="標楷體" w:hAnsi="標楷體" w:cs="Times Ext Roman" w:hint="eastAsia"/>
          <w:szCs w:val="22"/>
        </w:rPr>
        <w:t>何以故？</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身</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有生滅相，</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我</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則不爾。復次，云何以</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受</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即名</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受者</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w:t>
      </w:r>
    </w:p>
    <w:p w:rsidR="00997AB7" w:rsidRDefault="00157EF6" w:rsidP="00AA120F">
      <w:pPr>
        <w:pStyle w:val="a5"/>
        <w:ind w:leftChars="335" w:left="804"/>
        <w:jc w:val="both"/>
        <w:rPr>
          <w:rFonts w:ascii="標楷體" w:eastAsia="標楷體" w:hAnsi="標楷體"/>
          <w:color w:val="FF0000"/>
          <w:kern w:val="0"/>
        </w:rPr>
      </w:pPr>
      <w:r w:rsidRPr="00043A1E">
        <w:rPr>
          <w:rFonts w:ascii="標楷體" w:eastAsia="標楷體" w:hAnsi="標楷體" w:cs="Times Ext Roman" w:hint="eastAsia"/>
          <w:szCs w:val="22"/>
        </w:rPr>
        <w:t>若謂</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離</w:t>
      </w:r>
      <w:r w:rsidR="00997AB7">
        <w:rPr>
          <w:rFonts w:eastAsia="標楷體" w:hint="eastAsia"/>
          <w:color w:val="FF0000"/>
          <w:szCs w:val="22"/>
          <w:highlight w:val="yellow"/>
        </w:rPr>
        <w:t>『</w:t>
      </w:r>
      <w:r w:rsidRPr="00043A1E">
        <w:rPr>
          <w:rFonts w:ascii="標楷體" w:eastAsia="標楷體" w:hAnsi="標楷體" w:cs="Times Ext Roman" w:hint="eastAsia"/>
          <w:szCs w:val="22"/>
        </w:rPr>
        <w:t>受</w:t>
      </w:r>
      <w:r w:rsidR="00997AB7">
        <w:rPr>
          <w:rFonts w:eastAsia="標楷體" w:hint="eastAsia"/>
          <w:color w:val="FF0000"/>
          <w:szCs w:val="22"/>
          <w:highlight w:val="yellow"/>
        </w:rPr>
        <w:t>』</w:t>
      </w:r>
      <w:r w:rsidRPr="00043A1E">
        <w:rPr>
          <w:rFonts w:ascii="標楷體" w:eastAsia="標楷體" w:hAnsi="標楷體" w:cs="Times Ext Roman" w:hint="eastAsia"/>
          <w:szCs w:val="22"/>
        </w:rPr>
        <w:t>有</w:t>
      </w:r>
      <w:r w:rsidR="00997AB7">
        <w:rPr>
          <w:rFonts w:eastAsia="標楷體" w:hint="eastAsia"/>
          <w:color w:val="FF0000"/>
          <w:szCs w:val="22"/>
          <w:highlight w:val="yellow"/>
        </w:rPr>
        <w:t>『</w:t>
      </w:r>
      <w:r w:rsidRPr="00043A1E">
        <w:rPr>
          <w:rFonts w:ascii="標楷體" w:eastAsia="標楷體" w:hAnsi="標楷體" w:cs="Times Ext Roman" w:hint="eastAsia"/>
          <w:szCs w:val="22"/>
        </w:rPr>
        <w:t>受者</w:t>
      </w:r>
      <w:r w:rsidR="00997AB7">
        <w:rPr>
          <w:rFonts w:eastAsia="標楷體" w:hint="eastAsia"/>
          <w:color w:val="FF0000"/>
          <w:szCs w:val="22"/>
          <w:highlight w:val="yellow"/>
        </w:rPr>
        <w:t>』</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，是亦不然</w:t>
      </w:r>
      <w:r w:rsidR="00997AB7">
        <w:rPr>
          <w:rFonts w:ascii="標楷體" w:eastAsia="標楷體" w:hAnsi="標楷體" w:hint="eastAsia"/>
          <w:color w:val="FF0000"/>
          <w:kern w:val="0"/>
          <w:highlight w:val="yellow"/>
        </w:rPr>
        <w:t>！</w:t>
      </w:r>
      <w:r w:rsidRPr="00043A1E">
        <w:rPr>
          <w:rFonts w:ascii="標楷體" w:eastAsia="標楷體" w:hAnsi="標楷體" w:cs="Times Ext Roman" w:hint="eastAsia"/>
          <w:szCs w:val="22"/>
        </w:rPr>
        <w:t>若不受</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五陰</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而有</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受者</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，應</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szCs w:val="22"/>
        </w:rPr>
        <w:t>離</w:t>
      </w:r>
      <w:r w:rsidR="00997AB7">
        <w:rPr>
          <w:rFonts w:eastAsia="標楷體" w:hint="eastAsia"/>
          <w:color w:val="FF0000"/>
          <w:szCs w:val="22"/>
          <w:highlight w:val="yellow"/>
        </w:rPr>
        <w:t>『</w:t>
      </w:r>
      <w:r w:rsidRPr="00043A1E">
        <w:rPr>
          <w:rFonts w:ascii="標楷體" w:eastAsia="標楷體" w:hAnsi="標楷體" w:cs="Times Ext Roman" w:hint="eastAsia"/>
          <w:szCs w:val="22"/>
        </w:rPr>
        <w:t>五陰</w:t>
      </w:r>
      <w:r w:rsidR="00997AB7">
        <w:rPr>
          <w:rFonts w:eastAsia="標楷體" w:hint="eastAsia"/>
          <w:color w:val="FF0000"/>
          <w:szCs w:val="22"/>
          <w:highlight w:val="yellow"/>
        </w:rPr>
        <w:t>』</w:t>
      </w:r>
      <w:r w:rsidRPr="00043A1E">
        <w:rPr>
          <w:rFonts w:ascii="標楷體" w:eastAsia="標楷體" w:hAnsi="標楷體" w:cs="Times Ext Roman" w:hint="eastAsia"/>
          <w:szCs w:val="22"/>
        </w:rPr>
        <w:t>別有</w:t>
      </w:r>
      <w:r w:rsidR="00997AB7">
        <w:rPr>
          <w:rFonts w:eastAsia="標楷體" w:hint="eastAsia"/>
          <w:color w:val="FF0000"/>
          <w:szCs w:val="22"/>
          <w:highlight w:val="yellow"/>
        </w:rPr>
        <w:t>『</w:t>
      </w:r>
      <w:r w:rsidRPr="00043A1E">
        <w:rPr>
          <w:rFonts w:ascii="標楷體" w:eastAsia="標楷體" w:hAnsi="標楷體" w:cs="Times Ext Roman" w:hint="eastAsia"/>
          <w:szCs w:val="22"/>
        </w:rPr>
        <w:t>受者</w:t>
      </w:r>
      <w:r w:rsidR="00997AB7">
        <w:rPr>
          <w:rFonts w:eastAsia="標楷體" w:hint="eastAsia"/>
          <w:color w:val="FF0000"/>
          <w:szCs w:val="22"/>
          <w:highlight w:val="yellow"/>
        </w:rPr>
        <w:t>』</w:t>
      </w:r>
      <w:r w:rsidR="00997AB7">
        <w:rPr>
          <w:rFonts w:ascii="標楷體" w:eastAsia="標楷體" w:hAnsi="標楷體" w:hint="eastAsia"/>
          <w:color w:val="FF0000"/>
          <w:kern w:val="0"/>
          <w:highlight w:val="yellow"/>
        </w:rPr>
        <w:t>，</w:t>
      </w:r>
      <w:r w:rsidRPr="00043A1E">
        <w:rPr>
          <w:rFonts w:ascii="標楷體" w:eastAsia="標楷體" w:hAnsi="標楷體" w:cs="Times Ext Roman" w:hint="eastAsia"/>
          <w:szCs w:val="22"/>
        </w:rPr>
        <w:t>眼等根可得</w:t>
      </w:r>
      <w:r w:rsidR="00997AB7">
        <w:rPr>
          <w:rFonts w:ascii="標楷體" w:eastAsia="標楷體" w:hAnsi="標楷體" w:hint="eastAsia"/>
          <w:bCs/>
          <w:color w:val="FF0000"/>
          <w:kern w:val="0"/>
          <w:highlight w:val="yellow"/>
        </w:rPr>
        <w:t>」</w:t>
      </w:r>
      <w:r w:rsidR="00997AB7">
        <w:rPr>
          <w:rFonts w:ascii="標楷體" w:eastAsia="標楷體" w:hAnsi="標楷體" w:hint="eastAsia"/>
          <w:color w:val="FF0000"/>
          <w:kern w:val="0"/>
          <w:highlight w:val="yellow"/>
        </w:rPr>
        <w:t>，</w:t>
      </w:r>
      <w:r w:rsidR="00997AB7">
        <w:rPr>
          <w:rFonts w:ascii="標楷體" w:eastAsia="標楷體" w:hAnsi="標楷體" w:cs="Times Ext Roman" w:hint="eastAsia"/>
          <w:szCs w:val="22"/>
        </w:rPr>
        <w:t>而實不可得</w:t>
      </w:r>
      <w:r w:rsidR="00997AB7">
        <w:rPr>
          <w:rFonts w:ascii="標楷體" w:eastAsia="標楷體" w:hAnsi="標楷體" w:hint="eastAsia"/>
          <w:color w:val="FF0000"/>
          <w:kern w:val="0"/>
          <w:highlight w:val="yellow"/>
        </w:rPr>
        <w:t>。</w:t>
      </w:r>
    </w:p>
    <w:p w:rsidR="00157EF6" w:rsidRPr="00043A1E" w:rsidRDefault="00157EF6" w:rsidP="00AA120F">
      <w:pPr>
        <w:pStyle w:val="a5"/>
        <w:ind w:leftChars="335" w:left="804"/>
        <w:jc w:val="both"/>
        <w:rPr>
          <w:rFonts w:ascii="標楷體" w:eastAsia="標楷體" w:hAnsi="標楷體" w:cs="Times Ext Roman"/>
          <w:szCs w:val="22"/>
        </w:rPr>
      </w:pPr>
      <w:r w:rsidRPr="00043A1E">
        <w:rPr>
          <w:rFonts w:ascii="標楷體" w:eastAsia="標楷體" w:hAnsi="標楷體" w:cs="Times Ext Roman" w:hint="eastAsia"/>
          <w:szCs w:val="22"/>
        </w:rPr>
        <w:t>是故</w:t>
      </w:r>
      <w:r w:rsidR="00997AB7">
        <w:rPr>
          <w:rFonts w:ascii="標楷體" w:eastAsia="標楷體" w:hAnsi="標楷體" w:hint="eastAsia"/>
          <w:bCs/>
          <w:color w:val="FF0000"/>
          <w:kern w:val="0"/>
          <w:highlight w:val="yellow"/>
        </w:rPr>
        <w:t>「</w:t>
      </w:r>
      <w:r w:rsidR="00997AB7">
        <w:rPr>
          <w:rFonts w:eastAsia="標楷體" w:hint="eastAsia"/>
          <w:color w:val="FF0000"/>
          <w:szCs w:val="22"/>
          <w:highlight w:val="yellow"/>
        </w:rPr>
        <w:t>『</w:t>
      </w:r>
      <w:r w:rsidRPr="00043A1E">
        <w:rPr>
          <w:rFonts w:ascii="標楷體" w:eastAsia="標楷體" w:hAnsi="標楷體" w:cs="Times Ext Roman" w:hint="eastAsia"/>
          <w:b/>
          <w:szCs w:val="22"/>
        </w:rPr>
        <w:t>我</w:t>
      </w:r>
      <w:r w:rsidR="00997AB7">
        <w:rPr>
          <w:rFonts w:eastAsia="標楷體" w:hint="eastAsia"/>
          <w:color w:val="FF0000"/>
          <w:szCs w:val="22"/>
          <w:highlight w:val="yellow"/>
        </w:rPr>
        <w:t>』</w:t>
      </w:r>
      <w:r w:rsidRPr="00043A1E">
        <w:rPr>
          <w:rFonts w:ascii="標楷體" w:eastAsia="標楷體" w:hAnsi="標楷體" w:cs="Times Ext Roman" w:hint="eastAsia"/>
          <w:b/>
          <w:szCs w:val="22"/>
        </w:rPr>
        <w:t>不離</w:t>
      </w:r>
      <w:r w:rsidR="00997AB7">
        <w:rPr>
          <w:rFonts w:eastAsia="標楷體" w:hint="eastAsia"/>
          <w:color w:val="FF0000"/>
          <w:szCs w:val="22"/>
          <w:highlight w:val="yellow"/>
        </w:rPr>
        <w:t>『</w:t>
      </w:r>
      <w:r w:rsidRPr="00043A1E">
        <w:rPr>
          <w:rFonts w:ascii="標楷體" w:eastAsia="標楷體" w:hAnsi="標楷體" w:cs="Times Ext Roman" w:hint="eastAsia"/>
          <w:b/>
          <w:szCs w:val="22"/>
        </w:rPr>
        <w:t>受</w:t>
      </w:r>
      <w:r w:rsidR="00997AB7">
        <w:rPr>
          <w:rFonts w:eastAsia="標楷體" w:hint="eastAsia"/>
          <w:color w:val="FF0000"/>
          <w:szCs w:val="22"/>
          <w:highlight w:val="yellow"/>
        </w:rPr>
        <w:t>』</w:t>
      </w:r>
      <w:r w:rsidRPr="00043A1E">
        <w:rPr>
          <w:rFonts w:ascii="標楷體" w:eastAsia="標楷體" w:hAnsi="標楷體" w:cs="Times Ext Roman" w:hint="eastAsia"/>
          <w:b/>
          <w:szCs w:val="22"/>
        </w:rPr>
        <w:t>，不即是</w:t>
      </w:r>
      <w:r w:rsidR="00997AB7">
        <w:rPr>
          <w:rFonts w:eastAsia="標楷體" w:hint="eastAsia"/>
          <w:color w:val="FF0000"/>
          <w:szCs w:val="22"/>
          <w:highlight w:val="yellow"/>
        </w:rPr>
        <w:t>『</w:t>
      </w:r>
      <w:r w:rsidRPr="00043A1E">
        <w:rPr>
          <w:rFonts w:ascii="標楷體" w:eastAsia="標楷體" w:hAnsi="標楷體" w:cs="Times Ext Roman" w:hint="eastAsia"/>
          <w:b/>
          <w:szCs w:val="22"/>
        </w:rPr>
        <w:t>受</w:t>
      </w:r>
      <w:r w:rsidR="00997AB7">
        <w:rPr>
          <w:rFonts w:eastAsia="標楷體" w:hint="eastAsia"/>
          <w:color w:val="FF0000"/>
          <w:szCs w:val="22"/>
          <w:highlight w:val="yellow"/>
        </w:rPr>
        <w:t>』</w:t>
      </w:r>
      <w:r w:rsidRPr="00043A1E">
        <w:rPr>
          <w:rFonts w:ascii="標楷體" w:eastAsia="標楷體" w:hAnsi="標楷體" w:cs="Times Ext Roman" w:hint="eastAsia"/>
          <w:b/>
          <w:szCs w:val="22"/>
        </w:rPr>
        <w:t>，亦非</w:t>
      </w:r>
      <w:r w:rsidR="00997AB7">
        <w:rPr>
          <w:rFonts w:eastAsia="標楷體" w:hint="eastAsia"/>
          <w:color w:val="FF0000"/>
          <w:szCs w:val="22"/>
          <w:highlight w:val="yellow"/>
        </w:rPr>
        <w:t>『</w:t>
      </w:r>
      <w:r w:rsidRPr="00043A1E">
        <w:rPr>
          <w:rFonts w:ascii="標楷體" w:eastAsia="標楷體" w:hAnsi="標楷體" w:cs="Times Ext Roman" w:hint="eastAsia"/>
          <w:b/>
          <w:szCs w:val="22"/>
        </w:rPr>
        <w:t>無受</w:t>
      </w:r>
      <w:r w:rsidR="00997AB7">
        <w:rPr>
          <w:rFonts w:eastAsia="標楷體" w:hint="eastAsia"/>
          <w:color w:val="FF0000"/>
          <w:szCs w:val="22"/>
          <w:highlight w:val="yellow"/>
        </w:rPr>
        <w:t>』</w:t>
      </w:r>
      <w:r w:rsidRPr="00043A1E">
        <w:rPr>
          <w:rFonts w:ascii="標楷體" w:eastAsia="標楷體" w:hAnsi="標楷體" w:cs="Times Ext Roman" w:hint="eastAsia"/>
          <w:b/>
          <w:szCs w:val="22"/>
        </w:rPr>
        <w:t>，亦復非無</w:t>
      </w:r>
      <w:r w:rsidR="00997AB7">
        <w:rPr>
          <w:rFonts w:ascii="標楷體" w:eastAsia="標楷體" w:hAnsi="標楷體" w:hint="eastAsia"/>
          <w:bCs/>
          <w:color w:val="FF0000"/>
          <w:kern w:val="0"/>
          <w:highlight w:val="yellow"/>
        </w:rPr>
        <w:t>」</w:t>
      </w:r>
      <w:r w:rsidRPr="00043A1E">
        <w:rPr>
          <w:rFonts w:ascii="標楷體" w:eastAsia="標楷體" w:hAnsi="標楷體" w:cs="Times Ext Roman" w:hint="eastAsia"/>
          <w:b/>
          <w:szCs w:val="22"/>
        </w:rPr>
        <w:t>，此是定義。</w:t>
      </w:r>
    </w:p>
    <w:p w:rsidR="00157EF6" w:rsidRPr="00043A1E" w:rsidRDefault="00157EF6" w:rsidP="00AA120F">
      <w:pPr>
        <w:pStyle w:val="a5"/>
        <w:ind w:leftChars="105" w:left="791" w:hangingChars="245" w:hanging="539"/>
        <w:jc w:val="both"/>
        <w:rPr>
          <w:rFonts w:ascii="Times Ext Roman" w:hAnsi="新細明體" w:cs="Times Ext Roman"/>
          <w:szCs w:val="22"/>
        </w:rPr>
      </w:pPr>
      <w:r w:rsidRPr="00043A1E">
        <w:rPr>
          <w:rFonts w:ascii="Times Ext Roman" w:hAnsi="Times Ext Roman" w:cs="Times Ext Roman"/>
          <w:szCs w:val="22"/>
        </w:rPr>
        <w:t>（</w:t>
      </w:r>
      <w:r w:rsidRPr="00761EF3">
        <w:rPr>
          <w:rFonts w:hint="eastAsia"/>
          <w:szCs w:val="22"/>
        </w:rPr>
        <w:t>2</w:t>
      </w:r>
      <w:r w:rsidRPr="00043A1E">
        <w:rPr>
          <w:rFonts w:ascii="Times Ext Roman" w:hAnsi="Times Ext Roman" w:cs="Times Ext Roman"/>
          <w:szCs w:val="22"/>
        </w:rPr>
        <w:t>）</w:t>
      </w:r>
      <w:r w:rsidRPr="00615847">
        <w:rPr>
          <w:rStyle w:val="21"/>
          <w:szCs w:val="22"/>
        </w:rPr>
        <w:t>三枝充悳</w:t>
      </w:r>
      <w:r w:rsidRPr="00043A1E">
        <w:rPr>
          <w:rFonts w:ascii="Times Ext Roman" w:hAnsi="新細明體" w:cs="Times Ext Roman" w:hint="eastAsia"/>
          <w:szCs w:val="22"/>
        </w:rPr>
        <w:t>，《中論偈頌總覽》，</w:t>
      </w:r>
      <w:r w:rsidRPr="00761EF3">
        <w:rPr>
          <w:rFonts w:cs="Times Ext Roman" w:hint="eastAsia"/>
          <w:szCs w:val="22"/>
        </w:rPr>
        <w:t>p</w:t>
      </w:r>
      <w:r w:rsidRPr="00043A1E">
        <w:rPr>
          <w:rFonts w:ascii="Times Ext Roman" w:hAnsi="新細明體" w:cs="Times Ext Roman" w:hint="eastAsia"/>
          <w:szCs w:val="22"/>
        </w:rPr>
        <w:t>.</w:t>
      </w:r>
      <w:r w:rsidRPr="00761EF3">
        <w:rPr>
          <w:rFonts w:hint="eastAsia"/>
          <w:szCs w:val="22"/>
        </w:rPr>
        <w:t>904</w:t>
      </w:r>
      <w:r w:rsidRPr="00043A1E">
        <w:rPr>
          <w:rFonts w:ascii="Times Ext Roman" w:hAnsi="新細明體" w:cs="Times Ext Roman" w:hint="eastAsia"/>
          <w:szCs w:val="22"/>
        </w:rPr>
        <w:t>：</w:t>
      </w:r>
    </w:p>
    <w:p w:rsidR="00157EF6" w:rsidRPr="00043A1E" w:rsidRDefault="00157EF6" w:rsidP="00AA120F">
      <w:pPr>
        <w:pStyle w:val="a5"/>
        <w:ind w:leftChars="335" w:left="804"/>
        <w:jc w:val="both"/>
        <w:rPr>
          <w:rFonts w:ascii="Times Ext Roman" w:hAnsi="Times Ext Roman" w:cs="Times Ext Roman"/>
          <w:szCs w:val="22"/>
        </w:rPr>
      </w:pPr>
      <w:r w:rsidRPr="00761EF3">
        <w:rPr>
          <w:szCs w:val="22"/>
        </w:rPr>
        <w:t>evaṃ</w:t>
      </w:r>
      <w:r w:rsidRPr="00043A1E">
        <w:rPr>
          <w:szCs w:val="22"/>
        </w:rPr>
        <w:t xml:space="preserve"> </w:t>
      </w:r>
      <w:r w:rsidRPr="00761EF3">
        <w:rPr>
          <w:szCs w:val="22"/>
        </w:rPr>
        <w:t>nānya</w:t>
      </w:r>
      <w:r w:rsidRPr="00043A1E">
        <w:rPr>
          <w:szCs w:val="22"/>
        </w:rPr>
        <w:t xml:space="preserve"> </w:t>
      </w:r>
      <w:r w:rsidRPr="00761EF3">
        <w:rPr>
          <w:szCs w:val="22"/>
        </w:rPr>
        <w:t>upādānānna</w:t>
      </w:r>
      <w:r w:rsidRPr="00043A1E">
        <w:rPr>
          <w:szCs w:val="22"/>
        </w:rPr>
        <w:t xml:space="preserve"> </w:t>
      </w:r>
      <w:r w:rsidRPr="00761EF3">
        <w:rPr>
          <w:szCs w:val="22"/>
        </w:rPr>
        <w:t>copādānameva</w:t>
      </w:r>
      <w:r w:rsidRPr="00043A1E">
        <w:rPr>
          <w:szCs w:val="22"/>
        </w:rPr>
        <w:t xml:space="preserve"> </w:t>
      </w:r>
      <w:r w:rsidRPr="00761EF3">
        <w:rPr>
          <w:szCs w:val="22"/>
        </w:rPr>
        <w:t>saḥ</w:t>
      </w:r>
      <w:r w:rsidRPr="00043A1E">
        <w:rPr>
          <w:szCs w:val="22"/>
        </w:rPr>
        <w:t xml:space="preserve"> /</w:t>
      </w:r>
    </w:p>
    <w:p w:rsidR="00157EF6" w:rsidRPr="00043A1E" w:rsidRDefault="00157EF6" w:rsidP="00AA120F">
      <w:pPr>
        <w:pStyle w:val="a5"/>
        <w:ind w:leftChars="335" w:left="804"/>
        <w:jc w:val="both"/>
        <w:rPr>
          <w:rFonts w:ascii="Times Ext Roman" w:hAnsi="Times Ext Roman" w:cs="Times Ext Roman"/>
          <w:szCs w:val="22"/>
        </w:rPr>
      </w:pPr>
      <w:r w:rsidRPr="00761EF3">
        <w:rPr>
          <w:szCs w:val="22"/>
        </w:rPr>
        <w:t>ātmā</w:t>
      </w:r>
      <w:r w:rsidRPr="00043A1E">
        <w:rPr>
          <w:szCs w:val="22"/>
        </w:rPr>
        <w:t xml:space="preserve"> </w:t>
      </w:r>
      <w:r w:rsidRPr="00761EF3">
        <w:rPr>
          <w:szCs w:val="22"/>
        </w:rPr>
        <w:t>nāstyanupādāno</w:t>
      </w:r>
      <w:r w:rsidRPr="00043A1E">
        <w:rPr>
          <w:szCs w:val="22"/>
        </w:rPr>
        <w:t xml:space="preserve"> </w:t>
      </w:r>
      <w:r w:rsidRPr="00761EF3">
        <w:rPr>
          <w:szCs w:val="22"/>
        </w:rPr>
        <w:t>nāpi</w:t>
      </w:r>
      <w:r w:rsidRPr="00043A1E">
        <w:rPr>
          <w:szCs w:val="22"/>
        </w:rPr>
        <w:t xml:space="preserve"> </w:t>
      </w:r>
      <w:r w:rsidRPr="00761EF3">
        <w:rPr>
          <w:szCs w:val="22"/>
        </w:rPr>
        <w:t>nāstyeṣa</w:t>
      </w:r>
      <w:r w:rsidRPr="00043A1E">
        <w:rPr>
          <w:szCs w:val="22"/>
        </w:rPr>
        <w:t xml:space="preserve"> </w:t>
      </w:r>
      <w:r w:rsidRPr="00761EF3">
        <w:rPr>
          <w:szCs w:val="22"/>
        </w:rPr>
        <w:t>niścayaḥ</w:t>
      </w:r>
      <w:r w:rsidRPr="00043A1E">
        <w:rPr>
          <w:szCs w:val="22"/>
        </w:rPr>
        <w:t xml:space="preserve"> //</w:t>
      </w:r>
    </w:p>
    <w:p w:rsidR="00157EF6" w:rsidRPr="00DD6DF9" w:rsidRDefault="00157EF6" w:rsidP="00AA120F">
      <w:pPr>
        <w:pStyle w:val="a5"/>
        <w:ind w:leftChars="335" w:left="804"/>
        <w:jc w:val="both"/>
        <w:rPr>
          <w:rFonts w:eastAsia="標楷體"/>
          <w:dstrike/>
          <w:szCs w:val="22"/>
          <w:lang w:eastAsia="ja-JP"/>
        </w:rPr>
      </w:pPr>
      <w:r w:rsidRPr="00DD6DF9">
        <w:rPr>
          <w:rFonts w:eastAsia="標楷體"/>
          <w:szCs w:val="22"/>
          <w:lang w:eastAsia="ja-JP"/>
        </w:rPr>
        <w:t>このように、それ（我（アートマン））は、取（執着）から異なるのでもなく、また、取（執着）そのものでもない。取（執着）のない我（アートマン）は、存在しないし、存在しないのでもない、ということが決定される。</w:t>
      </w:r>
    </w:p>
    <w:p w:rsidR="00157EF6" w:rsidRPr="00043A1E" w:rsidRDefault="00157EF6" w:rsidP="00AA120F">
      <w:pPr>
        <w:pStyle w:val="a5"/>
        <w:ind w:leftChars="105" w:left="791" w:hangingChars="245" w:hanging="539"/>
        <w:jc w:val="both"/>
        <w:rPr>
          <w:rFonts w:ascii="Times Ext Roman" w:hAnsi="Times Ext Roman" w:cs="Times Ext Roman"/>
          <w:szCs w:val="22"/>
        </w:rPr>
      </w:pPr>
      <w:r w:rsidRPr="00043A1E">
        <w:rPr>
          <w:rFonts w:ascii="Times Ext Roman" w:hAnsi="Times Ext Roman" w:cs="Times Ext Roman"/>
          <w:szCs w:val="22"/>
        </w:rPr>
        <w:t>（</w:t>
      </w:r>
      <w:r w:rsidRPr="00761EF3">
        <w:rPr>
          <w:rFonts w:hint="eastAsia"/>
          <w:szCs w:val="22"/>
        </w:rPr>
        <w:t>3</w:t>
      </w:r>
      <w:r w:rsidRPr="00043A1E">
        <w:rPr>
          <w:rFonts w:ascii="Times Ext Roman" w:hAnsi="Times Ext Roman" w:cs="Times Ext Roman"/>
          <w:szCs w:val="22"/>
        </w:rPr>
        <w:t>）</w:t>
      </w:r>
      <w:r w:rsidRPr="00043A1E">
        <w:rPr>
          <w:rFonts w:ascii="Times Ext Roman" w:hAnsi="Times Ext Roman" w:cs="Times Ext Roman" w:hint="eastAsia"/>
          <w:szCs w:val="22"/>
        </w:rPr>
        <w:t>印順法師，</w:t>
      </w:r>
      <w:r w:rsidRPr="00043A1E">
        <w:rPr>
          <w:rFonts w:ascii="Times Ext Roman" w:hAnsi="新細明體" w:cs="Times Ext Roman"/>
          <w:szCs w:val="22"/>
        </w:rPr>
        <w:t>《中觀論頌講記》</w:t>
      </w:r>
      <w:r w:rsidRPr="00043A1E">
        <w:rPr>
          <w:rFonts w:ascii="Times Ext Roman" w:hAnsi="新細明體" w:cs="Times Ext Roman" w:hint="eastAsia"/>
          <w:szCs w:val="22"/>
        </w:rPr>
        <w:t>，</w:t>
      </w:r>
      <w:r w:rsidRPr="00761EF3">
        <w:rPr>
          <w:szCs w:val="22"/>
        </w:rPr>
        <w:t>pp</w:t>
      </w:r>
      <w:r w:rsidRPr="00043A1E">
        <w:rPr>
          <w:szCs w:val="22"/>
        </w:rPr>
        <w:t>.</w:t>
      </w:r>
      <w:r w:rsidRPr="00761EF3">
        <w:rPr>
          <w:szCs w:val="22"/>
        </w:rPr>
        <w:t>540</w:t>
      </w:r>
      <w:r w:rsidRPr="00043A1E">
        <w:rPr>
          <w:szCs w:val="22"/>
        </w:rPr>
        <w:t>-</w:t>
      </w:r>
      <w:r w:rsidRPr="00761EF3">
        <w:rPr>
          <w:szCs w:val="22"/>
        </w:rPr>
        <w:t>541</w:t>
      </w:r>
      <w:r w:rsidRPr="00043A1E">
        <w:rPr>
          <w:rFonts w:ascii="Times Ext Roman" w:hAnsi="新細明體" w:cs="Times Ext Roman"/>
          <w:szCs w:val="22"/>
        </w:rPr>
        <w:t>：</w:t>
      </w:r>
    </w:p>
    <w:p w:rsidR="00157EF6" w:rsidRPr="00043A1E" w:rsidRDefault="00157EF6" w:rsidP="00AA120F">
      <w:pPr>
        <w:pStyle w:val="a5"/>
        <w:ind w:leftChars="335" w:left="804"/>
        <w:jc w:val="both"/>
        <w:rPr>
          <w:rFonts w:ascii="Times Ext Roman" w:eastAsia="標楷體" w:hAnsi="Times Ext Roman" w:cs="Times Ext Roman"/>
          <w:szCs w:val="22"/>
        </w:rPr>
      </w:pPr>
      <w:r w:rsidRPr="00043A1E">
        <w:rPr>
          <w:rFonts w:ascii="Times Ext Roman" w:eastAsia="標楷體" w:hAnsi="新細明體" w:cs="Times Ext Roman"/>
          <w:szCs w:val="22"/>
        </w:rPr>
        <w:t>外人以我為實有自體的，所以討論到過去有沒有，就困頓不通。不知道</w:t>
      </w:r>
      <w:r w:rsidRPr="00043A1E">
        <w:rPr>
          <w:rFonts w:ascii="Times Ext Roman" w:eastAsia="標楷體" w:hAnsi="新細明體" w:cs="Times Ext Roman"/>
          <w:b/>
          <w:szCs w:val="22"/>
        </w:rPr>
        <w:t>我是不離五蘊身而存在的，離了五蘊身就不可得</w:t>
      </w:r>
      <w:r>
        <w:rPr>
          <w:rFonts w:ascii="Times Ext Roman" w:eastAsia="標楷體" w:hAnsi="新細明體" w:cs="Times Ext Roman"/>
          <w:szCs w:val="22"/>
        </w:rPr>
        <w:t>，所以說</w:t>
      </w:r>
      <w:r w:rsidRPr="00043A1E">
        <w:rPr>
          <w:rFonts w:ascii="Times Ext Roman" w:eastAsia="標楷體" w:hAnsi="新細明體" w:cs="Times Ext Roman"/>
          <w:b/>
          <w:szCs w:val="22"/>
        </w:rPr>
        <w:t>「今我不離」五蘊身的「受」。我不離受，然而受蘊並不就是我，所以說「亦不但是受」</w:t>
      </w:r>
      <w:r w:rsidRPr="00043A1E">
        <w:rPr>
          <w:rFonts w:ascii="Times Ext Roman" w:eastAsia="標楷體" w:hAnsi="新細明體" w:cs="Times Ext Roman"/>
          <w:szCs w:val="22"/>
        </w:rPr>
        <w:t>。這就是說</w:t>
      </w:r>
      <w:r w:rsidRPr="00043A1E">
        <w:rPr>
          <w:rFonts w:ascii="Times Ext Roman" w:eastAsia="標楷體" w:hAnsi="新細明體" w:cs="Times Ext Roman"/>
          <w:b/>
          <w:szCs w:val="22"/>
        </w:rPr>
        <w:t>五蘊和合而有的我，是有緣起的假我；在世俗諦上，確是可以有的；不過勝義觀察自性，才不可得的。</w:t>
      </w:r>
      <w:r w:rsidRPr="00043A1E">
        <w:rPr>
          <w:rFonts w:ascii="Times Ext Roman" w:eastAsia="標楷體" w:hAnsi="新細明體" w:cs="Times Ext Roman"/>
          <w:szCs w:val="22"/>
        </w:rPr>
        <w:t>一切有部等，聽說依緣五蘊計我，以為我是主觀的行相顛倒，所緣的是五蘊而不是我。他並不了解緣起義，不了解有緣起假我，所以以為只有五蘊。本頌說亦不但是受，即是破除他的錯見。同樣的，五蘊等緣起的假有，說他空，不是沒有；所以受不離我，也不但是我。</w:t>
      </w:r>
      <w:r w:rsidRPr="00043A1E">
        <w:rPr>
          <w:rFonts w:ascii="Times Ext Roman" w:eastAsia="標楷體" w:hAnsi="新細明體" w:cs="Times Ext Roman"/>
          <w:b/>
          <w:szCs w:val="22"/>
        </w:rPr>
        <w:t>我與受，相互依存，不即不離，是緣起的，是假有的</w:t>
      </w:r>
      <w:r w:rsidRPr="00043A1E">
        <w:rPr>
          <w:rFonts w:ascii="Times Ext Roman" w:eastAsia="標楷體" w:hAnsi="新細明體" w:cs="Times Ext Roman"/>
          <w:szCs w:val="22"/>
        </w:rPr>
        <w:t>。所以說：</w:t>
      </w:r>
      <w:r w:rsidRPr="00043A1E">
        <w:rPr>
          <w:rFonts w:ascii="Times Ext Roman" w:eastAsia="標楷體" w:hAnsi="新細明體" w:cs="Times Ext Roman"/>
          <w:b/>
          <w:szCs w:val="22"/>
        </w:rPr>
        <w:t>「非」是「無」有「受」，也「非」是「無」有我，不過是求他的實體不可得罷了</w:t>
      </w:r>
      <w:r w:rsidRPr="00043A1E">
        <w:rPr>
          <w:rFonts w:ascii="Times Ext Roman" w:eastAsia="標楷體" w:hAnsi="新細明體" w:cs="Times Ext Roman"/>
          <w:szCs w:val="22"/>
        </w:rPr>
        <w:t>。如花瓶，是物質的泥土，經過了人工造作而有的。離了泥土，沒有花瓶；但花瓶也並不就是泥土。泥土是瓶因，也是不離瓶而有泥土，但並不就是瓶。</w:t>
      </w:r>
      <w:r w:rsidRPr="00043A1E">
        <w:rPr>
          <w:rFonts w:ascii="Times Ext Roman" w:eastAsia="標楷體" w:hAnsi="新細明體" w:cs="Times Ext Roman"/>
          <w:b/>
          <w:szCs w:val="22"/>
        </w:rPr>
        <w:t>依因而有的，不就是因，但求他的實體是不可得的。這緣起的基本義，也就是性空者所確見的因果「決定義」，緣起是這樣的。</w:t>
      </w:r>
      <w:r w:rsidRPr="00043A1E">
        <w:rPr>
          <w:rFonts w:ascii="Times Ext Roman" w:eastAsia="標楷體" w:hAnsi="新細明體" w:cs="Times Ext Roman"/>
          <w:szCs w:val="22"/>
        </w:rPr>
        <w:t>不理解，所以戲論紛紜。</w:t>
      </w:r>
    </w:p>
  </w:footnote>
  <w:footnote w:id="798">
    <w:p w:rsidR="00997AB7" w:rsidRPr="00997AB7" w:rsidRDefault="00157EF6" w:rsidP="00997AB7">
      <w:pPr>
        <w:pStyle w:val="a5"/>
        <w:spacing w:line="0" w:lineRule="atLeast"/>
        <w:ind w:left="253" w:hangingChars="115" w:hanging="253"/>
        <w:jc w:val="both"/>
        <w:rPr>
          <w:color w:val="FF0000"/>
          <w:szCs w:val="22"/>
          <w:highlight w:val="yellow"/>
        </w:rPr>
      </w:pPr>
      <w:r w:rsidRPr="00043A1E">
        <w:rPr>
          <w:rStyle w:val="a6"/>
          <w:szCs w:val="22"/>
        </w:rPr>
        <w:footnoteRef/>
      </w:r>
      <w:r w:rsidRPr="00043A1E">
        <w:rPr>
          <w:rFonts w:hint="eastAsia"/>
          <w:szCs w:val="22"/>
        </w:rPr>
        <w:t xml:space="preserve"> </w:t>
      </w:r>
      <w:r w:rsidR="00997AB7" w:rsidRPr="00997AB7">
        <w:rPr>
          <w:rFonts w:cs="細明體" w:hint="eastAsia"/>
          <w:color w:val="FF0000"/>
          <w:szCs w:val="22"/>
          <w:highlight w:val="yellow"/>
        </w:rPr>
        <w:t>（</w:t>
      </w:r>
      <w:r w:rsidR="00997AB7" w:rsidRPr="00997AB7">
        <w:rPr>
          <w:rFonts w:hint="eastAsia"/>
          <w:color w:val="FF0000"/>
          <w:szCs w:val="22"/>
          <w:highlight w:val="yellow"/>
        </w:rPr>
        <w:t>1</w:t>
      </w:r>
      <w:r w:rsidR="00997AB7" w:rsidRPr="00997AB7">
        <w:rPr>
          <w:rFonts w:cs="細明體" w:hint="eastAsia"/>
          <w:color w:val="FF0000"/>
          <w:szCs w:val="22"/>
          <w:highlight w:val="yellow"/>
        </w:rPr>
        <w:t>）《雜阿含經》（</w:t>
      </w:r>
      <w:r w:rsidR="00997AB7" w:rsidRPr="00997AB7">
        <w:rPr>
          <w:rFonts w:cs="細明體" w:hint="eastAsia"/>
          <w:color w:val="FF0000"/>
          <w:szCs w:val="22"/>
          <w:highlight w:val="yellow"/>
        </w:rPr>
        <w:t>288</w:t>
      </w:r>
      <w:r w:rsidR="00997AB7" w:rsidRPr="00997AB7">
        <w:rPr>
          <w:rFonts w:cs="細明體" w:hint="eastAsia"/>
          <w:color w:val="FF0000"/>
          <w:szCs w:val="22"/>
          <w:highlight w:val="yellow"/>
        </w:rPr>
        <w:t>經）卷</w:t>
      </w:r>
      <w:r w:rsidR="00997AB7" w:rsidRPr="00997AB7">
        <w:rPr>
          <w:rFonts w:cs="細明體"/>
          <w:color w:val="FF0000"/>
          <w:szCs w:val="22"/>
          <w:highlight w:val="yellow"/>
        </w:rPr>
        <w:t>12</w:t>
      </w:r>
      <w:r w:rsidR="00997AB7" w:rsidRPr="00997AB7">
        <w:rPr>
          <w:rFonts w:hint="eastAsia"/>
          <w:color w:val="FF0000"/>
          <w:szCs w:val="22"/>
          <w:highlight w:val="yellow"/>
        </w:rPr>
        <w:t>（大正</w:t>
      </w:r>
      <w:r w:rsidR="00997AB7" w:rsidRPr="00997AB7">
        <w:rPr>
          <w:rFonts w:cs="細明體"/>
          <w:color w:val="FF0000"/>
          <w:szCs w:val="22"/>
          <w:highlight w:val="yellow"/>
        </w:rPr>
        <w:t>2</w:t>
      </w:r>
      <w:r w:rsidR="00997AB7" w:rsidRPr="00997AB7">
        <w:rPr>
          <w:rFonts w:cs="細明體" w:hint="eastAsia"/>
          <w:color w:val="FF0000"/>
          <w:szCs w:val="22"/>
          <w:highlight w:val="yellow"/>
        </w:rPr>
        <w:t>，</w:t>
      </w:r>
      <w:r w:rsidR="00997AB7" w:rsidRPr="00997AB7">
        <w:rPr>
          <w:rFonts w:cs="細明體"/>
          <w:color w:val="FF0000"/>
          <w:szCs w:val="22"/>
          <w:highlight w:val="yellow"/>
        </w:rPr>
        <w:t>81a29-b8</w:t>
      </w:r>
      <w:r w:rsidR="00997AB7" w:rsidRPr="00997AB7">
        <w:rPr>
          <w:rFonts w:hint="eastAsia"/>
          <w:color w:val="FF0000"/>
          <w:szCs w:val="22"/>
          <w:highlight w:val="yellow"/>
        </w:rPr>
        <w:t>）</w:t>
      </w:r>
      <w:r w:rsidR="00997AB7" w:rsidRPr="00997AB7">
        <w:rPr>
          <w:color w:val="FF0000"/>
          <w:szCs w:val="22"/>
          <w:highlight w:val="yellow"/>
        </w:rPr>
        <w:t>：</w:t>
      </w:r>
    </w:p>
    <w:p w:rsidR="00997AB7" w:rsidRPr="00997AB7" w:rsidRDefault="00997AB7" w:rsidP="00997AB7">
      <w:pPr>
        <w:pStyle w:val="a5"/>
        <w:spacing w:line="0" w:lineRule="atLeast"/>
        <w:ind w:leftChars="300" w:left="720"/>
        <w:jc w:val="both"/>
        <w:rPr>
          <w:rFonts w:ascii="標楷體" w:eastAsia="標楷體" w:hAnsi="標楷體" w:cs="細明體"/>
          <w:color w:val="FF0000"/>
          <w:szCs w:val="22"/>
          <w:highlight w:val="yellow"/>
        </w:rPr>
      </w:pPr>
      <w:r w:rsidRPr="00997AB7">
        <w:rPr>
          <w:rFonts w:ascii="標楷體" w:eastAsia="標楷體" w:hAnsi="標楷體" w:cs="細明體" w:hint="eastAsia"/>
          <w:color w:val="FF0000"/>
          <w:szCs w:val="22"/>
          <w:highlight w:val="yellow"/>
        </w:rPr>
        <w:t>尊者舍利弗復問：「尊者摩訶拘絺羅！先言</w:t>
      </w:r>
      <w:r w:rsidRPr="00997AB7">
        <w:rPr>
          <w:rFonts w:ascii="標楷體" w:eastAsia="標楷體" w:hAnsi="標楷體" w:hint="eastAsia"/>
          <w:color w:val="FF0000"/>
          <w:szCs w:val="22"/>
          <w:highlight w:val="yellow"/>
        </w:rPr>
        <w:t>『</w:t>
      </w:r>
      <w:r w:rsidRPr="00997AB7">
        <w:rPr>
          <w:rFonts w:ascii="標楷體" w:eastAsia="標楷體" w:hAnsi="標楷體" w:cs="細明體" w:hint="eastAsia"/>
          <w:color w:val="FF0000"/>
          <w:szCs w:val="22"/>
          <w:highlight w:val="yellow"/>
        </w:rPr>
        <w:t>名色非自作、非他作、非自他作、非非自他作無因作，然彼名色緣識生</w:t>
      </w:r>
      <w:r w:rsidRPr="00997AB7">
        <w:rPr>
          <w:rFonts w:ascii="標楷體" w:eastAsia="標楷體" w:hAnsi="標楷體" w:hint="eastAsia"/>
          <w:color w:val="FF0000"/>
          <w:szCs w:val="22"/>
          <w:highlight w:val="yellow"/>
        </w:rPr>
        <w:t>』</w:t>
      </w:r>
      <w:r w:rsidRPr="00997AB7">
        <w:rPr>
          <w:rFonts w:ascii="標楷體" w:eastAsia="標楷體" w:hAnsi="標楷體" w:cs="細明體" w:hint="eastAsia"/>
          <w:color w:val="FF0000"/>
          <w:szCs w:val="22"/>
          <w:highlight w:val="yellow"/>
        </w:rPr>
        <w:t>，而今復言</w:t>
      </w:r>
      <w:r w:rsidRPr="00997AB7">
        <w:rPr>
          <w:rFonts w:ascii="標楷體" w:eastAsia="標楷體" w:hAnsi="標楷體" w:hint="eastAsia"/>
          <w:color w:val="FF0000"/>
          <w:szCs w:val="22"/>
          <w:highlight w:val="yellow"/>
        </w:rPr>
        <w:t>『</w:t>
      </w:r>
      <w:r w:rsidRPr="00997AB7">
        <w:rPr>
          <w:rFonts w:ascii="標楷體" w:eastAsia="標楷體" w:hAnsi="標楷體" w:cs="細明體" w:hint="eastAsia"/>
          <w:color w:val="FF0000"/>
          <w:szCs w:val="22"/>
          <w:highlight w:val="yellow"/>
        </w:rPr>
        <w:t>名色緣識</w:t>
      </w:r>
      <w:r w:rsidRPr="00997AB7">
        <w:rPr>
          <w:rFonts w:ascii="標楷體" w:eastAsia="標楷體" w:hAnsi="標楷體" w:hint="eastAsia"/>
          <w:color w:val="FF0000"/>
          <w:szCs w:val="22"/>
          <w:highlight w:val="yellow"/>
        </w:rPr>
        <w:t>』</w:t>
      </w:r>
      <w:r w:rsidRPr="00997AB7">
        <w:rPr>
          <w:rFonts w:ascii="標楷體" w:eastAsia="標楷體" w:hAnsi="標楷體" w:cs="細明體" w:hint="eastAsia"/>
          <w:color w:val="FF0000"/>
          <w:szCs w:val="22"/>
          <w:highlight w:val="yellow"/>
        </w:rPr>
        <w:t>，此義云何？」</w:t>
      </w:r>
    </w:p>
    <w:p w:rsidR="00997AB7" w:rsidRDefault="00997AB7" w:rsidP="00997AB7">
      <w:pPr>
        <w:pStyle w:val="a5"/>
        <w:spacing w:line="0" w:lineRule="atLeast"/>
        <w:ind w:leftChars="300" w:left="720"/>
        <w:jc w:val="both"/>
        <w:rPr>
          <w:rFonts w:cs="細明體"/>
          <w:szCs w:val="22"/>
        </w:rPr>
      </w:pPr>
      <w:r w:rsidRPr="00997AB7">
        <w:rPr>
          <w:rFonts w:ascii="標楷體" w:eastAsia="標楷體" w:hAnsi="標楷體" w:cs="細明體" w:hint="eastAsia"/>
          <w:color w:val="FF0000"/>
          <w:szCs w:val="22"/>
          <w:highlight w:val="yellow"/>
        </w:rPr>
        <w:t>尊者摩訶拘絺羅答言：「今當說譬如，智者因譬得解。譬如三蘆立於空地，展轉相依，而得竪立；若去其一，二亦不立；若去其二，一亦不立；展轉相依，而得竪立。識緣名色，亦復如是，展轉相依，而得生長。」</w:t>
      </w:r>
    </w:p>
    <w:p w:rsidR="00157EF6" w:rsidRPr="00043A1E" w:rsidRDefault="00997AB7" w:rsidP="00064CCA">
      <w:pPr>
        <w:pStyle w:val="a5"/>
        <w:ind w:leftChars="105" w:left="791" w:hangingChars="245" w:hanging="539"/>
        <w:jc w:val="both"/>
        <w:rPr>
          <w:szCs w:val="22"/>
        </w:rPr>
      </w:pPr>
      <w:r w:rsidRPr="00043A1E">
        <w:rPr>
          <w:rFonts w:ascii="Times Ext Roman" w:hAnsi="Times Ext Roman" w:cs="Times Ext Roman" w:hint="eastAsia"/>
          <w:szCs w:val="22"/>
        </w:rPr>
        <w:t>（</w:t>
      </w:r>
      <w:r w:rsidRPr="00761EF3">
        <w:rPr>
          <w:rFonts w:hint="eastAsia"/>
          <w:szCs w:val="22"/>
        </w:rPr>
        <w:t>2</w:t>
      </w:r>
      <w:r w:rsidRPr="00043A1E">
        <w:rPr>
          <w:rFonts w:ascii="Times Ext Roman" w:hAnsi="Times Ext Roman" w:cs="Times Ext Roman" w:hint="eastAsia"/>
          <w:szCs w:val="22"/>
        </w:rPr>
        <w:t>）</w:t>
      </w:r>
      <w:r w:rsidR="00157EF6" w:rsidRPr="00043A1E">
        <w:rPr>
          <w:szCs w:val="22"/>
        </w:rPr>
        <w:t>《瑜伽師地論》卷</w:t>
      </w:r>
      <w:r w:rsidR="00157EF6" w:rsidRPr="00761EF3">
        <w:rPr>
          <w:szCs w:val="22"/>
        </w:rPr>
        <w:t>93</w:t>
      </w:r>
      <w:r w:rsidR="00157EF6" w:rsidRPr="00043A1E">
        <w:rPr>
          <w:rFonts w:hint="eastAsia"/>
          <w:szCs w:val="22"/>
        </w:rPr>
        <w:t>（大正</w:t>
      </w:r>
      <w:r w:rsidR="00157EF6" w:rsidRPr="00761EF3">
        <w:rPr>
          <w:rFonts w:hint="eastAsia"/>
          <w:szCs w:val="22"/>
        </w:rPr>
        <w:t>30</w:t>
      </w:r>
      <w:r w:rsidR="00157EF6" w:rsidRPr="00043A1E">
        <w:rPr>
          <w:rFonts w:hint="eastAsia"/>
          <w:szCs w:val="22"/>
        </w:rPr>
        <w:t>，</w:t>
      </w:r>
      <w:r w:rsidR="00157EF6" w:rsidRPr="00761EF3">
        <w:rPr>
          <w:szCs w:val="22"/>
        </w:rPr>
        <w:t>827c23</w:t>
      </w:r>
      <w:r w:rsidR="00157EF6" w:rsidRPr="00043A1E">
        <w:rPr>
          <w:szCs w:val="22"/>
        </w:rPr>
        <w:t>-</w:t>
      </w:r>
      <w:r w:rsidR="00157EF6" w:rsidRPr="00761EF3">
        <w:rPr>
          <w:szCs w:val="22"/>
        </w:rPr>
        <w:t>24</w:t>
      </w:r>
      <w:r w:rsidR="00157EF6" w:rsidRPr="00043A1E">
        <w:rPr>
          <w:rFonts w:hint="eastAsia"/>
          <w:szCs w:val="22"/>
        </w:rPr>
        <w:t>）</w:t>
      </w:r>
      <w:r w:rsidR="00157EF6" w:rsidRPr="00043A1E">
        <w:rPr>
          <w:szCs w:val="22"/>
        </w:rPr>
        <w:t>：</w:t>
      </w:r>
    </w:p>
    <w:p w:rsidR="00157EF6" w:rsidRPr="00043A1E" w:rsidRDefault="00157EF6" w:rsidP="00064CCA">
      <w:pPr>
        <w:pStyle w:val="a5"/>
        <w:spacing w:line="0" w:lineRule="atLeast"/>
        <w:ind w:leftChars="300" w:left="720"/>
        <w:jc w:val="both"/>
        <w:rPr>
          <w:rFonts w:ascii="標楷體" w:eastAsia="標楷體" w:hAnsi="標楷體"/>
          <w:szCs w:val="22"/>
        </w:rPr>
      </w:pPr>
      <w:r w:rsidRPr="00043A1E">
        <w:rPr>
          <w:rFonts w:ascii="標楷體" w:eastAsia="標楷體" w:hAnsi="標楷體"/>
          <w:szCs w:val="22"/>
        </w:rPr>
        <w:t>識緣名色</w:t>
      </w:r>
      <w:r w:rsidRPr="00043A1E">
        <w:rPr>
          <w:rFonts w:ascii="標楷體" w:eastAsia="標楷體" w:hAnsi="標楷體" w:hint="eastAsia"/>
          <w:szCs w:val="22"/>
        </w:rPr>
        <w:t>，</w:t>
      </w:r>
      <w:r w:rsidRPr="00043A1E">
        <w:rPr>
          <w:rFonts w:ascii="標楷體" w:eastAsia="標楷體" w:hAnsi="標楷體"/>
          <w:szCs w:val="22"/>
        </w:rPr>
        <w:t>名色緣識</w:t>
      </w:r>
      <w:r w:rsidRPr="00043A1E">
        <w:rPr>
          <w:rFonts w:ascii="標楷體" w:eastAsia="標楷體" w:hAnsi="標楷體" w:hint="eastAsia"/>
          <w:szCs w:val="22"/>
        </w:rPr>
        <w:t>，</w:t>
      </w:r>
      <w:r w:rsidRPr="00043A1E">
        <w:rPr>
          <w:rFonts w:ascii="標楷體" w:eastAsia="標楷體" w:hAnsi="標楷體"/>
          <w:szCs w:val="22"/>
        </w:rPr>
        <w:t>於現在世</w:t>
      </w:r>
      <w:r w:rsidR="00997AB7">
        <w:rPr>
          <w:rFonts w:ascii="標楷體" w:eastAsia="標楷體" w:hAnsi="標楷體" w:hint="eastAsia"/>
          <w:color w:val="FF0000"/>
          <w:kern w:val="0"/>
          <w:highlight w:val="yellow"/>
        </w:rPr>
        <w:t>，</w:t>
      </w:r>
      <w:r w:rsidRPr="00043A1E">
        <w:rPr>
          <w:rFonts w:ascii="標楷體" w:eastAsia="標楷體" w:hAnsi="標楷體"/>
          <w:b/>
          <w:szCs w:val="22"/>
        </w:rPr>
        <w:t>猶如束蘆</w:t>
      </w:r>
      <w:r w:rsidRPr="00043A1E">
        <w:rPr>
          <w:rFonts w:ascii="標楷體" w:eastAsia="標楷體" w:hAnsi="標楷體" w:hint="eastAsia"/>
          <w:b/>
          <w:szCs w:val="22"/>
        </w:rPr>
        <w:t>，</w:t>
      </w:r>
      <w:r w:rsidRPr="00043A1E">
        <w:rPr>
          <w:rFonts w:ascii="標楷體" w:eastAsia="標楷體" w:hAnsi="標楷體"/>
          <w:b/>
          <w:szCs w:val="22"/>
        </w:rPr>
        <w:t>相依而轉</w:t>
      </w:r>
      <w:r w:rsidRPr="00043A1E">
        <w:rPr>
          <w:rFonts w:ascii="標楷體" w:eastAsia="標楷體" w:hAnsi="標楷體" w:hint="eastAsia"/>
          <w:szCs w:val="22"/>
        </w:rPr>
        <w:t>，</w:t>
      </w:r>
      <w:r w:rsidRPr="00043A1E">
        <w:rPr>
          <w:rFonts w:ascii="標楷體" w:eastAsia="標楷體" w:hAnsi="標楷體"/>
          <w:szCs w:val="22"/>
        </w:rPr>
        <w:t>乃至壽住如是。</w:t>
      </w:r>
    </w:p>
  </w:footnote>
  <w:footnote w:id="799">
    <w:p w:rsidR="00157EF6" w:rsidRPr="00043A1E" w:rsidRDefault="00157EF6" w:rsidP="00AA120F">
      <w:pPr>
        <w:pStyle w:val="a5"/>
        <w:spacing w:line="0" w:lineRule="atLeast"/>
        <w:ind w:left="792" w:hangingChars="360" w:hanging="792"/>
        <w:jc w:val="both"/>
        <w:rPr>
          <w:rFonts w:ascii="新細明體" w:hAnsi="新細明體" w:cs="細明體"/>
          <w:szCs w:val="22"/>
        </w:rPr>
      </w:pPr>
      <w:r w:rsidRPr="00043A1E">
        <w:rPr>
          <w:rStyle w:val="a6"/>
          <w:szCs w:val="22"/>
        </w:rPr>
        <w:footnoteRef/>
      </w:r>
      <w:r w:rsidRPr="00043A1E">
        <w:rPr>
          <w:rFonts w:cs="細明體" w:hint="eastAsia"/>
          <w:szCs w:val="22"/>
        </w:rPr>
        <w:t xml:space="preserve"> </w:t>
      </w:r>
      <w:r w:rsidRPr="00043A1E">
        <w:rPr>
          <w:rFonts w:cs="細明體" w:hint="eastAsia"/>
          <w:szCs w:val="22"/>
        </w:rPr>
        <w:t>（</w:t>
      </w:r>
      <w:r w:rsidRPr="00761EF3">
        <w:rPr>
          <w:rFonts w:hint="eastAsia"/>
          <w:szCs w:val="22"/>
        </w:rPr>
        <w:t>1</w:t>
      </w:r>
      <w:r w:rsidRPr="00043A1E">
        <w:rPr>
          <w:rFonts w:cs="細明體" w:hint="eastAsia"/>
          <w:szCs w:val="22"/>
        </w:rPr>
        <w:t>）《阿毘達磨大毘婆沙論》卷</w:t>
      </w:r>
      <w:r w:rsidRPr="00761EF3">
        <w:rPr>
          <w:rFonts w:hint="eastAsia"/>
          <w:szCs w:val="22"/>
        </w:rPr>
        <w:t>23</w:t>
      </w:r>
      <w:r w:rsidRPr="00043A1E">
        <w:rPr>
          <w:rFonts w:ascii="Times Ext Roman" w:hAnsi="Times Ext Roman" w:cs="Times Ext Roman"/>
          <w:szCs w:val="22"/>
        </w:rPr>
        <w:t>（</w:t>
      </w:r>
      <w:r w:rsidRPr="00043A1E">
        <w:rPr>
          <w:rFonts w:ascii="Times Ext Roman" w:hAnsi="新細明體" w:cs="Times Ext Roman"/>
          <w:szCs w:val="22"/>
        </w:rPr>
        <w:t>大正</w:t>
      </w:r>
      <w:r w:rsidRPr="00761EF3">
        <w:rPr>
          <w:rFonts w:hint="eastAsia"/>
          <w:szCs w:val="22"/>
        </w:rPr>
        <w:t>27</w:t>
      </w:r>
      <w:r w:rsidRPr="00043A1E">
        <w:rPr>
          <w:rFonts w:ascii="Times Ext Roman" w:hAnsi="新細明體" w:cs="Times Ext Roman"/>
          <w:szCs w:val="22"/>
        </w:rPr>
        <w:t>，</w:t>
      </w:r>
      <w:r w:rsidRPr="00761EF3">
        <w:rPr>
          <w:rFonts w:hint="eastAsia"/>
          <w:szCs w:val="22"/>
        </w:rPr>
        <w:t>118</w:t>
      </w:r>
      <w:r w:rsidRPr="00761EF3">
        <w:rPr>
          <w:szCs w:val="22"/>
        </w:rPr>
        <w:t>c</w:t>
      </w:r>
      <w:r w:rsidRPr="00761EF3">
        <w:rPr>
          <w:rFonts w:hint="eastAsia"/>
          <w:szCs w:val="22"/>
        </w:rPr>
        <w:t>6</w:t>
      </w:r>
      <w:r w:rsidRPr="00043A1E">
        <w:rPr>
          <w:szCs w:val="22"/>
        </w:rPr>
        <w:t>-</w:t>
      </w:r>
      <w:r w:rsidRPr="00761EF3">
        <w:rPr>
          <w:rFonts w:hint="eastAsia"/>
          <w:szCs w:val="22"/>
        </w:rPr>
        <w:t>17</w:t>
      </w:r>
      <w:r w:rsidRPr="00043A1E">
        <w:rPr>
          <w:rFonts w:ascii="Times Ext Roman" w:hAnsi="Times Ext Roman" w:cs="Times Ext Roman"/>
          <w:szCs w:val="22"/>
        </w:rPr>
        <w:t>）</w:t>
      </w:r>
      <w:r w:rsidRPr="00043A1E">
        <w:rPr>
          <w:rFonts w:ascii="新細明體" w:hAnsi="新細明體" w:cs="細明體" w:hint="eastAsia"/>
          <w:szCs w:val="22"/>
        </w:rPr>
        <w:t>：</w:t>
      </w:r>
    </w:p>
    <w:p w:rsidR="00157EF6" w:rsidRPr="00043A1E" w:rsidRDefault="00157EF6" w:rsidP="00AA120F">
      <w:pPr>
        <w:snapToGrid w:val="0"/>
        <w:ind w:leftChars="335" w:left="804"/>
        <w:jc w:val="both"/>
        <w:rPr>
          <w:rFonts w:ascii="標楷體" w:eastAsia="標楷體" w:hAnsi="標楷體" w:cs="細明體"/>
          <w:sz w:val="22"/>
          <w:szCs w:val="22"/>
        </w:rPr>
      </w:pPr>
      <w:r w:rsidRPr="00043A1E">
        <w:rPr>
          <w:rFonts w:ascii="標楷體" w:eastAsia="標楷體" w:hAnsi="標楷體" w:cs="細明體"/>
          <w:sz w:val="22"/>
          <w:szCs w:val="22"/>
        </w:rPr>
        <w:t>此中但說</w:t>
      </w:r>
      <w:r w:rsidR="00997AB7">
        <w:rPr>
          <w:rFonts w:ascii="標楷體" w:eastAsia="標楷體" w:hAnsi="標楷體" w:hint="eastAsia"/>
          <w:bCs/>
          <w:color w:val="FF0000"/>
          <w:kern w:val="0"/>
          <w:sz w:val="22"/>
          <w:highlight w:val="yellow"/>
        </w:rPr>
        <w:t>「</w:t>
      </w:r>
      <w:r w:rsidRPr="00043A1E">
        <w:rPr>
          <w:rFonts w:ascii="標楷體" w:eastAsia="標楷體" w:hAnsi="標楷體" w:cs="細明體"/>
          <w:b/>
          <w:sz w:val="22"/>
          <w:szCs w:val="22"/>
        </w:rPr>
        <w:t>時分緣起</w:t>
      </w:r>
      <w:r w:rsidR="00997AB7">
        <w:rPr>
          <w:rFonts w:ascii="標楷體" w:eastAsia="標楷體" w:hAnsi="標楷體" w:hint="eastAsia"/>
          <w:bCs/>
          <w:color w:val="FF0000"/>
          <w:kern w:val="0"/>
          <w:sz w:val="22"/>
          <w:highlight w:val="yellow"/>
        </w:rPr>
        <w:t>」</w:t>
      </w:r>
      <w:r w:rsidRPr="00043A1E">
        <w:rPr>
          <w:rFonts w:ascii="標楷體" w:eastAsia="標楷體" w:hAnsi="標楷體" w:cs="細明體" w:hint="eastAsia"/>
          <w:sz w:val="22"/>
          <w:szCs w:val="22"/>
        </w:rPr>
        <w:t>，</w:t>
      </w:r>
      <w:r w:rsidRPr="00043A1E">
        <w:rPr>
          <w:rFonts w:ascii="標楷體" w:eastAsia="標楷體" w:hAnsi="標楷體" w:cs="細明體"/>
          <w:b/>
          <w:sz w:val="22"/>
          <w:szCs w:val="22"/>
        </w:rPr>
        <w:t>謂十二位立十二支</w:t>
      </w:r>
      <w:r w:rsidRPr="00043A1E">
        <w:rPr>
          <w:rFonts w:ascii="標楷體" w:eastAsia="標楷體" w:hAnsi="標楷體" w:cs="細明體" w:hint="eastAsia"/>
          <w:b/>
          <w:sz w:val="22"/>
          <w:szCs w:val="22"/>
        </w:rPr>
        <w:t>，</w:t>
      </w:r>
      <w:r w:rsidRPr="00043A1E">
        <w:rPr>
          <w:rFonts w:ascii="標楷體" w:eastAsia="標楷體" w:hAnsi="標楷體" w:cs="細明體"/>
          <w:b/>
          <w:sz w:val="22"/>
          <w:szCs w:val="22"/>
        </w:rPr>
        <w:t>一一支中各具五蘊。</w:t>
      </w:r>
    </w:p>
    <w:p w:rsidR="00997AB7" w:rsidRDefault="00997AB7" w:rsidP="00AA120F">
      <w:pPr>
        <w:snapToGrid w:val="0"/>
        <w:ind w:leftChars="335" w:left="804"/>
        <w:jc w:val="both"/>
        <w:rPr>
          <w:rFonts w:ascii="標楷體" w:eastAsia="標楷體" w:hAnsi="標楷體"/>
          <w:color w:val="FF0000"/>
          <w:kern w:val="0"/>
          <w:sz w:val="22"/>
        </w:rPr>
      </w:pPr>
      <w:r w:rsidRPr="00997AB7">
        <w:rPr>
          <w:rFonts w:ascii="標楷體" w:eastAsia="標楷體" w:hAnsi="標楷體" w:cs="細明體" w:hint="eastAsia"/>
          <w:color w:val="FF0000"/>
          <w:sz w:val="22"/>
          <w:szCs w:val="22"/>
          <w:highlight w:val="yellow"/>
        </w:rPr>
        <w:t>尊者設摩達多</w:t>
      </w:r>
      <w:r w:rsidR="00157EF6" w:rsidRPr="00043A1E">
        <w:rPr>
          <w:rFonts w:ascii="標楷體" w:eastAsia="標楷體" w:hAnsi="標楷體" w:cs="細明體"/>
          <w:sz w:val="22"/>
          <w:szCs w:val="22"/>
        </w:rPr>
        <w:t>說曰</w:t>
      </w:r>
      <w:r w:rsidR="00157EF6" w:rsidRPr="00997AB7">
        <w:rPr>
          <w:rFonts w:ascii="標楷體" w:eastAsia="標楷體" w:hAnsi="標楷體" w:cs="細明體" w:hint="eastAsia"/>
          <w:sz w:val="22"/>
          <w:szCs w:val="22"/>
          <w:highlight w:val="yellow"/>
        </w:rPr>
        <w:t>：</w:t>
      </w:r>
      <w:r w:rsidR="00157EF6" w:rsidRPr="00997AB7">
        <w:rPr>
          <w:rFonts w:ascii="標楷體" w:eastAsia="標楷體" w:hAnsi="標楷體" w:cs="細明體"/>
          <w:sz w:val="22"/>
          <w:szCs w:val="22"/>
          <w:highlight w:val="yellow"/>
        </w:rPr>
        <w:t>一</w:t>
      </w:r>
      <w:r w:rsidR="00157EF6" w:rsidRPr="00043A1E">
        <w:rPr>
          <w:rFonts w:ascii="標楷體" w:eastAsia="標楷體" w:hAnsi="標楷體" w:cs="細明體"/>
          <w:sz w:val="22"/>
          <w:szCs w:val="22"/>
        </w:rPr>
        <w:t>剎那頃有十二支</w:t>
      </w:r>
      <w:r>
        <w:rPr>
          <w:rFonts w:ascii="標楷體" w:eastAsia="標楷體" w:hAnsi="標楷體" w:hint="eastAsia"/>
          <w:color w:val="FF0000"/>
          <w:kern w:val="0"/>
          <w:sz w:val="22"/>
          <w:highlight w:val="yellow"/>
        </w:rPr>
        <w:t>。</w:t>
      </w:r>
      <w:r w:rsidR="00157EF6" w:rsidRPr="00043A1E">
        <w:rPr>
          <w:rFonts w:ascii="標楷體" w:eastAsia="標楷體" w:hAnsi="標楷體" w:cs="細明體"/>
          <w:sz w:val="22"/>
          <w:szCs w:val="22"/>
        </w:rPr>
        <w:t>如</w:t>
      </w:r>
      <w:r>
        <w:rPr>
          <w:rFonts w:ascii="標楷體" w:eastAsia="標楷體" w:hAnsi="標楷體" w:hint="eastAsia"/>
          <w:color w:val="FF0000"/>
          <w:spacing w:val="-4"/>
          <w:kern w:val="0"/>
          <w:sz w:val="22"/>
          <w:highlight w:val="yellow"/>
        </w:rPr>
        <w:t>：</w:t>
      </w:r>
      <w:r w:rsidR="00157EF6" w:rsidRPr="00043A1E">
        <w:rPr>
          <w:rFonts w:ascii="標楷體" w:eastAsia="標楷體" w:hAnsi="標楷體" w:cs="細明體"/>
          <w:sz w:val="22"/>
          <w:szCs w:val="22"/>
        </w:rPr>
        <w:t>起貪心害眾生命</w:t>
      </w:r>
      <w:r>
        <w:rPr>
          <w:rFonts w:ascii="標楷體" w:eastAsia="標楷體" w:hAnsi="標楷體" w:hint="eastAsia"/>
          <w:color w:val="FF0000"/>
          <w:kern w:val="0"/>
          <w:sz w:val="22"/>
          <w:highlight w:val="yellow"/>
        </w:rPr>
        <w:t>──</w:t>
      </w:r>
      <w:r w:rsidR="00157EF6" w:rsidRPr="00043A1E">
        <w:rPr>
          <w:rFonts w:ascii="標楷體" w:eastAsia="標楷體" w:hAnsi="標楷體" w:cs="細明體"/>
          <w:sz w:val="22"/>
          <w:szCs w:val="22"/>
        </w:rPr>
        <w:t>此相應癡是</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sz w:val="22"/>
          <w:szCs w:val="22"/>
        </w:rPr>
        <w:t>無明</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hint="eastAsia"/>
          <w:sz w:val="22"/>
          <w:szCs w:val="22"/>
        </w:rPr>
        <w:t>，</w:t>
      </w:r>
      <w:r w:rsidR="00157EF6" w:rsidRPr="00043A1E">
        <w:rPr>
          <w:rFonts w:ascii="標楷體" w:eastAsia="標楷體" w:hAnsi="標楷體" w:cs="細明體"/>
          <w:sz w:val="22"/>
          <w:szCs w:val="22"/>
        </w:rPr>
        <w:t>此相應思是</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sz w:val="22"/>
          <w:szCs w:val="22"/>
        </w:rPr>
        <w:t>行</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hint="eastAsia"/>
          <w:sz w:val="22"/>
          <w:szCs w:val="22"/>
        </w:rPr>
        <w:t>，</w:t>
      </w:r>
      <w:r w:rsidR="00157EF6" w:rsidRPr="00043A1E">
        <w:rPr>
          <w:rFonts w:ascii="標楷體" w:eastAsia="標楷體" w:hAnsi="標楷體" w:cs="細明體"/>
          <w:sz w:val="22"/>
          <w:szCs w:val="22"/>
        </w:rPr>
        <w:t>此相應心是</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sz w:val="22"/>
          <w:szCs w:val="22"/>
        </w:rPr>
        <w:t>識</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hint="eastAsia"/>
          <w:sz w:val="22"/>
          <w:szCs w:val="22"/>
        </w:rPr>
        <w:t>，</w:t>
      </w:r>
      <w:r w:rsidR="00157EF6" w:rsidRPr="00043A1E">
        <w:rPr>
          <w:rFonts w:ascii="標楷體" w:eastAsia="標楷體" w:hAnsi="標楷體" w:cs="細明體"/>
          <w:sz w:val="22"/>
          <w:szCs w:val="22"/>
        </w:rPr>
        <w:t>起有表業必有俱時</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sz w:val="22"/>
          <w:szCs w:val="22"/>
        </w:rPr>
        <w:t>名色</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hint="eastAsia"/>
          <w:sz w:val="22"/>
          <w:szCs w:val="22"/>
        </w:rPr>
        <w:t>，</w:t>
      </w:r>
      <w:r w:rsidR="00157EF6" w:rsidRPr="00043A1E">
        <w:rPr>
          <w:rFonts w:ascii="標楷體" w:eastAsia="標楷體" w:hAnsi="標楷體" w:cs="細明體"/>
          <w:sz w:val="22"/>
          <w:szCs w:val="22"/>
        </w:rPr>
        <w:t>諸根共相伴助即是</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sz w:val="22"/>
          <w:szCs w:val="22"/>
        </w:rPr>
        <w:t>名色</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sz w:val="22"/>
          <w:szCs w:val="22"/>
        </w:rPr>
        <w:t>及與</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sz w:val="22"/>
          <w:szCs w:val="22"/>
        </w:rPr>
        <w:t>六處</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hint="eastAsia"/>
          <w:sz w:val="22"/>
          <w:szCs w:val="22"/>
        </w:rPr>
        <w:t>，</w:t>
      </w:r>
      <w:r w:rsidR="00157EF6" w:rsidRPr="00043A1E">
        <w:rPr>
          <w:rFonts w:ascii="標楷體" w:eastAsia="標楷體" w:hAnsi="標楷體" w:cs="細明體"/>
          <w:sz w:val="22"/>
          <w:szCs w:val="22"/>
        </w:rPr>
        <w:t>此相應觸是</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sz w:val="22"/>
          <w:szCs w:val="22"/>
        </w:rPr>
        <w:t>觸</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hint="eastAsia"/>
          <w:sz w:val="22"/>
          <w:szCs w:val="22"/>
        </w:rPr>
        <w:t>，</w:t>
      </w:r>
      <w:r w:rsidR="00157EF6" w:rsidRPr="00043A1E">
        <w:rPr>
          <w:rFonts w:ascii="標楷體" w:eastAsia="標楷體" w:hAnsi="標楷體" w:cs="細明體"/>
          <w:sz w:val="22"/>
          <w:szCs w:val="22"/>
        </w:rPr>
        <w:t>此相應受是</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sz w:val="22"/>
          <w:szCs w:val="22"/>
        </w:rPr>
        <w:t>受</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hint="eastAsia"/>
          <w:sz w:val="22"/>
          <w:szCs w:val="22"/>
        </w:rPr>
        <w:t>，</w:t>
      </w:r>
      <w:r w:rsidR="00157EF6" w:rsidRPr="00043A1E">
        <w:rPr>
          <w:rFonts w:ascii="標楷體" w:eastAsia="標楷體" w:hAnsi="標楷體" w:cs="細明體"/>
          <w:sz w:val="22"/>
          <w:szCs w:val="22"/>
        </w:rPr>
        <w:t>貪即是</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sz w:val="22"/>
          <w:szCs w:val="22"/>
        </w:rPr>
        <w:t>愛</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hint="eastAsia"/>
          <w:sz w:val="22"/>
          <w:szCs w:val="22"/>
        </w:rPr>
        <w:t>，</w:t>
      </w:r>
      <w:r w:rsidR="00157EF6" w:rsidRPr="00043A1E">
        <w:rPr>
          <w:rFonts w:ascii="標楷體" w:eastAsia="標楷體" w:hAnsi="標楷體" w:cs="細明體"/>
          <w:sz w:val="22"/>
          <w:szCs w:val="22"/>
        </w:rPr>
        <w:t>即此相應諸纏是</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sz w:val="22"/>
          <w:szCs w:val="22"/>
        </w:rPr>
        <w:t>取</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hint="eastAsia"/>
          <w:sz w:val="22"/>
          <w:szCs w:val="22"/>
        </w:rPr>
        <w:t>，</w:t>
      </w:r>
      <w:r w:rsidR="00157EF6" w:rsidRPr="00043A1E">
        <w:rPr>
          <w:rFonts w:ascii="標楷體" w:eastAsia="標楷體" w:hAnsi="標楷體" w:cs="細明體"/>
          <w:sz w:val="22"/>
          <w:szCs w:val="22"/>
        </w:rPr>
        <w:t>所起身語二業是</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sz w:val="22"/>
          <w:szCs w:val="22"/>
        </w:rPr>
        <w:t>有</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hint="eastAsia"/>
          <w:sz w:val="22"/>
          <w:szCs w:val="22"/>
        </w:rPr>
        <w:t>，</w:t>
      </w:r>
      <w:r w:rsidR="00157EF6" w:rsidRPr="00043A1E">
        <w:rPr>
          <w:rFonts w:ascii="標楷體" w:eastAsia="標楷體" w:hAnsi="標楷體" w:cs="細明體"/>
          <w:sz w:val="22"/>
          <w:szCs w:val="22"/>
        </w:rPr>
        <w:t>如是諸法起即是</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sz w:val="22"/>
          <w:szCs w:val="22"/>
        </w:rPr>
        <w:t>生</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hint="eastAsia"/>
          <w:sz w:val="22"/>
          <w:szCs w:val="22"/>
        </w:rPr>
        <w:t>，</w:t>
      </w:r>
      <w:r w:rsidR="00157EF6" w:rsidRPr="00043A1E">
        <w:rPr>
          <w:rFonts w:ascii="標楷體" w:eastAsia="標楷體" w:hAnsi="標楷體" w:cs="細明體"/>
          <w:sz w:val="22"/>
          <w:szCs w:val="22"/>
        </w:rPr>
        <w:t>熟變是</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sz w:val="22"/>
          <w:szCs w:val="22"/>
        </w:rPr>
        <w:t>老</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hint="eastAsia"/>
          <w:sz w:val="22"/>
          <w:szCs w:val="22"/>
        </w:rPr>
        <w:t>，</w:t>
      </w:r>
      <w:r w:rsidR="00157EF6" w:rsidRPr="00043A1E">
        <w:rPr>
          <w:rFonts w:ascii="標楷體" w:eastAsia="標楷體" w:hAnsi="標楷體" w:cs="細明體"/>
          <w:sz w:val="22"/>
          <w:szCs w:val="22"/>
        </w:rPr>
        <w:t>滅壞是</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sz w:val="22"/>
          <w:szCs w:val="22"/>
        </w:rPr>
        <w:t>死</w:t>
      </w:r>
      <w:r>
        <w:rPr>
          <w:rFonts w:ascii="標楷體" w:eastAsia="標楷體" w:hAnsi="標楷體" w:hint="eastAsia"/>
          <w:bCs/>
          <w:color w:val="FF0000"/>
          <w:kern w:val="0"/>
          <w:sz w:val="22"/>
          <w:highlight w:val="yellow"/>
        </w:rPr>
        <w:t>」</w:t>
      </w:r>
      <w:r>
        <w:rPr>
          <w:rFonts w:ascii="標楷體" w:eastAsia="標楷體" w:hAnsi="標楷體" w:hint="eastAsia"/>
          <w:color w:val="FF0000"/>
          <w:kern w:val="0"/>
          <w:sz w:val="22"/>
          <w:highlight w:val="yellow"/>
        </w:rPr>
        <w:t>。</w:t>
      </w:r>
    </w:p>
    <w:p w:rsidR="00157EF6" w:rsidRPr="00043A1E" w:rsidRDefault="00997AB7" w:rsidP="00AA120F">
      <w:pPr>
        <w:snapToGrid w:val="0"/>
        <w:ind w:leftChars="335" w:left="804"/>
        <w:jc w:val="both"/>
        <w:rPr>
          <w:rFonts w:ascii="標楷體" w:eastAsia="標楷體" w:hAnsi="標楷體" w:cs="細明體"/>
          <w:sz w:val="22"/>
          <w:szCs w:val="22"/>
        </w:rPr>
      </w:pPr>
      <w:r>
        <w:rPr>
          <w:rFonts w:ascii="標楷體" w:eastAsia="標楷體" w:hAnsi="標楷體" w:hint="eastAsia"/>
          <w:bCs/>
          <w:color w:val="FF0000"/>
          <w:kern w:val="0"/>
          <w:sz w:val="22"/>
          <w:highlight w:val="yellow"/>
        </w:rPr>
        <w:t>「</w:t>
      </w:r>
      <w:r>
        <w:rPr>
          <w:rFonts w:ascii="Times New Roman" w:eastAsia="標楷體" w:hAnsi="Times New Roman" w:hint="eastAsia"/>
          <w:color w:val="FF0000"/>
          <w:sz w:val="22"/>
          <w:szCs w:val="22"/>
          <w:highlight w:val="yellow"/>
        </w:rPr>
        <w:t>『</w:t>
      </w:r>
      <w:r w:rsidR="00157EF6" w:rsidRPr="00043A1E">
        <w:rPr>
          <w:rFonts w:ascii="標楷體" w:eastAsia="標楷體" w:hAnsi="標楷體" w:cs="細明體"/>
          <w:sz w:val="22"/>
          <w:szCs w:val="22"/>
        </w:rPr>
        <w:t>瞋</w:t>
      </w:r>
      <w:r>
        <w:rPr>
          <w:rFonts w:ascii="標楷體" w:eastAsia="標楷體" w:hAnsi="標楷體" w:hint="eastAsia"/>
          <w:color w:val="FF0000"/>
          <w:spacing w:val="-4"/>
          <w:kern w:val="0"/>
          <w:sz w:val="22"/>
          <w:highlight w:val="yellow"/>
        </w:rPr>
        <w:t>、</w:t>
      </w:r>
      <w:r w:rsidR="00157EF6" w:rsidRPr="00043A1E">
        <w:rPr>
          <w:rFonts w:ascii="標楷體" w:eastAsia="標楷體" w:hAnsi="標楷體" w:cs="細明體"/>
          <w:sz w:val="22"/>
          <w:szCs w:val="22"/>
        </w:rPr>
        <w:t>癡</w:t>
      </w:r>
      <w:r>
        <w:rPr>
          <w:rFonts w:ascii="Times New Roman" w:eastAsia="標楷體" w:hAnsi="Times New Roman" w:hint="eastAsia"/>
          <w:color w:val="FF0000"/>
          <w:sz w:val="22"/>
          <w:szCs w:val="22"/>
          <w:highlight w:val="yellow"/>
        </w:rPr>
        <w:t>』</w:t>
      </w:r>
      <w:r w:rsidR="00157EF6" w:rsidRPr="00043A1E">
        <w:rPr>
          <w:rFonts w:ascii="標楷體" w:eastAsia="標楷體" w:hAnsi="標楷體" w:cs="細明體"/>
          <w:sz w:val="22"/>
          <w:szCs w:val="22"/>
        </w:rPr>
        <w:t>心殺</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sz w:val="22"/>
          <w:szCs w:val="22"/>
        </w:rPr>
        <w:t>有十一支</w:t>
      </w:r>
      <w:r w:rsidR="00157EF6" w:rsidRPr="00043A1E">
        <w:rPr>
          <w:rFonts w:ascii="標楷體" w:eastAsia="標楷體" w:hAnsi="標楷體" w:cs="細明體" w:hint="eastAsia"/>
          <w:sz w:val="22"/>
          <w:szCs w:val="22"/>
        </w:rPr>
        <w:t>，</w:t>
      </w:r>
      <w:r w:rsidR="00157EF6" w:rsidRPr="00043A1E">
        <w:rPr>
          <w:rFonts w:ascii="標楷體" w:eastAsia="標楷體" w:hAnsi="標楷體" w:cs="細明體"/>
          <w:sz w:val="22"/>
          <w:szCs w:val="22"/>
        </w:rPr>
        <w:t>無</w:t>
      </w:r>
      <w:r>
        <w:rPr>
          <w:rFonts w:ascii="標楷體" w:eastAsia="標楷體" w:hAnsi="標楷體" w:hint="eastAsia"/>
          <w:bCs/>
          <w:color w:val="FF0000"/>
          <w:kern w:val="0"/>
          <w:sz w:val="22"/>
          <w:highlight w:val="yellow"/>
        </w:rPr>
        <w:t>「</w:t>
      </w:r>
      <w:r>
        <w:rPr>
          <w:rFonts w:ascii="Times New Roman" w:eastAsia="標楷體" w:hAnsi="Times New Roman" w:hint="eastAsia"/>
          <w:color w:val="FF0000"/>
          <w:sz w:val="22"/>
          <w:szCs w:val="22"/>
          <w:highlight w:val="yellow"/>
        </w:rPr>
        <w:t>『</w:t>
      </w:r>
      <w:r w:rsidRPr="00043A1E">
        <w:rPr>
          <w:rFonts w:ascii="標楷體" w:eastAsia="標楷體" w:hAnsi="標楷體" w:cs="細明體"/>
          <w:sz w:val="22"/>
          <w:szCs w:val="22"/>
        </w:rPr>
        <w:t>愛</w:t>
      </w:r>
      <w:r>
        <w:rPr>
          <w:rFonts w:ascii="Times New Roman" w:eastAsia="標楷體" w:hAnsi="Times New Roman" w:hint="eastAsia"/>
          <w:color w:val="FF0000"/>
          <w:sz w:val="22"/>
          <w:szCs w:val="22"/>
          <w:highlight w:val="yellow"/>
        </w:rPr>
        <w:t>』</w:t>
      </w:r>
      <w:r w:rsidR="00157EF6" w:rsidRPr="00043A1E">
        <w:rPr>
          <w:rFonts w:ascii="標楷體" w:eastAsia="標楷體" w:hAnsi="標楷體" w:cs="細明體"/>
          <w:sz w:val="22"/>
          <w:szCs w:val="22"/>
        </w:rPr>
        <w:t>支</w:t>
      </w:r>
      <w:r>
        <w:rPr>
          <w:rFonts w:ascii="標楷體" w:eastAsia="標楷體" w:hAnsi="標楷體" w:hint="eastAsia"/>
          <w:bCs/>
          <w:color w:val="FF0000"/>
          <w:kern w:val="0"/>
          <w:sz w:val="22"/>
          <w:highlight w:val="yellow"/>
        </w:rPr>
        <w:t>」</w:t>
      </w:r>
      <w:r w:rsidR="00157EF6" w:rsidRPr="00043A1E">
        <w:rPr>
          <w:rFonts w:ascii="標楷體" w:eastAsia="標楷體" w:hAnsi="標楷體" w:cs="細明體"/>
          <w:sz w:val="22"/>
          <w:szCs w:val="22"/>
        </w:rPr>
        <w:t>故。</w:t>
      </w:r>
    </w:p>
    <w:p w:rsidR="00157EF6" w:rsidRPr="00043A1E" w:rsidRDefault="00157EF6" w:rsidP="00AA120F">
      <w:pPr>
        <w:snapToGrid w:val="0"/>
        <w:ind w:leftChars="324" w:left="778"/>
        <w:jc w:val="both"/>
        <w:rPr>
          <w:rFonts w:ascii="Times Ext Roman" w:hAnsi="Times Ext Roman" w:cs="Times Ext Roman"/>
          <w:sz w:val="22"/>
          <w:szCs w:val="22"/>
        </w:rPr>
      </w:pPr>
      <w:r w:rsidRPr="00043A1E">
        <w:rPr>
          <w:rFonts w:ascii="標楷體" w:eastAsia="標楷體" w:hAnsi="標楷體" w:cs="細明體"/>
          <w:sz w:val="22"/>
          <w:szCs w:val="22"/>
        </w:rPr>
        <w:t>雖有此理</w:t>
      </w:r>
      <w:r w:rsidRPr="00043A1E">
        <w:rPr>
          <w:rFonts w:ascii="標楷體" w:eastAsia="標楷體" w:hAnsi="標楷體" w:cs="細明體" w:hint="eastAsia"/>
          <w:sz w:val="22"/>
          <w:szCs w:val="22"/>
        </w:rPr>
        <w:t>，</w:t>
      </w:r>
      <w:r w:rsidRPr="00043A1E">
        <w:rPr>
          <w:rFonts w:ascii="標楷體" w:eastAsia="標楷體" w:hAnsi="標楷體" w:cs="細明體"/>
          <w:sz w:val="22"/>
          <w:szCs w:val="22"/>
        </w:rPr>
        <w:t>而此中說</w:t>
      </w:r>
      <w:r w:rsidR="004276AF">
        <w:rPr>
          <w:rFonts w:ascii="標楷體" w:eastAsia="標楷體" w:hAnsi="標楷體" w:hint="eastAsia"/>
          <w:bCs/>
          <w:color w:val="FF0000"/>
          <w:kern w:val="0"/>
          <w:sz w:val="22"/>
          <w:highlight w:val="yellow"/>
        </w:rPr>
        <w:t>「</w:t>
      </w:r>
      <w:r w:rsidRPr="00043A1E">
        <w:rPr>
          <w:rFonts w:ascii="標楷體" w:eastAsia="標楷體" w:hAnsi="標楷體" w:cs="細明體"/>
          <w:b/>
          <w:sz w:val="22"/>
          <w:szCs w:val="22"/>
        </w:rPr>
        <w:t>時分緣起</w:t>
      </w:r>
      <w:r w:rsidR="004276AF">
        <w:rPr>
          <w:rFonts w:ascii="標楷體" w:eastAsia="標楷體" w:hAnsi="標楷體" w:hint="eastAsia"/>
          <w:bCs/>
          <w:color w:val="FF0000"/>
          <w:kern w:val="0"/>
          <w:sz w:val="22"/>
          <w:highlight w:val="yellow"/>
        </w:rPr>
        <w:t>」</w:t>
      </w:r>
      <w:r w:rsidRPr="00043A1E">
        <w:rPr>
          <w:rFonts w:ascii="標楷體" w:eastAsia="標楷體" w:hAnsi="標楷體" w:cs="細明體" w:hint="eastAsia"/>
          <w:sz w:val="22"/>
          <w:szCs w:val="22"/>
        </w:rPr>
        <w:t>，</w:t>
      </w:r>
      <w:r w:rsidRPr="00043A1E">
        <w:rPr>
          <w:rFonts w:ascii="標楷體" w:eastAsia="標楷體" w:hAnsi="標楷體" w:cs="細明體"/>
          <w:b/>
          <w:sz w:val="22"/>
          <w:szCs w:val="22"/>
        </w:rPr>
        <w:t>依十二位立十二支</w:t>
      </w:r>
      <w:r w:rsidRPr="00043A1E">
        <w:rPr>
          <w:rFonts w:ascii="標楷體" w:eastAsia="標楷體" w:hAnsi="標楷體" w:cs="細明體" w:hint="eastAsia"/>
          <w:b/>
          <w:sz w:val="22"/>
          <w:szCs w:val="22"/>
        </w:rPr>
        <w:t>，</w:t>
      </w:r>
      <w:r w:rsidRPr="00043A1E">
        <w:rPr>
          <w:rFonts w:ascii="標楷體" w:eastAsia="標楷體" w:hAnsi="標楷體" w:cs="細明體"/>
          <w:b/>
          <w:sz w:val="22"/>
          <w:szCs w:val="22"/>
        </w:rPr>
        <w:t>一一支中各具五蘊</w:t>
      </w:r>
      <w:r w:rsidRPr="00043A1E">
        <w:rPr>
          <w:rFonts w:ascii="標楷體" w:eastAsia="標楷體" w:hAnsi="標楷體" w:cs="細明體" w:hint="eastAsia"/>
          <w:sz w:val="22"/>
          <w:szCs w:val="22"/>
        </w:rPr>
        <w:t>，</w:t>
      </w:r>
      <w:r w:rsidRPr="00043A1E">
        <w:rPr>
          <w:rFonts w:ascii="標楷體" w:eastAsia="標楷體" w:hAnsi="標楷體" w:cs="細明體"/>
          <w:sz w:val="22"/>
          <w:szCs w:val="22"/>
        </w:rPr>
        <w:t>非剎那頃有十二支。</w:t>
      </w:r>
    </w:p>
    <w:p w:rsidR="00157EF6" w:rsidRPr="00043A1E" w:rsidRDefault="00157EF6" w:rsidP="00AA120F">
      <w:pPr>
        <w:pStyle w:val="a5"/>
        <w:ind w:leftChars="105" w:left="791" w:hangingChars="245" w:hanging="539"/>
        <w:jc w:val="both"/>
        <w:rPr>
          <w:rFonts w:ascii="Times Ext Roman" w:hAnsi="Times Ext Roman" w:cs="Times Ext Roman"/>
          <w:szCs w:val="22"/>
        </w:rPr>
      </w:pPr>
      <w:r w:rsidRPr="00043A1E">
        <w:rPr>
          <w:rFonts w:ascii="Times Ext Roman" w:hAnsi="Times Ext Roman" w:cs="Times Ext Roman" w:hint="eastAsia"/>
          <w:szCs w:val="22"/>
        </w:rPr>
        <w:t>（</w:t>
      </w:r>
      <w:r w:rsidRPr="00761EF3">
        <w:rPr>
          <w:rFonts w:hint="eastAsia"/>
          <w:szCs w:val="22"/>
        </w:rPr>
        <w:t>2</w:t>
      </w:r>
      <w:r w:rsidRPr="00043A1E">
        <w:rPr>
          <w:rFonts w:ascii="Times Ext Roman" w:hAnsi="Times Ext Roman" w:cs="Times Ext Roman" w:hint="eastAsia"/>
          <w:szCs w:val="22"/>
        </w:rPr>
        <w:t>）印順法師，《唯識學探源》，第</w:t>
      </w:r>
      <w:r w:rsidRPr="00761EF3">
        <w:rPr>
          <w:rFonts w:hint="eastAsia"/>
          <w:szCs w:val="22"/>
        </w:rPr>
        <w:t>1</w:t>
      </w:r>
      <w:r w:rsidRPr="00043A1E">
        <w:rPr>
          <w:rFonts w:ascii="Times Ext Roman" w:hAnsi="Times Ext Roman" w:cs="Times Ext Roman" w:hint="eastAsia"/>
          <w:szCs w:val="22"/>
        </w:rPr>
        <w:t>章，第</w:t>
      </w:r>
      <w:r w:rsidRPr="00761EF3">
        <w:rPr>
          <w:rFonts w:hint="eastAsia"/>
          <w:szCs w:val="22"/>
        </w:rPr>
        <w:t>3</w:t>
      </w:r>
      <w:r w:rsidRPr="00043A1E">
        <w:rPr>
          <w:rFonts w:ascii="Times Ext Roman" w:hAnsi="Times Ext Roman" w:cs="Times Ext Roman" w:hint="eastAsia"/>
          <w:szCs w:val="22"/>
        </w:rPr>
        <w:t>節〈緣起的解釋〉，</w:t>
      </w:r>
      <w:r w:rsidRPr="00761EF3">
        <w:rPr>
          <w:rFonts w:hint="eastAsia"/>
          <w:szCs w:val="22"/>
        </w:rPr>
        <w:t>pp</w:t>
      </w:r>
      <w:r w:rsidRPr="00043A1E">
        <w:rPr>
          <w:rFonts w:hint="eastAsia"/>
          <w:szCs w:val="22"/>
        </w:rPr>
        <w:t>.</w:t>
      </w:r>
      <w:r w:rsidRPr="00761EF3">
        <w:rPr>
          <w:rFonts w:hint="eastAsia"/>
          <w:szCs w:val="22"/>
        </w:rPr>
        <w:t>10</w:t>
      </w:r>
      <w:r w:rsidRPr="00043A1E">
        <w:rPr>
          <w:rFonts w:hint="eastAsia"/>
          <w:szCs w:val="22"/>
        </w:rPr>
        <w:t>-</w:t>
      </w:r>
      <w:r w:rsidRPr="00761EF3">
        <w:rPr>
          <w:rFonts w:hint="eastAsia"/>
          <w:szCs w:val="22"/>
        </w:rPr>
        <w:t>28</w:t>
      </w:r>
      <w:r w:rsidRPr="00043A1E">
        <w:rPr>
          <w:rFonts w:ascii="Times Ext Roman" w:hAnsi="Times Ext Roman" w:cs="Times Ext Roman" w:hint="eastAsia"/>
          <w:szCs w:val="22"/>
        </w:rPr>
        <w:t>。</w:t>
      </w:r>
    </w:p>
  </w:footnote>
  <w:footnote w:id="800">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深隱：深奧隱晦，不易理解。</w:t>
      </w:r>
      <w:r w:rsidRPr="00043A1E">
        <w:rPr>
          <w:szCs w:val="22"/>
        </w:rPr>
        <w:t>（《漢語大詞典》（</w:t>
      </w:r>
      <w:r w:rsidRPr="00043A1E">
        <w:rPr>
          <w:rFonts w:hint="eastAsia"/>
          <w:szCs w:val="22"/>
        </w:rPr>
        <w:t>五</w:t>
      </w:r>
      <w:r w:rsidRPr="00043A1E">
        <w:rPr>
          <w:szCs w:val="22"/>
        </w:rPr>
        <w:t>）</w:t>
      </w:r>
      <w:r w:rsidRPr="00043A1E">
        <w:rPr>
          <w:rFonts w:ascii="Times Ext Roman" w:hAnsi="新細明體" w:cs="Times Ext Roman" w:hint="eastAsia"/>
          <w:szCs w:val="22"/>
        </w:rPr>
        <w:t>，</w:t>
      </w:r>
      <w:r w:rsidRPr="00761EF3">
        <w:rPr>
          <w:szCs w:val="22"/>
        </w:rPr>
        <w:t>p</w:t>
      </w:r>
      <w:r w:rsidRPr="00043A1E">
        <w:rPr>
          <w:szCs w:val="22"/>
        </w:rPr>
        <w:t>.</w:t>
      </w:r>
      <w:r w:rsidRPr="00761EF3">
        <w:rPr>
          <w:rFonts w:hint="eastAsia"/>
          <w:szCs w:val="22"/>
        </w:rPr>
        <w:t>1433</w:t>
      </w:r>
      <w:r w:rsidRPr="00043A1E">
        <w:rPr>
          <w:szCs w:val="22"/>
        </w:rPr>
        <w:t>）</w:t>
      </w:r>
    </w:p>
  </w:footnote>
  <w:footnote w:id="801">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原質：引申指基本要素。</w:t>
      </w:r>
      <w:r w:rsidRPr="00043A1E">
        <w:rPr>
          <w:szCs w:val="22"/>
        </w:rPr>
        <w:t>（《漢語大詞典》（</w:t>
      </w:r>
      <w:r w:rsidRPr="00043A1E">
        <w:rPr>
          <w:rFonts w:hint="eastAsia"/>
          <w:szCs w:val="22"/>
        </w:rPr>
        <w:t>一</w:t>
      </w:r>
      <w:r w:rsidRPr="00043A1E">
        <w:rPr>
          <w:szCs w:val="22"/>
        </w:rPr>
        <w:t>）</w:t>
      </w:r>
      <w:r w:rsidRPr="00043A1E">
        <w:rPr>
          <w:rFonts w:ascii="Times Ext Roman" w:hAnsi="新細明體" w:cs="Times Ext Roman" w:hint="eastAsia"/>
          <w:szCs w:val="22"/>
        </w:rPr>
        <w:t>，</w:t>
      </w:r>
      <w:r w:rsidRPr="00761EF3">
        <w:rPr>
          <w:szCs w:val="22"/>
        </w:rPr>
        <w:t>p</w:t>
      </w:r>
      <w:r w:rsidRPr="00043A1E">
        <w:rPr>
          <w:szCs w:val="22"/>
        </w:rPr>
        <w:t>.</w:t>
      </w:r>
      <w:r w:rsidRPr="00761EF3">
        <w:rPr>
          <w:rFonts w:hint="eastAsia"/>
          <w:szCs w:val="22"/>
        </w:rPr>
        <w:t>934</w:t>
      </w:r>
      <w:r w:rsidRPr="00043A1E">
        <w:rPr>
          <w:szCs w:val="22"/>
        </w:rPr>
        <w:t>）</w:t>
      </w:r>
    </w:p>
  </w:footnote>
  <w:footnote w:id="802">
    <w:p w:rsidR="00DB66B9" w:rsidRDefault="00DB66B9" w:rsidP="00DB66B9">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cs="細明體" w:hint="eastAsia"/>
          <w:szCs w:val="22"/>
        </w:rPr>
        <w:t>（</w:t>
      </w:r>
      <w:r w:rsidRPr="00761EF3">
        <w:rPr>
          <w:rFonts w:hint="eastAsia"/>
          <w:szCs w:val="22"/>
        </w:rPr>
        <w:t>1</w:t>
      </w:r>
      <w:r w:rsidRPr="00043A1E">
        <w:rPr>
          <w:rFonts w:cs="細明體" w:hint="eastAsia"/>
          <w:szCs w:val="22"/>
        </w:rPr>
        <w:t>）</w:t>
      </w:r>
      <w:r w:rsidRPr="00043A1E">
        <w:rPr>
          <w:rFonts w:ascii="Times Ext Roman" w:hAnsi="新細明體" w:cs="Times Ext Roman" w:hint="eastAsia"/>
          <w:szCs w:val="22"/>
        </w:rPr>
        <w:t>《中論》卷</w:t>
      </w:r>
      <w:r w:rsidRPr="00761EF3">
        <w:rPr>
          <w:rFonts w:hint="eastAsia"/>
          <w:szCs w:val="22"/>
        </w:rPr>
        <w:t>1</w:t>
      </w:r>
      <w:r w:rsidRPr="00043A1E">
        <w:rPr>
          <w:rFonts w:ascii="Times Ext Roman" w:hAnsi="新細明體" w:cs="Times Ext Roman" w:hint="eastAsia"/>
          <w:szCs w:val="22"/>
        </w:rPr>
        <w:t>〈</w:t>
      </w:r>
      <w:r w:rsidRPr="00761EF3">
        <w:rPr>
          <w:rFonts w:hint="eastAsia"/>
          <w:szCs w:val="22"/>
        </w:rPr>
        <w:t>1</w:t>
      </w:r>
      <w:r w:rsidRPr="00043A1E">
        <w:rPr>
          <w:rFonts w:hint="eastAsia"/>
          <w:szCs w:val="22"/>
        </w:rPr>
        <w:t xml:space="preserve"> </w:t>
      </w:r>
      <w:r w:rsidRPr="00043A1E">
        <w:rPr>
          <w:rFonts w:ascii="Times Ext Roman" w:hAnsi="新細明體" w:cs="Times Ext Roman" w:hint="eastAsia"/>
          <w:szCs w:val="22"/>
        </w:rPr>
        <w:t>觀因緣品〉</w:t>
      </w:r>
      <w:r w:rsidRPr="00043A1E">
        <w:rPr>
          <w:rFonts w:ascii="Times Ext Roman" w:hAnsi="Times Ext Roman" w:cs="Times Ext Roman"/>
          <w:szCs w:val="22"/>
        </w:rPr>
        <w:t>（</w:t>
      </w:r>
      <w:r w:rsidRPr="00043A1E">
        <w:rPr>
          <w:rFonts w:ascii="Times Ext Roman" w:hAnsi="新細明體" w:cs="Times Ext Roman"/>
          <w:szCs w:val="22"/>
        </w:rPr>
        <w:t>大正</w:t>
      </w:r>
      <w:r w:rsidRPr="00761EF3">
        <w:rPr>
          <w:szCs w:val="22"/>
        </w:rPr>
        <w:t>30</w:t>
      </w:r>
      <w:r w:rsidRPr="00043A1E">
        <w:rPr>
          <w:szCs w:val="22"/>
        </w:rPr>
        <w:t>，</w:t>
      </w:r>
      <w:r w:rsidRPr="00761EF3">
        <w:rPr>
          <w:szCs w:val="22"/>
        </w:rPr>
        <w:t>1b14</w:t>
      </w:r>
      <w:r w:rsidRPr="00043A1E">
        <w:rPr>
          <w:szCs w:val="22"/>
        </w:rPr>
        <w:t>-</w:t>
      </w:r>
      <w:r w:rsidRPr="00761EF3">
        <w:rPr>
          <w:szCs w:val="22"/>
        </w:rPr>
        <w:t>3c4</w:t>
      </w:r>
      <w:r w:rsidRPr="00043A1E">
        <w:rPr>
          <w:szCs w:val="22"/>
        </w:rPr>
        <w:t>）。</w:t>
      </w:r>
    </w:p>
    <w:p w:rsidR="00DB66B9" w:rsidRPr="00043A1E" w:rsidRDefault="00DB66B9" w:rsidP="00DB66B9">
      <w:pPr>
        <w:pStyle w:val="a5"/>
        <w:ind w:leftChars="105" w:left="791" w:hangingChars="245" w:hanging="539"/>
        <w:jc w:val="both"/>
        <w:rPr>
          <w:rFonts w:ascii="Times Ext Roman" w:hAnsi="Times Ext Roman" w:cs="Times Ext Roman"/>
          <w:szCs w:val="22"/>
        </w:rPr>
      </w:pPr>
      <w:r w:rsidRPr="00043A1E">
        <w:rPr>
          <w:rFonts w:ascii="Times Ext Roman" w:hAnsi="Times Ext Roman" w:cs="Times Ext Roman" w:hint="eastAsia"/>
          <w:szCs w:val="22"/>
        </w:rPr>
        <w:t>（</w:t>
      </w:r>
      <w:r w:rsidRPr="00761EF3">
        <w:rPr>
          <w:rFonts w:hint="eastAsia"/>
          <w:szCs w:val="22"/>
        </w:rPr>
        <w:t>2</w:t>
      </w:r>
      <w:r w:rsidRPr="00043A1E">
        <w:rPr>
          <w:rFonts w:ascii="Times Ext Roman" w:hAnsi="Times Ext Roman" w:cs="Times Ext Roman" w:hint="eastAsia"/>
          <w:szCs w:val="22"/>
        </w:rPr>
        <w:t>）</w:t>
      </w:r>
      <w:r w:rsidRPr="00043A1E">
        <w:rPr>
          <w:szCs w:val="22"/>
        </w:rPr>
        <w:t>《中論》卷</w:t>
      </w:r>
      <w:r w:rsidRPr="00761EF3">
        <w:rPr>
          <w:szCs w:val="22"/>
        </w:rPr>
        <w:t>3</w:t>
      </w:r>
      <w:r w:rsidRPr="00043A1E">
        <w:rPr>
          <w:szCs w:val="22"/>
        </w:rPr>
        <w:t>〈</w:t>
      </w:r>
      <w:r w:rsidRPr="00761EF3">
        <w:rPr>
          <w:szCs w:val="22"/>
        </w:rPr>
        <w:t>20</w:t>
      </w:r>
      <w:r w:rsidRPr="00043A1E">
        <w:rPr>
          <w:szCs w:val="22"/>
        </w:rPr>
        <w:t xml:space="preserve"> </w:t>
      </w:r>
      <w:r w:rsidRPr="00043A1E">
        <w:rPr>
          <w:szCs w:val="22"/>
        </w:rPr>
        <w:t>觀因果品〉（大正</w:t>
      </w:r>
      <w:r w:rsidRPr="00761EF3">
        <w:rPr>
          <w:szCs w:val="22"/>
        </w:rPr>
        <w:t>30</w:t>
      </w:r>
      <w:r w:rsidRPr="00043A1E">
        <w:rPr>
          <w:szCs w:val="22"/>
        </w:rPr>
        <w:t>，</w:t>
      </w:r>
      <w:r w:rsidRPr="00761EF3">
        <w:rPr>
          <w:szCs w:val="22"/>
        </w:rPr>
        <w:t>26b1</w:t>
      </w:r>
      <w:r w:rsidRPr="00043A1E">
        <w:rPr>
          <w:szCs w:val="22"/>
        </w:rPr>
        <w:t>-</w:t>
      </w:r>
      <w:r w:rsidRPr="00761EF3">
        <w:rPr>
          <w:szCs w:val="22"/>
        </w:rPr>
        <w:t>27c10</w:t>
      </w:r>
      <w:r w:rsidRPr="00043A1E">
        <w:rPr>
          <w:szCs w:val="22"/>
        </w:rPr>
        <w:t>）</w:t>
      </w:r>
      <w:r w:rsidRPr="00043A1E">
        <w:rPr>
          <w:rFonts w:ascii="Times Ext Roman" w:hAnsi="Times Ext Roman" w:cs="Times Ext Roman" w:hint="eastAsia"/>
          <w:szCs w:val="22"/>
        </w:rPr>
        <w:t>。</w:t>
      </w:r>
    </w:p>
  </w:footnote>
  <w:footnote w:id="803">
    <w:p w:rsidR="00157EF6" w:rsidRPr="00043A1E" w:rsidRDefault="00157EF6" w:rsidP="00AA120F">
      <w:pPr>
        <w:pStyle w:val="a5"/>
        <w:spacing w:line="0" w:lineRule="atLeast"/>
        <w:ind w:left="792" w:hangingChars="360" w:hanging="792"/>
        <w:jc w:val="both"/>
        <w:rPr>
          <w:rFonts w:ascii="Times Ext Roman" w:hAnsi="新細明體" w:cs="Times Ext Roman"/>
          <w:szCs w:val="22"/>
        </w:rPr>
      </w:pPr>
      <w:r w:rsidRPr="00043A1E">
        <w:rPr>
          <w:rStyle w:val="a6"/>
          <w:szCs w:val="22"/>
        </w:rPr>
        <w:footnoteRef/>
      </w:r>
      <w:r w:rsidRPr="00043A1E">
        <w:rPr>
          <w:rFonts w:ascii="Times Ext Roman" w:hAnsi="Times Ext Roman" w:cs="Times Ext Roman" w:hint="eastAsia"/>
          <w:szCs w:val="22"/>
        </w:rPr>
        <w:t xml:space="preserve"> </w:t>
      </w:r>
      <w:r w:rsidRPr="00043A1E">
        <w:rPr>
          <w:rFonts w:ascii="Times Ext Roman" w:hAnsi="Times Ext Roman" w:cs="Times Ext Roman"/>
          <w:szCs w:val="22"/>
        </w:rPr>
        <w:t>（</w:t>
      </w:r>
      <w:r w:rsidRPr="00761EF3">
        <w:rPr>
          <w:szCs w:val="22"/>
        </w:rPr>
        <w:t>1</w:t>
      </w:r>
      <w:r w:rsidRPr="00043A1E">
        <w:rPr>
          <w:rFonts w:ascii="Times Ext Roman" w:hAnsi="Times Ext Roman" w:cs="Times Ext Roman"/>
          <w:szCs w:val="22"/>
        </w:rPr>
        <w:t>）</w:t>
      </w:r>
      <w:r w:rsidRPr="00043A1E">
        <w:rPr>
          <w:rFonts w:ascii="Times Ext Roman" w:hAnsi="新細明體" w:cs="Times Ext Roman"/>
          <w:szCs w:val="22"/>
        </w:rPr>
        <w:t>《摩訶般若波羅蜜經》卷</w:t>
      </w:r>
      <w:r w:rsidRPr="00761EF3">
        <w:rPr>
          <w:szCs w:val="22"/>
        </w:rPr>
        <w:t>2</w:t>
      </w:r>
      <w:r w:rsidRPr="00043A1E">
        <w:rPr>
          <w:rFonts w:ascii="Times Ext Roman" w:hAnsi="Times Ext Roman" w:cs="Times Ext Roman" w:hint="eastAsia"/>
          <w:szCs w:val="22"/>
        </w:rPr>
        <w:t>〈</w:t>
      </w:r>
      <w:r w:rsidRPr="00761EF3">
        <w:rPr>
          <w:rFonts w:hint="eastAsia"/>
          <w:szCs w:val="22"/>
        </w:rPr>
        <w:t>7</w:t>
      </w:r>
      <w:r w:rsidRPr="00043A1E">
        <w:rPr>
          <w:rFonts w:hint="eastAsia"/>
          <w:szCs w:val="22"/>
        </w:rPr>
        <w:t xml:space="preserve"> </w:t>
      </w:r>
      <w:r w:rsidRPr="00043A1E">
        <w:rPr>
          <w:rFonts w:ascii="Times Ext Roman" w:hAnsi="Times Ext Roman" w:cs="Times Ext Roman" w:hint="eastAsia"/>
          <w:szCs w:val="22"/>
        </w:rPr>
        <w:t>三假品〉</w:t>
      </w:r>
      <w:r w:rsidRPr="00043A1E">
        <w:rPr>
          <w:rFonts w:ascii="Times Ext Roman" w:hAnsi="Times Ext Roman" w:cs="Times Ext Roman"/>
          <w:szCs w:val="22"/>
        </w:rPr>
        <w:t>（</w:t>
      </w:r>
      <w:r w:rsidRPr="00043A1E">
        <w:rPr>
          <w:rFonts w:ascii="Times Ext Roman" w:hAnsi="新細明體" w:cs="Times Ext Roman"/>
          <w:szCs w:val="22"/>
        </w:rPr>
        <w:t>大正</w:t>
      </w:r>
      <w:r w:rsidRPr="00761EF3">
        <w:rPr>
          <w:szCs w:val="22"/>
        </w:rPr>
        <w:t>8</w:t>
      </w:r>
      <w:r w:rsidRPr="00043A1E">
        <w:rPr>
          <w:rFonts w:ascii="Times Ext Roman" w:hAnsi="新細明體" w:cs="Times Ext Roman"/>
          <w:szCs w:val="22"/>
        </w:rPr>
        <w:t>，</w:t>
      </w:r>
      <w:r w:rsidRPr="00761EF3">
        <w:rPr>
          <w:szCs w:val="22"/>
        </w:rPr>
        <w:t>230c28</w:t>
      </w:r>
      <w:r w:rsidRPr="00043A1E">
        <w:rPr>
          <w:szCs w:val="22"/>
        </w:rPr>
        <w:t>-</w:t>
      </w:r>
      <w:r w:rsidRPr="00761EF3">
        <w:rPr>
          <w:szCs w:val="22"/>
        </w:rPr>
        <w:t>231a21</w:t>
      </w:r>
      <w:r w:rsidRPr="00043A1E">
        <w:rPr>
          <w:rFonts w:ascii="Times Ext Roman" w:hAnsi="Times Ext Roman" w:cs="Times Ext Roman"/>
          <w:szCs w:val="22"/>
        </w:rPr>
        <w:t>）</w:t>
      </w:r>
      <w:r w:rsidRPr="00043A1E">
        <w:rPr>
          <w:rFonts w:ascii="Times Ext Roman" w:hAnsi="新細明體" w:cs="Times Ext Roman"/>
          <w:szCs w:val="22"/>
        </w:rPr>
        <w:t>：</w:t>
      </w:r>
    </w:p>
    <w:p w:rsidR="00157EF6" w:rsidRPr="00043A1E" w:rsidRDefault="00157EF6" w:rsidP="00AA120F">
      <w:pPr>
        <w:pStyle w:val="a5"/>
        <w:ind w:leftChars="335" w:left="804"/>
        <w:jc w:val="both"/>
        <w:rPr>
          <w:rFonts w:ascii="Times Ext Roman" w:hAnsi="Times Ext Roman" w:cs="Times Ext Roman"/>
          <w:szCs w:val="22"/>
        </w:rPr>
      </w:pPr>
      <w:r w:rsidRPr="00043A1E">
        <w:rPr>
          <w:rFonts w:ascii="標楷體" w:eastAsia="標楷體" w:hAnsi="標楷體" w:cs="Times Ext Roman"/>
          <w:szCs w:val="22"/>
        </w:rPr>
        <w:t>般若波羅蜜亦但有名字，名為</w:t>
      </w:r>
      <w:r w:rsidR="004276AF">
        <w:rPr>
          <w:rFonts w:ascii="標楷體" w:eastAsia="標楷體" w:hAnsi="標楷體" w:hint="eastAsia"/>
          <w:bCs/>
          <w:color w:val="FF0000"/>
          <w:kern w:val="0"/>
          <w:highlight w:val="yellow"/>
        </w:rPr>
        <w:t>「</w:t>
      </w:r>
      <w:r w:rsidRPr="00043A1E">
        <w:rPr>
          <w:rFonts w:ascii="標楷體" w:eastAsia="標楷體" w:hAnsi="標楷體" w:cs="Times Ext Roman"/>
          <w:szCs w:val="22"/>
        </w:rPr>
        <w:t>般若波羅蜜</w:t>
      </w:r>
      <w:r w:rsidR="004276AF">
        <w:rPr>
          <w:rFonts w:ascii="標楷體" w:eastAsia="標楷體" w:hAnsi="標楷體" w:hint="eastAsia"/>
          <w:bCs/>
          <w:color w:val="FF0000"/>
          <w:kern w:val="0"/>
          <w:highlight w:val="yellow"/>
        </w:rPr>
        <w:t>」</w:t>
      </w:r>
      <w:r w:rsidRPr="00043A1E">
        <w:rPr>
          <w:rFonts w:ascii="標楷體" w:eastAsia="標楷體" w:hAnsi="標楷體" w:cs="Times Ext Roman"/>
          <w:szCs w:val="22"/>
        </w:rPr>
        <w:t>。菩薩</w:t>
      </w:r>
      <w:r w:rsidRPr="00043A1E">
        <w:rPr>
          <w:rFonts w:ascii="標楷體" w:eastAsia="標楷體" w:hAnsi="標楷體" w:cs="Times Ext Roman" w:hint="eastAsia"/>
          <w:szCs w:val="22"/>
        </w:rPr>
        <w:t>、</w:t>
      </w:r>
      <w:r w:rsidRPr="00043A1E">
        <w:rPr>
          <w:rFonts w:ascii="標楷體" w:eastAsia="標楷體" w:hAnsi="標楷體" w:cs="Times Ext Roman"/>
          <w:szCs w:val="22"/>
        </w:rPr>
        <w:t>菩薩字亦但有名字</w:t>
      </w:r>
      <w:r w:rsidR="004276AF">
        <w:rPr>
          <w:rFonts w:ascii="標楷體" w:eastAsia="標楷體" w:hAnsi="標楷體" w:hint="eastAsia"/>
          <w:color w:val="FF0000"/>
          <w:kern w:val="0"/>
          <w:highlight w:val="yellow"/>
        </w:rPr>
        <w:t>。</w:t>
      </w:r>
      <w:r w:rsidRPr="00043A1E">
        <w:rPr>
          <w:rFonts w:ascii="標楷體" w:eastAsia="標楷體" w:hAnsi="標楷體" w:cs="Times Ext Roman"/>
          <w:szCs w:val="22"/>
        </w:rPr>
        <w:t>是名字不在內、不在外、不在中間</w:t>
      </w:r>
      <w:r w:rsidRPr="00DB66B9">
        <w:rPr>
          <w:rFonts w:ascii="標楷體" w:eastAsia="標楷體" w:hAnsi="標楷體" w:cs="Times Ext Roman"/>
          <w:szCs w:val="22"/>
          <w:shd w:val="pct15" w:color="auto" w:fill="FFFFFF"/>
        </w:rPr>
        <w:t>……</w:t>
      </w:r>
      <w:r w:rsidRPr="00043A1E">
        <w:rPr>
          <w:rFonts w:ascii="標楷體" w:eastAsia="標楷體" w:hAnsi="標楷體" w:cs="Times Ext Roman"/>
          <w:szCs w:val="22"/>
        </w:rPr>
        <w:t>須菩提！譬如身和合故有，是亦不生不滅，但以世間名字故說。須菩提！譬如色</w:t>
      </w:r>
      <w:r w:rsidR="004276AF">
        <w:rPr>
          <w:rFonts w:ascii="標楷體" w:eastAsia="標楷體" w:hAnsi="標楷體" w:hint="eastAsia"/>
          <w:color w:val="FF0000"/>
          <w:spacing w:val="-4"/>
          <w:kern w:val="0"/>
          <w:highlight w:val="yellow"/>
        </w:rPr>
        <w:t>、</w:t>
      </w:r>
      <w:r w:rsidRPr="00043A1E">
        <w:rPr>
          <w:rFonts w:ascii="標楷體" w:eastAsia="標楷體" w:hAnsi="標楷體" w:cs="Times Ext Roman"/>
          <w:szCs w:val="22"/>
        </w:rPr>
        <w:t>受</w:t>
      </w:r>
      <w:r w:rsidR="004276AF">
        <w:rPr>
          <w:rFonts w:ascii="標楷體" w:eastAsia="標楷體" w:hAnsi="標楷體" w:hint="eastAsia"/>
          <w:color w:val="FF0000"/>
          <w:spacing w:val="-4"/>
          <w:kern w:val="0"/>
          <w:highlight w:val="yellow"/>
        </w:rPr>
        <w:t>、</w:t>
      </w:r>
      <w:r w:rsidRPr="00043A1E">
        <w:rPr>
          <w:rFonts w:ascii="標楷體" w:eastAsia="標楷體" w:hAnsi="標楷體" w:cs="Times Ext Roman"/>
          <w:szCs w:val="22"/>
        </w:rPr>
        <w:t>想</w:t>
      </w:r>
      <w:r w:rsidR="004276AF">
        <w:rPr>
          <w:rFonts w:ascii="標楷體" w:eastAsia="標楷體" w:hAnsi="標楷體" w:hint="eastAsia"/>
          <w:color w:val="FF0000"/>
          <w:spacing w:val="-4"/>
          <w:kern w:val="0"/>
          <w:highlight w:val="yellow"/>
        </w:rPr>
        <w:t>、</w:t>
      </w:r>
      <w:r w:rsidRPr="00043A1E">
        <w:rPr>
          <w:rFonts w:ascii="標楷體" w:eastAsia="標楷體" w:hAnsi="標楷體" w:cs="Times Ext Roman"/>
          <w:szCs w:val="22"/>
        </w:rPr>
        <w:t>行</w:t>
      </w:r>
      <w:r w:rsidR="004276AF">
        <w:rPr>
          <w:rFonts w:ascii="標楷體" w:eastAsia="標楷體" w:hAnsi="標楷體" w:hint="eastAsia"/>
          <w:color w:val="FF0000"/>
          <w:spacing w:val="-4"/>
          <w:kern w:val="0"/>
          <w:highlight w:val="yellow"/>
        </w:rPr>
        <w:t>、</w:t>
      </w:r>
      <w:r w:rsidRPr="00043A1E">
        <w:rPr>
          <w:rFonts w:ascii="標楷體" w:eastAsia="標楷體" w:hAnsi="標楷體" w:cs="Times Ext Roman"/>
          <w:szCs w:val="22"/>
        </w:rPr>
        <w:t>識，亦和合故有，是亦不生不滅，但以世間名字故說。</w:t>
      </w:r>
      <w:r w:rsidRPr="00DB66B9">
        <w:rPr>
          <w:rFonts w:ascii="標楷體" w:eastAsia="標楷體" w:hAnsi="標楷體" w:cs="Times Ext Roman"/>
          <w:szCs w:val="22"/>
          <w:shd w:val="pct15" w:color="auto" w:fill="FFFFFF"/>
        </w:rPr>
        <w:t>……</w:t>
      </w:r>
      <w:r w:rsidRPr="00043A1E">
        <w:rPr>
          <w:rFonts w:ascii="標楷體" w:eastAsia="標楷體" w:hAnsi="標楷體" w:cs="Times Ext Roman"/>
          <w:b/>
          <w:szCs w:val="22"/>
        </w:rPr>
        <w:t>菩薩摩訶薩行般若波羅蜜，名假施設、受假施設、法假施設</w:t>
      </w:r>
      <w:r w:rsidRPr="00043A1E">
        <w:rPr>
          <w:rFonts w:ascii="標楷體" w:eastAsia="標楷體" w:hAnsi="標楷體" w:cs="Times Ext Roman"/>
          <w:szCs w:val="22"/>
        </w:rPr>
        <w:t>。</w:t>
      </w:r>
    </w:p>
    <w:p w:rsidR="00157EF6" w:rsidRPr="00043A1E" w:rsidRDefault="00157EF6" w:rsidP="00AA120F">
      <w:pPr>
        <w:pStyle w:val="a5"/>
        <w:ind w:leftChars="105" w:left="791" w:hangingChars="245" w:hanging="539"/>
        <w:jc w:val="both"/>
        <w:rPr>
          <w:rFonts w:ascii="Times Ext Roman" w:hAnsi="新細明體" w:cs="Times Ext Roman"/>
          <w:szCs w:val="22"/>
        </w:rPr>
      </w:pPr>
      <w:r w:rsidRPr="00043A1E">
        <w:rPr>
          <w:rFonts w:ascii="Times Ext Roman" w:hAnsi="Times Ext Roman" w:cs="Times Ext Roman"/>
          <w:szCs w:val="22"/>
        </w:rPr>
        <w:t>（</w:t>
      </w:r>
      <w:r w:rsidRPr="00761EF3">
        <w:rPr>
          <w:szCs w:val="22"/>
        </w:rPr>
        <w:t>2</w:t>
      </w:r>
      <w:r w:rsidRPr="00043A1E">
        <w:rPr>
          <w:rFonts w:ascii="Times Ext Roman" w:hAnsi="Times Ext Roman" w:cs="Times Ext Roman"/>
          <w:szCs w:val="22"/>
        </w:rPr>
        <w:t>）</w:t>
      </w:r>
      <w:r w:rsidRPr="00043A1E">
        <w:rPr>
          <w:rFonts w:ascii="Times Ext Roman" w:hAnsi="新細明體" w:cs="Times Ext Roman"/>
          <w:szCs w:val="22"/>
        </w:rPr>
        <w:t>印順法師</w:t>
      </w:r>
      <w:r w:rsidRPr="00043A1E">
        <w:rPr>
          <w:rFonts w:ascii="Times Ext Roman" w:hAnsi="新細明體" w:cs="Times Ext Roman" w:hint="eastAsia"/>
          <w:szCs w:val="22"/>
        </w:rPr>
        <w:t>，</w:t>
      </w:r>
      <w:r w:rsidRPr="00043A1E">
        <w:rPr>
          <w:rFonts w:ascii="Times Ext Roman" w:hAnsi="新細明體" w:cs="Times Ext Roman"/>
          <w:szCs w:val="22"/>
        </w:rPr>
        <w:t>《空之探究》</w:t>
      </w:r>
      <w:r w:rsidRPr="00043A1E">
        <w:rPr>
          <w:rFonts w:ascii="Times Ext Roman" w:hAnsi="新細明體" w:cs="Times Ext Roman" w:hint="eastAsia"/>
          <w:szCs w:val="22"/>
        </w:rPr>
        <w:t>，</w:t>
      </w:r>
      <w:r w:rsidRPr="00761EF3">
        <w:rPr>
          <w:szCs w:val="22"/>
        </w:rPr>
        <w:t>pp</w:t>
      </w:r>
      <w:r w:rsidRPr="00043A1E">
        <w:rPr>
          <w:szCs w:val="22"/>
        </w:rPr>
        <w:t>.</w:t>
      </w:r>
      <w:r w:rsidRPr="00761EF3">
        <w:rPr>
          <w:szCs w:val="22"/>
        </w:rPr>
        <w:t>234</w:t>
      </w:r>
      <w:r w:rsidRPr="00043A1E">
        <w:rPr>
          <w:szCs w:val="22"/>
        </w:rPr>
        <w:t>-</w:t>
      </w:r>
      <w:r w:rsidRPr="00761EF3">
        <w:rPr>
          <w:szCs w:val="22"/>
        </w:rPr>
        <w:t>235</w:t>
      </w:r>
      <w:r w:rsidRPr="00043A1E">
        <w:rPr>
          <w:rFonts w:ascii="Times Ext Roman" w:hAnsi="新細明體" w:cs="Times Ext Roman"/>
          <w:szCs w:val="22"/>
        </w:rPr>
        <w:t>：</w:t>
      </w:r>
    </w:p>
    <w:p w:rsidR="00157EF6" w:rsidRPr="00043A1E" w:rsidRDefault="00157EF6" w:rsidP="00AA120F">
      <w:pPr>
        <w:pStyle w:val="a5"/>
        <w:ind w:leftChars="335" w:left="804"/>
        <w:jc w:val="both"/>
        <w:rPr>
          <w:rFonts w:ascii="Times Ext Roman" w:eastAsia="標楷體" w:hAnsi="標楷體" w:cs="Times Ext Roman"/>
          <w:szCs w:val="22"/>
        </w:rPr>
      </w:pPr>
      <w:r w:rsidRPr="00043A1E">
        <w:rPr>
          <w:rFonts w:ascii="Times Ext Roman" w:eastAsia="標楷體" w:hAnsi="標楷體" w:cs="Times Ext Roman"/>
          <w:szCs w:val="22"/>
        </w:rPr>
        <w:t>依《大智度論》，三假施設，是三波羅聶提。波羅聶提（</w:t>
      </w:r>
      <w:r w:rsidRPr="00761EF3">
        <w:rPr>
          <w:rFonts w:eastAsia="標楷體"/>
          <w:szCs w:val="22"/>
        </w:rPr>
        <w:t>prajñapti</w:t>
      </w:r>
      <w:r w:rsidRPr="00043A1E">
        <w:rPr>
          <w:rFonts w:ascii="Times Ext Roman" w:eastAsia="標楷體" w:hAnsi="標楷體" w:cs="Times Ext Roman"/>
          <w:szCs w:val="22"/>
        </w:rPr>
        <w:t>），義譯為假，假名，施設，假施設等。這三類假施設，《大智度論》的解說，有二復次；初說是：「五眾</w:t>
      </w:r>
      <w:r w:rsidRPr="00F00553">
        <w:rPr>
          <w:rFonts w:ascii="新細明體" w:hAnsi="新細明體"/>
          <w:sz w:val="18"/>
          <w:szCs w:val="22"/>
        </w:rPr>
        <w:t>[蘊]</w:t>
      </w:r>
      <w:r w:rsidRPr="00043A1E">
        <w:rPr>
          <w:rFonts w:ascii="Times Ext Roman" w:eastAsia="標楷體" w:hAnsi="標楷體" w:cs="Times Ext Roman"/>
          <w:szCs w:val="22"/>
        </w:rPr>
        <w:t>等法，是名法波羅聶提。五眾因緣和合故名為眾生，諸骨和合故名為頭骨，如根、莖、枝、葉和合故名為樹，是名受波羅聶提。用是名字取（法與受）二法相，說是二種，是為名字波羅聶提。」</w:t>
      </w:r>
      <w:r w:rsidR="00F00553" w:rsidRPr="00F00553">
        <w:rPr>
          <w:rFonts w:ascii="Times Ext Roman" w:eastAsia="標楷體" w:hAnsi="標楷體" w:cs="Times Ext Roman" w:hint="eastAsia"/>
          <w:color w:val="FF0000"/>
          <w:szCs w:val="22"/>
          <w:highlight w:val="yellow"/>
          <w:vertAlign w:val="superscript"/>
        </w:rPr>
        <w:t>[4]</w:t>
      </w:r>
    </w:p>
    <w:p w:rsidR="00157EF6" w:rsidRPr="00043A1E" w:rsidRDefault="00157EF6" w:rsidP="00AA120F">
      <w:pPr>
        <w:pStyle w:val="a5"/>
        <w:ind w:leftChars="335" w:left="804"/>
        <w:jc w:val="both"/>
        <w:rPr>
          <w:rFonts w:ascii="Times Ext Roman" w:eastAsia="標楷體" w:hAnsi="標楷體" w:cs="Times Ext Roman"/>
          <w:szCs w:val="22"/>
        </w:rPr>
      </w:pPr>
      <w:r w:rsidRPr="00043A1E">
        <w:rPr>
          <w:rFonts w:ascii="Times Ext Roman" w:eastAsia="標楷體" w:hAnsi="標楷體" w:cs="Times Ext Roman"/>
          <w:szCs w:val="22"/>
        </w:rPr>
        <w:t>依論所說，</w:t>
      </w:r>
      <w:r w:rsidRPr="00043A1E">
        <w:rPr>
          <w:rFonts w:ascii="Times Ext Roman" w:eastAsia="標楷體" w:hAnsi="標楷體" w:cs="Times Ext Roman"/>
          <w:b/>
          <w:szCs w:val="22"/>
        </w:rPr>
        <w:t>法波羅聶提</w:t>
      </w:r>
      <w:r w:rsidRPr="00043A1E">
        <w:rPr>
          <w:rFonts w:ascii="新細明體" w:hAnsi="新細明體" w:cs="Times Ext Roman"/>
          <w:b/>
          <w:szCs w:val="22"/>
        </w:rPr>
        <w:t>──</w:t>
      </w:r>
      <w:r w:rsidRPr="00043A1E">
        <w:rPr>
          <w:rFonts w:ascii="Times Ext Roman" w:eastAsia="標楷體" w:hAnsi="標楷體" w:cs="Times Ext Roman"/>
          <w:b/>
          <w:szCs w:val="22"/>
        </w:rPr>
        <w:t>法假</w:t>
      </w:r>
      <w:r w:rsidRPr="00043A1E">
        <w:rPr>
          <w:rFonts w:ascii="Times Ext Roman" w:eastAsia="標楷體" w:hAnsi="標楷體" w:cs="Times Ext Roman"/>
          <w:szCs w:val="22"/>
        </w:rPr>
        <w:t>（</w:t>
      </w:r>
      <w:r w:rsidRPr="00761EF3">
        <w:rPr>
          <w:rFonts w:eastAsia="標楷體"/>
          <w:szCs w:val="22"/>
        </w:rPr>
        <w:t>dharma</w:t>
      </w:r>
      <w:r w:rsidRPr="00043A1E">
        <w:rPr>
          <w:rFonts w:eastAsia="標楷體"/>
          <w:szCs w:val="22"/>
        </w:rPr>
        <w:t>-</w:t>
      </w:r>
      <w:r w:rsidRPr="00761EF3">
        <w:rPr>
          <w:rFonts w:eastAsia="標楷體"/>
          <w:szCs w:val="22"/>
        </w:rPr>
        <w:t>prajñapti</w:t>
      </w:r>
      <w:r w:rsidRPr="00043A1E">
        <w:rPr>
          <w:rFonts w:ascii="Times Ext Roman" w:eastAsia="標楷體" w:hAnsi="標楷體" w:cs="Times Ext Roman"/>
          <w:szCs w:val="22"/>
        </w:rPr>
        <w:t>），是蘊、處、界一一法。如色、聲等一一微塵，貪、瞋等一一心心所，阿毘達磨論者以為是實法有的，《般若經》稱之為法假施設。</w:t>
      </w:r>
    </w:p>
    <w:p w:rsidR="00157EF6" w:rsidRPr="00043A1E" w:rsidRDefault="00157EF6" w:rsidP="00AA120F">
      <w:pPr>
        <w:pStyle w:val="a5"/>
        <w:ind w:leftChars="335" w:left="804"/>
        <w:jc w:val="both"/>
        <w:rPr>
          <w:rFonts w:ascii="Times Ext Roman" w:eastAsia="標楷體" w:hAnsi="標楷體" w:cs="Times Ext Roman"/>
          <w:szCs w:val="22"/>
        </w:rPr>
      </w:pPr>
      <w:r w:rsidRPr="00043A1E">
        <w:rPr>
          <w:rFonts w:ascii="Times Ext Roman" w:eastAsia="標楷體" w:hAnsi="標楷體" w:cs="Times Ext Roman"/>
          <w:b/>
          <w:szCs w:val="22"/>
        </w:rPr>
        <w:t>受假</w:t>
      </w:r>
      <w:r w:rsidRPr="00043A1E">
        <w:rPr>
          <w:rFonts w:ascii="Times Ext Roman" w:eastAsia="標楷體" w:hAnsi="標楷體" w:cs="Times Ext Roman"/>
          <w:szCs w:val="22"/>
        </w:rPr>
        <w:t>，如五蘊和合為眾生，眾骨和合為頭骨，枝葉等和合為樹，這是複合物。在鳩摩羅什的譯語中，受與取相當，如五取蘊譯為五受陰，所以受波羅聶提，可能是</w:t>
      </w:r>
      <w:r w:rsidRPr="00761EF3">
        <w:rPr>
          <w:rFonts w:eastAsia="標楷體"/>
          <w:szCs w:val="22"/>
        </w:rPr>
        <w:t>upādāya</w:t>
      </w:r>
      <w:r w:rsidRPr="00043A1E">
        <w:rPr>
          <w:rFonts w:eastAsia="標楷體"/>
          <w:szCs w:val="22"/>
        </w:rPr>
        <w:t>-</w:t>
      </w:r>
      <w:r w:rsidRPr="00761EF3">
        <w:rPr>
          <w:rFonts w:eastAsia="標楷體"/>
          <w:szCs w:val="22"/>
        </w:rPr>
        <w:t>prajñapti</w:t>
      </w:r>
      <w:r w:rsidRPr="00043A1E">
        <w:rPr>
          <w:rFonts w:ascii="Times Ext Roman" w:eastAsia="標楷體" w:hAnsi="標楷體" w:cs="Times Ext Roman"/>
          <w:szCs w:val="22"/>
        </w:rPr>
        <w:t>。受假</w:t>
      </w:r>
      <w:r w:rsidRPr="00043A1E">
        <w:rPr>
          <w:rFonts w:ascii="新細明體" w:hAnsi="新細明體" w:cs="Times Ext Roman"/>
          <w:szCs w:val="22"/>
        </w:rPr>
        <w:t>──</w:t>
      </w:r>
      <w:r w:rsidRPr="00043A1E">
        <w:rPr>
          <w:rFonts w:ascii="Times Ext Roman" w:eastAsia="標楷體" w:hAnsi="標楷體" w:cs="Times Ext Roman"/>
          <w:szCs w:val="22"/>
        </w:rPr>
        <w:t>取假，依論意，不能解說為心的攝取，而是依攬眾緣和合的意思。</w:t>
      </w:r>
    </w:p>
    <w:p w:rsidR="00157EF6" w:rsidRDefault="00157EF6" w:rsidP="00AA120F">
      <w:pPr>
        <w:pStyle w:val="a5"/>
        <w:ind w:leftChars="335" w:left="804"/>
        <w:jc w:val="both"/>
        <w:rPr>
          <w:rFonts w:ascii="Times Ext Roman" w:eastAsia="標楷體" w:hAnsi="標楷體" w:cs="Times Ext Roman"/>
          <w:szCs w:val="22"/>
        </w:rPr>
      </w:pPr>
      <w:r w:rsidRPr="00043A1E">
        <w:rPr>
          <w:rFonts w:ascii="Times Ext Roman" w:eastAsia="標楷體" w:hAnsi="標楷體" w:cs="Times Ext Roman"/>
          <w:b/>
          <w:szCs w:val="22"/>
        </w:rPr>
        <w:t>名假</w:t>
      </w:r>
      <w:r w:rsidRPr="00043A1E">
        <w:rPr>
          <w:rFonts w:ascii="Times Ext Roman" w:eastAsia="標楷體" w:hAnsi="標楷體" w:cs="Times Ext Roman"/>
          <w:szCs w:val="22"/>
        </w:rPr>
        <w:t>（</w:t>
      </w:r>
      <w:r w:rsidRPr="00761EF3">
        <w:rPr>
          <w:rFonts w:eastAsia="標楷體"/>
          <w:szCs w:val="22"/>
        </w:rPr>
        <w:t>nāma</w:t>
      </w:r>
      <w:r w:rsidRPr="00043A1E">
        <w:rPr>
          <w:rFonts w:eastAsia="標楷體"/>
          <w:szCs w:val="22"/>
        </w:rPr>
        <w:t>-</w:t>
      </w:r>
      <w:r w:rsidRPr="00761EF3">
        <w:rPr>
          <w:rFonts w:eastAsia="標楷體"/>
          <w:szCs w:val="22"/>
        </w:rPr>
        <w:t>prajñapti</w:t>
      </w:r>
      <w:r w:rsidRPr="00043A1E">
        <w:rPr>
          <w:rFonts w:ascii="Times Ext Roman" w:eastAsia="標楷體" w:hAnsi="標楷體" w:cs="Times Ext Roman"/>
          <w:szCs w:val="22"/>
        </w:rPr>
        <w:t>），是稱說法與受的名字，名字是世俗共許的假施設。</w:t>
      </w:r>
    </w:p>
    <w:p w:rsidR="00F00553" w:rsidRPr="00F00553" w:rsidRDefault="00F00553" w:rsidP="00AA120F">
      <w:pPr>
        <w:pStyle w:val="a5"/>
        <w:ind w:leftChars="335" w:left="804"/>
        <w:jc w:val="both"/>
        <w:rPr>
          <w:rFonts w:ascii="Times Ext Roman" w:hAnsi="Times Ext Roman" w:cs="Times Ext Roman"/>
          <w:color w:val="FF0000"/>
          <w:szCs w:val="22"/>
          <w:highlight w:val="yellow"/>
        </w:rPr>
      </w:pPr>
      <w:r>
        <w:rPr>
          <w:rFonts w:ascii="Times Ext Roman" w:hAnsi="Times Ext Roman" w:cs="Times Ext Roman" w:hint="eastAsia"/>
          <w:color w:val="FF0000"/>
          <w:szCs w:val="22"/>
          <w:highlight w:val="yellow"/>
        </w:rPr>
        <w:t>[</w:t>
      </w:r>
      <w:r>
        <w:rPr>
          <w:rFonts w:ascii="Times Ext Roman" w:hAnsi="Times Ext Roman" w:cs="Times Ext Roman" w:hint="eastAsia"/>
          <w:color w:val="FF0000"/>
          <w:szCs w:val="22"/>
          <w:highlight w:val="yellow"/>
        </w:rPr>
        <w:t>原書註</w:t>
      </w:r>
      <w:r>
        <w:rPr>
          <w:rFonts w:ascii="Times Ext Roman" w:hAnsi="Times Ext Roman" w:cs="Times Ext Roman" w:hint="eastAsia"/>
          <w:color w:val="FF0000"/>
          <w:szCs w:val="22"/>
          <w:highlight w:val="yellow"/>
        </w:rPr>
        <w:t>4]</w:t>
      </w:r>
      <w:r w:rsidRPr="00F00553">
        <w:rPr>
          <w:rFonts w:ascii="Times Ext Roman" w:hAnsi="Times Ext Roman" w:cs="Times Ext Roman" w:hint="eastAsia"/>
          <w:color w:val="FF0000"/>
          <w:szCs w:val="22"/>
          <w:highlight w:val="yellow"/>
        </w:rPr>
        <w:t>《大智度論》卷</w:t>
      </w:r>
      <w:r w:rsidRPr="00F00553">
        <w:rPr>
          <w:rFonts w:ascii="Times Ext Roman" w:hAnsi="Times Ext Roman" w:cs="Times Ext Roman" w:hint="eastAsia"/>
          <w:color w:val="FF0000"/>
          <w:szCs w:val="22"/>
          <w:highlight w:val="yellow"/>
        </w:rPr>
        <w:t>41</w:t>
      </w:r>
      <w:r w:rsidRPr="00F00553">
        <w:rPr>
          <w:rFonts w:ascii="Times Ext Roman" w:hAnsi="Times Ext Roman" w:cs="Times Ext Roman" w:hint="eastAsia"/>
          <w:color w:val="FF0000"/>
          <w:szCs w:val="22"/>
          <w:highlight w:val="yellow"/>
        </w:rPr>
        <w:t>（大正</w:t>
      </w:r>
      <w:r w:rsidRPr="00F00553">
        <w:rPr>
          <w:rFonts w:ascii="Times Ext Roman" w:hAnsi="Times Ext Roman" w:cs="Times Ext Roman" w:hint="eastAsia"/>
          <w:color w:val="FF0000"/>
          <w:szCs w:val="22"/>
          <w:highlight w:val="yellow"/>
        </w:rPr>
        <w:t>25</w:t>
      </w:r>
      <w:r w:rsidRPr="00F00553">
        <w:rPr>
          <w:rFonts w:ascii="Times Ext Roman" w:hAnsi="Times Ext Roman" w:cs="Times Ext Roman" w:hint="eastAsia"/>
          <w:color w:val="FF0000"/>
          <w:szCs w:val="22"/>
          <w:highlight w:val="yellow"/>
        </w:rPr>
        <w:t>，</w:t>
      </w:r>
      <w:r w:rsidRPr="00F00553">
        <w:rPr>
          <w:rFonts w:ascii="Times Ext Roman" w:hAnsi="Times Ext Roman" w:cs="Times Ext Roman" w:hint="eastAsia"/>
          <w:color w:val="FF0000"/>
          <w:szCs w:val="22"/>
          <w:highlight w:val="yellow"/>
        </w:rPr>
        <w:t>358b</w:t>
      </w:r>
      <w:r w:rsidRPr="00F00553">
        <w:rPr>
          <w:rFonts w:ascii="Times Ext Roman" w:hAnsi="Times Ext Roman" w:cs="Times Ext Roman" w:hint="eastAsia"/>
          <w:color w:val="FF0000"/>
          <w:szCs w:val="22"/>
          <w:highlight w:val="yellow"/>
        </w:rPr>
        <w:t>）。</w:t>
      </w:r>
    </w:p>
  </w:footnote>
  <w:footnote w:id="804">
    <w:p w:rsidR="00157EF6" w:rsidRPr="00043A1E" w:rsidRDefault="00157EF6" w:rsidP="00AA120F">
      <w:pPr>
        <w:pStyle w:val="a5"/>
        <w:spacing w:line="0" w:lineRule="atLeast"/>
        <w:ind w:left="253" w:hangingChars="115" w:hanging="253"/>
        <w:jc w:val="both"/>
        <w:rPr>
          <w:rFonts w:ascii="Times Ext Roman" w:hAnsi="新細明體" w:cs="Times Ext Roman"/>
          <w:szCs w:val="22"/>
        </w:rPr>
      </w:pPr>
      <w:r w:rsidRPr="00043A1E">
        <w:rPr>
          <w:rStyle w:val="a6"/>
          <w:szCs w:val="22"/>
        </w:rPr>
        <w:footnoteRef/>
      </w:r>
      <w:r w:rsidRPr="00043A1E">
        <w:rPr>
          <w:rFonts w:ascii="Times Ext Roman" w:hAnsi="新細明體" w:cs="Times Ext Roman" w:hint="eastAsia"/>
          <w:szCs w:val="22"/>
        </w:rPr>
        <w:t xml:space="preserve"> </w:t>
      </w:r>
      <w:r w:rsidRPr="00043A1E">
        <w:rPr>
          <w:rFonts w:ascii="Times Ext Roman" w:hAnsi="新細明體" w:cs="Times Ext Roman"/>
          <w:szCs w:val="22"/>
        </w:rPr>
        <w:t>《中論》卷</w:t>
      </w:r>
      <w:r w:rsidRPr="00761EF3">
        <w:rPr>
          <w:szCs w:val="22"/>
        </w:rPr>
        <w:t>4</w:t>
      </w:r>
      <w:r w:rsidRPr="00043A1E">
        <w:rPr>
          <w:rFonts w:ascii="Times Ext Roman" w:hAnsi="新細明體" w:cs="Times Ext Roman"/>
          <w:szCs w:val="22"/>
        </w:rPr>
        <w:t>〈</w:t>
      </w:r>
      <w:r w:rsidRPr="00761EF3">
        <w:rPr>
          <w:szCs w:val="22"/>
        </w:rPr>
        <w:t>24</w:t>
      </w:r>
      <w:r w:rsidRPr="00043A1E">
        <w:rPr>
          <w:szCs w:val="22"/>
        </w:rPr>
        <w:t xml:space="preserve"> </w:t>
      </w:r>
      <w:r w:rsidRPr="00043A1E">
        <w:rPr>
          <w:rFonts w:ascii="Times Ext Roman" w:hAnsi="新細明體" w:cs="Times Ext Roman"/>
          <w:szCs w:val="22"/>
        </w:rPr>
        <w:t>觀四諦品〉</w:t>
      </w:r>
      <w:r w:rsidRPr="00043A1E">
        <w:rPr>
          <w:rFonts w:ascii="Times Ext Roman" w:hAnsi="Times Ext Roman" w:cs="Times Ext Roman"/>
          <w:szCs w:val="22"/>
        </w:rPr>
        <w:t>（</w:t>
      </w:r>
      <w:r w:rsidRPr="00043A1E">
        <w:rPr>
          <w:rFonts w:ascii="Times Ext Roman" w:hAnsi="新細明體" w:cs="Times Ext Roman"/>
          <w:szCs w:val="22"/>
        </w:rPr>
        <w:t>大正</w:t>
      </w:r>
      <w:r w:rsidRPr="00761EF3">
        <w:rPr>
          <w:szCs w:val="22"/>
        </w:rPr>
        <w:t>30</w:t>
      </w:r>
      <w:r w:rsidRPr="00043A1E">
        <w:rPr>
          <w:rFonts w:ascii="Times Ext Roman" w:hAnsi="新細明體" w:cs="Times Ext Roman"/>
          <w:szCs w:val="22"/>
        </w:rPr>
        <w:t>，</w:t>
      </w:r>
      <w:r w:rsidRPr="00761EF3">
        <w:rPr>
          <w:szCs w:val="22"/>
        </w:rPr>
        <w:t>33b11</w:t>
      </w:r>
      <w:r w:rsidRPr="00043A1E">
        <w:rPr>
          <w:szCs w:val="22"/>
        </w:rPr>
        <w:t>-</w:t>
      </w:r>
      <w:r w:rsidRPr="00761EF3">
        <w:rPr>
          <w:szCs w:val="22"/>
        </w:rPr>
        <w:t>12</w:t>
      </w:r>
      <w:r w:rsidRPr="00043A1E">
        <w:rPr>
          <w:rFonts w:ascii="Times Ext Roman" w:hAnsi="Times Ext Roman" w:cs="Times Ext Roman"/>
          <w:szCs w:val="22"/>
        </w:rPr>
        <w:t>）</w:t>
      </w:r>
      <w:r w:rsidRPr="00043A1E">
        <w:rPr>
          <w:rFonts w:ascii="Times Ext Roman" w:hAnsi="新細明體" w:cs="Times Ext Roman"/>
          <w:szCs w:val="22"/>
        </w:rPr>
        <w:t>：</w:t>
      </w:r>
    </w:p>
    <w:p w:rsidR="00157EF6" w:rsidRPr="00043A1E" w:rsidRDefault="00157EF6" w:rsidP="00AA120F">
      <w:pPr>
        <w:pStyle w:val="a5"/>
        <w:ind w:leftChars="105" w:left="252"/>
        <w:jc w:val="both"/>
        <w:rPr>
          <w:rFonts w:ascii="Times Ext Roman" w:hAnsi="Times Ext Roman" w:cs="Times Ext Roman"/>
          <w:szCs w:val="22"/>
        </w:rPr>
      </w:pPr>
      <w:r w:rsidRPr="00043A1E">
        <w:rPr>
          <w:rFonts w:ascii="Times Ext Roman" w:eastAsia="標楷體" w:hAnsi="新細明體" w:cs="Times Ext Roman"/>
          <w:szCs w:val="22"/>
        </w:rPr>
        <w:t>眾因緣生法，我說即是空，</w:t>
      </w:r>
      <w:r w:rsidRPr="00043A1E">
        <w:rPr>
          <w:rFonts w:ascii="Times Ext Roman" w:eastAsia="標楷體" w:hAnsi="新細明體" w:cs="Times Ext Roman"/>
          <w:b/>
          <w:szCs w:val="22"/>
        </w:rPr>
        <w:t>亦為是假名</w:t>
      </w:r>
      <w:r w:rsidRPr="00043A1E">
        <w:rPr>
          <w:rFonts w:ascii="Times Ext Roman" w:eastAsia="標楷體" w:hAnsi="新細明體" w:cs="Times Ext Roman"/>
          <w:szCs w:val="22"/>
        </w:rPr>
        <w:t>，亦是中道義。</w:t>
      </w:r>
    </w:p>
  </w:footnote>
  <w:footnote w:id="805">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印順法師</w:t>
      </w:r>
      <w:r w:rsidRPr="00043A1E">
        <w:rPr>
          <w:rFonts w:hint="eastAsia"/>
          <w:szCs w:val="22"/>
        </w:rPr>
        <w:t>，</w:t>
      </w:r>
      <w:r w:rsidRPr="00043A1E">
        <w:rPr>
          <w:szCs w:val="22"/>
        </w:rPr>
        <w:t>《般若經講記》</w:t>
      </w:r>
      <w:r w:rsidRPr="00043A1E">
        <w:rPr>
          <w:rFonts w:hint="eastAsia"/>
          <w:szCs w:val="22"/>
        </w:rPr>
        <w:t>，</w:t>
      </w:r>
      <w:r w:rsidRPr="00761EF3">
        <w:rPr>
          <w:szCs w:val="22"/>
        </w:rPr>
        <w:t>p</w:t>
      </w:r>
      <w:r w:rsidRPr="00043A1E">
        <w:rPr>
          <w:szCs w:val="22"/>
        </w:rPr>
        <w:t>.</w:t>
      </w:r>
      <w:r w:rsidRPr="00761EF3">
        <w:rPr>
          <w:szCs w:val="22"/>
        </w:rPr>
        <w:t>141</w:t>
      </w:r>
      <w:r w:rsidRPr="00043A1E">
        <w:rPr>
          <w:szCs w:val="22"/>
        </w:rPr>
        <w:t>：</w:t>
      </w:r>
    </w:p>
    <w:p w:rsidR="00157EF6" w:rsidRPr="00DD6DF9" w:rsidRDefault="00157EF6" w:rsidP="00AA120F">
      <w:pPr>
        <w:pStyle w:val="a5"/>
        <w:ind w:leftChars="105" w:left="252"/>
        <w:jc w:val="both"/>
        <w:rPr>
          <w:rFonts w:ascii="Times Ext Roman" w:eastAsia="標楷體" w:hAnsi="新細明體" w:cs="Times Ext Roman"/>
          <w:szCs w:val="22"/>
        </w:rPr>
      </w:pPr>
      <w:r w:rsidRPr="00DD6DF9">
        <w:rPr>
          <w:rFonts w:ascii="Times Ext Roman" w:eastAsia="標楷體" w:hAnsi="新細明體" w:cs="Times Ext Roman"/>
          <w:szCs w:val="22"/>
        </w:rPr>
        <w:t>假名，梵語為</w:t>
      </w:r>
      <w:r w:rsidRPr="00DD6DF9">
        <w:rPr>
          <w:rFonts w:ascii="Times Ext Roman" w:eastAsia="標楷體" w:hAnsi="新細明體" w:cs="Times Ext Roman" w:hint="eastAsia"/>
          <w:szCs w:val="22"/>
        </w:rPr>
        <w:t>「</w:t>
      </w:r>
      <w:r w:rsidRPr="00DD6DF9">
        <w:rPr>
          <w:rFonts w:ascii="Times Ext Roman" w:eastAsia="標楷體" w:hAnsi="新細明體" w:cs="Times Ext Roman"/>
          <w:szCs w:val="22"/>
        </w:rPr>
        <w:t>取施設</w:t>
      </w:r>
      <w:r w:rsidRPr="00DD6DF9">
        <w:rPr>
          <w:rFonts w:ascii="Times Ext Roman" w:eastAsia="標楷體" w:hAnsi="新細明體" w:cs="Times Ext Roman" w:hint="eastAsia"/>
          <w:szCs w:val="22"/>
        </w:rPr>
        <w:t>」</w:t>
      </w:r>
      <w:r w:rsidRPr="00DD6DF9">
        <w:rPr>
          <w:rFonts w:ascii="Times Ext Roman" w:eastAsia="標楷體" w:hAnsi="新細明體" w:cs="Times Ext Roman"/>
          <w:szCs w:val="22"/>
        </w:rPr>
        <w:t>義，即依緣攬緣而和合有的。從因果施設邊說，即空的假名有，不可說無；從自性不可得邊說，即假的自性空，不可說有。觀假名如幻等而悟入空性，離一切相，即為般若的正觀。</w:t>
      </w:r>
    </w:p>
  </w:footnote>
  <w:footnote w:id="806">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攫（</w:t>
      </w:r>
      <w:r w:rsidRPr="00043A1E">
        <w:rPr>
          <w:rFonts w:eastAsia="標楷體" w:hint="eastAsia"/>
          <w:szCs w:val="22"/>
        </w:rPr>
        <w:t>ㄐㄩㄝ</w:t>
      </w:r>
      <w:r w:rsidRPr="00043A1E">
        <w:rPr>
          <w:rFonts w:ascii="標楷體" w:eastAsia="標楷體" w:hAnsi="標楷體" w:hint="eastAsia"/>
          <w:szCs w:val="22"/>
        </w:rPr>
        <w:t>ˊ</w:t>
      </w:r>
      <w:r w:rsidRPr="00043A1E">
        <w:rPr>
          <w:rFonts w:hint="eastAsia"/>
          <w:szCs w:val="22"/>
        </w:rPr>
        <w:t>）：泛指抓。奪取的意思。</w:t>
      </w:r>
      <w:r w:rsidRPr="00043A1E">
        <w:rPr>
          <w:szCs w:val="22"/>
        </w:rPr>
        <w:t>（《漢語大詞典》（</w:t>
      </w:r>
      <w:r w:rsidRPr="00043A1E">
        <w:rPr>
          <w:rFonts w:hint="eastAsia"/>
          <w:szCs w:val="22"/>
        </w:rPr>
        <w:t>六</w:t>
      </w:r>
      <w:r w:rsidRPr="00043A1E">
        <w:rPr>
          <w:szCs w:val="22"/>
        </w:rPr>
        <w:t>）</w:t>
      </w:r>
      <w:r w:rsidRPr="00043A1E">
        <w:rPr>
          <w:rFonts w:ascii="Times Ext Roman" w:hAnsi="新細明體" w:cs="Times Ext Roman" w:hint="eastAsia"/>
          <w:szCs w:val="22"/>
        </w:rPr>
        <w:t>，</w:t>
      </w:r>
      <w:r w:rsidRPr="00761EF3">
        <w:rPr>
          <w:szCs w:val="22"/>
        </w:rPr>
        <w:t>p</w:t>
      </w:r>
      <w:r w:rsidRPr="00043A1E">
        <w:rPr>
          <w:szCs w:val="22"/>
        </w:rPr>
        <w:t>.</w:t>
      </w:r>
      <w:r w:rsidRPr="00761EF3">
        <w:rPr>
          <w:rFonts w:hint="eastAsia"/>
          <w:szCs w:val="22"/>
        </w:rPr>
        <w:t>989</w:t>
      </w:r>
      <w:r w:rsidRPr="00043A1E">
        <w:rPr>
          <w:szCs w:val="22"/>
        </w:rPr>
        <w:t>）</w:t>
      </w:r>
    </w:p>
  </w:footnote>
  <w:footnote w:id="807">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ascii="Times Ext Roman" w:hAnsi="Times Ext Roman" w:cs="Times Ext Roman" w:hint="eastAsia"/>
          <w:szCs w:val="22"/>
        </w:rPr>
        <w:t>團攏：（</w:t>
      </w:r>
      <w:r w:rsidRPr="00761EF3">
        <w:rPr>
          <w:rFonts w:hint="eastAsia"/>
          <w:szCs w:val="22"/>
        </w:rPr>
        <w:t>1</w:t>
      </w:r>
      <w:r w:rsidRPr="00043A1E">
        <w:rPr>
          <w:rFonts w:ascii="Times Ext Roman" w:hAnsi="Times Ext Roman" w:cs="Times Ext Roman" w:hint="eastAsia"/>
          <w:szCs w:val="22"/>
        </w:rPr>
        <w:t>）團</w:t>
      </w:r>
      <w:r w:rsidRPr="00043A1E">
        <w:rPr>
          <w:rFonts w:ascii="新細明體" w:hAnsi="新細明體" w:cs="Times Ext Roman" w:hint="eastAsia"/>
          <w:szCs w:val="22"/>
        </w:rPr>
        <w:t>：</w:t>
      </w:r>
      <w:r w:rsidRPr="00043A1E">
        <w:rPr>
          <w:rFonts w:ascii="Times Ext Roman" w:hAnsi="Times Ext Roman" w:cs="Times Ext Roman" w:hint="eastAsia"/>
          <w:szCs w:val="22"/>
        </w:rPr>
        <w:t>聚集，組織。</w:t>
      </w:r>
      <w:r w:rsidRPr="00043A1E">
        <w:rPr>
          <w:szCs w:val="22"/>
        </w:rPr>
        <w:t>（《漢語大詞典》（</w:t>
      </w:r>
      <w:r w:rsidRPr="00043A1E">
        <w:rPr>
          <w:rFonts w:hint="eastAsia"/>
          <w:szCs w:val="22"/>
        </w:rPr>
        <w:t>三</w:t>
      </w:r>
      <w:r w:rsidRPr="00043A1E">
        <w:rPr>
          <w:szCs w:val="22"/>
        </w:rPr>
        <w:t>）</w:t>
      </w:r>
      <w:r w:rsidRPr="00043A1E">
        <w:rPr>
          <w:rFonts w:ascii="Times Ext Roman" w:hAnsi="新細明體" w:cs="Times Ext Roman" w:hint="eastAsia"/>
          <w:szCs w:val="22"/>
        </w:rPr>
        <w:t>，</w:t>
      </w:r>
      <w:r w:rsidRPr="00761EF3">
        <w:rPr>
          <w:szCs w:val="22"/>
        </w:rPr>
        <w:t>p</w:t>
      </w:r>
      <w:r w:rsidRPr="00043A1E">
        <w:rPr>
          <w:szCs w:val="22"/>
        </w:rPr>
        <w:t>.</w:t>
      </w:r>
      <w:r w:rsidRPr="00761EF3">
        <w:rPr>
          <w:rFonts w:hint="eastAsia"/>
          <w:szCs w:val="22"/>
        </w:rPr>
        <w:t>600</w:t>
      </w:r>
      <w:r w:rsidRPr="00043A1E">
        <w:rPr>
          <w:szCs w:val="22"/>
        </w:rPr>
        <w:t>）</w:t>
      </w:r>
    </w:p>
    <w:p w:rsidR="00157EF6" w:rsidRPr="00043A1E" w:rsidRDefault="00157EF6" w:rsidP="00AA120F">
      <w:pPr>
        <w:pStyle w:val="a5"/>
        <w:ind w:leftChars="335" w:left="804"/>
        <w:jc w:val="both"/>
        <w:rPr>
          <w:rFonts w:ascii="Times Ext Roman" w:hAnsi="Times Ext Roman" w:cs="Times Ext Roman"/>
          <w:szCs w:val="22"/>
        </w:rPr>
      </w:pPr>
      <w:r w:rsidRPr="00043A1E">
        <w:rPr>
          <w:rFonts w:ascii="Times Ext Roman" w:hAnsi="Times Ext Roman" w:cs="Times Ext Roman" w:hint="eastAsia"/>
          <w:szCs w:val="22"/>
        </w:rPr>
        <w:t>（</w:t>
      </w:r>
      <w:r w:rsidRPr="00761EF3">
        <w:rPr>
          <w:rFonts w:hint="eastAsia"/>
          <w:szCs w:val="22"/>
        </w:rPr>
        <w:t>2</w:t>
      </w:r>
      <w:r w:rsidRPr="00043A1E">
        <w:rPr>
          <w:rFonts w:ascii="Times Ext Roman" w:hAnsi="Times Ext Roman" w:cs="Times Ext Roman" w:hint="eastAsia"/>
          <w:szCs w:val="22"/>
        </w:rPr>
        <w:t>）攏</w:t>
      </w:r>
      <w:r w:rsidRPr="00043A1E">
        <w:rPr>
          <w:rFonts w:ascii="新細明體" w:hAnsi="新細明體" w:cs="Times Ext Roman" w:hint="eastAsia"/>
          <w:szCs w:val="22"/>
        </w:rPr>
        <w:t>：聚合在一起，到一塊兒。</w:t>
      </w:r>
      <w:r w:rsidRPr="00043A1E">
        <w:rPr>
          <w:szCs w:val="22"/>
        </w:rPr>
        <w:t>（《漢語大詞典》（</w:t>
      </w:r>
      <w:r w:rsidRPr="00043A1E">
        <w:rPr>
          <w:rFonts w:hint="eastAsia"/>
          <w:szCs w:val="22"/>
        </w:rPr>
        <w:t>六</w:t>
      </w:r>
      <w:r w:rsidRPr="00043A1E">
        <w:rPr>
          <w:szCs w:val="22"/>
        </w:rPr>
        <w:t>）</w:t>
      </w:r>
      <w:r w:rsidRPr="00043A1E">
        <w:rPr>
          <w:rFonts w:ascii="Times Ext Roman" w:hAnsi="新細明體" w:cs="Times Ext Roman" w:hint="eastAsia"/>
          <w:szCs w:val="22"/>
        </w:rPr>
        <w:t>，</w:t>
      </w:r>
      <w:r w:rsidRPr="00761EF3">
        <w:rPr>
          <w:szCs w:val="22"/>
        </w:rPr>
        <w:t>p</w:t>
      </w:r>
      <w:r w:rsidRPr="00043A1E">
        <w:rPr>
          <w:szCs w:val="22"/>
        </w:rPr>
        <w:t>.</w:t>
      </w:r>
      <w:r w:rsidRPr="00761EF3">
        <w:rPr>
          <w:rFonts w:hint="eastAsia"/>
          <w:szCs w:val="22"/>
        </w:rPr>
        <w:t>96</w:t>
      </w:r>
      <w:r w:rsidRPr="00043A1E">
        <w:rPr>
          <w:szCs w:val="22"/>
        </w:rPr>
        <w:t>）</w:t>
      </w:r>
    </w:p>
  </w:footnote>
  <w:footnote w:id="808">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ascii="Times Ext Roman" w:hAnsi="新細明體" w:cs="Times Ext Roman" w:hint="eastAsia"/>
          <w:szCs w:val="22"/>
        </w:rPr>
        <w:t xml:space="preserve"> </w:t>
      </w:r>
      <w:r w:rsidRPr="00043A1E">
        <w:rPr>
          <w:rFonts w:ascii="Times Ext Roman" w:hAnsi="新細明體" w:cs="Times Ext Roman" w:hint="eastAsia"/>
          <w:szCs w:val="22"/>
        </w:rPr>
        <w:t>（</w:t>
      </w:r>
      <w:r w:rsidRPr="00761EF3">
        <w:rPr>
          <w:rFonts w:cs="Times Ext Roman" w:hint="eastAsia"/>
          <w:szCs w:val="22"/>
        </w:rPr>
        <w:t>1</w:t>
      </w:r>
      <w:r w:rsidRPr="00043A1E">
        <w:rPr>
          <w:rFonts w:ascii="Times Ext Roman" w:hAnsi="新細明體" w:cs="Times Ext Roman" w:hint="eastAsia"/>
          <w:szCs w:val="22"/>
        </w:rPr>
        <w:t>）</w:t>
      </w:r>
      <w:r w:rsidRPr="00043A1E">
        <w:rPr>
          <w:szCs w:val="22"/>
        </w:rPr>
        <w:t>《大智度論》卷</w:t>
      </w:r>
      <w:r w:rsidRPr="00761EF3">
        <w:rPr>
          <w:szCs w:val="22"/>
        </w:rPr>
        <w:t>32</w:t>
      </w:r>
      <w:r w:rsidR="00287E83">
        <w:rPr>
          <w:rFonts w:hint="eastAsia"/>
          <w:color w:val="FF0000"/>
          <w:szCs w:val="22"/>
          <w:highlight w:val="yellow"/>
        </w:rPr>
        <w:t>釋</w:t>
      </w:r>
      <w:r w:rsidRPr="00043A1E">
        <w:rPr>
          <w:szCs w:val="22"/>
        </w:rPr>
        <w:t>〈</w:t>
      </w:r>
      <w:r w:rsidRPr="00761EF3">
        <w:rPr>
          <w:szCs w:val="22"/>
        </w:rPr>
        <w:t>1</w:t>
      </w:r>
      <w:r w:rsidRPr="00043A1E">
        <w:rPr>
          <w:szCs w:val="22"/>
        </w:rPr>
        <w:t xml:space="preserve"> </w:t>
      </w:r>
      <w:r w:rsidRPr="00043A1E">
        <w:rPr>
          <w:szCs w:val="22"/>
        </w:rPr>
        <w:t>序品〉（大正</w:t>
      </w:r>
      <w:r w:rsidRPr="00761EF3">
        <w:rPr>
          <w:szCs w:val="22"/>
        </w:rPr>
        <w:t>25</w:t>
      </w:r>
      <w:r w:rsidRPr="00043A1E">
        <w:rPr>
          <w:szCs w:val="22"/>
        </w:rPr>
        <w:t>，</w:t>
      </w:r>
      <w:r w:rsidRPr="00761EF3">
        <w:rPr>
          <w:szCs w:val="22"/>
        </w:rPr>
        <w:t>298c18</w:t>
      </w:r>
      <w:r w:rsidRPr="00043A1E">
        <w:rPr>
          <w:szCs w:val="22"/>
        </w:rPr>
        <w:t>-</w:t>
      </w:r>
      <w:r w:rsidRPr="00761EF3">
        <w:rPr>
          <w:szCs w:val="22"/>
        </w:rPr>
        <w:t>21</w:t>
      </w:r>
      <w:r w:rsidRPr="00043A1E">
        <w:rPr>
          <w:szCs w:val="22"/>
        </w:rPr>
        <w:t>）：</w:t>
      </w:r>
    </w:p>
    <w:p w:rsidR="00157EF6" w:rsidRPr="00043A1E" w:rsidRDefault="00157EF6" w:rsidP="00AA120F">
      <w:pPr>
        <w:pStyle w:val="a5"/>
        <w:ind w:leftChars="335" w:left="804"/>
        <w:jc w:val="both"/>
        <w:rPr>
          <w:szCs w:val="22"/>
        </w:rPr>
      </w:pPr>
      <w:r w:rsidRPr="00043A1E">
        <w:rPr>
          <w:rFonts w:eastAsia="標楷體"/>
          <w:szCs w:val="22"/>
        </w:rPr>
        <w:t>有人言：是九事中</w:t>
      </w:r>
      <w:r w:rsidR="0089106D">
        <w:rPr>
          <w:rFonts w:eastAsia="標楷體" w:hint="eastAsia"/>
          <w:szCs w:val="22"/>
        </w:rPr>
        <w:t>，</w:t>
      </w:r>
      <w:r w:rsidRPr="00043A1E">
        <w:rPr>
          <w:rFonts w:eastAsia="標楷體"/>
          <w:szCs w:val="22"/>
        </w:rPr>
        <w:t>有法者，是名</w:t>
      </w:r>
      <w:r w:rsidR="0089106D">
        <w:rPr>
          <w:rFonts w:ascii="標楷體" w:eastAsia="標楷體" w:hAnsi="標楷體" w:hint="eastAsia"/>
          <w:bCs/>
          <w:color w:val="FF0000"/>
          <w:kern w:val="0"/>
          <w:highlight w:val="yellow"/>
        </w:rPr>
        <w:t>「</w:t>
      </w:r>
      <w:r w:rsidRPr="00043A1E">
        <w:rPr>
          <w:rFonts w:eastAsia="標楷體"/>
          <w:szCs w:val="22"/>
        </w:rPr>
        <w:t>如</w:t>
      </w:r>
      <w:r w:rsidR="0089106D">
        <w:rPr>
          <w:rFonts w:ascii="標楷體" w:eastAsia="標楷體" w:hAnsi="標楷體" w:hint="eastAsia"/>
          <w:bCs/>
          <w:color w:val="FF0000"/>
          <w:kern w:val="0"/>
          <w:highlight w:val="yellow"/>
        </w:rPr>
        <w:t>」</w:t>
      </w:r>
      <w:r w:rsidRPr="00043A1E">
        <w:rPr>
          <w:rFonts w:eastAsia="標楷體"/>
          <w:szCs w:val="22"/>
        </w:rPr>
        <w:t>。譬如地法</w:t>
      </w:r>
      <w:r w:rsidR="0089106D">
        <w:rPr>
          <w:rFonts w:ascii="標楷體" w:eastAsia="標楷體" w:hAnsi="標楷體" w:hint="eastAsia"/>
          <w:bCs/>
          <w:color w:val="FF0000"/>
          <w:kern w:val="0"/>
          <w:highlight w:val="yellow"/>
        </w:rPr>
        <w:t>「</w:t>
      </w:r>
      <w:r w:rsidRPr="00043A1E">
        <w:rPr>
          <w:rFonts w:eastAsia="標楷體"/>
          <w:szCs w:val="22"/>
        </w:rPr>
        <w:t>堅</w:t>
      </w:r>
      <w:r w:rsidR="0089106D">
        <w:rPr>
          <w:rFonts w:ascii="標楷體" w:eastAsia="標楷體" w:hAnsi="標楷體" w:hint="eastAsia"/>
          <w:color w:val="FF0000"/>
          <w:spacing w:val="-4"/>
          <w:kern w:val="0"/>
          <w:highlight w:val="yellow"/>
        </w:rPr>
        <w:t>、</w:t>
      </w:r>
      <w:r w:rsidRPr="00043A1E">
        <w:rPr>
          <w:rFonts w:eastAsia="標楷體"/>
          <w:szCs w:val="22"/>
        </w:rPr>
        <w:t>重</w:t>
      </w:r>
      <w:r w:rsidR="0089106D">
        <w:rPr>
          <w:rFonts w:ascii="標楷體" w:eastAsia="標楷體" w:hAnsi="標楷體" w:hint="eastAsia"/>
          <w:bCs/>
          <w:color w:val="FF0000"/>
          <w:kern w:val="0"/>
          <w:highlight w:val="yellow"/>
        </w:rPr>
        <w:t>」</w:t>
      </w:r>
      <w:r w:rsidRPr="00043A1E">
        <w:rPr>
          <w:rFonts w:eastAsia="標楷體"/>
          <w:szCs w:val="22"/>
        </w:rPr>
        <w:t>，水法</w:t>
      </w:r>
      <w:r w:rsidR="0089106D">
        <w:rPr>
          <w:rFonts w:ascii="標楷體" w:eastAsia="標楷體" w:hAnsi="標楷體" w:hint="eastAsia"/>
          <w:bCs/>
          <w:color w:val="FF0000"/>
          <w:kern w:val="0"/>
          <w:highlight w:val="yellow"/>
        </w:rPr>
        <w:t>「</w:t>
      </w:r>
      <w:r w:rsidRPr="00043A1E">
        <w:rPr>
          <w:rFonts w:eastAsia="標楷體"/>
          <w:szCs w:val="22"/>
        </w:rPr>
        <w:t>冷</w:t>
      </w:r>
      <w:r w:rsidR="0089106D">
        <w:rPr>
          <w:rFonts w:ascii="標楷體" w:eastAsia="標楷體" w:hAnsi="標楷體" w:hint="eastAsia"/>
          <w:color w:val="FF0000"/>
          <w:spacing w:val="-4"/>
          <w:kern w:val="0"/>
          <w:highlight w:val="yellow"/>
        </w:rPr>
        <w:t>、</w:t>
      </w:r>
      <w:r w:rsidRPr="00043A1E">
        <w:rPr>
          <w:rFonts w:eastAsia="標楷體"/>
          <w:szCs w:val="22"/>
        </w:rPr>
        <w:t>濕</w:t>
      </w:r>
      <w:r w:rsidR="0089106D">
        <w:rPr>
          <w:rFonts w:ascii="標楷體" w:eastAsia="標楷體" w:hAnsi="標楷體" w:hint="eastAsia"/>
          <w:bCs/>
          <w:color w:val="FF0000"/>
          <w:kern w:val="0"/>
          <w:highlight w:val="yellow"/>
        </w:rPr>
        <w:t>」</w:t>
      </w:r>
      <w:r w:rsidRPr="00043A1E">
        <w:rPr>
          <w:rFonts w:eastAsia="標楷體"/>
          <w:szCs w:val="22"/>
        </w:rPr>
        <w:t>，火法</w:t>
      </w:r>
      <w:r w:rsidR="0089106D">
        <w:rPr>
          <w:rFonts w:ascii="標楷體" w:eastAsia="標楷體" w:hAnsi="標楷體" w:hint="eastAsia"/>
          <w:bCs/>
          <w:color w:val="FF0000"/>
          <w:kern w:val="0"/>
          <w:highlight w:val="yellow"/>
        </w:rPr>
        <w:t>「</w:t>
      </w:r>
      <w:r w:rsidRPr="00043A1E">
        <w:rPr>
          <w:rFonts w:eastAsia="標楷體"/>
          <w:szCs w:val="22"/>
        </w:rPr>
        <w:t>熱</w:t>
      </w:r>
      <w:r w:rsidR="0089106D">
        <w:rPr>
          <w:rFonts w:ascii="標楷體" w:eastAsia="標楷體" w:hAnsi="標楷體" w:hint="eastAsia"/>
          <w:color w:val="FF0000"/>
          <w:spacing w:val="-4"/>
          <w:kern w:val="0"/>
          <w:highlight w:val="yellow"/>
        </w:rPr>
        <w:t>、</w:t>
      </w:r>
      <w:r w:rsidRPr="00043A1E">
        <w:rPr>
          <w:rFonts w:eastAsia="標楷體"/>
          <w:szCs w:val="22"/>
        </w:rPr>
        <w:t>照</w:t>
      </w:r>
      <w:r w:rsidR="0089106D">
        <w:rPr>
          <w:rFonts w:ascii="標楷體" w:eastAsia="標楷體" w:hAnsi="標楷體" w:hint="eastAsia"/>
          <w:bCs/>
          <w:color w:val="FF0000"/>
          <w:kern w:val="0"/>
          <w:highlight w:val="yellow"/>
        </w:rPr>
        <w:t>」</w:t>
      </w:r>
      <w:r w:rsidRPr="00043A1E">
        <w:rPr>
          <w:rFonts w:eastAsia="標楷體"/>
          <w:szCs w:val="22"/>
        </w:rPr>
        <w:t>，風法</w:t>
      </w:r>
      <w:r w:rsidR="0089106D">
        <w:rPr>
          <w:rFonts w:ascii="標楷體" w:eastAsia="標楷體" w:hAnsi="標楷體" w:hint="eastAsia"/>
          <w:bCs/>
          <w:color w:val="FF0000"/>
          <w:kern w:val="0"/>
          <w:highlight w:val="yellow"/>
        </w:rPr>
        <w:t>「</w:t>
      </w:r>
      <w:r w:rsidRPr="00043A1E">
        <w:rPr>
          <w:rFonts w:eastAsia="標楷體"/>
          <w:szCs w:val="22"/>
        </w:rPr>
        <w:t>輕</w:t>
      </w:r>
      <w:r w:rsidR="0089106D">
        <w:rPr>
          <w:rFonts w:ascii="標楷體" w:eastAsia="標楷體" w:hAnsi="標楷體" w:hint="eastAsia"/>
          <w:color w:val="FF0000"/>
          <w:spacing w:val="-4"/>
          <w:kern w:val="0"/>
          <w:highlight w:val="yellow"/>
        </w:rPr>
        <w:t>、</w:t>
      </w:r>
      <w:r w:rsidRPr="00043A1E">
        <w:rPr>
          <w:rFonts w:eastAsia="標楷體"/>
          <w:szCs w:val="22"/>
        </w:rPr>
        <w:t>動</w:t>
      </w:r>
      <w:r w:rsidR="0089106D">
        <w:rPr>
          <w:rFonts w:ascii="標楷體" w:eastAsia="標楷體" w:hAnsi="標楷體" w:hint="eastAsia"/>
          <w:bCs/>
          <w:color w:val="FF0000"/>
          <w:kern w:val="0"/>
          <w:highlight w:val="yellow"/>
        </w:rPr>
        <w:t>」</w:t>
      </w:r>
      <w:r w:rsidRPr="00043A1E">
        <w:rPr>
          <w:rFonts w:eastAsia="標楷體"/>
          <w:szCs w:val="22"/>
        </w:rPr>
        <w:t>，心法</w:t>
      </w:r>
      <w:r w:rsidR="0089106D">
        <w:rPr>
          <w:rFonts w:ascii="標楷體" w:eastAsia="標楷體" w:hAnsi="標楷體" w:hint="eastAsia"/>
          <w:bCs/>
          <w:color w:val="FF0000"/>
          <w:kern w:val="0"/>
          <w:highlight w:val="yellow"/>
        </w:rPr>
        <w:t>「</w:t>
      </w:r>
      <w:r w:rsidRPr="00043A1E">
        <w:rPr>
          <w:rFonts w:eastAsia="標楷體"/>
          <w:szCs w:val="22"/>
        </w:rPr>
        <w:t>識</w:t>
      </w:r>
      <w:r w:rsidR="0089106D">
        <w:rPr>
          <w:rFonts w:ascii="標楷體" w:eastAsia="標楷體" w:hAnsi="標楷體" w:hint="eastAsia"/>
          <w:color w:val="FF0000"/>
          <w:spacing w:val="-4"/>
          <w:kern w:val="0"/>
          <w:highlight w:val="yellow"/>
        </w:rPr>
        <w:t>、</w:t>
      </w:r>
      <w:r w:rsidRPr="00043A1E">
        <w:rPr>
          <w:rFonts w:eastAsia="標楷體"/>
          <w:szCs w:val="22"/>
        </w:rPr>
        <w:t>解</w:t>
      </w:r>
      <w:r w:rsidR="0089106D">
        <w:rPr>
          <w:rFonts w:ascii="標楷體" w:eastAsia="標楷體" w:hAnsi="標楷體" w:hint="eastAsia"/>
          <w:bCs/>
          <w:color w:val="FF0000"/>
          <w:kern w:val="0"/>
          <w:highlight w:val="yellow"/>
        </w:rPr>
        <w:t>」</w:t>
      </w:r>
      <w:r w:rsidRPr="00043A1E">
        <w:rPr>
          <w:rFonts w:eastAsia="標楷體" w:hint="eastAsia"/>
          <w:szCs w:val="22"/>
        </w:rPr>
        <w:t>──</w:t>
      </w:r>
      <w:r w:rsidRPr="00043A1E">
        <w:rPr>
          <w:rFonts w:eastAsia="標楷體"/>
          <w:szCs w:val="22"/>
        </w:rPr>
        <w:t>如是等法名為</w:t>
      </w:r>
      <w:r w:rsidR="0089106D">
        <w:rPr>
          <w:rFonts w:ascii="標楷體" w:eastAsia="標楷體" w:hAnsi="標楷體" w:hint="eastAsia"/>
          <w:bCs/>
          <w:color w:val="FF0000"/>
          <w:kern w:val="0"/>
          <w:highlight w:val="yellow"/>
        </w:rPr>
        <w:t>「</w:t>
      </w:r>
      <w:r w:rsidRPr="00043A1E">
        <w:rPr>
          <w:rFonts w:eastAsia="標楷體"/>
          <w:szCs w:val="22"/>
        </w:rPr>
        <w:t>如</w:t>
      </w:r>
      <w:r w:rsidR="0089106D">
        <w:rPr>
          <w:rFonts w:ascii="標楷體" w:eastAsia="標楷體" w:hAnsi="標楷體" w:hint="eastAsia"/>
          <w:bCs/>
          <w:color w:val="FF0000"/>
          <w:kern w:val="0"/>
          <w:highlight w:val="yellow"/>
        </w:rPr>
        <w:t>」</w:t>
      </w:r>
      <w:r w:rsidRPr="0089106D">
        <w:rPr>
          <w:rFonts w:eastAsia="標楷體"/>
          <w:szCs w:val="22"/>
          <w:highlight w:val="yellow"/>
        </w:rPr>
        <w:t>。</w:t>
      </w:r>
    </w:p>
    <w:p w:rsidR="00157EF6" w:rsidRPr="00043A1E" w:rsidRDefault="00157EF6" w:rsidP="00AA120F">
      <w:pPr>
        <w:pStyle w:val="a5"/>
        <w:ind w:leftChars="105" w:left="791" w:hangingChars="245" w:hanging="539"/>
        <w:jc w:val="both"/>
        <w:rPr>
          <w:szCs w:val="22"/>
        </w:rPr>
      </w:pPr>
      <w:r w:rsidRPr="00043A1E">
        <w:rPr>
          <w:szCs w:val="22"/>
        </w:rPr>
        <w:t>（</w:t>
      </w:r>
      <w:r w:rsidRPr="00761EF3">
        <w:rPr>
          <w:szCs w:val="22"/>
        </w:rPr>
        <w:t>2</w:t>
      </w:r>
      <w:r w:rsidRPr="00043A1E">
        <w:rPr>
          <w:szCs w:val="22"/>
        </w:rPr>
        <w:t>）《大智度論》卷</w:t>
      </w:r>
      <w:r w:rsidRPr="00761EF3">
        <w:rPr>
          <w:szCs w:val="22"/>
        </w:rPr>
        <w:t>54</w:t>
      </w:r>
      <w:r w:rsidR="00287E83">
        <w:rPr>
          <w:rFonts w:hint="eastAsia"/>
          <w:color w:val="FF0000"/>
          <w:szCs w:val="22"/>
          <w:highlight w:val="yellow"/>
        </w:rPr>
        <w:t>釋</w:t>
      </w:r>
      <w:r w:rsidRPr="00043A1E">
        <w:rPr>
          <w:szCs w:val="22"/>
        </w:rPr>
        <w:t>〈</w:t>
      </w:r>
      <w:r w:rsidRPr="00761EF3">
        <w:rPr>
          <w:szCs w:val="22"/>
        </w:rPr>
        <w:t>27</w:t>
      </w:r>
      <w:r w:rsidRPr="00043A1E">
        <w:rPr>
          <w:szCs w:val="22"/>
        </w:rPr>
        <w:t xml:space="preserve"> </w:t>
      </w:r>
      <w:r w:rsidRPr="00043A1E">
        <w:rPr>
          <w:szCs w:val="22"/>
        </w:rPr>
        <w:t>天主品〉（大正</w:t>
      </w:r>
      <w:r w:rsidRPr="00761EF3">
        <w:rPr>
          <w:szCs w:val="22"/>
        </w:rPr>
        <w:t>25</w:t>
      </w:r>
      <w:r w:rsidRPr="00043A1E">
        <w:rPr>
          <w:szCs w:val="22"/>
        </w:rPr>
        <w:t>，</w:t>
      </w:r>
      <w:r w:rsidRPr="00761EF3">
        <w:rPr>
          <w:szCs w:val="22"/>
        </w:rPr>
        <w:t>444b14</w:t>
      </w:r>
      <w:r w:rsidRPr="00043A1E">
        <w:rPr>
          <w:szCs w:val="22"/>
        </w:rPr>
        <w:t>-</w:t>
      </w:r>
      <w:r w:rsidRPr="00761EF3">
        <w:rPr>
          <w:szCs w:val="22"/>
        </w:rPr>
        <w:t>22</w:t>
      </w:r>
      <w:r w:rsidRPr="00043A1E">
        <w:rPr>
          <w:szCs w:val="22"/>
        </w:rPr>
        <w:t>）：</w:t>
      </w:r>
    </w:p>
    <w:p w:rsidR="00157EF6" w:rsidRPr="00043A1E" w:rsidRDefault="00157EF6" w:rsidP="00AA120F">
      <w:pPr>
        <w:pStyle w:val="a5"/>
        <w:ind w:leftChars="335" w:left="804"/>
        <w:jc w:val="both"/>
        <w:rPr>
          <w:rFonts w:ascii="標楷體" w:eastAsia="標楷體" w:hAnsi="標楷體" w:cs="Times Ext Roman"/>
          <w:szCs w:val="22"/>
        </w:rPr>
      </w:pPr>
      <w:r w:rsidRPr="00043A1E">
        <w:rPr>
          <w:rFonts w:ascii="標楷體" w:eastAsia="標楷體" w:hAnsi="標楷體" w:cs="Times Ext Roman" w:hint="eastAsia"/>
          <w:szCs w:val="22"/>
        </w:rPr>
        <w:t>諸法空、無我、無眾生，而從因緣</w:t>
      </w:r>
      <w:r w:rsidRPr="0089106D">
        <w:rPr>
          <w:rFonts w:ascii="標楷體" w:eastAsia="標楷體" w:hAnsi="標楷體" w:cs="Times Ext Roman" w:hint="eastAsia"/>
          <w:szCs w:val="22"/>
          <w:highlight w:val="yellow"/>
        </w:rPr>
        <w:t>故有</w:t>
      </w:r>
      <w:r w:rsidRPr="00043A1E">
        <w:rPr>
          <w:rFonts w:ascii="標楷體" w:eastAsia="標楷體" w:hAnsi="標楷體" w:cs="Times Ext Roman" w:hint="eastAsia"/>
          <w:szCs w:val="22"/>
        </w:rPr>
        <w:t>四大、六識，是十法各各有力，能生</w:t>
      </w:r>
      <w:r w:rsidR="0089106D">
        <w:rPr>
          <w:rFonts w:ascii="標楷體" w:eastAsia="標楷體" w:hAnsi="標楷體" w:hint="eastAsia"/>
          <w:color w:val="FF0000"/>
          <w:spacing w:val="-4"/>
          <w:kern w:val="0"/>
          <w:highlight w:val="yellow"/>
        </w:rPr>
        <w:t>、</w:t>
      </w:r>
      <w:r w:rsidRPr="00043A1E">
        <w:rPr>
          <w:rFonts w:ascii="標楷體" w:eastAsia="標楷體" w:hAnsi="標楷體" w:cs="Times Ext Roman" w:hint="eastAsia"/>
          <w:szCs w:val="22"/>
        </w:rPr>
        <w:t>能起</w:t>
      </w:r>
      <w:r w:rsidR="0089106D">
        <w:rPr>
          <w:rFonts w:ascii="標楷體" w:eastAsia="標楷體" w:hAnsi="標楷體" w:hint="eastAsia"/>
          <w:color w:val="FF0000"/>
          <w:spacing w:val="-4"/>
          <w:kern w:val="0"/>
          <w:highlight w:val="yellow"/>
        </w:rPr>
        <w:t>、</w:t>
      </w:r>
      <w:r w:rsidRPr="00043A1E">
        <w:rPr>
          <w:rFonts w:ascii="標楷體" w:eastAsia="標楷體" w:hAnsi="標楷體" w:cs="Times Ext Roman" w:hint="eastAsia"/>
          <w:szCs w:val="22"/>
        </w:rPr>
        <w:t>能有所作</w:t>
      </w:r>
      <w:r>
        <w:rPr>
          <w:rFonts w:ascii="標楷體" w:eastAsia="標楷體" w:hAnsi="標楷體" w:cs="Times Ext Roman" w:hint="eastAsia"/>
          <w:szCs w:val="22"/>
        </w:rPr>
        <w:t>──</w:t>
      </w:r>
      <w:r w:rsidRPr="00043A1E">
        <w:rPr>
          <w:rFonts w:ascii="標楷體" w:eastAsia="標楷體" w:hAnsi="標楷體" w:cs="Times Ext Roman" w:hint="eastAsia"/>
          <w:b/>
          <w:szCs w:val="22"/>
        </w:rPr>
        <w:t>如地能持，水能爛，火能消，風能迴轉，識能分別</w:t>
      </w:r>
      <w:r w:rsidRPr="00043A1E">
        <w:rPr>
          <w:rFonts w:ascii="標楷體" w:eastAsia="標楷體" w:hAnsi="標楷體" w:cs="Times Ext Roman" w:hint="eastAsia"/>
          <w:szCs w:val="22"/>
        </w:rPr>
        <w:t>。是十法各有所作</w:t>
      </w:r>
      <w:r w:rsidR="0089106D">
        <w:rPr>
          <w:rFonts w:ascii="標楷體" w:eastAsia="標楷體" w:hAnsi="標楷體" w:hint="eastAsia"/>
          <w:color w:val="FF0000"/>
          <w:spacing w:val="-4"/>
          <w:kern w:val="0"/>
          <w:highlight w:val="yellow"/>
        </w:rPr>
        <w:t>；</w:t>
      </w:r>
      <w:r w:rsidRPr="00043A1E">
        <w:rPr>
          <w:rFonts w:ascii="標楷體" w:eastAsia="標楷體" w:hAnsi="標楷體" w:cs="Times Ext Roman" w:hint="eastAsia"/>
          <w:szCs w:val="22"/>
        </w:rPr>
        <w:t>眾生顛倒故，謂是人作、我作。如皮</w:t>
      </w:r>
      <w:r w:rsidR="0089106D">
        <w:rPr>
          <w:rFonts w:ascii="標楷體" w:eastAsia="標楷體" w:hAnsi="標楷體" w:hint="eastAsia"/>
          <w:color w:val="FF0000"/>
          <w:spacing w:val="-4"/>
          <w:kern w:val="0"/>
          <w:highlight w:val="yellow"/>
        </w:rPr>
        <w:t>、</w:t>
      </w:r>
      <w:r w:rsidRPr="00043A1E">
        <w:rPr>
          <w:rFonts w:ascii="標楷體" w:eastAsia="標楷體" w:hAnsi="標楷體" w:cs="Times Ext Roman" w:hint="eastAsia"/>
          <w:szCs w:val="22"/>
        </w:rPr>
        <w:t>骨和合故有語聲，或者謂人語</w:t>
      </w:r>
      <w:r w:rsidR="0089106D">
        <w:rPr>
          <w:rFonts w:ascii="標楷體" w:eastAsia="標楷體" w:hAnsi="標楷體" w:hint="eastAsia"/>
          <w:color w:val="FF0000"/>
          <w:spacing w:val="-4"/>
          <w:kern w:val="0"/>
          <w:highlight w:val="yellow"/>
        </w:rPr>
        <w:t>；</w:t>
      </w:r>
      <w:r w:rsidRPr="00043A1E">
        <w:rPr>
          <w:rFonts w:ascii="標楷體" w:eastAsia="標楷體" w:hAnsi="標楷體" w:cs="Times Ext Roman" w:hint="eastAsia"/>
          <w:szCs w:val="22"/>
        </w:rPr>
        <w:t>如火燒乾竹林，出大音聲，此中無有作者</w:t>
      </w:r>
      <w:r w:rsidR="0089106D">
        <w:rPr>
          <w:rFonts w:ascii="標楷體" w:eastAsia="標楷體" w:hAnsi="標楷體" w:hint="eastAsia"/>
          <w:color w:val="FF0000"/>
          <w:spacing w:val="-4"/>
          <w:kern w:val="0"/>
          <w:highlight w:val="yellow"/>
        </w:rPr>
        <w:t>；</w:t>
      </w:r>
      <w:r w:rsidRPr="00043A1E">
        <w:rPr>
          <w:rFonts w:ascii="標楷體" w:eastAsia="標楷體" w:hAnsi="標楷體" w:cs="Times Ext Roman" w:hint="eastAsia"/>
          <w:szCs w:val="22"/>
        </w:rPr>
        <w:t>又如木人、幻人、化人，雖能動作，無有作者</w:t>
      </w:r>
      <w:r w:rsidR="0089106D">
        <w:rPr>
          <w:rFonts w:ascii="標楷體" w:eastAsia="標楷體" w:hAnsi="標楷體" w:hint="eastAsia"/>
          <w:color w:val="FF0000"/>
          <w:kern w:val="0"/>
          <w:highlight w:val="yellow"/>
        </w:rPr>
        <w:t>。</w:t>
      </w:r>
      <w:r w:rsidRPr="00043A1E">
        <w:rPr>
          <w:rFonts w:ascii="標楷體" w:eastAsia="標楷體" w:hAnsi="標楷體" w:cs="Times Ext Roman" w:hint="eastAsia"/>
          <w:szCs w:val="22"/>
        </w:rPr>
        <w:t>此十法</w:t>
      </w:r>
      <w:r w:rsidR="0089106D">
        <w:rPr>
          <w:rFonts w:ascii="標楷體" w:eastAsia="標楷體" w:hAnsi="標楷體" w:hint="eastAsia"/>
          <w:color w:val="FF0000"/>
          <w:kern w:val="0"/>
          <w:highlight w:val="yellow"/>
        </w:rPr>
        <w:t>，</w:t>
      </w:r>
      <w:r w:rsidRPr="00043A1E">
        <w:rPr>
          <w:rFonts w:ascii="標楷體" w:eastAsia="標楷體" w:hAnsi="標楷體" w:cs="Times Ext Roman" w:hint="eastAsia"/>
          <w:szCs w:val="22"/>
        </w:rPr>
        <w:t>亦如是。</w:t>
      </w:r>
    </w:p>
  </w:footnote>
  <w:footnote w:id="809">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四大：地、水、火、風。</w:t>
      </w:r>
    </w:p>
  </w:footnote>
  <w:footnote w:id="810">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）《阿毘達磨品類足論》卷</w:t>
      </w:r>
      <w:r w:rsidRPr="00761EF3">
        <w:rPr>
          <w:rFonts w:hint="eastAsia"/>
          <w:szCs w:val="22"/>
        </w:rPr>
        <w:t>1</w:t>
      </w:r>
      <w:r w:rsidRPr="00043A1E">
        <w:rPr>
          <w:rFonts w:hint="eastAsia"/>
          <w:szCs w:val="22"/>
        </w:rPr>
        <w:t>〈</w:t>
      </w:r>
      <w:r w:rsidRPr="00761EF3">
        <w:rPr>
          <w:rFonts w:hint="eastAsia"/>
          <w:szCs w:val="22"/>
        </w:rPr>
        <w:t>1</w:t>
      </w:r>
      <w:r w:rsidRPr="00043A1E">
        <w:rPr>
          <w:rFonts w:hint="eastAsia"/>
          <w:szCs w:val="22"/>
        </w:rPr>
        <w:t xml:space="preserve"> </w:t>
      </w:r>
      <w:r w:rsidRPr="00043A1E">
        <w:rPr>
          <w:rFonts w:hint="eastAsia"/>
          <w:szCs w:val="22"/>
        </w:rPr>
        <w:t>辯五事品〉</w:t>
      </w:r>
      <w:r w:rsidRPr="00043A1E">
        <w:rPr>
          <w:szCs w:val="22"/>
        </w:rPr>
        <w:t>（大正</w:t>
      </w:r>
      <w:r w:rsidRPr="00761EF3">
        <w:rPr>
          <w:szCs w:val="22"/>
        </w:rPr>
        <w:t>26</w:t>
      </w:r>
      <w:r w:rsidRPr="00043A1E">
        <w:rPr>
          <w:szCs w:val="22"/>
        </w:rPr>
        <w:t>，</w:t>
      </w:r>
      <w:r w:rsidRPr="00761EF3">
        <w:rPr>
          <w:szCs w:val="22"/>
        </w:rPr>
        <w:t>692b26</w:t>
      </w:r>
      <w:r w:rsidRPr="00043A1E">
        <w:rPr>
          <w:szCs w:val="22"/>
        </w:rPr>
        <w:t>-</w:t>
      </w:r>
      <w:r w:rsidRPr="00761EF3">
        <w:rPr>
          <w:szCs w:val="22"/>
        </w:rPr>
        <w:t>27</w:t>
      </w:r>
      <w:r w:rsidRPr="00043A1E">
        <w:rPr>
          <w:szCs w:val="22"/>
        </w:rPr>
        <w:t>）</w:t>
      </w:r>
      <w:r w:rsidRPr="00043A1E">
        <w:rPr>
          <w:rFonts w:hint="eastAsia"/>
          <w:szCs w:val="22"/>
        </w:rPr>
        <w:t>：</w:t>
      </w:r>
    </w:p>
    <w:p w:rsidR="00157EF6" w:rsidRPr="00043A1E" w:rsidRDefault="0089106D" w:rsidP="00AA120F">
      <w:pPr>
        <w:pStyle w:val="a5"/>
        <w:ind w:leftChars="335" w:left="804"/>
        <w:jc w:val="both"/>
        <w:rPr>
          <w:szCs w:val="22"/>
        </w:rPr>
      </w:pP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所造色</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者，謂眼根、耳根、鼻根、舌根、身</w:t>
      </w:r>
      <w:r w:rsidR="00157EF6" w:rsidRPr="00043A1E">
        <w:rPr>
          <w:rFonts w:eastAsia="標楷體"/>
          <w:szCs w:val="22"/>
        </w:rPr>
        <w:t>根，色、聲、香、味、所觸一分，及無表色。</w:t>
      </w:r>
    </w:p>
    <w:p w:rsidR="00157EF6" w:rsidRPr="00043A1E" w:rsidRDefault="00157EF6" w:rsidP="00AA120F">
      <w:pPr>
        <w:pStyle w:val="a5"/>
        <w:ind w:leftChars="105" w:left="791" w:hangingChars="245" w:hanging="539"/>
        <w:jc w:val="both"/>
        <w:rPr>
          <w:szCs w:val="22"/>
        </w:rPr>
      </w:pPr>
      <w:r w:rsidRPr="00043A1E">
        <w:rPr>
          <w:szCs w:val="22"/>
        </w:rPr>
        <w:t>（</w:t>
      </w:r>
      <w:r w:rsidRPr="00761EF3">
        <w:rPr>
          <w:szCs w:val="22"/>
        </w:rPr>
        <w:t>2</w:t>
      </w:r>
      <w:r w:rsidRPr="00043A1E">
        <w:rPr>
          <w:szCs w:val="22"/>
        </w:rPr>
        <w:t>）</w:t>
      </w:r>
      <w:r w:rsidR="00345AE8" w:rsidRPr="00345AE8">
        <w:rPr>
          <w:rFonts w:hint="eastAsia"/>
          <w:color w:val="FF0000"/>
          <w:szCs w:val="22"/>
          <w:highlight w:val="yellow"/>
        </w:rPr>
        <w:t>安慧造，</w:t>
      </w:r>
      <w:r w:rsidRPr="00043A1E">
        <w:rPr>
          <w:szCs w:val="22"/>
        </w:rPr>
        <w:t>《大乘廣五蘊論</w:t>
      </w:r>
      <w:r w:rsidRPr="00345AE8">
        <w:rPr>
          <w:szCs w:val="22"/>
          <w:highlight w:val="yellow"/>
        </w:rPr>
        <w:t>》</w:t>
      </w:r>
      <w:r w:rsidRPr="00345AE8">
        <w:rPr>
          <w:rFonts w:hint="eastAsia"/>
          <w:szCs w:val="22"/>
          <w:highlight w:val="yellow"/>
        </w:rPr>
        <w:t>（</w:t>
      </w:r>
      <w:r w:rsidRPr="00043A1E">
        <w:rPr>
          <w:rFonts w:hint="eastAsia"/>
          <w:szCs w:val="22"/>
        </w:rPr>
        <w:t>大正</w:t>
      </w:r>
      <w:r w:rsidRPr="00761EF3">
        <w:rPr>
          <w:rFonts w:hint="eastAsia"/>
          <w:szCs w:val="22"/>
        </w:rPr>
        <w:t>31</w:t>
      </w:r>
      <w:r w:rsidRPr="00043A1E">
        <w:rPr>
          <w:rFonts w:hint="eastAsia"/>
          <w:szCs w:val="22"/>
        </w:rPr>
        <w:t>，</w:t>
      </w:r>
      <w:r w:rsidRPr="00761EF3">
        <w:rPr>
          <w:szCs w:val="22"/>
        </w:rPr>
        <w:t>850c24</w:t>
      </w:r>
      <w:r w:rsidRPr="00043A1E">
        <w:rPr>
          <w:szCs w:val="22"/>
        </w:rPr>
        <w:t>-</w:t>
      </w:r>
      <w:r w:rsidRPr="00761EF3">
        <w:rPr>
          <w:szCs w:val="22"/>
        </w:rPr>
        <w:t>25</w:t>
      </w:r>
      <w:r w:rsidRPr="00043A1E">
        <w:rPr>
          <w:rFonts w:hint="eastAsia"/>
          <w:szCs w:val="22"/>
        </w:rPr>
        <w:t>）</w:t>
      </w:r>
      <w:r w:rsidRPr="00043A1E">
        <w:rPr>
          <w:szCs w:val="22"/>
        </w:rPr>
        <w:t>：</w:t>
      </w:r>
    </w:p>
    <w:p w:rsidR="00157EF6" w:rsidRPr="00043A1E" w:rsidRDefault="00157EF6" w:rsidP="00AA120F">
      <w:pPr>
        <w:pStyle w:val="a5"/>
        <w:ind w:leftChars="335" w:left="804"/>
        <w:jc w:val="both"/>
        <w:rPr>
          <w:szCs w:val="22"/>
        </w:rPr>
      </w:pPr>
      <w:r w:rsidRPr="00043A1E">
        <w:rPr>
          <w:rFonts w:eastAsia="標楷體"/>
          <w:szCs w:val="22"/>
        </w:rPr>
        <w:t>云何</w:t>
      </w:r>
      <w:r w:rsidR="0089106D">
        <w:rPr>
          <w:rFonts w:ascii="標楷體" w:eastAsia="標楷體" w:hAnsi="標楷體" w:hint="eastAsia"/>
          <w:bCs/>
          <w:color w:val="FF0000"/>
          <w:kern w:val="0"/>
          <w:highlight w:val="yellow"/>
        </w:rPr>
        <w:t>「</w:t>
      </w:r>
      <w:r w:rsidRPr="00043A1E">
        <w:rPr>
          <w:rFonts w:eastAsia="標楷體"/>
          <w:szCs w:val="22"/>
        </w:rPr>
        <w:t>四大所造色</w:t>
      </w:r>
      <w:r w:rsidR="0089106D">
        <w:rPr>
          <w:rFonts w:ascii="標楷體" w:eastAsia="標楷體" w:hAnsi="標楷體" w:hint="eastAsia"/>
          <w:bCs/>
          <w:color w:val="FF0000"/>
          <w:kern w:val="0"/>
          <w:highlight w:val="yellow"/>
        </w:rPr>
        <w:t>」</w:t>
      </w:r>
      <w:r w:rsidRPr="00043A1E">
        <w:rPr>
          <w:rFonts w:eastAsia="標楷體"/>
          <w:szCs w:val="22"/>
        </w:rPr>
        <w:t>？謂眼根、耳根、鼻根、舌根、身根</w:t>
      </w:r>
      <w:r w:rsidRPr="00043A1E">
        <w:rPr>
          <w:rFonts w:eastAsia="標楷體" w:hint="eastAsia"/>
          <w:szCs w:val="22"/>
        </w:rPr>
        <w:t>，</w:t>
      </w:r>
      <w:r w:rsidRPr="00043A1E">
        <w:rPr>
          <w:rFonts w:eastAsia="標楷體"/>
          <w:szCs w:val="22"/>
        </w:rPr>
        <w:t>色</w:t>
      </w:r>
      <w:r w:rsidRPr="00043A1E">
        <w:rPr>
          <w:rFonts w:eastAsia="標楷體" w:hint="eastAsia"/>
          <w:szCs w:val="22"/>
        </w:rPr>
        <w:t>、</w:t>
      </w:r>
      <w:r w:rsidRPr="00043A1E">
        <w:rPr>
          <w:rFonts w:eastAsia="標楷體"/>
          <w:szCs w:val="22"/>
        </w:rPr>
        <w:t>聲</w:t>
      </w:r>
      <w:r w:rsidRPr="00043A1E">
        <w:rPr>
          <w:rFonts w:eastAsia="標楷體" w:hint="eastAsia"/>
          <w:szCs w:val="22"/>
        </w:rPr>
        <w:t>、</w:t>
      </w:r>
      <w:r w:rsidRPr="00043A1E">
        <w:rPr>
          <w:rFonts w:eastAsia="標楷體"/>
          <w:szCs w:val="22"/>
        </w:rPr>
        <w:t>香</w:t>
      </w:r>
      <w:r w:rsidRPr="00043A1E">
        <w:rPr>
          <w:rFonts w:eastAsia="標楷體" w:hint="eastAsia"/>
          <w:szCs w:val="22"/>
        </w:rPr>
        <w:t>、</w:t>
      </w:r>
      <w:r w:rsidRPr="00043A1E">
        <w:rPr>
          <w:rFonts w:eastAsia="標楷體"/>
          <w:szCs w:val="22"/>
        </w:rPr>
        <w:t>味及觸一分、無表色等。</w:t>
      </w:r>
    </w:p>
    <w:p w:rsidR="00157EF6" w:rsidRPr="00043A1E" w:rsidRDefault="00157EF6" w:rsidP="00345AE8">
      <w:pPr>
        <w:pStyle w:val="a5"/>
        <w:ind w:leftChars="105" w:left="1132" w:hangingChars="400" w:hanging="880"/>
        <w:jc w:val="both"/>
        <w:rPr>
          <w:szCs w:val="22"/>
        </w:rPr>
      </w:pPr>
      <w:r w:rsidRPr="00043A1E">
        <w:rPr>
          <w:szCs w:val="22"/>
        </w:rPr>
        <w:t>（</w:t>
      </w:r>
      <w:r w:rsidRPr="00761EF3">
        <w:rPr>
          <w:szCs w:val="22"/>
        </w:rPr>
        <w:t>3</w:t>
      </w:r>
      <w:r w:rsidRPr="00043A1E">
        <w:rPr>
          <w:szCs w:val="22"/>
        </w:rPr>
        <w:t>）案：「觸」有能造觸及所造觸。能造觸是指堅、濕、煖、動，所造觸是指滑、澀、重、輕、冷、飢、渴。參見《阿毘達磨俱舍釋論》卷</w:t>
      </w:r>
      <w:r w:rsidRPr="00761EF3">
        <w:rPr>
          <w:szCs w:val="22"/>
        </w:rPr>
        <w:t>1</w:t>
      </w:r>
      <w:r w:rsidRPr="00043A1E">
        <w:rPr>
          <w:szCs w:val="22"/>
        </w:rPr>
        <w:t>〈</w:t>
      </w:r>
      <w:r w:rsidRPr="00761EF3">
        <w:rPr>
          <w:szCs w:val="22"/>
        </w:rPr>
        <w:t>1</w:t>
      </w:r>
      <w:r w:rsidRPr="00043A1E">
        <w:rPr>
          <w:szCs w:val="22"/>
        </w:rPr>
        <w:t xml:space="preserve"> </w:t>
      </w:r>
      <w:r w:rsidRPr="00043A1E">
        <w:rPr>
          <w:szCs w:val="22"/>
        </w:rPr>
        <w:t>分別界品〉</w:t>
      </w:r>
      <w:r w:rsidRPr="00043A1E">
        <w:rPr>
          <w:rFonts w:hint="eastAsia"/>
          <w:szCs w:val="22"/>
        </w:rPr>
        <w:t>（大正</w:t>
      </w:r>
      <w:r w:rsidRPr="00761EF3">
        <w:rPr>
          <w:rFonts w:hint="eastAsia"/>
          <w:szCs w:val="22"/>
        </w:rPr>
        <w:t>29</w:t>
      </w:r>
      <w:r w:rsidRPr="00043A1E">
        <w:rPr>
          <w:rFonts w:hint="eastAsia"/>
          <w:szCs w:val="22"/>
        </w:rPr>
        <w:t>，</w:t>
      </w:r>
      <w:r w:rsidRPr="00761EF3">
        <w:rPr>
          <w:szCs w:val="22"/>
        </w:rPr>
        <w:t>168b24</w:t>
      </w:r>
      <w:r w:rsidRPr="00043A1E">
        <w:rPr>
          <w:szCs w:val="22"/>
        </w:rPr>
        <w:t>-</w:t>
      </w:r>
      <w:r w:rsidRPr="00761EF3">
        <w:rPr>
          <w:szCs w:val="22"/>
        </w:rPr>
        <w:t>27</w:t>
      </w:r>
      <w:r w:rsidRPr="00043A1E">
        <w:rPr>
          <w:rFonts w:hint="eastAsia"/>
          <w:szCs w:val="22"/>
        </w:rPr>
        <w:t>）</w:t>
      </w:r>
      <w:r w:rsidRPr="00043A1E">
        <w:rPr>
          <w:szCs w:val="22"/>
        </w:rPr>
        <w:t>：「</w:t>
      </w:r>
      <w:r w:rsidRPr="00043A1E">
        <w:rPr>
          <w:rFonts w:ascii="標楷體" w:eastAsia="標楷體" w:hAnsi="標楷體"/>
          <w:szCs w:val="22"/>
        </w:rPr>
        <w:t>偈曰：觸界有二種。釋曰：觸有四大及四大所造。</w:t>
      </w:r>
      <w:r w:rsidR="00345AE8">
        <w:rPr>
          <w:rFonts w:eastAsia="標楷體" w:hint="eastAsia"/>
          <w:color w:val="FF0000"/>
          <w:szCs w:val="22"/>
          <w:highlight w:val="yellow"/>
        </w:rPr>
        <w:t>『</w:t>
      </w:r>
      <w:r w:rsidRPr="00043A1E">
        <w:rPr>
          <w:rFonts w:ascii="標楷體" w:eastAsia="標楷體" w:hAnsi="標楷體"/>
          <w:szCs w:val="22"/>
        </w:rPr>
        <w:t>堅</w:t>
      </w:r>
      <w:r w:rsidR="00345AE8">
        <w:rPr>
          <w:rFonts w:eastAsia="標楷體" w:hint="eastAsia"/>
          <w:color w:val="FF0000"/>
          <w:szCs w:val="22"/>
          <w:highlight w:val="yellow"/>
        </w:rPr>
        <w:t>』</w:t>
      </w:r>
      <w:r w:rsidRPr="00043A1E">
        <w:rPr>
          <w:rFonts w:ascii="標楷體" w:eastAsia="標楷體" w:hAnsi="標楷體"/>
          <w:szCs w:val="22"/>
        </w:rPr>
        <w:t>等四觸是四大</w:t>
      </w:r>
      <w:r w:rsidR="00345AE8">
        <w:rPr>
          <w:rFonts w:ascii="標楷體" w:eastAsia="標楷體" w:hAnsi="標楷體" w:hint="eastAsia"/>
          <w:color w:val="FF0000"/>
          <w:spacing w:val="-4"/>
          <w:kern w:val="0"/>
          <w:highlight w:val="yellow"/>
        </w:rPr>
        <w:t>；</w:t>
      </w:r>
      <w:r w:rsidR="00345AE8">
        <w:rPr>
          <w:rFonts w:eastAsia="標楷體" w:hint="eastAsia"/>
          <w:color w:val="FF0000"/>
          <w:szCs w:val="22"/>
          <w:highlight w:val="yellow"/>
        </w:rPr>
        <w:t>『</w:t>
      </w:r>
      <w:r w:rsidRPr="00043A1E">
        <w:rPr>
          <w:rFonts w:ascii="標楷體" w:eastAsia="標楷體" w:hAnsi="標楷體"/>
          <w:szCs w:val="22"/>
        </w:rPr>
        <w:t>軟滑</w:t>
      </w:r>
      <w:r w:rsidR="00345AE8">
        <w:rPr>
          <w:rFonts w:eastAsia="標楷體" w:hint="eastAsia"/>
          <w:color w:val="FF0000"/>
          <w:szCs w:val="22"/>
          <w:highlight w:val="yellow"/>
        </w:rPr>
        <w:t>』</w:t>
      </w:r>
      <w:r w:rsidRPr="00043A1E">
        <w:rPr>
          <w:rFonts w:ascii="標楷體" w:eastAsia="標楷體" w:hAnsi="標楷體"/>
          <w:szCs w:val="22"/>
        </w:rPr>
        <w:t>等七觸是四大所造，依</w:t>
      </w:r>
      <w:r w:rsidR="00345AE8">
        <w:rPr>
          <w:rFonts w:eastAsia="標楷體" w:hint="eastAsia"/>
          <w:color w:val="FF0000"/>
          <w:szCs w:val="22"/>
          <w:highlight w:val="yellow"/>
        </w:rPr>
        <w:t>『</w:t>
      </w:r>
      <w:r w:rsidRPr="00043A1E">
        <w:rPr>
          <w:rFonts w:ascii="標楷體" w:eastAsia="標楷體" w:hAnsi="標楷體"/>
          <w:szCs w:val="22"/>
        </w:rPr>
        <w:t>四大</w:t>
      </w:r>
      <w:r w:rsidR="00345AE8">
        <w:rPr>
          <w:rFonts w:eastAsia="標楷體" w:hint="eastAsia"/>
          <w:color w:val="FF0000"/>
          <w:szCs w:val="22"/>
          <w:highlight w:val="yellow"/>
        </w:rPr>
        <w:t>』</w:t>
      </w:r>
      <w:r w:rsidRPr="00043A1E">
        <w:rPr>
          <w:rFonts w:ascii="標楷體" w:eastAsia="標楷體" w:hAnsi="標楷體"/>
          <w:szCs w:val="22"/>
        </w:rPr>
        <w:t>生故名</w:t>
      </w:r>
      <w:r w:rsidR="00345AE8">
        <w:rPr>
          <w:rFonts w:eastAsia="標楷體" w:hint="eastAsia"/>
          <w:color w:val="FF0000"/>
          <w:szCs w:val="22"/>
          <w:highlight w:val="yellow"/>
        </w:rPr>
        <w:t>『</w:t>
      </w:r>
      <w:r w:rsidRPr="00043A1E">
        <w:rPr>
          <w:rFonts w:ascii="標楷體" w:eastAsia="標楷體" w:hAnsi="標楷體"/>
          <w:szCs w:val="22"/>
        </w:rPr>
        <w:t>所造</w:t>
      </w:r>
      <w:r w:rsidR="00345AE8">
        <w:rPr>
          <w:rFonts w:eastAsia="標楷體" w:hint="eastAsia"/>
          <w:color w:val="FF0000"/>
          <w:szCs w:val="22"/>
          <w:highlight w:val="yellow"/>
        </w:rPr>
        <w:t>』</w:t>
      </w:r>
      <w:r w:rsidRPr="00043A1E">
        <w:rPr>
          <w:rFonts w:ascii="標楷體" w:eastAsia="標楷體" w:hAnsi="標楷體"/>
          <w:szCs w:val="22"/>
        </w:rPr>
        <w:t>。</w:t>
      </w:r>
      <w:r w:rsidRPr="00043A1E">
        <w:rPr>
          <w:szCs w:val="22"/>
        </w:rPr>
        <w:t>」</w:t>
      </w:r>
    </w:p>
  </w:footnote>
  <w:footnote w:id="811">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）《雜阿含經》卷</w:t>
      </w:r>
      <w:r w:rsidRPr="00761EF3">
        <w:rPr>
          <w:rFonts w:hint="eastAsia"/>
          <w:szCs w:val="22"/>
        </w:rPr>
        <w:t>3</w:t>
      </w:r>
      <w:r>
        <w:rPr>
          <w:rFonts w:hint="eastAsia"/>
          <w:szCs w:val="22"/>
        </w:rPr>
        <w:t>（</w:t>
      </w:r>
      <w:r w:rsidRPr="00761EF3">
        <w:rPr>
          <w:rFonts w:hint="eastAsia"/>
          <w:szCs w:val="22"/>
        </w:rPr>
        <w:t>61</w:t>
      </w:r>
      <w:r w:rsidRPr="00043A1E">
        <w:rPr>
          <w:rFonts w:hint="eastAsia"/>
          <w:szCs w:val="22"/>
        </w:rPr>
        <w:t>經）</w:t>
      </w:r>
      <w:r w:rsidRPr="00043A1E">
        <w:rPr>
          <w:rFonts w:ascii="Times Ext Roman" w:hAnsi="Times Ext Roman" w:cs="Times Ext Roman"/>
          <w:szCs w:val="22"/>
        </w:rPr>
        <w:t>（</w:t>
      </w:r>
      <w:r w:rsidRPr="00043A1E">
        <w:rPr>
          <w:rFonts w:ascii="Times Ext Roman" w:hAnsi="新細明體" w:cs="Times Ext Roman"/>
          <w:szCs w:val="22"/>
        </w:rPr>
        <w:t>大正</w:t>
      </w:r>
      <w:r w:rsidRPr="00761EF3">
        <w:rPr>
          <w:szCs w:val="22"/>
        </w:rPr>
        <w:t>2</w:t>
      </w:r>
      <w:r w:rsidRPr="00043A1E">
        <w:rPr>
          <w:rFonts w:ascii="Times Ext Roman" w:hAnsi="新細明體" w:cs="Times Ext Roman"/>
          <w:szCs w:val="22"/>
        </w:rPr>
        <w:t>，</w:t>
      </w:r>
      <w:r w:rsidRPr="00761EF3">
        <w:rPr>
          <w:rFonts w:hint="eastAsia"/>
          <w:szCs w:val="22"/>
        </w:rPr>
        <w:t>15</w:t>
      </w:r>
      <w:r w:rsidRPr="00761EF3">
        <w:rPr>
          <w:szCs w:val="22"/>
        </w:rPr>
        <w:t>c</w:t>
      </w:r>
      <w:r w:rsidRPr="00761EF3">
        <w:rPr>
          <w:rFonts w:hint="eastAsia"/>
          <w:szCs w:val="22"/>
        </w:rPr>
        <w:t>16</w:t>
      </w:r>
      <w:r w:rsidRPr="00043A1E">
        <w:rPr>
          <w:rFonts w:hint="eastAsia"/>
          <w:szCs w:val="22"/>
        </w:rPr>
        <w:t>-</w:t>
      </w:r>
      <w:r w:rsidRPr="00761EF3">
        <w:rPr>
          <w:szCs w:val="22"/>
        </w:rPr>
        <w:t>18</w:t>
      </w:r>
      <w:r w:rsidRPr="00043A1E">
        <w:rPr>
          <w:rFonts w:ascii="Times Ext Roman" w:hAnsi="Times Ext Roman" w:cs="Times Ext Roman" w:hint="eastAsia"/>
          <w:szCs w:val="22"/>
        </w:rPr>
        <w:t>）</w:t>
      </w:r>
      <w:r w:rsidRPr="00043A1E">
        <w:rPr>
          <w:rFonts w:hint="eastAsia"/>
          <w:szCs w:val="22"/>
        </w:rPr>
        <w:t>：</w:t>
      </w:r>
    </w:p>
    <w:p w:rsidR="00157EF6" w:rsidRPr="00043A1E" w:rsidRDefault="00157EF6" w:rsidP="00AA120F">
      <w:pPr>
        <w:pStyle w:val="a5"/>
        <w:ind w:leftChars="335" w:left="804"/>
        <w:jc w:val="both"/>
        <w:rPr>
          <w:rFonts w:ascii="Times Ext Roman" w:hAnsi="Times Ext Roman" w:cs="Times Ext Roman"/>
          <w:szCs w:val="22"/>
        </w:rPr>
      </w:pPr>
      <w:r w:rsidRPr="00043A1E">
        <w:rPr>
          <w:rFonts w:eastAsia="標楷體" w:hint="eastAsia"/>
          <w:szCs w:val="22"/>
        </w:rPr>
        <w:t>云何</w:t>
      </w:r>
      <w:r w:rsidR="00345AE8">
        <w:rPr>
          <w:rFonts w:ascii="標楷體" w:eastAsia="標楷體" w:hAnsi="標楷體" w:hint="eastAsia"/>
          <w:bCs/>
          <w:color w:val="FF0000"/>
          <w:kern w:val="0"/>
          <w:highlight w:val="yellow"/>
        </w:rPr>
        <w:t>「</w:t>
      </w:r>
      <w:r w:rsidRPr="00043A1E">
        <w:rPr>
          <w:rFonts w:eastAsia="標楷體" w:hint="eastAsia"/>
          <w:szCs w:val="22"/>
        </w:rPr>
        <w:t>色受陰</w:t>
      </w:r>
      <w:r w:rsidR="00345AE8">
        <w:rPr>
          <w:rFonts w:ascii="標楷體" w:eastAsia="標楷體" w:hAnsi="標楷體" w:hint="eastAsia"/>
          <w:bCs/>
          <w:color w:val="FF0000"/>
          <w:kern w:val="0"/>
          <w:highlight w:val="yellow"/>
        </w:rPr>
        <w:t>」</w:t>
      </w:r>
      <w:r w:rsidRPr="00043A1E">
        <w:rPr>
          <w:rFonts w:eastAsia="標楷體" w:hint="eastAsia"/>
          <w:szCs w:val="22"/>
        </w:rPr>
        <w:t>？所有色，彼一切四</w:t>
      </w:r>
      <w:r w:rsidRPr="00345AE8">
        <w:rPr>
          <w:rFonts w:eastAsia="標楷體" w:hint="eastAsia"/>
          <w:szCs w:val="22"/>
          <w:highlight w:val="yellow"/>
        </w:rPr>
        <w:t>大及</w:t>
      </w:r>
      <w:r w:rsidRPr="00043A1E">
        <w:rPr>
          <w:rFonts w:eastAsia="標楷體" w:hint="eastAsia"/>
          <w:szCs w:val="22"/>
        </w:rPr>
        <w:t>四大所造色，是名為</w:t>
      </w:r>
      <w:r w:rsidR="00345AE8">
        <w:rPr>
          <w:rFonts w:ascii="標楷體" w:eastAsia="標楷體" w:hAnsi="標楷體" w:hint="eastAsia"/>
          <w:bCs/>
          <w:color w:val="FF0000"/>
          <w:kern w:val="0"/>
          <w:highlight w:val="yellow"/>
        </w:rPr>
        <w:t>「</w:t>
      </w:r>
      <w:r w:rsidRPr="00043A1E">
        <w:rPr>
          <w:rFonts w:eastAsia="標楷體" w:hint="eastAsia"/>
          <w:szCs w:val="22"/>
        </w:rPr>
        <w:t>色受陰</w:t>
      </w:r>
      <w:r w:rsidR="00345AE8">
        <w:rPr>
          <w:rFonts w:ascii="標楷體" w:eastAsia="標楷體" w:hAnsi="標楷體" w:hint="eastAsia"/>
          <w:bCs/>
          <w:color w:val="FF0000"/>
          <w:kern w:val="0"/>
          <w:highlight w:val="yellow"/>
        </w:rPr>
        <w:t>」</w:t>
      </w:r>
      <w:r w:rsidRPr="00043A1E">
        <w:rPr>
          <w:rFonts w:eastAsia="標楷體" w:hint="eastAsia"/>
          <w:szCs w:val="22"/>
        </w:rPr>
        <w:t>。</w:t>
      </w:r>
    </w:p>
    <w:p w:rsidR="00157EF6" w:rsidRPr="00043A1E" w:rsidRDefault="00157EF6" w:rsidP="00AA120F">
      <w:pPr>
        <w:pStyle w:val="a5"/>
        <w:ind w:leftChars="105" w:left="791" w:hangingChars="245" w:hanging="539"/>
        <w:jc w:val="both"/>
        <w:rPr>
          <w:szCs w:val="22"/>
        </w:rPr>
      </w:pPr>
      <w:r w:rsidRPr="00043A1E">
        <w:rPr>
          <w:rFonts w:ascii="Times Ext Roman" w:hAnsi="Times Ext Roman" w:cs="Times Ext Roman" w:hint="eastAsia"/>
          <w:szCs w:val="22"/>
        </w:rPr>
        <w:t>（</w:t>
      </w:r>
      <w:r w:rsidRPr="00761EF3">
        <w:rPr>
          <w:rFonts w:hint="eastAsia"/>
          <w:szCs w:val="22"/>
        </w:rPr>
        <w:t>2</w:t>
      </w:r>
      <w:r w:rsidRPr="00043A1E">
        <w:rPr>
          <w:rFonts w:ascii="Times Ext Roman" w:hAnsi="Times Ext Roman" w:cs="Times Ext Roman" w:hint="eastAsia"/>
          <w:szCs w:val="22"/>
        </w:rPr>
        <w:t>）</w:t>
      </w:r>
      <w:r w:rsidRPr="00043A1E">
        <w:rPr>
          <w:rFonts w:hint="eastAsia"/>
          <w:szCs w:val="22"/>
        </w:rPr>
        <w:t>《阿毘達磨品類足論》卷</w:t>
      </w:r>
      <w:r w:rsidRPr="00761EF3">
        <w:rPr>
          <w:rFonts w:hint="eastAsia"/>
          <w:szCs w:val="22"/>
        </w:rPr>
        <w:t>1</w:t>
      </w:r>
      <w:r w:rsidRPr="00043A1E">
        <w:rPr>
          <w:rFonts w:hint="eastAsia"/>
          <w:szCs w:val="22"/>
        </w:rPr>
        <w:t>〈</w:t>
      </w:r>
      <w:r w:rsidRPr="00761EF3">
        <w:rPr>
          <w:rFonts w:hint="eastAsia"/>
          <w:szCs w:val="22"/>
        </w:rPr>
        <w:t>1</w:t>
      </w:r>
      <w:r w:rsidRPr="00043A1E">
        <w:rPr>
          <w:rFonts w:hint="eastAsia"/>
          <w:szCs w:val="22"/>
        </w:rPr>
        <w:t xml:space="preserve"> </w:t>
      </w:r>
      <w:r w:rsidRPr="00043A1E">
        <w:rPr>
          <w:rFonts w:hint="eastAsia"/>
          <w:szCs w:val="22"/>
        </w:rPr>
        <w:t>辯五事品〉（大</w:t>
      </w:r>
      <w:r w:rsidRPr="00043A1E">
        <w:rPr>
          <w:szCs w:val="22"/>
        </w:rPr>
        <w:t>正</w:t>
      </w:r>
      <w:r w:rsidRPr="00761EF3">
        <w:rPr>
          <w:szCs w:val="22"/>
        </w:rPr>
        <w:t>26</w:t>
      </w:r>
      <w:r w:rsidRPr="00043A1E">
        <w:rPr>
          <w:szCs w:val="22"/>
        </w:rPr>
        <w:t>，</w:t>
      </w:r>
      <w:r w:rsidRPr="00761EF3">
        <w:rPr>
          <w:szCs w:val="22"/>
        </w:rPr>
        <w:t>692b24</w:t>
      </w:r>
      <w:r w:rsidRPr="00043A1E">
        <w:rPr>
          <w:szCs w:val="22"/>
        </w:rPr>
        <w:t>-</w:t>
      </w:r>
      <w:r w:rsidRPr="00761EF3">
        <w:rPr>
          <w:szCs w:val="22"/>
        </w:rPr>
        <w:t>27</w:t>
      </w:r>
      <w:r w:rsidRPr="00043A1E">
        <w:rPr>
          <w:szCs w:val="22"/>
        </w:rPr>
        <w:t>）</w:t>
      </w:r>
      <w:r w:rsidRPr="00043A1E">
        <w:rPr>
          <w:rFonts w:hint="eastAsia"/>
          <w:szCs w:val="22"/>
        </w:rPr>
        <w:t>：</w:t>
      </w:r>
    </w:p>
    <w:p w:rsidR="00157EF6" w:rsidRPr="00043A1E" w:rsidRDefault="00345AE8" w:rsidP="00AA120F">
      <w:pPr>
        <w:pStyle w:val="a5"/>
        <w:ind w:leftChars="335" w:left="804"/>
        <w:jc w:val="both"/>
        <w:rPr>
          <w:szCs w:val="22"/>
        </w:rPr>
      </w:pP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色</w:t>
      </w:r>
      <w:r>
        <w:rPr>
          <w:rFonts w:ascii="標楷體" w:eastAsia="標楷體" w:hAnsi="標楷體" w:hint="eastAsia"/>
          <w:bCs/>
          <w:color w:val="FF0000"/>
          <w:kern w:val="0"/>
          <w:highlight w:val="yellow"/>
        </w:rPr>
        <w:t>」</w:t>
      </w:r>
      <w:r w:rsidR="00DB66B9" w:rsidRPr="00DB66B9">
        <w:rPr>
          <w:rFonts w:ascii="標楷體" w:eastAsia="標楷體" w:hAnsi="標楷體" w:hint="eastAsia"/>
          <w:color w:val="FF0000"/>
          <w:szCs w:val="22"/>
          <w:highlight w:val="yellow"/>
        </w:rPr>
        <w:t>，</w:t>
      </w:r>
      <w:r w:rsidR="00157EF6" w:rsidRPr="00043A1E">
        <w:rPr>
          <w:rFonts w:ascii="標楷體" w:eastAsia="標楷體" w:hAnsi="標楷體" w:hint="eastAsia"/>
          <w:szCs w:val="22"/>
        </w:rPr>
        <w:t>云何？謂諸所有色，一切四大種及四大種所造色。</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四大種</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者，謂地界、水界、火界、風界。</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所造色</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者，謂眼根、耳根、鼻根、舌根、身根，色、聲、香、味、所觸一分，及無表色。</w:t>
      </w:r>
    </w:p>
  </w:footnote>
  <w:footnote w:id="812">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《大智度論》卷</w:t>
      </w:r>
      <w:r w:rsidRPr="00761EF3">
        <w:rPr>
          <w:szCs w:val="22"/>
        </w:rPr>
        <w:t>41</w:t>
      </w:r>
      <w:r w:rsidR="00287E83">
        <w:rPr>
          <w:rFonts w:hint="eastAsia"/>
          <w:color w:val="FF0000"/>
          <w:szCs w:val="22"/>
          <w:highlight w:val="yellow"/>
        </w:rPr>
        <w:t>釋</w:t>
      </w:r>
      <w:r w:rsidRPr="00043A1E">
        <w:rPr>
          <w:szCs w:val="22"/>
        </w:rPr>
        <w:t>〈</w:t>
      </w:r>
      <w:r w:rsidRPr="00761EF3">
        <w:rPr>
          <w:szCs w:val="22"/>
        </w:rPr>
        <w:t>7</w:t>
      </w:r>
      <w:r w:rsidRPr="00043A1E">
        <w:rPr>
          <w:szCs w:val="22"/>
        </w:rPr>
        <w:t xml:space="preserve"> </w:t>
      </w:r>
      <w:r w:rsidRPr="00043A1E">
        <w:rPr>
          <w:szCs w:val="22"/>
        </w:rPr>
        <w:t>三假品〉（大正</w:t>
      </w:r>
      <w:r w:rsidRPr="00761EF3">
        <w:rPr>
          <w:szCs w:val="22"/>
        </w:rPr>
        <w:t>25</w:t>
      </w:r>
      <w:r w:rsidRPr="00043A1E">
        <w:rPr>
          <w:szCs w:val="22"/>
        </w:rPr>
        <w:t>，</w:t>
      </w:r>
      <w:r w:rsidRPr="00761EF3">
        <w:rPr>
          <w:szCs w:val="22"/>
        </w:rPr>
        <w:t>358b2</w:t>
      </w:r>
      <w:r w:rsidRPr="00761EF3">
        <w:rPr>
          <w:rFonts w:hint="eastAsia"/>
          <w:szCs w:val="22"/>
        </w:rPr>
        <w:t>1</w:t>
      </w:r>
      <w:r w:rsidRPr="00043A1E">
        <w:rPr>
          <w:szCs w:val="22"/>
        </w:rPr>
        <w:t>-</w:t>
      </w:r>
      <w:r w:rsidRPr="00761EF3">
        <w:rPr>
          <w:szCs w:val="22"/>
        </w:rPr>
        <w:t>c8</w:t>
      </w:r>
      <w:r w:rsidRPr="00043A1E">
        <w:rPr>
          <w:szCs w:val="22"/>
        </w:rPr>
        <w:t>）：</w:t>
      </w:r>
    </w:p>
    <w:p w:rsidR="00157EF6" w:rsidRPr="00043A1E" w:rsidRDefault="00157EF6" w:rsidP="00287E83">
      <w:pPr>
        <w:pStyle w:val="afd"/>
        <w:ind w:leftChars="100" w:left="240"/>
      </w:pPr>
      <w:r w:rsidRPr="00043A1E">
        <w:rPr>
          <w:rFonts w:ascii="Times New Roman" w:hAnsi="Times New Roman" w:cs="Times New Roman"/>
        </w:rPr>
        <w:t>菩薩應如是學三種波羅聶提。五眾等法，</w:t>
      </w:r>
      <w:r w:rsidRPr="00043A1E">
        <w:t>是名</w:t>
      </w:r>
      <w:r w:rsidR="009730A1">
        <w:rPr>
          <w:rFonts w:ascii="標楷體" w:hAnsi="標楷體" w:hint="eastAsia"/>
          <w:bCs/>
          <w:color w:val="FF0000"/>
          <w:kern w:val="0"/>
          <w:highlight w:val="yellow"/>
        </w:rPr>
        <w:t>「</w:t>
      </w:r>
      <w:r w:rsidRPr="00043A1E">
        <w:rPr>
          <w:b/>
        </w:rPr>
        <w:t>法波羅聶提</w:t>
      </w:r>
      <w:r w:rsidR="009730A1">
        <w:rPr>
          <w:rFonts w:ascii="標楷體" w:hAnsi="標楷體" w:hint="eastAsia"/>
          <w:bCs/>
          <w:color w:val="FF0000"/>
          <w:kern w:val="0"/>
          <w:highlight w:val="yellow"/>
        </w:rPr>
        <w:t>」</w:t>
      </w:r>
      <w:r w:rsidRPr="00043A1E">
        <w:t>。五眾因緣和合故名為眾生，諸骨和合故名為頭骨，如根、莖、枝、葉和合故名為樹，是名</w:t>
      </w:r>
      <w:r w:rsidR="009730A1">
        <w:rPr>
          <w:rFonts w:ascii="標楷體" w:hAnsi="標楷體" w:hint="eastAsia"/>
          <w:bCs/>
          <w:color w:val="FF0000"/>
          <w:kern w:val="0"/>
          <w:highlight w:val="yellow"/>
        </w:rPr>
        <w:t>「</w:t>
      </w:r>
      <w:r w:rsidRPr="00043A1E">
        <w:rPr>
          <w:b/>
        </w:rPr>
        <w:t>受波羅聶提</w:t>
      </w:r>
      <w:r w:rsidR="009730A1">
        <w:rPr>
          <w:rFonts w:ascii="標楷體" w:hAnsi="標楷體" w:hint="eastAsia"/>
          <w:bCs/>
          <w:color w:val="FF0000"/>
          <w:kern w:val="0"/>
          <w:highlight w:val="yellow"/>
        </w:rPr>
        <w:t>」</w:t>
      </w:r>
      <w:r w:rsidRPr="00043A1E">
        <w:t>。用是名字取二法相，說是二種，是為</w:t>
      </w:r>
      <w:r w:rsidR="009730A1">
        <w:rPr>
          <w:rFonts w:ascii="標楷體" w:hAnsi="標楷體" w:hint="eastAsia"/>
          <w:bCs/>
          <w:color w:val="FF0000"/>
          <w:kern w:val="0"/>
          <w:highlight w:val="yellow"/>
        </w:rPr>
        <w:t>「</w:t>
      </w:r>
      <w:r w:rsidRPr="00043A1E">
        <w:rPr>
          <w:b/>
        </w:rPr>
        <w:t>名字波羅聶提</w:t>
      </w:r>
      <w:r w:rsidR="009730A1">
        <w:rPr>
          <w:rFonts w:ascii="標楷體" w:hAnsi="標楷體" w:hint="eastAsia"/>
          <w:bCs/>
          <w:color w:val="FF0000"/>
          <w:kern w:val="0"/>
          <w:highlight w:val="yellow"/>
        </w:rPr>
        <w:t>」</w:t>
      </w:r>
      <w:r w:rsidRPr="00043A1E">
        <w:t>。</w:t>
      </w:r>
    </w:p>
    <w:p w:rsidR="00157EF6" w:rsidRPr="00043A1E" w:rsidRDefault="00157EF6" w:rsidP="00287E83">
      <w:pPr>
        <w:pStyle w:val="afd"/>
        <w:ind w:leftChars="100" w:left="240"/>
      </w:pPr>
      <w:r w:rsidRPr="00043A1E">
        <w:t>復次，眾微塵法和合</w:t>
      </w:r>
      <w:r w:rsidRPr="009730A1">
        <w:rPr>
          <w:color w:val="auto"/>
          <w:highlight w:val="yellow"/>
        </w:rPr>
        <w:t>故有</w:t>
      </w:r>
      <w:r w:rsidRPr="00043A1E">
        <w:t>麤法生</w:t>
      </w:r>
      <w:r w:rsidR="009730A1">
        <w:rPr>
          <w:rFonts w:hint="eastAsia"/>
          <w:color w:val="FF0000"/>
          <w:highlight w:val="yellow"/>
        </w:rPr>
        <w:t>，</w:t>
      </w:r>
      <w:r w:rsidRPr="00043A1E">
        <w:t>如</w:t>
      </w:r>
      <w:r w:rsidR="009730A1" w:rsidRPr="009730A1">
        <w:rPr>
          <w:rFonts w:hint="eastAsia"/>
          <w:color w:val="FF0000"/>
          <w:highlight w:val="yellow"/>
        </w:rPr>
        <w:t>：</w:t>
      </w:r>
      <w:r w:rsidRPr="00043A1E">
        <w:t>微塵和合故有麤色</w:t>
      </w:r>
      <w:r w:rsidR="009730A1">
        <w:rPr>
          <w:rFonts w:ascii="標楷體" w:hAnsi="標楷體" w:hint="eastAsia"/>
          <w:color w:val="FF0000"/>
          <w:kern w:val="0"/>
          <w:highlight w:val="yellow"/>
        </w:rPr>
        <w:t>──</w:t>
      </w:r>
      <w:r w:rsidRPr="00043A1E">
        <w:t>是名</w:t>
      </w:r>
      <w:r w:rsidR="009730A1">
        <w:rPr>
          <w:rFonts w:ascii="標楷體" w:hAnsi="標楷體" w:hint="eastAsia"/>
          <w:bCs/>
          <w:color w:val="FF0000"/>
          <w:kern w:val="0"/>
          <w:highlight w:val="yellow"/>
        </w:rPr>
        <w:t>「</w:t>
      </w:r>
      <w:r w:rsidRPr="00043A1E">
        <w:rPr>
          <w:b/>
        </w:rPr>
        <w:t>法波羅聶提</w:t>
      </w:r>
      <w:r w:rsidR="009730A1">
        <w:rPr>
          <w:rFonts w:ascii="標楷體" w:hAnsi="標楷體" w:hint="eastAsia"/>
          <w:bCs/>
          <w:color w:val="FF0000"/>
          <w:kern w:val="0"/>
          <w:highlight w:val="yellow"/>
        </w:rPr>
        <w:t>」</w:t>
      </w:r>
      <w:r w:rsidRPr="00043A1E">
        <w:rPr>
          <w:rFonts w:hint="eastAsia"/>
        </w:rPr>
        <w:t>，</w:t>
      </w:r>
      <w:r w:rsidRPr="00043A1E">
        <w:t>從法有法故</w:t>
      </w:r>
      <w:r w:rsidRPr="00043A1E">
        <w:rPr>
          <w:rFonts w:hint="eastAsia"/>
        </w:rPr>
        <w:t>。</w:t>
      </w:r>
      <w:r w:rsidRPr="00043A1E">
        <w:t>是麤法和合有名字生</w:t>
      </w:r>
      <w:r w:rsidRPr="00043A1E">
        <w:rPr>
          <w:rFonts w:hint="eastAsia"/>
        </w:rPr>
        <w:t>，</w:t>
      </w:r>
      <w:r w:rsidRPr="00043A1E">
        <w:t>如</w:t>
      </w:r>
      <w:r w:rsidR="009730A1" w:rsidRPr="009730A1">
        <w:rPr>
          <w:rFonts w:hint="eastAsia"/>
          <w:color w:val="FF0000"/>
          <w:highlight w:val="yellow"/>
        </w:rPr>
        <w:t>：</w:t>
      </w:r>
      <w:r w:rsidRPr="00043A1E">
        <w:t>能照、能燒，有</w:t>
      </w:r>
      <w:r w:rsidR="009730A1">
        <w:rPr>
          <w:rFonts w:ascii="標楷體" w:hAnsi="標楷體" w:hint="eastAsia"/>
          <w:bCs/>
          <w:color w:val="FF0000"/>
          <w:kern w:val="0"/>
          <w:highlight w:val="yellow"/>
        </w:rPr>
        <w:t>「</w:t>
      </w:r>
      <w:r w:rsidRPr="00043A1E">
        <w:t>火</w:t>
      </w:r>
      <w:r w:rsidR="009730A1">
        <w:rPr>
          <w:rFonts w:ascii="標楷體" w:hAnsi="標楷體" w:hint="eastAsia"/>
          <w:bCs/>
          <w:color w:val="FF0000"/>
          <w:kern w:val="0"/>
          <w:highlight w:val="yellow"/>
        </w:rPr>
        <w:t>」</w:t>
      </w:r>
      <w:r w:rsidRPr="00043A1E">
        <w:t>名字生；名色有故為人，名色是法，人是假名</w:t>
      </w:r>
      <w:r w:rsidR="009730A1">
        <w:rPr>
          <w:rFonts w:ascii="標楷體" w:hAnsi="標楷體" w:hint="eastAsia"/>
          <w:color w:val="FF0000"/>
          <w:kern w:val="0"/>
          <w:highlight w:val="yellow"/>
        </w:rPr>
        <w:t>──</w:t>
      </w:r>
      <w:r w:rsidRPr="00043A1E">
        <w:t>是為</w:t>
      </w:r>
      <w:r w:rsidR="009730A1">
        <w:rPr>
          <w:rFonts w:ascii="標楷體" w:hAnsi="標楷體" w:hint="eastAsia"/>
          <w:bCs/>
          <w:color w:val="FF0000"/>
          <w:kern w:val="0"/>
          <w:highlight w:val="yellow"/>
        </w:rPr>
        <w:t>「</w:t>
      </w:r>
      <w:r w:rsidRPr="00043A1E">
        <w:rPr>
          <w:b/>
        </w:rPr>
        <w:t>受波羅聶提</w:t>
      </w:r>
      <w:r w:rsidR="009730A1">
        <w:rPr>
          <w:rFonts w:ascii="標楷體" w:hAnsi="標楷體" w:hint="eastAsia"/>
          <w:bCs/>
          <w:color w:val="FF0000"/>
          <w:kern w:val="0"/>
          <w:highlight w:val="yellow"/>
        </w:rPr>
        <w:t>」</w:t>
      </w:r>
      <w:r w:rsidR="009730A1">
        <w:rPr>
          <w:rFonts w:ascii="標楷體" w:hAnsi="標楷體" w:hint="eastAsia"/>
          <w:color w:val="FF0000"/>
          <w:kern w:val="0"/>
          <w:highlight w:val="yellow"/>
        </w:rPr>
        <w:t>──</w:t>
      </w:r>
      <w:r w:rsidRPr="00043A1E">
        <w:t>取色</w:t>
      </w:r>
      <w:r w:rsidR="009730A1">
        <w:rPr>
          <w:rFonts w:ascii="標楷體" w:hAnsi="標楷體" w:hint="eastAsia"/>
          <w:color w:val="FF0000"/>
          <w:spacing w:val="-4"/>
          <w:kern w:val="0"/>
          <w:highlight w:val="yellow"/>
        </w:rPr>
        <w:t>、</w:t>
      </w:r>
      <w:r w:rsidRPr="00043A1E">
        <w:t>取名，故名為</w:t>
      </w:r>
      <w:r w:rsidR="009730A1">
        <w:rPr>
          <w:rFonts w:ascii="標楷體" w:hAnsi="標楷體" w:hint="eastAsia"/>
          <w:bCs/>
          <w:color w:val="FF0000"/>
          <w:kern w:val="0"/>
          <w:highlight w:val="yellow"/>
        </w:rPr>
        <w:t>「</w:t>
      </w:r>
      <w:r w:rsidRPr="00043A1E">
        <w:t>受</w:t>
      </w:r>
      <w:r w:rsidR="009730A1">
        <w:rPr>
          <w:rFonts w:ascii="標楷體" w:hAnsi="標楷體" w:hint="eastAsia"/>
          <w:bCs/>
          <w:color w:val="FF0000"/>
          <w:kern w:val="0"/>
          <w:highlight w:val="yellow"/>
        </w:rPr>
        <w:t>」</w:t>
      </w:r>
      <w:r w:rsidRPr="00043A1E">
        <w:t>。多名字</w:t>
      </w:r>
      <w:r w:rsidRPr="009730A1">
        <w:rPr>
          <w:color w:val="auto"/>
          <w:highlight w:val="yellow"/>
        </w:rPr>
        <w:t>邊更</w:t>
      </w:r>
      <w:r w:rsidRPr="00043A1E">
        <w:t>有名字，如</w:t>
      </w:r>
      <w:r w:rsidR="009730A1" w:rsidRPr="009730A1">
        <w:rPr>
          <w:rFonts w:hint="eastAsia"/>
          <w:color w:val="FF0000"/>
          <w:highlight w:val="yellow"/>
        </w:rPr>
        <w:t>：</w:t>
      </w:r>
      <w:r w:rsidRPr="00043A1E">
        <w:t>梁、椽、瓦等名字</w:t>
      </w:r>
      <w:r w:rsidRPr="009730A1">
        <w:rPr>
          <w:color w:val="auto"/>
          <w:highlight w:val="yellow"/>
        </w:rPr>
        <w:t>邊更</w:t>
      </w:r>
      <w:r w:rsidRPr="00043A1E">
        <w:t>有屋名字生</w:t>
      </w:r>
      <w:r w:rsidR="009730A1" w:rsidRPr="009730A1">
        <w:rPr>
          <w:rFonts w:hint="eastAsia"/>
          <w:color w:val="FF0000"/>
          <w:highlight w:val="yellow"/>
        </w:rPr>
        <w:t>，</w:t>
      </w:r>
      <w:r w:rsidRPr="00043A1E">
        <w:t>如</w:t>
      </w:r>
      <w:r w:rsidR="009730A1" w:rsidRPr="009730A1">
        <w:rPr>
          <w:rFonts w:hint="eastAsia"/>
          <w:color w:val="FF0000"/>
          <w:highlight w:val="yellow"/>
        </w:rPr>
        <w:t>：</w:t>
      </w:r>
      <w:r w:rsidRPr="00043A1E">
        <w:t>樹枝、樹葉名字</w:t>
      </w:r>
      <w:r w:rsidRPr="009730A1">
        <w:rPr>
          <w:color w:val="auto"/>
          <w:highlight w:val="yellow"/>
        </w:rPr>
        <w:t>邊有</w:t>
      </w:r>
      <w:r w:rsidRPr="00043A1E">
        <w:t>樹名生</w:t>
      </w:r>
      <w:r w:rsidR="009730A1">
        <w:rPr>
          <w:rFonts w:ascii="標楷體" w:hAnsi="標楷體" w:hint="eastAsia"/>
          <w:color w:val="FF0000"/>
          <w:kern w:val="0"/>
          <w:highlight w:val="yellow"/>
        </w:rPr>
        <w:t>──</w:t>
      </w:r>
      <w:r w:rsidRPr="00043A1E">
        <w:t>是為</w:t>
      </w:r>
      <w:r w:rsidR="009730A1">
        <w:rPr>
          <w:rFonts w:ascii="標楷體" w:hAnsi="標楷體" w:hint="eastAsia"/>
          <w:bCs/>
          <w:color w:val="FF0000"/>
          <w:kern w:val="0"/>
          <w:highlight w:val="yellow"/>
        </w:rPr>
        <w:t>「</w:t>
      </w:r>
      <w:r w:rsidRPr="00043A1E">
        <w:rPr>
          <w:b/>
        </w:rPr>
        <w:t>名字波羅聶提</w:t>
      </w:r>
      <w:r w:rsidR="009730A1">
        <w:rPr>
          <w:rFonts w:ascii="標楷體" w:hAnsi="標楷體" w:hint="eastAsia"/>
          <w:bCs/>
          <w:color w:val="FF0000"/>
          <w:kern w:val="0"/>
          <w:highlight w:val="yellow"/>
        </w:rPr>
        <w:t>」</w:t>
      </w:r>
      <w:r w:rsidRPr="00043A1E">
        <w:t>。</w:t>
      </w:r>
    </w:p>
    <w:p w:rsidR="00157EF6" w:rsidRPr="00043A1E" w:rsidRDefault="00157EF6" w:rsidP="00287E83">
      <w:pPr>
        <w:pStyle w:val="afd"/>
        <w:ind w:leftChars="100" w:left="240"/>
      </w:pPr>
      <w:r w:rsidRPr="00043A1E">
        <w:t>行者先壞</w:t>
      </w:r>
      <w:r w:rsidR="009730A1">
        <w:rPr>
          <w:rFonts w:ascii="標楷體" w:hAnsi="標楷體" w:hint="eastAsia"/>
          <w:bCs/>
          <w:color w:val="FF0000"/>
          <w:kern w:val="0"/>
          <w:highlight w:val="yellow"/>
        </w:rPr>
        <w:t>「</w:t>
      </w:r>
      <w:r w:rsidRPr="00043A1E">
        <w:rPr>
          <w:b/>
        </w:rPr>
        <w:t>名字波羅聶</w:t>
      </w:r>
      <w:r w:rsidRPr="00043A1E">
        <w:rPr>
          <w:rFonts w:ascii="標楷體" w:hAnsi="標楷體"/>
          <w:b/>
        </w:rPr>
        <w:t>提</w:t>
      </w:r>
      <w:r w:rsidR="009730A1">
        <w:rPr>
          <w:rFonts w:ascii="標楷體" w:hAnsi="標楷體" w:hint="eastAsia"/>
          <w:bCs/>
          <w:color w:val="FF0000"/>
          <w:kern w:val="0"/>
          <w:highlight w:val="yellow"/>
        </w:rPr>
        <w:t>」，</w:t>
      </w:r>
      <w:r w:rsidRPr="00043A1E">
        <w:t>到</w:t>
      </w:r>
      <w:r w:rsidR="009730A1">
        <w:rPr>
          <w:rFonts w:ascii="標楷體" w:hAnsi="標楷體" w:hint="eastAsia"/>
          <w:bCs/>
          <w:color w:val="FF0000"/>
          <w:kern w:val="0"/>
          <w:highlight w:val="yellow"/>
        </w:rPr>
        <w:t>「</w:t>
      </w:r>
      <w:r w:rsidRPr="00043A1E">
        <w:t>受波羅聶提</w:t>
      </w:r>
      <w:r w:rsidR="009730A1">
        <w:rPr>
          <w:rFonts w:ascii="標楷體" w:hAnsi="標楷體" w:hint="eastAsia"/>
          <w:bCs/>
          <w:color w:val="FF0000"/>
          <w:kern w:val="0"/>
          <w:highlight w:val="yellow"/>
        </w:rPr>
        <w:t>」</w:t>
      </w:r>
      <w:r w:rsidRPr="00043A1E">
        <w:t>；次破</w:t>
      </w:r>
      <w:r w:rsidR="009730A1">
        <w:rPr>
          <w:rFonts w:ascii="標楷體" w:hAnsi="標楷體" w:hint="eastAsia"/>
          <w:bCs/>
          <w:color w:val="FF0000"/>
          <w:kern w:val="0"/>
          <w:highlight w:val="yellow"/>
        </w:rPr>
        <w:t>「</w:t>
      </w:r>
      <w:r w:rsidRPr="00043A1E">
        <w:rPr>
          <w:b/>
        </w:rPr>
        <w:t>受波羅聶提</w:t>
      </w:r>
      <w:r w:rsidR="009730A1">
        <w:rPr>
          <w:rFonts w:ascii="標楷體" w:hAnsi="標楷體" w:hint="eastAsia"/>
          <w:bCs/>
          <w:color w:val="FF0000"/>
          <w:kern w:val="0"/>
          <w:highlight w:val="yellow"/>
        </w:rPr>
        <w:t>」</w:t>
      </w:r>
      <w:r w:rsidRPr="00043A1E">
        <w:t>，到</w:t>
      </w:r>
      <w:r w:rsidR="009730A1">
        <w:rPr>
          <w:rFonts w:ascii="標楷體" w:hAnsi="標楷體" w:hint="eastAsia"/>
          <w:bCs/>
          <w:color w:val="FF0000"/>
          <w:kern w:val="0"/>
          <w:highlight w:val="yellow"/>
        </w:rPr>
        <w:t>「</w:t>
      </w:r>
      <w:r w:rsidRPr="00043A1E">
        <w:t>法波羅聶提</w:t>
      </w:r>
      <w:r w:rsidR="009730A1">
        <w:rPr>
          <w:rFonts w:ascii="標楷體" w:hAnsi="標楷體" w:hint="eastAsia"/>
          <w:bCs/>
          <w:color w:val="FF0000"/>
          <w:kern w:val="0"/>
          <w:highlight w:val="yellow"/>
        </w:rPr>
        <w:t>」</w:t>
      </w:r>
      <w:r w:rsidRPr="00043A1E">
        <w:t>；破</w:t>
      </w:r>
      <w:r w:rsidR="009730A1">
        <w:rPr>
          <w:rFonts w:ascii="標楷體" w:hAnsi="標楷體" w:hint="eastAsia"/>
          <w:bCs/>
          <w:color w:val="FF0000"/>
          <w:kern w:val="0"/>
          <w:highlight w:val="yellow"/>
        </w:rPr>
        <w:t>「</w:t>
      </w:r>
      <w:r w:rsidRPr="00043A1E">
        <w:rPr>
          <w:b/>
        </w:rPr>
        <w:t>法波羅聶提</w:t>
      </w:r>
      <w:r w:rsidR="009730A1">
        <w:rPr>
          <w:rFonts w:ascii="標楷體" w:hAnsi="標楷體" w:hint="eastAsia"/>
          <w:bCs/>
          <w:color w:val="FF0000"/>
          <w:kern w:val="0"/>
          <w:highlight w:val="yellow"/>
        </w:rPr>
        <w:t>」</w:t>
      </w:r>
      <w:r w:rsidRPr="00043A1E">
        <w:t>，到</w:t>
      </w:r>
      <w:r w:rsidR="009730A1">
        <w:rPr>
          <w:rFonts w:ascii="標楷體" w:hAnsi="標楷體" w:hint="eastAsia"/>
          <w:bCs/>
          <w:color w:val="FF0000"/>
          <w:kern w:val="0"/>
          <w:highlight w:val="yellow"/>
        </w:rPr>
        <w:t>「</w:t>
      </w:r>
      <w:r w:rsidRPr="00043A1E">
        <w:rPr>
          <w:b/>
        </w:rPr>
        <w:t>諸法實相</w:t>
      </w:r>
      <w:r w:rsidR="009730A1">
        <w:rPr>
          <w:rFonts w:ascii="標楷體" w:hAnsi="標楷體" w:hint="eastAsia"/>
          <w:bCs/>
          <w:color w:val="FF0000"/>
          <w:kern w:val="0"/>
          <w:highlight w:val="yellow"/>
        </w:rPr>
        <w:t>」</w:t>
      </w:r>
      <w:r w:rsidRPr="00043A1E">
        <w:t>中。</w:t>
      </w:r>
      <w:r w:rsidR="009730A1">
        <w:rPr>
          <w:rFonts w:ascii="標楷體" w:hAnsi="標楷體" w:hint="eastAsia"/>
          <w:bCs/>
          <w:color w:val="FF0000"/>
          <w:kern w:val="0"/>
          <w:highlight w:val="yellow"/>
        </w:rPr>
        <w:t>「</w:t>
      </w:r>
      <w:r w:rsidRPr="00043A1E">
        <w:t>諸法實相</w:t>
      </w:r>
      <w:r w:rsidR="009730A1">
        <w:rPr>
          <w:rFonts w:ascii="標楷體" w:hAnsi="標楷體" w:hint="eastAsia"/>
          <w:bCs/>
          <w:color w:val="FF0000"/>
          <w:kern w:val="0"/>
          <w:highlight w:val="yellow"/>
        </w:rPr>
        <w:t>」</w:t>
      </w:r>
      <w:r w:rsidRPr="00043A1E">
        <w:t>即是</w:t>
      </w:r>
      <w:r w:rsidR="009730A1">
        <w:rPr>
          <w:rFonts w:ascii="標楷體" w:hAnsi="標楷體" w:hint="eastAsia"/>
          <w:bCs/>
          <w:color w:val="FF0000"/>
          <w:kern w:val="0"/>
          <w:highlight w:val="yellow"/>
        </w:rPr>
        <w:t>「</w:t>
      </w:r>
      <w:r w:rsidRPr="00043A1E">
        <w:t>諸法及名字空</w:t>
      </w:r>
      <w:r w:rsidR="009730A1">
        <w:rPr>
          <w:rFonts w:ascii="Times New Roman" w:hAnsi="Times New Roman" w:hint="eastAsia"/>
          <w:color w:val="FF0000"/>
          <w:highlight w:val="yellow"/>
        </w:rPr>
        <w:t>『</w:t>
      </w:r>
      <w:r w:rsidRPr="00043A1E">
        <w:t>般若波羅蜜</w:t>
      </w:r>
      <w:r w:rsidR="009730A1">
        <w:rPr>
          <w:rFonts w:ascii="Times New Roman" w:hAnsi="Times New Roman" w:hint="eastAsia"/>
          <w:color w:val="FF0000"/>
          <w:highlight w:val="yellow"/>
        </w:rPr>
        <w:t>』</w:t>
      </w:r>
      <w:r w:rsidR="009730A1">
        <w:rPr>
          <w:rFonts w:ascii="標楷體" w:hAnsi="標楷體" w:hint="eastAsia"/>
          <w:bCs/>
          <w:color w:val="FF0000"/>
          <w:kern w:val="0"/>
          <w:highlight w:val="yellow"/>
        </w:rPr>
        <w:t>」</w:t>
      </w:r>
      <w:r w:rsidRPr="00043A1E">
        <w:t>。</w:t>
      </w:r>
    </w:p>
  </w:footnote>
  <w:footnote w:id="813">
    <w:p w:rsidR="00157EF6" w:rsidRPr="00043A1E" w:rsidRDefault="00157EF6" w:rsidP="00AA120F">
      <w:pPr>
        <w:pStyle w:val="a5"/>
        <w:spacing w:line="0" w:lineRule="atLeast"/>
        <w:ind w:left="253" w:hangingChars="115" w:hanging="253"/>
        <w:jc w:val="both"/>
        <w:rPr>
          <w:rFonts w:ascii="Times Ext Roman" w:hAnsi="Times Ext Roman" w:cs="Times Ext Roman"/>
          <w:szCs w:val="22"/>
        </w:rPr>
      </w:pPr>
      <w:r w:rsidRPr="00043A1E">
        <w:rPr>
          <w:rStyle w:val="a6"/>
          <w:szCs w:val="22"/>
        </w:rPr>
        <w:footnoteRef/>
      </w:r>
      <w:r w:rsidRPr="00043A1E">
        <w:rPr>
          <w:rFonts w:hint="eastAsia"/>
          <w:szCs w:val="22"/>
        </w:rPr>
        <w:t xml:space="preserve"> </w:t>
      </w:r>
      <w:r w:rsidR="009160B5">
        <w:rPr>
          <w:rFonts w:ascii="Times Ext Roman" w:hAnsi="新細明體" w:cs="Times Ext Roman"/>
          <w:szCs w:val="22"/>
        </w:rPr>
        <w:t>參見：印</w:t>
      </w:r>
      <w:r w:rsidRPr="00043A1E">
        <w:rPr>
          <w:szCs w:val="22"/>
        </w:rPr>
        <w:t>順</w:t>
      </w:r>
      <w:r w:rsidRPr="00043A1E">
        <w:rPr>
          <w:rFonts w:hint="eastAsia"/>
          <w:szCs w:val="22"/>
        </w:rPr>
        <w:t>法師</w:t>
      </w:r>
      <w:r w:rsidRPr="00043A1E">
        <w:rPr>
          <w:szCs w:val="22"/>
        </w:rPr>
        <w:t>，</w:t>
      </w:r>
      <w:r w:rsidRPr="00043A1E">
        <w:rPr>
          <w:rFonts w:ascii="Times Ext Roman" w:hAnsi="新細明體" w:cs="Times Ext Roman"/>
          <w:szCs w:val="22"/>
        </w:rPr>
        <w:t>《中觀今論》</w:t>
      </w:r>
      <w:r w:rsidRPr="00043A1E">
        <w:rPr>
          <w:rFonts w:ascii="Times Ext Roman" w:hAnsi="新細明體" w:cs="Times Ext Roman" w:hint="eastAsia"/>
          <w:szCs w:val="22"/>
        </w:rPr>
        <w:t>，</w:t>
      </w:r>
      <w:r w:rsidRPr="00043A1E">
        <w:rPr>
          <w:rFonts w:ascii="Times Ext Roman" w:hAnsi="新細明體" w:cs="Times Ext Roman"/>
          <w:szCs w:val="22"/>
        </w:rPr>
        <w:t>第</w:t>
      </w:r>
      <w:r w:rsidRPr="00761EF3">
        <w:rPr>
          <w:rFonts w:cs="Times Ext Roman" w:hint="eastAsia"/>
          <w:szCs w:val="22"/>
        </w:rPr>
        <w:t>7</w:t>
      </w:r>
      <w:r w:rsidRPr="00043A1E">
        <w:rPr>
          <w:rFonts w:ascii="Times Ext Roman" w:hAnsi="新細明體" w:cs="Times Ext Roman"/>
          <w:szCs w:val="22"/>
        </w:rPr>
        <w:t>章</w:t>
      </w:r>
      <w:r w:rsidRPr="00043A1E">
        <w:rPr>
          <w:rFonts w:ascii="Times Ext Roman" w:hAnsi="新細明體" w:cs="Times Ext Roman" w:hint="eastAsia"/>
          <w:szCs w:val="22"/>
        </w:rPr>
        <w:t>，</w:t>
      </w:r>
      <w:r w:rsidRPr="00043A1E">
        <w:rPr>
          <w:rFonts w:ascii="Times Ext Roman" w:hAnsi="新細明體" w:cs="Times Ext Roman"/>
          <w:szCs w:val="22"/>
        </w:rPr>
        <w:t>第</w:t>
      </w:r>
      <w:r w:rsidRPr="00761EF3">
        <w:rPr>
          <w:rFonts w:cs="Times Ext Roman" w:hint="eastAsia"/>
          <w:szCs w:val="22"/>
        </w:rPr>
        <w:t>4</w:t>
      </w:r>
      <w:r w:rsidRPr="00043A1E">
        <w:rPr>
          <w:rFonts w:ascii="Times Ext Roman" w:hAnsi="新細明體" w:cs="Times Ext Roman"/>
          <w:szCs w:val="22"/>
        </w:rPr>
        <w:t>節〈行</w:t>
      </w:r>
      <w:r w:rsidRPr="00043A1E">
        <w:rPr>
          <w:rFonts w:ascii="新細明體" w:hAnsi="新細明體" w:cs="Times Ext Roman"/>
          <w:szCs w:val="22"/>
        </w:rPr>
        <w:t>──</w:t>
      </w:r>
      <w:r w:rsidRPr="00043A1E">
        <w:rPr>
          <w:rFonts w:ascii="Times Ext Roman" w:hAnsi="新細明體" w:cs="Times Ext Roman"/>
          <w:szCs w:val="22"/>
        </w:rPr>
        <w:t>變動</w:t>
      </w:r>
      <w:r w:rsidRPr="00043A1E">
        <w:rPr>
          <w:rFonts w:ascii="Times Ext Roman" w:hAnsi="新細明體" w:cs="Times Ext Roman" w:hint="eastAsia"/>
          <w:szCs w:val="22"/>
        </w:rPr>
        <w:t>、</w:t>
      </w:r>
      <w:r w:rsidRPr="00043A1E">
        <w:rPr>
          <w:rFonts w:ascii="Times Ext Roman" w:hAnsi="新細明體" w:cs="Times Ext Roman"/>
          <w:szCs w:val="22"/>
        </w:rPr>
        <w:t>運動〉</w:t>
      </w:r>
      <w:r w:rsidRPr="00043A1E">
        <w:rPr>
          <w:rFonts w:ascii="Times Ext Roman" w:hAnsi="新細明體" w:cs="Times Ext Roman" w:hint="eastAsia"/>
          <w:szCs w:val="22"/>
        </w:rPr>
        <w:t>，</w:t>
      </w:r>
      <w:r w:rsidRPr="00761EF3">
        <w:rPr>
          <w:szCs w:val="22"/>
        </w:rPr>
        <w:t>p</w:t>
      </w:r>
      <w:r w:rsidRPr="00043A1E">
        <w:rPr>
          <w:szCs w:val="22"/>
        </w:rPr>
        <w:t>.</w:t>
      </w:r>
      <w:r w:rsidRPr="00761EF3">
        <w:rPr>
          <w:szCs w:val="22"/>
        </w:rPr>
        <w:t>141</w:t>
      </w:r>
      <w:r w:rsidRPr="00043A1E">
        <w:rPr>
          <w:rFonts w:ascii="Times Ext Roman" w:hAnsi="新細明體" w:cs="Times Ext Roman"/>
          <w:szCs w:val="22"/>
        </w:rPr>
        <w:t>。</w:t>
      </w:r>
    </w:p>
  </w:footnote>
  <w:footnote w:id="814">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）《阿毘達磨俱舍論》卷</w:t>
      </w:r>
      <w:r w:rsidRPr="00761EF3">
        <w:rPr>
          <w:rFonts w:hint="eastAsia"/>
          <w:szCs w:val="22"/>
        </w:rPr>
        <w:t>17</w:t>
      </w:r>
      <w:r w:rsidRPr="00043A1E">
        <w:rPr>
          <w:rFonts w:hint="eastAsia"/>
          <w:szCs w:val="22"/>
        </w:rPr>
        <w:t>〈</w:t>
      </w:r>
      <w:r w:rsidRPr="00761EF3">
        <w:rPr>
          <w:rFonts w:hint="eastAsia"/>
          <w:szCs w:val="22"/>
        </w:rPr>
        <w:t>4</w:t>
      </w:r>
      <w:r w:rsidRPr="00043A1E">
        <w:rPr>
          <w:rFonts w:hint="eastAsia"/>
          <w:szCs w:val="22"/>
        </w:rPr>
        <w:t xml:space="preserve"> </w:t>
      </w:r>
      <w:r w:rsidRPr="00043A1E">
        <w:rPr>
          <w:rFonts w:hint="eastAsia"/>
          <w:szCs w:val="22"/>
        </w:rPr>
        <w:t>分別業品〉</w:t>
      </w:r>
      <w:r w:rsidRPr="00043A1E">
        <w:rPr>
          <w:szCs w:val="22"/>
        </w:rPr>
        <w:t>（大正</w:t>
      </w:r>
      <w:r w:rsidRPr="00761EF3">
        <w:rPr>
          <w:rFonts w:hint="eastAsia"/>
          <w:szCs w:val="22"/>
        </w:rPr>
        <w:t>29</w:t>
      </w:r>
      <w:r w:rsidRPr="00043A1E">
        <w:rPr>
          <w:szCs w:val="22"/>
        </w:rPr>
        <w:t>，</w:t>
      </w:r>
      <w:r w:rsidRPr="00761EF3">
        <w:rPr>
          <w:szCs w:val="22"/>
        </w:rPr>
        <w:t>92b5</w:t>
      </w:r>
      <w:r w:rsidRPr="00043A1E">
        <w:rPr>
          <w:szCs w:val="22"/>
        </w:rPr>
        <w:t>-</w:t>
      </w:r>
      <w:r w:rsidRPr="00761EF3">
        <w:rPr>
          <w:szCs w:val="22"/>
        </w:rPr>
        <w:t>17</w:t>
      </w:r>
      <w:r w:rsidRPr="00043A1E">
        <w:rPr>
          <w:szCs w:val="22"/>
        </w:rPr>
        <w:t>）</w:t>
      </w:r>
      <w:r w:rsidRPr="00043A1E">
        <w:rPr>
          <w:rFonts w:hint="eastAsia"/>
          <w:szCs w:val="22"/>
        </w:rPr>
        <w:t>：</w:t>
      </w:r>
    </w:p>
    <w:p w:rsidR="00157EF6" w:rsidRPr="00043A1E" w:rsidRDefault="00157EF6" w:rsidP="00AA120F">
      <w:pPr>
        <w:pStyle w:val="a5"/>
        <w:ind w:leftChars="335" w:left="804"/>
        <w:jc w:val="both"/>
        <w:rPr>
          <w:szCs w:val="22"/>
        </w:rPr>
      </w:pPr>
      <w:r w:rsidRPr="00043A1E">
        <w:rPr>
          <w:rFonts w:eastAsia="標楷體" w:hint="eastAsia"/>
          <w:szCs w:val="22"/>
        </w:rPr>
        <w:t>復有說者：彼於昔時一施食為依，起多勝思願，有感天上、有感人中─剎那不同，熟有先後。故非</w:t>
      </w:r>
      <w:r w:rsidR="00D712FF">
        <w:rPr>
          <w:rFonts w:ascii="標楷體" w:eastAsia="標楷體" w:hAnsi="標楷體" w:hint="eastAsia"/>
          <w:bCs/>
          <w:color w:val="FF0000"/>
          <w:kern w:val="0"/>
          <w:highlight w:val="yellow"/>
        </w:rPr>
        <w:t>「</w:t>
      </w:r>
      <w:r w:rsidRPr="00043A1E">
        <w:rPr>
          <w:rFonts w:eastAsia="標楷體" w:hint="eastAsia"/>
          <w:szCs w:val="22"/>
        </w:rPr>
        <w:t>一業能引多生</w:t>
      </w:r>
      <w:r w:rsidR="00D712FF">
        <w:rPr>
          <w:rFonts w:ascii="標楷體" w:eastAsia="標楷體" w:hAnsi="標楷體" w:hint="eastAsia"/>
          <w:bCs/>
          <w:color w:val="FF0000"/>
          <w:kern w:val="0"/>
          <w:highlight w:val="yellow"/>
        </w:rPr>
        <w:t>」</w:t>
      </w:r>
      <w:r w:rsidRPr="00043A1E">
        <w:rPr>
          <w:rFonts w:eastAsia="標楷體" w:hint="eastAsia"/>
          <w:szCs w:val="22"/>
        </w:rPr>
        <w:t>，亦無</w:t>
      </w:r>
      <w:r w:rsidR="00D712FF">
        <w:rPr>
          <w:rFonts w:ascii="標楷體" w:eastAsia="標楷體" w:hAnsi="標楷體" w:hint="eastAsia"/>
          <w:bCs/>
          <w:color w:val="FF0000"/>
          <w:kern w:val="0"/>
          <w:highlight w:val="yellow"/>
        </w:rPr>
        <w:t>「</w:t>
      </w:r>
      <w:r w:rsidRPr="00043A1E">
        <w:rPr>
          <w:rFonts w:eastAsia="標楷體" w:hint="eastAsia"/>
          <w:szCs w:val="22"/>
        </w:rPr>
        <w:t>一生</w:t>
      </w:r>
      <w:r w:rsidR="00D712FF">
        <w:rPr>
          <w:rFonts w:ascii="標楷體" w:eastAsia="標楷體" w:hAnsi="標楷體" w:hint="eastAsia"/>
          <w:color w:val="FF0000"/>
          <w:kern w:val="0"/>
          <w:highlight w:val="yellow"/>
        </w:rPr>
        <w:t>，</w:t>
      </w:r>
      <w:r w:rsidRPr="00043A1E">
        <w:rPr>
          <w:rFonts w:eastAsia="標楷體" w:hint="eastAsia"/>
          <w:szCs w:val="22"/>
        </w:rPr>
        <w:t>多業所引</w:t>
      </w:r>
      <w:r w:rsidR="00D712FF">
        <w:rPr>
          <w:rFonts w:ascii="標楷體" w:eastAsia="標楷體" w:hAnsi="標楷體" w:hint="eastAsia"/>
          <w:bCs/>
          <w:color w:val="FF0000"/>
          <w:kern w:val="0"/>
          <w:highlight w:val="yellow"/>
        </w:rPr>
        <w:t>」</w:t>
      </w:r>
      <w:r w:rsidRPr="00043A1E">
        <w:rPr>
          <w:rFonts w:eastAsia="標楷體" w:hint="eastAsia"/>
          <w:szCs w:val="22"/>
        </w:rPr>
        <w:t>，勿「</w:t>
      </w:r>
      <w:r w:rsidR="00D712FF">
        <w:rPr>
          <w:rFonts w:eastAsia="標楷體" w:hint="eastAsia"/>
          <w:color w:val="FF0000"/>
          <w:szCs w:val="22"/>
          <w:highlight w:val="yellow"/>
        </w:rPr>
        <w:t>『</w:t>
      </w:r>
      <w:r w:rsidRPr="00043A1E">
        <w:rPr>
          <w:rFonts w:eastAsia="標楷體" w:hint="eastAsia"/>
          <w:szCs w:val="22"/>
        </w:rPr>
        <w:t>眾同分</w:t>
      </w:r>
      <w:r w:rsidR="00D712FF">
        <w:rPr>
          <w:rFonts w:eastAsia="標楷體" w:hint="eastAsia"/>
          <w:color w:val="FF0000"/>
          <w:szCs w:val="22"/>
          <w:highlight w:val="yellow"/>
        </w:rPr>
        <w:t>』</w:t>
      </w:r>
      <w:r w:rsidRPr="00043A1E">
        <w:rPr>
          <w:rFonts w:eastAsia="標楷體" w:hint="eastAsia"/>
          <w:szCs w:val="22"/>
        </w:rPr>
        <w:t>分分差別</w:t>
      </w:r>
      <w:r w:rsidR="00D712FF">
        <w:rPr>
          <w:rFonts w:ascii="標楷體" w:eastAsia="標楷體" w:hAnsi="標楷體" w:hint="eastAsia"/>
          <w:bCs/>
          <w:color w:val="FF0000"/>
          <w:kern w:val="0"/>
          <w:highlight w:val="yellow"/>
        </w:rPr>
        <w:t>」</w:t>
      </w:r>
      <w:r w:rsidRPr="00DB66B9">
        <w:rPr>
          <w:rFonts w:eastAsia="標楷體" w:hint="eastAsia"/>
          <w:szCs w:val="22"/>
          <w:highlight w:val="yellow"/>
        </w:rPr>
        <w:t>。雖</w:t>
      </w:r>
      <w:r w:rsidRPr="00043A1E">
        <w:rPr>
          <w:rFonts w:eastAsia="標楷體" w:hint="eastAsia"/>
          <w:szCs w:val="22"/>
        </w:rPr>
        <w:t>但一業引一同分，而彼圓滿許由多業</w:t>
      </w:r>
      <w:r w:rsidR="00D712FF">
        <w:rPr>
          <w:rFonts w:ascii="標楷體" w:eastAsia="標楷體" w:hAnsi="標楷體" w:hint="eastAsia"/>
          <w:color w:val="FF0000"/>
          <w:spacing w:val="-4"/>
          <w:kern w:val="0"/>
          <w:highlight w:val="yellow"/>
        </w:rPr>
        <w:t>；</w:t>
      </w:r>
      <w:r w:rsidRPr="00043A1E">
        <w:rPr>
          <w:rFonts w:eastAsia="標楷體" w:hint="eastAsia"/>
          <w:b/>
          <w:bCs/>
          <w:szCs w:val="22"/>
        </w:rPr>
        <w:t>譬如畫師先以一色圖其形狀，後填眾彩。是故雖有同稟人身，而於其中有具支體、諸根、形量、色、力、莊嚴，或有於前多缺減者。</w:t>
      </w:r>
      <w:r w:rsidRPr="00043A1E">
        <w:rPr>
          <w:rFonts w:eastAsia="標楷體" w:hint="eastAsia"/>
          <w:szCs w:val="22"/>
        </w:rPr>
        <w:t>非唯</w:t>
      </w:r>
      <w:r w:rsidR="00D712FF">
        <w:rPr>
          <w:rFonts w:ascii="標楷體" w:eastAsia="標楷體" w:hAnsi="標楷體" w:hint="eastAsia"/>
          <w:bCs/>
          <w:color w:val="FF0000"/>
          <w:kern w:val="0"/>
          <w:highlight w:val="yellow"/>
        </w:rPr>
        <w:t>「</w:t>
      </w:r>
      <w:r w:rsidRPr="00043A1E">
        <w:rPr>
          <w:rFonts w:eastAsia="標楷體" w:hint="eastAsia"/>
          <w:szCs w:val="22"/>
        </w:rPr>
        <w:t>業</w:t>
      </w:r>
      <w:r w:rsidR="00D712FF">
        <w:rPr>
          <w:rFonts w:ascii="標楷體" w:eastAsia="標楷體" w:hAnsi="標楷體" w:hint="eastAsia"/>
          <w:bCs/>
          <w:color w:val="FF0000"/>
          <w:kern w:val="0"/>
          <w:highlight w:val="yellow"/>
        </w:rPr>
        <w:t>」</w:t>
      </w:r>
      <w:r w:rsidR="00D712FF">
        <w:rPr>
          <w:rFonts w:eastAsia="標楷體" w:hint="eastAsia"/>
          <w:szCs w:val="22"/>
        </w:rPr>
        <w:t>力能「引、滿」生</w:t>
      </w:r>
      <w:r w:rsidR="00D712FF">
        <w:rPr>
          <w:rFonts w:ascii="標楷體" w:eastAsia="標楷體" w:hAnsi="標楷體" w:hint="eastAsia"/>
          <w:color w:val="FF0000"/>
          <w:kern w:val="0"/>
          <w:highlight w:val="yellow"/>
        </w:rPr>
        <w:t>，</w:t>
      </w:r>
      <w:r w:rsidRPr="00043A1E">
        <w:rPr>
          <w:rFonts w:eastAsia="標楷體" w:hint="eastAsia"/>
          <w:szCs w:val="22"/>
        </w:rPr>
        <w:t>一切</w:t>
      </w:r>
      <w:r w:rsidR="00D712FF">
        <w:rPr>
          <w:rFonts w:ascii="標楷體" w:eastAsia="標楷體" w:hAnsi="標楷體" w:hint="eastAsia"/>
          <w:bCs/>
          <w:color w:val="FF0000"/>
          <w:kern w:val="0"/>
          <w:highlight w:val="yellow"/>
        </w:rPr>
        <w:t>「</w:t>
      </w:r>
      <w:r w:rsidRPr="00043A1E">
        <w:rPr>
          <w:rFonts w:eastAsia="標楷體" w:hint="eastAsia"/>
          <w:szCs w:val="22"/>
        </w:rPr>
        <w:t>不善、善有漏</w:t>
      </w:r>
      <w:r w:rsidR="00D712FF">
        <w:rPr>
          <w:rFonts w:ascii="標楷體" w:eastAsia="標楷體" w:hAnsi="標楷體" w:hint="eastAsia"/>
          <w:bCs/>
          <w:color w:val="FF0000"/>
          <w:kern w:val="0"/>
          <w:highlight w:val="yellow"/>
        </w:rPr>
        <w:t>」</w:t>
      </w:r>
      <w:r w:rsidRPr="00043A1E">
        <w:rPr>
          <w:rFonts w:eastAsia="標楷體" w:hint="eastAsia"/>
          <w:szCs w:val="22"/>
        </w:rPr>
        <w:t>法，有異熟故，皆容「引、滿」；以</w:t>
      </w:r>
      <w:r w:rsidR="00D712FF">
        <w:rPr>
          <w:rFonts w:ascii="標楷體" w:eastAsia="標楷體" w:hAnsi="標楷體" w:hint="eastAsia"/>
          <w:bCs/>
          <w:color w:val="FF0000"/>
          <w:kern w:val="0"/>
          <w:highlight w:val="yellow"/>
        </w:rPr>
        <w:t>「</w:t>
      </w:r>
      <w:r w:rsidRPr="00043A1E">
        <w:rPr>
          <w:rFonts w:eastAsia="標楷體" w:hint="eastAsia"/>
          <w:szCs w:val="22"/>
        </w:rPr>
        <w:t>業</w:t>
      </w:r>
      <w:r w:rsidR="00D712FF">
        <w:rPr>
          <w:rFonts w:ascii="標楷體" w:eastAsia="標楷體" w:hAnsi="標楷體" w:hint="eastAsia"/>
          <w:bCs/>
          <w:color w:val="FF0000"/>
          <w:kern w:val="0"/>
          <w:highlight w:val="yellow"/>
        </w:rPr>
        <w:t>」</w:t>
      </w:r>
      <w:r w:rsidRPr="00043A1E">
        <w:rPr>
          <w:rFonts w:eastAsia="標楷體" w:hint="eastAsia"/>
          <w:szCs w:val="22"/>
        </w:rPr>
        <w:t>勝故，但標「業」名。然於其中</w:t>
      </w:r>
      <w:r w:rsidR="00D712FF">
        <w:rPr>
          <w:rFonts w:ascii="標楷體" w:eastAsia="標楷體" w:hAnsi="標楷體" w:hint="eastAsia"/>
          <w:bCs/>
          <w:color w:val="FF0000"/>
          <w:kern w:val="0"/>
          <w:highlight w:val="yellow"/>
        </w:rPr>
        <w:t>「</w:t>
      </w:r>
      <w:r w:rsidRPr="00043A1E">
        <w:rPr>
          <w:rFonts w:eastAsia="標楷體" w:hint="eastAsia"/>
          <w:szCs w:val="22"/>
        </w:rPr>
        <w:t>業</w:t>
      </w:r>
      <w:r w:rsidR="00D712FF">
        <w:rPr>
          <w:rFonts w:ascii="標楷體" w:eastAsia="標楷體" w:hAnsi="標楷體" w:hint="eastAsia"/>
          <w:bCs/>
          <w:color w:val="FF0000"/>
          <w:kern w:val="0"/>
          <w:highlight w:val="yellow"/>
        </w:rPr>
        <w:t>」</w:t>
      </w:r>
      <w:r w:rsidRPr="00043A1E">
        <w:rPr>
          <w:rFonts w:eastAsia="標楷體" w:hint="eastAsia"/>
          <w:szCs w:val="22"/>
        </w:rPr>
        <w:t>俱有者，能引、能滿，隨</w:t>
      </w:r>
      <w:r w:rsidR="00D712FF">
        <w:rPr>
          <w:rFonts w:ascii="標楷體" w:eastAsia="標楷體" w:hAnsi="標楷體" w:hint="eastAsia"/>
          <w:bCs/>
          <w:color w:val="FF0000"/>
          <w:kern w:val="0"/>
          <w:highlight w:val="yellow"/>
        </w:rPr>
        <w:t>「</w:t>
      </w:r>
      <w:r w:rsidRPr="00043A1E">
        <w:rPr>
          <w:rFonts w:eastAsia="標楷體" w:hint="eastAsia"/>
          <w:szCs w:val="22"/>
        </w:rPr>
        <w:t>業</w:t>
      </w:r>
      <w:r w:rsidR="00D712FF">
        <w:rPr>
          <w:rFonts w:ascii="標楷體" w:eastAsia="標楷體" w:hAnsi="標楷體" w:hint="eastAsia"/>
          <w:bCs/>
          <w:color w:val="FF0000"/>
          <w:kern w:val="0"/>
          <w:highlight w:val="yellow"/>
        </w:rPr>
        <w:t>」</w:t>
      </w:r>
      <w:r w:rsidRPr="00043A1E">
        <w:rPr>
          <w:rFonts w:eastAsia="標楷體" w:hint="eastAsia"/>
          <w:szCs w:val="22"/>
        </w:rPr>
        <w:t>勝故；若不與</w:t>
      </w:r>
      <w:r w:rsidR="00D712FF">
        <w:rPr>
          <w:rFonts w:ascii="標楷體" w:eastAsia="標楷體" w:hAnsi="標楷體" w:hint="eastAsia"/>
          <w:bCs/>
          <w:color w:val="FF0000"/>
          <w:kern w:val="0"/>
          <w:highlight w:val="yellow"/>
        </w:rPr>
        <w:t>「</w:t>
      </w:r>
      <w:r w:rsidRPr="00043A1E">
        <w:rPr>
          <w:rFonts w:eastAsia="標楷體" w:hint="eastAsia"/>
          <w:szCs w:val="22"/>
        </w:rPr>
        <w:t>業</w:t>
      </w:r>
      <w:r w:rsidR="00D712FF">
        <w:rPr>
          <w:rFonts w:ascii="標楷體" w:eastAsia="標楷體" w:hAnsi="標楷體" w:hint="eastAsia"/>
          <w:bCs/>
          <w:color w:val="FF0000"/>
          <w:kern w:val="0"/>
          <w:highlight w:val="yellow"/>
        </w:rPr>
        <w:t>」</w:t>
      </w:r>
      <w:r w:rsidRPr="00043A1E">
        <w:rPr>
          <w:rFonts w:eastAsia="標楷體" w:hint="eastAsia"/>
          <w:szCs w:val="22"/>
        </w:rPr>
        <w:t>為俱有者，能滿、非引，勢力劣故。</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）印順法師，《成佛之道》（增注本）</w:t>
      </w:r>
      <w:r w:rsidRPr="00043A1E">
        <w:rPr>
          <w:rFonts w:ascii="Times Ext Roman" w:hAnsi="新細明體" w:cs="Times Ext Roman" w:hint="eastAsia"/>
          <w:szCs w:val="22"/>
        </w:rPr>
        <w:t>，</w:t>
      </w:r>
      <w:r w:rsidRPr="00761EF3">
        <w:rPr>
          <w:szCs w:val="22"/>
        </w:rPr>
        <w:t>p</w:t>
      </w:r>
      <w:r w:rsidRPr="00043A1E">
        <w:rPr>
          <w:szCs w:val="22"/>
        </w:rPr>
        <w:t>.</w:t>
      </w:r>
      <w:r w:rsidRPr="00761EF3">
        <w:rPr>
          <w:rFonts w:hint="eastAsia"/>
          <w:szCs w:val="22"/>
        </w:rPr>
        <w:t>71</w:t>
      </w:r>
      <w:r w:rsidRPr="00043A1E">
        <w:rPr>
          <w:rFonts w:ascii="Times Ext Roman" w:hAnsi="Times Ext Roman" w:cs="Times Ext Roman" w:hint="eastAsia"/>
          <w:szCs w:val="22"/>
        </w:rPr>
        <w:t>：</w:t>
      </w:r>
    </w:p>
    <w:p w:rsidR="00157EF6" w:rsidRPr="00043A1E" w:rsidRDefault="00157EF6" w:rsidP="00AA120F">
      <w:pPr>
        <w:pStyle w:val="a5"/>
        <w:ind w:leftChars="335" w:left="804"/>
        <w:jc w:val="both"/>
        <w:rPr>
          <w:szCs w:val="22"/>
        </w:rPr>
      </w:pPr>
      <w:r w:rsidRPr="00043A1E">
        <w:rPr>
          <w:rFonts w:eastAsia="標楷體" w:hint="eastAsia"/>
          <w:szCs w:val="22"/>
        </w:rPr>
        <w:t>在種種業中，有一類特強的業力，「能引」我們感到五趣中的一趣報體，或生天上，或墮地獄，或墮傍生。其中又有種種類別，如傍生中或虎或魚等。凡由強業而感得一趣的總報體（</w:t>
      </w:r>
      <w:r w:rsidR="00434424">
        <w:rPr>
          <w:rFonts w:eastAsia="標楷體" w:hint="eastAsia"/>
          <w:szCs w:val="22"/>
        </w:rPr>
        <w:t>「</w:t>
      </w:r>
      <w:r w:rsidRPr="00043A1E">
        <w:rPr>
          <w:rFonts w:eastAsia="標楷體" w:hint="eastAsia"/>
          <w:szCs w:val="22"/>
        </w:rPr>
        <w:t>得蘊，得處，得界</w:t>
      </w:r>
      <w:r w:rsidR="00434424">
        <w:rPr>
          <w:rFonts w:eastAsia="標楷體" w:hint="eastAsia"/>
          <w:szCs w:val="22"/>
        </w:rPr>
        <w:t>」</w:t>
      </w:r>
      <w:r w:rsidRPr="00043A1E">
        <w:rPr>
          <w:rFonts w:eastAsia="標楷體" w:hint="eastAsia"/>
          <w:szCs w:val="22"/>
        </w:rPr>
        <w:t>），成為某趣的眾生，叫引業。還有一類業，並不能引我們感得生死的總報體，卻「能」使我們對於這一報身的種種方面，得到圓「滿」的決定，叫滿業。</w:t>
      </w:r>
    </w:p>
  </w:footnote>
  <w:footnote w:id="815">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rFonts w:hint="eastAsia"/>
          <w:szCs w:val="22"/>
        </w:rPr>
        <w:t>質變</w:t>
      </w:r>
      <w:r w:rsidRPr="00043A1E">
        <w:rPr>
          <w:szCs w:val="22"/>
        </w:rPr>
        <w:t>：</w:t>
      </w:r>
      <w:r w:rsidRPr="00043A1E">
        <w:rPr>
          <w:rFonts w:hint="eastAsia"/>
          <w:szCs w:val="22"/>
        </w:rPr>
        <w:t>哲學用語。事物發展的一種狀態。同「量變」相對。是由一種性質向另一種性質的突變或飛躍。</w:t>
      </w:r>
      <w:r w:rsidRPr="00043A1E">
        <w:rPr>
          <w:szCs w:val="22"/>
        </w:rPr>
        <w:t>（《漢語大詞典》（</w:t>
      </w:r>
      <w:r w:rsidRPr="00043A1E">
        <w:rPr>
          <w:rFonts w:hint="eastAsia"/>
          <w:szCs w:val="22"/>
        </w:rPr>
        <w:t>十</w:t>
      </w:r>
      <w:r w:rsidRPr="00043A1E">
        <w:rPr>
          <w:szCs w:val="22"/>
        </w:rPr>
        <w:t>）</w:t>
      </w:r>
      <w:r w:rsidRPr="00043A1E">
        <w:rPr>
          <w:rFonts w:ascii="Times Ext Roman" w:hAnsi="新細明體" w:cs="Times Ext Roman" w:hint="eastAsia"/>
          <w:szCs w:val="22"/>
        </w:rPr>
        <w:t>，</w:t>
      </w:r>
      <w:r w:rsidRPr="00761EF3">
        <w:rPr>
          <w:szCs w:val="22"/>
        </w:rPr>
        <w:t>p</w:t>
      </w:r>
      <w:r w:rsidRPr="00043A1E">
        <w:rPr>
          <w:szCs w:val="22"/>
        </w:rPr>
        <w:t>.</w:t>
      </w:r>
      <w:r w:rsidRPr="00761EF3">
        <w:rPr>
          <w:rFonts w:hint="eastAsia"/>
          <w:szCs w:val="22"/>
        </w:rPr>
        <w:t>274</w:t>
      </w:r>
      <w:r w:rsidRPr="00043A1E">
        <w:rPr>
          <w:rFonts w:hint="eastAsia"/>
          <w:szCs w:val="22"/>
        </w:rPr>
        <w:t>）</w:t>
      </w:r>
    </w:p>
  </w:footnote>
  <w:footnote w:id="816">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rFonts w:hint="eastAsia"/>
          <w:szCs w:val="22"/>
        </w:rPr>
        <w:t>量變：事物在數量上、程度上的變化。是一種逐漸的不顯著的變化，是質變的準備。</w:t>
      </w:r>
      <w:r w:rsidRPr="00043A1E">
        <w:rPr>
          <w:szCs w:val="22"/>
        </w:rPr>
        <w:t>（《漢語大詞典》（</w:t>
      </w:r>
      <w:r w:rsidRPr="00043A1E">
        <w:rPr>
          <w:rFonts w:hint="eastAsia"/>
          <w:szCs w:val="22"/>
        </w:rPr>
        <w:t>十</w:t>
      </w:r>
      <w:r w:rsidRPr="00043A1E">
        <w:rPr>
          <w:szCs w:val="22"/>
        </w:rPr>
        <w:t>）</w:t>
      </w:r>
      <w:r w:rsidRPr="00043A1E">
        <w:rPr>
          <w:rFonts w:ascii="Times Ext Roman" w:hAnsi="新細明體" w:cs="Times Ext Roman" w:hint="eastAsia"/>
          <w:szCs w:val="22"/>
        </w:rPr>
        <w:t>，</w:t>
      </w:r>
      <w:r w:rsidRPr="00761EF3">
        <w:rPr>
          <w:szCs w:val="22"/>
        </w:rPr>
        <w:t>p</w:t>
      </w:r>
      <w:r w:rsidRPr="00043A1E">
        <w:rPr>
          <w:szCs w:val="22"/>
        </w:rPr>
        <w:t>.</w:t>
      </w:r>
      <w:r w:rsidRPr="00761EF3">
        <w:rPr>
          <w:rFonts w:hint="eastAsia"/>
          <w:szCs w:val="22"/>
        </w:rPr>
        <w:t>420</w:t>
      </w:r>
      <w:r w:rsidRPr="00043A1E">
        <w:rPr>
          <w:rFonts w:hint="eastAsia"/>
          <w:szCs w:val="22"/>
        </w:rPr>
        <w:t>）</w:t>
      </w:r>
    </w:p>
  </w:footnote>
  <w:footnote w:id="817">
    <w:p w:rsidR="00157EF6" w:rsidRPr="00043A1E" w:rsidRDefault="00157EF6" w:rsidP="009E0A5A">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761EF3">
        <w:rPr>
          <w:rFonts w:hint="eastAsia"/>
          <w:szCs w:val="22"/>
        </w:rPr>
        <w:t>Richard</w:t>
      </w:r>
      <w:r w:rsidRPr="00043A1E">
        <w:rPr>
          <w:rFonts w:hint="eastAsia"/>
          <w:szCs w:val="22"/>
        </w:rPr>
        <w:t xml:space="preserve"> </w:t>
      </w:r>
      <w:r w:rsidRPr="00761EF3">
        <w:rPr>
          <w:rFonts w:hint="eastAsia"/>
          <w:szCs w:val="22"/>
        </w:rPr>
        <w:t>H</w:t>
      </w:r>
      <w:r w:rsidRPr="00043A1E">
        <w:rPr>
          <w:rFonts w:hint="eastAsia"/>
          <w:szCs w:val="22"/>
        </w:rPr>
        <w:t xml:space="preserve">. </w:t>
      </w:r>
      <w:r w:rsidRPr="00761EF3">
        <w:rPr>
          <w:rFonts w:hint="eastAsia"/>
          <w:szCs w:val="22"/>
        </w:rPr>
        <w:t>Robinson</w:t>
      </w:r>
      <w:r w:rsidRPr="00043A1E">
        <w:rPr>
          <w:rFonts w:hint="eastAsia"/>
          <w:szCs w:val="22"/>
        </w:rPr>
        <w:t>著，郭忠生譯，《印度與中國的早期中觀學派》，</w:t>
      </w:r>
      <w:r w:rsidRPr="00761EF3">
        <w:rPr>
          <w:rFonts w:hint="eastAsia"/>
          <w:szCs w:val="22"/>
        </w:rPr>
        <w:t>p</w:t>
      </w:r>
      <w:r w:rsidRPr="00043A1E">
        <w:rPr>
          <w:rFonts w:hint="eastAsia"/>
          <w:szCs w:val="22"/>
        </w:rPr>
        <w:t>.</w:t>
      </w:r>
      <w:r w:rsidRPr="00761EF3">
        <w:rPr>
          <w:rFonts w:hint="eastAsia"/>
          <w:szCs w:val="22"/>
        </w:rPr>
        <w:t>280</w:t>
      </w:r>
      <w:r w:rsidRPr="00043A1E">
        <w:rPr>
          <w:rFonts w:hint="eastAsia"/>
          <w:szCs w:val="22"/>
        </w:rPr>
        <w:t>：</w:t>
      </w:r>
    </w:p>
    <w:p w:rsidR="00157EF6" w:rsidRPr="00043A1E" w:rsidRDefault="00157EF6" w:rsidP="00AA120F">
      <w:pPr>
        <w:pStyle w:val="a5"/>
        <w:ind w:leftChars="75" w:left="180"/>
        <w:jc w:val="both"/>
        <w:rPr>
          <w:rFonts w:eastAsia="標楷體"/>
          <w:szCs w:val="22"/>
        </w:rPr>
      </w:pPr>
      <w:r w:rsidRPr="00043A1E">
        <w:rPr>
          <w:rFonts w:eastAsia="標楷體" w:hAnsi="標楷體"/>
          <w:b/>
          <w:szCs w:val="22"/>
        </w:rPr>
        <w:t>智林</w:t>
      </w:r>
      <w:r w:rsidRPr="00043A1E">
        <w:rPr>
          <w:rFonts w:eastAsia="標楷體" w:hAnsi="標楷體"/>
          <w:szCs w:val="22"/>
        </w:rPr>
        <w:t>是西域高昌國人，自幼出家，</w:t>
      </w:r>
      <w:r w:rsidRPr="00C73CA4">
        <w:rPr>
          <w:rFonts w:eastAsia="標楷體"/>
          <w:szCs w:val="22"/>
        </w:rPr>
        <w:t>他在長安停留過一陣子，後來又到南方劉宋的京城。而在宋文帝元嘉年間，他的師父道亮被貶徙到南越、番禺一帶，智林及其同門十一人都隨其師道亮同行（見慧皎《高僧傳》卷</w:t>
      </w:r>
      <w:r w:rsidR="00C73CA4" w:rsidRPr="00C73CA4">
        <w:rPr>
          <w:rFonts w:eastAsia="標楷體" w:hint="eastAsia"/>
          <w:szCs w:val="22"/>
        </w:rPr>
        <w:t>7</w:t>
      </w:r>
      <w:r w:rsidRPr="00C73CA4">
        <w:rPr>
          <w:rFonts w:eastAsia="標楷體"/>
          <w:szCs w:val="22"/>
        </w:rPr>
        <w:t>〈道亮傳〉，大正</w:t>
      </w:r>
      <w:r w:rsidRPr="00C73CA4">
        <w:rPr>
          <w:rFonts w:eastAsia="標楷體"/>
          <w:szCs w:val="22"/>
        </w:rPr>
        <w:t>50</w:t>
      </w:r>
      <w:r w:rsidRPr="00C73CA4">
        <w:rPr>
          <w:rFonts w:eastAsia="標楷體"/>
          <w:szCs w:val="22"/>
        </w:rPr>
        <w:t>，</w:t>
      </w:r>
      <w:r w:rsidRPr="00C73CA4">
        <w:rPr>
          <w:rFonts w:eastAsia="標楷體"/>
          <w:szCs w:val="22"/>
        </w:rPr>
        <w:t>372b</w:t>
      </w:r>
      <w:r w:rsidRPr="00C73CA4">
        <w:rPr>
          <w:rFonts w:eastAsia="標楷體"/>
          <w:szCs w:val="22"/>
        </w:rPr>
        <w:t>）。到宋明帝即位初年（約西元</w:t>
      </w:r>
      <w:r w:rsidR="00C73CA4">
        <w:rPr>
          <w:rFonts w:eastAsia="標楷體" w:hint="eastAsia"/>
          <w:szCs w:val="22"/>
        </w:rPr>
        <w:t>465</w:t>
      </w:r>
      <w:r w:rsidRPr="00C73CA4">
        <w:rPr>
          <w:rFonts w:eastAsia="標楷體"/>
          <w:szCs w:val="22"/>
        </w:rPr>
        <w:t>年），他奉召回京住於靈基寺，並講述佛法，相續不斷。他認為二諦有三種不同的說法，</w:t>
      </w:r>
      <w:r w:rsidRPr="00C73CA4">
        <w:rPr>
          <w:rFonts w:eastAsia="標楷體"/>
          <w:b/>
          <w:szCs w:val="22"/>
        </w:rPr>
        <w:t>當時汝南的周顒也同樣做了《三宗論》，而與智林的看法頗為符合。</w:t>
      </w:r>
      <w:r w:rsidRPr="00C73CA4">
        <w:rPr>
          <w:rFonts w:eastAsia="標楷體"/>
          <w:szCs w:val="22"/>
        </w:rPr>
        <w:t>周顒不願意出版他的作品，智林便寫信鼓勵之。在他寫給周顒的一封信中，他提及當他廿歲時（約當西元</w:t>
      </w:r>
      <w:r w:rsidR="00C73CA4">
        <w:rPr>
          <w:rFonts w:eastAsia="標楷體" w:hint="eastAsia"/>
          <w:szCs w:val="22"/>
        </w:rPr>
        <w:t>428</w:t>
      </w:r>
      <w:r w:rsidRPr="00C73CA4">
        <w:rPr>
          <w:rFonts w:eastAsia="標楷體"/>
          <w:szCs w:val="22"/>
        </w:rPr>
        <w:t>年）曾聽一位長安的長者說，《三宗論》的說法當時在關中頗為人知，並且請周顒給一本《三宗論》。其後智林回到高昌，而於西元</w:t>
      </w:r>
      <w:r w:rsidR="00C73CA4">
        <w:rPr>
          <w:rFonts w:eastAsia="標楷體" w:hint="eastAsia"/>
          <w:szCs w:val="22"/>
        </w:rPr>
        <w:t>487</w:t>
      </w:r>
      <w:r w:rsidRPr="00C73CA4">
        <w:rPr>
          <w:rFonts w:eastAsia="標楷體"/>
          <w:szCs w:val="22"/>
        </w:rPr>
        <w:t>年捨世，世壽</w:t>
      </w:r>
      <w:r w:rsidR="00C73CA4">
        <w:rPr>
          <w:rFonts w:eastAsia="標楷體" w:hint="eastAsia"/>
          <w:szCs w:val="22"/>
        </w:rPr>
        <w:t>79</w:t>
      </w:r>
      <w:r w:rsidRPr="00C73CA4">
        <w:rPr>
          <w:rFonts w:eastAsia="標楷體"/>
          <w:szCs w:val="22"/>
        </w:rPr>
        <w:t>。他的著作包括《二諦論》、《阿毘曇雜心記》，並注《十二門論》與《中論》。</w:t>
      </w:r>
      <w:r w:rsidR="00C73CA4" w:rsidRPr="00C73CA4">
        <w:rPr>
          <w:rFonts w:eastAsia="標楷體" w:hint="eastAsia"/>
          <w:color w:val="FF0000"/>
          <w:szCs w:val="22"/>
          <w:highlight w:val="yellow"/>
        </w:rPr>
        <w:t>［</w:t>
      </w:r>
      <w:r w:rsidR="00C73CA4" w:rsidRPr="00C73CA4">
        <w:rPr>
          <w:rFonts w:hint="eastAsia"/>
          <w:color w:val="FF0000"/>
          <w:szCs w:val="22"/>
          <w:highlight w:val="yellow"/>
        </w:rPr>
        <w:t>《高僧傳》卷</w:t>
      </w:r>
      <w:r w:rsidR="00C73CA4" w:rsidRPr="00C73CA4">
        <w:rPr>
          <w:rFonts w:hint="eastAsia"/>
          <w:color w:val="FF0000"/>
          <w:szCs w:val="22"/>
          <w:highlight w:val="yellow"/>
        </w:rPr>
        <w:t>8</w:t>
      </w:r>
      <w:r w:rsidR="00C73CA4" w:rsidRPr="00C73CA4">
        <w:rPr>
          <w:rFonts w:eastAsia="標楷體"/>
          <w:szCs w:val="22"/>
        </w:rPr>
        <w:t>（大正</w:t>
      </w:r>
      <w:r w:rsidR="00C73CA4" w:rsidRPr="00C73CA4">
        <w:rPr>
          <w:rFonts w:eastAsia="標楷體"/>
          <w:szCs w:val="22"/>
        </w:rPr>
        <w:t>50</w:t>
      </w:r>
      <w:r w:rsidR="00C73CA4" w:rsidRPr="00C73CA4">
        <w:rPr>
          <w:rFonts w:eastAsia="標楷體"/>
          <w:szCs w:val="22"/>
        </w:rPr>
        <w:t>，</w:t>
      </w:r>
      <w:r w:rsidR="00C73CA4" w:rsidRPr="00C73CA4">
        <w:rPr>
          <w:rFonts w:eastAsia="標楷體"/>
          <w:szCs w:val="22"/>
        </w:rPr>
        <w:t>376a20</w:t>
      </w:r>
      <w:r w:rsidR="00C73CA4" w:rsidRPr="00C73CA4">
        <w:rPr>
          <w:rFonts w:eastAsia="標楷體" w:hint="eastAsia"/>
          <w:color w:val="FF0000"/>
          <w:szCs w:val="22"/>
          <w:highlight w:val="yellow"/>
        </w:rPr>
        <w:t>-b29</w:t>
      </w:r>
      <w:r w:rsidR="00C73CA4" w:rsidRPr="00C73CA4">
        <w:rPr>
          <w:rFonts w:eastAsia="標楷體"/>
          <w:szCs w:val="22"/>
        </w:rPr>
        <w:t>）</w:t>
      </w:r>
      <w:r w:rsidR="00C73CA4" w:rsidRPr="00C73CA4">
        <w:rPr>
          <w:rFonts w:eastAsia="標楷體" w:hint="eastAsia"/>
          <w:color w:val="FF0000"/>
          <w:szCs w:val="22"/>
          <w:highlight w:val="yellow"/>
        </w:rPr>
        <w:t>］</w:t>
      </w:r>
    </w:p>
  </w:footnote>
  <w:footnote w:id="818">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szCs w:val="22"/>
        </w:rPr>
        <w:t>參見〔梁〕慧皎撰，《高僧傳》卷</w:t>
      </w:r>
      <w:r w:rsidRPr="00761EF3">
        <w:rPr>
          <w:szCs w:val="22"/>
        </w:rPr>
        <w:t>8</w:t>
      </w:r>
      <w:r w:rsidRPr="00043A1E">
        <w:rPr>
          <w:szCs w:val="22"/>
        </w:rPr>
        <w:t>（大正</w:t>
      </w:r>
      <w:r w:rsidRPr="00761EF3">
        <w:rPr>
          <w:szCs w:val="22"/>
        </w:rPr>
        <w:t>50</w:t>
      </w:r>
      <w:r w:rsidRPr="00043A1E">
        <w:rPr>
          <w:szCs w:val="22"/>
        </w:rPr>
        <w:t>，</w:t>
      </w:r>
      <w:r w:rsidRPr="00761EF3">
        <w:rPr>
          <w:szCs w:val="22"/>
        </w:rPr>
        <w:t>376a20</w:t>
      </w:r>
      <w:r w:rsidRPr="00043A1E">
        <w:rPr>
          <w:rFonts w:hint="eastAsia"/>
          <w:szCs w:val="22"/>
        </w:rPr>
        <w:t>-</w:t>
      </w:r>
      <w:r w:rsidRPr="00761EF3">
        <w:rPr>
          <w:szCs w:val="22"/>
        </w:rPr>
        <w:t>b29</w:t>
      </w:r>
      <w:r w:rsidRPr="00043A1E">
        <w:rPr>
          <w:szCs w:val="22"/>
        </w:rPr>
        <w:t>）。</w:t>
      </w:r>
    </w:p>
  </w:footnote>
  <w:footnote w:id="819">
    <w:p w:rsidR="00C73CA4" w:rsidRPr="00043A1E" w:rsidRDefault="00C73CA4" w:rsidP="00C73CA4">
      <w:pPr>
        <w:pStyle w:val="a5"/>
        <w:ind w:left="187" w:hangingChars="85" w:hanging="187"/>
        <w:jc w:val="both"/>
        <w:rPr>
          <w:b/>
          <w:bCs/>
          <w:szCs w:val="22"/>
        </w:rPr>
      </w:pPr>
      <w:r w:rsidRPr="00043A1E">
        <w:rPr>
          <w:rStyle w:val="a6"/>
          <w:szCs w:val="22"/>
        </w:rPr>
        <w:footnoteRef/>
      </w:r>
      <w:r w:rsidRPr="00043A1E">
        <w:rPr>
          <w:rFonts w:hint="eastAsia"/>
          <w:szCs w:val="22"/>
        </w:rPr>
        <w:t xml:space="preserve"> </w:t>
      </w:r>
      <w:r w:rsidRPr="00043A1E">
        <w:rPr>
          <w:rFonts w:hint="eastAsia"/>
          <w:szCs w:val="22"/>
        </w:rPr>
        <w:t>〔隋〕</w:t>
      </w:r>
      <w:r w:rsidRPr="00043A1E">
        <w:rPr>
          <w:szCs w:val="22"/>
        </w:rPr>
        <w:t>吉藏撰，《中觀論疏》卷</w:t>
      </w:r>
      <w:r w:rsidRPr="00761EF3">
        <w:rPr>
          <w:szCs w:val="22"/>
        </w:rPr>
        <w:t>2</w:t>
      </w:r>
      <w:r w:rsidRPr="00043A1E">
        <w:rPr>
          <w:szCs w:val="22"/>
        </w:rPr>
        <w:t>末（大正</w:t>
      </w:r>
      <w:r w:rsidRPr="00761EF3">
        <w:rPr>
          <w:szCs w:val="22"/>
        </w:rPr>
        <w:t>42</w:t>
      </w:r>
      <w:r w:rsidRPr="00043A1E">
        <w:rPr>
          <w:szCs w:val="22"/>
        </w:rPr>
        <w:t>，</w:t>
      </w:r>
      <w:r w:rsidRPr="00761EF3">
        <w:rPr>
          <w:szCs w:val="22"/>
        </w:rPr>
        <w:t>29b16</w:t>
      </w:r>
      <w:r w:rsidRPr="00043A1E">
        <w:rPr>
          <w:rFonts w:hint="eastAsia"/>
          <w:szCs w:val="22"/>
        </w:rPr>
        <w:t>-</w:t>
      </w:r>
      <w:r w:rsidRPr="00761EF3">
        <w:rPr>
          <w:szCs w:val="22"/>
        </w:rPr>
        <w:t>c5</w:t>
      </w:r>
      <w:r w:rsidRPr="00043A1E">
        <w:rPr>
          <w:szCs w:val="22"/>
        </w:rPr>
        <w:t>）：</w:t>
      </w:r>
    </w:p>
    <w:p w:rsidR="00C73CA4" w:rsidRPr="00043A1E" w:rsidRDefault="00C73CA4" w:rsidP="00C73CA4">
      <w:pPr>
        <w:pStyle w:val="a5"/>
        <w:ind w:leftChars="75" w:left="180"/>
        <w:jc w:val="both"/>
        <w:rPr>
          <w:rFonts w:ascii="標楷體" w:eastAsia="標楷體" w:hAnsi="標楷體"/>
          <w:szCs w:val="22"/>
        </w:rPr>
      </w:pPr>
      <w:r w:rsidRPr="00043A1E">
        <w:rPr>
          <w:rFonts w:ascii="標楷體" w:eastAsia="標楷體" w:hAnsi="標楷體"/>
          <w:szCs w:val="22"/>
        </w:rPr>
        <w:t>齊隱士周顒著</w:t>
      </w:r>
      <w:r w:rsidRPr="00043A1E">
        <w:rPr>
          <w:rFonts w:ascii="標楷體" w:eastAsia="標楷體" w:hAnsi="標楷體" w:hint="eastAsia"/>
          <w:szCs w:val="22"/>
        </w:rPr>
        <w:t>《</w:t>
      </w:r>
      <w:r w:rsidRPr="00043A1E">
        <w:rPr>
          <w:rFonts w:ascii="標楷體" w:eastAsia="標楷體" w:hAnsi="標楷體"/>
          <w:szCs w:val="22"/>
        </w:rPr>
        <w:t>三宗論</w:t>
      </w:r>
      <w:r w:rsidRPr="00043A1E">
        <w:rPr>
          <w:rFonts w:ascii="標楷體" w:eastAsia="標楷體" w:hAnsi="標楷體" w:hint="eastAsia"/>
          <w:szCs w:val="22"/>
        </w:rPr>
        <w:t>》</w:t>
      </w:r>
      <w:r w:rsidRPr="00043A1E">
        <w:rPr>
          <w:rFonts w:ascii="標楷體" w:eastAsia="標楷體" w:hAnsi="標楷體"/>
          <w:szCs w:val="22"/>
        </w:rPr>
        <w:t>：一</w:t>
      </w:r>
      <w:r w:rsidRPr="00043A1E">
        <w:rPr>
          <w:rFonts w:ascii="標楷體" w:eastAsia="標楷體" w:hAnsi="標楷體" w:hint="eastAsia"/>
          <w:szCs w:val="22"/>
        </w:rPr>
        <w:t>、</w:t>
      </w:r>
      <w:r w:rsidRPr="00043A1E">
        <w:rPr>
          <w:rFonts w:ascii="標楷體" w:eastAsia="標楷體" w:hAnsi="標楷體"/>
          <w:szCs w:val="22"/>
        </w:rPr>
        <w:t>不空假名</w:t>
      </w:r>
      <w:r w:rsidRPr="00043A1E">
        <w:rPr>
          <w:rFonts w:ascii="標楷體" w:eastAsia="標楷體" w:hAnsi="標楷體" w:hint="eastAsia"/>
          <w:szCs w:val="22"/>
        </w:rPr>
        <w:t>，</w:t>
      </w:r>
      <w:r w:rsidRPr="00043A1E">
        <w:rPr>
          <w:rFonts w:ascii="標楷體" w:eastAsia="標楷體" w:hAnsi="標楷體"/>
          <w:szCs w:val="22"/>
        </w:rPr>
        <w:t>二</w:t>
      </w:r>
      <w:r w:rsidRPr="00043A1E">
        <w:rPr>
          <w:rFonts w:ascii="標楷體" w:eastAsia="標楷體" w:hAnsi="標楷體" w:hint="eastAsia"/>
          <w:szCs w:val="22"/>
        </w:rPr>
        <w:t>、</w:t>
      </w:r>
      <w:r w:rsidRPr="00043A1E">
        <w:rPr>
          <w:rFonts w:ascii="標楷體" w:eastAsia="標楷體" w:hAnsi="標楷體"/>
          <w:szCs w:val="22"/>
        </w:rPr>
        <w:t>空假名</w:t>
      </w:r>
      <w:r w:rsidRPr="00043A1E">
        <w:rPr>
          <w:rFonts w:ascii="標楷體" w:eastAsia="標楷體" w:hAnsi="標楷體" w:hint="eastAsia"/>
          <w:szCs w:val="22"/>
        </w:rPr>
        <w:t>，</w:t>
      </w:r>
      <w:r w:rsidRPr="00043A1E">
        <w:rPr>
          <w:rFonts w:ascii="標楷體" w:eastAsia="標楷體" w:hAnsi="標楷體"/>
          <w:szCs w:val="22"/>
        </w:rPr>
        <w:t>三</w:t>
      </w:r>
      <w:r w:rsidRPr="00043A1E">
        <w:rPr>
          <w:rFonts w:ascii="標楷體" w:eastAsia="標楷體" w:hAnsi="標楷體" w:hint="eastAsia"/>
          <w:szCs w:val="22"/>
        </w:rPr>
        <w:t>、</w:t>
      </w:r>
      <w:r w:rsidRPr="00043A1E">
        <w:rPr>
          <w:rFonts w:ascii="標楷體" w:eastAsia="標楷體" w:hAnsi="標楷體"/>
          <w:szCs w:val="22"/>
        </w:rPr>
        <w:t>假名空。</w:t>
      </w:r>
    </w:p>
    <w:p w:rsidR="00C73CA4" w:rsidRPr="00043A1E" w:rsidRDefault="00064E24" w:rsidP="00C73CA4">
      <w:pPr>
        <w:pStyle w:val="a5"/>
        <w:spacing w:line="300" w:lineRule="exact"/>
        <w:ind w:leftChars="75" w:left="180"/>
        <w:jc w:val="both"/>
        <w:rPr>
          <w:rFonts w:ascii="標楷體" w:eastAsia="標楷體" w:hAnsi="標楷體"/>
          <w:szCs w:val="22"/>
        </w:rPr>
      </w:pPr>
      <w:r>
        <w:rPr>
          <w:rFonts w:ascii="標楷體" w:eastAsia="標楷體" w:hAnsi="標楷體" w:hint="eastAsia"/>
          <w:bCs/>
          <w:color w:val="FF0000"/>
          <w:kern w:val="0"/>
          <w:highlight w:val="yellow"/>
        </w:rPr>
        <w:t>「</w:t>
      </w:r>
      <w:r w:rsidR="00C73CA4" w:rsidRPr="00043A1E">
        <w:rPr>
          <w:rFonts w:ascii="標楷體" w:eastAsia="標楷體" w:hAnsi="標楷體"/>
          <w:b/>
          <w:bCs/>
          <w:szCs w:val="22"/>
        </w:rPr>
        <w:t>不空假名</w:t>
      </w:r>
      <w:r>
        <w:rPr>
          <w:rFonts w:ascii="標楷體" w:eastAsia="標楷體" w:hAnsi="標楷體" w:hint="eastAsia"/>
          <w:bCs/>
          <w:color w:val="FF0000"/>
          <w:kern w:val="0"/>
          <w:highlight w:val="yellow"/>
        </w:rPr>
        <w:t>」</w:t>
      </w:r>
      <w:r w:rsidR="00C73CA4" w:rsidRPr="00043A1E">
        <w:rPr>
          <w:rFonts w:ascii="標楷體" w:eastAsia="標楷體" w:hAnsi="標楷體"/>
          <w:szCs w:val="22"/>
        </w:rPr>
        <w:t>者，經云</w:t>
      </w:r>
      <w:r w:rsidR="00C73CA4" w:rsidRPr="00043A1E">
        <w:rPr>
          <w:rFonts w:ascii="標楷體" w:eastAsia="標楷體" w:hAnsi="標楷體" w:hint="eastAsia"/>
          <w:szCs w:val="22"/>
        </w:rPr>
        <w:t>：</w:t>
      </w:r>
      <w:r>
        <w:rPr>
          <w:rFonts w:ascii="標楷體" w:eastAsia="標楷體" w:hAnsi="標楷體" w:hint="eastAsia"/>
          <w:bCs/>
          <w:color w:val="FF0000"/>
          <w:kern w:val="0"/>
          <w:highlight w:val="yellow"/>
        </w:rPr>
        <w:t>「</w:t>
      </w:r>
      <w:r w:rsidR="00C73CA4" w:rsidRPr="00043A1E">
        <w:rPr>
          <w:rFonts w:ascii="標楷體" w:eastAsia="標楷體" w:hAnsi="標楷體"/>
          <w:szCs w:val="22"/>
        </w:rPr>
        <w:t>色空</w:t>
      </w:r>
      <w:r>
        <w:rPr>
          <w:rFonts w:ascii="標楷體" w:eastAsia="標楷體" w:hAnsi="標楷體" w:hint="eastAsia"/>
          <w:bCs/>
          <w:color w:val="FF0000"/>
          <w:kern w:val="0"/>
          <w:highlight w:val="yellow"/>
        </w:rPr>
        <w:t>」</w:t>
      </w:r>
      <w:r w:rsidR="00C73CA4" w:rsidRPr="00043A1E">
        <w:rPr>
          <w:rFonts w:ascii="標楷體" w:eastAsia="標楷體" w:hAnsi="標楷體"/>
          <w:szCs w:val="22"/>
        </w:rPr>
        <w:t>者，此是空無</w:t>
      </w:r>
      <w:r>
        <w:rPr>
          <w:rFonts w:ascii="標楷體" w:eastAsia="標楷體" w:hAnsi="標楷體" w:hint="eastAsia"/>
          <w:bCs/>
          <w:color w:val="FF0000"/>
          <w:kern w:val="0"/>
          <w:highlight w:val="yellow"/>
        </w:rPr>
        <w:t>「</w:t>
      </w:r>
      <w:r w:rsidR="00C73CA4" w:rsidRPr="00043A1E">
        <w:rPr>
          <w:rFonts w:ascii="標楷體" w:eastAsia="標楷體" w:hAnsi="標楷體"/>
          <w:szCs w:val="22"/>
        </w:rPr>
        <w:t>性實</w:t>
      </w:r>
      <w:r>
        <w:rPr>
          <w:rFonts w:ascii="標楷體" w:eastAsia="標楷體" w:hAnsi="標楷體" w:hint="eastAsia"/>
          <w:bCs/>
          <w:color w:val="FF0000"/>
          <w:kern w:val="0"/>
          <w:highlight w:val="yellow"/>
        </w:rPr>
        <w:t>」</w:t>
      </w:r>
      <w:r w:rsidR="00C73CA4" w:rsidRPr="00043A1E">
        <w:rPr>
          <w:rFonts w:ascii="標楷體" w:eastAsia="標楷體" w:hAnsi="標楷體"/>
          <w:szCs w:val="22"/>
        </w:rPr>
        <w:t>故言</w:t>
      </w:r>
      <w:r>
        <w:rPr>
          <w:rFonts w:ascii="標楷體" w:eastAsia="標楷體" w:hAnsi="標楷體" w:hint="eastAsia"/>
          <w:bCs/>
          <w:color w:val="FF0000"/>
          <w:kern w:val="0"/>
          <w:highlight w:val="yellow"/>
        </w:rPr>
        <w:t>「</w:t>
      </w:r>
      <w:r w:rsidR="00C73CA4" w:rsidRPr="00043A1E">
        <w:rPr>
          <w:rFonts w:ascii="標楷體" w:eastAsia="標楷體" w:hAnsi="標楷體"/>
          <w:szCs w:val="22"/>
        </w:rPr>
        <w:t>空</w:t>
      </w:r>
      <w:r>
        <w:rPr>
          <w:rFonts w:ascii="標楷體" w:eastAsia="標楷體" w:hAnsi="標楷體" w:hint="eastAsia"/>
          <w:bCs/>
          <w:color w:val="FF0000"/>
          <w:kern w:val="0"/>
          <w:highlight w:val="yellow"/>
        </w:rPr>
        <w:t>」</w:t>
      </w:r>
      <w:r w:rsidR="00C73CA4" w:rsidRPr="00043A1E">
        <w:rPr>
          <w:rFonts w:ascii="標楷體" w:eastAsia="標楷體" w:hAnsi="標楷體"/>
          <w:szCs w:val="22"/>
        </w:rPr>
        <w:t>耳</w:t>
      </w:r>
      <w:r>
        <w:rPr>
          <w:rFonts w:ascii="標楷體" w:eastAsia="標楷體" w:hAnsi="標楷體" w:hint="eastAsia"/>
          <w:color w:val="FF0000"/>
          <w:kern w:val="0"/>
          <w:highlight w:val="yellow"/>
        </w:rPr>
        <w:t>，</w:t>
      </w:r>
      <w:r w:rsidR="00C73CA4" w:rsidRPr="00043A1E">
        <w:rPr>
          <w:rFonts w:ascii="標楷體" w:eastAsia="標楷體" w:hAnsi="標楷體"/>
          <w:szCs w:val="22"/>
        </w:rPr>
        <w:t>不空於</w:t>
      </w:r>
      <w:r>
        <w:rPr>
          <w:rFonts w:ascii="標楷體" w:eastAsia="標楷體" w:hAnsi="標楷體" w:hint="eastAsia"/>
          <w:bCs/>
          <w:color w:val="FF0000"/>
          <w:kern w:val="0"/>
          <w:highlight w:val="yellow"/>
        </w:rPr>
        <w:t>「</w:t>
      </w:r>
      <w:r w:rsidR="00C73CA4" w:rsidRPr="00043A1E">
        <w:rPr>
          <w:rFonts w:ascii="標楷體" w:eastAsia="標楷體" w:hAnsi="標楷體"/>
          <w:szCs w:val="22"/>
        </w:rPr>
        <w:t>假色</w:t>
      </w:r>
      <w:r>
        <w:rPr>
          <w:rFonts w:ascii="標楷體" w:eastAsia="標楷體" w:hAnsi="標楷體" w:hint="eastAsia"/>
          <w:bCs/>
          <w:color w:val="FF0000"/>
          <w:kern w:val="0"/>
          <w:highlight w:val="yellow"/>
        </w:rPr>
        <w:t>」</w:t>
      </w:r>
      <w:r w:rsidR="00C73CA4" w:rsidRPr="00043A1E">
        <w:rPr>
          <w:rFonts w:ascii="標楷體" w:eastAsia="標楷體" w:hAnsi="標楷體"/>
          <w:szCs w:val="22"/>
        </w:rPr>
        <w:t>也</w:t>
      </w:r>
      <w:r w:rsidR="00C73CA4" w:rsidRPr="00043A1E">
        <w:rPr>
          <w:rFonts w:ascii="標楷體" w:eastAsia="標楷體" w:hAnsi="標楷體" w:hint="eastAsia"/>
          <w:szCs w:val="22"/>
        </w:rPr>
        <w:t>。</w:t>
      </w:r>
      <w:r w:rsidR="00C73CA4" w:rsidRPr="00043A1E">
        <w:rPr>
          <w:rFonts w:ascii="標楷體" w:eastAsia="標楷體" w:hAnsi="標楷體"/>
          <w:szCs w:val="22"/>
        </w:rPr>
        <w:t>以空無</w:t>
      </w:r>
      <w:r>
        <w:rPr>
          <w:rFonts w:ascii="標楷體" w:eastAsia="標楷體" w:hAnsi="標楷體" w:hint="eastAsia"/>
          <w:bCs/>
          <w:color w:val="FF0000"/>
          <w:kern w:val="0"/>
          <w:highlight w:val="yellow"/>
        </w:rPr>
        <w:t>「</w:t>
      </w:r>
      <w:r w:rsidR="00C73CA4" w:rsidRPr="00043A1E">
        <w:rPr>
          <w:rFonts w:ascii="標楷體" w:eastAsia="標楷體" w:hAnsi="標楷體"/>
          <w:szCs w:val="22"/>
        </w:rPr>
        <w:t>性實</w:t>
      </w:r>
      <w:r>
        <w:rPr>
          <w:rFonts w:ascii="標楷體" w:eastAsia="標楷體" w:hAnsi="標楷體" w:hint="eastAsia"/>
          <w:bCs/>
          <w:color w:val="FF0000"/>
          <w:kern w:val="0"/>
          <w:highlight w:val="yellow"/>
        </w:rPr>
        <w:t>」</w:t>
      </w:r>
      <w:r w:rsidR="00C73CA4" w:rsidRPr="00043A1E">
        <w:rPr>
          <w:rFonts w:ascii="標楷體" w:eastAsia="標楷體" w:hAnsi="標楷體"/>
          <w:szCs w:val="22"/>
        </w:rPr>
        <w:t>故名為</w:t>
      </w:r>
      <w:r>
        <w:rPr>
          <w:rFonts w:ascii="標楷體" w:eastAsia="標楷體" w:hAnsi="標楷體" w:hint="eastAsia"/>
          <w:bCs/>
          <w:color w:val="FF0000"/>
          <w:kern w:val="0"/>
          <w:highlight w:val="yellow"/>
        </w:rPr>
        <w:t>「</w:t>
      </w:r>
      <w:r w:rsidR="00C73CA4" w:rsidRPr="00043A1E">
        <w:rPr>
          <w:rFonts w:ascii="標楷體" w:eastAsia="標楷體" w:hAnsi="標楷體"/>
          <w:szCs w:val="22"/>
        </w:rPr>
        <w:t>空</w:t>
      </w:r>
      <w:r>
        <w:rPr>
          <w:rFonts w:ascii="標楷體" w:eastAsia="標楷體" w:hAnsi="標楷體" w:hint="eastAsia"/>
          <w:bCs/>
          <w:color w:val="FF0000"/>
          <w:kern w:val="0"/>
          <w:highlight w:val="yellow"/>
        </w:rPr>
        <w:t>」</w:t>
      </w:r>
      <w:r w:rsidR="00C73CA4" w:rsidRPr="00043A1E">
        <w:rPr>
          <w:rFonts w:ascii="標楷體" w:eastAsia="標楷體" w:hAnsi="標楷體"/>
          <w:szCs w:val="22"/>
        </w:rPr>
        <w:t>，即</w:t>
      </w:r>
      <w:r>
        <w:rPr>
          <w:rFonts w:ascii="標楷體" w:eastAsia="標楷體" w:hAnsi="標楷體" w:hint="eastAsia"/>
          <w:bCs/>
          <w:color w:val="FF0000"/>
          <w:kern w:val="0"/>
          <w:highlight w:val="yellow"/>
        </w:rPr>
        <w:t>「</w:t>
      </w:r>
      <w:r w:rsidR="00C73CA4" w:rsidRPr="00043A1E">
        <w:rPr>
          <w:rFonts w:ascii="標楷體" w:eastAsia="標楷體" w:hAnsi="標楷體"/>
          <w:szCs w:val="22"/>
        </w:rPr>
        <w:t>真諦</w:t>
      </w:r>
      <w:r>
        <w:rPr>
          <w:rFonts w:ascii="標楷體" w:eastAsia="標楷體" w:hAnsi="標楷體" w:hint="eastAsia"/>
          <w:bCs/>
          <w:color w:val="FF0000"/>
          <w:kern w:val="0"/>
          <w:highlight w:val="yellow"/>
        </w:rPr>
        <w:t>」</w:t>
      </w:r>
      <w:r w:rsidR="00C73CA4" w:rsidRPr="00043A1E">
        <w:rPr>
          <w:rFonts w:ascii="標楷體" w:eastAsia="標楷體" w:hAnsi="標楷體" w:hint="eastAsia"/>
          <w:szCs w:val="22"/>
        </w:rPr>
        <w:t>；</w:t>
      </w:r>
      <w:r w:rsidR="00C73CA4" w:rsidRPr="00043A1E">
        <w:rPr>
          <w:rFonts w:ascii="標楷體" w:eastAsia="標楷體" w:hAnsi="標楷體"/>
          <w:szCs w:val="22"/>
        </w:rPr>
        <w:t>不空於</w:t>
      </w:r>
      <w:r>
        <w:rPr>
          <w:rFonts w:ascii="標楷體" w:eastAsia="標楷體" w:hAnsi="標楷體" w:hint="eastAsia"/>
          <w:bCs/>
          <w:color w:val="FF0000"/>
          <w:kern w:val="0"/>
          <w:highlight w:val="yellow"/>
        </w:rPr>
        <w:t>「</w:t>
      </w:r>
      <w:r w:rsidR="00C73CA4" w:rsidRPr="00043A1E">
        <w:rPr>
          <w:rFonts w:ascii="標楷體" w:eastAsia="標楷體" w:hAnsi="標楷體"/>
          <w:szCs w:val="22"/>
        </w:rPr>
        <w:t>假</w:t>
      </w:r>
      <w:r>
        <w:rPr>
          <w:rFonts w:ascii="標楷體" w:eastAsia="標楷體" w:hAnsi="標楷體" w:hint="eastAsia"/>
          <w:bCs/>
          <w:color w:val="FF0000"/>
          <w:kern w:val="0"/>
          <w:highlight w:val="yellow"/>
        </w:rPr>
        <w:t>」</w:t>
      </w:r>
      <w:r w:rsidR="00C73CA4" w:rsidRPr="00043A1E">
        <w:rPr>
          <w:rFonts w:ascii="標楷體" w:eastAsia="標楷體" w:hAnsi="標楷體"/>
          <w:szCs w:val="22"/>
        </w:rPr>
        <w:t>，故名</w:t>
      </w:r>
      <w:r>
        <w:rPr>
          <w:rFonts w:ascii="標楷體" w:eastAsia="標楷體" w:hAnsi="標楷體" w:hint="eastAsia"/>
          <w:bCs/>
          <w:color w:val="FF0000"/>
          <w:kern w:val="0"/>
          <w:highlight w:val="yellow"/>
        </w:rPr>
        <w:t>「</w:t>
      </w:r>
      <w:r w:rsidR="00C73CA4" w:rsidRPr="00043A1E">
        <w:rPr>
          <w:rFonts w:ascii="標楷體" w:eastAsia="標楷體" w:hAnsi="標楷體"/>
          <w:szCs w:val="22"/>
        </w:rPr>
        <w:t>世諦</w:t>
      </w:r>
      <w:r>
        <w:rPr>
          <w:rFonts w:ascii="標楷體" w:eastAsia="標楷體" w:hAnsi="標楷體" w:hint="eastAsia"/>
          <w:bCs/>
          <w:color w:val="FF0000"/>
          <w:kern w:val="0"/>
          <w:highlight w:val="yellow"/>
        </w:rPr>
        <w:t>」</w:t>
      </w:r>
      <w:r w:rsidR="00C73CA4" w:rsidRPr="00043A1E">
        <w:rPr>
          <w:rFonts w:ascii="標楷體" w:eastAsia="標楷體" w:hAnsi="標楷體"/>
          <w:szCs w:val="22"/>
        </w:rPr>
        <w:t>。晚人名此為</w:t>
      </w:r>
      <w:r w:rsidR="00C73CA4" w:rsidRPr="00043A1E">
        <w:rPr>
          <w:rFonts w:ascii="標楷體" w:eastAsia="標楷體" w:hAnsi="標楷體"/>
          <w:b/>
          <w:szCs w:val="22"/>
        </w:rPr>
        <w:t>鼠嘍栗義</w:t>
      </w:r>
      <w:r w:rsidR="00C73CA4" w:rsidRPr="00043A1E">
        <w:rPr>
          <w:rFonts w:ascii="標楷體" w:eastAsia="標楷體" w:hAnsi="標楷體"/>
          <w:szCs w:val="22"/>
        </w:rPr>
        <w:t>。</w:t>
      </w:r>
    </w:p>
    <w:p w:rsidR="00C73CA4" w:rsidRPr="00A06E2A" w:rsidRDefault="00C73CA4" w:rsidP="00C73CA4">
      <w:pPr>
        <w:pStyle w:val="a5"/>
        <w:spacing w:line="300" w:lineRule="exact"/>
        <w:ind w:leftChars="75" w:left="180"/>
        <w:jc w:val="both"/>
        <w:rPr>
          <w:rFonts w:ascii="標楷體" w:eastAsia="標楷體" w:hAnsi="標楷體"/>
          <w:szCs w:val="22"/>
        </w:rPr>
      </w:pPr>
      <w:r w:rsidRPr="00043A1E">
        <w:rPr>
          <w:rFonts w:ascii="標楷體" w:eastAsia="標楷體" w:hAnsi="標楷體"/>
          <w:szCs w:val="22"/>
        </w:rPr>
        <w:t>難云：論云</w:t>
      </w:r>
      <w:r w:rsidRPr="00043A1E">
        <w:rPr>
          <w:rFonts w:ascii="標楷體" w:eastAsia="標楷體" w:hAnsi="標楷體" w:hint="eastAsia"/>
          <w:szCs w:val="22"/>
        </w:rPr>
        <w:t>：</w:t>
      </w:r>
      <w:r w:rsidR="00064E24">
        <w:rPr>
          <w:rFonts w:ascii="標楷體" w:eastAsia="標楷體" w:hAnsi="標楷體" w:hint="eastAsia"/>
          <w:bCs/>
          <w:color w:val="FF0000"/>
          <w:kern w:val="0"/>
          <w:highlight w:val="yellow"/>
        </w:rPr>
        <w:t>「</w:t>
      </w:r>
      <w:r w:rsidRPr="00043A1E">
        <w:rPr>
          <w:rFonts w:ascii="標楷體" w:eastAsia="標楷體" w:hAnsi="標楷體"/>
          <w:szCs w:val="22"/>
        </w:rPr>
        <w:t>諸法</w:t>
      </w:r>
      <w:r w:rsidRPr="00064E24">
        <w:rPr>
          <w:rFonts w:ascii="標楷體" w:eastAsia="標楷體" w:hAnsi="標楷體"/>
          <w:szCs w:val="22"/>
          <w:u w:val="wave"/>
        </w:rPr>
        <w:t>後</w:t>
      </w:r>
      <w:r w:rsidRPr="00043A1E">
        <w:rPr>
          <w:rFonts w:ascii="標楷體" w:eastAsia="標楷體" w:hAnsi="標楷體"/>
          <w:szCs w:val="22"/>
        </w:rPr>
        <w:t>異故</w:t>
      </w:r>
      <w:r w:rsidRPr="00043A1E">
        <w:rPr>
          <w:rFonts w:ascii="標楷體" w:eastAsia="標楷體" w:hAnsi="標楷體" w:hint="eastAsia"/>
          <w:szCs w:val="22"/>
        </w:rPr>
        <w:t>，</w:t>
      </w:r>
      <w:r w:rsidRPr="00043A1E">
        <w:rPr>
          <w:rFonts w:ascii="標楷體" w:eastAsia="標楷體" w:hAnsi="標楷體"/>
          <w:szCs w:val="22"/>
        </w:rPr>
        <w:t>知皆是無性</w:t>
      </w:r>
      <w:r w:rsidR="00064E24">
        <w:rPr>
          <w:rFonts w:ascii="標楷體" w:eastAsia="標楷體" w:hAnsi="標楷體" w:hint="eastAsia"/>
          <w:color w:val="FF0000"/>
          <w:spacing w:val="-4"/>
          <w:kern w:val="0"/>
          <w:highlight w:val="yellow"/>
        </w:rPr>
        <w:t>；</w:t>
      </w:r>
      <w:r w:rsidRPr="00043A1E">
        <w:rPr>
          <w:rFonts w:ascii="標楷體" w:eastAsia="標楷體" w:hAnsi="標楷體"/>
          <w:szCs w:val="22"/>
        </w:rPr>
        <w:t>無性法亦無，一切法空故</w:t>
      </w:r>
      <w:r w:rsidRPr="00043A1E">
        <w:rPr>
          <w:rFonts w:ascii="標楷體" w:eastAsia="標楷體" w:hAnsi="標楷體" w:hint="eastAsia"/>
          <w:szCs w:val="22"/>
        </w:rPr>
        <w:t>。</w:t>
      </w:r>
      <w:r w:rsidR="00064E24">
        <w:rPr>
          <w:rFonts w:ascii="標楷體" w:eastAsia="標楷體" w:hAnsi="標楷體" w:hint="eastAsia"/>
          <w:bCs/>
          <w:color w:val="FF0000"/>
          <w:kern w:val="0"/>
          <w:highlight w:val="yellow"/>
        </w:rPr>
        <w:t>」</w:t>
      </w:r>
      <w:r w:rsidR="00064E24" w:rsidRPr="00064E24">
        <w:rPr>
          <w:rFonts w:eastAsia="標楷體" w:hint="eastAsia"/>
          <w:bCs/>
          <w:color w:val="FF0000"/>
          <w:kern w:val="0"/>
          <w:shd w:val="pct15" w:color="auto" w:fill="FFFFFF"/>
        </w:rPr>
        <w:t>*</w:t>
      </w:r>
      <w:r w:rsidR="00064E24" w:rsidRPr="00064E24">
        <w:rPr>
          <w:rFonts w:eastAsia="標楷體" w:hint="eastAsia"/>
          <w:bCs/>
          <w:color w:val="FF0000"/>
          <w:kern w:val="0"/>
          <w:shd w:val="pct15" w:color="auto" w:fill="FFFFFF"/>
          <w:vertAlign w:val="superscript"/>
        </w:rPr>
        <w:t>1</w:t>
      </w:r>
      <w:r w:rsidRPr="00043A1E">
        <w:rPr>
          <w:rFonts w:ascii="標楷體" w:eastAsia="標楷體" w:hAnsi="標楷體"/>
          <w:szCs w:val="22"/>
        </w:rPr>
        <w:t>即性</w:t>
      </w:r>
      <w:r w:rsidR="00064E24">
        <w:rPr>
          <w:rFonts w:ascii="標楷體" w:eastAsia="標楷體" w:hAnsi="標楷體" w:hint="eastAsia"/>
          <w:color w:val="FF0000"/>
          <w:spacing w:val="-4"/>
          <w:kern w:val="0"/>
          <w:highlight w:val="yellow"/>
        </w:rPr>
        <w:t>、</w:t>
      </w:r>
      <w:r w:rsidRPr="00043A1E">
        <w:rPr>
          <w:rFonts w:ascii="標楷體" w:eastAsia="標楷體" w:hAnsi="標楷體"/>
          <w:szCs w:val="22"/>
        </w:rPr>
        <w:t>無性</w:t>
      </w:r>
      <w:r w:rsidR="00064E24">
        <w:rPr>
          <w:rFonts w:ascii="標楷體" w:eastAsia="標楷體" w:hAnsi="標楷體" w:hint="eastAsia"/>
          <w:color w:val="FF0000"/>
          <w:kern w:val="0"/>
          <w:highlight w:val="yellow"/>
        </w:rPr>
        <w:t>，</w:t>
      </w:r>
      <w:r w:rsidRPr="00043A1E">
        <w:rPr>
          <w:rFonts w:ascii="標楷體" w:eastAsia="標楷體" w:hAnsi="標楷體"/>
          <w:szCs w:val="22"/>
        </w:rPr>
        <w:t>一</w:t>
      </w:r>
      <w:r w:rsidRPr="00A06E2A">
        <w:rPr>
          <w:rFonts w:ascii="標楷體" w:eastAsia="標楷體" w:hAnsi="標楷體"/>
          <w:szCs w:val="22"/>
        </w:rPr>
        <w:t>切皆空，豈但空</w:t>
      </w:r>
      <w:r w:rsidR="00064E24">
        <w:rPr>
          <w:rFonts w:ascii="標楷體" w:eastAsia="標楷體" w:hAnsi="標楷體" w:hint="eastAsia"/>
          <w:bCs/>
          <w:color w:val="FF0000"/>
          <w:kern w:val="0"/>
          <w:highlight w:val="yellow"/>
        </w:rPr>
        <w:t>「</w:t>
      </w:r>
      <w:r w:rsidRPr="00A06E2A">
        <w:rPr>
          <w:rFonts w:ascii="標楷體" w:eastAsia="標楷體" w:hAnsi="標楷體"/>
          <w:szCs w:val="22"/>
        </w:rPr>
        <w:t>性</w:t>
      </w:r>
      <w:r w:rsidR="00064E24">
        <w:rPr>
          <w:rFonts w:ascii="標楷體" w:eastAsia="標楷體" w:hAnsi="標楷體" w:hint="eastAsia"/>
          <w:bCs/>
          <w:color w:val="FF0000"/>
          <w:kern w:val="0"/>
          <w:highlight w:val="yellow"/>
        </w:rPr>
        <w:t>」</w:t>
      </w:r>
      <w:r w:rsidRPr="00A06E2A">
        <w:rPr>
          <w:rFonts w:ascii="標楷體" w:eastAsia="標楷體" w:hAnsi="標楷體"/>
          <w:szCs w:val="22"/>
        </w:rPr>
        <w:t>而不空</w:t>
      </w:r>
      <w:r w:rsidR="00064E24">
        <w:rPr>
          <w:rFonts w:ascii="標楷體" w:eastAsia="標楷體" w:hAnsi="標楷體" w:hint="eastAsia"/>
          <w:bCs/>
          <w:color w:val="FF0000"/>
          <w:kern w:val="0"/>
          <w:highlight w:val="yellow"/>
        </w:rPr>
        <w:t>「</w:t>
      </w:r>
      <w:r w:rsidRPr="00A06E2A">
        <w:rPr>
          <w:rFonts w:ascii="標楷體" w:eastAsia="標楷體" w:hAnsi="標楷體"/>
          <w:szCs w:val="22"/>
        </w:rPr>
        <w:t>假</w:t>
      </w:r>
      <w:r w:rsidR="00064E24">
        <w:rPr>
          <w:rFonts w:ascii="標楷體" w:eastAsia="標楷體" w:hAnsi="標楷體" w:hint="eastAsia"/>
          <w:bCs/>
          <w:color w:val="FF0000"/>
          <w:kern w:val="0"/>
          <w:highlight w:val="yellow"/>
        </w:rPr>
        <w:t>」</w:t>
      </w:r>
      <w:r w:rsidRPr="00A06E2A">
        <w:rPr>
          <w:rFonts w:ascii="標楷體" w:eastAsia="標楷體" w:hAnsi="標楷體"/>
          <w:szCs w:val="22"/>
        </w:rPr>
        <w:t>？此與前</w:t>
      </w:r>
      <w:r w:rsidR="00064E24">
        <w:rPr>
          <w:rFonts w:ascii="標楷體" w:eastAsia="標楷體" w:hAnsi="標楷體" w:hint="eastAsia"/>
          <w:bCs/>
          <w:color w:val="FF0000"/>
          <w:kern w:val="0"/>
          <w:highlight w:val="yellow"/>
        </w:rPr>
        <w:t>「</w:t>
      </w:r>
      <w:r w:rsidRPr="00A06E2A">
        <w:rPr>
          <w:rFonts w:ascii="標楷體" w:eastAsia="標楷體" w:hAnsi="標楷體"/>
          <w:szCs w:val="22"/>
        </w:rPr>
        <w:t>即色</w:t>
      </w:r>
      <w:r w:rsidR="00064E24">
        <w:rPr>
          <w:rFonts w:ascii="標楷體" w:eastAsia="標楷體" w:hAnsi="標楷體" w:hint="eastAsia"/>
          <w:bCs/>
          <w:color w:val="FF0000"/>
          <w:kern w:val="0"/>
          <w:highlight w:val="yellow"/>
        </w:rPr>
        <w:t>」</w:t>
      </w:r>
      <w:r w:rsidRPr="00A06E2A">
        <w:rPr>
          <w:rFonts w:ascii="標楷體" w:eastAsia="標楷體" w:hAnsi="標楷體"/>
          <w:szCs w:val="22"/>
        </w:rPr>
        <w:t>義不異也。</w:t>
      </w:r>
    </w:p>
    <w:p w:rsidR="00C73CA4" w:rsidRPr="00A06E2A" w:rsidRDefault="00064E24" w:rsidP="00AE3920">
      <w:pPr>
        <w:pStyle w:val="a5"/>
        <w:spacing w:beforeLines="20" w:line="300" w:lineRule="exact"/>
        <w:ind w:leftChars="75" w:left="180"/>
        <w:jc w:val="both"/>
        <w:rPr>
          <w:rFonts w:ascii="標楷體" w:eastAsia="標楷體" w:hAnsi="標楷體"/>
          <w:szCs w:val="22"/>
        </w:rPr>
      </w:pPr>
      <w:r>
        <w:rPr>
          <w:rFonts w:ascii="標楷體" w:eastAsia="標楷體" w:hAnsi="標楷體" w:hint="eastAsia"/>
          <w:bCs/>
          <w:color w:val="FF0000"/>
          <w:kern w:val="0"/>
          <w:highlight w:val="yellow"/>
        </w:rPr>
        <w:t>「</w:t>
      </w:r>
      <w:r w:rsidR="00C73CA4" w:rsidRPr="00A06E2A">
        <w:rPr>
          <w:rFonts w:ascii="標楷體" w:eastAsia="標楷體" w:hAnsi="標楷體"/>
          <w:b/>
          <w:bCs/>
          <w:szCs w:val="22"/>
        </w:rPr>
        <w:t>空假名</w:t>
      </w:r>
      <w:r>
        <w:rPr>
          <w:rFonts w:ascii="標楷體" w:eastAsia="標楷體" w:hAnsi="標楷體" w:hint="eastAsia"/>
          <w:bCs/>
          <w:color w:val="FF0000"/>
          <w:kern w:val="0"/>
          <w:highlight w:val="yellow"/>
        </w:rPr>
        <w:t>」</w:t>
      </w:r>
      <w:r w:rsidR="00C73CA4" w:rsidRPr="00A06E2A">
        <w:rPr>
          <w:rFonts w:ascii="標楷體" w:eastAsia="標楷體" w:hAnsi="標楷體"/>
          <w:szCs w:val="22"/>
        </w:rPr>
        <w:t>者，</w:t>
      </w:r>
      <w:r w:rsidR="00C73CA4" w:rsidRPr="00A06E2A">
        <w:rPr>
          <w:rFonts w:ascii="標楷體" w:eastAsia="標楷體" w:hAnsi="標楷體"/>
          <w:b/>
          <w:szCs w:val="22"/>
        </w:rPr>
        <w:t>一切諸法</w:t>
      </w:r>
      <w:r>
        <w:rPr>
          <w:rFonts w:ascii="標楷體" w:eastAsia="標楷體" w:hAnsi="標楷體" w:hint="eastAsia"/>
          <w:color w:val="FF0000"/>
          <w:kern w:val="0"/>
          <w:highlight w:val="yellow"/>
        </w:rPr>
        <w:t>，</w:t>
      </w:r>
      <w:r w:rsidR="00C73CA4" w:rsidRPr="00A06E2A">
        <w:rPr>
          <w:rFonts w:ascii="標楷體" w:eastAsia="標楷體" w:hAnsi="標楷體"/>
          <w:b/>
          <w:szCs w:val="22"/>
        </w:rPr>
        <w:t>眾緣所成，是故有體，名為</w:t>
      </w:r>
      <w:r>
        <w:rPr>
          <w:rFonts w:ascii="標楷體" w:eastAsia="標楷體" w:hAnsi="標楷體" w:hint="eastAsia"/>
          <w:bCs/>
          <w:color w:val="FF0000"/>
          <w:kern w:val="0"/>
          <w:highlight w:val="yellow"/>
        </w:rPr>
        <w:t>「</w:t>
      </w:r>
      <w:r w:rsidR="00C73CA4" w:rsidRPr="00A06E2A">
        <w:rPr>
          <w:rFonts w:ascii="標楷體" w:eastAsia="標楷體" w:hAnsi="標楷體"/>
          <w:b/>
          <w:szCs w:val="22"/>
        </w:rPr>
        <w:t>世諦</w:t>
      </w:r>
      <w:r>
        <w:rPr>
          <w:rFonts w:ascii="標楷體" w:eastAsia="標楷體" w:hAnsi="標楷體" w:hint="eastAsia"/>
          <w:bCs/>
          <w:color w:val="FF0000"/>
          <w:kern w:val="0"/>
          <w:highlight w:val="yellow"/>
        </w:rPr>
        <w:t>」</w:t>
      </w:r>
      <w:r w:rsidR="00C73CA4" w:rsidRPr="00A06E2A">
        <w:rPr>
          <w:rFonts w:ascii="標楷體" w:eastAsia="標楷體" w:hAnsi="標楷體" w:hint="eastAsia"/>
          <w:b/>
          <w:szCs w:val="22"/>
        </w:rPr>
        <w:t>；</w:t>
      </w:r>
      <w:r w:rsidR="00C73CA4" w:rsidRPr="00A06E2A">
        <w:rPr>
          <w:rFonts w:ascii="標楷體" w:eastAsia="標楷體" w:hAnsi="標楷體"/>
          <w:b/>
          <w:szCs w:val="22"/>
        </w:rPr>
        <w:t>折</w:t>
      </w:r>
      <w:r w:rsidRPr="00064E24">
        <w:rPr>
          <w:rFonts w:eastAsia="標楷體" w:hint="eastAsia"/>
          <w:bCs/>
          <w:color w:val="FF0000"/>
          <w:kern w:val="0"/>
          <w:shd w:val="pct15" w:color="auto" w:fill="FFFFFF"/>
        </w:rPr>
        <w:t>*</w:t>
      </w:r>
      <w:r>
        <w:rPr>
          <w:rFonts w:eastAsia="標楷體" w:hint="eastAsia"/>
          <w:bCs/>
          <w:color w:val="FF0000"/>
          <w:kern w:val="0"/>
          <w:shd w:val="pct15" w:color="auto" w:fill="FFFFFF"/>
          <w:vertAlign w:val="superscript"/>
        </w:rPr>
        <w:t>2</w:t>
      </w:r>
      <w:r w:rsidR="00C73CA4" w:rsidRPr="00A06E2A">
        <w:rPr>
          <w:rFonts w:ascii="標楷體" w:eastAsia="標楷體" w:hAnsi="標楷體"/>
          <w:b/>
          <w:szCs w:val="22"/>
        </w:rPr>
        <w:t>緣求之都不可得，名為真諦</w:t>
      </w:r>
      <w:r w:rsidR="00C73CA4" w:rsidRPr="00A06E2A">
        <w:rPr>
          <w:rFonts w:ascii="標楷體" w:eastAsia="標楷體" w:hAnsi="標楷體"/>
          <w:szCs w:val="22"/>
        </w:rPr>
        <w:t>。晚人名之</w:t>
      </w:r>
      <w:bookmarkStart w:id="124" w:name="0029b26"/>
      <w:r w:rsidR="00C73CA4" w:rsidRPr="00A06E2A">
        <w:rPr>
          <w:rFonts w:ascii="標楷體" w:eastAsia="標楷體" w:hAnsi="標楷體"/>
          <w:szCs w:val="22"/>
        </w:rPr>
        <w:t>為安</w:t>
      </w:r>
      <w:r w:rsidR="00C73CA4" w:rsidRPr="00A06E2A">
        <w:rPr>
          <w:rStyle w:val="gaiji"/>
          <w:rFonts w:ascii="標楷體" w:eastAsia="標楷體" w:hAnsi="標楷體"/>
          <w:szCs w:val="22"/>
        </w:rPr>
        <w:t>苽</w:t>
      </w:r>
      <w:r w:rsidR="00C73CA4" w:rsidRPr="00A06E2A">
        <w:rPr>
          <w:rFonts w:ascii="標楷體" w:eastAsia="標楷體" w:hAnsi="標楷體"/>
          <w:szCs w:val="22"/>
        </w:rPr>
        <w:t>二諦</w:t>
      </w:r>
      <w:r w:rsidR="00C73CA4" w:rsidRPr="00A06E2A">
        <w:rPr>
          <w:rFonts w:ascii="標楷體" w:eastAsia="標楷體" w:hAnsi="標楷體" w:hint="eastAsia"/>
          <w:szCs w:val="22"/>
        </w:rPr>
        <w:t>，</w:t>
      </w:r>
      <w:r w:rsidR="00C73CA4" w:rsidRPr="00A06E2A">
        <w:rPr>
          <w:rStyle w:val="gaiji"/>
          <w:rFonts w:ascii="標楷體" w:eastAsia="標楷體" w:hAnsi="標楷體"/>
          <w:szCs w:val="22"/>
        </w:rPr>
        <w:t>苽</w:t>
      </w:r>
      <w:r w:rsidR="00C73CA4" w:rsidRPr="00A06E2A">
        <w:rPr>
          <w:rFonts w:ascii="標楷體" w:eastAsia="標楷體" w:hAnsi="標楷體"/>
          <w:szCs w:val="22"/>
        </w:rPr>
        <w:t>沈為真</w:t>
      </w:r>
      <w:r w:rsidR="00C73CA4" w:rsidRPr="00A06E2A">
        <w:rPr>
          <w:rFonts w:ascii="標楷體" w:eastAsia="標楷體" w:hAnsi="標楷體" w:hint="eastAsia"/>
          <w:szCs w:val="22"/>
        </w:rPr>
        <w:t>，</w:t>
      </w:r>
      <w:r w:rsidR="00C73CA4" w:rsidRPr="00A06E2A">
        <w:rPr>
          <w:rStyle w:val="gaiji"/>
          <w:rFonts w:ascii="標楷體" w:eastAsia="標楷體" w:hAnsi="標楷體"/>
          <w:szCs w:val="22"/>
        </w:rPr>
        <w:t>苽</w:t>
      </w:r>
      <w:r w:rsidR="00C73CA4" w:rsidRPr="00A06E2A">
        <w:rPr>
          <w:rFonts w:ascii="標楷體" w:eastAsia="標楷體" w:hAnsi="標楷體"/>
          <w:szCs w:val="22"/>
        </w:rPr>
        <w:t>浮為俗。</w:t>
      </w:r>
      <w:bookmarkEnd w:id="124"/>
    </w:p>
    <w:p w:rsidR="00C73CA4" w:rsidRPr="00A06E2A" w:rsidRDefault="00C73CA4" w:rsidP="00C73CA4">
      <w:pPr>
        <w:pStyle w:val="a5"/>
        <w:spacing w:line="300" w:lineRule="exact"/>
        <w:ind w:leftChars="75" w:left="180"/>
        <w:jc w:val="both"/>
        <w:rPr>
          <w:rFonts w:ascii="標楷體" w:eastAsia="標楷體" w:hAnsi="標楷體"/>
          <w:szCs w:val="22"/>
        </w:rPr>
      </w:pPr>
      <w:r w:rsidRPr="00A06E2A">
        <w:rPr>
          <w:rFonts w:ascii="標楷體" w:eastAsia="標楷體" w:hAnsi="標楷體"/>
          <w:szCs w:val="22"/>
        </w:rPr>
        <w:t>難曰：前有假法</w:t>
      </w:r>
      <w:r w:rsidRPr="00A06E2A">
        <w:rPr>
          <w:rFonts w:ascii="標楷體" w:eastAsia="標楷體" w:hAnsi="標楷體" w:hint="eastAsia"/>
          <w:szCs w:val="22"/>
        </w:rPr>
        <w:t>，</w:t>
      </w:r>
      <w:r w:rsidRPr="00A06E2A">
        <w:rPr>
          <w:rFonts w:ascii="標楷體" w:eastAsia="標楷體" w:hAnsi="標楷體"/>
          <w:szCs w:val="22"/>
        </w:rPr>
        <w:t>然後空之</w:t>
      </w:r>
      <w:r w:rsidRPr="00A06E2A">
        <w:rPr>
          <w:rFonts w:ascii="標楷體" w:eastAsia="標楷體" w:hAnsi="標楷體" w:hint="eastAsia"/>
          <w:szCs w:val="22"/>
        </w:rPr>
        <w:t>，</w:t>
      </w:r>
      <w:r w:rsidRPr="00A06E2A">
        <w:rPr>
          <w:rFonts w:ascii="標楷體" w:eastAsia="標楷體" w:hAnsi="標楷體"/>
          <w:szCs w:val="22"/>
        </w:rPr>
        <w:t>還同</w:t>
      </w:r>
      <w:r w:rsidRPr="00A06E2A">
        <w:rPr>
          <w:rFonts w:ascii="標楷體" w:eastAsia="標楷體" w:hAnsi="標楷體" w:hint="eastAsia"/>
          <w:szCs w:val="22"/>
        </w:rPr>
        <w:t>「</w:t>
      </w:r>
      <w:r w:rsidRPr="00A06E2A">
        <w:rPr>
          <w:rFonts w:ascii="標楷體" w:eastAsia="標楷體" w:hAnsi="標楷體"/>
          <w:szCs w:val="22"/>
        </w:rPr>
        <w:t>緣會故有</w:t>
      </w:r>
      <w:r w:rsidRPr="00A06E2A">
        <w:rPr>
          <w:rFonts w:ascii="標楷體" w:eastAsia="標楷體" w:hAnsi="標楷體" w:hint="eastAsia"/>
          <w:szCs w:val="22"/>
        </w:rPr>
        <w:t>，</w:t>
      </w:r>
      <w:r w:rsidRPr="00A06E2A">
        <w:rPr>
          <w:rFonts w:ascii="標楷體" w:eastAsia="標楷體" w:hAnsi="標楷體"/>
          <w:szCs w:val="22"/>
        </w:rPr>
        <w:t>推散即無</w:t>
      </w:r>
      <w:r w:rsidRPr="00A06E2A">
        <w:rPr>
          <w:rFonts w:ascii="標楷體" w:eastAsia="標楷體" w:hAnsi="標楷體" w:hint="eastAsia"/>
          <w:szCs w:val="22"/>
        </w:rPr>
        <w:t>」</w:t>
      </w:r>
      <w:r w:rsidRPr="00A06E2A">
        <w:rPr>
          <w:rFonts w:ascii="標楷體" w:eastAsia="標楷體" w:hAnsi="標楷體"/>
          <w:szCs w:val="22"/>
        </w:rPr>
        <w:t>之過也。</w:t>
      </w:r>
    </w:p>
    <w:p w:rsidR="00C73CA4" w:rsidRDefault="00C73CA4" w:rsidP="00AE3920">
      <w:pPr>
        <w:pStyle w:val="a5"/>
        <w:spacing w:beforeLines="20" w:line="300" w:lineRule="exact"/>
        <w:ind w:leftChars="75" w:left="180"/>
        <w:jc w:val="both"/>
        <w:rPr>
          <w:rFonts w:ascii="標楷體" w:eastAsia="標楷體" w:hAnsi="標楷體"/>
          <w:szCs w:val="22"/>
        </w:rPr>
      </w:pPr>
      <w:r w:rsidRPr="00A06E2A">
        <w:rPr>
          <w:rFonts w:ascii="標楷體" w:eastAsia="標楷體" w:hAnsi="標楷體"/>
          <w:szCs w:val="22"/>
        </w:rPr>
        <w:t>第三</w:t>
      </w:r>
      <w:r w:rsidR="000D3597">
        <w:rPr>
          <w:rFonts w:ascii="標楷體" w:eastAsia="標楷體" w:hAnsi="標楷體" w:hint="eastAsia"/>
          <w:color w:val="FF0000"/>
          <w:spacing w:val="-4"/>
          <w:kern w:val="0"/>
          <w:highlight w:val="yellow"/>
        </w:rPr>
        <w:t>、</w:t>
      </w:r>
      <w:r w:rsidR="000D3597">
        <w:rPr>
          <w:rFonts w:ascii="標楷體" w:eastAsia="標楷體" w:hAnsi="標楷體" w:hint="eastAsia"/>
          <w:bCs/>
          <w:color w:val="FF0000"/>
          <w:kern w:val="0"/>
          <w:highlight w:val="yellow"/>
        </w:rPr>
        <w:t>「</w:t>
      </w:r>
      <w:r w:rsidRPr="00A06E2A">
        <w:rPr>
          <w:rFonts w:ascii="標楷體" w:eastAsia="標楷體" w:hAnsi="標楷體"/>
          <w:b/>
          <w:bCs/>
          <w:szCs w:val="22"/>
        </w:rPr>
        <w:t>假</w:t>
      </w:r>
      <w:r w:rsidRPr="00043A1E">
        <w:rPr>
          <w:rFonts w:ascii="標楷體" w:eastAsia="標楷體" w:hAnsi="標楷體"/>
          <w:b/>
          <w:bCs/>
          <w:szCs w:val="22"/>
        </w:rPr>
        <w:t>名空</w:t>
      </w:r>
      <w:r w:rsidR="000D3597">
        <w:rPr>
          <w:rFonts w:ascii="標楷體" w:eastAsia="標楷體" w:hAnsi="標楷體" w:hint="eastAsia"/>
          <w:bCs/>
          <w:color w:val="FF0000"/>
          <w:kern w:val="0"/>
          <w:highlight w:val="yellow"/>
        </w:rPr>
        <w:t>」</w:t>
      </w:r>
      <w:r w:rsidRPr="00043A1E">
        <w:rPr>
          <w:rFonts w:ascii="標楷體" w:eastAsia="標楷體" w:hAnsi="標楷體"/>
          <w:szCs w:val="22"/>
        </w:rPr>
        <w:t>者</w:t>
      </w:r>
      <w:r w:rsidR="000D3597">
        <w:rPr>
          <w:rFonts w:ascii="標楷體" w:eastAsia="標楷體" w:hAnsi="標楷體" w:hint="eastAsia"/>
          <w:color w:val="FF0000"/>
          <w:kern w:val="0"/>
          <w:highlight w:val="yellow"/>
        </w:rPr>
        <w:t>，</w:t>
      </w:r>
      <w:r w:rsidRPr="00043A1E">
        <w:rPr>
          <w:rFonts w:ascii="標楷體" w:eastAsia="標楷體" w:hAnsi="標楷體"/>
          <w:szCs w:val="22"/>
        </w:rPr>
        <w:t>即周氏所用。大意云</w:t>
      </w:r>
      <w:r w:rsidR="000D3597">
        <w:rPr>
          <w:rFonts w:ascii="標楷體" w:eastAsia="標楷體" w:hAnsi="標楷體" w:hint="eastAsia"/>
          <w:color w:val="FF0000"/>
          <w:spacing w:val="-4"/>
          <w:kern w:val="0"/>
          <w:highlight w:val="yellow"/>
        </w:rPr>
        <w:t>：</w:t>
      </w:r>
      <w:r w:rsidR="000D3597">
        <w:rPr>
          <w:rFonts w:ascii="標楷體" w:eastAsia="標楷體" w:hAnsi="標楷體" w:hint="eastAsia"/>
          <w:bCs/>
          <w:color w:val="FF0000"/>
          <w:kern w:val="0"/>
          <w:highlight w:val="yellow"/>
        </w:rPr>
        <w:t>「</w:t>
      </w:r>
      <w:r w:rsidRPr="00043A1E">
        <w:rPr>
          <w:rFonts w:ascii="標楷體" w:eastAsia="標楷體" w:hAnsi="標楷體"/>
          <w:b/>
          <w:szCs w:val="22"/>
        </w:rPr>
        <w:t>假名</w:t>
      </w:r>
      <w:r w:rsidR="000D3597">
        <w:rPr>
          <w:rFonts w:ascii="標楷體" w:eastAsia="標楷體" w:hAnsi="標楷體" w:hint="eastAsia"/>
          <w:bCs/>
          <w:color w:val="FF0000"/>
          <w:kern w:val="0"/>
          <w:highlight w:val="yellow"/>
        </w:rPr>
        <w:t>」</w:t>
      </w:r>
      <w:r w:rsidRPr="00043A1E">
        <w:rPr>
          <w:rFonts w:ascii="標楷體" w:eastAsia="標楷體" w:hAnsi="標楷體"/>
          <w:b/>
          <w:szCs w:val="22"/>
        </w:rPr>
        <w:t>宛然</w:t>
      </w:r>
      <w:r w:rsidR="000D3597">
        <w:rPr>
          <w:rFonts w:ascii="標楷體" w:eastAsia="標楷體" w:hAnsi="標楷體" w:hint="eastAsia"/>
          <w:color w:val="FF0000"/>
          <w:kern w:val="0"/>
          <w:highlight w:val="yellow"/>
        </w:rPr>
        <w:t>，</w:t>
      </w:r>
      <w:r w:rsidRPr="00043A1E">
        <w:rPr>
          <w:rFonts w:ascii="標楷體" w:eastAsia="標楷體" w:hAnsi="標楷體"/>
          <w:b/>
          <w:szCs w:val="22"/>
        </w:rPr>
        <w:t>即是</w:t>
      </w:r>
      <w:r w:rsidR="000D3597">
        <w:rPr>
          <w:rFonts w:ascii="標楷體" w:eastAsia="標楷體" w:hAnsi="標楷體" w:hint="eastAsia"/>
          <w:bCs/>
          <w:color w:val="FF0000"/>
          <w:kern w:val="0"/>
          <w:highlight w:val="yellow"/>
        </w:rPr>
        <w:t>「</w:t>
      </w:r>
      <w:r w:rsidRPr="00043A1E">
        <w:rPr>
          <w:rFonts w:ascii="標楷體" w:eastAsia="標楷體" w:hAnsi="標楷體"/>
          <w:b/>
          <w:szCs w:val="22"/>
        </w:rPr>
        <w:t>空</w:t>
      </w:r>
      <w:r w:rsidR="000D3597">
        <w:rPr>
          <w:rFonts w:ascii="標楷體" w:eastAsia="標楷體" w:hAnsi="標楷體" w:hint="eastAsia"/>
          <w:bCs/>
          <w:color w:val="FF0000"/>
          <w:kern w:val="0"/>
          <w:highlight w:val="yellow"/>
        </w:rPr>
        <w:t>」</w:t>
      </w:r>
      <w:r w:rsidRPr="00043A1E">
        <w:rPr>
          <w:rFonts w:ascii="標楷體" w:eastAsia="標楷體" w:hAnsi="標楷體"/>
          <w:b/>
          <w:szCs w:val="22"/>
        </w:rPr>
        <w:t>也</w:t>
      </w:r>
      <w:r w:rsidRPr="00043A1E">
        <w:rPr>
          <w:rFonts w:ascii="標楷體" w:eastAsia="標楷體" w:hAnsi="標楷體"/>
          <w:szCs w:val="22"/>
        </w:rPr>
        <w:t>。尋周氏</w:t>
      </w:r>
      <w:r w:rsidR="000D3597">
        <w:rPr>
          <w:rFonts w:ascii="標楷體" w:eastAsia="標楷體" w:hAnsi="標楷體" w:hint="eastAsia"/>
          <w:bCs/>
          <w:color w:val="FF0000"/>
          <w:kern w:val="0"/>
          <w:highlight w:val="yellow"/>
        </w:rPr>
        <w:t>「</w:t>
      </w:r>
      <w:r w:rsidRPr="00043A1E">
        <w:rPr>
          <w:rFonts w:ascii="標楷體" w:eastAsia="標楷體" w:hAnsi="標楷體"/>
          <w:szCs w:val="22"/>
        </w:rPr>
        <w:t>假名空</w:t>
      </w:r>
      <w:r w:rsidR="000D3597">
        <w:rPr>
          <w:rFonts w:ascii="標楷體" w:eastAsia="標楷體" w:hAnsi="標楷體" w:hint="eastAsia"/>
          <w:bCs/>
          <w:color w:val="FF0000"/>
          <w:kern w:val="0"/>
          <w:highlight w:val="yellow"/>
        </w:rPr>
        <w:t>」</w:t>
      </w:r>
      <w:r w:rsidR="000D3597">
        <w:rPr>
          <w:rFonts w:ascii="標楷體" w:eastAsia="標楷體" w:hAnsi="標楷體" w:hint="eastAsia"/>
          <w:color w:val="FF0000"/>
          <w:kern w:val="0"/>
          <w:highlight w:val="yellow"/>
        </w:rPr>
        <w:t>，</w:t>
      </w:r>
      <w:r w:rsidRPr="00043A1E">
        <w:rPr>
          <w:rFonts w:ascii="標楷體" w:eastAsia="標楷體" w:hAnsi="標楷體"/>
          <w:szCs w:val="22"/>
        </w:rPr>
        <w:t>原出僧肇</w:t>
      </w:r>
      <w:r w:rsidRPr="00043A1E">
        <w:rPr>
          <w:rFonts w:ascii="標楷體" w:eastAsia="標楷體" w:hAnsi="標楷體" w:hint="eastAsia"/>
          <w:szCs w:val="22"/>
        </w:rPr>
        <w:t>《</w:t>
      </w:r>
      <w:r w:rsidRPr="00043A1E">
        <w:rPr>
          <w:rFonts w:ascii="標楷體" w:eastAsia="標楷體" w:hAnsi="標楷體"/>
          <w:szCs w:val="22"/>
        </w:rPr>
        <w:t>不真空論</w:t>
      </w:r>
      <w:r w:rsidRPr="00043A1E">
        <w:rPr>
          <w:rFonts w:ascii="標楷體" w:eastAsia="標楷體" w:hAnsi="標楷體" w:hint="eastAsia"/>
          <w:szCs w:val="22"/>
        </w:rPr>
        <w:t>》</w:t>
      </w:r>
      <w:r w:rsidRPr="00043A1E">
        <w:rPr>
          <w:rFonts w:ascii="標楷體" w:eastAsia="標楷體" w:hAnsi="標楷體"/>
          <w:szCs w:val="22"/>
        </w:rPr>
        <w:t>，論云</w:t>
      </w:r>
      <w:r w:rsidR="000D3597">
        <w:rPr>
          <w:rFonts w:ascii="標楷體" w:eastAsia="標楷體" w:hAnsi="標楷體" w:hint="eastAsia"/>
          <w:bCs/>
          <w:color w:val="FF0000"/>
          <w:kern w:val="0"/>
          <w:highlight w:val="yellow"/>
        </w:rPr>
        <w:t>「</w:t>
      </w:r>
      <w:r w:rsidRPr="00043A1E">
        <w:rPr>
          <w:rFonts w:ascii="標楷體" w:eastAsia="標楷體" w:hAnsi="標楷體"/>
          <w:szCs w:val="22"/>
        </w:rPr>
        <w:t>雖有而無</w:t>
      </w:r>
      <w:r w:rsidR="00CC5CAB">
        <w:rPr>
          <w:rFonts w:ascii="標楷體" w:eastAsia="標楷體" w:hAnsi="標楷體" w:hint="eastAsia"/>
          <w:bCs/>
          <w:color w:val="FF0000"/>
          <w:kern w:val="0"/>
          <w:highlight w:val="yellow"/>
        </w:rPr>
        <w:t>」</w:t>
      </w:r>
      <w:r w:rsidR="00CC5CAB" w:rsidRPr="00CC5CAB">
        <w:rPr>
          <w:rFonts w:ascii="標楷體" w:eastAsia="標楷體" w:hAnsi="標楷體" w:hint="eastAsia"/>
          <w:color w:val="FF0000"/>
          <w:szCs w:val="22"/>
          <w:highlight w:val="yellow"/>
        </w:rPr>
        <w:t>、</w:t>
      </w:r>
      <w:r w:rsidR="00CC5CAB">
        <w:rPr>
          <w:rFonts w:ascii="標楷體" w:eastAsia="標楷體" w:hAnsi="標楷體" w:hint="eastAsia"/>
          <w:bCs/>
          <w:color w:val="FF0000"/>
          <w:kern w:val="0"/>
          <w:highlight w:val="yellow"/>
        </w:rPr>
        <w:t>「</w:t>
      </w:r>
      <w:r w:rsidRPr="00043A1E">
        <w:rPr>
          <w:rFonts w:ascii="標楷體" w:eastAsia="標楷體" w:hAnsi="標楷體"/>
          <w:szCs w:val="22"/>
        </w:rPr>
        <w:t>雖無而有</w:t>
      </w:r>
      <w:r w:rsidR="000D3597">
        <w:rPr>
          <w:rFonts w:ascii="標楷體" w:eastAsia="標楷體" w:hAnsi="標楷體" w:hint="eastAsia"/>
          <w:bCs/>
          <w:color w:val="FF0000"/>
          <w:kern w:val="0"/>
          <w:highlight w:val="yellow"/>
        </w:rPr>
        <w:t>」</w:t>
      </w:r>
      <w:r w:rsidR="000D3597">
        <w:rPr>
          <w:rFonts w:ascii="標楷體" w:eastAsia="標楷體" w:hAnsi="標楷體" w:hint="eastAsia"/>
          <w:color w:val="FF0000"/>
          <w:kern w:val="0"/>
          <w:highlight w:val="yellow"/>
        </w:rPr>
        <w:t>──</w:t>
      </w:r>
      <w:r w:rsidR="000D3597">
        <w:rPr>
          <w:rFonts w:ascii="標楷體" w:eastAsia="標楷體" w:hAnsi="標楷體" w:hint="eastAsia"/>
          <w:bCs/>
          <w:color w:val="FF0000"/>
          <w:kern w:val="0"/>
          <w:highlight w:val="yellow"/>
        </w:rPr>
        <w:t>「</w:t>
      </w:r>
      <w:r w:rsidRPr="00043A1E">
        <w:rPr>
          <w:rFonts w:ascii="標楷體" w:eastAsia="標楷體" w:hAnsi="標楷體"/>
          <w:szCs w:val="22"/>
        </w:rPr>
        <w:t>雖有而無</w:t>
      </w:r>
      <w:r w:rsidRPr="00043A1E">
        <w:rPr>
          <w:rFonts w:ascii="標楷體" w:eastAsia="標楷體" w:hAnsi="標楷體" w:hint="eastAsia"/>
          <w:szCs w:val="22"/>
        </w:rPr>
        <w:t>，</w:t>
      </w:r>
      <w:r w:rsidRPr="00043A1E">
        <w:rPr>
          <w:rFonts w:ascii="標楷體" w:eastAsia="標楷體" w:hAnsi="標楷體"/>
          <w:szCs w:val="22"/>
        </w:rPr>
        <w:t>所謂非有</w:t>
      </w:r>
      <w:r w:rsidRPr="00043A1E">
        <w:rPr>
          <w:rFonts w:ascii="標楷體" w:eastAsia="標楷體" w:hAnsi="標楷體" w:hint="eastAsia"/>
          <w:szCs w:val="22"/>
        </w:rPr>
        <w:t>；</w:t>
      </w:r>
      <w:r w:rsidRPr="00043A1E">
        <w:rPr>
          <w:rFonts w:ascii="標楷體" w:eastAsia="標楷體" w:hAnsi="標楷體"/>
          <w:szCs w:val="22"/>
        </w:rPr>
        <w:t>雖無而有</w:t>
      </w:r>
      <w:r w:rsidRPr="00043A1E">
        <w:rPr>
          <w:rFonts w:ascii="標楷體" w:eastAsia="標楷體" w:hAnsi="標楷體" w:hint="eastAsia"/>
          <w:szCs w:val="22"/>
        </w:rPr>
        <w:t>，</w:t>
      </w:r>
      <w:r w:rsidRPr="00043A1E">
        <w:rPr>
          <w:rFonts w:ascii="標楷體" w:eastAsia="標楷體" w:hAnsi="標楷體"/>
          <w:szCs w:val="22"/>
        </w:rPr>
        <w:t>所謂非無。如此</w:t>
      </w:r>
      <w:r w:rsidR="000D3597">
        <w:rPr>
          <w:rFonts w:ascii="標楷體" w:eastAsia="標楷體" w:hAnsi="標楷體" w:hint="eastAsia"/>
          <w:color w:val="FF0000"/>
          <w:kern w:val="0"/>
          <w:highlight w:val="yellow"/>
        </w:rPr>
        <w:t>，</w:t>
      </w:r>
      <w:r w:rsidRPr="00043A1E">
        <w:rPr>
          <w:rFonts w:ascii="標楷體" w:eastAsia="標楷體" w:hAnsi="標楷體"/>
          <w:szCs w:val="22"/>
        </w:rPr>
        <w:t>即非無物也，物非真物也</w:t>
      </w:r>
      <w:r w:rsidR="000D3597">
        <w:rPr>
          <w:rFonts w:ascii="標楷體" w:eastAsia="標楷體" w:hAnsi="標楷體" w:hint="eastAsia"/>
          <w:color w:val="FF0000"/>
          <w:kern w:val="0"/>
          <w:highlight w:val="yellow"/>
        </w:rPr>
        <w:t>。</w:t>
      </w:r>
      <w:r w:rsidRPr="00043A1E">
        <w:rPr>
          <w:rFonts w:ascii="標楷體" w:eastAsia="標楷體" w:hAnsi="標楷體"/>
          <w:szCs w:val="22"/>
        </w:rPr>
        <w:t>物非真物</w:t>
      </w:r>
      <w:r w:rsidR="000D3597">
        <w:rPr>
          <w:rFonts w:ascii="標楷體" w:eastAsia="標楷體" w:hAnsi="標楷體" w:hint="eastAsia"/>
          <w:color w:val="FF0000"/>
          <w:kern w:val="0"/>
          <w:highlight w:val="yellow"/>
        </w:rPr>
        <w:t>，</w:t>
      </w:r>
      <w:r w:rsidRPr="00043A1E">
        <w:rPr>
          <w:rFonts w:ascii="標楷體" w:eastAsia="標楷體" w:hAnsi="標楷體"/>
          <w:szCs w:val="22"/>
        </w:rPr>
        <w:t>於何而物</w:t>
      </w:r>
      <w:r w:rsidRPr="00043A1E">
        <w:rPr>
          <w:rFonts w:ascii="標楷體" w:eastAsia="標楷體" w:hAnsi="標楷體" w:hint="eastAsia"/>
          <w:szCs w:val="22"/>
        </w:rPr>
        <w:t>？</w:t>
      </w:r>
      <w:r w:rsidR="000D3597">
        <w:rPr>
          <w:rFonts w:ascii="標楷體" w:eastAsia="標楷體" w:hAnsi="標楷體" w:hint="eastAsia"/>
          <w:bCs/>
          <w:color w:val="FF0000"/>
          <w:kern w:val="0"/>
          <w:highlight w:val="yellow"/>
        </w:rPr>
        <w:t>」</w:t>
      </w:r>
      <w:r w:rsidR="000D3597" w:rsidRPr="00064E24">
        <w:rPr>
          <w:rFonts w:eastAsia="標楷體" w:hint="eastAsia"/>
          <w:bCs/>
          <w:color w:val="FF0000"/>
          <w:kern w:val="0"/>
          <w:shd w:val="pct15" w:color="auto" w:fill="FFFFFF"/>
        </w:rPr>
        <w:t>*</w:t>
      </w:r>
      <w:r w:rsidR="000D3597">
        <w:rPr>
          <w:rFonts w:eastAsia="標楷體" w:hint="eastAsia"/>
          <w:bCs/>
          <w:color w:val="FF0000"/>
          <w:kern w:val="0"/>
          <w:shd w:val="pct15" w:color="auto" w:fill="FFFFFF"/>
          <w:vertAlign w:val="superscript"/>
        </w:rPr>
        <w:t>3</w:t>
      </w:r>
      <w:r w:rsidRPr="00043A1E">
        <w:rPr>
          <w:rFonts w:ascii="標楷體" w:eastAsia="標楷體" w:hAnsi="標楷體"/>
          <w:szCs w:val="22"/>
        </w:rPr>
        <w:t>肇公</w:t>
      </w:r>
      <w:r w:rsidRPr="000D3597">
        <w:rPr>
          <w:rFonts w:ascii="標楷體" w:eastAsia="標楷體" w:hAnsi="標楷體"/>
          <w:szCs w:val="22"/>
          <w:highlight w:val="yellow"/>
        </w:rPr>
        <w:t>云「</w:t>
      </w:r>
      <w:r w:rsidRPr="00043A1E">
        <w:rPr>
          <w:rFonts w:ascii="標楷體" w:eastAsia="標楷體" w:hAnsi="標楷體"/>
          <w:szCs w:val="22"/>
        </w:rPr>
        <w:t>以物非真物</w:t>
      </w:r>
      <w:r w:rsidR="000D3597">
        <w:rPr>
          <w:rFonts w:ascii="標楷體" w:eastAsia="標楷體" w:hAnsi="標楷體" w:hint="eastAsia"/>
          <w:bCs/>
          <w:color w:val="FF0000"/>
          <w:kern w:val="0"/>
          <w:highlight w:val="yellow"/>
        </w:rPr>
        <w:t>」</w:t>
      </w:r>
      <w:r w:rsidR="000D3597">
        <w:rPr>
          <w:rFonts w:ascii="標楷體" w:eastAsia="標楷體" w:hAnsi="標楷體" w:hint="eastAsia"/>
          <w:color w:val="FF0000"/>
          <w:kern w:val="0"/>
          <w:highlight w:val="yellow"/>
        </w:rPr>
        <w:t>，</w:t>
      </w:r>
      <w:r w:rsidRPr="00043A1E">
        <w:rPr>
          <w:rFonts w:ascii="標楷體" w:eastAsia="標楷體" w:hAnsi="標楷體"/>
          <w:szCs w:val="22"/>
        </w:rPr>
        <w:t>故是假物</w:t>
      </w:r>
      <w:r w:rsidR="000D3597">
        <w:rPr>
          <w:rFonts w:ascii="標楷體" w:eastAsia="標楷體" w:hAnsi="標楷體" w:hint="eastAsia"/>
          <w:color w:val="FF0000"/>
          <w:spacing w:val="-4"/>
          <w:kern w:val="0"/>
          <w:highlight w:val="yellow"/>
        </w:rPr>
        <w:t>；</w:t>
      </w:r>
      <w:r w:rsidRPr="00043A1E">
        <w:rPr>
          <w:rFonts w:ascii="標楷體" w:eastAsia="標楷體" w:hAnsi="標楷體"/>
          <w:szCs w:val="22"/>
        </w:rPr>
        <w:t>假物故</w:t>
      </w:r>
      <w:r w:rsidR="000D3597">
        <w:rPr>
          <w:rFonts w:ascii="標楷體" w:eastAsia="標楷體" w:hAnsi="標楷體" w:hint="eastAsia"/>
          <w:color w:val="FF0000"/>
          <w:kern w:val="0"/>
          <w:highlight w:val="yellow"/>
        </w:rPr>
        <w:t>，</w:t>
      </w:r>
      <w:r w:rsidRPr="00043A1E">
        <w:rPr>
          <w:rFonts w:ascii="標楷體" w:eastAsia="標楷體" w:hAnsi="標楷體"/>
          <w:szCs w:val="22"/>
        </w:rPr>
        <w:t>即是</w:t>
      </w:r>
      <w:r w:rsidR="000D3597">
        <w:rPr>
          <w:rFonts w:ascii="標楷體" w:eastAsia="標楷體" w:hAnsi="標楷體" w:hint="eastAsia"/>
          <w:bCs/>
          <w:color w:val="FF0000"/>
          <w:kern w:val="0"/>
          <w:highlight w:val="yellow"/>
        </w:rPr>
        <w:t>「</w:t>
      </w:r>
      <w:r w:rsidRPr="00043A1E">
        <w:rPr>
          <w:rFonts w:ascii="標楷體" w:eastAsia="標楷體" w:hAnsi="標楷體"/>
          <w:szCs w:val="22"/>
        </w:rPr>
        <w:t>空</w:t>
      </w:r>
      <w:r w:rsidR="000D3597">
        <w:rPr>
          <w:rFonts w:ascii="標楷體" w:eastAsia="標楷體" w:hAnsi="標楷體" w:hint="eastAsia"/>
          <w:bCs/>
          <w:color w:val="FF0000"/>
          <w:kern w:val="0"/>
          <w:highlight w:val="yellow"/>
        </w:rPr>
        <w:t>」</w:t>
      </w:r>
      <w:r w:rsidRPr="00043A1E">
        <w:rPr>
          <w:rFonts w:ascii="標楷體" w:eastAsia="標楷體" w:hAnsi="標楷體"/>
          <w:szCs w:val="22"/>
        </w:rPr>
        <w:t>。</w:t>
      </w:r>
    </w:p>
    <w:p w:rsidR="00064E24" w:rsidRDefault="00064E24" w:rsidP="000D3597">
      <w:pPr>
        <w:pStyle w:val="a5"/>
        <w:spacing w:line="300" w:lineRule="exact"/>
        <w:ind w:leftChars="75" w:left="400" w:hangingChars="100" w:hanging="220"/>
        <w:jc w:val="both"/>
        <w:rPr>
          <w:color w:val="FF0000"/>
          <w:szCs w:val="22"/>
          <w:highlight w:val="yellow"/>
        </w:rPr>
      </w:pPr>
      <w:r w:rsidRPr="00064E24">
        <w:rPr>
          <w:rFonts w:eastAsia="標楷體" w:hint="eastAsia"/>
          <w:bCs/>
          <w:color w:val="FF0000"/>
          <w:kern w:val="0"/>
          <w:shd w:val="pct15" w:color="auto" w:fill="FFFFFF"/>
        </w:rPr>
        <w:t>*</w:t>
      </w:r>
      <w:r>
        <w:rPr>
          <w:rFonts w:eastAsia="標楷體" w:hint="eastAsia"/>
          <w:bCs/>
          <w:color w:val="FF0000"/>
          <w:kern w:val="0"/>
          <w:shd w:val="pct15" w:color="auto" w:fill="FFFFFF"/>
        </w:rPr>
        <w:t>1</w:t>
      </w:r>
      <w:r w:rsidRPr="00064E24">
        <w:rPr>
          <w:rFonts w:hint="eastAsia"/>
          <w:color w:val="FF0000"/>
          <w:szCs w:val="22"/>
          <w:highlight w:val="yellow"/>
        </w:rPr>
        <w:t>《中論》卷</w:t>
      </w:r>
      <w:r w:rsidRPr="00064E24">
        <w:rPr>
          <w:rFonts w:hint="eastAsia"/>
          <w:color w:val="FF0000"/>
          <w:szCs w:val="22"/>
          <w:highlight w:val="yellow"/>
        </w:rPr>
        <w:t>2</w:t>
      </w:r>
      <w:r w:rsidRPr="00064E24">
        <w:rPr>
          <w:rFonts w:hint="eastAsia"/>
          <w:color w:val="FF0000"/>
          <w:szCs w:val="22"/>
          <w:highlight w:val="yellow"/>
        </w:rPr>
        <w:t>〈</w:t>
      </w:r>
      <w:r w:rsidRPr="00064E24">
        <w:rPr>
          <w:rFonts w:hint="eastAsia"/>
          <w:color w:val="FF0000"/>
          <w:szCs w:val="22"/>
          <w:highlight w:val="yellow"/>
        </w:rPr>
        <w:t xml:space="preserve">13 </w:t>
      </w:r>
      <w:r w:rsidRPr="00064E24">
        <w:rPr>
          <w:rFonts w:hint="eastAsia"/>
          <w:color w:val="FF0000"/>
          <w:szCs w:val="22"/>
          <w:highlight w:val="yellow"/>
        </w:rPr>
        <w:t>觀行品〉</w:t>
      </w:r>
      <w:r w:rsidRPr="00064E24">
        <w:rPr>
          <w:color w:val="FF0000"/>
          <w:szCs w:val="22"/>
          <w:highlight w:val="yellow"/>
        </w:rPr>
        <w:t>（大正</w:t>
      </w:r>
      <w:r w:rsidRPr="00064E24">
        <w:rPr>
          <w:rFonts w:hint="eastAsia"/>
          <w:color w:val="FF0000"/>
          <w:szCs w:val="22"/>
          <w:highlight w:val="yellow"/>
        </w:rPr>
        <w:t>30</w:t>
      </w:r>
      <w:r w:rsidRPr="00064E24">
        <w:rPr>
          <w:rFonts w:hint="eastAsia"/>
          <w:color w:val="FF0000"/>
          <w:szCs w:val="22"/>
          <w:highlight w:val="yellow"/>
        </w:rPr>
        <w:t>，</w:t>
      </w:r>
      <w:r w:rsidRPr="00064E24">
        <w:rPr>
          <w:rFonts w:hint="eastAsia"/>
          <w:color w:val="FF0000"/>
          <w:szCs w:val="22"/>
          <w:highlight w:val="yellow"/>
        </w:rPr>
        <w:t>18a27-28</w:t>
      </w:r>
      <w:r w:rsidRPr="00064E24">
        <w:rPr>
          <w:color w:val="FF0000"/>
          <w:szCs w:val="22"/>
          <w:highlight w:val="yellow"/>
        </w:rPr>
        <w:t>）：</w:t>
      </w:r>
      <w:r w:rsidRPr="00064E24">
        <w:rPr>
          <w:rFonts w:hint="eastAsia"/>
          <w:color w:val="FF0000"/>
          <w:szCs w:val="22"/>
          <w:highlight w:val="yellow"/>
        </w:rPr>
        <w:t>「</w:t>
      </w:r>
      <w:r w:rsidRPr="00064E24">
        <w:rPr>
          <w:rFonts w:ascii="標楷體" w:eastAsia="標楷體" w:hAnsi="標楷體" w:hint="eastAsia"/>
          <w:color w:val="FF0000"/>
          <w:szCs w:val="22"/>
          <w:highlight w:val="yellow"/>
        </w:rPr>
        <w:t>諸法</w:t>
      </w:r>
      <w:r w:rsidRPr="00064E24">
        <w:rPr>
          <w:rFonts w:ascii="標楷體" w:eastAsia="標楷體" w:hAnsi="標楷體" w:hint="eastAsia"/>
          <w:color w:val="FF0000"/>
          <w:szCs w:val="22"/>
          <w:highlight w:val="yellow"/>
          <w:u w:val="wave"/>
        </w:rPr>
        <w:t>有</w:t>
      </w:r>
      <w:r w:rsidRPr="00064E24">
        <w:rPr>
          <w:rFonts w:ascii="標楷體" w:eastAsia="標楷體" w:hAnsi="標楷體" w:hint="eastAsia"/>
          <w:color w:val="FF0000"/>
          <w:szCs w:val="22"/>
          <w:highlight w:val="yellow"/>
        </w:rPr>
        <w:t>異故，知皆是無性；　無性法亦無，一切法空故。</w:t>
      </w:r>
      <w:r w:rsidRPr="00064E24">
        <w:rPr>
          <w:rFonts w:hint="eastAsia"/>
          <w:color w:val="FF0000"/>
          <w:szCs w:val="22"/>
          <w:highlight w:val="yellow"/>
        </w:rPr>
        <w:t>」</w:t>
      </w:r>
    </w:p>
    <w:p w:rsidR="00064E24" w:rsidRDefault="00064E24" w:rsidP="000D3597">
      <w:pPr>
        <w:pStyle w:val="a5"/>
        <w:spacing w:line="300" w:lineRule="exact"/>
        <w:ind w:leftChars="75" w:left="400" w:hangingChars="100" w:hanging="220"/>
        <w:jc w:val="both"/>
        <w:rPr>
          <w:bCs/>
          <w:color w:val="FF0000"/>
          <w:kern w:val="0"/>
          <w:highlight w:val="yellow"/>
        </w:rPr>
      </w:pPr>
      <w:r w:rsidRPr="00064E24">
        <w:rPr>
          <w:rFonts w:hint="eastAsia"/>
          <w:bCs/>
          <w:color w:val="FF0000"/>
          <w:kern w:val="0"/>
          <w:shd w:val="pct15" w:color="auto" w:fill="FFFFFF"/>
        </w:rPr>
        <w:t>*2</w:t>
      </w:r>
      <w:r w:rsidRPr="00064E24">
        <w:rPr>
          <w:rFonts w:hint="eastAsia"/>
          <w:bCs/>
          <w:color w:val="FF0000"/>
          <w:kern w:val="0"/>
          <w:highlight w:val="yellow"/>
        </w:rPr>
        <w:t>重編案：「</w:t>
      </w:r>
      <w:r w:rsidRPr="00064E24">
        <w:rPr>
          <w:rFonts w:ascii="標楷體" w:eastAsia="標楷體" w:hAnsi="標楷體" w:hint="eastAsia"/>
          <w:bCs/>
          <w:color w:val="FF0000"/>
          <w:kern w:val="0"/>
          <w:highlight w:val="yellow"/>
        </w:rPr>
        <w:t>折</w:t>
      </w:r>
      <w:r w:rsidRPr="00064E24">
        <w:rPr>
          <w:rFonts w:hint="eastAsia"/>
          <w:bCs/>
          <w:color w:val="FF0000"/>
          <w:kern w:val="0"/>
          <w:highlight w:val="yellow"/>
        </w:rPr>
        <w:t>」，</w:t>
      </w:r>
      <w:r>
        <w:rPr>
          <w:rFonts w:hint="eastAsia"/>
          <w:bCs/>
          <w:color w:val="FF0000"/>
          <w:kern w:val="0"/>
          <w:highlight w:val="yellow"/>
        </w:rPr>
        <w:t>疑</w:t>
      </w:r>
      <w:r w:rsidRPr="00064E24">
        <w:rPr>
          <w:rFonts w:hint="eastAsia"/>
          <w:bCs/>
          <w:color w:val="FF0000"/>
          <w:kern w:val="0"/>
          <w:highlight w:val="yellow"/>
        </w:rPr>
        <w:t>應作「析」。</w:t>
      </w:r>
    </w:p>
    <w:p w:rsidR="000D3597" w:rsidRPr="000D3597" w:rsidRDefault="000D3597" w:rsidP="000D3597">
      <w:pPr>
        <w:pStyle w:val="a5"/>
        <w:spacing w:line="300" w:lineRule="exact"/>
        <w:ind w:leftChars="75" w:left="400" w:hangingChars="100" w:hanging="220"/>
        <w:jc w:val="both"/>
        <w:rPr>
          <w:color w:val="FF0000"/>
          <w:szCs w:val="22"/>
          <w:highlight w:val="yellow"/>
        </w:rPr>
      </w:pPr>
      <w:r w:rsidRPr="00064E24">
        <w:rPr>
          <w:rFonts w:hint="eastAsia"/>
          <w:bCs/>
          <w:color w:val="FF0000"/>
          <w:kern w:val="0"/>
          <w:shd w:val="pct15" w:color="auto" w:fill="FFFFFF"/>
        </w:rPr>
        <w:t>*</w:t>
      </w:r>
      <w:r>
        <w:rPr>
          <w:rFonts w:hint="eastAsia"/>
          <w:bCs/>
          <w:color w:val="FF0000"/>
          <w:kern w:val="0"/>
          <w:shd w:val="pct15" w:color="auto" w:fill="FFFFFF"/>
        </w:rPr>
        <w:t>3</w:t>
      </w:r>
      <w:r w:rsidR="00CC5CAB" w:rsidRPr="00CC5CAB">
        <w:rPr>
          <w:rFonts w:hint="eastAsia"/>
          <w:bCs/>
          <w:color w:val="FF0000"/>
          <w:kern w:val="0"/>
          <w:highlight w:val="yellow"/>
        </w:rPr>
        <w:t>［後秦］</w:t>
      </w:r>
      <w:r w:rsidR="00CC5CAB" w:rsidRPr="00CC5CAB">
        <w:rPr>
          <w:rFonts w:hint="eastAsia"/>
          <w:color w:val="FF0000"/>
          <w:szCs w:val="22"/>
          <w:highlight w:val="yellow"/>
        </w:rPr>
        <w:t>僧肇作，</w:t>
      </w:r>
      <w:r w:rsidRPr="00CC5CAB">
        <w:rPr>
          <w:rFonts w:hint="eastAsia"/>
          <w:color w:val="FF0000"/>
          <w:szCs w:val="22"/>
          <w:highlight w:val="yellow"/>
        </w:rPr>
        <w:t>《</w:t>
      </w:r>
      <w:r w:rsidRPr="000D3597">
        <w:rPr>
          <w:rFonts w:hint="eastAsia"/>
          <w:color w:val="FF0000"/>
          <w:szCs w:val="22"/>
          <w:highlight w:val="yellow"/>
        </w:rPr>
        <w:t>肇論</w:t>
      </w:r>
      <w:r w:rsidR="00B711F7" w:rsidRPr="000D3597">
        <w:rPr>
          <w:rFonts w:hint="eastAsia"/>
          <w:color w:val="FF0000"/>
          <w:szCs w:val="22"/>
          <w:highlight w:val="yellow"/>
        </w:rPr>
        <w:t>》</w:t>
      </w:r>
      <w:r w:rsidR="004D3A65">
        <w:rPr>
          <w:rFonts w:ascii="新細明體" w:hAnsi="新細明體" w:hint="eastAsia"/>
          <w:color w:val="FF0000"/>
          <w:szCs w:val="22"/>
          <w:highlight w:val="yellow"/>
        </w:rPr>
        <w:t>〈</w:t>
      </w:r>
      <w:r w:rsidR="004D3A65" w:rsidRPr="000D3597">
        <w:rPr>
          <w:rFonts w:ascii="新細明體" w:hAnsi="新細明體"/>
          <w:color w:val="FF0000"/>
          <w:szCs w:val="22"/>
          <w:highlight w:val="yellow"/>
        </w:rPr>
        <w:t>不真空論</w:t>
      </w:r>
      <w:r w:rsidR="004D3A65">
        <w:rPr>
          <w:rFonts w:ascii="新細明體" w:hAnsi="新細明體" w:hint="eastAsia"/>
          <w:color w:val="FF0000"/>
          <w:szCs w:val="22"/>
          <w:highlight w:val="yellow"/>
        </w:rPr>
        <w:t>〉</w:t>
      </w:r>
      <w:r w:rsidRPr="000D3597">
        <w:rPr>
          <w:color w:val="FF0000"/>
          <w:szCs w:val="22"/>
          <w:highlight w:val="yellow"/>
        </w:rPr>
        <w:t>（大正</w:t>
      </w:r>
      <w:r w:rsidRPr="000D3597">
        <w:rPr>
          <w:color w:val="FF0000"/>
          <w:szCs w:val="22"/>
          <w:highlight w:val="yellow"/>
        </w:rPr>
        <w:t>4</w:t>
      </w:r>
      <w:r w:rsidRPr="000D3597">
        <w:rPr>
          <w:rFonts w:hint="eastAsia"/>
          <w:color w:val="FF0000"/>
          <w:szCs w:val="22"/>
          <w:highlight w:val="yellow"/>
        </w:rPr>
        <w:t>5</w:t>
      </w:r>
      <w:r w:rsidRPr="000D3597">
        <w:rPr>
          <w:color w:val="FF0000"/>
          <w:szCs w:val="22"/>
          <w:highlight w:val="yellow"/>
        </w:rPr>
        <w:t>，</w:t>
      </w:r>
      <w:r w:rsidRPr="000D3597">
        <w:rPr>
          <w:rFonts w:hint="eastAsia"/>
          <w:color w:val="FF0000"/>
          <w:szCs w:val="22"/>
          <w:highlight w:val="yellow"/>
        </w:rPr>
        <w:t>152b5-7</w:t>
      </w:r>
      <w:r w:rsidRPr="000D3597">
        <w:rPr>
          <w:color w:val="FF0000"/>
          <w:szCs w:val="22"/>
          <w:highlight w:val="yellow"/>
        </w:rPr>
        <w:t>）</w:t>
      </w:r>
      <w:r w:rsidRPr="000D3597">
        <w:rPr>
          <w:rFonts w:hint="eastAsia"/>
          <w:color w:val="FF0000"/>
          <w:szCs w:val="22"/>
          <w:highlight w:val="yellow"/>
        </w:rPr>
        <w:t>。</w:t>
      </w:r>
    </w:p>
  </w:footnote>
  <w:footnote w:id="820">
    <w:p w:rsidR="00157EF6" w:rsidRPr="00043A1E" w:rsidRDefault="00157EF6" w:rsidP="00AA120F">
      <w:pPr>
        <w:pStyle w:val="a5"/>
        <w:spacing w:line="300" w:lineRule="exact"/>
        <w:ind w:left="187" w:hangingChars="85" w:hanging="187"/>
        <w:jc w:val="both"/>
        <w:rPr>
          <w:szCs w:val="22"/>
        </w:rPr>
      </w:pPr>
      <w:r w:rsidRPr="00043A1E">
        <w:rPr>
          <w:rStyle w:val="a6"/>
          <w:szCs w:val="22"/>
        </w:rPr>
        <w:footnoteRef/>
      </w:r>
      <w:r w:rsidRPr="00043A1E">
        <w:rPr>
          <w:rFonts w:hint="eastAsia"/>
          <w:szCs w:val="22"/>
        </w:rPr>
        <w:t xml:space="preserve"> </w:t>
      </w:r>
      <w:r w:rsidRPr="00043A1E">
        <w:rPr>
          <w:szCs w:val="22"/>
        </w:rPr>
        <w:t>印順</w:t>
      </w:r>
      <w:r w:rsidRPr="00043A1E">
        <w:rPr>
          <w:rFonts w:hint="eastAsia"/>
          <w:szCs w:val="22"/>
        </w:rPr>
        <w:t>法師</w:t>
      </w:r>
      <w:r w:rsidRPr="00043A1E">
        <w:rPr>
          <w:szCs w:val="22"/>
        </w:rPr>
        <w:t>，</w:t>
      </w:r>
      <w:r w:rsidRPr="00043A1E">
        <w:rPr>
          <w:rFonts w:hint="eastAsia"/>
          <w:szCs w:val="22"/>
        </w:rPr>
        <w:t>《中觀今論》，</w:t>
      </w:r>
      <w:r w:rsidRPr="00043A1E">
        <w:rPr>
          <w:szCs w:val="22"/>
        </w:rPr>
        <w:t>第</w:t>
      </w:r>
      <w:r w:rsidRPr="00761EF3">
        <w:rPr>
          <w:szCs w:val="22"/>
        </w:rPr>
        <w:t>6</w:t>
      </w:r>
      <w:r w:rsidRPr="00043A1E">
        <w:rPr>
          <w:szCs w:val="22"/>
        </w:rPr>
        <w:t>章，第</w:t>
      </w:r>
      <w:r w:rsidRPr="00761EF3">
        <w:rPr>
          <w:szCs w:val="22"/>
        </w:rPr>
        <w:t>2</w:t>
      </w:r>
      <w:r w:rsidRPr="00043A1E">
        <w:rPr>
          <w:szCs w:val="22"/>
        </w:rPr>
        <w:t>節〈不〉，</w:t>
      </w:r>
      <w:r w:rsidRPr="00761EF3">
        <w:rPr>
          <w:rFonts w:hint="eastAsia"/>
          <w:szCs w:val="22"/>
        </w:rPr>
        <w:t>pp</w:t>
      </w:r>
      <w:r w:rsidRPr="00043A1E">
        <w:rPr>
          <w:rFonts w:hint="eastAsia"/>
          <w:szCs w:val="22"/>
        </w:rPr>
        <w:t>.</w:t>
      </w:r>
      <w:r w:rsidRPr="00761EF3">
        <w:rPr>
          <w:rFonts w:hint="eastAsia"/>
          <w:szCs w:val="22"/>
        </w:rPr>
        <w:t>97</w:t>
      </w:r>
      <w:r w:rsidRPr="00043A1E">
        <w:rPr>
          <w:rFonts w:hint="eastAsia"/>
          <w:szCs w:val="22"/>
        </w:rPr>
        <w:t>-</w:t>
      </w:r>
      <w:r w:rsidRPr="00761EF3">
        <w:rPr>
          <w:rFonts w:hint="eastAsia"/>
          <w:szCs w:val="22"/>
        </w:rPr>
        <w:t>99</w:t>
      </w:r>
      <w:r w:rsidRPr="00043A1E">
        <w:rPr>
          <w:rFonts w:hint="eastAsia"/>
          <w:szCs w:val="22"/>
        </w:rPr>
        <w:t>：</w:t>
      </w:r>
    </w:p>
    <w:p w:rsidR="00157EF6" w:rsidRPr="00043A1E" w:rsidRDefault="00157EF6" w:rsidP="00AA120F">
      <w:pPr>
        <w:pStyle w:val="a5"/>
        <w:spacing w:line="300" w:lineRule="exact"/>
        <w:ind w:leftChars="75" w:left="180"/>
        <w:jc w:val="both"/>
        <w:rPr>
          <w:rFonts w:ascii="標楷體" w:eastAsia="標楷體" w:hAnsi="標楷體"/>
          <w:szCs w:val="22"/>
        </w:rPr>
      </w:pPr>
      <w:r w:rsidRPr="00043A1E">
        <w:rPr>
          <w:rFonts w:ascii="標楷體" w:eastAsia="標楷體" w:hAnsi="標楷體" w:hint="eastAsia"/>
          <w:szCs w:val="22"/>
        </w:rPr>
        <w:t>中國古三論師，如嘉祥大師，於八不的解說，曾提出三種方言，即以三種說明的方式來顯示八不。今約取其義（不依其文），略為說明：</w:t>
      </w:r>
    </w:p>
    <w:p w:rsidR="00157EF6" w:rsidRPr="00043A1E" w:rsidRDefault="00157EF6" w:rsidP="00AA120F">
      <w:pPr>
        <w:pStyle w:val="a5"/>
        <w:spacing w:line="300" w:lineRule="exact"/>
        <w:ind w:leftChars="175" w:left="860" w:hangingChars="200" w:hanging="440"/>
        <w:jc w:val="both"/>
        <w:rPr>
          <w:rFonts w:ascii="標楷體" w:eastAsia="標楷體" w:hAnsi="標楷體"/>
          <w:szCs w:val="22"/>
        </w:rPr>
      </w:pPr>
      <w:r w:rsidRPr="00043A1E">
        <w:rPr>
          <w:rFonts w:ascii="標楷體" w:eastAsia="標楷體" w:hAnsi="標楷體" w:hint="eastAsia"/>
          <w:b/>
          <w:szCs w:val="22"/>
        </w:rPr>
        <w:t>一、世諦遮性，真諦遮假</w:t>
      </w:r>
      <w:r w:rsidRPr="00043A1E">
        <w:rPr>
          <w:rFonts w:ascii="標楷體" w:eastAsia="標楷體" w:hAnsi="標楷體" w:hint="eastAsia"/>
          <w:szCs w:val="22"/>
        </w:rPr>
        <w:t>。如說：世俗諦中，假生不生，假滅不滅；勝義諦中，也假生不生，假滅不滅。世俗與勝義雖都說為假生不生，假滅不滅，而含義不同。世俗諦中為破外道等的自性生滅，勝義諦中即破假生假滅，此即</w:t>
      </w:r>
      <w:r w:rsidRPr="00043A1E">
        <w:rPr>
          <w:rFonts w:ascii="標楷體" w:eastAsia="標楷體" w:hAnsi="標楷體" w:hint="eastAsia"/>
          <w:b/>
          <w:szCs w:val="22"/>
        </w:rPr>
        <w:t>近於「空假名」師的思想</w:t>
      </w:r>
      <w:r w:rsidRPr="00043A1E">
        <w:rPr>
          <w:rFonts w:ascii="標楷體" w:eastAsia="標楷體" w:hAnsi="標楷體" w:hint="eastAsia"/>
          <w:szCs w:val="22"/>
        </w:rPr>
        <w:t>。</w:t>
      </w:r>
    </w:p>
    <w:p w:rsidR="00157EF6" w:rsidRPr="00043A1E" w:rsidRDefault="00157EF6" w:rsidP="00AA120F">
      <w:pPr>
        <w:pStyle w:val="a5"/>
        <w:spacing w:line="300" w:lineRule="exact"/>
        <w:ind w:leftChars="175" w:left="860" w:hangingChars="200" w:hanging="440"/>
        <w:jc w:val="both"/>
        <w:rPr>
          <w:rFonts w:ascii="標楷體" w:eastAsia="標楷體" w:hAnsi="標楷體"/>
          <w:szCs w:val="22"/>
        </w:rPr>
      </w:pPr>
      <w:r w:rsidRPr="00043A1E">
        <w:rPr>
          <w:rFonts w:ascii="標楷體" w:eastAsia="標楷體" w:hAnsi="標楷體" w:hint="eastAsia"/>
          <w:b/>
          <w:szCs w:val="22"/>
        </w:rPr>
        <w:t>二、世諦遮性，真諦泯假</w:t>
      </w:r>
      <w:r w:rsidRPr="00043A1E">
        <w:rPr>
          <w:rFonts w:ascii="標楷體" w:eastAsia="標楷體" w:hAnsi="標楷體" w:hint="eastAsia"/>
          <w:szCs w:val="22"/>
        </w:rPr>
        <w:t>。世諦說不生，這是破性生的。前一方言的破假，依此說：因緣假法如何可破？說破假，不過外人執假為定有，執假成病，所以破斥他，其實假是不破的。那麼，勝義諦中，假生不生，假滅不滅，是即於一切法的假生假滅而泯寂無相，不是撥無因緣的生滅。如偏取此解，即是</w:t>
      </w:r>
      <w:r w:rsidRPr="00043A1E">
        <w:rPr>
          <w:rFonts w:ascii="標楷體" w:eastAsia="標楷體" w:hAnsi="標楷體" w:hint="eastAsia"/>
          <w:b/>
          <w:szCs w:val="22"/>
        </w:rPr>
        <w:t>「不空假名」師的思想</w:t>
      </w:r>
      <w:r w:rsidRPr="00043A1E">
        <w:rPr>
          <w:rFonts w:ascii="標楷體" w:eastAsia="標楷體" w:hAnsi="標楷體" w:hint="eastAsia"/>
          <w:szCs w:val="22"/>
        </w:rPr>
        <w:t>，和唯識宗的泯相證性，依他起不空也相近。</w:t>
      </w:r>
    </w:p>
    <w:p w:rsidR="00157EF6" w:rsidRPr="00043A1E" w:rsidRDefault="00157EF6" w:rsidP="00AA120F">
      <w:pPr>
        <w:pStyle w:val="a5"/>
        <w:spacing w:line="300" w:lineRule="exact"/>
        <w:ind w:leftChars="175" w:left="860" w:hangingChars="200" w:hanging="440"/>
        <w:jc w:val="both"/>
        <w:rPr>
          <w:rFonts w:ascii="標楷體" w:eastAsia="標楷體" w:hAnsi="標楷體"/>
          <w:szCs w:val="22"/>
        </w:rPr>
      </w:pPr>
      <w:r w:rsidRPr="00043A1E">
        <w:rPr>
          <w:rFonts w:ascii="標楷體" w:eastAsia="標楷體" w:hAnsi="標楷體" w:hint="eastAsia"/>
          <w:b/>
          <w:szCs w:val="22"/>
        </w:rPr>
        <w:t>三、世諦以假遮性，真諦即假為如</w:t>
      </w:r>
      <w:r w:rsidRPr="00043A1E">
        <w:rPr>
          <w:rFonts w:ascii="標楷體" w:eastAsia="標楷體" w:hAnsi="標楷體" w:hint="eastAsia"/>
          <w:szCs w:val="22"/>
        </w:rPr>
        <w:t>。如說：世俗諦中，不自性生，不自性滅；而成其假生假滅。勝義諦中，即此無自性生滅的假生假滅，而成第一義的不生不滅。此即顯示假生假滅，是由於自性生滅的不可得；以自性生滅不可得，所以假生假滅。說此世諦的假生假滅，即是第一義的不生不滅，非是離假生假滅而別有不生不滅。以無自性的，所以假生假滅即為勝義的不生不滅。此第三種方言，能雙貫前兩種方言而超越它，即</w:t>
      </w:r>
      <w:r w:rsidRPr="00043A1E">
        <w:rPr>
          <w:rFonts w:ascii="標楷體" w:eastAsia="標楷體" w:hAnsi="標楷體" w:hint="eastAsia"/>
          <w:b/>
          <w:szCs w:val="22"/>
        </w:rPr>
        <w:t>「假名空」者的正義</w:t>
      </w:r>
      <w:r w:rsidRPr="00043A1E">
        <w:rPr>
          <w:rFonts w:ascii="標楷體" w:eastAsia="標楷體" w:hAnsi="標楷體" w:hint="eastAsia"/>
          <w:szCs w:val="22"/>
        </w:rPr>
        <w:t>。</w:t>
      </w:r>
    </w:p>
    <w:p w:rsidR="00157EF6" w:rsidRPr="00043A1E" w:rsidRDefault="00157EF6" w:rsidP="00AA120F">
      <w:pPr>
        <w:pStyle w:val="a5"/>
        <w:spacing w:line="300" w:lineRule="exact"/>
        <w:ind w:leftChars="75" w:left="180"/>
        <w:jc w:val="both"/>
        <w:rPr>
          <w:rFonts w:ascii="標楷體" w:eastAsia="標楷體" w:hAnsi="標楷體"/>
          <w:szCs w:val="22"/>
        </w:rPr>
      </w:pPr>
      <w:r w:rsidRPr="00043A1E">
        <w:rPr>
          <w:rFonts w:ascii="標楷體" w:eastAsia="標楷體" w:hAnsi="標楷體" w:hint="eastAsia"/>
          <w:szCs w:val="22"/>
        </w:rPr>
        <w:t>但說此三種方言，以一二的兩種方言，纔顯出第三種方言的究竟；前二雖不徹底，也是一途的方便。這三種方言：一、雙遮性假，二、遮性泯假，三、即假為如，為說明八不的主要方法。</w:t>
      </w:r>
    </w:p>
  </w:footnote>
  <w:footnote w:id="821">
    <w:p w:rsidR="00157EF6" w:rsidRPr="00043A1E" w:rsidRDefault="00157EF6" w:rsidP="00AA120F">
      <w:pPr>
        <w:pStyle w:val="a5"/>
        <w:spacing w:line="0" w:lineRule="atLeast"/>
        <w:ind w:left="726" w:hangingChars="330" w:hanging="726"/>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）嘍：</w:t>
      </w:r>
      <w:r w:rsidRPr="00761EF3">
        <w:rPr>
          <w:rFonts w:hint="eastAsia"/>
          <w:szCs w:val="22"/>
        </w:rPr>
        <w:t>1</w:t>
      </w:r>
      <w:r w:rsidRPr="00043A1E">
        <w:rPr>
          <w:rFonts w:hint="eastAsia"/>
          <w:szCs w:val="22"/>
        </w:rPr>
        <w:t>.</w:t>
      </w:r>
      <w:r w:rsidRPr="00043A1E">
        <w:rPr>
          <w:rFonts w:hint="eastAsia"/>
          <w:szCs w:val="22"/>
        </w:rPr>
        <w:t>小兒語。</w:t>
      </w:r>
      <w:r w:rsidRPr="00761EF3">
        <w:rPr>
          <w:rFonts w:hint="eastAsia"/>
          <w:szCs w:val="22"/>
        </w:rPr>
        <w:t>2</w:t>
      </w:r>
      <w:r w:rsidRPr="00043A1E">
        <w:rPr>
          <w:rFonts w:hint="eastAsia"/>
          <w:szCs w:val="22"/>
        </w:rPr>
        <w:t>.</w:t>
      </w:r>
      <w:r w:rsidRPr="00043A1E">
        <w:rPr>
          <w:rFonts w:hint="eastAsia"/>
          <w:szCs w:val="22"/>
        </w:rPr>
        <w:t>獸名。</w:t>
      </w:r>
      <w:r w:rsidRPr="00761EF3">
        <w:rPr>
          <w:rFonts w:hint="eastAsia"/>
          <w:szCs w:val="22"/>
        </w:rPr>
        <w:t>3</w:t>
      </w:r>
      <w:r w:rsidRPr="00043A1E">
        <w:rPr>
          <w:rFonts w:hint="eastAsia"/>
          <w:szCs w:val="22"/>
        </w:rPr>
        <w:t>.</w:t>
      </w:r>
      <w:r w:rsidRPr="00043A1E">
        <w:rPr>
          <w:rFonts w:hint="eastAsia"/>
          <w:szCs w:val="22"/>
        </w:rPr>
        <w:t>助詞，表示動態，相當於「了」。（《漢語大字典》（一），</w:t>
      </w:r>
      <w:r w:rsidRPr="00761EF3">
        <w:rPr>
          <w:rFonts w:hint="eastAsia"/>
          <w:szCs w:val="22"/>
        </w:rPr>
        <w:t>p</w:t>
      </w:r>
      <w:r w:rsidRPr="00043A1E">
        <w:rPr>
          <w:rFonts w:hint="eastAsia"/>
          <w:szCs w:val="22"/>
        </w:rPr>
        <w:t>.</w:t>
      </w:r>
      <w:r w:rsidRPr="00761EF3">
        <w:rPr>
          <w:rFonts w:hint="eastAsia"/>
          <w:szCs w:val="22"/>
        </w:rPr>
        <w:t>676</w:t>
      </w:r>
      <w:r w:rsidRPr="00043A1E">
        <w:rPr>
          <w:rFonts w:hint="eastAsia"/>
          <w:szCs w:val="22"/>
        </w:rPr>
        <w:t>）</w:t>
      </w:r>
    </w:p>
    <w:p w:rsidR="00157EF6" w:rsidRPr="00043A1E" w:rsidRDefault="00157EF6" w:rsidP="00AA120F">
      <w:pPr>
        <w:pStyle w:val="a5"/>
        <w:ind w:leftChars="80" w:left="73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）婁（ㄌㄡ</w:t>
      </w:r>
      <w:r w:rsidRPr="00043A1E">
        <w:rPr>
          <w:rFonts w:ascii="標楷體" w:eastAsia="標楷體" w:hAnsi="標楷體" w:hint="eastAsia"/>
          <w:szCs w:val="22"/>
        </w:rPr>
        <w:t>ˊ</w:t>
      </w:r>
      <w:r w:rsidRPr="00043A1E">
        <w:rPr>
          <w:rFonts w:hint="eastAsia"/>
          <w:szCs w:val="22"/>
        </w:rPr>
        <w:t>）：</w:t>
      </w:r>
      <w:r w:rsidRPr="00761EF3">
        <w:rPr>
          <w:rFonts w:hint="eastAsia"/>
          <w:szCs w:val="22"/>
        </w:rPr>
        <w:t>1</w:t>
      </w:r>
      <w:r w:rsidRPr="00043A1E">
        <w:rPr>
          <w:rFonts w:hint="eastAsia"/>
          <w:szCs w:val="22"/>
        </w:rPr>
        <w:t>.</w:t>
      </w:r>
      <w:r w:rsidRPr="00043A1E">
        <w:rPr>
          <w:rFonts w:hint="eastAsia"/>
          <w:szCs w:val="22"/>
        </w:rPr>
        <w:t>物體中空。《説文‧女部》：“婁，空也。”段玉裁注：“凡中空曰婁，今俗語尚如是。”《廣韻‧侯韻》：“婁，空也。”（《漢語大字典》（二），</w:t>
      </w:r>
      <w:r w:rsidRPr="00761EF3">
        <w:rPr>
          <w:rFonts w:hint="eastAsia"/>
          <w:szCs w:val="22"/>
        </w:rPr>
        <w:t>p</w:t>
      </w:r>
      <w:r w:rsidRPr="00043A1E">
        <w:rPr>
          <w:rFonts w:hint="eastAsia"/>
          <w:szCs w:val="22"/>
        </w:rPr>
        <w:t>.</w:t>
      </w:r>
      <w:r w:rsidRPr="00761EF3">
        <w:rPr>
          <w:rFonts w:hint="eastAsia"/>
          <w:szCs w:val="22"/>
        </w:rPr>
        <w:t>1058</w:t>
      </w:r>
      <w:r w:rsidRPr="00043A1E">
        <w:rPr>
          <w:rFonts w:hint="eastAsia"/>
          <w:szCs w:val="22"/>
        </w:rPr>
        <w:t>）</w:t>
      </w:r>
    </w:p>
    <w:p w:rsidR="00157EF6" w:rsidRPr="00043A1E" w:rsidRDefault="00157EF6" w:rsidP="00AA120F">
      <w:pPr>
        <w:pStyle w:val="a5"/>
        <w:ind w:leftChars="80" w:left="731" w:hangingChars="245" w:hanging="539"/>
        <w:jc w:val="both"/>
        <w:rPr>
          <w:szCs w:val="22"/>
        </w:rPr>
      </w:pPr>
      <w:r w:rsidRPr="00043A1E">
        <w:rPr>
          <w:rFonts w:hint="eastAsia"/>
          <w:szCs w:val="22"/>
        </w:rPr>
        <w:t>（</w:t>
      </w:r>
      <w:r w:rsidRPr="00761EF3">
        <w:rPr>
          <w:rFonts w:hint="eastAsia"/>
          <w:szCs w:val="22"/>
        </w:rPr>
        <w:t>3</w:t>
      </w:r>
      <w:r w:rsidRPr="00043A1E">
        <w:rPr>
          <w:rFonts w:hint="eastAsia"/>
          <w:szCs w:val="22"/>
        </w:rPr>
        <w:t>）案：查「嘍」字並無恰當的字義，但「婁」字有「物體中空」的意思；「</w:t>
      </w:r>
      <w:r w:rsidRPr="00043A1E">
        <w:rPr>
          <w:rFonts w:ascii="標楷體" w:eastAsia="標楷體" w:hAnsi="標楷體" w:hint="eastAsia"/>
          <w:szCs w:val="22"/>
        </w:rPr>
        <w:t>如鼠嘍栗</w:t>
      </w:r>
      <w:r w:rsidRPr="00043A1E">
        <w:rPr>
          <w:rFonts w:hint="eastAsia"/>
          <w:szCs w:val="22"/>
        </w:rPr>
        <w:t>」可解作「如鼠食栗，中間的果仁食盡，但殼還在」。</w:t>
      </w:r>
    </w:p>
  </w:footnote>
  <w:footnote w:id="822">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rFonts w:hint="eastAsia"/>
          <w:szCs w:val="22"/>
        </w:rPr>
        <w:t>〔隋〕</w:t>
      </w:r>
      <w:r w:rsidRPr="00043A1E">
        <w:rPr>
          <w:szCs w:val="22"/>
        </w:rPr>
        <w:t>吉藏撰，《大乘玄論》卷</w:t>
      </w:r>
      <w:r w:rsidRPr="00761EF3">
        <w:rPr>
          <w:szCs w:val="22"/>
        </w:rPr>
        <w:t>1</w:t>
      </w:r>
      <w:r w:rsidRPr="00043A1E">
        <w:rPr>
          <w:szCs w:val="22"/>
        </w:rPr>
        <w:t>（大正</w:t>
      </w:r>
      <w:r w:rsidRPr="00761EF3">
        <w:rPr>
          <w:szCs w:val="22"/>
        </w:rPr>
        <w:t>45</w:t>
      </w:r>
      <w:r w:rsidRPr="00043A1E">
        <w:rPr>
          <w:szCs w:val="22"/>
        </w:rPr>
        <w:t>，</w:t>
      </w:r>
      <w:r w:rsidRPr="00761EF3">
        <w:rPr>
          <w:szCs w:val="22"/>
        </w:rPr>
        <w:t>24c6</w:t>
      </w:r>
      <w:r w:rsidRPr="00043A1E">
        <w:rPr>
          <w:rFonts w:hint="eastAsia"/>
          <w:szCs w:val="22"/>
        </w:rPr>
        <w:t>-</w:t>
      </w:r>
      <w:r w:rsidRPr="00761EF3">
        <w:rPr>
          <w:rFonts w:hint="eastAsia"/>
          <w:szCs w:val="22"/>
        </w:rPr>
        <w:t>7</w:t>
      </w:r>
      <w:r w:rsidRPr="00043A1E">
        <w:rPr>
          <w:szCs w:val="22"/>
        </w:rPr>
        <w:t>）</w:t>
      </w:r>
      <w:r w:rsidRPr="00043A1E">
        <w:rPr>
          <w:rFonts w:hint="eastAsia"/>
          <w:szCs w:val="22"/>
        </w:rPr>
        <w:t>：</w:t>
      </w:r>
    </w:p>
    <w:p w:rsidR="00157EF6" w:rsidRPr="00043A1E" w:rsidRDefault="00CC5CAB" w:rsidP="00AA120F">
      <w:pPr>
        <w:pStyle w:val="a5"/>
        <w:ind w:leftChars="75" w:left="180"/>
        <w:jc w:val="both"/>
        <w:rPr>
          <w:rFonts w:ascii="標楷體" w:eastAsia="標楷體" w:hAnsi="標楷體"/>
          <w:szCs w:val="22"/>
        </w:rPr>
      </w:pPr>
      <w:r>
        <w:rPr>
          <w:rFonts w:ascii="標楷體" w:eastAsia="標楷體" w:hAnsi="標楷體" w:hint="eastAsia"/>
          <w:bCs/>
          <w:color w:val="FF0000"/>
          <w:kern w:val="0"/>
          <w:highlight w:val="yellow"/>
        </w:rPr>
        <w:t>「</w:t>
      </w:r>
      <w:r w:rsidR="00157EF6" w:rsidRPr="00043A1E">
        <w:rPr>
          <w:rFonts w:ascii="標楷體" w:eastAsia="標楷體" w:hAnsi="標楷體"/>
          <w:b/>
          <w:bCs/>
          <w:szCs w:val="22"/>
        </w:rPr>
        <w:t>不空假名</w:t>
      </w:r>
      <w:r>
        <w:rPr>
          <w:rFonts w:ascii="標楷體" w:eastAsia="標楷體" w:hAnsi="標楷體" w:hint="eastAsia"/>
          <w:bCs/>
          <w:color w:val="FF0000"/>
          <w:kern w:val="0"/>
          <w:highlight w:val="yellow"/>
        </w:rPr>
        <w:t>」</w:t>
      </w:r>
      <w:r w:rsidR="00157EF6" w:rsidRPr="00043A1E">
        <w:rPr>
          <w:rFonts w:ascii="標楷體" w:eastAsia="標楷體" w:hAnsi="標楷體"/>
          <w:b/>
          <w:szCs w:val="22"/>
        </w:rPr>
        <w:t>者，但無</w:t>
      </w:r>
      <w:r>
        <w:rPr>
          <w:rFonts w:ascii="標楷體" w:eastAsia="標楷體" w:hAnsi="標楷體" w:hint="eastAsia"/>
          <w:bCs/>
          <w:color w:val="FF0000"/>
          <w:kern w:val="0"/>
          <w:highlight w:val="yellow"/>
        </w:rPr>
        <w:t>「</w:t>
      </w:r>
      <w:r w:rsidR="00157EF6" w:rsidRPr="00043A1E">
        <w:rPr>
          <w:rFonts w:ascii="標楷體" w:eastAsia="標楷體" w:hAnsi="標楷體"/>
          <w:b/>
          <w:szCs w:val="22"/>
        </w:rPr>
        <w:t>性實</w:t>
      </w:r>
      <w:r>
        <w:rPr>
          <w:rFonts w:ascii="標楷體" w:eastAsia="標楷體" w:hAnsi="標楷體" w:hint="eastAsia"/>
          <w:bCs/>
          <w:color w:val="FF0000"/>
          <w:kern w:val="0"/>
          <w:highlight w:val="yellow"/>
        </w:rPr>
        <w:t>」</w:t>
      </w:r>
      <w:r w:rsidR="00157EF6" w:rsidRPr="00043A1E">
        <w:rPr>
          <w:rFonts w:ascii="標楷體" w:eastAsia="標楷體" w:hAnsi="標楷體"/>
          <w:b/>
          <w:szCs w:val="22"/>
        </w:rPr>
        <w:t>，有</w:t>
      </w:r>
      <w:r>
        <w:rPr>
          <w:rFonts w:ascii="標楷體" w:eastAsia="標楷體" w:hAnsi="標楷體" w:hint="eastAsia"/>
          <w:bCs/>
          <w:color w:val="FF0000"/>
          <w:kern w:val="0"/>
          <w:highlight w:val="yellow"/>
        </w:rPr>
        <w:t>「</w:t>
      </w:r>
      <w:r w:rsidR="00157EF6" w:rsidRPr="00043A1E">
        <w:rPr>
          <w:rFonts w:ascii="標楷體" w:eastAsia="標楷體" w:hAnsi="標楷體"/>
          <w:b/>
          <w:szCs w:val="22"/>
        </w:rPr>
        <w:t>假世諦</w:t>
      </w:r>
      <w:r>
        <w:rPr>
          <w:rFonts w:ascii="標楷體" w:eastAsia="標楷體" w:hAnsi="標楷體" w:hint="eastAsia"/>
          <w:bCs/>
          <w:color w:val="FF0000"/>
          <w:kern w:val="0"/>
          <w:highlight w:val="yellow"/>
        </w:rPr>
        <w:t>」</w:t>
      </w:r>
      <w:r w:rsidR="00157EF6" w:rsidRPr="00043A1E">
        <w:rPr>
          <w:rFonts w:ascii="標楷體" w:eastAsia="標楷體" w:hAnsi="標楷體"/>
          <w:b/>
          <w:szCs w:val="22"/>
        </w:rPr>
        <w:t>，不可全無，如鼠嘍栗</w:t>
      </w:r>
      <w:r w:rsidR="00157EF6" w:rsidRPr="00043A1E">
        <w:rPr>
          <w:rFonts w:ascii="標楷體" w:eastAsia="標楷體" w:hAnsi="標楷體"/>
          <w:szCs w:val="22"/>
        </w:rPr>
        <w:t>。</w:t>
      </w:r>
    </w:p>
  </w:footnote>
  <w:footnote w:id="823">
    <w:p w:rsidR="00157EF6" w:rsidRPr="00043A1E" w:rsidRDefault="00157EF6" w:rsidP="00AA120F">
      <w:pPr>
        <w:pStyle w:val="a5"/>
        <w:ind w:left="187" w:hangingChars="85" w:hanging="187"/>
        <w:jc w:val="both"/>
        <w:rPr>
          <w:szCs w:val="22"/>
        </w:rPr>
      </w:pPr>
      <w:r w:rsidRPr="00043A1E">
        <w:rPr>
          <w:rStyle w:val="a6"/>
          <w:szCs w:val="22"/>
        </w:rPr>
        <w:footnoteRef/>
      </w:r>
      <w:r w:rsidRPr="00043A1E">
        <w:rPr>
          <w:szCs w:val="22"/>
        </w:rPr>
        <w:t xml:space="preserve"> </w:t>
      </w:r>
      <w:r w:rsidRPr="00043A1E">
        <w:rPr>
          <w:rFonts w:hint="eastAsia"/>
          <w:szCs w:val="22"/>
        </w:rPr>
        <w:t>仁：</w:t>
      </w:r>
      <w:r w:rsidRPr="00761EF3">
        <w:rPr>
          <w:rFonts w:hint="eastAsia"/>
          <w:szCs w:val="22"/>
        </w:rPr>
        <w:t>12</w:t>
      </w:r>
      <w:r w:rsidRPr="00043A1E">
        <w:rPr>
          <w:rFonts w:hint="eastAsia"/>
          <w:szCs w:val="22"/>
        </w:rPr>
        <w:t>.</w:t>
      </w:r>
      <w:r w:rsidRPr="00043A1E">
        <w:rPr>
          <w:rFonts w:hint="eastAsia"/>
          <w:szCs w:val="22"/>
        </w:rPr>
        <w:t>果核或果殼最裡頭的部分，大都質軟可食。</w:t>
      </w:r>
      <w:r w:rsidRPr="00043A1E">
        <w:rPr>
          <w:szCs w:val="22"/>
        </w:rPr>
        <w:t>（</w:t>
      </w:r>
      <w:r w:rsidRPr="00043A1E">
        <w:rPr>
          <w:rFonts w:hint="eastAsia"/>
          <w:szCs w:val="22"/>
        </w:rPr>
        <w:t>《漢語大詞典》（一），</w:t>
      </w:r>
      <w:r w:rsidRPr="00761EF3">
        <w:rPr>
          <w:szCs w:val="22"/>
        </w:rPr>
        <w:t>p</w:t>
      </w:r>
      <w:r w:rsidRPr="00043A1E">
        <w:rPr>
          <w:szCs w:val="22"/>
        </w:rPr>
        <w:t>.</w:t>
      </w:r>
      <w:r w:rsidRPr="00761EF3">
        <w:rPr>
          <w:rFonts w:hint="eastAsia"/>
          <w:szCs w:val="22"/>
        </w:rPr>
        <w:t>1095</w:t>
      </w:r>
      <w:r w:rsidRPr="00043A1E">
        <w:rPr>
          <w:rFonts w:hint="eastAsia"/>
          <w:szCs w:val="22"/>
        </w:rPr>
        <w:t>）</w:t>
      </w:r>
    </w:p>
  </w:footnote>
  <w:footnote w:id="824">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rFonts w:hint="eastAsia"/>
          <w:szCs w:val="22"/>
        </w:rPr>
        <w:t>〔隋〕吉藏</w:t>
      </w:r>
      <w:r>
        <w:rPr>
          <w:rFonts w:hint="eastAsia"/>
          <w:szCs w:val="22"/>
        </w:rPr>
        <w:t>撰</w:t>
      </w:r>
      <w:r w:rsidRPr="00043A1E">
        <w:rPr>
          <w:rFonts w:hint="eastAsia"/>
          <w:szCs w:val="22"/>
        </w:rPr>
        <w:t>，《二諦義》卷上（大正</w:t>
      </w:r>
      <w:r w:rsidRPr="00761EF3">
        <w:rPr>
          <w:rFonts w:hint="eastAsia"/>
          <w:szCs w:val="22"/>
        </w:rPr>
        <w:t>45</w:t>
      </w:r>
      <w:r w:rsidRPr="00043A1E">
        <w:rPr>
          <w:rFonts w:hint="eastAsia"/>
          <w:szCs w:val="22"/>
        </w:rPr>
        <w:t>，</w:t>
      </w:r>
      <w:r w:rsidRPr="00761EF3">
        <w:rPr>
          <w:rFonts w:hint="eastAsia"/>
          <w:szCs w:val="22"/>
        </w:rPr>
        <w:t>84a18</w:t>
      </w:r>
      <w:r w:rsidRPr="00043A1E">
        <w:rPr>
          <w:rFonts w:hint="eastAsia"/>
          <w:szCs w:val="22"/>
        </w:rPr>
        <w:t>-</w:t>
      </w:r>
      <w:r w:rsidRPr="00761EF3">
        <w:rPr>
          <w:rFonts w:hint="eastAsia"/>
          <w:szCs w:val="22"/>
        </w:rPr>
        <w:t>22</w:t>
      </w:r>
      <w:r w:rsidRPr="00043A1E">
        <w:rPr>
          <w:rFonts w:hint="eastAsia"/>
          <w:szCs w:val="22"/>
        </w:rPr>
        <w:t>）：</w:t>
      </w:r>
    </w:p>
    <w:p w:rsidR="00157EF6" w:rsidRPr="00043A1E" w:rsidRDefault="00CC5CAB" w:rsidP="00AA120F">
      <w:pPr>
        <w:pStyle w:val="a5"/>
        <w:ind w:leftChars="75" w:left="180"/>
        <w:jc w:val="both"/>
        <w:rPr>
          <w:szCs w:val="22"/>
        </w:rPr>
      </w:pP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鼠嘍栗二諦</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者，經中明</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色、色性空</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。彼云：</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色性空</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者，明</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色無定性</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，非</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色都無</w:t>
      </w:r>
      <w:r>
        <w:rPr>
          <w:rFonts w:ascii="標楷體" w:eastAsia="標楷體" w:hAnsi="標楷體" w:hint="eastAsia"/>
          <w:bCs/>
          <w:color w:val="FF0000"/>
          <w:kern w:val="0"/>
          <w:highlight w:val="yellow"/>
        </w:rPr>
        <w:t>」</w:t>
      </w:r>
      <w:r>
        <w:rPr>
          <w:rFonts w:ascii="標楷體" w:eastAsia="標楷體" w:hAnsi="標楷體" w:hint="eastAsia"/>
          <w:color w:val="FF0000"/>
          <w:kern w:val="0"/>
          <w:highlight w:val="yellow"/>
        </w:rPr>
        <w:t>。</w:t>
      </w:r>
      <w:r w:rsidR="00157EF6" w:rsidRPr="00043A1E">
        <w:rPr>
          <w:rFonts w:ascii="標楷體" w:eastAsia="標楷體" w:hAnsi="標楷體" w:hint="eastAsia"/>
          <w:szCs w:val="22"/>
        </w:rPr>
        <w:t>如鼠嘍栗中肉盡</w:t>
      </w:r>
      <w:r>
        <w:rPr>
          <w:rFonts w:ascii="標楷體" w:eastAsia="標楷體" w:hAnsi="標楷體" w:hint="eastAsia"/>
          <w:color w:val="FF0000"/>
          <w:kern w:val="0"/>
          <w:highlight w:val="yellow"/>
        </w:rPr>
        <w:t>，</w:t>
      </w:r>
      <w:r w:rsidR="00157EF6" w:rsidRPr="00043A1E">
        <w:rPr>
          <w:rFonts w:ascii="標楷體" w:eastAsia="標楷體" w:hAnsi="標楷體" w:hint="eastAsia"/>
          <w:szCs w:val="22"/>
        </w:rPr>
        <w:t>栗猶有皮</w:t>
      </w:r>
      <w:r w:rsidR="00157EF6" w:rsidRPr="00043A1E">
        <w:rPr>
          <w:rFonts w:ascii="新細明體" w:hAnsi="新細明體" w:cs="新細明體" w:hint="eastAsia"/>
          <w:szCs w:val="22"/>
        </w:rPr>
        <w:t>㲉</w:t>
      </w:r>
      <w:r>
        <w:rPr>
          <w:rFonts w:ascii="標楷體" w:eastAsia="標楷體" w:hAnsi="標楷體" w:hint="eastAsia"/>
          <w:szCs w:val="22"/>
        </w:rPr>
        <w:t>，形容宛然</w:t>
      </w:r>
      <w:r>
        <w:rPr>
          <w:rFonts w:ascii="標楷體" w:eastAsia="標楷體" w:hAnsi="標楷體" w:hint="eastAsia"/>
          <w:color w:val="FF0000"/>
          <w:spacing w:val="-4"/>
          <w:kern w:val="0"/>
          <w:highlight w:val="yellow"/>
        </w:rPr>
        <w:t>；</w:t>
      </w:r>
      <w:r>
        <w:rPr>
          <w:rFonts w:ascii="標楷體" w:eastAsia="標楷體" w:hAnsi="標楷體" w:hint="eastAsia"/>
          <w:szCs w:val="22"/>
        </w:rPr>
        <w:t>栗中無</w:t>
      </w:r>
      <w:r w:rsidRPr="00CC5CAB">
        <w:rPr>
          <w:rFonts w:ascii="標楷體" w:eastAsia="標楷體" w:hAnsi="標楷體" w:hint="eastAsia"/>
          <w:szCs w:val="22"/>
          <w:highlight w:val="yellow"/>
        </w:rPr>
        <w:t>肉</w:t>
      </w:r>
      <w:r w:rsidR="00157EF6" w:rsidRPr="00CC5CAB">
        <w:rPr>
          <w:rFonts w:ascii="標楷體" w:eastAsia="標楷體" w:hAnsi="標楷體" w:hint="eastAsia"/>
          <w:szCs w:val="22"/>
          <w:highlight w:val="yellow"/>
        </w:rPr>
        <w:t>故</w:t>
      </w:r>
      <w:r w:rsidR="00157EF6" w:rsidRPr="00043A1E">
        <w:rPr>
          <w:rFonts w:ascii="標楷體" w:eastAsia="標楷體" w:hAnsi="標楷體" w:hint="eastAsia"/>
          <w:szCs w:val="22"/>
        </w:rPr>
        <w:t>言</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栗空</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，非都無栗故言</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栗空</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也</w:t>
      </w:r>
      <w:r>
        <w:rPr>
          <w:rFonts w:ascii="標楷體" w:eastAsia="標楷體" w:hAnsi="標楷體" w:hint="eastAsia"/>
          <w:color w:val="FF0000"/>
          <w:kern w:val="0"/>
          <w:highlight w:val="yellow"/>
        </w:rPr>
        <w:t>。</w:t>
      </w:r>
      <w:r w:rsidR="00157EF6" w:rsidRPr="00043A1E">
        <w:rPr>
          <w:rFonts w:ascii="標楷體" w:eastAsia="標楷體" w:hAnsi="標楷體" w:hint="eastAsia"/>
          <w:szCs w:val="22"/>
        </w:rPr>
        <w:t>即空有併成有也。</w:t>
      </w:r>
    </w:p>
  </w:footnote>
  <w:footnote w:id="825">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hint="eastAsia"/>
          <w:szCs w:val="22"/>
        </w:rPr>
        <w:t xml:space="preserve"> </w:t>
      </w:r>
      <w:r w:rsidRPr="00043A1E">
        <w:rPr>
          <w:rFonts w:hint="eastAsia"/>
          <w:szCs w:val="22"/>
        </w:rPr>
        <w:t>舉：</w:t>
      </w:r>
      <w:r w:rsidRPr="00761EF3">
        <w:rPr>
          <w:rFonts w:hint="eastAsia"/>
          <w:szCs w:val="22"/>
        </w:rPr>
        <w:t>45</w:t>
      </w:r>
      <w:r w:rsidRPr="00043A1E">
        <w:rPr>
          <w:rFonts w:hint="eastAsia"/>
          <w:szCs w:val="22"/>
        </w:rPr>
        <w:t>.</w:t>
      </w:r>
      <w:r w:rsidRPr="00043A1E">
        <w:rPr>
          <w:rFonts w:hint="eastAsia"/>
          <w:szCs w:val="22"/>
        </w:rPr>
        <w:t>皆，全。</w:t>
      </w:r>
      <w:r w:rsidRPr="00043A1E">
        <w:rPr>
          <w:szCs w:val="22"/>
        </w:rPr>
        <w:t>（</w:t>
      </w:r>
      <w:r w:rsidRPr="00043A1E">
        <w:rPr>
          <w:rFonts w:hint="eastAsia"/>
          <w:szCs w:val="22"/>
        </w:rPr>
        <w:t>《漢語大詞典》（八），</w:t>
      </w:r>
      <w:r w:rsidRPr="00761EF3">
        <w:rPr>
          <w:szCs w:val="22"/>
        </w:rPr>
        <w:t>p</w:t>
      </w:r>
      <w:r w:rsidRPr="00043A1E">
        <w:rPr>
          <w:szCs w:val="22"/>
        </w:rPr>
        <w:t>.</w:t>
      </w:r>
      <w:r w:rsidRPr="00761EF3">
        <w:rPr>
          <w:rFonts w:hint="eastAsia"/>
          <w:szCs w:val="22"/>
        </w:rPr>
        <w:t>1291</w:t>
      </w:r>
      <w:r w:rsidRPr="00043A1E">
        <w:rPr>
          <w:rFonts w:hint="eastAsia"/>
          <w:szCs w:val="22"/>
        </w:rPr>
        <w:t>）</w:t>
      </w:r>
    </w:p>
  </w:footnote>
  <w:footnote w:id="826">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〔隋〕吉藏撰，《大乘玄論》卷</w:t>
      </w:r>
      <w:r w:rsidRPr="00761EF3">
        <w:rPr>
          <w:szCs w:val="22"/>
        </w:rPr>
        <w:t>1</w:t>
      </w:r>
      <w:r w:rsidRPr="00043A1E">
        <w:rPr>
          <w:szCs w:val="22"/>
        </w:rPr>
        <w:t>（大正</w:t>
      </w:r>
      <w:r w:rsidRPr="00761EF3">
        <w:rPr>
          <w:szCs w:val="22"/>
        </w:rPr>
        <w:t>45</w:t>
      </w:r>
      <w:r w:rsidRPr="00043A1E">
        <w:rPr>
          <w:szCs w:val="22"/>
        </w:rPr>
        <w:t>，</w:t>
      </w:r>
      <w:r w:rsidRPr="00761EF3">
        <w:rPr>
          <w:szCs w:val="22"/>
        </w:rPr>
        <w:t>24c7</w:t>
      </w:r>
      <w:r w:rsidRPr="00043A1E">
        <w:rPr>
          <w:szCs w:val="22"/>
        </w:rPr>
        <w:t>-</w:t>
      </w:r>
      <w:r w:rsidRPr="00761EF3">
        <w:rPr>
          <w:szCs w:val="22"/>
        </w:rPr>
        <w:t>10</w:t>
      </w:r>
      <w:r w:rsidRPr="00043A1E">
        <w:rPr>
          <w:szCs w:val="22"/>
        </w:rPr>
        <w:t>）：</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b/>
          <w:szCs w:val="22"/>
        </w:rPr>
        <w:t>第二</w:t>
      </w:r>
      <w:r w:rsidR="00CC5CAB">
        <w:rPr>
          <w:rFonts w:ascii="標楷體" w:eastAsia="標楷體" w:hAnsi="標楷體" w:hint="eastAsia"/>
          <w:color w:val="FF0000"/>
          <w:spacing w:val="-4"/>
          <w:kern w:val="0"/>
          <w:highlight w:val="yellow"/>
        </w:rPr>
        <w:t>、</w:t>
      </w:r>
      <w:r w:rsidR="00CC5CAB">
        <w:rPr>
          <w:rFonts w:ascii="標楷體" w:eastAsia="標楷體" w:hAnsi="標楷體" w:hint="eastAsia"/>
          <w:bCs/>
          <w:color w:val="FF0000"/>
          <w:kern w:val="0"/>
          <w:highlight w:val="yellow"/>
        </w:rPr>
        <w:t>「</w:t>
      </w:r>
      <w:r w:rsidRPr="00043A1E">
        <w:rPr>
          <w:rFonts w:ascii="標楷體" w:eastAsia="標楷體" w:hAnsi="標楷體"/>
          <w:b/>
          <w:bCs/>
          <w:szCs w:val="22"/>
        </w:rPr>
        <w:t>空假名</w:t>
      </w:r>
      <w:r w:rsidR="00CC5CAB">
        <w:rPr>
          <w:rFonts w:ascii="標楷體" w:eastAsia="標楷體" w:hAnsi="標楷體" w:hint="eastAsia"/>
          <w:bCs/>
          <w:color w:val="FF0000"/>
          <w:kern w:val="0"/>
          <w:highlight w:val="yellow"/>
        </w:rPr>
        <w:t>」</w:t>
      </w:r>
      <w:r w:rsidRPr="00043A1E">
        <w:rPr>
          <w:rFonts w:ascii="標楷體" w:eastAsia="標楷體" w:hAnsi="標楷體"/>
          <w:b/>
          <w:szCs w:val="22"/>
        </w:rPr>
        <w:t>，謂此世諦舉體不可得</w:t>
      </w:r>
      <w:r w:rsidRPr="00043A1E">
        <w:rPr>
          <w:rFonts w:ascii="標楷體" w:eastAsia="標楷體" w:hAnsi="標楷體" w:hint="eastAsia"/>
          <w:b/>
          <w:szCs w:val="22"/>
        </w:rPr>
        <w:t>。</w:t>
      </w:r>
      <w:r w:rsidRPr="00043A1E">
        <w:rPr>
          <w:rFonts w:ascii="標楷體" w:eastAsia="標楷體" w:hAnsi="標楷體"/>
          <w:b/>
          <w:szCs w:val="22"/>
        </w:rPr>
        <w:t>若作假有觀，舉體世諦；作無觀之，舉體是真諦</w:t>
      </w:r>
      <w:r w:rsidR="00CC5CAB">
        <w:rPr>
          <w:rFonts w:ascii="標楷體" w:eastAsia="標楷體" w:hAnsi="標楷體" w:hint="eastAsia"/>
          <w:color w:val="FF0000"/>
          <w:kern w:val="0"/>
          <w:highlight w:val="yellow"/>
        </w:rPr>
        <w:t>。</w:t>
      </w:r>
      <w:r w:rsidRPr="00043A1E">
        <w:rPr>
          <w:rFonts w:ascii="標楷體" w:eastAsia="標楷體" w:hAnsi="標楷體"/>
          <w:b/>
          <w:szCs w:val="22"/>
        </w:rPr>
        <w:t>如水中案瓜</w:t>
      </w:r>
      <w:r w:rsidRPr="00CC5CAB">
        <w:rPr>
          <w:rFonts w:hint="eastAsia"/>
          <w:szCs w:val="22"/>
          <w:shd w:val="pct15" w:color="auto" w:fill="FFFFFF"/>
          <w:vertAlign w:val="superscript"/>
        </w:rPr>
        <w:t>※</w:t>
      </w:r>
      <w:r w:rsidR="00CC5CAB">
        <w:rPr>
          <w:rFonts w:ascii="標楷體" w:eastAsia="標楷體" w:hAnsi="標楷體" w:hint="eastAsia"/>
          <w:color w:val="FF0000"/>
          <w:kern w:val="0"/>
          <w:highlight w:val="yellow"/>
        </w:rPr>
        <w:t>──</w:t>
      </w:r>
      <w:r w:rsidRPr="00043A1E">
        <w:rPr>
          <w:rFonts w:ascii="標楷體" w:eastAsia="標楷體" w:hAnsi="標楷體"/>
          <w:szCs w:val="22"/>
        </w:rPr>
        <w:t>手舉瓜</w:t>
      </w:r>
      <w:r w:rsidRPr="00CC5CAB">
        <w:rPr>
          <w:rFonts w:hint="eastAsia"/>
          <w:szCs w:val="22"/>
          <w:shd w:val="pct15" w:color="auto" w:fill="FFFFFF"/>
          <w:vertAlign w:val="superscript"/>
        </w:rPr>
        <w:t>※</w:t>
      </w:r>
      <w:r w:rsidRPr="00043A1E">
        <w:rPr>
          <w:rFonts w:ascii="標楷體" w:eastAsia="標楷體" w:hAnsi="標楷體"/>
          <w:szCs w:val="22"/>
        </w:rPr>
        <w:t>令體出，是</w:t>
      </w:r>
      <w:r w:rsidR="00CC5CAB">
        <w:rPr>
          <w:rFonts w:ascii="標楷體" w:eastAsia="標楷體" w:hAnsi="標楷體" w:hint="eastAsia"/>
          <w:bCs/>
          <w:color w:val="FF0000"/>
          <w:kern w:val="0"/>
          <w:highlight w:val="yellow"/>
        </w:rPr>
        <w:t>「</w:t>
      </w:r>
      <w:r w:rsidRPr="00043A1E">
        <w:rPr>
          <w:rFonts w:ascii="標楷體" w:eastAsia="標楷體" w:hAnsi="標楷體"/>
          <w:szCs w:val="22"/>
        </w:rPr>
        <w:t>世諦</w:t>
      </w:r>
      <w:r w:rsidR="00CC5CAB">
        <w:rPr>
          <w:rFonts w:ascii="標楷體" w:eastAsia="標楷體" w:hAnsi="標楷體" w:hint="eastAsia"/>
          <w:bCs/>
          <w:color w:val="FF0000"/>
          <w:kern w:val="0"/>
          <w:highlight w:val="yellow"/>
        </w:rPr>
        <w:t>」</w:t>
      </w:r>
      <w:r w:rsidRPr="00043A1E">
        <w:rPr>
          <w:rFonts w:ascii="標楷體" w:eastAsia="標楷體" w:hAnsi="標楷體"/>
          <w:szCs w:val="22"/>
        </w:rPr>
        <w:t>；手按瓜</w:t>
      </w:r>
      <w:r w:rsidRPr="00CC5CAB">
        <w:rPr>
          <w:rFonts w:hint="eastAsia"/>
          <w:szCs w:val="22"/>
          <w:shd w:val="pct15" w:color="auto" w:fill="FFFFFF"/>
          <w:vertAlign w:val="superscript"/>
        </w:rPr>
        <w:t>※</w:t>
      </w:r>
      <w:r w:rsidRPr="00043A1E">
        <w:rPr>
          <w:rFonts w:ascii="標楷體" w:eastAsia="標楷體" w:hAnsi="標楷體"/>
          <w:szCs w:val="22"/>
        </w:rPr>
        <w:t>令體沒，是</w:t>
      </w:r>
      <w:r w:rsidR="00CC5CAB">
        <w:rPr>
          <w:rFonts w:ascii="標楷體" w:eastAsia="標楷體" w:hAnsi="標楷體" w:hint="eastAsia"/>
          <w:bCs/>
          <w:color w:val="FF0000"/>
          <w:kern w:val="0"/>
          <w:highlight w:val="yellow"/>
        </w:rPr>
        <w:t>「</w:t>
      </w:r>
      <w:r w:rsidRPr="00043A1E">
        <w:rPr>
          <w:rFonts w:ascii="標楷體" w:eastAsia="標楷體" w:hAnsi="標楷體"/>
          <w:szCs w:val="22"/>
        </w:rPr>
        <w:t>真諦</w:t>
      </w:r>
      <w:r w:rsidR="00CC5CAB">
        <w:rPr>
          <w:rFonts w:ascii="標楷體" w:eastAsia="標楷體" w:hAnsi="標楷體" w:hint="eastAsia"/>
          <w:bCs/>
          <w:color w:val="FF0000"/>
          <w:kern w:val="0"/>
          <w:highlight w:val="yellow"/>
        </w:rPr>
        <w:t>」</w:t>
      </w:r>
      <w:r w:rsidRPr="00043A1E">
        <w:rPr>
          <w:rFonts w:ascii="標楷體" w:eastAsia="標楷體" w:hAnsi="標楷體"/>
          <w:szCs w:val="22"/>
        </w:rPr>
        <w:t>。</w:t>
      </w:r>
    </w:p>
    <w:p w:rsidR="00157EF6" w:rsidRPr="00043A1E" w:rsidRDefault="00157EF6" w:rsidP="00AA120F">
      <w:pPr>
        <w:pStyle w:val="a5"/>
        <w:ind w:leftChars="105" w:left="252"/>
        <w:jc w:val="both"/>
        <w:rPr>
          <w:szCs w:val="22"/>
        </w:rPr>
      </w:pPr>
      <w:r w:rsidRPr="00CC5CAB">
        <w:rPr>
          <w:rFonts w:ascii="新細明體" w:hAnsi="新細明體" w:hint="eastAsia"/>
          <w:szCs w:val="22"/>
          <w:shd w:val="pct15" w:color="auto" w:fill="FFFFFF"/>
        </w:rPr>
        <w:t>※</w:t>
      </w:r>
      <w:r w:rsidRPr="00043A1E">
        <w:rPr>
          <w:rFonts w:ascii="新細明體" w:hAnsi="新細明體" w:hint="eastAsia"/>
          <w:szCs w:val="22"/>
        </w:rPr>
        <w:t>案：《大正藏》原作「</w:t>
      </w:r>
      <w:r w:rsidRPr="00CC5CAB">
        <w:rPr>
          <w:rFonts w:ascii="標楷體" w:eastAsia="標楷體" w:hAnsi="標楷體" w:hint="eastAsia"/>
          <w:szCs w:val="22"/>
        </w:rPr>
        <w:t>爪</w:t>
      </w:r>
      <w:r w:rsidRPr="00043A1E">
        <w:rPr>
          <w:rFonts w:ascii="新細明體" w:hAnsi="新細明體" w:hint="eastAsia"/>
          <w:szCs w:val="22"/>
        </w:rPr>
        <w:t>」，今改作「瓜」，下同</w:t>
      </w:r>
      <w:r w:rsidRPr="00043A1E">
        <w:rPr>
          <w:rFonts w:ascii="新細明體" w:hAnsi="新細明體"/>
          <w:szCs w:val="22"/>
        </w:rPr>
        <w:t>。</w:t>
      </w:r>
    </w:p>
  </w:footnote>
  <w:footnote w:id="827">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〔隋〕吉藏撰</w:t>
      </w:r>
      <w:r w:rsidRPr="00043A1E">
        <w:rPr>
          <w:rFonts w:hint="eastAsia"/>
          <w:szCs w:val="22"/>
        </w:rPr>
        <w:t>，</w:t>
      </w:r>
      <w:r w:rsidRPr="00043A1E">
        <w:rPr>
          <w:rFonts w:ascii="新細明體" w:hAnsi="標楷體" w:hint="eastAsia"/>
          <w:szCs w:val="22"/>
        </w:rPr>
        <w:t>《</w:t>
      </w:r>
      <w:r w:rsidRPr="00043A1E">
        <w:rPr>
          <w:rFonts w:ascii="新細明體" w:hAnsi="標楷體"/>
          <w:szCs w:val="22"/>
        </w:rPr>
        <w:t>大乘玄論</w:t>
      </w:r>
      <w:r w:rsidRPr="00043A1E">
        <w:rPr>
          <w:rFonts w:ascii="新細明體" w:hAnsi="標楷體" w:hint="eastAsia"/>
          <w:szCs w:val="22"/>
        </w:rPr>
        <w:t>》</w:t>
      </w:r>
      <w:r w:rsidRPr="00043A1E">
        <w:rPr>
          <w:rFonts w:hint="eastAsia"/>
          <w:szCs w:val="22"/>
        </w:rPr>
        <w:t>卷</w:t>
      </w:r>
      <w:r w:rsidRPr="00761EF3">
        <w:rPr>
          <w:rFonts w:hint="eastAsia"/>
          <w:szCs w:val="22"/>
        </w:rPr>
        <w:t>1</w:t>
      </w:r>
      <w:r w:rsidRPr="00043A1E">
        <w:rPr>
          <w:rFonts w:hint="eastAsia"/>
          <w:szCs w:val="22"/>
        </w:rPr>
        <w:t>（大正</w:t>
      </w:r>
      <w:r w:rsidRPr="00761EF3">
        <w:rPr>
          <w:rFonts w:hint="eastAsia"/>
          <w:szCs w:val="22"/>
        </w:rPr>
        <w:t>45</w:t>
      </w:r>
      <w:r w:rsidRPr="00043A1E">
        <w:rPr>
          <w:rFonts w:hint="eastAsia"/>
          <w:szCs w:val="22"/>
        </w:rPr>
        <w:t>，</w:t>
      </w:r>
      <w:r w:rsidRPr="00761EF3">
        <w:rPr>
          <w:rFonts w:hint="eastAsia"/>
          <w:szCs w:val="22"/>
        </w:rPr>
        <w:t>25a2</w:t>
      </w:r>
      <w:r w:rsidRPr="00043A1E">
        <w:rPr>
          <w:rFonts w:hint="eastAsia"/>
          <w:szCs w:val="22"/>
        </w:rPr>
        <w:t>-</w:t>
      </w:r>
      <w:r w:rsidRPr="00761EF3">
        <w:rPr>
          <w:rFonts w:hint="eastAsia"/>
          <w:szCs w:val="22"/>
        </w:rPr>
        <w:t>4</w:t>
      </w:r>
      <w:r w:rsidRPr="00043A1E">
        <w:rPr>
          <w:rFonts w:hint="eastAsia"/>
          <w:szCs w:val="22"/>
        </w:rPr>
        <w:t>）：</w:t>
      </w:r>
    </w:p>
    <w:p w:rsidR="00157EF6" w:rsidRPr="00043A1E" w:rsidRDefault="00CC5CAB" w:rsidP="00AA120F">
      <w:pPr>
        <w:pStyle w:val="a5"/>
        <w:ind w:leftChars="105" w:left="252"/>
        <w:jc w:val="both"/>
        <w:rPr>
          <w:rFonts w:ascii="標楷體" w:eastAsia="標楷體" w:hAnsi="標楷體"/>
          <w:szCs w:val="22"/>
        </w:rPr>
      </w:pPr>
      <w:r>
        <w:rPr>
          <w:rFonts w:ascii="標楷體" w:eastAsia="標楷體" w:hAnsi="標楷體" w:hint="eastAsia"/>
          <w:bCs/>
          <w:color w:val="FF0000"/>
          <w:kern w:val="0"/>
          <w:highlight w:val="yellow"/>
        </w:rPr>
        <w:t>「</w:t>
      </w:r>
      <w:r w:rsidR="00157EF6" w:rsidRPr="00043A1E">
        <w:rPr>
          <w:rFonts w:ascii="標楷體" w:eastAsia="標楷體" w:hAnsi="標楷體" w:hint="eastAsia"/>
          <w:b/>
          <w:szCs w:val="22"/>
        </w:rPr>
        <w:t>假空</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者，四重二諦中初重二諦</w:t>
      </w:r>
      <w:r>
        <w:rPr>
          <w:rFonts w:ascii="標楷體" w:eastAsia="標楷體" w:hAnsi="標楷體" w:hint="eastAsia"/>
          <w:color w:val="FF0000"/>
          <w:kern w:val="0"/>
          <w:highlight w:val="yellow"/>
        </w:rPr>
        <w:t>。</w:t>
      </w:r>
      <w:r w:rsidR="00157EF6" w:rsidRPr="00043A1E">
        <w:rPr>
          <w:rFonts w:ascii="標楷體" w:eastAsia="標楷體" w:hAnsi="標楷體" w:hint="eastAsia"/>
          <w:szCs w:val="22"/>
        </w:rPr>
        <w:t>雖空而宛然假，雖假而宛然空</w:t>
      </w:r>
      <w:r>
        <w:rPr>
          <w:rFonts w:ascii="標楷體" w:eastAsia="標楷體" w:hAnsi="標楷體" w:hint="eastAsia"/>
          <w:color w:val="FF0000"/>
          <w:kern w:val="0"/>
          <w:highlight w:val="yellow"/>
        </w:rPr>
        <w:t>──</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空</w:t>
      </w:r>
      <w:r>
        <w:rPr>
          <w:rFonts w:ascii="標楷體" w:eastAsia="標楷體" w:hAnsi="標楷體" w:hint="eastAsia"/>
          <w:bCs/>
          <w:color w:val="FF0000"/>
          <w:kern w:val="0"/>
          <w:highlight w:val="yellow"/>
        </w:rPr>
        <w:t>」</w:t>
      </w:r>
      <w:r>
        <w:rPr>
          <w:rFonts w:ascii="標楷體" w:eastAsia="標楷體" w:hAnsi="標楷體" w:hint="eastAsia"/>
          <w:color w:val="FF0000"/>
          <w:spacing w:val="-4"/>
          <w:kern w:val="0"/>
          <w:highlight w:val="yellow"/>
        </w:rPr>
        <w:t>、</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有</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無礙。</w:t>
      </w:r>
    </w:p>
  </w:footnote>
  <w:footnote w:id="828">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〔隋〕</w:t>
      </w:r>
      <w:r w:rsidRPr="008E20BC">
        <w:rPr>
          <w:rFonts w:hint="eastAsia"/>
          <w:szCs w:val="22"/>
        </w:rPr>
        <w:t>智顗</w:t>
      </w:r>
      <w:r w:rsidRPr="00043A1E">
        <w:rPr>
          <w:rFonts w:hint="eastAsia"/>
          <w:szCs w:val="22"/>
        </w:rPr>
        <w:t>，《仁王護國般若經疏》卷</w:t>
      </w:r>
      <w:r w:rsidRPr="00761EF3">
        <w:rPr>
          <w:rFonts w:hint="eastAsia"/>
          <w:szCs w:val="22"/>
        </w:rPr>
        <w:t>3</w:t>
      </w:r>
      <w:r w:rsidRPr="00043A1E">
        <w:rPr>
          <w:rFonts w:hint="eastAsia"/>
          <w:szCs w:val="22"/>
        </w:rPr>
        <w:t>〈</w:t>
      </w:r>
      <w:r w:rsidRPr="00761EF3">
        <w:rPr>
          <w:rFonts w:hint="eastAsia"/>
          <w:szCs w:val="22"/>
        </w:rPr>
        <w:t>2</w:t>
      </w:r>
      <w:r w:rsidRPr="00043A1E">
        <w:rPr>
          <w:rFonts w:hint="eastAsia"/>
          <w:szCs w:val="22"/>
        </w:rPr>
        <w:t xml:space="preserve"> </w:t>
      </w:r>
      <w:r w:rsidRPr="00043A1E">
        <w:rPr>
          <w:rFonts w:hint="eastAsia"/>
          <w:szCs w:val="22"/>
        </w:rPr>
        <w:t>觀空品〉（大正</w:t>
      </w:r>
      <w:r w:rsidRPr="00761EF3">
        <w:rPr>
          <w:rFonts w:hint="eastAsia"/>
          <w:szCs w:val="22"/>
        </w:rPr>
        <w:t>33</w:t>
      </w:r>
      <w:r w:rsidRPr="00043A1E">
        <w:rPr>
          <w:rFonts w:hint="eastAsia"/>
          <w:szCs w:val="22"/>
        </w:rPr>
        <w:t>，</w:t>
      </w:r>
      <w:r w:rsidRPr="00761EF3">
        <w:rPr>
          <w:rFonts w:hint="eastAsia"/>
          <w:szCs w:val="22"/>
        </w:rPr>
        <w:t>267a5</w:t>
      </w:r>
      <w:r w:rsidRPr="00043A1E">
        <w:rPr>
          <w:rFonts w:hint="eastAsia"/>
          <w:szCs w:val="22"/>
        </w:rPr>
        <w:t>-</w:t>
      </w:r>
      <w:r w:rsidRPr="00761EF3">
        <w:rPr>
          <w:rFonts w:hint="eastAsia"/>
          <w:szCs w:val="22"/>
        </w:rPr>
        <w:t>6</w:t>
      </w:r>
      <w:r w:rsidRPr="00043A1E">
        <w:rPr>
          <w:rFonts w:hint="eastAsia"/>
          <w:szCs w:val="22"/>
        </w:rPr>
        <w:t>）：</w:t>
      </w:r>
    </w:p>
    <w:p w:rsidR="00157EF6" w:rsidRPr="00043A1E" w:rsidRDefault="00CC5CAB" w:rsidP="00AA120F">
      <w:pPr>
        <w:pStyle w:val="a5"/>
        <w:tabs>
          <w:tab w:val="left" w:pos="6379"/>
        </w:tabs>
        <w:ind w:leftChars="105" w:left="252"/>
        <w:jc w:val="both"/>
        <w:rPr>
          <w:szCs w:val="22"/>
        </w:rPr>
      </w:pP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即有即空</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者，色性自空，非</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色壞</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故空也。</w:t>
      </w:r>
    </w:p>
  </w:footnote>
  <w:footnote w:id="829">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宗喀巴</w:t>
      </w:r>
      <w:r w:rsidR="00AD14BF">
        <w:rPr>
          <w:rFonts w:hint="eastAsia"/>
          <w:szCs w:val="22"/>
        </w:rPr>
        <w:t>著，法尊</w:t>
      </w:r>
      <w:r w:rsidRPr="00043A1E">
        <w:rPr>
          <w:rFonts w:hint="eastAsia"/>
          <w:szCs w:val="22"/>
        </w:rPr>
        <w:t>譯，《菩提道次第廣論》卷</w:t>
      </w:r>
      <w:r w:rsidRPr="00761EF3">
        <w:rPr>
          <w:rFonts w:hint="eastAsia"/>
          <w:szCs w:val="22"/>
        </w:rPr>
        <w:t>17</w:t>
      </w:r>
      <w:r w:rsidRPr="00043A1E">
        <w:rPr>
          <w:rFonts w:hint="eastAsia"/>
          <w:szCs w:val="22"/>
        </w:rPr>
        <w:t>，</w:t>
      </w:r>
      <w:r w:rsidR="00AD14BF">
        <w:rPr>
          <w:rFonts w:hint="eastAsia"/>
          <w:szCs w:val="22"/>
        </w:rPr>
        <w:t>台北，福智之聲</w:t>
      </w:r>
      <w:r w:rsidRPr="00043A1E">
        <w:rPr>
          <w:rFonts w:hint="eastAsia"/>
          <w:szCs w:val="22"/>
        </w:rPr>
        <w:t>出版社，</w:t>
      </w:r>
      <w:r w:rsidRPr="00761EF3">
        <w:rPr>
          <w:rFonts w:hint="eastAsia"/>
          <w:szCs w:val="22"/>
        </w:rPr>
        <w:t>1995</w:t>
      </w:r>
      <w:r w:rsidRPr="00043A1E">
        <w:rPr>
          <w:rFonts w:hint="eastAsia"/>
          <w:szCs w:val="22"/>
        </w:rPr>
        <w:t>年</w:t>
      </w:r>
      <w:r w:rsidRPr="00761EF3">
        <w:rPr>
          <w:rFonts w:hint="eastAsia"/>
          <w:szCs w:val="22"/>
        </w:rPr>
        <w:t>3</w:t>
      </w:r>
      <w:r w:rsidRPr="00043A1E">
        <w:rPr>
          <w:rFonts w:hint="eastAsia"/>
          <w:szCs w:val="22"/>
        </w:rPr>
        <w:t>月</w:t>
      </w:r>
      <w:r>
        <w:rPr>
          <w:rFonts w:hint="eastAsia"/>
          <w:szCs w:val="22"/>
        </w:rPr>
        <w:t>，</w:t>
      </w:r>
      <w:r w:rsidRPr="00761EF3">
        <w:rPr>
          <w:rFonts w:hint="eastAsia"/>
          <w:szCs w:val="22"/>
        </w:rPr>
        <w:t>p</w:t>
      </w:r>
      <w:r w:rsidRPr="00043A1E">
        <w:rPr>
          <w:rFonts w:hint="eastAsia"/>
          <w:szCs w:val="22"/>
        </w:rPr>
        <w:t>.</w:t>
      </w:r>
      <w:r w:rsidRPr="00761EF3">
        <w:rPr>
          <w:rFonts w:hint="eastAsia"/>
          <w:szCs w:val="22"/>
        </w:rPr>
        <w:t>404</w:t>
      </w:r>
      <w:r w:rsidRPr="00043A1E">
        <w:rPr>
          <w:rFonts w:hint="eastAsia"/>
          <w:szCs w:val="22"/>
        </w:rPr>
        <w:t>：</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hint="eastAsia"/>
          <w:szCs w:val="22"/>
        </w:rPr>
        <w:t>又有一類先覺知識作如是言﹕「就立名言而立名者，略於二類大中觀師，謂於名言許外境者，名經部行中觀師；及於名言不許外境者，名瑜伽行中觀師。</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hint="eastAsia"/>
          <w:szCs w:val="22"/>
        </w:rPr>
        <w:t>就立勝義亦立二名，謂許勝義諦現空雙聚，名</w:t>
      </w:r>
      <w:r w:rsidRPr="00043A1E">
        <w:rPr>
          <w:rFonts w:ascii="標楷體" w:eastAsia="標楷體" w:hAnsi="標楷體" w:hint="eastAsia"/>
          <w:b/>
          <w:szCs w:val="22"/>
        </w:rPr>
        <w:t>理成如幻</w:t>
      </w:r>
      <w:r w:rsidRPr="00043A1E">
        <w:rPr>
          <w:rFonts w:ascii="標楷體" w:eastAsia="標楷體" w:hAnsi="標楷體" w:hint="eastAsia"/>
          <w:szCs w:val="22"/>
        </w:rPr>
        <w:t>；及許勝義諦唯於現境斷絕戲論，名</w:t>
      </w:r>
      <w:r w:rsidRPr="00043A1E">
        <w:rPr>
          <w:rFonts w:ascii="標楷體" w:eastAsia="標楷體" w:hAnsi="標楷體" w:hint="eastAsia"/>
          <w:b/>
          <w:szCs w:val="22"/>
        </w:rPr>
        <w:t>極無所住</w:t>
      </w:r>
      <w:r w:rsidRPr="00043A1E">
        <w:rPr>
          <w:rFonts w:ascii="標楷體" w:eastAsia="標楷體" w:hAnsi="標楷體" w:hint="eastAsia"/>
          <w:szCs w:val="22"/>
        </w:rPr>
        <w:t>。」二中初者許是靜命論師及蓮華戒等。其如幻及極無所住之名，印度論師亦有許者。</w:t>
      </w:r>
    </w:p>
  </w:footnote>
  <w:footnote w:id="830">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8E20BC">
        <w:rPr>
          <w:rFonts w:hint="eastAsia"/>
          <w:szCs w:val="22"/>
        </w:rPr>
        <w:t>後秦</w:t>
      </w:r>
      <w:r w:rsidRPr="00043A1E">
        <w:rPr>
          <w:rFonts w:hint="eastAsia"/>
          <w:szCs w:val="22"/>
        </w:rPr>
        <w:t>〕僧肇作</w:t>
      </w:r>
      <w:r w:rsidR="00CC5CAB" w:rsidRPr="00043A1E">
        <w:rPr>
          <w:rFonts w:hint="eastAsia"/>
          <w:szCs w:val="22"/>
        </w:rPr>
        <w:t>，《</w:t>
      </w:r>
      <w:r w:rsidR="00CC5CAB" w:rsidRPr="00043A1E">
        <w:rPr>
          <w:szCs w:val="22"/>
        </w:rPr>
        <w:t>肇論</w:t>
      </w:r>
      <w:r w:rsidR="00CC5CAB" w:rsidRPr="00CC5CAB">
        <w:rPr>
          <w:szCs w:val="22"/>
        </w:rPr>
        <w:t>》</w:t>
      </w:r>
      <w:r w:rsidR="00426C3B">
        <w:rPr>
          <w:rFonts w:hint="eastAsia"/>
          <w:szCs w:val="22"/>
        </w:rPr>
        <w:t>〈</w:t>
      </w:r>
      <w:r w:rsidR="00426C3B" w:rsidRPr="00043A1E">
        <w:rPr>
          <w:rFonts w:hint="eastAsia"/>
          <w:szCs w:val="22"/>
        </w:rPr>
        <w:t>不真空論</w:t>
      </w:r>
      <w:r w:rsidR="00426C3B">
        <w:rPr>
          <w:rFonts w:hint="eastAsia"/>
          <w:szCs w:val="22"/>
        </w:rPr>
        <w:t>〉</w:t>
      </w:r>
      <w:r w:rsidRPr="00043A1E">
        <w:rPr>
          <w:rFonts w:hint="eastAsia"/>
          <w:szCs w:val="22"/>
        </w:rPr>
        <w:t>（大正</w:t>
      </w:r>
      <w:r w:rsidRPr="00761EF3">
        <w:rPr>
          <w:rFonts w:hint="eastAsia"/>
          <w:szCs w:val="22"/>
        </w:rPr>
        <w:t>45</w:t>
      </w:r>
      <w:r w:rsidRPr="00043A1E">
        <w:rPr>
          <w:rFonts w:hint="eastAsia"/>
          <w:szCs w:val="22"/>
        </w:rPr>
        <w:t>，</w:t>
      </w:r>
      <w:r w:rsidRPr="00761EF3">
        <w:rPr>
          <w:rFonts w:hint="eastAsia"/>
          <w:szCs w:val="22"/>
        </w:rPr>
        <w:t>152c15</w:t>
      </w:r>
      <w:r w:rsidRPr="00043A1E">
        <w:rPr>
          <w:rFonts w:hint="eastAsia"/>
          <w:szCs w:val="22"/>
        </w:rPr>
        <w:t>-</w:t>
      </w:r>
      <w:r w:rsidRPr="00761EF3">
        <w:rPr>
          <w:rFonts w:hint="eastAsia"/>
          <w:szCs w:val="22"/>
        </w:rPr>
        <w:t>c23</w:t>
      </w:r>
      <w:r w:rsidRPr="00043A1E">
        <w:rPr>
          <w:rFonts w:hint="eastAsia"/>
          <w:szCs w:val="22"/>
        </w:rPr>
        <w:t>）：</w:t>
      </w:r>
    </w:p>
    <w:p w:rsidR="00157EF6" w:rsidRPr="00115CAD" w:rsidRDefault="00157EF6" w:rsidP="00115CAD">
      <w:pPr>
        <w:pStyle w:val="a5"/>
        <w:ind w:leftChars="335" w:left="804"/>
        <w:jc w:val="both"/>
        <w:rPr>
          <w:rFonts w:eastAsia="標楷體"/>
          <w:szCs w:val="22"/>
          <w:shd w:val="pct15" w:color="auto" w:fill="FFFFFF"/>
        </w:rPr>
      </w:pPr>
      <w:r w:rsidRPr="00043A1E">
        <w:rPr>
          <w:rFonts w:ascii="標楷體" w:eastAsia="標楷體" w:hAnsi="標楷體" w:hint="eastAsia"/>
          <w:szCs w:val="22"/>
        </w:rPr>
        <w:t>然則萬法果有其所以不有，不可得而有；有其所以不無，不可得而無。何則？</w:t>
      </w:r>
      <w:r w:rsidRPr="00043A1E">
        <w:rPr>
          <w:rFonts w:ascii="標楷體" w:eastAsia="標楷體" w:hAnsi="標楷體" w:hint="eastAsia"/>
          <w:b/>
          <w:szCs w:val="22"/>
        </w:rPr>
        <w:t>欲言其有，有非真生；欲言其無，事象既形</w:t>
      </w:r>
      <w:r w:rsidR="00544A0A">
        <w:rPr>
          <w:rFonts w:ascii="標楷體" w:eastAsia="標楷體" w:hAnsi="標楷體" w:hint="eastAsia"/>
          <w:b/>
          <w:color w:val="FF0000"/>
          <w:szCs w:val="22"/>
          <w:highlight w:val="yellow"/>
        </w:rPr>
        <w:t>；</w:t>
      </w:r>
      <w:r w:rsidRPr="00043A1E">
        <w:rPr>
          <w:rFonts w:ascii="標楷體" w:eastAsia="標楷體" w:hAnsi="標楷體" w:hint="eastAsia"/>
          <w:b/>
          <w:szCs w:val="22"/>
        </w:rPr>
        <w:t>象形不即無，非真非實有，然則</w:t>
      </w:r>
      <w:r w:rsidR="00115CAD">
        <w:rPr>
          <w:rFonts w:ascii="標楷體" w:eastAsia="標楷體" w:hAnsi="標楷體" w:hint="eastAsia"/>
          <w:bCs/>
          <w:color w:val="FF0000"/>
          <w:kern w:val="0"/>
          <w:highlight w:val="yellow"/>
        </w:rPr>
        <w:t>「</w:t>
      </w:r>
      <w:r w:rsidRPr="00043A1E">
        <w:rPr>
          <w:rFonts w:ascii="標楷體" w:eastAsia="標楷體" w:hAnsi="標楷體" w:hint="eastAsia"/>
          <w:b/>
          <w:szCs w:val="22"/>
        </w:rPr>
        <w:t>不真空</w:t>
      </w:r>
      <w:r w:rsidR="00115CAD">
        <w:rPr>
          <w:rFonts w:ascii="標楷體" w:eastAsia="標楷體" w:hAnsi="標楷體" w:hint="eastAsia"/>
          <w:bCs/>
          <w:color w:val="FF0000"/>
          <w:kern w:val="0"/>
          <w:highlight w:val="yellow"/>
        </w:rPr>
        <w:t>」</w:t>
      </w:r>
      <w:r w:rsidRPr="00043A1E">
        <w:rPr>
          <w:rFonts w:ascii="標楷體" w:eastAsia="標楷體" w:hAnsi="標楷體" w:hint="eastAsia"/>
          <w:b/>
          <w:szCs w:val="22"/>
        </w:rPr>
        <w:t>義顯於茲矣！故</w:t>
      </w:r>
      <w:r w:rsidRPr="00043A1E">
        <w:rPr>
          <w:rFonts w:ascii="標楷體" w:eastAsia="標楷體" w:hAnsi="標楷體"/>
          <w:b/>
          <w:szCs w:val="22"/>
        </w:rPr>
        <w:t>《</w:t>
      </w:r>
      <w:r w:rsidRPr="00043A1E">
        <w:rPr>
          <w:rFonts w:ascii="標楷體" w:eastAsia="標楷體" w:hAnsi="標楷體" w:hint="eastAsia"/>
          <w:b/>
          <w:szCs w:val="22"/>
        </w:rPr>
        <w:t>放光》云：「諸法假號不真，譬如幻化人，非無幻化人，幻化人非真人也。」</w:t>
      </w:r>
      <w:r w:rsidR="00115CAD" w:rsidRPr="00426C3B">
        <w:rPr>
          <w:rFonts w:eastAsia="標楷體" w:hint="eastAsia"/>
          <w:color w:val="FF0000"/>
          <w:szCs w:val="22"/>
          <w:shd w:val="pct15" w:color="auto" w:fill="FFFFFF"/>
        </w:rPr>
        <w:t>*</w:t>
      </w:r>
      <w:r w:rsidRPr="00043A1E">
        <w:rPr>
          <w:rFonts w:ascii="標楷體" w:eastAsia="標楷體" w:hAnsi="標楷體" w:hint="eastAsia"/>
          <w:szCs w:val="22"/>
        </w:rPr>
        <w:t>夫以</w:t>
      </w:r>
      <w:r w:rsidR="00115CAD">
        <w:rPr>
          <w:rFonts w:ascii="標楷體" w:eastAsia="標楷體" w:hAnsi="標楷體" w:hint="eastAsia"/>
          <w:bCs/>
          <w:color w:val="FF0000"/>
          <w:kern w:val="0"/>
          <w:highlight w:val="yellow"/>
        </w:rPr>
        <w:t>「</w:t>
      </w:r>
      <w:r w:rsidRPr="00043A1E">
        <w:rPr>
          <w:rFonts w:ascii="標楷體" w:eastAsia="標楷體" w:hAnsi="標楷體" w:hint="eastAsia"/>
          <w:szCs w:val="22"/>
        </w:rPr>
        <w:t>名</w:t>
      </w:r>
      <w:r w:rsidR="00115CAD">
        <w:rPr>
          <w:rFonts w:ascii="標楷體" w:eastAsia="標楷體" w:hAnsi="標楷體" w:hint="eastAsia"/>
          <w:bCs/>
          <w:color w:val="FF0000"/>
          <w:kern w:val="0"/>
          <w:highlight w:val="yellow"/>
        </w:rPr>
        <w:t>」</w:t>
      </w:r>
      <w:r w:rsidRPr="00043A1E">
        <w:rPr>
          <w:rFonts w:ascii="標楷體" w:eastAsia="標楷體" w:hAnsi="標楷體" w:hint="eastAsia"/>
          <w:szCs w:val="22"/>
        </w:rPr>
        <w:t>求</w:t>
      </w:r>
      <w:r w:rsidR="00115CAD">
        <w:rPr>
          <w:rFonts w:ascii="標楷體" w:eastAsia="標楷體" w:hAnsi="標楷體" w:hint="eastAsia"/>
          <w:bCs/>
          <w:color w:val="FF0000"/>
          <w:kern w:val="0"/>
          <w:highlight w:val="yellow"/>
        </w:rPr>
        <w:t>「</w:t>
      </w:r>
      <w:r w:rsidRPr="00043A1E">
        <w:rPr>
          <w:rFonts w:ascii="標楷體" w:eastAsia="標楷體" w:hAnsi="標楷體" w:hint="eastAsia"/>
          <w:szCs w:val="22"/>
        </w:rPr>
        <w:t>物</w:t>
      </w:r>
      <w:r w:rsidR="00115CAD">
        <w:rPr>
          <w:rFonts w:ascii="標楷體" w:eastAsia="標楷體" w:hAnsi="標楷體" w:hint="eastAsia"/>
          <w:bCs/>
          <w:color w:val="FF0000"/>
          <w:kern w:val="0"/>
          <w:highlight w:val="yellow"/>
        </w:rPr>
        <w:t>」</w:t>
      </w:r>
      <w:r w:rsidRPr="00043A1E">
        <w:rPr>
          <w:rFonts w:ascii="標楷體" w:eastAsia="標楷體" w:hAnsi="標楷體" w:hint="eastAsia"/>
          <w:szCs w:val="22"/>
        </w:rPr>
        <w:t>，</w:t>
      </w:r>
      <w:r w:rsidR="00115CAD">
        <w:rPr>
          <w:rFonts w:ascii="標楷體" w:eastAsia="標楷體" w:hAnsi="標楷體" w:hint="eastAsia"/>
          <w:bCs/>
          <w:color w:val="FF0000"/>
          <w:kern w:val="0"/>
          <w:highlight w:val="yellow"/>
        </w:rPr>
        <w:t>「</w:t>
      </w:r>
      <w:r w:rsidR="00115CAD" w:rsidRPr="00043A1E">
        <w:rPr>
          <w:rFonts w:ascii="標楷體" w:eastAsia="標楷體" w:hAnsi="標楷體" w:hint="eastAsia"/>
          <w:szCs w:val="22"/>
        </w:rPr>
        <w:t>物</w:t>
      </w:r>
      <w:r w:rsidR="00115CAD">
        <w:rPr>
          <w:rFonts w:ascii="標楷體" w:eastAsia="標楷體" w:hAnsi="標楷體" w:hint="eastAsia"/>
          <w:bCs/>
          <w:color w:val="FF0000"/>
          <w:kern w:val="0"/>
          <w:highlight w:val="yellow"/>
        </w:rPr>
        <w:t>」</w:t>
      </w:r>
      <w:r w:rsidRPr="00043A1E">
        <w:rPr>
          <w:rFonts w:ascii="標楷體" w:eastAsia="標楷體" w:hAnsi="標楷體" w:hint="eastAsia"/>
          <w:szCs w:val="22"/>
        </w:rPr>
        <w:t>無當</w:t>
      </w:r>
      <w:r w:rsidR="00115CAD">
        <w:rPr>
          <w:rFonts w:ascii="標楷體" w:eastAsia="標楷體" w:hAnsi="標楷體" w:hint="eastAsia"/>
          <w:bCs/>
          <w:color w:val="FF0000"/>
          <w:kern w:val="0"/>
          <w:highlight w:val="yellow"/>
        </w:rPr>
        <w:t>「</w:t>
      </w:r>
      <w:r w:rsidR="00115CAD" w:rsidRPr="00043A1E">
        <w:rPr>
          <w:rFonts w:ascii="標楷體" w:eastAsia="標楷體" w:hAnsi="標楷體" w:hint="eastAsia"/>
          <w:szCs w:val="22"/>
        </w:rPr>
        <w:t>名</w:t>
      </w:r>
      <w:r w:rsidR="00115CAD">
        <w:rPr>
          <w:rFonts w:ascii="標楷體" w:eastAsia="標楷體" w:hAnsi="標楷體" w:hint="eastAsia"/>
          <w:bCs/>
          <w:color w:val="FF0000"/>
          <w:kern w:val="0"/>
          <w:highlight w:val="yellow"/>
        </w:rPr>
        <w:t>」</w:t>
      </w:r>
      <w:r w:rsidRPr="00043A1E">
        <w:rPr>
          <w:rFonts w:ascii="標楷體" w:eastAsia="標楷體" w:hAnsi="標楷體" w:hint="eastAsia"/>
          <w:szCs w:val="22"/>
        </w:rPr>
        <w:t>之實；以</w:t>
      </w:r>
      <w:r w:rsidR="00115CAD">
        <w:rPr>
          <w:rFonts w:ascii="標楷體" w:eastAsia="標楷體" w:hAnsi="標楷體" w:hint="eastAsia"/>
          <w:bCs/>
          <w:color w:val="FF0000"/>
          <w:kern w:val="0"/>
          <w:highlight w:val="yellow"/>
        </w:rPr>
        <w:t>「</w:t>
      </w:r>
      <w:r w:rsidR="00115CAD" w:rsidRPr="00043A1E">
        <w:rPr>
          <w:rFonts w:ascii="標楷體" w:eastAsia="標楷體" w:hAnsi="標楷體" w:hint="eastAsia"/>
          <w:szCs w:val="22"/>
        </w:rPr>
        <w:t>物</w:t>
      </w:r>
      <w:r w:rsidR="00115CAD">
        <w:rPr>
          <w:rFonts w:ascii="標楷體" w:eastAsia="標楷體" w:hAnsi="標楷體" w:hint="eastAsia"/>
          <w:bCs/>
          <w:color w:val="FF0000"/>
          <w:kern w:val="0"/>
          <w:highlight w:val="yellow"/>
        </w:rPr>
        <w:t>」</w:t>
      </w:r>
      <w:r w:rsidRPr="00043A1E">
        <w:rPr>
          <w:rFonts w:ascii="標楷體" w:eastAsia="標楷體" w:hAnsi="標楷體" w:hint="eastAsia"/>
          <w:szCs w:val="22"/>
        </w:rPr>
        <w:t>求</w:t>
      </w:r>
      <w:r w:rsidR="00115CAD">
        <w:rPr>
          <w:rFonts w:ascii="標楷體" w:eastAsia="標楷體" w:hAnsi="標楷體" w:hint="eastAsia"/>
          <w:bCs/>
          <w:color w:val="FF0000"/>
          <w:kern w:val="0"/>
          <w:highlight w:val="yellow"/>
        </w:rPr>
        <w:t>「</w:t>
      </w:r>
      <w:r w:rsidR="00115CAD" w:rsidRPr="00043A1E">
        <w:rPr>
          <w:rFonts w:ascii="標楷體" w:eastAsia="標楷體" w:hAnsi="標楷體" w:hint="eastAsia"/>
          <w:szCs w:val="22"/>
        </w:rPr>
        <w:t>名</w:t>
      </w:r>
      <w:r w:rsidR="00115CAD">
        <w:rPr>
          <w:rFonts w:ascii="標楷體" w:eastAsia="標楷體" w:hAnsi="標楷體" w:hint="eastAsia"/>
          <w:bCs/>
          <w:color w:val="FF0000"/>
          <w:kern w:val="0"/>
          <w:highlight w:val="yellow"/>
        </w:rPr>
        <w:t>」</w:t>
      </w:r>
      <w:r w:rsidRPr="00043A1E">
        <w:rPr>
          <w:rFonts w:ascii="標楷體" w:eastAsia="標楷體" w:hAnsi="標楷體" w:hint="eastAsia"/>
          <w:szCs w:val="22"/>
        </w:rPr>
        <w:t>，</w:t>
      </w:r>
      <w:r w:rsidR="00115CAD">
        <w:rPr>
          <w:rFonts w:ascii="標楷體" w:eastAsia="標楷體" w:hAnsi="標楷體" w:hint="eastAsia"/>
          <w:bCs/>
          <w:color w:val="FF0000"/>
          <w:kern w:val="0"/>
          <w:highlight w:val="yellow"/>
        </w:rPr>
        <w:t>「</w:t>
      </w:r>
      <w:r w:rsidR="00115CAD" w:rsidRPr="00043A1E">
        <w:rPr>
          <w:rFonts w:ascii="標楷體" w:eastAsia="標楷體" w:hAnsi="標楷體" w:hint="eastAsia"/>
          <w:szCs w:val="22"/>
        </w:rPr>
        <w:t>名</w:t>
      </w:r>
      <w:r w:rsidR="00115CAD">
        <w:rPr>
          <w:rFonts w:ascii="標楷體" w:eastAsia="標楷體" w:hAnsi="標楷體" w:hint="eastAsia"/>
          <w:bCs/>
          <w:color w:val="FF0000"/>
          <w:kern w:val="0"/>
          <w:highlight w:val="yellow"/>
        </w:rPr>
        <w:t>」</w:t>
      </w:r>
      <w:r w:rsidRPr="00043A1E">
        <w:rPr>
          <w:rFonts w:ascii="標楷體" w:eastAsia="標楷體" w:hAnsi="標楷體" w:hint="eastAsia"/>
          <w:szCs w:val="22"/>
        </w:rPr>
        <w:t>無得</w:t>
      </w:r>
      <w:r w:rsidR="00115CAD">
        <w:rPr>
          <w:rFonts w:ascii="標楷體" w:eastAsia="標楷體" w:hAnsi="標楷體" w:hint="eastAsia"/>
          <w:bCs/>
          <w:color w:val="FF0000"/>
          <w:kern w:val="0"/>
          <w:highlight w:val="yellow"/>
        </w:rPr>
        <w:t>「</w:t>
      </w:r>
      <w:r w:rsidR="00115CAD" w:rsidRPr="00043A1E">
        <w:rPr>
          <w:rFonts w:ascii="標楷體" w:eastAsia="標楷體" w:hAnsi="標楷體" w:hint="eastAsia"/>
          <w:szCs w:val="22"/>
        </w:rPr>
        <w:t>物</w:t>
      </w:r>
      <w:r w:rsidR="00115CAD">
        <w:rPr>
          <w:rFonts w:ascii="標楷體" w:eastAsia="標楷體" w:hAnsi="標楷體" w:hint="eastAsia"/>
          <w:bCs/>
          <w:color w:val="FF0000"/>
          <w:kern w:val="0"/>
          <w:highlight w:val="yellow"/>
        </w:rPr>
        <w:t>」</w:t>
      </w:r>
      <w:r w:rsidRPr="00043A1E">
        <w:rPr>
          <w:rFonts w:ascii="標楷體" w:eastAsia="標楷體" w:hAnsi="標楷體" w:hint="eastAsia"/>
          <w:szCs w:val="22"/>
        </w:rPr>
        <w:t>之功。</w:t>
      </w:r>
      <w:r w:rsidR="00115CAD">
        <w:rPr>
          <w:rFonts w:ascii="標楷體" w:eastAsia="標楷體" w:hAnsi="標楷體" w:hint="eastAsia"/>
          <w:bCs/>
          <w:color w:val="FF0000"/>
          <w:kern w:val="0"/>
          <w:highlight w:val="yellow"/>
        </w:rPr>
        <w:t>「</w:t>
      </w:r>
      <w:r w:rsidR="00115CAD" w:rsidRPr="00043A1E">
        <w:rPr>
          <w:rFonts w:ascii="標楷體" w:eastAsia="標楷體" w:hAnsi="標楷體" w:hint="eastAsia"/>
          <w:szCs w:val="22"/>
        </w:rPr>
        <w:t>物</w:t>
      </w:r>
      <w:r w:rsidR="00115CAD">
        <w:rPr>
          <w:rFonts w:ascii="標楷體" w:eastAsia="標楷體" w:hAnsi="標楷體" w:hint="eastAsia"/>
          <w:bCs/>
          <w:color w:val="FF0000"/>
          <w:kern w:val="0"/>
          <w:highlight w:val="yellow"/>
        </w:rPr>
        <w:t>」</w:t>
      </w:r>
      <w:r w:rsidRPr="00043A1E">
        <w:rPr>
          <w:rFonts w:ascii="標楷體" w:eastAsia="標楷體" w:hAnsi="標楷體" w:hint="eastAsia"/>
          <w:szCs w:val="22"/>
        </w:rPr>
        <w:t>無當</w:t>
      </w:r>
      <w:r w:rsidR="00115CAD">
        <w:rPr>
          <w:rFonts w:ascii="標楷體" w:eastAsia="標楷體" w:hAnsi="標楷體" w:hint="eastAsia"/>
          <w:bCs/>
          <w:color w:val="FF0000"/>
          <w:kern w:val="0"/>
          <w:highlight w:val="yellow"/>
        </w:rPr>
        <w:t>「</w:t>
      </w:r>
      <w:r w:rsidR="00115CAD" w:rsidRPr="00043A1E">
        <w:rPr>
          <w:rFonts w:ascii="標楷體" w:eastAsia="標楷體" w:hAnsi="標楷體" w:hint="eastAsia"/>
          <w:szCs w:val="22"/>
        </w:rPr>
        <w:t>名</w:t>
      </w:r>
      <w:r w:rsidR="00115CAD">
        <w:rPr>
          <w:rFonts w:ascii="標楷體" w:eastAsia="標楷體" w:hAnsi="標楷體" w:hint="eastAsia"/>
          <w:bCs/>
          <w:color w:val="FF0000"/>
          <w:kern w:val="0"/>
          <w:highlight w:val="yellow"/>
        </w:rPr>
        <w:t>」</w:t>
      </w:r>
      <w:r w:rsidRPr="00043A1E">
        <w:rPr>
          <w:rFonts w:ascii="標楷體" w:eastAsia="標楷體" w:hAnsi="標楷體" w:hint="eastAsia"/>
          <w:szCs w:val="22"/>
        </w:rPr>
        <w:t>之實，非</w:t>
      </w:r>
      <w:r w:rsidR="00115CAD">
        <w:rPr>
          <w:rFonts w:ascii="標楷體" w:eastAsia="標楷體" w:hAnsi="標楷體" w:hint="eastAsia"/>
          <w:bCs/>
          <w:color w:val="FF0000"/>
          <w:kern w:val="0"/>
          <w:highlight w:val="yellow"/>
        </w:rPr>
        <w:t>「</w:t>
      </w:r>
      <w:r w:rsidR="00115CAD" w:rsidRPr="00043A1E">
        <w:rPr>
          <w:rFonts w:ascii="標楷體" w:eastAsia="標楷體" w:hAnsi="標楷體" w:hint="eastAsia"/>
          <w:szCs w:val="22"/>
        </w:rPr>
        <w:t>物</w:t>
      </w:r>
      <w:r w:rsidR="00115CAD">
        <w:rPr>
          <w:rFonts w:ascii="標楷體" w:eastAsia="標楷體" w:hAnsi="標楷體" w:hint="eastAsia"/>
          <w:bCs/>
          <w:color w:val="FF0000"/>
          <w:kern w:val="0"/>
          <w:highlight w:val="yellow"/>
        </w:rPr>
        <w:t>」</w:t>
      </w:r>
      <w:r w:rsidRPr="00043A1E">
        <w:rPr>
          <w:rFonts w:ascii="標楷體" w:eastAsia="標楷體" w:hAnsi="標楷體" w:hint="eastAsia"/>
          <w:szCs w:val="22"/>
        </w:rPr>
        <w:t>也；</w:t>
      </w:r>
      <w:r w:rsidR="00115CAD">
        <w:rPr>
          <w:rFonts w:ascii="標楷體" w:eastAsia="標楷體" w:hAnsi="標楷體" w:hint="eastAsia"/>
          <w:bCs/>
          <w:color w:val="FF0000"/>
          <w:kern w:val="0"/>
          <w:highlight w:val="yellow"/>
        </w:rPr>
        <w:t>「</w:t>
      </w:r>
      <w:r w:rsidR="00115CAD" w:rsidRPr="00043A1E">
        <w:rPr>
          <w:rFonts w:ascii="標楷體" w:eastAsia="標楷體" w:hAnsi="標楷體" w:hint="eastAsia"/>
          <w:szCs w:val="22"/>
        </w:rPr>
        <w:t>名</w:t>
      </w:r>
      <w:r w:rsidR="00115CAD">
        <w:rPr>
          <w:rFonts w:ascii="標楷體" w:eastAsia="標楷體" w:hAnsi="標楷體" w:hint="eastAsia"/>
          <w:bCs/>
          <w:color w:val="FF0000"/>
          <w:kern w:val="0"/>
          <w:highlight w:val="yellow"/>
        </w:rPr>
        <w:t>」</w:t>
      </w:r>
      <w:r w:rsidRPr="00043A1E">
        <w:rPr>
          <w:rFonts w:ascii="標楷體" w:eastAsia="標楷體" w:hAnsi="標楷體" w:hint="eastAsia"/>
          <w:szCs w:val="22"/>
        </w:rPr>
        <w:t>無得</w:t>
      </w:r>
      <w:r w:rsidR="00115CAD">
        <w:rPr>
          <w:rFonts w:ascii="標楷體" w:eastAsia="標楷體" w:hAnsi="標楷體" w:hint="eastAsia"/>
          <w:bCs/>
          <w:color w:val="FF0000"/>
          <w:kern w:val="0"/>
          <w:highlight w:val="yellow"/>
        </w:rPr>
        <w:t>「</w:t>
      </w:r>
      <w:r w:rsidR="00115CAD" w:rsidRPr="00043A1E">
        <w:rPr>
          <w:rFonts w:ascii="標楷體" w:eastAsia="標楷體" w:hAnsi="標楷體" w:hint="eastAsia"/>
          <w:szCs w:val="22"/>
        </w:rPr>
        <w:t>物</w:t>
      </w:r>
      <w:r w:rsidR="00115CAD">
        <w:rPr>
          <w:rFonts w:ascii="標楷體" w:eastAsia="標楷體" w:hAnsi="標楷體" w:hint="eastAsia"/>
          <w:bCs/>
          <w:color w:val="FF0000"/>
          <w:kern w:val="0"/>
          <w:highlight w:val="yellow"/>
        </w:rPr>
        <w:t>」</w:t>
      </w:r>
      <w:r w:rsidRPr="00043A1E">
        <w:rPr>
          <w:rFonts w:ascii="標楷體" w:eastAsia="標楷體" w:hAnsi="標楷體" w:hint="eastAsia"/>
          <w:szCs w:val="22"/>
        </w:rPr>
        <w:t>之功，非</w:t>
      </w:r>
      <w:r w:rsidR="00115CAD">
        <w:rPr>
          <w:rFonts w:ascii="標楷體" w:eastAsia="標楷體" w:hAnsi="標楷體" w:hint="eastAsia"/>
          <w:bCs/>
          <w:color w:val="FF0000"/>
          <w:kern w:val="0"/>
          <w:highlight w:val="yellow"/>
        </w:rPr>
        <w:t>「</w:t>
      </w:r>
      <w:r w:rsidR="00115CAD" w:rsidRPr="00043A1E">
        <w:rPr>
          <w:rFonts w:ascii="標楷體" w:eastAsia="標楷體" w:hAnsi="標楷體" w:hint="eastAsia"/>
          <w:szCs w:val="22"/>
        </w:rPr>
        <w:t>名</w:t>
      </w:r>
      <w:r w:rsidR="00115CAD">
        <w:rPr>
          <w:rFonts w:ascii="標楷體" w:eastAsia="標楷體" w:hAnsi="標楷體" w:hint="eastAsia"/>
          <w:bCs/>
          <w:color w:val="FF0000"/>
          <w:kern w:val="0"/>
          <w:highlight w:val="yellow"/>
        </w:rPr>
        <w:t>」</w:t>
      </w:r>
      <w:r w:rsidRPr="00043A1E">
        <w:rPr>
          <w:rFonts w:ascii="標楷體" w:eastAsia="標楷體" w:hAnsi="標楷體" w:hint="eastAsia"/>
          <w:szCs w:val="22"/>
        </w:rPr>
        <w:t>也。是以</w:t>
      </w:r>
      <w:r w:rsidR="00115CAD">
        <w:rPr>
          <w:rFonts w:ascii="標楷體" w:eastAsia="標楷體" w:hAnsi="標楷體" w:hint="eastAsia"/>
          <w:bCs/>
          <w:color w:val="FF0000"/>
          <w:kern w:val="0"/>
          <w:highlight w:val="yellow"/>
        </w:rPr>
        <w:t>「</w:t>
      </w:r>
      <w:r w:rsidR="00115CAD" w:rsidRPr="00043A1E">
        <w:rPr>
          <w:rFonts w:ascii="標楷體" w:eastAsia="標楷體" w:hAnsi="標楷體" w:hint="eastAsia"/>
          <w:szCs w:val="22"/>
        </w:rPr>
        <w:t>名</w:t>
      </w:r>
      <w:r w:rsidR="00115CAD">
        <w:rPr>
          <w:rFonts w:ascii="標楷體" w:eastAsia="標楷體" w:hAnsi="標楷體" w:hint="eastAsia"/>
          <w:bCs/>
          <w:color w:val="FF0000"/>
          <w:kern w:val="0"/>
          <w:highlight w:val="yellow"/>
        </w:rPr>
        <w:t>」</w:t>
      </w:r>
      <w:r w:rsidRPr="00043A1E">
        <w:rPr>
          <w:rFonts w:ascii="標楷體" w:eastAsia="標楷體" w:hAnsi="標楷體" w:hint="eastAsia"/>
          <w:szCs w:val="22"/>
        </w:rPr>
        <w:t>不當</w:t>
      </w:r>
      <w:r w:rsidR="00115CAD">
        <w:rPr>
          <w:rFonts w:ascii="標楷體" w:eastAsia="標楷體" w:hAnsi="標楷體" w:hint="eastAsia"/>
          <w:bCs/>
          <w:color w:val="FF0000"/>
          <w:kern w:val="0"/>
          <w:highlight w:val="yellow"/>
        </w:rPr>
        <w:t>「</w:t>
      </w:r>
      <w:r w:rsidRPr="00043A1E">
        <w:rPr>
          <w:rFonts w:ascii="標楷體" w:eastAsia="標楷體" w:hAnsi="標楷體" w:hint="eastAsia"/>
          <w:szCs w:val="22"/>
        </w:rPr>
        <w:t>實</w:t>
      </w:r>
      <w:r w:rsidR="00115CAD">
        <w:rPr>
          <w:rFonts w:ascii="標楷體" w:eastAsia="標楷體" w:hAnsi="標楷體" w:hint="eastAsia"/>
          <w:bCs/>
          <w:color w:val="FF0000"/>
          <w:kern w:val="0"/>
          <w:highlight w:val="yellow"/>
        </w:rPr>
        <w:t>」</w:t>
      </w:r>
      <w:r w:rsidR="00115CAD">
        <w:rPr>
          <w:rFonts w:ascii="標楷體" w:eastAsia="標楷體" w:hAnsi="標楷體" w:hint="eastAsia"/>
          <w:color w:val="FF0000"/>
          <w:spacing w:val="-4"/>
          <w:kern w:val="0"/>
          <w:highlight w:val="yellow"/>
        </w:rPr>
        <w:t>、</w:t>
      </w:r>
      <w:r w:rsidR="00115CAD">
        <w:rPr>
          <w:rFonts w:ascii="標楷體" w:eastAsia="標楷體" w:hAnsi="標楷體" w:hint="eastAsia"/>
          <w:bCs/>
          <w:color w:val="FF0000"/>
          <w:kern w:val="0"/>
          <w:highlight w:val="yellow"/>
        </w:rPr>
        <w:t>「</w:t>
      </w:r>
      <w:r w:rsidRPr="00043A1E">
        <w:rPr>
          <w:rFonts w:ascii="標楷體" w:eastAsia="標楷體" w:hAnsi="標楷體" w:hint="eastAsia"/>
          <w:szCs w:val="22"/>
        </w:rPr>
        <w:t>實</w:t>
      </w:r>
      <w:r w:rsidR="00115CAD">
        <w:rPr>
          <w:rFonts w:ascii="標楷體" w:eastAsia="標楷體" w:hAnsi="標楷體" w:hint="eastAsia"/>
          <w:bCs/>
          <w:color w:val="FF0000"/>
          <w:kern w:val="0"/>
          <w:highlight w:val="yellow"/>
        </w:rPr>
        <w:t>」</w:t>
      </w:r>
      <w:r w:rsidRPr="00043A1E">
        <w:rPr>
          <w:rFonts w:ascii="標楷體" w:eastAsia="標楷體" w:hAnsi="標楷體" w:hint="eastAsia"/>
          <w:szCs w:val="22"/>
        </w:rPr>
        <w:t>不當</w:t>
      </w:r>
      <w:r w:rsidR="00115CAD">
        <w:rPr>
          <w:rFonts w:ascii="標楷體" w:eastAsia="標楷體" w:hAnsi="標楷體" w:hint="eastAsia"/>
          <w:bCs/>
          <w:color w:val="FF0000"/>
          <w:kern w:val="0"/>
          <w:highlight w:val="yellow"/>
        </w:rPr>
        <w:t>「</w:t>
      </w:r>
      <w:r w:rsidR="00115CAD" w:rsidRPr="00043A1E">
        <w:rPr>
          <w:rFonts w:ascii="標楷體" w:eastAsia="標楷體" w:hAnsi="標楷體" w:hint="eastAsia"/>
          <w:szCs w:val="22"/>
        </w:rPr>
        <w:t>名</w:t>
      </w:r>
      <w:r w:rsidR="00115CAD">
        <w:rPr>
          <w:rFonts w:ascii="標楷體" w:eastAsia="標楷體" w:hAnsi="標楷體" w:hint="eastAsia"/>
          <w:bCs/>
          <w:color w:val="FF0000"/>
          <w:kern w:val="0"/>
          <w:highlight w:val="yellow"/>
        </w:rPr>
        <w:t>」</w:t>
      </w:r>
      <w:r w:rsidRPr="00043A1E">
        <w:rPr>
          <w:rFonts w:ascii="標楷體" w:eastAsia="標楷體" w:hAnsi="標楷體" w:hint="eastAsia"/>
          <w:szCs w:val="22"/>
        </w:rPr>
        <w:t>，</w:t>
      </w:r>
      <w:r w:rsidR="00115CAD">
        <w:rPr>
          <w:rFonts w:ascii="標楷體" w:eastAsia="標楷體" w:hAnsi="標楷體" w:hint="eastAsia"/>
          <w:bCs/>
          <w:color w:val="FF0000"/>
          <w:kern w:val="0"/>
          <w:highlight w:val="yellow"/>
        </w:rPr>
        <w:t>「</w:t>
      </w:r>
      <w:r w:rsidR="00115CAD" w:rsidRPr="00043A1E">
        <w:rPr>
          <w:rFonts w:ascii="標楷體" w:eastAsia="標楷體" w:hAnsi="標楷體" w:hint="eastAsia"/>
          <w:szCs w:val="22"/>
        </w:rPr>
        <w:t>名</w:t>
      </w:r>
      <w:r w:rsidR="00115CAD">
        <w:rPr>
          <w:rFonts w:ascii="標楷體" w:eastAsia="標楷體" w:hAnsi="標楷體" w:hint="eastAsia"/>
          <w:bCs/>
          <w:color w:val="FF0000"/>
          <w:kern w:val="0"/>
          <w:highlight w:val="yellow"/>
        </w:rPr>
        <w:t>」、「</w:t>
      </w:r>
      <w:r w:rsidRPr="00043A1E">
        <w:rPr>
          <w:rFonts w:ascii="標楷體" w:eastAsia="標楷體" w:hAnsi="標楷體" w:hint="eastAsia"/>
          <w:szCs w:val="22"/>
        </w:rPr>
        <w:t>實</w:t>
      </w:r>
      <w:r w:rsidR="00115CAD">
        <w:rPr>
          <w:rFonts w:ascii="標楷體" w:eastAsia="標楷體" w:hAnsi="標楷體" w:hint="eastAsia"/>
          <w:bCs/>
          <w:color w:val="FF0000"/>
          <w:kern w:val="0"/>
          <w:highlight w:val="yellow"/>
        </w:rPr>
        <w:t>」</w:t>
      </w:r>
      <w:r w:rsidRPr="00043A1E">
        <w:rPr>
          <w:rFonts w:ascii="標楷體" w:eastAsia="標楷體" w:hAnsi="標楷體" w:hint="eastAsia"/>
          <w:szCs w:val="22"/>
        </w:rPr>
        <w:t>無當。</w:t>
      </w:r>
    </w:p>
    <w:p w:rsidR="00115CAD" w:rsidRPr="00115CAD" w:rsidRDefault="00115CAD" w:rsidP="00115CAD">
      <w:pPr>
        <w:pStyle w:val="a5"/>
        <w:ind w:leftChars="335" w:left="1904" w:hangingChars="500" w:hanging="1100"/>
        <w:jc w:val="both"/>
        <w:rPr>
          <w:szCs w:val="22"/>
        </w:rPr>
      </w:pPr>
      <w:r w:rsidRPr="00115CAD">
        <w:rPr>
          <w:rFonts w:eastAsia="標楷體" w:hint="eastAsia"/>
          <w:color w:val="FF0000"/>
          <w:szCs w:val="22"/>
          <w:shd w:val="pct15" w:color="auto" w:fill="FFFFFF"/>
        </w:rPr>
        <w:t>*</w:t>
      </w:r>
      <w:r w:rsidRPr="00115CAD">
        <w:rPr>
          <w:rFonts w:hint="eastAsia"/>
          <w:color w:val="FF0000"/>
          <w:szCs w:val="22"/>
          <w:highlight w:val="yellow"/>
        </w:rPr>
        <w:t>重編案：其意或指《放光般若經》卷</w:t>
      </w:r>
      <w:r w:rsidRPr="00115CAD">
        <w:rPr>
          <w:rFonts w:hint="eastAsia"/>
          <w:color w:val="FF0000"/>
          <w:szCs w:val="22"/>
          <w:highlight w:val="yellow"/>
        </w:rPr>
        <w:t>20</w:t>
      </w:r>
      <w:r w:rsidRPr="00115CAD">
        <w:rPr>
          <w:rFonts w:hint="eastAsia"/>
          <w:color w:val="FF0000"/>
          <w:szCs w:val="22"/>
          <w:highlight w:val="yellow"/>
        </w:rPr>
        <w:t>〈</w:t>
      </w:r>
      <w:r w:rsidRPr="00115CAD">
        <w:rPr>
          <w:rFonts w:hint="eastAsia"/>
          <w:color w:val="FF0000"/>
          <w:szCs w:val="22"/>
          <w:highlight w:val="yellow"/>
        </w:rPr>
        <w:t xml:space="preserve">87 </w:t>
      </w:r>
      <w:r w:rsidRPr="00115CAD">
        <w:rPr>
          <w:rFonts w:hint="eastAsia"/>
          <w:color w:val="FF0000"/>
          <w:szCs w:val="22"/>
          <w:highlight w:val="yellow"/>
        </w:rPr>
        <w:t>諸法妙化品〉（大正</w:t>
      </w:r>
      <w:r w:rsidRPr="00115CAD">
        <w:rPr>
          <w:rFonts w:hint="eastAsia"/>
          <w:color w:val="FF0000"/>
          <w:szCs w:val="22"/>
          <w:highlight w:val="yellow"/>
        </w:rPr>
        <w:t>8</w:t>
      </w:r>
      <w:r w:rsidRPr="00115CAD">
        <w:rPr>
          <w:rFonts w:hint="eastAsia"/>
          <w:color w:val="FF0000"/>
          <w:szCs w:val="22"/>
          <w:highlight w:val="yellow"/>
        </w:rPr>
        <w:t>，</w:t>
      </w:r>
      <w:r w:rsidRPr="00115CAD">
        <w:rPr>
          <w:rFonts w:hint="eastAsia"/>
          <w:color w:val="FF0000"/>
          <w:szCs w:val="22"/>
          <w:highlight w:val="yellow"/>
        </w:rPr>
        <w:t>141a25-b15</w:t>
      </w:r>
      <w:r w:rsidRPr="00115CAD">
        <w:rPr>
          <w:rFonts w:hint="eastAsia"/>
          <w:color w:val="FF0000"/>
          <w:szCs w:val="22"/>
          <w:highlight w:val="yellow"/>
        </w:rPr>
        <w:t>）。</w:t>
      </w:r>
    </w:p>
    <w:p w:rsidR="00157EF6" w:rsidRPr="00043A1E" w:rsidRDefault="00157EF6" w:rsidP="00AA120F">
      <w:pPr>
        <w:pStyle w:val="a5"/>
        <w:ind w:leftChars="105" w:left="791" w:hangingChars="245" w:hanging="539"/>
        <w:jc w:val="both"/>
        <w:rPr>
          <w:szCs w:val="22"/>
        </w:rPr>
      </w:pPr>
      <w:r w:rsidRPr="00043A1E">
        <w:rPr>
          <w:szCs w:val="22"/>
        </w:rPr>
        <w:t>（</w:t>
      </w:r>
      <w:r w:rsidRPr="00761EF3">
        <w:rPr>
          <w:szCs w:val="22"/>
        </w:rPr>
        <w:t>2</w:t>
      </w:r>
      <w:r w:rsidRPr="00043A1E">
        <w:rPr>
          <w:szCs w:val="22"/>
        </w:rPr>
        <w:t>）</w:t>
      </w:r>
      <w:r w:rsidRPr="00043A1E">
        <w:rPr>
          <w:rFonts w:hint="eastAsia"/>
          <w:szCs w:val="22"/>
        </w:rPr>
        <w:t>〔唐〕元康撰，《肇論疏》（大正</w:t>
      </w:r>
      <w:r w:rsidRPr="00761EF3">
        <w:rPr>
          <w:rFonts w:hint="eastAsia"/>
          <w:szCs w:val="22"/>
        </w:rPr>
        <w:t>45</w:t>
      </w:r>
      <w:r w:rsidRPr="00043A1E">
        <w:rPr>
          <w:rFonts w:hint="eastAsia"/>
          <w:szCs w:val="22"/>
        </w:rPr>
        <w:t>，</w:t>
      </w:r>
      <w:r w:rsidRPr="00761EF3">
        <w:rPr>
          <w:rFonts w:hint="eastAsia"/>
          <w:szCs w:val="22"/>
        </w:rPr>
        <w:t>173c14</w:t>
      </w:r>
      <w:r w:rsidRPr="00043A1E">
        <w:rPr>
          <w:rFonts w:hint="eastAsia"/>
          <w:szCs w:val="22"/>
        </w:rPr>
        <w:t>-</w:t>
      </w:r>
      <w:r w:rsidRPr="00761EF3">
        <w:rPr>
          <w:rFonts w:hint="eastAsia"/>
          <w:szCs w:val="22"/>
        </w:rPr>
        <w:t>28</w:t>
      </w:r>
      <w:r w:rsidRPr="00043A1E">
        <w:rPr>
          <w:rFonts w:hint="eastAsia"/>
          <w:szCs w:val="22"/>
        </w:rPr>
        <w:t>）：</w:t>
      </w:r>
    </w:p>
    <w:p w:rsidR="00C12C9C"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b/>
          <w:szCs w:val="22"/>
        </w:rPr>
        <w:t>「何則？欲言其有」</w:t>
      </w:r>
      <w:r w:rsidRPr="00043A1E">
        <w:rPr>
          <w:rFonts w:ascii="標楷體" w:eastAsia="標楷體" w:hAnsi="標楷體" w:hint="eastAsia"/>
          <w:szCs w:val="22"/>
        </w:rPr>
        <w:t>下，第二</w:t>
      </w:r>
      <w:r w:rsidR="00C12C9C">
        <w:rPr>
          <w:rFonts w:ascii="標楷體" w:eastAsia="標楷體" w:hAnsi="標楷體" w:hint="eastAsia"/>
          <w:color w:val="FF0000"/>
          <w:spacing w:val="-4"/>
          <w:kern w:val="0"/>
          <w:highlight w:val="yellow"/>
        </w:rPr>
        <w:t>、</w:t>
      </w:r>
      <w:r w:rsidRPr="00043A1E">
        <w:rPr>
          <w:rFonts w:ascii="標楷體" w:eastAsia="標楷體" w:hAnsi="標楷體" w:hint="eastAsia"/>
          <w:szCs w:val="22"/>
        </w:rPr>
        <w:t>覆疏解釋也。</w:t>
      </w:r>
    </w:p>
    <w:p w:rsidR="00C12C9C"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w:t>
      </w:r>
      <w:r w:rsidRPr="00043A1E">
        <w:rPr>
          <w:rFonts w:ascii="標楷體" w:eastAsia="標楷體" w:hAnsi="標楷體" w:hint="eastAsia"/>
          <w:b/>
          <w:szCs w:val="22"/>
        </w:rPr>
        <w:t>有非真生」</w:t>
      </w:r>
      <w:r w:rsidRPr="00043A1E">
        <w:rPr>
          <w:rFonts w:ascii="標楷體" w:eastAsia="標楷體" w:hAnsi="標楷體" w:hint="eastAsia"/>
          <w:szCs w:val="22"/>
        </w:rPr>
        <w:t>者</w:t>
      </w:r>
      <w:r w:rsidR="00C12C9C">
        <w:rPr>
          <w:rFonts w:ascii="標楷體" w:eastAsia="標楷體" w:hAnsi="標楷體" w:hint="eastAsia"/>
          <w:color w:val="FF0000"/>
          <w:spacing w:val="-4"/>
          <w:kern w:val="0"/>
          <w:highlight w:val="yellow"/>
        </w:rPr>
        <w:t>：</w:t>
      </w:r>
      <w:r w:rsidRPr="00043A1E">
        <w:rPr>
          <w:rFonts w:ascii="標楷體" w:eastAsia="標楷體" w:hAnsi="標楷體" w:hint="eastAsia"/>
          <w:szCs w:val="22"/>
        </w:rPr>
        <w:t>假緣而生，故非真生</w:t>
      </w:r>
      <w:r w:rsidR="00C12C9C">
        <w:rPr>
          <w:rFonts w:ascii="標楷體" w:eastAsia="標楷體" w:hAnsi="標楷體" w:hint="eastAsia"/>
          <w:color w:val="FF0000"/>
          <w:spacing w:val="-4"/>
          <w:kern w:val="0"/>
          <w:highlight w:val="yellow"/>
        </w:rPr>
        <w:t>；</w:t>
      </w:r>
      <w:r w:rsidRPr="00043A1E">
        <w:rPr>
          <w:rFonts w:ascii="標楷體" w:eastAsia="標楷體" w:hAnsi="標楷體" w:hint="eastAsia"/>
          <w:szCs w:val="22"/>
        </w:rPr>
        <w:t>非真生故，不得言有也。</w:t>
      </w:r>
    </w:p>
    <w:p w:rsidR="00C12C9C"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w:t>
      </w:r>
      <w:r w:rsidRPr="00043A1E">
        <w:rPr>
          <w:rFonts w:ascii="標楷體" w:eastAsia="標楷體" w:hAnsi="標楷體" w:hint="eastAsia"/>
          <w:b/>
          <w:szCs w:val="22"/>
        </w:rPr>
        <w:t>事像既形</w:t>
      </w:r>
      <w:r w:rsidRPr="00043A1E">
        <w:rPr>
          <w:rFonts w:ascii="標楷體" w:eastAsia="標楷體" w:hAnsi="標楷體" w:hint="eastAsia"/>
          <w:szCs w:val="22"/>
        </w:rPr>
        <w:t>」者</w:t>
      </w:r>
      <w:r w:rsidR="00C12C9C">
        <w:rPr>
          <w:rFonts w:ascii="標楷體" w:eastAsia="標楷體" w:hAnsi="標楷體" w:hint="eastAsia"/>
          <w:color w:val="FF0000"/>
          <w:spacing w:val="-4"/>
          <w:kern w:val="0"/>
          <w:highlight w:val="yellow"/>
        </w:rPr>
        <w:t>：</w:t>
      </w:r>
      <w:r w:rsidRPr="00043A1E">
        <w:rPr>
          <w:rFonts w:ascii="標楷體" w:eastAsia="標楷體" w:hAnsi="標楷體" w:hint="eastAsia"/>
          <w:szCs w:val="22"/>
        </w:rPr>
        <w:t>萬事萬像皆已形現；皆已形現，不得言無也。</w:t>
      </w:r>
    </w:p>
    <w:p w:rsidR="00C12C9C"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w:t>
      </w:r>
      <w:r w:rsidRPr="00043A1E">
        <w:rPr>
          <w:rFonts w:ascii="標楷體" w:eastAsia="標楷體" w:hAnsi="標楷體" w:hint="eastAsia"/>
          <w:b/>
          <w:szCs w:val="22"/>
        </w:rPr>
        <w:t>像形不即無</w:t>
      </w:r>
      <w:r w:rsidRPr="00043A1E">
        <w:rPr>
          <w:rFonts w:ascii="標楷體" w:eastAsia="標楷體" w:hAnsi="標楷體" w:hint="eastAsia"/>
          <w:szCs w:val="22"/>
        </w:rPr>
        <w:t>，</w:t>
      </w:r>
      <w:r w:rsidRPr="00043A1E">
        <w:rPr>
          <w:rFonts w:ascii="標楷體" w:eastAsia="標楷體" w:hAnsi="標楷體" w:hint="eastAsia"/>
          <w:b/>
          <w:szCs w:val="22"/>
        </w:rPr>
        <w:t>非真無</w:t>
      </w:r>
      <w:r w:rsidR="00426C3B" w:rsidRPr="00115CAD">
        <w:rPr>
          <w:rFonts w:eastAsia="標楷體" w:hint="eastAsia"/>
          <w:color w:val="FF0000"/>
          <w:szCs w:val="22"/>
          <w:shd w:val="pct15" w:color="auto" w:fill="FFFFFF"/>
        </w:rPr>
        <w:t>*</w:t>
      </w:r>
      <w:r w:rsidRPr="00043A1E">
        <w:rPr>
          <w:rFonts w:ascii="標楷體" w:eastAsia="標楷體" w:hAnsi="標楷體" w:hint="eastAsia"/>
          <w:b/>
          <w:szCs w:val="22"/>
        </w:rPr>
        <w:t>非實有</w:t>
      </w:r>
      <w:r w:rsidRPr="00043A1E">
        <w:rPr>
          <w:rFonts w:ascii="標楷體" w:eastAsia="標楷體" w:hAnsi="標楷體" w:hint="eastAsia"/>
          <w:szCs w:val="22"/>
        </w:rPr>
        <w:t>」者</w:t>
      </w:r>
      <w:r w:rsidR="00C12C9C">
        <w:rPr>
          <w:rFonts w:ascii="標楷體" w:eastAsia="標楷體" w:hAnsi="標楷體" w:hint="eastAsia"/>
          <w:color w:val="FF0000"/>
          <w:spacing w:val="-4"/>
          <w:kern w:val="0"/>
          <w:highlight w:val="yellow"/>
        </w:rPr>
        <w:t>：</w:t>
      </w:r>
      <w:r w:rsidRPr="00043A1E">
        <w:rPr>
          <w:rFonts w:ascii="標楷體" w:eastAsia="標楷體" w:hAnsi="標楷體" w:hint="eastAsia"/>
          <w:szCs w:val="22"/>
        </w:rPr>
        <w:t>事像形現，不即是無；有非真生，非是定有也。</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w:t>
      </w:r>
      <w:r w:rsidRPr="00043A1E">
        <w:rPr>
          <w:rFonts w:ascii="標楷體" w:eastAsia="標楷體" w:hAnsi="標楷體" w:hint="eastAsia"/>
          <w:b/>
          <w:szCs w:val="22"/>
        </w:rPr>
        <w:t>然則不真空義顯於茲矣」</w:t>
      </w:r>
      <w:r w:rsidRPr="00043A1E">
        <w:rPr>
          <w:rFonts w:ascii="標楷體" w:eastAsia="標楷體" w:hAnsi="標楷體" w:hint="eastAsia"/>
          <w:szCs w:val="22"/>
        </w:rPr>
        <w:t>者</w:t>
      </w:r>
      <w:r w:rsidR="00C12C9C">
        <w:rPr>
          <w:rFonts w:ascii="標楷體" w:eastAsia="標楷體" w:hAnsi="標楷體" w:hint="eastAsia"/>
          <w:color w:val="FF0000"/>
          <w:spacing w:val="-4"/>
          <w:kern w:val="0"/>
          <w:highlight w:val="yellow"/>
        </w:rPr>
        <w:t>：</w:t>
      </w:r>
      <w:r w:rsidRPr="00043A1E">
        <w:rPr>
          <w:rFonts w:ascii="標楷體" w:eastAsia="標楷體" w:hAnsi="標楷體" w:hint="eastAsia"/>
          <w:b/>
          <w:szCs w:val="22"/>
        </w:rPr>
        <w:t>正以非真實有，故言</w:t>
      </w:r>
      <w:r w:rsidR="00C12C9C">
        <w:rPr>
          <w:rFonts w:ascii="標楷體" w:eastAsia="標楷體" w:hAnsi="標楷體" w:hint="eastAsia"/>
          <w:bCs/>
          <w:color w:val="FF0000"/>
          <w:kern w:val="0"/>
          <w:highlight w:val="yellow"/>
        </w:rPr>
        <w:t>「</w:t>
      </w:r>
      <w:r w:rsidRPr="00043A1E">
        <w:rPr>
          <w:rFonts w:ascii="標楷體" w:eastAsia="標楷體" w:hAnsi="標楷體" w:hint="eastAsia"/>
          <w:b/>
          <w:szCs w:val="22"/>
        </w:rPr>
        <w:t>不真</w:t>
      </w:r>
      <w:r w:rsidR="00C12C9C">
        <w:rPr>
          <w:rFonts w:ascii="標楷體" w:eastAsia="標楷體" w:hAnsi="標楷體" w:hint="eastAsia"/>
          <w:bCs/>
          <w:color w:val="FF0000"/>
          <w:kern w:val="0"/>
          <w:highlight w:val="yellow"/>
        </w:rPr>
        <w:t>」</w:t>
      </w:r>
      <w:r w:rsidR="00C12C9C">
        <w:rPr>
          <w:rFonts w:ascii="標楷體" w:eastAsia="標楷體" w:hAnsi="標楷體" w:hint="eastAsia"/>
          <w:color w:val="FF0000"/>
          <w:spacing w:val="-4"/>
          <w:kern w:val="0"/>
          <w:highlight w:val="yellow"/>
        </w:rPr>
        <w:t>；</w:t>
      </w:r>
      <w:r w:rsidRPr="00043A1E">
        <w:rPr>
          <w:rFonts w:ascii="標楷體" w:eastAsia="標楷體" w:hAnsi="標楷體" w:hint="eastAsia"/>
          <w:b/>
          <w:szCs w:val="22"/>
        </w:rPr>
        <w:t>既非實有，所以言</w:t>
      </w:r>
      <w:r w:rsidR="00C12C9C">
        <w:rPr>
          <w:rFonts w:ascii="標楷體" w:eastAsia="標楷體" w:hAnsi="標楷體" w:hint="eastAsia"/>
          <w:bCs/>
          <w:color w:val="FF0000"/>
          <w:kern w:val="0"/>
          <w:highlight w:val="yellow"/>
        </w:rPr>
        <w:t>「</w:t>
      </w:r>
      <w:r w:rsidRPr="00043A1E">
        <w:rPr>
          <w:rFonts w:ascii="標楷體" w:eastAsia="標楷體" w:hAnsi="標楷體" w:hint="eastAsia"/>
          <w:b/>
          <w:szCs w:val="22"/>
        </w:rPr>
        <w:t>空</w:t>
      </w:r>
      <w:r w:rsidR="00C12C9C">
        <w:rPr>
          <w:rFonts w:ascii="標楷體" w:eastAsia="標楷體" w:hAnsi="標楷體" w:hint="eastAsia"/>
          <w:bCs/>
          <w:color w:val="FF0000"/>
          <w:kern w:val="0"/>
          <w:highlight w:val="yellow"/>
        </w:rPr>
        <w:t>」</w:t>
      </w:r>
      <w:r w:rsidRPr="00043A1E">
        <w:rPr>
          <w:rFonts w:ascii="標楷體" w:eastAsia="標楷體" w:hAnsi="標楷體" w:hint="eastAsia"/>
          <w:szCs w:val="22"/>
        </w:rPr>
        <w:t>──論之得名，從此義也。</w:t>
      </w:r>
    </w:p>
    <w:p w:rsidR="00C12C9C"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w:t>
      </w:r>
      <w:r w:rsidRPr="00043A1E">
        <w:rPr>
          <w:rFonts w:ascii="標楷體" w:eastAsia="標楷體" w:hAnsi="標楷體" w:hint="eastAsia"/>
          <w:b/>
          <w:szCs w:val="22"/>
        </w:rPr>
        <w:t>故《放光》云</w:t>
      </w:r>
      <w:r w:rsidRPr="00043A1E">
        <w:rPr>
          <w:rFonts w:ascii="標楷體" w:eastAsia="標楷體" w:hAnsi="標楷體" w:hint="eastAsia"/>
          <w:szCs w:val="22"/>
        </w:rPr>
        <w:t>」下，第三</w:t>
      </w:r>
      <w:r w:rsidR="00C12C9C">
        <w:rPr>
          <w:rFonts w:ascii="標楷體" w:eastAsia="標楷體" w:hAnsi="標楷體" w:hint="eastAsia"/>
          <w:color w:val="FF0000"/>
          <w:spacing w:val="-4"/>
          <w:kern w:val="0"/>
          <w:highlight w:val="yellow"/>
        </w:rPr>
        <w:t>、</w:t>
      </w:r>
      <w:r w:rsidRPr="00043A1E">
        <w:rPr>
          <w:rFonts w:ascii="標楷體" w:eastAsia="標楷體" w:hAnsi="標楷體" w:hint="eastAsia"/>
          <w:szCs w:val="22"/>
        </w:rPr>
        <w:t>引經證成也。「</w:t>
      </w:r>
      <w:r w:rsidRPr="00043A1E">
        <w:rPr>
          <w:rFonts w:ascii="標楷體" w:eastAsia="標楷體" w:hAnsi="標楷體" w:hint="eastAsia"/>
          <w:b/>
          <w:szCs w:val="22"/>
        </w:rPr>
        <w:t>譬如幻化人</w:t>
      </w:r>
      <w:r w:rsidRPr="00043A1E">
        <w:rPr>
          <w:rFonts w:ascii="標楷體" w:eastAsia="標楷體" w:hAnsi="標楷體" w:hint="eastAsia"/>
          <w:szCs w:val="22"/>
        </w:rPr>
        <w:t>」者，此有三讀：一者、連三句</w:t>
      </w:r>
      <w:r w:rsidR="00C12C9C" w:rsidRPr="00C12C9C">
        <w:rPr>
          <w:rFonts w:ascii="標楷體" w:eastAsia="標楷體" w:hAnsi="標楷體" w:hint="eastAsia"/>
          <w:color w:val="FF0000"/>
          <w:szCs w:val="22"/>
          <w:highlight w:val="yellow"/>
        </w:rPr>
        <w:t>，</w:t>
      </w:r>
      <w:r w:rsidRPr="00043A1E">
        <w:rPr>
          <w:rFonts w:ascii="標楷體" w:eastAsia="標楷體" w:hAnsi="標楷體" w:hint="eastAsia"/>
          <w:szCs w:val="22"/>
        </w:rPr>
        <w:t>通成一段；二者、</w:t>
      </w:r>
      <w:r w:rsidR="00C12C9C">
        <w:rPr>
          <w:rFonts w:ascii="標楷體" w:eastAsia="標楷體" w:hAnsi="標楷體" w:hint="eastAsia"/>
          <w:bCs/>
          <w:color w:val="FF0000"/>
          <w:kern w:val="0"/>
          <w:highlight w:val="yellow"/>
        </w:rPr>
        <w:t>「</w:t>
      </w:r>
      <w:r w:rsidRPr="00043A1E">
        <w:rPr>
          <w:rFonts w:ascii="標楷體" w:eastAsia="標楷體" w:hAnsi="標楷體" w:hint="eastAsia"/>
          <w:szCs w:val="22"/>
        </w:rPr>
        <w:t>譬如幻化人</w:t>
      </w:r>
      <w:r w:rsidR="00C12C9C">
        <w:rPr>
          <w:rFonts w:ascii="標楷體" w:eastAsia="標楷體" w:hAnsi="標楷體" w:hint="eastAsia"/>
          <w:bCs/>
          <w:color w:val="FF0000"/>
          <w:kern w:val="0"/>
          <w:highlight w:val="yellow"/>
        </w:rPr>
        <w:t>」</w:t>
      </w:r>
      <w:r w:rsidRPr="00043A1E">
        <w:rPr>
          <w:rFonts w:ascii="標楷體" w:eastAsia="標楷體" w:hAnsi="標楷體" w:hint="eastAsia"/>
          <w:szCs w:val="22"/>
        </w:rPr>
        <w:t>為句，後兩句相著也；三者、</w:t>
      </w:r>
      <w:r w:rsidR="00C12C9C">
        <w:rPr>
          <w:rFonts w:ascii="標楷體" w:eastAsia="標楷體" w:hAnsi="標楷體" w:hint="eastAsia"/>
          <w:bCs/>
          <w:color w:val="FF0000"/>
          <w:kern w:val="0"/>
          <w:highlight w:val="yellow"/>
        </w:rPr>
        <w:t>「</w:t>
      </w:r>
      <w:r w:rsidRPr="00043A1E">
        <w:rPr>
          <w:rFonts w:ascii="標楷體" w:eastAsia="標楷體" w:hAnsi="標楷體" w:hint="eastAsia"/>
          <w:szCs w:val="22"/>
        </w:rPr>
        <w:t>譬如幻化人</w:t>
      </w:r>
      <w:r w:rsidR="00C12C9C">
        <w:rPr>
          <w:rFonts w:ascii="標楷體" w:eastAsia="標楷體" w:hAnsi="標楷體" w:hint="eastAsia"/>
          <w:color w:val="FF0000"/>
          <w:kern w:val="0"/>
          <w:highlight w:val="yellow"/>
        </w:rPr>
        <w:t>，</w:t>
      </w:r>
      <w:r w:rsidRPr="00043A1E">
        <w:rPr>
          <w:rFonts w:ascii="標楷體" w:eastAsia="標楷體" w:hAnsi="標楷體" w:hint="eastAsia"/>
          <w:szCs w:val="22"/>
        </w:rPr>
        <w:t>非無幻化人</w:t>
      </w:r>
      <w:r w:rsidR="00C12C9C">
        <w:rPr>
          <w:rFonts w:ascii="標楷體" w:eastAsia="標楷體" w:hAnsi="標楷體" w:hint="eastAsia"/>
          <w:bCs/>
          <w:color w:val="FF0000"/>
          <w:kern w:val="0"/>
          <w:highlight w:val="yellow"/>
        </w:rPr>
        <w:t>」</w:t>
      </w:r>
      <w:r w:rsidRPr="00043A1E">
        <w:rPr>
          <w:rFonts w:ascii="標楷體" w:eastAsia="標楷體" w:hAnsi="標楷體" w:hint="eastAsia"/>
          <w:szCs w:val="22"/>
        </w:rPr>
        <w:t>為句，已後為一段</w:t>
      </w:r>
      <w:r w:rsidR="00C12C9C">
        <w:rPr>
          <w:rFonts w:ascii="標楷體" w:eastAsia="標楷體" w:hAnsi="標楷體" w:hint="eastAsia"/>
          <w:color w:val="FF0000"/>
          <w:kern w:val="0"/>
          <w:highlight w:val="yellow"/>
        </w:rPr>
        <w:t>。</w:t>
      </w:r>
      <w:r w:rsidRPr="00043A1E">
        <w:rPr>
          <w:rFonts w:ascii="標楷體" w:eastAsia="標楷體" w:hAnsi="標楷體" w:hint="eastAsia"/>
          <w:szCs w:val="22"/>
        </w:rPr>
        <w:t>今且從初也。</w:t>
      </w:r>
      <w:r w:rsidR="00C12C9C">
        <w:rPr>
          <w:rFonts w:ascii="標楷體" w:eastAsia="標楷體" w:hAnsi="標楷體" w:hint="eastAsia"/>
          <w:bCs/>
          <w:color w:val="FF0000"/>
          <w:kern w:val="0"/>
          <w:highlight w:val="yellow"/>
        </w:rPr>
        <w:t>「</w:t>
      </w:r>
      <w:r w:rsidRPr="00043A1E">
        <w:rPr>
          <w:rFonts w:ascii="標楷體" w:eastAsia="標楷體" w:hAnsi="標楷體" w:hint="eastAsia"/>
          <w:szCs w:val="22"/>
        </w:rPr>
        <w:t>幻</w:t>
      </w:r>
      <w:r w:rsidR="00C12C9C">
        <w:rPr>
          <w:rFonts w:ascii="標楷體" w:eastAsia="標楷體" w:hAnsi="標楷體" w:hint="eastAsia"/>
          <w:bCs/>
          <w:color w:val="FF0000"/>
          <w:kern w:val="0"/>
          <w:highlight w:val="yellow"/>
        </w:rPr>
        <w:t>」</w:t>
      </w:r>
      <w:r w:rsidR="00C12C9C">
        <w:rPr>
          <w:rFonts w:ascii="標楷體" w:eastAsia="標楷體" w:hAnsi="標楷體" w:hint="eastAsia"/>
          <w:color w:val="FF0000"/>
          <w:spacing w:val="-4"/>
          <w:kern w:val="0"/>
          <w:highlight w:val="yellow"/>
        </w:rPr>
        <w:t>、</w:t>
      </w:r>
      <w:r w:rsidR="00C12C9C">
        <w:rPr>
          <w:rFonts w:ascii="標楷體" w:eastAsia="標楷體" w:hAnsi="標楷體" w:hint="eastAsia"/>
          <w:bCs/>
          <w:color w:val="FF0000"/>
          <w:kern w:val="0"/>
          <w:highlight w:val="yellow"/>
        </w:rPr>
        <w:t>「</w:t>
      </w:r>
      <w:r w:rsidRPr="00043A1E">
        <w:rPr>
          <w:rFonts w:ascii="標楷體" w:eastAsia="標楷體" w:hAnsi="標楷體" w:hint="eastAsia"/>
          <w:szCs w:val="22"/>
        </w:rPr>
        <w:t>化</w:t>
      </w:r>
      <w:r w:rsidR="00C12C9C">
        <w:rPr>
          <w:rFonts w:ascii="標楷體" w:eastAsia="標楷體" w:hAnsi="標楷體" w:hint="eastAsia"/>
          <w:bCs/>
          <w:color w:val="FF0000"/>
          <w:kern w:val="0"/>
          <w:highlight w:val="yellow"/>
        </w:rPr>
        <w:t>」</w:t>
      </w:r>
      <w:r w:rsidRPr="00043A1E">
        <w:rPr>
          <w:rFonts w:ascii="標楷體" w:eastAsia="標楷體" w:hAnsi="標楷體" w:hint="eastAsia"/>
          <w:szCs w:val="22"/>
        </w:rPr>
        <w:t>異者，從無起有為</w:t>
      </w:r>
      <w:r w:rsidR="00C12C9C">
        <w:rPr>
          <w:rFonts w:ascii="標楷體" w:eastAsia="標楷體" w:hAnsi="標楷體" w:hint="eastAsia"/>
          <w:bCs/>
          <w:color w:val="FF0000"/>
          <w:kern w:val="0"/>
          <w:highlight w:val="yellow"/>
        </w:rPr>
        <w:t>「</w:t>
      </w:r>
      <w:r w:rsidRPr="00043A1E">
        <w:rPr>
          <w:rFonts w:ascii="標楷體" w:eastAsia="標楷體" w:hAnsi="標楷體" w:hint="eastAsia"/>
          <w:b/>
          <w:szCs w:val="22"/>
        </w:rPr>
        <w:t>化</w:t>
      </w:r>
      <w:r w:rsidR="00C12C9C">
        <w:rPr>
          <w:rFonts w:ascii="標楷體" w:eastAsia="標楷體" w:hAnsi="標楷體" w:hint="eastAsia"/>
          <w:bCs/>
          <w:color w:val="FF0000"/>
          <w:kern w:val="0"/>
          <w:highlight w:val="yellow"/>
        </w:rPr>
        <w:t>」</w:t>
      </w:r>
      <w:r w:rsidRPr="00043A1E">
        <w:rPr>
          <w:rFonts w:ascii="標楷體" w:eastAsia="標楷體" w:hAnsi="標楷體" w:hint="eastAsia"/>
          <w:szCs w:val="22"/>
        </w:rPr>
        <w:t>，從有起有為</w:t>
      </w:r>
      <w:r w:rsidR="00C12C9C">
        <w:rPr>
          <w:rFonts w:ascii="標楷體" w:eastAsia="標楷體" w:hAnsi="標楷體" w:hint="eastAsia"/>
          <w:bCs/>
          <w:color w:val="FF0000"/>
          <w:kern w:val="0"/>
          <w:highlight w:val="yellow"/>
        </w:rPr>
        <w:t>「</w:t>
      </w:r>
      <w:r w:rsidRPr="00043A1E">
        <w:rPr>
          <w:rFonts w:ascii="標楷體" w:eastAsia="標楷體" w:hAnsi="標楷體" w:hint="eastAsia"/>
          <w:b/>
          <w:szCs w:val="22"/>
        </w:rPr>
        <w:t>幻</w:t>
      </w:r>
      <w:r w:rsidR="00C12C9C">
        <w:rPr>
          <w:rFonts w:ascii="標楷體" w:eastAsia="標楷體" w:hAnsi="標楷體" w:hint="eastAsia"/>
          <w:bCs/>
          <w:color w:val="FF0000"/>
          <w:kern w:val="0"/>
          <w:highlight w:val="yellow"/>
        </w:rPr>
        <w:t>」</w:t>
      </w:r>
      <w:r w:rsidRPr="00043A1E">
        <w:rPr>
          <w:rFonts w:ascii="標楷體" w:eastAsia="標楷體" w:hAnsi="標楷體" w:hint="eastAsia"/>
          <w:szCs w:val="22"/>
        </w:rPr>
        <w:t>也。</w:t>
      </w:r>
    </w:p>
    <w:p w:rsidR="00157EF6"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w:t>
      </w:r>
      <w:r w:rsidRPr="00043A1E">
        <w:rPr>
          <w:rFonts w:ascii="標楷體" w:eastAsia="標楷體" w:hAnsi="標楷體" w:hint="eastAsia"/>
          <w:b/>
          <w:szCs w:val="22"/>
        </w:rPr>
        <w:t>非無幻化人，幻化人非真人</w:t>
      </w:r>
      <w:r w:rsidRPr="00043A1E">
        <w:rPr>
          <w:rFonts w:ascii="標楷體" w:eastAsia="標楷體" w:hAnsi="標楷體" w:hint="eastAsia"/>
          <w:szCs w:val="22"/>
        </w:rPr>
        <w:t>」者</w:t>
      </w:r>
      <w:r w:rsidR="00C12C9C">
        <w:rPr>
          <w:rFonts w:ascii="標楷體" w:eastAsia="標楷體" w:hAnsi="標楷體" w:hint="eastAsia"/>
          <w:color w:val="FF0000"/>
          <w:spacing w:val="-4"/>
          <w:kern w:val="0"/>
          <w:highlight w:val="yellow"/>
        </w:rPr>
        <w:t>：</w:t>
      </w:r>
      <w:r w:rsidR="00C12C9C">
        <w:rPr>
          <w:rFonts w:ascii="標楷體" w:eastAsia="標楷體" w:hAnsi="標楷體" w:hint="eastAsia"/>
          <w:bCs/>
          <w:color w:val="FF0000"/>
          <w:kern w:val="0"/>
          <w:highlight w:val="yellow"/>
        </w:rPr>
        <w:t>「</w:t>
      </w:r>
      <w:r w:rsidRPr="00043A1E">
        <w:rPr>
          <w:rFonts w:ascii="標楷體" w:eastAsia="標楷體" w:hAnsi="標楷體" w:hint="eastAsia"/>
          <w:szCs w:val="22"/>
        </w:rPr>
        <w:t>非無</w:t>
      </w:r>
      <w:r w:rsidR="00C12C9C">
        <w:rPr>
          <w:rFonts w:ascii="標楷體" w:eastAsia="標楷體" w:hAnsi="標楷體" w:hint="eastAsia"/>
          <w:bCs/>
          <w:color w:val="FF0000"/>
          <w:kern w:val="0"/>
          <w:highlight w:val="yellow"/>
        </w:rPr>
        <w:t>」</w:t>
      </w:r>
      <w:r w:rsidRPr="00043A1E">
        <w:rPr>
          <w:rFonts w:ascii="標楷體" w:eastAsia="標楷體" w:hAnsi="標楷體" w:hint="eastAsia"/>
          <w:szCs w:val="22"/>
        </w:rPr>
        <w:t>即非無也，</w:t>
      </w:r>
      <w:r w:rsidR="00C12C9C">
        <w:rPr>
          <w:rFonts w:ascii="標楷體" w:eastAsia="標楷體" w:hAnsi="標楷體" w:hint="eastAsia"/>
          <w:bCs/>
          <w:color w:val="FF0000"/>
          <w:kern w:val="0"/>
          <w:highlight w:val="yellow"/>
        </w:rPr>
        <w:t>「</w:t>
      </w:r>
      <w:r w:rsidRPr="00043A1E">
        <w:rPr>
          <w:rFonts w:ascii="標楷體" w:eastAsia="標楷體" w:hAnsi="標楷體" w:hint="eastAsia"/>
          <w:szCs w:val="22"/>
        </w:rPr>
        <w:t>非真</w:t>
      </w:r>
      <w:r w:rsidR="00C12C9C">
        <w:rPr>
          <w:rFonts w:ascii="標楷體" w:eastAsia="標楷體" w:hAnsi="標楷體" w:hint="eastAsia"/>
          <w:bCs/>
          <w:color w:val="FF0000"/>
          <w:kern w:val="0"/>
          <w:highlight w:val="yellow"/>
        </w:rPr>
        <w:t>」</w:t>
      </w:r>
      <w:r w:rsidRPr="00043A1E">
        <w:rPr>
          <w:rFonts w:ascii="標楷體" w:eastAsia="標楷體" w:hAnsi="標楷體" w:hint="eastAsia"/>
          <w:szCs w:val="22"/>
        </w:rPr>
        <w:t>即非有也。</w:t>
      </w:r>
    </w:p>
    <w:p w:rsidR="00426C3B" w:rsidRPr="00426C3B" w:rsidRDefault="00426C3B" w:rsidP="00AA120F">
      <w:pPr>
        <w:pStyle w:val="a5"/>
        <w:ind w:leftChars="335" w:left="804"/>
        <w:jc w:val="both"/>
        <w:rPr>
          <w:rFonts w:ascii="新細明體" w:hAnsi="新細明體"/>
          <w:color w:val="FF0000"/>
          <w:szCs w:val="22"/>
          <w:highlight w:val="yellow"/>
        </w:rPr>
      </w:pPr>
      <w:r w:rsidRPr="00115CAD">
        <w:rPr>
          <w:rFonts w:eastAsia="標楷體" w:hint="eastAsia"/>
          <w:color w:val="FF0000"/>
          <w:szCs w:val="22"/>
          <w:shd w:val="pct15" w:color="auto" w:fill="FFFFFF"/>
        </w:rPr>
        <w:t>*</w:t>
      </w:r>
      <w:r w:rsidRPr="00426C3B">
        <w:rPr>
          <w:rFonts w:ascii="新細明體" w:hAnsi="新細明體" w:hint="eastAsia"/>
          <w:color w:val="FF0000"/>
          <w:szCs w:val="22"/>
          <w:highlight w:val="yellow"/>
        </w:rPr>
        <w:t>重編案：對照</w:t>
      </w:r>
      <w:r w:rsidRPr="00426C3B">
        <w:rPr>
          <w:rFonts w:hint="eastAsia"/>
          <w:color w:val="FF0000"/>
          <w:szCs w:val="22"/>
          <w:highlight w:val="yellow"/>
        </w:rPr>
        <w:t>《</w:t>
      </w:r>
      <w:r w:rsidRPr="00426C3B">
        <w:rPr>
          <w:color w:val="FF0000"/>
          <w:szCs w:val="22"/>
          <w:highlight w:val="yellow"/>
        </w:rPr>
        <w:t>肇論》</w:t>
      </w:r>
      <w:r w:rsidRPr="00426C3B">
        <w:rPr>
          <w:rFonts w:hint="eastAsia"/>
          <w:color w:val="FF0000"/>
          <w:szCs w:val="22"/>
          <w:highlight w:val="yellow"/>
        </w:rPr>
        <w:t>〈不真空論〉</w:t>
      </w:r>
      <w:r w:rsidRPr="00426C3B">
        <w:rPr>
          <w:rFonts w:ascii="新細明體" w:hAnsi="新細明體" w:hint="eastAsia"/>
          <w:color w:val="FF0000"/>
          <w:szCs w:val="22"/>
          <w:highlight w:val="yellow"/>
        </w:rPr>
        <w:t>，「</w:t>
      </w:r>
      <w:r w:rsidRPr="00426C3B">
        <w:rPr>
          <w:rFonts w:ascii="標楷體" w:eastAsia="標楷體" w:hAnsi="標楷體" w:hint="eastAsia"/>
          <w:color w:val="FF0000"/>
          <w:szCs w:val="22"/>
          <w:highlight w:val="yellow"/>
        </w:rPr>
        <w:t>無</w:t>
      </w:r>
      <w:r w:rsidRPr="00426C3B">
        <w:rPr>
          <w:rFonts w:ascii="新細明體" w:hAnsi="新細明體" w:hint="eastAsia"/>
          <w:color w:val="FF0000"/>
          <w:szCs w:val="22"/>
          <w:highlight w:val="yellow"/>
        </w:rPr>
        <w:t>」字，應刪除。</w:t>
      </w:r>
    </w:p>
  </w:footnote>
  <w:footnote w:id="831">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參見宗喀巴</w:t>
      </w:r>
      <w:r w:rsidR="00C12C9C">
        <w:rPr>
          <w:rFonts w:hint="eastAsia"/>
          <w:szCs w:val="22"/>
        </w:rPr>
        <w:t>著，法尊</w:t>
      </w:r>
      <w:r w:rsidRPr="00043A1E">
        <w:rPr>
          <w:rFonts w:hint="eastAsia"/>
          <w:szCs w:val="22"/>
        </w:rPr>
        <w:t>譯，《菩提道次第廣論》卷</w:t>
      </w:r>
      <w:r w:rsidRPr="00761EF3">
        <w:rPr>
          <w:rFonts w:hint="eastAsia"/>
          <w:szCs w:val="22"/>
        </w:rPr>
        <w:t>17</w:t>
      </w:r>
      <w:r w:rsidRPr="00043A1E">
        <w:rPr>
          <w:rFonts w:hint="eastAsia"/>
          <w:szCs w:val="22"/>
        </w:rPr>
        <w:t>，</w:t>
      </w:r>
      <w:r w:rsidRPr="00761EF3">
        <w:rPr>
          <w:rFonts w:hint="eastAsia"/>
          <w:szCs w:val="22"/>
        </w:rPr>
        <w:t>pp</w:t>
      </w:r>
      <w:r w:rsidRPr="00043A1E">
        <w:rPr>
          <w:rFonts w:hint="eastAsia"/>
          <w:szCs w:val="22"/>
        </w:rPr>
        <w:t>.</w:t>
      </w:r>
      <w:r w:rsidRPr="00761EF3">
        <w:rPr>
          <w:rFonts w:hint="eastAsia"/>
          <w:szCs w:val="22"/>
        </w:rPr>
        <w:t>410</w:t>
      </w:r>
      <w:r w:rsidRPr="00043A1E">
        <w:rPr>
          <w:rFonts w:hint="eastAsia"/>
          <w:szCs w:val="22"/>
        </w:rPr>
        <w:t>-</w:t>
      </w:r>
      <w:r w:rsidRPr="00761EF3">
        <w:rPr>
          <w:rFonts w:hint="eastAsia"/>
          <w:szCs w:val="22"/>
        </w:rPr>
        <w:t>411</w:t>
      </w:r>
      <w:r w:rsidRPr="00043A1E">
        <w:rPr>
          <w:rFonts w:hint="eastAsia"/>
          <w:szCs w:val="22"/>
        </w:rPr>
        <w:t>。</w:t>
      </w:r>
    </w:p>
  </w:footnote>
  <w:footnote w:id="832">
    <w:p w:rsidR="00C12C9C"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量：梵語</w:t>
      </w:r>
      <w:r w:rsidRPr="00761EF3">
        <w:rPr>
          <w:szCs w:val="22"/>
        </w:rPr>
        <w:t>pramāṇa</w:t>
      </w:r>
      <w:r w:rsidRPr="00043A1E">
        <w:rPr>
          <w:rFonts w:hint="eastAsia"/>
          <w:szCs w:val="22"/>
        </w:rPr>
        <w:t>之意譯。有廣狹二義，狹義而言，指認識事物之標準、根據；廣義言之，則指認識作用之形式、過程、結果，及判斷知識真偽之標準等。又印度自古以來，在認知範疇中，一般皆將量知對象加以認識論證，泛稱為量。</w:t>
      </w:r>
    </w:p>
    <w:p w:rsidR="00157EF6" w:rsidRPr="00043A1E" w:rsidRDefault="00157EF6" w:rsidP="00C12C9C">
      <w:pPr>
        <w:pStyle w:val="a5"/>
        <w:spacing w:line="0" w:lineRule="atLeast"/>
        <w:ind w:left="253" w:hangingChars="115" w:hanging="253"/>
        <w:jc w:val="right"/>
        <w:rPr>
          <w:szCs w:val="22"/>
        </w:rPr>
      </w:pPr>
      <w:r w:rsidRPr="00043A1E">
        <w:rPr>
          <w:rFonts w:hint="eastAsia"/>
          <w:szCs w:val="22"/>
        </w:rPr>
        <w:t>（《佛光大辭典》（六），</w:t>
      </w:r>
      <w:r w:rsidRPr="00761EF3">
        <w:rPr>
          <w:rFonts w:hint="eastAsia"/>
          <w:szCs w:val="22"/>
        </w:rPr>
        <w:t>p</w:t>
      </w:r>
      <w:r w:rsidRPr="00043A1E">
        <w:rPr>
          <w:rFonts w:hint="eastAsia"/>
          <w:szCs w:val="22"/>
        </w:rPr>
        <w:t>.</w:t>
      </w:r>
      <w:r w:rsidRPr="00761EF3">
        <w:rPr>
          <w:rFonts w:hint="eastAsia"/>
          <w:szCs w:val="22"/>
        </w:rPr>
        <w:t>5293</w:t>
      </w:r>
      <w:r w:rsidRPr="00043A1E">
        <w:rPr>
          <w:rFonts w:hint="eastAsia"/>
          <w:szCs w:val="22"/>
        </w:rPr>
        <w:t>.</w:t>
      </w:r>
      <w:r w:rsidRPr="00761EF3">
        <w:rPr>
          <w:rFonts w:hint="eastAsia"/>
          <w:szCs w:val="22"/>
        </w:rPr>
        <w:t>1</w:t>
      </w:r>
      <w:r w:rsidRPr="00043A1E">
        <w:rPr>
          <w:rFonts w:hint="eastAsia"/>
          <w:szCs w:val="22"/>
        </w:rPr>
        <w:t>）</w:t>
      </w:r>
    </w:p>
  </w:footnote>
  <w:footnote w:id="833">
    <w:p w:rsidR="00434424" w:rsidRDefault="00157EF6" w:rsidP="00AA120F">
      <w:pPr>
        <w:pStyle w:val="a5"/>
        <w:spacing w:line="0" w:lineRule="atLeast"/>
        <w:ind w:left="253" w:hangingChars="115" w:hanging="253"/>
        <w:jc w:val="both"/>
        <w:rPr>
          <w:szCs w:val="22"/>
        </w:rPr>
      </w:pPr>
      <w:r w:rsidRPr="00043A1E">
        <w:rPr>
          <w:rStyle w:val="a6"/>
          <w:szCs w:val="22"/>
        </w:rPr>
        <w:footnoteRef/>
      </w:r>
      <w:r>
        <w:rPr>
          <w:rFonts w:hint="eastAsia"/>
          <w:szCs w:val="22"/>
        </w:rPr>
        <w:t xml:space="preserve"> </w:t>
      </w:r>
      <w:r w:rsidRPr="00043A1E">
        <w:rPr>
          <w:rFonts w:hint="eastAsia"/>
          <w:szCs w:val="22"/>
        </w:rPr>
        <w:t>宗喀巴著，法尊譯，《</w:t>
      </w:r>
      <w:r w:rsidRPr="008E20BC">
        <w:rPr>
          <w:rFonts w:hint="eastAsia"/>
          <w:szCs w:val="22"/>
        </w:rPr>
        <w:t>菩提</w:t>
      </w:r>
      <w:r w:rsidRPr="00043A1E">
        <w:rPr>
          <w:rFonts w:hint="eastAsia"/>
          <w:szCs w:val="22"/>
        </w:rPr>
        <w:t>道次第廣論》卷</w:t>
      </w:r>
      <w:r w:rsidRPr="00761EF3">
        <w:rPr>
          <w:rFonts w:hint="eastAsia"/>
          <w:szCs w:val="22"/>
        </w:rPr>
        <w:t>17</w:t>
      </w:r>
      <w:r w:rsidRPr="00043A1E">
        <w:rPr>
          <w:rFonts w:hint="eastAsia"/>
          <w:szCs w:val="22"/>
        </w:rPr>
        <w:t>，</w:t>
      </w:r>
      <w:r w:rsidRPr="00761EF3">
        <w:rPr>
          <w:rFonts w:hint="eastAsia"/>
          <w:szCs w:val="22"/>
        </w:rPr>
        <w:t>p</w:t>
      </w:r>
      <w:r w:rsidRPr="00043A1E">
        <w:rPr>
          <w:rFonts w:hint="eastAsia"/>
          <w:szCs w:val="22"/>
        </w:rPr>
        <w:t>.</w:t>
      </w:r>
      <w:r w:rsidRPr="00761EF3">
        <w:rPr>
          <w:rFonts w:hint="eastAsia"/>
          <w:szCs w:val="22"/>
        </w:rPr>
        <w:t>411</w:t>
      </w:r>
      <w:r w:rsidRPr="00043A1E">
        <w:rPr>
          <w:rFonts w:hint="eastAsia"/>
          <w:szCs w:val="22"/>
        </w:rPr>
        <w:t>：</w:t>
      </w:r>
    </w:p>
    <w:p w:rsidR="00157EF6" w:rsidRPr="00043A1E" w:rsidRDefault="00157EF6" w:rsidP="00434424">
      <w:pPr>
        <w:pStyle w:val="a5"/>
        <w:spacing w:line="300" w:lineRule="exact"/>
        <w:ind w:leftChars="105" w:left="252"/>
        <w:jc w:val="both"/>
        <w:rPr>
          <w:szCs w:val="22"/>
        </w:rPr>
      </w:pPr>
      <w:r w:rsidRPr="00043A1E">
        <w:rPr>
          <w:rFonts w:ascii="標楷體" w:eastAsia="標楷體" w:hAnsi="標楷體" w:hint="eastAsia"/>
          <w:szCs w:val="22"/>
        </w:rPr>
        <w:t>如《三摩地王經》云：</w:t>
      </w:r>
      <w:r w:rsidR="00434424">
        <w:rPr>
          <w:rFonts w:ascii="標楷體" w:eastAsia="標楷體" w:hAnsi="標楷體" w:hint="eastAsia"/>
          <w:szCs w:val="22"/>
        </w:rPr>
        <w:t>「</w:t>
      </w:r>
      <w:r w:rsidRPr="00043A1E">
        <w:rPr>
          <w:rFonts w:ascii="標楷體" w:eastAsia="標楷體" w:hAnsi="標楷體" w:hint="eastAsia"/>
          <w:szCs w:val="22"/>
        </w:rPr>
        <w:t>眼耳鼻非量，舌身意亦非，若諸根是量，聖道復益誰？</w:t>
      </w:r>
      <w:r w:rsidR="00434424">
        <w:rPr>
          <w:rFonts w:ascii="標楷體" w:eastAsia="標楷體" w:hAnsi="標楷體" w:hint="eastAsia"/>
          <w:szCs w:val="22"/>
        </w:rPr>
        <w:t>」</w:t>
      </w:r>
      <w:r w:rsidRPr="00043A1E">
        <w:rPr>
          <w:rFonts w:ascii="標楷體" w:eastAsia="標楷體" w:hAnsi="標楷體" w:hint="eastAsia"/>
          <w:szCs w:val="22"/>
        </w:rPr>
        <w:t>《入中論》云：</w:t>
      </w:r>
      <w:r w:rsidR="00434424">
        <w:rPr>
          <w:rFonts w:ascii="標楷體" w:eastAsia="標楷體" w:hAnsi="標楷體" w:hint="eastAsia"/>
          <w:szCs w:val="22"/>
        </w:rPr>
        <w:t>「</w:t>
      </w:r>
      <w:r w:rsidRPr="00043A1E">
        <w:rPr>
          <w:rFonts w:ascii="標楷體" w:eastAsia="標楷體" w:hAnsi="標楷體" w:hint="eastAsia"/>
          <w:szCs w:val="22"/>
        </w:rPr>
        <w:t>世間皆非量。</w:t>
      </w:r>
      <w:r w:rsidRPr="00043A1E">
        <w:rPr>
          <w:rFonts w:hint="eastAsia"/>
          <w:szCs w:val="22"/>
        </w:rPr>
        <w:t>」</w:t>
      </w:r>
    </w:p>
  </w:footnote>
  <w:footnote w:id="834">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rFonts w:hint="eastAsia"/>
          <w:szCs w:val="22"/>
        </w:rPr>
        <w:t>發明：</w:t>
      </w:r>
      <w:r w:rsidRPr="00761EF3">
        <w:rPr>
          <w:rFonts w:hint="eastAsia"/>
          <w:szCs w:val="22"/>
        </w:rPr>
        <w:t>5</w:t>
      </w:r>
      <w:r w:rsidRPr="00043A1E">
        <w:rPr>
          <w:rFonts w:hint="eastAsia"/>
          <w:szCs w:val="22"/>
        </w:rPr>
        <w:t>.</w:t>
      </w:r>
      <w:r w:rsidRPr="00043A1E">
        <w:rPr>
          <w:rFonts w:hint="eastAsia"/>
          <w:szCs w:val="22"/>
        </w:rPr>
        <w:t>闡述，闡發。</w:t>
      </w:r>
      <w:r w:rsidRPr="00761EF3">
        <w:rPr>
          <w:rFonts w:hint="eastAsia"/>
          <w:szCs w:val="22"/>
        </w:rPr>
        <w:t>7</w:t>
      </w:r>
      <w:r w:rsidRPr="00043A1E">
        <w:rPr>
          <w:rFonts w:hint="eastAsia"/>
          <w:szCs w:val="22"/>
        </w:rPr>
        <w:t>.</w:t>
      </w:r>
      <w:r w:rsidRPr="00043A1E">
        <w:rPr>
          <w:rFonts w:hint="eastAsia"/>
          <w:szCs w:val="22"/>
        </w:rPr>
        <w:t>傳揚，彰明。</w:t>
      </w:r>
      <w:r w:rsidRPr="00043A1E">
        <w:rPr>
          <w:szCs w:val="22"/>
        </w:rPr>
        <w:t>（</w:t>
      </w:r>
      <w:r w:rsidRPr="00043A1E">
        <w:rPr>
          <w:rFonts w:hint="eastAsia"/>
          <w:szCs w:val="22"/>
        </w:rPr>
        <w:t>《漢語大詞典》（八），</w:t>
      </w:r>
      <w:r w:rsidRPr="00761EF3">
        <w:rPr>
          <w:szCs w:val="22"/>
        </w:rPr>
        <w:t>p</w:t>
      </w:r>
      <w:r w:rsidRPr="00043A1E">
        <w:rPr>
          <w:szCs w:val="22"/>
        </w:rPr>
        <w:t>.</w:t>
      </w:r>
      <w:r w:rsidRPr="00761EF3">
        <w:rPr>
          <w:rFonts w:hint="eastAsia"/>
          <w:szCs w:val="22"/>
        </w:rPr>
        <w:t>550</w:t>
      </w:r>
      <w:r w:rsidRPr="00043A1E">
        <w:rPr>
          <w:rFonts w:hint="eastAsia"/>
          <w:szCs w:val="22"/>
        </w:rPr>
        <w:t>）</w:t>
      </w:r>
    </w:p>
  </w:footnote>
  <w:footnote w:id="835">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印順</w:t>
      </w:r>
      <w:r w:rsidRPr="008E20BC">
        <w:rPr>
          <w:rFonts w:hint="eastAsia"/>
          <w:szCs w:val="22"/>
        </w:rPr>
        <w:t>法師</w:t>
      </w:r>
      <w:r w:rsidRPr="00043A1E">
        <w:rPr>
          <w:rFonts w:hint="eastAsia"/>
          <w:szCs w:val="22"/>
        </w:rPr>
        <w:t>，《華雨集》（</w:t>
      </w:r>
      <w:r>
        <w:rPr>
          <w:rFonts w:hint="eastAsia"/>
          <w:szCs w:val="22"/>
        </w:rPr>
        <w:t>第</w:t>
      </w:r>
      <w:r w:rsidRPr="00043A1E">
        <w:rPr>
          <w:rFonts w:hint="eastAsia"/>
          <w:szCs w:val="22"/>
        </w:rPr>
        <w:t>一</w:t>
      </w:r>
      <w:r>
        <w:rPr>
          <w:rFonts w:hint="eastAsia"/>
          <w:szCs w:val="22"/>
        </w:rPr>
        <w:t>冊</w:t>
      </w:r>
      <w:r w:rsidRPr="00043A1E">
        <w:rPr>
          <w:rFonts w:hint="eastAsia"/>
          <w:szCs w:val="22"/>
        </w:rPr>
        <w:t>），</w:t>
      </w:r>
      <w:r w:rsidRPr="00761EF3">
        <w:rPr>
          <w:rFonts w:hint="eastAsia"/>
          <w:szCs w:val="22"/>
        </w:rPr>
        <w:t>p</w:t>
      </w:r>
      <w:r w:rsidRPr="00043A1E">
        <w:rPr>
          <w:rFonts w:hint="eastAsia"/>
          <w:szCs w:val="22"/>
        </w:rPr>
        <w:t>.</w:t>
      </w:r>
      <w:r w:rsidRPr="00761EF3">
        <w:rPr>
          <w:rFonts w:hint="eastAsia"/>
          <w:szCs w:val="22"/>
        </w:rPr>
        <w:t>192</w:t>
      </w:r>
      <w:r w:rsidRPr="00043A1E">
        <w:rPr>
          <w:rFonts w:hint="eastAsia"/>
          <w:szCs w:val="22"/>
        </w:rPr>
        <w:t>：</w:t>
      </w:r>
    </w:p>
    <w:p w:rsidR="00157EF6" w:rsidRPr="00043A1E" w:rsidRDefault="00157EF6" w:rsidP="00AA120F">
      <w:pPr>
        <w:pStyle w:val="a5"/>
        <w:spacing w:line="300" w:lineRule="exact"/>
        <w:ind w:leftChars="105" w:left="252"/>
        <w:jc w:val="both"/>
        <w:rPr>
          <w:rFonts w:ascii="標楷體" w:eastAsia="標楷體" w:hAnsi="標楷體"/>
          <w:szCs w:val="22"/>
        </w:rPr>
      </w:pPr>
      <w:r w:rsidRPr="00043A1E">
        <w:rPr>
          <w:rFonts w:ascii="標楷體" w:eastAsia="標楷體" w:hAnsi="標楷體" w:hint="eastAsia"/>
          <w:szCs w:val="22"/>
        </w:rPr>
        <w:t>「名言」：什麼是名言？我們的心識活動，不過是名言而已。如我們說話，或一個名詞，或是一句話，是名言；而我們內心的認識什麼，也好像講話一樣。所以有人說：我們的思想，是沒有聲音的語言，語言是有聲音的思想。所以，佛法稱世俗心識為名言識。</w:t>
      </w:r>
    </w:p>
  </w:footnote>
  <w:footnote w:id="836">
    <w:p w:rsidR="00157EF6" w:rsidRPr="00043A1E" w:rsidRDefault="00157EF6" w:rsidP="00AA120F">
      <w:pPr>
        <w:pStyle w:val="a5"/>
        <w:spacing w:line="300" w:lineRule="exac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印順法師，《成佛之道》，</w:t>
      </w:r>
      <w:r w:rsidRPr="00761EF3">
        <w:rPr>
          <w:rFonts w:hint="eastAsia"/>
          <w:szCs w:val="22"/>
        </w:rPr>
        <w:t>pp</w:t>
      </w:r>
      <w:r w:rsidRPr="00043A1E">
        <w:rPr>
          <w:rFonts w:hint="eastAsia"/>
          <w:szCs w:val="22"/>
        </w:rPr>
        <w:t>.</w:t>
      </w:r>
      <w:r w:rsidRPr="00761EF3">
        <w:rPr>
          <w:rFonts w:hint="eastAsia"/>
          <w:szCs w:val="22"/>
        </w:rPr>
        <w:t>333</w:t>
      </w:r>
      <w:r w:rsidRPr="00043A1E">
        <w:rPr>
          <w:rFonts w:hint="eastAsia"/>
          <w:szCs w:val="22"/>
        </w:rPr>
        <w:t>-</w:t>
      </w:r>
      <w:r w:rsidRPr="00761EF3">
        <w:rPr>
          <w:rFonts w:hint="eastAsia"/>
          <w:szCs w:val="22"/>
        </w:rPr>
        <w:t>334</w:t>
      </w:r>
      <w:r w:rsidRPr="00043A1E">
        <w:rPr>
          <w:rFonts w:hint="eastAsia"/>
          <w:szCs w:val="22"/>
        </w:rPr>
        <w:t>：</w:t>
      </w:r>
    </w:p>
    <w:p w:rsidR="00BF0738" w:rsidRDefault="00157EF6" w:rsidP="00AA120F">
      <w:pPr>
        <w:pStyle w:val="a5"/>
        <w:spacing w:line="300" w:lineRule="exact"/>
        <w:ind w:leftChars="105" w:left="252"/>
        <w:jc w:val="both"/>
        <w:rPr>
          <w:rFonts w:ascii="標楷體" w:eastAsia="標楷體" w:hAnsi="標楷體"/>
          <w:szCs w:val="22"/>
        </w:rPr>
      </w:pPr>
      <w:r w:rsidRPr="00043A1E">
        <w:rPr>
          <w:rFonts w:ascii="標楷體" w:eastAsia="標楷體" w:hAnsi="標楷體" w:hint="eastAsia"/>
          <w:szCs w:val="22"/>
        </w:rPr>
        <w:t>眾生慣習的常識心境，似乎是實在的，所以隱蔽了真相。如能依此而了達為世俗的，假名施設」的，就有向真實的可能了。</w:t>
      </w:r>
    </w:p>
    <w:p w:rsidR="00157EF6" w:rsidRPr="00043A1E" w:rsidRDefault="00157EF6" w:rsidP="00AA120F">
      <w:pPr>
        <w:pStyle w:val="a5"/>
        <w:spacing w:line="300" w:lineRule="exact"/>
        <w:ind w:leftChars="105" w:left="252"/>
        <w:jc w:val="both"/>
        <w:rPr>
          <w:rFonts w:ascii="標楷體" w:eastAsia="標楷體" w:hAnsi="標楷體"/>
          <w:szCs w:val="22"/>
        </w:rPr>
      </w:pPr>
      <w:r w:rsidRPr="00043A1E">
        <w:rPr>
          <w:rFonts w:ascii="標楷體" w:eastAsia="標楷體" w:hAnsi="標楷體" w:hint="eastAsia"/>
          <w:b/>
          <w:szCs w:val="22"/>
        </w:rPr>
        <w:t>這所以是世俗的，因為他是假施設的，假施設或譯為「假名」</w:t>
      </w:r>
      <w:r w:rsidRPr="00043A1E">
        <w:rPr>
          <w:rFonts w:ascii="標楷體" w:eastAsia="標楷體" w:hAnsi="標楷體" w:hint="eastAsia"/>
          <w:szCs w:val="22"/>
        </w:rPr>
        <w:t>。這不是說沒有，也不是指冬瓜話葫蘆的亂說一通。這是說：</w:t>
      </w:r>
      <w:r w:rsidRPr="00043A1E">
        <w:rPr>
          <w:rFonts w:ascii="標楷體" w:eastAsia="標楷體" w:hAnsi="標楷體" w:hint="eastAsia"/>
          <w:b/>
          <w:szCs w:val="22"/>
        </w:rPr>
        <w:t>我們所認識到的，是依種種因緣，種種關係而成立的。</w:t>
      </w:r>
      <w:r w:rsidRPr="00043A1E">
        <w:rPr>
          <w:rFonts w:ascii="標楷體" w:eastAsia="標楷體" w:hAnsi="標楷體" w:hint="eastAsia"/>
          <w:szCs w:val="22"/>
        </w:rPr>
        <w:t>這不是實體的，所以是假；依因緣而成為這，成為那，所以叫施設。假而施設為這為那，就叫做假名，假名就是常識中的一切。</w:t>
      </w:r>
      <w:r w:rsidRPr="00043A1E">
        <w:rPr>
          <w:rFonts w:ascii="標楷體" w:eastAsia="標楷體" w:hAnsi="標楷體" w:hint="eastAsia"/>
          <w:b/>
          <w:szCs w:val="22"/>
        </w:rPr>
        <w:t>約認識的心來說，這是名言識所識知的。當一個印象、概念，顯現在我們的心境時，就明了區別而覺得：這是什麼，那是什麼，與我們的語言稱說對象相同，所以叫名言識，就是一般世俗的認識。</w:t>
      </w:r>
      <w:r w:rsidRPr="00C80821">
        <w:rPr>
          <w:rFonts w:ascii="標楷體" w:eastAsia="標楷體" w:hAnsi="標楷體" w:hint="eastAsia"/>
          <w:szCs w:val="22"/>
          <w:shd w:val="pct15" w:color="auto" w:fill="FFFFFF"/>
        </w:rPr>
        <w:t>……</w:t>
      </w:r>
      <w:r w:rsidRPr="00043A1E">
        <w:rPr>
          <w:rFonts w:ascii="標楷體" w:eastAsia="標楷體" w:hAnsi="標楷體" w:hint="eastAsia"/>
          <w:szCs w:val="22"/>
        </w:rPr>
        <w:t>我們的根識──眼識、耳識、鼻識、舌識、身識，還有意識，都是這樣的認識。</w:t>
      </w:r>
      <w:r w:rsidRPr="00043A1E">
        <w:rPr>
          <w:rFonts w:ascii="標楷體" w:eastAsia="標楷體" w:hAnsi="標楷體" w:hint="eastAsia"/>
          <w:b/>
          <w:szCs w:val="22"/>
        </w:rPr>
        <w:t>這都是依慣習的心境而來；世間以為如此，就以為如此的。在這不尋求真相的世俗共認的基本知識上，發展為世間的一切知識。</w:t>
      </w:r>
      <w:r w:rsidRPr="00043A1E">
        <w:rPr>
          <w:rFonts w:ascii="標楷體" w:eastAsia="標楷體" w:hAnsi="標楷體" w:hint="eastAsia"/>
          <w:szCs w:val="22"/>
        </w:rPr>
        <w:t>如一一的尋求究竟相，那世俗知識就不能成立了。</w:t>
      </w:r>
    </w:p>
  </w:footnote>
  <w:footnote w:id="837">
    <w:p w:rsidR="00157EF6" w:rsidRPr="00043A1E" w:rsidRDefault="00157EF6" w:rsidP="00AA120F">
      <w:pPr>
        <w:pStyle w:val="a5"/>
        <w:spacing w:line="300" w:lineRule="exac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得意：</w:t>
      </w:r>
      <w:r w:rsidRPr="00761EF3">
        <w:rPr>
          <w:rFonts w:hint="eastAsia"/>
          <w:szCs w:val="22"/>
        </w:rPr>
        <w:t>1</w:t>
      </w:r>
      <w:r w:rsidRPr="00043A1E">
        <w:rPr>
          <w:rFonts w:hint="eastAsia"/>
          <w:szCs w:val="22"/>
        </w:rPr>
        <w:t>.</w:t>
      </w:r>
      <w:r w:rsidRPr="00043A1E">
        <w:rPr>
          <w:rFonts w:hint="eastAsia"/>
          <w:szCs w:val="22"/>
        </w:rPr>
        <w:t>領會旨趣。</w:t>
      </w:r>
      <w:r w:rsidRPr="00043A1E">
        <w:rPr>
          <w:szCs w:val="22"/>
        </w:rPr>
        <w:t>（</w:t>
      </w:r>
      <w:r w:rsidRPr="00043A1E">
        <w:rPr>
          <w:rFonts w:hint="eastAsia"/>
          <w:szCs w:val="22"/>
        </w:rPr>
        <w:t>《漢語大詞典》（三），</w:t>
      </w:r>
      <w:r w:rsidRPr="00761EF3">
        <w:rPr>
          <w:szCs w:val="22"/>
        </w:rPr>
        <w:t>p</w:t>
      </w:r>
      <w:r w:rsidRPr="00043A1E">
        <w:rPr>
          <w:szCs w:val="22"/>
        </w:rPr>
        <w:t>.</w:t>
      </w:r>
      <w:r w:rsidRPr="00761EF3">
        <w:rPr>
          <w:rFonts w:hint="eastAsia"/>
          <w:szCs w:val="22"/>
        </w:rPr>
        <w:t>988</w:t>
      </w:r>
      <w:r w:rsidRPr="00043A1E">
        <w:rPr>
          <w:rFonts w:hint="eastAsia"/>
          <w:szCs w:val="22"/>
        </w:rPr>
        <w:t>）</w:t>
      </w:r>
    </w:p>
  </w:footnote>
  <w:footnote w:id="838">
    <w:p w:rsidR="00157EF6" w:rsidRPr="00043A1E" w:rsidRDefault="00157EF6" w:rsidP="00AA120F">
      <w:pPr>
        <w:pStyle w:val="a5"/>
        <w:spacing w:line="300" w:lineRule="exac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窠臼：</w:t>
      </w:r>
      <w:r w:rsidRPr="00761EF3">
        <w:rPr>
          <w:rFonts w:hint="eastAsia"/>
          <w:szCs w:val="22"/>
        </w:rPr>
        <w:t>2</w:t>
      </w:r>
      <w:r w:rsidRPr="00043A1E">
        <w:rPr>
          <w:rFonts w:hint="eastAsia"/>
          <w:szCs w:val="22"/>
        </w:rPr>
        <w:t>.</w:t>
      </w:r>
      <w:r w:rsidRPr="00043A1E">
        <w:rPr>
          <w:rFonts w:hint="eastAsia"/>
          <w:szCs w:val="22"/>
        </w:rPr>
        <w:t>比喻舊有的現成格式，老套子。</w:t>
      </w:r>
      <w:r w:rsidRPr="00043A1E">
        <w:rPr>
          <w:szCs w:val="22"/>
        </w:rPr>
        <w:t>（</w:t>
      </w:r>
      <w:r w:rsidRPr="00043A1E">
        <w:rPr>
          <w:rFonts w:hint="eastAsia"/>
          <w:szCs w:val="22"/>
        </w:rPr>
        <w:t>《漢語大詞典》（八），</w:t>
      </w:r>
      <w:r w:rsidRPr="00761EF3">
        <w:rPr>
          <w:szCs w:val="22"/>
        </w:rPr>
        <w:t>p</w:t>
      </w:r>
      <w:r w:rsidRPr="00043A1E">
        <w:rPr>
          <w:szCs w:val="22"/>
        </w:rPr>
        <w:t>.</w:t>
      </w:r>
      <w:r w:rsidRPr="00761EF3">
        <w:rPr>
          <w:rFonts w:hint="eastAsia"/>
          <w:szCs w:val="22"/>
        </w:rPr>
        <w:t>449</w:t>
      </w:r>
      <w:r w:rsidRPr="00043A1E">
        <w:rPr>
          <w:rFonts w:hint="eastAsia"/>
          <w:szCs w:val="22"/>
        </w:rPr>
        <w:t>）</w:t>
      </w:r>
    </w:p>
  </w:footnote>
  <w:footnote w:id="839">
    <w:p w:rsidR="00157EF6" w:rsidRPr="00043A1E" w:rsidRDefault="00157EF6" w:rsidP="00AA120F">
      <w:pPr>
        <w:pStyle w:val="a5"/>
        <w:spacing w:line="300" w:lineRule="exac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宗喀巴</w:t>
      </w:r>
      <w:r w:rsidR="00C12C9C">
        <w:rPr>
          <w:rFonts w:hint="eastAsia"/>
          <w:szCs w:val="22"/>
        </w:rPr>
        <w:t>著，法尊</w:t>
      </w:r>
      <w:r w:rsidRPr="00043A1E">
        <w:rPr>
          <w:rFonts w:hint="eastAsia"/>
          <w:szCs w:val="22"/>
        </w:rPr>
        <w:t>譯，《菩提道次第廣論》卷</w:t>
      </w:r>
      <w:r w:rsidRPr="00761EF3">
        <w:rPr>
          <w:rFonts w:hint="eastAsia"/>
          <w:szCs w:val="22"/>
        </w:rPr>
        <w:t>19</w:t>
      </w:r>
      <w:r>
        <w:rPr>
          <w:rFonts w:hint="eastAsia"/>
          <w:szCs w:val="22"/>
        </w:rPr>
        <w:t>，</w:t>
      </w:r>
      <w:r w:rsidR="00AD14BF">
        <w:rPr>
          <w:rFonts w:hint="eastAsia"/>
          <w:szCs w:val="22"/>
        </w:rPr>
        <w:t>台北，福智之聲</w:t>
      </w:r>
      <w:r w:rsidRPr="00043A1E">
        <w:rPr>
          <w:rFonts w:hint="eastAsia"/>
          <w:szCs w:val="22"/>
        </w:rPr>
        <w:t>出版社，</w:t>
      </w:r>
      <w:r w:rsidRPr="00761EF3">
        <w:rPr>
          <w:rFonts w:hint="eastAsia"/>
          <w:szCs w:val="22"/>
        </w:rPr>
        <w:t>1995</w:t>
      </w:r>
      <w:r w:rsidRPr="00043A1E">
        <w:rPr>
          <w:rFonts w:hint="eastAsia"/>
          <w:szCs w:val="22"/>
        </w:rPr>
        <w:t>年</w:t>
      </w:r>
      <w:r w:rsidRPr="00761EF3">
        <w:rPr>
          <w:rFonts w:hint="eastAsia"/>
          <w:szCs w:val="22"/>
        </w:rPr>
        <w:t>3</w:t>
      </w:r>
      <w:r w:rsidRPr="00043A1E">
        <w:rPr>
          <w:rFonts w:hint="eastAsia"/>
          <w:szCs w:val="22"/>
        </w:rPr>
        <w:t>月，</w:t>
      </w:r>
      <w:r w:rsidRPr="00761EF3">
        <w:rPr>
          <w:rFonts w:hint="eastAsia"/>
          <w:szCs w:val="22"/>
        </w:rPr>
        <w:t>p</w:t>
      </w:r>
      <w:r w:rsidRPr="00043A1E">
        <w:rPr>
          <w:rFonts w:hint="eastAsia"/>
          <w:szCs w:val="22"/>
        </w:rPr>
        <w:t>.</w:t>
      </w:r>
      <w:r w:rsidRPr="00761EF3">
        <w:rPr>
          <w:rFonts w:hint="eastAsia"/>
          <w:szCs w:val="22"/>
        </w:rPr>
        <w:t>452</w:t>
      </w:r>
      <w:r w:rsidRPr="00043A1E">
        <w:rPr>
          <w:rFonts w:hint="eastAsia"/>
          <w:szCs w:val="22"/>
        </w:rPr>
        <w:t>：</w:t>
      </w:r>
    </w:p>
    <w:p w:rsidR="00B86852" w:rsidRDefault="00157EF6" w:rsidP="00AA120F">
      <w:pPr>
        <w:pStyle w:val="a5"/>
        <w:spacing w:line="300" w:lineRule="exact"/>
        <w:ind w:leftChars="105" w:left="252"/>
        <w:jc w:val="both"/>
        <w:rPr>
          <w:rFonts w:ascii="標楷體" w:eastAsia="標楷體" w:hAnsi="標楷體"/>
          <w:szCs w:val="22"/>
        </w:rPr>
      </w:pPr>
      <w:r w:rsidRPr="00043A1E">
        <w:rPr>
          <w:rFonts w:ascii="標楷體" w:eastAsia="標楷體" w:hAnsi="標楷體" w:hint="eastAsia"/>
          <w:szCs w:val="22"/>
        </w:rPr>
        <w:t>第二破所破太狹。有作是言，所破</w:t>
      </w:r>
      <w:r w:rsidRPr="00B86852">
        <w:rPr>
          <w:rFonts w:ascii="標楷體" w:eastAsia="標楷體" w:hAnsi="標楷體" w:hint="eastAsia"/>
          <w:szCs w:val="22"/>
          <w:u w:val="wave" w:color="C00000"/>
        </w:rPr>
        <w:t>自性</w:t>
      </w:r>
      <w:r w:rsidRPr="00043A1E">
        <w:rPr>
          <w:rFonts w:ascii="標楷體" w:eastAsia="標楷體" w:hAnsi="標楷體" w:hint="eastAsia"/>
          <w:szCs w:val="22"/>
        </w:rPr>
        <w:t>具三差別：一、自性非由因緣所生，</w:t>
      </w:r>
    </w:p>
    <w:p w:rsidR="00157EF6" w:rsidRPr="00043A1E" w:rsidRDefault="00157EF6" w:rsidP="00AA120F">
      <w:pPr>
        <w:pStyle w:val="a5"/>
        <w:spacing w:line="300" w:lineRule="exact"/>
        <w:ind w:leftChars="105" w:left="252"/>
        <w:jc w:val="both"/>
        <w:rPr>
          <w:szCs w:val="22"/>
        </w:rPr>
      </w:pPr>
      <w:r w:rsidRPr="00043A1E">
        <w:rPr>
          <w:rFonts w:ascii="標楷體" w:eastAsia="標楷體" w:hAnsi="標楷體" w:hint="eastAsia"/>
          <w:szCs w:val="22"/>
        </w:rPr>
        <w:t>二、時位無變，三、不待他立。</w:t>
      </w:r>
    </w:p>
  </w:footnote>
  <w:footnote w:id="840">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印順法師，《華雨集》（</w:t>
      </w:r>
      <w:r>
        <w:rPr>
          <w:rFonts w:hint="eastAsia"/>
          <w:szCs w:val="22"/>
        </w:rPr>
        <w:t>第</w:t>
      </w:r>
      <w:r w:rsidRPr="00043A1E">
        <w:rPr>
          <w:rFonts w:hint="eastAsia"/>
          <w:szCs w:val="22"/>
        </w:rPr>
        <w:t>四</w:t>
      </w:r>
      <w:r>
        <w:rPr>
          <w:rFonts w:hint="eastAsia"/>
          <w:szCs w:val="22"/>
        </w:rPr>
        <w:t>冊</w:t>
      </w:r>
      <w:r w:rsidRPr="00043A1E">
        <w:rPr>
          <w:rFonts w:hint="eastAsia"/>
          <w:szCs w:val="22"/>
        </w:rPr>
        <w:t>），</w:t>
      </w:r>
      <w:r w:rsidRPr="00761EF3">
        <w:rPr>
          <w:rFonts w:hint="eastAsia"/>
          <w:szCs w:val="22"/>
        </w:rPr>
        <w:t>p</w:t>
      </w:r>
      <w:r w:rsidRPr="00043A1E">
        <w:rPr>
          <w:rFonts w:hint="eastAsia"/>
          <w:szCs w:val="22"/>
        </w:rPr>
        <w:t>.</w:t>
      </w:r>
      <w:r w:rsidRPr="00761EF3">
        <w:rPr>
          <w:rFonts w:hint="eastAsia"/>
          <w:szCs w:val="22"/>
        </w:rPr>
        <w:t>257</w:t>
      </w:r>
      <w:r w:rsidRPr="00043A1E">
        <w:rPr>
          <w:rFonts w:hint="eastAsia"/>
          <w:szCs w:val="22"/>
        </w:rPr>
        <w:t>：</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hint="eastAsia"/>
          <w:szCs w:val="22"/>
        </w:rPr>
        <w:t>如小乘所說「極微」──空間的物質點，沒有方──沒有方位的「此」彼，也沒有分，就是不可再分割的，稱為「無方極微」。</w:t>
      </w:r>
    </w:p>
  </w:footnote>
  <w:footnote w:id="841">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）印順法師，《中觀今論》，〈自序〉，</w:t>
      </w:r>
      <w:r w:rsidRPr="00761EF3">
        <w:rPr>
          <w:rFonts w:hint="eastAsia"/>
          <w:szCs w:val="22"/>
        </w:rPr>
        <w:t>p</w:t>
      </w:r>
      <w:r w:rsidRPr="00043A1E">
        <w:rPr>
          <w:rFonts w:hint="eastAsia"/>
          <w:szCs w:val="22"/>
        </w:rPr>
        <w:t>.</w:t>
      </w:r>
      <w:r w:rsidR="00FE5E5D" w:rsidRPr="00FE5E5D">
        <w:rPr>
          <w:rFonts w:hint="eastAsia"/>
          <w:color w:val="FF0000"/>
          <w:szCs w:val="22"/>
          <w:highlight w:val="yellow"/>
        </w:rPr>
        <w:t>a</w:t>
      </w:r>
      <w:r w:rsidRPr="00761EF3">
        <w:rPr>
          <w:rFonts w:hint="eastAsia"/>
          <w:szCs w:val="22"/>
        </w:rPr>
        <w:t>7</w:t>
      </w:r>
      <w:r w:rsidRPr="00043A1E">
        <w:rPr>
          <w:rFonts w:hint="eastAsia"/>
          <w:szCs w:val="22"/>
        </w:rPr>
        <w:t>：</w:t>
      </w:r>
    </w:p>
    <w:p w:rsidR="00157EF6" w:rsidRPr="00043A1E" w:rsidRDefault="00157EF6" w:rsidP="00AA120F">
      <w:pPr>
        <w:pStyle w:val="a5"/>
        <w:ind w:leftChars="335" w:left="804"/>
        <w:jc w:val="both"/>
        <w:rPr>
          <w:szCs w:val="22"/>
        </w:rPr>
      </w:pPr>
      <w:r w:rsidRPr="00043A1E">
        <w:rPr>
          <w:rFonts w:ascii="標楷體" w:eastAsia="標楷體" w:hAnsi="標楷體" w:hint="eastAsia"/>
          <w:szCs w:val="22"/>
        </w:rPr>
        <w:t>智慧與慈悲，為佛法的宗本，而同基於緣起的正覺。從智慧（真）說：一切是緣起的存在，展轉相依，剎那流變，即是無我的緣起。無我，即否定</w:t>
      </w:r>
      <w:r w:rsidRPr="00043A1E">
        <w:rPr>
          <w:rFonts w:ascii="標楷體" w:eastAsia="標楷體" w:hAnsi="標楷體" w:hint="eastAsia"/>
          <w:b/>
          <w:szCs w:val="22"/>
        </w:rPr>
        <w:t>實在性</w:t>
      </w:r>
      <w:r w:rsidRPr="00043A1E">
        <w:rPr>
          <w:rFonts w:ascii="標楷體" w:eastAsia="標楷體" w:hAnsi="標楷體" w:hint="eastAsia"/>
          <w:szCs w:val="22"/>
        </w:rPr>
        <w:t>及所含攝得的</w:t>
      </w:r>
      <w:r w:rsidRPr="00043A1E">
        <w:rPr>
          <w:rFonts w:ascii="標楷體" w:eastAsia="標楷體" w:hAnsi="標楷體" w:hint="eastAsia"/>
          <w:b/>
          <w:szCs w:val="22"/>
        </w:rPr>
        <w:t>不變性</w:t>
      </w:r>
      <w:r w:rsidRPr="00043A1E">
        <w:rPr>
          <w:rFonts w:ascii="標楷體" w:eastAsia="標楷體" w:hAnsi="標楷體" w:hint="eastAsia"/>
          <w:szCs w:val="22"/>
        </w:rPr>
        <w:t>與</w:t>
      </w:r>
      <w:r w:rsidRPr="00043A1E">
        <w:rPr>
          <w:rFonts w:ascii="標楷體" w:eastAsia="標楷體" w:hAnsi="標楷體" w:hint="eastAsia"/>
          <w:b/>
          <w:szCs w:val="22"/>
        </w:rPr>
        <w:t>獨存性</w:t>
      </w:r>
      <w:r w:rsidRPr="00043A1E">
        <w:rPr>
          <w:rFonts w:ascii="標楷體" w:eastAsia="標楷體" w:hAnsi="標楷體" w:hint="eastAsia"/>
          <w:szCs w:val="22"/>
        </w:rPr>
        <w:t>。宇宙的一切，沒有這樣的存在，所以否認創造神，也應該否定絕對理性或絕對精神等形而上的任何實在自體。</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）印順法師，《中觀今論》，第</w:t>
      </w:r>
      <w:r w:rsidRPr="00761EF3">
        <w:rPr>
          <w:rFonts w:hint="eastAsia"/>
          <w:szCs w:val="22"/>
        </w:rPr>
        <w:t>5</w:t>
      </w:r>
      <w:r w:rsidRPr="00043A1E">
        <w:rPr>
          <w:rFonts w:hint="eastAsia"/>
          <w:szCs w:val="22"/>
        </w:rPr>
        <w:t>章，第</w:t>
      </w:r>
      <w:r w:rsidRPr="00761EF3">
        <w:rPr>
          <w:rFonts w:hint="eastAsia"/>
          <w:szCs w:val="22"/>
        </w:rPr>
        <w:t>2</w:t>
      </w:r>
      <w:r w:rsidRPr="00043A1E">
        <w:rPr>
          <w:rFonts w:hint="eastAsia"/>
          <w:szCs w:val="22"/>
        </w:rPr>
        <w:t>節〈自性〉，</w:t>
      </w:r>
      <w:r w:rsidRPr="00761EF3">
        <w:rPr>
          <w:rFonts w:hint="eastAsia"/>
          <w:szCs w:val="22"/>
        </w:rPr>
        <w:t>p</w:t>
      </w:r>
      <w:r w:rsidRPr="00043A1E">
        <w:rPr>
          <w:rFonts w:hint="eastAsia"/>
          <w:szCs w:val="22"/>
        </w:rPr>
        <w:t>.</w:t>
      </w:r>
      <w:r w:rsidRPr="00761EF3">
        <w:rPr>
          <w:rFonts w:hint="eastAsia"/>
          <w:szCs w:val="22"/>
        </w:rPr>
        <w:t>70</w:t>
      </w:r>
      <w:r w:rsidRPr="00043A1E">
        <w:rPr>
          <w:rFonts w:hint="eastAsia"/>
          <w:szCs w:val="22"/>
        </w:rPr>
        <w:t>：</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所謂自性，以</w:t>
      </w:r>
      <w:r w:rsidRPr="00043A1E">
        <w:rPr>
          <w:rFonts w:ascii="標楷體" w:eastAsia="標楷體" w:hAnsi="標楷體" w:hint="eastAsia"/>
          <w:b/>
          <w:szCs w:val="22"/>
        </w:rPr>
        <w:t>實在性</w:t>
      </w:r>
      <w:r w:rsidRPr="00043A1E">
        <w:rPr>
          <w:rFonts w:ascii="標楷體" w:eastAsia="標楷體" w:hAnsi="標楷體" w:hint="eastAsia"/>
          <w:szCs w:val="22"/>
        </w:rPr>
        <w:t>為本而含攝得</w:t>
      </w:r>
      <w:r w:rsidRPr="00043A1E">
        <w:rPr>
          <w:rFonts w:ascii="標楷體" w:eastAsia="標楷體" w:hAnsi="標楷體" w:hint="eastAsia"/>
          <w:b/>
          <w:szCs w:val="22"/>
        </w:rPr>
        <w:t>不變性</w:t>
      </w:r>
      <w:r w:rsidRPr="00043A1E">
        <w:rPr>
          <w:rFonts w:ascii="標楷體" w:eastAsia="標楷體" w:hAnsi="標楷體" w:hint="eastAsia"/>
          <w:szCs w:val="22"/>
        </w:rPr>
        <w:t>與</w:t>
      </w:r>
      <w:r w:rsidRPr="00043A1E">
        <w:rPr>
          <w:rFonts w:ascii="標楷體" w:eastAsia="標楷體" w:hAnsi="標楷體" w:hint="eastAsia"/>
          <w:b/>
          <w:szCs w:val="22"/>
        </w:rPr>
        <w:t>自成性</w:t>
      </w:r>
      <w:r w:rsidRPr="00043A1E">
        <w:rPr>
          <w:rFonts w:ascii="標楷體" w:eastAsia="標楷體" w:hAnsi="標楷體" w:hint="eastAsia"/>
          <w:szCs w:val="22"/>
        </w:rPr>
        <w:t>。</w:t>
      </w:r>
      <w:r w:rsidRPr="00043A1E">
        <w:rPr>
          <w:rFonts w:ascii="標楷體" w:eastAsia="標楷體" w:hAnsi="標楷體" w:hint="eastAsia"/>
          <w:b/>
          <w:szCs w:val="22"/>
        </w:rPr>
        <w:t>西藏學者有說自性的定義為：不從緣生</w:t>
      </w:r>
      <w:r w:rsidR="008244C6">
        <w:rPr>
          <w:rFonts w:ascii="標楷體" w:eastAsia="標楷體" w:hAnsi="標楷體" w:hint="eastAsia"/>
          <w:b/>
          <w:color w:val="FF0000"/>
          <w:szCs w:val="22"/>
          <w:highlight w:val="yellow"/>
        </w:rPr>
        <w:t>、</w:t>
      </w:r>
      <w:r w:rsidRPr="00043A1E">
        <w:rPr>
          <w:rFonts w:ascii="標楷體" w:eastAsia="標楷體" w:hAnsi="標楷體" w:hint="eastAsia"/>
          <w:b/>
          <w:szCs w:val="22"/>
        </w:rPr>
        <w:t>無變性</w:t>
      </w:r>
      <w:r w:rsidR="008244C6">
        <w:rPr>
          <w:rFonts w:ascii="標楷體" w:eastAsia="標楷體" w:hAnsi="標楷體" w:hint="eastAsia"/>
          <w:b/>
          <w:color w:val="FF0000"/>
          <w:szCs w:val="22"/>
          <w:highlight w:val="yellow"/>
        </w:rPr>
        <w:t>、</w:t>
      </w:r>
      <w:r w:rsidRPr="00043A1E">
        <w:rPr>
          <w:rFonts w:ascii="標楷體" w:eastAsia="標楷體" w:hAnsi="標楷體" w:hint="eastAsia"/>
          <w:b/>
          <w:szCs w:val="22"/>
        </w:rPr>
        <w:t>不待它，大體相近</w:t>
      </w:r>
      <w:r w:rsidRPr="00043A1E">
        <w:rPr>
          <w:rFonts w:ascii="標楷體" w:eastAsia="標楷體" w:hAnsi="標楷體" w:hint="eastAsia"/>
          <w:szCs w:val="22"/>
        </w:rPr>
        <w:t>。自性的含義中，</w:t>
      </w:r>
      <w:r w:rsidRPr="00043A1E">
        <w:rPr>
          <w:rFonts w:ascii="標楷體" w:eastAsia="標楷體" w:hAnsi="標楷體" w:hint="eastAsia"/>
          <w:b/>
          <w:szCs w:val="22"/>
        </w:rPr>
        <w:t>不待它</w:t>
      </w:r>
      <w:r w:rsidRPr="00043A1E">
        <w:rPr>
          <w:rFonts w:ascii="標楷體" w:eastAsia="標楷體" w:hAnsi="標楷體" w:hint="eastAsia"/>
          <w:szCs w:val="22"/>
        </w:rPr>
        <w:t>的自成性，是從</w:t>
      </w:r>
      <w:r w:rsidRPr="00043A1E">
        <w:rPr>
          <w:rFonts w:ascii="標楷體" w:eastAsia="標楷體" w:hAnsi="標楷體" w:hint="eastAsia"/>
          <w:b/>
          <w:szCs w:val="22"/>
        </w:rPr>
        <w:t>橫的（空間化）</w:t>
      </w:r>
      <w:r w:rsidRPr="00043A1E">
        <w:rPr>
          <w:rFonts w:ascii="標楷體" w:eastAsia="標楷體" w:hAnsi="標楷體" w:hint="eastAsia"/>
          <w:szCs w:val="22"/>
        </w:rPr>
        <w:t>方面說明；非作的</w:t>
      </w:r>
      <w:r w:rsidRPr="00043A1E">
        <w:rPr>
          <w:rFonts w:ascii="標楷體" w:eastAsia="標楷體" w:hAnsi="標楷體" w:hint="eastAsia"/>
          <w:b/>
          <w:szCs w:val="22"/>
        </w:rPr>
        <w:t>不變性</w:t>
      </w:r>
      <w:r w:rsidRPr="00043A1E">
        <w:rPr>
          <w:rFonts w:ascii="標楷體" w:eastAsia="標楷體" w:hAnsi="標楷體" w:hint="eastAsia"/>
          <w:szCs w:val="22"/>
        </w:rPr>
        <w:t>，是從</w:t>
      </w:r>
      <w:r w:rsidRPr="00043A1E">
        <w:rPr>
          <w:rFonts w:ascii="標楷體" w:eastAsia="標楷體" w:hAnsi="標楷體" w:hint="eastAsia"/>
          <w:b/>
          <w:szCs w:val="22"/>
        </w:rPr>
        <w:t>縱的（時間化）</w:t>
      </w:r>
      <w:r w:rsidRPr="00043A1E">
        <w:rPr>
          <w:rFonts w:ascii="標楷體" w:eastAsia="標楷體" w:hAnsi="標楷體" w:hint="eastAsia"/>
          <w:szCs w:val="22"/>
        </w:rPr>
        <w:t>方面說明；而</w:t>
      </w:r>
      <w:r w:rsidRPr="00043A1E">
        <w:rPr>
          <w:rFonts w:ascii="標楷體" w:eastAsia="標楷體" w:hAnsi="標楷體" w:hint="eastAsia"/>
          <w:b/>
          <w:szCs w:val="22"/>
        </w:rPr>
        <w:t>實在性</w:t>
      </w:r>
      <w:r w:rsidRPr="00043A1E">
        <w:rPr>
          <w:rFonts w:ascii="標楷體" w:eastAsia="標楷體" w:hAnsi="標楷體" w:hint="eastAsia"/>
          <w:szCs w:val="22"/>
        </w:rPr>
        <w:t>，即</w:t>
      </w:r>
      <w:r w:rsidRPr="00043A1E">
        <w:rPr>
          <w:rFonts w:ascii="標楷體" w:eastAsia="標楷體" w:hAnsi="標楷體" w:hint="eastAsia"/>
          <w:b/>
          <w:szCs w:val="22"/>
        </w:rPr>
        <w:t>豎入（直觀）法體</w:t>
      </w:r>
      <w:r w:rsidRPr="00043A1E">
        <w:rPr>
          <w:rFonts w:ascii="標楷體" w:eastAsia="標楷體" w:hAnsi="標楷體" w:hint="eastAsia"/>
          <w:szCs w:val="22"/>
        </w:rPr>
        <w:t>的說明。而佛法的緣起觀，是與這自性執完全相反。所以，自性即非緣起，緣起即無自性，二者不能並存，《中論》曾反覆的說到。</w:t>
      </w:r>
    </w:p>
  </w:footnote>
  <w:footnote w:id="842">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3</w:t>
      </w:r>
      <w:r w:rsidRPr="00043A1E">
        <w:rPr>
          <w:rFonts w:hint="eastAsia"/>
          <w:szCs w:val="22"/>
        </w:rPr>
        <w:t>）印順法師，《中觀今論》，第</w:t>
      </w:r>
      <w:r w:rsidRPr="00761EF3">
        <w:rPr>
          <w:rFonts w:hint="eastAsia"/>
          <w:szCs w:val="22"/>
        </w:rPr>
        <w:t>6</w:t>
      </w:r>
      <w:r w:rsidRPr="00043A1E">
        <w:rPr>
          <w:rFonts w:hint="eastAsia"/>
          <w:szCs w:val="22"/>
        </w:rPr>
        <w:t>章，第</w:t>
      </w:r>
      <w:r w:rsidRPr="00761EF3">
        <w:rPr>
          <w:rFonts w:hint="eastAsia"/>
          <w:szCs w:val="22"/>
        </w:rPr>
        <w:t>2</w:t>
      </w:r>
      <w:r w:rsidRPr="00043A1E">
        <w:rPr>
          <w:rFonts w:hint="eastAsia"/>
          <w:szCs w:val="22"/>
        </w:rPr>
        <w:t>節〈不〉，</w:t>
      </w:r>
      <w:r w:rsidRPr="00761EF3">
        <w:rPr>
          <w:rFonts w:hint="eastAsia"/>
          <w:szCs w:val="22"/>
        </w:rPr>
        <w:t>p</w:t>
      </w:r>
      <w:r w:rsidRPr="00043A1E">
        <w:rPr>
          <w:rFonts w:hint="eastAsia"/>
          <w:szCs w:val="22"/>
        </w:rPr>
        <w:t>.</w:t>
      </w:r>
      <w:r w:rsidRPr="00761EF3">
        <w:rPr>
          <w:rFonts w:hint="eastAsia"/>
          <w:szCs w:val="22"/>
        </w:rPr>
        <w:t>111</w:t>
      </w:r>
      <w:r w:rsidRPr="00043A1E">
        <w:rPr>
          <w:rFonts w:hint="eastAsia"/>
          <w:szCs w:val="22"/>
        </w:rPr>
        <w:t>：</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自性，即於實有性而顯為自有性、不變性、不待他性。</w:t>
      </w:r>
    </w:p>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直感：即直接感受。</w:t>
      </w:r>
      <w:r w:rsidRPr="00043A1E">
        <w:rPr>
          <w:szCs w:val="22"/>
        </w:rPr>
        <w:t>（</w:t>
      </w:r>
      <w:r w:rsidRPr="00043A1E">
        <w:rPr>
          <w:rFonts w:hint="eastAsia"/>
          <w:szCs w:val="22"/>
        </w:rPr>
        <w:t>《漢語大詞典》（一），</w:t>
      </w:r>
      <w:r w:rsidRPr="00761EF3">
        <w:rPr>
          <w:szCs w:val="22"/>
        </w:rPr>
        <w:t>p</w:t>
      </w:r>
      <w:r w:rsidRPr="00043A1E">
        <w:rPr>
          <w:szCs w:val="22"/>
        </w:rPr>
        <w:t>.</w:t>
      </w:r>
      <w:r w:rsidRPr="00761EF3">
        <w:rPr>
          <w:rFonts w:hint="eastAsia"/>
          <w:szCs w:val="22"/>
        </w:rPr>
        <w:t>853</w:t>
      </w:r>
      <w:r w:rsidRPr="00043A1E">
        <w:rPr>
          <w:rFonts w:hint="eastAsia"/>
          <w:szCs w:val="22"/>
        </w:rPr>
        <w:t>）</w:t>
      </w:r>
    </w:p>
  </w:footnote>
  <w:footnote w:id="843">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009160B5">
        <w:rPr>
          <w:rFonts w:hint="eastAsia"/>
          <w:szCs w:val="22"/>
        </w:rPr>
        <w:t>參見：印</w:t>
      </w:r>
      <w:r w:rsidRPr="00043A1E">
        <w:rPr>
          <w:rFonts w:hint="eastAsia"/>
          <w:szCs w:val="22"/>
        </w:rPr>
        <w:t>順法師，《中觀今論》，第</w:t>
      </w:r>
      <w:r w:rsidRPr="00761EF3">
        <w:rPr>
          <w:rFonts w:hint="eastAsia"/>
          <w:szCs w:val="22"/>
        </w:rPr>
        <w:t>5</w:t>
      </w:r>
      <w:r w:rsidRPr="00043A1E">
        <w:rPr>
          <w:rFonts w:hint="eastAsia"/>
          <w:szCs w:val="22"/>
        </w:rPr>
        <w:t>章，第</w:t>
      </w:r>
      <w:r w:rsidRPr="00761EF3">
        <w:rPr>
          <w:rFonts w:hint="eastAsia"/>
          <w:szCs w:val="22"/>
        </w:rPr>
        <w:t>2</w:t>
      </w:r>
      <w:r w:rsidRPr="00043A1E">
        <w:rPr>
          <w:rFonts w:hint="eastAsia"/>
          <w:szCs w:val="22"/>
        </w:rPr>
        <w:t>節〈自性〉，</w:t>
      </w:r>
      <w:r w:rsidRPr="00761EF3">
        <w:rPr>
          <w:rFonts w:hint="eastAsia"/>
          <w:szCs w:val="22"/>
        </w:rPr>
        <w:t>pp</w:t>
      </w:r>
      <w:r w:rsidRPr="00043A1E">
        <w:rPr>
          <w:rFonts w:hint="eastAsia"/>
          <w:szCs w:val="22"/>
        </w:rPr>
        <w:t>.</w:t>
      </w:r>
      <w:r w:rsidRPr="00761EF3">
        <w:rPr>
          <w:rFonts w:hint="eastAsia"/>
          <w:szCs w:val="22"/>
        </w:rPr>
        <w:t>68</w:t>
      </w:r>
      <w:r w:rsidRPr="00043A1E">
        <w:rPr>
          <w:rFonts w:hint="eastAsia"/>
          <w:szCs w:val="22"/>
        </w:rPr>
        <w:t>-</w:t>
      </w:r>
      <w:r w:rsidRPr="00761EF3">
        <w:rPr>
          <w:rFonts w:hint="eastAsia"/>
          <w:szCs w:val="22"/>
        </w:rPr>
        <w:t>70</w:t>
      </w:r>
      <w:r w:rsidRPr="00043A1E">
        <w:rPr>
          <w:rFonts w:hint="eastAsia"/>
          <w:szCs w:val="22"/>
        </w:rPr>
        <w:t>。</w:t>
      </w:r>
    </w:p>
  </w:footnote>
  <w:footnote w:id="844">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）《中論》卷</w:t>
      </w:r>
      <w:r w:rsidRPr="00761EF3">
        <w:rPr>
          <w:rFonts w:hint="eastAsia"/>
          <w:szCs w:val="22"/>
        </w:rPr>
        <w:t>4</w:t>
      </w:r>
      <w:r w:rsidRPr="00043A1E">
        <w:rPr>
          <w:rFonts w:hint="eastAsia"/>
          <w:szCs w:val="22"/>
        </w:rPr>
        <w:t>〈</w:t>
      </w:r>
      <w:r w:rsidRPr="00761EF3">
        <w:rPr>
          <w:rFonts w:hint="eastAsia"/>
          <w:szCs w:val="22"/>
        </w:rPr>
        <w:t>24</w:t>
      </w:r>
      <w:r w:rsidRPr="00043A1E">
        <w:rPr>
          <w:rFonts w:hint="eastAsia"/>
          <w:szCs w:val="22"/>
        </w:rPr>
        <w:t xml:space="preserve"> </w:t>
      </w:r>
      <w:r w:rsidRPr="00043A1E">
        <w:rPr>
          <w:rFonts w:hint="eastAsia"/>
          <w:szCs w:val="22"/>
        </w:rPr>
        <w:t>觀四諦品〉（青目釋）（大正</w:t>
      </w:r>
      <w:r w:rsidRPr="00761EF3">
        <w:rPr>
          <w:rFonts w:hint="eastAsia"/>
          <w:szCs w:val="22"/>
        </w:rPr>
        <w:t>30</w:t>
      </w:r>
      <w:r w:rsidRPr="00043A1E">
        <w:rPr>
          <w:rFonts w:hint="eastAsia"/>
          <w:szCs w:val="22"/>
        </w:rPr>
        <w:t>，</w:t>
      </w:r>
      <w:r w:rsidRPr="00761EF3">
        <w:rPr>
          <w:rFonts w:hint="eastAsia"/>
          <w:szCs w:val="22"/>
        </w:rPr>
        <w:t>33b3</w:t>
      </w:r>
      <w:r w:rsidRPr="00043A1E">
        <w:rPr>
          <w:rFonts w:hint="eastAsia"/>
          <w:szCs w:val="22"/>
        </w:rPr>
        <w:t>-</w:t>
      </w:r>
      <w:r w:rsidRPr="00761EF3">
        <w:rPr>
          <w:rFonts w:hint="eastAsia"/>
          <w:szCs w:val="22"/>
        </w:rPr>
        <w:t>19</w:t>
      </w:r>
      <w:r w:rsidRPr="00043A1E">
        <w:rPr>
          <w:rFonts w:hint="eastAsia"/>
          <w:szCs w:val="22"/>
        </w:rPr>
        <w:t>）：</w:t>
      </w:r>
    </w:p>
    <w:p w:rsidR="00157EF6" w:rsidRPr="00043A1E" w:rsidRDefault="00157EF6" w:rsidP="00AA120F">
      <w:pPr>
        <w:pStyle w:val="a5"/>
        <w:ind w:leftChars="335" w:left="804"/>
        <w:jc w:val="both"/>
        <w:rPr>
          <w:rFonts w:eastAsia="標楷體"/>
          <w:szCs w:val="22"/>
        </w:rPr>
      </w:pPr>
      <w:r w:rsidRPr="00043A1E">
        <w:rPr>
          <w:rFonts w:eastAsia="標楷體"/>
          <w:szCs w:val="22"/>
        </w:rPr>
        <w:t>汝說</w:t>
      </w:r>
      <w:r w:rsidR="006C38D2">
        <w:rPr>
          <w:rFonts w:ascii="標楷體" w:eastAsia="標楷體" w:hAnsi="標楷體" w:hint="eastAsia"/>
          <w:bCs/>
          <w:color w:val="FF0000"/>
          <w:kern w:val="0"/>
          <w:highlight w:val="yellow"/>
        </w:rPr>
        <w:t>「</w:t>
      </w:r>
      <w:r w:rsidRPr="00043A1E">
        <w:rPr>
          <w:rFonts w:eastAsia="標楷體"/>
          <w:szCs w:val="22"/>
        </w:rPr>
        <w:t>諸法有定性</w:t>
      </w:r>
      <w:r w:rsidR="006C38D2">
        <w:rPr>
          <w:rFonts w:ascii="標楷體" w:eastAsia="標楷體" w:hAnsi="標楷體" w:hint="eastAsia"/>
          <w:bCs/>
          <w:color w:val="FF0000"/>
          <w:kern w:val="0"/>
          <w:highlight w:val="yellow"/>
        </w:rPr>
        <w:t>」</w:t>
      </w:r>
      <w:r w:rsidRPr="00043A1E">
        <w:rPr>
          <w:rFonts w:eastAsia="標楷體"/>
          <w:szCs w:val="22"/>
        </w:rPr>
        <w:t>，若爾者，則見</w:t>
      </w:r>
      <w:r w:rsidR="006C38D2">
        <w:rPr>
          <w:rFonts w:ascii="標楷體" w:eastAsia="標楷體" w:hAnsi="標楷體" w:hint="eastAsia"/>
          <w:bCs/>
          <w:color w:val="FF0000"/>
          <w:kern w:val="0"/>
          <w:highlight w:val="yellow"/>
        </w:rPr>
        <w:t>「</w:t>
      </w:r>
      <w:r w:rsidRPr="00043A1E">
        <w:rPr>
          <w:rFonts w:eastAsia="標楷體"/>
          <w:szCs w:val="22"/>
        </w:rPr>
        <w:t>諸法無因無緣</w:t>
      </w:r>
      <w:r w:rsidR="006C38D2">
        <w:rPr>
          <w:rFonts w:ascii="標楷體" w:eastAsia="標楷體" w:hAnsi="標楷體" w:hint="eastAsia"/>
          <w:bCs/>
          <w:color w:val="FF0000"/>
          <w:kern w:val="0"/>
          <w:highlight w:val="yellow"/>
        </w:rPr>
        <w:t>」</w:t>
      </w:r>
      <w:r w:rsidRPr="00043A1E">
        <w:rPr>
          <w:rFonts w:eastAsia="標楷體"/>
          <w:szCs w:val="22"/>
        </w:rPr>
        <w:t>。何以故？若</w:t>
      </w:r>
      <w:r w:rsidR="006C38D2">
        <w:rPr>
          <w:rFonts w:ascii="標楷體" w:eastAsia="標楷體" w:hAnsi="標楷體" w:hint="eastAsia"/>
          <w:bCs/>
          <w:color w:val="FF0000"/>
          <w:kern w:val="0"/>
          <w:highlight w:val="yellow"/>
        </w:rPr>
        <w:t>「</w:t>
      </w:r>
      <w:r w:rsidRPr="00043A1E">
        <w:rPr>
          <w:rFonts w:eastAsia="標楷體"/>
          <w:szCs w:val="22"/>
        </w:rPr>
        <w:t>法決定有性</w:t>
      </w:r>
      <w:r w:rsidR="006C38D2">
        <w:rPr>
          <w:rFonts w:ascii="標楷體" w:eastAsia="標楷體" w:hAnsi="標楷體" w:hint="eastAsia"/>
          <w:bCs/>
          <w:color w:val="FF0000"/>
          <w:kern w:val="0"/>
          <w:highlight w:val="yellow"/>
        </w:rPr>
        <w:t>」</w:t>
      </w:r>
      <w:r w:rsidRPr="00043A1E">
        <w:rPr>
          <w:rFonts w:eastAsia="標楷體"/>
          <w:szCs w:val="22"/>
        </w:rPr>
        <w:t>，則應</w:t>
      </w:r>
      <w:r w:rsidR="006C38D2">
        <w:rPr>
          <w:rFonts w:ascii="標楷體" w:eastAsia="標楷體" w:hAnsi="標楷體" w:hint="eastAsia"/>
          <w:bCs/>
          <w:color w:val="FF0000"/>
          <w:kern w:val="0"/>
          <w:highlight w:val="yellow"/>
        </w:rPr>
        <w:t>「</w:t>
      </w:r>
      <w:r w:rsidRPr="00043A1E">
        <w:rPr>
          <w:rFonts w:eastAsia="標楷體"/>
          <w:szCs w:val="22"/>
        </w:rPr>
        <w:t>不生不滅</w:t>
      </w:r>
      <w:r w:rsidR="006C38D2">
        <w:rPr>
          <w:rFonts w:ascii="標楷體" w:eastAsia="標楷體" w:hAnsi="標楷體" w:hint="eastAsia"/>
          <w:bCs/>
          <w:color w:val="FF0000"/>
          <w:kern w:val="0"/>
          <w:highlight w:val="yellow"/>
        </w:rPr>
        <w:t>」</w:t>
      </w:r>
      <w:r w:rsidRPr="00043A1E">
        <w:rPr>
          <w:rFonts w:eastAsia="標楷體"/>
          <w:szCs w:val="22"/>
        </w:rPr>
        <w:t>，如是法何用因緣？若諸法從因緣生</w:t>
      </w:r>
      <w:r w:rsidR="006C38D2">
        <w:rPr>
          <w:rFonts w:ascii="標楷體" w:eastAsia="標楷體" w:hAnsi="標楷體" w:hint="eastAsia"/>
          <w:color w:val="FF0000"/>
          <w:kern w:val="0"/>
          <w:highlight w:val="yellow"/>
        </w:rPr>
        <w:t>，</w:t>
      </w:r>
      <w:r w:rsidRPr="00043A1E">
        <w:rPr>
          <w:rFonts w:eastAsia="標楷體"/>
          <w:szCs w:val="22"/>
        </w:rPr>
        <w:t>則無有性</w:t>
      </w:r>
      <w:r w:rsidR="00B93A97">
        <w:rPr>
          <w:rFonts w:ascii="標楷體" w:eastAsia="標楷體" w:hAnsi="標楷體" w:hint="eastAsia"/>
          <w:color w:val="FF0000"/>
          <w:kern w:val="0"/>
          <w:highlight w:val="yellow"/>
        </w:rPr>
        <w:t>；</w:t>
      </w:r>
      <w:r w:rsidRPr="00043A1E">
        <w:rPr>
          <w:rFonts w:eastAsia="標楷體"/>
          <w:szCs w:val="22"/>
        </w:rPr>
        <w:t>是故諸法決定有性</w:t>
      </w:r>
      <w:r w:rsidR="006C38D2">
        <w:rPr>
          <w:rFonts w:ascii="標楷體" w:eastAsia="標楷體" w:hAnsi="標楷體" w:hint="eastAsia"/>
          <w:color w:val="FF0000"/>
          <w:kern w:val="0"/>
          <w:highlight w:val="yellow"/>
        </w:rPr>
        <w:t>，</w:t>
      </w:r>
      <w:r w:rsidRPr="00043A1E">
        <w:rPr>
          <w:rFonts w:eastAsia="標楷體"/>
          <w:szCs w:val="22"/>
        </w:rPr>
        <w:t>則無因緣。若謂</w:t>
      </w:r>
      <w:r w:rsidR="006C38D2">
        <w:rPr>
          <w:rFonts w:ascii="標楷體" w:eastAsia="標楷體" w:hAnsi="標楷體" w:hint="eastAsia"/>
          <w:bCs/>
          <w:color w:val="FF0000"/>
          <w:kern w:val="0"/>
          <w:highlight w:val="yellow"/>
        </w:rPr>
        <w:t>「</w:t>
      </w:r>
      <w:r w:rsidRPr="00043A1E">
        <w:rPr>
          <w:rFonts w:eastAsia="標楷體"/>
          <w:szCs w:val="22"/>
        </w:rPr>
        <w:t>諸法決定住自性</w:t>
      </w:r>
      <w:r w:rsidR="006C38D2">
        <w:rPr>
          <w:rFonts w:ascii="標楷體" w:eastAsia="標楷體" w:hAnsi="標楷體" w:hint="eastAsia"/>
          <w:bCs/>
          <w:color w:val="FF0000"/>
          <w:kern w:val="0"/>
          <w:highlight w:val="yellow"/>
        </w:rPr>
        <w:t>」</w:t>
      </w:r>
      <w:r w:rsidRPr="00043A1E">
        <w:rPr>
          <w:rFonts w:eastAsia="標楷體"/>
          <w:szCs w:val="22"/>
        </w:rPr>
        <w:t>，是則不然。何以故？「即為破因果</w:t>
      </w:r>
      <w:r w:rsidR="00B93A97">
        <w:rPr>
          <w:rFonts w:eastAsia="標楷體" w:hint="eastAsia"/>
          <w:color w:val="FF0000"/>
          <w:szCs w:val="22"/>
          <w:highlight w:val="yellow"/>
        </w:rPr>
        <w:t>、</w:t>
      </w:r>
      <w:r w:rsidRPr="00043A1E">
        <w:rPr>
          <w:rFonts w:eastAsia="標楷體"/>
          <w:szCs w:val="22"/>
        </w:rPr>
        <w:t>作</w:t>
      </w:r>
      <w:r w:rsidR="00B93A97">
        <w:rPr>
          <w:rFonts w:eastAsia="標楷體" w:hint="eastAsia"/>
          <w:color w:val="FF0000"/>
          <w:szCs w:val="22"/>
          <w:highlight w:val="yellow"/>
        </w:rPr>
        <w:t>、</w:t>
      </w:r>
      <w:r w:rsidRPr="00043A1E">
        <w:rPr>
          <w:rFonts w:eastAsia="標楷體"/>
          <w:szCs w:val="22"/>
        </w:rPr>
        <w:t>作者</w:t>
      </w:r>
      <w:r w:rsidR="00B93A97">
        <w:rPr>
          <w:rFonts w:eastAsia="標楷體" w:hint="eastAsia"/>
          <w:color w:val="FF0000"/>
          <w:szCs w:val="22"/>
          <w:highlight w:val="yellow"/>
        </w:rPr>
        <w:t>、</w:t>
      </w:r>
      <w:r w:rsidRPr="00043A1E">
        <w:rPr>
          <w:rFonts w:eastAsia="標楷體"/>
          <w:szCs w:val="22"/>
        </w:rPr>
        <w:t>作法，亦復壞一</w:t>
      </w:r>
      <w:r w:rsidRPr="00B93A97">
        <w:rPr>
          <w:rFonts w:eastAsia="標楷體"/>
          <w:szCs w:val="22"/>
          <w:highlight w:val="yellow"/>
        </w:rPr>
        <w:t>切萬</w:t>
      </w:r>
      <w:r w:rsidRPr="00043A1E">
        <w:rPr>
          <w:rFonts w:eastAsia="標楷體"/>
          <w:szCs w:val="22"/>
        </w:rPr>
        <w:t>物之生滅。」諸法有定性，則無因果等諸事。如偈說：「</w:t>
      </w:r>
      <w:r w:rsidRPr="00043A1E">
        <w:rPr>
          <w:rFonts w:eastAsia="標楷體"/>
          <w:b/>
          <w:szCs w:val="22"/>
        </w:rPr>
        <w:t>眾因緣生法，我說即是</w:t>
      </w:r>
      <w:r w:rsidRPr="00043A1E">
        <w:rPr>
          <w:rFonts w:ascii="標楷體" w:eastAsia="標楷體" w:hAnsi="標楷體" w:hint="eastAsia"/>
          <w:b/>
          <w:szCs w:val="22"/>
        </w:rPr>
        <w:t>空</w:t>
      </w:r>
      <w:r w:rsidRPr="006C38D2">
        <w:rPr>
          <w:rFonts w:hint="eastAsia"/>
          <w:szCs w:val="22"/>
          <w:shd w:val="pct15" w:color="auto" w:fill="FFFFFF"/>
          <w:vertAlign w:val="superscript"/>
        </w:rPr>
        <w:t>※</w:t>
      </w:r>
      <w:r w:rsidRPr="00043A1E">
        <w:rPr>
          <w:rFonts w:eastAsia="標楷體"/>
          <w:b/>
          <w:szCs w:val="22"/>
        </w:rPr>
        <w:t>，亦為是假名，亦是中道義。未曾有一</w:t>
      </w:r>
      <w:r w:rsidRPr="00B93A97">
        <w:rPr>
          <w:rFonts w:eastAsia="標楷體"/>
          <w:b/>
          <w:szCs w:val="22"/>
          <w:highlight w:val="yellow"/>
        </w:rPr>
        <w:t>法不</w:t>
      </w:r>
      <w:r w:rsidRPr="00043A1E">
        <w:rPr>
          <w:rFonts w:eastAsia="標楷體"/>
          <w:b/>
          <w:szCs w:val="22"/>
        </w:rPr>
        <w:t>從因緣生，是故一切</w:t>
      </w:r>
      <w:r w:rsidRPr="00B93A97">
        <w:rPr>
          <w:rFonts w:eastAsia="標楷體"/>
          <w:b/>
          <w:szCs w:val="22"/>
          <w:highlight w:val="yellow"/>
        </w:rPr>
        <w:t>法無</w:t>
      </w:r>
      <w:r w:rsidRPr="00043A1E">
        <w:rPr>
          <w:rFonts w:eastAsia="標楷體"/>
          <w:b/>
          <w:szCs w:val="22"/>
        </w:rPr>
        <w:t>不是空者。</w:t>
      </w:r>
      <w:r w:rsidRPr="00043A1E">
        <w:rPr>
          <w:rFonts w:eastAsia="標楷體"/>
          <w:szCs w:val="22"/>
        </w:rPr>
        <w:t>」</w:t>
      </w:r>
      <w:r w:rsidR="006C38D2">
        <w:rPr>
          <w:rFonts w:ascii="標楷體" w:eastAsia="標楷體" w:hAnsi="標楷體" w:hint="eastAsia"/>
          <w:bCs/>
          <w:color w:val="FF0000"/>
          <w:kern w:val="0"/>
          <w:highlight w:val="yellow"/>
        </w:rPr>
        <w:t>「</w:t>
      </w:r>
      <w:r w:rsidRPr="00043A1E">
        <w:rPr>
          <w:rFonts w:eastAsia="標楷體"/>
          <w:szCs w:val="22"/>
        </w:rPr>
        <w:t>眾因緣生法，我說即是空</w:t>
      </w:r>
      <w:r w:rsidR="006C38D2">
        <w:rPr>
          <w:rFonts w:ascii="標楷體" w:eastAsia="標楷體" w:hAnsi="標楷體" w:hint="eastAsia"/>
          <w:bCs/>
          <w:color w:val="FF0000"/>
          <w:kern w:val="0"/>
          <w:highlight w:val="yellow"/>
        </w:rPr>
        <w:t>」</w:t>
      </w:r>
      <w:r w:rsidR="006C38D2">
        <w:rPr>
          <w:rFonts w:ascii="標楷體" w:eastAsia="標楷體" w:hAnsi="標楷體" w:hint="eastAsia"/>
          <w:color w:val="FF0000"/>
          <w:kern w:val="0"/>
          <w:highlight w:val="yellow"/>
        </w:rPr>
        <w:t>，</w:t>
      </w:r>
      <w:r w:rsidRPr="00043A1E">
        <w:rPr>
          <w:rFonts w:eastAsia="標楷體"/>
          <w:szCs w:val="22"/>
        </w:rPr>
        <w:t>何以故？眾緣具足和合而物生，是物屬眾因</w:t>
      </w:r>
      <w:r w:rsidRPr="006C38D2">
        <w:rPr>
          <w:rFonts w:eastAsia="標楷體"/>
          <w:szCs w:val="22"/>
          <w:highlight w:val="yellow"/>
        </w:rPr>
        <w:t>緣故</w:t>
      </w:r>
      <w:r w:rsidRPr="00043A1E">
        <w:rPr>
          <w:rFonts w:eastAsia="標楷體"/>
          <w:szCs w:val="22"/>
        </w:rPr>
        <w:t>無自性，無自性故空</w:t>
      </w:r>
      <w:r w:rsidR="002374E3">
        <w:rPr>
          <w:rFonts w:ascii="標楷體" w:eastAsia="標楷體" w:hAnsi="標楷體" w:hint="eastAsia"/>
          <w:color w:val="FF0000"/>
          <w:spacing w:val="-4"/>
          <w:kern w:val="0"/>
          <w:highlight w:val="yellow"/>
        </w:rPr>
        <w:t>；</w:t>
      </w:r>
      <w:r w:rsidRPr="00043A1E">
        <w:rPr>
          <w:rFonts w:eastAsia="標楷體"/>
          <w:szCs w:val="22"/>
        </w:rPr>
        <w:t>空亦復空，但為引導眾生</w:t>
      </w:r>
      <w:r w:rsidRPr="006C38D2">
        <w:rPr>
          <w:rFonts w:eastAsia="標楷體"/>
          <w:szCs w:val="22"/>
          <w:highlight w:val="yellow"/>
        </w:rPr>
        <w:t>故以</w:t>
      </w:r>
      <w:r w:rsidRPr="00043A1E">
        <w:rPr>
          <w:rFonts w:eastAsia="標楷體"/>
          <w:szCs w:val="22"/>
        </w:rPr>
        <w:t>假名說</w:t>
      </w:r>
      <w:r w:rsidR="00B93A97">
        <w:rPr>
          <w:rFonts w:ascii="標楷體" w:eastAsia="標楷體" w:hAnsi="標楷體" w:hint="eastAsia"/>
          <w:color w:val="FF0000"/>
          <w:kern w:val="0"/>
          <w:highlight w:val="yellow"/>
        </w:rPr>
        <w:t>──</w:t>
      </w:r>
      <w:r w:rsidRPr="00043A1E">
        <w:rPr>
          <w:rFonts w:eastAsia="標楷體"/>
          <w:szCs w:val="22"/>
        </w:rPr>
        <w:t>離有</w:t>
      </w:r>
      <w:r w:rsidR="00B93A97" w:rsidRPr="00B93A97">
        <w:rPr>
          <w:rFonts w:ascii="標楷體" w:eastAsia="標楷體" w:hAnsi="標楷體" w:hint="eastAsia"/>
          <w:color w:val="FF0000"/>
          <w:szCs w:val="22"/>
          <w:highlight w:val="yellow"/>
        </w:rPr>
        <w:t>.</w:t>
      </w:r>
      <w:r w:rsidRPr="00043A1E">
        <w:rPr>
          <w:rFonts w:eastAsia="標楷體"/>
          <w:szCs w:val="22"/>
        </w:rPr>
        <w:t>無二邊故名為</w:t>
      </w:r>
      <w:r w:rsidR="006C38D2">
        <w:rPr>
          <w:rFonts w:ascii="標楷體" w:eastAsia="標楷體" w:hAnsi="標楷體" w:hint="eastAsia"/>
          <w:bCs/>
          <w:color w:val="FF0000"/>
          <w:kern w:val="0"/>
          <w:highlight w:val="yellow"/>
        </w:rPr>
        <w:t>「</w:t>
      </w:r>
      <w:r w:rsidRPr="00043A1E">
        <w:rPr>
          <w:rFonts w:eastAsia="標楷體"/>
          <w:szCs w:val="22"/>
        </w:rPr>
        <w:t>中道</w:t>
      </w:r>
      <w:r w:rsidR="006C38D2">
        <w:rPr>
          <w:rFonts w:ascii="標楷體" w:eastAsia="標楷體" w:hAnsi="標楷體" w:hint="eastAsia"/>
          <w:bCs/>
          <w:color w:val="FF0000"/>
          <w:kern w:val="0"/>
          <w:highlight w:val="yellow"/>
        </w:rPr>
        <w:t>」</w:t>
      </w:r>
      <w:r w:rsidR="006C38D2">
        <w:rPr>
          <w:rFonts w:ascii="標楷體" w:eastAsia="標楷體" w:hAnsi="標楷體" w:hint="eastAsia"/>
          <w:color w:val="FF0000"/>
          <w:kern w:val="0"/>
          <w:highlight w:val="yellow"/>
        </w:rPr>
        <w:t>。</w:t>
      </w:r>
      <w:r w:rsidRPr="00043A1E">
        <w:rPr>
          <w:rFonts w:eastAsia="標楷體"/>
          <w:szCs w:val="22"/>
        </w:rPr>
        <w:t>是法</w:t>
      </w:r>
      <w:r w:rsidR="006C38D2">
        <w:rPr>
          <w:rFonts w:ascii="標楷體" w:eastAsia="標楷體" w:hAnsi="標楷體" w:hint="eastAsia"/>
          <w:color w:val="FF0000"/>
          <w:kern w:val="0"/>
          <w:highlight w:val="yellow"/>
        </w:rPr>
        <w:t>──</w:t>
      </w:r>
      <w:r w:rsidRPr="00043A1E">
        <w:rPr>
          <w:rFonts w:eastAsia="標楷體"/>
          <w:szCs w:val="22"/>
        </w:rPr>
        <w:t>無性故</w:t>
      </w:r>
      <w:r w:rsidR="006C38D2">
        <w:rPr>
          <w:rFonts w:ascii="標楷體" w:eastAsia="標楷體" w:hAnsi="標楷體" w:hint="eastAsia"/>
          <w:color w:val="FF0000"/>
          <w:kern w:val="0"/>
          <w:highlight w:val="yellow"/>
        </w:rPr>
        <w:t>，</w:t>
      </w:r>
      <w:r w:rsidR="006C38D2">
        <w:rPr>
          <w:rFonts w:eastAsia="標楷體"/>
          <w:szCs w:val="22"/>
        </w:rPr>
        <w:t>不得言有</w:t>
      </w:r>
      <w:r w:rsidR="006C38D2">
        <w:rPr>
          <w:rFonts w:ascii="標楷體" w:eastAsia="標楷體" w:hAnsi="標楷體" w:hint="eastAsia"/>
          <w:color w:val="FF0000"/>
          <w:spacing w:val="-4"/>
          <w:kern w:val="0"/>
          <w:highlight w:val="yellow"/>
        </w:rPr>
        <w:t>；</w:t>
      </w:r>
      <w:r w:rsidRPr="00043A1E">
        <w:rPr>
          <w:rFonts w:eastAsia="標楷體"/>
          <w:szCs w:val="22"/>
        </w:rPr>
        <w:t>亦無空故</w:t>
      </w:r>
      <w:r w:rsidR="006C38D2">
        <w:rPr>
          <w:rFonts w:ascii="標楷體" w:eastAsia="標楷體" w:hAnsi="標楷體" w:hint="eastAsia"/>
          <w:color w:val="FF0000"/>
          <w:kern w:val="0"/>
          <w:highlight w:val="yellow"/>
        </w:rPr>
        <w:t>，</w:t>
      </w:r>
      <w:r w:rsidRPr="00043A1E">
        <w:rPr>
          <w:rFonts w:eastAsia="標楷體"/>
          <w:szCs w:val="22"/>
        </w:rPr>
        <w:t>不得言無。</w:t>
      </w:r>
      <w:r w:rsidR="002374E3" w:rsidRPr="002374E3">
        <w:rPr>
          <w:rFonts w:eastAsia="標楷體" w:hint="eastAsia"/>
          <w:szCs w:val="22"/>
          <w:shd w:val="pct15" w:color="auto" w:fill="FFFFFF"/>
        </w:rPr>
        <w:t>……</w:t>
      </w:r>
    </w:p>
    <w:p w:rsidR="00157EF6" w:rsidRPr="00043A1E" w:rsidRDefault="00157EF6" w:rsidP="00AA120F">
      <w:pPr>
        <w:pStyle w:val="a5"/>
        <w:ind w:leftChars="335" w:left="804"/>
        <w:jc w:val="both"/>
        <w:rPr>
          <w:szCs w:val="22"/>
        </w:rPr>
      </w:pPr>
      <w:r w:rsidRPr="006C38D2">
        <w:rPr>
          <w:rFonts w:hint="eastAsia"/>
          <w:szCs w:val="22"/>
          <w:shd w:val="pct15" w:color="auto" w:fill="FFFFFF"/>
        </w:rPr>
        <w:t>※</w:t>
      </w:r>
      <w:r w:rsidRPr="00043A1E">
        <w:rPr>
          <w:rFonts w:ascii="新細明體" w:hAnsi="新細明體" w:hint="eastAsia"/>
          <w:szCs w:val="22"/>
        </w:rPr>
        <w:t>案：《大正藏》原作「</w:t>
      </w:r>
      <w:r w:rsidRPr="006C38D2">
        <w:rPr>
          <w:rFonts w:ascii="標楷體" w:eastAsia="標楷體" w:hAnsi="標楷體" w:hint="eastAsia"/>
          <w:szCs w:val="22"/>
        </w:rPr>
        <w:t>無</w:t>
      </w:r>
      <w:r w:rsidRPr="00043A1E">
        <w:rPr>
          <w:rFonts w:ascii="新細明體" w:hAnsi="新細明體" w:hint="eastAsia"/>
          <w:szCs w:val="22"/>
        </w:rPr>
        <w:t>」，今改作「空」</w:t>
      </w:r>
      <w:r w:rsidRPr="00043A1E">
        <w:rPr>
          <w:rFonts w:ascii="新細明體" w:hAnsi="新細明體"/>
          <w:szCs w:val="22"/>
        </w:rPr>
        <w:t>。</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）《大智度論》卷</w:t>
      </w:r>
      <w:r w:rsidRPr="00761EF3">
        <w:rPr>
          <w:rFonts w:hint="eastAsia"/>
          <w:szCs w:val="22"/>
        </w:rPr>
        <w:t>20</w:t>
      </w:r>
      <w:r w:rsidR="00287E83">
        <w:rPr>
          <w:rFonts w:hint="eastAsia"/>
          <w:color w:val="FF0000"/>
          <w:szCs w:val="22"/>
          <w:highlight w:val="yellow"/>
        </w:rPr>
        <w:t>釋</w:t>
      </w:r>
      <w:r w:rsidRPr="00043A1E">
        <w:rPr>
          <w:rFonts w:hint="eastAsia"/>
          <w:szCs w:val="22"/>
        </w:rPr>
        <w:t>〈</w:t>
      </w:r>
      <w:r w:rsidRPr="00761EF3">
        <w:rPr>
          <w:rFonts w:hint="eastAsia"/>
          <w:szCs w:val="22"/>
        </w:rPr>
        <w:t>1</w:t>
      </w:r>
      <w:r w:rsidRPr="00043A1E">
        <w:rPr>
          <w:rFonts w:hint="eastAsia"/>
          <w:szCs w:val="22"/>
        </w:rPr>
        <w:t xml:space="preserve"> </w:t>
      </w:r>
      <w:r w:rsidRPr="00043A1E">
        <w:rPr>
          <w:rFonts w:hint="eastAsia"/>
          <w:szCs w:val="22"/>
        </w:rPr>
        <w:t>序品〉（大正</w:t>
      </w:r>
      <w:r w:rsidRPr="00761EF3">
        <w:rPr>
          <w:rFonts w:hint="eastAsia"/>
          <w:szCs w:val="22"/>
        </w:rPr>
        <w:t>25</w:t>
      </w:r>
      <w:r w:rsidRPr="00043A1E">
        <w:rPr>
          <w:rFonts w:hint="eastAsia"/>
          <w:szCs w:val="22"/>
        </w:rPr>
        <w:t>，</w:t>
      </w:r>
      <w:r w:rsidRPr="00761EF3">
        <w:rPr>
          <w:rFonts w:hint="eastAsia"/>
          <w:szCs w:val="22"/>
        </w:rPr>
        <w:t>207b10</w:t>
      </w:r>
      <w:r w:rsidRPr="00043A1E">
        <w:rPr>
          <w:rFonts w:hint="eastAsia"/>
          <w:szCs w:val="22"/>
        </w:rPr>
        <w:t>-</w:t>
      </w:r>
      <w:r w:rsidRPr="00761EF3">
        <w:rPr>
          <w:rFonts w:hint="eastAsia"/>
          <w:szCs w:val="22"/>
        </w:rPr>
        <w:t>15</w:t>
      </w:r>
      <w:r w:rsidRPr="00043A1E">
        <w:rPr>
          <w:rFonts w:hint="eastAsia"/>
          <w:szCs w:val="22"/>
        </w:rPr>
        <w:t>）：</w:t>
      </w:r>
    </w:p>
    <w:p w:rsidR="00157EF6" w:rsidRPr="00043A1E" w:rsidRDefault="00157EF6" w:rsidP="00AA120F">
      <w:pPr>
        <w:pStyle w:val="a5"/>
        <w:ind w:leftChars="335" w:left="804"/>
        <w:jc w:val="both"/>
        <w:rPr>
          <w:szCs w:val="22"/>
        </w:rPr>
      </w:pPr>
      <w:r w:rsidRPr="00043A1E">
        <w:rPr>
          <w:rFonts w:ascii="標楷體" w:eastAsia="標楷體" w:hAnsi="標楷體" w:hint="eastAsia"/>
          <w:szCs w:val="22"/>
        </w:rPr>
        <w:t>若諸法實有自性，則無可壞。性相不從因緣生</w:t>
      </w:r>
      <w:r w:rsidR="006C38D2">
        <w:rPr>
          <w:rFonts w:ascii="標楷體" w:eastAsia="標楷體" w:hAnsi="標楷體" w:hint="eastAsia"/>
          <w:color w:val="FF0000"/>
          <w:spacing w:val="-4"/>
          <w:kern w:val="0"/>
          <w:highlight w:val="yellow"/>
        </w:rPr>
        <w:t>；</w:t>
      </w:r>
      <w:r w:rsidRPr="00043A1E">
        <w:rPr>
          <w:rFonts w:ascii="標楷體" w:eastAsia="標楷體" w:hAnsi="標楷體" w:hint="eastAsia"/>
          <w:szCs w:val="22"/>
        </w:rPr>
        <w:t>若從因緣生，便是作法；若法性是作法，則可破。若言</w:t>
      </w:r>
      <w:r w:rsidR="006C38D2">
        <w:rPr>
          <w:rFonts w:ascii="標楷體" w:eastAsia="標楷體" w:hAnsi="標楷體" w:hint="eastAsia"/>
          <w:bCs/>
          <w:color w:val="FF0000"/>
          <w:kern w:val="0"/>
          <w:highlight w:val="yellow"/>
        </w:rPr>
        <w:t>「</w:t>
      </w:r>
      <w:r w:rsidRPr="00043A1E">
        <w:rPr>
          <w:rFonts w:ascii="標楷體" w:eastAsia="標楷體" w:hAnsi="標楷體" w:hint="eastAsia"/>
          <w:szCs w:val="22"/>
        </w:rPr>
        <w:t>法性可作</w:t>
      </w:r>
      <w:r w:rsidR="006C38D2">
        <w:rPr>
          <w:rFonts w:ascii="標楷體" w:eastAsia="標楷體" w:hAnsi="標楷體" w:hint="eastAsia"/>
          <w:color w:val="FF0000"/>
          <w:spacing w:val="-4"/>
          <w:kern w:val="0"/>
          <w:highlight w:val="yellow"/>
        </w:rPr>
        <w:t>、</w:t>
      </w:r>
      <w:r w:rsidRPr="00043A1E">
        <w:rPr>
          <w:rFonts w:ascii="標楷體" w:eastAsia="標楷體" w:hAnsi="標楷體" w:hint="eastAsia"/>
          <w:szCs w:val="22"/>
        </w:rPr>
        <w:t>可破</w:t>
      </w:r>
      <w:r w:rsidR="006C38D2">
        <w:rPr>
          <w:rFonts w:ascii="標楷體" w:eastAsia="標楷體" w:hAnsi="標楷體" w:hint="eastAsia"/>
          <w:bCs/>
          <w:color w:val="FF0000"/>
          <w:kern w:val="0"/>
          <w:highlight w:val="yellow"/>
        </w:rPr>
        <w:t>」</w:t>
      </w:r>
      <w:r w:rsidRPr="00043A1E">
        <w:rPr>
          <w:rFonts w:ascii="標楷體" w:eastAsia="標楷體" w:hAnsi="標楷體" w:hint="eastAsia"/>
          <w:szCs w:val="22"/>
        </w:rPr>
        <w:t>，是事不然！</w:t>
      </w:r>
      <w:r w:rsidR="006C38D2">
        <w:rPr>
          <w:rFonts w:ascii="標楷體" w:eastAsia="標楷體" w:hAnsi="標楷體" w:hint="eastAsia"/>
          <w:bCs/>
          <w:color w:val="FF0000"/>
          <w:kern w:val="0"/>
          <w:highlight w:val="yellow"/>
        </w:rPr>
        <w:t>「</w:t>
      </w:r>
      <w:r w:rsidRPr="00043A1E">
        <w:rPr>
          <w:rFonts w:ascii="標楷體" w:eastAsia="標楷體" w:hAnsi="標楷體" w:hint="eastAsia"/>
          <w:szCs w:val="22"/>
        </w:rPr>
        <w:t>性</w:t>
      </w:r>
      <w:r w:rsidR="006C38D2">
        <w:rPr>
          <w:rFonts w:ascii="標楷體" w:eastAsia="標楷體" w:hAnsi="標楷體" w:hint="eastAsia"/>
          <w:bCs/>
          <w:color w:val="FF0000"/>
          <w:kern w:val="0"/>
          <w:highlight w:val="yellow"/>
        </w:rPr>
        <w:t>」</w:t>
      </w:r>
      <w:r w:rsidRPr="00043A1E">
        <w:rPr>
          <w:rFonts w:ascii="標楷體" w:eastAsia="標楷體" w:hAnsi="標楷體" w:hint="eastAsia"/>
          <w:szCs w:val="22"/>
        </w:rPr>
        <w:t>名</w:t>
      </w:r>
      <w:r w:rsidR="006C38D2">
        <w:rPr>
          <w:rFonts w:ascii="標楷體" w:eastAsia="標楷體" w:hAnsi="標楷體" w:hint="eastAsia"/>
          <w:bCs/>
          <w:color w:val="FF0000"/>
          <w:kern w:val="0"/>
          <w:highlight w:val="yellow"/>
        </w:rPr>
        <w:t>「</w:t>
      </w:r>
      <w:r w:rsidRPr="00043A1E">
        <w:rPr>
          <w:rFonts w:ascii="標楷體" w:eastAsia="標楷體" w:hAnsi="標楷體" w:hint="eastAsia"/>
          <w:szCs w:val="22"/>
        </w:rPr>
        <w:t>不作法，不待因緣有</w:t>
      </w:r>
      <w:r w:rsidR="006C38D2">
        <w:rPr>
          <w:rFonts w:ascii="標楷體" w:eastAsia="標楷體" w:hAnsi="標楷體" w:hint="eastAsia"/>
          <w:bCs/>
          <w:color w:val="FF0000"/>
          <w:kern w:val="0"/>
          <w:highlight w:val="yellow"/>
        </w:rPr>
        <w:t>」</w:t>
      </w:r>
      <w:r w:rsidRPr="00043A1E">
        <w:rPr>
          <w:rFonts w:ascii="標楷體" w:eastAsia="標楷體" w:hAnsi="標楷體" w:hint="eastAsia"/>
          <w:szCs w:val="22"/>
        </w:rPr>
        <w:t>。諸法自性有，自性有則無生者，性先有故。若無生</w:t>
      </w:r>
      <w:r w:rsidR="006C38D2">
        <w:rPr>
          <w:rFonts w:ascii="標楷體" w:eastAsia="標楷體" w:hAnsi="標楷體" w:hint="eastAsia"/>
          <w:color w:val="FF0000"/>
          <w:kern w:val="0"/>
          <w:highlight w:val="yellow"/>
        </w:rPr>
        <w:t>，</w:t>
      </w:r>
      <w:r w:rsidRPr="00043A1E">
        <w:rPr>
          <w:rFonts w:ascii="標楷體" w:eastAsia="標楷體" w:hAnsi="標楷體" w:hint="eastAsia"/>
          <w:szCs w:val="22"/>
        </w:rPr>
        <w:t>則無滅</w:t>
      </w:r>
      <w:r w:rsidR="006C38D2">
        <w:rPr>
          <w:rFonts w:ascii="標楷體" w:eastAsia="標楷體" w:hAnsi="標楷體" w:hint="eastAsia"/>
          <w:color w:val="FF0000"/>
          <w:spacing w:val="-4"/>
          <w:kern w:val="0"/>
          <w:highlight w:val="yellow"/>
        </w:rPr>
        <w:t>；</w:t>
      </w:r>
      <w:r w:rsidRPr="00043A1E">
        <w:rPr>
          <w:rFonts w:ascii="標楷體" w:eastAsia="標楷體" w:hAnsi="標楷體" w:hint="eastAsia"/>
          <w:szCs w:val="22"/>
        </w:rPr>
        <w:t>生滅無故</w:t>
      </w:r>
      <w:r w:rsidR="006C38D2">
        <w:rPr>
          <w:rFonts w:ascii="標楷體" w:eastAsia="標楷體" w:hAnsi="標楷體" w:hint="eastAsia"/>
          <w:color w:val="FF0000"/>
          <w:kern w:val="0"/>
          <w:highlight w:val="yellow"/>
        </w:rPr>
        <w:t>，</w:t>
      </w:r>
      <w:r w:rsidRPr="00043A1E">
        <w:rPr>
          <w:rFonts w:ascii="標楷體" w:eastAsia="標楷體" w:hAnsi="標楷體" w:hint="eastAsia"/>
          <w:szCs w:val="22"/>
        </w:rPr>
        <w:t>無罪福，無罪福故，何用學道？</w:t>
      </w:r>
    </w:p>
    <w:p w:rsidR="00157EF6" w:rsidRPr="00043A1E" w:rsidRDefault="00157EF6" w:rsidP="00AA120F">
      <w:pPr>
        <w:pStyle w:val="a5"/>
        <w:ind w:leftChars="105" w:left="791" w:hangingChars="245" w:hanging="539"/>
        <w:jc w:val="both"/>
        <w:rPr>
          <w:szCs w:val="22"/>
        </w:rPr>
      </w:pPr>
      <w:r w:rsidRPr="00043A1E">
        <w:rPr>
          <w:rFonts w:hint="eastAsia"/>
          <w:szCs w:val="22"/>
        </w:rPr>
        <w:t>（</w:t>
      </w:r>
      <w:r w:rsidRPr="00761EF3">
        <w:rPr>
          <w:rFonts w:hint="eastAsia"/>
          <w:szCs w:val="22"/>
        </w:rPr>
        <w:t>3</w:t>
      </w:r>
      <w:r w:rsidRPr="00043A1E">
        <w:rPr>
          <w:rFonts w:hint="eastAsia"/>
          <w:szCs w:val="22"/>
        </w:rPr>
        <w:t>）《大智度論》卷</w:t>
      </w:r>
      <w:r w:rsidRPr="00761EF3">
        <w:rPr>
          <w:rFonts w:hint="eastAsia"/>
          <w:szCs w:val="22"/>
        </w:rPr>
        <w:t>37</w:t>
      </w:r>
      <w:r w:rsidR="00287E83">
        <w:rPr>
          <w:rFonts w:hint="eastAsia"/>
          <w:color w:val="FF0000"/>
          <w:szCs w:val="22"/>
          <w:highlight w:val="yellow"/>
        </w:rPr>
        <w:t>釋</w:t>
      </w:r>
      <w:r w:rsidRPr="00043A1E">
        <w:rPr>
          <w:rFonts w:hint="eastAsia"/>
          <w:szCs w:val="22"/>
        </w:rPr>
        <w:t>〈</w:t>
      </w:r>
      <w:r w:rsidRPr="00761EF3">
        <w:rPr>
          <w:rFonts w:hint="eastAsia"/>
          <w:szCs w:val="22"/>
        </w:rPr>
        <w:t>3</w:t>
      </w:r>
      <w:r w:rsidRPr="00043A1E">
        <w:rPr>
          <w:rFonts w:hint="eastAsia"/>
          <w:szCs w:val="22"/>
        </w:rPr>
        <w:t xml:space="preserve"> </w:t>
      </w:r>
      <w:r w:rsidRPr="00043A1E">
        <w:rPr>
          <w:rFonts w:hint="eastAsia"/>
          <w:szCs w:val="22"/>
        </w:rPr>
        <w:t>習相應品〉（大正</w:t>
      </w:r>
      <w:r w:rsidRPr="00761EF3">
        <w:rPr>
          <w:rFonts w:hint="eastAsia"/>
          <w:szCs w:val="22"/>
        </w:rPr>
        <w:t>25</w:t>
      </w:r>
      <w:r w:rsidRPr="00043A1E">
        <w:rPr>
          <w:rFonts w:hint="eastAsia"/>
          <w:szCs w:val="22"/>
        </w:rPr>
        <w:t>，</w:t>
      </w:r>
      <w:r w:rsidRPr="00761EF3">
        <w:rPr>
          <w:rFonts w:hint="eastAsia"/>
          <w:szCs w:val="22"/>
        </w:rPr>
        <w:t>331b7</w:t>
      </w:r>
      <w:r w:rsidRPr="00043A1E">
        <w:rPr>
          <w:rFonts w:hint="eastAsia"/>
          <w:szCs w:val="22"/>
        </w:rPr>
        <w:t>-</w:t>
      </w:r>
      <w:r w:rsidRPr="00761EF3">
        <w:rPr>
          <w:rFonts w:hint="eastAsia"/>
          <w:szCs w:val="22"/>
        </w:rPr>
        <w:t>10</w:t>
      </w:r>
      <w:r w:rsidRPr="00043A1E">
        <w:rPr>
          <w:rFonts w:hint="eastAsia"/>
          <w:szCs w:val="22"/>
        </w:rPr>
        <w:t>）：</w:t>
      </w:r>
    </w:p>
    <w:p w:rsidR="00157EF6" w:rsidRPr="00043A1E" w:rsidRDefault="00157EF6" w:rsidP="00AA120F">
      <w:pPr>
        <w:pStyle w:val="a5"/>
        <w:ind w:leftChars="335" w:left="804"/>
        <w:jc w:val="both"/>
        <w:rPr>
          <w:szCs w:val="22"/>
        </w:rPr>
      </w:pPr>
      <w:r w:rsidRPr="00043A1E">
        <w:rPr>
          <w:rFonts w:ascii="標楷體" w:eastAsia="標楷體" w:hAnsi="標楷體" w:hint="eastAsia"/>
          <w:szCs w:val="22"/>
        </w:rPr>
        <w:t>若諸法定實有，則無因緣</w:t>
      </w:r>
      <w:r w:rsidR="006C38D2">
        <w:rPr>
          <w:rFonts w:ascii="標楷體" w:eastAsia="標楷體" w:hAnsi="標楷體" w:hint="eastAsia"/>
          <w:color w:val="FF0000"/>
          <w:kern w:val="0"/>
          <w:highlight w:val="yellow"/>
        </w:rPr>
        <w:t>。</w:t>
      </w:r>
      <w:r w:rsidRPr="00043A1E">
        <w:rPr>
          <w:rFonts w:ascii="標楷體" w:eastAsia="標楷體" w:hAnsi="標楷體" w:hint="eastAsia"/>
          <w:szCs w:val="22"/>
        </w:rPr>
        <w:t>若從因緣和合生，是法無自性</w:t>
      </w:r>
      <w:r w:rsidR="006C38D2">
        <w:rPr>
          <w:rFonts w:ascii="標楷體" w:eastAsia="標楷體" w:hAnsi="標楷體" w:hint="eastAsia"/>
          <w:color w:val="FF0000"/>
          <w:spacing w:val="-4"/>
          <w:kern w:val="0"/>
          <w:highlight w:val="yellow"/>
        </w:rPr>
        <w:t>；</w:t>
      </w:r>
      <w:r w:rsidRPr="00043A1E">
        <w:rPr>
          <w:rFonts w:ascii="標楷體" w:eastAsia="標楷體" w:hAnsi="標楷體" w:hint="eastAsia"/>
          <w:szCs w:val="22"/>
        </w:rPr>
        <w:t>若無自性</w:t>
      </w:r>
      <w:r w:rsidR="006C38D2">
        <w:rPr>
          <w:rFonts w:ascii="標楷體" w:eastAsia="標楷體" w:hAnsi="標楷體" w:hint="eastAsia"/>
          <w:color w:val="FF0000"/>
          <w:kern w:val="0"/>
          <w:highlight w:val="yellow"/>
        </w:rPr>
        <w:t>，</w:t>
      </w:r>
      <w:r w:rsidRPr="00043A1E">
        <w:rPr>
          <w:rFonts w:ascii="標楷體" w:eastAsia="標楷體" w:hAnsi="標楷體" w:hint="eastAsia"/>
          <w:szCs w:val="22"/>
        </w:rPr>
        <w:t>即是空！若無法是實，則無罪福</w:t>
      </w:r>
      <w:r w:rsidR="006C38D2">
        <w:rPr>
          <w:rFonts w:ascii="標楷體" w:eastAsia="標楷體" w:hAnsi="標楷體" w:hint="eastAsia"/>
          <w:color w:val="FF0000"/>
          <w:spacing w:val="-4"/>
          <w:kern w:val="0"/>
          <w:highlight w:val="yellow"/>
        </w:rPr>
        <w:t>、</w:t>
      </w:r>
      <w:r w:rsidRPr="00043A1E">
        <w:rPr>
          <w:rFonts w:ascii="標楷體" w:eastAsia="標楷體" w:hAnsi="標楷體" w:hint="eastAsia"/>
          <w:szCs w:val="22"/>
        </w:rPr>
        <w:t>無縛無解，亦無諸法種種之異。</w:t>
      </w:r>
    </w:p>
  </w:footnote>
  <w:footnote w:id="845">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《大智度論》卷</w:t>
      </w:r>
      <w:r w:rsidRPr="00761EF3">
        <w:rPr>
          <w:rFonts w:hint="eastAsia"/>
          <w:szCs w:val="22"/>
        </w:rPr>
        <w:t>41</w:t>
      </w:r>
      <w:r w:rsidR="00287E83">
        <w:rPr>
          <w:rFonts w:hint="eastAsia"/>
          <w:color w:val="FF0000"/>
          <w:szCs w:val="22"/>
          <w:highlight w:val="yellow"/>
        </w:rPr>
        <w:t>釋</w:t>
      </w:r>
      <w:r w:rsidRPr="00043A1E">
        <w:rPr>
          <w:rFonts w:hint="eastAsia"/>
          <w:szCs w:val="22"/>
        </w:rPr>
        <w:t>〈</w:t>
      </w:r>
      <w:r w:rsidRPr="00761EF3">
        <w:rPr>
          <w:rFonts w:hint="eastAsia"/>
          <w:szCs w:val="22"/>
        </w:rPr>
        <w:t>7</w:t>
      </w:r>
      <w:r w:rsidRPr="00043A1E">
        <w:rPr>
          <w:rFonts w:hint="eastAsia"/>
          <w:szCs w:val="22"/>
        </w:rPr>
        <w:t xml:space="preserve"> </w:t>
      </w:r>
      <w:r w:rsidRPr="00043A1E">
        <w:rPr>
          <w:rFonts w:hint="eastAsia"/>
          <w:szCs w:val="22"/>
        </w:rPr>
        <w:t>三假品〉（大正</w:t>
      </w:r>
      <w:r w:rsidRPr="00761EF3">
        <w:rPr>
          <w:rFonts w:hint="eastAsia"/>
          <w:szCs w:val="22"/>
        </w:rPr>
        <w:t>25</w:t>
      </w:r>
      <w:r w:rsidRPr="00043A1E">
        <w:rPr>
          <w:rFonts w:hint="eastAsia"/>
          <w:szCs w:val="22"/>
        </w:rPr>
        <w:t>，</w:t>
      </w:r>
      <w:r w:rsidRPr="00761EF3">
        <w:rPr>
          <w:rFonts w:hint="eastAsia"/>
          <w:szCs w:val="22"/>
        </w:rPr>
        <w:t>358a17</w:t>
      </w:r>
      <w:r w:rsidRPr="00043A1E">
        <w:rPr>
          <w:rFonts w:hint="eastAsia"/>
          <w:szCs w:val="22"/>
        </w:rPr>
        <w:t>-</w:t>
      </w:r>
      <w:r w:rsidRPr="00761EF3">
        <w:rPr>
          <w:rFonts w:hint="eastAsia"/>
          <w:szCs w:val="22"/>
        </w:rPr>
        <w:t>20</w:t>
      </w:r>
      <w:r w:rsidRPr="00043A1E">
        <w:rPr>
          <w:rFonts w:hint="eastAsia"/>
          <w:szCs w:val="22"/>
        </w:rPr>
        <w:t>）：</w:t>
      </w:r>
    </w:p>
    <w:p w:rsidR="00157EF6" w:rsidRPr="00043A1E" w:rsidRDefault="00157EF6" w:rsidP="00AA120F">
      <w:pPr>
        <w:pStyle w:val="a5"/>
        <w:ind w:leftChars="105" w:left="252"/>
        <w:jc w:val="both"/>
        <w:rPr>
          <w:rFonts w:eastAsia="標楷體"/>
          <w:szCs w:val="22"/>
        </w:rPr>
      </w:pPr>
      <w:r w:rsidRPr="00043A1E">
        <w:rPr>
          <w:rFonts w:ascii="標楷體" w:eastAsia="標楷體" w:hAnsi="標楷體" w:hint="eastAsia"/>
          <w:szCs w:val="22"/>
        </w:rPr>
        <w:t>復次，凡有二法：一者、名字，二者、名字</w:t>
      </w:r>
      <w:r w:rsidR="006C38D2">
        <w:rPr>
          <w:rFonts w:ascii="標楷體" w:eastAsia="標楷體" w:hAnsi="標楷體" w:hint="eastAsia"/>
          <w:bCs/>
          <w:color w:val="FF0000"/>
          <w:kern w:val="0"/>
          <w:highlight w:val="yellow"/>
        </w:rPr>
        <w:t>「</w:t>
      </w:r>
      <w:r w:rsidRPr="00043A1E">
        <w:rPr>
          <w:rFonts w:ascii="標楷體" w:eastAsia="標楷體" w:hAnsi="標楷體" w:hint="eastAsia"/>
          <w:szCs w:val="22"/>
        </w:rPr>
        <w:t>義</w:t>
      </w:r>
      <w:r w:rsidR="006C38D2">
        <w:rPr>
          <w:rFonts w:ascii="標楷體" w:eastAsia="標楷體" w:hAnsi="標楷體" w:hint="eastAsia"/>
          <w:bCs/>
          <w:color w:val="FF0000"/>
          <w:kern w:val="0"/>
          <w:highlight w:val="yellow"/>
        </w:rPr>
        <w:t>」</w:t>
      </w:r>
      <w:r w:rsidRPr="00043A1E">
        <w:rPr>
          <w:rFonts w:ascii="標楷體" w:eastAsia="標楷體" w:hAnsi="標楷體" w:hint="eastAsia"/>
          <w:szCs w:val="22"/>
        </w:rPr>
        <w:t>。如火，能照、能燒是其</w:t>
      </w:r>
      <w:r w:rsidR="006C38D2">
        <w:rPr>
          <w:rFonts w:ascii="標楷體" w:eastAsia="標楷體" w:hAnsi="標楷體" w:hint="eastAsia"/>
          <w:bCs/>
          <w:color w:val="FF0000"/>
          <w:kern w:val="0"/>
          <w:highlight w:val="yellow"/>
        </w:rPr>
        <w:t>「</w:t>
      </w:r>
      <w:r w:rsidRPr="00043A1E">
        <w:rPr>
          <w:rFonts w:ascii="標楷體" w:eastAsia="標楷體" w:hAnsi="標楷體" w:hint="eastAsia"/>
          <w:szCs w:val="22"/>
        </w:rPr>
        <w:t>義</w:t>
      </w:r>
      <w:r w:rsidR="006C38D2">
        <w:rPr>
          <w:rFonts w:ascii="標楷體" w:eastAsia="標楷體" w:hAnsi="標楷體" w:hint="eastAsia"/>
          <w:bCs/>
          <w:color w:val="FF0000"/>
          <w:kern w:val="0"/>
          <w:highlight w:val="yellow"/>
        </w:rPr>
        <w:t>」</w:t>
      </w:r>
      <w:r w:rsidRPr="00043A1E">
        <w:rPr>
          <w:rFonts w:ascii="標楷體" w:eastAsia="標楷體" w:hAnsi="標楷體" w:hint="eastAsia"/>
          <w:szCs w:val="22"/>
        </w:rPr>
        <w:t>；</w:t>
      </w:r>
      <w:r w:rsidR="00D463BC">
        <w:rPr>
          <w:rFonts w:ascii="標楷體" w:eastAsia="標楷體" w:hAnsi="標楷體" w:hint="eastAsia"/>
          <w:bCs/>
          <w:color w:val="FF0000"/>
          <w:kern w:val="0"/>
          <w:highlight w:val="yellow"/>
        </w:rPr>
        <w:t>「</w:t>
      </w:r>
      <w:r w:rsidRPr="00043A1E">
        <w:rPr>
          <w:rFonts w:ascii="標楷體" w:eastAsia="標楷體" w:hAnsi="標楷體" w:hint="eastAsia"/>
          <w:szCs w:val="22"/>
        </w:rPr>
        <w:t>照</w:t>
      </w:r>
      <w:r w:rsidR="00D463BC">
        <w:rPr>
          <w:rFonts w:ascii="標楷體" w:eastAsia="標楷體" w:hAnsi="標楷體" w:hint="eastAsia"/>
          <w:bCs/>
          <w:color w:val="FF0000"/>
          <w:kern w:val="0"/>
          <w:highlight w:val="yellow"/>
        </w:rPr>
        <w:t>」</w:t>
      </w:r>
      <w:r w:rsidRPr="00043A1E">
        <w:rPr>
          <w:rFonts w:ascii="標楷體" w:eastAsia="標楷體" w:hAnsi="標楷體" w:hint="eastAsia"/>
          <w:szCs w:val="22"/>
        </w:rPr>
        <w:t>是造色，</w:t>
      </w:r>
      <w:r w:rsidR="00D463BC">
        <w:rPr>
          <w:rFonts w:ascii="標楷體" w:eastAsia="標楷體" w:hAnsi="標楷體" w:hint="eastAsia"/>
          <w:bCs/>
          <w:color w:val="FF0000"/>
          <w:kern w:val="0"/>
          <w:highlight w:val="yellow"/>
        </w:rPr>
        <w:t>「</w:t>
      </w:r>
      <w:r w:rsidRPr="00043A1E">
        <w:rPr>
          <w:rFonts w:ascii="標楷體" w:eastAsia="標楷體" w:hAnsi="標楷體" w:hint="eastAsia"/>
          <w:szCs w:val="22"/>
        </w:rPr>
        <w:t>燒</w:t>
      </w:r>
      <w:r w:rsidR="00D463BC">
        <w:rPr>
          <w:rFonts w:ascii="標楷體" w:eastAsia="標楷體" w:hAnsi="標楷體" w:hint="eastAsia"/>
          <w:bCs/>
          <w:color w:val="FF0000"/>
          <w:kern w:val="0"/>
          <w:highlight w:val="yellow"/>
        </w:rPr>
        <w:t>」</w:t>
      </w:r>
      <w:r w:rsidRPr="00043A1E">
        <w:rPr>
          <w:rFonts w:ascii="標楷體" w:eastAsia="標楷體" w:hAnsi="標楷體" w:hint="eastAsia"/>
          <w:szCs w:val="22"/>
        </w:rPr>
        <w:t>是火大，是二法和合名為</w:t>
      </w:r>
      <w:r w:rsidR="00D463BC">
        <w:rPr>
          <w:rFonts w:ascii="標楷體" w:eastAsia="標楷體" w:hAnsi="標楷體" w:hint="eastAsia"/>
          <w:bCs/>
          <w:color w:val="FF0000"/>
          <w:kern w:val="0"/>
          <w:highlight w:val="yellow"/>
        </w:rPr>
        <w:t>「</w:t>
      </w:r>
      <w:r w:rsidRPr="00043A1E">
        <w:rPr>
          <w:rFonts w:ascii="標楷體" w:eastAsia="標楷體" w:hAnsi="標楷體" w:hint="eastAsia"/>
          <w:szCs w:val="22"/>
        </w:rPr>
        <w:t>火</w:t>
      </w:r>
      <w:r w:rsidR="00D463BC">
        <w:rPr>
          <w:rFonts w:ascii="標楷體" w:eastAsia="標楷體" w:hAnsi="標楷體" w:hint="eastAsia"/>
          <w:bCs/>
          <w:color w:val="FF0000"/>
          <w:kern w:val="0"/>
          <w:highlight w:val="yellow"/>
        </w:rPr>
        <w:t>」</w:t>
      </w:r>
      <w:r w:rsidRPr="00043A1E">
        <w:rPr>
          <w:rFonts w:ascii="標楷體" w:eastAsia="標楷體" w:hAnsi="標楷體" w:hint="eastAsia"/>
          <w:szCs w:val="22"/>
        </w:rPr>
        <w:t>。</w:t>
      </w:r>
    </w:p>
  </w:footnote>
  <w:footnote w:id="846">
    <w:p w:rsidR="00157EF6" w:rsidRPr="00043A1E" w:rsidRDefault="00157EF6" w:rsidP="00AA120F">
      <w:pPr>
        <w:pStyle w:val="a5"/>
        <w:spacing w:line="0" w:lineRule="atLeast"/>
        <w:ind w:left="792" w:hangingChars="360" w:hanging="792"/>
        <w:jc w:val="both"/>
        <w:rPr>
          <w:rFonts w:eastAsia="標楷體"/>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）印順法師，</w:t>
      </w:r>
      <w:r w:rsidRPr="00043A1E">
        <w:rPr>
          <w:rFonts w:ascii="新細明體" w:hAnsi="新細明體" w:hint="eastAsia"/>
          <w:szCs w:val="22"/>
        </w:rPr>
        <w:t>《中觀論頌講記》，</w:t>
      </w:r>
      <w:r w:rsidRPr="00761EF3">
        <w:rPr>
          <w:rFonts w:eastAsia="標楷體" w:hint="eastAsia"/>
          <w:szCs w:val="22"/>
        </w:rPr>
        <w:t>p</w:t>
      </w:r>
      <w:r w:rsidRPr="00043A1E">
        <w:rPr>
          <w:rFonts w:eastAsia="標楷體" w:hint="eastAsia"/>
          <w:szCs w:val="22"/>
        </w:rPr>
        <w:t>.</w:t>
      </w:r>
      <w:r w:rsidRPr="00761EF3">
        <w:rPr>
          <w:rFonts w:eastAsia="標楷體" w:hint="eastAsia"/>
          <w:szCs w:val="22"/>
        </w:rPr>
        <w:t>451</w:t>
      </w:r>
      <w:r w:rsidRPr="00043A1E">
        <w:rPr>
          <w:rFonts w:eastAsia="標楷體" w:hint="eastAsia"/>
          <w:szCs w:val="22"/>
        </w:rPr>
        <w:t>：</w:t>
      </w:r>
    </w:p>
    <w:p w:rsidR="006C38D2" w:rsidRDefault="00157EF6" w:rsidP="00AA120F">
      <w:pPr>
        <w:pStyle w:val="a5"/>
        <w:ind w:leftChars="335" w:left="804"/>
        <w:jc w:val="both"/>
        <w:rPr>
          <w:rFonts w:eastAsia="標楷體"/>
          <w:szCs w:val="22"/>
        </w:rPr>
      </w:pPr>
      <w:r w:rsidRPr="00043A1E">
        <w:rPr>
          <w:rFonts w:eastAsia="標楷體" w:hint="eastAsia"/>
          <w:szCs w:val="22"/>
        </w:rPr>
        <w:t>清辨說：世俗諦也是真實的。</w:t>
      </w:r>
    </w:p>
    <w:p w:rsidR="00157EF6" w:rsidRPr="00043A1E" w:rsidRDefault="00157EF6" w:rsidP="00AA120F">
      <w:pPr>
        <w:pStyle w:val="a5"/>
        <w:ind w:leftChars="335" w:left="804"/>
        <w:jc w:val="both"/>
        <w:rPr>
          <w:rFonts w:eastAsia="標楷體"/>
          <w:szCs w:val="22"/>
        </w:rPr>
      </w:pPr>
      <w:r w:rsidRPr="006C38D2">
        <w:rPr>
          <w:rFonts w:eastAsia="標楷體" w:hint="eastAsia"/>
          <w:szCs w:val="22"/>
          <w:highlight w:val="yellow"/>
        </w:rPr>
        <w:t>就</w:t>
      </w:r>
      <w:r w:rsidRPr="00043A1E">
        <w:rPr>
          <w:rFonts w:eastAsia="標楷體" w:hint="eastAsia"/>
          <w:szCs w:val="22"/>
        </w:rPr>
        <w:t>世俗論世俗，確有他的實相；但不能</w:t>
      </w:r>
      <w:r w:rsidRPr="006C38D2">
        <w:rPr>
          <w:rFonts w:eastAsia="標楷體" w:hint="eastAsia"/>
          <w:szCs w:val="22"/>
          <w:highlight w:val="yellow"/>
        </w:rPr>
        <w:t>說於</w:t>
      </w:r>
      <w:r w:rsidRPr="00043A1E">
        <w:rPr>
          <w:rFonts w:eastAsia="標楷體" w:hint="eastAsia"/>
          <w:szCs w:val="22"/>
        </w:rPr>
        <w:t>勝義諦中，也有自</w:t>
      </w:r>
      <w:r w:rsidRPr="006C38D2">
        <w:rPr>
          <w:rFonts w:eastAsia="標楷體" w:hint="eastAsia"/>
          <w:szCs w:val="22"/>
          <w:highlight w:val="yellow"/>
        </w:rPr>
        <w:t>相。</w:t>
      </w:r>
    </w:p>
    <w:p w:rsidR="00157EF6" w:rsidRPr="00043A1E" w:rsidRDefault="00157EF6" w:rsidP="00AA120F">
      <w:pPr>
        <w:pStyle w:val="a5"/>
        <w:ind w:leftChars="105" w:left="791" w:hangingChars="245" w:hanging="539"/>
        <w:jc w:val="both"/>
        <w:rPr>
          <w:rFonts w:eastAsia="標楷體"/>
          <w:szCs w:val="22"/>
        </w:rPr>
      </w:pPr>
      <w:r w:rsidRPr="00043A1E">
        <w:rPr>
          <w:rFonts w:ascii="新細明體" w:hAnsi="新細明體" w:hint="eastAsia"/>
          <w:szCs w:val="22"/>
        </w:rPr>
        <w:t>（</w:t>
      </w:r>
      <w:r w:rsidRPr="00761EF3">
        <w:rPr>
          <w:rFonts w:eastAsia="標楷體" w:hint="eastAsia"/>
          <w:szCs w:val="22"/>
        </w:rPr>
        <w:t>2</w:t>
      </w:r>
      <w:r w:rsidRPr="00043A1E">
        <w:rPr>
          <w:rFonts w:eastAsia="標楷體" w:hint="eastAsia"/>
          <w:szCs w:val="22"/>
        </w:rPr>
        <w:t>）</w:t>
      </w:r>
      <w:r w:rsidRPr="00043A1E">
        <w:rPr>
          <w:rFonts w:ascii="新細明體" w:hAnsi="新細明體" w:hint="eastAsia"/>
          <w:szCs w:val="22"/>
        </w:rPr>
        <w:t>印順</w:t>
      </w:r>
      <w:r w:rsidRPr="008E20BC">
        <w:rPr>
          <w:rFonts w:hint="eastAsia"/>
          <w:szCs w:val="22"/>
        </w:rPr>
        <w:t>法師</w:t>
      </w:r>
      <w:r w:rsidRPr="00043A1E">
        <w:rPr>
          <w:rFonts w:ascii="新細明體" w:hAnsi="新細明體" w:hint="eastAsia"/>
          <w:szCs w:val="22"/>
        </w:rPr>
        <w:t>，</w:t>
      </w:r>
      <w:r w:rsidRPr="00043A1E">
        <w:rPr>
          <w:rFonts w:eastAsia="標楷體" w:hint="eastAsia"/>
          <w:szCs w:val="22"/>
        </w:rPr>
        <w:t>《</w:t>
      </w:r>
      <w:r w:rsidRPr="00043A1E">
        <w:rPr>
          <w:rFonts w:ascii="新細明體" w:hAnsi="新細明體" w:hint="eastAsia"/>
          <w:szCs w:val="22"/>
        </w:rPr>
        <w:t>印度之佛教</w:t>
      </w:r>
      <w:r w:rsidRPr="00043A1E">
        <w:rPr>
          <w:rFonts w:eastAsia="標楷體" w:hint="eastAsia"/>
          <w:szCs w:val="22"/>
        </w:rPr>
        <w:t>》，</w:t>
      </w:r>
      <w:r w:rsidRPr="00761EF3">
        <w:rPr>
          <w:rFonts w:eastAsia="標楷體" w:hint="eastAsia"/>
          <w:szCs w:val="22"/>
        </w:rPr>
        <w:t>pp</w:t>
      </w:r>
      <w:r w:rsidRPr="00043A1E">
        <w:rPr>
          <w:rFonts w:eastAsia="標楷體" w:hint="eastAsia"/>
          <w:szCs w:val="22"/>
        </w:rPr>
        <w:t>.</w:t>
      </w:r>
      <w:r w:rsidRPr="00761EF3">
        <w:rPr>
          <w:rFonts w:eastAsia="標楷體" w:hint="eastAsia"/>
          <w:szCs w:val="22"/>
        </w:rPr>
        <w:t>295</w:t>
      </w:r>
      <w:r w:rsidRPr="00043A1E">
        <w:rPr>
          <w:rFonts w:eastAsia="標楷體" w:hint="eastAsia"/>
          <w:szCs w:val="22"/>
        </w:rPr>
        <w:t>-</w:t>
      </w:r>
      <w:r w:rsidRPr="00761EF3">
        <w:rPr>
          <w:rFonts w:eastAsia="標楷體" w:hint="eastAsia"/>
          <w:szCs w:val="22"/>
        </w:rPr>
        <w:t>296</w:t>
      </w:r>
      <w:r w:rsidRPr="00043A1E">
        <w:rPr>
          <w:rFonts w:eastAsia="標楷體" w:hint="eastAsia"/>
          <w:szCs w:val="22"/>
        </w:rPr>
        <w:t>：</w:t>
      </w:r>
    </w:p>
    <w:p w:rsidR="00157EF6" w:rsidRPr="00043A1E" w:rsidRDefault="00157EF6" w:rsidP="00AA120F">
      <w:pPr>
        <w:pStyle w:val="a5"/>
        <w:ind w:leftChars="335" w:left="804"/>
        <w:jc w:val="both"/>
        <w:rPr>
          <w:rFonts w:eastAsia="標楷體"/>
          <w:szCs w:val="22"/>
        </w:rPr>
      </w:pPr>
      <w:r w:rsidRPr="00043A1E">
        <w:rPr>
          <w:rFonts w:eastAsia="標楷體" w:hint="eastAsia"/>
          <w:szCs w:val="22"/>
        </w:rPr>
        <w:t>月稱以先，雖有佛護、清辨諸家，性空猶和合無諍，彼此亦不自覺其有異。月稱獨契佛護，直標「此宗不共」之談，乃有「應成」、「自續」之諍也。月稱作《中論明句釋》、《四百論釋》，又作《入中論》，尤注力於遮破唯識。初，佛護釋《中論》，於破「自生」時，以「應成無窮」等，隨敵者所許而破之；清辨評其不以立敵共許之因、喻為量，無破他之力。</w:t>
      </w:r>
    </w:p>
    <w:p w:rsidR="00157EF6" w:rsidRPr="00043A1E" w:rsidRDefault="00157EF6" w:rsidP="00C249AB">
      <w:pPr>
        <w:pStyle w:val="a5"/>
        <w:spacing w:line="300" w:lineRule="exact"/>
        <w:ind w:leftChars="335" w:left="804"/>
        <w:jc w:val="both"/>
        <w:rPr>
          <w:rFonts w:eastAsia="標楷體"/>
          <w:szCs w:val="22"/>
        </w:rPr>
      </w:pPr>
      <w:r w:rsidRPr="00043A1E">
        <w:rPr>
          <w:rFonts w:eastAsia="標楷體" w:hint="eastAsia"/>
          <w:b/>
          <w:szCs w:val="22"/>
        </w:rPr>
        <w:t>月稱</w:t>
      </w:r>
      <w:r w:rsidRPr="00043A1E">
        <w:rPr>
          <w:rFonts w:eastAsia="標楷體" w:hint="eastAsia"/>
          <w:szCs w:val="22"/>
        </w:rPr>
        <w:t>即此以發現佛護、清辨所見之不同。</w:t>
      </w:r>
      <w:r w:rsidRPr="00043A1E">
        <w:rPr>
          <w:rFonts w:eastAsia="標楷體" w:hint="eastAsia"/>
          <w:b/>
          <w:szCs w:val="22"/>
        </w:rPr>
        <w:t>清辨以世諦為自相有，為（五）根識現量之所得。</w:t>
      </w:r>
      <w:r w:rsidRPr="00043A1E">
        <w:rPr>
          <w:rFonts w:eastAsia="標楷體" w:hint="eastAsia"/>
          <w:szCs w:val="22"/>
        </w:rPr>
        <w:t>立者、敵者有此共許之正量，故得以共許之因相，「自立量」以破他立自。若直出敵者「自生」之過，即非善於立破者也。</w:t>
      </w:r>
    </w:p>
    <w:p w:rsidR="00157EF6" w:rsidRPr="00043A1E" w:rsidRDefault="00157EF6" w:rsidP="00C249AB">
      <w:pPr>
        <w:pStyle w:val="a5"/>
        <w:spacing w:line="300" w:lineRule="exact"/>
        <w:ind w:leftChars="335" w:left="804"/>
        <w:jc w:val="both"/>
        <w:rPr>
          <w:rFonts w:eastAsia="標楷體"/>
          <w:szCs w:val="22"/>
        </w:rPr>
      </w:pPr>
      <w:r w:rsidRPr="00043A1E">
        <w:rPr>
          <w:rFonts w:eastAsia="標楷體" w:hint="eastAsia"/>
          <w:b/>
          <w:szCs w:val="22"/>
        </w:rPr>
        <w:t>佛護</w:t>
      </w:r>
      <w:r w:rsidRPr="00043A1E">
        <w:rPr>
          <w:rFonts w:eastAsia="標楷體" w:hint="eastAsia"/>
          <w:szCs w:val="22"/>
        </w:rPr>
        <w:t>之意不爾，龍樹菩薩亦嘗以「應成」破。常人於如幻有而現為自相有，以此自相有為緣起相，視以為正確。性空者知法無自性，一切唯是無性之緣起，自相有是錯亂現。在緣起雖與世人共，而實無一共許者。以是，性空者於世人之執緣起自相有者，但可就其本身立說之矛盾，剿絕其情見，無立敵共許因之正量可立。</w:t>
      </w:r>
    </w:p>
    <w:p w:rsidR="00157EF6" w:rsidRPr="00043A1E" w:rsidRDefault="00157EF6" w:rsidP="00C249AB">
      <w:pPr>
        <w:pStyle w:val="a5"/>
        <w:spacing w:line="300" w:lineRule="exact"/>
        <w:ind w:leftChars="335" w:left="804"/>
        <w:jc w:val="both"/>
        <w:rPr>
          <w:rFonts w:eastAsia="標楷體"/>
          <w:szCs w:val="22"/>
        </w:rPr>
      </w:pPr>
      <w:r w:rsidRPr="00043A1E">
        <w:rPr>
          <w:rFonts w:eastAsia="標楷體" w:hint="eastAsia"/>
          <w:b/>
          <w:szCs w:val="22"/>
        </w:rPr>
        <w:t>清辨</w:t>
      </w:r>
      <w:r w:rsidRPr="00043A1E">
        <w:rPr>
          <w:rFonts w:eastAsia="標楷體" w:hint="eastAsia"/>
          <w:szCs w:val="22"/>
        </w:rPr>
        <w:t>以為有，蓋以緣起為有自相者，於二諦無礙之正見，未盡善也。</w:t>
      </w:r>
    </w:p>
    <w:p w:rsidR="00157EF6" w:rsidRPr="00043A1E" w:rsidRDefault="00157EF6" w:rsidP="00C249AB">
      <w:pPr>
        <w:pStyle w:val="a5"/>
        <w:spacing w:line="300" w:lineRule="exact"/>
        <w:ind w:leftChars="335" w:left="804"/>
        <w:jc w:val="both"/>
        <w:rPr>
          <w:rFonts w:eastAsia="標楷體"/>
          <w:szCs w:val="22"/>
        </w:rPr>
      </w:pPr>
      <w:r w:rsidRPr="00043A1E">
        <w:rPr>
          <w:rFonts w:eastAsia="標楷體" w:hint="eastAsia"/>
          <w:b/>
          <w:szCs w:val="22"/>
        </w:rPr>
        <w:t>月稱</w:t>
      </w:r>
      <w:r w:rsidRPr="00043A1E">
        <w:rPr>
          <w:rFonts w:eastAsia="標楷體" w:hint="eastAsia"/>
          <w:szCs w:val="22"/>
        </w:rPr>
        <w:t>立說，申二諦都無自性，三乘同見法性空，三世幻有，心境幻有（或稱之為「隨婆沙行者」），頗近於什公初傳之龍樹學（近天臺之共空）；於後期復興之中觀學者中，所見特深！然以緣起之「待他」為依心；「不從他生、非新生、不待他」之自性為勝義自性；不許現在意而破阿賴耶等（細心），則以學出後期，或濫於真常，或拒唯識而失之太過。</w:t>
      </w:r>
    </w:p>
    <w:p w:rsidR="00157EF6" w:rsidRPr="00043A1E" w:rsidRDefault="00157EF6" w:rsidP="00C249AB">
      <w:pPr>
        <w:pStyle w:val="a5"/>
        <w:spacing w:line="300" w:lineRule="exact"/>
        <w:ind w:leftChars="335" w:left="1024" w:hangingChars="100" w:hanging="220"/>
        <w:jc w:val="both"/>
        <w:rPr>
          <w:szCs w:val="22"/>
        </w:rPr>
      </w:pPr>
      <w:r w:rsidRPr="00043A1E">
        <w:rPr>
          <w:rFonts w:ascii="新細明體" w:hAnsi="新細明體" w:cs="新細明體" w:hint="eastAsia"/>
          <w:szCs w:val="22"/>
        </w:rPr>
        <w:t>※</w:t>
      </w:r>
      <w:r w:rsidRPr="00043A1E">
        <w:rPr>
          <w:szCs w:val="22"/>
        </w:rPr>
        <w:t>月稱對世俗諦的看法，可參考萬金川</w:t>
      </w:r>
      <w:r w:rsidRPr="00043A1E">
        <w:rPr>
          <w:rFonts w:hint="eastAsia"/>
          <w:szCs w:val="22"/>
        </w:rPr>
        <w:t>，</w:t>
      </w:r>
      <w:r w:rsidRPr="00043A1E">
        <w:rPr>
          <w:szCs w:val="22"/>
        </w:rPr>
        <w:t>《中觀思想講錄》</w:t>
      </w:r>
      <w:r w:rsidRPr="00043A1E">
        <w:rPr>
          <w:rFonts w:hint="eastAsia"/>
          <w:szCs w:val="22"/>
        </w:rPr>
        <w:t>，</w:t>
      </w:r>
      <w:r w:rsidRPr="00043A1E">
        <w:rPr>
          <w:szCs w:val="22"/>
        </w:rPr>
        <w:t>嘉義：香光書鄉</w:t>
      </w:r>
      <w:r w:rsidRPr="00043A1E">
        <w:rPr>
          <w:rFonts w:hint="eastAsia"/>
          <w:szCs w:val="22"/>
        </w:rPr>
        <w:t>，</w:t>
      </w:r>
      <w:r w:rsidRPr="00761EF3">
        <w:rPr>
          <w:szCs w:val="22"/>
        </w:rPr>
        <w:t>1998</w:t>
      </w:r>
      <w:r w:rsidRPr="00043A1E">
        <w:rPr>
          <w:szCs w:val="22"/>
        </w:rPr>
        <w:t>年</w:t>
      </w:r>
      <w:r w:rsidRPr="00043A1E">
        <w:rPr>
          <w:rFonts w:hint="eastAsia"/>
          <w:szCs w:val="22"/>
        </w:rPr>
        <w:t>，</w:t>
      </w:r>
      <w:r w:rsidRPr="00761EF3">
        <w:rPr>
          <w:szCs w:val="22"/>
        </w:rPr>
        <w:t>pp</w:t>
      </w:r>
      <w:r w:rsidRPr="00043A1E">
        <w:rPr>
          <w:szCs w:val="22"/>
        </w:rPr>
        <w:t>.</w:t>
      </w:r>
      <w:r w:rsidRPr="00761EF3">
        <w:rPr>
          <w:szCs w:val="22"/>
        </w:rPr>
        <w:t>162</w:t>
      </w:r>
      <w:r w:rsidRPr="00043A1E">
        <w:rPr>
          <w:szCs w:val="22"/>
        </w:rPr>
        <w:t>-</w:t>
      </w:r>
      <w:r w:rsidRPr="00761EF3">
        <w:rPr>
          <w:szCs w:val="22"/>
        </w:rPr>
        <w:t>165</w:t>
      </w:r>
      <w:r w:rsidRPr="00043A1E">
        <w:rPr>
          <w:szCs w:val="22"/>
        </w:rPr>
        <w:t>。</w:t>
      </w:r>
    </w:p>
  </w:footnote>
  <w:footnote w:id="847">
    <w:p w:rsidR="00157EF6" w:rsidRPr="00043A1E" w:rsidRDefault="00157EF6" w:rsidP="00C249AB">
      <w:pPr>
        <w:pStyle w:val="a5"/>
        <w:spacing w:line="300" w:lineRule="exact"/>
        <w:ind w:left="253" w:hangingChars="115" w:hanging="253"/>
        <w:jc w:val="both"/>
        <w:rPr>
          <w:szCs w:val="22"/>
        </w:rPr>
      </w:pPr>
      <w:r w:rsidRPr="00043A1E">
        <w:rPr>
          <w:rStyle w:val="a6"/>
          <w:szCs w:val="22"/>
        </w:rPr>
        <w:footnoteRef/>
      </w:r>
      <w:r w:rsidRPr="00043A1E">
        <w:rPr>
          <w:rFonts w:hint="eastAsia"/>
          <w:szCs w:val="22"/>
        </w:rPr>
        <w:t xml:space="preserve"> </w:t>
      </w:r>
      <w:r w:rsidR="009160B5">
        <w:rPr>
          <w:rFonts w:hint="eastAsia"/>
          <w:szCs w:val="22"/>
        </w:rPr>
        <w:t>參見：印</w:t>
      </w:r>
      <w:r w:rsidRPr="00043A1E">
        <w:rPr>
          <w:rFonts w:hint="eastAsia"/>
          <w:szCs w:val="22"/>
        </w:rPr>
        <w:t>順法師，《中觀今論》，第</w:t>
      </w:r>
      <w:r w:rsidRPr="00761EF3">
        <w:rPr>
          <w:rFonts w:hint="eastAsia"/>
          <w:szCs w:val="22"/>
        </w:rPr>
        <w:t>9</w:t>
      </w:r>
      <w:r w:rsidRPr="00043A1E">
        <w:rPr>
          <w:rFonts w:hint="eastAsia"/>
          <w:szCs w:val="22"/>
        </w:rPr>
        <w:t>章，第</w:t>
      </w:r>
      <w:r w:rsidRPr="00761EF3">
        <w:rPr>
          <w:rFonts w:hint="eastAsia"/>
          <w:szCs w:val="22"/>
        </w:rPr>
        <w:t>1</w:t>
      </w:r>
      <w:r w:rsidRPr="00043A1E">
        <w:rPr>
          <w:rFonts w:hint="eastAsia"/>
          <w:szCs w:val="22"/>
        </w:rPr>
        <w:t>節〈太過、不及、中道〉，</w:t>
      </w:r>
      <w:r w:rsidRPr="00761EF3">
        <w:rPr>
          <w:rFonts w:hint="eastAsia"/>
          <w:szCs w:val="22"/>
        </w:rPr>
        <w:t>p</w:t>
      </w:r>
      <w:r w:rsidRPr="00043A1E">
        <w:rPr>
          <w:rFonts w:hint="eastAsia"/>
          <w:szCs w:val="22"/>
        </w:rPr>
        <w:t>.</w:t>
      </w:r>
      <w:r w:rsidRPr="00761EF3">
        <w:rPr>
          <w:rFonts w:hint="eastAsia"/>
          <w:szCs w:val="22"/>
        </w:rPr>
        <w:t>182</w:t>
      </w:r>
      <w:r w:rsidRPr="00043A1E">
        <w:rPr>
          <w:rFonts w:hint="eastAsia"/>
          <w:szCs w:val="22"/>
        </w:rPr>
        <w:t>。</w:t>
      </w:r>
    </w:p>
  </w:footnote>
  <w:footnote w:id="848">
    <w:p w:rsidR="00200AF9" w:rsidRPr="00043A1E" w:rsidRDefault="00200AF9" w:rsidP="00200AF9">
      <w:pPr>
        <w:pStyle w:val="a5"/>
        <w:spacing w:line="300" w:lineRule="exac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〔姚秦〕</w:t>
      </w:r>
      <w:r w:rsidRPr="00043A1E">
        <w:rPr>
          <w:rFonts w:hint="eastAsia"/>
          <w:szCs w:val="22"/>
        </w:rPr>
        <w:t>鳩摩羅什譯，《中論》卷</w:t>
      </w:r>
      <w:r w:rsidRPr="00761EF3">
        <w:rPr>
          <w:rFonts w:hint="eastAsia"/>
          <w:szCs w:val="22"/>
        </w:rPr>
        <w:t>4</w:t>
      </w:r>
      <w:r w:rsidRPr="00043A1E">
        <w:rPr>
          <w:rFonts w:hint="eastAsia"/>
          <w:szCs w:val="22"/>
        </w:rPr>
        <w:t>〈</w:t>
      </w:r>
      <w:r w:rsidRPr="00761EF3">
        <w:rPr>
          <w:rFonts w:hint="eastAsia"/>
          <w:szCs w:val="22"/>
        </w:rPr>
        <w:t>24</w:t>
      </w:r>
      <w:r w:rsidRPr="00043A1E">
        <w:rPr>
          <w:rFonts w:hint="eastAsia"/>
          <w:szCs w:val="22"/>
        </w:rPr>
        <w:t>觀四諦品〉（大正</w:t>
      </w:r>
      <w:r w:rsidRPr="00761EF3">
        <w:rPr>
          <w:rFonts w:hint="eastAsia"/>
          <w:szCs w:val="22"/>
        </w:rPr>
        <w:t>30</w:t>
      </w:r>
      <w:r w:rsidRPr="00043A1E">
        <w:rPr>
          <w:rFonts w:hint="eastAsia"/>
          <w:szCs w:val="22"/>
        </w:rPr>
        <w:t>，</w:t>
      </w:r>
      <w:r w:rsidRPr="00761EF3">
        <w:rPr>
          <w:rFonts w:hint="eastAsia"/>
          <w:szCs w:val="22"/>
        </w:rPr>
        <w:t>33a22</w:t>
      </w:r>
      <w:r w:rsidRPr="00043A1E">
        <w:rPr>
          <w:rFonts w:hint="eastAsia"/>
          <w:szCs w:val="22"/>
        </w:rPr>
        <w:t>-</w:t>
      </w:r>
      <w:r w:rsidRPr="00761EF3">
        <w:rPr>
          <w:rFonts w:hint="eastAsia"/>
          <w:szCs w:val="22"/>
        </w:rPr>
        <w:t>23</w:t>
      </w:r>
      <w:r w:rsidRPr="00043A1E">
        <w:rPr>
          <w:rFonts w:hint="eastAsia"/>
          <w:szCs w:val="22"/>
        </w:rPr>
        <w:t>）：</w:t>
      </w:r>
    </w:p>
    <w:p w:rsidR="00200AF9" w:rsidRPr="00043A1E" w:rsidRDefault="00200AF9" w:rsidP="00200AF9">
      <w:pPr>
        <w:pStyle w:val="a5"/>
        <w:spacing w:line="300" w:lineRule="exact"/>
        <w:ind w:leftChars="105" w:left="252"/>
        <w:jc w:val="both"/>
        <w:rPr>
          <w:rFonts w:eastAsia="標楷體"/>
          <w:szCs w:val="22"/>
        </w:rPr>
      </w:pPr>
      <w:r w:rsidRPr="00043A1E">
        <w:rPr>
          <w:rFonts w:ascii="標楷體" w:eastAsia="標楷體" w:hAnsi="標楷體" w:hint="eastAsia"/>
          <w:szCs w:val="22"/>
        </w:rPr>
        <w:t>以有空義故，一切法得成</w:t>
      </w:r>
      <w:r>
        <w:rPr>
          <w:rFonts w:ascii="標楷體" w:eastAsia="標楷體" w:hAnsi="標楷體" w:hint="eastAsia"/>
          <w:color w:val="FF0000"/>
          <w:szCs w:val="22"/>
          <w:highlight w:val="yellow"/>
        </w:rPr>
        <w:t>；</w:t>
      </w:r>
      <w:r w:rsidRPr="00043A1E">
        <w:rPr>
          <w:rFonts w:ascii="標楷體" w:eastAsia="標楷體" w:hAnsi="標楷體" w:hint="eastAsia"/>
          <w:szCs w:val="22"/>
        </w:rPr>
        <w:t>若無空義者，一切則不成。</w:t>
      </w:r>
    </w:p>
  </w:footnote>
  <w:footnote w:id="849">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szCs w:val="22"/>
        </w:rPr>
        <w:t>〔劉宋〕求那跋陀羅譯，《楞伽阿跋多羅寶經》卷</w:t>
      </w:r>
      <w:r w:rsidRPr="00761EF3">
        <w:rPr>
          <w:szCs w:val="22"/>
        </w:rPr>
        <w:t>1</w:t>
      </w:r>
      <w:r w:rsidRPr="00043A1E">
        <w:rPr>
          <w:szCs w:val="22"/>
        </w:rPr>
        <w:t>〈</w:t>
      </w:r>
      <w:r w:rsidRPr="00761EF3">
        <w:rPr>
          <w:szCs w:val="22"/>
        </w:rPr>
        <w:t>1</w:t>
      </w:r>
      <w:r w:rsidRPr="00043A1E">
        <w:rPr>
          <w:szCs w:val="22"/>
        </w:rPr>
        <w:t xml:space="preserve"> </w:t>
      </w:r>
      <w:r w:rsidRPr="00043A1E">
        <w:rPr>
          <w:szCs w:val="22"/>
        </w:rPr>
        <w:t>一切佛語心品〉</w:t>
      </w:r>
      <w:r w:rsidRPr="00043A1E">
        <w:rPr>
          <w:rFonts w:hint="eastAsia"/>
          <w:szCs w:val="22"/>
        </w:rPr>
        <w:t>（大正</w:t>
      </w:r>
      <w:r w:rsidRPr="00761EF3">
        <w:rPr>
          <w:rFonts w:hint="eastAsia"/>
          <w:szCs w:val="22"/>
        </w:rPr>
        <w:t>16</w:t>
      </w:r>
      <w:r w:rsidRPr="00043A1E">
        <w:rPr>
          <w:rFonts w:hint="eastAsia"/>
          <w:szCs w:val="22"/>
        </w:rPr>
        <w:t>，</w:t>
      </w:r>
      <w:r w:rsidRPr="00761EF3">
        <w:rPr>
          <w:rFonts w:hint="eastAsia"/>
          <w:szCs w:val="22"/>
        </w:rPr>
        <w:t>483a29</w:t>
      </w:r>
      <w:r w:rsidRPr="00043A1E">
        <w:rPr>
          <w:rFonts w:hint="eastAsia"/>
          <w:szCs w:val="22"/>
        </w:rPr>
        <w:t>-</w:t>
      </w:r>
      <w:r w:rsidRPr="00761EF3">
        <w:rPr>
          <w:rFonts w:hint="eastAsia"/>
          <w:szCs w:val="22"/>
        </w:rPr>
        <w:t>b5</w:t>
      </w:r>
      <w:r w:rsidRPr="00043A1E">
        <w:rPr>
          <w:rFonts w:hint="eastAsia"/>
          <w:szCs w:val="22"/>
        </w:rPr>
        <w:t>）：</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如是大慧！轉識、藏識、真相</w:t>
      </w:r>
      <w:r w:rsidR="00C0247D" w:rsidRPr="00C0247D">
        <w:rPr>
          <w:rFonts w:ascii="標楷體" w:eastAsia="標楷體" w:hAnsi="標楷體" w:hint="eastAsia"/>
          <w:color w:val="FF0000"/>
          <w:szCs w:val="22"/>
          <w:highlight w:val="yellow"/>
        </w:rPr>
        <w:t>──</w:t>
      </w:r>
      <w:r w:rsidRPr="00043A1E">
        <w:rPr>
          <w:rFonts w:ascii="標楷體" w:eastAsia="標楷體" w:hAnsi="標楷體" w:hint="eastAsia"/>
          <w:szCs w:val="22"/>
        </w:rPr>
        <w:t>若異者，藏識非因；若不異者，轉識滅，藏識亦應滅，而自真相實不滅。是故</w:t>
      </w:r>
      <w:r w:rsidR="006C38D2">
        <w:rPr>
          <w:rFonts w:ascii="標楷體" w:eastAsia="標楷體" w:hAnsi="標楷體" w:hint="eastAsia"/>
          <w:color w:val="FF0000"/>
          <w:kern w:val="0"/>
          <w:highlight w:val="yellow"/>
        </w:rPr>
        <w:t>，</w:t>
      </w:r>
      <w:r w:rsidRPr="00043A1E">
        <w:rPr>
          <w:rFonts w:ascii="標楷體" w:eastAsia="標楷體" w:hAnsi="標楷體" w:hint="eastAsia"/>
          <w:szCs w:val="22"/>
        </w:rPr>
        <w:t>大慧！非自真相識滅，但業相滅。若自真相滅者，藏識則滅。大慧！藏識滅者，不異外道斷見論議。</w:t>
      </w:r>
    </w:p>
    <w:p w:rsidR="00157EF6" w:rsidRPr="00043A1E" w:rsidRDefault="00157EF6" w:rsidP="00AA120F">
      <w:pPr>
        <w:pStyle w:val="a5"/>
        <w:ind w:leftChars="105" w:left="791" w:hangingChars="245" w:hanging="539"/>
        <w:jc w:val="both"/>
        <w:rPr>
          <w:rFonts w:eastAsia="標楷體"/>
          <w:szCs w:val="22"/>
        </w:rPr>
      </w:pPr>
      <w:r w:rsidRPr="00043A1E">
        <w:rPr>
          <w:rFonts w:eastAsia="標楷體"/>
          <w:szCs w:val="22"/>
        </w:rPr>
        <w:t>（</w:t>
      </w:r>
      <w:r w:rsidRPr="00761EF3">
        <w:rPr>
          <w:rFonts w:eastAsia="標楷體"/>
          <w:szCs w:val="22"/>
        </w:rPr>
        <w:t>2</w:t>
      </w:r>
      <w:r w:rsidRPr="00043A1E">
        <w:rPr>
          <w:rFonts w:eastAsia="標楷體"/>
          <w:szCs w:val="22"/>
        </w:rPr>
        <w:t>）</w:t>
      </w:r>
      <w:r w:rsidRPr="00043A1E">
        <w:rPr>
          <w:szCs w:val="22"/>
        </w:rPr>
        <w:t>〔</w:t>
      </w:r>
      <w:r w:rsidRPr="00043A1E">
        <w:rPr>
          <w:rFonts w:ascii="新細明體" w:hAnsi="新細明體" w:hint="eastAsia"/>
          <w:szCs w:val="22"/>
        </w:rPr>
        <w:t>元魏</w:t>
      </w:r>
      <w:r w:rsidRPr="00043A1E">
        <w:rPr>
          <w:szCs w:val="22"/>
        </w:rPr>
        <w:t>〕</w:t>
      </w:r>
      <w:r w:rsidRPr="008E20BC">
        <w:rPr>
          <w:rFonts w:hint="eastAsia"/>
          <w:szCs w:val="22"/>
        </w:rPr>
        <w:t>菩提</w:t>
      </w:r>
      <w:r w:rsidRPr="00043A1E">
        <w:rPr>
          <w:rFonts w:ascii="新細明體" w:hAnsi="新細明體" w:hint="eastAsia"/>
          <w:szCs w:val="22"/>
        </w:rPr>
        <w:t>留支譯，</w:t>
      </w:r>
      <w:r w:rsidRPr="00043A1E">
        <w:rPr>
          <w:szCs w:val="22"/>
        </w:rPr>
        <w:t>《入楞伽經》卷</w:t>
      </w:r>
      <w:r w:rsidRPr="00761EF3">
        <w:rPr>
          <w:szCs w:val="22"/>
        </w:rPr>
        <w:t>2</w:t>
      </w:r>
      <w:r w:rsidRPr="00043A1E">
        <w:rPr>
          <w:szCs w:val="22"/>
        </w:rPr>
        <w:t>〈</w:t>
      </w:r>
      <w:r w:rsidRPr="00761EF3">
        <w:rPr>
          <w:szCs w:val="22"/>
        </w:rPr>
        <w:t>3</w:t>
      </w:r>
      <w:r w:rsidRPr="00043A1E">
        <w:rPr>
          <w:szCs w:val="22"/>
        </w:rPr>
        <w:t xml:space="preserve"> </w:t>
      </w:r>
      <w:r w:rsidRPr="00043A1E">
        <w:rPr>
          <w:szCs w:val="22"/>
        </w:rPr>
        <w:t>集一切佛法品〉（大正</w:t>
      </w:r>
      <w:r w:rsidRPr="00761EF3">
        <w:rPr>
          <w:szCs w:val="22"/>
        </w:rPr>
        <w:t>16</w:t>
      </w:r>
      <w:r w:rsidRPr="00043A1E">
        <w:rPr>
          <w:szCs w:val="22"/>
        </w:rPr>
        <w:t>，</w:t>
      </w:r>
      <w:r w:rsidRPr="00761EF3">
        <w:rPr>
          <w:szCs w:val="22"/>
        </w:rPr>
        <w:t>522a16</w:t>
      </w:r>
      <w:r w:rsidRPr="00043A1E">
        <w:rPr>
          <w:szCs w:val="22"/>
        </w:rPr>
        <w:t>-</w:t>
      </w:r>
      <w:r w:rsidRPr="00761EF3">
        <w:rPr>
          <w:szCs w:val="22"/>
        </w:rPr>
        <w:t>21</w:t>
      </w:r>
      <w:r w:rsidRPr="00043A1E">
        <w:rPr>
          <w:szCs w:val="22"/>
        </w:rPr>
        <w:t>）</w:t>
      </w:r>
      <w:r w:rsidRPr="00043A1E">
        <w:rPr>
          <w:rFonts w:eastAsia="標楷體"/>
          <w:szCs w:val="22"/>
        </w:rPr>
        <w:t>：</w:t>
      </w:r>
    </w:p>
    <w:p w:rsidR="00157EF6" w:rsidRPr="00043A1E" w:rsidRDefault="00157EF6" w:rsidP="00AA120F">
      <w:pPr>
        <w:pStyle w:val="a5"/>
        <w:ind w:leftChars="335" w:left="804"/>
        <w:jc w:val="both"/>
        <w:rPr>
          <w:rFonts w:eastAsia="標楷體"/>
          <w:szCs w:val="22"/>
        </w:rPr>
      </w:pPr>
      <w:r w:rsidRPr="00043A1E">
        <w:rPr>
          <w:rFonts w:eastAsia="標楷體"/>
          <w:szCs w:val="22"/>
        </w:rPr>
        <w:t>大慧！如是轉識</w:t>
      </w:r>
      <w:r w:rsidRPr="00043A1E">
        <w:rPr>
          <w:rFonts w:eastAsia="標楷體" w:hint="eastAsia"/>
          <w:szCs w:val="22"/>
        </w:rPr>
        <w:t>、</w:t>
      </w:r>
      <w:r w:rsidRPr="00043A1E">
        <w:rPr>
          <w:rFonts w:eastAsia="標楷體"/>
          <w:szCs w:val="22"/>
        </w:rPr>
        <w:t>阿梨耶識，若異相者，不從阿梨耶識生；若不異者，轉識滅</w:t>
      </w:r>
      <w:r w:rsidRPr="00043A1E">
        <w:rPr>
          <w:rFonts w:eastAsia="標楷體" w:hint="eastAsia"/>
          <w:szCs w:val="22"/>
        </w:rPr>
        <w:t>，</w:t>
      </w:r>
      <w:r w:rsidRPr="00043A1E">
        <w:rPr>
          <w:rFonts w:eastAsia="標楷體"/>
          <w:szCs w:val="22"/>
        </w:rPr>
        <w:t>阿梨耶識亦應滅</w:t>
      </w:r>
      <w:r w:rsidR="006C38D2">
        <w:rPr>
          <w:rFonts w:ascii="標楷體" w:eastAsia="標楷體" w:hAnsi="標楷體" w:hint="eastAsia"/>
          <w:color w:val="FF0000"/>
          <w:kern w:val="0"/>
          <w:highlight w:val="yellow"/>
        </w:rPr>
        <w:t>。</w:t>
      </w:r>
      <w:r w:rsidRPr="00043A1E">
        <w:rPr>
          <w:rFonts w:eastAsia="標楷體"/>
          <w:szCs w:val="22"/>
        </w:rPr>
        <w:t>而自相阿梨耶識不滅。是故</w:t>
      </w:r>
      <w:r w:rsidR="006C38D2">
        <w:rPr>
          <w:rFonts w:ascii="標楷體" w:eastAsia="標楷體" w:hAnsi="標楷體" w:hint="eastAsia"/>
          <w:color w:val="FF0000"/>
          <w:kern w:val="0"/>
          <w:highlight w:val="yellow"/>
        </w:rPr>
        <w:t>，</w:t>
      </w:r>
      <w:r w:rsidRPr="00043A1E">
        <w:rPr>
          <w:rFonts w:eastAsia="標楷體"/>
          <w:szCs w:val="22"/>
        </w:rPr>
        <w:t>大慧！諸識自相滅，自相滅者</w:t>
      </w:r>
      <w:r w:rsidRPr="00043A1E">
        <w:rPr>
          <w:rFonts w:eastAsia="標楷體" w:hint="eastAsia"/>
          <w:szCs w:val="22"/>
        </w:rPr>
        <w:t>，</w:t>
      </w:r>
      <w:r w:rsidRPr="00043A1E">
        <w:rPr>
          <w:rFonts w:eastAsia="標楷體"/>
          <w:szCs w:val="22"/>
        </w:rPr>
        <w:t>業相滅</w:t>
      </w:r>
      <w:r w:rsidRPr="00043A1E">
        <w:rPr>
          <w:rFonts w:eastAsia="標楷體" w:hint="eastAsia"/>
          <w:szCs w:val="22"/>
        </w:rPr>
        <w:t>；</w:t>
      </w:r>
      <w:r w:rsidRPr="00043A1E">
        <w:rPr>
          <w:rFonts w:eastAsia="標楷體"/>
          <w:szCs w:val="22"/>
        </w:rPr>
        <w:t>若自相滅者</w:t>
      </w:r>
      <w:r w:rsidRPr="00043A1E">
        <w:rPr>
          <w:rFonts w:eastAsia="標楷體" w:hint="eastAsia"/>
          <w:szCs w:val="22"/>
        </w:rPr>
        <w:t>，</w:t>
      </w:r>
      <w:r w:rsidRPr="00043A1E">
        <w:rPr>
          <w:rFonts w:eastAsia="標楷體"/>
          <w:szCs w:val="22"/>
        </w:rPr>
        <w:t>阿梨耶識應滅。大慧！若阿梨耶識滅者，此不異外道斷見戲論。</w:t>
      </w:r>
    </w:p>
  </w:footnote>
  <w:footnote w:id="850">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《勝鬘師子吼一乘大方便方廣經》〈</w:t>
      </w:r>
      <w:r w:rsidRPr="00761EF3">
        <w:rPr>
          <w:rFonts w:hint="eastAsia"/>
          <w:szCs w:val="22"/>
        </w:rPr>
        <w:t>9</w:t>
      </w:r>
      <w:r w:rsidRPr="00043A1E">
        <w:rPr>
          <w:szCs w:val="22"/>
        </w:rPr>
        <w:t xml:space="preserve"> </w:t>
      </w:r>
      <w:r w:rsidRPr="00043A1E">
        <w:rPr>
          <w:rFonts w:hint="eastAsia"/>
          <w:szCs w:val="22"/>
        </w:rPr>
        <w:t>空義隱覆真實章〉（大正</w:t>
      </w:r>
      <w:r w:rsidRPr="00761EF3">
        <w:rPr>
          <w:rFonts w:hint="eastAsia"/>
          <w:szCs w:val="22"/>
        </w:rPr>
        <w:t>12</w:t>
      </w:r>
      <w:r w:rsidRPr="00043A1E">
        <w:rPr>
          <w:rFonts w:hint="eastAsia"/>
          <w:szCs w:val="22"/>
        </w:rPr>
        <w:t>，</w:t>
      </w:r>
      <w:r w:rsidRPr="00761EF3">
        <w:rPr>
          <w:rFonts w:hint="eastAsia"/>
          <w:szCs w:val="22"/>
        </w:rPr>
        <w:t>221c13</w:t>
      </w:r>
      <w:r w:rsidRPr="00043A1E">
        <w:rPr>
          <w:rFonts w:hint="eastAsia"/>
          <w:szCs w:val="22"/>
        </w:rPr>
        <w:t>-</w:t>
      </w:r>
      <w:r w:rsidRPr="00761EF3">
        <w:rPr>
          <w:rFonts w:hint="eastAsia"/>
          <w:szCs w:val="22"/>
        </w:rPr>
        <w:t>18</w:t>
      </w:r>
      <w:r w:rsidRPr="00043A1E">
        <w:rPr>
          <w:rFonts w:hint="eastAsia"/>
          <w:szCs w:val="22"/>
        </w:rPr>
        <w:t>）：</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hint="eastAsia"/>
          <w:szCs w:val="22"/>
        </w:rPr>
        <w:t>世尊！如來藏智，是如來空智。世尊！如來藏者，一切阿羅漢、辟支佛、大力菩薩本所不見、本所不得。世尊！有二種如來藏空智。世尊！</w:t>
      </w:r>
      <w:r w:rsidRPr="00043A1E">
        <w:rPr>
          <w:rFonts w:ascii="標楷體" w:eastAsia="標楷體" w:hAnsi="標楷體" w:hint="eastAsia"/>
          <w:b/>
          <w:szCs w:val="22"/>
        </w:rPr>
        <w:t>空如來藏</w:t>
      </w:r>
      <w:r w:rsidRPr="00043A1E">
        <w:rPr>
          <w:rFonts w:ascii="標楷體" w:eastAsia="標楷體" w:hAnsi="標楷體" w:hint="eastAsia"/>
          <w:szCs w:val="22"/>
        </w:rPr>
        <w:t>，若離、若脫、若異一切煩惱藏。世尊！</w:t>
      </w:r>
      <w:r w:rsidRPr="00043A1E">
        <w:rPr>
          <w:rFonts w:ascii="標楷體" w:eastAsia="標楷體" w:hAnsi="標楷體" w:hint="eastAsia"/>
          <w:b/>
          <w:szCs w:val="22"/>
        </w:rPr>
        <w:t>不空如來藏</w:t>
      </w:r>
      <w:r w:rsidRPr="00043A1E">
        <w:rPr>
          <w:rFonts w:ascii="標楷體" w:eastAsia="標楷體" w:hAnsi="標楷體" w:hint="eastAsia"/>
          <w:szCs w:val="22"/>
        </w:rPr>
        <w:t>，過於恒沙不離、不脫、不異不思議佛法。</w:t>
      </w:r>
    </w:p>
  </w:footnote>
  <w:footnote w:id="851">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馬鳴造，</w:t>
      </w:r>
      <w:r w:rsidR="006C38D2">
        <w:rPr>
          <w:rFonts w:hint="eastAsia"/>
          <w:szCs w:val="22"/>
        </w:rPr>
        <w:t>［陳］</w:t>
      </w:r>
      <w:r w:rsidRPr="00043A1E">
        <w:rPr>
          <w:rFonts w:hint="eastAsia"/>
          <w:szCs w:val="22"/>
        </w:rPr>
        <w:t>真諦譯，《大乘起信論》（大正</w:t>
      </w:r>
      <w:r w:rsidRPr="00761EF3">
        <w:rPr>
          <w:rFonts w:hint="eastAsia"/>
          <w:szCs w:val="22"/>
        </w:rPr>
        <w:t>32</w:t>
      </w:r>
      <w:r w:rsidRPr="00043A1E">
        <w:rPr>
          <w:rFonts w:hint="eastAsia"/>
          <w:szCs w:val="22"/>
        </w:rPr>
        <w:t>，</w:t>
      </w:r>
      <w:r w:rsidRPr="00761EF3">
        <w:rPr>
          <w:rFonts w:hint="eastAsia"/>
          <w:szCs w:val="22"/>
        </w:rPr>
        <w:t>576a24</w:t>
      </w:r>
      <w:r w:rsidRPr="00043A1E">
        <w:rPr>
          <w:rFonts w:hint="eastAsia"/>
          <w:szCs w:val="22"/>
        </w:rPr>
        <w:t>-</w:t>
      </w:r>
      <w:r w:rsidRPr="00761EF3">
        <w:rPr>
          <w:rFonts w:hint="eastAsia"/>
          <w:szCs w:val="22"/>
        </w:rPr>
        <w:t>b6</w:t>
      </w:r>
      <w:r w:rsidRPr="00043A1E">
        <w:rPr>
          <w:rFonts w:hint="eastAsia"/>
          <w:szCs w:val="22"/>
        </w:rPr>
        <w:t>）：</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hint="eastAsia"/>
          <w:szCs w:val="22"/>
        </w:rPr>
        <w:t>復次，此</w:t>
      </w:r>
      <w:r w:rsidR="006C38D2">
        <w:rPr>
          <w:rFonts w:ascii="標楷體" w:eastAsia="標楷體" w:hAnsi="標楷體" w:hint="eastAsia"/>
          <w:bCs/>
          <w:color w:val="FF0000"/>
          <w:kern w:val="0"/>
          <w:highlight w:val="yellow"/>
        </w:rPr>
        <w:t>「</w:t>
      </w:r>
      <w:r w:rsidRPr="00043A1E">
        <w:rPr>
          <w:rFonts w:ascii="標楷體" w:eastAsia="標楷體" w:hAnsi="標楷體" w:hint="eastAsia"/>
          <w:szCs w:val="22"/>
        </w:rPr>
        <w:t>真如</w:t>
      </w:r>
      <w:r w:rsidR="006C38D2">
        <w:rPr>
          <w:rFonts w:ascii="標楷體" w:eastAsia="標楷體" w:hAnsi="標楷體" w:hint="eastAsia"/>
          <w:bCs/>
          <w:color w:val="FF0000"/>
          <w:kern w:val="0"/>
          <w:highlight w:val="yellow"/>
        </w:rPr>
        <w:t>」</w:t>
      </w:r>
      <w:r w:rsidRPr="00043A1E">
        <w:rPr>
          <w:rFonts w:ascii="標楷體" w:eastAsia="標楷體" w:hAnsi="標楷體" w:hint="eastAsia"/>
          <w:szCs w:val="22"/>
        </w:rPr>
        <w:t>者，依言說分別</w:t>
      </w:r>
      <w:r w:rsidR="006C38D2">
        <w:rPr>
          <w:rFonts w:ascii="標楷體" w:eastAsia="標楷體" w:hAnsi="標楷體" w:hint="eastAsia"/>
          <w:color w:val="FF0000"/>
          <w:kern w:val="0"/>
          <w:highlight w:val="yellow"/>
        </w:rPr>
        <w:t>，</w:t>
      </w:r>
      <w:r w:rsidRPr="00043A1E">
        <w:rPr>
          <w:rFonts w:ascii="標楷體" w:eastAsia="標楷體" w:hAnsi="標楷體" w:hint="eastAsia"/>
          <w:szCs w:val="22"/>
        </w:rPr>
        <w:t>有二種義。云何為二？一者</w:t>
      </w:r>
      <w:r w:rsidR="006C38D2">
        <w:rPr>
          <w:rFonts w:ascii="標楷體" w:eastAsia="標楷體" w:hAnsi="標楷體" w:hint="eastAsia"/>
          <w:color w:val="FF0000"/>
          <w:spacing w:val="-4"/>
          <w:kern w:val="0"/>
          <w:highlight w:val="yellow"/>
        </w:rPr>
        <w:t>、</w:t>
      </w:r>
      <w:r w:rsidRPr="00043A1E">
        <w:rPr>
          <w:rFonts w:ascii="標楷體" w:eastAsia="標楷體" w:hAnsi="標楷體" w:hint="eastAsia"/>
          <w:b/>
          <w:szCs w:val="22"/>
        </w:rPr>
        <w:t>如實空</w:t>
      </w:r>
      <w:r w:rsidRPr="00043A1E">
        <w:rPr>
          <w:rFonts w:ascii="標楷體" w:eastAsia="標楷體" w:hAnsi="標楷體" w:hint="eastAsia"/>
          <w:szCs w:val="22"/>
        </w:rPr>
        <w:t>，以能究竟顯實故；二者</w:t>
      </w:r>
      <w:r w:rsidR="006C38D2">
        <w:rPr>
          <w:rFonts w:ascii="標楷體" w:eastAsia="標楷體" w:hAnsi="標楷體" w:hint="eastAsia"/>
          <w:color w:val="FF0000"/>
          <w:spacing w:val="-4"/>
          <w:kern w:val="0"/>
          <w:highlight w:val="yellow"/>
        </w:rPr>
        <w:t>、</w:t>
      </w:r>
      <w:r w:rsidRPr="00043A1E">
        <w:rPr>
          <w:rFonts w:ascii="標楷體" w:eastAsia="標楷體" w:hAnsi="標楷體" w:hint="eastAsia"/>
          <w:b/>
          <w:szCs w:val="22"/>
        </w:rPr>
        <w:t>如實不空</w:t>
      </w:r>
      <w:r w:rsidRPr="00043A1E">
        <w:rPr>
          <w:rFonts w:ascii="標楷體" w:eastAsia="標楷體" w:hAnsi="標楷體" w:hint="eastAsia"/>
          <w:szCs w:val="22"/>
        </w:rPr>
        <w:t>，以有自體具足無漏性功德故。</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hint="eastAsia"/>
          <w:b/>
          <w:szCs w:val="22"/>
        </w:rPr>
        <w:t>所言</w:t>
      </w:r>
      <w:r w:rsidR="006C38D2">
        <w:rPr>
          <w:rFonts w:ascii="標楷體" w:eastAsia="標楷體" w:hAnsi="標楷體" w:hint="eastAsia"/>
          <w:bCs/>
          <w:color w:val="FF0000"/>
          <w:kern w:val="0"/>
          <w:highlight w:val="yellow"/>
        </w:rPr>
        <w:t>「</w:t>
      </w:r>
      <w:r w:rsidRPr="00043A1E">
        <w:rPr>
          <w:rFonts w:ascii="標楷體" w:eastAsia="標楷體" w:hAnsi="標楷體" w:hint="eastAsia"/>
          <w:b/>
          <w:szCs w:val="22"/>
        </w:rPr>
        <w:t>空</w:t>
      </w:r>
      <w:r w:rsidR="006C38D2">
        <w:rPr>
          <w:rFonts w:ascii="標楷體" w:eastAsia="標楷體" w:hAnsi="標楷體" w:hint="eastAsia"/>
          <w:bCs/>
          <w:color w:val="FF0000"/>
          <w:kern w:val="0"/>
          <w:highlight w:val="yellow"/>
        </w:rPr>
        <w:t>」</w:t>
      </w:r>
      <w:r w:rsidRPr="00043A1E">
        <w:rPr>
          <w:rFonts w:ascii="標楷體" w:eastAsia="標楷體" w:hAnsi="標楷體" w:hint="eastAsia"/>
          <w:b/>
          <w:szCs w:val="22"/>
        </w:rPr>
        <w:t>者</w:t>
      </w:r>
      <w:r w:rsidRPr="00043A1E">
        <w:rPr>
          <w:rFonts w:ascii="標楷體" w:eastAsia="標楷體" w:hAnsi="標楷體" w:hint="eastAsia"/>
          <w:szCs w:val="22"/>
        </w:rPr>
        <w:t>，從本已來一切染法不相應故。謂離一切法差別之相，以無虛妄心念故。當知</w:t>
      </w:r>
      <w:r w:rsidR="006C38D2">
        <w:rPr>
          <w:rFonts w:ascii="標楷體" w:eastAsia="標楷體" w:hAnsi="標楷體" w:hint="eastAsia"/>
          <w:color w:val="FF0000"/>
          <w:spacing w:val="-4"/>
          <w:kern w:val="0"/>
          <w:highlight w:val="yellow"/>
        </w:rPr>
        <w:t>：</w:t>
      </w:r>
      <w:r w:rsidR="006C38D2">
        <w:rPr>
          <w:rFonts w:ascii="標楷體" w:eastAsia="標楷體" w:hAnsi="標楷體" w:hint="eastAsia"/>
          <w:bCs/>
          <w:color w:val="FF0000"/>
          <w:kern w:val="0"/>
          <w:highlight w:val="yellow"/>
        </w:rPr>
        <w:t>「</w:t>
      </w:r>
      <w:r w:rsidRPr="00043A1E">
        <w:rPr>
          <w:rFonts w:ascii="標楷體" w:eastAsia="標楷體" w:hAnsi="標楷體" w:hint="eastAsia"/>
          <w:szCs w:val="22"/>
        </w:rPr>
        <w:t>真如</w:t>
      </w:r>
      <w:r w:rsidR="006C38D2">
        <w:rPr>
          <w:rFonts w:ascii="標楷體" w:eastAsia="標楷體" w:hAnsi="標楷體" w:hint="eastAsia"/>
          <w:bCs/>
          <w:color w:val="FF0000"/>
          <w:kern w:val="0"/>
          <w:highlight w:val="yellow"/>
        </w:rPr>
        <w:t>」</w:t>
      </w:r>
      <w:r w:rsidRPr="00043A1E">
        <w:rPr>
          <w:rFonts w:ascii="標楷體" w:eastAsia="標楷體" w:hAnsi="標楷體" w:hint="eastAsia"/>
          <w:szCs w:val="22"/>
        </w:rPr>
        <w:t>自性，非有相，非無相，非非有相非非無相，非有無俱相；非一相，非異相，非非一相非非異相，非一異俱相</w:t>
      </w:r>
      <w:r w:rsidR="006C38D2">
        <w:rPr>
          <w:rFonts w:ascii="標楷體" w:eastAsia="標楷體" w:hAnsi="標楷體" w:hint="eastAsia"/>
          <w:szCs w:val="22"/>
        </w:rPr>
        <w:t>。</w:t>
      </w:r>
      <w:r w:rsidRPr="00043A1E">
        <w:rPr>
          <w:rFonts w:ascii="標楷體" w:eastAsia="標楷體" w:hAnsi="標楷體" w:hint="eastAsia"/>
          <w:szCs w:val="22"/>
        </w:rPr>
        <w:t>乃至總說</w:t>
      </w:r>
      <w:r w:rsidR="006C38D2">
        <w:rPr>
          <w:rFonts w:ascii="標楷體" w:eastAsia="標楷體" w:hAnsi="標楷體" w:hint="eastAsia"/>
          <w:color w:val="FF0000"/>
          <w:spacing w:val="-4"/>
          <w:kern w:val="0"/>
          <w:highlight w:val="yellow"/>
        </w:rPr>
        <w:t>：</w:t>
      </w:r>
      <w:r w:rsidRPr="00043A1E">
        <w:rPr>
          <w:rFonts w:ascii="標楷體" w:eastAsia="標楷體" w:hAnsi="標楷體" w:hint="eastAsia"/>
          <w:szCs w:val="22"/>
        </w:rPr>
        <w:t>依一切眾生，以有妄心，念念分別，皆不相應，故說為</w:t>
      </w:r>
      <w:r w:rsidR="006C38D2">
        <w:rPr>
          <w:rFonts w:ascii="標楷體" w:eastAsia="標楷體" w:hAnsi="標楷體" w:hint="eastAsia"/>
          <w:bCs/>
          <w:color w:val="FF0000"/>
          <w:kern w:val="0"/>
          <w:highlight w:val="yellow"/>
        </w:rPr>
        <w:t>「</w:t>
      </w:r>
      <w:r w:rsidRPr="00043A1E">
        <w:rPr>
          <w:rFonts w:ascii="標楷體" w:eastAsia="標楷體" w:hAnsi="標楷體" w:hint="eastAsia"/>
          <w:szCs w:val="22"/>
        </w:rPr>
        <w:t>空</w:t>
      </w:r>
      <w:r w:rsidR="006C38D2">
        <w:rPr>
          <w:rFonts w:ascii="標楷體" w:eastAsia="標楷體" w:hAnsi="標楷體" w:hint="eastAsia"/>
          <w:bCs/>
          <w:color w:val="FF0000"/>
          <w:kern w:val="0"/>
          <w:highlight w:val="yellow"/>
        </w:rPr>
        <w:t>」</w:t>
      </w:r>
      <w:r w:rsidR="006C38D2">
        <w:rPr>
          <w:rFonts w:ascii="標楷體" w:eastAsia="標楷體" w:hAnsi="標楷體" w:hint="eastAsia"/>
          <w:color w:val="FF0000"/>
          <w:spacing w:val="-4"/>
          <w:kern w:val="0"/>
          <w:highlight w:val="yellow"/>
        </w:rPr>
        <w:t>；</w:t>
      </w:r>
      <w:r w:rsidRPr="00043A1E">
        <w:rPr>
          <w:rFonts w:ascii="標楷體" w:eastAsia="標楷體" w:hAnsi="標楷體" w:hint="eastAsia"/>
          <w:szCs w:val="22"/>
        </w:rPr>
        <w:t>若離妄心，實無可空故。</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hint="eastAsia"/>
          <w:b/>
          <w:szCs w:val="22"/>
        </w:rPr>
        <w:t>所言</w:t>
      </w:r>
      <w:r w:rsidR="006C38D2">
        <w:rPr>
          <w:rFonts w:ascii="標楷體" w:eastAsia="標楷體" w:hAnsi="標楷體" w:hint="eastAsia"/>
          <w:bCs/>
          <w:color w:val="FF0000"/>
          <w:kern w:val="0"/>
          <w:highlight w:val="yellow"/>
        </w:rPr>
        <w:t>「</w:t>
      </w:r>
      <w:r w:rsidRPr="00043A1E">
        <w:rPr>
          <w:rFonts w:ascii="標楷體" w:eastAsia="標楷體" w:hAnsi="標楷體" w:hint="eastAsia"/>
          <w:b/>
          <w:szCs w:val="22"/>
        </w:rPr>
        <w:t>不空</w:t>
      </w:r>
      <w:r w:rsidR="006C38D2">
        <w:rPr>
          <w:rFonts w:ascii="標楷體" w:eastAsia="標楷體" w:hAnsi="標楷體" w:hint="eastAsia"/>
          <w:bCs/>
          <w:color w:val="FF0000"/>
          <w:kern w:val="0"/>
          <w:highlight w:val="yellow"/>
        </w:rPr>
        <w:t>」</w:t>
      </w:r>
      <w:r w:rsidRPr="00043A1E">
        <w:rPr>
          <w:rFonts w:ascii="標楷體" w:eastAsia="標楷體" w:hAnsi="標楷體" w:hint="eastAsia"/>
          <w:b/>
          <w:szCs w:val="22"/>
        </w:rPr>
        <w:t>者</w:t>
      </w:r>
      <w:r w:rsidRPr="00043A1E">
        <w:rPr>
          <w:rFonts w:ascii="標楷體" w:eastAsia="標楷體" w:hAnsi="標楷體" w:hint="eastAsia"/>
          <w:szCs w:val="22"/>
        </w:rPr>
        <w:t>，已顯法體空無妄故，即是真心；常恒不變，淨法滿足，故名</w:t>
      </w:r>
      <w:r w:rsidR="006C38D2">
        <w:rPr>
          <w:rFonts w:ascii="標楷體" w:eastAsia="標楷體" w:hAnsi="標楷體" w:hint="eastAsia"/>
          <w:bCs/>
          <w:color w:val="FF0000"/>
          <w:kern w:val="0"/>
          <w:highlight w:val="yellow"/>
        </w:rPr>
        <w:t>「</w:t>
      </w:r>
      <w:r w:rsidRPr="00043A1E">
        <w:rPr>
          <w:rFonts w:ascii="標楷體" w:eastAsia="標楷體" w:hAnsi="標楷體" w:hint="eastAsia"/>
          <w:szCs w:val="22"/>
        </w:rPr>
        <w:t>不空</w:t>
      </w:r>
      <w:r w:rsidR="006C38D2">
        <w:rPr>
          <w:rFonts w:ascii="標楷體" w:eastAsia="標楷體" w:hAnsi="標楷體" w:hint="eastAsia"/>
          <w:bCs/>
          <w:color w:val="FF0000"/>
          <w:kern w:val="0"/>
          <w:highlight w:val="yellow"/>
        </w:rPr>
        <w:t>」</w:t>
      </w:r>
      <w:r w:rsidRPr="00043A1E">
        <w:rPr>
          <w:rFonts w:ascii="標楷體" w:eastAsia="標楷體" w:hAnsi="標楷體" w:hint="eastAsia"/>
          <w:szCs w:val="22"/>
        </w:rPr>
        <w:t>。</w:t>
      </w:r>
    </w:p>
  </w:footnote>
  <w:footnote w:id="852">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印順法師，《無諍之辯》，〈空宗與有宗〉，</w:t>
      </w:r>
      <w:r w:rsidRPr="00761EF3">
        <w:rPr>
          <w:rFonts w:hint="eastAsia"/>
          <w:szCs w:val="22"/>
        </w:rPr>
        <w:t>pp</w:t>
      </w:r>
      <w:r w:rsidRPr="00043A1E">
        <w:rPr>
          <w:rFonts w:hint="eastAsia"/>
          <w:szCs w:val="22"/>
        </w:rPr>
        <w:t>.</w:t>
      </w:r>
      <w:r w:rsidRPr="00761EF3">
        <w:rPr>
          <w:rFonts w:hint="eastAsia"/>
          <w:szCs w:val="22"/>
        </w:rPr>
        <w:t>25</w:t>
      </w:r>
      <w:r w:rsidRPr="00043A1E">
        <w:rPr>
          <w:rFonts w:hint="eastAsia"/>
          <w:szCs w:val="22"/>
        </w:rPr>
        <w:t>-</w:t>
      </w:r>
      <w:r w:rsidRPr="00761EF3">
        <w:rPr>
          <w:rFonts w:hint="eastAsia"/>
          <w:szCs w:val="22"/>
        </w:rPr>
        <w:t>26</w:t>
      </w:r>
      <w:r w:rsidRPr="00043A1E">
        <w:rPr>
          <w:rFonts w:hint="eastAsia"/>
          <w:szCs w:val="22"/>
        </w:rPr>
        <w:t>：</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hint="eastAsia"/>
          <w:szCs w:val="22"/>
        </w:rPr>
        <w:t>《勝鬘》的如來藏空不空，《起信論》的真如空不空，都是如此。此真常淨性，無始來為客塵所染，無始來即依真起妄，真性不失自性而隨緣，有如幻如化的虛妄相現。此虛妄幻相，是可以說空的。所以，《圓覺經》說：「諸幻盡滅，非幻不滅。」《楞伽經》說：「但業相滅而自體相實不滅。」</w:t>
      </w:r>
    </w:p>
  </w:footnote>
  <w:footnote w:id="853">
    <w:p w:rsidR="00157EF6" w:rsidRPr="00043A1E" w:rsidRDefault="00157EF6" w:rsidP="00AA120F">
      <w:pPr>
        <w:pStyle w:val="a5"/>
        <w:spacing w:line="300" w:lineRule="exac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w:t>
      </w:r>
      <w:r w:rsidRPr="00043A1E">
        <w:rPr>
          <w:rFonts w:hint="eastAsia"/>
          <w:szCs w:val="22"/>
        </w:rPr>
        <w:t>宋</w:t>
      </w:r>
      <w:r w:rsidRPr="00043A1E">
        <w:rPr>
          <w:szCs w:val="22"/>
        </w:rPr>
        <w:t>〕</w:t>
      </w:r>
      <w:r w:rsidRPr="00043A1E">
        <w:rPr>
          <w:rFonts w:hint="eastAsia"/>
          <w:szCs w:val="22"/>
        </w:rPr>
        <w:t>智聰述，《圓覺經心鏡》</w:t>
      </w:r>
      <w:r w:rsidRPr="00043A1E">
        <w:rPr>
          <w:szCs w:val="22"/>
        </w:rPr>
        <w:t>（</w:t>
      </w:r>
      <w:r w:rsidRPr="00043A1E">
        <w:rPr>
          <w:rFonts w:hint="eastAsia"/>
          <w:szCs w:val="22"/>
        </w:rPr>
        <w:t>卍新續藏</w:t>
      </w:r>
      <w:r w:rsidRPr="00761EF3">
        <w:rPr>
          <w:szCs w:val="22"/>
        </w:rPr>
        <w:t>10</w:t>
      </w:r>
      <w:r w:rsidRPr="00043A1E">
        <w:rPr>
          <w:rFonts w:hint="eastAsia"/>
          <w:szCs w:val="22"/>
        </w:rPr>
        <w:t>，</w:t>
      </w:r>
      <w:r w:rsidRPr="00761EF3">
        <w:rPr>
          <w:szCs w:val="22"/>
        </w:rPr>
        <w:t>383c1</w:t>
      </w:r>
      <w:r w:rsidRPr="00761EF3">
        <w:rPr>
          <w:rFonts w:hint="eastAsia"/>
          <w:szCs w:val="22"/>
        </w:rPr>
        <w:t>3</w:t>
      </w:r>
      <w:r w:rsidRPr="00043A1E">
        <w:rPr>
          <w:szCs w:val="22"/>
        </w:rPr>
        <w:t>-</w:t>
      </w:r>
      <w:r w:rsidRPr="00761EF3">
        <w:rPr>
          <w:rFonts w:hint="eastAsia"/>
          <w:szCs w:val="22"/>
        </w:rPr>
        <w:t>15</w:t>
      </w:r>
      <w:r w:rsidRPr="00043A1E">
        <w:rPr>
          <w:szCs w:val="22"/>
        </w:rPr>
        <w:t>）</w:t>
      </w:r>
      <w:r w:rsidRPr="00043A1E">
        <w:rPr>
          <w:rFonts w:hint="eastAsia"/>
          <w:szCs w:val="22"/>
        </w:rPr>
        <w:t>：</w:t>
      </w:r>
    </w:p>
    <w:p w:rsidR="00157EF6" w:rsidRPr="00043A1E" w:rsidRDefault="00157EF6" w:rsidP="00AA120F">
      <w:pPr>
        <w:pStyle w:val="aff7"/>
        <w:snapToGrid w:val="0"/>
        <w:spacing w:line="300" w:lineRule="exact"/>
        <w:ind w:leftChars="105" w:left="252"/>
        <w:jc w:val="both"/>
        <w:rPr>
          <w:rFonts w:ascii="標楷體" w:eastAsia="標楷體" w:hAnsi="標楷體"/>
        </w:rPr>
      </w:pPr>
      <w:r w:rsidRPr="00043A1E">
        <w:rPr>
          <w:rFonts w:ascii="標楷體" w:eastAsia="標楷體" w:hAnsi="標楷體" w:hint="eastAsia"/>
          <w:b/>
        </w:rPr>
        <w:t>以由迷真起妄</w:t>
      </w:r>
      <w:r w:rsidRPr="00043A1E">
        <w:rPr>
          <w:rFonts w:ascii="標楷體" w:eastAsia="標楷體" w:hAnsi="標楷體" w:hint="eastAsia"/>
        </w:rPr>
        <w:t>，執妄為真。此猶眾</w:t>
      </w:r>
      <w:r w:rsidRPr="006C38D2">
        <w:rPr>
          <w:rFonts w:ascii="標楷體" w:eastAsia="標楷體" w:hAnsi="標楷體" w:hint="eastAsia"/>
          <w:highlight w:val="yellow"/>
        </w:rPr>
        <w:t>生不</w:t>
      </w:r>
      <w:r w:rsidRPr="00043A1E">
        <w:rPr>
          <w:rFonts w:ascii="標楷體" w:eastAsia="標楷體" w:hAnsi="標楷體" w:hint="eastAsia"/>
        </w:rPr>
        <w:t>知自己是佛，迷為眾生，造種種業，輪迴生死。</w:t>
      </w:r>
    </w:p>
  </w:footnote>
  <w:footnote w:id="854">
    <w:p w:rsidR="00157EF6" w:rsidRPr="00043A1E" w:rsidRDefault="00157EF6" w:rsidP="00AA120F">
      <w:pPr>
        <w:pStyle w:val="a5"/>
        <w:spacing w:line="300" w:lineRule="exact"/>
        <w:ind w:left="792" w:hangingChars="360" w:hanging="792"/>
        <w:jc w:val="both"/>
        <w:rPr>
          <w:rFonts w:ascii="標楷體" w:eastAsia="標楷體" w:hAnsi="標楷體"/>
          <w:szCs w:val="22"/>
        </w:rPr>
      </w:pPr>
      <w:r w:rsidRPr="00043A1E">
        <w:rPr>
          <w:rStyle w:val="a6"/>
          <w:szCs w:val="22"/>
        </w:rPr>
        <w:footnoteRef/>
      </w:r>
      <w:r w:rsidRPr="00043A1E">
        <w:rPr>
          <w:rFonts w:hint="eastAsia"/>
          <w:szCs w:val="22"/>
        </w:rPr>
        <w:t xml:space="preserve"> </w:t>
      </w:r>
      <w:r w:rsidRPr="008E20BC">
        <w:rPr>
          <w:szCs w:val="22"/>
        </w:rPr>
        <w:t>（</w:t>
      </w:r>
      <w:r w:rsidRPr="00761EF3">
        <w:rPr>
          <w:szCs w:val="22"/>
        </w:rPr>
        <w:t>1</w:t>
      </w:r>
      <w:r w:rsidRPr="008E20BC">
        <w:rPr>
          <w:szCs w:val="22"/>
        </w:rPr>
        <w:t>）〔</w:t>
      </w:r>
      <w:r w:rsidRPr="00043A1E">
        <w:rPr>
          <w:rFonts w:hint="eastAsia"/>
          <w:szCs w:val="22"/>
        </w:rPr>
        <w:t>明</w:t>
      </w:r>
      <w:r w:rsidRPr="00043A1E">
        <w:rPr>
          <w:szCs w:val="22"/>
        </w:rPr>
        <w:t>〕</w:t>
      </w:r>
      <w:r w:rsidRPr="008E20BC">
        <w:rPr>
          <w:rFonts w:hint="eastAsia"/>
          <w:szCs w:val="22"/>
        </w:rPr>
        <w:t>智旭</w:t>
      </w:r>
      <w:r w:rsidRPr="00043A1E">
        <w:rPr>
          <w:rFonts w:hint="eastAsia"/>
          <w:szCs w:val="22"/>
        </w:rPr>
        <w:t>著，《靈峰蕅益大師宗論》卷</w:t>
      </w:r>
      <w:r w:rsidRPr="00761EF3">
        <w:rPr>
          <w:rFonts w:hint="eastAsia"/>
          <w:szCs w:val="22"/>
        </w:rPr>
        <w:t>7</w:t>
      </w:r>
      <w:r w:rsidRPr="00043A1E">
        <w:rPr>
          <w:rFonts w:hint="eastAsia"/>
          <w:szCs w:val="22"/>
        </w:rPr>
        <w:t>（</w:t>
      </w:r>
      <w:r w:rsidRPr="00043A1E">
        <w:rPr>
          <w:szCs w:val="22"/>
        </w:rPr>
        <w:t>嘉興藏</w:t>
      </w:r>
      <w:r w:rsidRPr="00761EF3">
        <w:rPr>
          <w:rFonts w:hint="eastAsia"/>
          <w:szCs w:val="22"/>
        </w:rPr>
        <w:t>36</w:t>
      </w:r>
      <w:r w:rsidRPr="00043A1E">
        <w:rPr>
          <w:rFonts w:hint="eastAsia"/>
          <w:szCs w:val="22"/>
        </w:rPr>
        <w:t>，</w:t>
      </w:r>
      <w:r w:rsidRPr="00761EF3">
        <w:rPr>
          <w:rFonts w:hint="eastAsia"/>
          <w:szCs w:val="22"/>
        </w:rPr>
        <w:t>376b20</w:t>
      </w:r>
      <w:r w:rsidRPr="00043A1E">
        <w:rPr>
          <w:rFonts w:hint="eastAsia"/>
          <w:szCs w:val="22"/>
        </w:rPr>
        <w:t>-</w:t>
      </w:r>
      <w:r w:rsidRPr="00761EF3">
        <w:rPr>
          <w:rFonts w:hint="eastAsia"/>
          <w:szCs w:val="22"/>
        </w:rPr>
        <w:t>22</w:t>
      </w:r>
      <w:r w:rsidRPr="00043A1E">
        <w:rPr>
          <w:rFonts w:hint="eastAsia"/>
          <w:szCs w:val="22"/>
        </w:rPr>
        <w:t>）：</w:t>
      </w:r>
      <w:r w:rsidRPr="00043A1E">
        <w:rPr>
          <w:rFonts w:ascii="標楷體" w:eastAsia="標楷體" w:hAnsi="標楷體" w:hint="eastAsia"/>
          <w:szCs w:val="22"/>
        </w:rPr>
        <w:t>「</w:t>
      </w:r>
      <w:r w:rsidR="006C38D2">
        <w:rPr>
          <w:rFonts w:ascii="標楷體" w:eastAsia="標楷體" w:hAnsi="標楷體" w:hint="eastAsia"/>
          <w:color w:val="FF0000"/>
          <w:kern w:val="0"/>
          <w:highlight w:val="yellow"/>
        </w:rPr>
        <w:t>『</w:t>
      </w:r>
      <w:r w:rsidRPr="00043A1E">
        <w:rPr>
          <w:rFonts w:ascii="標楷體" w:eastAsia="標楷體" w:hAnsi="標楷體" w:hint="eastAsia"/>
          <w:b/>
          <w:szCs w:val="22"/>
        </w:rPr>
        <w:t>如來藏</w:t>
      </w:r>
      <w:r w:rsidR="006C38D2">
        <w:rPr>
          <w:rFonts w:ascii="標楷體" w:eastAsia="標楷體" w:hAnsi="標楷體" w:hint="eastAsia"/>
          <w:color w:val="FF0000"/>
          <w:kern w:val="0"/>
          <w:highlight w:val="yellow"/>
        </w:rPr>
        <w:t>』</w:t>
      </w:r>
      <w:r w:rsidRPr="00043A1E">
        <w:rPr>
          <w:rFonts w:ascii="標楷體" w:eastAsia="標楷體" w:hAnsi="標楷體" w:hint="eastAsia"/>
          <w:b/>
          <w:szCs w:val="22"/>
        </w:rPr>
        <w:t>不變隨緣</w:t>
      </w:r>
      <w:r w:rsidRPr="00043A1E">
        <w:rPr>
          <w:rFonts w:ascii="標楷體" w:eastAsia="標楷體" w:hAnsi="標楷體" w:hint="eastAsia"/>
          <w:szCs w:val="22"/>
        </w:rPr>
        <w:t>，舉體為善惡</w:t>
      </w:r>
      <w:r w:rsidR="006C38D2">
        <w:rPr>
          <w:rFonts w:ascii="標楷體" w:eastAsia="標楷體" w:hAnsi="標楷體" w:hint="eastAsia"/>
          <w:color w:val="FF0000"/>
          <w:spacing w:val="-4"/>
          <w:kern w:val="0"/>
          <w:highlight w:val="yellow"/>
        </w:rPr>
        <w:t>；</w:t>
      </w:r>
      <w:r w:rsidRPr="00043A1E">
        <w:rPr>
          <w:rFonts w:ascii="標楷體" w:eastAsia="標楷體" w:hAnsi="標楷體" w:hint="eastAsia"/>
          <w:szCs w:val="22"/>
        </w:rPr>
        <w:t>善惡隨緣不變，舉體即</w:t>
      </w:r>
      <w:r w:rsidR="006C38D2">
        <w:rPr>
          <w:rFonts w:ascii="標楷體" w:eastAsia="標楷體" w:hAnsi="標楷體" w:hint="eastAsia"/>
          <w:color w:val="FF0000"/>
          <w:kern w:val="0"/>
          <w:highlight w:val="yellow"/>
        </w:rPr>
        <w:t>『</w:t>
      </w:r>
      <w:r w:rsidRPr="00043A1E">
        <w:rPr>
          <w:rFonts w:ascii="標楷體" w:eastAsia="標楷體" w:hAnsi="標楷體" w:hint="eastAsia"/>
          <w:szCs w:val="22"/>
        </w:rPr>
        <w:t>如來藏</w:t>
      </w:r>
      <w:r w:rsidR="006C38D2">
        <w:rPr>
          <w:rFonts w:ascii="標楷體" w:eastAsia="標楷體" w:hAnsi="標楷體" w:hint="eastAsia"/>
          <w:color w:val="FF0000"/>
          <w:kern w:val="0"/>
          <w:highlight w:val="yellow"/>
        </w:rPr>
        <w:t>』</w:t>
      </w:r>
      <w:r w:rsidRPr="00043A1E">
        <w:rPr>
          <w:rFonts w:ascii="標楷體" w:eastAsia="標楷體" w:hAnsi="標楷體" w:hint="eastAsia"/>
          <w:szCs w:val="22"/>
        </w:rPr>
        <w:t>。如日出天下明，日沒天下暗</w:t>
      </w:r>
      <w:r w:rsidR="006C38D2">
        <w:rPr>
          <w:rFonts w:ascii="標楷體" w:eastAsia="標楷體" w:hAnsi="標楷體" w:hint="eastAsia"/>
          <w:color w:val="FF0000"/>
          <w:spacing w:val="-4"/>
          <w:kern w:val="0"/>
          <w:highlight w:val="yellow"/>
        </w:rPr>
        <w:t>；</w:t>
      </w:r>
      <w:r w:rsidRPr="00043A1E">
        <w:rPr>
          <w:rFonts w:ascii="標楷體" w:eastAsia="標楷體" w:hAnsi="標楷體" w:hint="eastAsia"/>
          <w:szCs w:val="22"/>
        </w:rPr>
        <w:t>虛空隨明隨暗，非明暗能增減也。」</w:t>
      </w:r>
    </w:p>
    <w:p w:rsidR="00157EF6" w:rsidRPr="00043A1E" w:rsidRDefault="00157EF6" w:rsidP="00AA120F">
      <w:pPr>
        <w:pStyle w:val="a5"/>
        <w:spacing w:line="300" w:lineRule="exact"/>
        <w:ind w:leftChars="105" w:left="79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）印順法師，《大乘起信論講記》，</w:t>
      </w:r>
      <w:r w:rsidRPr="00761EF3">
        <w:rPr>
          <w:rFonts w:hint="eastAsia"/>
          <w:szCs w:val="22"/>
        </w:rPr>
        <w:t>p</w:t>
      </w:r>
      <w:r w:rsidRPr="00043A1E">
        <w:rPr>
          <w:rFonts w:hint="eastAsia"/>
          <w:szCs w:val="22"/>
        </w:rPr>
        <w:t>.</w:t>
      </w:r>
      <w:r w:rsidRPr="00761EF3">
        <w:rPr>
          <w:rFonts w:hint="eastAsia"/>
          <w:szCs w:val="22"/>
        </w:rPr>
        <w:t>97</w:t>
      </w:r>
      <w:r w:rsidRPr="00043A1E">
        <w:rPr>
          <w:rFonts w:hint="eastAsia"/>
          <w:szCs w:val="22"/>
        </w:rPr>
        <w:t>：</w:t>
      </w:r>
    </w:p>
    <w:p w:rsidR="00157EF6" w:rsidRPr="00043A1E" w:rsidRDefault="00157EF6" w:rsidP="00AA120F">
      <w:pPr>
        <w:pStyle w:val="aff7"/>
        <w:snapToGrid w:val="0"/>
        <w:spacing w:line="300" w:lineRule="exact"/>
        <w:ind w:leftChars="335" w:left="804"/>
        <w:jc w:val="both"/>
        <w:rPr>
          <w:rFonts w:ascii="標楷體" w:eastAsia="標楷體" w:hAnsi="標楷體"/>
        </w:rPr>
      </w:pPr>
      <w:r w:rsidRPr="00043A1E">
        <w:rPr>
          <w:rFonts w:ascii="標楷體" w:eastAsia="標楷體" w:hAnsi="標楷體" w:hint="eastAsia"/>
        </w:rPr>
        <w:t>眾多的大乘經，都說如來藏性淨，為貪瞋癡所染。無明即過去一切煩惱的通性，一切煩惱的根元。妄熏習根本名無明，即是依妄惑立名。又如說：如來藏為蘊處界所纏。蘊處界即苦果；如從妄染熏習說，即一切有漏種。所以，本論稱虛妄熏習（妄識自性所攝）為不覺，即根本無明。從大乘經的施設說，這是並無不當的。《勝鬘經》說：眾生心自性清淨，為客塵煩惱所熏染；雖為一切煩惱所熏染，但心性還自本性清淨。不染而染，難可了知；染而不染，也難可了知。</w:t>
      </w:r>
      <w:r w:rsidRPr="00043A1E">
        <w:rPr>
          <w:rFonts w:ascii="標楷體" w:eastAsia="標楷體" w:hAnsi="標楷體" w:hint="eastAsia"/>
          <w:b/>
        </w:rPr>
        <w:t>本</w:t>
      </w:r>
      <w:r w:rsidRPr="00C0247D">
        <w:rPr>
          <w:rFonts w:ascii="標楷體" w:eastAsia="標楷體" w:hAnsi="標楷體" w:hint="eastAsia"/>
          <w:b/>
          <w:highlight w:val="yellow"/>
        </w:rPr>
        <w:t>論的</w:t>
      </w:r>
      <w:r w:rsidRPr="00043A1E">
        <w:rPr>
          <w:rFonts w:ascii="標楷體" w:eastAsia="標楷體" w:hAnsi="標楷體" w:hint="eastAsia"/>
          <w:b/>
        </w:rPr>
        <w:t>不生不滅與生滅和合，不生不滅的即自性清淨心，生滅的即無明雜染熏。和合而又不一不異，恰當地表示出染而不染、不染而染的甚深不思議。賢首家解說為：</w:t>
      </w:r>
      <w:r w:rsidR="00434424">
        <w:rPr>
          <w:rFonts w:ascii="標楷體" w:eastAsia="標楷體" w:hAnsi="標楷體" w:hint="eastAsia"/>
          <w:b/>
        </w:rPr>
        <w:t>「</w:t>
      </w:r>
      <w:r w:rsidRPr="00043A1E">
        <w:rPr>
          <w:rFonts w:ascii="標楷體" w:eastAsia="標楷體" w:hAnsi="標楷體" w:hint="eastAsia"/>
          <w:b/>
        </w:rPr>
        <w:t>隨緣不變，不變隨緣</w:t>
      </w:r>
      <w:r>
        <w:rPr>
          <w:rFonts w:ascii="標楷體" w:eastAsia="標楷體" w:hAnsi="標楷體" w:hint="eastAsia"/>
          <w:b/>
        </w:rPr>
        <w:t>。</w:t>
      </w:r>
      <w:r w:rsidR="00434424">
        <w:rPr>
          <w:rFonts w:ascii="標楷體" w:eastAsia="標楷體" w:hAnsi="標楷體" w:hint="eastAsia"/>
          <w:b/>
        </w:rPr>
        <w:t>」</w:t>
      </w:r>
      <w:r w:rsidRPr="00043A1E">
        <w:rPr>
          <w:rFonts w:ascii="標楷體" w:eastAsia="標楷體" w:hAnsi="標楷體" w:hint="eastAsia"/>
          <w:b/>
        </w:rPr>
        <w:t>也大體相近。但真心是沒有變異的，隨緣只可說遍雜染處；如來藏可說是雜染依處，卻不能說如來藏為因而生雜染。</w:t>
      </w:r>
      <w:r w:rsidRPr="006C38D2">
        <w:rPr>
          <w:rFonts w:ascii="標楷體" w:eastAsia="標楷體" w:hAnsi="標楷體" w:hint="eastAsia"/>
          <w:b/>
        </w:rPr>
        <w:t>這樣</w:t>
      </w:r>
      <w:r w:rsidRPr="00043A1E">
        <w:rPr>
          <w:rFonts w:ascii="標楷體" w:eastAsia="標楷體" w:hAnsi="標楷體" w:hint="eastAsia"/>
        </w:rPr>
        <w:t>，</w:t>
      </w:r>
      <w:r w:rsidRPr="00043A1E">
        <w:rPr>
          <w:rFonts w:ascii="標楷體" w:eastAsia="標楷體" w:hAnsi="標楷體" w:hint="eastAsia"/>
          <w:b/>
        </w:rPr>
        <w:t>不生不滅，應解說為如來藏；生滅──剎那法，應解說為虛妄分別所攝的虛妄熏習，也可解說為無始無明</w:t>
      </w:r>
      <w:r w:rsidRPr="00043A1E">
        <w:rPr>
          <w:rFonts w:ascii="標楷體" w:eastAsia="標楷體" w:hAnsi="標楷體" w:hint="eastAsia"/>
        </w:rPr>
        <w:t>。</w:t>
      </w:r>
    </w:p>
  </w:footnote>
  <w:footnote w:id="855">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7C097F">
        <w:rPr>
          <w:rFonts w:hint="eastAsia"/>
          <w:szCs w:val="22"/>
        </w:rPr>
        <w:t>參見</w:t>
      </w:r>
      <w:r w:rsidRPr="00043A1E">
        <w:rPr>
          <w:rFonts w:hint="eastAsia"/>
          <w:szCs w:val="22"/>
        </w:rPr>
        <w:t>《央掘魔羅經》卷</w:t>
      </w:r>
      <w:r w:rsidRPr="00761EF3">
        <w:rPr>
          <w:rFonts w:hint="eastAsia"/>
          <w:szCs w:val="22"/>
        </w:rPr>
        <w:t>2</w:t>
      </w:r>
      <w:r w:rsidRPr="00043A1E">
        <w:rPr>
          <w:rFonts w:hint="eastAsia"/>
          <w:szCs w:val="22"/>
        </w:rPr>
        <w:t>（大正</w:t>
      </w:r>
      <w:r w:rsidRPr="00761EF3">
        <w:rPr>
          <w:rFonts w:hint="eastAsia"/>
          <w:szCs w:val="22"/>
        </w:rPr>
        <w:t>2</w:t>
      </w:r>
      <w:r w:rsidRPr="00043A1E">
        <w:rPr>
          <w:rFonts w:hint="eastAsia"/>
          <w:szCs w:val="22"/>
        </w:rPr>
        <w:t>，</w:t>
      </w:r>
      <w:r w:rsidRPr="00761EF3">
        <w:rPr>
          <w:rFonts w:hint="eastAsia"/>
          <w:szCs w:val="22"/>
        </w:rPr>
        <w:t>527b23</w:t>
      </w:r>
      <w:r w:rsidRPr="00043A1E">
        <w:rPr>
          <w:rFonts w:hint="eastAsia"/>
          <w:szCs w:val="22"/>
        </w:rPr>
        <w:t>-</w:t>
      </w:r>
      <w:r w:rsidRPr="00761EF3">
        <w:rPr>
          <w:rFonts w:hint="eastAsia"/>
          <w:szCs w:val="22"/>
        </w:rPr>
        <w:t>28</w:t>
      </w:r>
      <w:r w:rsidRPr="00043A1E">
        <w:rPr>
          <w:rFonts w:hint="eastAsia"/>
          <w:szCs w:val="22"/>
        </w:rPr>
        <w:t>）：</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hint="eastAsia"/>
          <w:szCs w:val="22"/>
        </w:rPr>
        <w:t>常作空思惟，破壞一切法，解脫實不空，而作極空想。</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hint="eastAsia"/>
          <w:szCs w:val="22"/>
        </w:rPr>
        <w:t>猶如見雹消，濫壞餘真實，汝今亦如是，濫起極空想。</w:t>
      </w:r>
    </w:p>
    <w:p w:rsidR="00157EF6" w:rsidRPr="00043A1E" w:rsidRDefault="00157EF6" w:rsidP="00AA120F">
      <w:pPr>
        <w:pStyle w:val="a5"/>
        <w:ind w:leftChars="105" w:left="252"/>
        <w:jc w:val="both"/>
        <w:rPr>
          <w:szCs w:val="22"/>
        </w:rPr>
      </w:pPr>
      <w:r w:rsidRPr="00043A1E">
        <w:rPr>
          <w:rFonts w:ascii="標楷體" w:eastAsia="標楷體" w:hAnsi="標楷體" w:hint="eastAsia"/>
          <w:szCs w:val="22"/>
        </w:rPr>
        <w:t>見於空法已，不空亦謂空，</w:t>
      </w:r>
      <w:r w:rsidRPr="00043A1E">
        <w:rPr>
          <w:rFonts w:ascii="標楷體" w:eastAsia="標楷體" w:hAnsi="標楷體" w:hint="eastAsia"/>
          <w:b/>
          <w:szCs w:val="22"/>
        </w:rPr>
        <w:t>有異法是空，有異法不空</w:t>
      </w:r>
      <w:r w:rsidRPr="00043A1E">
        <w:rPr>
          <w:rFonts w:ascii="標楷體" w:eastAsia="標楷體" w:hAnsi="標楷體" w:hint="eastAsia"/>
          <w:szCs w:val="22"/>
        </w:rPr>
        <w:t>。</w:t>
      </w:r>
    </w:p>
  </w:footnote>
  <w:footnote w:id="856">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rFonts w:hint="eastAsia"/>
          <w:szCs w:val="22"/>
        </w:rPr>
        <w:t>印順法師，《中觀今論》，第</w:t>
      </w:r>
      <w:r w:rsidRPr="00761EF3">
        <w:rPr>
          <w:rFonts w:hint="eastAsia"/>
          <w:szCs w:val="22"/>
        </w:rPr>
        <w:t>12</w:t>
      </w:r>
      <w:r w:rsidRPr="00043A1E">
        <w:rPr>
          <w:rFonts w:hint="eastAsia"/>
          <w:szCs w:val="22"/>
        </w:rPr>
        <w:t>章〈空宗與有宗〉，</w:t>
      </w:r>
      <w:r w:rsidRPr="00761EF3">
        <w:rPr>
          <w:rFonts w:hint="eastAsia"/>
          <w:szCs w:val="22"/>
        </w:rPr>
        <w:t>p</w:t>
      </w:r>
      <w:r w:rsidRPr="00043A1E">
        <w:rPr>
          <w:rFonts w:hint="eastAsia"/>
          <w:szCs w:val="22"/>
        </w:rPr>
        <w:t>.</w:t>
      </w:r>
      <w:r w:rsidRPr="00761EF3">
        <w:rPr>
          <w:rFonts w:hint="eastAsia"/>
          <w:szCs w:val="22"/>
        </w:rPr>
        <w:t>261</w:t>
      </w:r>
      <w:r w:rsidRPr="00043A1E">
        <w:rPr>
          <w:rFonts w:hint="eastAsia"/>
          <w:szCs w:val="22"/>
        </w:rPr>
        <w:t>：</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hint="eastAsia"/>
          <w:b/>
          <w:szCs w:val="22"/>
        </w:rPr>
        <w:t>薩婆多部</w:t>
      </w:r>
      <w:r w:rsidRPr="00043A1E">
        <w:rPr>
          <w:rFonts w:ascii="標楷體" w:eastAsia="標楷體" w:hAnsi="標楷體" w:hint="eastAsia"/>
          <w:szCs w:val="22"/>
        </w:rPr>
        <w:t>說</w:t>
      </w:r>
      <w:r w:rsidRPr="00043A1E">
        <w:rPr>
          <w:rFonts w:ascii="標楷體" w:eastAsia="標楷體" w:hAnsi="標楷體" w:hint="eastAsia"/>
          <w:b/>
          <w:szCs w:val="22"/>
        </w:rPr>
        <w:t>執境為空</w:t>
      </w:r>
      <w:r w:rsidRPr="00043A1E">
        <w:rPr>
          <w:rFonts w:ascii="標楷體" w:eastAsia="標楷體" w:hAnsi="標楷體" w:hint="eastAsia"/>
          <w:szCs w:val="22"/>
        </w:rPr>
        <w:t>。</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hint="eastAsia"/>
          <w:b/>
          <w:szCs w:val="22"/>
        </w:rPr>
        <w:t>唯識者</w:t>
      </w:r>
      <w:r w:rsidRPr="00043A1E">
        <w:rPr>
          <w:rFonts w:ascii="標楷體" w:eastAsia="標楷體" w:hAnsi="標楷體" w:hint="eastAsia"/>
          <w:szCs w:val="22"/>
        </w:rPr>
        <w:t>則不但以</w:t>
      </w:r>
      <w:r w:rsidRPr="00043A1E">
        <w:rPr>
          <w:rFonts w:ascii="標楷體" w:eastAsia="標楷體" w:hAnsi="標楷體" w:hint="eastAsia"/>
          <w:b/>
          <w:szCs w:val="22"/>
        </w:rPr>
        <w:t>行相顛倒的執境為空</w:t>
      </w:r>
      <w:r w:rsidRPr="00043A1E">
        <w:rPr>
          <w:rFonts w:ascii="標楷體" w:eastAsia="標楷體" w:hAnsi="標楷體" w:hint="eastAsia"/>
          <w:szCs w:val="22"/>
        </w:rPr>
        <w:t>，即現似所取，好像</w:t>
      </w:r>
      <w:r w:rsidRPr="00043A1E">
        <w:rPr>
          <w:rFonts w:ascii="標楷體" w:eastAsia="標楷體" w:hAnsi="標楷體" w:hint="eastAsia"/>
          <w:b/>
          <w:szCs w:val="22"/>
        </w:rPr>
        <w:t>實有離心的所取境也是空的</w:t>
      </w:r>
      <w:r w:rsidRPr="00043A1E">
        <w:rPr>
          <w:rFonts w:ascii="標楷體" w:eastAsia="標楷體" w:hAnsi="標楷體" w:hint="eastAsia"/>
          <w:szCs w:val="22"/>
        </w:rPr>
        <w:t>。</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hint="eastAsia"/>
          <w:b/>
          <w:szCs w:val="22"/>
        </w:rPr>
        <w:t>真常唯心論</w:t>
      </w:r>
      <w:r w:rsidRPr="00043A1E">
        <w:rPr>
          <w:rFonts w:ascii="標楷體" w:eastAsia="標楷體" w:hAnsi="標楷體" w:hint="eastAsia"/>
          <w:szCs w:val="22"/>
        </w:rPr>
        <w:t>者，不但承認</w:t>
      </w:r>
      <w:r w:rsidRPr="00043A1E">
        <w:rPr>
          <w:rFonts w:ascii="標楷體" w:eastAsia="標楷體" w:hAnsi="標楷體" w:hint="eastAsia"/>
          <w:b/>
          <w:szCs w:val="22"/>
        </w:rPr>
        <w:t>執境</w:t>
      </w:r>
      <w:r w:rsidRPr="00043A1E">
        <w:rPr>
          <w:rFonts w:ascii="標楷體" w:eastAsia="標楷體" w:hAnsi="標楷體" w:hint="eastAsia"/>
          <w:szCs w:val="22"/>
        </w:rPr>
        <w:t>及</w:t>
      </w:r>
      <w:r w:rsidRPr="00043A1E">
        <w:rPr>
          <w:rFonts w:ascii="標楷體" w:eastAsia="標楷體" w:hAnsi="標楷體" w:hint="eastAsia"/>
          <w:b/>
          <w:szCs w:val="22"/>
        </w:rPr>
        <w:t>似義顯現的外境是空</w:t>
      </w:r>
      <w:r w:rsidRPr="00043A1E">
        <w:rPr>
          <w:rFonts w:ascii="標楷體" w:eastAsia="標楷體" w:hAnsi="標楷體" w:hint="eastAsia"/>
          <w:szCs w:val="22"/>
        </w:rPr>
        <w:t>，即唯識不以為是空的</w:t>
      </w:r>
      <w:r w:rsidRPr="00043A1E">
        <w:rPr>
          <w:rFonts w:ascii="標楷體" w:eastAsia="標楷體" w:hAnsi="標楷體" w:hint="eastAsia"/>
          <w:b/>
          <w:szCs w:val="22"/>
        </w:rPr>
        <w:t>虛妄雜染心，也說是空的</w:t>
      </w:r>
      <w:r w:rsidRPr="00043A1E">
        <w:rPr>
          <w:rFonts w:ascii="標楷體" w:eastAsia="標楷體" w:hAnsi="標楷體" w:hint="eastAsia"/>
          <w:szCs w:val="22"/>
        </w:rPr>
        <w:t>。</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hint="eastAsia"/>
          <w:szCs w:val="22"/>
        </w:rPr>
        <w:t>三家的空義有廣狹，但他們總認為此是空而另有不空者在。如薩婆多部說執境是空，而現前的外境不空；唯識說似離識現的境是空，不離於心的內境不空；真常者則說妄心也空而清淨本體不空。</w:t>
      </w:r>
      <w:r w:rsidRPr="00043A1E">
        <w:rPr>
          <w:rFonts w:ascii="標楷體" w:eastAsia="標楷體" w:hAnsi="標楷體" w:hint="eastAsia"/>
          <w:b/>
          <w:szCs w:val="22"/>
        </w:rPr>
        <w:t>三家的空義雖逐漸廣大，然總覺有一不空者在，依實立假，依不空立空──「執異法是空，異法不空」。</w:t>
      </w:r>
      <w:r w:rsidRPr="00043A1E">
        <w:rPr>
          <w:rFonts w:ascii="標楷體" w:eastAsia="標楷體" w:hAnsi="標楷體" w:hint="eastAsia"/>
          <w:szCs w:val="22"/>
        </w:rPr>
        <w:t>他們的立足點、歸宿處，是實有、真有，所以這三家稱之為</w:t>
      </w:r>
      <w:r w:rsidRPr="00043A1E">
        <w:rPr>
          <w:rFonts w:ascii="標楷體" w:eastAsia="標楷體" w:hAnsi="標楷體" w:hint="eastAsia"/>
          <w:b/>
          <w:szCs w:val="22"/>
        </w:rPr>
        <w:t>有宗</w:t>
      </w:r>
      <w:r w:rsidRPr="00043A1E">
        <w:rPr>
          <w:rFonts w:ascii="標楷體" w:eastAsia="標楷體" w:hAnsi="標楷體" w:hint="eastAsia"/>
          <w:szCs w:val="22"/>
        </w:rPr>
        <w:t>。</w:t>
      </w:r>
    </w:p>
  </w:footnote>
  <w:footnote w:id="857">
    <w:p w:rsidR="00157EF6" w:rsidRPr="00043A1E" w:rsidRDefault="00157EF6" w:rsidP="009E0A5A">
      <w:pPr>
        <w:pStyle w:val="a5"/>
        <w:ind w:left="187" w:hangingChars="85" w:hanging="187"/>
        <w:jc w:val="both"/>
        <w:rPr>
          <w:rFonts w:ascii="新細明體" w:hAnsi="新細明體"/>
          <w:szCs w:val="22"/>
        </w:rPr>
      </w:pPr>
      <w:r w:rsidRPr="00043A1E">
        <w:rPr>
          <w:rStyle w:val="a6"/>
          <w:szCs w:val="22"/>
        </w:rPr>
        <w:footnoteRef/>
      </w:r>
      <w:r w:rsidRPr="00043A1E">
        <w:rPr>
          <w:rFonts w:hint="eastAsia"/>
          <w:szCs w:val="22"/>
        </w:rPr>
        <w:t xml:space="preserve"> </w:t>
      </w:r>
      <w:r w:rsidRPr="00043A1E">
        <w:rPr>
          <w:rFonts w:ascii="新細明體" w:hAnsi="新細明體" w:hint="eastAsia"/>
          <w:szCs w:val="22"/>
        </w:rPr>
        <w:t>本章第一節「太過、不及、中道」，側重在從「緣起」以明「空」。</w:t>
      </w:r>
    </w:p>
    <w:p w:rsidR="00157EF6" w:rsidRPr="00043A1E" w:rsidRDefault="00157EF6" w:rsidP="00AA120F">
      <w:pPr>
        <w:snapToGrid w:val="0"/>
        <w:ind w:leftChars="75" w:left="180"/>
        <w:jc w:val="both"/>
        <w:rPr>
          <w:rFonts w:ascii="Times New Roman" w:hAnsi="Times New Roman"/>
          <w:sz w:val="22"/>
          <w:szCs w:val="22"/>
        </w:rPr>
      </w:pPr>
      <w:r w:rsidRPr="00043A1E">
        <w:rPr>
          <w:rFonts w:ascii="新細明體" w:hAnsi="新細明體" w:hint="eastAsia"/>
          <w:sz w:val="22"/>
          <w:szCs w:val="22"/>
        </w:rPr>
        <w:t>本章第二節「即、離、中道」，</w:t>
      </w:r>
      <w:r w:rsidRPr="00043A1E">
        <w:rPr>
          <w:rFonts w:hint="eastAsia"/>
          <w:sz w:val="22"/>
          <w:szCs w:val="22"/>
        </w:rPr>
        <w:t>從「現象」與「本性」的綜貫來說。</w:t>
      </w:r>
    </w:p>
  </w:footnote>
  <w:footnote w:id="858">
    <w:p w:rsidR="00157EF6" w:rsidRPr="00043A1E" w:rsidRDefault="00157EF6" w:rsidP="00AA120F">
      <w:pPr>
        <w:pStyle w:val="a5"/>
        <w:ind w:left="187" w:hangingChars="85" w:hanging="187"/>
        <w:jc w:val="both"/>
        <w:rPr>
          <w:rFonts w:eastAsia="SimSun"/>
          <w:szCs w:val="22"/>
        </w:rPr>
      </w:pPr>
      <w:r w:rsidRPr="00043A1E">
        <w:rPr>
          <w:rStyle w:val="a6"/>
          <w:szCs w:val="22"/>
        </w:rPr>
        <w:footnoteRef/>
      </w:r>
      <w:r w:rsidRPr="00043A1E">
        <w:rPr>
          <w:szCs w:val="22"/>
        </w:rPr>
        <w:t xml:space="preserve"> </w:t>
      </w:r>
      <w:r w:rsidRPr="00043A1E">
        <w:rPr>
          <w:szCs w:val="22"/>
        </w:rPr>
        <w:t>判然：顯然</w:t>
      </w:r>
      <w:r w:rsidRPr="00043A1E">
        <w:rPr>
          <w:rFonts w:hint="eastAsia"/>
          <w:szCs w:val="22"/>
        </w:rPr>
        <w:t>，</w:t>
      </w:r>
      <w:r w:rsidRPr="00043A1E">
        <w:rPr>
          <w:szCs w:val="22"/>
        </w:rPr>
        <w:t>分明貌。（《漢語大詞典》（</w:t>
      </w:r>
      <w:r w:rsidRPr="00043A1E">
        <w:rPr>
          <w:rFonts w:hint="eastAsia"/>
          <w:szCs w:val="22"/>
        </w:rPr>
        <w:t>二</w:t>
      </w:r>
      <w:r w:rsidRPr="00043A1E">
        <w:rPr>
          <w:szCs w:val="22"/>
        </w:rPr>
        <w:t>）</w:t>
      </w:r>
      <w:r w:rsidRPr="00043A1E">
        <w:rPr>
          <w:rFonts w:hint="eastAsia"/>
          <w:szCs w:val="22"/>
        </w:rPr>
        <w:t>，</w:t>
      </w:r>
      <w:r w:rsidRPr="00761EF3">
        <w:rPr>
          <w:szCs w:val="22"/>
        </w:rPr>
        <w:t>p</w:t>
      </w:r>
      <w:r w:rsidRPr="00043A1E">
        <w:rPr>
          <w:szCs w:val="22"/>
        </w:rPr>
        <w:t>.</w:t>
      </w:r>
      <w:r w:rsidRPr="00761EF3">
        <w:rPr>
          <w:rFonts w:hint="eastAsia"/>
          <w:szCs w:val="22"/>
        </w:rPr>
        <w:t>644</w:t>
      </w:r>
      <w:r w:rsidRPr="00043A1E">
        <w:rPr>
          <w:szCs w:val="22"/>
        </w:rPr>
        <w:t>）</w:t>
      </w:r>
    </w:p>
  </w:footnote>
  <w:footnote w:id="859">
    <w:p w:rsidR="00157EF6" w:rsidRPr="00043A1E" w:rsidRDefault="00157EF6" w:rsidP="00AA120F">
      <w:pPr>
        <w:pStyle w:val="a5"/>
        <w:spacing w:line="0" w:lineRule="atLeast"/>
        <w:ind w:left="726" w:hangingChars="330" w:hanging="726"/>
        <w:jc w:val="both"/>
        <w:rPr>
          <w:rFonts w:eastAsia="SimSun"/>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）印順法師，《</w:t>
      </w:r>
      <w:r w:rsidRPr="00043A1E">
        <w:rPr>
          <w:szCs w:val="22"/>
        </w:rPr>
        <w:t>佛法是救世之光》</w:t>
      </w:r>
      <w:r w:rsidRPr="00043A1E">
        <w:rPr>
          <w:rFonts w:hint="eastAsia"/>
          <w:szCs w:val="22"/>
        </w:rPr>
        <w:t>，</w:t>
      </w:r>
      <w:r w:rsidRPr="00761EF3">
        <w:rPr>
          <w:szCs w:val="22"/>
        </w:rPr>
        <w:t>p</w:t>
      </w:r>
      <w:r w:rsidRPr="00043A1E">
        <w:rPr>
          <w:szCs w:val="22"/>
        </w:rPr>
        <w:t>.</w:t>
      </w:r>
      <w:r w:rsidRPr="00761EF3">
        <w:rPr>
          <w:szCs w:val="22"/>
        </w:rPr>
        <w:t>145</w:t>
      </w:r>
      <w:r w:rsidRPr="00043A1E">
        <w:rPr>
          <w:szCs w:val="22"/>
        </w:rPr>
        <w:t>：</w:t>
      </w:r>
    </w:p>
    <w:p w:rsidR="00157EF6" w:rsidRPr="00043A1E" w:rsidRDefault="00157EF6" w:rsidP="00AA120F">
      <w:pPr>
        <w:pStyle w:val="a5"/>
        <w:ind w:leftChars="305" w:left="732"/>
        <w:jc w:val="both"/>
        <w:rPr>
          <w:rFonts w:ascii="標楷體" w:eastAsia="標楷體" w:hAnsi="標楷體"/>
          <w:szCs w:val="22"/>
        </w:rPr>
      </w:pPr>
      <w:r w:rsidRPr="00043A1E">
        <w:rPr>
          <w:rFonts w:ascii="標楷體" w:eastAsia="標楷體" w:hAnsi="標楷體"/>
          <w:szCs w:val="22"/>
        </w:rPr>
        <w:t>婆羅門教的思想，把宇宙看為神祕的實在，是一種形而上的本體論者。這擬人的神而即是一切的本體，或叫生主，或叫祈禱主，或叫梵，或叫我，名稱雖隨時代而變化，而內在的含義，是一脈相承的。</w:t>
      </w:r>
    </w:p>
    <w:p w:rsidR="00157EF6" w:rsidRPr="00043A1E" w:rsidRDefault="00157EF6" w:rsidP="00AA120F">
      <w:pPr>
        <w:pStyle w:val="a5"/>
        <w:ind w:leftChars="80" w:left="731" w:hangingChars="245" w:hanging="539"/>
        <w:jc w:val="both"/>
        <w:rPr>
          <w:rFonts w:ascii="標楷體" w:eastAsia="SimSun" w:hAnsi="標楷體"/>
          <w:szCs w:val="22"/>
        </w:rPr>
      </w:pPr>
      <w:r w:rsidRPr="00043A1E">
        <w:rPr>
          <w:szCs w:val="22"/>
        </w:rPr>
        <w:t>（</w:t>
      </w:r>
      <w:r w:rsidRPr="00761EF3">
        <w:rPr>
          <w:rFonts w:eastAsia="SimSun" w:hint="eastAsia"/>
          <w:szCs w:val="22"/>
        </w:rPr>
        <w:t>2</w:t>
      </w:r>
      <w:r w:rsidRPr="00043A1E">
        <w:rPr>
          <w:szCs w:val="22"/>
        </w:rPr>
        <w:t>）</w:t>
      </w:r>
      <w:r w:rsidRPr="00043A1E">
        <w:rPr>
          <w:rFonts w:hint="eastAsia"/>
          <w:szCs w:val="22"/>
        </w:rPr>
        <w:t>印順法師，《無諍之辯》，</w:t>
      </w:r>
      <w:r w:rsidRPr="00761EF3">
        <w:rPr>
          <w:rFonts w:hint="eastAsia"/>
          <w:szCs w:val="22"/>
        </w:rPr>
        <w:t>p</w:t>
      </w:r>
      <w:r w:rsidRPr="00043A1E">
        <w:rPr>
          <w:rFonts w:hint="eastAsia"/>
          <w:szCs w:val="22"/>
        </w:rPr>
        <w:t>.</w:t>
      </w:r>
      <w:r w:rsidRPr="00761EF3">
        <w:rPr>
          <w:rFonts w:hint="eastAsia"/>
          <w:szCs w:val="22"/>
        </w:rPr>
        <w:t>3</w:t>
      </w:r>
      <w:r w:rsidRPr="00043A1E">
        <w:rPr>
          <w:rFonts w:ascii="標楷體" w:eastAsia="標楷體" w:hAnsi="標楷體" w:hint="eastAsia"/>
          <w:szCs w:val="22"/>
        </w:rPr>
        <w:t>：</w:t>
      </w:r>
    </w:p>
    <w:p w:rsidR="00157EF6" w:rsidRPr="00043A1E" w:rsidRDefault="00157EF6" w:rsidP="00AA120F">
      <w:pPr>
        <w:pStyle w:val="a5"/>
        <w:ind w:leftChars="305" w:left="732"/>
        <w:jc w:val="both"/>
        <w:rPr>
          <w:rFonts w:ascii="標楷體" w:eastAsia="標楷體" w:hAnsi="標楷體"/>
          <w:szCs w:val="22"/>
        </w:rPr>
      </w:pPr>
      <w:r w:rsidRPr="00043A1E">
        <w:rPr>
          <w:rFonts w:ascii="標楷體" w:eastAsia="標楷體" w:hAnsi="標楷體" w:hint="eastAsia"/>
          <w:szCs w:val="22"/>
        </w:rPr>
        <w:t>佛法的中心論題，不是本體論，而是</w:t>
      </w:r>
      <w:r w:rsidRPr="00043A1E">
        <w:rPr>
          <w:rFonts w:ascii="標楷體" w:eastAsia="標楷體" w:hAnsi="標楷體" w:hint="eastAsia"/>
          <w:b/>
          <w:szCs w:val="22"/>
        </w:rPr>
        <w:t>因果相關的緣起論</w:t>
      </w:r>
      <w:r w:rsidRPr="00043A1E">
        <w:rPr>
          <w:rFonts w:ascii="標楷體" w:eastAsia="標楷體" w:hAnsi="標楷體" w:hint="eastAsia"/>
          <w:szCs w:val="22"/>
        </w:rPr>
        <w:t>。</w:t>
      </w:r>
    </w:p>
  </w:footnote>
  <w:footnote w:id="860">
    <w:p w:rsidR="004E1634" w:rsidRPr="004E1634" w:rsidRDefault="004E1634" w:rsidP="004E1634">
      <w:pPr>
        <w:pStyle w:val="a5"/>
        <w:ind w:left="187" w:hangingChars="85" w:hanging="187"/>
        <w:jc w:val="both"/>
        <w:rPr>
          <w:color w:val="FF0000"/>
          <w:szCs w:val="22"/>
          <w:highlight w:val="yellow"/>
        </w:rPr>
      </w:pPr>
      <w:r w:rsidRPr="004E1634">
        <w:rPr>
          <w:rStyle w:val="a6"/>
          <w:color w:val="FF0000"/>
          <w:szCs w:val="22"/>
          <w:highlight w:val="yellow"/>
        </w:rPr>
        <w:footnoteRef/>
      </w:r>
      <w:r w:rsidRPr="00043A1E">
        <w:rPr>
          <w:szCs w:val="22"/>
        </w:rPr>
        <w:t xml:space="preserve"> </w:t>
      </w:r>
      <w:r w:rsidRPr="004E1634">
        <w:rPr>
          <w:rFonts w:hint="eastAsia"/>
          <w:color w:val="FF0000"/>
          <w:szCs w:val="22"/>
          <w:highlight w:val="yellow"/>
        </w:rPr>
        <w:t>《大智度論》卷</w:t>
      </w:r>
      <w:r w:rsidRPr="004E1634">
        <w:rPr>
          <w:rFonts w:hint="eastAsia"/>
          <w:color w:val="FF0000"/>
          <w:szCs w:val="22"/>
          <w:highlight w:val="yellow"/>
        </w:rPr>
        <w:t>15</w:t>
      </w:r>
      <w:r w:rsidR="00287E83">
        <w:rPr>
          <w:rFonts w:hint="eastAsia"/>
          <w:color w:val="FF0000"/>
          <w:szCs w:val="22"/>
          <w:highlight w:val="yellow"/>
        </w:rPr>
        <w:t>釋</w:t>
      </w:r>
      <w:r w:rsidRPr="004E1634">
        <w:rPr>
          <w:rFonts w:hint="eastAsia"/>
          <w:color w:val="FF0000"/>
          <w:szCs w:val="22"/>
          <w:highlight w:val="yellow"/>
        </w:rPr>
        <w:t>〈</w:t>
      </w:r>
      <w:r w:rsidRPr="004E1634">
        <w:rPr>
          <w:rFonts w:hint="eastAsia"/>
          <w:color w:val="FF0000"/>
          <w:szCs w:val="22"/>
          <w:highlight w:val="yellow"/>
        </w:rPr>
        <w:t>1</w:t>
      </w:r>
      <w:r w:rsidR="00BB10BA">
        <w:rPr>
          <w:rFonts w:hint="eastAsia"/>
          <w:color w:val="FF0000"/>
          <w:szCs w:val="22"/>
          <w:highlight w:val="yellow"/>
        </w:rPr>
        <w:t xml:space="preserve"> </w:t>
      </w:r>
      <w:r w:rsidRPr="004E1634">
        <w:rPr>
          <w:rFonts w:hint="eastAsia"/>
          <w:color w:val="FF0000"/>
          <w:szCs w:val="22"/>
          <w:highlight w:val="yellow"/>
        </w:rPr>
        <w:t>序品〉（大正</w:t>
      </w:r>
      <w:r w:rsidRPr="004E1634">
        <w:rPr>
          <w:rFonts w:hint="eastAsia"/>
          <w:color w:val="FF0000"/>
          <w:szCs w:val="22"/>
          <w:highlight w:val="yellow"/>
        </w:rPr>
        <w:t>25</w:t>
      </w:r>
      <w:r w:rsidRPr="004E1634">
        <w:rPr>
          <w:rFonts w:hint="eastAsia"/>
          <w:color w:val="FF0000"/>
          <w:szCs w:val="22"/>
          <w:highlight w:val="yellow"/>
        </w:rPr>
        <w:t>，</w:t>
      </w:r>
      <w:r w:rsidRPr="004E1634">
        <w:rPr>
          <w:rFonts w:hint="eastAsia"/>
          <w:color w:val="FF0000"/>
          <w:szCs w:val="22"/>
          <w:highlight w:val="yellow"/>
        </w:rPr>
        <w:t>168b10-16</w:t>
      </w:r>
      <w:r w:rsidR="00DE21F4">
        <w:rPr>
          <w:rFonts w:hint="eastAsia"/>
          <w:color w:val="FF0000"/>
          <w:szCs w:val="22"/>
          <w:highlight w:val="yellow"/>
        </w:rPr>
        <w:t>）</w:t>
      </w:r>
      <w:r w:rsidRPr="004E1634">
        <w:rPr>
          <w:rFonts w:hint="eastAsia"/>
          <w:color w:val="FF0000"/>
          <w:szCs w:val="22"/>
          <w:highlight w:val="yellow"/>
        </w:rPr>
        <w:t>：</w:t>
      </w:r>
    </w:p>
    <w:p w:rsidR="004E1634" w:rsidRPr="004E1634" w:rsidRDefault="004E1634" w:rsidP="004E1634">
      <w:pPr>
        <w:pStyle w:val="a5"/>
        <w:ind w:leftChars="100" w:left="240"/>
        <w:jc w:val="both"/>
        <w:rPr>
          <w:rFonts w:ascii="標楷體" w:eastAsia="標楷體" w:hAnsi="標楷體"/>
          <w:szCs w:val="22"/>
        </w:rPr>
      </w:pPr>
      <w:r w:rsidRPr="004E1634">
        <w:rPr>
          <w:rFonts w:ascii="標楷體" w:eastAsia="標楷體" w:hAnsi="標楷體" w:hint="eastAsia"/>
          <w:color w:val="FF0000"/>
          <w:szCs w:val="22"/>
          <w:highlight w:val="yellow"/>
        </w:rPr>
        <w:t>復次，「法忍」者，於內六情不著</w:t>
      </w:r>
      <w:r w:rsidR="000335FE">
        <w:rPr>
          <w:rFonts w:ascii="標楷體" w:eastAsia="標楷體" w:hAnsi="標楷體" w:hint="eastAsia"/>
          <w:color w:val="FF0000"/>
          <w:szCs w:val="22"/>
          <w:highlight w:val="yellow"/>
        </w:rPr>
        <w:t>、</w:t>
      </w:r>
      <w:r w:rsidRPr="004E1634">
        <w:rPr>
          <w:rFonts w:ascii="標楷體" w:eastAsia="標楷體" w:hAnsi="標楷體" w:hint="eastAsia"/>
          <w:color w:val="FF0000"/>
          <w:szCs w:val="22"/>
          <w:highlight w:val="yellow"/>
        </w:rPr>
        <w:t>於外六塵不受，能於此二不作分別。</w:t>
      </w:r>
      <w:r w:rsidRPr="00DE21F4">
        <w:rPr>
          <w:rFonts w:ascii="標楷體" w:eastAsia="標楷體" w:hAnsi="標楷體" w:hint="eastAsia"/>
          <w:color w:val="FF0000"/>
          <w:szCs w:val="22"/>
          <w:shd w:val="pct15" w:color="auto" w:fill="FFFFFF"/>
        </w:rPr>
        <w:t>……</w:t>
      </w:r>
      <w:r w:rsidRPr="004E1634">
        <w:rPr>
          <w:rFonts w:ascii="標楷體" w:eastAsia="標楷體" w:hAnsi="標楷體" w:hint="eastAsia"/>
          <w:color w:val="FF0000"/>
          <w:szCs w:val="22"/>
          <w:highlight w:val="yellow"/>
        </w:rPr>
        <w:t>不二入故，雖無二</w:t>
      </w:r>
      <w:r w:rsidR="00DE21F4">
        <w:rPr>
          <w:rFonts w:ascii="標楷體" w:eastAsia="標楷體" w:hAnsi="標楷體" w:hint="eastAsia"/>
          <w:color w:val="FF0000"/>
          <w:kern w:val="0"/>
          <w:highlight w:val="yellow"/>
        </w:rPr>
        <w:t>，</w:t>
      </w:r>
      <w:r w:rsidRPr="004E1634">
        <w:rPr>
          <w:rFonts w:ascii="標楷體" w:eastAsia="標楷體" w:hAnsi="標楷體" w:hint="eastAsia"/>
          <w:color w:val="FF0000"/>
          <w:szCs w:val="22"/>
          <w:highlight w:val="yellow"/>
        </w:rPr>
        <w:t>亦不一。如是觀諸法，心信不轉，是名「法忍」。</w:t>
      </w:r>
      <w:r w:rsidRPr="004E1634">
        <w:rPr>
          <w:rFonts w:ascii="標楷體" w:eastAsia="標楷體" w:hAnsi="標楷體"/>
          <w:color w:val="FF0000"/>
          <w:szCs w:val="22"/>
          <w:highlight w:val="yellow"/>
        </w:rPr>
        <w:t xml:space="preserve"> </w:t>
      </w:r>
    </w:p>
  </w:footnote>
  <w:footnote w:id="861">
    <w:p w:rsidR="004E1634" w:rsidRPr="004E1634" w:rsidRDefault="004E1634" w:rsidP="004E1634">
      <w:pPr>
        <w:pStyle w:val="a5"/>
        <w:ind w:left="187" w:hangingChars="85" w:hanging="187"/>
        <w:jc w:val="both"/>
        <w:rPr>
          <w:color w:val="FF0000"/>
          <w:szCs w:val="22"/>
          <w:highlight w:val="yellow"/>
        </w:rPr>
      </w:pPr>
      <w:r w:rsidRPr="004E1634">
        <w:rPr>
          <w:rStyle w:val="a6"/>
          <w:color w:val="FF0000"/>
          <w:szCs w:val="22"/>
          <w:highlight w:val="yellow"/>
        </w:rPr>
        <w:footnoteRef/>
      </w:r>
      <w:r w:rsidRPr="00043A1E">
        <w:rPr>
          <w:szCs w:val="22"/>
        </w:rPr>
        <w:t xml:space="preserve"> </w:t>
      </w:r>
      <w:r w:rsidRPr="004E1634">
        <w:rPr>
          <w:rFonts w:hint="eastAsia"/>
          <w:color w:val="FF0000"/>
          <w:szCs w:val="22"/>
          <w:highlight w:val="yellow"/>
        </w:rPr>
        <w:t>《中論》卷</w:t>
      </w:r>
      <w:r w:rsidRPr="004E1634">
        <w:rPr>
          <w:rFonts w:hint="eastAsia"/>
          <w:color w:val="FF0000"/>
          <w:szCs w:val="22"/>
          <w:highlight w:val="yellow"/>
        </w:rPr>
        <w:t>4</w:t>
      </w:r>
      <w:r w:rsidRPr="004E1634">
        <w:rPr>
          <w:rFonts w:hint="eastAsia"/>
          <w:color w:val="FF0000"/>
          <w:szCs w:val="22"/>
          <w:highlight w:val="yellow"/>
        </w:rPr>
        <w:t>〈</w:t>
      </w:r>
      <w:r w:rsidRPr="004E1634">
        <w:rPr>
          <w:rFonts w:hint="eastAsia"/>
          <w:color w:val="FF0000"/>
          <w:szCs w:val="22"/>
          <w:highlight w:val="yellow"/>
        </w:rPr>
        <w:t xml:space="preserve">22 </w:t>
      </w:r>
      <w:r w:rsidRPr="004E1634">
        <w:rPr>
          <w:rFonts w:hint="eastAsia"/>
          <w:color w:val="FF0000"/>
          <w:szCs w:val="22"/>
          <w:highlight w:val="yellow"/>
        </w:rPr>
        <w:t>觀如來品〉（大正</w:t>
      </w:r>
      <w:r w:rsidRPr="004E1634">
        <w:rPr>
          <w:rFonts w:hint="eastAsia"/>
          <w:color w:val="FF0000"/>
          <w:szCs w:val="22"/>
          <w:highlight w:val="yellow"/>
        </w:rPr>
        <w:t>30</w:t>
      </w:r>
      <w:r w:rsidRPr="004E1634">
        <w:rPr>
          <w:rFonts w:hint="eastAsia"/>
          <w:color w:val="FF0000"/>
          <w:szCs w:val="22"/>
          <w:highlight w:val="yellow"/>
        </w:rPr>
        <w:t>，</w:t>
      </w:r>
      <w:r w:rsidRPr="004E1634">
        <w:rPr>
          <w:rFonts w:hint="eastAsia"/>
          <w:color w:val="FF0000"/>
          <w:szCs w:val="22"/>
          <w:highlight w:val="yellow"/>
        </w:rPr>
        <w:t>30b22-23</w:t>
      </w:r>
      <w:r w:rsidRPr="004E1634">
        <w:rPr>
          <w:rFonts w:hint="eastAsia"/>
          <w:color w:val="FF0000"/>
          <w:szCs w:val="22"/>
          <w:highlight w:val="yellow"/>
        </w:rPr>
        <w:t>）：</w:t>
      </w:r>
    </w:p>
    <w:p w:rsidR="004E1634" w:rsidRPr="00043A1E" w:rsidRDefault="004E1634" w:rsidP="004E1634">
      <w:pPr>
        <w:pStyle w:val="a5"/>
        <w:ind w:leftChars="100" w:left="240"/>
        <w:jc w:val="both"/>
        <w:rPr>
          <w:rFonts w:eastAsia="SimSun"/>
          <w:szCs w:val="22"/>
        </w:rPr>
      </w:pPr>
      <w:r w:rsidRPr="004E1634">
        <w:rPr>
          <w:rFonts w:hint="eastAsia"/>
          <w:color w:val="FF0000"/>
          <w:szCs w:val="22"/>
          <w:highlight w:val="yellow"/>
        </w:rPr>
        <w:t>「</w:t>
      </w:r>
      <w:r w:rsidR="009D0A5E">
        <w:rPr>
          <w:rFonts w:hint="eastAsia"/>
          <w:color w:val="FF0000"/>
          <w:szCs w:val="22"/>
          <w:highlight w:val="yellow"/>
        </w:rPr>
        <w:t>『</w:t>
      </w:r>
      <w:r w:rsidRPr="004E1634">
        <w:rPr>
          <w:rFonts w:ascii="標楷體" w:eastAsia="標楷體" w:hAnsi="標楷體" w:hint="eastAsia"/>
          <w:color w:val="FF0000"/>
          <w:szCs w:val="22"/>
          <w:highlight w:val="yellow"/>
        </w:rPr>
        <w:t>空</w:t>
      </w:r>
      <w:r w:rsidR="009D0A5E">
        <w:rPr>
          <w:rFonts w:ascii="標楷體" w:eastAsia="標楷體" w:hAnsi="標楷體" w:hint="eastAsia"/>
          <w:color w:val="FF0000"/>
          <w:szCs w:val="22"/>
          <w:highlight w:val="yellow"/>
        </w:rPr>
        <w:t>』</w:t>
      </w:r>
      <w:r w:rsidR="00A87E9B">
        <w:rPr>
          <w:rFonts w:ascii="標楷體" w:eastAsia="標楷體" w:hAnsi="標楷體" w:hint="eastAsia"/>
          <w:color w:val="FF0000"/>
          <w:szCs w:val="22"/>
          <w:highlight w:val="yellow"/>
        </w:rPr>
        <w:t>，</w:t>
      </w:r>
      <w:r w:rsidRPr="004E1634">
        <w:rPr>
          <w:rFonts w:ascii="標楷體" w:eastAsia="標楷體" w:hAnsi="標楷體" w:hint="eastAsia"/>
          <w:color w:val="FF0000"/>
          <w:szCs w:val="22"/>
          <w:highlight w:val="yellow"/>
        </w:rPr>
        <w:t>則不可說</w:t>
      </w:r>
      <w:r w:rsidR="009D0A5E">
        <w:rPr>
          <w:rFonts w:ascii="標楷體" w:eastAsia="標楷體" w:hAnsi="標楷體" w:hint="eastAsia"/>
          <w:color w:val="FF0000"/>
          <w:szCs w:val="22"/>
          <w:highlight w:val="yellow"/>
        </w:rPr>
        <w:t>；</w:t>
      </w:r>
      <w:r w:rsidR="009D0A5E">
        <w:rPr>
          <w:rFonts w:hint="eastAsia"/>
          <w:color w:val="FF0000"/>
          <w:szCs w:val="22"/>
          <w:highlight w:val="yellow"/>
        </w:rPr>
        <w:t>『</w:t>
      </w:r>
      <w:r w:rsidRPr="004E1634">
        <w:rPr>
          <w:rFonts w:ascii="標楷體" w:eastAsia="標楷體" w:hAnsi="標楷體" w:hint="eastAsia"/>
          <w:color w:val="FF0000"/>
          <w:szCs w:val="22"/>
          <w:highlight w:val="yellow"/>
        </w:rPr>
        <w:t>非空</w:t>
      </w:r>
      <w:r w:rsidR="009D0A5E">
        <w:rPr>
          <w:rFonts w:ascii="標楷體" w:eastAsia="標楷體" w:hAnsi="標楷體" w:hint="eastAsia"/>
          <w:color w:val="FF0000"/>
          <w:szCs w:val="22"/>
          <w:highlight w:val="yellow"/>
        </w:rPr>
        <w:t>』</w:t>
      </w:r>
      <w:r w:rsidR="00A87E9B">
        <w:rPr>
          <w:rFonts w:ascii="標楷體" w:eastAsia="標楷體" w:hAnsi="標楷體" w:hint="eastAsia"/>
          <w:color w:val="FF0000"/>
          <w:szCs w:val="22"/>
          <w:highlight w:val="yellow"/>
        </w:rPr>
        <w:t>，</w:t>
      </w:r>
      <w:r w:rsidRPr="004E1634">
        <w:rPr>
          <w:rFonts w:ascii="標楷體" w:eastAsia="標楷體" w:hAnsi="標楷體" w:hint="eastAsia"/>
          <w:color w:val="FF0000"/>
          <w:szCs w:val="22"/>
          <w:highlight w:val="yellow"/>
        </w:rPr>
        <w:t>不可說</w:t>
      </w:r>
      <w:r w:rsidR="009D0A5E">
        <w:rPr>
          <w:rFonts w:ascii="標楷體" w:eastAsia="標楷體" w:hAnsi="標楷體" w:hint="eastAsia"/>
          <w:color w:val="FF0000"/>
          <w:szCs w:val="22"/>
          <w:highlight w:val="yellow"/>
        </w:rPr>
        <w:t>；</w:t>
      </w:r>
      <w:r w:rsidRPr="004E1634">
        <w:rPr>
          <w:rFonts w:ascii="標楷體" w:eastAsia="標楷體" w:hAnsi="標楷體" w:hint="eastAsia"/>
          <w:color w:val="FF0000"/>
          <w:szCs w:val="22"/>
          <w:highlight w:val="yellow"/>
        </w:rPr>
        <w:t>共、不共</w:t>
      </w:r>
      <w:r w:rsidR="009D0A5E">
        <w:rPr>
          <w:rFonts w:ascii="標楷體" w:eastAsia="標楷體" w:hAnsi="標楷體" w:hint="eastAsia"/>
          <w:color w:val="FF0000"/>
          <w:szCs w:val="22"/>
          <w:highlight w:val="yellow"/>
        </w:rPr>
        <w:t>，</w:t>
      </w:r>
      <w:r w:rsidRPr="004E1634">
        <w:rPr>
          <w:rFonts w:ascii="標楷體" w:eastAsia="標楷體" w:hAnsi="標楷體" w:hint="eastAsia"/>
          <w:color w:val="FF0000"/>
          <w:szCs w:val="22"/>
          <w:highlight w:val="yellow"/>
        </w:rPr>
        <w:t>叵說</w:t>
      </w:r>
      <w:r w:rsidR="00375D10">
        <w:rPr>
          <w:rFonts w:ascii="標楷體" w:eastAsia="標楷體" w:hAnsi="標楷體" w:hint="eastAsia"/>
          <w:color w:val="FF0000"/>
          <w:szCs w:val="22"/>
          <w:highlight w:val="yellow"/>
        </w:rPr>
        <w:t>。</w:t>
      </w:r>
      <w:r w:rsidRPr="004E1634">
        <w:rPr>
          <w:rFonts w:ascii="標楷體" w:eastAsia="標楷體" w:hAnsi="標楷體" w:hint="eastAsia"/>
          <w:color w:val="FF0000"/>
          <w:szCs w:val="22"/>
          <w:highlight w:val="yellow"/>
        </w:rPr>
        <w:t>但以假名說。</w:t>
      </w:r>
      <w:r w:rsidRPr="004E1634">
        <w:rPr>
          <w:rFonts w:hint="eastAsia"/>
          <w:color w:val="FF0000"/>
          <w:szCs w:val="22"/>
          <w:highlight w:val="yellow"/>
        </w:rPr>
        <w:t>」</w:t>
      </w:r>
    </w:p>
  </w:footnote>
  <w:footnote w:id="862">
    <w:p w:rsidR="00157EF6" w:rsidRPr="00043A1E" w:rsidRDefault="00157EF6" w:rsidP="00AA120F">
      <w:pPr>
        <w:pStyle w:val="a5"/>
        <w:ind w:left="187" w:hangingChars="85" w:hanging="187"/>
        <w:jc w:val="both"/>
        <w:rPr>
          <w:rFonts w:eastAsia="SimSun"/>
          <w:szCs w:val="22"/>
        </w:rPr>
      </w:pPr>
      <w:r w:rsidRPr="00043A1E">
        <w:rPr>
          <w:rStyle w:val="a6"/>
          <w:szCs w:val="22"/>
        </w:rPr>
        <w:footnoteRef/>
      </w:r>
      <w:r w:rsidRPr="00043A1E">
        <w:rPr>
          <w:szCs w:val="22"/>
        </w:rPr>
        <w:t xml:space="preserve"> </w:t>
      </w:r>
      <w:r w:rsidRPr="00043A1E">
        <w:rPr>
          <w:rFonts w:hint="eastAsia"/>
          <w:szCs w:val="22"/>
        </w:rPr>
        <w:t>但：</w:t>
      </w:r>
      <w:r w:rsidRPr="00761EF3">
        <w:rPr>
          <w:rFonts w:hint="eastAsia"/>
          <w:szCs w:val="22"/>
        </w:rPr>
        <w:t>2</w:t>
      </w:r>
      <w:r w:rsidRPr="00043A1E">
        <w:rPr>
          <w:rFonts w:hint="eastAsia"/>
          <w:szCs w:val="22"/>
        </w:rPr>
        <w:t>.</w:t>
      </w:r>
      <w:r w:rsidRPr="00043A1E">
        <w:rPr>
          <w:rFonts w:hint="eastAsia"/>
          <w:szCs w:val="22"/>
        </w:rPr>
        <w:t>只，僅。</w:t>
      </w:r>
      <w:r w:rsidRPr="00043A1E">
        <w:rPr>
          <w:szCs w:val="22"/>
        </w:rPr>
        <w:t>（《漢語大詞典》（</w:t>
      </w:r>
      <w:r w:rsidRPr="00043A1E">
        <w:rPr>
          <w:rFonts w:hint="eastAsia"/>
          <w:szCs w:val="22"/>
        </w:rPr>
        <w:t>一</w:t>
      </w:r>
      <w:r w:rsidRPr="00043A1E">
        <w:rPr>
          <w:szCs w:val="22"/>
        </w:rPr>
        <w:t>）</w:t>
      </w:r>
      <w:r w:rsidRPr="00043A1E">
        <w:rPr>
          <w:rFonts w:hint="eastAsia"/>
          <w:szCs w:val="22"/>
        </w:rPr>
        <w:t>，</w:t>
      </w:r>
      <w:r w:rsidRPr="00761EF3">
        <w:rPr>
          <w:szCs w:val="22"/>
        </w:rPr>
        <w:t>p</w:t>
      </w:r>
      <w:r w:rsidRPr="00043A1E">
        <w:rPr>
          <w:szCs w:val="22"/>
        </w:rPr>
        <w:t>.</w:t>
      </w:r>
      <w:r w:rsidRPr="00761EF3">
        <w:rPr>
          <w:szCs w:val="22"/>
        </w:rPr>
        <w:t>1</w:t>
      </w:r>
      <w:r w:rsidRPr="00761EF3">
        <w:rPr>
          <w:rFonts w:hint="eastAsia"/>
          <w:szCs w:val="22"/>
        </w:rPr>
        <w:t>239</w:t>
      </w:r>
      <w:r w:rsidRPr="00043A1E">
        <w:rPr>
          <w:szCs w:val="22"/>
        </w:rPr>
        <w:t>）</w:t>
      </w:r>
    </w:p>
  </w:footnote>
  <w:footnote w:id="863">
    <w:p w:rsidR="00157EF6" w:rsidRPr="00043A1E" w:rsidRDefault="00157EF6" w:rsidP="00AA120F">
      <w:pPr>
        <w:pStyle w:val="a5"/>
        <w:ind w:left="187" w:hangingChars="85" w:hanging="187"/>
        <w:jc w:val="both"/>
        <w:rPr>
          <w:szCs w:val="22"/>
        </w:rPr>
      </w:pPr>
      <w:r w:rsidRPr="00043A1E">
        <w:rPr>
          <w:rStyle w:val="a6"/>
          <w:szCs w:val="22"/>
        </w:rPr>
        <w:footnoteRef/>
      </w:r>
      <w:r w:rsidRPr="00043A1E">
        <w:rPr>
          <w:szCs w:val="22"/>
        </w:rPr>
        <w:t xml:space="preserve"> </w:t>
      </w:r>
      <w:r w:rsidRPr="00043A1E">
        <w:rPr>
          <w:szCs w:val="22"/>
        </w:rPr>
        <w:t>宛然</w:t>
      </w:r>
      <w:r w:rsidRPr="00043A1E">
        <w:rPr>
          <w:rFonts w:hint="eastAsia"/>
          <w:szCs w:val="22"/>
        </w:rPr>
        <w:t>：</w:t>
      </w:r>
      <w:r w:rsidRPr="00761EF3">
        <w:rPr>
          <w:rFonts w:hint="eastAsia"/>
          <w:szCs w:val="22"/>
        </w:rPr>
        <w:t>2</w:t>
      </w:r>
      <w:r w:rsidRPr="00043A1E">
        <w:rPr>
          <w:rFonts w:hint="eastAsia"/>
          <w:szCs w:val="22"/>
        </w:rPr>
        <w:t>.</w:t>
      </w:r>
      <w:r w:rsidRPr="00043A1E">
        <w:rPr>
          <w:rFonts w:hint="eastAsia"/>
          <w:szCs w:val="22"/>
        </w:rPr>
        <w:t>真切貌，清晰貌。</w:t>
      </w:r>
      <w:r w:rsidRPr="00043A1E">
        <w:rPr>
          <w:szCs w:val="22"/>
        </w:rPr>
        <w:t>（《漢語大詞典》（三）</w:t>
      </w:r>
      <w:r w:rsidRPr="00043A1E">
        <w:rPr>
          <w:rFonts w:hint="eastAsia"/>
          <w:szCs w:val="22"/>
        </w:rPr>
        <w:t>，</w:t>
      </w:r>
      <w:r w:rsidRPr="00761EF3">
        <w:rPr>
          <w:szCs w:val="22"/>
        </w:rPr>
        <w:t>p</w:t>
      </w:r>
      <w:r w:rsidRPr="00043A1E">
        <w:rPr>
          <w:szCs w:val="22"/>
        </w:rPr>
        <w:t>.</w:t>
      </w:r>
      <w:r w:rsidRPr="00761EF3">
        <w:rPr>
          <w:szCs w:val="22"/>
        </w:rPr>
        <w:t>1402</w:t>
      </w:r>
      <w:r w:rsidRPr="00043A1E">
        <w:rPr>
          <w:szCs w:val="22"/>
        </w:rPr>
        <w:t>）</w:t>
      </w:r>
    </w:p>
  </w:footnote>
  <w:footnote w:id="864">
    <w:p w:rsidR="00157EF6" w:rsidRPr="00043A1E" w:rsidRDefault="00157EF6" w:rsidP="00AA120F">
      <w:pPr>
        <w:pStyle w:val="a5"/>
        <w:ind w:left="187" w:hangingChars="85" w:hanging="187"/>
        <w:jc w:val="both"/>
        <w:rPr>
          <w:szCs w:val="22"/>
        </w:rPr>
      </w:pPr>
      <w:r w:rsidRPr="00043A1E">
        <w:rPr>
          <w:rStyle w:val="a6"/>
          <w:szCs w:val="22"/>
        </w:rPr>
        <w:footnoteRef/>
      </w:r>
      <w:r w:rsidRPr="00043A1E">
        <w:rPr>
          <w:rFonts w:eastAsia="SimSun" w:hint="eastAsia"/>
          <w:szCs w:val="22"/>
        </w:rPr>
        <w:t xml:space="preserve"> </w:t>
      </w:r>
      <w:r w:rsidRPr="00043A1E">
        <w:rPr>
          <w:szCs w:val="22"/>
        </w:rPr>
        <w:t>印順法師，《</w:t>
      </w:r>
      <w:r w:rsidRPr="00043A1E">
        <w:rPr>
          <w:rFonts w:hint="eastAsia"/>
          <w:szCs w:val="22"/>
        </w:rPr>
        <w:t>中觀今論</w:t>
      </w:r>
      <w:r w:rsidRPr="00043A1E">
        <w:rPr>
          <w:szCs w:val="22"/>
        </w:rPr>
        <w:t>》，</w:t>
      </w:r>
      <w:r w:rsidRPr="00043A1E">
        <w:rPr>
          <w:rFonts w:hint="eastAsia"/>
          <w:szCs w:val="22"/>
        </w:rPr>
        <w:t>第</w:t>
      </w:r>
      <w:r w:rsidRPr="00761EF3">
        <w:rPr>
          <w:rFonts w:hint="eastAsia"/>
          <w:szCs w:val="22"/>
        </w:rPr>
        <w:t>11</w:t>
      </w:r>
      <w:r w:rsidRPr="00043A1E">
        <w:rPr>
          <w:rFonts w:hint="eastAsia"/>
          <w:szCs w:val="22"/>
        </w:rPr>
        <w:t>章，第</w:t>
      </w:r>
      <w:r w:rsidRPr="00761EF3">
        <w:rPr>
          <w:rFonts w:hint="eastAsia"/>
          <w:szCs w:val="22"/>
        </w:rPr>
        <w:t>1</w:t>
      </w:r>
      <w:r w:rsidRPr="00043A1E">
        <w:rPr>
          <w:rFonts w:hint="eastAsia"/>
          <w:szCs w:val="22"/>
        </w:rPr>
        <w:t>節〈頓漸與偏圓〉，</w:t>
      </w:r>
      <w:r w:rsidRPr="00761EF3">
        <w:rPr>
          <w:szCs w:val="22"/>
        </w:rPr>
        <w:t>pp</w:t>
      </w:r>
      <w:r w:rsidRPr="00043A1E">
        <w:rPr>
          <w:szCs w:val="22"/>
        </w:rPr>
        <w:t>.</w:t>
      </w:r>
      <w:r w:rsidRPr="00761EF3">
        <w:rPr>
          <w:rFonts w:hint="eastAsia"/>
          <w:szCs w:val="22"/>
        </w:rPr>
        <w:t>233</w:t>
      </w:r>
      <w:r w:rsidRPr="00043A1E">
        <w:rPr>
          <w:rFonts w:hint="eastAsia"/>
          <w:szCs w:val="22"/>
        </w:rPr>
        <w:t>-</w:t>
      </w:r>
      <w:r w:rsidRPr="00761EF3">
        <w:rPr>
          <w:rFonts w:hint="eastAsia"/>
          <w:szCs w:val="22"/>
        </w:rPr>
        <w:t>234</w:t>
      </w:r>
      <w:r w:rsidRPr="00043A1E">
        <w:rPr>
          <w:rFonts w:hint="eastAsia"/>
          <w:szCs w:val="22"/>
        </w:rPr>
        <w:t>：</w:t>
      </w:r>
    </w:p>
    <w:p w:rsidR="00157EF6" w:rsidRPr="00043A1E" w:rsidRDefault="00157EF6" w:rsidP="00AA120F">
      <w:pPr>
        <w:pStyle w:val="a5"/>
        <w:ind w:leftChars="75" w:left="180"/>
        <w:jc w:val="both"/>
        <w:rPr>
          <w:rFonts w:ascii="標楷體" w:eastAsia="標楷體" w:hAnsi="標楷體"/>
          <w:szCs w:val="22"/>
        </w:rPr>
      </w:pPr>
      <w:r w:rsidRPr="00043A1E">
        <w:rPr>
          <w:rFonts w:ascii="標楷體" w:eastAsia="標楷體" w:hAnsi="標楷體" w:hint="eastAsia"/>
          <w:szCs w:val="22"/>
        </w:rPr>
        <w:t>從凡入聖，即先從事修而後入真悟，所悟的理是什麼？這可安立為</w:t>
      </w:r>
      <w:r w:rsidRPr="00043A1E">
        <w:rPr>
          <w:rFonts w:ascii="標楷體" w:eastAsia="標楷體" w:hAnsi="標楷體" w:hint="eastAsia"/>
          <w:b/>
          <w:szCs w:val="22"/>
        </w:rPr>
        <w:t>悟圓中</w:t>
      </w:r>
      <w:r w:rsidRPr="00043A1E">
        <w:rPr>
          <w:rFonts w:ascii="標楷體" w:eastAsia="標楷體" w:hAnsi="標楷體" w:hint="eastAsia"/>
          <w:szCs w:val="22"/>
        </w:rPr>
        <w:t>與</w:t>
      </w:r>
      <w:r w:rsidRPr="00043A1E">
        <w:rPr>
          <w:rFonts w:ascii="標楷體" w:eastAsia="標楷體" w:hAnsi="標楷體" w:hint="eastAsia"/>
          <w:b/>
          <w:szCs w:val="22"/>
        </w:rPr>
        <w:t>悟偏真</w:t>
      </w:r>
      <w:r w:rsidRPr="00043A1E">
        <w:rPr>
          <w:rFonts w:ascii="標楷體" w:eastAsia="標楷體" w:hAnsi="標楷體" w:hint="eastAsia"/>
          <w:szCs w:val="22"/>
        </w:rPr>
        <w:t>的兩種。上面曾說到，西藏傳有二宗：</w:t>
      </w:r>
      <w:r w:rsidRPr="00043A1E">
        <w:rPr>
          <w:rFonts w:eastAsia="標楷體" w:hint="eastAsia"/>
          <w:szCs w:val="22"/>
        </w:rPr>
        <w:t>（</w:t>
      </w:r>
      <w:r w:rsidRPr="00043A1E">
        <w:rPr>
          <w:rFonts w:ascii="標楷體" w:eastAsia="標楷體" w:hAnsi="標楷體" w:hint="eastAsia"/>
          <w:szCs w:val="22"/>
        </w:rPr>
        <w:t>一</w:t>
      </w:r>
      <w:r w:rsidRPr="00043A1E">
        <w:rPr>
          <w:rFonts w:eastAsia="標楷體" w:hint="eastAsia"/>
          <w:szCs w:val="22"/>
        </w:rPr>
        <w:t>）</w:t>
      </w:r>
      <w:r w:rsidRPr="00043A1E">
        <w:rPr>
          <w:rFonts w:ascii="標楷體" w:eastAsia="標楷體" w:hAnsi="標楷體" w:hint="eastAsia"/>
          <w:szCs w:val="22"/>
        </w:rPr>
        <w:t>極無戲論，</w:t>
      </w:r>
      <w:r w:rsidRPr="00043A1E">
        <w:rPr>
          <w:rFonts w:eastAsia="標楷體" w:hint="eastAsia"/>
          <w:szCs w:val="22"/>
        </w:rPr>
        <w:t>（</w:t>
      </w:r>
      <w:r w:rsidRPr="00043A1E">
        <w:rPr>
          <w:rFonts w:ascii="標楷體" w:eastAsia="標楷體" w:hAnsi="標楷體" w:hint="eastAsia"/>
          <w:szCs w:val="22"/>
        </w:rPr>
        <w:t>二</w:t>
      </w:r>
      <w:r w:rsidRPr="00043A1E">
        <w:rPr>
          <w:rFonts w:eastAsia="標楷體" w:hint="eastAsia"/>
          <w:szCs w:val="22"/>
        </w:rPr>
        <w:t>）</w:t>
      </w:r>
      <w:r w:rsidRPr="00043A1E">
        <w:rPr>
          <w:rFonts w:ascii="標楷體" w:eastAsia="標楷體" w:hAnsi="標楷體" w:hint="eastAsia"/>
          <w:szCs w:val="22"/>
        </w:rPr>
        <w:t>現空如幻，天臺宗也說有</w:t>
      </w:r>
      <w:r w:rsidRPr="00043A1E">
        <w:rPr>
          <w:rFonts w:ascii="標楷體" w:eastAsia="標楷體" w:hAnsi="標楷體" w:hint="eastAsia"/>
          <w:b/>
          <w:szCs w:val="22"/>
        </w:rPr>
        <w:t>偏真</w:t>
      </w:r>
      <w:r w:rsidRPr="00043A1E">
        <w:rPr>
          <w:rFonts w:ascii="標楷體" w:eastAsia="標楷體" w:hAnsi="標楷體" w:hint="eastAsia"/>
          <w:szCs w:val="22"/>
        </w:rPr>
        <w:t>與</w:t>
      </w:r>
      <w:r w:rsidRPr="00043A1E">
        <w:rPr>
          <w:rFonts w:ascii="標楷體" w:eastAsia="標楷體" w:hAnsi="標楷體" w:hint="eastAsia"/>
          <w:b/>
          <w:szCs w:val="22"/>
        </w:rPr>
        <w:t>圓中</w:t>
      </w:r>
      <w:r w:rsidRPr="00043A1E">
        <w:rPr>
          <w:rFonts w:ascii="標楷體" w:eastAsia="標楷體" w:hAnsi="標楷體" w:hint="eastAsia"/>
          <w:szCs w:val="22"/>
        </w:rPr>
        <w:t>兩類。唯識家說</w:t>
      </w:r>
      <w:r w:rsidRPr="00043A1E">
        <w:rPr>
          <w:rFonts w:ascii="標楷體" w:eastAsia="標楷體" w:hAnsi="標楷體" w:hint="eastAsia"/>
          <w:b/>
          <w:szCs w:val="22"/>
        </w:rPr>
        <w:t>真見道證真如</w:t>
      </w:r>
      <w:r w:rsidRPr="00043A1E">
        <w:rPr>
          <w:rFonts w:ascii="標楷體" w:eastAsia="標楷體" w:hAnsi="標楷體" w:hint="eastAsia"/>
          <w:szCs w:val="22"/>
        </w:rPr>
        <w:t>而不見緣起，月稱論師也不許可見道的悟圓中理，但他們皆以究竟圓悟中道為成佛。中國的三論宗，不承認大乘有偏真悟，悟即是圓中的，二諦並觀的。</w:t>
      </w:r>
    </w:p>
    <w:p w:rsidR="00157EF6" w:rsidRPr="00043A1E" w:rsidRDefault="00157EF6" w:rsidP="00AA120F">
      <w:pPr>
        <w:pStyle w:val="a5"/>
        <w:ind w:leftChars="75" w:left="180"/>
        <w:jc w:val="both"/>
        <w:rPr>
          <w:rFonts w:ascii="標楷體" w:eastAsia="標楷體" w:hAnsi="標楷體"/>
          <w:szCs w:val="22"/>
        </w:rPr>
      </w:pPr>
      <w:r w:rsidRPr="00043A1E">
        <w:rPr>
          <w:rFonts w:ascii="標楷體" w:eastAsia="標楷體" w:hAnsi="標楷體" w:hint="eastAsia"/>
          <w:szCs w:val="22"/>
        </w:rPr>
        <w:t>考龍樹《大智度論》，是有</w:t>
      </w:r>
      <w:r w:rsidRPr="00043A1E">
        <w:rPr>
          <w:rFonts w:ascii="標楷體" w:eastAsia="標楷體" w:hAnsi="標楷體" w:hint="eastAsia"/>
          <w:b/>
          <w:szCs w:val="22"/>
        </w:rPr>
        <w:t>偏真</w:t>
      </w:r>
      <w:r w:rsidRPr="00043A1E">
        <w:rPr>
          <w:rFonts w:ascii="標楷體" w:eastAsia="標楷體" w:hAnsi="標楷體" w:hint="eastAsia"/>
          <w:szCs w:val="22"/>
        </w:rPr>
        <w:t>與</w:t>
      </w:r>
      <w:r w:rsidRPr="00043A1E">
        <w:rPr>
          <w:rFonts w:ascii="標楷體" w:eastAsia="標楷體" w:hAnsi="標楷體" w:hint="eastAsia"/>
          <w:b/>
          <w:szCs w:val="22"/>
        </w:rPr>
        <w:t>圓中</w:t>
      </w:r>
      <w:r w:rsidRPr="00043A1E">
        <w:rPr>
          <w:rFonts w:ascii="標楷體" w:eastAsia="標楷體" w:hAnsi="標楷體" w:hint="eastAsia"/>
          <w:szCs w:val="22"/>
        </w:rPr>
        <w:t>二類的，如說：「般若將入畢竟空，絕諸戲論；方便將出畢竟空，嚴土熟生。」</w:t>
      </w:r>
      <w:r w:rsidRPr="00043A1E">
        <w:rPr>
          <w:rFonts w:ascii="標楷體" w:eastAsia="標楷體" w:hAnsi="標楷體" w:hint="eastAsia"/>
          <w:b/>
          <w:szCs w:val="22"/>
        </w:rPr>
        <w:t>由般若慧泯絕一切而不取相，即是悟真性；方便智從空出有，才能行莊嚴佛土、成熟眾生的廣大行</w:t>
      </w:r>
      <w:r w:rsidRPr="00043A1E">
        <w:rPr>
          <w:rFonts w:ascii="標楷體" w:eastAsia="標楷體" w:hAnsi="標楷體" w:hint="eastAsia"/>
          <w:szCs w:val="22"/>
        </w:rPr>
        <w:t>。大乘的慧眼，即見道的實相慧，《大智度論》說：「慧眼於一切法都無所見</w:t>
      </w:r>
      <w:r>
        <w:rPr>
          <w:rFonts w:ascii="標楷體" w:eastAsia="標楷體" w:hAnsi="標楷體" w:hint="eastAsia"/>
          <w:szCs w:val="22"/>
        </w:rPr>
        <w:t>。</w:t>
      </w:r>
      <w:r w:rsidRPr="00043A1E">
        <w:rPr>
          <w:rFonts w:ascii="標楷體" w:eastAsia="標楷體" w:hAnsi="標楷體" w:hint="eastAsia"/>
          <w:szCs w:val="22"/>
        </w:rPr>
        <w:t>」此即與藏傳的「極無戲論」相合。</w:t>
      </w:r>
    </w:p>
    <w:p w:rsidR="00157EF6" w:rsidRPr="00043A1E" w:rsidRDefault="00157EF6" w:rsidP="00AA120F">
      <w:pPr>
        <w:pStyle w:val="a5"/>
        <w:ind w:leftChars="75" w:left="180"/>
        <w:jc w:val="both"/>
        <w:rPr>
          <w:rFonts w:ascii="標楷體" w:eastAsia="標楷體" w:hAnsi="標楷體"/>
          <w:szCs w:val="22"/>
        </w:rPr>
      </w:pPr>
      <w:r w:rsidRPr="00043A1E">
        <w:rPr>
          <w:rFonts w:ascii="標楷體" w:eastAsia="標楷體" w:hAnsi="標楷體" w:hint="eastAsia"/>
          <w:szCs w:val="22"/>
        </w:rPr>
        <w:t>然論中也曾說：「慧眼無所見而無所不見」，這即泯絕一切而顯了一切，顯了一切而泯絕一切，即</w:t>
      </w:r>
      <w:r w:rsidRPr="00043A1E">
        <w:rPr>
          <w:rFonts w:ascii="標楷體" w:eastAsia="標楷體" w:hAnsi="標楷體" w:hint="eastAsia"/>
          <w:b/>
          <w:szCs w:val="22"/>
        </w:rPr>
        <w:t>悟圓中</w:t>
      </w:r>
      <w:r w:rsidRPr="00043A1E">
        <w:rPr>
          <w:rFonts w:ascii="標楷體" w:eastAsia="標楷體" w:hAnsi="標楷體" w:hint="eastAsia"/>
          <w:szCs w:val="22"/>
        </w:rPr>
        <w:t>的根據──此處龍樹所依的《般若經》，與玄奘譯不同。</w:t>
      </w:r>
    </w:p>
  </w:footnote>
  <w:footnote w:id="865">
    <w:p w:rsidR="00BC5E25" w:rsidRPr="00043A1E" w:rsidRDefault="00BC5E25" w:rsidP="00BC5E25">
      <w:pPr>
        <w:pStyle w:val="a5"/>
        <w:ind w:left="187" w:hangingChars="85" w:hanging="187"/>
        <w:jc w:val="both"/>
        <w:rPr>
          <w:rFonts w:eastAsia="SimSun"/>
          <w:szCs w:val="22"/>
        </w:rPr>
      </w:pPr>
      <w:r w:rsidRPr="00043A1E">
        <w:rPr>
          <w:rStyle w:val="a6"/>
          <w:szCs w:val="22"/>
        </w:rPr>
        <w:footnoteRef/>
      </w:r>
      <w:r w:rsidRPr="00043A1E">
        <w:rPr>
          <w:rFonts w:hint="eastAsia"/>
          <w:szCs w:val="22"/>
        </w:rPr>
        <w:t xml:space="preserve"> </w:t>
      </w:r>
      <w:r w:rsidRPr="00895A8F">
        <w:rPr>
          <w:spacing w:val="-4"/>
          <w:szCs w:val="22"/>
        </w:rPr>
        <w:t>《歐陽大師遺集》第二冊，新文豐出版</w:t>
      </w:r>
      <w:r w:rsidRPr="00895A8F">
        <w:rPr>
          <w:rFonts w:hint="eastAsia"/>
          <w:spacing w:val="-4"/>
          <w:szCs w:val="22"/>
        </w:rPr>
        <w:t>公司</w:t>
      </w:r>
      <w:r w:rsidRPr="00895A8F">
        <w:rPr>
          <w:spacing w:val="-4"/>
          <w:szCs w:val="22"/>
        </w:rPr>
        <w:t>，民國</w:t>
      </w:r>
      <w:r w:rsidRPr="00895A8F">
        <w:rPr>
          <w:spacing w:val="-4"/>
          <w:szCs w:val="22"/>
        </w:rPr>
        <w:t>65</w:t>
      </w:r>
      <w:r w:rsidRPr="00895A8F">
        <w:rPr>
          <w:spacing w:val="-4"/>
          <w:szCs w:val="22"/>
        </w:rPr>
        <w:t>年</w:t>
      </w:r>
      <w:r w:rsidRPr="00895A8F">
        <w:rPr>
          <w:spacing w:val="-4"/>
          <w:szCs w:val="22"/>
        </w:rPr>
        <w:t>10</w:t>
      </w:r>
      <w:r w:rsidRPr="00895A8F">
        <w:rPr>
          <w:spacing w:val="-4"/>
          <w:szCs w:val="22"/>
        </w:rPr>
        <w:t>月初版</w:t>
      </w:r>
      <w:r w:rsidRPr="00895A8F">
        <w:rPr>
          <w:rFonts w:hint="eastAsia"/>
          <w:spacing w:val="-4"/>
          <w:szCs w:val="22"/>
        </w:rPr>
        <w:t>，</w:t>
      </w:r>
      <w:r w:rsidRPr="00895A8F">
        <w:rPr>
          <w:spacing w:val="-4"/>
          <w:szCs w:val="22"/>
        </w:rPr>
        <w:t>pp.1339-1343</w:t>
      </w:r>
      <w:r w:rsidRPr="00895A8F">
        <w:rPr>
          <w:spacing w:val="-4"/>
          <w:szCs w:val="22"/>
        </w:rPr>
        <w:t>：</w:t>
      </w:r>
    </w:p>
    <w:p w:rsidR="00BC5E25" w:rsidRPr="00043A1E" w:rsidRDefault="00BC5E25" w:rsidP="00BC5E25">
      <w:pPr>
        <w:pStyle w:val="a5"/>
        <w:ind w:leftChars="75" w:left="180"/>
        <w:jc w:val="both"/>
        <w:rPr>
          <w:rFonts w:ascii="標楷體" w:eastAsia="標楷體" w:hAnsi="標楷體"/>
          <w:szCs w:val="22"/>
        </w:rPr>
      </w:pPr>
      <w:r w:rsidRPr="00043A1E">
        <w:rPr>
          <w:rFonts w:ascii="標楷體" w:eastAsia="標楷體" w:hAnsi="標楷體" w:hint="eastAsia"/>
          <w:szCs w:val="22"/>
        </w:rPr>
        <w:t>《</w:t>
      </w:r>
      <w:r w:rsidRPr="00043A1E">
        <w:rPr>
          <w:rFonts w:ascii="標楷體" w:eastAsia="標楷體" w:hAnsi="標楷體"/>
          <w:szCs w:val="22"/>
        </w:rPr>
        <w:t>成唯識論</w:t>
      </w:r>
      <w:r w:rsidRPr="00043A1E">
        <w:rPr>
          <w:rFonts w:ascii="標楷體" w:eastAsia="標楷體" w:hAnsi="標楷體" w:hint="eastAsia"/>
          <w:szCs w:val="22"/>
        </w:rPr>
        <w:t>》</w:t>
      </w:r>
      <w:r w:rsidRPr="00043A1E">
        <w:rPr>
          <w:rFonts w:ascii="標楷體" w:eastAsia="標楷體" w:hAnsi="標楷體"/>
          <w:szCs w:val="22"/>
        </w:rPr>
        <w:t>之八段十義，先於本宗要義作十抉擇而談。</w:t>
      </w:r>
      <w:r w:rsidRPr="00B24F33">
        <w:rPr>
          <w:rFonts w:ascii="標楷體" w:eastAsia="標楷體" w:hAnsi="標楷體"/>
          <w:szCs w:val="22"/>
          <w:shd w:val="pct15" w:color="auto" w:fill="FFFFFF"/>
        </w:rPr>
        <w:t>……第</w:t>
      </w:r>
      <w:r w:rsidRPr="00043A1E">
        <w:rPr>
          <w:rFonts w:ascii="標楷體" w:eastAsia="標楷體" w:hAnsi="標楷體"/>
          <w:szCs w:val="22"/>
        </w:rPr>
        <w:t>一、抉擇體用談用義，</w:t>
      </w:r>
      <w:r w:rsidRPr="00B24F33">
        <w:rPr>
          <w:rFonts w:ascii="標楷體" w:eastAsia="標楷體" w:hAnsi="標楷體"/>
          <w:szCs w:val="22"/>
          <w:shd w:val="pct15" w:color="auto" w:fill="FFFFFF"/>
        </w:rPr>
        <w:t>……</w:t>
      </w:r>
      <w:r w:rsidRPr="00043A1E">
        <w:rPr>
          <w:rFonts w:ascii="標楷體" w:eastAsia="標楷體" w:hAnsi="標楷體"/>
          <w:szCs w:val="22"/>
        </w:rPr>
        <w:t>第二、抉擇四涅槃談無住，</w:t>
      </w:r>
      <w:r w:rsidRPr="00B24F33">
        <w:rPr>
          <w:rFonts w:ascii="標楷體" w:eastAsia="標楷體" w:hAnsi="標楷體"/>
          <w:szCs w:val="22"/>
          <w:shd w:val="pct15" w:color="auto" w:fill="FFFFFF"/>
        </w:rPr>
        <w:t>……</w:t>
      </w:r>
      <w:r w:rsidRPr="00043A1E">
        <w:rPr>
          <w:rFonts w:ascii="標楷體" w:eastAsia="標楷體" w:hAnsi="標楷體"/>
          <w:szCs w:val="22"/>
        </w:rPr>
        <w:t>第三、</w:t>
      </w:r>
      <w:r w:rsidRPr="00043A1E">
        <w:rPr>
          <w:rFonts w:ascii="標楷體" w:eastAsia="標楷體" w:hAnsi="標楷體"/>
          <w:b/>
          <w:szCs w:val="22"/>
        </w:rPr>
        <w:t>抉擇二智談後得</w:t>
      </w:r>
      <w:r w:rsidRPr="00043A1E">
        <w:rPr>
          <w:rFonts w:ascii="標楷體" w:eastAsia="標楷體" w:hAnsi="標楷體"/>
          <w:szCs w:val="22"/>
        </w:rPr>
        <w:t>，</w:t>
      </w:r>
      <w:r w:rsidRPr="00B24F33">
        <w:rPr>
          <w:rFonts w:ascii="標楷體" w:eastAsia="標楷體" w:hAnsi="標楷體"/>
          <w:szCs w:val="22"/>
          <w:shd w:val="pct15" w:color="auto" w:fill="FFFFFF"/>
        </w:rPr>
        <w:t>……</w:t>
      </w:r>
      <w:r w:rsidRPr="00043A1E">
        <w:rPr>
          <w:rFonts w:ascii="標楷體" w:eastAsia="標楷體" w:hAnsi="標楷體"/>
          <w:szCs w:val="22"/>
        </w:rPr>
        <w:t>第四、</w:t>
      </w:r>
      <w:r w:rsidRPr="00043A1E">
        <w:rPr>
          <w:rFonts w:ascii="標楷體" w:eastAsia="標楷體" w:hAnsi="標楷體"/>
          <w:b/>
          <w:szCs w:val="22"/>
        </w:rPr>
        <w:t>抉擇二諦談俗諦</w:t>
      </w:r>
      <w:r w:rsidRPr="00B24F33">
        <w:rPr>
          <w:rFonts w:ascii="標楷體" w:eastAsia="標楷體" w:hAnsi="標楷體"/>
          <w:szCs w:val="22"/>
          <w:shd w:val="pct15" w:color="auto" w:fill="FFFFFF"/>
        </w:rPr>
        <w:t>……</w:t>
      </w:r>
      <w:r w:rsidRPr="00043A1E">
        <w:rPr>
          <w:rFonts w:ascii="標楷體" w:eastAsia="標楷體" w:hAnsi="標楷體"/>
          <w:szCs w:val="22"/>
        </w:rPr>
        <w:t>。</w:t>
      </w:r>
    </w:p>
    <w:p w:rsidR="00BC5E25" w:rsidRDefault="00BC5E25" w:rsidP="00BC5E25">
      <w:pPr>
        <w:pStyle w:val="a5"/>
        <w:ind w:leftChars="75" w:left="400" w:hangingChars="100" w:hanging="220"/>
        <w:jc w:val="both"/>
        <w:rPr>
          <w:szCs w:val="22"/>
        </w:rPr>
      </w:pPr>
      <w:r w:rsidRPr="00043A1E">
        <w:rPr>
          <w:rFonts w:ascii="標楷體" w:eastAsia="標楷體" w:hAnsi="標楷體" w:hint="eastAsia"/>
          <w:szCs w:val="22"/>
        </w:rPr>
        <w:t>※</w:t>
      </w:r>
      <w:r w:rsidRPr="00043A1E">
        <w:rPr>
          <w:rFonts w:ascii="新細明體" w:hAnsi="新細明體" w:hint="eastAsia"/>
          <w:szCs w:val="22"/>
        </w:rPr>
        <w:t>案</w:t>
      </w:r>
      <w:r w:rsidRPr="00043A1E">
        <w:rPr>
          <w:szCs w:val="22"/>
        </w:rPr>
        <w:t>：「四涅槃」</w:t>
      </w:r>
      <w:r>
        <w:rPr>
          <w:rFonts w:hint="eastAsia"/>
          <w:szCs w:val="22"/>
        </w:rPr>
        <w:t>，</w:t>
      </w:r>
      <w:r w:rsidRPr="00043A1E">
        <w:rPr>
          <w:szCs w:val="22"/>
        </w:rPr>
        <w:t>參見《成唯識論》卷</w:t>
      </w:r>
      <w:r w:rsidRPr="00761EF3">
        <w:rPr>
          <w:szCs w:val="22"/>
        </w:rPr>
        <w:t>10</w:t>
      </w:r>
      <w:r w:rsidRPr="00043A1E">
        <w:rPr>
          <w:rFonts w:eastAsia="標楷體"/>
          <w:szCs w:val="22"/>
        </w:rPr>
        <w:t>（</w:t>
      </w:r>
      <w:r w:rsidRPr="00043A1E">
        <w:rPr>
          <w:rFonts w:ascii="新細明體" w:hAnsi="新細明體"/>
          <w:szCs w:val="22"/>
        </w:rPr>
        <w:t>大正</w:t>
      </w:r>
      <w:r w:rsidRPr="00761EF3">
        <w:rPr>
          <w:rFonts w:eastAsia="標楷體"/>
          <w:szCs w:val="22"/>
        </w:rPr>
        <w:t>31</w:t>
      </w:r>
      <w:r w:rsidRPr="00043A1E">
        <w:rPr>
          <w:rFonts w:eastAsia="標楷體"/>
          <w:szCs w:val="22"/>
        </w:rPr>
        <w:t>，</w:t>
      </w:r>
      <w:r w:rsidRPr="00761EF3">
        <w:rPr>
          <w:rFonts w:eastAsia="標楷體"/>
          <w:szCs w:val="22"/>
        </w:rPr>
        <w:t>55b7</w:t>
      </w:r>
      <w:r w:rsidRPr="00043A1E">
        <w:rPr>
          <w:rFonts w:eastAsia="標楷體"/>
          <w:szCs w:val="22"/>
        </w:rPr>
        <w:t>-</w:t>
      </w:r>
      <w:r w:rsidRPr="00761EF3">
        <w:rPr>
          <w:rFonts w:eastAsia="標楷體"/>
          <w:szCs w:val="22"/>
        </w:rPr>
        <w:t>19</w:t>
      </w:r>
      <w:r w:rsidRPr="00043A1E">
        <w:rPr>
          <w:rFonts w:eastAsia="標楷體"/>
          <w:szCs w:val="22"/>
        </w:rPr>
        <w:t>）</w:t>
      </w:r>
      <w:r w:rsidRPr="00043A1E">
        <w:rPr>
          <w:szCs w:val="22"/>
        </w:rPr>
        <w:t>：</w:t>
      </w:r>
    </w:p>
    <w:p w:rsidR="00BC5E25" w:rsidRDefault="00BC5E25" w:rsidP="00BC5E25">
      <w:pPr>
        <w:pStyle w:val="a5"/>
        <w:ind w:leftChars="300" w:left="720"/>
        <w:jc w:val="both"/>
        <w:rPr>
          <w:rFonts w:ascii="標楷體" w:eastAsia="標楷體" w:hAnsi="標楷體"/>
          <w:color w:val="FF0000"/>
          <w:spacing w:val="-4"/>
          <w:kern w:val="0"/>
        </w:rPr>
      </w:pPr>
      <w:r w:rsidRPr="00BB10BA">
        <w:rPr>
          <w:rFonts w:ascii="標楷體" w:eastAsia="標楷體" w:hAnsi="標楷體" w:hint="eastAsia"/>
          <w:szCs w:val="22"/>
        </w:rPr>
        <w:t>「</w:t>
      </w:r>
      <w:r w:rsidRPr="00043A1E">
        <w:rPr>
          <w:rFonts w:ascii="標楷體" w:eastAsia="標楷體" w:hAnsi="標楷體" w:hint="eastAsia"/>
          <w:szCs w:val="22"/>
        </w:rPr>
        <w:t>涅槃</w:t>
      </w:r>
      <w:r>
        <w:rPr>
          <w:rFonts w:ascii="標楷體" w:eastAsia="標楷體" w:hAnsi="標楷體" w:hint="eastAsia"/>
          <w:bCs/>
          <w:color w:val="FF0000"/>
          <w:kern w:val="0"/>
          <w:highlight w:val="yellow"/>
        </w:rPr>
        <w:t>」</w:t>
      </w:r>
      <w:r w:rsidRPr="00043A1E">
        <w:rPr>
          <w:rFonts w:ascii="標楷體" w:eastAsia="標楷體" w:hAnsi="標楷體" w:hint="eastAsia"/>
          <w:szCs w:val="22"/>
        </w:rPr>
        <w:t>義別</w:t>
      </w:r>
      <w:r>
        <w:rPr>
          <w:rFonts w:ascii="標楷體" w:eastAsia="標楷體" w:hAnsi="標楷體" w:hint="eastAsia"/>
          <w:color w:val="FF0000"/>
          <w:kern w:val="0"/>
          <w:highlight w:val="yellow"/>
        </w:rPr>
        <w:t>，</w:t>
      </w:r>
      <w:r w:rsidRPr="00043A1E">
        <w:rPr>
          <w:rFonts w:ascii="標楷體" w:eastAsia="標楷體" w:hAnsi="標楷體" w:hint="eastAsia"/>
          <w:szCs w:val="22"/>
        </w:rPr>
        <w:t>略有四種</w:t>
      </w:r>
      <w:r>
        <w:rPr>
          <w:rFonts w:ascii="標楷體" w:eastAsia="標楷體" w:hAnsi="標楷體" w:hint="eastAsia"/>
          <w:color w:val="FF0000"/>
          <w:spacing w:val="-4"/>
          <w:kern w:val="0"/>
          <w:highlight w:val="yellow"/>
        </w:rPr>
        <w:t>：</w:t>
      </w:r>
    </w:p>
    <w:p w:rsidR="00BC5E25" w:rsidRDefault="00BC5E25" w:rsidP="00BC5E25">
      <w:pPr>
        <w:pStyle w:val="a5"/>
        <w:ind w:leftChars="300" w:left="1160" w:hangingChars="200" w:hanging="440"/>
        <w:jc w:val="both"/>
        <w:rPr>
          <w:rFonts w:ascii="標楷體" w:eastAsia="標楷體" w:hAnsi="標楷體"/>
          <w:szCs w:val="22"/>
        </w:rPr>
      </w:pPr>
      <w:r w:rsidRPr="00043A1E">
        <w:rPr>
          <w:rFonts w:ascii="標楷體" w:eastAsia="標楷體" w:hAnsi="標楷體" w:hint="eastAsia"/>
          <w:b/>
          <w:szCs w:val="22"/>
        </w:rPr>
        <w:t>一、本來自性清淨涅槃</w:t>
      </w:r>
      <w:r>
        <w:rPr>
          <w:rFonts w:ascii="標楷體" w:eastAsia="標楷體" w:hAnsi="標楷體" w:hint="eastAsia"/>
          <w:color w:val="FF0000"/>
          <w:kern w:val="0"/>
          <w:highlight w:val="yellow"/>
        </w:rPr>
        <w:t>，</w:t>
      </w:r>
      <w:r w:rsidRPr="00043A1E">
        <w:rPr>
          <w:rFonts w:ascii="標楷體" w:eastAsia="標楷體" w:hAnsi="標楷體" w:hint="eastAsia"/>
          <w:szCs w:val="22"/>
        </w:rPr>
        <w:t>謂一切法相真如理，雖有客染而本性淨，具無數量微妙功德，無生無滅</w:t>
      </w:r>
      <w:r>
        <w:rPr>
          <w:rFonts w:ascii="標楷體" w:eastAsia="標楷體" w:hAnsi="標楷體" w:hint="eastAsia"/>
          <w:color w:val="FF0000"/>
          <w:kern w:val="0"/>
          <w:highlight w:val="yellow"/>
        </w:rPr>
        <w:t>，</w:t>
      </w:r>
      <w:r w:rsidRPr="00043A1E">
        <w:rPr>
          <w:rFonts w:ascii="標楷體" w:eastAsia="標楷體" w:hAnsi="標楷體" w:hint="eastAsia"/>
          <w:szCs w:val="22"/>
        </w:rPr>
        <w:t>湛若虛空，一切有情平等共有，與一切法不一不異，離一切相、一切分別，尋思路絕，名言道斷，唯真聖者自內所證，其性本寂</w:t>
      </w:r>
      <w:r>
        <w:rPr>
          <w:rFonts w:ascii="標楷體" w:eastAsia="標楷體" w:hAnsi="標楷體" w:hint="eastAsia"/>
          <w:color w:val="FF0000"/>
          <w:kern w:val="0"/>
          <w:highlight w:val="yellow"/>
        </w:rPr>
        <w:t>，</w:t>
      </w:r>
      <w:r w:rsidRPr="00043A1E">
        <w:rPr>
          <w:rFonts w:ascii="標楷體" w:eastAsia="標楷體" w:hAnsi="標楷體" w:hint="eastAsia"/>
          <w:szCs w:val="22"/>
        </w:rPr>
        <w:t>故名</w:t>
      </w:r>
      <w:r>
        <w:rPr>
          <w:rFonts w:ascii="標楷體" w:eastAsia="標楷體" w:hAnsi="標楷體" w:hint="eastAsia"/>
          <w:bCs/>
          <w:color w:val="FF0000"/>
          <w:kern w:val="0"/>
          <w:highlight w:val="yellow"/>
        </w:rPr>
        <w:t>「</w:t>
      </w:r>
      <w:r w:rsidRPr="00043A1E">
        <w:rPr>
          <w:rFonts w:ascii="標楷體" w:eastAsia="標楷體" w:hAnsi="標楷體" w:hint="eastAsia"/>
          <w:szCs w:val="22"/>
        </w:rPr>
        <w:t>涅槃</w:t>
      </w:r>
      <w:r>
        <w:rPr>
          <w:rFonts w:ascii="標楷體" w:eastAsia="標楷體" w:hAnsi="標楷體" w:hint="eastAsia"/>
          <w:bCs/>
          <w:color w:val="FF0000"/>
          <w:kern w:val="0"/>
          <w:highlight w:val="yellow"/>
        </w:rPr>
        <w:t>」</w:t>
      </w:r>
      <w:r w:rsidRPr="00043A1E">
        <w:rPr>
          <w:rFonts w:ascii="標楷體" w:eastAsia="標楷體" w:hAnsi="標楷體" w:hint="eastAsia"/>
          <w:szCs w:val="22"/>
        </w:rPr>
        <w:t>。</w:t>
      </w:r>
    </w:p>
    <w:p w:rsidR="00BC5E25" w:rsidRDefault="00BC5E25" w:rsidP="00BC5E25">
      <w:pPr>
        <w:pStyle w:val="a5"/>
        <w:ind w:leftChars="300" w:left="1160" w:hangingChars="200" w:hanging="440"/>
        <w:jc w:val="both"/>
        <w:rPr>
          <w:rFonts w:ascii="標楷體" w:eastAsia="標楷體" w:hAnsi="標楷體"/>
          <w:szCs w:val="22"/>
        </w:rPr>
      </w:pPr>
      <w:r w:rsidRPr="00043A1E">
        <w:rPr>
          <w:rFonts w:ascii="標楷體" w:eastAsia="標楷體" w:hAnsi="標楷體" w:hint="eastAsia"/>
          <w:b/>
          <w:szCs w:val="22"/>
        </w:rPr>
        <w:t>二、有餘依涅槃</w:t>
      </w:r>
      <w:r>
        <w:rPr>
          <w:rFonts w:ascii="標楷體" w:eastAsia="標楷體" w:hAnsi="標楷體" w:hint="eastAsia"/>
          <w:color w:val="FF0000"/>
          <w:kern w:val="0"/>
          <w:highlight w:val="yellow"/>
        </w:rPr>
        <w:t>，</w:t>
      </w:r>
      <w:r w:rsidRPr="00043A1E">
        <w:rPr>
          <w:rFonts w:ascii="標楷體" w:eastAsia="標楷體" w:hAnsi="標楷體" w:hint="eastAsia"/>
          <w:szCs w:val="22"/>
        </w:rPr>
        <w:t>謂即真如出煩惱障，雖有微苦</w:t>
      </w:r>
      <w:r>
        <w:rPr>
          <w:rFonts w:ascii="標楷體" w:eastAsia="標楷體" w:hAnsi="標楷體" w:hint="eastAsia"/>
          <w:color w:val="FF0000"/>
          <w:kern w:val="0"/>
          <w:highlight w:val="yellow"/>
        </w:rPr>
        <w:t>，</w:t>
      </w:r>
      <w:r w:rsidRPr="00043A1E">
        <w:rPr>
          <w:rFonts w:ascii="標楷體" w:eastAsia="標楷體" w:hAnsi="標楷體" w:hint="eastAsia"/>
          <w:szCs w:val="22"/>
        </w:rPr>
        <w:t>所依未滅而障永寂</w:t>
      </w:r>
      <w:r>
        <w:rPr>
          <w:rFonts w:ascii="標楷體" w:eastAsia="標楷體" w:hAnsi="標楷體" w:hint="eastAsia"/>
          <w:color w:val="FF0000"/>
          <w:kern w:val="0"/>
          <w:highlight w:val="yellow"/>
        </w:rPr>
        <w:t>，</w:t>
      </w:r>
      <w:r w:rsidRPr="00043A1E">
        <w:rPr>
          <w:rFonts w:ascii="標楷體" w:eastAsia="標楷體" w:hAnsi="標楷體" w:hint="eastAsia"/>
          <w:szCs w:val="22"/>
        </w:rPr>
        <w:t>故名</w:t>
      </w:r>
      <w:r>
        <w:rPr>
          <w:rFonts w:ascii="標楷體" w:eastAsia="標楷體" w:hAnsi="標楷體" w:hint="eastAsia"/>
          <w:bCs/>
          <w:color w:val="FF0000"/>
          <w:kern w:val="0"/>
          <w:highlight w:val="yellow"/>
        </w:rPr>
        <w:t>「</w:t>
      </w:r>
      <w:r w:rsidRPr="00043A1E">
        <w:rPr>
          <w:rFonts w:ascii="標楷體" w:eastAsia="標楷體" w:hAnsi="標楷體" w:hint="eastAsia"/>
          <w:szCs w:val="22"/>
        </w:rPr>
        <w:t>涅槃</w:t>
      </w:r>
      <w:r>
        <w:rPr>
          <w:rFonts w:ascii="標楷體" w:eastAsia="標楷體" w:hAnsi="標楷體" w:hint="eastAsia"/>
          <w:bCs/>
          <w:color w:val="FF0000"/>
          <w:kern w:val="0"/>
          <w:highlight w:val="yellow"/>
        </w:rPr>
        <w:t>」</w:t>
      </w:r>
      <w:r w:rsidRPr="00043A1E">
        <w:rPr>
          <w:rFonts w:ascii="標楷體" w:eastAsia="標楷體" w:hAnsi="標楷體" w:hint="eastAsia"/>
          <w:szCs w:val="22"/>
        </w:rPr>
        <w:t>。</w:t>
      </w:r>
    </w:p>
    <w:p w:rsidR="00BC5E25" w:rsidRDefault="00BC5E25" w:rsidP="00BC5E25">
      <w:pPr>
        <w:pStyle w:val="a5"/>
        <w:ind w:leftChars="300" w:left="1160" w:hangingChars="200" w:hanging="440"/>
        <w:jc w:val="both"/>
        <w:rPr>
          <w:rFonts w:ascii="標楷體" w:eastAsia="標楷體" w:hAnsi="標楷體"/>
          <w:szCs w:val="22"/>
        </w:rPr>
      </w:pPr>
      <w:r w:rsidRPr="00043A1E">
        <w:rPr>
          <w:rFonts w:ascii="標楷體" w:eastAsia="標楷體" w:hAnsi="標楷體" w:hint="eastAsia"/>
          <w:b/>
          <w:szCs w:val="22"/>
        </w:rPr>
        <w:t>三、無餘依涅槃</w:t>
      </w:r>
      <w:r>
        <w:rPr>
          <w:rFonts w:ascii="標楷體" w:eastAsia="標楷體" w:hAnsi="標楷體" w:hint="eastAsia"/>
          <w:color w:val="FF0000"/>
          <w:kern w:val="0"/>
          <w:highlight w:val="yellow"/>
        </w:rPr>
        <w:t>，</w:t>
      </w:r>
      <w:r w:rsidRPr="00043A1E">
        <w:rPr>
          <w:rFonts w:ascii="標楷體" w:eastAsia="標楷體" w:hAnsi="標楷體" w:hint="eastAsia"/>
          <w:szCs w:val="22"/>
        </w:rPr>
        <w:t>謂即真如出生死苦，煩惱既盡</w:t>
      </w:r>
      <w:r>
        <w:rPr>
          <w:rFonts w:ascii="標楷體" w:eastAsia="標楷體" w:hAnsi="標楷體" w:hint="eastAsia"/>
          <w:color w:val="FF0000"/>
          <w:kern w:val="0"/>
          <w:highlight w:val="yellow"/>
        </w:rPr>
        <w:t>，</w:t>
      </w:r>
      <w:r w:rsidRPr="00043A1E">
        <w:rPr>
          <w:rFonts w:ascii="標楷體" w:eastAsia="標楷體" w:hAnsi="標楷體" w:hint="eastAsia"/>
          <w:szCs w:val="22"/>
        </w:rPr>
        <w:t>餘依亦滅，眾苦永寂</w:t>
      </w:r>
      <w:r>
        <w:rPr>
          <w:rFonts w:ascii="標楷體" w:eastAsia="標楷體" w:hAnsi="標楷體" w:hint="eastAsia"/>
          <w:color w:val="FF0000"/>
          <w:kern w:val="0"/>
          <w:highlight w:val="yellow"/>
        </w:rPr>
        <w:t>，</w:t>
      </w:r>
      <w:r w:rsidRPr="00043A1E">
        <w:rPr>
          <w:rFonts w:ascii="標楷體" w:eastAsia="標楷體" w:hAnsi="標楷體" w:hint="eastAsia"/>
          <w:szCs w:val="22"/>
        </w:rPr>
        <w:t>故名</w:t>
      </w:r>
      <w:r>
        <w:rPr>
          <w:rFonts w:ascii="標楷體" w:eastAsia="標楷體" w:hAnsi="標楷體" w:hint="eastAsia"/>
          <w:bCs/>
          <w:color w:val="FF0000"/>
          <w:kern w:val="0"/>
          <w:highlight w:val="yellow"/>
        </w:rPr>
        <w:t>「</w:t>
      </w:r>
      <w:r w:rsidRPr="00043A1E">
        <w:rPr>
          <w:rFonts w:ascii="標楷體" w:eastAsia="標楷體" w:hAnsi="標楷體" w:hint="eastAsia"/>
          <w:szCs w:val="22"/>
        </w:rPr>
        <w:t>涅槃</w:t>
      </w:r>
      <w:r>
        <w:rPr>
          <w:rFonts w:ascii="標楷體" w:eastAsia="標楷體" w:hAnsi="標楷體" w:hint="eastAsia"/>
          <w:bCs/>
          <w:color w:val="FF0000"/>
          <w:kern w:val="0"/>
          <w:highlight w:val="yellow"/>
        </w:rPr>
        <w:t>」</w:t>
      </w:r>
      <w:r w:rsidRPr="00043A1E">
        <w:rPr>
          <w:rFonts w:ascii="標楷體" w:eastAsia="標楷體" w:hAnsi="標楷體" w:hint="eastAsia"/>
          <w:szCs w:val="22"/>
        </w:rPr>
        <w:t>。</w:t>
      </w:r>
    </w:p>
    <w:p w:rsidR="00BC5E25" w:rsidRPr="00043A1E" w:rsidRDefault="00BC5E25" w:rsidP="00BC5E25">
      <w:pPr>
        <w:pStyle w:val="a5"/>
        <w:ind w:leftChars="300" w:left="1160" w:hangingChars="200" w:hanging="440"/>
        <w:jc w:val="both"/>
        <w:rPr>
          <w:szCs w:val="22"/>
        </w:rPr>
      </w:pPr>
      <w:r w:rsidRPr="00043A1E">
        <w:rPr>
          <w:rFonts w:ascii="標楷體" w:eastAsia="標楷體" w:hAnsi="標楷體" w:hint="eastAsia"/>
          <w:b/>
          <w:szCs w:val="22"/>
        </w:rPr>
        <w:t>四、無住處涅槃</w:t>
      </w:r>
      <w:r>
        <w:rPr>
          <w:rFonts w:ascii="標楷體" w:eastAsia="標楷體" w:hAnsi="標楷體" w:hint="eastAsia"/>
          <w:color w:val="FF0000"/>
          <w:kern w:val="0"/>
          <w:highlight w:val="yellow"/>
        </w:rPr>
        <w:t>，</w:t>
      </w:r>
      <w:r w:rsidRPr="00043A1E">
        <w:rPr>
          <w:rFonts w:ascii="標楷體" w:eastAsia="標楷體" w:hAnsi="標楷體" w:hint="eastAsia"/>
          <w:szCs w:val="22"/>
        </w:rPr>
        <w:t>謂即真如出所知障，大悲</w:t>
      </w:r>
      <w:r>
        <w:rPr>
          <w:rFonts w:ascii="標楷體" w:eastAsia="標楷體" w:hAnsi="標楷體" w:hint="eastAsia"/>
          <w:color w:val="FF0000"/>
          <w:spacing w:val="-4"/>
          <w:kern w:val="0"/>
          <w:highlight w:val="yellow"/>
        </w:rPr>
        <w:t>、</w:t>
      </w:r>
      <w:r w:rsidRPr="00043A1E">
        <w:rPr>
          <w:rFonts w:ascii="標楷體" w:eastAsia="標楷體" w:hAnsi="標楷體" w:hint="eastAsia"/>
          <w:szCs w:val="22"/>
        </w:rPr>
        <w:t>般若常所輔翼，由斯不住生死、涅槃，利樂有情，窮未來際，用而常寂，故名</w:t>
      </w:r>
      <w:r>
        <w:rPr>
          <w:rFonts w:ascii="標楷體" w:eastAsia="標楷體" w:hAnsi="標楷體" w:hint="eastAsia"/>
          <w:bCs/>
          <w:color w:val="FF0000"/>
          <w:kern w:val="0"/>
          <w:highlight w:val="yellow"/>
        </w:rPr>
        <w:t>「</w:t>
      </w:r>
      <w:r w:rsidRPr="00043A1E">
        <w:rPr>
          <w:rFonts w:ascii="標楷體" w:eastAsia="標楷體" w:hAnsi="標楷體" w:hint="eastAsia"/>
          <w:szCs w:val="22"/>
        </w:rPr>
        <w:t>涅槃</w:t>
      </w:r>
      <w:r>
        <w:rPr>
          <w:rFonts w:ascii="標楷體" w:eastAsia="標楷體" w:hAnsi="標楷體" w:hint="eastAsia"/>
          <w:bCs/>
          <w:color w:val="FF0000"/>
          <w:kern w:val="0"/>
          <w:highlight w:val="yellow"/>
        </w:rPr>
        <w:t>」</w:t>
      </w:r>
      <w:r w:rsidRPr="00BB10BA">
        <w:rPr>
          <w:rFonts w:ascii="標楷體" w:eastAsia="標楷體" w:hAnsi="標楷體" w:hint="eastAsia"/>
          <w:szCs w:val="22"/>
          <w:highlight w:val="yellow"/>
        </w:rPr>
        <w:t>。</w:t>
      </w:r>
    </w:p>
  </w:footnote>
  <w:footnote w:id="866">
    <w:p w:rsidR="00157EF6" w:rsidRPr="00043A1E" w:rsidRDefault="00157EF6" w:rsidP="00AA120F">
      <w:pPr>
        <w:pStyle w:val="a5"/>
        <w:spacing w:line="300" w:lineRule="exact"/>
        <w:ind w:left="726" w:hangingChars="330" w:hanging="726"/>
        <w:jc w:val="both"/>
        <w:rPr>
          <w:rFonts w:eastAsia="細明體"/>
          <w:szCs w:val="22"/>
        </w:rPr>
      </w:pPr>
      <w:r w:rsidRPr="00043A1E">
        <w:rPr>
          <w:rStyle w:val="a6"/>
          <w:szCs w:val="22"/>
        </w:rPr>
        <w:footnoteRef/>
      </w:r>
      <w:r w:rsidRPr="00043A1E">
        <w:rPr>
          <w:rFonts w:eastAsia="細明體" w:hint="eastAsia"/>
          <w:szCs w:val="22"/>
        </w:rPr>
        <w:t xml:space="preserve"> </w:t>
      </w:r>
      <w:r w:rsidRPr="00043A1E">
        <w:rPr>
          <w:rFonts w:eastAsia="細明體" w:hint="eastAsia"/>
          <w:szCs w:val="22"/>
        </w:rPr>
        <w:t>（</w:t>
      </w:r>
      <w:r w:rsidRPr="00761EF3">
        <w:rPr>
          <w:rFonts w:eastAsia="細明體" w:hint="eastAsia"/>
          <w:szCs w:val="22"/>
        </w:rPr>
        <w:t>1</w:t>
      </w:r>
      <w:r w:rsidRPr="00043A1E">
        <w:rPr>
          <w:rFonts w:eastAsia="細明體" w:hint="eastAsia"/>
          <w:szCs w:val="22"/>
        </w:rPr>
        <w:t>）</w:t>
      </w:r>
      <w:r w:rsidRPr="00043A1E">
        <w:rPr>
          <w:szCs w:val="22"/>
        </w:rPr>
        <w:t>種現</w:t>
      </w:r>
      <w:r w:rsidRPr="00043A1E">
        <w:rPr>
          <w:rFonts w:hint="eastAsia"/>
          <w:szCs w:val="22"/>
        </w:rPr>
        <w:t>熏</w:t>
      </w:r>
      <w:r w:rsidRPr="00043A1E">
        <w:rPr>
          <w:szCs w:val="22"/>
        </w:rPr>
        <w:t>生</w:t>
      </w:r>
      <w:r w:rsidRPr="00043A1E">
        <w:rPr>
          <w:rFonts w:hint="eastAsia"/>
          <w:szCs w:val="22"/>
        </w:rPr>
        <w:t>：種子生現行，現行熏種子。</w:t>
      </w:r>
    </w:p>
    <w:p w:rsidR="00157EF6" w:rsidRPr="00043A1E" w:rsidRDefault="00157EF6" w:rsidP="00AA120F">
      <w:pPr>
        <w:pStyle w:val="a5"/>
        <w:spacing w:line="300" w:lineRule="exact"/>
        <w:ind w:leftChars="80" w:left="731" w:hangingChars="245" w:hanging="539"/>
        <w:jc w:val="both"/>
        <w:rPr>
          <w:szCs w:val="22"/>
        </w:rPr>
      </w:pPr>
      <w:r w:rsidRPr="00043A1E">
        <w:rPr>
          <w:rFonts w:eastAsia="細明體" w:hint="eastAsia"/>
          <w:szCs w:val="22"/>
        </w:rPr>
        <w:t>（</w:t>
      </w:r>
      <w:r w:rsidRPr="00761EF3">
        <w:rPr>
          <w:rFonts w:eastAsia="細明體" w:hint="eastAsia"/>
          <w:szCs w:val="22"/>
        </w:rPr>
        <w:t>2</w:t>
      </w:r>
      <w:r w:rsidRPr="00043A1E">
        <w:rPr>
          <w:rFonts w:eastAsia="細明體" w:hint="eastAsia"/>
          <w:szCs w:val="22"/>
        </w:rPr>
        <w:t>）</w:t>
      </w:r>
      <w:r w:rsidR="009160B5">
        <w:rPr>
          <w:rFonts w:eastAsia="細明體" w:hint="eastAsia"/>
          <w:szCs w:val="22"/>
        </w:rPr>
        <w:t>參見：印</w:t>
      </w:r>
      <w:r w:rsidRPr="00043A1E">
        <w:rPr>
          <w:rFonts w:hint="eastAsia"/>
          <w:szCs w:val="22"/>
        </w:rPr>
        <w:t>順法師，《中觀今論》，第</w:t>
      </w:r>
      <w:r w:rsidRPr="00761EF3">
        <w:rPr>
          <w:rFonts w:hint="eastAsia"/>
          <w:szCs w:val="22"/>
        </w:rPr>
        <w:t>6</w:t>
      </w:r>
      <w:r w:rsidRPr="00043A1E">
        <w:rPr>
          <w:rFonts w:hint="eastAsia"/>
          <w:szCs w:val="22"/>
        </w:rPr>
        <w:t>章，第</w:t>
      </w:r>
      <w:r w:rsidR="00943A9B" w:rsidRPr="00943A9B">
        <w:rPr>
          <w:rFonts w:hint="eastAsia"/>
          <w:color w:val="FF0000"/>
          <w:szCs w:val="22"/>
          <w:highlight w:val="yellow"/>
        </w:rPr>
        <w:t>2</w:t>
      </w:r>
      <w:r w:rsidRPr="00043A1E">
        <w:rPr>
          <w:rFonts w:hint="eastAsia"/>
          <w:szCs w:val="22"/>
        </w:rPr>
        <w:t>節〈不〉，</w:t>
      </w:r>
      <w:r w:rsidRPr="00761EF3">
        <w:rPr>
          <w:szCs w:val="22"/>
        </w:rPr>
        <w:t>pp</w:t>
      </w:r>
      <w:r w:rsidRPr="00043A1E">
        <w:rPr>
          <w:szCs w:val="22"/>
        </w:rPr>
        <w:t>.</w:t>
      </w:r>
      <w:r w:rsidRPr="00761EF3">
        <w:rPr>
          <w:szCs w:val="22"/>
        </w:rPr>
        <w:t>106</w:t>
      </w:r>
      <w:r w:rsidRPr="00043A1E">
        <w:rPr>
          <w:szCs w:val="22"/>
        </w:rPr>
        <w:t>-</w:t>
      </w:r>
      <w:r w:rsidRPr="00761EF3">
        <w:rPr>
          <w:szCs w:val="22"/>
        </w:rPr>
        <w:t>107</w:t>
      </w:r>
      <w:r w:rsidRPr="00043A1E">
        <w:rPr>
          <w:rFonts w:hint="eastAsia"/>
          <w:szCs w:val="22"/>
        </w:rPr>
        <w:t>：</w:t>
      </w:r>
    </w:p>
    <w:p w:rsidR="00157EF6" w:rsidRPr="00043A1E" w:rsidRDefault="00157EF6" w:rsidP="00AA120F">
      <w:pPr>
        <w:pStyle w:val="a5"/>
        <w:spacing w:line="300" w:lineRule="exact"/>
        <w:ind w:leftChars="305" w:left="732"/>
        <w:jc w:val="both"/>
        <w:rPr>
          <w:rFonts w:eastAsia="標楷體"/>
          <w:szCs w:val="22"/>
        </w:rPr>
      </w:pPr>
      <w:r w:rsidRPr="00043A1E">
        <w:rPr>
          <w:rFonts w:eastAsia="標楷體" w:hint="eastAsia"/>
          <w:b/>
          <w:szCs w:val="22"/>
        </w:rPr>
        <w:t>阿賴耶識的受熏持種說</w:t>
      </w:r>
      <w:r w:rsidRPr="00043A1E">
        <w:rPr>
          <w:rFonts w:eastAsia="標楷體" w:hint="eastAsia"/>
          <w:szCs w:val="22"/>
        </w:rPr>
        <w:t>，是屬於現在實有論</w:t>
      </w:r>
      <w:r w:rsidRPr="00043A1E">
        <w:rPr>
          <w:rFonts w:ascii="新細明體" w:hAnsi="新細明體"/>
          <w:szCs w:val="22"/>
        </w:rPr>
        <w:t>──</w:t>
      </w:r>
      <w:r w:rsidRPr="00043A1E">
        <w:rPr>
          <w:rFonts w:eastAsia="標楷體" w:hint="eastAsia"/>
          <w:szCs w:val="22"/>
        </w:rPr>
        <w:t>過未無體論的立場，唯是現在，但可假說有過去、未來。</w:t>
      </w:r>
    </w:p>
    <w:p w:rsidR="00157EF6" w:rsidRPr="00043A1E" w:rsidRDefault="00157EF6" w:rsidP="00AA120F">
      <w:pPr>
        <w:pStyle w:val="a5"/>
        <w:spacing w:line="300" w:lineRule="exact"/>
        <w:ind w:leftChars="305" w:left="732"/>
        <w:jc w:val="both"/>
        <w:rPr>
          <w:rFonts w:eastAsia="標楷體"/>
          <w:szCs w:val="22"/>
        </w:rPr>
      </w:pPr>
      <w:r w:rsidRPr="00043A1E">
        <w:rPr>
          <w:rFonts w:eastAsia="標楷體" w:hint="eastAsia"/>
          <w:szCs w:val="22"/>
        </w:rPr>
        <w:t>例如</w:t>
      </w:r>
      <w:r w:rsidRPr="00043A1E">
        <w:rPr>
          <w:rFonts w:eastAsia="標楷體" w:hint="eastAsia"/>
          <w:b/>
          <w:szCs w:val="22"/>
        </w:rPr>
        <w:t>現在的現行法，是賴耶中的種子所生的</w:t>
      </w:r>
      <w:r w:rsidRPr="00043A1E">
        <w:rPr>
          <w:rFonts w:eastAsia="標楷體" w:hint="eastAsia"/>
          <w:szCs w:val="22"/>
        </w:rPr>
        <w:t>，而此所因的種子，曾受從前的熏習，所以說有過去，說從過去因而有現在果。</w:t>
      </w:r>
    </w:p>
    <w:p w:rsidR="007A486C" w:rsidRDefault="00157EF6" w:rsidP="00AA120F">
      <w:pPr>
        <w:pStyle w:val="a5"/>
        <w:spacing w:line="300" w:lineRule="exact"/>
        <w:ind w:leftChars="305" w:left="732"/>
        <w:jc w:val="both"/>
        <w:rPr>
          <w:rFonts w:eastAsia="標楷體"/>
          <w:szCs w:val="22"/>
        </w:rPr>
      </w:pPr>
      <w:r w:rsidRPr="00043A1E">
        <w:rPr>
          <w:rFonts w:eastAsia="標楷體" w:hint="eastAsia"/>
          <w:b/>
          <w:szCs w:val="22"/>
        </w:rPr>
        <w:t>現在的現行，又熏為賴耶的種子</w:t>
      </w:r>
      <w:r w:rsidRPr="00043A1E">
        <w:rPr>
          <w:rFonts w:eastAsia="標楷體" w:hint="eastAsia"/>
          <w:szCs w:val="22"/>
        </w:rPr>
        <w:t>，可以成熟而生未來果，所以說有未來，說現在為因而有未來果。</w:t>
      </w:r>
    </w:p>
    <w:p w:rsidR="00157EF6" w:rsidRPr="00043A1E" w:rsidRDefault="00157EF6" w:rsidP="00AA120F">
      <w:pPr>
        <w:pStyle w:val="a5"/>
        <w:spacing w:line="300" w:lineRule="exact"/>
        <w:ind w:leftChars="305" w:left="732"/>
        <w:jc w:val="both"/>
        <w:rPr>
          <w:rFonts w:eastAsia="標楷體"/>
          <w:szCs w:val="22"/>
        </w:rPr>
      </w:pPr>
      <w:r w:rsidRPr="007A486C">
        <w:rPr>
          <w:rFonts w:eastAsia="標楷體" w:hint="eastAsia"/>
          <w:szCs w:val="22"/>
          <w:highlight w:val="yellow"/>
        </w:rPr>
        <w:t>謝</w:t>
      </w:r>
      <w:r w:rsidRPr="00043A1E">
        <w:rPr>
          <w:rFonts w:eastAsia="標楷體" w:hint="eastAsia"/>
          <w:szCs w:val="22"/>
        </w:rPr>
        <w:t>入過去而實轉化到現在，存在現在而可引發於未來，過去、未來都以現在為本位而說明。</w:t>
      </w:r>
    </w:p>
    <w:p w:rsidR="00157EF6" w:rsidRPr="00A06E2A" w:rsidRDefault="00157EF6" w:rsidP="00AE3920">
      <w:pPr>
        <w:pStyle w:val="a5"/>
        <w:spacing w:beforeLines="20" w:line="300" w:lineRule="exact"/>
        <w:ind w:leftChars="305" w:left="732"/>
        <w:jc w:val="both"/>
        <w:rPr>
          <w:rFonts w:eastAsia="標楷體"/>
          <w:szCs w:val="22"/>
        </w:rPr>
      </w:pPr>
      <w:r w:rsidRPr="00A06E2A">
        <w:rPr>
          <w:rFonts w:eastAsia="標楷體" w:hint="eastAsia"/>
          <w:szCs w:val="22"/>
        </w:rPr>
        <w:t>這雖可約現行說，而約阿賴耶識的種生現、現生種的種現相生，能說明三世的因果不斷。然而憑著「恒轉」的阿賴耶，果真能成立因果的不斷嗎？</w:t>
      </w:r>
    </w:p>
    <w:p w:rsidR="00157EF6" w:rsidRPr="00043A1E" w:rsidRDefault="00157EF6" w:rsidP="00AA120F">
      <w:pPr>
        <w:pStyle w:val="a5"/>
        <w:spacing w:line="300" w:lineRule="exact"/>
        <w:ind w:leftChars="305" w:left="732"/>
        <w:jc w:val="both"/>
        <w:rPr>
          <w:szCs w:val="22"/>
        </w:rPr>
      </w:pPr>
      <w:r w:rsidRPr="00A06E2A">
        <w:rPr>
          <w:rFonts w:eastAsia="標楷體" w:hint="eastAsia"/>
          <w:b/>
          <w:szCs w:val="22"/>
        </w:rPr>
        <w:t>唯識者</w:t>
      </w:r>
      <w:r w:rsidRPr="00043A1E">
        <w:rPr>
          <w:rFonts w:eastAsia="標楷體" w:hint="eastAsia"/>
          <w:b/>
          <w:szCs w:val="22"/>
        </w:rPr>
        <w:t>說：以恒轉阿賴耶為攝持，成立因果的三法同時說。</w:t>
      </w:r>
      <w:r w:rsidRPr="00043A1E">
        <w:rPr>
          <w:rFonts w:eastAsia="標楷體" w:hint="eastAsia"/>
          <w:szCs w:val="22"/>
        </w:rPr>
        <w:t>如眼識種子生滅生滅的相續流來，起眼識現行時，能生種子與所生現行，是同時的。眼識現行的剎那，同時又熏成眼識種子，能熏所熏也是同時的。</w:t>
      </w:r>
      <w:r w:rsidRPr="00043A1E">
        <w:rPr>
          <w:rFonts w:eastAsia="標楷體" w:hint="eastAsia"/>
          <w:b/>
          <w:szCs w:val="22"/>
        </w:rPr>
        <w:t>從第一者的本種，生第二者的現行；依第二者的現行，又生第三者的新種。</w:t>
      </w:r>
      <w:r w:rsidRPr="00043A1E">
        <w:rPr>
          <w:rFonts w:eastAsia="標楷體" w:hint="eastAsia"/>
          <w:szCs w:val="22"/>
        </w:rPr>
        <w:t>如說：「能熏識等從種生時，即能為因復熏成種，三法展轉，因果同時。」這樣的三法同時，即唯識者的因緣說，而企圖以此建立因果不斷的。</w:t>
      </w:r>
    </w:p>
  </w:footnote>
  <w:footnote w:id="867">
    <w:p w:rsidR="00157EF6" w:rsidRPr="00043A1E" w:rsidRDefault="00157EF6" w:rsidP="00AA120F">
      <w:pPr>
        <w:pStyle w:val="a5"/>
        <w:spacing w:line="0" w:lineRule="atLeast"/>
        <w:ind w:left="253" w:hangingChars="115" w:hanging="253"/>
        <w:jc w:val="both"/>
        <w:rPr>
          <w:rFonts w:eastAsia="SimSun"/>
          <w:szCs w:val="22"/>
        </w:rPr>
      </w:pPr>
      <w:r w:rsidRPr="00043A1E">
        <w:rPr>
          <w:rStyle w:val="a6"/>
          <w:szCs w:val="22"/>
        </w:rPr>
        <w:footnoteRef/>
      </w:r>
      <w:r w:rsidRPr="00043A1E">
        <w:rPr>
          <w:szCs w:val="22"/>
        </w:rPr>
        <w:t xml:space="preserve"> </w:t>
      </w:r>
      <w:r w:rsidRPr="00043A1E">
        <w:rPr>
          <w:szCs w:val="22"/>
        </w:rPr>
        <w:t>印順法師</w:t>
      </w:r>
      <w:r w:rsidRPr="00043A1E">
        <w:rPr>
          <w:rFonts w:hint="eastAsia"/>
          <w:szCs w:val="22"/>
        </w:rPr>
        <w:t>，</w:t>
      </w:r>
      <w:r w:rsidRPr="00043A1E">
        <w:rPr>
          <w:szCs w:val="22"/>
        </w:rPr>
        <w:t>《佛法是救世之光》</w:t>
      </w:r>
      <w:r w:rsidRPr="00043A1E">
        <w:rPr>
          <w:rFonts w:hint="eastAsia"/>
          <w:szCs w:val="22"/>
        </w:rPr>
        <w:t>，</w:t>
      </w:r>
      <w:r w:rsidRPr="00043A1E">
        <w:rPr>
          <w:szCs w:val="22"/>
        </w:rPr>
        <w:t>〈大乘空義〉</w:t>
      </w:r>
      <w:r w:rsidRPr="00043A1E">
        <w:rPr>
          <w:rFonts w:hint="eastAsia"/>
          <w:szCs w:val="22"/>
        </w:rPr>
        <w:t>，</w:t>
      </w:r>
      <w:r w:rsidRPr="00761EF3">
        <w:rPr>
          <w:szCs w:val="22"/>
        </w:rPr>
        <w:t>pp</w:t>
      </w:r>
      <w:r w:rsidRPr="00043A1E">
        <w:rPr>
          <w:szCs w:val="22"/>
        </w:rPr>
        <w:t>.</w:t>
      </w:r>
      <w:r w:rsidRPr="00761EF3">
        <w:rPr>
          <w:szCs w:val="22"/>
        </w:rPr>
        <w:t>185</w:t>
      </w:r>
      <w:r w:rsidRPr="00043A1E">
        <w:rPr>
          <w:szCs w:val="22"/>
        </w:rPr>
        <w:t>-</w:t>
      </w:r>
      <w:r w:rsidRPr="00761EF3">
        <w:rPr>
          <w:szCs w:val="22"/>
        </w:rPr>
        <w:t>186</w:t>
      </w:r>
      <w:r w:rsidRPr="00043A1E">
        <w:rPr>
          <w:szCs w:val="22"/>
        </w:rPr>
        <w:t>：</w:t>
      </w:r>
    </w:p>
    <w:p w:rsidR="00157EF6" w:rsidRPr="00043A1E" w:rsidRDefault="00157EF6" w:rsidP="00AA120F">
      <w:pPr>
        <w:snapToGrid w:val="0"/>
        <w:ind w:leftChars="105" w:left="252"/>
        <w:jc w:val="both"/>
        <w:rPr>
          <w:rFonts w:ascii="標楷體" w:eastAsia="標楷體" w:hAnsi="標楷體"/>
          <w:sz w:val="22"/>
          <w:szCs w:val="22"/>
        </w:rPr>
      </w:pPr>
      <w:r w:rsidRPr="00043A1E">
        <w:rPr>
          <w:rFonts w:ascii="標楷體" w:eastAsia="標楷體" w:hAnsi="標楷體"/>
          <w:sz w:val="22"/>
          <w:szCs w:val="22"/>
        </w:rPr>
        <w:t>如天臺</w:t>
      </w:r>
      <w:r w:rsidRPr="00043A1E">
        <w:rPr>
          <w:rFonts w:ascii="標楷體" w:eastAsia="標楷體" w:hAnsi="標楷體" w:hint="eastAsia"/>
          <w:sz w:val="22"/>
          <w:szCs w:val="22"/>
        </w:rPr>
        <w:t>、</w:t>
      </w:r>
      <w:r w:rsidRPr="00043A1E">
        <w:rPr>
          <w:rFonts w:ascii="標楷體" w:eastAsia="標楷體" w:hAnsi="標楷體"/>
          <w:sz w:val="22"/>
          <w:szCs w:val="22"/>
        </w:rPr>
        <w:t>賢首</w:t>
      </w:r>
      <w:r w:rsidRPr="00043A1E">
        <w:rPr>
          <w:rFonts w:ascii="標楷體" w:eastAsia="標楷體" w:hAnsi="標楷體" w:hint="eastAsia"/>
          <w:sz w:val="22"/>
          <w:szCs w:val="22"/>
        </w:rPr>
        <w:t>、</w:t>
      </w:r>
      <w:r w:rsidRPr="00043A1E">
        <w:rPr>
          <w:rFonts w:ascii="標楷體" w:eastAsia="標楷體" w:hAnsi="標楷體"/>
          <w:sz w:val="22"/>
          <w:szCs w:val="22"/>
        </w:rPr>
        <w:t>禪宗，著重於法性，都自稱性宗，以圓融見長。從法性平等不二的立場來說，一切事相都為法性所融攝；一切染淨法相，都可說即法性的現起。因此，</w:t>
      </w:r>
      <w:r w:rsidRPr="00043A1E">
        <w:rPr>
          <w:rFonts w:ascii="標楷體" w:eastAsia="標楷體" w:hAnsi="標楷體"/>
          <w:b/>
          <w:sz w:val="22"/>
          <w:szCs w:val="22"/>
        </w:rPr>
        <w:t>天臺宗說「性具」，賢首宗說「性起」，禪宗說「自性能生」</w:t>
      </w:r>
      <w:r w:rsidRPr="00043A1E">
        <w:rPr>
          <w:rFonts w:ascii="標楷體" w:eastAsia="標楷體" w:hAnsi="標楷體"/>
          <w:sz w:val="22"/>
          <w:szCs w:val="22"/>
        </w:rPr>
        <w:t>。一切法，即法性，不異法性，所以不但法性不二，相與性也不二──理事不二。由於理事不二，進一步到達了事與事的不二。這類著重法性的學派，也就自然是著重不異的</w:t>
      </w:r>
      <w:r w:rsidRPr="00043A1E">
        <w:rPr>
          <w:rFonts w:ascii="標楷體" w:eastAsia="標楷體" w:hAnsi="標楷體" w:hint="eastAsia"/>
          <w:sz w:val="22"/>
          <w:szCs w:val="22"/>
        </w:rPr>
        <w:t>。</w:t>
      </w:r>
    </w:p>
  </w:footnote>
  <w:footnote w:id="868">
    <w:p w:rsidR="00943A9B"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w:t>
      </w:r>
      <w:r w:rsidRPr="00043A1E">
        <w:rPr>
          <w:rFonts w:hint="eastAsia"/>
          <w:szCs w:val="22"/>
        </w:rPr>
        <w:t>唐</w:t>
      </w:r>
      <w:r w:rsidRPr="00043A1E">
        <w:rPr>
          <w:szCs w:val="22"/>
        </w:rPr>
        <w:t>〕</w:t>
      </w:r>
      <w:r w:rsidRPr="00043A1E">
        <w:rPr>
          <w:rFonts w:hint="eastAsia"/>
          <w:szCs w:val="22"/>
        </w:rPr>
        <w:t>澄觀撰</w:t>
      </w:r>
      <w:r w:rsidRPr="00043A1E">
        <w:rPr>
          <w:szCs w:val="22"/>
        </w:rPr>
        <w:t>，《大方廣佛華嚴經疏》卷</w:t>
      </w:r>
      <w:r w:rsidRPr="00761EF3">
        <w:rPr>
          <w:szCs w:val="22"/>
        </w:rPr>
        <w:t>18</w:t>
      </w:r>
      <w:r w:rsidRPr="00043A1E">
        <w:rPr>
          <w:szCs w:val="22"/>
        </w:rPr>
        <w:t>〈</w:t>
      </w:r>
      <w:r w:rsidRPr="00761EF3">
        <w:rPr>
          <w:szCs w:val="22"/>
        </w:rPr>
        <w:t>15</w:t>
      </w:r>
      <w:r w:rsidRPr="00043A1E">
        <w:rPr>
          <w:szCs w:val="22"/>
        </w:rPr>
        <w:t xml:space="preserve"> </w:t>
      </w:r>
      <w:r w:rsidRPr="00043A1E">
        <w:rPr>
          <w:szCs w:val="22"/>
        </w:rPr>
        <w:t>十住品〉</w:t>
      </w:r>
      <w:r w:rsidR="00DA73E4" w:rsidRPr="00043A1E">
        <w:rPr>
          <w:rFonts w:hint="eastAsia"/>
          <w:szCs w:val="22"/>
        </w:rPr>
        <w:t>（大正</w:t>
      </w:r>
      <w:r w:rsidR="00DA73E4" w:rsidRPr="00761EF3">
        <w:rPr>
          <w:rFonts w:hint="eastAsia"/>
          <w:szCs w:val="22"/>
        </w:rPr>
        <w:t>35</w:t>
      </w:r>
      <w:r w:rsidR="00DA73E4" w:rsidRPr="00043A1E">
        <w:rPr>
          <w:rFonts w:hint="eastAsia"/>
          <w:szCs w:val="22"/>
        </w:rPr>
        <w:t>，</w:t>
      </w:r>
      <w:r w:rsidR="00DA73E4" w:rsidRPr="00761EF3">
        <w:rPr>
          <w:szCs w:val="22"/>
        </w:rPr>
        <w:t>637c18</w:t>
      </w:r>
      <w:r w:rsidR="00DA73E4" w:rsidRPr="00043A1E">
        <w:rPr>
          <w:szCs w:val="22"/>
        </w:rPr>
        <w:t>-</w:t>
      </w:r>
      <w:r w:rsidR="00DA73E4" w:rsidRPr="00761EF3">
        <w:rPr>
          <w:szCs w:val="22"/>
        </w:rPr>
        <w:t>19</w:t>
      </w:r>
      <w:r w:rsidR="00DA73E4" w:rsidRPr="00043A1E">
        <w:rPr>
          <w:rFonts w:hint="eastAsia"/>
          <w:szCs w:val="22"/>
        </w:rPr>
        <w:t>）</w:t>
      </w:r>
      <w:r w:rsidRPr="00043A1E">
        <w:rPr>
          <w:szCs w:val="22"/>
        </w:rPr>
        <w:t>：</w:t>
      </w:r>
    </w:p>
    <w:p w:rsidR="00157EF6" w:rsidRPr="00043A1E" w:rsidRDefault="00157EF6" w:rsidP="00943A9B">
      <w:pPr>
        <w:pStyle w:val="a5"/>
        <w:spacing w:line="0" w:lineRule="atLeast"/>
        <w:ind w:leftChars="100" w:left="240"/>
        <w:jc w:val="both"/>
        <w:rPr>
          <w:szCs w:val="22"/>
        </w:rPr>
      </w:pPr>
      <w:r w:rsidRPr="00943A9B">
        <w:rPr>
          <w:rFonts w:ascii="標楷體" w:eastAsia="標楷體" w:hAnsi="標楷體"/>
          <w:szCs w:val="22"/>
        </w:rPr>
        <w:t>「</w:t>
      </w:r>
      <w:r w:rsidRPr="00043A1E">
        <w:rPr>
          <w:rFonts w:ascii="標楷體" w:eastAsia="標楷體" w:hAnsi="標楷體"/>
          <w:szCs w:val="22"/>
        </w:rPr>
        <w:t>不思議</w:t>
      </w:r>
      <w:r w:rsidR="00943A9B">
        <w:rPr>
          <w:rFonts w:ascii="標楷體" w:eastAsia="標楷體" w:hAnsi="標楷體" w:hint="eastAsia"/>
          <w:bCs/>
          <w:color w:val="FF0000"/>
          <w:kern w:val="0"/>
          <w:highlight w:val="yellow"/>
        </w:rPr>
        <w:t>」</w:t>
      </w:r>
      <w:r w:rsidRPr="00043A1E">
        <w:rPr>
          <w:rFonts w:ascii="標楷體" w:eastAsia="標楷體" w:hAnsi="標楷體"/>
          <w:szCs w:val="22"/>
        </w:rPr>
        <w:t>者</w:t>
      </w:r>
      <w:r w:rsidRPr="00043A1E">
        <w:rPr>
          <w:rFonts w:ascii="標楷體" w:eastAsia="標楷體" w:hAnsi="標楷體" w:hint="eastAsia"/>
          <w:szCs w:val="22"/>
        </w:rPr>
        <w:t>，</w:t>
      </w:r>
      <w:r w:rsidRPr="00043A1E">
        <w:rPr>
          <w:rFonts w:ascii="標楷體" w:eastAsia="標楷體" w:hAnsi="標楷體"/>
          <w:b/>
          <w:szCs w:val="22"/>
        </w:rPr>
        <w:t>即妄即真</w:t>
      </w:r>
      <w:r w:rsidRPr="00043A1E">
        <w:rPr>
          <w:rFonts w:ascii="標楷體" w:eastAsia="標楷體" w:hAnsi="標楷體" w:hint="eastAsia"/>
          <w:szCs w:val="22"/>
        </w:rPr>
        <w:t>，</w:t>
      </w:r>
      <w:r w:rsidRPr="00043A1E">
        <w:rPr>
          <w:rFonts w:ascii="標楷體" w:eastAsia="標楷體" w:hAnsi="標楷體"/>
          <w:szCs w:val="22"/>
        </w:rPr>
        <w:t>言語道斷</w:t>
      </w:r>
      <w:r w:rsidRPr="00043A1E">
        <w:rPr>
          <w:rFonts w:ascii="標楷體" w:eastAsia="標楷體" w:hAnsi="標楷體" w:hint="eastAsia"/>
          <w:szCs w:val="22"/>
        </w:rPr>
        <w:t>、</w:t>
      </w:r>
      <w:r w:rsidRPr="00043A1E">
        <w:rPr>
          <w:rFonts w:ascii="標楷體" w:eastAsia="標楷體" w:hAnsi="標楷體"/>
          <w:szCs w:val="22"/>
        </w:rPr>
        <w:t>心行處滅故</w:t>
      </w:r>
      <w:r w:rsidRPr="00943A9B">
        <w:rPr>
          <w:rFonts w:ascii="標楷體" w:eastAsia="標楷體" w:hAnsi="標楷體"/>
          <w:szCs w:val="22"/>
          <w:highlight w:val="yellow"/>
        </w:rPr>
        <w:t>。</w:t>
      </w:r>
    </w:p>
  </w:footnote>
  <w:footnote w:id="869">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rFonts w:hint="eastAsia"/>
          <w:szCs w:val="22"/>
        </w:rPr>
        <w:t>（</w:t>
      </w:r>
      <w:r w:rsidRPr="00761EF3">
        <w:rPr>
          <w:rFonts w:hint="eastAsia"/>
          <w:szCs w:val="22"/>
        </w:rPr>
        <w:t>1</w:t>
      </w:r>
      <w:r w:rsidRPr="00043A1E">
        <w:rPr>
          <w:rFonts w:hint="eastAsia"/>
          <w:szCs w:val="22"/>
        </w:rPr>
        <w:t>）</w:t>
      </w:r>
      <w:r w:rsidRPr="00043A1E">
        <w:rPr>
          <w:szCs w:val="22"/>
        </w:rPr>
        <w:t>〔</w:t>
      </w:r>
      <w:r w:rsidRPr="00043A1E">
        <w:rPr>
          <w:rFonts w:hint="eastAsia"/>
          <w:szCs w:val="22"/>
        </w:rPr>
        <w:t>宋</w:t>
      </w:r>
      <w:r w:rsidRPr="00043A1E">
        <w:rPr>
          <w:szCs w:val="22"/>
        </w:rPr>
        <w:t>〕智圓集</w:t>
      </w:r>
      <w:r w:rsidRPr="00043A1E">
        <w:rPr>
          <w:rFonts w:hint="eastAsia"/>
          <w:szCs w:val="22"/>
        </w:rPr>
        <w:t>，《金剛錍顯性錄》卷</w:t>
      </w:r>
      <w:r w:rsidRPr="00761EF3">
        <w:rPr>
          <w:rFonts w:hint="eastAsia"/>
          <w:szCs w:val="22"/>
        </w:rPr>
        <w:t>4</w:t>
      </w:r>
      <w:r w:rsidR="00AD0C81" w:rsidRPr="00043A1E">
        <w:rPr>
          <w:rFonts w:hint="eastAsia"/>
          <w:szCs w:val="22"/>
        </w:rPr>
        <w:t>（</w:t>
      </w:r>
      <w:r w:rsidR="00AD0C81" w:rsidRPr="00043A1E">
        <w:rPr>
          <w:szCs w:val="22"/>
        </w:rPr>
        <w:t>卍</w:t>
      </w:r>
      <w:r w:rsidR="00AD0C81" w:rsidRPr="00043A1E">
        <w:rPr>
          <w:rFonts w:hint="eastAsia"/>
          <w:szCs w:val="22"/>
        </w:rPr>
        <w:t>新</w:t>
      </w:r>
      <w:r w:rsidR="00AD0C81" w:rsidRPr="00043A1E">
        <w:rPr>
          <w:szCs w:val="22"/>
        </w:rPr>
        <w:t>續藏</w:t>
      </w:r>
      <w:r w:rsidR="00AD0C81" w:rsidRPr="00761EF3">
        <w:rPr>
          <w:rFonts w:hint="eastAsia"/>
          <w:szCs w:val="22"/>
        </w:rPr>
        <w:t>56</w:t>
      </w:r>
      <w:r w:rsidR="00AD0C81" w:rsidRPr="00043A1E">
        <w:rPr>
          <w:rFonts w:hint="eastAsia"/>
          <w:szCs w:val="22"/>
        </w:rPr>
        <w:t>，</w:t>
      </w:r>
      <w:r w:rsidR="00AD0C81" w:rsidRPr="00761EF3">
        <w:rPr>
          <w:rFonts w:hint="eastAsia"/>
          <w:szCs w:val="22"/>
        </w:rPr>
        <w:t>550b10</w:t>
      </w:r>
      <w:r w:rsidR="00AD0C81" w:rsidRPr="00043A1E">
        <w:rPr>
          <w:rFonts w:hint="eastAsia"/>
          <w:szCs w:val="22"/>
        </w:rPr>
        <w:t>-</w:t>
      </w:r>
      <w:r w:rsidR="00AD0C81" w:rsidRPr="00761EF3">
        <w:rPr>
          <w:rFonts w:hint="eastAsia"/>
          <w:szCs w:val="22"/>
        </w:rPr>
        <w:t>11</w:t>
      </w:r>
      <w:r w:rsidR="00AD0C81" w:rsidRPr="00043A1E">
        <w:rPr>
          <w:rFonts w:hint="eastAsia"/>
          <w:szCs w:val="22"/>
        </w:rPr>
        <w:t>）</w:t>
      </w:r>
      <w:r w:rsidRPr="00043A1E">
        <w:rPr>
          <w:rFonts w:hint="eastAsia"/>
          <w:szCs w:val="22"/>
        </w:rPr>
        <w:t>：「</w:t>
      </w:r>
      <w:r w:rsidRPr="00043A1E">
        <w:rPr>
          <w:rFonts w:ascii="標楷體" w:eastAsia="標楷體" w:hAnsi="標楷體" w:hint="eastAsia"/>
          <w:szCs w:val="22"/>
        </w:rPr>
        <w:t>事由理變，</w:t>
      </w:r>
      <w:r w:rsidRPr="00043A1E">
        <w:rPr>
          <w:rFonts w:ascii="標楷體" w:eastAsia="標楷體" w:hAnsi="標楷體" w:hint="eastAsia"/>
          <w:b/>
          <w:szCs w:val="22"/>
        </w:rPr>
        <w:t>全事即理</w:t>
      </w:r>
      <w:r w:rsidRPr="00043A1E">
        <w:rPr>
          <w:rFonts w:ascii="標楷體" w:eastAsia="標楷體" w:hAnsi="標楷體" w:hint="eastAsia"/>
          <w:szCs w:val="22"/>
        </w:rPr>
        <w:t>。</w:t>
      </w:r>
      <w:r w:rsidRPr="00043A1E">
        <w:rPr>
          <w:rFonts w:hint="eastAsia"/>
          <w:szCs w:val="22"/>
        </w:rPr>
        <w:t>」</w:t>
      </w:r>
    </w:p>
    <w:p w:rsidR="00157EF6" w:rsidRPr="00043A1E" w:rsidRDefault="00157EF6" w:rsidP="00AA120F">
      <w:pPr>
        <w:pStyle w:val="a5"/>
        <w:ind w:leftChars="105" w:left="791" w:hangingChars="245" w:hanging="539"/>
        <w:jc w:val="both"/>
        <w:rPr>
          <w:rFonts w:eastAsia="SimSun"/>
          <w:szCs w:val="22"/>
        </w:rPr>
      </w:pPr>
      <w:r w:rsidRPr="00043A1E">
        <w:rPr>
          <w:rFonts w:hint="eastAsia"/>
          <w:szCs w:val="22"/>
        </w:rPr>
        <w:t>（</w:t>
      </w:r>
      <w:r w:rsidRPr="00761EF3">
        <w:rPr>
          <w:rFonts w:hint="eastAsia"/>
          <w:szCs w:val="22"/>
        </w:rPr>
        <w:t>2</w:t>
      </w:r>
      <w:r w:rsidRPr="00043A1E">
        <w:rPr>
          <w:rFonts w:hint="eastAsia"/>
          <w:szCs w:val="22"/>
        </w:rPr>
        <w:t>）</w:t>
      </w:r>
      <w:r w:rsidRPr="00043A1E">
        <w:rPr>
          <w:szCs w:val="22"/>
        </w:rPr>
        <w:t>〔</w:t>
      </w:r>
      <w:r w:rsidRPr="00043A1E">
        <w:rPr>
          <w:rFonts w:hint="eastAsia"/>
          <w:szCs w:val="22"/>
        </w:rPr>
        <w:t>明</w:t>
      </w:r>
      <w:r w:rsidRPr="00043A1E">
        <w:rPr>
          <w:szCs w:val="22"/>
        </w:rPr>
        <w:t>〕</w:t>
      </w:r>
      <w:r w:rsidRPr="00043A1E">
        <w:rPr>
          <w:rFonts w:hint="eastAsia"/>
          <w:szCs w:val="22"/>
        </w:rPr>
        <w:t>智旭述，《大乘止觀法門釋要》卷</w:t>
      </w:r>
      <w:r w:rsidRPr="00761EF3">
        <w:rPr>
          <w:szCs w:val="22"/>
        </w:rPr>
        <w:t>1</w:t>
      </w:r>
      <w:r w:rsidR="00AD0C81" w:rsidRPr="00043A1E">
        <w:rPr>
          <w:rFonts w:hint="eastAsia"/>
          <w:szCs w:val="22"/>
        </w:rPr>
        <w:t>（</w:t>
      </w:r>
      <w:r w:rsidR="00AD0C81" w:rsidRPr="00043A1E">
        <w:rPr>
          <w:szCs w:val="22"/>
        </w:rPr>
        <w:t>卍</w:t>
      </w:r>
      <w:r w:rsidR="00AD0C81" w:rsidRPr="00043A1E">
        <w:rPr>
          <w:rFonts w:hint="eastAsia"/>
          <w:szCs w:val="22"/>
        </w:rPr>
        <w:t>新</w:t>
      </w:r>
      <w:r w:rsidR="00AD0C81" w:rsidRPr="00043A1E">
        <w:rPr>
          <w:szCs w:val="22"/>
        </w:rPr>
        <w:t>續藏</w:t>
      </w:r>
      <w:r w:rsidR="00AD0C81" w:rsidRPr="00761EF3">
        <w:rPr>
          <w:rFonts w:hint="eastAsia"/>
          <w:szCs w:val="22"/>
        </w:rPr>
        <w:t>55</w:t>
      </w:r>
      <w:r w:rsidR="00AD0C81" w:rsidRPr="00043A1E">
        <w:rPr>
          <w:rFonts w:hint="eastAsia"/>
          <w:szCs w:val="22"/>
        </w:rPr>
        <w:t>，</w:t>
      </w:r>
      <w:r w:rsidR="00AD0C81" w:rsidRPr="00761EF3">
        <w:rPr>
          <w:rFonts w:hint="eastAsia"/>
          <w:szCs w:val="22"/>
        </w:rPr>
        <w:t>593b10</w:t>
      </w:r>
      <w:r w:rsidR="00AD0C81" w:rsidRPr="00043A1E">
        <w:rPr>
          <w:rFonts w:hint="eastAsia"/>
          <w:szCs w:val="22"/>
        </w:rPr>
        <w:t>-</w:t>
      </w:r>
      <w:r w:rsidR="00AD0C81" w:rsidRPr="00761EF3">
        <w:rPr>
          <w:rFonts w:hint="eastAsia"/>
          <w:szCs w:val="22"/>
        </w:rPr>
        <w:t>15</w:t>
      </w:r>
      <w:r w:rsidR="00AD0C81" w:rsidRPr="00043A1E">
        <w:rPr>
          <w:rFonts w:hint="eastAsia"/>
          <w:szCs w:val="22"/>
        </w:rPr>
        <w:t>）</w:t>
      </w:r>
      <w:r w:rsidRPr="00043A1E">
        <w:rPr>
          <w:rFonts w:hint="eastAsia"/>
          <w:szCs w:val="22"/>
        </w:rPr>
        <w:t>：</w:t>
      </w:r>
    </w:p>
    <w:p w:rsidR="00943A9B" w:rsidRDefault="00157EF6" w:rsidP="00AA120F">
      <w:pPr>
        <w:pStyle w:val="a5"/>
        <w:ind w:leftChars="335" w:left="804"/>
        <w:jc w:val="both"/>
        <w:rPr>
          <w:rFonts w:eastAsia="標楷體"/>
          <w:color w:val="FF0000"/>
          <w:szCs w:val="22"/>
          <w:shd w:val="pct15" w:color="auto" w:fill="FFFFFF"/>
        </w:rPr>
      </w:pPr>
      <w:r w:rsidRPr="00043A1E">
        <w:rPr>
          <w:rFonts w:ascii="標楷體" w:eastAsia="標楷體" w:hAnsi="標楷體" w:hint="eastAsia"/>
          <w:szCs w:val="22"/>
        </w:rPr>
        <w:t>《大佛頂經》所明</w:t>
      </w:r>
      <w:r w:rsidR="00943A9B">
        <w:rPr>
          <w:rFonts w:ascii="標楷體" w:eastAsia="標楷體" w:hAnsi="標楷體" w:hint="eastAsia"/>
          <w:bCs/>
          <w:color w:val="FF0000"/>
          <w:kern w:val="0"/>
          <w:highlight w:val="yellow"/>
        </w:rPr>
        <w:t>「</w:t>
      </w:r>
      <w:r w:rsidRPr="00043A1E">
        <w:rPr>
          <w:rFonts w:ascii="標楷體" w:eastAsia="標楷體" w:hAnsi="標楷體" w:hint="eastAsia"/>
          <w:szCs w:val="22"/>
        </w:rPr>
        <w:t>陰</w:t>
      </w:r>
      <w:r w:rsidR="00943A9B">
        <w:rPr>
          <w:rFonts w:ascii="標楷體" w:eastAsia="標楷體" w:hAnsi="標楷體" w:hint="eastAsia"/>
          <w:color w:val="FF0000"/>
          <w:spacing w:val="-4"/>
          <w:kern w:val="0"/>
          <w:highlight w:val="yellow"/>
        </w:rPr>
        <w:t>、</w:t>
      </w:r>
      <w:r w:rsidRPr="00043A1E">
        <w:rPr>
          <w:rFonts w:ascii="標楷體" w:eastAsia="標楷體" w:hAnsi="標楷體" w:hint="eastAsia"/>
          <w:szCs w:val="22"/>
        </w:rPr>
        <w:t>入</w:t>
      </w:r>
      <w:r w:rsidR="00943A9B">
        <w:rPr>
          <w:rFonts w:ascii="標楷體" w:eastAsia="標楷體" w:hAnsi="標楷體" w:hint="eastAsia"/>
          <w:color w:val="FF0000"/>
          <w:spacing w:val="-4"/>
          <w:kern w:val="0"/>
          <w:highlight w:val="yellow"/>
        </w:rPr>
        <w:t>、</w:t>
      </w:r>
      <w:r w:rsidRPr="00043A1E">
        <w:rPr>
          <w:rFonts w:ascii="標楷體" w:eastAsia="標楷體" w:hAnsi="標楷體" w:hint="eastAsia"/>
          <w:szCs w:val="22"/>
        </w:rPr>
        <w:t>處</w:t>
      </w:r>
      <w:r w:rsidR="00943A9B">
        <w:rPr>
          <w:rFonts w:ascii="標楷體" w:eastAsia="標楷體" w:hAnsi="標楷體" w:hint="eastAsia"/>
          <w:color w:val="FF0000"/>
          <w:spacing w:val="-4"/>
          <w:kern w:val="0"/>
          <w:highlight w:val="yellow"/>
        </w:rPr>
        <w:t>、</w:t>
      </w:r>
      <w:r w:rsidRPr="00043A1E">
        <w:rPr>
          <w:rFonts w:ascii="標楷體" w:eastAsia="標楷體" w:hAnsi="標楷體" w:hint="eastAsia"/>
          <w:szCs w:val="22"/>
        </w:rPr>
        <w:t>界皆</w:t>
      </w:r>
      <w:r w:rsidR="00943A9B">
        <w:rPr>
          <w:rFonts w:ascii="標楷體" w:eastAsia="標楷體" w:hAnsi="標楷體" w:hint="eastAsia"/>
          <w:color w:val="FF0000"/>
          <w:kern w:val="0"/>
          <w:highlight w:val="yellow"/>
        </w:rPr>
        <w:t>『</w:t>
      </w:r>
      <w:r w:rsidRPr="00043A1E">
        <w:rPr>
          <w:rFonts w:ascii="標楷體" w:eastAsia="標楷體" w:hAnsi="標楷體" w:hint="eastAsia"/>
          <w:szCs w:val="22"/>
        </w:rPr>
        <w:t>如來藏</w:t>
      </w:r>
      <w:r w:rsidR="00943A9B">
        <w:rPr>
          <w:rFonts w:ascii="標楷體" w:eastAsia="標楷體" w:hAnsi="標楷體" w:hint="eastAsia"/>
          <w:color w:val="FF0000"/>
          <w:kern w:val="0"/>
          <w:highlight w:val="yellow"/>
        </w:rPr>
        <w:t>』</w:t>
      </w:r>
      <w:r w:rsidR="00943A9B">
        <w:rPr>
          <w:rFonts w:ascii="標楷體" w:eastAsia="標楷體" w:hAnsi="標楷體" w:hint="eastAsia"/>
          <w:bCs/>
          <w:color w:val="FF0000"/>
          <w:kern w:val="0"/>
          <w:highlight w:val="yellow"/>
        </w:rPr>
        <w:t>」</w:t>
      </w:r>
      <w:r w:rsidRPr="00043A1E">
        <w:rPr>
          <w:rFonts w:ascii="標楷體" w:eastAsia="標楷體" w:hAnsi="標楷體" w:hint="eastAsia"/>
          <w:szCs w:val="22"/>
        </w:rPr>
        <w:t>也。</w:t>
      </w:r>
      <w:r w:rsidR="00943A9B" w:rsidRPr="00943A9B">
        <w:rPr>
          <w:rFonts w:eastAsia="標楷體" w:hint="eastAsia"/>
          <w:color w:val="FF0000"/>
          <w:szCs w:val="22"/>
          <w:shd w:val="pct15" w:color="auto" w:fill="FFFFFF"/>
        </w:rPr>
        <w:t>*</w:t>
      </w:r>
    </w:p>
    <w:p w:rsidR="00943A9B" w:rsidRDefault="00157EF6" w:rsidP="00AA120F">
      <w:pPr>
        <w:pStyle w:val="a5"/>
        <w:ind w:leftChars="335" w:left="804"/>
        <w:jc w:val="both"/>
        <w:rPr>
          <w:rFonts w:ascii="標楷體" w:eastAsia="標楷體" w:hAnsi="標楷體"/>
          <w:szCs w:val="22"/>
        </w:rPr>
      </w:pPr>
      <w:r w:rsidRPr="00043A1E">
        <w:rPr>
          <w:rFonts w:ascii="標楷體" w:eastAsia="標楷體" w:hAnsi="標楷體" w:hint="eastAsia"/>
          <w:szCs w:val="22"/>
        </w:rPr>
        <w:t>今言</w:t>
      </w:r>
      <w:r w:rsidR="00943A9B">
        <w:rPr>
          <w:rFonts w:ascii="標楷體" w:eastAsia="標楷體" w:hAnsi="標楷體" w:hint="eastAsia"/>
          <w:color w:val="FF0000"/>
          <w:spacing w:val="-4"/>
          <w:kern w:val="0"/>
          <w:highlight w:val="yellow"/>
        </w:rPr>
        <w:t>：</w:t>
      </w:r>
      <w:r w:rsidR="00943A9B">
        <w:rPr>
          <w:rFonts w:ascii="標楷體" w:eastAsia="標楷體" w:hAnsi="標楷體" w:hint="eastAsia"/>
          <w:bCs/>
          <w:color w:val="FF0000"/>
          <w:kern w:val="0"/>
          <w:highlight w:val="yellow"/>
        </w:rPr>
        <w:t>「</w:t>
      </w:r>
      <w:r w:rsidRPr="00043A1E">
        <w:rPr>
          <w:rFonts w:ascii="標楷體" w:eastAsia="標楷體" w:hAnsi="標楷體" w:hint="eastAsia"/>
          <w:szCs w:val="22"/>
        </w:rPr>
        <w:t>雖知本不生、今不滅</w:t>
      </w:r>
      <w:r w:rsidR="00943A9B">
        <w:rPr>
          <w:rFonts w:ascii="標楷體" w:eastAsia="標楷體" w:hAnsi="標楷體" w:hint="eastAsia"/>
          <w:bCs/>
          <w:color w:val="FF0000"/>
          <w:kern w:val="0"/>
          <w:highlight w:val="yellow"/>
        </w:rPr>
        <w:t>」</w:t>
      </w:r>
      <w:r w:rsidRPr="00043A1E">
        <w:rPr>
          <w:rFonts w:ascii="標楷體" w:eastAsia="標楷體" w:hAnsi="標楷體" w:hint="eastAsia"/>
          <w:szCs w:val="22"/>
        </w:rPr>
        <w:t>，即牒上文。</w:t>
      </w:r>
      <w:r w:rsidRPr="00043A1E">
        <w:rPr>
          <w:rFonts w:ascii="標楷體" w:eastAsia="標楷體" w:hAnsi="標楷體" w:hint="eastAsia"/>
          <w:b/>
          <w:szCs w:val="22"/>
        </w:rPr>
        <w:t>全事即理</w:t>
      </w:r>
      <w:r w:rsidRPr="00043A1E">
        <w:rPr>
          <w:rFonts w:ascii="標楷體" w:eastAsia="標楷體" w:hAnsi="標楷體" w:hint="eastAsia"/>
          <w:szCs w:val="22"/>
        </w:rPr>
        <w:t>言之，所謂</w:t>
      </w:r>
      <w:r w:rsidR="00943A9B">
        <w:rPr>
          <w:rFonts w:ascii="標楷體" w:eastAsia="標楷體" w:hAnsi="標楷體" w:hint="eastAsia"/>
          <w:bCs/>
          <w:color w:val="FF0000"/>
          <w:kern w:val="0"/>
          <w:highlight w:val="yellow"/>
        </w:rPr>
        <w:t>「</w:t>
      </w:r>
      <w:r w:rsidRPr="00043A1E">
        <w:rPr>
          <w:rFonts w:ascii="標楷體" w:eastAsia="標楷體" w:hAnsi="標楷體" w:hint="eastAsia"/>
          <w:szCs w:val="22"/>
        </w:rPr>
        <w:t>隨緣即不變</w:t>
      </w:r>
      <w:r w:rsidR="00943A9B">
        <w:rPr>
          <w:rFonts w:ascii="標楷體" w:eastAsia="標楷體" w:hAnsi="標楷體" w:hint="eastAsia"/>
          <w:bCs/>
          <w:color w:val="FF0000"/>
          <w:kern w:val="0"/>
          <w:highlight w:val="yellow"/>
        </w:rPr>
        <w:t>」</w:t>
      </w:r>
      <w:r w:rsidRPr="00043A1E">
        <w:rPr>
          <w:rFonts w:ascii="標楷體" w:eastAsia="標楷體" w:hAnsi="標楷體" w:hint="eastAsia"/>
          <w:szCs w:val="22"/>
        </w:rPr>
        <w:t>也。</w:t>
      </w:r>
    </w:p>
    <w:p w:rsidR="00157EF6" w:rsidRDefault="00943A9B" w:rsidP="00AA120F">
      <w:pPr>
        <w:pStyle w:val="a5"/>
        <w:ind w:leftChars="335" w:left="804"/>
        <w:jc w:val="both"/>
        <w:rPr>
          <w:rFonts w:ascii="標楷體" w:eastAsia="標楷體" w:hAnsi="標楷體"/>
          <w:szCs w:val="22"/>
        </w:rPr>
      </w:pP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而以心性緣起不無虗妄世用，猶如幻</w:t>
      </w:r>
      <w:r>
        <w:rPr>
          <w:rFonts w:ascii="標楷體" w:eastAsia="標楷體" w:hAnsi="標楷體" w:hint="eastAsia"/>
          <w:color w:val="FF0000"/>
          <w:kern w:val="0"/>
          <w:highlight w:val="yellow"/>
        </w:rPr>
        <w:t>.</w:t>
      </w:r>
      <w:r w:rsidR="00157EF6" w:rsidRPr="00043A1E">
        <w:rPr>
          <w:rFonts w:ascii="標楷體" w:eastAsia="標楷體" w:hAnsi="標楷體" w:hint="eastAsia"/>
          <w:szCs w:val="22"/>
        </w:rPr>
        <w:t>夢</w:t>
      </w:r>
      <w:r>
        <w:rPr>
          <w:rFonts w:ascii="標楷體" w:eastAsia="標楷體" w:hAnsi="標楷體" w:hint="eastAsia"/>
          <w:color w:val="FF0000"/>
          <w:kern w:val="0"/>
          <w:highlight w:val="yellow"/>
        </w:rPr>
        <w:t>，</w:t>
      </w:r>
      <w:r w:rsidR="00157EF6" w:rsidRPr="00043A1E">
        <w:rPr>
          <w:rFonts w:ascii="標楷體" w:eastAsia="標楷體" w:hAnsi="標楷體" w:hint="eastAsia"/>
          <w:szCs w:val="22"/>
        </w:rPr>
        <w:t>非有而有</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，廼即指彼一切諸法隨拈一法無非緣起法界，所謂</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不變隨緣</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，即</w:t>
      </w:r>
      <w:r>
        <w:rPr>
          <w:rFonts w:ascii="標楷體" w:eastAsia="標楷體" w:hAnsi="標楷體" w:hint="eastAsia"/>
          <w:bCs/>
          <w:color w:val="FF0000"/>
          <w:kern w:val="0"/>
          <w:highlight w:val="yellow"/>
        </w:rPr>
        <w:t>「</w:t>
      </w:r>
      <w:r>
        <w:rPr>
          <w:rFonts w:ascii="標楷體" w:eastAsia="標楷體" w:hAnsi="標楷體" w:hint="eastAsia"/>
          <w:color w:val="FF0000"/>
          <w:kern w:val="0"/>
          <w:highlight w:val="yellow"/>
        </w:rPr>
        <w:t>『</w:t>
      </w:r>
      <w:r w:rsidR="00157EF6" w:rsidRPr="00043A1E">
        <w:rPr>
          <w:rFonts w:ascii="標楷體" w:eastAsia="標楷體" w:hAnsi="標楷體" w:hint="eastAsia"/>
          <w:szCs w:val="22"/>
        </w:rPr>
        <w:t>性具</w:t>
      </w:r>
      <w:r>
        <w:rPr>
          <w:rFonts w:ascii="標楷體" w:eastAsia="標楷體" w:hAnsi="標楷體" w:hint="eastAsia"/>
          <w:color w:val="FF0000"/>
          <w:kern w:val="0"/>
          <w:highlight w:val="yellow"/>
        </w:rPr>
        <w:t>』</w:t>
      </w:r>
      <w:r w:rsidR="00157EF6" w:rsidRPr="00043A1E">
        <w:rPr>
          <w:rFonts w:ascii="標楷體" w:eastAsia="標楷體" w:hAnsi="標楷體" w:hint="eastAsia"/>
          <w:szCs w:val="22"/>
        </w:rPr>
        <w:t>相</w:t>
      </w:r>
      <w:r>
        <w:rPr>
          <w:rFonts w:ascii="標楷體" w:eastAsia="標楷體" w:hAnsi="標楷體" w:hint="eastAsia"/>
          <w:bCs/>
          <w:color w:val="FF0000"/>
          <w:kern w:val="0"/>
          <w:highlight w:val="yellow"/>
        </w:rPr>
        <w:t>」</w:t>
      </w:r>
      <w:r w:rsidR="00157EF6" w:rsidRPr="00043A1E">
        <w:rPr>
          <w:rFonts w:ascii="標楷體" w:eastAsia="標楷體" w:hAnsi="標楷體" w:hint="eastAsia"/>
          <w:szCs w:val="22"/>
        </w:rPr>
        <w:t>。</w:t>
      </w:r>
    </w:p>
    <w:p w:rsidR="00943A9B" w:rsidRPr="00943A9B" w:rsidRDefault="00943A9B" w:rsidP="00943A9B">
      <w:pPr>
        <w:pStyle w:val="a5"/>
        <w:ind w:leftChars="335" w:left="914" w:hangingChars="50" w:hanging="110"/>
        <w:jc w:val="both"/>
        <w:rPr>
          <w:color w:val="FF0000"/>
          <w:szCs w:val="22"/>
          <w:highlight w:val="yellow"/>
        </w:rPr>
      </w:pPr>
      <w:r w:rsidRPr="00943A9B">
        <w:rPr>
          <w:rFonts w:eastAsia="標楷體" w:hint="eastAsia"/>
          <w:color w:val="FF0000"/>
          <w:szCs w:val="22"/>
          <w:shd w:val="pct15" w:color="auto" w:fill="FFFFFF"/>
        </w:rPr>
        <w:t>*</w:t>
      </w:r>
      <w:r w:rsidRPr="00943A9B">
        <w:rPr>
          <w:rFonts w:hint="eastAsia"/>
          <w:color w:val="FF0000"/>
          <w:szCs w:val="22"/>
          <w:highlight w:val="yellow"/>
        </w:rPr>
        <w:t>《大佛頂如來密因修證了義諸菩薩萬行首楞嚴經》卷</w:t>
      </w:r>
      <w:r w:rsidRPr="00943A9B">
        <w:rPr>
          <w:rFonts w:hint="eastAsia"/>
          <w:color w:val="FF0000"/>
          <w:szCs w:val="22"/>
          <w:highlight w:val="yellow"/>
        </w:rPr>
        <w:t>4</w:t>
      </w:r>
      <w:r w:rsidRPr="00943A9B">
        <w:rPr>
          <w:rFonts w:hint="eastAsia"/>
          <w:color w:val="FF0000"/>
          <w:szCs w:val="22"/>
          <w:highlight w:val="yellow"/>
        </w:rPr>
        <w:t>（大正</w:t>
      </w:r>
      <w:r w:rsidRPr="00943A9B">
        <w:rPr>
          <w:rFonts w:hint="eastAsia"/>
          <w:color w:val="FF0000"/>
          <w:szCs w:val="22"/>
          <w:highlight w:val="yellow"/>
        </w:rPr>
        <w:t>19</w:t>
      </w:r>
      <w:r w:rsidRPr="00943A9B">
        <w:rPr>
          <w:rFonts w:hint="eastAsia"/>
          <w:color w:val="FF0000"/>
          <w:szCs w:val="22"/>
          <w:highlight w:val="yellow"/>
        </w:rPr>
        <w:t>，</w:t>
      </w:r>
      <w:r w:rsidRPr="00943A9B">
        <w:rPr>
          <w:rFonts w:hint="eastAsia"/>
          <w:color w:val="FF0000"/>
          <w:szCs w:val="22"/>
          <w:highlight w:val="yellow"/>
        </w:rPr>
        <w:t>119c15- 18</w:t>
      </w:r>
      <w:r w:rsidRPr="00943A9B">
        <w:rPr>
          <w:rFonts w:hint="eastAsia"/>
          <w:color w:val="FF0000"/>
          <w:szCs w:val="22"/>
          <w:highlight w:val="yellow"/>
        </w:rPr>
        <w:t>）。</w:t>
      </w:r>
    </w:p>
  </w:footnote>
  <w:footnote w:id="870">
    <w:p w:rsidR="00BC5E25" w:rsidRDefault="00BC5E25" w:rsidP="00BC5E25">
      <w:pPr>
        <w:pStyle w:val="a5"/>
        <w:spacing w:line="0" w:lineRule="atLeast"/>
        <w:ind w:left="792" w:hangingChars="360" w:hanging="792"/>
        <w:jc w:val="both"/>
        <w:rPr>
          <w:szCs w:val="22"/>
        </w:rPr>
      </w:pPr>
      <w:r w:rsidRPr="00943A9B">
        <w:rPr>
          <w:rStyle w:val="a6"/>
          <w:szCs w:val="22"/>
        </w:rPr>
        <w:footnoteRef/>
      </w:r>
      <w:r w:rsidRPr="00943A9B">
        <w:rPr>
          <w:rFonts w:hint="eastAsia"/>
          <w:szCs w:val="22"/>
        </w:rPr>
        <w:t xml:space="preserve"> </w:t>
      </w:r>
      <w:r w:rsidRPr="00943A9B">
        <w:rPr>
          <w:rFonts w:hint="eastAsia"/>
          <w:szCs w:val="22"/>
        </w:rPr>
        <w:t>（</w:t>
      </w:r>
      <w:r w:rsidRPr="00943A9B">
        <w:rPr>
          <w:rFonts w:hint="eastAsia"/>
          <w:szCs w:val="22"/>
        </w:rPr>
        <w:t>1</w:t>
      </w:r>
      <w:r w:rsidRPr="00943A9B">
        <w:rPr>
          <w:rFonts w:hint="eastAsia"/>
          <w:szCs w:val="22"/>
        </w:rPr>
        <w:t>）</w:t>
      </w:r>
      <w:r w:rsidRPr="007C097F">
        <w:rPr>
          <w:spacing w:val="-2"/>
          <w:szCs w:val="22"/>
        </w:rPr>
        <w:t>性起</w:t>
      </w:r>
      <w:r w:rsidRPr="007C097F">
        <w:rPr>
          <w:rFonts w:hint="eastAsia"/>
          <w:spacing w:val="-2"/>
          <w:szCs w:val="22"/>
        </w:rPr>
        <w:t>：</w:t>
      </w:r>
      <w:r w:rsidRPr="007C097F">
        <w:rPr>
          <w:spacing w:val="-2"/>
          <w:szCs w:val="22"/>
        </w:rPr>
        <w:t>為「緣起」之對稱。乃華嚴宗教義之一。性起即從性而起之意，亦</w:t>
      </w:r>
      <w:r w:rsidRPr="00043A1E">
        <w:rPr>
          <w:szCs w:val="22"/>
        </w:rPr>
        <w:t>即從佛果之境界說事物之現起。緣起為依緣而起之意，亦即從因位之境界論說事物之現起。據</w:t>
      </w:r>
      <w:r w:rsidRPr="00043A1E">
        <w:rPr>
          <w:rFonts w:hint="eastAsia"/>
          <w:szCs w:val="22"/>
        </w:rPr>
        <w:t>《</w:t>
      </w:r>
      <w:r w:rsidRPr="00043A1E">
        <w:rPr>
          <w:szCs w:val="22"/>
        </w:rPr>
        <w:t>華嚴經</w:t>
      </w:r>
      <w:r w:rsidRPr="00043A1E">
        <w:rPr>
          <w:rFonts w:hint="eastAsia"/>
          <w:szCs w:val="22"/>
        </w:rPr>
        <w:t>‧</w:t>
      </w:r>
      <w:r w:rsidRPr="00043A1E">
        <w:rPr>
          <w:szCs w:val="22"/>
        </w:rPr>
        <w:t>寶王如來性起品</w:t>
      </w:r>
      <w:r w:rsidRPr="00043A1E">
        <w:rPr>
          <w:rFonts w:hint="eastAsia"/>
          <w:szCs w:val="22"/>
        </w:rPr>
        <w:t>》</w:t>
      </w:r>
      <w:r w:rsidRPr="00043A1E">
        <w:rPr>
          <w:szCs w:val="22"/>
        </w:rPr>
        <w:t>所說，</w:t>
      </w:r>
      <w:r w:rsidRPr="00043A1E">
        <w:rPr>
          <w:b/>
          <w:szCs w:val="22"/>
        </w:rPr>
        <w:t>性起</w:t>
      </w:r>
      <w:r w:rsidRPr="00043A1E">
        <w:rPr>
          <w:szCs w:val="22"/>
        </w:rPr>
        <w:t>屬果，乃盧舍那佛之法門；據</w:t>
      </w:r>
      <w:r w:rsidRPr="00043A1E">
        <w:rPr>
          <w:rFonts w:hint="eastAsia"/>
          <w:szCs w:val="22"/>
        </w:rPr>
        <w:t>〈</w:t>
      </w:r>
      <w:r w:rsidRPr="00043A1E">
        <w:rPr>
          <w:szCs w:val="22"/>
        </w:rPr>
        <w:t>普賢菩薩行願品</w:t>
      </w:r>
      <w:r w:rsidRPr="00043A1E">
        <w:rPr>
          <w:rFonts w:hint="eastAsia"/>
          <w:szCs w:val="22"/>
        </w:rPr>
        <w:t>〉</w:t>
      </w:r>
      <w:r w:rsidRPr="00043A1E">
        <w:rPr>
          <w:szCs w:val="22"/>
        </w:rPr>
        <w:t>所說，緣起屬因，乃普賢之法門。一切法隨順其真實本性而顯現，並應眾生之根機、能力生起作用，即為</w:t>
      </w:r>
      <w:r w:rsidRPr="00043A1E">
        <w:rPr>
          <w:b/>
          <w:szCs w:val="22"/>
        </w:rPr>
        <w:t>性起</w:t>
      </w:r>
      <w:r w:rsidRPr="00043A1E">
        <w:rPr>
          <w:szCs w:val="22"/>
        </w:rPr>
        <w:t>。</w:t>
      </w:r>
    </w:p>
    <w:p w:rsidR="00BC5E25" w:rsidRPr="00043A1E" w:rsidRDefault="00BC5E25" w:rsidP="00BC5E25">
      <w:pPr>
        <w:pStyle w:val="a5"/>
        <w:spacing w:line="0" w:lineRule="atLeast"/>
        <w:ind w:left="792" w:hangingChars="360" w:hanging="792"/>
        <w:jc w:val="right"/>
        <w:rPr>
          <w:szCs w:val="22"/>
        </w:rPr>
      </w:pPr>
      <w:r w:rsidRPr="00043A1E">
        <w:rPr>
          <w:szCs w:val="22"/>
        </w:rPr>
        <w:t>（《佛光大辭典》</w:t>
      </w:r>
      <w:r w:rsidRPr="00043A1E">
        <w:rPr>
          <w:rFonts w:hint="eastAsia"/>
          <w:szCs w:val="22"/>
        </w:rPr>
        <w:t>（四），</w:t>
      </w:r>
      <w:r w:rsidRPr="00761EF3">
        <w:rPr>
          <w:szCs w:val="22"/>
        </w:rPr>
        <w:t>p</w:t>
      </w:r>
      <w:r w:rsidRPr="00043A1E">
        <w:rPr>
          <w:szCs w:val="22"/>
        </w:rPr>
        <w:t>.</w:t>
      </w:r>
      <w:r w:rsidRPr="00761EF3">
        <w:rPr>
          <w:szCs w:val="22"/>
        </w:rPr>
        <w:t>3234</w:t>
      </w:r>
      <w:r w:rsidRPr="00043A1E">
        <w:rPr>
          <w:rFonts w:hint="eastAsia"/>
          <w:szCs w:val="22"/>
        </w:rPr>
        <w:t>.</w:t>
      </w:r>
      <w:r w:rsidRPr="00761EF3">
        <w:rPr>
          <w:rFonts w:hint="eastAsia"/>
          <w:szCs w:val="22"/>
        </w:rPr>
        <w:t>2</w:t>
      </w:r>
      <w:r w:rsidRPr="00043A1E">
        <w:rPr>
          <w:szCs w:val="22"/>
        </w:rPr>
        <w:t>）</w:t>
      </w:r>
    </w:p>
    <w:p w:rsidR="00BC5E25" w:rsidRPr="00043A1E" w:rsidRDefault="00BC5E25" w:rsidP="00BC5E25">
      <w:pPr>
        <w:pStyle w:val="a5"/>
        <w:ind w:leftChars="105" w:left="791" w:hangingChars="245" w:hanging="539"/>
        <w:jc w:val="both"/>
        <w:rPr>
          <w:szCs w:val="22"/>
        </w:rPr>
      </w:pPr>
      <w:r w:rsidRPr="00043A1E">
        <w:rPr>
          <w:rFonts w:eastAsia="SimSun" w:hint="eastAsia"/>
          <w:szCs w:val="22"/>
        </w:rPr>
        <w:t>（</w:t>
      </w:r>
      <w:r w:rsidRPr="00761EF3">
        <w:rPr>
          <w:rFonts w:hint="eastAsia"/>
          <w:szCs w:val="22"/>
        </w:rPr>
        <w:t>2</w:t>
      </w:r>
      <w:r w:rsidRPr="00043A1E">
        <w:rPr>
          <w:rFonts w:hint="eastAsia"/>
          <w:szCs w:val="22"/>
        </w:rPr>
        <w:t>）</w:t>
      </w:r>
      <w:r w:rsidRPr="00043A1E">
        <w:rPr>
          <w:szCs w:val="22"/>
        </w:rPr>
        <w:t>印順法師</w:t>
      </w:r>
      <w:r w:rsidRPr="00043A1E">
        <w:rPr>
          <w:rFonts w:hint="eastAsia"/>
          <w:szCs w:val="22"/>
        </w:rPr>
        <w:t>，</w:t>
      </w:r>
      <w:r w:rsidRPr="00043A1E">
        <w:rPr>
          <w:szCs w:val="22"/>
        </w:rPr>
        <w:t>《無諍之辯》</w:t>
      </w:r>
      <w:r w:rsidRPr="00043A1E">
        <w:rPr>
          <w:rFonts w:hint="eastAsia"/>
          <w:szCs w:val="22"/>
        </w:rPr>
        <w:t>，</w:t>
      </w:r>
      <w:r w:rsidRPr="00761EF3">
        <w:rPr>
          <w:szCs w:val="22"/>
        </w:rPr>
        <w:t>p</w:t>
      </w:r>
      <w:r w:rsidRPr="00043A1E">
        <w:rPr>
          <w:szCs w:val="22"/>
        </w:rPr>
        <w:t>.</w:t>
      </w:r>
      <w:r w:rsidRPr="00761EF3">
        <w:rPr>
          <w:szCs w:val="22"/>
        </w:rPr>
        <w:t>187</w:t>
      </w:r>
      <w:r w:rsidRPr="00043A1E">
        <w:rPr>
          <w:szCs w:val="22"/>
        </w:rPr>
        <w:t>：</w:t>
      </w:r>
    </w:p>
    <w:p w:rsidR="00BC5E25" w:rsidRPr="00043A1E" w:rsidRDefault="00BC5E25" w:rsidP="00BC5E25">
      <w:pPr>
        <w:pStyle w:val="a5"/>
        <w:ind w:leftChars="335" w:left="804"/>
        <w:jc w:val="both"/>
        <w:rPr>
          <w:szCs w:val="22"/>
        </w:rPr>
      </w:pPr>
      <w:r w:rsidRPr="00043A1E">
        <w:rPr>
          <w:rFonts w:ascii="標楷體" w:eastAsia="標楷體" w:hAnsi="標楷體"/>
          <w:szCs w:val="22"/>
        </w:rPr>
        <w:t>禪宗說「性生」（「何期自性能生萬物」），天臺宗說「性具」，</w:t>
      </w:r>
      <w:r w:rsidRPr="00043A1E">
        <w:rPr>
          <w:rFonts w:ascii="標楷體" w:eastAsia="標楷體" w:hAnsi="標楷體"/>
          <w:b/>
          <w:szCs w:val="22"/>
        </w:rPr>
        <w:t>賢首宗說「性起」</w:t>
      </w:r>
      <w:r w:rsidRPr="00043A1E">
        <w:rPr>
          <w:rFonts w:ascii="標楷體" w:eastAsia="標楷體" w:hAnsi="標楷體"/>
          <w:szCs w:val="22"/>
        </w:rPr>
        <w:t>。從無二無別法性而生而起，所以圓通無礙，不同事法界</w:t>
      </w:r>
      <w:r w:rsidRPr="00043A1E">
        <w:rPr>
          <w:rFonts w:ascii="標楷體" w:eastAsia="標楷體" w:hAnsi="標楷體" w:hint="eastAsia"/>
          <w:szCs w:val="22"/>
        </w:rPr>
        <w:t>的隔別。</w:t>
      </w:r>
    </w:p>
  </w:footnote>
  <w:footnote w:id="871">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rFonts w:hint="eastAsia"/>
          <w:szCs w:val="22"/>
        </w:rPr>
        <w:t>何期：猶言豈料。表示沒有想到。</w:t>
      </w:r>
      <w:r w:rsidRPr="00043A1E">
        <w:rPr>
          <w:szCs w:val="22"/>
        </w:rPr>
        <w:t>（《漢語大詞典》（</w:t>
      </w:r>
      <w:r w:rsidRPr="00043A1E">
        <w:rPr>
          <w:rFonts w:hint="eastAsia"/>
          <w:szCs w:val="22"/>
        </w:rPr>
        <w:t>一</w:t>
      </w:r>
      <w:r w:rsidRPr="00043A1E">
        <w:rPr>
          <w:szCs w:val="22"/>
        </w:rPr>
        <w:t>）</w:t>
      </w:r>
      <w:r w:rsidRPr="00043A1E">
        <w:rPr>
          <w:rFonts w:hint="eastAsia"/>
          <w:szCs w:val="22"/>
        </w:rPr>
        <w:t>，</w:t>
      </w:r>
      <w:r w:rsidRPr="00761EF3">
        <w:rPr>
          <w:szCs w:val="22"/>
        </w:rPr>
        <w:t>p</w:t>
      </w:r>
      <w:r w:rsidRPr="00043A1E">
        <w:rPr>
          <w:szCs w:val="22"/>
        </w:rPr>
        <w:t>.</w:t>
      </w:r>
      <w:r w:rsidRPr="00761EF3">
        <w:rPr>
          <w:rFonts w:eastAsia="SimSun" w:hint="eastAsia"/>
          <w:szCs w:val="22"/>
        </w:rPr>
        <w:t>1231</w:t>
      </w:r>
      <w:r w:rsidRPr="00043A1E">
        <w:rPr>
          <w:szCs w:val="22"/>
        </w:rPr>
        <w:t>）</w:t>
      </w:r>
    </w:p>
  </w:footnote>
  <w:footnote w:id="872">
    <w:p w:rsidR="00157EF6" w:rsidRPr="00043A1E" w:rsidRDefault="00157EF6" w:rsidP="00AA120F">
      <w:pPr>
        <w:pStyle w:val="a5"/>
        <w:spacing w:line="0" w:lineRule="atLeast"/>
        <w:ind w:left="253" w:hangingChars="115" w:hanging="253"/>
        <w:jc w:val="both"/>
        <w:rPr>
          <w:rFonts w:eastAsia="SimSun"/>
          <w:szCs w:val="22"/>
        </w:rPr>
      </w:pPr>
      <w:r w:rsidRPr="00043A1E">
        <w:rPr>
          <w:rStyle w:val="a6"/>
          <w:szCs w:val="22"/>
        </w:rPr>
        <w:footnoteRef/>
      </w:r>
      <w:r w:rsidRPr="00043A1E">
        <w:rPr>
          <w:rFonts w:hint="eastAsia"/>
          <w:szCs w:val="22"/>
        </w:rPr>
        <w:t xml:space="preserve"> </w:t>
      </w:r>
      <w:r w:rsidRPr="00043A1E">
        <w:rPr>
          <w:szCs w:val="22"/>
        </w:rPr>
        <w:t>〔</w:t>
      </w:r>
      <w:r w:rsidRPr="00043A1E">
        <w:rPr>
          <w:rFonts w:hint="eastAsia"/>
          <w:szCs w:val="22"/>
        </w:rPr>
        <w:t>元</w:t>
      </w:r>
      <w:r w:rsidRPr="00043A1E">
        <w:rPr>
          <w:szCs w:val="22"/>
        </w:rPr>
        <w:t>〕宗寶編，《六祖大師法寶壇經》〈行由第一〉（大正</w:t>
      </w:r>
      <w:r w:rsidRPr="00761EF3">
        <w:rPr>
          <w:szCs w:val="22"/>
        </w:rPr>
        <w:t>48</w:t>
      </w:r>
      <w:r w:rsidRPr="00043A1E">
        <w:rPr>
          <w:szCs w:val="22"/>
        </w:rPr>
        <w:t>，</w:t>
      </w:r>
      <w:r w:rsidRPr="00761EF3">
        <w:rPr>
          <w:szCs w:val="22"/>
        </w:rPr>
        <w:t>349a17</w:t>
      </w:r>
      <w:r w:rsidRPr="00043A1E">
        <w:rPr>
          <w:rFonts w:eastAsia="SimSun" w:hint="eastAsia"/>
          <w:szCs w:val="22"/>
        </w:rPr>
        <w:t>-</w:t>
      </w:r>
      <w:r w:rsidRPr="00761EF3">
        <w:rPr>
          <w:szCs w:val="22"/>
        </w:rPr>
        <w:t>21</w:t>
      </w:r>
      <w:r w:rsidRPr="00043A1E">
        <w:rPr>
          <w:szCs w:val="22"/>
        </w:rPr>
        <w:t>）：</w:t>
      </w:r>
    </w:p>
    <w:p w:rsidR="00157EF6" w:rsidRPr="00043A1E" w:rsidRDefault="00157EF6" w:rsidP="00AA120F">
      <w:pPr>
        <w:pStyle w:val="a5"/>
        <w:ind w:leftChars="105" w:left="252"/>
        <w:jc w:val="both"/>
        <w:rPr>
          <w:rFonts w:eastAsia="SimSun"/>
          <w:szCs w:val="22"/>
        </w:rPr>
      </w:pPr>
      <w:r w:rsidRPr="00043A1E">
        <w:rPr>
          <w:rFonts w:ascii="標楷體" w:eastAsia="標楷體" w:hAnsi="標楷體"/>
          <w:szCs w:val="22"/>
        </w:rPr>
        <w:t>惠能言下大悟</w:t>
      </w:r>
      <w:r w:rsidR="00AD0C81" w:rsidRPr="00AD0C81">
        <w:rPr>
          <w:rFonts w:ascii="標楷體" w:eastAsia="標楷體" w:hAnsi="標楷體"/>
          <w:color w:val="FF0000"/>
          <w:szCs w:val="22"/>
          <w:highlight w:val="yellow"/>
        </w:rPr>
        <w:t>「</w:t>
      </w:r>
      <w:r w:rsidRPr="00043A1E">
        <w:rPr>
          <w:rFonts w:ascii="標楷體" w:eastAsia="標楷體" w:hAnsi="標楷體"/>
          <w:szCs w:val="22"/>
        </w:rPr>
        <w:t>一切萬法不離自性</w:t>
      </w:r>
      <w:r w:rsidR="00AD0C81" w:rsidRPr="00AD0C81">
        <w:rPr>
          <w:rFonts w:ascii="標楷體" w:eastAsia="標楷體" w:hAnsi="標楷體"/>
          <w:color w:val="FF0000"/>
          <w:szCs w:val="22"/>
          <w:highlight w:val="yellow"/>
        </w:rPr>
        <w:t>」</w:t>
      </w:r>
      <w:r w:rsidR="00AD0C81" w:rsidRPr="00AD0C81">
        <w:rPr>
          <w:rFonts w:ascii="標楷體" w:eastAsia="標楷體" w:hAnsi="標楷體" w:hint="eastAsia"/>
          <w:color w:val="FF0000"/>
          <w:szCs w:val="22"/>
          <w:highlight w:val="yellow"/>
        </w:rPr>
        <w:t>，</w:t>
      </w:r>
      <w:r w:rsidRPr="00043A1E">
        <w:rPr>
          <w:rFonts w:ascii="標楷體" w:eastAsia="標楷體" w:hAnsi="標楷體"/>
          <w:szCs w:val="22"/>
        </w:rPr>
        <w:t>遂啟祖言：「何期自性本自清淨</w:t>
      </w:r>
      <w:r w:rsidR="00AD0C81">
        <w:rPr>
          <w:rFonts w:ascii="標楷體" w:eastAsia="標楷體" w:hAnsi="標楷體" w:hint="eastAsia"/>
          <w:color w:val="FF0000"/>
          <w:szCs w:val="22"/>
          <w:highlight w:val="yellow"/>
        </w:rPr>
        <w:t>！</w:t>
      </w:r>
      <w:r w:rsidRPr="00043A1E">
        <w:rPr>
          <w:rFonts w:ascii="標楷體" w:eastAsia="標楷體" w:hAnsi="標楷體"/>
          <w:szCs w:val="22"/>
        </w:rPr>
        <w:t>何期自性本不生滅</w:t>
      </w:r>
      <w:r w:rsidR="00AD0C81">
        <w:rPr>
          <w:rFonts w:ascii="標楷體" w:eastAsia="標楷體" w:hAnsi="標楷體" w:hint="eastAsia"/>
          <w:color w:val="FF0000"/>
          <w:szCs w:val="22"/>
          <w:highlight w:val="yellow"/>
        </w:rPr>
        <w:t>！</w:t>
      </w:r>
      <w:r w:rsidRPr="00043A1E">
        <w:rPr>
          <w:rFonts w:ascii="標楷體" w:eastAsia="標楷體" w:hAnsi="標楷體"/>
          <w:szCs w:val="22"/>
        </w:rPr>
        <w:t>何期自性本自具足</w:t>
      </w:r>
      <w:r w:rsidR="00AD0C81">
        <w:rPr>
          <w:rFonts w:ascii="標楷體" w:eastAsia="標楷體" w:hAnsi="標楷體" w:hint="eastAsia"/>
          <w:color w:val="FF0000"/>
          <w:szCs w:val="22"/>
          <w:highlight w:val="yellow"/>
        </w:rPr>
        <w:t>！</w:t>
      </w:r>
      <w:r w:rsidRPr="00043A1E">
        <w:rPr>
          <w:rFonts w:ascii="標楷體" w:eastAsia="標楷體" w:hAnsi="標楷體"/>
          <w:szCs w:val="22"/>
        </w:rPr>
        <w:t>何期自性本無動搖</w:t>
      </w:r>
      <w:r w:rsidR="00AD0C81">
        <w:rPr>
          <w:rFonts w:ascii="標楷體" w:eastAsia="標楷體" w:hAnsi="標楷體" w:hint="eastAsia"/>
          <w:color w:val="FF0000"/>
          <w:szCs w:val="22"/>
          <w:highlight w:val="yellow"/>
        </w:rPr>
        <w:t>！</w:t>
      </w:r>
      <w:r w:rsidRPr="00043A1E">
        <w:rPr>
          <w:rFonts w:ascii="標楷體" w:eastAsia="標楷體" w:hAnsi="標楷體"/>
          <w:szCs w:val="22"/>
        </w:rPr>
        <w:t>何期自性能生萬法</w:t>
      </w:r>
      <w:r w:rsidR="00AD0C81">
        <w:rPr>
          <w:rFonts w:ascii="標楷體" w:eastAsia="標楷體" w:hAnsi="標楷體" w:hint="eastAsia"/>
          <w:color w:val="FF0000"/>
          <w:szCs w:val="22"/>
          <w:highlight w:val="yellow"/>
        </w:rPr>
        <w:t>！</w:t>
      </w:r>
      <w:r w:rsidRPr="00043A1E">
        <w:rPr>
          <w:rFonts w:ascii="標楷體" w:eastAsia="標楷體" w:hAnsi="標楷體" w:hint="eastAsia"/>
          <w:szCs w:val="22"/>
        </w:rPr>
        <w:t>」</w:t>
      </w:r>
    </w:p>
  </w:footnote>
  <w:footnote w:id="873">
    <w:p w:rsidR="00157EF6" w:rsidRPr="00043A1E" w:rsidRDefault="00157EF6" w:rsidP="00AA120F">
      <w:pPr>
        <w:pStyle w:val="a5"/>
        <w:spacing w:line="0" w:lineRule="atLeast"/>
        <w:ind w:left="253" w:hangingChars="115" w:hanging="253"/>
        <w:jc w:val="both"/>
        <w:rPr>
          <w:rFonts w:eastAsia="SimSun"/>
          <w:szCs w:val="22"/>
        </w:rPr>
      </w:pPr>
      <w:r w:rsidRPr="00043A1E">
        <w:rPr>
          <w:rStyle w:val="a6"/>
          <w:szCs w:val="22"/>
        </w:rPr>
        <w:footnoteRef/>
      </w:r>
      <w:r w:rsidRPr="00043A1E">
        <w:rPr>
          <w:rFonts w:hint="eastAsia"/>
          <w:szCs w:val="22"/>
        </w:rPr>
        <w:t xml:space="preserve"> </w:t>
      </w:r>
      <w:r w:rsidRPr="00043A1E">
        <w:rPr>
          <w:rFonts w:hint="eastAsia"/>
          <w:szCs w:val="22"/>
        </w:rPr>
        <w:t>性具：性，指法界性、法性、真如，或稱本、理、體；具，具足、具有之義。性具，即吾人本有之真如法性。又作本具、理具、體具。天台宗主張法界中之一一事法，本來圓具十界三千迷悟因果之諸法，此稱性具。即謂各個現象世界皆具有善與惡，彼此完全具足，且彼此互不混淆。此性具之義，為天台一宗之極說，乃天台教學之基礎及根本特色。</w:t>
      </w:r>
      <w:r w:rsidRPr="00043A1E">
        <w:rPr>
          <w:szCs w:val="22"/>
        </w:rPr>
        <w:t>（《</w:t>
      </w:r>
      <w:r w:rsidRPr="00043A1E">
        <w:rPr>
          <w:rFonts w:hint="eastAsia"/>
          <w:szCs w:val="22"/>
        </w:rPr>
        <w:t>佛光大辭典</w:t>
      </w:r>
      <w:r w:rsidRPr="00043A1E">
        <w:rPr>
          <w:szCs w:val="22"/>
        </w:rPr>
        <w:t>》</w:t>
      </w:r>
      <w:r w:rsidRPr="00043A1E">
        <w:rPr>
          <w:rFonts w:hint="eastAsia"/>
          <w:szCs w:val="22"/>
        </w:rPr>
        <w:t>（四），</w:t>
      </w:r>
      <w:r w:rsidRPr="00761EF3">
        <w:rPr>
          <w:szCs w:val="22"/>
        </w:rPr>
        <w:t>p</w:t>
      </w:r>
      <w:r w:rsidRPr="00043A1E">
        <w:rPr>
          <w:szCs w:val="22"/>
        </w:rPr>
        <w:t>.</w:t>
      </w:r>
      <w:r w:rsidRPr="00761EF3">
        <w:rPr>
          <w:rFonts w:eastAsia="SimSun" w:hint="eastAsia"/>
          <w:szCs w:val="22"/>
        </w:rPr>
        <w:t>3229</w:t>
      </w:r>
      <w:r w:rsidRPr="00043A1E">
        <w:rPr>
          <w:rFonts w:hint="eastAsia"/>
          <w:szCs w:val="22"/>
        </w:rPr>
        <w:t>.</w:t>
      </w:r>
      <w:r w:rsidRPr="00761EF3">
        <w:rPr>
          <w:rFonts w:hint="eastAsia"/>
          <w:szCs w:val="22"/>
        </w:rPr>
        <w:t>1</w:t>
      </w:r>
      <w:r w:rsidRPr="00043A1E">
        <w:rPr>
          <w:szCs w:val="22"/>
        </w:rPr>
        <w:t>）</w:t>
      </w:r>
    </w:p>
  </w:footnote>
  <w:footnote w:id="874">
    <w:p w:rsidR="00157EF6" w:rsidRPr="00043A1E" w:rsidRDefault="00157EF6" w:rsidP="00AA120F">
      <w:pPr>
        <w:pStyle w:val="a5"/>
        <w:spacing w:line="0" w:lineRule="atLeast"/>
        <w:ind w:left="253" w:hangingChars="115" w:hanging="253"/>
        <w:jc w:val="both"/>
        <w:rPr>
          <w:rFonts w:eastAsia="SimSun"/>
          <w:szCs w:val="22"/>
        </w:rPr>
      </w:pPr>
      <w:r w:rsidRPr="00043A1E">
        <w:rPr>
          <w:rStyle w:val="a6"/>
          <w:szCs w:val="22"/>
        </w:rPr>
        <w:footnoteRef/>
      </w:r>
      <w:r w:rsidRPr="00043A1E">
        <w:rPr>
          <w:rFonts w:eastAsia="SimSun" w:hint="eastAsia"/>
          <w:szCs w:val="22"/>
        </w:rPr>
        <w:t xml:space="preserve"> </w:t>
      </w:r>
      <w:r w:rsidRPr="00043A1E">
        <w:rPr>
          <w:szCs w:val="22"/>
        </w:rPr>
        <w:t>〔隋〕智者大師說</w:t>
      </w:r>
      <w:r w:rsidRPr="00043A1E">
        <w:rPr>
          <w:rFonts w:hint="eastAsia"/>
          <w:szCs w:val="22"/>
        </w:rPr>
        <w:t>，</w:t>
      </w:r>
      <w:r w:rsidRPr="00043A1E">
        <w:rPr>
          <w:szCs w:val="22"/>
        </w:rPr>
        <w:t>灌頂記，《摩訶止觀》卷</w:t>
      </w:r>
      <w:r w:rsidRPr="00761EF3">
        <w:rPr>
          <w:szCs w:val="22"/>
        </w:rPr>
        <w:t>5</w:t>
      </w:r>
      <w:r w:rsidRPr="00043A1E">
        <w:rPr>
          <w:szCs w:val="22"/>
        </w:rPr>
        <w:t>上（大正</w:t>
      </w:r>
      <w:r w:rsidRPr="00761EF3">
        <w:rPr>
          <w:szCs w:val="22"/>
        </w:rPr>
        <w:t>46</w:t>
      </w:r>
      <w:r w:rsidRPr="00043A1E">
        <w:rPr>
          <w:szCs w:val="22"/>
        </w:rPr>
        <w:t>，</w:t>
      </w:r>
      <w:r w:rsidRPr="00761EF3">
        <w:rPr>
          <w:rFonts w:hint="eastAsia"/>
          <w:szCs w:val="22"/>
        </w:rPr>
        <w:t>54</w:t>
      </w:r>
      <w:r w:rsidRPr="00761EF3">
        <w:rPr>
          <w:szCs w:val="22"/>
        </w:rPr>
        <w:t>a5</w:t>
      </w:r>
      <w:r w:rsidRPr="00043A1E">
        <w:rPr>
          <w:rFonts w:hint="eastAsia"/>
          <w:szCs w:val="22"/>
        </w:rPr>
        <w:t>-</w:t>
      </w:r>
      <w:r w:rsidRPr="00761EF3">
        <w:rPr>
          <w:szCs w:val="22"/>
        </w:rPr>
        <w:t>9</w:t>
      </w:r>
      <w:r w:rsidRPr="00043A1E">
        <w:rPr>
          <w:szCs w:val="22"/>
        </w:rPr>
        <w:t>）：</w:t>
      </w:r>
    </w:p>
    <w:p w:rsidR="00157EF6" w:rsidRPr="00043A1E" w:rsidRDefault="00157EF6" w:rsidP="00AA120F">
      <w:pPr>
        <w:pStyle w:val="a5"/>
        <w:ind w:leftChars="105" w:left="252"/>
        <w:jc w:val="both"/>
        <w:rPr>
          <w:rFonts w:ascii="標楷體" w:eastAsia="標楷體" w:hAnsi="標楷體"/>
          <w:szCs w:val="22"/>
        </w:rPr>
      </w:pPr>
      <w:r w:rsidRPr="00043A1E">
        <w:rPr>
          <w:rFonts w:ascii="標楷體" w:eastAsia="標楷體" w:hAnsi="標楷體"/>
          <w:szCs w:val="22"/>
        </w:rPr>
        <w:t>夫一心具十法界，一法界又具十法界</w:t>
      </w:r>
      <w:r w:rsidR="00364E2E" w:rsidRPr="00364E2E">
        <w:rPr>
          <w:rFonts w:ascii="標楷體" w:eastAsia="標楷體" w:hAnsi="標楷體" w:hint="eastAsia"/>
          <w:color w:val="FF0000"/>
          <w:szCs w:val="22"/>
          <w:highlight w:val="yellow"/>
        </w:rPr>
        <w:t>──</w:t>
      </w:r>
      <w:r w:rsidRPr="00043A1E">
        <w:rPr>
          <w:rFonts w:ascii="標楷體" w:eastAsia="標楷體" w:hAnsi="標楷體"/>
          <w:szCs w:val="22"/>
        </w:rPr>
        <w:t>百法界</w:t>
      </w:r>
      <w:r w:rsidR="00364E2E">
        <w:rPr>
          <w:rFonts w:ascii="標楷體" w:eastAsia="標楷體" w:hAnsi="標楷體" w:hint="eastAsia"/>
          <w:color w:val="FF0000"/>
          <w:szCs w:val="22"/>
          <w:highlight w:val="yellow"/>
        </w:rPr>
        <w:t>；</w:t>
      </w:r>
      <w:r w:rsidRPr="00043A1E">
        <w:rPr>
          <w:rFonts w:ascii="標楷體" w:eastAsia="標楷體" w:hAnsi="標楷體"/>
          <w:szCs w:val="22"/>
        </w:rPr>
        <w:t>一界具三十種世間，百法界即具三千種世間</w:t>
      </w:r>
      <w:r w:rsidR="00364E2E">
        <w:rPr>
          <w:rFonts w:ascii="標楷體" w:eastAsia="標楷體" w:hAnsi="標楷體" w:hint="eastAsia"/>
          <w:color w:val="FF0000"/>
          <w:szCs w:val="22"/>
          <w:highlight w:val="yellow"/>
        </w:rPr>
        <w:t>，</w:t>
      </w:r>
      <w:r w:rsidRPr="00043A1E">
        <w:rPr>
          <w:rFonts w:ascii="標楷體" w:eastAsia="標楷體" w:hAnsi="標楷體"/>
          <w:szCs w:val="22"/>
        </w:rPr>
        <w:t>此三千在一念心</w:t>
      </w:r>
      <w:r w:rsidR="00364E2E">
        <w:rPr>
          <w:rFonts w:ascii="標楷體" w:eastAsia="標楷體" w:hAnsi="標楷體" w:hint="eastAsia"/>
          <w:color w:val="FF0000"/>
          <w:szCs w:val="22"/>
          <w:highlight w:val="yellow"/>
        </w:rPr>
        <w:t>。</w:t>
      </w:r>
      <w:r w:rsidRPr="00043A1E">
        <w:rPr>
          <w:rFonts w:ascii="標楷體" w:eastAsia="標楷體" w:hAnsi="標楷體"/>
          <w:szCs w:val="22"/>
        </w:rPr>
        <w:t>若無心</w:t>
      </w:r>
      <w:r w:rsidR="00364E2E" w:rsidRPr="00364E2E">
        <w:rPr>
          <w:rFonts w:ascii="標楷體" w:eastAsia="標楷體" w:hAnsi="標楷體" w:hint="eastAsia"/>
          <w:color w:val="FF0000"/>
          <w:szCs w:val="22"/>
          <w:highlight w:val="yellow"/>
        </w:rPr>
        <w:t>，</w:t>
      </w:r>
      <w:r w:rsidRPr="00043A1E">
        <w:rPr>
          <w:rFonts w:ascii="標楷體" w:eastAsia="標楷體" w:hAnsi="標楷體"/>
          <w:szCs w:val="22"/>
        </w:rPr>
        <w:t>而已</w:t>
      </w:r>
      <w:r w:rsidR="00364E2E">
        <w:rPr>
          <w:rFonts w:ascii="標楷體" w:eastAsia="標楷體" w:hAnsi="標楷體" w:hint="eastAsia"/>
          <w:color w:val="FF0000"/>
          <w:szCs w:val="22"/>
          <w:highlight w:val="yellow"/>
        </w:rPr>
        <w:t>；</w:t>
      </w:r>
      <w:r w:rsidRPr="00043A1E">
        <w:rPr>
          <w:rFonts w:ascii="標楷體" w:eastAsia="標楷體" w:hAnsi="標楷體"/>
          <w:szCs w:val="22"/>
        </w:rPr>
        <w:t>介爾有心</w:t>
      </w:r>
      <w:r w:rsidR="00364E2E" w:rsidRPr="00364E2E">
        <w:rPr>
          <w:rFonts w:ascii="標楷體" w:eastAsia="標楷體" w:hAnsi="標楷體" w:hint="eastAsia"/>
          <w:color w:val="FF0000"/>
          <w:szCs w:val="22"/>
          <w:highlight w:val="yellow"/>
        </w:rPr>
        <w:t>，</w:t>
      </w:r>
      <w:r w:rsidRPr="00043A1E">
        <w:rPr>
          <w:rFonts w:ascii="標楷體" w:eastAsia="標楷體" w:hAnsi="標楷體"/>
          <w:szCs w:val="22"/>
        </w:rPr>
        <w:t>即具三千。</w:t>
      </w:r>
    </w:p>
    <w:p w:rsidR="00157EF6" w:rsidRPr="00043A1E" w:rsidRDefault="00157EF6" w:rsidP="00AA120F">
      <w:pPr>
        <w:pStyle w:val="a5"/>
        <w:ind w:leftChars="105" w:left="252"/>
        <w:jc w:val="both"/>
        <w:rPr>
          <w:rFonts w:ascii="新細明體" w:hAnsi="新細明體"/>
          <w:szCs w:val="22"/>
        </w:rPr>
      </w:pPr>
      <w:r w:rsidRPr="00043A1E">
        <w:rPr>
          <w:rFonts w:ascii="新細明體" w:hAnsi="新細明體" w:hint="eastAsia"/>
          <w:szCs w:val="22"/>
        </w:rPr>
        <w:t>※案：十法界，即地獄、餓鬼、畜生、阿修羅、人、天、聲聞、緣覺、菩薩、佛。</w:t>
      </w:r>
    </w:p>
    <w:p w:rsidR="00157EF6" w:rsidRPr="00043A1E" w:rsidRDefault="00157EF6" w:rsidP="00AA120F">
      <w:pPr>
        <w:pStyle w:val="a5"/>
        <w:ind w:leftChars="375" w:left="900"/>
        <w:jc w:val="both"/>
        <w:rPr>
          <w:rFonts w:ascii="新細明體" w:hAnsi="新細明體"/>
          <w:szCs w:val="22"/>
        </w:rPr>
      </w:pPr>
      <w:r w:rsidRPr="00043A1E">
        <w:rPr>
          <w:rFonts w:ascii="新細明體" w:hAnsi="新細明體" w:hint="eastAsia"/>
          <w:szCs w:val="22"/>
        </w:rPr>
        <w:t>三世間：</w:t>
      </w:r>
      <w:r w:rsidRPr="00043A1E">
        <w:rPr>
          <w:rFonts w:ascii="新細明體" w:hAnsi="新細明體"/>
          <w:szCs w:val="22"/>
        </w:rPr>
        <w:t>五陰</w:t>
      </w:r>
      <w:r w:rsidRPr="00043A1E">
        <w:rPr>
          <w:rFonts w:ascii="新細明體" w:hAnsi="新細明體" w:hint="eastAsia"/>
          <w:szCs w:val="22"/>
        </w:rPr>
        <w:t>世間、</w:t>
      </w:r>
      <w:r w:rsidRPr="00043A1E">
        <w:rPr>
          <w:rFonts w:ascii="新細明體" w:hAnsi="新細明體"/>
          <w:szCs w:val="22"/>
        </w:rPr>
        <w:t>眾生</w:t>
      </w:r>
      <w:r w:rsidRPr="00043A1E">
        <w:rPr>
          <w:rFonts w:ascii="新細明體" w:hAnsi="新細明體" w:hint="eastAsia"/>
          <w:szCs w:val="22"/>
        </w:rPr>
        <w:t>世間</w:t>
      </w:r>
      <w:r w:rsidRPr="00043A1E">
        <w:rPr>
          <w:rFonts w:ascii="新細明體" w:hAnsi="新細明體"/>
          <w:szCs w:val="22"/>
        </w:rPr>
        <w:t>、國土</w:t>
      </w:r>
      <w:r w:rsidRPr="00043A1E">
        <w:rPr>
          <w:rFonts w:ascii="新細明體" w:hAnsi="新細明體" w:hint="eastAsia"/>
          <w:szCs w:val="22"/>
        </w:rPr>
        <w:t>世間。</w:t>
      </w:r>
    </w:p>
  </w:footnote>
  <w:footnote w:id="875">
    <w:p w:rsidR="00157EF6" w:rsidRPr="00043A1E" w:rsidRDefault="00157EF6" w:rsidP="00AA120F">
      <w:pPr>
        <w:pStyle w:val="a5"/>
        <w:spacing w:line="0" w:lineRule="atLeast"/>
        <w:ind w:left="792" w:hangingChars="360" w:hanging="792"/>
        <w:jc w:val="both"/>
        <w:rPr>
          <w:rFonts w:eastAsia="SimSun"/>
          <w:szCs w:val="22"/>
        </w:rPr>
      </w:pPr>
      <w:r w:rsidRPr="00043A1E">
        <w:rPr>
          <w:rStyle w:val="a6"/>
          <w:szCs w:val="22"/>
        </w:rPr>
        <w:footnoteRef/>
      </w:r>
      <w:r w:rsidRPr="00043A1E">
        <w:rPr>
          <w:rFonts w:hint="eastAsia"/>
          <w:szCs w:val="22"/>
        </w:rPr>
        <w:t xml:space="preserve"> </w:t>
      </w:r>
      <w:r w:rsidRPr="00043A1E">
        <w:rPr>
          <w:szCs w:val="22"/>
        </w:rPr>
        <w:t>（</w:t>
      </w:r>
      <w:r w:rsidRPr="00761EF3">
        <w:rPr>
          <w:rFonts w:hint="eastAsia"/>
          <w:szCs w:val="22"/>
        </w:rPr>
        <w:t>1</w:t>
      </w:r>
      <w:r w:rsidRPr="00043A1E">
        <w:rPr>
          <w:szCs w:val="22"/>
        </w:rPr>
        <w:t>）</w:t>
      </w:r>
      <w:r w:rsidRPr="00043A1E">
        <w:rPr>
          <w:rFonts w:hint="eastAsia"/>
          <w:b/>
          <w:szCs w:val="22"/>
        </w:rPr>
        <w:t>事造</w:t>
      </w:r>
      <w:r w:rsidRPr="00043A1E">
        <w:rPr>
          <w:rFonts w:hint="eastAsia"/>
          <w:szCs w:val="22"/>
        </w:rPr>
        <w:t>：為「理具」之對稱。係天台宗之教義。天台宗謂真理（法性之理體）圓具三千諸法，此三千諸法以染淨等之諸緣而有差別相狀之顯現，稱為事造。</w:t>
      </w:r>
      <w:r w:rsidRPr="00043A1E">
        <w:rPr>
          <w:szCs w:val="22"/>
        </w:rPr>
        <w:t>（《</w:t>
      </w:r>
      <w:r w:rsidRPr="00043A1E">
        <w:rPr>
          <w:rFonts w:hint="eastAsia"/>
          <w:szCs w:val="22"/>
        </w:rPr>
        <w:t>佛光大辭典</w:t>
      </w:r>
      <w:r w:rsidRPr="00043A1E">
        <w:rPr>
          <w:szCs w:val="22"/>
        </w:rPr>
        <w:t>》</w:t>
      </w:r>
      <w:r w:rsidRPr="00043A1E">
        <w:rPr>
          <w:rFonts w:hint="eastAsia"/>
          <w:szCs w:val="22"/>
        </w:rPr>
        <w:t>（四），</w:t>
      </w:r>
      <w:r w:rsidRPr="00761EF3">
        <w:rPr>
          <w:szCs w:val="22"/>
        </w:rPr>
        <w:t>p</w:t>
      </w:r>
      <w:r w:rsidRPr="00043A1E">
        <w:rPr>
          <w:szCs w:val="22"/>
        </w:rPr>
        <w:t>.</w:t>
      </w:r>
      <w:r w:rsidRPr="00761EF3">
        <w:rPr>
          <w:rFonts w:hint="eastAsia"/>
          <w:szCs w:val="22"/>
        </w:rPr>
        <w:t>3045</w:t>
      </w:r>
      <w:r w:rsidRPr="00043A1E">
        <w:rPr>
          <w:rFonts w:hint="eastAsia"/>
          <w:szCs w:val="22"/>
        </w:rPr>
        <w:t>.</w:t>
      </w:r>
      <w:r w:rsidRPr="00761EF3">
        <w:rPr>
          <w:rFonts w:hint="eastAsia"/>
          <w:szCs w:val="22"/>
        </w:rPr>
        <w:t>1</w:t>
      </w:r>
      <w:r w:rsidRPr="00043A1E">
        <w:rPr>
          <w:szCs w:val="22"/>
        </w:rPr>
        <w:t>）</w:t>
      </w:r>
    </w:p>
    <w:p w:rsidR="00157EF6" w:rsidRPr="00043A1E" w:rsidRDefault="00157EF6" w:rsidP="00AA120F">
      <w:pPr>
        <w:pStyle w:val="a5"/>
        <w:spacing w:line="290" w:lineRule="exact"/>
        <w:ind w:leftChars="105" w:left="791" w:hangingChars="245" w:hanging="539"/>
        <w:jc w:val="both"/>
        <w:rPr>
          <w:szCs w:val="22"/>
        </w:rPr>
      </w:pPr>
      <w:r w:rsidRPr="00043A1E">
        <w:rPr>
          <w:rFonts w:hint="eastAsia"/>
          <w:szCs w:val="22"/>
        </w:rPr>
        <w:t>（</w:t>
      </w:r>
      <w:r w:rsidRPr="00761EF3">
        <w:rPr>
          <w:rFonts w:hint="eastAsia"/>
          <w:szCs w:val="22"/>
        </w:rPr>
        <w:t>2</w:t>
      </w:r>
      <w:r w:rsidRPr="00043A1E">
        <w:rPr>
          <w:rFonts w:hint="eastAsia"/>
          <w:szCs w:val="22"/>
        </w:rPr>
        <w:t>）</w:t>
      </w:r>
      <w:r w:rsidRPr="00043A1E">
        <w:rPr>
          <w:rFonts w:hint="eastAsia"/>
          <w:b/>
          <w:szCs w:val="22"/>
        </w:rPr>
        <w:t>理具事造</w:t>
      </w:r>
      <w:r w:rsidRPr="00043A1E">
        <w:rPr>
          <w:rFonts w:hint="eastAsia"/>
          <w:szCs w:val="22"/>
        </w:rPr>
        <w:t>：</w:t>
      </w:r>
      <w:r w:rsidRPr="00043A1E">
        <w:rPr>
          <w:rFonts w:hint="eastAsia"/>
          <w:b/>
          <w:szCs w:val="22"/>
        </w:rPr>
        <w:t>理具</w:t>
      </w:r>
      <w:r w:rsidRPr="00043A1E">
        <w:rPr>
          <w:rFonts w:hint="eastAsia"/>
          <w:szCs w:val="22"/>
        </w:rPr>
        <w:t>，即本性，先天具有之如實本性，又作本具、理造、性具、性德；此本有之性，隨因緣顯現而造諸現象，則稱</w:t>
      </w:r>
      <w:r w:rsidRPr="00043A1E">
        <w:rPr>
          <w:rFonts w:hint="eastAsia"/>
          <w:b/>
          <w:szCs w:val="22"/>
        </w:rPr>
        <w:t>事造</w:t>
      </w:r>
      <w:r w:rsidRPr="00043A1E">
        <w:rPr>
          <w:rFonts w:hint="eastAsia"/>
          <w:szCs w:val="22"/>
        </w:rPr>
        <w:t>，又作變造、事用、修起、修德、修具。天台宗認為於一念之心，具有三千諸法，此即一念三千之說。其本性圓滿具足萬有，稱為理具三千、理造三千、性具三千。此理具三千常隨緣成為現象界，有其森羅萬象之差別相，稱為事造三千、事用三千、變造三千、修具三千。以上合稱事理三千，又作兩重三千、兩種三千，依其順次而表示其體與用。然一一萬法均具本來三千諸法而無缺，理具與事造之名雖異，但兩者之體為一，故不合為六千之法。</w:t>
      </w:r>
      <w:r w:rsidRPr="00043A1E">
        <w:rPr>
          <w:szCs w:val="22"/>
        </w:rPr>
        <w:t>（《</w:t>
      </w:r>
      <w:r w:rsidRPr="00043A1E">
        <w:rPr>
          <w:rFonts w:hint="eastAsia"/>
          <w:szCs w:val="22"/>
        </w:rPr>
        <w:t>佛光大辭典</w:t>
      </w:r>
      <w:r w:rsidRPr="00043A1E">
        <w:rPr>
          <w:szCs w:val="22"/>
        </w:rPr>
        <w:t>》</w:t>
      </w:r>
      <w:r w:rsidRPr="00043A1E">
        <w:rPr>
          <w:rFonts w:hint="eastAsia"/>
          <w:szCs w:val="22"/>
        </w:rPr>
        <w:t>（五），</w:t>
      </w:r>
      <w:r w:rsidRPr="00761EF3">
        <w:rPr>
          <w:rFonts w:hint="eastAsia"/>
          <w:szCs w:val="22"/>
        </w:rPr>
        <w:t>p</w:t>
      </w:r>
      <w:r w:rsidRPr="00761EF3">
        <w:rPr>
          <w:szCs w:val="22"/>
        </w:rPr>
        <w:t>p</w:t>
      </w:r>
      <w:r w:rsidRPr="00043A1E">
        <w:rPr>
          <w:szCs w:val="22"/>
        </w:rPr>
        <w:t>.</w:t>
      </w:r>
      <w:r w:rsidRPr="00761EF3">
        <w:rPr>
          <w:rFonts w:hint="eastAsia"/>
          <w:szCs w:val="22"/>
        </w:rPr>
        <w:t>4718</w:t>
      </w:r>
      <w:r w:rsidRPr="00043A1E">
        <w:rPr>
          <w:rFonts w:hint="eastAsia"/>
          <w:szCs w:val="22"/>
        </w:rPr>
        <w:t>.</w:t>
      </w:r>
      <w:r w:rsidRPr="00761EF3">
        <w:rPr>
          <w:rFonts w:hint="eastAsia"/>
          <w:szCs w:val="22"/>
        </w:rPr>
        <w:t>3</w:t>
      </w:r>
      <w:r w:rsidRPr="00043A1E">
        <w:rPr>
          <w:rFonts w:hint="eastAsia"/>
          <w:szCs w:val="22"/>
        </w:rPr>
        <w:t>-</w:t>
      </w:r>
      <w:r w:rsidRPr="00761EF3">
        <w:rPr>
          <w:rFonts w:hint="eastAsia"/>
          <w:szCs w:val="22"/>
        </w:rPr>
        <w:t>4719</w:t>
      </w:r>
      <w:r w:rsidRPr="00043A1E">
        <w:rPr>
          <w:rFonts w:hint="eastAsia"/>
          <w:szCs w:val="22"/>
        </w:rPr>
        <w:t>.</w:t>
      </w:r>
      <w:r w:rsidRPr="00761EF3">
        <w:rPr>
          <w:rFonts w:hint="eastAsia"/>
          <w:szCs w:val="22"/>
        </w:rPr>
        <w:t>1</w:t>
      </w:r>
      <w:r w:rsidRPr="00043A1E">
        <w:rPr>
          <w:szCs w:val="22"/>
        </w:rPr>
        <w:t>）</w:t>
      </w:r>
    </w:p>
    <w:p w:rsidR="00157EF6" w:rsidRPr="00043A1E" w:rsidRDefault="00157EF6" w:rsidP="00AA120F">
      <w:pPr>
        <w:pStyle w:val="a5"/>
        <w:spacing w:line="290" w:lineRule="exact"/>
        <w:ind w:leftChars="105" w:left="791" w:hangingChars="245" w:hanging="539"/>
        <w:jc w:val="both"/>
        <w:rPr>
          <w:szCs w:val="22"/>
        </w:rPr>
      </w:pPr>
      <w:r w:rsidRPr="00043A1E">
        <w:rPr>
          <w:rFonts w:eastAsia="SimSun" w:hint="eastAsia"/>
          <w:szCs w:val="22"/>
        </w:rPr>
        <w:t>（</w:t>
      </w:r>
      <w:r w:rsidRPr="00761EF3">
        <w:rPr>
          <w:rFonts w:hint="eastAsia"/>
          <w:szCs w:val="22"/>
        </w:rPr>
        <w:t>3</w:t>
      </w:r>
      <w:r w:rsidRPr="00043A1E">
        <w:rPr>
          <w:rFonts w:eastAsia="SimSun" w:hint="eastAsia"/>
          <w:szCs w:val="22"/>
        </w:rPr>
        <w:t>）</w:t>
      </w:r>
      <w:r w:rsidRPr="00043A1E">
        <w:rPr>
          <w:szCs w:val="22"/>
        </w:rPr>
        <w:t>印順法師</w:t>
      </w:r>
      <w:r w:rsidRPr="00043A1E">
        <w:rPr>
          <w:rFonts w:hint="eastAsia"/>
          <w:szCs w:val="22"/>
        </w:rPr>
        <w:t>，</w:t>
      </w:r>
      <w:r w:rsidRPr="00043A1E">
        <w:rPr>
          <w:szCs w:val="22"/>
        </w:rPr>
        <w:t>《無諍之辯》</w:t>
      </w:r>
      <w:r w:rsidRPr="00043A1E">
        <w:rPr>
          <w:rFonts w:hint="eastAsia"/>
          <w:szCs w:val="22"/>
        </w:rPr>
        <w:t>，</w:t>
      </w:r>
      <w:r w:rsidRPr="00761EF3">
        <w:rPr>
          <w:szCs w:val="22"/>
        </w:rPr>
        <w:t>p</w:t>
      </w:r>
      <w:r w:rsidRPr="00043A1E">
        <w:rPr>
          <w:szCs w:val="22"/>
        </w:rPr>
        <w:t>.</w:t>
      </w:r>
      <w:r w:rsidRPr="00761EF3">
        <w:rPr>
          <w:szCs w:val="22"/>
        </w:rPr>
        <w:t>17</w:t>
      </w:r>
      <w:r w:rsidRPr="00043A1E">
        <w:rPr>
          <w:szCs w:val="22"/>
        </w:rPr>
        <w:t>：</w:t>
      </w:r>
    </w:p>
    <w:p w:rsidR="00157EF6" w:rsidRPr="00043A1E" w:rsidRDefault="00157EF6" w:rsidP="00AA120F">
      <w:pPr>
        <w:pStyle w:val="a5"/>
        <w:spacing w:line="290" w:lineRule="exact"/>
        <w:ind w:leftChars="335" w:left="804"/>
        <w:jc w:val="both"/>
        <w:rPr>
          <w:rFonts w:ascii="標楷體" w:eastAsia="SimSun" w:hAnsi="標楷體"/>
          <w:szCs w:val="22"/>
        </w:rPr>
      </w:pPr>
      <w:r w:rsidRPr="00043A1E">
        <w:rPr>
          <w:rFonts w:ascii="標楷體" w:eastAsia="標楷體" w:hAnsi="標楷體"/>
          <w:szCs w:val="22"/>
        </w:rPr>
        <w:t>天臺家說「性具」：真性具足一切法而泯然無別，即性具而現為「</w:t>
      </w:r>
      <w:r w:rsidRPr="00043A1E">
        <w:rPr>
          <w:rFonts w:ascii="標楷體" w:eastAsia="標楷體" w:hAnsi="標楷體"/>
          <w:b/>
          <w:szCs w:val="22"/>
        </w:rPr>
        <w:t>事造</w:t>
      </w:r>
      <w:r w:rsidRPr="00043A1E">
        <w:rPr>
          <w:rFonts w:ascii="標楷體" w:eastAsia="標楷體" w:hAnsi="標楷體"/>
          <w:szCs w:val="22"/>
        </w:rPr>
        <w:t>」，理事不二。</w:t>
      </w:r>
    </w:p>
    <w:p w:rsidR="00157EF6" w:rsidRPr="00043A1E" w:rsidRDefault="00157EF6" w:rsidP="00AA120F">
      <w:pPr>
        <w:pStyle w:val="a5"/>
        <w:spacing w:line="290" w:lineRule="exact"/>
        <w:ind w:leftChars="105" w:left="791" w:hangingChars="245" w:hanging="539"/>
        <w:jc w:val="both"/>
        <w:rPr>
          <w:rFonts w:ascii="標楷體" w:eastAsia="SimSun" w:hAnsi="標楷體"/>
          <w:szCs w:val="22"/>
        </w:rPr>
      </w:pPr>
      <w:r w:rsidRPr="00043A1E">
        <w:rPr>
          <w:rFonts w:eastAsia="SimSun" w:hint="eastAsia"/>
          <w:szCs w:val="22"/>
        </w:rPr>
        <w:t>（</w:t>
      </w:r>
      <w:r w:rsidRPr="00761EF3">
        <w:rPr>
          <w:rFonts w:hint="eastAsia"/>
          <w:szCs w:val="22"/>
        </w:rPr>
        <w:t>4</w:t>
      </w:r>
      <w:r w:rsidRPr="00043A1E">
        <w:rPr>
          <w:rFonts w:eastAsia="SimSun" w:hint="eastAsia"/>
          <w:szCs w:val="22"/>
        </w:rPr>
        <w:t>）</w:t>
      </w:r>
      <w:r w:rsidRPr="00043A1E">
        <w:rPr>
          <w:szCs w:val="22"/>
        </w:rPr>
        <w:t>印順</w:t>
      </w:r>
      <w:r w:rsidRPr="007C097F">
        <w:rPr>
          <w:szCs w:val="22"/>
        </w:rPr>
        <w:t>法師</w:t>
      </w:r>
      <w:r w:rsidRPr="00043A1E">
        <w:rPr>
          <w:rFonts w:hint="eastAsia"/>
          <w:szCs w:val="22"/>
        </w:rPr>
        <w:t>，</w:t>
      </w:r>
      <w:r w:rsidRPr="00043A1E">
        <w:rPr>
          <w:szCs w:val="22"/>
        </w:rPr>
        <w:t>《</w:t>
      </w:r>
      <w:r w:rsidRPr="00043A1E">
        <w:rPr>
          <w:rFonts w:ascii="標楷體" w:eastAsia="SimSun" w:hAnsi="標楷體" w:hint="eastAsia"/>
          <w:szCs w:val="22"/>
        </w:rPr>
        <w:t>佛教史地考論</w:t>
      </w:r>
      <w:r w:rsidRPr="00043A1E">
        <w:rPr>
          <w:szCs w:val="22"/>
        </w:rPr>
        <w:t>》</w:t>
      </w:r>
      <w:r w:rsidRPr="00043A1E">
        <w:rPr>
          <w:rFonts w:hint="eastAsia"/>
          <w:szCs w:val="22"/>
        </w:rPr>
        <w:t>，</w:t>
      </w:r>
      <w:r w:rsidRPr="00761EF3">
        <w:rPr>
          <w:rFonts w:hint="eastAsia"/>
          <w:szCs w:val="22"/>
        </w:rPr>
        <w:t>p</w:t>
      </w:r>
      <w:r w:rsidRPr="00043A1E">
        <w:rPr>
          <w:rFonts w:hint="eastAsia"/>
          <w:szCs w:val="22"/>
        </w:rPr>
        <w:t>.</w:t>
      </w:r>
      <w:r w:rsidRPr="00761EF3">
        <w:rPr>
          <w:rFonts w:hint="eastAsia"/>
          <w:szCs w:val="22"/>
        </w:rPr>
        <w:t>28</w:t>
      </w:r>
      <w:r w:rsidRPr="00043A1E">
        <w:rPr>
          <w:rFonts w:hint="eastAsia"/>
          <w:szCs w:val="22"/>
        </w:rPr>
        <w:t>：</w:t>
      </w:r>
    </w:p>
    <w:p w:rsidR="00157EF6" w:rsidRPr="00043A1E" w:rsidRDefault="00157EF6" w:rsidP="00AA120F">
      <w:pPr>
        <w:pStyle w:val="a5"/>
        <w:spacing w:line="290" w:lineRule="exact"/>
        <w:ind w:leftChars="335" w:left="804"/>
        <w:jc w:val="both"/>
        <w:rPr>
          <w:szCs w:val="22"/>
        </w:rPr>
      </w:pPr>
      <w:r w:rsidRPr="00043A1E">
        <w:rPr>
          <w:rFonts w:ascii="標楷體" w:eastAsia="標楷體" w:hAnsi="標楷體" w:hint="eastAsia"/>
          <w:szCs w:val="22"/>
        </w:rPr>
        <w:t>智者雖多稱《般若》、《中論》、《大智度論》，而於空假外別存中道，不止於即空即假為中，且進而即空即假即中。觀百界千如於一心，說理具</w:t>
      </w:r>
      <w:r w:rsidRPr="00043A1E">
        <w:rPr>
          <w:rFonts w:ascii="標楷體" w:eastAsia="標楷體" w:hAnsi="標楷體" w:hint="eastAsia"/>
          <w:b/>
          <w:szCs w:val="22"/>
        </w:rPr>
        <w:t>事造</w:t>
      </w:r>
      <w:r w:rsidRPr="00043A1E">
        <w:rPr>
          <w:rFonts w:ascii="標楷體" w:eastAsia="標楷體" w:hAnsi="標楷體" w:hint="eastAsia"/>
          <w:szCs w:val="22"/>
        </w:rPr>
        <w:t>；已從空入中，集真空妙有之大成也。</w:t>
      </w:r>
    </w:p>
  </w:footnote>
  <w:footnote w:id="876">
    <w:p w:rsidR="00157EF6" w:rsidRPr="00043A1E" w:rsidRDefault="00157EF6" w:rsidP="00AA120F">
      <w:pPr>
        <w:pStyle w:val="a5"/>
        <w:spacing w:line="290" w:lineRule="exact"/>
        <w:ind w:left="253" w:hangingChars="115" w:hanging="253"/>
        <w:jc w:val="both"/>
        <w:rPr>
          <w:rFonts w:eastAsia="SimSun"/>
          <w:szCs w:val="22"/>
        </w:rPr>
      </w:pPr>
      <w:r w:rsidRPr="00043A1E">
        <w:rPr>
          <w:rStyle w:val="a6"/>
          <w:szCs w:val="22"/>
        </w:rPr>
        <w:footnoteRef/>
      </w:r>
      <w:r w:rsidRPr="00043A1E">
        <w:rPr>
          <w:rFonts w:eastAsia="SimSun" w:hint="eastAsia"/>
          <w:szCs w:val="22"/>
        </w:rPr>
        <w:t xml:space="preserve"> </w:t>
      </w:r>
      <w:r w:rsidRPr="00043A1E">
        <w:rPr>
          <w:rFonts w:hint="eastAsia"/>
          <w:szCs w:val="22"/>
        </w:rPr>
        <w:t>行布：次第行布門之略稱。行者，行列；布者，佈置。乃華嚴宗就菩薩進趣至佛果之修行階位所立法門之一。為「圓融門」之對稱。華嚴宗判立由菩薩進趣佛果之階位為二門：（一）初後相即，初發心時，便成正覺者，稱圓融門。（二）初後次第，《華嚴經》第二會〈名號品〉至第六會〈小相光明品〉之二十八品，說十信、十住、十行、十迴向、十地、等覺、妙覺等五十二位，凡夫可由此順序漸進至佛果位，稱為行布門。</w:t>
      </w:r>
      <w:r w:rsidRPr="00043A1E">
        <w:rPr>
          <w:szCs w:val="22"/>
        </w:rPr>
        <w:t>（</w:t>
      </w:r>
      <w:r w:rsidRPr="00043A1E">
        <w:rPr>
          <w:rFonts w:hint="eastAsia"/>
          <w:szCs w:val="22"/>
        </w:rPr>
        <w:t>《佛光大辭典》（三），</w:t>
      </w:r>
      <w:r w:rsidRPr="00761EF3">
        <w:rPr>
          <w:rFonts w:hint="eastAsia"/>
          <w:szCs w:val="22"/>
        </w:rPr>
        <w:t>pp</w:t>
      </w:r>
      <w:r w:rsidRPr="00043A1E">
        <w:rPr>
          <w:rFonts w:hint="eastAsia"/>
          <w:szCs w:val="22"/>
        </w:rPr>
        <w:t>.</w:t>
      </w:r>
      <w:r w:rsidRPr="00761EF3">
        <w:rPr>
          <w:rFonts w:hint="eastAsia"/>
          <w:szCs w:val="22"/>
        </w:rPr>
        <w:t>2553</w:t>
      </w:r>
      <w:r w:rsidRPr="00043A1E">
        <w:rPr>
          <w:rFonts w:hint="eastAsia"/>
          <w:szCs w:val="22"/>
        </w:rPr>
        <w:t>.</w:t>
      </w:r>
      <w:r w:rsidRPr="00761EF3">
        <w:rPr>
          <w:rFonts w:hint="eastAsia"/>
          <w:szCs w:val="22"/>
        </w:rPr>
        <w:t>3</w:t>
      </w:r>
      <w:r w:rsidRPr="00043A1E">
        <w:rPr>
          <w:rFonts w:hint="eastAsia"/>
          <w:szCs w:val="22"/>
        </w:rPr>
        <w:t>-</w:t>
      </w:r>
      <w:r w:rsidRPr="00761EF3">
        <w:rPr>
          <w:rFonts w:hint="eastAsia"/>
          <w:szCs w:val="22"/>
        </w:rPr>
        <w:t>2554</w:t>
      </w:r>
      <w:r w:rsidRPr="00043A1E">
        <w:rPr>
          <w:rFonts w:hint="eastAsia"/>
          <w:szCs w:val="22"/>
        </w:rPr>
        <w:t>.</w:t>
      </w:r>
      <w:r w:rsidRPr="00761EF3">
        <w:rPr>
          <w:rFonts w:hint="eastAsia"/>
          <w:szCs w:val="22"/>
        </w:rPr>
        <w:t>1</w:t>
      </w:r>
      <w:r w:rsidRPr="00043A1E">
        <w:rPr>
          <w:szCs w:val="22"/>
        </w:rPr>
        <w:t>）</w:t>
      </w:r>
    </w:p>
  </w:footnote>
  <w:footnote w:id="877">
    <w:p w:rsidR="00157EF6" w:rsidRPr="00043A1E" w:rsidRDefault="00157EF6" w:rsidP="00AA120F">
      <w:pPr>
        <w:pStyle w:val="a5"/>
        <w:spacing w:line="290" w:lineRule="exact"/>
        <w:ind w:left="253" w:hangingChars="115" w:hanging="253"/>
        <w:jc w:val="both"/>
        <w:rPr>
          <w:rFonts w:eastAsia="SimSun"/>
          <w:szCs w:val="22"/>
        </w:rPr>
      </w:pPr>
      <w:r w:rsidRPr="00043A1E">
        <w:rPr>
          <w:rStyle w:val="a6"/>
          <w:szCs w:val="22"/>
        </w:rPr>
        <w:footnoteRef/>
      </w:r>
      <w:r w:rsidRPr="00043A1E">
        <w:rPr>
          <w:rFonts w:eastAsia="SimSun" w:hint="eastAsia"/>
          <w:szCs w:val="22"/>
        </w:rPr>
        <w:t xml:space="preserve"> </w:t>
      </w:r>
      <w:r w:rsidRPr="00043A1E">
        <w:rPr>
          <w:szCs w:val="22"/>
        </w:rPr>
        <w:t>〔唐〕澄觀撰，《大方廣佛華嚴經疏》（大正</w:t>
      </w:r>
      <w:r w:rsidRPr="00761EF3">
        <w:rPr>
          <w:szCs w:val="22"/>
        </w:rPr>
        <w:t>35</w:t>
      </w:r>
      <w:r w:rsidRPr="00043A1E">
        <w:rPr>
          <w:szCs w:val="22"/>
        </w:rPr>
        <w:t>，</w:t>
      </w:r>
      <w:r w:rsidRPr="00761EF3">
        <w:rPr>
          <w:szCs w:val="22"/>
        </w:rPr>
        <w:t>504b17</w:t>
      </w:r>
      <w:r w:rsidRPr="00043A1E">
        <w:rPr>
          <w:rFonts w:hint="eastAsia"/>
          <w:szCs w:val="22"/>
        </w:rPr>
        <w:t>-</w:t>
      </w:r>
      <w:r w:rsidRPr="00761EF3">
        <w:rPr>
          <w:szCs w:val="22"/>
        </w:rPr>
        <w:t>27</w:t>
      </w:r>
      <w:r w:rsidRPr="00043A1E">
        <w:rPr>
          <w:szCs w:val="22"/>
        </w:rPr>
        <w:t>）：</w:t>
      </w:r>
    </w:p>
    <w:p w:rsidR="00157EF6" w:rsidRPr="00043A1E" w:rsidRDefault="00157EF6" w:rsidP="00AA120F">
      <w:pPr>
        <w:pStyle w:val="a5"/>
        <w:spacing w:line="290" w:lineRule="exact"/>
        <w:ind w:leftChars="105" w:left="252"/>
        <w:jc w:val="both"/>
        <w:rPr>
          <w:rFonts w:ascii="標楷體" w:eastAsia="標楷體" w:hAnsi="標楷體"/>
          <w:szCs w:val="22"/>
        </w:rPr>
      </w:pPr>
      <w:r w:rsidRPr="00043A1E">
        <w:rPr>
          <w:rFonts w:ascii="標楷體" w:eastAsia="標楷體" w:hAnsi="標楷體"/>
          <w:szCs w:val="22"/>
        </w:rPr>
        <w:t>夫聖人之大寶曰</w:t>
      </w:r>
      <w:r w:rsidR="00A02779">
        <w:rPr>
          <w:rFonts w:ascii="標楷體" w:eastAsia="標楷體" w:hAnsi="標楷體" w:hint="eastAsia"/>
          <w:bCs/>
          <w:color w:val="FF0000"/>
          <w:kern w:val="0"/>
          <w:highlight w:val="yellow"/>
        </w:rPr>
        <w:t>「</w:t>
      </w:r>
      <w:r w:rsidRPr="00043A1E">
        <w:rPr>
          <w:rFonts w:ascii="標楷體" w:eastAsia="標楷體" w:hAnsi="標楷體"/>
          <w:szCs w:val="22"/>
        </w:rPr>
        <w:t>位</w:t>
      </w:r>
      <w:r w:rsidR="00A02779">
        <w:rPr>
          <w:rFonts w:ascii="標楷體" w:eastAsia="標楷體" w:hAnsi="標楷體" w:hint="eastAsia"/>
          <w:bCs/>
          <w:color w:val="FF0000"/>
          <w:kern w:val="0"/>
          <w:highlight w:val="yellow"/>
        </w:rPr>
        <w:t>」</w:t>
      </w:r>
      <w:r w:rsidR="00A02779">
        <w:rPr>
          <w:rFonts w:ascii="標楷體" w:eastAsia="標楷體" w:hAnsi="標楷體" w:hint="eastAsia"/>
          <w:color w:val="FF0000"/>
          <w:spacing w:val="-4"/>
          <w:kern w:val="0"/>
          <w:highlight w:val="yellow"/>
        </w:rPr>
        <w:t>；</w:t>
      </w:r>
      <w:r w:rsidRPr="00043A1E">
        <w:rPr>
          <w:rFonts w:ascii="標楷體" w:eastAsia="標楷體" w:hAnsi="標楷體"/>
          <w:szCs w:val="22"/>
        </w:rPr>
        <w:t>若無此位</w:t>
      </w:r>
      <w:r w:rsidRPr="00043A1E">
        <w:rPr>
          <w:rFonts w:ascii="標楷體" w:eastAsia="標楷體" w:hAnsi="標楷體" w:hint="eastAsia"/>
          <w:szCs w:val="22"/>
        </w:rPr>
        <w:t>，</w:t>
      </w:r>
      <w:r w:rsidRPr="00043A1E">
        <w:rPr>
          <w:rFonts w:ascii="標楷體" w:eastAsia="標楷體" w:hAnsi="標楷體"/>
          <w:szCs w:val="22"/>
        </w:rPr>
        <w:t>行無成故。此亦二種</w:t>
      </w:r>
      <w:r w:rsidRPr="00043A1E">
        <w:rPr>
          <w:rFonts w:ascii="標楷體" w:eastAsia="標楷體" w:hAnsi="標楷體" w:hint="eastAsia"/>
          <w:szCs w:val="22"/>
        </w:rPr>
        <w:t>：</w:t>
      </w:r>
      <w:r w:rsidRPr="00043A1E">
        <w:rPr>
          <w:rFonts w:ascii="標楷體" w:eastAsia="標楷體" w:hAnsi="標楷體"/>
          <w:szCs w:val="22"/>
        </w:rPr>
        <w:t>一</w:t>
      </w:r>
      <w:r w:rsidRPr="00043A1E">
        <w:rPr>
          <w:rFonts w:ascii="標楷體" w:eastAsia="標楷體" w:hAnsi="標楷體" w:hint="eastAsia"/>
          <w:szCs w:val="22"/>
        </w:rPr>
        <w:t>、</w:t>
      </w:r>
      <w:r w:rsidRPr="00043A1E">
        <w:rPr>
          <w:rFonts w:ascii="標楷體" w:eastAsia="標楷體" w:hAnsi="標楷體"/>
          <w:szCs w:val="22"/>
        </w:rPr>
        <w:t>行布門，立位差別故</w:t>
      </w:r>
      <w:r w:rsidRPr="00043A1E">
        <w:rPr>
          <w:rFonts w:ascii="標楷體" w:eastAsia="標楷體" w:hAnsi="標楷體" w:hint="eastAsia"/>
          <w:szCs w:val="22"/>
        </w:rPr>
        <w:t>；</w:t>
      </w:r>
      <w:r w:rsidRPr="00043A1E">
        <w:rPr>
          <w:rFonts w:ascii="標楷體" w:eastAsia="標楷體" w:hAnsi="標楷體"/>
          <w:szCs w:val="22"/>
        </w:rPr>
        <w:t>二</w:t>
      </w:r>
      <w:r w:rsidRPr="00043A1E">
        <w:rPr>
          <w:rFonts w:ascii="標楷體" w:eastAsia="標楷體" w:hAnsi="標楷體" w:hint="eastAsia"/>
          <w:szCs w:val="22"/>
        </w:rPr>
        <w:t>、</w:t>
      </w:r>
      <w:r w:rsidRPr="00043A1E">
        <w:rPr>
          <w:rFonts w:ascii="標楷體" w:eastAsia="標楷體" w:hAnsi="標楷體"/>
          <w:szCs w:val="22"/>
        </w:rPr>
        <w:t>圓融門，一位即攝一切位故，一一位滿即至佛故。初地云</w:t>
      </w:r>
      <w:r w:rsidRPr="00043A1E">
        <w:rPr>
          <w:rFonts w:ascii="標楷體" w:eastAsia="標楷體" w:hAnsi="標楷體" w:hint="eastAsia"/>
          <w:szCs w:val="22"/>
        </w:rPr>
        <w:t>：</w:t>
      </w:r>
      <w:r w:rsidRPr="00043A1E">
        <w:rPr>
          <w:rFonts w:ascii="標楷體" w:eastAsia="標楷體" w:hAnsi="標楷體"/>
          <w:szCs w:val="22"/>
        </w:rPr>
        <w:t>一地之中，具攝一切諸地功德，信該果海，初發心時便成正覺等。然此二無礙，以</w:t>
      </w:r>
      <w:r w:rsidRPr="00043A1E">
        <w:rPr>
          <w:rFonts w:ascii="標楷體" w:eastAsia="標楷體" w:hAnsi="標楷體" w:hint="eastAsia"/>
          <w:szCs w:val="22"/>
        </w:rPr>
        <w:t>「</w:t>
      </w:r>
      <w:r w:rsidRPr="00043A1E">
        <w:rPr>
          <w:rFonts w:ascii="標楷體" w:eastAsia="標楷體" w:hAnsi="標楷體"/>
          <w:szCs w:val="22"/>
        </w:rPr>
        <w:t>行布</w:t>
      </w:r>
      <w:r w:rsidRPr="00043A1E">
        <w:rPr>
          <w:rFonts w:ascii="標楷體" w:eastAsia="標楷體" w:hAnsi="標楷體" w:hint="eastAsia"/>
          <w:szCs w:val="22"/>
        </w:rPr>
        <w:t>」</w:t>
      </w:r>
      <w:r w:rsidRPr="00043A1E">
        <w:rPr>
          <w:rFonts w:ascii="標楷體" w:eastAsia="標楷體" w:hAnsi="標楷體"/>
          <w:szCs w:val="22"/>
        </w:rPr>
        <w:t>是教相施設，</w:t>
      </w:r>
      <w:r w:rsidRPr="00043A1E">
        <w:rPr>
          <w:rFonts w:ascii="標楷體" w:eastAsia="標楷體" w:hAnsi="標楷體" w:hint="eastAsia"/>
          <w:szCs w:val="22"/>
        </w:rPr>
        <w:t>「</w:t>
      </w:r>
      <w:r w:rsidRPr="00043A1E">
        <w:rPr>
          <w:rFonts w:ascii="標楷體" w:eastAsia="標楷體" w:hAnsi="標楷體"/>
          <w:szCs w:val="22"/>
        </w:rPr>
        <w:t>圓融</w:t>
      </w:r>
      <w:r w:rsidRPr="00043A1E">
        <w:rPr>
          <w:rFonts w:ascii="標楷體" w:eastAsia="標楷體" w:hAnsi="標楷體" w:hint="eastAsia"/>
          <w:szCs w:val="22"/>
        </w:rPr>
        <w:t>」</w:t>
      </w:r>
      <w:r w:rsidRPr="00043A1E">
        <w:rPr>
          <w:rFonts w:ascii="標楷體" w:eastAsia="標楷體" w:hAnsi="標楷體"/>
          <w:szCs w:val="22"/>
        </w:rPr>
        <w:t>是理性德用。</w:t>
      </w:r>
      <w:r w:rsidR="00A02779">
        <w:rPr>
          <w:rFonts w:ascii="標楷體" w:eastAsia="標楷體" w:hAnsi="標楷體" w:hint="eastAsia"/>
          <w:bCs/>
          <w:color w:val="FF0000"/>
          <w:kern w:val="0"/>
          <w:highlight w:val="yellow"/>
        </w:rPr>
        <w:t>「</w:t>
      </w:r>
      <w:r w:rsidRPr="00043A1E">
        <w:rPr>
          <w:rFonts w:ascii="標楷體" w:eastAsia="標楷體" w:hAnsi="標楷體"/>
          <w:szCs w:val="22"/>
        </w:rPr>
        <w:t>相</w:t>
      </w:r>
      <w:r w:rsidR="00A02779">
        <w:rPr>
          <w:rFonts w:ascii="標楷體" w:eastAsia="標楷體" w:hAnsi="標楷體" w:hint="eastAsia"/>
          <w:bCs/>
          <w:color w:val="FF0000"/>
          <w:kern w:val="0"/>
          <w:highlight w:val="yellow"/>
        </w:rPr>
        <w:t>」</w:t>
      </w:r>
      <w:r w:rsidRPr="00043A1E">
        <w:rPr>
          <w:rFonts w:ascii="標楷體" w:eastAsia="標楷體" w:hAnsi="標楷體"/>
          <w:szCs w:val="22"/>
        </w:rPr>
        <w:t>是</w:t>
      </w:r>
      <w:r w:rsidR="00A02779">
        <w:rPr>
          <w:rFonts w:ascii="標楷體" w:eastAsia="標楷體" w:hAnsi="標楷體" w:hint="eastAsia"/>
          <w:bCs/>
          <w:color w:val="FF0000"/>
          <w:kern w:val="0"/>
          <w:highlight w:val="yellow"/>
        </w:rPr>
        <w:t>「</w:t>
      </w:r>
      <w:r w:rsidRPr="00043A1E">
        <w:rPr>
          <w:rFonts w:ascii="標楷體" w:eastAsia="標楷體" w:hAnsi="標楷體"/>
          <w:szCs w:val="22"/>
        </w:rPr>
        <w:t>即性之相</w:t>
      </w:r>
      <w:r w:rsidR="00A02779">
        <w:rPr>
          <w:rFonts w:ascii="標楷體" w:eastAsia="標楷體" w:hAnsi="標楷體" w:hint="eastAsia"/>
          <w:bCs/>
          <w:color w:val="FF0000"/>
          <w:kern w:val="0"/>
          <w:highlight w:val="yellow"/>
        </w:rPr>
        <w:t>」</w:t>
      </w:r>
      <w:r w:rsidRPr="00043A1E">
        <w:rPr>
          <w:rFonts w:ascii="標楷體" w:eastAsia="標楷體" w:hAnsi="標楷體"/>
          <w:szCs w:val="22"/>
        </w:rPr>
        <w:t>，故</w:t>
      </w:r>
      <w:r w:rsidR="00A02779">
        <w:rPr>
          <w:rFonts w:ascii="標楷體" w:eastAsia="標楷體" w:hAnsi="標楷體" w:hint="eastAsia"/>
          <w:bCs/>
          <w:color w:val="FF0000"/>
          <w:kern w:val="0"/>
          <w:highlight w:val="yellow"/>
        </w:rPr>
        <w:t>「</w:t>
      </w:r>
      <w:r w:rsidRPr="00043A1E">
        <w:rPr>
          <w:rFonts w:ascii="標楷體" w:eastAsia="標楷體" w:hAnsi="標楷體"/>
          <w:b/>
          <w:szCs w:val="22"/>
        </w:rPr>
        <w:t>行布</w:t>
      </w:r>
      <w:r w:rsidR="00A02779">
        <w:rPr>
          <w:rFonts w:ascii="標楷體" w:eastAsia="標楷體" w:hAnsi="標楷體" w:hint="eastAsia"/>
          <w:bCs/>
          <w:color w:val="FF0000"/>
          <w:kern w:val="0"/>
          <w:highlight w:val="yellow"/>
        </w:rPr>
        <w:t>」</w:t>
      </w:r>
      <w:r w:rsidRPr="00043A1E">
        <w:rPr>
          <w:rFonts w:ascii="標楷體" w:eastAsia="標楷體" w:hAnsi="標楷體"/>
          <w:b/>
          <w:szCs w:val="22"/>
        </w:rPr>
        <w:t>不礙</w:t>
      </w:r>
      <w:r w:rsidR="00A02779">
        <w:rPr>
          <w:rFonts w:ascii="標楷體" w:eastAsia="標楷體" w:hAnsi="標楷體" w:hint="eastAsia"/>
          <w:bCs/>
          <w:color w:val="FF0000"/>
          <w:kern w:val="0"/>
          <w:highlight w:val="yellow"/>
        </w:rPr>
        <w:t>「</w:t>
      </w:r>
      <w:r w:rsidRPr="00043A1E">
        <w:rPr>
          <w:rFonts w:ascii="標楷體" w:eastAsia="標楷體" w:hAnsi="標楷體"/>
          <w:b/>
          <w:szCs w:val="22"/>
        </w:rPr>
        <w:t>圓融</w:t>
      </w:r>
      <w:r w:rsidR="00A02779">
        <w:rPr>
          <w:rFonts w:ascii="標楷體" w:eastAsia="標楷體" w:hAnsi="標楷體" w:hint="eastAsia"/>
          <w:bCs/>
          <w:color w:val="FF0000"/>
          <w:kern w:val="0"/>
          <w:highlight w:val="yellow"/>
        </w:rPr>
        <w:t>」</w:t>
      </w:r>
      <w:r w:rsidR="00A02779">
        <w:rPr>
          <w:rFonts w:ascii="標楷體" w:eastAsia="標楷體" w:hAnsi="標楷體" w:hint="eastAsia"/>
          <w:color w:val="FF0000"/>
          <w:spacing w:val="-4"/>
          <w:kern w:val="0"/>
          <w:highlight w:val="yellow"/>
        </w:rPr>
        <w:t>；</w:t>
      </w:r>
      <w:r w:rsidR="00A02779">
        <w:rPr>
          <w:rFonts w:ascii="標楷體" w:eastAsia="標楷體" w:hAnsi="標楷體" w:hint="eastAsia"/>
          <w:bCs/>
          <w:color w:val="FF0000"/>
          <w:kern w:val="0"/>
          <w:highlight w:val="yellow"/>
        </w:rPr>
        <w:t>「</w:t>
      </w:r>
      <w:r w:rsidRPr="00043A1E">
        <w:rPr>
          <w:rFonts w:ascii="標楷體" w:eastAsia="標楷體" w:hAnsi="標楷體"/>
          <w:szCs w:val="22"/>
        </w:rPr>
        <w:t>性</w:t>
      </w:r>
      <w:r w:rsidR="00A02779">
        <w:rPr>
          <w:rFonts w:ascii="標楷體" w:eastAsia="標楷體" w:hAnsi="標楷體" w:hint="eastAsia"/>
          <w:bCs/>
          <w:color w:val="FF0000"/>
          <w:kern w:val="0"/>
          <w:highlight w:val="yellow"/>
        </w:rPr>
        <w:t>」</w:t>
      </w:r>
      <w:r w:rsidRPr="00043A1E">
        <w:rPr>
          <w:rFonts w:ascii="標楷體" w:eastAsia="標楷體" w:hAnsi="標楷體"/>
          <w:szCs w:val="22"/>
        </w:rPr>
        <w:t>是</w:t>
      </w:r>
      <w:r w:rsidR="00A02779">
        <w:rPr>
          <w:rFonts w:ascii="標楷體" w:eastAsia="標楷體" w:hAnsi="標楷體" w:hint="eastAsia"/>
          <w:bCs/>
          <w:color w:val="FF0000"/>
          <w:kern w:val="0"/>
          <w:highlight w:val="yellow"/>
        </w:rPr>
        <w:t>「</w:t>
      </w:r>
      <w:r w:rsidRPr="00043A1E">
        <w:rPr>
          <w:rFonts w:ascii="標楷體" w:eastAsia="標楷體" w:hAnsi="標楷體"/>
          <w:szCs w:val="22"/>
        </w:rPr>
        <w:t>即相之性</w:t>
      </w:r>
      <w:r w:rsidR="00A02779">
        <w:rPr>
          <w:rFonts w:ascii="標楷體" w:eastAsia="標楷體" w:hAnsi="標楷體" w:hint="eastAsia"/>
          <w:bCs/>
          <w:color w:val="FF0000"/>
          <w:kern w:val="0"/>
          <w:highlight w:val="yellow"/>
        </w:rPr>
        <w:t>」</w:t>
      </w:r>
      <w:r w:rsidRPr="00043A1E">
        <w:rPr>
          <w:rFonts w:ascii="標楷體" w:eastAsia="標楷體" w:hAnsi="標楷體"/>
          <w:szCs w:val="22"/>
        </w:rPr>
        <w:t>，故</w:t>
      </w:r>
      <w:r w:rsidR="00A02779">
        <w:rPr>
          <w:rFonts w:ascii="標楷體" w:eastAsia="標楷體" w:hAnsi="標楷體" w:hint="eastAsia"/>
          <w:bCs/>
          <w:color w:val="FF0000"/>
          <w:kern w:val="0"/>
          <w:highlight w:val="yellow"/>
        </w:rPr>
        <w:t>「</w:t>
      </w:r>
      <w:r w:rsidRPr="00043A1E">
        <w:rPr>
          <w:rFonts w:ascii="標楷體" w:eastAsia="標楷體" w:hAnsi="標楷體"/>
          <w:b/>
          <w:szCs w:val="22"/>
        </w:rPr>
        <w:t>圓融</w:t>
      </w:r>
      <w:r w:rsidR="00A02779">
        <w:rPr>
          <w:rFonts w:ascii="標楷體" w:eastAsia="標楷體" w:hAnsi="標楷體" w:hint="eastAsia"/>
          <w:bCs/>
          <w:color w:val="FF0000"/>
          <w:kern w:val="0"/>
          <w:highlight w:val="yellow"/>
        </w:rPr>
        <w:t>」</w:t>
      </w:r>
      <w:r w:rsidRPr="00043A1E">
        <w:rPr>
          <w:rFonts w:ascii="標楷體" w:eastAsia="標楷體" w:hAnsi="標楷體"/>
          <w:b/>
          <w:szCs w:val="22"/>
        </w:rPr>
        <w:t>不礙</w:t>
      </w:r>
      <w:r w:rsidR="00A02779">
        <w:rPr>
          <w:rFonts w:ascii="標楷體" w:eastAsia="標楷體" w:hAnsi="標楷體" w:hint="eastAsia"/>
          <w:bCs/>
          <w:color w:val="FF0000"/>
          <w:kern w:val="0"/>
          <w:highlight w:val="yellow"/>
        </w:rPr>
        <w:t>「</w:t>
      </w:r>
      <w:r w:rsidRPr="00043A1E">
        <w:rPr>
          <w:rFonts w:ascii="標楷體" w:eastAsia="標楷體" w:hAnsi="標楷體"/>
          <w:b/>
          <w:szCs w:val="22"/>
        </w:rPr>
        <w:t>行布</w:t>
      </w:r>
      <w:r w:rsidR="00A02779">
        <w:rPr>
          <w:rFonts w:ascii="標楷體" w:eastAsia="標楷體" w:hAnsi="標楷體" w:hint="eastAsia"/>
          <w:bCs/>
          <w:color w:val="FF0000"/>
          <w:kern w:val="0"/>
          <w:highlight w:val="yellow"/>
        </w:rPr>
        <w:t>」</w:t>
      </w:r>
      <w:r w:rsidRPr="00043A1E">
        <w:rPr>
          <w:rFonts w:ascii="標楷體" w:eastAsia="標楷體" w:hAnsi="標楷體"/>
          <w:szCs w:val="22"/>
        </w:rPr>
        <w:t>。</w:t>
      </w:r>
      <w:r w:rsidR="00A02779">
        <w:rPr>
          <w:rFonts w:ascii="標楷體" w:eastAsia="標楷體" w:hAnsi="標楷體" w:hint="eastAsia"/>
          <w:bCs/>
          <w:color w:val="FF0000"/>
          <w:kern w:val="0"/>
          <w:highlight w:val="yellow"/>
        </w:rPr>
        <w:t>「</w:t>
      </w:r>
      <w:r w:rsidRPr="00043A1E">
        <w:rPr>
          <w:rFonts w:ascii="標楷體" w:eastAsia="標楷體" w:hAnsi="標楷體"/>
          <w:szCs w:val="22"/>
        </w:rPr>
        <w:t>圓融</w:t>
      </w:r>
      <w:r w:rsidR="00A02779">
        <w:rPr>
          <w:rFonts w:ascii="標楷體" w:eastAsia="標楷體" w:hAnsi="標楷體" w:hint="eastAsia"/>
          <w:bCs/>
          <w:color w:val="FF0000"/>
          <w:kern w:val="0"/>
          <w:highlight w:val="yellow"/>
        </w:rPr>
        <w:t>」</w:t>
      </w:r>
      <w:r w:rsidRPr="00043A1E">
        <w:rPr>
          <w:rFonts w:ascii="標楷體" w:eastAsia="標楷體" w:hAnsi="標楷體"/>
          <w:szCs w:val="22"/>
        </w:rPr>
        <w:t>不礙</w:t>
      </w:r>
      <w:r w:rsidR="00A02779">
        <w:rPr>
          <w:rFonts w:ascii="標楷體" w:eastAsia="標楷體" w:hAnsi="標楷體" w:hint="eastAsia"/>
          <w:bCs/>
          <w:color w:val="FF0000"/>
          <w:kern w:val="0"/>
          <w:highlight w:val="yellow"/>
        </w:rPr>
        <w:t>「</w:t>
      </w:r>
      <w:r w:rsidRPr="00043A1E">
        <w:rPr>
          <w:rFonts w:ascii="標楷體" w:eastAsia="標楷體" w:hAnsi="標楷體"/>
          <w:szCs w:val="22"/>
        </w:rPr>
        <w:t>行布</w:t>
      </w:r>
      <w:r w:rsidR="00A02779">
        <w:rPr>
          <w:rFonts w:ascii="標楷體" w:eastAsia="標楷體" w:hAnsi="標楷體" w:hint="eastAsia"/>
          <w:bCs/>
          <w:color w:val="FF0000"/>
          <w:kern w:val="0"/>
          <w:highlight w:val="yellow"/>
        </w:rPr>
        <w:t>」</w:t>
      </w:r>
      <w:r w:rsidRPr="00043A1E">
        <w:rPr>
          <w:rFonts w:ascii="標楷體" w:eastAsia="標楷體" w:hAnsi="標楷體"/>
          <w:szCs w:val="22"/>
        </w:rPr>
        <w:t>，故</w:t>
      </w:r>
      <w:r w:rsidR="00A02779">
        <w:rPr>
          <w:rFonts w:ascii="標楷體" w:eastAsia="標楷體" w:hAnsi="標楷體" w:hint="eastAsia"/>
          <w:bCs/>
          <w:color w:val="FF0000"/>
          <w:kern w:val="0"/>
          <w:highlight w:val="yellow"/>
        </w:rPr>
        <w:t>「</w:t>
      </w:r>
      <w:r w:rsidRPr="00043A1E">
        <w:rPr>
          <w:rFonts w:ascii="標楷體" w:eastAsia="標楷體" w:hAnsi="標楷體"/>
          <w:szCs w:val="22"/>
        </w:rPr>
        <w:t>一</w:t>
      </w:r>
      <w:r w:rsidR="00A02779">
        <w:rPr>
          <w:rFonts w:ascii="標楷體" w:eastAsia="標楷體" w:hAnsi="標楷體" w:hint="eastAsia"/>
          <w:bCs/>
          <w:color w:val="FF0000"/>
          <w:kern w:val="0"/>
          <w:highlight w:val="yellow"/>
        </w:rPr>
        <w:t>」</w:t>
      </w:r>
      <w:r w:rsidRPr="00043A1E">
        <w:rPr>
          <w:rFonts w:ascii="標楷體" w:eastAsia="標楷體" w:hAnsi="標楷體"/>
          <w:szCs w:val="22"/>
        </w:rPr>
        <w:t>為</w:t>
      </w:r>
      <w:r w:rsidR="00A02779">
        <w:rPr>
          <w:rFonts w:ascii="標楷體" w:eastAsia="標楷體" w:hAnsi="標楷體" w:hint="eastAsia"/>
          <w:bCs/>
          <w:color w:val="FF0000"/>
          <w:kern w:val="0"/>
          <w:highlight w:val="yellow"/>
        </w:rPr>
        <w:t>「</w:t>
      </w:r>
      <w:r w:rsidRPr="00043A1E">
        <w:rPr>
          <w:rFonts w:ascii="標楷體" w:eastAsia="標楷體" w:hAnsi="標楷體"/>
          <w:szCs w:val="22"/>
        </w:rPr>
        <w:t>無量</w:t>
      </w:r>
      <w:r w:rsidR="00A02779">
        <w:rPr>
          <w:rFonts w:ascii="標楷體" w:eastAsia="標楷體" w:hAnsi="標楷體" w:hint="eastAsia"/>
          <w:bCs/>
          <w:color w:val="FF0000"/>
          <w:kern w:val="0"/>
          <w:highlight w:val="yellow"/>
        </w:rPr>
        <w:t>」</w:t>
      </w:r>
      <w:r w:rsidRPr="00043A1E">
        <w:rPr>
          <w:rFonts w:ascii="標楷體" w:eastAsia="標楷體" w:hAnsi="標楷體" w:hint="eastAsia"/>
          <w:szCs w:val="22"/>
        </w:rPr>
        <w:t>；</w:t>
      </w:r>
      <w:r w:rsidR="00A02779">
        <w:rPr>
          <w:rFonts w:ascii="標楷體" w:eastAsia="標楷體" w:hAnsi="標楷體" w:hint="eastAsia"/>
          <w:bCs/>
          <w:color w:val="FF0000"/>
          <w:kern w:val="0"/>
          <w:highlight w:val="yellow"/>
        </w:rPr>
        <w:t>「</w:t>
      </w:r>
      <w:r w:rsidRPr="00043A1E">
        <w:rPr>
          <w:rFonts w:ascii="標楷體" w:eastAsia="標楷體" w:hAnsi="標楷體"/>
          <w:szCs w:val="22"/>
        </w:rPr>
        <w:t>行布</w:t>
      </w:r>
      <w:r w:rsidR="00A02779">
        <w:rPr>
          <w:rFonts w:ascii="標楷體" w:eastAsia="標楷體" w:hAnsi="標楷體" w:hint="eastAsia"/>
          <w:bCs/>
          <w:color w:val="FF0000"/>
          <w:kern w:val="0"/>
          <w:highlight w:val="yellow"/>
        </w:rPr>
        <w:t>」</w:t>
      </w:r>
      <w:r w:rsidRPr="00043A1E">
        <w:rPr>
          <w:rFonts w:ascii="標楷體" w:eastAsia="標楷體" w:hAnsi="標楷體"/>
          <w:szCs w:val="22"/>
        </w:rPr>
        <w:t>不礙</w:t>
      </w:r>
      <w:r w:rsidR="00A02779">
        <w:rPr>
          <w:rFonts w:ascii="標楷體" w:eastAsia="標楷體" w:hAnsi="標楷體" w:hint="eastAsia"/>
          <w:bCs/>
          <w:color w:val="FF0000"/>
          <w:kern w:val="0"/>
          <w:highlight w:val="yellow"/>
        </w:rPr>
        <w:t>「</w:t>
      </w:r>
      <w:r w:rsidRPr="00043A1E">
        <w:rPr>
          <w:rFonts w:ascii="標楷體" w:eastAsia="標楷體" w:hAnsi="標楷體"/>
          <w:szCs w:val="22"/>
        </w:rPr>
        <w:t>圓融</w:t>
      </w:r>
      <w:r w:rsidR="00A02779">
        <w:rPr>
          <w:rFonts w:ascii="標楷體" w:eastAsia="標楷體" w:hAnsi="標楷體" w:hint="eastAsia"/>
          <w:bCs/>
          <w:color w:val="FF0000"/>
          <w:kern w:val="0"/>
          <w:highlight w:val="yellow"/>
        </w:rPr>
        <w:t>」</w:t>
      </w:r>
      <w:r w:rsidRPr="00043A1E">
        <w:rPr>
          <w:rFonts w:ascii="標楷體" w:eastAsia="標楷體" w:hAnsi="標楷體"/>
          <w:szCs w:val="22"/>
        </w:rPr>
        <w:t>，故</w:t>
      </w:r>
      <w:r w:rsidR="00A02779">
        <w:rPr>
          <w:rFonts w:ascii="標楷體" w:eastAsia="標楷體" w:hAnsi="標楷體" w:hint="eastAsia"/>
          <w:bCs/>
          <w:color w:val="FF0000"/>
          <w:kern w:val="0"/>
          <w:highlight w:val="yellow"/>
        </w:rPr>
        <w:t>「</w:t>
      </w:r>
      <w:r w:rsidRPr="00043A1E">
        <w:rPr>
          <w:rFonts w:ascii="標楷體" w:eastAsia="標楷體" w:hAnsi="標楷體"/>
          <w:szCs w:val="22"/>
        </w:rPr>
        <w:t>無量</w:t>
      </w:r>
      <w:r w:rsidR="00A02779">
        <w:rPr>
          <w:rFonts w:ascii="標楷體" w:eastAsia="標楷體" w:hAnsi="標楷體" w:hint="eastAsia"/>
          <w:bCs/>
          <w:color w:val="FF0000"/>
          <w:kern w:val="0"/>
          <w:highlight w:val="yellow"/>
        </w:rPr>
        <w:t>」</w:t>
      </w:r>
      <w:r w:rsidRPr="00043A1E">
        <w:rPr>
          <w:rFonts w:ascii="標楷體" w:eastAsia="標楷體" w:hAnsi="標楷體"/>
          <w:szCs w:val="22"/>
        </w:rPr>
        <w:t>為</w:t>
      </w:r>
      <w:r w:rsidR="00A02779">
        <w:rPr>
          <w:rFonts w:ascii="標楷體" w:eastAsia="標楷體" w:hAnsi="標楷體" w:hint="eastAsia"/>
          <w:bCs/>
          <w:color w:val="FF0000"/>
          <w:kern w:val="0"/>
          <w:highlight w:val="yellow"/>
        </w:rPr>
        <w:t>「</w:t>
      </w:r>
      <w:r w:rsidRPr="00043A1E">
        <w:rPr>
          <w:rFonts w:ascii="標楷體" w:eastAsia="標楷體" w:hAnsi="標楷體"/>
          <w:szCs w:val="22"/>
        </w:rPr>
        <w:t>一</w:t>
      </w:r>
      <w:r w:rsidR="00A02779">
        <w:rPr>
          <w:rFonts w:ascii="標楷體" w:eastAsia="標楷體" w:hAnsi="標楷體" w:hint="eastAsia"/>
          <w:bCs/>
          <w:color w:val="FF0000"/>
          <w:kern w:val="0"/>
          <w:highlight w:val="yellow"/>
        </w:rPr>
        <w:t>」</w:t>
      </w:r>
      <w:r w:rsidRPr="00043A1E">
        <w:rPr>
          <w:rFonts w:ascii="標楷體" w:eastAsia="標楷體" w:hAnsi="標楷體"/>
          <w:szCs w:val="22"/>
        </w:rPr>
        <w:t>。</w:t>
      </w:r>
      <w:r w:rsidR="00A02779">
        <w:rPr>
          <w:rFonts w:ascii="標楷體" w:eastAsia="標楷體" w:hAnsi="標楷體" w:hint="eastAsia"/>
          <w:bCs/>
          <w:color w:val="FF0000"/>
          <w:kern w:val="0"/>
          <w:highlight w:val="yellow"/>
        </w:rPr>
        <w:t>「</w:t>
      </w:r>
      <w:r w:rsidRPr="00043A1E">
        <w:rPr>
          <w:rFonts w:ascii="標楷體" w:eastAsia="標楷體" w:hAnsi="標楷體"/>
          <w:szCs w:val="22"/>
        </w:rPr>
        <w:t>無量</w:t>
      </w:r>
      <w:r w:rsidR="00A02779">
        <w:rPr>
          <w:rFonts w:ascii="標楷體" w:eastAsia="標楷體" w:hAnsi="標楷體" w:hint="eastAsia"/>
          <w:bCs/>
          <w:color w:val="FF0000"/>
          <w:kern w:val="0"/>
          <w:highlight w:val="yellow"/>
        </w:rPr>
        <w:t>」</w:t>
      </w:r>
      <w:r w:rsidRPr="00043A1E">
        <w:rPr>
          <w:rFonts w:ascii="標楷體" w:eastAsia="標楷體" w:hAnsi="標楷體"/>
          <w:szCs w:val="22"/>
        </w:rPr>
        <w:t>為</w:t>
      </w:r>
      <w:r w:rsidR="00A02779">
        <w:rPr>
          <w:rFonts w:ascii="標楷體" w:eastAsia="標楷體" w:hAnsi="標楷體" w:hint="eastAsia"/>
          <w:bCs/>
          <w:color w:val="FF0000"/>
          <w:kern w:val="0"/>
          <w:highlight w:val="yellow"/>
        </w:rPr>
        <w:t>「</w:t>
      </w:r>
      <w:r w:rsidRPr="00043A1E">
        <w:rPr>
          <w:rFonts w:ascii="標楷體" w:eastAsia="標楷體" w:hAnsi="標楷體"/>
          <w:szCs w:val="22"/>
        </w:rPr>
        <w:t>一</w:t>
      </w:r>
      <w:r w:rsidR="00A02779">
        <w:rPr>
          <w:rFonts w:ascii="標楷體" w:eastAsia="標楷體" w:hAnsi="標楷體" w:hint="eastAsia"/>
          <w:bCs/>
          <w:color w:val="FF0000"/>
          <w:kern w:val="0"/>
          <w:highlight w:val="yellow"/>
        </w:rPr>
        <w:t>」</w:t>
      </w:r>
      <w:r w:rsidR="00A02779">
        <w:rPr>
          <w:rFonts w:ascii="標楷體" w:eastAsia="標楷體" w:hAnsi="標楷體" w:hint="eastAsia"/>
          <w:color w:val="FF0000"/>
          <w:kern w:val="0"/>
          <w:highlight w:val="yellow"/>
        </w:rPr>
        <w:t>，</w:t>
      </w:r>
      <w:r w:rsidRPr="00043A1E">
        <w:rPr>
          <w:rFonts w:ascii="標楷體" w:eastAsia="標楷體" w:hAnsi="標楷體"/>
          <w:szCs w:val="22"/>
        </w:rPr>
        <w:t>故融通隱隱</w:t>
      </w:r>
      <w:r w:rsidR="00A02779">
        <w:rPr>
          <w:rFonts w:ascii="標楷體" w:eastAsia="標楷體" w:hAnsi="標楷體" w:hint="eastAsia"/>
          <w:color w:val="FF0000"/>
          <w:spacing w:val="-4"/>
          <w:kern w:val="0"/>
          <w:highlight w:val="yellow"/>
        </w:rPr>
        <w:t>；</w:t>
      </w:r>
      <w:r w:rsidR="00A02779">
        <w:rPr>
          <w:rFonts w:ascii="標楷體" w:eastAsia="標楷體" w:hAnsi="標楷體" w:hint="eastAsia"/>
          <w:bCs/>
          <w:color w:val="FF0000"/>
          <w:kern w:val="0"/>
          <w:highlight w:val="yellow"/>
        </w:rPr>
        <w:t>「</w:t>
      </w:r>
      <w:r w:rsidRPr="00043A1E">
        <w:rPr>
          <w:rFonts w:ascii="標楷體" w:eastAsia="標楷體" w:hAnsi="標楷體"/>
          <w:szCs w:val="22"/>
        </w:rPr>
        <w:t>一</w:t>
      </w:r>
      <w:r w:rsidR="00A02779">
        <w:rPr>
          <w:rFonts w:ascii="標楷體" w:eastAsia="標楷體" w:hAnsi="標楷體" w:hint="eastAsia"/>
          <w:bCs/>
          <w:color w:val="FF0000"/>
          <w:kern w:val="0"/>
          <w:highlight w:val="yellow"/>
        </w:rPr>
        <w:t>」</w:t>
      </w:r>
      <w:r w:rsidRPr="00043A1E">
        <w:rPr>
          <w:rFonts w:ascii="標楷體" w:eastAsia="標楷體" w:hAnsi="標楷體"/>
          <w:szCs w:val="22"/>
        </w:rPr>
        <w:t>為</w:t>
      </w:r>
      <w:r w:rsidR="00A02779">
        <w:rPr>
          <w:rFonts w:ascii="標楷體" w:eastAsia="標楷體" w:hAnsi="標楷體" w:hint="eastAsia"/>
          <w:bCs/>
          <w:color w:val="FF0000"/>
          <w:kern w:val="0"/>
          <w:highlight w:val="yellow"/>
        </w:rPr>
        <w:t>「</w:t>
      </w:r>
      <w:r w:rsidRPr="00043A1E">
        <w:rPr>
          <w:rFonts w:ascii="標楷體" w:eastAsia="標楷體" w:hAnsi="標楷體"/>
          <w:szCs w:val="22"/>
        </w:rPr>
        <w:t>無量</w:t>
      </w:r>
      <w:r w:rsidR="00A02779">
        <w:rPr>
          <w:rFonts w:ascii="標楷體" w:eastAsia="標楷體" w:hAnsi="標楷體" w:hint="eastAsia"/>
          <w:bCs/>
          <w:color w:val="FF0000"/>
          <w:kern w:val="0"/>
          <w:highlight w:val="yellow"/>
        </w:rPr>
        <w:t>」</w:t>
      </w:r>
      <w:r w:rsidR="00A02779">
        <w:rPr>
          <w:rFonts w:ascii="標楷體" w:eastAsia="標楷體" w:hAnsi="標楷體" w:hint="eastAsia"/>
          <w:color w:val="FF0000"/>
          <w:kern w:val="0"/>
          <w:highlight w:val="yellow"/>
        </w:rPr>
        <w:t>，</w:t>
      </w:r>
      <w:r w:rsidRPr="00043A1E">
        <w:rPr>
          <w:rFonts w:ascii="標楷體" w:eastAsia="標楷體" w:hAnsi="標楷體"/>
          <w:szCs w:val="22"/>
        </w:rPr>
        <w:t>故涉入重重。</w:t>
      </w:r>
    </w:p>
  </w:footnote>
  <w:footnote w:id="878">
    <w:p w:rsidR="00157EF6" w:rsidRPr="00043A1E" w:rsidRDefault="00157EF6" w:rsidP="00AA120F">
      <w:pPr>
        <w:pStyle w:val="a5"/>
        <w:spacing w:line="290" w:lineRule="exact"/>
        <w:ind w:left="253" w:hangingChars="115" w:hanging="253"/>
        <w:jc w:val="both"/>
        <w:rPr>
          <w:rFonts w:eastAsia="SimSun"/>
          <w:szCs w:val="22"/>
        </w:rPr>
      </w:pPr>
      <w:r w:rsidRPr="00043A1E">
        <w:rPr>
          <w:rStyle w:val="a6"/>
          <w:szCs w:val="22"/>
        </w:rPr>
        <w:footnoteRef/>
      </w:r>
      <w:r w:rsidRPr="00043A1E">
        <w:rPr>
          <w:szCs w:val="22"/>
        </w:rPr>
        <w:t xml:space="preserve"> </w:t>
      </w:r>
      <w:r w:rsidRPr="00043A1E">
        <w:rPr>
          <w:rFonts w:hint="eastAsia"/>
          <w:szCs w:val="22"/>
        </w:rPr>
        <w:t>荒謬：謂極端錯誤，非常不合情理。</w:t>
      </w:r>
      <w:r w:rsidRPr="00043A1E">
        <w:rPr>
          <w:szCs w:val="22"/>
        </w:rPr>
        <w:t>（《漢語大詞典》（</w:t>
      </w:r>
      <w:r w:rsidRPr="00043A1E">
        <w:rPr>
          <w:rFonts w:hint="eastAsia"/>
          <w:szCs w:val="22"/>
        </w:rPr>
        <w:t>九</w:t>
      </w:r>
      <w:r w:rsidRPr="00043A1E">
        <w:rPr>
          <w:szCs w:val="22"/>
        </w:rPr>
        <w:t>）</w:t>
      </w:r>
      <w:r w:rsidRPr="00043A1E">
        <w:rPr>
          <w:rFonts w:hint="eastAsia"/>
          <w:szCs w:val="22"/>
        </w:rPr>
        <w:t>，</w:t>
      </w:r>
      <w:r w:rsidRPr="00761EF3">
        <w:rPr>
          <w:szCs w:val="22"/>
        </w:rPr>
        <w:t>p</w:t>
      </w:r>
      <w:r w:rsidRPr="00043A1E">
        <w:rPr>
          <w:szCs w:val="22"/>
        </w:rPr>
        <w:t>.</w:t>
      </w:r>
      <w:r w:rsidRPr="00761EF3">
        <w:rPr>
          <w:rFonts w:hint="eastAsia"/>
          <w:szCs w:val="22"/>
        </w:rPr>
        <w:t>3</w:t>
      </w:r>
      <w:r w:rsidRPr="00761EF3">
        <w:rPr>
          <w:rFonts w:eastAsia="SimSun" w:hint="eastAsia"/>
          <w:szCs w:val="22"/>
        </w:rPr>
        <w:t>94</w:t>
      </w:r>
      <w:r w:rsidRPr="00043A1E">
        <w:rPr>
          <w:szCs w:val="22"/>
        </w:rPr>
        <w:t>）</w:t>
      </w:r>
    </w:p>
  </w:footnote>
  <w:footnote w:id="879">
    <w:p w:rsidR="00157EF6" w:rsidRPr="00043A1E" w:rsidRDefault="00157EF6" w:rsidP="00AA120F">
      <w:pPr>
        <w:pStyle w:val="a5"/>
        <w:spacing w:line="290" w:lineRule="exact"/>
        <w:ind w:left="253" w:hangingChars="115" w:hanging="253"/>
        <w:jc w:val="both"/>
        <w:rPr>
          <w:rFonts w:eastAsia="SimSun"/>
          <w:szCs w:val="22"/>
        </w:rPr>
      </w:pPr>
      <w:r w:rsidRPr="00043A1E">
        <w:rPr>
          <w:rStyle w:val="a6"/>
          <w:szCs w:val="22"/>
        </w:rPr>
        <w:footnoteRef/>
      </w:r>
      <w:r w:rsidRPr="00043A1E">
        <w:rPr>
          <w:rFonts w:eastAsia="SimSun" w:hint="eastAsia"/>
          <w:szCs w:val="22"/>
        </w:rPr>
        <w:t xml:space="preserve"> </w:t>
      </w:r>
      <w:r w:rsidRPr="00043A1E">
        <w:rPr>
          <w:rFonts w:hint="eastAsia"/>
          <w:szCs w:val="22"/>
        </w:rPr>
        <w:t>不經：</w:t>
      </w:r>
      <w:r w:rsidRPr="00761EF3">
        <w:rPr>
          <w:rFonts w:hint="eastAsia"/>
          <w:szCs w:val="22"/>
        </w:rPr>
        <w:t>1</w:t>
      </w:r>
      <w:r w:rsidRPr="00043A1E">
        <w:rPr>
          <w:rFonts w:hint="eastAsia"/>
          <w:szCs w:val="22"/>
        </w:rPr>
        <w:t>.</w:t>
      </w:r>
      <w:r w:rsidRPr="00043A1E">
        <w:rPr>
          <w:rFonts w:hint="eastAsia"/>
          <w:szCs w:val="22"/>
        </w:rPr>
        <w:t>不合常法。</w:t>
      </w:r>
      <w:r w:rsidRPr="00043A1E">
        <w:rPr>
          <w:szCs w:val="22"/>
        </w:rPr>
        <w:t>（《漢語大詞典》（</w:t>
      </w:r>
      <w:r w:rsidRPr="00043A1E">
        <w:rPr>
          <w:rFonts w:hint="eastAsia"/>
          <w:szCs w:val="22"/>
        </w:rPr>
        <w:t>一</w:t>
      </w:r>
      <w:r w:rsidRPr="00043A1E">
        <w:rPr>
          <w:szCs w:val="22"/>
        </w:rPr>
        <w:t>）</w:t>
      </w:r>
      <w:r w:rsidRPr="00043A1E">
        <w:rPr>
          <w:rFonts w:hint="eastAsia"/>
          <w:szCs w:val="22"/>
        </w:rPr>
        <w:t>，</w:t>
      </w:r>
      <w:r w:rsidRPr="00761EF3">
        <w:rPr>
          <w:szCs w:val="22"/>
        </w:rPr>
        <w:t>p</w:t>
      </w:r>
      <w:r w:rsidRPr="00043A1E">
        <w:rPr>
          <w:szCs w:val="22"/>
        </w:rPr>
        <w:t>.</w:t>
      </w:r>
      <w:r w:rsidRPr="00761EF3">
        <w:rPr>
          <w:rFonts w:eastAsia="SimSun" w:hint="eastAsia"/>
          <w:szCs w:val="22"/>
        </w:rPr>
        <w:t>461</w:t>
      </w:r>
      <w:r w:rsidRPr="00043A1E">
        <w:rPr>
          <w:szCs w:val="22"/>
        </w:rPr>
        <w:t>）</w:t>
      </w:r>
    </w:p>
  </w:footnote>
  <w:footnote w:id="880">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所以：</w:t>
      </w:r>
      <w:r w:rsidRPr="00761EF3">
        <w:rPr>
          <w:szCs w:val="22"/>
        </w:rPr>
        <w:t>1</w:t>
      </w:r>
      <w:r w:rsidRPr="00043A1E">
        <w:rPr>
          <w:szCs w:val="22"/>
        </w:rPr>
        <w:t>.</w:t>
      </w:r>
      <w:r w:rsidRPr="00043A1E">
        <w:rPr>
          <w:szCs w:val="22"/>
        </w:rPr>
        <w:t>原因，情由。（《漢語大詞典》（七）</w:t>
      </w:r>
      <w:r w:rsidRPr="00043A1E">
        <w:rPr>
          <w:rFonts w:hint="eastAsia"/>
          <w:szCs w:val="22"/>
        </w:rPr>
        <w:t>，</w:t>
      </w:r>
      <w:r w:rsidRPr="00761EF3">
        <w:rPr>
          <w:szCs w:val="22"/>
        </w:rPr>
        <w:t>p</w:t>
      </w:r>
      <w:r w:rsidRPr="00043A1E">
        <w:rPr>
          <w:szCs w:val="22"/>
        </w:rPr>
        <w:t>.</w:t>
      </w:r>
      <w:r w:rsidRPr="00761EF3">
        <w:rPr>
          <w:szCs w:val="22"/>
        </w:rPr>
        <w:t>350</w:t>
      </w:r>
      <w:r w:rsidRPr="00043A1E">
        <w:rPr>
          <w:szCs w:val="22"/>
        </w:rPr>
        <w:t>）</w:t>
      </w:r>
    </w:p>
  </w:footnote>
  <w:footnote w:id="881">
    <w:p w:rsidR="00962F3F" w:rsidRDefault="00157EF6" w:rsidP="00AA120F">
      <w:pPr>
        <w:pStyle w:val="a5"/>
        <w:spacing w:line="0" w:lineRule="atLeast"/>
        <w:ind w:left="253" w:hangingChars="115" w:hanging="253"/>
        <w:jc w:val="both"/>
        <w:rPr>
          <w:rFonts w:eastAsia="細明體"/>
          <w:szCs w:val="22"/>
        </w:rPr>
      </w:pPr>
      <w:r w:rsidRPr="00043A1E">
        <w:rPr>
          <w:rStyle w:val="a6"/>
          <w:szCs w:val="22"/>
        </w:rPr>
        <w:footnoteRef/>
      </w:r>
      <w:r w:rsidRPr="00043A1E">
        <w:rPr>
          <w:rFonts w:eastAsia="細明體" w:hint="eastAsia"/>
          <w:szCs w:val="22"/>
        </w:rPr>
        <w:t xml:space="preserve"> </w:t>
      </w:r>
      <w:r w:rsidRPr="00043A1E">
        <w:rPr>
          <w:rFonts w:eastAsia="細明體" w:hint="eastAsia"/>
          <w:szCs w:val="22"/>
        </w:rPr>
        <w:t>一真法界：一，即無二；真，即不妄。交徹融攝，故稱法界。即是諸佛平等法身，從本以來不生不滅，非空非有，離名離相，無內無外，惟一真實，不可思議，故稱一真法界。〔《華嚴經疏鈔》卷</w:t>
      </w:r>
      <w:r w:rsidR="00263FC0">
        <w:rPr>
          <w:rFonts w:eastAsia="細明體" w:hint="eastAsia"/>
          <w:szCs w:val="22"/>
        </w:rPr>
        <w:t>60</w:t>
      </w:r>
      <w:r w:rsidRPr="00043A1E">
        <w:rPr>
          <w:rFonts w:eastAsia="細明體" w:hint="eastAsia"/>
          <w:szCs w:val="22"/>
        </w:rPr>
        <w:t>、《華嚴經疏鈔玄談》卷</w:t>
      </w:r>
      <w:r w:rsidR="00263FC0">
        <w:rPr>
          <w:rFonts w:eastAsia="細明體" w:hint="eastAsia"/>
          <w:szCs w:val="22"/>
        </w:rPr>
        <w:t>1</w:t>
      </w:r>
      <w:r w:rsidRPr="00043A1E">
        <w:rPr>
          <w:rFonts w:eastAsia="細明體" w:hint="eastAsia"/>
          <w:szCs w:val="22"/>
        </w:rPr>
        <w:t>〕</w:t>
      </w:r>
    </w:p>
    <w:p w:rsidR="00157EF6" w:rsidRPr="00043A1E" w:rsidRDefault="00157EF6" w:rsidP="00962F3F">
      <w:pPr>
        <w:pStyle w:val="a5"/>
        <w:spacing w:line="0" w:lineRule="atLeast"/>
        <w:ind w:left="253" w:hangingChars="115" w:hanging="253"/>
        <w:jc w:val="right"/>
        <w:rPr>
          <w:rFonts w:eastAsia="細明體"/>
          <w:szCs w:val="22"/>
        </w:rPr>
      </w:pPr>
      <w:r w:rsidRPr="00043A1E">
        <w:rPr>
          <w:rFonts w:eastAsia="細明體" w:hint="eastAsia"/>
          <w:szCs w:val="22"/>
        </w:rPr>
        <w:t>（</w:t>
      </w:r>
      <w:r w:rsidRPr="00043A1E">
        <w:rPr>
          <w:rFonts w:hint="eastAsia"/>
          <w:szCs w:val="22"/>
        </w:rPr>
        <w:t>《佛光大辭典》（一），</w:t>
      </w:r>
      <w:r w:rsidRPr="00761EF3">
        <w:rPr>
          <w:rFonts w:eastAsia="細明體" w:hint="eastAsia"/>
          <w:szCs w:val="22"/>
        </w:rPr>
        <w:t>p</w:t>
      </w:r>
      <w:r w:rsidRPr="00043A1E">
        <w:rPr>
          <w:rFonts w:eastAsia="細明體" w:hint="eastAsia"/>
          <w:szCs w:val="22"/>
        </w:rPr>
        <w:t>.</w:t>
      </w:r>
      <w:r w:rsidRPr="00761EF3">
        <w:rPr>
          <w:rFonts w:eastAsia="細明體" w:hint="eastAsia"/>
          <w:szCs w:val="22"/>
        </w:rPr>
        <w:t>64</w:t>
      </w:r>
      <w:r w:rsidRPr="00043A1E">
        <w:rPr>
          <w:rFonts w:eastAsia="細明體" w:hint="eastAsia"/>
          <w:szCs w:val="22"/>
        </w:rPr>
        <w:t>.</w:t>
      </w:r>
      <w:r w:rsidRPr="00761EF3">
        <w:rPr>
          <w:rFonts w:eastAsia="細明體" w:hint="eastAsia"/>
          <w:szCs w:val="22"/>
        </w:rPr>
        <w:t>1</w:t>
      </w:r>
      <w:r w:rsidRPr="00043A1E">
        <w:rPr>
          <w:rFonts w:eastAsia="細明體" w:hint="eastAsia"/>
          <w:szCs w:val="22"/>
        </w:rPr>
        <w:t>）</w:t>
      </w:r>
    </w:p>
  </w:footnote>
  <w:footnote w:id="882">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eastAsia="細明體" w:hint="eastAsia"/>
          <w:szCs w:val="22"/>
        </w:rPr>
        <w:t xml:space="preserve"> </w:t>
      </w:r>
      <w:r w:rsidRPr="00043A1E">
        <w:rPr>
          <w:szCs w:val="22"/>
        </w:rPr>
        <w:t>種現相生</w:t>
      </w:r>
      <w:r w:rsidRPr="00043A1E">
        <w:rPr>
          <w:rFonts w:hint="eastAsia"/>
          <w:szCs w:val="22"/>
        </w:rPr>
        <w:t>：種子生現行，現行熏種子。</w:t>
      </w:r>
      <w:r w:rsidR="009160B5">
        <w:rPr>
          <w:rFonts w:eastAsia="細明體" w:hint="eastAsia"/>
          <w:szCs w:val="22"/>
        </w:rPr>
        <w:t>參見：印</w:t>
      </w:r>
      <w:r w:rsidRPr="00043A1E">
        <w:rPr>
          <w:rFonts w:hint="eastAsia"/>
          <w:szCs w:val="22"/>
        </w:rPr>
        <w:t>順法師，《中觀今論》，</w:t>
      </w:r>
      <w:r w:rsidRPr="00761EF3">
        <w:rPr>
          <w:szCs w:val="22"/>
        </w:rPr>
        <w:t>pp</w:t>
      </w:r>
      <w:r w:rsidRPr="00043A1E">
        <w:rPr>
          <w:szCs w:val="22"/>
        </w:rPr>
        <w:t>.</w:t>
      </w:r>
      <w:r w:rsidRPr="00761EF3">
        <w:rPr>
          <w:szCs w:val="22"/>
        </w:rPr>
        <w:t>106</w:t>
      </w:r>
      <w:r w:rsidRPr="00043A1E">
        <w:rPr>
          <w:szCs w:val="22"/>
        </w:rPr>
        <w:t>-</w:t>
      </w:r>
      <w:r w:rsidRPr="00761EF3">
        <w:rPr>
          <w:szCs w:val="22"/>
        </w:rPr>
        <w:t>107</w:t>
      </w:r>
      <w:r w:rsidRPr="00043A1E">
        <w:rPr>
          <w:rFonts w:eastAsia="標楷體" w:hint="eastAsia"/>
          <w:szCs w:val="22"/>
        </w:rPr>
        <w:t>。</w:t>
      </w:r>
    </w:p>
  </w:footnote>
  <w:footnote w:id="883">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詳見</w:t>
      </w:r>
      <w:r w:rsidR="00263FC0">
        <w:rPr>
          <w:rFonts w:hint="eastAsia"/>
          <w:szCs w:val="22"/>
        </w:rPr>
        <w:t>：</w:t>
      </w:r>
      <w:r w:rsidRPr="00043A1E">
        <w:rPr>
          <w:szCs w:val="22"/>
        </w:rPr>
        <w:t>印順法師，《無諍之辯》，〈評熊十力的新唯識論〉，</w:t>
      </w:r>
      <w:r w:rsidRPr="00761EF3">
        <w:rPr>
          <w:szCs w:val="22"/>
        </w:rPr>
        <w:t>pp</w:t>
      </w:r>
      <w:r w:rsidRPr="00043A1E">
        <w:rPr>
          <w:szCs w:val="22"/>
        </w:rPr>
        <w:t>.</w:t>
      </w:r>
      <w:r w:rsidRPr="00761EF3">
        <w:rPr>
          <w:szCs w:val="22"/>
        </w:rPr>
        <w:t>1</w:t>
      </w:r>
      <w:r w:rsidRPr="00043A1E">
        <w:rPr>
          <w:szCs w:val="22"/>
        </w:rPr>
        <w:t>-</w:t>
      </w:r>
      <w:r w:rsidRPr="00761EF3">
        <w:rPr>
          <w:szCs w:val="22"/>
        </w:rPr>
        <w:t>65</w:t>
      </w:r>
      <w:r w:rsidRPr="00043A1E">
        <w:rPr>
          <w:szCs w:val="22"/>
        </w:rPr>
        <w:t>。</w:t>
      </w:r>
    </w:p>
  </w:footnote>
  <w:footnote w:id="884">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熊十力，《新唯識論》</w:t>
      </w:r>
      <w:r w:rsidRPr="00043A1E">
        <w:rPr>
          <w:rFonts w:hint="eastAsia"/>
          <w:szCs w:val="22"/>
        </w:rPr>
        <w:t>（</w:t>
      </w:r>
      <w:r w:rsidRPr="00043A1E">
        <w:rPr>
          <w:szCs w:val="22"/>
        </w:rPr>
        <w:t>上</w:t>
      </w:r>
      <w:r w:rsidRPr="00043A1E">
        <w:rPr>
          <w:rFonts w:hint="eastAsia"/>
          <w:szCs w:val="22"/>
        </w:rPr>
        <w:t>）</w:t>
      </w:r>
      <w:r w:rsidRPr="00043A1E">
        <w:rPr>
          <w:szCs w:val="22"/>
        </w:rPr>
        <w:t>，明文書局，民國</w:t>
      </w:r>
      <w:r w:rsidRPr="00761EF3">
        <w:rPr>
          <w:rFonts w:eastAsia="SimSun" w:hint="eastAsia"/>
          <w:szCs w:val="22"/>
        </w:rPr>
        <w:t>80</w:t>
      </w:r>
      <w:r w:rsidRPr="00043A1E">
        <w:rPr>
          <w:szCs w:val="22"/>
        </w:rPr>
        <w:t>年，</w:t>
      </w:r>
      <w:r w:rsidRPr="00761EF3">
        <w:rPr>
          <w:szCs w:val="22"/>
        </w:rPr>
        <w:t>p</w:t>
      </w:r>
      <w:r w:rsidRPr="00043A1E">
        <w:rPr>
          <w:szCs w:val="22"/>
        </w:rPr>
        <w:t>.</w:t>
      </w:r>
      <w:r w:rsidRPr="00761EF3">
        <w:rPr>
          <w:szCs w:val="22"/>
        </w:rPr>
        <w:t>195</w:t>
      </w:r>
      <w:r w:rsidRPr="00043A1E">
        <w:rPr>
          <w:szCs w:val="22"/>
        </w:rPr>
        <w:t>：</w:t>
      </w:r>
    </w:p>
    <w:p w:rsidR="00157EF6" w:rsidRPr="00043A1E" w:rsidRDefault="00157EF6" w:rsidP="00AA120F">
      <w:pPr>
        <w:pStyle w:val="a5"/>
        <w:ind w:leftChars="105" w:left="252"/>
        <w:jc w:val="both"/>
        <w:rPr>
          <w:rFonts w:ascii="標楷體" w:eastAsia="標楷體" w:hAnsi="標楷體"/>
          <w:szCs w:val="22"/>
        </w:rPr>
      </w:pPr>
      <w:r w:rsidRPr="00043A1E">
        <w:rPr>
          <w:rFonts w:eastAsia="標楷體"/>
          <w:szCs w:val="22"/>
        </w:rPr>
        <w:t>印度佛家所謂真如性體，本是空寂的。雖其所云空寂，并非空無，而是由遠離妄情染執所顯得之寂靜理體，說名空寂。然亦只能說到如是空寂而止，萬不可說空空寂寂的即是生生化化的</w:t>
      </w:r>
      <w:r w:rsidRPr="00043A1E">
        <w:rPr>
          <w:rFonts w:eastAsia="標楷體" w:hint="eastAsia"/>
          <w:szCs w:val="22"/>
        </w:rPr>
        <w:t>，</w:t>
      </w:r>
      <w:r w:rsidRPr="00043A1E">
        <w:rPr>
          <w:rFonts w:eastAsia="標楷體"/>
          <w:szCs w:val="22"/>
        </w:rPr>
        <w:t>生生化化的即是空空寂寂的。</w:t>
      </w:r>
    </w:p>
  </w:footnote>
  <w:footnote w:id="885">
    <w:p w:rsidR="00157EF6" w:rsidRPr="00043A1E"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szCs w:val="22"/>
        </w:rPr>
        <w:t>）</w:t>
      </w:r>
      <w:r w:rsidRPr="00043A1E">
        <w:rPr>
          <w:rFonts w:hint="eastAsia"/>
          <w:szCs w:val="22"/>
        </w:rPr>
        <w:t>發現：見“</w:t>
      </w:r>
      <w:r w:rsidRPr="00043A1E">
        <w:rPr>
          <w:rFonts w:hint="eastAsia"/>
          <w:szCs w:val="22"/>
        </w:rPr>
        <w:t xml:space="preserve"> </w:t>
      </w:r>
      <w:r w:rsidRPr="00043A1E">
        <w:rPr>
          <w:rFonts w:hint="eastAsia"/>
          <w:szCs w:val="22"/>
        </w:rPr>
        <w:t>發見</w:t>
      </w:r>
      <w:r w:rsidRPr="00043A1E">
        <w:rPr>
          <w:rFonts w:hint="eastAsia"/>
          <w:szCs w:val="22"/>
        </w:rPr>
        <w:t xml:space="preserve"> </w:t>
      </w:r>
      <w:r w:rsidRPr="00043A1E">
        <w:rPr>
          <w:rFonts w:hint="eastAsia"/>
          <w:szCs w:val="22"/>
        </w:rPr>
        <w:t>”。</w:t>
      </w:r>
      <w:r w:rsidRPr="00043A1E">
        <w:rPr>
          <w:rFonts w:eastAsia="細明體"/>
          <w:szCs w:val="22"/>
        </w:rPr>
        <w:t>（《漢語大詞典》（</w:t>
      </w:r>
      <w:r w:rsidRPr="00043A1E">
        <w:rPr>
          <w:rFonts w:eastAsia="細明體" w:hint="eastAsia"/>
          <w:szCs w:val="22"/>
        </w:rPr>
        <w:t>八</w:t>
      </w:r>
      <w:r w:rsidRPr="00043A1E">
        <w:rPr>
          <w:rFonts w:eastAsia="細明體"/>
          <w:szCs w:val="22"/>
        </w:rPr>
        <w:t>），</w:t>
      </w:r>
      <w:r w:rsidRPr="00761EF3">
        <w:rPr>
          <w:rFonts w:eastAsia="細明體"/>
          <w:szCs w:val="22"/>
        </w:rPr>
        <w:t>p</w:t>
      </w:r>
      <w:r w:rsidRPr="00043A1E">
        <w:rPr>
          <w:rFonts w:eastAsia="細明體"/>
          <w:szCs w:val="22"/>
        </w:rPr>
        <w:t>.</w:t>
      </w:r>
      <w:r w:rsidRPr="00761EF3">
        <w:rPr>
          <w:rFonts w:eastAsia="細明體" w:hint="eastAsia"/>
          <w:szCs w:val="22"/>
        </w:rPr>
        <w:t>558</w:t>
      </w:r>
      <w:r w:rsidRPr="00043A1E">
        <w:rPr>
          <w:rFonts w:eastAsia="細明體"/>
          <w:szCs w:val="22"/>
        </w:rPr>
        <w:t>）</w:t>
      </w:r>
    </w:p>
    <w:p w:rsidR="00157EF6" w:rsidRPr="00043A1E" w:rsidRDefault="00157EF6" w:rsidP="00AA120F">
      <w:pPr>
        <w:pStyle w:val="a5"/>
        <w:ind w:leftChars="105" w:left="791" w:hangingChars="245" w:hanging="539"/>
        <w:jc w:val="both"/>
        <w:rPr>
          <w:szCs w:val="22"/>
        </w:rPr>
      </w:pPr>
      <w:r w:rsidRPr="00043A1E">
        <w:rPr>
          <w:szCs w:val="22"/>
        </w:rPr>
        <w:t>（</w:t>
      </w:r>
      <w:r w:rsidRPr="00761EF3">
        <w:rPr>
          <w:szCs w:val="22"/>
        </w:rPr>
        <w:t>2</w:t>
      </w:r>
      <w:r w:rsidRPr="00043A1E">
        <w:rPr>
          <w:szCs w:val="22"/>
        </w:rPr>
        <w:t>）發見：</w:t>
      </w:r>
      <w:r w:rsidRPr="00761EF3">
        <w:rPr>
          <w:szCs w:val="22"/>
        </w:rPr>
        <w:t>1</w:t>
      </w:r>
      <w:r w:rsidRPr="00043A1E">
        <w:rPr>
          <w:szCs w:val="22"/>
        </w:rPr>
        <w:t>.</w:t>
      </w:r>
      <w:r w:rsidRPr="00043A1E">
        <w:rPr>
          <w:szCs w:val="22"/>
        </w:rPr>
        <w:t>顯現，出現。</w:t>
      </w:r>
      <w:r w:rsidRPr="00043A1E">
        <w:rPr>
          <w:rFonts w:eastAsia="細明體"/>
          <w:szCs w:val="22"/>
        </w:rPr>
        <w:t>（《漢語大詞典》（</w:t>
      </w:r>
      <w:r w:rsidRPr="00043A1E">
        <w:rPr>
          <w:rFonts w:eastAsia="細明體" w:hint="eastAsia"/>
          <w:szCs w:val="22"/>
        </w:rPr>
        <w:t>八</w:t>
      </w:r>
      <w:r w:rsidRPr="00043A1E">
        <w:rPr>
          <w:rFonts w:eastAsia="細明體"/>
          <w:szCs w:val="22"/>
        </w:rPr>
        <w:t>），</w:t>
      </w:r>
      <w:r w:rsidRPr="00761EF3">
        <w:rPr>
          <w:rFonts w:eastAsia="細明體"/>
          <w:szCs w:val="22"/>
        </w:rPr>
        <w:t>p</w:t>
      </w:r>
      <w:r w:rsidRPr="00043A1E">
        <w:rPr>
          <w:rFonts w:eastAsia="細明體"/>
          <w:szCs w:val="22"/>
        </w:rPr>
        <w:t>.</w:t>
      </w:r>
      <w:r w:rsidRPr="00761EF3">
        <w:rPr>
          <w:rFonts w:eastAsia="細明體" w:hint="eastAsia"/>
          <w:szCs w:val="22"/>
        </w:rPr>
        <w:t>547</w:t>
      </w:r>
      <w:r w:rsidRPr="00043A1E">
        <w:rPr>
          <w:rFonts w:eastAsia="細明體"/>
          <w:szCs w:val="22"/>
        </w:rPr>
        <w:t>）</w:t>
      </w:r>
    </w:p>
  </w:footnote>
  <w:footnote w:id="886">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熊十力，《新唯識論》</w:t>
      </w:r>
      <w:r w:rsidRPr="00043A1E">
        <w:rPr>
          <w:rFonts w:hint="eastAsia"/>
          <w:szCs w:val="22"/>
        </w:rPr>
        <w:t>（</w:t>
      </w:r>
      <w:r w:rsidRPr="00043A1E">
        <w:rPr>
          <w:szCs w:val="22"/>
        </w:rPr>
        <w:t>上</w:t>
      </w:r>
      <w:r w:rsidRPr="00043A1E">
        <w:rPr>
          <w:rFonts w:hint="eastAsia"/>
          <w:szCs w:val="22"/>
        </w:rPr>
        <w:t>）</w:t>
      </w:r>
      <w:r w:rsidRPr="00043A1E">
        <w:rPr>
          <w:szCs w:val="22"/>
        </w:rPr>
        <w:t>，明文書局，民國</w:t>
      </w:r>
      <w:r w:rsidRPr="00761EF3">
        <w:rPr>
          <w:rFonts w:eastAsia="SimSun"/>
          <w:szCs w:val="22"/>
        </w:rPr>
        <w:t>80</w:t>
      </w:r>
      <w:r w:rsidRPr="00043A1E">
        <w:rPr>
          <w:szCs w:val="22"/>
        </w:rPr>
        <w:t>年，</w:t>
      </w:r>
      <w:r w:rsidRPr="00761EF3">
        <w:rPr>
          <w:szCs w:val="22"/>
        </w:rPr>
        <w:t>p</w:t>
      </w:r>
      <w:r w:rsidRPr="00043A1E">
        <w:rPr>
          <w:szCs w:val="22"/>
        </w:rPr>
        <w:t>.</w:t>
      </w:r>
      <w:r w:rsidRPr="00761EF3">
        <w:rPr>
          <w:rFonts w:hint="eastAsia"/>
          <w:szCs w:val="22"/>
        </w:rPr>
        <w:t>266</w:t>
      </w:r>
      <w:r w:rsidRPr="00043A1E">
        <w:rPr>
          <w:szCs w:val="22"/>
        </w:rPr>
        <w:t>：</w:t>
      </w:r>
    </w:p>
    <w:p w:rsidR="00157EF6" w:rsidRPr="00043A1E" w:rsidRDefault="00157EF6" w:rsidP="00AA120F">
      <w:pPr>
        <w:pStyle w:val="a5"/>
        <w:ind w:leftChars="105" w:left="252"/>
        <w:jc w:val="both"/>
        <w:rPr>
          <w:szCs w:val="22"/>
        </w:rPr>
      </w:pPr>
      <w:r w:rsidRPr="00043A1E">
        <w:rPr>
          <w:rFonts w:ascii="標楷體" w:eastAsia="標楷體" w:hAnsi="標楷體" w:hint="eastAsia"/>
          <w:szCs w:val="22"/>
        </w:rPr>
        <w:t>佛家談體，絕不許涉及生化。所以，我說佛家是離用談體。</w:t>
      </w:r>
    </w:p>
  </w:footnote>
  <w:footnote w:id="887">
    <w:p w:rsidR="00157EF6" w:rsidRPr="00043A1E" w:rsidRDefault="00157EF6" w:rsidP="00AA120F">
      <w:pPr>
        <w:pStyle w:val="a5"/>
        <w:spacing w:line="0" w:lineRule="atLeast"/>
        <w:ind w:left="253" w:hangingChars="115" w:hanging="253"/>
        <w:jc w:val="both"/>
        <w:rPr>
          <w:rFonts w:eastAsia="細明體"/>
          <w:szCs w:val="22"/>
        </w:rPr>
      </w:pPr>
      <w:r w:rsidRPr="00043A1E">
        <w:rPr>
          <w:rStyle w:val="a6"/>
          <w:szCs w:val="22"/>
        </w:rPr>
        <w:footnoteRef/>
      </w:r>
      <w:r w:rsidRPr="00043A1E">
        <w:rPr>
          <w:rFonts w:eastAsia="細明體"/>
          <w:szCs w:val="22"/>
        </w:rPr>
        <w:t xml:space="preserve"> </w:t>
      </w:r>
      <w:r w:rsidRPr="00043A1E">
        <w:rPr>
          <w:rFonts w:eastAsia="細明體"/>
          <w:szCs w:val="22"/>
        </w:rPr>
        <w:t>何嘗</w:t>
      </w:r>
      <w:r w:rsidRPr="00043A1E">
        <w:rPr>
          <w:rFonts w:ascii="新細明體" w:hAnsi="新細明體" w:hint="eastAsia"/>
          <w:szCs w:val="22"/>
        </w:rPr>
        <w:t>：</w:t>
      </w:r>
      <w:r w:rsidRPr="00043A1E">
        <w:rPr>
          <w:rFonts w:eastAsia="細明體"/>
          <w:szCs w:val="22"/>
        </w:rPr>
        <w:t>亦作「何常」。用反問的語氣表示未曾或並不。（《漢語大詞典》（</w:t>
      </w:r>
      <w:r w:rsidRPr="00043A1E">
        <w:rPr>
          <w:rFonts w:ascii="細明體" w:eastAsia="細明體" w:hAnsi="細明體" w:hint="eastAsia"/>
          <w:szCs w:val="22"/>
        </w:rPr>
        <w:t>一</w:t>
      </w:r>
      <w:r w:rsidRPr="00043A1E">
        <w:rPr>
          <w:rFonts w:eastAsia="細明體"/>
          <w:szCs w:val="22"/>
        </w:rPr>
        <w:t>），</w:t>
      </w:r>
      <w:r w:rsidRPr="00761EF3">
        <w:rPr>
          <w:rFonts w:eastAsia="細明體"/>
          <w:szCs w:val="22"/>
        </w:rPr>
        <w:t>p</w:t>
      </w:r>
      <w:r w:rsidRPr="00043A1E">
        <w:rPr>
          <w:rFonts w:eastAsia="細明體"/>
          <w:szCs w:val="22"/>
        </w:rPr>
        <w:t>.</w:t>
      </w:r>
      <w:r w:rsidRPr="00761EF3">
        <w:rPr>
          <w:rFonts w:eastAsia="SimSun" w:hint="eastAsia"/>
          <w:szCs w:val="22"/>
        </w:rPr>
        <w:t>1233</w:t>
      </w:r>
      <w:r w:rsidRPr="00043A1E">
        <w:rPr>
          <w:rFonts w:eastAsia="細明體"/>
          <w:szCs w:val="22"/>
        </w:rPr>
        <w:t>）</w:t>
      </w:r>
    </w:p>
  </w:footnote>
  <w:footnote w:id="888">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汎神論（</w:t>
      </w:r>
      <w:r w:rsidRPr="00761EF3">
        <w:rPr>
          <w:szCs w:val="22"/>
        </w:rPr>
        <w:t>pantheism</w:t>
      </w:r>
      <w:r w:rsidRPr="00043A1E">
        <w:rPr>
          <w:szCs w:val="22"/>
        </w:rPr>
        <w:t>）：又稱萬有神教。上記之多神教、一神教等，以實際信奉而屬實踐性之宗教，汎神論與之相較，其性質偏重於闡釋哲學理論之理論宗教，以為宇宙現象之內部，有支配現象界之原理法則，而將此原理法則神格化，認為此「道理神」遍滿於宇宙現象。印度奧義書中之梵（梵</w:t>
      </w:r>
      <w:r w:rsidRPr="00761EF3">
        <w:rPr>
          <w:szCs w:val="22"/>
        </w:rPr>
        <w:t>Brahman</w:t>
      </w:r>
      <w:r w:rsidRPr="00043A1E">
        <w:rPr>
          <w:szCs w:val="22"/>
        </w:rPr>
        <w:t>）即屬道理神，梵存在於「個人我」（梵</w:t>
      </w:r>
      <w:r w:rsidRPr="00761EF3">
        <w:rPr>
          <w:szCs w:val="22"/>
        </w:rPr>
        <w:t>ātman</w:t>
      </w:r>
      <w:r w:rsidRPr="00043A1E">
        <w:rPr>
          <w:szCs w:val="22"/>
        </w:rPr>
        <w:t>）中，此乃最高理想「梵我一如」之基礎。此外，十七世紀荷蘭哲學家斯賓諾沙（</w:t>
      </w:r>
      <w:r w:rsidRPr="00761EF3">
        <w:rPr>
          <w:szCs w:val="22"/>
        </w:rPr>
        <w:t>Spinoza</w:t>
      </w:r>
      <w:r w:rsidRPr="00043A1E">
        <w:rPr>
          <w:szCs w:val="22"/>
        </w:rPr>
        <w:t xml:space="preserve">, </w:t>
      </w:r>
      <w:r w:rsidRPr="00761EF3">
        <w:rPr>
          <w:szCs w:val="22"/>
        </w:rPr>
        <w:t>Benedict</w:t>
      </w:r>
      <w:r w:rsidRPr="00043A1E">
        <w:rPr>
          <w:szCs w:val="22"/>
        </w:rPr>
        <w:t xml:space="preserve">, </w:t>
      </w:r>
      <w:r w:rsidRPr="00761EF3">
        <w:rPr>
          <w:szCs w:val="22"/>
        </w:rPr>
        <w:t>1632</w:t>
      </w:r>
      <w:r w:rsidRPr="00043A1E">
        <w:rPr>
          <w:szCs w:val="22"/>
        </w:rPr>
        <w:t>～</w:t>
      </w:r>
      <w:r w:rsidRPr="00761EF3">
        <w:rPr>
          <w:szCs w:val="22"/>
        </w:rPr>
        <w:t>1677</w:t>
      </w:r>
      <w:r w:rsidRPr="00043A1E">
        <w:rPr>
          <w:szCs w:val="22"/>
        </w:rPr>
        <w:t>）之哲學所說之神亦屬道理神。（《佛光大辭典》（四），</w:t>
      </w:r>
      <w:r w:rsidRPr="00761EF3">
        <w:rPr>
          <w:szCs w:val="22"/>
        </w:rPr>
        <w:t>pp</w:t>
      </w:r>
      <w:r w:rsidRPr="00043A1E">
        <w:rPr>
          <w:szCs w:val="22"/>
        </w:rPr>
        <w:t>.</w:t>
      </w:r>
      <w:r w:rsidRPr="00761EF3">
        <w:rPr>
          <w:szCs w:val="22"/>
        </w:rPr>
        <w:t>3161</w:t>
      </w:r>
      <w:r w:rsidRPr="00043A1E">
        <w:rPr>
          <w:szCs w:val="22"/>
        </w:rPr>
        <w:t>.</w:t>
      </w:r>
      <w:r w:rsidRPr="00761EF3">
        <w:rPr>
          <w:szCs w:val="22"/>
        </w:rPr>
        <w:t>2</w:t>
      </w:r>
      <w:r w:rsidRPr="00043A1E">
        <w:rPr>
          <w:szCs w:val="22"/>
        </w:rPr>
        <w:t>-</w:t>
      </w:r>
      <w:r w:rsidRPr="00761EF3">
        <w:rPr>
          <w:szCs w:val="22"/>
        </w:rPr>
        <w:t>3161</w:t>
      </w:r>
      <w:r w:rsidRPr="00043A1E">
        <w:rPr>
          <w:szCs w:val="22"/>
        </w:rPr>
        <w:t>.</w:t>
      </w:r>
      <w:r w:rsidRPr="00761EF3">
        <w:rPr>
          <w:szCs w:val="22"/>
        </w:rPr>
        <w:t>3</w:t>
      </w:r>
      <w:r w:rsidRPr="00043A1E">
        <w:rPr>
          <w:szCs w:val="22"/>
        </w:rPr>
        <w:t>）</w:t>
      </w:r>
    </w:p>
  </w:footnote>
  <w:footnote w:id="889">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szCs w:val="22"/>
        </w:rPr>
        <w:t xml:space="preserve"> </w:t>
      </w:r>
      <w:r w:rsidRPr="00043A1E">
        <w:rPr>
          <w:szCs w:val="22"/>
        </w:rPr>
        <w:t>舉：</w:t>
      </w:r>
      <w:r w:rsidRPr="00761EF3">
        <w:rPr>
          <w:szCs w:val="22"/>
        </w:rPr>
        <w:t>45</w:t>
      </w:r>
      <w:r w:rsidRPr="00043A1E">
        <w:rPr>
          <w:szCs w:val="22"/>
        </w:rPr>
        <w:t>.</w:t>
      </w:r>
      <w:r w:rsidRPr="00043A1E">
        <w:rPr>
          <w:szCs w:val="22"/>
        </w:rPr>
        <w:t>皆，全。（《漢語大詞典》（</w:t>
      </w:r>
      <w:r w:rsidRPr="00043A1E">
        <w:rPr>
          <w:rFonts w:ascii="新細明體" w:hAnsi="新細明體" w:hint="eastAsia"/>
          <w:szCs w:val="22"/>
        </w:rPr>
        <w:t>八</w:t>
      </w:r>
      <w:r w:rsidRPr="00043A1E">
        <w:rPr>
          <w:szCs w:val="22"/>
        </w:rPr>
        <w:t>），</w:t>
      </w:r>
      <w:r w:rsidRPr="00761EF3">
        <w:rPr>
          <w:szCs w:val="22"/>
        </w:rPr>
        <w:t>p</w:t>
      </w:r>
      <w:r w:rsidRPr="00043A1E">
        <w:rPr>
          <w:szCs w:val="22"/>
        </w:rPr>
        <w:t>.</w:t>
      </w:r>
      <w:r w:rsidRPr="00761EF3">
        <w:rPr>
          <w:rFonts w:eastAsia="SimSun" w:hint="eastAsia"/>
          <w:szCs w:val="22"/>
        </w:rPr>
        <w:t>1292</w:t>
      </w:r>
      <w:r w:rsidRPr="00043A1E">
        <w:rPr>
          <w:szCs w:val="22"/>
        </w:rPr>
        <w:t>）</w:t>
      </w:r>
    </w:p>
  </w:footnote>
  <w:footnote w:id="890">
    <w:p w:rsidR="00157EF6" w:rsidRPr="00043A1E" w:rsidRDefault="00157EF6" w:rsidP="00AA120F">
      <w:pPr>
        <w:pStyle w:val="a5"/>
        <w:spacing w:line="0" w:lineRule="atLeast"/>
        <w:ind w:left="792" w:hangingChars="360" w:hanging="792"/>
        <w:jc w:val="both"/>
        <w:rPr>
          <w:rFonts w:eastAsia="SimSun"/>
          <w:szCs w:val="22"/>
        </w:rPr>
      </w:pPr>
      <w:r w:rsidRPr="00043A1E">
        <w:rPr>
          <w:rStyle w:val="a6"/>
          <w:szCs w:val="22"/>
        </w:rPr>
        <w:footnoteRef/>
      </w:r>
      <w:r w:rsidRPr="00043A1E">
        <w:rPr>
          <w:rFonts w:hint="eastAsia"/>
          <w:szCs w:val="22"/>
        </w:rPr>
        <w:t xml:space="preserve"> </w:t>
      </w:r>
      <w:r w:rsidRPr="00043A1E">
        <w:rPr>
          <w:szCs w:val="22"/>
        </w:rPr>
        <w:t>（</w:t>
      </w:r>
      <w:r w:rsidRPr="00761EF3">
        <w:rPr>
          <w:szCs w:val="22"/>
        </w:rPr>
        <w:t>1</w:t>
      </w:r>
      <w:r w:rsidRPr="00043A1E">
        <w:rPr>
          <w:rFonts w:hint="eastAsia"/>
          <w:szCs w:val="22"/>
        </w:rPr>
        <w:t>）</w:t>
      </w:r>
      <w:r w:rsidRPr="00043A1E">
        <w:rPr>
          <w:szCs w:val="22"/>
        </w:rPr>
        <w:t>熊十力，《新唯識論》</w:t>
      </w:r>
      <w:r w:rsidRPr="00043A1E">
        <w:rPr>
          <w:rFonts w:hint="eastAsia"/>
          <w:szCs w:val="22"/>
        </w:rPr>
        <w:t>（</w:t>
      </w:r>
      <w:r w:rsidRPr="00043A1E">
        <w:rPr>
          <w:szCs w:val="22"/>
        </w:rPr>
        <w:t>上</w:t>
      </w:r>
      <w:r w:rsidRPr="00043A1E">
        <w:rPr>
          <w:rFonts w:hint="eastAsia"/>
          <w:szCs w:val="22"/>
        </w:rPr>
        <w:t>）</w:t>
      </w:r>
      <w:r w:rsidRPr="00043A1E">
        <w:rPr>
          <w:szCs w:val="22"/>
        </w:rPr>
        <w:t>，明文書局，民國</w:t>
      </w:r>
      <w:r w:rsidRPr="00761EF3">
        <w:rPr>
          <w:rFonts w:eastAsia="SimSun"/>
          <w:szCs w:val="22"/>
        </w:rPr>
        <w:t>80</w:t>
      </w:r>
      <w:r w:rsidRPr="00043A1E">
        <w:rPr>
          <w:szCs w:val="22"/>
        </w:rPr>
        <w:t>年，</w:t>
      </w:r>
      <w:r w:rsidRPr="00761EF3">
        <w:rPr>
          <w:szCs w:val="22"/>
        </w:rPr>
        <w:t>p</w:t>
      </w:r>
      <w:r w:rsidRPr="00043A1E">
        <w:rPr>
          <w:szCs w:val="22"/>
        </w:rPr>
        <w:t>.</w:t>
      </w:r>
      <w:r w:rsidRPr="00761EF3">
        <w:rPr>
          <w:szCs w:val="22"/>
        </w:rPr>
        <w:t>194</w:t>
      </w:r>
      <w:r w:rsidRPr="00043A1E">
        <w:rPr>
          <w:szCs w:val="22"/>
        </w:rPr>
        <w:t>：</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szCs w:val="22"/>
        </w:rPr>
        <w:t>用依體現。（喻如無量眾漚</w:t>
      </w:r>
      <w:r w:rsidRPr="00043A1E">
        <w:rPr>
          <w:rFonts w:ascii="標楷體" w:eastAsia="標楷體" w:hAnsi="標楷體" w:hint="eastAsia"/>
          <w:szCs w:val="22"/>
        </w:rPr>
        <w:t>。</w:t>
      </w:r>
      <w:r w:rsidRPr="00043A1E">
        <w:rPr>
          <w:rFonts w:ascii="標楷體" w:eastAsia="標楷體" w:hAnsi="標楷體"/>
          <w:szCs w:val="22"/>
        </w:rPr>
        <w:t>每一漚、都是大海水的顯現。）</w:t>
      </w:r>
    </w:p>
    <w:p w:rsidR="00157EF6" w:rsidRPr="00043A1E" w:rsidRDefault="00157EF6" w:rsidP="00AA120F">
      <w:pPr>
        <w:pStyle w:val="a5"/>
        <w:ind w:leftChars="335" w:left="804"/>
        <w:jc w:val="both"/>
        <w:rPr>
          <w:rFonts w:ascii="標楷體" w:eastAsia="標楷體" w:hAnsi="標楷體"/>
          <w:szCs w:val="22"/>
        </w:rPr>
      </w:pPr>
      <w:r w:rsidRPr="00043A1E">
        <w:rPr>
          <w:rFonts w:ascii="標楷體" w:eastAsia="標楷體" w:hAnsi="標楷體"/>
          <w:szCs w:val="22"/>
        </w:rPr>
        <w:t>體待用存。（喻如大海水。非超越無量眾漚而獨在。）</w:t>
      </w:r>
    </w:p>
    <w:p w:rsidR="00157EF6" w:rsidRPr="00043A1E" w:rsidRDefault="00157EF6" w:rsidP="00AA120F">
      <w:pPr>
        <w:pStyle w:val="a5"/>
        <w:ind w:leftChars="335" w:left="804"/>
        <w:jc w:val="both"/>
        <w:rPr>
          <w:szCs w:val="22"/>
        </w:rPr>
      </w:pPr>
      <w:r w:rsidRPr="00043A1E">
        <w:rPr>
          <w:rFonts w:ascii="標楷體" w:eastAsia="標楷體" w:hAnsi="標楷體"/>
          <w:szCs w:val="22"/>
        </w:rPr>
        <w:t>所以，體用不得不分殊。然而，一言乎用</w:t>
      </w:r>
      <w:r w:rsidRPr="00043A1E">
        <w:rPr>
          <w:rFonts w:ascii="標楷體" w:eastAsia="標楷體" w:hAnsi="標楷體" w:hint="eastAsia"/>
          <w:szCs w:val="22"/>
        </w:rPr>
        <w:t>，</w:t>
      </w:r>
      <w:r w:rsidRPr="00043A1E">
        <w:rPr>
          <w:rFonts w:ascii="標楷體" w:eastAsia="標楷體" w:hAnsi="標楷體"/>
          <w:szCs w:val="22"/>
        </w:rPr>
        <w:t>則是</w:t>
      </w:r>
      <w:r w:rsidRPr="00043A1E">
        <w:rPr>
          <w:rFonts w:ascii="標楷體" w:eastAsia="標楷體" w:hAnsi="標楷體"/>
          <w:b/>
          <w:szCs w:val="22"/>
        </w:rPr>
        <w:t>其本體全成為用</w:t>
      </w:r>
      <w:r w:rsidRPr="00043A1E">
        <w:rPr>
          <w:rFonts w:ascii="標楷體" w:eastAsia="標楷體" w:hAnsi="標楷體" w:hint="eastAsia"/>
          <w:szCs w:val="22"/>
        </w:rPr>
        <w:t>，</w:t>
      </w:r>
      <w:r w:rsidRPr="00043A1E">
        <w:rPr>
          <w:rFonts w:ascii="標楷體" w:eastAsia="標楷體" w:hAnsi="標楷體"/>
          <w:szCs w:val="22"/>
        </w:rPr>
        <w:t>而不可於用外覓體。一言乎體，則是無窮妙用，法爾皆備</w:t>
      </w:r>
      <w:r w:rsidRPr="00043A1E">
        <w:rPr>
          <w:rFonts w:ascii="標楷體" w:eastAsia="標楷體" w:hAnsi="標楷體" w:hint="eastAsia"/>
          <w:szCs w:val="22"/>
        </w:rPr>
        <w:t>，</w:t>
      </w:r>
      <w:r w:rsidRPr="00043A1E">
        <w:rPr>
          <w:rFonts w:ascii="標楷體" w:eastAsia="標楷體" w:hAnsi="標楷體"/>
          <w:szCs w:val="22"/>
        </w:rPr>
        <w:t>豈其頑空死物而可忽然成用</w:t>
      </w:r>
      <w:r w:rsidRPr="00043A1E">
        <w:rPr>
          <w:rFonts w:ascii="標楷體" w:eastAsia="標楷體" w:hAnsi="標楷體" w:hint="eastAsia"/>
          <w:szCs w:val="22"/>
        </w:rPr>
        <w:t>？</w:t>
      </w:r>
      <w:r w:rsidRPr="00DE3965">
        <w:rPr>
          <w:rFonts w:ascii="標楷體" w:eastAsia="標楷體" w:hAnsi="標楷體"/>
          <w:szCs w:val="22"/>
          <w:shd w:val="pct15" w:color="auto" w:fill="FFFFFF"/>
        </w:rPr>
        <w:t>……</w:t>
      </w:r>
      <w:r w:rsidRPr="00043A1E">
        <w:rPr>
          <w:rFonts w:ascii="標楷體" w:eastAsia="標楷體" w:hAnsi="標楷體"/>
          <w:szCs w:val="22"/>
        </w:rPr>
        <w:t>王陽明先生有言</w:t>
      </w:r>
      <w:r w:rsidRPr="00043A1E">
        <w:rPr>
          <w:rFonts w:ascii="標楷體" w:eastAsia="標楷體" w:hAnsi="標楷體" w:hint="eastAsia"/>
          <w:szCs w:val="22"/>
        </w:rPr>
        <w:t>：</w:t>
      </w:r>
      <w:r w:rsidRPr="00043A1E">
        <w:rPr>
          <w:rFonts w:ascii="標楷體" w:eastAsia="標楷體" w:hAnsi="標楷體"/>
          <w:szCs w:val="22"/>
        </w:rPr>
        <w:t>即體而言，用在體</w:t>
      </w:r>
      <w:r w:rsidRPr="00043A1E">
        <w:rPr>
          <w:rFonts w:ascii="標楷體" w:eastAsia="標楷體" w:hAnsi="標楷體" w:hint="eastAsia"/>
          <w:szCs w:val="22"/>
        </w:rPr>
        <w:t>；</w:t>
      </w:r>
      <w:r w:rsidRPr="00043A1E">
        <w:rPr>
          <w:rFonts w:ascii="標楷體" w:eastAsia="標楷體" w:hAnsi="標楷體"/>
          <w:szCs w:val="22"/>
        </w:rPr>
        <w:t>即用而言，體在用。這話，確是見道語。</w:t>
      </w:r>
    </w:p>
    <w:p w:rsidR="00157EF6" w:rsidRPr="00043A1E" w:rsidRDefault="00157EF6" w:rsidP="00AA120F">
      <w:pPr>
        <w:pStyle w:val="a5"/>
        <w:ind w:leftChars="105" w:left="791" w:hangingChars="245" w:hanging="539"/>
        <w:jc w:val="both"/>
        <w:rPr>
          <w:szCs w:val="22"/>
        </w:rPr>
      </w:pPr>
      <w:r w:rsidRPr="00043A1E">
        <w:rPr>
          <w:szCs w:val="22"/>
        </w:rPr>
        <w:t>（</w:t>
      </w:r>
      <w:r w:rsidRPr="00761EF3">
        <w:rPr>
          <w:szCs w:val="22"/>
        </w:rPr>
        <w:t>2</w:t>
      </w:r>
      <w:r w:rsidRPr="00043A1E">
        <w:rPr>
          <w:szCs w:val="22"/>
        </w:rPr>
        <w:t>）熊十力，《新唯識論》</w:t>
      </w:r>
      <w:r w:rsidRPr="00043A1E">
        <w:rPr>
          <w:rFonts w:hint="eastAsia"/>
          <w:szCs w:val="22"/>
        </w:rPr>
        <w:t>（</w:t>
      </w:r>
      <w:r w:rsidRPr="00043A1E">
        <w:rPr>
          <w:szCs w:val="22"/>
        </w:rPr>
        <w:t>上</w:t>
      </w:r>
      <w:r w:rsidRPr="00043A1E">
        <w:rPr>
          <w:rFonts w:hint="eastAsia"/>
          <w:szCs w:val="22"/>
        </w:rPr>
        <w:t>）</w:t>
      </w:r>
      <w:r w:rsidRPr="00043A1E">
        <w:rPr>
          <w:szCs w:val="22"/>
        </w:rPr>
        <w:t>，明文書局，民國</w:t>
      </w:r>
      <w:r w:rsidRPr="00761EF3">
        <w:rPr>
          <w:rFonts w:eastAsia="SimSun"/>
          <w:szCs w:val="22"/>
        </w:rPr>
        <w:t>80</w:t>
      </w:r>
      <w:r w:rsidRPr="00043A1E">
        <w:rPr>
          <w:szCs w:val="22"/>
        </w:rPr>
        <w:t>年，</w:t>
      </w:r>
      <w:r w:rsidRPr="00761EF3">
        <w:rPr>
          <w:szCs w:val="22"/>
        </w:rPr>
        <w:t>p</w:t>
      </w:r>
      <w:r w:rsidRPr="00043A1E">
        <w:rPr>
          <w:szCs w:val="22"/>
        </w:rPr>
        <w:t>.</w:t>
      </w:r>
      <w:r w:rsidRPr="00761EF3">
        <w:rPr>
          <w:szCs w:val="22"/>
        </w:rPr>
        <w:t>198</w:t>
      </w:r>
      <w:r w:rsidRPr="00043A1E">
        <w:rPr>
          <w:szCs w:val="22"/>
        </w:rPr>
        <w:t>：</w:t>
      </w:r>
    </w:p>
    <w:p w:rsidR="00157EF6" w:rsidRPr="00043A1E" w:rsidRDefault="00157EF6" w:rsidP="00AA120F">
      <w:pPr>
        <w:pStyle w:val="a5"/>
        <w:ind w:leftChars="335" w:left="804"/>
        <w:jc w:val="both"/>
        <w:rPr>
          <w:rFonts w:eastAsia="標楷體"/>
          <w:szCs w:val="22"/>
        </w:rPr>
      </w:pPr>
      <w:r w:rsidRPr="00043A1E">
        <w:rPr>
          <w:rFonts w:eastAsia="標楷體"/>
          <w:szCs w:val="22"/>
        </w:rPr>
        <w:t>我們應知</w:t>
      </w:r>
      <w:r w:rsidRPr="00043A1E">
        <w:rPr>
          <w:rFonts w:eastAsia="標楷體" w:hint="eastAsia"/>
          <w:szCs w:val="22"/>
        </w:rPr>
        <w:t>，</w:t>
      </w:r>
      <w:r w:rsidRPr="00043A1E">
        <w:rPr>
          <w:rFonts w:eastAsia="標楷體"/>
          <w:szCs w:val="22"/>
        </w:rPr>
        <w:t>用</w:t>
      </w:r>
      <w:r w:rsidRPr="00043A1E">
        <w:rPr>
          <w:rFonts w:eastAsia="標楷體" w:hint="eastAsia"/>
          <w:szCs w:val="22"/>
        </w:rPr>
        <w:t>，</w:t>
      </w:r>
      <w:r w:rsidRPr="00043A1E">
        <w:rPr>
          <w:rFonts w:eastAsia="標楷體"/>
          <w:szCs w:val="22"/>
        </w:rPr>
        <w:t>固不即是體</w:t>
      </w:r>
      <w:r w:rsidRPr="00043A1E">
        <w:rPr>
          <w:rFonts w:eastAsia="標楷體" w:hint="eastAsia"/>
          <w:szCs w:val="22"/>
        </w:rPr>
        <w:t>，</w:t>
      </w:r>
      <w:r w:rsidRPr="00043A1E">
        <w:rPr>
          <w:rFonts w:eastAsia="標楷體"/>
          <w:szCs w:val="22"/>
        </w:rPr>
        <w:t>而不可離用覓體。因為</w:t>
      </w:r>
      <w:r w:rsidRPr="00043A1E">
        <w:rPr>
          <w:rFonts w:eastAsia="標楷體"/>
          <w:b/>
          <w:szCs w:val="22"/>
        </w:rPr>
        <w:t>本體全成為萬殊的用</w:t>
      </w:r>
      <w:r w:rsidRPr="00043A1E">
        <w:rPr>
          <w:rFonts w:eastAsia="標楷體" w:hint="eastAsia"/>
          <w:szCs w:val="22"/>
        </w:rPr>
        <w:t>。</w:t>
      </w:r>
      <w:r w:rsidRPr="00043A1E">
        <w:rPr>
          <w:rFonts w:eastAsia="標楷體"/>
          <w:b/>
          <w:szCs w:val="22"/>
        </w:rPr>
        <w:t>即一一用上都具全體</w:t>
      </w:r>
      <w:r w:rsidRPr="00043A1E">
        <w:rPr>
          <w:rFonts w:eastAsia="標楷體" w:hint="eastAsia"/>
          <w:szCs w:val="22"/>
        </w:rPr>
        <w:t>，</w:t>
      </w:r>
      <w:r w:rsidRPr="00043A1E">
        <w:rPr>
          <w:rFonts w:eastAsia="標楷體"/>
          <w:szCs w:val="22"/>
        </w:rPr>
        <w:t>故即用顯體</w:t>
      </w:r>
      <w:r w:rsidRPr="00043A1E">
        <w:rPr>
          <w:rFonts w:eastAsia="標楷體" w:hint="eastAsia"/>
          <w:szCs w:val="22"/>
        </w:rPr>
        <w:t>，</w:t>
      </w:r>
      <w:r w:rsidRPr="00043A1E">
        <w:rPr>
          <w:rFonts w:eastAsia="標楷體"/>
          <w:szCs w:val="22"/>
        </w:rPr>
        <w:t>是為推見至隱。（見讀現。用現而體隱。現者，即隱之現。非有二也。）</w:t>
      </w:r>
    </w:p>
    <w:p w:rsidR="00157EF6" w:rsidRPr="00043A1E" w:rsidRDefault="00157EF6" w:rsidP="00AA120F">
      <w:pPr>
        <w:pStyle w:val="a5"/>
        <w:ind w:leftChars="300" w:left="720"/>
        <w:jc w:val="both"/>
        <w:rPr>
          <w:rFonts w:eastAsia="標楷體"/>
          <w:szCs w:val="22"/>
        </w:rPr>
      </w:pPr>
      <w:r w:rsidRPr="00043A1E">
        <w:rPr>
          <w:rFonts w:eastAsia="標楷體"/>
          <w:szCs w:val="22"/>
        </w:rPr>
        <w:t>離用言體，未免索隱行怪。（隱謂體。專以空寂言體，而不涉及生生化化之大用，是謂索隱。見趣一偏，出世之行，未免於怪。）印度佛家之學，根本處，終成差謬。</w:t>
      </w:r>
    </w:p>
  </w:footnote>
  <w:footnote w:id="891">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eastAsia="細明體"/>
          <w:szCs w:val="22"/>
        </w:rPr>
        <w:t xml:space="preserve"> </w:t>
      </w:r>
      <w:r w:rsidRPr="00043A1E">
        <w:rPr>
          <w:rFonts w:hint="eastAsia"/>
          <w:szCs w:val="22"/>
        </w:rPr>
        <w:t>頭頭：</w:t>
      </w:r>
      <w:r w:rsidRPr="00761EF3">
        <w:rPr>
          <w:szCs w:val="22"/>
        </w:rPr>
        <w:t>1</w:t>
      </w:r>
      <w:r w:rsidRPr="00043A1E">
        <w:rPr>
          <w:szCs w:val="22"/>
        </w:rPr>
        <w:t>.</w:t>
      </w:r>
      <w:r w:rsidRPr="00043A1E">
        <w:rPr>
          <w:rFonts w:hint="eastAsia"/>
          <w:szCs w:val="22"/>
        </w:rPr>
        <w:t>猶每樁，每件。（《漢語大詞典》（十二），</w:t>
      </w:r>
      <w:r w:rsidRPr="00761EF3">
        <w:rPr>
          <w:szCs w:val="22"/>
        </w:rPr>
        <w:t>p</w:t>
      </w:r>
      <w:r w:rsidRPr="00043A1E">
        <w:rPr>
          <w:szCs w:val="22"/>
        </w:rPr>
        <w:t>.</w:t>
      </w:r>
      <w:r w:rsidRPr="00761EF3">
        <w:rPr>
          <w:szCs w:val="22"/>
        </w:rPr>
        <w:t>309</w:t>
      </w:r>
      <w:r w:rsidRPr="00043A1E">
        <w:rPr>
          <w:rFonts w:hint="eastAsia"/>
          <w:szCs w:val="22"/>
        </w:rPr>
        <w:t>）</w:t>
      </w:r>
    </w:p>
  </w:footnote>
  <w:footnote w:id="892">
    <w:p w:rsidR="00157EF6" w:rsidRPr="00043A1E" w:rsidRDefault="00157EF6" w:rsidP="00AA120F">
      <w:pPr>
        <w:pStyle w:val="a5"/>
        <w:spacing w:line="0" w:lineRule="atLeast"/>
        <w:ind w:left="253" w:hangingChars="115" w:hanging="253"/>
        <w:jc w:val="both"/>
        <w:rPr>
          <w:szCs w:val="22"/>
        </w:rPr>
      </w:pPr>
      <w:r w:rsidRPr="00043A1E">
        <w:rPr>
          <w:rStyle w:val="a6"/>
          <w:szCs w:val="22"/>
        </w:rPr>
        <w:footnoteRef/>
      </w:r>
      <w:r w:rsidRPr="00043A1E">
        <w:rPr>
          <w:rFonts w:hint="eastAsia"/>
          <w:szCs w:val="22"/>
        </w:rPr>
        <w:t xml:space="preserve"> </w:t>
      </w:r>
      <w:r w:rsidRPr="00043A1E">
        <w:rPr>
          <w:szCs w:val="22"/>
        </w:rPr>
        <w:t>熊十力，《新唯識論》</w:t>
      </w:r>
      <w:r w:rsidRPr="00043A1E">
        <w:rPr>
          <w:rFonts w:hint="eastAsia"/>
          <w:szCs w:val="22"/>
        </w:rPr>
        <w:t>（</w:t>
      </w:r>
      <w:r w:rsidRPr="00043A1E">
        <w:rPr>
          <w:szCs w:val="22"/>
        </w:rPr>
        <w:t>上</w:t>
      </w:r>
      <w:r w:rsidRPr="00043A1E">
        <w:rPr>
          <w:rFonts w:hint="eastAsia"/>
          <w:szCs w:val="22"/>
        </w:rPr>
        <w:t>）</w:t>
      </w:r>
      <w:r w:rsidRPr="00043A1E">
        <w:rPr>
          <w:szCs w:val="22"/>
        </w:rPr>
        <w:t>，明文書局，民國</w:t>
      </w:r>
      <w:r w:rsidRPr="00761EF3">
        <w:rPr>
          <w:rFonts w:eastAsia="SimSun"/>
          <w:szCs w:val="22"/>
        </w:rPr>
        <w:t>80</w:t>
      </w:r>
      <w:r w:rsidRPr="00043A1E">
        <w:rPr>
          <w:szCs w:val="22"/>
        </w:rPr>
        <w:t>年，</w:t>
      </w:r>
      <w:r w:rsidRPr="00761EF3">
        <w:rPr>
          <w:szCs w:val="22"/>
        </w:rPr>
        <w:t>p</w:t>
      </w:r>
      <w:r w:rsidRPr="00043A1E">
        <w:rPr>
          <w:szCs w:val="22"/>
        </w:rPr>
        <w:t>.</w:t>
      </w:r>
      <w:r w:rsidRPr="00761EF3">
        <w:rPr>
          <w:szCs w:val="22"/>
        </w:rPr>
        <w:t>193</w:t>
      </w:r>
      <w:r w:rsidRPr="00043A1E">
        <w:rPr>
          <w:szCs w:val="22"/>
        </w:rPr>
        <w:t>：</w:t>
      </w:r>
    </w:p>
    <w:p w:rsidR="00157EF6" w:rsidRPr="00043A1E" w:rsidRDefault="00157EF6" w:rsidP="00AA120F">
      <w:pPr>
        <w:pStyle w:val="a5"/>
        <w:ind w:leftChars="100" w:left="240"/>
        <w:jc w:val="both"/>
        <w:rPr>
          <w:rFonts w:eastAsia="標楷體"/>
          <w:szCs w:val="22"/>
        </w:rPr>
      </w:pPr>
      <w:r w:rsidRPr="00043A1E">
        <w:rPr>
          <w:rFonts w:eastAsia="標楷體"/>
          <w:szCs w:val="22"/>
        </w:rPr>
        <w:t>或有難言：空寂是體，生生化化不息之幾是用。印度佛家之學</w:t>
      </w:r>
      <w:r w:rsidRPr="00043A1E">
        <w:rPr>
          <w:rFonts w:eastAsia="標楷體" w:hint="eastAsia"/>
          <w:szCs w:val="22"/>
        </w:rPr>
        <w:t>，</w:t>
      </w:r>
      <w:r w:rsidRPr="00043A1E">
        <w:rPr>
          <w:rFonts w:eastAsia="標楷體"/>
          <w:szCs w:val="22"/>
        </w:rPr>
        <w:t>（空宗在內，不須別舉）以見體為根極。</w:t>
      </w:r>
      <w:r w:rsidRPr="00263FC0">
        <w:rPr>
          <w:rFonts w:ascii="標楷體" w:eastAsia="標楷體" w:hAnsi="標楷體"/>
          <w:szCs w:val="22"/>
          <w:shd w:val="pct15" w:color="auto" w:fill="FFFFFF"/>
        </w:rPr>
        <w:t>……</w:t>
      </w:r>
      <w:r w:rsidRPr="00043A1E">
        <w:rPr>
          <w:rFonts w:eastAsia="標楷體"/>
          <w:szCs w:val="22"/>
        </w:rPr>
        <w:t>誠如汝計，則體自體，而用自用，截然為兩片物事。用，是生化之幾，不由體顯，如何憑空起用？體，唯空寂，不可說生化，非獨是死物，亦是閒物矣！</w:t>
      </w:r>
    </w:p>
  </w:footnote>
  <w:footnote w:id="893">
    <w:p w:rsidR="00157EF6" w:rsidRPr="00B56864" w:rsidRDefault="00157EF6" w:rsidP="00AA120F">
      <w:pPr>
        <w:pStyle w:val="a5"/>
        <w:spacing w:line="0" w:lineRule="atLeast"/>
        <w:ind w:left="792" w:hangingChars="360" w:hanging="792"/>
        <w:jc w:val="both"/>
        <w:rPr>
          <w:szCs w:val="22"/>
        </w:rPr>
      </w:pPr>
      <w:r w:rsidRPr="00043A1E">
        <w:rPr>
          <w:rStyle w:val="a6"/>
          <w:szCs w:val="22"/>
        </w:rPr>
        <w:footnoteRef/>
      </w:r>
      <w:r w:rsidRPr="00043A1E">
        <w:rPr>
          <w:rFonts w:eastAsia="細明體" w:hint="eastAsia"/>
          <w:szCs w:val="22"/>
        </w:rPr>
        <w:t xml:space="preserve"> </w:t>
      </w:r>
      <w:r w:rsidRPr="00043A1E">
        <w:rPr>
          <w:rFonts w:eastAsia="細明體" w:hint="eastAsia"/>
          <w:szCs w:val="22"/>
        </w:rPr>
        <w:t>（</w:t>
      </w:r>
      <w:r w:rsidRPr="00761EF3">
        <w:rPr>
          <w:rFonts w:eastAsia="細明體" w:hint="eastAsia"/>
          <w:szCs w:val="22"/>
        </w:rPr>
        <w:t>1</w:t>
      </w:r>
      <w:r w:rsidRPr="00043A1E">
        <w:rPr>
          <w:rFonts w:eastAsia="細明體" w:hint="eastAsia"/>
          <w:szCs w:val="22"/>
        </w:rPr>
        <w:t>）</w:t>
      </w:r>
      <w:r w:rsidRPr="009364F5">
        <w:rPr>
          <w:szCs w:val="22"/>
        </w:rPr>
        <w:t>太虛大師，《太虛大師全書</w:t>
      </w:r>
      <w:r w:rsidR="00263FC0">
        <w:rPr>
          <w:rFonts w:hint="eastAsia"/>
          <w:szCs w:val="22"/>
        </w:rPr>
        <w:t>，</w:t>
      </w:r>
      <w:r w:rsidRPr="009364F5">
        <w:rPr>
          <w:szCs w:val="22"/>
        </w:rPr>
        <w:t>第十三編</w:t>
      </w:r>
      <w:r w:rsidR="00263FC0">
        <w:rPr>
          <w:rFonts w:hint="eastAsia"/>
          <w:szCs w:val="22"/>
        </w:rPr>
        <w:t>，</w:t>
      </w:r>
      <w:r w:rsidRPr="009364F5">
        <w:rPr>
          <w:szCs w:val="22"/>
        </w:rPr>
        <w:t>真現實論宗用論》</w:t>
      </w:r>
      <w:r w:rsidRPr="009364F5">
        <w:rPr>
          <w:rFonts w:hint="eastAsia"/>
          <w:szCs w:val="22"/>
        </w:rPr>
        <w:t>，精裝第</w:t>
      </w:r>
      <w:r w:rsidRPr="009364F5">
        <w:rPr>
          <w:rFonts w:hint="eastAsia"/>
          <w:szCs w:val="22"/>
        </w:rPr>
        <w:t>21</w:t>
      </w:r>
      <w:r w:rsidRPr="009364F5">
        <w:rPr>
          <w:rFonts w:hint="eastAsia"/>
          <w:szCs w:val="22"/>
        </w:rPr>
        <w:t>冊，</w:t>
      </w:r>
      <w:r w:rsidRPr="00B56864">
        <w:rPr>
          <w:szCs w:val="22"/>
        </w:rPr>
        <w:t>p.561</w:t>
      </w:r>
      <w:r w:rsidRPr="00B56864">
        <w:rPr>
          <w:szCs w:val="22"/>
        </w:rPr>
        <w:t>：</w:t>
      </w:r>
    </w:p>
    <w:p w:rsidR="00B56864" w:rsidRPr="00B56864" w:rsidRDefault="00157EF6" w:rsidP="00AA120F">
      <w:pPr>
        <w:snapToGrid w:val="0"/>
        <w:ind w:leftChars="335" w:left="804"/>
        <w:jc w:val="both"/>
        <w:rPr>
          <w:rFonts w:ascii="Times New Roman" w:eastAsia="標楷體" w:hAnsi="Times New Roman"/>
          <w:sz w:val="22"/>
          <w:szCs w:val="22"/>
        </w:rPr>
      </w:pPr>
      <w:r w:rsidRPr="00B56864">
        <w:rPr>
          <w:rFonts w:ascii="Times New Roman" w:eastAsia="標楷體" w:hAnsi="Times New Roman"/>
          <w:sz w:val="22"/>
          <w:szCs w:val="22"/>
        </w:rPr>
        <w:t>所謂宇宙萬有</w:t>
      </w:r>
      <w:r w:rsidRPr="00B56864">
        <w:rPr>
          <w:rFonts w:ascii="Times New Roman" w:eastAsia="標楷體" w:hAnsi="Times New Roman"/>
          <w:b/>
          <w:sz w:val="22"/>
          <w:szCs w:val="22"/>
        </w:rPr>
        <w:t>現象論</w:t>
      </w:r>
      <w:r w:rsidRPr="00B56864">
        <w:rPr>
          <w:rFonts w:ascii="Times New Roman" w:eastAsia="標楷體" w:hAnsi="Times New Roman"/>
          <w:sz w:val="22"/>
          <w:szCs w:val="22"/>
        </w:rPr>
        <w:t>者何？即就天地人物構成之次序，及其現象上變化之過程，而加以系統之說明也。學者憑其所見聞，施其推攷</w:t>
      </w:r>
      <w:r w:rsidR="00B56864" w:rsidRPr="00B56864">
        <w:rPr>
          <w:rFonts w:ascii="Times New Roman" w:hAnsi="Times New Roman"/>
          <w:color w:val="FF0000"/>
          <w:sz w:val="22"/>
          <w:szCs w:val="22"/>
          <w:shd w:val="pct15" w:color="auto" w:fill="FFFFFF"/>
        </w:rPr>
        <w:t>*</w:t>
      </w:r>
      <w:r w:rsidRPr="00B56864">
        <w:rPr>
          <w:rFonts w:ascii="Times New Roman" w:eastAsia="標楷體" w:hAnsi="Times New Roman"/>
          <w:sz w:val="22"/>
          <w:szCs w:val="22"/>
        </w:rPr>
        <w:t>，欲以窮宇宙之真相，盡事物之變化，而哲學所含益宏；其研究天象上日月星辰之位置時，有天文學；其研究地球上萬物之現象則有理化學等；研究人生實際上、社會上安寧與幸福者，則有倫理學、經濟學、政治學等，故包含一切之科學也。</w:t>
      </w:r>
    </w:p>
    <w:p w:rsidR="00157EF6" w:rsidRPr="00B56864" w:rsidRDefault="00B56864" w:rsidP="00AA120F">
      <w:pPr>
        <w:snapToGrid w:val="0"/>
        <w:ind w:leftChars="335" w:left="804"/>
        <w:jc w:val="both"/>
        <w:rPr>
          <w:rFonts w:ascii="Times New Roman" w:eastAsia="標楷體" w:hAnsi="Times New Roman"/>
          <w:sz w:val="22"/>
          <w:szCs w:val="22"/>
        </w:rPr>
      </w:pPr>
      <w:r w:rsidRPr="00B56864">
        <w:rPr>
          <w:rFonts w:ascii="Times New Roman" w:hAnsi="Times New Roman"/>
          <w:color w:val="FF0000"/>
          <w:sz w:val="22"/>
          <w:szCs w:val="22"/>
          <w:shd w:val="pct15" w:color="auto" w:fill="FFFFFF"/>
        </w:rPr>
        <w:t>*</w:t>
      </w:r>
      <w:r w:rsidRPr="00B56864">
        <w:rPr>
          <w:rFonts w:ascii="Times New Roman" w:hAnsi="Times New Roman"/>
          <w:color w:val="FF0000"/>
          <w:sz w:val="22"/>
          <w:szCs w:val="22"/>
          <w:highlight w:val="yellow"/>
        </w:rPr>
        <w:t>攷</w:t>
      </w:r>
      <w:r w:rsidRPr="00B56864">
        <w:rPr>
          <w:rFonts w:ascii="Times New Roman" w:eastAsia="細明體" w:hAnsi="Times New Roman"/>
          <w:color w:val="FF0000"/>
          <w:sz w:val="22"/>
          <w:szCs w:val="22"/>
          <w:highlight w:val="yellow"/>
        </w:rPr>
        <w:t>（ㄎㄠ</w:t>
      </w:r>
      <w:r w:rsidRPr="00B56864">
        <w:rPr>
          <w:rFonts w:ascii="Times New Roman" w:eastAsia="細明體" w:hAnsi="Times New Roman"/>
          <w:color w:val="FF0000"/>
          <w:sz w:val="22"/>
          <w:szCs w:val="22"/>
          <w:highlight w:val="yellow"/>
        </w:rPr>
        <w:t>ˇ</w:t>
      </w:r>
      <w:r w:rsidRPr="00B56864">
        <w:rPr>
          <w:rFonts w:ascii="Times New Roman" w:eastAsia="細明體" w:hAnsi="Times New Roman"/>
          <w:color w:val="FF0000"/>
          <w:sz w:val="22"/>
          <w:szCs w:val="22"/>
          <w:highlight w:val="yellow"/>
        </w:rPr>
        <w:t>）</w:t>
      </w:r>
      <w:r w:rsidRPr="00B56864">
        <w:rPr>
          <w:rFonts w:ascii="Times New Roman" w:hAnsi="Times New Roman"/>
          <w:color w:val="FF0000"/>
          <w:sz w:val="22"/>
          <w:szCs w:val="22"/>
          <w:highlight w:val="yellow"/>
        </w:rPr>
        <w:t>：</w:t>
      </w:r>
      <w:r w:rsidRPr="00B56864">
        <w:rPr>
          <w:rFonts w:ascii="Times New Roman" w:hAnsi="Times New Roman"/>
          <w:color w:val="FF0000"/>
          <w:sz w:val="22"/>
          <w:szCs w:val="22"/>
          <w:highlight w:val="yellow"/>
        </w:rPr>
        <w:t>2.</w:t>
      </w:r>
      <w:r w:rsidRPr="00B56864">
        <w:rPr>
          <w:rFonts w:ascii="Times New Roman" w:hAnsi="Times New Roman"/>
          <w:color w:val="FF0000"/>
          <w:sz w:val="22"/>
          <w:szCs w:val="22"/>
          <w:highlight w:val="yellow"/>
        </w:rPr>
        <w:t>考校，考察。</w:t>
      </w:r>
      <w:r w:rsidRPr="00B56864">
        <w:rPr>
          <w:rFonts w:ascii="Times New Roman" w:hAnsi="Times New Roman" w:hint="eastAsia"/>
          <w:color w:val="FF0000"/>
          <w:szCs w:val="22"/>
          <w:highlight w:val="yellow"/>
        </w:rPr>
        <w:t>（《漢語大字典》，</w:t>
      </w:r>
      <w:r w:rsidRPr="00B56864">
        <w:rPr>
          <w:rFonts w:ascii="Times New Roman" w:hAnsi="Times New Roman"/>
          <w:color w:val="FF0000"/>
          <w:szCs w:val="22"/>
          <w:highlight w:val="yellow"/>
        </w:rPr>
        <w:t>p.</w:t>
      </w:r>
      <w:r w:rsidRPr="00B56864">
        <w:rPr>
          <w:rFonts w:ascii="Times New Roman" w:hAnsi="Times New Roman" w:hint="eastAsia"/>
          <w:color w:val="FF0000"/>
          <w:szCs w:val="22"/>
          <w:highlight w:val="yellow"/>
        </w:rPr>
        <w:t>1551</w:t>
      </w:r>
      <w:r w:rsidRPr="00B56864">
        <w:rPr>
          <w:rFonts w:hint="eastAsia"/>
          <w:color w:val="FF0000"/>
          <w:szCs w:val="22"/>
          <w:highlight w:val="yellow"/>
        </w:rPr>
        <w:t>）</w:t>
      </w:r>
    </w:p>
    <w:p w:rsidR="00157EF6" w:rsidRPr="00043A1E" w:rsidRDefault="00157EF6" w:rsidP="00AA120F">
      <w:pPr>
        <w:pStyle w:val="a5"/>
        <w:ind w:leftChars="105" w:left="791" w:hangingChars="245" w:hanging="539"/>
        <w:jc w:val="both"/>
        <w:rPr>
          <w:szCs w:val="22"/>
        </w:rPr>
      </w:pPr>
      <w:r w:rsidRPr="00263FC0">
        <w:rPr>
          <w:rFonts w:hint="eastAsia"/>
          <w:szCs w:val="22"/>
        </w:rPr>
        <w:t>（</w:t>
      </w:r>
      <w:r w:rsidRPr="00263FC0">
        <w:rPr>
          <w:rFonts w:hint="eastAsia"/>
          <w:szCs w:val="22"/>
        </w:rPr>
        <w:t>2</w:t>
      </w:r>
      <w:r w:rsidRPr="00263FC0">
        <w:rPr>
          <w:rFonts w:hint="eastAsia"/>
          <w:szCs w:val="22"/>
        </w:rPr>
        <w:t>）</w:t>
      </w:r>
      <w:r w:rsidRPr="00043A1E">
        <w:rPr>
          <w:rFonts w:eastAsia="標楷體" w:hint="eastAsia"/>
          <w:szCs w:val="22"/>
        </w:rPr>
        <w:t>現象論：現象論係認識論</w:t>
      </w:r>
      <w:r>
        <w:rPr>
          <w:rFonts w:eastAsia="標楷體" w:hint="eastAsia"/>
          <w:szCs w:val="22"/>
        </w:rPr>
        <w:t>（</w:t>
      </w:r>
      <w:r w:rsidRPr="00761EF3">
        <w:rPr>
          <w:rFonts w:eastAsia="標楷體" w:hint="eastAsia"/>
          <w:szCs w:val="22"/>
        </w:rPr>
        <w:t>epistemology</w:t>
      </w:r>
      <w:r>
        <w:rPr>
          <w:rFonts w:eastAsia="標楷體" w:hint="eastAsia"/>
          <w:szCs w:val="22"/>
        </w:rPr>
        <w:t>）</w:t>
      </w:r>
      <w:r w:rsidRPr="00043A1E">
        <w:rPr>
          <w:rFonts w:eastAsia="標楷體" w:hint="eastAsia"/>
          <w:szCs w:val="22"/>
        </w:rPr>
        <w:t>中的一種看法，認為人類僅能認識現象，而且現象的背後並未存在任何事物可以引起現象的出現。現象論的基本要旨如下：</w:t>
      </w:r>
      <w:r>
        <w:rPr>
          <w:rFonts w:eastAsia="標楷體" w:hint="eastAsia"/>
          <w:szCs w:val="22"/>
        </w:rPr>
        <w:t>（</w:t>
      </w:r>
      <w:r w:rsidRPr="00761EF3">
        <w:rPr>
          <w:rFonts w:eastAsia="標楷體" w:hint="eastAsia"/>
          <w:szCs w:val="22"/>
        </w:rPr>
        <w:t>1</w:t>
      </w:r>
      <w:r>
        <w:rPr>
          <w:rFonts w:eastAsia="標楷體" w:hint="eastAsia"/>
          <w:szCs w:val="22"/>
        </w:rPr>
        <w:t>）</w:t>
      </w:r>
      <w:r w:rsidRPr="00043A1E">
        <w:rPr>
          <w:rFonts w:eastAsia="標楷體" w:hint="eastAsia"/>
          <w:szCs w:val="22"/>
        </w:rPr>
        <w:t>只有當現象出現於人類意識之前時，才能被認識。</w:t>
      </w:r>
      <w:r>
        <w:rPr>
          <w:rFonts w:eastAsia="標楷體" w:hint="eastAsia"/>
          <w:szCs w:val="22"/>
        </w:rPr>
        <w:t>（</w:t>
      </w:r>
      <w:r w:rsidRPr="00761EF3">
        <w:rPr>
          <w:rFonts w:eastAsia="標楷體"/>
          <w:szCs w:val="22"/>
        </w:rPr>
        <w:t>2</w:t>
      </w:r>
      <w:r>
        <w:rPr>
          <w:rFonts w:eastAsia="標楷體" w:hint="eastAsia"/>
          <w:szCs w:val="22"/>
        </w:rPr>
        <w:t>）</w:t>
      </w:r>
      <w:r w:rsidRPr="00043A1E">
        <w:rPr>
          <w:rFonts w:eastAsia="標楷體" w:hint="eastAsia"/>
          <w:szCs w:val="22"/>
        </w:rPr>
        <w:t>人類不可能認識實在</w:t>
      </w:r>
      <w:r>
        <w:rPr>
          <w:rFonts w:eastAsia="標楷體" w:hint="eastAsia"/>
          <w:szCs w:val="22"/>
        </w:rPr>
        <w:t>（</w:t>
      </w:r>
      <w:r w:rsidRPr="00761EF3">
        <w:rPr>
          <w:rFonts w:eastAsia="標楷體" w:hint="eastAsia"/>
          <w:szCs w:val="22"/>
        </w:rPr>
        <w:t>reality</w:t>
      </w:r>
      <w:r>
        <w:rPr>
          <w:rFonts w:eastAsia="標楷體" w:hint="eastAsia"/>
          <w:szCs w:val="22"/>
        </w:rPr>
        <w:t>）</w:t>
      </w:r>
      <w:r w:rsidRPr="00043A1E">
        <w:rPr>
          <w:rFonts w:eastAsia="標楷體" w:hint="eastAsia"/>
          <w:szCs w:val="22"/>
        </w:rPr>
        <w:t>的最終本質。</w:t>
      </w:r>
      <w:r>
        <w:rPr>
          <w:rFonts w:eastAsia="標楷體" w:hint="eastAsia"/>
          <w:szCs w:val="22"/>
        </w:rPr>
        <w:t>（</w:t>
      </w:r>
      <w:r w:rsidRPr="00761EF3">
        <w:rPr>
          <w:rFonts w:eastAsia="標楷體"/>
          <w:szCs w:val="22"/>
        </w:rPr>
        <w:t>3</w:t>
      </w:r>
      <w:r>
        <w:rPr>
          <w:rFonts w:eastAsia="標楷體" w:hint="eastAsia"/>
          <w:szCs w:val="22"/>
        </w:rPr>
        <w:t>）</w:t>
      </w:r>
      <w:r w:rsidRPr="00043A1E">
        <w:rPr>
          <w:rFonts w:eastAsia="標楷體" w:hint="eastAsia"/>
          <w:szCs w:val="22"/>
        </w:rPr>
        <w:t>人類所認識的皆與意識活動有關。某樣外在事物之所以存在，在於它被某人所知覺。</w:t>
      </w:r>
      <w:r>
        <w:rPr>
          <w:rFonts w:eastAsia="標楷體" w:hint="eastAsia"/>
          <w:szCs w:val="22"/>
        </w:rPr>
        <w:t>（</w:t>
      </w:r>
      <w:r w:rsidRPr="00761EF3">
        <w:rPr>
          <w:rFonts w:eastAsia="標楷體"/>
          <w:szCs w:val="22"/>
        </w:rPr>
        <w:t>4</w:t>
      </w:r>
      <w:r>
        <w:rPr>
          <w:rFonts w:eastAsia="標楷體" w:hint="eastAsia"/>
          <w:szCs w:val="22"/>
        </w:rPr>
        <w:t>）</w:t>
      </w:r>
      <w:r w:rsidRPr="00043A1E">
        <w:rPr>
          <w:rFonts w:eastAsia="標楷體" w:hint="eastAsia"/>
          <w:szCs w:val="22"/>
        </w:rPr>
        <w:t>知識僅限於在意識的知覺中發生，此意識的知覺也包括關於心智活動的內省在內。</w:t>
      </w:r>
      <w:r>
        <w:rPr>
          <w:rFonts w:eastAsia="標楷體" w:hint="eastAsia"/>
          <w:szCs w:val="22"/>
        </w:rPr>
        <w:t>（</w:t>
      </w:r>
      <w:r w:rsidRPr="00761EF3">
        <w:rPr>
          <w:rFonts w:eastAsia="標楷體"/>
          <w:szCs w:val="22"/>
        </w:rPr>
        <w:t>5</w:t>
      </w:r>
      <w:r>
        <w:rPr>
          <w:rFonts w:eastAsia="標楷體" w:hint="eastAsia"/>
          <w:szCs w:val="22"/>
        </w:rPr>
        <w:t>）</w:t>
      </w:r>
      <w:r w:rsidRPr="00043A1E">
        <w:rPr>
          <w:rFonts w:eastAsia="標楷體" w:hint="eastAsia"/>
          <w:szCs w:val="22"/>
        </w:rPr>
        <w:t>所謂的「實在」，係所有可能的意識經驗</w:t>
      </w:r>
      <w:r>
        <w:rPr>
          <w:rFonts w:eastAsia="標楷體" w:hint="eastAsia"/>
          <w:szCs w:val="22"/>
        </w:rPr>
        <w:t>（</w:t>
      </w:r>
      <w:r w:rsidRPr="00761EF3">
        <w:rPr>
          <w:rFonts w:eastAsia="標楷體" w:hint="eastAsia"/>
          <w:szCs w:val="22"/>
        </w:rPr>
        <w:t>conscious</w:t>
      </w:r>
      <w:r w:rsidRPr="00043A1E">
        <w:rPr>
          <w:rFonts w:eastAsia="標楷體" w:hint="eastAsia"/>
          <w:szCs w:val="22"/>
        </w:rPr>
        <w:t xml:space="preserve"> </w:t>
      </w:r>
      <w:r w:rsidRPr="00761EF3">
        <w:rPr>
          <w:rFonts w:eastAsia="標楷體" w:hint="eastAsia"/>
          <w:szCs w:val="22"/>
        </w:rPr>
        <w:t>experiences</w:t>
      </w:r>
      <w:r>
        <w:rPr>
          <w:rFonts w:eastAsia="標楷體" w:hint="eastAsia"/>
          <w:szCs w:val="22"/>
        </w:rPr>
        <w:t>）</w:t>
      </w:r>
      <w:r w:rsidRPr="00043A1E">
        <w:rPr>
          <w:rFonts w:eastAsia="標楷體" w:hint="eastAsia"/>
          <w:szCs w:val="22"/>
        </w:rPr>
        <w:t>之整體。</w:t>
      </w:r>
      <w:r>
        <w:rPr>
          <w:rFonts w:eastAsia="標楷體" w:hint="eastAsia"/>
          <w:szCs w:val="22"/>
        </w:rPr>
        <w:t>（</w:t>
      </w:r>
      <w:r w:rsidRPr="00761EF3">
        <w:rPr>
          <w:rFonts w:eastAsia="標楷體"/>
          <w:szCs w:val="22"/>
        </w:rPr>
        <w:t>6</w:t>
      </w:r>
      <w:r>
        <w:rPr>
          <w:rFonts w:eastAsia="標楷體" w:hint="eastAsia"/>
          <w:szCs w:val="22"/>
        </w:rPr>
        <w:t>）</w:t>
      </w:r>
      <w:r w:rsidRPr="00043A1E">
        <w:rPr>
          <w:rFonts w:eastAsia="標楷體" w:hint="eastAsia"/>
          <w:szCs w:val="22"/>
        </w:rPr>
        <w:t>外在的物理世界不可脫離知覺者的知覺而存在。</w:t>
      </w:r>
      <w:r>
        <w:rPr>
          <w:rFonts w:eastAsia="標楷體" w:hint="eastAsia"/>
          <w:szCs w:val="22"/>
        </w:rPr>
        <w:t>（</w:t>
      </w:r>
      <w:r w:rsidRPr="00761EF3">
        <w:rPr>
          <w:rFonts w:eastAsia="標楷體"/>
          <w:szCs w:val="22"/>
        </w:rPr>
        <w:t>7</w:t>
      </w:r>
      <w:r>
        <w:rPr>
          <w:rFonts w:eastAsia="標楷體" w:hint="eastAsia"/>
          <w:szCs w:val="22"/>
        </w:rPr>
        <w:t>）</w:t>
      </w:r>
      <w:r w:rsidRPr="00043A1E">
        <w:rPr>
          <w:rFonts w:eastAsia="標楷體" w:hint="eastAsia"/>
          <w:szCs w:val="22"/>
        </w:rPr>
        <w:t>所有物理（或物質）對象均為基於知覺而產生的邏輯建構，一些關於物理對象的陳述之意義也唯有藉感官資料</w:t>
      </w:r>
      <w:r>
        <w:rPr>
          <w:rFonts w:eastAsia="標楷體" w:hint="eastAsia"/>
          <w:szCs w:val="22"/>
        </w:rPr>
        <w:t>（</w:t>
      </w:r>
      <w:r w:rsidRPr="00761EF3">
        <w:rPr>
          <w:rFonts w:eastAsia="標楷體" w:hint="eastAsia"/>
          <w:szCs w:val="22"/>
        </w:rPr>
        <w:t>sense</w:t>
      </w:r>
      <w:r w:rsidRPr="00043A1E">
        <w:rPr>
          <w:rFonts w:eastAsia="標楷體" w:hint="eastAsia"/>
          <w:szCs w:val="22"/>
        </w:rPr>
        <w:t xml:space="preserve"> </w:t>
      </w:r>
      <w:r w:rsidRPr="00761EF3">
        <w:rPr>
          <w:rFonts w:eastAsia="標楷體" w:hint="eastAsia"/>
          <w:szCs w:val="22"/>
        </w:rPr>
        <w:t>data</w:t>
      </w:r>
      <w:r>
        <w:rPr>
          <w:rFonts w:eastAsia="標楷體" w:hint="eastAsia"/>
          <w:szCs w:val="22"/>
        </w:rPr>
        <w:t>）</w:t>
      </w:r>
      <w:r w:rsidRPr="00043A1E">
        <w:rPr>
          <w:rFonts w:eastAsia="標楷體" w:hint="eastAsia"/>
          <w:szCs w:val="22"/>
        </w:rPr>
        <w:t>亦即現象，才能作出完整的分析。</w:t>
      </w:r>
      <w:r w:rsidRPr="00043A1E">
        <w:rPr>
          <w:rFonts w:hint="eastAsia"/>
          <w:szCs w:val="22"/>
        </w:rPr>
        <w:t>（《</w:t>
      </w:r>
      <w:r w:rsidRPr="00043A1E">
        <w:rPr>
          <w:szCs w:val="22"/>
        </w:rPr>
        <w:t>教育大辭書</w:t>
      </w:r>
      <w:r w:rsidRPr="00043A1E">
        <w:rPr>
          <w:rFonts w:hint="eastAsia"/>
          <w:szCs w:val="22"/>
        </w:rPr>
        <w:t>》：</w:t>
      </w:r>
      <w:r w:rsidRPr="00761EF3">
        <w:rPr>
          <w:szCs w:val="22"/>
        </w:rPr>
        <w:t>http</w:t>
      </w:r>
      <w:r w:rsidRPr="00043A1E">
        <w:rPr>
          <w:szCs w:val="22"/>
        </w:rPr>
        <w:t>://</w:t>
      </w:r>
      <w:r w:rsidRPr="00761EF3">
        <w:rPr>
          <w:szCs w:val="22"/>
        </w:rPr>
        <w:t>terms</w:t>
      </w:r>
      <w:r w:rsidRPr="00043A1E">
        <w:rPr>
          <w:szCs w:val="22"/>
        </w:rPr>
        <w:t>.</w:t>
      </w:r>
      <w:r w:rsidRPr="00761EF3">
        <w:rPr>
          <w:szCs w:val="22"/>
        </w:rPr>
        <w:t>naer</w:t>
      </w:r>
      <w:r w:rsidRPr="00043A1E">
        <w:rPr>
          <w:szCs w:val="22"/>
        </w:rPr>
        <w:t>.</w:t>
      </w:r>
      <w:r w:rsidRPr="00761EF3">
        <w:rPr>
          <w:szCs w:val="22"/>
        </w:rPr>
        <w:t>edu</w:t>
      </w:r>
      <w:r w:rsidRPr="00043A1E">
        <w:rPr>
          <w:szCs w:val="22"/>
        </w:rPr>
        <w:t>.</w:t>
      </w:r>
      <w:r w:rsidRPr="00761EF3">
        <w:rPr>
          <w:szCs w:val="22"/>
        </w:rPr>
        <w:t>tw</w:t>
      </w:r>
      <w:r w:rsidRPr="00043A1E">
        <w:rPr>
          <w:szCs w:val="22"/>
        </w:rPr>
        <w:t>/</w:t>
      </w:r>
      <w:r w:rsidRPr="00761EF3">
        <w:rPr>
          <w:szCs w:val="22"/>
        </w:rPr>
        <w:t>detail</w:t>
      </w:r>
      <w:r w:rsidRPr="00043A1E">
        <w:rPr>
          <w:szCs w:val="22"/>
        </w:rPr>
        <w:t>/</w:t>
      </w:r>
      <w:r w:rsidRPr="00761EF3">
        <w:rPr>
          <w:szCs w:val="22"/>
        </w:rPr>
        <w:t>1310579</w:t>
      </w:r>
      <w:r w:rsidRPr="00043A1E">
        <w:rPr>
          <w:szCs w:val="22"/>
        </w:rPr>
        <w:t>/</w:t>
      </w:r>
      <w:r w:rsidRPr="00043A1E">
        <w:rPr>
          <w:rFonts w:hint="eastAsia"/>
          <w:szCs w:val="22"/>
        </w:rPr>
        <w:t>）</w:t>
      </w:r>
    </w:p>
  </w:footnote>
  <w:footnote w:id="894">
    <w:p w:rsidR="00087A25" w:rsidRPr="00412A9C" w:rsidRDefault="00087A25" w:rsidP="009E0A5A">
      <w:pPr>
        <w:pStyle w:val="a5"/>
        <w:ind w:left="187" w:hangingChars="85" w:hanging="187"/>
        <w:jc w:val="both"/>
        <w:rPr>
          <w:szCs w:val="22"/>
        </w:rPr>
      </w:pPr>
      <w:r w:rsidRPr="00412A9C">
        <w:rPr>
          <w:rStyle w:val="a6"/>
          <w:szCs w:val="22"/>
        </w:rPr>
        <w:footnoteRef/>
      </w:r>
      <w:r w:rsidRPr="00412A9C">
        <w:rPr>
          <w:rFonts w:hint="eastAsia"/>
          <w:szCs w:val="22"/>
        </w:rPr>
        <w:t xml:space="preserve"> </w:t>
      </w:r>
      <w:r w:rsidRPr="00412A9C">
        <w:rPr>
          <w:szCs w:val="22"/>
        </w:rPr>
        <w:t>參見</w:t>
      </w:r>
      <w:r w:rsidRPr="00412A9C">
        <w:rPr>
          <w:rFonts w:hint="eastAsia"/>
          <w:szCs w:val="22"/>
        </w:rPr>
        <w:t>〔隋〕</w:t>
      </w:r>
      <w:r w:rsidRPr="00412A9C">
        <w:rPr>
          <w:szCs w:val="22"/>
        </w:rPr>
        <w:t>吉藏</w:t>
      </w:r>
      <w:r w:rsidRPr="00412A9C">
        <w:rPr>
          <w:rFonts w:hint="eastAsia"/>
          <w:szCs w:val="22"/>
        </w:rPr>
        <w:t>撰</w:t>
      </w:r>
      <w:r w:rsidRPr="00412A9C">
        <w:rPr>
          <w:szCs w:val="22"/>
        </w:rPr>
        <w:t>，《二諦義》（大正</w:t>
      </w:r>
      <w:r w:rsidRPr="00761EF3">
        <w:rPr>
          <w:szCs w:val="22"/>
        </w:rPr>
        <w:t>45</w:t>
      </w:r>
      <w:r w:rsidRPr="00412A9C">
        <w:rPr>
          <w:szCs w:val="22"/>
        </w:rPr>
        <w:t>，</w:t>
      </w:r>
      <w:r w:rsidRPr="00761EF3">
        <w:rPr>
          <w:szCs w:val="22"/>
        </w:rPr>
        <w:t>78a</w:t>
      </w:r>
      <w:r w:rsidRPr="00412A9C">
        <w:rPr>
          <w:szCs w:val="22"/>
        </w:rPr>
        <w:t>-</w:t>
      </w:r>
      <w:r w:rsidRPr="00761EF3">
        <w:rPr>
          <w:szCs w:val="22"/>
        </w:rPr>
        <w:t>115a</w:t>
      </w:r>
      <w:r w:rsidRPr="00412A9C">
        <w:rPr>
          <w:rFonts w:hint="eastAsia"/>
          <w:szCs w:val="22"/>
        </w:rPr>
        <w:t>）；〔唐〕</w:t>
      </w:r>
      <w:r w:rsidRPr="00412A9C">
        <w:rPr>
          <w:szCs w:val="22"/>
        </w:rPr>
        <w:t>窺基</w:t>
      </w:r>
      <w:r w:rsidRPr="00412A9C">
        <w:rPr>
          <w:rFonts w:hint="eastAsia"/>
          <w:szCs w:val="22"/>
        </w:rPr>
        <w:t>撰</w:t>
      </w:r>
      <w:r w:rsidRPr="00412A9C">
        <w:rPr>
          <w:szCs w:val="22"/>
        </w:rPr>
        <w:t>，《大乘法苑義林章》卷</w:t>
      </w:r>
      <w:r w:rsidRPr="00761EF3">
        <w:rPr>
          <w:szCs w:val="22"/>
        </w:rPr>
        <w:t>2</w:t>
      </w:r>
      <w:r w:rsidRPr="00412A9C">
        <w:rPr>
          <w:szCs w:val="22"/>
        </w:rPr>
        <w:t>〈二諦義〉（大正</w:t>
      </w:r>
      <w:r w:rsidRPr="00761EF3">
        <w:rPr>
          <w:szCs w:val="22"/>
        </w:rPr>
        <w:t>45</w:t>
      </w:r>
      <w:r w:rsidRPr="00412A9C">
        <w:rPr>
          <w:szCs w:val="22"/>
        </w:rPr>
        <w:t>，</w:t>
      </w:r>
      <w:r w:rsidRPr="00761EF3">
        <w:rPr>
          <w:szCs w:val="22"/>
        </w:rPr>
        <w:t>287b15</w:t>
      </w:r>
      <w:r w:rsidRPr="00412A9C">
        <w:rPr>
          <w:rFonts w:hint="eastAsia"/>
          <w:szCs w:val="22"/>
        </w:rPr>
        <w:t>-</w:t>
      </w:r>
      <w:r w:rsidRPr="00761EF3">
        <w:rPr>
          <w:szCs w:val="22"/>
        </w:rPr>
        <w:t>294a12</w:t>
      </w:r>
      <w:r w:rsidRPr="00412A9C">
        <w:rPr>
          <w:rFonts w:hint="eastAsia"/>
          <w:szCs w:val="22"/>
        </w:rPr>
        <w:t>）</w:t>
      </w:r>
      <w:r w:rsidRPr="00412A9C">
        <w:rPr>
          <w:szCs w:val="22"/>
        </w:rPr>
        <w:t>。</w:t>
      </w:r>
    </w:p>
  </w:footnote>
  <w:footnote w:id="895">
    <w:p w:rsidR="00157EF6" w:rsidRPr="00F61231" w:rsidRDefault="00157EF6" w:rsidP="00AA120F">
      <w:pPr>
        <w:pStyle w:val="a5"/>
        <w:spacing w:line="0" w:lineRule="atLeast"/>
        <w:ind w:left="726" w:hangingChars="330" w:hanging="726"/>
        <w:jc w:val="both"/>
        <w:rPr>
          <w:szCs w:val="22"/>
        </w:rPr>
      </w:pPr>
      <w:r w:rsidRPr="00F61231">
        <w:rPr>
          <w:rStyle w:val="a6"/>
          <w:szCs w:val="22"/>
        </w:rPr>
        <w:footnoteRef/>
      </w:r>
      <w:r w:rsidRPr="00F61231">
        <w:rPr>
          <w:rFonts w:hint="eastAsia"/>
          <w:szCs w:val="22"/>
        </w:rPr>
        <w:t xml:space="preserve"> </w:t>
      </w:r>
      <w:r w:rsidRPr="00F61231">
        <w:rPr>
          <w:szCs w:val="22"/>
        </w:rPr>
        <w:t>（</w:t>
      </w:r>
      <w:r w:rsidRPr="00761EF3">
        <w:rPr>
          <w:szCs w:val="22"/>
        </w:rPr>
        <w:t>1</w:t>
      </w:r>
      <w:r w:rsidRPr="00F61231">
        <w:rPr>
          <w:szCs w:val="22"/>
        </w:rPr>
        <w:t>）</w:t>
      </w:r>
      <w:r>
        <w:rPr>
          <w:szCs w:val="22"/>
        </w:rPr>
        <w:t>《</w:t>
      </w:r>
      <w:r w:rsidRPr="00F61231">
        <w:rPr>
          <w:szCs w:val="22"/>
        </w:rPr>
        <w:t>中論》卷</w:t>
      </w:r>
      <w:r w:rsidRPr="00761EF3">
        <w:rPr>
          <w:szCs w:val="22"/>
        </w:rPr>
        <w:t>4</w:t>
      </w:r>
      <w:r w:rsidRPr="00F61231">
        <w:rPr>
          <w:szCs w:val="22"/>
        </w:rPr>
        <w:t>〈</w:t>
      </w:r>
      <w:r w:rsidRPr="00761EF3">
        <w:rPr>
          <w:szCs w:val="22"/>
        </w:rPr>
        <w:t>24</w:t>
      </w:r>
      <w:r w:rsidRPr="00F61231">
        <w:rPr>
          <w:szCs w:val="22"/>
        </w:rPr>
        <w:t xml:space="preserve"> </w:t>
      </w:r>
      <w:r w:rsidRPr="00F61231">
        <w:rPr>
          <w:szCs w:val="22"/>
        </w:rPr>
        <w:t>觀四諦品〉（大正</w:t>
      </w:r>
      <w:r w:rsidRPr="00761EF3">
        <w:rPr>
          <w:szCs w:val="22"/>
        </w:rPr>
        <w:t>30</w:t>
      </w:r>
      <w:r w:rsidRPr="00F61231">
        <w:rPr>
          <w:rFonts w:hint="eastAsia"/>
          <w:szCs w:val="22"/>
        </w:rPr>
        <w:t>，</w:t>
      </w:r>
      <w:r w:rsidRPr="00761EF3">
        <w:rPr>
          <w:szCs w:val="22"/>
        </w:rPr>
        <w:t>32c16</w:t>
      </w:r>
      <w:r w:rsidRPr="00F61231">
        <w:rPr>
          <w:szCs w:val="22"/>
        </w:rPr>
        <w:t>-</w:t>
      </w:r>
      <w:r w:rsidRPr="00761EF3">
        <w:rPr>
          <w:rFonts w:hint="eastAsia"/>
          <w:szCs w:val="22"/>
        </w:rPr>
        <w:t>33a3</w:t>
      </w:r>
      <w:r w:rsidRPr="00F61231">
        <w:rPr>
          <w:rFonts w:hint="eastAsia"/>
          <w:szCs w:val="22"/>
        </w:rPr>
        <w:t>）：</w:t>
      </w:r>
    </w:p>
    <w:p w:rsidR="00157EF6" w:rsidRPr="00F61231" w:rsidRDefault="00157EF6" w:rsidP="00AA120F">
      <w:pPr>
        <w:pStyle w:val="Web"/>
        <w:snapToGrid w:val="0"/>
        <w:spacing w:before="0" w:beforeAutospacing="0" w:after="0" w:afterAutospacing="0"/>
        <w:ind w:leftChars="305" w:left="732"/>
        <w:jc w:val="both"/>
        <w:rPr>
          <w:rFonts w:ascii="標楷體" w:eastAsia="標楷體" w:hAnsi="標楷體" w:cs="Times New Roman"/>
          <w:szCs w:val="22"/>
        </w:rPr>
      </w:pPr>
      <w:r w:rsidRPr="00087A25">
        <w:rPr>
          <w:rFonts w:ascii="Times New Roman" w:eastAsia="標楷體" w:hAnsi="Times New Roman" w:cs="Times New Roman"/>
          <w:szCs w:val="22"/>
          <w:shd w:val="pct15" w:color="auto" w:fill="FFFFFF"/>
        </w:rPr>
        <w:t>〔</w:t>
      </w:r>
      <w:r w:rsidRPr="00087A25">
        <w:rPr>
          <w:rFonts w:ascii="Times New Roman" w:eastAsia="標楷體" w:hAnsi="Times New Roman" w:cs="Times New Roman"/>
          <w:szCs w:val="22"/>
          <w:shd w:val="pct15" w:color="auto" w:fill="FFFFFF"/>
        </w:rPr>
        <w:t>08</w:t>
      </w:r>
      <w:r w:rsidRPr="00087A25">
        <w:rPr>
          <w:rFonts w:ascii="Times New Roman" w:eastAsia="標楷體" w:hAnsi="Times New Roman" w:cs="Times New Roman"/>
          <w:szCs w:val="22"/>
          <w:shd w:val="pct15" w:color="auto" w:fill="FFFFFF"/>
        </w:rPr>
        <w:t>〕</w:t>
      </w:r>
      <w:r w:rsidRPr="00F61231">
        <w:rPr>
          <w:rFonts w:ascii="標楷體" w:eastAsia="標楷體" w:hAnsi="標楷體" w:cs="Times New Roman"/>
          <w:szCs w:val="22"/>
        </w:rPr>
        <w:t>諸佛依二諦，為眾生說法，一</w:t>
      </w:r>
      <w:r w:rsidR="005060F1" w:rsidRPr="005060F1">
        <w:rPr>
          <w:rFonts w:ascii="標楷體" w:eastAsia="標楷體" w:hAnsi="標楷體" w:cs="Times New Roman" w:hint="eastAsia"/>
          <w:color w:val="FF0000"/>
          <w:szCs w:val="22"/>
          <w:highlight w:val="yellow"/>
        </w:rPr>
        <w:t>、</w:t>
      </w:r>
      <w:r w:rsidRPr="00F61231">
        <w:rPr>
          <w:rFonts w:ascii="標楷體" w:eastAsia="標楷體" w:hAnsi="標楷體" w:cs="Times New Roman"/>
          <w:szCs w:val="22"/>
        </w:rPr>
        <w:t>以</w:t>
      </w:r>
      <w:r w:rsidRPr="00F61231">
        <w:rPr>
          <w:rFonts w:ascii="標楷體" w:eastAsia="標楷體" w:hAnsi="標楷體" w:cs="Times New Roman"/>
          <w:b/>
          <w:szCs w:val="22"/>
        </w:rPr>
        <w:t>世俗諦</w:t>
      </w:r>
      <w:r w:rsidRPr="00F61231">
        <w:rPr>
          <w:rFonts w:ascii="標楷體" w:eastAsia="標楷體" w:hAnsi="標楷體" w:cs="Times New Roman"/>
          <w:szCs w:val="22"/>
        </w:rPr>
        <w:t>，二</w:t>
      </w:r>
      <w:r w:rsidR="005060F1" w:rsidRPr="005060F1">
        <w:rPr>
          <w:rFonts w:ascii="標楷體" w:eastAsia="標楷體" w:hAnsi="標楷體" w:cs="Times New Roman" w:hint="eastAsia"/>
          <w:color w:val="FF0000"/>
          <w:szCs w:val="22"/>
          <w:highlight w:val="yellow"/>
        </w:rPr>
        <w:t>、</w:t>
      </w:r>
      <w:r w:rsidRPr="00F61231">
        <w:rPr>
          <w:rFonts w:ascii="標楷體" w:eastAsia="標楷體" w:hAnsi="標楷體" w:cs="Times New Roman"/>
          <w:szCs w:val="22"/>
        </w:rPr>
        <w:t>第一義諦。</w:t>
      </w:r>
    </w:p>
    <w:p w:rsidR="00157EF6" w:rsidRPr="00F61231" w:rsidRDefault="00157EF6" w:rsidP="00AA120F">
      <w:pPr>
        <w:pStyle w:val="Web"/>
        <w:snapToGrid w:val="0"/>
        <w:spacing w:before="0" w:beforeAutospacing="0" w:after="0" w:afterAutospacing="0"/>
        <w:ind w:leftChars="305" w:left="732"/>
        <w:jc w:val="both"/>
        <w:rPr>
          <w:rFonts w:ascii="標楷體" w:eastAsia="標楷體" w:hAnsi="標楷體" w:cs="Times New Roman"/>
          <w:szCs w:val="22"/>
        </w:rPr>
      </w:pPr>
      <w:r w:rsidRPr="00087A25">
        <w:rPr>
          <w:rFonts w:ascii="Times New Roman" w:eastAsia="標楷體" w:hAnsi="Times New Roman" w:cs="Times New Roman"/>
          <w:szCs w:val="22"/>
          <w:shd w:val="pct15" w:color="auto" w:fill="FFFFFF"/>
        </w:rPr>
        <w:t>〔</w:t>
      </w:r>
      <w:r w:rsidRPr="00087A25">
        <w:rPr>
          <w:rFonts w:ascii="Times New Roman" w:eastAsia="標楷體" w:hAnsi="Times New Roman" w:cs="Times New Roman"/>
          <w:szCs w:val="22"/>
          <w:shd w:val="pct15" w:color="auto" w:fill="FFFFFF"/>
        </w:rPr>
        <w:t>0</w:t>
      </w:r>
      <w:r w:rsidRPr="00087A25">
        <w:rPr>
          <w:rFonts w:ascii="Times New Roman" w:eastAsia="標楷體" w:hAnsi="Times New Roman" w:cs="Times New Roman" w:hint="eastAsia"/>
          <w:szCs w:val="22"/>
          <w:shd w:val="pct15" w:color="auto" w:fill="FFFFFF"/>
        </w:rPr>
        <w:t>9</w:t>
      </w:r>
      <w:r w:rsidRPr="00087A25">
        <w:rPr>
          <w:rFonts w:ascii="Times New Roman" w:eastAsia="標楷體" w:hAnsi="Times New Roman" w:cs="Times New Roman"/>
          <w:szCs w:val="22"/>
          <w:shd w:val="pct15" w:color="auto" w:fill="FFFFFF"/>
        </w:rPr>
        <w:t>〕</w:t>
      </w:r>
      <w:r w:rsidRPr="00F61231">
        <w:rPr>
          <w:rFonts w:ascii="標楷體" w:eastAsia="標楷體" w:hAnsi="標楷體" w:cs="Times New Roman"/>
          <w:szCs w:val="22"/>
        </w:rPr>
        <w:t>若人不能</w:t>
      </w:r>
      <w:r w:rsidRPr="005060F1">
        <w:rPr>
          <w:rFonts w:ascii="標楷體" w:eastAsia="標楷體" w:hAnsi="標楷體" w:cs="Times New Roman"/>
          <w:szCs w:val="22"/>
          <w:highlight w:val="yellow"/>
        </w:rPr>
        <w:t>知</w:t>
      </w:r>
      <w:r w:rsidR="005060F1">
        <w:rPr>
          <w:rFonts w:ascii="標楷體" w:eastAsia="標楷體" w:hAnsi="標楷體" w:cs="Times New Roman" w:hint="eastAsia"/>
          <w:szCs w:val="22"/>
        </w:rPr>
        <w:t xml:space="preserve">　</w:t>
      </w:r>
      <w:r w:rsidRPr="005060F1">
        <w:rPr>
          <w:rFonts w:ascii="標楷體" w:eastAsia="標楷體" w:hAnsi="標楷體" w:cs="Times New Roman"/>
          <w:szCs w:val="22"/>
          <w:highlight w:val="yellow"/>
        </w:rPr>
        <w:t>分</w:t>
      </w:r>
      <w:r w:rsidRPr="00F61231">
        <w:rPr>
          <w:rFonts w:ascii="標楷體" w:eastAsia="標楷體" w:hAnsi="標楷體" w:cs="Times New Roman"/>
          <w:szCs w:val="22"/>
        </w:rPr>
        <w:t>別於二諦，則於深佛法，不知真實義。</w:t>
      </w:r>
      <w:r w:rsidRPr="00087A25">
        <w:rPr>
          <w:rFonts w:ascii="標楷體" w:eastAsia="標楷體" w:hAnsi="標楷體" w:cs="Times New Roman" w:hint="eastAsia"/>
          <w:szCs w:val="22"/>
          <w:shd w:val="pct15" w:color="auto" w:fill="FFFFFF"/>
        </w:rPr>
        <w:t>……</w:t>
      </w:r>
    </w:p>
    <w:p w:rsidR="00157EF6" w:rsidRPr="00F61231" w:rsidRDefault="00157EF6" w:rsidP="00AA120F">
      <w:pPr>
        <w:pStyle w:val="Web"/>
        <w:snapToGrid w:val="0"/>
        <w:spacing w:before="0" w:beforeAutospacing="0" w:after="0" w:afterAutospacing="0"/>
        <w:ind w:leftChars="305" w:left="732"/>
        <w:jc w:val="both"/>
        <w:rPr>
          <w:rFonts w:ascii="標楷體" w:eastAsia="標楷體" w:hAnsi="標楷體" w:cs="Times New Roman"/>
          <w:szCs w:val="22"/>
        </w:rPr>
      </w:pPr>
      <w:r w:rsidRPr="00087A25">
        <w:rPr>
          <w:rFonts w:ascii="Times New Roman" w:eastAsia="標楷體" w:hAnsi="Times New Roman" w:cs="Times New Roman"/>
          <w:szCs w:val="22"/>
          <w:shd w:val="pct15" w:color="auto" w:fill="FFFFFF"/>
        </w:rPr>
        <w:t>〔</w:t>
      </w:r>
      <w:r w:rsidRPr="00087A25">
        <w:rPr>
          <w:rFonts w:ascii="Times New Roman" w:eastAsia="標楷體" w:hAnsi="Times New Roman" w:cs="Times New Roman" w:hint="eastAsia"/>
          <w:szCs w:val="22"/>
          <w:shd w:val="pct15" w:color="auto" w:fill="FFFFFF"/>
        </w:rPr>
        <w:t>10</w:t>
      </w:r>
      <w:r w:rsidRPr="00087A25">
        <w:rPr>
          <w:rFonts w:ascii="Times New Roman" w:eastAsia="標楷體" w:hAnsi="Times New Roman" w:cs="Times New Roman"/>
          <w:szCs w:val="22"/>
          <w:shd w:val="pct15" w:color="auto" w:fill="FFFFFF"/>
        </w:rPr>
        <w:t>〕</w:t>
      </w:r>
      <w:r w:rsidRPr="00F61231">
        <w:rPr>
          <w:rFonts w:ascii="標楷體" w:eastAsia="標楷體" w:hAnsi="標楷體" w:cs="Times New Roman"/>
          <w:szCs w:val="22"/>
        </w:rPr>
        <w:t>若不依</w:t>
      </w:r>
      <w:r w:rsidRPr="00F61231">
        <w:rPr>
          <w:rFonts w:ascii="標楷體" w:eastAsia="標楷體" w:hAnsi="標楷體" w:cs="Times New Roman"/>
          <w:b/>
          <w:szCs w:val="22"/>
        </w:rPr>
        <w:t>俗諦</w:t>
      </w:r>
      <w:r w:rsidRPr="00F61231">
        <w:rPr>
          <w:rFonts w:ascii="標楷體" w:eastAsia="標楷體" w:hAnsi="標楷體" w:cs="Times New Roman"/>
          <w:szCs w:val="22"/>
        </w:rPr>
        <w:t>，不得第一義，不得第一義，則不得涅槃。</w:t>
      </w:r>
    </w:p>
    <w:p w:rsidR="00157EF6" w:rsidRPr="00F61231" w:rsidRDefault="00157EF6" w:rsidP="00AA120F">
      <w:pPr>
        <w:pStyle w:val="a5"/>
        <w:ind w:leftChars="80" w:left="731" w:hangingChars="245" w:hanging="539"/>
        <w:jc w:val="both"/>
        <w:rPr>
          <w:szCs w:val="22"/>
        </w:rPr>
      </w:pPr>
      <w:r w:rsidRPr="00F61231">
        <w:rPr>
          <w:rFonts w:hint="eastAsia"/>
          <w:szCs w:val="22"/>
        </w:rPr>
        <w:t>（</w:t>
      </w:r>
      <w:r w:rsidRPr="00761EF3">
        <w:rPr>
          <w:rFonts w:hint="eastAsia"/>
          <w:szCs w:val="22"/>
        </w:rPr>
        <w:t>2</w:t>
      </w:r>
      <w:r w:rsidRPr="00F61231">
        <w:rPr>
          <w:rFonts w:hint="eastAsia"/>
          <w:szCs w:val="22"/>
        </w:rPr>
        <w:t>）</w:t>
      </w:r>
      <w:r w:rsidRPr="00F61231">
        <w:rPr>
          <w:szCs w:val="22"/>
        </w:rPr>
        <w:t>印順</w:t>
      </w:r>
      <w:r w:rsidRPr="00F61231">
        <w:rPr>
          <w:rFonts w:cs="Times Ext Roman"/>
          <w:szCs w:val="22"/>
        </w:rPr>
        <w:t>法師</w:t>
      </w:r>
      <w:r w:rsidRPr="00F61231">
        <w:rPr>
          <w:szCs w:val="22"/>
        </w:rPr>
        <w:t>，《</w:t>
      </w:r>
      <w:r w:rsidRPr="00F61231">
        <w:rPr>
          <w:rFonts w:hint="eastAsia"/>
          <w:szCs w:val="22"/>
        </w:rPr>
        <w:t>中觀論頌講記》，</w:t>
      </w:r>
      <w:r w:rsidRPr="00761EF3">
        <w:rPr>
          <w:rFonts w:hint="eastAsia"/>
          <w:szCs w:val="22"/>
        </w:rPr>
        <w:t>pp</w:t>
      </w:r>
      <w:r w:rsidRPr="00F61231">
        <w:rPr>
          <w:rFonts w:hint="eastAsia"/>
          <w:szCs w:val="22"/>
        </w:rPr>
        <w:t>.</w:t>
      </w:r>
      <w:r w:rsidRPr="00761EF3">
        <w:rPr>
          <w:rFonts w:hint="eastAsia"/>
          <w:szCs w:val="22"/>
        </w:rPr>
        <w:t>445</w:t>
      </w:r>
      <w:r w:rsidRPr="00F61231">
        <w:rPr>
          <w:rFonts w:hint="eastAsia"/>
          <w:szCs w:val="22"/>
        </w:rPr>
        <w:t>-</w:t>
      </w:r>
      <w:r w:rsidRPr="00761EF3">
        <w:rPr>
          <w:rFonts w:hint="eastAsia"/>
          <w:szCs w:val="22"/>
        </w:rPr>
        <w:t>452</w:t>
      </w:r>
      <w:r w:rsidRPr="00F61231">
        <w:rPr>
          <w:rFonts w:hint="eastAsia"/>
          <w:szCs w:val="22"/>
        </w:rPr>
        <w:t>：</w:t>
      </w:r>
    </w:p>
    <w:p w:rsidR="00157EF6" w:rsidRPr="00412A9C" w:rsidRDefault="00157EF6" w:rsidP="00AA120F">
      <w:pPr>
        <w:pStyle w:val="Web"/>
        <w:snapToGrid w:val="0"/>
        <w:spacing w:before="0" w:beforeAutospacing="0" w:after="0" w:afterAutospacing="0"/>
        <w:ind w:leftChars="305" w:left="732"/>
        <w:jc w:val="both"/>
        <w:rPr>
          <w:rFonts w:ascii="標楷體" w:eastAsia="標楷體" w:hAnsi="標楷體" w:cs="Times New Roman"/>
          <w:szCs w:val="22"/>
        </w:rPr>
      </w:pPr>
      <w:r w:rsidRPr="00F61231">
        <w:rPr>
          <w:rFonts w:ascii="標楷體" w:eastAsia="標楷體" w:hAnsi="標楷體" w:cs="Times New Roman" w:hint="eastAsia"/>
          <w:b/>
          <w:szCs w:val="22"/>
        </w:rPr>
        <w:t>「諸佛」說法，是有事理依據的，這就是「依二諦」。依二諦「為眾生說法」：第「一，以世俗諦」；第「二」，以「第一義諦」。</w:t>
      </w:r>
      <w:r w:rsidRPr="00F61231">
        <w:rPr>
          <w:rFonts w:ascii="標楷體" w:eastAsia="標楷體" w:hAnsi="標楷體" w:cs="Times New Roman" w:hint="eastAsia"/>
          <w:szCs w:val="22"/>
        </w:rPr>
        <w:t>二諦是佛法的大綱，外人不信解空，也就是沒有能夠理解如來大法的綱宗。《十二門論》說：「汝聞世諦謂是第一義諦。」《阿含經》中有《勝義空經》，顯然以空為勝義諦；又說因緣假名，所以知因果假名是世俗法。外人不見佛法大宗，把色、聲、香、味、觸等因果假名，看作諸法的勝義，以為是自性有、真實有的。這才聽說勝義一切皆空，以為撥無一切，破壞三寶、四</w:t>
      </w:r>
      <w:r w:rsidRPr="00412A9C">
        <w:rPr>
          <w:rFonts w:ascii="標楷體" w:eastAsia="標楷體" w:hAnsi="標楷體" w:cs="Times New Roman" w:hint="eastAsia"/>
          <w:szCs w:val="22"/>
        </w:rPr>
        <w:t>諦。這是把一切世俗有，看作勝義有了。他們不知何以說有，也不知何以說空；不懂二諦，結果自然要反對空了。論主要糾正他，所以提出二諦的教綱來。</w:t>
      </w:r>
    </w:p>
    <w:p w:rsidR="00157EF6" w:rsidRPr="00412A9C" w:rsidRDefault="00157EF6" w:rsidP="00AA120F">
      <w:pPr>
        <w:pStyle w:val="Web"/>
        <w:snapToGrid w:val="0"/>
        <w:spacing w:before="0" w:beforeAutospacing="0" w:after="0" w:afterAutospacing="0"/>
        <w:ind w:leftChars="305" w:left="732"/>
        <w:jc w:val="both"/>
        <w:rPr>
          <w:rFonts w:ascii="標楷體" w:eastAsia="標楷體" w:hAnsi="標楷體" w:cs="Times New Roman"/>
          <w:szCs w:val="22"/>
        </w:rPr>
      </w:pPr>
      <w:r w:rsidRPr="00412A9C">
        <w:rPr>
          <w:rFonts w:ascii="標楷體" w:eastAsia="標楷體" w:hAnsi="標楷體" w:cs="Times New Roman" w:hint="eastAsia"/>
          <w:b/>
          <w:szCs w:val="22"/>
        </w:rPr>
        <w:t>諦</w:t>
      </w:r>
      <w:r w:rsidRPr="00412A9C">
        <w:rPr>
          <w:rFonts w:ascii="標楷體" w:eastAsia="標楷體" w:hAnsi="標楷體" w:cs="Times New Roman" w:hint="eastAsia"/>
          <w:szCs w:val="22"/>
        </w:rPr>
        <w:t>是正確真實的意思。</w:t>
      </w:r>
      <w:r w:rsidRPr="00412A9C">
        <w:rPr>
          <w:rFonts w:ascii="標楷體" w:eastAsia="標楷體" w:hAnsi="標楷體" w:cs="Times New Roman" w:hint="eastAsia"/>
          <w:b/>
          <w:szCs w:val="22"/>
        </w:rPr>
        <w:t>真實有二</w:t>
      </w:r>
      <w:r w:rsidRPr="00412A9C">
        <w:rPr>
          <w:rFonts w:ascii="標楷體" w:eastAsia="標楷體" w:hAnsi="標楷體" w:cs="Times New Roman" w:hint="eastAsia"/>
          <w:szCs w:val="22"/>
        </w:rPr>
        <w:t>：</w:t>
      </w:r>
    </w:p>
    <w:p w:rsidR="00157EF6" w:rsidRPr="00412A9C" w:rsidRDefault="00157EF6" w:rsidP="00AA120F">
      <w:pPr>
        <w:pStyle w:val="Web"/>
        <w:snapToGrid w:val="0"/>
        <w:spacing w:before="0" w:beforeAutospacing="0" w:after="0" w:afterAutospacing="0"/>
        <w:ind w:leftChars="305" w:left="1172" w:hangingChars="200" w:hanging="440"/>
        <w:jc w:val="both"/>
        <w:rPr>
          <w:rFonts w:ascii="標楷體" w:eastAsia="標楷體" w:hAnsi="標楷體" w:cs="Times New Roman"/>
          <w:szCs w:val="22"/>
        </w:rPr>
      </w:pPr>
      <w:r w:rsidRPr="00412A9C">
        <w:rPr>
          <w:rFonts w:ascii="標楷體" w:eastAsia="標楷體" w:hAnsi="標楷體" w:cs="Times New Roman" w:hint="eastAsia"/>
          <w:szCs w:val="22"/>
        </w:rPr>
        <w:t>一、</w:t>
      </w:r>
      <w:r w:rsidRPr="00412A9C">
        <w:rPr>
          <w:rFonts w:ascii="標楷體" w:eastAsia="標楷體" w:hAnsi="標楷體" w:cs="Times New Roman" w:hint="eastAsia"/>
          <w:b/>
          <w:szCs w:val="22"/>
        </w:rPr>
        <w:t>世俗</w:t>
      </w:r>
      <w:r w:rsidRPr="00412A9C">
        <w:rPr>
          <w:rFonts w:ascii="標楷體" w:eastAsia="標楷體" w:hAnsi="標楷體" w:cs="Times New Roman" w:hint="eastAsia"/>
          <w:szCs w:val="22"/>
        </w:rPr>
        <w:t>的：世是時間遷流，俗是蒙蔽隱覆。如幻緣起的一切因果法，在遷流的時間中，沒有自性而現出自性相，欺誑凡人，使人不能見到他的真實相，所以名為世俗。</w:t>
      </w:r>
    </w:p>
    <w:p w:rsidR="00157EF6" w:rsidRPr="00412A9C" w:rsidRDefault="00157EF6" w:rsidP="00AA120F">
      <w:pPr>
        <w:pStyle w:val="Web"/>
        <w:snapToGrid w:val="0"/>
        <w:spacing w:before="0" w:beforeAutospacing="0" w:after="0" w:afterAutospacing="0"/>
        <w:ind w:leftChars="305" w:left="1172" w:hangingChars="200" w:hanging="440"/>
        <w:jc w:val="both"/>
        <w:rPr>
          <w:rFonts w:ascii="標楷體" w:eastAsia="標楷體" w:hAnsi="標楷體" w:cs="Times New Roman"/>
          <w:szCs w:val="22"/>
        </w:rPr>
      </w:pPr>
      <w:r w:rsidRPr="00412A9C">
        <w:rPr>
          <w:rFonts w:ascii="標楷體" w:eastAsia="標楷體" w:hAnsi="標楷體" w:cs="Times New Roman" w:hint="eastAsia"/>
          <w:szCs w:val="22"/>
        </w:rPr>
        <w:t>二、</w:t>
      </w:r>
      <w:r w:rsidRPr="00412A9C">
        <w:rPr>
          <w:rFonts w:ascii="標楷體" w:eastAsia="標楷體" w:hAnsi="標楷體" w:cs="Times New Roman" w:hint="eastAsia"/>
          <w:b/>
          <w:szCs w:val="22"/>
        </w:rPr>
        <w:t>第一義</w:t>
      </w:r>
      <w:r w:rsidRPr="00412A9C">
        <w:rPr>
          <w:rFonts w:ascii="標楷體" w:eastAsia="標楷體" w:hAnsi="標楷體" w:cs="Times New Roman" w:hint="eastAsia"/>
          <w:szCs w:val="22"/>
        </w:rPr>
        <w:t>的：第一是特勝的智慧，義是境界，就是特勝的無漏無分別智所覺證的境界，名第一義；或譯勝義。</w:t>
      </w:r>
    </w:p>
    <w:p w:rsidR="00157EF6" w:rsidRPr="00412A9C" w:rsidRDefault="00157EF6" w:rsidP="00AA120F">
      <w:pPr>
        <w:pStyle w:val="Web"/>
        <w:snapToGrid w:val="0"/>
        <w:spacing w:before="0" w:beforeAutospacing="0" w:after="0" w:afterAutospacing="0" w:line="290" w:lineRule="exact"/>
        <w:ind w:leftChars="305" w:left="732"/>
        <w:jc w:val="both"/>
        <w:rPr>
          <w:rFonts w:ascii="標楷體" w:eastAsia="標楷體" w:hAnsi="標楷體" w:cs="Times New Roman"/>
          <w:szCs w:val="22"/>
        </w:rPr>
      </w:pPr>
      <w:r w:rsidRPr="00412A9C">
        <w:rPr>
          <w:rFonts w:ascii="標楷體" w:eastAsia="標楷體" w:hAnsi="標楷體" w:cs="Times New Roman" w:hint="eastAsia"/>
          <w:b/>
          <w:szCs w:val="22"/>
        </w:rPr>
        <w:t>世俗是庸常的，一般的常識心境</w:t>
      </w:r>
      <w:r w:rsidRPr="00412A9C">
        <w:rPr>
          <w:rFonts w:ascii="標楷體" w:eastAsia="標楷體" w:hAnsi="標楷體" w:cs="Times New Roman" w:hint="eastAsia"/>
          <w:szCs w:val="22"/>
        </w:rPr>
        <w:t>；</w:t>
      </w:r>
      <w:r w:rsidRPr="00412A9C">
        <w:rPr>
          <w:rFonts w:ascii="標楷體" w:eastAsia="標楷體" w:hAnsi="標楷體" w:cs="Times New Roman" w:hint="eastAsia"/>
          <w:b/>
          <w:szCs w:val="22"/>
        </w:rPr>
        <w:t>勝義是特殊的，聖者的超常經驗</w:t>
      </w:r>
      <w:r w:rsidRPr="00412A9C">
        <w:rPr>
          <w:rFonts w:ascii="標楷體" w:eastAsia="標楷體" w:hAnsi="標楷體" w:cs="Times New Roman" w:hint="eastAsia"/>
          <w:szCs w:val="22"/>
        </w:rPr>
        <w:t>。或者可以這樣說：第一義即實相，實相中超越能所，智如境如，寂然不可得。第一的諦理，名第一義諦。佛在世間說法，不能直說世人不知道的法，要以世間所曉了的，顯說世間所不知的。所以說眼、耳、鼻、舌、身，色、聲、香、味、觸等等。不過，一般人所認識的，常有一種錯誤的成分，所以必要在此世俗的一切上，以特殊的觀智，去透視世俗的顛倒所在，才能體驗第一義。</w:t>
      </w:r>
    </w:p>
    <w:p w:rsidR="00157EF6" w:rsidRPr="00F640F4" w:rsidRDefault="00157EF6" w:rsidP="00AA120F">
      <w:pPr>
        <w:pStyle w:val="Web"/>
        <w:snapToGrid w:val="0"/>
        <w:spacing w:before="0" w:beforeAutospacing="0" w:after="0" w:afterAutospacing="0" w:line="290" w:lineRule="exact"/>
        <w:ind w:leftChars="305" w:left="732"/>
        <w:jc w:val="both"/>
        <w:rPr>
          <w:rFonts w:ascii="標楷體" w:eastAsia="標楷體" w:hAnsi="標楷體" w:cs="Times New Roman"/>
          <w:szCs w:val="22"/>
        </w:rPr>
      </w:pPr>
      <w:r w:rsidRPr="00F640F4">
        <w:rPr>
          <w:rFonts w:ascii="標楷體" w:eastAsia="標楷體" w:hAnsi="標楷體" w:cs="Times New Roman" w:hint="eastAsia"/>
          <w:szCs w:val="22"/>
        </w:rPr>
        <w:t>所以，佛說法有此二諦：一是世俗的事相，一是特殊的諦理。依世俗而顯勝義，不能單說勝義。</w:t>
      </w:r>
      <w:r w:rsidRPr="00087A25">
        <w:rPr>
          <w:rFonts w:ascii="標楷體" w:eastAsia="標楷體" w:hAnsi="標楷體" w:cs="Times New Roman" w:hint="eastAsia"/>
          <w:szCs w:val="22"/>
          <w:shd w:val="pct15" w:color="auto" w:fill="FFFFFF"/>
        </w:rPr>
        <w:t>……</w:t>
      </w:r>
    </w:p>
    <w:p w:rsidR="00157EF6" w:rsidRPr="00F640F4" w:rsidRDefault="00157EF6" w:rsidP="00AE3920">
      <w:pPr>
        <w:pStyle w:val="Web"/>
        <w:snapToGrid w:val="0"/>
        <w:spacing w:beforeLines="20" w:beforeAutospacing="0" w:after="0" w:afterAutospacing="0" w:line="290" w:lineRule="exact"/>
        <w:ind w:leftChars="305" w:left="732"/>
        <w:jc w:val="both"/>
        <w:rPr>
          <w:rFonts w:ascii="標楷體" w:eastAsia="標楷體" w:hAnsi="標楷體" w:cs="Times New Roman"/>
          <w:b/>
          <w:szCs w:val="22"/>
        </w:rPr>
      </w:pPr>
      <w:r w:rsidRPr="00F640F4">
        <w:rPr>
          <w:rFonts w:ascii="標楷體" w:eastAsia="標楷體" w:hAnsi="標楷體" w:cs="Times New Roman" w:hint="eastAsia"/>
          <w:b/>
          <w:szCs w:val="22"/>
        </w:rPr>
        <w:t>如「不能」「分別」這「二諦」相互的關係，那對「於」甚「深」的「佛法」，就「不」能「知」道他的「真實義」了。</w:t>
      </w:r>
    </w:p>
    <w:p w:rsidR="00157EF6" w:rsidRPr="00F640F4" w:rsidRDefault="00157EF6" w:rsidP="00AE3920">
      <w:pPr>
        <w:pStyle w:val="Web"/>
        <w:snapToGrid w:val="0"/>
        <w:spacing w:beforeLines="20" w:beforeAutospacing="0" w:after="0" w:afterAutospacing="0" w:line="290" w:lineRule="exact"/>
        <w:ind w:leftChars="305" w:left="732"/>
        <w:jc w:val="both"/>
        <w:rPr>
          <w:rFonts w:ascii="標楷體" w:eastAsia="標楷體" w:hAnsi="標楷體" w:cs="Times New Roman"/>
          <w:b/>
          <w:szCs w:val="22"/>
        </w:rPr>
      </w:pPr>
      <w:r w:rsidRPr="00F640F4">
        <w:rPr>
          <w:rFonts w:ascii="標楷體" w:eastAsia="標楷體" w:hAnsi="標楷體" w:cs="Times New Roman" w:hint="eastAsia"/>
          <w:b/>
          <w:szCs w:val="22"/>
        </w:rPr>
        <w:t>第一義是依世俗顯示的，假使「不依」世「俗諦」開顯，就「不」能「得」到「第一義」諦。</w:t>
      </w:r>
      <w:r w:rsidRPr="00F640F4">
        <w:rPr>
          <w:rFonts w:ascii="標楷體" w:eastAsia="標楷體" w:hAnsi="標楷體" w:cs="Times New Roman" w:hint="eastAsia"/>
          <w:szCs w:val="22"/>
        </w:rPr>
        <w:t>修行觀察，要依世俗諦；言說顯示，也要依世俗諦。言語就是世俗；不依言語世俗，怎能使人知道第一義諦？佛說法的究竟目的，在使人通達空性，得第一義；所以要通達第一義，因為</w:t>
      </w:r>
      <w:r w:rsidRPr="00F640F4">
        <w:rPr>
          <w:rFonts w:ascii="標楷體" w:eastAsia="標楷體" w:hAnsi="標楷體" w:cs="Times New Roman" w:hint="eastAsia"/>
          <w:b/>
          <w:szCs w:val="22"/>
        </w:rPr>
        <w:t>若「不得第一義」，就「不」能「得」到「涅槃」了。</w:t>
      </w:r>
    </w:p>
    <w:p w:rsidR="00157EF6" w:rsidRPr="00412A9C" w:rsidRDefault="00157EF6" w:rsidP="00AE3920">
      <w:pPr>
        <w:pStyle w:val="Web"/>
        <w:snapToGrid w:val="0"/>
        <w:spacing w:beforeLines="20" w:beforeAutospacing="0" w:after="0" w:afterAutospacing="0" w:line="290" w:lineRule="exact"/>
        <w:ind w:leftChars="305" w:left="732"/>
        <w:jc w:val="both"/>
        <w:rPr>
          <w:rFonts w:ascii="標楷體" w:eastAsia="標楷體" w:hAnsi="標楷體" w:cs="Times New Roman"/>
          <w:szCs w:val="22"/>
        </w:rPr>
      </w:pPr>
      <w:r w:rsidRPr="00F640F4">
        <w:rPr>
          <w:rFonts w:ascii="標楷體" w:eastAsia="標楷體" w:hAnsi="標楷體" w:cs="Times New Roman" w:hint="eastAsia"/>
          <w:b/>
          <w:szCs w:val="22"/>
        </w:rPr>
        <w:t>涅槃，是第一義諦的實證。涅槃與第一義二者，依空性說，沒有差別的；約離一切虛妄顛倒而得解脫說，涅槃是果，勝義是境。</w:t>
      </w:r>
      <w:r w:rsidRPr="00F640F4">
        <w:rPr>
          <w:rFonts w:ascii="標楷體" w:eastAsia="標楷體" w:hAnsi="標楷體" w:cs="Times New Roman" w:hint="eastAsia"/>
          <w:szCs w:val="22"/>
        </w:rPr>
        <w:t>勝義，不唯指最高無上的真勝義智，</w:t>
      </w:r>
      <w:r w:rsidRPr="00412A9C">
        <w:rPr>
          <w:rFonts w:ascii="標楷體" w:eastAsia="標楷體" w:hAnsi="標楷體" w:cs="Times New Roman" w:hint="eastAsia"/>
          <w:szCs w:val="22"/>
        </w:rPr>
        <w:t>如但指無漏的勝義智，那就與世俗失卻連絡。所以，解說性空的言教，這是隨順勝義的言教；有漏的觀慧，學觀空性，這是隨順勝義的觀慧。前者是文字般若，後者是觀照般若。這二種，雖是世俗的，卻隨順般若勝義，才能趣入真的實相般若──真勝義諦。如沒有隨順勝義的文字般若，趣向勝義的觀照般若，實相與世俗就脫節了。所以本文說，依世俗得勝義，依勝義得涅槃。因為如此，</w:t>
      </w:r>
      <w:r w:rsidRPr="00412A9C">
        <w:rPr>
          <w:rFonts w:ascii="標楷體" w:eastAsia="標楷體" w:hAnsi="標楷體" w:cs="Times New Roman" w:hint="eastAsia"/>
          <w:b/>
          <w:szCs w:val="22"/>
        </w:rPr>
        <w:t>實相不二，而佛陀卻以二諦開宗</w:t>
      </w:r>
      <w:r w:rsidRPr="00412A9C">
        <w:rPr>
          <w:rFonts w:ascii="標楷體" w:eastAsia="標楷體" w:hAnsi="標楷體" w:cs="Times New Roman" w:hint="eastAsia"/>
          <w:szCs w:val="22"/>
        </w:rPr>
        <w:t>。</w:t>
      </w:r>
    </w:p>
    <w:p w:rsidR="00157EF6" w:rsidRPr="00412A9C" w:rsidRDefault="00157EF6" w:rsidP="00AA120F">
      <w:pPr>
        <w:pStyle w:val="a5"/>
        <w:spacing w:line="290" w:lineRule="exact"/>
        <w:ind w:leftChars="80" w:left="731" w:hangingChars="245" w:hanging="539"/>
        <w:jc w:val="both"/>
        <w:rPr>
          <w:szCs w:val="22"/>
        </w:rPr>
      </w:pPr>
      <w:r w:rsidRPr="00412A9C">
        <w:rPr>
          <w:rFonts w:eastAsia="標楷體"/>
          <w:szCs w:val="22"/>
        </w:rPr>
        <w:t>（</w:t>
      </w:r>
      <w:r w:rsidRPr="00761EF3">
        <w:rPr>
          <w:rFonts w:eastAsia="標楷體"/>
          <w:szCs w:val="22"/>
        </w:rPr>
        <w:t>3</w:t>
      </w:r>
      <w:r w:rsidRPr="00412A9C">
        <w:rPr>
          <w:rFonts w:eastAsia="標楷體"/>
          <w:szCs w:val="22"/>
        </w:rPr>
        <w:t>）</w:t>
      </w:r>
      <w:r w:rsidRPr="00615847">
        <w:rPr>
          <w:rStyle w:val="21"/>
          <w:szCs w:val="22"/>
        </w:rPr>
        <w:t>三枝充悳</w:t>
      </w:r>
      <w:r w:rsidRPr="00412A9C">
        <w:rPr>
          <w:szCs w:val="22"/>
        </w:rPr>
        <w:t>，</w:t>
      </w:r>
      <w:r w:rsidRPr="00412A9C">
        <w:rPr>
          <w:rFonts w:hint="eastAsia"/>
          <w:szCs w:val="22"/>
        </w:rPr>
        <w:t>《中論偈頌總覽》，</w:t>
      </w:r>
      <w:r w:rsidRPr="00761EF3">
        <w:rPr>
          <w:rFonts w:hint="eastAsia"/>
          <w:szCs w:val="22"/>
        </w:rPr>
        <w:t>p</w:t>
      </w:r>
      <w:r w:rsidRPr="00761EF3">
        <w:rPr>
          <w:szCs w:val="22"/>
        </w:rPr>
        <w:t>p</w:t>
      </w:r>
      <w:r w:rsidRPr="00412A9C">
        <w:rPr>
          <w:szCs w:val="22"/>
        </w:rPr>
        <w:t>.</w:t>
      </w:r>
      <w:r w:rsidRPr="00761EF3">
        <w:rPr>
          <w:szCs w:val="22"/>
        </w:rPr>
        <w:t>746</w:t>
      </w:r>
      <w:r w:rsidRPr="00412A9C">
        <w:rPr>
          <w:rFonts w:hint="eastAsia"/>
          <w:szCs w:val="22"/>
        </w:rPr>
        <w:t>-</w:t>
      </w:r>
      <w:r w:rsidRPr="00761EF3">
        <w:rPr>
          <w:rFonts w:hint="eastAsia"/>
          <w:szCs w:val="22"/>
        </w:rPr>
        <w:t>750</w:t>
      </w:r>
      <w:r w:rsidRPr="00412A9C">
        <w:rPr>
          <w:szCs w:val="22"/>
        </w:rPr>
        <w:t>：</w:t>
      </w:r>
    </w:p>
    <w:p w:rsidR="00157EF6" w:rsidRPr="00F61231" w:rsidRDefault="00157EF6" w:rsidP="00AA120F">
      <w:pPr>
        <w:pStyle w:val="Web"/>
        <w:snapToGrid w:val="0"/>
        <w:spacing w:before="0" w:beforeAutospacing="0" w:after="0" w:afterAutospacing="0" w:line="290" w:lineRule="exact"/>
        <w:ind w:leftChars="305" w:left="732"/>
        <w:jc w:val="both"/>
        <w:rPr>
          <w:rFonts w:ascii="Times New Roman" w:hAnsi="Times New Roman" w:cs="Times New Roman"/>
          <w:szCs w:val="22"/>
        </w:rPr>
      </w:pPr>
      <w:r w:rsidRPr="00761EF3">
        <w:rPr>
          <w:rFonts w:ascii="Times New Roman" w:hAnsi="Times New Roman" w:cs="Times New Roman"/>
          <w:szCs w:val="22"/>
        </w:rPr>
        <w:t>dve</w:t>
      </w:r>
      <w:r w:rsidRPr="00F61231">
        <w:rPr>
          <w:rFonts w:ascii="Times New Roman" w:hAnsi="Times New Roman" w:cs="Times New Roman"/>
          <w:szCs w:val="22"/>
        </w:rPr>
        <w:t xml:space="preserve"> </w:t>
      </w:r>
      <w:r w:rsidRPr="00761EF3">
        <w:rPr>
          <w:rFonts w:ascii="Times New Roman" w:hAnsi="Times New Roman" w:cs="Times New Roman"/>
          <w:szCs w:val="22"/>
        </w:rPr>
        <w:t>satye</w:t>
      </w:r>
      <w:r w:rsidRPr="00F61231">
        <w:rPr>
          <w:rFonts w:ascii="Times New Roman" w:hAnsi="Times New Roman" w:cs="Times New Roman"/>
          <w:szCs w:val="22"/>
        </w:rPr>
        <w:t xml:space="preserve"> </w:t>
      </w:r>
      <w:r w:rsidRPr="00761EF3">
        <w:rPr>
          <w:rFonts w:ascii="Times New Roman" w:hAnsi="Times New Roman" w:cs="Times New Roman"/>
          <w:szCs w:val="22"/>
        </w:rPr>
        <w:t>samupāśritya</w:t>
      </w:r>
      <w:r w:rsidRPr="00F61231">
        <w:rPr>
          <w:rFonts w:ascii="Times New Roman" w:hAnsi="Times New Roman" w:cs="Times New Roman"/>
          <w:szCs w:val="22"/>
        </w:rPr>
        <w:t xml:space="preserve"> </w:t>
      </w:r>
      <w:r w:rsidRPr="00761EF3">
        <w:rPr>
          <w:rFonts w:ascii="Times New Roman" w:hAnsi="Times New Roman" w:cs="Times New Roman"/>
          <w:szCs w:val="22"/>
        </w:rPr>
        <w:t>buddhānāṃ</w:t>
      </w:r>
      <w:r w:rsidRPr="00F61231">
        <w:rPr>
          <w:rFonts w:ascii="Times New Roman" w:hAnsi="Times New Roman" w:cs="Times New Roman"/>
          <w:szCs w:val="22"/>
        </w:rPr>
        <w:t xml:space="preserve"> </w:t>
      </w:r>
      <w:r w:rsidRPr="00761EF3">
        <w:rPr>
          <w:rFonts w:ascii="Times New Roman" w:hAnsi="Times New Roman" w:cs="Times New Roman"/>
          <w:szCs w:val="22"/>
        </w:rPr>
        <w:t>dharmadeśanā</w:t>
      </w:r>
      <w:r w:rsidRPr="00F61231">
        <w:rPr>
          <w:rFonts w:ascii="Times New Roman" w:hAnsi="Times New Roman" w:cs="Times New Roman"/>
          <w:szCs w:val="22"/>
        </w:rPr>
        <w:t xml:space="preserve"> /</w:t>
      </w:r>
      <w:r w:rsidRPr="00F61231">
        <w:rPr>
          <w:rFonts w:ascii="Times New Roman" w:hAnsi="Times New Roman" w:cs="Times New Roman"/>
          <w:szCs w:val="22"/>
        </w:rPr>
        <w:t>〔</w:t>
      </w:r>
      <w:r w:rsidRPr="00761EF3">
        <w:rPr>
          <w:rFonts w:ascii="Times New Roman" w:hAnsi="Times New Roman" w:cs="Times New Roman"/>
          <w:szCs w:val="22"/>
        </w:rPr>
        <w:t>08</w:t>
      </w:r>
      <w:r w:rsidRPr="00F61231">
        <w:rPr>
          <w:rFonts w:ascii="Times New Roman" w:hAnsi="Times New Roman" w:cs="Times New Roman"/>
          <w:szCs w:val="22"/>
        </w:rPr>
        <w:t>〕</w:t>
      </w:r>
    </w:p>
    <w:p w:rsidR="00157EF6" w:rsidRPr="00F61231" w:rsidRDefault="00157EF6" w:rsidP="00AA120F">
      <w:pPr>
        <w:snapToGrid w:val="0"/>
        <w:spacing w:line="290" w:lineRule="exact"/>
        <w:ind w:leftChars="305" w:left="732"/>
        <w:jc w:val="both"/>
        <w:rPr>
          <w:rFonts w:ascii="Times New Roman" w:hAnsi="Times New Roman"/>
          <w:sz w:val="22"/>
          <w:szCs w:val="22"/>
        </w:rPr>
      </w:pPr>
      <w:r w:rsidRPr="00761EF3">
        <w:rPr>
          <w:rFonts w:ascii="Times New Roman" w:hAnsi="Times New Roman"/>
          <w:b/>
          <w:sz w:val="22"/>
          <w:szCs w:val="22"/>
        </w:rPr>
        <w:t>lokasaṃvṛti</w:t>
      </w:r>
      <w:r w:rsidRPr="00761EF3">
        <w:rPr>
          <w:rFonts w:ascii="Times New Roman" w:hAnsi="Times New Roman"/>
          <w:sz w:val="22"/>
          <w:szCs w:val="22"/>
        </w:rPr>
        <w:t>satyaṃ</w:t>
      </w:r>
      <w:r w:rsidRPr="00F61231">
        <w:rPr>
          <w:rFonts w:ascii="Times New Roman" w:hAnsi="Times New Roman"/>
          <w:sz w:val="22"/>
          <w:szCs w:val="22"/>
        </w:rPr>
        <w:t xml:space="preserve"> </w:t>
      </w:r>
      <w:r w:rsidRPr="00761EF3">
        <w:rPr>
          <w:rFonts w:ascii="Times New Roman" w:hAnsi="Times New Roman"/>
          <w:sz w:val="22"/>
          <w:szCs w:val="22"/>
        </w:rPr>
        <w:t>ca</w:t>
      </w:r>
      <w:r w:rsidRPr="00F61231">
        <w:rPr>
          <w:rFonts w:ascii="Times New Roman" w:hAnsi="Times New Roman"/>
          <w:sz w:val="22"/>
          <w:szCs w:val="22"/>
        </w:rPr>
        <w:t xml:space="preserve"> </w:t>
      </w:r>
      <w:r w:rsidRPr="00761EF3">
        <w:rPr>
          <w:rFonts w:ascii="Times New Roman" w:hAnsi="Times New Roman"/>
          <w:sz w:val="22"/>
          <w:szCs w:val="22"/>
        </w:rPr>
        <w:t>satyaṃ</w:t>
      </w:r>
      <w:r w:rsidRPr="00F61231">
        <w:rPr>
          <w:rFonts w:ascii="Times New Roman" w:hAnsi="Times New Roman"/>
          <w:sz w:val="22"/>
          <w:szCs w:val="22"/>
        </w:rPr>
        <w:t xml:space="preserve"> </w:t>
      </w:r>
      <w:r w:rsidRPr="00761EF3">
        <w:rPr>
          <w:rFonts w:ascii="Times New Roman" w:hAnsi="Times New Roman"/>
          <w:sz w:val="22"/>
          <w:szCs w:val="22"/>
        </w:rPr>
        <w:t>ca</w:t>
      </w:r>
      <w:r w:rsidRPr="00F61231">
        <w:rPr>
          <w:rFonts w:ascii="Times New Roman" w:hAnsi="Times New Roman"/>
          <w:sz w:val="22"/>
          <w:szCs w:val="22"/>
        </w:rPr>
        <w:t xml:space="preserve"> </w:t>
      </w:r>
      <w:r w:rsidRPr="00761EF3">
        <w:rPr>
          <w:rFonts w:ascii="Times New Roman" w:hAnsi="Times New Roman"/>
          <w:sz w:val="22"/>
          <w:szCs w:val="22"/>
        </w:rPr>
        <w:t>paramārthataḥ</w:t>
      </w:r>
      <w:r w:rsidRPr="00F61231">
        <w:rPr>
          <w:rFonts w:ascii="Times New Roman" w:hAnsi="Times New Roman"/>
          <w:sz w:val="22"/>
          <w:szCs w:val="22"/>
        </w:rPr>
        <w:t xml:space="preserve"> //</w:t>
      </w:r>
    </w:p>
    <w:p w:rsidR="00157EF6" w:rsidRPr="00F61231" w:rsidRDefault="00157EF6" w:rsidP="00AA120F">
      <w:pPr>
        <w:snapToGrid w:val="0"/>
        <w:spacing w:line="290" w:lineRule="exact"/>
        <w:ind w:leftChars="305" w:left="732"/>
        <w:jc w:val="both"/>
        <w:rPr>
          <w:rFonts w:ascii="Times New Roman" w:hAnsi="Times New Roman"/>
          <w:sz w:val="22"/>
          <w:szCs w:val="22"/>
        </w:rPr>
      </w:pPr>
      <w:r w:rsidRPr="00761EF3">
        <w:rPr>
          <w:rFonts w:ascii="Times New Roman" w:hAnsi="Times New Roman"/>
          <w:sz w:val="22"/>
          <w:szCs w:val="22"/>
        </w:rPr>
        <w:t>ye</w:t>
      </w:r>
      <w:r w:rsidRPr="00F61231">
        <w:rPr>
          <w:rFonts w:ascii="Times New Roman" w:hAnsi="Times New Roman"/>
          <w:sz w:val="22"/>
          <w:szCs w:val="22"/>
        </w:rPr>
        <w:t xml:space="preserve"> '</w:t>
      </w:r>
      <w:r w:rsidRPr="00761EF3">
        <w:rPr>
          <w:rFonts w:ascii="Times New Roman" w:hAnsi="Times New Roman"/>
          <w:sz w:val="22"/>
          <w:szCs w:val="22"/>
        </w:rPr>
        <w:t>nayorna</w:t>
      </w:r>
      <w:r w:rsidRPr="00F61231">
        <w:rPr>
          <w:rFonts w:ascii="Times New Roman" w:hAnsi="Times New Roman"/>
          <w:sz w:val="22"/>
          <w:szCs w:val="22"/>
        </w:rPr>
        <w:t xml:space="preserve"> </w:t>
      </w:r>
      <w:r w:rsidRPr="00761EF3">
        <w:rPr>
          <w:rFonts w:ascii="Times New Roman" w:hAnsi="Times New Roman"/>
          <w:sz w:val="22"/>
          <w:szCs w:val="22"/>
        </w:rPr>
        <w:t>vijānanti</w:t>
      </w:r>
      <w:r w:rsidRPr="00F61231">
        <w:rPr>
          <w:rFonts w:ascii="Times New Roman" w:hAnsi="Times New Roman"/>
          <w:sz w:val="22"/>
          <w:szCs w:val="22"/>
        </w:rPr>
        <w:t xml:space="preserve"> </w:t>
      </w:r>
      <w:r w:rsidRPr="00761EF3">
        <w:rPr>
          <w:rFonts w:ascii="Times New Roman" w:hAnsi="Times New Roman"/>
          <w:sz w:val="22"/>
          <w:szCs w:val="22"/>
        </w:rPr>
        <w:t>vibhāgaṃ</w:t>
      </w:r>
      <w:r w:rsidRPr="00F61231">
        <w:rPr>
          <w:rFonts w:ascii="Times New Roman" w:hAnsi="Times New Roman"/>
          <w:sz w:val="22"/>
          <w:szCs w:val="22"/>
        </w:rPr>
        <w:t xml:space="preserve"> </w:t>
      </w:r>
      <w:r w:rsidRPr="00761EF3">
        <w:rPr>
          <w:rFonts w:ascii="Times New Roman" w:hAnsi="Times New Roman"/>
          <w:sz w:val="22"/>
          <w:szCs w:val="22"/>
        </w:rPr>
        <w:t>satyayordvayoḥ</w:t>
      </w:r>
      <w:r w:rsidRPr="00F61231">
        <w:rPr>
          <w:rFonts w:ascii="Times New Roman" w:hAnsi="Times New Roman"/>
          <w:sz w:val="22"/>
          <w:szCs w:val="22"/>
        </w:rPr>
        <w:t xml:space="preserve"> /</w:t>
      </w:r>
      <w:r w:rsidRPr="00F61231">
        <w:rPr>
          <w:rFonts w:ascii="Times New Roman" w:hAnsi="Times New Roman"/>
          <w:sz w:val="22"/>
          <w:szCs w:val="22"/>
        </w:rPr>
        <w:t>〔</w:t>
      </w:r>
      <w:r w:rsidRPr="00761EF3">
        <w:rPr>
          <w:rFonts w:ascii="Times New Roman" w:hAnsi="Times New Roman"/>
          <w:sz w:val="22"/>
          <w:szCs w:val="22"/>
        </w:rPr>
        <w:t>09</w:t>
      </w:r>
      <w:r w:rsidRPr="00F61231">
        <w:rPr>
          <w:rFonts w:ascii="Times New Roman" w:hAnsi="Times New Roman"/>
          <w:sz w:val="22"/>
          <w:szCs w:val="22"/>
        </w:rPr>
        <w:t>〕</w:t>
      </w:r>
    </w:p>
    <w:p w:rsidR="00157EF6" w:rsidRPr="00F61231" w:rsidRDefault="00157EF6" w:rsidP="00AA120F">
      <w:pPr>
        <w:snapToGrid w:val="0"/>
        <w:spacing w:line="290" w:lineRule="exact"/>
        <w:ind w:leftChars="305" w:left="732"/>
        <w:jc w:val="both"/>
        <w:rPr>
          <w:rFonts w:ascii="Times New Roman" w:hAnsi="Times New Roman"/>
          <w:sz w:val="22"/>
          <w:szCs w:val="22"/>
        </w:rPr>
      </w:pPr>
      <w:r w:rsidRPr="00761EF3">
        <w:rPr>
          <w:rFonts w:ascii="Times New Roman" w:hAnsi="Times New Roman"/>
          <w:sz w:val="22"/>
          <w:szCs w:val="22"/>
        </w:rPr>
        <w:t>te</w:t>
      </w:r>
      <w:r w:rsidRPr="00F61231">
        <w:rPr>
          <w:rFonts w:ascii="Times New Roman" w:hAnsi="Times New Roman"/>
          <w:sz w:val="22"/>
          <w:szCs w:val="22"/>
        </w:rPr>
        <w:t xml:space="preserve"> </w:t>
      </w:r>
      <w:r w:rsidRPr="00761EF3">
        <w:rPr>
          <w:rFonts w:ascii="Times New Roman" w:hAnsi="Times New Roman"/>
          <w:sz w:val="22"/>
          <w:szCs w:val="22"/>
        </w:rPr>
        <w:t>tattvaṃ</w:t>
      </w:r>
      <w:r w:rsidRPr="00F61231">
        <w:rPr>
          <w:rFonts w:ascii="Times New Roman" w:hAnsi="Times New Roman"/>
          <w:sz w:val="22"/>
          <w:szCs w:val="22"/>
        </w:rPr>
        <w:t xml:space="preserve"> </w:t>
      </w:r>
      <w:r w:rsidRPr="00761EF3">
        <w:rPr>
          <w:rFonts w:ascii="Times New Roman" w:hAnsi="Times New Roman"/>
          <w:sz w:val="22"/>
          <w:szCs w:val="22"/>
        </w:rPr>
        <w:t>na</w:t>
      </w:r>
      <w:r w:rsidRPr="00F61231">
        <w:rPr>
          <w:rFonts w:ascii="Times New Roman" w:hAnsi="Times New Roman"/>
          <w:sz w:val="22"/>
          <w:szCs w:val="22"/>
        </w:rPr>
        <w:t xml:space="preserve"> </w:t>
      </w:r>
      <w:r w:rsidRPr="00761EF3">
        <w:rPr>
          <w:rFonts w:ascii="Times New Roman" w:hAnsi="Times New Roman"/>
          <w:sz w:val="22"/>
          <w:szCs w:val="22"/>
        </w:rPr>
        <w:t>vijānanti</w:t>
      </w:r>
      <w:r w:rsidRPr="00F61231">
        <w:rPr>
          <w:rFonts w:ascii="Times New Roman" w:hAnsi="Times New Roman"/>
          <w:sz w:val="22"/>
          <w:szCs w:val="22"/>
        </w:rPr>
        <w:t xml:space="preserve"> </w:t>
      </w:r>
      <w:r w:rsidRPr="00761EF3">
        <w:rPr>
          <w:rFonts w:ascii="Times New Roman" w:hAnsi="Times New Roman"/>
          <w:sz w:val="22"/>
          <w:szCs w:val="22"/>
        </w:rPr>
        <w:t>gambhīraṃ</w:t>
      </w:r>
      <w:r w:rsidRPr="00F61231">
        <w:rPr>
          <w:rFonts w:ascii="Times New Roman" w:hAnsi="Times New Roman"/>
          <w:sz w:val="22"/>
          <w:szCs w:val="22"/>
        </w:rPr>
        <w:t xml:space="preserve"> </w:t>
      </w:r>
      <w:r w:rsidRPr="00761EF3">
        <w:rPr>
          <w:rFonts w:ascii="Times New Roman" w:hAnsi="Times New Roman"/>
          <w:sz w:val="22"/>
          <w:szCs w:val="22"/>
        </w:rPr>
        <w:t>buddhaśāsane</w:t>
      </w:r>
      <w:r w:rsidRPr="00F61231">
        <w:rPr>
          <w:rFonts w:ascii="Times New Roman" w:hAnsi="Times New Roman"/>
          <w:sz w:val="22"/>
          <w:szCs w:val="22"/>
        </w:rPr>
        <w:t xml:space="preserve"> //</w:t>
      </w:r>
    </w:p>
    <w:p w:rsidR="00157EF6" w:rsidRPr="00F61231" w:rsidRDefault="00157EF6" w:rsidP="00AA120F">
      <w:pPr>
        <w:snapToGrid w:val="0"/>
        <w:spacing w:line="290" w:lineRule="exact"/>
        <w:ind w:leftChars="305" w:left="732"/>
        <w:jc w:val="both"/>
        <w:rPr>
          <w:rFonts w:ascii="Times New Roman" w:hAnsi="Times New Roman"/>
          <w:sz w:val="22"/>
          <w:szCs w:val="22"/>
        </w:rPr>
      </w:pPr>
      <w:r w:rsidRPr="00761EF3">
        <w:rPr>
          <w:rFonts w:ascii="Times New Roman" w:hAnsi="Times New Roman"/>
          <w:b/>
          <w:sz w:val="22"/>
          <w:szCs w:val="22"/>
        </w:rPr>
        <w:t>vyavahāra</w:t>
      </w:r>
      <w:r w:rsidRPr="00761EF3">
        <w:rPr>
          <w:rFonts w:ascii="Times New Roman" w:hAnsi="Times New Roman"/>
          <w:sz w:val="22"/>
          <w:szCs w:val="22"/>
        </w:rPr>
        <w:t>manāśritya</w:t>
      </w:r>
      <w:r w:rsidRPr="00F61231">
        <w:rPr>
          <w:rFonts w:ascii="Times New Roman" w:hAnsi="Times New Roman"/>
          <w:sz w:val="22"/>
          <w:szCs w:val="22"/>
        </w:rPr>
        <w:t xml:space="preserve"> </w:t>
      </w:r>
      <w:r w:rsidRPr="00761EF3">
        <w:rPr>
          <w:rFonts w:ascii="Times New Roman" w:hAnsi="Times New Roman"/>
          <w:sz w:val="22"/>
          <w:szCs w:val="22"/>
        </w:rPr>
        <w:t>paramārtho</w:t>
      </w:r>
      <w:r w:rsidRPr="00F61231">
        <w:rPr>
          <w:rFonts w:ascii="Times New Roman" w:hAnsi="Times New Roman"/>
          <w:sz w:val="22"/>
          <w:szCs w:val="22"/>
        </w:rPr>
        <w:t xml:space="preserve"> </w:t>
      </w:r>
      <w:r w:rsidRPr="00761EF3">
        <w:rPr>
          <w:rFonts w:ascii="Times New Roman" w:hAnsi="Times New Roman"/>
          <w:sz w:val="22"/>
          <w:szCs w:val="22"/>
        </w:rPr>
        <w:t>na</w:t>
      </w:r>
      <w:r w:rsidRPr="00F61231">
        <w:rPr>
          <w:rFonts w:ascii="Times New Roman" w:hAnsi="Times New Roman"/>
          <w:sz w:val="22"/>
          <w:szCs w:val="22"/>
        </w:rPr>
        <w:t xml:space="preserve"> </w:t>
      </w:r>
      <w:r w:rsidRPr="00761EF3">
        <w:rPr>
          <w:rFonts w:ascii="Times New Roman" w:hAnsi="Times New Roman"/>
          <w:sz w:val="22"/>
          <w:szCs w:val="22"/>
        </w:rPr>
        <w:t>deśyate</w:t>
      </w:r>
      <w:r w:rsidRPr="00F61231">
        <w:rPr>
          <w:rFonts w:ascii="Times New Roman" w:hAnsi="Times New Roman"/>
          <w:sz w:val="22"/>
          <w:szCs w:val="22"/>
        </w:rPr>
        <w:t xml:space="preserve"> /</w:t>
      </w:r>
      <w:r w:rsidRPr="00F61231">
        <w:rPr>
          <w:rFonts w:ascii="Times New Roman" w:hAnsi="Times New Roman"/>
          <w:sz w:val="22"/>
          <w:szCs w:val="22"/>
        </w:rPr>
        <w:t>〔</w:t>
      </w:r>
      <w:r w:rsidRPr="00761EF3">
        <w:rPr>
          <w:rFonts w:ascii="Times New Roman" w:hAnsi="Times New Roman"/>
          <w:sz w:val="22"/>
          <w:szCs w:val="22"/>
        </w:rPr>
        <w:t>10</w:t>
      </w:r>
      <w:r w:rsidRPr="00F61231">
        <w:rPr>
          <w:rFonts w:ascii="Times New Roman" w:hAnsi="Times New Roman"/>
          <w:sz w:val="22"/>
          <w:szCs w:val="22"/>
        </w:rPr>
        <w:t>〕</w:t>
      </w:r>
    </w:p>
    <w:p w:rsidR="00157EF6" w:rsidRPr="00F61231" w:rsidRDefault="00157EF6" w:rsidP="00AA120F">
      <w:pPr>
        <w:snapToGrid w:val="0"/>
        <w:spacing w:line="290" w:lineRule="exact"/>
        <w:ind w:leftChars="305" w:left="732"/>
        <w:jc w:val="both"/>
        <w:rPr>
          <w:rFonts w:ascii="Times New Roman" w:hAnsi="Times New Roman"/>
          <w:sz w:val="22"/>
          <w:szCs w:val="22"/>
        </w:rPr>
      </w:pPr>
      <w:r w:rsidRPr="00761EF3">
        <w:rPr>
          <w:rFonts w:ascii="Times New Roman" w:hAnsi="Times New Roman"/>
          <w:sz w:val="22"/>
          <w:szCs w:val="22"/>
        </w:rPr>
        <w:t>param</w:t>
      </w:r>
      <w:r w:rsidRPr="00761EF3">
        <w:rPr>
          <w:rFonts w:ascii="Times New Roman" w:hAnsi="Times New Roman"/>
          <w:sz w:val="22"/>
          <w:szCs w:val="22"/>
          <w:lang w:eastAsia="ja-JP"/>
        </w:rPr>
        <w:t>ārthamanāgamya</w:t>
      </w:r>
      <w:r w:rsidRPr="00F61231">
        <w:rPr>
          <w:rFonts w:ascii="Times New Roman" w:hAnsi="Times New Roman"/>
          <w:sz w:val="22"/>
          <w:szCs w:val="22"/>
          <w:lang w:eastAsia="ja-JP"/>
        </w:rPr>
        <w:t xml:space="preserve"> </w:t>
      </w:r>
      <w:r w:rsidRPr="00761EF3">
        <w:rPr>
          <w:rFonts w:ascii="Times New Roman" w:hAnsi="Times New Roman"/>
          <w:sz w:val="22"/>
          <w:szCs w:val="22"/>
          <w:lang w:eastAsia="ja-JP"/>
        </w:rPr>
        <w:t>nirvāṇaṃ</w:t>
      </w:r>
      <w:r w:rsidRPr="00F61231">
        <w:rPr>
          <w:rFonts w:ascii="Times New Roman" w:hAnsi="Times New Roman"/>
          <w:sz w:val="22"/>
          <w:szCs w:val="22"/>
          <w:lang w:eastAsia="ja-JP"/>
        </w:rPr>
        <w:t xml:space="preserve"> </w:t>
      </w:r>
      <w:r w:rsidRPr="00761EF3">
        <w:rPr>
          <w:rFonts w:ascii="Times New Roman" w:hAnsi="Times New Roman"/>
          <w:sz w:val="22"/>
          <w:szCs w:val="22"/>
          <w:lang w:eastAsia="ja-JP"/>
        </w:rPr>
        <w:t>nādhigamyate</w:t>
      </w:r>
      <w:r w:rsidRPr="00F61231">
        <w:rPr>
          <w:rFonts w:ascii="Times New Roman" w:hAnsi="Times New Roman"/>
          <w:sz w:val="22"/>
          <w:szCs w:val="22"/>
          <w:lang w:eastAsia="ja-JP"/>
        </w:rPr>
        <w:t xml:space="preserve"> //</w:t>
      </w:r>
    </w:p>
  </w:footnote>
  <w:footnote w:id="896">
    <w:p w:rsidR="00157EF6" w:rsidRPr="00412A9C" w:rsidRDefault="00157EF6" w:rsidP="00AA120F">
      <w:pPr>
        <w:pStyle w:val="a5"/>
        <w:spacing w:line="290" w:lineRule="exact"/>
        <w:ind w:left="187" w:hangingChars="85" w:hanging="187"/>
        <w:jc w:val="both"/>
        <w:rPr>
          <w:rFonts w:ascii="標楷體" w:eastAsia="標楷體" w:hAnsi="標楷體"/>
          <w:szCs w:val="22"/>
        </w:rPr>
      </w:pPr>
      <w:r w:rsidRPr="00412A9C">
        <w:rPr>
          <w:rStyle w:val="a6"/>
          <w:szCs w:val="22"/>
        </w:rPr>
        <w:footnoteRef/>
      </w:r>
      <w:r>
        <w:rPr>
          <w:rFonts w:hint="eastAsia"/>
          <w:szCs w:val="22"/>
        </w:rPr>
        <w:t xml:space="preserve"> </w:t>
      </w:r>
      <w:r w:rsidRPr="00412A9C">
        <w:rPr>
          <w:szCs w:val="22"/>
        </w:rPr>
        <w:t>《</w:t>
      </w:r>
      <w:r w:rsidRPr="000550C6">
        <w:rPr>
          <w:szCs w:val="22"/>
        </w:rPr>
        <w:t>十二門</w:t>
      </w:r>
      <w:r w:rsidRPr="00412A9C">
        <w:rPr>
          <w:szCs w:val="22"/>
        </w:rPr>
        <w:t>論》</w:t>
      </w:r>
      <w:r w:rsidR="00E4710E" w:rsidRPr="00E4710E">
        <w:rPr>
          <w:rFonts w:hint="eastAsia"/>
          <w:color w:val="FF0000"/>
          <w:szCs w:val="22"/>
          <w:highlight w:val="yellow"/>
        </w:rPr>
        <w:t>〈</w:t>
      </w:r>
      <w:r w:rsidR="00E4710E" w:rsidRPr="00E4710E">
        <w:rPr>
          <w:rFonts w:hint="eastAsia"/>
          <w:color w:val="FF0000"/>
          <w:szCs w:val="22"/>
          <w:highlight w:val="yellow"/>
        </w:rPr>
        <w:t xml:space="preserve">8 </w:t>
      </w:r>
      <w:r w:rsidR="00E4710E" w:rsidRPr="00E4710E">
        <w:rPr>
          <w:rFonts w:hint="eastAsia"/>
          <w:color w:val="FF0000"/>
          <w:szCs w:val="22"/>
          <w:highlight w:val="yellow"/>
        </w:rPr>
        <w:t>觀性門〉</w:t>
      </w:r>
      <w:r w:rsidR="00DA73E4" w:rsidRPr="00412A9C">
        <w:rPr>
          <w:szCs w:val="22"/>
        </w:rPr>
        <w:t>（大正</w:t>
      </w:r>
      <w:r w:rsidR="00DA73E4" w:rsidRPr="00761EF3">
        <w:rPr>
          <w:szCs w:val="22"/>
        </w:rPr>
        <w:t>30</w:t>
      </w:r>
      <w:r w:rsidR="00DA73E4" w:rsidRPr="00412A9C">
        <w:rPr>
          <w:rFonts w:hint="eastAsia"/>
          <w:szCs w:val="22"/>
        </w:rPr>
        <w:t>，</w:t>
      </w:r>
      <w:r w:rsidR="00DA73E4" w:rsidRPr="00761EF3">
        <w:rPr>
          <w:szCs w:val="22"/>
        </w:rPr>
        <w:t>165a25</w:t>
      </w:r>
      <w:r w:rsidR="00DA73E4" w:rsidRPr="00412A9C">
        <w:rPr>
          <w:szCs w:val="22"/>
        </w:rPr>
        <w:t>-</w:t>
      </w:r>
      <w:r w:rsidR="00DA73E4" w:rsidRPr="00761EF3">
        <w:rPr>
          <w:szCs w:val="22"/>
        </w:rPr>
        <w:t>26</w:t>
      </w:r>
      <w:r w:rsidR="00DA73E4" w:rsidRPr="00412A9C">
        <w:rPr>
          <w:rFonts w:hint="eastAsia"/>
          <w:szCs w:val="22"/>
        </w:rPr>
        <w:t>）</w:t>
      </w:r>
      <w:r w:rsidRPr="00412A9C">
        <w:rPr>
          <w:szCs w:val="22"/>
        </w:rPr>
        <w:t>：</w:t>
      </w:r>
      <w:r w:rsidRPr="00412A9C">
        <w:rPr>
          <w:rFonts w:hint="eastAsia"/>
          <w:szCs w:val="22"/>
        </w:rPr>
        <w:t>「</w:t>
      </w:r>
      <w:r w:rsidRPr="00412A9C">
        <w:rPr>
          <w:rFonts w:ascii="標楷體" w:eastAsia="標楷體" w:hAnsi="標楷體"/>
          <w:szCs w:val="22"/>
        </w:rPr>
        <w:t>若人不知二諦，則不知自利、他利、共利。</w:t>
      </w:r>
      <w:r w:rsidRPr="00412A9C">
        <w:rPr>
          <w:rFonts w:ascii="標楷體" w:eastAsia="標楷體" w:hAnsi="標楷體" w:hint="eastAsia"/>
          <w:szCs w:val="22"/>
        </w:rPr>
        <w:t>」</w:t>
      </w:r>
    </w:p>
  </w:footnote>
  <w:footnote w:id="897">
    <w:p w:rsidR="00157EF6" w:rsidRPr="00412A9C" w:rsidRDefault="00157EF6" w:rsidP="00AA120F">
      <w:pPr>
        <w:pStyle w:val="a5"/>
        <w:ind w:left="187" w:hangingChars="85" w:hanging="187"/>
        <w:jc w:val="both"/>
        <w:rPr>
          <w:szCs w:val="22"/>
        </w:rPr>
      </w:pPr>
      <w:r w:rsidRPr="00412A9C">
        <w:rPr>
          <w:rStyle w:val="a6"/>
          <w:szCs w:val="22"/>
        </w:rPr>
        <w:footnoteRef/>
      </w:r>
      <w:r w:rsidRPr="00412A9C">
        <w:rPr>
          <w:rFonts w:hint="eastAsia"/>
          <w:szCs w:val="22"/>
        </w:rPr>
        <w:t xml:space="preserve"> </w:t>
      </w:r>
      <w:r w:rsidRPr="000550C6">
        <w:rPr>
          <w:szCs w:val="22"/>
        </w:rPr>
        <w:t>印順法師</w:t>
      </w:r>
      <w:r w:rsidRPr="00412A9C">
        <w:rPr>
          <w:szCs w:val="22"/>
        </w:rPr>
        <w:t>，《中觀論頌講記》</w:t>
      </w:r>
      <w:r w:rsidRPr="00412A9C">
        <w:rPr>
          <w:rFonts w:hint="eastAsia"/>
          <w:szCs w:val="22"/>
        </w:rPr>
        <w:t>，</w:t>
      </w:r>
      <w:r w:rsidRPr="00761EF3">
        <w:rPr>
          <w:szCs w:val="22"/>
        </w:rPr>
        <w:t>pp</w:t>
      </w:r>
      <w:r w:rsidRPr="00412A9C">
        <w:rPr>
          <w:szCs w:val="22"/>
        </w:rPr>
        <w:t>.</w:t>
      </w:r>
      <w:r w:rsidRPr="00761EF3">
        <w:rPr>
          <w:szCs w:val="22"/>
        </w:rPr>
        <w:t>450</w:t>
      </w:r>
      <w:r w:rsidRPr="00412A9C">
        <w:rPr>
          <w:szCs w:val="22"/>
        </w:rPr>
        <w:t>-</w:t>
      </w:r>
      <w:r w:rsidRPr="00761EF3">
        <w:rPr>
          <w:szCs w:val="22"/>
        </w:rPr>
        <w:t>451</w:t>
      </w:r>
      <w:r w:rsidRPr="00412A9C">
        <w:rPr>
          <w:szCs w:val="22"/>
        </w:rPr>
        <w:t>：</w:t>
      </w:r>
    </w:p>
    <w:p w:rsidR="00157EF6" w:rsidRPr="00412A9C" w:rsidRDefault="00157EF6" w:rsidP="00AA120F">
      <w:pPr>
        <w:pStyle w:val="a5"/>
        <w:ind w:leftChars="75" w:left="180"/>
        <w:jc w:val="both"/>
        <w:rPr>
          <w:rFonts w:eastAsia="標楷體"/>
          <w:szCs w:val="22"/>
        </w:rPr>
      </w:pPr>
      <w:r w:rsidRPr="00412A9C">
        <w:rPr>
          <w:rFonts w:ascii="標楷體" w:eastAsia="標楷體" w:hAnsi="標楷體"/>
          <w:szCs w:val="22"/>
        </w:rPr>
        <w:t>二諦有二：一、以凡聖分別，稱情智二諦。凡情事為世俗諦，聖智事為第一義諦。二、聖者也有二諦，稱理事二諦，就是幻空二諦。緣起幻有是世俗諦，幻性本空是第一義諦。即世俗</w:t>
      </w:r>
      <w:r w:rsidRPr="00412A9C">
        <w:rPr>
          <w:rFonts w:eastAsia="標楷體"/>
          <w:szCs w:val="22"/>
        </w:rPr>
        <w:t>諦是勝義諦，即勝義諦是世俗諦，二諦無礙。雙照二諦，到究竟圓滿，就成一切種智了。</w:t>
      </w:r>
    </w:p>
  </w:footnote>
  <w:footnote w:id="898">
    <w:p w:rsidR="00157EF6" w:rsidRPr="00412A9C" w:rsidRDefault="00157EF6" w:rsidP="00AA120F">
      <w:pPr>
        <w:pStyle w:val="a5"/>
        <w:ind w:left="187" w:hangingChars="85" w:hanging="187"/>
        <w:jc w:val="both"/>
        <w:rPr>
          <w:szCs w:val="22"/>
        </w:rPr>
      </w:pPr>
      <w:r w:rsidRPr="00412A9C">
        <w:rPr>
          <w:rStyle w:val="a6"/>
          <w:szCs w:val="22"/>
        </w:rPr>
        <w:footnoteRef/>
      </w:r>
      <w:r w:rsidRPr="00412A9C">
        <w:rPr>
          <w:szCs w:val="22"/>
        </w:rPr>
        <w:t xml:space="preserve"> </w:t>
      </w:r>
      <w:r w:rsidRPr="00412A9C">
        <w:rPr>
          <w:szCs w:val="22"/>
        </w:rPr>
        <w:t>遷流：</w:t>
      </w:r>
      <w:r w:rsidRPr="00761EF3">
        <w:rPr>
          <w:szCs w:val="22"/>
        </w:rPr>
        <w:t>2</w:t>
      </w:r>
      <w:r w:rsidRPr="00412A9C">
        <w:rPr>
          <w:szCs w:val="22"/>
        </w:rPr>
        <w:t>.</w:t>
      </w:r>
      <w:r w:rsidRPr="00412A9C">
        <w:rPr>
          <w:szCs w:val="22"/>
        </w:rPr>
        <w:t>變化，演變。</w:t>
      </w:r>
      <w:r w:rsidRPr="00761EF3">
        <w:rPr>
          <w:szCs w:val="22"/>
        </w:rPr>
        <w:t>3</w:t>
      </w:r>
      <w:r w:rsidRPr="00412A9C">
        <w:rPr>
          <w:szCs w:val="22"/>
        </w:rPr>
        <w:t>.</w:t>
      </w:r>
      <w:r w:rsidRPr="00412A9C">
        <w:rPr>
          <w:szCs w:val="22"/>
        </w:rPr>
        <w:t>謂時間遷移流動。（《漢語大詞典》（十），</w:t>
      </w:r>
      <w:r w:rsidRPr="00761EF3">
        <w:rPr>
          <w:szCs w:val="22"/>
        </w:rPr>
        <w:t>p</w:t>
      </w:r>
      <w:r w:rsidRPr="00412A9C">
        <w:rPr>
          <w:szCs w:val="22"/>
        </w:rPr>
        <w:t>.</w:t>
      </w:r>
      <w:r w:rsidRPr="00761EF3">
        <w:rPr>
          <w:szCs w:val="22"/>
        </w:rPr>
        <w:t>1175</w:t>
      </w:r>
      <w:r w:rsidRPr="00412A9C">
        <w:rPr>
          <w:szCs w:val="22"/>
        </w:rPr>
        <w:t>）</w:t>
      </w:r>
    </w:p>
  </w:footnote>
  <w:footnote w:id="899">
    <w:p w:rsidR="00157EF6" w:rsidRPr="00412A9C" w:rsidRDefault="00157EF6" w:rsidP="00AA120F">
      <w:pPr>
        <w:pStyle w:val="a5"/>
        <w:ind w:left="187" w:hangingChars="85" w:hanging="187"/>
        <w:jc w:val="both"/>
        <w:rPr>
          <w:szCs w:val="22"/>
        </w:rPr>
      </w:pPr>
      <w:r w:rsidRPr="00412A9C">
        <w:rPr>
          <w:rStyle w:val="a6"/>
          <w:szCs w:val="22"/>
        </w:rPr>
        <w:footnoteRef/>
      </w:r>
      <w:r w:rsidRPr="00412A9C">
        <w:rPr>
          <w:szCs w:val="22"/>
        </w:rPr>
        <w:t xml:space="preserve"> </w:t>
      </w:r>
      <w:r w:rsidRPr="00412A9C">
        <w:rPr>
          <w:szCs w:val="22"/>
        </w:rPr>
        <w:t>浮虛：</w:t>
      </w:r>
      <w:r w:rsidRPr="00761EF3">
        <w:rPr>
          <w:szCs w:val="22"/>
        </w:rPr>
        <w:t>1</w:t>
      </w:r>
      <w:r w:rsidRPr="00412A9C">
        <w:rPr>
          <w:szCs w:val="22"/>
        </w:rPr>
        <w:t>.</w:t>
      </w:r>
      <w:r w:rsidRPr="00412A9C">
        <w:rPr>
          <w:szCs w:val="22"/>
        </w:rPr>
        <w:t>華而不實。（《漢語大詞典》（五），</w:t>
      </w:r>
      <w:r w:rsidRPr="00761EF3">
        <w:rPr>
          <w:szCs w:val="22"/>
        </w:rPr>
        <w:t>p</w:t>
      </w:r>
      <w:r w:rsidRPr="00412A9C">
        <w:rPr>
          <w:szCs w:val="22"/>
        </w:rPr>
        <w:t>.</w:t>
      </w:r>
      <w:r w:rsidRPr="00761EF3">
        <w:rPr>
          <w:szCs w:val="22"/>
        </w:rPr>
        <w:t>1245</w:t>
      </w:r>
      <w:r w:rsidRPr="00412A9C">
        <w:rPr>
          <w:szCs w:val="22"/>
        </w:rPr>
        <w:t>）</w:t>
      </w:r>
    </w:p>
  </w:footnote>
  <w:footnote w:id="900">
    <w:p w:rsidR="00157EF6" w:rsidRPr="00412A9C" w:rsidRDefault="00157EF6" w:rsidP="00AA120F">
      <w:pPr>
        <w:pStyle w:val="a5"/>
        <w:ind w:left="187" w:hangingChars="85" w:hanging="187"/>
        <w:jc w:val="both"/>
        <w:rPr>
          <w:szCs w:val="22"/>
        </w:rPr>
      </w:pPr>
      <w:r w:rsidRPr="00412A9C">
        <w:rPr>
          <w:rStyle w:val="a6"/>
          <w:szCs w:val="22"/>
        </w:rPr>
        <w:footnoteRef/>
      </w:r>
      <w:r w:rsidRPr="00412A9C">
        <w:rPr>
          <w:szCs w:val="22"/>
        </w:rPr>
        <w:t xml:space="preserve"> </w:t>
      </w:r>
      <w:r w:rsidRPr="00412A9C">
        <w:rPr>
          <w:szCs w:val="22"/>
        </w:rPr>
        <w:t>覆：</w:t>
      </w:r>
      <w:r w:rsidRPr="00761EF3">
        <w:rPr>
          <w:szCs w:val="22"/>
        </w:rPr>
        <w:t>4</w:t>
      </w:r>
      <w:r w:rsidRPr="00412A9C">
        <w:rPr>
          <w:szCs w:val="22"/>
        </w:rPr>
        <w:t>.</w:t>
      </w:r>
      <w:r w:rsidRPr="00412A9C">
        <w:rPr>
          <w:szCs w:val="22"/>
        </w:rPr>
        <w:t>覆蓋，遮蔽。</w:t>
      </w:r>
      <w:r w:rsidRPr="00761EF3">
        <w:rPr>
          <w:szCs w:val="22"/>
        </w:rPr>
        <w:t>5</w:t>
      </w:r>
      <w:r w:rsidRPr="00412A9C">
        <w:rPr>
          <w:szCs w:val="22"/>
        </w:rPr>
        <w:t>.</w:t>
      </w:r>
      <w:r w:rsidRPr="00412A9C">
        <w:rPr>
          <w:szCs w:val="22"/>
        </w:rPr>
        <w:t>指被掩蓋的事物或隱微的義旨。（《漢語大詞典》（八），</w:t>
      </w:r>
      <w:r w:rsidRPr="00761EF3">
        <w:rPr>
          <w:szCs w:val="22"/>
        </w:rPr>
        <w:t>p</w:t>
      </w:r>
      <w:r w:rsidRPr="00412A9C">
        <w:rPr>
          <w:szCs w:val="22"/>
        </w:rPr>
        <w:t>.</w:t>
      </w:r>
      <w:r w:rsidRPr="00761EF3">
        <w:rPr>
          <w:szCs w:val="22"/>
        </w:rPr>
        <w:t>765</w:t>
      </w:r>
      <w:r w:rsidRPr="00412A9C">
        <w:rPr>
          <w:szCs w:val="22"/>
        </w:rPr>
        <w:t>）</w:t>
      </w:r>
    </w:p>
  </w:footnote>
  <w:footnote w:id="901">
    <w:p w:rsidR="00157EF6" w:rsidRPr="00412A9C" w:rsidRDefault="00157EF6" w:rsidP="00AA120F">
      <w:pPr>
        <w:pStyle w:val="a5"/>
        <w:ind w:left="187" w:hangingChars="85" w:hanging="187"/>
        <w:jc w:val="both"/>
        <w:rPr>
          <w:szCs w:val="22"/>
        </w:rPr>
      </w:pPr>
      <w:r w:rsidRPr="00412A9C">
        <w:rPr>
          <w:rStyle w:val="a6"/>
          <w:szCs w:val="22"/>
        </w:rPr>
        <w:footnoteRef/>
      </w:r>
      <w:r w:rsidRPr="00412A9C">
        <w:rPr>
          <w:szCs w:val="22"/>
        </w:rPr>
        <w:t xml:space="preserve"> </w:t>
      </w:r>
      <w:r w:rsidRPr="000550C6">
        <w:rPr>
          <w:szCs w:val="22"/>
        </w:rPr>
        <w:t>萬金川</w:t>
      </w:r>
      <w:r w:rsidRPr="00412A9C">
        <w:rPr>
          <w:szCs w:val="22"/>
        </w:rPr>
        <w:t>，《中觀思想講</w:t>
      </w:r>
      <w:r w:rsidRPr="00412A9C">
        <w:rPr>
          <w:rFonts w:hint="eastAsia"/>
          <w:szCs w:val="22"/>
        </w:rPr>
        <w:t>錄</w:t>
      </w:r>
      <w:r w:rsidRPr="00412A9C">
        <w:rPr>
          <w:szCs w:val="22"/>
        </w:rPr>
        <w:t>》</w:t>
      </w:r>
      <w:r w:rsidRPr="00412A9C">
        <w:rPr>
          <w:rFonts w:hint="eastAsia"/>
          <w:szCs w:val="22"/>
        </w:rPr>
        <w:t>，</w:t>
      </w:r>
      <w:r w:rsidRPr="00761EF3">
        <w:rPr>
          <w:rFonts w:hint="eastAsia"/>
          <w:szCs w:val="22"/>
        </w:rPr>
        <w:t>p</w:t>
      </w:r>
      <w:r w:rsidRPr="00761EF3">
        <w:rPr>
          <w:szCs w:val="22"/>
        </w:rPr>
        <w:t>p</w:t>
      </w:r>
      <w:r w:rsidRPr="00412A9C">
        <w:rPr>
          <w:szCs w:val="22"/>
        </w:rPr>
        <w:t>.</w:t>
      </w:r>
      <w:r w:rsidRPr="00761EF3">
        <w:rPr>
          <w:szCs w:val="22"/>
        </w:rPr>
        <w:t>163</w:t>
      </w:r>
      <w:r w:rsidRPr="00412A9C">
        <w:rPr>
          <w:rFonts w:hint="eastAsia"/>
          <w:szCs w:val="22"/>
        </w:rPr>
        <w:t>-</w:t>
      </w:r>
      <w:r w:rsidRPr="00761EF3">
        <w:rPr>
          <w:rFonts w:hint="eastAsia"/>
          <w:szCs w:val="22"/>
        </w:rPr>
        <w:t>165</w:t>
      </w:r>
      <w:r w:rsidRPr="00412A9C">
        <w:rPr>
          <w:szCs w:val="22"/>
        </w:rPr>
        <w:t>：</w:t>
      </w:r>
    </w:p>
    <w:p w:rsidR="00157EF6" w:rsidRPr="00412A9C" w:rsidRDefault="00157EF6" w:rsidP="00AA120F">
      <w:pPr>
        <w:pStyle w:val="a5"/>
        <w:ind w:leftChars="75" w:left="180"/>
        <w:jc w:val="both"/>
        <w:rPr>
          <w:rFonts w:eastAsia="標楷體"/>
          <w:szCs w:val="22"/>
        </w:rPr>
      </w:pPr>
      <w:r w:rsidRPr="00412A9C">
        <w:rPr>
          <w:rFonts w:eastAsia="標楷體"/>
          <w:szCs w:val="22"/>
        </w:rPr>
        <w:t>月稱從詞源學的觀點來分析</w:t>
      </w:r>
      <w:r w:rsidRPr="00761EF3">
        <w:rPr>
          <w:rFonts w:eastAsia="標楷體"/>
          <w:szCs w:val="22"/>
        </w:rPr>
        <w:t>saṃvṛti</w:t>
      </w:r>
      <w:r w:rsidRPr="00412A9C">
        <w:rPr>
          <w:rFonts w:eastAsia="標楷體"/>
          <w:szCs w:val="22"/>
        </w:rPr>
        <w:t>（世俗）一詞，並且給予了它三個意思：（一）障真實性，遮蔽真實的東西；（二）互為依事，相互依靠的事物；（三）指世間言說的意思。</w:t>
      </w:r>
    </w:p>
    <w:p w:rsidR="00157EF6" w:rsidRPr="00412A9C" w:rsidRDefault="00157EF6" w:rsidP="00AA120F">
      <w:pPr>
        <w:pStyle w:val="a5"/>
        <w:ind w:leftChars="75" w:left="180"/>
        <w:jc w:val="both"/>
        <w:rPr>
          <w:rFonts w:eastAsia="標楷體"/>
          <w:b/>
          <w:szCs w:val="22"/>
        </w:rPr>
      </w:pPr>
      <w:r w:rsidRPr="00412A9C">
        <w:rPr>
          <w:rFonts w:eastAsia="標楷體" w:hint="eastAsia"/>
          <w:b/>
          <w:szCs w:val="22"/>
        </w:rPr>
        <w:t>（一）世俗諦是被無明完全覆蓋了的真實：</w:t>
      </w:r>
    </w:p>
    <w:p w:rsidR="00157EF6" w:rsidRPr="00412A9C" w:rsidRDefault="00157EF6" w:rsidP="00AA120F">
      <w:pPr>
        <w:pStyle w:val="a5"/>
        <w:ind w:leftChars="75" w:left="180"/>
        <w:jc w:val="both"/>
        <w:rPr>
          <w:rFonts w:eastAsia="標楷體"/>
          <w:szCs w:val="22"/>
        </w:rPr>
      </w:pPr>
      <w:r w:rsidRPr="00412A9C">
        <w:rPr>
          <w:rFonts w:eastAsia="標楷體"/>
          <w:szCs w:val="22"/>
        </w:rPr>
        <w:t>此中，第一個意思是來自於把這個詞看成是由</w:t>
      </w:r>
      <w:r w:rsidRPr="00412A9C">
        <w:rPr>
          <w:rFonts w:eastAsia="標楷體"/>
          <w:szCs w:val="22"/>
        </w:rPr>
        <w:t>√</w:t>
      </w:r>
      <w:r w:rsidRPr="00761EF3">
        <w:rPr>
          <w:rFonts w:eastAsia="標楷體"/>
          <w:szCs w:val="22"/>
        </w:rPr>
        <w:t>vṛ</w:t>
      </w:r>
      <w:r w:rsidRPr="00412A9C">
        <w:rPr>
          <w:rFonts w:eastAsia="標楷體"/>
          <w:szCs w:val="22"/>
        </w:rPr>
        <w:t>這個動詞派生出來的，</w:t>
      </w:r>
      <w:r w:rsidRPr="00412A9C">
        <w:rPr>
          <w:rFonts w:eastAsia="標楷體"/>
          <w:szCs w:val="22"/>
        </w:rPr>
        <w:t>√</w:t>
      </w:r>
      <w:r w:rsidRPr="00761EF3">
        <w:rPr>
          <w:rFonts w:eastAsia="標楷體"/>
          <w:szCs w:val="22"/>
        </w:rPr>
        <w:t>vṛ</w:t>
      </w:r>
      <w:r w:rsidRPr="00412A9C">
        <w:rPr>
          <w:rFonts w:eastAsia="標楷體"/>
          <w:szCs w:val="22"/>
        </w:rPr>
        <w:t>是「覆蓋」或「遮蔽」（</w:t>
      </w:r>
      <w:r w:rsidRPr="00761EF3">
        <w:rPr>
          <w:rFonts w:eastAsia="標楷體"/>
          <w:szCs w:val="22"/>
        </w:rPr>
        <w:t>cover</w:t>
      </w:r>
      <w:r w:rsidRPr="00412A9C">
        <w:rPr>
          <w:rFonts w:eastAsia="標楷體"/>
          <w:szCs w:val="22"/>
        </w:rPr>
        <w:t>）之義，</w:t>
      </w:r>
      <w:r w:rsidRPr="00761EF3">
        <w:rPr>
          <w:rFonts w:eastAsia="標楷體"/>
          <w:szCs w:val="22"/>
        </w:rPr>
        <w:t>saṃ</w:t>
      </w:r>
      <w:r w:rsidRPr="00412A9C">
        <w:rPr>
          <w:rFonts w:eastAsia="標楷體"/>
          <w:szCs w:val="22"/>
        </w:rPr>
        <w:t>是「完全」的意思，因此所謂</w:t>
      </w:r>
      <w:r w:rsidRPr="00761EF3">
        <w:rPr>
          <w:rFonts w:eastAsia="標楷體"/>
          <w:szCs w:val="22"/>
        </w:rPr>
        <w:t>saṃvṛti</w:t>
      </w:r>
      <w:r w:rsidRPr="00412A9C">
        <w:rPr>
          <w:rFonts w:eastAsia="標楷體"/>
          <w:szCs w:val="22"/>
        </w:rPr>
        <w:t>便有「完全覆蓋」之義。</w:t>
      </w:r>
    </w:p>
    <w:p w:rsidR="00157EF6" w:rsidRPr="00412A9C" w:rsidRDefault="00157EF6" w:rsidP="00AA120F">
      <w:pPr>
        <w:pStyle w:val="a5"/>
        <w:ind w:leftChars="75" w:left="180"/>
        <w:jc w:val="both"/>
        <w:rPr>
          <w:rFonts w:eastAsia="標楷體"/>
          <w:szCs w:val="22"/>
        </w:rPr>
      </w:pPr>
      <w:r w:rsidRPr="00412A9C">
        <w:rPr>
          <w:rFonts w:eastAsia="標楷體" w:hint="eastAsia"/>
          <w:szCs w:val="22"/>
        </w:rPr>
        <w:t>月稱便順此一詞源學的分析，又加上了自己教義學上的詮釋，而認為</w:t>
      </w:r>
      <w:r w:rsidRPr="00761EF3">
        <w:rPr>
          <w:rFonts w:eastAsia="標楷體"/>
          <w:szCs w:val="22"/>
        </w:rPr>
        <w:t>saṃvṛti</w:t>
      </w:r>
      <w:r w:rsidRPr="00412A9C">
        <w:rPr>
          <w:rFonts w:eastAsia="標楷體" w:hint="eastAsia"/>
          <w:szCs w:val="22"/>
        </w:rPr>
        <w:t>是指為無明或無知完全覆蓋了的真實。我們所看到的世間真實，其實乃是在無知之下所見到的東西，而世俗的意思就是真實處於一種完全被遮蔽的狀態。</w:t>
      </w:r>
    </w:p>
    <w:p w:rsidR="00157EF6" w:rsidRPr="00412A9C" w:rsidRDefault="00157EF6" w:rsidP="00AA120F">
      <w:pPr>
        <w:pStyle w:val="a5"/>
        <w:ind w:leftChars="75" w:left="180"/>
        <w:jc w:val="both"/>
        <w:rPr>
          <w:rFonts w:eastAsia="標楷體"/>
          <w:b/>
          <w:szCs w:val="22"/>
        </w:rPr>
      </w:pPr>
      <w:r w:rsidRPr="00412A9C">
        <w:rPr>
          <w:rFonts w:eastAsia="標楷體" w:hint="eastAsia"/>
          <w:b/>
          <w:szCs w:val="22"/>
        </w:rPr>
        <w:t>（二）世俗即是依因待緣的存在：</w:t>
      </w:r>
    </w:p>
    <w:p w:rsidR="00157EF6" w:rsidRPr="00412A9C" w:rsidRDefault="00157EF6" w:rsidP="00AA120F">
      <w:pPr>
        <w:pStyle w:val="a5"/>
        <w:ind w:leftChars="75" w:left="180"/>
        <w:jc w:val="both"/>
        <w:rPr>
          <w:rFonts w:eastAsia="標楷體"/>
          <w:szCs w:val="22"/>
        </w:rPr>
      </w:pPr>
      <w:r w:rsidRPr="00761EF3">
        <w:rPr>
          <w:rFonts w:eastAsia="標楷體"/>
          <w:szCs w:val="22"/>
        </w:rPr>
        <w:t>saṃvṛti</w:t>
      </w:r>
      <w:r w:rsidRPr="00412A9C">
        <w:rPr>
          <w:rFonts w:eastAsia="標楷體" w:hint="eastAsia"/>
          <w:szCs w:val="22"/>
        </w:rPr>
        <w:t>一詞如何而有「互為依事」之義，這一點並不清楚。或許月稱一方面視</w:t>
      </w:r>
      <w:r w:rsidRPr="00761EF3">
        <w:rPr>
          <w:rFonts w:eastAsia="標楷體"/>
          <w:szCs w:val="22"/>
        </w:rPr>
        <w:t>saṃvṛti</w:t>
      </w:r>
      <w:r w:rsidRPr="00412A9C">
        <w:rPr>
          <w:rFonts w:eastAsia="標楷體" w:hint="eastAsia"/>
          <w:szCs w:val="22"/>
        </w:rPr>
        <w:t>為</w:t>
      </w:r>
      <w:r w:rsidRPr="00761EF3">
        <w:rPr>
          <w:rFonts w:eastAsia="標楷體"/>
          <w:szCs w:val="22"/>
        </w:rPr>
        <w:t>saṃvṛtti</w:t>
      </w:r>
      <w:r w:rsidRPr="00412A9C">
        <w:rPr>
          <w:rFonts w:eastAsia="標楷體" w:hint="eastAsia"/>
          <w:szCs w:val="22"/>
        </w:rPr>
        <w:t>，並且取後者的詞根</w:t>
      </w:r>
      <w:r w:rsidRPr="00761EF3">
        <w:rPr>
          <w:rFonts w:eastAsia="標楷體"/>
          <w:szCs w:val="22"/>
        </w:rPr>
        <w:t>vṛt</w:t>
      </w:r>
      <w:r w:rsidRPr="00412A9C">
        <w:rPr>
          <w:rFonts w:eastAsia="標楷體" w:hint="eastAsia"/>
          <w:szCs w:val="22"/>
        </w:rPr>
        <w:t>之義來著手詮釋，而</w:t>
      </w:r>
      <w:r w:rsidRPr="00761EF3">
        <w:rPr>
          <w:rFonts w:eastAsia="標楷體"/>
          <w:szCs w:val="22"/>
        </w:rPr>
        <w:t>vṛt</w:t>
      </w:r>
      <w:r w:rsidRPr="00412A9C">
        <w:rPr>
          <w:rFonts w:eastAsia="標楷體" w:hint="eastAsia"/>
          <w:szCs w:val="22"/>
        </w:rPr>
        <w:t>則有「轉起」之義，如此一來，再取</w:t>
      </w:r>
      <w:r w:rsidRPr="00761EF3">
        <w:rPr>
          <w:rFonts w:eastAsia="標楷體"/>
          <w:szCs w:val="22"/>
        </w:rPr>
        <w:t>saṃ</w:t>
      </w:r>
      <w:r w:rsidRPr="00412A9C">
        <w:rPr>
          <w:rFonts w:eastAsia="標楷體" w:hint="eastAsia"/>
          <w:szCs w:val="22"/>
        </w:rPr>
        <w:t>的「一起或共同」之義，合起來便有「共同轉起」的意思。而這層意思便是一般所謂的</w:t>
      </w:r>
      <w:r w:rsidR="00434424">
        <w:rPr>
          <w:rFonts w:eastAsia="標楷體" w:hint="eastAsia"/>
          <w:szCs w:val="22"/>
        </w:rPr>
        <w:t>「</w:t>
      </w:r>
      <w:r w:rsidRPr="00412A9C">
        <w:rPr>
          <w:rFonts w:eastAsia="標楷體" w:hint="eastAsia"/>
          <w:szCs w:val="22"/>
        </w:rPr>
        <w:t>緣起</w:t>
      </w:r>
      <w:r w:rsidR="00434424">
        <w:rPr>
          <w:rFonts w:eastAsia="標楷體" w:hint="eastAsia"/>
          <w:szCs w:val="22"/>
        </w:rPr>
        <w:t>」</w:t>
      </w:r>
      <w:r w:rsidRPr="00412A9C">
        <w:rPr>
          <w:rFonts w:eastAsia="標楷體" w:hint="eastAsia"/>
          <w:szCs w:val="22"/>
        </w:rPr>
        <w:t>之義，或許月稱所謂「互為依事」便是指這種「共同轉起」而相互依靠的「緣起」之義。因此，在這一層意思上，「世俗」所指的便是具有相互依存性的事物。</w:t>
      </w:r>
    </w:p>
    <w:p w:rsidR="00157EF6" w:rsidRPr="00412A9C" w:rsidRDefault="00157EF6" w:rsidP="00AA120F">
      <w:pPr>
        <w:pStyle w:val="a5"/>
        <w:ind w:leftChars="75" w:left="180"/>
        <w:jc w:val="both"/>
        <w:rPr>
          <w:rFonts w:eastAsia="標楷體"/>
          <w:b/>
          <w:szCs w:val="22"/>
        </w:rPr>
      </w:pPr>
      <w:r w:rsidRPr="00412A9C">
        <w:rPr>
          <w:rFonts w:eastAsia="標楷體" w:hint="eastAsia"/>
          <w:b/>
          <w:szCs w:val="22"/>
        </w:rPr>
        <w:t>（三）世俗即是透過言語活動而有的存在：</w:t>
      </w:r>
    </w:p>
    <w:p w:rsidR="00157EF6" w:rsidRPr="00412A9C" w:rsidRDefault="00157EF6" w:rsidP="00AA120F">
      <w:pPr>
        <w:pStyle w:val="a5"/>
        <w:ind w:leftChars="75" w:left="180"/>
        <w:jc w:val="both"/>
        <w:rPr>
          <w:rFonts w:eastAsia="標楷體"/>
          <w:szCs w:val="22"/>
        </w:rPr>
      </w:pPr>
      <w:r w:rsidRPr="00412A9C">
        <w:rPr>
          <w:rFonts w:eastAsia="標楷體" w:hint="eastAsia"/>
          <w:szCs w:val="22"/>
        </w:rPr>
        <w:t>第三個意思是所謂的「世間言說」，這層意思可能是月稱從龍樹在第十詩頌裡使用了</w:t>
      </w:r>
      <w:r w:rsidRPr="00761EF3">
        <w:rPr>
          <w:rFonts w:eastAsia="標楷體"/>
          <w:b/>
          <w:szCs w:val="22"/>
        </w:rPr>
        <w:t>vyavahāra</w:t>
      </w:r>
      <w:r w:rsidRPr="00412A9C">
        <w:rPr>
          <w:rFonts w:eastAsia="標楷體" w:hint="eastAsia"/>
          <w:szCs w:val="22"/>
        </w:rPr>
        <w:t>一詞而來的靈感，這個詞的巴利文對等語是</w:t>
      </w:r>
      <w:r w:rsidRPr="00761EF3">
        <w:rPr>
          <w:rFonts w:eastAsia="標楷體"/>
          <w:szCs w:val="22"/>
        </w:rPr>
        <w:t>vohāra</w:t>
      </w:r>
      <w:r w:rsidRPr="00412A9C">
        <w:rPr>
          <w:rFonts w:eastAsia="標楷體" w:hint="eastAsia"/>
          <w:szCs w:val="22"/>
        </w:rPr>
        <w:t>，月稱認為</w:t>
      </w:r>
      <w:r w:rsidRPr="00761EF3">
        <w:rPr>
          <w:rFonts w:eastAsia="標楷體"/>
          <w:szCs w:val="22"/>
        </w:rPr>
        <w:t>saṃvṛti</w:t>
      </w:r>
      <w:r w:rsidRPr="00412A9C">
        <w:rPr>
          <w:rFonts w:eastAsia="標楷體" w:hint="eastAsia"/>
          <w:szCs w:val="22"/>
        </w:rPr>
        <w:t>即是</w:t>
      </w:r>
      <w:r w:rsidRPr="00761EF3">
        <w:rPr>
          <w:rFonts w:eastAsia="標楷體"/>
          <w:szCs w:val="22"/>
        </w:rPr>
        <w:t>vyavahāra</w:t>
      </w:r>
      <w:r w:rsidRPr="00412A9C">
        <w:rPr>
          <w:rFonts w:eastAsia="標楷體" w:hint="eastAsia"/>
          <w:szCs w:val="22"/>
        </w:rPr>
        <w:t>，但是在正規的梵語裡，</w:t>
      </w:r>
      <w:r w:rsidRPr="00761EF3">
        <w:rPr>
          <w:rFonts w:eastAsia="標楷體"/>
          <w:szCs w:val="22"/>
        </w:rPr>
        <w:t>vyavahāra</w:t>
      </w:r>
      <w:r w:rsidRPr="00412A9C">
        <w:rPr>
          <w:rFonts w:eastAsia="標楷體" w:hint="eastAsia"/>
          <w:szCs w:val="22"/>
        </w:rPr>
        <w:t>並沒有「言語」的意思，雖然巴利語的</w:t>
      </w:r>
      <w:r w:rsidRPr="00761EF3">
        <w:rPr>
          <w:rFonts w:eastAsia="標楷體"/>
          <w:szCs w:val="22"/>
        </w:rPr>
        <w:t>vohāra</w:t>
      </w:r>
      <w:r w:rsidRPr="00412A9C">
        <w:rPr>
          <w:rFonts w:eastAsia="標楷體" w:hint="eastAsia"/>
          <w:szCs w:val="22"/>
        </w:rPr>
        <w:t>有「言語」的意思。</w:t>
      </w:r>
    </w:p>
    <w:p w:rsidR="00157EF6" w:rsidRPr="00412A9C" w:rsidRDefault="00157EF6" w:rsidP="00AA120F">
      <w:pPr>
        <w:pStyle w:val="a5"/>
        <w:ind w:leftChars="75" w:left="180"/>
        <w:jc w:val="both"/>
        <w:rPr>
          <w:rFonts w:eastAsia="標楷體"/>
          <w:szCs w:val="22"/>
        </w:rPr>
      </w:pPr>
      <w:r w:rsidRPr="00412A9C">
        <w:rPr>
          <w:rFonts w:eastAsia="標楷體" w:hint="eastAsia"/>
          <w:szCs w:val="22"/>
        </w:rPr>
        <w:t>但我們今天還不能完全明白月稱是如何由</w:t>
      </w:r>
      <w:r w:rsidRPr="00761EF3">
        <w:rPr>
          <w:rFonts w:eastAsia="標楷體"/>
          <w:szCs w:val="22"/>
        </w:rPr>
        <w:t>saṃvṛti</w:t>
      </w:r>
      <w:r w:rsidRPr="00412A9C">
        <w:rPr>
          <w:rFonts w:eastAsia="標楷體" w:hint="eastAsia"/>
          <w:szCs w:val="22"/>
        </w:rPr>
        <w:t>一詞的形構裡，得到「世間言說」的意思。世間的存在是透過我們的言說而存在，也就是透過「命名」而存在，例如板、輪、軸之類的東西在一定安排之下所構成的東西，我們給它一個名稱叫做「車」，透過了命名的活動，這個世界的事物就安安穩穩地存在了。</w:t>
      </w:r>
    </w:p>
  </w:footnote>
  <w:footnote w:id="902">
    <w:p w:rsidR="00157EF6" w:rsidRPr="00412A9C" w:rsidRDefault="00157EF6" w:rsidP="00AA120F">
      <w:pPr>
        <w:pStyle w:val="a5"/>
        <w:ind w:left="187" w:hangingChars="85" w:hanging="187"/>
        <w:jc w:val="both"/>
        <w:rPr>
          <w:szCs w:val="22"/>
        </w:rPr>
      </w:pPr>
      <w:r w:rsidRPr="00412A9C">
        <w:rPr>
          <w:rStyle w:val="a6"/>
          <w:szCs w:val="22"/>
        </w:rPr>
        <w:footnoteRef/>
      </w:r>
      <w:r>
        <w:rPr>
          <w:rFonts w:hint="eastAsia"/>
          <w:szCs w:val="22"/>
        </w:rPr>
        <w:t xml:space="preserve"> </w:t>
      </w:r>
      <w:r w:rsidRPr="00412A9C">
        <w:rPr>
          <w:szCs w:val="22"/>
        </w:rPr>
        <w:t>《中論》卷</w:t>
      </w:r>
      <w:r w:rsidRPr="00761EF3">
        <w:rPr>
          <w:szCs w:val="22"/>
        </w:rPr>
        <w:t>4</w:t>
      </w:r>
      <w:r w:rsidRPr="00412A9C">
        <w:rPr>
          <w:szCs w:val="22"/>
        </w:rPr>
        <w:t>〈</w:t>
      </w:r>
      <w:r w:rsidRPr="00761EF3">
        <w:rPr>
          <w:szCs w:val="22"/>
        </w:rPr>
        <w:t>24</w:t>
      </w:r>
      <w:r w:rsidRPr="00412A9C">
        <w:rPr>
          <w:szCs w:val="22"/>
        </w:rPr>
        <w:t xml:space="preserve"> </w:t>
      </w:r>
      <w:r w:rsidRPr="00412A9C">
        <w:rPr>
          <w:szCs w:val="22"/>
        </w:rPr>
        <w:t>觀四諦品〉（青目釋）（大正</w:t>
      </w:r>
      <w:r w:rsidRPr="00761EF3">
        <w:rPr>
          <w:szCs w:val="22"/>
        </w:rPr>
        <w:t>30</w:t>
      </w:r>
      <w:r w:rsidRPr="00412A9C">
        <w:rPr>
          <w:rFonts w:hint="eastAsia"/>
          <w:szCs w:val="22"/>
        </w:rPr>
        <w:t>，</w:t>
      </w:r>
      <w:r w:rsidRPr="00761EF3">
        <w:rPr>
          <w:szCs w:val="22"/>
        </w:rPr>
        <w:t>32c20</w:t>
      </w:r>
      <w:r w:rsidRPr="00412A9C">
        <w:rPr>
          <w:szCs w:val="22"/>
        </w:rPr>
        <w:t>-</w:t>
      </w:r>
      <w:r w:rsidRPr="00761EF3">
        <w:rPr>
          <w:szCs w:val="22"/>
        </w:rPr>
        <w:t>23</w:t>
      </w:r>
      <w:r w:rsidRPr="00412A9C">
        <w:rPr>
          <w:rFonts w:hint="eastAsia"/>
          <w:szCs w:val="22"/>
        </w:rPr>
        <w:t>）。</w:t>
      </w:r>
    </w:p>
  </w:footnote>
  <w:footnote w:id="903">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rFonts w:hint="eastAsia"/>
          <w:szCs w:val="22"/>
        </w:rPr>
        <w:t xml:space="preserve"> </w:t>
      </w:r>
      <w:r w:rsidRPr="00412A9C">
        <w:rPr>
          <w:szCs w:val="22"/>
        </w:rPr>
        <w:t>真知灼見</w:t>
      </w:r>
      <w:r w:rsidRPr="00412A9C">
        <w:rPr>
          <w:rFonts w:hint="eastAsia"/>
          <w:szCs w:val="22"/>
        </w:rPr>
        <w:t>：</w:t>
      </w:r>
      <w:r w:rsidRPr="00761EF3">
        <w:rPr>
          <w:szCs w:val="22"/>
        </w:rPr>
        <w:t>1</w:t>
      </w:r>
      <w:r w:rsidRPr="00412A9C">
        <w:rPr>
          <w:szCs w:val="22"/>
        </w:rPr>
        <w:t>.</w:t>
      </w:r>
      <w:r w:rsidRPr="00412A9C">
        <w:rPr>
          <w:szCs w:val="22"/>
        </w:rPr>
        <w:t>真正知道，確實看見。（《漢語大詞典》</w:t>
      </w:r>
      <w:r w:rsidRPr="00412A9C">
        <w:rPr>
          <w:rFonts w:hint="eastAsia"/>
          <w:szCs w:val="22"/>
        </w:rPr>
        <w:t>（二）</w:t>
      </w:r>
      <w:r w:rsidRPr="00412A9C">
        <w:rPr>
          <w:szCs w:val="22"/>
        </w:rPr>
        <w:t>，</w:t>
      </w:r>
      <w:r w:rsidRPr="00761EF3">
        <w:rPr>
          <w:szCs w:val="22"/>
        </w:rPr>
        <w:t>p</w:t>
      </w:r>
      <w:r w:rsidRPr="00412A9C">
        <w:rPr>
          <w:szCs w:val="22"/>
        </w:rPr>
        <w:t>.</w:t>
      </w:r>
      <w:r w:rsidRPr="00761EF3">
        <w:rPr>
          <w:rFonts w:hint="eastAsia"/>
          <w:szCs w:val="22"/>
        </w:rPr>
        <w:t>143</w:t>
      </w:r>
      <w:r w:rsidRPr="00412A9C">
        <w:rPr>
          <w:szCs w:val="22"/>
        </w:rPr>
        <w:t>）</w:t>
      </w:r>
    </w:p>
  </w:footnote>
  <w:footnote w:id="904">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rFonts w:hint="eastAsia"/>
          <w:szCs w:val="22"/>
        </w:rPr>
        <w:t xml:space="preserve"> </w:t>
      </w:r>
      <w:r w:rsidRPr="00837CED">
        <w:rPr>
          <w:rFonts w:hint="eastAsia"/>
          <w:szCs w:val="22"/>
        </w:rPr>
        <w:t>恆星</w:t>
      </w:r>
      <w:r w:rsidRPr="00412A9C">
        <w:rPr>
          <w:rFonts w:hint="eastAsia"/>
          <w:szCs w:val="22"/>
        </w:rPr>
        <w:t>：自身能發光、發熱的天體。因短時間內難以覺察其位置的變化，故名。按亮度、光度可分為多種等級。中國古代稱二十八宿為“恆星”。亦泛指常見的星宿。</w:t>
      </w:r>
      <w:r w:rsidRPr="00412A9C">
        <w:rPr>
          <w:szCs w:val="22"/>
        </w:rPr>
        <w:t>（《漢語大詞典》</w:t>
      </w:r>
      <w:r w:rsidRPr="00412A9C">
        <w:rPr>
          <w:rFonts w:hint="eastAsia"/>
          <w:szCs w:val="22"/>
        </w:rPr>
        <w:t>（七）</w:t>
      </w:r>
      <w:r w:rsidRPr="00412A9C">
        <w:rPr>
          <w:szCs w:val="22"/>
        </w:rPr>
        <w:t>，</w:t>
      </w:r>
      <w:r w:rsidRPr="00761EF3">
        <w:rPr>
          <w:szCs w:val="22"/>
        </w:rPr>
        <w:t>p</w:t>
      </w:r>
      <w:r w:rsidRPr="00412A9C">
        <w:rPr>
          <w:szCs w:val="22"/>
        </w:rPr>
        <w:t>.</w:t>
      </w:r>
      <w:r w:rsidRPr="00761EF3">
        <w:rPr>
          <w:rFonts w:hint="eastAsia"/>
          <w:szCs w:val="22"/>
        </w:rPr>
        <w:t>516</w:t>
      </w:r>
      <w:r w:rsidRPr="00412A9C">
        <w:rPr>
          <w:szCs w:val="22"/>
        </w:rPr>
        <w:t>）</w:t>
      </w:r>
    </w:p>
  </w:footnote>
  <w:footnote w:id="905">
    <w:p w:rsidR="00157EF6" w:rsidRPr="00412A9C" w:rsidRDefault="00157EF6" w:rsidP="00973758">
      <w:pPr>
        <w:pStyle w:val="a5"/>
        <w:spacing w:line="0" w:lineRule="atLeast"/>
        <w:ind w:left="803" w:hangingChars="365" w:hanging="803"/>
        <w:jc w:val="both"/>
        <w:rPr>
          <w:szCs w:val="22"/>
        </w:rPr>
      </w:pPr>
      <w:r w:rsidRPr="00412A9C">
        <w:rPr>
          <w:rStyle w:val="a6"/>
          <w:szCs w:val="22"/>
        </w:rPr>
        <w:footnoteRef/>
      </w:r>
      <w:r>
        <w:rPr>
          <w:rFonts w:hint="eastAsia"/>
          <w:szCs w:val="22"/>
        </w:rPr>
        <w:t xml:space="preserve"> </w:t>
      </w:r>
      <w:r w:rsidRPr="00412A9C">
        <w:rPr>
          <w:rFonts w:hint="eastAsia"/>
          <w:szCs w:val="22"/>
        </w:rPr>
        <w:t>（</w:t>
      </w:r>
      <w:r w:rsidRPr="00761EF3">
        <w:rPr>
          <w:rFonts w:hint="eastAsia"/>
          <w:szCs w:val="22"/>
        </w:rPr>
        <w:t>1</w:t>
      </w:r>
      <w:r w:rsidRPr="00412A9C">
        <w:rPr>
          <w:rFonts w:hint="eastAsia"/>
          <w:szCs w:val="22"/>
        </w:rPr>
        <w:t>）</w:t>
      </w:r>
      <w:r w:rsidRPr="00973758">
        <w:rPr>
          <w:rFonts w:hint="eastAsia"/>
          <w:spacing w:val="4"/>
          <w:szCs w:val="22"/>
        </w:rPr>
        <w:t>行星：在橢圓軌道上環繞太陽運行的天體。它本身不發光，能反射太陽光，</w:t>
      </w:r>
      <w:r w:rsidRPr="00412A9C">
        <w:rPr>
          <w:rFonts w:hint="eastAsia"/>
          <w:szCs w:val="22"/>
        </w:rPr>
        <w:t>太陽系有九大行星，按照距離太陽的次序（由近到遠），有水星、金星、地球、火星、木星、土星、天王星、海王星和冥王星。</w:t>
      </w:r>
      <w:r w:rsidRPr="00412A9C">
        <w:rPr>
          <w:szCs w:val="22"/>
        </w:rPr>
        <w:t>（《漢語大詞典》</w:t>
      </w:r>
      <w:r w:rsidRPr="00412A9C">
        <w:rPr>
          <w:rFonts w:hint="eastAsia"/>
          <w:szCs w:val="22"/>
        </w:rPr>
        <w:t>（三）</w:t>
      </w:r>
      <w:r w:rsidRPr="00412A9C">
        <w:rPr>
          <w:szCs w:val="22"/>
        </w:rPr>
        <w:t>，</w:t>
      </w:r>
      <w:r w:rsidRPr="00761EF3">
        <w:rPr>
          <w:szCs w:val="22"/>
        </w:rPr>
        <w:t>p</w:t>
      </w:r>
      <w:r w:rsidRPr="00412A9C">
        <w:rPr>
          <w:szCs w:val="22"/>
        </w:rPr>
        <w:t>.</w:t>
      </w:r>
      <w:r w:rsidRPr="00761EF3">
        <w:rPr>
          <w:rFonts w:hint="eastAsia"/>
          <w:szCs w:val="22"/>
        </w:rPr>
        <w:t>901</w:t>
      </w:r>
      <w:r w:rsidRPr="00412A9C">
        <w:rPr>
          <w:szCs w:val="22"/>
        </w:rPr>
        <w:t>）</w:t>
      </w:r>
    </w:p>
    <w:p w:rsidR="00157EF6" w:rsidRPr="00412A9C" w:rsidRDefault="00157EF6" w:rsidP="00AA120F">
      <w:pPr>
        <w:pStyle w:val="a5"/>
        <w:ind w:leftChars="105" w:left="791" w:hangingChars="245" w:hanging="539"/>
        <w:jc w:val="both"/>
        <w:rPr>
          <w:szCs w:val="22"/>
        </w:rPr>
      </w:pPr>
      <w:r w:rsidRPr="00412A9C">
        <w:rPr>
          <w:rFonts w:hint="eastAsia"/>
          <w:szCs w:val="22"/>
        </w:rPr>
        <w:t>（</w:t>
      </w:r>
      <w:r w:rsidRPr="00761EF3">
        <w:rPr>
          <w:rFonts w:hint="eastAsia"/>
          <w:szCs w:val="22"/>
        </w:rPr>
        <w:t>2</w:t>
      </w:r>
      <w:r w:rsidRPr="00412A9C">
        <w:rPr>
          <w:rFonts w:hint="eastAsia"/>
          <w:szCs w:val="22"/>
        </w:rPr>
        <w:t>）</w:t>
      </w:r>
      <w:r w:rsidRPr="002A2365">
        <w:rPr>
          <w:rFonts w:hint="eastAsia"/>
          <w:spacing w:val="4"/>
          <w:szCs w:val="22"/>
        </w:rPr>
        <w:t>案：</w:t>
      </w:r>
      <w:r w:rsidRPr="002A2365">
        <w:rPr>
          <w:spacing w:val="4"/>
          <w:szCs w:val="22"/>
        </w:rPr>
        <w:t>2006</w:t>
      </w:r>
      <w:r w:rsidRPr="002A2365">
        <w:rPr>
          <w:spacing w:val="4"/>
          <w:szCs w:val="22"/>
        </w:rPr>
        <w:t>年</w:t>
      </w:r>
      <w:r w:rsidRPr="002A2365">
        <w:rPr>
          <w:spacing w:val="4"/>
          <w:szCs w:val="22"/>
        </w:rPr>
        <w:t>8</w:t>
      </w:r>
      <w:r w:rsidRPr="002A2365">
        <w:rPr>
          <w:spacing w:val="4"/>
          <w:szCs w:val="22"/>
        </w:rPr>
        <w:t>月</w:t>
      </w:r>
      <w:r w:rsidRPr="002A2365">
        <w:rPr>
          <w:spacing w:val="4"/>
          <w:szCs w:val="22"/>
        </w:rPr>
        <w:t>24</w:t>
      </w:r>
      <w:r w:rsidRPr="002A2365">
        <w:rPr>
          <w:rFonts w:hint="eastAsia"/>
          <w:spacing w:val="4"/>
          <w:szCs w:val="22"/>
        </w:rPr>
        <w:t>日在捷克首都布拉格舉行之第</w:t>
      </w:r>
      <w:r w:rsidRPr="002A2365">
        <w:rPr>
          <w:spacing w:val="4"/>
          <w:szCs w:val="22"/>
        </w:rPr>
        <w:t>26</w:t>
      </w:r>
      <w:r w:rsidRPr="002A2365">
        <w:rPr>
          <w:rFonts w:hint="eastAsia"/>
          <w:spacing w:val="4"/>
          <w:szCs w:val="22"/>
        </w:rPr>
        <w:t>屆國際天文學聯會</w:t>
      </w:r>
      <w:r w:rsidRPr="00412A9C">
        <w:rPr>
          <w:rFonts w:hint="eastAsia"/>
          <w:szCs w:val="22"/>
        </w:rPr>
        <w:t>上，表決了該會</w:t>
      </w:r>
      <w:r w:rsidRPr="00412A9C">
        <w:rPr>
          <w:szCs w:val="22"/>
        </w:rPr>
        <w:t>第</w:t>
      </w:r>
      <w:r w:rsidRPr="00761EF3">
        <w:rPr>
          <w:szCs w:val="22"/>
        </w:rPr>
        <w:t>5</w:t>
      </w:r>
      <w:r w:rsidRPr="00412A9C">
        <w:rPr>
          <w:szCs w:val="22"/>
        </w:rPr>
        <w:t>、</w:t>
      </w:r>
      <w:r w:rsidRPr="00761EF3">
        <w:rPr>
          <w:szCs w:val="22"/>
        </w:rPr>
        <w:t>6</w:t>
      </w:r>
      <w:r w:rsidRPr="00412A9C">
        <w:rPr>
          <w:szCs w:val="22"/>
        </w:rPr>
        <w:t>號</w:t>
      </w:r>
      <w:r w:rsidRPr="00412A9C">
        <w:rPr>
          <w:rFonts w:hint="eastAsia"/>
          <w:szCs w:val="22"/>
        </w:rPr>
        <w:t>共四份決議草案，分別把行星同時符合以下三點：一、圍繞於恆星運轉（即公轉）。二、有足夠大的質量來克服固體應力，以達到流體靜力平衡的形狀（即近於球形）。三、已清空其軌道附近區域（即是該區域內最大天體，即以其自身引力把軌道兩側附近的小天體「吸引」成為自己的衛星）。決議太陽系有八顆行星，分別為水星、金星、地球、火星、木星、土星、天王星與海王星。質量不夠的將會被歸類為矮行星（如冥王星）或太陽系內小天體（如小行星、彗星等）。</w:t>
      </w:r>
    </w:p>
  </w:footnote>
  <w:footnote w:id="906">
    <w:p w:rsidR="008E4FB5" w:rsidRPr="00412A9C" w:rsidRDefault="008E4FB5" w:rsidP="008E4FB5">
      <w:pPr>
        <w:pStyle w:val="a5"/>
        <w:spacing w:line="300" w:lineRule="exact"/>
        <w:ind w:left="792" w:hangingChars="360" w:hanging="792"/>
        <w:jc w:val="both"/>
        <w:rPr>
          <w:rFonts w:ascii="標楷體" w:eastAsia="標楷體" w:hAnsi="標楷體"/>
          <w:szCs w:val="22"/>
        </w:rPr>
      </w:pPr>
      <w:r w:rsidRPr="00412A9C">
        <w:rPr>
          <w:rStyle w:val="a6"/>
          <w:szCs w:val="22"/>
        </w:rPr>
        <w:footnoteRef/>
      </w:r>
      <w:r>
        <w:rPr>
          <w:rFonts w:hint="eastAsia"/>
          <w:szCs w:val="22"/>
        </w:rPr>
        <w:t xml:space="preserve"> </w:t>
      </w:r>
      <w:r w:rsidRPr="00412A9C">
        <w:rPr>
          <w:rFonts w:hint="eastAsia"/>
          <w:szCs w:val="22"/>
        </w:rPr>
        <w:t>（</w:t>
      </w:r>
      <w:r w:rsidRPr="00761EF3">
        <w:rPr>
          <w:rFonts w:hint="eastAsia"/>
          <w:szCs w:val="22"/>
        </w:rPr>
        <w:t>1</w:t>
      </w:r>
      <w:r w:rsidRPr="00412A9C">
        <w:rPr>
          <w:rFonts w:hint="eastAsia"/>
          <w:szCs w:val="22"/>
        </w:rPr>
        <w:t>）</w:t>
      </w:r>
      <w:r w:rsidRPr="00412A9C">
        <w:rPr>
          <w:szCs w:val="22"/>
        </w:rPr>
        <w:t>《</w:t>
      </w:r>
      <w:r w:rsidRPr="00837CED">
        <w:rPr>
          <w:szCs w:val="22"/>
        </w:rPr>
        <w:t>瑜伽</w:t>
      </w:r>
      <w:r w:rsidRPr="00412A9C">
        <w:rPr>
          <w:szCs w:val="22"/>
        </w:rPr>
        <w:t>師地論》卷</w:t>
      </w:r>
      <w:r w:rsidRPr="00761EF3">
        <w:rPr>
          <w:szCs w:val="22"/>
        </w:rPr>
        <w:t>13</w:t>
      </w:r>
      <w:r w:rsidRPr="00412A9C">
        <w:rPr>
          <w:szCs w:val="22"/>
        </w:rPr>
        <w:t>（大正</w:t>
      </w:r>
      <w:r w:rsidRPr="00761EF3">
        <w:rPr>
          <w:szCs w:val="22"/>
        </w:rPr>
        <w:t>30</w:t>
      </w:r>
      <w:r w:rsidRPr="00412A9C">
        <w:rPr>
          <w:szCs w:val="22"/>
        </w:rPr>
        <w:t>，</w:t>
      </w:r>
      <w:r w:rsidRPr="00761EF3">
        <w:rPr>
          <w:szCs w:val="22"/>
        </w:rPr>
        <w:t>345b23</w:t>
      </w:r>
      <w:r w:rsidRPr="00412A9C">
        <w:rPr>
          <w:rFonts w:hint="eastAsia"/>
          <w:szCs w:val="22"/>
        </w:rPr>
        <w:t>-</w:t>
      </w:r>
      <w:r w:rsidRPr="00761EF3">
        <w:rPr>
          <w:szCs w:val="22"/>
        </w:rPr>
        <w:t>25</w:t>
      </w:r>
      <w:r w:rsidRPr="00412A9C">
        <w:rPr>
          <w:szCs w:val="22"/>
        </w:rPr>
        <w:t>）：</w:t>
      </w:r>
    </w:p>
    <w:p w:rsidR="008E4FB5" w:rsidRPr="00F640F4" w:rsidRDefault="008E4FB5" w:rsidP="008E4FB5">
      <w:pPr>
        <w:pStyle w:val="a5"/>
        <w:spacing w:line="300" w:lineRule="exact"/>
        <w:ind w:leftChars="335" w:left="804"/>
        <w:jc w:val="both"/>
        <w:rPr>
          <w:szCs w:val="22"/>
        </w:rPr>
      </w:pPr>
      <w:r w:rsidRPr="00412A9C">
        <w:rPr>
          <w:rFonts w:ascii="標楷體" w:eastAsia="標楷體" w:hAnsi="標楷體"/>
          <w:szCs w:val="22"/>
        </w:rPr>
        <w:t>復有四種真實，謂世間所成真實</w:t>
      </w:r>
      <w:r w:rsidR="005060F1">
        <w:rPr>
          <w:rFonts w:ascii="標楷體" w:eastAsia="標楷體" w:hAnsi="標楷體" w:hint="eastAsia"/>
          <w:color w:val="FF0000"/>
          <w:spacing w:val="-4"/>
          <w:kern w:val="0"/>
          <w:highlight w:val="yellow"/>
        </w:rPr>
        <w:t>、</w:t>
      </w:r>
      <w:r w:rsidRPr="00412A9C">
        <w:rPr>
          <w:rFonts w:ascii="標楷體" w:eastAsia="標楷體" w:hAnsi="標楷體"/>
          <w:szCs w:val="22"/>
        </w:rPr>
        <w:t>道理所成真實</w:t>
      </w:r>
      <w:r w:rsidR="005060F1">
        <w:rPr>
          <w:rFonts w:ascii="標楷體" w:eastAsia="標楷體" w:hAnsi="標楷體" w:hint="eastAsia"/>
          <w:color w:val="FF0000"/>
          <w:spacing w:val="-4"/>
          <w:kern w:val="0"/>
          <w:highlight w:val="yellow"/>
        </w:rPr>
        <w:t>、</w:t>
      </w:r>
      <w:r w:rsidRPr="00412A9C">
        <w:rPr>
          <w:rFonts w:ascii="標楷體" w:eastAsia="標楷體" w:hAnsi="標楷體"/>
          <w:szCs w:val="22"/>
        </w:rPr>
        <w:t>煩惱障淨智所行真實</w:t>
      </w:r>
      <w:r w:rsidR="005060F1">
        <w:rPr>
          <w:rFonts w:ascii="標楷體" w:eastAsia="標楷體" w:hAnsi="標楷體" w:hint="eastAsia"/>
          <w:color w:val="FF0000"/>
          <w:spacing w:val="-4"/>
          <w:kern w:val="0"/>
          <w:highlight w:val="yellow"/>
        </w:rPr>
        <w:t>、</w:t>
      </w:r>
      <w:r w:rsidRPr="00412A9C">
        <w:rPr>
          <w:rFonts w:ascii="標楷體" w:eastAsia="標楷體" w:hAnsi="標楷體"/>
          <w:szCs w:val="22"/>
        </w:rPr>
        <w:t>所</w:t>
      </w:r>
      <w:r w:rsidRPr="00F640F4">
        <w:rPr>
          <w:rFonts w:ascii="標楷體" w:eastAsia="標楷體" w:hAnsi="標楷體"/>
          <w:szCs w:val="22"/>
        </w:rPr>
        <w:t>知障淨智所行真實。</w:t>
      </w:r>
    </w:p>
    <w:p w:rsidR="008E4FB5" w:rsidRPr="00F640F4" w:rsidRDefault="008E4FB5" w:rsidP="008E4FB5">
      <w:pPr>
        <w:pStyle w:val="a5"/>
        <w:spacing w:line="300" w:lineRule="exact"/>
        <w:ind w:leftChars="105" w:left="791" w:hangingChars="245" w:hanging="539"/>
        <w:jc w:val="both"/>
        <w:rPr>
          <w:szCs w:val="22"/>
        </w:rPr>
      </w:pPr>
      <w:r w:rsidRPr="00F640F4">
        <w:rPr>
          <w:rFonts w:hint="eastAsia"/>
          <w:szCs w:val="22"/>
        </w:rPr>
        <w:t>（</w:t>
      </w:r>
      <w:r w:rsidRPr="00F640F4">
        <w:rPr>
          <w:rFonts w:hint="eastAsia"/>
          <w:szCs w:val="22"/>
        </w:rPr>
        <w:t>2</w:t>
      </w:r>
      <w:r w:rsidRPr="00F640F4">
        <w:rPr>
          <w:rFonts w:hint="eastAsia"/>
          <w:szCs w:val="22"/>
        </w:rPr>
        <w:t>）</w:t>
      </w:r>
      <w:r w:rsidRPr="00F640F4">
        <w:rPr>
          <w:szCs w:val="22"/>
        </w:rPr>
        <w:t>《瑜伽師地論》卷</w:t>
      </w:r>
      <w:r w:rsidRPr="00F640F4">
        <w:rPr>
          <w:szCs w:val="22"/>
        </w:rPr>
        <w:t>36</w:t>
      </w:r>
      <w:r w:rsidRPr="00F640F4">
        <w:rPr>
          <w:szCs w:val="22"/>
          <w:lang w:eastAsia="zh-HK"/>
        </w:rPr>
        <w:t>（大正</w:t>
      </w:r>
      <w:r w:rsidRPr="00F640F4">
        <w:rPr>
          <w:rFonts w:hint="eastAsia"/>
          <w:szCs w:val="22"/>
        </w:rPr>
        <w:t>30</w:t>
      </w:r>
      <w:r w:rsidRPr="00F640F4">
        <w:rPr>
          <w:rFonts w:hint="eastAsia"/>
          <w:szCs w:val="22"/>
        </w:rPr>
        <w:t>，</w:t>
      </w:r>
      <w:r w:rsidRPr="00F640F4">
        <w:rPr>
          <w:rFonts w:hint="eastAsia"/>
          <w:szCs w:val="22"/>
        </w:rPr>
        <w:t>486b9-c23</w:t>
      </w:r>
      <w:r w:rsidRPr="00F640F4">
        <w:rPr>
          <w:rFonts w:hint="eastAsia"/>
          <w:szCs w:val="22"/>
        </w:rPr>
        <w:t>）</w:t>
      </w:r>
      <w:r w:rsidRPr="00F640F4">
        <w:rPr>
          <w:szCs w:val="22"/>
        </w:rPr>
        <w:t>：</w:t>
      </w:r>
    </w:p>
    <w:p w:rsidR="008E4FB5" w:rsidRPr="00F640F4" w:rsidRDefault="008E4FB5" w:rsidP="008E4FB5">
      <w:pPr>
        <w:pStyle w:val="a5"/>
        <w:spacing w:line="300" w:lineRule="exact"/>
        <w:ind w:leftChars="335" w:left="804"/>
        <w:jc w:val="both"/>
        <w:rPr>
          <w:rFonts w:ascii="標楷體" w:eastAsia="標楷體" w:hAnsi="標楷體"/>
          <w:szCs w:val="22"/>
        </w:rPr>
      </w:pPr>
      <w:r w:rsidRPr="00F640F4">
        <w:rPr>
          <w:rFonts w:ascii="標楷體" w:eastAsia="標楷體" w:hAnsi="標楷體" w:hint="eastAsia"/>
          <w:szCs w:val="22"/>
        </w:rPr>
        <w:t>云何</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真實義</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？謂略有二種：一者、依</w:t>
      </w:r>
      <w:r w:rsidRPr="005060F1">
        <w:rPr>
          <w:rFonts w:ascii="標楷體" w:eastAsia="標楷體" w:hAnsi="標楷體" w:hint="eastAsia"/>
          <w:b/>
          <w:szCs w:val="22"/>
        </w:rPr>
        <w:t>如所有性</w:t>
      </w:r>
      <w:r w:rsidRPr="00F640F4">
        <w:rPr>
          <w:rFonts w:ascii="標楷體" w:eastAsia="標楷體" w:hAnsi="標楷體" w:hint="eastAsia"/>
          <w:szCs w:val="22"/>
        </w:rPr>
        <w:t>諸法真實性，二者、依</w:t>
      </w:r>
      <w:r w:rsidRPr="005060F1">
        <w:rPr>
          <w:rFonts w:ascii="標楷體" w:eastAsia="標楷體" w:hAnsi="標楷體" w:hint="eastAsia"/>
          <w:b/>
          <w:szCs w:val="22"/>
        </w:rPr>
        <w:t>盡所有性</w:t>
      </w:r>
      <w:r w:rsidRPr="00F640F4">
        <w:rPr>
          <w:rFonts w:ascii="標楷體" w:eastAsia="標楷體" w:hAnsi="標楷體" w:hint="eastAsia"/>
          <w:szCs w:val="22"/>
        </w:rPr>
        <w:t>諸法一切性。如是諸法</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真實性、一切性</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，應知總名</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真實義</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w:t>
      </w:r>
      <w:r w:rsidRPr="00F640F4">
        <w:rPr>
          <w:rFonts w:ascii="標楷體" w:eastAsia="標楷體" w:hAnsi="標楷體"/>
          <w:szCs w:val="22"/>
        </w:rPr>
        <w:t>此</w:t>
      </w:r>
      <w:r w:rsidR="005060F1">
        <w:rPr>
          <w:rFonts w:ascii="標楷體" w:eastAsia="標楷體" w:hAnsi="標楷體" w:hint="eastAsia"/>
          <w:bCs/>
          <w:color w:val="FF0000"/>
          <w:kern w:val="0"/>
          <w:highlight w:val="yellow"/>
        </w:rPr>
        <w:t>「</w:t>
      </w:r>
      <w:r w:rsidRPr="00F640F4">
        <w:rPr>
          <w:rFonts w:ascii="標楷體" w:eastAsia="標楷體" w:hAnsi="標楷體"/>
          <w:szCs w:val="22"/>
        </w:rPr>
        <w:t>真實義</w:t>
      </w:r>
      <w:r w:rsidR="005060F1">
        <w:rPr>
          <w:rFonts w:ascii="標楷體" w:eastAsia="標楷體" w:hAnsi="標楷體" w:hint="eastAsia"/>
          <w:bCs/>
          <w:color w:val="FF0000"/>
          <w:kern w:val="0"/>
          <w:highlight w:val="yellow"/>
        </w:rPr>
        <w:t>」</w:t>
      </w:r>
      <w:r w:rsidRPr="00F640F4">
        <w:rPr>
          <w:rFonts w:ascii="標楷體" w:eastAsia="標楷體" w:hAnsi="標楷體"/>
          <w:szCs w:val="22"/>
        </w:rPr>
        <w:t>品類差別復有四種：</w:t>
      </w:r>
      <w:r w:rsidRPr="00F640F4">
        <w:rPr>
          <w:rFonts w:ascii="標楷體" w:eastAsia="標楷體" w:hAnsi="標楷體"/>
          <w:b/>
          <w:szCs w:val="22"/>
        </w:rPr>
        <w:t>一者</w:t>
      </w:r>
      <w:r w:rsidRPr="00F640F4">
        <w:rPr>
          <w:rFonts w:ascii="標楷體" w:eastAsia="標楷體" w:hAnsi="標楷體" w:hint="eastAsia"/>
          <w:b/>
          <w:szCs w:val="22"/>
        </w:rPr>
        <w:t>、</w:t>
      </w:r>
      <w:r w:rsidRPr="00F640F4">
        <w:rPr>
          <w:rFonts w:ascii="標楷體" w:eastAsia="標楷體" w:hAnsi="標楷體"/>
          <w:b/>
          <w:szCs w:val="22"/>
        </w:rPr>
        <w:t>世間極成真實，二者</w:t>
      </w:r>
      <w:r w:rsidRPr="00F640F4">
        <w:rPr>
          <w:rFonts w:ascii="標楷體" w:eastAsia="標楷體" w:hAnsi="標楷體" w:hint="eastAsia"/>
          <w:b/>
          <w:szCs w:val="22"/>
        </w:rPr>
        <w:t>、</w:t>
      </w:r>
      <w:r w:rsidRPr="00F640F4">
        <w:rPr>
          <w:rFonts w:ascii="標楷體" w:eastAsia="標楷體" w:hAnsi="標楷體"/>
          <w:b/>
          <w:szCs w:val="22"/>
        </w:rPr>
        <w:t>道理極成真實，三者</w:t>
      </w:r>
      <w:r w:rsidRPr="00F640F4">
        <w:rPr>
          <w:rFonts w:ascii="標楷體" w:eastAsia="標楷體" w:hAnsi="標楷體" w:hint="eastAsia"/>
          <w:b/>
          <w:szCs w:val="22"/>
        </w:rPr>
        <w:t>、</w:t>
      </w:r>
      <w:r w:rsidRPr="00F640F4">
        <w:rPr>
          <w:rFonts w:ascii="標楷體" w:eastAsia="標楷體" w:hAnsi="標楷體"/>
          <w:b/>
          <w:szCs w:val="22"/>
        </w:rPr>
        <w:t>煩惱障淨智所行真實，四者</w:t>
      </w:r>
      <w:r w:rsidRPr="00F640F4">
        <w:rPr>
          <w:rFonts w:ascii="標楷體" w:eastAsia="標楷體" w:hAnsi="標楷體" w:hint="eastAsia"/>
          <w:b/>
          <w:szCs w:val="22"/>
        </w:rPr>
        <w:t>、</w:t>
      </w:r>
      <w:r w:rsidRPr="00F640F4">
        <w:rPr>
          <w:rFonts w:ascii="標楷體" w:eastAsia="標楷體" w:hAnsi="標楷體"/>
          <w:b/>
          <w:szCs w:val="22"/>
        </w:rPr>
        <w:t>所知障淨智所行真實</w:t>
      </w:r>
      <w:r w:rsidRPr="00F640F4">
        <w:rPr>
          <w:rFonts w:ascii="標楷體" w:eastAsia="標楷體" w:hAnsi="標楷體"/>
          <w:szCs w:val="22"/>
        </w:rPr>
        <w:t>。</w:t>
      </w:r>
    </w:p>
    <w:p w:rsidR="008E4FB5" w:rsidRPr="00F640F4" w:rsidRDefault="008E4FB5" w:rsidP="00AE3920">
      <w:pPr>
        <w:pStyle w:val="a5"/>
        <w:spacing w:beforeLines="20" w:line="300" w:lineRule="exact"/>
        <w:ind w:leftChars="335" w:left="804"/>
        <w:jc w:val="both"/>
        <w:rPr>
          <w:rFonts w:ascii="標楷體" w:eastAsia="標楷體" w:hAnsi="標楷體"/>
          <w:szCs w:val="22"/>
        </w:rPr>
      </w:pPr>
      <w:r w:rsidRPr="00F640F4">
        <w:rPr>
          <w:rFonts w:ascii="標楷體" w:eastAsia="標楷體" w:hAnsi="標楷體" w:hint="eastAsia"/>
          <w:szCs w:val="22"/>
        </w:rPr>
        <w:t>云何</w:t>
      </w:r>
      <w:r w:rsidR="005060F1">
        <w:rPr>
          <w:rFonts w:ascii="標楷體" w:eastAsia="標楷體" w:hAnsi="標楷體" w:hint="eastAsia"/>
          <w:bCs/>
          <w:color w:val="FF0000"/>
          <w:kern w:val="0"/>
          <w:highlight w:val="yellow"/>
        </w:rPr>
        <w:t>「</w:t>
      </w:r>
      <w:r w:rsidRPr="00F640F4">
        <w:rPr>
          <w:rFonts w:ascii="標楷體" w:eastAsia="標楷體" w:hAnsi="標楷體" w:hint="eastAsia"/>
          <w:b/>
          <w:szCs w:val="22"/>
        </w:rPr>
        <w:t>世間極成真實</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？謂一切世間於彼彼事隨順假立，世俗串習悟入覺慧所見同性，謂地唯是地</w:t>
      </w:r>
      <w:r w:rsidR="005060F1">
        <w:rPr>
          <w:rFonts w:ascii="標楷體" w:eastAsia="標楷體" w:hAnsi="標楷體" w:hint="eastAsia"/>
          <w:color w:val="FF0000"/>
          <w:kern w:val="0"/>
          <w:highlight w:val="yellow"/>
        </w:rPr>
        <w:t>，</w:t>
      </w:r>
      <w:r w:rsidRPr="00F640F4">
        <w:rPr>
          <w:rFonts w:ascii="標楷體" w:eastAsia="標楷體" w:hAnsi="標楷體" w:hint="eastAsia"/>
          <w:szCs w:val="22"/>
        </w:rPr>
        <w:t>非是火等</w:t>
      </w:r>
      <w:r w:rsidR="005060F1">
        <w:rPr>
          <w:rFonts w:ascii="標楷體" w:eastAsia="標楷體" w:hAnsi="標楷體" w:hint="eastAsia"/>
          <w:color w:val="FF0000"/>
          <w:spacing w:val="-4"/>
          <w:kern w:val="0"/>
          <w:highlight w:val="yellow"/>
        </w:rPr>
        <w:t>；</w:t>
      </w:r>
      <w:r w:rsidRPr="00F640F4">
        <w:rPr>
          <w:rFonts w:ascii="標楷體" w:eastAsia="標楷體" w:hAnsi="標楷體" w:hint="eastAsia"/>
          <w:szCs w:val="22"/>
        </w:rPr>
        <w:t>如地</w:t>
      </w:r>
      <w:r w:rsidR="005060F1">
        <w:rPr>
          <w:rFonts w:ascii="標楷體" w:eastAsia="標楷體" w:hAnsi="標楷體" w:hint="eastAsia"/>
          <w:color w:val="FF0000"/>
          <w:kern w:val="0"/>
          <w:highlight w:val="yellow"/>
        </w:rPr>
        <w:t>，</w:t>
      </w:r>
      <w:r w:rsidRPr="00F640F4">
        <w:rPr>
          <w:rFonts w:ascii="標楷體" w:eastAsia="標楷體" w:hAnsi="標楷體" w:hint="eastAsia"/>
          <w:szCs w:val="22"/>
        </w:rPr>
        <w:t>如</w:t>
      </w:r>
      <w:r w:rsidRPr="005060F1">
        <w:rPr>
          <w:rFonts w:ascii="標楷體" w:eastAsia="標楷體" w:hAnsi="標楷體" w:hint="eastAsia"/>
          <w:szCs w:val="22"/>
          <w:highlight w:val="yellow"/>
        </w:rPr>
        <w:t>是水</w:t>
      </w:r>
      <w:r w:rsidRPr="00F640F4">
        <w:rPr>
          <w:rFonts w:ascii="標楷體" w:eastAsia="標楷體" w:hAnsi="標楷體" w:hint="eastAsia"/>
          <w:szCs w:val="22"/>
        </w:rPr>
        <w:t>、火、風，色、聲、香、味、觸</w:t>
      </w:r>
      <w:r w:rsidR="00A76642">
        <w:rPr>
          <w:rFonts w:ascii="標楷體" w:eastAsia="標楷體" w:hAnsi="標楷體" w:hint="eastAsia"/>
          <w:color w:val="FF0000"/>
          <w:spacing w:val="-4"/>
          <w:kern w:val="0"/>
          <w:highlight w:val="yellow"/>
        </w:rPr>
        <w:t>、</w:t>
      </w:r>
      <w:r w:rsidRPr="00F640F4">
        <w:rPr>
          <w:rFonts w:ascii="標楷體" w:eastAsia="標楷體" w:hAnsi="標楷體" w:hint="eastAsia"/>
          <w:szCs w:val="22"/>
        </w:rPr>
        <w:t>飲食</w:t>
      </w:r>
      <w:r w:rsidR="005060F1">
        <w:rPr>
          <w:rFonts w:ascii="標楷體" w:eastAsia="標楷體" w:hAnsi="標楷體" w:hint="eastAsia"/>
          <w:color w:val="FF0000"/>
          <w:spacing w:val="-4"/>
          <w:kern w:val="0"/>
          <w:highlight w:val="yellow"/>
        </w:rPr>
        <w:t>、</w:t>
      </w:r>
      <w:r w:rsidRPr="00F640F4">
        <w:rPr>
          <w:rFonts w:ascii="標楷體" w:eastAsia="標楷體" w:hAnsi="標楷體" w:hint="eastAsia"/>
          <w:szCs w:val="22"/>
        </w:rPr>
        <w:t>衣</w:t>
      </w:r>
      <w:r w:rsidR="005060F1">
        <w:rPr>
          <w:rFonts w:ascii="標楷體" w:eastAsia="標楷體" w:hAnsi="標楷體" w:hint="eastAsia"/>
          <w:color w:val="FF0000"/>
          <w:spacing w:val="-4"/>
          <w:kern w:val="0"/>
          <w:highlight w:val="yellow"/>
        </w:rPr>
        <w:t>、</w:t>
      </w:r>
      <w:r w:rsidRPr="00F640F4">
        <w:rPr>
          <w:rFonts w:ascii="標楷體" w:eastAsia="標楷體" w:hAnsi="標楷體" w:hint="eastAsia"/>
          <w:szCs w:val="22"/>
        </w:rPr>
        <w:t>乘、諸莊嚴具、資產</w:t>
      </w:r>
      <w:r w:rsidR="005060F1">
        <w:rPr>
          <w:rFonts w:ascii="標楷體" w:eastAsia="標楷體" w:hAnsi="標楷體" w:hint="eastAsia"/>
          <w:color w:val="FF0000"/>
          <w:spacing w:val="-4"/>
          <w:kern w:val="0"/>
          <w:highlight w:val="yellow"/>
        </w:rPr>
        <w:t>、</w:t>
      </w:r>
      <w:r w:rsidRPr="00F640F4">
        <w:rPr>
          <w:rFonts w:ascii="標楷體" w:eastAsia="標楷體" w:hAnsi="標楷體" w:hint="eastAsia"/>
          <w:szCs w:val="22"/>
        </w:rPr>
        <w:t>什物、塗香</w:t>
      </w:r>
      <w:r w:rsidR="005060F1">
        <w:rPr>
          <w:rFonts w:ascii="標楷體" w:eastAsia="標楷體" w:hAnsi="標楷體" w:hint="eastAsia"/>
          <w:color w:val="FF0000"/>
          <w:spacing w:val="-4"/>
          <w:kern w:val="0"/>
          <w:highlight w:val="yellow"/>
        </w:rPr>
        <w:t>、</w:t>
      </w:r>
      <w:r w:rsidRPr="00F640F4">
        <w:rPr>
          <w:rFonts w:ascii="標楷體" w:eastAsia="標楷體" w:hAnsi="標楷體" w:hint="eastAsia"/>
          <w:szCs w:val="22"/>
        </w:rPr>
        <w:t>華鬘、歌舞伎樂、種種光明、男女</w:t>
      </w:r>
      <w:r w:rsidR="005060F1">
        <w:rPr>
          <w:rFonts w:ascii="標楷體" w:eastAsia="標楷體" w:hAnsi="標楷體" w:hint="eastAsia"/>
          <w:color w:val="FF0000"/>
          <w:spacing w:val="-4"/>
          <w:kern w:val="0"/>
          <w:highlight w:val="yellow"/>
        </w:rPr>
        <w:t>、</w:t>
      </w:r>
      <w:r w:rsidRPr="00F640F4">
        <w:rPr>
          <w:rFonts w:ascii="標楷體" w:eastAsia="標楷體" w:hAnsi="標楷體" w:hint="eastAsia"/>
          <w:szCs w:val="22"/>
        </w:rPr>
        <w:t>承事、田園、邸店、宅舍等事，當知亦爾。苦唯是苦</w:t>
      </w:r>
      <w:r w:rsidR="005060F1">
        <w:rPr>
          <w:rFonts w:ascii="標楷體" w:eastAsia="標楷體" w:hAnsi="標楷體" w:hint="eastAsia"/>
          <w:color w:val="FF0000"/>
          <w:kern w:val="0"/>
          <w:highlight w:val="yellow"/>
        </w:rPr>
        <w:t>，</w:t>
      </w:r>
      <w:r w:rsidRPr="00F640F4">
        <w:rPr>
          <w:rFonts w:ascii="標楷體" w:eastAsia="標楷體" w:hAnsi="標楷體" w:hint="eastAsia"/>
          <w:szCs w:val="22"/>
        </w:rPr>
        <w:t>非是樂等</w:t>
      </w:r>
      <w:r w:rsidR="005060F1">
        <w:rPr>
          <w:rFonts w:ascii="標楷體" w:eastAsia="標楷體" w:hAnsi="標楷體" w:hint="eastAsia"/>
          <w:color w:val="FF0000"/>
          <w:spacing w:val="-4"/>
          <w:kern w:val="0"/>
          <w:highlight w:val="yellow"/>
        </w:rPr>
        <w:t>；</w:t>
      </w:r>
      <w:r w:rsidRPr="00F640F4">
        <w:rPr>
          <w:rFonts w:ascii="標楷體" w:eastAsia="標楷體" w:hAnsi="標楷體" w:hint="eastAsia"/>
          <w:szCs w:val="22"/>
        </w:rPr>
        <w:t>樂唯是樂</w:t>
      </w:r>
      <w:r w:rsidR="005060F1">
        <w:rPr>
          <w:rFonts w:ascii="標楷體" w:eastAsia="標楷體" w:hAnsi="標楷體" w:hint="eastAsia"/>
          <w:color w:val="FF0000"/>
          <w:kern w:val="0"/>
          <w:highlight w:val="yellow"/>
        </w:rPr>
        <w:t>，</w:t>
      </w:r>
      <w:r w:rsidRPr="00F640F4">
        <w:rPr>
          <w:rFonts w:ascii="標楷體" w:eastAsia="標楷體" w:hAnsi="標楷體" w:hint="eastAsia"/>
          <w:szCs w:val="22"/>
        </w:rPr>
        <w:t>非是苦等。以要言之</w:t>
      </w:r>
      <w:r w:rsidR="005060F1">
        <w:rPr>
          <w:rFonts w:ascii="標楷體" w:eastAsia="標楷體" w:hAnsi="標楷體" w:hint="eastAsia"/>
          <w:color w:val="FF0000"/>
          <w:spacing w:val="-4"/>
          <w:kern w:val="0"/>
          <w:highlight w:val="yellow"/>
        </w:rPr>
        <w:t>：</w:t>
      </w:r>
      <w:r w:rsidRPr="00F640F4">
        <w:rPr>
          <w:rFonts w:ascii="標楷體" w:eastAsia="標楷體" w:hAnsi="標楷體" w:hint="eastAsia"/>
          <w:szCs w:val="22"/>
        </w:rPr>
        <w:t>此即如此，非不如此；是即如是，非不如是</w:t>
      </w:r>
      <w:r w:rsidR="005060F1">
        <w:rPr>
          <w:rFonts w:ascii="標楷體" w:eastAsia="標楷體" w:hAnsi="標楷體" w:hint="eastAsia"/>
          <w:color w:val="FF0000"/>
          <w:kern w:val="0"/>
          <w:highlight w:val="yellow"/>
        </w:rPr>
        <w:t>──</w:t>
      </w:r>
      <w:r w:rsidRPr="00F640F4">
        <w:rPr>
          <w:rFonts w:ascii="標楷體" w:eastAsia="標楷體" w:hAnsi="標楷體" w:hint="eastAsia"/>
          <w:szCs w:val="22"/>
        </w:rPr>
        <w:t>決定勝解所行境事</w:t>
      </w:r>
      <w:r w:rsidR="005060F1">
        <w:rPr>
          <w:rFonts w:ascii="標楷體" w:eastAsia="標楷體" w:hAnsi="標楷體" w:hint="eastAsia"/>
          <w:color w:val="FF0000"/>
          <w:kern w:val="0"/>
          <w:highlight w:val="yellow"/>
        </w:rPr>
        <w:t>。</w:t>
      </w:r>
      <w:r w:rsidRPr="00F640F4">
        <w:rPr>
          <w:rFonts w:ascii="標楷體" w:eastAsia="標楷體" w:hAnsi="標楷體" w:hint="eastAsia"/>
          <w:szCs w:val="22"/>
        </w:rPr>
        <w:t>一切世間從其本際展轉傳來，想自分別共所成立，不由思惟籌量觀察然後方取</w:t>
      </w:r>
      <w:r w:rsidR="005060F1">
        <w:rPr>
          <w:rFonts w:ascii="標楷體" w:eastAsia="標楷體" w:hAnsi="標楷體" w:hint="eastAsia"/>
          <w:color w:val="FF0000"/>
          <w:kern w:val="0"/>
          <w:highlight w:val="yellow"/>
        </w:rPr>
        <w:t>。</w:t>
      </w:r>
      <w:r w:rsidRPr="00F640F4">
        <w:rPr>
          <w:rFonts w:ascii="標楷體" w:eastAsia="標楷體" w:hAnsi="標楷體" w:hint="eastAsia"/>
          <w:szCs w:val="22"/>
        </w:rPr>
        <w:t>是名</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世間極成真實</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w:t>
      </w:r>
    </w:p>
    <w:p w:rsidR="008E4FB5" w:rsidRPr="00F640F4" w:rsidRDefault="008E4FB5" w:rsidP="00AE3920">
      <w:pPr>
        <w:pStyle w:val="a5"/>
        <w:spacing w:beforeLines="20" w:line="300" w:lineRule="exact"/>
        <w:ind w:leftChars="335" w:left="804"/>
        <w:jc w:val="both"/>
        <w:rPr>
          <w:rFonts w:ascii="標楷體" w:eastAsia="標楷體" w:hAnsi="標楷體"/>
          <w:szCs w:val="22"/>
        </w:rPr>
      </w:pPr>
      <w:r w:rsidRPr="00F640F4">
        <w:rPr>
          <w:rFonts w:ascii="標楷體" w:eastAsia="標楷體" w:hAnsi="標楷體" w:hint="eastAsia"/>
          <w:szCs w:val="22"/>
        </w:rPr>
        <w:t>云何</w:t>
      </w:r>
      <w:r w:rsidR="005060F1">
        <w:rPr>
          <w:rFonts w:ascii="標楷體" w:eastAsia="標楷體" w:hAnsi="標楷體" w:hint="eastAsia"/>
          <w:bCs/>
          <w:color w:val="FF0000"/>
          <w:kern w:val="0"/>
          <w:highlight w:val="yellow"/>
        </w:rPr>
        <w:t>「</w:t>
      </w:r>
      <w:r w:rsidRPr="00F640F4">
        <w:rPr>
          <w:rFonts w:ascii="標楷體" w:eastAsia="標楷體" w:hAnsi="標楷體" w:hint="eastAsia"/>
          <w:b/>
          <w:szCs w:val="22"/>
        </w:rPr>
        <w:t>道理極成真實</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？謂諸智者有道理義</w:t>
      </w:r>
      <w:r w:rsidR="005060F1">
        <w:rPr>
          <w:rFonts w:ascii="標楷體" w:eastAsia="標楷體" w:hAnsi="標楷體" w:hint="eastAsia"/>
          <w:color w:val="FF0000"/>
          <w:kern w:val="0"/>
          <w:highlight w:val="yellow"/>
        </w:rPr>
        <w:t>。</w:t>
      </w:r>
      <w:r w:rsidRPr="00F640F4">
        <w:rPr>
          <w:rFonts w:ascii="標楷體" w:eastAsia="標楷體" w:hAnsi="標楷體" w:hint="eastAsia"/>
          <w:szCs w:val="22"/>
        </w:rPr>
        <w:t>諸聰叡者、諸黠慧者、能尋思者、能伺察者、住尋伺地者、具自辯才者、居異生位者、隨觀察行者，依止</w:t>
      </w:r>
      <w:r w:rsidR="005060F1">
        <w:rPr>
          <w:rFonts w:ascii="標楷體" w:eastAsia="標楷體" w:hAnsi="標楷體" w:hint="eastAsia"/>
          <w:bCs/>
          <w:color w:val="FF0000"/>
          <w:kern w:val="0"/>
          <w:highlight w:val="yellow"/>
        </w:rPr>
        <w:t>「</w:t>
      </w:r>
      <w:r w:rsidR="005060F1">
        <w:rPr>
          <w:rFonts w:ascii="標楷體" w:eastAsia="標楷體" w:hAnsi="標楷體" w:hint="eastAsia"/>
          <w:color w:val="FF0000"/>
          <w:kern w:val="0"/>
          <w:highlight w:val="yellow"/>
        </w:rPr>
        <w:t>『</w:t>
      </w:r>
      <w:r w:rsidRPr="00F640F4">
        <w:rPr>
          <w:rFonts w:ascii="標楷體" w:eastAsia="標楷體" w:hAnsi="標楷體" w:hint="eastAsia"/>
          <w:szCs w:val="22"/>
        </w:rPr>
        <w:t>現、比及至教</w:t>
      </w:r>
      <w:r w:rsidR="005060F1">
        <w:rPr>
          <w:rFonts w:ascii="標楷體" w:eastAsia="標楷體" w:hAnsi="標楷體" w:hint="eastAsia"/>
          <w:color w:val="FF0000"/>
          <w:kern w:val="0"/>
          <w:highlight w:val="yellow"/>
        </w:rPr>
        <w:t>』</w:t>
      </w:r>
      <w:r w:rsidRPr="00F640F4">
        <w:rPr>
          <w:rFonts w:ascii="標楷體" w:eastAsia="標楷體" w:hAnsi="標楷體" w:hint="eastAsia"/>
          <w:szCs w:val="22"/>
        </w:rPr>
        <w:t>量</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極善思擇，決定智所行、所知事，由證成道理所建立、所施設義，是名</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道理極成真實</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w:t>
      </w:r>
    </w:p>
    <w:p w:rsidR="008E4FB5" w:rsidRPr="00F640F4" w:rsidRDefault="008E4FB5" w:rsidP="00AE3920">
      <w:pPr>
        <w:pStyle w:val="a5"/>
        <w:spacing w:beforeLines="20" w:line="300" w:lineRule="exact"/>
        <w:ind w:leftChars="335" w:left="804"/>
        <w:jc w:val="both"/>
        <w:rPr>
          <w:rFonts w:ascii="標楷體" w:eastAsia="標楷體" w:hAnsi="標楷體"/>
          <w:szCs w:val="22"/>
        </w:rPr>
      </w:pPr>
      <w:r w:rsidRPr="00F640F4">
        <w:rPr>
          <w:rFonts w:ascii="標楷體" w:eastAsia="標楷體" w:hAnsi="標楷體" w:hint="eastAsia"/>
          <w:szCs w:val="22"/>
        </w:rPr>
        <w:t>云何</w:t>
      </w:r>
      <w:r w:rsidR="005060F1">
        <w:rPr>
          <w:rFonts w:ascii="標楷體" w:eastAsia="標楷體" w:hAnsi="標楷體" w:hint="eastAsia"/>
          <w:bCs/>
          <w:color w:val="FF0000"/>
          <w:kern w:val="0"/>
          <w:highlight w:val="yellow"/>
        </w:rPr>
        <w:t>「</w:t>
      </w:r>
      <w:r w:rsidRPr="00F640F4">
        <w:rPr>
          <w:rFonts w:ascii="標楷體" w:eastAsia="標楷體" w:hAnsi="標楷體" w:hint="eastAsia"/>
          <w:b/>
          <w:szCs w:val="22"/>
        </w:rPr>
        <w:t>煩惱障淨智所行真實</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？謂一切聲聞、獨覺</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若無漏智、若能引無漏智、若無漏後得世間智</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所行境界，是名</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煩惱障淨智所行真實</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。由緣此為境，從</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煩惱障</w:t>
      </w:r>
      <w:r w:rsidR="005060F1">
        <w:rPr>
          <w:rFonts w:ascii="標楷體" w:eastAsia="標楷體" w:hAnsi="標楷體" w:hint="eastAsia"/>
          <w:bCs/>
          <w:color w:val="FF0000"/>
          <w:kern w:val="0"/>
          <w:highlight w:val="yellow"/>
        </w:rPr>
        <w:t>」</w:t>
      </w:r>
      <w:r w:rsidR="005060F1">
        <w:rPr>
          <w:rFonts w:ascii="標楷體" w:eastAsia="標楷體" w:hAnsi="標楷體" w:hint="eastAsia"/>
          <w:color w:val="FF0000"/>
          <w:kern w:val="0"/>
          <w:highlight w:val="yellow"/>
        </w:rPr>
        <w:t>，</w:t>
      </w:r>
      <w:r w:rsidRPr="00F640F4">
        <w:rPr>
          <w:rFonts w:ascii="標楷體" w:eastAsia="標楷體" w:hAnsi="標楷體" w:hint="eastAsia"/>
          <w:szCs w:val="22"/>
        </w:rPr>
        <w:t>智得清淨，於當來世無障礙住，是故說名</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煩惱障淨智所行真實</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。此復云何？謂</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四聖諦</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：一、苦聖諦，二、集聖諦，三、滅聖諦，四、道聖諦。即於如是四聖諦義，極善思擇</w:t>
      </w:r>
      <w:r w:rsidR="005060F1">
        <w:rPr>
          <w:rFonts w:ascii="標楷體" w:eastAsia="標楷體" w:hAnsi="標楷體" w:hint="eastAsia"/>
          <w:color w:val="FF0000"/>
          <w:kern w:val="0"/>
          <w:highlight w:val="yellow"/>
        </w:rPr>
        <w:t>，</w:t>
      </w:r>
      <w:r w:rsidRPr="00F640F4">
        <w:rPr>
          <w:rFonts w:ascii="標楷體" w:eastAsia="標楷體" w:hAnsi="標楷體" w:hint="eastAsia"/>
          <w:szCs w:val="22"/>
        </w:rPr>
        <w:t>證入現觀</w:t>
      </w:r>
      <w:r w:rsidR="005060F1">
        <w:rPr>
          <w:rFonts w:ascii="標楷體" w:eastAsia="標楷體" w:hAnsi="標楷體" w:hint="eastAsia"/>
          <w:color w:val="FF0000"/>
          <w:spacing w:val="-4"/>
          <w:kern w:val="0"/>
          <w:highlight w:val="yellow"/>
        </w:rPr>
        <w:t>；</w:t>
      </w:r>
      <w:r w:rsidRPr="00F640F4">
        <w:rPr>
          <w:rFonts w:ascii="標楷體" w:eastAsia="標楷體" w:hAnsi="標楷體" w:hint="eastAsia"/>
          <w:szCs w:val="22"/>
        </w:rPr>
        <w:t>入現觀已</w:t>
      </w:r>
      <w:r w:rsidR="005060F1">
        <w:rPr>
          <w:rFonts w:ascii="標楷體" w:eastAsia="標楷體" w:hAnsi="標楷體" w:hint="eastAsia"/>
          <w:color w:val="FF0000"/>
          <w:kern w:val="0"/>
          <w:highlight w:val="yellow"/>
        </w:rPr>
        <w:t>，</w:t>
      </w:r>
      <w:r w:rsidRPr="00F640F4">
        <w:rPr>
          <w:rFonts w:ascii="標楷體" w:eastAsia="標楷體" w:hAnsi="標楷體" w:hint="eastAsia"/>
          <w:szCs w:val="22"/>
        </w:rPr>
        <w:t>如實智生</w:t>
      </w:r>
      <w:r w:rsidR="005060F1">
        <w:rPr>
          <w:rFonts w:ascii="標楷體" w:eastAsia="標楷體" w:hAnsi="標楷體" w:hint="eastAsia"/>
          <w:color w:val="FF0000"/>
          <w:kern w:val="0"/>
          <w:highlight w:val="yellow"/>
        </w:rPr>
        <w:t>。</w:t>
      </w:r>
      <w:r w:rsidRPr="00F640F4">
        <w:rPr>
          <w:rFonts w:ascii="標楷體" w:eastAsia="標楷體" w:hAnsi="標楷體" w:hint="eastAsia"/>
          <w:szCs w:val="22"/>
        </w:rPr>
        <w:t>此諦現觀，聲聞、獨覺能觀</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唯有諸蘊可得</w:t>
      </w:r>
      <w:r w:rsidR="00242943">
        <w:rPr>
          <w:rFonts w:ascii="標楷體" w:eastAsia="標楷體" w:hAnsi="標楷體" w:hint="eastAsia"/>
          <w:color w:val="FF0000"/>
          <w:spacing w:val="-4"/>
          <w:kern w:val="0"/>
          <w:highlight w:val="yellow"/>
        </w:rPr>
        <w:t>；</w:t>
      </w:r>
      <w:r w:rsidRPr="00F640F4">
        <w:rPr>
          <w:rFonts w:ascii="標楷體" w:eastAsia="標楷體" w:hAnsi="標楷體" w:hint="eastAsia"/>
          <w:szCs w:val="22"/>
        </w:rPr>
        <w:t>除諸蘊外，</w:t>
      </w:r>
      <w:r w:rsidR="005060F1">
        <w:rPr>
          <w:rFonts w:ascii="標楷體" w:eastAsia="標楷體" w:hAnsi="標楷體" w:hint="eastAsia"/>
          <w:color w:val="FF0000"/>
          <w:kern w:val="0"/>
          <w:highlight w:val="yellow"/>
        </w:rPr>
        <w:t>『</w:t>
      </w:r>
      <w:r w:rsidRPr="00F640F4">
        <w:rPr>
          <w:rFonts w:ascii="標楷體" w:eastAsia="標楷體" w:hAnsi="標楷體" w:hint="eastAsia"/>
          <w:szCs w:val="22"/>
        </w:rPr>
        <w:t>我</w:t>
      </w:r>
      <w:r w:rsidR="005060F1">
        <w:rPr>
          <w:rFonts w:ascii="標楷體" w:eastAsia="標楷體" w:hAnsi="標楷體" w:hint="eastAsia"/>
          <w:color w:val="FF0000"/>
          <w:kern w:val="0"/>
          <w:highlight w:val="yellow"/>
        </w:rPr>
        <w:t>』</w:t>
      </w:r>
      <w:r w:rsidRPr="00F640F4">
        <w:rPr>
          <w:rFonts w:ascii="標楷體" w:eastAsia="標楷體" w:hAnsi="標楷體" w:hint="eastAsia"/>
          <w:szCs w:val="22"/>
        </w:rPr>
        <w:t>不可得</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，數習緣生諸行生滅相應慧故</w:t>
      </w:r>
      <w:r w:rsidR="005060F1">
        <w:rPr>
          <w:rFonts w:ascii="標楷體" w:eastAsia="標楷體" w:hAnsi="標楷體" w:hint="eastAsia"/>
          <w:color w:val="FF0000"/>
          <w:spacing w:val="-4"/>
          <w:kern w:val="0"/>
          <w:highlight w:val="yellow"/>
        </w:rPr>
        <w:t>、</w:t>
      </w:r>
      <w:r w:rsidRPr="00F640F4">
        <w:rPr>
          <w:rFonts w:ascii="標楷體" w:eastAsia="標楷體" w:hAnsi="標楷體" w:hint="eastAsia"/>
          <w:szCs w:val="22"/>
        </w:rPr>
        <w:t>數習異蘊補特伽羅無性見故，發生如是聖諦現觀。</w:t>
      </w:r>
    </w:p>
    <w:p w:rsidR="008E4FB5" w:rsidRPr="00412A9C" w:rsidRDefault="008E4FB5" w:rsidP="00AE3920">
      <w:pPr>
        <w:pStyle w:val="a5"/>
        <w:spacing w:beforeLines="20" w:line="300" w:lineRule="exact"/>
        <w:ind w:leftChars="335" w:left="804"/>
        <w:jc w:val="both"/>
        <w:rPr>
          <w:szCs w:val="22"/>
        </w:rPr>
      </w:pPr>
      <w:r w:rsidRPr="00F640F4">
        <w:rPr>
          <w:rFonts w:ascii="標楷體" w:eastAsia="標楷體" w:hAnsi="標楷體" w:hint="eastAsia"/>
          <w:szCs w:val="22"/>
        </w:rPr>
        <w:t>云何</w:t>
      </w:r>
      <w:r w:rsidR="005060F1">
        <w:rPr>
          <w:rFonts w:ascii="標楷體" w:eastAsia="標楷體" w:hAnsi="標楷體" w:hint="eastAsia"/>
          <w:bCs/>
          <w:color w:val="FF0000"/>
          <w:kern w:val="0"/>
          <w:highlight w:val="yellow"/>
        </w:rPr>
        <w:t>「</w:t>
      </w:r>
      <w:r w:rsidRPr="00F640F4">
        <w:rPr>
          <w:rFonts w:ascii="標楷體" w:eastAsia="標楷體" w:hAnsi="標楷體" w:hint="eastAsia"/>
          <w:b/>
          <w:szCs w:val="22"/>
        </w:rPr>
        <w:t>所知障淨智所行真實</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？謂於所知能礙智故名</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所知障</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。從</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所知障</w:t>
      </w:r>
      <w:r w:rsidR="005060F1">
        <w:rPr>
          <w:rFonts w:ascii="標楷體" w:eastAsia="標楷體" w:hAnsi="標楷體" w:hint="eastAsia"/>
          <w:bCs/>
          <w:color w:val="FF0000"/>
          <w:kern w:val="0"/>
          <w:highlight w:val="yellow"/>
        </w:rPr>
        <w:t>」</w:t>
      </w:r>
      <w:r w:rsidRPr="00F640F4">
        <w:rPr>
          <w:rFonts w:ascii="標楷體" w:eastAsia="標楷體" w:hAnsi="標楷體" w:hint="eastAsia"/>
          <w:szCs w:val="22"/>
        </w:rPr>
        <w:t>得解脫智所行</w:t>
      </w:r>
      <w:r w:rsidRPr="00412A9C">
        <w:rPr>
          <w:rFonts w:ascii="標楷體" w:eastAsia="標楷體" w:hAnsi="標楷體" w:hint="eastAsia"/>
          <w:szCs w:val="22"/>
        </w:rPr>
        <w:t>境界，當知是名</w:t>
      </w:r>
      <w:r w:rsidR="005060F1">
        <w:rPr>
          <w:rFonts w:ascii="標楷體" w:eastAsia="標楷體" w:hAnsi="標楷體" w:hint="eastAsia"/>
          <w:bCs/>
          <w:color w:val="FF0000"/>
          <w:kern w:val="0"/>
          <w:highlight w:val="yellow"/>
        </w:rPr>
        <w:t>「</w:t>
      </w:r>
      <w:r w:rsidRPr="00412A9C">
        <w:rPr>
          <w:rFonts w:ascii="標楷體" w:eastAsia="標楷體" w:hAnsi="標楷體" w:hint="eastAsia"/>
          <w:szCs w:val="22"/>
        </w:rPr>
        <w:t>所知障淨智所行真實</w:t>
      </w:r>
      <w:r w:rsidR="005060F1">
        <w:rPr>
          <w:rFonts w:ascii="標楷體" w:eastAsia="標楷體" w:hAnsi="標楷體" w:hint="eastAsia"/>
          <w:bCs/>
          <w:color w:val="FF0000"/>
          <w:kern w:val="0"/>
          <w:highlight w:val="yellow"/>
        </w:rPr>
        <w:t>」</w:t>
      </w:r>
      <w:r w:rsidRPr="00412A9C">
        <w:rPr>
          <w:rFonts w:ascii="標楷體" w:eastAsia="標楷體" w:hAnsi="標楷體" w:hint="eastAsia"/>
          <w:szCs w:val="22"/>
        </w:rPr>
        <w:t>。此復云何？謂諸菩薩、諸佛世尊入</w:t>
      </w:r>
      <w:r w:rsidR="005060F1">
        <w:rPr>
          <w:rFonts w:ascii="標楷體" w:eastAsia="標楷體" w:hAnsi="標楷體" w:hint="eastAsia"/>
          <w:bCs/>
          <w:color w:val="FF0000"/>
          <w:kern w:val="0"/>
          <w:highlight w:val="yellow"/>
        </w:rPr>
        <w:t>「</w:t>
      </w:r>
      <w:r w:rsidRPr="00412A9C">
        <w:rPr>
          <w:rFonts w:ascii="標楷體" w:eastAsia="標楷體" w:hAnsi="標楷體" w:hint="eastAsia"/>
          <w:szCs w:val="22"/>
        </w:rPr>
        <w:t>法無我</w:t>
      </w:r>
      <w:r w:rsidR="005060F1">
        <w:rPr>
          <w:rFonts w:ascii="標楷體" w:eastAsia="標楷體" w:hAnsi="標楷體" w:hint="eastAsia"/>
          <w:bCs/>
          <w:color w:val="FF0000"/>
          <w:kern w:val="0"/>
          <w:highlight w:val="yellow"/>
        </w:rPr>
        <w:t>」</w:t>
      </w:r>
      <w:r w:rsidR="005060F1">
        <w:rPr>
          <w:rFonts w:ascii="標楷體" w:eastAsia="標楷體" w:hAnsi="標楷體" w:hint="eastAsia"/>
          <w:color w:val="FF0000"/>
          <w:spacing w:val="-4"/>
          <w:kern w:val="0"/>
          <w:highlight w:val="yellow"/>
        </w:rPr>
        <w:t>；</w:t>
      </w:r>
      <w:r w:rsidRPr="00412A9C">
        <w:rPr>
          <w:rFonts w:ascii="標楷體" w:eastAsia="標楷體" w:hAnsi="標楷體" w:hint="eastAsia"/>
          <w:szCs w:val="22"/>
        </w:rPr>
        <w:t>入已善淨</w:t>
      </w:r>
      <w:r w:rsidR="005060F1">
        <w:rPr>
          <w:rFonts w:ascii="標楷體" w:eastAsia="標楷體" w:hAnsi="標楷體" w:hint="eastAsia"/>
          <w:color w:val="FF0000"/>
          <w:kern w:val="0"/>
          <w:highlight w:val="yellow"/>
        </w:rPr>
        <w:t>，</w:t>
      </w:r>
      <w:r w:rsidRPr="00412A9C">
        <w:rPr>
          <w:rFonts w:ascii="標楷體" w:eastAsia="標楷體" w:hAnsi="標楷體" w:hint="eastAsia"/>
          <w:szCs w:val="22"/>
        </w:rPr>
        <w:t>於一切法</w:t>
      </w:r>
      <w:r w:rsidR="005060F1">
        <w:rPr>
          <w:rFonts w:ascii="標楷體" w:eastAsia="標楷體" w:hAnsi="標楷體" w:hint="eastAsia"/>
          <w:bCs/>
          <w:color w:val="FF0000"/>
          <w:kern w:val="0"/>
          <w:highlight w:val="yellow"/>
        </w:rPr>
        <w:t>「</w:t>
      </w:r>
      <w:r w:rsidRPr="00412A9C">
        <w:rPr>
          <w:rFonts w:ascii="標楷體" w:eastAsia="標楷體" w:hAnsi="標楷體" w:hint="eastAsia"/>
          <w:szCs w:val="22"/>
        </w:rPr>
        <w:t>離言自性、假說自性</w:t>
      </w:r>
      <w:r w:rsidR="005060F1">
        <w:rPr>
          <w:rFonts w:ascii="標楷體" w:eastAsia="標楷體" w:hAnsi="標楷體" w:hint="eastAsia"/>
          <w:bCs/>
          <w:color w:val="FF0000"/>
          <w:kern w:val="0"/>
          <w:highlight w:val="yellow"/>
        </w:rPr>
        <w:t>」</w:t>
      </w:r>
      <w:r w:rsidRPr="00412A9C">
        <w:rPr>
          <w:rFonts w:ascii="標楷體" w:eastAsia="標楷體" w:hAnsi="標楷體" w:hint="eastAsia"/>
          <w:szCs w:val="22"/>
        </w:rPr>
        <w:t>平等平等無分別智所行境界，如是境界為最第一</w:t>
      </w:r>
      <w:r w:rsidR="005060F1">
        <w:rPr>
          <w:rFonts w:ascii="標楷體" w:eastAsia="標楷體" w:hAnsi="標楷體" w:hint="eastAsia"/>
          <w:color w:val="FF0000"/>
          <w:spacing w:val="-4"/>
          <w:kern w:val="0"/>
          <w:highlight w:val="yellow"/>
        </w:rPr>
        <w:t>、</w:t>
      </w:r>
      <w:r w:rsidRPr="00412A9C">
        <w:rPr>
          <w:rFonts w:ascii="標楷體" w:eastAsia="標楷體" w:hAnsi="標楷體" w:hint="eastAsia"/>
          <w:szCs w:val="22"/>
        </w:rPr>
        <w:t>真如</w:t>
      </w:r>
      <w:r w:rsidR="005060F1">
        <w:rPr>
          <w:rFonts w:ascii="標楷體" w:eastAsia="標楷體" w:hAnsi="標楷體" w:hint="eastAsia"/>
          <w:color w:val="FF0000"/>
          <w:spacing w:val="-4"/>
          <w:kern w:val="0"/>
          <w:highlight w:val="yellow"/>
        </w:rPr>
        <w:t>、</w:t>
      </w:r>
      <w:r w:rsidRPr="00412A9C">
        <w:rPr>
          <w:rFonts w:ascii="標楷體" w:eastAsia="標楷體" w:hAnsi="標楷體" w:hint="eastAsia"/>
          <w:szCs w:val="22"/>
        </w:rPr>
        <w:t>無上</w:t>
      </w:r>
      <w:r w:rsidR="005060F1">
        <w:rPr>
          <w:rFonts w:ascii="標楷體" w:eastAsia="標楷體" w:hAnsi="標楷體" w:hint="eastAsia"/>
          <w:color w:val="FF0000"/>
          <w:spacing w:val="-4"/>
          <w:kern w:val="0"/>
          <w:highlight w:val="yellow"/>
        </w:rPr>
        <w:t>、</w:t>
      </w:r>
      <w:r w:rsidRPr="00412A9C">
        <w:rPr>
          <w:rFonts w:ascii="標楷體" w:eastAsia="標楷體" w:hAnsi="標楷體" w:hint="eastAsia"/>
          <w:szCs w:val="22"/>
        </w:rPr>
        <w:t>所知邊際</w:t>
      </w:r>
      <w:r w:rsidR="00BB2EA6">
        <w:rPr>
          <w:rFonts w:ascii="標楷體" w:eastAsia="標楷體" w:hAnsi="標楷體" w:hint="eastAsia"/>
          <w:color w:val="FF0000"/>
          <w:spacing w:val="-4"/>
          <w:kern w:val="0"/>
          <w:highlight w:val="yellow"/>
        </w:rPr>
        <w:t>；</w:t>
      </w:r>
      <w:r w:rsidRPr="00412A9C">
        <w:rPr>
          <w:rFonts w:ascii="標楷體" w:eastAsia="標楷體" w:hAnsi="標楷體" w:hint="eastAsia"/>
          <w:szCs w:val="22"/>
        </w:rPr>
        <w:t>齊此</w:t>
      </w:r>
      <w:r w:rsidR="005060F1">
        <w:rPr>
          <w:rFonts w:ascii="標楷體" w:eastAsia="標楷體" w:hAnsi="標楷體" w:hint="eastAsia"/>
          <w:color w:val="FF0000"/>
          <w:kern w:val="0"/>
          <w:highlight w:val="yellow"/>
        </w:rPr>
        <w:t>，</w:t>
      </w:r>
      <w:r w:rsidRPr="00412A9C">
        <w:rPr>
          <w:rFonts w:ascii="標楷體" w:eastAsia="標楷體" w:hAnsi="標楷體" w:hint="eastAsia"/>
          <w:szCs w:val="22"/>
        </w:rPr>
        <w:t>一切正法思擇皆悉退還</w:t>
      </w:r>
      <w:r w:rsidR="005060F1">
        <w:rPr>
          <w:rFonts w:ascii="標楷體" w:eastAsia="標楷體" w:hAnsi="標楷體" w:hint="eastAsia"/>
          <w:color w:val="FF0000"/>
          <w:kern w:val="0"/>
          <w:highlight w:val="yellow"/>
        </w:rPr>
        <w:t>，</w:t>
      </w:r>
      <w:r w:rsidRPr="00412A9C">
        <w:rPr>
          <w:rFonts w:ascii="標楷體" w:eastAsia="標楷體" w:hAnsi="標楷體" w:hint="eastAsia"/>
          <w:szCs w:val="22"/>
        </w:rPr>
        <w:t>不能越度。</w:t>
      </w:r>
    </w:p>
  </w:footnote>
  <w:footnote w:id="907">
    <w:p w:rsidR="00157EF6" w:rsidRPr="00412A9C" w:rsidRDefault="00157EF6" w:rsidP="00AA120F">
      <w:pPr>
        <w:pStyle w:val="a5"/>
        <w:spacing w:line="0" w:lineRule="atLeast"/>
        <w:ind w:left="253" w:hangingChars="115" w:hanging="253"/>
        <w:jc w:val="both"/>
        <w:rPr>
          <w:szCs w:val="22"/>
          <w:lang w:eastAsia="zh-HK"/>
        </w:rPr>
      </w:pPr>
      <w:r w:rsidRPr="00412A9C">
        <w:rPr>
          <w:rStyle w:val="a6"/>
          <w:szCs w:val="22"/>
        </w:rPr>
        <w:footnoteRef/>
      </w:r>
      <w:r w:rsidRPr="00412A9C">
        <w:rPr>
          <w:rFonts w:hint="eastAsia"/>
          <w:szCs w:val="22"/>
        </w:rPr>
        <w:t xml:space="preserve"> </w:t>
      </w:r>
      <w:r w:rsidRPr="00837CED">
        <w:rPr>
          <w:szCs w:val="22"/>
        </w:rPr>
        <w:t>相成</w:t>
      </w:r>
      <w:r w:rsidRPr="00412A9C">
        <w:rPr>
          <w:rFonts w:hint="eastAsia"/>
          <w:szCs w:val="22"/>
        </w:rPr>
        <w:t>：</w:t>
      </w:r>
      <w:r w:rsidRPr="00412A9C">
        <w:rPr>
          <w:szCs w:val="22"/>
        </w:rPr>
        <w:t>互相補充，互相成全。（《漢語大詞典》</w:t>
      </w:r>
      <w:r w:rsidRPr="00412A9C">
        <w:rPr>
          <w:rFonts w:hint="eastAsia"/>
          <w:szCs w:val="22"/>
        </w:rPr>
        <w:t>（七）</w:t>
      </w:r>
      <w:r w:rsidRPr="00412A9C">
        <w:rPr>
          <w:szCs w:val="22"/>
        </w:rPr>
        <w:t>，</w:t>
      </w:r>
      <w:r w:rsidRPr="00761EF3">
        <w:rPr>
          <w:szCs w:val="22"/>
        </w:rPr>
        <w:t>p</w:t>
      </w:r>
      <w:r w:rsidRPr="00412A9C">
        <w:rPr>
          <w:szCs w:val="22"/>
        </w:rPr>
        <w:t>.</w:t>
      </w:r>
      <w:r w:rsidRPr="00761EF3">
        <w:rPr>
          <w:szCs w:val="22"/>
        </w:rPr>
        <w:t>1140</w:t>
      </w:r>
      <w:r w:rsidRPr="00412A9C">
        <w:rPr>
          <w:szCs w:val="22"/>
        </w:rPr>
        <w:t>）</w:t>
      </w:r>
    </w:p>
  </w:footnote>
  <w:footnote w:id="908">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rFonts w:hint="eastAsia"/>
          <w:szCs w:val="22"/>
        </w:rPr>
        <w:t xml:space="preserve"> </w:t>
      </w:r>
      <w:r w:rsidRPr="00412A9C">
        <w:rPr>
          <w:szCs w:val="22"/>
        </w:rPr>
        <w:t>印順法師，</w:t>
      </w:r>
      <w:r w:rsidRPr="00412A9C">
        <w:rPr>
          <w:rFonts w:hint="eastAsia"/>
          <w:szCs w:val="22"/>
        </w:rPr>
        <w:t>《佛法是救世之光》，</w:t>
      </w:r>
      <w:r w:rsidRPr="00761EF3">
        <w:rPr>
          <w:rFonts w:hint="eastAsia"/>
          <w:szCs w:val="22"/>
        </w:rPr>
        <w:t>pp</w:t>
      </w:r>
      <w:r w:rsidRPr="00412A9C">
        <w:rPr>
          <w:rFonts w:hint="eastAsia"/>
          <w:szCs w:val="22"/>
        </w:rPr>
        <w:t>.</w:t>
      </w:r>
      <w:r w:rsidRPr="00761EF3">
        <w:rPr>
          <w:rFonts w:hint="eastAsia"/>
          <w:szCs w:val="22"/>
        </w:rPr>
        <w:t>197</w:t>
      </w:r>
      <w:r w:rsidRPr="00412A9C">
        <w:rPr>
          <w:rFonts w:hint="eastAsia"/>
          <w:szCs w:val="22"/>
        </w:rPr>
        <w:t>-</w:t>
      </w:r>
      <w:r w:rsidRPr="00761EF3">
        <w:rPr>
          <w:rFonts w:hint="eastAsia"/>
          <w:szCs w:val="22"/>
        </w:rPr>
        <w:t>198</w:t>
      </w:r>
      <w:r w:rsidRPr="00412A9C">
        <w:rPr>
          <w:rFonts w:hint="eastAsia"/>
          <w:szCs w:val="22"/>
        </w:rPr>
        <w:t>：</w:t>
      </w:r>
    </w:p>
    <w:p w:rsidR="00157EF6" w:rsidRPr="00412A9C" w:rsidRDefault="00157EF6" w:rsidP="00AA120F">
      <w:pPr>
        <w:pStyle w:val="a5"/>
        <w:ind w:leftChars="105" w:left="252"/>
        <w:jc w:val="both"/>
        <w:rPr>
          <w:rFonts w:eastAsia="標楷體"/>
          <w:szCs w:val="22"/>
        </w:rPr>
      </w:pPr>
      <w:r w:rsidRPr="00412A9C">
        <w:rPr>
          <w:rFonts w:ascii="標楷體" w:eastAsia="標楷體" w:hAnsi="標楷體" w:hint="eastAsia"/>
          <w:szCs w:val="22"/>
        </w:rPr>
        <w:t>修證的主要目標，正是即「色」觀「空」而契入「空相」。在沒有契入「空相」以前，也說不上即色即空的妙悟。所以觀「空」而契入「空相」，就是轉迷為悟，轉凡成聖的關棙所在。《般若經》說：「慧眼於一切法都無所見。」《金剛經》說：「若見諸相非相，即見如來。」唯識宗所傳：</w:t>
      </w:r>
      <w:r w:rsidRPr="00412A9C">
        <w:rPr>
          <w:rFonts w:ascii="標楷體" w:eastAsia="標楷體" w:hAnsi="標楷體" w:hint="eastAsia"/>
          <w:b/>
          <w:szCs w:val="22"/>
        </w:rPr>
        <w:t>根本智證真如，是泯絕眾相的。</w:t>
      </w:r>
      <w:r w:rsidRPr="00412A9C">
        <w:rPr>
          <w:rFonts w:ascii="標楷體" w:eastAsia="標楷體" w:hAnsi="標楷體" w:hint="eastAsia"/>
          <w:szCs w:val="22"/>
        </w:rPr>
        <w:t>聖者的現證，突破生死關的根本一著，就在這裡。《密嚴經》說：「非不見真如，而能了諸行，皆如幻事等，雖有而非真。」不同於世俗所見的諸行（五蘊）如幻，是要透過這根本一著──證悟真空，而後逐漸達到的。所以</w:t>
      </w:r>
      <w:r w:rsidRPr="00412A9C">
        <w:rPr>
          <w:rFonts w:ascii="標楷體" w:eastAsia="標楷體" w:hAnsi="標楷體" w:hint="eastAsia"/>
          <w:b/>
          <w:szCs w:val="22"/>
        </w:rPr>
        <w:t>根本智（般若）證真</w:t>
      </w:r>
      <w:r w:rsidRPr="00412A9C">
        <w:rPr>
          <w:rFonts w:ascii="標楷體" w:eastAsia="標楷體" w:hAnsi="標楷體" w:hint="eastAsia"/>
          <w:szCs w:val="22"/>
        </w:rPr>
        <w:t>，</w:t>
      </w:r>
      <w:r w:rsidRPr="00412A9C">
        <w:rPr>
          <w:rFonts w:ascii="標楷體" w:eastAsia="標楷體" w:hAnsi="標楷體" w:hint="eastAsia"/>
          <w:b/>
          <w:szCs w:val="22"/>
        </w:rPr>
        <w:t>方便（後得智）達俗</w:t>
      </w:r>
      <w:r w:rsidRPr="00412A9C">
        <w:rPr>
          <w:rFonts w:ascii="標楷體" w:eastAsia="標楷體" w:hAnsi="標楷體" w:hint="eastAsia"/>
          <w:szCs w:val="22"/>
        </w:rPr>
        <w:t>，方便是般若的妙用，是般若成就以後所引發的。論理，方便不異般若，即般若的妙用。</w:t>
      </w:r>
    </w:p>
  </w:footnote>
  <w:footnote w:id="909">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姑：</w:t>
      </w:r>
      <w:r w:rsidRPr="00761EF3">
        <w:rPr>
          <w:rFonts w:hint="eastAsia"/>
          <w:szCs w:val="22"/>
        </w:rPr>
        <w:t>6</w:t>
      </w:r>
      <w:r w:rsidRPr="00412A9C">
        <w:rPr>
          <w:rFonts w:hint="eastAsia"/>
          <w:szCs w:val="22"/>
        </w:rPr>
        <w:t>.</w:t>
      </w:r>
      <w:r w:rsidRPr="00412A9C">
        <w:rPr>
          <w:rFonts w:hint="eastAsia"/>
          <w:szCs w:val="22"/>
        </w:rPr>
        <w:t>姑且，暫且。</w:t>
      </w:r>
      <w:r w:rsidRPr="00412A9C">
        <w:rPr>
          <w:szCs w:val="22"/>
        </w:rPr>
        <w:t>（《漢語大詞典》</w:t>
      </w:r>
      <w:r w:rsidRPr="00412A9C">
        <w:rPr>
          <w:rFonts w:hint="eastAsia"/>
          <w:szCs w:val="22"/>
        </w:rPr>
        <w:t>（四）</w:t>
      </w:r>
      <w:r w:rsidRPr="00412A9C">
        <w:rPr>
          <w:szCs w:val="22"/>
        </w:rPr>
        <w:t>，</w:t>
      </w:r>
      <w:r w:rsidRPr="00761EF3">
        <w:rPr>
          <w:szCs w:val="22"/>
        </w:rPr>
        <w:t>p</w:t>
      </w:r>
      <w:r w:rsidRPr="00412A9C">
        <w:rPr>
          <w:szCs w:val="22"/>
        </w:rPr>
        <w:t>.</w:t>
      </w:r>
      <w:r w:rsidRPr="00761EF3">
        <w:rPr>
          <w:szCs w:val="22"/>
        </w:rPr>
        <w:t>3</w:t>
      </w:r>
      <w:r w:rsidRPr="00761EF3">
        <w:rPr>
          <w:rFonts w:hint="eastAsia"/>
          <w:szCs w:val="22"/>
        </w:rPr>
        <w:t>15</w:t>
      </w:r>
      <w:r w:rsidRPr="00412A9C">
        <w:rPr>
          <w:szCs w:val="22"/>
        </w:rPr>
        <w:t>）</w:t>
      </w:r>
    </w:p>
  </w:footnote>
  <w:footnote w:id="910">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szCs w:val="22"/>
        </w:rPr>
        <w:t>玄談：</w:t>
      </w:r>
      <w:r w:rsidRPr="00761EF3">
        <w:rPr>
          <w:szCs w:val="22"/>
        </w:rPr>
        <w:t>2</w:t>
      </w:r>
      <w:r w:rsidRPr="00412A9C">
        <w:rPr>
          <w:szCs w:val="22"/>
        </w:rPr>
        <w:t>.</w:t>
      </w:r>
      <w:r w:rsidRPr="00412A9C">
        <w:rPr>
          <w:szCs w:val="22"/>
        </w:rPr>
        <w:t>泛指脫離實際的空論。（《漢語大詞典》</w:t>
      </w:r>
      <w:r w:rsidRPr="00412A9C">
        <w:rPr>
          <w:rFonts w:hint="eastAsia"/>
          <w:szCs w:val="22"/>
        </w:rPr>
        <w:t>（二）</w:t>
      </w:r>
      <w:r w:rsidRPr="00412A9C">
        <w:rPr>
          <w:szCs w:val="22"/>
        </w:rPr>
        <w:t>，</w:t>
      </w:r>
      <w:r w:rsidRPr="00761EF3">
        <w:rPr>
          <w:szCs w:val="22"/>
        </w:rPr>
        <w:t>p</w:t>
      </w:r>
      <w:r w:rsidRPr="00412A9C">
        <w:rPr>
          <w:szCs w:val="22"/>
        </w:rPr>
        <w:t>.</w:t>
      </w:r>
      <w:r w:rsidRPr="00761EF3">
        <w:rPr>
          <w:szCs w:val="22"/>
        </w:rPr>
        <w:t>322</w:t>
      </w:r>
      <w:r w:rsidRPr="00412A9C">
        <w:rPr>
          <w:szCs w:val="22"/>
        </w:rPr>
        <w:t>）</w:t>
      </w:r>
    </w:p>
  </w:footnote>
  <w:footnote w:id="911">
    <w:p w:rsidR="00157EF6" w:rsidRPr="00412A9C" w:rsidRDefault="00157EF6" w:rsidP="009E0A5A">
      <w:pPr>
        <w:pStyle w:val="a5"/>
        <w:ind w:left="187" w:hangingChars="85" w:hanging="187"/>
        <w:jc w:val="both"/>
        <w:rPr>
          <w:szCs w:val="22"/>
        </w:rPr>
      </w:pPr>
      <w:r w:rsidRPr="00412A9C">
        <w:rPr>
          <w:rStyle w:val="a6"/>
          <w:szCs w:val="22"/>
        </w:rPr>
        <w:footnoteRef/>
      </w:r>
      <w:r>
        <w:rPr>
          <w:rFonts w:hint="eastAsia"/>
          <w:szCs w:val="22"/>
        </w:rPr>
        <w:t xml:space="preserve"> </w:t>
      </w:r>
      <w:r w:rsidRPr="000E6EA9">
        <w:rPr>
          <w:rFonts w:hint="eastAsia"/>
          <w:szCs w:val="22"/>
        </w:rPr>
        <w:t>「</w:t>
      </w:r>
      <w:r w:rsidRPr="000E6EA9">
        <w:rPr>
          <w:rFonts w:hint="eastAsia"/>
          <w:spacing w:val="-2"/>
          <w:szCs w:val="22"/>
        </w:rPr>
        <w:t>究竟的中道二諦」</w:t>
      </w:r>
      <w:r w:rsidRPr="000E6EA9">
        <w:rPr>
          <w:spacing w:val="-2"/>
          <w:szCs w:val="22"/>
        </w:rPr>
        <w:t>是指</w:t>
      </w:r>
      <w:r w:rsidRPr="000E6EA9">
        <w:rPr>
          <w:rFonts w:hint="eastAsia"/>
          <w:spacing w:val="-2"/>
          <w:szCs w:val="22"/>
        </w:rPr>
        <w:t>第</w:t>
      </w:r>
      <w:r w:rsidRPr="000E6EA9">
        <w:rPr>
          <w:rFonts w:hint="eastAsia"/>
          <w:spacing w:val="-2"/>
          <w:szCs w:val="22"/>
        </w:rPr>
        <w:t>10</w:t>
      </w:r>
      <w:r w:rsidRPr="000E6EA9">
        <w:rPr>
          <w:rFonts w:hint="eastAsia"/>
          <w:spacing w:val="-2"/>
          <w:szCs w:val="22"/>
        </w:rPr>
        <w:t>章</w:t>
      </w:r>
      <w:r w:rsidR="00745F34">
        <w:rPr>
          <w:rFonts w:hint="eastAsia"/>
          <w:spacing w:val="-2"/>
          <w:szCs w:val="22"/>
        </w:rPr>
        <w:t>＿</w:t>
      </w:r>
      <w:r w:rsidRPr="000E6EA9">
        <w:rPr>
          <w:rFonts w:hint="eastAsia"/>
          <w:spacing w:val="-2"/>
          <w:szCs w:val="22"/>
        </w:rPr>
        <w:t>第</w:t>
      </w:r>
      <w:r w:rsidRPr="000E6EA9">
        <w:rPr>
          <w:rFonts w:hint="eastAsia"/>
          <w:spacing w:val="-2"/>
          <w:szCs w:val="22"/>
        </w:rPr>
        <w:t>1</w:t>
      </w:r>
      <w:r w:rsidRPr="000E6EA9">
        <w:rPr>
          <w:spacing w:val="-2"/>
          <w:szCs w:val="22"/>
        </w:rPr>
        <w:t>節所說的</w:t>
      </w:r>
      <w:r w:rsidRPr="000E6EA9">
        <w:rPr>
          <w:rFonts w:hint="eastAsia"/>
          <w:spacing w:val="-2"/>
          <w:szCs w:val="22"/>
        </w:rPr>
        <w:t>「妙有真空二諦」（</w:t>
      </w:r>
      <w:r w:rsidRPr="000E6EA9">
        <w:rPr>
          <w:rFonts w:hint="eastAsia"/>
          <w:spacing w:val="-2"/>
          <w:szCs w:val="22"/>
        </w:rPr>
        <w:t>pp.210-211</w:t>
      </w:r>
      <w:r w:rsidRPr="000E6EA9">
        <w:rPr>
          <w:rFonts w:hint="eastAsia"/>
          <w:spacing w:val="-2"/>
          <w:szCs w:val="22"/>
        </w:rPr>
        <w:t>），</w:t>
      </w:r>
      <w:r w:rsidRPr="00412A9C">
        <w:rPr>
          <w:rFonts w:ascii="新細明體" w:hAnsi="新細明體"/>
          <w:szCs w:val="22"/>
        </w:rPr>
        <w:t>「前前</w:t>
      </w:r>
      <w:r w:rsidRPr="00412A9C">
        <w:rPr>
          <w:rFonts w:ascii="新細明體" w:hAnsi="新細明體" w:hint="eastAsia"/>
          <w:szCs w:val="22"/>
        </w:rPr>
        <w:t>的</w:t>
      </w:r>
      <w:r w:rsidRPr="00412A9C">
        <w:rPr>
          <w:rFonts w:ascii="新細明體" w:hAnsi="新細明體"/>
          <w:szCs w:val="22"/>
        </w:rPr>
        <w:t>二諦</w:t>
      </w:r>
      <w:r w:rsidRPr="00412A9C">
        <w:rPr>
          <w:szCs w:val="22"/>
        </w:rPr>
        <w:t>」</w:t>
      </w:r>
      <w:r w:rsidRPr="00412A9C">
        <w:rPr>
          <w:rFonts w:hint="eastAsia"/>
          <w:szCs w:val="22"/>
        </w:rPr>
        <w:t>是指</w:t>
      </w:r>
      <w:r w:rsidRPr="00412A9C">
        <w:rPr>
          <w:szCs w:val="22"/>
        </w:rPr>
        <w:t>「實有真空二諦」與「幻有真空二諦」</w:t>
      </w:r>
      <w:r w:rsidRPr="00412A9C">
        <w:rPr>
          <w:rFonts w:hint="eastAsia"/>
          <w:szCs w:val="22"/>
        </w:rPr>
        <w:t>（</w:t>
      </w:r>
      <w:r w:rsidRPr="00761EF3">
        <w:rPr>
          <w:rFonts w:hint="eastAsia"/>
          <w:szCs w:val="22"/>
        </w:rPr>
        <w:t>pp</w:t>
      </w:r>
      <w:r w:rsidRPr="00412A9C">
        <w:rPr>
          <w:rFonts w:hint="eastAsia"/>
          <w:szCs w:val="22"/>
        </w:rPr>
        <w:t>.</w:t>
      </w:r>
      <w:r w:rsidRPr="00761EF3">
        <w:rPr>
          <w:rFonts w:hint="eastAsia"/>
          <w:szCs w:val="22"/>
        </w:rPr>
        <w:t>208</w:t>
      </w:r>
      <w:r w:rsidRPr="00412A9C">
        <w:rPr>
          <w:rFonts w:hint="eastAsia"/>
          <w:szCs w:val="22"/>
        </w:rPr>
        <w:t>-</w:t>
      </w:r>
      <w:r w:rsidRPr="00761EF3">
        <w:rPr>
          <w:rFonts w:hint="eastAsia"/>
          <w:szCs w:val="22"/>
        </w:rPr>
        <w:t>210</w:t>
      </w:r>
      <w:r w:rsidRPr="00412A9C">
        <w:rPr>
          <w:rFonts w:hint="eastAsia"/>
          <w:szCs w:val="22"/>
        </w:rPr>
        <w:t>）</w:t>
      </w:r>
      <w:r w:rsidRPr="00412A9C">
        <w:rPr>
          <w:szCs w:val="22"/>
        </w:rPr>
        <w:t>。</w:t>
      </w:r>
    </w:p>
  </w:footnote>
  <w:footnote w:id="912">
    <w:p w:rsidR="00157EF6" w:rsidRPr="00412A9C" w:rsidRDefault="00157EF6" w:rsidP="00AA120F">
      <w:pPr>
        <w:pStyle w:val="a5"/>
        <w:ind w:left="187" w:hangingChars="85" w:hanging="187"/>
        <w:jc w:val="both"/>
        <w:rPr>
          <w:szCs w:val="22"/>
        </w:rPr>
      </w:pPr>
      <w:r w:rsidRPr="00412A9C">
        <w:rPr>
          <w:rStyle w:val="a6"/>
          <w:szCs w:val="22"/>
        </w:rPr>
        <w:footnoteRef/>
      </w:r>
      <w:r w:rsidRPr="00412A9C">
        <w:rPr>
          <w:szCs w:val="22"/>
        </w:rPr>
        <w:t xml:space="preserve"> </w:t>
      </w:r>
      <w:r w:rsidRPr="00412A9C">
        <w:rPr>
          <w:szCs w:val="22"/>
        </w:rPr>
        <w:t>株守：</w:t>
      </w:r>
      <w:r w:rsidRPr="000550C6">
        <w:rPr>
          <w:szCs w:val="22"/>
        </w:rPr>
        <w:t>比喻</w:t>
      </w:r>
      <w:r w:rsidRPr="00412A9C">
        <w:rPr>
          <w:szCs w:val="22"/>
        </w:rPr>
        <w:t>拘泥守舊，不知變通。（《漢語大詞典》（四），</w:t>
      </w:r>
      <w:r w:rsidRPr="00761EF3">
        <w:rPr>
          <w:szCs w:val="22"/>
        </w:rPr>
        <w:t>p</w:t>
      </w:r>
      <w:r w:rsidRPr="00412A9C">
        <w:rPr>
          <w:szCs w:val="22"/>
        </w:rPr>
        <w:t>.</w:t>
      </w:r>
      <w:r w:rsidRPr="00761EF3">
        <w:rPr>
          <w:szCs w:val="22"/>
        </w:rPr>
        <w:t>975</w:t>
      </w:r>
      <w:r w:rsidRPr="00412A9C">
        <w:rPr>
          <w:szCs w:val="22"/>
        </w:rPr>
        <w:t>）</w:t>
      </w:r>
    </w:p>
  </w:footnote>
  <w:footnote w:id="913">
    <w:p w:rsidR="00157EF6" w:rsidRPr="00412A9C" w:rsidRDefault="00157EF6" w:rsidP="00AA120F">
      <w:pPr>
        <w:pStyle w:val="a5"/>
        <w:ind w:left="187" w:hangingChars="85" w:hanging="187"/>
        <w:jc w:val="both"/>
        <w:rPr>
          <w:szCs w:val="22"/>
        </w:rPr>
      </w:pPr>
      <w:r w:rsidRPr="00412A9C">
        <w:rPr>
          <w:rStyle w:val="a6"/>
          <w:szCs w:val="22"/>
        </w:rPr>
        <w:footnoteRef/>
      </w:r>
      <w:r w:rsidRPr="00412A9C">
        <w:rPr>
          <w:rFonts w:hint="eastAsia"/>
          <w:szCs w:val="22"/>
        </w:rPr>
        <w:t xml:space="preserve"> </w:t>
      </w:r>
      <w:r w:rsidRPr="00412A9C">
        <w:rPr>
          <w:szCs w:val="22"/>
        </w:rPr>
        <w:t>「第一種二諦」，指「實有真空二諦」。</w:t>
      </w:r>
    </w:p>
  </w:footnote>
  <w:footnote w:id="914">
    <w:p w:rsidR="00157EF6" w:rsidRPr="00412A9C" w:rsidRDefault="00157EF6" w:rsidP="00AA120F">
      <w:pPr>
        <w:pStyle w:val="a5"/>
        <w:ind w:left="187" w:hangingChars="85" w:hanging="187"/>
        <w:jc w:val="both"/>
        <w:rPr>
          <w:szCs w:val="22"/>
        </w:rPr>
      </w:pPr>
      <w:r w:rsidRPr="00412A9C">
        <w:rPr>
          <w:rStyle w:val="a6"/>
          <w:szCs w:val="22"/>
        </w:rPr>
        <w:footnoteRef/>
      </w:r>
      <w:r w:rsidRPr="00412A9C">
        <w:rPr>
          <w:szCs w:val="22"/>
        </w:rPr>
        <w:t xml:space="preserve"> </w:t>
      </w:r>
      <w:r w:rsidRPr="00412A9C">
        <w:rPr>
          <w:szCs w:val="22"/>
        </w:rPr>
        <w:t>「第二種二諦」，指「幻有真空二諦」。</w:t>
      </w:r>
    </w:p>
  </w:footnote>
  <w:footnote w:id="915">
    <w:p w:rsidR="00157EF6" w:rsidRPr="00412A9C" w:rsidRDefault="00157EF6" w:rsidP="00AA120F">
      <w:pPr>
        <w:pStyle w:val="a5"/>
        <w:ind w:left="187" w:hangingChars="85" w:hanging="187"/>
        <w:jc w:val="both"/>
        <w:rPr>
          <w:szCs w:val="22"/>
        </w:rPr>
      </w:pPr>
      <w:r w:rsidRPr="00412A9C">
        <w:rPr>
          <w:rStyle w:val="a6"/>
          <w:szCs w:val="22"/>
        </w:rPr>
        <w:footnoteRef/>
      </w:r>
      <w:r w:rsidRPr="00412A9C">
        <w:rPr>
          <w:szCs w:val="22"/>
        </w:rPr>
        <w:t xml:space="preserve"> </w:t>
      </w:r>
      <w:r w:rsidRPr="00412A9C">
        <w:rPr>
          <w:rFonts w:hint="eastAsia"/>
          <w:szCs w:val="22"/>
        </w:rPr>
        <w:t>流弊：</w:t>
      </w:r>
      <w:r w:rsidRPr="000550C6">
        <w:rPr>
          <w:rFonts w:hint="eastAsia"/>
          <w:szCs w:val="22"/>
        </w:rPr>
        <w:t>亦作</w:t>
      </w:r>
      <w:r w:rsidRPr="00412A9C">
        <w:rPr>
          <w:rFonts w:hint="eastAsia"/>
          <w:szCs w:val="22"/>
        </w:rPr>
        <w:t>“流敝”。相沿而成的弊病。（《漢語大詞典》（五），</w:t>
      </w:r>
      <w:r w:rsidRPr="00761EF3">
        <w:rPr>
          <w:szCs w:val="22"/>
        </w:rPr>
        <w:t>p</w:t>
      </w:r>
      <w:r w:rsidRPr="00412A9C">
        <w:rPr>
          <w:szCs w:val="22"/>
        </w:rPr>
        <w:t>.</w:t>
      </w:r>
      <w:r w:rsidRPr="00761EF3">
        <w:rPr>
          <w:szCs w:val="22"/>
        </w:rPr>
        <w:t>1273</w:t>
      </w:r>
      <w:r w:rsidRPr="00412A9C">
        <w:rPr>
          <w:rFonts w:hint="eastAsia"/>
          <w:szCs w:val="22"/>
        </w:rPr>
        <w:t>）</w:t>
      </w:r>
    </w:p>
  </w:footnote>
  <w:footnote w:id="916">
    <w:p w:rsidR="00157EF6" w:rsidRPr="00412A9C" w:rsidRDefault="00157EF6" w:rsidP="00AA120F">
      <w:pPr>
        <w:pStyle w:val="a5"/>
        <w:spacing w:line="0" w:lineRule="atLeast"/>
        <w:ind w:left="726" w:hangingChars="330" w:hanging="726"/>
        <w:jc w:val="both"/>
        <w:rPr>
          <w:szCs w:val="22"/>
        </w:rPr>
      </w:pPr>
      <w:r w:rsidRPr="00412A9C">
        <w:rPr>
          <w:rStyle w:val="a6"/>
          <w:szCs w:val="22"/>
        </w:rPr>
        <w:footnoteRef/>
      </w:r>
      <w:r>
        <w:rPr>
          <w:rFonts w:hint="eastAsia"/>
          <w:szCs w:val="22"/>
        </w:rPr>
        <w:t xml:space="preserve"> </w:t>
      </w:r>
      <w:r w:rsidRPr="00412A9C">
        <w:rPr>
          <w:rFonts w:hint="eastAsia"/>
          <w:szCs w:val="22"/>
        </w:rPr>
        <w:t>（</w:t>
      </w:r>
      <w:r w:rsidRPr="00761EF3">
        <w:rPr>
          <w:szCs w:val="22"/>
        </w:rPr>
        <w:t>1</w:t>
      </w:r>
      <w:r w:rsidRPr="00412A9C">
        <w:rPr>
          <w:rFonts w:hint="eastAsia"/>
          <w:szCs w:val="22"/>
        </w:rPr>
        <w:t>）《小品般若波羅蜜經》卷</w:t>
      </w:r>
      <w:r w:rsidRPr="00761EF3">
        <w:rPr>
          <w:szCs w:val="22"/>
        </w:rPr>
        <w:t>9</w:t>
      </w:r>
      <w:r w:rsidRPr="00412A9C">
        <w:rPr>
          <w:rFonts w:hint="eastAsia"/>
          <w:szCs w:val="22"/>
        </w:rPr>
        <w:t>〈</w:t>
      </w:r>
      <w:r w:rsidRPr="00761EF3">
        <w:rPr>
          <w:szCs w:val="22"/>
        </w:rPr>
        <w:t>25</w:t>
      </w:r>
      <w:r>
        <w:rPr>
          <w:szCs w:val="22"/>
        </w:rPr>
        <w:t xml:space="preserve"> </w:t>
      </w:r>
      <w:r w:rsidRPr="00412A9C">
        <w:rPr>
          <w:rFonts w:hint="eastAsia"/>
          <w:szCs w:val="22"/>
        </w:rPr>
        <w:t>見阿閦佛品〉（大正</w:t>
      </w:r>
      <w:r w:rsidRPr="00761EF3">
        <w:rPr>
          <w:szCs w:val="22"/>
        </w:rPr>
        <w:t>8</w:t>
      </w:r>
      <w:r w:rsidRPr="00412A9C">
        <w:rPr>
          <w:rFonts w:hint="eastAsia"/>
          <w:szCs w:val="22"/>
        </w:rPr>
        <w:t>，</w:t>
      </w:r>
      <w:r w:rsidRPr="00761EF3">
        <w:rPr>
          <w:szCs w:val="22"/>
        </w:rPr>
        <w:t>578c24</w:t>
      </w:r>
      <w:r w:rsidRPr="00412A9C">
        <w:rPr>
          <w:szCs w:val="22"/>
        </w:rPr>
        <w:t>-</w:t>
      </w:r>
      <w:r w:rsidRPr="00761EF3">
        <w:rPr>
          <w:szCs w:val="22"/>
        </w:rPr>
        <w:t>27</w:t>
      </w:r>
      <w:r w:rsidRPr="00412A9C">
        <w:rPr>
          <w:rFonts w:hint="eastAsia"/>
          <w:szCs w:val="22"/>
        </w:rPr>
        <w:t>）：</w:t>
      </w:r>
    </w:p>
    <w:p w:rsidR="00157EF6" w:rsidRPr="00412A9C" w:rsidRDefault="00157EF6" w:rsidP="005D76A6">
      <w:pPr>
        <w:pStyle w:val="a5"/>
        <w:ind w:leftChars="305" w:left="732"/>
        <w:jc w:val="both"/>
        <w:rPr>
          <w:szCs w:val="22"/>
        </w:rPr>
      </w:pPr>
      <w:r w:rsidRPr="00412A9C">
        <w:rPr>
          <w:rFonts w:eastAsia="標楷體" w:hint="eastAsia"/>
          <w:szCs w:val="22"/>
        </w:rPr>
        <w:t>須菩提！</w:t>
      </w:r>
      <w:r w:rsidRPr="00412A9C">
        <w:rPr>
          <w:rFonts w:eastAsia="標楷體" w:hint="eastAsia"/>
          <w:b/>
          <w:szCs w:val="22"/>
        </w:rPr>
        <w:t>菩薩坐道場時，如是觀十二因緣，離於二邊，是為菩薩不共之法。</w:t>
      </w:r>
      <w:r w:rsidRPr="00412A9C">
        <w:rPr>
          <w:rFonts w:eastAsia="標楷體" w:hint="eastAsia"/>
          <w:szCs w:val="22"/>
        </w:rPr>
        <w:t>若菩薩如是觀因緣法，不墮聲聞</w:t>
      </w:r>
      <w:r w:rsidR="00D354CB">
        <w:rPr>
          <w:rFonts w:ascii="標楷體" w:eastAsia="標楷體" w:hAnsi="標楷體" w:hint="eastAsia"/>
          <w:color w:val="FF0000"/>
          <w:kern w:val="0"/>
          <w:highlight w:val="yellow"/>
        </w:rPr>
        <w:t>.</w:t>
      </w:r>
      <w:r w:rsidRPr="00412A9C">
        <w:rPr>
          <w:rFonts w:eastAsia="標楷體" w:hint="eastAsia"/>
          <w:szCs w:val="22"/>
        </w:rPr>
        <w:t>辟支佛地，疾近薩婆若，必得阿耨多羅三藐三菩提</w:t>
      </w:r>
      <w:r w:rsidRPr="00412A9C">
        <w:rPr>
          <w:rFonts w:hint="eastAsia"/>
          <w:szCs w:val="22"/>
        </w:rPr>
        <w:t>。</w:t>
      </w:r>
    </w:p>
    <w:p w:rsidR="00157EF6" w:rsidRPr="00412A9C" w:rsidRDefault="00157EF6" w:rsidP="00AA120F">
      <w:pPr>
        <w:pStyle w:val="a5"/>
        <w:ind w:leftChars="80" w:left="731" w:hangingChars="245" w:hanging="539"/>
        <w:jc w:val="both"/>
        <w:rPr>
          <w:szCs w:val="22"/>
        </w:rPr>
      </w:pPr>
      <w:r w:rsidRPr="00412A9C">
        <w:rPr>
          <w:rFonts w:hint="eastAsia"/>
          <w:szCs w:val="22"/>
        </w:rPr>
        <w:t>（</w:t>
      </w:r>
      <w:r w:rsidRPr="00761EF3">
        <w:rPr>
          <w:szCs w:val="22"/>
        </w:rPr>
        <w:t>2</w:t>
      </w:r>
      <w:r w:rsidRPr="00412A9C">
        <w:rPr>
          <w:rFonts w:hint="eastAsia"/>
          <w:szCs w:val="22"/>
        </w:rPr>
        <w:t>）《摩訶般若波羅蜜經》卷</w:t>
      </w:r>
      <w:r w:rsidRPr="00761EF3">
        <w:rPr>
          <w:szCs w:val="22"/>
        </w:rPr>
        <w:t>20</w:t>
      </w:r>
      <w:r w:rsidRPr="00412A9C">
        <w:rPr>
          <w:rFonts w:hint="eastAsia"/>
          <w:szCs w:val="22"/>
        </w:rPr>
        <w:t>〈</w:t>
      </w:r>
      <w:r w:rsidRPr="00761EF3">
        <w:rPr>
          <w:szCs w:val="22"/>
        </w:rPr>
        <w:t>67</w:t>
      </w:r>
      <w:r>
        <w:rPr>
          <w:szCs w:val="22"/>
        </w:rPr>
        <w:t xml:space="preserve"> </w:t>
      </w:r>
      <w:r w:rsidRPr="00412A9C">
        <w:rPr>
          <w:rFonts w:hint="eastAsia"/>
          <w:szCs w:val="22"/>
        </w:rPr>
        <w:t>無盡品〉（大正</w:t>
      </w:r>
      <w:r w:rsidRPr="00761EF3">
        <w:rPr>
          <w:szCs w:val="22"/>
        </w:rPr>
        <w:t>8</w:t>
      </w:r>
      <w:r w:rsidRPr="00412A9C">
        <w:rPr>
          <w:rFonts w:hint="eastAsia"/>
          <w:szCs w:val="22"/>
        </w:rPr>
        <w:t>，</w:t>
      </w:r>
      <w:r w:rsidRPr="00761EF3">
        <w:rPr>
          <w:szCs w:val="22"/>
        </w:rPr>
        <w:t>364b23</w:t>
      </w:r>
      <w:r w:rsidRPr="00412A9C">
        <w:rPr>
          <w:szCs w:val="22"/>
        </w:rPr>
        <w:t>-</w:t>
      </w:r>
      <w:r w:rsidRPr="00761EF3">
        <w:rPr>
          <w:szCs w:val="22"/>
        </w:rPr>
        <w:t>27</w:t>
      </w:r>
      <w:r w:rsidRPr="00412A9C">
        <w:rPr>
          <w:rFonts w:hint="eastAsia"/>
          <w:szCs w:val="22"/>
        </w:rPr>
        <w:t>）：</w:t>
      </w:r>
    </w:p>
    <w:p w:rsidR="00157EF6" w:rsidRPr="00412A9C" w:rsidRDefault="00157EF6" w:rsidP="005D76A6">
      <w:pPr>
        <w:pStyle w:val="a5"/>
        <w:ind w:leftChars="305" w:left="732"/>
        <w:jc w:val="both"/>
        <w:rPr>
          <w:szCs w:val="22"/>
        </w:rPr>
      </w:pPr>
      <w:r w:rsidRPr="00412A9C">
        <w:rPr>
          <w:rFonts w:eastAsia="標楷體" w:hint="eastAsia"/>
          <w:szCs w:val="22"/>
        </w:rPr>
        <w:t>須菩提！</w:t>
      </w:r>
      <w:r w:rsidRPr="00412A9C">
        <w:rPr>
          <w:rFonts w:eastAsia="標楷體" w:hint="eastAsia"/>
          <w:b/>
          <w:szCs w:val="22"/>
        </w:rPr>
        <w:t>是十二因緣是獨菩薩法，能除諸邊顛倒，坐道場時</w:t>
      </w:r>
      <w:r w:rsidR="00D354CB">
        <w:rPr>
          <w:rFonts w:ascii="標楷體" w:eastAsia="標楷體" w:hAnsi="標楷體" w:hint="eastAsia"/>
          <w:color w:val="FF0000"/>
          <w:kern w:val="0"/>
          <w:highlight w:val="yellow"/>
        </w:rPr>
        <w:t>，</w:t>
      </w:r>
      <w:r w:rsidRPr="00412A9C">
        <w:rPr>
          <w:rFonts w:eastAsia="標楷體" w:hint="eastAsia"/>
          <w:b/>
          <w:szCs w:val="22"/>
        </w:rPr>
        <w:t>應如是觀，當得一切種智。</w:t>
      </w:r>
      <w:r w:rsidRPr="00412A9C">
        <w:rPr>
          <w:rFonts w:eastAsia="標楷體" w:hint="eastAsia"/>
          <w:szCs w:val="22"/>
        </w:rPr>
        <w:t>須菩提！若有菩薩摩訶薩以虛空不可盡法行般若波羅蜜觀十二因緣，不墮聲聞</w:t>
      </w:r>
      <w:r w:rsidR="00D354CB">
        <w:rPr>
          <w:rFonts w:ascii="標楷體" w:eastAsia="標楷體" w:hAnsi="標楷體" w:hint="eastAsia"/>
          <w:color w:val="FF0000"/>
          <w:kern w:val="0"/>
          <w:highlight w:val="yellow"/>
        </w:rPr>
        <w:t>.</w:t>
      </w:r>
      <w:r w:rsidRPr="00412A9C">
        <w:rPr>
          <w:rFonts w:eastAsia="標楷體" w:hint="eastAsia"/>
          <w:szCs w:val="22"/>
        </w:rPr>
        <w:t>辟支佛地，住阿耨多羅三藐三菩提</w:t>
      </w:r>
      <w:r w:rsidRPr="00D354CB">
        <w:rPr>
          <w:rFonts w:eastAsia="標楷體" w:hint="eastAsia"/>
          <w:szCs w:val="22"/>
          <w:highlight w:val="yellow"/>
        </w:rPr>
        <w:t>。</w:t>
      </w:r>
    </w:p>
    <w:p w:rsidR="00157EF6" w:rsidRPr="00412A9C" w:rsidRDefault="00157EF6" w:rsidP="00AA120F">
      <w:pPr>
        <w:pStyle w:val="a5"/>
        <w:ind w:leftChars="80" w:left="731" w:hangingChars="245" w:hanging="539"/>
        <w:jc w:val="both"/>
        <w:rPr>
          <w:szCs w:val="22"/>
        </w:rPr>
      </w:pPr>
      <w:r w:rsidRPr="00412A9C">
        <w:rPr>
          <w:rFonts w:hint="eastAsia"/>
          <w:szCs w:val="22"/>
        </w:rPr>
        <w:t>（</w:t>
      </w:r>
      <w:r w:rsidRPr="00761EF3">
        <w:rPr>
          <w:szCs w:val="22"/>
        </w:rPr>
        <w:t>3</w:t>
      </w:r>
      <w:r w:rsidRPr="00412A9C">
        <w:rPr>
          <w:rFonts w:hint="eastAsia"/>
          <w:szCs w:val="22"/>
        </w:rPr>
        <w:t>）參見《大智度論》卷</w:t>
      </w:r>
      <w:r w:rsidRPr="00761EF3">
        <w:rPr>
          <w:szCs w:val="22"/>
        </w:rPr>
        <w:t>80</w:t>
      </w:r>
      <w:r w:rsidR="00287E83">
        <w:rPr>
          <w:rFonts w:hint="eastAsia"/>
          <w:color w:val="FF0000"/>
          <w:szCs w:val="22"/>
          <w:highlight w:val="yellow"/>
        </w:rPr>
        <w:t>釋</w:t>
      </w:r>
      <w:r w:rsidRPr="00412A9C">
        <w:rPr>
          <w:rFonts w:hint="eastAsia"/>
          <w:szCs w:val="22"/>
        </w:rPr>
        <w:t>〈</w:t>
      </w:r>
      <w:r w:rsidRPr="00761EF3">
        <w:rPr>
          <w:szCs w:val="22"/>
        </w:rPr>
        <w:t>67</w:t>
      </w:r>
      <w:r>
        <w:rPr>
          <w:szCs w:val="22"/>
        </w:rPr>
        <w:t xml:space="preserve"> </w:t>
      </w:r>
      <w:r w:rsidRPr="00412A9C">
        <w:rPr>
          <w:rFonts w:hint="eastAsia"/>
          <w:szCs w:val="22"/>
        </w:rPr>
        <w:t>釋無盡方便品〉（大正</w:t>
      </w:r>
      <w:r w:rsidRPr="00761EF3">
        <w:rPr>
          <w:szCs w:val="22"/>
        </w:rPr>
        <w:t>25</w:t>
      </w:r>
      <w:r w:rsidRPr="00412A9C">
        <w:rPr>
          <w:rFonts w:hint="eastAsia"/>
          <w:szCs w:val="22"/>
        </w:rPr>
        <w:t>，</w:t>
      </w:r>
      <w:r w:rsidRPr="00761EF3">
        <w:rPr>
          <w:szCs w:val="22"/>
        </w:rPr>
        <w:t>622a9</w:t>
      </w:r>
      <w:r w:rsidRPr="00412A9C">
        <w:rPr>
          <w:szCs w:val="22"/>
        </w:rPr>
        <w:t>-</w:t>
      </w:r>
      <w:r w:rsidRPr="00761EF3">
        <w:rPr>
          <w:szCs w:val="22"/>
        </w:rPr>
        <w:t>c25</w:t>
      </w:r>
      <w:r w:rsidRPr="00412A9C">
        <w:rPr>
          <w:rFonts w:hint="eastAsia"/>
          <w:szCs w:val="22"/>
        </w:rPr>
        <w:t>）。</w:t>
      </w:r>
    </w:p>
  </w:footnote>
  <w:footnote w:id="917">
    <w:p w:rsidR="00525F38" w:rsidRPr="00412A9C" w:rsidRDefault="00525F38" w:rsidP="00525F38">
      <w:pPr>
        <w:pStyle w:val="a5"/>
        <w:ind w:left="187" w:hangingChars="85" w:hanging="187"/>
        <w:jc w:val="both"/>
        <w:rPr>
          <w:szCs w:val="22"/>
        </w:rPr>
      </w:pPr>
      <w:r w:rsidRPr="00412A9C">
        <w:rPr>
          <w:rStyle w:val="a6"/>
          <w:szCs w:val="22"/>
        </w:rPr>
        <w:footnoteRef/>
      </w:r>
      <w:r>
        <w:rPr>
          <w:rFonts w:hint="eastAsia"/>
          <w:szCs w:val="22"/>
        </w:rPr>
        <w:t xml:space="preserve"> </w:t>
      </w:r>
      <w:r w:rsidRPr="00412A9C">
        <w:rPr>
          <w:rFonts w:hint="eastAsia"/>
          <w:szCs w:val="22"/>
        </w:rPr>
        <w:t>《維摩詰所說經》卷</w:t>
      </w:r>
      <w:r w:rsidRPr="00761EF3">
        <w:rPr>
          <w:szCs w:val="22"/>
        </w:rPr>
        <w:t>3</w:t>
      </w:r>
      <w:r w:rsidRPr="00412A9C">
        <w:rPr>
          <w:rFonts w:hint="eastAsia"/>
          <w:szCs w:val="22"/>
        </w:rPr>
        <w:t>〈</w:t>
      </w:r>
      <w:r w:rsidRPr="00761EF3">
        <w:rPr>
          <w:szCs w:val="22"/>
        </w:rPr>
        <w:t>11</w:t>
      </w:r>
      <w:r>
        <w:rPr>
          <w:szCs w:val="22"/>
        </w:rPr>
        <w:t xml:space="preserve"> </w:t>
      </w:r>
      <w:r w:rsidRPr="00412A9C">
        <w:rPr>
          <w:rFonts w:hint="eastAsia"/>
          <w:szCs w:val="22"/>
        </w:rPr>
        <w:t>菩薩行品〉</w:t>
      </w:r>
      <w:r w:rsidRPr="00412A9C">
        <w:rPr>
          <w:szCs w:val="22"/>
        </w:rPr>
        <w:t>（</w:t>
      </w:r>
      <w:r w:rsidRPr="00412A9C">
        <w:rPr>
          <w:rFonts w:hint="eastAsia"/>
          <w:szCs w:val="22"/>
        </w:rPr>
        <w:t>大正</w:t>
      </w:r>
      <w:r w:rsidRPr="00761EF3">
        <w:rPr>
          <w:szCs w:val="22"/>
        </w:rPr>
        <w:t>14</w:t>
      </w:r>
      <w:r w:rsidRPr="00412A9C">
        <w:rPr>
          <w:rFonts w:hint="eastAsia"/>
          <w:szCs w:val="22"/>
        </w:rPr>
        <w:t>，</w:t>
      </w:r>
      <w:r w:rsidRPr="00761EF3">
        <w:rPr>
          <w:szCs w:val="22"/>
        </w:rPr>
        <w:t>554b3</w:t>
      </w:r>
      <w:r w:rsidRPr="00412A9C">
        <w:rPr>
          <w:szCs w:val="22"/>
        </w:rPr>
        <w:t>-</w:t>
      </w:r>
      <w:r w:rsidRPr="00761EF3">
        <w:rPr>
          <w:szCs w:val="22"/>
        </w:rPr>
        <w:t>c21</w:t>
      </w:r>
      <w:r w:rsidRPr="00412A9C">
        <w:rPr>
          <w:szCs w:val="22"/>
        </w:rPr>
        <w:t>）</w:t>
      </w:r>
      <w:r w:rsidRPr="00412A9C">
        <w:rPr>
          <w:rFonts w:hint="eastAsia"/>
          <w:szCs w:val="22"/>
        </w:rPr>
        <w:t>：</w:t>
      </w:r>
    </w:p>
    <w:p w:rsidR="00525F38" w:rsidRPr="00F640F4" w:rsidRDefault="00525F38" w:rsidP="00525F38">
      <w:pPr>
        <w:pStyle w:val="a5"/>
        <w:ind w:leftChars="75" w:left="180"/>
        <w:jc w:val="both"/>
        <w:rPr>
          <w:rFonts w:eastAsia="標楷體"/>
          <w:szCs w:val="22"/>
        </w:rPr>
      </w:pPr>
      <w:r w:rsidRPr="00412A9C">
        <w:rPr>
          <w:rFonts w:eastAsia="標楷體" w:hint="eastAsia"/>
          <w:szCs w:val="22"/>
        </w:rPr>
        <w:t>佛告諸菩薩：「有盡</w:t>
      </w:r>
      <w:r>
        <w:rPr>
          <w:rFonts w:ascii="標楷體" w:eastAsia="標楷體" w:hAnsi="標楷體" w:hint="eastAsia"/>
          <w:color w:val="FF0000"/>
          <w:kern w:val="0"/>
          <w:highlight w:val="yellow"/>
        </w:rPr>
        <w:t>.</w:t>
      </w:r>
      <w:r w:rsidRPr="00412A9C">
        <w:rPr>
          <w:rFonts w:eastAsia="標楷體" w:hint="eastAsia"/>
          <w:szCs w:val="22"/>
        </w:rPr>
        <w:t>無盡解脫法門，汝等當學。何謂為</w:t>
      </w:r>
      <w:r>
        <w:rPr>
          <w:rFonts w:ascii="標楷體" w:eastAsia="標楷體" w:hAnsi="標楷體" w:hint="eastAsia"/>
          <w:color w:val="FF0000"/>
          <w:kern w:val="0"/>
          <w:highlight w:val="yellow"/>
        </w:rPr>
        <w:t>『</w:t>
      </w:r>
      <w:r w:rsidRPr="00412A9C">
        <w:rPr>
          <w:rFonts w:eastAsia="標楷體" w:hint="eastAsia"/>
          <w:szCs w:val="22"/>
        </w:rPr>
        <w:t>盡</w:t>
      </w:r>
      <w:r>
        <w:rPr>
          <w:rFonts w:ascii="標楷體" w:eastAsia="標楷體" w:hAnsi="標楷體" w:hint="eastAsia"/>
          <w:color w:val="FF0000"/>
          <w:kern w:val="0"/>
          <w:highlight w:val="yellow"/>
        </w:rPr>
        <w:t>』</w:t>
      </w:r>
      <w:r w:rsidRPr="00412A9C">
        <w:rPr>
          <w:rFonts w:eastAsia="標楷體" w:hint="eastAsia"/>
          <w:szCs w:val="22"/>
        </w:rPr>
        <w:t>？謂有為法。何謂</w:t>
      </w:r>
      <w:r>
        <w:rPr>
          <w:rFonts w:ascii="標楷體" w:eastAsia="標楷體" w:hAnsi="標楷體" w:hint="eastAsia"/>
          <w:color w:val="FF0000"/>
          <w:kern w:val="0"/>
          <w:highlight w:val="yellow"/>
        </w:rPr>
        <w:t>『</w:t>
      </w:r>
      <w:r w:rsidRPr="00412A9C">
        <w:rPr>
          <w:rFonts w:eastAsia="標楷體" w:hint="eastAsia"/>
          <w:szCs w:val="22"/>
        </w:rPr>
        <w:t>無盡</w:t>
      </w:r>
      <w:r>
        <w:rPr>
          <w:rFonts w:ascii="標楷體" w:eastAsia="標楷體" w:hAnsi="標楷體" w:hint="eastAsia"/>
          <w:color w:val="FF0000"/>
          <w:kern w:val="0"/>
          <w:highlight w:val="yellow"/>
        </w:rPr>
        <w:t>』</w:t>
      </w:r>
      <w:r w:rsidRPr="00412A9C">
        <w:rPr>
          <w:rFonts w:eastAsia="標楷體" w:hint="eastAsia"/>
          <w:szCs w:val="22"/>
        </w:rPr>
        <w:t>？</w:t>
      </w:r>
      <w:r w:rsidRPr="00F640F4">
        <w:rPr>
          <w:rFonts w:eastAsia="標楷體" w:hint="eastAsia"/>
          <w:szCs w:val="22"/>
        </w:rPr>
        <w:t>謂無為法。如菩薩者，</w:t>
      </w:r>
      <w:r w:rsidRPr="00F640F4">
        <w:rPr>
          <w:rFonts w:eastAsia="標楷體" w:hint="eastAsia"/>
          <w:b/>
          <w:szCs w:val="22"/>
        </w:rPr>
        <w:t>不盡有為、不住無為。</w:t>
      </w:r>
    </w:p>
    <w:p w:rsidR="00525F38" w:rsidRPr="00F640F4" w:rsidRDefault="00525F38" w:rsidP="00AE3920">
      <w:pPr>
        <w:pStyle w:val="a5"/>
        <w:spacing w:beforeLines="20"/>
        <w:ind w:leftChars="75" w:left="180"/>
        <w:jc w:val="both"/>
        <w:rPr>
          <w:rFonts w:eastAsia="標楷體"/>
          <w:szCs w:val="22"/>
        </w:rPr>
      </w:pPr>
      <w:r w:rsidRPr="00F640F4">
        <w:rPr>
          <w:rFonts w:eastAsia="標楷體" w:hint="eastAsia"/>
          <w:szCs w:val="22"/>
        </w:rPr>
        <w:t>何謂</w:t>
      </w:r>
      <w:r>
        <w:rPr>
          <w:rFonts w:ascii="標楷體" w:eastAsia="標楷體" w:hAnsi="標楷體" w:hint="eastAsia"/>
          <w:color w:val="FF0000"/>
          <w:kern w:val="0"/>
          <w:highlight w:val="yellow"/>
        </w:rPr>
        <w:t>『</w:t>
      </w:r>
      <w:r w:rsidRPr="00F640F4">
        <w:rPr>
          <w:rFonts w:eastAsia="標楷體" w:hint="eastAsia"/>
          <w:b/>
          <w:szCs w:val="22"/>
        </w:rPr>
        <w:t>不</w:t>
      </w:r>
      <w:r w:rsidRPr="00412A9C">
        <w:rPr>
          <w:rFonts w:eastAsia="標楷體" w:hint="eastAsia"/>
          <w:b/>
          <w:szCs w:val="22"/>
        </w:rPr>
        <w:t>盡有為</w:t>
      </w:r>
      <w:r>
        <w:rPr>
          <w:rFonts w:ascii="標楷體" w:eastAsia="標楷體" w:hAnsi="標楷體" w:hint="eastAsia"/>
          <w:color w:val="FF0000"/>
          <w:kern w:val="0"/>
          <w:highlight w:val="yellow"/>
        </w:rPr>
        <w:t>』</w:t>
      </w:r>
      <w:r w:rsidRPr="00412A9C">
        <w:rPr>
          <w:rFonts w:eastAsia="標楷體" w:hint="eastAsia"/>
          <w:szCs w:val="22"/>
        </w:rPr>
        <w:t>？謂不離大慈，不捨大悲；深發一切智心，而不忽忘；教化眾生，終不厭倦；於四攝法，常念順行；護持正法，不惜軀命；種諸善根，無有疲厭</w:t>
      </w:r>
      <w:r>
        <w:rPr>
          <w:rFonts w:eastAsia="標楷體" w:hint="eastAsia"/>
          <w:color w:val="FF0000"/>
          <w:szCs w:val="22"/>
          <w:highlight w:val="yellow"/>
        </w:rPr>
        <w:t>；</w:t>
      </w:r>
      <w:r w:rsidRPr="00412A9C">
        <w:rPr>
          <w:rFonts w:eastAsia="標楷體" w:hint="eastAsia"/>
          <w:szCs w:val="22"/>
        </w:rPr>
        <w:t>志常安住，方便迴向；求法不懈，說法無悋；勤供諸佛。故入生死而無所畏；於諸榮辱，心無憂喜；不輕未學，敬學如佛；墮煩惱者，令發正念</w:t>
      </w:r>
      <w:r>
        <w:rPr>
          <w:rFonts w:ascii="標楷體" w:eastAsia="標楷體" w:hAnsi="標楷體" w:hint="eastAsia"/>
          <w:color w:val="FF0000"/>
          <w:spacing w:val="-4"/>
          <w:kern w:val="0"/>
          <w:highlight w:val="yellow"/>
        </w:rPr>
        <w:t>；</w:t>
      </w:r>
      <w:r w:rsidRPr="00412A9C">
        <w:rPr>
          <w:rFonts w:eastAsia="標楷體" w:hint="eastAsia"/>
          <w:szCs w:val="22"/>
        </w:rPr>
        <w:t>於遠離樂，不以為貴；不著己樂，慶於彼樂。在諸禪定，如地獄想；於生死中，如園觀想；見來求者，為善師想；捨諸所有，具一切智想；見毀戒人，起救護想；諸波羅蜜，為父母想；道品之法，為眷屬想。發行善根，無有齊限；以諸淨國嚴飾之事，成己佛土；行無限施，具足相好；除一切惡，淨身口意。生死無數劫，意而有勇；聞佛無量德，志而不倦。以智慧劍，破煩惱賊；出陰界入，荷負眾生，永使解脫。以大精進，摧伏魔軍</w:t>
      </w:r>
      <w:r>
        <w:rPr>
          <w:rFonts w:ascii="標楷體" w:eastAsia="標楷體" w:hAnsi="標楷體" w:hint="eastAsia"/>
          <w:color w:val="FF0000"/>
          <w:spacing w:val="-4"/>
          <w:kern w:val="0"/>
          <w:highlight w:val="yellow"/>
        </w:rPr>
        <w:t>；</w:t>
      </w:r>
      <w:r w:rsidRPr="00412A9C">
        <w:rPr>
          <w:rFonts w:eastAsia="標楷體" w:hint="eastAsia"/>
          <w:szCs w:val="22"/>
        </w:rPr>
        <w:t>常求無念實相智慧行</w:t>
      </w:r>
      <w:r>
        <w:rPr>
          <w:rFonts w:ascii="標楷體" w:eastAsia="標楷體" w:hAnsi="標楷體" w:hint="eastAsia"/>
          <w:color w:val="FF0000"/>
          <w:kern w:val="0"/>
          <w:highlight w:val="yellow"/>
        </w:rPr>
        <w:t>。</w:t>
      </w:r>
      <w:r w:rsidRPr="00412A9C">
        <w:rPr>
          <w:rFonts w:eastAsia="標楷體" w:hint="eastAsia"/>
          <w:szCs w:val="22"/>
        </w:rPr>
        <w:t>於世間法</w:t>
      </w:r>
      <w:r>
        <w:rPr>
          <w:rFonts w:ascii="標楷體" w:eastAsia="標楷體" w:hAnsi="標楷體" w:hint="eastAsia"/>
          <w:color w:val="FF0000"/>
          <w:kern w:val="0"/>
          <w:highlight w:val="yellow"/>
        </w:rPr>
        <w:t>，</w:t>
      </w:r>
      <w:r w:rsidRPr="00412A9C">
        <w:rPr>
          <w:rFonts w:eastAsia="標楷體" w:hint="eastAsia"/>
          <w:szCs w:val="22"/>
        </w:rPr>
        <w:t>少欲知足</w:t>
      </w:r>
      <w:r>
        <w:rPr>
          <w:rFonts w:ascii="標楷體" w:eastAsia="標楷體" w:hAnsi="標楷體" w:hint="eastAsia"/>
          <w:color w:val="FF0000"/>
          <w:spacing w:val="-4"/>
          <w:kern w:val="0"/>
          <w:highlight w:val="yellow"/>
        </w:rPr>
        <w:t>；</w:t>
      </w:r>
      <w:r w:rsidRPr="00412A9C">
        <w:rPr>
          <w:rFonts w:eastAsia="標楷體" w:hint="eastAsia"/>
          <w:szCs w:val="22"/>
        </w:rPr>
        <w:t>於出世間</w:t>
      </w:r>
      <w:r>
        <w:rPr>
          <w:rFonts w:ascii="標楷體" w:eastAsia="標楷體" w:hAnsi="標楷體" w:hint="eastAsia"/>
          <w:color w:val="FF0000"/>
          <w:kern w:val="0"/>
          <w:highlight w:val="yellow"/>
        </w:rPr>
        <w:t>，</w:t>
      </w:r>
      <w:r w:rsidRPr="00412A9C">
        <w:rPr>
          <w:rFonts w:eastAsia="標楷體" w:hint="eastAsia"/>
          <w:szCs w:val="22"/>
        </w:rPr>
        <w:t>求之無</w:t>
      </w:r>
      <w:r w:rsidRPr="0064504C">
        <w:rPr>
          <w:rFonts w:eastAsia="標楷體" w:hint="eastAsia"/>
          <w:szCs w:val="22"/>
          <w:highlight w:val="yellow"/>
        </w:rPr>
        <w:t>厭而</w:t>
      </w:r>
      <w:r w:rsidRPr="00412A9C">
        <w:rPr>
          <w:rFonts w:eastAsia="標楷體" w:hint="eastAsia"/>
          <w:szCs w:val="22"/>
        </w:rPr>
        <w:t>不捨世間法，不壞威儀法而能隨俗。起神通慧，引導眾生</w:t>
      </w:r>
      <w:r>
        <w:rPr>
          <w:rFonts w:ascii="標楷體" w:eastAsia="標楷體" w:hAnsi="標楷體" w:hint="eastAsia"/>
          <w:color w:val="FF0000"/>
          <w:spacing w:val="-4"/>
          <w:kern w:val="0"/>
          <w:highlight w:val="yellow"/>
        </w:rPr>
        <w:t>；</w:t>
      </w:r>
      <w:r w:rsidRPr="00412A9C">
        <w:rPr>
          <w:rFonts w:eastAsia="標楷體" w:hint="eastAsia"/>
          <w:szCs w:val="22"/>
        </w:rPr>
        <w:t>得念總持，所聞不忘。善別諸根，斷眾生疑；以樂說辯，演法無礙。淨十善道，受天、人福；修四無量，開梵天道。勸請說法，隨喜讚善，得佛音聲；身口意善，得佛威儀。深修善法，所行轉勝；以大乘教，成菩薩僧；心無放逸，不失眾善。</w:t>
      </w:r>
      <w:r w:rsidRPr="00412A9C">
        <w:rPr>
          <w:rFonts w:eastAsia="標楷體" w:hint="eastAsia"/>
          <w:b/>
          <w:szCs w:val="22"/>
        </w:rPr>
        <w:t>行如此法，</w:t>
      </w:r>
      <w:r w:rsidRPr="00F640F4">
        <w:rPr>
          <w:rFonts w:eastAsia="標楷體" w:hint="eastAsia"/>
          <w:b/>
          <w:szCs w:val="22"/>
        </w:rPr>
        <w:t>是名</w:t>
      </w:r>
      <w:r>
        <w:rPr>
          <w:rFonts w:ascii="標楷體" w:eastAsia="標楷體" w:hAnsi="標楷體" w:hint="eastAsia"/>
          <w:color w:val="FF0000"/>
          <w:kern w:val="0"/>
          <w:highlight w:val="yellow"/>
        </w:rPr>
        <w:t>『</w:t>
      </w:r>
      <w:r w:rsidRPr="00F640F4">
        <w:rPr>
          <w:rFonts w:eastAsia="標楷體" w:hint="eastAsia"/>
          <w:b/>
          <w:szCs w:val="22"/>
        </w:rPr>
        <w:t>菩薩不盡有為</w:t>
      </w:r>
      <w:r>
        <w:rPr>
          <w:rFonts w:ascii="標楷體" w:eastAsia="標楷體" w:hAnsi="標楷體" w:hint="eastAsia"/>
          <w:color w:val="FF0000"/>
          <w:kern w:val="0"/>
          <w:highlight w:val="yellow"/>
        </w:rPr>
        <w:t>』</w:t>
      </w:r>
      <w:r w:rsidRPr="00F640F4">
        <w:rPr>
          <w:rFonts w:eastAsia="標楷體" w:hint="eastAsia"/>
          <w:szCs w:val="22"/>
        </w:rPr>
        <w:t>。</w:t>
      </w:r>
    </w:p>
    <w:p w:rsidR="00525F38" w:rsidRPr="00F640F4" w:rsidRDefault="00525F38" w:rsidP="00AE3920">
      <w:pPr>
        <w:pStyle w:val="a5"/>
        <w:spacing w:beforeLines="20"/>
        <w:ind w:leftChars="75" w:left="180"/>
        <w:jc w:val="both"/>
        <w:rPr>
          <w:rFonts w:eastAsia="標楷體"/>
          <w:b/>
          <w:szCs w:val="22"/>
        </w:rPr>
      </w:pPr>
      <w:r w:rsidRPr="00F640F4">
        <w:rPr>
          <w:rFonts w:eastAsia="標楷體" w:hint="eastAsia"/>
          <w:szCs w:val="22"/>
        </w:rPr>
        <w:t>何謂</w:t>
      </w:r>
      <w:r>
        <w:rPr>
          <w:rFonts w:ascii="標楷體" w:eastAsia="標楷體" w:hAnsi="標楷體" w:hint="eastAsia"/>
          <w:color w:val="FF0000"/>
          <w:kern w:val="0"/>
          <w:highlight w:val="yellow"/>
        </w:rPr>
        <w:t>『</w:t>
      </w:r>
      <w:r w:rsidRPr="00F640F4">
        <w:rPr>
          <w:rFonts w:eastAsia="標楷體" w:hint="eastAsia"/>
          <w:szCs w:val="22"/>
        </w:rPr>
        <w:t>菩薩</w:t>
      </w:r>
      <w:r w:rsidRPr="00F640F4">
        <w:rPr>
          <w:rFonts w:eastAsia="標楷體" w:hint="eastAsia"/>
          <w:b/>
          <w:szCs w:val="22"/>
        </w:rPr>
        <w:t>不住無為</w:t>
      </w:r>
      <w:r>
        <w:rPr>
          <w:rFonts w:ascii="標楷體" w:eastAsia="標楷體" w:hAnsi="標楷體" w:hint="eastAsia"/>
          <w:color w:val="FF0000"/>
          <w:kern w:val="0"/>
          <w:highlight w:val="yellow"/>
        </w:rPr>
        <w:t>』</w:t>
      </w:r>
      <w:r w:rsidRPr="00F640F4">
        <w:rPr>
          <w:rFonts w:eastAsia="標楷體" w:hint="eastAsia"/>
          <w:szCs w:val="22"/>
        </w:rPr>
        <w:t>？謂修學空，不以空為證；修學無相、無作，不以無相、無作為證；修學無起，不以無起為證。觀於無常，而不厭善本；觀世間苦，而不惡生死；觀於無我，而誨人不倦；觀於寂滅，而不永滅；觀於遠離，而身心修善；觀無所歸，而歸趣善法；觀於無生，而以生法荷負一切；觀於無漏，而不斷諸漏；觀無所行，而以行法教化眾生；觀於空無，而不捨大悲；觀正法位，而不隨小乘；觀諸法虛妄，無牢無人、無主無相，本願未滿，而不虛福德、禪定、智慧。</w:t>
      </w:r>
      <w:r w:rsidRPr="00F640F4">
        <w:rPr>
          <w:rFonts w:eastAsia="標楷體" w:hint="eastAsia"/>
          <w:b/>
          <w:szCs w:val="22"/>
        </w:rPr>
        <w:t>修如此法，是名</w:t>
      </w:r>
      <w:r>
        <w:rPr>
          <w:rFonts w:ascii="標楷體" w:eastAsia="標楷體" w:hAnsi="標楷體" w:hint="eastAsia"/>
          <w:color w:val="FF0000"/>
          <w:kern w:val="0"/>
          <w:highlight w:val="yellow"/>
        </w:rPr>
        <w:t>『</w:t>
      </w:r>
      <w:r w:rsidRPr="00F640F4">
        <w:rPr>
          <w:rFonts w:eastAsia="標楷體" w:hint="eastAsia"/>
          <w:b/>
          <w:szCs w:val="22"/>
        </w:rPr>
        <w:t>菩薩不住無為</w:t>
      </w:r>
      <w:r>
        <w:rPr>
          <w:rFonts w:ascii="標楷體" w:eastAsia="標楷體" w:hAnsi="標楷體" w:hint="eastAsia"/>
          <w:color w:val="FF0000"/>
          <w:kern w:val="0"/>
          <w:highlight w:val="yellow"/>
        </w:rPr>
        <w:t>』</w:t>
      </w:r>
      <w:r w:rsidRPr="00F640F4">
        <w:rPr>
          <w:rFonts w:eastAsia="標楷體" w:hint="eastAsia"/>
          <w:b/>
          <w:szCs w:val="22"/>
        </w:rPr>
        <w:t>。</w:t>
      </w:r>
    </w:p>
    <w:p w:rsidR="00525F38" w:rsidRPr="00412A9C" w:rsidRDefault="00525F38" w:rsidP="00AE3920">
      <w:pPr>
        <w:pStyle w:val="a5"/>
        <w:spacing w:beforeLines="20"/>
        <w:ind w:leftChars="75" w:left="180"/>
        <w:jc w:val="both"/>
        <w:rPr>
          <w:szCs w:val="22"/>
        </w:rPr>
      </w:pPr>
      <w:r w:rsidRPr="00F640F4">
        <w:rPr>
          <w:rFonts w:eastAsia="標楷體" w:hint="eastAsia"/>
          <w:szCs w:val="22"/>
        </w:rPr>
        <w:t>又具福德故，不住無為；具智慧故，不盡有為。大慈悲故，不住無為；滿本願故，不盡有為</w:t>
      </w:r>
      <w:r w:rsidRPr="00412A9C">
        <w:rPr>
          <w:rFonts w:eastAsia="標楷體" w:hint="eastAsia"/>
          <w:szCs w:val="22"/>
        </w:rPr>
        <w:t>。集法藥故，不住無為；隨授藥故，不盡有為。知眾生病故，不住無為；滅眾生病故，不盡有為。諸正士菩薩以修此法，不盡有為、不住無為</w:t>
      </w:r>
      <w:r>
        <w:rPr>
          <w:rFonts w:ascii="標楷體" w:eastAsia="標楷體" w:hAnsi="標楷體" w:hint="eastAsia"/>
          <w:color w:val="FF0000"/>
          <w:kern w:val="0"/>
          <w:highlight w:val="yellow"/>
        </w:rPr>
        <w:t>。</w:t>
      </w:r>
      <w:r w:rsidRPr="00412A9C">
        <w:rPr>
          <w:rFonts w:eastAsia="標楷體" w:hint="eastAsia"/>
          <w:b/>
          <w:szCs w:val="22"/>
        </w:rPr>
        <w:t>是名</w:t>
      </w:r>
      <w:r>
        <w:rPr>
          <w:rFonts w:ascii="標楷體" w:eastAsia="標楷體" w:hAnsi="標楷體" w:hint="eastAsia"/>
          <w:color w:val="FF0000"/>
          <w:kern w:val="0"/>
          <w:highlight w:val="yellow"/>
        </w:rPr>
        <w:t>『</w:t>
      </w:r>
      <w:r w:rsidRPr="00412A9C">
        <w:rPr>
          <w:rFonts w:eastAsia="標楷體" w:hint="eastAsia"/>
          <w:b/>
          <w:szCs w:val="22"/>
        </w:rPr>
        <w:t>盡</w:t>
      </w:r>
      <w:r>
        <w:rPr>
          <w:rFonts w:ascii="標楷體" w:eastAsia="標楷體" w:hAnsi="標楷體" w:hint="eastAsia"/>
          <w:color w:val="FF0000"/>
          <w:kern w:val="0"/>
          <w:highlight w:val="yellow"/>
        </w:rPr>
        <w:t>.</w:t>
      </w:r>
      <w:r w:rsidRPr="00412A9C">
        <w:rPr>
          <w:rFonts w:eastAsia="標楷體" w:hint="eastAsia"/>
          <w:b/>
          <w:szCs w:val="22"/>
        </w:rPr>
        <w:t>無盡解脫法門</w:t>
      </w:r>
      <w:r>
        <w:rPr>
          <w:rFonts w:ascii="標楷體" w:eastAsia="標楷體" w:hAnsi="標楷體" w:hint="eastAsia"/>
          <w:color w:val="FF0000"/>
          <w:kern w:val="0"/>
          <w:highlight w:val="yellow"/>
        </w:rPr>
        <w:t>』。</w:t>
      </w:r>
      <w:r w:rsidRPr="00412A9C">
        <w:rPr>
          <w:rFonts w:eastAsia="標楷體" w:hint="eastAsia"/>
          <w:b/>
          <w:szCs w:val="22"/>
        </w:rPr>
        <w:t>汝等當學！</w:t>
      </w:r>
      <w:r w:rsidRPr="00412A9C">
        <w:rPr>
          <w:rFonts w:eastAsia="標楷體" w:hint="eastAsia"/>
          <w:szCs w:val="22"/>
        </w:rPr>
        <w:t>」</w:t>
      </w:r>
    </w:p>
  </w:footnote>
  <w:footnote w:id="918">
    <w:p w:rsidR="00525F38" w:rsidRPr="00412A9C" w:rsidRDefault="00525F38" w:rsidP="00525F38">
      <w:pPr>
        <w:pStyle w:val="a5"/>
        <w:ind w:left="187" w:hangingChars="85" w:hanging="187"/>
        <w:jc w:val="both"/>
        <w:rPr>
          <w:rFonts w:eastAsia="標楷體"/>
          <w:szCs w:val="22"/>
        </w:rPr>
      </w:pPr>
      <w:r w:rsidRPr="00412A9C">
        <w:rPr>
          <w:rStyle w:val="a6"/>
          <w:szCs w:val="22"/>
        </w:rPr>
        <w:footnoteRef/>
      </w:r>
      <w:r w:rsidRPr="00412A9C">
        <w:rPr>
          <w:szCs w:val="22"/>
        </w:rPr>
        <w:t xml:space="preserve"> </w:t>
      </w:r>
      <w:r w:rsidRPr="00412A9C">
        <w:rPr>
          <w:rFonts w:hint="eastAsia"/>
          <w:szCs w:val="22"/>
        </w:rPr>
        <w:t>萬金川，《中觀思想講錄》，</w:t>
      </w:r>
      <w:r w:rsidRPr="00761EF3">
        <w:rPr>
          <w:szCs w:val="22"/>
        </w:rPr>
        <w:t>p</w:t>
      </w:r>
      <w:r w:rsidRPr="00412A9C">
        <w:rPr>
          <w:szCs w:val="22"/>
        </w:rPr>
        <w:t>.</w:t>
      </w:r>
      <w:r w:rsidRPr="00761EF3">
        <w:rPr>
          <w:szCs w:val="22"/>
        </w:rPr>
        <w:t>163</w:t>
      </w:r>
      <w:r w:rsidRPr="00412A9C">
        <w:rPr>
          <w:rFonts w:hint="eastAsia"/>
          <w:szCs w:val="22"/>
        </w:rPr>
        <w:t>：</w:t>
      </w:r>
    </w:p>
    <w:p w:rsidR="00525F38" w:rsidRPr="00412A9C" w:rsidRDefault="00525F38" w:rsidP="00525F38">
      <w:pPr>
        <w:pStyle w:val="a5"/>
        <w:ind w:leftChars="75" w:left="180"/>
        <w:jc w:val="both"/>
        <w:rPr>
          <w:szCs w:val="22"/>
        </w:rPr>
      </w:pPr>
      <w:r w:rsidRPr="00412A9C">
        <w:rPr>
          <w:rFonts w:eastAsia="標楷體" w:hint="eastAsia"/>
          <w:szCs w:val="22"/>
        </w:rPr>
        <w:t>月稱從詞源學的觀點來分析</w:t>
      </w:r>
      <w:r w:rsidRPr="00761EF3">
        <w:rPr>
          <w:rFonts w:eastAsia="標楷體"/>
          <w:szCs w:val="22"/>
        </w:rPr>
        <w:t>saṃvṛti</w:t>
      </w:r>
      <w:r w:rsidRPr="00412A9C">
        <w:rPr>
          <w:rFonts w:eastAsia="標楷體" w:hint="eastAsia"/>
          <w:szCs w:val="22"/>
        </w:rPr>
        <w:t>（世俗）一詞，並給予了它三個意思：（一）</w:t>
      </w:r>
      <w:r w:rsidRPr="00412A9C">
        <w:rPr>
          <w:rFonts w:eastAsia="標楷體" w:hint="eastAsia"/>
          <w:b/>
          <w:szCs w:val="22"/>
        </w:rPr>
        <w:t>障真實性</w:t>
      </w:r>
      <w:r w:rsidRPr="00412A9C">
        <w:rPr>
          <w:rFonts w:eastAsia="標楷體" w:hint="eastAsia"/>
          <w:szCs w:val="22"/>
        </w:rPr>
        <w:t>，遮蔽真實的東西；（二）</w:t>
      </w:r>
      <w:r w:rsidRPr="00412A9C">
        <w:rPr>
          <w:rFonts w:eastAsia="標楷體" w:hint="eastAsia"/>
          <w:b/>
          <w:szCs w:val="22"/>
        </w:rPr>
        <w:t>互為依事</w:t>
      </w:r>
      <w:r w:rsidRPr="00412A9C">
        <w:rPr>
          <w:rFonts w:eastAsia="標楷體" w:hint="eastAsia"/>
          <w:szCs w:val="22"/>
        </w:rPr>
        <w:t>，相互依靠的事物；（三）</w:t>
      </w:r>
      <w:r w:rsidRPr="00412A9C">
        <w:rPr>
          <w:rFonts w:eastAsia="標楷體" w:hint="eastAsia"/>
          <w:b/>
          <w:szCs w:val="22"/>
        </w:rPr>
        <w:t>指世間言說的意思</w:t>
      </w:r>
      <w:r w:rsidRPr="00EB3FD4">
        <w:rPr>
          <w:rFonts w:eastAsia="標楷體" w:hint="eastAsia"/>
          <w:szCs w:val="22"/>
          <w:highlight w:val="yellow"/>
        </w:rPr>
        <w:t>。此</w:t>
      </w:r>
      <w:r w:rsidRPr="00412A9C">
        <w:rPr>
          <w:rFonts w:eastAsia="標楷體" w:hint="eastAsia"/>
          <w:szCs w:val="22"/>
        </w:rPr>
        <w:t>中，第一個意思是來自於把這個詞看成是由√</w:t>
      </w:r>
      <w:r w:rsidRPr="00761EF3">
        <w:rPr>
          <w:rFonts w:eastAsia="標楷體"/>
          <w:szCs w:val="22"/>
        </w:rPr>
        <w:t>vṛ</w:t>
      </w:r>
      <w:r w:rsidRPr="00412A9C">
        <w:rPr>
          <w:rFonts w:eastAsia="標楷體" w:hint="eastAsia"/>
          <w:szCs w:val="22"/>
        </w:rPr>
        <w:t>這個動詞派生出來的，√</w:t>
      </w:r>
      <w:r w:rsidRPr="00761EF3">
        <w:rPr>
          <w:rFonts w:eastAsia="標楷體"/>
          <w:szCs w:val="22"/>
        </w:rPr>
        <w:t>vṛ</w:t>
      </w:r>
      <w:r w:rsidRPr="00412A9C">
        <w:rPr>
          <w:rFonts w:eastAsia="標楷體" w:hint="eastAsia"/>
          <w:szCs w:val="22"/>
        </w:rPr>
        <w:t>是「覆蓋」或「遮蔽」（</w:t>
      </w:r>
      <w:r w:rsidRPr="00761EF3">
        <w:rPr>
          <w:rFonts w:eastAsia="標楷體"/>
          <w:szCs w:val="22"/>
        </w:rPr>
        <w:t>cover</w:t>
      </w:r>
      <w:r w:rsidRPr="00412A9C">
        <w:rPr>
          <w:rFonts w:eastAsia="標楷體" w:hint="eastAsia"/>
          <w:szCs w:val="22"/>
        </w:rPr>
        <w:t>）之義，</w:t>
      </w:r>
      <w:r w:rsidRPr="00761EF3">
        <w:rPr>
          <w:rFonts w:eastAsia="標楷體"/>
          <w:szCs w:val="22"/>
        </w:rPr>
        <w:t>saṃ</w:t>
      </w:r>
      <w:r w:rsidRPr="00412A9C">
        <w:rPr>
          <w:rFonts w:eastAsia="標楷體" w:hint="eastAsia"/>
          <w:szCs w:val="22"/>
        </w:rPr>
        <w:t>是「完全」的意思，因此所謂</w:t>
      </w:r>
      <w:r w:rsidRPr="00761EF3">
        <w:rPr>
          <w:rFonts w:eastAsia="標楷體"/>
          <w:szCs w:val="22"/>
        </w:rPr>
        <w:t>saṃvṛti</w:t>
      </w:r>
      <w:r w:rsidRPr="00412A9C">
        <w:rPr>
          <w:rFonts w:eastAsia="標楷體" w:hint="eastAsia"/>
          <w:szCs w:val="22"/>
        </w:rPr>
        <w:t>便有「完全覆蓋」之義。</w:t>
      </w:r>
      <w:r w:rsidRPr="00EB3FD4">
        <w:rPr>
          <w:rFonts w:eastAsia="標楷體" w:hint="eastAsia"/>
          <w:szCs w:val="22"/>
          <w:shd w:val="pct15" w:color="auto" w:fill="FFFFFF"/>
        </w:rPr>
        <w:t>……</w:t>
      </w:r>
    </w:p>
  </w:footnote>
  <w:footnote w:id="919">
    <w:p w:rsidR="00157EF6" w:rsidRPr="00412A9C" w:rsidRDefault="00157EF6" w:rsidP="00AA120F">
      <w:pPr>
        <w:pStyle w:val="a5"/>
        <w:ind w:left="187" w:hangingChars="85" w:hanging="187"/>
        <w:jc w:val="both"/>
        <w:rPr>
          <w:szCs w:val="22"/>
        </w:rPr>
      </w:pPr>
      <w:r w:rsidRPr="00412A9C">
        <w:rPr>
          <w:rStyle w:val="a6"/>
          <w:szCs w:val="22"/>
        </w:rPr>
        <w:footnoteRef/>
      </w:r>
      <w:r>
        <w:rPr>
          <w:rFonts w:hint="eastAsia"/>
          <w:szCs w:val="22"/>
        </w:rPr>
        <w:t xml:space="preserve"> </w:t>
      </w:r>
      <w:r w:rsidRPr="00412A9C">
        <w:rPr>
          <w:rFonts w:hint="eastAsia"/>
          <w:szCs w:val="22"/>
        </w:rPr>
        <w:t>《雜阿含經》卷</w:t>
      </w:r>
      <w:r w:rsidRPr="00761EF3">
        <w:rPr>
          <w:szCs w:val="22"/>
        </w:rPr>
        <w:t>16</w:t>
      </w:r>
      <w:r w:rsidRPr="00412A9C">
        <w:rPr>
          <w:rFonts w:hint="eastAsia"/>
          <w:szCs w:val="22"/>
        </w:rPr>
        <w:t>（</w:t>
      </w:r>
      <w:r w:rsidRPr="00761EF3">
        <w:rPr>
          <w:szCs w:val="22"/>
        </w:rPr>
        <w:t>417</w:t>
      </w:r>
      <w:r w:rsidRPr="00412A9C">
        <w:rPr>
          <w:rFonts w:hint="eastAsia"/>
          <w:szCs w:val="22"/>
        </w:rPr>
        <w:t>經）（大正</w:t>
      </w:r>
      <w:r w:rsidRPr="00761EF3">
        <w:rPr>
          <w:szCs w:val="22"/>
        </w:rPr>
        <w:t>2</w:t>
      </w:r>
      <w:r w:rsidRPr="00412A9C">
        <w:rPr>
          <w:rFonts w:hint="eastAsia"/>
          <w:szCs w:val="22"/>
        </w:rPr>
        <w:t>，</w:t>
      </w:r>
      <w:r w:rsidRPr="00761EF3">
        <w:rPr>
          <w:szCs w:val="22"/>
        </w:rPr>
        <w:t>110c2</w:t>
      </w:r>
      <w:r w:rsidRPr="00412A9C">
        <w:rPr>
          <w:szCs w:val="22"/>
        </w:rPr>
        <w:t>-</w:t>
      </w:r>
      <w:r w:rsidRPr="00761EF3">
        <w:rPr>
          <w:rFonts w:hint="eastAsia"/>
          <w:szCs w:val="22"/>
        </w:rPr>
        <w:t>11</w:t>
      </w:r>
      <w:r w:rsidRPr="00412A9C">
        <w:rPr>
          <w:rFonts w:hint="eastAsia"/>
          <w:szCs w:val="22"/>
        </w:rPr>
        <w:t>）：</w:t>
      </w:r>
    </w:p>
    <w:p w:rsidR="00157EF6" w:rsidRPr="00412A9C" w:rsidRDefault="00157EF6" w:rsidP="00AA120F">
      <w:pPr>
        <w:pStyle w:val="a5"/>
        <w:ind w:leftChars="75" w:left="180"/>
        <w:jc w:val="both"/>
        <w:rPr>
          <w:rFonts w:eastAsia="標楷體"/>
          <w:szCs w:val="22"/>
        </w:rPr>
      </w:pPr>
      <w:r w:rsidRPr="00412A9C">
        <w:rPr>
          <w:rFonts w:eastAsia="標楷體" w:hint="eastAsia"/>
          <w:szCs w:val="22"/>
        </w:rPr>
        <w:t>佛告比丘：「汝云何持我所說四聖諦？」</w:t>
      </w:r>
    </w:p>
    <w:p w:rsidR="00157EF6" w:rsidRPr="00412A9C" w:rsidRDefault="00157EF6" w:rsidP="00AA120F">
      <w:pPr>
        <w:pStyle w:val="a5"/>
        <w:ind w:leftChars="75" w:left="180"/>
        <w:jc w:val="both"/>
        <w:rPr>
          <w:rFonts w:eastAsia="標楷體"/>
          <w:szCs w:val="22"/>
        </w:rPr>
      </w:pPr>
      <w:r w:rsidRPr="00412A9C">
        <w:rPr>
          <w:rFonts w:eastAsia="標楷體" w:hint="eastAsia"/>
          <w:szCs w:val="22"/>
        </w:rPr>
        <w:t>比丘白佛言：「世尊說苦聖諦，我悉受持，如如，不離如，不異如，</w:t>
      </w:r>
      <w:r w:rsidRPr="00412A9C">
        <w:rPr>
          <w:rFonts w:eastAsia="標楷體" w:hint="eastAsia"/>
          <w:b/>
          <w:szCs w:val="22"/>
        </w:rPr>
        <w:t>真實，審諦，不顛倒</w:t>
      </w:r>
      <w:r w:rsidRPr="00412A9C">
        <w:rPr>
          <w:rFonts w:eastAsia="標楷體" w:hint="eastAsia"/>
          <w:szCs w:val="22"/>
        </w:rPr>
        <w:t>，是聖所諦，是名苦聖諦</w:t>
      </w:r>
      <w:r w:rsidR="00936B2B">
        <w:rPr>
          <w:rFonts w:ascii="標楷體" w:eastAsia="標楷體" w:hAnsi="標楷體" w:hint="eastAsia"/>
          <w:color w:val="FF0000"/>
          <w:spacing w:val="-4"/>
          <w:kern w:val="0"/>
          <w:highlight w:val="yellow"/>
        </w:rPr>
        <w:t>；</w:t>
      </w:r>
      <w:r w:rsidRPr="00412A9C">
        <w:rPr>
          <w:rFonts w:eastAsia="標楷體" w:hint="eastAsia"/>
          <w:szCs w:val="22"/>
        </w:rPr>
        <w:t>世尊說苦集聖諦、苦滅聖諦、苦滅道跡聖諦，如如，不離如，不異如，</w:t>
      </w:r>
      <w:r w:rsidRPr="00412A9C">
        <w:rPr>
          <w:rFonts w:eastAsia="標楷體" w:hint="eastAsia"/>
          <w:b/>
          <w:szCs w:val="22"/>
        </w:rPr>
        <w:t>真實，審諦，不顛倒</w:t>
      </w:r>
      <w:r w:rsidRPr="00412A9C">
        <w:rPr>
          <w:rFonts w:eastAsia="標楷體" w:hint="eastAsia"/>
          <w:szCs w:val="22"/>
        </w:rPr>
        <w:t>，是聖所諦。是為世尊說四聖諦，我悉受持。」</w:t>
      </w:r>
    </w:p>
    <w:p w:rsidR="00157EF6" w:rsidRPr="00412A9C" w:rsidRDefault="00157EF6" w:rsidP="00AA120F">
      <w:pPr>
        <w:pStyle w:val="a5"/>
        <w:ind w:leftChars="75" w:left="180"/>
        <w:jc w:val="both"/>
        <w:rPr>
          <w:szCs w:val="22"/>
        </w:rPr>
      </w:pPr>
      <w:r w:rsidRPr="00412A9C">
        <w:rPr>
          <w:rFonts w:eastAsia="標楷體" w:hint="eastAsia"/>
          <w:szCs w:val="22"/>
        </w:rPr>
        <w:t>佛告比丘：「善哉！善哉！汝真實持我所說四聖諦，如如，不離如，不異如，</w:t>
      </w:r>
      <w:r w:rsidRPr="00412A9C">
        <w:rPr>
          <w:rFonts w:eastAsia="標楷體" w:hint="eastAsia"/>
          <w:b/>
          <w:szCs w:val="22"/>
        </w:rPr>
        <w:t>真實，審諦，不顛倒</w:t>
      </w:r>
      <w:r w:rsidRPr="00412A9C">
        <w:rPr>
          <w:rFonts w:eastAsia="標楷體" w:hint="eastAsia"/>
          <w:szCs w:val="22"/>
        </w:rPr>
        <w:t>，是名比丘真實持我四聖諦。</w:t>
      </w:r>
      <w:r w:rsidRPr="00412A9C">
        <w:rPr>
          <w:rFonts w:hint="eastAsia"/>
          <w:szCs w:val="22"/>
        </w:rPr>
        <w:t>」</w:t>
      </w:r>
    </w:p>
  </w:footnote>
  <w:footnote w:id="920">
    <w:p w:rsidR="00EB3FD4" w:rsidRPr="00412A9C" w:rsidRDefault="00EB3FD4" w:rsidP="00EB3FD4">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rFonts w:hint="eastAsia"/>
          <w:szCs w:val="22"/>
        </w:rPr>
        <w:t>（</w:t>
      </w:r>
      <w:r w:rsidRPr="00761EF3">
        <w:rPr>
          <w:szCs w:val="22"/>
        </w:rPr>
        <w:t>1</w:t>
      </w:r>
      <w:r w:rsidRPr="00412A9C">
        <w:rPr>
          <w:rFonts w:hint="eastAsia"/>
          <w:szCs w:val="22"/>
        </w:rPr>
        <w:t>）</w:t>
      </w:r>
      <w:r w:rsidRPr="00837CED">
        <w:rPr>
          <w:rFonts w:hint="eastAsia"/>
          <w:szCs w:val="22"/>
        </w:rPr>
        <w:t>無著</w:t>
      </w:r>
      <w:r w:rsidRPr="00412A9C">
        <w:rPr>
          <w:rFonts w:hint="eastAsia"/>
          <w:szCs w:val="22"/>
        </w:rPr>
        <w:t>菩薩造，</w:t>
      </w:r>
      <w:r w:rsidRPr="00412A9C">
        <w:rPr>
          <w:szCs w:val="22"/>
        </w:rPr>
        <w:t>〔</w:t>
      </w:r>
      <w:r w:rsidRPr="00412A9C">
        <w:rPr>
          <w:rFonts w:hint="eastAsia"/>
          <w:szCs w:val="22"/>
        </w:rPr>
        <w:t>唐</w:t>
      </w:r>
      <w:r w:rsidRPr="00412A9C">
        <w:rPr>
          <w:szCs w:val="22"/>
        </w:rPr>
        <w:t>〕</w:t>
      </w:r>
      <w:r w:rsidRPr="00412A9C">
        <w:rPr>
          <w:rFonts w:hint="eastAsia"/>
          <w:szCs w:val="22"/>
        </w:rPr>
        <w:t>玄奘譯，《攝大乘論本》卷</w:t>
      </w:r>
      <w:r w:rsidRPr="00761EF3">
        <w:rPr>
          <w:szCs w:val="22"/>
        </w:rPr>
        <w:t>2</w:t>
      </w:r>
      <w:r w:rsidRPr="00412A9C">
        <w:rPr>
          <w:szCs w:val="22"/>
        </w:rPr>
        <w:t>（</w:t>
      </w:r>
      <w:r w:rsidRPr="00412A9C">
        <w:rPr>
          <w:rFonts w:hint="eastAsia"/>
          <w:szCs w:val="22"/>
        </w:rPr>
        <w:t>大正</w:t>
      </w:r>
      <w:r w:rsidRPr="00761EF3">
        <w:rPr>
          <w:szCs w:val="22"/>
        </w:rPr>
        <w:t>31</w:t>
      </w:r>
      <w:r w:rsidRPr="00412A9C">
        <w:rPr>
          <w:rFonts w:hint="eastAsia"/>
          <w:szCs w:val="22"/>
        </w:rPr>
        <w:t>，</w:t>
      </w:r>
      <w:r w:rsidRPr="00761EF3">
        <w:rPr>
          <w:szCs w:val="22"/>
        </w:rPr>
        <w:t>139a26</w:t>
      </w:r>
      <w:r w:rsidRPr="00412A9C">
        <w:rPr>
          <w:szCs w:val="22"/>
        </w:rPr>
        <w:t>-</w:t>
      </w:r>
      <w:r w:rsidRPr="00761EF3">
        <w:rPr>
          <w:szCs w:val="22"/>
        </w:rPr>
        <w:t>b9</w:t>
      </w:r>
      <w:r w:rsidRPr="00412A9C">
        <w:rPr>
          <w:szCs w:val="22"/>
        </w:rPr>
        <w:t>）</w:t>
      </w:r>
      <w:r w:rsidRPr="00412A9C">
        <w:rPr>
          <w:rFonts w:hint="eastAsia"/>
          <w:szCs w:val="22"/>
        </w:rPr>
        <w:t>：</w:t>
      </w:r>
    </w:p>
    <w:p w:rsidR="00EB3FD4" w:rsidRPr="00412A9C" w:rsidRDefault="00EB3FD4" w:rsidP="00EB3FD4">
      <w:pPr>
        <w:pStyle w:val="a5"/>
        <w:ind w:leftChars="335" w:left="804"/>
        <w:jc w:val="both"/>
        <w:rPr>
          <w:rFonts w:ascii="標楷體" w:eastAsia="標楷體" w:hAnsi="標楷體"/>
          <w:szCs w:val="22"/>
        </w:rPr>
      </w:pPr>
      <w:r w:rsidRPr="00412A9C">
        <w:rPr>
          <w:rFonts w:ascii="標楷體" w:eastAsia="標楷體" w:hAnsi="標楷體" w:hint="eastAsia"/>
          <w:szCs w:val="22"/>
        </w:rPr>
        <w:t>若</w:t>
      </w:r>
      <w:r w:rsidR="00936B2B">
        <w:rPr>
          <w:rFonts w:ascii="標楷體" w:eastAsia="標楷體" w:hAnsi="標楷體" w:hint="eastAsia"/>
          <w:bCs/>
          <w:color w:val="FF0000"/>
          <w:kern w:val="0"/>
          <w:highlight w:val="yellow"/>
        </w:rPr>
        <w:t>「</w:t>
      </w:r>
      <w:r w:rsidR="00936B2B">
        <w:rPr>
          <w:rFonts w:ascii="標楷體" w:eastAsia="標楷體" w:hAnsi="標楷體" w:hint="eastAsia"/>
          <w:color w:val="FF0000"/>
          <w:kern w:val="0"/>
          <w:highlight w:val="yellow"/>
        </w:rPr>
        <w:t>『</w:t>
      </w:r>
      <w:r w:rsidRPr="00412A9C">
        <w:rPr>
          <w:rFonts w:ascii="標楷體" w:eastAsia="標楷體" w:hAnsi="標楷體" w:hint="eastAsia"/>
          <w:b/>
          <w:szCs w:val="22"/>
        </w:rPr>
        <w:t>依他起自性</w:t>
      </w:r>
      <w:r w:rsidR="00936B2B">
        <w:rPr>
          <w:rFonts w:ascii="標楷體" w:eastAsia="標楷體" w:hAnsi="標楷體" w:hint="eastAsia"/>
          <w:color w:val="FF0000"/>
          <w:kern w:val="0"/>
          <w:highlight w:val="yellow"/>
        </w:rPr>
        <w:t>』</w:t>
      </w:r>
      <w:r w:rsidRPr="00412A9C">
        <w:rPr>
          <w:rFonts w:ascii="標楷體" w:eastAsia="標楷體" w:hAnsi="標楷體" w:hint="eastAsia"/>
          <w:szCs w:val="22"/>
        </w:rPr>
        <w:t>，</w:t>
      </w:r>
      <w:r w:rsidRPr="00412A9C">
        <w:rPr>
          <w:rFonts w:ascii="標楷體" w:eastAsia="標楷體" w:hAnsi="標楷體" w:hint="eastAsia"/>
          <w:b/>
          <w:szCs w:val="22"/>
        </w:rPr>
        <w:t>實唯有識，似義顯現之所依止</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，云何成</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依他起</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？何因緣故名</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依他起</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？從自熏習種子所生，依他緣起</w:t>
      </w:r>
      <w:r w:rsidR="00936B2B">
        <w:rPr>
          <w:rFonts w:ascii="標楷體" w:eastAsia="標楷體" w:hAnsi="標楷體" w:hint="eastAsia"/>
          <w:color w:val="FF0000"/>
          <w:kern w:val="0"/>
          <w:highlight w:val="yellow"/>
        </w:rPr>
        <w:t>，</w:t>
      </w:r>
      <w:r w:rsidRPr="00412A9C">
        <w:rPr>
          <w:rFonts w:ascii="標楷體" w:eastAsia="標楷體" w:hAnsi="標楷體" w:hint="eastAsia"/>
          <w:szCs w:val="22"/>
        </w:rPr>
        <w:t>故名</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依他起</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；生剎那後</w:t>
      </w:r>
      <w:r w:rsidR="00936B2B">
        <w:rPr>
          <w:rFonts w:ascii="標楷體" w:eastAsia="標楷體" w:hAnsi="標楷體" w:hint="eastAsia"/>
          <w:color w:val="FF0000"/>
          <w:kern w:val="0"/>
          <w:highlight w:val="yellow"/>
        </w:rPr>
        <w:t>，</w:t>
      </w:r>
      <w:r w:rsidRPr="00412A9C">
        <w:rPr>
          <w:rFonts w:ascii="標楷體" w:eastAsia="標楷體" w:hAnsi="標楷體" w:hint="eastAsia"/>
          <w:szCs w:val="22"/>
        </w:rPr>
        <w:t>無有功能自然住故，名</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依他起</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w:t>
      </w:r>
    </w:p>
    <w:p w:rsidR="00EB3FD4" w:rsidRPr="00412A9C" w:rsidRDefault="00EB3FD4" w:rsidP="00EB3FD4">
      <w:pPr>
        <w:pStyle w:val="a5"/>
        <w:ind w:leftChars="335" w:left="804"/>
        <w:jc w:val="both"/>
        <w:rPr>
          <w:rFonts w:ascii="標楷體" w:eastAsia="標楷體" w:hAnsi="標楷體"/>
          <w:szCs w:val="22"/>
        </w:rPr>
      </w:pPr>
      <w:r w:rsidRPr="00412A9C">
        <w:rPr>
          <w:rFonts w:ascii="標楷體" w:eastAsia="標楷體" w:hAnsi="標楷體" w:hint="eastAsia"/>
          <w:szCs w:val="22"/>
        </w:rPr>
        <w:t>若</w:t>
      </w:r>
      <w:r w:rsidR="00936B2B">
        <w:rPr>
          <w:rFonts w:ascii="標楷體" w:eastAsia="標楷體" w:hAnsi="標楷體" w:hint="eastAsia"/>
          <w:bCs/>
          <w:color w:val="FF0000"/>
          <w:kern w:val="0"/>
          <w:highlight w:val="yellow"/>
        </w:rPr>
        <w:t>「</w:t>
      </w:r>
      <w:r w:rsidR="00936B2B">
        <w:rPr>
          <w:rFonts w:ascii="標楷體" w:eastAsia="標楷體" w:hAnsi="標楷體" w:hint="eastAsia"/>
          <w:color w:val="FF0000"/>
          <w:kern w:val="0"/>
          <w:highlight w:val="yellow"/>
        </w:rPr>
        <w:t>『</w:t>
      </w:r>
      <w:r w:rsidRPr="00412A9C">
        <w:rPr>
          <w:rFonts w:ascii="標楷體" w:eastAsia="標楷體" w:hAnsi="標楷體" w:hint="eastAsia"/>
          <w:b/>
          <w:szCs w:val="22"/>
        </w:rPr>
        <w:t>遍計所執自性</w:t>
      </w:r>
      <w:r w:rsidR="00936B2B">
        <w:rPr>
          <w:rFonts w:ascii="標楷體" w:eastAsia="標楷體" w:hAnsi="標楷體" w:hint="eastAsia"/>
          <w:color w:val="FF0000"/>
          <w:kern w:val="0"/>
          <w:highlight w:val="yellow"/>
        </w:rPr>
        <w:t>』</w:t>
      </w:r>
      <w:r w:rsidRPr="00412A9C">
        <w:rPr>
          <w:rFonts w:ascii="標楷體" w:eastAsia="標楷體" w:hAnsi="標楷體" w:hint="eastAsia"/>
          <w:b/>
          <w:szCs w:val="22"/>
        </w:rPr>
        <w:t>，依</w:t>
      </w:r>
      <w:r w:rsidR="00936B2B">
        <w:rPr>
          <w:rFonts w:ascii="標楷體" w:eastAsia="標楷體" w:hAnsi="標楷體" w:hint="eastAsia"/>
          <w:color w:val="FF0000"/>
          <w:kern w:val="0"/>
          <w:highlight w:val="yellow"/>
        </w:rPr>
        <w:t>『</w:t>
      </w:r>
      <w:r w:rsidRPr="00412A9C">
        <w:rPr>
          <w:rFonts w:ascii="標楷體" w:eastAsia="標楷體" w:hAnsi="標楷體" w:hint="eastAsia"/>
          <w:b/>
          <w:szCs w:val="22"/>
        </w:rPr>
        <w:t>依他起</w:t>
      </w:r>
      <w:r w:rsidR="00936B2B">
        <w:rPr>
          <w:rFonts w:ascii="標楷體" w:eastAsia="標楷體" w:hAnsi="標楷體" w:hint="eastAsia"/>
          <w:color w:val="FF0000"/>
          <w:kern w:val="0"/>
          <w:highlight w:val="yellow"/>
        </w:rPr>
        <w:t>』</w:t>
      </w:r>
      <w:r w:rsidRPr="00412A9C">
        <w:rPr>
          <w:rFonts w:ascii="標楷體" w:eastAsia="標楷體" w:hAnsi="標楷體" w:hint="eastAsia"/>
          <w:b/>
          <w:szCs w:val="22"/>
        </w:rPr>
        <w:t>，實無所有</w:t>
      </w:r>
      <w:r w:rsidR="00936B2B">
        <w:rPr>
          <w:rFonts w:ascii="標楷體" w:eastAsia="標楷體" w:hAnsi="標楷體" w:hint="eastAsia"/>
          <w:color w:val="FF0000"/>
          <w:kern w:val="0"/>
          <w:highlight w:val="yellow"/>
        </w:rPr>
        <w:t>，</w:t>
      </w:r>
      <w:r w:rsidRPr="00412A9C">
        <w:rPr>
          <w:rFonts w:ascii="標楷體" w:eastAsia="標楷體" w:hAnsi="標楷體" w:hint="eastAsia"/>
          <w:b/>
          <w:szCs w:val="22"/>
        </w:rPr>
        <w:t>似義顯現</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，云何成</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遍計所執</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？何因緣故名</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遍計所執</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？無量行相意識遍計顛倒生相，故名</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遍計所執</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；自相實無，唯有遍計所執可得，是故說名</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遍計所執</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w:t>
      </w:r>
    </w:p>
    <w:p w:rsidR="00EB3FD4" w:rsidRPr="00412A9C" w:rsidRDefault="00EB3FD4" w:rsidP="00EB3FD4">
      <w:pPr>
        <w:pStyle w:val="a5"/>
        <w:ind w:leftChars="335" w:left="804"/>
        <w:jc w:val="both"/>
        <w:rPr>
          <w:szCs w:val="22"/>
        </w:rPr>
      </w:pPr>
      <w:r w:rsidRPr="00412A9C">
        <w:rPr>
          <w:rFonts w:ascii="標楷體" w:eastAsia="標楷體" w:hAnsi="標楷體" w:hint="eastAsia"/>
          <w:szCs w:val="22"/>
        </w:rPr>
        <w:t>若</w:t>
      </w:r>
      <w:r w:rsidR="00936B2B">
        <w:rPr>
          <w:rFonts w:ascii="標楷體" w:eastAsia="標楷體" w:hAnsi="標楷體" w:hint="eastAsia"/>
          <w:bCs/>
          <w:color w:val="FF0000"/>
          <w:kern w:val="0"/>
          <w:highlight w:val="yellow"/>
        </w:rPr>
        <w:t>「</w:t>
      </w:r>
      <w:r w:rsidR="00936B2B">
        <w:rPr>
          <w:rFonts w:ascii="標楷體" w:eastAsia="標楷體" w:hAnsi="標楷體" w:hint="eastAsia"/>
          <w:color w:val="FF0000"/>
          <w:kern w:val="0"/>
          <w:highlight w:val="yellow"/>
        </w:rPr>
        <w:t>『</w:t>
      </w:r>
      <w:r w:rsidRPr="00412A9C">
        <w:rPr>
          <w:rFonts w:ascii="標楷體" w:eastAsia="標楷體" w:hAnsi="標楷體" w:hint="eastAsia"/>
          <w:b/>
          <w:szCs w:val="22"/>
        </w:rPr>
        <w:t>圓成實自性</w:t>
      </w:r>
      <w:r w:rsidR="00936B2B">
        <w:rPr>
          <w:rFonts w:ascii="標楷體" w:eastAsia="標楷體" w:hAnsi="標楷體" w:hint="eastAsia"/>
          <w:color w:val="FF0000"/>
          <w:kern w:val="0"/>
          <w:highlight w:val="yellow"/>
        </w:rPr>
        <w:t>』</w:t>
      </w:r>
      <w:r w:rsidRPr="00412A9C">
        <w:rPr>
          <w:rFonts w:ascii="標楷體" w:eastAsia="標楷體" w:hAnsi="標楷體" w:hint="eastAsia"/>
          <w:b/>
          <w:szCs w:val="22"/>
        </w:rPr>
        <w:t>是遍計所執永無有相</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，云何成</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圓成實</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？何因緣故名</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圓成實</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？由無變異性</w:t>
      </w:r>
      <w:r w:rsidR="00936B2B">
        <w:rPr>
          <w:rFonts w:ascii="標楷體" w:eastAsia="標楷體" w:hAnsi="標楷體" w:hint="eastAsia"/>
          <w:color w:val="FF0000"/>
          <w:kern w:val="0"/>
          <w:highlight w:val="yellow"/>
        </w:rPr>
        <w:t>，</w:t>
      </w:r>
      <w:r w:rsidRPr="00412A9C">
        <w:rPr>
          <w:rFonts w:ascii="標楷體" w:eastAsia="標楷體" w:hAnsi="標楷體" w:hint="eastAsia"/>
          <w:szCs w:val="22"/>
        </w:rPr>
        <w:t>故名</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圓成實</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；又由清淨所緣性故</w:t>
      </w:r>
      <w:r w:rsidR="00936B2B">
        <w:rPr>
          <w:rFonts w:ascii="標楷體" w:eastAsia="標楷體" w:hAnsi="標楷體" w:hint="eastAsia"/>
          <w:color w:val="FF0000"/>
          <w:spacing w:val="-4"/>
          <w:kern w:val="0"/>
          <w:highlight w:val="yellow"/>
        </w:rPr>
        <w:t>、</w:t>
      </w:r>
      <w:r w:rsidRPr="00412A9C">
        <w:rPr>
          <w:rFonts w:ascii="標楷體" w:eastAsia="標楷體" w:hAnsi="標楷體" w:hint="eastAsia"/>
          <w:szCs w:val="22"/>
        </w:rPr>
        <w:t>一切善法最勝性故，由最勝義</w:t>
      </w:r>
      <w:r w:rsidR="00936B2B">
        <w:rPr>
          <w:rFonts w:ascii="標楷體" w:eastAsia="標楷體" w:hAnsi="標楷體" w:hint="eastAsia"/>
          <w:color w:val="FF0000"/>
          <w:kern w:val="0"/>
          <w:highlight w:val="yellow"/>
        </w:rPr>
        <w:t>，</w:t>
      </w:r>
      <w:r w:rsidRPr="00412A9C">
        <w:rPr>
          <w:rFonts w:ascii="標楷體" w:eastAsia="標楷體" w:hAnsi="標楷體" w:hint="eastAsia"/>
          <w:szCs w:val="22"/>
        </w:rPr>
        <w:t>名</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圓成實</w:t>
      </w:r>
      <w:r w:rsidR="00936B2B">
        <w:rPr>
          <w:rFonts w:ascii="標楷體" w:eastAsia="標楷體" w:hAnsi="標楷體" w:hint="eastAsia"/>
          <w:bCs/>
          <w:color w:val="FF0000"/>
          <w:kern w:val="0"/>
          <w:highlight w:val="yellow"/>
        </w:rPr>
        <w:t>」</w:t>
      </w:r>
      <w:r w:rsidRPr="00412A9C">
        <w:rPr>
          <w:rFonts w:ascii="標楷體" w:eastAsia="標楷體" w:hAnsi="標楷體" w:hint="eastAsia"/>
          <w:szCs w:val="22"/>
        </w:rPr>
        <w:t>。</w:t>
      </w:r>
    </w:p>
    <w:p w:rsidR="00EB3FD4" w:rsidRPr="00412A9C" w:rsidRDefault="00EB3FD4" w:rsidP="00EB3FD4">
      <w:pPr>
        <w:pStyle w:val="a5"/>
        <w:ind w:leftChars="105" w:left="791" w:hangingChars="245" w:hanging="539"/>
        <w:jc w:val="both"/>
        <w:rPr>
          <w:szCs w:val="22"/>
        </w:rPr>
      </w:pPr>
      <w:r w:rsidRPr="00412A9C">
        <w:rPr>
          <w:rFonts w:hint="eastAsia"/>
          <w:szCs w:val="22"/>
        </w:rPr>
        <w:t>（</w:t>
      </w:r>
      <w:r w:rsidRPr="00761EF3">
        <w:rPr>
          <w:szCs w:val="22"/>
        </w:rPr>
        <w:t>2</w:t>
      </w:r>
      <w:r w:rsidRPr="00412A9C">
        <w:rPr>
          <w:rFonts w:hint="eastAsia"/>
          <w:szCs w:val="22"/>
        </w:rPr>
        <w:t>）印順法師，《攝大乘論講記》，</w:t>
      </w:r>
      <w:r w:rsidRPr="00761EF3">
        <w:rPr>
          <w:szCs w:val="22"/>
        </w:rPr>
        <w:t>p</w:t>
      </w:r>
      <w:r w:rsidRPr="00412A9C">
        <w:rPr>
          <w:szCs w:val="22"/>
        </w:rPr>
        <w:t>.</w:t>
      </w:r>
      <w:r w:rsidRPr="00761EF3">
        <w:rPr>
          <w:szCs w:val="22"/>
        </w:rPr>
        <w:t>234</w:t>
      </w:r>
      <w:r w:rsidRPr="00412A9C">
        <w:rPr>
          <w:rFonts w:hint="eastAsia"/>
          <w:szCs w:val="22"/>
        </w:rPr>
        <w:t>：</w:t>
      </w:r>
    </w:p>
    <w:p w:rsidR="00EB3FD4" w:rsidRDefault="00EB3FD4" w:rsidP="00EB3FD4">
      <w:pPr>
        <w:pStyle w:val="a5"/>
        <w:ind w:leftChars="335" w:left="804"/>
        <w:jc w:val="both"/>
        <w:rPr>
          <w:rFonts w:ascii="標楷體" w:eastAsia="標楷體" w:hAnsi="標楷體"/>
          <w:szCs w:val="22"/>
        </w:rPr>
      </w:pPr>
      <w:r w:rsidRPr="00412A9C">
        <w:rPr>
          <w:rFonts w:ascii="標楷體" w:eastAsia="標楷體" w:hAnsi="標楷體" w:hint="eastAsia"/>
          <w:szCs w:val="22"/>
        </w:rPr>
        <w:t>這三性的名義，撮要</w:t>
      </w:r>
      <w:r w:rsidR="00047D54" w:rsidRPr="00047D54">
        <w:rPr>
          <w:rFonts w:eastAsia="標楷體" w:hint="eastAsia"/>
          <w:color w:val="FF0000"/>
          <w:szCs w:val="22"/>
          <w:shd w:val="pct15" w:color="auto" w:fill="FFFFFF"/>
        </w:rPr>
        <w:t>*</w:t>
      </w:r>
      <w:r w:rsidRPr="00412A9C">
        <w:rPr>
          <w:rFonts w:ascii="標楷體" w:eastAsia="標楷體" w:hAnsi="標楷體" w:hint="eastAsia"/>
          <w:szCs w:val="22"/>
        </w:rPr>
        <w:t>說來：仗因（種子）托緣而有的，名</w:t>
      </w:r>
      <w:r w:rsidRPr="00412A9C">
        <w:rPr>
          <w:rFonts w:ascii="標楷體" w:eastAsia="標楷體" w:hAnsi="標楷體" w:hint="eastAsia"/>
          <w:b/>
          <w:szCs w:val="22"/>
        </w:rPr>
        <w:t>依他起</w:t>
      </w:r>
      <w:r w:rsidRPr="00412A9C">
        <w:rPr>
          <w:rFonts w:ascii="標楷體" w:eastAsia="標楷體" w:hAnsi="標楷體" w:hint="eastAsia"/>
          <w:szCs w:val="22"/>
        </w:rPr>
        <w:t>；為識所緣，依識而現的叫</w:t>
      </w:r>
      <w:r w:rsidRPr="00412A9C">
        <w:rPr>
          <w:rFonts w:ascii="標楷體" w:eastAsia="標楷體" w:hAnsi="標楷體" w:hint="eastAsia"/>
          <w:b/>
          <w:szCs w:val="22"/>
        </w:rPr>
        <w:t>遍計執</w:t>
      </w:r>
      <w:r w:rsidRPr="00412A9C">
        <w:rPr>
          <w:rFonts w:ascii="標楷體" w:eastAsia="標楷體" w:hAnsi="標楷體" w:hint="eastAsia"/>
          <w:szCs w:val="22"/>
        </w:rPr>
        <w:t>；法性所顯的是</w:t>
      </w:r>
      <w:r w:rsidRPr="00412A9C">
        <w:rPr>
          <w:rFonts w:ascii="標楷體" w:eastAsia="標楷體" w:hAnsi="標楷體" w:hint="eastAsia"/>
          <w:b/>
          <w:szCs w:val="22"/>
        </w:rPr>
        <w:t>圓成實</w:t>
      </w:r>
      <w:r w:rsidRPr="00412A9C">
        <w:rPr>
          <w:rFonts w:ascii="標楷體" w:eastAsia="標楷體" w:hAnsi="標楷體" w:hint="eastAsia"/>
          <w:szCs w:val="22"/>
        </w:rPr>
        <w:t>。</w:t>
      </w:r>
    </w:p>
    <w:p w:rsidR="00047D54" w:rsidRPr="00047D54" w:rsidRDefault="00047D54" w:rsidP="00EB3FD4">
      <w:pPr>
        <w:pStyle w:val="a5"/>
        <w:ind w:leftChars="335" w:left="804"/>
        <w:jc w:val="both"/>
        <w:rPr>
          <w:color w:val="FF0000"/>
          <w:szCs w:val="22"/>
          <w:highlight w:val="yellow"/>
        </w:rPr>
      </w:pPr>
      <w:r w:rsidRPr="00047D54">
        <w:rPr>
          <w:rFonts w:eastAsia="標楷體" w:hint="eastAsia"/>
          <w:color w:val="FF0000"/>
          <w:szCs w:val="22"/>
          <w:shd w:val="pct15" w:color="auto" w:fill="FFFFFF"/>
        </w:rPr>
        <w:t>*</w:t>
      </w:r>
      <w:r w:rsidRPr="00047D54">
        <w:rPr>
          <w:rFonts w:hint="eastAsia"/>
          <w:color w:val="FF0000"/>
          <w:szCs w:val="22"/>
          <w:highlight w:val="yellow"/>
        </w:rPr>
        <w:t>撮（ㄘㄨㄛ）要：摘取要點。（《漢語大詞典》（六），</w:t>
      </w:r>
      <w:r w:rsidRPr="00047D54">
        <w:rPr>
          <w:color w:val="FF0000"/>
          <w:szCs w:val="22"/>
          <w:highlight w:val="yellow"/>
        </w:rPr>
        <w:t>p.</w:t>
      </w:r>
      <w:r w:rsidRPr="00047D54">
        <w:rPr>
          <w:rFonts w:hint="eastAsia"/>
          <w:color w:val="FF0000"/>
          <w:szCs w:val="22"/>
          <w:highlight w:val="yellow"/>
        </w:rPr>
        <w:t>87</w:t>
      </w:r>
      <w:r w:rsidRPr="00047D54">
        <w:rPr>
          <w:color w:val="FF0000"/>
          <w:szCs w:val="22"/>
          <w:highlight w:val="yellow"/>
        </w:rPr>
        <w:t>0</w:t>
      </w:r>
      <w:r w:rsidRPr="00047D54">
        <w:rPr>
          <w:rFonts w:hint="eastAsia"/>
          <w:color w:val="FF0000"/>
          <w:szCs w:val="22"/>
          <w:highlight w:val="yellow"/>
        </w:rPr>
        <w:t>）</w:t>
      </w:r>
    </w:p>
  </w:footnote>
  <w:footnote w:id="921">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得意：</w:t>
      </w:r>
      <w:r w:rsidRPr="00761EF3">
        <w:rPr>
          <w:szCs w:val="22"/>
        </w:rPr>
        <w:t>1</w:t>
      </w:r>
      <w:r w:rsidRPr="00412A9C">
        <w:rPr>
          <w:szCs w:val="22"/>
        </w:rPr>
        <w:t>.</w:t>
      </w:r>
      <w:r w:rsidRPr="00412A9C">
        <w:rPr>
          <w:rFonts w:hint="eastAsia"/>
          <w:szCs w:val="22"/>
        </w:rPr>
        <w:t>領會旨趣。（《漢語大詞典》（三），</w:t>
      </w:r>
      <w:r w:rsidRPr="00761EF3">
        <w:rPr>
          <w:szCs w:val="22"/>
        </w:rPr>
        <w:t>p</w:t>
      </w:r>
      <w:r w:rsidRPr="00412A9C">
        <w:rPr>
          <w:szCs w:val="22"/>
        </w:rPr>
        <w:t>.</w:t>
      </w:r>
      <w:r w:rsidRPr="00761EF3">
        <w:rPr>
          <w:szCs w:val="22"/>
        </w:rPr>
        <w:t>999</w:t>
      </w:r>
      <w:r w:rsidRPr="00412A9C">
        <w:rPr>
          <w:rFonts w:hint="eastAsia"/>
          <w:szCs w:val="22"/>
        </w:rPr>
        <w:t>）</w:t>
      </w:r>
    </w:p>
  </w:footnote>
  <w:footnote w:id="922">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撥（ㄅㄛ）：</w:t>
      </w:r>
      <w:r w:rsidRPr="00761EF3">
        <w:rPr>
          <w:szCs w:val="22"/>
        </w:rPr>
        <w:t>15</w:t>
      </w:r>
      <w:r w:rsidRPr="00412A9C">
        <w:rPr>
          <w:szCs w:val="22"/>
        </w:rPr>
        <w:t>.</w:t>
      </w:r>
      <w:r w:rsidRPr="00412A9C">
        <w:rPr>
          <w:rFonts w:hint="eastAsia"/>
          <w:szCs w:val="22"/>
        </w:rPr>
        <w:t>滅絕，斷絕。（《漢語大詞典》（六），</w:t>
      </w:r>
      <w:r w:rsidRPr="00761EF3">
        <w:rPr>
          <w:szCs w:val="22"/>
        </w:rPr>
        <w:t>p</w:t>
      </w:r>
      <w:r w:rsidRPr="00412A9C">
        <w:rPr>
          <w:szCs w:val="22"/>
        </w:rPr>
        <w:t>.</w:t>
      </w:r>
      <w:r w:rsidRPr="00761EF3">
        <w:rPr>
          <w:szCs w:val="22"/>
        </w:rPr>
        <w:t>894</w:t>
      </w:r>
      <w:r w:rsidRPr="00412A9C">
        <w:rPr>
          <w:rFonts w:hint="eastAsia"/>
          <w:szCs w:val="22"/>
        </w:rPr>
        <w:t>）</w:t>
      </w:r>
    </w:p>
  </w:footnote>
  <w:footnote w:id="923">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Pr>
          <w:rFonts w:hint="eastAsia"/>
          <w:szCs w:val="22"/>
        </w:rPr>
        <w:t xml:space="preserve"> </w:t>
      </w:r>
      <w:r w:rsidRPr="00412A9C">
        <w:rPr>
          <w:rFonts w:hint="eastAsia"/>
          <w:szCs w:val="22"/>
        </w:rPr>
        <w:t>《大智度論》卷</w:t>
      </w:r>
      <w:r w:rsidRPr="00761EF3">
        <w:rPr>
          <w:szCs w:val="22"/>
        </w:rPr>
        <w:t>1</w:t>
      </w:r>
      <w:r w:rsidR="00287E83">
        <w:rPr>
          <w:rFonts w:hint="eastAsia"/>
          <w:color w:val="FF0000"/>
          <w:szCs w:val="22"/>
          <w:highlight w:val="yellow"/>
        </w:rPr>
        <w:t>釋</w:t>
      </w:r>
      <w:r w:rsidRPr="00412A9C">
        <w:rPr>
          <w:rFonts w:hint="eastAsia"/>
          <w:szCs w:val="22"/>
        </w:rPr>
        <w:t>〈</w:t>
      </w:r>
      <w:r w:rsidRPr="00761EF3">
        <w:rPr>
          <w:szCs w:val="22"/>
        </w:rPr>
        <w:t>1</w:t>
      </w:r>
      <w:r w:rsidRPr="00412A9C">
        <w:rPr>
          <w:szCs w:val="22"/>
        </w:rPr>
        <w:t xml:space="preserve"> </w:t>
      </w:r>
      <w:r w:rsidRPr="00412A9C">
        <w:rPr>
          <w:rFonts w:hint="eastAsia"/>
          <w:szCs w:val="22"/>
        </w:rPr>
        <w:t>序品〉</w:t>
      </w:r>
      <w:r w:rsidRPr="00412A9C">
        <w:rPr>
          <w:szCs w:val="22"/>
        </w:rPr>
        <w:t>（</w:t>
      </w:r>
      <w:r w:rsidRPr="00412A9C">
        <w:rPr>
          <w:rFonts w:hint="eastAsia"/>
          <w:szCs w:val="22"/>
        </w:rPr>
        <w:t>大正</w:t>
      </w:r>
      <w:r w:rsidRPr="00761EF3">
        <w:rPr>
          <w:szCs w:val="22"/>
        </w:rPr>
        <w:t>25</w:t>
      </w:r>
      <w:r w:rsidRPr="00412A9C">
        <w:rPr>
          <w:rFonts w:hint="eastAsia"/>
          <w:szCs w:val="22"/>
        </w:rPr>
        <w:t>，</w:t>
      </w:r>
      <w:r w:rsidRPr="00761EF3">
        <w:rPr>
          <w:szCs w:val="22"/>
        </w:rPr>
        <w:t>61a28</w:t>
      </w:r>
      <w:r w:rsidRPr="00412A9C">
        <w:rPr>
          <w:szCs w:val="22"/>
        </w:rPr>
        <w:t>-</w:t>
      </w:r>
      <w:r w:rsidRPr="00761EF3">
        <w:rPr>
          <w:szCs w:val="22"/>
        </w:rPr>
        <w:t>b1</w:t>
      </w:r>
      <w:r w:rsidRPr="00412A9C">
        <w:rPr>
          <w:szCs w:val="22"/>
        </w:rPr>
        <w:t>）</w:t>
      </w:r>
      <w:r w:rsidRPr="00412A9C">
        <w:rPr>
          <w:rFonts w:hint="eastAsia"/>
          <w:szCs w:val="22"/>
        </w:rPr>
        <w:t>：</w:t>
      </w:r>
    </w:p>
    <w:p w:rsidR="00157EF6" w:rsidRPr="00412A9C" w:rsidRDefault="00157EF6" w:rsidP="00AA120F">
      <w:pPr>
        <w:pStyle w:val="a5"/>
        <w:ind w:leftChars="100" w:left="240"/>
        <w:jc w:val="both"/>
        <w:rPr>
          <w:szCs w:val="22"/>
        </w:rPr>
      </w:pPr>
      <w:r w:rsidRPr="00412A9C">
        <w:rPr>
          <w:rFonts w:ascii="標楷體" w:eastAsia="標楷體" w:hAnsi="標楷體" w:hint="eastAsia"/>
          <w:szCs w:val="22"/>
        </w:rPr>
        <w:t>更有佛法中</w:t>
      </w:r>
      <w:r w:rsidRPr="00412A9C">
        <w:rPr>
          <w:rFonts w:ascii="標楷體" w:eastAsia="標楷體" w:hAnsi="標楷體" w:hint="eastAsia"/>
          <w:b/>
          <w:szCs w:val="22"/>
        </w:rPr>
        <w:t>方廣道人</w:t>
      </w:r>
      <w:r w:rsidRPr="00412A9C">
        <w:rPr>
          <w:rFonts w:ascii="標楷體" w:eastAsia="標楷體" w:hAnsi="標楷體" w:hint="eastAsia"/>
          <w:szCs w:val="22"/>
        </w:rPr>
        <w:t>言：「一切法不生不滅，空無所有，譬如兔角</w:t>
      </w:r>
      <w:r w:rsidR="00634F9E">
        <w:rPr>
          <w:rFonts w:ascii="標楷體" w:eastAsia="標楷體" w:hAnsi="標楷體" w:hint="eastAsia"/>
          <w:color w:val="FF0000"/>
          <w:kern w:val="0"/>
          <w:highlight w:val="yellow"/>
        </w:rPr>
        <w:t>.</w:t>
      </w:r>
      <w:r w:rsidRPr="00412A9C">
        <w:rPr>
          <w:rFonts w:ascii="標楷體" w:eastAsia="標楷體" w:hAnsi="標楷體" w:hint="eastAsia"/>
          <w:szCs w:val="22"/>
        </w:rPr>
        <w:t>龜毛常無。</w:t>
      </w:r>
      <w:r w:rsidRPr="00412A9C">
        <w:rPr>
          <w:rFonts w:hint="eastAsia"/>
          <w:szCs w:val="22"/>
        </w:rPr>
        <w:t>」</w:t>
      </w:r>
    </w:p>
  </w:footnote>
  <w:footnote w:id="924">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rFonts w:hint="eastAsia"/>
          <w:szCs w:val="22"/>
        </w:rPr>
        <w:t>（</w:t>
      </w:r>
      <w:r w:rsidRPr="00761EF3">
        <w:rPr>
          <w:szCs w:val="22"/>
        </w:rPr>
        <w:t>1</w:t>
      </w:r>
      <w:r w:rsidRPr="00412A9C">
        <w:rPr>
          <w:rFonts w:hint="eastAsia"/>
          <w:szCs w:val="22"/>
        </w:rPr>
        <w:t>）印順法師，《空之探究》，</w:t>
      </w:r>
      <w:r w:rsidRPr="00761EF3">
        <w:rPr>
          <w:szCs w:val="22"/>
        </w:rPr>
        <w:t>pp</w:t>
      </w:r>
      <w:r w:rsidRPr="00412A9C">
        <w:rPr>
          <w:szCs w:val="22"/>
        </w:rPr>
        <w:t>.</w:t>
      </w:r>
      <w:r w:rsidRPr="00761EF3">
        <w:rPr>
          <w:szCs w:val="22"/>
        </w:rPr>
        <w:t>196</w:t>
      </w:r>
      <w:r w:rsidRPr="00412A9C">
        <w:rPr>
          <w:szCs w:val="22"/>
        </w:rPr>
        <w:t>-</w:t>
      </w:r>
      <w:r w:rsidRPr="00761EF3">
        <w:rPr>
          <w:szCs w:val="22"/>
        </w:rPr>
        <w:t>197</w:t>
      </w:r>
      <w:r w:rsidRPr="00412A9C">
        <w:rPr>
          <w:rFonts w:hint="eastAsia"/>
          <w:szCs w:val="22"/>
        </w:rPr>
        <w:t>：</w:t>
      </w:r>
    </w:p>
    <w:p w:rsidR="00157EF6" w:rsidRPr="00412A9C" w:rsidRDefault="00157EF6" w:rsidP="00AA120F">
      <w:pPr>
        <w:pStyle w:val="a5"/>
        <w:ind w:leftChars="335" w:left="804"/>
        <w:jc w:val="both"/>
        <w:rPr>
          <w:szCs w:val="22"/>
        </w:rPr>
      </w:pPr>
      <w:r w:rsidRPr="00412A9C">
        <w:rPr>
          <w:rFonts w:hint="eastAsia"/>
          <w:szCs w:val="22"/>
        </w:rPr>
        <w:t>《</w:t>
      </w:r>
      <w:r w:rsidRPr="00412A9C">
        <w:rPr>
          <w:rFonts w:eastAsia="標楷體" w:hint="eastAsia"/>
          <w:szCs w:val="22"/>
        </w:rPr>
        <w:t>摩訶般若波羅蜜經》〈序品〉，總列為十喻。一、幻，二、</w:t>
      </w:r>
      <w:r w:rsidRPr="00412A9C">
        <w:rPr>
          <w:rFonts w:eastAsia="標楷體" w:hint="eastAsia"/>
          <w:b/>
          <w:szCs w:val="22"/>
        </w:rPr>
        <w:t>（陽）焰</w:t>
      </w:r>
      <w:r w:rsidRPr="00412A9C">
        <w:rPr>
          <w:rFonts w:eastAsia="標楷體" w:hint="eastAsia"/>
          <w:szCs w:val="22"/>
        </w:rPr>
        <w:t>，三、水中月，四、虛空，五、響，六、揵闥婆城，七、夢，八、影，九、鏡中像，十、化。</w:t>
      </w:r>
      <w:r w:rsidRPr="00412A9C">
        <w:rPr>
          <w:rFonts w:eastAsia="標楷體" w:hint="eastAsia"/>
          <w:b/>
          <w:szCs w:val="22"/>
        </w:rPr>
        <w:t>這些譬喻的共通意義，是：看也看到，聽也聽到，明明有這回事，而其實卻是沒有的，根本沒有的。說他空、無所有，卻又看得聽得分明</w:t>
      </w:r>
      <w:r w:rsidRPr="00412A9C">
        <w:rPr>
          <w:rFonts w:eastAsia="標楷體" w:hint="eastAsia"/>
          <w:szCs w:val="22"/>
        </w:rPr>
        <w:t>。試舉一容易理解的</w:t>
      </w:r>
      <w:r w:rsidRPr="00412A9C">
        <w:rPr>
          <w:rFonts w:eastAsia="標楷體" w:hint="eastAsia"/>
          <w:b/>
          <w:szCs w:val="22"/>
        </w:rPr>
        <w:t>陽焰</w:t>
      </w:r>
      <w:r w:rsidRPr="00412A9C">
        <w:rPr>
          <w:rFonts w:eastAsia="標楷體" w:hint="eastAsia"/>
          <w:szCs w:val="22"/>
        </w:rPr>
        <w:t>來說：地上有水分，經太陽光的照射，化為水汽，在地面流動。遠遠望去。如一池水，在微波盪漾。口渴的鹿見了，也會跑過去喝，所以或稱為「</w:t>
      </w:r>
      <w:r w:rsidRPr="00412A9C">
        <w:rPr>
          <w:rFonts w:eastAsia="標楷體" w:hint="eastAsia"/>
          <w:b/>
          <w:szCs w:val="22"/>
        </w:rPr>
        <w:t>鹿愛</w:t>
      </w:r>
      <w:r w:rsidRPr="00412A9C">
        <w:rPr>
          <w:rFonts w:eastAsia="標楷體" w:hint="eastAsia"/>
          <w:szCs w:val="22"/>
        </w:rPr>
        <w:t>」。前方明明有水，微波盪漾，這是大家都見到的。但走到那邊，卻什麼也沒有（水汽也是看不到的）。說沒有麼，遠遠的望去，還是水波盪漾。這樣，以水來說，見到水時，並沒有水的生起，不能說是有；過去一看，水沒有了，不是水的滅去，也不能說是無。陽燄是這樣的不生不滅，非有非無，宛然現有而其實是空的。以陽燄作譬喻，一切法也都這樣。</w:t>
      </w:r>
    </w:p>
    <w:p w:rsidR="00634F9E" w:rsidRDefault="00157EF6" w:rsidP="00AA120F">
      <w:pPr>
        <w:pStyle w:val="a5"/>
        <w:ind w:leftChars="105" w:left="791" w:hangingChars="245" w:hanging="539"/>
        <w:jc w:val="both"/>
        <w:rPr>
          <w:szCs w:val="22"/>
        </w:rPr>
      </w:pPr>
      <w:r w:rsidRPr="00412A9C">
        <w:rPr>
          <w:rFonts w:hint="eastAsia"/>
          <w:szCs w:val="22"/>
        </w:rPr>
        <w:t>（</w:t>
      </w:r>
      <w:r w:rsidRPr="00761EF3">
        <w:rPr>
          <w:szCs w:val="22"/>
        </w:rPr>
        <w:t>2</w:t>
      </w:r>
      <w:r w:rsidRPr="00412A9C">
        <w:rPr>
          <w:rFonts w:hint="eastAsia"/>
          <w:szCs w:val="22"/>
        </w:rPr>
        <w:t>）陽焰：亦作</w:t>
      </w:r>
      <w:r w:rsidRPr="00412A9C">
        <w:rPr>
          <w:szCs w:val="22"/>
        </w:rPr>
        <w:t>“</w:t>
      </w:r>
      <w:r w:rsidRPr="00412A9C">
        <w:rPr>
          <w:rFonts w:hint="eastAsia"/>
          <w:szCs w:val="22"/>
        </w:rPr>
        <w:t>陽燄</w:t>
      </w:r>
      <w:r w:rsidRPr="00412A9C">
        <w:rPr>
          <w:szCs w:val="22"/>
        </w:rPr>
        <w:t>”</w:t>
      </w:r>
      <w:r w:rsidRPr="00412A9C">
        <w:rPr>
          <w:rFonts w:hint="eastAsia"/>
          <w:szCs w:val="22"/>
        </w:rPr>
        <w:t>。亦作</w:t>
      </w:r>
      <w:r w:rsidRPr="00412A9C">
        <w:rPr>
          <w:szCs w:val="22"/>
        </w:rPr>
        <w:t>“</w:t>
      </w:r>
      <w:r w:rsidRPr="00412A9C">
        <w:rPr>
          <w:rFonts w:hint="eastAsia"/>
          <w:szCs w:val="22"/>
        </w:rPr>
        <w:t>陽焱</w:t>
      </w:r>
      <w:r w:rsidRPr="00412A9C">
        <w:rPr>
          <w:szCs w:val="22"/>
        </w:rPr>
        <w:t>”</w:t>
      </w:r>
      <w:r w:rsidRPr="00412A9C">
        <w:rPr>
          <w:rFonts w:hint="eastAsia"/>
          <w:szCs w:val="22"/>
        </w:rPr>
        <w:t>。</w:t>
      </w:r>
      <w:r w:rsidRPr="00761EF3">
        <w:rPr>
          <w:szCs w:val="22"/>
        </w:rPr>
        <w:t>1</w:t>
      </w:r>
      <w:r w:rsidRPr="00412A9C">
        <w:rPr>
          <w:szCs w:val="22"/>
        </w:rPr>
        <w:t>.</w:t>
      </w:r>
      <w:r w:rsidRPr="00412A9C">
        <w:rPr>
          <w:rFonts w:hint="eastAsia"/>
          <w:szCs w:val="22"/>
        </w:rPr>
        <w:t>指浮塵為日光所照時呈現的一種遠望似水如霧的自然景象。佛經中常用以比喻事物之虛幻不實者。</w:t>
      </w:r>
    </w:p>
    <w:p w:rsidR="00157EF6" w:rsidRPr="00412A9C" w:rsidRDefault="00157EF6" w:rsidP="00634F9E">
      <w:pPr>
        <w:pStyle w:val="a5"/>
        <w:ind w:leftChars="105" w:left="791" w:hangingChars="245" w:hanging="539"/>
        <w:jc w:val="right"/>
        <w:rPr>
          <w:szCs w:val="22"/>
        </w:rPr>
      </w:pPr>
      <w:r w:rsidRPr="00412A9C">
        <w:rPr>
          <w:rFonts w:hint="eastAsia"/>
          <w:szCs w:val="22"/>
        </w:rPr>
        <w:t>（《漢語大詞典》（十一），</w:t>
      </w:r>
      <w:r w:rsidRPr="00761EF3">
        <w:rPr>
          <w:szCs w:val="22"/>
        </w:rPr>
        <w:t>p</w:t>
      </w:r>
      <w:r w:rsidRPr="00412A9C">
        <w:rPr>
          <w:szCs w:val="22"/>
        </w:rPr>
        <w:t>.</w:t>
      </w:r>
      <w:r w:rsidRPr="00761EF3">
        <w:rPr>
          <w:szCs w:val="22"/>
        </w:rPr>
        <w:t>1072</w:t>
      </w:r>
      <w:r w:rsidRPr="00412A9C">
        <w:rPr>
          <w:rFonts w:hint="eastAsia"/>
          <w:szCs w:val="22"/>
        </w:rPr>
        <w:t>）</w:t>
      </w:r>
    </w:p>
  </w:footnote>
  <w:footnote w:id="925">
    <w:p w:rsidR="009A0718" w:rsidRPr="00412A9C" w:rsidRDefault="009A0718" w:rsidP="009A0718">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印順法師，《性空學探源》，</w:t>
      </w:r>
      <w:r w:rsidRPr="00761EF3">
        <w:rPr>
          <w:szCs w:val="22"/>
        </w:rPr>
        <w:t>p</w:t>
      </w:r>
      <w:r w:rsidRPr="00412A9C">
        <w:rPr>
          <w:szCs w:val="22"/>
        </w:rPr>
        <w:t>.</w:t>
      </w:r>
      <w:r w:rsidRPr="00761EF3">
        <w:rPr>
          <w:szCs w:val="22"/>
        </w:rPr>
        <w:t>131</w:t>
      </w:r>
      <w:r w:rsidRPr="00412A9C">
        <w:rPr>
          <w:rFonts w:hint="eastAsia"/>
          <w:szCs w:val="22"/>
        </w:rPr>
        <w:t>：</w:t>
      </w:r>
    </w:p>
    <w:p w:rsidR="009A0718" w:rsidRPr="00412A9C" w:rsidRDefault="009A0718" w:rsidP="009A0718">
      <w:pPr>
        <w:pStyle w:val="a5"/>
        <w:ind w:leftChars="105" w:left="252"/>
        <w:jc w:val="both"/>
        <w:rPr>
          <w:szCs w:val="22"/>
        </w:rPr>
      </w:pPr>
      <w:r w:rsidRPr="00412A9C">
        <w:rPr>
          <w:rFonts w:ascii="標楷體" w:eastAsia="標楷體" w:hAnsi="標楷體" w:hint="eastAsia"/>
          <w:szCs w:val="22"/>
        </w:rPr>
        <w:t>有部主張一切法最後的單元是實相有，一合相是假名有，這是他們固有的思想，但假名有與實相有並不就是世俗諦與勝義諦。把二者配合起來說，在《婆沙》以後。</w:t>
      </w:r>
    </w:p>
  </w:footnote>
  <w:footnote w:id="926">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Pr>
          <w:rFonts w:hint="eastAsia"/>
          <w:szCs w:val="22"/>
        </w:rPr>
        <w:t xml:space="preserve"> </w:t>
      </w:r>
      <w:r w:rsidRPr="00412A9C">
        <w:rPr>
          <w:rFonts w:hint="eastAsia"/>
          <w:szCs w:val="22"/>
        </w:rPr>
        <w:t>《大智度論》卷</w:t>
      </w:r>
      <w:r w:rsidRPr="00761EF3">
        <w:rPr>
          <w:szCs w:val="22"/>
        </w:rPr>
        <w:t>6</w:t>
      </w:r>
      <w:r w:rsidR="00287E83">
        <w:rPr>
          <w:rFonts w:hint="eastAsia"/>
          <w:color w:val="FF0000"/>
          <w:szCs w:val="22"/>
          <w:highlight w:val="yellow"/>
        </w:rPr>
        <w:t>釋</w:t>
      </w:r>
      <w:r w:rsidRPr="00412A9C">
        <w:rPr>
          <w:rFonts w:hint="eastAsia"/>
          <w:szCs w:val="22"/>
        </w:rPr>
        <w:t>〈</w:t>
      </w:r>
      <w:r w:rsidRPr="00761EF3">
        <w:rPr>
          <w:szCs w:val="22"/>
        </w:rPr>
        <w:t>1</w:t>
      </w:r>
      <w:r w:rsidRPr="00412A9C">
        <w:rPr>
          <w:szCs w:val="22"/>
        </w:rPr>
        <w:t xml:space="preserve"> </w:t>
      </w:r>
      <w:r w:rsidRPr="00412A9C">
        <w:rPr>
          <w:rFonts w:hint="eastAsia"/>
          <w:szCs w:val="22"/>
        </w:rPr>
        <w:t>序品〉（大正</w:t>
      </w:r>
      <w:r w:rsidRPr="00761EF3">
        <w:rPr>
          <w:szCs w:val="22"/>
        </w:rPr>
        <w:t>25</w:t>
      </w:r>
      <w:r w:rsidRPr="00412A9C">
        <w:rPr>
          <w:rFonts w:hint="eastAsia"/>
          <w:szCs w:val="22"/>
        </w:rPr>
        <w:t>，</w:t>
      </w:r>
      <w:r w:rsidRPr="00761EF3">
        <w:rPr>
          <w:szCs w:val="22"/>
        </w:rPr>
        <w:t>102a19</w:t>
      </w:r>
      <w:r w:rsidRPr="00412A9C">
        <w:rPr>
          <w:szCs w:val="22"/>
        </w:rPr>
        <w:t>-</w:t>
      </w:r>
      <w:r w:rsidRPr="00761EF3">
        <w:rPr>
          <w:szCs w:val="22"/>
        </w:rPr>
        <w:t>2</w:t>
      </w:r>
      <w:r w:rsidR="00035559">
        <w:rPr>
          <w:rFonts w:hint="eastAsia"/>
          <w:color w:val="FF0000"/>
          <w:szCs w:val="22"/>
          <w:highlight w:val="yellow"/>
        </w:rPr>
        <w:t>7</w:t>
      </w:r>
      <w:r w:rsidRPr="00412A9C">
        <w:rPr>
          <w:rFonts w:hint="eastAsia"/>
          <w:szCs w:val="22"/>
        </w:rPr>
        <w:t>）：</w:t>
      </w:r>
    </w:p>
    <w:p w:rsidR="00157EF6" w:rsidRPr="00035559" w:rsidRDefault="00157EF6" w:rsidP="00AA120F">
      <w:pPr>
        <w:pStyle w:val="a5"/>
        <w:ind w:leftChars="105" w:left="252"/>
        <w:jc w:val="both"/>
        <w:rPr>
          <w:rFonts w:ascii="標楷體" w:eastAsia="標楷體" w:hAnsi="標楷體"/>
          <w:szCs w:val="22"/>
        </w:rPr>
      </w:pPr>
      <w:r w:rsidRPr="00035559">
        <w:rPr>
          <w:rFonts w:ascii="標楷體" w:eastAsia="標楷體" w:hAnsi="標楷體" w:hint="eastAsia"/>
          <w:szCs w:val="22"/>
        </w:rPr>
        <w:t>佛言：「汝頗見頗聞幻所作妓樂不？」</w:t>
      </w:r>
    </w:p>
    <w:p w:rsidR="00157EF6" w:rsidRPr="00035559" w:rsidRDefault="00157EF6" w:rsidP="00AA120F">
      <w:pPr>
        <w:pStyle w:val="a5"/>
        <w:ind w:leftChars="105" w:left="252"/>
        <w:jc w:val="both"/>
        <w:rPr>
          <w:rFonts w:ascii="標楷體" w:eastAsia="標楷體" w:hAnsi="標楷體"/>
          <w:szCs w:val="22"/>
        </w:rPr>
      </w:pPr>
      <w:r w:rsidRPr="00035559">
        <w:rPr>
          <w:rFonts w:ascii="標楷體" w:eastAsia="標楷體" w:hAnsi="標楷體" w:hint="eastAsia"/>
          <w:szCs w:val="22"/>
        </w:rPr>
        <w:t>答言：「我亦聞亦見。」</w:t>
      </w:r>
    </w:p>
    <w:p w:rsidR="00157EF6" w:rsidRPr="00035559" w:rsidRDefault="00157EF6" w:rsidP="00AA120F">
      <w:pPr>
        <w:pStyle w:val="a5"/>
        <w:ind w:leftChars="105" w:left="252"/>
        <w:jc w:val="both"/>
        <w:rPr>
          <w:rFonts w:ascii="標楷體" w:eastAsia="標楷體" w:hAnsi="標楷體"/>
          <w:szCs w:val="22"/>
        </w:rPr>
      </w:pPr>
      <w:r w:rsidRPr="00035559">
        <w:rPr>
          <w:rFonts w:ascii="標楷體" w:eastAsia="標楷體" w:hAnsi="標楷體" w:hint="eastAsia"/>
          <w:szCs w:val="22"/>
        </w:rPr>
        <w:t>佛問德女：「若幻空，欺誑無實，云何從幻能作妓樂？」</w:t>
      </w:r>
    </w:p>
    <w:p w:rsidR="00157EF6" w:rsidRPr="00035559" w:rsidRDefault="00157EF6" w:rsidP="00AA120F">
      <w:pPr>
        <w:pStyle w:val="a5"/>
        <w:ind w:leftChars="105" w:left="252"/>
        <w:jc w:val="both"/>
        <w:rPr>
          <w:rFonts w:ascii="標楷體" w:eastAsia="標楷體" w:hAnsi="標楷體"/>
          <w:szCs w:val="22"/>
        </w:rPr>
      </w:pPr>
      <w:r w:rsidRPr="00035559">
        <w:rPr>
          <w:rFonts w:ascii="標楷體" w:eastAsia="標楷體" w:hAnsi="標楷體" w:hint="eastAsia"/>
          <w:szCs w:val="22"/>
        </w:rPr>
        <w:t>德女白佛：「世尊！</w:t>
      </w:r>
      <w:r w:rsidRPr="00035559">
        <w:rPr>
          <w:rFonts w:ascii="標楷體" w:eastAsia="標楷體" w:hAnsi="標楷體" w:hint="eastAsia"/>
          <w:b/>
          <w:szCs w:val="22"/>
        </w:rPr>
        <w:t>是幻相爾，雖無根本而可聞見</w:t>
      </w:r>
      <w:r w:rsidRPr="00035559">
        <w:rPr>
          <w:rFonts w:ascii="標楷體" w:eastAsia="標楷體" w:hAnsi="標楷體" w:hint="eastAsia"/>
          <w:szCs w:val="22"/>
        </w:rPr>
        <w:t>。」</w:t>
      </w:r>
    </w:p>
    <w:p w:rsidR="00157EF6" w:rsidRPr="00412A9C" w:rsidRDefault="00157EF6" w:rsidP="00035559">
      <w:pPr>
        <w:pStyle w:val="a5"/>
        <w:ind w:leftChars="105" w:left="252"/>
        <w:jc w:val="both"/>
        <w:rPr>
          <w:szCs w:val="22"/>
        </w:rPr>
      </w:pPr>
      <w:r w:rsidRPr="00035559">
        <w:rPr>
          <w:rFonts w:ascii="標楷體" w:eastAsia="標楷體" w:hAnsi="標楷體" w:hint="eastAsia"/>
          <w:szCs w:val="22"/>
        </w:rPr>
        <w:t>佛言：「無明亦如是，雖不內有</w:t>
      </w:r>
      <w:r w:rsidR="00035559">
        <w:rPr>
          <w:rFonts w:ascii="標楷體" w:eastAsia="標楷體" w:hAnsi="標楷體" w:hint="eastAsia"/>
          <w:color w:val="FF0000"/>
          <w:spacing w:val="-4"/>
          <w:kern w:val="0"/>
          <w:highlight w:val="yellow"/>
        </w:rPr>
        <w:t>、</w:t>
      </w:r>
      <w:r w:rsidRPr="00035559">
        <w:rPr>
          <w:rFonts w:ascii="標楷體" w:eastAsia="標楷體" w:hAnsi="標楷體" w:hint="eastAsia"/>
          <w:szCs w:val="22"/>
        </w:rPr>
        <w:t>不外有</w:t>
      </w:r>
      <w:r w:rsidR="00035559">
        <w:rPr>
          <w:rFonts w:ascii="標楷體" w:eastAsia="標楷體" w:hAnsi="標楷體" w:hint="eastAsia"/>
          <w:color w:val="FF0000"/>
          <w:spacing w:val="-4"/>
          <w:kern w:val="0"/>
          <w:highlight w:val="yellow"/>
        </w:rPr>
        <w:t>、</w:t>
      </w:r>
      <w:r w:rsidRPr="00035559">
        <w:rPr>
          <w:rFonts w:ascii="標楷體" w:eastAsia="標楷體" w:hAnsi="標楷體" w:hint="eastAsia"/>
          <w:szCs w:val="22"/>
        </w:rPr>
        <w:t>不內外有</w:t>
      </w:r>
      <w:r w:rsidR="00035559">
        <w:rPr>
          <w:rFonts w:ascii="標楷體" w:eastAsia="標楷體" w:hAnsi="標楷體" w:hint="eastAsia"/>
          <w:color w:val="FF0000"/>
          <w:spacing w:val="-4"/>
          <w:kern w:val="0"/>
          <w:highlight w:val="yellow"/>
        </w:rPr>
        <w:t>、</w:t>
      </w:r>
      <w:r w:rsidRPr="00035559">
        <w:rPr>
          <w:rFonts w:ascii="標楷體" w:eastAsia="標楷體" w:hAnsi="標楷體" w:hint="eastAsia"/>
          <w:szCs w:val="22"/>
        </w:rPr>
        <w:t>不</w:t>
      </w:r>
      <w:r w:rsidR="00035559">
        <w:rPr>
          <w:rFonts w:ascii="標楷體" w:eastAsia="標楷體" w:hAnsi="標楷體" w:hint="eastAsia"/>
          <w:color w:val="FF0000"/>
          <w:kern w:val="0"/>
          <w:highlight w:val="yellow"/>
        </w:rPr>
        <w:t>『</w:t>
      </w:r>
      <w:r w:rsidRPr="00035559">
        <w:rPr>
          <w:rFonts w:ascii="標楷體" w:eastAsia="標楷體" w:hAnsi="標楷體" w:hint="eastAsia"/>
          <w:szCs w:val="22"/>
        </w:rPr>
        <w:t>先世至今世、今世至後世</w:t>
      </w:r>
      <w:r w:rsidR="00035559">
        <w:rPr>
          <w:rFonts w:ascii="標楷體" w:eastAsia="標楷體" w:hAnsi="標楷體" w:hint="eastAsia"/>
          <w:color w:val="FF0000"/>
          <w:kern w:val="0"/>
          <w:highlight w:val="yellow"/>
        </w:rPr>
        <w:t>』</w:t>
      </w:r>
      <w:r w:rsidRPr="00035559">
        <w:rPr>
          <w:rFonts w:ascii="標楷體" w:eastAsia="標楷體" w:hAnsi="標楷體" w:hint="eastAsia"/>
          <w:szCs w:val="22"/>
        </w:rPr>
        <w:t>，亦無實性</w:t>
      </w:r>
      <w:r w:rsidR="00035559">
        <w:rPr>
          <w:rFonts w:ascii="標楷體" w:eastAsia="標楷體" w:hAnsi="標楷體" w:hint="eastAsia"/>
          <w:color w:val="FF0000"/>
          <w:spacing w:val="-4"/>
          <w:kern w:val="0"/>
          <w:highlight w:val="yellow"/>
        </w:rPr>
        <w:t>、</w:t>
      </w:r>
      <w:r w:rsidR="00035559" w:rsidRPr="00035559">
        <w:rPr>
          <w:rFonts w:ascii="標楷體" w:eastAsia="標楷體" w:hAnsi="標楷體" w:hint="eastAsia"/>
          <w:color w:val="FF0000"/>
          <w:szCs w:val="22"/>
          <w:highlight w:val="yellow"/>
        </w:rPr>
        <w:t>無有</w:t>
      </w:r>
      <w:r w:rsidR="00035559" w:rsidRPr="00035559">
        <w:rPr>
          <w:rFonts w:ascii="標楷體" w:eastAsia="標楷體" w:hAnsi="標楷體" w:hint="eastAsia"/>
          <w:color w:val="FF0000"/>
          <w:kern w:val="0"/>
          <w:highlight w:val="yellow"/>
        </w:rPr>
        <w:t>『</w:t>
      </w:r>
      <w:r w:rsidR="00035559" w:rsidRPr="00035559">
        <w:rPr>
          <w:rFonts w:ascii="標楷體" w:eastAsia="標楷體" w:hAnsi="標楷體" w:hint="eastAsia"/>
          <w:color w:val="FF0000"/>
          <w:szCs w:val="22"/>
          <w:highlight w:val="yellow"/>
        </w:rPr>
        <w:t>生者、滅者</w:t>
      </w:r>
      <w:r w:rsidR="00035559" w:rsidRPr="00035559">
        <w:rPr>
          <w:rFonts w:ascii="標楷體" w:eastAsia="標楷體" w:hAnsi="標楷體" w:hint="eastAsia"/>
          <w:color w:val="FF0000"/>
          <w:kern w:val="0"/>
          <w:highlight w:val="yellow"/>
        </w:rPr>
        <w:t>』</w:t>
      </w:r>
      <w:r w:rsidR="00035559" w:rsidRPr="00035559">
        <w:rPr>
          <w:rFonts w:ascii="標楷體" w:eastAsia="標楷體" w:hAnsi="標楷體" w:hint="eastAsia"/>
          <w:color w:val="FF0000"/>
          <w:szCs w:val="22"/>
          <w:highlight w:val="yellow"/>
        </w:rPr>
        <w:t>，而無明因緣諸行生，乃至眾苦陰集。如幻息，幻所作亦息；無明亦爾，無明盡，行亦盡，乃至眾苦集皆盡。</w:t>
      </w:r>
      <w:r w:rsidR="00035559">
        <w:rPr>
          <w:rFonts w:ascii="標楷體" w:eastAsia="標楷體" w:hAnsi="標楷體" w:hint="eastAsia"/>
          <w:szCs w:val="22"/>
        </w:rPr>
        <w:t>」</w:t>
      </w:r>
    </w:p>
  </w:footnote>
  <w:footnote w:id="927">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容積：容器或其他能容納物質的物體的內部體積。（《漢語大詞典》（三），</w:t>
      </w:r>
      <w:r w:rsidRPr="00761EF3">
        <w:rPr>
          <w:szCs w:val="22"/>
        </w:rPr>
        <w:t>p</w:t>
      </w:r>
      <w:r w:rsidRPr="00412A9C">
        <w:rPr>
          <w:szCs w:val="22"/>
        </w:rPr>
        <w:t>.</w:t>
      </w:r>
      <w:r w:rsidRPr="00761EF3">
        <w:rPr>
          <w:szCs w:val="22"/>
        </w:rPr>
        <w:t>1496</w:t>
      </w:r>
      <w:r w:rsidRPr="00412A9C">
        <w:rPr>
          <w:rFonts w:hint="eastAsia"/>
          <w:szCs w:val="22"/>
        </w:rPr>
        <w:t>）</w:t>
      </w:r>
    </w:p>
  </w:footnote>
  <w:footnote w:id="928">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子虛：</w:t>
      </w:r>
      <w:r w:rsidRPr="00761EF3">
        <w:rPr>
          <w:szCs w:val="22"/>
        </w:rPr>
        <w:t>1</w:t>
      </w:r>
      <w:r w:rsidRPr="00412A9C">
        <w:rPr>
          <w:szCs w:val="22"/>
        </w:rPr>
        <w:t>.</w:t>
      </w:r>
      <w:r w:rsidRPr="00412A9C">
        <w:rPr>
          <w:rFonts w:hint="eastAsia"/>
          <w:szCs w:val="22"/>
        </w:rPr>
        <w:t>漢．司馬相如作《子虛賦》，假托子虛、烏有先生、亡是公三人互相問答。後因稱虛構或不真實的事為“子虛”。（《漢語大詞典》（四），</w:t>
      </w:r>
      <w:r w:rsidRPr="00761EF3">
        <w:rPr>
          <w:szCs w:val="22"/>
        </w:rPr>
        <w:t>p</w:t>
      </w:r>
      <w:r w:rsidRPr="00412A9C">
        <w:rPr>
          <w:szCs w:val="22"/>
        </w:rPr>
        <w:t>.</w:t>
      </w:r>
      <w:r w:rsidRPr="00761EF3">
        <w:rPr>
          <w:szCs w:val="22"/>
        </w:rPr>
        <w:t>172</w:t>
      </w:r>
      <w:r w:rsidRPr="00412A9C">
        <w:rPr>
          <w:rFonts w:hint="eastAsia"/>
          <w:szCs w:val="22"/>
        </w:rPr>
        <w:t>）</w:t>
      </w:r>
    </w:p>
  </w:footnote>
  <w:footnote w:id="929">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「二者」，即上所說，一般世俗的認識分為「非真實、真實」二類，及說一切有部說的「勝義有、世俗有」二種。</w:t>
      </w:r>
    </w:p>
  </w:footnote>
  <w:footnote w:id="930">
    <w:p w:rsidR="009A0718" w:rsidRPr="00412A9C" w:rsidRDefault="009A0718" w:rsidP="009A0718">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rFonts w:hint="eastAsia"/>
          <w:szCs w:val="22"/>
        </w:rPr>
        <w:t>（</w:t>
      </w:r>
      <w:r w:rsidRPr="00761EF3">
        <w:rPr>
          <w:szCs w:val="22"/>
        </w:rPr>
        <w:t>1</w:t>
      </w:r>
      <w:r w:rsidRPr="00412A9C">
        <w:rPr>
          <w:rFonts w:hint="eastAsia"/>
          <w:szCs w:val="22"/>
        </w:rPr>
        <w:t>）</w:t>
      </w:r>
      <w:r w:rsidRPr="00B23684">
        <w:rPr>
          <w:rFonts w:ascii="新細明體" w:hAnsi="新細明體" w:hint="eastAsia"/>
          <w:szCs w:val="22"/>
        </w:rPr>
        <w:t>關於</w:t>
      </w:r>
      <w:r w:rsidRPr="00412A9C">
        <w:rPr>
          <w:rFonts w:hint="eastAsia"/>
          <w:szCs w:val="22"/>
        </w:rPr>
        <w:t>正世俗與倒世俗，</w:t>
      </w:r>
      <w:r w:rsidR="009160B5">
        <w:rPr>
          <w:rFonts w:hint="eastAsia"/>
          <w:szCs w:val="22"/>
        </w:rPr>
        <w:t>參見：印</w:t>
      </w:r>
      <w:r w:rsidRPr="00412A9C">
        <w:rPr>
          <w:rFonts w:hint="eastAsia"/>
          <w:szCs w:val="22"/>
        </w:rPr>
        <w:t>順法師，《成佛之道》（增注本），</w:t>
      </w:r>
      <w:r w:rsidRPr="00761EF3">
        <w:rPr>
          <w:szCs w:val="22"/>
        </w:rPr>
        <w:t>pp</w:t>
      </w:r>
      <w:r w:rsidRPr="00412A9C">
        <w:rPr>
          <w:szCs w:val="22"/>
        </w:rPr>
        <w:t>.</w:t>
      </w:r>
      <w:r w:rsidRPr="00761EF3">
        <w:rPr>
          <w:szCs w:val="22"/>
        </w:rPr>
        <w:t>345</w:t>
      </w:r>
      <w:r w:rsidRPr="00412A9C">
        <w:rPr>
          <w:szCs w:val="22"/>
        </w:rPr>
        <w:t>-</w:t>
      </w:r>
      <w:r w:rsidRPr="00761EF3">
        <w:rPr>
          <w:szCs w:val="22"/>
        </w:rPr>
        <w:t>346</w:t>
      </w:r>
      <w:r w:rsidRPr="00412A9C">
        <w:rPr>
          <w:rFonts w:hint="eastAsia"/>
          <w:szCs w:val="22"/>
        </w:rPr>
        <w:t>。</w:t>
      </w:r>
    </w:p>
    <w:p w:rsidR="009A0718" w:rsidRPr="007A147E" w:rsidRDefault="009A0718" w:rsidP="009A0718">
      <w:pPr>
        <w:pStyle w:val="a5"/>
        <w:tabs>
          <w:tab w:val="left" w:pos="812"/>
          <w:tab w:val="left" w:pos="1701"/>
          <w:tab w:val="right" w:pos="4774"/>
          <w:tab w:val="left" w:pos="4816"/>
          <w:tab w:val="left" w:pos="4872"/>
        </w:tabs>
        <w:ind w:leftChars="100" w:left="240"/>
        <w:jc w:val="both"/>
        <w:rPr>
          <w:szCs w:val="22"/>
          <w:bdr w:val="single" w:sz="4" w:space="0" w:color="auto"/>
        </w:rPr>
      </w:pPr>
      <w:r w:rsidRPr="00412A9C">
        <w:rPr>
          <w:rFonts w:hint="eastAsia"/>
          <w:szCs w:val="22"/>
        </w:rPr>
        <w:t>（</w:t>
      </w:r>
      <w:r w:rsidRPr="00761EF3">
        <w:rPr>
          <w:szCs w:val="22"/>
        </w:rPr>
        <w:t>2</w:t>
      </w:r>
      <w:r w:rsidRPr="00412A9C">
        <w:rPr>
          <w:rFonts w:hint="eastAsia"/>
          <w:szCs w:val="22"/>
        </w:rPr>
        <w:t>）</w:t>
      </w:r>
      <w:r w:rsidRPr="007A147E">
        <w:rPr>
          <w:szCs w:val="22"/>
        </w:rPr>
        <w:tab/>
      </w:r>
      <w:r w:rsidRPr="007A147E">
        <w:rPr>
          <w:rFonts w:ascii="新細明體" w:hAnsi="新細明體" w:hint="eastAsia"/>
          <w:szCs w:val="22"/>
        </w:rPr>
        <w:t>┌</w:t>
      </w:r>
      <w:r w:rsidRPr="007A147E">
        <w:rPr>
          <w:rFonts w:hint="eastAsia"/>
          <w:szCs w:val="22"/>
        </w:rPr>
        <w:t>常態─</w:t>
      </w:r>
      <w:r w:rsidRPr="007A147E">
        <w:rPr>
          <w:rFonts w:ascii="新細明體" w:hAnsi="新細明體" w:hint="eastAsia"/>
          <w:szCs w:val="22"/>
        </w:rPr>
        <w:t>┬</w:t>
      </w:r>
      <w:r w:rsidRPr="007A147E">
        <w:rPr>
          <w:rFonts w:hint="eastAsia"/>
          <w:szCs w:val="22"/>
        </w:rPr>
        <w:t>如正常的眼根、眼識及一定的光線前大家同樣的認識─</w:t>
      </w:r>
      <w:r w:rsidRPr="007A147E">
        <w:rPr>
          <w:rFonts w:hint="eastAsia"/>
          <w:b/>
          <w:szCs w:val="22"/>
        </w:rPr>
        <w:t>正世俗</w:t>
      </w:r>
    </w:p>
    <w:p w:rsidR="009A0718" w:rsidRPr="007A147E" w:rsidRDefault="009A0718" w:rsidP="009A0718">
      <w:pPr>
        <w:pStyle w:val="a5"/>
        <w:tabs>
          <w:tab w:val="left" w:pos="812"/>
          <w:tab w:val="left" w:pos="1701"/>
          <w:tab w:val="right" w:pos="4774"/>
          <w:tab w:val="left" w:pos="4816"/>
          <w:tab w:val="left" w:pos="4872"/>
        </w:tabs>
        <w:ind w:leftChars="145" w:left="348"/>
        <w:jc w:val="both"/>
        <w:rPr>
          <w:szCs w:val="22"/>
        </w:rPr>
      </w:pPr>
      <w:r w:rsidRPr="007A147E">
        <w:rPr>
          <w:rFonts w:hint="eastAsia"/>
          <w:szCs w:val="22"/>
        </w:rPr>
        <w:t>世俗</w:t>
      </w:r>
      <w:r w:rsidRPr="007A147E">
        <w:rPr>
          <w:szCs w:val="22"/>
        </w:rPr>
        <w:tab/>
      </w:r>
      <w:r w:rsidRPr="007A147E">
        <w:rPr>
          <w:rFonts w:ascii="新細明體" w:hAnsi="新細明體"/>
          <w:noProof/>
          <w:szCs w:val="22"/>
        </w:rPr>
        <w:t>┤</w:t>
      </w:r>
      <w:r>
        <w:rPr>
          <w:szCs w:val="22"/>
        </w:rPr>
        <w:tab/>
      </w:r>
      <w:r w:rsidRPr="007A147E">
        <w:rPr>
          <w:rFonts w:ascii="新細明體" w:hAnsi="新細明體" w:hint="eastAsia"/>
          <w:szCs w:val="22"/>
        </w:rPr>
        <w:t>└</w:t>
      </w:r>
      <w:r w:rsidRPr="007A147E">
        <w:rPr>
          <w:rFonts w:hint="eastAsia"/>
          <w:szCs w:val="22"/>
        </w:rPr>
        <w:t>境相現起的誑詐相</w:t>
      </w:r>
      <w:r>
        <w:rPr>
          <w:szCs w:val="22"/>
        </w:rPr>
        <w:tab/>
      </w:r>
      <w:r w:rsidRPr="007A147E">
        <w:rPr>
          <w:rFonts w:hint="eastAsia"/>
          <w:szCs w:val="22"/>
        </w:rPr>
        <w:t>────</w:t>
      </w:r>
      <w:r w:rsidRPr="007A147E">
        <w:rPr>
          <w:rFonts w:ascii="新細明體" w:hAnsi="新細明體" w:hint="eastAsia"/>
          <w:szCs w:val="22"/>
        </w:rPr>
        <w:t>┐</w:t>
      </w:r>
    </w:p>
    <w:p w:rsidR="009A0718" w:rsidRPr="007A147E" w:rsidRDefault="009A0718" w:rsidP="009A0718">
      <w:pPr>
        <w:pStyle w:val="a5"/>
        <w:tabs>
          <w:tab w:val="left" w:pos="812"/>
          <w:tab w:val="left" w:pos="1701"/>
          <w:tab w:val="right" w:pos="4774"/>
          <w:tab w:val="left" w:pos="4816"/>
          <w:tab w:val="left" w:pos="4872"/>
        </w:tabs>
        <w:jc w:val="both"/>
        <w:rPr>
          <w:szCs w:val="22"/>
        </w:rPr>
      </w:pPr>
      <w:r w:rsidRPr="007A147E">
        <w:rPr>
          <w:szCs w:val="22"/>
        </w:rPr>
        <w:tab/>
      </w:r>
      <w:r w:rsidRPr="007A147E">
        <w:rPr>
          <w:rFonts w:ascii="新細明體" w:hAnsi="新細明體" w:hint="eastAsia"/>
          <w:szCs w:val="22"/>
        </w:rPr>
        <w:t>│</w:t>
      </w:r>
      <w:r>
        <w:rPr>
          <w:szCs w:val="22"/>
        </w:rPr>
        <w:tab/>
      </w:r>
      <w:r>
        <w:rPr>
          <w:szCs w:val="22"/>
        </w:rPr>
        <w:tab/>
      </w:r>
      <w:r w:rsidRPr="007A147E">
        <w:rPr>
          <w:rFonts w:ascii="新細明體" w:hAnsi="新細明體" w:hint="eastAsia"/>
          <w:szCs w:val="22"/>
        </w:rPr>
        <w:t>│</w:t>
      </w:r>
    </w:p>
    <w:p w:rsidR="009A0718" w:rsidRPr="007A147E" w:rsidRDefault="009A0718" w:rsidP="009A0718">
      <w:pPr>
        <w:pStyle w:val="a5"/>
        <w:tabs>
          <w:tab w:val="left" w:pos="812"/>
          <w:tab w:val="left" w:pos="1701"/>
          <w:tab w:val="right" w:pos="4774"/>
          <w:tab w:val="left" w:pos="4816"/>
          <w:tab w:val="left" w:pos="4872"/>
        </w:tabs>
        <w:jc w:val="both"/>
        <w:rPr>
          <w:szCs w:val="22"/>
        </w:rPr>
      </w:pPr>
      <w:r w:rsidRPr="007A147E">
        <w:rPr>
          <w:szCs w:val="22"/>
        </w:rPr>
        <w:tab/>
      </w:r>
      <w:r w:rsidRPr="007A147E">
        <w:rPr>
          <w:rFonts w:ascii="新細明體" w:hAnsi="新細明體" w:hint="eastAsia"/>
          <w:szCs w:val="22"/>
        </w:rPr>
        <w:t>└</w:t>
      </w:r>
      <w:r w:rsidRPr="007A147E">
        <w:rPr>
          <w:rFonts w:hint="eastAsia"/>
          <w:szCs w:val="22"/>
        </w:rPr>
        <w:t>變態─</w:t>
      </w:r>
      <w:r w:rsidRPr="007A147E">
        <w:rPr>
          <w:rFonts w:ascii="新細明體" w:hAnsi="新細明體" w:hint="eastAsia"/>
          <w:szCs w:val="22"/>
        </w:rPr>
        <w:t>┬</w:t>
      </w:r>
      <w:r w:rsidRPr="007A147E">
        <w:rPr>
          <w:rFonts w:hint="eastAsia"/>
          <w:szCs w:val="22"/>
        </w:rPr>
        <w:t>根身變異所引起的認識</w:t>
      </w:r>
      <w:r>
        <w:rPr>
          <w:szCs w:val="22"/>
        </w:rPr>
        <w:tab/>
      </w:r>
      <w:r w:rsidRPr="007A147E">
        <w:rPr>
          <w:rFonts w:hint="eastAsia"/>
          <w:szCs w:val="22"/>
        </w:rPr>
        <w:t>──</w:t>
      </w:r>
      <w:r w:rsidRPr="00212D57">
        <w:rPr>
          <w:rFonts w:hint="eastAsia"/>
          <w:szCs w:val="22"/>
        </w:rPr>
        <w:t>├</w:t>
      </w:r>
      <w:r>
        <w:rPr>
          <w:szCs w:val="22"/>
        </w:rPr>
        <w:tab/>
      </w:r>
      <w:r w:rsidRPr="007A147E">
        <w:rPr>
          <w:rFonts w:ascii="新細明體" w:hAnsi="新細明體" w:hint="eastAsia"/>
          <w:b/>
          <w:szCs w:val="22"/>
        </w:rPr>
        <w:t>倒世俗</w:t>
      </w:r>
    </w:p>
    <w:p w:rsidR="009A0718" w:rsidRPr="00412A9C" w:rsidRDefault="009A0718" w:rsidP="009A0718">
      <w:pPr>
        <w:pStyle w:val="a5"/>
        <w:tabs>
          <w:tab w:val="left" w:pos="812"/>
          <w:tab w:val="left" w:pos="1701"/>
          <w:tab w:val="right" w:pos="4774"/>
          <w:tab w:val="left" w:pos="4816"/>
          <w:tab w:val="left" w:pos="4872"/>
        </w:tabs>
        <w:jc w:val="both"/>
        <w:rPr>
          <w:szCs w:val="22"/>
        </w:rPr>
      </w:pPr>
      <w:r>
        <w:rPr>
          <w:szCs w:val="22"/>
        </w:rPr>
        <w:tab/>
      </w:r>
      <w:r>
        <w:rPr>
          <w:szCs w:val="22"/>
        </w:rPr>
        <w:tab/>
      </w:r>
      <w:r w:rsidRPr="007A147E">
        <w:rPr>
          <w:rFonts w:ascii="新細明體" w:hAnsi="新細明體" w:hint="eastAsia"/>
          <w:szCs w:val="22"/>
        </w:rPr>
        <w:t>└</w:t>
      </w:r>
      <w:r w:rsidRPr="007A147E">
        <w:rPr>
          <w:rFonts w:hint="eastAsia"/>
          <w:szCs w:val="22"/>
        </w:rPr>
        <w:t>心識的謬誤</w:t>
      </w:r>
      <w:r>
        <w:rPr>
          <w:szCs w:val="22"/>
        </w:rPr>
        <w:tab/>
      </w:r>
      <w:r w:rsidRPr="007A147E">
        <w:rPr>
          <w:rFonts w:hint="eastAsia"/>
          <w:szCs w:val="22"/>
        </w:rPr>
        <w:t>───────</w:t>
      </w:r>
      <w:r w:rsidRPr="007A147E">
        <w:rPr>
          <w:rFonts w:ascii="新細明體" w:hAnsi="新細明體" w:hint="eastAsia"/>
          <w:szCs w:val="22"/>
        </w:rPr>
        <w:t>┘</w:t>
      </w:r>
    </w:p>
  </w:footnote>
  <w:footnote w:id="931">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rFonts w:hint="eastAsia"/>
          <w:szCs w:val="22"/>
        </w:rPr>
        <w:t>（</w:t>
      </w:r>
      <w:r w:rsidRPr="00761EF3">
        <w:rPr>
          <w:szCs w:val="22"/>
        </w:rPr>
        <w:t>1</w:t>
      </w:r>
      <w:r w:rsidRPr="00412A9C">
        <w:rPr>
          <w:rFonts w:hint="eastAsia"/>
          <w:szCs w:val="22"/>
        </w:rPr>
        <w:t>）</w:t>
      </w:r>
      <w:r w:rsidR="00915E1F" w:rsidRPr="00915E1F">
        <w:rPr>
          <w:rFonts w:hint="eastAsia"/>
          <w:color w:val="FF0000"/>
          <w:szCs w:val="22"/>
          <w:highlight w:val="yellow"/>
        </w:rPr>
        <w:t>安慧糅，</w:t>
      </w:r>
      <w:r w:rsidR="00915E1F" w:rsidRPr="00915E1F">
        <w:rPr>
          <w:rFonts w:hint="eastAsia"/>
          <w:szCs w:val="22"/>
        </w:rPr>
        <w:t>《</w:t>
      </w:r>
      <w:r w:rsidR="00915E1F" w:rsidRPr="00915E1F">
        <w:rPr>
          <w:rFonts w:hint="eastAsia"/>
          <w:color w:val="FF0000"/>
          <w:szCs w:val="22"/>
          <w:highlight w:val="yellow"/>
        </w:rPr>
        <w:t>大乘阿毘達磨</w:t>
      </w:r>
      <w:r w:rsidR="00915E1F" w:rsidRPr="00915E1F">
        <w:rPr>
          <w:rFonts w:hint="eastAsia"/>
          <w:szCs w:val="22"/>
        </w:rPr>
        <w:t>雜集論》</w:t>
      </w:r>
      <w:r w:rsidRPr="00412A9C">
        <w:rPr>
          <w:rFonts w:hint="eastAsia"/>
          <w:szCs w:val="22"/>
        </w:rPr>
        <w:t>卷</w:t>
      </w:r>
      <w:r w:rsidRPr="00761EF3">
        <w:rPr>
          <w:szCs w:val="22"/>
        </w:rPr>
        <w:t>7</w:t>
      </w:r>
      <w:r w:rsidRPr="00412A9C">
        <w:rPr>
          <w:rFonts w:hint="eastAsia"/>
          <w:szCs w:val="22"/>
        </w:rPr>
        <w:t>〈</w:t>
      </w:r>
      <w:r w:rsidRPr="00761EF3">
        <w:rPr>
          <w:szCs w:val="22"/>
        </w:rPr>
        <w:t>1</w:t>
      </w:r>
      <w:r w:rsidRPr="00412A9C">
        <w:rPr>
          <w:szCs w:val="22"/>
        </w:rPr>
        <w:t xml:space="preserve"> </w:t>
      </w:r>
      <w:r w:rsidRPr="00412A9C">
        <w:rPr>
          <w:rFonts w:hint="eastAsia"/>
          <w:szCs w:val="22"/>
        </w:rPr>
        <w:t>諦品〉</w:t>
      </w:r>
      <w:r w:rsidRPr="00412A9C">
        <w:rPr>
          <w:szCs w:val="22"/>
        </w:rPr>
        <w:t>（</w:t>
      </w:r>
      <w:r w:rsidRPr="00412A9C">
        <w:rPr>
          <w:rFonts w:hint="eastAsia"/>
          <w:szCs w:val="22"/>
        </w:rPr>
        <w:t>大正</w:t>
      </w:r>
      <w:r w:rsidRPr="00761EF3">
        <w:rPr>
          <w:szCs w:val="22"/>
        </w:rPr>
        <w:t>31</w:t>
      </w:r>
      <w:r w:rsidRPr="00412A9C">
        <w:rPr>
          <w:rFonts w:hint="eastAsia"/>
          <w:szCs w:val="22"/>
        </w:rPr>
        <w:t>，</w:t>
      </w:r>
      <w:r w:rsidRPr="00761EF3">
        <w:rPr>
          <w:szCs w:val="22"/>
        </w:rPr>
        <w:t>728b16</w:t>
      </w:r>
      <w:r w:rsidRPr="00412A9C">
        <w:rPr>
          <w:szCs w:val="22"/>
        </w:rPr>
        <w:t>-</w:t>
      </w:r>
      <w:r w:rsidRPr="00761EF3">
        <w:rPr>
          <w:szCs w:val="22"/>
        </w:rPr>
        <w:t>19</w:t>
      </w:r>
      <w:r w:rsidRPr="00412A9C">
        <w:rPr>
          <w:szCs w:val="22"/>
        </w:rPr>
        <w:t>）</w:t>
      </w:r>
      <w:r w:rsidRPr="00412A9C">
        <w:rPr>
          <w:rFonts w:hint="eastAsia"/>
          <w:szCs w:val="22"/>
        </w:rPr>
        <w:t>：</w:t>
      </w:r>
    </w:p>
    <w:p w:rsidR="00BB193F" w:rsidRDefault="00157EF6" w:rsidP="00AA120F">
      <w:pPr>
        <w:pStyle w:val="a5"/>
        <w:ind w:leftChars="335" w:left="804"/>
        <w:jc w:val="both"/>
        <w:rPr>
          <w:rFonts w:ascii="標楷體" w:eastAsia="標楷體" w:hAnsi="標楷體"/>
          <w:color w:val="FF0000"/>
          <w:kern w:val="0"/>
        </w:rPr>
      </w:pPr>
      <w:r w:rsidRPr="00412A9C">
        <w:rPr>
          <w:rFonts w:ascii="標楷體" w:eastAsia="標楷體" w:hAnsi="標楷體" w:hint="eastAsia"/>
          <w:szCs w:val="22"/>
        </w:rPr>
        <w:t>善</w:t>
      </w:r>
      <w:r w:rsidR="00BB193F">
        <w:rPr>
          <w:rFonts w:ascii="標楷體" w:eastAsia="標楷體" w:hAnsi="標楷體" w:hint="eastAsia"/>
          <w:color w:val="FF0000"/>
          <w:kern w:val="0"/>
          <w:highlight w:val="yellow"/>
        </w:rPr>
        <w:t>.</w:t>
      </w:r>
      <w:r w:rsidRPr="00412A9C">
        <w:rPr>
          <w:rFonts w:ascii="標楷體" w:eastAsia="標楷體" w:hAnsi="標楷體" w:hint="eastAsia"/>
          <w:szCs w:val="22"/>
        </w:rPr>
        <w:t>不善業於善趣、惡趣中感生異熟時，有二種差別</w:t>
      </w:r>
      <w:r w:rsidR="00BB193F">
        <w:rPr>
          <w:rFonts w:ascii="標楷體" w:eastAsia="標楷體" w:hAnsi="標楷體" w:hint="eastAsia"/>
          <w:color w:val="FF0000"/>
          <w:kern w:val="0"/>
          <w:highlight w:val="yellow"/>
        </w:rPr>
        <w:t>，</w:t>
      </w:r>
      <w:r w:rsidRPr="00412A9C">
        <w:rPr>
          <w:rFonts w:ascii="標楷體" w:eastAsia="標楷體" w:hAnsi="標楷體" w:hint="eastAsia"/>
          <w:szCs w:val="22"/>
        </w:rPr>
        <w:t>謂招引業、圓滿業。招</w:t>
      </w:r>
      <w:r w:rsidRPr="00412A9C">
        <w:rPr>
          <w:rFonts w:ascii="標楷體" w:eastAsia="標楷體" w:hAnsi="標楷體" w:hint="eastAsia"/>
          <w:b/>
          <w:szCs w:val="22"/>
        </w:rPr>
        <w:t>引業</w:t>
      </w:r>
      <w:r w:rsidRPr="00412A9C">
        <w:rPr>
          <w:rFonts w:ascii="標楷體" w:eastAsia="標楷體" w:hAnsi="標楷體" w:hint="eastAsia"/>
          <w:szCs w:val="22"/>
        </w:rPr>
        <w:t>者，謂由此業能牽異熟果</w:t>
      </w:r>
      <w:r w:rsidR="00BB193F">
        <w:rPr>
          <w:rFonts w:ascii="標楷體" w:eastAsia="標楷體" w:hAnsi="標楷體" w:hint="eastAsia"/>
          <w:color w:val="FF0000"/>
          <w:kern w:val="0"/>
          <w:highlight w:val="yellow"/>
        </w:rPr>
        <w:t>。</w:t>
      </w:r>
    </w:p>
    <w:p w:rsidR="00157EF6" w:rsidRPr="00412A9C" w:rsidRDefault="00157EF6" w:rsidP="00AA120F">
      <w:pPr>
        <w:pStyle w:val="a5"/>
        <w:ind w:leftChars="335" w:left="804"/>
        <w:jc w:val="both"/>
        <w:rPr>
          <w:szCs w:val="22"/>
        </w:rPr>
      </w:pPr>
      <w:r w:rsidRPr="00412A9C">
        <w:rPr>
          <w:rFonts w:ascii="標楷體" w:eastAsia="標楷體" w:hAnsi="標楷體" w:hint="eastAsia"/>
          <w:szCs w:val="22"/>
        </w:rPr>
        <w:t>圓</w:t>
      </w:r>
      <w:r w:rsidRPr="00412A9C">
        <w:rPr>
          <w:rFonts w:ascii="標楷體" w:eastAsia="標楷體" w:hAnsi="標楷體" w:hint="eastAsia"/>
          <w:b/>
          <w:szCs w:val="22"/>
        </w:rPr>
        <w:t>滿業</w:t>
      </w:r>
      <w:r w:rsidRPr="00412A9C">
        <w:rPr>
          <w:rFonts w:ascii="標楷體" w:eastAsia="標楷體" w:hAnsi="標楷體" w:hint="eastAsia"/>
          <w:szCs w:val="22"/>
        </w:rPr>
        <w:t>者，謂由此業</w:t>
      </w:r>
      <w:r w:rsidR="00BB193F">
        <w:rPr>
          <w:rFonts w:ascii="標楷體" w:eastAsia="標楷體" w:hAnsi="標楷體" w:hint="eastAsia"/>
          <w:color w:val="FF0000"/>
          <w:kern w:val="0"/>
          <w:highlight w:val="yellow"/>
        </w:rPr>
        <w:t>，</w:t>
      </w:r>
      <w:r w:rsidRPr="00412A9C">
        <w:rPr>
          <w:rFonts w:ascii="標楷體" w:eastAsia="標楷體" w:hAnsi="標楷體" w:hint="eastAsia"/>
          <w:szCs w:val="22"/>
        </w:rPr>
        <w:t>生已，領受愛</w:t>
      </w:r>
      <w:r w:rsidR="00BB193F">
        <w:rPr>
          <w:rFonts w:ascii="標楷體" w:eastAsia="標楷體" w:hAnsi="標楷體" w:hint="eastAsia"/>
          <w:color w:val="FF0000"/>
          <w:kern w:val="0"/>
          <w:highlight w:val="yellow"/>
        </w:rPr>
        <w:t>.</w:t>
      </w:r>
      <w:r w:rsidRPr="00412A9C">
        <w:rPr>
          <w:rFonts w:ascii="標楷體" w:eastAsia="標楷體" w:hAnsi="標楷體" w:hint="eastAsia"/>
          <w:szCs w:val="22"/>
        </w:rPr>
        <w:t>不愛果。</w:t>
      </w:r>
    </w:p>
    <w:p w:rsidR="00157EF6" w:rsidRPr="00412A9C" w:rsidRDefault="00157EF6" w:rsidP="00AA120F">
      <w:pPr>
        <w:pStyle w:val="a5"/>
        <w:ind w:leftChars="105" w:left="791" w:hangingChars="245" w:hanging="539"/>
        <w:jc w:val="both"/>
        <w:rPr>
          <w:szCs w:val="22"/>
        </w:rPr>
      </w:pPr>
      <w:r w:rsidRPr="00412A9C">
        <w:rPr>
          <w:rFonts w:hint="eastAsia"/>
          <w:szCs w:val="22"/>
        </w:rPr>
        <w:t>（</w:t>
      </w:r>
      <w:r w:rsidRPr="00761EF3">
        <w:rPr>
          <w:szCs w:val="22"/>
        </w:rPr>
        <w:t>2</w:t>
      </w:r>
      <w:r w:rsidRPr="00412A9C">
        <w:rPr>
          <w:rFonts w:hint="eastAsia"/>
          <w:szCs w:val="22"/>
        </w:rPr>
        <w:t>）印順法師，《成佛之道》（增注本），</w:t>
      </w:r>
      <w:r w:rsidRPr="00761EF3">
        <w:rPr>
          <w:szCs w:val="22"/>
        </w:rPr>
        <w:t>p</w:t>
      </w:r>
      <w:r w:rsidRPr="00412A9C">
        <w:rPr>
          <w:szCs w:val="22"/>
        </w:rPr>
        <w:t>.</w:t>
      </w:r>
      <w:r w:rsidRPr="00761EF3">
        <w:rPr>
          <w:rFonts w:hint="eastAsia"/>
          <w:szCs w:val="22"/>
        </w:rPr>
        <w:t>71</w:t>
      </w:r>
      <w:r w:rsidRPr="00412A9C">
        <w:rPr>
          <w:rFonts w:hint="eastAsia"/>
          <w:szCs w:val="22"/>
        </w:rPr>
        <w:t>：</w:t>
      </w:r>
    </w:p>
    <w:p w:rsidR="00157EF6" w:rsidRPr="00412A9C" w:rsidRDefault="00157EF6" w:rsidP="00AA120F">
      <w:pPr>
        <w:pStyle w:val="a5"/>
        <w:ind w:leftChars="335" w:left="804"/>
        <w:jc w:val="both"/>
        <w:rPr>
          <w:szCs w:val="22"/>
        </w:rPr>
      </w:pPr>
      <w:r w:rsidRPr="00412A9C">
        <w:rPr>
          <w:rFonts w:ascii="標楷體" w:eastAsia="標楷體" w:hAnsi="標楷體" w:hint="eastAsia"/>
          <w:szCs w:val="22"/>
        </w:rPr>
        <w:t>在種種業中，有一類特強的業力，能引我們感到五趣中的一趣報體，或生天上，或墮地獄，或墮傍生。其中又有種種類別，如傍生中或虎或魚等。</w:t>
      </w:r>
      <w:r w:rsidRPr="00412A9C">
        <w:rPr>
          <w:rFonts w:ascii="標楷體" w:eastAsia="標楷體" w:hAnsi="標楷體" w:hint="eastAsia"/>
          <w:b/>
          <w:szCs w:val="22"/>
        </w:rPr>
        <w:t>凡由強業而感得一趣的總報體（「得蘊，得處，得界」），成為某趣的眾生，叫引業</w:t>
      </w:r>
      <w:r w:rsidRPr="00412A9C">
        <w:rPr>
          <w:rFonts w:ascii="標楷體" w:eastAsia="標楷體" w:hAnsi="標楷體" w:hint="eastAsia"/>
          <w:szCs w:val="22"/>
        </w:rPr>
        <w:t>。還有一類業，</w:t>
      </w:r>
      <w:r w:rsidRPr="00412A9C">
        <w:rPr>
          <w:rFonts w:ascii="標楷體" w:eastAsia="標楷體" w:hAnsi="標楷體" w:hint="eastAsia"/>
          <w:b/>
          <w:szCs w:val="22"/>
        </w:rPr>
        <w:t>並不能引我們感得生死的總報體，卻能使我們對於這一報身的種種方面，得到圓滿的決定，</w:t>
      </w:r>
      <w:r w:rsidRPr="00412A9C">
        <w:rPr>
          <w:rFonts w:ascii="標楷體" w:eastAsia="標楷體" w:hAnsi="標楷體" w:hint="eastAsia"/>
          <w:szCs w:val="22"/>
        </w:rPr>
        <w:t>叫</w:t>
      </w:r>
      <w:r w:rsidRPr="00412A9C">
        <w:rPr>
          <w:rFonts w:ascii="標楷體" w:eastAsia="標楷體" w:hAnsi="標楷體" w:hint="eastAsia"/>
          <w:b/>
          <w:szCs w:val="22"/>
        </w:rPr>
        <w:t>滿業</w:t>
      </w:r>
      <w:r w:rsidRPr="00412A9C">
        <w:rPr>
          <w:rFonts w:ascii="標楷體" w:eastAsia="標楷體" w:hAnsi="標楷體" w:hint="eastAsia"/>
          <w:szCs w:val="22"/>
        </w:rPr>
        <w:t>。如生而為人，儘管萬別千差，而同樣是人，人是引業所感的總報。餘如六根有具足與不具足，相貌有莊嚴與醜陋，容色有黑白，目睛有威光或無威光，音聲有優美或粗俗，嘹亮或低滯，</w:t>
      </w:r>
      <w:r w:rsidRPr="00FF1DF1">
        <w:rPr>
          <w:rFonts w:ascii="標楷體" w:eastAsia="標楷體" w:hAnsi="標楷體" w:hint="eastAsia"/>
          <w:szCs w:val="22"/>
          <w:shd w:val="pct15" w:color="auto" w:fill="FFFFFF"/>
        </w:rPr>
        <w:t>……</w:t>
      </w:r>
      <w:r w:rsidRPr="00412A9C">
        <w:rPr>
          <w:rFonts w:ascii="標楷體" w:eastAsia="標楷體" w:hAnsi="標楷體" w:hint="eastAsia"/>
          <w:szCs w:val="22"/>
        </w:rPr>
        <w:t>這種人各不同的差別，都由不同的滿業而感得</w:t>
      </w:r>
      <w:r w:rsidRPr="00412A9C">
        <w:rPr>
          <w:rFonts w:hint="eastAsia"/>
          <w:szCs w:val="22"/>
        </w:rPr>
        <w:t>。</w:t>
      </w:r>
    </w:p>
  </w:footnote>
  <w:footnote w:id="932">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傳聲：</w:t>
      </w:r>
      <w:r w:rsidRPr="00761EF3">
        <w:rPr>
          <w:szCs w:val="22"/>
        </w:rPr>
        <w:t>1</w:t>
      </w:r>
      <w:r w:rsidRPr="00412A9C">
        <w:rPr>
          <w:szCs w:val="22"/>
        </w:rPr>
        <w:t>.</w:t>
      </w:r>
      <w:r w:rsidRPr="00412A9C">
        <w:rPr>
          <w:rFonts w:hint="eastAsia"/>
          <w:szCs w:val="22"/>
        </w:rPr>
        <w:t>傳播聲音。（《漢語大詞典》（一），</w:t>
      </w:r>
      <w:r w:rsidRPr="00761EF3">
        <w:rPr>
          <w:szCs w:val="22"/>
        </w:rPr>
        <w:t>p</w:t>
      </w:r>
      <w:r w:rsidRPr="00412A9C">
        <w:rPr>
          <w:szCs w:val="22"/>
        </w:rPr>
        <w:t>.</w:t>
      </w:r>
      <w:r w:rsidRPr="00761EF3">
        <w:rPr>
          <w:szCs w:val="22"/>
        </w:rPr>
        <w:t>1628</w:t>
      </w:r>
      <w:r w:rsidRPr="00412A9C">
        <w:rPr>
          <w:rFonts w:hint="eastAsia"/>
          <w:szCs w:val="22"/>
        </w:rPr>
        <w:t>）</w:t>
      </w:r>
    </w:p>
  </w:footnote>
  <w:footnote w:id="933">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駛：</w:t>
      </w:r>
      <w:r w:rsidRPr="00761EF3">
        <w:rPr>
          <w:szCs w:val="22"/>
        </w:rPr>
        <w:t>2</w:t>
      </w:r>
      <w:r w:rsidRPr="00412A9C">
        <w:rPr>
          <w:szCs w:val="22"/>
        </w:rPr>
        <w:t>.</w:t>
      </w:r>
      <w:r w:rsidRPr="00412A9C">
        <w:rPr>
          <w:rFonts w:hint="eastAsia"/>
          <w:szCs w:val="22"/>
        </w:rPr>
        <w:t>疾速。（《漢語大詞典》（十二），</w:t>
      </w:r>
      <w:r w:rsidRPr="00761EF3">
        <w:rPr>
          <w:szCs w:val="22"/>
        </w:rPr>
        <w:t>p</w:t>
      </w:r>
      <w:r w:rsidRPr="00412A9C">
        <w:rPr>
          <w:szCs w:val="22"/>
        </w:rPr>
        <w:t>.</w:t>
      </w:r>
      <w:r w:rsidRPr="00761EF3">
        <w:rPr>
          <w:szCs w:val="22"/>
        </w:rPr>
        <w:t>814</w:t>
      </w:r>
      <w:r w:rsidRPr="00412A9C">
        <w:rPr>
          <w:rFonts w:hint="eastAsia"/>
          <w:szCs w:val="22"/>
        </w:rPr>
        <w:t>）</w:t>
      </w:r>
    </w:p>
  </w:footnote>
  <w:footnote w:id="934">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運：</w:t>
      </w:r>
      <w:r w:rsidRPr="00761EF3">
        <w:rPr>
          <w:szCs w:val="22"/>
        </w:rPr>
        <w:t>1</w:t>
      </w:r>
      <w:r w:rsidRPr="00412A9C">
        <w:rPr>
          <w:szCs w:val="22"/>
        </w:rPr>
        <w:t>.</w:t>
      </w:r>
      <w:r w:rsidRPr="00412A9C">
        <w:rPr>
          <w:rFonts w:hint="eastAsia"/>
          <w:szCs w:val="22"/>
        </w:rPr>
        <w:t>移動，挪動。（《漢語大詞典》（十），</w:t>
      </w:r>
      <w:r w:rsidRPr="00761EF3">
        <w:rPr>
          <w:szCs w:val="22"/>
        </w:rPr>
        <w:t>p</w:t>
      </w:r>
      <w:r w:rsidRPr="00412A9C">
        <w:rPr>
          <w:szCs w:val="22"/>
        </w:rPr>
        <w:t>.</w:t>
      </w:r>
      <w:r w:rsidRPr="00761EF3">
        <w:rPr>
          <w:szCs w:val="22"/>
        </w:rPr>
        <w:t>1091</w:t>
      </w:r>
      <w:r w:rsidRPr="00412A9C">
        <w:rPr>
          <w:rFonts w:hint="eastAsia"/>
          <w:szCs w:val="22"/>
        </w:rPr>
        <w:t>）</w:t>
      </w:r>
    </w:p>
  </w:footnote>
  <w:footnote w:id="935">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誑詐：欺詐。（《漢語大詞典》（十一），</w:t>
      </w:r>
      <w:r w:rsidRPr="00761EF3">
        <w:rPr>
          <w:szCs w:val="22"/>
        </w:rPr>
        <w:t>p</w:t>
      </w:r>
      <w:r w:rsidRPr="00412A9C">
        <w:rPr>
          <w:szCs w:val="22"/>
        </w:rPr>
        <w:t>.</w:t>
      </w:r>
      <w:r w:rsidRPr="00761EF3">
        <w:rPr>
          <w:szCs w:val="22"/>
        </w:rPr>
        <w:t>238</w:t>
      </w:r>
      <w:r w:rsidRPr="00412A9C">
        <w:rPr>
          <w:rFonts w:hint="eastAsia"/>
          <w:szCs w:val="22"/>
        </w:rPr>
        <w:t>）</w:t>
      </w:r>
    </w:p>
  </w:footnote>
  <w:footnote w:id="936">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童稚：</w:t>
      </w:r>
      <w:r w:rsidRPr="00761EF3">
        <w:rPr>
          <w:szCs w:val="22"/>
        </w:rPr>
        <w:t>1</w:t>
      </w:r>
      <w:r w:rsidRPr="00412A9C">
        <w:rPr>
          <w:szCs w:val="22"/>
        </w:rPr>
        <w:t>.</w:t>
      </w:r>
      <w:r w:rsidRPr="00412A9C">
        <w:rPr>
          <w:rFonts w:hint="eastAsia"/>
          <w:szCs w:val="22"/>
        </w:rPr>
        <w:t>兒童，小孩。（《漢語大詞典》（八），</w:t>
      </w:r>
      <w:r w:rsidRPr="00761EF3">
        <w:rPr>
          <w:szCs w:val="22"/>
        </w:rPr>
        <w:t>p</w:t>
      </w:r>
      <w:r w:rsidRPr="00412A9C">
        <w:rPr>
          <w:szCs w:val="22"/>
        </w:rPr>
        <w:t>.</w:t>
      </w:r>
      <w:r w:rsidRPr="00761EF3">
        <w:rPr>
          <w:szCs w:val="22"/>
        </w:rPr>
        <w:t>39</w:t>
      </w:r>
      <w:r w:rsidRPr="00761EF3">
        <w:rPr>
          <w:rFonts w:hint="eastAsia"/>
          <w:szCs w:val="22"/>
        </w:rPr>
        <w:t>1</w:t>
      </w:r>
      <w:r w:rsidRPr="00412A9C">
        <w:rPr>
          <w:rFonts w:hint="eastAsia"/>
          <w:szCs w:val="22"/>
        </w:rPr>
        <w:t>）</w:t>
      </w:r>
    </w:p>
  </w:footnote>
  <w:footnote w:id="937">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谷響：谷中回響聲。（《漢語大詞典》（十），</w:t>
      </w:r>
      <w:r w:rsidRPr="00761EF3">
        <w:rPr>
          <w:szCs w:val="22"/>
        </w:rPr>
        <w:t>p</w:t>
      </w:r>
      <w:r w:rsidRPr="00412A9C">
        <w:rPr>
          <w:szCs w:val="22"/>
        </w:rPr>
        <w:t>.</w:t>
      </w:r>
      <w:r w:rsidRPr="00761EF3">
        <w:rPr>
          <w:szCs w:val="22"/>
        </w:rPr>
        <w:t>1319</w:t>
      </w:r>
      <w:r w:rsidRPr="00412A9C">
        <w:rPr>
          <w:rFonts w:hint="eastAsia"/>
          <w:szCs w:val="22"/>
        </w:rPr>
        <w:t>）</w:t>
      </w:r>
    </w:p>
  </w:footnote>
  <w:footnote w:id="938">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Pr>
          <w:rFonts w:hint="eastAsia"/>
          <w:szCs w:val="22"/>
        </w:rPr>
        <w:t xml:space="preserve"> </w:t>
      </w:r>
      <w:r w:rsidRPr="00412A9C">
        <w:rPr>
          <w:rFonts w:hint="eastAsia"/>
          <w:szCs w:val="22"/>
        </w:rPr>
        <w:t>《大智度論》卷</w:t>
      </w:r>
      <w:r w:rsidRPr="00761EF3">
        <w:rPr>
          <w:szCs w:val="22"/>
        </w:rPr>
        <w:t>6</w:t>
      </w:r>
      <w:r w:rsidR="00287E83">
        <w:rPr>
          <w:rFonts w:hint="eastAsia"/>
          <w:color w:val="FF0000"/>
          <w:szCs w:val="22"/>
          <w:highlight w:val="yellow"/>
        </w:rPr>
        <w:t>釋</w:t>
      </w:r>
      <w:r w:rsidRPr="00412A9C">
        <w:rPr>
          <w:rFonts w:hint="eastAsia"/>
          <w:szCs w:val="22"/>
        </w:rPr>
        <w:t>〈</w:t>
      </w:r>
      <w:r w:rsidRPr="00761EF3">
        <w:rPr>
          <w:szCs w:val="22"/>
        </w:rPr>
        <w:t>1</w:t>
      </w:r>
      <w:r w:rsidRPr="00412A9C">
        <w:rPr>
          <w:szCs w:val="22"/>
        </w:rPr>
        <w:t xml:space="preserve"> </w:t>
      </w:r>
      <w:r w:rsidRPr="00412A9C">
        <w:rPr>
          <w:rFonts w:hint="eastAsia"/>
          <w:szCs w:val="22"/>
        </w:rPr>
        <w:t>序品〉</w:t>
      </w:r>
      <w:r w:rsidRPr="00412A9C">
        <w:rPr>
          <w:szCs w:val="22"/>
        </w:rPr>
        <w:t>（</w:t>
      </w:r>
      <w:r w:rsidRPr="00412A9C">
        <w:rPr>
          <w:rFonts w:hint="eastAsia"/>
          <w:szCs w:val="22"/>
        </w:rPr>
        <w:t>大正</w:t>
      </w:r>
      <w:r w:rsidRPr="00761EF3">
        <w:rPr>
          <w:szCs w:val="22"/>
        </w:rPr>
        <w:t>25</w:t>
      </w:r>
      <w:r w:rsidRPr="00412A9C">
        <w:rPr>
          <w:rFonts w:hint="eastAsia"/>
          <w:szCs w:val="22"/>
        </w:rPr>
        <w:t>，</w:t>
      </w:r>
      <w:r w:rsidRPr="00761EF3">
        <w:rPr>
          <w:szCs w:val="22"/>
        </w:rPr>
        <w:t>105c1</w:t>
      </w:r>
      <w:r w:rsidRPr="00412A9C">
        <w:rPr>
          <w:szCs w:val="22"/>
        </w:rPr>
        <w:t>-</w:t>
      </w:r>
      <w:r w:rsidRPr="00761EF3">
        <w:rPr>
          <w:szCs w:val="22"/>
        </w:rPr>
        <w:t>4</w:t>
      </w:r>
      <w:r w:rsidRPr="00412A9C">
        <w:rPr>
          <w:szCs w:val="22"/>
        </w:rPr>
        <w:t>）</w:t>
      </w:r>
      <w:r w:rsidRPr="00412A9C">
        <w:rPr>
          <w:rFonts w:hint="eastAsia"/>
          <w:szCs w:val="22"/>
        </w:rPr>
        <w:t>：</w:t>
      </w:r>
    </w:p>
    <w:p w:rsidR="00157EF6" w:rsidRPr="00412A9C" w:rsidRDefault="00157EF6" w:rsidP="00AA120F">
      <w:pPr>
        <w:pStyle w:val="a5"/>
        <w:ind w:leftChars="105" w:left="252"/>
        <w:jc w:val="both"/>
        <w:rPr>
          <w:rFonts w:eastAsia="標楷體"/>
          <w:szCs w:val="22"/>
        </w:rPr>
      </w:pPr>
      <w:r w:rsidRPr="00412A9C">
        <w:rPr>
          <w:rFonts w:eastAsia="標楷體" w:hint="eastAsia"/>
          <w:szCs w:val="22"/>
        </w:rPr>
        <w:t>諸法雖空而有分別：有</w:t>
      </w:r>
      <w:r w:rsidR="00A90023">
        <w:rPr>
          <w:rFonts w:ascii="標楷體" w:eastAsia="標楷體" w:hAnsi="標楷體" w:hint="eastAsia"/>
          <w:bCs/>
          <w:color w:val="FF0000"/>
          <w:kern w:val="0"/>
          <w:highlight w:val="yellow"/>
        </w:rPr>
        <w:t>「</w:t>
      </w:r>
      <w:r w:rsidRPr="00412A9C">
        <w:rPr>
          <w:rFonts w:eastAsia="標楷體" w:hint="eastAsia"/>
          <w:szCs w:val="22"/>
        </w:rPr>
        <w:t>難解空</w:t>
      </w:r>
      <w:r w:rsidR="00A90023">
        <w:rPr>
          <w:rFonts w:ascii="標楷體" w:eastAsia="標楷體" w:hAnsi="標楷體" w:hint="eastAsia"/>
          <w:bCs/>
          <w:color w:val="FF0000"/>
          <w:kern w:val="0"/>
          <w:highlight w:val="yellow"/>
        </w:rPr>
        <w:t>」</w:t>
      </w:r>
      <w:r w:rsidRPr="00412A9C">
        <w:rPr>
          <w:rFonts w:eastAsia="標楷體" w:hint="eastAsia"/>
          <w:szCs w:val="22"/>
        </w:rPr>
        <w:t>，有</w:t>
      </w:r>
      <w:r w:rsidR="00A90023">
        <w:rPr>
          <w:rFonts w:ascii="標楷體" w:eastAsia="標楷體" w:hAnsi="標楷體" w:hint="eastAsia"/>
          <w:bCs/>
          <w:color w:val="FF0000"/>
          <w:kern w:val="0"/>
          <w:highlight w:val="yellow"/>
        </w:rPr>
        <w:t>「</w:t>
      </w:r>
      <w:r w:rsidRPr="00412A9C">
        <w:rPr>
          <w:rFonts w:eastAsia="標楷體" w:hint="eastAsia"/>
          <w:szCs w:val="22"/>
        </w:rPr>
        <w:t>易解空</w:t>
      </w:r>
      <w:r w:rsidR="00A90023">
        <w:rPr>
          <w:rFonts w:ascii="標楷體" w:eastAsia="標楷體" w:hAnsi="標楷體" w:hint="eastAsia"/>
          <w:bCs/>
          <w:color w:val="FF0000"/>
          <w:kern w:val="0"/>
          <w:highlight w:val="yellow"/>
        </w:rPr>
        <w:t>」</w:t>
      </w:r>
      <w:r w:rsidRPr="00412A9C">
        <w:rPr>
          <w:rFonts w:eastAsia="標楷體" w:hint="eastAsia"/>
          <w:szCs w:val="22"/>
        </w:rPr>
        <w:t>；今以</w:t>
      </w:r>
      <w:r w:rsidR="00A90023">
        <w:rPr>
          <w:rFonts w:ascii="標楷體" w:eastAsia="標楷體" w:hAnsi="標楷體" w:hint="eastAsia"/>
          <w:bCs/>
          <w:color w:val="FF0000"/>
          <w:kern w:val="0"/>
          <w:highlight w:val="yellow"/>
        </w:rPr>
        <w:t>「</w:t>
      </w:r>
      <w:r w:rsidRPr="00412A9C">
        <w:rPr>
          <w:rFonts w:eastAsia="標楷體" w:hint="eastAsia"/>
          <w:szCs w:val="22"/>
        </w:rPr>
        <w:t>易解空</w:t>
      </w:r>
      <w:r w:rsidR="00A90023">
        <w:rPr>
          <w:rFonts w:ascii="標楷體" w:eastAsia="標楷體" w:hAnsi="標楷體" w:hint="eastAsia"/>
          <w:bCs/>
          <w:color w:val="FF0000"/>
          <w:kern w:val="0"/>
          <w:highlight w:val="yellow"/>
        </w:rPr>
        <w:t>」</w:t>
      </w:r>
      <w:r w:rsidRPr="00412A9C">
        <w:rPr>
          <w:rFonts w:eastAsia="標楷體" w:hint="eastAsia"/>
          <w:szCs w:val="22"/>
        </w:rPr>
        <w:t>喻</w:t>
      </w:r>
      <w:r w:rsidR="00A90023">
        <w:rPr>
          <w:rFonts w:ascii="標楷體" w:eastAsia="標楷體" w:hAnsi="標楷體" w:hint="eastAsia"/>
          <w:bCs/>
          <w:color w:val="FF0000"/>
          <w:kern w:val="0"/>
          <w:highlight w:val="yellow"/>
        </w:rPr>
        <w:t>「</w:t>
      </w:r>
      <w:r w:rsidRPr="00412A9C">
        <w:rPr>
          <w:rFonts w:eastAsia="標楷體" w:hint="eastAsia"/>
          <w:szCs w:val="22"/>
        </w:rPr>
        <w:t>難解空</w:t>
      </w:r>
      <w:r w:rsidR="00A90023">
        <w:rPr>
          <w:rFonts w:ascii="標楷體" w:eastAsia="標楷體" w:hAnsi="標楷體" w:hint="eastAsia"/>
          <w:bCs/>
          <w:color w:val="FF0000"/>
          <w:kern w:val="0"/>
          <w:highlight w:val="yellow"/>
        </w:rPr>
        <w:t>」</w:t>
      </w:r>
      <w:r w:rsidRPr="00412A9C">
        <w:rPr>
          <w:rFonts w:eastAsia="標楷體" w:hint="eastAsia"/>
          <w:szCs w:val="22"/>
        </w:rPr>
        <w:t>。</w:t>
      </w:r>
    </w:p>
    <w:p w:rsidR="00157EF6" w:rsidRPr="00412A9C" w:rsidRDefault="00157EF6" w:rsidP="00AA120F">
      <w:pPr>
        <w:pStyle w:val="a5"/>
        <w:ind w:leftChars="105" w:left="252"/>
        <w:jc w:val="both"/>
        <w:rPr>
          <w:szCs w:val="22"/>
        </w:rPr>
      </w:pPr>
      <w:r w:rsidRPr="00412A9C">
        <w:rPr>
          <w:rFonts w:eastAsia="標楷體" w:hint="eastAsia"/>
          <w:szCs w:val="22"/>
        </w:rPr>
        <w:t>復次，諸法有二種：有</w:t>
      </w:r>
      <w:r w:rsidR="00A90023">
        <w:rPr>
          <w:rFonts w:ascii="標楷體" w:eastAsia="標楷體" w:hAnsi="標楷體" w:hint="eastAsia"/>
          <w:bCs/>
          <w:color w:val="FF0000"/>
          <w:kern w:val="0"/>
          <w:highlight w:val="yellow"/>
        </w:rPr>
        <w:t>「</w:t>
      </w:r>
      <w:r w:rsidRPr="00412A9C">
        <w:rPr>
          <w:rFonts w:eastAsia="標楷體" w:hint="eastAsia"/>
          <w:szCs w:val="22"/>
        </w:rPr>
        <w:t>心著處</w:t>
      </w:r>
      <w:r w:rsidR="00A90023">
        <w:rPr>
          <w:rFonts w:ascii="標楷體" w:eastAsia="標楷體" w:hAnsi="標楷體" w:hint="eastAsia"/>
          <w:bCs/>
          <w:color w:val="FF0000"/>
          <w:kern w:val="0"/>
          <w:highlight w:val="yellow"/>
        </w:rPr>
        <w:t>」</w:t>
      </w:r>
      <w:r w:rsidRPr="00412A9C">
        <w:rPr>
          <w:rFonts w:eastAsia="標楷體" w:hint="eastAsia"/>
          <w:szCs w:val="22"/>
        </w:rPr>
        <w:t>，有</w:t>
      </w:r>
      <w:r w:rsidR="00A90023">
        <w:rPr>
          <w:rFonts w:ascii="標楷體" w:eastAsia="標楷體" w:hAnsi="標楷體" w:hint="eastAsia"/>
          <w:bCs/>
          <w:color w:val="FF0000"/>
          <w:kern w:val="0"/>
          <w:highlight w:val="yellow"/>
        </w:rPr>
        <w:t>「</w:t>
      </w:r>
      <w:r w:rsidRPr="00412A9C">
        <w:rPr>
          <w:rFonts w:eastAsia="標楷體" w:hint="eastAsia"/>
          <w:szCs w:val="22"/>
        </w:rPr>
        <w:t>心不著處</w:t>
      </w:r>
      <w:r w:rsidR="00A90023">
        <w:rPr>
          <w:rFonts w:ascii="標楷體" w:eastAsia="標楷體" w:hAnsi="標楷體" w:hint="eastAsia"/>
          <w:bCs/>
          <w:color w:val="FF0000"/>
          <w:kern w:val="0"/>
          <w:highlight w:val="yellow"/>
        </w:rPr>
        <w:t>」</w:t>
      </w:r>
      <w:r w:rsidRPr="00412A9C">
        <w:rPr>
          <w:rFonts w:eastAsia="標楷體" w:hint="eastAsia"/>
          <w:szCs w:val="22"/>
        </w:rPr>
        <w:t>；以</w:t>
      </w:r>
      <w:r w:rsidR="00A90023">
        <w:rPr>
          <w:rFonts w:ascii="標楷體" w:eastAsia="標楷體" w:hAnsi="標楷體" w:hint="eastAsia"/>
          <w:bCs/>
          <w:color w:val="FF0000"/>
          <w:kern w:val="0"/>
          <w:highlight w:val="yellow"/>
        </w:rPr>
        <w:t>「</w:t>
      </w:r>
      <w:r w:rsidRPr="00412A9C">
        <w:rPr>
          <w:rFonts w:eastAsia="標楷體" w:hint="eastAsia"/>
          <w:szCs w:val="22"/>
        </w:rPr>
        <w:t>心不著處</w:t>
      </w:r>
      <w:r w:rsidR="00A90023">
        <w:rPr>
          <w:rFonts w:ascii="標楷體" w:eastAsia="標楷體" w:hAnsi="標楷體" w:hint="eastAsia"/>
          <w:bCs/>
          <w:color w:val="FF0000"/>
          <w:kern w:val="0"/>
          <w:highlight w:val="yellow"/>
        </w:rPr>
        <w:t>」</w:t>
      </w:r>
      <w:r w:rsidRPr="00412A9C">
        <w:rPr>
          <w:rFonts w:eastAsia="標楷體" w:hint="eastAsia"/>
          <w:szCs w:val="22"/>
        </w:rPr>
        <w:t>解</w:t>
      </w:r>
      <w:r w:rsidR="00A90023">
        <w:rPr>
          <w:rFonts w:ascii="標楷體" w:eastAsia="標楷體" w:hAnsi="標楷體" w:hint="eastAsia"/>
          <w:bCs/>
          <w:color w:val="FF0000"/>
          <w:kern w:val="0"/>
          <w:highlight w:val="yellow"/>
        </w:rPr>
        <w:t>「</w:t>
      </w:r>
      <w:r w:rsidRPr="00412A9C">
        <w:rPr>
          <w:rFonts w:eastAsia="標楷體" w:hint="eastAsia"/>
          <w:szCs w:val="22"/>
        </w:rPr>
        <w:t>心著處</w:t>
      </w:r>
      <w:r w:rsidR="00A90023">
        <w:rPr>
          <w:rFonts w:ascii="標楷體" w:eastAsia="標楷體" w:hAnsi="標楷體" w:hint="eastAsia"/>
          <w:bCs/>
          <w:color w:val="FF0000"/>
          <w:kern w:val="0"/>
          <w:highlight w:val="yellow"/>
        </w:rPr>
        <w:t>」</w:t>
      </w:r>
      <w:r w:rsidRPr="00412A9C">
        <w:rPr>
          <w:rFonts w:eastAsia="標楷體" w:hint="eastAsia"/>
          <w:szCs w:val="22"/>
        </w:rPr>
        <w:t>。</w:t>
      </w:r>
    </w:p>
  </w:footnote>
  <w:footnote w:id="939">
    <w:p w:rsidR="00714CA7"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眚（ㄕㄥ</w:t>
      </w:r>
      <w:r w:rsidRPr="00412A9C">
        <w:rPr>
          <w:rFonts w:ascii="標楷體" w:eastAsia="標楷體" w:hAnsi="標楷體" w:hint="eastAsia"/>
          <w:szCs w:val="22"/>
        </w:rPr>
        <w:t>ˇ</w:t>
      </w:r>
      <w:r w:rsidRPr="00412A9C">
        <w:rPr>
          <w:rFonts w:hint="eastAsia"/>
          <w:szCs w:val="22"/>
        </w:rPr>
        <w:t>）：</w:t>
      </w:r>
      <w:r w:rsidRPr="00761EF3">
        <w:rPr>
          <w:szCs w:val="22"/>
        </w:rPr>
        <w:t>1</w:t>
      </w:r>
      <w:r w:rsidRPr="00412A9C">
        <w:rPr>
          <w:szCs w:val="22"/>
        </w:rPr>
        <w:t>.</w:t>
      </w:r>
      <w:r w:rsidRPr="00412A9C">
        <w:rPr>
          <w:rFonts w:hint="eastAsia"/>
          <w:szCs w:val="22"/>
        </w:rPr>
        <w:t>眼睛生翳。《說文．目部》：</w:t>
      </w:r>
      <w:r w:rsidRPr="00412A9C">
        <w:rPr>
          <w:szCs w:val="22"/>
        </w:rPr>
        <w:t>“</w:t>
      </w:r>
      <w:r w:rsidRPr="00412A9C">
        <w:rPr>
          <w:rFonts w:hint="eastAsia"/>
          <w:szCs w:val="22"/>
        </w:rPr>
        <w:t>眚，目病生翳也。</w:t>
      </w:r>
      <w:r w:rsidRPr="00412A9C">
        <w:rPr>
          <w:szCs w:val="22"/>
        </w:rPr>
        <w:t>”</w:t>
      </w:r>
    </w:p>
    <w:p w:rsidR="00157EF6" w:rsidRPr="00412A9C" w:rsidRDefault="00157EF6" w:rsidP="00714CA7">
      <w:pPr>
        <w:pStyle w:val="a5"/>
        <w:spacing w:line="0" w:lineRule="atLeast"/>
        <w:ind w:left="253" w:hangingChars="115" w:hanging="253"/>
        <w:jc w:val="right"/>
        <w:rPr>
          <w:szCs w:val="22"/>
        </w:rPr>
      </w:pPr>
      <w:r w:rsidRPr="00412A9C">
        <w:rPr>
          <w:rFonts w:hint="eastAsia"/>
          <w:szCs w:val="22"/>
        </w:rPr>
        <w:t>（《漢語大詞典》（七），</w:t>
      </w:r>
      <w:r w:rsidRPr="00761EF3">
        <w:rPr>
          <w:szCs w:val="22"/>
        </w:rPr>
        <w:t>p</w:t>
      </w:r>
      <w:r w:rsidRPr="00412A9C">
        <w:rPr>
          <w:szCs w:val="22"/>
        </w:rPr>
        <w:t>.</w:t>
      </w:r>
      <w:r w:rsidRPr="00761EF3">
        <w:rPr>
          <w:szCs w:val="22"/>
        </w:rPr>
        <w:t>1196</w:t>
      </w:r>
      <w:r w:rsidRPr="00412A9C">
        <w:rPr>
          <w:rFonts w:hint="eastAsia"/>
          <w:szCs w:val="22"/>
        </w:rPr>
        <w:t>）</w:t>
      </w:r>
    </w:p>
  </w:footnote>
  <w:footnote w:id="940">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翳（ㄧ</w:t>
      </w:r>
      <w:r w:rsidRPr="00412A9C">
        <w:rPr>
          <w:rFonts w:ascii="標楷體" w:eastAsia="標楷體" w:hAnsi="標楷體" w:hint="eastAsia"/>
          <w:szCs w:val="22"/>
        </w:rPr>
        <w:t>ˋ</w:t>
      </w:r>
      <w:r w:rsidRPr="00412A9C">
        <w:rPr>
          <w:rFonts w:hint="eastAsia"/>
          <w:szCs w:val="22"/>
        </w:rPr>
        <w:t>）：</w:t>
      </w:r>
      <w:r w:rsidRPr="00761EF3">
        <w:rPr>
          <w:szCs w:val="22"/>
        </w:rPr>
        <w:t>4</w:t>
      </w:r>
      <w:r w:rsidRPr="00412A9C">
        <w:rPr>
          <w:szCs w:val="22"/>
        </w:rPr>
        <w:t>.</w:t>
      </w:r>
      <w:r w:rsidRPr="00412A9C">
        <w:rPr>
          <w:rFonts w:hint="eastAsia"/>
          <w:szCs w:val="22"/>
        </w:rPr>
        <w:t>目疾引起的障膜。玄應《一切經音義》卷十八引《三蒼》：</w:t>
      </w:r>
      <w:r w:rsidRPr="00412A9C">
        <w:rPr>
          <w:szCs w:val="22"/>
        </w:rPr>
        <w:t>“</w:t>
      </w:r>
      <w:r w:rsidRPr="00412A9C">
        <w:rPr>
          <w:rFonts w:hint="eastAsia"/>
          <w:szCs w:val="22"/>
        </w:rPr>
        <w:t>翳，目病也。</w:t>
      </w:r>
      <w:r w:rsidRPr="00412A9C">
        <w:rPr>
          <w:szCs w:val="22"/>
        </w:rPr>
        <w:t>”</w:t>
      </w:r>
      <w:r w:rsidRPr="00412A9C">
        <w:rPr>
          <w:rFonts w:hint="eastAsia"/>
          <w:szCs w:val="22"/>
        </w:rPr>
        <w:t>（《漢語大詞典》（九），</w:t>
      </w:r>
      <w:r w:rsidRPr="00761EF3">
        <w:rPr>
          <w:szCs w:val="22"/>
        </w:rPr>
        <w:t>p</w:t>
      </w:r>
      <w:r w:rsidRPr="00412A9C">
        <w:rPr>
          <w:szCs w:val="22"/>
        </w:rPr>
        <w:t>.</w:t>
      </w:r>
      <w:r w:rsidRPr="00761EF3">
        <w:rPr>
          <w:szCs w:val="22"/>
        </w:rPr>
        <w:t>676</w:t>
      </w:r>
      <w:r w:rsidRPr="00412A9C">
        <w:rPr>
          <w:rFonts w:hint="eastAsia"/>
          <w:szCs w:val="22"/>
        </w:rPr>
        <w:t>）</w:t>
      </w:r>
    </w:p>
  </w:footnote>
  <w:footnote w:id="941">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癬：皮膚感染霉菌後引起的一種疾病。（《漢語大詞典》（八），</w:t>
      </w:r>
      <w:r w:rsidRPr="00761EF3">
        <w:rPr>
          <w:szCs w:val="22"/>
        </w:rPr>
        <w:t>p</w:t>
      </w:r>
      <w:r w:rsidRPr="00412A9C">
        <w:rPr>
          <w:szCs w:val="22"/>
        </w:rPr>
        <w:t>.</w:t>
      </w:r>
      <w:r w:rsidRPr="00761EF3">
        <w:rPr>
          <w:szCs w:val="22"/>
        </w:rPr>
        <w:t>369</w:t>
      </w:r>
      <w:r w:rsidRPr="00412A9C">
        <w:rPr>
          <w:rFonts w:hint="eastAsia"/>
          <w:szCs w:val="22"/>
        </w:rPr>
        <w:t>）</w:t>
      </w:r>
    </w:p>
  </w:footnote>
  <w:footnote w:id="942">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邪偽：邪惡詐偽。（《漢語大詞典》（十），</w:t>
      </w:r>
      <w:r w:rsidRPr="00761EF3">
        <w:rPr>
          <w:szCs w:val="22"/>
        </w:rPr>
        <w:t>p</w:t>
      </w:r>
      <w:r w:rsidRPr="00412A9C">
        <w:rPr>
          <w:szCs w:val="22"/>
        </w:rPr>
        <w:t>.</w:t>
      </w:r>
      <w:r w:rsidRPr="00761EF3">
        <w:rPr>
          <w:szCs w:val="22"/>
        </w:rPr>
        <w:t>59</w:t>
      </w:r>
      <w:r w:rsidRPr="00761EF3">
        <w:rPr>
          <w:rFonts w:hint="eastAsia"/>
          <w:szCs w:val="22"/>
        </w:rPr>
        <w:t>4</w:t>
      </w:r>
      <w:r w:rsidRPr="00412A9C">
        <w:rPr>
          <w:rFonts w:hint="eastAsia"/>
          <w:szCs w:val="22"/>
        </w:rPr>
        <w:t>）</w:t>
      </w:r>
    </w:p>
  </w:footnote>
  <w:footnote w:id="943">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熏陶：被一種思想、品行、習慣所濡染而漸趨同化。（《漢語大詞典》（七），</w:t>
      </w:r>
      <w:r w:rsidRPr="00761EF3">
        <w:rPr>
          <w:szCs w:val="22"/>
        </w:rPr>
        <w:t>p</w:t>
      </w:r>
      <w:r w:rsidRPr="00412A9C">
        <w:rPr>
          <w:szCs w:val="22"/>
        </w:rPr>
        <w:t>.</w:t>
      </w:r>
      <w:r w:rsidRPr="00761EF3">
        <w:rPr>
          <w:szCs w:val="22"/>
        </w:rPr>
        <w:t>224</w:t>
      </w:r>
      <w:r w:rsidRPr="00412A9C">
        <w:rPr>
          <w:rFonts w:hint="eastAsia"/>
          <w:szCs w:val="22"/>
        </w:rPr>
        <w:t>）</w:t>
      </w:r>
    </w:p>
  </w:footnote>
  <w:footnote w:id="944">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謬誤：錯誤，差錯。（《漢語大詞典》（十一），</w:t>
      </w:r>
      <w:r w:rsidRPr="00761EF3">
        <w:rPr>
          <w:szCs w:val="22"/>
        </w:rPr>
        <w:t>p</w:t>
      </w:r>
      <w:r w:rsidRPr="00412A9C">
        <w:rPr>
          <w:szCs w:val="22"/>
        </w:rPr>
        <w:t>.</w:t>
      </w:r>
      <w:r w:rsidRPr="00761EF3">
        <w:rPr>
          <w:szCs w:val="22"/>
        </w:rPr>
        <w:t>409</w:t>
      </w:r>
      <w:r w:rsidRPr="00412A9C">
        <w:rPr>
          <w:rFonts w:hint="eastAsia"/>
          <w:szCs w:val="22"/>
        </w:rPr>
        <w:t>）</w:t>
      </w:r>
    </w:p>
  </w:footnote>
  <w:footnote w:id="945">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恍惚：亦作</w:t>
      </w:r>
      <w:r w:rsidRPr="00412A9C">
        <w:rPr>
          <w:szCs w:val="22"/>
        </w:rPr>
        <w:t>“</w:t>
      </w:r>
      <w:r w:rsidRPr="00412A9C">
        <w:rPr>
          <w:rFonts w:hint="eastAsia"/>
          <w:szCs w:val="22"/>
        </w:rPr>
        <w:t>恍忽</w:t>
      </w:r>
      <w:r w:rsidRPr="00412A9C">
        <w:rPr>
          <w:szCs w:val="22"/>
        </w:rPr>
        <w:t>”</w:t>
      </w:r>
      <w:r w:rsidRPr="00412A9C">
        <w:rPr>
          <w:rFonts w:hint="eastAsia"/>
          <w:szCs w:val="22"/>
        </w:rPr>
        <w:t>。</w:t>
      </w:r>
      <w:r w:rsidRPr="00761EF3">
        <w:rPr>
          <w:szCs w:val="22"/>
        </w:rPr>
        <w:t>1</w:t>
      </w:r>
      <w:r w:rsidRPr="00412A9C">
        <w:rPr>
          <w:szCs w:val="22"/>
        </w:rPr>
        <w:t>.</w:t>
      </w:r>
      <w:r w:rsidRPr="00412A9C">
        <w:rPr>
          <w:rFonts w:hint="eastAsia"/>
          <w:szCs w:val="22"/>
        </w:rPr>
        <w:t>迷離，難以捉摸。（《漢語大詞典》（七），</w:t>
      </w:r>
      <w:r w:rsidRPr="00761EF3">
        <w:rPr>
          <w:szCs w:val="22"/>
        </w:rPr>
        <w:t>p</w:t>
      </w:r>
      <w:r w:rsidRPr="00412A9C">
        <w:rPr>
          <w:szCs w:val="22"/>
        </w:rPr>
        <w:t>.</w:t>
      </w:r>
      <w:r w:rsidRPr="00761EF3">
        <w:rPr>
          <w:szCs w:val="22"/>
        </w:rPr>
        <w:t>519</w:t>
      </w:r>
      <w:r w:rsidRPr="00412A9C">
        <w:rPr>
          <w:rFonts w:hint="eastAsia"/>
          <w:szCs w:val="22"/>
        </w:rPr>
        <w:t>）</w:t>
      </w:r>
    </w:p>
  </w:footnote>
  <w:footnote w:id="946">
    <w:p w:rsidR="00714CA7"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杌（ㄨ</w:t>
      </w:r>
      <w:r w:rsidRPr="00412A9C">
        <w:rPr>
          <w:rFonts w:ascii="標楷體" w:eastAsia="標楷體" w:hAnsi="標楷體" w:hint="eastAsia"/>
          <w:szCs w:val="22"/>
        </w:rPr>
        <w:t>ˋ</w:t>
      </w:r>
      <w:r w:rsidRPr="00412A9C">
        <w:rPr>
          <w:rFonts w:hint="eastAsia"/>
          <w:szCs w:val="22"/>
        </w:rPr>
        <w:t>）：</w:t>
      </w:r>
      <w:r w:rsidRPr="00761EF3">
        <w:rPr>
          <w:szCs w:val="22"/>
        </w:rPr>
        <w:t>2</w:t>
      </w:r>
      <w:r w:rsidRPr="00412A9C">
        <w:rPr>
          <w:szCs w:val="22"/>
        </w:rPr>
        <w:t>.</w:t>
      </w:r>
      <w:r w:rsidRPr="00412A9C">
        <w:rPr>
          <w:rFonts w:hint="eastAsia"/>
          <w:szCs w:val="22"/>
        </w:rPr>
        <w:t>樹木沒有枝丫。</w:t>
      </w:r>
      <w:r w:rsidRPr="00761EF3">
        <w:rPr>
          <w:rFonts w:hint="eastAsia"/>
          <w:szCs w:val="22"/>
        </w:rPr>
        <w:t>3</w:t>
      </w:r>
      <w:r w:rsidRPr="00412A9C">
        <w:rPr>
          <w:rFonts w:hint="eastAsia"/>
          <w:szCs w:val="22"/>
        </w:rPr>
        <w:t>.</w:t>
      </w:r>
      <w:r w:rsidRPr="00412A9C">
        <w:rPr>
          <w:rFonts w:hint="eastAsia"/>
          <w:szCs w:val="22"/>
        </w:rPr>
        <w:t>指樹木斫伐後剩下的樁子。</w:t>
      </w:r>
    </w:p>
    <w:p w:rsidR="00157EF6" w:rsidRPr="00412A9C" w:rsidRDefault="00157EF6" w:rsidP="00714CA7">
      <w:pPr>
        <w:pStyle w:val="a5"/>
        <w:spacing w:line="0" w:lineRule="atLeast"/>
        <w:ind w:left="253" w:hangingChars="115" w:hanging="253"/>
        <w:jc w:val="right"/>
        <w:rPr>
          <w:szCs w:val="22"/>
        </w:rPr>
      </w:pPr>
      <w:r w:rsidRPr="00412A9C">
        <w:rPr>
          <w:rFonts w:hint="eastAsia"/>
          <w:szCs w:val="22"/>
        </w:rPr>
        <w:t>（《漢語大詞典》（四），</w:t>
      </w:r>
      <w:r w:rsidRPr="00761EF3">
        <w:rPr>
          <w:szCs w:val="22"/>
        </w:rPr>
        <w:t>p</w:t>
      </w:r>
      <w:r w:rsidRPr="00412A9C">
        <w:rPr>
          <w:szCs w:val="22"/>
        </w:rPr>
        <w:t>.</w:t>
      </w:r>
      <w:r w:rsidRPr="00761EF3">
        <w:rPr>
          <w:szCs w:val="22"/>
        </w:rPr>
        <w:t>773</w:t>
      </w:r>
      <w:r w:rsidRPr="00412A9C">
        <w:rPr>
          <w:rFonts w:hint="eastAsia"/>
          <w:szCs w:val="22"/>
        </w:rPr>
        <w:t>）</w:t>
      </w:r>
    </w:p>
  </w:footnote>
  <w:footnote w:id="947">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錯謬：錯亂，錯誤。（《漢語大詞典》（十一），</w:t>
      </w:r>
      <w:r w:rsidRPr="00761EF3">
        <w:rPr>
          <w:szCs w:val="22"/>
        </w:rPr>
        <w:t>p</w:t>
      </w:r>
      <w:r w:rsidRPr="00412A9C">
        <w:rPr>
          <w:szCs w:val="22"/>
        </w:rPr>
        <w:t>.</w:t>
      </w:r>
      <w:r w:rsidRPr="00761EF3">
        <w:rPr>
          <w:szCs w:val="22"/>
        </w:rPr>
        <w:t>1316</w:t>
      </w:r>
      <w:r w:rsidRPr="00412A9C">
        <w:rPr>
          <w:rFonts w:hint="eastAsia"/>
          <w:szCs w:val="22"/>
        </w:rPr>
        <w:t>）</w:t>
      </w:r>
    </w:p>
  </w:footnote>
  <w:footnote w:id="948">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案：即上所說「根的變異」及「心識的錯亂」二者。</w:t>
      </w:r>
    </w:p>
  </w:footnote>
  <w:footnote w:id="949">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案：即上所說「境相的誑惑」及「色等正世俗」二類。</w:t>
      </w:r>
    </w:p>
  </w:footnote>
  <w:footnote w:id="950">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Pr>
          <w:rFonts w:hint="eastAsia"/>
          <w:szCs w:val="22"/>
        </w:rPr>
        <w:t xml:space="preserve"> </w:t>
      </w:r>
      <w:r w:rsidRPr="00412A9C">
        <w:rPr>
          <w:rFonts w:hint="eastAsia"/>
          <w:szCs w:val="22"/>
        </w:rPr>
        <w:t>《摩訶般若波羅蜜經》卷</w:t>
      </w:r>
      <w:r w:rsidRPr="00761EF3">
        <w:rPr>
          <w:szCs w:val="22"/>
        </w:rPr>
        <w:t>18</w:t>
      </w:r>
      <w:r w:rsidRPr="00412A9C">
        <w:rPr>
          <w:rFonts w:hint="eastAsia"/>
          <w:szCs w:val="22"/>
        </w:rPr>
        <w:t>〈</w:t>
      </w:r>
      <w:r w:rsidRPr="00761EF3">
        <w:rPr>
          <w:szCs w:val="22"/>
        </w:rPr>
        <w:t>60</w:t>
      </w:r>
      <w:r w:rsidRPr="00412A9C">
        <w:rPr>
          <w:szCs w:val="22"/>
        </w:rPr>
        <w:t xml:space="preserve"> </w:t>
      </w:r>
      <w:r w:rsidRPr="00412A9C">
        <w:rPr>
          <w:rFonts w:hint="eastAsia"/>
          <w:szCs w:val="22"/>
        </w:rPr>
        <w:t>不證品〉</w:t>
      </w:r>
      <w:r w:rsidRPr="00412A9C">
        <w:rPr>
          <w:szCs w:val="22"/>
        </w:rPr>
        <w:t>（</w:t>
      </w:r>
      <w:r w:rsidRPr="00412A9C">
        <w:rPr>
          <w:rFonts w:hint="eastAsia"/>
          <w:szCs w:val="22"/>
        </w:rPr>
        <w:t>大正</w:t>
      </w:r>
      <w:r w:rsidRPr="00761EF3">
        <w:rPr>
          <w:szCs w:val="22"/>
        </w:rPr>
        <w:t>8</w:t>
      </w:r>
      <w:r w:rsidRPr="00412A9C">
        <w:rPr>
          <w:rFonts w:hint="eastAsia"/>
          <w:szCs w:val="22"/>
        </w:rPr>
        <w:t>，</w:t>
      </w:r>
      <w:r w:rsidRPr="00761EF3">
        <w:rPr>
          <w:szCs w:val="22"/>
        </w:rPr>
        <w:t>350a10</w:t>
      </w:r>
      <w:r w:rsidRPr="00412A9C">
        <w:rPr>
          <w:szCs w:val="22"/>
        </w:rPr>
        <w:t>-</w:t>
      </w:r>
      <w:r w:rsidRPr="00761EF3">
        <w:rPr>
          <w:szCs w:val="22"/>
        </w:rPr>
        <w:t>13</w:t>
      </w:r>
      <w:r w:rsidRPr="00412A9C">
        <w:rPr>
          <w:szCs w:val="22"/>
        </w:rPr>
        <w:t>）</w:t>
      </w:r>
      <w:r w:rsidRPr="00412A9C">
        <w:rPr>
          <w:rFonts w:hint="eastAsia"/>
          <w:szCs w:val="22"/>
        </w:rPr>
        <w:t>：</w:t>
      </w:r>
    </w:p>
    <w:p w:rsidR="00157EF6" w:rsidRPr="00412A9C" w:rsidRDefault="00157EF6" w:rsidP="00AA120F">
      <w:pPr>
        <w:pStyle w:val="a5"/>
        <w:ind w:leftChars="105" w:left="252"/>
        <w:jc w:val="both"/>
        <w:rPr>
          <w:szCs w:val="22"/>
        </w:rPr>
      </w:pPr>
      <w:r w:rsidRPr="00412A9C">
        <w:rPr>
          <w:rFonts w:ascii="標楷體" w:eastAsia="標楷體" w:hAnsi="標楷體" w:hint="eastAsia"/>
          <w:szCs w:val="22"/>
        </w:rPr>
        <w:t>佛告須菩提：</w:t>
      </w:r>
      <w:r w:rsidRPr="00412A9C">
        <w:rPr>
          <w:rFonts w:hint="eastAsia"/>
          <w:szCs w:val="22"/>
        </w:rPr>
        <w:t>「</w:t>
      </w:r>
      <w:r w:rsidRPr="00412A9C">
        <w:rPr>
          <w:rFonts w:eastAsia="標楷體" w:hint="eastAsia"/>
          <w:szCs w:val="22"/>
        </w:rPr>
        <w:t>菩薩摩訶薩行般若波羅蜜時，應觀</w:t>
      </w:r>
      <w:r w:rsidRPr="00412A9C">
        <w:rPr>
          <w:rFonts w:eastAsia="標楷體" w:hint="eastAsia"/>
          <w:b/>
          <w:szCs w:val="22"/>
        </w:rPr>
        <w:t>色空</w:t>
      </w:r>
      <w:r w:rsidR="00714CA7">
        <w:rPr>
          <w:rFonts w:ascii="標楷體" w:eastAsia="標楷體" w:hAnsi="標楷體" w:hint="eastAsia"/>
          <w:color w:val="FF0000"/>
          <w:spacing w:val="-4"/>
          <w:kern w:val="0"/>
          <w:highlight w:val="yellow"/>
        </w:rPr>
        <w:t>、</w:t>
      </w:r>
      <w:r w:rsidR="00714CA7">
        <w:rPr>
          <w:rFonts w:ascii="標楷體" w:eastAsia="標楷體" w:hAnsi="標楷體" w:hint="eastAsia"/>
          <w:color w:val="FF0000"/>
          <w:kern w:val="0"/>
          <w:highlight w:val="yellow"/>
        </w:rPr>
        <w:t>『</w:t>
      </w:r>
      <w:r w:rsidRPr="00412A9C">
        <w:rPr>
          <w:rFonts w:eastAsia="標楷體" w:hint="eastAsia"/>
          <w:b/>
          <w:szCs w:val="22"/>
        </w:rPr>
        <w:t>受</w:t>
      </w:r>
      <w:r w:rsidR="00714CA7">
        <w:rPr>
          <w:rFonts w:ascii="標楷體" w:eastAsia="標楷體" w:hAnsi="標楷體" w:hint="eastAsia"/>
          <w:color w:val="FF0000"/>
          <w:spacing w:val="-4"/>
          <w:kern w:val="0"/>
          <w:highlight w:val="yellow"/>
        </w:rPr>
        <w:t>、</w:t>
      </w:r>
      <w:r w:rsidRPr="00412A9C">
        <w:rPr>
          <w:rFonts w:eastAsia="標楷體" w:hint="eastAsia"/>
          <w:b/>
          <w:szCs w:val="22"/>
        </w:rPr>
        <w:t>想</w:t>
      </w:r>
      <w:r w:rsidR="00714CA7">
        <w:rPr>
          <w:rFonts w:ascii="標楷體" w:eastAsia="標楷體" w:hAnsi="標楷體" w:hint="eastAsia"/>
          <w:color w:val="FF0000"/>
          <w:spacing w:val="-4"/>
          <w:kern w:val="0"/>
          <w:highlight w:val="yellow"/>
        </w:rPr>
        <w:t>、</w:t>
      </w:r>
      <w:r w:rsidRPr="00412A9C">
        <w:rPr>
          <w:rFonts w:eastAsia="標楷體" w:hint="eastAsia"/>
          <w:b/>
          <w:szCs w:val="22"/>
        </w:rPr>
        <w:t>行</w:t>
      </w:r>
      <w:r w:rsidR="00714CA7">
        <w:rPr>
          <w:rFonts w:ascii="標楷體" w:eastAsia="標楷體" w:hAnsi="標楷體" w:hint="eastAsia"/>
          <w:color w:val="FF0000"/>
          <w:spacing w:val="-4"/>
          <w:kern w:val="0"/>
          <w:highlight w:val="yellow"/>
        </w:rPr>
        <w:t>、</w:t>
      </w:r>
      <w:r w:rsidRPr="00412A9C">
        <w:rPr>
          <w:rFonts w:eastAsia="標楷體" w:hint="eastAsia"/>
          <w:b/>
          <w:szCs w:val="22"/>
        </w:rPr>
        <w:t>識</w:t>
      </w:r>
      <w:r w:rsidR="00714CA7">
        <w:rPr>
          <w:rFonts w:ascii="標楷體" w:eastAsia="標楷體" w:hAnsi="標楷體" w:hint="eastAsia"/>
          <w:color w:val="FF0000"/>
          <w:kern w:val="0"/>
          <w:highlight w:val="yellow"/>
        </w:rPr>
        <w:t>』</w:t>
      </w:r>
      <w:r w:rsidRPr="00412A9C">
        <w:rPr>
          <w:rFonts w:eastAsia="標楷體" w:hint="eastAsia"/>
          <w:b/>
          <w:szCs w:val="22"/>
        </w:rPr>
        <w:t>空</w:t>
      </w:r>
      <w:r w:rsidR="00714CA7">
        <w:rPr>
          <w:rFonts w:ascii="標楷體" w:eastAsia="標楷體" w:hAnsi="標楷體" w:hint="eastAsia"/>
          <w:color w:val="FF0000"/>
          <w:spacing w:val="-4"/>
          <w:kern w:val="0"/>
          <w:highlight w:val="yellow"/>
        </w:rPr>
        <w:t>、</w:t>
      </w:r>
      <w:r w:rsidR="00714CA7">
        <w:rPr>
          <w:rFonts w:ascii="標楷體" w:eastAsia="標楷體" w:hAnsi="標楷體" w:hint="eastAsia"/>
          <w:color w:val="FF0000"/>
          <w:kern w:val="0"/>
          <w:highlight w:val="yellow"/>
        </w:rPr>
        <w:t>『</w:t>
      </w:r>
      <w:r w:rsidRPr="00412A9C">
        <w:rPr>
          <w:rFonts w:eastAsia="標楷體" w:hint="eastAsia"/>
          <w:szCs w:val="22"/>
        </w:rPr>
        <w:t>十二入、十八界</w:t>
      </w:r>
      <w:r w:rsidR="00714CA7">
        <w:rPr>
          <w:rFonts w:ascii="標楷體" w:eastAsia="標楷體" w:hAnsi="標楷體" w:hint="eastAsia"/>
          <w:color w:val="FF0000"/>
          <w:kern w:val="0"/>
          <w:highlight w:val="yellow"/>
        </w:rPr>
        <w:t>』</w:t>
      </w:r>
      <w:r w:rsidRPr="00412A9C">
        <w:rPr>
          <w:rFonts w:eastAsia="標楷體" w:hint="eastAsia"/>
          <w:szCs w:val="22"/>
        </w:rPr>
        <w:t>空，乃至應觀</w:t>
      </w:r>
      <w:r w:rsidR="00714CA7">
        <w:rPr>
          <w:rFonts w:ascii="標楷體" w:eastAsia="標楷體" w:hAnsi="標楷體" w:hint="eastAsia"/>
          <w:color w:val="FF0000"/>
          <w:kern w:val="0"/>
          <w:highlight w:val="yellow"/>
        </w:rPr>
        <w:t>『</w:t>
      </w:r>
      <w:r w:rsidRPr="00412A9C">
        <w:rPr>
          <w:rFonts w:eastAsia="標楷體" w:hint="eastAsia"/>
          <w:szCs w:val="22"/>
        </w:rPr>
        <w:t>欲、色、無色</w:t>
      </w:r>
      <w:r w:rsidR="00714CA7">
        <w:rPr>
          <w:rFonts w:ascii="標楷體" w:eastAsia="標楷體" w:hAnsi="標楷體" w:hint="eastAsia"/>
          <w:color w:val="FF0000"/>
          <w:kern w:val="0"/>
          <w:highlight w:val="yellow"/>
        </w:rPr>
        <w:t>』</w:t>
      </w:r>
      <w:r w:rsidRPr="00412A9C">
        <w:rPr>
          <w:rFonts w:eastAsia="標楷體" w:hint="eastAsia"/>
          <w:szCs w:val="22"/>
        </w:rPr>
        <w:t>界空</w:t>
      </w:r>
      <w:r w:rsidRPr="00412A9C">
        <w:rPr>
          <w:rFonts w:hint="eastAsia"/>
          <w:szCs w:val="22"/>
        </w:rPr>
        <w:t>。」</w:t>
      </w:r>
    </w:p>
  </w:footnote>
  <w:footnote w:id="951">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rFonts w:hint="eastAsia"/>
          <w:szCs w:val="22"/>
        </w:rPr>
        <w:t>（</w:t>
      </w:r>
      <w:r w:rsidRPr="00761EF3">
        <w:rPr>
          <w:szCs w:val="22"/>
        </w:rPr>
        <w:t>1</w:t>
      </w:r>
      <w:r w:rsidRPr="00412A9C">
        <w:rPr>
          <w:rFonts w:hint="eastAsia"/>
          <w:szCs w:val="22"/>
        </w:rPr>
        <w:t>）無著造，〔唐〕玄奘譯，《攝大乘論本》卷中（大正</w:t>
      </w:r>
      <w:r w:rsidRPr="00761EF3">
        <w:rPr>
          <w:szCs w:val="22"/>
        </w:rPr>
        <w:t>31</w:t>
      </w:r>
      <w:r w:rsidRPr="00412A9C">
        <w:rPr>
          <w:rFonts w:hint="eastAsia"/>
          <w:szCs w:val="22"/>
        </w:rPr>
        <w:t>，</w:t>
      </w:r>
      <w:r w:rsidRPr="00761EF3">
        <w:rPr>
          <w:szCs w:val="22"/>
        </w:rPr>
        <w:t>140b4</w:t>
      </w:r>
      <w:r w:rsidRPr="00412A9C">
        <w:rPr>
          <w:szCs w:val="22"/>
        </w:rPr>
        <w:t>-</w:t>
      </w:r>
      <w:r w:rsidRPr="00761EF3">
        <w:rPr>
          <w:szCs w:val="22"/>
        </w:rPr>
        <w:t>12</w:t>
      </w:r>
      <w:r w:rsidRPr="00412A9C">
        <w:rPr>
          <w:rFonts w:hint="eastAsia"/>
          <w:szCs w:val="22"/>
        </w:rPr>
        <w:t>）：</w:t>
      </w:r>
    </w:p>
    <w:p w:rsidR="00157EF6" w:rsidRPr="00412A9C" w:rsidRDefault="00157EF6" w:rsidP="00AA120F">
      <w:pPr>
        <w:pStyle w:val="a5"/>
        <w:ind w:leftChars="335" w:left="804"/>
        <w:jc w:val="both"/>
        <w:rPr>
          <w:rFonts w:eastAsia="標楷體"/>
          <w:szCs w:val="22"/>
        </w:rPr>
      </w:pPr>
      <w:r w:rsidRPr="00412A9C">
        <w:rPr>
          <w:rFonts w:eastAsia="標楷體" w:hint="eastAsia"/>
          <w:szCs w:val="22"/>
        </w:rPr>
        <w:t>云何應知</w:t>
      </w:r>
      <w:r w:rsidR="00714CA7">
        <w:rPr>
          <w:rFonts w:ascii="標楷體" w:eastAsia="標楷體" w:hAnsi="標楷體" w:hint="eastAsia"/>
          <w:bCs/>
          <w:color w:val="FF0000"/>
          <w:kern w:val="0"/>
          <w:highlight w:val="yellow"/>
        </w:rPr>
        <w:t>「</w:t>
      </w:r>
      <w:r w:rsidRPr="00412A9C">
        <w:rPr>
          <w:rFonts w:eastAsia="標楷體" w:hint="eastAsia"/>
          <w:szCs w:val="22"/>
        </w:rPr>
        <w:t>圓成實自性</w:t>
      </w:r>
      <w:r w:rsidR="00714CA7">
        <w:rPr>
          <w:rFonts w:ascii="標楷體" w:eastAsia="標楷體" w:hAnsi="標楷體" w:hint="eastAsia"/>
          <w:bCs/>
          <w:color w:val="FF0000"/>
          <w:kern w:val="0"/>
          <w:highlight w:val="yellow"/>
        </w:rPr>
        <w:t>」</w:t>
      </w:r>
      <w:r w:rsidRPr="00412A9C">
        <w:rPr>
          <w:rFonts w:eastAsia="標楷體" w:hint="eastAsia"/>
          <w:szCs w:val="22"/>
        </w:rPr>
        <w:t>？應知宣說</w:t>
      </w:r>
      <w:r w:rsidR="00714CA7">
        <w:rPr>
          <w:rFonts w:ascii="標楷體" w:eastAsia="標楷體" w:hAnsi="標楷體" w:hint="eastAsia"/>
          <w:bCs/>
          <w:color w:val="FF0000"/>
          <w:kern w:val="0"/>
          <w:highlight w:val="yellow"/>
        </w:rPr>
        <w:t>「</w:t>
      </w:r>
      <w:r w:rsidRPr="00412A9C">
        <w:rPr>
          <w:rFonts w:eastAsia="標楷體" w:hint="eastAsia"/>
          <w:b/>
          <w:szCs w:val="22"/>
        </w:rPr>
        <w:t>四清淨法</w:t>
      </w:r>
      <w:r w:rsidR="00714CA7">
        <w:rPr>
          <w:rFonts w:ascii="標楷體" w:eastAsia="標楷體" w:hAnsi="標楷體" w:hint="eastAsia"/>
          <w:bCs/>
          <w:color w:val="FF0000"/>
          <w:kern w:val="0"/>
          <w:highlight w:val="yellow"/>
        </w:rPr>
        <w:t>」</w:t>
      </w:r>
      <w:r w:rsidRPr="00412A9C">
        <w:rPr>
          <w:rFonts w:eastAsia="標楷體" w:hint="eastAsia"/>
          <w:szCs w:val="22"/>
        </w:rPr>
        <w:t>。何等名為</w:t>
      </w:r>
      <w:r w:rsidR="00714CA7">
        <w:rPr>
          <w:rFonts w:ascii="標楷體" w:eastAsia="標楷體" w:hAnsi="標楷體" w:hint="eastAsia"/>
          <w:bCs/>
          <w:color w:val="FF0000"/>
          <w:kern w:val="0"/>
          <w:highlight w:val="yellow"/>
        </w:rPr>
        <w:t>「</w:t>
      </w:r>
      <w:r w:rsidRPr="00412A9C">
        <w:rPr>
          <w:rFonts w:eastAsia="標楷體" w:hint="eastAsia"/>
          <w:szCs w:val="22"/>
        </w:rPr>
        <w:t>四清淨法</w:t>
      </w:r>
      <w:r w:rsidR="00714CA7">
        <w:rPr>
          <w:rFonts w:ascii="標楷體" w:eastAsia="標楷體" w:hAnsi="標楷體" w:hint="eastAsia"/>
          <w:bCs/>
          <w:color w:val="FF0000"/>
          <w:kern w:val="0"/>
          <w:highlight w:val="yellow"/>
        </w:rPr>
        <w:t>」</w:t>
      </w:r>
      <w:r w:rsidRPr="00412A9C">
        <w:rPr>
          <w:rFonts w:eastAsia="標楷體" w:hint="eastAsia"/>
          <w:szCs w:val="22"/>
        </w:rPr>
        <w:t>？一者、</w:t>
      </w:r>
      <w:r w:rsidRPr="00412A9C">
        <w:rPr>
          <w:rFonts w:eastAsia="標楷體" w:hint="eastAsia"/>
          <w:b/>
          <w:szCs w:val="22"/>
        </w:rPr>
        <w:t>自性清淨</w:t>
      </w:r>
      <w:r w:rsidRPr="00412A9C">
        <w:rPr>
          <w:rFonts w:eastAsia="標楷體" w:hint="eastAsia"/>
          <w:szCs w:val="22"/>
        </w:rPr>
        <w:t>，謂真如、空、實際、無相、勝義、法界。二者、</w:t>
      </w:r>
      <w:r w:rsidRPr="00412A9C">
        <w:rPr>
          <w:rFonts w:eastAsia="標楷體" w:hint="eastAsia"/>
          <w:b/>
          <w:szCs w:val="22"/>
        </w:rPr>
        <w:t>離垢清淨</w:t>
      </w:r>
      <w:r w:rsidRPr="00412A9C">
        <w:rPr>
          <w:rFonts w:eastAsia="標楷體" w:hint="eastAsia"/>
          <w:szCs w:val="22"/>
        </w:rPr>
        <w:t>，謂即此離一切障垢。三者、</w:t>
      </w:r>
      <w:r w:rsidRPr="00412A9C">
        <w:rPr>
          <w:rFonts w:eastAsia="標楷體" w:hint="eastAsia"/>
          <w:b/>
          <w:szCs w:val="22"/>
        </w:rPr>
        <w:t>得此道清淨</w:t>
      </w:r>
      <w:r w:rsidRPr="00412A9C">
        <w:rPr>
          <w:rFonts w:eastAsia="標楷體" w:hint="eastAsia"/>
          <w:szCs w:val="22"/>
        </w:rPr>
        <w:t>，謂一切菩提分法、波羅蜜多等。四者、</w:t>
      </w:r>
      <w:r w:rsidRPr="00412A9C">
        <w:rPr>
          <w:rFonts w:eastAsia="標楷體" w:hint="eastAsia"/>
          <w:b/>
          <w:szCs w:val="22"/>
        </w:rPr>
        <w:t>生此境清淨</w:t>
      </w:r>
      <w:r w:rsidRPr="00412A9C">
        <w:rPr>
          <w:rFonts w:eastAsia="標楷體" w:hint="eastAsia"/>
          <w:szCs w:val="22"/>
        </w:rPr>
        <w:t>，謂諸大乘妙正法教。由此法教</w:t>
      </w:r>
      <w:r w:rsidR="00714CA7">
        <w:rPr>
          <w:rFonts w:ascii="標楷體" w:eastAsia="標楷體" w:hAnsi="標楷體" w:hint="eastAsia"/>
          <w:color w:val="FF0000"/>
          <w:kern w:val="0"/>
          <w:highlight w:val="yellow"/>
        </w:rPr>
        <w:t>──</w:t>
      </w:r>
      <w:r w:rsidRPr="00412A9C">
        <w:rPr>
          <w:rFonts w:eastAsia="標楷體" w:hint="eastAsia"/>
          <w:szCs w:val="22"/>
        </w:rPr>
        <w:t>清淨緣故，非</w:t>
      </w:r>
      <w:r w:rsidR="00714CA7">
        <w:rPr>
          <w:rFonts w:ascii="標楷體" w:eastAsia="標楷體" w:hAnsi="標楷體" w:hint="eastAsia"/>
          <w:bCs/>
          <w:color w:val="FF0000"/>
          <w:kern w:val="0"/>
          <w:highlight w:val="yellow"/>
        </w:rPr>
        <w:t>「</w:t>
      </w:r>
      <w:r w:rsidRPr="00412A9C">
        <w:rPr>
          <w:rFonts w:eastAsia="標楷體" w:hint="eastAsia"/>
          <w:szCs w:val="22"/>
        </w:rPr>
        <w:t>遍計所執自性</w:t>
      </w:r>
      <w:r w:rsidR="00714CA7">
        <w:rPr>
          <w:rFonts w:ascii="標楷體" w:eastAsia="標楷體" w:hAnsi="標楷體" w:hint="eastAsia"/>
          <w:bCs/>
          <w:color w:val="FF0000"/>
          <w:kern w:val="0"/>
          <w:highlight w:val="yellow"/>
        </w:rPr>
        <w:t>」</w:t>
      </w:r>
      <w:r w:rsidRPr="00412A9C">
        <w:rPr>
          <w:rFonts w:eastAsia="標楷體" w:hint="eastAsia"/>
          <w:szCs w:val="22"/>
        </w:rPr>
        <w:t>；最淨法界等流性故，非</w:t>
      </w:r>
      <w:r w:rsidR="00714CA7">
        <w:rPr>
          <w:rFonts w:ascii="標楷體" w:eastAsia="標楷體" w:hAnsi="標楷體" w:hint="eastAsia"/>
          <w:bCs/>
          <w:color w:val="FF0000"/>
          <w:kern w:val="0"/>
          <w:highlight w:val="yellow"/>
        </w:rPr>
        <w:t>「</w:t>
      </w:r>
      <w:r w:rsidRPr="00412A9C">
        <w:rPr>
          <w:rFonts w:eastAsia="標楷體" w:hint="eastAsia"/>
          <w:szCs w:val="22"/>
        </w:rPr>
        <w:t>依他起自性</w:t>
      </w:r>
      <w:r w:rsidR="00714CA7">
        <w:rPr>
          <w:rFonts w:ascii="標楷體" w:eastAsia="標楷體" w:hAnsi="標楷體" w:hint="eastAsia"/>
          <w:bCs/>
          <w:color w:val="FF0000"/>
          <w:kern w:val="0"/>
          <w:highlight w:val="yellow"/>
        </w:rPr>
        <w:t>」</w:t>
      </w:r>
      <w:r w:rsidRPr="00412A9C">
        <w:rPr>
          <w:rFonts w:eastAsia="標楷體" w:hint="eastAsia"/>
          <w:szCs w:val="22"/>
        </w:rPr>
        <w:t>。</w:t>
      </w:r>
    </w:p>
    <w:p w:rsidR="00157EF6" w:rsidRPr="00412A9C" w:rsidRDefault="00157EF6" w:rsidP="00AA120F">
      <w:pPr>
        <w:pStyle w:val="a5"/>
        <w:ind w:leftChars="335" w:left="804"/>
        <w:jc w:val="both"/>
        <w:rPr>
          <w:szCs w:val="22"/>
        </w:rPr>
      </w:pPr>
      <w:r w:rsidRPr="00412A9C">
        <w:rPr>
          <w:rFonts w:eastAsia="標楷體" w:hint="eastAsia"/>
          <w:szCs w:val="22"/>
        </w:rPr>
        <w:t>如是四法，總攝一切清淨法盡。</w:t>
      </w:r>
    </w:p>
    <w:p w:rsidR="00157EF6" w:rsidRPr="00412A9C" w:rsidRDefault="00157EF6" w:rsidP="00AA120F">
      <w:pPr>
        <w:pStyle w:val="a5"/>
        <w:ind w:leftChars="105" w:left="791" w:hangingChars="245" w:hanging="539"/>
        <w:jc w:val="both"/>
        <w:rPr>
          <w:szCs w:val="22"/>
        </w:rPr>
      </w:pPr>
      <w:r w:rsidRPr="00412A9C">
        <w:rPr>
          <w:rFonts w:hint="eastAsia"/>
          <w:szCs w:val="22"/>
        </w:rPr>
        <w:t>（</w:t>
      </w:r>
      <w:r w:rsidRPr="00761EF3">
        <w:rPr>
          <w:szCs w:val="22"/>
        </w:rPr>
        <w:t>2</w:t>
      </w:r>
      <w:r w:rsidRPr="00B23684">
        <w:rPr>
          <w:szCs w:val="22"/>
        </w:rPr>
        <w:t>）</w:t>
      </w:r>
      <w:r w:rsidRPr="00B23684">
        <w:rPr>
          <w:spacing w:val="10"/>
          <w:szCs w:val="22"/>
        </w:rPr>
        <w:t>另參見</w:t>
      </w:r>
      <w:r w:rsidR="007917D5">
        <w:rPr>
          <w:rFonts w:hint="eastAsia"/>
          <w:spacing w:val="10"/>
          <w:szCs w:val="22"/>
        </w:rPr>
        <w:t>：</w:t>
      </w:r>
      <w:r w:rsidRPr="00B23684">
        <w:rPr>
          <w:spacing w:val="10"/>
          <w:szCs w:val="22"/>
        </w:rPr>
        <w:t>世親釋，〔唐〕玄奘譯，《攝大乘論釋》卷</w:t>
      </w:r>
      <w:r w:rsidRPr="00761EF3">
        <w:rPr>
          <w:spacing w:val="10"/>
          <w:szCs w:val="22"/>
        </w:rPr>
        <w:t>5</w:t>
      </w:r>
      <w:r w:rsidRPr="00B23684">
        <w:rPr>
          <w:spacing w:val="10"/>
          <w:szCs w:val="22"/>
        </w:rPr>
        <w:t>（大正</w:t>
      </w:r>
      <w:r w:rsidRPr="00761EF3">
        <w:rPr>
          <w:spacing w:val="10"/>
          <w:szCs w:val="22"/>
        </w:rPr>
        <w:t>31</w:t>
      </w:r>
      <w:r w:rsidRPr="00B23684">
        <w:rPr>
          <w:spacing w:val="10"/>
          <w:szCs w:val="22"/>
        </w:rPr>
        <w:t>，</w:t>
      </w:r>
      <w:r w:rsidRPr="00761EF3">
        <w:rPr>
          <w:szCs w:val="22"/>
        </w:rPr>
        <w:t>343c18</w:t>
      </w:r>
      <w:r w:rsidRPr="00B23684">
        <w:rPr>
          <w:szCs w:val="22"/>
        </w:rPr>
        <w:t>-</w:t>
      </w:r>
      <w:r w:rsidR="007917D5">
        <w:rPr>
          <w:rFonts w:hint="eastAsia"/>
          <w:szCs w:val="22"/>
        </w:rPr>
        <w:t xml:space="preserve"> </w:t>
      </w:r>
      <w:r w:rsidRPr="00761EF3">
        <w:rPr>
          <w:szCs w:val="22"/>
        </w:rPr>
        <w:t>344a22</w:t>
      </w:r>
      <w:r w:rsidRPr="00B23684">
        <w:rPr>
          <w:szCs w:val="22"/>
        </w:rPr>
        <w:t>）。</w:t>
      </w:r>
    </w:p>
    <w:p w:rsidR="00157EF6" w:rsidRPr="00412A9C" w:rsidRDefault="00157EF6" w:rsidP="00AA120F">
      <w:pPr>
        <w:pStyle w:val="a5"/>
        <w:ind w:leftChars="105" w:left="791" w:hangingChars="245" w:hanging="539"/>
        <w:jc w:val="both"/>
        <w:rPr>
          <w:szCs w:val="22"/>
        </w:rPr>
      </w:pPr>
      <w:r w:rsidRPr="00412A9C">
        <w:rPr>
          <w:rFonts w:hint="eastAsia"/>
          <w:szCs w:val="22"/>
        </w:rPr>
        <w:t>（</w:t>
      </w:r>
      <w:r w:rsidRPr="00761EF3">
        <w:rPr>
          <w:szCs w:val="22"/>
        </w:rPr>
        <w:t>3</w:t>
      </w:r>
      <w:r w:rsidRPr="00412A9C">
        <w:rPr>
          <w:rFonts w:hint="eastAsia"/>
          <w:szCs w:val="22"/>
        </w:rPr>
        <w:t>）印順法師，《攝大乘論講記》，</w:t>
      </w:r>
      <w:r w:rsidRPr="00761EF3">
        <w:rPr>
          <w:rFonts w:hint="eastAsia"/>
          <w:szCs w:val="22"/>
        </w:rPr>
        <w:t>p</w:t>
      </w:r>
      <w:r w:rsidRPr="00761EF3">
        <w:rPr>
          <w:szCs w:val="22"/>
        </w:rPr>
        <w:t>p</w:t>
      </w:r>
      <w:r w:rsidRPr="00412A9C">
        <w:rPr>
          <w:szCs w:val="22"/>
        </w:rPr>
        <w:t>.</w:t>
      </w:r>
      <w:r w:rsidRPr="00761EF3">
        <w:rPr>
          <w:szCs w:val="22"/>
        </w:rPr>
        <w:t>265</w:t>
      </w:r>
      <w:r w:rsidRPr="00412A9C">
        <w:rPr>
          <w:szCs w:val="22"/>
        </w:rPr>
        <w:t>-</w:t>
      </w:r>
      <w:r w:rsidRPr="00761EF3">
        <w:rPr>
          <w:szCs w:val="22"/>
        </w:rPr>
        <w:t>267</w:t>
      </w:r>
      <w:r w:rsidRPr="00412A9C">
        <w:rPr>
          <w:rFonts w:hint="eastAsia"/>
          <w:szCs w:val="22"/>
        </w:rPr>
        <w:t>：</w:t>
      </w:r>
    </w:p>
    <w:p w:rsidR="00157EF6" w:rsidRPr="00412A9C" w:rsidRDefault="00157EF6" w:rsidP="00AA120F">
      <w:pPr>
        <w:pStyle w:val="a5"/>
        <w:ind w:leftChars="335" w:left="804"/>
        <w:jc w:val="both"/>
        <w:rPr>
          <w:rFonts w:eastAsia="標楷體"/>
          <w:szCs w:val="22"/>
        </w:rPr>
      </w:pPr>
      <w:r w:rsidRPr="00412A9C">
        <w:rPr>
          <w:rFonts w:eastAsia="標楷體" w:hint="eastAsia"/>
          <w:szCs w:val="22"/>
        </w:rPr>
        <w:t>「圓成實自性」呢？凡是「宣說四清淨法」，就「應知」是說圓成實性。</w:t>
      </w:r>
      <w:r w:rsidRPr="00412A9C">
        <w:rPr>
          <w:rFonts w:eastAsia="標楷體" w:hint="eastAsia"/>
          <w:b/>
          <w:szCs w:val="22"/>
        </w:rPr>
        <w:t>本論的圓成實，範圍很大，凡是清淨法，都包括在內，所以本論沒有別立清淨依他的必要</w:t>
      </w:r>
      <w:r w:rsidRPr="00412A9C">
        <w:rPr>
          <w:rFonts w:eastAsia="標楷體" w:hint="eastAsia"/>
          <w:szCs w:val="22"/>
        </w:rPr>
        <w:t>。四清淨是：</w:t>
      </w:r>
    </w:p>
    <w:p w:rsidR="00157EF6" w:rsidRPr="00412A9C" w:rsidRDefault="00157EF6" w:rsidP="00AA120F">
      <w:pPr>
        <w:pStyle w:val="a5"/>
        <w:ind w:leftChars="335" w:left="1244" w:hangingChars="200" w:hanging="440"/>
        <w:jc w:val="both"/>
        <w:rPr>
          <w:rFonts w:eastAsia="標楷體"/>
          <w:szCs w:val="22"/>
        </w:rPr>
      </w:pPr>
      <w:r w:rsidRPr="00412A9C">
        <w:rPr>
          <w:rFonts w:eastAsia="標楷體" w:hint="eastAsia"/>
          <w:szCs w:val="22"/>
        </w:rPr>
        <w:t>一、「</w:t>
      </w:r>
      <w:r w:rsidRPr="00412A9C">
        <w:rPr>
          <w:rFonts w:eastAsia="標楷體" w:hint="eastAsia"/>
          <w:b/>
          <w:szCs w:val="22"/>
        </w:rPr>
        <w:t>自性清淨</w:t>
      </w:r>
      <w:r w:rsidRPr="00412A9C">
        <w:rPr>
          <w:rFonts w:eastAsia="標楷體" w:hint="eastAsia"/>
          <w:szCs w:val="22"/>
        </w:rPr>
        <w:t>」：它的本體，從來是清淨的，不是染污所能染污，就是在眾生位，也是清淨無染的。這自性清淨，隨義立名，異名是很多的，這裡且說六種：</w:t>
      </w:r>
      <w:r w:rsidRPr="00412A9C">
        <w:rPr>
          <w:rFonts w:eastAsia="標楷體"/>
          <w:szCs w:val="22"/>
        </w:rPr>
        <w:t>（</w:t>
      </w:r>
      <w:r w:rsidRPr="00412A9C">
        <w:rPr>
          <w:rFonts w:eastAsia="標楷體" w:hint="eastAsia"/>
          <w:szCs w:val="22"/>
        </w:rPr>
        <w:t>一</w:t>
      </w:r>
      <w:r w:rsidRPr="00412A9C">
        <w:rPr>
          <w:rFonts w:eastAsia="標楷體"/>
          <w:szCs w:val="22"/>
        </w:rPr>
        <w:t>）</w:t>
      </w:r>
      <w:r w:rsidRPr="00412A9C">
        <w:rPr>
          <w:rFonts w:eastAsia="標楷體" w:hint="eastAsia"/>
          <w:szCs w:val="22"/>
        </w:rPr>
        <w:t>「真如」：真是真實不虛，如是如如不變，這真實不變的法性，說名真如。</w:t>
      </w:r>
      <w:r w:rsidRPr="00412A9C">
        <w:rPr>
          <w:rFonts w:eastAsia="標楷體"/>
          <w:szCs w:val="22"/>
        </w:rPr>
        <w:t>（</w:t>
      </w:r>
      <w:r w:rsidRPr="00412A9C">
        <w:rPr>
          <w:rFonts w:eastAsia="標楷體" w:hint="eastAsia"/>
          <w:szCs w:val="22"/>
        </w:rPr>
        <w:t>二</w:t>
      </w:r>
      <w:r w:rsidRPr="00412A9C">
        <w:rPr>
          <w:rFonts w:eastAsia="標楷體"/>
          <w:szCs w:val="22"/>
        </w:rPr>
        <w:t>）</w:t>
      </w:r>
      <w:r w:rsidRPr="00412A9C">
        <w:rPr>
          <w:rFonts w:eastAsia="標楷體" w:hint="eastAsia"/>
          <w:szCs w:val="22"/>
        </w:rPr>
        <w:t>「空」：這不是說無所有，是因空所顯的諸法空性。</w:t>
      </w:r>
      <w:r w:rsidRPr="00412A9C">
        <w:rPr>
          <w:rFonts w:eastAsia="標楷體"/>
          <w:szCs w:val="22"/>
        </w:rPr>
        <w:t>（</w:t>
      </w:r>
      <w:r w:rsidRPr="00412A9C">
        <w:rPr>
          <w:rFonts w:eastAsia="標楷體" w:hint="eastAsia"/>
          <w:szCs w:val="22"/>
        </w:rPr>
        <w:t>三</w:t>
      </w:r>
      <w:r w:rsidRPr="00412A9C">
        <w:rPr>
          <w:rFonts w:eastAsia="標楷體"/>
          <w:szCs w:val="22"/>
        </w:rPr>
        <w:t>）</w:t>
      </w:r>
      <w:r w:rsidRPr="00412A9C">
        <w:rPr>
          <w:rFonts w:eastAsia="標楷體" w:hint="eastAsia"/>
          <w:szCs w:val="22"/>
        </w:rPr>
        <w:t>「實際」：不虛假叫</w:t>
      </w:r>
      <w:r w:rsidRPr="00412A9C">
        <w:rPr>
          <w:rFonts w:eastAsia="標楷體" w:hint="eastAsia"/>
          <w:b/>
          <w:szCs w:val="22"/>
        </w:rPr>
        <w:t>實</w:t>
      </w:r>
      <w:r w:rsidRPr="00412A9C">
        <w:rPr>
          <w:rFonts w:eastAsia="標楷體" w:hint="eastAsia"/>
          <w:szCs w:val="22"/>
        </w:rPr>
        <w:t>，究竟叫</w:t>
      </w:r>
      <w:r w:rsidRPr="00412A9C">
        <w:rPr>
          <w:rFonts w:eastAsia="標楷體" w:hint="eastAsia"/>
          <w:b/>
          <w:szCs w:val="22"/>
        </w:rPr>
        <w:t>際</w:t>
      </w:r>
      <w:r w:rsidRPr="00412A9C">
        <w:rPr>
          <w:rFonts w:eastAsia="標楷體" w:hint="eastAsia"/>
          <w:szCs w:val="22"/>
        </w:rPr>
        <w:t>，就是諸法的究竟真實性。</w:t>
      </w:r>
      <w:r w:rsidRPr="00412A9C">
        <w:rPr>
          <w:rFonts w:eastAsia="標楷體"/>
          <w:szCs w:val="22"/>
        </w:rPr>
        <w:t>（</w:t>
      </w:r>
      <w:r w:rsidRPr="00412A9C">
        <w:rPr>
          <w:rFonts w:eastAsia="標楷體" w:hint="eastAsia"/>
          <w:szCs w:val="22"/>
        </w:rPr>
        <w:t>四</w:t>
      </w:r>
      <w:r w:rsidRPr="00412A9C">
        <w:rPr>
          <w:rFonts w:eastAsia="標楷體"/>
          <w:szCs w:val="22"/>
        </w:rPr>
        <w:t>）</w:t>
      </w:r>
      <w:r w:rsidRPr="00412A9C">
        <w:rPr>
          <w:rFonts w:eastAsia="標楷體" w:hint="eastAsia"/>
          <w:szCs w:val="22"/>
        </w:rPr>
        <w:t>「無相」：於法性海中，無有虛妄不實的亂相。</w:t>
      </w:r>
      <w:r w:rsidRPr="00412A9C">
        <w:rPr>
          <w:rFonts w:eastAsia="標楷體"/>
          <w:szCs w:val="22"/>
        </w:rPr>
        <w:t>（</w:t>
      </w:r>
      <w:r w:rsidRPr="00412A9C">
        <w:rPr>
          <w:rFonts w:eastAsia="標楷體" w:hint="eastAsia"/>
          <w:szCs w:val="22"/>
        </w:rPr>
        <w:t>五</w:t>
      </w:r>
      <w:r w:rsidRPr="00412A9C">
        <w:rPr>
          <w:rFonts w:eastAsia="標楷體"/>
          <w:szCs w:val="22"/>
        </w:rPr>
        <w:t>）</w:t>
      </w:r>
      <w:r w:rsidRPr="00412A9C">
        <w:rPr>
          <w:rFonts w:eastAsia="標楷體" w:hint="eastAsia"/>
          <w:szCs w:val="22"/>
        </w:rPr>
        <w:t>「勝義」：勝是殊勝的妙智，義是境界，妙智所證的境界，叫勝義。</w:t>
      </w:r>
      <w:r w:rsidRPr="00412A9C">
        <w:rPr>
          <w:rFonts w:eastAsia="標楷體"/>
          <w:szCs w:val="22"/>
        </w:rPr>
        <w:t>（</w:t>
      </w:r>
      <w:r w:rsidRPr="00412A9C">
        <w:rPr>
          <w:rFonts w:eastAsia="標楷體" w:hint="eastAsia"/>
          <w:szCs w:val="22"/>
        </w:rPr>
        <w:t>六</w:t>
      </w:r>
      <w:r w:rsidRPr="00412A9C">
        <w:rPr>
          <w:rFonts w:eastAsia="標楷體"/>
          <w:szCs w:val="22"/>
        </w:rPr>
        <w:t>）</w:t>
      </w:r>
      <w:r w:rsidRPr="00412A9C">
        <w:rPr>
          <w:rFonts w:eastAsia="標楷體" w:hint="eastAsia"/>
          <w:szCs w:val="22"/>
        </w:rPr>
        <w:t>「法界」：三乘聖法，依此而有，所以名為法界。此自性清淨，即在纏真如，一切眾生本具的如來藏性。</w:t>
      </w:r>
    </w:p>
    <w:p w:rsidR="00157EF6" w:rsidRPr="00412A9C" w:rsidRDefault="00157EF6" w:rsidP="00AA120F">
      <w:pPr>
        <w:pStyle w:val="a5"/>
        <w:ind w:leftChars="335" w:left="1244" w:hangingChars="200" w:hanging="440"/>
        <w:jc w:val="both"/>
        <w:rPr>
          <w:rFonts w:eastAsia="標楷體"/>
          <w:szCs w:val="22"/>
        </w:rPr>
      </w:pPr>
      <w:r w:rsidRPr="00412A9C">
        <w:rPr>
          <w:rFonts w:eastAsia="標楷體" w:hint="eastAsia"/>
          <w:szCs w:val="22"/>
        </w:rPr>
        <w:t>二、</w:t>
      </w:r>
      <w:r w:rsidRPr="00412A9C">
        <w:rPr>
          <w:rFonts w:eastAsia="標楷體" w:hint="eastAsia"/>
          <w:b/>
          <w:szCs w:val="22"/>
        </w:rPr>
        <w:t>「離垢清淨</w:t>
      </w:r>
      <w:r w:rsidRPr="00412A9C">
        <w:rPr>
          <w:rFonts w:eastAsia="標楷體" w:hint="eastAsia"/>
          <w:szCs w:val="22"/>
        </w:rPr>
        <w:t>」：這「即」是真如等的自性清淨法，「離一切障垢」顯現出的清淨本來面目。離垢清淨與上面的自性清淨，不但是一體，並且沒有增減垢淨。不過</w:t>
      </w:r>
      <w:r w:rsidRPr="00412A9C">
        <w:rPr>
          <w:rFonts w:eastAsia="標楷體" w:hint="eastAsia"/>
          <w:b/>
          <w:szCs w:val="22"/>
        </w:rPr>
        <w:t>在因位未離垢時，叫自性清淨；在離垢的果位，叫離垢清淨</w:t>
      </w:r>
      <w:r w:rsidRPr="00412A9C">
        <w:rPr>
          <w:rFonts w:eastAsia="標楷體" w:hint="eastAsia"/>
          <w:szCs w:val="22"/>
        </w:rPr>
        <w:t>罷了。</w:t>
      </w:r>
    </w:p>
    <w:p w:rsidR="00157EF6" w:rsidRPr="00412A9C" w:rsidRDefault="00157EF6" w:rsidP="00AA120F">
      <w:pPr>
        <w:pStyle w:val="a5"/>
        <w:ind w:leftChars="335" w:left="1244" w:hangingChars="200" w:hanging="440"/>
        <w:jc w:val="both"/>
        <w:rPr>
          <w:rFonts w:eastAsia="標楷體"/>
          <w:szCs w:val="22"/>
        </w:rPr>
      </w:pPr>
      <w:r w:rsidRPr="00412A9C">
        <w:rPr>
          <w:rFonts w:eastAsia="標楷體" w:hint="eastAsia"/>
          <w:szCs w:val="22"/>
        </w:rPr>
        <w:t>三、「</w:t>
      </w:r>
      <w:r w:rsidRPr="00412A9C">
        <w:rPr>
          <w:rFonts w:eastAsia="標楷體" w:hint="eastAsia"/>
          <w:b/>
          <w:szCs w:val="22"/>
        </w:rPr>
        <w:t>得此道清淨</w:t>
      </w:r>
      <w:r w:rsidRPr="00412A9C">
        <w:rPr>
          <w:rFonts w:eastAsia="標楷體" w:hint="eastAsia"/>
          <w:szCs w:val="22"/>
        </w:rPr>
        <w:t>」：能得能證這清淨法性的道，像三十七「菩提分法」、十「波羅蜜多等」。這裡說的，還是單指無漏道，還是也該攝地前的世間有漏道？依本論的思想說，厭離於雜染趨向於清淨的，雖還在世間，就攝屬清淨法。如前說的正聞熏習，尚且是法身所攝；世間波羅蜜多，像加行無分別智等，當然是包含在這得此道清淨中的。</w:t>
      </w:r>
    </w:p>
    <w:p w:rsidR="00157EF6" w:rsidRPr="00412A9C" w:rsidRDefault="00157EF6" w:rsidP="00AA120F">
      <w:pPr>
        <w:pStyle w:val="a5"/>
        <w:ind w:leftChars="335" w:left="1244" w:hangingChars="200" w:hanging="440"/>
        <w:jc w:val="both"/>
        <w:rPr>
          <w:rFonts w:eastAsia="標楷體"/>
          <w:szCs w:val="22"/>
        </w:rPr>
      </w:pPr>
      <w:r w:rsidRPr="00412A9C">
        <w:rPr>
          <w:rFonts w:eastAsia="標楷體" w:hint="eastAsia"/>
          <w:szCs w:val="22"/>
        </w:rPr>
        <w:t>四、「</w:t>
      </w:r>
      <w:r w:rsidRPr="00412A9C">
        <w:rPr>
          <w:rFonts w:eastAsia="標楷體" w:hint="eastAsia"/>
          <w:b/>
          <w:szCs w:val="22"/>
        </w:rPr>
        <w:t>生此境清淨</w:t>
      </w:r>
      <w:r w:rsidRPr="00412A9C">
        <w:rPr>
          <w:rFonts w:eastAsia="標楷體" w:hint="eastAsia"/>
          <w:szCs w:val="22"/>
        </w:rPr>
        <w:t>」：能生此清淨道的所緣境，就是「諸大乘妙正法教」，也是清淨的圓成實攝。這大乘教法，為什麼是清淨的呢？「由此法教」，是引生「清淨」無漏道果的因「緣」，不像顯現似義的亂相，是雜染的因緣，所以「非遍計所執自性」。它是佛陀悟證「最清淨法界」的「等流性」，不像依他起是從遍計妄執熏習所生，所以也「非依他起自性」。不是依、遍二性，當然是圓成實性了。</w:t>
      </w:r>
    </w:p>
    <w:p w:rsidR="00157EF6" w:rsidRPr="00412A9C" w:rsidRDefault="00157EF6" w:rsidP="00AA120F">
      <w:pPr>
        <w:pStyle w:val="a5"/>
        <w:ind w:leftChars="335" w:left="804"/>
        <w:jc w:val="both"/>
        <w:rPr>
          <w:rFonts w:eastAsia="標楷體"/>
          <w:szCs w:val="22"/>
        </w:rPr>
      </w:pPr>
      <w:r w:rsidRPr="00412A9C">
        <w:rPr>
          <w:rFonts w:eastAsia="標楷體" w:hint="eastAsia"/>
          <w:szCs w:val="22"/>
        </w:rPr>
        <w:t>這「四法」，可以「總攝一切清淨法」。</w:t>
      </w:r>
    </w:p>
    <w:p w:rsidR="00157EF6" w:rsidRPr="00412A9C" w:rsidRDefault="00157EF6" w:rsidP="00AA120F">
      <w:pPr>
        <w:pStyle w:val="a5"/>
        <w:ind w:leftChars="335" w:left="804"/>
        <w:jc w:val="both"/>
        <w:rPr>
          <w:szCs w:val="22"/>
        </w:rPr>
      </w:pPr>
      <w:r w:rsidRPr="00412A9C">
        <w:rPr>
          <w:rFonts w:eastAsia="標楷體" w:hint="eastAsia"/>
          <w:szCs w:val="22"/>
        </w:rPr>
        <w:t>【附論】</w:t>
      </w:r>
      <w:r w:rsidRPr="00412A9C">
        <w:rPr>
          <w:rFonts w:eastAsia="標楷體" w:hint="eastAsia"/>
          <w:b/>
          <w:szCs w:val="22"/>
        </w:rPr>
        <w:t>四種清淨，就是三種般若：生此境清淨是文字般若，得此道清淨是觀照般若，自性、離垢清淨是實相般若</w:t>
      </w:r>
      <w:r w:rsidRPr="00412A9C">
        <w:rPr>
          <w:rFonts w:eastAsia="標楷體" w:hint="eastAsia"/>
          <w:szCs w:val="22"/>
        </w:rPr>
        <w:t>。龍樹菩薩說：三般若中，實相般若是真般若；觀照般若在它能顯發般若方面；文字般若在能詮顯般若方面，說它是般若。無漏妙智契證實相無相的空性，境智不二，為超越能所，融然一味的實相般若。離垢清淨，不但是一般人心中的寂滅性而已。</w:t>
      </w:r>
    </w:p>
  </w:footnote>
  <w:footnote w:id="952">
    <w:p w:rsidR="00157EF6" w:rsidRPr="00412A9C" w:rsidRDefault="00157EF6" w:rsidP="00AA120F">
      <w:pPr>
        <w:pStyle w:val="a5"/>
        <w:spacing w:line="300" w:lineRule="exact"/>
        <w:ind w:left="792" w:hangingChars="360" w:hanging="792"/>
        <w:jc w:val="both"/>
        <w:rPr>
          <w:szCs w:val="22"/>
        </w:rPr>
      </w:pPr>
      <w:r w:rsidRPr="00412A9C">
        <w:rPr>
          <w:rStyle w:val="a6"/>
          <w:szCs w:val="22"/>
        </w:rPr>
        <w:footnoteRef/>
      </w:r>
      <w:r>
        <w:rPr>
          <w:rFonts w:hint="eastAsia"/>
          <w:szCs w:val="22"/>
        </w:rPr>
        <w:t xml:space="preserve"> </w:t>
      </w:r>
      <w:r w:rsidRPr="00412A9C">
        <w:rPr>
          <w:rFonts w:hint="eastAsia"/>
          <w:szCs w:val="22"/>
        </w:rPr>
        <w:t>（</w:t>
      </w:r>
      <w:r w:rsidRPr="00761EF3">
        <w:rPr>
          <w:szCs w:val="22"/>
        </w:rPr>
        <w:t>1</w:t>
      </w:r>
      <w:r w:rsidRPr="00412A9C">
        <w:rPr>
          <w:rFonts w:hint="eastAsia"/>
          <w:szCs w:val="22"/>
        </w:rPr>
        <w:t>）《俱舍論》卷</w:t>
      </w:r>
      <w:r w:rsidRPr="00761EF3">
        <w:rPr>
          <w:szCs w:val="22"/>
        </w:rPr>
        <w:t>6</w:t>
      </w:r>
      <w:r w:rsidRPr="00412A9C">
        <w:rPr>
          <w:rFonts w:hint="eastAsia"/>
          <w:szCs w:val="22"/>
        </w:rPr>
        <w:t>〈</w:t>
      </w:r>
      <w:r w:rsidRPr="00761EF3">
        <w:rPr>
          <w:szCs w:val="22"/>
        </w:rPr>
        <w:t>2</w:t>
      </w:r>
      <w:r w:rsidRPr="00412A9C">
        <w:rPr>
          <w:szCs w:val="22"/>
        </w:rPr>
        <w:t xml:space="preserve"> </w:t>
      </w:r>
      <w:r w:rsidRPr="00412A9C">
        <w:rPr>
          <w:rFonts w:hint="eastAsia"/>
          <w:szCs w:val="22"/>
        </w:rPr>
        <w:t>分別根品〉</w:t>
      </w:r>
      <w:r w:rsidRPr="00412A9C">
        <w:rPr>
          <w:szCs w:val="22"/>
        </w:rPr>
        <w:t>（</w:t>
      </w:r>
      <w:r w:rsidRPr="00412A9C">
        <w:rPr>
          <w:rFonts w:hint="eastAsia"/>
          <w:szCs w:val="22"/>
        </w:rPr>
        <w:t>大正</w:t>
      </w:r>
      <w:r w:rsidRPr="00761EF3">
        <w:rPr>
          <w:szCs w:val="22"/>
        </w:rPr>
        <w:t>29</w:t>
      </w:r>
      <w:r w:rsidRPr="00412A9C">
        <w:rPr>
          <w:rFonts w:hint="eastAsia"/>
          <w:szCs w:val="22"/>
        </w:rPr>
        <w:t>，</w:t>
      </w:r>
      <w:r w:rsidRPr="00761EF3">
        <w:rPr>
          <w:szCs w:val="22"/>
        </w:rPr>
        <w:t>34a12</w:t>
      </w:r>
      <w:r w:rsidRPr="00412A9C">
        <w:rPr>
          <w:szCs w:val="22"/>
        </w:rPr>
        <w:t>-</w:t>
      </w:r>
      <w:r w:rsidRPr="00761EF3">
        <w:rPr>
          <w:szCs w:val="22"/>
        </w:rPr>
        <w:t>14</w:t>
      </w:r>
      <w:r w:rsidRPr="00412A9C">
        <w:rPr>
          <w:szCs w:val="22"/>
        </w:rPr>
        <w:t>）</w:t>
      </w:r>
      <w:r w:rsidRPr="00412A9C">
        <w:rPr>
          <w:rFonts w:hint="eastAsia"/>
          <w:szCs w:val="22"/>
        </w:rPr>
        <w:t>：</w:t>
      </w:r>
    </w:p>
    <w:p w:rsidR="00157EF6" w:rsidRPr="00412A9C" w:rsidRDefault="00157EF6" w:rsidP="00AA120F">
      <w:pPr>
        <w:pStyle w:val="a5"/>
        <w:spacing w:line="300" w:lineRule="exact"/>
        <w:ind w:leftChars="335" w:left="804"/>
        <w:jc w:val="both"/>
        <w:rPr>
          <w:szCs w:val="22"/>
        </w:rPr>
      </w:pPr>
      <w:r w:rsidRPr="00412A9C">
        <w:rPr>
          <w:rFonts w:ascii="標楷體" w:eastAsia="標楷體" w:hAnsi="標楷體" w:hint="eastAsia"/>
          <w:szCs w:val="22"/>
        </w:rPr>
        <w:t>經部師說：</w:t>
      </w:r>
      <w:r w:rsidR="00E748F8">
        <w:rPr>
          <w:rFonts w:ascii="標楷體" w:eastAsia="標楷體" w:hAnsi="標楷體" w:hint="eastAsia"/>
          <w:bCs/>
          <w:color w:val="FF0000"/>
          <w:kern w:val="0"/>
          <w:highlight w:val="yellow"/>
        </w:rPr>
        <w:t>「</w:t>
      </w:r>
      <w:r w:rsidRPr="00412A9C">
        <w:rPr>
          <w:rFonts w:ascii="標楷體" w:eastAsia="標楷體" w:hAnsi="標楷體" w:hint="eastAsia"/>
          <w:b/>
          <w:szCs w:val="22"/>
        </w:rPr>
        <w:t>一切無為</w:t>
      </w:r>
      <w:r w:rsidR="00E748F8">
        <w:rPr>
          <w:rFonts w:ascii="標楷體" w:eastAsia="標楷體" w:hAnsi="標楷體" w:hint="eastAsia"/>
          <w:bCs/>
          <w:color w:val="FF0000"/>
          <w:kern w:val="0"/>
          <w:highlight w:val="yellow"/>
        </w:rPr>
        <w:t>」</w:t>
      </w:r>
      <w:r w:rsidRPr="00412A9C">
        <w:rPr>
          <w:rFonts w:ascii="標楷體" w:eastAsia="標楷體" w:hAnsi="標楷體" w:hint="eastAsia"/>
          <w:b/>
          <w:szCs w:val="22"/>
        </w:rPr>
        <w:t>皆非實有</w:t>
      </w:r>
      <w:r w:rsidR="00E748F8">
        <w:rPr>
          <w:rFonts w:ascii="標楷體" w:eastAsia="標楷體" w:hAnsi="標楷體" w:hint="eastAsia"/>
          <w:color w:val="FF0000"/>
          <w:kern w:val="0"/>
          <w:highlight w:val="yellow"/>
        </w:rPr>
        <w:t>──</w:t>
      </w:r>
      <w:r w:rsidRPr="00412A9C">
        <w:rPr>
          <w:rFonts w:ascii="標楷體" w:eastAsia="標楷體" w:hAnsi="標楷體" w:hint="eastAsia"/>
          <w:szCs w:val="22"/>
        </w:rPr>
        <w:t>如</w:t>
      </w:r>
      <w:r w:rsidR="00E748F8">
        <w:rPr>
          <w:rFonts w:ascii="標楷體" w:eastAsia="標楷體" w:hAnsi="標楷體" w:hint="eastAsia"/>
          <w:bCs/>
          <w:color w:val="FF0000"/>
          <w:kern w:val="0"/>
          <w:highlight w:val="yellow"/>
        </w:rPr>
        <w:t>「</w:t>
      </w:r>
      <w:r w:rsidRPr="00412A9C">
        <w:rPr>
          <w:rFonts w:ascii="標楷體" w:eastAsia="標楷體" w:hAnsi="標楷體" w:hint="eastAsia"/>
          <w:szCs w:val="22"/>
        </w:rPr>
        <w:t>色</w:t>
      </w:r>
      <w:r w:rsidR="00E748F8">
        <w:rPr>
          <w:rFonts w:ascii="標楷體" w:eastAsia="標楷體" w:hAnsi="標楷體" w:hint="eastAsia"/>
          <w:bCs/>
          <w:color w:val="FF0000"/>
          <w:kern w:val="0"/>
          <w:highlight w:val="yellow"/>
        </w:rPr>
        <w:t>」</w:t>
      </w:r>
      <w:r w:rsidRPr="00412A9C">
        <w:rPr>
          <w:rFonts w:ascii="標楷體" w:eastAsia="標楷體" w:hAnsi="標楷體" w:hint="eastAsia"/>
          <w:szCs w:val="22"/>
        </w:rPr>
        <w:t>、</w:t>
      </w:r>
      <w:r w:rsidR="00E748F8">
        <w:rPr>
          <w:rFonts w:ascii="標楷體" w:eastAsia="標楷體" w:hAnsi="標楷體" w:hint="eastAsia"/>
          <w:bCs/>
          <w:color w:val="FF0000"/>
          <w:kern w:val="0"/>
          <w:highlight w:val="yellow"/>
        </w:rPr>
        <w:t>「</w:t>
      </w:r>
      <w:r w:rsidRPr="00412A9C">
        <w:rPr>
          <w:rFonts w:ascii="標楷體" w:eastAsia="標楷體" w:hAnsi="標楷體" w:hint="eastAsia"/>
          <w:szCs w:val="22"/>
        </w:rPr>
        <w:t>受</w:t>
      </w:r>
      <w:r w:rsidR="00E748F8">
        <w:rPr>
          <w:rFonts w:ascii="標楷體" w:eastAsia="標楷體" w:hAnsi="標楷體" w:hint="eastAsia"/>
          <w:bCs/>
          <w:color w:val="FF0000"/>
          <w:kern w:val="0"/>
          <w:highlight w:val="yellow"/>
        </w:rPr>
        <w:t>」</w:t>
      </w:r>
      <w:r w:rsidRPr="00412A9C">
        <w:rPr>
          <w:rFonts w:ascii="標楷體" w:eastAsia="標楷體" w:hAnsi="標楷體" w:hint="eastAsia"/>
          <w:szCs w:val="22"/>
        </w:rPr>
        <w:t>等別有實物，此所無故。</w:t>
      </w:r>
    </w:p>
    <w:p w:rsidR="00157EF6" w:rsidRPr="00412A9C" w:rsidRDefault="00157EF6" w:rsidP="00AA120F">
      <w:pPr>
        <w:pStyle w:val="a5"/>
        <w:spacing w:line="300" w:lineRule="exact"/>
        <w:ind w:leftChars="105" w:left="791" w:hangingChars="245" w:hanging="539"/>
        <w:jc w:val="both"/>
        <w:rPr>
          <w:rFonts w:ascii="Arial" w:hAnsi="Arial" w:cs="Arial"/>
          <w:szCs w:val="22"/>
        </w:rPr>
      </w:pPr>
      <w:r w:rsidRPr="00412A9C">
        <w:rPr>
          <w:rFonts w:hint="eastAsia"/>
          <w:szCs w:val="22"/>
        </w:rPr>
        <w:t>（</w:t>
      </w:r>
      <w:r w:rsidRPr="00761EF3">
        <w:rPr>
          <w:szCs w:val="22"/>
        </w:rPr>
        <w:t>2</w:t>
      </w:r>
      <w:r w:rsidRPr="00412A9C">
        <w:rPr>
          <w:rFonts w:hint="eastAsia"/>
          <w:szCs w:val="22"/>
        </w:rPr>
        <w:t>）印順法師，</w:t>
      </w:r>
      <w:r w:rsidRPr="00412A9C">
        <w:rPr>
          <w:rFonts w:ascii="Arial" w:hAnsi="Arial" w:cs="Arial" w:hint="eastAsia"/>
          <w:szCs w:val="22"/>
        </w:rPr>
        <w:t>《中觀論頌</w:t>
      </w:r>
      <w:r w:rsidRPr="00412A9C">
        <w:rPr>
          <w:rFonts w:hint="eastAsia"/>
          <w:szCs w:val="22"/>
        </w:rPr>
        <w:t>講記》，</w:t>
      </w:r>
      <w:r w:rsidRPr="00761EF3">
        <w:rPr>
          <w:szCs w:val="22"/>
        </w:rPr>
        <w:t>p</w:t>
      </w:r>
      <w:r w:rsidRPr="00412A9C">
        <w:rPr>
          <w:szCs w:val="22"/>
        </w:rPr>
        <w:t>.</w:t>
      </w:r>
      <w:r w:rsidRPr="00761EF3">
        <w:rPr>
          <w:szCs w:val="22"/>
        </w:rPr>
        <w:t>493</w:t>
      </w:r>
      <w:r w:rsidRPr="00412A9C">
        <w:rPr>
          <w:rFonts w:hint="eastAsia"/>
          <w:szCs w:val="22"/>
        </w:rPr>
        <w:t>：</w:t>
      </w:r>
    </w:p>
    <w:p w:rsidR="00157EF6" w:rsidRPr="00412A9C" w:rsidRDefault="00157EF6" w:rsidP="00AA120F">
      <w:pPr>
        <w:pStyle w:val="a5"/>
        <w:spacing w:line="300" w:lineRule="exact"/>
        <w:ind w:leftChars="335" w:left="804"/>
        <w:jc w:val="both"/>
        <w:rPr>
          <w:rFonts w:ascii="Arial" w:hAnsi="Arial" w:cs="Arial"/>
          <w:szCs w:val="22"/>
        </w:rPr>
      </w:pPr>
      <w:r w:rsidRPr="00412A9C">
        <w:rPr>
          <w:rFonts w:ascii="標楷體" w:eastAsia="標楷體" w:hAnsi="標楷體" w:cs="Arial" w:hint="eastAsia"/>
          <w:szCs w:val="22"/>
        </w:rPr>
        <w:t>經部師，就是以無為涅槃的。他說：有為是實有，</w:t>
      </w:r>
      <w:r w:rsidRPr="00412A9C">
        <w:rPr>
          <w:rFonts w:ascii="標楷體" w:eastAsia="標楷體" w:hAnsi="標楷體" w:cs="Arial" w:hint="eastAsia"/>
          <w:b/>
          <w:szCs w:val="22"/>
        </w:rPr>
        <w:t>無為是非實。如燒衣，衣燒了就無有衣；無瓶，瓶破了就沒有瓶</w:t>
      </w:r>
      <w:r w:rsidRPr="00412A9C">
        <w:rPr>
          <w:rFonts w:ascii="標楷體" w:eastAsia="標楷體" w:hAnsi="標楷體" w:cs="Arial" w:hint="eastAsia"/>
          <w:szCs w:val="22"/>
        </w:rPr>
        <w:t>。在因果相續中，離去惑業，不再有生死，說為涅槃，那裡有涅槃的實體？</w:t>
      </w:r>
    </w:p>
    <w:p w:rsidR="00157EF6" w:rsidRPr="00412A9C" w:rsidRDefault="00157EF6" w:rsidP="00AA120F">
      <w:pPr>
        <w:pStyle w:val="a5"/>
        <w:spacing w:line="300" w:lineRule="exact"/>
        <w:ind w:leftChars="105" w:left="791" w:hangingChars="245" w:hanging="539"/>
        <w:jc w:val="both"/>
        <w:rPr>
          <w:szCs w:val="22"/>
        </w:rPr>
      </w:pPr>
      <w:r w:rsidRPr="00412A9C">
        <w:rPr>
          <w:rFonts w:hint="eastAsia"/>
          <w:szCs w:val="22"/>
        </w:rPr>
        <w:t>（</w:t>
      </w:r>
      <w:r w:rsidRPr="00761EF3">
        <w:rPr>
          <w:szCs w:val="22"/>
        </w:rPr>
        <w:t>3</w:t>
      </w:r>
      <w:r w:rsidRPr="00412A9C">
        <w:rPr>
          <w:rFonts w:hint="eastAsia"/>
          <w:szCs w:val="22"/>
        </w:rPr>
        <w:t>）印順法師，《性空學探源》，</w:t>
      </w:r>
      <w:r w:rsidRPr="00761EF3">
        <w:rPr>
          <w:szCs w:val="22"/>
        </w:rPr>
        <w:t>p</w:t>
      </w:r>
      <w:r w:rsidRPr="00412A9C">
        <w:rPr>
          <w:szCs w:val="22"/>
        </w:rPr>
        <w:t>.</w:t>
      </w:r>
      <w:r w:rsidRPr="00761EF3">
        <w:rPr>
          <w:szCs w:val="22"/>
        </w:rPr>
        <w:t>133</w:t>
      </w:r>
      <w:r w:rsidRPr="00412A9C">
        <w:rPr>
          <w:rFonts w:hint="eastAsia"/>
          <w:szCs w:val="22"/>
        </w:rPr>
        <w:t>：</w:t>
      </w:r>
    </w:p>
    <w:p w:rsidR="00157EF6" w:rsidRPr="00412A9C" w:rsidRDefault="00157EF6" w:rsidP="00AA120F">
      <w:pPr>
        <w:pStyle w:val="a5"/>
        <w:spacing w:line="300" w:lineRule="exact"/>
        <w:ind w:leftChars="335" w:left="804"/>
        <w:jc w:val="both"/>
        <w:rPr>
          <w:szCs w:val="22"/>
        </w:rPr>
      </w:pPr>
      <w:r w:rsidRPr="00412A9C">
        <w:rPr>
          <w:rFonts w:eastAsia="標楷體" w:hint="eastAsia"/>
          <w:b/>
          <w:szCs w:val="22"/>
        </w:rPr>
        <w:t>無為法，在經部看來，只是有為的否定</w:t>
      </w:r>
      <w:r w:rsidRPr="00412A9C">
        <w:rPr>
          <w:rFonts w:eastAsia="標楷體" w:hint="eastAsia"/>
          <w:szCs w:val="22"/>
        </w:rPr>
        <w:t>，同十四</w:t>
      </w:r>
      <w:r w:rsidRPr="00412A9C">
        <w:rPr>
          <w:rFonts w:ascii="標楷體" w:eastAsia="標楷體" w:hAnsi="標楷體" w:cs="Arial" w:hint="eastAsia"/>
          <w:szCs w:val="22"/>
        </w:rPr>
        <w:t>無記法一樣的根本沒有，</w:t>
      </w:r>
      <w:r w:rsidRPr="00412A9C">
        <w:rPr>
          <w:rFonts w:ascii="標楷體" w:eastAsia="標楷體" w:hAnsi="標楷體" w:cs="Arial" w:hint="eastAsia"/>
          <w:b/>
          <w:szCs w:val="22"/>
        </w:rPr>
        <w:t>連「假有」也談不上，只是名字安立而已。</w:t>
      </w:r>
      <w:r w:rsidRPr="00412A9C">
        <w:rPr>
          <w:rFonts w:ascii="標楷體" w:eastAsia="標楷體" w:hAnsi="標楷體" w:cs="Arial" w:hint="eastAsia"/>
          <w:szCs w:val="22"/>
        </w:rPr>
        <w:t>假實都不可說，所以是二諦所不立的。</w:t>
      </w:r>
    </w:p>
  </w:footnote>
  <w:footnote w:id="953">
    <w:p w:rsidR="00157EF6" w:rsidRPr="00412A9C" w:rsidRDefault="00157EF6" w:rsidP="00AA120F">
      <w:pPr>
        <w:pStyle w:val="a5"/>
        <w:spacing w:line="300" w:lineRule="exact"/>
        <w:ind w:left="792" w:hangingChars="360" w:hanging="792"/>
        <w:jc w:val="both"/>
        <w:rPr>
          <w:szCs w:val="22"/>
        </w:rPr>
      </w:pPr>
      <w:r w:rsidRPr="00412A9C">
        <w:rPr>
          <w:rStyle w:val="a6"/>
          <w:szCs w:val="22"/>
        </w:rPr>
        <w:footnoteRef/>
      </w:r>
      <w:r>
        <w:rPr>
          <w:rFonts w:hint="eastAsia"/>
          <w:szCs w:val="22"/>
        </w:rPr>
        <w:t xml:space="preserve"> </w:t>
      </w:r>
      <w:r w:rsidRPr="00412A9C">
        <w:rPr>
          <w:rFonts w:hint="eastAsia"/>
          <w:szCs w:val="22"/>
        </w:rPr>
        <w:t>（</w:t>
      </w:r>
      <w:r w:rsidRPr="00761EF3">
        <w:rPr>
          <w:szCs w:val="22"/>
        </w:rPr>
        <w:t>1</w:t>
      </w:r>
      <w:r w:rsidRPr="00412A9C">
        <w:rPr>
          <w:rFonts w:hint="eastAsia"/>
          <w:szCs w:val="22"/>
        </w:rPr>
        <w:t>）印順法師，《中觀論頌講記》，</w:t>
      </w:r>
      <w:r w:rsidRPr="00761EF3">
        <w:rPr>
          <w:szCs w:val="22"/>
        </w:rPr>
        <w:t>p</w:t>
      </w:r>
      <w:r w:rsidRPr="00412A9C">
        <w:rPr>
          <w:szCs w:val="22"/>
        </w:rPr>
        <w:t>.</w:t>
      </w:r>
      <w:r w:rsidRPr="00761EF3">
        <w:rPr>
          <w:szCs w:val="22"/>
        </w:rPr>
        <w:t>14</w:t>
      </w:r>
      <w:r w:rsidRPr="00412A9C">
        <w:rPr>
          <w:rFonts w:hint="eastAsia"/>
          <w:szCs w:val="22"/>
        </w:rPr>
        <w:t>：</w:t>
      </w:r>
    </w:p>
    <w:p w:rsidR="00157EF6" w:rsidRPr="00412A9C" w:rsidRDefault="00157EF6" w:rsidP="00AA120F">
      <w:pPr>
        <w:pStyle w:val="a5"/>
        <w:spacing w:line="300" w:lineRule="exact"/>
        <w:ind w:leftChars="335" w:left="804"/>
        <w:jc w:val="both"/>
        <w:rPr>
          <w:szCs w:val="22"/>
        </w:rPr>
      </w:pPr>
      <w:r w:rsidRPr="00412A9C">
        <w:rPr>
          <w:rFonts w:ascii="標楷體" w:eastAsia="標楷體" w:hAnsi="標楷體" w:hint="eastAsia"/>
          <w:b/>
          <w:szCs w:val="22"/>
        </w:rPr>
        <w:t>真心論者</w:t>
      </w:r>
      <w:r w:rsidRPr="00412A9C">
        <w:rPr>
          <w:rFonts w:ascii="標楷體" w:eastAsia="標楷體" w:hAnsi="標楷體" w:hint="eastAsia"/>
          <w:szCs w:val="22"/>
        </w:rPr>
        <w:t>，從勝義諦中去探究，</w:t>
      </w:r>
      <w:r w:rsidRPr="00412A9C">
        <w:rPr>
          <w:rFonts w:ascii="標楷體" w:eastAsia="標楷體" w:hAnsi="標楷體" w:hint="eastAsia"/>
          <w:b/>
          <w:szCs w:val="22"/>
        </w:rPr>
        <w:t>以為勝義一切空，是不了義的</w:t>
      </w:r>
      <w:r w:rsidRPr="00412A9C">
        <w:rPr>
          <w:rFonts w:ascii="標楷體" w:eastAsia="標楷體" w:hAnsi="標楷體" w:hint="eastAsia"/>
          <w:szCs w:val="22"/>
        </w:rPr>
        <w:t>。</w:t>
      </w:r>
      <w:r w:rsidRPr="007917D5">
        <w:rPr>
          <w:rFonts w:ascii="標楷體" w:eastAsia="標楷體" w:hAnsi="標楷體" w:hint="eastAsia"/>
          <w:szCs w:val="22"/>
          <w:shd w:val="pct15" w:color="auto" w:fill="FFFFFF"/>
        </w:rPr>
        <w:t>……</w:t>
      </w:r>
      <w:r w:rsidRPr="00412A9C">
        <w:rPr>
          <w:rFonts w:ascii="標楷體" w:eastAsia="標楷體" w:hAnsi="標楷體" w:hint="eastAsia"/>
          <w:szCs w:val="22"/>
        </w:rPr>
        <w:t>真心論者，把性空看成無其所無，只是離染的空。菩薩從空而入，悟入的空性，是存其所存，是充實的不空。諸法的真性，也可以叫空性，是具有無邊清淨功德的，實在是不空。所以《涅槃經》說：「不但見空，並見不空」，這是</w:t>
      </w:r>
      <w:r w:rsidRPr="00412A9C">
        <w:rPr>
          <w:rFonts w:ascii="標楷體" w:eastAsia="標楷體" w:hAnsi="標楷體" w:hint="eastAsia"/>
          <w:b/>
          <w:szCs w:val="22"/>
        </w:rPr>
        <w:t>不以性空論者的勝義一切空為究竟的，所以把勝義分成兩類：一是空，一是不空</w:t>
      </w:r>
      <w:r w:rsidRPr="00412A9C">
        <w:rPr>
          <w:rFonts w:ascii="標楷體" w:eastAsia="標楷體" w:hAnsi="標楷體" w:hint="eastAsia"/>
          <w:szCs w:val="22"/>
        </w:rPr>
        <w:t>。後期大乘的如來藏、佛性等，都是從這空中的不空而建立的。</w:t>
      </w:r>
      <w:r w:rsidRPr="00412A9C">
        <w:rPr>
          <w:rFonts w:ascii="標楷體" w:eastAsia="標楷體" w:hAnsi="標楷體" w:hint="eastAsia"/>
          <w:b/>
          <w:szCs w:val="22"/>
        </w:rPr>
        <w:t>真心者，側重勝義諦，不能在一切空中建立假名有的如幻大用，所以要在勝義中建立真實的清淨法</w:t>
      </w:r>
      <w:r w:rsidRPr="00412A9C">
        <w:rPr>
          <w:rFonts w:ascii="標楷體" w:eastAsia="標楷體" w:hAnsi="標楷體" w:hint="eastAsia"/>
          <w:szCs w:val="22"/>
        </w:rPr>
        <w:t>。</w:t>
      </w:r>
    </w:p>
    <w:p w:rsidR="00157EF6" w:rsidRPr="00412A9C" w:rsidRDefault="00157EF6" w:rsidP="00AA120F">
      <w:pPr>
        <w:pStyle w:val="a5"/>
        <w:spacing w:line="300" w:lineRule="exact"/>
        <w:ind w:leftChars="105" w:left="791" w:hangingChars="245" w:hanging="539"/>
        <w:jc w:val="both"/>
        <w:rPr>
          <w:szCs w:val="22"/>
        </w:rPr>
      </w:pPr>
      <w:r w:rsidRPr="00412A9C">
        <w:rPr>
          <w:rFonts w:hint="eastAsia"/>
          <w:szCs w:val="22"/>
        </w:rPr>
        <w:t>（</w:t>
      </w:r>
      <w:r w:rsidRPr="00761EF3">
        <w:rPr>
          <w:szCs w:val="22"/>
        </w:rPr>
        <w:t>2</w:t>
      </w:r>
      <w:r w:rsidRPr="00412A9C">
        <w:rPr>
          <w:rFonts w:hint="eastAsia"/>
          <w:szCs w:val="22"/>
        </w:rPr>
        <w:t>）另</w:t>
      </w:r>
      <w:r w:rsidR="009160B5">
        <w:rPr>
          <w:rFonts w:hint="eastAsia"/>
          <w:szCs w:val="22"/>
        </w:rPr>
        <w:t>參見：印</w:t>
      </w:r>
      <w:r w:rsidRPr="00412A9C">
        <w:rPr>
          <w:rFonts w:hint="eastAsia"/>
          <w:szCs w:val="22"/>
        </w:rPr>
        <w:t>順法師，《大乘起信論講記》，</w:t>
      </w:r>
      <w:r w:rsidRPr="00761EF3">
        <w:rPr>
          <w:rFonts w:hint="eastAsia"/>
          <w:szCs w:val="22"/>
        </w:rPr>
        <w:t>p</w:t>
      </w:r>
      <w:r w:rsidRPr="00761EF3">
        <w:rPr>
          <w:szCs w:val="22"/>
        </w:rPr>
        <w:t>p</w:t>
      </w:r>
      <w:r w:rsidRPr="00412A9C">
        <w:rPr>
          <w:szCs w:val="22"/>
        </w:rPr>
        <w:t>.</w:t>
      </w:r>
      <w:r w:rsidRPr="00761EF3">
        <w:rPr>
          <w:rFonts w:hint="eastAsia"/>
          <w:szCs w:val="22"/>
        </w:rPr>
        <w:t>285</w:t>
      </w:r>
      <w:r w:rsidRPr="00412A9C">
        <w:rPr>
          <w:rFonts w:hint="eastAsia"/>
          <w:szCs w:val="22"/>
        </w:rPr>
        <w:t>-</w:t>
      </w:r>
      <w:r w:rsidRPr="00761EF3">
        <w:rPr>
          <w:szCs w:val="22"/>
        </w:rPr>
        <w:t>286</w:t>
      </w:r>
      <w:r w:rsidRPr="00412A9C">
        <w:rPr>
          <w:rFonts w:hint="eastAsia"/>
          <w:szCs w:val="22"/>
        </w:rPr>
        <w:t>：</w:t>
      </w:r>
    </w:p>
    <w:p w:rsidR="00157EF6" w:rsidRPr="00412A9C" w:rsidRDefault="00157EF6" w:rsidP="00AA120F">
      <w:pPr>
        <w:pStyle w:val="a5"/>
        <w:spacing w:line="300" w:lineRule="exact"/>
        <w:ind w:leftChars="335" w:left="804"/>
        <w:jc w:val="both"/>
        <w:rPr>
          <w:rFonts w:ascii="標楷體" w:eastAsia="標楷體" w:hAnsi="標楷體"/>
          <w:szCs w:val="22"/>
        </w:rPr>
      </w:pPr>
      <w:r w:rsidRPr="00412A9C">
        <w:rPr>
          <w:rFonts w:ascii="標楷體" w:eastAsia="標楷體" w:hAnsi="標楷體" w:hint="eastAsia"/>
          <w:szCs w:val="22"/>
        </w:rPr>
        <w:t>世間法是虛妄的，畢竟體空，本論以為是正確的；但真如涅槃實是不空的。</w:t>
      </w:r>
      <w:r w:rsidRPr="007917D5">
        <w:rPr>
          <w:rFonts w:ascii="標楷體" w:eastAsia="標楷體" w:hAnsi="標楷體" w:hint="eastAsia"/>
          <w:szCs w:val="22"/>
          <w:shd w:val="pct15" w:color="auto" w:fill="FFFFFF"/>
        </w:rPr>
        <w:t>……</w:t>
      </w:r>
      <w:r w:rsidRPr="00412A9C">
        <w:rPr>
          <w:rFonts w:ascii="標楷體" w:eastAsia="標楷體" w:hAnsi="標楷體" w:hint="eastAsia"/>
          <w:szCs w:val="22"/>
        </w:rPr>
        <w:t>依此說，如中觀宗所說：勝義諦中一切法空，即成為錯誤的了。</w:t>
      </w:r>
      <w:r w:rsidRPr="00412A9C">
        <w:rPr>
          <w:rFonts w:ascii="標楷體" w:eastAsia="標楷體" w:hAnsi="標楷體" w:hint="eastAsia"/>
          <w:b/>
          <w:szCs w:val="22"/>
        </w:rPr>
        <w:t>唯識與真常論者，是有宗，所以說妙有，說不空；這與中觀者是有著根本不同的</w:t>
      </w:r>
      <w:r w:rsidRPr="00412A9C">
        <w:rPr>
          <w:rFonts w:ascii="標楷體" w:eastAsia="標楷體" w:hAnsi="標楷體" w:hint="eastAsia"/>
          <w:szCs w:val="22"/>
        </w:rPr>
        <w:t>。</w:t>
      </w:r>
    </w:p>
    <w:p w:rsidR="00E748F8" w:rsidRDefault="00157EF6" w:rsidP="00AA120F">
      <w:pPr>
        <w:pStyle w:val="a5"/>
        <w:spacing w:line="300" w:lineRule="exact"/>
        <w:ind w:leftChars="335" w:left="804"/>
        <w:jc w:val="both"/>
        <w:rPr>
          <w:rFonts w:ascii="標楷體" w:eastAsia="標楷體" w:hAnsi="標楷體"/>
          <w:szCs w:val="22"/>
        </w:rPr>
      </w:pPr>
      <w:r w:rsidRPr="00412A9C">
        <w:rPr>
          <w:rFonts w:ascii="標楷體" w:eastAsia="標楷體" w:hAnsi="標楷體" w:hint="eastAsia"/>
          <w:b/>
          <w:szCs w:val="22"/>
        </w:rPr>
        <w:t>本論以為：真如不空，自體具足無量性功德，是常是恆是依止，這才可以建立一切法</w:t>
      </w:r>
      <w:r w:rsidRPr="00412A9C">
        <w:rPr>
          <w:rFonts w:ascii="標楷體" w:eastAsia="標楷體" w:hAnsi="標楷體" w:hint="eastAsia"/>
          <w:szCs w:val="22"/>
        </w:rPr>
        <w:t>。</w:t>
      </w:r>
    </w:p>
    <w:p w:rsidR="00E748F8" w:rsidRDefault="00157EF6" w:rsidP="00AA120F">
      <w:pPr>
        <w:pStyle w:val="a5"/>
        <w:spacing w:line="300" w:lineRule="exact"/>
        <w:ind w:leftChars="335" w:left="804"/>
        <w:jc w:val="both"/>
        <w:rPr>
          <w:rFonts w:ascii="標楷體" w:eastAsia="標楷體" w:hAnsi="標楷體"/>
          <w:szCs w:val="22"/>
        </w:rPr>
      </w:pPr>
      <w:r w:rsidRPr="00E748F8">
        <w:rPr>
          <w:rFonts w:ascii="標楷體" w:eastAsia="標楷體" w:hAnsi="標楷體" w:hint="eastAsia"/>
          <w:szCs w:val="22"/>
          <w:highlight w:val="yellow"/>
        </w:rPr>
        <w:t>而</w:t>
      </w:r>
      <w:r w:rsidRPr="00412A9C">
        <w:rPr>
          <w:rFonts w:ascii="標楷體" w:eastAsia="標楷體" w:hAnsi="標楷體" w:hint="eastAsia"/>
          <w:szCs w:val="22"/>
        </w:rPr>
        <w:t>中觀者說：一切法自性空，不礙眾生的流轉、涅槃的證得；空與什麼都沒有，意義是不同的。</w:t>
      </w:r>
    </w:p>
    <w:p w:rsidR="00157EF6" w:rsidRPr="00412A9C" w:rsidRDefault="00157EF6" w:rsidP="00AA120F">
      <w:pPr>
        <w:pStyle w:val="a5"/>
        <w:spacing w:line="300" w:lineRule="exact"/>
        <w:ind w:leftChars="335" w:left="804"/>
        <w:jc w:val="both"/>
        <w:rPr>
          <w:szCs w:val="22"/>
        </w:rPr>
      </w:pPr>
      <w:r w:rsidRPr="00E748F8">
        <w:rPr>
          <w:rFonts w:ascii="標楷體" w:eastAsia="標楷體" w:hAnsi="標楷體" w:hint="eastAsia"/>
          <w:b/>
          <w:szCs w:val="22"/>
          <w:highlight w:val="yellow"/>
        </w:rPr>
        <w:t>中</w:t>
      </w:r>
      <w:r w:rsidRPr="00412A9C">
        <w:rPr>
          <w:rFonts w:ascii="標楷體" w:eastAsia="標楷體" w:hAnsi="標楷體" w:hint="eastAsia"/>
          <w:b/>
          <w:szCs w:val="22"/>
        </w:rPr>
        <w:t>觀者與真常者，是有著根本不同處</w:t>
      </w:r>
      <w:r w:rsidRPr="00412A9C">
        <w:rPr>
          <w:rFonts w:ascii="標楷體" w:eastAsia="標楷體" w:hAnsi="標楷體" w:hint="eastAsia"/>
          <w:szCs w:val="22"/>
        </w:rPr>
        <w:t>。</w:t>
      </w:r>
    </w:p>
  </w:footnote>
  <w:footnote w:id="954">
    <w:p w:rsidR="007917D5" w:rsidRPr="00412A9C" w:rsidRDefault="007917D5" w:rsidP="007917D5">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rFonts w:hint="eastAsia"/>
          <w:szCs w:val="22"/>
        </w:rPr>
        <w:t>（</w:t>
      </w:r>
      <w:r w:rsidRPr="00761EF3">
        <w:rPr>
          <w:szCs w:val="22"/>
        </w:rPr>
        <w:t>1</w:t>
      </w:r>
      <w:r w:rsidRPr="00412A9C">
        <w:rPr>
          <w:rFonts w:hint="eastAsia"/>
          <w:szCs w:val="22"/>
        </w:rPr>
        <w:t>）印順法師，《性空學探源》，</w:t>
      </w:r>
      <w:r w:rsidRPr="00761EF3">
        <w:rPr>
          <w:szCs w:val="22"/>
        </w:rPr>
        <w:t>pp</w:t>
      </w:r>
      <w:r w:rsidRPr="00412A9C">
        <w:rPr>
          <w:szCs w:val="22"/>
        </w:rPr>
        <w:t>.</w:t>
      </w:r>
      <w:r w:rsidRPr="00761EF3">
        <w:rPr>
          <w:szCs w:val="22"/>
        </w:rPr>
        <w:t>19</w:t>
      </w:r>
      <w:r w:rsidRPr="00412A9C">
        <w:rPr>
          <w:szCs w:val="22"/>
        </w:rPr>
        <w:t>-</w:t>
      </w:r>
      <w:r w:rsidRPr="00761EF3">
        <w:rPr>
          <w:szCs w:val="22"/>
        </w:rPr>
        <w:t>20</w:t>
      </w:r>
      <w:r w:rsidRPr="00412A9C">
        <w:rPr>
          <w:rFonts w:hint="eastAsia"/>
          <w:szCs w:val="22"/>
        </w:rPr>
        <w:t>：</w:t>
      </w:r>
    </w:p>
    <w:p w:rsidR="007917D5" w:rsidRPr="00412A9C" w:rsidRDefault="007917D5" w:rsidP="007917D5">
      <w:pPr>
        <w:pStyle w:val="a5"/>
        <w:ind w:leftChars="335" w:left="804"/>
        <w:jc w:val="both"/>
        <w:rPr>
          <w:rFonts w:ascii="標楷體" w:eastAsia="標楷體" w:hAnsi="標楷體"/>
          <w:szCs w:val="22"/>
        </w:rPr>
      </w:pPr>
      <w:r w:rsidRPr="00412A9C">
        <w:rPr>
          <w:rFonts w:ascii="標楷體" w:eastAsia="標楷體" w:hAnsi="標楷體" w:hint="eastAsia"/>
          <w:szCs w:val="22"/>
        </w:rPr>
        <w:t>緣起聖諦的因果法則，是理解與對象、能說與所詮的一致，而且是必然的、普遍的，所以經中又說：「法性、法住、法定、法位、法界。」</w:t>
      </w:r>
    </w:p>
    <w:p w:rsidR="007917D5" w:rsidRPr="00F640F4" w:rsidRDefault="007917D5" w:rsidP="007917D5">
      <w:pPr>
        <w:pStyle w:val="a5"/>
        <w:ind w:leftChars="335" w:left="804"/>
        <w:jc w:val="both"/>
        <w:rPr>
          <w:rFonts w:ascii="標楷體" w:eastAsia="標楷體" w:hAnsi="標楷體"/>
          <w:szCs w:val="22"/>
        </w:rPr>
      </w:pPr>
      <w:r w:rsidRPr="00F640F4">
        <w:rPr>
          <w:rFonts w:ascii="標楷體" w:eastAsia="標楷體" w:hAnsi="標楷體" w:hint="eastAsia"/>
          <w:szCs w:val="22"/>
        </w:rPr>
        <w:t>緣起法是本來如此的，「非佛作，亦非餘人作」，所以說是</w:t>
      </w:r>
      <w:r w:rsidRPr="00F640F4">
        <w:rPr>
          <w:rFonts w:ascii="標楷體" w:eastAsia="標楷體" w:hAnsi="標楷體" w:hint="eastAsia"/>
          <w:b/>
          <w:szCs w:val="22"/>
        </w:rPr>
        <w:t>法性，性有本來如此的意義</w:t>
      </w:r>
      <w:r w:rsidRPr="00F640F4">
        <w:rPr>
          <w:rFonts w:ascii="標楷體" w:eastAsia="標楷體" w:hAnsi="標楷體" w:hint="eastAsia"/>
          <w:szCs w:val="22"/>
        </w:rPr>
        <w:t>。</w:t>
      </w:r>
    </w:p>
    <w:p w:rsidR="007917D5" w:rsidRPr="00F640F4" w:rsidRDefault="007917D5" w:rsidP="00AE3920">
      <w:pPr>
        <w:pStyle w:val="a5"/>
        <w:spacing w:beforeLines="20"/>
        <w:ind w:leftChars="335" w:left="804"/>
        <w:jc w:val="both"/>
        <w:rPr>
          <w:rFonts w:ascii="標楷體" w:eastAsia="標楷體" w:hAnsi="標楷體"/>
          <w:szCs w:val="22"/>
        </w:rPr>
      </w:pPr>
      <w:r w:rsidRPr="00F640F4">
        <w:rPr>
          <w:rFonts w:ascii="標楷體" w:eastAsia="標楷體" w:hAnsi="標楷體" w:hint="eastAsia"/>
          <w:b/>
          <w:szCs w:val="22"/>
        </w:rPr>
        <w:t>「住」是不動不變的意義</w:t>
      </w:r>
      <w:r w:rsidRPr="00F640F4">
        <w:rPr>
          <w:rFonts w:ascii="標楷體" w:eastAsia="標楷體" w:hAnsi="標楷體" w:hint="eastAsia"/>
          <w:szCs w:val="22"/>
        </w:rPr>
        <w:t>；緣起法則，過去如是，現在如是，未來也如是，有其不變性，所以說是「</w:t>
      </w:r>
      <w:r w:rsidRPr="00F640F4">
        <w:rPr>
          <w:rFonts w:ascii="標楷體" w:eastAsia="標楷體" w:hAnsi="標楷體" w:hint="eastAsia"/>
          <w:b/>
          <w:szCs w:val="22"/>
        </w:rPr>
        <w:t>法住</w:t>
      </w:r>
      <w:r w:rsidRPr="00F640F4">
        <w:rPr>
          <w:rFonts w:ascii="標楷體" w:eastAsia="標楷體" w:hAnsi="標楷體" w:hint="eastAsia"/>
          <w:szCs w:val="22"/>
        </w:rPr>
        <w:t>」。</w:t>
      </w:r>
    </w:p>
    <w:p w:rsidR="007917D5" w:rsidRPr="00F640F4" w:rsidRDefault="007917D5" w:rsidP="00AE3920">
      <w:pPr>
        <w:pStyle w:val="a5"/>
        <w:spacing w:beforeLines="20"/>
        <w:ind w:leftChars="335" w:left="804"/>
        <w:jc w:val="both"/>
        <w:rPr>
          <w:rFonts w:ascii="標楷體" w:eastAsia="標楷體" w:hAnsi="標楷體"/>
          <w:szCs w:val="22"/>
        </w:rPr>
      </w:pPr>
      <w:r w:rsidRPr="00F640F4">
        <w:rPr>
          <w:rFonts w:ascii="標楷體" w:eastAsia="標楷體" w:hAnsi="標楷體" w:hint="eastAsia"/>
          <w:szCs w:val="22"/>
        </w:rPr>
        <w:t>「法定，法位」，是秩然不亂的意思；在緣起法則下，因者因，果者果，前者前，後者後，上者上，下者下，有其一定的決定的秩序與位次，絲毫不亂。</w:t>
      </w:r>
    </w:p>
    <w:p w:rsidR="007917D5" w:rsidRPr="00412A9C" w:rsidRDefault="007917D5" w:rsidP="00AE3920">
      <w:pPr>
        <w:pStyle w:val="a5"/>
        <w:spacing w:beforeLines="20"/>
        <w:ind w:leftChars="335" w:left="804"/>
        <w:jc w:val="both"/>
        <w:rPr>
          <w:szCs w:val="22"/>
        </w:rPr>
      </w:pPr>
      <w:r w:rsidRPr="00F640F4">
        <w:rPr>
          <w:rFonts w:ascii="標楷體" w:eastAsia="標楷體" w:hAnsi="標楷體" w:hint="eastAsia"/>
          <w:szCs w:val="22"/>
        </w:rPr>
        <w:t>「</w:t>
      </w:r>
      <w:r w:rsidRPr="00F640F4">
        <w:rPr>
          <w:rFonts w:ascii="標楷體" w:eastAsia="標楷體" w:hAnsi="標楷體" w:hint="eastAsia"/>
          <w:b/>
          <w:szCs w:val="22"/>
        </w:rPr>
        <w:t>法界</w:t>
      </w:r>
      <w:r w:rsidRPr="00F640F4">
        <w:rPr>
          <w:rFonts w:ascii="標楷體" w:eastAsia="標楷體" w:hAnsi="標楷體" w:hint="eastAsia"/>
          <w:szCs w:val="22"/>
        </w:rPr>
        <w:t>」</w:t>
      </w:r>
      <w:r w:rsidRPr="00F640F4">
        <w:rPr>
          <w:rFonts w:ascii="標楷體" w:eastAsia="標楷體" w:hAnsi="標楷體" w:hint="eastAsia"/>
          <w:b/>
          <w:szCs w:val="22"/>
        </w:rPr>
        <w:t>的界字，作類性解，即是普遍性</w:t>
      </w:r>
      <w:r w:rsidRPr="00F640F4">
        <w:rPr>
          <w:rFonts w:ascii="標楷體" w:eastAsia="標楷體" w:hAnsi="標楷體" w:hint="eastAsia"/>
          <w:szCs w:val="22"/>
        </w:rPr>
        <w:t>；如生者必死，此地的也好，彼處的也好，此人也好，彼蟲也好，生者必死的共同性，總是一樣，絕不會有例外</w:t>
      </w:r>
      <w:r w:rsidRPr="00412A9C">
        <w:rPr>
          <w:rFonts w:ascii="標楷體" w:eastAsia="標楷體" w:hAnsi="標楷體" w:hint="eastAsia"/>
          <w:szCs w:val="22"/>
        </w:rPr>
        <w:t>。</w:t>
      </w:r>
    </w:p>
    <w:p w:rsidR="007917D5" w:rsidRPr="00412A9C" w:rsidRDefault="007917D5" w:rsidP="007917D5">
      <w:pPr>
        <w:pStyle w:val="a5"/>
        <w:ind w:leftChars="105" w:left="791" w:hangingChars="245" w:hanging="539"/>
        <w:jc w:val="both"/>
        <w:rPr>
          <w:szCs w:val="22"/>
        </w:rPr>
      </w:pPr>
      <w:r w:rsidRPr="00412A9C">
        <w:rPr>
          <w:rFonts w:hint="eastAsia"/>
          <w:szCs w:val="22"/>
        </w:rPr>
        <w:t>（</w:t>
      </w:r>
      <w:r w:rsidRPr="00761EF3">
        <w:rPr>
          <w:szCs w:val="22"/>
        </w:rPr>
        <w:t>2</w:t>
      </w:r>
      <w:r w:rsidRPr="00412A9C">
        <w:rPr>
          <w:rFonts w:hint="eastAsia"/>
          <w:szCs w:val="22"/>
        </w:rPr>
        <w:t>）印順法師，《初期大乘佛教之起源與開展》，第</w:t>
      </w:r>
      <w:r w:rsidRPr="00761EF3">
        <w:rPr>
          <w:rFonts w:hint="eastAsia"/>
          <w:szCs w:val="22"/>
        </w:rPr>
        <w:t>5</w:t>
      </w:r>
      <w:r w:rsidRPr="00412A9C">
        <w:rPr>
          <w:rFonts w:hint="eastAsia"/>
          <w:szCs w:val="22"/>
        </w:rPr>
        <w:t>章〈法之施設與發展趨勢〉，</w:t>
      </w:r>
      <w:r w:rsidRPr="00761EF3">
        <w:rPr>
          <w:szCs w:val="22"/>
        </w:rPr>
        <w:t>p</w:t>
      </w:r>
      <w:r w:rsidRPr="00412A9C">
        <w:rPr>
          <w:szCs w:val="22"/>
        </w:rPr>
        <w:t>.</w:t>
      </w:r>
      <w:r w:rsidRPr="00761EF3">
        <w:rPr>
          <w:szCs w:val="22"/>
        </w:rPr>
        <w:t>236</w:t>
      </w:r>
      <w:r w:rsidRPr="00412A9C">
        <w:rPr>
          <w:rFonts w:hint="eastAsia"/>
          <w:szCs w:val="22"/>
        </w:rPr>
        <w:t>：</w:t>
      </w:r>
    </w:p>
    <w:p w:rsidR="007917D5" w:rsidRPr="00412A9C" w:rsidRDefault="007917D5" w:rsidP="007917D5">
      <w:pPr>
        <w:pStyle w:val="a5"/>
        <w:ind w:leftChars="335" w:left="804"/>
        <w:jc w:val="both"/>
        <w:rPr>
          <w:rFonts w:ascii="標楷體" w:eastAsia="標楷體" w:hAnsi="標楷體"/>
          <w:szCs w:val="22"/>
        </w:rPr>
      </w:pPr>
      <w:r w:rsidRPr="00412A9C">
        <w:rPr>
          <w:rFonts w:hint="eastAsia"/>
          <w:szCs w:val="22"/>
        </w:rPr>
        <w:t>「</w:t>
      </w:r>
      <w:r w:rsidRPr="00412A9C">
        <w:rPr>
          <w:rFonts w:ascii="標楷體" w:eastAsia="標楷體" w:hAnsi="標楷體" w:hint="eastAsia"/>
          <w:szCs w:val="22"/>
        </w:rPr>
        <w:t>法」是自然而然的，「性自爾故」，所以叫「</w:t>
      </w:r>
      <w:r w:rsidRPr="00412A9C">
        <w:rPr>
          <w:rFonts w:ascii="標楷體" w:eastAsia="標楷體" w:hAnsi="標楷體" w:hint="eastAsia"/>
          <w:b/>
          <w:szCs w:val="22"/>
        </w:rPr>
        <w:t>法性</w:t>
      </w:r>
      <w:r w:rsidRPr="00412A9C">
        <w:rPr>
          <w:rFonts w:ascii="標楷體" w:eastAsia="標楷體" w:hAnsi="標楷體" w:hint="eastAsia"/>
          <w:szCs w:val="22"/>
        </w:rPr>
        <w:t>」。</w:t>
      </w:r>
    </w:p>
    <w:p w:rsidR="007917D5" w:rsidRPr="00412A9C" w:rsidRDefault="007917D5" w:rsidP="007917D5">
      <w:pPr>
        <w:pStyle w:val="a5"/>
        <w:ind w:leftChars="335" w:left="804"/>
        <w:jc w:val="both"/>
        <w:rPr>
          <w:rFonts w:ascii="標楷體" w:eastAsia="標楷體" w:hAnsi="標楷體"/>
          <w:szCs w:val="22"/>
        </w:rPr>
      </w:pPr>
      <w:r w:rsidRPr="00412A9C">
        <w:rPr>
          <w:rFonts w:ascii="標楷體" w:eastAsia="標楷體" w:hAnsi="標楷體" w:hint="eastAsia"/>
          <w:szCs w:val="22"/>
        </w:rPr>
        <w:t>法是安住的，確立而不可改的，所以叫「</w:t>
      </w:r>
      <w:r w:rsidRPr="00412A9C">
        <w:rPr>
          <w:rFonts w:ascii="標楷體" w:eastAsia="標楷體" w:hAnsi="標楷體" w:hint="eastAsia"/>
          <w:b/>
          <w:szCs w:val="22"/>
        </w:rPr>
        <w:t>法住</w:t>
      </w:r>
      <w:r w:rsidRPr="00412A9C">
        <w:rPr>
          <w:rFonts w:ascii="標楷體" w:eastAsia="標楷體" w:hAnsi="標楷體" w:hint="eastAsia"/>
          <w:szCs w:val="22"/>
        </w:rPr>
        <w:t>」。</w:t>
      </w:r>
    </w:p>
    <w:p w:rsidR="007917D5" w:rsidRPr="00412A9C" w:rsidRDefault="007917D5" w:rsidP="007917D5">
      <w:pPr>
        <w:pStyle w:val="a5"/>
        <w:ind w:leftChars="335" w:left="804"/>
        <w:jc w:val="both"/>
        <w:rPr>
          <w:szCs w:val="22"/>
        </w:rPr>
      </w:pPr>
      <w:r w:rsidRPr="00412A9C">
        <w:rPr>
          <w:rFonts w:ascii="標楷體" w:eastAsia="標楷體" w:hAnsi="標楷體" w:hint="eastAsia"/>
          <w:szCs w:val="22"/>
        </w:rPr>
        <w:t>法是普遍如此的，所以叫「</w:t>
      </w:r>
      <w:r w:rsidRPr="00412A9C">
        <w:rPr>
          <w:rFonts w:ascii="標楷體" w:eastAsia="標楷體" w:hAnsi="標楷體" w:hint="eastAsia"/>
          <w:b/>
          <w:szCs w:val="22"/>
        </w:rPr>
        <w:t>法界</w:t>
      </w:r>
      <w:r w:rsidRPr="00412A9C">
        <w:rPr>
          <w:rFonts w:ascii="標楷體" w:eastAsia="標楷體" w:hAnsi="標楷體" w:hint="eastAsia"/>
          <w:szCs w:val="22"/>
        </w:rPr>
        <w:t>」。</w:t>
      </w:r>
    </w:p>
  </w:footnote>
  <w:footnote w:id="955">
    <w:p w:rsidR="00157EF6" w:rsidRPr="00412A9C" w:rsidRDefault="00157EF6" w:rsidP="009E0A5A">
      <w:pPr>
        <w:pStyle w:val="a5"/>
        <w:ind w:left="187" w:hangingChars="85" w:hanging="187"/>
        <w:jc w:val="both"/>
        <w:rPr>
          <w:szCs w:val="22"/>
        </w:rPr>
      </w:pPr>
      <w:r w:rsidRPr="00412A9C">
        <w:rPr>
          <w:rStyle w:val="a6"/>
          <w:szCs w:val="22"/>
        </w:rPr>
        <w:footnoteRef/>
      </w:r>
      <w:r>
        <w:rPr>
          <w:rFonts w:hint="eastAsia"/>
          <w:szCs w:val="22"/>
        </w:rPr>
        <w:t xml:space="preserve"> </w:t>
      </w:r>
      <w:r w:rsidRPr="00412A9C">
        <w:rPr>
          <w:szCs w:val="22"/>
        </w:rPr>
        <w:t>《十</w:t>
      </w:r>
      <w:r w:rsidRPr="000550C6">
        <w:rPr>
          <w:szCs w:val="22"/>
        </w:rPr>
        <w:t>二門</w:t>
      </w:r>
      <w:r w:rsidRPr="00412A9C">
        <w:rPr>
          <w:szCs w:val="22"/>
        </w:rPr>
        <w:t>論》〈</w:t>
      </w:r>
      <w:r w:rsidRPr="00761EF3">
        <w:rPr>
          <w:szCs w:val="22"/>
        </w:rPr>
        <w:t>8</w:t>
      </w:r>
      <w:r>
        <w:rPr>
          <w:szCs w:val="22"/>
        </w:rPr>
        <w:t xml:space="preserve"> </w:t>
      </w:r>
      <w:r w:rsidRPr="00412A9C">
        <w:rPr>
          <w:szCs w:val="22"/>
        </w:rPr>
        <w:t>觀性門〉（大正</w:t>
      </w:r>
      <w:r w:rsidRPr="00761EF3">
        <w:rPr>
          <w:szCs w:val="22"/>
        </w:rPr>
        <w:t>30</w:t>
      </w:r>
      <w:r w:rsidRPr="00412A9C">
        <w:rPr>
          <w:szCs w:val="22"/>
        </w:rPr>
        <w:t>，</w:t>
      </w:r>
      <w:r w:rsidRPr="00761EF3">
        <w:rPr>
          <w:szCs w:val="22"/>
        </w:rPr>
        <w:t>165a28</w:t>
      </w:r>
      <w:r w:rsidRPr="00412A9C">
        <w:rPr>
          <w:szCs w:val="22"/>
        </w:rPr>
        <w:t>-</w:t>
      </w:r>
      <w:r w:rsidRPr="00761EF3">
        <w:rPr>
          <w:szCs w:val="22"/>
        </w:rPr>
        <w:t>b1</w:t>
      </w:r>
      <w:r w:rsidRPr="00412A9C">
        <w:rPr>
          <w:szCs w:val="22"/>
        </w:rPr>
        <w:t>）：「</w:t>
      </w:r>
      <w:r w:rsidRPr="00412A9C">
        <w:rPr>
          <w:rFonts w:eastAsia="標楷體"/>
          <w:szCs w:val="22"/>
        </w:rPr>
        <w:t>汝今聞說</w:t>
      </w:r>
      <w:r w:rsidR="005E4F0B">
        <w:rPr>
          <w:rFonts w:ascii="標楷體" w:eastAsia="標楷體" w:hAnsi="標楷體" w:hint="eastAsia"/>
          <w:color w:val="FF0000"/>
          <w:kern w:val="0"/>
          <w:highlight w:val="yellow"/>
        </w:rPr>
        <w:t>『</w:t>
      </w:r>
      <w:r w:rsidRPr="00412A9C">
        <w:rPr>
          <w:rFonts w:eastAsia="標楷體"/>
          <w:szCs w:val="22"/>
        </w:rPr>
        <w:t>世諦</w:t>
      </w:r>
      <w:r w:rsidR="005E4F0B">
        <w:rPr>
          <w:rFonts w:ascii="標楷體" w:eastAsia="標楷體" w:hAnsi="標楷體" w:hint="eastAsia"/>
          <w:color w:val="FF0000"/>
          <w:kern w:val="0"/>
          <w:highlight w:val="yellow"/>
        </w:rPr>
        <w:t>』</w:t>
      </w:r>
      <w:r w:rsidRPr="00412A9C">
        <w:rPr>
          <w:rFonts w:eastAsia="標楷體"/>
          <w:szCs w:val="22"/>
        </w:rPr>
        <w:t>謂是</w:t>
      </w:r>
      <w:r w:rsidR="005E4F0B">
        <w:rPr>
          <w:rFonts w:ascii="標楷體" w:eastAsia="標楷體" w:hAnsi="標楷體" w:hint="eastAsia"/>
          <w:color w:val="FF0000"/>
          <w:kern w:val="0"/>
          <w:highlight w:val="yellow"/>
        </w:rPr>
        <w:t>『</w:t>
      </w:r>
      <w:r w:rsidRPr="00412A9C">
        <w:rPr>
          <w:rFonts w:eastAsia="標楷體"/>
          <w:szCs w:val="22"/>
        </w:rPr>
        <w:t>第一義諦</w:t>
      </w:r>
      <w:r w:rsidR="005E4F0B">
        <w:rPr>
          <w:rFonts w:ascii="標楷體" w:eastAsia="標楷體" w:hAnsi="標楷體" w:hint="eastAsia"/>
          <w:color w:val="FF0000"/>
          <w:kern w:val="0"/>
          <w:highlight w:val="yellow"/>
        </w:rPr>
        <w:t>』</w:t>
      </w:r>
      <w:r w:rsidRPr="00412A9C">
        <w:rPr>
          <w:rFonts w:eastAsia="標楷體"/>
          <w:szCs w:val="22"/>
        </w:rPr>
        <w:t>，是故墮在失處。諸佛因緣法</w:t>
      </w:r>
      <w:r w:rsidR="005E4F0B">
        <w:rPr>
          <w:rFonts w:ascii="標楷體" w:eastAsia="標楷體" w:hAnsi="標楷體" w:hint="eastAsia"/>
          <w:color w:val="FF0000"/>
          <w:kern w:val="0"/>
          <w:highlight w:val="yellow"/>
        </w:rPr>
        <w:t>，</w:t>
      </w:r>
      <w:r w:rsidRPr="00412A9C">
        <w:rPr>
          <w:rFonts w:eastAsia="標楷體"/>
          <w:szCs w:val="22"/>
        </w:rPr>
        <w:t>名為甚深第一義</w:t>
      </w:r>
      <w:r w:rsidR="005E4F0B">
        <w:rPr>
          <w:rFonts w:ascii="標楷體" w:eastAsia="標楷體" w:hAnsi="標楷體" w:hint="eastAsia"/>
          <w:color w:val="FF0000"/>
          <w:spacing w:val="-4"/>
          <w:kern w:val="0"/>
          <w:highlight w:val="yellow"/>
        </w:rPr>
        <w:t>；</w:t>
      </w:r>
      <w:r w:rsidRPr="00412A9C">
        <w:rPr>
          <w:rFonts w:eastAsia="標楷體"/>
          <w:szCs w:val="22"/>
        </w:rPr>
        <w:t>是因緣法</w:t>
      </w:r>
      <w:r w:rsidR="005E4F0B">
        <w:rPr>
          <w:rFonts w:ascii="標楷體" w:eastAsia="標楷體" w:hAnsi="標楷體" w:hint="eastAsia"/>
          <w:color w:val="FF0000"/>
          <w:kern w:val="0"/>
          <w:highlight w:val="yellow"/>
        </w:rPr>
        <w:t>，</w:t>
      </w:r>
      <w:r w:rsidRPr="00412A9C">
        <w:rPr>
          <w:rFonts w:eastAsia="標楷體"/>
          <w:szCs w:val="22"/>
        </w:rPr>
        <w:t>無自性故</w:t>
      </w:r>
      <w:r w:rsidR="005E4F0B">
        <w:rPr>
          <w:rFonts w:ascii="標楷體" w:eastAsia="標楷體" w:hAnsi="標楷體" w:hint="eastAsia"/>
          <w:color w:val="FF0000"/>
          <w:kern w:val="0"/>
          <w:highlight w:val="yellow"/>
        </w:rPr>
        <w:t>，</w:t>
      </w:r>
      <w:r w:rsidRPr="00412A9C">
        <w:rPr>
          <w:rFonts w:eastAsia="標楷體"/>
          <w:szCs w:val="22"/>
        </w:rPr>
        <w:t>我說是</w:t>
      </w:r>
      <w:r w:rsidR="005E4F0B">
        <w:rPr>
          <w:rFonts w:ascii="標楷體" w:eastAsia="標楷體" w:hAnsi="標楷體" w:hint="eastAsia"/>
          <w:color w:val="FF0000"/>
          <w:kern w:val="0"/>
          <w:highlight w:val="yellow"/>
        </w:rPr>
        <w:t>『</w:t>
      </w:r>
      <w:r w:rsidRPr="00412A9C">
        <w:rPr>
          <w:rFonts w:eastAsia="標楷體"/>
          <w:szCs w:val="22"/>
        </w:rPr>
        <w:t>空</w:t>
      </w:r>
      <w:r w:rsidR="005E4F0B">
        <w:rPr>
          <w:rFonts w:ascii="標楷體" w:eastAsia="標楷體" w:hAnsi="標楷體" w:hint="eastAsia"/>
          <w:color w:val="FF0000"/>
          <w:kern w:val="0"/>
          <w:highlight w:val="yellow"/>
        </w:rPr>
        <w:t>』</w:t>
      </w:r>
      <w:r w:rsidRPr="00412A9C">
        <w:rPr>
          <w:rFonts w:eastAsia="標楷體"/>
          <w:szCs w:val="22"/>
        </w:rPr>
        <w:t>。」</w:t>
      </w:r>
    </w:p>
  </w:footnote>
  <w:footnote w:id="956">
    <w:p w:rsidR="00157EF6" w:rsidRPr="00412A9C" w:rsidRDefault="00157EF6" w:rsidP="00AA120F">
      <w:pPr>
        <w:pStyle w:val="a5"/>
        <w:ind w:left="187" w:hangingChars="85" w:hanging="187"/>
        <w:jc w:val="both"/>
        <w:rPr>
          <w:rFonts w:eastAsia="SimSun"/>
          <w:szCs w:val="22"/>
        </w:rPr>
      </w:pPr>
      <w:r w:rsidRPr="00412A9C">
        <w:rPr>
          <w:rStyle w:val="a6"/>
          <w:szCs w:val="22"/>
        </w:rPr>
        <w:footnoteRef/>
      </w:r>
      <w:r>
        <w:rPr>
          <w:rFonts w:hint="eastAsia"/>
          <w:szCs w:val="22"/>
        </w:rPr>
        <w:t xml:space="preserve"> </w:t>
      </w:r>
      <w:r w:rsidRPr="00412A9C">
        <w:rPr>
          <w:szCs w:val="22"/>
        </w:rPr>
        <w:t>《大智度論》卷</w:t>
      </w:r>
      <w:r w:rsidRPr="00761EF3">
        <w:rPr>
          <w:szCs w:val="22"/>
        </w:rPr>
        <w:t>1</w:t>
      </w:r>
      <w:r w:rsidR="00287E83">
        <w:rPr>
          <w:rFonts w:hint="eastAsia"/>
          <w:color w:val="FF0000"/>
          <w:szCs w:val="22"/>
          <w:highlight w:val="yellow"/>
        </w:rPr>
        <w:t>釋〈</w:t>
      </w:r>
      <w:r w:rsidR="00287E83">
        <w:rPr>
          <w:color w:val="FF0000"/>
          <w:szCs w:val="22"/>
          <w:highlight w:val="yellow"/>
        </w:rPr>
        <w:t xml:space="preserve">1 </w:t>
      </w:r>
      <w:r w:rsidR="00287E83">
        <w:rPr>
          <w:rFonts w:hint="eastAsia"/>
          <w:color w:val="FF0000"/>
          <w:szCs w:val="22"/>
          <w:highlight w:val="yellow"/>
        </w:rPr>
        <w:t>序品〉</w:t>
      </w:r>
      <w:r w:rsidRPr="00412A9C">
        <w:rPr>
          <w:szCs w:val="22"/>
        </w:rPr>
        <w:t>（大正</w:t>
      </w:r>
      <w:r w:rsidRPr="00761EF3">
        <w:rPr>
          <w:szCs w:val="22"/>
        </w:rPr>
        <w:t>25</w:t>
      </w:r>
      <w:r w:rsidRPr="00412A9C">
        <w:rPr>
          <w:szCs w:val="22"/>
        </w:rPr>
        <w:t>，</w:t>
      </w:r>
      <w:r w:rsidRPr="00761EF3">
        <w:rPr>
          <w:szCs w:val="22"/>
        </w:rPr>
        <w:t>59c9</w:t>
      </w:r>
      <w:r w:rsidRPr="00412A9C">
        <w:rPr>
          <w:szCs w:val="22"/>
        </w:rPr>
        <w:t>-</w:t>
      </w:r>
      <w:r w:rsidRPr="00761EF3">
        <w:rPr>
          <w:szCs w:val="22"/>
        </w:rPr>
        <w:t>14</w:t>
      </w:r>
      <w:r w:rsidRPr="00412A9C">
        <w:rPr>
          <w:szCs w:val="22"/>
        </w:rPr>
        <w:t>）：</w:t>
      </w:r>
    </w:p>
    <w:p w:rsidR="00157EF6" w:rsidRPr="00412A9C" w:rsidRDefault="00157EF6" w:rsidP="00154B2F">
      <w:pPr>
        <w:pStyle w:val="a5"/>
        <w:ind w:leftChars="75" w:left="840" w:hangingChars="300" w:hanging="660"/>
        <w:jc w:val="both"/>
        <w:rPr>
          <w:rFonts w:eastAsia="SimSun"/>
          <w:szCs w:val="22"/>
        </w:rPr>
      </w:pPr>
      <w:r w:rsidRPr="00412A9C">
        <w:rPr>
          <w:rFonts w:eastAsia="標楷體"/>
          <w:szCs w:val="22"/>
        </w:rPr>
        <w:t>問曰：</w:t>
      </w:r>
      <w:r w:rsidR="005E4F0B">
        <w:rPr>
          <w:rFonts w:ascii="標楷體" w:eastAsia="標楷體" w:hAnsi="標楷體" w:hint="eastAsia"/>
          <w:bCs/>
          <w:color w:val="FF0000"/>
          <w:kern w:val="0"/>
          <w:highlight w:val="yellow"/>
        </w:rPr>
        <w:t>「</w:t>
      </w:r>
      <w:r w:rsidRPr="00412A9C">
        <w:rPr>
          <w:rFonts w:eastAsia="標楷體"/>
          <w:szCs w:val="22"/>
        </w:rPr>
        <w:t>第一悉檀</w:t>
      </w:r>
      <w:r w:rsidR="005E4F0B">
        <w:rPr>
          <w:rFonts w:ascii="標楷體" w:eastAsia="標楷體" w:hAnsi="標楷體" w:hint="eastAsia"/>
          <w:bCs/>
          <w:color w:val="FF0000"/>
          <w:kern w:val="0"/>
          <w:highlight w:val="yellow"/>
        </w:rPr>
        <w:t>」</w:t>
      </w:r>
      <w:r w:rsidRPr="00412A9C">
        <w:rPr>
          <w:rFonts w:eastAsia="標楷體"/>
          <w:szCs w:val="22"/>
        </w:rPr>
        <w:t>是真實，實故名第一</w:t>
      </w:r>
      <w:r w:rsidR="005E4F0B">
        <w:rPr>
          <w:rFonts w:ascii="標楷體" w:eastAsia="標楷體" w:hAnsi="標楷體" w:hint="eastAsia"/>
          <w:color w:val="FF0000"/>
          <w:spacing w:val="-4"/>
          <w:kern w:val="0"/>
          <w:highlight w:val="yellow"/>
        </w:rPr>
        <w:t>；</w:t>
      </w:r>
      <w:r w:rsidRPr="00412A9C">
        <w:rPr>
          <w:rFonts w:eastAsia="標楷體"/>
          <w:szCs w:val="22"/>
        </w:rPr>
        <w:t>餘者不應實</w:t>
      </w:r>
      <w:r>
        <w:rPr>
          <w:rFonts w:eastAsia="標楷體" w:hint="eastAsia"/>
          <w:szCs w:val="22"/>
        </w:rPr>
        <w:t>。</w:t>
      </w:r>
    </w:p>
    <w:p w:rsidR="00157EF6" w:rsidRPr="00412A9C" w:rsidRDefault="00157EF6" w:rsidP="00154B2F">
      <w:pPr>
        <w:pStyle w:val="a5"/>
        <w:ind w:leftChars="75" w:left="840" w:hangingChars="300" w:hanging="660"/>
        <w:jc w:val="both"/>
        <w:rPr>
          <w:szCs w:val="22"/>
        </w:rPr>
      </w:pPr>
      <w:r w:rsidRPr="00412A9C">
        <w:rPr>
          <w:rFonts w:eastAsia="標楷體"/>
          <w:szCs w:val="22"/>
        </w:rPr>
        <w:t>答曰：不然</w:t>
      </w:r>
      <w:r w:rsidRPr="00412A9C">
        <w:rPr>
          <w:rFonts w:eastAsia="標楷體" w:hint="eastAsia"/>
          <w:szCs w:val="22"/>
        </w:rPr>
        <w:t>！</w:t>
      </w:r>
      <w:r w:rsidRPr="00412A9C">
        <w:rPr>
          <w:rFonts w:eastAsia="標楷體"/>
          <w:szCs w:val="22"/>
        </w:rPr>
        <w:t>是四悉檀各各有實</w:t>
      </w:r>
      <w:r w:rsidR="005E4F0B">
        <w:rPr>
          <w:rFonts w:ascii="標楷體" w:eastAsia="標楷體" w:hAnsi="標楷體" w:hint="eastAsia"/>
          <w:color w:val="FF0000"/>
          <w:kern w:val="0"/>
          <w:highlight w:val="yellow"/>
        </w:rPr>
        <w:t>。</w:t>
      </w:r>
      <w:r w:rsidRPr="00412A9C">
        <w:rPr>
          <w:rFonts w:eastAsia="標楷體"/>
          <w:szCs w:val="22"/>
        </w:rPr>
        <w:t>如</w:t>
      </w:r>
      <w:r w:rsidR="005E4F0B">
        <w:rPr>
          <w:rFonts w:ascii="標楷體" w:eastAsia="標楷體" w:hAnsi="標楷體" w:hint="eastAsia"/>
          <w:color w:val="FF0000"/>
          <w:spacing w:val="-4"/>
          <w:kern w:val="0"/>
          <w:highlight w:val="yellow"/>
        </w:rPr>
        <w:t>：</w:t>
      </w:r>
      <w:r w:rsidR="005E4F0B">
        <w:rPr>
          <w:rFonts w:ascii="標楷體" w:eastAsia="標楷體" w:hAnsi="標楷體" w:hint="eastAsia"/>
          <w:bCs/>
          <w:color w:val="FF0000"/>
          <w:kern w:val="0"/>
          <w:highlight w:val="yellow"/>
        </w:rPr>
        <w:t>「</w:t>
      </w:r>
      <w:r w:rsidRPr="00412A9C">
        <w:rPr>
          <w:rFonts w:eastAsia="標楷體"/>
          <w:szCs w:val="22"/>
        </w:rPr>
        <w:t>如</w:t>
      </w:r>
      <w:r w:rsidRPr="00412A9C">
        <w:rPr>
          <w:rFonts w:eastAsia="標楷體" w:hint="eastAsia"/>
          <w:szCs w:val="22"/>
        </w:rPr>
        <w:t>、</w:t>
      </w:r>
      <w:r w:rsidRPr="00412A9C">
        <w:rPr>
          <w:rFonts w:eastAsia="標楷體"/>
          <w:szCs w:val="22"/>
        </w:rPr>
        <w:t>法性</w:t>
      </w:r>
      <w:r w:rsidRPr="00412A9C">
        <w:rPr>
          <w:rFonts w:eastAsia="標楷體" w:hint="eastAsia"/>
          <w:szCs w:val="22"/>
        </w:rPr>
        <w:t>、</w:t>
      </w:r>
      <w:r w:rsidRPr="00412A9C">
        <w:rPr>
          <w:rFonts w:eastAsia="標楷體"/>
          <w:szCs w:val="22"/>
        </w:rPr>
        <w:t>實際</w:t>
      </w:r>
      <w:r w:rsidR="005E4F0B">
        <w:rPr>
          <w:rFonts w:ascii="標楷體" w:eastAsia="標楷體" w:hAnsi="標楷體" w:hint="eastAsia"/>
          <w:bCs/>
          <w:color w:val="FF0000"/>
          <w:kern w:val="0"/>
          <w:highlight w:val="yellow"/>
        </w:rPr>
        <w:t>」</w:t>
      </w:r>
      <w:r w:rsidRPr="00412A9C">
        <w:rPr>
          <w:rFonts w:eastAsia="標楷體"/>
          <w:szCs w:val="22"/>
        </w:rPr>
        <w:t>，</w:t>
      </w:r>
      <w:r w:rsidR="005E4F0B">
        <w:rPr>
          <w:rFonts w:ascii="標楷體" w:eastAsia="標楷體" w:hAnsi="標楷體" w:hint="eastAsia"/>
          <w:bCs/>
          <w:color w:val="FF0000"/>
          <w:kern w:val="0"/>
          <w:highlight w:val="yellow"/>
        </w:rPr>
        <w:t>「</w:t>
      </w:r>
      <w:r w:rsidRPr="00412A9C">
        <w:rPr>
          <w:rFonts w:eastAsia="標楷體"/>
          <w:szCs w:val="22"/>
        </w:rPr>
        <w:t>世界悉檀</w:t>
      </w:r>
      <w:r w:rsidR="005E4F0B">
        <w:rPr>
          <w:rFonts w:ascii="標楷體" w:eastAsia="標楷體" w:hAnsi="標楷體" w:hint="eastAsia"/>
          <w:bCs/>
          <w:color w:val="FF0000"/>
          <w:kern w:val="0"/>
          <w:highlight w:val="yellow"/>
        </w:rPr>
        <w:t>」</w:t>
      </w:r>
      <w:r w:rsidRPr="00412A9C">
        <w:rPr>
          <w:rFonts w:eastAsia="標楷體"/>
          <w:szCs w:val="22"/>
        </w:rPr>
        <w:t>故無，</w:t>
      </w:r>
      <w:r w:rsidR="005E4F0B">
        <w:rPr>
          <w:rFonts w:ascii="標楷體" w:eastAsia="標楷體" w:hAnsi="標楷體" w:hint="eastAsia"/>
          <w:bCs/>
          <w:color w:val="FF0000"/>
          <w:kern w:val="0"/>
          <w:highlight w:val="yellow"/>
        </w:rPr>
        <w:t>「</w:t>
      </w:r>
      <w:r w:rsidRPr="00412A9C">
        <w:rPr>
          <w:rFonts w:eastAsia="標楷體"/>
          <w:szCs w:val="22"/>
        </w:rPr>
        <w:t>第一義悉檀</w:t>
      </w:r>
      <w:r w:rsidR="005E4F0B">
        <w:rPr>
          <w:rFonts w:ascii="標楷體" w:eastAsia="標楷體" w:hAnsi="標楷體" w:hint="eastAsia"/>
          <w:bCs/>
          <w:color w:val="FF0000"/>
          <w:kern w:val="0"/>
          <w:highlight w:val="yellow"/>
        </w:rPr>
        <w:t>」</w:t>
      </w:r>
      <w:r w:rsidRPr="00412A9C">
        <w:rPr>
          <w:rFonts w:eastAsia="標楷體"/>
          <w:szCs w:val="22"/>
        </w:rPr>
        <w:t>故有</w:t>
      </w:r>
      <w:r w:rsidR="005E4F0B">
        <w:rPr>
          <w:rFonts w:ascii="標楷體" w:eastAsia="標楷體" w:hAnsi="標楷體" w:hint="eastAsia"/>
          <w:color w:val="FF0000"/>
          <w:spacing w:val="-4"/>
          <w:kern w:val="0"/>
          <w:highlight w:val="yellow"/>
        </w:rPr>
        <w:t>；</w:t>
      </w:r>
      <w:r w:rsidRPr="00412A9C">
        <w:rPr>
          <w:rFonts w:eastAsia="標楷體"/>
          <w:szCs w:val="22"/>
        </w:rPr>
        <w:t>人等亦如是，</w:t>
      </w:r>
      <w:r w:rsidR="005E4F0B">
        <w:rPr>
          <w:rFonts w:ascii="標楷體" w:eastAsia="標楷體" w:hAnsi="標楷體" w:hint="eastAsia"/>
          <w:bCs/>
          <w:color w:val="FF0000"/>
          <w:kern w:val="0"/>
          <w:highlight w:val="yellow"/>
        </w:rPr>
        <w:t>「</w:t>
      </w:r>
      <w:r w:rsidRPr="00412A9C">
        <w:rPr>
          <w:rFonts w:eastAsia="標楷體"/>
          <w:szCs w:val="22"/>
        </w:rPr>
        <w:t>世界悉檀</w:t>
      </w:r>
      <w:r w:rsidR="005E4F0B">
        <w:rPr>
          <w:rFonts w:ascii="標楷體" w:eastAsia="標楷體" w:hAnsi="標楷體" w:hint="eastAsia"/>
          <w:bCs/>
          <w:color w:val="FF0000"/>
          <w:kern w:val="0"/>
          <w:highlight w:val="yellow"/>
        </w:rPr>
        <w:t>」</w:t>
      </w:r>
      <w:r w:rsidRPr="00412A9C">
        <w:rPr>
          <w:rFonts w:eastAsia="標楷體"/>
          <w:szCs w:val="22"/>
        </w:rPr>
        <w:t>故有，</w:t>
      </w:r>
      <w:r w:rsidR="005E4F0B">
        <w:rPr>
          <w:rFonts w:ascii="標楷體" w:eastAsia="標楷體" w:hAnsi="標楷體" w:hint="eastAsia"/>
          <w:bCs/>
          <w:color w:val="FF0000"/>
          <w:kern w:val="0"/>
          <w:highlight w:val="yellow"/>
        </w:rPr>
        <w:t>「</w:t>
      </w:r>
      <w:r w:rsidRPr="00412A9C">
        <w:rPr>
          <w:rFonts w:eastAsia="標楷體"/>
          <w:szCs w:val="22"/>
        </w:rPr>
        <w:t>第一義悉檀</w:t>
      </w:r>
      <w:r w:rsidR="005E4F0B">
        <w:rPr>
          <w:rFonts w:ascii="標楷體" w:eastAsia="標楷體" w:hAnsi="標楷體" w:hint="eastAsia"/>
          <w:bCs/>
          <w:color w:val="FF0000"/>
          <w:kern w:val="0"/>
          <w:highlight w:val="yellow"/>
        </w:rPr>
        <w:t>」</w:t>
      </w:r>
      <w:r w:rsidRPr="00412A9C">
        <w:rPr>
          <w:rFonts w:eastAsia="標楷體"/>
          <w:szCs w:val="22"/>
        </w:rPr>
        <w:t>故無。</w:t>
      </w:r>
    </w:p>
  </w:footnote>
  <w:footnote w:id="957">
    <w:p w:rsidR="00157EF6" w:rsidRPr="00412A9C" w:rsidRDefault="00157EF6" w:rsidP="00AA120F">
      <w:pPr>
        <w:pStyle w:val="a5"/>
        <w:spacing w:line="0" w:lineRule="atLeast"/>
        <w:ind w:left="726" w:hangingChars="330" w:hanging="726"/>
        <w:jc w:val="both"/>
        <w:rPr>
          <w:rFonts w:eastAsia="標楷體"/>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）《解深密經》卷</w:t>
      </w:r>
      <w:r w:rsidRPr="00761EF3">
        <w:rPr>
          <w:szCs w:val="22"/>
        </w:rPr>
        <w:t>2</w:t>
      </w:r>
      <w:r w:rsidRPr="00412A9C">
        <w:rPr>
          <w:rFonts w:hint="eastAsia"/>
          <w:szCs w:val="22"/>
        </w:rPr>
        <w:t>〈</w:t>
      </w:r>
      <w:r w:rsidRPr="00761EF3">
        <w:rPr>
          <w:rFonts w:hint="eastAsia"/>
          <w:szCs w:val="22"/>
        </w:rPr>
        <w:t>5</w:t>
      </w:r>
      <w:r>
        <w:rPr>
          <w:szCs w:val="22"/>
        </w:rPr>
        <w:t xml:space="preserve"> </w:t>
      </w:r>
      <w:r w:rsidRPr="00412A9C">
        <w:rPr>
          <w:rFonts w:hint="eastAsia"/>
          <w:szCs w:val="22"/>
        </w:rPr>
        <w:t>無自性相品〉</w:t>
      </w:r>
      <w:r w:rsidRPr="00412A9C">
        <w:rPr>
          <w:szCs w:val="22"/>
        </w:rPr>
        <w:t>（大正</w:t>
      </w:r>
      <w:r w:rsidRPr="00761EF3">
        <w:rPr>
          <w:szCs w:val="22"/>
        </w:rPr>
        <w:t>16</w:t>
      </w:r>
      <w:r w:rsidRPr="00412A9C">
        <w:rPr>
          <w:szCs w:val="22"/>
        </w:rPr>
        <w:t>，</w:t>
      </w:r>
      <w:r w:rsidRPr="00761EF3">
        <w:rPr>
          <w:szCs w:val="22"/>
        </w:rPr>
        <w:t>694a13</w:t>
      </w:r>
      <w:r w:rsidRPr="00412A9C">
        <w:rPr>
          <w:szCs w:val="22"/>
        </w:rPr>
        <w:t>-</w:t>
      </w:r>
      <w:r w:rsidRPr="00761EF3">
        <w:rPr>
          <w:szCs w:val="22"/>
        </w:rPr>
        <w:t>15</w:t>
      </w:r>
      <w:r w:rsidRPr="00412A9C">
        <w:rPr>
          <w:szCs w:val="22"/>
        </w:rPr>
        <w:t>）：「</w:t>
      </w:r>
      <w:r w:rsidRPr="00412A9C">
        <w:rPr>
          <w:rFonts w:eastAsia="標楷體"/>
          <w:szCs w:val="22"/>
        </w:rPr>
        <w:t>勝義生</w:t>
      </w:r>
      <w:r w:rsidRPr="00412A9C">
        <w:rPr>
          <w:rFonts w:eastAsia="標楷體" w:hint="eastAsia"/>
          <w:szCs w:val="22"/>
        </w:rPr>
        <w:t>！</w:t>
      </w:r>
      <w:r w:rsidRPr="00412A9C">
        <w:rPr>
          <w:rFonts w:eastAsia="標楷體"/>
          <w:szCs w:val="22"/>
        </w:rPr>
        <w:t>當知我依三種無自性</w:t>
      </w:r>
      <w:r w:rsidRPr="005E4F0B">
        <w:rPr>
          <w:rFonts w:eastAsia="標楷體"/>
          <w:szCs w:val="22"/>
          <w:highlight w:val="yellow"/>
        </w:rPr>
        <w:t>性密</w:t>
      </w:r>
      <w:r w:rsidRPr="00412A9C">
        <w:rPr>
          <w:rFonts w:eastAsia="標楷體"/>
          <w:szCs w:val="22"/>
        </w:rPr>
        <w:t>意說言</w:t>
      </w:r>
      <w:r w:rsidR="005E4F0B">
        <w:rPr>
          <w:rFonts w:ascii="標楷體" w:eastAsia="標楷體" w:hAnsi="標楷體" w:hint="eastAsia"/>
          <w:color w:val="FF0000"/>
          <w:kern w:val="0"/>
          <w:highlight w:val="yellow"/>
        </w:rPr>
        <w:t>『</w:t>
      </w:r>
      <w:r w:rsidRPr="00412A9C">
        <w:rPr>
          <w:rFonts w:eastAsia="標楷體"/>
          <w:szCs w:val="22"/>
        </w:rPr>
        <w:t>一切諸法皆無自性</w:t>
      </w:r>
      <w:r w:rsidR="005E4F0B">
        <w:rPr>
          <w:rFonts w:ascii="標楷體" w:eastAsia="標楷體" w:hAnsi="標楷體" w:hint="eastAsia"/>
          <w:color w:val="FF0000"/>
          <w:kern w:val="0"/>
          <w:highlight w:val="yellow"/>
        </w:rPr>
        <w:t>』</w:t>
      </w:r>
      <w:r w:rsidRPr="00412A9C">
        <w:rPr>
          <w:rFonts w:eastAsia="標楷體"/>
          <w:szCs w:val="22"/>
        </w:rPr>
        <w:t>，所謂</w:t>
      </w:r>
      <w:r w:rsidR="005E4F0B">
        <w:rPr>
          <w:rFonts w:ascii="標楷體" w:eastAsia="標楷體" w:hAnsi="標楷體" w:hint="eastAsia"/>
          <w:color w:val="FF0000"/>
          <w:kern w:val="0"/>
          <w:highlight w:val="yellow"/>
        </w:rPr>
        <w:t>『</w:t>
      </w:r>
      <w:r w:rsidRPr="00412A9C">
        <w:rPr>
          <w:rFonts w:eastAsia="標楷體"/>
          <w:szCs w:val="22"/>
        </w:rPr>
        <w:t>相無自性性</w:t>
      </w:r>
      <w:r w:rsidR="005E4F0B">
        <w:rPr>
          <w:rFonts w:ascii="標楷體" w:eastAsia="標楷體" w:hAnsi="標楷體" w:hint="eastAsia"/>
          <w:color w:val="FF0000"/>
          <w:kern w:val="0"/>
          <w:highlight w:val="yellow"/>
        </w:rPr>
        <w:t>』</w:t>
      </w:r>
      <w:r w:rsidRPr="00412A9C">
        <w:rPr>
          <w:rFonts w:eastAsia="標楷體"/>
          <w:szCs w:val="22"/>
        </w:rPr>
        <w:t>、</w:t>
      </w:r>
      <w:r w:rsidR="005E4F0B">
        <w:rPr>
          <w:rFonts w:ascii="標楷體" w:eastAsia="標楷體" w:hAnsi="標楷體" w:hint="eastAsia"/>
          <w:color w:val="FF0000"/>
          <w:kern w:val="0"/>
          <w:highlight w:val="yellow"/>
        </w:rPr>
        <w:t>『</w:t>
      </w:r>
      <w:r w:rsidRPr="00412A9C">
        <w:rPr>
          <w:rFonts w:eastAsia="標楷體"/>
          <w:szCs w:val="22"/>
        </w:rPr>
        <w:t>生無自性性</w:t>
      </w:r>
      <w:r w:rsidR="005E4F0B">
        <w:rPr>
          <w:rFonts w:ascii="標楷體" w:eastAsia="標楷體" w:hAnsi="標楷體" w:hint="eastAsia"/>
          <w:color w:val="FF0000"/>
          <w:kern w:val="0"/>
          <w:highlight w:val="yellow"/>
        </w:rPr>
        <w:t>』</w:t>
      </w:r>
      <w:r w:rsidRPr="00412A9C">
        <w:rPr>
          <w:rFonts w:eastAsia="標楷體"/>
          <w:szCs w:val="22"/>
        </w:rPr>
        <w:t>、</w:t>
      </w:r>
      <w:r w:rsidR="005E4F0B">
        <w:rPr>
          <w:rFonts w:ascii="標楷體" w:eastAsia="標楷體" w:hAnsi="標楷體" w:hint="eastAsia"/>
          <w:color w:val="FF0000"/>
          <w:kern w:val="0"/>
          <w:highlight w:val="yellow"/>
        </w:rPr>
        <w:t>『</w:t>
      </w:r>
      <w:r w:rsidRPr="00412A9C">
        <w:rPr>
          <w:rFonts w:eastAsia="標楷體"/>
          <w:szCs w:val="22"/>
        </w:rPr>
        <w:t>勝義無自性性</w:t>
      </w:r>
      <w:r w:rsidR="005E4F0B">
        <w:rPr>
          <w:rFonts w:ascii="標楷體" w:eastAsia="標楷體" w:hAnsi="標楷體" w:hint="eastAsia"/>
          <w:color w:val="FF0000"/>
          <w:kern w:val="0"/>
          <w:highlight w:val="yellow"/>
        </w:rPr>
        <w:t>』</w:t>
      </w:r>
      <w:r w:rsidRPr="00412A9C">
        <w:rPr>
          <w:rFonts w:eastAsia="標楷體"/>
          <w:szCs w:val="22"/>
        </w:rPr>
        <w:t>。</w:t>
      </w:r>
      <w:r w:rsidRPr="00412A9C">
        <w:rPr>
          <w:szCs w:val="22"/>
        </w:rPr>
        <w:t>」</w:t>
      </w:r>
    </w:p>
    <w:p w:rsidR="00157EF6" w:rsidRPr="00412A9C" w:rsidRDefault="00157EF6" w:rsidP="00AA120F">
      <w:pPr>
        <w:pStyle w:val="a5"/>
        <w:ind w:leftChars="80" w:left="731" w:hangingChars="245" w:hanging="539"/>
        <w:jc w:val="both"/>
        <w:rPr>
          <w:szCs w:val="22"/>
        </w:rPr>
      </w:pPr>
      <w:r w:rsidRPr="00412A9C">
        <w:rPr>
          <w:szCs w:val="22"/>
        </w:rPr>
        <w:t>（</w:t>
      </w:r>
      <w:r w:rsidRPr="00761EF3">
        <w:rPr>
          <w:szCs w:val="22"/>
        </w:rPr>
        <w:t>2</w:t>
      </w:r>
      <w:r w:rsidRPr="00412A9C">
        <w:rPr>
          <w:szCs w:val="22"/>
        </w:rPr>
        <w:t>）印順法師</w:t>
      </w:r>
      <w:r w:rsidRPr="00412A9C">
        <w:rPr>
          <w:rFonts w:hint="eastAsia"/>
          <w:szCs w:val="22"/>
        </w:rPr>
        <w:t>，</w:t>
      </w:r>
      <w:r w:rsidRPr="00412A9C">
        <w:rPr>
          <w:szCs w:val="22"/>
        </w:rPr>
        <w:t>《印度佛教思想史》</w:t>
      </w:r>
      <w:r w:rsidRPr="00412A9C">
        <w:rPr>
          <w:rFonts w:hint="eastAsia"/>
          <w:szCs w:val="22"/>
        </w:rPr>
        <w:t>，</w:t>
      </w:r>
      <w:r w:rsidRPr="00761EF3">
        <w:rPr>
          <w:szCs w:val="22"/>
        </w:rPr>
        <w:t>p</w:t>
      </w:r>
      <w:r w:rsidRPr="00412A9C">
        <w:rPr>
          <w:szCs w:val="22"/>
        </w:rPr>
        <w:t>.</w:t>
      </w:r>
      <w:r w:rsidRPr="00761EF3">
        <w:rPr>
          <w:szCs w:val="22"/>
        </w:rPr>
        <w:t>254</w:t>
      </w:r>
      <w:r w:rsidRPr="00412A9C">
        <w:rPr>
          <w:szCs w:val="22"/>
        </w:rPr>
        <w:t>：</w:t>
      </w:r>
    </w:p>
    <w:p w:rsidR="00157EF6" w:rsidRPr="00412A9C" w:rsidRDefault="00157EF6" w:rsidP="00AA120F">
      <w:pPr>
        <w:pStyle w:val="a5"/>
        <w:ind w:leftChars="305" w:left="732"/>
        <w:jc w:val="both"/>
        <w:rPr>
          <w:rFonts w:eastAsia="標楷體"/>
          <w:szCs w:val="22"/>
        </w:rPr>
      </w:pPr>
      <w:r w:rsidRPr="00412A9C">
        <w:rPr>
          <w:rFonts w:eastAsia="標楷體"/>
          <w:szCs w:val="22"/>
        </w:rPr>
        <w:t>三無自性性，是依三相而立的。</w:t>
      </w:r>
      <w:r w:rsidRPr="00412A9C">
        <w:rPr>
          <w:rFonts w:eastAsia="標楷體"/>
          <w:b/>
          <w:szCs w:val="22"/>
        </w:rPr>
        <w:t>一、相無自性性</w:t>
      </w:r>
      <w:r w:rsidRPr="00412A9C">
        <w:rPr>
          <w:rFonts w:eastAsia="標楷體"/>
          <w:szCs w:val="22"/>
        </w:rPr>
        <w:t>，依遍計所執相說：因遍計所執是「假名安立」，而不是「自相安立」的，</w:t>
      </w:r>
      <w:r w:rsidRPr="00412A9C">
        <w:rPr>
          <w:rFonts w:eastAsia="標楷體"/>
          <w:b/>
          <w:szCs w:val="22"/>
        </w:rPr>
        <w:t>二、生無自性性</w:t>
      </w:r>
      <w:r w:rsidRPr="00412A9C">
        <w:rPr>
          <w:rFonts w:eastAsia="標楷體"/>
          <w:szCs w:val="22"/>
        </w:rPr>
        <w:t>，依依他起相說：依他起相是依因緣而生，不是自然生的。</w:t>
      </w:r>
      <w:r w:rsidRPr="00412A9C">
        <w:rPr>
          <w:rFonts w:eastAsia="標楷體"/>
          <w:b/>
          <w:szCs w:val="22"/>
        </w:rPr>
        <w:t>三、勝義無自性性</w:t>
      </w:r>
      <w:r w:rsidRPr="00412A9C">
        <w:rPr>
          <w:rFonts w:eastAsia="標楷體"/>
          <w:szCs w:val="22"/>
        </w:rPr>
        <w:t>，通於依他起與圓成實相。勝義，是清淨所緣境界</w:t>
      </w:r>
      <w:r w:rsidRPr="00412A9C">
        <w:rPr>
          <w:rFonts w:ascii="新細明體" w:hAnsi="新細明體"/>
          <w:szCs w:val="22"/>
        </w:rPr>
        <w:t>──</w:t>
      </w:r>
      <w:r w:rsidRPr="00412A9C">
        <w:rPr>
          <w:rFonts w:eastAsia="標楷體"/>
          <w:szCs w:val="22"/>
        </w:rPr>
        <w:t>法無我性；在清淨所緣境中，沒有依他起相，所以依他起相是勝義無自性性。圓成實相是勝義，也可以名為勝義無自性性，如說：「是一切法勝義諦故，無（遍計所執）自性性之所顯故。」這就是空性，瑜伽學者解說為「空所顯性」。</w:t>
      </w:r>
    </w:p>
    <w:p w:rsidR="00157EF6" w:rsidRPr="00412A9C" w:rsidRDefault="00157EF6" w:rsidP="00AA120F">
      <w:pPr>
        <w:pStyle w:val="a5"/>
        <w:ind w:leftChars="305" w:left="732"/>
        <w:jc w:val="both"/>
        <w:rPr>
          <w:rFonts w:eastAsia="標楷體"/>
          <w:szCs w:val="22"/>
        </w:rPr>
      </w:pPr>
      <w:r w:rsidRPr="00412A9C">
        <w:rPr>
          <w:rFonts w:eastAsia="標楷體"/>
          <w:szCs w:val="22"/>
        </w:rPr>
        <w:t>這樣，大乘經所說的「一切諸法皆無自性」，不是說一切都沒有自性。</w:t>
      </w:r>
      <w:r w:rsidRPr="00412A9C">
        <w:rPr>
          <w:rFonts w:eastAsia="標楷體"/>
          <w:b/>
          <w:szCs w:val="22"/>
        </w:rPr>
        <w:t>圓成實相是勝義有的；依他起相是世俗因果雜染法，也不能說沒有自性的。真正無自性（也就是空）的，是於一切法所起的遍計所執相。</w:t>
      </w:r>
      <w:r w:rsidRPr="00412A9C">
        <w:rPr>
          <w:rFonts w:eastAsia="標楷體"/>
          <w:szCs w:val="22"/>
        </w:rPr>
        <w:t>以上，依《解深密經》的〈一切法相品〉</w:t>
      </w:r>
      <w:r w:rsidRPr="00412A9C">
        <w:rPr>
          <w:rFonts w:eastAsia="標楷體" w:hint="eastAsia"/>
          <w:szCs w:val="22"/>
        </w:rPr>
        <w:t>、</w:t>
      </w:r>
      <w:r w:rsidRPr="00412A9C">
        <w:rPr>
          <w:rFonts w:eastAsia="標楷體"/>
          <w:szCs w:val="22"/>
        </w:rPr>
        <w:t>〈無自性相品〉說。</w:t>
      </w:r>
    </w:p>
  </w:footnote>
  <w:footnote w:id="958">
    <w:p w:rsidR="00157EF6" w:rsidRPr="00412A9C" w:rsidRDefault="00157EF6" w:rsidP="00AA120F">
      <w:pPr>
        <w:pStyle w:val="a5"/>
        <w:ind w:left="187" w:hangingChars="85" w:hanging="187"/>
        <w:jc w:val="both"/>
        <w:rPr>
          <w:rFonts w:eastAsia="SimSun"/>
          <w:szCs w:val="22"/>
        </w:rPr>
      </w:pPr>
      <w:r w:rsidRPr="00412A9C">
        <w:rPr>
          <w:rStyle w:val="a6"/>
          <w:szCs w:val="22"/>
        </w:rPr>
        <w:footnoteRef/>
      </w:r>
      <w:r w:rsidRPr="00412A9C">
        <w:rPr>
          <w:szCs w:val="22"/>
        </w:rPr>
        <w:t xml:space="preserve"> </w:t>
      </w:r>
      <w:r w:rsidRPr="00412A9C">
        <w:rPr>
          <w:szCs w:val="22"/>
        </w:rPr>
        <w:t>擬：</w:t>
      </w:r>
      <w:r w:rsidRPr="00761EF3">
        <w:rPr>
          <w:rFonts w:hint="eastAsia"/>
          <w:szCs w:val="22"/>
        </w:rPr>
        <w:t>7</w:t>
      </w:r>
      <w:r w:rsidRPr="00412A9C">
        <w:rPr>
          <w:rFonts w:hint="eastAsia"/>
          <w:szCs w:val="22"/>
        </w:rPr>
        <w:t>.</w:t>
      </w:r>
      <w:r w:rsidRPr="000550C6">
        <w:rPr>
          <w:rFonts w:hint="eastAsia"/>
          <w:szCs w:val="22"/>
        </w:rPr>
        <w:t>撰寫</w:t>
      </w:r>
      <w:r w:rsidRPr="00412A9C">
        <w:rPr>
          <w:rFonts w:hint="eastAsia"/>
          <w:szCs w:val="22"/>
        </w:rPr>
        <w:t>。</w:t>
      </w:r>
      <w:r w:rsidRPr="00412A9C">
        <w:rPr>
          <w:szCs w:val="22"/>
        </w:rPr>
        <w:t>（《漢語大詞典》（六）</w:t>
      </w:r>
      <w:r w:rsidRPr="00412A9C">
        <w:rPr>
          <w:rFonts w:hint="eastAsia"/>
          <w:szCs w:val="22"/>
        </w:rPr>
        <w:t>，</w:t>
      </w:r>
      <w:r w:rsidRPr="00761EF3">
        <w:rPr>
          <w:szCs w:val="22"/>
        </w:rPr>
        <w:t>p</w:t>
      </w:r>
      <w:r w:rsidRPr="00412A9C">
        <w:rPr>
          <w:szCs w:val="22"/>
        </w:rPr>
        <w:t>.</w:t>
      </w:r>
      <w:r w:rsidRPr="00761EF3">
        <w:rPr>
          <w:szCs w:val="22"/>
        </w:rPr>
        <w:t>936</w:t>
      </w:r>
      <w:r w:rsidRPr="00412A9C">
        <w:rPr>
          <w:szCs w:val="22"/>
        </w:rPr>
        <w:t>）</w:t>
      </w:r>
    </w:p>
  </w:footnote>
  <w:footnote w:id="959">
    <w:p w:rsidR="00157EF6" w:rsidRPr="00412A9C" w:rsidRDefault="00157EF6" w:rsidP="00AA120F">
      <w:pPr>
        <w:pStyle w:val="a5"/>
        <w:ind w:left="187" w:hangingChars="85" w:hanging="187"/>
        <w:jc w:val="both"/>
        <w:rPr>
          <w:rFonts w:eastAsia="SimSun"/>
          <w:szCs w:val="22"/>
        </w:rPr>
      </w:pPr>
      <w:r w:rsidRPr="00412A9C">
        <w:rPr>
          <w:rStyle w:val="a6"/>
          <w:szCs w:val="22"/>
        </w:rPr>
        <w:footnoteRef/>
      </w:r>
      <w:r w:rsidRPr="00412A9C">
        <w:rPr>
          <w:rFonts w:eastAsia="SimSun"/>
          <w:szCs w:val="22"/>
        </w:rPr>
        <w:t xml:space="preserve"> </w:t>
      </w:r>
      <w:r w:rsidRPr="00412A9C">
        <w:rPr>
          <w:szCs w:val="22"/>
        </w:rPr>
        <w:t>卒：</w:t>
      </w:r>
      <w:r w:rsidRPr="00761EF3">
        <w:rPr>
          <w:szCs w:val="22"/>
        </w:rPr>
        <w:t>2</w:t>
      </w:r>
      <w:r w:rsidRPr="00412A9C">
        <w:rPr>
          <w:szCs w:val="22"/>
        </w:rPr>
        <w:t>.</w:t>
      </w:r>
      <w:r w:rsidRPr="000550C6">
        <w:rPr>
          <w:szCs w:val="22"/>
        </w:rPr>
        <w:t>末尾</w:t>
      </w:r>
      <w:r w:rsidRPr="00412A9C">
        <w:rPr>
          <w:szCs w:val="22"/>
        </w:rPr>
        <w:t>，結局。</w:t>
      </w:r>
      <w:r w:rsidRPr="00761EF3">
        <w:rPr>
          <w:szCs w:val="22"/>
        </w:rPr>
        <w:t>3</w:t>
      </w:r>
      <w:r w:rsidRPr="00412A9C">
        <w:rPr>
          <w:szCs w:val="22"/>
        </w:rPr>
        <w:t>.</w:t>
      </w:r>
      <w:r w:rsidRPr="00412A9C">
        <w:rPr>
          <w:szCs w:val="22"/>
        </w:rPr>
        <w:t>終於，最後。（《漢語大詞典》（</w:t>
      </w:r>
      <w:r w:rsidRPr="00412A9C">
        <w:rPr>
          <w:rFonts w:eastAsia="SimSun"/>
          <w:szCs w:val="22"/>
        </w:rPr>
        <w:t>一</w:t>
      </w:r>
      <w:r w:rsidRPr="00412A9C">
        <w:rPr>
          <w:szCs w:val="22"/>
        </w:rPr>
        <w:t>）</w:t>
      </w:r>
      <w:r w:rsidRPr="00412A9C">
        <w:rPr>
          <w:rFonts w:hint="eastAsia"/>
          <w:szCs w:val="22"/>
        </w:rPr>
        <w:t>，</w:t>
      </w:r>
      <w:r w:rsidRPr="00761EF3">
        <w:rPr>
          <w:szCs w:val="22"/>
        </w:rPr>
        <w:t>p</w:t>
      </w:r>
      <w:r w:rsidRPr="00412A9C">
        <w:rPr>
          <w:szCs w:val="22"/>
        </w:rPr>
        <w:t>.</w:t>
      </w:r>
      <w:r w:rsidRPr="00761EF3">
        <w:rPr>
          <w:rFonts w:eastAsia="SimSun"/>
          <w:szCs w:val="22"/>
        </w:rPr>
        <w:t>876</w:t>
      </w:r>
      <w:r w:rsidRPr="00412A9C">
        <w:rPr>
          <w:szCs w:val="22"/>
        </w:rPr>
        <w:t>）</w:t>
      </w:r>
    </w:p>
  </w:footnote>
  <w:footnote w:id="960">
    <w:p w:rsidR="00157EF6" w:rsidRPr="00412A9C" w:rsidRDefault="00157EF6" w:rsidP="00AA120F">
      <w:pPr>
        <w:pStyle w:val="a5"/>
        <w:ind w:left="187" w:hangingChars="85" w:hanging="187"/>
        <w:jc w:val="both"/>
        <w:rPr>
          <w:szCs w:val="22"/>
        </w:rPr>
      </w:pPr>
      <w:r w:rsidRPr="00412A9C">
        <w:rPr>
          <w:rStyle w:val="a6"/>
          <w:szCs w:val="22"/>
        </w:rPr>
        <w:footnoteRef/>
      </w:r>
      <w:r w:rsidRPr="00412A9C">
        <w:rPr>
          <w:szCs w:val="22"/>
        </w:rPr>
        <w:t xml:space="preserve"> </w:t>
      </w:r>
      <w:r w:rsidRPr="00412A9C">
        <w:rPr>
          <w:szCs w:val="22"/>
        </w:rPr>
        <w:t>僧叡</w:t>
      </w:r>
      <w:r w:rsidRPr="00412A9C">
        <w:rPr>
          <w:rFonts w:hint="eastAsia"/>
          <w:szCs w:val="22"/>
        </w:rPr>
        <w:t>，</w:t>
      </w:r>
      <w:r w:rsidRPr="00412A9C">
        <w:rPr>
          <w:szCs w:val="22"/>
        </w:rPr>
        <w:t>《摩訶般若波羅蜜經釋論序》（大正</w:t>
      </w:r>
      <w:r w:rsidRPr="00761EF3">
        <w:rPr>
          <w:szCs w:val="22"/>
        </w:rPr>
        <w:t>25</w:t>
      </w:r>
      <w:r w:rsidRPr="00412A9C">
        <w:rPr>
          <w:szCs w:val="22"/>
        </w:rPr>
        <w:t>，</w:t>
      </w:r>
      <w:r w:rsidRPr="00761EF3">
        <w:rPr>
          <w:szCs w:val="22"/>
        </w:rPr>
        <w:t>57a20</w:t>
      </w:r>
      <w:r w:rsidRPr="00412A9C">
        <w:rPr>
          <w:szCs w:val="22"/>
        </w:rPr>
        <w:t>-</w:t>
      </w:r>
      <w:r w:rsidRPr="00761EF3">
        <w:rPr>
          <w:szCs w:val="22"/>
        </w:rPr>
        <w:t>22</w:t>
      </w:r>
      <w:r w:rsidRPr="00412A9C">
        <w:rPr>
          <w:szCs w:val="22"/>
        </w:rPr>
        <w:t>）：</w:t>
      </w:r>
    </w:p>
    <w:p w:rsidR="00157EF6" w:rsidRPr="00412A9C" w:rsidRDefault="00157EF6" w:rsidP="00AA120F">
      <w:pPr>
        <w:pStyle w:val="a5"/>
        <w:ind w:leftChars="75" w:left="180"/>
        <w:jc w:val="both"/>
        <w:rPr>
          <w:szCs w:val="22"/>
        </w:rPr>
      </w:pPr>
      <w:r w:rsidRPr="00412A9C">
        <w:rPr>
          <w:rFonts w:eastAsia="標楷體"/>
          <w:szCs w:val="22"/>
        </w:rPr>
        <w:t>其為論也，初辭擬之，必標</w:t>
      </w:r>
      <w:r w:rsidR="005E4F0B">
        <w:rPr>
          <w:rFonts w:ascii="標楷體" w:eastAsia="標楷體" w:hAnsi="標楷體" w:hint="eastAsia"/>
          <w:bCs/>
          <w:color w:val="FF0000"/>
          <w:kern w:val="0"/>
          <w:highlight w:val="yellow"/>
        </w:rPr>
        <w:t>「</w:t>
      </w:r>
      <w:r w:rsidRPr="00412A9C">
        <w:rPr>
          <w:rFonts w:eastAsia="標楷體"/>
          <w:szCs w:val="22"/>
        </w:rPr>
        <w:t>眾異</w:t>
      </w:r>
      <w:r w:rsidR="005E4F0B">
        <w:rPr>
          <w:rFonts w:ascii="標楷體" w:eastAsia="標楷體" w:hAnsi="標楷體" w:hint="eastAsia"/>
          <w:bCs/>
          <w:color w:val="FF0000"/>
          <w:kern w:val="0"/>
          <w:highlight w:val="yellow"/>
        </w:rPr>
        <w:t>」</w:t>
      </w:r>
      <w:r w:rsidRPr="00412A9C">
        <w:rPr>
          <w:rFonts w:eastAsia="標楷體"/>
          <w:szCs w:val="22"/>
        </w:rPr>
        <w:t>以盡美；卒成之終，則舉</w:t>
      </w:r>
      <w:r w:rsidR="005E4F0B">
        <w:rPr>
          <w:rFonts w:ascii="標楷體" w:eastAsia="標楷體" w:hAnsi="標楷體" w:hint="eastAsia"/>
          <w:bCs/>
          <w:color w:val="FF0000"/>
          <w:kern w:val="0"/>
          <w:highlight w:val="yellow"/>
        </w:rPr>
        <w:t>「</w:t>
      </w:r>
      <w:r w:rsidRPr="00412A9C">
        <w:rPr>
          <w:rFonts w:eastAsia="標楷體"/>
          <w:szCs w:val="22"/>
        </w:rPr>
        <w:t>無執</w:t>
      </w:r>
      <w:r w:rsidR="005E4F0B">
        <w:rPr>
          <w:rFonts w:ascii="標楷體" w:eastAsia="標楷體" w:hAnsi="標楷體" w:hint="eastAsia"/>
          <w:bCs/>
          <w:color w:val="FF0000"/>
          <w:kern w:val="0"/>
          <w:highlight w:val="yellow"/>
        </w:rPr>
        <w:t>」</w:t>
      </w:r>
      <w:r w:rsidRPr="00412A9C">
        <w:rPr>
          <w:rFonts w:eastAsia="標楷體"/>
          <w:szCs w:val="22"/>
        </w:rPr>
        <w:t>以盡善。</w:t>
      </w:r>
    </w:p>
  </w:footnote>
  <w:footnote w:id="961">
    <w:p w:rsidR="00157EF6" w:rsidRPr="00412A9C" w:rsidRDefault="00157EF6" w:rsidP="00AA120F">
      <w:pPr>
        <w:pStyle w:val="a5"/>
        <w:ind w:left="187" w:hangingChars="85" w:hanging="187"/>
        <w:jc w:val="both"/>
        <w:rPr>
          <w:szCs w:val="22"/>
        </w:rPr>
      </w:pPr>
      <w:r w:rsidRPr="00412A9C">
        <w:rPr>
          <w:rStyle w:val="a6"/>
          <w:szCs w:val="22"/>
        </w:rPr>
        <w:footnoteRef/>
      </w:r>
      <w:r w:rsidRPr="00412A9C">
        <w:rPr>
          <w:szCs w:val="22"/>
        </w:rPr>
        <w:t xml:space="preserve"> </w:t>
      </w:r>
      <w:r w:rsidRPr="00412A9C">
        <w:rPr>
          <w:rFonts w:hint="eastAsia"/>
          <w:szCs w:val="22"/>
        </w:rPr>
        <w:t>案：</w:t>
      </w:r>
      <w:r w:rsidRPr="00412A9C">
        <w:rPr>
          <w:szCs w:val="22"/>
        </w:rPr>
        <w:t>興皇</w:t>
      </w:r>
      <w:r w:rsidRPr="00412A9C">
        <w:rPr>
          <w:rFonts w:hint="eastAsia"/>
          <w:szCs w:val="22"/>
        </w:rPr>
        <w:t>即</w:t>
      </w:r>
      <w:r w:rsidRPr="00412A9C">
        <w:rPr>
          <w:szCs w:val="22"/>
        </w:rPr>
        <w:t>法朗（</w:t>
      </w:r>
      <w:r w:rsidRPr="00761EF3">
        <w:rPr>
          <w:szCs w:val="22"/>
        </w:rPr>
        <w:t>507</w:t>
      </w:r>
      <w:r w:rsidRPr="00412A9C">
        <w:rPr>
          <w:szCs w:val="22"/>
        </w:rPr>
        <w:t>-</w:t>
      </w:r>
      <w:r w:rsidRPr="00761EF3">
        <w:rPr>
          <w:szCs w:val="22"/>
        </w:rPr>
        <w:t>581</w:t>
      </w:r>
      <w:r w:rsidRPr="00412A9C">
        <w:rPr>
          <w:szCs w:val="22"/>
        </w:rPr>
        <w:t>）</w:t>
      </w:r>
      <w:r w:rsidRPr="00412A9C">
        <w:rPr>
          <w:rFonts w:hint="eastAsia"/>
          <w:szCs w:val="22"/>
        </w:rPr>
        <w:t>，</w:t>
      </w:r>
      <w:r w:rsidRPr="00412A9C">
        <w:rPr>
          <w:szCs w:val="22"/>
        </w:rPr>
        <w:t>南朝三論宗僧</w:t>
      </w:r>
      <w:r w:rsidRPr="00412A9C">
        <w:rPr>
          <w:rFonts w:hint="eastAsia"/>
          <w:szCs w:val="22"/>
        </w:rPr>
        <w:t>，</w:t>
      </w:r>
      <w:r w:rsidRPr="00412A9C">
        <w:rPr>
          <w:szCs w:val="22"/>
        </w:rPr>
        <w:t>世稱「興皇法朗」。</w:t>
      </w:r>
    </w:p>
  </w:footnote>
  <w:footnote w:id="962">
    <w:p w:rsidR="00157EF6" w:rsidRPr="00412A9C" w:rsidRDefault="00157EF6" w:rsidP="00AA120F">
      <w:pPr>
        <w:pStyle w:val="a5"/>
        <w:ind w:left="187" w:hangingChars="85" w:hanging="187"/>
        <w:jc w:val="both"/>
        <w:rPr>
          <w:szCs w:val="22"/>
        </w:rPr>
      </w:pPr>
      <w:r w:rsidRPr="00412A9C">
        <w:rPr>
          <w:rStyle w:val="a6"/>
          <w:szCs w:val="22"/>
        </w:rPr>
        <w:footnoteRef/>
      </w:r>
      <w:r w:rsidRPr="00412A9C">
        <w:rPr>
          <w:szCs w:val="22"/>
        </w:rPr>
        <w:t xml:space="preserve"> </w:t>
      </w:r>
      <w:r w:rsidRPr="00412A9C">
        <w:rPr>
          <w:rFonts w:hint="eastAsia"/>
          <w:szCs w:val="22"/>
        </w:rPr>
        <w:t>括：</w:t>
      </w:r>
      <w:r w:rsidRPr="00761EF3">
        <w:rPr>
          <w:rFonts w:hint="eastAsia"/>
          <w:szCs w:val="22"/>
        </w:rPr>
        <w:t>4</w:t>
      </w:r>
      <w:r w:rsidRPr="00412A9C">
        <w:rPr>
          <w:rFonts w:hint="eastAsia"/>
          <w:szCs w:val="22"/>
        </w:rPr>
        <w:t>.</w:t>
      </w:r>
      <w:r w:rsidRPr="00412A9C">
        <w:rPr>
          <w:rFonts w:hint="eastAsia"/>
          <w:szCs w:val="22"/>
        </w:rPr>
        <w:t>包容，包括。</w:t>
      </w:r>
      <w:r w:rsidRPr="00412A9C">
        <w:rPr>
          <w:szCs w:val="22"/>
        </w:rPr>
        <w:t>（《漢語大詞典》（</w:t>
      </w:r>
      <w:r w:rsidRPr="00412A9C">
        <w:rPr>
          <w:rFonts w:hint="eastAsia"/>
          <w:szCs w:val="22"/>
        </w:rPr>
        <w:t>六</w:t>
      </w:r>
      <w:r w:rsidRPr="00412A9C">
        <w:rPr>
          <w:szCs w:val="22"/>
        </w:rPr>
        <w:t>）</w:t>
      </w:r>
      <w:r w:rsidRPr="00412A9C">
        <w:rPr>
          <w:rFonts w:hint="eastAsia"/>
          <w:szCs w:val="22"/>
        </w:rPr>
        <w:t>，</w:t>
      </w:r>
      <w:r w:rsidRPr="00761EF3">
        <w:rPr>
          <w:szCs w:val="22"/>
        </w:rPr>
        <w:t>p</w:t>
      </w:r>
      <w:r w:rsidRPr="00412A9C">
        <w:rPr>
          <w:szCs w:val="22"/>
        </w:rPr>
        <w:t>.</w:t>
      </w:r>
      <w:r w:rsidRPr="00761EF3">
        <w:rPr>
          <w:rFonts w:hint="eastAsia"/>
          <w:szCs w:val="22"/>
        </w:rPr>
        <w:t>562</w:t>
      </w:r>
      <w:r w:rsidRPr="00412A9C">
        <w:rPr>
          <w:szCs w:val="22"/>
        </w:rPr>
        <w:t>）</w:t>
      </w:r>
    </w:p>
  </w:footnote>
  <w:footnote w:id="963">
    <w:p w:rsidR="00157EF6" w:rsidRPr="00412A9C" w:rsidRDefault="00157EF6" w:rsidP="00AA120F">
      <w:pPr>
        <w:pStyle w:val="a5"/>
        <w:ind w:left="187" w:hangingChars="85" w:hanging="187"/>
        <w:jc w:val="both"/>
        <w:rPr>
          <w:rFonts w:eastAsia="SimSun"/>
          <w:szCs w:val="22"/>
        </w:rPr>
      </w:pPr>
      <w:r w:rsidRPr="00412A9C">
        <w:rPr>
          <w:rStyle w:val="a6"/>
          <w:szCs w:val="22"/>
        </w:rPr>
        <w:footnoteRef/>
      </w:r>
      <w:r w:rsidRPr="00412A9C">
        <w:rPr>
          <w:rFonts w:eastAsia="SimSun"/>
          <w:szCs w:val="22"/>
        </w:rPr>
        <w:t xml:space="preserve"> </w:t>
      </w:r>
      <w:r w:rsidRPr="00412A9C">
        <w:rPr>
          <w:szCs w:val="22"/>
        </w:rPr>
        <w:t>申：</w:t>
      </w:r>
      <w:r w:rsidRPr="00761EF3">
        <w:rPr>
          <w:szCs w:val="22"/>
        </w:rPr>
        <w:t>1</w:t>
      </w:r>
      <w:r w:rsidRPr="00412A9C">
        <w:rPr>
          <w:szCs w:val="22"/>
        </w:rPr>
        <w:t>.</w:t>
      </w:r>
      <w:r w:rsidRPr="000550C6">
        <w:rPr>
          <w:szCs w:val="22"/>
        </w:rPr>
        <w:t>伸張</w:t>
      </w:r>
      <w:r w:rsidRPr="00412A9C">
        <w:rPr>
          <w:szCs w:val="22"/>
        </w:rPr>
        <w:t>。</w:t>
      </w:r>
      <w:r w:rsidRPr="00761EF3">
        <w:rPr>
          <w:szCs w:val="22"/>
        </w:rPr>
        <w:t>4</w:t>
      </w:r>
      <w:r w:rsidRPr="00412A9C">
        <w:rPr>
          <w:rFonts w:eastAsia="SimSun"/>
          <w:szCs w:val="22"/>
        </w:rPr>
        <w:t>.</w:t>
      </w:r>
      <w:r w:rsidRPr="00412A9C">
        <w:rPr>
          <w:szCs w:val="22"/>
        </w:rPr>
        <w:t>表明，表達。（《漢語大詞典》（七），</w:t>
      </w:r>
      <w:r w:rsidRPr="00761EF3">
        <w:rPr>
          <w:szCs w:val="22"/>
        </w:rPr>
        <w:t>p</w:t>
      </w:r>
      <w:r w:rsidRPr="00412A9C">
        <w:rPr>
          <w:szCs w:val="22"/>
        </w:rPr>
        <w:t>.</w:t>
      </w:r>
      <w:r w:rsidRPr="00761EF3">
        <w:rPr>
          <w:szCs w:val="22"/>
        </w:rPr>
        <w:t>1290</w:t>
      </w:r>
      <w:r w:rsidRPr="00412A9C">
        <w:rPr>
          <w:szCs w:val="22"/>
        </w:rPr>
        <w:t>）</w:t>
      </w:r>
    </w:p>
  </w:footnote>
  <w:footnote w:id="964">
    <w:p w:rsidR="00157EF6" w:rsidRPr="00412A9C" w:rsidRDefault="00157EF6" w:rsidP="00AA120F">
      <w:pPr>
        <w:pStyle w:val="a5"/>
        <w:spacing w:line="0" w:lineRule="atLeast"/>
        <w:ind w:left="253" w:hangingChars="115" w:hanging="253"/>
        <w:jc w:val="both"/>
        <w:rPr>
          <w:rFonts w:eastAsia="SimSun"/>
          <w:szCs w:val="22"/>
        </w:rPr>
      </w:pPr>
      <w:r w:rsidRPr="00412A9C">
        <w:rPr>
          <w:rStyle w:val="a6"/>
          <w:szCs w:val="22"/>
        </w:rPr>
        <w:footnoteRef/>
      </w:r>
      <w:r w:rsidRPr="00412A9C">
        <w:rPr>
          <w:rFonts w:eastAsia="SimSun"/>
          <w:szCs w:val="22"/>
        </w:rPr>
        <w:t xml:space="preserve"> </w:t>
      </w:r>
      <w:r w:rsidRPr="00412A9C">
        <w:rPr>
          <w:szCs w:val="22"/>
        </w:rPr>
        <w:t>冰銷：亦作</w:t>
      </w:r>
      <w:r w:rsidRPr="00412A9C">
        <w:rPr>
          <w:szCs w:val="22"/>
        </w:rPr>
        <w:t>“</w:t>
      </w:r>
      <w:r w:rsidRPr="00412A9C">
        <w:rPr>
          <w:szCs w:val="22"/>
        </w:rPr>
        <w:t>冰消</w:t>
      </w:r>
      <w:r w:rsidRPr="00412A9C">
        <w:rPr>
          <w:szCs w:val="22"/>
        </w:rPr>
        <w:t>”</w:t>
      </w:r>
      <w:r w:rsidRPr="00412A9C">
        <w:rPr>
          <w:rFonts w:hint="eastAsia"/>
          <w:szCs w:val="22"/>
        </w:rPr>
        <w:t>。</w:t>
      </w:r>
      <w:r w:rsidRPr="00761EF3">
        <w:rPr>
          <w:szCs w:val="22"/>
        </w:rPr>
        <w:t>2</w:t>
      </w:r>
      <w:r w:rsidRPr="00412A9C">
        <w:rPr>
          <w:rFonts w:eastAsia="SimSun"/>
          <w:szCs w:val="22"/>
        </w:rPr>
        <w:t>.</w:t>
      </w:r>
      <w:r w:rsidRPr="00412A9C">
        <w:rPr>
          <w:szCs w:val="22"/>
        </w:rPr>
        <w:t>比喻事物消釋渙解。（《漢語大詞典》（二）</w:t>
      </w:r>
      <w:r w:rsidRPr="00412A9C">
        <w:rPr>
          <w:rFonts w:hint="eastAsia"/>
          <w:szCs w:val="22"/>
        </w:rPr>
        <w:t>，</w:t>
      </w:r>
      <w:r w:rsidRPr="00761EF3">
        <w:rPr>
          <w:szCs w:val="22"/>
        </w:rPr>
        <w:t>p</w:t>
      </w:r>
      <w:r w:rsidRPr="00412A9C">
        <w:rPr>
          <w:szCs w:val="22"/>
        </w:rPr>
        <w:t>.</w:t>
      </w:r>
      <w:r w:rsidRPr="00761EF3">
        <w:rPr>
          <w:szCs w:val="22"/>
        </w:rPr>
        <w:t>39</w:t>
      </w:r>
      <w:r w:rsidRPr="00761EF3">
        <w:rPr>
          <w:rFonts w:eastAsia="SimSun" w:hint="eastAsia"/>
          <w:szCs w:val="22"/>
        </w:rPr>
        <w:t>9</w:t>
      </w:r>
      <w:r w:rsidRPr="00412A9C">
        <w:rPr>
          <w:szCs w:val="22"/>
        </w:rPr>
        <w:t>）</w:t>
      </w:r>
    </w:p>
  </w:footnote>
  <w:footnote w:id="965">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rFonts w:eastAsia="SimSun"/>
          <w:szCs w:val="22"/>
        </w:rPr>
        <w:t xml:space="preserve"> </w:t>
      </w:r>
      <w:r w:rsidRPr="00412A9C">
        <w:rPr>
          <w:rFonts w:hint="eastAsia"/>
          <w:szCs w:val="22"/>
        </w:rPr>
        <w:t>〔隋〕</w:t>
      </w:r>
      <w:r w:rsidRPr="00412A9C">
        <w:rPr>
          <w:szCs w:val="22"/>
        </w:rPr>
        <w:t>吉藏</w:t>
      </w:r>
      <w:r w:rsidRPr="00412A9C">
        <w:rPr>
          <w:rFonts w:hint="eastAsia"/>
          <w:szCs w:val="22"/>
        </w:rPr>
        <w:t>，</w:t>
      </w:r>
      <w:r w:rsidRPr="00412A9C">
        <w:rPr>
          <w:szCs w:val="22"/>
        </w:rPr>
        <w:t>《法華玄論》卷</w:t>
      </w:r>
      <w:r w:rsidRPr="00761EF3">
        <w:rPr>
          <w:szCs w:val="22"/>
        </w:rPr>
        <w:t>4</w:t>
      </w:r>
      <w:r w:rsidRPr="00412A9C">
        <w:rPr>
          <w:szCs w:val="22"/>
        </w:rPr>
        <w:t>（大正</w:t>
      </w:r>
      <w:r w:rsidRPr="00761EF3">
        <w:rPr>
          <w:szCs w:val="22"/>
        </w:rPr>
        <w:t>34</w:t>
      </w:r>
      <w:r w:rsidRPr="00412A9C">
        <w:rPr>
          <w:szCs w:val="22"/>
        </w:rPr>
        <w:t>，</w:t>
      </w:r>
      <w:r w:rsidRPr="00761EF3">
        <w:rPr>
          <w:szCs w:val="22"/>
        </w:rPr>
        <w:t>391b7</w:t>
      </w:r>
      <w:r w:rsidRPr="00412A9C">
        <w:rPr>
          <w:szCs w:val="22"/>
        </w:rPr>
        <w:t>-</w:t>
      </w:r>
      <w:r w:rsidRPr="00761EF3">
        <w:rPr>
          <w:szCs w:val="22"/>
        </w:rPr>
        <w:t>11</w:t>
      </w:r>
      <w:r w:rsidRPr="00412A9C">
        <w:rPr>
          <w:szCs w:val="22"/>
        </w:rPr>
        <w:t>）：</w:t>
      </w:r>
    </w:p>
    <w:p w:rsidR="00157EF6" w:rsidRPr="00412A9C" w:rsidRDefault="00157EF6" w:rsidP="00AA120F">
      <w:pPr>
        <w:pStyle w:val="a5"/>
        <w:ind w:leftChars="105" w:left="252"/>
        <w:jc w:val="both"/>
        <w:rPr>
          <w:szCs w:val="22"/>
        </w:rPr>
      </w:pPr>
      <w:r w:rsidRPr="00412A9C">
        <w:rPr>
          <w:rFonts w:eastAsia="標楷體"/>
          <w:szCs w:val="22"/>
        </w:rPr>
        <w:t>興皇大師製釋論序云：</w:t>
      </w:r>
      <w:r w:rsidRPr="00412A9C">
        <w:rPr>
          <w:rFonts w:eastAsia="標楷體" w:hint="eastAsia"/>
          <w:szCs w:val="22"/>
        </w:rPr>
        <w:t>「</w:t>
      </w:r>
      <w:r w:rsidRPr="00412A9C">
        <w:rPr>
          <w:rFonts w:eastAsia="標楷體"/>
          <w:szCs w:val="22"/>
        </w:rPr>
        <w:t>領括群妙，申眾家之美，使異執冰銷，同歸一致。以此旨詳之，無執不破，無義不攝</w:t>
      </w:r>
      <w:r w:rsidR="005E4F0B">
        <w:rPr>
          <w:rFonts w:ascii="標楷體" w:eastAsia="標楷體" w:hAnsi="標楷體" w:hint="eastAsia"/>
          <w:color w:val="FF0000"/>
          <w:spacing w:val="-4"/>
          <w:kern w:val="0"/>
          <w:highlight w:val="yellow"/>
        </w:rPr>
        <w:t>；</w:t>
      </w:r>
      <w:r w:rsidRPr="00412A9C">
        <w:rPr>
          <w:rFonts w:eastAsia="標楷體"/>
          <w:szCs w:val="22"/>
        </w:rPr>
        <w:t>巧用無非甘露，拙服皆成毒藥</w:t>
      </w:r>
      <w:r w:rsidR="005E4F0B">
        <w:rPr>
          <w:rFonts w:ascii="標楷體" w:eastAsia="標楷體" w:hAnsi="標楷體" w:hint="eastAsia"/>
          <w:color w:val="FF0000"/>
          <w:kern w:val="0"/>
          <w:highlight w:val="yellow"/>
        </w:rPr>
        <w:t>，</w:t>
      </w:r>
      <w:r w:rsidRPr="00412A9C">
        <w:rPr>
          <w:rFonts w:eastAsia="標楷體"/>
          <w:szCs w:val="22"/>
        </w:rPr>
        <w:t>若專守破斥之言，斯人未體三論意也。</w:t>
      </w:r>
      <w:r w:rsidRPr="005E4F0B">
        <w:rPr>
          <w:rFonts w:ascii="標楷體" w:eastAsia="標楷體" w:hAnsi="標楷體"/>
          <w:szCs w:val="22"/>
        </w:rPr>
        <w:t>」</w:t>
      </w:r>
    </w:p>
  </w:footnote>
  <w:footnote w:id="966">
    <w:p w:rsidR="00157EF6" w:rsidRPr="00412A9C" w:rsidRDefault="00157EF6" w:rsidP="00AA120F">
      <w:pPr>
        <w:pStyle w:val="a5"/>
        <w:spacing w:line="0" w:lineRule="atLeast"/>
        <w:ind w:left="253" w:hangingChars="115" w:hanging="253"/>
        <w:jc w:val="both"/>
        <w:rPr>
          <w:rFonts w:eastAsia="SimSun"/>
          <w:szCs w:val="22"/>
        </w:rPr>
      </w:pPr>
      <w:r w:rsidRPr="00412A9C">
        <w:rPr>
          <w:rStyle w:val="a6"/>
          <w:szCs w:val="22"/>
        </w:rPr>
        <w:footnoteRef/>
      </w:r>
      <w:r w:rsidRPr="00412A9C">
        <w:rPr>
          <w:rFonts w:eastAsia="SimSun"/>
          <w:szCs w:val="22"/>
        </w:rPr>
        <w:t xml:space="preserve"> </w:t>
      </w:r>
      <w:r w:rsidRPr="00412A9C">
        <w:rPr>
          <w:szCs w:val="22"/>
        </w:rPr>
        <w:t>縱：</w:t>
      </w:r>
      <w:r w:rsidRPr="00761EF3">
        <w:rPr>
          <w:rFonts w:hint="eastAsia"/>
          <w:szCs w:val="22"/>
        </w:rPr>
        <w:t>3</w:t>
      </w:r>
      <w:r w:rsidRPr="00412A9C">
        <w:rPr>
          <w:rFonts w:hint="eastAsia"/>
          <w:szCs w:val="22"/>
        </w:rPr>
        <w:t>.</w:t>
      </w:r>
      <w:r w:rsidRPr="00412A9C">
        <w:rPr>
          <w:rFonts w:hint="eastAsia"/>
          <w:szCs w:val="22"/>
        </w:rPr>
        <w:t>放縱</w:t>
      </w:r>
      <w:r w:rsidRPr="00412A9C">
        <w:rPr>
          <w:szCs w:val="22"/>
        </w:rPr>
        <w:t>，</w:t>
      </w:r>
      <w:r w:rsidRPr="00412A9C">
        <w:rPr>
          <w:rFonts w:hint="eastAsia"/>
          <w:szCs w:val="22"/>
        </w:rPr>
        <w:t>聽任。</w:t>
      </w:r>
      <w:r w:rsidRPr="00412A9C">
        <w:rPr>
          <w:szCs w:val="22"/>
        </w:rPr>
        <w:t>（《漢語大詞典》（九）</w:t>
      </w:r>
      <w:r w:rsidRPr="00412A9C">
        <w:rPr>
          <w:rFonts w:hint="eastAsia"/>
          <w:szCs w:val="22"/>
        </w:rPr>
        <w:t>，</w:t>
      </w:r>
      <w:r w:rsidRPr="00761EF3">
        <w:rPr>
          <w:szCs w:val="22"/>
        </w:rPr>
        <w:t>p</w:t>
      </w:r>
      <w:r w:rsidRPr="00412A9C">
        <w:rPr>
          <w:szCs w:val="22"/>
        </w:rPr>
        <w:t>.</w:t>
      </w:r>
      <w:r w:rsidRPr="00761EF3">
        <w:rPr>
          <w:szCs w:val="22"/>
        </w:rPr>
        <w:t>1001</w:t>
      </w:r>
      <w:r w:rsidRPr="00412A9C">
        <w:rPr>
          <w:szCs w:val="22"/>
        </w:rPr>
        <w:t>）</w:t>
      </w:r>
    </w:p>
  </w:footnote>
  <w:footnote w:id="967">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rFonts w:eastAsia="SimSun"/>
          <w:szCs w:val="22"/>
        </w:rPr>
        <w:t xml:space="preserve"> </w:t>
      </w:r>
      <w:r w:rsidRPr="00412A9C">
        <w:rPr>
          <w:szCs w:val="22"/>
        </w:rPr>
        <w:t>奧：</w:t>
      </w:r>
      <w:r w:rsidRPr="00761EF3">
        <w:rPr>
          <w:szCs w:val="22"/>
        </w:rPr>
        <w:t>5</w:t>
      </w:r>
      <w:r w:rsidRPr="00412A9C">
        <w:rPr>
          <w:szCs w:val="22"/>
        </w:rPr>
        <w:t>.</w:t>
      </w:r>
      <w:r w:rsidRPr="00412A9C">
        <w:rPr>
          <w:szCs w:val="22"/>
        </w:rPr>
        <w:t>深。</w:t>
      </w:r>
      <w:r w:rsidRPr="00761EF3">
        <w:rPr>
          <w:rFonts w:hint="eastAsia"/>
          <w:szCs w:val="22"/>
        </w:rPr>
        <w:t>6</w:t>
      </w:r>
      <w:r w:rsidRPr="00412A9C">
        <w:rPr>
          <w:rFonts w:hint="eastAsia"/>
          <w:szCs w:val="22"/>
        </w:rPr>
        <w:t>.</w:t>
      </w:r>
      <w:r w:rsidRPr="00412A9C">
        <w:rPr>
          <w:rFonts w:hint="eastAsia"/>
          <w:szCs w:val="22"/>
        </w:rPr>
        <w:t>奧妙，微妙。</w:t>
      </w:r>
      <w:r w:rsidRPr="00412A9C">
        <w:rPr>
          <w:szCs w:val="22"/>
        </w:rPr>
        <w:t>（《漢語大詞典》（二）</w:t>
      </w:r>
      <w:r w:rsidRPr="00412A9C">
        <w:rPr>
          <w:rFonts w:hint="eastAsia"/>
          <w:szCs w:val="22"/>
        </w:rPr>
        <w:t>，</w:t>
      </w:r>
      <w:r w:rsidRPr="00761EF3">
        <w:rPr>
          <w:szCs w:val="22"/>
        </w:rPr>
        <w:t>p</w:t>
      </w:r>
      <w:r w:rsidRPr="00412A9C">
        <w:rPr>
          <w:szCs w:val="22"/>
        </w:rPr>
        <w:t>.</w:t>
      </w:r>
      <w:r w:rsidRPr="00761EF3">
        <w:rPr>
          <w:szCs w:val="22"/>
        </w:rPr>
        <w:t>1553</w:t>
      </w:r>
      <w:r w:rsidRPr="00412A9C">
        <w:rPr>
          <w:szCs w:val="22"/>
        </w:rPr>
        <w:t>）</w:t>
      </w:r>
    </w:p>
  </w:footnote>
  <w:footnote w:id="968">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sidRPr="009A5A58">
        <w:rPr>
          <w:rFonts w:hint="eastAsia"/>
          <w:szCs w:val="22"/>
        </w:rPr>
        <w:t xml:space="preserve"> </w:t>
      </w:r>
      <w:r w:rsidRPr="00412A9C">
        <w:rPr>
          <w:rFonts w:eastAsia="SimSun"/>
          <w:szCs w:val="22"/>
        </w:rPr>
        <w:t>（</w:t>
      </w:r>
      <w:r w:rsidRPr="00761EF3">
        <w:rPr>
          <w:rFonts w:eastAsia="SimSun"/>
          <w:szCs w:val="22"/>
        </w:rPr>
        <w:t>1</w:t>
      </w:r>
      <w:r w:rsidRPr="00412A9C">
        <w:rPr>
          <w:rFonts w:eastAsia="SimSun"/>
          <w:szCs w:val="22"/>
        </w:rPr>
        <w:t>）</w:t>
      </w:r>
      <w:r w:rsidRPr="00412A9C">
        <w:rPr>
          <w:szCs w:val="22"/>
        </w:rPr>
        <w:t>《摩訶般若波羅蜜經》卷</w:t>
      </w:r>
      <w:r w:rsidRPr="00761EF3">
        <w:rPr>
          <w:szCs w:val="22"/>
        </w:rPr>
        <w:t>26</w:t>
      </w:r>
      <w:r w:rsidRPr="00412A9C">
        <w:rPr>
          <w:szCs w:val="22"/>
        </w:rPr>
        <w:t>〈</w:t>
      </w:r>
      <w:r w:rsidRPr="00761EF3">
        <w:rPr>
          <w:szCs w:val="22"/>
        </w:rPr>
        <w:t>87</w:t>
      </w:r>
      <w:r>
        <w:rPr>
          <w:szCs w:val="22"/>
        </w:rPr>
        <w:t xml:space="preserve"> </w:t>
      </w:r>
      <w:r w:rsidRPr="00412A9C">
        <w:rPr>
          <w:szCs w:val="22"/>
        </w:rPr>
        <w:t>如化品〉（大正</w:t>
      </w:r>
      <w:r w:rsidRPr="00761EF3">
        <w:rPr>
          <w:szCs w:val="22"/>
        </w:rPr>
        <w:t>8</w:t>
      </w:r>
      <w:r w:rsidRPr="00412A9C">
        <w:rPr>
          <w:szCs w:val="22"/>
        </w:rPr>
        <w:t>，</w:t>
      </w:r>
      <w:r w:rsidRPr="00761EF3">
        <w:rPr>
          <w:szCs w:val="22"/>
        </w:rPr>
        <w:t>416a11</w:t>
      </w:r>
      <w:r w:rsidRPr="00412A9C">
        <w:rPr>
          <w:szCs w:val="22"/>
        </w:rPr>
        <w:t>-</w:t>
      </w:r>
      <w:r w:rsidRPr="00761EF3">
        <w:rPr>
          <w:szCs w:val="22"/>
        </w:rPr>
        <w:t>14</w:t>
      </w:r>
      <w:r w:rsidRPr="00412A9C">
        <w:rPr>
          <w:szCs w:val="22"/>
        </w:rPr>
        <w:t>）：</w:t>
      </w:r>
    </w:p>
    <w:p w:rsidR="00157EF6" w:rsidRPr="00412A9C" w:rsidRDefault="00157EF6" w:rsidP="00AA120F">
      <w:pPr>
        <w:pStyle w:val="a5"/>
        <w:ind w:leftChars="335" w:left="804"/>
        <w:jc w:val="both"/>
        <w:rPr>
          <w:rFonts w:eastAsia="SimSun"/>
          <w:szCs w:val="22"/>
        </w:rPr>
      </w:pPr>
      <w:r w:rsidRPr="00412A9C">
        <w:rPr>
          <w:rFonts w:eastAsia="標楷體"/>
          <w:szCs w:val="22"/>
        </w:rPr>
        <w:t>若新發意菩薩聞是</w:t>
      </w:r>
      <w:r w:rsidR="005E4F0B">
        <w:rPr>
          <w:rFonts w:ascii="標楷體" w:eastAsia="標楷體" w:hAnsi="標楷體" w:hint="eastAsia"/>
          <w:bCs/>
          <w:color w:val="FF0000"/>
          <w:kern w:val="0"/>
          <w:highlight w:val="yellow"/>
        </w:rPr>
        <w:t>「</w:t>
      </w:r>
      <w:r w:rsidRPr="00412A9C">
        <w:rPr>
          <w:rFonts w:eastAsia="標楷體"/>
          <w:szCs w:val="22"/>
        </w:rPr>
        <w:t>一切法畢竟性</w:t>
      </w:r>
      <w:r w:rsidRPr="005E4F0B">
        <w:rPr>
          <w:rFonts w:eastAsia="標楷體"/>
          <w:szCs w:val="22"/>
        </w:rPr>
        <w:t>空</w:t>
      </w:r>
      <w:r w:rsidR="005E4F0B" w:rsidRPr="005E4F0B">
        <w:rPr>
          <w:rFonts w:ascii="標楷體" w:eastAsia="標楷體" w:hAnsi="標楷體" w:hint="eastAsia"/>
          <w:bCs/>
          <w:color w:val="FF0000"/>
          <w:kern w:val="0"/>
          <w:highlight w:val="yellow"/>
        </w:rPr>
        <w:t>」</w:t>
      </w:r>
      <w:r w:rsidRPr="005E4F0B">
        <w:rPr>
          <w:rFonts w:eastAsia="標楷體"/>
          <w:szCs w:val="22"/>
        </w:rPr>
        <w:t>乃</w:t>
      </w:r>
      <w:r w:rsidRPr="00412A9C">
        <w:rPr>
          <w:rFonts w:eastAsia="標楷體"/>
          <w:szCs w:val="22"/>
        </w:rPr>
        <w:t>至</w:t>
      </w:r>
      <w:r w:rsidR="005E4F0B">
        <w:rPr>
          <w:rFonts w:ascii="標楷體" w:eastAsia="標楷體" w:hAnsi="標楷體" w:hint="eastAsia"/>
          <w:bCs/>
          <w:color w:val="FF0000"/>
          <w:kern w:val="0"/>
          <w:highlight w:val="yellow"/>
        </w:rPr>
        <w:t>「</w:t>
      </w:r>
      <w:r w:rsidRPr="00412A9C">
        <w:rPr>
          <w:rFonts w:eastAsia="標楷體"/>
          <w:szCs w:val="22"/>
        </w:rPr>
        <w:t>涅槃亦皆如化</w:t>
      </w:r>
      <w:r w:rsidR="005E4F0B">
        <w:rPr>
          <w:rFonts w:ascii="標楷體" w:eastAsia="標楷體" w:hAnsi="標楷體" w:hint="eastAsia"/>
          <w:bCs/>
          <w:color w:val="FF0000"/>
          <w:kern w:val="0"/>
          <w:highlight w:val="yellow"/>
        </w:rPr>
        <w:t>」</w:t>
      </w:r>
      <w:r w:rsidRPr="00412A9C">
        <w:rPr>
          <w:rFonts w:eastAsia="標楷體"/>
          <w:szCs w:val="22"/>
        </w:rPr>
        <w:t>，心則驚怖。</w:t>
      </w:r>
      <w:r w:rsidRPr="00412A9C">
        <w:rPr>
          <w:rFonts w:eastAsia="標楷體"/>
          <w:b/>
          <w:szCs w:val="22"/>
        </w:rPr>
        <w:t>為是新發意菩薩故，分別</w:t>
      </w:r>
      <w:r w:rsidR="00D14229" w:rsidRPr="00D14229">
        <w:rPr>
          <w:rFonts w:eastAsia="標楷體" w:hint="eastAsia"/>
          <w:b/>
          <w:color w:val="FF0000"/>
          <w:szCs w:val="22"/>
          <w:highlight w:val="yellow"/>
        </w:rPr>
        <w:t>「</w:t>
      </w:r>
      <w:r w:rsidRPr="00412A9C">
        <w:rPr>
          <w:rFonts w:eastAsia="標楷體"/>
          <w:b/>
          <w:szCs w:val="22"/>
        </w:rPr>
        <w:t>生滅者如化，不生不滅者不如化</w:t>
      </w:r>
      <w:r w:rsidR="00D14229" w:rsidRPr="00D14229">
        <w:rPr>
          <w:rFonts w:eastAsia="標楷體" w:hint="eastAsia"/>
          <w:b/>
          <w:color w:val="FF0000"/>
          <w:szCs w:val="22"/>
          <w:highlight w:val="yellow"/>
        </w:rPr>
        <w:t>」</w:t>
      </w:r>
      <w:r w:rsidRPr="00412A9C">
        <w:rPr>
          <w:rFonts w:eastAsia="標楷體"/>
          <w:b/>
          <w:szCs w:val="22"/>
        </w:rPr>
        <w:t>。</w:t>
      </w:r>
    </w:p>
    <w:p w:rsidR="00157EF6" w:rsidRPr="00412A9C" w:rsidRDefault="00157EF6" w:rsidP="00AA120F">
      <w:pPr>
        <w:pStyle w:val="a5"/>
        <w:ind w:leftChars="105" w:left="791" w:hangingChars="245" w:hanging="539"/>
        <w:jc w:val="both"/>
        <w:rPr>
          <w:szCs w:val="22"/>
        </w:rPr>
      </w:pPr>
      <w:r w:rsidRPr="00412A9C">
        <w:rPr>
          <w:rFonts w:eastAsia="SimSun"/>
          <w:szCs w:val="22"/>
        </w:rPr>
        <w:t>（</w:t>
      </w:r>
      <w:r w:rsidRPr="00761EF3">
        <w:rPr>
          <w:rFonts w:eastAsia="SimSun"/>
          <w:szCs w:val="22"/>
        </w:rPr>
        <w:t>2</w:t>
      </w:r>
      <w:r w:rsidRPr="00412A9C">
        <w:rPr>
          <w:rFonts w:eastAsia="SimSun"/>
          <w:szCs w:val="22"/>
        </w:rPr>
        <w:t>）</w:t>
      </w:r>
      <w:r w:rsidRPr="00412A9C">
        <w:rPr>
          <w:szCs w:val="22"/>
        </w:rPr>
        <w:t>《大智度論》卷</w:t>
      </w:r>
      <w:r w:rsidRPr="00761EF3">
        <w:rPr>
          <w:szCs w:val="22"/>
        </w:rPr>
        <w:t>96</w:t>
      </w:r>
      <w:r w:rsidR="00287E83">
        <w:rPr>
          <w:rFonts w:hint="eastAsia"/>
          <w:color w:val="FF0000"/>
          <w:szCs w:val="22"/>
          <w:highlight w:val="yellow"/>
        </w:rPr>
        <w:t>釋</w:t>
      </w:r>
      <w:r w:rsidRPr="00412A9C">
        <w:rPr>
          <w:szCs w:val="22"/>
        </w:rPr>
        <w:t>〈</w:t>
      </w:r>
      <w:r w:rsidRPr="00761EF3">
        <w:rPr>
          <w:szCs w:val="22"/>
        </w:rPr>
        <w:t>87</w:t>
      </w:r>
      <w:r>
        <w:rPr>
          <w:szCs w:val="22"/>
        </w:rPr>
        <w:t xml:space="preserve"> </w:t>
      </w:r>
      <w:r w:rsidRPr="00412A9C">
        <w:rPr>
          <w:szCs w:val="22"/>
        </w:rPr>
        <w:t>釋涅槃如化品〉（大正</w:t>
      </w:r>
      <w:r w:rsidRPr="00761EF3">
        <w:rPr>
          <w:szCs w:val="22"/>
        </w:rPr>
        <w:t>25</w:t>
      </w:r>
      <w:r w:rsidRPr="00412A9C">
        <w:rPr>
          <w:szCs w:val="22"/>
        </w:rPr>
        <w:t>，</w:t>
      </w:r>
      <w:r w:rsidRPr="00761EF3">
        <w:rPr>
          <w:szCs w:val="22"/>
        </w:rPr>
        <w:t>730b2</w:t>
      </w:r>
      <w:r w:rsidRPr="00761EF3">
        <w:rPr>
          <w:rFonts w:hint="eastAsia"/>
          <w:szCs w:val="22"/>
        </w:rPr>
        <w:t>6</w:t>
      </w:r>
      <w:r w:rsidRPr="00412A9C">
        <w:rPr>
          <w:szCs w:val="22"/>
        </w:rPr>
        <w:t>-</w:t>
      </w:r>
      <w:r w:rsidRPr="00761EF3">
        <w:rPr>
          <w:szCs w:val="22"/>
        </w:rPr>
        <w:t>c</w:t>
      </w:r>
      <w:r w:rsidRPr="00761EF3">
        <w:rPr>
          <w:rFonts w:hint="eastAsia"/>
          <w:szCs w:val="22"/>
        </w:rPr>
        <w:t>8</w:t>
      </w:r>
      <w:r w:rsidRPr="00412A9C">
        <w:rPr>
          <w:szCs w:val="22"/>
        </w:rPr>
        <w:t>）</w:t>
      </w:r>
      <w:r w:rsidRPr="00412A9C">
        <w:rPr>
          <w:rFonts w:hint="eastAsia"/>
          <w:szCs w:val="22"/>
        </w:rPr>
        <w:t>：</w:t>
      </w:r>
    </w:p>
    <w:p w:rsidR="00157EF6" w:rsidRPr="00412A9C" w:rsidRDefault="00157EF6" w:rsidP="00AA120F">
      <w:pPr>
        <w:pStyle w:val="a5"/>
        <w:ind w:leftChars="335" w:left="804"/>
        <w:jc w:val="both"/>
        <w:rPr>
          <w:rFonts w:eastAsia="標楷體"/>
          <w:szCs w:val="22"/>
        </w:rPr>
      </w:pPr>
      <w:r w:rsidRPr="00412A9C">
        <w:rPr>
          <w:rFonts w:eastAsia="標楷體" w:hint="eastAsia"/>
          <w:szCs w:val="22"/>
        </w:rPr>
        <w:t>須菩提意謂：深入般若波羅蜜中，涅槃亦空，上品中處處說；今</w:t>
      </w:r>
      <w:r w:rsidR="005E4F0B">
        <w:rPr>
          <w:rFonts w:ascii="標楷體" w:eastAsia="標楷體" w:hAnsi="標楷體" w:hint="eastAsia"/>
          <w:color w:val="FF0000"/>
          <w:kern w:val="0"/>
          <w:highlight w:val="yellow"/>
        </w:rPr>
        <w:t>，</w:t>
      </w:r>
      <w:r w:rsidRPr="00412A9C">
        <w:rPr>
          <w:rFonts w:eastAsia="標楷體" w:hint="eastAsia"/>
          <w:szCs w:val="22"/>
        </w:rPr>
        <w:t>佛何以說「唯一涅槃不如化」？是故引佛語為難：「</w:t>
      </w:r>
      <w:r w:rsidRPr="00412A9C">
        <w:rPr>
          <w:rFonts w:eastAsia="標楷體"/>
          <w:szCs w:val="22"/>
        </w:rPr>
        <w:t>諸法實相性空法常住，諸佛但為人演說，性空者即是</w:t>
      </w:r>
      <w:r w:rsidR="005E4F0B">
        <w:rPr>
          <w:rFonts w:ascii="標楷體" w:eastAsia="標楷體" w:hAnsi="標楷體" w:hint="eastAsia"/>
          <w:color w:val="FF0000"/>
          <w:kern w:val="0"/>
          <w:highlight w:val="yellow"/>
        </w:rPr>
        <w:t>『</w:t>
      </w:r>
      <w:r w:rsidRPr="00412A9C">
        <w:rPr>
          <w:rFonts w:eastAsia="標楷體"/>
          <w:szCs w:val="22"/>
        </w:rPr>
        <w:t>涅槃</w:t>
      </w:r>
      <w:r w:rsidR="005E4F0B">
        <w:rPr>
          <w:rFonts w:ascii="標楷體" w:eastAsia="標楷體" w:hAnsi="標楷體" w:hint="eastAsia"/>
          <w:color w:val="FF0000"/>
          <w:kern w:val="0"/>
          <w:highlight w:val="yellow"/>
        </w:rPr>
        <w:t>』</w:t>
      </w:r>
      <w:r w:rsidRPr="00412A9C">
        <w:rPr>
          <w:rFonts w:eastAsia="標楷體"/>
          <w:szCs w:val="22"/>
        </w:rPr>
        <w:t>。今何以於生滅法</w:t>
      </w:r>
      <w:r w:rsidRPr="005E4F0B">
        <w:rPr>
          <w:rFonts w:eastAsia="標楷體"/>
          <w:szCs w:val="22"/>
          <w:highlight w:val="yellow"/>
        </w:rPr>
        <w:t>中別</w:t>
      </w:r>
      <w:r w:rsidRPr="00412A9C">
        <w:rPr>
          <w:rFonts w:eastAsia="標楷體"/>
          <w:szCs w:val="22"/>
        </w:rPr>
        <w:t>說</w:t>
      </w:r>
      <w:r w:rsidR="005E4F0B">
        <w:rPr>
          <w:rFonts w:ascii="標楷體" w:eastAsia="標楷體" w:hAnsi="標楷體" w:hint="eastAsia"/>
          <w:color w:val="FF0000"/>
          <w:kern w:val="0"/>
          <w:highlight w:val="yellow"/>
        </w:rPr>
        <w:t>『</w:t>
      </w:r>
      <w:r w:rsidRPr="00412A9C">
        <w:rPr>
          <w:rFonts w:eastAsia="標楷體"/>
          <w:szCs w:val="22"/>
        </w:rPr>
        <w:t>無誑相涅槃不如化</w:t>
      </w:r>
      <w:r w:rsidR="005E4F0B">
        <w:rPr>
          <w:rFonts w:ascii="標楷體" w:eastAsia="標楷體" w:hAnsi="標楷體" w:hint="eastAsia"/>
          <w:color w:val="FF0000"/>
          <w:kern w:val="0"/>
          <w:highlight w:val="yellow"/>
        </w:rPr>
        <w:t>』</w:t>
      </w:r>
      <w:r w:rsidRPr="00412A9C">
        <w:rPr>
          <w:rFonts w:eastAsia="標楷體"/>
          <w:szCs w:val="22"/>
        </w:rPr>
        <w:t>？</w:t>
      </w:r>
      <w:r w:rsidRPr="00412A9C">
        <w:rPr>
          <w:rFonts w:eastAsia="標楷體" w:hint="eastAsia"/>
          <w:szCs w:val="22"/>
        </w:rPr>
        <w:t>」</w:t>
      </w:r>
    </w:p>
    <w:p w:rsidR="00157EF6" w:rsidRPr="00412A9C" w:rsidRDefault="00157EF6" w:rsidP="00AA120F">
      <w:pPr>
        <w:pStyle w:val="a5"/>
        <w:ind w:leftChars="335" w:left="804"/>
        <w:jc w:val="both"/>
        <w:rPr>
          <w:rFonts w:ascii="標楷體" w:eastAsia="標楷體" w:hAnsi="標楷體"/>
          <w:szCs w:val="22"/>
        </w:rPr>
      </w:pPr>
      <w:r w:rsidRPr="00412A9C">
        <w:rPr>
          <w:rFonts w:eastAsia="標楷體"/>
          <w:szCs w:val="22"/>
        </w:rPr>
        <w:t>佛答：諸法平等常住，非賢聖所作</w:t>
      </w:r>
      <w:r w:rsidR="005E4F0B">
        <w:rPr>
          <w:rFonts w:ascii="標楷體" w:eastAsia="標楷體" w:hAnsi="標楷體" w:hint="eastAsia"/>
          <w:color w:val="FF0000"/>
          <w:spacing w:val="-4"/>
          <w:kern w:val="0"/>
          <w:highlight w:val="yellow"/>
        </w:rPr>
        <w:t>；</w:t>
      </w:r>
      <w:r w:rsidRPr="00412A9C">
        <w:rPr>
          <w:rFonts w:eastAsia="標楷體"/>
          <w:szCs w:val="22"/>
        </w:rPr>
        <w:t>若新學菩薩聞則恐怖，是故分別說</w:t>
      </w:r>
      <w:r w:rsidR="00D14229" w:rsidRPr="00D14229">
        <w:rPr>
          <w:rFonts w:eastAsia="標楷體" w:hint="eastAsia"/>
          <w:color w:val="FF0000"/>
          <w:szCs w:val="22"/>
          <w:highlight w:val="yellow"/>
        </w:rPr>
        <w:t>「</w:t>
      </w:r>
      <w:r w:rsidRPr="00412A9C">
        <w:rPr>
          <w:rFonts w:eastAsia="標楷體"/>
          <w:szCs w:val="22"/>
        </w:rPr>
        <w:t>生滅者如化，</w:t>
      </w:r>
      <w:r w:rsidRPr="00412A9C">
        <w:rPr>
          <w:rFonts w:ascii="標楷體" w:eastAsia="標楷體" w:hAnsi="標楷體"/>
          <w:szCs w:val="22"/>
        </w:rPr>
        <w:t>不生滅者不如化</w:t>
      </w:r>
      <w:r w:rsidR="00D14229" w:rsidRPr="00D14229">
        <w:rPr>
          <w:rFonts w:ascii="標楷體" w:eastAsia="標楷體" w:hAnsi="標楷體" w:hint="eastAsia"/>
          <w:color w:val="FF0000"/>
          <w:szCs w:val="22"/>
          <w:highlight w:val="yellow"/>
        </w:rPr>
        <w:t>」</w:t>
      </w:r>
      <w:r w:rsidRPr="00412A9C">
        <w:rPr>
          <w:rFonts w:ascii="標楷體" w:eastAsia="標楷體" w:hAnsi="標楷體"/>
          <w:szCs w:val="22"/>
        </w:rPr>
        <w:t>。</w:t>
      </w:r>
    </w:p>
    <w:p w:rsidR="00157EF6" w:rsidRPr="00412A9C" w:rsidRDefault="00157EF6" w:rsidP="00AA120F">
      <w:pPr>
        <w:pStyle w:val="a5"/>
        <w:ind w:leftChars="335" w:left="1464" w:hangingChars="300" w:hanging="660"/>
        <w:jc w:val="both"/>
        <w:rPr>
          <w:rFonts w:ascii="標楷體" w:eastAsia="標楷體" w:hAnsi="標楷體"/>
          <w:szCs w:val="22"/>
        </w:rPr>
      </w:pPr>
      <w:r w:rsidRPr="00412A9C">
        <w:rPr>
          <w:rFonts w:ascii="標楷體" w:eastAsia="標楷體" w:hAnsi="標楷體" w:hint="eastAsia"/>
          <w:szCs w:val="22"/>
        </w:rPr>
        <w:t>問曰：唯佛一人是無誑人，一切人皆於佛所欲求實事</w:t>
      </w:r>
      <w:r w:rsidR="005E4F0B">
        <w:rPr>
          <w:rFonts w:ascii="標楷體" w:eastAsia="標楷體" w:hAnsi="標楷體" w:hint="eastAsia"/>
          <w:color w:val="FF0000"/>
          <w:spacing w:val="-4"/>
          <w:kern w:val="0"/>
          <w:highlight w:val="yellow"/>
        </w:rPr>
        <w:t>；</w:t>
      </w:r>
      <w:r w:rsidRPr="00412A9C">
        <w:rPr>
          <w:rFonts w:ascii="標楷體" w:eastAsia="標楷體" w:hAnsi="標楷體" w:hint="eastAsia"/>
          <w:szCs w:val="22"/>
        </w:rPr>
        <w:t>今</w:t>
      </w:r>
      <w:r w:rsidR="005E4F0B">
        <w:rPr>
          <w:rFonts w:ascii="標楷體" w:eastAsia="標楷體" w:hAnsi="標楷體" w:hint="eastAsia"/>
          <w:color w:val="FF0000"/>
          <w:kern w:val="0"/>
          <w:highlight w:val="yellow"/>
        </w:rPr>
        <w:t>，</w:t>
      </w:r>
      <w:r w:rsidRPr="00412A9C">
        <w:rPr>
          <w:rFonts w:ascii="標楷體" w:eastAsia="標楷體" w:hAnsi="標楷體" w:hint="eastAsia"/>
          <w:szCs w:val="22"/>
        </w:rPr>
        <w:t>佛何以說</w:t>
      </w:r>
      <w:r w:rsidR="005E4F0B">
        <w:rPr>
          <w:rFonts w:ascii="標楷體" w:eastAsia="標楷體" w:hAnsi="標楷體" w:hint="eastAsia"/>
          <w:bCs/>
          <w:color w:val="FF0000"/>
          <w:kern w:val="0"/>
          <w:highlight w:val="yellow"/>
        </w:rPr>
        <w:t>「</w:t>
      </w:r>
      <w:r w:rsidRPr="00412A9C">
        <w:rPr>
          <w:rFonts w:ascii="標楷體" w:eastAsia="標楷體" w:hAnsi="標楷體" w:hint="eastAsia"/>
          <w:szCs w:val="22"/>
        </w:rPr>
        <w:t>一切法都空</w:t>
      </w:r>
      <w:r w:rsidR="005E4F0B">
        <w:rPr>
          <w:rFonts w:ascii="標楷體" w:eastAsia="標楷體" w:hAnsi="標楷體" w:hint="eastAsia"/>
          <w:bCs/>
          <w:color w:val="FF0000"/>
          <w:kern w:val="0"/>
          <w:highlight w:val="yellow"/>
        </w:rPr>
        <w:t>」</w:t>
      </w:r>
      <w:r w:rsidR="005E4F0B">
        <w:rPr>
          <w:rFonts w:ascii="標楷體" w:eastAsia="標楷體" w:hAnsi="標楷體" w:hint="eastAsia"/>
          <w:color w:val="FF0000"/>
          <w:spacing w:val="-4"/>
          <w:kern w:val="0"/>
          <w:highlight w:val="yellow"/>
        </w:rPr>
        <w:t>、</w:t>
      </w:r>
      <w:r w:rsidRPr="00412A9C">
        <w:rPr>
          <w:rFonts w:ascii="標楷體" w:eastAsia="標楷體" w:hAnsi="標楷體" w:hint="eastAsia"/>
          <w:szCs w:val="22"/>
        </w:rPr>
        <w:t>或說</w:t>
      </w:r>
      <w:r w:rsidR="005E4F0B">
        <w:rPr>
          <w:rFonts w:ascii="標楷體" w:eastAsia="標楷體" w:hAnsi="標楷體" w:hint="eastAsia"/>
          <w:bCs/>
          <w:color w:val="FF0000"/>
          <w:kern w:val="0"/>
          <w:highlight w:val="yellow"/>
        </w:rPr>
        <w:t>「</w:t>
      </w:r>
      <w:r w:rsidRPr="00412A9C">
        <w:rPr>
          <w:rFonts w:ascii="標楷體" w:eastAsia="標楷體" w:hAnsi="標楷體" w:hint="eastAsia"/>
          <w:szCs w:val="22"/>
        </w:rPr>
        <w:t>不都空</w:t>
      </w:r>
      <w:r w:rsidR="005E4F0B">
        <w:rPr>
          <w:rFonts w:ascii="標楷體" w:eastAsia="標楷體" w:hAnsi="標楷體" w:hint="eastAsia"/>
          <w:bCs/>
          <w:color w:val="FF0000"/>
          <w:kern w:val="0"/>
          <w:highlight w:val="yellow"/>
        </w:rPr>
        <w:t>」</w:t>
      </w:r>
      <w:r w:rsidRPr="00412A9C">
        <w:rPr>
          <w:rFonts w:ascii="標楷體" w:eastAsia="標楷體" w:hAnsi="標楷體" w:hint="eastAsia"/>
          <w:szCs w:val="22"/>
        </w:rPr>
        <w:t>？</w:t>
      </w:r>
    </w:p>
    <w:p w:rsidR="00157EF6" w:rsidRPr="00412A9C" w:rsidRDefault="00157EF6" w:rsidP="00AA120F">
      <w:pPr>
        <w:pStyle w:val="a5"/>
        <w:ind w:leftChars="335" w:left="1464" w:hangingChars="300" w:hanging="660"/>
        <w:jc w:val="both"/>
        <w:rPr>
          <w:szCs w:val="22"/>
        </w:rPr>
      </w:pPr>
      <w:r w:rsidRPr="00412A9C">
        <w:rPr>
          <w:rFonts w:ascii="標楷體" w:eastAsia="標楷體" w:hAnsi="標楷體" w:hint="eastAsia"/>
          <w:szCs w:val="22"/>
        </w:rPr>
        <w:t>答曰：佛此中自說因緣：「為新發意菩薩故，說</w:t>
      </w:r>
      <w:r w:rsidR="005E4F0B">
        <w:rPr>
          <w:rFonts w:ascii="標楷體" w:eastAsia="標楷體" w:hAnsi="標楷體" w:hint="eastAsia"/>
          <w:color w:val="FF0000"/>
          <w:kern w:val="0"/>
          <w:highlight w:val="yellow"/>
        </w:rPr>
        <w:t>『</w:t>
      </w:r>
      <w:r w:rsidRPr="00412A9C">
        <w:rPr>
          <w:rFonts w:ascii="標楷體" w:eastAsia="標楷體" w:hAnsi="標楷體" w:hint="eastAsia"/>
          <w:szCs w:val="22"/>
        </w:rPr>
        <w:t>涅槃不如化</w:t>
      </w:r>
      <w:r w:rsidR="005E4F0B">
        <w:rPr>
          <w:rFonts w:ascii="標楷體" w:eastAsia="標楷體" w:hAnsi="標楷體" w:hint="eastAsia"/>
          <w:color w:val="FF0000"/>
          <w:kern w:val="0"/>
          <w:highlight w:val="yellow"/>
        </w:rPr>
        <w:t>』</w:t>
      </w:r>
      <w:r w:rsidRPr="00412A9C">
        <w:rPr>
          <w:rFonts w:ascii="標楷體" w:eastAsia="標楷體" w:hAnsi="標楷體" w:hint="eastAsia"/>
          <w:szCs w:val="22"/>
        </w:rPr>
        <w:t>。」</w:t>
      </w:r>
    </w:p>
  </w:footnote>
  <w:footnote w:id="969">
    <w:p w:rsidR="00157EF6" w:rsidRPr="00412A9C" w:rsidRDefault="00157EF6" w:rsidP="00AA120F">
      <w:pPr>
        <w:pStyle w:val="a5"/>
        <w:spacing w:line="0" w:lineRule="atLeast"/>
        <w:ind w:left="253" w:hangingChars="115" w:hanging="253"/>
        <w:jc w:val="both"/>
        <w:rPr>
          <w:rFonts w:eastAsia="SimSun"/>
          <w:szCs w:val="22"/>
        </w:rPr>
      </w:pPr>
      <w:r w:rsidRPr="00412A9C">
        <w:rPr>
          <w:rStyle w:val="a6"/>
          <w:szCs w:val="22"/>
        </w:rPr>
        <w:footnoteRef/>
      </w:r>
      <w:r w:rsidRPr="00412A9C">
        <w:rPr>
          <w:szCs w:val="22"/>
        </w:rPr>
        <w:t xml:space="preserve"> </w:t>
      </w:r>
      <w:r w:rsidRPr="00412A9C">
        <w:rPr>
          <w:szCs w:val="22"/>
        </w:rPr>
        <w:t>判然：顯然</w:t>
      </w:r>
      <w:r w:rsidRPr="00412A9C">
        <w:rPr>
          <w:rFonts w:hint="eastAsia"/>
          <w:szCs w:val="22"/>
        </w:rPr>
        <w:t>，</w:t>
      </w:r>
      <w:r w:rsidRPr="00412A9C">
        <w:rPr>
          <w:szCs w:val="22"/>
        </w:rPr>
        <w:t>分明貌。（《漢語大詞典》（</w:t>
      </w:r>
      <w:r w:rsidRPr="00412A9C">
        <w:rPr>
          <w:rFonts w:eastAsia="SimSun"/>
          <w:szCs w:val="22"/>
        </w:rPr>
        <w:t>二</w:t>
      </w:r>
      <w:r w:rsidRPr="00412A9C">
        <w:rPr>
          <w:szCs w:val="22"/>
        </w:rPr>
        <w:t>）</w:t>
      </w:r>
      <w:r w:rsidRPr="00412A9C">
        <w:rPr>
          <w:rFonts w:hint="eastAsia"/>
          <w:szCs w:val="22"/>
        </w:rPr>
        <w:t>，</w:t>
      </w:r>
      <w:r w:rsidRPr="00761EF3">
        <w:rPr>
          <w:szCs w:val="22"/>
        </w:rPr>
        <w:t>p</w:t>
      </w:r>
      <w:r w:rsidRPr="00412A9C">
        <w:rPr>
          <w:szCs w:val="22"/>
        </w:rPr>
        <w:t>.</w:t>
      </w:r>
      <w:r w:rsidRPr="00761EF3">
        <w:rPr>
          <w:rFonts w:eastAsia="SimSun"/>
          <w:szCs w:val="22"/>
        </w:rPr>
        <w:t>647</w:t>
      </w:r>
      <w:r w:rsidRPr="00412A9C">
        <w:rPr>
          <w:szCs w:val="22"/>
        </w:rPr>
        <w:t>）</w:t>
      </w:r>
    </w:p>
  </w:footnote>
  <w:footnote w:id="970">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szCs w:val="22"/>
        </w:rPr>
        <w:t>印順法師</w:t>
      </w:r>
      <w:r w:rsidRPr="00412A9C">
        <w:rPr>
          <w:rFonts w:hint="eastAsia"/>
          <w:szCs w:val="22"/>
        </w:rPr>
        <w:t>，</w:t>
      </w:r>
      <w:r w:rsidRPr="00412A9C">
        <w:rPr>
          <w:szCs w:val="22"/>
        </w:rPr>
        <w:t>《性空學探源》，</w:t>
      </w:r>
      <w:r w:rsidRPr="00761EF3">
        <w:rPr>
          <w:szCs w:val="22"/>
        </w:rPr>
        <w:t>pp</w:t>
      </w:r>
      <w:r w:rsidRPr="00412A9C">
        <w:rPr>
          <w:szCs w:val="22"/>
        </w:rPr>
        <w:t>.</w:t>
      </w:r>
      <w:r w:rsidRPr="00761EF3">
        <w:rPr>
          <w:szCs w:val="22"/>
        </w:rPr>
        <w:t>136</w:t>
      </w:r>
      <w:r w:rsidRPr="00412A9C">
        <w:rPr>
          <w:szCs w:val="22"/>
        </w:rPr>
        <w:t>-</w:t>
      </w:r>
      <w:r w:rsidRPr="00761EF3">
        <w:rPr>
          <w:szCs w:val="22"/>
        </w:rPr>
        <w:t>138</w:t>
      </w:r>
      <w:r w:rsidRPr="00412A9C">
        <w:rPr>
          <w:szCs w:val="22"/>
        </w:rPr>
        <w:t>：</w:t>
      </w:r>
    </w:p>
    <w:p w:rsidR="00157EF6" w:rsidRPr="00412A9C" w:rsidRDefault="00157EF6" w:rsidP="00AA120F">
      <w:pPr>
        <w:snapToGrid w:val="0"/>
        <w:ind w:leftChars="105" w:left="252"/>
        <w:jc w:val="both"/>
        <w:rPr>
          <w:rFonts w:ascii="Times New Roman" w:eastAsia="標楷體" w:hAnsi="Times New Roman"/>
          <w:sz w:val="22"/>
          <w:szCs w:val="22"/>
        </w:rPr>
      </w:pPr>
      <w:r w:rsidRPr="00412A9C">
        <w:rPr>
          <w:rFonts w:ascii="Times New Roman" w:eastAsia="標楷體" w:hAnsi="Times New Roman"/>
          <w:sz w:val="22"/>
          <w:szCs w:val="22"/>
        </w:rPr>
        <w:t>單純的假實二諦，是不足以分別凡聖的。到了成實論主訶梨跋摩，他學過有部，學過大眾部，又採取經部的思想，出入諸家，另成系統，調和各種二諦論，立為二重二諦。</w:t>
      </w:r>
    </w:p>
    <w:p w:rsidR="00157EF6" w:rsidRPr="00F640F4" w:rsidRDefault="00157EF6" w:rsidP="00AE3920">
      <w:pPr>
        <w:pStyle w:val="a5"/>
        <w:spacing w:beforeLines="20"/>
        <w:ind w:leftChars="105" w:left="252"/>
        <w:jc w:val="both"/>
        <w:rPr>
          <w:rFonts w:eastAsia="標楷體"/>
          <w:szCs w:val="22"/>
        </w:rPr>
      </w:pPr>
      <w:r w:rsidRPr="00F640F4">
        <w:rPr>
          <w:rFonts w:eastAsia="標楷體"/>
          <w:szCs w:val="22"/>
        </w:rPr>
        <w:t>其第一重，如《</w:t>
      </w:r>
      <w:r w:rsidRPr="00F640F4">
        <w:rPr>
          <w:rFonts w:eastAsia="標楷體"/>
          <w:b/>
          <w:szCs w:val="22"/>
        </w:rPr>
        <w:t>成實論</w:t>
      </w:r>
      <w:r w:rsidRPr="00F640F4">
        <w:rPr>
          <w:rFonts w:eastAsia="標楷體"/>
          <w:szCs w:val="22"/>
        </w:rPr>
        <w:t>》卷</w:t>
      </w:r>
      <w:r w:rsidRPr="00F640F4">
        <w:rPr>
          <w:rFonts w:eastAsia="標楷體"/>
          <w:szCs w:val="22"/>
        </w:rPr>
        <w:t>11</w:t>
      </w:r>
      <w:r w:rsidR="007463FC" w:rsidRPr="007463FC">
        <w:rPr>
          <w:szCs w:val="22"/>
          <w:shd w:val="pct15" w:color="auto" w:fill="FFFFFF"/>
        </w:rPr>
        <w:t>（大正</w:t>
      </w:r>
      <w:r w:rsidR="007463FC" w:rsidRPr="007463FC">
        <w:rPr>
          <w:szCs w:val="22"/>
          <w:shd w:val="pct15" w:color="auto" w:fill="FFFFFF"/>
        </w:rPr>
        <w:t>32</w:t>
      </w:r>
      <w:r w:rsidR="007463FC" w:rsidRPr="007463FC">
        <w:rPr>
          <w:szCs w:val="22"/>
          <w:shd w:val="pct15" w:color="auto" w:fill="FFFFFF"/>
        </w:rPr>
        <w:t>，</w:t>
      </w:r>
      <w:r w:rsidR="007463FC" w:rsidRPr="007463FC">
        <w:rPr>
          <w:szCs w:val="22"/>
          <w:shd w:val="pct15" w:color="auto" w:fill="FFFFFF"/>
        </w:rPr>
        <w:t>327a20-23</w:t>
      </w:r>
      <w:r w:rsidR="007463FC" w:rsidRPr="007463FC">
        <w:rPr>
          <w:szCs w:val="22"/>
          <w:shd w:val="pct15" w:color="auto" w:fill="FFFFFF"/>
        </w:rPr>
        <w:t>）</w:t>
      </w:r>
      <w:r w:rsidRPr="00F640F4">
        <w:rPr>
          <w:rFonts w:eastAsia="標楷體"/>
          <w:szCs w:val="22"/>
        </w:rPr>
        <w:t>說：「</w:t>
      </w:r>
      <w:r w:rsidRPr="00F640F4">
        <w:rPr>
          <w:rFonts w:eastAsia="標楷體"/>
          <w:b/>
          <w:szCs w:val="22"/>
        </w:rPr>
        <w:t>又佛說二諦：真諦、俗諦。真諦謂色等法及泥洹。（論立色、香、味、觸、心、無表色、涅槃七種，為一切法的實在單元）。俗諦謂但假名無有自體，如色等因緣成瓶，五陰因緣成人。</w:t>
      </w:r>
      <w:r w:rsidRPr="00F640F4">
        <w:rPr>
          <w:rFonts w:eastAsia="標楷體"/>
          <w:szCs w:val="22"/>
        </w:rPr>
        <w:t>」這是</w:t>
      </w:r>
      <w:r w:rsidRPr="00F640F4">
        <w:rPr>
          <w:rFonts w:eastAsia="標楷體"/>
          <w:b/>
          <w:szCs w:val="22"/>
        </w:rPr>
        <w:t>假實二諦</w:t>
      </w:r>
      <w:r w:rsidRPr="00F640F4">
        <w:rPr>
          <w:rFonts w:eastAsia="標楷體"/>
          <w:szCs w:val="22"/>
        </w:rPr>
        <w:t>。色等七種實在單元是勝義，假合的人或柱是假名的世俗。同經部</w:t>
      </w:r>
      <w:r w:rsidRPr="00F640F4">
        <w:rPr>
          <w:rFonts w:eastAsia="標楷體" w:hint="eastAsia"/>
          <w:szCs w:val="22"/>
        </w:rPr>
        <w:t>、</w:t>
      </w:r>
      <w:r w:rsidRPr="00F640F4">
        <w:rPr>
          <w:rFonts w:eastAsia="標楷體"/>
          <w:szCs w:val="22"/>
        </w:rPr>
        <w:t>有部所說的一樣。不過，他又說：常人只見到和集的假相而已，不能見到實在的勝義；能夠見到七元實在法，已經是滅假名而得無我見的聖者了，這已克服了有部的困難了。</w:t>
      </w:r>
    </w:p>
    <w:p w:rsidR="00157EF6" w:rsidRPr="00F640F4" w:rsidRDefault="00157EF6" w:rsidP="00AE3920">
      <w:pPr>
        <w:pStyle w:val="a5"/>
        <w:spacing w:beforeLines="20"/>
        <w:ind w:leftChars="105" w:left="252"/>
        <w:jc w:val="both"/>
        <w:rPr>
          <w:rFonts w:eastAsia="標楷體"/>
          <w:szCs w:val="22"/>
        </w:rPr>
      </w:pPr>
      <w:r w:rsidRPr="00F640F4">
        <w:rPr>
          <w:rFonts w:eastAsia="標楷體"/>
          <w:szCs w:val="22"/>
        </w:rPr>
        <w:t>其第二重二諦，如論卷</w:t>
      </w:r>
      <w:r w:rsidRPr="00F640F4">
        <w:rPr>
          <w:rFonts w:eastAsia="標楷體"/>
          <w:szCs w:val="22"/>
        </w:rPr>
        <w:t>12</w:t>
      </w:r>
      <w:r w:rsidR="007463FC" w:rsidRPr="007463FC">
        <w:rPr>
          <w:szCs w:val="22"/>
          <w:shd w:val="pct15" w:color="auto" w:fill="FFFFFF"/>
        </w:rPr>
        <w:t>（大正</w:t>
      </w:r>
      <w:r w:rsidR="007463FC" w:rsidRPr="007463FC">
        <w:rPr>
          <w:szCs w:val="22"/>
          <w:shd w:val="pct15" w:color="auto" w:fill="FFFFFF"/>
        </w:rPr>
        <w:t>32</w:t>
      </w:r>
      <w:r w:rsidR="007463FC" w:rsidRPr="007463FC">
        <w:rPr>
          <w:szCs w:val="22"/>
          <w:shd w:val="pct15" w:color="auto" w:fill="FFFFFF"/>
        </w:rPr>
        <w:t>，</w:t>
      </w:r>
      <w:r w:rsidR="007463FC" w:rsidRPr="007463FC">
        <w:rPr>
          <w:szCs w:val="22"/>
          <w:shd w:val="pct15" w:color="auto" w:fill="FFFFFF"/>
        </w:rPr>
        <w:t>333a8-b6</w:t>
      </w:r>
      <w:r w:rsidR="007463FC" w:rsidRPr="007463FC">
        <w:rPr>
          <w:szCs w:val="22"/>
          <w:shd w:val="pct15" w:color="auto" w:fill="FFFFFF"/>
        </w:rPr>
        <w:t>）</w:t>
      </w:r>
      <w:r w:rsidRPr="00F640F4">
        <w:rPr>
          <w:rFonts w:eastAsia="標楷體"/>
          <w:szCs w:val="22"/>
        </w:rPr>
        <w:t>說：「</w:t>
      </w:r>
      <w:r w:rsidRPr="00F640F4">
        <w:rPr>
          <w:rFonts w:eastAsia="標楷體"/>
          <w:b/>
          <w:szCs w:val="22"/>
        </w:rPr>
        <w:t>五陰實無，以世諦故有。</w:t>
      </w:r>
      <w:r w:rsidRPr="00F640F4">
        <w:rPr>
          <w:rFonts w:ascii="標楷體" w:eastAsia="標楷體" w:hAnsi="標楷體"/>
          <w:b/>
          <w:szCs w:val="22"/>
        </w:rPr>
        <w:t>……</w:t>
      </w:r>
      <w:r w:rsidRPr="00F640F4">
        <w:rPr>
          <w:rFonts w:eastAsia="標楷體"/>
          <w:b/>
          <w:szCs w:val="22"/>
        </w:rPr>
        <w:t>第一義者，所謂色空無所有，乃至識空無所有。</w:t>
      </w:r>
      <w:r w:rsidRPr="00F640F4">
        <w:rPr>
          <w:rFonts w:ascii="標楷體" w:eastAsia="標楷體" w:hAnsi="標楷體"/>
          <w:b/>
          <w:szCs w:val="22"/>
        </w:rPr>
        <w:t>……</w:t>
      </w:r>
      <w:r w:rsidRPr="00F640F4">
        <w:rPr>
          <w:rFonts w:eastAsia="標楷體"/>
          <w:b/>
          <w:szCs w:val="22"/>
        </w:rPr>
        <w:t>又見滅諦故，說名得道，故知滅是第一義有，非諸陰也。</w:t>
      </w:r>
      <w:r w:rsidRPr="00F640F4">
        <w:rPr>
          <w:rFonts w:eastAsia="標楷體"/>
          <w:szCs w:val="22"/>
        </w:rPr>
        <w:t>」五蘊都是無自體的；上面第一重說的勝義有自相，只是世諦之有，非真勝義。真勝義諦是空無所有的，是四諦中的滅諦；要見滅諦理，得了聖道，才是真見勝義。這與有為（苦集道）無為（滅）安立的</w:t>
      </w:r>
      <w:r w:rsidRPr="00F640F4">
        <w:rPr>
          <w:rFonts w:eastAsia="標楷體"/>
          <w:b/>
          <w:szCs w:val="22"/>
        </w:rPr>
        <w:t>真妄二諦</w:t>
      </w:r>
      <w:r w:rsidRPr="00F640F4">
        <w:rPr>
          <w:rFonts w:eastAsia="標楷體"/>
          <w:szCs w:val="22"/>
        </w:rPr>
        <w:t>論相合。</w:t>
      </w:r>
    </w:p>
    <w:p w:rsidR="004D39BD" w:rsidRDefault="00157EF6" w:rsidP="00AE3920">
      <w:pPr>
        <w:pStyle w:val="a5"/>
        <w:spacing w:beforeLines="20"/>
        <w:ind w:leftChars="105" w:left="252"/>
        <w:jc w:val="both"/>
        <w:rPr>
          <w:rFonts w:eastAsia="標楷體"/>
          <w:b/>
          <w:szCs w:val="22"/>
        </w:rPr>
      </w:pPr>
      <w:r w:rsidRPr="00F640F4">
        <w:rPr>
          <w:rFonts w:eastAsia="標楷體"/>
          <w:b/>
          <w:szCs w:val="22"/>
        </w:rPr>
        <w:t>二重二諦，綜合了假實、真妄兩對二諦，採取經部之說而超越之，更與大眾系的思想貫通</w:t>
      </w:r>
      <w:r w:rsidRPr="00412A9C">
        <w:rPr>
          <w:rFonts w:eastAsia="標楷體"/>
          <w:b/>
          <w:szCs w:val="22"/>
        </w:rPr>
        <w:t>，安立第二重。</w:t>
      </w:r>
    </w:p>
    <w:p w:rsidR="004D39BD" w:rsidRDefault="00157EF6" w:rsidP="00AE3920">
      <w:pPr>
        <w:pStyle w:val="a5"/>
        <w:spacing w:beforeLines="20"/>
        <w:ind w:leftChars="105" w:left="252"/>
        <w:jc w:val="both"/>
        <w:rPr>
          <w:rFonts w:eastAsia="標楷體"/>
          <w:szCs w:val="22"/>
        </w:rPr>
      </w:pPr>
      <w:r w:rsidRPr="00412A9C">
        <w:rPr>
          <w:rFonts w:eastAsia="標楷體"/>
          <w:szCs w:val="22"/>
        </w:rPr>
        <w:t>二重之中，五蘊諸法說是實有單元，今又說是俗有真空。滅諦（泥洹），說是勝義有，又說是空無所有，不相矛盾嗎？不，這二重是約不同的立場、不同的見地說的；在較初步的認識上（以法心滅假名心），可有一種勝義與世俗；在更進一步的階段上（以空心滅法心），可以又得另一種見解。他把諸家之說，貫串在一個歷程上。</w:t>
      </w:r>
    </w:p>
    <w:p w:rsidR="00157EF6" w:rsidRPr="00412A9C" w:rsidRDefault="00157EF6" w:rsidP="00AE3920">
      <w:pPr>
        <w:pStyle w:val="a5"/>
        <w:spacing w:beforeLines="20"/>
        <w:ind w:leftChars="105" w:left="252"/>
        <w:jc w:val="both"/>
        <w:rPr>
          <w:szCs w:val="22"/>
        </w:rPr>
      </w:pPr>
      <w:r w:rsidRPr="00412A9C">
        <w:rPr>
          <w:rFonts w:eastAsia="標楷體"/>
          <w:szCs w:val="22"/>
        </w:rPr>
        <w:t>在聲聞佛教裡，《成實論》是一個綜合諸家而很出色的思想。</w:t>
      </w:r>
    </w:p>
  </w:footnote>
  <w:footnote w:id="971">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rFonts w:eastAsia="SimSun"/>
          <w:szCs w:val="22"/>
        </w:rPr>
        <w:t xml:space="preserve"> </w:t>
      </w:r>
      <w:r w:rsidRPr="00412A9C">
        <w:rPr>
          <w:b/>
          <w:szCs w:val="22"/>
        </w:rPr>
        <w:t>僧朗</w:t>
      </w:r>
      <w:r w:rsidRPr="00412A9C">
        <w:rPr>
          <w:szCs w:val="22"/>
        </w:rPr>
        <w:t>：南朝齊、梁時之三論學僧。新三</w:t>
      </w:r>
      <w:r w:rsidR="004E5620">
        <w:rPr>
          <w:rFonts w:hint="eastAsia"/>
          <w:szCs w:val="22"/>
        </w:rPr>
        <w:t>論</w:t>
      </w:r>
      <w:r w:rsidRPr="00412A9C">
        <w:rPr>
          <w:szCs w:val="22"/>
        </w:rPr>
        <w:t>學派之鼻祖。高句麗遼東城人。生卒年不詳。又稱道朗、大朗法師、</w:t>
      </w:r>
      <w:r w:rsidRPr="00412A9C">
        <w:rPr>
          <w:b/>
          <w:szCs w:val="22"/>
        </w:rPr>
        <w:t>攝山大師</w:t>
      </w:r>
      <w:r w:rsidRPr="00412A9C">
        <w:rPr>
          <w:szCs w:val="22"/>
        </w:rPr>
        <w:t>。曾就法度學習經論，尤精於華嚴、三論之學。歷住攝山棲霞寺、鍾山草堂寺弘法梁天監十一年（</w:t>
      </w:r>
      <w:r w:rsidRPr="00761EF3">
        <w:rPr>
          <w:szCs w:val="22"/>
        </w:rPr>
        <w:t>512</w:t>
      </w:r>
      <w:r w:rsidRPr="00412A9C">
        <w:rPr>
          <w:szCs w:val="22"/>
        </w:rPr>
        <w:t>），武帝仰師德風，敕僧詮、僧懷等赴攝山，從師學三論，後僅僧詮一人嗣師之法。然另有一說，謂師先至敦煌，從曇慶法師學三論，一度隱居會稽山，後始入攝山。〔《梁高僧傳</w:t>
      </w:r>
      <w:r w:rsidRPr="00412A9C">
        <w:rPr>
          <w:rFonts w:hint="eastAsia"/>
          <w:szCs w:val="22"/>
        </w:rPr>
        <w:t>》</w:t>
      </w:r>
      <w:r w:rsidRPr="00412A9C">
        <w:rPr>
          <w:szCs w:val="22"/>
        </w:rPr>
        <w:t>卷八</w:t>
      </w:r>
      <w:r w:rsidRPr="00412A9C">
        <w:rPr>
          <w:rFonts w:hint="eastAsia"/>
          <w:szCs w:val="22"/>
        </w:rPr>
        <w:t>〈</w:t>
      </w:r>
      <w:r w:rsidRPr="00412A9C">
        <w:rPr>
          <w:szCs w:val="22"/>
        </w:rPr>
        <w:t>法度傳</w:t>
      </w:r>
      <w:r w:rsidRPr="00412A9C">
        <w:rPr>
          <w:rFonts w:hint="eastAsia"/>
          <w:szCs w:val="22"/>
        </w:rPr>
        <w:t>〉</w:t>
      </w:r>
      <w:r w:rsidRPr="00412A9C">
        <w:rPr>
          <w:szCs w:val="22"/>
        </w:rPr>
        <w:t>、《法華玄義釋籤</w:t>
      </w:r>
      <w:r w:rsidRPr="00412A9C">
        <w:rPr>
          <w:rFonts w:hint="eastAsia"/>
          <w:szCs w:val="22"/>
        </w:rPr>
        <w:t>》</w:t>
      </w:r>
      <w:r w:rsidRPr="00412A9C">
        <w:rPr>
          <w:szCs w:val="22"/>
        </w:rPr>
        <w:t>卷十九〕（《</w:t>
      </w:r>
      <w:r w:rsidRPr="00412A9C">
        <w:rPr>
          <w:rFonts w:hint="eastAsia"/>
          <w:szCs w:val="22"/>
        </w:rPr>
        <w:t>佛光大辭典</w:t>
      </w:r>
      <w:r w:rsidRPr="00412A9C">
        <w:rPr>
          <w:szCs w:val="22"/>
        </w:rPr>
        <w:t>》</w:t>
      </w:r>
      <w:r w:rsidRPr="00412A9C">
        <w:rPr>
          <w:rFonts w:hint="eastAsia"/>
          <w:szCs w:val="22"/>
        </w:rPr>
        <w:t>（六），</w:t>
      </w:r>
      <w:r w:rsidRPr="00761EF3">
        <w:rPr>
          <w:szCs w:val="22"/>
        </w:rPr>
        <w:t>p</w:t>
      </w:r>
      <w:r w:rsidRPr="00412A9C">
        <w:rPr>
          <w:szCs w:val="22"/>
        </w:rPr>
        <w:t>.</w:t>
      </w:r>
      <w:r w:rsidRPr="00761EF3">
        <w:rPr>
          <w:szCs w:val="22"/>
        </w:rPr>
        <w:t>5470</w:t>
      </w:r>
      <w:r w:rsidRPr="00412A9C">
        <w:rPr>
          <w:rFonts w:hint="eastAsia"/>
          <w:szCs w:val="22"/>
        </w:rPr>
        <w:t>.</w:t>
      </w:r>
      <w:r w:rsidRPr="00761EF3">
        <w:rPr>
          <w:rFonts w:hint="eastAsia"/>
          <w:szCs w:val="22"/>
        </w:rPr>
        <w:t>3</w:t>
      </w:r>
      <w:r w:rsidRPr="00412A9C">
        <w:rPr>
          <w:szCs w:val="22"/>
        </w:rPr>
        <w:t>）</w:t>
      </w:r>
    </w:p>
  </w:footnote>
  <w:footnote w:id="972">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rFonts w:eastAsia="SimSun"/>
          <w:szCs w:val="22"/>
        </w:rPr>
        <w:t xml:space="preserve"> </w:t>
      </w:r>
      <w:r w:rsidRPr="00412A9C">
        <w:rPr>
          <w:rFonts w:hint="eastAsia"/>
          <w:szCs w:val="22"/>
        </w:rPr>
        <w:t>〔隋〕</w:t>
      </w:r>
      <w:r w:rsidRPr="00412A9C">
        <w:rPr>
          <w:szCs w:val="22"/>
        </w:rPr>
        <w:t>吉藏</w:t>
      </w:r>
      <w:r>
        <w:rPr>
          <w:szCs w:val="22"/>
        </w:rPr>
        <w:t>撰</w:t>
      </w:r>
      <w:r w:rsidRPr="00412A9C">
        <w:rPr>
          <w:rFonts w:hint="eastAsia"/>
          <w:szCs w:val="22"/>
        </w:rPr>
        <w:t>，</w:t>
      </w:r>
      <w:r w:rsidRPr="00412A9C">
        <w:rPr>
          <w:szCs w:val="22"/>
        </w:rPr>
        <w:t>《淨名玄論》卷</w:t>
      </w:r>
      <w:r w:rsidRPr="00761EF3">
        <w:rPr>
          <w:szCs w:val="22"/>
        </w:rPr>
        <w:t>6</w:t>
      </w:r>
      <w:r w:rsidRPr="00412A9C">
        <w:rPr>
          <w:szCs w:val="22"/>
        </w:rPr>
        <w:t>（大正</w:t>
      </w:r>
      <w:r w:rsidRPr="00761EF3">
        <w:rPr>
          <w:szCs w:val="22"/>
        </w:rPr>
        <w:t>38</w:t>
      </w:r>
      <w:r w:rsidRPr="00412A9C">
        <w:rPr>
          <w:szCs w:val="22"/>
        </w:rPr>
        <w:t>，</w:t>
      </w:r>
      <w:r w:rsidRPr="00761EF3">
        <w:rPr>
          <w:szCs w:val="22"/>
        </w:rPr>
        <w:t>893a13</w:t>
      </w:r>
      <w:r w:rsidRPr="00412A9C">
        <w:rPr>
          <w:szCs w:val="22"/>
        </w:rPr>
        <w:t>-</w:t>
      </w:r>
      <w:r w:rsidRPr="00761EF3">
        <w:rPr>
          <w:szCs w:val="22"/>
        </w:rPr>
        <w:t>15</w:t>
      </w:r>
      <w:r w:rsidRPr="00412A9C">
        <w:rPr>
          <w:szCs w:val="22"/>
        </w:rPr>
        <w:t>）：</w:t>
      </w:r>
    </w:p>
    <w:p w:rsidR="00157EF6" w:rsidRPr="00412A9C" w:rsidRDefault="00157EF6" w:rsidP="00AA120F">
      <w:pPr>
        <w:snapToGrid w:val="0"/>
        <w:ind w:leftChars="105" w:left="252"/>
        <w:jc w:val="both"/>
        <w:rPr>
          <w:rFonts w:ascii="Times New Roman" w:hAnsi="Times New Roman"/>
          <w:sz w:val="22"/>
          <w:szCs w:val="22"/>
        </w:rPr>
      </w:pPr>
      <w:r w:rsidRPr="00412A9C">
        <w:rPr>
          <w:rFonts w:ascii="Times New Roman" w:eastAsia="標楷體" w:hAnsi="Times New Roman"/>
          <w:sz w:val="22"/>
          <w:szCs w:val="22"/>
        </w:rPr>
        <w:t>一者</w:t>
      </w:r>
      <w:r w:rsidRPr="00412A9C">
        <w:rPr>
          <w:rFonts w:ascii="Times New Roman" w:eastAsia="標楷體" w:hAnsi="Times New Roman" w:hint="eastAsia"/>
          <w:sz w:val="22"/>
          <w:szCs w:val="22"/>
        </w:rPr>
        <w:t>、</w:t>
      </w:r>
      <w:r w:rsidRPr="00412A9C">
        <w:rPr>
          <w:rFonts w:ascii="Times New Roman" w:eastAsia="標楷體" w:hAnsi="Times New Roman"/>
          <w:sz w:val="22"/>
          <w:szCs w:val="22"/>
        </w:rPr>
        <w:t>有所無故稱</w:t>
      </w:r>
      <w:r w:rsidR="003E45F4">
        <w:rPr>
          <w:rFonts w:ascii="標楷體" w:eastAsia="標楷體" w:hAnsi="標楷體" w:hint="eastAsia"/>
          <w:bCs/>
          <w:color w:val="FF0000"/>
          <w:kern w:val="0"/>
          <w:sz w:val="22"/>
          <w:highlight w:val="yellow"/>
        </w:rPr>
        <w:t>「</w:t>
      </w:r>
      <w:r w:rsidRPr="00412A9C">
        <w:rPr>
          <w:rFonts w:ascii="Times New Roman" w:eastAsia="標楷體" w:hAnsi="Times New Roman"/>
          <w:sz w:val="22"/>
          <w:szCs w:val="22"/>
        </w:rPr>
        <w:t>無</w:t>
      </w:r>
      <w:r w:rsidR="003E45F4">
        <w:rPr>
          <w:rFonts w:ascii="標楷體" w:eastAsia="標楷體" w:hAnsi="標楷體" w:hint="eastAsia"/>
          <w:bCs/>
          <w:color w:val="FF0000"/>
          <w:kern w:val="0"/>
          <w:sz w:val="22"/>
          <w:highlight w:val="yellow"/>
        </w:rPr>
        <w:t>」</w:t>
      </w:r>
      <w:r w:rsidRPr="00412A9C">
        <w:rPr>
          <w:rFonts w:ascii="Times New Roman" w:eastAsia="標楷體" w:hAnsi="Times New Roman"/>
          <w:sz w:val="22"/>
          <w:szCs w:val="22"/>
        </w:rPr>
        <w:t>，二者</w:t>
      </w:r>
      <w:r w:rsidRPr="00412A9C">
        <w:rPr>
          <w:rFonts w:ascii="Times New Roman" w:eastAsia="標楷體" w:hAnsi="Times New Roman" w:hint="eastAsia"/>
          <w:sz w:val="22"/>
          <w:szCs w:val="22"/>
        </w:rPr>
        <w:t>、</w:t>
      </w:r>
      <w:r w:rsidRPr="00412A9C">
        <w:rPr>
          <w:rFonts w:ascii="Times New Roman" w:eastAsia="標楷體" w:hAnsi="Times New Roman"/>
          <w:sz w:val="22"/>
          <w:szCs w:val="22"/>
        </w:rPr>
        <w:t>無所有故稱</w:t>
      </w:r>
      <w:r w:rsidR="003E45F4">
        <w:rPr>
          <w:rFonts w:ascii="標楷體" w:eastAsia="標楷體" w:hAnsi="標楷體" w:hint="eastAsia"/>
          <w:bCs/>
          <w:color w:val="FF0000"/>
          <w:kern w:val="0"/>
          <w:sz w:val="22"/>
          <w:highlight w:val="yellow"/>
        </w:rPr>
        <w:t>「</w:t>
      </w:r>
      <w:r w:rsidRPr="00412A9C">
        <w:rPr>
          <w:rFonts w:ascii="Times New Roman" w:eastAsia="標楷體" w:hAnsi="Times New Roman"/>
          <w:sz w:val="22"/>
          <w:szCs w:val="22"/>
        </w:rPr>
        <w:t>無</w:t>
      </w:r>
      <w:r w:rsidR="003E45F4">
        <w:rPr>
          <w:rFonts w:ascii="標楷體" w:eastAsia="標楷體" w:hAnsi="標楷體" w:hint="eastAsia"/>
          <w:bCs/>
          <w:color w:val="FF0000"/>
          <w:kern w:val="0"/>
          <w:sz w:val="22"/>
          <w:highlight w:val="yellow"/>
        </w:rPr>
        <w:t>」</w:t>
      </w:r>
      <w:r w:rsidRPr="00412A9C">
        <w:rPr>
          <w:rFonts w:ascii="Times New Roman" w:eastAsia="標楷體" w:hAnsi="Times New Roman"/>
          <w:sz w:val="22"/>
          <w:szCs w:val="22"/>
        </w:rPr>
        <w:t>。</w:t>
      </w:r>
      <w:r w:rsidR="003E45F4">
        <w:rPr>
          <w:rFonts w:ascii="標楷體" w:eastAsia="標楷體" w:hAnsi="標楷體" w:hint="eastAsia"/>
          <w:bCs/>
          <w:color w:val="FF0000"/>
          <w:kern w:val="0"/>
          <w:sz w:val="22"/>
          <w:highlight w:val="yellow"/>
        </w:rPr>
        <w:t>「</w:t>
      </w:r>
      <w:r w:rsidRPr="00412A9C">
        <w:rPr>
          <w:rFonts w:ascii="Times New Roman" w:eastAsia="標楷體" w:hAnsi="Times New Roman"/>
          <w:sz w:val="22"/>
          <w:szCs w:val="22"/>
        </w:rPr>
        <w:t>有所無故稱</w:t>
      </w:r>
      <w:r w:rsidR="003E45F4">
        <w:rPr>
          <w:rFonts w:ascii="標楷體" w:eastAsia="標楷體" w:hAnsi="標楷體" w:hint="eastAsia"/>
          <w:color w:val="FF0000"/>
          <w:kern w:val="0"/>
          <w:sz w:val="22"/>
          <w:highlight w:val="yellow"/>
        </w:rPr>
        <w:t>『</w:t>
      </w:r>
      <w:r w:rsidRPr="00412A9C">
        <w:rPr>
          <w:rFonts w:ascii="Times New Roman" w:eastAsia="標楷體" w:hAnsi="Times New Roman"/>
          <w:sz w:val="22"/>
          <w:szCs w:val="22"/>
        </w:rPr>
        <w:t>無</w:t>
      </w:r>
      <w:r w:rsidR="003E45F4">
        <w:rPr>
          <w:rFonts w:ascii="標楷體" w:eastAsia="標楷體" w:hAnsi="標楷體" w:hint="eastAsia"/>
          <w:color w:val="FF0000"/>
          <w:kern w:val="0"/>
          <w:sz w:val="22"/>
          <w:highlight w:val="yellow"/>
        </w:rPr>
        <w:t>』</w:t>
      </w:r>
      <w:r w:rsidR="003E45F4">
        <w:rPr>
          <w:rFonts w:ascii="標楷體" w:eastAsia="標楷體" w:hAnsi="標楷體" w:hint="eastAsia"/>
          <w:bCs/>
          <w:color w:val="FF0000"/>
          <w:kern w:val="0"/>
          <w:sz w:val="22"/>
          <w:highlight w:val="yellow"/>
        </w:rPr>
        <w:t>」</w:t>
      </w:r>
      <w:r w:rsidRPr="00412A9C">
        <w:rPr>
          <w:rFonts w:ascii="Times New Roman" w:eastAsia="標楷體" w:hAnsi="Times New Roman"/>
          <w:sz w:val="22"/>
          <w:szCs w:val="22"/>
        </w:rPr>
        <w:t>，即是</w:t>
      </w:r>
      <w:r w:rsidR="003E45F4">
        <w:rPr>
          <w:rFonts w:ascii="標楷體" w:eastAsia="標楷體" w:hAnsi="標楷體" w:hint="eastAsia"/>
          <w:bCs/>
          <w:color w:val="FF0000"/>
          <w:kern w:val="0"/>
          <w:sz w:val="22"/>
          <w:highlight w:val="yellow"/>
        </w:rPr>
        <w:t>「</w:t>
      </w:r>
      <w:r w:rsidRPr="00412A9C">
        <w:rPr>
          <w:rFonts w:ascii="Times New Roman" w:eastAsia="標楷體" w:hAnsi="Times New Roman"/>
          <w:sz w:val="22"/>
          <w:szCs w:val="22"/>
        </w:rPr>
        <w:t>有所得</w:t>
      </w:r>
      <w:r w:rsidR="003E45F4">
        <w:rPr>
          <w:rFonts w:ascii="標楷體" w:eastAsia="標楷體" w:hAnsi="標楷體" w:hint="eastAsia"/>
          <w:bCs/>
          <w:color w:val="FF0000"/>
          <w:kern w:val="0"/>
          <w:sz w:val="22"/>
          <w:highlight w:val="yellow"/>
        </w:rPr>
        <w:t>」</w:t>
      </w:r>
      <w:r w:rsidRPr="00412A9C">
        <w:rPr>
          <w:rFonts w:ascii="Times New Roman" w:eastAsia="標楷體" w:hAnsi="Times New Roman"/>
          <w:sz w:val="22"/>
          <w:szCs w:val="22"/>
        </w:rPr>
        <w:t>。五句皆畢竟空，是諸佛菩薩所離，故云</w:t>
      </w:r>
      <w:r w:rsidR="003E45F4">
        <w:rPr>
          <w:rFonts w:ascii="標楷體" w:eastAsia="標楷體" w:hAnsi="標楷體" w:hint="eastAsia"/>
          <w:bCs/>
          <w:color w:val="FF0000"/>
          <w:kern w:val="0"/>
          <w:sz w:val="22"/>
          <w:highlight w:val="yellow"/>
        </w:rPr>
        <w:t>「</w:t>
      </w:r>
      <w:r w:rsidRPr="00412A9C">
        <w:rPr>
          <w:rFonts w:ascii="Times New Roman" w:eastAsia="標楷體" w:hAnsi="Times New Roman"/>
          <w:sz w:val="22"/>
          <w:szCs w:val="22"/>
        </w:rPr>
        <w:t>無</w:t>
      </w:r>
      <w:r w:rsidR="003E45F4">
        <w:rPr>
          <w:rFonts w:ascii="標楷體" w:eastAsia="標楷體" w:hAnsi="標楷體" w:hint="eastAsia"/>
          <w:bCs/>
          <w:color w:val="FF0000"/>
          <w:kern w:val="0"/>
          <w:sz w:val="22"/>
          <w:highlight w:val="yellow"/>
        </w:rPr>
        <w:t>」</w:t>
      </w:r>
      <w:r w:rsidRPr="00412A9C">
        <w:rPr>
          <w:rFonts w:ascii="Times New Roman" w:eastAsia="標楷體" w:hAnsi="Times New Roman"/>
          <w:sz w:val="22"/>
          <w:szCs w:val="22"/>
        </w:rPr>
        <w:t>也。</w:t>
      </w:r>
    </w:p>
  </w:footnote>
  <w:footnote w:id="973">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Pr>
          <w:rFonts w:hint="eastAsia"/>
          <w:szCs w:val="22"/>
        </w:rPr>
        <w:t xml:space="preserve"> </w:t>
      </w:r>
      <w:r w:rsidRPr="00412A9C">
        <w:rPr>
          <w:szCs w:val="22"/>
        </w:rPr>
        <w:t>《大般涅槃經》卷</w:t>
      </w:r>
      <w:r w:rsidRPr="00761EF3">
        <w:rPr>
          <w:szCs w:val="22"/>
        </w:rPr>
        <w:t>17</w:t>
      </w:r>
      <w:r w:rsidRPr="00412A9C">
        <w:rPr>
          <w:szCs w:val="22"/>
        </w:rPr>
        <w:t>〈</w:t>
      </w:r>
      <w:r w:rsidRPr="00761EF3">
        <w:rPr>
          <w:szCs w:val="22"/>
        </w:rPr>
        <w:t>8</w:t>
      </w:r>
      <w:r>
        <w:rPr>
          <w:szCs w:val="22"/>
        </w:rPr>
        <w:t xml:space="preserve"> </w:t>
      </w:r>
      <w:r w:rsidRPr="00412A9C">
        <w:rPr>
          <w:szCs w:val="22"/>
        </w:rPr>
        <w:t>梵行品〉（大正</w:t>
      </w:r>
      <w:r w:rsidRPr="00761EF3">
        <w:rPr>
          <w:szCs w:val="22"/>
        </w:rPr>
        <w:t>12</w:t>
      </w:r>
      <w:r w:rsidRPr="00412A9C">
        <w:rPr>
          <w:szCs w:val="22"/>
        </w:rPr>
        <w:t>，</w:t>
      </w:r>
      <w:r w:rsidRPr="00761EF3">
        <w:rPr>
          <w:szCs w:val="22"/>
        </w:rPr>
        <w:t>464b19</w:t>
      </w:r>
      <w:r w:rsidRPr="00412A9C">
        <w:rPr>
          <w:szCs w:val="22"/>
        </w:rPr>
        <w:t>-</w:t>
      </w:r>
      <w:r w:rsidRPr="00761EF3">
        <w:rPr>
          <w:szCs w:val="22"/>
        </w:rPr>
        <w:t>23</w:t>
      </w:r>
      <w:r w:rsidRPr="00412A9C">
        <w:rPr>
          <w:szCs w:val="22"/>
        </w:rPr>
        <w:t>）：</w:t>
      </w:r>
    </w:p>
    <w:p w:rsidR="00157EF6" w:rsidRPr="00412A9C" w:rsidRDefault="00157EF6" w:rsidP="00AA120F">
      <w:pPr>
        <w:pStyle w:val="a5"/>
        <w:ind w:leftChars="105" w:left="252"/>
        <w:jc w:val="both"/>
        <w:rPr>
          <w:szCs w:val="22"/>
        </w:rPr>
      </w:pPr>
      <w:r w:rsidRPr="00412A9C">
        <w:rPr>
          <w:rFonts w:ascii="標楷體" w:eastAsia="標楷體" w:hAnsi="標楷體"/>
          <w:szCs w:val="22"/>
        </w:rPr>
        <w:t>菩薩摩訶薩</w:t>
      </w:r>
      <w:r w:rsidR="003E45F4">
        <w:rPr>
          <w:rFonts w:ascii="標楷體" w:eastAsia="標楷體" w:hAnsi="標楷體" w:hint="eastAsia"/>
          <w:bCs/>
          <w:color w:val="FF0000"/>
          <w:kern w:val="0"/>
          <w:highlight w:val="yellow"/>
        </w:rPr>
        <w:t>「</w:t>
      </w:r>
      <w:r w:rsidRPr="00412A9C">
        <w:rPr>
          <w:rFonts w:ascii="標楷體" w:eastAsia="標楷體" w:hAnsi="標楷體"/>
          <w:b/>
          <w:szCs w:val="22"/>
        </w:rPr>
        <w:t>無所得</w:t>
      </w:r>
      <w:r w:rsidR="003E45F4">
        <w:rPr>
          <w:rFonts w:ascii="標楷體" w:eastAsia="標楷體" w:hAnsi="標楷體" w:hint="eastAsia"/>
          <w:bCs/>
          <w:color w:val="FF0000"/>
          <w:kern w:val="0"/>
          <w:highlight w:val="yellow"/>
        </w:rPr>
        <w:t>」</w:t>
      </w:r>
      <w:r w:rsidRPr="00412A9C">
        <w:rPr>
          <w:rFonts w:ascii="標楷體" w:eastAsia="標楷體" w:hAnsi="標楷體"/>
          <w:szCs w:val="22"/>
        </w:rPr>
        <w:t>者名</w:t>
      </w:r>
      <w:r w:rsidR="003E45F4">
        <w:rPr>
          <w:rFonts w:ascii="標楷體" w:eastAsia="標楷體" w:hAnsi="標楷體" w:hint="eastAsia"/>
          <w:bCs/>
          <w:color w:val="FF0000"/>
          <w:kern w:val="0"/>
          <w:highlight w:val="yellow"/>
        </w:rPr>
        <w:t>「</w:t>
      </w:r>
      <w:r w:rsidRPr="00412A9C">
        <w:rPr>
          <w:rFonts w:ascii="標楷體" w:eastAsia="標楷體" w:hAnsi="標楷體"/>
          <w:szCs w:val="22"/>
        </w:rPr>
        <w:t>常</w:t>
      </w:r>
      <w:r w:rsidRPr="00412A9C">
        <w:rPr>
          <w:rFonts w:ascii="標楷體" w:eastAsia="標楷體" w:hAnsi="標楷體" w:hint="eastAsia"/>
          <w:szCs w:val="22"/>
        </w:rPr>
        <w:t>、</w:t>
      </w:r>
      <w:r w:rsidRPr="00412A9C">
        <w:rPr>
          <w:rFonts w:ascii="標楷體" w:eastAsia="標楷體" w:hAnsi="標楷體"/>
          <w:szCs w:val="22"/>
        </w:rPr>
        <w:t>樂</w:t>
      </w:r>
      <w:r w:rsidRPr="00412A9C">
        <w:rPr>
          <w:rFonts w:ascii="標楷體" w:eastAsia="標楷體" w:hAnsi="標楷體" w:hint="eastAsia"/>
          <w:szCs w:val="22"/>
        </w:rPr>
        <w:t>、</w:t>
      </w:r>
      <w:r w:rsidRPr="00412A9C">
        <w:rPr>
          <w:rFonts w:ascii="標楷體" w:eastAsia="標楷體" w:hAnsi="標楷體"/>
          <w:szCs w:val="22"/>
        </w:rPr>
        <w:t>我</w:t>
      </w:r>
      <w:r w:rsidRPr="00412A9C">
        <w:rPr>
          <w:rFonts w:ascii="標楷體" w:eastAsia="標楷體" w:hAnsi="標楷體" w:hint="eastAsia"/>
          <w:szCs w:val="22"/>
        </w:rPr>
        <w:t>、</w:t>
      </w:r>
      <w:r w:rsidRPr="00412A9C">
        <w:rPr>
          <w:rFonts w:ascii="標楷體" w:eastAsia="標楷體" w:hAnsi="標楷體"/>
          <w:szCs w:val="22"/>
        </w:rPr>
        <w:t>淨</w:t>
      </w:r>
      <w:r w:rsidR="003E45F4">
        <w:rPr>
          <w:rFonts w:ascii="標楷體" w:eastAsia="標楷體" w:hAnsi="標楷體" w:hint="eastAsia"/>
          <w:bCs/>
          <w:color w:val="FF0000"/>
          <w:kern w:val="0"/>
          <w:highlight w:val="yellow"/>
        </w:rPr>
        <w:t>」</w:t>
      </w:r>
      <w:r w:rsidR="003E45F4">
        <w:rPr>
          <w:rFonts w:ascii="標楷體" w:eastAsia="標楷體" w:hAnsi="標楷體" w:hint="eastAsia"/>
          <w:color w:val="FF0000"/>
          <w:spacing w:val="-4"/>
          <w:kern w:val="0"/>
          <w:highlight w:val="yellow"/>
        </w:rPr>
        <w:t>；</w:t>
      </w:r>
      <w:r w:rsidRPr="00412A9C">
        <w:rPr>
          <w:rFonts w:ascii="標楷體" w:eastAsia="標楷體" w:hAnsi="標楷體"/>
          <w:szCs w:val="22"/>
        </w:rPr>
        <w:t>菩薩摩訶薩見佛性故得</w:t>
      </w:r>
      <w:r w:rsidR="003E45F4">
        <w:rPr>
          <w:rFonts w:ascii="標楷體" w:eastAsia="標楷體" w:hAnsi="標楷體" w:hint="eastAsia"/>
          <w:bCs/>
          <w:color w:val="FF0000"/>
          <w:kern w:val="0"/>
          <w:highlight w:val="yellow"/>
        </w:rPr>
        <w:t>「</w:t>
      </w:r>
      <w:r w:rsidRPr="00412A9C">
        <w:rPr>
          <w:rFonts w:ascii="標楷體" w:eastAsia="標楷體" w:hAnsi="標楷體"/>
          <w:szCs w:val="22"/>
        </w:rPr>
        <w:t>常</w:t>
      </w:r>
      <w:r w:rsidRPr="00412A9C">
        <w:rPr>
          <w:rFonts w:ascii="標楷體" w:eastAsia="標楷體" w:hAnsi="標楷體" w:hint="eastAsia"/>
          <w:szCs w:val="22"/>
        </w:rPr>
        <w:t>、</w:t>
      </w:r>
      <w:r w:rsidRPr="00412A9C">
        <w:rPr>
          <w:rFonts w:ascii="標楷體" w:eastAsia="標楷體" w:hAnsi="標楷體"/>
          <w:szCs w:val="22"/>
        </w:rPr>
        <w:t>樂</w:t>
      </w:r>
      <w:r w:rsidRPr="00412A9C">
        <w:rPr>
          <w:rFonts w:ascii="標楷體" w:eastAsia="標楷體" w:hAnsi="標楷體" w:hint="eastAsia"/>
          <w:szCs w:val="22"/>
        </w:rPr>
        <w:t>、</w:t>
      </w:r>
      <w:r w:rsidRPr="00412A9C">
        <w:rPr>
          <w:rFonts w:ascii="標楷體" w:eastAsia="標楷體" w:hAnsi="標楷體"/>
          <w:szCs w:val="22"/>
        </w:rPr>
        <w:t>我</w:t>
      </w:r>
      <w:r w:rsidRPr="00412A9C">
        <w:rPr>
          <w:rFonts w:ascii="標楷體" w:eastAsia="標楷體" w:hAnsi="標楷體" w:hint="eastAsia"/>
          <w:szCs w:val="22"/>
        </w:rPr>
        <w:t>、</w:t>
      </w:r>
      <w:r w:rsidRPr="00412A9C">
        <w:rPr>
          <w:rFonts w:ascii="標楷體" w:eastAsia="標楷體" w:hAnsi="標楷體"/>
          <w:szCs w:val="22"/>
        </w:rPr>
        <w:t>淨</w:t>
      </w:r>
      <w:r w:rsidR="003E45F4">
        <w:rPr>
          <w:rFonts w:ascii="標楷體" w:eastAsia="標楷體" w:hAnsi="標楷體" w:hint="eastAsia"/>
          <w:bCs/>
          <w:color w:val="FF0000"/>
          <w:kern w:val="0"/>
          <w:highlight w:val="yellow"/>
        </w:rPr>
        <w:t>」</w:t>
      </w:r>
      <w:r w:rsidRPr="00412A9C">
        <w:rPr>
          <w:rFonts w:ascii="標楷體" w:eastAsia="標楷體" w:hAnsi="標楷體"/>
          <w:szCs w:val="22"/>
        </w:rPr>
        <w:t>，是故菩薩名</w:t>
      </w:r>
      <w:r w:rsidR="003E45F4">
        <w:rPr>
          <w:rFonts w:ascii="標楷體" w:eastAsia="標楷體" w:hAnsi="標楷體" w:hint="eastAsia"/>
          <w:bCs/>
          <w:color w:val="FF0000"/>
          <w:kern w:val="0"/>
          <w:highlight w:val="yellow"/>
        </w:rPr>
        <w:t>「</w:t>
      </w:r>
      <w:r w:rsidRPr="00412A9C">
        <w:rPr>
          <w:rFonts w:ascii="標楷體" w:eastAsia="標楷體" w:hAnsi="標楷體"/>
          <w:szCs w:val="22"/>
        </w:rPr>
        <w:t>無所得</w:t>
      </w:r>
      <w:r w:rsidR="003E45F4">
        <w:rPr>
          <w:rFonts w:ascii="標楷體" w:eastAsia="標楷體" w:hAnsi="標楷體" w:hint="eastAsia"/>
          <w:bCs/>
          <w:color w:val="FF0000"/>
          <w:kern w:val="0"/>
          <w:highlight w:val="yellow"/>
        </w:rPr>
        <w:t>」</w:t>
      </w:r>
      <w:r w:rsidRPr="00412A9C">
        <w:rPr>
          <w:rFonts w:ascii="標楷體" w:eastAsia="標楷體" w:hAnsi="標楷體"/>
          <w:szCs w:val="22"/>
        </w:rPr>
        <w:t>。</w:t>
      </w:r>
      <w:r w:rsidR="003E45F4">
        <w:rPr>
          <w:rFonts w:ascii="標楷體" w:eastAsia="標楷體" w:hAnsi="標楷體" w:hint="eastAsia"/>
          <w:bCs/>
          <w:color w:val="FF0000"/>
          <w:kern w:val="0"/>
          <w:highlight w:val="yellow"/>
        </w:rPr>
        <w:t>「</w:t>
      </w:r>
      <w:r w:rsidRPr="00412A9C">
        <w:rPr>
          <w:rFonts w:ascii="標楷體" w:eastAsia="標楷體" w:hAnsi="標楷體"/>
          <w:b/>
          <w:szCs w:val="22"/>
        </w:rPr>
        <w:t>有所得</w:t>
      </w:r>
      <w:r w:rsidR="003E45F4">
        <w:rPr>
          <w:rFonts w:ascii="標楷體" w:eastAsia="標楷體" w:hAnsi="標楷體" w:hint="eastAsia"/>
          <w:bCs/>
          <w:color w:val="FF0000"/>
          <w:kern w:val="0"/>
          <w:highlight w:val="yellow"/>
        </w:rPr>
        <w:t>」</w:t>
      </w:r>
      <w:r w:rsidRPr="00412A9C">
        <w:rPr>
          <w:rFonts w:ascii="標楷體" w:eastAsia="標楷體" w:hAnsi="標楷體"/>
          <w:szCs w:val="22"/>
        </w:rPr>
        <w:t>者名</w:t>
      </w:r>
      <w:r w:rsidR="003E45F4">
        <w:rPr>
          <w:rFonts w:ascii="標楷體" w:eastAsia="標楷體" w:hAnsi="標楷體" w:hint="eastAsia"/>
          <w:bCs/>
          <w:color w:val="FF0000"/>
          <w:kern w:val="0"/>
          <w:highlight w:val="yellow"/>
        </w:rPr>
        <w:t>「</w:t>
      </w:r>
      <w:r w:rsidRPr="00412A9C">
        <w:rPr>
          <w:rFonts w:ascii="標楷體" w:eastAsia="標楷體" w:hAnsi="標楷體"/>
          <w:szCs w:val="22"/>
        </w:rPr>
        <w:t>無常</w:t>
      </w:r>
      <w:r w:rsidRPr="00412A9C">
        <w:rPr>
          <w:rFonts w:ascii="標楷體" w:eastAsia="標楷體" w:hAnsi="標楷體" w:hint="eastAsia"/>
          <w:szCs w:val="22"/>
        </w:rPr>
        <w:t>、</w:t>
      </w:r>
      <w:r w:rsidRPr="00412A9C">
        <w:rPr>
          <w:rFonts w:ascii="標楷體" w:eastAsia="標楷體" w:hAnsi="標楷體"/>
          <w:szCs w:val="22"/>
        </w:rPr>
        <w:t>無樂</w:t>
      </w:r>
      <w:r w:rsidRPr="00412A9C">
        <w:rPr>
          <w:rFonts w:ascii="標楷體" w:eastAsia="標楷體" w:hAnsi="標楷體" w:hint="eastAsia"/>
          <w:szCs w:val="22"/>
        </w:rPr>
        <w:t>、</w:t>
      </w:r>
      <w:r w:rsidRPr="00412A9C">
        <w:rPr>
          <w:rFonts w:ascii="標楷體" w:eastAsia="標楷體" w:hAnsi="標楷體"/>
          <w:szCs w:val="22"/>
        </w:rPr>
        <w:t>無我</w:t>
      </w:r>
      <w:r w:rsidRPr="00412A9C">
        <w:rPr>
          <w:rFonts w:ascii="標楷體" w:eastAsia="標楷體" w:hAnsi="標楷體" w:hint="eastAsia"/>
          <w:szCs w:val="22"/>
        </w:rPr>
        <w:t>、</w:t>
      </w:r>
      <w:r w:rsidRPr="00412A9C">
        <w:rPr>
          <w:rFonts w:ascii="標楷體" w:eastAsia="標楷體" w:hAnsi="標楷體"/>
          <w:szCs w:val="22"/>
        </w:rPr>
        <w:t>無淨</w:t>
      </w:r>
      <w:r w:rsidR="003E45F4">
        <w:rPr>
          <w:rFonts w:ascii="標楷體" w:eastAsia="標楷體" w:hAnsi="標楷體" w:hint="eastAsia"/>
          <w:bCs/>
          <w:color w:val="FF0000"/>
          <w:kern w:val="0"/>
          <w:highlight w:val="yellow"/>
        </w:rPr>
        <w:t>」</w:t>
      </w:r>
      <w:r w:rsidR="003E45F4">
        <w:rPr>
          <w:rFonts w:ascii="標楷體" w:eastAsia="標楷體" w:hAnsi="標楷體" w:hint="eastAsia"/>
          <w:color w:val="FF0000"/>
          <w:spacing w:val="-4"/>
          <w:kern w:val="0"/>
          <w:highlight w:val="yellow"/>
        </w:rPr>
        <w:t>；</w:t>
      </w:r>
      <w:r w:rsidRPr="00412A9C">
        <w:rPr>
          <w:rFonts w:ascii="標楷體" w:eastAsia="標楷體" w:hAnsi="標楷體"/>
          <w:szCs w:val="22"/>
        </w:rPr>
        <w:t>菩薩摩訶薩斷是</w:t>
      </w:r>
      <w:r w:rsidR="003E45F4">
        <w:rPr>
          <w:rFonts w:ascii="標楷體" w:eastAsia="標楷體" w:hAnsi="標楷體" w:hint="eastAsia"/>
          <w:bCs/>
          <w:color w:val="FF0000"/>
          <w:kern w:val="0"/>
          <w:highlight w:val="yellow"/>
        </w:rPr>
        <w:t>「</w:t>
      </w:r>
      <w:r w:rsidRPr="00412A9C">
        <w:rPr>
          <w:rFonts w:ascii="標楷體" w:eastAsia="標楷體" w:hAnsi="標楷體"/>
          <w:szCs w:val="22"/>
        </w:rPr>
        <w:t>無常</w:t>
      </w:r>
      <w:r w:rsidRPr="00412A9C">
        <w:rPr>
          <w:rFonts w:ascii="標楷體" w:eastAsia="標楷體" w:hAnsi="標楷體" w:hint="eastAsia"/>
          <w:szCs w:val="22"/>
        </w:rPr>
        <w:t>、</w:t>
      </w:r>
      <w:r w:rsidRPr="00412A9C">
        <w:rPr>
          <w:rFonts w:ascii="標楷體" w:eastAsia="標楷體" w:hAnsi="標楷體"/>
          <w:szCs w:val="22"/>
        </w:rPr>
        <w:t>無樂</w:t>
      </w:r>
      <w:r w:rsidRPr="00412A9C">
        <w:rPr>
          <w:rFonts w:ascii="標楷體" w:eastAsia="標楷體" w:hAnsi="標楷體" w:hint="eastAsia"/>
          <w:szCs w:val="22"/>
        </w:rPr>
        <w:t>、</w:t>
      </w:r>
      <w:r w:rsidRPr="00412A9C">
        <w:rPr>
          <w:rFonts w:ascii="標楷體" w:eastAsia="標楷體" w:hAnsi="標楷體"/>
          <w:szCs w:val="22"/>
        </w:rPr>
        <w:t>無我</w:t>
      </w:r>
      <w:r w:rsidRPr="00412A9C">
        <w:rPr>
          <w:rFonts w:ascii="標楷體" w:eastAsia="標楷體" w:hAnsi="標楷體" w:hint="eastAsia"/>
          <w:szCs w:val="22"/>
        </w:rPr>
        <w:t>、</w:t>
      </w:r>
      <w:r w:rsidRPr="00412A9C">
        <w:rPr>
          <w:rFonts w:ascii="標楷體" w:eastAsia="標楷體" w:hAnsi="標楷體"/>
          <w:szCs w:val="22"/>
        </w:rPr>
        <w:t>無淨</w:t>
      </w:r>
      <w:r w:rsidR="003E45F4">
        <w:rPr>
          <w:rFonts w:ascii="標楷體" w:eastAsia="標楷體" w:hAnsi="標楷體" w:hint="eastAsia"/>
          <w:bCs/>
          <w:color w:val="FF0000"/>
          <w:kern w:val="0"/>
          <w:highlight w:val="yellow"/>
        </w:rPr>
        <w:t>」</w:t>
      </w:r>
      <w:r w:rsidRPr="00412A9C">
        <w:rPr>
          <w:rFonts w:ascii="標楷體" w:eastAsia="標楷體" w:hAnsi="標楷體"/>
          <w:szCs w:val="22"/>
        </w:rPr>
        <w:t>，是故菩薩名</w:t>
      </w:r>
      <w:r w:rsidR="003E45F4">
        <w:rPr>
          <w:rFonts w:ascii="標楷體" w:eastAsia="標楷體" w:hAnsi="標楷體" w:hint="eastAsia"/>
          <w:bCs/>
          <w:color w:val="FF0000"/>
          <w:kern w:val="0"/>
          <w:highlight w:val="yellow"/>
        </w:rPr>
        <w:t>「</w:t>
      </w:r>
      <w:r w:rsidRPr="00412A9C">
        <w:rPr>
          <w:rFonts w:ascii="標楷體" w:eastAsia="標楷體" w:hAnsi="標楷體"/>
          <w:szCs w:val="22"/>
        </w:rPr>
        <w:t>無所得</w:t>
      </w:r>
      <w:r w:rsidR="003E45F4">
        <w:rPr>
          <w:rFonts w:ascii="標楷體" w:eastAsia="標楷體" w:hAnsi="標楷體" w:hint="eastAsia"/>
          <w:bCs/>
          <w:color w:val="FF0000"/>
          <w:kern w:val="0"/>
          <w:highlight w:val="yellow"/>
        </w:rPr>
        <w:t>」</w:t>
      </w:r>
      <w:r w:rsidRPr="00412A9C">
        <w:rPr>
          <w:szCs w:val="22"/>
        </w:rPr>
        <w:t>。</w:t>
      </w:r>
    </w:p>
  </w:footnote>
  <w:footnote w:id="974">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szCs w:val="22"/>
        </w:rPr>
        <w:t>印順法師</w:t>
      </w:r>
      <w:r w:rsidRPr="00412A9C">
        <w:rPr>
          <w:rFonts w:hint="eastAsia"/>
          <w:szCs w:val="22"/>
        </w:rPr>
        <w:t>，</w:t>
      </w:r>
      <w:r w:rsidRPr="00412A9C">
        <w:rPr>
          <w:szCs w:val="22"/>
        </w:rPr>
        <w:t>《中觀論頌講記》，</w:t>
      </w:r>
      <w:r w:rsidRPr="00761EF3">
        <w:rPr>
          <w:szCs w:val="22"/>
        </w:rPr>
        <w:t>p</w:t>
      </w:r>
      <w:r w:rsidRPr="00412A9C">
        <w:rPr>
          <w:szCs w:val="22"/>
        </w:rPr>
        <w:t>.</w:t>
      </w:r>
      <w:r w:rsidRPr="00761EF3">
        <w:rPr>
          <w:szCs w:val="22"/>
        </w:rPr>
        <w:t>57</w:t>
      </w:r>
      <w:r w:rsidRPr="00412A9C">
        <w:rPr>
          <w:szCs w:val="22"/>
        </w:rPr>
        <w:t>：</w:t>
      </w:r>
    </w:p>
    <w:p w:rsidR="00157EF6" w:rsidRPr="00412A9C" w:rsidRDefault="00157EF6" w:rsidP="00AA120F">
      <w:pPr>
        <w:snapToGrid w:val="0"/>
        <w:ind w:leftChars="105" w:left="252"/>
        <w:jc w:val="both"/>
        <w:rPr>
          <w:rFonts w:ascii="Times New Roman" w:eastAsia="標楷體" w:hAnsi="Times New Roman"/>
          <w:sz w:val="22"/>
          <w:szCs w:val="22"/>
        </w:rPr>
      </w:pPr>
      <w:r w:rsidRPr="00412A9C">
        <w:rPr>
          <w:rFonts w:ascii="Times New Roman" w:eastAsia="標楷體" w:hAnsi="Times New Roman"/>
          <w:sz w:val="22"/>
          <w:szCs w:val="22"/>
        </w:rPr>
        <w:t>「</w:t>
      </w:r>
      <w:r w:rsidRPr="00412A9C">
        <w:rPr>
          <w:rFonts w:ascii="Times New Roman" w:eastAsia="標楷體" w:hAnsi="Times New Roman"/>
          <w:b/>
          <w:sz w:val="22"/>
          <w:szCs w:val="22"/>
        </w:rPr>
        <w:t>橫</w:t>
      </w:r>
      <w:r w:rsidRPr="00412A9C">
        <w:rPr>
          <w:rFonts w:ascii="Times New Roman" w:eastAsia="標楷體" w:hAnsi="Times New Roman"/>
          <w:sz w:val="22"/>
          <w:szCs w:val="22"/>
        </w:rPr>
        <w:t>」，是相待的假立，如說「有」，同時就有「無」與</w:t>
      </w:r>
      <w:r w:rsidRPr="00412A9C">
        <w:rPr>
          <w:rFonts w:ascii="Times New Roman" w:eastAsia="標楷體" w:hAnsi="Times New Roman" w:hint="eastAsia"/>
          <w:sz w:val="22"/>
          <w:szCs w:val="22"/>
        </w:rPr>
        <w:t>它</w:t>
      </w:r>
      <w:r w:rsidRPr="00412A9C">
        <w:rPr>
          <w:rFonts w:ascii="Times New Roman" w:eastAsia="標楷體" w:hAnsi="Times New Roman"/>
          <w:sz w:val="22"/>
          <w:szCs w:val="22"/>
        </w:rPr>
        <w:t>相對，沒有「無」，「有」的觀念就不能成立。「</w:t>
      </w:r>
      <w:r w:rsidRPr="00412A9C">
        <w:rPr>
          <w:rFonts w:ascii="Times New Roman" w:eastAsia="標楷體" w:hAnsi="Times New Roman"/>
          <w:b/>
          <w:sz w:val="22"/>
          <w:szCs w:val="22"/>
        </w:rPr>
        <w:t>豎</w:t>
      </w:r>
      <w:r w:rsidRPr="00412A9C">
        <w:rPr>
          <w:rFonts w:ascii="Times New Roman" w:eastAsia="標楷體" w:hAnsi="Times New Roman"/>
          <w:sz w:val="22"/>
          <w:szCs w:val="22"/>
        </w:rPr>
        <w:t>」，是超情的，眾生在不是實有上，執著為「有」，可以用「無」來否定</w:t>
      </w:r>
      <w:r w:rsidRPr="00412A9C">
        <w:rPr>
          <w:rFonts w:ascii="Times New Roman" w:eastAsia="標楷體" w:hAnsi="Times New Roman" w:hint="eastAsia"/>
          <w:sz w:val="22"/>
          <w:szCs w:val="22"/>
        </w:rPr>
        <w:t>它</w:t>
      </w:r>
      <w:r w:rsidRPr="00412A9C">
        <w:rPr>
          <w:rFonts w:ascii="Times New Roman" w:eastAsia="標楷體" w:hAnsi="Times New Roman"/>
          <w:sz w:val="22"/>
          <w:szCs w:val="22"/>
        </w:rPr>
        <w:t>。但說「無」的用意，是因指見月的，並不叫你想像執著有個實在的「無」。真正性空的</w:t>
      </w:r>
      <w:r w:rsidRPr="00412A9C">
        <w:rPr>
          <w:rFonts w:ascii="Times New Roman" w:eastAsia="標楷體" w:hAnsi="Times New Roman" w:hint="eastAsia"/>
          <w:sz w:val="22"/>
          <w:szCs w:val="22"/>
        </w:rPr>
        <w:t>「</w:t>
      </w:r>
      <w:r w:rsidRPr="00412A9C">
        <w:rPr>
          <w:rFonts w:ascii="Times New Roman" w:eastAsia="標楷體" w:hAnsi="Times New Roman"/>
          <w:sz w:val="22"/>
          <w:szCs w:val="22"/>
        </w:rPr>
        <w:t>空</w:t>
      </w:r>
      <w:r w:rsidRPr="00412A9C">
        <w:rPr>
          <w:rFonts w:ascii="Times New Roman" w:eastAsia="標楷體" w:hAnsi="Times New Roman" w:hint="eastAsia"/>
          <w:sz w:val="22"/>
          <w:szCs w:val="22"/>
        </w:rPr>
        <w:t>」</w:t>
      </w:r>
      <w:r w:rsidRPr="00412A9C">
        <w:rPr>
          <w:rFonts w:ascii="Times New Roman" w:eastAsia="標楷體" w:hAnsi="Times New Roman"/>
          <w:sz w:val="22"/>
          <w:szCs w:val="22"/>
        </w:rPr>
        <w:t>，八不的</w:t>
      </w:r>
      <w:r w:rsidRPr="00412A9C">
        <w:rPr>
          <w:rFonts w:ascii="Times New Roman" w:eastAsia="標楷體" w:hAnsi="Times New Roman" w:hint="eastAsia"/>
          <w:sz w:val="22"/>
          <w:szCs w:val="22"/>
        </w:rPr>
        <w:t>「</w:t>
      </w:r>
      <w:r w:rsidRPr="00412A9C">
        <w:rPr>
          <w:rFonts w:ascii="Times New Roman" w:eastAsia="標楷體" w:hAnsi="Times New Roman"/>
          <w:sz w:val="22"/>
          <w:szCs w:val="22"/>
        </w:rPr>
        <w:t>不</w:t>
      </w:r>
      <w:r w:rsidRPr="00412A9C">
        <w:rPr>
          <w:rFonts w:ascii="Times New Roman" w:eastAsia="標楷體" w:hAnsi="Times New Roman" w:hint="eastAsia"/>
          <w:sz w:val="22"/>
          <w:szCs w:val="22"/>
        </w:rPr>
        <w:t>」</w:t>
      </w:r>
      <w:r w:rsidRPr="00412A9C">
        <w:rPr>
          <w:rFonts w:ascii="Times New Roman" w:eastAsia="標楷體" w:hAnsi="Times New Roman"/>
          <w:sz w:val="22"/>
          <w:szCs w:val="22"/>
        </w:rPr>
        <w:t>，無自性的「無」，都是不能滯在假說相待上的，是要你離執而超越的，離去自性的，這叫做「破二不著一」。若從相待上去理會，這叫做「如狗逐塊，終無了時」。</w:t>
      </w:r>
    </w:p>
  </w:footnote>
  <w:footnote w:id="975">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szCs w:val="22"/>
        </w:rPr>
        <w:t>（</w:t>
      </w:r>
      <w:r w:rsidRPr="00761EF3">
        <w:rPr>
          <w:rFonts w:hint="eastAsia"/>
          <w:szCs w:val="22"/>
        </w:rPr>
        <w:t>1</w:t>
      </w:r>
      <w:r w:rsidRPr="00412A9C">
        <w:rPr>
          <w:szCs w:val="22"/>
        </w:rPr>
        <w:t>）</w:t>
      </w:r>
      <w:r w:rsidRPr="00412A9C">
        <w:rPr>
          <w:rFonts w:hint="eastAsia"/>
          <w:szCs w:val="22"/>
        </w:rPr>
        <w:t>印順法師，</w:t>
      </w:r>
      <w:r w:rsidRPr="00412A9C">
        <w:rPr>
          <w:szCs w:val="22"/>
        </w:rPr>
        <w:t>《成佛之道》（增</w:t>
      </w:r>
      <w:r w:rsidRPr="00412A9C">
        <w:rPr>
          <w:rFonts w:hint="eastAsia"/>
          <w:szCs w:val="22"/>
        </w:rPr>
        <w:t>注</w:t>
      </w:r>
      <w:r w:rsidRPr="00412A9C">
        <w:rPr>
          <w:szCs w:val="22"/>
        </w:rPr>
        <w:t>本）</w:t>
      </w:r>
      <w:r w:rsidRPr="00412A9C">
        <w:rPr>
          <w:rFonts w:hint="eastAsia"/>
          <w:szCs w:val="22"/>
        </w:rPr>
        <w:t>，</w:t>
      </w:r>
      <w:r w:rsidRPr="00761EF3">
        <w:rPr>
          <w:szCs w:val="22"/>
        </w:rPr>
        <w:t>p</w:t>
      </w:r>
      <w:r w:rsidRPr="00412A9C">
        <w:rPr>
          <w:szCs w:val="22"/>
        </w:rPr>
        <w:t>.</w:t>
      </w:r>
      <w:r w:rsidRPr="00761EF3">
        <w:rPr>
          <w:szCs w:val="22"/>
        </w:rPr>
        <w:t>372</w:t>
      </w:r>
      <w:r w:rsidRPr="00412A9C">
        <w:rPr>
          <w:szCs w:val="22"/>
        </w:rPr>
        <w:t>：</w:t>
      </w:r>
    </w:p>
    <w:p w:rsidR="00157EF6" w:rsidRPr="00412A9C" w:rsidRDefault="00157EF6" w:rsidP="00AA120F">
      <w:pPr>
        <w:pStyle w:val="a5"/>
        <w:ind w:leftChars="335" w:left="804"/>
        <w:jc w:val="both"/>
        <w:rPr>
          <w:rFonts w:ascii="標楷體" w:eastAsia="標楷體" w:hAnsi="標楷體"/>
          <w:szCs w:val="22"/>
        </w:rPr>
      </w:pPr>
      <w:r w:rsidRPr="00412A9C">
        <w:rPr>
          <w:rFonts w:ascii="標楷體" w:eastAsia="標楷體" w:hAnsi="標楷體"/>
          <w:szCs w:val="22"/>
        </w:rPr>
        <w:t>《無盡意經》說：</w:t>
      </w:r>
      <w:r w:rsidRPr="00412A9C">
        <w:rPr>
          <w:rFonts w:ascii="標楷體" w:eastAsia="標楷體" w:hAnsi="標楷體"/>
          <w:b/>
          <w:szCs w:val="22"/>
        </w:rPr>
        <w:t>顯示世俗的，是不了義經；顯示勝義的，是了義經。顯示名句施設的，是不了義；顯示甚深難見的，是了義。顯示有我，是不了義；顯示無我、空、無生，是了義的</w:t>
      </w:r>
      <w:r w:rsidRPr="00412A9C">
        <w:rPr>
          <w:rFonts w:ascii="標楷體" w:eastAsia="標楷體" w:hAnsi="標楷體"/>
          <w:szCs w:val="22"/>
        </w:rPr>
        <w:t>。這也如《三摩地王經》等說。這樣，</w:t>
      </w:r>
      <w:r w:rsidRPr="00412A9C">
        <w:rPr>
          <w:rFonts w:ascii="標楷體" w:eastAsia="標楷體" w:hAnsi="標楷體"/>
          <w:b/>
          <w:szCs w:val="22"/>
        </w:rPr>
        <w:t>《般若經》、《中觀論》等，深廣宣說無自性、空、不生滅等，是了義教，是義理決了、究竟，最徹底的教說。</w:t>
      </w:r>
      <w:r w:rsidRPr="00412A9C">
        <w:rPr>
          <w:rFonts w:ascii="標楷體" w:eastAsia="標楷體" w:hAnsi="標楷體"/>
          <w:szCs w:val="22"/>
        </w:rPr>
        <w:t>依於這一了義的立場，一切我、法，都是世俗的，假施設的。從生死業果，到三乘道果，就是涅槃，凡是安立為有的，都是</w:t>
      </w:r>
      <w:r w:rsidR="00434424">
        <w:rPr>
          <w:rFonts w:ascii="標楷體" w:eastAsia="標楷體" w:hAnsi="標楷體" w:hint="eastAsia"/>
          <w:szCs w:val="22"/>
        </w:rPr>
        <w:t>「</w:t>
      </w:r>
      <w:r w:rsidRPr="00412A9C">
        <w:rPr>
          <w:rFonts w:ascii="標楷體" w:eastAsia="標楷體" w:hAnsi="標楷體"/>
          <w:szCs w:val="22"/>
        </w:rPr>
        <w:t>唯名，唯假</w:t>
      </w:r>
      <w:r w:rsidR="00434424">
        <w:rPr>
          <w:rFonts w:ascii="標楷體" w:eastAsia="標楷體" w:hAnsi="標楷體" w:hint="eastAsia"/>
          <w:szCs w:val="22"/>
        </w:rPr>
        <w:t>」</w:t>
      </w:r>
      <w:r w:rsidRPr="00412A9C">
        <w:rPr>
          <w:rFonts w:ascii="標楷體" w:eastAsia="標楷體" w:hAnsi="標楷體"/>
          <w:szCs w:val="22"/>
        </w:rPr>
        <w:t>的，名言識所成立的世俗有。如從勝義觀察起來，一切是無自性而不能安立的。</w:t>
      </w:r>
    </w:p>
    <w:p w:rsidR="00157EF6" w:rsidRPr="00412A9C" w:rsidRDefault="00157EF6" w:rsidP="00AA120F">
      <w:pPr>
        <w:pStyle w:val="a5"/>
        <w:ind w:leftChars="105" w:left="791" w:hangingChars="245" w:hanging="539"/>
        <w:jc w:val="both"/>
        <w:rPr>
          <w:szCs w:val="22"/>
        </w:rPr>
      </w:pPr>
      <w:r w:rsidRPr="00412A9C">
        <w:rPr>
          <w:szCs w:val="22"/>
        </w:rPr>
        <w:t>（</w:t>
      </w:r>
      <w:r w:rsidRPr="00761EF3">
        <w:rPr>
          <w:rFonts w:hint="eastAsia"/>
          <w:szCs w:val="22"/>
        </w:rPr>
        <w:t>2</w:t>
      </w:r>
      <w:r w:rsidRPr="00412A9C">
        <w:rPr>
          <w:szCs w:val="22"/>
        </w:rPr>
        <w:t>）</w:t>
      </w:r>
      <w:r w:rsidRPr="00412A9C">
        <w:rPr>
          <w:rFonts w:hint="eastAsia"/>
          <w:szCs w:val="22"/>
        </w:rPr>
        <w:t>印順法師，</w:t>
      </w:r>
      <w:r w:rsidRPr="00412A9C">
        <w:rPr>
          <w:szCs w:val="22"/>
        </w:rPr>
        <w:t>《成佛之道》（增</w:t>
      </w:r>
      <w:r w:rsidRPr="00412A9C">
        <w:rPr>
          <w:rFonts w:hint="eastAsia"/>
          <w:szCs w:val="22"/>
        </w:rPr>
        <w:t>注</w:t>
      </w:r>
      <w:r w:rsidRPr="00412A9C">
        <w:rPr>
          <w:szCs w:val="22"/>
        </w:rPr>
        <w:t>本）</w:t>
      </w:r>
      <w:r w:rsidRPr="00412A9C">
        <w:rPr>
          <w:rFonts w:hint="eastAsia"/>
          <w:szCs w:val="22"/>
        </w:rPr>
        <w:t>，</w:t>
      </w:r>
      <w:r w:rsidRPr="00761EF3">
        <w:rPr>
          <w:szCs w:val="22"/>
        </w:rPr>
        <w:t>p</w:t>
      </w:r>
      <w:r w:rsidRPr="00412A9C">
        <w:rPr>
          <w:szCs w:val="22"/>
        </w:rPr>
        <w:t>.</w:t>
      </w:r>
      <w:r w:rsidRPr="00761EF3">
        <w:rPr>
          <w:szCs w:val="22"/>
        </w:rPr>
        <w:t>37</w:t>
      </w:r>
      <w:r w:rsidRPr="00761EF3">
        <w:rPr>
          <w:rFonts w:hint="eastAsia"/>
          <w:szCs w:val="22"/>
        </w:rPr>
        <w:t>5</w:t>
      </w:r>
      <w:r w:rsidRPr="00412A9C">
        <w:rPr>
          <w:szCs w:val="22"/>
        </w:rPr>
        <w:t>：</w:t>
      </w:r>
    </w:p>
    <w:p w:rsidR="00157EF6" w:rsidRPr="00412A9C" w:rsidRDefault="00157EF6" w:rsidP="00AA120F">
      <w:pPr>
        <w:pStyle w:val="a5"/>
        <w:ind w:leftChars="335" w:left="804"/>
        <w:jc w:val="both"/>
        <w:rPr>
          <w:rFonts w:ascii="標楷體" w:eastAsia="標楷體" w:hAnsi="標楷體"/>
          <w:szCs w:val="22"/>
        </w:rPr>
      </w:pPr>
      <w:r w:rsidRPr="00412A9C">
        <w:rPr>
          <w:rFonts w:ascii="標楷體" w:eastAsia="標楷體" w:hAnsi="標楷體" w:hint="eastAsia"/>
          <w:szCs w:val="22"/>
        </w:rPr>
        <w:t>勝義，是一切法的究極真性，沒有更過上的，所以勝義就是了義。這是中觀論者，承《般若》、《無盡意經》而確立的見地。</w:t>
      </w:r>
    </w:p>
    <w:p w:rsidR="00157EF6" w:rsidRPr="00412A9C" w:rsidRDefault="00157EF6" w:rsidP="00AA120F">
      <w:pPr>
        <w:pStyle w:val="a5"/>
        <w:ind w:leftChars="335" w:left="804"/>
        <w:jc w:val="both"/>
        <w:rPr>
          <w:rFonts w:ascii="標楷體" w:eastAsia="標楷體" w:hAnsi="標楷體"/>
          <w:szCs w:val="22"/>
        </w:rPr>
      </w:pPr>
      <w:r w:rsidRPr="00412A9C">
        <w:rPr>
          <w:rFonts w:ascii="標楷體" w:eastAsia="標楷體" w:hAnsi="標楷體" w:hint="eastAsia"/>
          <w:szCs w:val="22"/>
        </w:rPr>
        <w:t>但</w:t>
      </w:r>
      <w:r w:rsidRPr="00412A9C">
        <w:rPr>
          <w:rFonts w:ascii="標楷體" w:eastAsia="標楷體" w:hAnsi="標楷體" w:hint="eastAsia"/>
          <w:b/>
          <w:szCs w:val="22"/>
        </w:rPr>
        <w:t>《解深密經》以了義與深密（不了義）相對論：說得顯明易了的，是了義；說得深隱微密的，是不了義。</w:t>
      </w:r>
    </w:p>
  </w:footnote>
  <w:footnote w:id="976">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Pr>
          <w:rFonts w:hint="eastAsia"/>
          <w:szCs w:val="22"/>
        </w:rPr>
        <w:t xml:space="preserve"> </w:t>
      </w:r>
      <w:r w:rsidRPr="00412A9C">
        <w:rPr>
          <w:szCs w:val="22"/>
        </w:rPr>
        <w:t>《中論》卷</w:t>
      </w:r>
      <w:r w:rsidRPr="00761EF3">
        <w:rPr>
          <w:szCs w:val="22"/>
        </w:rPr>
        <w:t>2</w:t>
      </w:r>
      <w:r w:rsidRPr="00412A9C">
        <w:rPr>
          <w:szCs w:val="22"/>
        </w:rPr>
        <w:t>〈</w:t>
      </w:r>
      <w:r w:rsidRPr="00761EF3">
        <w:rPr>
          <w:szCs w:val="22"/>
        </w:rPr>
        <w:t>13</w:t>
      </w:r>
      <w:r>
        <w:rPr>
          <w:szCs w:val="22"/>
        </w:rPr>
        <w:t xml:space="preserve"> </w:t>
      </w:r>
      <w:r w:rsidRPr="00412A9C">
        <w:rPr>
          <w:szCs w:val="22"/>
        </w:rPr>
        <w:t>觀行品〉（大正</w:t>
      </w:r>
      <w:r w:rsidRPr="00761EF3">
        <w:rPr>
          <w:szCs w:val="22"/>
        </w:rPr>
        <w:t>30</w:t>
      </w:r>
      <w:r w:rsidRPr="00412A9C">
        <w:rPr>
          <w:szCs w:val="22"/>
        </w:rPr>
        <w:t>，</w:t>
      </w:r>
      <w:r w:rsidRPr="00761EF3">
        <w:rPr>
          <w:szCs w:val="22"/>
        </w:rPr>
        <w:t>18c16</w:t>
      </w:r>
      <w:r w:rsidRPr="00412A9C">
        <w:rPr>
          <w:szCs w:val="22"/>
        </w:rPr>
        <w:t>-</w:t>
      </w:r>
      <w:r w:rsidRPr="00761EF3">
        <w:rPr>
          <w:szCs w:val="22"/>
        </w:rPr>
        <w:t>17</w:t>
      </w:r>
      <w:r w:rsidRPr="00412A9C">
        <w:rPr>
          <w:szCs w:val="22"/>
        </w:rPr>
        <w:t>）：</w:t>
      </w:r>
    </w:p>
    <w:p w:rsidR="00157EF6" w:rsidRPr="00412A9C" w:rsidRDefault="00157EF6" w:rsidP="00AA120F">
      <w:pPr>
        <w:pStyle w:val="a5"/>
        <w:ind w:leftChars="105" w:left="252"/>
        <w:jc w:val="both"/>
        <w:rPr>
          <w:szCs w:val="22"/>
        </w:rPr>
      </w:pPr>
      <w:r w:rsidRPr="00412A9C">
        <w:rPr>
          <w:rFonts w:eastAsia="標楷體"/>
          <w:szCs w:val="22"/>
        </w:rPr>
        <w:t>大聖說空法，為離諸見故；若復見有空，諸佛所不化</w:t>
      </w:r>
      <w:r w:rsidRPr="00412A9C">
        <w:rPr>
          <w:szCs w:val="22"/>
        </w:rPr>
        <w:t>。</w:t>
      </w:r>
    </w:p>
  </w:footnote>
  <w:footnote w:id="977">
    <w:p w:rsidR="00157EF6" w:rsidRPr="00412A9C" w:rsidRDefault="00157EF6" w:rsidP="00AA120F">
      <w:pPr>
        <w:pStyle w:val="a5"/>
        <w:spacing w:line="0" w:lineRule="atLeast"/>
        <w:ind w:left="253" w:hangingChars="115" w:hanging="253"/>
        <w:jc w:val="both"/>
        <w:rPr>
          <w:rFonts w:eastAsia="SimSun"/>
          <w:szCs w:val="22"/>
        </w:rPr>
      </w:pPr>
      <w:r w:rsidRPr="00412A9C">
        <w:rPr>
          <w:rStyle w:val="a6"/>
          <w:szCs w:val="22"/>
        </w:rPr>
        <w:footnoteRef/>
      </w:r>
      <w:r w:rsidRPr="00412A9C">
        <w:rPr>
          <w:rFonts w:eastAsia="SimSun"/>
          <w:szCs w:val="22"/>
        </w:rPr>
        <w:t xml:space="preserve"> </w:t>
      </w:r>
      <w:r w:rsidRPr="00412A9C">
        <w:rPr>
          <w:szCs w:val="22"/>
        </w:rPr>
        <w:t>泯絕：完全消滅或消失。（《漢語大詞典》（</w:t>
      </w:r>
      <w:r w:rsidRPr="00412A9C">
        <w:rPr>
          <w:rFonts w:eastAsia="SimSun"/>
          <w:szCs w:val="22"/>
        </w:rPr>
        <w:t>五</w:t>
      </w:r>
      <w:r w:rsidRPr="00412A9C">
        <w:rPr>
          <w:szCs w:val="22"/>
        </w:rPr>
        <w:t>）</w:t>
      </w:r>
      <w:r w:rsidRPr="00412A9C">
        <w:rPr>
          <w:rFonts w:hint="eastAsia"/>
          <w:szCs w:val="22"/>
        </w:rPr>
        <w:t>，</w:t>
      </w:r>
      <w:r w:rsidRPr="00761EF3">
        <w:rPr>
          <w:szCs w:val="22"/>
        </w:rPr>
        <w:t>p</w:t>
      </w:r>
      <w:r w:rsidRPr="00412A9C">
        <w:rPr>
          <w:szCs w:val="22"/>
        </w:rPr>
        <w:t>.</w:t>
      </w:r>
      <w:r w:rsidRPr="00761EF3">
        <w:rPr>
          <w:rFonts w:eastAsia="SimSun"/>
          <w:szCs w:val="22"/>
        </w:rPr>
        <w:t>1111</w:t>
      </w:r>
      <w:r w:rsidRPr="00412A9C">
        <w:rPr>
          <w:szCs w:val="22"/>
        </w:rPr>
        <w:t>）</w:t>
      </w:r>
    </w:p>
  </w:footnote>
  <w:footnote w:id="978">
    <w:p w:rsidR="00157EF6" w:rsidRPr="00412A9C" w:rsidRDefault="00157EF6" w:rsidP="00AA120F">
      <w:pPr>
        <w:pStyle w:val="a5"/>
        <w:spacing w:line="0" w:lineRule="atLeast"/>
        <w:ind w:left="253" w:hangingChars="115" w:hanging="253"/>
        <w:jc w:val="both"/>
        <w:rPr>
          <w:rFonts w:eastAsia="SimSun"/>
          <w:szCs w:val="22"/>
        </w:rPr>
      </w:pPr>
      <w:r w:rsidRPr="00412A9C">
        <w:rPr>
          <w:rStyle w:val="a6"/>
          <w:szCs w:val="22"/>
        </w:rPr>
        <w:footnoteRef/>
      </w:r>
      <w:r w:rsidRPr="00412A9C">
        <w:rPr>
          <w:rFonts w:eastAsia="SimSun"/>
          <w:szCs w:val="22"/>
        </w:rPr>
        <w:t xml:space="preserve"> </w:t>
      </w:r>
      <w:r w:rsidRPr="00412A9C">
        <w:rPr>
          <w:szCs w:val="22"/>
        </w:rPr>
        <w:t>耽：</w:t>
      </w:r>
      <w:r w:rsidRPr="00761EF3">
        <w:rPr>
          <w:szCs w:val="22"/>
        </w:rPr>
        <w:t>3</w:t>
      </w:r>
      <w:r w:rsidRPr="00412A9C">
        <w:rPr>
          <w:szCs w:val="22"/>
        </w:rPr>
        <w:t>.</w:t>
      </w:r>
      <w:r w:rsidRPr="00412A9C">
        <w:rPr>
          <w:szCs w:val="22"/>
        </w:rPr>
        <w:t>愛好。</w:t>
      </w:r>
      <w:r w:rsidRPr="00761EF3">
        <w:rPr>
          <w:rFonts w:eastAsia="SimSun"/>
          <w:szCs w:val="22"/>
        </w:rPr>
        <w:t>4</w:t>
      </w:r>
      <w:r w:rsidRPr="00412A9C">
        <w:rPr>
          <w:szCs w:val="22"/>
        </w:rPr>
        <w:t>.</w:t>
      </w:r>
      <w:r w:rsidRPr="00412A9C">
        <w:rPr>
          <w:rFonts w:eastAsia="SimSun"/>
          <w:szCs w:val="22"/>
        </w:rPr>
        <w:t>停留</w:t>
      </w:r>
      <w:r w:rsidRPr="00412A9C">
        <w:rPr>
          <w:szCs w:val="22"/>
        </w:rPr>
        <w:t>，遲延。（《漢語大詞典》（</w:t>
      </w:r>
      <w:r w:rsidRPr="00412A9C">
        <w:rPr>
          <w:rFonts w:eastAsia="SimSun"/>
          <w:szCs w:val="22"/>
        </w:rPr>
        <w:t>八</w:t>
      </w:r>
      <w:r w:rsidRPr="00412A9C">
        <w:rPr>
          <w:szCs w:val="22"/>
        </w:rPr>
        <w:t>）</w:t>
      </w:r>
      <w:r w:rsidRPr="00412A9C">
        <w:rPr>
          <w:rFonts w:hint="eastAsia"/>
          <w:szCs w:val="22"/>
        </w:rPr>
        <w:t>，</w:t>
      </w:r>
      <w:r w:rsidRPr="00761EF3">
        <w:rPr>
          <w:szCs w:val="22"/>
        </w:rPr>
        <w:t>p</w:t>
      </w:r>
      <w:r w:rsidRPr="00412A9C">
        <w:rPr>
          <w:szCs w:val="22"/>
        </w:rPr>
        <w:t>.</w:t>
      </w:r>
      <w:r w:rsidRPr="00761EF3">
        <w:rPr>
          <w:rFonts w:eastAsia="SimSun"/>
          <w:szCs w:val="22"/>
        </w:rPr>
        <w:t>657</w:t>
      </w:r>
      <w:r w:rsidRPr="00412A9C">
        <w:rPr>
          <w:szCs w:val="22"/>
        </w:rPr>
        <w:t>）</w:t>
      </w:r>
    </w:p>
  </w:footnote>
  <w:footnote w:id="979">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Pr>
          <w:rFonts w:hint="eastAsia"/>
          <w:szCs w:val="22"/>
        </w:rPr>
        <w:t xml:space="preserve"> </w:t>
      </w:r>
      <w:r w:rsidRPr="00412A9C">
        <w:rPr>
          <w:szCs w:val="22"/>
        </w:rPr>
        <w:t>《中論》卷</w:t>
      </w:r>
      <w:r w:rsidRPr="00761EF3">
        <w:rPr>
          <w:szCs w:val="22"/>
        </w:rPr>
        <w:t>2</w:t>
      </w:r>
      <w:r w:rsidRPr="00412A9C">
        <w:rPr>
          <w:szCs w:val="22"/>
        </w:rPr>
        <w:t>〈</w:t>
      </w:r>
      <w:r w:rsidRPr="00761EF3">
        <w:rPr>
          <w:szCs w:val="22"/>
        </w:rPr>
        <w:t>13</w:t>
      </w:r>
      <w:r>
        <w:rPr>
          <w:szCs w:val="22"/>
        </w:rPr>
        <w:t xml:space="preserve"> </w:t>
      </w:r>
      <w:r w:rsidRPr="00412A9C">
        <w:rPr>
          <w:szCs w:val="22"/>
        </w:rPr>
        <w:t>觀行品〉（大正</w:t>
      </w:r>
      <w:r w:rsidRPr="00761EF3">
        <w:rPr>
          <w:szCs w:val="22"/>
        </w:rPr>
        <w:t>30</w:t>
      </w:r>
      <w:r w:rsidRPr="00412A9C">
        <w:rPr>
          <w:szCs w:val="22"/>
        </w:rPr>
        <w:t>，</w:t>
      </w:r>
      <w:r w:rsidRPr="00761EF3">
        <w:rPr>
          <w:szCs w:val="22"/>
        </w:rPr>
        <w:t>18c16</w:t>
      </w:r>
      <w:r w:rsidRPr="00412A9C">
        <w:rPr>
          <w:szCs w:val="22"/>
        </w:rPr>
        <w:t>-</w:t>
      </w:r>
      <w:r w:rsidRPr="00761EF3">
        <w:rPr>
          <w:szCs w:val="22"/>
        </w:rPr>
        <w:t>17</w:t>
      </w:r>
      <w:r w:rsidRPr="00412A9C">
        <w:rPr>
          <w:szCs w:val="22"/>
        </w:rPr>
        <w:t>）</w:t>
      </w:r>
      <w:r w:rsidRPr="00412A9C">
        <w:rPr>
          <w:rFonts w:hint="eastAsia"/>
          <w:szCs w:val="22"/>
        </w:rPr>
        <w:t>。</w:t>
      </w:r>
    </w:p>
  </w:footnote>
  <w:footnote w:id="980">
    <w:p w:rsidR="00157EF6" w:rsidRPr="00412A9C" w:rsidRDefault="00157EF6" w:rsidP="00AA120F">
      <w:pPr>
        <w:pStyle w:val="a5"/>
        <w:spacing w:line="0" w:lineRule="atLeast"/>
        <w:ind w:left="253" w:hangingChars="115" w:hanging="253"/>
        <w:jc w:val="both"/>
        <w:rPr>
          <w:rFonts w:eastAsia="SimSun"/>
          <w:szCs w:val="22"/>
        </w:rPr>
      </w:pPr>
      <w:r w:rsidRPr="00412A9C">
        <w:rPr>
          <w:rStyle w:val="a6"/>
          <w:szCs w:val="22"/>
        </w:rPr>
        <w:footnoteRef/>
      </w:r>
      <w:r w:rsidRPr="00412A9C">
        <w:rPr>
          <w:szCs w:val="22"/>
        </w:rPr>
        <w:t xml:space="preserve"> </w:t>
      </w:r>
      <w:r w:rsidRPr="00412A9C">
        <w:rPr>
          <w:szCs w:val="22"/>
        </w:rPr>
        <w:t>彈：</w:t>
      </w:r>
      <w:r w:rsidRPr="00761EF3">
        <w:rPr>
          <w:szCs w:val="22"/>
        </w:rPr>
        <w:t>9</w:t>
      </w:r>
      <w:r w:rsidRPr="00412A9C">
        <w:rPr>
          <w:szCs w:val="22"/>
        </w:rPr>
        <w:t>.</w:t>
      </w:r>
      <w:r w:rsidRPr="00412A9C">
        <w:rPr>
          <w:szCs w:val="22"/>
        </w:rPr>
        <w:t>割開，挑破。</w:t>
      </w:r>
      <w:r w:rsidRPr="00761EF3">
        <w:rPr>
          <w:rFonts w:eastAsia="SimSun"/>
          <w:szCs w:val="22"/>
        </w:rPr>
        <w:t>13</w:t>
      </w:r>
      <w:r w:rsidRPr="00412A9C">
        <w:rPr>
          <w:szCs w:val="22"/>
        </w:rPr>
        <w:t>.</w:t>
      </w:r>
      <w:r w:rsidRPr="00412A9C">
        <w:rPr>
          <w:szCs w:val="22"/>
        </w:rPr>
        <w:t>引申為指摘。（《漢語大詞典》（</w:t>
      </w:r>
      <w:r w:rsidRPr="00412A9C">
        <w:rPr>
          <w:rFonts w:eastAsia="SimSun"/>
          <w:szCs w:val="22"/>
        </w:rPr>
        <w:t>四</w:t>
      </w:r>
      <w:r w:rsidRPr="00412A9C">
        <w:rPr>
          <w:szCs w:val="22"/>
        </w:rPr>
        <w:t>）</w:t>
      </w:r>
      <w:r w:rsidRPr="00412A9C">
        <w:rPr>
          <w:rFonts w:hint="eastAsia"/>
          <w:szCs w:val="22"/>
        </w:rPr>
        <w:t>，</w:t>
      </w:r>
      <w:r w:rsidRPr="00761EF3">
        <w:rPr>
          <w:szCs w:val="22"/>
        </w:rPr>
        <w:t>p</w:t>
      </w:r>
      <w:r w:rsidRPr="00412A9C">
        <w:rPr>
          <w:szCs w:val="22"/>
        </w:rPr>
        <w:t>.</w:t>
      </w:r>
      <w:r w:rsidRPr="00761EF3">
        <w:rPr>
          <w:rFonts w:eastAsia="SimSun"/>
          <w:szCs w:val="22"/>
        </w:rPr>
        <w:t>150</w:t>
      </w:r>
      <w:r w:rsidRPr="00412A9C">
        <w:rPr>
          <w:szCs w:val="22"/>
        </w:rPr>
        <w:t>）</w:t>
      </w:r>
    </w:p>
  </w:footnote>
  <w:footnote w:id="981">
    <w:p w:rsidR="00157EF6" w:rsidRPr="00412A9C" w:rsidRDefault="00157EF6" w:rsidP="00AA120F">
      <w:pPr>
        <w:pStyle w:val="a5"/>
        <w:spacing w:line="0" w:lineRule="atLeast"/>
        <w:ind w:left="253" w:hangingChars="115" w:hanging="253"/>
        <w:jc w:val="both"/>
        <w:rPr>
          <w:rFonts w:eastAsia="標楷體"/>
          <w:szCs w:val="22"/>
        </w:rPr>
      </w:pPr>
      <w:r w:rsidRPr="00412A9C">
        <w:rPr>
          <w:rStyle w:val="a6"/>
          <w:szCs w:val="22"/>
        </w:rPr>
        <w:footnoteRef/>
      </w:r>
      <w:r>
        <w:rPr>
          <w:rFonts w:hint="eastAsia"/>
          <w:szCs w:val="22"/>
        </w:rPr>
        <w:t xml:space="preserve"> </w:t>
      </w:r>
      <w:r w:rsidRPr="00412A9C">
        <w:rPr>
          <w:szCs w:val="22"/>
        </w:rPr>
        <w:t>《中論》卷</w:t>
      </w:r>
      <w:r w:rsidRPr="00761EF3">
        <w:rPr>
          <w:szCs w:val="22"/>
        </w:rPr>
        <w:t>4</w:t>
      </w:r>
      <w:r w:rsidRPr="00412A9C">
        <w:rPr>
          <w:szCs w:val="22"/>
        </w:rPr>
        <w:t>〈</w:t>
      </w:r>
      <w:r w:rsidRPr="00761EF3">
        <w:rPr>
          <w:szCs w:val="22"/>
        </w:rPr>
        <w:t>24</w:t>
      </w:r>
      <w:r>
        <w:rPr>
          <w:szCs w:val="22"/>
        </w:rPr>
        <w:t xml:space="preserve"> </w:t>
      </w:r>
      <w:r w:rsidRPr="00412A9C">
        <w:rPr>
          <w:szCs w:val="22"/>
        </w:rPr>
        <w:t>觀四諦品〉</w:t>
      </w:r>
      <w:r w:rsidRPr="00412A9C">
        <w:rPr>
          <w:rFonts w:hint="eastAsia"/>
          <w:szCs w:val="22"/>
        </w:rPr>
        <w:t>（</w:t>
      </w:r>
      <w:r w:rsidRPr="00412A9C">
        <w:rPr>
          <w:szCs w:val="22"/>
        </w:rPr>
        <w:t>青目釋</w:t>
      </w:r>
      <w:r w:rsidRPr="00412A9C">
        <w:rPr>
          <w:rFonts w:hint="eastAsia"/>
          <w:szCs w:val="22"/>
        </w:rPr>
        <w:t>）</w:t>
      </w:r>
      <w:r w:rsidRPr="00412A9C">
        <w:rPr>
          <w:szCs w:val="22"/>
        </w:rPr>
        <w:t>（大正</w:t>
      </w:r>
      <w:r w:rsidRPr="00761EF3">
        <w:rPr>
          <w:szCs w:val="22"/>
        </w:rPr>
        <w:t>30</w:t>
      </w:r>
      <w:r w:rsidRPr="00412A9C">
        <w:rPr>
          <w:szCs w:val="22"/>
        </w:rPr>
        <w:t>，</w:t>
      </w:r>
      <w:r w:rsidRPr="00761EF3">
        <w:rPr>
          <w:szCs w:val="22"/>
        </w:rPr>
        <w:t>33b15</w:t>
      </w:r>
      <w:r w:rsidRPr="00412A9C">
        <w:rPr>
          <w:szCs w:val="22"/>
        </w:rPr>
        <w:t>-</w:t>
      </w:r>
      <w:r w:rsidRPr="00761EF3">
        <w:rPr>
          <w:szCs w:val="22"/>
        </w:rPr>
        <w:t>18</w:t>
      </w:r>
      <w:r w:rsidRPr="00412A9C">
        <w:rPr>
          <w:szCs w:val="22"/>
        </w:rPr>
        <w:t>）：</w:t>
      </w:r>
    </w:p>
    <w:p w:rsidR="00157EF6" w:rsidRPr="00412A9C" w:rsidRDefault="00850DF6" w:rsidP="00AA120F">
      <w:pPr>
        <w:pStyle w:val="a5"/>
        <w:ind w:leftChars="105" w:left="252"/>
        <w:jc w:val="both"/>
        <w:rPr>
          <w:szCs w:val="22"/>
        </w:rPr>
      </w:pPr>
      <w:r>
        <w:rPr>
          <w:rFonts w:ascii="標楷體" w:eastAsia="標楷體" w:hAnsi="標楷體" w:hint="eastAsia"/>
          <w:bCs/>
          <w:color w:val="FF0000"/>
          <w:kern w:val="0"/>
          <w:highlight w:val="yellow"/>
        </w:rPr>
        <w:t>「</w:t>
      </w:r>
      <w:r w:rsidR="00157EF6" w:rsidRPr="00412A9C">
        <w:rPr>
          <w:rFonts w:eastAsia="標楷體"/>
          <w:szCs w:val="22"/>
        </w:rPr>
        <w:t>眾因緣生法，我說即是空</w:t>
      </w:r>
      <w:r>
        <w:rPr>
          <w:rFonts w:ascii="標楷體" w:eastAsia="標楷體" w:hAnsi="標楷體" w:hint="eastAsia"/>
          <w:bCs/>
          <w:color w:val="FF0000"/>
          <w:kern w:val="0"/>
          <w:highlight w:val="yellow"/>
        </w:rPr>
        <w:t>」</w:t>
      </w:r>
      <w:r>
        <w:rPr>
          <w:rFonts w:ascii="標楷體" w:eastAsia="標楷體" w:hAnsi="標楷體" w:hint="eastAsia"/>
          <w:color w:val="FF0000"/>
          <w:kern w:val="0"/>
          <w:highlight w:val="yellow"/>
        </w:rPr>
        <w:t>，</w:t>
      </w:r>
      <w:r w:rsidR="00157EF6" w:rsidRPr="00412A9C">
        <w:rPr>
          <w:rFonts w:eastAsia="標楷體"/>
          <w:szCs w:val="22"/>
        </w:rPr>
        <w:t>何以故？眾緣具足和合而物生，是物屬眾因緣故無自性，無自性故空</w:t>
      </w:r>
      <w:r w:rsidR="002374E3">
        <w:rPr>
          <w:rFonts w:ascii="標楷體" w:eastAsia="標楷體" w:hAnsi="標楷體" w:hint="eastAsia"/>
          <w:color w:val="FF0000"/>
          <w:spacing w:val="-4"/>
          <w:kern w:val="0"/>
          <w:highlight w:val="yellow"/>
        </w:rPr>
        <w:t>；</w:t>
      </w:r>
      <w:r w:rsidR="00157EF6" w:rsidRPr="00412A9C">
        <w:rPr>
          <w:rFonts w:eastAsia="標楷體"/>
          <w:szCs w:val="22"/>
        </w:rPr>
        <w:t>空亦復空，但為引導眾生故以假名說</w:t>
      </w:r>
      <w:r w:rsidR="002374E3">
        <w:rPr>
          <w:rFonts w:ascii="標楷體" w:eastAsia="標楷體" w:hAnsi="標楷體" w:hint="eastAsia"/>
          <w:color w:val="FF0000"/>
          <w:spacing w:val="-4"/>
          <w:kern w:val="0"/>
          <w:highlight w:val="yellow"/>
        </w:rPr>
        <w:t>；</w:t>
      </w:r>
      <w:r w:rsidR="00157EF6" w:rsidRPr="00412A9C">
        <w:rPr>
          <w:rFonts w:eastAsia="標楷體"/>
          <w:szCs w:val="22"/>
        </w:rPr>
        <w:t>離有</w:t>
      </w:r>
      <w:r>
        <w:rPr>
          <w:rFonts w:ascii="標楷體" w:eastAsia="標楷體" w:hAnsi="標楷體" w:hint="eastAsia"/>
          <w:color w:val="FF0000"/>
          <w:kern w:val="0"/>
          <w:highlight w:val="yellow"/>
        </w:rPr>
        <w:t>.</w:t>
      </w:r>
      <w:r w:rsidR="00157EF6" w:rsidRPr="00412A9C">
        <w:rPr>
          <w:rFonts w:eastAsia="標楷體"/>
          <w:szCs w:val="22"/>
        </w:rPr>
        <w:t>無二邊故</w:t>
      </w:r>
      <w:r w:rsidR="002374E3">
        <w:rPr>
          <w:rFonts w:ascii="標楷體" w:eastAsia="標楷體" w:hAnsi="標楷體" w:hint="eastAsia"/>
          <w:color w:val="FF0000"/>
          <w:kern w:val="0"/>
          <w:highlight w:val="yellow"/>
        </w:rPr>
        <w:t>，</w:t>
      </w:r>
      <w:r w:rsidR="00157EF6" w:rsidRPr="00412A9C">
        <w:rPr>
          <w:rFonts w:eastAsia="標楷體"/>
          <w:szCs w:val="22"/>
        </w:rPr>
        <w:t>名為</w:t>
      </w:r>
      <w:r>
        <w:rPr>
          <w:rFonts w:ascii="標楷體" w:eastAsia="標楷體" w:hAnsi="標楷體" w:hint="eastAsia"/>
          <w:bCs/>
          <w:color w:val="FF0000"/>
          <w:kern w:val="0"/>
          <w:highlight w:val="yellow"/>
        </w:rPr>
        <w:t>「</w:t>
      </w:r>
      <w:r w:rsidR="00157EF6" w:rsidRPr="00412A9C">
        <w:rPr>
          <w:rFonts w:eastAsia="標楷體"/>
          <w:szCs w:val="22"/>
        </w:rPr>
        <w:t>中道</w:t>
      </w:r>
      <w:r>
        <w:rPr>
          <w:rFonts w:ascii="標楷體" w:eastAsia="標楷體" w:hAnsi="標楷體" w:hint="eastAsia"/>
          <w:bCs/>
          <w:color w:val="FF0000"/>
          <w:kern w:val="0"/>
          <w:highlight w:val="yellow"/>
        </w:rPr>
        <w:t>」</w:t>
      </w:r>
      <w:r w:rsidR="00157EF6" w:rsidRPr="00412A9C">
        <w:rPr>
          <w:rFonts w:eastAsia="標楷體"/>
          <w:szCs w:val="22"/>
        </w:rPr>
        <w:t>。</w:t>
      </w:r>
    </w:p>
  </w:footnote>
  <w:footnote w:id="982">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w:t>
      </w:r>
      <w:r w:rsidRPr="00412A9C">
        <w:rPr>
          <w:rFonts w:hint="eastAsia"/>
          <w:szCs w:val="22"/>
        </w:rPr>
        <w:t>參見</w:t>
      </w:r>
      <w:r w:rsidRPr="00412A9C">
        <w:rPr>
          <w:szCs w:val="22"/>
        </w:rPr>
        <w:t>《中論》卷</w:t>
      </w:r>
      <w:r w:rsidRPr="00761EF3">
        <w:rPr>
          <w:szCs w:val="22"/>
        </w:rPr>
        <w:t>3</w:t>
      </w:r>
      <w:r w:rsidRPr="00412A9C">
        <w:rPr>
          <w:szCs w:val="22"/>
        </w:rPr>
        <w:t>〈</w:t>
      </w:r>
      <w:r w:rsidRPr="00761EF3">
        <w:rPr>
          <w:szCs w:val="22"/>
        </w:rPr>
        <w:t>15</w:t>
      </w:r>
      <w:r>
        <w:rPr>
          <w:szCs w:val="22"/>
        </w:rPr>
        <w:t xml:space="preserve"> </w:t>
      </w:r>
      <w:r w:rsidRPr="00412A9C">
        <w:rPr>
          <w:szCs w:val="22"/>
        </w:rPr>
        <w:t>觀有無品〉（大正</w:t>
      </w:r>
      <w:r w:rsidRPr="00761EF3">
        <w:rPr>
          <w:szCs w:val="22"/>
        </w:rPr>
        <w:t>30</w:t>
      </w:r>
      <w:r w:rsidRPr="00412A9C">
        <w:rPr>
          <w:szCs w:val="22"/>
        </w:rPr>
        <w:t>，</w:t>
      </w:r>
      <w:r w:rsidRPr="00761EF3">
        <w:rPr>
          <w:szCs w:val="22"/>
        </w:rPr>
        <w:t>20b1</w:t>
      </w:r>
      <w:r w:rsidRPr="00412A9C">
        <w:rPr>
          <w:szCs w:val="22"/>
        </w:rPr>
        <w:t>-</w:t>
      </w:r>
      <w:r w:rsidRPr="00761EF3">
        <w:rPr>
          <w:szCs w:val="22"/>
        </w:rPr>
        <w:t>2</w:t>
      </w:r>
      <w:r w:rsidRPr="00412A9C">
        <w:rPr>
          <w:szCs w:val="22"/>
        </w:rPr>
        <w:t>）：</w:t>
      </w:r>
    </w:p>
    <w:p w:rsidR="00157EF6" w:rsidRPr="00412A9C" w:rsidRDefault="00157EF6" w:rsidP="00AA120F">
      <w:pPr>
        <w:pStyle w:val="a5"/>
        <w:ind w:leftChars="335" w:left="804"/>
        <w:jc w:val="both"/>
        <w:rPr>
          <w:rFonts w:eastAsia="SimSun"/>
          <w:szCs w:val="22"/>
        </w:rPr>
      </w:pPr>
      <w:r w:rsidRPr="00412A9C">
        <w:rPr>
          <w:rFonts w:eastAsia="標楷體"/>
          <w:szCs w:val="22"/>
        </w:rPr>
        <w:t>佛能滅有</w:t>
      </w:r>
      <w:r w:rsidR="002374E3">
        <w:rPr>
          <w:rFonts w:ascii="標楷體" w:eastAsia="標楷體" w:hAnsi="標楷體" w:hint="eastAsia"/>
          <w:color w:val="FF0000"/>
          <w:kern w:val="0"/>
          <w:highlight w:val="yellow"/>
        </w:rPr>
        <w:t>.</w:t>
      </w:r>
      <w:r w:rsidRPr="00412A9C">
        <w:rPr>
          <w:rFonts w:eastAsia="標楷體"/>
          <w:szCs w:val="22"/>
        </w:rPr>
        <w:t>無，如化迦旃延經中之所說，離有亦離無。</w:t>
      </w:r>
    </w:p>
    <w:p w:rsidR="00157EF6" w:rsidRPr="00412A9C" w:rsidRDefault="00157EF6" w:rsidP="00AA120F">
      <w:pPr>
        <w:pStyle w:val="a5"/>
        <w:ind w:leftChars="105" w:left="791" w:hangingChars="245" w:hanging="539"/>
        <w:jc w:val="both"/>
        <w:rPr>
          <w:szCs w:val="22"/>
        </w:rPr>
      </w:pPr>
      <w:r w:rsidRPr="00412A9C">
        <w:rPr>
          <w:szCs w:val="22"/>
        </w:rPr>
        <w:t>（</w:t>
      </w:r>
      <w:r w:rsidRPr="00761EF3">
        <w:rPr>
          <w:szCs w:val="22"/>
        </w:rPr>
        <w:t>2</w:t>
      </w:r>
      <w:r w:rsidRPr="00412A9C">
        <w:rPr>
          <w:szCs w:val="22"/>
        </w:rPr>
        <w:t>）</w:t>
      </w:r>
      <w:r w:rsidRPr="00412A9C">
        <w:rPr>
          <w:rFonts w:hint="eastAsia"/>
          <w:szCs w:val="22"/>
        </w:rPr>
        <w:t>參見</w:t>
      </w:r>
      <w:r w:rsidRPr="00412A9C">
        <w:rPr>
          <w:szCs w:val="22"/>
        </w:rPr>
        <w:t>《中論》卷</w:t>
      </w:r>
      <w:r w:rsidRPr="00761EF3">
        <w:rPr>
          <w:szCs w:val="22"/>
        </w:rPr>
        <w:t>3</w:t>
      </w:r>
      <w:r w:rsidRPr="00412A9C">
        <w:rPr>
          <w:szCs w:val="22"/>
        </w:rPr>
        <w:t>〈</w:t>
      </w:r>
      <w:r w:rsidRPr="00761EF3">
        <w:rPr>
          <w:szCs w:val="22"/>
        </w:rPr>
        <w:t>15</w:t>
      </w:r>
      <w:r>
        <w:rPr>
          <w:szCs w:val="22"/>
        </w:rPr>
        <w:t xml:space="preserve"> </w:t>
      </w:r>
      <w:r w:rsidRPr="00412A9C">
        <w:rPr>
          <w:szCs w:val="22"/>
        </w:rPr>
        <w:t>觀有無品〉（大正</w:t>
      </w:r>
      <w:r w:rsidRPr="00761EF3">
        <w:rPr>
          <w:szCs w:val="22"/>
        </w:rPr>
        <w:t>30</w:t>
      </w:r>
      <w:r w:rsidRPr="00412A9C">
        <w:rPr>
          <w:szCs w:val="22"/>
        </w:rPr>
        <w:t>，</w:t>
      </w:r>
      <w:r w:rsidRPr="00761EF3">
        <w:rPr>
          <w:szCs w:val="22"/>
        </w:rPr>
        <w:t>20b17</w:t>
      </w:r>
      <w:r w:rsidRPr="00412A9C">
        <w:rPr>
          <w:szCs w:val="22"/>
        </w:rPr>
        <w:t>-</w:t>
      </w:r>
      <w:r w:rsidRPr="00761EF3">
        <w:rPr>
          <w:szCs w:val="22"/>
        </w:rPr>
        <w:t>18</w:t>
      </w:r>
      <w:r w:rsidRPr="00412A9C">
        <w:rPr>
          <w:szCs w:val="22"/>
        </w:rPr>
        <w:t>）：</w:t>
      </w:r>
    </w:p>
    <w:p w:rsidR="00157EF6" w:rsidRPr="00412A9C" w:rsidRDefault="00157EF6" w:rsidP="00AA120F">
      <w:pPr>
        <w:pStyle w:val="a5"/>
        <w:ind w:leftChars="335" w:left="804"/>
        <w:jc w:val="both"/>
        <w:rPr>
          <w:szCs w:val="22"/>
        </w:rPr>
      </w:pPr>
      <w:r w:rsidRPr="00412A9C">
        <w:rPr>
          <w:rFonts w:eastAsia="標楷體"/>
          <w:szCs w:val="22"/>
        </w:rPr>
        <w:t>定有</w:t>
      </w:r>
      <w:r w:rsidR="002374E3">
        <w:rPr>
          <w:rFonts w:ascii="標楷體" w:eastAsia="標楷體" w:hAnsi="標楷體" w:hint="eastAsia"/>
          <w:color w:val="FF0000"/>
          <w:kern w:val="0"/>
          <w:highlight w:val="yellow"/>
        </w:rPr>
        <w:t>，</w:t>
      </w:r>
      <w:r w:rsidRPr="00412A9C">
        <w:rPr>
          <w:rFonts w:eastAsia="標楷體"/>
          <w:szCs w:val="22"/>
        </w:rPr>
        <w:t>則著常</w:t>
      </w:r>
      <w:r w:rsidR="002374E3">
        <w:rPr>
          <w:rFonts w:ascii="標楷體" w:eastAsia="標楷體" w:hAnsi="標楷體" w:hint="eastAsia"/>
          <w:color w:val="FF0000"/>
          <w:spacing w:val="-4"/>
          <w:kern w:val="0"/>
          <w:highlight w:val="yellow"/>
        </w:rPr>
        <w:t>；</w:t>
      </w:r>
      <w:r w:rsidRPr="00412A9C">
        <w:rPr>
          <w:rFonts w:eastAsia="標楷體"/>
          <w:szCs w:val="22"/>
        </w:rPr>
        <w:t>定無</w:t>
      </w:r>
      <w:r w:rsidR="002374E3">
        <w:rPr>
          <w:rFonts w:ascii="標楷體" w:eastAsia="標楷體" w:hAnsi="標楷體" w:hint="eastAsia"/>
          <w:color w:val="FF0000"/>
          <w:kern w:val="0"/>
          <w:highlight w:val="yellow"/>
        </w:rPr>
        <w:t>，</w:t>
      </w:r>
      <w:r w:rsidRPr="00412A9C">
        <w:rPr>
          <w:rFonts w:eastAsia="標楷體"/>
          <w:szCs w:val="22"/>
        </w:rPr>
        <w:t>則著斷</w:t>
      </w:r>
      <w:r w:rsidR="002374E3">
        <w:rPr>
          <w:rFonts w:ascii="標楷體" w:eastAsia="標楷體" w:hAnsi="標楷體" w:hint="eastAsia"/>
          <w:color w:val="FF0000"/>
          <w:kern w:val="0"/>
          <w:highlight w:val="yellow"/>
        </w:rPr>
        <w:t>。</w:t>
      </w:r>
      <w:r w:rsidRPr="00412A9C">
        <w:rPr>
          <w:rFonts w:eastAsia="標楷體"/>
          <w:szCs w:val="22"/>
        </w:rPr>
        <w:t>是故有智</w:t>
      </w:r>
      <w:r w:rsidRPr="002374E3">
        <w:rPr>
          <w:rFonts w:eastAsia="標楷體"/>
          <w:szCs w:val="22"/>
          <w:highlight w:val="yellow"/>
        </w:rPr>
        <w:t>者不</w:t>
      </w:r>
      <w:r w:rsidRPr="00412A9C">
        <w:rPr>
          <w:rFonts w:eastAsia="標楷體"/>
          <w:szCs w:val="22"/>
        </w:rPr>
        <w:t>應著有無。</w:t>
      </w:r>
    </w:p>
  </w:footnote>
  <w:footnote w:id="983">
    <w:p w:rsidR="00157EF6" w:rsidRPr="00412A9C" w:rsidRDefault="00157EF6" w:rsidP="00AA120F">
      <w:pPr>
        <w:pStyle w:val="a5"/>
        <w:spacing w:line="0" w:lineRule="atLeast"/>
        <w:ind w:left="253" w:hangingChars="115" w:hanging="253"/>
        <w:jc w:val="both"/>
        <w:rPr>
          <w:rFonts w:eastAsia="SimSun"/>
          <w:szCs w:val="22"/>
        </w:rPr>
      </w:pPr>
      <w:r w:rsidRPr="00412A9C">
        <w:rPr>
          <w:rStyle w:val="a6"/>
          <w:szCs w:val="22"/>
        </w:rPr>
        <w:footnoteRef/>
      </w:r>
      <w:r w:rsidRPr="00412A9C">
        <w:rPr>
          <w:szCs w:val="22"/>
        </w:rPr>
        <w:t xml:space="preserve"> </w:t>
      </w:r>
      <w:r w:rsidRPr="00412A9C">
        <w:rPr>
          <w:szCs w:val="22"/>
        </w:rPr>
        <w:t>滯：</w:t>
      </w:r>
      <w:r w:rsidRPr="00761EF3">
        <w:rPr>
          <w:rFonts w:hint="eastAsia"/>
          <w:szCs w:val="22"/>
        </w:rPr>
        <w:t>6</w:t>
      </w:r>
      <w:r w:rsidRPr="00412A9C">
        <w:rPr>
          <w:rFonts w:hint="eastAsia"/>
          <w:szCs w:val="22"/>
        </w:rPr>
        <w:t>.</w:t>
      </w:r>
      <w:r w:rsidRPr="00412A9C">
        <w:rPr>
          <w:rFonts w:hint="eastAsia"/>
          <w:szCs w:val="22"/>
        </w:rPr>
        <w:t>局限，拘泥，固執。</w:t>
      </w:r>
      <w:r w:rsidRPr="00412A9C">
        <w:rPr>
          <w:szCs w:val="22"/>
        </w:rPr>
        <w:t>（《漢語大詞典》（六）</w:t>
      </w:r>
      <w:r w:rsidRPr="00412A9C">
        <w:rPr>
          <w:rFonts w:hint="eastAsia"/>
          <w:szCs w:val="22"/>
        </w:rPr>
        <w:t>，</w:t>
      </w:r>
      <w:r w:rsidRPr="00761EF3">
        <w:rPr>
          <w:szCs w:val="22"/>
        </w:rPr>
        <w:t>p</w:t>
      </w:r>
      <w:r w:rsidRPr="00412A9C">
        <w:rPr>
          <w:szCs w:val="22"/>
        </w:rPr>
        <w:t>.</w:t>
      </w:r>
      <w:r w:rsidRPr="00761EF3">
        <w:rPr>
          <w:rFonts w:eastAsia="SimSun"/>
          <w:szCs w:val="22"/>
        </w:rPr>
        <w:t>79</w:t>
      </w:r>
      <w:r w:rsidRPr="00412A9C">
        <w:rPr>
          <w:szCs w:val="22"/>
        </w:rPr>
        <w:t>）</w:t>
      </w:r>
    </w:p>
  </w:footnote>
  <w:footnote w:id="984">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rFonts w:eastAsia="SimSun"/>
          <w:szCs w:val="22"/>
        </w:rPr>
        <w:t xml:space="preserve"> </w:t>
      </w:r>
      <w:r w:rsidRPr="00412A9C">
        <w:rPr>
          <w:szCs w:val="22"/>
        </w:rPr>
        <w:t>印順法師</w:t>
      </w:r>
      <w:r w:rsidRPr="00412A9C">
        <w:rPr>
          <w:rFonts w:hint="eastAsia"/>
          <w:szCs w:val="22"/>
        </w:rPr>
        <w:t>，</w:t>
      </w:r>
      <w:r w:rsidRPr="00412A9C">
        <w:rPr>
          <w:szCs w:val="22"/>
        </w:rPr>
        <w:t>《中觀今論》，</w:t>
      </w:r>
      <w:r w:rsidRPr="00412A9C">
        <w:rPr>
          <w:rFonts w:hint="eastAsia"/>
          <w:szCs w:val="22"/>
        </w:rPr>
        <w:t>第</w:t>
      </w:r>
      <w:r>
        <w:rPr>
          <w:rFonts w:hint="eastAsia"/>
          <w:szCs w:val="22"/>
        </w:rPr>
        <w:t>1</w:t>
      </w:r>
      <w:r w:rsidRPr="00412A9C">
        <w:rPr>
          <w:rFonts w:hint="eastAsia"/>
          <w:szCs w:val="22"/>
        </w:rPr>
        <w:t>章，第</w:t>
      </w:r>
      <w:r w:rsidR="00E97624">
        <w:rPr>
          <w:rFonts w:hint="eastAsia"/>
          <w:color w:val="FF0000"/>
          <w:szCs w:val="22"/>
          <w:highlight w:val="yellow"/>
        </w:rPr>
        <w:t>2</w:t>
      </w:r>
      <w:r w:rsidRPr="00412A9C">
        <w:rPr>
          <w:rFonts w:hint="eastAsia"/>
          <w:szCs w:val="22"/>
        </w:rPr>
        <w:t>節〈中道之意義〉，</w:t>
      </w:r>
      <w:r w:rsidRPr="00761EF3">
        <w:rPr>
          <w:szCs w:val="22"/>
        </w:rPr>
        <w:t>p</w:t>
      </w:r>
      <w:r w:rsidRPr="00412A9C">
        <w:rPr>
          <w:szCs w:val="22"/>
        </w:rPr>
        <w:t>.</w:t>
      </w:r>
      <w:r w:rsidRPr="00761EF3">
        <w:rPr>
          <w:szCs w:val="22"/>
        </w:rPr>
        <w:t>12</w:t>
      </w:r>
      <w:r w:rsidRPr="00412A9C">
        <w:rPr>
          <w:szCs w:val="22"/>
        </w:rPr>
        <w:t>：</w:t>
      </w:r>
    </w:p>
    <w:p w:rsidR="00157EF6" w:rsidRPr="00412A9C" w:rsidRDefault="00157EF6" w:rsidP="00AA120F">
      <w:pPr>
        <w:snapToGrid w:val="0"/>
        <w:ind w:leftChars="105" w:left="252"/>
        <w:jc w:val="both"/>
        <w:rPr>
          <w:rFonts w:ascii="Times New Roman" w:hAnsi="Times New Roman"/>
          <w:sz w:val="22"/>
          <w:szCs w:val="22"/>
        </w:rPr>
      </w:pPr>
      <w:r w:rsidRPr="00412A9C">
        <w:rPr>
          <w:rFonts w:ascii="Times New Roman" w:eastAsia="標楷體" w:hAnsi="Times New Roman"/>
          <w:sz w:val="22"/>
          <w:szCs w:val="22"/>
        </w:rPr>
        <w:t>龍樹的中道論，不外乎不著名相與對待（宗歸一實），綜貫性相及空有（教申二諦）。中觀大乘的特色，實即是根本教義完滿的開展。</w:t>
      </w:r>
    </w:p>
  </w:footnote>
  <w:footnote w:id="985">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szCs w:val="22"/>
        </w:rPr>
        <w:t>印順法師</w:t>
      </w:r>
      <w:r w:rsidRPr="00412A9C">
        <w:rPr>
          <w:rFonts w:hint="eastAsia"/>
          <w:szCs w:val="22"/>
        </w:rPr>
        <w:t>，</w:t>
      </w:r>
      <w:r w:rsidRPr="00412A9C">
        <w:rPr>
          <w:szCs w:val="22"/>
        </w:rPr>
        <w:t>《中觀論頌講記》，</w:t>
      </w:r>
      <w:r w:rsidRPr="00761EF3">
        <w:rPr>
          <w:szCs w:val="22"/>
        </w:rPr>
        <w:t>pp</w:t>
      </w:r>
      <w:r w:rsidRPr="00412A9C">
        <w:rPr>
          <w:szCs w:val="22"/>
        </w:rPr>
        <w:t>.</w:t>
      </w:r>
      <w:r w:rsidRPr="00761EF3">
        <w:rPr>
          <w:szCs w:val="22"/>
        </w:rPr>
        <w:t>56</w:t>
      </w:r>
      <w:r w:rsidRPr="00412A9C">
        <w:rPr>
          <w:szCs w:val="22"/>
        </w:rPr>
        <w:t>-</w:t>
      </w:r>
      <w:r w:rsidRPr="00761EF3">
        <w:rPr>
          <w:szCs w:val="22"/>
        </w:rPr>
        <w:t>57</w:t>
      </w:r>
      <w:r w:rsidRPr="00412A9C">
        <w:rPr>
          <w:szCs w:val="22"/>
        </w:rPr>
        <w:t>：</w:t>
      </w:r>
    </w:p>
    <w:p w:rsidR="00157EF6" w:rsidRPr="00412A9C" w:rsidRDefault="00157EF6" w:rsidP="00AA120F">
      <w:pPr>
        <w:snapToGrid w:val="0"/>
        <w:ind w:leftChars="105" w:left="252"/>
        <w:jc w:val="both"/>
        <w:rPr>
          <w:rFonts w:ascii="Times New Roman" w:hAnsi="Times New Roman"/>
          <w:sz w:val="22"/>
          <w:szCs w:val="22"/>
        </w:rPr>
      </w:pPr>
      <w:r w:rsidRPr="00412A9C">
        <w:rPr>
          <w:rFonts w:ascii="Times New Roman" w:eastAsia="標楷體" w:hAnsi="Times New Roman"/>
          <w:sz w:val="22"/>
          <w:szCs w:val="22"/>
        </w:rPr>
        <w:t>若能理解單複，就不會受圓融的牢籠，才能博而能約。</w:t>
      </w:r>
      <w:r w:rsidRPr="000F03B1">
        <w:rPr>
          <w:rFonts w:ascii="Times New Roman" w:eastAsia="標楷體" w:hAnsi="Times New Roman"/>
          <w:b/>
          <w:sz w:val="22"/>
          <w:szCs w:val="22"/>
          <w:u w:val="wave" w:color="C00000"/>
        </w:rPr>
        <w:t>有</w:t>
      </w:r>
      <w:r w:rsidRPr="00412A9C">
        <w:rPr>
          <w:rFonts w:ascii="Times New Roman" w:eastAsia="標楷體" w:hAnsi="Times New Roman" w:hint="eastAsia"/>
          <w:b/>
          <w:sz w:val="22"/>
          <w:szCs w:val="22"/>
        </w:rPr>
        <w:t>、</w:t>
      </w:r>
      <w:r w:rsidRPr="000F03B1">
        <w:rPr>
          <w:rFonts w:ascii="Times New Roman" w:eastAsia="標楷體" w:hAnsi="Times New Roman"/>
          <w:b/>
          <w:sz w:val="22"/>
          <w:szCs w:val="22"/>
          <w:u w:val="wave" w:color="C00000"/>
        </w:rPr>
        <w:t>無</w:t>
      </w:r>
      <w:r w:rsidRPr="00412A9C">
        <w:rPr>
          <w:rFonts w:ascii="Times New Roman" w:eastAsia="標楷體" w:hAnsi="Times New Roman"/>
          <w:b/>
          <w:sz w:val="22"/>
          <w:szCs w:val="22"/>
        </w:rPr>
        <w:t>是單句，</w:t>
      </w:r>
      <w:r w:rsidRPr="000F03B1">
        <w:rPr>
          <w:rFonts w:ascii="Times New Roman" w:eastAsia="標楷體" w:hAnsi="Times New Roman"/>
          <w:b/>
          <w:sz w:val="22"/>
          <w:szCs w:val="22"/>
          <w:u w:val="wave" w:color="C00000"/>
        </w:rPr>
        <w:t>亦有亦無</w:t>
      </w:r>
      <w:r w:rsidRPr="00412A9C">
        <w:rPr>
          <w:rFonts w:ascii="Times New Roman" w:eastAsia="標楷體" w:hAnsi="Times New Roman" w:hint="eastAsia"/>
          <w:b/>
          <w:sz w:val="22"/>
          <w:szCs w:val="22"/>
        </w:rPr>
        <w:t>、</w:t>
      </w:r>
      <w:r w:rsidRPr="000F03B1">
        <w:rPr>
          <w:rFonts w:ascii="Times New Roman" w:eastAsia="標楷體" w:hAnsi="Times New Roman"/>
          <w:b/>
          <w:sz w:val="22"/>
          <w:szCs w:val="22"/>
          <w:u w:val="wave" w:color="C00000"/>
        </w:rPr>
        <w:t>非有非無</w:t>
      </w:r>
      <w:r w:rsidRPr="00412A9C">
        <w:rPr>
          <w:rFonts w:ascii="Times New Roman" w:eastAsia="標楷體" w:hAnsi="Times New Roman"/>
          <w:b/>
          <w:sz w:val="22"/>
          <w:szCs w:val="22"/>
        </w:rPr>
        <w:t>是複句。一方面看，</w:t>
      </w:r>
      <w:r w:rsidRPr="000F03B1">
        <w:rPr>
          <w:rFonts w:ascii="Times New Roman" w:eastAsia="標楷體" w:hAnsi="Times New Roman"/>
          <w:b/>
          <w:sz w:val="22"/>
          <w:szCs w:val="22"/>
          <w:u w:val="wave" w:color="C00000"/>
        </w:rPr>
        <w:t>亦有亦無</w:t>
      </w:r>
      <w:r w:rsidRPr="00412A9C">
        <w:rPr>
          <w:rFonts w:ascii="Times New Roman" w:eastAsia="標楷體" w:hAnsi="Times New Roman"/>
          <w:b/>
          <w:sz w:val="22"/>
          <w:szCs w:val="22"/>
        </w:rPr>
        <w:t>，是</w:t>
      </w:r>
      <w:r w:rsidRPr="000F03B1">
        <w:rPr>
          <w:rFonts w:ascii="Times New Roman" w:eastAsia="標楷體" w:hAnsi="Times New Roman"/>
          <w:b/>
          <w:sz w:val="22"/>
          <w:szCs w:val="22"/>
          <w:u w:val="wave" w:color="C00000"/>
        </w:rPr>
        <w:t>有無</w:t>
      </w:r>
      <w:r w:rsidRPr="00412A9C">
        <w:rPr>
          <w:rFonts w:ascii="Times New Roman" w:eastAsia="標楷體" w:hAnsi="Times New Roman"/>
          <w:b/>
          <w:sz w:val="22"/>
          <w:szCs w:val="22"/>
        </w:rPr>
        <w:t>的綜合</w:t>
      </w:r>
      <w:r w:rsidRPr="00412A9C">
        <w:rPr>
          <w:rFonts w:ascii="Times New Roman" w:eastAsia="標楷體" w:hAnsi="Times New Roman" w:hint="eastAsia"/>
          <w:b/>
          <w:sz w:val="22"/>
          <w:szCs w:val="22"/>
        </w:rPr>
        <w:t>；</w:t>
      </w:r>
      <w:r w:rsidRPr="00412A9C">
        <w:rPr>
          <w:rFonts w:ascii="Times New Roman" w:eastAsia="標楷體" w:hAnsi="Times New Roman"/>
          <w:b/>
          <w:sz w:val="22"/>
          <w:szCs w:val="22"/>
        </w:rPr>
        <w:t>而</w:t>
      </w:r>
      <w:r w:rsidRPr="000F03B1">
        <w:rPr>
          <w:rFonts w:ascii="Times New Roman" w:eastAsia="標楷體" w:hAnsi="Times New Roman"/>
          <w:b/>
          <w:sz w:val="22"/>
          <w:szCs w:val="22"/>
          <w:u w:val="wave" w:color="C00000"/>
        </w:rPr>
        <w:t>非有非無</w:t>
      </w:r>
      <w:r w:rsidRPr="00412A9C">
        <w:rPr>
          <w:rFonts w:ascii="Times New Roman" w:eastAsia="標楷體" w:hAnsi="Times New Roman"/>
          <w:b/>
          <w:sz w:val="22"/>
          <w:szCs w:val="22"/>
        </w:rPr>
        <w:t>，又是前三者的否定，或</w:t>
      </w:r>
      <w:r w:rsidRPr="000F03B1">
        <w:rPr>
          <w:rFonts w:ascii="Times New Roman" w:eastAsia="標楷體" w:hAnsi="Times New Roman"/>
          <w:b/>
          <w:sz w:val="22"/>
          <w:szCs w:val="22"/>
          <w:u w:val="wave" w:color="C00000"/>
        </w:rPr>
        <w:t>亦有亦無</w:t>
      </w:r>
      <w:r w:rsidRPr="00412A9C">
        <w:rPr>
          <w:rFonts w:ascii="Times New Roman" w:eastAsia="標楷體" w:hAnsi="Times New Roman"/>
          <w:b/>
          <w:sz w:val="22"/>
          <w:szCs w:val="22"/>
        </w:rPr>
        <w:t>的另一說明。但在另一方面看，複句，只是言辭的變化，內容並不見得奇妙。明白的說，</w:t>
      </w:r>
      <w:r w:rsidRPr="000F03B1">
        <w:rPr>
          <w:rFonts w:ascii="Times New Roman" w:eastAsia="標楷體" w:hAnsi="Times New Roman"/>
          <w:b/>
          <w:sz w:val="22"/>
          <w:szCs w:val="22"/>
          <w:u w:color="C00000"/>
        </w:rPr>
        <w:t>有</w:t>
      </w:r>
      <w:r w:rsidRPr="000F03B1">
        <w:rPr>
          <w:rFonts w:ascii="Times New Roman" w:eastAsia="標楷體" w:hAnsi="Times New Roman"/>
          <w:b/>
          <w:sz w:val="22"/>
          <w:szCs w:val="22"/>
          <w:u w:val="wave" w:color="C00000"/>
        </w:rPr>
        <w:t>有</w:t>
      </w:r>
      <w:r w:rsidRPr="000F03B1">
        <w:rPr>
          <w:rFonts w:ascii="Times New Roman" w:eastAsia="標楷體" w:hAnsi="Times New Roman"/>
          <w:sz w:val="22"/>
          <w:szCs w:val="22"/>
          <w:u w:color="C00000"/>
        </w:rPr>
        <w:t>有</w:t>
      </w:r>
      <w:r w:rsidRPr="000F03B1">
        <w:rPr>
          <w:rFonts w:ascii="Times New Roman" w:eastAsia="標楷體" w:hAnsi="Times New Roman"/>
          <w:b/>
          <w:sz w:val="22"/>
          <w:szCs w:val="22"/>
          <w:u w:val="wave" w:color="C00000"/>
        </w:rPr>
        <w:t>無</w:t>
      </w:r>
      <w:r w:rsidRPr="008217DC">
        <w:rPr>
          <w:rFonts w:ascii="Times New Roman" w:eastAsia="標楷體" w:hAnsi="Times New Roman"/>
          <w:sz w:val="22"/>
          <w:szCs w:val="22"/>
        </w:rPr>
        <w:t>還是</w:t>
      </w:r>
      <w:r w:rsidRPr="00412A9C">
        <w:rPr>
          <w:rFonts w:ascii="Times New Roman" w:eastAsia="標楷體" w:hAnsi="Times New Roman"/>
          <w:b/>
          <w:sz w:val="22"/>
          <w:szCs w:val="22"/>
        </w:rPr>
        <w:t>有，</w:t>
      </w:r>
      <w:r w:rsidRPr="000F03B1">
        <w:rPr>
          <w:rFonts w:ascii="Times New Roman" w:eastAsia="標楷體" w:hAnsi="Times New Roman"/>
          <w:b/>
          <w:sz w:val="22"/>
          <w:szCs w:val="22"/>
        </w:rPr>
        <w:t>非</w:t>
      </w:r>
      <w:r w:rsidRPr="000F03B1">
        <w:rPr>
          <w:rFonts w:ascii="Times New Roman" w:eastAsia="標楷體" w:hAnsi="Times New Roman"/>
          <w:b/>
          <w:sz w:val="22"/>
          <w:szCs w:val="22"/>
          <w:u w:val="wave" w:color="C00000"/>
        </w:rPr>
        <w:t>有</w:t>
      </w:r>
      <w:r w:rsidRPr="000F03B1">
        <w:rPr>
          <w:rFonts w:ascii="Times New Roman" w:eastAsia="標楷體" w:hAnsi="Times New Roman"/>
          <w:b/>
          <w:sz w:val="22"/>
          <w:szCs w:val="22"/>
        </w:rPr>
        <w:t>非</w:t>
      </w:r>
      <w:r w:rsidRPr="000F03B1">
        <w:rPr>
          <w:rFonts w:ascii="Times New Roman" w:eastAsia="標楷體" w:hAnsi="Times New Roman"/>
          <w:b/>
          <w:sz w:val="22"/>
          <w:szCs w:val="22"/>
          <w:u w:val="wave" w:color="C00000"/>
        </w:rPr>
        <w:t>無</w:t>
      </w:r>
      <w:r w:rsidRPr="008217DC">
        <w:rPr>
          <w:rFonts w:ascii="Times New Roman" w:eastAsia="標楷體" w:hAnsi="Times New Roman"/>
          <w:sz w:val="22"/>
          <w:szCs w:val="22"/>
        </w:rPr>
        <w:t>還是</w:t>
      </w:r>
      <w:r w:rsidRPr="00412A9C">
        <w:rPr>
          <w:rFonts w:ascii="Times New Roman" w:eastAsia="標楷體" w:hAnsi="Times New Roman"/>
          <w:b/>
          <w:sz w:val="22"/>
          <w:szCs w:val="22"/>
        </w:rPr>
        <w:t>無。</w:t>
      </w:r>
      <w:r w:rsidRPr="00412A9C">
        <w:rPr>
          <w:rFonts w:ascii="Times New Roman" w:eastAsia="標楷體" w:hAnsi="Times New Roman"/>
          <w:sz w:val="22"/>
          <w:szCs w:val="22"/>
        </w:rPr>
        <w:t>再說得徹底一點，</w:t>
      </w:r>
      <w:r w:rsidRPr="000F03B1">
        <w:rPr>
          <w:rFonts w:ascii="Times New Roman" w:eastAsia="標楷體" w:hAnsi="Times New Roman"/>
          <w:b/>
          <w:sz w:val="22"/>
          <w:szCs w:val="22"/>
          <w:u w:val="wave" w:color="C00000"/>
        </w:rPr>
        <w:t>有</w:t>
      </w:r>
      <w:r w:rsidRPr="00412A9C">
        <w:rPr>
          <w:rFonts w:ascii="Times New Roman" w:eastAsia="標楷體" w:hAnsi="Times New Roman"/>
          <w:sz w:val="22"/>
          <w:szCs w:val="22"/>
        </w:rPr>
        <w:t>可以包含了有</w:t>
      </w:r>
      <w:r w:rsidRPr="00412A9C">
        <w:rPr>
          <w:rFonts w:ascii="Times New Roman" w:eastAsia="標楷體" w:hAnsi="Times New Roman"/>
          <w:b/>
          <w:sz w:val="22"/>
          <w:szCs w:val="22"/>
        </w:rPr>
        <w:t>有</w:t>
      </w:r>
      <w:r w:rsidRPr="00412A9C">
        <w:rPr>
          <w:rFonts w:ascii="Times New Roman" w:eastAsia="標楷體" w:hAnsi="Times New Roman"/>
          <w:sz w:val="22"/>
          <w:szCs w:val="22"/>
        </w:rPr>
        <w:t>、有</w:t>
      </w:r>
      <w:r w:rsidRPr="00412A9C">
        <w:rPr>
          <w:rFonts w:ascii="Times New Roman" w:eastAsia="標楷體" w:hAnsi="Times New Roman"/>
          <w:b/>
          <w:sz w:val="22"/>
          <w:szCs w:val="22"/>
        </w:rPr>
        <w:t>無</w:t>
      </w:r>
      <w:r w:rsidRPr="00412A9C">
        <w:rPr>
          <w:rFonts w:ascii="Times New Roman" w:eastAsia="標楷體" w:hAnsi="Times New Roman"/>
          <w:sz w:val="22"/>
          <w:szCs w:val="22"/>
        </w:rPr>
        <w:t>、有</w:t>
      </w:r>
      <w:r w:rsidRPr="000F03B1">
        <w:rPr>
          <w:rFonts w:ascii="Times New Roman" w:eastAsia="標楷體" w:hAnsi="Times New Roman"/>
          <w:b/>
          <w:sz w:val="22"/>
          <w:szCs w:val="22"/>
          <w:u w:val="wave" w:color="C00000"/>
        </w:rPr>
        <w:t>亦有亦無</w:t>
      </w:r>
      <w:r w:rsidRPr="00412A9C">
        <w:rPr>
          <w:rFonts w:ascii="Times New Roman" w:eastAsia="標楷體" w:hAnsi="Times New Roman"/>
          <w:sz w:val="22"/>
          <w:szCs w:val="22"/>
        </w:rPr>
        <w:t>、有</w:t>
      </w:r>
      <w:r w:rsidRPr="000F03B1">
        <w:rPr>
          <w:rFonts w:ascii="Times New Roman" w:eastAsia="標楷體" w:hAnsi="Times New Roman"/>
          <w:b/>
          <w:sz w:val="22"/>
          <w:szCs w:val="22"/>
          <w:u w:val="wave" w:color="C00000"/>
        </w:rPr>
        <w:t>非有非無</w:t>
      </w:r>
      <w:r w:rsidRPr="00412A9C">
        <w:rPr>
          <w:rFonts w:ascii="Times New Roman" w:eastAsia="標楷體" w:hAnsi="Times New Roman"/>
          <w:sz w:val="22"/>
          <w:szCs w:val="22"/>
        </w:rPr>
        <w:t>；或者更進一步，有</w:t>
      </w:r>
      <w:r w:rsidRPr="000F03B1">
        <w:rPr>
          <w:rFonts w:ascii="Times New Roman" w:eastAsia="標楷體" w:hAnsi="Times New Roman"/>
          <w:b/>
          <w:sz w:val="22"/>
          <w:szCs w:val="22"/>
          <w:u w:val="wave" w:color="C00000"/>
        </w:rPr>
        <w:t>雙亦雙非</w:t>
      </w:r>
      <w:r w:rsidRPr="00412A9C">
        <w:rPr>
          <w:rFonts w:ascii="Times New Roman" w:eastAsia="標楷體" w:hAnsi="Times New Roman"/>
          <w:sz w:val="22"/>
          <w:szCs w:val="22"/>
        </w:rPr>
        <w:t>，有</w:t>
      </w:r>
      <w:r w:rsidRPr="000F03B1">
        <w:rPr>
          <w:rFonts w:ascii="Times New Roman" w:eastAsia="標楷體" w:hAnsi="Times New Roman"/>
          <w:b/>
          <w:sz w:val="22"/>
          <w:szCs w:val="22"/>
          <w:u w:val="wave" w:color="C00000"/>
        </w:rPr>
        <w:t>非雙亦雙非</w:t>
      </w:r>
      <w:r w:rsidRPr="00412A9C">
        <w:rPr>
          <w:rFonts w:ascii="Times New Roman" w:eastAsia="標楷體" w:hAnsi="Times New Roman"/>
          <w:sz w:val="22"/>
          <w:szCs w:val="22"/>
        </w:rPr>
        <w:t>，</w:t>
      </w:r>
      <w:r w:rsidR="000F03B1">
        <w:rPr>
          <w:rFonts w:ascii="Times New Roman" w:eastAsia="標楷體" w:hAnsi="Times New Roman" w:hint="eastAsia"/>
          <w:sz w:val="22"/>
          <w:szCs w:val="22"/>
        </w:rPr>
        <w:t>……</w:t>
      </w:r>
      <w:r w:rsidRPr="00412A9C">
        <w:rPr>
          <w:rFonts w:ascii="Times New Roman" w:eastAsia="標楷體" w:hAnsi="Times New Roman"/>
          <w:sz w:val="22"/>
          <w:szCs w:val="22"/>
        </w:rPr>
        <w:t>看來單純的</w:t>
      </w:r>
      <w:r w:rsidRPr="000F03B1">
        <w:rPr>
          <w:rFonts w:ascii="Times New Roman" w:eastAsia="標楷體" w:hAnsi="Times New Roman"/>
          <w:b/>
          <w:sz w:val="22"/>
          <w:szCs w:val="22"/>
          <w:u w:val="wave" w:color="C00000"/>
        </w:rPr>
        <w:t>有</w:t>
      </w:r>
      <w:r w:rsidRPr="00412A9C">
        <w:rPr>
          <w:rFonts w:ascii="Times New Roman" w:eastAsia="標楷體" w:hAnsi="Times New Roman"/>
          <w:sz w:val="22"/>
          <w:szCs w:val="22"/>
        </w:rPr>
        <w:t>，或者還包含得多一點，包含一切的存在。但是一般學佛法者，容易受名相的轉動，以為亦有亦無，是包括了有</w:t>
      </w:r>
      <w:r w:rsidRPr="00412A9C">
        <w:rPr>
          <w:rFonts w:ascii="Times New Roman" w:eastAsia="標楷體" w:hAnsi="Times New Roman" w:hint="eastAsia"/>
          <w:sz w:val="22"/>
          <w:szCs w:val="22"/>
        </w:rPr>
        <w:t>、</w:t>
      </w:r>
      <w:r w:rsidRPr="00412A9C">
        <w:rPr>
          <w:rFonts w:ascii="Times New Roman" w:eastAsia="標楷體" w:hAnsi="Times New Roman"/>
          <w:sz w:val="22"/>
          <w:szCs w:val="22"/>
        </w:rPr>
        <w:t>無的，比單說有無要進一步。不知</w:t>
      </w:r>
      <w:r w:rsidRPr="000F03B1">
        <w:rPr>
          <w:rFonts w:ascii="Times New Roman" w:eastAsia="標楷體" w:hAnsi="Times New Roman"/>
          <w:b/>
          <w:sz w:val="22"/>
          <w:szCs w:val="22"/>
          <w:u w:val="wave" w:color="C00000"/>
        </w:rPr>
        <w:t>亦有亦無</w:t>
      </w:r>
      <w:r w:rsidRPr="00412A9C">
        <w:rPr>
          <w:rFonts w:ascii="Times New Roman" w:eastAsia="標楷體" w:hAnsi="Times New Roman"/>
          <w:sz w:val="22"/>
          <w:szCs w:val="22"/>
        </w:rPr>
        <w:t>還是</w:t>
      </w:r>
      <w:r w:rsidRPr="000F03B1">
        <w:rPr>
          <w:rFonts w:ascii="Times New Roman" w:eastAsia="標楷體" w:hAnsi="Times New Roman"/>
          <w:b/>
          <w:sz w:val="22"/>
          <w:szCs w:val="22"/>
          <w:u w:val="wave" w:color="C00000"/>
        </w:rPr>
        <w:t>有</w:t>
      </w:r>
      <w:r w:rsidRPr="00412A9C">
        <w:rPr>
          <w:rFonts w:ascii="Times New Roman" w:eastAsia="標楷體" w:hAnsi="Times New Roman"/>
          <w:sz w:val="22"/>
          <w:szCs w:val="22"/>
        </w:rPr>
        <w:t>，而</w:t>
      </w:r>
      <w:r w:rsidRPr="000F03B1">
        <w:rPr>
          <w:rFonts w:ascii="Times New Roman" w:eastAsia="標楷體" w:hAnsi="Times New Roman"/>
          <w:b/>
          <w:sz w:val="22"/>
          <w:szCs w:val="22"/>
          <w:u w:val="wave" w:color="C00000"/>
        </w:rPr>
        <w:t>無</w:t>
      </w:r>
      <w:r w:rsidRPr="00412A9C">
        <w:rPr>
          <w:rFonts w:ascii="Times New Roman" w:eastAsia="標楷體" w:hAnsi="Times New Roman"/>
          <w:sz w:val="22"/>
          <w:szCs w:val="22"/>
        </w:rPr>
        <w:t>卻是一切的否定。如能理解單複的無礙，才知</w:t>
      </w:r>
      <w:r w:rsidRPr="006C1805">
        <w:rPr>
          <w:rFonts w:ascii="Times New Roman" w:eastAsia="標楷體" w:hAnsi="Times New Roman"/>
          <w:b/>
          <w:sz w:val="22"/>
          <w:szCs w:val="22"/>
        </w:rPr>
        <w:t>八不</w:t>
      </w:r>
      <w:r w:rsidRPr="00412A9C">
        <w:rPr>
          <w:rFonts w:ascii="Times New Roman" w:eastAsia="標楷體" w:hAnsi="Times New Roman"/>
          <w:sz w:val="22"/>
          <w:szCs w:val="22"/>
        </w:rPr>
        <w:t>的</w:t>
      </w:r>
      <w:r w:rsidRPr="006C1805">
        <w:rPr>
          <w:rFonts w:ascii="Times New Roman" w:eastAsia="標楷體" w:hAnsi="Times New Roman"/>
          <w:b/>
          <w:sz w:val="22"/>
          <w:szCs w:val="22"/>
        </w:rPr>
        <w:t>不</w:t>
      </w:r>
      <w:r w:rsidRPr="00412A9C">
        <w:rPr>
          <w:rFonts w:ascii="Times New Roman" w:eastAsia="標楷體" w:hAnsi="Times New Roman"/>
          <w:sz w:val="22"/>
          <w:szCs w:val="22"/>
        </w:rPr>
        <w:t>字，比那不而非不，要徹底得多。</w:t>
      </w:r>
    </w:p>
  </w:footnote>
  <w:footnote w:id="986">
    <w:p w:rsidR="002374E3" w:rsidRPr="00412A9C" w:rsidRDefault="002374E3" w:rsidP="002374E3">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w:t>
      </w:r>
      <w:r w:rsidRPr="00412A9C">
        <w:rPr>
          <w:rFonts w:hint="eastAsia"/>
          <w:szCs w:val="22"/>
        </w:rPr>
        <w:t>〔隋〕</w:t>
      </w:r>
      <w:r w:rsidRPr="00412A9C">
        <w:rPr>
          <w:szCs w:val="22"/>
        </w:rPr>
        <w:t>吉藏</w:t>
      </w:r>
      <w:r w:rsidRPr="00412A9C">
        <w:rPr>
          <w:rFonts w:hint="eastAsia"/>
          <w:szCs w:val="22"/>
        </w:rPr>
        <w:t>，</w:t>
      </w:r>
      <w:r w:rsidRPr="00412A9C">
        <w:rPr>
          <w:szCs w:val="22"/>
        </w:rPr>
        <w:t>《十二門論疏》卷</w:t>
      </w:r>
      <w:r w:rsidRPr="00412A9C">
        <w:rPr>
          <w:rFonts w:hint="eastAsia"/>
          <w:szCs w:val="22"/>
        </w:rPr>
        <w:t>上</w:t>
      </w:r>
      <w:r w:rsidRPr="00412A9C">
        <w:rPr>
          <w:szCs w:val="22"/>
        </w:rPr>
        <w:t>（大正</w:t>
      </w:r>
      <w:r w:rsidRPr="00761EF3">
        <w:rPr>
          <w:szCs w:val="22"/>
        </w:rPr>
        <w:t>42</w:t>
      </w:r>
      <w:r w:rsidRPr="00412A9C">
        <w:rPr>
          <w:szCs w:val="22"/>
        </w:rPr>
        <w:t>，</w:t>
      </w:r>
      <w:r w:rsidRPr="00761EF3">
        <w:rPr>
          <w:szCs w:val="22"/>
        </w:rPr>
        <w:t>184a12</w:t>
      </w:r>
      <w:r w:rsidRPr="00412A9C">
        <w:rPr>
          <w:szCs w:val="22"/>
        </w:rPr>
        <w:t>-</w:t>
      </w:r>
      <w:r w:rsidRPr="00761EF3">
        <w:rPr>
          <w:szCs w:val="22"/>
        </w:rPr>
        <w:t>22</w:t>
      </w:r>
      <w:r w:rsidRPr="00412A9C">
        <w:rPr>
          <w:szCs w:val="22"/>
        </w:rPr>
        <w:t>）：</w:t>
      </w:r>
    </w:p>
    <w:p w:rsidR="00A1428D" w:rsidRDefault="002374E3" w:rsidP="002374E3">
      <w:pPr>
        <w:pStyle w:val="a5"/>
        <w:ind w:leftChars="335" w:left="804"/>
        <w:jc w:val="both"/>
        <w:rPr>
          <w:rFonts w:ascii="標楷體" w:eastAsia="標楷體" w:hAnsi="標楷體"/>
          <w:color w:val="FF0000"/>
          <w:kern w:val="0"/>
        </w:rPr>
      </w:pPr>
      <w:r w:rsidRPr="00412A9C">
        <w:rPr>
          <w:rFonts w:eastAsia="標楷體"/>
          <w:szCs w:val="22"/>
        </w:rPr>
        <w:t>又初重二諦</w:t>
      </w:r>
      <w:r w:rsidR="00A1428D">
        <w:rPr>
          <w:rFonts w:ascii="標楷體" w:eastAsia="標楷體" w:hAnsi="標楷體" w:hint="eastAsia"/>
          <w:color w:val="FF0000"/>
          <w:kern w:val="0"/>
          <w:highlight w:val="yellow"/>
        </w:rPr>
        <w:t>，</w:t>
      </w:r>
      <w:r w:rsidR="00A1428D">
        <w:rPr>
          <w:rFonts w:eastAsia="標楷體"/>
          <w:szCs w:val="22"/>
        </w:rPr>
        <w:t>為凡夫</w:t>
      </w:r>
      <w:r w:rsidR="00A1428D">
        <w:rPr>
          <w:rFonts w:ascii="標楷體" w:eastAsia="標楷體" w:hAnsi="標楷體" w:hint="eastAsia"/>
          <w:color w:val="FF0000"/>
          <w:spacing w:val="-4"/>
          <w:kern w:val="0"/>
          <w:highlight w:val="yellow"/>
        </w:rPr>
        <w:t>；</w:t>
      </w:r>
      <w:r w:rsidRPr="00412A9C">
        <w:rPr>
          <w:rFonts w:eastAsia="標楷體"/>
          <w:szCs w:val="22"/>
        </w:rPr>
        <w:t>次重</w:t>
      </w:r>
      <w:r w:rsidR="00A1428D">
        <w:rPr>
          <w:rFonts w:ascii="標楷體" w:eastAsia="標楷體" w:hAnsi="標楷體" w:hint="eastAsia"/>
          <w:color w:val="FF0000"/>
          <w:kern w:val="0"/>
          <w:highlight w:val="yellow"/>
        </w:rPr>
        <w:t>，</w:t>
      </w:r>
      <w:r w:rsidRPr="00412A9C">
        <w:rPr>
          <w:rFonts w:eastAsia="標楷體"/>
          <w:szCs w:val="22"/>
        </w:rPr>
        <w:t>為二乘</w:t>
      </w:r>
      <w:r w:rsidR="00A1428D">
        <w:rPr>
          <w:rFonts w:ascii="標楷體" w:eastAsia="標楷體" w:hAnsi="標楷體" w:hint="eastAsia"/>
          <w:color w:val="FF0000"/>
          <w:spacing w:val="-4"/>
          <w:kern w:val="0"/>
          <w:highlight w:val="yellow"/>
        </w:rPr>
        <w:t>；</w:t>
      </w:r>
      <w:r w:rsidRPr="00412A9C">
        <w:rPr>
          <w:rFonts w:eastAsia="標楷體"/>
          <w:szCs w:val="22"/>
        </w:rPr>
        <w:t>後二</w:t>
      </w:r>
      <w:r w:rsidR="00A1428D">
        <w:rPr>
          <w:rFonts w:ascii="標楷體" w:eastAsia="標楷體" w:hAnsi="標楷體" w:hint="eastAsia"/>
          <w:color w:val="FF0000"/>
          <w:kern w:val="0"/>
          <w:highlight w:val="yellow"/>
        </w:rPr>
        <w:t>，</w:t>
      </w:r>
      <w:r w:rsidRPr="00412A9C">
        <w:rPr>
          <w:rFonts w:eastAsia="標楷體"/>
          <w:szCs w:val="22"/>
        </w:rPr>
        <w:t>為菩薩</w:t>
      </w:r>
      <w:r w:rsidR="00A1428D">
        <w:rPr>
          <w:rFonts w:ascii="標楷體" w:eastAsia="標楷體" w:hAnsi="標楷體" w:hint="eastAsia"/>
          <w:color w:val="FF0000"/>
          <w:kern w:val="0"/>
          <w:highlight w:val="yellow"/>
        </w:rPr>
        <w:t>。</w:t>
      </w:r>
    </w:p>
    <w:p w:rsidR="00A1428D" w:rsidRDefault="002374E3" w:rsidP="002374E3">
      <w:pPr>
        <w:pStyle w:val="a5"/>
        <w:ind w:leftChars="335" w:left="804"/>
        <w:jc w:val="both"/>
        <w:rPr>
          <w:rFonts w:eastAsia="標楷體"/>
          <w:szCs w:val="22"/>
        </w:rPr>
      </w:pPr>
      <w:r w:rsidRPr="00A1428D">
        <w:rPr>
          <w:rFonts w:eastAsia="標楷體"/>
          <w:szCs w:val="22"/>
          <w:highlight w:val="yellow"/>
        </w:rPr>
        <w:t>又</w:t>
      </w:r>
      <w:r w:rsidRPr="00412A9C">
        <w:rPr>
          <w:rFonts w:eastAsia="標楷體"/>
          <w:szCs w:val="22"/>
        </w:rPr>
        <w:t>為漸捨破眾生病故作此四重。</w:t>
      </w:r>
    </w:p>
    <w:p w:rsidR="00A1428D" w:rsidRDefault="002374E3" w:rsidP="002374E3">
      <w:pPr>
        <w:pStyle w:val="a5"/>
        <w:ind w:leftChars="335" w:left="804"/>
        <w:jc w:val="both"/>
        <w:rPr>
          <w:rFonts w:eastAsia="標楷體"/>
          <w:szCs w:val="22"/>
        </w:rPr>
      </w:pPr>
      <w:r w:rsidRPr="00A1428D">
        <w:rPr>
          <w:rFonts w:eastAsia="標楷體"/>
          <w:szCs w:val="22"/>
          <w:highlight w:val="yellow"/>
        </w:rPr>
        <w:t>又</w:t>
      </w:r>
      <w:r w:rsidRPr="00412A9C">
        <w:rPr>
          <w:rFonts w:eastAsia="標楷體"/>
          <w:szCs w:val="22"/>
        </w:rPr>
        <w:t>為釋諸方等至種種異說</w:t>
      </w:r>
      <w:r>
        <w:rPr>
          <w:rFonts w:eastAsia="標楷體" w:hint="eastAsia"/>
          <w:color w:val="FF0000"/>
          <w:szCs w:val="22"/>
          <w:highlight w:val="yellow"/>
        </w:rPr>
        <w:t>。</w:t>
      </w:r>
      <w:r w:rsidRPr="00412A9C">
        <w:rPr>
          <w:rFonts w:eastAsia="標楷體"/>
          <w:szCs w:val="22"/>
        </w:rPr>
        <w:t>或云</w:t>
      </w:r>
      <w:r w:rsidRPr="00412A9C">
        <w:rPr>
          <w:rFonts w:eastAsia="標楷體" w:hint="eastAsia"/>
          <w:szCs w:val="22"/>
        </w:rPr>
        <w:t>：</w:t>
      </w:r>
      <w:r w:rsidR="00A1428D">
        <w:rPr>
          <w:rFonts w:ascii="標楷體" w:eastAsia="標楷體" w:hAnsi="標楷體" w:hint="eastAsia"/>
          <w:bCs/>
          <w:color w:val="FF0000"/>
          <w:kern w:val="0"/>
          <w:highlight w:val="yellow"/>
        </w:rPr>
        <w:t>「</w:t>
      </w:r>
      <w:r w:rsidRPr="00412A9C">
        <w:rPr>
          <w:rFonts w:eastAsia="標楷體"/>
          <w:szCs w:val="22"/>
        </w:rPr>
        <w:t>空</w:t>
      </w:r>
      <w:r w:rsidR="00A1428D">
        <w:rPr>
          <w:rFonts w:ascii="標楷體" w:eastAsia="標楷體" w:hAnsi="標楷體" w:hint="eastAsia"/>
          <w:bCs/>
          <w:color w:val="FF0000"/>
          <w:kern w:val="0"/>
          <w:highlight w:val="yellow"/>
        </w:rPr>
        <w:t>」</w:t>
      </w:r>
      <w:r w:rsidRPr="00412A9C">
        <w:rPr>
          <w:rFonts w:eastAsia="標楷體"/>
          <w:szCs w:val="22"/>
        </w:rPr>
        <w:t>為真，</w:t>
      </w:r>
      <w:r w:rsidR="00A1428D">
        <w:rPr>
          <w:rFonts w:ascii="標楷體" w:eastAsia="標楷體" w:hAnsi="標楷體" w:hint="eastAsia"/>
          <w:bCs/>
          <w:color w:val="FF0000"/>
          <w:kern w:val="0"/>
          <w:highlight w:val="yellow"/>
        </w:rPr>
        <w:t>「</w:t>
      </w:r>
      <w:r w:rsidRPr="00412A9C">
        <w:rPr>
          <w:rFonts w:eastAsia="標楷體"/>
          <w:szCs w:val="22"/>
        </w:rPr>
        <w:t>有</w:t>
      </w:r>
      <w:r w:rsidR="00A1428D">
        <w:rPr>
          <w:rFonts w:ascii="標楷體" w:eastAsia="標楷體" w:hAnsi="標楷體" w:hint="eastAsia"/>
          <w:bCs/>
          <w:color w:val="FF0000"/>
          <w:kern w:val="0"/>
          <w:highlight w:val="yellow"/>
        </w:rPr>
        <w:t>」</w:t>
      </w:r>
      <w:r w:rsidRPr="00412A9C">
        <w:rPr>
          <w:rFonts w:eastAsia="標楷體"/>
          <w:szCs w:val="22"/>
        </w:rPr>
        <w:t>為俗。或云</w:t>
      </w:r>
      <w:r w:rsidRPr="00412A9C">
        <w:rPr>
          <w:rFonts w:eastAsia="標楷體" w:hint="eastAsia"/>
          <w:szCs w:val="22"/>
        </w:rPr>
        <w:t>：</w:t>
      </w:r>
      <w:r w:rsidR="00A1428D">
        <w:rPr>
          <w:rFonts w:ascii="標楷體" w:eastAsia="標楷體" w:hAnsi="標楷體" w:hint="eastAsia"/>
          <w:bCs/>
          <w:color w:val="FF0000"/>
          <w:kern w:val="0"/>
          <w:highlight w:val="yellow"/>
        </w:rPr>
        <w:t>「</w:t>
      </w:r>
      <w:r w:rsidRPr="00412A9C">
        <w:rPr>
          <w:rFonts w:eastAsia="標楷體"/>
          <w:szCs w:val="22"/>
        </w:rPr>
        <w:t>空</w:t>
      </w:r>
      <w:r w:rsidR="00A1428D">
        <w:rPr>
          <w:rFonts w:ascii="標楷體" w:eastAsia="標楷體" w:hAnsi="標楷體" w:hint="eastAsia"/>
          <w:bCs/>
          <w:color w:val="FF0000"/>
          <w:kern w:val="0"/>
          <w:highlight w:val="yellow"/>
        </w:rPr>
        <w:t>」</w:t>
      </w:r>
      <w:r w:rsidR="00A1428D">
        <w:rPr>
          <w:rFonts w:ascii="標楷體" w:eastAsia="標楷體" w:hAnsi="標楷體" w:hint="eastAsia"/>
          <w:color w:val="FF0000"/>
          <w:spacing w:val="-4"/>
          <w:kern w:val="0"/>
          <w:highlight w:val="yellow"/>
        </w:rPr>
        <w:t>、</w:t>
      </w:r>
      <w:r w:rsidR="00A1428D">
        <w:rPr>
          <w:rFonts w:ascii="標楷體" w:eastAsia="標楷體" w:hAnsi="標楷體" w:hint="eastAsia"/>
          <w:bCs/>
          <w:color w:val="FF0000"/>
          <w:kern w:val="0"/>
          <w:highlight w:val="yellow"/>
        </w:rPr>
        <w:t>「</w:t>
      </w:r>
      <w:r w:rsidRPr="00412A9C">
        <w:rPr>
          <w:rFonts w:eastAsia="標楷體"/>
          <w:szCs w:val="22"/>
        </w:rPr>
        <w:t>有</w:t>
      </w:r>
      <w:r w:rsidR="00A1428D">
        <w:rPr>
          <w:rFonts w:ascii="標楷體" w:eastAsia="標楷體" w:hAnsi="標楷體" w:hint="eastAsia"/>
          <w:bCs/>
          <w:color w:val="FF0000"/>
          <w:kern w:val="0"/>
          <w:highlight w:val="yellow"/>
        </w:rPr>
        <w:t>」</w:t>
      </w:r>
      <w:r w:rsidRPr="00412A9C">
        <w:rPr>
          <w:rFonts w:eastAsia="標楷體"/>
          <w:szCs w:val="22"/>
        </w:rPr>
        <w:t>皆是世諦</w:t>
      </w:r>
      <w:r w:rsidR="00A1428D">
        <w:rPr>
          <w:rFonts w:ascii="標楷體" w:eastAsia="標楷體" w:hAnsi="標楷體" w:hint="eastAsia"/>
          <w:color w:val="FF0000"/>
          <w:spacing w:val="-4"/>
          <w:kern w:val="0"/>
          <w:highlight w:val="yellow"/>
        </w:rPr>
        <w:t>；</w:t>
      </w:r>
      <w:r w:rsidR="00A1428D">
        <w:rPr>
          <w:rFonts w:ascii="標楷體" w:eastAsia="標楷體" w:hAnsi="標楷體" w:hint="eastAsia"/>
          <w:bCs/>
          <w:color w:val="FF0000"/>
          <w:kern w:val="0"/>
          <w:highlight w:val="yellow"/>
        </w:rPr>
        <w:t>「</w:t>
      </w:r>
      <w:r w:rsidRPr="00412A9C">
        <w:rPr>
          <w:rFonts w:eastAsia="標楷體"/>
          <w:szCs w:val="22"/>
        </w:rPr>
        <w:t>非空有</w:t>
      </w:r>
      <w:r w:rsidR="00A1428D">
        <w:rPr>
          <w:rFonts w:ascii="標楷體" w:eastAsia="標楷體" w:hAnsi="標楷體" w:hint="eastAsia"/>
          <w:bCs/>
          <w:color w:val="FF0000"/>
          <w:kern w:val="0"/>
          <w:highlight w:val="yellow"/>
        </w:rPr>
        <w:t>」</w:t>
      </w:r>
      <w:r w:rsidR="00A1428D">
        <w:rPr>
          <w:rFonts w:ascii="標楷體" w:eastAsia="標楷體" w:hAnsi="標楷體" w:hint="eastAsia"/>
          <w:color w:val="FF0000"/>
          <w:kern w:val="0"/>
          <w:highlight w:val="yellow"/>
        </w:rPr>
        <w:t>，</w:t>
      </w:r>
      <w:r w:rsidRPr="00412A9C">
        <w:rPr>
          <w:rFonts w:eastAsia="標楷體"/>
          <w:szCs w:val="22"/>
        </w:rPr>
        <w:t>第一義之</w:t>
      </w:r>
      <w:r w:rsidRPr="00412A9C">
        <w:rPr>
          <w:rFonts w:eastAsia="標楷體"/>
          <w:b/>
          <w:szCs w:val="22"/>
        </w:rPr>
        <w:t>第二重意</w:t>
      </w:r>
      <w:r w:rsidRPr="00412A9C">
        <w:rPr>
          <w:rFonts w:eastAsia="標楷體"/>
          <w:szCs w:val="22"/>
        </w:rPr>
        <w:t>。又云</w:t>
      </w:r>
      <w:r w:rsidRPr="00412A9C">
        <w:rPr>
          <w:rFonts w:eastAsia="標楷體" w:hint="eastAsia"/>
          <w:szCs w:val="22"/>
        </w:rPr>
        <w:t>：</w:t>
      </w:r>
      <w:r w:rsidRPr="00412A9C">
        <w:rPr>
          <w:rFonts w:eastAsia="標楷體"/>
          <w:szCs w:val="22"/>
        </w:rPr>
        <w:t>不著不二法，以無一二故</w:t>
      </w:r>
      <w:r w:rsidR="00A1428D">
        <w:rPr>
          <w:rFonts w:ascii="標楷體" w:eastAsia="標楷體" w:hAnsi="標楷體" w:hint="eastAsia"/>
          <w:color w:val="FF0000"/>
          <w:kern w:val="0"/>
          <w:highlight w:val="yellow"/>
        </w:rPr>
        <w:t>──</w:t>
      </w:r>
      <w:r w:rsidRPr="00412A9C">
        <w:rPr>
          <w:rFonts w:eastAsia="標楷體"/>
          <w:szCs w:val="22"/>
        </w:rPr>
        <w:t>即</w:t>
      </w:r>
      <w:r w:rsidRPr="00412A9C">
        <w:rPr>
          <w:rFonts w:eastAsia="標楷體"/>
          <w:b/>
          <w:szCs w:val="22"/>
        </w:rPr>
        <w:t>第三重</w:t>
      </w:r>
      <w:r w:rsidRPr="00412A9C">
        <w:rPr>
          <w:rFonts w:eastAsia="標楷體"/>
          <w:szCs w:val="22"/>
        </w:rPr>
        <w:t>文。又云</w:t>
      </w:r>
      <w:r w:rsidRPr="00412A9C">
        <w:rPr>
          <w:rFonts w:eastAsia="標楷體" w:hint="eastAsia"/>
          <w:szCs w:val="22"/>
        </w:rPr>
        <w:t>：</w:t>
      </w:r>
      <w:r w:rsidRPr="00412A9C">
        <w:rPr>
          <w:rFonts w:eastAsia="標楷體"/>
          <w:szCs w:val="22"/>
        </w:rPr>
        <w:t>諦可分別諸法時無有自性，假名說</w:t>
      </w:r>
      <w:r w:rsidRPr="00412A9C">
        <w:rPr>
          <w:rFonts w:eastAsia="標楷體" w:hint="eastAsia"/>
          <w:szCs w:val="22"/>
        </w:rPr>
        <w:t>，</w:t>
      </w:r>
      <w:r w:rsidRPr="00412A9C">
        <w:rPr>
          <w:rFonts w:eastAsia="標楷體"/>
          <w:szCs w:val="22"/>
        </w:rPr>
        <w:t>悉欲分別</w:t>
      </w:r>
      <w:r w:rsidR="00A1428D">
        <w:rPr>
          <w:rFonts w:ascii="標楷體" w:eastAsia="標楷體" w:hAnsi="標楷體" w:hint="eastAsia"/>
          <w:bCs/>
          <w:color w:val="FF0000"/>
          <w:kern w:val="0"/>
          <w:highlight w:val="yellow"/>
        </w:rPr>
        <w:t>「</w:t>
      </w:r>
      <w:r w:rsidRPr="00412A9C">
        <w:rPr>
          <w:rFonts w:eastAsia="標楷體"/>
          <w:szCs w:val="22"/>
        </w:rPr>
        <w:t>世諦</w:t>
      </w:r>
      <w:r w:rsidR="00A1428D">
        <w:rPr>
          <w:rFonts w:ascii="標楷體" w:eastAsia="標楷體" w:hAnsi="標楷體" w:hint="eastAsia"/>
          <w:bCs/>
          <w:color w:val="FF0000"/>
          <w:kern w:val="0"/>
          <w:highlight w:val="yellow"/>
        </w:rPr>
        <w:t>」</w:t>
      </w:r>
      <w:r w:rsidRPr="00412A9C">
        <w:rPr>
          <w:rFonts w:eastAsia="標楷體"/>
          <w:szCs w:val="22"/>
        </w:rPr>
        <w:t>義，菩薩因此初發心；一切諸法言語斷，無有自性</w:t>
      </w:r>
      <w:r w:rsidR="00A1428D">
        <w:rPr>
          <w:rFonts w:ascii="標楷體" w:eastAsia="標楷體" w:hAnsi="標楷體" w:hint="eastAsia"/>
          <w:color w:val="FF0000"/>
          <w:kern w:val="0"/>
          <w:highlight w:val="yellow"/>
        </w:rPr>
        <w:t>，</w:t>
      </w:r>
      <w:r w:rsidRPr="00412A9C">
        <w:rPr>
          <w:rFonts w:eastAsia="標楷體"/>
          <w:szCs w:val="22"/>
        </w:rPr>
        <w:t>如虛空，悉欲分別</w:t>
      </w:r>
      <w:r w:rsidR="00A1428D">
        <w:rPr>
          <w:rFonts w:ascii="標楷體" w:eastAsia="標楷體" w:hAnsi="標楷體" w:hint="eastAsia"/>
          <w:bCs/>
          <w:color w:val="FF0000"/>
          <w:kern w:val="0"/>
          <w:highlight w:val="yellow"/>
        </w:rPr>
        <w:t>「</w:t>
      </w:r>
      <w:r w:rsidRPr="00412A9C">
        <w:rPr>
          <w:rFonts w:eastAsia="標楷體"/>
          <w:szCs w:val="22"/>
        </w:rPr>
        <w:t>真諦</w:t>
      </w:r>
      <w:r w:rsidR="00A1428D">
        <w:rPr>
          <w:rFonts w:ascii="標楷體" w:eastAsia="標楷體" w:hAnsi="標楷體" w:hint="eastAsia"/>
          <w:bCs/>
          <w:color w:val="FF0000"/>
          <w:kern w:val="0"/>
          <w:highlight w:val="yellow"/>
        </w:rPr>
        <w:t>」</w:t>
      </w:r>
      <w:r w:rsidRPr="00412A9C">
        <w:rPr>
          <w:rFonts w:eastAsia="標楷體"/>
          <w:szCs w:val="22"/>
        </w:rPr>
        <w:t>義，菩薩因此初發心</w:t>
      </w:r>
      <w:r w:rsidR="00A1428D">
        <w:rPr>
          <w:rFonts w:ascii="標楷體" w:eastAsia="標楷體" w:hAnsi="標楷體" w:hint="eastAsia"/>
          <w:color w:val="FF0000"/>
          <w:kern w:val="0"/>
          <w:highlight w:val="yellow"/>
        </w:rPr>
        <w:t>──</w:t>
      </w:r>
      <w:r w:rsidRPr="00412A9C">
        <w:rPr>
          <w:rFonts w:eastAsia="標楷體"/>
          <w:b/>
          <w:szCs w:val="22"/>
        </w:rPr>
        <w:t>第四重</w:t>
      </w:r>
      <w:r w:rsidRPr="00412A9C">
        <w:rPr>
          <w:rFonts w:eastAsia="標楷體"/>
          <w:szCs w:val="22"/>
        </w:rPr>
        <w:t>文。</w:t>
      </w:r>
    </w:p>
    <w:p w:rsidR="002374E3" w:rsidRPr="00412A9C" w:rsidRDefault="002374E3" w:rsidP="002374E3">
      <w:pPr>
        <w:pStyle w:val="a5"/>
        <w:ind w:leftChars="335" w:left="804"/>
        <w:jc w:val="both"/>
        <w:rPr>
          <w:rFonts w:eastAsia="標楷體"/>
          <w:szCs w:val="22"/>
        </w:rPr>
      </w:pPr>
      <w:r w:rsidRPr="00A1428D">
        <w:rPr>
          <w:rFonts w:eastAsia="標楷體"/>
          <w:szCs w:val="22"/>
          <w:highlight w:val="yellow"/>
        </w:rPr>
        <w:t>今</w:t>
      </w:r>
      <w:r w:rsidRPr="00412A9C">
        <w:rPr>
          <w:rFonts w:eastAsia="標楷體"/>
          <w:szCs w:val="22"/>
        </w:rPr>
        <w:t>欲遍釋諸方等經異</w:t>
      </w:r>
      <w:r w:rsidRPr="00A1428D">
        <w:rPr>
          <w:rFonts w:eastAsia="標楷體"/>
          <w:szCs w:val="22"/>
          <w:highlight w:val="yellow"/>
        </w:rPr>
        <w:t>文故</w:t>
      </w:r>
      <w:r w:rsidR="00A1428D">
        <w:rPr>
          <w:rFonts w:ascii="標楷體" w:eastAsia="標楷體" w:hAnsi="標楷體" w:hint="eastAsia"/>
          <w:color w:val="FF0000"/>
          <w:kern w:val="0"/>
          <w:highlight w:val="yellow"/>
        </w:rPr>
        <w:t>，</w:t>
      </w:r>
      <w:r w:rsidRPr="00412A9C">
        <w:rPr>
          <w:rFonts w:eastAsia="標楷體"/>
          <w:szCs w:val="22"/>
        </w:rPr>
        <w:t>作此</w:t>
      </w:r>
      <w:r w:rsidR="00A1428D">
        <w:rPr>
          <w:rFonts w:ascii="標楷體" w:eastAsia="標楷體" w:hAnsi="標楷體" w:hint="eastAsia"/>
          <w:bCs/>
          <w:color w:val="FF0000"/>
          <w:kern w:val="0"/>
          <w:highlight w:val="yellow"/>
        </w:rPr>
        <w:t>「</w:t>
      </w:r>
      <w:r w:rsidRPr="00412A9C">
        <w:rPr>
          <w:rFonts w:eastAsia="標楷體"/>
          <w:szCs w:val="22"/>
        </w:rPr>
        <w:t>四重二諦</w:t>
      </w:r>
      <w:r w:rsidR="00A1428D">
        <w:rPr>
          <w:rFonts w:ascii="標楷體" w:eastAsia="標楷體" w:hAnsi="標楷體" w:hint="eastAsia"/>
          <w:bCs/>
          <w:color w:val="FF0000"/>
          <w:kern w:val="0"/>
          <w:highlight w:val="yellow"/>
        </w:rPr>
        <w:t>」</w:t>
      </w:r>
      <w:r w:rsidRPr="00412A9C">
        <w:rPr>
          <w:rFonts w:eastAsia="標楷體"/>
          <w:szCs w:val="22"/>
        </w:rPr>
        <w:t>，即四重文理也。</w:t>
      </w:r>
    </w:p>
    <w:p w:rsidR="002374E3" w:rsidRPr="00412A9C" w:rsidRDefault="002374E3" w:rsidP="002374E3">
      <w:pPr>
        <w:pStyle w:val="a5"/>
        <w:ind w:leftChars="105" w:left="791" w:hangingChars="245" w:hanging="539"/>
        <w:jc w:val="both"/>
        <w:rPr>
          <w:szCs w:val="22"/>
        </w:rPr>
      </w:pPr>
      <w:r w:rsidRPr="00412A9C">
        <w:rPr>
          <w:szCs w:val="22"/>
        </w:rPr>
        <w:t>（</w:t>
      </w:r>
      <w:r w:rsidRPr="00761EF3">
        <w:rPr>
          <w:szCs w:val="22"/>
        </w:rPr>
        <w:t>2</w:t>
      </w:r>
      <w:r w:rsidRPr="00412A9C">
        <w:rPr>
          <w:szCs w:val="22"/>
        </w:rPr>
        <w:t>）印順</w:t>
      </w:r>
      <w:r w:rsidRPr="00E72E58">
        <w:rPr>
          <w:szCs w:val="22"/>
        </w:rPr>
        <w:t>法師</w:t>
      </w:r>
      <w:r w:rsidRPr="00412A9C">
        <w:rPr>
          <w:rFonts w:hint="eastAsia"/>
          <w:szCs w:val="22"/>
        </w:rPr>
        <w:t>，</w:t>
      </w:r>
      <w:r w:rsidRPr="00412A9C">
        <w:rPr>
          <w:szCs w:val="22"/>
        </w:rPr>
        <w:t>《佛法是救世之光》</w:t>
      </w:r>
      <w:r w:rsidRPr="00412A9C">
        <w:rPr>
          <w:rFonts w:hint="eastAsia"/>
          <w:szCs w:val="22"/>
        </w:rPr>
        <w:t>，</w:t>
      </w:r>
      <w:r w:rsidRPr="00412A9C">
        <w:rPr>
          <w:szCs w:val="22"/>
        </w:rPr>
        <w:t>〈三論宗風簡說〉，</w:t>
      </w:r>
      <w:r w:rsidRPr="00761EF3">
        <w:rPr>
          <w:szCs w:val="22"/>
        </w:rPr>
        <w:t>pp</w:t>
      </w:r>
      <w:r w:rsidRPr="00412A9C">
        <w:rPr>
          <w:szCs w:val="22"/>
        </w:rPr>
        <w:t>.</w:t>
      </w:r>
      <w:r w:rsidRPr="00761EF3">
        <w:rPr>
          <w:szCs w:val="22"/>
        </w:rPr>
        <w:t>132</w:t>
      </w:r>
      <w:r w:rsidRPr="00412A9C">
        <w:rPr>
          <w:szCs w:val="22"/>
        </w:rPr>
        <w:t>-</w:t>
      </w:r>
      <w:r w:rsidRPr="00761EF3">
        <w:rPr>
          <w:szCs w:val="22"/>
        </w:rPr>
        <w:t>133</w:t>
      </w:r>
      <w:r w:rsidRPr="00412A9C">
        <w:rPr>
          <w:szCs w:val="22"/>
        </w:rPr>
        <w:t>：</w:t>
      </w:r>
    </w:p>
    <w:p w:rsidR="002374E3" w:rsidRPr="00412A9C" w:rsidRDefault="002374E3" w:rsidP="002374E3">
      <w:pPr>
        <w:pStyle w:val="a5"/>
        <w:ind w:leftChars="335" w:left="804"/>
        <w:jc w:val="both"/>
        <w:rPr>
          <w:rFonts w:eastAsia="標楷體"/>
          <w:szCs w:val="22"/>
        </w:rPr>
      </w:pPr>
      <w:r w:rsidRPr="00412A9C">
        <w:rPr>
          <w:rFonts w:eastAsia="標楷體"/>
          <w:szCs w:val="22"/>
        </w:rPr>
        <w:t>探尋三論宗的主意：二諦的關係是即俗而真（即真而俗）的；那即俗而真的，又是泯絕無寄的。如解得這一意趣，佛說</w:t>
      </w:r>
      <w:r w:rsidRPr="00412A9C">
        <w:rPr>
          <w:rFonts w:eastAsia="標楷體"/>
          <w:b/>
          <w:szCs w:val="22"/>
        </w:rPr>
        <w:t>有為俗，空為真</w:t>
      </w:r>
      <w:r w:rsidRPr="00412A9C">
        <w:rPr>
          <w:rFonts w:eastAsia="標楷體"/>
          <w:szCs w:val="22"/>
        </w:rPr>
        <w:t>，已恰到好處了。這是</w:t>
      </w:r>
      <w:r w:rsidRPr="00412A9C">
        <w:rPr>
          <w:rFonts w:eastAsia="標楷體"/>
          <w:b/>
          <w:szCs w:val="22"/>
        </w:rPr>
        <w:t>第一重二諦</w:t>
      </w:r>
      <w:r w:rsidRPr="00412A9C">
        <w:rPr>
          <w:rFonts w:eastAsia="標楷體"/>
          <w:szCs w:val="22"/>
        </w:rPr>
        <w:t>，也可說是根本的二諦。</w:t>
      </w:r>
    </w:p>
    <w:p w:rsidR="002374E3" w:rsidRPr="00412A9C" w:rsidRDefault="002374E3" w:rsidP="002374E3">
      <w:pPr>
        <w:pStyle w:val="a5"/>
        <w:ind w:leftChars="335" w:left="804"/>
        <w:jc w:val="both"/>
        <w:rPr>
          <w:rFonts w:eastAsia="標楷體"/>
          <w:szCs w:val="22"/>
        </w:rPr>
      </w:pPr>
      <w:r w:rsidRPr="00412A9C">
        <w:rPr>
          <w:rFonts w:eastAsia="標楷體"/>
          <w:szCs w:val="22"/>
        </w:rPr>
        <w:t>但有些人，不得佛說二諦的意趣，別執真俗二諦，不即又不泯，佛這才又說：</w:t>
      </w:r>
      <w:r w:rsidRPr="00412A9C">
        <w:rPr>
          <w:rFonts w:eastAsia="標楷體"/>
          <w:b/>
          <w:szCs w:val="22"/>
        </w:rPr>
        <w:t>說有說空是俗諦，非有非空為真諦</w:t>
      </w:r>
      <w:r w:rsidRPr="00412A9C">
        <w:rPr>
          <w:rFonts w:eastAsia="標楷體"/>
          <w:szCs w:val="22"/>
        </w:rPr>
        <w:t>（</w:t>
      </w:r>
      <w:r w:rsidRPr="00412A9C">
        <w:rPr>
          <w:rFonts w:eastAsia="標楷體"/>
          <w:b/>
          <w:szCs w:val="22"/>
        </w:rPr>
        <w:t>第二重二諦</w:t>
      </w:r>
      <w:r w:rsidRPr="00412A9C">
        <w:rPr>
          <w:rFonts w:eastAsia="標楷體"/>
          <w:szCs w:val="22"/>
        </w:rPr>
        <w:t>）。但這非有非空，是有空相即而泯絕，不是離卻有空，別有什麼非有非空的。</w:t>
      </w:r>
    </w:p>
    <w:p w:rsidR="002374E3" w:rsidRPr="00412A9C" w:rsidRDefault="002374E3" w:rsidP="002374E3">
      <w:pPr>
        <w:pStyle w:val="a5"/>
        <w:ind w:leftChars="335" w:left="804"/>
        <w:jc w:val="both"/>
        <w:rPr>
          <w:rFonts w:eastAsia="標楷體"/>
          <w:szCs w:val="22"/>
        </w:rPr>
      </w:pPr>
      <w:r w:rsidRPr="00412A9C">
        <w:rPr>
          <w:rFonts w:eastAsia="標楷體"/>
          <w:szCs w:val="22"/>
        </w:rPr>
        <w:t>如著相而不相即</w:t>
      </w:r>
      <w:r w:rsidRPr="00412A9C">
        <w:rPr>
          <w:rFonts w:ascii="新細明體" w:hAnsi="新細明體"/>
          <w:szCs w:val="22"/>
        </w:rPr>
        <w:t>──</w:t>
      </w:r>
      <w:r w:rsidRPr="00412A9C">
        <w:rPr>
          <w:rFonts w:eastAsia="標楷體"/>
          <w:szCs w:val="22"/>
        </w:rPr>
        <w:t>不得意，佛又不得不說</w:t>
      </w:r>
      <w:r w:rsidRPr="00412A9C">
        <w:rPr>
          <w:rFonts w:eastAsia="標楷體"/>
          <w:b/>
          <w:szCs w:val="22"/>
        </w:rPr>
        <w:t>第三重二諦</w:t>
      </w:r>
      <w:r w:rsidRPr="00412A9C">
        <w:rPr>
          <w:rFonts w:eastAsia="標楷體"/>
          <w:szCs w:val="22"/>
        </w:rPr>
        <w:t>：</w:t>
      </w:r>
      <w:r w:rsidRPr="00412A9C">
        <w:rPr>
          <w:rFonts w:eastAsia="標楷體"/>
          <w:b/>
          <w:szCs w:val="22"/>
        </w:rPr>
        <w:t>有、空、非有非空為俗；非有、非空、非非有非空為真。</w:t>
      </w:r>
    </w:p>
    <w:p w:rsidR="002374E3" w:rsidRPr="00412A9C" w:rsidRDefault="002374E3" w:rsidP="002374E3">
      <w:pPr>
        <w:pStyle w:val="a5"/>
        <w:ind w:leftChars="335" w:left="804"/>
        <w:jc w:val="both"/>
        <w:rPr>
          <w:rFonts w:eastAsia="標楷體"/>
          <w:szCs w:val="22"/>
        </w:rPr>
      </w:pPr>
      <w:r w:rsidRPr="00412A9C">
        <w:rPr>
          <w:rFonts w:eastAsia="標楷體"/>
          <w:szCs w:val="22"/>
        </w:rPr>
        <w:t>如不得意，還是無用的。總之，</w:t>
      </w:r>
      <w:r w:rsidRPr="00412A9C">
        <w:rPr>
          <w:rFonts w:eastAsia="標楷體"/>
          <w:b/>
          <w:szCs w:val="22"/>
        </w:rPr>
        <w:t>凡言思所及的（落於相對界）是俗；言忘慮絕的是真</w:t>
      </w:r>
      <w:r w:rsidRPr="00412A9C">
        <w:rPr>
          <w:rFonts w:eastAsia="標楷體"/>
          <w:szCs w:val="22"/>
        </w:rPr>
        <w:t>。</w:t>
      </w:r>
    </w:p>
    <w:p w:rsidR="002374E3" w:rsidRPr="00412A9C" w:rsidRDefault="002374E3" w:rsidP="002374E3">
      <w:pPr>
        <w:pStyle w:val="a5"/>
        <w:ind w:leftChars="335" w:left="804"/>
        <w:jc w:val="both"/>
        <w:rPr>
          <w:szCs w:val="22"/>
        </w:rPr>
      </w:pPr>
      <w:r w:rsidRPr="00412A9C">
        <w:rPr>
          <w:rFonts w:eastAsia="標楷體"/>
          <w:szCs w:val="22"/>
        </w:rPr>
        <w:t>三論宗</w:t>
      </w:r>
      <w:r w:rsidRPr="00412A9C">
        <w:rPr>
          <w:rFonts w:eastAsia="標楷體"/>
          <w:b/>
          <w:szCs w:val="22"/>
        </w:rPr>
        <w:t>四重二諦</w:t>
      </w:r>
      <w:r w:rsidRPr="00412A9C">
        <w:rPr>
          <w:rFonts w:eastAsia="標楷體"/>
          <w:szCs w:val="22"/>
        </w:rPr>
        <w:t>的建立，是通經的，對治當時執見的；也可以依此而說明三論宗學發展的程序。如關河古義是初重二諦（言說邊近於天臺家的通義）；攝山的南土新義，是第二重二諦（言說邊近於天臺家的別義）；興皇以下的圓中圓假，是第三重二諦（言說邊近於天臺家的圓義）。但方便立說不同，而三論宗意，始終是一貫的。</w:t>
      </w:r>
    </w:p>
  </w:footnote>
  <w:footnote w:id="987">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szCs w:val="22"/>
        </w:rPr>
        <w:t>寄：</w:t>
      </w:r>
      <w:r w:rsidRPr="00761EF3">
        <w:rPr>
          <w:szCs w:val="22"/>
        </w:rPr>
        <w:t>1</w:t>
      </w:r>
      <w:r w:rsidRPr="00412A9C">
        <w:rPr>
          <w:szCs w:val="22"/>
        </w:rPr>
        <w:t>.</w:t>
      </w:r>
      <w:r w:rsidRPr="00412A9C">
        <w:rPr>
          <w:szCs w:val="22"/>
        </w:rPr>
        <w:t>委</w:t>
      </w:r>
      <w:r w:rsidRPr="00412A9C">
        <w:rPr>
          <w:rFonts w:hint="eastAsia"/>
          <w:szCs w:val="22"/>
        </w:rPr>
        <w:t>託</w:t>
      </w:r>
      <w:r w:rsidRPr="00412A9C">
        <w:rPr>
          <w:szCs w:val="22"/>
        </w:rPr>
        <w:t>，</w:t>
      </w:r>
      <w:r w:rsidRPr="00412A9C">
        <w:rPr>
          <w:rFonts w:hint="eastAsia"/>
          <w:szCs w:val="22"/>
        </w:rPr>
        <w:t>託</w:t>
      </w:r>
      <w:r w:rsidRPr="00412A9C">
        <w:rPr>
          <w:szCs w:val="22"/>
        </w:rPr>
        <w:t>付。</w:t>
      </w:r>
      <w:r w:rsidRPr="00761EF3">
        <w:rPr>
          <w:szCs w:val="22"/>
        </w:rPr>
        <w:t>2</w:t>
      </w:r>
      <w:r w:rsidRPr="00412A9C">
        <w:rPr>
          <w:szCs w:val="22"/>
        </w:rPr>
        <w:t>.</w:t>
      </w:r>
      <w:r w:rsidRPr="00412A9C">
        <w:rPr>
          <w:szCs w:val="22"/>
        </w:rPr>
        <w:t>依賴，依附。（《漢語大詞典》（</w:t>
      </w:r>
      <w:r w:rsidRPr="00412A9C">
        <w:rPr>
          <w:rFonts w:ascii="新細明體" w:hAnsi="新細明體" w:hint="eastAsia"/>
          <w:szCs w:val="22"/>
        </w:rPr>
        <w:t>三</w:t>
      </w:r>
      <w:r w:rsidRPr="00412A9C">
        <w:rPr>
          <w:szCs w:val="22"/>
        </w:rPr>
        <w:t>）</w:t>
      </w:r>
      <w:r w:rsidRPr="00412A9C">
        <w:rPr>
          <w:rFonts w:hint="eastAsia"/>
          <w:szCs w:val="22"/>
        </w:rPr>
        <w:t>，</w:t>
      </w:r>
      <w:r w:rsidRPr="00761EF3">
        <w:rPr>
          <w:rFonts w:eastAsia="SimSun"/>
          <w:szCs w:val="22"/>
        </w:rPr>
        <w:t>p</w:t>
      </w:r>
      <w:r w:rsidRPr="00412A9C">
        <w:rPr>
          <w:rFonts w:eastAsia="SimSun"/>
          <w:szCs w:val="22"/>
        </w:rPr>
        <w:t>.</w:t>
      </w:r>
      <w:r w:rsidRPr="00761EF3">
        <w:rPr>
          <w:rFonts w:eastAsia="SimSun" w:hint="eastAsia"/>
          <w:szCs w:val="22"/>
        </w:rPr>
        <w:t>1</w:t>
      </w:r>
      <w:r w:rsidRPr="00761EF3">
        <w:rPr>
          <w:rFonts w:eastAsia="SimSun"/>
          <w:szCs w:val="22"/>
        </w:rPr>
        <w:t>50</w:t>
      </w:r>
      <w:r w:rsidRPr="00761EF3">
        <w:rPr>
          <w:rFonts w:eastAsia="SimSun" w:hint="eastAsia"/>
          <w:szCs w:val="22"/>
        </w:rPr>
        <w:t>5</w:t>
      </w:r>
      <w:r w:rsidRPr="00412A9C">
        <w:rPr>
          <w:rFonts w:eastAsia="SimSun"/>
          <w:szCs w:val="22"/>
        </w:rPr>
        <w:t>）</w:t>
      </w:r>
    </w:p>
  </w:footnote>
  <w:footnote w:id="988">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szCs w:val="22"/>
        </w:rPr>
        <w:t>孤零：孤單，孤獨。（《漢語大詞典》（四）</w:t>
      </w:r>
      <w:r w:rsidRPr="00412A9C">
        <w:rPr>
          <w:rFonts w:hint="eastAsia"/>
          <w:szCs w:val="22"/>
        </w:rPr>
        <w:t>，</w:t>
      </w:r>
      <w:r w:rsidRPr="00761EF3">
        <w:rPr>
          <w:rFonts w:eastAsia="SimSun"/>
          <w:szCs w:val="22"/>
        </w:rPr>
        <w:t>p</w:t>
      </w:r>
      <w:r w:rsidRPr="00412A9C">
        <w:rPr>
          <w:rFonts w:eastAsia="SimSun"/>
          <w:szCs w:val="22"/>
        </w:rPr>
        <w:t>.</w:t>
      </w:r>
      <w:r w:rsidRPr="00761EF3">
        <w:rPr>
          <w:rFonts w:eastAsia="SimSun"/>
          <w:szCs w:val="22"/>
        </w:rPr>
        <w:t>22</w:t>
      </w:r>
      <w:r w:rsidRPr="00761EF3">
        <w:rPr>
          <w:rFonts w:eastAsia="SimSun" w:hint="eastAsia"/>
          <w:szCs w:val="22"/>
        </w:rPr>
        <w:t>5</w:t>
      </w:r>
      <w:r w:rsidRPr="00412A9C">
        <w:rPr>
          <w:rFonts w:eastAsia="SimSun"/>
          <w:szCs w:val="22"/>
        </w:rPr>
        <w:t>）</w:t>
      </w:r>
    </w:p>
  </w:footnote>
  <w:footnote w:id="989">
    <w:p w:rsidR="00157EF6" w:rsidRPr="00412A9C" w:rsidRDefault="00157EF6" w:rsidP="00AA120F">
      <w:pPr>
        <w:pStyle w:val="a5"/>
        <w:spacing w:line="0" w:lineRule="atLeast"/>
        <w:ind w:left="253" w:hangingChars="115" w:hanging="253"/>
        <w:jc w:val="both"/>
        <w:rPr>
          <w:rFonts w:eastAsia="SimSun"/>
          <w:szCs w:val="22"/>
        </w:rPr>
      </w:pPr>
      <w:r w:rsidRPr="00412A9C">
        <w:rPr>
          <w:rStyle w:val="a6"/>
          <w:szCs w:val="22"/>
        </w:rPr>
        <w:footnoteRef/>
      </w:r>
      <w:r w:rsidRPr="00412A9C">
        <w:rPr>
          <w:rFonts w:eastAsia="SimSun" w:hint="eastAsia"/>
          <w:szCs w:val="22"/>
        </w:rPr>
        <w:t xml:space="preserve"> </w:t>
      </w:r>
      <w:r w:rsidRPr="00412A9C">
        <w:rPr>
          <w:szCs w:val="22"/>
        </w:rPr>
        <w:t>印順法師</w:t>
      </w:r>
      <w:r w:rsidRPr="00412A9C">
        <w:rPr>
          <w:rFonts w:hint="eastAsia"/>
          <w:szCs w:val="22"/>
        </w:rPr>
        <w:t>，</w:t>
      </w:r>
      <w:r w:rsidRPr="00412A9C">
        <w:rPr>
          <w:szCs w:val="22"/>
        </w:rPr>
        <w:t>《無諍之辯》，</w:t>
      </w:r>
      <w:r w:rsidRPr="00761EF3">
        <w:rPr>
          <w:szCs w:val="22"/>
        </w:rPr>
        <w:t>p</w:t>
      </w:r>
      <w:r w:rsidRPr="00412A9C">
        <w:rPr>
          <w:szCs w:val="22"/>
        </w:rPr>
        <w:t>.</w:t>
      </w:r>
      <w:r w:rsidRPr="00761EF3">
        <w:rPr>
          <w:szCs w:val="22"/>
        </w:rPr>
        <w:t>148</w:t>
      </w:r>
      <w:r w:rsidRPr="00412A9C">
        <w:rPr>
          <w:szCs w:val="22"/>
        </w:rPr>
        <w:t>：</w:t>
      </w:r>
    </w:p>
    <w:p w:rsidR="00157EF6" w:rsidRPr="00412A9C" w:rsidRDefault="00157EF6" w:rsidP="00AA120F">
      <w:pPr>
        <w:pStyle w:val="a5"/>
        <w:ind w:leftChars="105" w:left="252"/>
        <w:jc w:val="both"/>
        <w:rPr>
          <w:rFonts w:eastAsia="SimSun"/>
          <w:szCs w:val="22"/>
        </w:rPr>
      </w:pPr>
      <w:r w:rsidRPr="00412A9C">
        <w:rPr>
          <w:rFonts w:ascii="標楷體" w:eastAsia="標楷體" w:hAnsi="標楷體"/>
          <w:b/>
          <w:szCs w:val="22"/>
        </w:rPr>
        <w:t>於空、假外的第三者（但中）</w:t>
      </w:r>
      <w:r w:rsidRPr="00412A9C">
        <w:rPr>
          <w:rFonts w:ascii="標楷體" w:eastAsia="標楷體" w:hAnsi="標楷體"/>
          <w:szCs w:val="22"/>
        </w:rPr>
        <w:t>，或</w:t>
      </w:r>
      <w:r w:rsidRPr="00412A9C">
        <w:rPr>
          <w:rFonts w:ascii="標楷體" w:eastAsia="標楷體" w:hAnsi="標楷體"/>
          <w:b/>
          <w:szCs w:val="22"/>
        </w:rPr>
        <w:t>即空即假的第三者（圓中）</w:t>
      </w:r>
      <w:r w:rsidRPr="00412A9C">
        <w:rPr>
          <w:rFonts w:ascii="標楷體" w:eastAsia="標楷體" w:hAnsi="標楷體"/>
          <w:szCs w:val="22"/>
        </w:rPr>
        <w:t>，古師意指空而不空的妙有。如以此為不共般若，性空唯名論是不攝的。然而並非空外說（假）有，（假）有外說空，性空唯名論也還是開顯空假不二的中道</w:t>
      </w:r>
      <w:r w:rsidRPr="00412A9C">
        <w:rPr>
          <w:szCs w:val="22"/>
        </w:rPr>
        <w:t>。</w:t>
      </w:r>
    </w:p>
  </w:footnote>
  <w:footnote w:id="990">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szCs w:val="22"/>
        </w:rPr>
        <w:t>印順法師</w:t>
      </w:r>
      <w:r w:rsidRPr="00412A9C">
        <w:rPr>
          <w:rFonts w:hint="eastAsia"/>
          <w:szCs w:val="22"/>
        </w:rPr>
        <w:t>，</w:t>
      </w:r>
      <w:r w:rsidRPr="00412A9C">
        <w:rPr>
          <w:szCs w:val="22"/>
        </w:rPr>
        <w:t>《中觀論頌講記》，</w:t>
      </w:r>
      <w:r w:rsidRPr="00761EF3">
        <w:rPr>
          <w:szCs w:val="22"/>
        </w:rPr>
        <w:t>p</w:t>
      </w:r>
      <w:r w:rsidRPr="00412A9C">
        <w:rPr>
          <w:szCs w:val="22"/>
        </w:rPr>
        <w:t>.</w:t>
      </w:r>
      <w:r w:rsidRPr="00761EF3">
        <w:rPr>
          <w:szCs w:val="22"/>
        </w:rPr>
        <w:t>450</w:t>
      </w:r>
      <w:r w:rsidRPr="00412A9C">
        <w:rPr>
          <w:szCs w:val="22"/>
        </w:rPr>
        <w:t>：</w:t>
      </w:r>
    </w:p>
    <w:p w:rsidR="00157EF6" w:rsidRPr="00412A9C" w:rsidRDefault="00157EF6" w:rsidP="00AA120F">
      <w:pPr>
        <w:pStyle w:val="a5"/>
        <w:ind w:leftChars="105" w:left="252"/>
        <w:jc w:val="both"/>
        <w:rPr>
          <w:szCs w:val="22"/>
        </w:rPr>
      </w:pPr>
      <w:r w:rsidRPr="00412A9C">
        <w:rPr>
          <w:rFonts w:eastAsia="標楷體"/>
          <w:szCs w:val="22"/>
        </w:rPr>
        <w:t>二諦又有兩種：一、佛說這樣是世俗諦，那樣是第一義諦，這是以能詮能示的名言、意言，而以詮顯為大用的，名</w:t>
      </w:r>
      <w:r w:rsidRPr="00412A9C">
        <w:rPr>
          <w:rFonts w:eastAsia="標楷體"/>
          <w:b/>
          <w:szCs w:val="22"/>
        </w:rPr>
        <w:t>教二諦</w:t>
      </w:r>
      <w:r w:rsidRPr="00412A9C">
        <w:rPr>
          <w:rFonts w:eastAsia="標楷體"/>
          <w:szCs w:val="22"/>
        </w:rPr>
        <w:t>。二、佛說二諦，不是隨便說的，是依凡聖心境，名言境及勝義理而說的；這佛所依的，是</w:t>
      </w:r>
      <w:r w:rsidRPr="00412A9C">
        <w:rPr>
          <w:rFonts w:eastAsia="標楷體"/>
          <w:b/>
          <w:szCs w:val="22"/>
        </w:rPr>
        <w:t>依二諦</w:t>
      </w:r>
      <w:r w:rsidRPr="00412A9C">
        <w:rPr>
          <w:rFonts w:eastAsia="標楷體"/>
          <w:szCs w:val="22"/>
        </w:rPr>
        <w:t>。古代三論學者，特分別這兩種二諦，頗有精意。然重在依教二諦，顯出他的依待性，即二諦而指歸中道不二。</w:t>
      </w:r>
    </w:p>
  </w:footnote>
  <w:footnote w:id="991">
    <w:p w:rsidR="00157EF6" w:rsidRPr="00412A9C" w:rsidRDefault="00157EF6" w:rsidP="00AA120F">
      <w:pPr>
        <w:pStyle w:val="a5"/>
        <w:spacing w:line="0" w:lineRule="atLeast"/>
        <w:ind w:left="253" w:hangingChars="115" w:hanging="253"/>
        <w:jc w:val="both"/>
        <w:rPr>
          <w:rFonts w:eastAsia="SimSun"/>
          <w:szCs w:val="22"/>
        </w:rPr>
      </w:pPr>
      <w:r w:rsidRPr="00412A9C">
        <w:rPr>
          <w:rStyle w:val="a6"/>
          <w:szCs w:val="22"/>
        </w:rPr>
        <w:footnoteRef/>
      </w:r>
      <w:r w:rsidRPr="00412A9C">
        <w:rPr>
          <w:szCs w:val="22"/>
        </w:rPr>
        <w:t xml:space="preserve"> </w:t>
      </w:r>
      <w:r w:rsidRPr="00412A9C">
        <w:rPr>
          <w:rFonts w:hint="eastAsia"/>
          <w:szCs w:val="22"/>
        </w:rPr>
        <w:t>〔隋〕</w:t>
      </w:r>
      <w:r w:rsidRPr="00412A9C">
        <w:rPr>
          <w:szCs w:val="22"/>
        </w:rPr>
        <w:t>吉藏</w:t>
      </w:r>
      <w:r>
        <w:rPr>
          <w:szCs w:val="22"/>
        </w:rPr>
        <w:t>撰</w:t>
      </w:r>
      <w:r w:rsidRPr="00412A9C">
        <w:rPr>
          <w:rFonts w:hint="eastAsia"/>
          <w:szCs w:val="22"/>
        </w:rPr>
        <w:t>，</w:t>
      </w:r>
      <w:r w:rsidRPr="00412A9C">
        <w:rPr>
          <w:szCs w:val="22"/>
        </w:rPr>
        <w:t>《中觀論疏》卷</w:t>
      </w:r>
      <w:r w:rsidRPr="00761EF3">
        <w:rPr>
          <w:szCs w:val="22"/>
        </w:rPr>
        <w:t>10</w:t>
      </w:r>
      <w:r w:rsidRPr="00412A9C">
        <w:rPr>
          <w:szCs w:val="22"/>
        </w:rPr>
        <w:t>〈</w:t>
      </w:r>
      <w:r w:rsidRPr="00761EF3">
        <w:rPr>
          <w:szCs w:val="22"/>
        </w:rPr>
        <w:t>24</w:t>
      </w:r>
      <w:r w:rsidR="009F707C">
        <w:rPr>
          <w:szCs w:val="22"/>
        </w:rPr>
        <w:t xml:space="preserve"> </w:t>
      </w:r>
      <w:r w:rsidRPr="00412A9C">
        <w:rPr>
          <w:szCs w:val="22"/>
        </w:rPr>
        <w:t>四諦品〉（大正</w:t>
      </w:r>
      <w:r w:rsidRPr="00761EF3">
        <w:rPr>
          <w:szCs w:val="22"/>
        </w:rPr>
        <w:t>42</w:t>
      </w:r>
      <w:r w:rsidRPr="00412A9C">
        <w:rPr>
          <w:szCs w:val="22"/>
        </w:rPr>
        <w:t>，</w:t>
      </w:r>
      <w:r w:rsidRPr="00761EF3">
        <w:rPr>
          <w:szCs w:val="22"/>
        </w:rPr>
        <w:t>150b26</w:t>
      </w:r>
      <w:r w:rsidRPr="00412A9C">
        <w:rPr>
          <w:szCs w:val="22"/>
        </w:rPr>
        <w:t>-</w:t>
      </w:r>
      <w:r w:rsidRPr="00761EF3">
        <w:rPr>
          <w:szCs w:val="22"/>
        </w:rPr>
        <w:t>c5</w:t>
      </w:r>
      <w:r w:rsidRPr="00412A9C">
        <w:rPr>
          <w:szCs w:val="22"/>
        </w:rPr>
        <w:t>）：</w:t>
      </w:r>
    </w:p>
    <w:p w:rsidR="00157EF6" w:rsidRPr="00412A9C" w:rsidRDefault="00157EF6" w:rsidP="00AA120F">
      <w:pPr>
        <w:pStyle w:val="a5"/>
        <w:ind w:leftChars="105" w:left="692" w:hangingChars="200" w:hanging="440"/>
        <w:jc w:val="both"/>
        <w:rPr>
          <w:rFonts w:eastAsia="SimSun"/>
          <w:szCs w:val="22"/>
        </w:rPr>
      </w:pPr>
      <w:r w:rsidRPr="00412A9C">
        <w:rPr>
          <w:rFonts w:eastAsia="標楷體"/>
          <w:szCs w:val="22"/>
        </w:rPr>
        <w:t>問：云何稱</w:t>
      </w:r>
      <w:r w:rsidR="00A1428D">
        <w:rPr>
          <w:rFonts w:ascii="標楷體" w:eastAsia="標楷體" w:hAnsi="標楷體" w:hint="eastAsia"/>
          <w:bCs/>
          <w:color w:val="FF0000"/>
          <w:kern w:val="0"/>
          <w:highlight w:val="yellow"/>
        </w:rPr>
        <w:t>「</w:t>
      </w:r>
      <w:r w:rsidRPr="00412A9C">
        <w:rPr>
          <w:rFonts w:eastAsia="標楷體"/>
          <w:szCs w:val="22"/>
        </w:rPr>
        <w:t>依二諦</w:t>
      </w:r>
      <w:r w:rsidR="00A1428D">
        <w:rPr>
          <w:rFonts w:ascii="標楷體" w:eastAsia="標楷體" w:hAnsi="標楷體" w:hint="eastAsia"/>
          <w:bCs/>
          <w:color w:val="FF0000"/>
          <w:kern w:val="0"/>
          <w:highlight w:val="yellow"/>
        </w:rPr>
        <w:t>」</w:t>
      </w:r>
      <w:r w:rsidRPr="00412A9C">
        <w:rPr>
          <w:rFonts w:eastAsia="標楷體"/>
          <w:szCs w:val="22"/>
        </w:rPr>
        <w:t>義耶？</w:t>
      </w:r>
    </w:p>
    <w:p w:rsidR="00157EF6" w:rsidRPr="00412A9C" w:rsidRDefault="00157EF6" w:rsidP="00AA120F">
      <w:pPr>
        <w:pStyle w:val="a5"/>
        <w:ind w:leftChars="105" w:left="692" w:hangingChars="200" w:hanging="440"/>
        <w:jc w:val="both"/>
        <w:rPr>
          <w:rFonts w:eastAsia="SimSun"/>
          <w:szCs w:val="22"/>
        </w:rPr>
      </w:pPr>
      <w:r w:rsidRPr="00412A9C">
        <w:rPr>
          <w:rFonts w:eastAsia="標楷體"/>
          <w:szCs w:val="22"/>
        </w:rPr>
        <w:t>答：</w:t>
      </w:r>
      <w:r w:rsidRPr="00910200">
        <w:rPr>
          <w:rFonts w:eastAsia="標楷體"/>
          <w:spacing w:val="-4"/>
          <w:szCs w:val="22"/>
        </w:rPr>
        <w:t>於凡聖所解空</w:t>
      </w:r>
      <w:r w:rsidR="00A1428D">
        <w:rPr>
          <w:rFonts w:ascii="標楷體" w:eastAsia="標楷體" w:hAnsi="標楷體" w:hint="eastAsia"/>
          <w:color w:val="FF0000"/>
          <w:kern w:val="0"/>
          <w:highlight w:val="yellow"/>
        </w:rPr>
        <w:t>.</w:t>
      </w:r>
      <w:r w:rsidRPr="00910200">
        <w:rPr>
          <w:rFonts w:eastAsia="標楷體"/>
          <w:spacing w:val="-4"/>
          <w:szCs w:val="22"/>
        </w:rPr>
        <w:t>有皆實</w:t>
      </w:r>
      <w:r w:rsidR="00A1428D">
        <w:rPr>
          <w:rFonts w:ascii="標楷體" w:eastAsia="標楷體" w:hAnsi="標楷體" w:hint="eastAsia"/>
          <w:color w:val="FF0000"/>
          <w:kern w:val="0"/>
          <w:highlight w:val="yellow"/>
        </w:rPr>
        <w:t>，</w:t>
      </w:r>
      <w:r w:rsidRPr="00910200">
        <w:rPr>
          <w:rFonts w:eastAsia="標楷體"/>
          <w:spacing w:val="-4"/>
          <w:szCs w:val="22"/>
        </w:rPr>
        <w:t>故稱</w:t>
      </w:r>
      <w:r w:rsidR="00A1428D">
        <w:rPr>
          <w:rFonts w:ascii="標楷體" w:eastAsia="標楷體" w:hAnsi="標楷體" w:hint="eastAsia"/>
          <w:bCs/>
          <w:color w:val="FF0000"/>
          <w:kern w:val="0"/>
          <w:highlight w:val="yellow"/>
        </w:rPr>
        <w:t>「</w:t>
      </w:r>
      <w:r w:rsidRPr="00910200">
        <w:rPr>
          <w:rFonts w:eastAsia="標楷體"/>
          <w:spacing w:val="-4"/>
          <w:szCs w:val="22"/>
        </w:rPr>
        <w:t>二諦</w:t>
      </w:r>
      <w:r w:rsidR="00A1428D">
        <w:rPr>
          <w:rFonts w:ascii="標楷體" w:eastAsia="標楷體" w:hAnsi="標楷體" w:hint="eastAsia"/>
          <w:bCs/>
          <w:color w:val="FF0000"/>
          <w:kern w:val="0"/>
          <w:highlight w:val="yellow"/>
        </w:rPr>
        <w:t>」</w:t>
      </w:r>
      <w:r w:rsidR="00A1428D">
        <w:rPr>
          <w:rFonts w:ascii="標楷體" w:eastAsia="標楷體" w:hAnsi="標楷體" w:hint="eastAsia"/>
          <w:color w:val="FF0000"/>
          <w:spacing w:val="-4"/>
          <w:kern w:val="0"/>
          <w:highlight w:val="yellow"/>
        </w:rPr>
        <w:t>；</w:t>
      </w:r>
      <w:r w:rsidRPr="00910200">
        <w:rPr>
          <w:rFonts w:eastAsia="標楷體"/>
          <w:spacing w:val="-4"/>
          <w:szCs w:val="22"/>
        </w:rPr>
        <w:t>依此二實而說故所說皆實，故云</w:t>
      </w:r>
      <w:r w:rsidR="00A1428D">
        <w:rPr>
          <w:rFonts w:ascii="標楷體" w:eastAsia="標楷體" w:hAnsi="標楷體" w:hint="eastAsia"/>
          <w:bCs/>
          <w:color w:val="FF0000"/>
          <w:kern w:val="0"/>
          <w:highlight w:val="yellow"/>
        </w:rPr>
        <w:t>「</w:t>
      </w:r>
      <w:r w:rsidRPr="00910200">
        <w:rPr>
          <w:rFonts w:eastAsia="標楷體"/>
          <w:spacing w:val="-4"/>
          <w:szCs w:val="22"/>
        </w:rPr>
        <w:t>依二諦說</w:t>
      </w:r>
      <w:r w:rsidR="00A1428D">
        <w:rPr>
          <w:rFonts w:ascii="標楷體" w:eastAsia="標楷體" w:hAnsi="標楷體" w:hint="eastAsia"/>
          <w:bCs/>
          <w:color w:val="FF0000"/>
          <w:kern w:val="0"/>
          <w:highlight w:val="yellow"/>
        </w:rPr>
        <w:t>」</w:t>
      </w:r>
      <w:r w:rsidRPr="00910200">
        <w:rPr>
          <w:rFonts w:eastAsia="標楷體"/>
          <w:spacing w:val="-4"/>
          <w:szCs w:val="22"/>
        </w:rPr>
        <w:t>也。</w:t>
      </w:r>
    </w:p>
    <w:p w:rsidR="00157EF6" w:rsidRPr="00412A9C" w:rsidRDefault="00157EF6" w:rsidP="00AA120F">
      <w:pPr>
        <w:pStyle w:val="a5"/>
        <w:ind w:leftChars="105" w:left="692" w:hangingChars="200" w:hanging="440"/>
        <w:jc w:val="both"/>
        <w:rPr>
          <w:rFonts w:eastAsia="SimSun"/>
          <w:szCs w:val="22"/>
        </w:rPr>
      </w:pPr>
      <w:r w:rsidRPr="00412A9C">
        <w:rPr>
          <w:rFonts w:eastAsia="標楷體"/>
          <w:szCs w:val="22"/>
        </w:rPr>
        <w:t>問：云何是</w:t>
      </w:r>
      <w:r w:rsidR="00A1428D">
        <w:rPr>
          <w:rFonts w:ascii="標楷體" w:eastAsia="標楷體" w:hAnsi="標楷體" w:hint="eastAsia"/>
          <w:bCs/>
          <w:color w:val="FF0000"/>
          <w:kern w:val="0"/>
          <w:highlight w:val="yellow"/>
        </w:rPr>
        <w:t>「</w:t>
      </w:r>
      <w:r w:rsidRPr="00412A9C">
        <w:rPr>
          <w:rFonts w:eastAsia="標楷體"/>
          <w:szCs w:val="22"/>
        </w:rPr>
        <w:t>二於諦</w:t>
      </w:r>
      <w:r w:rsidR="00A1428D">
        <w:rPr>
          <w:rFonts w:ascii="標楷體" w:eastAsia="標楷體" w:hAnsi="標楷體" w:hint="eastAsia"/>
          <w:bCs/>
          <w:color w:val="FF0000"/>
          <w:kern w:val="0"/>
          <w:highlight w:val="yellow"/>
        </w:rPr>
        <w:t>」</w:t>
      </w:r>
      <w:r w:rsidRPr="00412A9C">
        <w:rPr>
          <w:rFonts w:eastAsia="標楷體"/>
          <w:szCs w:val="22"/>
        </w:rPr>
        <w:t>？云何是</w:t>
      </w:r>
      <w:r w:rsidR="00A1428D">
        <w:rPr>
          <w:rFonts w:ascii="標楷體" w:eastAsia="標楷體" w:hAnsi="標楷體" w:hint="eastAsia"/>
          <w:bCs/>
          <w:color w:val="FF0000"/>
          <w:kern w:val="0"/>
          <w:highlight w:val="yellow"/>
        </w:rPr>
        <w:t>「</w:t>
      </w:r>
      <w:r w:rsidRPr="00412A9C">
        <w:rPr>
          <w:rFonts w:eastAsia="標楷體"/>
          <w:szCs w:val="22"/>
        </w:rPr>
        <w:t>教諦</w:t>
      </w:r>
      <w:r w:rsidR="00A1428D">
        <w:rPr>
          <w:rFonts w:ascii="標楷體" w:eastAsia="標楷體" w:hAnsi="標楷體" w:hint="eastAsia"/>
          <w:bCs/>
          <w:color w:val="FF0000"/>
          <w:kern w:val="0"/>
          <w:highlight w:val="yellow"/>
        </w:rPr>
        <w:t>」</w:t>
      </w:r>
      <w:r w:rsidRPr="00412A9C">
        <w:rPr>
          <w:rFonts w:eastAsia="標楷體"/>
          <w:szCs w:val="22"/>
        </w:rPr>
        <w:t>？</w:t>
      </w:r>
    </w:p>
    <w:p w:rsidR="00157EF6" w:rsidRDefault="00157EF6" w:rsidP="00AA120F">
      <w:pPr>
        <w:pStyle w:val="a5"/>
        <w:ind w:leftChars="105" w:left="692" w:hangingChars="200" w:hanging="440"/>
        <w:jc w:val="both"/>
        <w:rPr>
          <w:rFonts w:eastAsia="標楷體"/>
          <w:szCs w:val="22"/>
        </w:rPr>
      </w:pPr>
      <w:r w:rsidRPr="00412A9C">
        <w:rPr>
          <w:rFonts w:eastAsia="標楷體"/>
          <w:szCs w:val="22"/>
        </w:rPr>
        <w:t>答：</w:t>
      </w:r>
      <w:r w:rsidRPr="00412A9C">
        <w:rPr>
          <w:rFonts w:eastAsia="標楷體"/>
          <w:b/>
          <w:szCs w:val="22"/>
        </w:rPr>
        <w:t>所依即是</w:t>
      </w:r>
      <w:r w:rsidR="00036530">
        <w:rPr>
          <w:rFonts w:ascii="標楷體" w:eastAsia="標楷體" w:hAnsi="標楷體" w:hint="eastAsia"/>
          <w:bCs/>
          <w:color w:val="FF0000"/>
          <w:kern w:val="0"/>
          <w:highlight w:val="yellow"/>
        </w:rPr>
        <w:t>「</w:t>
      </w:r>
      <w:r w:rsidRPr="00412A9C">
        <w:rPr>
          <w:rFonts w:eastAsia="標楷體"/>
          <w:b/>
          <w:szCs w:val="22"/>
        </w:rPr>
        <w:t>二於諦</w:t>
      </w:r>
      <w:r w:rsidR="00036530">
        <w:rPr>
          <w:rFonts w:ascii="標楷體" w:eastAsia="標楷體" w:hAnsi="標楷體" w:hint="eastAsia"/>
          <w:bCs/>
          <w:color w:val="FF0000"/>
          <w:kern w:val="0"/>
          <w:highlight w:val="yellow"/>
        </w:rPr>
        <w:t>」</w:t>
      </w:r>
      <w:r w:rsidRPr="00412A9C">
        <w:rPr>
          <w:rFonts w:eastAsia="標楷體"/>
          <w:b/>
          <w:szCs w:val="22"/>
        </w:rPr>
        <w:t>。</w:t>
      </w:r>
      <w:r w:rsidRPr="00412A9C">
        <w:rPr>
          <w:rFonts w:eastAsia="標楷體"/>
          <w:szCs w:val="22"/>
        </w:rPr>
        <w:t>以於凡聖皆是實故</w:t>
      </w:r>
      <w:r w:rsidR="00036530">
        <w:rPr>
          <w:rFonts w:ascii="標楷體" w:eastAsia="標楷體" w:hAnsi="標楷體" w:hint="eastAsia"/>
          <w:color w:val="FF0000"/>
          <w:kern w:val="0"/>
          <w:highlight w:val="yellow"/>
        </w:rPr>
        <w:t>，</w:t>
      </w:r>
      <w:r w:rsidRPr="00412A9C">
        <w:rPr>
          <w:rFonts w:eastAsia="標楷體"/>
          <w:szCs w:val="22"/>
        </w:rPr>
        <w:t>秤</w:t>
      </w:r>
      <w:r w:rsidR="00ED5DF9" w:rsidRPr="00795309">
        <w:rPr>
          <w:rFonts w:eastAsia="標楷體" w:hint="eastAsia"/>
          <w:color w:val="FF0000"/>
          <w:szCs w:val="22"/>
          <w:shd w:val="pct15" w:color="auto" w:fill="FFFFFF"/>
        </w:rPr>
        <w:t>*</w:t>
      </w:r>
      <w:r w:rsidR="00ED5DF9" w:rsidRPr="00795309">
        <w:rPr>
          <w:rFonts w:eastAsia="標楷體" w:hint="eastAsia"/>
          <w:color w:val="FF0000"/>
          <w:szCs w:val="22"/>
          <w:shd w:val="pct15" w:color="auto" w:fill="FFFFFF"/>
          <w:vertAlign w:val="superscript"/>
        </w:rPr>
        <w:t>1</w:t>
      </w:r>
      <w:r w:rsidR="00036530">
        <w:rPr>
          <w:rFonts w:ascii="標楷體" w:eastAsia="標楷體" w:hAnsi="標楷體" w:hint="eastAsia"/>
          <w:bCs/>
          <w:color w:val="FF0000"/>
          <w:kern w:val="0"/>
          <w:highlight w:val="yellow"/>
        </w:rPr>
        <w:t>「</w:t>
      </w:r>
      <w:r w:rsidRPr="00412A9C">
        <w:rPr>
          <w:rFonts w:eastAsia="標楷體"/>
          <w:szCs w:val="22"/>
        </w:rPr>
        <w:t>二於諦</w:t>
      </w:r>
      <w:r w:rsidR="00036530">
        <w:rPr>
          <w:rFonts w:ascii="標楷體" w:eastAsia="標楷體" w:hAnsi="標楷體" w:hint="eastAsia"/>
          <w:bCs/>
          <w:color w:val="FF0000"/>
          <w:kern w:val="0"/>
          <w:highlight w:val="yellow"/>
        </w:rPr>
        <w:t>」</w:t>
      </w:r>
      <w:r w:rsidRPr="00412A9C">
        <w:rPr>
          <w:rFonts w:eastAsia="標楷體"/>
          <w:szCs w:val="22"/>
        </w:rPr>
        <w:t>，亦是</w:t>
      </w:r>
      <w:r w:rsidR="00036530">
        <w:rPr>
          <w:rFonts w:ascii="標楷體" w:eastAsia="標楷體" w:hAnsi="標楷體" w:hint="eastAsia"/>
          <w:bCs/>
          <w:color w:val="FF0000"/>
          <w:kern w:val="0"/>
          <w:highlight w:val="yellow"/>
        </w:rPr>
        <w:t>「</w:t>
      </w:r>
      <w:r w:rsidRPr="00412A9C">
        <w:rPr>
          <w:rFonts w:eastAsia="標楷體"/>
          <w:szCs w:val="22"/>
        </w:rPr>
        <w:t>於二諦</w:t>
      </w:r>
      <w:r w:rsidR="00036530">
        <w:rPr>
          <w:rFonts w:ascii="標楷體" w:eastAsia="標楷體" w:hAnsi="標楷體" w:hint="eastAsia"/>
          <w:bCs/>
          <w:color w:val="FF0000"/>
          <w:kern w:val="0"/>
          <w:highlight w:val="yellow"/>
        </w:rPr>
        <w:t>」</w:t>
      </w:r>
      <w:r w:rsidR="00036530">
        <w:rPr>
          <w:rFonts w:ascii="標楷體" w:eastAsia="標楷體" w:hAnsi="標楷體" w:hint="eastAsia"/>
          <w:color w:val="FF0000"/>
          <w:kern w:val="0"/>
          <w:highlight w:val="yellow"/>
        </w:rPr>
        <w:t>，</w:t>
      </w:r>
      <w:r w:rsidRPr="00412A9C">
        <w:rPr>
          <w:rFonts w:eastAsia="標楷體"/>
          <w:szCs w:val="22"/>
        </w:rPr>
        <w:t>謂</w:t>
      </w:r>
      <w:r w:rsidR="00036530">
        <w:rPr>
          <w:rFonts w:ascii="標楷體" w:eastAsia="標楷體" w:hAnsi="標楷體" w:hint="eastAsia"/>
          <w:bCs/>
          <w:color w:val="FF0000"/>
          <w:kern w:val="0"/>
          <w:highlight w:val="yellow"/>
        </w:rPr>
        <w:t>「</w:t>
      </w:r>
      <w:r w:rsidRPr="00412A9C">
        <w:rPr>
          <w:rFonts w:eastAsia="標楷體"/>
          <w:szCs w:val="22"/>
        </w:rPr>
        <w:t>色未曾空</w:t>
      </w:r>
      <w:r w:rsidR="00036530">
        <w:rPr>
          <w:rFonts w:ascii="標楷體" w:eastAsia="標楷體" w:hAnsi="標楷體" w:hint="eastAsia"/>
          <w:color w:val="FF0000"/>
          <w:kern w:val="0"/>
          <w:highlight w:val="yellow"/>
        </w:rPr>
        <w:t>.</w:t>
      </w:r>
      <w:r w:rsidRPr="00412A9C">
        <w:rPr>
          <w:rFonts w:eastAsia="標楷體"/>
          <w:szCs w:val="22"/>
        </w:rPr>
        <w:t>有，於二解是實</w:t>
      </w:r>
      <w:r w:rsidR="00036530">
        <w:rPr>
          <w:rFonts w:ascii="標楷體" w:eastAsia="標楷體" w:hAnsi="標楷體" w:hint="eastAsia"/>
          <w:bCs/>
          <w:color w:val="FF0000"/>
          <w:kern w:val="0"/>
          <w:highlight w:val="yellow"/>
        </w:rPr>
        <w:t>」</w:t>
      </w:r>
      <w:r w:rsidRPr="00412A9C">
        <w:rPr>
          <w:rFonts w:eastAsia="標楷體"/>
          <w:szCs w:val="22"/>
        </w:rPr>
        <w:t>，故云</w:t>
      </w:r>
      <w:r w:rsidR="00036530">
        <w:rPr>
          <w:rFonts w:ascii="標楷體" w:eastAsia="標楷體" w:hAnsi="標楷體" w:hint="eastAsia"/>
          <w:bCs/>
          <w:color w:val="FF0000"/>
          <w:kern w:val="0"/>
          <w:highlight w:val="yellow"/>
        </w:rPr>
        <w:t>「</w:t>
      </w:r>
      <w:r w:rsidRPr="00412A9C">
        <w:rPr>
          <w:rFonts w:eastAsia="標楷體"/>
          <w:b/>
          <w:szCs w:val="22"/>
        </w:rPr>
        <w:t>二於諦</w:t>
      </w:r>
      <w:r w:rsidR="00036530">
        <w:rPr>
          <w:rFonts w:ascii="標楷體" w:eastAsia="標楷體" w:hAnsi="標楷體" w:hint="eastAsia"/>
          <w:bCs/>
          <w:color w:val="FF0000"/>
          <w:kern w:val="0"/>
          <w:highlight w:val="yellow"/>
        </w:rPr>
        <w:t>」</w:t>
      </w:r>
      <w:r w:rsidRPr="00412A9C">
        <w:rPr>
          <w:rFonts w:eastAsia="標楷體"/>
          <w:szCs w:val="22"/>
        </w:rPr>
        <w:t>。《百論》引棗奈望苽</w:t>
      </w:r>
      <w:r w:rsidR="0018014A" w:rsidRPr="0018014A">
        <w:rPr>
          <w:rFonts w:eastAsia="標楷體" w:hint="eastAsia"/>
          <w:color w:val="FF0000"/>
          <w:szCs w:val="22"/>
          <w:highlight w:val="yellow"/>
        </w:rPr>
        <w:t>，</w:t>
      </w:r>
      <w:r w:rsidRPr="00412A9C">
        <w:rPr>
          <w:rFonts w:eastAsia="標楷體"/>
          <w:szCs w:val="22"/>
        </w:rPr>
        <w:t>皆不虛</w:t>
      </w:r>
      <w:r w:rsidR="0018014A">
        <w:rPr>
          <w:rFonts w:eastAsia="標楷體" w:hint="eastAsia"/>
          <w:color w:val="FF0000"/>
          <w:szCs w:val="22"/>
          <w:highlight w:val="yellow"/>
        </w:rPr>
        <w:t>；</w:t>
      </w:r>
      <w:r w:rsidR="00795309" w:rsidRPr="00795309">
        <w:rPr>
          <w:rFonts w:eastAsia="標楷體" w:hint="eastAsia"/>
          <w:color w:val="FF0000"/>
          <w:szCs w:val="22"/>
          <w:shd w:val="pct15" w:color="auto" w:fill="FFFFFF"/>
        </w:rPr>
        <w:t>*</w:t>
      </w:r>
      <w:r w:rsidR="00ED5DF9">
        <w:rPr>
          <w:rFonts w:eastAsia="標楷體" w:hint="eastAsia"/>
          <w:color w:val="FF0000"/>
          <w:szCs w:val="22"/>
          <w:shd w:val="pct15" w:color="auto" w:fill="FFFFFF"/>
          <w:vertAlign w:val="superscript"/>
        </w:rPr>
        <w:t>2</w:t>
      </w:r>
      <w:r w:rsidRPr="00412A9C">
        <w:rPr>
          <w:rFonts w:eastAsia="標楷體"/>
          <w:szCs w:val="22"/>
        </w:rPr>
        <w:t>《智度論》引</w:t>
      </w:r>
      <w:r w:rsidR="009F707C">
        <w:rPr>
          <w:rFonts w:eastAsia="標楷體" w:hint="eastAsia"/>
          <w:szCs w:val="22"/>
        </w:rPr>
        <w:t>「</w:t>
      </w:r>
      <w:r w:rsidRPr="00412A9C">
        <w:rPr>
          <w:rFonts w:eastAsia="標楷體"/>
          <w:szCs w:val="22"/>
        </w:rPr>
        <w:t>無名指</w:t>
      </w:r>
      <w:r w:rsidR="009F707C">
        <w:rPr>
          <w:rFonts w:eastAsia="標楷體" w:hint="eastAsia"/>
          <w:szCs w:val="22"/>
        </w:rPr>
        <w:t>」</w:t>
      </w:r>
      <w:r w:rsidRPr="00412A9C">
        <w:rPr>
          <w:rFonts w:eastAsia="標楷體"/>
          <w:szCs w:val="22"/>
        </w:rPr>
        <w:t>形</w:t>
      </w:r>
      <w:r w:rsidR="009F707C">
        <w:rPr>
          <w:rFonts w:eastAsia="標楷體" w:hint="eastAsia"/>
          <w:szCs w:val="22"/>
        </w:rPr>
        <w:t>「</w:t>
      </w:r>
      <w:r w:rsidRPr="00412A9C">
        <w:rPr>
          <w:rFonts w:eastAsia="標楷體"/>
          <w:szCs w:val="22"/>
        </w:rPr>
        <w:t>有名指</w:t>
      </w:r>
      <w:r w:rsidR="009F707C">
        <w:rPr>
          <w:rFonts w:eastAsia="標楷體" w:hint="eastAsia"/>
          <w:szCs w:val="22"/>
        </w:rPr>
        <w:t>」</w:t>
      </w:r>
      <w:r w:rsidRPr="00412A9C">
        <w:rPr>
          <w:rFonts w:eastAsia="標楷體"/>
          <w:szCs w:val="22"/>
        </w:rPr>
        <w:t>，皆實也。</w:t>
      </w:r>
      <w:r w:rsidR="0018014A" w:rsidRPr="00795309">
        <w:rPr>
          <w:rFonts w:eastAsia="標楷體" w:hint="eastAsia"/>
          <w:color w:val="FF0000"/>
          <w:szCs w:val="22"/>
          <w:shd w:val="pct15" w:color="auto" w:fill="FFFFFF"/>
        </w:rPr>
        <w:t>*</w:t>
      </w:r>
      <w:r w:rsidR="00ED5DF9">
        <w:rPr>
          <w:rFonts w:eastAsia="標楷體" w:hint="eastAsia"/>
          <w:color w:val="FF0000"/>
          <w:szCs w:val="22"/>
          <w:shd w:val="pct15" w:color="auto" w:fill="FFFFFF"/>
          <w:vertAlign w:val="superscript"/>
        </w:rPr>
        <w:t>3</w:t>
      </w:r>
      <w:r w:rsidRPr="00412A9C">
        <w:rPr>
          <w:rFonts w:eastAsia="標楷體"/>
          <w:b/>
          <w:szCs w:val="22"/>
        </w:rPr>
        <w:t>能依即是教諦。</w:t>
      </w:r>
      <w:r w:rsidRPr="00412A9C">
        <w:rPr>
          <w:rFonts w:eastAsia="標楷體"/>
          <w:szCs w:val="22"/>
        </w:rPr>
        <w:t>佛依此二諦為物說法，皆是誠諦之言，故稱為實也。</w:t>
      </w:r>
    </w:p>
    <w:p w:rsidR="00ED5DF9" w:rsidRPr="00ED5DF9" w:rsidRDefault="00ED5DF9" w:rsidP="00795309">
      <w:pPr>
        <w:pStyle w:val="a5"/>
        <w:ind w:leftChars="105" w:left="692" w:hangingChars="200" w:hanging="440"/>
        <w:jc w:val="both"/>
        <w:rPr>
          <w:rFonts w:ascii="新細明體" w:hAnsi="新細明體"/>
          <w:color w:val="FF0000"/>
          <w:szCs w:val="22"/>
          <w:shd w:val="pct15" w:color="auto" w:fill="FFFFFF"/>
        </w:rPr>
      </w:pPr>
      <w:r w:rsidRPr="00795309">
        <w:rPr>
          <w:rFonts w:eastAsia="標楷體" w:hint="eastAsia"/>
          <w:color w:val="FF0000"/>
          <w:szCs w:val="22"/>
          <w:shd w:val="pct15" w:color="auto" w:fill="FFFFFF"/>
        </w:rPr>
        <w:t>*1</w:t>
      </w:r>
      <w:r w:rsidRPr="00AC3168">
        <w:rPr>
          <w:rFonts w:ascii="新細明體" w:hAnsi="新細明體" w:hint="eastAsia"/>
          <w:color w:val="FF0000"/>
          <w:szCs w:val="22"/>
          <w:highlight w:val="yellow"/>
        </w:rPr>
        <w:t>「</w:t>
      </w:r>
      <w:r w:rsidRPr="00AC3168">
        <w:rPr>
          <w:rFonts w:ascii="標楷體" w:eastAsia="標楷體" w:hAnsi="標楷體"/>
          <w:color w:val="FF0000"/>
          <w:szCs w:val="22"/>
          <w:highlight w:val="yellow"/>
        </w:rPr>
        <w:t>秤</w:t>
      </w:r>
      <w:r w:rsidRPr="00AC3168">
        <w:rPr>
          <w:rFonts w:ascii="新細明體" w:hAnsi="新細明體" w:hint="eastAsia"/>
          <w:color w:val="FF0000"/>
          <w:szCs w:val="22"/>
          <w:highlight w:val="yellow"/>
        </w:rPr>
        <w:t>」，即「稱」。</w:t>
      </w:r>
    </w:p>
    <w:p w:rsidR="00795309" w:rsidRDefault="00795309" w:rsidP="00795309">
      <w:pPr>
        <w:pStyle w:val="a5"/>
        <w:ind w:leftChars="105" w:left="692" w:hangingChars="200" w:hanging="440"/>
        <w:jc w:val="both"/>
        <w:rPr>
          <w:color w:val="FF0000"/>
          <w:szCs w:val="22"/>
        </w:rPr>
      </w:pPr>
      <w:r w:rsidRPr="00795309">
        <w:rPr>
          <w:rFonts w:eastAsia="標楷體" w:hint="eastAsia"/>
          <w:color w:val="FF0000"/>
          <w:szCs w:val="22"/>
          <w:shd w:val="pct15" w:color="auto" w:fill="FFFFFF"/>
        </w:rPr>
        <w:t>*</w:t>
      </w:r>
      <w:r w:rsidR="00ED5DF9">
        <w:rPr>
          <w:rFonts w:eastAsia="標楷體" w:hint="eastAsia"/>
          <w:color w:val="FF0000"/>
          <w:szCs w:val="22"/>
          <w:shd w:val="pct15" w:color="auto" w:fill="FFFFFF"/>
        </w:rPr>
        <w:t>2</w:t>
      </w:r>
      <w:r w:rsidRPr="00795309">
        <w:rPr>
          <w:rFonts w:ascii="新細明體" w:hAnsi="新細明體" w:hint="eastAsia"/>
          <w:color w:val="FF0000"/>
          <w:szCs w:val="22"/>
          <w:highlight w:val="yellow"/>
        </w:rPr>
        <w:t>提婆造</w:t>
      </w:r>
      <w:r>
        <w:rPr>
          <w:rFonts w:ascii="新細明體" w:hAnsi="新細明體" w:hint="eastAsia"/>
          <w:color w:val="FF0000"/>
          <w:szCs w:val="22"/>
          <w:highlight w:val="yellow"/>
        </w:rPr>
        <w:t>，</w:t>
      </w:r>
      <w:r w:rsidRPr="00795309">
        <w:rPr>
          <w:rFonts w:hint="eastAsia"/>
          <w:color w:val="FF0000"/>
          <w:szCs w:val="22"/>
          <w:highlight w:val="yellow"/>
        </w:rPr>
        <w:t>《百論》卷下〈</w:t>
      </w:r>
      <w:r w:rsidRPr="00795309">
        <w:rPr>
          <w:rFonts w:hint="eastAsia"/>
          <w:color w:val="FF0000"/>
          <w:szCs w:val="22"/>
          <w:highlight w:val="yellow"/>
        </w:rPr>
        <w:t xml:space="preserve">10 </w:t>
      </w:r>
      <w:r w:rsidRPr="00795309">
        <w:rPr>
          <w:rFonts w:hint="eastAsia"/>
          <w:color w:val="FF0000"/>
          <w:szCs w:val="22"/>
          <w:highlight w:val="yellow"/>
        </w:rPr>
        <w:t>破空品〉（大正</w:t>
      </w:r>
      <w:r w:rsidRPr="00795309">
        <w:rPr>
          <w:color w:val="FF0000"/>
          <w:szCs w:val="22"/>
          <w:highlight w:val="yellow"/>
        </w:rPr>
        <w:t>30</w:t>
      </w:r>
      <w:r w:rsidRPr="00795309">
        <w:rPr>
          <w:rFonts w:hint="eastAsia"/>
          <w:color w:val="FF0000"/>
          <w:szCs w:val="22"/>
          <w:highlight w:val="yellow"/>
        </w:rPr>
        <w:t>，</w:t>
      </w:r>
      <w:r w:rsidRPr="00795309">
        <w:rPr>
          <w:color w:val="FF0000"/>
          <w:szCs w:val="22"/>
          <w:highlight w:val="yellow"/>
        </w:rPr>
        <w:t>182a3-7</w:t>
      </w:r>
      <w:r w:rsidRPr="00795309">
        <w:rPr>
          <w:rFonts w:hint="eastAsia"/>
          <w:color w:val="FF0000"/>
          <w:szCs w:val="22"/>
          <w:highlight w:val="yellow"/>
        </w:rPr>
        <w:t>）。</w:t>
      </w:r>
    </w:p>
    <w:p w:rsidR="0018014A" w:rsidRPr="0018014A" w:rsidRDefault="0018014A" w:rsidP="00795309">
      <w:pPr>
        <w:pStyle w:val="a5"/>
        <w:ind w:leftChars="105" w:left="692" w:hangingChars="200" w:hanging="440"/>
        <w:jc w:val="both"/>
        <w:rPr>
          <w:color w:val="FF0000"/>
          <w:szCs w:val="22"/>
          <w:highlight w:val="yellow"/>
        </w:rPr>
      </w:pPr>
      <w:r w:rsidRPr="00795309">
        <w:rPr>
          <w:rFonts w:eastAsia="標楷體" w:hint="eastAsia"/>
          <w:color w:val="FF0000"/>
          <w:szCs w:val="22"/>
          <w:shd w:val="pct15" w:color="auto" w:fill="FFFFFF"/>
        </w:rPr>
        <w:t>*</w:t>
      </w:r>
      <w:r w:rsidR="00ED5DF9">
        <w:rPr>
          <w:rFonts w:eastAsia="標楷體" w:hint="eastAsia"/>
          <w:color w:val="FF0000"/>
          <w:szCs w:val="22"/>
          <w:shd w:val="pct15" w:color="auto" w:fill="FFFFFF"/>
        </w:rPr>
        <w:t>3</w:t>
      </w:r>
      <w:r w:rsidRPr="0018014A">
        <w:rPr>
          <w:rFonts w:hint="eastAsia"/>
          <w:color w:val="FF0000"/>
          <w:szCs w:val="22"/>
          <w:highlight w:val="yellow"/>
        </w:rPr>
        <w:t>《大智度論》卷</w:t>
      </w:r>
      <w:r w:rsidRPr="0018014A">
        <w:rPr>
          <w:rFonts w:hint="eastAsia"/>
          <w:color w:val="FF0000"/>
          <w:szCs w:val="22"/>
          <w:highlight w:val="yellow"/>
        </w:rPr>
        <w:t>26</w:t>
      </w:r>
      <w:r w:rsidR="00287E83">
        <w:rPr>
          <w:rFonts w:hint="eastAsia"/>
          <w:color w:val="FF0000"/>
          <w:szCs w:val="22"/>
          <w:highlight w:val="yellow"/>
        </w:rPr>
        <w:t>釋</w:t>
      </w:r>
      <w:r w:rsidRPr="0018014A">
        <w:rPr>
          <w:rFonts w:hint="eastAsia"/>
          <w:color w:val="FF0000"/>
          <w:szCs w:val="22"/>
          <w:highlight w:val="yellow"/>
        </w:rPr>
        <w:t>〈</w:t>
      </w:r>
      <w:r>
        <w:rPr>
          <w:rFonts w:hint="eastAsia"/>
          <w:color w:val="FF0000"/>
          <w:szCs w:val="22"/>
          <w:highlight w:val="yellow"/>
        </w:rPr>
        <w:t xml:space="preserve">1 </w:t>
      </w:r>
      <w:r w:rsidRPr="0018014A">
        <w:rPr>
          <w:rFonts w:hint="eastAsia"/>
          <w:color w:val="FF0000"/>
          <w:szCs w:val="22"/>
          <w:highlight w:val="yellow"/>
        </w:rPr>
        <w:t>序品〉</w:t>
      </w:r>
      <w:r w:rsidRPr="00795309">
        <w:rPr>
          <w:rFonts w:hint="eastAsia"/>
          <w:color w:val="FF0000"/>
          <w:szCs w:val="22"/>
          <w:highlight w:val="yellow"/>
        </w:rPr>
        <w:t>（大正</w:t>
      </w:r>
      <w:r w:rsidRPr="0018014A">
        <w:rPr>
          <w:rFonts w:hint="eastAsia"/>
          <w:color w:val="FF0000"/>
          <w:szCs w:val="22"/>
          <w:highlight w:val="yellow"/>
        </w:rPr>
        <w:t>25</w:t>
      </w:r>
      <w:r>
        <w:rPr>
          <w:rFonts w:hint="eastAsia"/>
          <w:color w:val="FF0000"/>
          <w:szCs w:val="22"/>
          <w:highlight w:val="yellow"/>
        </w:rPr>
        <w:t>，</w:t>
      </w:r>
      <w:r w:rsidRPr="0018014A">
        <w:rPr>
          <w:rFonts w:hint="eastAsia"/>
          <w:color w:val="FF0000"/>
          <w:szCs w:val="22"/>
          <w:highlight w:val="yellow"/>
        </w:rPr>
        <w:t>254</w:t>
      </w:r>
      <w:r>
        <w:rPr>
          <w:rFonts w:hint="eastAsia"/>
          <w:color w:val="FF0000"/>
          <w:szCs w:val="22"/>
          <w:highlight w:val="yellow"/>
        </w:rPr>
        <w:t>a27-b2</w:t>
      </w:r>
      <w:r w:rsidRPr="00795309">
        <w:rPr>
          <w:rFonts w:hint="eastAsia"/>
          <w:color w:val="FF0000"/>
          <w:szCs w:val="22"/>
          <w:highlight w:val="yellow"/>
        </w:rPr>
        <w:t>）。</w:t>
      </w:r>
    </w:p>
  </w:footnote>
  <w:footnote w:id="992">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w:t>
      </w:r>
      <w:r w:rsidRPr="00412A9C">
        <w:rPr>
          <w:rFonts w:hint="eastAsia"/>
          <w:szCs w:val="22"/>
        </w:rPr>
        <w:t>〔隋〕</w:t>
      </w:r>
      <w:r w:rsidRPr="00412A9C">
        <w:rPr>
          <w:szCs w:val="22"/>
        </w:rPr>
        <w:t>吉藏</w:t>
      </w:r>
      <w:r>
        <w:rPr>
          <w:szCs w:val="22"/>
        </w:rPr>
        <w:t>撰</w:t>
      </w:r>
      <w:r w:rsidRPr="00412A9C">
        <w:rPr>
          <w:rFonts w:hint="eastAsia"/>
          <w:szCs w:val="22"/>
        </w:rPr>
        <w:t>，</w:t>
      </w:r>
      <w:r w:rsidRPr="00412A9C">
        <w:rPr>
          <w:szCs w:val="22"/>
        </w:rPr>
        <w:t>《中觀論疏》卷</w:t>
      </w:r>
      <w:r w:rsidRPr="00761EF3">
        <w:rPr>
          <w:szCs w:val="22"/>
        </w:rPr>
        <w:t>2</w:t>
      </w:r>
      <w:r w:rsidRPr="00412A9C">
        <w:rPr>
          <w:rFonts w:ascii="新細明體" w:hAnsi="新細明體" w:hint="eastAsia"/>
          <w:szCs w:val="22"/>
          <w:lang w:eastAsia="zh-CN"/>
        </w:rPr>
        <w:t>末</w:t>
      </w:r>
      <w:r w:rsidRPr="00412A9C">
        <w:rPr>
          <w:szCs w:val="22"/>
        </w:rPr>
        <w:t>〈</w:t>
      </w:r>
      <w:r w:rsidRPr="00761EF3">
        <w:rPr>
          <w:szCs w:val="22"/>
        </w:rPr>
        <w:t>24</w:t>
      </w:r>
      <w:r>
        <w:rPr>
          <w:szCs w:val="22"/>
        </w:rPr>
        <w:t xml:space="preserve"> </w:t>
      </w:r>
      <w:r w:rsidRPr="00412A9C">
        <w:rPr>
          <w:szCs w:val="22"/>
        </w:rPr>
        <w:t>四諦品〉（大正</w:t>
      </w:r>
      <w:r w:rsidRPr="00761EF3">
        <w:rPr>
          <w:szCs w:val="22"/>
        </w:rPr>
        <w:t>42</w:t>
      </w:r>
      <w:r w:rsidRPr="00412A9C">
        <w:rPr>
          <w:szCs w:val="22"/>
        </w:rPr>
        <w:t>，</w:t>
      </w:r>
      <w:r w:rsidRPr="00761EF3">
        <w:rPr>
          <w:szCs w:val="22"/>
        </w:rPr>
        <w:t>28a21</w:t>
      </w:r>
      <w:r w:rsidRPr="00412A9C">
        <w:rPr>
          <w:szCs w:val="22"/>
        </w:rPr>
        <w:t>-</w:t>
      </w:r>
      <w:r w:rsidRPr="00761EF3">
        <w:rPr>
          <w:szCs w:val="22"/>
        </w:rPr>
        <w:t>22</w:t>
      </w:r>
      <w:r w:rsidRPr="00412A9C">
        <w:rPr>
          <w:szCs w:val="22"/>
        </w:rPr>
        <w:t>）：</w:t>
      </w:r>
    </w:p>
    <w:p w:rsidR="00157EF6" w:rsidRPr="00412A9C" w:rsidRDefault="00157EF6" w:rsidP="00AA120F">
      <w:pPr>
        <w:pStyle w:val="a5"/>
        <w:ind w:leftChars="335" w:left="804"/>
        <w:jc w:val="both"/>
        <w:rPr>
          <w:szCs w:val="22"/>
        </w:rPr>
      </w:pPr>
      <w:r w:rsidRPr="00412A9C">
        <w:rPr>
          <w:rFonts w:eastAsia="標楷體"/>
          <w:b/>
          <w:szCs w:val="22"/>
        </w:rPr>
        <w:t>不有有</w:t>
      </w:r>
      <w:r w:rsidR="00F609DA">
        <w:rPr>
          <w:rFonts w:ascii="標楷體" w:eastAsia="標楷體" w:hAnsi="標楷體" w:hint="eastAsia"/>
          <w:color w:val="FF0000"/>
          <w:kern w:val="0"/>
          <w:highlight w:val="yellow"/>
        </w:rPr>
        <w:t>，</w:t>
      </w:r>
      <w:r w:rsidRPr="00412A9C">
        <w:rPr>
          <w:rFonts w:eastAsia="標楷體"/>
          <w:szCs w:val="22"/>
        </w:rPr>
        <w:t>則非有</w:t>
      </w:r>
      <w:r w:rsidR="00F609DA">
        <w:rPr>
          <w:rFonts w:ascii="標楷體" w:eastAsia="標楷體" w:hAnsi="標楷體" w:hint="eastAsia"/>
          <w:color w:val="FF0000"/>
          <w:spacing w:val="-4"/>
          <w:kern w:val="0"/>
          <w:highlight w:val="yellow"/>
        </w:rPr>
        <w:t>；</w:t>
      </w:r>
      <w:r w:rsidRPr="00412A9C">
        <w:rPr>
          <w:rFonts w:eastAsia="標楷體"/>
          <w:b/>
          <w:szCs w:val="22"/>
        </w:rPr>
        <w:t>不無無</w:t>
      </w:r>
      <w:r w:rsidR="00F609DA">
        <w:rPr>
          <w:rFonts w:ascii="標楷體" w:eastAsia="標楷體" w:hAnsi="標楷體" w:hint="eastAsia"/>
          <w:color w:val="FF0000"/>
          <w:kern w:val="0"/>
          <w:highlight w:val="yellow"/>
        </w:rPr>
        <w:t>，</w:t>
      </w:r>
      <w:r w:rsidRPr="00412A9C">
        <w:rPr>
          <w:rFonts w:eastAsia="標楷體"/>
          <w:szCs w:val="22"/>
        </w:rPr>
        <w:t>即非無</w:t>
      </w:r>
      <w:r w:rsidR="00F609DA">
        <w:rPr>
          <w:rFonts w:ascii="標楷體" w:eastAsia="標楷體" w:hAnsi="標楷體" w:hint="eastAsia"/>
          <w:color w:val="FF0000"/>
          <w:spacing w:val="-4"/>
          <w:kern w:val="0"/>
          <w:highlight w:val="yellow"/>
        </w:rPr>
        <w:t>；</w:t>
      </w:r>
      <w:r w:rsidRPr="00412A9C">
        <w:rPr>
          <w:rFonts w:eastAsia="標楷體"/>
          <w:b/>
          <w:szCs w:val="22"/>
        </w:rPr>
        <w:t>非有非無</w:t>
      </w:r>
      <w:r w:rsidR="00F609DA">
        <w:rPr>
          <w:rFonts w:ascii="標楷體" w:eastAsia="標楷體" w:hAnsi="標楷體" w:hint="eastAsia"/>
          <w:color w:val="FF0000"/>
          <w:kern w:val="0"/>
          <w:highlight w:val="yellow"/>
        </w:rPr>
        <w:t>，</w:t>
      </w:r>
      <w:r w:rsidRPr="00412A9C">
        <w:rPr>
          <w:rFonts w:eastAsia="標楷體"/>
          <w:szCs w:val="22"/>
        </w:rPr>
        <w:t>假說有</w:t>
      </w:r>
      <w:r w:rsidR="00F609DA">
        <w:rPr>
          <w:rFonts w:ascii="標楷體" w:eastAsia="標楷體" w:hAnsi="標楷體" w:hint="eastAsia"/>
          <w:color w:val="FF0000"/>
          <w:spacing w:val="-4"/>
          <w:kern w:val="0"/>
          <w:highlight w:val="yellow"/>
        </w:rPr>
        <w:t>、</w:t>
      </w:r>
      <w:r w:rsidR="00F609DA">
        <w:rPr>
          <w:rFonts w:eastAsia="標楷體"/>
          <w:szCs w:val="22"/>
        </w:rPr>
        <w:t>無</w:t>
      </w:r>
      <w:r w:rsidR="00F609DA">
        <w:rPr>
          <w:rFonts w:ascii="標楷體" w:eastAsia="標楷體" w:hAnsi="標楷體" w:hint="eastAsia"/>
          <w:color w:val="FF0000"/>
          <w:kern w:val="0"/>
          <w:highlight w:val="yellow"/>
        </w:rPr>
        <w:t>──</w:t>
      </w:r>
      <w:r w:rsidRPr="00412A9C">
        <w:rPr>
          <w:rFonts w:eastAsia="標楷體"/>
          <w:szCs w:val="22"/>
        </w:rPr>
        <w:t>此是</w:t>
      </w:r>
      <w:r w:rsidR="00F609DA">
        <w:rPr>
          <w:rFonts w:ascii="標楷體" w:eastAsia="標楷體" w:hAnsi="標楷體" w:hint="eastAsia"/>
          <w:bCs/>
          <w:color w:val="FF0000"/>
          <w:kern w:val="0"/>
          <w:highlight w:val="yellow"/>
        </w:rPr>
        <w:t>「</w:t>
      </w:r>
      <w:r w:rsidRPr="00412A9C">
        <w:rPr>
          <w:rFonts w:eastAsia="標楷體"/>
          <w:szCs w:val="22"/>
        </w:rPr>
        <w:t>中假</w:t>
      </w:r>
      <w:r w:rsidR="00F609DA">
        <w:rPr>
          <w:rFonts w:ascii="標楷體" w:eastAsia="標楷體" w:hAnsi="標楷體" w:hint="eastAsia"/>
          <w:bCs/>
          <w:color w:val="FF0000"/>
          <w:kern w:val="0"/>
          <w:highlight w:val="yellow"/>
        </w:rPr>
        <w:t>」</w:t>
      </w:r>
      <w:r w:rsidRPr="00412A9C">
        <w:rPr>
          <w:rFonts w:eastAsia="標楷體"/>
          <w:szCs w:val="22"/>
        </w:rPr>
        <w:t>義也。</w:t>
      </w:r>
    </w:p>
    <w:p w:rsidR="00157EF6" w:rsidRPr="00412A9C" w:rsidRDefault="00157EF6" w:rsidP="00AA120F">
      <w:pPr>
        <w:pStyle w:val="a5"/>
        <w:spacing w:line="0" w:lineRule="atLeast"/>
        <w:ind w:leftChars="105" w:left="791" w:hangingChars="245" w:hanging="539"/>
        <w:jc w:val="both"/>
        <w:rPr>
          <w:szCs w:val="22"/>
        </w:rPr>
      </w:pPr>
      <w:r w:rsidRPr="00412A9C">
        <w:rPr>
          <w:szCs w:val="22"/>
        </w:rPr>
        <w:t>（</w:t>
      </w:r>
      <w:r w:rsidRPr="00761EF3">
        <w:rPr>
          <w:szCs w:val="22"/>
        </w:rPr>
        <w:t>2</w:t>
      </w:r>
      <w:r w:rsidRPr="00412A9C">
        <w:rPr>
          <w:szCs w:val="22"/>
        </w:rPr>
        <w:t>）印順法師</w:t>
      </w:r>
      <w:r w:rsidRPr="00412A9C">
        <w:rPr>
          <w:rFonts w:hint="eastAsia"/>
          <w:szCs w:val="22"/>
        </w:rPr>
        <w:t>，</w:t>
      </w:r>
      <w:r w:rsidRPr="00412A9C">
        <w:rPr>
          <w:szCs w:val="22"/>
        </w:rPr>
        <w:t>《佛法是救世之光》，</w:t>
      </w:r>
      <w:r w:rsidRPr="00761EF3">
        <w:rPr>
          <w:szCs w:val="22"/>
        </w:rPr>
        <w:t>p</w:t>
      </w:r>
      <w:r w:rsidRPr="00412A9C">
        <w:rPr>
          <w:szCs w:val="22"/>
        </w:rPr>
        <w:t>.</w:t>
      </w:r>
      <w:r w:rsidRPr="00761EF3">
        <w:rPr>
          <w:szCs w:val="22"/>
        </w:rPr>
        <w:t>129</w:t>
      </w:r>
      <w:r w:rsidRPr="00412A9C">
        <w:rPr>
          <w:szCs w:val="22"/>
        </w:rPr>
        <w:t>：</w:t>
      </w:r>
    </w:p>
    <w:p w:rsidR="00157EF6" w:rsidRPr="00412A9C" w:rsidRDefault="00157EF6" w:rsidP="00AA120F">
      <w:pPr>
        <w:pStyle w:val="a5"/>
        <w:spacing w:line="0" w:lineRule="atLeast"/>
        <w:ind w:leftChars="335" w:left="804"/>
        <w:jc w:val="both"/>
        <w:rPr>
          <w:rFonts w:eastAsia="標楷體"/>
          <w:szCs w:val="22"/>
        </w:rPr>
      </w:pPr>
      <w:r w:rsidRPr="00412A9C">
        <w:rPr>
          <w:rFonts w:eastAsia="標楷體"/>
          <w:szCs w:val="22"/>
        </w:rPr>
        <w:t>肇公為關河古義，即假為空，是著重於「初重二諦」</w:t>
      </w:r>
      <w:r w:rsidRPr="00412A9C">
        <w:rPr>
          <w:rFonts w:ascii="新細明體" w:hAnsi="新細明體"/>
          <w:szCs w:val="22"/>
        </w:rPr>
        <w:t>──</w:t>
      </w:r>
      <w:r w:rsidRPr="00412A9C">
        <w:rPr>
          <w:rFonts w:eastAsia="標楷體"/>
          <w:b/>
          <w:szCs w:val="22"/>
        </w:rPr>
        <w:t>假有</w:t>
      </w:r>
      <w:r w:rsidRPr="00412A9C">
        <w:rPr>
          <w:rFonts w:eastAsia="標楷體"/>
          <w:szCs w:val="22"/>
        </w:rPr>
        <w:t>為</w:t>
      </w:r>
      <w:r w:rsidRPr="00412A9C">
        <w:rPr>
          <w:rFonts w:eastAsia="標楷體"/>
          <w:b/>
          <w:szCs w:val="22"/>
        </w:rPr>
        <w:t>俗</w:t>
      </w:r>
      <w:r w:rsidRPr="00412A9C">
        <w:rPr>
          <w:rFonts w:eastAsia="標楷體"/>
          <w:szCs w:val="22"/>
        </w:rPr>
        <w:t>，</w:t>
      </w:r>
      <w:r w:rsidRPr="00412A9C">
        <w:rPr>
          <w:rFonts w:eastAsia="標楷體"/>
          <w:b/>
          <w:szCs w:val="22"/>
        </w:rPr>
        <w:t>即空</w:t>
      </w:r>
      <w:r w:rsidRPr="00412A9C">
        <w:rPr>
          <w:rFonts w:eastAsia="標楷體"/>
          <w:szCs w:val="22"/>
        </w:rPr>
        <w:t>為</w:t>
      </w:r>
      <w:r w:rsidRPr="00412A9C">
        <w:rPr>
          <w:rFonts w:eastAsia="標楷體"/>
          <w:b/>
          <w:szCs w:val="22"/>
        </w:rPr>
        <w:t>真</w:t>
      </w:r>
      <w:r w:rsidRPr="00412A9C">
        <w:rPr>
          <w:rFonts w:eastAsia="標楷體"/>
          <w:szCs w:val="22"/>
        </w:rPr>
        <w:t>的。而朗公（參照廣州大亮）立二諦為教，有他對治的意義。成實論師們，都說有是俗諦，空是真諦，流露了執有空有二理的見解，所以依《中論》的：「諸佛依二諦，為眾生說法」，立教二諦。二諦都是攝化眾生的方便，說有說空，都只是世俗的假名說，真實是不落於有空的不二中道。這等於說：二諦為教，中道為理，就是「第二重二諦」</w:t>
      </w:r>
      <w:r w:rsidRPr="00412A9C">
        <w:rPr>
          <w:rFonts w:ascii="新細明體" w:hAnsi="新細明體"/>
          <w:szCs w:val="22"/>
        </w:rPr>
        <w:t>──</w:t>
      </w:r>
      <w:r w:rsidRPr="00412A9C">
        <w:rPr>
          <w:rFonts w:eastAsia="標楷體"/>
          <w:szCs w:val="22"/>
        </w:rPr>
        <w:t>有空為</w:t>
      </w:r>
      <w:r w:rsidRPr="00412A9C">
        <w:rPr>
          <w:rFonts w:eastAsia="標楷體"/>
          <w:b/>
          <w:szCs w:val="22"/>
        </w:rPr>
        <w:t>俗</w:t>
      </w:r>
      <w:r w:rsidRPr="00412A9C">
        <w:rPr>
          <w:rFonts w:eastAsia="標楷體"/>
          <w:szCs w:val="22"/>
        </w:rPr>
        <w:t>，非有非空為</w:t>
      </w:r>
      <w:r w:rsidRPr="00412A9C">
        <w:rPr>
          <w:rFonts w:eastAsia="標楷體"/>
          <w:b/>
          <w:szCs w:val="22"/>
        </w:rPr>
        <w:t>真</w:t>
      </w:r>
      <w:r w:rsidRPr="00412A9C">
        <w:rPr>
          <w:rFonts w:eastAsia="標楷體"/>
          <w:szCs w:val="22"/>
        </w:rPr>
        <w:t>的立場。也就是</w:t>
      </w:r>
      <w:r w:rsidRPr="00412A9C">
        <w:rPr>
          <w:rFonts w:eastAsia="標楷體"/>
          <w:b/>
          <w:szCs w:val="22"/>
        </w:rPr>
        <w:t>有空為假名，非有非空為中道的「中假義」。</w:t>
      </w:r>
      <w:r w:rsidRPr="00412A9C">
        <w:rPr>
          <w:rFonts w:eastAsia="標楷體"/>
          <w:szCs w:val="22"/>
        </w:rPr>
        <w:t>因此，關河古義與南土新聲，雖意趣相同，而立說已多少差別了。</w:t>
      </w:r>
    </w:p>
  </w:footnote>
  <w:footnote w:id="993">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szCs w:val="22"/>
        </w:rPr>
        <w:t>印順法師</w:t>
      </w:r>
      <w:r w:rsidRPr="00412A9C">
        <w:rPr>
          <w:rFonts w:hint="eastAsia"/>
          <w:szCs w:val="22"/>
        </w:rPr>
        <w:t>，</w:t>
      </w:r>
      <w:r w:rsidRPr="00412A9C">
        <w:rPr>
          <w:szCs w:val="22"/>
        </w:rPr>
        <w:t>《佛法是救世之光》，</w:t>
      </w:r>
      <w:r w:rsidRPr="00761EF3">
        <w:rPr>
          <w:szCs w:val="22"/>
        </w:rPr>
        <w:t>p</w:t>
      </w:r>
      <w:r w:rsidRPr="00412A9C">
        <w:rPr>
          <w:szCs w:val="22"/>
        </w:rPr>
        <w:t>.</w:t>
      </w:r>
      <w:r w:rsidRPr="00761EF3">
        <w:rPr>
          <w:szCs w:val="22"/>
        </w:rPr>
        <w:t>132</w:t>
      </w:r>
      <w:r w:rsidRPr="00412A9C">
        <w:rPr>
          <w:szCs w:val="22"/>
        </w:rPr>
        <w:t>：</w:t>
      </w:r>
    </w:p>
    <w:p w:rsidR="00157EF6" w:rsidRPr="00412A9C" w:rsidRDefault="00157EF6" w:rsidP="00AA120F">
      <w:pPr>
        <w:pStyle w:val="a5"/>
        <w:spacing w:line="0" w:lineRule="atLeast"/>
        <w:ind w:leftChars="105" w:left="252"/>
        <w:jc w:val="both"/>
        <w:rPr>
          <w:szCs w:val="22"/>
        </w:rPr>
      </w:pPr>
      <w:r w:rsidRPr="00412A9C">
        <w:rPr>
          <w:rFonts w:eastAsia="標楷體"/>
          <w:b/>
          <w:szCs w:val="22"/>
        </w:rPr>
        <w:t>興皇朗公</w:t>
      </w:r>
      <w:r w:rsidRPr="00412A9C">
        <w:rPr>
          <w:rFonts w:eastAsia="標楷體"/>
          <w:szCs w:val="22"/>
        </w:rPr>
        <w:t>，不但呵斥有得的大乘，對同門的</w:t>
      </w:r>
      <w:r w:rsidRPr="00412A9C">
        <w:rPr>
          <w:rFonts w:eastAsia="標楷體"/>
          <w:b/>
          <w:szCs w:val="22"/>
        </w:rPr>
        <w:t>長干智辯</w:t>
      </w:r>
      <w:r w:rsidRPr="00412A9C">
        <w:rPr>
          <w:rFonts w:eastAsia="標楷體" w:hint="eastAsia"/>
          <w:b/>
          <w:szCs w:val="22"/>
        </w:rPr>
        <w:t>、</w:t>
      </w:r>
      <w:r w:rsidRPr="00412A9C">
        <w:rPr>
          <w:rFonts w:eastAsia="標楷體"/>
          <w:b/>
          <w:szCs w:val="22"/>
        </w:rPr>
        <w:t>禪眾慧勇</w:t>
      </w:r>
      <w:r w:rsidRPr="00412A9C">
        <w:rPr>
          <w:rFonts w:eastAsia="標楷體"/>
          <w:szCs w:val="22"/>
        </w:rPr>
        <w:t>，也評破為「中假師」，也就是「學三論而不得意者」。從遼東朗公立「二諦為教」，就宣示有空（無）為假名，非有非空為中道的教學。拘滯於文句的，會誤解為：非有非空的中道，超拔於有空以外，類似天臺家的「但中」。但這決非攝山朗公的本意。</w:t>
      </w:r>
      <w:r w:rsidRPr="00412A9C">
        <w:rPr>
          <w:rFonts w:eastAsia="標楷體"/>
          <w:b/>
          <w:szCs w:val="22"/>
        </w:rPr>
        <w:t>嘉祥傳述山中師（止觀詮）說：「中假師罪重，永不見佛！」</w:t>
      </w:r>
      <w:r w:rsidRPr="00412A9C">
        <w:rPr>
          <w:rFonts w:eastAsia="標楷體"/>
          <w:szCs w:val="22"/>
        </w:rPr>
        <w:t>可見「中假師」一名，由來已久。大抵</w:t>
      </w:r>
      <w:r w:rsidRPr="00412A9C">
        <w:rPr>
          <w:rFonts w:eastAsia="標楷體"/>
          <w:b/>
          <w:szCs w:val="22"/>
        </w:rPr>
        <w:t>智辯</w:t>
      </w:r>
      <w:r w:rsidRPr="00412A9C">
        <w:rPr>
          <w:rFonts w:eastAsia="標楷體"/>
          <w:szCs w:val="22"/>
        </w:rPr>
        <w:t>他們，偏重於中假的差別，所以被譏為中假師。</w:t>
      </w:r>
    </w:p>
  </w:footnote>
  <w:footnote w:id="994">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rFonts w:hint="eastAsia"/>
          <w:szCs w:val="22"/>
        </w:rPr>
        <w:t xml:space="preserve"> </w:t>
      </w:r>
      <w:r w:rsidRPr="00412A9C">
        <w:rPr>
          <w:rFonts w:hint="eastAsia"/>
          <w:szCs w:val="22"/>
        </w:rPr>
        <w:t>〔隋〕</w:t>
      </w:r>
      <w:r w:rsidRPr="00412A9C">
        <w:rPr>
          <w:szCs w:val="22"/>
        </w:rPr>
        <w:t>吉藏</w:t>
      </w:r>
      <w:r>
        <w:rPr>
          <w:szCs w:val="22"/>
        </w:rPr>
        <w:t>撰</w:t>
      </w:r>
      <w:r w:rsidRPr="00412A9C">
        <w:rPr>
          <w:rFonts w:hint="eastAsia"/>
          <w:szCs w:val="22"/>
        </w:rPr>
        <w:t>，</w:t>
      </w:r>
      <w:r w:rsidRPr="00412A9C">
        <w:rPr>
          <w:szCs w:val="22"/>
        </w:rPr>
        <w:t>《中觀論疏》卷</w:t>
      </w:r>
      <w:r w:rsidRPr="00761EF3">
        <w:rPr>
          <w:szCs w:val="22"/>
        </w:rPr>
        <w:t>2</w:t>
      </w:r>
      <w:r w:rsidRPr="00412A9C">
        <w:rPr>
          <w:szCs w:val="22"/>
        </w:rPr>
        <w:t>（大正</w:t>
      </w:r>
      <w:r w:rsidRPr="00761EF3">
        <w:rPr>
          <w:szCs w:val="22"/>
        </w:rPr>
        <w:t>42</w:t>
      </w:r>
      <w:r w:rsidRPr="00412A9C">
        <w:rPr>
          <w:szCs w:val="22"/>
        </w:rPr>
        <w:t>，</w:t>
      </w:r>
      <w:r w:rsidRPr="00761EF3">
        <w:rPr>
          <w:szCs w:val="22"/>
        </w:rPr>
        <w:t>25c1</w:t>
      </w:r>
      <w:r w:rsidRPr="00412A9C">
        <w:rPr>
          <w:szCs w:val="22"/>
        </w:rPr>
        <w:t>-</w:t>
      </w:r>
      <w:r w:rsidRPr="00761EF3">
        <w:rPr>
          <w:szCs w:val="22"/>
        </w:rPr>
        <w:t>2</w:t>
      </w:r>
      <w:r w:rsidRPr="00412A9C">
        <w:rPr>
          <w:szCs w:val="22"/>
        </w:rPr>
        <w:t>）：</w:t>
      </w:r>
    </w:p>
    <w:p w:rsidR="00157EF6" w:rsidRPr="00412A9C" w:rsidRDefault="00157EF6" w:rsidP="00AA120F">
      <w:pPr>
        <w:pStyle w:val="a5"/>
        <w:spacing w:line="0" w:lineRule="atLeast"/>
        <w:ind w:leftChars="105" w:left="252"/>
        <w:jc w:val="both"/>
        <w:rPr>
          <w:szCs w:val="22"/>
        </w:rPr>
      </w:pPr>
      <w:r w:rsidRPr="00412A9C">
        <w:rPr>
          <w:rFonts w:eastAsia="標楷體"/>
          <w:szCs w:val="22"/>
        </w:rPr>
        <w:t>師云：</w:t>
      </w:r>
      <w:r w:rsidRPr="00412A9C">
        <w:rPr>
          <w:rFonts w:eastAsia="標楷體" w:hint="eastAsia"/>
          <w:szCs w:val="22"/>
        </w:rPr>
        <w:t>「</w:t>
      </w:r>
      <w:r w:rsidRPr="00412A9C">
        <w:rPr>
          <w:rFonts w:eastAsia="標楷體"/>
          <w:szCs w:val="22"/>
        </w:rPr>
        <w:t>中假師罪重，永不見佛</w:t>
      </w:r>
      <w:r w:rsidRPr="00412A9C">
        <w:rPr>
          <w:rFonts w:eastAsia="標楷體" w:hint="eastAsia"/>
          <w:szCs w:val="22"/>
        </w:rPr>
        <w:t>！</w:t>
      </w:r>
      <w:r w:rsidRPr="00412A9C">
        <w:rPr>
          <w:szCs w:val="22"/>
        </w:rPr>
        <w:t>」</w:t>
      </w:r>
    </w:p>
  </w:footnote>
  <w:footnote w:id="995">
    <w:p w:rsidR="00157EF6" w:rsidRPr="00412A9C" w:rsidRDefault="00157EF6" w:rsidP="00AA120F">
      <w:pPr>
        <w:pStyle w:val="a5"/>
        <w:spacing w:line="0" w:lineRule="atLeast"/>
        <w:ind w:left="253" w:hangingChars="115" w:hanging="253"/>
        <w:jc w:val="both"/>
        <w:rPr>
          <w:rFonts w:eastAsia="SimSun"/>
          <w:szCs w:val="22"/>
        </w:rPr>
      </w:pPr>
      <w:r w:rsidRPr="00412A9C">
        <w:rPr>
          <w:rStyle w:val="a6"/>
          <w:szCs w:val="22"/>
        </w:rPr>
        <w:footnoteRef/>
      </w:r>
      <w:r w:rsidRPr="00412A9C">
        <w:rPr>
          <w:rFonts w:hint="eastAsia"/>
          <w:szCs w:val="22"/>
        </w:rPr>
        <w:t xml:space="preserve"> </w:t>
      </w:r>
      <w:r w:rsidRPr="00412A9C">
        <w:rPr>
          <w:rFonts w:hint="eastAsia"/>
          <w:szCs w:val="22"/>
        </w:rPr>
        <w:t>〔隋〕</w:t>
      </w:r>
      <w:r w:rsidRPr="00412A9C">
        <w:rPr>
          <w:szCs w:val="22"/>
        </w:rPr>
        <w:t>吉藏</w:t>
      </w:r>
      <w:r>
        <w:rPr>
          <w:szCs w:val="22"/>
        </w:rPr>
        <w:t>撰</w:t>
      </w:r>
      <w:r w:rsidRPr="00412A9C">
        <w:rPr>
          <w:rFonts w:hint="eastAsia"/>
          <w:szCs w:val="22"/>
        </w:rPr>
        <w:t>，</w:t>
      </w:r>
      <w:r w:rsidRPr="00412A9C">
        <w:rPr>
          <w:szCs w:val="22"/>
        </w:rPr>
        <w:t>《大乘玄論》卷</w:t>
      </w:r>
      <w:r w:rsidRPr="00761EF3">
        <w:rPr>
          <w:szCs w:val="22"/>
        </w:rPr>
        <w:t>1</w:t>
      </w:r>
      <w:r w:rsidRPr="00412A9C">
        <w:rPr>
          <w:szCs w:val="22"/>
        </w:rPr>
        <w:t>（大正</w:t>
      </w:r>
      <w:r w:rsidRPr="00761EF3">
        <w:rPr>
          <w:szCs w:val="22"/>
        </w:rPr>
        <w:t>45</w:t>
      </w:r>
      <w:r w:rsidRPr="00412A9C">
        <w:rPr>
          <w:szCs w:val="22"/>
        </w:rPr>
        <w:t>，</w:t>
      </w:r>
      <w:r w:rsidRPr="00761EF3">
        <w:rPr>
          <w:szCs w:val="22"/>
        </w:rPr>
        <w:t>19c7</w:t>
      </w:r>
      <w:r w:rsidRPr="00412A9C">
        <w:rPr>
          <w:szCs w:val="22"/>
        </w:rPr>
        <w:t>-</w:t>
      </w:r>
      <w:r w:rsidRPr="00761EF3">
        <w:rPr>
          <w:szCs w:val="22"/>
        </w:rPr>
        <w:t>12</w:t>
      </w:r>
      <w:r w:rsidRPr="00412A9C">
        <w:rPr>
          <w:szCs w:val="22"/>
        </w:rPr>
        <w:t>）：</w:t>
      </w:r>
    </w:p>
    <w:p w:rsidR="00157EF6" w:rsidRPr="00412A9C" w:rsidRDefault="00157EF6" w:rsidP="00AA120F">
      <w:pPr>
        <w:pStyle w:val="a5"/>
        <w:spacing w:line="0" w:lineRule="atLeast"/>
        <w:ind w:leftChars="105" w:left="692" w:hangingChars="200" w:hanging="440"/>
        <w:jc w:val="both"/>
        <w:rPr>
          <w:rFonts w:eastAsia="SimSun"/>
          <w:szCs w:val="22"/>
        </w:rPr>
      </w:pPr>
      <w:r w:rsidRPr="00412A9C">
        <w:rPr>
          <w:rFonts w:eastAsia="標楷體"/>
          <w:szCs w:val="22"/>
        </w:rPr>
        <w:t>問：何物是</w:t>
      </w:r>
      <w:r w:rsidR="00F609DA">
        <w:rPr>
          <w:rFonts w:ascii="標楷體" w:eastAsia="標楷體" w:hAnsi="標楷體" w:hint="eastAsia"/>
          <w:bCs/>
          <w:color w:val="FF0000"/>
          <w:kern w:val="0"/>
          <w:highlight w:val="yellow"/>
        </w:rPr>
        <w:t>「</w:t>
      </w:r>
      <w:r w:rsidRPr="00412A9C">
        <w:rPr>
          <w:rFonts w:eastAsia="標楷體"/>
          <w:szCs w:val="22"/>
        </w:rPr>
        <w:t>體假</w:t>
      </w:r>
      <w:r w:rsidR="0051254E">
        <w:rPr>
          <w:rFonts w:ascii="標楷體" w:eastAsia="標楷體" w:hAnsi="標楷體" w:hint="eastAsia"/>
          <w:bCs/>
          <w:color w:val="FF0000"/>
          <w:kern w:val="0"/>
          <w:highlight w:val="yellow"/>
        </w:rPr>
        <w:t>」</w:t>
      </w:r>
      <w:r w:rsidRPr="00412A9C">
        <w:rPr>
          <w:rFonts w:eastAsia="標楷體"/>
          <w:szCs w:val="22"/>
        </w:rPr>
        <w:t>、</w:t>
      </w:r>
      <w:r w:rsidR="0051254E">
        <w:rPr>
          <w:rFonts w:ascii="標楷體" w:eastAsia="標楷體" w:hAnsi="標楷體" w:hint="eastAsia"/>
          <w:bCs/>
          <w:color w:val="FF0000"/>
          <w:kern w:val="0"/>
          <w:highlight w:val="yellow"/>
        </w:rPr>
        <w:t>「</w:t>
      </w:r>
      <w:r w:rsidRPr="00412A9C">
        <w:rPr>
          <w:rFonts w:eastAsia="標楷體"/>
          <w:szCs w:val="22"/>
        </w:rPr>
        <w:t>用假</w:t>
      </w:r>
      <w:r w:rsidR="00F609DA">
        <w:rPr>
          <w:rFonts w:ascii="標楷體" w:eastAsia="標楷體" w:hAnsi="標楷體" w:hint="eastAsia"/>
          <w:bCs/>
          <w:color w:val="FF0000"/>
          <w:kern w:val="0"/>
          <w:highlight w:val="yellow"/>
        </w:rPr>
        <w:t>」</w:t>
      </w:r>
      <w:r w:rsidRPr="00412A9C">
        <w:rPr>
          <w:rFonts w:eastAsia="標楷體"/>
          <w:szCs w:val="22"/>
        </w:rPr>
        <w:t>？何為</w:t>
      </w:r>
      <w:r w:rsidR="00F609DA">
        <w:rPr>
          <w:rFonts w:ascii="標楷體" w:eastAsia="標楷體" w:hAnsi="標楷體" w:hint="eastAsia"/>
          <w:bCs/>
          <w:color w:val="FF0000"/>
          <w:kern w:val="0"/>
          <w:highlight w:val="yellow"/>
        </w:rPr>
        <w:t>「</w:t>
      </w:r>
      <w:r w:rsidRPr="00412A9C">
        <w:rPr>
          <w:rFonts w:eastAsia="標楷體"/>
          <w:szCs w:val="22"/>
        </w:rPr>
        <w:t>體中</w:t>
      </w:r>
      <w:r w:rsidR="0051254E">
        <w:rPr>
          <w:rFonts w:ascii="標楷體" w:eastAsia="標楷體" w:hAnsi="標楷體" w:hint="eastAsia"/>
          <w:bCs/>
          <w:color w:val="FF0000"/>
          <w:kern w:val="0"/>
          <w:highlight w:val="yellow"/>
        </w:rPr>
        <w:t>」</w:t>
      </w:r>
      <w:r w:rsidRPr="00412A9C">
        <w:rPr>
          <w:rFonts w:eastAsia="標楷體"/>
          <w:szCs w:val="22"/>
        </w:rPr>
        <w:t>、</w:t>
      </w:r>
      <w:r w:rsidR="0051254E">
        <w:rPr>
          <w:rFonts w:ascii="標楷體" w:eastAsia="標楷體" w:hAnsi="標楷體" w:hint="eastAsia"/>
          <w:bCs/>
          <w:color w:val="FF0000"/>
          <w:kern w:val="0"/>
          <w:highlight w:val="yellow"/>
        </w:rPr>
        <w:t>「</w:t>
      </w:r>
      <w:r w:rsidRPr="00412A9C">
        <w:rPr>
          <w:rFonts w:eastAsia="標楷體"/>
          <w:szCs w:val="22"/>
        </w:rPr>
        <w:t>用中</w:t>
      </w:r>
      <w:r w:rsidR="00F609DA">
        <w:rPr>
          <w:rFonts w:ascii="標楷體" w:eastAsia="標楷體" w:hAnsi="標楷體" w:hint="eastAsia"/>
          <w:bCs/>
          <w:color w:val="FF0000"/>
          <w:kern w:val="0"/>
          <w:highlight w:val="yellow"/>
        </w:rPr>
        <w:t>」</w:t>
      </w:r>
      <w:r w:rsidRPr="00412A9C">
        <w:rPr>
          <w:rFonts w:eastAsia="標楷體"/>
          <w:szCs w:val="22"/>
        </w:rPr>
        <w:t>耶？</w:t>
      </w:r>
    </w:p>
    <w:p w:rsidR="00F609DA" w:rsidRDefault="00157EF6" w:rsidP="00AA120F">
      <w:pPr>
        <w:pStyle w:val="a5"/>
        <w:spacing w:line="0" w:lineRule="atLeast"/>
        <w:ind w:leftChars="105" w:left="692" w:hangingChars="200" w:hanging="440"/>
        <w:jc w:val="both"/>
        <w:rPr>
          <w:rFonts w:eastAsia="標楷體"/>
          <w:szCs w:val="22"/>
        </w:rPr>
      </w:pPr>
      <w:r w:rsidRPr="00412A9C">
        <w:rPr>
          <w:rFonts w:eastAsia="標楷體"/>
          <w:szCs w:val="22"/>
        </w:rPr>
        <w:t>答：</w:t>
      </w:r>
      <w:r w:rsidR="00F609DA">
        <w:rPr>
          <w:rFonts w:ascii="標楷體" w:eastAsia="標楷體" w:hAnsi="標楷體" w:hint="eastAsia"/>
          <w:bCs/>
          <w:color w:val="FF0000"/>
          <w:kern w:val="0"/>
          <w:highlight w:val="yellow"/>
        </w:rPr>
        <w:t>「</w:t>
      </w:r>
      <w:r w:rsidRPr="00412A9C">
        <w:rPr>
          <w:rFonts w:eastAsia="標楷體"/>
          <w:szCs w:val="22"/>
        </w:rPr>
        <w:t>假有假無</w:t>
      </w:r>
      <w:r w:rsidR="00F609DA">
        <w:rPr>
          <w:rFonts w:ascii="標楷體" w:eastAsia="標楷體" w:hAnsi="標楷體" w:hint="eastAsia"/>
          <w:bCs/>
          <w:color w:val="FF0000"/>
          <w:kern w:val="0"/>
          <w:highlight w:val="yellow"/>
        </w:rPr>
        <w:t>」</w:t>
      </w:r>
      <w:r w:rsidRPr="00412A9C">
        <w:rPr>
          <w:rFonts w:eastAsia="標楷體"/>
          <w:szCs w:val="22"/>
        </w:rPr>
        <w:t>是</w:t>
      </w:r>
      <w:r w:rsidR="00F609DA">
        <w:rPr>
          <w:rFonts w:ascii="標楷體" w:eastAsia="標楷體" w:hAnsi="標楷體" w:hint="eastAsia"/>
          <w:bCs/>
          <w:color w:val="FF0000"/>
          <w:kern w:val="0"/>
          <w:highlight w:val="yellow"/>
        </w:rPr>
        <w:t>「</w:t>
      </w:r>
      <w:r w:rsidRPr="00412A9C">
        <w:rPr>
          <w:rFonts w:eastAsia="標楷體"/>
          <w:b/>
          <w:szCs w:val="22"/>
        </w:rPr>
        <w:t>用假</w:t>
      </w:r>
      <w:r w:rsidR="00F609DA">
        <w:rPr>
          <w:rFonts w:ascii="標楷體" w:eastAsia="標楷體" w:hAnsi="標楷體" w:hint="eastAsia"/>
          <w:bCs/>
          <w:color w:val="FF0000"/>
          <w:kern w:val="0"/>
          <w:highlight w:val="yellow"/>
        </w:rPr>
        <w:t>」</w:t>
      </w:r>
      <w:r w:rsidRPr="00412A9C">
        <w:rPr>
          <w:rFonts w:eastAsia="標楷體"/>
          <w:szCs w:val="22"/>
        </w:rPr>
        <w:t>，</w:t>
      </w:r>
      <w:r w:rsidR="00F609DA">
        <w:rPr>
          <w:rFonts w:ascii="標楷體" w:eastAsia="標楷體" w:hAnsi="標楷體" w:hint="eastAsia"/>
          <w:bCs/>
          <w:color w:val="FF0000"/>
          <w:kern w:val="0"/>
          <w:highlight w:val="yellow"/>
        </w:rPr>
        <w:t>「</w:t>
      </w:r>
      <w:r w:rsidRPr="00412A9C">
        <w:rPr>
          <w:rFonts w:eastAsia="標楷體"/>
          <w:szCs w:val="22"/>
        </w:rPr>
        <w:t>非有非無</w:t>
      </w:r>
      <w:r w:rsidR="00F609DA">
        <w:rPr>
          <w:rFonts w:ascii="標楷體" w:eastAsia="標楷體" w:hAnsi="標楷體" w:hint="eastAsia"/>
          <w:bCs/>
          <w:color w:val="FF0000"/>
          <w:kern w:val="0"/>
          <w:highlight w:val="yellow"/>
        </w:rPr>
        <w:t>」</w:t>
      </w:r>
      <w:r w:rsidRPr="00412A9C">
        <w:rPr>
          <w:rFonts w:eastAsia="標楷體"/>
          <w:szCs w:val="22"/>
        </w:rPr>
        <w:t>是</w:t>
      </w:r>
      <w:r w:rsidR="00F609DA">
        <w:rPr>
          <w:rFonts w:ascii="標楷體" w:eastAsia="標楷體" w:hAnsi="標楷體" w:hint="eastAsia"/>
          <w:bCs/>
          <w:color w:val="FF0000"/>
          <w:kern w:val="0"/>
          <w:highlight w:val="yellow"/>
        </w:rPr>
        <w:t>「</w:t>
      </w:r>
      <w:r w:rsidRPr="00412A9C">
        <w:rPr>
          <w:rFonts w:eastAsia="標楷體"/>
          <w:b/>
          <w:szCs w:val="22"/>
        </w:rPr>
        <w:t>體假</w:t>
      </w:r>
      <w:r w:rsidR="00F609DA">
        <w:rPr>
          <w:rFonts w:ascii="標楷體" w:eastAsia="標楷體" w:hAnsi="標楷體" w:hint="eastAsia"/>
          <w:bCs/>
          <w:color w:val="FF0000"/>
          <w:kern w:val="0"/>
          <w:highlight w:val="yellow"/>
        </w:rPr>
        <w:t>」</w:t>
      </w:r>
      <w:r w:rsidR="00F609DA">
        <w:rPr>
          <w:rFonts w:ascii="標楷體" w:eastAsia="標楷體" w:hAnsi="標楷體" w:hint="eastAsia"/>
          <w:color w:val="FF0000"/>
          <w:spacing w:val="-4"/>
          <w:kern w:val="0"/>
          <w:highlight w:val="yellow"/>
        </w:rPr>
        <w:t>；</w:t>
      </w:r>
      <w:r w:rsidR="00F609DA">
        <w:rPr>
          <w:rFonts w:ascii="標楷體" w:eastAsia="標楷體" w:hAnsi="標楷體" w:hint="eastAsia"/>
          <w:bCs/>
          <w:color w:val="FF0000"/>
          <w:kern w:val="0"/>
          <w:highlight w:val="yellow"/>
        </w:rPr>
        <w:t>「</w:t>
      </w:r>
      <w:r w:rsidRPr="00412A9C">
        <w:rPr>
          <w:rFonts w:eastAsia="標楷體"/>
          <w:szCs w:val="22"/>
        </w:rPr>
        <w:t>有</w:t>
      </w:r>
      <w:r w:rsidR="00F609DA">
        <w:rPr>
          <w:rFonts w:ascii="標楷體" w:eastAsia="標楷體" w:hAnsi="標楷體" w:hint="eastAsia"/>
          <w:color w:val="FF0000"/>
          <w:spacing w:val="-4"/>
          <w:kern w:val="0"/>
          <w:highlight w:val="yellow"/>
        </w:rPr>
        <w:t>、</w:t>
      </w:r>
      <w:r w:rsidRPr="00412A9C">
        <w:rPr>
          <w:rFonts w:eastAsia="標楷體"/>
          <w:szCs w:val="22"/>
        </w:rPr>
        <w:t>無</w:t>
      </w:r>
      <w:r w:rsidR="00F609DA">
        <w:rPr>
          <w:rFonts w:ascii="標楷體" w:eastAsia="標楷體" w:hAnsi="標楷體" w:hint="eastAsia"/>
          <w:bCs/>
          <w:color w:val="FF0000"/>
          <w:kern w:val="0"/>
          <w:highlight w:val="yellow"/>
        </w:rPr>
        <w:t>」</w:t>
      </w:r>
      <w:r w:rsidRPr="00412A9C">
        <w:rPr>
          <w:rFonts w:eastAsia="標楷體"/>
          <w:szCs w:val="22"/>
        </w:rPr>
        <w:t>是</w:t>
      </w:r>
      <w:r w:rsidR="00F609DA">
        <w:rPr>
          <w:rFonts w:ascii="標楷體" w:eastAsia="標楷體" w:hAnsi="標楷體" w:hint="eastAsia"/>
          <w:bCs/>
          <w:color w:val="FF0000"/>
          <w:kern w:val="0"/>
          <w:highlight w:val="yellow"/>
        </w:rPr>
        <w:t>「</w:t>
      </w:r>
      <w:r w:rsidRPr="00412A9C">
        <w:rPr>
          <w:rFonts w:eastAsia="標楷體"/>
          <w:b/>
          <w:szCs w:val="22"/>
        </w:rPr>
        <w:t>用中</w:t>
      </w:r>
      <w:r w:rsidR="00F609DA">
        <w:rPr>
          <w:rFonts w:ascii="標楷體" w:eastAsia="標楷體" w:hAnsi="標楷體" w:hint="eastAsia"/>
          <w:bCs/>
          <w:color w:val="FF0000"/>
          <w:kern w:val="0"/>
          <w:highlight w:val="yellow"/>
        </w:rPr>
        <w:t>」</w:t>
      </w:r>
      <w:r w:rsidRPr="00412A9C">
        <w:rPr>
          <w:rFonts w:eastAsia="標楷體"/>
          <w:szCs w:val="22"/>
        </w:rPr>
        <w:t>，</w:t>
      </w:r>
      <w:r w:rsidR="00F609DA">
        <w:rPr>
          <w:rFonts w:ascii="標楷體" w:eastAsia="標楷體" w:hAnsi="標楷體" w:hint="eastAsia"/>
          <w:bCs/>
          <w:color w:val="FF0000"/>
          <w:kern w:val="0"/>
          <w:highlight w:val="yellow"/>
        </w:rPr>
        <w:t>「</w:t>
      </w:r>
      <w:r w:rsidRPr="00412A9C">
        <w:rPr>
          <w:rFonts w:eastAsia="標楷體"/>
          <w:szCs w:val="22"/>
        </w:rPr>
        <w:t>非有非無</w:t>
      </w:r>
      <w:r w:rsidR="00F609DA">
        <w:rPr>
          <w:rFonts w:ascii="標楷體" w:eastAsia="標楷體" w:hAnsi="標楷體" w:hint="eastAsia"/>
          <w:bCs/>
          <w:color w:val="FF0000"/>
          <w:kern w:val="0"/>
          <w:highlight w:val="yellow"/>
        </w:rPr>
        <w:t>」</w:t>
      </w:r>
      <w:r w:rsidRPr="00412A9C">
        <w:rPr>
          <w:rFonts w:eastAsia="標楷體"/>
          <w:szCs w:val="22"/>
        </w:rPr>
        <w:t>是</w:t>
      </w:r>
      <w:r w:rsidR="00F609DA">
        <w:rPr>
          <w:rFonts w:ascii="標楷體" w:eastAsia="標楷體" w:hAnsi="標楷體" w:hint="eastAsia"/>
          <w:bCs/>
          <w:color w:val="FF0000"/>
          <w:kern w:val="0"/>
          <w:highlight w:val="yellow"/>
        </w:rPr>
        <w:t>「</w:t>
      </w:r>
      <w:r w:rsidRPr="00412A9C">
        <w:rPr>
          <w:rFonts w:eastAsia="標楷體"/>
          <w:b/>
          <w:szCs w:val="22"/>
        </w:rPr>
        <w:t>體中</w:t>
      </w:r>
      <w:r w:rsidR="00F609DA">
        <w:rPr>
          <w:rFonts w:ascii="標楷體" w:eastAsia="標楷體" w:hAnsi="標楷體" w:hint="eastAsia"/>
          <w:bCs/>
          <w:color w:val="FF0000"/>
          <w:kern w:val="0"/>
          <w:highlight w:val="yellow"/>
        </w:rPr>
        <w:t>」</w:t>
      </w:r>
      <w:r w:rsidRPr="00412A9C">
        <w:rPr>
          <w:rFonts w:eastAsia="標楷體"/>
          <w:szCs w:val="22"/>
        </w:rPr>
        <w:t>。</w:t>
      </w:r>
    </w:p>
    <w:p w:rsidR="00157EF6" w:rsidRPr="00412A9C" w:rsidRDefault="00157EF6" w:rsidP="00F609DA">
      <w:pPr>
        <w:pStyle w:val="a5"/>
        <w:spacing w:line="0" w:lineRule="atLeast"/>
        <w:ind w:leftChars="105" w:left="912" w:hangingChars="300" w:hanging="660"/>
        <w:jc w:val="both"/>
        <w:rPr>
          <w:szCs w:val="22"/>
        </w:rPr>
      </w:pPr>
      <w:r w:rsidRPr="00412A9C">
        <w:rPr>
          <w:rFonts w:eastAsia="標楷體"/>
          <w:szCs w:val="22"/>
        </w:rPr>
        <w:t>復言：</w:t>
      </w:r>
      <w:r w:rsidR="00F609DA">
        <w:rPr>
          <w:rFonts w:ascii="標楷體" w:eastAsia="標楷體" w:hAnsi="標楷體" w:hint="eastAsia"/>
          <w:bCs/>
          <w:color w:val="FF0000"/>
          <w:kern w:val="0"/>
          <w:highlight w:val="yellow"/>
        </w:rPr>
        <w:t>「</w:t>
      </w:r>
      <w:r w:rsidRPr="00412A9C">
        <w:rPr>
          <w:rFonts w:eastAsia="標楷體"/>
          <w:szCs w:val="22"/>
        </w:rPr>
        <w:t>有</w:t>
      </w:r>
      <w:r w:rsidR="00F609DA">
        <w:rPr>
          <w:rFonts w:ascii="標楷體" w:eastAsia="標楷體" w:hAnsi="標楷體" w:hint="eastAsia"/>
          <w:color w:val="FF0000"/>
          <w:spacing w:val="-4"/>
          <w:kern w:val="0"/>
          <w:highlight w:val="yellow"/>
        </w:rPr>
        <w:t>、</w:t>
      </w:r>
      <w:r w:rsidRPr="00412A9C">
        <w:rPr>
          <w:rFonts w:eastAsia="標楷體"/>
          <w:szCs w:val="22"/>
        </w:rPr>
        <w:t>無、非有非無</w:t>
      </w:r>
      <w:r w:rsidR="00F609DA">
        <w:rPr>
          <w:rFonts w:ascii="標楷體" w:eastAsia="標楷體" w:hAnsi="標楷體" w:hint="eastAsia"/>
          <w:bCs/>
          <w:color w:val="FF0000"/>
          <w:kern w:val="0"/>
          <w:highlight w:val="yellow"/>
        </w:rPr>
        <w:t>」</w:t>
      </w:r>
      <w:r w:rsidRPr="00412A9C">
        <w:rPr>
          <w:rFonts w:eastAsia="標楷體"/>
          <w:szCs w:val="22"/>
        </w:rPr>
        <w:t>皆是</w:t>
      </w:r>
      <w:r w:rsidR="00F609DA">
        <w:rPr>
          <w:rFonts w:ascii="標楷體" w:eastAsia="標楷體" w:hAnsi="標楷體" w:hint="eastAsia"/>
          <w:bCs/>
          <w:color w:val="FF0000"/>
          <w:kern w:val="0"/>
          <w:highlight w:val="yellow"/>
        </w:rPr>
        <w:t>「</w:t>
      </w:r>
      <w:r w:rsidRPr="00412A9C">
        <w:rPr>
          <w:rFonts w:eastAsia="標楷體"/>
          <w:b/>
          <w:szCs w:val="22"/>
        </w:rPr>
        <w:t>用中、用假</w:t>
      </w:r>
      <w:r w:rsidR="00F609DA">
        <w:rPr>
          <w:rFonts w:ascii="標楷體" w:eastAsia="標楷體" w:hAnsi="標楷體" w:hint="eastAsia"/>
          <w:bCs/>
          <w:color w:val="FF0000"/>
          <w:kern w:val="0"/>
          <w:highlight w:val="yellow"/>
        </w:rPr>
        <w:t>」</w:t>
      </w:r>
      <w:r w:rsidRPr="00412A9C">
        <w:rPr>
          <w:rFonts w:eastAsia="標楷體"/>
          <w:szCs w:val="22"/>
        </w:rPr>
        <w:t>；</w:t>
      </w:r>
      <w:r w:rsidR="00F609DA">
        <w:rPr>
          <w:rFonts w:ascii="標楷體" w:eastAsia="標楷體" w:hAnsi="標楷體" w:hint="eastAsia"/>
          <w:bCs/>
          <w:color w:val="FF0000"/>
          <w:kern w:val="0"/>
          <w:highlight w:val="yellow"/>
        </w:rPr>
        <w:t>「</w:t>
      </w:r>
      <w:r w:rsidRPr="00412A9C">
        <w:rPr>
          <w:rFonts w:eastAsia="標楷體"/>
          <w:szCs w:val="22"/>
        </w:rPr>
        <w:t>非二非不二</w:t>
      </w:r>
      <w:r w:rsidR="00F609DA">
        <w:rPr>
          <w:rFonts w:ascii="標楷體" w:eastAsia="標楷體" w:hAnsi="標楷體" w:hint="eastAsia"/>
          <w:bCs/>
          <w:color w:val="FF0000"/>
          <w:kern w:val="0"/>
          <w:highlight w:val="yellow"/>
        </w:rPr>
        <w:t>」</w:t>
      </w:r>
      <w:r w:rsidRPr="00412A9C">
        <w:rPr>
          <w:rFonts w:eastAsia="標楷體"/>
          <w:szCs w:val="22"/>
        </w:rPr>
        <w:t>方是</w:t>
      </w:r>
      <w:r w:rsidR="00F609DA">
        <w:rPr>
          <w:rFonts w:ascii="標楷體" w:eastAsia="標楷體" w:hAnsi="標楷體" w:hint="eastAsia"/>
          <w:bCs/>
          <w:color w:val="FF0000"/>
          <w:kern w:val="0"/>
          <w:highlight w:val="yellow"/>
        </w:rPr>
        <w:t>「</w:t>
      </w:r>
      <w:r w:rsidRPr="00412A9C">
        <w:rPr>
          <w:rFonts w:eastAsia="標楷體"/>
          <w:b/>
          <w:szCs w:val="22"/>
        </w:rPr>
        <w:t>體假、體中</w:t>
      </w:r>
      <w:r w:rsidR="00F609DA">
        <w:rPr>
          <w:rFonts w:ascii="標楷體" w:eastAsia="標楷體" w:hAnsi="標楷體" w:hint="eastAsia"/>
          <w:bCs/>
          <w:color w:val="FF0000"/>
          <w:kern w:val="0"/>
          <w:highlight w:val="yellow"/>
        </w:rPr>
        <w:t>」</w:t>
      </w:r>
      <w:r w:rsidRPr="00412A9C">
        <w:rPr>
          <w:rFonts w:eastAsia="標楷體"/>
          <w:szCs w:val="22"/>
        </w:rPr>
        <w:t>。合有四假四中方是</w:t>
      </w:r>
      <w:r w:rsidR="00F609DA">
        <w:rPr>
          <w:rFonts w:ascii="標楷體" w:eastAsia="標楷體" w:hAnsi="標楷體" w:hint="eastAsia"/>
          <w:bCs/>
          <w:color w:val="FF0000"/>
          <w:kern w:val="0"/>
          <w:highlight w:val="yellow"/>
        </w:rPr>
        <w:t>「</w:t>
      </w:r>
      <w:r w:rsidRPr="00412A9C">
        <w:rPr>
          <w:rFonts w:eastAsia="標楷體"/>
          <w:b/>
          <w:szCs w:val="22"/>
        </w:rPr>
        <w:t>圓假、圓中</w:t>
      </w:r>
      <w:r w:rsidR="00F609DA">
        <w:rPr>
          <w:rFonts w:ascii="標楷體" w:eastAsia="標楷體" w:hAnsi="標楷體" w:hint="eastAsia"/>
          <w:bCs/>
          <w:color w:val="FF0000"/>
          <w:kern w:val="0"/>
          <w:highlight w:val="yellow"/>
        </w:rPr>
        <w:t>」</w:t>
      </w:r>
      <w:r w:rsidRPr="00412A9C">
        <w:rPr>
          <w:rFonts w:eastAsia="標楷體"/>
          <w:szCs w:val="22"/>
        </w:rPr>
        <w:t>耳。</w:t>
      </w:r>
    </w:p>
  </w:footnote>
  <w:footnote w:id="996">
    <w:p w:rsidR="00157EF6" w:rsidRPr="00412A9C" w:rsidRDefault="00157EF6" w:rsidP="009E0A5A">
      <w:pPr>
        <w:pStyle w:val="a5"/>
        <w:ind w:left="187" w:hangingChars="85" w:hanging="187"/>
        <w:jc w:val="both"/>
        <w:rPr>
          <w:szCs w:val="22"/>
        </w:rPr>
      </w:pPr>
      <w:r w:rsidRPr="00412A9C">
        <w:rPr>
          <w:rStyle w:val="a6"/>
          <w:szCs w:val="22"/>
        </w:rPr>
        <w:footnoteRef/>
      </w:r>
      <w:r w:rsidRPr="00412A9C">
        <w:rPr>
          <w:szCs w:val="22"/>
        </w:rPr>
        <w:t xml:space="preserve"> </w:t>
      </w:r>
      <w:r w:rsidRPr="00DB5FC5">
        <w:rPr>
          <w:szCs w:val="22"/>
        </w:rPr>
        <w:t>稱頌</w:t>
      </w:r>
      <w:r w:rsidRPr="00412A9C">
        <w:rPr>
          <w:szCs w:val="22"/>
        </w:rPr>
        <w:t>：稱贊頌揚。（《漢語大詞典》（八）</w:t>
      </w:r>
      <w:r w:rsidRPr="00412A9C">
        <w:rPr>
          <w:rFonts w:hint="eastAsia"/>
          <w:szCs w:val="22"/>
        </w:rPr>
        <w:t>，</w:t>
      </w:r>
      <w:r w:rsidRPr="00761EF3">
        <w:rPr>
          <w:szCs w:val="22"/>
        </w:rPr>
        <w:t>p</w:t>
      </w:r>
      <w:r w:rsidRPr="00412A9C">
        <w:rPr>
          <w:szCs w:val="22"/>
        </w:rPr>
        <w:t>.</w:t>
      </w:r>
      <w:r w:rsidRPr="00761EF3">
        <w:rPr>
          <w:szCs w:val="22"/>
        </w:rPr>
        <w:t>117</w:t>
      </w:r>
      <w:r w:rsidRPr="00412A9C">
        <w:rPr>
          <w:szCs w:val="22"/>
        </w:rPr>
        <w:t>）</w:t>
      </w:r>
    </w:p>
  </w:footnote>
  <w:footnote w:id="997">
    <w:p w:rsidR="00157EF6" w:rsidRPr="00412A9C" w:rsidRDefault="00157EF6" w:rsidP="00AA120F">
      <w:pPr>
        <w:pStyle w:val="a5"/>
        <w:ind w:left="187" w:hangingChars="85" w:hanging="187"/>
        <w:jc w:val="both"/>
        <w:rPr>
          <w:szCs w:val="22"/>
        </w:rPr>
      </w:pPr>
      <w:r w:rsidRPr="00412A9C">
        <w:rPr>
          <w:rStyle w:val="a6"/>
          <w:szCs w:val="22"/>
        </w:rPr>
        <w:footnoteRef/>
      </w:r>
      <w:r w:rsidRPr="00412A9C">
        <w:rPr>
          <w:szCs w:val="22"/>
        </w:rPr>
        <w:t xml:space="preserve"> </w:t>
      </w:r>
      <w:r w:rsidRPr="00412A9C">
        <w:rPr>
          <w:szCs w:val="22"/>
        </w:rPr>
        <w:t>印順法師，《中國禪宗史》</w:t>
      </w:r>
      <w:r w:rsidRPr="00412A9C">
        <w:rPr>
          <w:rFonts w:hint="eastAsia"/>
          <w:szCs w:val="22"/>
        </w:rPr>
        <w:t>，</w:t>
      </w:r>
      <w:r w:rsidRPr="00761EF3">
        <w:rPr>
          <w:szCs w:val="22"/>
        </w:rPr>
        <w:t>pp</w:t>
      </w:r>
      <w:r w:rsidRPr="00412A9C">
        <w:rPr>
          <w:szCs w:val="22"/>
        </w:rPr>
        <w:t>.</w:t>
      </w:r>
      <w:r w:rsidRPr="00761EF3">
        <w:rPr>
          <w:szCs w:val="22"/>
        </w:rPr>
        <w:t>312</w:t>
      </w:r>
      <w:r w:rsidRPr="00412A9C">
        <w:rPr>
          <w:szCs w:val="22"/>
        </w:rPr>
        <w:t>-</w:t>
      </w:r>
      <w:r w:rsidRPr="00761EF3">
        <w:rPr>
          <w:szCs w:val="22"/>
        </w:rPr>
        <w:t>313</w:t>
      </w:r>
      <w:r w:rsidRPr="00412A9C">
        <w:rPr>
          <w:szCs w:val="22"/>
        </w:rPr>
        <w:t>：</w:t>
      </w:r>
    </w:p>
    <w:p w:rsidR="00157EF6" w:rsidRPr="00412A9C" w:rsidRDefault="00157EF6" w:rsidP="00AA120F">
      <w:pPr>
        <w:pStyle w:val="a5"/>
        <w:overflowPunct w:val="0"/>
        <w:autoSpaceDE w:val="0"/>
        <w:autoSpaceDN w:val="0"/>
        <w:ind w:leftChars="75" w:left="180"/>
        <w:jc w:val="both"/>
        <w:rPr>
          <w:rFonts w:eastAsia="標楷體"/>
          <w:szCs w:val="22"/>
        </w:rPr>
      </w:pPr>
      <w:r w:rsidRPr="00412A9C">
        <w:rPr>
          <w:rFonts w:eastAsia="標楷體"/>
          <w:b/>
          <w:szCs w:val="22"/>
        </w:rPr>
        <w:t>道生以為，「積學無限」；不悟則已，「一悟則紛累都盡耳」，究竟成佛。所以，道生是積學無限的漸修頓悟說</w:t>
      </w:r>
      <w:r w:rsidRPr="00412A9C">
        <w:rPr>
          <w:rFonts w:eastAsia="標楷體"/>
          <w:szCs w:val="22"/>
        </w:rPr>
        <w:t>，</w:t>
      </w:r>
      <w:r w:rsidRPr="00412A9C">
        <w:rPr>
          <w:rFonts w:eastAsia="標楷體"/>
          <w:b/>
          <w:szCs w:val="22"/>
        </w:rPr>
        <w:t>與後代禪宗的見地，恰好相反。</w:t>
      </w:r>
      <w:r w:rsidRPr="00412A9C">
        <w:rPr>
          <w:rFonts w:eastAsia="標楷體"/>
          <w:szCs w:val="22"/>
        </w:rPr>
        <w:t>近代人歡喜將道生的頓悟，與禪宗的頓悟說相混合（其實，禪者早已不自覺的混而為一了），所以略為分別。</w:t>
      </w:r>
    </w:p>
    <w:p w:rsidR="00157EF6" w:rsidRPr="00412A9C" w:rsidRDefault="00157EF6" w:rsidP="00AA120F">
      <w:pPr>
        <w:pStyle w:val="a5"/>
        <w:overflowPunct w:val="0"/>
        <w:autoSpaceDE w:val="0"/>
        <w:autoSpaceDN w:val="0"/>
        <w:ind w:leftChars="75" w:left="180"/>
        <w:jc w:val="both"/>
        <w:rPr>
          <w:rFonts w:eastAsia="標楷體"/>
          <w:szCs w:val="22"/>
        </w:rPr>
      </w:pPr>
      <w:r w:rsidRPr="00412A9C">
        <w:rPr>
          <w:rFonts w:eastAsia="標楷體"/>
          <w:szCs w:val="22"/>
        </w:rPr>
        <w:t>扼要的說，一切大乘法門，都認為真如法性是頓悟的。</w:t>
      </w:r>
    </w:p>
    <w:p w:rsidR="00157EF6" w:rsidRPr="00412A9C" w:rsidRDefault="00157EF6" w:rsidP="00AA120F">
      <w:pPr>
        <w:pStyle w:val="a5"/>
        <w:overflowPunct w:val="0"/>
        <w:autoSpaceDE w:val="0"/>
        <w:autoSpaceDN w:val="0"/>
        <w:ind w:leftChars="75" w:left="180"/>
        <w:jc w:val="both"/>
        <w:rPr>
          <w:rFonts w:eastAsia="標楷體"/>
          <w:szCs w:val="22"/>
        </w:rPr>
      </w:pPr>
      <w:r w:rsidRPr="00412A9C">
        <w:rPr>
          <w:rFonts w:eastAsia="標楷體"/>
          <w:szCs w:val="22"/>
        </w:rPr>
        <w:t>說到行的頓入</w:t>
      </w:r>
      <w:r w:rsidRPr="00412A9C">
        <w:rPr>
          <w:rFonts w:eastAsia="標楷體" w:hint="eastAsia"/>
          <w:szCs w:val="22"/>
        </w:rPr>
        <w:t>、</w:t>
      </w:r>
      <w:r w:rsidRPr="00412A9C">
        <w:rPr>
          <w:rFonts w:eastAsia="標楷體"/>
          <w:szCs w:val="22"/>
        </w:rPr>
        <w:t>漸入，主要是從初發心到證悟成佛，如一定要歷位進修，經三大阿僧祇劫，就是</w:t>
      </w:r>
      <w:r w:rsidRPr="00412A9C">
        <w:rPr>
          <w:rFonts w:eastAsia="標楷體"/>
          <w:b/>
          <w:szCs w:val="22"/>
        </w:rPr>
        <w:t>漸</w:t>
      </w:r>
      <w:r w:rsidRPr="00412A9C">
        <w:rPr>
          <w:rFonts w:eastAsia="標楷體"/>
          <w:szCs w:val="22"/>
        </w:rPr>
        <w:t>。</w:t>
      </w:r>
    </w:p>
    <w:p w:rsidR="00157EF6" w:rsidRPr="00412A9C" w:rsidRDefault="00157EF6" w:rsidP="00AA120F">
      <w:pPr>
        <w:pStyle w:val="a5"/>
        <w:overflowPunct w:val="0"/>
        <w:autoSpaceDE w:val="0"/>
        <w:autoSpaceDN w:val="0"/>
        <w:ind w:leftChars="75" w:left="180"/>
        <w:jc w:val="both"/>
        <w:rPr>
          <w:rFonts w:eastAsia="標楷體"/>
          <w:b/>
          <w:szCs w:val="22"/>
        </w:rPr>
      </w:pPr>
      <w:r w:rsidRPr="00412A9C">
        <w:rPr>
          <w:rFonts w:eastAsia="標楷體"/>
          <w:szCs w:val="22"/>
        </w:rPr>
        <w:t>如直捷的證入，成佛，「不歷僧祇獲法身」，就是</w:t>
      </w:r>
      <w:r w:rsidRPr="00412A9C">
        <w:rPr>
          <w:rFonts w:eastAsia="標楷體"/>
          <w:b/>
          <w:szCs w:val="22"/>
        </w:rPr>
        <w:t>頓</w:t>
      </w:r>
      <w:r w:rsidRPr="00412A9C">
        <w:rPr>
          <w:rFonts w:eastAsia="標楷體"/>
          <w:szCs w:val="22"/>
        </w:rPr>
        <w:t>。</w:t>
      </w:r>
      <w:r w:rsidRPr="001862D9">
        <w:rPr>
          <w:rFonts w:ascii="標楷體" w:eastAsia="標楷體" w:hAnsi="標楷體"/>
          <w:szCs w:val="22"/>
          <w:shd w:val="pct15" w:color="auto" w:fill="FFFFFF"/>
        </w:rPr>
        <w:t>……</w:t>
      </w:r>
      <w:r w:rsidRPr="00412A9C">
        <w:rPr>
          <w:rFonts w:eastAsia="標楷體"/>
          <w:b/>
          <w:szCs w:val="22"/>
        </w:rPr>
        <w:t>北方禪師，以《楞</w:t>
      </w:r>
      <w:r w:rsidRPr="00412A9C">
        <w:rPr>
          <w:rFonts w:ascii="標楷體" w:eastAsia="標楷體" w:hAnsi="標楷體"/>
          <w:b/>
          <w:szCs w:val="22"/>
        </w:rPr>
        <w:t>伽》</w:t>
      </w:r>
      <w:r w:rsidRPr="00412A9C">
        <w:rPr>
          <w:rFonts w:eastAsia="標楷體"/>
          <w:b/>
          <w:szCs w:val="22"/>
        </w:rPr>
        <w:t>、《思益經</w:t>
      </w:r>
      <w:r w:rsidRPr="00412A9C">
        <w:rPr>
          <w:rFonts w:ascii="標楷體" w:eastAsia="標楷體" w:hAnsi="標楷體"/>
          <w:b/>
          <w:szCs w:val="22"/>
        </w:rPr>
        <w:t>》</w:t>
      </w:r>
      <w:r w:rsidRPr="00412A9C">
        <w:rPr>
          <w:rFonts w:eastAsia="標楷體"/>
          <w:b/>
          <w:szCs w:val="22"/>
        </w:rPr>
        <w:t>為無相教，是不立次第的頓禪。頓，是說發心能現生頓入佛慧，與佛不二。</w:t>
      </w:r>
      <w:r w:rsidRPr="00412A9C">
        <w:rPr>
          <w:rFonts w:eastAsia="標楷體"/>
          <w:szCs w:val="22"/>
        </w:rPr>
        <w:t>東山宗的「即心是佛」；「心外無佛，佛外無心」，都可說是頓禪。</w:t>
      </w:r>
    </w:p>
  </w:footnote>
  <w:footnote w:id="998">
    <w:p w:rsidR="00157EF6" w:rsidRPr="00412A9C" w:rsidRDefault="00157EF6" w:rsidP="00AA120F">
      <w:pPr>
        <w:pStyle w:val="a5"/>
        <w:ind w:left="187" w:hangingChars="85" w:hanging="187"/>
        <w:jc w:val="both"/>
        <w:rPr>
          <w:szCs w:val="22"/>
        </w:rPr>
      </w:pPr>
      <w:r w:rsidRPr="00412A9C">
        <w:rPr>
          <w:rStyle w:val="a6"/>
          <w:szCs w:val="22"/>
        </w:rPr>
        <w:footnoteRef/>
      </w:r>
      <w:r w:rsidRPr="00412A9C">
        <w:rPr>
          <w:szCs w:val="22"/>
        </w:rPr>
        <w:t xml:space="preserve"> </w:t>
      </w:r>
      <w:r w:rsidRPr="00412A9C">
        <w:rPr>
          <w:szCs w:val="22"/>
        </w:rPr>
        <w:t>印順法師，《佛教史地考論》</w:t>
      </w:r>
      <w:r w:rsidRPr="00412A9C">
        <w:rPr>
          <w:rFonts w:hint="eastAsia"/>
          <w:szCs w:val="22"/>
        </w:rPr>
        <w:t>，</w:t>
      </w:r>
      <w:r w:rsidRPr="00761EF3">
        <w:rPr>
          <w:szCs w:val="22"/>
        </w:rPr>
        <w:t>p</w:t>
      </w:r>
      <w:r w:rsidRPr="00412A9C">
        <w:rPr>
          <w:szCs w:val="22"/>
        </w:rPr>
        <w:t>.</w:t>
      </w:r>
      <w:r w:rsidRPr="00761EF3">
        <w:rPr>
          <w:szCs w:val="22"/>
        </w:rPr>
        <w:t>387</w:t>
      </w:r>
      <w:r w:rsidRPr="00412A9C">
        <w:rPr>
          <w:szCs w:val="22"/>
        </w:rPr>
        <w:t>：</w:t>
      </w:r>
    </w:p>
    <w:p w:rsidR="00157EF6" w:rsidRPr="00412A9C" w:rsidRDefault="00157EF6" w:rsidP="00AA120F">
      <w:pPr>
        <w:pStyle w:val="a5"/>
        <w:overflowPunct w:val="0"/>
        <w:autoSpaceDE w:val="0"/>
        <w:autoSpaceDN w:val="0"/>
        <w:ind w:leftChars="75" w:left="180"/>
        <w:jc w:val="both"/>
        <w:rPr>
          <w:rFonts w:eastAsia="SimSun"/>
          <w:szCs w:val="22"/>
        </w:rPr>
      </w:pPr>
      <w:r w:rsidRPr="00412A9C">
        <w:rPr>
          <w:rFonts w:eastAsia="標楷體"/>
          <w:szCs w:val="22"/>
        </w:rPr>
        <w:t>現在先來談頓悟成佛。</w:t>
      </w:r>
      <w:r w:rsidRPr="001862D9">
        <w:rPr>
          <w:rFonts w:ascii="標楷體" w:eastAsia="標楷體" w:hAnsi="標楷體"/>
          <w:szCs w:val="22"/>
          <w:shd w:val="pct15" w:color="auto" w:fill="FFFFFF"/>
        </w:rPr>
        <w:t>……</w:t>
      </w:r>
      <w:r w:rsidRPr="00412A9C">
        <w:rPr>
          <w:rFonts w:eastAsia="標楷體"/>
          <w:szCs w:val="22"/>
        </w:rPr>
        <w:t>生公的意見：在生滅心上用功，損之又損之，似乎是漸入的。但真性是無差別的，常住本淨的，所以有一毫的戲論在，到底不能證入。無生的「真知」，不見就不見，見就一了百了，無欠無餘。所以，唯成佛才是真悟。</w:t>
      </w:r>
    </w:p>
  </w:footnote>
  <w:footnote w:id="999">
    <w:p w:rsidR="00157EF6" w:rsidRPr="00412A9C" w:rsidRDefault="00157EF6" w:rsidP="00463CFF">
      <w:pPr>
        <w:pStyle w:val="a5"/>
        <w:spacing w:line="300" w:lineRule="exact"/>
        <w:ind w:left="187" w:hangingChars="85" w:hanging="187"/>
        <w:jc w:val="both"/>
        <w:rPr>
          <w:szCs w:val="22"/>
        </w:rPr>
      </w:pPr>
      <w:r w:rsidRPr="00412A9C">
        <w:rPr>
          <w:rStyle w:val="a6"/>
          <w:szCs w:val="22"/>
        </w:rPr>
        <w:footnoteRef/>
      </w:r>
      <w:r w:rsidRPr="00412A9C">
        <w:rPr>
          <w:szCs w:val="22"/>
        </w:rPr>
        <w:t xml:space="preserve"> </w:t>
      </w:r>
      <w:r w:rsidRPr="00412A9C">
        <w:rPr>
          <w:szCs w:val="22"/>
        </w:rPr>
        <w:t>廓然：</w:t>
      </w:r>
      <w:r w:rsidRPr="00761EF3">
        <w:rPr>
          <w:szCs w:val="22"/>
        </w:rPr>
        <w:t>5</w:t>
      </w:r>
      <w:r w:rsidRPr="00412A9C">
        <w:rPr>
          <w:szCs w:val="22"/>
        </w:rPr>
        <w:t>.</w:t>
      </w:r>
      <w:r w:rsidRPr="00412A9C">
        <w:rPr>
          <w:szCs w:val="22"/>
        </w:rPr>
        <w:t>阻滯</w:t>
      </w:r>
      <w:r w:rsidRPr="00412A9C">
        <w:rPr>
          <w:rFonts w:ascii="新細明體" w:hAnsi="新細明體"/>
          <w:szCs w:val="22"/>
        </w:rPr>
        <w:t>盡除貌。</w:t>
      </w:r>
      <w:r w:rsidRPr="00412A9C">
        <w:rPr>
          <w:szCs w:val="22"/>
        </w:rPr>
        <w:t>（《漢語大詞典》（三）</w:t>
      </w:r>
      <w:r w:rsidRPr="00412A9C">
        <w:rPr>
          <w:rFonts w:hint="eastAsia"/>
          <w:szCs w:val="22"/>
        </w:rPr>
        <w:t>，</w:t>
      </w:r>
      <w:r w:rsidRPr="00761EF3">
        <w:rPr>
          <w:szCs w:val="22"/>
        </w:rPr>
        <w:t>p</w:t>
      </w:r>
      <w:r w:rsidRPr="00412A9C">
        <w:rPr>
          <w:szCs w:val="22"/>
        </w:rPr>
        <w:t>.</w:t>
      </w:r>
      <w:r w:rsidRPr="00761EF3">
        <w:rPr>
          <w:szCs w:val="22"/>
        </w:rPr>
        <w:t>1254</w:t>
      </w:r>
      <w:r w:rsidRPr="00412A9C">
        <w:rPr>
          <w:szCs w:val="22"/>
        </w:rPr>
        <w:t>）</w:t>
      </w:r>
    </w:p>
  </w:footnote>
  <w:footnote w:id="1000">
    <w:p w:rsidR="00157EF6" w:rsidRPr="00412A9C" w:rsidRDefault="00157EF6" w:rsidP="00463CFF">
      <w:pPr>
        <w:pStyle w:val="a5"/>
        <w:spacing w:line="300" w:lineRule="exact"/>
        <w:ind w:left="187" w:hangingChars="85" w:hanging="187"/>
        <w:jc w:val="both"/>
        <w:rPr>
          <w:szCs w:val="22"/>
        </w:rPr>
      </w:pPr>
      <w:r w:rsidRPr="00412A9C">
        <w:rPr>
          <w:rStyle w:val="a6"/>
          <w:szCs w:val="22"/>
        </w:rPr>
        <w:footnoteRef/>
      </w:r>
      <w:r w:rsidRPr="00412A9C">
        <w:rPr>
          <w:szCs w:val="22"/>
        </w:rPr>
        <w:t xml:space="preserve"> </w:t>
      </w:r>
      <w:r w:rsidRPr="00DB5FC5">
        <w:rPr>
          <w:szCs w:val="22"/>
        </w:rPr>
        <w:t>本來面目</w:t>
      </w:r>
      <w:r w:rsidRPr="00412A9C">
        <w:rPr>
          <w:szCs w:val="22"/>
        </w:rPr>
        <w:t>：</w:t>
      </w:r>
      <w:r w:rsidRPr="00761EF3">
        <w:rPr>
          <w:szCs w:val="22"/>
        </w:rPr>
        <w:t>2</w:t>
      </w:r>
      <w:r w:rsidRPr="00412A9C">
        <w:rPr>
          <w:szCs w:val="22"/>
        </w:rPr>
        <w:t>.</w:t>
      </w:r>
      <w:r w:rsidRPr="00412A9C">
        <w:rPr>
          <w:szCs w:val="22"/>
        </w:rPr>
        <w:t>指人本有的心性。（《漢語大詞典》（四）</w:t>
      </w:r>
      <w:r w:rsidRPr="00412A9C">
        <w:rPr>
          <w:rFonts w:hint="eastAsia"/>
          <w:szCs w:val="22"/>
        </w:rPr>
        <w:t>，</w:t>
      </w:r>
      <w:r w:rsidRPr="00761EF3">
        <w:rPr>
          <w:szCs w:val="22"/>
        </w:rPr>
        <w:t>p</w:t>
      </w:r>
      <w:r w:rsidRPr="00412A9C">
        <w:rPr>
          <w:szCs w:val="22"/>
        </w:rPr>
        <w:t>.</w:t>
      </w:r>
      <w:r w:rsidRPr="00761EF3">
        <w:rPr>
          <w:szCs w:val="22"/>
        </w:rPr>
        <w:t>710</w:t>
      </w:r>
      <w:r w:rsidRPr="00412A9C">
        <w:rPr>
          <w:szCs w:val="22"/>
        </w:rPr>
        <w:t>）</w:t>
      </w:r>
    </w:p>
  </w:footnote>
  <w:footnote w:id="1001">
    <w:p w:rsidR="00157EF6" w:rsidRPr="00412A9C" w:rsidRDefault="00157EF6" w:rsidP="00463CFF">
      <w:pPr>
        <w:pStyle w:val="a5"/>
        <w:spacing w:line="300" w:lineRule="exact"/>
        <w:ind w:left="187" w:hangingChars="85" w:hanging="187"/>
        <w:jc w:val="both"/>
        <w:rPr>
          <w:szCs w:val="22"/>
        </w:rPr>
      </w:pPr>
      <w:r w:rsidRPr="00412A9C">
        <w:rPr>
          <w:rStyle w:val="a6"/>
          <w:szCs w:val="22"/>
        </w:rPr>
        <w:footnoteRef/>
      </w:r>
      <w:r w:rsidRPr="00412A9C">
        <w:rPr>
          <w:szCs w:val="22"/>
        </w:rPr>
        <w:t xml:space="preserve"> </w:t>
      </w:r>
      <w:r w:rsidRPr="00412A9C">
        <w:rPr>
          <w:rFonts w:hint="eastAsia"/>
          <w:szCs w:val="22"/>
        </w:rPr>
        <w:t>護法等造</w:t>
      </w:r>
      <w:r w:rsidRPr="00412A9C">
        <w:rPr>
          <w:szCs w:val="22"/>
        </w:rPr>
        <w:t>，</w:t>
      </w:r>
      <w:r w:rsidRPr="00412A9C">
        <w:rPr>
          <w:rFonts w:hint="eastAsia"/>
          <w:szCs w:val="22"/>
        </w:rPr>
        <w:t>《成唯識論》</w:t>
      </w:r>
      <w:r w:rsidRPr="00412A9C">
        <w:rPr>
          <w:szCs w:val="22"/>
        </w:rPr>
        <w:t>卷</w:t>
      </w:r>
      <w:r w:rsidRPr="00761EF3">
        <w:rPr>
          <w:szCs w:val="22"/>
        </w:rPr>
        <w:t>9</w:t>
      </w:r>
      <w:r w:rsidRPr="00412A9C">
        <w:rPr>
          <w:szCs w:val="22"/>
        </w:rPr>
        <w:t>（大正</w:t>
      </w:r>
      <w:r w:rsidRPr="00761EF3">
        <w:rPr>
          <w:szCs w:val="22"/>
        </w:rPr>
        <w:t>31</w:t>
      </w:r>
      <w:r w:rsidRPr="00412A9C">
        <w:rPr>
          <w:szCs w:val="22"/>
        </w:rPr>
        <w:t>，</w:t>
      </w:r>
      <w:r w:rsidRPr="00761EF3">
        <w:rPr>
          <w:szCs w:val="22"/>
        </w:rPr>
        <w:t>48b11</w:t>
      </w:r>
      <w:r w:rsidRPr="00412A9C">
        <w:rPr>
          <w:szCs w:val="22"/>
        </w:rPr>
        <w:t>-</w:t>
      </w:r>
      <w:r w:rsidRPr="00761EF3">
        <w:rPr>
          <w:szCs w:val="22"/>
        </w:rPr>
        <w:t>1</w:t>
      </w:r>
      <w:r w:rsidRPr="00761EF3">
        <w:rPr>
          <w:rFonts w:hint="eastAsia"/>
          <w:szCs w:val="22"/>
        </w:rPr>
        <w:t>5</w:t>
      </w:r>
      <w:r w:rsidRPr="00412A9C">
        <w:rPr>
          <w:szCs w:val="22"/>
        </w:rPr>
        <w:t>）：</w:t>
      </w:r>
    </w:p>
    <w:p w:rsidR="00F3001C" w:rsidRDefault="00157EF6" w:rsidP="00463CFF">
      <w:pPr>
        <w:overflowPunct w:val="0"/>
        <w:autoSpaceDE w:val="0"/>
        <w:autoSpaceDN w:val="0"/>
        <w:snapToGrid w:val="0"/>
        <w:spacing w:line="300" w:lineRule="exact"/>
        <w:ind w:leftChars="75" w:left="180"/>
        <w:jc w:val="both"/>
        <w:rPr>
          <w:rFonts w:ascii="標楷體" w:eastAsia="標楷體" w:hAnsi="標楷體"/>
          <w:sz w:val="22"/>
          <w:szCs w:val="22"/>
        </w:rPr>
      </w:pPr>
      <w:r w:rsidRPr="00412A9C">
        <w:rPr>
          <w:rFonts w:ascii="標楷體" w:eastAsia="標楷體" w:hAnsi="標楷體"/>
          <w:sz w:val="22"/>
          <w:szCs w:val="22"/>
        </w:rPr>
        <w:t>何謂悟入唯識五位</w:t>
      </w:r>
      <w:r w:rsidRPr="00412A9C">
        <w:rPr>
          <w:rFonts w:ascii="標楷體" w:eastAsia="標楷體" w:hAnsi="標楷體" w:hint="eastAsia"/>
          <w:sz w:val="22"/>
          <w:szCs w:val="22"/>
        </w:rPr>
        <w:t>？</w:t>
      </w:r>
    </w:p>
    <w:p w:rsidR="00157EF6" w:rsidRPr="00412A9C" w:rsidRDefault="00157EF6" w:rsidP="00463CFF">
      <w:pPr>
        <w:overflowPunct w:val="0"/>
        <w:autoSpaceDE w:val="0"/>
        <w:autoSpaceDN w:val="0"/>
        <w:snapToGrid w:val="0"/>
        <w:spacing w:line="300" w:lineRule="exact"/>
        <w:ind w:leftChars="75" w:left="180"/>
        <w:jc w:val="both"/>
        <w:rPr>
          <w:rFonts w:ascii="標楷體" w:eastAsia="標楷體" w:hAnsi="標楷體"/>
          <w:sz w:val="22"/>
          <w:szCs w:val="22"/>
        </w:rPr>
      </w:pPr>
      <w:r w:rsidRPr="00412A9C">
        <w:rPr>
          <w:rFonts w:ascii="標楷體" w:eastAsia="標楷體" w:hAnsi="標楷體"/>
          <w:sz w:val="22"/>
          <w:szCs w:val="22"/>
        </w:rPr>
        <w:t>一</w:t>
      </w:r>
      <w:r w:rsidRPr="00412A9C">
        <w:rPr>
          <w:rFonts w:ascii="標楷體" w:eastAsia="標楷體" w:hAnsi="標楷體" w:hint="eastAsia"/>
          <w:sz w:val="22"/>
          <w:szCs w:val="22"/>
        </w:rPr>
        <w:t>、</w:t>
      </w:r>
      <w:r w:rsidRPr="00412A9C">
        <w:rPr>
          <w:rFonts w:ascii="標楷體" w:eastAsia="標楷體" w:hAnsi="標楷體"/>
          <w:sz w:val="22"/>
          <w:szCs w:val="22"/>
        </w:rPr>
        <w:t>資糧位</w:t>
      </w:r>
      <w:r w:rsidRPr="00412A9C">
        <w:rPr>
          <w:rFonts w:ascii="標楷體" w:eastAsia="標楷體" w:hAnsi="標楷體" w:hint="eastAsia"/>
          <w:sz w:val="22"/>
          <w:szCs w:val="22"/>
        </w:rPr>
        <w:t>，</w:t>
      </w:r>
      <w:r w:rsidRPr="00412A9C">
        <w:rPr>
          <w:rFonts w:ascii="標楷體" w:eastAsia="標楷體" w:hAnsi="標楷體"/>
          <w:sz w:val="22"/>
          <w:szCs w:val="22"/>
        </w:rPr>
        <w:t>謂修大乘順解脫分</w:t>
      </w:r>
      <w:r w:rsidRPr="00412A9C">
        <w:rPr>
          <w:rFonts w:ascii="標楷體" w:eastAsia="標楷體" w:hAnsi="標楷體" w:hint="eastAsia"/>
          <w:sz w:val="22"/>
          <w:szCs w:val="22"/>
        </w:rPr>
        <w:t>；</w:t>
      </w:r>
      <w:r w:rsidRPr="00412A9C">
        <w:rPr>
          <w:rFonts w:ascii="標楷體" w:eastAsia="標楷體" w:hAnsi="標楷體"/>
          <w:sz w:val="22"/>
          <w:szCs w:val="22"/>
        </w:rPr>
        <w:t>二</w:t>
      </w:r>
      <w:r w:rsidRPr="00412A9C">
        <w:rPr>
          <w:rFonts w:ascii="標楷體" w:eastAsia="標楷體" w:hAnsi="標楷體" w:hint="eastAsia"/>
          <w:sz w:val="22"/>
          <w:szCs w:val="22"/>
        </w:rPr>
        <w:t>、</w:t>
      </w:r>
      <w:r w:rsidRPr="00412A9C">
        <w:rPr>
          <w:rFonts w:ascii="標楷體" w:eastAsia="標楷體" w:hAnsi="標楷體"/>
          <w:sz w:val="22"/>
          <w:szCs w:val="22"/>
        </w:rPr>
        <w:t>加行位</w:t>
      </w:r>
      <w:r w:rsidRPr="00412A9C">
        <w:rPr>
          <w:rFonts w:ascii="標楷體" w:eastAsia="標楷體" w:hAnsi="標楷體" w:hint="eastAsia"/>
          <w:sz w:val="22"/>
          <w:szCs w:val="22"/>
        </w:rPr>
        <w:t>，</w:t>
      </w:r>
      <w:r w:rsidRPr="00412A9C">
        <w:rPr>
          <w:rFonts w:ascii="標楷體" w:eastAsia="標楷體" w:hAnsi="標楷體"/>
          <w:sz w:val="22"/>
          <w:szCs w:val="22"/>
        </w:rPr>
        <w:t>謂修大乘順決擇分</w:t>
      </w:r>
      <w:r w:rsidRPr="00412A9C">
        <w:rPr>
          <w:rFonts w:ascii="標楷體" w:eastAsia="標楷體" w:hAnsi="標楷體" w:hint="eastAsia"/>
          <w:sz w:val="22"/>
          <w:szCs w:val="22"/>
        </w:rPr>
        <w:t>；</w:t>
      </w:r>
      <w:r w:rsidRPr="00412A9C">
        <w:rPr>
          <w:rFonts w:ascii="標楷體" w:eastAsia="標楷體" w:hAnsi="標楷體"/>
          <w:sz w:val="22"/>
          <w:szCs w:val="22"/>
        </w:rPr>
        <w:t>三</w:t>
      </w:r>
      <w:r w:rsidRPr="00412A9C">
        <w:rPr>
          <w:rFonts w:ascii="標楷體" w:eastAsia="標楷體" w:hAnsi="標楷體" w:hint="eastAsia"/>
          <w:sz w:val="22"/>
          <w:szCs w:val="22"/>
        </w:rPr>
        <w:t>、</w:t>
      </w:r>
      <w:r w:rsidRPr="00412A9C">
        <w:rPr>
          <w:rFonts w:ascii="標楷體" w:eastAsia="標楷體" w:hAnsi="標楷體"/>
          <w:sz w:val="22"/>
          <w:szCs w:val="22"/>
        </w:rPr>
        <w:t>通達位</w:t>
      </w:r>
      <w:r w:rsidRPr="00412A9C">
        <w:rPr>
          <w:rFonts w:ascii="標楷體" w:eastAsia="標楷體" w:hAnsi="標楷體" w:hint="eastAsia"/>
          <w:sz w:val="22"/>
          <w:szCs w:val="22"/>
        </w:rPr>
        <w:t>，</w:t>
      </w:r>
      <w:r w:rsidRPr="00412A9C">
        <w:rPr>
          <w:rFonts w:ascii="標楷體" w:eastAsia="標楷體" w:hAnsi="標楷體"/>
          <w:sz w:val="22"/>
          <w:szCs w:val="22"/>
        </w:rPr>
        <w:t>謂諸菩薩所住見道</w:t>
      </w:r>
      <w:r w:rsidRPr="00412A9C">
        <w:rPr>
          <w:rFonts w:ascii="標楷體" w:eastAsia="標楷體" w:hAnsi="標楷體" w:hint="eastAsia"/>
          <w:sz w:val="22"/>
          <w:szCs w:val="22"/>
        </w:rPr>
        <w:t>；</w:t>
      </w:r>
      <w:r w:rsidRPr="00412A9C">
        <w:rPr>
          <w:rFonts w:ascii="標楷體" w:eastAsia="標楷體" w:hAnsi="標楷體"/>
          <w:sz w:val="22"/>
          <w:szCs w:val="22"/>
        </w:rPr>
        <w:t>四</w:t>
      </w:r>
      <w:r w:rsidRPr="00412A9C">
        <w:rPr>
          <w:rFonts w:ascii="標楷體" w:eastAsia="標楷體" w:hAnsi="標楷體" w:hint="eastAsia"/>
          <w:sz w:val="22"/>
          <w:szCs w:val="22"/>
        </w:rPr>
        <w:t>、</w:t>
      </w:r>
      <w:r w:rsidRPr="00412A9C">
        <w:rPr>
          <w:rFonts w:ascii="標楷體" w:eastAsia="標楷體" w:hAnsi="標楷體"/>
          <w:sz w:val="22"/>
          <w:szCs w:val="22"/>
        </w:rPr>
        <w:t>修習位</w:t>
      </w:r>
      <w:r w:rsidRPr="00412A9C">
        <w:rPr>
          <w:rFonts w:ascii="標楷體" w:eastAsia="標楷體" w:hAnsi="標楷體" w:hint="eastAsia"/>
          <w:sz w:val="22"/>
          <w:szCs w:val="22"/>
        </w:rPr>
        <w:t>，</w:t>
      </w:r>
      <w:r w:rsidRPr="00412A9C">
        <w:rPr>
          <w:rFonts w:ascii="標楷體" w:eastAsia="標楷體" w:hAnsi="標楷體"/>
          <w:sz w:val="22"/>
          <w:szCs w:val="22"/>
        </w:rPr>
        <w:t>謂諸菩薩所住修道</w:t>
      </w:r>
      <w:r w:rsidRPr="00412A9C">
        <w:rPr>
          <w:rFonts w:ascii="標楷體" w:eastAsia="標楷體" w:hAnsi="標楷體" w:hint="eastAsia"/>
          <w:sz w:val="22"/>
          <w:szCs w:val="22"/>
        </w:rPr>
        <w:t>；</w:t>
      </w:r>
      <w:r w:rsidRPr="00412A9C">
        <w:rPr>
          <w:rFonts w:ascii="標楷體" w:eastAsia="標楷體" w:hAnsi="標楷體"/>
          <w:sz w:val="22"/>
          <w:szCs w:val="22"/>
        </w:rPr>
        <w:t>五</w:t>
      </w:r>
      <w:r w:rsidRPr="00412A9C">
        <w:rPr>
          <w:rFonts w:ascii="標楷體" w:eastAsia="標楷體" w:hAnsi="標楷體" w:hint="eastAsia"/>
          <w:sz w:val="22"/>
          <w:szCs w:val="22"/>
        </w:rPr>
        <w:t>、</w:t>
      </w:r>
      <w:r w:rsidRPr="00412A9C">
        <w:rPr>
          <w:rFonts w:ascii="標楷體" w:eastAsia="標楷體" w:hAnsi="標楷體"/>
          <w:sz w:val="22"/>
          <w:szCs w:val="22"/>
        </w:rPr>
        <w:t>究竟位</w:t>
      </w:r>
      <w:r w:rsidRPr="00412A9C">
        <w:rPr>
          <w:rFonts w:ascii="標楷體" w:eastAsia="標楷體" w:hAnsi="標楷體" w:hint="eastAsia"/>
          <w:sz w:val="22"/>
          <w:szCs w:val="22"/>
        </w:rPr>
        <w:t>，謂住無上正等菩提。</w:t>
      </w:r>
    </w:p>
  </w:footnote>
  <w:footnote w:id="1002">
    <w:p w:rsidR="00157EF6" w:rsidRPr="00412A9C" w:rsidRDefault="00157EF6" w:rsidP="00463CFF">
      <w:pPr>
        <w:pStyle w:val="a5"/>
        <w:spacing w:line="300" w:lineRule="exact"/>
        <w:ind w:left="187" w:hangingChars="85" w:hanging="187"/>
        <w:jc w:val="both"/>
        <w:rPr>
          <w:szCs w:val="22"/>
        </w:rPr>
      </w:pPr>
      <w:r w:rsidRPr="00412A9C">
        <w:rPr>
          <w:rStyle w:val="a6"/>
          <w:szCs w:val="22"/>
        </w:rPr>
        <w:footnoteRef/>
      </w:r>
      <w:r w:rsidRPr="00412A9C">
        <w:rPr>
          <w:szCs w:val="22"/>
        </w:rPr>
        <w:t xml:space="preserve"> </w:t>
      </w:r>
      <w:r w:rsidRPr="00412A9C">
        <w:rPr>
          <w:szCs w:val="22"/>
        </w:rPr>
        <w:t>護法等造，《成唯識論》卷</w:t>
      </w:r>
      <w:r w:rsidRPr="00761EF3">
        <w:rPr>
          <w:szCs w:val="22"/>
        </w:rPr>
        <w:t>9</w:t>
      </w:r>
      <w:r w:rsidRPr="00412A9C">
        <w:rPr>
          <w:szCs w:val="22"/>
        </w:rPr>
        <w:t>（大正</w:t>
      </w:r>
      <w:r w:rsidRPr="00761EF3">
        <w:rPr>
          <w:szCs w:val="22"/>
        </w:rPr>
        <w:t>31</w:t>
      </w:r>
      <w:r w:rsidRPr="00412A9C">
        <w:rPr>
          <w:szCs w:val="22"/>
        </w:rPr>
        <w:t>，</w:t>
      </w:r>
      <w:r w:rsidRPr="00761EF3">
        <w:rPr>
          <w:szCs w:val="22"/>
        </w:rPr>
        <w:t>48c29</w:t>
      </w:r>
      <w:r w:rsidRPr="00412A9C">
        <w:rPr>
          <w:szCs w:val="22"/>
        </w:rPr>
        <w:t>-</w:t>
      </w:r>
      <w:r w:rsidRPr="00761EF3">
        <w:rPr>
          <w:szCs w:val="22"/>
        </w:rPr>
        <w:t>49a13</w:t>
      </w:r>
      <w:r w:rsidRPr="00412A9C">
        <w:rPr>
          <w:szCs w:val="22"/>
        </w:rPr>
        <w:t>）：</w:t>
      </w:r>
    </w:p>
    <w:p w:rsidR="00F3001C" w:rsidRDefault="00157EF6" w:rsidP="00463CFF">
      <w:pPr>
        <w:overflowPunct w:val="0"/>
        <w:autoSpaceDE w:val="0"/>
        <w:autoSpaceDN w:val="0"/>
        <w:snapToGrid w:val="0"/>
        <w:spacing w:line="300" w:lineRule="exact"/>
        <w:ind w:leftChars="75" w:left="180"/>
        <w:jc w:val="both"/>
        <w:rPr>
          <w:rFonts w:ascii="Times New Roman" w:eastAsia="標楷體" w:hAnsi="Times New Roman"/>
          <w:sz w:val="22"/>
          <w:szCs w:val="22"/>
        </w:rPr>
      </w:pPr>
      <w:r w:rsidRPr="00412A9C">
        <w:rPr>
          <w:rFonts w:ascii="Times New Roman" w:eastAsia="標楷體" w:hAnsi="Times New Roman"/>
          <w:sz w:val="22"/>
          <w:szCs w:val="22"/>
        </w:rPr>
        <w:t>菩薩住此</w:t>
      </w:r>
      <w:r w:rsidRPr="00412A9C">
        <w:rPr>
          <w:rFonts w:ascii="Times New Roman" w:eastAsia="標楷體" w:hAnsi="Times New Roman"/>
          <w:b/>
          <w:sz w:val="22"/>
          <w:szCs w:val="22"/>
        </w:rPr>
        <w:t>資糧位</w:t>
      </w:r>
      <w:r w:rsidRPr="00412A9C">
        <w:rPr>
          <w:rFonts w:ascii="Times New Roman" w:eastAsia="標楷體" w:hAnsi="Times New Roman"/>
          <w:sz w:val="22"/>
          <w:szCs w:val="22"/>
        </w:rPr>
        <w:t>中，二麤現行雖有伏者，而於細者及二隨眠，止觀力微，未能伏滅。此位未證唯識真如，依勝解力修諸勝行，應知亦是</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sz w:val="22"/>
          <w:szCs w:val="22"/>
        </w:rPr>
        <w:t>解行地</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sz w:val="22"/>
          <w:szCs w:val="22"/>
        </w:rPr>
        <w:t>攝。</w:t>
      </w:r>
    </w:p>
    <w:p w:rsidR="00F3001C" w:rsidRDefault="00157EF6" w:rsidP="00463CFF">
      <w:pPr>
        <w:overflowPunct w:val="0"/>
        <w:autoSpaceDE w:val="0"/>
        <w:autoSpaceDN w:val="0"/>
        <w:snapToGrid w:val="0"/>
        <w:spacing w:line="300" w:lineRule="exact"/>
        <w:ind w:leftChars="75" w:left="180"/>
        <w:jc w:val="both"/>
        <w:rPr>
          <w:rFonts w:ascii="Times New Roman" w:eastAsia="標楷體" w:hAnsi="Times New Roman"/>
          <w:sz w:val="22"/>
          <w:szCs w:val="22"/>
        </w:rPr>
      </w:pPr>
      <w:r w:rsidRPr="00412A9C">
        <w:rPr>
          <w:rFonts w:ascii="Times New Roman" w:eastAsia="標楷體" w:hAnsi="Times New Roman"/>
          <w:sz w:val="22"/>
          <w:szCs w:val="22"/>
        </w:rPr>
        <w:t>所修勝行</w:t>
      </w:r>
      <w:r w:rsidR="00F3001C">
        <w:rPr>
          <w:rFonts w:ascii="標楷體" w:eastAsia="標楷體" w:hAnsi="標楷體" w:hint="eastAsia"/>
          <w:color w:val="FF0000"/>
          <w:kern w:val="0"/>
          <w:sz w:val="22"/>
          <w:highlight w:val="yellow"/>
        </w:rPr>
        <w:t>，</w:t>
      </w:r>
      <w:r w:rsidRPr="00412A9C">
        <w:rPr>
          <w:rFonts w:ascii="Times New Roman" w:eastAsia="標楷體" w:hAnsi="Times New Roman"/>
          <w:sz w:val="22"/>
          <w:szCs w:val="22"/>
        </w:rPr>
        <w:t>其相云何？</w:t>
      </w:r>
    </w:p>
    <w:p w:rsidR="00F3001C" w:rsidRDefault="00157EF6" w:rsidP="00463CFF">
      <w:pPr>
        <w:overflowPunct w:val="0"/>
        <w:autoSpaceDE w:val="0"/>
        <w:autoSpaceDN w:val="0"/>
        <w:snapToGrid w:val="0"/>
        <w:spacing w:line="300" w:lineRule="exact"/>
        <w:ind w:leftChars="75" w:left="180"/>
        <w:jc w:val="both"/>
        <w:rPr>
          <w:rFonts w:ascii="Times New Roman" w:eastAsia="標楷體" w:hAnsi="Times New Roman"/>
          <w:b/>
          <w:sz w:val="22"/>
          <w:szCs w:val="22"/>
        </w:rPr>
      </w:pPr>
      <w:r w:rsidRPr="00412A9C">
        <w:rPr>
          <w:rFonts w:ascii="Times New Roman" w:eastAsia="標楷體" w:hAnsi="Times New Roman"/>
          <w:b/>
          <w:sz w:val="22"/>
          <w:szCs w:val="22"/>
        </w:rPr>
        <w:t>略有二種，謂</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b/>
          <w:sz w:val="22"/>
          <w:szCs w:val="22"/>
        </w:rPr>
        <w:t>福</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b/>
          <w:sz w:val="22"/>
          <w:szCs w:val="22"/>
        </w:rPr>
        <w:t>及</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b/>
          <w:sz w:val="22"/>
          <w:szCs w:val="22"/>
        </w:rPr>
        <w:t>智</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b/>
          <w:sz w:val="22"/>
          <w:szCs w:val="22"/>
        </w:rPr>
        <w:t>。諸勝行中</w:t>
      </w:r>
      <w:r w:rsidR="00F3001C">
        <w:rPr>
          <w:rFonts w:ascii="標楷體" w:eastAsia="標楷體" w:hAnsi="標楷體" w:hint="eastAsia"/>
          <w:color w:val="FF0000"/>
          <w:kern w:val="0"/>
          <w:sz w:val="22"/>
          <w:highlight w:val="yellow"/>
        </w:rPr>
        <w:t>，</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b/>
          <w:sz w:val="22"/>
          <w:szCs w:val="22"/>
        </w:rPr>
        <w:t>慧</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b/>
          <w:sz w:val="22"/>
          <w:szCs w:val="22"/>
        </w:rPr>
        <w:t>為性者皆名為</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b/>
          <w:sz w:val="22"/>
          <w:szCs w:val="22"/>
        </w:rPr>
        <w:t>智</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b/>
          <w:sz w:val="22"/>
          <w:szCs w:val="22"/>
        </w:rPr>
        <w:t>，餘名為</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b/>
          <w:sz w:val="22"/>
          <w:szCs w:val="22"/>
        </w:rPr>
        <w:t>福</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hint="eastAsia"/>
          <w:sz w:val="22"/>
          <w:szCs w:val="22"/>
        </w:rPr>
        <w:t>。</w:t>
      </w:r>
      <w:r w:rsidRPr="00412A9C">
        <w:rPr>
          <w:rFonts w:ascii="Times New Roman" w:eastAsia="標楷體" w:hAnsi="Times New Roman"/>
          <w:b/>
          <w:sz w:val="22"/>
          <w:szCs w:val="22"/>
        </w:rPr>
        <w:t>且依</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b/>
          <w:sz w:val="22"/>
          <w:szCs w:val="22"/>
        </w:rPr>
        <w:t>六種波羅蜜多</w:t>
      </w:r>
      <w:r w:rsidR="00F3001C">
        <w:rPr>
          <w:rFonts w:ascii="標楷體" w:eastAsia="標楷體" w:hAnsi="標楷體" w:hint="eastAsia"/>
          <w:bCs/>
          <w:color w:val="FF0000"/>
          <w:kern w:val="0"/>
          <w:sz w:val="22"/>
          <w:highlight w:val="yellow"/>
        </w:rPr>
        <w:t>」</w:t>
      </w:r>
      <w:r w:rsidR="00F3001C">
        <w:rPr>
          <w:rFonts w:ascii="標楷體" w:eastAsia="標楷體" w:hAnsi="標楷體" w:hint="eastAsia"/>
          <w:color w:val="FF0000"/>
          <w:spacing w:val="-4"/>
          <w:kern w:val="0"/>
          <w:sz w:val="22"/>
          <w:highlight w:val="yellow"/>
        </w:rPr>
        <w:t>：</w:t>
      </w:r>
      <w:r w:rsidRPr="00412A9C">
        <w:rPr>
          <w:rFonts w:ascii="Times New Roman" w:eastAsia="標楷體" w:hAnsi="Times New Roman"/>
          <w:b/>
          <w:sz w:val="22"/>
          <w:szCs w:val="22"/>
        </w:rPr>
        <w:t>通相</w:t>
      </w:r>
      <w:r w:rsidR="00F3001C">
        <w:rPr>
          <w:rFonts w:ascii="標楷體" w:eastAsia="標楷體" w:hAnsi="標楷體" w:hint="eastAsia"/>
          <w:color w:val="FF0000"/>
          <w:kern w:val="0"/>
          <w:sz w:val="22"/>
          <w:highlight w:val="yellow"/>
        </w:rPr>
        <w:t>，</w:t>
      </w:r>
      <w:r w:rsidRPr="00412A9C">
        <w:rPr>
          <w:rFonts w:ascii="Times New Roman" w:eastAsia="標楷體" w:hAnsi="Times New Roman"/>
          <w:b/>
          <w:sz w:val="22"/>
          <w:szCs w:val="22"/>
        </w:rPr>
        <w:t>皆二</w:t>
      </w:r>
      <w:r w:rsidR="00F3001C">
        <w:rPr>
          <w:rFonts w:ascii="標楷體" w:eastAsia="標楷體" w:hAnsi="標楷體" w:hint="eastAsia"/>
          <w:color w:val="FF0000"/>
          <w:spacing w:val="-4"/>
          <w:kern w:val="0"/>
          <w:sz w:val="22"/>
          <w:highlight w:val="yellow"/>
        </w:rPr>
        <w:t>；</w:t>
      </w:r>
      <w:r w:rsidRPr="00412A9C">
        <w:rPr>
          <w:rFonts w:ascii="Times New Roman" w:eastAsia="標楷體" w:hAnsi="Times New Roman"/>
          <w:b/>
          <w:sz w:val="22"/>
          <w:szCs w:val="22"/>
        </w:rPr>
        <w:t>別相</w:t>
      </w:r>
      <w:r w:rsidR="00F3001C">
        <w:rPr>
          <w:rFonts w:ascii="標楷體" w:eastAsia="標楷體" w:hAnsi="標楷體" w:hint="eastAsia"/>
          <w:color w:val="FF0000"/>
          <w:kern w:val="0"/>
          <w:sz w:val="22"/>
          <w:highlight w:val="yellow"/>
        </w:rPr>
        <w:t>──</w:t>
      </w:r>
      <w:r w:rsidRPr="00412A9C">
        <w:rPr>
          <w:rFonts w:ascii="Times New Roman" w:eastAsia="標楷體" w:hAnsi="Times New Roman"/>
          <w:b/>
          <w:sz w:val="22"/>
          <w:szCs w:val="22"/>
        </w:rPr>
        <w:t>前五說為</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b/>
          <w:sz w:val="22"/>
          <w:szCs w:val="22"/>
        </w:rPr>
        <w:t>福德</w:t>
      </w:r>
      <w:r w:rsidR="00F3001C">
        <w:rPr>
          <w:rFonts w:ascii="標楷體" w:eastAsia="標楷體" w:hAnsi="標楷體" w:hint="eastAsia"/>
          <w:bCs/>
          <w:color w:val="FF0000"/>
          <w:kern w:val="0"/>
          <w:sz w:val="22"/>
          <w:highlight w:val="yellow"/>
        </w:rPr>
        <w:t>」</w:t>
      </w:r>
      <w:r w:rsidR="00F3001C">
        <w:rPr>
          <w:rFonts w:ascii="標楷體" w:eastAsia="標楷體" w:hAnsi="標楷體" w:hint="eastAsia"/>
          <w:color w:val="FF0000"/>
          <w:spacing w:val="-4"/>
          <w:kern w:val="0"/>
          <w:sz w:val="22"/>
          <w:highlight w:val="yellow"/>
        </w:rPr>
        <w:t>；</w:t>
      </w:r>
      <w:r w:rsidRPr="00412A9C">
        <w:rPr>
          <w:rFonts w:ascii="Times New Roman" w:eastAsia="標楷體" w:hAnsi="Times New Roman"/>
          <w:b/>
          <w:sz w:val="22"/>
          <w:szCs w:val="22"/>
        </w:rPr>
        <w:t>第六</w:t>
      </w:r>
      <w:r w:rsidR="00F3001C">
        <w:rPr>
          <w:rFonts w:ascii="Times New Roman" w:eastAsia="標楷體" w:hAnsi="Times New Roman" w:hint="eastAsia"/>
          <w:b/>
          <w:sz w:val="22"/>
          <w:szCs w:val="22"/>
        </w:rPr>
        <w:t>，</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b/>
          <w:sz w:val="22"/>
          <w:szCs w:val="22"/>
        </w:rPr>
        <w:t>智慧</w:t>
      </w:r>
      <w:r w:rsidR="00F3001C">
        <w:rPr>
          <w:rFonts w:ascii="標楷體" w:eastAsia="標楷體" w:hAnsi="標楷體" w:hint="eastAsia"/>
          <w:bCs/>
          <w:color w:val="FF0000"/>
          <w:kern w:val="0"/>
          <w:sz w:val="22"/>
          <w:highlight w:val="yellow"/>
        </w:rPr>
        <w:t>」</w:t>
      </w:r>
      <w:r w:rsidR="003A3115">
        <w:rPr>
          <w:rFonts w:ascii="Times New Roman" w:eastAsia="標楷體" w:hAnsi="Times New Roman" w:hint="eastAsia"/>
          <w:b/>
          <w:color w:val="FF0000"/>
          <w:sz w:val="22"/>
          <w:szCs w:val="22"/>
          <w:highlight w:val="yellow"/>
        </w:rPr>
        <w:t>。</w:t>
      </w:r>
      <w:r w:rsidRPr="00412A9C">
        <w:rPr>
          <w:rFonts w:ascii="Times New Roman" w:eastAsia="標楷體" w:hAnsi="Times New Roman"/>
          <w:b/>
          <w:sz w:val="22"/>
          <w:szCs w:val="22"/>
        </w:rPr>
        <w:t>或復前三唯</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b/>
          <w:sz w:val="22"/>
          <w:szCs w:val="22"/>
        </w:rPr>
        <w:t>福德</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b/>
          <w:sz w:val="22"/>
          <w:szCs w:val="22"/>
        </w:rPr>
        <w:t>攝，後一唯</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b/>
          <w:sz w:val="22"/>
          <w:szCs w:val="22"/>
        </w:rPr>
        <w:t>智</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b/>
          <w:sz w:val="22"/>
          <w:szCs w:val="22"/>
        </w:rPr>
        <w:t>，餘通二種。</w:t>
      </w:r>
    </w:p>
    <w:p w:rsidR="00F3001C" w:rsidRDefault="00157EF6" w:rsidP="00463CFF">
      <w:pPr>
        <w:overflowPunct w:val="0"/>
        <w:autoSpaceDE w:val="0"/>
        <w:autoSpaceDN w:val="0"/>
        <w:snapToGrid w:val="0"/>
        <w:spacing w:line="300" w:lineRule="exact"/>
        <w:ind w:leftChars="75" w:left="180"/>
        <w:jc w:val="both"/>
        <w:rPr>
          <w:rFonts w:ascii="Times New Roman" w:eastAsia="標楷體" w:hAnsi="Times New Roman"/>
          <w:sz w:val="22"/>
          <w:szCs w:val="22"/>
        </w:rPr>
      </w:pPr>
      <w:r w:rsidRPr="00412A9C">
        <w:rPr>
          <w:rFonts w:ascii="Times New Roman" w:eastAsia="標楷體" w:hAnsi="Times New Roman"/>
          <w:sz w:val="22"/>
          <w:szCs w:val="22"/>
        </w:rPr>
        <w:t>復有二種，謂利</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sz w:val="22"/>
          <w:szCs w:val="22"/>
        </w:rPr>
        <w:t>自</w:t>
      </w:r>
      <w:r w:rsidR="00F3001C">
        <w:rPr>
          <w:rFonts w:ascii="標楷體" w:eastAsia="標楷體" w:hAnsi="標楷體" w:hint="eastAsia"/>
          <w:color w:val="FF0000"/>
          <w:spacing w:val="-4"/>
          <w:kern w:val="0"/>
          <w:sz w:val="22"/>
          <w:highlight w:val="yellow"/>
        </w:rPr>
        <w:t>、</w:t>
      </w:r>
      <w:r w:rsidRPr="00412A9C">
        <w:rPr>
          <w:rFonts w:ascii="Times New Roman" w:eastAsia="標楷體" w:hAnsi="Times New Roman"/>
          <w:sz w:val="22"/>
          <w:szCs w:val="22"/>
        </w:rPr>
        <w:t>他</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sz w:val="22"/>
          <w:szCs w:val="22"/>
        </w:rPr>
        <w:t>。所修勝行，隨意樂力，一切皆通</w:t>
      </w:r>
      <w:r w:rsidR="00F3001C">
        <w:rPr>
          <w:rFonts w:ascii="標楷體" w:eastAsia="標楷體" w:hAnsi="標楷體" w:hint="eastAsia"/>
          <w:bCs/>
          <w:color w:val="FF0000"/>
          <w:kern w:val="0"/>
          <w:sz w:val="22"/>
          <w:highlight w:val="yellow"/>
        </w:rPr>
        <w:t>「</w:t>
      </w:r>
      <w:r w:rsidR="00F3001C">
        <w:rPr>
          <w:rFonts w:ascii="標楷體" w:eastAsia="標楷體" w:hAnsi="標楷體" w:hint="eastAsia"/>
          <w:color w:val="FF0000"/>
          <w:kern w:val="0"/>
          <w:sz w:val="22"/>
          <w:highlight w:val="yellow"/>
        </w:rPr>
        <w:t>『</w:t>
      </w:r>
      <w:r w:rsidRPr="00412A9C">
        <w:rPr>
          <w:rFonts w:ascii="Times New Roman" w:eastAsia="標楷體" w:hAnsi="Times New Roman"/>
          <w:sz w:val="22"/>
          <w:szCs w:val="22"/>
        </w:rPr>
        <w:t>自</w:t>
      </w:r>
      <w:r w:rsidR="00F3001C">
        <w:rPr>
          <w:rFonts w:ascii="標楷體" w:eastAsia="標楷體" w:hAnsi="標楷體" w:hint="eastAsia"/>
          <w:color w:val="FF0000"/>
          <w:spacing w:val="-4"/>
          <w:kern w:val="0"/>
          <w:sz w:val="22"/>
          <w:highlight w:val="yellow"/>
        </w:rPr>
        <w:t>、</w:t>
      </w:r>
      <w:r w:rsidRPr="00412A9C">
        <w:rPr>
          <w:rFonts w:ascii="Times New Roman" w:eastAsia="標楷體" w:hAnsi="Times New Roman"/>
          <w:sz w:val="22"/>
          <w:szCs w:val="22"/>
        </w:rPr>
        <w:t>他</w:t>
      </w:r>
      <w:r w:rsidR="00F3001C">
        <w:rPr>
          <w:rFonts w:ascii="標楷體" w:eastAsia="標楷體" w:hAnsi="標楷體" w:hint="eastAsia"/>
          <w:color w:val="FF0000"/>
          <w:kern w:val="0"/>
          <w:sz w:val="22"/>
          <w:highlight w:val="yellow"/>
        </w:rPr>
        <w:t>』</w:t>
      </w:r>
      <w:r w:rsidRPr="00412A9C">
        <w:rPr>
          <w:rFonts w:ascii="Times New Roman" w:eastAsia="標楷體" w:hAnsi="Times New Roman"/>
          <w:sz w:val="22"/>
          <w:szCs w:val="22"/>
        </w:rPr>
        <w:t>利行</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sz w:val="22"/>
          <w:szCs w:val="22"/>
        </w:rPr>
        <w:t>；依別相說</w:t>
      </w:r>
      <w:r w:rsidR="00F3001C">
        <w:rPr>
          <w:rFonts w:ascii="標楷體" w:eastAsia="標楷體" w:hAnsi="標楷體" w:hint="eastAsia"/>
          <w:color w:val="FF0000"/>
          <w:spacing w:val="-4"/>
          <w:kern w:val="0"/>
          <w:sz w:val="22"/>
          <w:highlight w:val="yellow"/>
        </w:rPr>
        <w:t>：</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sz w:val="22"/>
          <w:szCs w:val="22"/>
        </w:rPr>
        <w:t>六到彼岸、菩提分</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sz w:val="22"/>
          <w:szCs w:val="22"/>
        </w:rPr>
        <w:t>等</w:t>
      </w:r>
      <w:r w:rsidR="00F3001C">
        <w:rPr>
          <w:rFonts w:ascii="標楷體" w:eastAsia="標楷體" w:hAnsi="標楷體" w:hint="eastAsia"/>
          <w:color w:val="FF0000"/>
          <w:kern w:val="0"/>
          <w:sz w:val="22"/>
          <w:highlight w:val="yellow"/>
        </w:rPr>
        <w:t>，</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sz w:val="22"/>
          <w:szCs w:val="22"/>
        </w:rPr>
        <w:t>自利行</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sz w:val="22"/>
          <w:szCs w:val="22"/>
        </w:rPr>
        <w:t>攝</w:t>
      </w:r>
      <w:r w:rsidR="00F3001C">
        <w:rPr>
          <w:rFonts w:ascii="標楷體" w:eastAsia="標楷體" w:hAnsi="標楷體" w:hint="eastAsia"/>
          <w:color w:val="FF0000"/>
          <w:spacing w:val="-4"/>
          <w:kern w:val="0"/>
          <w:sz w:val="22"/>
          <w:highlight w:val="yellow"/>
        </w:rPr>
        <w:t>；</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sz w:val="22"/>
          <w:szCs w:val="22"/>
        </w:rPr>
        <w:t>四種攝事、四無量</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sz w:val="22"/>
          <w:szCs w:val="22"/>
        </w:rPr>
        <w:t>等</w:t>
      </w:r>
      <w:r w:rsidR="00F3001C">
        <w:rPr>
          <w:rFonts w:ascii="標楷體" w:eastAsia="標楷體" w:hAnsi="標楷體" w:hint="eastAsia"/>
          <w:color w:val="FF0000"/>
          <w:kern w:val="0"/>
          <w:sz w:val="22"/>
          <w:highlight w:val="yellow"/>
        </w:rPr>
        <w:t>，</w:t>
      </w:r>
      <w:r w:rsidRPr="00412A9C">
        <w:rPr>
          <w:rFonts w:ascii="Times New Roman" w:eastAsia="標楷體" w:hAnsi="Times New Roman"/>
          <w:sz w:val="22"/>
          <w:szCs w:val="22"/>
        </w:rPr>
        <w:t>一切皆是</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sz w:val="22"/>
          <w:szCs w:val="22"/>
        </w:rPr>
        <w:t>利他行</w:t>
      </w:r>
      <w:r w:rsidR="00F3001C">
        <w:rPr>
          <w:rFonts w:ascii="標楷體" w:eastAsia="標楷體" w:hAnsi="標楷體" w:hint="eastAsia"/>
          <w:bCs/>
          <w:color w:val="FF0000"/>
          <w:kern w:val="0"/>
          <w:sz w:val="22"/>
          <w:highlight w:val="yellow"/>
        </w:rPr>
        <w:t>」</w:t>
      </w:r>
      <w:r w:rsidRPr="00412A9C">
        <w:rPr>
          <w:rFonts w:ascii="Times New Roman" w:eastAsia="標楷體" w:hAnsi="Times New Roman"/>
          <w:sz w:val="22"/>
          <w:szCs w:val="22"/>
        </w:rPr>
        <w:t>攝。</w:t>
      </w:r>
    </w:p>
    <w:p w:rsidR="00157EF6" w:rsidRPr="00412A9C" w:rsidRDefault="00157EF6" w:rsidP="00463CFF">
      <w:pPr>
        <w:overflowPunct w:val="0"/>
        <w:autoSpaceDE w:val="0"/>
        <w:autoSpaceDN w:val="0"/>
        <w:snapToGrid w:val="0"/>
        <w:spacing w:line="300" w:lineRule="exact"/>
        <w:ind w:leftChars="75" w:left="180"/>
        <w:jc w:val="both"/>
        <w:rPr>
          <w:rFonts w:ascii="Times New Roman" w:eastAsia="標楷體" w:hAnsi="Times New Roman"/>
          <w:sz w:val="22"/>
          <w:szCs w:val="22"/>
        </w:rPr>
      </w:pPr>
      <w:r w:rsidRPr="00412A9C">
        <w:rPr>
          <w:rFonts w:ascii="Times New Roman" w:eastAsia="標楷體" w:hAnsi="Times New Roman"/>
          <w:sz w:val="22"/>
          <w:szCs w:val="22"/>
        </w:rPr>
        <w:t>如是等行，差別無邊，皆是此中所修勝行。</w:t>
      </w:r>
    </w:p>
  </w:footnote>
  <w:footnote w:id="1003">
    <w:p w:rsidR="00157EF6" w:rsidRPr="00412A9C" w:rsidRDefault="00157EF6" w:rsidP="00AA120F">
      <w:pPr>
        <w:pStyle w:val="a5"/>
        <w:ind w:left="187" w:hangingChars="85" w:hanging="187"/>
        <w:jc w:val="both"/>
        <w:rPr>
          <w:kern w:val="0"/>
          <w:szCs w:val="22"/>
        </w:rPr>
      </w:pPr>
      <w:r w:rsidRPr="00412A9C">
        <w:rPr>
          <w:rStyle w:val="a6"/>
          <w:szCs w:val="22"/>
        </w:rPr>
        <w:footnoteRef/>
      </w:r>
      <w:r w:rsidRPr="00412A9C">
        <w:rPr>
          <w:kern w:val="0"/>
          <w:szCs w:val="22"/>
        </w:rPr>
        <w:t xml:space="preserve"> </w:t>
      </w:r>
      <w:r w:rsidRPr="00412A9C">
        <w:rPr>
          <w:szCs w:val="22"/>
        </w:rPr>
        <w:t>《大智度論》卷</w:t>
      </w:r>
      <w:r w:rsidRPr="00761EF3">
        <w:rPr>
          <w:szCs w:val="22"/>
        </w:rPr>
        <w:t>18</w:t>
      </w:r>
      <w:r w:rsidRPr="00412A9C">
        <w:rPr>
          <w:szCs w:val="22"/>
        </w:rPr>
        <w:t>（大正</w:t>
      </w:r>
      <w:r w:rsidRPr="00761EF3">
        <w:rPr>
          <w:szCs w:val="22"/>
        </w:rPr>
        <w:t>25</w:t>
      </w:r>
      <w:r w:rsidRPr="00412A9C">
        <w:rPr>
          <w:szCs w:val="22"/>
        </w:rPr>
        <w:t>，</w:t>
      </w:r>
      <w:r w:rsidRPr="00761EF3">
        <w:rPr>
          <w:szCs w:val="22"/>
        </w:rPr>
        <w:t>194a15</w:t>
      </w:r>
      <w:r w:rsidRPr="00412A9C">
        <w:rPr>
          <w:szCs w:val="22"/>
        </w:rPr>
        <w:t>-</w:t>
      </w:r>
      <w:r w:rsidRPr="00761EF3">
        <w:rPr>
          <w:szCs w:val="22"/>
        </w:rPr>
        <w:t>25</w:t>
      </w:r>
      <w:r w:rsidRPr="00412A9C">
        <w:rPr>
          <w:szCs w:val="22"/>
        </w:rPr>
        <w:t>）：</w:t>
      </w:r>
    </w:p>
    <w:p w:rsidR="00F3001C" w:rsidRDefault="00157EF6" w:rsidP="00AA120F">
      <w:pPr>
        <w:pStyle w:val="a5"/>
        <w:overflowPunct w:val="0"/>
        <w:autoSpaceDE w:val="0"/>
        <w:autoSpaceDN w:val="0"/>
        <w:ind w:leftChars="75" w:left="180"/>
        <w:jc w:val="both"/>
        <w:rPr>
          <w:rFonts w:eastAsia="標楷體"/>
          <w:b/>
          <w:szCs w:val="22"/>
        </w:rPr>
      </w:pPr>
      <w:r w:rsidRPr="00412A9C">
        <w:rPr>
          <w:rFonts w:eastAsia="標楷體"/>
          <w:szCs w:val="22"/>
        </w:rPr>
        <w:t>復次，</w:t>
      </w:r>
      <w:r w:rsidRPr="00412A9C">
        <w:rPr>
          <w:rFonts w:eastAsia="標楷體"/>
          <w:b/>
          <w:szCs w:val="22"/>
        </w:rPr>
        <w:t>觀真空人，先有無量布施、持戒、禪定，其心柔軟，諸結使薄，然後得真空。邪見中無此事，但欲以憶想分別邪心取空。</w:t>
      </w:r>
    </w:p>
    <w:p w:rsidR="00157EF6" w:rsidRPr="00412A9C" w:rsidRDefault="00157EF6" w:rsidP="00AA120F">
      <w:pPr>
        <w:pStyle w:val="a5"/>
        <w:overflowPunct w:val="0"/>
        <w:autoSpaceDE w:val="0"/>
        <w:autoSpaceDN w:val="0"/>
        <w:ind w:leftChars="75" w:left="180"/>
        <w:jc w:val="both"/>
        <w:rPr>
          <w:rFonts w:eastAsia="標楷體"/>
          <w:szCs w:val="22"/>
        </w:rPr>
      </w:pPr>
      <w:r w:rsidRPr="00F3001C">
        <w:rPr>
          <w:rFonts w:eastAsia="標楷體"/>
          <w:szCs w:val="22"/>
          <w:highlight w:val="yellow"/>
        </w:rPr>
        <w:t>譬</w:t>
      </w:r>
      <w:r w:rsidRPr="00412A9C">
        <w:rPr>
          <w:rFonts w:eastAsia="標楷體"/>
          <w:szCs w:val="22"/>
        </w:rPr>
        <w:t>如田舍人，初不識鹽，見貴人以鹽著種種肉菜中而食，問言：</w:t>
      </w:r>
      <w:r w:rsidRPr="00412A9C">
        <w:rPr>
          <w:rFonts w:eastAsia="標楷體" w:hint="eastAsia"/>
          <w:szCs w:val="22"/>
        </w:rPr>
        <w:t>「</w:t>
      </w:r>
      <w:r w:rsidRPr="00412A9C">
        <w:rPr>
          <w:rFonts w:eastAsia="標楷體"/>
          <w:szCs w:val="22"/>
        </w:rPr>
        <w:t>何以故爾？</w:t>
      </w:r>
      <w:r w:rsidRPr="00412A9C">
        <w:rPr>
          <w:rFonts w:eastAsia="標楷體" w:hint="eastAsia"/>
          <w:szCs w:val="22"/>
        </w:rPr>
        <w:t>」</w:t>
      </w:r>
    </w:p>
    <w:p w:rsidR="00157EF6" w:rsidRPr="00412A9C" w:rsidRDefault="00157EF6" w:rsidP="00AA120F">
      <w:pPr>
        <w:pStyle w:val="a5"/>
        <w:overflowPunct w:val="0"/>
        <w:autoSpaceDE w:val="0"/>
        <w:autoSpaceDN w:val="0"/>
        <w:ind w:leftChars="75" w:left="180"/>
        <w:jc w:val="both"/>
        <w:rPr>
          <w:rFonts w:eastAsia="標楷體"/>
          <w:szCs w:val="22"/>
        </w:rPr>
      </w:pPr>
      <w:r w:rsidRPr="00412A9C">
        <w:rPr>
          <w:rFonts w:eastAsia="標楷體"/>
          <w:szCs w:val="22"/>
        </w:rPr>
        <w:t>語言：</w:t>
      </w:r>
      <w:r w:rsidRPr="00412A9C">
        <w:rPr>
          <w:rFonts w:eastAsia="標楷體" w:hint="eastAsia"/>
          <w:szCs w:val="22"/>
        </w:rPr>
        <w:t>「</w:t>
      </w:r>
      <w:r w:rsidRPr="00412A9C">
        <w:rPr>
          <w:rFonts w:eastAsia="標楷體"/>
          <w:szCs w:val="22"/>
        </w:rPr>
        <w:t>此鹽能令諸物味美故。</w:t>
      </w:r>
      <w:r w:rsidRPr="00412A9C">
        <w:rPr>
          <w:rFonts w:eastAsia="標楷體" w:hint="eastAsia"/>
          <w:szCs w:val="22"/>
        </w:rPr>
        <w:t>」</w:t>
      </w:r>
    </w:p>
    <w:p w:rsidR="00157EF6" w:rsidRPr="00412A9C" w:rsidRDefault="00157EF6" w:rsidP="00AA120F">
      <w:pPr>
        <w:pStyle w:val="a5"/>
        <w:overflowPunct w:val="0"/>
        <w:autoSpaceDE w:val="0"/>
        <w:autoSpaceDN w:val="0"/>
        <w:ind w:leftChars="75" w:left="180"/>
        <w:jc w:val="both"/>
        <w:rPr>
          <w:rFonts w:eastAsia="標楷體"/>
          <w:szCs w:val="22"/>
        </w:rPr>
      </w:pPr>
      <w:r w:rsidRPr="00412A9C">
        <w:rPr>
          <w:rFonts w:eastAsia="標楷體"/>
          <w:szCs w:val="22"/>
        </w:rPr>
        <w:t>此人便念此鹽能令諸物美，自味必多，便空抄鹽，滿口食之，鹹苦傷口</w:t>
      </w:r>
      <w:r w:rsidRPr="00412A9C">
        <w:rPr>
          <w:rFonts w:eastAsia="標楷體" w:hint="eastAsia"/>
          <w:szCs w:val="22"/>
        </w:rPr>
        <w:t>，</w:t>
      </w:r>
      <w:r w:rsidRPr="00412A9C">
        <w:rPr>
          <w:rFonts w:eastAsia="標楷體"/>
          <w:szCs w:val="22"/>
        </w:rPr>
        <w:t>而問言：</w:t>
      </w:r>
      <w:r w:rsidRPr="00412A9C">
        <w:rPr>
          <w:rFonts w:eastAsia="標楷體" w:hint="eastAsia"/>
          <w:szCs w:val="22"/>
        </w:rPr>
        <w:t>「</w:t>
      </w:r>
      <w:r w:rsidRPr="00412A9C">
        <w:rPr>
          <w:rFonts w:eastAsia="標楷體"/>
          <w:szCs w:val="22"/>
        </w:rPr>
        <w:t>汝何以言鹽能作美？</w:t>
      </w:r>
      <w:r w:rsidRPr="00412A9C">
        <w:rPr>
          <w:rFonts w:eastAsia="標楷體" w:hint="eastAsia"/>
          <w:szCs w:val="22"/>
        </w:rPr>
        <w:t>」</w:t>
      </w:r>
    </w:p>
    <w:p w:rsidR="00157EF6" w:rsidRPr="00412A9C" w:rsidRDefault="00157EF6" w:rsidP="00AA120F">
      <w:pPr>
        <w:pStyle w:val="a5"/>
        <w:overflowPunct w:val="0"/>
        <w:autoSpaceDE w:val="0"/>
        <w:autoSpaceDN w:val="0"/>
        <w:ind w:leftChars="75" w:left="180"/>
        <w:jc w:val="both"/>
        <w:rPr>
          <w:rFonts w:eastAsia="標楷體"/>
          <w:szCs w:val="22"/>
        </w:rPr>
      </w:pPr>
      <w:r w:rsidRPr="00412A9C">
        <w:rPr>
          <w:rFonts w:eastAsia="標楷體"/>
          <w:szCs w:val="22"/>
        </w:rPr>
        <w:t>貴人言：</w:t>
      </w:r>
      <w:r w:rsidRPr="00412A9C">
        <w:rPr>
          <w:rFonts w:eastAsia="標楷體" w:hint="eastAsia"/>
          <w:szCs w:val="22"/>
        </w:rPr>
        <w:t>「</w:t>
      </w:r>
      <w:r w:rsidRPr="00412A9C">
        <w:rPr>
          <w:rFonts w:eastAsia="標楷體"/>
          <w:szCs w:val="22"/>
        </w:rPr>
        <w:t>癡人！此當籌量多少，和之令美，云何純食鹽？</w:t>
      </w:r>
      <w:r w:rsidRPr="00412A9C">
        <w:rPr>
          <w:rFonts w:eastAsia="標楷體" w:hint="eastAsia"/>
          <w:szCs w:val="22"/>
        </w:rPr>
        <w:t>」</w:t>
      </w:r>
    </w:p>
    <w:p w:rsidR="00157EF6" w:rsidRPr="00412A9C" w:rsidRDefault="00157EF6" w:rsidP="00AA120F">
      <w:pPr>
        <w:pStyle w:val="a5"/>
        <w:overflowPunct w:val="0"/>
        <w:autoSpaceDE w:val="0"/>
        <w:autoSpaceDN w:val="0"/>
        <w:ind w:leftChars="75" w:left="180"/>
        <w:jc w:val="both"/>
        <w:rPr>
          <w:rFonts w:eastAsia="標楷體"/>
          <w:szCs w:val="22"/>
        </w:rPr>
      </w:pPr>
      <w:r w:rsidRPr="00412A9C">
        <w:rPr>
          <w:rFonts w:eastAsia="標楷體"/>
          <w:b/>
          <w:szCs w:val="22"/>
        </w:rPr>
        <w:t>無智人聞空解脫門，不行諸功德，但欲得空</w:t>
      </w:r>
      <w:r w:rsidR="00F3001C">
        <w:rPr>
          <w:rFonts w:ascii="標楷體" w:eastAsia="標楷體" w:hAnsi="標楷體" w:hint="eastAsia"/>
          <w:color w:val="FF0000"/>
          <w:kern w:val="0"/>
          <w:highlight w:val="yellow"/>
        </w:rPr>
        <w:t>──</w:t>
      </w:r>
      <w:r w:rsidRPr="00412A9C">
        <w:rPr>
          <w:rFonts w:eastAsia="標楷體"/>
          <w:b/>
          <w:szCs w:val="22"/>
        </w:rPr>
        <w:t>是為邪見，斷諸善根</w:t>
      </w:r>
      <w:r w:rsidRPr="00412A9C">
        <w:rPr>
          <w:rFonts w:eastAsia="標楷體"/>
          <w:szCs w:val="22"/>
        </w:rPr>
        <w:t>。</w:t>
      </w:r>
    </w:p>
  </w:footnote>
  <w:footnote w:id="1004">
    <w:p w:rsidR="00157EF6" w:rsidRPr="00412A9C" w:rsidRDefault="00157EF6" w:rsidP="00AA120F">
      <w:pPr>
        <w:pStyle w:val="a5"/>
        <w:ind w:left="187" w:hangingChars="85" w:hanging="187"/>
        <w:jc w:val="both"/>
        <w:rPr>
          <w:szCs w:val="22"/>
        </w:rPr>
      </w:pPr>
      <w:r w:rsidRPr="00412A9C">
        <w:rPr>
          <w:rStyle w:val="a6"/>
          <w:szCs w:val="22"/>
        </w:rPr>
        <w:footnoteRef/>
      </w:r>
      <w:r w:rsidRPr="00412A9C">
        <w:rPr>
          <w:szCs w:val="22"/>
        </w:rPr>
        <w:t xml:space="preserve"> </w:t>
      </w:r>
      <w:r w:rsidRPr="00412A9C">
        <w:rPr>
          <w:szCs w:val="22"/>
        </w:rPr>
        <w:t>印順法師，《中觀今論》</w:t>
      </w:r>
      <w:r w:rsidRPr="00412A9C">
        <w:rPr>
          <w:rFonts w:hint="eastAsia"/>
          <w:szCs w:val="22"/>
        </w:rPr>
        <w:t>，第</w:t>
      </w:r>
      <w:r w:rsidRPr="00761EF3">
        <w:rPr>
          <w:rFonts w:hint="eastAsia"/>
          <w:szCs w:val="22"/>
        </w:rPr>
        <w:t>9</w:t>
      </w:r>
      <w:r w:rsidRPr="00412A9C">
        <w:rPr>
          <w:rFonts w:hint="eastAsia"/>
          <w:szCs w:val="22"/>
        </w:rPr>
        <w:t>章</w:t>
      </w:r>
      <w:r w:rsidRPr="00412A9C">
        <w:rPr>
          <w:rFonts w:eastAsia="標楷體"/>
          <w:szCs w:val="22"/>
        </w:rPr>
        <w:t>．</w:t>
      </w:r>
      <w:r w:rsidRPr="00412A9C">
        <w:rPr>
          <w:rFonts w:hint="eastAsia"/>
          <w:szCs w:val="22"/>
        </w:rPr>
        <w:t>第</w:t>
      </w:r>
      <w:r w:rsidRPr="00761EF3">
        <w:rPr>
          <w:rFonts w:hint="eastAsia"/>
          <w:szCs w:val="22"/>
        </w:rPr>
        <w:t>2</w:t>
      </w:r>
      <w:r w:rsidRPr="00412A9C">
        <w:rPr>
          <w:rFonts w:hint="eastAsia"/>
          <w:szCs w:val="22"/>
        </w:rPr>
        <w:t>節〈即、離、中道〉，</w:t>
      </w:r>
      <w:r w:rsidRPr="00761EF3">
        <w:rPr>
          <w:szCs w:val="22"/>
        </w:rPr>
        <w:t>p</w:t>
      </w:r>
      <w:r w:rsidRPr="00412A9C">
        <w:rPr>
          <w:szCs w:val="22"/>
        </w:rPr>
        <w:t>.</w:t>
      </w:r>
      <w:r w:rsidRPr="00761EF3">
        <w:rPr>
          <w:szCs w:val="22"/>
        </w:rPr>
        <w:t>195</w:t>
      </w:r>
      <w:r w:rsidRPr="00412A9C">
        <w:rPr>
          <w:szCs w:val="22"/>
        </w:rPr>
        <w:t>：</w:t>
      </w:r>
    </w:p>
    <w:p w:rsidR="00157EF6" w:rsidRPr="00412A9C" w:rsidRDefault="00157EF6" w:rsidP="00AA120F">
      <w:pPr>
        <w:pStyle w:val="a5"/>
        <w:overflowPunct w:val="0"/>
        <w:autoSpaceDE w:val="0"/>
        <w:autoSpaceDN w:val="0"/>
        <w:ind w:leftChars="75" w:left="180"/>
        <w:jc w:val="both"/>
        <w:rPr>
          <w:rFonts w:eastAsia="標楷體"/>
          <w:szCs w:val="22"/>
        </w:rPr>
      </w:pPr>
      <w:r w:rsidRPr="00412A9C">
        <w:rPr>
          <w:rFonts w:eastAsia="標楷體"/>
          <w:szCs w:val="22"/>
        </w:rPr>
        <w:t>若就修行體悟說，這只有二類：</w:t>
      </w:r>
      <w:r>
        <w:rPr>
          <w:rFonts w:eastAsia="標楷體"/>
          <w:szCs w:val="22"/>
        </w:rPr>
        <w:t>（</w:t>
      </w:r>
      <w:r w:rsidRPr="00412A9C">
        <w:rPr>
          <w:rFonts w:eastAsia="標楷體"/>
          <w:szCs w:val="22"/>
        </w:rPr>
        <w:t>一</w:t>
      </w:r>
      <w:r>
        <w:rPr>
          <w:rFonts w:eastAsia="標楷體"/>
          <w:szCs w:val="22"/>
        </w:rPr>
        <w:t>）</w:t>
      </w:r>
      <w:r w:rsidRPr="00412A9C">
        <w:rPr>
          <w:rFonts w:eastAsia="標楷體"/>
          <w:szCs w:val="22"/>
        </w:rPr>
        <w:t>悟真諦，</w:t>
      </w:r>
      <w:r>
        <w:rPr>
          <w:rFonts w:eastAsia="標楷體"/>
          <w:szCs w:val="22"/>
        </w:rPr>
        <w:t>（</w:t>
      </w:r>
      <w:r w:rsidRPr="00412A9C">
        <w:rPr>
          <w:rFonts w:eastAsia="標楷體"/>
          <w:szCs w:val="22"/>
        </w:rPr>
        <w:t>二</w:t>
      </w:r>
      <w:r>
        <w:rPr>
          <w:rFonts w:eastAsia="標楷體"/>
          <w:szCs w:val="22"/>
        </w:rPr>
        <w:t>）</w:t>
      </w:r>
      <w:r w:rsidRPr="00412A9C">
        <w:rPr>
          <w:rFonts w:eastAsia="標楷體"/>
          <w:szCs w:val="22"/>
        </w:rPr>
        <w:t>悟中諦。</w:t>
      </w:r>
    </w:p>
    <w:p w:rsidR="00157EF6" w:rsidRPr="00C917F3" w:rsidRDefault="00157EF6" w:rsidP="00AA120F">
      <w:pPr>
        <w:pStyle w:val="a5"/>
        <w:overflowPunct w:val="0"/>
        <w:autoSpaceDE w:val="0"/>
        <w:autoSpaceDN w:val="0"/>
        <w:ind w:leftChars="75" w:left="180"/>
        <w:jc w:val="both"/>
        <w:rPr>
          <w:rFonts w:eastAsia="標楷體"/>
          <w:szCs w:val="22"/>
        </w:rPr>
      </w:pPr>
      <w:r w:rsidRPr="00412A9C">
        <w:rPr>
          <w:rFonts w:eastAsia="標楷體"/>
          <w:b/>
          <w:szCs w:val="22"/>
        </w:rPr>
        <w:t>悟真諦</w:t>
      </w:r>
      <w:r w:rsidRPr="00412A9C">
        <w:rPr>
          <w:rFonts w:eastAsia="標楷體"/>
          <w:szCs w:val="22"/>
        </w:rPr>
        <w:t>是：體悟第一義諦時，一切差別現象皆不顯現，唯有平等一味之理，是名</w:t>
      </w:r>
      <w:r w:rsidRPr="00412A9C">
        <w:rPr>
          <w:rFonts w:eastAsia="標楷體"/>
          <w:b/>
          <w:szCs w:val="22"/>
        </w:rPr>
        <w:t>但空、偏真</w:t>
      </w:r>
      <w:r w:rsidRPr="00412A9C">
        <w:rPr>
          <w:rFonts w:eastAsia="標楷體"/>
          <w:szCs w:val="22"/>
        </w:rPr>
        <w:t>。</w:t>
      </w:r>
      <w:r w:rsidRPr="00412A9C">
        <w:rPr>
          <w:rFonts w:eastAsia="標楷體"/>
          <w:b/>
          <w:szCs w:val="22"/>
        </w:rPr>
        <w:t>悟中諦</w:t>
      </w:r>
      <w:r w:rsidRPr="00412A9C">
        <w:rPr>
          <w:rFonts w:eastAsia="標楷體"/>
          <w:szCs w:val="22"/>
        </w:rPr>
        <w:t>是：悟得理性平等一如，而當下即是差別宛然的現象；現象</w:t>
      </w:r>
      <w:r w:rsidRPr="00C917F3">
        <w:rPr>
          <w:rFonts w:eastAsia="標楷體"/>
          <w:szCs w:val="22"/>
        </w:rPr>
        <w:t>差別宛然，而當下即是寂滅平等。</w:t>
      </w:r>
    </w:p>
    <w:p w:rsidR="00157EF6" w:rsidRPr="00412A9C" w:rsidRDefault="00157EF6" w:rsidP="00AE3920">
      <w:pPr>
        <w:pStyle w:val="a5"/>
        <w:overflowPunct w:val="0"/>
        <w:autoSpaceDE w:val="0"/>
        <w:autoSpaceDN w:val="0"/>
        <w:spacing w:beforeLines="20"/>
        <w:ind w:leftChars="75" w:left="180"/>
        <w:jc w:val="both"/>
        <w:rPr>
          <w:rFonts w:eastAsia="標楷體"/>
          <w:szCs w:val="22"/>
        </w:rPr>
      </w:pPr>
      <w:r w:rsidRPr="00C917F3">
        <w:rPr>
          <w:rFonts w:eastAsia="標楷體"/>
          <w:szCs w:val="22"/>
        </w:rPr>
        <w:t>真理，從智慧的體證說，不外悟偏真與圓中。中，即是統一切法，即假即空而即中的。</w:t>
      </w:r>
      <w:r w:rsidRPr="00412A9C">
        <w:rPr>
          <w:rFonts w:eastAsia="標楷體"/>
          <w:szCs w:val="22"/>
        </w:rPr>
        <w:t>臺宗的說明，不一定與其他的宗派相同，但確有其意義。</w:t>
      </w:r>
      <w:r w:rsidRPr="00412A9C">
        <w:rPr>
          <w:rFonts w:eastAsia="標楷體"/>
          <w:b/>
          <w:szCs w:val="22"/>
        </w:rPr>
        <w:t>悟偏真</w:t>
      </w:r>
      <w:r w:rsidRPr="00412A9C">
        <w:rPr>
          <w:rFonts w:eastAsia="標楷體"/>
          <w:szCs w:val="22"/>
        </w:rPr>
        <w:t>，現象與本性是不相即的；</w:t>
      </w:r>
      <w:r w:rsidRPr="00412A9C">
        <w:rPr>
          <w:rFonts w:eastAsia="標楷體"/>
          <w:b/>
          <w:szCs w:val="22"/>
        </w:rPr>
        <w:t>悟圓中</w:t>
      </w:r>
      <w:r w:rsidRPr="00412A9C">
        <w:rPr>
          <w:rFonts w:eastAsia="標楷體"/>
          <w:szCs w:val="22"/>
        </w:rPr>
        <w:t>，假與空是相即的。但這是從悟境而方便說明的，在如實的悟證時，決不執取為是即是離的。</w:t>
      </w:r>
    </w:p>
  </w:footnote>
  <w:footnote w:id="1005">
    <w:p w:rsidR="00157EF6" w:rsidRPr="00412A9C" w:rsidRDefault="00157EF6" w:rsidP="00AA120F">
      <w:pPr>
        <w:pStyle w:val="a5"/>
        <w:spacing w:line="0" w:lineRule="atLeast"/>
        <w:ind w:left="253" w:hangingChars="115" w:hanging="253"/>
        <w:jc w:val="both"/>
        <w:rPr>
          <w:rFonts w:eastAsia="SimSun"/>
          <w:szCs w:val="22"/>
        </w:rPr>
      </w:pPr>
      <w:r w:rsidRPr="00412A9C">
        <w:rPr>
          <w:rStyle w:val="a6"/>
          <w:szCs w:val="22"/>
        </w:rPr>
        <w:footnoteRef/>
      </w:r>
      <w:r w:rsidRPr="00412A9C">
        <w:rPr>
          <w:rFonts w:eastAsia="SimSun"/>
          <w:szCs w:val="22"/>
        </w:rPr>
        <w:t xml:space="preserve"> </w:t>
      </w:r>
      <w:r w:rsidRPr="00412A9C">
        <w:rPr>
          <w:szCs w:val="22"/>
        </w:rPr>
        <w:t>印順法師，《佛法概論》</w:t>
      </w:r>
      <w:r w:rsidRPr="00412A9C">
        <w:rPr>
          <w:rFonts w:hint="eastAsia"/>
          <w:szCs w:val="22"/>
        </w:rPr>
        <w:t>，</w:t>
      </w:r>
      <w:r w:rsidRPr="00761EF3">
        <w:rPr>
          <w:szCs w:val="22"/>
        </w:rPr>
        <w:t>p</w:t>
      </w:r>
      <w:r w:rsidRPr="00412A9C">
        <w:rPr>
          <w:rFonts w:eastAsia="SimSun"/>
          <w:szCs w:val="22"/>
        </w:rPr>
        <w:t>.</w:t>
      </w:r>
      <w:r w:rsidRPr="00761EF3">
        <w:rPr>
          <w:szCs w:val="22"/>
        </w:rPr>
        <w:t>268</w:t>
      </w:r>
      <w:r w:rsidRPr="00412A9C">
        <w:rPr>
          <w:szCs w:val="22"/>
        </w:rPr>
        <w:t>：</w:t>
      </w:r>
    </w:p>
    <w:p w:rsidR="00157EF6" w:rsidRPr="00412A9C" w:rsidRDefault="00157EF6" w:rsidP="00AA120F">
      <w:pPr>
        <w:pStyle w:val="a5"/>
        <w:ind w:leftChars="105" w:left="252"/>
        <w:jc w:val="both"/>
        <w:rPr>
          <w:rFonts w:eastAsia="標楷體"/>
          <w:b/>
          <w:szCs w:val="22"/>
        </w:rPr>
      </w:pPr>
      <w:r w:rsidRPr="00412A9C">
        <w:rPr>
          <w:rFonts w:eastAsia="標楷體"/>
          <w:szCs w:val="22"/>
        </w:rPr>
        <w:t>佛陀的正覺，</w:t>
      </w:r>
      <w:r w:rsidRPr="00412A9C">
        <w:rPr>
          <w:rFonts w:eastAsia="標楷體"/>
          <w:b/>
          <w:szCs w:val="22"/>
        </w:rPr>
        <w:t>不但契合緣起的空性，更能透達緣起的幻有。慈悲利他的德行，更能發揮出來</w:t>
      </w:r>
      <w:r w:rsidRPr="00412A9C">
        <w:rPr>
          <w:rFonts w:eastAsia="標楷體"/>
          <w:szCs w:val="22"/>
        </w:rPr>
        <w:t>，不像聲聞那樣僅是消極的無諍行。人間佛陀的</w:t>
      </w:r>
      <w:r w:rsidRPr="00412A9C">
        <w:rPr>
          <w:rFonts w:eastAsia="標楷體"/>
          <w:b/>
          <w:szCs w:val="22"/>
        </w:rPr>
        <w:t>無上正遍覺，應從真俗無礙，悲智相應中去說明與聲聞的差別。</w:t>
      </w:r>
    </w:p>
  </w:footnote>
  <w:footnote w:id="1006">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szCs w:val="22"/>
        </w:rPr>
        <w:t>正軌：</w:t>
      </w:r>
      <w:r w:rsidRPr="00761EF3">
        <w:rPr>
          <w:szCs w:val="22"/>
        </w:rPr>
        <w:t>2</w:t>
      </w:r>
      <w:r w:rsidRPr="00412A9C">
        <w:rPr>
          <w:szCs w:val="22"/>
        </w:rPr>
        <w:t>.</w:t>
      </w:r>
      <w:r w:rsidRPr="00412A9C">
        <w:rPr>
          <w:szCs w:val="22"/>
        </w:rPr>
        <w:t>正道，正當的途徑。（《漢語大詞典》（五）</w:t>
      </w:r>
      <w:r w:rsidRPr="00412A9C">
        <w:rPr>
          <w:rFonts w:hint="eastAsia"/>
          <w:szCs w:val="22"/>
        </w:rPr>
        <w:t>，</w:t>
      </w:r>
      <w:r w:rsidRPr="00761EF3">
        <w:rPr>
          <w:szCs w:val="22"/>
        </w:rPr>
        <w:t>p</w:t>
      </w:r>
      <w:r w:rsidRPr="00412A9C">
        <w:rPr>
          <w:szCs w:val="22"/>
        </w:rPr>
        <w:t>.</w:t>
      </w:r>
      <w:r w:rsidRPr="00761EF3">
        <w:rPr>
          <w:szCs w:val="22"/>
        </w:rPr>
        <w:t>315</w:t>
      </w:r>
      <w:r w:rsidRPr="00412A9C">
        <w:rPr>
          <w:szCs w:val="22"/>
        </w:rPr>
        <w:t>）</w:t>
      </w:r>
    </w:p>
  </w:footnote>
  <w:footnote w:id="1007">
    <w:p w:rsidR="00157EF6" w:rsidRPr="00E72E58" w:rsidRDefault="00157EF6" w:rsidP="00AA120F">
      <w:pPr>
        <w:pStyle w:val="a5"/>
        <w:spacing w:line="0" w:lineRule="atLeast"/>
        <w:ind w:left="792" w:hangingChars="360" w:hanging="792"/>
        <w:jc w:val="both"/>
        <w:rPr>
          <w:rFonts w:cs="新細明體"/>
          <w:spacing w:val="6"/>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w:t>
      </w:r>
      <w:r w:rsidRPr="00E72E58">
        <w:rPr>
          <w:spacing w:val="6"/>
          <w:szCs w:val="22"/>
        </w:rPr>
        <w:t>參見</w:t>
      </w:r>
      <w:r w:rsidR="00523F45">
        <w:rPr>
          <w:rFonts w:hint="eastAsia"/>
          <w:spacing w:val="6"/>
          <w:szCs w:val="22"/>
        </w:rPr>
        <w:t>：</w:t>
      </w:r>
      <w:r w:rsidRPr="00E72E58">
        <w:rPr>
          <w:spacing w:val="6"/>
          <w:szCs w:val="22"/>
        </w:rPr>
        <w:t>印順</w:t>
      </w:r>
      <w:r w:rsidRPr="00E72E58">
        <w:rPr>
          <w:rFonts w:hint="eastAsia"/>
          <w:spacing w:val="6"/>
          <w:szCs w:val="22"/>
        </w:rPr>
        <w:t>法師</w:t>
      </w:r>
      <w:r w:rsidRPr="00E72E58">
        <w:rPr>
          <w:spacing w:val="6"/>
          <w:szCs w:val="22"/>
        </w:rPr>
        <w:t>，《中觀今論》</w:t>
      </w:r>
      <w:r w:rsidRPr="00E72E58">
        <w:rPr>
          <w:rFonts w:hint="eastAsia"/>
          <w:spacing w:val="6"/>
          <w:szCs w:val="22"/>
        </w:rPr>
        <w:t>，</w:t>
      </w:r>
      <w:r w:rsidRPr="00E72E58">
        <w:rPr>
          <w:spacing w:val="6"/>
          <w:szCs w:val="22"/>
        </w:rPr>
        <w:t>第</w:t>
      </w:r>
      <w:r w:rsidRPr="00761EF3">
        <w:rPr>
          <w:rFonts w:hint="eastAsia"/>
          <w:spacing w:val="6"/>
          <w:szCs w:val="22"/>
        </w:rPr>
        <w:t>9</w:t>
      </w:r>
      <w:r w:rsidRPr="00E72E58">
        <w:rPr>
          <w:spacing w:val="6"/>
          <w:szCs w:val="22"/>
        </w:rPr>
        <w:t>章</w:t>
      </w:r>
      <w:r w:rsidRPr="00E72E58">
        <w:rPr>
          <w:rFonts w:eastAsia="標楷體"/>
          <w:spacing w:val="6"/>
          <w:szCs w:val="22"/>
        </w:rPr>
        <w:t>．</w:t>
      </w:r>
      <w:r w:rsidRPr="00E72E58">
        <w:rPr>
          <w:spacing w:val="6"/>
          <w:szCs w:val="22"/>
        </w:rPr>
        <w:t>第</w:t>
      </w:r>
      <w:r w:rsidRPr="00761EF3">
        <w:rPr>
          <w:rFonts w:hint="eastAsia"/>
          <w:spacing w:val="6"/>
          <w:szCs w:val="22"/>
        </w:rPr>
        <w:t>1</w:t>
      </w:r>
      <w:r w:rsidRPr="00E72E58">
        <w:rPr>
          <w:spacing w:val="6"/>
          <w:szCs w:val="22"/>
        </w:rPr>
        <w:t>節〈太過</w:t>
      </w:r>
      <w:r w:rsidRPr="00E72E58">
        <w:rPr>
          <w:rFonts w:cs="新細明體" w:hint="eastAsia"/>
          <w:spacing w:val="6"/>
          <w:szCs w:val="22"/>
        </w:rPr>
        <w:t>、</w:t>
      </w:r>
      <w:r w:rsidRPr="00E72E58">
        <w:rPr>
          <w:spacing w:val="6"/>
          <w:szCs w:val="22"/>
        </w:rPr>
        <w:t>不及</w:t>
      </w:r>
      <w:r w:rsidRPr="00E72E58">
        <w:rPr>
          <w:rFonts w:hint="eastAsia"/>
          <w:spacing w:val="6"/>
          <w:szCs w:val="22"/>
        </w:rPr>
        <w:t>、</w:t>
      </w:r>
      <w:r w:rsidRPr="00E72E58">
        <w:rPr>
          <w:spacing w:val="6"/>
          <w:szCs w:val="22"/>
        </w:rPr>
        <w:t>中道〉，</w:t>
      </w:r>
      <w:r w:rsidRPr="00761EF3">
        <w:rPr>
          <w:spacing w:val="6"/>
          <w:szCs w:val="22"/>
        </w:rPr>
        <w:t>pp</w:t>
      </w:r>
      <w:r w:rsidRPr="00E72E58">
        <w:rPr>
          <w:spacing w:val="6"/>
          <w:szCs w:val="22"/>
        </w:rPr>
        <w:t>.</w:t>
      </w:r>
      <w:r w:rsidRPr="00761EF3">
        <w:rPr>
          <w:spacing w:val="6"/>
          <w:szCs w:val="22"/>
        </w:rPr>
        <w:t>183</w:t>
      </w:r>
      <w:r w:rsidRPr="00E72E58">
        <w:rPr>
          <w:spacing w:val="6"/>
          <w:szCs w:val="22"/>
        </w:rPr>
        <w:t>-</w:t>
      </w:r>
      <w:r w:rsidRPr="00761EF3">
        <w:rPr>
          <w:spacing w:val="6"/>
          <w:szCs w:val="22"/>
        </w:rPr>
        <w:t>184</w:t>
      </w:r>
      <w:r w:rsidRPr="00E72E58">
        <w:rPr>
          <w:spacing w:val="6"/>
          <w:szCs w:val="22"/>
        </w:rPr>
        <w:t>。</w:t>
      </w:r>
    </w:p>
    <w:p w:rsidR="00157EF6" w:rsidRPr="00412A9C" w:rsidRDefault="00157EF6" w:rsidP="00AA120F">
      <w:pPr>
        <w:pStyle w:val="a5"/>
        <w:ind w:leftChars="105" w:left="791" w:hangingChars="245" w:hanging="539"/>
        <w:jc w:val="both"/>
        <w:rPr>
          <w:szCs w:val="22"/>
        </w:rPr>
      </w:pPr>
      <w:r w:rsidRPr="00412A9C">
        <w:rPr>
          <w:kern w:val="0"/>
          <w:szCs w:val="22"/>
        </w:rPr>
        <w:t>（</w:t>
      </w:r>
      <w:r w:rsidRPr="00761EF3">
        <w:rPr>
          <w:kern w:val="0"/>
          <w:szCs w:val="22"/>
        </w:rPr>
        <w:t>2</w:t>
      </w:r>
      <w:r w:rsidRPr="00412A9C">
        <w:rPr>
          <w:kern w:val="0"/>
          <w:szCs w:val="22"/>
        </w:rPr>
        <w:t>）</w:t>
      </w:r>
      <w:r w:rsidRPr="00412A9C">
        <w:rPr>
          <w:rFonts w:hint="eastAsia"/>
          <w:szCs w:val="22"/>
        </w:rPr>
        <w:t>宗喀巴</w:t>
      </w:r>
      <w:r>
        <w:rPr>
          <w:rFonts w:hint="eastAsia"/>
          <w:szCs w:val="22"/>
        </w:rPr>
        <w:t>造</w:t>
      </w:r>
      <w:r w:rsidRPr="00412A9C">
        <w:rPr>
          <w:rFonts w:hint="eastAsia"/>
          <w:szCs w:val="22"/>
        </w:rPr>
        <w:t>，法尊譯，</w:t>
      </w:r>
      <w:r w:rsidRPr="00557422">
        <w:rPr>
          <w:rFonts w:hint="eastAsia"/>
          <w:kern w:val="0"/>
          <w:szCs w:val="22"/>
        </w:rPr>
        <w:t>《菩提道次第廣論》</w:t>
      </w:r>
      <w:r w:rsidRPr="00412A9C">
        <w:rPr>
          <w:kern w:val="0"/>
          <w:szCs w:val="22"/>
        </w:rPr>
        <w:t>卷</w:t>
      </w:r>
      <w:r w:rsidRPr="00761EF3">
        <w:rPr>
          <w:kern w:val="0"/>
          <w:szCs w:val="22"/>
        </w:rPr>
        <w:t>17</w:t>
      </w:r>
      <w:r w:rsidRPr="00412A9C">
        <w:rPr>
          <w:rFonts w:hint="eastAsia"/>
          <w:kern w:val="0"/>
          <w:szCs w:val="22"/>
        </w:rPr>
        <w:t>，</w:t>
      </w:r>
      <w:r w:rsidR="00AD14BF">
        <w:rPr>
          <w:rFonts w:hint="eastAsia"/>
          <w:kern w:val="0"/>
          <w:szCs w:val="22"/>
        </w:rPr>
        <w:t>台北，福智之聲</w:t>
      </w:r>
      <w:r w:rsidRPr="00412A9C">
        <w:rPr>
          <w:kern w:val="0"/>
          <w:szCs w:val="22"/>
        </w:rPr>
        <w:t>出版社，</w:t>
      </w:r>
      <w:r w:rsidRPr="00761EF3">
        <w:rPr>
          <w:kern w:val="0"/>
          <w:szCs w:val="22"/>
        </w:rPr>
        <w:t>p</w:t>
      </w:r>
      <w:r w:rsidRPr="00412A9C">
        <w:rPr>
          <w:kern w:val="0"/>
          <w:szCs w:val="22"/>
        </w:rPr>
        <w:t>.</w:t>
      </w:r>
      <w:r w:rsidRPr="00761EF3">
        <w:rPr>
          <w:kern w:val="0"/>
          <w:szCs w:val="22"/>
        </w:rPr>
        <w:t>404</w:t>
      </w:r>
      <w:r w:rsidRPr="00412A9C">
        <w:rPr>
          <w:kern w:val="0"/>
          <w:szCs w:val="22"/>
        </w:rPr>
        <w:t>：</w:t>
      </w:r>
    </w:p>
    <w:p w:rsidR="00157EF6" w:rsidRPr="00412A9C" w:rsidRDefault="00157EF6" w:rsidP="00C95D8F">
      <w:pPr>
        <w:pStyle w:val="a5"/>
        <w:overflowPunct w:val="0"/>
        <w:autoSpaceDE w:val="0"/>
        <w:autoSpaceDN w:val="0"/>
        <w:ind w:leftChars="330" w:left="792"/>
        <w:jc w:val="both"/>
        <w:rPr>
          <w:rFonts w:eastAsia="標楷體"/>
          <w:kern w:val="0"/>
          <w:szCs w:val="22"/>
        </w:rPr>
      </w:pPr>
      <w:r w:rsidRPr="00412A9C">
        <w:rPr>
          <w:rFonts w:eastAsia="標楷體"/>
          <w:kern w:val="0"/>
          <w:szCs w:val="22"/>
        </w:rPr>
        <w:t>又有一類先覺知識，作如是言：「就立名言而立名者，略於二類大中觀師，謂於名言許外境者，名經部行中觀師</w:t>
      </w:r>
      <w:r w:rsidRPr="00412A9C">
        <w:rPr>
          <w:rFonts w:eastAsia="標楷體" w:hint="eastAsia"/>
          <w:kern w:val="0"/>
          <w:szCs w:val="22"/>
        </w:rPr>
        <w:t>；</w:t>
      </w:r>
      <w:r w:rsidRPr="00412A9C">
        <w:rPr>
          <w:rFonts w:eastAsia="標楷體"/>
          <w:kern w:val="0"/>
          <w:szCs w:val="22"/>
        </w:rPr>
        <w:t>及於名言不許外境者，名瑜伽行中觀師。就立勝義，亦立二名，謂</w:t>
      </w:r>
      <w:r w:rsidRPr="00412A9C">
        <w:rPr>
          <w:rFonts w:eastAsia="標楷體"/>
          <w:b/>
          <w:kern w:val="0"/>
          <w:szCs w:val="22"/>
        </w:rPr>
        <w:t>許勝義諦現空雙聚，</w:t>
      </w:r>
      <w:r w:rsidRPr="00412A9C">
        <w:rPr>
          <w:rFonts w:eastAsia="標楷體"/>
          <w:kern w:val="0"/>
          <w:szCs w:val="22"/>
        </w:rPr>
        <w:t>名</w:t>
      </w:r>
      <w:r w:rsidRPr="00412A9C">
        <w:rPr>
          <w:rFonts w:eastAsia="標楷體"/>
          <w:b/>
          <w:kern w:val="0"/>
          <w:szCs w:val="22"/>
        </w:rPr>
        <w:t>理成如幻</w:t>
      </w:r>
      <w:r w:rsidRPr="00412A9C">
        <w:rPr>
          <w:rFonts w:eastAsia="標楷體" w:hint="eastAsia"/>
          <w:b/>
          <w:kern w:val="0"/>
          <w:szCs w:val="22"/>
        </w:rPr>
        <w:t>；</w:t>
      </w:r>
      <w:r w:rsidRPr="00412A9C">
        <w:rPr>
          <w:rFonts w:eastAsia="標楷體"/>
          <w:b/>
          <w:kern w:val="0"/>
          <w:szCs w:val="22"/>
        </w:rPr>
        <w:t>及許勝義諦唯於現境斷絕戲論，</w:t>
      </w:r>
      <w:r w:rsidRPr="00412A9C">
        <w:rPr>
          <w:rFonts w:eastAsia="標楷體"/>
          <w:kern w:val="0"/>
          <w:szCs w:val="22"/>
        </w:rPr>
        <w:t>名</w:t>
      </w:r>
      <w:r w:rsidRPr="00412A9C">
        <w:rPr>
          <w:rFonts w:eastAsia="標楷體"/>
          <w:b/>
          <w:kern w:val="0"/>
          <w:szCs w:val="22"/>
        </w:rPr>
        <w:t>極無所住。」</w:t>
      </w:r>
      <w:r w:rsidRPr="00412A9C">
        <w:rPr>
          <w:rFonts w:eastAsia="標楷體"/>
          <w:kern w:val="0"/>
          <w:szCs w:val="22"/>
        </w:rPr>
        <w:t>二中</w:t>
      </w:r>
      <w:r w:rsidR="003A3115" w:rsidRPr="003A3115">
        <w:rPr>
          <w:rFonts w:eastAsia="標楷體" w:hint="eastAsia"/>
          <w:color w:val="FF0000"/>
          <w:kern w:val="0"/>
          <w:szCs w:val="22"/>
          <w:shd w:val="pct15" w:color="auto" w:fill="FFFFFF"/>
        </w:rPr>
        <w:t>，</w:t>
      </w:r>
      <w:r w:rsidRPr="00412A9C">
        <w:rPr>
          <w:rFonts w:eastAsia="標楷體"/>
          <w:kern w:val="0"/>
          <w:szCs w:val="22"/>
        </w:rPr>
        <w:t>初者</w:t>
      </w:r>
      <w:r w:rsidR="003A3115" w:rsidRPr="003A3115">
        <w:rPr>
          <w:rFonts w:eastAsia="標楷體" w:hint="eastAsia"/>
          <w:color w:val="FF0000"/>
          <w:kern w:val="0"/>
          <w:szCs w:val="22"/>
          <w:shd w:val="pct15" w:color="auto" w:fill="FFFFFF"/>
        </w:rPr>
        <w:t>，</w:t>
      </w:r>
      <w:r w:rsidRPr="00412A9C">
        <w:rPr>
          <w:rFonts w:eastAsia="標楷體"/>
          <w:kern w:val="0"/>
          <w:szCs w:val="22"/>
        </w:rPr>
        <w:t>許是靜命論師及蓮華戒等，其如幻及極無所住之名，印度論師亦有許者。總其印、藏自許為中觀之論師，雖亦略有如是許者，然僅抉擇龍猛菩薩弟子之中大中觀</w:t>
      </w:r>
      <w:r w:rsidRPr="003A3115">
        <w:rPr>
          <w:rFonts w:eastAsia="標楷體"/>
          <w:kern w:val="0"/>
          <w:szCs w:val="22"/>
          <w:highlight w:val="yellow"/>
        </w:rPr>
        <w:t>師有</w:t>
      </w:r>
      <w:r w:rsidRPr="00412A9C">
        <w:rPr>
          <w:rFonts w:eastAsia="標楷體"/>
          <w:kern w:val="0"/>
          <w:szCs w:val="22"/>
        </w:rPr>
        <w:t>何宗派</w:t>
      </w:r>
      <w:r w:rsidR="003A3115" w:rsidRPr="003A3115">
        <w:rPr>
          <w:rFonts w:eastAsia="標楷體" w:hint="eastAsia"/>
          <w:color w:val="FF0000"/>
          <w:kern w:val="0"/>
          <w:szCs w:val="22"/>
          <w:shd w:val="pct15" w:color="auto" w:fill="FFFFFF"/>
        </w:rPr>
        <w:t>；</w:t>
      </w:r>
      <w:r w:rsidRPr="00412A9C">
        <w:rPr>
          <w:rFonts w:eastAsia="標楷體"/>
          <w:kern w:val="0"/>
          <w:szCs w:val="22"/>
        </w:rPr>
        <w:t>若諸細流</w:t>
      </w:r>
      <w:r w:rsidR="003A3115" w:rsidRPr="003A3115">
        <w:rPr>
          <w:rFonts w:eastAsia="標楷體" w:hint="eastAsia"/>
          <w:color w:val="FF0000"/>
          <w:kern w:val="0"/>
          <w:szCs w:val="22"/>
          <w:shd w:val="pct15" w:color="auto" w:fill="FFFFFF"/>
        </w:rPr>
        <w:t>，</w:t>
      </w:r>
      <w:r w:rsidRPr="00412A9C">
        <w:rPr>
          <w:rFonts w:eastAsia="標楷體"/>
          <w:kern w:val="0"/>
          <w:szCs w:val="22"/>
        </w:rPr>
        <w:t>誰能盡說</w:t>
      </w:r>
      <w:r w:rsidR="003A3115" w:rsidRPr="003A3115">
        <w:rPr>
          <w:rFonts w:eastAsia="標楷體" w:hint="eastAsia"/>
          <w:color w:val="FF0000"/>
          <w:kern w:val="0"/>
          <w:szCs w:val="22"/>
          <w:shd w:val="pct15" w:color="auto" w:fill="FFFFFF"/>
        </w:rPr>
        <w:t>？</w:t>
      </w:r>
    </w:p>
  </w:footnote>
  <w:footnote w:id="1008">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w:t>
      </w:r>
      <w:r w:rsidRPr="00E72E58">
        <w:rPr>
          <w:rFonts w:ascii="新細明體" w:hAnsi="新細明體"/>
          <w:szCs w:val="22"/>
        </w:rPr>
        <w:t>護法</w:t>
      </w:r>
      <w:r w:rsidRPr="00412A9C">
        <w:rPr>
          <w:szCs w:val="22"/>
        </w:rPr>
        <w:t>等菩薩造，《成唯識論》卷</w:t>
      </w:r>
      <w:r w:rsidRPr="00761EF3">
        <w:rPr>
          <w:szCs w:val="22"/>
        </w:rPr>
        <w:t>8</w:t>
      </w:r>
      <w:r w:rsidRPr="00412A9C">
        <w:rPr>
          <w:szCs w:val="22"/>
        </w:rPr>
        <w:t>（大正</w:t>
      </w:r>
      <w:r w:rsidRPr="00761EF3">
        <w:rPr>
          <w:szCs w:val="22"/>
        </w:rPr>
        <w:t>31</w:t>
      </w:r>
      <w:r w:rsidRPr="00412A9C">
        <w:rPr>
          <w:szCs w:val="22"/>
        </w:rPr>
        <w:t>，</w:t>
      </w:r>
      <w:r w:rsidRPr="00761EF3">
        <w:rPr>
          <w:szCs w:val="22"/>
        </w:rPr>
        <w:t>46b28</w:t>
      </w:r>
      <w:r w:rsidRPr="00412A9C">
        <w:rPr>
          <w:szCs w:val="22"/>
        </w:rPr>
        <w:t>-</w:t>
      </w:r>
      <w:r w:rsidRPr="00761EF3">
        <w:rPr>
          <w:szCs w:val="22"/>
        </w:rPr>
        <w:t>29</w:t>
      </w:r>
      <w:r w:rsidRPr="00412A9C">
        <w:rPr>
          <w:szCs w:val="22"/>
        </w:rPr>
        <w:t>）：</w:t>
      </w:r>
    </w:p>
    <w:p w:rsidR="00157EF6" w:rsidRPr="00412A9C" w:rsidRDefault="00157EF6" w:rsidP="00C95D8F">
      <w:pPr>
        <w:tabs>
          <w:tab w:val="left" w:pos="1080"/>
        </w:tabs>
        <w:snapToGrid w:val="0"/>
        <w:ind w:leftChars="330" w:left="792"/>
        <w:jc w:val="both"/>
        <w:rPr>
          <w:rFonts w:ascii="Times New Roman" w:hAnsi="Times New Roman"/>
          <w:sz w:val="22"/>
          <w:szCs w:val="22"/>
        </w:rPr>
      </w:pPr>
      <w:r w:rsidRPr="00412A9C">
        <w:rPr>
          <w:rFonts w:ascii="Times New Roman" w:eastAsia="標楷體" w:hAnsi="Times New Roman"/>
          <w:b/>
          <w:sz w:val="22"/>
          <w:szCs w:val="22"/>
        </w:rPr>
        <w:t>無分別智</w:t>
      </w:r>
      <w:r w:rsidRPr="00412A9C">
        <w:rPr>
          <w:rFonts w:ascii="Times New Roman" w:eastAsia="標楷體" w:hAnsi="Times New Roman"/>
          <w:sz w:val="22"/>
          <w:szCs w:val="22"/>
        </w:rPr>
        <w:t>證真如已，</w:t>
      </w:r>
      <w:r w:rsidRPr="00412A9C">
        <w:rPr>
          <w:rFonts w:ascii="Times New Roman" w:eastAsia="標楷體" w:hAnsi="Times New Roman"/>
          <w:b/>
          <w:sz w:val="22"/>
          <w:szCs w:val="22"/>
        </w:rPr>
        <w:t>後得智</w:t>
      </w:r>
      <w:r w:rsidRPr="00412A9C">
        <w:rPr>
          <w:rFonts w:ascii="Times New Roman" w:eastAsia="標楷體" w:hAnsi="Times New Roman"/>
          <w:sz w:val="22"/>
          <w:szCs w:val="22"/>
        </w:rPr>
        <w:t>中方能了達依他起性如幻事等。</w:t>
      </w:r>
    </w:p>
    <w:p w:rsidR="00157EF6" w:rsidRPr="00412A9C" w:rsidRDefault="00157EF6" w:rsidP="00AA120F">
      <w:pPr>
        <w:pStyle w:val="a5"/>
        <w:ind w:leftChars="105" w:left="791" w:hangingChars="245" w:hanging="539"/>
        <w:jc w:val="both"/>
        <w:rPr>
          <w:szCs w:val="22"/>
        </w:rPr>
      </w:pPr>
      <w:r w:rsidRPr="00412A9C">
        <w:rPr>
          <w:szCs w:val="22"/>
        </w:rPr>
        <w:t>（</w:t>
      </w:r>
      <w:r w:rsidRPr="00761EF3">
        <w:rPr>
          <w:szCs w:val="22"/>
        </w:rPr>
        <w:t>2</w:t>
      </w:r>
      <w:r w:rsidRPr="00412A9C">
        <w:rPr>
          <w:szCs w:val="22"/>
        </w:rPr>
        <w:t>）</w:t>
      </w:r>
      <w:r w:rsidRPr="00412A9C">
        <w:rPr>
          <w:rFonts w:hint="eastAsia"/>
          <w:szCs w:val="22"/>
        </w:rPr>
        <w:t>印順法師，《辨法法性論講記》，收於《華雨集》（一），</w:t>
      </w:r>
      <w:r w:rsidRPr="00761EF3">
        <w:rPr>
          <w:rFonts w:hint="eastAsia"/>
          <w:szCs w:val="22"/>
        </w:rPr>
        <w:t>pp</w:t>
      </w:r>
      <w:r w:rsidRPr="00412A9C">
        <w:rPr>
          <w:rFonts w:hint="eastAsia"/>
          <w:szCs w:val="22"/>
        </w:rPr>
        <w:t>.</w:t>
      </w:r>
      <w:r w:rsidRPr="00761EF3">
        <w:rPr>
          <w:rFonts w:hint="eastAsia"/>
          <w:szCs w:val="22"/>
        </w:rPr>
        <w:t>261</w:t>
      </w:r>
      <w:r w:rsidRPr="00412A9C">
        <w:rPr>
          <w:rFonts w:hint="eastAsia"/>
          <w:szCs w:val="22"/>
        </w:rPr>
        <w:t>-</w:t>
      </w:r>
      <w:r w:rsidRPr="00761EF3">
        <w:rPr>
          <w:rFonts w:hint="eastAsia"/>
          <w:szCs w:val="22"/>
        </w:rPr>
        <w:t>262</w:t>
      </w:r>
      <w:r w:rsidRPr="00412A9C">
        <w:rPr>
          <w:rFonts w:hint="eastAsia"/>
          <w:szCs w:val="22"/>
        </w:rPr>
        <w:t>：</w:t>
      </w:r>
    </w:p>
    <w:p w:rsidR="00157EF6" w:rsidRPr="00C917F3" w:rsidRDefault="00157EF6" w:rsidP="00AA120F">
      <w:pPr>
        <w:tabs>
          <w:tab w:val="left" w:pos="1080"/>
        </w:tabs>
        <w:snapToGrid w:val="0"/>
        <w:ind w:leftChars="335" w:left="804"/>
        <w:jc w:val="both"/>
        <w:rPr>
          <w:rFonts w:ascii="標楷體" w:eastAsia="標楷體" w:hAnsi="標楷體"/>
          <w:sz w:val="22"/>
          <w:szCs w:val="22"/>
        </w:rPr>
      </w:pPr>
      <w:r w:rsidRPr="00412A9C">
        <w:rPr>
          <w:rFonts w:ascii="標楷體" w:eastAsia="標楷體" w:hAnsi="標楷體" w:hint="eastAsia"/>
          <w:sz w:val="22"/>
          <w:szCs w:val="22"/>
        </w:rPr>
        <w:t>在修行的五位（資糧位、加行位、見道位、修道位、究竟位）中，經資糧位到加行位，修到世第一法，下一剎那，真正的智慧現前了，正見現前，名為見道。</w:t>
      </w:r>
      <w:r w:rsidRPr="00412A9C">
        <w:rPr>
          <w:rFonts w:ascii="標楷體" w:eastAsia="標楷體" w:hAnsi="標楷體" w:hint="eastAsia"/>
          <w:b/>
          <w:sz w:val="22"/>
          <w:szCs w:val="22"/>
        </w:rPr>
        <w:t>見道有二：一為真見道，二為相見道。</w:t>
      </w:r>
      <w:r w:rsidRPr="00412A9C">
        <w:rPr>
          <w:rFonts w:ascii="標楷體" w:eastAsia="標楷體" w:hAnsi="標楷體" w:hint="eastAsia"/>
          <w:sz w:val="22"/>
          <w:szCs w:val="22"/>
        </w:rPr>
        <w:t>正見是真見道，如《般若經》說：</w:t>
      </w:r>
      <w:r w:rsidR="009F707C">
        <w:rPr>
          <w:rFonts w:ascii="標楷體" w:eastAsia="標楷體" w:hAnsi="標楷體" w:hint="eastAsia"/>
          <w:sz w:val="22"/>
          <w:szCs w:val="22"/>
        </w:rPr>
        <w:t>「</w:t>
      </w:r>
      <w:r w:rsidRPr="00412A9C">
        <w:rPr>
          <w:rFonts w:ascii="標楷體" w:eastAsia="標楷體" w:hAnsi="標楷體" w:hint="eastAsia"/>
          <w:sz w:val="22"/>
          <w:szCs w:val="22"/>
        </w:rPr>
        <w:t>慧眼於一切法都無所見。</w:t>
      </w:r>
      <w:r w:rsidR="009F707C">
        <w:rPr>
          <w:rFonts w:ascii="標楷體" w:eastAsia="標楷體" w:hAnsi="標楷體" w:hint="eastAsia"/>
          <w:sz w:val="22"/>
          <w:szCs w:val="22"/>
        </w:rPr>
        <w:t>」</w:t>
      </w:r>
      <w:r w:rsidRPr="00412A9C">
        <w:rPr>
          <w:rFonts w:ascii="標楷體" w:eastAsia="標楷體" w:hAnsi="標楷體" w:hint="eastAsia"/>
          <w:sz w:val="22"/>
          <w:szCs w:val="22"/>
        </w:rPr>
        <w:t>真正的般若現前，一切的法都不現前。這就是畢竟空性，或名真如，或名法性。無能取、所取，無能詮、所詮，平等平等。禪宗有一句話：「說似一物即不中」，說他是什麼，就不是的，因為所認識的一切，所說的一切，都是名言，與法性不合的。</w:t>
      </w:r>
      <w:r w:rsidRPr="00412A9C">
        <w:rPr>
          <w:rFonts w:ascii="標楷體" w:eastAsia="標楷體" w:hAnsi="標楷體" w:hint="eastAsia"/>
          <w:b/>
          <w:sz w:val="22"/>
          <w:szCs w:val="22"/>
        </w:rPr>
        <w:t>真見道</w:t>
      </w:r>
      <w:r w:rsidRPr="00C917F3">
        <w:rPr>
          <w:rFonts w:ascii="標楷體" w:eastAsia="標楷體" w:hAnsi="標楷體" w:hint="eastAsia"/>
          <w:sz w:val="22"/>
          <w:szCs w:val="22"/>
        </w:rPr>
        <w:t>體驗到法性是怎樣的？那實在是不能說的。</w:t>
      </w:r>
      <w:r w:rsidRPr="00A75AFB">
        <w:rPr>
          <w:rFonts w:ascii="標楷體" w:eastAsia="標楷體" w:hAnsi="標楷體" w:hint="eastAsia"/>
          <w:sz w:val="22"/>
          <w:szCs w:val="22"/>
          <w:shd w:val="pct15" w:color="auto" w:fill="FFFFFF"/>
        </w:rPr>
        <w:t>……</w:t>
      </w:r>
    </w:p>
    <w:p w:rsidR="00157EF6" w:rsidRPr="00C917F3" w:rsidRDefault="00157EF6" w:rsidP="00AE3920">
      <w:pPr>
        <w:tabs>
          <w:tab w:val="left" w:pos="1080"/>
        </w:tabs>
        <w:snapToGrid w:val="0"/>
        <w:spacing w:beforeLines="20"/>
        <w:ind w:leftChars="335" w:left="804"/>
        <w:jc w:val="both"/>
        <w:rPr>
          <w:rFonts w:ascii="標楷體" w:eastAsia="標楷體" w:hAnsi="標楷體"/>
          <w:sz w:val="22"/>
          <w:szCs w:val="22"/>
        </w:rPr>
      </w:pPr>
      <w:r w:rsidRPr="00C917F3">
        <w:rPr>
          <w:rFonts w:ascii="標楷體" w:eastAsia="標楷體" w:hAnsi="標楷體" w:hint="eastAsia"/>
          <w:b/>
          <w:sz w:val="22"/>
          <w:szCs w:val="22"/>
        </w:rPr>
        <w:t>菩薩在定中真見道，一切法都不可得；從真見道出定後，從般若起方便，或名後得智</w:t>
      </w:r>
      <w:r w:rsidRPr="00C917F3">
        <w:rPr>
          <w:rFonts w:ascii="標楷體" w:eastAsia="標楷體" w:hAnsi="標楷體" w:hint="eastAsia"/>
          <w:sz w:val="22"/>
          <w:szCs w:val="22"/>
        </w:rPr>
        <w:t>。</w:t>
      </w:r>
      <w:r w:rsidRPr="00A75AFB">
        <w:rPr>
          <w:rFonts w:ascii="標楷體" w:eastAsia="標楷體" w:hAnsi="標楷體" w:hint="eastAsia"/>
          <w:sz w:val="22"/>
          <w:szCs w:val="22"/>
          <w:shd w:val="pct15" w:color="auto" w:fill="FFFFFF"/>
        </w:rPr>
        <w:t>……</w:t>
      </w:r>
      <w:r w:rsidRPr="00C917F3">
        <w:rPr>
          <w:rFonts w:ascii="標楷體" w:eastAsia="標楷體" w:hAnsi="標楷體" w:hint="eastAsia"/>
          <w:sz w:val="22"/>
          <w:szCs w:val="22"/>
        </w:rPr>
        <w:t>通達空性是什麼樣的，在後得智中，以世間語言、思想表達出來。法性是這樣那樣，其實這已不是真實的，因為有相可得，所以名</w:t>
      </w:r>
      <w:r w:rsidRPr="00C917F3">
        <w:rPr>
          <w:rFonts w:ascii="標楷體" w:eastAsia="標楷體" w:hAnsi="標楷體" w:hint="eastAsia"/>
          <w:b/>
          <w:sz w:val="22"/>
          <w:szCs w:val="22"/>
        </w:rPr>
        <w:t>相見道</w:t>
      </w:r>
      <w:r w:rsidRPr="00C917F3">
        <w:rPr>
          <w:rFonts w:ascii="標楷體" w:eastAsia="標楷體" w:hAnsi="標楷體" w:hint="eastAsia"/>
          <w:sz w:val="22"/>
          <w:szCs w:val="22"/>
        </w:rPr>
        <w:t>。</w:t>
      </w:r>
    </w:p>
    <w:p w:rsidR="00157EF6" w:rsidRPr="00412A9C" w:rsidRDefault="00157EF6" w:rsidP="00AE3920">
      <w:pPr>
        <w:tabs>
          <w:tab w:val="left" w:pos="1080"/>
        </w:tabs>
        <w:snapToGrid w:val="0"/>
        <w:spacing w:beforeLines="20"/>
        <w:ind w:leftChars="335" w:left="804"/>
        <w:jc w:val="both"/>
        <w:rPr>
          <w:rFonts w:ascii="標楷體" w:eastAsia="標楷體" w:hAnsi="標楷體"/>
          <w:sz w:val="22"/>
          <w:szCs w:val="22"/>
        </w:rPr>
      </w:pPr>
      <w:r w:rsidRPr="00C917F3">
        <w:rPr>
          <w:rFonts w:ascii="標楷體" w:eastAsia="標楷體" w:hAnsi="標楷體" w:hint="eastAsia"/>
          <w:sz w:val="22"/>
          <w:szCs w:val="22"/>
        </w:rPr>
        <w:t>真見道時，般若是無相的，沒有一切相，空相也沒有。當時是一切相不可得，唯</w:t>
      </w:r>
      <w:r w:rsidRPr="00412A9C">
        <w:rPr>
          <w:rFonts w:ascii="標楷體" w:eastAsia="標楷體" w:hAnsi="標楷體" w:hint="eastAsia"/>
          <w:sz w:val="22"/>
          <w:szCs w:val="22"/>
        </w:rPr>
        <w:t>識家如此說，中觀家也如此說。</w:t>
      </w:r>
      <w:r w:rsidRPr="00412A9C">
        <w:rPr>
          <w:rFonts w:ascii="標楷體" w:eastAsia="標楷體" w:hAnsi="標楷體" w:hint="eastAsia"/>
          <w:b/>
          <w:sz w:val="22"/>
          <w:szCs w:val="22"/>
        </w:rPr>
        <w:t>真見道證得真如，真如就是法性</w:t>
      </w:r>
      <w:r w:rsidRPr="00412A9C">
        <w:rPr>
          <w:rFonts w:ascii="標楷體" w:eastAsia="標楷體" w:hAnsi="標楷體" w:hint="eastAsia"/>
          <w:sz w:val="22"/>
          <w:szCs w:val="22"/>
        </w:rPr>
        <w:t>。沒有虛妄的，名</w:t>
      </w:r>
      <w:r w:rsidRPr="00412A9C">
        <w:rPr>
          <w:rFonts w:ascii="標楷體" w:eastAsia="標楷體" w:hAnsi="標楷體" w:hint="eastAsia"/>
          <w:b/>
          <w:sz w:val="22"/>
          <w:szCs w:val="22"/>
        </w:rPr>
        <w:t>真</w:t>
      </w:r>
      <w:r w:rsidRPr="00412A9C">
        <w:rPr>
          <w:rFonts w:ascii="標楷體" w:eastAsia="標楷體" w:hAnsi="標楷體" w:hint="eastAsia"/>
          <w:sz w:val="22"/>
          <w:szCs w:val="22"/>
        </w:rPr>
        <w:t>；這虛妄的有能取、所取的對立，能詮、所詮的差別，觸證得無二無別的，所以名為</w:t>
      </w:r>
      <w:r w:rsidRPr="00412A9C">
        <w:rPr>
          <w:rFonts w:ascii="標楷體" w:eastAsia="標楷體" w:hAnsi="標楷體" w:hint="eastAsia"/>
          <w:b/>
          <w:sz w:val="22"/>
          <w:szCs w:val="22"/>
        </w:rPr>
        <w:t>如</w:t>
      </w:r>
      <w:r w:rsidRPr="00412A9C">
        <w:rPr>
          <w:rFonts w:ascii="標楷體" w:eastAsia="標楷體" w:hAnsi="標楷體" w:hint="eastAsia"/>
          <w:sz w:val="22"/>
          <w:szCs w:val="22"/>
        </w:rPr>
        <w:t>。</w:t>
      </w:r>
    </w:p>
    <w:p w:rsidR="00157EF6" w:rsidRPr="00412A9C" w:rsidRDefault="00157EF6" w:rsidP="00AA120F">
      <w:pPr>
        <w:pStyle w:val="a5"/>
        <w:ind w:leftChars="105" w:left="791" w:hangingChars="245" w:hanging="539"/>
        <w:jc w:val="both"/>
        <w:rPr>
          <w:szCs w:val="22"/>
        </w:rPr>
      </w:pPr>
      <w:r w:rsidRPr="00412A9C">
        <w:rPr>
          <w:rFonts w:eastAsia="標楷體"/>
          <w:szCs w:val="22"/>
        </w:rPr>
        <w:t>（</w:t>
      </w:r>
      <w:r w:rsidRPr="00761EF3">
        <w:rPr>
          <w:rFonts w:eastAsia="標楷體"/>
          <w:szCs w:val="22"/>
        </w:rPr>
        <w:t>3</w:t>
      </w:r>
      <w:r w:rsidRPr="00412A9C">
        <w:rPr>
          <w:rFonts w:eastAsia="標楷體"/>
          <w:szCs w:val="22"/>
        </w:rPr>
        <w:t>）</w:t>
      </w:r>
      <w:r w:rsidRPr="00412A9C">
        <w:rPr>
          <w:szCs w:val="22"/>
        </w:rPr>
        <w:t>印順</w:t>
      </w:r>
      <w:r w:rsidRPr="00E72E58">
        <w:rPr>
          <w:rFonts w:ascii="新細明體" w:hAnsi="新細明體"/>
          <w:szCs w:val="22"/>
        </w:rPr>
        <w:t>法師</w:t>
      </w:r>
      <w:r w:rsidRPr="00412A9C">
        <w:rPr>
          <w:szCs w:val="22"/>
        </w:rPr>
        <w:t>，</w:t>
      </w:r>
      <w:r w:rsidRPr="00412A9C">
        <w:rPr>
          <w:rFonts w:hint="eastAsia"/>
          <w:szCs w:val="22"/>
        </w:rPr>
        <w:t>《辨法法性論講記》，收於《華雨集》（一），</w:t>
      </w:r>
      <w:r w:rsidRPr="00761EF3">
        <w:rPr>
          <w:szCs w:val="22"/>
        </w:rPr>
        <w:t>p</w:t>
      </w:r>
      <w:r w:rsidRPr="00412A9C">
        <w:rPr>
          <w:szCs w:val="22"/>
        </w:rPr>
        <w:t>.</w:t>
      </w:r>
      <w:r w:rsidRPr="00761EF3">
        <w:rPr>
          <w:szCs w:val="22"/>
        </w:rPr>
        <w:t>265</w:t>
      </w:r>
      <w:r w:rsidRPr="00412A9C">
        <w:rPr>
          <w:szCs w:val="22"/>
        </w:rPr>
        <w:t>：</w:t>
      </w:r>
    </w:p>
    <w:p w:rsidR="00157EF6" w:rsidRPr="00412A9C" w:rsidRDefault="00157EF6" w:rsidP="00AA120F">
      <w:pPr>
        <w:pStyle w:val="a5"/>
        <w:overflowPunct w:val="0"/>
        <w:autoSpaceDE w:val="0"/>
        <w:autoSpaceDN w:val="0"/>
        <w:ind w:leftChars="335" w:left="804"/>
        <w:jc w:val="both"/>
        <w:rPr>
          <w:rFonts w:eastAsia="標楷體"/>
          <w:szCs w:val="22"/>
        </w:rPr>
      </w:pPr>
      <w:r w:rsidRPr="00412A9C">
        <w:rPr>
          <w:rFonts w:eastAsia="標楷體"/>
          <w:szCs w:val="22"/>
        </w:rPr>
        <w:t>能取、所取，能詮、所詮，虛妄分別相現，真見道時一切不現前了。雖體證了，但一出真見道，一切相又現，雖能知一切如幻如化，與從前的認識不完全相同，但到底還要現起妄相。這如心裏明知月沒有動，可是眼見月在動一樣。這必須把那證悟到的，畢竟空的境地，在平常日用中去，見到的，聽到的，想到的種種境界上去歷練，到了念念常證真理，幻空不二，斷盡一切煩惱，那就成佛了。</w:t>
      </w:r>
    </w:p>
  </w:footnote>
  <w:footnote w:id="1009">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）《大智度論》卷</w:t>
      </w:r>
      <w:r w:rsidRPr="00761EF3">
        <w:rPr>
          <w:szCs w:val="22"/>
        </w:rPr>
        <w:t>71</w:t>
      </w:r>
      <w:r w:rsidRPr="00412A9C">
        <w:rPr>
          <w:szCs w:val="22"/>
        </w:rPr>
        <w:t>（大正</w:t>
      </w:r>
      <w:r w:rsidRPr="00761EF3">
        <w:rPr>
          <w:szCs w:val="22"/>
        </w:rPr>
        <w:t>25</w:t>
      </w:r>
      <w:r w:rsidRPr="00412A9C">
        <w:rPr>
          <w:szCs w:val="22"/>
        </w:rPr>
        <w:t>，</w:t>
      </w:r>
      <w:r w:rsidRPr="00761EF3">
        <w:rPr>
          <w:szCs w:val="22"/>
        </w:rPr>
        <w:t>556b26</w:t>
      </w:r>
      <w:r w:rsidRPr="00412A9C">
        <w:rPr>
          <w:szCs w:val="22"/>
        </w:rPr>
        <w:t>-</w:t>
      </w:r>
      <w:r w:rsidRPr="00761EF3">
        <w:rPr>
          <w:szCs w:val="22"/>
        </w:rPr>
        <w:t>27</w:t>
      </w:r>
      <w:r w:rsidRPr="00412A9C">
        <w:rPr>
          <w:szCs w:val="22"/>
        </w:rPr>
        <w:t>）：</w:t>
      </w:r>
    </w:p>
    <w:p w:rsidR="00157EF6" w:rsidRPr="00412A9C" w:rsidRDefault="005444A1" w:rsidP="00AA120F">
      <w:pPr>
        <w:pStyle w:val="a5"/>
        <w:overflowPunct w:val="0"/>
        <w:autoSpaceDE w:val="0"/>
        <w:autoSpaceDN w:val="0"/>
        <w:ind w:leftChars="335" w:left="804"/>
        <w:jc w:val="both"/>
        <w:rPr>
          <w:szCs w:val="22"/>
        </w:rPr>
      </w:pPr>
      <w:r>
        <w:rPr>
          <w:rFonts w:ascii="標楷體" w:eastAsia="標楷體" w:hAnsi="標楷體" w:hint="eastAsia"/>
          <w:bCs/>
          <w:color w:val="FF0000"/>
          <w:kern w:val="0"/>
          <w:highlight w:val="yellow"/>
        </w:rPr>
        <w:t>「</w:t>
      </w:r>
      <w:r w:rsidR="00157EF6" w:rsidRPr="00412A9C">
        <w:rPr>
          <w:rFonts w:eastAsia="標楷體"/>
          <w:szCs w:val="22"/>
        </w:rPr>
        <w:t>般若波羅蜜</w:t>
      </w:r>
      <w:r>
        <w:rPr>
          <w:rFonts w:ascii="標楷體" w:eastAsia="標楷體" w:hAnsi="標楷體" w:hint="eastAsia"/>
          <w:bCs/>
          <w:color w:val="FF0000"/>
          <w:kern w:val="0"/>
          <w:highlight w:val="yellow"/>
        </w:rPr>
        <w:t>」</w:t>
      </w:r>
      <w:r w:rsidR="00157EF6" w:rsidRPr="00412A9C">
        <w:rPr>
          <w:rFonts w:eastAsia="標楷體"/>
          <w:szCs w:val="22"/>
        </w:rPr>
        <w:t>能滅諸邪見、煩惱、戲論，將至畢竟空中；</w:t>
      </w:r>
      <w:r>
        <w:rPr>
          <w:rFonts w:ascii="標楷體" w:eastAsia="標楷體" w:hAnsi="標楷體" w:hint="eastAsia"/>
          <w:bCs/>
          <w:color w:val="FF0000"/>
          <w:kern w:val="0"/>
          <w:highlight w:val="yellow"/>
        </w:rPr>
        <w:t>「</w:t>
      </w:r>
      <w:r w:rsidR="00157EF6" w:rsidRPr="00412A9C">
        <w:rPr>
          <w:rFonts w:eastAsia="標楷體"/>
          <w:szCs w:val="22"/>
        </w:rPr>
        <w:t>方便</w:t>
      </w:r>
      <w:r>
        <w:rPr>
          <w:rFonts w:ascii="標楷體" w:eastAsia="標楷體" w:hAnsi="標楷體" w:hint="eastAsia"/>
          <w:bCs/>
          <w:color w:val="FF0000"/>
          <w:kern w:val="0"/>
          <w:highlight w:val="yellow"/>
        </w:rPr>
        <w:t>」</w:t>
      </w:r>
      <w:r w:rsidR="00157EF6" w:rsidRPr="00412A9C">
        <w:rPr>
          <w:rFonts w:eastAsia="標楷體"/>
          <w:szCs w:val="22"/>
        </w:rPr>
        <w:t>將出畢竟空。</w:t>
      </w:r>
    </w:p>
    <w:p w:rsidR="00157EF6" w:rsidRPr="00412A9C" w:rsidRDefault="00157EF6" w:rsidP="00AA120F">
      <w:pPr>
        <w:pStyle w:val="a5"/>
        <w:ind w:leftChars="105" w:left="791" w:hangingChars="245" w:hanging="539"/>
        <w:jc w:val="both"/>
        <w:rPr>
          <w:szCs w:val="22"/>
        </w:rPr>
      </w:pPr>
      <w:r w:rsidRPr="00412A9C">
        <w:rPr>
          <w:szCs w:val="22"/>
        </w:rPr>
        <w:t>（</w:t>
      </w:r>
      <w:r w:rsidRPr="00761EF3">
        <w:rPr>
          <w:szCs w:val="22"/>
        </w:rPr>
        <w:t>2</w:t>
      </w:r>
      <w:r w:rsidRPr="00412A9C">
        <w:rPr>
          <w:szCs w:val="22"/>
        </w:rPr>
        <w:t>）〔隋〕吉藏造，《淨名玄論》卷</w:t>
      </w:r>
      <w:r w:rsidRPr="00761EF3">
        <w:rPr>
          <w:szCs w:val="22"/>
        </w:rPr>
        <w:t>4</w:t>
      </w:r>
      <w:r w:rsidRPr="00412A9C">
        <w:rPr>
          <w:szCs w:val="22"/>
        </w:rPr>
        <w:t>（大正</w:t>
      </w:r>
      <w:r w:rsidRPr="00761EF3">
        <w:rPr>
          <w:szCs w:val="22"/>
        </w:rPr>
        <w:t>38</w:t>
      </w:r>
      <w:r w:rsidRPr="00412A9C">
        <w:rPr>
          <w:szCs w:val="22"/>
        </w:rPr>
        <w:t>，</w:t>
      </w:r>
      <w:r w:rsidRPr="00761EF3">
        <w:rPr>
          <w:szCs w:val="22"/>
        </w:rPr>
        <w:t>882a12</w:t>
      </w:r>
      <w:r w:rsidRPr="00412A9C">
        <w:rPr>
          <w:szCs w:val="22"/>
        </w:rPr>
        <w:t>-</w:t>
      </w:r>
      <w:r w:rsidRPr="00761EF3">
        <w:rPr>
          <w:szCs w:val="22"/>
        </w:rPr>
        <w:t>13</w:t>
      </w:r>
      <w:r w:rsidRPr="00412A9C">
        <w:rPr>
          <w:szCs w:val="22"/>
        </w:rPr>
        <w:t>）：</w:t>
      </w:r>
    </w:p>
    <w:p w:rsidR="00157EF6" w:rsidRPr="00412A9C" w:rsidRDefault="005444A1" w:rsidP="00AA120F">
      <w:pPr>
        <w:pStyle w:val="a5"/>
        <w:overflowPunct w:val="0"/>
        <w:autoSpaceDE w:val="0"/>
        <w:autoSpaceDN w:val="0"/>
        <w:ind w:leftChars="335" w:left="804"/>
        <w:jc w:val="both"/>
        <w:rPr>
          <w:szCs w:val="22"/>
        </w:rPr>
      </w:pPr>
      <w:r>
        <w:rPr>
          <w:rFonts w:ascii="標楷體" w:eastAsia="標楷體" w:hAnsi="標楷體" w:hint="eastAsia"/>
          <w:bCs/>
          <w:color w:val="FF0000"/>
          <w:kern w:val="0"/>
          <w:highlight w:val="yellow"/>
        </w:rPr>
        <w:t>「</w:t>
      </w:r>
      <w:r w:rsidR="00157EF6" w:rsidRPr="00412A9C">
        <w:rPr>
          <w:rFonts w:eastAsia="標楷體"/>
          <w:szCs w:val="22"/>
        </w:rPr>
        <w:t>般若</w:t>
      </w:r>
      <w:r>
        <w:rPr>
          <w:rFonts w:ascii="標楷體" w:eastAsia="標楷體" w:hAnsi="標楷體" w:hint="eastAsia"/>
          <w:bCs/>
          <w:color w:val="FF0000"/>
          <w:kern w:val="0"/>
          <w:highlight w:val="yellow"/>
        </w:rPr>
        <w:t>」</w:t>
      </w:r>
      <w:r w:rsidR="00157EF6" w:rsidRPr="00412A9C">
        <w:rPr>
          <w:rFonts w:eastAsia="標楷體"/>
          <w:szCs w:val="22"/>
        </w:rPr>
        <w:t>將入畢竟空，無諸戲論；</w:t>
      </w:r>
      <w:r>
        <w:rPr>
          <w:rFonts w:ascii="標楷體" w:eastAsia="標楷體" w:hAnsi="標楷體" w:hint="eastAsia"/>
          <w:bCs/>
          <w:color w:val="FF0000"/>
          <w:kern w:val="0"/>
          <w:highlight w:val="yellow"/>
        </w:rPr>
        <w:t>「</w:t>
      </w:r>
      <w:r w:rsidR="00157EF6" w:rsidRPr="00412A9C">
        <w:rPr>
          <w:rFonts w:eastAsia="標楷體"/>
          <w:szCs w:val="22"/>
        </w:rPr>
        <w:t>方便</w:t>
      </w:r>
      <w:r>
        <w:rPr>
          <w:rFonts w:ascii="標楷體" w:eastAsia="標楷體" w:hAnsi="標楷體" w:hint="eastAsia"/>
          <w:bCs/>
          <w:color w:val="FF0000"/>
          <w:kern w:val="0"/>
          <w:highlight w:val="yellow"/>
        </w:rPr>
        <w:t>」</w:t>
      </w:r>
      <w:r w:rsidR="00157EF6" w:rsidRPr="00412A9C">
        <w:rPr>
          <w:rFonts w:eastAsia="標楷體"/>
          <w:szCs w:val="22"/>
        </w:rPr>
        <w:t>將出畢竟空，嚴土化人。</w:t>
      </w:r>
    </w:p>
    <w:p w:rsidR="00157EF6" w:rsidRPr="00412A9C" w:rsidRDefault="00157EF6" w:rsidP="00AA120F">
      <w:pPr>
        <w:pStyle w:val="a5"/>
        <w:ind w:leftChars="105" w:left="791" w:hangingChars="245" w:hanging="539"/>
        <w:jc w:val="both"/>
        <w:rPr>
          <w:szCs w:val="22"/>
        </w:rPr>
      </w:pPr>
      <w:r w:rsidRPr="00412A9C">
        <w:rPr>
          <w:szCs w:val="22"/>
        </w:rPr>
        <w:t>（</w:t>
      </w:r>
      <w:r w:rsidRPr="00761EF3">
        <w:rPr>
          <w:szCs w:val="22"/>
        </w:rPr>
        <w:t>3</w:t>
      </w:r>
      <w:r w:rsidRPr="00412A9C">
        <w:rPr>
          <w:szCs w:val="22"/>
        </w:rPr>
        <w:t>）印順</w:t>
      </w:r>
      <w:r w:rsidRPr="00E72E58">
        <w:rPr>
          <w:rFonts w:ascii="新細明體" w:hAnsi="新細明體"/>
          <w:szCs w:val="22"/>
        </w:rPr>
        <w:t>法師</w:t>
      </w:r>
      <w:r w:rsidRPr="00412A9C">
        <w:rPr>
          <w:szCs w:val="22"/>
        </w:rPr>
        <w:t>，《般若經講記》</w:t>
      </w:r>
      <w:r w:rsidRPr="00412A9C">
        <w:rPr>
          <w:rFonts w:hint="eastAsia"/>
          <w:szCs w:val="22"/>
        </w:rPr>
        <w:t>，</w:t>
      </w:r>
      <w:r w:rsidRPr="00761EF3">
        <w:rPr>
          <w:szCs w:val="22"/>
        </w:rPr>
        <w:t>p</w:t>
      </w:r>
      <w:r w:rsidRPr="00412A9C">
        <w:rPr>
          <w:szCs w:val="22"/>
        </w:rPr>
        <w:t>.</w:t>
      </w:r>
      <w:r w:rsidRPr="00761EF3">
        <w:rPr>
          <w:szCs w:val="22"/>
        </w:rPr>
        <w:t>8</w:t>
      </w:r>
      <w:r w:rsidRPr="00412A9C">
        <w:rPr>
          <w:szCs w:val="22"/>
        </w:rPr>
        <w:t>：</w:t>
      </w:r>
    </w:p>
    <w:p w:rsidR="00157EF6" w:rsidRPr="00412A9C" w:rsidRDefault="00157EF6" w:rsidP="00AA120F">
      <w:pPr>
        <w:pStyle w:val="a5"/>
        <w:overflowPunct w:val="0"/>
        <w:autoSpaceDE w:val="0"/>
        <w:autoSpaceDN w:val="0"/>
        <w:ind w:leftChars="335" w:left="804"/>
        <w:jc w:val="both"/>
        <w:rPr>
          <w:rFonts w:eastAsia="標楷體"/>
          <w:szCs w:val="22"/>
        </w:rPr>
      </w:pPr>
      <w:r w:rsidRPr="00412A9C">
        <w:rPr>
          <w:rFonts w:eastAsia="標楷體"/>
          <w:szCs w:val="22"/>
        </w:rPr>
        <w:t>般若將入畢竟空，絕諸戲論；方便將出畢竟空，嚴土熟生</w:t>
      </w:r>
      <w:r w:rsidRPr="00412A9C">
        <w:rPr>
          <w:rFonts w:eastAsia="標楷體" w:hint="eastAsia"/>
          <w:szCs w:val="22"/>
        </w:rPr>
        <w:t>。</w:t>
      </w:r>
    </w:p>
  </w:footnote>
  <w:footnote w:id="1010">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szCs w:val="22"/>
        </w:rPr>
        <w:t>泯絕：</w:t>
      </w:r>
      <w:r w:rsidRPr="00412A9C">
        <w:rPr>
          <w:rFonts w:ascii="新細明體" w:hAnsi="新細明體"/>
          <w:szCs w:val="22"/>
        </w:rPr>
        <w:t>完全消滅或消失。</w:t>
      </w:r>
      <w:r w:rsidRPr="00412A9C">
        <w:rPr>
          <w:szCs w:val="22"/>
        </w:rPr>
        <w:t>（《漢語大詞典》（五）</w:t>
      </w:r>
      <w:r w:rsidRPr="00412A9C">
        <w:rPr>
          <w:rFonts w:hint="eastAsia"/>
          <w:szCs w:val="22"/>
        </w:rPr>
        <w:t>，</w:t>
      </w:r>
      <w:r w:rsidRPr="00761EF3">
        <w:rPr>
          <w:szCs w:val="22"/>
        </w:rPr>
        <w:t>p</w:t>
      </w:r>
      <w:r w:rsidRPr="00412A9C">
        <w:rPr>
          <w:szCs w:val="22"/>
        </w:rPr>
        <w:t>.</w:t>
      </w:r>
      <w:r w:rsidRPr="00761EF3">
        <w:rPr>
          <w:szCs w:val="22"/>
        </w:rPr>
        <w:t>1111</w:t>
      </w:r>
      <w:r w:rsidRPr="00412A9C">
        <w:rPr>
          <w:szCs w:val="22"/>
        </w:rPr>
        <w:t>）</w:t>
      </w:r>
    </w:p>
  </w:footnote>
  <w:footnote w:id="1011">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Pr>
          <w:rFonts w:hint="eastAsia"/>
          <w:szCs w:val="22"/>
        </w:rPr>
        <w:t xml:space="preserve"> </w:t>
      </w:r>
      <w:r w:rsidRPr="00412A9C">
        <w:rPr>
          <w:szCs w:val="22"/>
        </w:rPr>
        <w:t>《大智度論》卷</w:t>
      </w:r>
      <w:r w:rsidRPr="00761EF3">
        <w:rPr>
          <w:szCs w:val="22"/>
        </w:rPr>
        <w:t>39</w:t>
      </w:r>
      <w:r w:rsidRPr="00412A9C">
        <w:rPr>
          <w:szCs w:val="22"/>
        </w:rPr>
        <w:t>（大正</w:t>
      </w:r>
      <w:r w:rsidRPr="00761EF3">
        <w:rPr>
          <w:szCs w:val="22"/>
        </w:rPr>
        <w:t>25</w:t>
      </w:r>
      <w:r w:rsidRPr="00412A9C">
        <w:rPr>
          <w:szCs w:val="22"/>
        </w:rPr>
        <w:t>，</w:t>
      </w:r>
      <w:r w:rsidRPr="00761EF3">
        <w:rPr>
          <w:szCs w:val="22"/>
        </w:rPr>
        <w:t>348a6</w:t>
      </w:r>
      <w:r w:rsidRPr="00412A9C">
        <w:rPr>
          <w:szCs w:val="22"/>
        </w:rPr>
        <w:t>-</w:t>
      </w:r>
      <w:r w:rsidRPr="00761EF3">
        <w:rPr>
          <w:szCs w:val="22"/>
        </w:rPr>
        <w:t>27</w:t>
      </w:r>
      <w:r w:rsidRPr="00412A9C">
        <w:rPr>
          <w:szCs w:val="22"/>
        </w:rPr>
        <w:t>）：</w:t>
      </w:r>
    </w:p>
    <w:p w:rsidR="00157EF6" w:rsidRPr="00412A9C" w:rsidRDefault="00157EF6" w:rsidP="00AA120F">
      <w:pPr>
        <w:pStyle w:val="a5"/>
        <w:tabs>
          <w:tab w:val="left" w:pos="180"/>
        </w:tabs>
        <w:overflowPunct w:val="0"/>
        <w:autoSpaceDE w:val="0"/>
        <w:autoSpaceDN w:val="0"/>
        <w:ind w:leftChars="105" w:left="912" w:hangingChars="300" w:hanging="660"/>
        <w:jc w:val="both"/>
        <w:rPr>
          <w:rFonts w:eastAsia="標楷體"/>
          <w:kern w:val="0"/>
          <w:szCs w:val="22"/>
        </w:rPr>
      </w:pPr>
      <w:r w:rsidRPr="00412A9C">
        <w:rPr>
          <w:rFonts w:eastAsia="標楷體"/>
          <w:kern w:val="0"/>
          <w:szCs w:val="22"/>
        </w:rPr>
        <w:t>問曰：若爾者，何等是</w:t>
      </w:r>
      <w:r w:rsidR="005444A1">
        <w:rPr>
          <w:rFonts w:ascii="標楷體" w:eastAsia="標楷體" w:hAnsi="標楷體" w:hint="eastAsia"/>
          <w:bCs/>
          <w:color w:val="FF0000"/>
          <w:kern w:val="0"/>
          <w:highlight w:val="yellow"/>
        </w:rPr>
        <w:t>「</w:t>
      </w:r>
      <w:r w:rsidR="005444A1">
        <w:rPr>
          <w:rFonts w:ascii="標楷體" w:eastAsia="標楷體" w:hAnsi="標楷體" w:hint="eastAsia"/>
          <w:color w:val="FF0000"/>
          <w:kern w:val="0"/>
          <w:highlight w:val="yellow"/>
        </w:rPr>
        <w:t>『</w:t>
      </w:r>
      <w:r w:rsidRPr="00412A9C">
        <w:rPr>
          <w:rFonts w:eastAsia="標楷體"/>
          <w:kern w:val="0"/>
          <w:szCs w:val="22"/>
        </w:rPr>
        <w:t>慧眼</w:t>
      </w:r>
      <w:r w:rsidR="005444A1">
        <w:rPr>
          <w:rFonts w:ascii="標楷體" w:eastAsia="標楷體" w:hAnsi="標楷體" w:hint="eastAsia"/>
          <w:color w:val="FF0000"/>
          <w:kern w:val="0"/>
          <w:highlight w:val="yellow"/>
        </w:rPr>
        <w:t>』</w:t>
      </w:r>
      <w:r w:rsidRPr="00412A9C">
        <w:rPr>
          <w:rFonts w:eastAsia="標楷體"/>
          <w:kern w:val="0"/>
          <w:szCs w:val="22"/>
        </w:rPr>
        <w:t>相</w:t>
      </w:r>
      <w:r w:rsidR="005444A1">
        <w:rPr>
          <w:rFonts w:ascii="標楷體" w:eastAsia="標楷體" w:hAnsi="標楷體" w:hint="eastAsia"/>
          <w:bCs/>
          <w:color w:val="FF0000"/>
          <w:kern w:val="0"/>
          <w:highlight w:val="yellow"/>
        </w:rPr>
        <w:t>」</w:t>
      </w:r>
      <w:r w:rsidRPr="00412A9C">
        <w:rPr>
          <w:rFonts w:eastAsia="標楷體"/>
          <w:kern w:val="0"/>
          <w:szCs w:val="22"/>
        </w:rPr>
        <w:t>？</w:t>
      </w:r>
    </w:p>
    <w:p w:rsidR="00157EF6" w:rsidRPr="00C917F3" w:rsidRDefault="00157EF6" w:rsidP="00AA120F">
      <w:pPr>
        <w:pStyle w:val="a5"/>
        <w:tabs>
          <w:tab w:val="left" w:pos="180"/>
        </w:tabs>
        <w:overflowPunct w:val="0"/>
        <w:autoSpaceDE w:val="0"/>
        <w:autoSpaceDN w:val="0"/>
        <w:ind w:leftChars="105" w:left="912" w:hangingChars="300" w:hanging="660"/>
        <w:jc w:val="both"/>
        <w:rPr>
          <w:rFonts w:eastAsia="標楷體"/>
          <w:kern w:val="0"/>
          <w:szCs w:val="22"/>
        </w:rPr>
      </w:pPr>
      <w:r w:rsidRPr="00412A9C">
        <w:rPr>
          <w:rFonts w:eastAsia="標楷體"/>
          <w:kern w:val="0"/>
          <w:szCs w:val="22"/>
        </w:rPr>
        <w:t>答曰：</w:t>
      </w:r>
      <w:r w:rsidRPr="00A75AFB">
        <w:rPr>
          <w:rFonts w:ascii="標楷體" w:eastAsia="標楷體" w:hAnsi="標楷體"/>
          <w:kern w:val="0"/>
          <w:szCs w:val="22"/>
          <w:shd w:val="pct15" w:color="auto" w:fill="FFFFFF"/>
        </w:rPr>
        <w:t>……</w:t>
      </w:r>
      <w:r w:rsidRPr="00412A9C">
        <w:rPr>
          <w:rFonts w:eastAsia="標楷體"/>
          <w:kern w:val="0"/>
          <w:szCs w:val="22"/>
        </w:rPr>
        <w:t>有人言：</w:t>
      </w:r>
      <w:r w:rsidR="005444A1">
        <w:rPr>
          <w:rFonts w:ascii="標楷體" w:eastAsia="標楷體" w:hAnsi="標楷體" w:hint="eastAsia"/>
          <w:bCs/>
          <w:color w:val="FF0000"/>
          <w:kern w:val="0"/>
          <w:highlight w:val="yellow"/>
        </w:rPr>
        <w:t>「</w:t>
      </w:r>
      <w:r w:rsidRPr="00412A9C">
        <w:rPr>
          <w:rFonts w:eastAsia="標楷體"/>
          <w:kern w:val="0"/>
          <w:szCs w:val="22"/>
        </w:rPr>
        <w:t>癡、慧</w:t>
      </w:r>
      <w:r w:rsidR="005444A1">
        <w:rPr>
          <w:rFonts w:ascii="標楷體" w:eastAsia="標楷體" w:hAnsi="標楷體" w:hint="eastAsia"/>
          <w:bCs/>
          <w:color w:val="FF0000"/>
          <w:kern w:val="0"/>
          <w:highlight w:val="yellow"/>
        </w:rPr>
        <w:t>」</w:t>
      </w:r>
      <w:r w:rsidRPr="00412A9C">
        <w:rPr>
          <w:rFonts w:eastAsia="標楷體"/>
          <w:kern w:val="0"/>
          <w:szCs w:val="22"/>
        </w:rPr>
        <w:t>非一、非異</w:t>
      </w:r>
      <w:r w:rsidR="005444A1">
        <w:rPr>
          <w:rFonts w:ascii="標楷體" w:eastAsia="標楷體" w:hAnsi="標楷體" w:hint="eastAsia"/>
          <w:color w:val="FF0000"/>
          <w:spacing w:val="-4"/>
          <w:kern w:val="0"/>
          <w:highlight w:val="yellow"/>
        </w:rPr>
        <w:t>；</w:t>
      </w:r>
      <w:r w:rsidRPr="00412A9C">
        <w:rPr>
          <w:rFonts w:eastAsia="標楷體"/>
          <w:kern w:val="0"/>
          <w:szCs w:val="22"/>
        </w:rPr>
        <w:t>世間法不異出世間，出世間法不異世間；世間法即是出世間，出世間法即是世間</w:t>
      </w:r>
      <w:r w:rsidRPr="00412A9C">
        <w:rPr>
          <w:rFonts w:eastAsia="標楷體" w:hint="eastAsia"/>
          <w:kern w:val="0"/>
          <w:szCs w:val="22"/>
        </w:rPr>
        <w:t>。</w:t>
      </w:r>
      <w:r w:rsidRPr="00412A9C">
        <w:rPr>
          <w:rFonts w:eastAsia="標楷體"/>
          <w:kern w:val="0"/>
          <w:szCs w:val="22"/>
        </w:rPr>
        <w:t>所以者何？</w:t>
      </w:r>
      <w:r w:rsidR="005444A1">
        <w:rPr>
          <w:rFonts w:ascii="標楷體" w:eastAsia="標楷體" w:hAnsi="標楷體" w:hint="eastAsia"/>
          <w:bCs/>
          <w:color w:val="FF0000"/>
          <w:kern w:val="0"/>
          <w:highlight w:val="yellow"/>
        </w:rPr>
        <w:t>「</w:t>
      </w:r>
      <w:r w:rsidRPr="00412A9C">
        <w:rPr>
          <w:rFonts w:eastAsia="標楷體"/>
          <w:kern w:val="0"/>
          <w:szCs w:val="22"/>
        </w:rPr>
        <w:t>異</w:t>
      </w:r>
      <w:r w:rsidR="005444A1">
        <w:rPr>
          <w:rFonts w:ascii="標楷體" w:eastAsia="標楷體" w:hAnsi="標楷體" w:hint="eastAsia"/>
          <w:bCs/>
          <w:color w:val="FF0000"/>
          <w:kern w:val="0"/>
          <w:highlight w:val="yellow"/>
        </w:rPr>
        <w:t>」</w:t>
      </w:r>
      <w:r w:rsidRPr="00412A9C">
        <w:rPr>
          <w:rFonts w:eastAsia="標楷體"/>
          <w:kern w:val="0"/>
          <w:szCs w:val="22"/>
        </w:rPr>
        <w:t>不可得故。諸觀滅，諸心行轉還無所去，滅一切語言，</w:t>
      </w:r>
      <w:r w:rsidR="005444A1">
        <w:rPr>
          <w:rFonts w:ascii="標楷體" w:eastAsia="標楷體" w:hAnsi="標楷體" w:hint="eastAsia"/>
          <w:bCs/>
          <w:color w:val="FF0000"/>
          <w:kern w:val="0"/>
          <w:highlight w:val="yellow"/>
        </w:rPr>
        <w:t>「</w:t>
      </w:r>
      <w:r w:rsidR="00A1080D">
        <w:rPr>
          <w:rFonts w:ascii="標楷體" w:eastAsia="標楷體" w:hAnsi="標楷體" w:hint="eastAsia"/>
          <w:color w:val="FF0000"/>
          <w:kern w:val="0"/>
          <w:highlight w:val="yellow"/>
        </w:rPr>
        <w:t>『</w:t>
      </w:r>
      <w:r w:rsidRPr="00412A9C">
        <w:rPr>
          <w:rFonts w:eastAsia="標楷體"/>
          <w:kern w:val="0"/>
          <w:szCs w:val="22"/>
        </w:rPr>
        <w:t>世間法</w:t>
      </w:r>
      <w:r w:rsidR="00A1080D">
        <w:rPr>
          <w:rFonts w:ascii="標楷體" w:eastAsia="標楷體" w:hAnsi="標楷體" w:hint="eastAsia"/>
          <w:color w:val="FF0000"/>
          <w:kern w:val="0"/>
          <w:highlight w:val="yellow"/>
        </w:rPr>
        <w:t>』</w:t>
      </w:r>
      <w:r w:rsidRPr="00412A9C">
        <w:rPr>
          <w:rFonts w:eastAsia="標楷體"/>
          <w:kern w:val="0"/>
          <w:szCs w:val="22"/>
        </w:rPr>
        <w:t>相</w:t>
      </w:r>
      <w:r w:rsidR="005444A1">
        <w:rPr>
          <w:rFonts w:ascii="標楷體" w:eastAsia="標楷體" w:hAnsi="標楷體" w:hint="eastAsia"/>
          <w:bCs/>
          <w:color w:val="FF0000"/>
          <w:kern w:val="0"/>
          <w:highlight w:val="yellow"/>
        </w:rPr>
        <w:t>」</w:t>
      </w:r>
      <w:r w:rsidRPr="00412A9C">
        <w:rPr>
          <w:rFonts w:eastAsia="標楷體"/>
          <w:kern w:val="0"/>
          <w:szCs w:val="22"/>
        </w:rPr>
        <w:t>如</w:t>
      </w:r>
      <w:r w:rsidR="005444A1">
        <w:rPr>
          <w:rFonts w:ascii="標楷體" w:eastAsia="標楷體" w:hAnsi="標楷體" w:hint="eastAsia"/>
          <w:bCs/>
          <w:color w:val="FF0000"/>
          <w:kern w:val="0"/>
          <w:highlight w:val="yellow"/>
        </w:rPr>
        <w:t>「</w:t>
      </w:r>
      <w:r w:rsidRPr="00412A9C">
        <w:rPr>
          <w:rFonts w:eastAsia="標楷體"/>
          <w:kern w:val="0"/>
          <w:szCs w:val="22"/>
        </w:rPr>
        <w:t>涅槃</w:t>
      </w:r>
      <w:r w:rsidR="005444A1">
        <w:rPr>
          <w:rFonts w:ascii="標楷體" w:eastAsia="標楷體" w:hAnsi="標楷體" w:hint="eastAsia"/>
          <w:bCs/>
          <w:color w:val="FF0000"/>
          <w:kern w:val="0"/>
          <w:highlight w:val="yellow"/>
        </w:rPr>
        <w:t>」</w:t>
      </w:r>
      <w:r w:rsidRPr="00412A9C">
        <w:rPr>
          <w:rFonts w:eastAsia="標楷體"/>
          <w:kern w:val="0"/>
          <w:szCs w:val="22"/>
        </w:rPr>
        <w:t>不異</w:t>
      </w:r>
      <w:r w:rsidRPr="00412A9C">
        <w:rPr>
          <w:rFonts w:hint="eastAsia"/>
          <w:bCs/>
          <w:szCs w:val="22"/>
        </w:rPr>
        <w:t>──</w:t>
      </w:r>
      <w:r w:rsidRPr="00412A9C">
        <w:rPr>
          <w:rFonts w:eastAsia="標楷體"/>
          <w:kern w:val="0"/>
          <w:szCs w:val="22"/>
        </w:rPr>
        <w:t>如是智慧，是</w:t>
      </w:r>
      <w:r w:rsidRPr="00C917F3">
        <w:rPr>
          <w:rFonts w:eastAsia="標楷體"/>
          <w:kern w:val="0"/>
          <w:szCs w:val="22"/>
        </w:rPr>
        <w:t>名</w:t>
      </w:r>
      <w:r w:rsidR="005444A1">
        <w:rPr>
          <w:rFonts w:ascii="標楷體" w:eastAsia="標楷體" w:hAnsi="標楷體" w:hint="eastAsia"/>
          <w:bCs/>
          <w:color w:val="FF0000"/>
          <w:kern w:val="0"/>
          <w:highlight w:val="yellow"/>
        </w:rPr>
        <w:t>「</w:t>
      </w:r>
      <w:r w:rsidRPr="00C917F3">
        <w:rPr>
          <w:rFonts w:eastAsia="標楷體"/>
          <w:kern w:val="0"/>
          <w:szCs w:val="22"/>
        </w:rPr>
        <w:t>慧眼</w:t>
      </w:r>
      <w:r w:rsidR="005444A1">
        <w:rPr>
          <w:rFonts w:ascii="標楷體" w:eastAsia="標楷體" w:hAnsi="標楷體" w:hint="eastAsia"/>
          <w:bCs/>
          <w:color w:val="FF0000"/>
          <w:kern w:val="0"/>
          <w:highlight w:val="yellow"/>
        </w:rPr>
        <w:t>」</w:t>
      </w:r>
      <w:r w:rsidRPr="00C917F3">
        <w:rPr>
          <w:rFonts w:eastAsia="標楷體"/>
          <w:kern w:val="0"/>
          <w:szCs w:val="22"/>
        </w:rPr>
        <w:t>。</w:t>
      </w:r>
    </w:p>
    <w:p w:rsidR="00157EF6" w:rsidRPr="00C917F3" w:rsidRDefault="00157EF6" w:rsidP="00AE3920">
      <w:pPr>
        <w:pStyle w:val="a5"/>
        <w:tabs>
          <w:tab w:val="left" w:pos="180"/>
        </w:tabs>
        <w:overflowPunct w:val="0"/>
        <w:autoSpaceDE w:val="0"/>
        <w:autoSpaceDN w:val="0"/>
        <w:spacing w:beforeLines="20"/>
        <w:ind w:leftChars="380" w:left="912"/>
        <w:jc w:val="both"/>
        <w:rPr>
          <w:rFonts w:eastAsia="標楷體"/>
          <w:szCs w:val="22"/>
        </w:rPr>
      </w:pPr>
      <w:r w:rsidRPr="00C917F3">
        <w:rPr>
          <w:rFonts w:eastAsia="標楷體"/>
          <w:szCs w:val="22"/>
        </w:rPr>
        <w:t>復次，此中佛自說：「慧眼菩薩，一切法中</w:t>
      </w:r>
      <w:r w:rsidR="005444A1">
        <w:rPr>
          <w:rFonts w:ascii="標楷體" w:eastAsia="標楷體" w:hAnsi="標楷體" w:hint="eastAsia"/>
          <w:color w:val="FF0000"/>
          <w:kern w:val="0"/>
          <w:highlight w:val="yellow"/>
        </w:rPr>
        <w:t>，</w:t>
      </w:r>
      <w:r w:rsidRPr="00C917F3">
        <w:rPr>
          <w:rFonts w:eastAsia="標楷體"/>
          <w:szCs w:val="22"/>
        </w:rPr>
        <w:t>不念</w:t>
      </w:r>
      <w:r w:rsidR="005444A1">
        <w:rPr>
          <w:rFonts w:ascii="標楷體" w:eastAsia="標楷體" w:hAnsi="標楷體" w:hint="eastAsia"/>
          <w:color w:val="FF0000"/>
          <w:kern w:val="0"/>
          <w:highlight w:val="yellow"/>
        </w:rPr>
        <w:t>『</w:t>
      </w:r>
      <w:r w:rsidRPr="00C917F3">
        <w:rPr>
          <w:rFonts w:eastAsia="標楷體"/>
          <w:szCs w:val="22"/>
        </w:rPr>
        <w:t>有為、若無為，若世間、若出世間，若有漏、若無漏</w:t>
      </w:r>
      <w:r w:rsidR="005444A1">
        <w:rPr>
          <w:rFonts w:ascii="標楷體" w:eastAsia="標楷體" w:hAnsi="標楷體" w:hint="eastAsia"/>
          <w:color w:val="FF0000"/>
          <w:kern w:val="0"/>
          <w:highlight w:val="yellow"/>
        </w:rPr>
        <w:t>』</w:t>
      </w:r>
      <w:r w:rsidRPr="00C917F3">
        <w:rPr>
          <w:rFonts w:eastAsia="標楷體"/>
          <w:szCs w:val="22"/>
        </w:rPr>
        <w:t>等</w:t>
      </w:r>
      <w:r w:rsidRPr="00C917F3">
        <w:rPr>
          <w:rFonts w:eastAsia="標楷體" w:hint="eastAsia"/>
          <w:szCs w:val="22"/>
        </w:rPr>
        <w:t>，</w:t>
      </w:r>
      <w:r w:rsidRPr="00C917F3">
        <w:rPr>
          <w:rFonts w:eastAsia="標楷體"/>
          <w:szCs w:val="22"/>
        </w:rPr>
        <w:t>是名</w:t>
      </w:r>
      <w:r w:rsidR="005444A1">
        <w:rPr>
          <w:rFonts w:ascii="標楷體" w:eastAsia="標楷體" w:hAnsi="標楷體" w:hint="eastAsia"/>
          <w:color w:val="FF0000"/>
          <w:kern w:val="0"/>
          <w:highlight w:val="yellow"/>
        </w:rPr>
        <w:t>『</w:t>
      </w:r>
      <w:r w:rsidRPr="00C917F3">
        <w:rPr>
          <w:rFonts w:eastAsia="標楷體"/>
          <w:szCs w:val="22"/>
        </w:rPr>
        <w:t>慧眼</w:t>
      </w:r>
      <w:r w:rsidR="005444A1">
        <w:rPr>
          <w:rFonts w:ascii="標楷體" w:eastAsia="標楷體" w:hAnsi="標楷體" w:hint="eastAsia"/>
          <w:color w:val="FF0000"/>
          <w:kern w:val="0"/>
          <w:highlight w:val="yellow"/>
        </w:rPr>
        <w:t>』</w:t>
      </w:r>
      <w:r w:rsidRPr="00C917F3">
        <w:rPr>
          <w:rFonts w:eastAsia="標楷體" w:hint="eastAsia"/>
          <w:szCs w:val="22"/>
        </w:rPr>
        <w:t>。</w:t>
      </w:r>
      <w:r w:rsidRPr="00C917F3">
        <w:rPr>
          <w:rFonts w:eastAsia="標楷體"/>
          <w:szCs w:val="22"/>
        </w:rPr>
        <w:t>」</w:t>
      </w:r>
    </w:p>
    <w:p w:rsidR="00157EF6" w:rsidRPr="00412A9C" w:rsidRDefault="00157EF6" w:rsidP="00AA120F">
      <w:pPr>
        <w:pStyle w:val="a5"/>
        <w:tabs>
          <w:tab w:val="left" w:pos="180"/>
        </w:tabs>
        <w:overflowPunct w:val="0"/>
        <w:autoSpaceDE w:val="0"/>
        <w:autoSpaceDN w:val="0"/>
        <w:ind w:leftChars="380" w:left="912"/>
        <w:jc w:val="both"/>
        <w:rPr>
          <w:rFonts w:eastAsia="標楷體"/>
          <w:szCs w:val="22"/>
        </w:rPr>
      </w:pPr>
      <w:r w:rsidRPr="00C917F3">
        <w:rPr>
          <w:rFonts w:eastAsia="標楷體"/>
          <w:szCs w:val="22"/>
        </w:rPr>
        <w:t>若菩</w:t>
      </w:r>
      <w:r w:rsidRPr="00412A9C">
        <w:rPr>
          <w:rFonts w:eastAsia="標楷體"/>
          <w:szCs w:val="22"/>
        </w:rPr>
        <w:t>薩見</w:t>
      </w:r>
      <w:r w:rsidR="005444A1">
        <w:rPr>
          <w:rFonts w:ascii="標楷體" w:eastAsia="標楷體" w:hAnsi="標楷體" w:hint="eastAsia"/>
          <w:bCs/>
          <w:color w:val="FF0000"/>
          <w:kern w:val="0"/>
          <w:highlight w:val="yellow"/>
        </w:rPr>
        <w:t>「</w:t>
      </w:r>
      <w:r w:rsidRPr="00412A9C">
        <w:rPr>
          <w:rFonts w:eastAsia="標楷體"/>
          <w:szCs w:val="22"/>
        </w:rPr>
        <w:t>有為、世間、有漏</w:t>
      </w:r>
      <w:r w:rsidR="005444A1">
        <w:rPr>
          <w:rFonts w:ascii="標楷體" w:eastAsia="標楷體" w:hAnsi="標楷體" w:hint="eastAsia"/>
          <w:bCs/>
          <w:color w:val="FF0000"/>
          <w:kern w:val="0"/>
          <w:highlight w:val="yellow"/>
        </w:rPr>
        <w:t>」</w:t>
      </w:r>
      <w:r w:rsidRPr="00412A9C">
        <w:rPr>
          <w:rFonts w:eastAsia="標楷體"/>
          <w:szCs w:val="22"/>
        </w:rPr>
        <w:t>，即墮</w:t>
      </w:r>
      <w:r w:rsidR="00A1080D">
        <w:rPr>
          <w:rFonts w:ascii="標楷體" w:eastAsia="標楷體" w:hAnsi="標楷體" w:hint="eastAsia"/>
          <w:bCs/>
          <w:color w:val="FF0000"/>
          <w:kern w:val="0"/>
          <w:highlight w:val="yellow"/>
        </w:rPr>
        <w:t>「</w:t>
      </w:r>
      <w:r w:rsidRPr="00412A9C">
        <w:rPr>
          <w:rFonts w:eastAsia="標楷體"/>
          <w:szCs w:val="22"/>
        </w:rPr>
        <w:t>有見</w:t>
      </w:r>
      <w:r w:rsidR="00A1080D">
        <w:rPr>
          <w:rFonts w:ascii="標楷體" w:eastAsia="標楷體" w:hAnsi="標楷體" w:hint="eastAsia"/>
          <w:bCs/>
          <w:color w:val="FF0000"/>
          <w:kern w:val="0"/>
          <w:highlight w:val="yellow"/>
        </w:rPr>
        <w:t>」</w:t>
      </w:r>
      <w:r w:rsidRPr="00412A9C">
        <w:rPr>
          <w:rFonts w:eastAsia="標楷體"/>
          <w:szCs w:val="22"/>
        </w:rPr>
        <w:t>中；若見</w:t>
      </w:r>
      <w:r w:rsidR="005444A1">
        <w:rPr>
          <w:rFonts w:ascii="標楷體" w:eastAsia="標楷體" w:hAnsi="標楷體" w:hint="eastAsia"/>
          <w:bCs/>
          <w:color w:val="FF0000"/>
          <w:kern w:val="0"/>
          <w:highlight w:val="yellow"/>
        </w:rPr>
        <w:t>「</w:t>
      </w:r>
      <w:r w:rsidRPr="00412A9C">
        <w:rPr>
          <w:rFonts w:eastAsia="標楷體"/>
          <w:szCs w:val="22"/>
        </w:rPr>
        <w:t>無為、出世間、無漏</w:t>
      </w:r>
      <w:r w:rsidR="005444A1">
        <w:rPr>
          <w:rFonts w:ascii="標楷體" w:eastAsia="標楷體" w:hAnsi="標楷體" w:hint="eastAsia"/>
          <w:bCs/>
          <w:color w:val="FF0000"/>
          <w:kern w:val="0"/>
          <w:highlight w:val="yellow"/>
        </w:rPr>
        <w:t>」</w:t>
      </w:r>
      <w:r w:rsidRPr="00412A9C">
        <w:rPr>
          <w:rFonts w:eastAsia="標楷體"/>
          <w:szCs w:val="22"/>
        </w:rPr>
        <w:t>，即墮</w:t>
      </w:r>
      <w:r w:rsidR="00A1080D">
        <w:rPr>
          <w:rFonts w:ascii="標楷體" w:eastAsia="標楷體" w:hAnsi="標楷體" w:hint="eastAsia"/>
          <w:bCs/>
          <w:color w:val="FF0000"/>
          <w:kern w:val="0"/>
          <w:highlight w:val="yellow"/>
        </w:rPr>
        <w:t>「</w:t>
      </w:r>
      <w:r w:rsidRPr="00412A9C">
        <w:rPr>
          <w:rFonts w:eastAsia="標楷體"/>
          <w:szCs w:val="22"/>
        </w:rPr>
        <w:t>無見</w:t>
      </w:r>
      <w:r w:rsidR="00A1080D">
        <w:rPr>
          <w:rFonts w:ascii="標楷體" w:eastAsia="標楷體" w:hAnsi="標楷體" w:hint="eastAsia"/>
          <w:bCs/>
          <w:color w:val="FF0000"/>
          <w:kern w:val="0"/>
          <w:highlight w:val="yellow"/>
        </w:rPr>
        <w:t>」</w:t>
      </w:r>
      <w:r w:rsidRPr="00412A9C">
        <w:rPr>
          <w:rFonts w:eastAsia="標楷體"/>
          <w:szCs w:val="22"/>
        </w:rPr>
        <w:t>中。是</w:t>
      </w:r>
      <w:r w:rsidR="005444A1">
        <w:rPr>
          <w:rFonts w:ascii="標楷體" w:eastAsia="標楷體" w:hAnsi="標楷體" w:hint="eastAsia"/>
          <w:bCs/>
          <w:color w:val="FF0000"/>
          <w:kern w:val="0"/>
          <w:highlight w:val="yellow"/>
        </w:rPr>
        <w:t>「</w:t>
      </w:r>
      <w:r w:rsidR="005444A1">
        <w:rPr>
          <w:rFonts w:ascii="標楷體" w:eastAsia="標楷體" w:hAnsi="標楷體" w:hint="eastAsia"/>
          <w:color w:val="FF0000"/>
          <w:kern w:val="0"/>
          <w:highlight w:val="yellow"/>
        </w:rPr>
        <w:t>『</w:t>
      </w:r>
      <w:r w:rsidRPr="00412A9C">
        <w:rPr>
          <w:rFonts w:eastAsia="標楷體"/>
          <w:szCs w:val="22"/>
        </w:rPr>
        <w:t>有、無</w:t>
      </w:r>
      <w:r w:rsidR="005444A1">
        <w:rPr>
          <w:rFonts w:ascii="標楷體" w:eastAsia="標楷體" w:hAnsi="標楷體" w:hint="eastAsia"/>
          <w:color w:val="FF0000"/>
          <w:kern w:val="0"/>
          <w:highlight w:val="yellow"/>
        </w:rPr>
        <w:t>』</w:t>
      </w:r>
      <w:r w:rsidRPr="00412A9C">
        <w:rPr>
          <w:rFonts w:eastAsia="標楷體"/>
          <w:szCs w:val="22"/>
        </w:rPr>
        <w:t>二見</w:t>
      </w:r>
      <w:r w:rsidR="005444A1">
        <w:rPr>
          <w:rFonts w:ascii="標楷體" w:eastAsia="標楷體" w:hAnsi="標楷體" w:hint="eastAsia"/>
          <w:bCs/>
          <w:color w:val="FF0000"/>
          <w:kern w:val="0"/>
          <w:highlight w:val="yellow"/>
        </w:rPr>
        <w:t>」</w:t>
      </w:r>
      <w:r w:rsidRPr="00412A9C">
        <w:rPr>
          <w:rFonts w:eastAsia="標楷體"/>
          <w:szCs w:val="22"/>
        </w:rPr>
        <w:t>捨，以不戲論慧行於中道，是名</w:t>
      </w:r>
      <w:r w:rsidR="005444A1">
        <w:rPr>
          <w:rFonts w:ascii="標楷體" w:eastAsia="標楷體" w:hAnsi="標楷體" w:hint="eastAsia"/>
          <w:bCs/>
          <w:color w:val="FF0000"/>
          <w:kern w:val="0"/>
          <w:highlight w:val="yellow"/>
        </w:rPr>
        <w:t>「</w:t>
      </w:r>
      <w:r w:rsidRPr="00412A9C">
        <w:rPr>
          <w:rFonts w:eastAsia="標楷體"/>
          <w:szCs w:val="22"/>
        </w:rPr>
        <w:t>慧眼</w:t>
      </w:r>
      <w:r w:rsidR="005444A1">
        <w:rPr>
          <w:rFonts w:ascii="標楷體" w:eastAsia="標楷體" w:hAnsi="標楷體" w:hint="eastAsia"/>
          <w:bCs/>
          <w:color w:val="FF0000"/>
          <w:kern w:val="0"/>
          <w:highlight w:val="yellow"/>
        </w:rPr>
        <w:t>」</w:t>
      </w:r>
      <w:r w:rsidRPr="00412A9C">
        <w:rPr>
          <w:rFonts w:eastAsia="標楷體"/>
          <w:szCs w:val="22"/>
        </w:rPr>
        <w:t>。</w:t>
      </w:r>
    </w:p>
  </w:footnote>
  <w:footnote w:id="1012">
    <w:p w:rsidR="00E84AA9" w:rsidRPr="00412A9C" w:rsidRDefault="00E84AA9" w:rsidP="00E84AA9">
      <w:pPr>
        <w:pStyle w:val="a5"/>
        <w:spacing w:line="0" w:lineRule="atLeast"/>
        <w:ind w:left="253" w:hangingChars="115" w:hanging="253"/>
        <w:jc w:val="both"/>
        <w:rPr>
          <w:szCs w:val="22"/>
        </w:rPr>
      </w:pPr>
      <w:r w:rsidRPr="00412A9C">
        <w:rPr>
          <w:rStyle w:val="a6"/>
          <w:szCs w:val="22"/>
        </w:rPr>
        <w:footnoteRef/>
      </w:r>
      <w:r>
        <w:rPr>
          <w:rFonts w:hint="eastAsia"/>
          <w:szCs w:val="22"/>
        </w:rPr>
        <w:t xml:space="preserve"> </w:t>
      </w:r>
      <w:r w:rsidRPr="00412A9C">
        <w:rPr>
          <w:szCs w:val="22"/>
        </w:rPr>
        <w:t>《摩訶般若波羅蜜經》卷</w:t>
      </w:r>
      <w:r w:rsidRPr="00761EF3">
        <w:rPr>
          <w:szCs w:val="22"/>
        </w:rPr>
        <w:t>2</w:t>
      </w:r>
      <w:r w:rsidRPr="00412A9C">
        <w:rPr>
          <w:szCs w:val="22"/>
        </w:rPr>
        <w:t>〈</w:t>
      </w:r>
      <w:r w:rsidRPr="00761EF3">
        <w:rPr>
          <w:szCs w:val="22"/>
        </w:rPr>
        <w:t>4</w:t>
      </w:r>
      <w:r w:rsidRPr="00412A9C">
        <w:rPr>
          <w:szCs w:val="22"/>
        </w:rPr>
        <w:t xml:space="preserve"> </w:t>
      </w:r>
      <w:r w:rsidRPr="00412A9C">
        <w:rPr>
          <w:szCs w:val="22"/>
        </w:rPr>
        <w:t>往生品〉（大正</w:t>
      </w:r>
      <w:r w:rsidRPr="00761EF3">
        <w:rPr>
          <w:szCs w:val="22"/>
        </w:rPr>
        <w:t>8</w:t>
      </w:r>
      <w:r w:rsidRPr="00412A9C">
        <w:rPr>
          <w:szCs w:val="22"/>
        </w:rPr>
        <w:t>，</w:t>
      </w:r>
      <w:r w:rsidRPr="00761EF3">
        <w:rPr>
          <w:szCs w:val="22"/>
        </w:rPr>
        <w:t>227b27</w:t>
      </w:r>
      <w:r w:rsidRPr="00412A9C">
        <w:rPr>
          <w:szCs w:val="22"/>
        </w:rPr>
        <w:t>-</w:t>
      </w:r>
      <w:r w:rsidRPr="00761EF3">
        <w:rPr>
          <w:szCs w:val="22"/>
        </w:rPr>
        <w:t>c2</w:t>
      </w:r>
      <w:r w:rsidRPr="00412A9C">
        <w:rPr>
          <w:szCs w:val="22"/>
        </w:rPr>
        <w:t>）：</w:t>
      </w:r>
    </w:p>
    <w:p w:rsidR="00E84AA9" w:rsidRPr="00412A9C" w:rsidRDefault="00E84AA9" w:rsidP="00E84AA9">
      <w:pPr>
        <w:pStyle w:val="a5"/>
        <w:overflowPunct w:val="0"/>
        <w:autoSpaceDE w:val="0"/>
        <w:autoSpaceDN w:val="0"/>
        <w:ind w:leftChars="105" w:left="252"/>
        <w:jc w:val="both"/>
        <w:rPr>
          <w:rFonts w:eastAsia="標楷體"/>
          <w:szCs w:val="22"/>
        </w:rPr>
      </w:pPr>
      <w:r w:rsidRPr="00412A9C">
        <w:rPr>
          <w:rFonts w:eastAsia="標楷體"/>
          <w:szCs w:val="22"/>
        </w:rPr>
        <w:t>佛告舍利弗：「慧眼菩薩不作是念：有法</w:t>
      </w:r>
      <w:r>
        <w:rPr>
          <w:rFonts w:ascii="標楷體" w:eastAsia="標楷體" w:hAnsi="標楷體" w:hint="eastAsia"/>
          <w:color w:val="FF0000"/>
          <w:kern w:val="0"/>
          <w:highlight w:val="yellow"/>
        </w:rPr>
        <w:t>『</w:t>
      </w:r>
      <w:r w:rsidRPr="00412A9C">
        <w:rPr>
          <w:rFonts w:eastAsia="標楷體"/>
          <w:szCs w:val="22"/>
        </w:rPr>
        <w:t>若有為</w:t>
      </w:r>
      <w:r w:rsidRPr="00412A9C">
        <w:rPr>
          <w:rFonts w:eastAsia="標楷體" w:hint="eastAsia"/>
          <w:szCs w:val="22"/>
        </w:rPr>
        <w:t>、</w:t>
      </w:r>
      <w:r w:rsidRPr="00412A9C">
        <w:rPr>
          <w:rFonts w:eastAsia="標楷體"/>
          <w:szCs w:val="22"/>
        </w:rPr>
        <w:t>若無為，若世間</w:t>
      </w:r>
      <w:r w:rsidRPr="00412A9C">
        <w:rPr>
          <w:rFonts w:eastAsia="標楷體" w:hint="eastAsia"/>
          <w:szCs w:val="22"/>
        </w:rPr>
        <w:t>、</w:t>
      </w:r>
      <w:r w:rsidRPr="00412A9C">
        <w:rPr>
          <w:rFonts w:eastAsia="標楷體"/>
          <w:szCs w:val="22"/>
        </w:rPr>
        <w:t>若出世間，若有漏</w:t>
      </w:r>
      <w:r w:rsidRPr="00412A9C">
        <w:rPr>
          <w:rFonts w:eastAsia="標楷體" w:hint="eastAsia"/>
          <w:szCs w:val="22"/>
        </w:rPr>
        <w:t>、</w:t>
      </w:r>
      <w:r w:rsidRPr="00412A9C">
        <w:rPr>
          <w:rFonts w:eastAsia="標楷體"/>
          <w:szCs w:val="22"/>
        </w:rPr>
        <w:t>若無漏</w:t>
      </w:r>
      <w:r>
        <w:rPr>
          <w:rFonts w:ascii="標楷體" w:eastAsia="標楷體" w:hAnsi="標楷體" w:hint="eastAsia"/>
          <w:color w:val="FF0000"/>
          <w:kern w:val="0"/>
          <w:highlight w:val="yellow"/>
        </w:rPr>
        <w:t>』</w:t>
      </w:r>
      <w:r w:rsidRPr="00412A9C">
        <w:rPr>
          <w:rFonts w:eastAsia="標楷體"/>
          <w:szCs w:val="22"/>
        </w:rPr>
        <w:t>。是慧眼菩薩亦無法不見</w:t>
      </w:r>
      <w:r>
        <w:rPr>
          <w:rFonts w:ascii="標楷體" w:eastAsia="標楷體" w:hAnsi="標楷體" w:hint="eastAsia"/>
          <w:color w:val="FF0000"/>
          <w:spacing w:val="-4"/>
          <w:kern w:val="0"/>
          <w:highlight w:val="yellow"/>
        </w:rPr>
        <w:t>、</w:t>
      </w:r>
      <w:r w:rsidRPr="00412A9C">
        <w:rPr>
          <w:rFonts w:eastAsia="標楷體"/>
          <w:szCs w:val="22"/>
        </w:rPr>
        <w:t>無法不聞</w:t>
      </w:r>
      <w:r>
        <w:rPr>
          <w:rFonts w:ascii="標楷體" w:eastAsia="標楷體" w:hAnsi="標楷體" w:hint="eastAsia"/>
          <w:color w:val="FF0000"/>
          <w:spacing w:val="-4"/>
          <w:kern w:val="0"/>
          <w:highlight w:val="yellow"/>
        </w:rPr>
        <w:t>、</w:t>
      </w:r>
      <w:r w:rsidRPr="00412A9C">
        <w:rPr>
          <w:rFonts w:eastAsia="標楷體"/>
          <w:szCs w:val="22"/>
        </w:rPr>
        <w:t>無法不知</w:t>
      </w:r>
      <w:r>
        <w:rPr>
          <w:rFonts w:ascii="標楷體" w:eastAsia="標楷體" w:hAnsi="標楷體" w:hint="eastAsia"/>
          <w:color w:val="FF0000"/>
          <w:spacing w:val="-4"/>
          <w:kern w:val="0"/>
          <w:highlight w:val="yellow"/>
        </w:rPr>
        <w:t>、</w:t>
      </w:r>
      <w:r w:rsidRPr="00412A9C">
        <w:rPr>
          <w:rFonts w:eastAsia="標楷體"/>
          <w:szCs w:val="22"/>
        </w:rPr>
        <w:t>無法不識。舍利弗！是名</w:t>
      </w:r>
      <w:r>
        <w:rPr>
          <w:rFonts w:ascii="標楷體" w:eastAsia="標楷體" w:hAnsi="標楷體" w:hint="eastAsia"/>
          <w:color w:val="FF0000"/>
          <w:kern w:val="0"/>
          <w:highlight w:val="yellow"/>
        </w:rPr>
        <w:t>『</w:t>
      </w:r>
      <w:r w:rsidRPr="00412A9C">
        <w:rPr>
          <w:rFonts w:eastAsia="標楷體"/>
          <w:szCs w:val="22"/>
        </w:rPr>
        <w:t>菩薩摩訶薩慧眼淨</w:t>
      </w:r>
      <w:r>
        <w:rPr>
          <w:rFonts w:ascii="標楷體" w:eastAsia="標楷體" w:hAnsi="標楷體" w:hint="eastAsia"/>
          <w:color w:val="FF0000"/>
          <w:kern w:val="0"/>
          <w:highlight w:val="yellow"/>
        </w:rPr>
        <w:t>』</w:t>
      </w:r>
      <w:r w:rsidRPr="00412A9C">
        <w:rPr>
          <w:rFonts w:eastAsia="標楷體"/>
          <w:szCs w:val="22"/>
        </w:rPr>
        <w:t>。」</w:t>
      </w:r>
    </w:p>
  </w:footnote>
  <w:footnote w:id="1013">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rFonts w:hint="eastAsia"/>
          <w:szCs w:val="22"/>
        </w:rPr>
        <w:t>（</w:t>
      </w:r>
      <w:r w:rsidRPr="00761EF3">
        <w:rPr>
          <w:rFonts w:hint="eastAsia"/>
          <w:szCs w:val="22"/>
        </w:rPr>
        <w:t>1</w:t>
      </w:r>
      <w:r w:rsidRPr="00412A9C">
        <w:rPr>
          <w:rFonts w:hint="eastAsia"/>
          <w:szCs w:val="22"/>
        </w:rPr>
        <w:t>）《大</w:t>
      </w:r>
      <w:r w:rsidRPr="00E72E58">
        <w:rPr>
          <w:rFonts w:ascii="新細明體" w:hAnsi="新細明體" w:hint="eastAsia"/>
          <w:szCs w:val="22"/>
        </w:rPr>
        <w:t>般若</w:t>
      </w:r>
      <w:r w:rsidRPr="00412A9C">
        <w:rPr>
          <w:rFonts w:hint="eastAsia"/>
          <w:szCs w:val="22"/>
        </w:rPr>
        <w:t>波羅蜜多經》卷</w:t>
      </w:r>
      <w:r w:rsidRPr="00761EF3">
        <w:rPr>
          <w:rFonts w:hint="eastAsia"/>
          <w:szCs w:val="22"/>
        </w:rPr>
        <w:t>8</w:t>
      </w:r>
      <w:r w:rsidRPr="00412A9C">
        <w:rPr>
          <w:rFonts w:hint="eastAsia"/>
          <w:szCs w:val="22"/>
        </w:rPr>
        <w:t>〈</w:t>
      </w:r>
      <w:r w:rsidRPr="00761EF3">
        <w:rPr>
          <w:rFonts w:hint="eastAsia"/>
          <w:szCs w:val="22"/>
        </w:rPr>
        <w:t>4</w:t>
      </w:r>
      <w:r w:rsidRPr="00412A9C">
        <w:rPr>
          <w:rFonts w:hint="eastAsia"/>
          <w:szCs w:val="22"/>
        </w:rPr>
        <w:t xml:space="preserve"> </w:t>
      </w:r>
      <w:r w:rsidRPr="00412A9C">
        <w:rPr>
          <w:rFonts w:hint="eastAsia"/>
          <w:szCs w:val="22"/>
        </w:rPr>
        <w:t>轉生品〉（</w:t>
      </w:r>
      <w:r w:rsidRPr="00412A9C">
        <w:rPr>
          <w:szCs w:val="22"/>
        </w:rPr>
        <w:t>大正</w:t>
      </w:r>
      <w:r w:rsidRPr="00761EF3">
        <w:rPr>
          <w:szCs w:val="22"/>
        </w:rPr>
        <w:t>5</w:t>
      </w:r>
      <w:r w:rsidRPr="00412A9C">
        <w:rPr>
          <w:szCs w:val="22"/>
        </w:rPr>
        <w:t>，</w:t>
      </w:r>
      <w:r w:rsidRPr="00761EF3">
        <w:rPr>
          <w:szCs w:val="22"/>
        </w:rPr>
        <w:t>43b14</w:t>
      </w:r>
      <w:r w:rsidRPr="00412A9C">
        <w:rPr>
          <w:szCs w:val="22"/>
        </w:rPr>
        <w:t>-</w:t>
      </w:r>
      <w:r w:rsidRPr="00761EF3">
        <w:rPr>
          <w:szCs w:val="22"/>
        </w:rPr>
        <w:t>2</w:t>
      </w:r>
      <w:r w:rsidRPr="00761EF3">
        <w:rPr>
          <w:rFonts w:hint="eastAsia"/>
          <w:szCs w:val="22"/>
        </w:rPr>
        <w:t>7</w:t>
      </w:r>
      <w:r w:rsidRPr="00412A9C">
        <w:rPr>
          <w:rFonts w:hint="eastAsia"/>
          <w:szCs w:val="22"/>
        </w:rPr>
        <w:t>）：</w:t>
      </w:r>
    </w:p>
    <w:p w:rsidR="00157EF6" w:rsidRPr="00412A9C" w:rsidRDefault="00157EF6" w:rsidP="00AA120F">
      <w:pPr>
        <w:snapToGrid w:val="0"/>
        <w:ind w:leftChars="335" w:left="804"/>
        <w:jc w:val="both"/>
        <w:rPr>
          <w:rFonts w:ascii="標楷體" w:eastAsia="標楷體" w:hAnsi="標楷體"/>
          <w:sz w:val="22"/>
          <w:szCs w:val="22"/>
        </w:rPr>
      </w:pPr>
      <w:r w:rsidRPr="00412A9C">
        <w:rPr>
          <w:rFonts w:ascii="標楷體" w:eastAsia="標楷體" w:hAnsi="標楷體" w:hint="eastAsia"/>
          <w:sz w:val="22"/>
          <w:szCs w:val="22"/>
        </w:rPr>
        <w:t>佛告具壽舍利子言：「舍利子！諸菩薩摩訶薩得淨慧眼，不見有法若有為、若無為，不見有法若有漏、若無漏，不見有法若世間、若出世間，不見有法若有罪、若無罪，不見有法若雜染、若清淨，不見有法若有色、若無色，不見有法若有對、若無對，不見有法若過去、若未來、若現在，不見有法若欲界繫、若色界繫、若無色界繫，不見有法若善、若不善、若無記，不見有法若見所斷、若修所斷、若非所斷，不見有法若學、若無學、若非學非無學，乃至一切法若自性、若差別</w:t>
      </w:r>
      <w:r w:rsidR="002A2C74">
        <w:rPr>
          <w:rFonts w:ascii="標楷體" w:eastAsia="標楷體" w:hAnsi="標楷體" w:hint="eastAsia"/>
          <w:color w:val="FF0000"/>
          <w:kern w:val="0"/>
          <w:sz w:val="22"/>
          <w:highlight w:val="yellow"/>
        </w:rPr>
        <w:t>，</w:t>
      </w:r>
      <w:r w:rsidRPr="00412A9C">
        <w:rPr>
          <w:rFonts w:ascii="標楷體" w:eastAsia="標楷體" w:hAnsi="標楷體" w:hint="eastAsia"/>
          <w:sz w:val="22"/>
          <w:szCs w:val="22"/>
        </w:rPr>
        <w:t>都無所見。舍利子！是菩薩摩訶薩</w:t>
      </w:r>
      <w:r w:rsidRPr="00412A9C">
        <w:rPr>
          <w:rFonts w:ascii="標楷體" w:eastAsia="標楷體" w:hAnsi="標楷體" w:hint="eastAsia"/>
          <w:b/>
          <w:sz w:val="22"/>
          <w:szCs w:val="22"/>
        </w:rPr>
        <w:t>得淨慧眼，於一切法非見非不見、非聞非不聞、非覺非不覺、非識非不識。</w:t>
      </w:r>
      <w:r w:rsidRPr="00412A9C">
        <w:rPr>
          <w:rFonts w:ascii="標楷體" w:eastAsia="標楷體" w:hAnsi="標楷體" w:hint="eastAsia"/>
          <w:sz w:val="22"/>
          <w:szCs w:val="22"/>
        </w:rPr>
        <w:t>舍利子！是為菩薩摩訶薩得淨慧眼。」</w:t>
      </w:r>
    </w:p>
    <w:p w:rsidR="00157EF6" w:rsidRPr="00412A9C" w:rsidRDefault="00157EF6" w:rsidP="00AA120F">
      <w:pPr>
        <w:pStyle w:val="a5"/>
        <w:ind w:leftChars="105" w:left="791" w:hangingChars="245" w:hanging="539"/>
        <w:jc w:val="both"/>
        <w:rPr>
          <w:szCs w:val="22"/>
        </w:rPr>
      </w:pPr>
      <w:r w:rsidRPr="00412A9C">
        <w:rPr>
          <w:rFonts w:hint="eastAsia"/>
          <w:szCs w:val="22"/>
        </w:rPr>
        <w:t>（</w:t>
      </w:r>
      <w:r w:rsidRPr="00761EF3">
        <w:rPr>
          <w:rFonts w:hint="eastAsia"/>
          <w:szCs w:val="22"/>
        </w:rPr>
        <w:t>2</w:t>
      </w:r>
      <w:r w:rsidRPr="00412A9C">
        <w:rPr>
          <w:rFonts w:hint="eastAsia"/>
          <w:szCs w:val="22"/>
        </w:rPr>
        <w:t>）</w:t>
      </w:r>
      <w:r w:rsidRPr="00412A9C">
        <w:rPr>
          <w:szCs w:val="22"/>
        </w:rPr>
        <w:t>印順法師，《如來藏之研究》</w:t>
      </w:r>
      <w:r w:rsidRPr="00412A9C">
        <w:rPr>
          <w:rFonts w:hint="eastAsia"/>
          <w:szCs w:val="22"/>
        </w:rPr>
        <w:t>，</w:t>
      </w:r>
      <w:r w:rsidRPr="00761EF3">
        <w:rPr>
          <w:szCs w:val="22"/>
        </w:rPr>
        <w:t>pp</w:t>
      </w:r>
      <w:r w:rsidRPr="00412A9C">
        <w:rPr>
          <w:szCs w:val="22"/>
        </w:rPr>
        <w:t>.</w:t>
      </w:r>
      <w:r w:rsidRPr="00761EF3">
        <w:rPr>
          <w:szCs w:val="22"/>
        </w:rPr>
        <w:t>90</w:t>
      </w:r>
      <w:r w:rsidRPr="00412A9C">
        <w:rPr>
          <w:szCs w:val="22"/>
        </w:rPr>
        <w:t>-</w:t>
      </w:r>
      <w:r w:rsidRPr="00761EF3">
        <w:rPr>
          <w:szCs w:val="22"/>
        </w:rPr>
        <w:t>92</w:t>
      </w:r>
      <w:r w:rsidRPr="00412A9C">
        <w:rPr>
          <w:szCs w:val="22"/>
        </w:rPr>
        <w:t>：</w:t>
      </w:r>
    </w:p>
    <w:p w:rsidR="00157EF6" w:rsidRPr="00C917F3" w:rsidRDefault="00157EF6" w:rsidP="00AA120F">
      <w:pPr>
        <w:pStyle w:val="a5"/>
        <w:overflowPunct w:val="0"/>
        <w:autoSpaceDE w:val="0"/>
        <w:autoSpaceDN w:val="0"/>
        <w:ind w:leftChars="335" w:left="804"/>
        <w:jc w:val="both"/>
        <w:rPr>
          <w:rFonts w:eastAsia="標楷體"/>
          <w:szCs w:val="22"/>
        </w:rPr>
      </w:pPr>
      <w:r w:rsidRPr="00412A9C">
        <w:rPr>
          <w:rFonts w:eastAsia="標楷體"/>
          <w:szCs w:val="22"/>
        </w:rPr>
        <w:t>鳩摩羅什（</w:t>
      </w:r>
      <w:r w:rsidRPr="00761EF3">
        <w:rPr>
          <w:rFonts w:eastAsia="標楷體"/>
          <w:szCs w:val="22"/>
        </w:rPr>
        <w:t>Kum</w:t>
      </w:r>
      <w:r w:rsidRPr="00761EF3">
        <w:rPr>
          <w:szCs w:val="22"/>
        </w:rPr>
        <w:t>ā</w:t>
      </w:r>
      <w:r w:rsidRPr="00761EF3">
        <w:rPr>
          <w:rFonts w:eastAsia="標楷體"/>
          <w:szCs w:val="22"/>
        </w:rPr>
        <w:t>raj</w:t>
      </w:r>
      <w:r w:rsidRPr="00761EF3">
        <w:rPr>
          <w:szCs w:val="22"/>
        </w:rPr>
        <w:t>ī</w:t>
      </w:r>
      <w:r w:rsidRPr="00761EF3">
        <w:rPr>
          <w:rFonts w:eastAsia="標楷體"/>
          <w:szCs w:val="22"/>
        </w:rPr>
        <w:t>va</w:t>
      </w:r>
      <w:r w:rsidRPr="00412A9C">
        <w:rPr>
          <w:rFonts w:eastAsia="標楷體"/>
          <w:szCs w:val="22"/>
        </w:rPr>
        <w:t>）所譯《摩訶般若波羅蜜經》卷</w:t>
      </w:r>
      <w:r w:rsidR="00404E90">
        <w:rPr>
          <w:rFonts w:eastAsia="標楷體" w:hint="eastAsia"/>
          <w:szCs w:val="22"/>
        </w:rPr>
        <w:t>2</w:t>
      </w:r>
      <w:r w:rsidRPr="00412A9C">
        <w:rPr>
          <w:rFonts w:eastAsia="標楷體"/>
          <w:szCs w:val="22"/>
        </w:rPr>
        <w:t>（大正</w:t>
      </w:r>
      <w:r w:rsidR="00404E90">
        <w:rPr>
          <w:rFonts w:eastAsia="標楷體" w:hint="eastAsia"/>
          <w:szCs w:val="22"/>
        </w:rPr>
        <w:t>8</w:t>
      </w:r>
      <w:r w:rsidR="00404E90">
        <w:rPr>
          <w:rFonts w:eastAsia="標楷體" w:hint="eastAsia"/>
          <w:szCs w:val="22"/>
        </w:rPr>
        <w:t>，</w:t>
      </w:r>
      <w:r w:rsidR="00404E90">
        <w:rPr>
          <w:rFonts w:eastAsia="標楷體" w:hint="eastAsia"/>
          <w:szCs w:val="22"/>
        </w:rPr>
        <w:t>227b-c</w:t>
      </w:r>
      <w:r w:rsidRPr="00412A9C">
        <w:rPr>
          <w:rFonts w:eastAsia="標楷體"/>
          <w:szCs w:val="22"/>
        </w:rPr>
        <w:t>）說：「慧眼菩薩不作是念：有法若有為、若無為，若世間、若出世間，若有漏、若無漏。</w:t>
      </w:r>
      <w:r w:rsidRPr="00412A9C">
        <w:rPr>
          <w:rFonts w:eastAsia="標楷體"/>
          <w:b/>
          <w:szCs w:val="22"/>
        </w:rPr>
        <w:t>是慧眼菩薩，亦無法不見，無法不聞，無法不知，無法不識</w:t>
      </w:r>
      <w:r w:rsidRPr="00412A9C">
        <w:rPr>
          <w:rFonts w:eastAsia="標楷體"/>
          <w:szCs w:val="22"/>
        </w:rPr>
        <w:t>。」慧眼（</w:t>
      </w:r>
      <w:r w:rsidRPr="00761EF3">
        <w:rPr>
          <w:rFonts w:eastAsia="標楷體"/>
          <w:szCs w:val="22"/>
        </w:rPr>
        <w:t>prajñ</w:t>
      </w:r>
      <w:r w:rsidRPr="00761EF3">
        <w:rPr>
          <w:szCs w:val="22"/>
        </w:rPr>
        <w:t>ā</w:t>
      </w:r>
      <w:r w:rsidRPr="00412A9C">
        <w:rPr>
          <w:rFonts w:eastAsia="標楷體"/>
          <w:szCs w:val="22"/>
        </w:rPr>
        <w:t>-</w:t>
      </w:r>
      <w:r w:rsidRPr="00761EF3">
        <w:rPr>
          <w:rFonts w:eastAsia="標楷體"/>
          <w:szCs w:val="22"/>
        </w:rPr>
        <w:t>cakṣus</w:t>
      </w:r>
      <w:r w:rsidRPr="00412A9C">
        <w:rPr>
          <w:rFonts w:eastAsia="標楷體"/>
          <w:szCs w:val="22"/>
        </w:rPr>
        <w:t>），是現證般若。經上所說的第一節，是不念一切法，下一節是無一法不知。經文用一「亦」字，那是慧眼不見一切而又無所不見，就是中國學者所說的見中道了。玄奘所譯，與前《摩訶般若經》相當的，</w:t>
      </w:r>
      <w:r w:rsidRPr="00412A9C">
        <w:rPr>
          <w:rFonts w:eastAsia="標楷體"/>
          <w:b/>
          <w:szCs w:val="22"/>
        </w:rPr>
        <w:t>《大般若波羅蜜多經》（第二分）卷</w:t>
      </w:r>
      <w:r w:rsidR="00404E90">
        <w:rPr>
          <w:rFonts w:eastAsia="標楷體" w:hint="eastAsia"/>
          <w:b/>
          <w:szCs w:val="22"/>
        </w:rPr>
        <w:t>404</w:t>
      </w:r>
      <w:r w:rsidRPr="00412A9C">
        <w:rPr>
          <w:rFonts w:eastAsia="標楷體"/>
          <w:szCs w:val="22"/>
        </w:rPr>
        <w:t>（大正</w:t>
      </w:r>
      <w:r w:rsidR="00404E90">
        <w:rPr>
          <w:rFonts w:eastAsia="標楷體" w:hint="eastAsia"/>
          <w:szCs w:val="22"/>
        </w:rPr>
        <w:t>7</w:t>
      </w:r>
      <w:r w:rsidR="00404E90">
        <w:rPr>
          <w:rFonts w:eastAsia="標楷體" w:hint="eastAsia"/>
          <w:szCs w:val="22"/>
        </w:rPr>
        <w:t>，</w:t>
      </w:r>
      <w:r w:rsidR="00404E90">
        <w:rPr>
          <w:rFonts w:eastAsia="標楷體" w:hint="eastAsia"/>
          <w:szCs w:val="22"/>
        </w:rPr>
        <w:t>21c</w:t>
      </w:r>
      <w:r w:rsidRPr="00412A9C">
        <w:rPr>
          <w:rFonts w:eastAsia="標楷體"/>
          <w:szCs w:val="22"/>
        </w:rPr>
        <w:t>）說：「菩薩摩訶薩慧眼，不見有法若有為、若無為，若有漏、若無漏，</w:t>
      </w:r>
      <w:r w:rsidRPr="00C917F3">
        <w:rPr>
          <w:rFonts w:eastAsia="標楷體"/>
          <w:szCs w:val="22"/>
        </w:rPr>
        <w:t>若世間、若出世間，</w:t>
      </w:r>
      <w:r w:rsidRPr="00C917F3">
        <w:rPr>
          <w:rFonts w:ascii="標楷體" w:eastAsia="標楷體" w:hAnsi="標楷體"/>
          <w:szCs w:val="22"/>
        </w:rPr>
        <w:t>……</w:t>
      </w:r>
      <w:r w:rsidRPr="00C917F3">
        <w:rPr>
          <w:rFonts w:eastAsia="標楷體"/>
          <w:szCs w:val="22"/>
        </w:rPr>
        <w:t>。是</w:t>
      </w:r>
      <w:r w:rsidRPr="00C917F3">
        <w:rPr>
          <w:rFonts w:eastAsia="標楷體"/>
          <w:b/>
          <w:szCs w:val="22"/>
        </w:rPr>
        <w:t>菩薩摩訶薩慧眼，不見有法是可見、是可聞、是可覺、是可識。」</w:t>
      </w:r>
    </w:p>
    <w:p w:rsidR="00157EF6" w:rsidRPr="00C917F3" w:rsidRDefault="00157EF6" w:rsidP="00AE3920">
      <w:pPr>
        <w:pStyle w:val="a5"/>
        <w:overflowPunct w:val="0"/>
        <w:autoSpaceDE w:val="0"/>
        <w:autoSpaceDN w:val="0"/>
        <w:spacing w:beforeLines="20"/>
        <w:ind w:leftChars="335" w:left="804"/>
        <w:jc w:val="both"/>
        <w:rPr>
          <w:rFonts w:eastAsia="標楷體"/>
          <w:szCs w:val="22"/>
        </w:rPr>
      </w:pPr>
      <w:r w:rsidRPr="00C917F3">
        <w:rPr>
          <w:rFonts w:eastAsia="標楷體"/>
          <w:szCs w:val="22"/>
        </w:rPr>
        <w:t>「第二分」所說，與清辨所說相合；「第三分」也是這樣說。羅什所譯的，不見一切而又無法不見的慧眼，明顯的與奘譯不同。</w:t>
      </w:r>
      <w:r w:rsidRPr="00C917F3">
        <w:rPr>
          <w:rFonts w:eastAsia="標楷體"/>
          <w:b/>
          <w:szCs w:val="22"/>
        </w:rPr>
        <w:t>《大般若波羅蜜多經》（初分）</w:t>
      </w:r>
      <w:r w:rsidRPr="00C917F3">
        <w:rPr>
          <w:rFonts w:eastAsia="標楷體"/>
          <w:szCs w:val="22"/>
        </w:rPr>
        <w:t>卷</w:t>
      </w:r>
      <w:r w:rsidR="00404E90">
        <w:rPr>
          <w:rFonts w:eastAsia="標楷體" w:hint="eastAsia"/>
          <w:szCs w:val="22"/>
        </w:rPr>
        <w:t>8</w:t>
      </w:r>
      <w:r w:rsidRPr="00C917F3">
        <w:rPr>
          <w:rFonts w:eastAsia="標楷體"/>
          <w:szCs w:val="22"/>
        </w:rPr>
        <w:t>（大正</w:t>
      </w:r>
      <w:r w:rsidR="00404E90">
        <w:rPr>
          <w:rFonts w:eastAsia="標楷體" w:hint="eastAsia"/>
          <w:szCs w:val="22"/>
        </w:rPr>
        <w:t>5</w:t>
      </w:r>
      <w:r w:rsidR="00404E90">
        <w:rPr>
          <w:rFonts w:eastAsia="標楷體" w:hint="eastAsia"/>
          <w:szCs w:val="22"/>
        </w:rPr>
        <w:t>，</w:t>
      </w:r>
      <w:r w:rsidR="00404E90">
        <w:rPr>
          <w:rFonts w:eastAsia="標楷體" w:hint="eastAsia"/>
          <w:szCs w:val="22"/>
        </w:rPr>
        <w:t>43b</w:t>
      </w:r>
      <w:r w:rsidRPr="00C917F3">
        <w:rPr>
          <w:rFonts w:eastAsia="標楷體"/>
          <w:szCs w:val="22"/>
        </w:rPr>
        <w:t>）說：「諸菩薩摩訶薩得淨慧眼，不見有法若有為、若無為，不見有法若有漏、若無漏，</w:t>
      </w:r>
      <w:r w:rsidRPr="00C917F3">
        <w:rPr>
          <w:rFonts w:ascii="標楷體" w:eastAsia="標楷體" w:hAnsi="標楷體"/>
          <w:szCs w:val="22"/>
        </w:rPr>
        <w:t>……</w:t>
      </w:r>
      <w:r w:rsidRPr="00C917F3">
        <w:rPr>
          <w:rFonts w:eastAsia="標楷體"/>
          <w:szCs w:val="22"/>
        </w:rPr>
        <w:t>。是</w:t>
      </w:r>
      <w:r w:rsidRPr="00C917F3">
        <w:rPr>
          <w:rFonts w:eastAsia="標楷體"/>
          <w:b/>
          <w:szCs w:val="22"/>
        </w:rPr>
        <w:t>菩薩摩訶薩得淨慧眼，於一切法非見非不見，非聞非不聞，非覺非不覺，非識非不識</w:t>
      </w:r>
      <w:r w:rsidRPr="00C917F3">
        <w:rPr>
          <w:rFonts w:eastAsia="標楷體"/>
          <w:szCs w:val="22"/>
        </w:rPr>
        <w:t>。</w:t>
      </w:r>
      <w:r w:rsidRPr="00C917F3">
        <w:rPr>
          <w:rFonts w:eastAsia="標楷體"/>
          <w:b/>
          <w:szCs w:val="22"/>
        </w:rPr>
        <w:t>」</w:t>
      </w:r>
    </w:p>
    <w:p w:rsidR="00157EF6" w:rsidRPr="00412A9C" w:rsidRDefault="00157EF6" w:rsidP="00AE3920">
      <w:pPr>
        <w:pStyle w:val="a5"/>
        <w:overflowPunct w:val="0"/>
        <w:autoSpaceDE w:val="0"/>
        <w:autoSpaceDN w:val="0"/>
        <w:spacing w:beforeLines="20"/>
        <w:ind w:leftChars="335" w:left="804"/>
        <w:jc w:val="both"/>
        <w:rPr>
          <w:rFonts w:eastAsia="標楷體"/>
          <w:szCs w:val="22"/>
        </w:rPr>
      </w:pPr>
      <w:r w:rsidRPr="00C917F3">
        <w:rPr>
          <w:rFonts w:eastAsia="標楷體"/>
          <w:szCs w:val="22"/>
        </w:rPr>
        <w:t>「初分」的</w:t>
      </w:r>
      <w:r w:rsidRPr="00412A9C">
        <w:rPr>
          <w:rFonts w:eastAsia="標楷體"/>
          <w:szCs w:val="22"/>
        </w:rPr>
        <w:t>「非見非不見」，意思還是一切不見，只是進一步說：不見也不可得而已。「無所不見，</w:t>
      </w:r>
      <w:r w:rsidRPr="00412A9C">
        <w:rPr>
          <w:rFonts w:ascii="標楷體" w:eastAsia="標楷體" w:hAnsi="標楷體"/>
          <w:szCs w:val="22"/>
        </w:rPr>
        <w:t>……</w:t>
      </w:r>
      <w:r w:rsidRPr="00412A9C">
        <w:rPr>
          <w:rFonts w:eastAsia="標楷體"/>
          <w:szCs w:val="22"/>
        </w:rPr>
        <w:t>無所不識」，其實是佛眼（</w:t>
      </w:r>
      <w:r w:rsidRPr="00761EF3">
        <w:rPr>
          <w:rFonts w:eastAsia="標楷體"/>
          <w:szCs w:val="22"/>
        </w:rPr>
        <w:t>buddha</w:t>
      </w:r>
      <w:r w:rsidRPr="00412A9C">
        <w:rPr>
          <w:rFonts w:eastAsia="標楷體"/>
          <w:szCs w:val="22"/>
        </w:rPr>
        <w:t>-</w:t>
      </w:r>
      <w:r w:rsidRPr="00761EF3">
        <w:rPr>
          <w:rFonts w:eastAsia="標楷體"/>
          <w:szCs w:val="22"/>
        </w:rPr>
        <w:t>cakṣus</w:t>
      </w:r>
      <w:r w:rsidRPr="00412A9C">
        <w:rPr>
          <w:rFonts w:eastAsia="標楷體"/>
          <w:szCs w:val="22"/>
        </w:rPr>
        <w:t>），這是各種譯本所共同的</w:t>
      </w:r>
      <w:r w:rsidRPr="00412A9C">
        <w:rPr>
          <w:rFonts w:eastAsia="標楷體" w:hint="eastAsia"/>
          <w:szCs w:val="22"/>
        </w:rPr>
        <w:t>。</w:t>
      </w:r>
      <w:r w:rsidRPr="00412A9C">
        <w:rPr>
          <w:rFonts w:eastAsia="標楷體"/>
          <w:szCs w:val="22"/>
        </w:rPr>
        <w:t>將佛眼的「無所不見」，作為慧眼的德用，《摩訶般若經》如此，古譯的《放光般若經》，《光讚般若經》，《大智度論》所依的（二萬二千頌）經本也如此</w:t>
      </w:r>
      <w:r w:rsidRPr="00412A9C">
        <w:rPr>
          <w:rFonts w:eastAsia="標楷體"/>
          <w:b/>
          <w:szCs w:val="22"/>
        </w:rPr>
        <w:t>。《大智度論》卷</w:t>
      </w:r>
      <w:r w:rsidR="00404E90">
        <w:rPr>
          <w:rFonts w:eastAsia="標楷體" w:hint="eastAsia"/>
          <w:b/>
          <w:szCs w:val="22"/>
        </w:rPr>
        <w:t>39</w:t>
      </w:r>
      <w:r w:rsidRPr="00412A9C">
        <w:rPr>
          <w:rFonts w:eastAsia="標楷體"/>
          <w:szCs w:val="22"/>
        </w:rPr>
        <w:t>（大正</w:t>
      </w:r>
      <w:r w:rsidR="00404E90">
        <w:rPr>
          <w:rFonts w:eastAsia="標楷體" w:hint="eastAsia"/>
          <w:szCs w:val="22"/>
        </w:rPr>
        <w:t>25</w:t>
      </w:r>
      <w:r w:rsidR="00404E90">
        <w:rPr>
          <w:rFonts w:eastAsia="標楷體" w:hint="eastAsia"/>
          <w:szCs w:val="22"/>
        </w:rPr>
        <w:t>，</w:t>
      </w:r>
      <w:r w:rsidR="00404E90">
        <w:rPr>
          <w:rFonts w:eastAsia="標楷體" w:hint="eastAsia"/>
          <w:szCs w:val="22"/>
        </w:rPr>
        <w:t>348a-b</w:t>
      </w:r>
      <w:r w:rsidRPr="00412A9C">
        <w:rPr>
          <w:rFonts w:eastAsia="標楷體"/>
          <w:szCs w:val="22"/>
        </w:rPr>
        <w:t>）說：「</w:t>
      </w:r>
      <w:r w:rsidRPr="00412A9C">
        <w:rPr>
          <w:rFonts w:eastAsia="標楷體"/>
          <w:b/>
          <w:szCs w:val="22"/>
        </w:rPr>
        <w:t>諸佛慧眼，照諸法實性，盡其邊底，以是故無法不見，無法不聞，無法不知，無法不識。」</w:t>
      </w:r>
    </w:p>
    <w:p w:rsidR="00157EF6" w:rsidRPr="00C917F3" w:rsidRDefault="00157EF6" w:rsidP="00AA120F">
      <w:pPr>
        <w:pStyle w:val="a5"/>
        <w:tabs>
          <w:tab w:val="left" w:pos="180"/>
        </w:tabs>
        <w:overflowPunct w:val="0"/>
        <w:autoSpaceDE w:val="0"/>
        <w:autoSpaceDN w:val="0"/>
        <w:ind w:leftChars="335" w:left="804"/>
        <w:jc w:val="both"/>
        <w:rPr>
          <w:rFonts w:eastAsia="標楷體"/>
          <w:szCs w:val="22"/>
        </w:rPr>
      </w:pPr>
      <w:r w:rsidRPr="00C917F3">
        <w:rPr>
          <w:rFonts w:eastAsia="標楷體"/>
          <w:szCs w:val="22"/>
        </w:rPr>
        <w:t>「問曰：佛用佛眼無法不知，非是慧眼，今云何言慧眼無法不知？答曰：慧眼成佛時變名佛眼。</w:t>
      </w:r>
      <w:r w:rsidRPr="00C917F3">
        <w:rPr>
          <w:rFonts w:ascii="標楷體" w:eastAsia="標楷體" w:hAnsi="標楷體"/>
          <w:szCs w:val="22"/>
        </w:rPr>
        <w:t>……</w:t>
      </w:r>
      <w:r w:rsidRPr="00C917F3">
        <w:rPr>
          <w:rFonts w:eastAsia="標楷體"/>
          <w:szCs w:val="22"/>
        </w:rPr>
        <w:t>成佛時失其本名，但名佛眼。」</w:t>
      </w:r>
    </w:p>
    <w:p w:rsidR="00157EF6" w:rsidRPr="00412A9C" w:rsidRDefault="00157EF6" w:rsidP="00AE3920">
      <w:pPr>
        <w:pStyle w:val="a5"/>
        <w:overflowPunct w:val="0"/>
        <w:autoSpaceDE w:val="0"/>
        <w:autoSpaceDN w:val="0"/>
        <w:spacing w:beforeLines="20"/>
        <w:ind w:leftChars="335" w:left="804"/>
        <w:jc w:val="both"/>
        <w:rPr>
          <w:rFonts w:eastAsia="SimSun"/>
          <w:b/>
          <w:szCs w:val="22"/>
        </w:rPr>
      </w:pPr>
      <w:r w:rsidRPr="00C917F3">
        <w:rPr>
          <w:rFonts w:eastAsia="標楷體"/>
          <w:szCs w:val="22"/>
        </w:rPr>
        <w:t>「無法不知」是屬於佛眼的，為什麼也作為慧眼的內容？</w:t>
      </w:r>
      <w:r w:rsidRPr="00C917F3">
        <w:rPr>
          <w:rFonts w:eastAsia="標楷體" w:hint="eastAsia"/>
          <w:b/>
          <w:szCs w:val="22"/>
        </w:rPr>
        <w:t>《大智度論》</w:t>
      </w:r>
      <w:r w:rsidRPr="00C917F3">
        <w:rPr>
          <w:rFonts w:eastAsia="標楷體"/>
          <w:b/>
          <w:szCs w:val="22"/>
        </w:rPr>
        <w:t>解說為：「慧眼成佛時變名佛眼」，表示慧眼與佛眼，只是名字的差別，淺深的差別，而不是體性的不同。</w:t>
      </w:r>
      <w:r w:rsidRPr="00C917F3">
        <w:rPr>
          <w:rFonts w:eastAsia="標楷體"/>
          <w:szCs w:val="22"/>
        </w:rPr>
        <w:t>在菩薩通達法性時，佛眼就是慧眼；如究竟明淨通</w:t>
      </w:r>
      <w:r w:rsidRPr="00412A9C">
        <w:rPr>
          <w:rFonts w:eastAsia="標楷體"/>
          <w:szCs w:val="22"/>
        </w:rPr>
        <w:t>達，就稱為佛眼。這如《十地經》所說，從初地到十地，都名為一切智智那樣。</w:t>
      </w:r>
      <w:r w:rsidRPr="00412A9C">
        <w:rPr>
          <w:rFonts w:eastAsia="標楷體"/>
          <w:b/>
          <w:szCs w:val="22"/>
        </w:rPr>
        <w:t>「般若法門」的發展（到後來），慧眼從一切法無所見，到達無所見而無所不見。</w:t>
      </w:r>
    </w:p>
  </w:footnote>
  <w:footnote w:id="1014">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szCs w:val="22"/>
        </w:rPr>
        <w:t>〔隋〕智者大師說，《妙法蓮華經玄義》卷</w:t>
      </w:r>
      <w:r w:rsidRPr="00761EF3">
        <w:rPr>
          <w:szCs w:val="22"/>
        </w:rPr>
        <w:t>9</w:t>
      </w:r>
      <w:r w:rsidRPr="00412A9C">
        <w:rPr>
          <w:szCs w:val="22"/>
        </w:rPr>
        <w:t>（大正</w:t>
      </w:r>
      <w:r w:rsidRPr="00761EF3">
        <w:rPr>
          <w:szCs w:val="22"/>
        </w:rPr>
        <w:t>33</w:t>
      </w:r>
      <w:r w:rsidRPr="00412A9C">
        <w:rPr>
          <w:szCs w:val="22"/>
        </w:rPr>
        <w:t>，</w:t>
      </w:r>
      <w:r w:rsidRPr="00761EF3">
        <w:rPr>
          <w:szCs w:val="22"/>
        </w:rPr>
        <w:t>789c1</w:t>
      </w:r>
      <w:r w:rsidR="005374D8">
        <w:rPr>
          <w:rFonts w:hint="eastAsia"/>
          <w:color w:val="FF0000"/>
          <w:szCs w:val="22"/>
          <w:highlight w:val="yellow"/>
        </w:rPr>
        <w:t>7</w:t>
      </w:r>
      <w:r w:rsidRPr="00412A9C">
        <w:rPr>
          <w:szCs w:val="22"/>
        </w:rPr>
        <w:t>-</w:t>
      </w:r>
      <w:r w:rsidRPr="00761EF3">
        <w:rPr>
          <w:szCs w:val="22"/>
        </w:rPr>
        <w:t>20</w:t>
      </w:r>
      <w:r w:rsidRPr="00412A9C">
        <w:rPr>
          <w:szCs w:val="22"/>
        </w:rPr>
        <w:t>）：</w:t>
      </w:r>
    </w:p>
    <w:p w:rsidR="00157EF6" w:rsidRPr="00412A9C" w:rsidRDefault="005374D8" w:rsidP="00AA120F">
      <w:pPr>
        <w:pStyle w:val="a5"/>
        <w:overflowPunct w:val="0"/>
        <w:autoSpaceDE w:val="0"/>
        <w:autoSpaceDN w:val="0"/>
        <w:ind w:leftChars="105" w:left="252"/>
        <w:jc w:val="both"/>
        <w:rPr>
          <w:szCs w:val="22"/>
        </w:rPr>
      </w:pPr>
      <w:r w:rsidRPr="005374D8">
        <w:rPr>
          <w:rFonts w:eastAsia="標楷體" w:hint="eastAsia"/>
          <w:szCs w:val="22"/>
        </w:rPr>
        <w:t>煩惱集諦不可思議，</w:t>
      </w:r>
      <w:r w:rsidR="00157EF6" w:rsidRPr="00412A9C">
        <w:rPr>
          <w:rFonts w:eastAsia="標楷體"/>
          <w:szCs w:val="22"/>
        </w:rPr>
        <w:t>即空、即假、即中</w:t>
      </w:r>
      <w:r>
        <w:rPr>
          <w:rFonts w:ascii="標楷體" w:eastAsia="標楷體" w:hAnsi="標楷體" w:hint="eastAsia"/>
          <w:color w:val="FF0000"/>
          <w:kern w:val="0"/>
          <w:highlight w:val="yellow"/>
        </w:rPr>
        <w:t>──</w:t>
      </w:r>
      <w:r w:rsidR="00157EF6" w:rsidRPr="00412A9C">
        <w:rPr>
          <w:rFonts w:eastAsia="標楷體"/>
          <w:szCs w:val="22"/>
        </w:rPr>
        <w:t>即空故名</w:t>
      </w:r>
      <w:r w:rsidR="00833B7D" w:rsidRPr="00833B7D">
        <w:rPr>
          <w:rFonts w:eastAsia="標楷體" w:hint="eastAsia"/>
          <w:color w:val="FF0000"/>
          <w:szCs w:val="22"/>
          <w:highlight w:val="yellow"/>
        </w:rPr>
        <w:t>「</w:t>
      </w:r>
      <w:r w:rsidR="00157EF6" w:rsidRPr="00412A9C">
        <w:rPr>
          <w:rFonts w:eastAsia="標楷體"/>
          <w:szCs w:val="22"/>
        </w:rPr>
        <w:t>一切智</w:t>
      </w:r>
      <w:r w:rsidR="00833B7D" w:rsidRPr="00833B7D">
        <w:rPr>
          <w:rFonts w:eastAsia="標楷體" w:hint="eastAsia"/>
          <w:color w:val="FF0000"/>
          <w:szCs w:val="22"/>
          <w:highlight w:val="yellow"/>
        </w:rPr>
        <w:t>」</w:t>
      </w:r>
      <w:r w:rsidR="00157EF6" w:rsidRPr="00412A9C">
        <w:rPr>
          <w:rFonts w:eastAsia="標楷體"/>
          <w:szCs w:val="22"/>
        </w:rPr>
        <w:t>，即假故名</w:t>
      </w:r>
      <w:r w:rsidR="00833B7D" w:rsidRPr="00833B7D">
        <w:rPr>
          <w:rFonts w:eastAsia="標楷體" w:hint="eastAsia"/>
          <w:color w:val="FF0000"/>
          <w:szCs w:val="22"/>
          <w:highlight w:val="yellow"/>
        </w:rPr>
        <w:t>「</w:t>
      </w:r>
      <w:r w:rsidR="00157EF6" w:rsidRPr="00412A9C">
        <w:rPr>
          <w:rFonts w:eastAsia="標楷體"/>
          <w:szCs w:val="22"/>
        </w:rPr>
        <w:t>道種智</w:t>
      </w:r>
      <w:r w:rsidR="00833B7D" w:rsidRPr="00833B7D">
        <w:rPr>
          <w:rFonts w:eastAsia="標楷體" w:hint="eastAsia"/>
          <w:color w:val="FF0000"/>
          <w:szCs w:val="22"/>
          <w:highlight w:val="yellow"/>
        </w:rPr>
        <w:t>」</w:t>
      </w:r>
      <w:r w:rsidR="00157EF6" w:rsidRPr="00412A9C">
        <w:rPr>
          <w:rFonts w:eastAsia="標楷體"/>
          <w:szCs w:val="22"/>
        </w:rPr>
        <w:t>，即中故</w:t>
      </w:r>
      <w:r w:rsidR="00833B7D" w:rsidRPr="00833B7D">
        <w:rPr>
          <w:rFonts w:eastAsia="標楷體" w:hint="eastAsia"/>
          <w:color w:val="FF0000"/>
          <w:szCs w:val="22"/>
          <w:highlight w:val="yellow"/>
        </w:rPr>
        <w:t>「</w:t>
      </w:r>
      <w:r w:rsidR="00157EF6" w:rsidRPr="00412A9C">
        <w:rPr>
          <w:rFonts w:eastAsia="標楷體"/>
          <w:szCs w:val="22"/>
        </w:rPr>
        <w:t>一切種智</w:t>
      </w:r>
      <w:r w:rsidR="00833B7D" w:rsidRPr="00833B7D">
        <w:rPr>
          <w:rFonts w:eastAsia="標楷體" w:hint="eastAsia"/>
          <w:color w:val="FF0000"/>
          <w:szCs w:val="22"/>
          <w:highlight w:val="yellow"/>
        </w:rPr>
        <w:t>」</w:t>
      </w:r>
      <w:r w:rsidR="00833B7D">
        <w:rPr>
          <w:rFonts w:eastAsia="標楷體" w:hint="eastAsia"/>
          <w:color w:val="FF0000"/>
          <w:szCs w:val="22"/>
          <w:highlight w:val="yellow"/>
        </w:rPr>
        <w:t>──</w:t>
      </w:r>
      <w:r w:rsidR="00157EF6" w:rsidRPr="00412A9C">
        <w:rPr>
          <w:rFonts w:eastAsia="標楷體"/>
          <w:szCs w:val="22"/>
        </w:rPr>
        <w:t>三智一心中得，名</w:t>
      </w:r>
      <w:r w:rsidR="00833B7D" w:rsidRPr="00833B7D">
        <w:rPr>
          <w:rFonts w:eastAsia="標楷體" w:hint="eastAsia"/>
          <w:color w:val="FF0000"/>
          <w:szCs w:val="22"/>
          <w:highlight w:val="yellow"/>
        </w:rPr>
        <w:t>「</w:t>
      </w:r>
      <w:r w:rsidR="00157EF6" w:rsidRPr="00412A9C">
        <w:rPr>
          <w:rFonts w:eastAsia="標楷體"/>
          <w:szCs w:val="22"/>
        </w:rPr>
        <w:t>大般若</w:t>
      </w:r>
      <w:r w:rsidR="00833B7D" w:rsidRPr="00833B7D">
        <w:rPr>
          <w:rFonts w:eastAsia="標楷體" w:hint="eastAsia"/>
          <w:color w:val="FF0000"/>
          <w:szCs w:val="22"/>
          <w:highlight w:val="yellow"/>
        </w:rPr>
        <w:t>」</w:t>
      </w:r>
      <w:r w:rsidR="00157EF6" w:rsidRPr="00412A9C">
        <w:rPr>
          <w:rFonts w:eastAsia="標楷體"/>
          <w:szCs w:val="22"/>
        </w:rPr>
        <w:t>。</w:t>
      </w:r>
    </w:p>
  </w:footnote>
  <w:footnote w:id="1015">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）《大智度論》卷</w:t>
      </w:r>
      <w:r w:rsidRPr="00761EF3">
        <w:rPr>
          <w:szCs w:val="22"/>
        </w:rPr>
        <w:t>27</w:t>
      </w:r>
      <w:r w:rsidR="00287E83">
        <w:rPr>
          <w:rFonts w:hint="eastAsia"/>
          <w:color w:val="FF0000"/>
          <w:szCs w:val="22"/>
          <w:highlight w:val="yellow"/>
        </w:rPr>
        <w:t>釋〈</w:t>
      </w:r>
      <w:r w:rsidR="00287E83">
        <w:rPr>
          <w:color w:val="FF0000"/>
          <w:szCs w:val="22"/>
          <w:highlight w:val="yellow"/>
        </w:rPr>
        <w:t xml:space="preserve">1 </w:t>
      </w:r>
      <w:r w:rsidR="00287E83">
        <w:rPr>
          <w:rFonts w:hint="eastAsia"/>
          <w:color w:val="FF0000"/>
          <w:szCs w:val="22"/>
          <w:highlight w:val="yellow"/>
        </w:rPr>
        <w:t>序品〉</w:t>
      </w:r>
      <w:r w:rsidRPr="00412A9C">
        <w:rPr>
          <w:szCs w:val="22"/>
        </w:rPr>
        <w:t>（大正</w:t>
      </w:r>
      <w:r w:rsidRPr="00761EF3">
        <w:rPr>
          <w:szCs w:val="22"/>
        </w:rPr>
        <w:t>25</w:t>
      </w:r>
      <w:r w:rsidRPr="00412A9C">
        <w:rPr>
          <w:szCs w:val="22"/>
        </w:rPr>
        <w:t>，</w:t>
      </w:r>
      <w:r w:rsidRPr="00761EF3">
        <w:rPr>
          <w:szCs w:val="22"/>
        </w:rPr>
        <w:t>260b17</w:t>
      </w:r>
      <w:r w:rsidRPr="00412A9C">
        <w:rPr>
          <w:szCs w:val="22"/>
        </w:rPr>
        <w:t>-</w:t>
      </w:r>
      <w:r w:rsidRPr="00761EF3">
        <w:rPr>
          <w:szCs w:val="22"/>
        </w:rPr>
        <w:t>18</w:t>
      </w:r>
      <w:r w:rsidRPr="00412A9C">
        <w:rPr>
          <w:szCs w:val="22"/>
        </w:rPr>
        <w:t>）：</w:t>
      </w:r>
    </w:p>
    <w:p w:rsidR="00157EF6" w:rsidRPr="00412A9C" w:rsidRDefault="00157EF6" w:rsidP="00AB5352">
      <w:pPr>
        <w:snapToGrid w:val="0"/>
        <w:ind w:leftChars="335" w:left="804"/>
        <w:jc w:val="both"/>
        <w:rPr>
          <w:rFonts w:ascii="Times New Roman" w:hAnsi="Times New Roman"/>
          <w:sz w:val="22"/>
          <w:szCs w:val="22"/>
        </w:rPr>
      </w:pPr>
      <w:r w:rsidRPr="00412A9C">
        <w:rPr>
          <w:rFonts w:ascii="Times New Roman" w:eastAsia="標楷體" w:hAnsi="Times New Roman"/>
          <w:sz w:val="22"/>
          <w:szCs w:val="22"/>
        </w:rPr>
        <w:t>一心中得一切智、一切種智，斷一切煩惱習。</w:t>
      </w:r>
    </w:p>
    <w:p w:rsidR="00157EF6" w:rsidRPr="00412A9C" w:rsidRDefault="00157EF6" w:rsidP="00AA120F">
      <w:pPr>
        <w:pStyle w:val="a5"/>
        <w:ind w:leftChars="105" w:left="791" w:hangingChars="245" w:hanging="539"/>
        <w:jc w:val="both"/>
        <w:rPr>
          <w:szCs w:val="22"/>
        </w:rPr>
      </w:pPr>
      <w:r w:rsidRPr="00412A9C">
        <w:rPr>
          <w:szCs w:val="22"/>
        </w:rPr>
        <w:t>（</w:t>
      </w:r>
      <w:r w:rsidRPr="00761EF3">
        <w:rPr>
          <w:szCs w:val="22"/>
        </w:rPr>
        <w:t>2</w:t>
      </w:r>
      <w:r w:rsidRPr="00412A9C">
        <w:rPr>
          <w:szCs w:val="22"/>
        </w:rPr>
        <w:t>）《</w:t>
      </w:r>
      <w:r w:rsidRPr="00C34CC4">
        <w:rPr>
          <w:rFonts w:ascii="新細明體" w:hAnsi="新細明體"/>
          <w:szCs w:val="22"/>
        </w:rPr>
        <w:t>大智度</w:t>
      </w:r>
      <w:r w:rsidRPr="00412A9C">
        <w:rPr>
          <w:szCs w:val="22"/>
        </w:rPr>
        <w:t>論》卷</w:t>
      </w:r>
      <w:r w:rsidRPr="00761EF3">
        <w:rPr>
          <w:szCs w:val="22"/>
        </w:rPr>
        <w:t>24</w:t>
      </w:r>
      <w:r w:rsidR="00287E83">
        <w:rPr>
          <w:rFonts w:hint="eastAsia"/>
          <w:color w:val="FF0000"/>
          <w:szCs w:val="22"/>
          <w:highlight w:val="yellow"/>
        </w:rPr>
        <w:t>釋〈</w:t>
      </w:r>
      <w:r w:rsidR="00287E83">
        <w:rPr>
          <w:color w:val="FF0000"/>
          <w:szCs w:val="22"/>
          <w:highlight w:val="yellow"/>
        </w:rPr>
        <w:t xml:space="preserve">1 </w:t>
      </w:r>
      <w:r w:rsidR="00287E83">
        <w:rPr>
          <w:rFonts w:hint="eastAsia"/>
          <w:color w:val="FF0000"/>
          <w:szCs w:val="22"/>
          <w:highlight w:val="yellow"/>
        </w:rPr>
        <w:t>序品〉</w:t>
      </w:r>
      <w:r w:rsidRPr="00412A9C">
        <w:rPr>
          <w:szCs w:val="22"/>
        </w:rPr>
        <w:t>（大正</w:t>
      </w:r>
      <w:r w:rsidRPr="00761EF3">
        <w:rPr>
          <w:szCs w:val="22"/>
        </w:rPr>
        <w:t>25</w:t>
      </w:r>
      <w:r w:rsidRPr="00412A9C">
        <w:rPr>
          <w:szCs w:val="22"/>
        </w:rPr>
        <w:t>，</w:t>
      </w:r>
      <w:r w:rsidRPr="00761EF3">
        <w:rPr>
          <w:szCs w:val="22"/>
        </w:rPr>
        <w:t>240c17</w:t>
      </w:r>
      <w:r w:rsidRPr="00412A9C">
        <w:rPr>
          <w:szCs w:val="22"/>
        </w:rPr>
        <w:t>-</w:t>
      </w:r>
      <w:r w:rsidRPr="00761EF3">
        <w:rPr>
          <w:szCs w:val="22"/>
        </w:rPr>
        <w:t>19</w:t>
      </w:r>
      <w:r w:rsidRPr="00412A9C">
        <w:rPr>
          <w:szCs w:val="22"/>
        </w:rPr>
        <w:t>）：</w:t>
      </w:r>
    </w:p>
    <w:p w:rsidR="00157EF6" w:rsidRPr="00412A9C" w:rsidRDefault="00157EF6" w:rsidP="00AB5352">
      <w:pPr>
        <w:snapToGrid w:val="0"/>
        <w:ind w:leftChars="335" w:left="804"/>
        <w:jc w:val="both"/>
        <w:rPr>
          <w:rFonts w:ascii="Times New Roman" w:hAnsi="Times New Roman"/>
          <w:sz w:val="22"/>
          <w:szCs w:val="22"/>
        </w:rPr>
      </w:pPr>
      <w:r w:rsidRPr="00412A9C">
        <w:rPr>
          <w:rFonts w:ascii="Times New Roman" w:eastAsia="標楷體" w:hAnsi="Times New Roman"/>
          <w:sz w:val="22"/>
          <w:szCs w:val="22"/>
        </w:rPr>
        <w:t>聲聞人初入聖道時，入時與達時異；佛則一心中亦入亦達，一心中得一切智，一心中壞一切障，一心中得一切佛法。</w:t>
      </w:r>
    </w:p>
  </w:footnote>
  <w:footnote w:id="1016">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Pr>
          <w:rFonts w:hint="eastAsia"/>
          <w:szCs w:val="22"/>
        </w:rPr>
        <w:t xml:space="preserve"> </w:t>
      </w:r>
      <w:r w:rsidRPr="00412A9C">
        <w:rPr>
          <w:szCs w:val="22"/>
        </w:rPr>
        <w:t>《大智度論》卷</w:t>
      </w:r>
      <w:r w:rsidRPr="00761EF3">
        <w:rPr>
          <w:szCs w:val="22"/>
        </w:rPr>
        <w:t>27</w:t>
      </w:r>
      <w:r w:rsidR="00287E83">
        <w:rPr>
          <w:rFonts w:hint="eastAsia"/>
          <w:color w:val="FF0000"/>
          <w:szCs w:val="22"/>
          <w:highlight w:val="yellow"/>
        </w:rPr>
        <w:t>釋〈</w:t>
      </w:r>
      <w:r w:rsidR="00287E83">
        <w:rPr>
          <w:color w:val="FF0000"/>
          <w:szCs w:val="22"/>
          <w:highlight w:val="yellow"/>
        </w:rPr>
        <w:t xml:space="preserve">1 </w:t>
      </w:r>
      <w:r w:rsidR="00287E83">
        <w:rPr>
          <w:rFonts w:hint="eastAsia"/>
          <w:color w:val="FF0000"/>
          <w:szCs w:val="22"/>
          <w:highlight w:val="yellow"/>
        </w:rPr>
        <w:t>序品〉</w:t>
      </w:r>
      <w:r w:rsidRPr="00412A9C">
        <w:rPr>
          <w:szCs w:val="22"/>
        </w:rPr>
        <w:t>（大正</w:t>
      </w:r>
      <w:r w:rsidRPr="00761EF3">
        <w:rPr>
          <w:szCs w:val="22"/>
        </w:rPr>
        <w:t>25</w:t>
      </w:r>
      <w:r w:rsidRPr="00412A9C">
        <w:rPr>
          <w:szCs w:val="22"/>
        </w:rPr>
        <w:t>，</w:t>
      </w:r>
      <w:r w:rsidRPr="00761EF3">
        <w:rPr>
          <w:szCs w:val="22"/>
        </w:rPr>
        <w:t>259b12</w:t>
      </w:r>
      <w:r w:rsidRPr="00412A9C">
        <w:rPr>
          <w:szCs w:val="22"/>
        </w:rPr>
        <w:t>-</w:t>
      </w:r>
      <w:r w:rsidRPr="00761EF3">
        <w:rPr>
          <w:szCs w:val="22"/>
        </w:rPr>
        <w:t>20</w:t>
      </w:r>
      <w:r w:rsidRPr="00412A9C">
        <w:rPr>
          <w:szCs w:val="22"/>
        </w:rPr>
        <w:t>）：</w:t>
      </w:r>
    </w:p>
    <w:p w:rsidR="00157EF6" w:rsidRPr="00412A9C" w:rsidRDefault="00157EF6" w:rsidP="00373A07">
      <w:pPr>
        <w:overflowPunct w:val="0"/>
        <w:autoSpaceDE w:val="0"/>
        <w:autoSpaceDN w:val="0"/>
        <w:snapToGrid w:val="0"/>
        <w:ind w:leftChars="105" w:left="912" w:hangingChars="300" w:hanging="660"/>
        <w:jc w:val="both"/>
        <w:rPr>
          <w:rFonts w:ascii="Times New Roman" w:eastAsia="SimSun" w:hAnsi="Times New Roman"/>
          <w:kern w:val="0"/>
          <w:sz w:val="22"/>
          <w:szCs w:val="22"/>
        </w:rPr>
      </w:pPr>
      <w:r w:rsidRPr="00412A9C">
        <w:rPr>
          <w:rFonts w:ascii="Times New Roman" w:eastAsia="標楷體" w:hAnsi="Times New Roman"/>
          <w:kern w:val="0"/>
          <w:sz w:val="22"/>
          <w:szCs w:val="22"/>
        </w:rPr>
        <w:t>問曰：佛</w:t>
      </w:r>
      <w:r w:rsidR="005374D8">
        <w:rPr>
          <w:rFonts w:ascii="標楷體" w:eastAsia="標楷體" w:hAnsi="標楷體" w:hint="eastAsia"/>
          <w:color w:val="FF0000"/>
          <w:kern w:val="0"/>
          <w:sz w:val="22"/>
          <w:highlight w:val="yellow"/>
        </w:rPr>
        <w:t>，</w:t>
      </w:r>
      <w:r w:rsidRPr="00412A9C">
        <w:rPr>
          <w:rFonts w:ascii="Times New Roman" w:eastAsia="標楷體" w:hAnsi="Times New Roman"/>
          <w:kern w:val="0"/>
          <w:sz w:val="22"/>
          <w:szCs w:val="22"/>
        </w:rPr>
        <w:t>道事已備</w:t>
      </w:r>
      <w:r w:rsidR="005374D8">
        <w:rPr>
          <w:rFonts w:ascii="標楷體" w:eastAsia="標楷體" w:hAnsi="標楷體" w:hint="eastAsia"/>
          <w:color w:val="FF0000"/>
          <w:kern w:val="0"/>
          <w:sz w:val="22"/>
          <w:highlight w:val="yellow"/>
        </w:rPr>
        <w:t>，</w:t>
      </w:r>
      <w:r w:rsidRPr="00412A9C">
        <w:rPr>
          <w:rFonts w:ascii="Times New Roman" w:eastAsia="標楷體" w:hAnsi="Times New Roman"/>
          <w:kern w:val="0"/>
          <w:sz w:val="22"/>
          <w:szCs w:val="22"/>
        </w:rPr>
        <w:t>故不名</w:t>
      </w:r>
      <w:r w:rsidR="005374D8">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道智</w:t>
      </w:r>
      <w:r w:rsidR="005374D8">
        <w:rPr>
          <w:rFonts w:ascii="標楷體" w:eastAsia="標楷體" w:hAnsi="標楷體" w:hint="eastAsia"/>
          <w:bCs/>
          <w:color w:val="FF0000"/>
          <w:kern w:val="0"/>
          <w:sz w:val="22"/>
          <w:highlight w:val="yellow"/>
        </w:rPr>
        <w:t>」</w:t>
      </w:r>
      <w:r w:rsidR="005374D8">
        <w:rPr>
          <w:rFonts w:ascii="標楷體" w:eastAsia="標楷體" w:hAnsi="標楷體" w:hint="eastAsia"/>
          <w:color w:val="FF0000"/>
          <w:spacing w:val="-4"/>
          <w:kern w:val="0"/>
          <w:sz w:val="22"/>
          <w:highlight w:val="yellow"/>
        </w:rPr>
        <w:t>；</w:t>
      </w:r>
      <w:r w:rsidRPr="00412A9C">
        <w:rPr>
          <w:rFonts w:ascii="Times New Roman" w:eastAsia="標楷體" w:hAnsi="Times New Roman"/>
          <w:kern w:val="0"/>
          <w:sz w:val="22"/>
          <w:szCs w:val="22"/>
        </w:rPr>
        <w:t>阿羅漢、辟支佛</w:t>
      </w:r>
      <w:r w:rsidR="00EF58E8">
        <w:rPr>
          <w:rFonts w:ascii="標楷體" w:eastAsia="標楷體" w:hAnsi="標楷體" w:hint="eastAsia"/>
          <w:color w:val="FF0000"/>
          <w:kern w:val="0"/>
          <w:sz w:val="22"/>
          <w:highlight w:val="yellow"/>
        </w:rPr>
        <w:t>，</w:t>
      </w:r>
      <w:r w:rsidRPr="00412A9C">
        <w:rPr>
          <w:rFonts w:ascii="Times New Roman" w:eastAsia="標楷體" w:hAnsi="Times New Roman"/>
          <w:kern w:val="0"/>
          <w:sz w:val="22"/>
          <w:szCs w:val="22"/>
        </w:rPr>
        <w:t>諸功德未備，何以不名</w:t>
      </w:r>
      <w:r w:rsidR="005374D8">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道智</w:t>
      </w:r>
      <w:r w:rsidR="005374D8">
        <w:rPr>
          <w:rFonts w:ascii="標楷體" w:eastAsia="標楷體" w:hAnsi="標楷體" w:hint="eastAsia"/>
          <w:bCs/>
          <w:color w:val="FF0000"/>
          <w:kern w:val="0"/>
          <w:sz w:val="22"/>
          <w:highlight w:val="yellow"/>
        </w:rPr>
        <w:t>」</w:t>
      </w:r>
      <w:r w:rsidRPr="005374D8">
        <w:rPr>
          <w:rFonts w:ascii="Times New Roman" w:eastAsia="標楷體" w:hAnsi="Times New Roman"/>
          <w:kern w:val="0"/>
          <w:sz w:val="22"/>
          <w:szCs w:val="22"/>
          <w:highlight w:val="yellow"/>
        </w:rPr>
        <w:t>？</w:t>
      </w:r>
    </w:p>
    <w:p w:rsidR="00373A07" w:rsidRDefault="00157EF6" w:rsidP="00833B7D">
      <w:pPr>
        <w:overflowPunct w:val="0"/>
        <w:autoSpaceDE w:val="0"/>
        <w:autoSpaceDN w:val="0"/>
        <w:snapToGrid w:val="0"/>
        <w:ind w:leftChars="105" w:left="912" w:hangingChars="300" w:hanging="660"/>
        <w:jc w:val="both"/>
        <w:rPr>
          <w:rFonts w:ascii="Times New Roman" w:eastAsia="標楷體" w:hAnsi="Times New Roman"/>
          <w:kern w:val="0"/>
          <w:sz w:val="22"/>
          <w:szCs w:val="22"/>
        </w:rPr>
      </w:pPr>
      <w:r w:rsidRPr="00412A9C">
        <w:rPr>
          <w:rFonts w:ascii="Times New Roman" w:eastAsia="標楷體" w:hAnsi="Times New Roman"/>
          <w:kern w:val="0"/>
          <w:sz w:val="22"/>
          <w:szCs w:val="22"/>
        </w:rPr>
        <w:t>答曰：</w:t>
      </w:r>
      <w:r w:rsidR="00EF58E8">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阿羅漢、辟支佛</w:t>
      </w:r>
      <w:r w:rsidR="00EF58E8">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道，自於所行亦辦，是故不名</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道智</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b/>
          <w:kern w:val="0"/>
          <w:sz w:val="22"/>
          <w:szCs w:val="22"/>
        </w:rPr>
        <w:t>道</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b/>
          <w:kern w:val="0"/>
          <w:sz w:val="22"/>
          <w:szCs w:val="22"/>
        </w:rPr>
        <w:t>是</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b/>
          <w:kern w:val="0"/>
          <w:sz w:val="22"/>
          <w:szCs w:val="22"/>
        </w:rPr>
        <w:t>行</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b/>
          <w:kern w:val="0"/>
          <w:sz w:val="22"/>
          <w:szCs w:val="22"/>
        </w:rPr>
        <w:t>相故</w:t>
      </w:r>
      <w:r w:rsidRPr="00412A9C">
        <w:rPr>
          <w:rFonts w:ascii="Times New Roman" w:eastAsia="標楷體" w:hAnsi="Times New Roman"/>
          <w:kern w:val="0"/>
          <w:sz w:val="22"/>
          <w:szCs w:val="22"/>
        </w:rPr>
        <w:t>。</w:t>
      </w:r>
    </w:p>
    <w:p w:rsidR="00373A07" w:rsidRDefault="00157EF6" w:rsidP="00373A07">
      <w:pPr>
        <w:overflowPunct w:val="0"/>
        <w:autoSpaceDE w:val="0"/>
        <w:autoSpaceDN w:val="0"/>
        <w:snapToGrid w:val="0"/>
        <w:ind w:leftChars="405" w:left="1632" w:hangingChars="300" w:hanging="660"/>
        <w:jc w:val="both"/>
        <w:rPr>
          <w:rFonts w:ascii="Times New Roman" w:eastAsia="標楷體" w:hAnsi="Times New Roman"/>
          <w:kern w:val="0"/>
          <w:sz w:val="22"/>
          <w:szCs w:val="22"/>
        </w:rPr>
      </w:pPr>
      <w:r w:rsidRPr="00412A9C">
        <w:rPr>
          <w:rFonts w:ascii="Times New Roman" w:eastAsia="標楷體" w:hAnsi="Times New Roman"/>
          <w:kern w:val="0"/>
          <w:sz w:val="22"/>
          <w:szCs w:val="22"/>
        </w:rPr>
        <w:t>復次，此經中說聲聞、辟支佛</w:t>
      </w:r>
      <w:r w:rsidR="00373A07">
        <w:rPr>
          <w:rFonts w:ascii="標楷體" w:eastAsia="標楷體" w:hAnsi="標楷體" w:hint="eastAsia"/>
          <w:color w:val="FF0000"/>
          <w:spacing w:val="-4"/>
          <w:kern w:val="0"/>
          <w:sz w:val="22"/>
          <w:highlight w:val="yellow"/>
        </w:rPr>
        <w:t>；</w:t>
      </w:r>
      <w:r w:rsidRPr="00412A9C">
        <w:rPr>
          <w:rFonts w:ascii="Times New Roman" w:eastAsia="標楷體" w:hAnsi="Times New Roman"/>
          <w:kern w:val="0"/>
          <w:sz w:val="22"/>
          <w:szCs w:val="22"/>
        </w:rPr>
        <w:t>聲聞中不攝三道故，此中不說</w:t>
      </w:r>
      <w:r w:rsidRPr="00412A9C">
        <w:rPr>
          <w:rFonts w:ascii="Times New Roman" w:eastAsia="標楷體" w:hAnsi="Times New Roman" w:hint="eastAsia"/>
          <w:kern w:val="0"/>
          <w:sz w:val="22"/>
          <w:szCs w:val="22"/>
        </w:rPr>
        <w:t>。</w:t>
      </w:r>
      <w:r w:rsidRPr="00412A9C">
        <w:rPr>
          <w:rFonts w:ascii="Times New Roman" w:eastAsia="標楷體" w:hAnsi="Times New Roman"/>
          <w:kern w:val="0"/>
          <w:sz w:val="22"/>
          <w:szCs w:val="22"/>
        </w:rPr>
        <w:t>佛道</w:t>
      </w:r>
      <w:r w:rsidR="00373A07">
        <w:rPr>
          <w:rFonts w:ascii="標楷體" w:eastAsia="標楷體" w:hAnsi="標楷體" w:hint="eastAsia"/>
          <w:color w:val="FF0000"/>
          <w:kern w:val="0"/>
          <w:sz w:val="22"/>
          <w:highlight w:val="yellow"/>
        </w:rPr>
        <w:t>，</w:t>
      </w:r>
      <w:r w:rsidRPr="00412A9C">
        <w:rPr>
          <w:rFonts w:ascii="Times New Roman" w:eastAsia="標楷體" w:hAnsi="Times New Roman"/>
          <w:kern w:val="0"/>
          <w:sz w:val="22"/>
          <w:szCs w:val="22"/>
        </w:rPr>
        <w:t>大故</w:t>
      </w:r>
      <w:r w:rsidR="00373A07">
        <w:rPr>
          <w:rFonts w:ascii="標楷體" w:eastAsia="標楷體" w:hAnsi="標楷體" w:hint="eastAsia"/>
          <w:color w:val="FF0000"/>
          <w:kern w:val="0"/>
          <w:sz w:val="22"/>
          <w:highlight w:val="yellow"/>
        </w:rPr>
        <w:t>，</w:t>
      </w:r>
      <w:r w:rsidRPr="00412A9C">
        <w:rPr>
          <w:rFonts w:ascii="Times New Roman" w:eastAsia="標楷體" w:hAnsi="Times New Roman"/>
          <w:kern w:val="0"/>
          <w:sz w:val="22"/>
          <w:szCs w:val="22"/>
        </w:rPr>
        <w:t>名為</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道智</w:t>
      </w:r>
      <w:r w:rsidR="00373A07">
        <w:rPr>
          <w:rFonts w:ascii="標楷體" w:eastAsia="標楷體" w:hAnsi="標楷體" w:hint="eastAsia"/>
          <w:bCs/>
          <w:color w:val="FF0000"/>
          <w:kern w:val="0"/>
          <w:sz w:val="22"/>
          <w:highlight w:val="yellow"/>
        </w:rPr>
        <w:t>」</w:t>
      </w:r>
      <w:r w:rsidR="00373A07">
        <w:rPr>
          <w:rFonts w:ascii="標楷體" w:eastAsia="標楷體" w:hAnsi="標楷體" w:hint="eastAsia"/>
          <w:color w:val="FF0000"/>
          <w:spacing w:val="-4"/>
          <w:kern w:val="0"/>
          <w:sz w:val="22"/>
          <w:highlight w:val="yellow"/>
        </w:rPr>
        <w:t>；</w:t>
      </w:r>
      <w:r w:rsidR="00EF58E8">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聲聞</w:t>
      </w:r>
      <w:r w:rsidR="00EF58E8">
        <w:rPr>
          <w:rFonts w:ascii="標楷體" w:eastAsia="標楷體" w:hAnsi="標楷體" w:hint="eastAsia"/>
          <w:color w:val="FF0000"/>
          <w:kern w:val="0"/>
          <w:sz w:val="22"/>
          <w:highlight w:val="yellow"/>
        </w:rPr>
        <w:t>、</w:t>
      </w:r>
      <w:r w:rsidRPr="00412A9C">
        <w:rPr>
          <w:rFonts w:ascii="Times New Roman" w:eastAsia="標楷體" w:hAnsi="Times New Roman"/>
          <w:kern w:val="0"/>
          <w:sz w:val="22"/>
          <w:szCs w:val="22"/>
        </w:rPr>
        <w:t>辟支佛</w:t>
      </w:r>
      <w:r w:rsidR="00EF58E8">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道</w:t>
      </w:r>
      <w:r w:rsidR="00373A07">
        <w:rPr>
          <w:rFonts w:ascii="標楷體" w:eastAsia="標楷體" w:hAnsi="標楷體" w:hint="eastAsia"/>
          <w:color w:val="FF0000"/>
          <w:kern w:val="0"/>
          <w:sz w:val="22"/>
          <w:highlight w:val="yellow"/>
        </w:rPr>
        <w:t>，</w:t>
      </w:r>
      <w:r w:rsidRPr="00412A9C">
        <w:rPr>
          <w:rFonts w:ascii="Times New Roman" w:eastAsia="標楷體" w:hAnsi="Times New Roman"/>
          <w:kern w:val="0"/>
          <w:sz w:val="22"/>
          <w:szCs w:val="22"/>
        </w:rPr>
        <w:t>小故</w:t>
      </w:r>
      <w:r w:rsidR="00373A07">
        <w:rPr>
          <w:rFonts w:ascii="標楷體" w:eastAsia="標楷體" w:hAnsi="標楷體" w:hint="eastAsia"/>
          <w:color w:val="FF0000"/>
          <w:kern w:val="0"/>
          <w:sz w:val="22"/>
          <w:highlight w:val="yellow"/>
        </w:rPr>
        <w:t>，</w:t>
      </w:r>
      <w:r w:rsidRPr="00412A9C">
        <w:rPr>
          <w:rFonts w:ascii="Times New Roman" w:eastAsia="標楷體" w:hAnsi="Times New Roman"/>
          <w:kern w:val="0"/>
          <w:sz w:val="22"/>
          <w:szCs w:val="22"/>
        </w:rPr>
        <w:t>不名</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道智</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w:t>
      </w:r>
    </w:p>
    <w:p w:rsidR="00373A07" w:rsidRDefault="00157EF6" w:rsidP="00373A07">
      <w:pPr>
        <w:overflowPunct w:val="0"/>
        <w:autoSpaceDE w:val="0"/>
        <w:autoSpaceDN w:val="0"/>
        <w:snapToGrid w:val="0"/>
        <w:ind w:leftChars="405" w:left="1632" w:hangingChars="300" w:hanging="660"/>
        <w:jc w:val="both"/>
        <w:rPr>
          <w:rFonts w:ascii="標楷體" w:eastAsia="標楷體" w:hAnsi="標楷體"/>
          <w:color w:val="FF0000"/>
          <w:kern w:val="0"/>
          <w:sz w:val="22"/>
        </w:rPr>
      </w:pPr>
      <w:r w:rsidRPr="00412A9C">
        <w:rPr>
          <w:rFonts w:ascii="Times New Roman" w:eastAsia="標楷體" w:hAnsi="Times New Roman"/>
          <w:kern w:val="0"/>
          <w:sz w:val="22"/>
          <w:szCs w:val="22"/>
        </w:rPr>
        <w:t>復次，菩薩摩訶薩，自行道，亦示眾生各各所行道</w:t>
      </w:r>
      <w:r w:rsidR="00373A07">
        <w:rPr>
          <w:rFonts w:ascii="標楷體" w:eastAsia="標楷體" w:hAnsi="標楷體" w:hint="eastAsia"/>
          <w:color w:val="FF0000"/>
          <w:kern w:val="0"/>
          <w:sz w:val="22"/>
          <w:highlight w:val="yellow"/>
        </w:rPr>
        <w:t>。</w:t>
      </w:r>
    </w:p>
    <w:p w:rsidR="00157EF6" w:rsidRPr="00412A9C" w:rsidRDefault="00157EF6" w:rsidP="00373A07">
      <w:pPr>
        <w:overflowPunct w:val="0"/>
        <w:autoSpaceDE w:val="0"/>
        <w:autoSpaceDN w:val="0"/>
        <w:snapToGrid w:val="0"/>
        <w:ind w:leftChars="105" w:left="252"/>
        <w:jc w:val="both"/>
        <w:rPr>
          <w:rFonts w:ascii="Times New Roman" w:eastAsia="標楷體" w:hAnsi="Times New Roman"/>
          <w:kern w:val="0"/>
          <w:sz w:val="22"/>
          <w:szCs w:val="22"/>
        </w:rPr>
      </w:pPr>
      <w:r w:rsidRPr="00373A07">
        <w:rPr>
          <w:rFonts w:ascii="Times New Roman" w:eastAsia="標楷體" w:hAnsi="Times New Roman"/>
          <w:kern w:val="0"/>
          <w:sz w:val="22"/>
          <w:szCs w:val="22"/>
          <w:highlight w:val="yellow"/>
        </w:rPr>
        <w:t>以</w:t>
      </w:r>
      <w:r w:rsidRPr="00412A9C">
        <w:rPr>
          <w:rFonts w:ascii="Times New Roman" w:eastAsia="標楷體" w:hAnsi="Times New Roman"/>
          <w:kern w:val="0"/>
          <w:sz w:val="22"/>
          <w:szCs w:val="22"/>
        </w:rPr>
        <w:t>是故說名</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菩薩行道智</w:t>
      </w:r>
      <w:r w:rsidRPr="00412A9C">
        <w:rPr>
          <w:rFonts w:ascii="Times New Roman" w:eastAsia="標楷體" w:hAnsi="Times New Roman" w:hint="eastAsia"/>
          <w:kern w:val="0"/>
          <w:sz w:val="22"/>
          <w:szCs w:val="22"/>
        </w:rPr>
        <w:t>，</w:t>
      </w:r>
      <w:r w:rsidRPr="00412A9C">
        <w:rPr>
          <w:rFonts w:ascii="Times New Roman" w:eastAsia="標楷體" w:hAnsi="Times New Roman"/>
          <w:kern w:val="0"/>
          <w:sz w:val="22"/>
          <w:szCs w:val="22"/>
        </w:rPr>
        <w:t>得一切智</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w:t>
      </w:r>
    </w:p>
  </w:footnote>
  <w:footnote w:id="1017">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szCs w:val="22"/>
        </w:rPr>
        <w:t>印順法師對天台宗「三智一心中得」之評論，參見《華雨集》（五），</w:t>
      </w:r>
      <w:r w:rsidRPr="00761EF3">
        <w:rPr>
          <w:szCs w:val="22"/>
        </w:rPr>
        <w:t>pp</w:t>
      </w:r>
      <w:r w:rsidRPr="00412A9C">
        <w:rPr>
          <w:szCs w:val="22"/>
        </w:rPr>
        <w:t>.</w:t>
      </w:r>
      <w:r w:rsidRPr="00761EF3">
        <w:rPr>
          <w:szCs w:val="22"/>
        </w:rPr>
        <w:t>110</w:t>
      </w:r>
      <w:r w:rsidRPr="00412A9C">
        <w:rPr>
          <w:szCs w:val="22"/>
        </w:rPr>
        <w:t>-</w:t>
      </w:r>
      <w:r w:rsidRPr="00761EF3">
        <w:rPr>
          <w:szCs w:val="22"/>
        </w:rPr>
        <w:t>114</w:t>
      </w:r>
      <w:r w:rsidRPr="00412A9C">
        <w:rPr>
          <w:szCs w:val="22"/>
        </w:rPr>
        <w:t>。</w:t>
      </w:r>
    </w:p>
  </w:footnote>
  <w:footnote w:id="1018">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Pr>
          <w:rFonts w:hint="eastAsia"/>
          <w:szCs w:val="22"/>
        </w:rPr>
        <w:t xml:space="preserve"> </w:t>
      </w:r>
      <w:r w:rsidRPr="00412A9C">
        <w:rPr>
          <w:szCs w:val="22"/>
        </w:rPr>
        <w:t>《大智度論》卷</w:t>
      </w:r>
      <w:r w:rsidRPr="00761EF3">
        <w:rPr>
          <w:szCs w:val="22"/>
        </w:rPr>
        <w:t>27</w:t>
      </w:r>
      <w:r w:rsidRPr="00412A9C">
        <w:rPr>
          <w:szCs w:val="22"/>
        </w:rPr>
        <w:t>（大正</w:t>
      </w:r>
      <w:r w:rsidRPr="00761EF3">
        <w:rPr>
          <w:szCs w:val="22"/>
        </w:rPr>
        <w:t>25</w:t>
      </w:r>
      <w:r w:rsidRPr="00412A9C">
        <w:rPr>
          <w:szCs w:val="22"/>
        </w:rPr>
        <w:t>，</w:t>
      </w:r>
      <w:r w:rsidRPr="00761EF3">
        <w:rPr>
          <w:szCs w:val="22"/>
        </w:rPr>
        <w:t>260b9</w:t>
      </w:r>
      <w:r w:rsidRPr="00412A9C">
        <w:rPr>
          <w:szCs w:val="22"/>
        </w:rPr>
        <w:t>-</w:t>
      </w:r>
      <w:r w:rsidRPr="00761EF3">
        <w:rPr>
          <w:szCs w:val="22"/>
        </w:rPr>
        <w:t>29</w:t>
      </w:r>
      <w:r w:rsidRPr="00412A9C">
        <w:rPr>
          <w:szCs w:val="22"/>
        </w:rPr>
        <w:t>）：</w:t>
      </w:r>
    </w:p>
    <w:p w:rsidR="00157EF6" w:rsidRPr="00412A9C" w:rsidRDefault="00157EF6" w:rsidP="00AA120F">
      <w:pPr>
        <w:overflowPunct w:val="0"/>
        <w:autoSpaceDE w:val="0"/>
        <w:autoSpaceDN w:val="0"/>
        <w:snapToGrid w:val="0"/>
        <w:ind w:leftChars="105" w:left="912" w:hangingChars="300" w:hanging="660"/>
        <w:jc w:val="both"/>
        <w:rPr>
          <w:rFonts w:ascii="Times New Roman" w:eastAsia="SimSun" w:hAnsi="Times New Roman"/>
          <w:kern w:val="0"/>
          <w:sz w:val="22"/>
          <w:szCs w:val="22"/>
        </w:rPr>
      </w:pPr>
      <w:r w:rsidRPr="00412A9C">
        <w:rPr>
          <w:rFonts w:ascii="Times New Roman" w:eastAsia="標楷體" w:hAnsi="Times New Roman"/>
          <w:kern w:val="0"/>
          <w:sz w:val="22"/>
          <w:szCs w:val="22"/>
        </w:rPr>
        <w:t>問曰：如佛得佛道時，以道智得具足一切智、一切種智，今何以言</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以一切智得具足一切種智</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w:t>
      </w:r>
    </w:p>
    <w:p w:rsidR="00157EF6" w:rsidRPr="00412A9C" w:rsidRDefault="00157EF6" w:rsidP="00AA120F">
      <w:pPr>
        <w:overflowPunct w:val="0"/>
        <w:autoSpaceDE w:val="0"/>
        <w:autoSpaceDN w:val="0"/>
        <w:snapToGrid w:val="0"/>
        <w:ind w:leftChars="105" w:left="912" w:hangingChars="300" w:hanging="660"/>
        <w:jc w:val="both"/>
        <w:rPr>
          <w:rFonts w:ascii="Times New Roman" w:eastAsia="標楷體" w:hAnsi="Times New Roman"/>
          <w:kern w:val="0"/>
          <w:sz w:val="22"/>
          <w:szCs w:val="22"/>
        </w:rPr>
      </w:pPr>
      <w:r w:rsidRPr="00412A9C">
        <w:rPr>
          <w:rFonts w:ascii="Times New Roman" w:eastAsia="標楷體" w:hAnsi="Times New Roman"/>
          <w:kern w:val="0"/>
          <w:sz w:val="22"/>
          <w:szCs w:val="22"/>
        </w:rPr>
        <w:t>答曰：佛得道時，</w:t>
      </w:r>
      <w:r w:rsidRPr="00412A9C">
        <w:rPr>
          <w:rFonts w:ascii="Times New Roman" w:eastAsia="標楷體" w:hAnsi="Times New Roman"/>
          <w:b/>
          <w:kern w:val="0"/>
          <w:sz w:val="22"/>
          <w:szCs w:val="22"/>
        </w:rPr>
        <w:t>以道智雖具足得一切智，得具足一切種智，而未用一切種智；如大國王得位時，境土寶藏皆已得，但未開用。</w:t>
      </w:r>
    </w:p>
    <w:p w:rsidR="00157EF6" w:rsidRPr="00412A9C" w:rsidRDefault="00157EF6" w:rsidP="00373A07">
      <w:pPr>
        <w:overflowPunct w:val="0"/>
        <w:autoSpaceDE w:val="0"/>
        <w:autoSpaceDN w:val="0"/>
        <w:snapToGrid w:val="0"/>
        <w:ind w:leftChars="105" w:left="912" w:hangingChars="300" w:hanging="660"/>
        <w:jc w:val="both"/>
        <w:rPr>
          <w:rFonts w:ascii="Times New Roman" w:eastAsia="標楷體" w:hAnsi="Times New Roman"/>
          <w:kern w:val="0"/>
          <w:sz w:val="22"/>
          <w:szCs w:val="22"/>
        </w:rPr>
      </w:pPr>
      <w:r w:rsidRPr="00412A9C">
        <w:rPr>
          <w:rFonts w:ascii="Times New Roman" w:eastAsia="標楷體" w:hAnsi="Times New Roman"/>
          <w:kern w:val="0"/>
          <w:sz w:val="22"/>
          <w:szCs w:val="22"/>
        </w:rPr>
        <w:t>【經】欲以一切種智斷煩惱習，當習行般若波羅蜜！舍利弗！菩薩摩訶薩應如是學般若波羅蜜！</w:t>
      </w:r>
    </w:p>
    <w:p w:rsidR="00157EF6" w:rsidRDefault="00157EF6" w:rsidP="00AA120F">
      <w:pPr>
        <w:overflowPunct w:val="0"/>
        <w:autoSpaceDE w:val="0"/>
        <w:autoSpaceDN w:val="0"/>
        <w:snapToGrid w:val="0"/>
        <w:ind w:leftChars="105" w:left="252"/>
        <w:jc w:val="both"/>
        <w:rPr>
          <w:rFonts w:ascii="Times New Roman" w:eastAsia="標楷體" w:hAnsi="Times New Roman"/>
          <w:kern w:val="0"/>
          <w:sz w:val="22"/>
          <w:szCs w:val="22"/>
        </w:rPr>
      </w:pPr>
      <w:r w:rsidRPr="00412A9C">
        <w:rPr>
          <w:rFonts w:ascii="Times New Roman" w:eastAsia="標楷體" w:hAnsi="Times New Roman"/>
          <w:kern w:val="0"/>
          <w:sz w:val="22"/>
          <w:szCs w:val="22"/>
        </w:rPr>
        <w:t>【論】</w:t>
      </w:r>
    </w:p>
    <w:p w:rsidR="00157EF6" w:rsidRPr="00412A9C" w:rsidRDefault="00157EF6" w:rsidP="00AA120F">
      <w:pPr>
        <w:overflowPunct w:val="0"/>
        <w:autoSpaceDE w:val="0"/>
        <w:autoSpaceDN w:val="0"/>
        <w:snapToGrid w:val="0"/>
        <w:ind w:leftChars="105" w:left="912" w:hangingChars="300" w:hanging="660"/>
        <w:jc w:val="both"/>
        <w:rPr>
          <w:rFonts w:ascii="Times New Roman" w:eastAsia="標楷體" w:hAnsi="Times New Roman"/>
          <w:kern w:val="0"/>
          <w:sz w:val="22"/>
          <w:szCs w:val="22"/>
        </w:rPr>
      </w:pPr>
      <w:r w:rsidRPr="00412A9C">
        <w:rPr>
          <w:rFonts w:ascii="Times New Roman" w:eastAsia="標楷體" w:hAnsi="Times New Roman"/>
          <w:kern w:val="0"/>
          <w:sz w:val="22"/>
          <w:szCs w:val="22"/>
        </w:rPr>
        <w:t>問曰：一心中得一切智、一切種智，斷一切煩惱習；今云何言</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以一切智具足得一切種智，以一切種智斷煩惱習</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w:t>
      </w:r>
    </w:p>
    <w:p w:rsidR="00373A07" w:rsidRDefault="00157EF6" w:rsidP="00AA120F">
      <w:pPr>
        <w:overflowPunct w:val="0"/>
        <w:autoSpaceDE w:val="0"/>
        <w:autoSpaceDN w:val="0"/>
        <w:snapToGrid w:val="0"/>
        <w:ind w:leftChars="105" w:left="912" w:hangingChars="300" w:hanging="660"/>
        <w:jc w:val="both"/>
        <w:rPr>
          <w:rFonts w:ascii="Times New Roman" w:eastAsia="標楷體" w:hAnsi="Times New Roman"/>
          <w:kern w:val="0"/>
          <w:sz w:val="22"/>
          <w:szCs w:val="22"/>
        </w:rPr>
      </w:pPr>
      <w:r w:rsidRPr="00412A9C">
        <w:rPr>
          <w:rFonts w:ascii="Times New Roman" w:eastAsia="標楷體" w:hAnsi="Times New Roman"/>
          <w:kern w:val="0"/>
          <w:sz w:val="22"/>
          <w:szCs w:val="22"/>
        </w:rPr>
        <w:t>答曰：實</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一切一時得</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；此中為令人信般若波羅蜜故，次第差品說。欲令眾生得清淨心，是故如是說。</w:t>
      </w:r>
    </w:p>
    <w:p w:rsidR="00157EF6" w:rsidRPr="00412A9C" w:rsidRDefault="00157EF6" w:rsidP="00373A07">
      <w:pPr>
        <w:overflowPunct w:val="0"/>
        <w:autoSpaceDE w:val="0"/>
        <w:autoSpaceDN w:val="0"/>
        <w:snapToGrid w:val="0"/>
        <w:ind w:leftChars="405" w:left="1632" w:hangingChars="300" w:hanging="660"/>
        <w:jc w:val="both"/>
        <w:rPr>
          <w:rFonts w:ascii="Times New Roman" w:eastAsia="標楷體" w:hAnsi="Times New Roman"/>
          <w:kern w:val="0"/>
          <w:sz w:val="22"/>
          <w:szCs w:val="22"/>
        </w:rPr>
      </w:pPr>
      <w:r w:rsidRPr="00412A9C">
        <w:rPr>
          <w:rFonts w:ascii="Times New Roman" w:eastAsia="標楷體" w:hAnsi="Times New Roman"/>
          <w:kern w:val="0"/>
          <w:sz w:val="22"/>
          <w:szCs w:val="22"/>
        </w:rPr>
        <w:t>復次，</w:t>
      </w:r>
      <w:r w:rsidRPr="00412A9C">
        <w:rPr>
          <w:rFonts w:ascii="Times New Roman" w:eastAsia="標楷體" w:hAnsi="Times New Roman"/>
          <w:b/>
          <w:kern w:val="0"/>
          <w:sz w:val="22"/>
          <w:szCs w:val="22"/>
        </w:rPr>
        <w:t>雖一心中得，亦有</w:t>
      </w:r>
      <w:r w:rsidRPr="00373A07">
        <w:rPr>
          <w:rFonts w:ascii="Times New Roman" w:eastAsia="標楷體" w:hAnsi="Times New Roman"/>
          <w:b/>
          <w:kern w:val="0"/>
          <w:sz w:val="22"/>
          <w:szCs w:val="22"/>
          <w:highlight w:val="yellow"/>
        </w:rPr>
        <w:t>初中後</w:t>
      </w:r>
      <w:r w:rsidRPr="00412A9C">
        <w:rPr>
          <w:rFonts w:ascii="Times New Roman" w:eastAsia="標楷體" w:hAnsi="Times New Roman"/>
          <w:b/>
          <w:kern w:val="0"/>
          <w:sz w:val="22"/>
          <w:szCs w:val="22"/>
        </w:rPr>
        <w:t>次第。</w:t>
      </w:r>
      <w:r w:rsidRPr="00412A9C">
        <w:rPr>
          <w:rFonts w:ascii="Times New Roman" w:eastAsia="標楷體" w:hAnsi="Times New Roman"/>
          <w:kern w:val="0"/>
          <w:sz w:val="22"/>
          <w:szCs w:val="22"/>
        </w:rPr>
        <w:t>如</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一心有三相，</w:t>
      </w:r>
      <w:r w:rsidR="00373A07">
        <w:rPr>
          <w:rFonts w:ascii="標楷體" w:eastAsia="標楷體" w:hAnsi="標楷體" w:hint="eastAsia"/>
          <w:color w:val="FF0000"/>
          <w:kern w:val="0"/>
          <w:sz w:val="22"/>
          <w:highlight w:val="yellow"/>
        </w:rPr>
        <w:t>『</w:t>
      </w:r>
      <w:r w:rsidRPr="00412A9C">
        <w:rPr>
          <w:rFonts w:ascii="Times New Roman" w:eastAsia="標楷體" w:hAnsi="Times New Roman"/>
          <w:kern w:val="0"/>
          <w:sz w:val="22"/>
          <w:szCs w:val="22"/>
        </w:rPr>
        <w:t>生</w:t>
      </w:r>
      <w:r w:rsidR="00373A07">
        <w:rPr>
          <w:rFonts w:ascii="標楷體" w:eastAsia="標楷體" w:hAnsi="標楷體" w:hint="eastAsia"/>
          <w:color w:val="FF0000"/>
          <w:kern w:val="0"/>
          <w:sz w:val="22"/>
          <w:highlight w:val="yellow"/>
        </w:rPr>
        <w:t>』</w:t>
      </w:r>
      <w:r w:rsidRPr="00412A9C">
        <w:rPr>
          <w:rFonts w:ascii="Times New Roman" w:eastAsia="標楷體" w:hAnsi="Times New Roman"/>
          <w:kern w:val="0"/>
          <w:sz w:val="22"/>
          <w:szCs w:val="22"/>
        </w:rPr>
        <w:t>因緣</w:t>
      </w:r>
      <w:r w:rsidR="00373A07">
        <w:rPr>
          <w:rFonts w:ascii="標楷體" w:eastAsia="標楷體" w:hAnsi="標楷體" w:hint="eastAsia"/>
          <w:color w:val="FF0000"/>
          <w:kern w:val="0"/>
          <w:sz w:val="22"/>
          <w:highlight w:val="yellow"/>
        </w:rPr>
        <w:t>『</w:t>
      </w:r>
      <w:r w:rsidRPr="00412A9C">
        <w:rPr>
          <w:rFonts w:ascii="Times New Roman" w:eastAsia="標楷體" w:hAnsi="Times New Roman"/>
          <w:kern w:val="0"/>
          <w:sz w:val="22"/>
          <w:szCs w:val="22"/>
        </w:rPr>
        <w:t>住</w:t>
      </w:r>
      <w:r w:rsidR="00373A07">
        <w:rPr>
          <w:rFonts w:ascii="標楷體" w:eastAsia="標楷體" w:hAnsi="標楷體" w:hint="eastAsia"/>
          <w:color w:val="FF0000"/>
          <w:kern w:val="0"/>
          <w:sz w:val="22"/>
          <w:highlight w:val="yellow"/>
        </w:rPr>
        <w:t>』</w:t>
      </w:r>
      <w:r w:rsidRPr="00412A9C">
        <w:rPr>
          <w:rFonts w:ascii="Times New Roman" w:eastAsia="標楷體" w:hAnsi="Times New Roman"/>
          <w:kern w:val="0"/>
          <w:sz w:val="22"/>
          <w:szCs w:val="22"/>
        </w:rPr>
        <w:t>，</w:t>
      </w:r>
      <w:r w:rsidR="00373A07">
        <w:rPr>
          <w:rFonts w:ascii="標楷體" w:eastAsia="標楷體" w:hAnsi="標楷體" w:hint="eastAsia"/>
          <w:color w:val="FF0000"/>
          <w:kern w:val="0"/>
          <w:sz w:val="22"/>
          <w:highlight w:val="yellow"/>
        </w:rPr>
        <w:t>『</w:t>
      </w:r>
      <w:r w:rsidRPr="00412A9C">
        <w:rPr>
          <w:rFonts w:ascii="Times New Roman" w:eastAsia="標楷體" w:hAnsi="Times New Roman"/>
          <w:kern w:val="0"/>
          <w:sz w:val="22"/>
          <w:szCs w:val="22"/>
        </w:rPr>
        <w:t>住</w:t>
      </w:r>
      <w:r w:rsidR="00373A07">
        <w:rPr>
          <w:rFonts w:ascii="標楷體" w:eastAsia="標楷體" w:hAnsi="標楷體" w:hint="eastAsia"/>
          <w:color w:val="FF0000"/>
          <w:kern w:val="0"/>
          <w:sz w:val="22"/>
          <w:highlight w:val="yellow"/>
        </w:rPr>
        <w:t>』</w:t>
      </w:r>
      <w:r w:rsidRPr="00412A9C">
        <w:rPr>
          <w:rFonts w:ascii="Times New Roman" w:eastAsia="標楷體" w:hAnsi="Times New Roman"/>
          <w:kern w:val="0"/>
          <w:sz w:val="22"/>
          <w:szCs w:val="22"/>
        </w:rPr>
        <w:t>因緣</w:t>
      </w:r>
      <w:r w:rsidR="00373A07">
        <w:rPr>
          <w:rFonts w:ascii="標楷體" w:eastAsia="標楷體" w:hAnsi="標楷體" w:hint="eastAsia"/>
          <w:color w:val="FF0000"/>
          <w:kern w:val="0"/>
          <w:sz w:val="22"/>
          <w:highlight w:val="yellow"/>
        </w:rPr>
        <w:t>『</w:t>
      </w:r>
      <w:r w:rsidRPr="00412A9C">
        <w:rPr>
          <w:rFonts w:ascii="Times New Roman" w:eastAsia="標楷體" w:hAnsi="Times New Roman"/>
          <w:kern w:val="0"/>
          <w:sz w:val="22"/>
          <w:szCs w:val="22"/>
        </w:rPr>
        <w:t>滅</w:t>
      </w:r>
      <w:r w:rsidR="00373A07">
        <w:rPr>
          <w:rFonts w:ascii="標楷體" w:eastAsia="標楷體" w:hAnsi="標楷體" w:hint="eastAsia"/>
          <w:color w:val="FF0000"/>
          <w:kern w:val="0"/>
          <w:sz w:val="22"/>
          <w:highlight w:val="yellow"/>
        </w:rPr>
        <w:t>』</w:t>
      </w:r>
      <w:r w:rsidR="00373A07">
        <w:rPr>
          <w:rFonts w:ascii="標楷體" w:eastAsia="標楷體" w:hAnsi="標楷體" w:hint="eastAsia"/>
          <w:bCs/>
          <w:color w:val="FF0000"/>
          <w:kern w:val="0"/>
          <w:sz w:val="22"/>
          <w:highlight w:val="yellow"/>
        </w:rPr>
        <w:t>」</w:t>
      </w:r>
      <w:r w:rsidR="00373A07">
        <w:rPr>
          <w:rFonts w:ascii="標楷體" w:eastAsia="標楷體" w:hAnsi="標楷體" w:hint="eastAsia"/>
          <w:color w:val="FF0000"/>
          <w:kern w:val="0"/>
          <w:sz w:val="22"/>
          <w:highlight w:val="yellow"/>
        </w:rPr>
        <w:t>，</w:t>
      </w:r>
      <w:r w:rsidRPr="00412A9C">
        <w:rPr>
          <w:rFonts w:ascii="Times New Roman" w:eastAsia="標楷體" w:hAnsi="Times New Roman"/>
          <w:kern w:val="0"/>
          <w:sz w:val="22"/>
          <w:szCs w:val="22"/>
        </w:rPr>
        <w:t>又如心心數法</w:t>
      </w:r>
      <w:r w:rsidR="00373A07">
        <w:rPr>
          <w:rFonts w:ascii="標楷體" w:eastAsia="標楷體" w:hAnsi="標楷體" w:hint="eastAsia"/>
          <w:color w:val="FF0000"/>
          <w:spacing w:val="-4"/>
          <w:kern w:val="0"/>
          <w:sz w:val="22"/>
          <w:highlight w:val="yellow"/>
        </w:rPr>
        <w:t>、</w:t>
      </w:r>
      <w:r w:rsidRPr="00412A9C">
        <w:rPr>
          <w:rFonts w:ascii="Times New Roman" w:eastAsia="標楷體" w:hAnsi="Times New Roman"/>
          <w:kern w:val="0"/>
          <w:sz w:val="22"/>
          <w:szCs w:val="22"/>
        </w:rPr>
        <w:t>不相應諸</w:t>
      </w:r>
      <w:r w:rsidRPr="00373A07">
        <w:rPr>
          <w:rFonts w:ascii="Times New Roman" w:eastAsia="標楷體" w:hAnsi="Times New Roman"/>
          <w:kern w:val="0"/>
          <w:sz w:val="22"/>
          <w:szCs w:val="22"/>
          <w:highlight w:val="yellow"/>
        </w:rPr>
        <w:t>行及</w:t>
      </w:r>
      <w:r w:rsidRPr="00412A9C">
        <w:rPr>
          <w:rFonts w:ascii="Times New Roman" w:eastAsia="標楷體" w:hAnsi="Times New Roman"/>
          <w:kern w:val="0"/>
          <w:sz w:val="22"/>
          <w:szCs w:val="22"/>
        </w:rPr>
        <w:t>身業、口業</w:t>
      </w:r>
      <w:r w:rsidR="00373A07">
        <w:rPr>
          <w:rFonts w:ascii="標楷體" w:eastAsia="標楷體" w:hAnsi="標楷體" w:hint="eastAsia"/>
          <w:color w:val="FF0000"/>
          <w:spacing w:val="-4"/>
          <w:kern w:val="0"/>
          <w:sz w:val="22"/>
          <w:highlight w:val="yellow"/>
        </w:rPr>
        <w:t>；</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以道智具足一切智，以一切智具足一切種智，以一切種智斷煩惱習</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亦如是。先說</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一切種智</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，即是</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一切智</w:t>
      </w:r>
      <w:r w:rsidR="00373A07">
        <w:rPr>
          <w:rFonts w:ascii="標楷體" w:eastAsia="標楷體" w:hAnsi="標楷體" w:hint="eastAsia"/>
          <w:bCs/>
          <w:color w:val="FF0000"/>
          <w:kern w:val="0"/>
          <w:sz w:val="22"/>
          <w:highlight w:val="yellow"/>
        </w:rPr>
        <w:t>」</w:t>
      </w:r>
      <w:r w:rsidR="00373A07">
        <w:rPr>
          <w:rFonts w:ascii="標楷體" w:eastAsia="標楷體" w:hAnsi="標楷體" w:hint="eastAsia"/>
          <w:color w:val="FF0000"/>
          <w:spacing w:val="-4"/>
          <w:kern w:val="0"/>
          <w:sz w:val="22"/>
          <w:highlight w:val="yellow"/>
        </w:rPr>
        <w:t>；</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道智</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，名</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金剛三昧</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；佛初心即是</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一切智、一切種智</w:t>
      </w:r>
      <w:r w:rsidR="00373A07">
        <w:rPr>
          <w:rFonts w:ascii="標楷體" w:eastAsia="標楷體" w:hAnsi="標楷體" w:hint="eastAsia"/>
          <w:bCs/>
          <w:color w:val="FF0000"/>
          <w:kern w:val="0"/>
          <w:sz w:val="22"/>
          <w:highlight w:val="yellow"/>
        </w:rPr>
        <w:t>」</w:t>
      </w:r>
      <w:r w:rsidRPr="00412A9C">
        <w:rPr>
          <w:rFonts w:ascii="Times New Roman" w:eastAsia="標楷體" w:hAnsi="Times New Roman"/>
          <w:kern w:val="0"/>
          <w:sz w:val="22"/>
          <w:szCs w:val="22"/>
        </w:rPr>
        <w:t>，是時煩惱習斷。</w:t>
      </w:r>
    </w:p>
  </w:footnote>
  <w:footnote w:id="1019">
    <w:p w:rsidR="00E84AA9" w:rsidRPr="00412A9C" w:rsidRDefault="00E84AA9" w:rsidP="00E84AA9">
      <w:pPr>
        <w:pStyle w:val="a5"/>
        <w:spacing w:line="0" w:lineRule="atLeast"/>
        <w:ind w:left="792" w:hangingChars="360" w:hanging="792"/>
        <w:jc w:val="both"/>
        <w:rPr>
          <w:rFonts w:eastAsia="SimSun"/>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）詳見《大毘婆沙論》卷</w:t>
      </w:r>
      <w:r w:rsidRPr="00761EF3">
        <w:rPr>
          <w:szCs w:val="22"/>
        </w:rPr>
        <w:t>39</w:t>
      </w:r>
      <w:r w:rsidRPr="00412A9C">
        <w:rPr>
          <w:szCs w:val="22"/>
        </w:rPr>
        <w:t>（大正</w:t>
      </w:r>
      <w:r w:rsidRPr="00761EF3">
        <w:rPr>
          <w:szCs w:val="22"/>
        </w:rPr>
        <w:t>27</w:t>
      </w:r>
      <w:r w:rsidRPr="00412A9C">
        <w:rPr>
          <w:szCs w:val="22"/>
        </w:rPr>
        <w:t>，</w:t>
      </w:r>
      <w:r w:rsidRPr="00761EF3">
        <w:rPr>
          <w:szCs w:val="22"/>
        </w:rPr>
        <w:t>200a2</w:t>
      </w:r>
      <w:r w:rsidRPr="00412A9C">
        <w:rPr>
          <w:szCs w:val="22"/>
        </w:rPr>
        <w:t>-</w:t>
      </w:r>
      <w:r w:rsidRPr="00761EF3">
        <w:rPr>
          <w:szCs w:val="22"/>
        </w:rPr>
        <w:t>13</w:t>
      </w:r>
      <w:r w:rsidRPr="00412A9C">
        <w:rPr>
          <w:szCs w:val="22"/>
        </w:rPr>
        <w:t>）。</w:t>
      </w:r>
    </w:p>
    <w:p w:rsidR="00E84AA9" w:rsidRPr="00412A9C" w:rsidRDefault="00E84AA9" w:rsidP="00E84AA9">
      <w:pPr>
        <w:pStyle w:val="a5"/>
        <w:ind w:leftChars="105" w:left="791" w:hangingChars="245" w:hanging="539"/>
        <w:jc w:val="both"/>
        <w:rPr>
          <w:szCs w:val="22"/>
        </w:rPr>
      </w:pPr>
      <w:r w:rsidRPr="00412A9C">
        <w:rPr>
          <w:szCs w:val="22"/>
        </w:rPr>
        <w:t>（</w:t>
      </w:r>
      <w:r w:rsidRPr="00761EF3">
        <w:rPr>
          <w:szCs w:val="22"/>
        </w:rPr>
        <w:t>2</w:t>
      </w:r>
      <w:r w:rsidRPr="00412A9C">
        <w:rPr>
          <w:szCs w:val="22"/>
        </w:rPr>
        <w:t>）世親造，《阿毘達磨俱舍論》卷</w:t>
      </w:r>
      <w:r w:rsidRPr="00761EF3">
        <w:rPr>
          <w:szCs w:val="22"/>
        </w:rPr>
        <w:t>5</w:t>
      </w:r>
      <w:r w:rsidRPr="00412A9C">
        <w:rPr>
          <w:szCs w:val="22"/>
        </w:rPr>
        <w:t>（大正</w:t>
      </w:r>
      <w:r w:rsidRPr="00761EF3">
        <w:rPr>
          <w:szCs w:val="22"/>
        </w:rPr>
        <w:t>29</w:t>
      </w:r>
      <w:r w:rsidRPr="00412A9C">
        <w:rPr>
          <w:szCs w:val="22"/>
        </w:rPr>
        <w:t>，</w:t>
      </w:r>
      <w:r w:rsidRPr="00761EF3">
        <w:rPr>
          <w:szCs w:val="22"/>
        </w:rPr>
        <w:t>28b1</w:t>
      </w:r>
      <w:r w:rsidRPr="00412A9C">
        <w:rPr>
          <w:szCs w:val="22"/>
        </w:rPr>
        <w:t>-</w:t>
      </w:r>
      <w:r w:rsidRPr="00761EF3">
        <w:rPr>
          <w:szCs w:val="22"/>
        </w:rPr>
        <w:t>6</w:t>
      </w:r>
      <w:r w:rsidRPr="00412A9C">
        <w:rPr>
          <w:szCs w:val="22"/>
        </w:rPr>
        <w:t>）。</w:t>
      </w:r>
    </w:p>
  </w:footnote>
  <w:footnote w:id="1020">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kern w:val="0"/>
          <w:szCs w:val="22"/>
        </w:rPr>
        <w:t xml:space="preserve"> </w:t>
      </w:r>
      <w:r w:rsidRPr="00412A9C">
        <w:rPr>
          <w:rFonts w:hint="eastAsia"/>
          <w:kern w:val="0"/>
          <w:szCs w:val="22"/>
        </w:rPr>
        <w:t>參見</w:t>
      </w:r>
      <w:r w:rsidRPr="00412A9C">
        <w:rPr>
          <w:szCs w:val="22"/>
        </w:rPr>
        <w:t>《大智度論》卷</w:t>
      </w:r>
      <w:r w:rsidRPr="00761EF3">
        <w:rPr>
          <w:szCs w:val="22"/>
        </w:rPr>
        <w:t>24</w:t>
      </w:r>
      <w:r w:rsidRPr="00412A9C">
        <w:rPr>
          <w:szCs w:val="22"/>
        </w:rPr>
        <w:t>（大正</w:t>
      </w:r>
      <w:r w:rsidRPr="00761EF3">
        <w:rPr>
          <w:szCs w:val="22"/>
        </w:rPr>
        <w:t>25</w:t>
      </w:r>
      <w:r w:rsidRPr="00412A9C">
        <w:rPr>
          <w:szCs w:val="22"/>
        </w:rPr>
        <w:t>，</w:t>
      </w:r>
      <w:r w:rsidRPr="00761EF3">
        <w:rPr>
          <w:szCs w:val="22"/>
        </w:rPr>
        <w:t>240c17</w:t>
      </w:r>
      <w:r w:rsidRPr="00412A9C">
        <w:rPr>
          <w:szCs w:val="22"/>
        </w:rPr>
        <w:t>-</w:t>
      </w:r>
      <w:r w:rsidRPr="00761EF3">
        <w:rPr>
          <w:szCs w:val="22"/>
        </w:rPr>
        <w:t>19</w:t>
      </w:r>
      <w:r w:rsidRPr="00412A9C">
        <w:rPr>
          <w:szCs w:val="22"/>
        </w:rPr>
        <w:t>）：</w:t>
      </w:r>
    </w:p>
    <w:p w:rsidR="00157EF6" w:rsidRPr="00412A9C" w:rsidRDefault="00157EF6" w:rsidP="00AA120F">
      <w:pPr>
        <w:pStyle w:val="a5"/>
        <w:ind w:leftChars="100" w:left="240"/>
        <w:jc w:val="both"/>
        <w:rPr>
          <w:szCs w:val="22"/>
        </w:rPr>
      </w:pPr>
      <w:r w:rsidRPr="00412A9C">
        <w:rPr>
          <w:rFonts w:eastAsia="標楷體"/>
          <w:szCs w:val="22"/>
        </w:rPr>
        <w:t>聲聞人初入聖道時，入時與達時異；佛則一心中亦入亦達，一心中得一切智，一心中壞一切障，一心中得一切佛法。</w:t>
      </w:r>
    </w:p>
  </w:footnote>
  <w:footnote w:id="1021">
    <w:p w:rsidR="00157EF6" w:rsidRPr="00412A9C" w:rsidRDefault="00157EF6" w:rsidP="00AA120F">
      <w:pPr>
        <w:pStyle w:val="a5"/>
        <w:spacing w:line="0" w:lineRule="atLeast"/>
        <w:ind w:left="792" w:hangingChars="360" w:hanging="792"/>
        <w:jc w:val="both"/>
        <w:rPr>
          <w:kern w:val="0"/>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）《大般涅槃經》卷</w:t>
      </w:r>
      <w:r w:rsidRPr="00761EF3">
        <w:rPr>
          <w:szCs w:val="22"/>
        </w:rPr>
        <w:t>38</w:t>
      </w:r>
      <w:r w:rsidRPr="00412A9C">
        <w:rPr>
          <w:szCs w:val="22"/>
        </w:rPr>
        <w:t>〈</w:t>
      </w:r>
      <w:r w:rsidRPr="00761EF3">
        <w:rPr>
          <w:rFonts w:hint="eastAsia"/>
          <w:szCs w:val="22"/>
        </w:rPr>
        <w:t>6</w:t>
      </w:r>
      <w:r>
        <w:rPr>
          <w:szCs w:val="22"/>
        </w:rPr>
        <w:t xml:space="preserve"> </w:t>
      </w:r>
      <w:r w:rsidRPr="00412A9C">
        <w:rPr>
          <w:rFonts w:hint="eastAsia"/>
          <w:kern w:val="0"/>
          <w:szCs w:val="22"/>
        </w:rPr>
        <w:t>迦葉菩薩品</w:t>
      </w:r>
      <w:r w:rsidRPr="00412A9C">
        <w:rPr>
          <w:szCs w:val="22"/>
        </w:rPr>
        <w:t>〉（大正</w:t>
      </w:r>
      <w:r w:rsidRPr="00761EF3">
        <w:rPr>
          <w:szCs w:val="22"/>
        </w:rPr>
        <w:t>12</w:t>
      </w:r>
      <w:r w:rsidRPr="00412A9C">
        <w:rPr>
          <w:szCs w:val="22"/>
        </w:rPr>
        <w:t>，</w:t>
      </w:r>
      <w:r w:rsidRPr="00761EF3">
        <w:rPr>
          <w:szCs w:val="22"/>
        </w:rPr>
        <w:t>590a17</w:t>
      </w:r>
      <w:r w:rsidRPr="00412A9C">
        <w:rPr>
          <w:szCs w:val="22"/>
        </w:rPr>
        <w:t>-</w:t>
      </w:r>
      <w:r w:rsidRPr="00761EF3">
        <w:rPr>
          <w:szCs w:val="22"/>
        </w:rPr>
        <w:t>22</w:t>
      </w:r>
      <w:r w:rsidRPr="00412A9C">
        <w:rPr>
          <w:szCs w:val="22"/>
        </w:rPr>
        <w:t>）：</w:t>
      </w:r>
    </w:p>
    <w:p w:rsidR="00157EF6" w:rsidRPr="00412A9C" w:rsidRDefault="00157EF6" w:rsidP="00AA120F">
      <w:pPr>
        <w:pStyle w:val="a5"/>
        <w:overflowPunct w:val="0"/>
        <w:autoSpaceDE w:val="0"/>
        <w:autoSpaceDN w:val="0"/>
        <w:ind w:leftChars="335" w:left="804"/>
        <w:jc w:val="both"/>
        <w:rPr>
          <w:rFonts w:eastAsia="標楷體"/>
          <w:kern w:val="0"/>
          <w:szCs w:val="22"/>
        </w:rPr>
      </w:pPr>
      <w:r w:rsidRPr="00412A9C">
        <w:rPr>
          <w:rFonts w:eastAsia="標楷體"/>
          <w:kern w:val="0"/>
          <w:szCs w:val="22"/>
        </w:rPr>
        <w:t>爾時，迦葉菩薩即於佛前，以偈讚佛：</w:t>
      </w:r>
    </w:p>
    <w:p w:rsidR="00157EF6" w:rsidRPr="00412A9C" w:rsidRDefault="00157EF6" w:rsidP="00AA120F">
      <w:pPr>
        <w:pStyle w:val="a5"/>
        <w:overflowPunct w:val="0"/>
        <w:autoSpaceDE w:val="0"/>
        <w:autoSpaceDN w:val="0"/>
        <w:ind w:leftChars="335" w:left="804"/>
        <w:jc w:val="both"/>
        <w:rPr>
          <w:rFonts w:eastAsia="標楷體"/>
          <w:kern w:val="0"/>
          <w:szCs w:val="22"/>
        </w:rPr>
      </w:pPr>
      <w:r w:rsidRPr="00412A9C">
        <w:rPr>
          <w:rFonts w:eastAsia="標楷體" w:hint="eastAsia"/>
          <w:kern w:val="0"/>
          <w:szCs w:val="22"/>
        </w:rPr>
        <w:t>「</w:t>
      </w:r>
      <w:r w:rsidRPr="00412A9C">
        <w:rPr>
          <w:rFonts w:eastAsia="標楷體"/>
          <w:kern w:val="0"/>
          <w:szCs w:val="22"/>
        </w:rPr>
        <w:t>憐愍世間大醫王，身及智慧俱寂靜，無我法中有真我，是故敬禮無上尊。</w:t>
      </w:r>
    </w:p>
    <w:p w:rsidR="00157EF6" w:rsidRPr="00412A9C" w:rsidRDefault="00157EF6" w:rsidP="00AA120F">
      <w:pPr>
        <w:pStyle w:val="a5"/>
        <w:overflowPunct w:val="0"/>
        <w:autoSpaceDE w:val="0"/>
        <w:autoSpaceDN w:val="0"/>
        <w:ind w:leftChars="335" w:left="804"/>
        <w:jc w:val="both"/>
        <w:rPr>
          <w:rFonts w:eastAsia="SimSun"/>
          <w:kern w:val="0"/>
          <w:szCs w:val="22"/>
        </w:rPr>
      </w:pPr>
      <w:r w:rsidRPr="00412A9C">
        <w:rPr>
          <w:rFonts w:eastAsia="標楷體"/>
          <w:b/>
          <w:kern w:val="0"/>
          <w:szCs w:val="22"/>
        </w:rPr>
        <w:t>發心</w:t>
      </w:r>
      <w:r w:rsidR="007D65DC" w:rsidRPr="007D65DC">
        <w:rPr>
          <w:rFonts w:eastAsia="標楷體" w:hint="eastAsia"/>
          <w:b/>
          <w:color w:val="FF0000"/>
          <w:kern w:val="0"/>
          <w:szCs w:val="22"/>
          <w:highlight w:val="yellow"/>
        </w:rPr>
        <w:t>、</w:t>
      </w:r>
      <w:r w:rsidRPr="00412A9C">
        <w:rPr>
          <w:rFonts w:eastAsia="標楷體"/>
          <w:b/>
          <w:kern w:val="0"/>
          <w:szCs w:val="22"/>
        </w:rPr>
        <w:t>畢竟</w:t>
      </w:r>
      <w:r w:rsidR="007D65DC" w:rsidRPr="007D65DC">
        <w:rPr>
          <w:rFonts w:eastAsia="標楷體" w:hint="eastAsia"/>
          <w:b/>
          <w:color w:val="FF0000"/>
          <w:kern w:val="0"/>
          <w:szCs w:val="22"/>
          <w:highlight w:val="yellow"/>
        </w:rPr>
        <w:t>，</w:t>
      </w:r>
      <w:r w:rsidRPr="00412A9C">
        <w:rPr>
          <w:rFonts w:eastAsia="標楷體"/>
          <w:b/>
          <w:kern w:val="0"/>
          <w:szCs w:val="22"/>
        </w:rPr>
        <w:t>二不別</w:t>
      </w:r>
      <w:r w:rsidRPr="00412A9C">
        <w:rPr>
          <w:rFonts w:eastAsia="標楷體"/>
          <w:kern w:val="0"/>
          <w:szCs w:val="22"/>
        </w:rPr>
        <w:t>，如是二心</w:t>
      </w:r>
      <w:r w:rsidR="007D65DC" w:rsidRPr="007D65DC">
        <w:rPr>
          <w:rFonts w:eastAsia="標楷體" w:hint="eastAsia"/>
          <w:color w:val="FF0000"/>
          <w:kern w:val="0"/>
          <w:szCs w:val="22"/>
          <w:highlight w:val="yellow"/>
        </w:rPr>
        <w:t>，</w:t>
      </w:r>
      <w:r w:rsidRPr="00412A9C">
        <w:rPr>
          <w:rFonts w:eastAsia="標楷體"/>
          <w:kern w:val="0"/>
          <w:szCs w:val="22"/>
        </w:rPr>
        <w:t>先心難，自未得度先度他，是故我禮初發心。</w:t>
      </w:r>
      <w:r w:rsidRPr="00412A9C">
        <w:rPr>
          <w:rFonts w:eastAsia="標楷體" w:hint="eastAsia"/>
          <w:kern w:val="0"/>
          <w:szCs w:val="22"/>
        </w:rPr>
        <w:t>」</w:t>
      </w:r>
    </w:p>
    <w:p w:rsidR="00157EF6" w:rsidRPr="00412A9C" w:rsidRDefault="00157EF6" w:rsidP="00AA120F">
      <w:pPr>
        <w:pStyle w:val="a5"/>
        <w:ind w:leftChars="105" w:left="791" w:hangingChars="245" w:hanging="539"/>
        <w:jc w:val="both"/>
        <w:rPr>
          <w:kern w:val="0"/>
          <w:szCs w:val="22"/>
        </w:rPr>
      </w:pPr>
      <w:r w:rsidRPr="00412A9C">
        <w:rPr>
          <w:szCs w:val="22"/>
        </w:rPr>
        <w:t>（</w:t>
      </w:r>
      <w:r w:rsidRPr="00761EF3">
        <w:rPr>
          <w:kern w:val="0"/>
          <w:szCs w:val="22"/>
        </w:rPr>
        <w:t>2</w:t>
      </w:r>
      <w:r w:rsidRPr="00412A9C">
        <w:rPr>
          <w:szCs w:val="22"/>
        </w:rPr>
        <w:t>）</w:t>
      </w:r>
      <w:r w:rsidRPr="00412A9C">
        <w:rPr>
          <w:kern w:val="0"/>
          <w:szCs w:val="22"/>
        </w:rPr>
        <w:t>〔隋〕吉藏撰，《金剛般若疏》卷</w:t>
      </w:r>
      <w:r w:rsidRPr="00761EF3">
        <w:rPr>
          <w:kern w:val="0"/>
          <w:szCs w:val="22"/>
        </w:rPr>
        <w:t>2</w:t>
      </w:r>
      <w:r w:rsidRPr="00412A9C">
        <w:rPr>
          <w:kern w:val="0"/>
          <w:szCs w:val="22"/>
        </w:rPr>
        <w:t>（大正</w:t>
      </w:r>
      <w:r w:rsidRPr="00761EF3">
        <w:rPr>
          <w:kern w:val="0"/>
          <w:szCs w:val="22"/>
        </w:rPr>
        <w:t>33</w:t>
      </w:r>
      <w:r w:rsidRPr="00412A9C">
        <w:rPr>
          <w:kern w:val="0"/>
          <w:szCs w:val="22"/>
        </w:rPr>
        <w:t>，</w:t>
      </w:r>
      <w:r w:rsidRPr="00761EF3">
        <w:rPr>
          <w:kern w:val="0"/>
          <w:szCs w:val="22"/>
        </w:rPr>
        <w:t>102a13</w:t>
      </w:r>
      <w:r w:rsidRPr="00412A9C">
        <w:rPr>
          <w:kern w:val="0"/>
          <w:szCs w:val="22"/>
        </w:rPr>
        <w:t>-</w:t>
      </w:r>
      <w:r w:rsidRPr="00761EF3">
        <w:rPr>
          <w:kern w:val="0"/>
          <w:szCs w:val="22"/>
        </w:rPr>
        <w:t>14</w:t>
      </w:r>
      <w:r w:rsidRPr="00412A9C">
        <w:rPr>
          <w:kern w:val="0"/>
          <w:szCs w:val="22"/>
        </w:rPr>
        <w:t>）：</w:t>
      </w:r>
    </w:p>
    <w:p w:rsidR="00157EF6" w:rsidRPr="00412A9C" w:rsidRDefault="00157EF6" w:rsidP="00AA120F">
      <w:pPr>
        <w:pStyle w:val="a5"/>
        <w:overflowPunct w:val="0"/>
        <w:autoSpaceDE w:val="0"/>
        <w:autoSpaceDN w:val="0"/>
        <w:ind w:leftChars="335" w:left="804"/>
        <w:jc w:val="both"/>
        <w:rPr>
          <w:rFonts w:eastAsia="標楷體"/>
          <w:kern w:val="0"/>
          <w:szCs w:val="22"/>
        </w:rPr>
      </w:pPr>
      <w:r w:rsidRPr="00412A9C">
        <w:rPr>
          <w:rFonts w:eastAsia="標楷體"/>
          <w:kern w:val="0"/>
          <w:szCs w:val="22"/>
        </w:rPr>
        <w:t>故發心即具福慧亦即具二慧，如《大經》云</w:t>
      </w:r>
      <w:r>
        <w:rPr>
          <w:rFonts w:eastAsia="標楷體"/>
          <w:kern w:val="0"/>
          <w:szCs w:val="22"/>
        </w:rPr>
        <w:t>：</w:t>
      </w:r>
      <w:r w:rsidRPr="00412A9C">
        <w:rPr>
          <w:rFonts w:eastAsia="標楷體" w:hint="eastAsia"/>
          <w:kern w:val="0"/>
          <w:szCs w:val="22"/>
        </w:rPr>
        <w:t>「</w:t>
      </w:r>
      <w:r w:rsidRPr="00412A9C">
        <w:rPr>
          <w:rFonts w:eastAsia="標楷體"/>
          <w:kern w:val="0"/>
          <w:szCs w:val="22"/>
        </w:rPr>
        <w:t>發心</w:t>
      </w:r>
      <w:r w:rsidR="007D65DC" w:rsidRPr="007D65DC">
        <w:rPr>
          <w:rFonts w:eastAsia="標楷體" w:hint="eastAsia"/>
          <w:color w:val="FF0000"/>
          <w:kern w:val="0"/>
          <w:szCs w:val="22"/>
          <w:highlight w:val="yellow"/>
        </w:rPr>
        <w:t>、</w:t>
      </w:r>
      <w:r w:rsidRPr="00412A9C">
        <w:rPr>
          <w:rFonts w:eastAsia="標楷體"/>
          <w:kern w:val="0"/>
          <w:szCs w:val="22"/>
        </w:rPr>
        <w:t>畢竟</w:t>
      </w:r>
      <w:r w:rsidR="007D65DC" w:rsidRPr="007D65DC">
        <w:rPr>
          <w:rFonts w:eastAsia="標楷體" w:hint="eastAsia"/>
          <w:color w:val="FF0000"/>
          <w:kern w:val="0"/>
          <w:szCs w:val="22"/>
          <w:highlight w:val="yellow"/>
        </w:rPr>
        <w:t>，</w:t>
      </w:r>
      <w:r w:rsidRPr="00412A9C">
        <w:rPr>
          <w:rFonts w:eastAsia="標楷體"/>
          <w:kern w:val="0"/>
          <w:szCs w:val="22"/>
        </w:rPr>
        <w:t>二不別</w:t>
      </w:r>
      <w:r w:rsidRPr="00412A9C">
        <w:rPr>
          <w:rFonts w:eastAsia="標楷體" w:hint="eastAsia"/>
          <w:kern w:val="0"/>
          <w:szCs w:val="22"/>
        </w:rPr>
        <w:t>。」</w:t>
      </w:r>
    </w:p>
    <w:p w:rsidR="00157EF6" w:rsidRPr="00412A9C" w:rsidRDefault="00157EF6" w:rsidP="00AA120F">
      <w:pPr>
        <w:pStyle w:val="a5"/>
        <w:ind w:leftChars="105" w:left="791" w:hangingChars="245" w:hanging="539"/>
        <w:jc w:val="both"/>
        <w:rPr>
          <w:kern w:val="0"/>
          <w:szCs w:val="22"/>
        </w:rPr>
      </w:pPr>
      <w:r w:rsidRPr="00412A9C">
        <w:rPr>
          <w:szCs w:val="22"/>
        </w:rPr>
        <w:t>（</w:t>
      </w:r>
      <w:r w:rsidRPr="00761EF3">
        <w:rPr>
          <w:kern w:val="0"/>
          <w:szCs w:val="22"/>
        </w:rPr>
        <w:t>3</w:t>
      </w:r>
      <w:r w:rsidRPr="00412A9C">
        <w:rPr>
          <w:szCs w:val="22"/>
        </w:rPr>
        <w:t>）</w:t>
      </w:r>
      <w:r w:rsidRPr="00412A9C">
        <w:rPr>
          <w:kern w:val="0"/>
          <w:szCs w:val="22"/>
        </w:rPr>
        <w:t>〔隋〕</w:t>
      </w:r>
      <w:r w:rsidRPr="009766E6">
        <w:rPr>
          <w:rFonts w:ascii="新細明體" w:hAnsi="新細明體"/>
          <w:szCs w:val="22"/>
        </w:rPr>
        <w:t>吉藏</w:t>
      </w:r>
      <w:r w:rsidRPr="00412A9C">
        <w:rPr>
          <w:kern w:val="0"/>
          <w:szCs w:val="22"/>
        </w:rPr>
        <w:t>撰，《金剛般若疏》卷</w:t>
      </w:r>
      <w:r w:rsidRPr="00761EF3">
        <w:rPr>
          <w:kern w:val="0"/>
          <w:szCs w:val="22"/>
        </w:rPr>
        <w:t>4</w:t>
      </w:r>
      <w:r w:rsidRPr="00412A9C">
        <w:rPr>
          <w:kern w:val="0"/>
          <w:szCs w:val="22"/>
        </w:rPr>
        <w:t>（大正</w:t>
      </w:r>
      <w:r w:rsidRPr="00761EF3">
        <w:rPr>
          <w:kern w:val="0"/>
          <w:szCs w:val="22"/>
        </w:rPr>
        <w:t>33</w:t>
      </w:r>
      <w:r w:rsidRPr="00412A9C">
        <w:rPr>
          <w:kern w:val="0"/>
          <w:szCs w:val="22"/>
        </w:rPr>
        <w:t>，</w:t>
      </w:r>
      <w:r w:rsidRPr="00761EF3">
        <w:rPr>
          <w:kern w:val="0"/>
          <w:szCs w:val="22"/>
        </w:rPr>
        <w:t>122b28</w:t>
      </w:r>
      <w:r w:rsidRPr="00412A9C">
        <w:rPr>
          <w:kern w:val="0"/>
          <w:szCs w:val="22"/>
        </w:rPr>
        <w:t>-</w:t>
      </w:r>
      <w:r w:rsidRPr="00761EF3">
        <w:rPr>
          <w:kern w:val="0"/>
          <w:szCs w:val="22"/>
        </w:rPr>
        <w:t>c4</w:t>
      </w:r>
      <w:r w:rsidRPr="00412A9C">
        <w:rPr>
          <w:kern w:val="0"/>
          <w:szCs w:val="22"/>
        </w:rPr>
        <w:t>）：</w:t>
      </w:r>
    </w:p>
    <w:p w:rsidR="00157EF6" w:rsidRPr="00412A9C" w:rsidRDefault="00157EF6" w:rsidP="00AA120F">
      <w:pPr>
        <w:pStyle w:val="a5"/>
        <w:overflowPunct w:val="0"/>
        <w:autoSpaceDE w:val="0"/>
        <w:autoSpaceDN w:val="0"/>
        <w:ind w:leftChars="335" w:left="1244" w:hangingChars="200" w:hanging="440"/>
        <w:jc w:val="both"/>
        <w:rPr>
          <w:rFonts w:eastAsia="標楷體"/>
          <w:kern w:val="0"/>
          <w:szCs w:val="22"/>
        </w:rPr>
      </w:pPr>
      <w:r w:rsidRPr="00412A9C">
        <w:rPr>
          <w:rFonts w:eastAsia="標楷體"/>
          <w:kern w:val="0"/>
          <w:szCs w:val="22"/>
        </w:rPr>
        <w:t>問：此中云</w:t>
      </w:r>
      <w:r w:rsidR="0040381A">
        <w:rPr>
          <w:rFonts w:ascii="標楷體" w:eastAsia="標楷體" w:hAnsi="標楷體" w:hint="eastAsia"/>
          <w:bCs/>
          <w:color w:val="FF0000"/>
          <w:kern w:val="0"/>
          <w:highlight w:val="yellow"/>
        </w:rPr>
        <w:t>「</w:t>
      </w:r>
      <w:r w:rsidRPr="00412A9C">
        <w:rPr>
          <w:rFonts w:eastAsia="標楷體"/>
          <w:kern w:val="0"/>
          <w:szCs w:val="22"/>
        </w:rPr>
        <w:t>發菩提心</w:t>
      </w:r>
      <w:r w:rsidR="0040381A">
        <w:rPr>
          <w:rFonts w:ascii="標楷體" w:eastAsia="標楷體" w:hAnsi="標楷體" w:hint="eastAsia"/>
          <w:bCs/>
          <w:color w:val="FF0000"/>
          <w:kern w:val="0"/>
          <w:highlight w:val="yellow"/>
        </w:rPr>
        <w:t>」</w:t>
      </w:r>
      <w:r w:rsidRPr="00412A9C">
        <w:rPr>
          <w:rFonts w:eastAsia="標楷體"/>
          <w:kern w:val="0"/>
          <w:szCs w:val="22"/>
        </w:rPr>
        <w:t>，何故釋云</w:t>
      </w:r>
      <w:r w:rsidR="0040381A">
        <w:rPr>
          <w:rFonts w:ascii="標楷體" w:eastAsia="標楷體" w:hAnsi="標楷體" w:hint="eastAsia"/>
          <w:bCs/>
          <w:color w:val="FF0000"/>
          <w:kern w:val="0"/>
          <w:highlight w:val="yellow"/>
        </w:rPr>
        <w:t>「</w:t>
      </w:r>
      <w:r w:rsidRPr="00412A9C">
        <w:rPr>
          <w:rFonts w:eastAsia="標楷體"/>
          <w:kern w:val="0"/>
          <w:szCs w:val="22"/>
        </w:rPr>
        <w:t>得無生忍</w:t>
      </w:r>
      <w:r w:rsidR="0040381A">
        <w:rPr>
          <w:rFonts w:ascii="標楷體" w:eastAsia="標楷體" w:hAnsi="標楷體" w:hint="eastAsia"/>
          <w:bCs/>
          <w:color w:val="FF0000"/>
          <w:kern w:val="0"/>
          <w:highlight w:val="yellow"/>
        </w:rPr>
        <w:t>」</w:t>
      </w:r>
      <w:r w:rsidRPr="00412A9C">
        <w:rPr>
          <w:rFonts w:eastAsia="標楷體"/>
          <w:kern w:val="0"/>
          <w:szCs w:val="22"/>
        </w:rPr>
        <w:t>耶？</w:t>
      </w:r>
    </w:p>
    <w:p w:rsidR="00157EF6" w:rsidRPr="00412A9C" w:rsidRDefault="00157EF6" w:rsidP="00AA120F">
      <w:pPr>
        <w:pStyle w:val="a5"/>
        <w:overflowPunct w:val="0"/>
        <w:autoSpaceDE w:val="0"/>
        <w:autoSpaceDN w:val="0"/>
        <w:ind w:leftChars="335" w:left="1244" w:hangingChars="200" w:hanging="440"/>
        <w:jc w:val="both"/>
        <w:rPr>
          <w:rFonts w:eastAsia="標楷體"/>
          <w:kern w:val="0"/>
          <w:szCs w:val="22"/>
        </w:rPr>
      </w:pPr>
      <w:r w:rsidRPr="00412A9C">
        <w:rPr>
          <w:rFonts w:eastAsia="標楷體"/>
          <w:kern w:val="0"/>
          <w:szCs w:val="22"/>
        </w:rPr>
        <w:t>答：</w:t>
      </w:r>
      <w:r w:rsidR="0040381A">
        <w:rPr>
          <w:rFonts w:ascii="標楷體" w:eastAsia="標楷體" w:hAnsi="標楷體" w:hint="eastAsia"/>
          <w:bCs/>
          <w:color w:val="FF0000"/>
          <w:kern w:val="0"/>
          <w:highlight w:val="yellow"/>
        </w:rPr>
        <w:t>「</w:t>
      </w:r>
      <w:r w:rsidRPr="00412A9C">
        <w:rPr>
          <w:rFonts w:eastAsia="標楷體"/>
          <w:kern w:val="0"/>
          <w:szCs w:val="22"/>
        </w:rPr>
        <w:t>初得無生忍</w:t>
      </w:r>
      <w:r w:rsidR="0040381A">
        <w:rPr>
          <w:rFonts w:ascii="標楷體" w:eastAsia="標楷體" w:hAnsi="標楷體" w:hint="eastAsia"/>
          <w:bCs/>
          <w:color w:val="FF0000"/>
          <w:kern w:val="0"/>
          <w:highlight w:val="yellow"/>
        </w:rPr>
        <w:t>」</w:t>
      </w:r>
      <w:r w:rsidRPr="00412A9C">
        <w:rPr>
          <w:rFonts w:eastAsia="標楷體"/>
          <w:kern w:val="0"/>
          <w:szCs w:val="22"/>
        </w:rPr>
        <w:t>亦名</w:t>
      </w:r>
      <w:r w:rsidR="0040381A">
        <w:rPr>
          <w:rFonts w:ascii="標楷體" w:eastAsia="標楷體" w:hAnsi="標楷體" w:hint="eastAsia"/>
          <w:bCs/>
          <w:color w:val="FF0000"/>
          <w:kern w:val="0"/>
          <w:highlight w:val="yellow"/>
        </w:rPr>
        <w:t>「</w:t>
      </w:r>
      <w:r w:rsidRPr="00412A9C">
        <w:rPr>
          <w:rFonts w:eastAsia="標楷體"/>
          <w:kern w:val="0"/>
          <w:szCs w:val="22"/>
        </w:rPr>
        <w:t>初發心</w:t>
      </w:r>
      <w:r w:rsidR="0040381A">
        <w:rPr>
          <w:rFonts w:ascii="標楷體" w:eastAsia="標楷體" w:hAnsi="標楷體" w:hint="eastAsia"/>
          <w:bCs/>
          <w:color w:val="FF0000"/>
          <w:kern w:val="0"/>
          <w:highlight w:val="yellow"/>
        </w:rPr>
        <w:t>」</w:t>
      </w:r>
      <w:r w:rsidRPr="00412A9C">
        <w:rPr>
          <w:rFonts w:eastAsia="標楷體"/>
          <w:kern w:val="0"/>
          <w:szCs w:val="22"/>
        </w:rPr>
        <w:t>也。又此中明</w:t>
      </w:r>
      <w:r w:rsidR="0040381A">
        <w:rPr>
          <w:rFonts w:ascii="標楷體" w:eastAsia="標楷體" w:hAnsi="標楷體" w:hint="eastAsia"/>
          <w:bCs/>
          <w:color w:val="FF0000"/>
          <w:kern w:val="0"/>
          <w:highlight w:val="yellow"/>
        </w:rPr>
        <w:t>「</w:t>
      </w:r>
      <w:r w:rsidRPr="00412A9C">
        <w:rPr>
          <w:rFonts w:eastAsia="標楷體"/>
          <w:kern w:val="0"/>
          <w:szCs w:val="22"/>
        </w:rPr>
        <w:t>從初發心</w:t>
      </w:r>
      <w:r w:rsidR="0040381A">
        <w:rPr>
          <w:rFonts w:ascii="標楷體" w:eastAsia="標楷體" w:hAnsi="標楷體" w:hint="eastAsia"/>
          <w:color w:val="FF0000"/>
          <w:kern w:val="0"/>
          <w:highlight w:val="yellow"/>
        </w:rPr>
        <w:t>，</w:t>
      </w:r>
      <w:r w:rsidRPr="00412A9C">
        <w:rPr>
          <w:rFonts w:eastAsia="標楷體"/>
          <w:kern w:val="0"/>
          <w:szCs w:val="22"/>
        </w:rPr>
        <w:t>不習斷滅觀，亦不起常觀</w:t>
      </w:r>
      <w:r w:rsidRPr="00412A9C">
        <w:rPr>
          <w:rFonts w:eastAsia="標楷體" w:hint="eastAsia"/>
          <w:kern w:val="0"/>
          <w:szCs w:val="22"/>
        </w:rPr>
        <w:t>；</w:t>
      </w:r>
      <w:r w:rsidRPr="00412A9C">
        <w:rPr>
          <w:rFonts w:eastAsia="標楷體"/>
          <w:kern w:val="0"/>
          <w:szCs w:val="22"/>
        </w:rPr>
        <w:t>後心皆爾，故初後不二</w:t>
      </w:r>
      <w:r w:rsidR="0040381A">
        <w:rPr>
          <w:rFonts w:ascii="標楷體" w:eastAsia="標楷體" w:hAnsi="標楷體" w:hint="eastAsia"/>
          <w:bCs/>
          <w:color w:val="FF0000"/>
          <w:kern w:val="0"/>
          <w:highlight w:val="yellow"/>
        </w:rPr>
        <w:t>」</w:t>
      </w:r>
      <w:r w:rsidR="0040381A">
        <w:rPr>
          <w:rFonts w:ascii="標楷體" w:eastAsia="標楷體" w:hAnsi="標楷體" w:hint="eastAsia"/>
          <w:color w:val="FF0000"/>
          <w:kern w:val="0"/>
          <w:highlight w:val="yellow"/>
        </w:rPr>
        <w:t>，</w:t>
      </w:r>
      <w:r w:rsidRPr="00412A9C">
        <w:rPr>
          <w:rFonts w:eastAsia="標楷體"/>
          <w:kern w:val="0"/>
          <w:szCs w:val="22"/>
        </w:rPr>
        <w:t>如云「發心</w:t>
      </w:r>
      <w:r w:rsidR="002F5A8C" w:rsidRPr="002F5A8C">
        <w:rPr>
          <w:rFonts w:eastAsia="標楷體" w:hint="eastAsia"/>
          <w:color w:val="FF0000"/>
          <w:kern w:val="0"/>
          <w:szCs w:val="22"/>
          <w:highlight w:val="yellow"/>
        </w:rPr>
        <w:t>、</w:t>
      </w:r>
      <w:r w:rsidR="002F5A8C" w:rsidRPr="00412A9C">
        <w:rPr>
          <w:rFonts w:eastAsia="標楷體"/>
          <w:kern w:val="0"/>
          <w:szCs w:val="22"/>
        </w:rPr>
        <w:t>畢竟</w:t>
      </w:r>
      <w:r w:rsidR="002F5A8C" w:rsidRPr="002F5A8C">
        <w:rPr>
          <w:rFonts w:eastAsia="標楷體" w:hint="eastAsia"/>
          <w:color w:val="FF0000"/>
          <w:kern w:val="0"/>
          <w:szCs w:val="22"/>
          <w:highlight w:val="yellow"/>
        </w:rPr>
        <w:t>，</w:t>
      </w:r>
      <w:r w:rsidRPr="00412A9C">
        <w:rPr>
          <w:rFonts w:eastAsia="標楷體"/>
          <w:kern w:val="0"/>
          <w:szCs w:val="22"/>
        </w:rPr>
        <w:t>二不別」也。前明</w:t>
      </w:r>
      <w:r w:rsidR="00E84AA9">
        <w:rPr>
          <w:rFonts w:ascii="標楷體" w:eastAsia="標楷體" w:hAnsi="標楷體" w:hint="eastAsia"/>
          <w:bCs/>
          <w:color w:val="FF0000"/>
          <w:kern w:val="0"/>
          <w:highlight w:val="yellow"/>
        </w:rPr>
        <w:t>「</w:t>
      </w:r>
      <w:r w:rsidRPr="00412A9C">
        <w:rPr>
          <w:rFonts w:eastAsia="標楷體"/>
          <w:b/>
          <w:kern w:val="0"/>
          <w:szCs w:val="22"/>
        </w:rPr>
        <w:t>佛果</w:t>
      </w:r>
      <w:r w:rsidRPr="00412A9C">
        <w:rPr>
          <w:rFonts w:eastAsia="標楷體"/>
          <w:kern w:val="0"/>
          <w:szCs w:val="22"/>
        </w:rPr>
        <w:t>非有相非無相</w:t>
      </w:r>
      <w:r w:rsidR="00E84AA9">
        <w:rPr>
          <w:rFonts w:ascii="標楷體" w:eastAsia="標楷體" w:hAnsi="標楷體" w:hint="eastAsia"/>
          <w:bCs/>
          <w:color w:val="FF0000"/>
          <w:kern w:val="0"/>
          <w:highlight w:val="yellow"/>
        </w:rPr>
        <w:t>」</w:t>
      </w:r>
      <w:r w:rsidRPr="00412A9C">
        <w:rPr>
          <w:rFonts w:eastAsia="標楷體"/>
          <w:kern w:val="0"/>
          <w:szCs w:val="22"/>
        </w:rPr>
        <w:t>，今明</w:t>
      </w:r>
      <w:r w:rsidR="00E84AA9">
        <w:rPr>
          <w:rFonts w:ascii="標楷體" w:eastAsia="標楷體" w:hAnsi="標楷體" w:hint="eastAsia"/>
          <w:bCs/>
          <w:color w:val="FF0000"/>
          <w:kern w:val="0"/>
          <w:highlight w:val="yellow"/>
        </w:rPr>
        <w:t>「</w:t>
      </w:r>
      <w:r w:rsidRPr="00412A9C">
        <w:rPr>
          <w:rFonts w:eastAsia="標楷體"/>
          <w:b/>
          <w:kern w:val="0"/>
          <w:szCs w:val="22"/>
        </w:rPr>
        <w:t>因</w:t>
      </w:r>
      <w:r w:rsidRPr="00412A9C">
        <w:rPr>
          <w:rFonts w:eastAsia="標楷體"/>
          <w:kern w:val="0"/>
          <w:szCs w:val="22"/>
        </w:rPr>
        <w:t>非斷非常</w:t>
      </w:r>
      <w:r w:rsidR="00E84AA9">
        <w:rPr>
          <w:rFonts w:ascii="標楷體" w:eastAsia="標楷體" w:hAnsi="標楷體" w:hint="eastAsia"/>
          <w:bCs/>
          <w:color w:val="FF0000"/>
          <w:kern w:val="0"/>
          <w:highlight w:val="yellow"/>
        </w:rPr>
        <w:t>」</w:t>
      </w:r>
      <w:r w:rsidRPr="00412A9C">
        <w:rPr>
          <w:rFonts w:eastAsia="標楷體"/>
          <w:kern w:val="0"/>
          <w:szCs w:val="22"/>
        </w:rPr>
        <w:t>，可謂</w:t>
      </w:r>
      <w:r w:rsidR="00E84AA9">
        <w:rPr>
          <w:rFonts w:ascii="標楷體" w:eastAsia="標楷體" w:hAnsi="標楷體" w:hint="eastAsia"/>
          <w:bCs/>
          <w:color w:val="FF0000"/>
          <w:kern w:val="0"/>
          <w:highlight w:val="yellow"/>
        </w:rPr>
        <w:t>「</w:t>
      </w:r>
      <w:r w:rsidRPr="00412A9C">
        <w:rPr>
          <w:rFonts w:eastAsia="標楷體"/>
          <w:kern w:val="0"/>
          <w:szCs w:val="22"/>
        </w:rPr>
        <w:t>因果皆是正觀，皆離斷常</w:t>
      </w:r>
      <w:r w:rsidR="00E84AA9">
        <w:rPr>
          <w:rFonts w:ascii="標楷體" w:eastAsia="標楷體" w:hAnsi="標楷體" w:hint="eastAsia"/>
          <w:bCs/>
          <w:color w:val="FF0000"/>
          <w:kern w:val="0"/>
          <w:highlight w:val="yellow"/>
        </w:rPr>
        <w:t>」</w:t>
      </w:r>
      <w:r w:rsidRPr="00412A9C">
        <w:rPr>
          <w:rFonts w:eastAsia="標楷體"/>
          <w:kern w:val="0"/>
          <w:szCs w:val="22"/>
        </w:rPr>
        <w:t>。</w:t>
      </w:r>
    </w:p>
    <w:p w:rsidR="00157EF6" w:rsidRPr="00412A9C" w:rsidRDefault="00157EF6" w:rsidP="00AA120F">
      <w:pPr>
        <w:pStyle w:val="a5"/>
        <w:ind w:leftChars="105" w:left="791" w:hangingChars="245" w:hanging="539"/>
        <w:jc w:val="both"/>
        <w:rPr>
          <w:kern w:val="0"/>
          <w:szCs w:val="22"/>
        </w:rPr>
      </w:pPr>
      <w:r w:rsidRPr="00412A9C">
        <w:rPr>
          <w:szCs w:val="22"/>
        </w:rPr>
        <w:t>（</w:t>
      </w:r>
      <w:r w:rsidRPr="00761EF3">
        <w:rPr>
          <w:kern w:val="0"/>
          <w:szCs w:val="22"/>
        </w:rPr>
        <w:t>4</w:t>
      </w:r>
      <w:r w:rsidRPr="00412A9C">
        <w:rPr>
          <w:szCs w:val="22"/>
        </w:rPr>
        <w:t>）</w:t>
      </w:r>
      <w:r w:rsidRPr="00412A9C">
        <w:rPr>
          <w:kern w:val="0"/>
          <w:szCs w:val="22"/>
        </w:rPr>
        <w:t>〔隋〕吉藏撰，《涅槃經遊意》卷</w:t>
      </w:r>
      <w:r w:rsidRPr="00761EF3">
        <w:rPr>
          <w:kern w:val="0"/>
          <w:szCs w:val="22"/>
        </w:rPr>
        <w:t>1</w:t>
      </w:r>
      <w:r w:rsidRPr="00412A9C">
        <w:rPr>
          <w:kern w:val="0"/>
          <w:szCs w:val="22"/>
        </w:rPr>
        <w:t>（大正</w:t>
      </w:r>
      <w:r w:rsidRPr="00761EF3">
        <w:rPr>
          <w:kern w:val="0"/>
          <w:szCs w:val="22"/>
        </w:rPr>
        <w:t>38</w:t>
      </w:r>
      <w:r w:rsidRPr="00412A9C">
        <w:rPr>
          <w:kern w:val="0"/>
          <w:szCs w:val="22"/>
        </w:rPr>
        <w:t>，</w:t>
      </w:r>
      <w:r w:rsidRPr="00761EF3">
        <w:rPr>
          <w:kern w:val="0"/>
          <w:szCs w:val="22"/>
        </w:rPr>
        <w:t>238c21</w:t>
      </w:r>
      <w:r w:rsidRPr="00412A9C">
        <w:rPr>
          <w:kern w:val="0"/>
          <w:szCs w:val="22"/>
        </w:rPr>
        <w:t>-</w:t>
      </w:r>
      <w:r w:rsidRPr="00761EF3">
        <w:rPr>
          <w:kern w:val="0"/>
          <w:szCs w:val="22"/>
        </w:rPr>
        <w:t>25</w:t>
      </w:r>
      <w:r w:rsidRPr="00412A9C">
        <w:rPr>
          <w:kern w:val="0"/>
          <w:szCs w:val="22"/>
        </w:rPr>
        <w:t>）：</w:t>
      </w:r>
    </w:p>
    <w:p w:rsidR="00157EF6" w:rsidRDefault="002F5A8C" w:rsidP="00AA120F">
      <w:pPr>
        <w:pStyle w:val="a5"/>
        <w:overflowPunct w:val="0"/>
        <w:autoSpaceDE w:val="0"/>
        <w:autoSpaceDN w:val="0"/>
        <w:ind w:leftChars="335" w:left="804"/>
        <w:jc w:val="both"/>
        <w:rPr>
          <w:rFonts w:eastAsia="標楷體"/>
          <w:kern w:val="0"/>
          <w:szCs w:val="22"/>
        </w:rPr>
      </w:pPr>
      <w:r>
        <w:rPr>
          <w:rFonts w:eastAsia="標楷體"/>
          <w:kern w:val="0"/>
          <w:szCs w:val="22"/>
        </w:rPr>
        <w:t>今明至理，尚無頓漸，豈有頓漸之知？雖無頓漸，亦頓亦漸</w:t>
      </w:r>
      <w:r w:rsidR="0040381A">
        <w:rPr>
          <w:rFonts w:ascii="標楷體" w:eastAsia="標楷體" w:hAnsi="標楷體" w:hint="eastAsia"/>
          <w:color w:val="FF0000"/>
          <w:kern w:val="0"/>
          <w:highlight w:val="yellow"/>
        </w:rPr>
        <w:t>，</w:t>
      </w:r>
      <w:r>
        <w:rPr>
          <w:rFonts w:eastAsia="標楷體"/>
          <w:kern w:val="0"/>
          <w:szCs w:val="22"/>
        </w:rPr>
        <w:t>故經</w:t>
      </w:r>
      <w:r w:rsidR="00157EF6" w:rsidRPr="00412A9C">
        <w:rPr>
          <w:rFonts w:eastAsia="標楷體"/>
          <w:kern w:val="0"/>
          <w:szCs w:val="22"/>
        </w:rPr>
        <w:t>云：「發心</w:t>
      </w:r>
      <w:r w:rsidRPr="002F5A8C">
        <w:rPr>
          <w:rFonts w:eastAsia="標楷體" w:hint="eastAsia"/>
          <w:color w:val="FF0000"/>
          <w:kern w:val="0"/>
          <w:szCs w:val="22"/>
          <w:highlight w:val="yellow"/>
        </w:rPr>
        <w:t>、</w:t>
      </w:r>
      <w:r w:rsidR="00157EF6" w:rsidRPr="00412A9C">
        <w:rPr>
          <w:rFonts w:eastAsia="標楷體"/>
          <w:kern w:val="0"/>
          <w:szCs w:val="22"/>
        </w:rPr>
        <w:t>畢竟</w:t>
      </w:r>
      <w:r w:rsidRPr="002F5A8C">
        <w:rPr>
          <w:rFonts w:eastAsia="標楷體" w:hint="eastAsia"/>
          <w:color w:val="FF0000"/>
          <w:kern w:val="0"/>
          <w:szCs w:val="22"/>
          <w:highlight w:val="yellow"/>
        </w:rPr>
        <w:t>，</w:t>
      </w:r>
      <w:r w:rsidR="00157EF6" w:rsidRPr="00412A9C">
        <w:rPr>
          <w:rFonts w:eastAsia="標楷體"/>
          <w:kern w:val="0"/>
          <w:szCs w:val="22"/>
        </w:rPr>
        <w:t>二不別。」《華嚴》云：初心菩薩與三世佛等，而復有漸漸知義，有五十二地不同</w:t>
      </w:r>
      <w:r w:rsidR="0040381A">
        <w:rPr>
          <w:rFonts w:ascii="標楷體" w:eastAsia="標楷體" w:hAnsi="標楷體" w:hint="eastAsia"/>
          <w:color w:val="FF0000"/>
          <w:kern w:val="0"/>
          <w:highlight w:val="yellow"/>
        </w:rPr>
        <w:t>──</w:t>
      </w:r>
      <w:r w:rsidR="0040381A">
        <w:rPr>
          <w:rFonts w:ascii="標楷體" w:eastAsia="標楷體" w:hAnsi="標楷體" w:hint="eastAsia"/>
          <w:bCs/>
          <w:color w:val="FF0000"/>
          <w:kern w:val="0"/>
          <w:highlight w:val="yellow"/>
        </w:rPr>
        <w:t>「</w:t>
      </w:r>
      <w:r w:rsidR="00157EF6" w:rsidRPr="00412A9C">
        <w:rPr>
          <w:rFonts w:eastAsia="標楷體"/>
          <w:kern w:val="0"/>
          <w:szCs w:val="22"/>
        </w:rPr>
        <w:t>初地百法，二地</w:t>
      </w:r>
      <w:r w:rsidR="0040381A" w:rsidRPr="0040381A">
        <w:rPr>
          <w:rFonts w:eastAsia="標楷體" w:hint="eastAsia"/>
          <w:color w:val="FF0000"/>
          <w:kern w:val="0"/>
          <w:szCs w:val="22"/>
          <w:highlight w:val="yellow"/>
        </w:rPr>
        <w:t>十</w:t>
      </w:r>
      <w:r w:rsidR="0040381A" w:rsidRPr="0040381A">
        <w:rPr>
          <w:rFonts w:eastAsia="標楷體" w:hint="eastAsia"/>
          <w:color w:val="FF0000"/>
          <w:kern w:val="0"/>
          <w:szCs w:val="22"/>
          <w:vertAlign w:val="superscript"/>
        </w:rPr>
        <w:t>[3]</w:t>
      </w:r>
      <w:r w:rsidR="00157EF6" w:rsidRPr="00412A9C">
        <w:rPr>
          <w:rFonts w:eastAsia="標楷體"/>
          <w:kern w:val="0"/>
          <w:szCs w:val="22"/>
        </w:rPr>
        <w:t>法</w:t>
      </w:r>
      <w:r w:rsidR="0040381A">
        <w:rPr>
          <w:rFonts w:ascii="標楷體" w:eastAsia="標楷體" w:hAnsi="標楷體" w:hint="eastAsia"/>
          <w:bCs/>
          <w:color w:val="FF0000"/>
          <w:kern w:val="0"/>
          <w:highlight w:val="yellow"/>
        </w:rPr>
        <w:t>」</w:t>
      </w:r>
      <w:r w:rsidR="00157EF6" w:rsidRPr="00412A9C">
        <w:rPr>
          <w:rFonts w:eastAsia="標楷體"/>
          <w:kern w:val="0"/>
          <w:szCs w:val="22"/>
        </w:rPr>
        <w:t>故也。</w:t>
      </w:r>
    </w:p>
    <w:p w:rsidR="0040381A" w:rsidRPr="0040381A" w:rsidRDefault="0040381A" w:rsidP="0040381A">
      <w:pPr>
        <w:pStyle w:val="a5"/>
        <w:overflowPunct w:val="0"/>
        <w:autoSpaceDE w:val="0"/>
        <w:autoSpaceDN w:val="0"/>
        <w:ind w:leftChars="335" w:left="804"/>
        <w:jc w:val="both"/>
        <w:rPr>
          <w:rFonts w:eastAsia="標楷體"/>
          <w:color w:val="FF0000"/>
          <w:kern w:val="0"/>
          <w:szCs w:val="22"/>
          <w:highlight w:val="yellow"/>
        </w:rPr>
      </w:pPr>
      <w:r w:rsidRPr="0040381A">
        <w:rPr>
          <w:rFonts w:eastAsia="標楷體"/>
          <w:color w:val="FF0000"/>
          <w:kern w:val="0"/>
          <w:szCs w:val="22"/>
          <w:highlight w:val="yellow"/>
        </w:rPr>
        <w:t>[3]</w:t>
      </w:r>
      <w:r w:rsidRPr="0040381A">
        <w:rPr>
          <w:rFonts w:ascii="新細明體" w:hAnsi="新細明體" w:hint="eastAsia"/>
          <w:color w:val="FF0000"/>
          <w:kern w:val="0"/>
          <w:szCs w:val="22"/>
          <w:highlight w:val="yellow"/>
        </w:rPr>
        <w:t>十＝千ヵ【原】，＝千【</w:t>
      </w:r>
      <w:r w:rsidRPr="0040381A">
        <w:rPr>
          <w:rFonts w:ascii="新細明體" w:hAnsi="新細明體"/>
          <w:color w:val="FF0000"/>
          <w:kern w:val="0"/>
          <w:szCs w:val="22"/>
          <w:highlight w:val="yellow"/>
        </w:rPr>
        <w:t>CB</w:t>
      </w:r>
      <w:r w:rsidRPr="0040381A">
        <w:rPr>
          <w:rFonts w:ascii="新細明體" w:hAnsi="新細明體" w:hint="eastAsia"/>
          <w:color w:val="FF0000"/>
          <w:kern w:val="0"/>
          <w:szCs w:val="22"/>
          <w:highlight w:val="yellow"/>
        </w:rPr>
        <w:t>】。</w:t>
      </w:r>
      <w:r w:rsidRPr="0040381A">
        <w:rPr>
          <w:color w:val="FF0000"/>
          <w:kern w:val="0"/>
          <w:szCs w:val="22"/>
          <w:highlight w:val="yellow"/>
        </w:rPr>
        <w:t>（大正</w:t>
      </w:r>
      <w:r w:rsidRPr="0040381A">
        <w:rPr>
          <w:color w:val="FF0000"/>
          <w:kern w:val="0"/>
          <w:szCs w:val="22"/>
          <w:highlight w:val="yellow"/>
        </w:rPr>
        <w:t>38</w:t>
      </w:r>
      <w:r w:rsidRPr="0040381A">
        <w:rPr>
          <w:color w:val="FF0000"/>
          <w:kern w:val="0"/>
          <w:szCs w:val="22"/>
          <w:highlight w:val="yellow"/>
        </w:rPr>
        <w:t>，</w:t>
      </w:r>
      <w:r w:rsidRPr="0040381A">
        <w:rPr>
          <w:color w:val="FF0000"/>
          <w:kern w:val="0"/>
          <w:szCs w:val="22"/>
          <w:highlight w:val="yellow"/>
        </w:rPr>
        <w:t>238</w:t>
      </w:r>
      <w:r w:rsidRPr="0040381A">
        <w:rPr>
          <w:rFonts w:hint="eastAsia"/>
          <w:color w:val="FF0000"/>
          <w:kern w:val="0"/>
          <w:szCs w:val="22"/>
          <w:highlight w:val="yellow"/>
        </w:rPr>
        <w:t>d</w:t>
      </w:r>
      <w:r w:rsidRPr="0040381A">
        <w:rPr>
          <w:rFonts w:hint="eastAsia"/>
          <w:color w:val="FF0000"/>
          <w:kern w:val="0"/>
          <w:szCs w:val="22"/>
          <w:highlight w:val="yellow"/>
        </w:rPr>
        <w:t>，</w:t>
      </w:r>
      <w:r w:rsidRPr="0040381A">
        <w:rPr>
          <w:rFonts w:hint="eastAsia"/>
          <w:color w:val="FF0000"/>
          <w:kern w:val="0"/>
          <w:szCs w:val="22"/>
          <w:highlight w:val="yellow"/>
        </w:rPr>
        <w:t>n.3</w:t>
      </w:r>
      <w:r w:rsidRPr="0040381A">
        <w:rPr>
          <w:color w:val="FF0000"/>
          <w:kern w:val="0"/>
          <w:szCs w:val="22"/>
          <w:highlight w:val="yellow"/>
        </w:rPr>
        <w:t>）</w:t>
      </w:r>
    </w:p>
  </w:footnote>
  <w:footnote w:id="1022">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）護法等菩薩造，《成唯識論》卷</w:t>
      </w:r>
      <w:r w:rsidRPr="00761EF3">
        <w:rPr>
          <w:szCs w:val="22"/>
        </w:rPr>
        <w:t>8</w:t>
      </w:r>
      <w:r w:rsidRPr="00412A9C">
        <w:rPr>
          <w:szCs w:val="22"/>
        </w:rPr>
        <w:t>（大正</w:t>
      </w:r>
      <w:r w:rsidRPr="00761EF3">
        <w:rPr>
          <w:szCs w:val="22"/>
        </w:rPr>
        <w:t>31</w:t>
      </w:r>
      <w:r w:rsidRPr="00412A9C">
        <w:rPr>
          <w:szCs w:val="22"/>
        </w:rPr>
        <w:t>，</w:t>
      </w:r>
      <w:r w:rsidRPr="00761EF3">
        <w:rPr>
          <w:szCs w:val="22"/>
        </w:rPr>
        <w:t>46b28</w:t>
      </w:r>
      <w:r w:rsidRPr="00412A9C">
        <w:rPr>
          <w:szCs w:val="22"/>
        </w:rPr>
        <w:t>-</w:t>
      </w:r>
      <w:r w:rsidRPr="00761EF3">
        <w:rPr>
          <w:szCs w:val="22"/>
        </w:rPr>
        <w:t>29</w:t>
      </w:r>
      <w:r w:rsidRPr="00412A9C">
        <w:rPr>
          <w:szCs w:val="22"/>
        </w:rPr>
        <w:t>）：</w:t>
      </w:r>
    </w:p>
    <w:p w:rsidR="00157EF6" w:rsidRPr="00412A9C" w:rsidRDefault="00157EF6" w:rsidP="00AA120F">
      <w:pPr>
        <w:pStyle w:val="Default"/>
        <w:overflowPunct w:val="0"/>
        <w:adjustRightInd/>
        <w:snapToGrid w:val="0"/>
        <w:ind w:leftChars="335" w:left="804"/>
        <w:jc w:val="both"/>
        <w:rPr>
          <w:rFonts w:ascii="Times New Roman" w:hAnsi="Times New Roman" w:cs="Times New Roman"/>
          <w:color w:val="auto"/>
          <w:sz w:val="22"/>
          <w:szCs w:val="22"/>
        </w:rPr>
      </w:pPr>
      <w:r w:rsidRPr="00412A9C">
        <w:rPr>
          <w:rFonts w:ascii="Times New Roman" w:eastAsia="標楷體" w:hAnsi="Times New Roman" w:cs="Times New Roman"/>
          <w:color w:val="auto"/>
          <w:sz w:val="22"/>
          <w:szCs w:val="22"/>
        </w:rPr>
        <w:t>無分別智證真如已，後得智中方能了達依他起性如幻事等。</w:t>
      </w:r>
    </w:p>
    <w:p w:rsidR="00157EF6" w:rsidRPr="00412A9C" w:rsidRDefault="00157EF6" w:rsidP="00AA120F">
      <w:pPr>
        <w:pStyle w:val="a5"/>
        <w:ind w:leftChars="105" w:left="791" w:hangingChars="245" w:hanging="539"/>
        <w:jc w:val="both"/>
        <w:rPr>
          <w:kern w:val="0"/>
          <w:szCs w:val="22"/>
        </w:rPr>
      </w:pPr>
      <w:r w:rsidRPr="00412A9C">
        <w:rPr>
          <w:szCs w:val="22"/>
        </w:rPr>
        <w:t>（</w:t>
      </w:r>
      <w:r w:rsidRPr="00761EF3">
        <w:rPr>
          <w:kern w:val="0"/>
          <w:szCs w:val="22"/>
        </w:rPr>
        <w:t>2</w:t>
      </w:r>
      <w:r w:rsidRPr="00412A9C">
        <w:rPr>
          <w:szCs w:val="22"/>
        </w:rPr>
        <w:t>）</w:t>
      </w:r>
      <w:r w:rsidRPr="00412A9C">
        <w:rPr>
          <w:kern w:val="0"/>
          <w:szCs w:val="22"/>
        </w:rPr>
        <w:t>無性造</w:t>
      </w:r>
      <w:r w:rsidRPr="00412A9C">
        <w:rPr>
          <w:szCs w:val="22"/>
        </w:rPr>
        <w:t>，</w:t>
      </w:r>
      <w:r w:rsidRPr="00412A9C">
        <w:rPr>
          <w:kern w:val="0"/>
          <w:szCs w:val="22"/>
        </w:rPr>
        <w:t>《攝大乘論釋》</w:t>
      </w:r>
      <w:r w:rsidR="007D65DC" w:rsidRPr="007D65DC">
        <w:rPr>
          <w:color w:val="FF0000"/>
          <w:szCs w:val="22"/>
          <w:highlight w:val="yellow"/>
        </w:rPr>
        <w:t>卷</w:t>
      </w:r>
      <w:r w:rsidR="007D65DC" w:rsidRPr="007D65DC">
        <w:rPr>
          <w:color w:val="FF0000"/>
          <w:szCs w:val="22"/>
          <w:highlight w:val="yellow"/>
        </w:rPr>
        <w:t>8</w:t>
      </w:r>
      <w:r w:rsidRPr="00412A9C">
        <w:rPr>
          <w:kern w:val="0"/>
          <w:szCs w:val="22"/>
        </w:rPr>
        <w:t>（大正</w:t>
      </w:r>
      <w:r w:rsidRPr="00761EF3">
        <w:rPr>
          <w:kern w:val="0"/>
          <w:szCs w:val="22"/>
        </w:rPr>
        <w:t>31</w:t>
      </w:r>
      <w:r w:rsidRPr="00412A9C">
        <w:rPr>
          <w:kern w:val="0"/>
          <w:szCs w:val="22"/>
        </w:rPr>
        <w:t>，</w:t>
      </w:r>
      <w:r w:rsidRPr="00761EF3">
        <w:rPr>
          <w:kern w:val="0"/>
          <w:szCs w:val="22"/>
        </w:rPr>
        <w:t>431b18</w:t>
      </w:r>
      <w:r w:rsidRPr="00412A9C">
        <w:rPr>
          <w:kern w:val="0"/>
          <w:szCs w:val="22"/>
        </w:rPr>
        <w:t>-</w:t>
      </w:r>
      <w:r w:rsidRPr="00761EF3">
        <w:rPr>
          <w:kern w:val="0"/>
          <w:szCs w:val="22"/>
        </w:rPr>
        <w:t>23</w:t>
      </w:r>
      <w:r w:rsidRPr="00412A9C">
        <w:rPr>
          <w:kern w:val="0"/>
          <w:szCs w:val="22"/>
        </w:rPr>
        <w:t>）：</w:t>
      </w:r>
    </w:p>
    <w:p w:rsidR="00157EF6" w:rsidRPr="00412A9C" w:rsidRDefault="009E5F51" w:rsidP="00AA120F">
      <w:pPr>
        <w:pStyle w:val="a5"/>
        <w:overflowPunct w:val="0"/>
        <w:autoSpaceDE w:val="0"/>
        <w:autoSpaceDN w:val="0"/>
        <w:ind w:leftChars="335" w:left="804"/>
        <w:jc w:val="both"/>
        <w:rPr>
          <w:rFonts w:eastAsia="標楷體"/>
          <w:kern w:val="0"/>
          <w:szCs w:val="22"/>
        </w:rPr>
      </w:pPr>
      <w:r>
        <w:rPr>
          <w:rFonts w:ascii="標楷體" w:eastAsia="標楷體" w:hAnsi="標楷體" w:hint="eastAsia"/>
          <w:bCs/>
          <w:color w:val="FF0000"/>
          <w:kern w:val="0"/>
          <w:highlight w:val="yellow"/>
        </w:rPr>
        <w:t>「</w:t>
      </w:r>
      <w:r w:rsidR="00157EF6" w:rsidRPr="00412A9C">
        <w:rPr>
          <w:rFonts w:eastAsia="標楷體"/>
          <w:kern w:val="0"/>
          <w:szCs w:val="22"/>
        </w:rPr>
        <w:t>如</w:t>
      </w:r>
      <w:r w:rsidR="007D65DC" w:rsidRPr="007D65DC">
        <w:rPr>
          <w:rFonts w:eastAsia="標楷體" w:hint="eastAsia"/>
          <w:color w:val="FF0000"/>
          <w:kern w:val="0"/>
          <w:szCs w:val="22"/>
          <w:highlight w:val="yellow"/>
        </w:rPr>
        <w:t>瘂</w:t>
      </w:r>
      <w:r w:rsidR="00157EF6" w:rsidRPr="00412A9C">
        <w:rPr>
          <w:rFonts w:eastAsia="標楷體"/>
          <w:kern w:val="0"/>
          <w:szCs w:val="22"/>
        </w:rPr>
        <w:t>正受義</w:t>
      </w:r>
      <w:r>
        <w:rPr>
          <w:rFonts w:ascii="標楷體" w:eastAsia="標楷體" w:hAnsi="標楷體" w:hint="eastAsia"/>
          <w:bCs/>
          <w:color w:val="FF0000"/>
          <w:kern w:val="0"/>
          <w:highlight w:val="yellow"/>
        </w:rPr>
        <w:t>」</w:t>
      </w:r>
      <w:r w:rsidR="00157EF6" w:rsidRPr="00412A9C">
        <w:rPr>
          <w:rFonts w:eastAsia="標楷體"/>
          <w:kern w:val="0"/>
          <w:szCs w:val="22"/>
        </w:rPr>
        <w:t>者，譬如</w:t>
      </w:r>
      <w:r w:rsidR="007D65DC" w:rsidRPr="007D65DC">
        <w:rPr>
          <w:rFonts w:eastAsia="標楷體" w:hint="eastAsia"/>
          <w:color w:val="FF0000"/>
          <w:kern w:val="0"/>
          <w:szCs w:val="22"/>
          <w:highlight w:val="yellow"/>
        </w:rPr>
        <w:t>瘂</w:t>
      </w:r>
      <w:r w:rsidR="00157EF6" w:rsidRPr="007D65DC">
        <w:rPr>
          <w:rFonts w:eastAsia="標楷體"/>
          <w:kern w:val="0"/>
          <w:szCs w:val="22"/>
          <w:highlight w:val="yellow"/>
        </w:rPr>
        <w:t>人正</w:t>
      </w:r>
      <w:r w:rsidR="00157EF6" w:rsidRPr="00412A9C">
        <w:rPr>
          <w:rFonts w:eastAsia="標楷體"/>
          <w:kern w:val="0"/>
          <w:szCs w:val="22"/>
        </w:rPr>
        <w:t>受境界</w:t>
      </w:r>
      <w:r w:rsidR="007D65DC" w:rsidRPr="007D65DC">
        <w:rPr>
          <w:rFonts w:eastAsia="標楷體" w:hint="eastAsia"/>
          <w:color w:val="FF0000"/>
          <w:kern w:val="0"/>
          <w:szCs w:val="22"/>
          <w:highlight w:val="yellow"/>
        </w:rPr>
        <w:t>，</w:t>
      </w:r>
      <w:r w:rsidR="00157EF6" w:rsidRPr="00412A9C">
        <w:rPr>
          <w:rFonts w:eastAsia="標楷體"/>
          <w:kern w:val="0"/>
          <w:szCs w:val="22"/>
        </w:rPr>
        <w:t>無所言說；如是</w:t>
      </w:r>
      <w:r w:rsidR="00157EF6" w:rsidRPr="00412A9C">
        <w:rPr>
          <w:rFonts w:eastAsia="標楷體"/>
          <w:b/>
          <w:kern w:val="0"/>
          <w:szCs w:val="22"/>
        </w:rPr>
        <w:t>根本無分別</w:t>
      </w:r>
      <w:r w:rsidR="00157EF6" w:rsidRPr="007D65DC">
        <w:rPr>
          <w:rFonts w:eastAsia="標楷體"/>
          <w:b/>
          <w:kern w:val="0"/>
          <w:szCs w:val="22"/>
          <w:highlight w:val="yellow"/>
        </w:rPr>
        <w:t>智正</w:t>
      </w:r>
      <w:r w:rsidR="00157EF6" w:rsidRPr="00412A9C">
        <w:rPr>
          <w:rFonts w:eastAsia="標楷體"/>
          <w:kern w:val="0"/>
          <w:szCs w:val="22"/>
        </w:rPr>
        <w:t>證真如，離諸戲論，當知亦爾。</w:t>
      </w:r>
    </w:p>
    <w:p w:rsidR="00157EF6" w:rsidRPr="00412A9C" w:rsidRDefault="009E5F51" w:rsidP="00AA120F">
      <w:pPr>
        <w:pStyle w:val="a5"/>
        <w:overflowPunct w:val="0"/>
        <w:autoSpaceDE w:val="0"/>
        <w:autoSpaceDN w:val="0"/>
        <w:ind w:leftChars="335" w:left="804"/>
        <w:jc w:val="both"/>
        <w:rPr>
          <w:kern w:val="0"/>
          <w:szCs w:val="22"/>
        </w:rPr>
      </w:pPr>
      <w:r>
        <w:rPr>
          <w:rFonts w:ascii="標楷體" w:eastAsia="標楷體" w:hAnsi="標楷體" w:hint="eastAsia"/>
          <w:bCs/>
          <w:color w:val="FF0000"/>
          <w:kern w:val="0"/>
          <w:highlight w:val="yellow"/>
        </w:rPr>
        <w:t>「</w:t>
      </w:r>
      <w:r w:rsidR="00157EF6" w:rsidRPr="00412A9C">
        <w:rPr>
          <w:rFonts w:eastAsia="標楷體"/>
          <w:kern w:val="0"/>
          <w:szCs w:val="22"/>
        </w:rPr>
        <w:t>如非啞受義</w:t>
      </w:r>
      <w:r>
        <w:rPr>
          <w:rFonts w:ascii="標楷體" w:eastAsia="標楷體" w:hAnsi="標楷體" w:hint="eastAsia"/>
          <w:bCs/>
          <w:color w:val="FF0000"/>
          <w:kern w:val="0"/>
          <w:highlight w:val="yellow"/>
        </w:rPr>
        <w:t>」</w:t>
      </w:r>
      <w:r w:rsidR="00157EF6" w:rsidRPr="00412A9C">
        <w:rPr>
          <w:rFonts w:eastAsia="標楷體"/>
          <w:kern w:val="0"/>
          <w:szCs w:val="22"/>
        </w:rPr>
        <w:t>者，如不啞</w:t>
      </w:r>
      <w:r w:rsidR="00157EF6" w:rsidRPr="009E5F51">
        <w:rPr>
          <w:rFonts w:eastAsia="標楷體"/>
          <w:kern w:val="0"/>
          <w:szCs w:val="22"/>
          <w:highlight w:val="yellow"/>
        </w:rPr>
        <w:t>人受</w:t>
      </w:r>
      <w:r w:rsidR="00157EF6" w:rsidRPr="00412A9C">
        <w:rPr>
          <w:rFonts w:eastAsia="標楷體"/>
          <w:kern w:val="0"/>
          <w:szCs w:val="22"/>
        </w:rPr>
        <w:t>諸境界</w:t>
      </w:r>
      <w:r>
        <w:rPr>
          <w:rFonts w:ascii="標楷體" w:eastAsia="標楷體" w:hAnsi="標楷體" w:hint="eastAsia"/>
          <w:color w:val="FF0000"/>
          <w:kern w:val="0"/>
          <w:highlight w:val="yellow"/>
        </w:rPr>
        <w:t>，</w:t>
      </w:r>
      <w:r w:rsidR="00157EF6" w:rsidRPr="00412A9C">
        <w:rPr>
          <w:rFonts w:eastAsia="標楷體"/>
          <w:kern w:val="0"/>
          <w:szCs w:val="22"/>
        </w:rPr>
        <w:t>亦起言說；如是</w:t>
      </w:r>
      <w:r w:rsidR="00157EF6" w:rsidRPr="00412A9C">
        <w:rPr>
          <w:rFonts w:eastAsia="標楷體"/>
          <w:b/>
          <w:kern w:val="0"/>
          <w:szCs w:val="22"/>
        </w:rPr>
        <w:t>後得無分別智</w:t>
      </w:r>
      <w:r w:rsidR="00157EF6" w:rsidRPr="00412A9C">
        <w:rPr>
          <w:rFonts w:eastAsia="標楷體"/>
          <w:kern w:val="0"/>
          <w:szCs w:val="22"/>
        </w:rPr>
        <w:t>，反照真如，現證境界，能起言教，當知亦爾。</w:t>
      </w:r>
    </w:p>
  </w:footnote>
  <w:footnote w:id="1023">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）眇：</w:t>
      </w:r>
      <w:r w:rsidRPr="00761EF3">
        <w:rPr>
          <w:szCs w:val="22"/>
        </w:rPr>
        <w:t>8</w:t>
      </w:r>
      <w:r w:rsidRPr="00412A9C">
        <w:rPr>
          <w:szCs w:val="22"/>
        </w:rPr>
        <w:t>.</w:t>
      </w:r>
      <w:r w:rsidRPr="00412A9C">
        <w:rPr>
          <w:szCs w:val="22"/>
        </w:rPr>
        <w:t>細小，微末。（《漢語大詞典》（七）</w:t>
      </w:r>
      <w:r w:rsidRPr="00412A9C">
        <w:rPr>
          <w:rFonts w:hint="eastAsia"/>
          <w:szCs w:val="22"/>
        </w:rPr>
        <w:t>，</w:t>
      </w:r>
      <w:r w:rsidRPr="00761EF3">
        <w:rPr>
          <w:szCs w:val="22"/>
        </w:rPr>
        <w:t>p</w:t>
      </w:r>
      <w:r w:rsidRPr="00412A9C">
        <w:rPr>
          <w:szCs w:val="22"/>
        </w:rPr>
        <w:t>.</w:t>
      </w:r>
      <w:r w:rsidRPr="00761EF3">
        <w:rPr>
          <w:szCs w:val="22"/>
        </w:rPr>
        <w:t>1167</w:t>
      </w:r>
      <w:r w:rsidRPr="00412A9C">
        <w:rPr>
          <w:szCs w:val="22"/>
        </w:rPr>
        <w:t>）</w:t>
      </w:r>
    </w:p>
    <w:p w:rsidR="00157EF6" w:rsidRPr="00412A9C" w:rsidRDefault="00157EF6" w:rsidP="00AA120F">
      <w:pPr>
        <w:pStyle w:val="a5"/>
        <w:ind w:leftChars="105" w:left="791" w:hangingChars="245" w:hanging="539"/>
        <w:jc w:val="both"/>
        <w:rPr>
          <w:szCs w:val="22"/>
        </w:rPr>
      </w:pPr>
      <w:r w:rsidRPr="00412A9C">
        <w:rPr>
          <w:szCs w:val="22"/>
        </w:rPr>
        <w:t>（</w:t>
      </w:r>
      <w:r w:rsidRPr="00761EF3">
        <w:rPr>
          <w:szCs w:val="22"/>
        </w:rPr>
        <w:t>2</w:t>
      </w:r>
      <w:r w:rsidRPr="00412A9C">
        <w:rPr>
          <w:szCs w:val="22"/>
        </w:rPr>
        <w:t>）目：</w:t>
      </w:r>
      <w:r w:rsidRPr="00761EF3">
        <w:rPr>
          <w:rFonts w:hint="eastAsia"/>
          <w:szCs w:val="22"/>
        </w:rPr>
        <w:t>1</w:t>
      </w:r>
      <w:r w:rsidRPr="00412A9C">
        <w:rPr>
          <w:rFonts w:hint="eastAsia"/>
          <w:szCs w:val="22"/>
        </w:rPr>
        <w:t>.</w:t>
      </w:r>
      <w:r w:rsidRPr="00412A9C">
        <w:rPr>
          <w:rFonts w:hint="eastAsia"/>
          <w:szCs w:val="22"/>
        </w:rPr>
        <w:t>眼睛。</w:t>
      </w:r>
      <w:r w:rsidRPr="00761EF3">
        <w:rPr>
          <w:szCs w:val="22"/>
        </w:rPr>
        <w:t>6</w:t>
      </w:r>
      <w:r w:rsidRPr="00412A9C">
        <w:rPr>
          <w:szCs w:val="22"/>
        </w:rPr>
        <w:t>.</w:t>
      </w:r>
      <w:r w:rsidRPr="00412A9C">
        <w:rPr>
          <w:szCs w:val="22"/>
        </w:rPr>
        <w:t>看法。（《漢語大詞典》（七）</w:t>
      </w:r>
      <w:r w:rsidRPr="00412A9C">
        <w:rPr>
          <w:rFonts w:hint="eastAsia"/>
          <w:szCs w:val="22"/>
        </w:rPr>
        <w:t>，</w:t>
      </w:r>
      <w:r w:rsidRPr="00761EF3">
        <w:rPr>
          <w:szCs w:val="22"/>
        </w:rPr>
        <w:t>p</w:t>
      </w:r>
      <w:r w:rsidRPr="00412A9C">
        <w:rPr>
          <w:szCs w:val="22"/>
        </w:rPr>
        <w:t>.</w:t>
      </w:r>
      <w:r w:rsidRPr="00761EF3">
        <w:rPr>
          <w:szCs w:val="22"/>
        </w:rPr>
        <w:t>1123</w:t>
      </w:r>
      <w:r w:rsidRPr="00412A9C">
        <w:rPr>
          <w:szCs w:val="22"/>
        </w:rPr>
        <w:t>）</w:t>
      </w:r>
    </w:p>
  </w:footnote>
  <w:footnote w:id="1024">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szCs w:val="22"/>
        </w:rPr>
        <w:t>曲：</w:t>
      </w:r>
      <w:r w:rsidRPr="00761EF3">
        <w:rPr>
          <w:szCs w:val="22"/>
        </w:rPr>
        <w:t>15</w:t>
      </w:r>
      <w:r w:rsidRPr="00412A9C">
        <w:rPr>
          <w:szCs w:val="22"/>
        </w:rPr>
        <w:t>.</w:t>
      </w:r>
      <w:r w:rsidRPr="00412A9C">
        <w:rPr>
          <w:szCs w:val="22"/>
        </w:rPr>
        <w:t>局部</w:t>
      </w:r>
      <w:r w:rsidRPr="00412A9C">
        <w:rPr>
          <w:rFonts w:hint="eastAsia"/>
          <w:szCs w:val="22"/>
        </w:rPr>
        <w:t>，</w:t>
      </w:r>
      <w:r w:rsidRPr="00412A9C">
        <w:rPr>
          <w:szCs w:val="22"/>
        </w:rPr>
        <w:t>部分。《荀子</w:t>
      </w:r>
      <w:r w:rsidRPr="00412A9C">
        <w:rPr>
          <w:rFonts w:ascii="新細明體" w:hAnsi="新細明體" w:cs="新細明體" w:hint="eastAsia"/>
          <w:szCs w:val="22"/>
        </w:rPr>
        <w:t>‧</w:t>
      </w:r>
      <w:r w:rsidRPr="00412A9C">
        <w:rPr>
          <w:szCs w:val="22"/>
        </w:rPr>
        <w:t>解蔽》：</w:t>
      </w:r>
      <w:r w:rsidRPr="00412A9C">
        <w:rPr>
          <w:szCs w:val="22"/>
        </w:rPr>
        <w:t>“</w:t>
      </w:r>
      <w:r w:rsidRPr="00412A9C">
        <w:rPr>
          <w:szCs w:val="22"/>
        </w:rPr>
        <w:t>凡人之患，蔽於一曲，而闇於大理。</w:t>
      </w:r>
      <w:r w:rsidRPr="00412A9C">
        <w:rPr>
          <w:szCs w:val="22"/>
        </w:rPr>
        <w:t xml:space="preserve">” </w:t>
      </w:r>
      <w:r w:rsidRPr="00412A9C">
        <w:rPr>
          <w:szCs w:val="22"/>
        </w:rPr>
        <w:t>梁啟雄</w:t>
      </w:r>
      <w:r w:rsidRPr="00412A9C">
        <w:rPr>
          <w:szCs w:val="22"/>
        </w:rPr>
        <w:t xml:space="preserve"> </w:t>
      </w:r>
      <w:r w:rsidRPr="00412A9C">
        <w:rPr>
          <w:szCs w:val="22"/>
        </w:rPr>
        <w:t>釋：</w:t>
      </w:r>
      <w:r w:rsidRPr="00412A9C">
        <w:rPr>
          <w:szCs w:val="22"/>
        </w:rPr>
        <w:t>“</w:t>
      </w:r>
      <w:r w:rsidRPr="00412A9C">
        <w:rPr>
          <w:szCs w:val="22"/>
        </w:rPr>
        <w:t>曲者，一部分之意。</w:t>
      </w:r>
      <w:r w:rsidRPr="00412A9C">
        <w:rPr>
          <w:szCs w:val="22"/>
        </w:rPr>
        <w:t>”</w:t>
      </w:r>
      <w:r w:rsidRPr="00761EF3">
        <w:rPr>
          <w:szCs w:val="22"/>
        </w:rPr>
        <w:t>17</w:t>
      </w:r>
      <w:r w:rsidRPr="00412A9C">
        <w:rPr>
          <w:szCs w:val="22"/>
        </w:rPr>
        <w:t>.</w:t>
      </w:r>
      <w:r w:rsidRPr="00412A9C">
        <w:rPr>
          <w:szCs w:val="22"/>
        </w:rPr>
        <w:t>引申為細小。（《漢語大詞典》（</w:t>
      </w:r>
      <w:r w:rsidRPr="00412A9C">
        <w:rPr>
          <w:rFonts w:hint="eastAsia"/>
          <w:szCs w:val="22"/>
        </w:rPr>
        <w:t>五</w:t>
      </w:r>
      <w:r w:rsidRPr="00412A9C">
        <w:rPr>
          <w:szCs w:val="22"/>
        </w:rPr>
        <w:t>）</w:t>
      </w:r>
      <w:r w:rsidRPr="00412A9C">
        <w:rPr>
          <w:rFonts w:hint="eastAsia"/>
          <w:szCs w:val="22"/>
        </w:rPr>
        <w:t>，</w:t>
      </w:r>
      <w:r w:rsidRPr="00761EF3">
        <w:rPr>
          <w:szCs w:val="22"/>
        </w:rPr>
        <w:t>p</w:t>
      </w:r>
      <w:r w:rsidRPr="00412A9C">
        <w:rPr>
          <w:szCs w:val="22"/>
        </w:rPr>
        <w:t>.</w:t>
      </w:r>
      <w:r w:rsidRPr="00761EF3">
        <w:rPr>
          <w:rFonts w:hint="eastAsia"/>
          <w:szCs w:val="22"/>
        </w:rPr>
        <w:t>562</w:t>
      </w:r>
      <w:r w:rsidRPr="00412A9C">
        <w:rPr>
          <w:szCs w:val="22"/>
        </w:rPr>
        <w:t>）</w:t>
      </w:r>
    </w:p>
  </w:footnote>
  <w:footnote w:id="1025">
    <w:p w:rsidR="00157EF6" w:rsidRPr="00412A9C" w:rsidRDefault="00157EF6" w:rsidP="00AA120F">
      <w:pPr>
        <w:pStyle w:val="a5"/>
        <w:spacing w:line="0" w:lineRule="atLeast"/>
        <w:ind w:left="253" w:hangingChars="115" w:hanging="253"/>
        <w:jc w:val="both"/>
        <w:rPr>
          <w:rFonts w:eastAsia="SimSun"/>
          <w:szCs w:val="22"/>
        </w:rPr>
      </w:pPr>
      <w:r w:rsidRPr="00412A9C">
        <w:rPr>
          <w:rStyle w:val="a6"/>
          <w:szCs w:val="22"/>
        </w:rPr>
        <w:footnoteRef/>
      </w:r>
      <w:r w:rsidRPr="00412A9C">
        <w:rPr>
          <w:rFonts w:eastAsia="SimSun"/>
          <w:szCs w:val="22"/>
        </w:rPr>
        <w:t xml:space="preserve"> </w:t>
      </w:r>
      <w:r w:rsidRPr="00412A9C">
        <w:rPr>
          <w:szCs w:val="22"/>
        </w:rPr>
        <w:t>印順法師，《中觀今論》</w:t>
      </w:r>
      <w:r w:rsidRPr="00412A9C">
        <w:rPr>
          <w:rFonts w:hint="eastAsia"/>
          <w:szCs w:val="22"/>
        </w:rPr>
        <w:t>，</w:t>
      </w:r>
      <w:r w:rsidRPr="00761EF3">
        <w:rPr>
          <w:szCs w:val="22"/>
        </w:rPr>
        <w:t>p</w:t>
      </w:r>
      <w:r w:rsidRPr="00412A9C">
        <w:rPr>
          <w:rFonts w:eastAsia="SimSun"/>
          <w:szCs w:val="22"/>
        </w:rPr>
        <w:t>.</w:t>
      </w:r>
      <w:r w:rsidRPr="00761EF3">
        <w:rPr>
          <w:szCs w:val="22"/>
        </w:rPr>
        <w:t>233</w:t>
      </w:r>
      <w:r w:rsidRPr="00412A9C">
        <w:rPr>
          <w:szCs w:val="22"/>
        </w:rPr>
        <w:t>：</w:t>
      </w:r>
    </w:p>
    <w:p w:rsidR="00157EF6" w:rsidRPr="00412A9C" w:rsidRDefault="00157EF6" w:rsidP="00AA120F">
      <w:pPr>
        <w:pStyle w:val="a5"/>
        <w:ind w:leftChars="105" w:left="252"/>
        <w:jc w:val="both"/>
        <w:rPr>
          <w:rFonts w:eastAsia="標楷體"/>
          <w:szCs w:val="22"/>
        </w:rPr>
      </w:pPr>
      <w:r w:rsidRPr="00412A9C">
        <w:rPr>
          <w:rFonts w:eastAsia="標楷體"/>
          <w:szCs w:val="22"/>
        </w:rPr>
        <w:t>西藏傳有二宗：</w:t>
      </w:r>
      <w:r>
        <w:rPr>
          <w:rFonts w:eastAsia="標楷體"/>
          <w:szCs w:val="22"/>
        </w:rPr>
        <w:t>（</w:t>
      </w:r>
      <w:r w:rsidRPr="00412A9C">
        <w:rPr>
          <w:rFonts w:eastAsia="標楷體"/>
          <w:szCs w:val="22"/>
        </w:rPr>
        <w:t>一</w:t>
      </w:r>
      <w:r>
        <w:rPr>
          <w:rFonts w:eastAsia="標楷體"/>
          <w:szCs w:val="22"/>
        </w:rPr>
        <w:t>）</w:t>
      </w:r>
      <w:r w:rsidRPr="00412A9C">
        <w:rPr>
          <w:rFonts w:eastAsia="標楷體"/>
          <w:szCs w:val="22"/>
        </w:rPr>
        <w:t>極無戲論，</w:t>
      </w:r>
      <w:r>
        <w:rPr>
          <w:rFonts w:eastAsia="標楷體"/>
          <w:szCs w:val="22"/>
        </w:rPr>
        <w:t>（</w:t>
      </w:r>
      <w:r w:rsidRPr="00412A9C">
        <w:rPr>
          <w:rFonts w:eastAsia="標楷體"/>
          <w:szCs w:val="22"/>
        </w:rPr>
        <w:t>二</w:t>
      </w:r>
      <w:r>
        <w:rPr>
          <w:rFonts w:eastAsia="標楷體"/>
          <w:szCs w:val="22"/>
        </w:rPr>
        <w:t>）</w:t>
      </w:r>
      <w:r w:rsidRPr="00412A9C">
        <w:rPr>
          <w:rFonts w:eastAsia="標楷體"/>
          <w:szCs w:val="22"/>
        </w:rPr>
        <w:t>現空如幻，天臺宗也說有偏真與圓中兩類。唯識家說真見道證真如而不見緣起，月稱論師也不許可見道的悟圓中理，但他們皆以究竟圓悟中道為成佛。</w:t>
      </w:r>
    </w:p>
  </w:footnote>
  <w:footnote w:id="1026">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）印順法師，《我之宗教觀》</w:t>
      </w:r>
      <w:r w:rsidRPr="00412A9C">
        <w:rPr>
          <w:rFonts w:hint="eastAsia"/>
          <w:szCs w:val="22"/>
        </w:rPr>
        <w:t>，</w:t>
      </w:r>
      <w:r w:rsidRPr="00761EF3">
        <w:rPr>
          <w:szCs w:val="22"/>
        </w:rPr>
        <w:t>p</w:t>
      </w:r>
      <w:r w:rsidRPr="00412A9C">
        <w:rPr>
          <w:rFonts w:eastAsia="SimSun"/>
          <w:szCs w:val="22"/>
        </w:rPr>
        <w:t>.</w:t>
      </w:r>
      <w:r w:rsidRPr="00761EF3">
        <w:rPr>
          <w:szCs w:val="22"/>
        </w:rPr>
        <w:t>95</w:t>
      </w:r>
      <w:r w:rsidRPr="00412A9C">
        <w:rPr>
          <w:szCs w:val="22"/>
        </w:rPr>
        <w:t>：</w:t>
      </w:r>
    </w:p>
    <w:p w:rsidR="00157EF6" w:rsidRPr="00412A9C" w:rsidRDefault="00157EF6" w:rsidP="00AA120F">
      <w:pPr>
        <w:pStyle w:val="a5"/>
        <w:ind w:leftChars="335" w:left="804"/>
        <w:jc w:val="both"/>
        <w:rPr>
          <w:szCs w:val="22"/>
        </w:rPr>
      </w:pPr>
      <w:r w:rsidRPr="00412A9C">
        <w:rPr>
          <w:rFonts w:eastAsia="標楷體"/>
          <w:szCs w:val="22"/>
        </w:rPr>
        <w:t>假名的意義，是</w:t>
      </w:r>
      <w:r w:rsidRPr="00412A9C">
        <w:rPr>
          <w:rFonts w:eastAsia="標楷體"/>
          <w:b/>
          <w:szCs w:val="22"/>
        </w:rPr>
        <w:t>依於因緣而存在（「施設而有」），不是永有的、自有的、實有的存在。</w:t>
      </w:r>
      <w:r w:rsidRPr="00412A9C">
        <w:rPr>
          <w:rFonts w:eastAsia="標楷體"/>
          <w:szCs w:val="22"/>
        </w:rPr>
        <w:t>這樣，稱為</w:t>
      </w:r>
      <w:r w:rsidRPr="00412A9C">
        <w:rPr>
          <w:rFonts w:eastAsia="標楷體"/>
          <w:b/>
          <w:szCs w:val="22"/>
        </w:rPr>
        <w:t>假名的緣起有，當體就是空寂；空是無實自性的意思。所以一切法是假有，也就是一切法空</w:t>
      </w:r>
      <w:r w:rsidRPr="00412A9C">
        <w:rPr>
          <w:rFonts w:ascii="新細明體" w:hAnsi="新細明體"/>
          <w:b/>
          <w:szCs w:val="22"/>
        </w:rPr>
        <w:t>──</w:t>
      </w:r>
      <w:r w:rsidRPr="00412A9C">
        <w:rPr>
          <w:rFonts w:eastAsia="標楷體"/>
          <w:b/>
          <w:szCs w:val="22"/>
        </w:rPr>
        <w:t>空有無礙。</w:t>
      </w:r>
    </w:p>
    <w:p w:rsidR="00157EF6" w:rsidRPr="00412A9C" w:rsidRDefault="00157EF6" w:rsidP="00AA120F">
      <w:pPr>
        <w:pStyle w:val="a5"/>
        <w:ind w:leftChars="105" w:left="791" w:hangingChars="245" w:hanging="539"/>
        <w:jc w:val="both"/>
        <w:rPr>
          <w:rFonts w:eastAsia="SimSun"/>
          <w:szCs w:val="22"/>
        </w:rPr>
      </w:pPr>
      <w:r w:rsidRPr="00412A9C">
        <w:rPr>
          <w:szCs w:val="22"/>
        </w:rPr>
        <w:t>（</w:t>
      </w:r>
      <w:r w:rsidRPr="00761EF3">
        <w:rPr>
          <w:szCs w:val="22"/>
        </w:rPr>
        <w:t>2</w:t>
      </w:r>
      <w:r w:rsidRPr="00412A9C">
        <w:rPr>
          <w:szCs w:val="22"/>
        </w:rPr>
        <w:t>）印順法師，《佛法是救世之光》</w:t>
      </w:r>
      <w:r w:rsidRPr="00412A9C">
        <w:rPr>
          <w:rFonts w:hint="eastAsia"/>
          <w:szCs w:val="22"/>
        </w:rPr>
        <w:t>，</w:t>
      </w:r>
      <w:r w:rsidRPr="00761EF3">
        <w:rPr>
          <w:rFonts w:hint="eastAsia"/>
          <w:szCs w:val="22"/>
        </w:rPr>
        <w:t>p</w:t>
      </w:r>
      <w:r w:rsidRPr="00761EF3">
        <w:rPr>
          <w:szCs w:val="22"/>
        </w:rPr>
        <w:t>p</w:t>
      </w:r>
      <w:r w:rsidRPr="00412A9C">
        <w:rPr>
          <w:szCs w:val="22"/>
        </w:rPr>
        <w:t>.</w:t>
      </w:r>
      <w:r w:rsidRPr="00761EF3">
        <w:rPr>
          <w:szCs w:val="22"/>
        </w:rPr>
        <w:t>202</w:t>
      </w:r>
      <w:r w:rsidRPr="00412A9C">
        <w:rPr>
          <w:szCs w:val="22"/>
        </w:rPr>
        <w:t>-</w:t>
      </w:r>
      <w:r w:rsidRPr="00761EF3">
        <w:rPr>
          <w:szCs w:val="22"/>
        </w:rPr>
        <w:t>203</w:t>
      </w:r>
      <w:r w:rsidRPr="00412A9C">
        <w:rPr>
          <w:szCs w:val="22"/>
        </w:rPr>
        <w:t>：</w:t>
      </w:r>
    </w:p>
    <w:p w:rsidR="00157EF6" w:rsidRPr="00412A9C" w:rsidRDefault="00157EF6" w:rsidP="00AA120F">
      <w:pPr>
        <w:pStyle w:val="a5"/>
        <w:overflowPunct w:val="0"/>
        <w:autoSpaceDE w:val="0"/>
        <w:autoSpaceDN w:val="0"/>
        <w:ind w:leftChars="335" w:left="804"/>
        <w:jc w:val="both"/>
        <w:rPr>
          <w:rFonts w:ascii="標楷體" w:eastAsia="標楷體" w:hAnsi="標楷體"/>
          <w:szCs w:val="22"/>
        </w:rPr>
      </w:pPr>
      <w:r w:rsidRPr="00412A9C">
        <w:rPr>
          <w:rFonts w:ascii="標楷體" w:eastAsia="標楷體" w:hAnsi="標楷體"/>
          <w:szCs w:val="22"/>
        </w:rPr>
        <w:t>因為是因緣有的，所以是性空的；如不是因緣有，也就不是性空了</w:t>
      </w:r>
      <w:r w:rsidRPr="00412A9C">
        <w:rPr>
          <w:rFonts w:ascii="標楷體" w:eastAsia="標楷體" w:hAnsi="標楷體"/>
          <w:b/>
          <w:szCs w:val="22"/>
        </w:rPr>
        <w:t>。</w:t>
      </w:r>
      <w:r w:rsidRPr="00412A9C">
        <w:rPr>
          <w:rFonts w:ascii="標楷體" w:eastAsia="標楷體" w:hAnsi="標楷體"/>
          <w:szCs w:val="22"/>
        </w:rPr>
        <w:t>反之，因為一切性空，所以才依因緣而有；如不是性空，是實有自性的，那就是實有性，是一是常，也不會待因緣而有了。這樣，不但</w:t>
      </w:r>
      <w:r w:rsidRPr="00412A9C">
        <w:rPr>
          <w:rFonts w:ascii="標楷體" w:eastAsia="標楷體" w:hAnsi="標楷體"/>
          <w:b/>
          <w:szCs w:val="22"/>
        </w:rPr>
        <w:t>依因緣有而顯示性空，也就依空義而能成立一切法。這樣的因緣有與無自性空，相依相成，相即而無礙。</w:t>
      </w:r>
      <w:r w:rsidRPr="00412A9C">
        <w:rPr>
          <w:rFonts w:ascii="標楷體" w:eastAsia="標楷體" w:hAnsi="標楷體"/>
          <w:szCs w:val="22"/>
        </w:rPr>
        <w:t>如有而不是空的，就是實（執）有；空而不能有的，就是撥無因果現實的邪空。</w:t>
      </w:r>
      <w:r w:rsidRPr="00412A9C">
        <w:rPr>
          <w:rFonts w:ascii="標楷體" w:eastAsia="標楷體" w:hAnsi="標楷體"/>
          <w:b/>
          <w:szCs w:val="22"/>
        </w:rPr>
        <w:t>遠離這樣的二邊妄執，空有無礙，才是中道的正觀。</w:t>
      </w:r>
    </w:p>
  </w:footnote>
  <w:footnote w:id="1027">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rFonts w:hint="eastAsia"/>
          <w:kern w:val="0"/>
          <w:szCs w:val="22"/>
        </w:rPr>
        <w:t xml:space="preserve"> </w:t>
      </w:r>
      <w:r w:rsidRPr="00412A9C">
        <w:rPr>
          <w:szCs w:val="22"/>
        </w:rPr>
        <w:t>案：廖本聖老師提供編者以下訊息：「經查日本東北大學所藏的德格版西藏大藏經總目錄及索引，寶鎧《律生疏》可能是其中的</w:t>
      </w:r>
      <w:r w:rsidRPr="00761EF3">
        <w:rPr>
          <w:szCs w:val="22"/>
        </w:rPr>
        <w:t>No</w:t>
      </w:r>
      <w:r w:rsidRPr="00412A9C">
        <w:rPr>
          <w:szCs w:val="22"/>
        </w:rPr>
        <w:t xml:space="preserve">. </w:t>
      </w:r>
      <w:r w:rsidRPr="00761EF3">
        <w:rPr>
          <w:szCs w:val="22"/>
        </w:rPr>
        <w:t>4303</w:t>
      </w:r>
      <w:r w:rsidRPr="00412A9C">
        <w:rPr>
          <w:szCs w:val="22"/>
        </w:rPr>
        <w:t>與</w:t>
      </w:r>
      <w:r w:rsidRPr="00761EF3">
        <w:rPr>
          <w:szCs w:val="22"/>
        </w:rPr>
        <w:t>No</w:t>
      </w:r>
      <w:r w:rsidRPr="00412A9C">
        <w:rPr>
          <w:szCs w:val="22"/>
        </w:rPr>
        <w:t xml:space="preserve">. </w:t>
      </w:r>
      <w:r w:rsidRPr="00761EF3">
        <w:rPr>
          <w:szCs w:val="22"/>
        </w:rPr>
        <w:t>4304</w:t>
      </w:r>
      <w:r w:rsidRPr="00412A9C">
        <w:rPr>
          <w:szCs w:val="22"/>
        </w:rPr>
        <w:t>，這兩部著作的名稱都是《韻律寶生》（</w:t>
      </w:r>
      <w:r w:rsidRPr="00761EF3">
        <w:rPr>
          <w:szCs w:val="22"/>
        </w:rPr>
        <w:t>Chandoratnākara</w:t>
      </w:r>
      <w:r w:rsidRPr="00412A9C">
        <w:rPr>
          <w:szCs w:val="22"/>
        </w:rPr>
        <w:t xml:space="preserve">, </w:t>
      </w:r>
      <w:r w:rsidRPr="00761EF3">
        <w:rPr>
          <w:szCs w:val="22"/>
        </w:rPr>
        <w:t>sdeb</w:t>
      </w:r>
      <w:r w:rsidRPr="00412A9C">
        <w:rPr>
          <w:szCs w:val="22"/>
        </w:rPr>
        <w:t xml:space="preserve"> </w:t>
      </w:r>
      <w:r w:rsidRPr="00761EF3">
        <w:rPr>
          <w:szCs w:val="22"/>
        </w:rPr>
        <w:t>sbyor</w:t>
      </w:r>
      <w:r w:rsidRPr="00412A9C">
        <w:rPr>
          <w:szCs w:val="22"/>
        </w:rPr>
        <w:t xml:space="preserve"> </w:t>
      </w:r>
      <w:r w:rsidRPr="00761EF3">
        <w:rPr>
          <w:szCs w:val="22"/>
        </w:rPr>
        <w:t>rin</w:t>
      </w:r>
      <w:r w:rsidRPr="00412A9C">
        <w:rPr>
          <w:szCs w:val="22"/>
        </w:rPr>
        <w:t xml:space="preserve"> </w:t>
      </w:r>
      <w:r w:rsidRPr="00761EF3">
        <w:rPr>
          <w:szCs w:val="22"/>
        </w:rPr>
        <w:t>chen</w:t>
      </w:r>
      <w:r w:rsidRPr="00412A9C">
        <w:rPr>
          <w:szCs w:val="22"/>
        </w:rPr>
        <w:t xml:space="preserve"> '</w:t>
      </w:r>
      <w:r w:rsidRPr="00761EF3">
        <w:rPr>
          <w:szCs w:val="22"/>
        </w:rPr>
        <w:t>byung</w:t>
      </w:r>
      <w:r w:rsidRPr="00412A9C">
        <w:rPr>
          <w:szCs w:val="22"/>
        </w:rPr>
        <w:t xml:space="preserve"> </w:t>
      </w:r>
      <w:r w:rsidRPr="00761EF3">
        <w:rPr>
          <w:szCs w:val="22"/>
        </w:rPr>
        <w:t>gnas</w:t>
      </w:r>
      <w:r w:rsidRPr="00412A9C">
        <w:rPr>
          <w:szCs w:val="22"/>
        </w:rPr>
        <w:t>），作者也都是寶作寂（</w:t>
      </w:r>
      <w:r w:rsidRPr="00761EF3">
        <w:rPr>
          <w:szCs w:val="22"/>
        </w:rPr>
        <w:t>Ratnākaraśānti</w:t>
      </w:r>
      <w:r w:rsidRPr="00412A9C">
        <w:rPr>
          <w:szCs w:val="22"/>
        </w:rPr>
        <w:t xml:space="preserve">, </w:t>
      </w:r>
      <w:r w:rsidRPr="00761EF3">
        <w:rPr>
          <w:szCs w:val="22"/>
        </w:rPr>
        <w:t>rin</w:t>
      </w:r>
      <w:r w:rsidRPr="00412A9C">
        <w:rPr>
          <w:szCs w:val="22"/>
        </w:rPr>
        <w:t xml:space="preserve"> </w:t>
      </w:r>
      <w:r w:rsidRPr="00761EF3">
        <w:rPr>
          <w:szCs w:val="22"/>
        </w:rPr>
        <w:t>chen</w:t>
      </w:r>
      <w:r w:rsidRPr="00412A9C">
        <w:rPr>
          <w:szCs w:val="22"/>
        </w:rPr>
        <w:t xml:space="preserve"> '</w:t>
      </w:r>
      <w:r w:rsidRPr="00761EF3">
        <w:rPr>
          <w:szCs w:val="22"/>
        </w:rPr>
        <w:t>byung</w:t>
      </w:r>
      <w:r w:rsidRPr="00412A9C">
        <w:rPr>
          <w:szCs w:val="22"/>
        </w:rPr>
        <w:t xml:space="preserve"> </w:t>
      </w:r>
      <w:r w:rsidRPr="00761EF3">
        <w:rPr>
          <w:szCs w:val="22"/>
        </w:rPr>
        <w:t>gnas</w:t>
      </w:r>
      <w:r w:rsidRPr="00412A9C">
        <w:rPr>
          <w:szCs w:val="22"/>
        </w:rPr>
        <w:t xml:space="preserve"> </w:t>
      </w:r>
      <w:r w:rsidRPr="00761EF3">
        <w:rPr>
          <w:szCs w:val="22"/>
        </w:rPr>
        <w:t>zhi</w:t>
      </w:r>
      <w:r w:rsidRPr="00412A9C">
        <w:rPr>
          <w:szCs w:val="22"/>
        </w:rPr>
        <w:t xml:space="preserve"> </w:t>
      </w:r>
      <w:r w:rsidRPr="00761EF3">
        <w:rPr>
          <w:szCs w:val="22"/>
        </w:rPr>
        <w:t>ba</w:t>
      </w:r>
      <w:r w:rsidRPr="00412A9C">
        <w:rPr>
          <w:szCs w:val="22"/>
        </w:rPr>
        <w:t>），而這兩部皆被歸類在聲明部中。」</w:t>
      </w:r>
    </w:p>
  </w:footnote>
  <w:footnote w:id="1028">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rFonts w:hint="eastAsia"/>
          <w:szCs w:val="22"/>
        </w:rPr>
        <w:t>（</w:t>
      </w:r>
      <w:r w:rsidRPr="00761EF3">
        <w:rPr>
          <w:rFonts w:hint="eastAsia"/>
          <w:szCs w:val="22"/>
        </w:rPr>
        <w:t>1</w:t>
      </w:r>
      <w:r w:rsidRPr="00412A9C">
        <w:rPr>
          <w:rFonts w:hint="eastAsia"/>
          <w:szCs w:val="22"/>
        </w:rPr>
        <w:t>）《摩訶般若波羅蜜經》卷</w:t>
      </w:r>
      <w:r w:rsidRPr="00761EF3">
        <w:rPr>
          <w:rFonts w:hint="eastAsia"/>
          <w:szCs w:val="22"/>
        </w:rPr>
        <w:t>2</w:t>
      </w:r>
      <w:r w:rsidRPr="00412A9C">
        <w:rPr>
          <w:rFonts w:hint="eastAsia"/>
          <w:szCs w:val="22"/>
        </w:rPr>
        <w:t>〈</w:t>
      </w:r>
      <w:r w:rsidRPr="00761EF3">
        <w:rPr>
          <w:rFonts w:hint="eastAsia"/>
          <w:szCs w:val="22"/>
        </w:rPr>
        <w:t>4</w:t>
      </w:r>
      <w:r w:rsidRPr="00412A9C">
        <w:rPr>
          <w:rFonts w:hint="eastAsia"/>
          <w:szCs w:val="22"/>
        </w:rPr>
        <w:t xml:space="preserve"> </w:t>
      </w:r>
      <w:r w:rsidRPr="00412A9C">
        <w:rPr>
          <w:rFonts w:hint="eastAsia"/>
          <w:szCs w:val="22"/>
        </w:rPr>
        <w:t>往生品〉（大正</w:t>
      </w:r>
      <w:r w:rsidRPr="00761EF3">
        <w:rPr>
          <w:rFonts w:hint="eastAsia"/>
          <w:szCs w:val="22"/>
        </w:rPr>
        <w:t>8</w:t>
      </w:r>
      <w:r w:rsidRPr="00412A9C">
        <w:rPr>
          <w:rFonts w:hint="eastAsia"/>
          <w:szCs w:val="22"/>
        </w:rPr>
        <w:t>，</w:t>
      </w:r>
      <w:r w:rsidRPr="00761EF3">
        <w:rPr>
          <w:rFonts w:hint="eastAsia"/>
          <w:szCs w:val="22"/>
        </w:rPr>
        <w:t>226a6</w:t>
      </w:r>
      <w:r w:rsidRPr="00412A9C">
        <w:rPr>
          <w:rFonts w:hint="eastAsia"/>
          <w:szCs w:val="22"/>
        </w:rPr>
        <w:t>-</w:t>
      </w:r>
      <w:r w:rsidRPr="00761EF3">
        <w:rPr>
          <w:rFonts w:hint="eastAsia"/>
          <w:szCs w:val="22"/>
        </w:rPr>
        <w:t>15</w:t>
      </w:r>
      <w:r w:rsidRPr="00412A9C">
        <w:rPr>
          <w:rFonts w:hint="eastAsia"/>
          <w:szCs w:val="22"/>
        </w:rPr>
        <w:t>）：</w:t>
      </w:r>
    </w:p>
    <w:p w:rsidR="00157EF6" w:rsidRPr="00412A9C" w:rsidRDefault="00157EF6" w:rsidP="00AA120F">
      <w:pPr>
        <w:pStyle w:val="a5"/>
        <w:overflowPunct w:val="0"/>
        <w:autoSpaceDE w:val="0"/>
        <w:autoSpaceDN w:val="0"/>
        <w:ind w:leftChars="335" w:left="804"/>
        <w:jc w:val="both"/>
        <w:rPr>
          <w:rFonts w:ascii="標楷體" w:eastAsia="標楷體" w:hAnsi="標楷體"/>
          <w:szCs w:val="22"/>
        </w:rPr>
      </w:pPr>
      <w:r w:rsidRPr="00412A9C">
        <w:rPr>
          <w:rFonts w:ascii="標楷體" w:eastAsia="標楷體" w:hAnsi="標楷體" w:hint="eastAsia"/>
          <w:szCs w:val="22"/>
        </w:rPr>
        <w:t>舍利弗！有菩薩摩訶薩初發意時</w:t>
      </w:r>
      <w:r w:rsidR="00AF450B">
        <w:rPr>
          <w:rFonts w:ascii="標楷體" w:eastAsia="標楷體" w:hAnsi="標楷體" w:hint="eastAsia"/>
          <w:color w:val="FF0000"/>
          <w:kern w:val="0"/>
          <w:highlight w:val="yellow"/>
        </w:rPr>
        <w:t>，</w:t>
      </w:r>
      <w:r w:rsidRPr="00412A9C">
        <w:rPr>
          <w:rFonts w:ascii="標楷體" w:eastAsia="標楷體" w:hAnsi="標楷體" w:hint="eastAsia"/>
          <w:szCs w:val="22"/>
        </w:rPr>
        <w:t>行六波羅蜜，上菩薩位，得阿惟越致地。</w:t>
      </w:r>
    </w:p>
    <w:p w:rsidR="00157EF6" w:rsidRPr="00412A9C" w:rsidRDefault="00157EF6" w:rsidP="00AA120F">
      <w:pPr>
        <w:pStyle w:val="a5"/>
        <w:overflowPunct w:val="0"/>
        <w:autoSpaceDE w:val="0"/>
        <w:autoSpaceDN w:val="0"/>
        <w:ind w:leftChars="335" w:left="804"/>
        <w:jc w:val="both"/>
        <w:rPr>
          <w:rFonts w:ascii="標楷體" w:eastAsia="標楷體" w:hAnsi="標楷體"/>
          <w:szCs w:val="22"/>
        </w:rPr>
      </w:pPr>
      <w:r w:rsidRPr="00412A9C">
        <w:rPr>
          <w:rFonts w:ascii="標楷體" w:eastAsia="標楷體" w:hAnsi="標楷體" w:hint="eastAsia"/>
          <w:szCs w:val="22"/>
        </w:rPr>
        <w:t>舍利弗！有菩薩摩訶薩初發意時，便得阿耨多羅三藐三菩提轉法輪，與無量阿僧祇眾生作益厚已</w:t>
      </w:r>
      <w:r w:rsidR="00AF450B">
        <w:rPr>
          <w:rFonts w:ascii="標楷體" w:eastAsia="標楷體" w:hAnsi="標楷體" w:hint="eastAsia"/>
          <w:color w:val="FF0000"/>
          <w:kern w:val="0"/>
          <w:highlight w:val="yellow"/>
        </w:rPr>
        <w:t>，</w:t>
      </w:r>
      <w:r w:rsidR="00AF450B">
        <w:rPr>
          <w:rFonts w:ascii="標楷體" w:eastAsia="標楷體" w:hAnsi="標楷體" w:hint="eastAsia"/>
          <w:szCs w:val="22"/>
        </w:rPr>
        <w:t>入無餘涅槃</w:t>
      </w:r>
      <w:r w:rsidR="00AF450B">
        <w:rPr>
          <w:rFonts w:ascii="標楷體" w:eastAsia="標楷體" w:hAnsi="標楷體" w:hint="eastAsia"/>
          <w:color w:val="FF0000"/>
          <w:spacing w:val="-4"/>
          <w:kern w:val="0"/>
          <w:highlight w:val="yellow"/>
        </w:rPr>
        <w:t>；</w:t>
      </w:r>
      <w:r w:rsidRPr="00412A9C">
        <w:rPr>
          <w:rFonts w:ascii="標楷體" w:eastAsia="標楷體" w:hAnsi="標楷體" w:hint="eastAsia"/>
          <w:szCs w:val="22"/>
        </w:rPr>
        <w:t>是佛般涅槃後，餘法若住一劫</w:t>
      </w:r>
      <w:r w:rsidR="00AF450B">
        <w:rPr>
          <w:rFonts w:ascii="標楷體" w:eastAsia="標楷體" w:hAnsi="標楷體" w:hint="eastAsia"/>
          <w:color w:val="FF0000"/>
          <w:spacing w:val="-4"/>
          <w:kern w:val="0"/>
          <w:highlight w:val="yellow"/>
        </w:rPr>
        <w:t>、</w:t>
      </w:r>
      <w:r w:rsidRPr="00412A9C">
        <w:rPr>
          <w:rFonts w:ascii="標楷體" w:eastAsia="標楷體" w:hAnsi="標楷體" w:hint="eastAsia"/>
          <w:szCs w:val="22"/>
        </w:rPr>
        <w:t>若減一劫。</w:t>
      </w:r>
    </w:p>
    <w:p w:rsidR="00157EF6" w:rsidRPr="00412A9C" w:rsidRDefault="00157EF6" w:rsidP="00AA120F">
      <w:pPr>
        <w:pStyle w:val="a5"/>
        <w:overflowPunct w:val="0"/>
        <w:autoSpaceDE w:val="0"/>
        <w:autoSpaceDN w:val="0"/>
        <w:ind w:leftChars="335" w:left="804"/>
        <w:jc w:val="both"/>
        <w:rPr>
          <w:rFonts w:ascii="標楷體" w:eastAsia="標楷體" w:hAnsi="標楷體"/>
          <w:szCs w:val="22"/>
        </w:rPr>
      </w:pPr>
      <w:r w:rsidRPr="00412A9C">
        <w:rPr>
          <w:rFonts w:ascii="標楷體" w:eastAsia="標楷體" w:hAnsi="標楷體" w:hint="eastAsia"/>
          <w:szCs w:val="22"/>
        </w:rPr>
        <w:t>舍利弗！有菩薩摩訶薩初發意時</w:t>
      </w:r>
      <w:r w:rsidR="00AF450B">
        <w:rPr>
          <w:rFonts w:ascii="標楷體" w:eastAsia="標楷體" w:hAnsi="標楷體" w:hint="eastAsia"/>
          <w:color w:val="FF0000"/>
          <w:kern w:val="0"/>
          <w:highlight w:val="yellow"/>
        </w:rPr>
        <w:t>，</w:t>
      </w:r>
      <w:r w:rsidRPr="00412A9C">
        <w:rPr>
          <w:rFonts w:ascii="標楷體" w:eastAsia="標楷體" w:hAnsi="標楷體" w:hint="eastAsia"/>
          <w:szCs w:val="22"/>
        </w:rPr>
        <w:t>與般若波羅蜜相應，與無數百千億菩薩從一佛國至一佛國，為淨佛國土故。</w:t>
      </w:r>
    </w:p>
    <w:p w:rsidR="00157EF6" w:rsidRPr="00412A9C" w:rsidRDefault="00157EF6" w:rsidP="00AA120F">
      <w:pPr>
        <w:pStyle w:val="a5"/>
        <w:ind w:leftChars="105" w:left="791" w:hangingChars="245" w:hanging="539"/>
        <w:jc w:val="both"/>
        <w:rPr>
          <w:szCs w:val="22"/>
        </w:rPr>
      </w:pPr>
      <w:r w:rsidRPr="00412A9C">
        <w:rPr>
          <w:rFonts w:hint="eastAsia"/>
          <w:szCs w:val="22"/>
        </w:rPr>
        <w:t>（</w:t>
      </w:r>
      <w:r w:rsidRPr="00761EF3">
        <w:rPr>
          <w:rFonts w:hint="eastAsia"/>
          <w:szCs w:val="22"/>
        </w:rPr>
        <w:t>2</w:t>
      </w:r>
      <w:r w:rsidRPr="00412A9C">
        <w:rPr>
          <w:rFonts w:hint="eastAsia"/>
          <w:szCs w:val="22"/>
        </w:rPr>
        <w:t>）</w:t>
      </w:r>
      <w:r w:rsidRPr="00412A9C">
        <w:rPr>
          <w:szCs w:val="22"/>
        </w:rPr>
        <w:t>《大智度論》卷</w:t>
      </w:r>
      <w:r w:rsidRPr="00761EF3">
        <w:rPr>
          <w:szCs w:val="22"/>
        </w:rPr>
        <w:t>38</w:t>
      </w:r>
      <w:r w:rsidR="00870DA6" w:rsidRPr="00870DA6">
        <w:rPr>
          <w:rFonts w:hint="eastAsia"/>
          <w:color w:val="FF0000"/>
          <w:szCs w:val="22"/>
          <w:highlight w:val="yellow"/>
        </w:rPr>
        <w:t>釋</w:t>
      </w:r>
      <w:r w:rsidRPr="00412A9C">
        <w:rPr>
          <w:szCs w:val="22"/>
        </w:rPr>
        <w:t>〈</w:t>
      </w:r>
      <w:r w:rsidRPr="00761EF3">
        <w:rPr>
          <w:szCs w:val="22"/>
        </w:rPr>
        <w:t>4</w:t>
      </w:r>
      <w:r w:rsidRPr="00412A9C">
        <w:rPr>
          <w:szCs w:val="22"/>
        </w:rPr>
        <w:t xml:space="preserve"> </w:t>
      </w:r>
      <w:r w:rsidRPr="00412A9C">
        <w:rPr>
          <w:szCs w:val="22"/>
        </w:rPr>
        <w:t>往生品〉（大正</w:t>
      </w:r>
      <w:r w:rsidRPr="00761EF3">
        <w:rPr>
          <w:szCs w:val="22"/>
        </w:rPr>
        <w:t>25</w:t>
      </w:r>
      <w:r w:rsidRPr="00412A9C">
        <w:rPr>
          <w:szCs w:val="22"/>
        </w:rPr>
        <w:t>，</w:t>
      </w:r>
      <w:r w:rsidRPr="00761EF3">
        <w:rPr>
          <w:szCs w:val="22"/>
        </w:rPr>
        <w:t>342b28</w:t>
      </w:r>
      <w:r w:rsidRPr="00412A9C">
        <w:rPr>
          <w:rFonts w:hint="eastAsia"/>
          <w:szCs w:val="22"/>
        </w:rPr>
        <w:t>-</w:t>
      </w:r>
      <w:r w:rsidRPr="00761EF3">
        <w:rPr>
          <w:rFonts w:hint="eastAsia"/>
          <w:szCs w:val="22"/>
        </w:rPr>
        <w:t>343a4</w:t>
      </w:r>
      <w:r w:rsidRPr="00412A9C">
        <w:rPr>
          <w:szCs w:val="22"/>
        </w:rPr>
        <w:t>）</w:t>
      </w:r>
      <w:r w:rsidRPr="00412A9C">
        <w:rPr>
          <w:rFonts w:hint="eastAsia"/>
          <w:szCs w:val="22"/>
        </w:rPr>
        <w:t>：</w:t>
      </w:r>
    </w:p>
    <w:p w:rsidR="00E87426" w:rsidRDefault="00157EF6" w:rsidP="00AA120F">
      <w:pPr>
        <w:pStyle w:val="a5"/>
        <w:overflowPunct w:val="0"/>
        <w:autoSpaceDE w:val="0"/>
        <w:autoSpaceDN w:val="0"/>
        <w:ind w:leftChars="335" w:left="804"/>
        <w:jc w:val="both"/>
        <w:rPr>
          <w:rFonts w:ascii="標楷體" w:eastAsia="標楷體" w:hAnsi="標楷體"/>
          <w:szCs w:val="22"/>
        </w:rPr>
      </w:pPr>
      <w:r w:rsidRPr="00412A9C">
        <w:rPr>
          <w:rFonts w:eastAsia="標楷體"/>
          <w:szCs w:val="22"/>
        </w:rPr>
        <w:t>有三種</w:t>
      </w:r>
      <w:r w:rsidRPr="00412A9C">
        <w:rPr>
          <w:rFonts w:ascii="標楷體" w:eastAsia="標楷體" w:hAnsi="標楷體"/>
          <w:szCs w:val="22"/>
        </w:rPr>
        <w:t>菩薩：</w:t>
      </w:r>
    </w:p>
    <w:p w:rsidR="00157EF6" w:rsidRPr="00412A9C" w:rsidRDefault="00157EF6" w:rsidP="00AA120F">
      <w:pPr>
        <w:pStyle w:val="a5"/>
        <w:overflowPunct w:val="0"/>
        <w:autoSpaceDE w:val="0"/>
        <w:autoSpaceDN w:val="0"/>
        <w:ind w:leftChars="335" w:left="804"/>
        <w:jc w:val="both"/>
        <w:rPr>
          <w:rFonts w:ascii="標楷體" w:eastAsia="標楷體" w:hAnsi="標楷體"/>
          <w:szCs w:val="22"/>
        </w:rPr>
      </w:pPr>
      <w:r w:rsidRPr="00E87426">
        <w:rPr>
          <w:rFonts w:ascii="標楷體" w:eastAsia="標楷體" w:hAnsi="標楷體"/>
          <w:szCs w:val="22"/>
          <w:highlight w:val="yellow"/>
        </w:rPr>
        <w:t>利</w:t>
      </w:r>
      <w:r w:rsidRPr="00412A9C">
        <w:rPr>
          <w:rFonts w:ascii="標楷體" w:eastAsia="標楷體" w:hAnsi="標楷體"/>
          <w:szCs w:val="22"/>
        </w:rPr>
        <w:t>根</w:t>
      </w:r>
      <w:r w:rsidR="004F2D04">
        <w:rPr>
          <w:rFonts w:ascii="標楷體" w:eastAsia="標楷體" w:hAnsi="標楷體" w:hint="eastAsia"/>
          <w:color w:val="FF0000"/>
          <w:spacing w:val="-4"/>
          <w:kern w:val="0"/>
          <w:highlight w:val="yellow"/>
        </w:rPr>
        <w:t>、</w:t>
      </w:r>
      <w:r w:rsidRPr="00412A9C">
        <w:rPr>
          <w:rFonts w:ascii="標楷體" w:eastAsia="標楷體" w:hAnsi="標楷體"/>
          <w:szCs w:val="22"/>
        </w:rPr>
        <w:t>心堅，未發心前，久來集諸無量福德</w:t>
      </w:r>
      <w:r w:rsidR="00AF450B">
        <w:rPr>
          <w:rFonts w:ascii="標楷體" w:eastAsia="標楷體" w:hAnsi="標楷體" w:hint="eastAsia"/>
          <w:color w:val="FF0000"/>
          <w:kern w:val="0"/>
          <w:highlight w:val="yellow"/>
        </w:rPr>
        <w:t>.</w:t>
      </w:r>
      <w:r w:rsidRPr="00412A9C">
        <w:rPr>
          <w:rFonts w:ascii="標楷體" w:eastAsia="標楷體" w:hAnsi="標楷體"/>
          <w:szCs w:val="22"/>
        </w:rPr>
        <w:t>智慧；是人遇佛，聞是大乘法，發阿耨多羅三藐三菩提心，即時行六波羅蜜，入菩薩位，得阿鞞跋致地。所以者何？先集無量福德</w:t>
      </w:r>
      <w:r w:rsidR="00AF450B">
        <w:rPr>
          <w:rFonts w:ascii="標楷體" w:eastAsia="標楷體" w:hAnsi="標楷體" w:hint="eastAsia"/>
          <w:color w:val="FF0000"/>
          <w:spacing w:val="-4"/>
          <w:kern w:val="0"/>
          <w:highlight w:val="yellow"/>
        </w:rPr>
        <w:t>、</w:t>
      </w:r>
      <w:r w:rsidRPr="00412A9C">
        <w:rPr>
          <w:rFonts w:ascii="標楷體" w:eastAsia="標楷體" w:hAnsi="標楷體"/>
          <w:szCs w:val="22"/>
        </w:rPr>
        <w:t>利根</w:t>
      </w:r>
      <w:r w:rsidR="00AF450B">
        <w:rPr>
          <w:rFonts w:ascii="標楷體" w:eastAsia="標楷體" w:hAnsi="標楷體" w:hint="eastAsia"/>
          <w:color w:val="FF0000"/>
          <w:spacing w:val="-4"/>
          <w:kern w:val="0"/>
          <w:highlight w:val="yellow"/>
        </w:rPr>
        <w:t>、</w:t>
      </w:r>
      <w:r w:rsidRPr="00412A9C">
        <w:rPr>
          <w:rFonts w:ascii="標楷體" w:eastAsia="標楷體" w:hAnsi="標楷體"/>
          <w:szCs w:val="22"/>
        </w:rPr>
        <w:t>心堅</w:t>
      </w:r>
      <w:r w:rsidR="00AF450B">
        <w:rPr>
          <w:rFonts w:ascii="標楷體" w:eastAsia="標楷體" w:hAnsi="標楷體" w:hint="eastAsia"/>
          <w:color w:val="FF0000"/>
          <w:spacing w:val="-4"/>
          <w:kern w:val="0"/>
          <w:highlight w:val="yellow"/>
        </w:rPr>
        <w:t>、</w:t>
      </w:r>
      <w:r w:rsidRPr="00412A9C">
        <w:rPr>
          <w:rFonts w:ascii="標楷體" w:eastAsia="標楷體" w:hAnsi="標楷體"/>
          <w:szCs w:val="22"/>
        </w:rPr>
        <w:t>從佛聞法故。</w:t>
      </w:r>
    </w:p>
    <w:p w:rsidR="00157EF6" w:rsidRPr="00412A9C" w:rsidRDefault="00157EF6" w:rsidP="00AA120F">
      <w:pPr>
        <w:pStyle w:val="a5"/>
        <w:overflowPunct w:val="0"/>
        <w:autoSpaceDE w:val="0"/>
        <w:autoSpaceDN w:val="0"/>
        <w:ind w:leftChars="335" w:left="804"/>
        <w:jc w:val="both"/>
        <w:rPr>
          <w:rFonts w:ascii="標楷體" w:eastAsia="標楷體" w:hAnsi="標楷體"/>
          <w:szCs w:val="22"/>
        </w:rPr>
      </w:pPr>
      <w:r w:rsidRPr="00412A9C">
        <w:rPr>
          <w:rFonts w:ascii="標楷體" w:eastAsia="標楷體" w:hAnsi="標楷體" w:hint="eastAsia"/>
          <w:b/>
          <w:szCs w:val="22"/>
        </w:rPr>
        <w:t>譬如遠行，或有乘羊而去，或有乘馬而去，或有神通去者。乘羊者</w:t>
      </w:r>
      <w:r w:rsidR="00AF450B">
        <w:rPr>
          <w:rFonts w:ascii="標楷體" w:eastAsia="標楷體" w:hAnsi="標楷體" w:hint="eastAsia"/>
          <w:color w:val="FF0000"/>
          <w:kern w:val="0"/>
          <w:highlight w:val="yellow"/>
        </w:rPr>
        <w:t>，</w:t>
      </w:r>
      <w:r w:rsidRPr="00412A9C">
        <w:rPr>
          <w:rFonts w:ascii="標楷體" w:eastAsia="標楷體" w:hAnsi="標楷體" w:hint="eastAsia"/>
          <w:b/>
          <w:szCs w:val="22"/>
        </w:rPr>
        <w:t>久久乃到；乘馬者</w:t>
      </w:r>
      <w:r w:rsidR="00AF450B">
        <w:rPr>
          <w:rFonts w:ascii="標楷體" w:eastAsia="標楷體" w:hAnsi="標楷體" w:hint="eastAsia"/>
          <w:color w:val="FF0000"/>
          <w:kern w:val="0"/>
          <w:highlight w:val="yellow"/>
        </w:rPr>
        <w:t>，</w:t>
      </w:r>
      <w:r w:rsidRPr="00412A9C">
        <w:rPr>
          <w:rFonts w:ascii="標楷體" w:eastAsia="標楷體" w:hAnsi="標楷體"/>
          <w:b/>
          <w:szCs w:val="22"/>
        </w:rPr>
        <w:t>差速；乘神通者</w:t>
      </w:r>
      <w:r w:rsidR="00AF450B">
        <w:rPr>
          <w:rFonts w:ascii="標楷體" w:eastAsia="標楷體" w:hAnsi="標楷體" w:hint="eastAsia"/>
          <w:color w:val="FF0000"/>
          <w:kern w:val="0"/>
          <w:highlight w:val="yellow"/>
        </w:rPr>
        <w:t>，</w:t>
      </w:r>
      <w:r w:rsidRPr="00412A9C">
        <w:rPr>
          <w:rFonts w:ascii="標楷體" w:eastAsia="標楷體" w:hAnsi="標楷體"/>
          <w:b/>
          <w:szCs w:val="22"/>
        </w:rPr>
        <w:t>發意頃便到</w:t>
      </w:r>
      <w:r w:rsidR="00AF450B">
        <w:rPr>
          <w:rFonts w:ascii="標楷體" w:eastAsia="標楷體" w:hAnsi="標楷體" w:hint="eastAsia"/>
          <w:color w:val="FF0000"/>
          <w:kern w:val="0"/>
          <w:highlight w:val="yellow"/>
        </w:rPr>
        <w:t>。</w:t>
      </w:r>
      <w:r w:rsidRPr="00412A9C">
        <w:rPr>
          <w:rFonts w:ascii="標楷體" w:eastAsia="標楷體" w:hAnsi="標楷體"/>
          <w:szCs w:val="22"/>
        </w:rPr>
        <w:t>如是不得言</w:t>
      </w:r>
      <w:r w:rsidRPr="00412A9C">
        <w:rPr>
          <w:rFonts w:ascii="標楷體" w:eastAsia="標楷體" w:hAnsi="標楷體" w:hint="eastAsia"/>
          <w:szCs w:val="22"/>
        </w:rPr>
        <w:t>：</w:t>
      </w:r>
      <w:r w:rsidRPr="00412A9C">
        <w:rPr>
          <w:rFonts w:ascii="標楷體" w:eastAsia="標楷體" w:hAnsi="標楷體"/>
          <w:szCs w:val="22"/>
        </w:rPr>
        <w:t>「發意間</w:t>
      </w:r>
      <w:r w:rsidR="004F2D04" w:rsidRPr="004F2D04">
        <w:rPr>
          <w:rFonts w:ascii="標楷體" w:eastAsia="標楷體" w:hAnsi="標楷體" w:hint="eastAsia"/>
          <w:color w:val="FF0000"/>
          <w:szCs w:val="22"/>
          <w:highlight w:val="yellow"/>
        </w:rPr>
        <w:t>，</w:t>
      </w:r>
      <w:r w:rsidRPr="00412A9C">
        <w:rPr>
          <w:rFonts w:ascii="標楷體" w:eastAsia="標楷體" w:hAnsi="標楷體"/>
          <w:szCs w:val="22"/>
        </w:rPr>
        <w:t>云何得到？」神通相爾，不應生疑！菩薩亦如是，發阿耨多羅三藐三菩提時，即入菩薩位。</w:t>
      </w:r>
    </w:p>
    <w:p w:rsidR="00157EF6" w:rsidRPr="00412A9C" w:rsidRDefault="00157EF6" w:rsidP="00AA120F">
      <w:pPr>
        <w:pStyle w:val="a5"/>
        <w:overflowPunct w:val="0"/>
        <w:autoSpaceDE w:val="0"/>
        <w:autoSpaceDN w:val="0"/>
        <w:ind w:leftChars="335" w:left="804"/>
        <w:jc w:val="both"/>
        <w:rPr>
          <w:rFonts w:ascii="標楷體" w:eastAsia="標楷體" w:hAnsi="標楷體"/>
          <w:szCs w:val="22"/>
        </w:rPr>
      </w:pPr>
      <w:r w:rsidRPr="00412A9C">
        <w:rPr>
          <w:rFonts w:ascii="標楷體" w:eastAsia="標楷體" w:hAnsi="標楷體" w:hint="eastAsia"/>
          <w:szCs w:val="22"/>
        </w:rPr>
        <w:t>有菩薩初發意，初雖心好，後雜諸惡，時時生念：「我求佛道，以諸功德迴向阿耨多羅三藐三菩提。」是人久久無量阿僧祇劫，或至</w:t>
      </w:r>
      <w:r w:rsidR="00AF450B">
        <w:rPr>
          <w:rFonts w:ascii="標楷體" w:eastAsia="標楷體" w:hAnsi="標楷體" w:hint="eastAsia"/>
          <w:color w:val="FF0000"/>
          <w:spacing w:val="-4"/>
          <w:kern w:val="0"/>
          <w:highlight w:val="yellow"/>
        </w:rPr>
        <w:t>、</w:t>
      </w:r>
      <w:r w:rsidRPr="00412A9C">
        <w:rPr>
          <w:rFonts w:ascii="標楷體" w:eastAsia="標楷體" w:hAnsi="標楷體" w:hint="eastAsia"/>
          <w:szCs w:val="22"/>
        </w:rPr>
        <w:t>或不至。</w:t>
      </w:r>
      <w:r w:rsidRPr="00412A9C">
        <w:rPr>
          <w:rFonts w:ascii="標楷體" w:eastAsia="標楷體" w:hAnsi="標楷體" w:hint="eastAsia"/>
          <w:b/>
          <w:szCs w:val="22"/>
        </w:rPr>
        <w:t>先世福德因緣薄，而復鈍根，心不堅固，如乘羊者</w:t>
      </w:r>
      <w:r w:rsidRPr="00412A9C">
        <w:rPr>
          <w:rFonts w:ascii="標楷體" w:eastAsia="標楷體" w:hAnsi="標楷體" w:hint="eastAsia"/>
          <w:szCs w:val="22"/>
        </w:rPr>
        <w:t>。</w:t>
      </w:r>
    </w:p>
    <w:p w:rsidR="00157EF6" w:rsidRPr="00412A9C" w:rsidRDefault="00157EF6" w:rsidP="00AA120F">
      <w:pPr>
        <w:pStyle w:val="a5"/>
        <w:overflowPunct w:val="0"/>
        <w:autoSpaceDE w:val="0"/>
        <w:autoSpaceDN w:val="0"/>
        <w:spacing w:line="300" w:lineRule="exact"/>
        <w:ind w:leftChars="335" w:left="804"/>
        <w:jc w:val="both"/>
        <w:rPr>
          <w:rFonts w:ascii="標楷體" w:eastAsia="標楷體" w:hAnsi="標楷體"/>
          <w:szCs w:val="22"/>
        </w:rPr>
      </w:pPr>
      <w:r w:rsidRPr="00412A9C">
        <w:rPr>
          <w:rFonts w:ascii="標楷體" w:eastAsia="標楷體" w:hAnsi="標楷體" w:hint="eastAsia"/>
          <w:szCs w:val="22"/>
        </w:rPr>
        <w:t>有人前</w:t>
      </w:r>
      <w:r w:rsidRPr="00AF450B">
        <w:rPr>
          <w:rFonts w:ascii="標楷體" w:eastAsia="標楷體" w:hAnsi="標楷體" w:hint="eastAsia"/>
          <w:szCs w:val="22"/>
          <w:highlight w:val="yellow"/>
        </w:rPr>
        <w:t>世少</w:t>
      </w:r>
      <w:r w:rsidRPr="00412A9C">
        <w:rPr>
          <w:rFonts w:ascii="標楷體" w:eastAsia="標楷體" w:hAnsi="標楷體" w:hint="eastAsia"/>
          <w:szCs w:val="22"/>
        </w:rPr>
        <w:t>有福德</w:t>
      </w:r>
      <w:r w:rsidR="004F2D04" w:rsidRPr="004F2D04">
        <w:rPr>
          <w:rFonts w:ascii="標楷體" w:eastAsia="標楷體" w:hAnsi="標楷體" w:hint="eastAsia"/>
          <w:color w:val="FF0000"/>
          <w:szCs w:val="22"/>
          <w:highlight w:val="yellow"/>
        </w:rPr>
        <w:t>、</w:t>
      </w:r>
      <w:r w:rsidRPr="00412A9C">
        <w:rPr>
          <w:rFonts w:ascii="標楷體" w:eastAsia="標楷體" w:hAnsi="標楷體" w:hint="eastAsia"/>
          <w:szCs w:val="22"/>
        </w:rPr>
        <w:t>利根，發心漸漸行六波羅蜜，若三、若十、若百阿僧祇劫，得阿耨多羅三藐三菩提；如乘馬者，必有所到。</w:t>
      </w:r>
    </w:p>
    <w:p w:rsidR="00157EF6" w:rsidRPr="00D77C15" w:rsidRDefault="00157EF6" w:rsidP="00AA120F">
      <w:pPr>
        <w:pStyle w:val="a5"/>
        <w:overflowPunct w:val="0"/>
        <w:autoSpaceDE w:val="0"/>
        <w:autoSpaceDN w:val="0"/>
        <w:spacing w:line="300" w:lineRule="exact"/>
        <w:ind w:leftChars="335" w:left="804"/>
        <w:jc w:val="both"/>
        <w:rPr>
          <w:rFonts w:ascii="標楷體" w:eastAsia="標楷體" w:hAnsi="標楷體"/>
          <w:szCs w:val="22"/>
        </w:rPr>
      </w:pPr>
      <w:r w:rsidRPr="00D77C15">
        <w:rPr>
          <w:rFonts w:ascii="標楷體" w:eastAsia="標楷體" w:hAnsi="標楷體" w:hint="eastAsia"/>
          <w:szCs w:val="22"/>
        </w:rPr>
        <w:t>第三</w:t>
      </w:r>
      <w:r w:rsidR="00AF450B">
        <w:rPr>
          <w:rFonts w:ascii="標楷體" w:eastAsia="標楷體" w:hAnsi="標楷體" w:hint="eastAsia"/>
          <w:color w:val="FF0000"/>
          <w:spacing w:val="-4"/>
          <w:kern w:val="0"/>
          <w:highlight w:val="yellow"/>
        </w:rPr>
        <w:t>、</w:t>
      </w:r>
      <w:r w:rsidRPr="00D77C15">
        <w:rPr>
          <w:rFonts w:ascii="標楷體" w:eastAsia="標楷體" w:hAnsi="標楷體" w:hint="eastAsia"/>
          <w:szCs w:val="22"/>
        </w:rPr>
        <w:t>乘神通者，如上說。</w:t>
      </w:r>
    </w:p>
    <w:p w:rsidR="00157EF6" w:rsidRPr="00D77C15" w:rsidRDefault="00157EF6" w:rsidP="00AE3920">
      <w:pPr>
        <w:pStyle w:val="a5"/>
        <w:overflowPunct w:val="0"/>
        <w:autoSpaceDE w:val="0"/>
        <w:autoSpaceDN w:val="0"/>
        <w:spacing w:beforeLines="20" w:line="300" w:lineRule="exact"/>
        <w:ind w:leftChars="335" w:left="804"/>
        <w:jc w:val="both"/>
        <w:rPr>
          <w:rFonts w:ascii="標楷體" w:eastAsia="標楷體" w:hAnsi="標楷體"/>
          <w:szCs w:val="22"/>
        </w:rPr>
      </w:pPr>
      <w:r w:rsidRPr="00D77C15">
        <w:rPr>
          <w:rFonts w:ascii="標楷體" w:eastAsia="標楷體" w:hAnsi="標楷體" w:hint="eastAsia"/>
          <w:szCs w:val="22"/>
        </w:rPr>
        <w:t>是三種發心：一者、罪多福少，二者、福多罪少，三者、但行清淨福德。</w:t>
      </w:r>
    </w:p>
    <w:p w:rsidR="00157EF6" w:rsidRPr="00D77C15" w:rsidRDefault="00157EF6" w:rsidP="00AA120F">
      <w:pPr>
        <w:pStyle w:val="a5"/>
        <w:overflowPunct w:val="0"/>
        <w:autoSpaceDE w:val="0"/>
        <w:autoSpaceDN w:val="0"/>
        <w:spacing w:line="300" w:lineRule="exact"/>
        <w:ind w:leftChars="335" w:left="804"/>
        <w:jc w:val="both"/>
        <w:rPr>
          <w:rFonts w:ascii="標楷體" w:eastAsia="標楷體" w:hAnsi="標楷體"/>
          <w:szCs w:val="22"/>
        </w:rPr>
      </w:pPr>
      <w:r w:rsidRPr="00D77C15">
        <w:rPr>
          <w:rFonts w:ascii="標楷體" w:eastAsia="標楷體" w:hAnsi="標楷體" w:hint="eastAsia"/>
          <w:szCs w:val="22"/>
        </w:rPr>
        <w:t>清淨有二種：一者、初發心時，即得菩薩道；二者、小住，供養十方諸佛，通達菩薩</w:t>
      </w:r>
      <w:r w:rsidRPr="00AF450B">
        <w:rPr>
          <w:rFonts w:ascii="標楷體" w:eastAsia="標楷體" w:hAnsi="標楷體" w:hint="eastAsia"/>
          <w:szCs w:val="22"/>
          <w:highlight w:val="yellow"/>
        </w:rPr>
        <w:t>道故</w:t>
      </w:r>
      <w:r w:rsidR="00AF450B" w:rsidRPr="00AF450B">
        <w:rPr>
          <w:rFonts w:ascii="標楷體" w:eastAsia="標楷體" w:hAnsi="標楷體" w:hint="eastAsia"/>
          <w:color w:val="FF0000"/>
          <w:szCs w:val="22"/>
          <w:highlight w:val="yellow"/>
        </w:rPr>
        <w:t>，</w:t>
      </w:r>
      <w:r w:rsidRPr="00D77C15">
        <w:rPr>
          <w:rFonts w:ascii="標楷體" w:eastAsia="標楷體" w:hAnsi="標楷體" w:hint="eastAsia"/>
          <w:szCs w:val="22"/>
        </w:rPr>
        <w:t>入菩薩位，即是阿鞞跋致地。「阿鞞跋致地菩薩」義，如先說。</w:t>
      </w:r>
    </w:p>
    <w:p w:rsidR="00157EF6" w:rsidRPr="00D77C15" w:rsidRDefault="00157EF6" w:rsidP="00AE3920">
      <w:pPr>
        <w:pStyle w:val="a5"/>
        <w:overflowPunct w:val="0"/>
        <w:autoSpaceDE w:val="0"/>
        <w:autoSpaceDN w:val="0"/>
        <w:spacing w:beforeLines="20" w:line="300" w:lineRule="exact"/>
        <w:ind w:leftChars="335" w:left="804"/>
        <w:jc w:val="both"/>
        <w:rPr>
          <w:rFonts w:ascii="標楷體" w:eastAsia="標楷體" w:hAnsi="標楷體"/>
          <w:szCs w:val="22"/>
        </w:rPr>
      </w:pPr>
      <w:r w:rsidRPr="00D77C15">
        <w:rPr>
          <w:rFonts w:ascii="標楷體" w:eastAsia="標楷體" w:hAnsi="標楷體" w:hint="eastAsia"/>
          <w:b/>
          <w:szCs w:val="22"/>
        </w:rPr>
        <w:t>次後</w:t>
      </w:r>
      <w:r w:rsidRPr="00D77C15">
        <w:rPr>
          <w:rFonts w:ascii="標楷體" w:eastAsia="標楷體" w:hAnsi="標楷體" w:hint="eastAsia"/>
          <w:szCs w:val="22"/>
        </w:rPr>
        <w:t>菩薩，大厭世間，世世已來，常好真實，惡於欺誑。</w:t>
      </w:r>
      <w:r w:rsidRPr="00D77C15">
        <w:rPr>
          <w:rFonts w:ascii="標楷體" w:eastAsia="標楷體" w:hAnsi="標楷體" w:hint="eastAsia"/>
          <w:b/>
          <w:szCs w:val="22"/>
        </w:rPr>
        <w:t>是菩薩亦利根、堅心</w:t>
      </w:r>
      <w:r w:rsidR="00AF450B">
        <w:rPr>
          <w:rFonts w:ascii="標楷體" w:eastAsia="標楷體" w:hAnsi="標楷體" w:hint="eastAsia"/>
          <w:color w:val="FF0000"/>
          <w:spacing w:val="-4"/>
          <w:kern w:val="0"/>
          <w:highlight w:val="yellow"/>
        </w:rPr>
        <w:t>、</w:t>
      </w:r>
      <w:r w:rsidRPr="00D77C15">
        <w:rPr>
          <w:rFonts w:ascii="標楷體" w:eastAsia="標楷體" w:hAnsi="標楷體" w:hint="eastAsia"/>
          <w:b/>
          <w:szCs w:val="22"/>
        </w:rPr>
        <w:t>久集無量福</w:t>
      </w:r>
      <w:r w:rsidRPr="00AF450B">
        <w:rPr>
          <w:rFonts w:ascii="標楷體" w:eastAsia="標楷體" w:hAnsi="標楷體" w:hint="eastAsia"/>
          <w:b/>
          <w:szCs w:val="22"/>
          <w:highlight w:val="yellow"/>
        </w:rPr>
        <w:t>德智</w:t>
      </w:r>
      <w:r w:rsidRPr="00D77C15">
        <w:rPr>
          <w:rFonts w:ascii="標楷體" w:eastAsia="標楷體" w:hAnsi="標楷體" w:hint="eastAsia"/>
          <w:b/>
          <w:szCs w:val="22"/>
        </w:rPr>
        <w:t>慧。初發心時，便得阿耨多羅三藐三菩提，即轉法輪，度無量眾生，入無餘涅槃</w:t>
      </w:r>
      <w:r w:rsidRPr="00D77C15">
        <w:rPr>
          <w:rFonts w:ascii="標楷體" w:eastAsia="標楷體" w:hAnsi="標楷體" w:hint="eastAsia"/>
          <w:szCs w:val="22"/>
        </w:rPr>
        <w:t>；法住若一劫</w:t>
      </w:r>
      <w:r w:rsidR="00AF450B">
        <w:rPr>
          <w:rFonts w:ascii="標楷體" w:eastAsia="標楷體" w:hAnsi="標楷體" w:hint="eastAsia"/>
          <w:color w:val="FF0000"/>
          <w:spacing w:val="-4"/>
          <w:kern w:val="0"/>
          <w:highlight w:val="yellow"/>
        </w:rPr>
        <w:t>、</w:t>
      </w:r>
      <w:r w:rsidRPr="00D77C15">
        <w:rPr>
          <w:rFonts w:ascii="標楷體" w:eastAsia="標楷體" w:hAnsi="標楷體" w:hint="eastAsia"/>
          <w:szCs w:val="22"/>
        </w:rPr>
        <w:t>若減一劫，留化佛度眾生。佛有二種神通力：一者、現在時，二者、滅後。「劫」義，如上說。劫中所度眾生，亦復不少！</w:t>
      </w:r>
    </w:p>
    <w:p w:rsidR="00157EF6" w:rsidRPr="00412A9C" w:rsidRDefault="00157EF6" w:rsidP="00AE3920">
      <w:pPr>
        <w:pStyle w:val="a5"/>
        <w:overflowPunct w:val="0"/>
        <w:autoSpaceDE w:val="0"/>
        <w:autoSpaceDN w:val="0"/>
        <w:spacing w:beforeLines="20" w:line="300" w:lineRule="exact"/>
        <w:ind w:leftChars="335" w:left="804"/>
        <w:jc w:val="both"/>
        <w:rPr>
          <w:rFonts w:ascii="標楷體" w:eastAsia="標楷體" w:hAnsi="標楷體"/>
          <w:szCs w:val="22"/>
        </w:rPr>
      </w:pPr>
      <w:r w:rsidRPr="00D77C15">
        <w:rPr>
          <w:rFonts w:ascii="標楷體" w:eastAsia="標楷體" w:hAnsi="標楷體" w:hint="eastAsia"/>
          <w:b/>
          <w:szCs w:val="22"/>
        </w:rPr>
        <w:t>次後菩薩，亦利根、心堅</w:t>
      </w:r>
      <w:r w:rsidR="00AF450B">
        <w:rPr>
          <w:rFonts w:ascii="標楷體" w:eastAsia="標楷體" w:hAnsi="標楷體" w:hint="eastAsia"/>
          <w:color w:val="FF0000"/>
          <w:spacing w:val="-4"/>
          <w:kern w:val="0"/>
          <w:highlight w:val="yellow"/>
        </w:rPr>
        <w:t>、</w:t>
      </w:r>
      <w:r w:rsidRPr="00D77C15">
        <w:rPr>
          <w:rFonts w:ascii="標楷體" w:eastAsia="標楷體" w:hAnsi="標楷體" w:hint="eastAsia"/>
          <w:b/>
          <w:szCs w:val="22"/>
        </w:rPr>
        <w:t>久集福德。發心即與般若波羅蜜相應，得六神通；與無量眾生</w:t>
      </w:r>
      <w:r w:rsidRPr="00412A9C">
        <w:rPr>
          <w:rFonts w:ascii="標楷體" w:eastAsia="標楷體" w:hAnsi="標楷體" w:hint="eastAsia"/>
          <w:b/>
          <w:szCs w:val="22"/>
        </w:rPr>
        <w:t>，共觀十方清淨世界，而自莊嚴其國。</w:t>
      </w:r>
      <w:r w:rsidRPr="00412A9C">
        <w:rPr>
          <w:rFonts w:ascii="標楷體" w:eastAsia="標楷體" w:hAnsi="標楷體" w:hint="eastAsia"/>
          <w:szCs w:val="22"/>
        </w:rPr>
        <w:t>如阿彌陀佛先世時作法藏比丘，佛將導遍至十方，示清淨國，令選擇淨妙之國，以自莊嚴其國。</w:t>
      </w:r>
    </w:p>
  </w:footnote>
  <w:footnote w:id="1029">
    <w:p w:rsidR="00E87426" w:rsidRPr="00412A9C" w:rsidRDefault="00E87426" w:rsidP="00245634">
      <w:pPr>
        <w:pStyle w:val="a5"/>
        <w:spacing w:line="300" w:lineRule="exact"/>
        <w:ind w:left="1254" w:hangingChars="570" w:hanging="1254"/>
        <w:jc w:val="both"/>
        <w:rPr>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）詳見</w:t>
      </w:r>
      <w:r w:rsidRPr="00E87426">
        <w:rPr>
          <w:rFonts w:hint="eastAsia"/>
          <w:color w:val="FF0000"/>
          <w:szCs w:val="22"/>
          <w:highlight w:val="yellow"/>
        </w:rPr>
        <w:t>：［元魏］瞿曇般若譯</w:t>
      </w:r>
      <w:r>
        <w:rPr>
          <w:rFonts w:hint="eastAsia"/>
          <w:color w:val="FF0000"/>
          <w:szCs w:val="22"/>
          <w:highlight w:val="yellow"/>
        </w:rPr>
        <w:t>，</w:t>
      </w:r>
      <w:r w:rsidRPr="00412A9C">
        <w:rPr>
          <w:szCs w:val="22"/>
        </w:rPr>
        <w:t>《不必定入定入印經》（大正</w:t>
      </w:r>
      <w:r w:rsidRPr="00761EF3">
        <w:rPr>
          <w:szCs w:val="22"/>
        </w:rPr>
        <w:t>15</w:t>
      </w:r>
      <w:r w:rsidRPr="00412A9C">
        <w:rPr>
          <w:szCs w:val="22"/>
        </w:rPr>
        <w:t>，</w:t>
      </w:r>
      <w:r w:rsidRPr="00761EF3">
        <w:rPr>
          <w:szCs w:val="22"/>
        </w:rPr>
        <w:t>699c9</w:t>
      </w:r>
      <w:r w:rsidRPr="00412A9C">
        <w:rPr>
          <w:szCs w:val="22"/>
        </w:rPr>
        <w:t>-</w:t>
      </w:r>
      <w:r w:rsidRPr="00761EF3">
        <w:rPr>
          <w:szCs w:val="22"/>
        </w:rPr>
        <w:t>703a2</w:t>
      </w:r>
      <w:r w:rsidRPr="00412A9C">
        <w:rPr>
          <w:szCs w:val="22"/>
        </w:rPr>
        <w:t>）</w:t>
      </w:r>
      <w:r>
        <w:rPr>
          <w:rFonts w:hint="eastAsia"/>
          <w:szCs w:val="22"/>
        </w:rPr>
        <w:t>；</w:t>
      </w:r>
      <w:r w:rsidRPr="00E87426">
        <w:rPr>
          <w:rFonts w:hint="eastAsia"/>
          <w:color w:val="FF0000"/>
          <w:szCs w:val="22"/>
          <w:highlight w:val="yellow"/>
        </w:rPr>
        <w:t>［</w:t>
      </w:r>
      <w:r>
        <w:rPr>
          <w:rFonts w:hint="eastAsia"/>
          <w:color w:val="FF0000"/>
          <w:szCs w:val="22"/>
          <w:highlight w:val="yellow"/>
        </w:rPr>
        <w:t>唐</w:t>
      </w:r>
      <w:r w:rsidRPr="00E87426">
        <w:rPr>
          <w:rFonts w:hint="eastAsia"/>
          <w:color w:val="FF0000"/>
          <w:szCs w:val="22"/>
          <w:highlight w:val="yellow"/>
        </w:rPr>
        <w:t>］</w:t>
      </w:r>
      <w:r>
        <w:rPr>
          <w:rFonts w:hint="eastAsia"/>
          <w:color w:val="FF0000"/>
          <w:szCs w:val="22"/>
          <w:highlight w:val="yellow"/>
        </w:rPr>
        <w:t>義淨</w:t>
      </w:r>
      <w:r w:rsidRPr="00E87426">
        <w:rPr>
          <w:rFonts w:hint="eastAsia"/>
          <w:color w:val="FF0000"/>
          <w:szCs w:val="22"/>
          <w:highlight w:val="yellow"/>
        </w:rPr>
        <w:t>譯</w:t>
      </w:r>
      <w:r>
        <w:rPr>
          <w:rFonts w:hint="eastAsia"/>
          <w:color w:val="FF0000"/>
          <w:szCs w:val="22"/>
          <w:highlight w:val="yellow"/>
        </w:rPr>
        <w:t>，</w:t>
      </w:r>
      <w:r w:rsidRPr="00412A9C">
        <w:rPr>
          <w:rFonts w:hint="eastAsia"/>
          <w:szCs w:val="22"/>
        </w:rPr>
        <w:t>《入定不定印經》（大正</w:t>
      </w:r>
      <w:r w:rsidRPr="00761EF3">
        <w:rPr>
          <w:rFonts w:hint="eastAsia"/>
          <w:szCs w:val="22"/>
        </w:rPr>
        <w:t>15</w:t>
      </w:r>
      <w:r w:rsidRPr="00412A9C">
        <w:rPr>
          <w:rFonts w:hint="eastAsia"/>
          <w:szCs w:val="22"/>
        </w:rPr>
        <w:t>，</w:t>
      </w:r>
      <w:r w:rsidRPr="00761EF3">
        <w:rPr>
          <w:rFonts w:hint="eastAsia"/>
          <w:szCs w:val="22"/>
        </w:rPr>
        <w:t>706b21</w:t>
      </w:r>
      <w:r w:rsidRPr="00412A9C">
        <w:rPr>
          <w:rFonts w:hint="eastAsia"/>
          <w:szCs w:val="22"/>
        </w:rPr>
        <w:t>-</w:t>
      </w:r>
      <w:r w:rsidRPr="00761EF3">
        <w:rPr>
          <w:rFonts w:hint="eastAsia"/>
          <w:szCs w:val="22"/>
        </w:rPr>
        <w:t>710a17</w:t>
      </w:r>
      <w:r w:rsidRPr="00412A9C">
        <w:rPr>
          <w:rFonts w:hint="eastAsia"/>
          <w:szCs w:val="22"/>
        </w:rPr>
        <w:t>）。</w:t>
      </w:r>
    </w:p>
    <w:p w:rsidR="00E87426" w:rsidRPr="00412A9C" w:rsidRDefault="00E87426" w:rsidP="00E87426">
      <w:pPr>
        <w:pStyle w:val="a5"/>
        <w:spacing w:line="300" w:lineRule="exact"/>
        <w:ind w:leftChars="105" w:left="791" w:hangingChars="245" w:hanging="539"/>
        <w:jc w:val="both"/>
        <w:rPr>
          <w:szCs w:val="22"/>
        </w:rPr>
      </w:pPr>
      <w:r w:rsidRPr="00412A9C">
        <w:rPr>
          <w:szCs w:val="22"/>
        </w:rPr>
        <w:t>（</w:t>
      </w:r>
      <w:r w:rsidRPr="00761EF3">
        <w:rPr>
          <w:szCs w:val="22"/>
        </w:rPr>
        <w:t>2</w:t>
      </w:r>
      <w:r w:rsidRPr="00412A9C">
        <w:rPr>
          <w:szCs w:val="22"/>
        </w:rPr>
        <w:t>）另見</w:t>
      </w:r>
      <w:r w:rsidRPr="00412A9C">
        <w:rPr>
          <w:rFonts w:hint="eastAsia"/>
          <w:szCs w:val="22"/>
        </w:rPr>
        <w:t>印順法師，</w:t>
      </w:r>
      <w:r w:rsidRPr="00412A9C">
        <w:rPr>
          <w:szCs w:val="22"/>
        </w:rPr>
        <w:t>《成佛之道》（增注本），</w:t>
      </w:r>
      <w:r w:rsidRPr="00761EF3">
        <w:rPr>
          <w:szCs w:val="22"/>
        </w:rPr>
        <w:t>pp</w:t>
      </w:r>
      <w:r w:rsidRPr="00412A9C">
        <w:rPr>
          <w:szCs w:val="22"/>
        </w:rPr>
        <w:t>.</w:t>
      </w:r>
      <w:r w:rsidRPr="00761EF3">
        <w:rPr>
          <w:szCs w:val="22"/>
        </w:rPr>
        <w:t>413</w:t>
      </w:r>
      <w:r w:rsidRPr="00412A9C">
        <w:rPr>
          <w:szCs w:val="22"/>
        </w:rPr>
        <w:t>-</w:t>
      </w:r>
      <w:r w:rsidRPr="00761EF3">
        <w:rPr>
          <w:szCs w:val="22"/>
        </w:rPr>
        <w:t>417</w:t>
      </w:r>
      <w:r w:rsidRPr="00412A9C">
        <w:rPr>
          <w:szCs w:val="22"/>
        </w:rPr>
        <w:t>。</w:t>
      </w:r>
    </w:p>
  </w:footnote>
  <w:footnote w:id="1030">
    <w:p w:rsidR="00157EF6" w:rsidRPr="00412A9C" w:rsidRDefault="00157EF6" w:rsidP="00AA120F">
      <w:pPr>
        <w:pStyle w:val="a5"/>
        <w:spacing w:line="300" w:lineRule="exact"/>
        <w:ind w:left="253" w:hangingChars="115" w:hanging="253"/>
        <w:jc w:val="both"/>
        <w:rPr>
          <w:rFonts w:eastAsia="SimSun"/>
          <w:szCs w:val="22"/>
        </w:rPr>
      </w:pPr>
      <w:r w:rsidRPr="00412A9C">
        <w:rPr>
          <w:rStyle w:val="a6"/>
          <w:szCs w:val="22"/>
        </w:rPr>
        <w:footnoteRef/>
      </w:r>
      <w:r>
        <w:rPr>
          <w:rFonts w:hint="eastAsia"/>
          <w:szCs w:val="22"/>
        </w:rPr>
        <w:t xml:space="preserve"> </w:t>
      </w:r>
      <w:r w:rsidRPr="00412A9C">
        <w:rPr>
          <w:szCs w:val="22"/>
        </w:rPr>
        <w:t>《十住毘婆沙論》卷</w:t>
      </w:r>
      <w:r w:rsidRPr="00761EF3">
        <w:rPr>
          <w:szCs w:val="22"/>
        </w:rPr>
        <w:t>1</w:t>
      </w:r>
      <w:r w:rsidRPr="00412A9C">
        <w:rPr>
          <w:szCs w:val="22"/>
        </w:rPr>
        <w:t>（大正</w:t>
      </w:r>
      <w:r w:rsidRPr="00761EF3">
        <w:rPr>
          <w:szCs w:val="22"/>
        </w:rPr>
        <w:t>26</w:t>
      </w:r>
      <w:r w:rsidRPr="00412A9C">
        <w:rPr>
          <w:szCs w:val="22"/>
        </w:rPr>
        <w:t>，</w:t>
      </w:r>
      <w:r w:rsidRPr="00761EF3">
        <w:rPr>
          <w:szCs w:val="22"/>
        </w:rPr>
        <w:t>24c6</w:t>
      </w:r>
      <w:r w:rsidRPr="00412A9C">
        <w:rPr>
          <w:szCs w:val="22"/>
        </w:rPr>
        <w:t>-</w:t>
      </w:r>
      <w:r w:rsidRPr="00761EF3">
        <w:rPr>
          <w:szCs w:val="22"/>
        </w:rPr>
        <w:t>11</w:t>
      </w:r>
      <w:r w:rsidRPr="00412A9C">
        <w:rPr>
          <w:szCs w:val="22"/>
        </w:rPr>
        <w:t>）：</w:t>
      </w:r>
    </w:p>
    <w:p w:rsidR="00157EF6" w:rsidRPr="00412A9C" w:rsidRDefault="00157EF6" w:rsidP="00AA120F">
      <w:pPr>
        <w:pStyle w:val="a5"/>
        <w:overflowPunct w:val="0"/>
        <w:autoSpaceDE w:val="0"/>
        <w:autoSpaceDN w:val="0"/>
        <w:spacing w:line="300" w:lineRule="exact"/>
        <w:ind w:leftChars="105" w:left="252"/>
        <w:jc w:val="both"/>
        <w:rPr>
          <w:rFonts w:eastAsia="標楷體"/>
          <w:szCs w:val="22"/>
        </w:rPr>
      </w:pPr>
      <w:r w:rsidRPr="00412A9C">
        <w:rPr>
          <w:rFonts w:eastAsia="標楷體"/>
          <w:szCs w:val="22"/>
        </w:rPr>
        <w:t>一切菩薩初發心時，不應悉入於必定。或有初發心時即入必定；或有漸修功德，如釋迦牟尼佛，初發心時不入必定，後修集功德，值燃燈佛，得入必定。是故汝說</w:t>
      </w:r>
      <w:r w:rsidR="00EB05F9">
        <w:rPr>
          <w:rFonts w:ascii="標楷體" w:eastAsia="標楷體" w:hAnsi="標楷體" w:hint="eastAsia"/>
          <w:bCs/>
          <w:color w:val="FF0000"/>
          <w:kern w:val="0"/>
          <w:highlight w:val="yellow"/>
        </w:rPr>
        <w:t>「</w:t>
      </w:r>
      <w:r w:rsidRPr="00412A9C">
        <w:rPr>
          <w:rFonts w:eastAsia="標楷體"/>
          <w:szCs w:val="22"/>
        </w:rPr>
        <w:t>一切菩薩初發心便入必定</w:t>
      </w:r>
      <w:r w:rsidR="00EB05F9">
        <w:rPr>
          <w:rFonts w:ascii="標楷體" w:eastAsia="標楷體" w:hAnsi="標楷體" w:hint="eastAsia"/>
          <w:bCs/>
          <w:color w:val="FF0000"/>
          <w:kern w:val="0"/>
          <w:highlight w:val="yellow"/>
        </w:rPr>
        <w:t>」，</w:t>
      </w:r>
      <w:r w:rsidRPr="00412A9C">
        <w:rPr>
          <w:rFonts w:eastAsia="標楷體"/>
          <w:szCs w:val="22"/>
        </w:rPr>
        <w:t>是為邪論。</w:t>
      </w:r>
    </w:p>
  </w:footnote>
  <w:footnote w:id="1031">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szCs w:val="22"/>
        </w:rPr>
        <w:t>祖師禪</w:t>
      </w:r>
      <w:r w:rsidRPr="00412A9C">
        <w:rPr>
          <w:rFonts w:ascii="新細明體" w:hAnsi="新細明體"/>
          <w:szCs w:val="22"/>
        </w:rPr>
        <w:t>：佛教語。禪宗稱祖祖相傳、不立文字的禪法為“祖師禪”，是以心印心的教外別傳。</w:t>
      </w:r>
      <w:r w:rsidRPr="00412A9C">
        <w:rPr>
          <w:szCs w:val="22"/>
        </w:rPr>
        <w:t>（《漢語大詞典》（七）</w:t>
      </w:r>
      <w:r w:rsidRPr="00412A9C">
        <w:rPr>
          <w:rFonts w:hint="eastAsia"/>
          <w:szCs w:val="22"/>
        </w:rPr>
        <w:t>，</w:t>
      </w:r>
      <w:r w:rsidRPr="00761EF3">
        <w:rPr>
          <w:szCs w:val="22"/>
        </w:rPr>
        <w:t>p</w:t>
      </w:r>
      <w:r w:rsidRPr="00412A9C">
        <w:rPr>
          <w:szCs w:val="22"/>
        </w:rPr>
        <w:t>.</w:t>
      </w:r>
      <w:r w:rsidRPr="00761EF3">
        <w:rPr>
          <w:szCs w:val="22"/>
        </w:rPr>
        <w:t>851</w:t>
      </w:r>
      <w:r w:rsidRPr="00412A9C">
        <w:rPr>
          <w:szCs w:val="22"/>
        </w:rPr>
        <w:t>）</w:t>
      </w:r>
    </w:p>
  </w:footnote>
  <w:footnote w:id="1032">
    <w:p w:rsidR="00157EF6" w:rsidRPr="00412A9C" w:rsidRDefault="00157EF6" w:rsidP="00AA120F">
      <w:pPr>
        <w:pStyle w:val="a5"/>
        <w:spacing w:line="0" w:lineRule="atLeast"/>
        <w:ind w:left="253" w:hangingChars="115" w:hanging="253"/>
        <w:jc w:val="both"/>
        <w:rPr>
          <w:rFonts w:ascii="新細明體" w:hAnsi="新細明體"/>
          <w:szCs w:val="22"/>
        </w:rPr>
      </w:pPr>
      <w:r w:rsidRPr="00412A9C">
        <w:rPr>
          <w:rStyle w:val="a6"/>
          <w:szCs w:val="22"/>
        </w:rPr>
        <w:footnoteRef/>
      </w:r>
      <w:r w:rsidRPr="00412A9C">
        <w:rPr>
          <w:rFonts w:hint="eastAsia"/>
          <w:szCs w:val="22"/>
        </w:rPr>
        <w:t xml:space="preserve"> </w:t>
      </w:r>
      <w:r w:rsidRPr="00412A9C">
        <w:rPr>
          <w:rFonts w:hint="eastAsia"/>
          <w:szCs w:val="22"/>
        </w:rPr>
        <w:t>透三關：</w:t>
      </w:r>
      <w:r w:rsidRPr="00412A9C">
        <w:rPr>
          <w:rFonts w:ascii="新細明體" w:hAnsi="新細明體" w:hint="eastAsia"/>
          <w:szCs w:val="22"/>
        </w:rPr>
        <w:t>禪林用語。三關，指三種由低而高之參禪境界。行者若能凡情銷盡，徹見諸法之虛妄不實及悟得自己之心性本源（本來面目，或本地風光），則稱為</w:t>
      </w:r>
      <w:r w:rsidRPr="00412A9C">
        <w:rPr>
          <w:rFonts w:ascii="新細明體" w:hAnsi="新細明體" w:hint="eastAsia"/>
          <w:b/>
          <w:szCs w:val="22"/>
        </w:rPr>
        <w:t>「破初關」</w:t>
      </w:r>
      <w:r w:rsidRPr="00412A9C">
        <w:rPr>
          <w:rFonts w:ascii="新細明體" w:hAnsi="新細明體" w:hint="eastAsia"/>
          <w:szCs w:val="22"/>
        </w:rPr>
        <w:t>，或破本參，又作見性。</w:t>
      </w:r>
    </w:p>
    <w:p w:rsidR="00157EF6" w:rsidRPr="00412A9C" w:rsidRDefault="00157EF6" w:rsidP="00AA120F">
      <w:pPr>
        <w:pStyle w:val="a5"/>
        <w:ind w:leftChars="105" w:left="252"/>
        <w:jc w:val="both"/>
        <w:rPr>
          <w:rFonts w:ascii="新細明體" w:hAnsi="新細明體"/>
          <w:szCs w:val="22"/>
        </w:rPr>
      </w:pPr>
      <w:r w:rsidRPr="00412A9C">
        <w:rPr>
          <w:rFonts w:ascii="新細明體" w:hAnsi="新細明體" w:hint="eastAsia"/>
          <w:szCs w:val="22"/>
        </w:rPr>
        <w:t>其次，在見性之後，再用功修持，則不但不為「有」所礙，而且亦能不執著於「空」，此稱為</w:t>
      </w:r>
      <w:r w:rsidRPr="00412A9C">
        <w:rPr>
          <w:rFonts w:ascii="新細明體" w:hAnsi="新細明體" w:hint="eastAsia"/>
          <w:b/>
          <w:szCs w:val="22"/>
        </w:rPr>
        <w:t>「透重關」</w:t>
      </w:r>
      <w:r w:rsidRPr="00412A9C">
        <w:rPr>
          <w:rFonts w:ascii="新細明體" w:hAnsi="新細明體" w:hint="eastAsia"/>
          <w:szCs w:val="22"/>
        </w:rPr>
        <w:t>，又作大死大活。</w:t>
      </w:r>
    </w:p>
    <w:p w:rsidR="00157EF6" w:rsidRPr="00412A9C" w:rsidRDefault="00157EF6" w:rsidP="00AA120F">
      <w:pPr>
        <w:pStyle w:val="a5"/>
        <w:ind w:leftChars="105" w:left="252"/>
        <w:jc w:val="both"/>
        <w:rPr>
          <w:rFonts w:ascii="標楷體" w:eastAsia="標楷體" w:hAnsi="標楷體"/>
          <w:szCs w:val="22"/>
        </w:rPr>
      </w:pPr>
      <w:r w:rsidRPr="00412A9C">
        <w:rPr>
          <w:rFonts w:ascii="新細明體" w:hAnsi="新細明體" w:hint="eastAsia"/>
          <w:szCs w:val="22"/>
        </w:rPr>
        <w:t>此後，再用功磨鍊，乃能達寂照不二、空有無礙之境，雖五欲當前，亦運用自如而不失本性，此為</w:t>
      </w:r>
      <w:r w:rsidRPr="00412A9C">
        <w:rPr>
          <w:rFonts w:ascii="新細明體" w:hAnsi="新細明體" w:hint="eastAsia"/>
          <w:b/>
          <w:szCs w:val="22"/>
        </w:rPr>
        <w:t>「透末後牢關」</w:t>
      </w:r>
      <w:r w:rsidRPr="00412A9C">
        <w:rPr>
          <w:rFonts w:ascii="新細明體" w:hAnsi="新細明體" w:hint="eastAsia"/>
          <w:szCs w:val="22"/>
        </w:rPr>
        <w:t>。</w:t>
      </w:r>
      <w:r w:rsidRPr="00412A9C">
        <w:rPr>
          <w:szCs w:val="22"/>
        </w:rPr>
        <w:t>（《</w:t>
      </w:r>
      <w:r w:rsidRPr="00412A9C">
        <w:rPr>
          <w:rFonts w:hint="eastAsia"/>
          <w:szCs w:val="22"/>
        </w:rPr>
        <w:t>佛光</w:t>
      </w:r>
      <w:r w:rsidRPr="00412A9C">
        <w:rPr>
          <w:szCs w:val="22"/>
        </w:rPr>
        <w:t>大</w:t>
      </w:r>
      <w:r w:rsidRPr="00412A9C">
        <w:rPr>
          <w:rFonts w:hint="eastAsia"/>
          <w:szCs w:val="22"/>
        </w:rPr>
        <w:t>辭</w:t>
      </w:r>
      <w:r w:rsidRPr="00412A9C">
        <w:rPr>
          <w:szCs w:val="22"/>
        </w:rPr>
        <w:t>典》（</w:t>
      </w:r>
      <w:r w:rsidRPr="00412A9C">
        <w:rPr>
          <w:rFonts w:hint="eastAsia"/>
          <w:szCs w:val="22"/>
        </w:rPr>
        <w:t>五</w:t>
      </w:r>
      <w:r w:rsidRPr="00412A9C">
        <w:rPr>
          <w:szCs w:val="22"/>
        </w:rPr>
        <w:t>）</w:t>
      </w:r>
      <w:r w:rsidRPr="00412A9C">
        <w:rPr>
          <w:rFonts w:hint="eastAsia"/>
          <w:szCs w:val="22"/>
        </w:rPr>
        <w:t>，</w:t>
      </w:r>
      <w:r w:rsidRPr="00761EF3">
        <w:rPr>
          <w:szCs w:val="22"/>
        </w:rPr>
        <w:t>p</w:t>
      </w:r>
      <w:r w:rsidRPr="00412A9C">
        <w:rPr>
          <w:szCs w:val="22"/>
        </w:rPr>
        <w:t>.</w:t>
      </w:r>
      <w:r w:rsidRPr="00761EF3">
        <w:rPr>
          <w:rFonts w:eastAsia="SimSun" w:hint="eastAsia"/>
          <w:szCs w:val="22"/>
        </w:rPr>
        <w:t>4813</w:t>
      </w:r>
      <w:r w:rsidRPr="00412A9C">
        <w:rPr>
          <w:rFonts w:hint="eastAsia"/>
          <w:szCs w:val="22"/>
        </w:rPr>
        <w:t>.</w:t>
      </w:r>
      <w:r w:rsidRPr="00761EF3">
        <w:rPr>
          <w:rFonts w:hint="eastAsia"/>
          <w:szCs w:val="22"/>
        </w:rPr>
        <w:t>2</w:t>
      </w:r>
      <w:r w:rsidRPr="00412A9C">
        <w:rPr>
          <w:szCs w:val="22"/>
        </w:rPr>
        <w:t>）</w:t>
      </w:r>
    </w:p>
  </w:footnote>
  <w:footnote w:id="1033">
    <w:p w:rsidR="00157EF6" w:rsidRPr="00412A9C" w:rsidRDefault="00157EF6" w:rsidP="009E0A5A">
      <w:pPr>
        <w:pStyle w:val="a5"/>
        <w:ind w:left="187" w:hangingChars="85" w:hanging="187"/>
        <w:jc w:val="both"/>
        <w:rPr>
          <w:szCs w:val="22"/>
        </w:rPr>
      </w:pPr>
      <w:r w:rsidRPr="00412A9C">
        <w:rPr>
          <w:rStyle w:val="a6"/>
          <w:szCs w:val="22"/>
        </w:rPr>
        <w:footnoteRef/>
      </w:r>
      <w:r>
        <w:rPr>
          <w:rStyle w:val="old"/>
          <w:rFonts w:hint="eastAsia"/>
          <w:color w:val="auto"/>
          <w:szCs w:val="22"/>
        </w:rPr>
        <w:t xml:space="preserve"> </w:t>
      </w:r>
      <w:r>
        <w:rPr>
          <w:rStyle w:val="old"/>
          <w:color w:val="auto"/>
          <w:szCs w:val="22"/>
        </w:rPr>
        <w:t>印順法師，</w:t>
      </w:r>
      <w:r w:rsidRPr="00412A9C">
        <w:rPr>
          <w:rStyle w:val="old"/>
          <w:color w:val="auto"/>
          <w:szCs w:val="22"/>
        </w:rPr>
        <w:t>《</w:t>
      </w:r>
      <w:r w:rsidRPr="00412A9C">
        <w:rPr>
          <w:rFonts w:hint="eastAsia"/>
          <w:szCs w:val="22"/>
        </w:rPr>
        <w:t>中觀今論</w:t>
      </w:r>
      <w:r w:rsidRPr="00412A9C">
        <w:rPr>
          <w:rStyle w:val="old"/>
          <w:color w:val="auto"/>
          <w:szCs w:val="22"/>
        </w:rPr>
        <w:t>》</w:t>
      </w:r>
      <w:r w:rsidRPr="00412A9C">
        <w:rPr>
          <w:rStyle w:val="old"/>
          <w:rFonts w:hint="eastAsia"/>
          <w:color w:val="auto"/>
          <w:szCs w:val="22"/>
        </w:rPr>
        <w:t>，第</w:t>
      </w:r>
      <w:r w:rsidRPr="00761EF3">
        <w:rPr>
          <w:rStyle w:val="old"/>
          <w:rFonts w:hint="eastAsia"/>
          <w:color w:val="auto"/>
          <w:szCs w:val="22"/>
        </w:rPr>
        <w:t>11</w:t>
      </w:r>
      <w:r w:rsidRPr="00412A9C">
        <w:rPr>
          <w:rStyle w:val="old"/>
          <w:rFonts w:hint="eastAsia"/>
          <w:color w:val="auto"/>
          <w:szCs w:val="22"/>
        </w:rPr>
        <w:t>章，第</w:t>
      </w:r>
      <w:r w:rsidRPr="00761EF3">
        <w:rPr>
          <w:rStyle w:val="old"/>
          <w:rFonts w:hint="eastAsia"/>
          <w:color w:val="auto"/>
          <w:szCs w:val="22"/>
        </w:rPr>
        <w:t>1</w:t>
      </w:r>
      <w:r w:rsidRPr="00412A9C">
        <w:rPr>
          <w:rStyle w:val="old"/>
          <w:rFonts w:hint="eastAsia"/>
          <w:color w:val="auto"/>
          <w:szCs w:val="22"/>
        </w:rPr>
        <w:t>節</w:t>
      </w:r>
      <w:r w:rsidRPr="00412A9C">
        <w:rPr>
          <w:rFonts w:hint="eastAsia"/>
          <w:szCs w:val="22"/>
        </w:rPr>
        <w:t>〈頓漸與偏圓〉，</w:t>
      </w:r>
      <w:r w:rsidRPr="00761EF3">
        <w:rPr>
          <w:szCs w:val="22"/>
        </w:rPr>
        <w:t>pp</w:t>
      </w:r>
      <w:r w:rsidRPr="00412A9C">
        <w:rPr>
          <w:szCs w:val="22"/>
        </w:rPr>
        <w:t>.</w:t>
      </w:r>
      <w:r w:rsidRPr="00761EF3">
        <w:rPr>
          <w:szCs w:val="22"/>
        </w:rPr>
        <w:t>235</w:t>
      </w:r>
      <w:r w:rsidRPr="00412A9C">
        <w:rPr>
          <w:szCs w:val="22"/>
        </w:rPr>
        <w:t>-</w:t>
      </w:r>
      <w:r w:rsidRPr="00761EF3">
        <w:rPr>
          <w:szCs w:val="22"/>
        </w:rPr>
        <w:t>236</w:t>
      </w:r>
      <w:r w:rsidRPr="00412A9C">
        <w:rPr>
          <w:rFonts w:hint="eastAsia"/>
          <w:szCs w:val="22"/>
        </w:rPr>
        <w:t>：</w:t>
      </w:r>
    </w:p>
    <w:p w:rsidR="00157EF6" w:rsidRPr="00412A9C" w:rsidRDefault="00157EF6" w:rsidP="00AA120F">
      <w:pPr>
        <w:pStyle w:val="a5"/>
        <w:ind w:leftChars="75" w:left="180"/>
        <w:jc w:val="both"/>
        <w:rPr>
          <w:szCs w:val="22"/>
        </w:rPr>
      </w:pPr>
      <w:r w:rsidRPr="00412A9C">
        <w:rPr>
          <w:rFonts w:ascii="標楷體" w:eastAsia="標楷體" w:hAnsi="標楷體" w:hint="eastAsia"/>
          <w:b/>
          <w:szCs w:val="22"/>
        </w:rPr>
        <w:t>行者的悟證，首先要得空有無礙的正見</w:t>
      </w:r>
      <w:r w:rsidR="00811E1B">
        <w:rPr>
          <w:rFonts w:ascii="標楷體" w:eastAsia="標楷體" w:hAnsi="標楷體" w:hint="eastAsia"/>
          <w:color w:val="FF0000"/>
          <w:szCs w:val="22"/>
          <w:highlight w:val="yellow"/>
        </w:rPr>
        <w:t>；</w:t>
      </w:r>
      <w:r w:rsidRPr="00412A9C">
        <w:rPr>
          <w:rFonts w:ascii="標楷體" w:eastAsia="標楷體" w:hAnsi="標楷體" w:hint="eastAsia"/>
          <w:szCs w:val="22"/>
        </w:rPr>
        <w:t>這是三論、天臺以及藏傳中觀者所公認的。此時，若功德不足</w:t>
      </w:r>
      <w:r w:rsidR="00811E1B">
        <w:rPr>
          <w:rFonts w:ascii="標楷體" w:eastAsia="標楷體" w:hAnsi="標楷體" w:hint="eastAsia"/>
          <w:color w:val="FF0000"/>
          <w:szCs w:val="22"/>
          <w:highlight w:val="yellow"/>
        </w:rPr>
        <w:t>、</w:t>
      </w:r>
      <w:r w:rsidRPr="00412A9C">
        <w:rPr>
          <w:rFonts w:ascii="標楷體" w:eastAsia="標楷體" w:hAnsi="標楷體" w:hint="eastAsia"/>
          <w:szCs w:val="22"/>
        </w:rPr>
        <w:t>方便慧不足，即證畢竟空性，極無戲論；若功德深廣</w:t>
      </w:r>
      <w:r w:rsidR="00811E1B">
        <w:rPr>
          <w:rFonts w:ascii="標楷體" w:eastAsia="標楷體" w:hAnsi="標楷體" w:hint="eastAsia"/>
          <w:color w:val="FF0000"/>
          <w:szCs w:val="22"/>
          <w:highlight w:val="yellow"/>
        </w:rPr>
        <w:t>、</w:t>
      </w:r>
      <w:r w:rsidRPr="00412A9C">
        <w:rPr>
          <w:rFonts w:ascii="標楷體" w:eastAsia="標楷體" w:hAnsi="標楷體" w:hint="eastAsia"/>
          <w:szCs w:val="22"/>
        </w:rPr>
        <w:t>方便慧善巧，即能頓悟圓中。二者同依空有無礙的正見，同得性空寂滅的法性，在修行的路徑與目標，可說是同一的，不過因眾生根性利鈍不同，有但證偏真與圓中的差別。</w:t>
      </w:r>
    </w:p>
  </w:footnote>
  <w:footnote w:id="1034">
    <w:p w:rsidR="00157EF6" w:rsidRPr="00412A9C" w:rsidRDefault="00157EF6" w:rsidP="00AA120F">
      <w:pPr>
        <w:pStyle w:val="a5"/>
        <w:spacing w:line="0" w:lineRule="atLeast"/>
        <w:ind w:left="726" w:hangingChars="330" w:hanging="726"/>
        <w:jc w:val="both"/>
        <w:rPr>
          <w:szCs w:val="22"/>
        </w:rPr>
      </w:pPr>
      <w:r w:rsidRPr="00412A9C">
        <w:rPr>
          <w:rStyle w:val="a6"/>
          <w:szCs w:val="22"/>
        </w:rPr>
        <w:footnoteRef/>
      </w:r>
      <w:r>
        <w:rPr>
          <w:rFonts w:hint="eastAsia"/>
          <w:szCs w:val="22"/>
        </w:rPr>
        <w:t xml:space="preserve"> </w:t>
      </w:r>
      <w:r w:rsidRPr="00412A9C">
        <w:rPr>
          <w:rFonts w:hint="eastAsia"/>
          <w:szCs w:val="22"/>
        </w:rPr>
        <w:t>（</w:t>
      </w:r>
      <w:r w:rsidRPr="00761EF3">
        <w:rPr>
          <w:szCs w:val="22"/>
        </w:rPr>
        <w:t>1</w:t>
      </w:r>
      <w:r w:rsidRPr="00412A9C">
        <w:rPr>
          <w:rFonts w:hint="eastAsia"/>
          <w:szCs w:val="22"/>
        </w:rPr>
        <w:t>）《雜阿含經》卷</w:t>
      </w:r>
      <w:r w:rsidRPr="00761EF3">
        <w:rPr>
          <w:szCs w:val="22"/>
        </w:rPr>
        <w:t>12</w:t>
      </w:r>
      <w:r w:rsidRPr="00412A9C">
        <w:rPr>
          <w:rFonts w:hint="eastAsia"/>
          <w:szCs w:val="22"/>
        </w:rPr>
        <w:t>（</w:t>
      </w:r>
      <w:r w:rsidRPr="00761EF3">
        <w:rPr>
          <w:rFonts w:hint="eastAsia"/>
          <w:szCs w:val="22"/>
        </w:rPr>
        <w:t>3</w:t>
      </w:r>
      <w:r w:rsidRPr="00761EF3">
        <w:rPr>
          <w:szCs w:val="22"/>
        </w:rPr>
        <w:t>47</w:t>
      </w:r>
      <w:r w:rsidRPr="00412A9C">
        <w:rPr>
          <w:rFonts w:hint="eastAsia"/>
          <w:szCs w:val="22"/>
        </w:rPr>
        <w:t>經）</w:t>
      </w:r>
      <w:r w:rsidRPr="00412A9C">
        <w:rPr>
          <w:szCs w:val="22"/>
        </w:rPr>
        <w:t>（大正</w:t>
      </w:r>
      <w:r w:rsidRPr="00761EF3">
        <w:rPr>
          <w:szCs w:val="22"/>
        </w:rPr>
        <w:t>2</w:t>
      </w:r>
      <w:r w:rsidRPr="00412A9C">
        <w:rPr>
          <w:szCs w:val="22"/>
        </w:rPr>
        <w:t>，</w:t>
      </w:r>
      <w:r w:rsidRPr="00761EF3">
        <w:rPr>
          <w:szCs w:val="22"/>
        </w:rPr>
        <w:t>97b11</w:t>
      </w:r>
      <w:r w:rsidRPr="00412A9C">
        <w:rPr>
          <w:szCs w:val="22"/>
        </w:rPr>
        <w:t>-</w:t>
      </w:r>
      <w:r w:rsidRPr="00761EF3">
        <w:rPr>
          <w:szCs w:val="22"/>
        </w:rPr>
        <w:t>c2</w:t>
      </w:r>
      <w:r w:rsidRPr="00412A9C">
        <w:rPr>
          <w:szCs w:val="22"/>
        </w:rPr>
        <w:t>）</w:t>
      </w:r>
      <w:r w:rsidRPr="00412A9C">
        <w:rPr>
          <w:rFonts w:hint="eastAsia"/>
          <w:szCs w:val="22"/>
        </w:rPr>
        <w:t>。</w:t>
      </w:r>
    </w:p>
    <w:p w:rsidR="00157EF6" w:rsidRPr="00412A9C" w:rsidRDefault="00157EF6" w:rsidP="00AA120F">
      <w:pPr>
        <w:pStyle w:val="a5"/>
        <w:ind w:leftChars="80" w:left="731" w:hangingChars="245" w:hanging="539"/>
        <w:jc w:val="both"/>
        <w:rPr>
          <w:rFonts w:ascii="標楷體" w:eastAsia="SimSun" w:hAnsi="標楷體"/>
          <w:szCs w:val="22"/>
        </w:rPr>
      </w:pPr>
      <w:r w:rsidRPr="00412A9C">
        <w:rPr>
          <w:szCs w:val="22"/>
        </w:rPr>
        <w:t>（</w:t>
      </w:r>
      <w:r w:rsidRPr="00761EF3">
        <w:rPr>
          <w:szCs w:val="22"/>
        </w:rPr>
        <w:t>2</w:t>
      </w:r>
      <w:r w:rsidRPr="00412A9C">
        <w:rPr>
          <w:szCs w:val="22"/>
        </w:rPr>
        <w:t>）</w:t>
      </w:r>
      <w:r w:rsidRPr="00F61231">
        <w:rPr>
          <w:rFonts w:cs="Times Ext Roman" w:hint="eastAsia"/>
          <w:szCs w:val="22"/>
        </w:rPr>
        <w:t>參見</w:t>
      </w:r>
      <w:r w:rsidR="00792D3B">
        <w:rPr>
          <w:rFonts w:cs="Times Ext Roman" w:hint="eastAsia"/>
          <w:szCs w:val="22"/>
        </w:rPr>
        <w:t>：</w:t>
      </w:r>
      <w:r w:rsidRPr="00412A9C">
        <w:rPr>
          <w:rFonts w:hint="eastAsia"/>
          <w:szCs w:val="22"/>
        </w:rPr>
        <w:t>《大毘婆沙論》卷</w:t>
      </w:r>
      <w:r w:rsidRPr="00761EF3">
        <w:rPr>
          <w:rFonts w:hint="eastAsia"/>
          <w:szCs w:val="22"/>
        </w:rPr>
        <w:t>110</w:t>
      </w:r>
      <w:r w:rsidRPr="00412A9C">
        <w:rPr>
          <w:rFonts w:hint="eastAsia"/>
          <w:szCs w:val="22"/>
        </w:rPr>
        <w:t>（大正</w:t>
      </w:r>
      <w:r w:rsidRPr="00761EF3">
        <w:rPr>
          <w:rFonts w:hint="eastAsia"/>
          <w:szCs w:val="22"/>
        </w:rPr>
        <w:t>27</w:t>
      </w:r>
      <w:r w:rsidRPr="00412A9C">
        <w:rPr>
          <w:rFonts w:hint="eastAsia"/>
          <w:szCs w:val="22"/>
        </w:rPr>
        <w:t>，</w:t>
      </w:r>
      <w:r w:rsidRPr="00761EF3">
        <w:rPr>
          <w:rFonts w:hint="eastAsia"/>
          <w:szCs w:val="22"/>
        </w:rPr>
        <w:t>572a27</w:t>
      </w:r>
      <w:r w:rsidRPr="00412A9C">
        <w:rPr>
          <w:rFonts w:hint="eastAsia"/>
          <w:szCs w:val="22"/>
        </w:rPr>
        <w:t>-</w:t>
      </w:r>
      <w:r w:rsidRPr="00761EF3">
        <w:rPr>
          <w:rFonts w:hint="eastAsia"/>
          <w:szCs w:val="22"/>
        </w:rPr>
        <w:t>b29</w:t>
      </w:r>
      <w:r w:rsidRPr="00412A9C">
        <w:rPr>
          <w:rFonts w:hint="eastAsia"/>
          <w:szCs w:val="22"/>
        </w:rPr>
        <w:t>），</w:t>
      </w:r>
      <w:r w:rsidRPr="00412A9C">
        <w:rPr>
          <w:szCs w:val="22"/>
        </w:rPr>
        <w:t>《瑜伽師地論》卷</w:t>
      </w:r>
      <w:r w:rsidRPr="00761EF3">
        <w:rPr>
          <w:szCs w:val="22"/>
        </w:rPr>
        <w:t>94</w:t>
      </w:r>
      <w:r w:rsidRPr="00412A9C">
        <w:rPr>
          <w:rFonts w:hint="eastAsia"/>
          <w:szCs w:val="22"/>
        </w:rPr>
        <w:t>（</w:t>
      </w:r>
      <w:r w:rsidRPr="00412A9C">
        <w:rPr>
          <w:szCs w:val="22"/>
        </w:rPr>
        <w:t>大正</w:t>
      </w:r>
      <w:r w:rsidRPr="00761EF3">
        <w:rPr>
          <w:szCs w:val="22"/>
        </w:rPr>
        <w:t>30</w:t>
      </w:r>
      <w:r w:rsidRPr="00412A9C">
        <w:rPr>
          <w:szCs w:val="22"/>
        </w:rPr>
        <w:t>，</w:t>
      </w:r>
      <w:r w:rsidRPr="00761EF3">
        <w:rPr>
          <w:szCs w:val="22"/>
        </w:rPr>
        <w:t>835c19</w:t>
      </w:r>
      <w:r w:rsidRPr="00412A9C">
        <w:rPr>
          <w:szCs w:val="22"/>
        </w:rPr>
        <w:t>-</w:t>
      </w:r>
      <w:r w:rsidRPr="00761EF3">
        <w:rPr>
          <w:szCs w:val="22"/>
        </w:rPr>
        <w:t>836a8</w:t>
      </w:r>
      <w:r w:rsidRPr="00412A9C">
        <w:rPr>
          <w:rFonts w:hint="eastAsia"/>
          <w:szCs w:val="22"/>
        </w:rPr>
        <w:t>）。</w:t>
      </w:r>
    </w:p>
    <w:p w:rsidR="00157EF6" w:rsidRPr="00412A9C" w:rsidRDefault="00157EF6" w:rsidP="00AA120F">
      <w:pPr>
        <w:pStyle w:val="a5"/>
        <w:ind w:leftChars="80" w:left="731" w:hangingChars="245" w:hanging="539"/>
        <w:jc w:val="both"/>
        <w:rPr>
          <w:szCs w:val="22"/>
        </w:rPr>
      </w:pPr>
      <w:r w:rsidRPr="00412A9C">
        <w:rPr>
          <w:rFonts w:hint="eastAsia"/>
          <w:szCs w:val="22"/>
        </w:rPr>
        <w:t>（</w:t>
      </w:r>
      <w:r w:rsidRPr="00761EF3">
        <w:rPr>
          <w:rFonts w:hint="eastAsia"/>
          <w:szCs w:val="22"/>
        </w:rPr>
        <w:t>3</w:t>
      </w:r>
      <w:r w:rsidRPr="00412A9C">
        <w:rPr>
          <w:rFonts w:hint="eastAsia"/>
          <w:szCs w:val="22"/>
        </w:rPr>
        <w:t>）印順法師，《成佛之道》（增注本），</w:t>
      </w:r>
      <w:r w:rsidRPr="00761EF3">
        <w:rPr>
          <w:rFonts w:hint="eastAsia"/>
          <w:szCs w:val="22"/>
        </w:rPr>
        <w:t>p</w:t>
      </w:r>
      <w:r w:rsidRPr="00412A9C">
        <w:rPr>
          <w:rFonts w:hint="eastAsia"/>
          <w:szCs w:val="22"/>
        </w:rPr>
        <w:t>.</w:t>
      </w:r>
      <w:r w:rsidRPr="00761EF3">
        <w:rPr>
          <w:rFonts w:hint="eastAsia"/>
          <w:szCs w:val="22"/>
        </w:rPr>
        <w:t>225</w:t>
      </w:r>
      <w:r w:rsidRPr="00412A9C">
        <w:rPr>
          <w:rFonts w:hint="eastAsia"/>
          <w:szCs w:val="22"/>
        </w:rPr>
        <w:t>：</w:t>
      </w:r>
    </w:p>
    <w:p w:rsidR="00157EF6" w:rsidRPr="00412A9C" w:rsidRDefault="00157EF6" w:rsidP="00AA120F">
      <w:pPr>
        <w:pStyle w:val="a5"/>
        <w:ind w:leftChars="305" w:left="732"/>
        <w:jc w:val="both"/>
        <w:rPr>
          <w:rFonts w:ascii="新細明體" w:hAnsi="新細明體"/>
          <w:szCs w:val="22"/>
        </w:rPr>
      </w:pPr>
      <w:r w:rsidRPr="00412A9C">
        <w:rPr>
          <w:rFonts w:ascii="標楷體" w:eastAsia="標楷體" w:hAnsi="標楷體" w:hint="eastAsia"/>
          <w:b/>
          <w:szCs w:val="22"/>
        </w:rPr>
        <w:t>法住智知流轉，知因果的必然性；涅槃智知還滅，知因果的空寂性；法住智知生滅，涅槃智知不生滅；法住智知有為世俗，涅槃智知無為勝義。</w:t>
      </w:r>
    </w:p>
    <w:p w:rsidR="00157EF6" w:rsidRPr="00412A9C" w:rsidRDefault="00157EF6" w:rsidP="00AA120F">
      <w:pPr>
        <w:pStyle w:val="a5"/>
        <w:ind w:leftChars="80" w:left="731" w:hangingChars="245" w:hanging="539"/>
        <w:jc w:val="both"/>
        <w:rPr>
          <w:szCs w:val="22"/>
        </w:rPr>
      </w:pPr>
      <w:r w:rsidRPr="00412A9C">
        <w:rPr>
          <w:rFonts w:hint="eastAsia"/>
          <w:szCs w:val="22"/>
        </w:rPr>
        <w:t>（</w:t>
      </w:r>
      <w:r w:rsidRPr="00761EF3">
        <w:rPr>
          <w:rFonts w:hint="eastAsia"/>
          <w:szCs w:val="22"/>
        </w:rPr>
        <w:t>4</w:t>
      </w:r>
      <w:r w:rsidRPr="00412A9C">
        <w:rPr>
          <w:rFonts w:hint="eastAsia"/>
          <w:szCs w:val="22"/>
        </w:rPr>
        <w:t>）印順法師，</w:t>
      </w:r>
      <w:r w:rsidRPr="00412A9C">
        <w:rPr>
          <w:szCs w:val="22"/>
        </w:rPr>
        <w:t>《空之探究》</w:t>
      </w:r>
      <w:r w:rsidRPr="00412A9C">
        <w:rPr>
          <w:rFonts w:hint="eastAsia"/>
          <w:szCs w:val="22"/>
        </w:rPr>
        <w:t>，</w:t>
      </w:r>
      <w:r w:rsidRPr="00761EF3">
        <w:rPr>
          <w:szCs w:val="22"/>
        </w:rPr>
        <w:t>p</w:t>
      </w:r>
      <w:r w:rsidRPr="00761EF3">
        <w:rPr>
          <w:rFonts w:eastAsia="Roman Unicode"/>
          <w:szCs w:val="22"/>
        </w:rPr>
        <w:t>p</w:t>
      </w:r>
      <w:r w:rsidRPr="00412A9C">
        <w:rPr>
          <w:szCs w:val="22"/>
        </w:rPr>
        <w:t>.</w:t>
      </w:r>
      <w:r w:rsidRPr="00761EF3">
        <w:rPr>
          <w:szCs w:val="22"/>
        </w:rPr>
        <w:t>150</w:t>
      </w:r>
      <w:r w:rsidRPr="00412A9C">
        <w:rPr>
          <w:szCs w:val="22"/>
        </w:rPr>
        <w:t>-</w:t>
      </w:r>
      <w:r w:rsidRPr="00761EF3">
        <w:rPr>
          <w:szCs w:val="22"/>
        </w:rPr>
        <w:t>152</w:t>
      </w:r>
      <w:r w:rsidRPr="00412A9C">
        <w:rPr>
          <w:szCs w:val="22"/>
        </w:rPr>
        <w:t>：</w:t>
      </w:r>
    </w:p>
    <w:p w:rsidR="00157EF6" w:rsidRPr="00412A9C" w:rsidRDefault="00157EF6" w:rsidP="00AA120F">
      <w:pPr>
        <w:pStyle w:val="a5"/>
        <w:ind w:leftChars="305" w:left="732"/>
        <w:jc w:val="both"/>
        <w:rPr>
          <w:rFonts w:eastAsia="標楷體"/>
          <w:szCs w:val="22"/>
        </w:rPr>
      </w:pPr>
      <w:r w:rsidRPr="00412A9C">
        <w:rPr>
          <w:rFonts w:eastAsia="標楷體"/>
          <w:szCs w:val="22"/>
        </w:rPr>
        <w:t>《雜阿含經》中，長老比丘們告訴須深比丘，他們是阿羅漢，但不得四禪（《相應部》說不得五通）及無色定。須深覺得難以信解，佛告訴他說：「彼先知法住，後知涅槃；不問汝知不知，且自先知法住，後知涅槃。」</w:t>
      </w:r>
      <w:r w:rsidR="00AA4A0E" w:rsidRPr="00AA4A0E">
        <w:rPr>
          <w:rFonts w:eastAsia="標楷體" w:hint="eastAsia"/>
          <w:color w:val="FF0000"/>
          <w:szCs w:val="22"/>
          <w:vertAlign w:val="superscript"/>
        </w:rPr>
        <w:t>[6]</w:t>
      </w:r>
      <w:r w:rsidRPr="00412A9C">
        <w:rPr>
          <w:rFonts w:eastAsia="標楷體"/>
          <w:szCs w:val="22"/>
        </w:rPr>
        <w:t>這是說，阿羅漢有先後層次，也可說有二類。</w:t>
      </w:r>
    </w:p>
    <w:p w:rsidR="00157EF6" w:rsidRPr="00412A9C" w:rsidRDefault="00157EF6" w:rsidP="00AA120F">
      <w:pPr>
        <w:pStyle w:val="a5"/>
        <w:ind w:leftChars="305" w:left="1172" w:hangingChars="200" w:hanging="440"/>
        <w:jc w:val="both"/>
        <w:rPr>
          <w:rFonts w:eastAsia="標楷體"/>
          <w:szCs w:val="22"/>
        </w:rPr>
      </w:pPr>
      <w:r w:rsidRPr="00412A9C">
        <w:rPr>
          <w:rFonts w:eastAsia="標楷體"/>
          <w:szCs w:val="22"/>
        </w:rPr>
        <w:t>一、</w:t>
      </w:r>
      <w:r w:rsidRPr="00AB5352">
        <w:rPr>
          <w:rFonts w:eastAsia="標楷體"/>
          <w:b/>
          <w:spacing w:val="-2"/>
          <w:szCs w:val="22"/>
        </w:rPr>
        <w:t>法住智</w:t>
      </w:r>
      <w:r w:rsidRPr="00AB5352">
        <w:rPr>
          <w:rFonts w:eastAsia="標楷體"/>
          <w:spacing w:val="-2"/>
          <w:szCs w:val="22"/>
        </w:rPr>
        <w:t>知：緣起被稱為法性、法住，所以法住智是從因果起滅的必然性</w:t>
      </w:r>
      <w:r w:rsidRPr="00412A9C">
        <w:rPr>
          <w:rFonts w:eastAsia="標楷體"/>
          <w:szCs w:val="22"/>
        </w:rPr>
        <w:t>中，於五蘊等如實知，厭，離欲，滅，而得解脫智：「我生已盡，梵行已立，所作已辦，不受後有。」雖然沒有禪定，但煩惱已盡，生死已了。這是以慧得解脫，知一切法寂滅，而沒有涅槃的自證。</w:t>
      </w:r>
    </w:p>
    <w:p w:rsidR="00157EF6" w:rsidRPr="00412A9C" w:rsidRDefault="00157EF6" w:rsidP="00AA120F">
      <w:pPr>
        <w:pStyle w:val="a5"/>
        <w:ind w:leftChars="305" w:left="1172" w:hangingChars="200" w:hanging="440"/>
        <w:jc w:val="both"/>
        <w:rPr>
          <w:rFonts w:eastAsia="標楷體"/>
          <w:szCs w:val="22"/>
        </w:rPr>
      </w:pPr>
      <w:r w:rsidRPr="00412A9C">
        <w:rPr>
          <w:rFonts w:eastAsia="標楷體"/>
          <w:szCs w:val="22"/>
        </w:rPr>
        <w:t>二、</w:t>
      </w:r>
      <w:r w:rsidRPr="00412A9C">
        <w:rPr>
          <w:rFonts w:eastAsia="標楷體"/>
          <w:b/>
          <w:szCs w:val="22"/>
        </w:rPr>
        <w:t>涅槃智</w:t>
      </w:r>
      <w:r w:rsidRPr="00412A9C">
        <w:rPr>
          <w:rFonts w:eastAsia="標楷體"/>
          <w:szCs w:val="22"/>
        </w:rPr>
        <w:t>知：生前就能現證涅槃的絕對超越（即大乘的證入空性，絕諸戲論；也類似一般所說的神秘經驗），名為得現法涅槃；在古代，被稱為</w:t>
      </w:r>
      <w:r w:rsidRPr="00412A9C">
        <w:rPr>
          <w:rFonts w:eastAsia="標楷體"/>
          <w:b/>
          <w:szCs w:val="22"/>
        </w:rPr>
        <w:t>得滅盡定的俱解脫</w:t>
      </w:r>
      <w:r w:rsidRPr="00412A9C">
        <w:rPr>
          <w:rFonts w:eastAsia="標楷體"/>
          <w:szCs w:val="22"/>
        </w:rPr>
        <w:t>（不過滅盡定，論師的異解紛紜）。</w:t>
      </w:r>
    </w:p>
    <w:p w:rsidR="00157EF6" w:rsidRPr="00412A9C" w:rsidRDefault="00157EF6" w:rsidP="00AA120F">
      <w:pPr>
        <w:pStyle w:val="a5"/>
        <w:ind w:leftChars="305" w:left="732"/>
        <w:jc w:val="both"/>
        <w:rPr>
          <w:rFonts w:eastAsia="標楷體"/>
          <w:szCs w:val="22"/>
        </w:rPr>
      </w:pPr>
      <w:r w:rsidRPr="00412A9C">
        <w:rPr>
          <w:rFonts w:eastAsia="標楷體"/>
          <w:szCs w:val="22"/>
        </w:rPr>
        <w:t>這可能是二類阿羅漢，也可能是先後契入的層次。</w:t>
      </w:r>
      <w:r w:rsidR="00AA4A0E" w:rsidRPr="00AA4A0E">
        <w:rPr>
          <w:rFonts w:eastAsia="標楷體" w:hint="eastAsia"/>
          <w:color w:val="FF0000"/>
          <w:szCs w:val="22"/>
          <w:shd w:val="pct15" w:color="auto" w:fill="FFFFFF"/>
        </w:rPr>
        <w:t>……</w:t>
      </w:r>
    </w:p>
    <w:p w:rsidR="00157EF6" w:rsidRDefault="00AA4A0E" w:rsidP="00AA120F">
      <w:pPr>
        <w:pStyle w:val="a5"/>
        <w:ind w:leftChars="305" w:left="732"/>
        <w:jc w:val="both"/>
        <w:rPr>
          <w:rFonts w:eastAsia="標楷體"/>
          <w:szCs w:val="22"/>
        </w:rPr>
      </w:pPr>
      <w:r w:rsidRPr="00AA4A0E">
        <w:rPr>
          <w:rFonts w:eastAsia="標楷體" w:hint="eastAsia"/>
          <w:color w:val="FF0000"/>
          <w:szCs w:val="22"/>
          <w:shd w:val="pct15" w:color="auto" w:fill="FFFFFF"/>
        </w:rPr>
        <w:t>……</w:t>
      </w:r>
      <w:r w:rsidR="00157EF6" w:rsidRPr="00412A9C">
        <w:rPr>
          <w:rFonts w:eastAsia="標楷體"/>
          <w:szCs w:val="22"/>
        </w:rPr>
        <w:t>在佛教界，慧解脫聖者是沒有涅槃智的；俱解脫者有涅槃智，是入滅盡定而決定趣涅槃的。惟有另一類人（絕少數），正知見「有滅涅槃」而不證得阿羅漢的；不入滅盡定而有甚深涅槃知見的，正是初期大乘，觀一切法空而不證實際的菩薩模樣。</w:t>
      </w:r>
    </w:p>
    <w:p w:rsidR="00AA4A0E" w:rsidRPr="00AA4A0E" w:rsidRDefault="00AA4A0E" w:rsidP="00AA4A0E">
      <w:pPr>
        <w:pStyle w:val="a5"/>
        <w:ind w:leftChars="305" w:left="1832" w:hangingChars="500" w:hanging="1100"/>
        <w:jc w:val="both"/>
        <w:rPr>
          <w:color w:val="FF0000"/>
          <w:szCs w:val="22"/>
          <w:highlight w:val="yellow"/>
        </w:rPr>
      </w:pPr>
      <w:r w:rsidRPr="00AA4A0E">
        <w:rPr>
          <w:rFonts w:hint="eastAsia"/>
          <w:color w:val="FF0000"/>
          <w:szCs w:val="22"/>
          <w:highlight w:val="yellow"/>
        </w:rPr>
        <w:t>[</w:t>
      </w:r>
      <w:r w:rsidRPr="00AA4A0E">
        <w:rPr>
          <w:rFonts w:hint="eastAsia"/>
          <w:color w:val="FF0000"/>
          <w:szCs w:val="22"/>
          <w:highlight w:val="yellow"/>
        </w:rPr>
        <w:t>原書註</w:t>
      </w:r>
      <w:r w:rsidRPr="00AA4A0E">
        <w:rPr>
          <w:rFonts w:hint="eastAsia"/>
          <w:color w:val="FF0000"/>
          <w:szCs w:val="22"/>
          <w:highlight w:val="yellow"/>
        </w:rPr>
        <w:t>6]</w:t>
      </w:r>
      <w:r w:rsidRPr="00AA4A0E">
        <w:rPr>
          <w:rFonts w:hint="eastAsia"/>
          <w:color w:val="FF0000"/>
          <w:szCs w:val="22"/>
          <w:highlight w:val="yellow"/>
        </w:rPr>
        <w:t>《雜阿含經》卷</w:t>
      </w:r>
      <w:r w:rsidRPr="00AA4A0E">
        <w:rPr>
          <w:rFonts w:hint="eastAsia"/>
          <w:color w:val="FF0000"/>
          <w:szCs w:val="22"/>
          <w:highlight w:val="yellow"/>
        </w:rPr>
        <w:t>14</w:t>
      </w:r>
      <w:r w:rsidRPr="00AA4A0E">
        <w:rPr>
          <w:rFonts w:hint="eastAsia"/>
          <w:color w:val="FF0000"/>
          <w:szCs w:val="22"/>
          <w:highlight w:val="yellow"/>
        </w:rPr>
        <w:t>（大正</w:t>
      </w:r>
      <w:r w:rsidRPr="00AA4A0E">
        <w:rPr>
          <w:rFonts w:hint="eastAsia"/>
          <w:color w:val="FF0000"/>
          <w:szCs w:val="22"/>
          <w:highlight w:val="yellow"/>
        </w:rPr>
        <w:t>2</w:t>
      </w:r>
      <w:r w:rsidRPr="00AA4A0E">
        <w:rPr>
          <w:rFonts w:hint="eastAsia"/>
          <w:color w:val="FF0000"/>
          <w:szCs w:val="22"/>
          <w:highlight w:val="yellow"/>
        </w:rPr>
        <w:t>，</w:t>
      </w:r>
      <w:r w:rsidRPr="00AA4A0E">
        <w:rPr>
          <w:rFonts w:hint="eastAsia"/>
          <w:color w:val="FF0000"/>
          <w:szCs w:val="22"/>
          <w:highlight w:val="yellow"/>
        </w:rPr>
        <w:t>97a-b</w:t>
      </w:r>
      <w:r w:rsidRPr="00AA4A0E">
        <w:rPr>
          <w:rFonts w:hint="eastAsia"/>
          <w:color w:val="FF0000"/>
          <w:szCs w:val="22"/>
          <w:highlight w:val="yellow"/>
        </w:rPr>
        <w:t>）。《相應部》（一二）「因緣相應」（南傳</w:t>
      </w:r>
      <w:r w:rsidRPr="00AA4A0E">
        <w:rPr>
          <w:rFonts w:hint="eastAsia"/>
          <w:color w:val="FF0000"/>
          <w:szCs w:val="22"/>
          <w:highlight w:val="yellow"/>
        </w:rPr>
        <w:t>13</w:t>
      </w:r>
      <w:r w:rsidRPr="00AA4A0E">
        <w:rPr>
          <w:rFonts w:hint="eastAsia"/>
          <w:color w:val="FF0000"/>
          <w:szCs w:val="22"/>
          <w:highlight w:val="yellow"/>
        </w:rPr>
        <w:t>‧</w:t>
      </w:r>
      <w:r w:rsidRPr="00AA4A0E">
        <w:rPr>
          <w:rFonts w:hint="eastAsia"/>
          <w:color w:val="FF0000"/>
          <w:szCs w:val="22"/>
          <w:highlight w:val="yellow"/>
        </w:rPr>
        <w:t>180</w:t>
      </w:r>
      <w:r w:rsidRPr="00AA4A0E">
        <w:rPr>
          <w:rFonts w:hint="eastAsia"/>
          <w:color w:val="FF0000"/>
          <w:szCs w:val="22"/>
          <w:highlight w:val="yellow"/>
        </w:rPr>
        <w:t>）。</w:t>
      </w:r>
    </w:p>
    <w:p w:rsidR="00157EF6" w:rsidRPr="00412A9C" w:rsidRDefault="00157EF6" w:rsidP="00AA120F">
      <w:pPr>
        <w:pStyle w:val="a5"/>
        <w:ind w:leftChars="80" w:left="731" w:hangingChars="245" w:hanging="539"/>
        <w:jc w:val="both"/>
        <w:rPr>
          <w:szCs w:val="22"/>
        </w:rPr>
      </w:pPr>
      <w:r w:rsidRPr="00412A9C">
        <w:rPr>
          <w:rFonts w:hint="eastAsia"/>
          <w:szCs w:val="22"/>
        </w:rPr>
        <w:t>（</w:t>
      </w:r>
      <w:r w:rsidRPr="00761EF3">
        <w:rPr>
          <w:rFonts w:hint="eastAsia"/>
          <w:szCs w:val="22"/>
        </w:rPr>
        <w:t>5</w:t>
      </w:r>
      <w:r w:rsidRPr="00412A9C">
        <w:rPr>
          <w:rFonts w:hint="eastAsia"/>
          <w:szCs w:val="22"/>
        </w:rPr>
        <w:t>）印順法師，《</w:t>
      </w:r>
      <w:r w:rsidRPr="00412A9C">
        <w:rPr>
          <w:szCs w:val="22"/>
        </w:rPr>
        <w:t>印度佛教思想史》，</w:t>
      </w:r>
      <w:r w:rsidRPr="00761EF3">
        <w:rPr>
          <w:rFonts w:eastAsia="Roman Unicode"/>
          <w:szCs w:val="22"/>
        </w:rPr>
        <w:t>pp</w:t>
      </w:r>
      <w:r w:rsidRPr="00412A9C">
        <w:rPr>
          <w:szCs w:val="22"/>
        </w:rPr>
        <w:t>.</w:t>
      </w:r>
      <w:r w:rsidRPr="00761EF3">
        <w:rPr>
          <w:szCs w:val="22"/>
        </w:rPr>
        <w:t>28</w:t>
      </w:r>
      <w:r w:rsidRPr="00412A9C">
        <w:rPr>
          <w:szCs w:val="22"/>
        </w:rPr>
        <w:t>-</w:t>
      </w:r>
      <w:r w:rsidRPr="00761EF3">
        <w:rPr>
          <w:szCs w:val="22"/>
        </w:rPr>
        <w:t>29</w:t>
      </w:r>
      <w:r w:rsidRPr="00412A9C">
        <w:rPr>
          <w:szCs w:val="22"/>
        </w:rPr>
        <w:t>：</w:t>
      </w:r>
    </w:p>
    <w:p w:rsidR="00157EF6" w:rsidRPr="00412A9C" w:rsidRDefault="00157EF6" w:rsidP="00AA120F">
      <w:pPr>
        <w:pStyle w:val="a5"/>
        <w:ind w:leftChars="305" w:left="732"/>
        <w:jc w:val="both"/>
        <w:rPr>
          <w:rFonts w:eastAsia="標楷體"/>
          <w:szCs w:val="22"/>
        </w:rPr>
      </w:pPr>
      <w:r w:rsidRPr="00412A9C">
        <w:rPr>
          <w:rFonts w:eastAsia="標楷體"/>
          <w:szCs w:val="22"/>
        </w:rPr>
        <w:t>從釋尊的教說中，可見阿羅漢智有先後層次，也有二類阿羅漢。</w:t>
      </w:r>
    </w:p>
    <w:p w:rsidR="00157EF6" w:rsidRPr="00412A9C" w:rsidRDefault="00157EF6" w:rsidP="00AA120F">
      <w:pPr>
        <w:pStyle w:val="a5"/>
        <w:ind w:leftChars="305" w:left="1062" w:hangingChars="150" w:hanging="330"/>
        <w:jc w:val="both"/>
        <w:rPr>
          <w:rFonts w:eastAsia="標楷體"/>
          <w:szCs w:val="22"/>
        </w:rPr>
      </w:pPr>
      <w:r w:rsidRPr="00761EF3">
        <w:rPr>
          <w:rFonts w:eastAsia="標楷體" w:hint="eastAsia"/>
          <w:b/>
          <w:szCs w:val="22"/>
        </w:rPr>
        <w:t>1</w:t>
      </w:r>
      <w:r w:rsidRPr="00412A9C">
        <w:rPr>
          <w:rFonts w:eastAsia="標楷體" w:hint="eastAsia"/>
          <w:b/>
          <w:szCs w:val="22"/>
        </w:rPr>
        <w:t>、</w:t>
      </w:r>
      <w:r w:rsidRPr="00412A9C">
        <w:rPr>
          <w:rFonts w:eastAsia="標楷體"/>
          <w:b/>
          <w:szCs w:val="22"/>
        </w:rPr>
        <w:t>法住智</w:t>
      </w:r>
      <w:r w:rsidRPr="00412A9C">
        <w:rPr>
          <w:rFonts w:eastAsia="標楷體"/>
          <w:szCs w:val="22"/>
        </w:rPr>
        <w:t>知：緣起法被稱為「法性」、「法住」，知法住是知緣起。從因果起滅的必然性中，於（現實身心）蘊、界、處如實知，厭、離欲、滅，而得「我生已盡，梵行已立，所作己辦，不受後有」的解脫智。雖沒有根本定，沒有五通，但生死已究竟解脫，這是以慧得解脫的一類。</w:t>
      </w:r>
    </w:p>
    <w:p w:rsidR="00157EF6" w:rsidRPr="00412A9C" w:rsidRDefault="00157EF6" w:rsidP="00AA120F">
      <w:pPr>
        <w:pStyle w:val="a5"/>
        <w:ind w:leftChars="305" w:left="1062" w:hangingChars="150" w:hanging="330"/>
        <w:jc w:val="both"/>
        <w:rPr>
          <w:rFonts w:eastAsia="標楷體"/>
          <w:szCs w:val="22"/>
        </w:rPr>
      </w:pPr>
      <w:r w:rsidRPr="00761EF3">
        <w:rPr>
          <w:rFonts w:eastAsia="標楷體" w:hint="eastAsia"/>
          <w:b/>
          <w:szCs w:val="22"/>
        </w:rPr>
        <w:t>2</w:t>
      </w:r>
      <w:r w:rsidRPr="00412A9C">
        <w:rPr>
          <w:rFonts w:eastAsia="標楷體"/>
          <w:b/>
          <w:szCs w:val="22"/>
        </w:rPr>
        <w:t>、涅槃智</w:t>
      </w:r>
      <w:r w:rsidRPr="00412A9C">
        <w:rPr>
          <w:rFonts w:eastAsia="標楷體"/>
          <w:szCs w:val="22"/>
        </w:rPr>
        <w:t>知：或是慧解脫者的末「後知涅槃」；也有生前得見法涅槃，能現證知涅槃，這是得三明、六通的，名為（定慧）俱解脫的大阿羅漢。</w:t>
      </w:r>
    </w:p>
    <w:p w:rsidR="00157EF6" w:rsidRPr="00412A9C" w:rsidRDefault="00157EF6" w:rsidP="00AA120F">
      <w:pPr>
        <w:pStyle w:val="a5"/>
        <w:ind w:leftChars="305" w:left="732"/>
        <w:jc w:val="both"/>
        <w:rPr>
          <w:szCs w:val="22"/>
        </w:rPr>
      </w:pPr>
      <w:r w:rsidRPr="00412A9C">
        <w:rPr>
          <w:rFonts w:eastAsia="標楷體"/>
          <w:szCs w:val="22"/>
        </w:rPr>
        <w:t>雖有二類不同，但生死的究竟解脫，是一樣的；而且都是「</w:t>
      </w:r>
      <w:r w:rsidRPr="00412A9C">
        <w:rPr>
          <w:rFonts w:eastAsia="標楷體"/>
          <w:b/>
          <w:szCs w:val="22"/>
        </w:rPr>
        <w:t>先知法住，後知涅槃</w:t>
      </w:r>
      <w:r w:rsidRPr="00412A9C">
        <w:rPr>
          <w:rFonts w:eastAsia="標楷體"/>
          <w:szCs w:val="22"/>
        </w:rPr>
        <w:t>」的。</w:t>
      </w:r>
    </w:p>
  </w:footnote>
  <w:footnote w:id="1035">
    <w:p w:rsidR="00157EF6" w:rsidRPr="00412A9C" w:rsidRDefault="00157EF6" w:rsidP="00AA120F">
      <w:pPr>
        <w:pStyle w:val="a5"/>
        <w:spacing w:line="0" w:lineRule="atLeast"/>
        <w:ind w:left="726" w:hangingChars="330" w:hanging="726"/>
        <w:jc w:val="both"/>
        <w:rPr>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）《中論》卷</w:t>
      </w:r>
      <w:r w:rsidRPr="00761EF3">
        <w:rPr>
          <w:szCs w:val="22"/>
        </w:rPr>
        <w:t>4</w:t>
      </w:r>
      <w:r w:rsidRPr="00412A9C">
        <w:rPr>
          <w:szCs w:val="22"/>
        </w:rPr>
        <w:t>〈</w:t>
      </w:r>
      <w:r w:rsidRPr="00761EF3">
        <w:rPr>
          <w:szCs w:val="22"/>
        </w:rPr>
        <w:t>24</w:t>
      </w:r>
      <w:r>
        <w:rPr>
          <w:szCs w:val="22"/>
        </w:rPr>
        <w:t xml:space="preserve"> </w:t>
      </w:r>
      <w:r w:rsidRPr="00412A9C">
        <w:rPr>
          <w:szCs w:val="22"/>
        </w:rPr>
        <w:t>觀四諦品〉</w:t>
      </w:r>
      <w:r w:rsidR="00DA73E4" w:rsidRPr="00412A9C">
        <w:rPr>
          <w:szCs w:val="22"/>
        </w:rPr>
        <w:t>（大正</w:t>
      </w:r>
      <w:r w:rsidR="00DA73E4" w:rsidRPr="00761EF3">
        <w:rPr>
          <w:rFonts w:eastAsia="SimSun"/>
          <w:szCs w:val="22"/>
        </w:rPr>
        <w:t>30</w:t>
      </w:r>
      <w:r w:rsidR="00DA73E4" w:rsidRPr="00412A9C">
        <w:rPr>
          <w:szCs w:val="22"/>
        </w:rPr>
        <w:t>，</w:t>
      </w:r>
      <w:r w:rsidR="00DA73E4" w:rsidRPr="00761EF3">
        <w:rPr>
          <w:rFonts w:eastAsia="SimSun"/>
          <w:szCs w:val="22"/>
        </w:rPr>
        <w:t>33a2</w:t>
      </w:r>
      <w:r w:rsidR="00DA73E4" w:rsidRPr="00412A9C">
        <w:rPr>
          <w:rFonts w:eastAsia="SimSun"/>
          <w:szCs w:val="22"/>
        </w:rPr>
        <w:t>-</w:t>
      </w:r>
      <w:r w:rsidR="00DA73E4" w:rsidRPr="00761EF3">
        <w:rPr>
          <w:rFonts w:eastAsia="SimSun"/>
          <w:szCs w:val="22"/>
        </w:rPr>
        <w:t>3</w:t>
      </w:r>
      <w:r w:rsidR="00DA73E4" w:rsidRPr="00412A9C">
        <w:rPr>
          <w:szCs w:val="22"/>
        </w:rPr>
        <w:t>）</w:t>
      </w:r>
      <w:r w:rsidRPr="00412A9C">
        <w:rPr>
          <w:szCs w:val="22"/>
        </w:rPr>
        <w:t>：</w:t>
      </w:r>
      <w:r w:rsidRPr="00412A9C">
        <w:rPr>
          <w:rFonts w:eastAsia="標楷體"/>
          <w:szCs w:val="22"/>
        </w:rPr>
        <w:t>「若不依俗諦，不得第一義，不得第一義，則不得涅槃。」</w:t>
      </w:r>
    </w:p>
    <w:p w:rsidR="00157EF6" w:rsidRPr="00412A9C" w:rsidRDefault="00157EF6" w:rsidP="00AA120F">
      <w:pPr>
        <w:pStyle w:val="a5"/>
        <w:ind w:leftChars="80" w:left="731" w:hangingChars="245" w:hanging="539"/>
        <w:jc w:val="both"/>
        <w:rPr>
          <w:szCs w:val="22"/>
        </w:rPr>
      </w:pPr>
      <w:r w:rsidRPr="00412A9C">
        <w:rPr>
          <w:szCs w:val="22"/>
        </w:rPr>
        <w:t>（</w:t>
      </w:r>
      <w:r w:rsidRPr="00761EF3">
        <w:rPr>
          <w:szCs w:val="22"/>
        </w:rPr>
        <w:t>2</w:t>
      </w:r>
      <w:r w:rsidRPr="00412A9C">
        <w:rPr>
          <w:szCs w:val="22"/>
        </w:rPr>
        <w:t>）</w:t>
      </w:r>
      <w:r w:rsidR="009160B5">
        <w:rPr>
          <w:szCs w:val="22"/>
        </w:rPr>
        <w:t>參見：印</w:t>
      </w:r>
      <w:r w:rsidRPr="00412A9C">
        <w:rPr>
          <w:szCs w:val="22"/>
        </w:rPr>
        <w:t>順法師，《中觀論頌講記》，</w:t>
      </w:r>
      <w:r w:rsidRPr="00761EF3">
        <w:rPr>
          <w:szCs w:val="22"/>
        </w:rPr>
        <w:t>pp</w:t>
      </w:r>
      <w:r w:rsidRPr="00412A9C">
        <w:rPr>
          <w:szCs w:val="22"/>
        </w:rPr>
        <w:t>.</w:t>
      </w:r>
      <w:r w:rsidRPr="00761EF3">
        <w:rPr>
          <w:szCs w:val="22"/>
        </w:rPr>
        <w:t>4</w:t>
      </w:r>
      <w:r w:rsidRPr="00761EF3">
        <w:rPr>
          <w:rFonts w:hint="eastAsia"/>
          <w:szCs w:val="22"/>
        </w:rPr>
        <w:t>45</w:t>
      </w:r>
      <w:r w:rsidRPr="00412A9C">
        <w:rPr>
          <w:szCs w:val="22"/>
        </w:rPr>
        <w:t>-</w:t>
      </w:r>
      <w:r w:rsidRPr="00761EF3">
        <w:rPr>
          <w:szCs w:val="22"/>
        </w:rPr>
        <w:t>4</w:t>
      </w:r>
      <w:r w:rsidRPr="00761EF3">
        <w:rPr>
          <w:rFonts w:hint="eastAsia"/>
          <w:szCs w:val="22"/>
        </w:rPr>
        <w:t>52</w:t>
      </w:r>
      <w:r w:rsidRPr="00412A9C">
        <w:rPr>
          <w:szCs w:val="22"/>
        </w:rPr>
        <w:t>；萬金川，《中觀思想講錄》，</w:t>
      </w:r>
      <w:r w:rsidRPr="00761EF3">
        <w:rPr>
          <w:szCs w:val="22"/>
        </w:rPr>
        <w:t>pp</w:t>
      </w:r>
      <w:r w:rsidRPr="00412A9C">
        <w:rPr>
          <w:szCs w:val="22"/>
        </w:rPr>
        <w:t>.</w:t>
      </w:r>
      <w:r w:rsidRPr="00761EF3">
        <w:rPr>
          <w:szCs w:val="22"/>
        </w:rPr>
        <w:t>155</w:t>
      </w:r>
      <w:r w:rsidRPr="00412A9C">
        <w:rPr>
          <w:szCs w:val="22"/>
        </w:rPr>
        <w:t>-</w:t>
      </w:r>
      <w:r w:rsidRPr="00761EF3">
        <w:rPr>
          <w:szCs w:val="22"/>
        </w:rPr>
        <w:t>162</w:t>
      </w:r>
      <w:r w:rsidRPr="00412A9C">
        <w:rPr>
          <w:szCs w:val="22"/>
        </w:rPr>
        <w:t>。</w:t>
      </w:r>
    </w:p>
  </w:footnote>
  <w:footnote w:id="1036">
    <w:p w:rsidR="00157EF6" w:rsidRPr="00412A9C" w:rsidRDefault="00157EF6" w:rsidP="00AA120F">
      <w:pPr>
        <w:pStyle w:val="a5"/>
        <w:ind w:left="187" w:hangingChars="85" w:hanging="187"/>
        <w:jc w:val="both"/>
        <w:rPr>
          <w:szCs w:val="22"/>
        </w:rPr>
      </w:pPr>
      <w:r w:rsidRPr="00412A9C">
        <w:rPr>
          <w:rStyle w:val="a6"/>
          <w:szCs w:val="22"/>
        </w:rPr>
        <w:footnoteRef/>
      </w:r>
      <w:r w:rsidRPr="00412A9C">
        <w:rPr>
          <w:szCs w:val="22"/>
        </w:rPr>
        <w:t xml:space="preserve"> </w:t>
      </w:r>
      <w:r w:rsidRPr="00412A9C">
        <w:rPr>
          <w:szCs w:val="22"/>
        </w:rPr>
        <w:t>正觀空者與邪見人之差別，參見《大智度論》卷</w:t>
      </w:r>
      <w:r w:rsidRPr="00761EF3">
        <w:rPr>
          <w:szCs w:val="22"/>
        </w:rPr>
        <w:t>18</w:t>
      </w:r>
      <w:r w:rsidR="00287E83">
        <w:rPr>
          <w:rFonts w:hint="eastAsia"/>
          <w:color w:val="FF0000"/>
          <w:szCs w:val="22"/>
          <w:highlight w:val="yellow"/>
        </w:rPr>
        <w:t>釋〈</w:t>
      </w:r>
      <w:r w:rsidR="00287E83">
        <w:rPr>
          <w:color w:val="FF0000"/>
          <w:szCs w:val="22"/>
          <w:highlight w:val="yellow"/>
        </w:rPr>
        <w:t xml:space="preserve">1 </w:t>
      </w:r>
      <w:r w:rsidR="00287E83">
        <w:rPr>
          <w:rFonts w:hint="eastAsia"/>
          <w:color w:val="FF0000"/>
          <w:szCs w:val="22"/>
          <w:highlight w:val="yellow"/>
        </w:rPr>
        <w:t>序品〉</w:t>
      </w:r>
      <w:r w:rsidRPr="00412A9C">
        <w:rPr>
          <w:szCs w:val="22"/>
        </w:rPr>
        <w:t>（大正</w:t>
      </w:r>
      <w:r w:rsidRPr="00761EF3">
        <w:rPr>
          <w:szCs w:val="22"/>
        </w:rPr>
        <w:t>25</w:t>
      </w:r>
      <w:r w:rsidRPr="00412A9C">
        <w:rPr>
          <w:szCs w:val="22"/>
        </w:rPr>
        <w:t>，</w:t>
      </w:r>
      <w:r w:rsidRPr="00761EF3">
        <w:rPr>
          <w:szCs w:val="22"/>
        </w:rPr>
        <w:t>193c14</w:t>
      </w:r>
      <w:r w:rsidRPr="00412A9C">
        <w:rPr>
          <w:szCs w:val="22"/>
        </w:rPr>
        <w:t>-</w:t>
      </w:r>
      <w:r w:rsidRPr="00761EF3">
        <w:rPr>
          <w:szCs w:val="22"/>
        </w:rPr>
        <w:t>194a26</w:t>
      </w:r>
      <w:r w:rsidRPr="00412A9C">
        <w:rPr>
          <w:szCs w:val="22"/>
        </w:rPr>
        <w:t>）。</w:t>
      </w:r>
    </w:p>
  </w:footnote>
  <w:footnote w:id="1037">
    <w:p w:rsidR="00811E1B" w:rsidRDefault="00811E1B" w:rsidP="00811E1B">
      <w:pPr>
        <w:pStyle w:val="a5"/>
        <w:ind w:left="187" w:hangingChars="85" w:hanging="187"/>
        <w:jc w:val="both"/>
        <w:rPr>
          <w:szCs w:val="22"/>
        </w:rPr>
      </w:pPr>
      <w:r w:rsidRPr="00412A9C">
        <w:rPr>
          <w:rStyle w:val="a6"/>
          <w:szCs w:val="22"/>
        </w:rPr>
        <w:footnoteRef/>
      </w:r>
      <w:r>
        <w:rPr>
          <w:rFonts w:hint="eastAsia"/>
          <w:szCs w:val="22"/>
        </w:rPr>
        <w:t xml:space="preserve"> </w:t>
      </w:r>
      <w:r>
        <w:rPr>
          <w:rFonts w:hint="eastAsia"/>
          <w:szCs w:val="22"/>
        </w:rPr>
        <w:t>（</w:t>
      </w:r>
      <w:r>
        <w:rPr>
          <w:rFonts w:hint="eastAsia"/>
          <w:szCs w:val="22"/>
        </w:rPr>
        <w:t>1</w:t>
      </w:r>
      <w:r>
        <w:rPr>
          <w:rFonts w:hint="eastAsia"/>
          <w:szCs w:val="22"/>
        </w:rPr>
        <w:t>）</w:t>
      </w:r>
      <w:r w:rsidRPr="00412A9C">
        <w:rPr>
          <w:szCs w:val="22"/>
        </w:rPr>
        <w:t>《中論》卷</w:t>
      </w:r>
      <w:r w:rsidRPr="00761EF3">
        <w:rPr>
          <w:szCs w:val="22"/>
        </w:rPr>
        <w:t>4</w:t>
      </w:r>
      <w:r w:rsidRPr="00412A9C">
        <w:rPr>
          <w:szCs w:val="22"/>
        </w:rPr>
        <w:t>〈</w:t>
      </w:r>
      <w:r w:rsidRPr="00761EF3">
        <w:rPr>
          <w:szCs w:val="22"/>
        </w:rPr>
        <w:t>26</w:t>
      </w:r>
      <w:r>
        <w:rPr>
          <w:szCs w:val="22"/>
        </w:rPr>
        <w:t xml:space="preserve"> </w:t>
      </w:r>
      <w:r w:rsidRPr="00412A9C">
        <w:rPr>
          <w:szCs w:val="22"/>
        </w:rPr>
        <w:t>觀十二因緣品〉（大正</w:t>
      </w:r>
      <w:r w:rsidRPr="00761EF3">
        <w:rPr>
          <w:szCs w:val="22"/>
        </w:rPr>
        <w:t>30</w:t>
      </w:r>
      <w:r w:rsidRPr="00412A9C">
        <w:rPr>
          <w:szCs w:val="22"/>
        </w:rPr>
        <w:t>，</w:t>
      </w:r>
      <w:r w:rsidRPr="00761EF3">
        <w:rPr>
          <w:szCs w:val="22"/>
        </w:rPr>
        <w:t>36b17</w:t>
      </w:r>
      <w:r w:rsidRPr="00412A9C">
        <w:rPr>
          <w:szCs w:val="22"/>
        </w:rPr>
        <w:t>-</w:t>
      </w:r>
      <w:r w:rsidRPr="00761EF3">
        <w:rPr>
          <w:szCs w:val="22"/>
        </w:rPr>
        <w:t>c24</w:t>
      </w:r>
      <w:r w:rsidRPr="00412A9C">
        <w:rPr>
          <w:szCs w:val="22"/>
        </w:rPr>
        <w:t>）。</w:t>
      </w:r>
    </w:p>
    <w:p w:rsidR="00811E1B" w:rsidRPr="00412A9C" w:rsidRDefault="00811E1B" w:rsidP="00811E1B">
      <w:pPr>
        <w:pStyle w:val="a5"/>
        <w:ind w:leftChars="70" w:left="168"/>
        <w:jc w:val="both"/>
        <w:rPr>
          <w:szCs w:val="22"/>
        </w:rPr>
      </w:pPr>
      <w:r>
        <w:rPr>
          <w:rFonts w:hint="eastAsia"/>
          <w:szCs w:val="22"/>
        </w:rPr>
        <w:t>（</w:t>
      </w:r>
      <w:r>
        <w:rPr>
          <w:rFonts w:hint="eastAsia"/>
          <w:szCs w:val="22"/>
        </w:rPr>
        <w:t>2</w:t>
      </w:r>
      <w:r>
        <w:rPr>
          <w:rFonts w:hint="eastAsia"/>
          <w:szCs w:val="22"/>
        </w:rPr>
        <w:t>）</w:t>
      </w:r>
      <w:r w:rsidRPr="00412A9C">
        <w:rPr>
          <w:szCs w:val="22"/>
        </w:rPr>
        <w:t>《中論》卷</w:t>
      </w:r>
      <w:r w:rsidRPr="00761EF3">
        <w:rPr>
          <w:szCs w:val="22"/>
        </w:rPr>
        <w:t>4</w:t>
      </w:r>
      <w:r w:rsidRPr="00412A9C">
        <w:rPr>
          <w:szCs w:val="22"/>
        </w:rPr>
        <w:t>〈</w:t>
      </w:r>
      <w:r w:rsidRPr="00761EF3">
        <w:rPr>
          <w:szCs w:val="22"/>
        </w:rPr>
        <w:t>27</w:t>
      </w:r>
      <w:r>
        <w:rPr>
          <w:szCs w:val="22"/>
        </w:rPr>
        <w:t xml:space="preserve"> </w:t>
      </w:r>
      <w:r w:rsidRPr="00412A9C">
        <w:rPr>
          <w:szCs w:val="22"/>
        </w:rPr>
        <w:t>觀邪見品〉（大正</w:t>
      </w:r>
      <w:r w:rsidRPr="00761EF3">
        <w:rPr>
          <w:szCs w:val="22"/>
        </w:rPr>
        <w:t>30</w:t>
      </w:r>
      <w:r w:rsidRPr="00412A9C">
        <w:rPr>
          <w:szCs w:val="22"/>
        </w:rPr>
        <w:t>，</w:t>
      </w:r>
      <w:r w:rsidRPr="00761EF3">
        <w:rPr>
          <w:szCs w:val="22"/>
        </w:rPr>
        <w:t>36c24</w:t>
      </w:r>
      <w:r w:rsidRPr="00412A9C">
        <w:rPr>
          <w:szCs w:val="22"/>
        </w:rPr>
        <w:t>-</w:t>
      </w:r>
      <w:r w:rsidRPr="00761EF3">
        <w:rPr>
          <w:szCs w:val="22"/>
        </w:rPr>
        <w:t>39b27</w:t>
      </w:r>
      <w:r w:rsidRPr="00412A9C">
        <w:rPr>
          <w:szCs w:val="22"/>
        </w:rPr>
        <w:t>）。</w:t>
      </w:r>
    </w:p>
  </w:footnote>
  <w:footnote w:id="1038">
    <w:p w:rsidR="00157EF6" w:rsidRPr="00412A9C" w:rsidRDefault="00157EF6" w:rsidP="00AA120F">
      <w:pPr>
        <w:pStyle w:val="a5"/>
        <w:ind w:left="187" w:hangingChars="85" w:hanging="187"/>
        <w:jc w:val="both"/>
        <w:rPr>
          <w:szCs w:val="22"/>
        </w:rPr>
      </w:pPr>
      <w:r w:rsidRPr="00412A9C">
        <w:rPr>
          <w:rStyle w:val="a6"/>
          <w:szCs w:val="22"/>
        </w:rPr>
        <w:footnoteRef/>
      </w:r>
      <w:r w:rsidRPr="00412A9C">
        <w:rPr>
          <w:szCs w:val="22"/>
        </w:rPr>
        <w:t xml:space="preserve"> </w:t>
      </w:r>
      <w:r w:rsidRPr="00412A9C">
        <w:rPr>
          <w:szCs w:val="22"/>
        </w:rPr>
        <w:t>窠臼：</w:t>
      </w:r>
      <w:r w:rsidRPr="00761EF3">
        <w:rPr>
          <w:szCs w:val="22"/>
        </w:rPr>
        <w:t>2</w:t>
      </w:r>
      <w:r w:rsidRPr="00412A9C">
        <w:rPr>
          <w:szCs w:val="22"/>
        </w:rPr>
        <w:t>.</w:t>
      </w:r>
      <w:r w:rsidRPr="00412A9C">
        <w:rPr>
          <w:szCs w:val="22"/>
        </w:rPr>
        <w:t>比喻舊有的現成格式</w:t>
      </w:r>
      <w:r w:rsidRPr="00412A9C">
        <w:rPr>
          <w:rFonts w:hint="eastAsia"/>
          <w:szCs w:val="22"/>
        </w:rPr>
        <w:t>，</w:t>
      </w:r>
      <w:r w:rsidRPr="00412A9C">
        <w:rPr>
          <w:szCs w:val="22"/>
        </w:rPr>
        <w:t>老套子。（《漢語大詞典》（八），</w:t>
      </w:r>
      <w:r w:rsidRPr="00761EF3">
        <w:rPr>
          <w:szCs w:val="22"/>
        </w:rPr>
        <w:t>p</w:t>
      </w:r>
      <w:r w:rsidRPr="00412A9C">
        <w:rPr>
          <w:szCs w:val="22"/>
        </w:rPr>
        <w:t>.</w:t>
      </w:r>
      <w:r w:rsidRPr="00761EF3">
        <w:rPr>
          <w:szCs w:val="22"/>
        </w:rPr>
        <w:t>449</w:t>
      </w:r>
      <w:r w:rsidRPr="00412A9C">
        <w:rPr>
          <w:szCs w:val="22"/>
        </w:rPr>
        <w:t>）</w:t>
      </w:r>
    </w:p>
  </w:footnote>
  <w:footnote w:id="1039">
    <w:p w:rsidR="00157EF6" w:rsidRPr="00412A9C" w:rsidRDefault="00157EF6" w:rsidP="00AA120F">
      <w:pPr>
        <w:pStyle w:val="a5"/>
        <w:ind w:left="187" w:hangingChars="85" w:hanging="187"/>
        <w:jc w:val="both"/>
        <w:rPr>
          <w:szCs w:val="22"/>
        </w:rPr>
      </w:pPr>
      <w:r w:rsidRPr="00412A9C">
        <w:rPr>
          <w:rStyle w:val="a6"/>
          <w:szCs w:val="22"/>
        </w:rPr>
        <w:footnoteRef/>
      </w:r>
      <w:r>
        <w:rPr>
          <w:rFonts w:hint="eastAsia"/>
          <w:szCs w:val="22"/>
        </w:rPr>
        <w:t xml:space="preserve"> </w:t>
      </w:r>
      <w:r w:rsidRPr="00412A9C">
        <w:rPr>
          <w:szCs w:val="22"/>
        </w:rPr>
        <w:t>《雜阿含經》卷</w:t>
      </w:r>
      <w:r w:rsidRPr="00761EF3">
        <w:rPr>
          <w:szCs w:val="22"/>
        </w:rPr>
        <w:t>10</w:t>
      </w:r>
      <w:r w:rsidRPr="00412A9C">
        <w:rPr>
          <w:szCs w:val="22"/>
        </w:rPr>
        <w:t>（</w:t>
      </w:r>
      <w:r w:rsidRPr="00761EF3">
        <w:rPr>
          <w:szCs w:val="22"/>
        </w:rPr>
        <w:t>262</w:t>
      </w:r>
      <w:r w:rsidRPr="00412A9C">
        <w:rPr>
          <w:szCs w:val="22"/>
        </w:rPr>
        <w:t>經）（大正</w:t>
      </w:r>
      <w:r w:rsidRPr="00761EF3">
        <w:rPr>
          <w:szCs w:val="22"/>
        </w:rPr>
        <w:t>2</w:t>
      </w:r>
      <w:r w:rsidRPr="00412A9C">
        <w:rPr>
          <w:szCs w:val="22"/>
        </w:rPr>
        <w:t>，</w:t>
      </w:r>
      <w:r w:rsidRPr="00761EF3">
        <w:rPr>
          <w:szCs w:val="22"/>
        </w:rPr>
        <w:t>67a2</w:t>
      </w:r>
      <w:r w:rsidRPr="00412A9C">
        <w:rPr>
          <w:szCs w:val="22"/>
        </w:rPr>
        <w:t>-</w:t>
      </w:r>
      <w:r w:rsidRPr="00761EF3">
        <w:rPr>
          <w:szCs w:val="22"/>
        </w:rPr>
        <w:t>8</w:t>
      </w:r>
      <w:r w:rsidRPr="00412A9C">
        <w:rPr>
          <w:szCs w:val="22"/>
        </w:rPr>
        <w:t>）：</w:t>
      </w:r>
    </w:p>
    <w:p w:rsidR="00157EF6" w:rsidRPr="00412A9C" w:rsidRDefault="00157EF6" w:rsidP="00AA120F">
      <w:pPr>
        <w:pStyle w:val="a5"/>
        <w:ind w:leftChars="75" w:left="180"/>
        <w:jc w:val="both"/>
        <w:rPr>
          <w:rFonts w:ascii="標楷體" w:eastAsia="標楷體" w:hAnsi="標楷體"/>
          <w:szCs w:val="22"/>
        </w:rPr>
      </w:pPr>
      <w:r w:rsidRPr="00412A9C">
        <w:rPr>
          <w:rFonts w:ascii="標楷體" w:eastAsia="標楷體" w:hAnsi="標楷體"/>
          <w:szCs w:val="22"/>
        </w:rPr>
        <w:t>迦旃延！如實正觀世間集者，則不生世間無見</w:t>
      </w:r>
      <w:r w:rsidRPr="00412A9C">
        <w:rPr>
          <w:rFonts w:ascii="標楷體" w:eastAsia="標楷體" w:hAnsi="標楷體" w:hint="eastAsia"/>
          <w:szCs w:val="22"/>
        </w:rPr>
        <w:t>；</w:t>
      </w:r>
      <w:r w:rsidRPr="00412A9C">
        <w:rPr>
          <w:rFonts w:ascii="標楷體" w:eastAsia="標楷體" w:hAnsi="標楷體"/>
          <w:szCs w:val="22"/>
        </w:rPr>
        <w:t>如實正觀世間滅，則不生世間有見。</w:t>
      </w:r>
    </w:p>
    <w:p w:rsidR="00157EF6" w:rsidRPr="00412A9C" w:rsidRDefault="00157EF6" w:rsidP="00AA120F">
      <w:pPr>
        <w:pStyle w:val="a5"/>
        <w:ind w:leftChars="75" w:left="180"/>
        <w:jc w:val="both"/>
        <w:rPr>
          <w:szCs w:val="22"/>
        </w:rPr>
      </w:pPr>
      <w:r w:rsidRPr="00412A9C">
        <w:rPr>
          <w:rFonts w:ascii="標楷體" w:eastAsia="標楷體" w:hAnsi="標楷體"/>
          <w:szCs w:val="22"/>
        </w:rPr>
        <w:t>迦旃延！如來離於二邊，說於中道，所謂</w:t>
      </w:r>
      <w:r w:rsidR="004135CE">
        <w:rPr>
          <w:rFonts w:ascii="標楷體" w:eastAsia="標楷體" w:hAnsi="標楷體" w:hint="eastAsia"/>
          <w:bCs/>
          <w:color w:val="FF0000"/>
          <w:kern w:val="0"/>
          <w:highlight w:val="yellow"/>
        </w:rPr>
        <w:t>「</w:t>
      </w:r>
      <w:r w:rsidRPr="00412A9C">
        <w:rPr>
          <w:rFonts w:ascii="標楷體" w:eastAsia="標楷體" w:hAnsi="標楷體"/>
          <w:b/>
          <w:szCs w:val="22"/>
        </w:rPr>
        <w:t>此有故彼有，此生故彼生</w:t>
      </w:r>
      <w:r w:rsidR="004135CE">
        <w:rPr>
          <w:rFonts w:ascii="標楷體" w:eastAsia="標楷體" w:hAnsi="標楷體" w:hint="eastAsia"/>
          <w:bCs/>
          <w:color w:val="FF0000"/>
          <w:kern w:val="0"/>
          <w:highlight w:val="yellow"/>
        </w:rPr>
        <w:t>」</w:t>
      </w:r>
      <w:r w:rsidRPr="00412A9C">
        <w:rPr>
          <w:rFonts w:ascii="標楷體" w:eastAsia="標楷體" w:hAnsi="標楷體"/>
          <w:szCs w:val="22"/>
        </w:rPr>
        <w:t>，謂緣無明有行，乃至</w:t>
      </w:r>
      <w:r w:rsidRPr="004135CE">
        <w:rPr>
          <w:rFonts w:ascii="標楷體" w:eastAsia="標楷體" w:hAnsi="標楷體"/>
          <w:szCs w:val="22"/>
          <w:highlight w:val="yellow"/>
        </w:rPr>
        <w:t>生老病死憂悲惱苦</w:t>
      </w:r>
      <w:r w:rsidRPr="00412A9C">
        <w:rPr>
          <w:rFonts w:ascii="標楷體" w:eastAsia="標楷體" w:hAnsi="標楷體"/>
          <w:szCs w:val="22"/>
        </w:rPr>
        <w:t>集；所謂</w:t>
      </w:r>
      <w:r w:rsidR="004135CE">
        <w:rPr>
          <w:rFonts w:ascii="標楷體" w:eastAsia="標楷體" w:hAnsi="標楷體" w:hint="eastAsia"/>
          <w:bCs/>
          <w:color w:val="FF0000"/>
          <w:kern w:val="0"/>
          <w:highlight w:val="yellow"/>
        </w:rPr>
        <w:t>「</w:t>
      </w:r>
      <w:r w:rsidRPr="00412A9C">
        <w:rPr>
          <w:rFonts w:ascii="標楷體" w:eastAsia="標楷體" w:hAnsi="標楷體"/>
          <w:b/>
          <w:szCs w:val="22"/>
        </w:rPr>
        <w:t>此無故彼無，此滅故彼滅</w:t>
      </w:r>
      <w:r w:rsidR="004135CE">
        <w:rPr>
          <w:rFonts w:ascii="標楷體" w:eastAsia="標楷體" w:hAnsi="標楷體" w:hint="eastAsia"/>
          <w:bCs/>
          <w:color w:val="FF0000"/>
          <w:kern w:val="0"/>
          <w:highlight w:val="yellow"/>
        </w:rPr>
        <w:t>」</w:t>
      </w:r>
      <w:r w:rsidRPr="00412A9C">
        <w:rPr>
          <w:rFonts w:ascii="標楷體" w:eastAsia="標楷體" w:hAnsi="標楷體"/>
          <w:szCs w:val="22"/>
        </w:rPr>
        <w:t>，謂無明滅則行滅，乃至</w:t>
      </w:r>
      <w:r w:rsidRPr="004135CE">
        <w:rPr>
          <w:rFonts w:ascii="標楷體" w:eastAsia="標楷體" w:hAnsi="標楷體"/>
          <w:szCs w:val="22"/>
          <w:highlight w:val="yellow"/>
        </w:rPr>
        <w:t>生老病死憂悲惱苦</w:t>
      </w:r>
      <w:r w:rsidRPr="00412A9C">
        <w:rPr>
          <w:rFonts w:ascii="標楷體" w:eastAsia="標楷體" w:hAnsi="標楷體"/>
          <w:szCs w:val="22"/>
        </w:rPr>
        <w:t>滅。</w:t>
      </w:r>
    </w:p>
  </w:footnote>
  <w:footnote w:id="1040">
    <w:p w:rsidR="00157EF6" w:rsidRPr="00412A9C" w:rsidRDefault="00157EF6" w:rsidP="00AA120F">
      <w:pPr>
        <w:pStyle w:val="a5"/>
        <w:spacing w:line="0" w:lineRule="atLeast"/>
        <w:ind w:left="726" w:hangingChars="330" w:hanging="726"/>
        <w:jc w:val="both"/>
        <w:rPr>
          <w:szCs w:val="22"/>
        </w:rPr>
      </w:pPr>
      <w:r w:rsidRPr="00412A9C">
        <w:rPr>
          <w:rStyle w:val="a6"/>
          <w:szCs w:val="22"/>
        </w:rPr>
        <w:footnoteRef/>
      </w:r>
      <w:r w:rsidRPr="00412A9C">
        <w:rPr>
          <w:szCs w:val="22"/>
        </w:rPr>
        <w:t xml:space="preserve"> </w:t>
      </w:r>
      <w:r w:rsidRPr="00412A9C">
        <w:rPr>
          <w:rFonts w:hint="eastAsia"/>
          <w:szCs w:val="22"/>
        </w:rPr>
        <w:t>（</w:t>
      </w:r>
      <w:r w:rsidRPr="00761EF3">
        <w:rPr>
          <w:rFonts w:hint="eastAsia"/>
          <w:szCs w:val="22"/>
        </w:rPr>
        <w:t>1</w:t>
      </w:r>
      <w:r w:rsidRPr="00412A9C">
        <w:rPr>
          <w:rFonts w:hint="eastAsia"/>
          <w:szCs w:val="22"/>
        </w:rPr>
        <w:t>）</w:t>
      </w:r>
      <w:r w:rsidR="009160B5">
        <w:rPr>
          <w:rFonts w:hint="eastAsia"/>
          <w:szCs w:val="22"/>
        </w:rPr>
        <w:t>參見：印</w:t>
      </w:r>
      <w:r w:rsidRPr="00412A9C">
        <w:rPr>
          <w:rFonts w:hint="eastAsia"/>
          <w:szCs w:val="22"/>
        </w:rPr>
        <w:t>順法師，《勝鬘經講記》，</w:t>
      </w:r>
      <w:r w:rsidRPr="00761EF3">
        <w:rPr>
          <w:rFonts w:hint="eastAsia"/>
          <w:szCs w:val="22"/>
        </w:rPr>
        <w:t>p</w:t>
      </w:r>
      <w:r w:rsidRPr="00412A9C">
        <w:rPr>
          <w:rFonts w:hint="eastAsia"/>
          <w:szCs w:val="22"/>
        </w:rPr>
        <w:t>.</w:t>
      </w:r>
      <w:r w:rsidRPr="00761EF3">
        <w:rPr>
          <w:rFonts w:hint="eastAsia"/>
          <w:szCs w:val="22"/>
        </w:rPr>
        <w:t>160</w:t>
      </w:r>
      <w:r w:rsidRPr="00412A9C">
        <w:rPr>
          <w:rFonts w:hint="eastAsia"/>
          <w:szCs w:val="22"/>
        </w:rPr>
        <w:t>：</w:t>
      </w:r>
    </w:p>
    <w:p w:rsidR="00157EF6" w:rsidRPr="00412A9C" w:rsidRDefault="00157EF6" w:rsidP="00AA120F">
      <w:pPr>
        <w:pStyle w:val="a5"/>
        <w:ind w:leftChars="305" w:left="732"/>
        <w:jc w:val="both"/>
        <w:rPr>
          <w:rFonts w:ascii="標楷體" w:eastAsia="標楷體" w:hAnsi="標楷體"/>
          <w:szCs w:val="22"/>
        </w:rPr>
      </w:pPr>
      <w:r w:rsidRPr="00412A9C">
        <w:rPr>
          <w:rFonts w:ascii="標楷體" w:eastAsia="標楷體" w:hAnsi="標楷體" w:hint="eastAsia"/>
          <w:b/>
          <w:szCs w:val="22"/>
        </w:rPr>
        <w:t>煩惱障，</w:t>
      </w:r>
      <w:r w:rsidRPr="00412A9C">
        <w:rPr>
          <w:rFonts w:ascii="標楷體" w:eastAsia="標楷體" w:hAnsi="標楷體" w:hint="eastAsia"/>
          <w:szCs w:val="22"/>
        </w:rPr>
        <w:t>是以我我所執為本的，由我我所執而起貪等煩惱，由此而招三界分段生死苦。</w:t>
      </w:r>
    </w:p>
    <w:p w:rsidR="00157EF6" w:rsidRPr="00412A9C" w:rsidRDefault="00157EF6" w:rsidP="00AA120F">
      <w:pPr>
        <w:pStyle w:val="a5"/>
        <w:ind w:leftChars="305" w:left="732"/>
        <w:jc w:val="both"/>
        <w:rPr>
          <w:rFonts w:ascii="標楷體" w:eastAsia="標楷體" w:hAnsi="標楷體"/>
          <w:szCs w:val="22"/>
        </w:rPr>
      </w:pPr>
      <w:r w:rsidRPr="00412A9C">
        <w:rPr>
          <w:rFonts w:ascii="標楷體" w:eastAsia="標楷體" w:hAnsi="標楷體" w:hint="eastAsia"/>
          <w:b/>
          <w:szCs w:val="22"/>
        </w:rPr>
        <w:t>所知障</w:t>
      </w:r>
      <w:r w:rsidRPr="00412A9C">
        <w:rPr>
          <w:rFonts w:ascii="標楷體" w:eastAsia="標楷體" w:hAnsi="標楷體" w:hint="eastAsia"/>
          <w:szCs w:val="22"/>
        </w:rPr>
        <w:t>，是迷於一切法空性，而不能徹了一切所知的實事實理；為一切法空智的障礙。</w:t>
      </w:r>
    </w:p>
    <w:p w:rsidR="00157EF6" w:rsidRPr="00412A9C" w:rsidRDefault="00157EF6" w:rsidP="00AA120F">
      <w:pPr>
        <w:pStyle w:val="a5"/>
        <w:ind w:leftChars="80" w:left="731" w:hangingChars="245" w:hanging="539"/>
        <w:jc w:val="both"/>
        <w:rPr>
          <w:szCs w:val="22"/>
        </w:rPr>
      </w:pPr>
      <w:r w:rsidRPr="00412A9C">
        <w:rPr>
          <w:szCs w:val="22"/>
        </w:rPr>
        <w:t>（</w:t>
      </w:r>
      <w:r w:rsidRPr="00761EF3">
        <w:rPr>
          <w:szCs w:val="22"/>
        </w:rPr>
        <w:t>2</w:t>
      </w:r>
      <w:r w:rsidRPr="00412A9C">
        <w:rPr>
          <w:szCs w:val="22"/>
        </w:rPr>
        <w:t>）</w:t>
      </w:r>
      <w:r w:rsidR="009160B5">
        <w:rPr>
          <w:szCs w:val="22"/>
        </w:rPr>
        <w:t>參見：印</w:t>
      </w:r>
      <w:r w:rsidRPr="00412A9C">
        <w:rPr>
          <w:szCs w:val="22"/>
        </w:rPr>
        <w:t>順法師，《</w:t>
      </w:r>
      <w:r w:rsidRPr="00412A9C">
        <w:rPr>
          <w:rFonts w:hint="eastAsia"/>
          <w:szCs w:val="22"/>
        </w:rPr>
        <w:t>辨法法性論講記</w:t>
      </w:r>
      <w:r w:rsidRPr="00412A9C">
        <w:rPr>
          <w:szCs w:val="22"/>
        </w:rPr>
        <w:t>》</w:t>
      </w:r>
      <w:r w:rsidRPr="00412A9C">
        <w:rPr>
          <w:rFonts w:hint="eastAsia"/>
          <w:szCs w:val="22"/>
        </w:rPr>
        <w:t>，收於</w:t>
      </w:r>
      <w:r w:rsidRPr="00412A9C">
        <w:rPr>
          <w:szCs w:val="22"/>
        </w:rPr>
        <w:t>《華雨集》</w:t>
      </w:r>
      <w:r w:rsidRPr="00412A9C">
        <w:rPr>
          <w:rFonts w:hint="eastAsia"/>
          <w:szCs w:val="22"/>
        </w:rPr>
        <w:t>（</w:t>
      </w:r>
      <w:r w:rsidRPr="00412A9C">
        <w:rPr>
          <w:szCs w:val="22"/>
        </w:rPr>
        <w:t>第一冊</w:t>
      </w:r>
      <w:r w:rsidRPr="00412A9C">
        <w:rPr>
          <w:rFonts w:hint="eastAsia"/>
          <w:szCs w:val="22"/>
        </w:rPr>
        <w:t>）</w:t>
      </w:r>
      <w:r w:rsidRPr="00412A9C">
        <w:rPr>
          <w:szCs w:val="22"/>
        </w:rPr>
        <w:t>，</w:t>
      </w:r>
      <w:r w:rsidRPr="00761EF3">
        <w:rPr>
          <w:szCs w:val="22"/>
        </w:rPr>
        <w:t>pp</w:t>
      </w:r>
      <w:r w:rsidRPr="00412A9C">
        <w:rPr>
          <w:szCs w:val="22"/>
        </w:rPr>
        <w:t>.</w:t>
      </w:r>
      <w:r w:rsidRPr="00761EF3">
        <w:rPr>
          <w:szCs w:val="22"/>
        </w:rPr>
        <w:t>331</w:t>
      </w:r>
      <w:r w:rsidRPr="00412A9C">
        <w:rPr>
          <w:szCs w:val="22"/>
        </w:rPr>
        <w:t>-</w:t>
      </w:r>
      <w:r w:rsidRPr="00761EF3">
        <w:rPr>
          <w:szCs w:val="22"/>
        </w:rPr>
        <w:t>33</w:t>
      </w:r>
      <w:r w:rsidRPr="00761EF3">
        <w:rPr>
          <w:rFonts w:hint="eastAsia"/>
          <w:szCs w:val="22"/>
        </w:rPr>
        <w:t>2</w:t>
      </w:r>
      <w:r w:rsidRPr="00412A9C">
        <w:rPr>
          <w:szCs w:val="22"/>
        </w:rPr>
        <w:t>：</w:t>
      </w:r>
    </w:p>
    <w:p w:rsidR="00157EF6" w:rsidRPr="00412A9C" w:rsidRDefault="00157EF6" w:rsidP="00AA120F">
      <w:pPr>
        <w:pStyle w:val="a5"/>
        <w:ind w:leftChars="305" w:left="732"/>
        <w:jc w:val="both"/>
        <w:rPr>
          <w:rFonts w:ascii="標楷體" w:eastAsia="標楷體" w:hAnsi="標楷體"/>
          <w:szCs w:val="22"/>
        </w:rPr>
      </w:pPr>
      <w:r w:rsidRPr="00412A9C">
        <w:rPr>
          <w:rFonts w:ascii="標楷體" w:eastAsia="標楷體" w:hAnsi="標楷體" w:hint="eastAsia"/>
          <w:b/>
          <w:szCs w:val="22"/>
        </w:rPr>
        <w:t>唯識宗</w:t>
      </w:r>
      <w:r w:rsidRPr="00412A9C">
        <w:rPr>
          <w:rFonts w:ascii="標楷體" w:eastAsia="標楷體" w:hAnsi="標楷體" w:hint="eastAsia"/>
          <w:szCs w:val="22"/>
        </w:rPr>
        <w:t>分煩惱為二大類：</w:t>
      </w:r>
    </w:p>
    <w:p w:rsidR="00157EF6" w:rsidRPr="00D3009B" w:rsidRDefault="00157EF6" w:rsidP="00AA120F">
      <w:pPr>
        <w:pStyle w:val="a5"/>
        <w:ind w:leftChars="305" w:left="732"/>
        <w:jc w:val="both"/>
        <w:rPr>
          <w:rFonts w:ascii="標楷體" w:eastAsia="標楷體" w:hAnsi="標楷體"/>
          <w:szCs w:val="22"/>
        </w:rPr>
      </w:pPr>
      <w:r w:rsidRPr="00412A9C">
        <w:rPr>
          <w:rFonts w:ascii="標楷體" w:eastAsia="標楷體" w:hAnsi="標楷體" w:hint="eastAsia"/>
          <w:b/>
          <w:szCs w:val="22"/>
        </w:rPr>
        <w:t>一、煩惱障：</w:t>
      </w:r>
      <w:r w:rsidRPr="00412A9C">
        <w:rPr>
          <w:rFonts w:ascii="標楷體" w:eastAsia="標楷體" w:hAnsi="標楷體" w:hint="eastAsia"/>
          <w:szCs w:val="22"/>
        </w:rPr>
        <w:t>根本煩惱有十種；隨煩惱，又有大隨、中隨、小隨等煩惱。</w:t>
      </w:r>
      <w:r w:rsidRPr="00412A9C">
        <w:rPr>
          <w:rFonts w:ascii="標楷體" w:eastAsia="標楷體" w:hAnsi="標楷體" w:hint="eastAsia"/>
          <w:b/>
          <w:szCs w:val="22"/>
        </w:rPr>
        <w:t>一切煩惱，是以薩迦耶見──我見為主的。</w:t>
      </w:r>
      <w:r w:rsidRPr="00412A9C">
        <w:rPr>
          <w:rFonts w:ascii="標楷體" w:eastAsia="標楷體" w:hAnsi="標楷體" w:hint="eastAsia"/>
          <w:szCs w:val="22"/>
        </w:rPr>
        <w:t>薩迦耶見是自我見，使我們以自我為中心而營為一切，起善、作惡，將來能得人天等樂報，地獄等苦報，在生死中流轉。煩惱障能使我們感生死果，不能得涅槃，障礙涅槃。這種煩惱障，是二乘所共斷的，斷了煩惱障，才能了生死，得涅槃。煩惱障中，有見道所</w:t>
      </w:r>
      <w:r w:rsidRPr="00D3009B">
        <w:rPr>
          <w:rFonts w:ascii="標楷體" w:eastAsia="標楷體" w:hAnsi="標楷體" w:hint="eastAsia"/>
          <w:szCs w:val="22"/>
        </w:rPr>
        <w:t>斷的煩惱、修道所斷的煩惱，古譯或稱為見、思煩惱。</w:t>
      </w:r>
    </w:p>
    <w:p w:rsidR="00157EF6" w:rsidRPr="00412A9C" w:rsidRDefault="00157EF6" w:rsidP="00AE3920">
      <w:pPr>
        <w:pStyle w:val="a5"/>
        <w:spacing w:beforeLines="20"/>
        <w:ind w:leftChars="305" w:left="732"/>
        <w:jc w:val="both"/>
        <w:rPr>
          <w:rFonts w:ascii="標楷體" w:eastAsia="標楷體" w:hAnsi="標楷體"/>
          <w:szCs w:val="22"/>
        </w:rPr>
      </w:pPr>
      <w:r w:rsidRPr="00D3009B">
        <w:rPr>
          <w:rFonts w:ascii="標楷體" w:eastAsia="標楷體" w:hAnsi="標楷體" w:hint="eastAsia"/>
          <w:b/>
          <w:szCs w:val="22"/>
        </w:rPr>
        <w:t>二、所知障：</w:t>
      </w:r>
      <w:r w:rsidRPr="00D3009B">
        <w:rPr>
          <w:rFonts w:ascii="標楷體" w:eastAsia="標楷體" w:hAnsi="標楷體" w:hint="eastAsia"/>
          <w:szCs w:val="22"/>
        </w:rPr>
        <w:t>也還是種種煩惱，以薩迦耶見為中心的，但比煩惱障更微細。其重心是什麼？</w:t>
      </w:r>
      <w:r w:rsidRPr="00D3009B">
        <w:rPr>
          <w:rFonts w:ascii="標楷體" w:eastAsia="標楷體" w:hAnsi="標楷體" w:hint="eastAsia"/>
          <w:b/>
          <w:szCs w:val="22"/>
        </w:rPr>
        <w:t>所知障於一切所知法中，由於不悟法空性，對一切事理有所著，有所礙。如一切實有性等法執，就是所知障。</w:t>
      </w:r>
      <w:r w:rsidRPr="00D3009B">
        <w:rPr>
          <w:rFonts w:ascii="標楷體" w:eastAsia="標楷體" w:hAnsi="標楷體" w:hint="eastAsia"/>
          <w:szCs w:val="22"/>
        </w:rPr>
        <w:t>我們不能了解如幻如化，就是</w:t>
      </w:r>
      <w:r w:rsidRPr="00412A9C">
        <w:rPr>
          <w:rFonts w:ascii="標楷體" w:eastAsia="標楷體" w:hAnsi="標楷體" w:hint="eastAsia"/>
          <w:szCs w:val="22"/>
        </w:rPr>
        <w:t>有所知障在那裡。所知是我們所知的一切法，我們不能恰恰好的去如實悟解，執著一切，而起錯誤的認識。那末，所知障是由於內心有微細煩惱，所以不能如實了解一切。有了這樣的所知障，就不能成佛了，所以說所知障障大菩提。</w:t>
      </w:r>
    </w:p>
    <w:p w:rsidR="00157EF6" w:rsidRPr="00412A9C" w:rsidRDefault="00157EF6" w:rsidP="00AA120F">
      <w:pPr>
        <w:pStyle w:val="a5"/>
        <w:ind w:leftChars="80" w:left="731" w:hangingChars="245" w:hanging="539"/>
        <w:jc w:val="both"/>
        <w:rPr>
          <w:szCs w:val="22"/>
        </w:rPr>
      </w:pPr>
      <w:r w:rsidRPr="00412A9C">
        <w:rPr>
          <w:szCs w:val="22"/>
        </w:rPr>
        <w:t>（</w:t>
      </w:r>
      <w:r w:rsidRPr="00761EF3">
        <w:rPr>
          <w:rFonts w:hint="eastAsia"/>
          <w:szCs w:val="22"/>
        </w:rPr>
        <w:t>3</w:t>
      </w:r>
      <w:r w:rsidRPr="00412A9C">
        <w:rPr>
          <w:szCs w:val="22"/>
        </w:rPr>
        <w:t>）印順</w:t>
      </w:r>
      <w:r w:rsidRPr="00F61231">
        <w:rPr>
          <w:rFonts w:cs="Times Ext Roman"/>
          <w:szCs w:val="22"/>
        </w:rPr>
        <w:t>法師</w:t>
      </w:r>
      <w:r w:rsidRPr="00412A9C">
        <w:rPr>
          <w:rFonts w:hint="eastAsia"/>
          <w:szCs w:val="22"/>
        </w:rPr>
        <w:t>，《</w:t>
      </w:r>
      <w:r w:rsidRPr="00412A9C">
        <w:rPr>
          <w:szCs w:val="22"/>
        </w:rPr>
        <w:t>成佛之道》（增注本），</w:t>
      </w:r>
      <w:r w:rsidRPr="00761EF3">
        <w:rPr>
          <w:szCs w:val="22"/>
        </w:rPr>
        <w:t>p</w:t>
      </w:r>
      <w:r w:rsidRPr="00412A9C">
        <w:rPr>
          <w:szCs w:val="22"/>
        </w:rPr>
        <w:t>.</w:t>
      </w:r>
      <w:r w:rsidRPr="00761EF3">
        <w:rPr>
          <w:szCs w:val="22"/>
        </w:rPr>
        <w:t>402</w:t>
      </w:r>
      <w:r w:rsidRPr="00412A9C">
        <w:rPr>
          <w:b/>
          <w:szCs w:val="22"/>
        </w:rPr>
        <w:t>：</w:t>
      </w:r>
    </w:p>
    <w:p w:rsidR="00157EF6" w:rsidRPr="00412A9C" w:rsidRDefault="00157EF6" w:rsidP="00AA120F">
      <w:pPr>
        <w:pStyle w:val="a5"/>
        <w:ind w:leftChars="305" w:left="732"/>
        <w:jc w:val="both"/>
        <w:rPr>
          <w:rFonts w:ascii="標楷體" w:eastAsia="標楷體" w:hAnsi="標楷體"/>
          <w:szCs w:val="22"/>
        </w:rPr>
      </w:pPr>
      <w:r w:rsidRPr="00412A9C">
        <w:rPr>
          <w:rFonts w:ascii="標楷體" w:eastAsia="標楷體" w:hAnsi="標楷體" w:hint="eastAsia"/>
          <w:b/>
          <w:szCs w:val="22"/>
        </w:rPr>
        <w:t>中觀者說：我執、法執，都是煩惱障</w:t>
      </w:r>
      <w:r w:rsidRPr="00412A9C">
        <w:rPr>
          <w:rFonts w:ascii="標楷體" w:eastAsia="標楷體" w:hAnsi="標楷體" w:hint="eastAsia"/>
          <w:szCs w:val="22"/>
        </w:rPr>
        <w:t>，是大小二乘所共斷的。差別是：聲聞直觀無我無我所，斷惑證真，不一定深觀法空，所以不能斷除</w:t>
      </w:r>
      <w:r w:rsidRPr="00412A9C">
        <w:rPr>
          <w:rFonts w:ascii="標楷體" w:eastAsia="標楷體" w:hAnsi="標楷體" w:hint="eastAsia"/>
          <w:b/>
          <w:szCs w:val="22"/>
        </w:rPr>
        <w:t>習氣──所知障</w:t>
      </w:r>
      <w:r w:rsidRPr="00412A9C">
        <w:rPr>
          <w:rFonts w:ascii="標楷體" w:eastAsia="標楷體" w:hAnsi="標楷體" w:hint="eastAsia"/>
          <w:szCs w:val="22"/>
        </w:rPr>
        <w:t>。而菩薩是：初學就勝解法空性，深細抉擇，後觀無我無我所而證入法空性，所以也斷三結，而且能漸斷習氣，習氣淨盡就成佛了。</w:t>
      </w:r>
    </w:p>
    <w:p w:rsidR="00157EF6" w:rsidRPr="00412A9C" w:rsidRDefault="00157EF6" w:rsidP="00AA120F">
      <w:pPr>
        <w:pStyle w:val="a5"/>
        <w:ind w:leftChars="80" w:left="731" w:hangingChars="245" w:hanging="539"/>
        <w:jc w:val="both"/>
        <w:rPr>
          <w:szCs w:val="22"/>
        </w:rPr>
      </w:pPr>
      <w:r w:rsidRPr="00412A9C">
        <w:rPr>
          <w:szCs w:val="22"/>
        </w:rPr>
        <w:t>（</w:t>
      </w:r>
      <w:r w:rsidRPr="00761EF3">
        <w:rPr>
          <w:rFonts w:hint="eastAsia"/>
          <w:szCs w:val="22"/>
        </w:rPr>
        <w:t>4</w:t>
      </w:r>
      <w:r w:rsidRPr="00412A9C">
        <w:rPr>
          <w:szCs w:val="22"/>
        </w:rPr>
        <w:t>）印順法師</w:t>
      </w:r>
      <w:r w:rsidRPr="00412A9C">
        <w:rPr>
          <w:rFonts w:hint="eastAsia"/>
          <w:szCs w:val="22"/>
        </w:rPr>
        <w:t>，</w:t>
      </w:r>
      <w:r w:rsidRPr="00412A9C">
        <w:rPr>
          <w:szCs w:val="22"/>
        </w:rPr>
        <w:t>《印度佛教思想史》</w:t>
      </w:r>
      <w:r w:rsidRPr="00412A9C">
        <w:rPr>
          <w:rFonts w:hint="eastAsia"/>
          <w:szCs w:val="22"/>
        </w:rPr>
        <w:t>，</w:t>
      </w:r>
      <w:r w:rsidRPr="00761EF3">
        <w:rPr>
          <w:szCs w:val="22"/>
        </w:rPr>
        <w:t>p</w:t>
      </w:r>
      <w:r w:rsidRPr="00412A9C">
        <w:rPr>
          <w:szCs w:val="22"/>
        </w:rPr>
        <w:t>.</w:t>
      </w:r>
      <w:r w:rsidRPr="00761EF3">
        <w:rPr>
          <w:szCs w:val="22"/>
        </w:rPr>
        <w:t>365</w:t>
      </w:r>
      <w:r w:rsidRPr="00412A9C">
        <w:rPr>
          <w:szCs w:val="22"/>
        </w:rPr>
        <w:t>：</w:t>
      </w:r>
    </w:p>
    <w:p w:rsidR="00157EF6" w:rsidRPr="00412A9C" w:rsidRDefault="00157EF6" w:rsidP="00AA120F">
      <w:pPr>
        <w:pStyle w:val="a5"/>
        <w:tabs>
          <w:tab w:val="left" w:pos="2160"/>
        </w:tabs>
        <w:ind w:leftChars="305" w:left="732"/>
        <w:jc w:val="both"/>
        <w:rPr>
          <w:rFonts w:ascii="Times Ext Roman" w:hAnsi="Times Ext Roman" w:cs="Times Ext Roman"/>
          <w:szCs w:val="22"/>
        </w:rPr>
      </w:pPr>
      <w:r w:rsidRPr="00412A9C">
        <w:rPr>
          <w:rFonts w:ascii="標楷體" w:eastAsia="標楷體" w:hAnsi="標楷體" w:cs="Times Ext Roman"/>
          <w:szCs w:val="22"/>
        </w:rPr>
        <w:t>無我，</w:t>
      </w:r>
      <w:r w:rsidRPr="00412A9C">
        <w:rPr>
          <w:rFonts w:ascii="標楷體" w:eastAsia="標楷體" w:hAnsi="標楷體" w:cs="Times Ext Roman" w:hint="eastAsia"/>
          <w:szCs w:val="22"/>
        </w:rPr>
        <w:t>《</w:t>
      </w:r>
      <w:r w:rsidRPr="00412A9C">
        <w:rPr>
          <w:rFonts w:ascii="標楷體" w:eastAsia="標楷體" w:hAnsi="標楷體" w:cs="Times Ext Roman"/>
          <w:szCs w:val="22"/>
        </w:rPr>
        <w:t>入中論</w:t>
      </w:r>
      <w:r w:rsidRPr="00412A9C">
        <w:rPr>
          <w:rFonts w:ascii="標楷體" w:eastAsia="標楷體" w:hAnsi="標楷體" w:cs="Times Ext Roman" w:hint="eastAsia"/>
          <w:szCs w:val="22"/>
        </w:rPr>
        <w:t>》</w:t>
      </w:r>
      <w:r w:rsidRPr="00412A9C">
        <w:rPr>
          <w:rFonts w:ascii="標楷體" w:eastAsia="標楷體" w:hAnsi="標楷體" w:cs="Times Ext Roman"/>
          <w:szCs w:val="22"/>
        </w:rPr>
        <w:t>說：「無我為度生，由人法分二。」</w:t>
      </w:r>
      <w:r w:rsidR="00811E1B" w:rsidRPr="00811E1B">
        <w:rPr>
          <w:rFonts w:eastAsia="標楷體" w:hint="eastAsia"/>
          <w:szCs w:val="22"/>
          <w:shd w:val="pct15" w:color="auto" w:fill="FFFFFF"/>
          <w:vertAlign w:val="superscript"/>
        </w:rPr>
        <w:t>[5]</w:t>
      </w:r>
    </w:p>
    <w:p w:rsidR="00157EF6" w:rsidRPr="00D3009B" w:rsidRDefault="00157EF6" w:rsidP="00AA120F">
      <w:pPr>
        <w:pStyle w:val="a5"/>
        <w:tabs>
          <w:tab w:val="left" w:pos="2160"/>
        </w:tabs>
        <w:ind w:leftChars="305" w:left="732"/>
        <w:jc w:val="both"/>
        <w:rPr>
          <w:rFonts w:ascii="標楷體" w:eastAsia="標楷體" w:hAnsi="標楷體" w:cs="Times Ext Roman"/>
          <w:b/>
          <w:szCs w:val="22"/>
        </w:rPr>
      </w:pPr>
      <w:r w:rsidRPr="00412A9C">
        <w:rPr>
          <w:rFonts w:ascii="標楷體" w:eastAsia="標楷體" w:hAnsi="標楷體" w:cs="Times Ext Roman"/>
          <w:szCs w:val="22"/>
        </w:rPr>
        <w:t>無我也就是空性，由於所觀境不同，分為二無我或二空。</w:t>
      </w:r>
      <w:r w:rsidRPr="00412A9C">
        <w:rPr>
          <w:rFonts w:ascii="標楷體" w:eastAsia="標楷體" w:hAnsi="標楷體" w:cs="Times Ext Roman"/>
          <w:b/>
          <w:szCs w:val="22"/>
        </w:rPr>
        <w:t>無我與空的定義，同樣是（緣起）無自性，所以能通達無我──我空的，也能通達無我所──</w:t>
      </w:r>
      <w:r w:rsidRPr="00D3009B">
        <w:rPr>
          <w:rFonts w:ascii="標楷體" w:eastAsia="標楷體" w:hAnsi="標楷體" w:cs="Times Ext Roman"/>
          <w:b/>
          <w:szCs w:val="22"/>
        </w:rPr>
        <w:t>法空。反之，如有蘊等法執的，也就有我執。</w:t>
      </w:r>
    </w:p>
    <w:p w:rsidR="00157EF6" w:rsidRPr="00412A9C" w:rsidRDefault="00157EF6" w:rsidP="00AE3920">
      <w:pPr>
        <w:pStyle w:val="a5"/>
        <w:tabs>
          <w:tab w:val="left" w:pos="2160"/>
        </w:tabs>
        <w:spacing w:beforeLines="20"/>
        <w:ind w:leftChars="305" w:left="732"/>
        <w:jc w:val="both"/>
        <w:rPr>
          <w:rFonts w:ascii="標楷體" w:eastAsia="標楷體" w:hAnsi="標楷體" w:cs="Times Ext Roman"/>
          <w:szCs w:val="22"/>
        </w:rPr>
      </w:pPr>
      <w:r w:rsidRPr="00D3009B">
        <w:rPr>
          <w:rFonts w:ascii="標楷體" w:eastAsia="標楷體" w:hAnsi="標楷體" w:cs="Times Ext Roman"/>
          <w:szCs w:val="22"/>
        </w:rPr>
        <w:t>這樣，大乘通達二無我，二乘也能通達二無我。不過二乘在通達人無我時，不一定</w:t>
      </w:r>
      <w:r w:rsidRPr="00412A9C">
        <w:rPr>
          <w:rFonts w:ascii="標楷體" w:eastAsia="標楷體" w:hAnsi="標楷體" w:cs="Times Ext Roman"/>
          <w:szCs w:val="22"/>
        </w:rPr>
        <w:t>也觀法我（如觀，是一定能通達的），「於法無我不圓滿修」。</w:t>
      </w:r>
      <w:r w:rsidRPr="00412A9C">
        <w:rPr>
          <w:rFonts w:ascii="標楷體" w:eastAsia="標楷體" w:hAnsi="標楷體" w:cs="Times Ext Roman"/>
          <w:b/>
          <w:szCs w:val="22"/>
        </w:rPr>
        <w:t>經說二乘得我空，大乘得法空，是約偏勝說的。</w:t>
      </w:r>
      <w:r w:rsidRPr="00412A9C">
        <w:rPr>
          <w:rFonts w:ascii="標楷體" w:eastAsia="標楷體" w:hAnsi="標楷體" w:cs="Times Ext Roman"/>
          <w:szCs w:val="22"/>
        </w:rPr>
        <w:t>無明障蔽，對補特伽羅與所依蘊等法，起諦實相，不知是沒有自性的，這是生死的根源，也就是十二支的無明。</w:t>
      </w:r>
    </w:p>
    <w:p w:rsidR="00157EF6" w:rsidRPr="00412A9C" w:rsidRDefault="00157EF6" w:rsidP="00AA120F">
      <w:pPr>
        <w:pStyle w:val="a5"/>
        <w:tabs>
          <w:tab w:val="left" w:pos="2160"/>
        </w:tabs>
        <w:ind w:leftChars="305" w:left="732"/>
        <w:jc w:val="both"/>
        <w:rPr>
          <w:rFonts w:ascii="Times Ext Roman" w:hAnsi="Times Ext Roman" w:cs="Times Ext Roman"/>
          <w:szCs w:val="22"/>
        </w:rPr>
      </w:pPr>
      <w:r w:rsidRPr="00412A9C">
        <w:rPr>
          <w:rFonts w:ascii="標楷體" w:eastAsia="標楷體" w:hAnsi="標楷體" w:cs="Times Ext Roman"/>
          <w:b/>
          <w:szCs w:val="22"/>
        </w:rPr>
        <w:t>執我、法有自性，是煩惱障的根源，那什麼是所知障呢？</w:t>
      </w:r>
      <w:r w:rsidRPr="00412A9C">
        <w:rPr>
          <w:rFonts w:ascii="標楷體" w:eastAsia="標楷體" w:hAnsi="標楷體" w:cs="Times Ext Roman" w:hint="eastAsia"/>
          <w:szCs w:val="22"/>
        </w:rPr>
        <w:t>《</w:t>
      </w:r>
      <w:r w:rsidRPr="00412A9C">
        <w:rPr>
          <w:rFonts w:ascii="標楷體" w:eastAsia="標楷體" w:hAnsi="標楷體" w:cs="Times Ext Roman"/>
          <w:szCs w:val="22"/>
        </w:rPr>
        <w:t>入中論釋</w:t>
      </w:r>
      <w:r w:rsidRPr="00412A9C">
        <w:rPr>
          <w:rFonts w:ascii="標楷體" w:eastAsia="標楷體" w:hAnsi="標楷體" w:cs="Times Ext Roman" w:hint="eastAsia"/>
          <w:szCs w:val="22"/>
        </w:rPr>
        <w:t>》</w:t>
      </w:r>
      <w:r w:rsidRPr="00412A9C">
        <w:rPr>
          <w:rFonts w:ascii="標楷體" w:eastAsia="標楷體" w:hAnsi="標楷體" w:cs="Times Ext Roman"/>
          <w:szCs w:val="22"/>
        </w:rPr>
        <w:t>說：「</w:t>
      </w:r>
      <w:r w:rsidRPr="00412A9C">
        <w:rPr>
          <w:rFonts w:ascii="標楷體" w:eastAsia="標楷體" w:hAnsi="標楷體" w:cs="Times Ext Roman"/>
          <w:b/>
          <w:szCs w:val="22"/>
        </w:rPr>
        <w:t>彼無明、貪等習氣</w:t>
      </w:r>
      <w:r w:rsidRPr="00412A9C">
        <w:rPr>
          <w:rFonts w:ascii="標楷體" w:eastAsia="標楷體" w:hAnsi="標楷體" w:cs="Times Ext Roman"/>
          <w:szCs w:val="22"/>
        </w:rPr>
        <w:t>，亦唯成佛一切種智乃能滅除，非餘能滅。」</w:t>
      </w:r>
      <w:r w:rsidR="00811E1B" w:rsidRPr="00811E1B">
        <w:rPr>
          <w:rFonts w:eastAsia="標楷體" w:hint="eastAsia"/>
          <w:szCs w:val="22"/>
          <w:shd w:val="pct15" w:color="auto" w:fill="FFFFFF"/>
          <w:vertAlign w:val="superscript"/>
        </w:rPr>
        <w:t>[6]</w:t>
      </w:r>
      <w:r w:rsidR="00811E1B" w:rsidRPr="00412A9C">
        <w:rPr>
          <w:rFonts w:ascii="Times Ext Roman" w:hAnsi="Times Ext Roman" w:cs="Times Ext Roman"/>
          <w:szCs w:val="22"/>
        </w:rPr>
        <w:t xml:space="preserve"> </w:t>
      </w:r>
    </w:p>
    <w:p w:rsidR="00157EF6" w:rsidRDefault="00157EF6" w:rsidP="00AE3920">
      <w:pPr>
        <w:pStyle w:val="a5"/>
        <w:spacing w:beforeLines="20"/>
        <w:ind w:leftChars="305" w:left="732"/>
        <w:jc w:val="both"/>
        <w:rPr>
          <w:rFonts w:ascii="標楷體" w:eastAsia="標楷體" w:hAnsi="標楷體" w:cs="Times Ext Roman"/>
          <w:b/>
          <w:szCs w:val="22"/>
        </w:rPr>
      </w:pPr>
      <w:r w:rsidRPr="00D3009B">
        <w:rPr>
          <w:rFonts w:ascii="標楷體" w:eastAsia="標楷體" w:hAnsi="標楷體" w:cs="Times Ext Roman"/>
          <w:b/>
          <w:szCs w:val="22"/>
        </w:rPr>
        <w:t>二乘斷煩惱，佛能斷盡煩惱習氣（所知障），確是「佛法」所說的。月稱的見解，</w:t>
      </w:r>
      <w:r w:rsidRPr="00412A9C">
        <w:rPr>
          <w:rFonts w:ascii="標楷體" w:eastAsia="標楷體" w:hAnsi="標楷體" w:cs="Times Ext Roman"/>
          <w:b/>
          <w:szCs w:val="22"/>
        </w:rPr>
        <w:t>與龍樹</w:t>
      </w:r>
      <w:r w:rsidRPr="00412A9C">
        <w:rPr>
          <w:rFonts w:ascii="標楷體" w:eastAsia="標楷體" w:hAnsi="標楷體" w:cs="Times Ext Roman" w:hint="eastAsia"/>
          <w:b/>
          <w:szCs w:val="22"/>
        </w:rPr>
        <w:t>《</w:t>
      </w:r>
      <w:r w:rsidRPr="00412A9C">
        <w:rPr>
          <w:rFonts w:ascii="標楷體" w:eastAsia="標楷體" w:hAnsi="標楷體" w:cs="Times Ext Roman"/>
          <w:b/>
          <w:szCs w:val="22"/>
        </w:rPr>
        <w:t>大智度論</w:t>
      </w:r>
      <w:r w:rsidRPr="00412A9C">
        <w:rPr>
          <w:rFonts w:ascii="標楷體" w:eastAsia="標楷體" w:hAnsi="標楷體" w:cs="Times Ext Roman" w:hint="eastAsia"/>
          <w:b/>
          <w:szCs w:val="22"/>
        </w:rPr>
        <w:t>》</w:t>
      </w:r>
      <w:r w:rsidRPr="00412A9C">
        <w:rPr>
          <w:rFonts w:ascii="標楷體" w:eastAsia="標楷體" w:hAnsi="標楷體" w:cs="Times Ext Roman"/>
          <w:b/>
          <w:szCs w:val="22"/>
        </w:rPr>
        <w:t>所說，大致相同。</w:t>
      </w:r>
    </w:p>
    <w:p w:rsidR="00811E1B" w:rsidRDefault="00811E1B" w:rsidP="004E7AFC">
      <w:pPr>
        <w:pStyle w:val="a5"/>
        <w:ind w:leftChars="305" w:left="732"/>
        <w:jc w:val="both"/>
        <w:rPr>
          <w:rFonts w:ascii="Times Ext Roman" w:hAnsi="Times Ext Roman" w:cs="Times Ext Roman"/>
          <w:szCs w:val="22"/>
        </w:rPr>
      </w:pPr>
      <w:r w:rsidRPr="00811E1B">
        <w:rPr>
          <w:rFonts w:hint="eastAsia"/>
          <w:szCs w:val="22"/>
        </w:rPr>
        <w:t>[</w:t>
      </w:r>
      <w:r w:rsidRPr="00811E1B">
        <w:rPr>
          <w:rFonts w:hint="eastAsia"/>
          <w:szCs w:val="22"/>
        </w:rPr>
        <w:t>原書註</w:t>
      </w:r>
      <w:r w:rsidRPr="00811E1B">
        <w:rPr>
          <w:rFonts w:hint="eastAsia"/>
          <w:szCs w:val="22"/>
        </w:rPr>
        <w:t>5]</w:t>
      </w:r>
      <w:r w:rsidRPr="00412A9C">
        <w:rPr>
          <w:rFonts w:ascii="新細明體" w:hAnsi="新細明體" w:hint="eastAsia"/>
          <w:szCs w:val="22"/>
        </w:rPr>
        <w:t>《入中論》卷</w:t>
      </w:r>
      <w:r w:rsidRPr="00761EF3">
        <w:rPr>
          <w:szCs w:val="22"/>
        </w:rPr>
        <w:t>5</w:t>
      </w:r>
      <w:r w:rsidRPr="00412A9C">
        <w:rPr>
          <w:rFonts w:ascii="Times Ext Roman" w:hAnsi="Times Ext Roman" w:cs="Times Ext Roman" w:hint="eastAsia"/>
          <w:szCs w:val="22"/>
        </w:rPr>
        <w:t>（漢院刊本</w:t>
      </w:r>
      <w:r w:rsidRPr="00761EF3">
        <w:rPr>
          <w:rFonts w:hint="eastAsia"/>
          <w:szCs w:val="22"/>
        </w:rPr>
        <w:t>20</w:t>
      </w:r>
      <w:r w:rsidRPr="00412A9C">
        <w:rPr>
          <w:rFonts w:ascii="Times Ext Roman" w:hAnsi="Times Ext Roman" w:cs="Times Ext Roman" w:hint="eastAsia"/>
          <w:szCs w:val="22"/>
        </w:rPr>
        <w:t>）</w:t>
      </w:r>
      <w:r>
        <w:rPr>
          <w:rFonts w:ascii="Times Ext Roman" w:hAnsi="Times Ext Roman" w:cs="Times Ext Roman" w:hint="eastAsia"/>
          <w:szCs w:val="22"/>
        </w:rPr>
        <w:t>。</w:t>
      </w:r>
    </w:p>
    <w:p w:rsidR="00811E1B" w:rsidRPr="00412A9C" w:rsidRDefault="00811E1B" w:rsidP="004E7AFC">
      <w:pPr>
        <w:pStyle w:val="a5"/>
        <w:ind w:leftChars="305" w:left="732"/>
        <w:jc w:val="both"/>
        <w:rPr>
          <w:szCs w:val="22"/>
        </w:rPr>
      </w:pPr>
      <w:r w:rsidRPr="00811E1B">
        <w:rPr>
          <w:rFonts w:hint="eastAsia"/>
          <w:szCs w:val="22"/>
        </w:rPr>
        <w:t>[</w:t>
      </w:r>
      <w:r w:rsidRPr="00811E1B">
        <w:rPr>
          <w:rFonts w:hint="eastAsia"/>
          <w:szCs w:val="22"/>
        </w:rPr>
        <w:t>原書註</w:t>
      </w:r>
      <w:r>
        <w:rPr>
          <w:rFonts w:hint="eastAsia"/>
          <w:szCs w:val="22"/>
        </w:rPr>
        <w:t>6</w:t>
      </w:r>
      <w:r w:rsidRPr="00811E1B">
        <w:rPr>
          <w:rFonts w:hint="eastAsia"/>
          <w:szCs w:val="22"/>
        </w:rPr>
        <w:t>]</w:t>
      </w:r>
      <w:r w:rsidRPr="00412A9C">
        <w:rPr>
          <w:rFonts w:ascii="新細明體" w:hAnsi="新細明體" w:hint="eastAsia"/>
          <w:szCs w:val="22"/>
        </w:rPr>
        <w:t>《入中論》卷</w:t>
      </w:r>
      <w:r>
        <w:rPr>
          <w:rFonts w:hint="eastAsia"/>
          <w:szCs w:val="22"/>
        </w:rPr>
        <w:t>6</w:t>
      </w:r>
      <w:r w:rsidRPr="00412A9C">
        <w:rPr>
          <w:rFonts w:ascii="Times Ext Roman" w:hAnsi="Times Ext Roman" w:cs="Times Ext Roman" w:hint="eastAsia"/>
          <w:szCs w:val="22"/>
        </w:rPr>
        <w:t>（漢院刊本</w:t>
      </w:r>
      <w:r>
        <w:rPr>
          <w:rFonts w:hint="eastAsia"/>
          <w:szCs w:val="22"/>
        </w:rPr>
        <w:t>20</w:t>
      </w:r>
      <w:r w:rsidRPr="00412A9C">
        <w:rPr>
          <w:rFonts w:ascii="Times Ext Roman" w:hAnsi="Times Ext Roman" w:cs="Times Ext Roman" w:hint="eastAsia"/>
          <w:szCs w:val="22"/>
        </w:rPr>
        <w:t>）</w:t>
      </w:r>
      <w:r>
        <w:rPr>
          <w:rFonts w:ascii="Times Ext Roman" w:hAnsi="Times Ext Roman" w:cs="Times Ext Roman" w:hint="eastAsia"/>
          <w:szCs w:val="22"/>
        </w:rPr>
        <w:t>。</w:t>
      </w:r>
    </w:p>
  </w:footnote>
  <w:footnote w:id="1041">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）龍樹造論，法尊譯，《七十空性論》：</w:t>
      </w:r>
    </w:p>
    <w:p w:rsidR="00B05672" w:rsidRDefault="00157EF6" w:rsidP="00AA120F">
      <w:pPr>
        <w:pStyle w:val="a5"/>
        <w:ind w:leftChars="335" w:left="804"/>
        <w:jc w:val="both"/>
        <w:rPr>
          <w:rFonts w:ascii="標楷體" w:eastAsia="標楷體" w:hAnsi="標楷體"/>
          <w:szCs w:val="22"/>
        </w:rPr>
      </w:pPr>
      <w:r w:rsidRPr="00412A9C">
        <w:rPr>
          <w:rFonts w:ascii="標楷體" w:eastAsia="標楷體" w:hAnsi="標楷體"/>
          <w:szCs w:val="22"/>
        </w:rPr>
        <w:t>諸法因緣生，分別為真實，佛說即無明，發生十二支。</w:t>
      </w:r>
    </w:p>
    <w:p w:rsidR="00811E1B" w:rsidRDefault="00157EF6" w:rsidP="00AA120F">
      <w:pPr>
        <w:pStyle w:val="a5"/>
        <w:ind w:leftChars="335" w:left="804"/>
        <w:jc w:val="both"/>
        <w:rPr>
          <w:szCs w:val="22"/>
        </w:rPr>
      </w:pPr>
      <w:r w:rsidRPr="00B05672">
        <w:rPr>
          <w:rFonts w:ascii="標楷體" w:eastAsia="標楷體" w:hAnsi="標楷體"/>
          <w:szCs w:val="22"/>
          <w:highlight w:val="yellow"/>
        </w:rPr>
        <w:t>見</w:t>
      </w:r>
      <w:r w:rsidRPr="00412A9C">
        <w:rPr>
          <w:rFonts w:ascii="標楷體" w:eastAsia="標楷體" w:hAnsi="標楷體"/>
          <w:szCs w:val="22"/>
        </w:rPr>
        <w:t>真知法空，則不生無明，此即無明滅，故滅十二支</w:t>
      </w:r>
      <w:r w:rsidRPr="00412A9C">
        <w:rPr>
          <w:szCs w:val="22"/>
        </w:rPr>
        <w:t>。</w:t>
      </w:r>
    </w:p>
    <w:p w:rsidR="00157EF6" w:rsidRPr="00412A9C" w:rsidRDefault="00157EF6" w:rsidP="00811E1B">
      <w:pPr>
        <w:pStyle w:val="a5"/>
        <w:ind w:leftChars="335" w:left="804"/>
        <w:jc w:val="right"/>
        <w:rPr>
          <w:rFonts w:eastAsia="SimSun"/>
          <w:szCs w:val="22"/>
        </w:rPr>
      </w:pPr>
      <w:r w:rsidRPr="00412A9C">
        <w:rPr>
          <w:szCs w:val="22"/>
        </w:rPr>
        <w:t>（弘悲科攝《七十空性論</w:t>
      </w:r>
      <w:r w:rsidRPr="00412A9C">
        <w:rPr>
          <w:rFonts w:hint="eastAsia"/>
          <w:szCs w:val="22"/>
        </w:rPr>
        <w:t>科攝》，藍吉富編《大藏經補編》（九），</w:t>
      </w:r>
      <w:r w:rsidRPr="00761EF3">
        <w:rPr>
          <w:szCs w:val="22"/>
        </w:rPr>
        <w:t>p</w:t>
      </w:r>
      <w:r w:rsidRPr="00412A9C">
        <w:rPr>
          <w:szCs w:val="22"/>
        </w:rPr>
        <w:t>.</w:t>
      </w:r>
      <w:r w:rsidRPr="00761EF3">
        <w:rPr>
          <w:szCs w:val="22"/>
        </w:rPr>
        <w:t>120</w:t>
      </w:r>
      <w:r w:rsidRPr="00412A9C">
        <w:rPr>
          <w:rFonts w:hint="eastAsia"/>
          <w:szCs w:val="22"/>
        </w:rPr>
        <w:t>）</w:t>
      </w:r>
    </w:p>
    <w:p w:rsidR="00157EF6" w:rsidRPr="00412A9C" w:rsidRDefault="00157EF6" w:rsidP="00AA120F">
      <w:pPr>
        <w:pStyle w:val="a5"/>
        <w:ind w:leftChars="105" w:left="791" w:hangingChars="245" w:hanging="539"/>
        <w:jc w:val="both"/>
        <w:rPr>
          <w:rFonts w:eastAsia="SimSun"/>
          <w:szCs w:val="22"/>
        </w:rPr>
      </w:pPr>
      <w:r w:rsidRPr="00412A9C">
        <w:rPr>
          <w:szCs w:val="22"/>
        </w:rPr>
        <w:t>（</w:t>
      </w:r>
      <w:r w:rsidRPr="00761EF3">
        <w:rPr>
          <w:szCs w:val="22"/>
        </w:rPr>
        <w:t>2</w:t>
      </w:r>
      <w:r w:rsidRPr="00412A9C">
        <w:rPr>
          <w:szCs w:val="22"/>
        </w:rPr>
        <w:t>）</w:t>
      </w:r>
      <w:r w:rsidRPr="00412A9C">
        <w:rPr>
          <w:rFonts w:hint="eastAsia"/>
          <w:szCs w:val="22"/>
        </w:rPr>
        <w:t>宗喀巴</w:t>
      </w:r>
      <w:r>
        <w:rPr>
          <w:rFonts w:hint="eastAsia"/>
          <w:szCs w:val="22"/>
        </w:rPr>
        <w:t>造</w:t>
      </w:r>
      <w:r w:rsidRPr="00412A9C">
        <w:rPr>
          <w:rFonts w:hint="eastAsia"/>
          <w:szCs w:val="22"/>
        </w:rPr>
        <w:t>，法尊譯，</w:t>
      </w:r>
      <w:r w:rsidRPr="00C95D8F">
        <w:rPr>
          <w:rFonts w:hint="eastAsia"/>
          <w:szCs w:val="22"/>
        </w:rPr>
        <w:t>《菩提道次第廣論》</w:t>
      </w:r>
      <w:r w:rsidRPr="00412A9C">
        <w:rPr>
          <w:rFonts w:hint="eastAsia"/>
          <w:szCs w:val="22"/>
        </w:rPr>
        <w:t>卷</w:t>
      </w:r>
      <w:r w:rsidRPr="00761EF3">
        <w:rPr>
          <w:szCs w:val="22"/>
        </w:rPr>
        <w:t>20</w:t>
      </w:r>
      <w:r>
        <w:rPr>
          <w:rFonts w:hint="eastAsia"/>
          <w:szCs w:val="22"/>
        </w:rPr>
        <w:t>，</w:t>
      </w:r>
      <w:r w:rsidR="00AD14BF">
        <w:rPr>
          <w:rFonts w:hint="eastAsia"/>
          <w:szCs w:val="22"/>
        </w:rPr>
        <w:t>台北，福智之聲</w:t>
      </w:r>
      <w:r w:rsidRPr="00412A9C">
        <w:rPr>
          <w:rFonts w:hint="eastAsia"/>
          <w:szCs w:val="22"/>
        </w:rPr>
        <w:t>出版社，</w:t>
      </w:r>
      <w:r w:rsidRPr="00761EF3">
        <w:rPr>
          <w:szCs w:val="22"/>
        </w:rPr>
        <w:t>pp</w:t>
      </w:r>
      <w:r w:rsidRPr="00412A9C">
        <w:rPr>
          <w:szCs w:val="22"/>
        </w:rPr>
        <w:t>.</w:t>
      </w:r>
      <w:r w:rsidRPr="00761EF3">
        <w:rPr>
          <w:szCs w:val="22"/>
        </w:rPr>
        <w:t>460</w:t>
      </w:r>
      <w:r w:rsidRPr="00412A9C">
        <w:rPr>
          <w:szCs w:val="22"/>
        </w:rPr>
        <w:t>-</w:t>
      </w:r>
      <w:r w:rsidRPr="00761EF3">
        <w:rPr>
          <w:szCs w:val="22"/>
        </w:rPr>
        <w:t>461</w:t>
      </w:r>
      <w:r w:rsidRPr="00412A9C">
        <w:rPr>
          <w:rFonts w:hint="eastAsia"/>
          <w:szCs w:val="22"/>
        </w:rPr>
        <w:t>：</w:t>
      </w:r>
    </w:p>
    <w:p w:rsidR="00157EF6" w:rsidRPr="00412A9C" w:rsidRDefault="00157EF6" w:rsidP="00AA120F">
      <w:pPr>
        <w:pStyle w:val="a5"/>
        <w:ind w:leftChars="335" w:left="804"/>
        <w:jc w:val="both"/>
        <w:rPr>
          <w:rFonts w:eastAsia="SimSun"/>
          <w:szCs w:val="22"/>
        </w:rPr>
      </w:pPr>
      <w:r w:rsidRPr="00412A9C">
        <w:rPr>
          <w:rFonts w:ascii="標楷體" w:eastAsia="標楷體" w:hAnsi="標楷體" w:hint="eastAsia"/>
          <w:szCs w:val="22"/>
        </w:rPr>
        <w:t>如《七十空性論》云：「因緣所生法，若分別真實，佛說為無明，彼生十二支。見真知法空，</w:t>
      </w:r>
      <w:r w:rsidRPr="00412A9C">
        <w:rPr>
          <w:rFonts w:ascii="標楷體" w:eastAsia="標楷體" w:cs="標楷體" w:hint="eastAsia"/>
          <w:szCs w:val="22"/>
        </w:rPr>
        <w:t>無明則不生，此是無明滅，故滅十二支</w:t>
      </w:r>
      <w:r w:rsidRPr="00412A9C">
        <w:rPr>
          <w:rFonts w:ascii="新細明體" w:cs="新細明體" w:hint="eastAsia"/>
          <w:szCs w:val="22"/>
        </w:rPr>
        <w:t>。</w:t>
      </w:r>
      <w:r w:rsidRPr="00412A9C">
        <w:rPr>
          <w:rFonts w:ascii="標楷體" w:eastAsia="標楷體" w:cs="標楷體" w:hint="eastAsia"/>
          <w:szCs w:val="22"/>
        </w:rPr>
        <w:t>」</w:t>
      </w:r>
    </w:p>
  </w:footnote>
  <w:footnote w:id="1042">
    <w:p w:rsidR="0021710F" w:rsidRPr="00412A9C" w:rsidRDefault="0021710F" w:rsidP="0021710F">
      <w:pPr>
        <w:pStyle w:val="a5"/>
        <w:spacing w:line="0" w:lineRule="atLeast"/>
        <w:ind w:left="253" w:hangingChars="115" w:hanging="253"/>
        <w:jc w:val="both"/>
        <w:rPr>
          <w:rFonts w:ascii="標楷體" w:eastAsia="標楷體" w:hAnsi="標楷體"/>
          <w:szCs w:val="22"/>
        </w:rPr>
      </w:pPr>
      <w:r w:rsidRPr="00412A9C">
        <w:rPr>
          <w:rStyle w:val="a6"/>
          <w:szCs w:val="22"/>
        </w:rPr>
        <w:footnoteRef/>
      </w:r>
      <w:r w:rsidRPr="00412A9C">
        <w:rPr>
          <w:rFonts w:hint="eastAsia"/>
          <w:szCs w:val="22"/>
        </w:rPr>
        <w:t xml:space="preserve"> </w:t>
      </w:r>
      <w:r w:rsidRPr="00412A9C">
        <w:rPr>
          <w:rFonts w:hint="eastAsia"/>
          <w:szCs w:val="22"/>
        </w:rPr>
        <w:t>參見</w:t>
      </w:r>
      <w:r w:rsidRPr="00412A9C">
        <w:rPr>
          <w:rFonts w:ascii="新細明體" w:hAnsi="新細明體" w:hint="eastAsia"/>
          <w:szCs w:val="22"/>
        </w:rPr>
        <w:t>《中論》</w:t>
      </w:r>
      <w:r w:rsidRPr="00412A9C">
        <w:rPr>
          <w:rFonts w:hint="eastAsia"/>
          <w:szCs w:val="22"/>
        </w:rPr>
        <w:t>卷</w:t>
      </w:r>
      <w:r w:rsidRPr="00761EF3">
        <w:rPr>
          <w:szCs w:val="22"/>
        </w:rPr>
        <w:t>4</w:t>
      </w:r>
      <w:r w:rsidRPr="00412A9C">
        <w:rPr>
          <w:rFonts w:hint="eastAsia"/>
          <w:szCs w:val="22"/>
        </w:rPr>
        <w:t>〈</w:t>
      </w:r>
      <w:r w:rsidRPr="00761EF3">
        <w:rPr>
          <w:szCs w:val="22"/>
        </w:rPr>
        <w:t>26</w:t>
      </w:r>
      <w:r>
        <w:rPr>
          <w:szCs w:val="22"/>
        </w:rPr>
        <w:t xml:space="preserve"> </w:t>
      </w:r>
      <w:r w:rsidRPr="00412A9C">
        <w:rPr>
          <w:rFonts w:hint="eastAsia"/>
          <w:szCs w:val="22"/>
        </w:rPr>
        <w:t>觀十二因緣品〉（大正</w:t>
      </w:r>
      <w:r w:rsidRPr="00761EF3">
        <w:rPr>
          <w:rFonts w:eastAsia="SimSun" w:hint="eastAsia"/>
          <w:szCs w:val="22"/>
        </w:rPr>
        <w:t>30</w:t>
      </w:r>
      <w:r w:rsidRPr="00412A9C">
        <w:rPr>
          <w:rFonts w:hint="eastAsia"/>
          <w:szCs w:val="22"/>
        </w:rPr>
        <w:t>，</w:t>
      </w:r>
      <w:r w:rsidRPr="00761EF3">
        <w:rPr>
          <w:rFonts w:eastAsia="SimSun" w:hint="eastAsia"/>
          <w:szCs w:val="22"/>
        </w:rPr>
        <w:t>36b20</w:t>
      </w:r>
      <w:r w:rsidRPr="00412A9C">
        <w:rPr>
          <w:rFonts w:eastAsia="SimSun" w:hint="eastAsia"/>
          <w:szCs w:val="22"/>
        </w:rPr>
        <w:t>-</w:t>
      </w:r>
      <w:r w:rsidRPr="00761EF3">
        <w:rPr>
          <w:rFonts w:eastAsia="SimSun" w:hint="eastAsia"/>
          <w:szCs w:val="22"/>
        </w:rPr>
        <w:t>c8</w:t>
      </w:r>
      <w:r w:rsidRPr="00412A9C">
        <w:rPr>
          <w:rFonts w:hint="eastAsia"/>
          <w:szCs w:val="22"/>
        </w:rPr>
        <w:t>）</w:t>
      </w:r>
      <w:r w:rsidRPr="00412A9C">
        <w:rPr>
          <w:rFonts w:ascii="新細明體" w:hAnsi="新細明體" w:hint="eastAsia"/>
          <w:szCs w:val="22"/>
        </w:rPr>
        <w:t>：</w:t>
      </w:r>
    </w:p>
    <w:p w:rsidR="0021710F" w:rsidRPr="00412A9C" w:rsidRDefault="0021710F" w:rsidP="0021710F">
      <w:pPr>
        <w:pStyle w:val="a5"/>
        <w:ind w:leftChars="105" w:left="252"/>
        <w:jc w:val="both"/>
        <w:rPr>
          <w:rFonts w:ascii="標楷體" w:eastAsia="標楷體" w:hAnsi="標楷體"/>
          <w:szCs w:val="22"/>
        </w:rPr>
      </w:pPr>
      <w:r w:rsidRPr="00412A9C">
        <w:rPr>
          <w:rFonts w:ascii="標楷體" w:eastAsia="標楷體" w:hAnsi="標楷體" w:hint="eastAsia"/>
          <w:b/>
          <w:szCs w:val="22"/>
        </w:rPr>
        <w:t>眾生癡所覆</w:t>
      </w:r>
      <w:r w:rsidRPr="00412A9C">
        <w:rPr>
          <w:rFonts w:ascii="標楷體" w:eastAsia="標楷體" w:hAnsi="標楷體" w:cs="標楷體" w:hint="eastAsia"/>
          <w:b/>
          <w:kern w:val="0"/>
          <w:szCs w:val="22"/>
        </w:rPr>
        <w:t>，</w:t>
      </w:r>
      <w:r w:rsidRPr="00412A9C">
        <w:rPr>
          <w:rFonts w:ascii="標楷體" w:eastAsia="標楷體" w:hAnsi="標楷體" w:hint="eastAsia"/>
          <w:b/>
          <w:szCs w:val="22"/>
        </w:rPr>
        <w:t>為後起三行</w:t>
      </w:r>
      <w:r w:rsidRPr="00412A9C">
        <w:rPr>
          <w:rFonts w:ascii="標楷體" w:eastAsia="標楷體" w:hAnsi="標楷體" w:cs="標楷體" w:hint="eastAsia"/>
          <w:b/>
          <w:kern w:val="0"/>
          <w:szCs w:val="22"/>
        </w:rPr>
        <w:t>，</w:t>
      </w:r>
      <w:r w:rsidRPr="00412A9C">
        <w:rPr>
          <w:rFonts w:ascii="標楷體" w:eastAsia="標楷體" w:hAnsi="標楷體" w:hint="eastAsia"/>
          <w:b/>
          <w:szCs w:val="22"/>
        </w:rPr>
        <w:t>以起是行故</w:t>
      </w:r>
      <w:r w:rsidRPr="00412A9C">
        <w:rPr>
          <w:rFonts w:ascii="標楷體" w:eastAsia="標楷體" w:hAnsi="標楷體" w:cs="標楷體" w:hint="eastAsia"/>
          <w:b/>
          <w:kern w:val="0"/>
          <w:szCs w:val="22"/>
        </w:rPr>
        <w:t>，</w:t>
      </w:r>
      <w:r w:rsidRPr="00412A9C">
        <w:rPr>
          <w:rFonts w:ascii="標楷體" w:eastAsia="標楷體" w:hAnsi="標楷體" w:hint="eastAsia"/>
          <w:b/>
          <w:szCs w:val="22"/>
        </w:rPr>
        <w:t>隨行墮六趣</w:t>
      </w:r>
      <w:r w:rsidRPr="00412A9C">
        <w:rPr>
          <w:rFonts w:ascii="標楷體" w:eastAsia="標楷體" w:hAnsi="標楷體" w:hint="eastAsia"/>
          <w:szCs w:val="22"/>
        </w:rPr>
        <w:t>。以諸行因緣</w:t>
      </w:r>
      <w:r w:rsidRPr="00412A9C">
        <w:rPr>
          <w:rFonts w:ascii="標楷體" w:eastAsia="標楷體" w:hAnsi="標楷體" w:cs="標楷體" w:hint="eastAsia"/>
          <w:kern w:val="0"/>
          <w:szCs w:val="22"/>
        </w:rPr>
        <w:t>，</w:t>
      </w:r>
      <w:r w:rsidRPr="00412A9C">
        <w:rPr>
          <w:rFonts w:ascii="標楷體" w:eastAsia="標楷體" w:hAnsi="標楷體" w:hint="eastAsia"/>
          <w:szCs w:val="22"/>
        </w:rPr>
        <w:t>識受六道身</w:t>
      </w:r>
      <w:r w:rsidRPr="00412A9C">
        <w:rPr>
          <w:rFonts w:ascii="標楷體" w:eastAsia="標楷體" w:hAnsi="標楷體" w:cs="標楷體" w:hint="eastAsia"/>
          <w:kern w:val="0"/>
          <w:szCs w:val="22"/>
        </w:rPr>
        <w:t>，</w:t>
      </w:r>
      <w:r w:rsidRPr="00412A9C">
        <w:rPr>
          <w:rFonts w:ascii="標楷體" w:eastAsia="標楷體" w:hAnsi="標楷體" w:hint="eastAsia"/>
          <w:szCs w:val="22"/>
        </w:rPr>
        <w:t>以有識著故</w:t>
      </w:r>
      <w:r w:rsidRPr="00412A9C">
        <w:rPr>
          <w:rFonts w:ascii="標楷體" w:eastAsia="標楷體" w:hAnsi="標楷體" w:cs="標楷體" w:hint="eastAsia"/>
          <w:kern w:val="0"/>
          <w:szCs w:val="22"/>
        </w:rPr>
        <w:t>，</w:t>
      </w:r>
      <w:r w:rsidRPr="00412A9C">
        <w:rPr>
          <w:rFonts w:ascii="標楷體" w:eastAsia="標楷體" w:hAnsi="標楷體" w:hint="eastAsia"/>
          <w:szCs w:val="22"/>
        </w:rPr>
        <w:t>增長於名色。名色增長故</w:t>
      </w:r>
      <w:r w:rsidRPr="00412A9C">
        <w:rPr>
          <w:rFonts w:ascii="標楷體" w:eastAsia="標楷體" w:hAnsi="標楷體" w:cs="標楷體" w:hint="eastAsia"/>
          <w:kern w:val="0"/>
          <w:szCs w:val="22"/>
        </w:rPr>
        <w:t>，</w:t>
      </w:r>
      <w:r w:rsidRPr="00412A9C">
        <w:rPr>
          <w:rFonts w:ascii="標楷體" w:eastAsia="標楷體" w:hAnsi="標楷體" w:hint="eastAsia"/>
          <w:szCs w:val="22"/>
        </w:rPr>
        <w:t>因而生六入</w:t>
      </w:r>
      <w:r w:rsidRPr="00412A9C">
        <w:rPr>
          <w:rFonts w:ascii="標楷體" w:eastAsia="標楷體" w:hAnsi="標楷體" w:cs="標楷體" w:hint="eastAsia"/>
          <w:kern w:val="0"/>
          <w:szCs w:val="22"/>
        </w:rPr>
        <w:t>，</w:t>
      </w:r>
      <w:r w:rsidRPr="00412A9C">
        <w:rPr>
          <w:rFonts w:ascii="標楷體" w:eastAsia="標楷體" w:hAnsi="標楷體" w:hint="eastAsia"/>
          <w:szCs w:val="22"/>
        </w:rPr>
        <w:t>情塵識和合</w:t>
      </w:r>
      <w:r w:rsidRPr="00412A9C">
        <w:rPr>
          <w:rFonts w:ascii="標楷體" w:eastAsia="標楷體" w:hAnsi="標楷體" w:cs="標楷體" w:hint="eastAsia"/>
          <w:kern w:val="0"/>
          <w:szCs w:val="22"/>
        </w:rPr>
        <w:t>，</w:t>
      </w:r>
      <w:r w:rsidRPr="00412A9C">
        <w:rPr>
          <w:rFonts w:ascii="標楷體" w:eastAsia="標楷體" w:hAnsi="標楷體" w:hint="eastAsia"/>
          <w:szCs w:val="22"/>
        </w:rPr>
        <w:t>而生於六觸。因於六觸故</w:t>
      </w:r>
      <w:r w:rsidRPr="00412A9C">
        <w:rPr>
          <w:rFonts w:ascii="標楷體" w:eastAsia="標楷體" w:hAnsi="標楷體" w:cs="標楷體" w:hint="eastAsia"/>
          <w:kern w:val="0"/>
          <w:szCs w:val="22"/>
        </w:rPr>
        <w:t>，</w:t>
      </w:r>
      <w:r w:rsidRPr="00412A9C">
        <w:rPr>
          <w:rFonts w:ascii="標楷體" w:eastAsia="標楷體" w:hAnsi="標楷體" w:hint="eastAsia"/>
          <w:szCs w:val="22"/>
        </w:rPr>
        <w:t>即生於三受</w:t>
      </w:r>
      <w:r w:rsidRPr="00412A9C">
        <w:rPr>
          <w:rFonts w:ascii="標楷體" w:eastAsia="標楷體" w:hAnsi="標楷體" w:cs="標楷體" w:hint="eastAsia"/>
          <w:kern w:val="0"/>
          <w:szCs w:val="22"/>
        </w:rPr>
        <w:t>，</w:t>
      </w:r>
      <w:r w:rsidRPr="00412A9C">
        <w:rPr>
          <w:rFonts w:ascii="標楷體" w:eastAsia="標楷體" w:hAnsi="標楷體" w:hint="eastAsia"/>
          <w:szCs w:val="22"/>
        </w:rPr>
        <w:t>以因三受故</w:t>
      </w:r>
      <w:r w:rsidRPr="00412A9C">
        <w:rPr>
          <w:rFonts w:ascii="標楷體" w:eastAsia="標楷體" w:hAnsi="標楷體" w:cs="標楷體" w:hint="eastAsia"/>
          <w:kern w:val="0"/>
          <w:szCs w:val="22"/>
        </w:rPr>
        <w:t>，</w:t>
      </w:r>
      <w:r w:rsidRPr="00412A9C">
        <w:rPr>
          <w:rFonts w:ascii="標楷體" w:eastAsia="標楷體" w:hAnsi="標楷體" w:hint="eastAsia"/>
          <w:szCs w:val="22"/>
        </w:rPr>
        <w:t>而生於渴愛。因愛有四取</w:t>
      </w:r>
      <w:r w:rsidRPr="00412A9C">
        <w:rPr>
          <w:rFonts w:ascii="標楷體" w:eastAsia="標楷體" w:hAnsi="標楷體" w:cs="標楷體" w:hint="eastAsia"/>
          <w:kern w:val="0"/>
          <w:szCs w:val="22"/>
        </w:rPr>
        <w:t>，</w:t>
      </w:r>
      <w:r w:rsidRPr="00412A9C">
        <w:rPr>
          <w:rFonts w:ascii="標楷體" w:eastAsia="標楷體" w:hAnsi="標楷體" w:hint="eastAsia"/>
          <w:szCs w:val="22"/>
        </w:rPr>
        <w:t>因取故有有</w:t>
      </w:r>
      <w:r w:rsidRPr="00412A9C">
        <w:rPr>
          <w:rFonts w:ascii="標楷體" w:eastAsia="標楷體" w:hAnsi="標楷體" w:cs="標楷體" w:hint="eastAsia"/>
          <w:kern w:val="0"/>
          <w:szCs w:val="22"/>
        </w:rPr>
        <w:t>，</w:t>
      </w:r>
      <w:r w:rsidRPr="00412A9C">
        <w:rPr>
          <w:rFonts w:ascii="標楷體" w:eastAsia="標楷體" w:hAnsi="標楷體" w:hint="eastAsia"/>
          <w:szCs w:val="22"/>
        </w:rPr>
        <w:t>若取者不取</w:t>
      </w:r>
      <w:r w:rsidRPr="00412A9C">
        <w:rPr>
          <w:rFonts w:ascii="標楷體" w:eastAsia="標楷體" w:hAnsi="標楷體" w:cs="標楷體" w:hint="eastAsia"/>
          <w:kern w:val="0"/>
          <w:szCs w:val="22"/>
        </w:rPr>
        <w:t>，</w:t>
      </w:r>
      <w:r w:rsidRPr="00412A9C">
        <w:rPr>
          <w:rFonts w:ascii="標楷體" w:eastAsia="標楷體" w:hAnsi="標楷體" w:hint="eastAsia"/>
          <w:szCs w:val="22"/>
        </w:rPr>
        <w:t>則解脫無有。從有而有生</w:t>
      </w:r>
      <w:r w:rsidRPr="00412A9C">
        <w:rPr>
          <w:rFonts w:ascii="標楷體" w:eastAsia="標楷體" w:hAnsi="標楷體" w:cs="標楷體" w:hint="eastAsia"/>
          <w:kern w:val="0"/>
          <w:szCs w:val="22"/>
        </w:rPr>
        <w:t>，</w:t>
      </w:r>
      <w:r w:rsidRPr="00412A9C">
        <w:rPr>
          <w:rFonts w:ascii="標楷體" w:eastAsia="標楷體" w:hAnsi="標楷體" w:hint="eastAsia"/>
          <w:szCs w:val="22"/>
        </w:rPr>
        <w:t>從生有老死</w:t>
      </w:r>
      <w:r w:rsidRPr="00412A9C">
        <w:rPr>
          <w:rFonts w:ascii="標楷體" w:eastAsia="標楷體" w:hAnsi="標楷體" w:cs="標楷體" w:hint="eastAsia"/>
          <w:kern w:val="0"/>
          <w:szCs w:val="22"/>
        </w:rPr>
        <w:t>，</w:t>
      </w:r>
      <w:r w:rsidRPr="00412A9C">
        <w:rPr>
          <w:rFonts w:ascii="標楷體" w:eastAsia="標楷體" w:hAnsi="標楷體" w:hint="eastAsia"/>
          <w:szCs w:val="22"/>
        </w:rPr>
        <w:t>從老死故有</w:t>
      </w:r>
      <w:r w:rsidRPr="00412A9C">
        <w:rPr>
          <w:rFonts w:ascii="標楷體" w:eastAsia="標楷體" w:hAnsi="標楷體" w:cs="標楷體" w:hint="eastAsia"/>
          <w:kern w:val="0"/>
          <w:szCs w:val="22"/>
        </w:rPr>
        <w:t>，</w:t>
      </w:r>
      <w:r w:rsidRPr="00412A9C">
        <w:rPr>
          <w:rFonts w:ascii="標楷體" w:eastAsia="標楷體" w:hAnsi="標楷體" w:hint="eastAsia"/>
          <w:szCs w:val="22"/>
        </w:rPr>
        <w:t>憂悲諸苦惱。如是等諸事</w:t>
      </w:r>
      <w:r w:rsidRPr="00412A9C">
        <w:rPr>
          <w:rFonts w:ascii="標楷體" w:eastAsia="標楷體" w:hAnsi="標楷體" w:cs="標楷體" w:hint="eastAsia"/>
          <w:kern w:val="0"/>
          <w:szCs w:val="22"/>
        </w:rPr>
        <w:t>，</w:t>
      </w:r>
      <w:r w:rsidRPr="00412A9C">
        <w:rPr>
          <w:rFonts w:ascii="標楷體" w:eastAsia="標楷體" w:hAnsi="標楷體" w:hint="eastAsia"/>
          <w:szCs w:val="22"/>
        </w:rPr>
        <w:t>皆從生而有</w:t>
      </w:r>
      <w:r w:rsidRPr="00412A9C">
        <w:rPr>
          <w:rFonts w:ascii="標楷體" w:eastAsia="標楷體" w:hAnsi="標楷體" w:cs="標楷體" w:hint="eastAsia"/>
          <w:kern w:val="0"/>
          <w:szCs w:val="22"/>
        </w:rPr>
        <w:t>，</w:t>
      </w:r>
      <w:r w:rsidRPr="00412A9C">
        <w:rPr>
          <w:rFonts w:ascii="標楷體" w:eastAsia="標楷體" w:hAnsi="標楷體" w:hint="eastAsia"/>
          <w:szCs w:val="22"/>
        </w:rPr>
        <w:t>但以是因緣</w:t>
      </w:r>
      <w:r w:rsidRPr="00412A9C">
        <w:rPr>
          <w:rFonts w:ascii="標楷體" w:eastAsia="標楷體" w:hAnsi="標楷體" w:cs="標楷體" w:hint="eastAsia"/>
          <w:kern w:val="0"/>
          <w:szCs w:val="22"/>
        </w:rPr>
        <w:t>，</w:t>
      </w:r>
      <w:r w:rsidRPr="00412A9C">
        <w:rPr>
          <w:rFonts w:ascii="標楷體" w:eastAsia="標楷體" w:hAnsi="標楷體" w:hint="eastAsia"/>
          <w:szCs w:val="22"/>
        </w:rPr>
        <w:t>而集大苦陰。是謂為生死</w:t>
      </w:r>
      <w:r w:rsidRPr="00412A9C">
        <w:rPr>
          <w:rFonts w:ascii="標楷體" w:eastAsia="標楷體" w:hAnsi="標楷體" w:cs="標楷體" w:hint="eastAsia"/>
          <w:kern w:val="0"/>
          <w:szCs w:val="22"/>
        </w:rPr>
        <w:t>，</w:t>
      </w:r>
      <w:r w:rsidRPr="00412A9C">
        <w:rPr>
          <w:rFonts w:ascii="標楷體" w:eastAsia="標楷體" w:hAnsi="標楷體" w:hint="eastAsia"/>
          <w:b/>
          <w:szCs w:val="22"/>
        </w:rPr>
        <w:t>諸行之根本</w:t>
      </w:r>
      <w:r w:rsidRPr="00412A9C">
        <w:rPr>
          <w:rFonts w:ascii="標楷體" w:eastAsia="標楷體" w:hAnsi="標楷體" w:cs="標楷體" w:hint="eastAsia"/>
          <w:b/>
          <w:kern w:val="0"/>
          <w:szCs w:val="22"/>
        </w:rPr>
        <w:t>，</w:t>
      </w:r>
      <w:r w:rsidRPr="00412A9C">
        <w:rPr>
          <w:rFonts w:ascii="標楷體" w:eastAsia="標楷體" w:hAnsi="標楷體" w:hint="eastAsia"/>
          <w:b/>
          <w:szCs w:val="22"/>
        </w:rPr>
        <w:t>無明者所造</w:t>
      </w:r>
      <w:r w:rsidRPr="00412A9C">
        <w:rPr>
          <w:rFonts w:ascii="標楷體" w:eastAsia="標楷體" w:hAnsi="標楷體" w:cs="標楷體" w:hint="eastAsia"/>
          <w:b/>
          <w:kern w:val="0"/>
          <w:szCs w:val="22"/>
        </w:rPr>
        <w:t>，</w:t>
      </w:r>
      <w:r w:rsidRPr="00412A9C">
        <w:rPr>
          <w:rFonts w:ascii="標楷體" w:eastAsia="標楷體" w:hAnsi="標楷體" w:hint="eastAsia"/>
          <w:b/>
          <w:szCs w:val="22"/>
        </w:rPr>
        <w:t>智者所不為。以是事滅故</w:t>
      </w:r>
      <w:r w:rsidRPr="00412A9C">
        <w:rPr>
          <w:rFonts w:ascii="標楷體" w:eastAsia="標楷體" w:hAnsi="標楷體" w:cs="標楷體" w:hint="eastAsia"/>
          <w:b/>
          <w:kern w:val="0"/>
          <w:szCs w:val="22"/>
        </w:rPr>
        <w:t>，</w:t>
      </w:r>
      <w:r w:rsidRPr="00412A9C">
        <w:rPr>
          <w:rFonts w:ascii="標楷體" w:eastAsia="標楷體" w:hAnsi="標楷體" w:hint="eastAsia"/>
          <w:b/>
          <w:szCs w:val="22"/>
        </w:rPr>
        <w:t>是事則不生</w:t>
      </w:r>
      <w:r w:rsidRPr="00412A9C">
        <w:rPr>
          <w:rFonts w:ascii="標楷體" w:eastAsia="標楷體" w:hAnsi="標楷體" w:cs="標楷體" w:hint="eastAsia"/>
          <w:b/>
          <w:kern w:val="0"/>
          <w:szCs w:val="22"/>
        </w:rPr>
        <w:t>，</w:t>
      </w:r>
      <w:r w:rsidRPr="00412A9C">
        <w:rPr>
          <w:rFonts w:ascii="標楷體" w:eastAsia="標楷體" w:hAnsi="標楷體" w:hint="eastAsia"/>
          <w:b/>
          <w:szCs w:val="22"/>
        </w:rPr>
        <w:t>但是苦陰聚</w:t>
      </w:r>
      <w:r w:rsidRPr="00412A9C">
        <w:rPr>
          <w:rFonts w:ascii="標楷體" w:eastAsia="標楷體" w:hAnsi="標楷體" w:cs="標楷體" w:hint="eastAsia"/>
          <w:b/>
          <w:kern w:val="0"/>
          <w:szCs w:val="22"/>
        </w:rPr>
        <w:t>，</w:t>
      </w:r>
      <w:r w:rsidRPr="00412A9C">
        <w:rPr>
          <w:rFonts w:ascii="標楷體" w:eastAsia="標楷體" w:hAnsi="標楷體" w:hint="eastAsia"/>
          <w:b/>
          <w:szCs w:val="22"/>
        </w:rPr>
        <w:t>如是而正滅</w:t>
      </w:r>
      <w:r w:rsidRPr="00412A9C">
        <w:rPr>
          <w:rFonts w:ascii="標楷體" w:eastAsia="標楷體" w:hAnsi="標楷體" w:hint="eastAsia"/>
          <w:szCs w:val="22"/>
        </w:rPr>
        <w:t>。</w:t>
      </w:r>
    </w:p>
  </w:footnote>
  <w:footnote w:id="1043">
    <w:p w:rsidR="00157EF6" w:rsidRPr="00412A9C" w:rsidRDefault="00157EF6" w:rsidP="00AA120F">
      <w:pPr>
        <w:pStyle w:val="a5"/>
        <w:spacing w:line="0" w:lineRule="atLeast"/>
        <w:ind w:left="792" w:hangingChars="360" w:hanging="792"/>
        <w:jc w:val="both"/>
        <w:rPr>
          <w:rFonts w:ascii="新細明體" w:hAnsi="新細明體"/>
          <w:szCs w:val="22"/>
        </w:rPr>
      </w:pPr>
      <w:r w:rsidRPr="00412A9C">
        <w:rPr>
          <w:rStyle w:val="a6"/>
          <w:szCs w:val="22"/>
        </w:rPr>
        <w:footnoteRef/>
      </w:r>
      <w:r>
        <w:rPr>
          <w:rFonts w:hint="eastAsia"/>
          <w:szCs w:val="22"/>
        </w:rPr>
        <w:t xml:space="preserve"> </w:t>
      </w:r>
      <w:r w:rsidRPr="00412A9C">
        <w:rPr>
          <w:rFonts w:hint="eastAsia"/>
          <w:szCs w:val="22"/>
        </w:rPr>
        <w:t>（</w:t>
      </w:r>
      <w:r w:rsidRPr="00761EF3">
        <w:rPr>
          <w:rFonts w:hint="eastAsia"/>
          <w:szCs w:val="22"/>
        </w:rPr>
        <w:t>1</w:t>
      </w:r>
      <w:r w:rsidRPr="00412A9C">
        <w:rPr>
          <w:rFonts w:hint="eastAsia"/>
          <w:szCs w:val="22"/>
        </w:rPr>
        <w:t>）</w:t>
      </w:r>
      <w:r w:rsidRPr="00412A9C">
        <w:rPr>
          <w:rFonts w:ascii="新細明體" w:hAnsi="新細明體" w:hint="eastAsia"/>
          <w:szCs w:val="22"/>
        </w:rPr>
        <w:t>《雜阿含經》卷</w:t>
      </w:r>
      <w:r w:rsidRPr="00761EF3">
        <w:rPr>
          <w:szCs w:val="22"/>
        </w:rPr>
        <w:t>21</w:t>
      </w:r>
      <w:r w:rsidRPr="00412A9C">
        <w:rPr>
          <w:rFonts w:ascii="新細明體" w:hAnsi="新細明體" w:hint="eastAsia"/>
          <w:szCs w:val="22"/>
        </w:rPr>
        <w:t>（</w:t>
      </w:r>
      <w:r w:rsidRPr="00761EF3">
        <w:rPr>
          <w:szCs w:val="22"/>
        </w:rPr>
        <w:t>570</w:t>
      </w:r>
      <w:r w:rsidRPr="00412A9C">
        <w:rPr>
          <w:rFonts w:ascii="新細明體" w:hAnsi="新細明體" w:hint="eastAsia"/>
          <w:szCs w:val="22"/>
        </w:rPr>
        <w:t>經）</w:t>
      </w:r>
      <w:r w:rsidRPr="00412A9C">
        <w:rPr>
          <w:rFonts w:ascii="新細明體" w:cs="新細明體" w:hint="eastAsia"/>
          <w:szCs w:val="22"/>
        </w:rPr>
        <w:t>（大正</w:t>
      </w:r>
      <w:r w:rsidRPr="00761EF3">
        <w:rPr>
          <w:rFonts w:eastAsia="SimSun"/>
          <w:szCs w:val="22"/>
        </w:rPr>
        <w:t>2</w:t>
      </w:r>
      <w:r w:rsidRPr="00412A9C">
        <w:rPr>
          <w:rFonts w:ascii="新細明體" w:cs="新細明體" w:hint="eastAsia"/>
          <w:szCs w:val="22"/>
        </w:rPr>
        <w:t>，</w:t>
      </w:r>
      <w:r w:rsidRPr="00761EF3">
        <w:rPr>
          <w:rFonts w:eastAsia="SimSun" w:hint="eastAsia"/>
          <w:szCs w:val="22"/>
        </w:rPr>
        <w:t>151a</w:t>
      </w:r>
      <w:r w:rsidRPr="00761EF3">
        <w:rPr>
          <w:rFonts w:hint="eastAsia"/>
          <w:szCs w:val="22"/>
        </w:rPr>
        <w:t>20</w:t>
      </w:r>
      <w:r w:rsidRPr="00412A9C">
        <w:rPr>
          <w:rFonts w:hint="eastAsia"/>
          <w:szCs w:val="22"/>
        </w:rPr>
        <w:t>-</w:t>
      </w:r>
      <w:r w:rsidRPr="00761EF3">
        <w:rPr>
          <w:rFonts w:hint="eastAsia"/>
          <w:szCs w:val="22"/>
        </w:rPr>
        <w:t>22</w:t>
      </w:r>
      <w:r w:rsidRPr="00412A9C">
        <w:rPr>
          <w:rFonts w:ascii="新細明體" w:cs="新細明體" w:hint="eastAsia"/>
          <w:szCs w:val="22"/>
        </w:rPr>
        <w:t>）</w:t>
      </w:r>
      <w:r w:rsidRPr="00412A9C">
        <w:rPr>
          <w:rFonts w:ascii="新細明體" w:hAnsi="新細明體" w:hint="eastAsia"/>
          <w:szCs w:val="22"/>
        </w:rPr>
        <w:t>：</w:t>
      </w:r>
    </w:p>
    <w:p w:rsidR="00157EF6" w:rsidRPr="00412A9C" w:rsidRDefault="00157EF6" w:rsidP="00AA120F">
      <w:pPr>
        <w:pStyle w:val="a5"/>
        <w:ind w:leftChars="335" w:left="804"/>
        <w:jc w:val="both"/>
        <w:rPr>
          <w:szCs w:val="22"/>
        </w:rPr>
      </w:pPr>
      <w:r w:rsidRPr="00412A9C">
        <w:rPr>
          <w:rFonts w:ascii="標楷體" w:eastAsia="標楷體" w:hAnsi="標楷體" w:hint="eastAsia"/>
          <w:szCs w:val="22"/>
        </w:rPr>
        <w:t>凡世間所見，或言有</w:t>
      </w:r>
      <w:r w:rsidR="00B05672">
        <w:rPr>
          <w:rFonts w:ascii="標楷體" w:eastAsia="標楷體" w:hAnsi="標楷體" w:hint="eastAsia"/>
          <w:bCs/>
          <w:color w:val="FF0000"/>
          <w:kern w:val="0"/>
          <w:highlight w:val="yellow"/>
        </w:rPr>
        <w:t>「</w:t>
      </w:r>
      <w:r w:rsidRPr="00412A9C">
        <w:rPr>
          <w:rFonts w:ascii="標楷體" w:eastAsia="標楷體" w:hAnsi="標楷體" w:hint="eastAsia"/>
          <w:szCs w:val="22"/>
        </w:rPr>
        <w:t>我</w:t>
      </w:r>
      <w:r w:rsidR="00B05672">
        <w:rPr>
          <w:rFonts w:ascii="標楷體" w:eastAsia="標楷體" w:hAnsi="標楷體" w:hint="eastAsia"/>
          <w:bCs/>
          <w:color w:val="FF0000"/>
          <w:kern w:val="0"/>
          <w:highlight w:val="yellow"/>
        </w:rPr>
        <w:t>」</w:t>
      </w:r>
      <w:r w:rsidRPr="00412A9C">
        <w:rPr>
          <w:rFonts w:ascii="標楷體" w:eastAsia="標楷體" w:hAnsi="標楷體" w:hint="eastAsia"/>
          <w:szCs w:val="22"/>
        </w:rPr>
        <w:t>，或說</w:t>
      </w:r>
      <w:r w:rsidR="00B05672">
        <w:rPr>
          <w:rFonts w:ascii="標楷體" w:eastAsia="標楷體" w:hAnsi="標楷體" w:hint="eastAsia"/>
          <w:bCs/>
          <w:color w:val="FF0000"/>
          <w:kern w:val="0"/>
          <w:highlight w:val="yellow"/>
        </w:rPr>
        <w:t>「</w:t>
      </w:r>
      <w:r w:rsidRPr="00412A9C">
        <w:rPr>
          <w:rFonts w:ascii="標楷體" w:eastAsia="標楷體" w:hAnsi="標楷體" w:hint="eastAsia"/>
          <w:szCs w:val="22"/>
        </w:rPr>
        <w:t>眾生</w:t>
      </w:r>
      <w:r w:rsidR="00B05672">
        <w:rPr>
          <w:rFonts w:ascii="標楷體" w:eastAsia="標楷體" w:hAnsi="標楷體" w:hint="eastAsia"/>
          <w:bCs/>
          <w:color w:val="FF0000"/>
          <w:kern w:val="0"/>
          <w:highlight w:val="yellow"/>
        </w:rPr>
        <w:t>」</w:t>
      </w:r>
      <w:r w:rsidRPr="00412A9C">
        <w:rPr>
          <w:rFonts w:ascii="標楷體" w:eastAsia="標楷體" w:hAnsi="標楷體" w:hint="eastAsia"/>
          <w:szCs w:val="22"/>
        </w:rPr>
        <w:t>，或說</w:t>
      </w:r>
      <w:r w:rsidR="00B05672">
        <w:rPr>
          <w:rFonts w:ascii="標楷體" w:eastAsia="標楷體" w:hAnsi="標楷體" w:hint="eastAsia"/>
          <w:bCs/>
          <w:color w:val="FF0000"/>
          <w:kern w:val="0"/>
          <w:highlight w:val="yellow"/>
        </w:rPr>
        <w:t>「</w:t>
      </w:r>
      <w:r w:rsidRPr="00412A9C">
        <w:rPr>
          <w:rFonts w:ascii="標楷體" w:eastAsia="標楷體" w:hAnsi="標楷體" w:hint="eastAsia"/>
          <w:szCs w:val="22"/>
        </w:rPr>
        <w:t>壽命</w:t>
      </w:r>
      <w:r w:rsidR="00B05672">
        <w:rPr>
          <w:rFonts w:ascii="標楷體" w:eastAsia="標楷體" w:hAnsi="標楷體" w:hint="eastAsia"/>
          <w:bCs/>
          <w:color w:val="FF0000"/>
          <w:kern w:val="0"/>
          <w:highlight w:val="yellow"/>
        </w:rPr>
        <w:t>」</w:t>
      </w:r>
      <w:r w:rsidRPr="00412A9C">
        <w:rPr>
          <w:rFonts w:ascii="標楷體" w:eastAsia="標楷體" w:hAnsi="標楷體" w:hint="eastAsia"/>
          <w:szCs w:val="22"/>
        </w:rPr>
        <w:t>，或說</w:t>
      </w:r>
      <w:r w:rsidR="00B05672">
        <w:rPr>
          <w:rFonts w:ascii="標楷體" w:eastAsia="標楷體" w:hAnsi="標楷體" w:hint="eastAsia"/>
          <w:bCs/>
          <w:color w:val="FF0000"/>
          <w:kern w:val="0"/>
          <w:highlight w:val="yellow"/>
        </w:rPr>
        <w:t>「</w:t>
      </w:r>
      <w:r w:rsidRPr="00412A9C">
        <w:rPr>
          <w:rFonts w:ascii="標楷體" w:eastAsia="標楷體" w:hAnsi="標楷體" w:hint="eastAsia"/>
          <w:szCs w:val="22"/>
        </w:rPr>
        <w:t>世間吉凶</w:t>
      </w:r>
      <w:r w:rsidR="00B05672">
        <w:rPr>
          <w:rFonts w:ascii="標楷體" w:eastAsia="標楷體" w:hAnsi="標楷體" w:hint="eastAsia"/>
          <w:bCs/>
          <w:color w:val="FF0000"/>
          <w:kern w:val="0"/>
          <w:highlight w:val="yellow"/>
        </w:rPr>
        <w:t>」</w:t>
      </w:r>
      <w:r w:rsidR="00B05672">
        <w:rPr>
          <w:rFonts w:ascii="標楷體" w:eastAsia="標楷體" w:hAnsi="標楷體" w:hint="eastAsia"/>
          <w:color w:val="FF0000"/>
          <w:kern w:val="0"/>
          <w:highlight w:val="yellow"/>
        </w:rPr>
        <w:t>──</w:t>
      </w:r>
      <w:r w:rsidRPr="00412A9C">
        <w:rPr>
          <w:rFonts w:ascii="標楷體" w:eastAsia="標楷體" w:hAnsi="標楷體" w:hint="eastAsia"/>
          <w:szCs w:val="22"/>
        </w:rPr>
        <w:t>斯等諸見，</w:t>
      </w:r>
      <w:r w:rsidRPr="00412A9C">
        <w:rPr>
          <w:rFonts w:ascii="標楷體" w:eastAsia="標楷體" w:hAnsi="標楷體" w:hint="eastAsia"/>
          <w:b/>
          <w:szCs w:val="22"/>
        </w:rPr>
        <w:t>一切皆以</w:t>
      </w:r>
      <w:r w:rsidR="00B05672">
        <w:rPr>
          <w:rFonts w:ascii="標楷體" w:eastAsia="標楷體" w:hAnsi="標楷體" w:hint="eastAsia"/>
          <w:bCs/>
          <w:color w:val="FF0000"/>
          <w:kern w:val="0"/>
          <w:highlight w:val="yellow"/>
        </w:rPr>
        <w:t>「</w:t>
      </w:r>
      <w:r w:rsidRPr="00412A9C">
        <w:rPr>
          <w:rFonts w:ascii="標楷體" w:eastAsia="標楷體" w:hAnsi="標楷體" w:hint="eastAsia"/>
          <w:b/>
          <w:szCs w:val="22"/>
        </w:rPr>
        <w:t>身見</w:t>
      </w:r>
      <w:r w:rsidR="00B05672">
        <w:rPr>
          <w:rFonts w:ascii="標楷體" w:eastAsia="標楷體" w:hAnsi="標楷體" w:hint="eastAsia"/>
          <w:bCs/>
          <w:color w:val="FF0000"/>
          <w:kern w:val="0"/>
          <w:highlight w:val="yellow"/>
        </w:rPr>
        <w:t>」</w:t>
      </w:r>
      <w:r w:rsidRPr="00412A9C">
        <w:rPr>
          <w:rFonts w:ascii="標楷體" w:eastAsia="標楷體" w:hAnsi="標楷體" w:hint="eastAsia"/>
          <w:b/>
          <w:szCs w:val="22"/>
        </w:rPr>
        <w:t>為本</w:t>
      </w:r>
      <w:r w:rsidRPr="00412A9C">
        <w:rPr>
          <w:rFonts w:ascii="標楷體" w:eastAsia="標楷體" w:hAnsi="標楷體" w:hint="eastAsia"/>
          <w:szCs w:val="22"/>
        </w:rPr>
        <w:t>，</w:t>
      </w:r>
      <w:r w:rsidR="00B05672">
        <w:rPr>
          <w:rFonts w:ascii="標楷體" w:eastAsia="標楷體" w:hAnsi="標楷體" w:hint="eastAsia"/>
          <w:bCs/>
          <w:color w:val="FF0000"/>
          <w:kern w:val="0"/>
          <w:highlight w:val="yellow"/>
        </w:rPr>
        <w:t>「</w:t>
      </w:r>
      <w:r w:rsidRPr="00412A9C">
        <w:rPr>
          <w:rFonts w:ascii="標楷體" w:eastAsia="標楷體" w:hAnsi="標楷體" w:hint="eastAsia"/>
          <w:szCs w:val="22"/>
        </w:rPr>
        <w:t>身見</w:t>
      </w:r>
      <w:r w:rsidR="00B05672">
        <w:rPr>
          <w:rFonts w:ascii="標楷體" w:eastAsia="標楷體" w:hAnsi="標楷體" w:hint="eastAsia"/>
          <w:bCs/>
          <w:color w:val="FF0000"/>
          <w:kern w:val="0"/>
          <w:highlight w:val="yellow"/>
        </w:rPr>
        <w:t>」</w:t>
      </w:r>
      <w:r w:rsidRPr="00412A9C">
        <w:rPr>
          <w:rFonts w:ascii="標楷體" w:eastAsia="標楷體" w:hAnsi="標楷體" w:hint="eastAsia"/>
          <w:szCs w:val="22"/>
        </w:rPr>
        <w:t>集、</w:t>
      </w:r>
      <w:r w:rsidR="00B05672">
        <w:rPr>
          <w:rFonts w:ascii="標楷體" w:eastAsia="標楷體" w:hAnsi="標楷體" w:hint="eastAsia"/>
          <w:bCs/>
          <w:color w:val="FF0000"/>
          <w:kern w:val="0"/>
          <w:highlight w:val="yellow"/>
        </w:rPr>
        <w:t>「</w:t>
      </w:r>
      <w:r w:rsidRPr="00412A9C">
        <w:rPr>
          <w:rFonts w:ascii="標楷體" w:eastAsia="標楷體" w:hAnsi="標楷體" w:hint="eastAsia"/>
          <w:szCs w:val="22"/>
        </w:rPr>
        <w:t>身見</w:t>
      </w:r>
      <w:r w:rsidR="00B05672">
        <w:rPr>
          <w:rFonts w:ascii="標楷體" w:eastAsia="標楷體" w:hAnsi="標楷體" w:hint="eastAsia"/>
          <w:bCs/>
          <w:color w:val="FF0000"/>
          <w:kern w:val="0"/>
          <w:highlight w:val="yellow"/>
        </w:rPr>
        <w:t>」</w:t>
      </w:r>
      <w:r w:rsidRPr="00412A9C">
        <w:rPr>
          <w:rFonts w:ascii="標楷體" w:eastAsia="標楷體" w:hAnsi="標楷體" w:hint="eastAsia"/>
          <w:szCs w:val="22"/>
        </w:rPr>
        <w:t>生、</w:t>
      </w:r>
      <w:r w:rsidR="00B05672">
        <w:rPr>
          <w:rFonts w:ascii="標楷體" w:eastAsia="標楷體" w:hAnsi="標楷體" w:hint="eastAsia"/>
          <w:bCs/>
          <w:color w:val="FF0000"/>
          <w:kern w:val="0"/>
          <w:highlight w:val="yellow"/>
        </w:rPr>
        <w:t>「</w:t>
      </w:r>
      <w:r w:rsidRPr="00412A9C">
        <w:rPr>
          <w:rFonts w:ascii="標楷體" w:eastAsia="標楷體" w:hAnsi="標楷體" w:hint="eastAsia"/>
          <w:szCs w:val="22"/>
        </w:rPr>
        <w:t>身見</w:t>
      </w:r>
      <w:r w:rsidR="00B05672">
        <w:rPr>
          <w:rFonts w:ascii="標楷體" w:eastAsia="標楷體" w:hAnsi="標楷體" w:hint="eastAsia"/>
          <w:bCs/>
          <w:color w:val="FF0000"/>
          <w:kern w:val="0"/>
          <w:highlight w:val="yellow"/>
        </w:rPr>
        <w:t>」</w:t>
      </w:r>
      <w:r w:rsidRPr="00412A9C">
        <w:rPr>
          <w:rFonts w:ascii="標楷體" w:eastAsia="標楷體" w:hAnsi="標楷體" w:hint="eastAsia"/>
          <w:szCs w:val="22"/>
        </w:rPr>
        <w:t>轉。</w:t>
      </w:r>
    </w:p>
    <w:p w:rsidR="00157EF6" w:rsidRPr="00412A9C" w:rsidRDefault="00157EF6" w:rsidP="00AA120F">
      <w:pPr>
        <w:pStyle w:val="a5"/>
        <w:ind w:leftChars="105" w:left="791" w:hangingChars="245" w:hanging="539"/>
        <w:jc w:val="both"/>
        <w:rPr>
          <w:rFonts w:ascii="標楷體" w:eastAsia="標楷體" w:hAnsi="標楷體"/>
          <w:szCs w:val="22"/>
        </w:rPr>
      </w:pPr>
      <w:r w:rsidRPr="00412A9C">
        <w:rPr>
          <w:rFonts w:hint="eastAsia"/>
          <w:szCs w:val="22"/>
        </w:rPr>
        <w:t>（</w:t>
      </w:r>
      <w:r w:rsidRPr="00761EF3">
        <w:rPr>
          <w:rFonts w:hint="eastAsia"/>
          <w:szCs w:val="22"/>
        </w:rPr>
        <w:t>2</w:t>
      </w:r>
      <w:r w:rsidRPr="00412A9C">
        <w:rPr>
          <w:rFonts w:hint="eastAsia"/>
          <w:szCs w:val="22"/>
        </w:rPr>
        <w:t>）《中阿含經》卷</w:t>
      </w:r>
      <w:r w:rsidRPr="00761EF3">
        <w:rPr>
          <w:rFonts w:hint="eastAsia"/>
          <w:szCs w:val="22"/>
        </w:rPr>
        <w:t>1</w:t>
      </w:r>
      <w:r w:rsidRPr="00412A9C">
        <w:rPr>
          <w:rFonts w:hint="eastAsia"/>
          <w:szCs w:val="22"/>
        </w:rPr>
        <w:t>（</w:t>
      </w:r>
      <w:r w:rsidRPr="00761EF3">
        <w:rPr>
          <w:rFonts w:eastAsia="SimSun" w:hint="eastAsia"/>
          <w:szCs w:val="22"/>
        </w:rPr>
        <w:t>4</w:t>
      </w:r>
      <w:r w:rsidRPr="00412A9C">
        <w:rPr>
          <w:rFonts w:hAnsi="新細明體" w:hint="eastAsia"/>
          <w:szCs w:val="22"/>
        </w:rPr>
        <w:t>經）《水喻經》</w:t>
      </w:r>
      <w:r w:rsidRPr="00412A9C">
        <w:rPr>
          <w:rFonts w:hint="eastAsia"/>
          <w:szCs w:val="22"/>
        </w:rPr>
        <w:t>（大正</w:t>
      </w:r>
      <w:r w:rsidRPr="00761EF3">
        <w:rPr>
          <w:rFonts w:eastAsia="SimSun" w:hint="eastAsia"/>
          <w:szCs w:val="22"/>
        </w:rPr>
        <w:t>1</w:t>
      </w:r>
      <w:r w:rsidRPr="00412A9C">
        <w:rPr>
          <w:rFonts w:hint="eastAsia"/>
          <w:szCs w:val="22"/>
        </w:rPr>
        <w:t>，</w:t>
      </w:r>
      <w:r w:rsidRPr="00761EF3">
        <w:rPr>
          <w:rFonts w:eastAsia="SimSun" w:hint="eastAsia"/>
          <w:szCs w:val="22"/>
        </w:rPr>
        <w:t>424b28</w:t>
      </w:r>
      <w:r w:rsidRPr="00412A9C">
        <w:rPr>
          <w:rFonts w:eastAsia="SimSun" w:hint="eastAsia"/>
          <w:szCs w:val="22"/>
        </w:rPr>
        <w:t>-</w:t>
      </w:r>
      <w:r w:rsidRPr="00761EF3">
        <w:rPr>
          <w:rFonts w:eastAsia="SimSun" w:hint="eastAsia"/>
          <w:szCs w:val="22"/>
        </w:rPr>
        <w:t>c2</w:t>
      </w:r>
      <w:r w:rsidRPr="00412A9C">
        <w:rPr>
          <w:rFonts w:hint="eastAsia"/>
          <w:szCs w:val="22"/>
        </w:rPr>
        <w:t>）：</w:t>
      </w:r>
    </w:p>
    <w:p w:rsidR="00157EF6" w:rsidRPr="00412A9C" w:rsidRDefault="00157EF6" w:rsidP="00AA120F">
      <w:pPr>
        <w:pStyle w:val="a5"/>
        <w:ind w:leftChars="335" w:left="804"/>
        <w:jc w:val="both"/>
        <w:rPr>
          <w:rFonts w:ascii="標楷體" w:eastAsia="標楷體" w:hAnsi="標楷體"/>
          <w:szCs w:val="22"/>
        </w:rPr>
      </w:pPr>
      <w:r w:rsidRPr="00412A9C">
        <w:rPr>
          <w:rFonts w:ascii="標楷體" w:eastAsia="標楷體" w:hAnsi="標楷體" w:hint="eastAsia"/>
          <w:szCs w:val="22"/>
        </w:rPr>
        <w:t>彼如是知、如是見，三結便盡，謂</w:t>
      </w:r>
      <w:r w:rsidRPr="00412A9C">
        <w:rPr>
          <w:rFonts w:ascii="標楷體" w:eastAsia="標楷體" w:hAnsi="標楷體" w:hint="eastAsia"/>
          <w:b/>
          <w:szCs w:val="22"/>
        </w:rPr>
        <w:t>身見</w:t>
      </w:r>
      <w:r w:rsidRPr="00412A9C">
        <w:rPr>
          <w:rFonts w:ascii="標楷體" w:eastAsia="標楷體" w:hAnsi="標楷體" w:hint="eastAsia"/>
          <w:szCs w:val="22"/>
        </w:rPr>
        <w:t>、戒取、疑；三結已盡，得須陀洹，不墮惡法，定趣正覺，極受七有，</w:t>
      </w:r>
      <w:r w:rsidR="00B05672">
        <w:rPr>
          <w:rFonts w:ascii="標楷體" w:eastAsia="標楷體" w:hAnsi="標楷體" w:hint="eastAsia"/>
          <w:bCs/>
          <w:color w:val="FF0000"/>
          <w:kern w:val="0"/>
          <w:highlight w:val="yellow"/>
        </w:rPr>
        <w:t>「</w:t>
      </w:r>
      <w:r w:rsidRPr="00412A9C">
        <w:rPr>
          <w:rFonts w:ascii="標楷體" w:eastAsia="標楷體" w:hAnsi="標楷體" w:hint="eastAsia"/>
          <w:szCs w:val="22"/>
        </w:rPr>
        <w:t>天上、人間</w:t>
      </w:r>
      <w:r w:rsidR="00B05672">
        <w:rPr>
          <w:rFonts w:ascii="標楷體" w:eastAsia="標楷體" w:hAnsi="標楷體" w:hint="eastAsia"/>
          <w:bCs/>
          <w:color w:val="FF0000"/>
          <w:kern w:val="0"/>
          <w:highlight w:val="yellow"/>
        </w:rPr>
        <w:t>」</w:t>
      </w:r>
      <w:r w:rsidRPr="00412A9C">
        <w:rPr>
          <w:rFonts w:ascii="標楷體" w:eastAsia="標楷體" w:hAnsi="標楷體" w:hint="eastAsia"/>
          <w:szCs w:val="22"/>
        </w:rPr>
        <w:t>七往來已，便得苦際，是謂</w:t>
      </w:r>
      <w:r w:rsidR="00B05672">
        <w:rPr>
          <w:rFonts w:ascii="標楷體" w:eastAsia="標楷體" w:hAnsi="標楷體" w:hint="eastAsia"/>
          <w:bCs/>
          <w:color w:val="FF0000"/>
          <w:kern w:val="0"/>
          <w:highlight w:val="yellow"/>
        </w:rPr>
        <w:t>「</w:t>
      </w:r>
      <w:r w:rsidRPr="00412A9C">
        <w:rPr>
          <w:rFonts w:ascii="標楷體" w:eastAsia="標楷體" w:hAnsi="標楷體" w:hint="eastAsia"/>
          <w:szCs w:val="22"/>
        </w:rPr>
        <w:t>有人出已而住，住已而觀</w:t>
      </w:r>
      <w:r w:rsidR="00B05672">
        <w:rPr>
          <w:rFonts w:ascii="標楷體" w:eastAsia="標楷體" w:hAnsi="標楷體" w:hint="eastAsia"/>
          <w:bCs/>
          <w:color w:val="FF0000"/>
          <w:kern w:val="0"/>
          <w:highlight w:val="yellow"/>
        </w:rPr>
        <w:t>」</w:t>
      </w:r>
      <w:r w:rsidRPr="00412A9C">
        <w:rPr>
          <w:rFonts w:ascii="標楷體" w:eastAsia="標楷體" w:hAnsi="標楷體" w:hint="eastAsia"/>
          <w:szCs w:val="22"/>
        </w:rPr>
        <w:t>。</w:t>
      </w:r>
    </w:p>
    <w:p w:rsidR="00157EF6" w:rsidRPr="00412A9C" w:rsidRDefault="00157EF6" w:rsidP="00AA120F">
      <w:pPr>
        <w:pStyle w:val="a5"/>
        <w:ind w:leftChars="105" w:left="791" w:hangingChars="245" w:hanging="539"/>
        <w:jc w:val="both"/>
        <w:rPr>
          <w:szCs w:val="22"/>
        </w:rPr>
      </w:pPr>
      <w:r w:rsidRPr="00412A9C">
        <w:rPr>
          <w:rFonts w:hint="eastAsia"/>
          <w:szCs w:val="22"/>
        </w:rPr>
        <w:t>（</w:t>
      </w:r>
      <w:r w:rsidRPr="00761EF3">
        <w:rPr>
          <w:rFonts w:hint="eastAsia"/>
          <w:szCs w:val="22"/>
        </w:rPr>
        <w:t>3</w:t>
      </w:r>
      <w:r w:rsidRPr="00412A9C">
        <w:rPr>
          <w:rFonts w:hint="eastAsia"/>
          <w:szCs w:val="22"/>
        </w:rPr>
        <w:t>）《阿毘達磨大毘婆沙論》卷</w:t>
      </w:r>
      <w:r w:rsidRPr="00761EF3">
        <w:rPr>
          <w:rFonts w:hint="eastAsia"/>
          <w:szCs w:val="22"/>
        </w:rPr>
        <w:t>79</w:t>
      </w:r>
      <w:r w:rsidRPr="00412A9C">
        <w:rPr>
          <w:rFonts w:hint="eastAsia"/>
          <w:szCs w:val="22"/>
        </w:rPr>
        <w:t>（大正</w:t>
      </w:r>
      <w:r w:rsidRPr="00761EF3">
        <w:rPr>
          <w:rFonts w:hint="eastAsia"/>
          <w:szCs w:val="22"/>
        </w:rPr>
        <w:t>27</w:t>
      </w:r>
      <w:r w:rsidRPr="00412A9C">
        <w:rPr>
          <w:rFonts w:hint="eastAsia"/>
          <w:szCs w:val="22"/>
        </w:rPr>
        <w:t>，</w:t>
      </w:r>
      <w:r w:rsidRPr="00761EF3">
        <w:rPr>
          <w:rFonts w:hint="eastAsia"/>
          <w:szCs w:val="22"/>
        </w:rPr>
        <w:t>406c12</w:t>
      </w:r>
      <w:r w:rsidRPr="00412A9C">
        <w:rPr>
          <w:rFonts w:hint="eastAsia"/>
          <w:szCs w:val="22"/>
        </w:rPr>
        <w:t>-</w:t>
      </w:r>
      <w:r w:rsidRPr="00761EF3">
        <w:rPr>
          <w:rFonts w:hint="eastAsia"/>
          <w:szCs w:val="22"/>
        </w:rPr>
        <w:t>16</w:t>
      </w:r>
      <w:r w:rsidRPr="00412A9C">
        <w:rPr>
          <w:rFonts w:hint="eastAsia"/>
          <w:szCs w:val="22"/>
        </w:rPr>
        <w:t>）：</w:t>
      </w:r>
    </w:p>
    <w:p w:rsidR="00157EF6" w:rsidRPr="00412A9C" w:rsidRDefault="00B05672" w:rsidP="00AA120F">
      <w:pPr>
        <w:pStyle w:val="a5"/>
        <w:ind w:leftChars="335" w:left="804"/>
        <w:jc w:val="both"/>
        <w:rPr>
          <w:rFonts w:eastAsia="SimSun"/>
          <w:b/>
          <w:szCs w:val="22"/>
        </w:rPr>
      </w:pPr>
      <w:r>
        <w:rPr>
          <w:rFonts w:ascii="標楷體" w:eastAsia="標楷體" w:hAnsi="標楷體" w:hint="eastAsia"/>
          <w:bCs/>
          <w:color w:val="FF0000"/>
          <w:kern w:val="0"/>
          <w:highlight w:val="yellow"/>
        </w:rPr>
        <w:t>「</w:t>
      </w:r>
      <w:r w:rsidR="00157EF6" w:rsidRPr="00412A9C">
        <w:rPr>
          <w:rFonts w:ascii="標楷體" w:eastAsia="標楷體" w:hAnsi="標楷體" w:hint="eastAsia"/>
          <w:b/>
          <w:szCs w:val="22"/>
        </w:rPr>
        <w:t>有身見</w:t>
      </w:r>
      <w:r>
        <w:rPr>
          <w:rFonts w:ascii="標楷體" w:eastAsia="標楷體" w:hAnsi="標楷體" w:hint="eastAsia"/>
          <w:bCs/>
          <w:color w:val="FF0000"/>
          <w:kern w:val="0"/>
          <w:highlight w:val="yellow"/>
        </w:rPr>
        <w:t>」</w:t>
      </w:r>
      <w:r w:rsidR="00157EF6" w:rsidRPr="00412A9C">
        <w:rPr>
          <w:rFonts w:ascii="標楷體" w:eastAsia="標楷體" w:hAnsi="標楷體" w:hint="eastAsia"/>
          <w:b/>
          <w:szCs w:val="22"/>
        </w:rPr>
        <w:t>是六十二見趣根本，</w:t>
      </w:r>
      <w:r w:rsidR="00157EF6" w:rsidRPr="00412A9C">
        <w:rPr>
          <w:rFonts w:ascii="標楷體" w:eastAsia="標楷體" w:hAnsi="標楷體" w:hint="eastAsia"/>
          <w:szCs w:val="22"/>
        </w:rPr>
        <w:t>見趣是餘煩惱根本，諸餘煩惱是業根本，諸業復是異熟根本，依止異熟生長一切善</w:t>
      </w:r>
      <w:r>
        <w:rPr>
          <w:rFonts w:ascii="標楷體" w:eastAsia="標楷體" w:hAnsi="標楷體" w:hint="eastAsia"/>
          <w:color w:val="FF0000"/>
          <w:kern w:val="0"/>
          <w:highlight w:val="yellow"/>
        </w:rPr>
        <w:t>.</w:t>
      </w:r>
      <w:r w:rsidR="00157EF6" w:rsidRPr="00412A9C">
        <w:rPr>
          <w:rFonts w:ascii="標楷體" w:eastAsia="標楷體" w:hAnsi="標楷體" w:hint="eastAsia"/>
          <w:szCs w:val="22"/>
        </w:rPr>
        <w:t>不善</w:t>
      </w:r>
      <w:r>
        <w:rPr>
          <w:rFonts w:ascii="標楷體" w:eastAsia="標楷體" w:hAnsi="標楷體" w:hint="eastAsia"/>
          <w:color w:val="FF0000"/>
          <w:kern w:val="0"/>
          <w:highlight w:val="yellow"/>
        </w:rPr>
        <w:t>.</w:t>
      </w:r>
      <w:r w:rsidR="00157EF6" w:rsidRPr="00412A9C">
        <w:rPr>
          <w:rFonts w:ascii="標楷體" w:eastAsia="標楷體" w:hAnsi="標楷體" w:hint="eastAsia"/>
          <w:szCs w:val="22"/>
        </w:rPr>
        <w:t>無記法，由此輪轉生死無窮。遍知苦時</w:t>
      </w:r>
      <w:r>
        <w:rPr>
          <w:rFonts w:ascii="標楷體" w:eastAsia="標楷體" w:hAnsi="標楷體" w:hint="eastAsia"/>
          <w:color w:val="FF0000"/>
          <w:kern w:val="0"/>
          <w:highlight w:val="yellow"/>
        </w:rPr>
        <w:t>，</w:t>
      </w:r>
      <w:r w:rsidR="00157EF6" w:rsidRPr="00412A9C">
        <w:rPr>
          <w:rFonts w:ascii="標楷體" w:eastAsia="標楷體" w:hAnsi="標楷體" w:hint="eastAsia"/>
          <w:szCs w:val="22"/>
        </w:rPr>
        <w:t>斷</w:t>
      </w:r>
      <w:r>
        <w:rPr>
          <w:rFonts w:ascii="標楷體" w:eastAsia="標楷體" w:hAnsi="標楷體" w:hint="eastAsia"/>
          <w:bCs/>
          <w:color w:val="FF0000"/>
          <w:kern w:val="0"/>
          <w:highlight w:val="yellow"/>
        </w:rPr>
        <w:t>「</w:t>
      </w:r>
      <w:r w:rsidR="00157EF6" w:rsidRPr="00412A9C">
        <w:rPr>
          <w:rFonts w:ascii="標楷體" w:eastAsia="標楷體" w:hAnsi="標楷體" w:hint="eastAsia"/>
          <w:szCs w:val="22"/>
        </w:rPr>
        <w:t>有身見</w:t>
      </w:r>
      <w:r>
        <w:rPr>
          <w:rFonts w:ascii="標楷體" w:eastAsia="標楷體" w:hAnsi="標楷體" w:hint="eastAsia"/>
          <w:bCs/>
          <w:color w:val="FF0000"/>
          <w:kern w:val="0"/>
          <w:highlight w:val="yellow"/>
        </w:rPr>
        <w:t>」；「</w:t>
      </w:r>
      <w:r w:rsidR="00157EF6" w:rsidRPr="00412A9C">
        <w:rPr>
          <w:rFonts w:ascii="標楷體" w:eastAsia="標楷體" w:hAnsi="標楷體" w:hint="eastAsia"/>
          <w:b/>
          <w:szCs w:val="22"/>
        </w:rPr>
        <w:t>身見</w:t>
      </w:r>
      <w:r>
        <w:rPr>
          <w:rFonts w:ascii="標楷體" w:eastAsia="標楷體" w:hAnsi="標楷體" w:hint="eastAsia"/>
          <w:bCs/>
          <w:color w:val="FF0000"/>
          <w:kern w:val="0"/>
          <w:highlight w:val="yellow"/>
        </w:rPr>
        <w:t>」</w:t>
      </w:r>
      <w:r w:rsidR="00157EF6" w:rsidRPr="00412A9C">
        <w:rPr>
          <w:rFonts w:ascii="標楷體" w:eastAsia="標楷體" w:hAnsi="標楷體" w:hint="eastAsia"/>
          <w:b/>
          <w:szCs w:val="22"/>
        </w:rPr>
        <w:t>斷故</w:t>
      </w:r>
      <w:r>
        <w:rPr>
          <w:rFonts w:ascii="標楷體" w:eastAsia="標楷體" w:hAnsi="標楷體" w:hint="eastAsia"/>
          <w:b/>
          <w:szCs w:val="22"/>
        </w:rPr>
        <w:t>，</w:t>
      </w:r>
      <w:r w:rsidR="00157EF6" w:rsidRPr="00412A9C">
        <w:rPr>
          <w:rFonts w:ascii="標楷體" w:eastAsia="標楷體" w:hAnsi="標楷體" w:hint="eastAsia"/>
          <w:b/>
          <w:szCs w:val="22"/>
        </w:rPr>
        <w:t>生死路絕。</w:t>
      </w:r>
    </w:p>
  </w:footnote>
  <w:footnote w:id="1044">
    <w:p w:rsidR="00320F7B" w:rsidRPr="00412A9C" w:rsidRDefault="00320F7B" w:rsidP="00320F7B">
      <w:pPr>
        <w:pStyle w:val="a5"/>
        <w:spacing w:line="0" w:lineRule="atLeast"/>
        <w:ind w:left="792" w:hangingChars="360" w:hanging="792"/>
        <w:jc w:val="both"/>
        <w:rPr>
          <w:rFonts w:ascii="新細明體" w:eastAsia="SimSun" w:hAnsi="新細明體"/>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w:t>
      </w:r>
      <w:r w:rsidRPr="00412A9C">
        <w:rPr>
          <w:rFonts w:ascii="新細明體" w:hAnsi="新細明體" w:hint="eastAsia"/>
          <w:szCs w:val="22"/>
        </w:rPr>
        <w:t>《雜阿含經》卷</w:t>
      </w:r>
      <w:r w:rsidRPr="00761EF3">
        <w:rPr>
          <w:szCs w:val="22"/>
        </w:rPr>
        <w:t>12</w:t>
      </w:r>
      <w:r w:rsidRPr="00412A9C">
        <w:rPr>
          <w:rFonts w:ascii="新細明體" w:hAnsi="新細明體" w:hint="eastAsia"/>
          <w:szCs w:val="22"/>
        </w:rPr>
        <w:t>（</w:t>
      </w:r>
      <w:r w:rsidRPr="00761EF3">
        <w:rPr>
          <w:szCs w:val="22"/>
        </w:rPr>
        <w:t>287</w:t>
      </w:r>
      <w:r w:rsidRPr="00412A9C">
        <w:rPr>
          <w:rFonts w:ascii="新細明體" w:hAnsi="新細明體" w:hint="eastAsia"/>
          <w:szCs w:val="22"/>
        </w:rPr>
        <w:t>經）</w:t>
      </w:r>
      <w:r w:rsidRPr="00412A9C">
        <w:rPr>
          <w:rFonts w:hint="eastAsia"/>
          <w:szCs w:val="22"/>
        </w:rPr>
        <w:t>（大正</w:t>
      </w:r>
      <w:r w:rsidRPr="00761EF3">
        <w:rPr>
          <w:rFonts w:eastAsia="SimSun" w:hint="eastAsia"/>
          <w:szCs w:val="22"/>
        </w:rPr>
        <w:t>2</w:t>
      </w:r>
      <w:r w:rsidRPr="00412A9C">
        <w:rPr>
          <w:rFonts w:hint="eastAsia"/>
          <w:szCs w:val="22"/>
        </w:rPr>
        <w:t>，</w:t>
      </w:r>
      <w:r w:rsidRPr="00761EF3">
        <w:rPr>
          <w:rFonts w:eastAsia="SimSun" w:hint="eastAsia"/>
          <w:szCs w:val="22"/>
        </w:rPr>
        <w:t>80b25</w:t>
      </w:r>
      <w:r w:rsidRPr="00412A9C">
        <w:rPr>
          <w:rFonts w:eastAsia="SimSun" w:hint="eastAsia"/>
          <w:szCs w:val="22"/>
        </w:rPr>
        <w:t>-</w:t>
      </w:r>
      <w:r w:rsidRPr="00761EF3">
        <w:rPr>
          <w:rFonts w:eastAsia="SimSun" w:hint="eastAsia"/>
          <w:szCs w:val="22"/>
        </w:rPr>
        <w:t>c6</w:t>
      </w:r>
      <w:r w:rsidRPr="00412A9C">
        <w:rPr>
          <w:rFonts w:hint="eastAsia"/>
          <w:szCs w:val="22"/>
        </w:rPr>
        <w:t>）</w:t>
      </w:r>
      <w:r w:rsidRPr="00412A9C">
        <w:rPr>
          <w:rFonts w:ascii="新細明體" w:hAnsi="新細明體" w:hint="eastAsia"/>
          <w:szCs w:val="22"/>
        </w:rPr>
        <w:t>：</w:t>
      </w:r>
    </w:p>
    <w:p w:rsidR="00320F7B" w:rsidRPr="00412A9C" w:rsidRDefault="00320F7B" w:rsidP="00320F7B">
      <w:pPr>
        <w:pStyle w:val="a5"/>
        <w:ind w:leftChars="335" w:left="804"/>
        <w:jc w:val="both"/>
        <w:rPr>
          <w:rFonts w:eastAsia="SimSun"/>
          <w:szCs w:val="22"/>
        </w:rPr>
      </w:pPr>
      <w:r w:rsidRPr="00412A9C">
        <w:rPr>
          <w:rFonts w:ascii="標楷體" w:eastAsia="標楷體" w:hAnsi="標楷體" w:hint="eastAsia"/>
          <w:szCs w:val="22"/>
        </w:rPr>
        <w:t>爾時，世尊告諸比丘：「我憶宿命，未成正覺時，獨一靜處，專精禪思，作是念：『何法有故老死有？何法緣故老死有？』即正思惟，生如實無間等</w:t>
      </w:r>
      <w:r w:rsidR="00B05672">
        <w:rPr>
          <w:rFonts w:ascii="標楷體" w:eastAsia="標楷體" w:hAnsi="標楷體" w:hint="eastAsia"/>
          <w:color w:val="FF0000"/>
          <w:spacing w:val="-4"/>
          <w:kern w:val="0"/>
          <w:highlight w:val="yellow"/>
        </w:rPr>
        <w:t>：</w:t>
      </w:r>
      <w:r w:rsidR="00B05672">
        <w:rPr>
          <w:rFonts w:ascii="標楷體" w:eastAsia="標楷體" w:hAnsi="標楷體" w:hint="eastAsia"/>
          <w:color w:val="FF0000"/>
          <w:kern w:val="0"/>
          <w:highlight w:val="yellow"/>
        </w:rPr>
        <w:t>『</w:t>
      </w:r>
      <w:r w:rsidRPr="00412A9C">
        <w:rPr>
          <w:rFonts w:ascii="標楷體" w:eastAsia="標楷體" w:hAnsi="標楷體" w:hint="eastAsia"/>
          <w:szCs w:val="22"/>
        </w:rPr>
        <w:t>生有故老死有，生緣故老死有。</w:t>
      </w:r>
      <w:r w:rsidR="00B05672">
        <w:rPr>
          <w:rFonts w:ascii="標楷體" w:eastAsia="標楷體" w:hAnsi="標楷體" w:hint="eastAsia"/>
          <w:color w:val="FF0000"/>
          <w:kern w:val="0"/>
          <w:highlight w:val="yellow"/>
        </w:rPr>
        <w:t>』</w:t>
      </w:r>
      <w:r w:rsidRPr="00412A9C">
        <w:rPr>
          <w:rFonts w:ascii="標楷體" w:eastAsia="標楷體" w:hAnsi="標楷體" w:hint="eastAsia"/>
          <w:szCs w:val="22"/>
        </w:rPr>
        <w:t>如是</w:t>
      </w:r>
      <w:r w:rsidR="00B05672">
        <w:rPr>
          <w:rFonts w:ascii="標楷體" w:eastAsia="標楷體" w:hAnsi="標楷體" w:hint="eastAsia"/>
          <w:color w:val="FF0000"/>
          <w:kern w:val="0"/>
          <w:highlight w:val="yellow"/>
        </w:rPr>
        <w:t>『</w:t>
      </w:r>
      <w:r w:rsidRPr="00412A9C">
        <w:rPr>
          <w:rFonts w:ascii="標楷體" w:eastAsia="標楷體" w:hAnsi="標楷體" w:hint="eastAsia"/>
          <w:szCs w:val="22"/>
        </w:rPr>
        <w:t>有、取、愛、受、觸、六入處、名色</w:t>
      </w:r>
      <w:r w:rsidR="00B05672">
        <w:rPr>
          <w:rFonts w:ascii="標楷體" w:eastAsia="標楷體" w:hAnsi="標楷體" w:hint="eastAsia"/>
          <w:color w:val="FF0000"/>
          <w:kern w:val="0"/>
          <w:highlight w:val="yellow"/>
        </w:rPr>
        <w:t>』</w:t>
      </w:r>
      <w:r w:rsidR="00B05672">
        <w:rPr>
          <w:rFonts w:ascii="標楷體" w:eastAsia="標楷體" w:hAnsi="標楷體" w:hint="eastAsia"/>
          <w:color w:val="FF0000"/>
          <w:spacing w:val="-4"/>
          <w:kern w:val="0"/>
          <w:highlight w:val="yellow"/>
        </w:rPr>
        <w:t>；</w:t>
      </w:r>
      <w:r w:rsidR="00B05672">
        <w:rPr>
          <w:rFonts w:ascii="標楷體" w:eastAsia="標楷體" w:hAnsi="標楷體" w:hint="eastAsia"/>
          <w:color w:val="FF0000"/>
          <w:kern w:val="0"/>
          <w:highlight w:val="yellow"/>
        </w:rPr>
        <w:t>『</w:t>
      </w:r>
      <w:r w:rsidRPr="00412A9C">
        <w:rPr>
          <w:rFonts w:ascii="標楷體" w:eastAsia="標楷體" w:hAnsi="標楷體" w:hint="eastAsia"/>
          <w:szCs w:val="22"/>
        </w:rPr>
        <w:t>何法有故名色有？何法緣故名色有？</w:t>
      </w:r>
      <w:r w:rsidR="00B05672">
        <w:rPr>
          <w:rFonts w:ascii="標楷體" w:eastAsia="標楷體" w:hAnsi="標楷體" w:hint="eastAsia"/>
          <w:color w:val="FF0000"/>
          <w:kern w:val="0"/>
          <w:highlight w:val="yellow"/>
        </w:rPr>
        <w:t>』</w:t>
      </w:r>
      <w:r w:rsidRPr="00412A9C">
        <w:rPr>
          <w:rFonts w:ascii="標楷體" w:eastAsia="標楷體" w:hAnsi="標楷體" w:hint="eastAsia"/>
          <w:szCs w:val="22"/>
        </w:rPr>
        <w:t>即正思惟，如實無間等生</w:t>
      </w:r>
      <w:r w:rsidR="00B05672">
        <w:rPr>
          <w:rFonts w:ascii="標楷體" w:eastAsia="標楷體" w:hAnsi="標楷體" w:hint="eastAsia"/>
          <w:color w:val="FF0000"/>
          <w:spacing w:val="-4"/>
          <w:kern w:val="0"/>
          <w:highlight w:val="yellow"/>
        </w:rPr>
        <w:t>：</w:t>
      </w:r>
      <w:r w:rsidR="00B05672">
        <w:rPr>
          <w:rFonts w:ascii="標楷體" w:eastAsia="標楷體" w:hAnsi="標楷體" w:hint="eastAsia"/>
          <w:color w:val="FF0000"/>
          <w:kern w:val="0"/>
          <w:highlight w:val="yellow"/>
        </w:rPr>
        <w:t>『</w:t>
      </w:r>
      <w:r w:rsidRPr="00412A9C">
        <w:rPr>
          <w:rFonts w:ascii="標楷體" w:eastAsia="標楷體" w:hAnsi="標楷體" w:hint="eastAsia"/>
          <w:szCs w:val="22"/>
        </w:rPr>
        <w:t>識有故名色有，識緣故有名色有。</w:t>
      </w:r>
      <w:r w:rsidR="00B05672">
        <w:rPr>
          <w:rFonts w:ascii="標楷體" w:eastAsia="標楷體" w:hAnsi="標楷體" w:hint="eastAsia"/>
          <w:color w:val="FF0000"/>
          <w:kern w:val="0"/>
          <w:highlight w:val="yellow"/>
        </w:rPr>
        <w:t>』</w:t>
      </w:r>
      <w:r w:rsidRPr="00412A9C">
        <w:rPr>
          <w:rFonts w:ascii="標楷體" w:eastAsia="標楷體" w:hAnsi="標楷體" w:hint="eastAsia"/>
          <w:szCs w:val="22"/>
        </w:rPr>
        <w:t>我作是思惟時，</w:t>
      </w:r>
      <w:r w:rsidRPr="00412A9C">
        <w:rPr>
          <w:rFonts w:ascii="標楷體" w:eastAsia="標楷體" w:hAnsi="標楷體" w:hint="eastAsia"/>
          <w:b/>
          <w:szCs w:val="22"/>
        </w:rPr>
        <w:t>齊識而還，</w:t>
      </w:r>
      <w:r w:rsidRPr="00412A9C">
        <w:rPr>
          <w:rFonts w:ascii="標楷體" w:eastAsia="標楷體" w:hAnsi="標楷體" w:hint="eastAsia"/>
          <w:szCs w:val="22"/>
        </w:rPr>
        <w:t>不能過彼，謂緣識名色，緣名色六入處，緣六入處觸，緣觸受，緣受愛，緣愛取，緣取有，緣有生，緣生</w:t>
      </w:r>
      <w:r w:rsidRPr="00B05672">
        <w:rPr>
          <w:rFonts w:ascii="標楷體" w:eastAsia="標楷體" w:hAnsi="標楷體" w:hint="eastAsia"/>
          <w:szCs w:val="22"/>
          <w:highlight w:val="yellow"/>
        </w:rPr>
        <w:t>老病死憂悲惱苦</w:t>
      </w:r>
      <w:r w:rsidRPr="00412A9C">
        <w:rPr>
          <w:rFonts w:ascii="標楷體" w:eastAsia="標楷體" w:hAnsi="標楷體" w:hint="eastAsia"/>
          <w:szCs w:val="22"/>
        </w:rPr>
        <w:t>，如是如是純大苦聚集。」</w:t>
      </w:r>
    </w:p>
    <w:p w:rsidR="00320F7B" w:rsidRPr="00412A9C" w:rsidRDefault="00320F7B" w:rsidP="00320F7B">
      <w:pPr>
        <w:pStyle w:val="a5"/>
        <w:ind w:leftChars="105" w:left="791" w:hangingChars="245" w:hanging="539"/>
        <w:jc w:val="both"/>
        <w:rPr>
          <w:rFonts w:eastAsia="SimSun"/>
          <w:szCs w:val="22"/>
        </w:rPr>
      </w:pPr>
      <w:r w:rsidRPr="00412A9C">
        <w:rPr>
          <w:szCs w:val="22"/>
        </w:rPr>
        <w:t>（</w:t>
      </w:r>
      <w:r w:rsidRPr="00761EF3">
        <w:rPr>
          <w:szCs w:val="22"/>
        </w:rPr>
        <w:t>2</w:t>
      </w:r>
      <w:r w:rsidRPr="00412A9C">
        <w:rPr>
          <w:szCs w:val="22"/>
        </w:rPr>
        <w:t>）</w:t>
      </w:r>
      <w:r w:rsidRPr="008D0B26">
        <w:rPr>
          <w:rFonts w:ascii="新細明體" w:hAnsi="新細明體" w:hint="eastAsia"/>
          <w:szCs w:val="22"/>
        </w:rPr>
        <w:t>另參見</w:t>
      </w:r>
      <w:r w:rsidRPr="00412A9C">
        <w:rPr>
          <w:rFonts w:hint="eastAsia"/>
          <w:szCs w:val="22"/>
        </w:rPr>
        <w:t>《阿毘達磨大毘婆沙論》卷</w:t>
      </w:r>
      <w:r w:rsidRPr="00761EF3">
        <w:rPr>
          <w:szCs w:val="22"/>
        </w:rPr>
        <w:t>24</w:t>
      </w:r>
      <w:r w:rsidRPr="00412A9C">
        <w:rPr>
          <w:rFonts w:hint="eastAsia"/>
          <w:szCs w:val="22"/>
        </w:rPr>
        <w:t>（大正</w:t>
      </w:r>
      <w:r w:rsidRPr="00761EF3">
        <w:rPr>
          <w:szCs w:val="22"/>
        </w:rPr>
        <w:t>27</w:t>
      </w:r>
      <w:r w:rsidRPr="00412A9C">
        <w:rPr>
          <w:rFonts w:hint="eastAsia"/>
          <w:szCs w:val="22"/>
        </w:rPr>
        <w:t>，</w:t>
      </w:r>
      <w:r w:rsidRPr="00761EF3">
        <w:rPr>
          <w:szCs w:val="22"/>
        </w:rPr>
        <w:t>124a9</w:t>
      </w:r>
      <w:r w:rsidRPr="00412A9C">
        <w:rPr>
          <w:rFonts w:eastAsia="SimSun" w:hint="eastAsia"/>
          <w:szCs w:val="22"/>
        </w:rPr>
        <w:t>-</w:t>
      </w:r>
      <w:r w:rsidRPr="00761EF3">
        <w:rPr>
          <w:szCs w:val="22"/>
        </w:rPr>
        <w:t>125a1</w:t>
      </w:r>
      <w:r w:rsidRPr="00412A9C">
        <w:rPr>
          <w:rFonts w:hint="eastAsia"/>
          <w:szCs w:val="22"/>
        </w:rPr>
        <w:t>）。</w:t>
      </w:r>
    </w:p>
  </w:footnote>
  <w:footnote w:id="1045">
    <w:p w:rsidR="00157EF6" w:rsidRPr="008D0B26" w:rsidRDefault="00157EF6" w:rsidP="00AA120F">
      <w:pPr>
        <w:pStyle w:val="a5"/>
        <w:spacing w:line="0" w:lineRule="atLeast"/>
        <w:ind w:left="792" w:hangingChars="360" w:hanging="792"/>
        <w:jc w:val="both"/>
        <w:rPr>
          <w:rFonts w:ascii="標楷體" w:eastAsia="標楷體" w:hAnsi="標楷體"/>
          <w:spacing w:val="-10"/>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w:t>
      </w:r>
      <w:r w:rsidRPr="008D0B26">
        <w:rPr>
          <w:rFonts w:ascii="新細明體" w:hAnsi="新細明體" w:hint="eastAsia"/>
          <w:spacing w:val="-8"/>
          <w:szCs w:val="22"/>
        </w:rPr>
        <w:t>聖天</w:t>
      </w:r>
      <w:r w:rsidR="00B05672">
        <w:rPr>
          <w:rFonts w:ascii="新細明體" w:hAnsi="新細明體" w:hint="eastAsia"/>
          <w:spacing w:val="-8"/>
          <w:szCs w:val="22"/>
        </w:rPr>
        <w:t>（</w:t>
      </w:r>
      <w:r w:rsidRPr="008D0B26">
        <w:rPr>
          <w:rFonts w:ascii="新細明體" w:hAnsi="新細明體" w:hint="eastAsia"/>
          <w:spacing w:val="-8"/>
          <w:szCs w:val="22"/>
        </w:rPr>
        <w:t>提婆）造</w:t>
      </w:r>
      <w:r w:rsidRPr="008D0B26">
        <w:rPr>
          <w:rFonts w:hint="eastAsia"/>
          <w:spacing w:val="-8"/>
          <w:szCs w:val="22"/>
        </w:rPr>
        <w:t>，《廣百論本</w:t>
      </w:r>
      <w:r w:rsidRPr="00320F7B">
        <w:rPr>
          <w:rFonts w:hint="eastAsia"/>
          <w:spacing w:val="-8"/>
          <w:szCs w:val="22"/>
          <w:highlight w:val="yellow"/>
        </w:rPr>
        <w:t>》〈</w:t>
      </w:r>
      <w:r w:rsidRPr="00761EF3">
        <w:rPr>
          <w:spacing w:val="-8"/>
          <w:szCs w:val="22"/>
        </w:rPr>
        <w:t>6</w:t>
      </w:r>
      <w:r w:rsidRPr="008D0B26">
        <w:rPr>
          <w:spacing w:val="-8"/>
          <w:szCs w:val="22"/>
        </w:rPr>
        <w:t xml:space="preserve"> </w:t>
      </w:r>
      <w:r w:rsidRPr="008D0B26">
        <w:rPr>
          <w:rFonts w:hint="eastAsia"/>
          <w:spacing w:val="-8"/>
          <w:szCs w:val="22"/>
        </w:rPr>
        <w:t>破邊執品〉（大正</w:t>
      </w:r>
      <w:r w:rsidRPr="00761EF3">
        <w:rPr>
          <w:rFonts w:eastAsia="SimSun" w:hint="eastAsia"/>
          <w:spacing w:val="-8"/>
          <w:szCs w:val="22"/>
        </w:rPr>
        <w:t>30</w:t>
      </w:r>
      <w:r w:rsidRPr="008D0B26">
        <w:rPr>
          <w:rFonts w:hint="eastAsia"/>
          <w:spacing w:val="-8"/>
          <w:szCs w:val="22"/>
        </w:rPr>
        <w:t>，</w:t>
      </w:r>
      <w:r w:rsidRPr="00761EF3">
        <w:rPr>
          <w:spacing w:val="-8"/>
          <w:szCs w:val="22"/>
        </w:rPr>
        <w:t>1</w:t>
      </w:r>
      <w:r w:rsidRPr="00761EF3">
        <w:rPr>
          <w:rFonts w:eastAsia="SimSun" w:hint="eastAsia"/>
          <w:spacing w:val="-8"/>
          <w:szCs w:val="22"/>
        </w:rPr>
        <w:t>85c10</w:t>
      </w:r>
      <w:r w:rsidRPr="008D0B26">
        <w:rPr>
          <w:rFonts w:eastAsia="SimSun" w:hint="eastAsia"/>
          <w:spacing w:val="-8"/>
          <w:szCs w:val="22"/>
        </w:rPr>
        <w:t>-</w:t>
      </w:r>
      <w:r w:rsidRPr="00761EF3">
        <w:rPr>
          <w:spacing w:val="-8"/>
          <w:szCs w:val="22"/>
        </w:rPr>
        <w:t>11</w:t>
      </w:r>
      <w:r w:rsidRPr="008D0B26">
        <w:rPr>
          <w:rFonts w:hint="eastAsia"/>
          <w:spacing w:val="-8"/>
          <w:szCs w:val="22"/>
        </w:rPr>
        <w:t>）：</w:t>
      </w:r>
    </w:p>
    <w:p w:rsidR="00157EF6" w:rsidRPr="00412A9C" w:rsidRDefault="00157EF6" w:rsidP="00AA120F">
      <w:pPr>
        <w:pStyle w:val="a5"/>
        <w:ind w:leftChars="335" w:left="804"/>
        <w:jc w:val="both"/>
        <w:rPr>
          <w:rFonts w:eastAsia="SimSun"/>
          <w:szCs w:val="22"/>
        </w:rPr>
      </w:pPr>
      <w:r w:rsidRPr="00412A9C">
        <w:rPr>
          <w:rFonts w:ascii="標楷體" w:eastAsia="標楷體" w:hAnsi="標楷體" w:hint="eastAsia"/>
          <w:szCs w:val="22"/>
        </w:rPr>
        <w:t>識為諸有種，境是識所行</w:t>
      </w:r>
      <w:r w:rsidR="00B05672">
        <w:rPr>
          <w:rFonts w:ascii="標楷體" w:eastAsia="標楷體" w:hAnsi="標楷體" w:hint="eastAsia"/>
          <w:color w:val="FF0000"/>
          <w:spacing w:val="-4"/>
          <w:kern w:val="0"/>
          <w:highlight w:val="yellow"/>
        </w:rPr>
        <w:t>；</w:t>
      </w:r>
      <w:r w:rsidRPr="00412A9C">
        <w:rPr>
          <w:rFonts w:ascii="標楷體" w:eastAsia="標楷體" w:hAnsi="標楷體" w:hint="eastAsia"/>
          <w:szCs w:val="22"/>
        </w:rPr>
        <w:t>見境無我時，諸有種皆滅。</w:t>
      </w:r>
    </w:p>
    <w:p w:rsidR="00157EF6" w:rsidRPr="00412A9C" w:rsidRDefault="00157EF6" w:rsidP="00AA120F">
      <w:pPr>
        <w:pStyle w:val="a5"/>
        <w:ind w:leftChars="105" w:left="791" w:hangingChars="245" w:hanging="539"/>
        <w:jc w:val="both"/>
        <w:rPr>
          <w:rFonts w:eastAsia="SimSun"/>
          <w:szCs w:val="22"/>
        </w:rPr>
      </w:pPr>
      <w:r w:rsidRPr="00412A9C">
        <w:rPr>
          <w:szCs w:val="22"/>
        </w:rPr>
        <w:t>（</w:t>
      </w:r>
      <w:r w:rsidRPr="00761EF3">
        <w:rPr>
          <w:szCs w:val="22"/>
        </w:rPr>
        <w:t>2</w:t>
      </w:r>
      <w:r w:rsidRPr="00412A9C">
        <w:rPr>
          <w:szCs w:val="22"/>
        </w:rPr>
        <w:t>）</w:t>
      </w:r>
      <w:r w:rsidRPr="00412A9C">
        <w:rPr>
          <w:rFonts w:ascii="新細明體" w:cs="新細明體" w:hint="eastAsia"/>
          <w:szCs w:val="22"/>
        </w:rPr>
        <w:t>宗喀巴造，法尊譯，</w:t>
      </w:r>
      <w:r w:rsidRPr="00C95D8F">
        <w:rPr>
          <w:rFonts w:ascii="新細明體" w:cs="新細明體" w:hint="eastAsia"/>
          <w:kern w:val="0"/>
          <w:szCs w:val="22"/>
        </w:rPr>
        <w:t>《菩提道次第廣論》</w:t>
      </w:r>
      <w:r w:rsidRPr="00412A9C">
        <w:rPr>
          <w:rFonts w:ascii="新細明體" w:cs="新細明體" w:hint="eastAsia"/>
          <w:kern w:val="0"/>
          <w:szCs w:val="22"/>
        </w:rPr>
        <w:t>卷</w:t>
      </w:r>
      <w:r w:rsidRPr="00761EF3">
        <w:rPr>
          <w:kern w:val="0"/>
          <w:szCs w:val="22"/>
        </w:rPr>
        <w:t>20</w:t>
      </w:r>
      <w:r>
        <w:rPr>
          <w:kern w:val="0"/>
          <w:szCs w:val="22"/>
        </w:rPr>
        <w:t>，</w:t>
      </w:r>
      <w:r w:rsidR="00AD14BF">
        <w:rPr>
          <w:kern w:val="0"/>
          <w:szCs w:val="22"/>
        </w:rPr>
        <w:t>台北，福智之聲</w:t>
      </w:r>
      <w:r w:rsidRPr="00412A9C">
        <w:rPr>
          <w:rFonts w:ascii="新細明體" w:cs="新細明體" w:hint="eastAsia"/>
          <w:kern w:val="0"/>
          <w:szCs w:val="22"/>
        </w:rPr>
        <w:t>出版社，</w:t>
      </w:r>
      <w:r w:rsidRPr="00761EF3">
        <w:rPr>
          <w:kern w:val="0"/>
          <w:szCs w:val="22"/>
        </w:rPr>
        <w:t>p</w:t>
      </w:r>
      <w:r w:rsidRPr="00412A9C">
        <w:rPr>
          <w:kern w:val="0"/>
          <w:szCs w:val="22"/>
        </w:rPr>
        <w:t>.</w:t>
      </w:r>
      <w:r w:rsidRPr="00761EF3">
        <w:rPr>
          <w:kern w:val="0"/>
          <w:szCs w:val="22"/>
        </w:rPr>
        <w:t>459</w:t>
      </w:r>
      <w:r w:rsidRPr="00412A9C">
        <w:rPr>
          <w:rFonts w:ascii="新細明體" w:cs="新細明體" w:hint="eastAsia"/>
          <w:kern w:val="0"/>
          <w:szCs w:val="22"/>
        </w:rPr>
        <w:t>引《四百論》：</w:t>
      </w:r>
    </w:p>
    <w:p w:rsidR="00157EF6" w:rsidRPr="00412A9C" w:rsidRDefault="00157EF6" w:rsidP="00AA120F">
      <w:pPr>
        <w:pStyle w:val="a5"/>
        <w:ind w:leftChars="330" w:left="792"/>
        <w:jc w:val="both"/>
        <w:rPr>
          <w:rFonts w:eastAsia="SimSun"/>
          <w:szCs w:val="22"/>
        </w:rPr>
      </w:pPr>
      <w:r w:rsidRPr="00412A9C">
        <w:rPr>
          <w:rFonts w:ascii="標楷體" w:eastAsia="標楷體" w:cs="標楷體" w:hint="eastAsia"/>
          <w:kern w:val="0"/>
          <w:szCs w:val="22"/>
        </w:rPr>
        <w:t>如《四百論》釋云：「若識增益諸法自性，由彼染汙無知增上貪著諸法，是為流轉生死種子，於一切種永滅除故，即便安立生死還滅。為顯此義故說頌云：『</w:t>
      </w:r>
      <w:r w:rsidRPr="00412A9C">
        <w:rPr>
          <w:rFonts w:ascii="標楷體" w:eastAsia="標楷體" w:cs="標楷體" w:hint="eastAsia"/>
          <w:b/>
          <w:kern w:val="0"/>
          <w:szCs w:val="22"/>
        </w:rPr>
        <w:t>三有種為識，境為彼行境，若見境無我，三有種當滅。</w:t>
      </w:r>
      <w:r w:rsidRPr="00412A9C">
        <w:rPr>
          <w:rFonts w:ascii="標楷體" w:eastAsia="標楷體" w:cs="標楷體" w:hint="eastAsia"/>
          <w:kern w:val="0"/>
          <w:szCs w:val="22"/>
        </w:rPr>
        <w:t>』此顯</w:t>
      </w:r>
      <w:r w:rsidRPr="00412A9C">
        <w:rPr>
          <w:rFonts w:ascii="標楷體" w:eastAsia="標楷體" w:cs="標楷體" w:hint="eastAsia"/>
          <w:b/>
          <w:kern w:val="0"/>
          <w:szCs w:val="22"/>
        </w:rPr>
        <w:t>由見境無自性，於一切種破除貪因三有種識</w:t>
      </w:r>
      <w:r w:rsidRPr="00412A9C">
        <w:rPr>
          <w:rFonts w:ascii="標楷體" w:eastAsia="標楷體" w:cs="標楷體" w:hint="eastAsia"/>
          <w:kern w:val="0"/>
          <w:szCs w:val="22"/>
        </w:rPr>
        <w:t>，安立聲聞、獨覺及得無生法忍菩薩生死還滅</w:t>
      </w:r>
      <w:r w:rsidRPr="00412A9C">
        <w:rPr>
          <w:rFonts w:ascii="新細明體" w:cs="新細明體" w:hint="eastAsia"/>
          <w:kern w:val="0"/>
          <w:szCs w:val="22"/>
        </w:rPr>
        <w:t>。</w:t>
      </w:r>
      <w:r w:rsidRPr="00412A9C">
        <w:rPr>
          <w:rFonts w:ascii="標楷體" w:eastAsia="標楷體" w:cs="標楷體" w:hint="eastAsia"/>
          <w:kern w:val="0"/>
          <w:szCs w:val="22"/>
        </w:rPr>
        <w:t>」</w:t>
      </w:r>
    </w:p>
  </w:footnote>
  <w:footnote w:id="1046">
    <w:p w:rsidR="00157EF6" w:rsidRPr="00412A9C" w:rsidRDefault="00157EF6" w:rsidP="00AA120F">
      <w:pPr>
        <w:pStyle w:val="a5"/>
        <w:spacing w:line="0" w:lineRule="atLeast"/>
        <w:ind w:left="792" w:hangingChars="360" w:hanging="792"/>
        <w:jc w:val="both"/>
        <w:rPr>
          <w:rFonts w:eastAsia="SimSun"/>
          <w:szCs w:val="22"/>
        </w:rPr>
      </w:pPr>
      <w:r w:rsidRPr="00412A9C">
        <w:rPr>
          <w:rStyle w:val="a6"/>
          <w:szCs w:val="22"/>
        </w:rPr>
        <w:footnoteRef/>
      </w:r>
      <w:r w:rsidRPr="009A5A58">
        <w:rPr>
          <w:rFonts w:hint="eastAsia"/>
          <w:szCs w:val="22"/>
        </w:rPr>
        <w:t xml:space="preserve"> </w:t>
      </w:r>
      <w:r w:rsidRPr="00412A9C">
        <w:rPr>
          <w:rFonts w:eastAsia="SimSun"/>
          <w:szCs w:val="22"/>
        </w:rPr>
        <w:t>（</w:t>
      </w:r>
      <w:r w:rsidRPr="00761EF3">
        <w:rPr>
          <w:szCs w:val="22"/>
        </w:rPr>
        <w:t>1</w:t>
      </w:r>
      <w:r w:rsidRPr="00412A9C">
        <w:rPr>
          <w:szCs w:val="22"/>
        </w:rPr>
        <w:t>）無著造，《攝大乘論本》卷</w:t>
      </w:r>
      <w:r w:rsidR="00320F7B">
        <w:rPr>
          <w:rFonts w:hint="eastAsia"/>
          <w:color w:val="FF0000"/>
          <w:szCs w:val="22"/>
          <w:highlight w:val="yellow"/>
        </w:rPr>
        <w:t>上</w:t>
      </w:r>
      <w:r w:rsidRPr="00412A9C">
        <w:rPr>
          <w:szCs w:val="22"/>
        </w:rPr>
        <w:t>（大正</w:t>
      </w:r>
      <w:r w:rsidRPr="00761EF3">
        <w:rPr>
          <w:szCs w:val="22"/>
        </w:rPr>
        <w:t>31</w:t>
      </w:r>
      <w:r w:rsidRPr="00412A9C">
        <w:rPr>
          <w:szCs w:val="22"/>
        </w:rPr>
        <w:t>，</w:t>
      </w:r>
      <w:r w:rsidRPr="00761EF3">
        <w:rPr>
          <w:szCs w:val="22"/>
        </w:rPr>
        <w:t>134a17</w:t>
      </w:r>
      <w:r w:rsidRPr="00412A9C">
        <w:rPr>
          <w:rFonts w:eastAsia="SimSun"/>
          <w:szCs w:val="22"/>
        </w:rPr>
        <w:t>-</w:t>
      </w:r>
      <w:r w:rsidRPr="00761EF3">
        <w:rPr>
          <w:szCs w:val="22"/>
        </w:rPr>
        <w:t>23</w:t>
      </w:r>
      <w:r w:rsidRPr="00412A9C">
        <w:rPr>
          <w:szCs w:val="22"/>
        </w:rPr>
        <w:t>）：</w:t>
      </w:r>
    </w:p>
    <w:p w:rsidR="00157EF6" w:rsidRPr="00412A9C" w:rsidRDefault="00157EF6" w:rsidP="00AA120F">
      <w:pPr>
        <w:pStyle w:val="a5"/>
        <w:ind w:leftChars="335" w:left="804"/>
        <w:jc w:val="both"/>
        <w:rPr>
          <w:rFonts w:eastAsia="SimSun"/>
          <w:szCs w:val="22"/>
        </w:rPr>
      </w:pPr>
      <w:r w:rsidRPr="00412A9C">
        <w:rPr>
          <w:rFonts w:eastAsia="標楷體"/>
          <w:szCs w:val="22"/>
        </w:rPr>
        <w:t>聲聞乘</w:t>
      </w:r>
      <w:r w:rsidRPr="00620230">
        <w:rPr>
          <w:rFonts w:eastAsia="標楷體"/>
          <w:szCs w:val="22"/>
          <w:highlight w:val="yellow"/>
        </w:rPr>
        <w:t>中亦</w:t>
      </w:r>
      <w:r w:rsidRPr="00412A9C">
        <w:rPr>
          <w:rFonts w:eastAsia="標楷體"/>
          <w:szCs w:val="22"/>
        </w:rPr>
        <w:t>以異門密意已說</w:t>
      </w:r>
      <w:r w:rsidR="00B05672">
        <w:rPr>
          <w:rFonts w:ascii="標楷體" w:eastAsia="標楷體" w:hAnsi="標楷體" w:hint="eastAsia"/>
          <w:bCs/>
          <w:color w:val="FF0000"/>
          <w:kern w:val="0"/>
          <w:highlight w:val="yellow"/>
        </w:rPr>
        <w:t>「</w:t>
      </w:r>
      <w:r w:rsidRPr="00412A9C">
        <w:rPr>
          <w:rFonts w:eastAsia="標楷體"/>
          <w:szCs w:val="22"/>
        </w:rPr>
        <w:t>阿賴耶識</w:t>
      </w:r>
      <w:r w:rsidR="00B05672">
        <w:rPr>
          <w:rFonts w:ascii="標楷體" w:eastAsia="標楷體" w:hAnsi="標楷體" w:hint="eastAsia"/>
          <w:bCs/>
          <w:color w:val="FF0000"/>
          <w:kern w:val="0"/>
          <w:highlight w:val="yellow"/>
        </w:rPr>
        <w:t>」</w:t>
      </w:r>
      <w:r w:rsidRPr="00412A9C">
        <w:rPr>
          <w:rFonts w:eastAsia="標楷體"/>
          <w:szCs w:val="22"/>
        </w:rPr>
        <w:t>，如彼《增壹阿笈摩說》：「世間眾生，</w:t>
      </w:r>
      <w:r w:rsidRPr="00412A9C">
        <w:rPr>
          <w:rFonts w:eastAsia="標楷體"/>
          <w:b/>
          <w:szCs w:val="22"/>
        </w:rPr>
        <w:t>愛阿賴耶、樂阿賴耶、欣阿賴耶、喜阿賴耶</w:t>
      </w:r>
      <w:r w:rsidRPr="00412A9C">
        <w:rPr>
          <w:rFonts w:eastAsia="標楷體"/>
          <w:szCs w:val="22"/>
        </w:rPr>
        <w:t>；為斷如是阿賴耶故，說正法時，恭敬攝耳，住求解心，法隨法行。如來出世，如是甚奇希有正法，出現世間。」於聲聞乘《如來出現四德經》中由此異門密</w:t>
      </w:r>
      <w:r w:rsidRPr="00620230">
        <w:rPr>
          <w:rFonts w:eastAsia="標楷體"/>
          <w:szCs w:val="22"/>
          <w:highlight w:val="yellow"/>
        </w:rPr>
        <w:t>意已</w:t>
      </w:r>
      <w:r w:rsidRPr="00412A9C">
        <w:rPr>
          <w:rFonts w:eastAsia="標楷體"/>
          <w:szCs w:val="22"/>
        </w:rPr>
        <w:t>顯</w:t>
      </w:r>
      <w:r w:rsidR="00620230">
        <w:rPr>
          <w:rFonts w:ascii="標楷體" w:eastAsia="標楷體" w:hAnsi="標楷體" w:hint="eastAsia"/>
          <w:bCs/>
          <w:color w:val="FF0000"/>
          <w:kern w:val="0"/>
          <w:highlight w:val="yellow"/>
        </w:rPr>
        <w:t>「</w:t>
      </w:r>
      <w:r w:rsidRPr="00412A9C">
        <w:rPr>
          <w:rFonts w:eastAsia="標楷體"/>
          <w:szCs w:val="22"/>
        </w:rPr>
        <w:t>阿賴耶識</w:t>
      </w:r>
      <w:r w:rsidR="00620230">
        <w:rPr>
          <w:rFonts w:ascii="標楷體" w:eastAsia="標楷體" w:hAnsi="標楷體" w:hint="eastAsia"/>
          <w:bCs/>
          <w:color w:val="FF0000"/>
          <w:kern w:val="0"/>
          <w:highlight w:val="yellow"/>
        </w:rPr>
        <w:t>」</w:t>
      </w:r>
      <w:r w:rsidRPr="00412A9C">
        <w:rPr>
          <w:szCs w:val="22"/>
        </w:rPr>
        <w:t>。</w:t>
      </w:r>
    </w:p>
    <w:p w:rsidR="00157EF6" w:rsidRPr="00412A9C" w:rsidRDefault="00157EF6" w:rsidP="00AA120F">
      <w:pPr>
        <w:pStyle w:val="a5"/>
        <w:ind w:leftChars="105" w:left="791" w:hangingChars="245" w:hanging="539"/>
        <w:jc w:val="both"/>
        <w:rPr>
          <w:szCs w:val="22"/>
        </w:rPr>
      </w:pPr>
      <w:r w:rsidRPr="00412A9C">
        <w:rPr>
          <w:szCs w:val="22"/>
        </w:rPr>
        <w:t>（</w:t>
      </w:r>
      <w:r w:rsidRPr="00761EF3">
        <w:rPr>
          <w:szCs w:val="22"/>
        </w:rPr>
        <w:t>2</w:t>
      </w:r>
      <w:r w:rsidRPr="00412A9C">
        <w:rPr>
          <w:szCs w:val="22"/>
        </w:rPr>
        <w:t>）印順法師，《以佛法研究佛法》，</w:t>
      </w:r>
      <w:r w:rsidRPr="00761EF3">
        <w:rPr>
          <w:szCs w:val="22"/>
        </w:rPr>
        <w:t>p</w:t>
      </w:r>
      <w:r w:rsidRPr="00412A9C">
        <w:rPr>
          <w:szCs w:val="22"/>
        </w:rPr>
        <w:t>.</w:t>
      </w:r>
      <w:r w:rsidRPr="00761EF3">
        <w:rPr>
          <w:szCs w:val="22"/>
        </w:rPr>
        <w:t>109</w:t>
      </w:r>
      <w:r w:rsidRPr="00412A9C">
        <w:rPr>
          <w:szCs w:val="22"/>
        </w:rPr>
        <w:t>：</w:t>
      </w:r>
    </w:p>
    <w:p w:rsidR="00157EF6" w:rsidRPr="00412A9C" w:rsidRDefault="00157EF6" w:rsidP="00AA120F">
      <w:pPr>
        <w:pStyle w:val="a5"/>
        <w:ind w:leftChars="335" w:left="804"/>
        <w:jc w:val="both"/>
        <w:rPr>
          <w:rFonts w:eastAsia="標楷體"/>
          <w:szCs w:val="22"/>
        </w:rPr>
      </w:pPr>
      <w:r w:rsidRPr="00412A9C">
        <w:rPr>
          <w:rFonts w:eastAsia="標楷體"/>
          <w:szCs w:val="22"/>
        </w:rPr>
        <w:t>佛所自證的深法，感到不容易宣說，而有「我若說法，徒自勞苦」的慨歎。傳說梵王為此而請佛說法，律部都有記載。《相應部》（六</w:t>
      </w:r>
      <w:r w:rsidRPr="00412A9C">
        <w:rPr>
          <w:rFonts w:ascii="新細明體" w:hAnsi="新細明體" w:cs="新細明體" w:hint="eastAsia"/>
          <w:szCs w:val="22"/>
        </w:rPr>
        <w:t>‧</w:t>
      </w:r>
      <w:r w:rsidRPr="00412A9C">
        <w:rPr>
          <w:rFonts w:eastAsia="標楷體"/>
          <w:szCs w:val="22"/>
        </w:rPr>
        <w:t>一）說：「世尊獨處禪思，作如是念：我所證得甚深之法，難見難悟，寂靜微妙，超尋思境，深妙智者乃能知之。</w:t>
      </w:r>
      <w:r w:rsidRPr="00412A9C">
        <w:rPr>
          <w:rFonts w:eastAsia="標楷體"/>
          <w:b/>
          <w:szCs w:val="22"/>
        </w:rPr>
        <w:t>眾生樂阿賴耶，喜阿賴耶，欣阿賴耶；眾生以樂阿賴耶、喜阿賴耶、欣阿賴耶故，是理難見，所謂緣起。</w:t>
      </w:r>
      <w:r w:rsidRPr="00412A9C">
        <w:rPr>
          <w:rFonts w:eastAsia="標楷體"/>
          <w:szCs w:val="22"/>
        </w:rPr>
        <w:t>倍復難見，所謂一切諸行止滅，諸依捨離，愛盡，離欲，滅，涅槃。」</w:t>
      </w:r>
    </w:p>
    <w:p w:rsidR="00157EF6" w:rsidRPr="00412A9C" w:rsidRDefault="00157EF6" w:rsidP="00AA120F">
      <w:pPr>
        <w:pStyle w:val="a5"/>
        <w:ind w:leftChars="335" w:left="1024" w:hangingChars="100" w:hanging="220"/>
        <w:jc w:val="both"/>
        <w:rPr>
          <w:rFonts w:eastAsia="標楷體"/>
          <w:szCs w:val="22"/>
        </w:rPr>
      </w:pPr>
      <w:r w:rsidRPr="00412A9C">
        <w:rPr>
          <w:rFonts w:ascii="新細明體" w:hAnsi="新細明體" w:cs="新細明體" w:hint="eastAsia"/>
          <w:szCs w:val="22"/>
        </w:rPr>
        <w:t>※</w:t>
      </w:r>
      <w:r w:rsidRPr="00412A9C">
        <w:rPr>
          <w:rFonts w:ascii="新細明體" w:hAnsi="新細明體"/>
          <w:szCs w:val="22"/>
        </w:rPr>
        <w:t>參見</w:t>
      </w:r>
      <w:r w:rsidRPr="00412A9C">
        <w:rPr>
          <w:szCs w:val="22"/>
        </w:rPr>
        <w:t>《相應部》〈梵天相應〉（日譯南傳第</w:t>
      </w:r>
      <w:r w:rsidRPr="00761EF3">
        <w:rPr>
          <w:szCs w:val="22"/>
        </w:rPr>
        <w:t>12</w:t>
      </w:r>
      <w:r w:rsidRPr="00412A9C">
        <w:rPr>
          <w:szCs w:val="22"/>
        </w:rPr>
        <w:t>冊，</w:t>
      </w:r>
      <w:r w:rsidRPr="00761EF3">
        <w:rPr>
          <w:szCs w:val="22"/>
        </w:rPr>
        <w:t>p</w:t>
      </w:r>
      <w:r w:rsidRPr="00412A9C">
        <w:rPr>
          <w:szCs w:val="22"/>
        </w:rPr>
        <w:t>.</w:t>
      </w:r>
      <w:r w:rsidRPr="00761EF3">
        <w:rPr>
          <w:szCs w:val="22"/>
        </w:rPr>
        <w:t>234</w:t>
      </w:r>
      <w:r w:rsidRPr="00412A9C">
        <w:rPr>
          <w:szCs w:val="22"/>
        </w:rPr>
        <w:t>；漢譯南傳第</w:t>
      </w:r>
      <w:r w:rsidRPr="00761EF3">
        <w:rPr>
          <w:szCs w:val="22"/>
        </w:rPr>
        <w:t>13</w:t>
      </w:r>
      <w:r w:rsidRPr="00412A9C">
        <w:rPr>
          <w:szCs w:val="22"/>
        </w:rPr>
        <w:t>冊，</w:t>
      </w:r>
      <w:r w:rsidRPr="00761EF3">
        <w:rPr>
          <w:szCs w:val="22"/>
        </w:rPr>
        <w:t>p</w:t>
      </w:r>
      <w:r w:rsidRPr="00412A9C">
        <w:rPr>
          <w:szCs w:val="22"/>
        </w:rPr>
        <w:t>.</w:t>
      </w:r>
      <w:r w:rsidRPr="00761EF3">
        <w:rPr>
          <w:szCs w:val="22"/>
        </w:rPr>
        <w:t>233</w:t>
      </w:r>
      <w:r w:rsidRPr="00412A9C">
        <w:rPr>
          <w:szCs w:val="22"/>
        </w:rPr>
        <w:t>）。</w:t>
      </w:r>
    </w:p>
    <w:p w:rsidR="00157EF6" w:rsidRPr="00412A9C" w:rsidRDefault="00157EF6" w:rsidP="00AA120F">
      <w:pPr>
        <w:pStyle w:val="a5"/>
        <w:ind w:leftChars="105" w:left="791" w:hangingChars="245" w:hanging="539"/>
        <w:jc w:val="both"/>
        <w:rPr>
          <w:szCs w:val="22"/>
        </w:rPr>
      </w:pPr>
      <w:r w:rsidRPr="00412A9C">
        <w:rPr>
          <w:szCs w:val="22"/>
        </w:rPr>
        <w:t>（</w:t>
      </w:r>
      <w:r w:rsidRPr="00761EF3">
        <w:rPr>
          <w:szCs w:val="22"/>
        </w:rPr>
        <w:t>3</w:t>
      </w:r>
      <w:r w:rsidRPr="00412A9C">
        <w:rPr>
          <w:szCs w:val="22"/>
        </w:rPr>
        <w:t>）印順法師，《大乘起信論講記》，</w:t>
      </w:r>
      <w:r w:rsidRPr="00761EF3">
        <w:rPr>
          <w:szCs w:val="22"/>
        </w:rPr>
        <w:t>pp</w:t>
      </w:r>
      <w:r w:rsidRPr="00412A9C">
        <w:rPr>
          <w:szCs w:val="22"/>
        </w:rPr>
        <w:t>.</w:t>
      </w:r>
      <w:r w:rsidRPr="00761EF3">
        <w:rPr>
          <w:szCs w:val="22"/>
        </w:rPr>
        <w:t>89</w:t>
      </w:r>
      <w:r w:rsidRPr="00412A9C">
        <w:rPr>
          <w:szCs w:val="22"/>
        </w:rPr>
        <w:t>-</w:t>
      </w:r>
      <w:r w:rsidRPr="00761EF3">
        <w:rPr>
          <w:szCs w:val="22"/>
        </w:rPr>
        <w:t>90</w:t>
      </w:r>
      <w:r w:rsidRPr="00412A9C">
        <w:rPr>
          <w:szCs w:val="22"/>
        </w:rPr>
        <w:t>：</w:t>
      </w:r>
    </w:p>
    <w:p w:rsidR="00157EF6" w:rsidRPr="00412A9C" w:rsidRDefault="00157EF6" w:rsidP="00AA120F">
      <w:pPr>
        <w:pStyle w:val="a5"/>
        <w:ind w:leftChars="335" w:left="804"/>
        <w:jc w:val="both"/>
        <w:rPr>
          <w:rFonts w:eastAsia="標楷體"/>
          <w:szCs w:val="22"/>
        </w:rPr>
      </w:pPr>
      <w:r w:rsidRPr="00412A9C">
        <w:rPr>
          <w:rFonts w:eastAsia="標楷體"/>
          <w:b/>
          <w:szCs w:val="22"/>
        </w:rPr>
        <w:t>《阿含經》裡，也有阿賴耶名，可解說為著落處；依處、窟宅、家、藏，都是同一意義，這是無始生死流轉的根據處。</w:t>
      </w:r>
      <w:r w:rsidRPr="00412A9C">
        <w:rPr>
          <w:rFonts w:eastAsia="標楷體"/>
          <w:szCs w:val="22"/>
        </w:rPr>
        <w:t>《阿含經》說</w:t>
      </w:r>
      <w:r w:rsidR="009F707C">
        <w:rPr>
          <w:rFonts w:eastAsia="標楷體" w:hint="eastAsia"/>
          <w:szCs w:val="22"/>
        </w:rPr>
        <w:t>「</w:t>
      </w:r>
      <w:r w:rsidRPr="00412A9C">
        <w:rPr>
          <w:rFonts w:eastAsia="標楷體"/>
          <w:szCs w:val="22"/>
        </w:rPr>
        <w:t>眾生愛阿賴耶、樂阿賴耶、憙阿賴耶</w:t>
      </w:r>
      <w:r w:rsidR="009F707C">
        <w:rPr>
          <w:rFonts w:eastAsia="標楷體" w:hint="eastAsia"/>
          <w:szCs w:val="22"/>
        </w:rPr>
        <w:t>」</w:t>
      </w:r>
      <w:r w:rsidRPr="00412A9C">
        <w:rPr>
          <w:rFonts w:eastAsia="標楷體"/>
          <w:szCs w:val="22"/>
        </w:rPr>
        <w:t>；或說</w:t>
      </w:r>
      <w:r w:rsidR="009F707C">
        <w:rPr>
          <w:rFonts w:eastAsia="標楷體" w:hint="eastAsia"/>
          <w:szCs w:val="22"/>
        </w:rPr>
        <w:t>「</w:t>
      </w:r>
      <w:r w:rsidRPr="00412A9C">
        <w:rPr>
          <w:rFonts w:eastAsia="標楷體"/>
          <w:szCs w:val="22"/>
        </w:rPr>
        <w:t>起欲、起貪、起親、起愛、起阿賴耶、起尼延底、起耽著</w:t>
      </w:r>
      <w:r w:rsidR="009F707C">
        <w:rPr>
          <w:rFonts w:eastAsia="標楷體" w:hint="eastAsia"/>
          <w:szCs w:val="22"/>
        </w:rPr>
        <w:t>」</w:t>
      </w:r>
      <w:r w:rsidRPr="00412A9C">
        <w:rPr>
          <w:rFonts w:eastAsia="標楷體"/>
          <w:szCs w:val="22"/>
        </w:rPr>
        <w:t>。</w:t>
      </w:r>
      <w:r w:rsidRPr="00412A9C">
        <w:rPr>
          <w:rFonts w:eastAsia="標楷體"/>
          <w:b/>
          <w:szCs w:val="22"/>
        </w:rPr>
        <w:t>阿賴耶的著落處，實與愛取的染著義相近。</w:t>
      </w:r>
      <w:r w:rsidRPr="00412A9C">
        <w:rPr>
          <w:rFonts w:eastAsia="標楷體"/>
          <w:szCs w:val="22"/>
        </w:rPr>
        <w:t>染著，實為三界生死流轉的根源。不過，《阿含經》只稱為阿賴耶，而不名為阿賴耶識。名阿賴耶識，這要到大乘經裡才有。名詞的定義，本是不很確定，隨時隨地而多有變化的；由於使用的習慣不同，所以阿賴耶識，古人也有不同的解說，這不能專宗一家而抹煞一切的。</w:t>
      </w:r>
    </w:p>
    <w:p w:rsidR="00157EF6" w:rsidRPr="00412A9C" w:rsidRDefault="00157EF6" w:rsidP="00AA120F">
      <w:pPr>
        <w:pStyle w:val="a5"/>
        <w:ind w:leftChars="105" w:left="791" w:hangingChars="245" w:hanging="539"/>
        <w:jc w:val="both"/>
        <w:rPr>
          <w:szCs w:val="22"/>
        </w:rPr>
      </w:pPr>
      <w:r w:rsidRPr="00412A9C">
        <w:rPr>
          <w:szCs w:val="22"/>
        </w:rPr>
        <w:t>（</w:t>
      </w:r>
      <w:r w:rsidRPr="00761EF3">
        <w:rPr>
          <w:szCs w:val="22"/>
        </w:rPr>
        <w:t>4</w:t>
      </w:r>
      <w:r w:rsidRPr="00412A9C">
        <w:rPr>
          <w:szCs w:val="22"/>
        </w:rPr>
        <w:t>）印順法師，《印度佛教思想史》，</w:t>
      </w:r>
      <w:r w:rsidRPr="00761EF3">
        <w:rPr>
          <w:szCs w:val="22"/>
        </w:rPr>
        <w:t>p</w:t>
      </w:r>
      <w:r w:rsidRPr="00412A9C">
        <w:rPr>
          <w:szCs w:val="22"/>
        </w:rPr>
        <w:t>.</w:t>
      </w:r>
      <w:r w:rsidRPr="00761EF3">
        <w:rPr>
          <w:szCs w:val="22"/>
        </w:rPr>
        <w:t>25</w:t>
      </w:r>
      <w:r w:rsidRPr="00412A9C">
        <w:rPr>
          <w:szCs w:val="22"/>
        </w:rPr>
        <w:t>：</w:t>
      </w:r>
    </w:p>
    <w:p w:rsidR="00157EF6" w:rsidRPr="00412A9C" w:rsidRDefault="00157EF6" w:rsidP="00AA120F">
      <w:pPr>
        <w:pStyle w:val="a5"/>
        <w:ind w:leftChars="335" w:left="804"/>
        <w:jc w:val="both"/>
        <w:rPr>
          <w:rFonts w:eastAsia="標楷體"/>
          <w:szCs w:val="22"/>
        </w:rPr>
      </w:pPr>
      <w:r w:rsidRPr="00412A9C">
        <w:rPr>
          <w:rFonts w:eastAsia="標楷體"/>
          <w:szCs w:val="22"/>
        </w:rPr>
        <w:t>阿賴耶（</w:t>
      </w:r>
      <w:r w:rsidRPr="00761EF3">
        <w:rPr>
          <w:rFonts w:eastAsia="標楷體"/>
          <w:szCs w:val="22"/>
        </w:rPr>
        <w:t>ālaya</w:t>
      </w:r>
      <w:r w:rsidRPr="00412A9C">
        <w:rPr>
          <w:rFonts w:eastAsia="標楷體"/>
          <w:szCs w:val="22"/>
        </w:rPr>
        <w:t>），譯義為窟、宅、依處、藏；在</w:t>
      </w:r>
      <w:r w:rsidRPr="00412A9C">
        <w:rPr>
          <w:szCs w:val="22"/>
        </w:rPr>
        <w:t>《</w:t>
      </w:r>
      <w:r w:rsidRPr="00412A9C">
        <w:rPr>
          <w:rFonts w:eastAsia="標楷體"/>
          <w:szCs w:val="22"/>
        </w:rPr>
        <w:t>阿含經</w:t>
      </w:r>
      <w:r w:rsidRPr="00412A9C">
        <w:rPr>
          <w:szCs w:val="22"/>
        </w:rPr>
        <w:t>》</w:t>
      </w:r>
      <w:r w:rsidRPr="00412A9C">
        <w:rPr>
          <w:rFonts w:eastAsia="標楷體" w:hint="eastAsia"/>
          <w:szCs w:val="22"/>
        </w:rPr>
        <w:t>裡</w:t>
      </w:r>
      <w:r w:rsidRPr="00412A9C">
        <w:rPr>
          <w:rFonts w:eastAsia="標楷體"/>
          <w:szCs w:val="22"/>
        </w:rPr>
        <w:t>，也是</w:t>
      </w:r>
      <w:r w:rsidRPr="00412A9C">
        <w:rPr>
          <w:rFonts w:eastAsia="標楷體"/>
          <w:b/>
          <w:szCs w:val="22"/>
        </w:rPr>
        <w:t>愛著</w:t>
      </w:r>
      <w:r w:rsidRPr="00412A9C">
        <w:rPr>
          <w:rFonts w:eastAsia="標楷體"/>
          <w:szCs w:val="22"/>
        </w:rPr>
        <w:t>的一類。</w:t>
      </w:r>
    </w:p>
  </w:footnote>
  <w:footnote w:id="1047">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szCs w:val="22"/>
        </w:rPr>
        <w:t>參見《成唯識論》卷</w:t>
      </w:r>
      <w:r w:rsidRPr="00761EF3">
        <w:rPr>
          <w:szCs w:val="22"/>
        </w:rPr>
        <w:t>3</w:t>
      </w:r>
      <w:r w:rsidRPr="00412A9C">
        <w:rPr>
          <w:szCs w:val="22"/>
        </w:rPr>
        <w:t>（大正</w:t>
      </w:r>
      <w:r w:rsidRPr="00761EF3">
        <w:rPr>
          <w:szCs w:val="22"/>
        </w:rPr>
        <w:t>31</w:t>
      </w:r>
      <w:r w:rsidRPr="00412A9C">
        <w:rPr>
          <w:szCs w:val="22"/>
        </w:rPr>
        <w:t>，</w:t>
      </w:r>
      <w:r w:rsidRPr="00761EF3">
        <w:rPr>
          <w:szCs w:val="22"/>
        </w:rPr>
        <w:t>12a19</w:t>
      </w:r>
      <w:r w:rsidRPr="00412A9C">
        <w:rPr>
          <w:szCs w:val="22"/>
        </w:rPr>
        <w:t>-</w:t>
      </w:r>
      <w:r w:rsidRPr="00761EF3">
        <w:rPr>
          <w:szCs w:val="22"/>
        </w:rPr>
        <w:t>21</w:t>
      </w:r>
      <w:r w:rsidRPr="00412A9C">
        <w:rPr>
          <w:szCs w:val="22"/>
        </w:rPr>
        <w:t>）：</w:t>
      </w:r>
    </w:p>
    <w:p w:rsidR="00157EF6" w:rsidRPr="00412A9C" w:rsidRDefault="00157EF6" w:rsidP="00AA120F">
      <w:pPr>
        <w:pStyle w:val="a5"/>
        <w:ind w:leftChars="105" w:left="252"/>
        <w:jc w:val="both"/>
        <w:rPr>
          <w:szCs w:val="22"/>
        </w:rPr>
      </w:pPr>
      <w:r w:rsidRPr="00412A9C">
        <w:rPr>
          <w:rFonts w:eastAsia="標楷體"/>
          <w:szCs w:val="22"/>
        </w:rPr>
        <w:t>法有四種</w:t>
      </w:r>
      <w:r w:rsidR="00620230">
        <w:rPr>
          <w:rFonts w:eastAsia="標楷體" w:hint="eastAsia"/>
          <w:color w:val="FF0000"/>
          <w:szCs w:val="22"/>
          <w:highlight w:val="yellow"/>
        </w:rPr>
        <w:t>，</w:t>
      </w:r>
      <w:r w:rsidRPr="00412A9C">
        <w:rPr>
          <w:rFonts w:eastAsia="標楷體"/>
          <w:szCs w:val="22"/>
        </w:rPr>
        <w:t>謂善</w:t>
      </w:r>
      <w:r w:rsidRPr="00412A9C">
        <w:rPr>
          <w:rFonts w:eastAsia="標楷體" w:hint="eastAsia"/>
          <w:szCs w:val="22"/>
        </w:rPr>
        <w:t>、</w:t>
      </w:r>
      <w:r w:rsidRPr="00412A9C">
        <w:rPr>
          <w:rFonts w:eastAsia="標楷體"/>
          <w:szCs w:val="22"/>
        </w:rPr>
        <w:t>不善</w:t>
      </w:r>
      <w:r w:rsidRPr="00412A9C">
        <w:rPr>
          <w:rFonts w:eastAsia="標楷體" w:hint="eastAsia"/>
          <w:szCs w:val="22"/>
        </w:rPr>
        <w:t>、</w:t>
      </w:r>
      <w:r w:rsidRPr="00412A9C">
        <w:rPr>
          <w:rFonts w:eastAsia="標楷體"/>
          <w:szCs w:val="22"/>
        </w:rPr>
        <w:t>有覆無記</w:t>
      </w:r>
      <w:r w:rsidRPr="00412A9C">
        <w:rPr>
          <w:rFonts w:eastAsia="標楷體" w:hint="eastAsia"/>
          <w:szCs w:val="22"/>
        </w:rPr>
        <w:t>、</w:t>
      </w:r>
      <w:r w:rsidRPr="00412A9C">
        <w:rPr>
          <w:rFonts w:eastAsia="標楷體"/>
          <w:szCs w:val="22"/>
        </w:rPr>
        <w:t>無覆無記。</w:t>
      </w:r>
      <w:r w:rsidRPr="00412A9C">
        <w:rPr>
          <w:rFonts w:eastAsia="標楷體"/>
          <w:b/>
          <w:szCs w:val="22"/>
        </w:rPr>
        <w:t>阿賴耶識</w:t>
      </w:r>
      <w:r w:rsidR="00620230" w:rsidRPr="00620230">
        <w:rPr>
          <w:rFonts w:eastAsia="標楷體" w:hint="eastAsia"/>
          <w:b/>
          <w:color w:val="FF0000"/>
          <w:szCs w:val="22"/>
          <w:highlight w:val="yellow"/>
        </w:rPr>
        <w:t>，</w:t>
      </w:r>
      <w:r w:rsidRPr="00412A9C">
        <w:rPr>
          <w:rFonts w:eastAsia="標楷體"/>
          <w:b/>
          <w:szCs w:val="22"/>
        </w:rPr>
        <w:t>何法攝耶</w:t>
      </w:r>
      <w:r w:rsidRPr="00412A9C">
        <w:rPr>
          <w:rFonts w:eastAsia="標楷體" w:hint="eastAsia"/>
          <w:b/>
          <w:szCs w:val="22"/>
        </w:rPr>
        <w:t>？</w:t>
      </w:r>
      <w:r w:rsidRPr="00412A9C">
        <w:rPr>
          <w:rFonts w:eastAsia="標楷體"/>
          <w:b/>
          <w:szCs w:val="22"/>
        </w:rPr>
        <w:t>此識唯是無覆無記</w:t>
      </w:r>
      <w:r w:rsidRPr="00412A9C">
        <w:rPr>
          <w:rFonts w:eastAsia="標楷體" w:hint="eastAsia"/>
          <w:szCs w:val="22"/>
        </w:rPr>
        <w:t>，</w:t>
      </w:r>
      <w:r w:rsidRPr="00412A9C">
        <w:rPr>
          <w:rFonts w:eastAsia="標楷體"/>
          <w:szCs w:val="22"/>
        </w:rPr>
        <w:t>異熟性故。</w:t>
      </w:r>
    </w:p>
  </w:footnote>
  <w:footnote w:id="1048">
    <w:p w:rsidR="00157EF6" w:rsidRPr="00412A9C" w:rsidRDefault="00157EF6" w:rsidP="00AA120F">
      <w:pPr>
        <w:pStyle w:val="a5"/>
        <w:ind w:left="660" w:hangingChars="300" w:hanging="660"/>
        <w:jc w:val="both"/>
        <w:rPr>
          <w:rFonts w:ascii="標楷體" w:eastAsia="標楷體" w:hAnsi="標楷體"/>
          <w:szCs w:val="22"/>
        </w:rPr>
      </w:pPr>
      <w:r w:rsidRPr="00412A9C">
        <w:rPr>
          <w:rStyle w:val="a6"/>
          <w:szCs w:val="22"/>
        </w:rPr>
        <w:footnoteRef/>
      </w:r>
      <w:r w:rsidRPr="009A5A58">
        <w:rPr>
          <w:rFonts w:hint="eastAsia"/>
          <w:szCs w:val="22"/>
        </w:rPr>
        <w:t xml:space="preserve"> </w:t>
      </w:r>
      <w:r w:rsidRPr="00412A9C">
        <w:rPr>
          <w:rFonts w:eastAsia="SimSun"/>
          <w:szCs w:val="22"/>
        </w:rPr>
        <w:t>（</w:t>
      </w:r>
      <w:r w:rsidRPr="00761EF3">
        <w:rPr>
          <w:szCs w:val="22"/>
        </w:rPr>
        <w:t>1</w:t>
      </w:r>
      <w:r w:rsidRPr="00412A9C">
        <w:rPr>
          <w:szCs w:val="22"/>
        </w:rPr>
        <w:t>）</w:t>
      </w:r>
      <w:r w:rsidRPr="00412A9C">
        <w:rPr>
          <w:rFonts w:ascii="新細明體" w:hAnsi="新細明體" w:hint="eastAsia"/>
          <w:szCs w:val="22"/>
        </w:rPr>
        <w:t>龍樹造，《六十頌如理論》</w:t>
      </w:r>
      <w:r w:rsidRPr="00412A9C">
        <w:rPr>
          <w:rFonts w:ascii="新細明體" w:cs="新細明體" w:hint="eastAsia"/>
          <w:szCs w:val="22"/>
        </w:rPr>
        <w:t>（大</w:t>
      </w:r>
      <w:r w:rsidRPr="00412A9C">
        <w:rPr>
          <w:szCs w:val="22"/>
        </w:rPr>
        <w:t>正</w:t>
      </w:r>
      <w:r w:rsidRPr="00761EF3">
        <w:rPr>
          <w:szCs w:val="22"/>
        </w:rPr>
        <w:t>3</w:t>
      </w:r>
      <w:r w:rsidRPr="00761EF3">
        <w:rPr>
          <w:rFonts w:eastAsia="SimSun"/>
          <w:szCs w:val="22"/>
        </w:rPr>
        <w:t>0</w:t>
      </w:r>
      <w:r w:rsidRPr="00412A9C">
        <w:rPr>
          <w:szCs w:val="22"/>
        </w:rPr>
        <w:t>，</w:t>
      </w:r>
      <w:r w:rsidRPr="00761EF3">
        <w:rPr>
          <w:rFonts w:eastAsia="SimSun"/>
          <w:szCs w:val="22"/>
        </w:rPr>
        <w:t>255b3</w:t>
      </w:r>
      <w:r w:rsidRPr="00412A9C">
        <w:rPr>
          <w:rFonts w:eastAsia="SimSun"/>
          <w:szCs w:val="22"/>
        </w:rPr>
        <w:t>-</w:t>
      </w:r>
      <w:r w:rsidRPr="00761EF3">
        <w:rPr>
          <w:rFonts w:eastAsia="SimSun"/>
          <w:szCs w:val="22"/>
        </w:rPr>
        <w:t>4</w:t>
      </w:r>
      <w:r w:rsidRPr="00412A9C">
        <w:rPr>
          <w:rFonts w:ascii="新細明體" w:cs="新細明體" w:hint="eastAsia"/>
          <w:szCs w:val="22"/>
        </w:rPr>
        <w:t>）</w:t>
      </w:r>
      <w:r w:rsidRPr="00412A9C">
        <w:rPr>
          <w:rFonts w:ascii="新細明體" w:hAnsi="新細明體" w:hint="eastAsia"/>
          <w:szCs w:val="22"/>
        </w:rPr>
        <w:t>：</w:t>
      </w:r>
    </w:p>
    <w:p w:rsidR="00157EF6" w:rsidRPr="00412A9C" w:rsidRDefault="00157EF6" w:rsidP="00AA120F">
      <w:pPr>
        <w:pStyle w:val="a5"/>
        <w:ind w:leftChars="335" w:left="804"/>
        <w:jc w:val="both"/>
        <w:rPr>
          <w:rFonts w:ascii="新細明體" w:eastAsia="SimSun" w:cs="新細明體"/>
          <w:szCs w:val="22"/>
        </w:rPr>
      </w:pPr>
      <w:r w:rsidRPr="00412A9C">
        <w:rPr>
          <w:rFonts w:ascii="標楷體" w:eastAsia="標楷體" w:hAnsi="標楷體" w:hint="eastAsia"/>
          <w:szCs w:val="22"/>
        </w:rPr>
        <w:t>如其所宣揚，即蘊處界法，大種等及識，所說皆平等。</w:t>
      </w:r>
    </w:p>
    <w:p w:rsidR="00157EF6" w:rsidRPr="00412A9C" w:rsidRDefault="00157EF6" w:rsidP="00AA120F">
      <w:pPr>
        <w:pStyle w:val="a5"/>
        <w:ind w:leftChars="105" w:left="791" w:hangingChars="245" w:hanging="539"/>
        <w:jc w:val="both"/>
        <w:rPr>
          <w:szCs w:val="22"/>
        </w:rPr>
      </w:pPr>
      <w:r w:rsidRPr="00412A9C">
        <w:rPr>
          <w:szCs w:val="22"/>
        </w:rPr>
        <w:t>（</w:t>
      </w:r>
      <w:r w:rsidRPr="00761EF3">
        <w:rPr>
          <w:szCs w:val="22"/>
        </w:rPr>
        <w:t>2</w:t>
      </w:r>
      <w:r w:rsidRPr="00412A9C">
        <w:rPr>
          <w:szCs w:val="22"/>
        </w:rPr>
        <w:t>）印順</w:t>
      </w:r>
      <w:r w:rsidRPr="00C80684">
        <w:rPr>
          <w:rFonts w:hint="eastAsia"/>
          <w:szCs w:val="22"/>
        </w:rPr>
        <w:t>法師</w:t>
      </w:r>
      <w:r w:rsidRPr="00412A9C">
        <w:rPr>
          <w:szCs w:val="22"/>
        </w:rPr>
        <w:t>，《中觀今論》，第</w:t>
      </w:r>
      <w:r w:rsidRPr="00761EF3">
        <w:rPr>
          <w:szCs w:val="22"/>
        </w:rPr>
        <w:t>2</w:t>
      </w:r>
      <w:r w:rsidRPr="00412A9C">
        <w:rPr>
          <w:szCs w:val="22"/>
        </w:rPr>
        <w:t>章</w:t>
      </w:r>
      <w:r w:rsidRPr="00412A9C">
        <w:rPr>
          <w:rFonts w:ascii="新細明體" w:hAnsi="新細明體" w:cs="新細明體" w:hint="eastAsia"/>
          <w:szCs w:val="22"/>
        </w:rPr>
        <w:t>，</w:t>
      </w:r>
      <w:r w:rsidRPr="00412A9C">
        <w:rPr>
          <w:szCs w:val="22"/>
        </w:rPr>
        <w:t>第</w:t>
      </w:r>
      <w:r w:rsidRPr="00761EF3">
        <w:rPr>
          <w:szCs w:val="22"/>
        </w:rPr>
        <w:t>1</w:t>
      </w:r>
      <w:r w:rsidRPr="00412A9C">
        <w:rPr>
          <w:szCs w:val="22"/>
        </w:rPr>
        <w:t>節〈龍樹論略說〉，</w:t>
      </w:r>
      <w:r w:rsidRPr="00761EF3">
        <w:rPr>
          <w:szCs w:val="22"/>
        </w:rPr>
        <w:t>p</w:t>
      </w:r>
      <w:r w:rsidRPr="00412A9C">
        <w:rPr>
          <w:szCs w:val="22"/>
        </w:rPr>
        <w:t>.</w:t>
      </w:r>
      <w:r w:rsidRPr="00761EF3">
        <w:rPr>
          <w:szCs w:val="22"/>
        </w:rPr>
        <w:t>16</w:t>
      </w:r>
      <w:r w:rsidRPr="00412A9C">
        <w:rPr>
          <w:szCs w:val="22"/>
        </w:rPr>
        <w:t>：</w:t>
      </w:r>
    </w:p>
    <w:p w:rsidR="00157EF6" w:rsidRPr="00412A9C" w:rsidRDefault="00157EF6" w:rsidP="00AA120F">
      <w:pPr>
        <w:pStyle w:val="a5"/>
        <w:ind w:leftChars="335" w:left="804"/>
        <w:jc w:val="both"/>
        <w:rPr>
          <w:rFonts w:ascii="標楷體" w:eastAsia="標楷體" w:hAnsi="標楷體"/>
          <w:szCs w:val="22"/>
        </w:rPr>
      </w:pPr>
      <w:r w:rsidRPr="00412A9C">
        <w:rPr>
          <w:rFonts w:ascii="標楷體" w:eastAsia="標楷體" w:hAnsi="標楷體" w:hint="eastAsia"/>
          <w:szCs w:val="22"/>
        </w:rPr>
        <w:t>《六十如理論》與《大乘二十論》，趙宋時施護所譯。施護所譯的龍樹論，非早期的中觀學者所知，而且有「唯識」的傾向。</w:t>
      </w:r>
    </w:p>
    <w:p w:rsidR="00157EF6" w:rsidRPr="00412A9C" w:rsidRDefault="00157EF6" w:rsidP="00AA120F">
      <w:pPr>
        <w:pStyle w:val="a5"/>
        <w:ind w:leftChars="105" w:left="791" w:hangingChars="245" w:hanging="539"/>
        <w:jc w:val="both"/>
        <w:rPr>
          <w:rFonts w:eastAsia="SimSun"/>
          <w:szCs w:val="22"/>
        </w:rPr>
      </w:pPr>
      <w:r w:rsidRPr="00412A9C">
        <w:rPr>
          <w:rFonts w:hint="eastAsia"/>
          <w:szCs w:val="22"/>
        </w:rPr>
        <w:t>（</w:t>
      </w:r>
      <w:r w:rsidRPr="00761EF3">
        <w:rPr>
          <w:rFonts w:hint="eastAsia"/>
          <w:szCs w:val="22"/>
        </w:rPr>
        <w:t>3</w:t>
      </w:r>
      <w:r w:rsidRPr="00412A9C">
        <w:rPr>
          <w:rFonts w:hint="eastAsia"/>
          <w:szCs w:val="22"/>
        </w:rPr>
        <w:t>）</w:t>
      </w:r>
      <w:r w:rsidR="009160B5">
        <w:rPr>
          <w:rFonts w:hint="eastAsia"/>
          <w:szCs w:val="22"/>
        </w:rPr>
        <w:t>參見：印</w:t>
      </w:r>
      <w:r w:rsidRPr="00412A9C">
        <w:rPr>
          <w:rFonts w:hint="eastAsia"/>
          <w:szCs w:val="22"/>
        </w:rPr>
        <w:t>順法師，《印度佛教思想史》，</w:t>
      </w:r>
      <w:r w:rsidRPr="00761EF3">
        <w:rPr>
          <w:szCs w:val="22"/>
        </w:rPr>
        <w:t>pp</w:t>
      </w:r>
      <w:r w:rsidRPr="00412A9C">
        <w:rPr>
          <w:szCs w:val="22"/>
        </w:rPr>
        <w:t>.</w:t>
      </w:r>
      <w:r w:rsidRPr="00761EF3">
        <w:rPr>
          <w:szCs w:val="22"/>
        </w:rPr>
        <w:t>377</w:t>
      </w:r>
      <w:r w:rsidRPr="00412A9C">
        <w:rPr>
          <w:szCs w:val="22"/>
        </w:rPr>
        <w:t>-</w:t>
      </w:r>
      <w:r w:rsidRPr="00761EF3">
        <w:rPr>
          <w:szCs w:val="22"/>
        </w:rPr>
        <w:t>378</w:t>
      </w:r>
      <w:r w:rsidRPr="00412A9C">
        <w:rPr>
          <w:rFonts w:hint="eastAsia"/>
          <w:szCs w:val="22"/>
        </w:rPr>
        <w:t>。</w:t>
      </w:r>
    </w:p>
  </w:footnote>
  <w:footnote w:id="1049">
    <w:p w:rsidR="00157EF6" w:rsidRPr="00412A9C" w:rsidRDefault="00157EF6" w:rsidP="00AA120F">
      <w:pPr>
        <w:pStyle w:val="a5"/>
        <w:spacing w:line="0" w:lineRule="atLeast"/>
        <w:ind w:left="792" w:hangingChars="360" w:hanging="792"/>
        <w:jc w:val="both"/>
        <w:rPr>
          <w:rFonts w:ascii="標楷體" w:eastAsia="標楷體" w:hAnsi="標楷體"/>
          <w:szCs w:val="22"/>
        </w:rPr>
      </w:pPr>
      <w:r w:rsidRPr="00412A9C">
        <w:rPr>
          <w:rStyle w:val="a6"/>
          <w:szCs w:val="22"/>
        </w:rPr>
        <w:footnoteRef/>
      </w:r>
      <w:r w:rsidRPr="009A5A58">
        <w:rPr>
          <w:rFonts w:hint="eastAsia"/>
          <w:szCs w:val="22"/>
        </w:rPr>
        <w:t xml:space="preserve"> </w:t>
      </w:r>
      <w:r w:rsidRPr="00412A9C">
        <w:rPr>
          <w:rFonts w:eastAsia="SimSun"/>
          <w:szCs w:val="22"/>
        </w:rPr>
        <w:t>（</w:t>
      </w:r>
      <w:r w:rsidRPr="00761EF3">
        <w:rPr>
          <w:szCs w:val="22"/>
        </w:rPr>
        <w:t>1</w:t>
      </w:r>
      <w:r w:rsidRPr="00412A9C">
        <w:rPr>
          <w:szCs w:val="22"/>
        </w:rPr>
        <w:t>）</w:t>
      </w:r>
      <w:r w:rsidRPr="00412A9C">
        <w:rPr>
          <w:rFonts w:ascii="新細明體" w:hAnsi="新細明體" w:hint="eastAsia"/>
          <w:szCs w:val="22"/>
        </w:rPr>
        <w:t>《大乘二十頌論》</w:t>
      </w:r>
      <w:r w:rsidRPr="00412A9C">
        <w:rPr>
          <w:rFonts w:ascii="新細明體" w:cs="新細明體" w:hint="eastAsia"/>
          <w:szCs w:val="22"/>
        </w:rPr>
        <w:t>（大正</w:t>
      </w:r>
      <w:r w:rsidRPr="00761EF3">
        <w:rPr>
          <w:szCs w:val="22"/>
        </w:rPr>
        <w:t>3</w:t>
      </w:r>
      <w:r w:rsidRPr="00761EF3">
        <w:rPr>
          <w:rFonts w:eastAsia="SimSun"/>
          <w:szCs w:val="22"/>
        </w:rPr>
        <w:t>0</w:t>
      </w:r>
      <w:r w:rsidRPr="00412A9C">
        <w:rPr>
          <w:rFonts w:ascii="新細明體" w:cs="新細明體" w:hint="eastAsia"/>
          <w:szCs w:val="22"/>
        </w:rPr>
        <w:t>，</w:t>
      </w:r>
      <w:r w:rsidRPr="00761EF3">
        <w:rPr>
          <w:rFonts w:eastAsia="SimSun"/>
          <w:szCs w:val="22"/>
        </w:rPr>
        <w:t>256c2</w:t>
      </w:r>
      <w:r w:rsidRPr="00412A9C">
        <w:rPr>
          <w:rFonts w:eastAsia="SimSun"/>
          <w:szCs w:val="22"/>
        </w:rPr>
        <w:t>-</w:t>
      </w:r>
      <w:r w:rsidRPr="00761EF3">
        <w:rPr>
          <w:rFonts w:eastAsia="SimSun"/>
          <w:szCs w:val="22"/>
        </w:rPr>
        <w:t>5</w:t>
      </w:r>
      <w:r w:rsidRPr="00412A9C">
        <w:rPr>
          <w:rFonts w:ascii="新細明體" w:cs="新細明體" w:hint="eastAsia"/>
          <w:szCs w:val="22"/>
        </w:rPr>
        <w:t>）</w:t>
      </w:r>
      <w:r w:rsidRPr="00412A9C">
        <w:rPr>
          <w:rFonts w:ascii="新細明體" w:hAnsi="新細明體" w:hint="eastAsia"/>
          <w:szCs w:val="22"/>
        </w:rPr>
        <w:t>：</w:t>
      </w:r>
    </w:p>
    <w:p w:rsidR="00157EF6" w:rsidRPr="00412A9C" w:rsidRDefault="00157EF6" w:rsidP="00AA120F">
      <w:pPr>
        <w:pStyle w:val="a5"/>
        <w:ind w:leftChars="335" w:left="804"/>
        <w:jc w:val="both"/>
        <w:rPr>
          <w:rFonts w:ascii="標楷體" w:eastAsia="標楷體" w:hAnsi="標楷體"/>
          <w:szCs w:val="22"/>
        </w:rPr>
      </w:pPr>
      <w:r w:rsidRPr="00412A9C">
        <w:rPr>
          <w:rFonts w:ascii="標楷體" w:eastAsia="標楷體" w:hAnsi="標楷體" w:hint="eastAsia"/>
          <w:b/>
          <w:szCs w:val="22"/>
        </w:rPr>
        <w:t>此一切唯心，安立幻化相</w:t>
      </w:r>
      <w:r w:rsidRPr="00412A9C">
        <w:rPr>
          <w:rFonts w:ascii="標楷體" w:eastAsia="標楷體" w:hAnsi="標楷體" w:hint="eastAsia"/>
          <w:szCs w:val="22"/>
        </w:rPr>
        <w:t>，作善不善業，感善不善生。</w:t>
      </w:r>
    </w:p>
    <w:p w:rsidR="00157EF6" w:rsidRPr="00412A9C" w:rsidRDefault="00157EF6" w:rsidP="00AA120F">
      <w:pPr>
        <w:pStyle w:val="a5"/>
        <w:ind w:leftChars="335" w:left="804"/>
        <w:jc w:val="both"/>
        <w:rPr>
          <w:rFonts w:ascii="新細明體" w:eastAsia="SimSun" w:cs="新細明體"/>
          <w:szCs w:val="22"/>
        </w:rPr>
      </w:pPr>
      <w:r w:rsidRPr="00412A9C">
        <w:rPr>
          <w:rFonts w:ascii="標楷體" w:eastAsia="標楷體" w:hAnsi="標楷體" w:hint="eastAsia"/>
          <w:b/>
          <w:szCs w:val="22"/>
        </w:rPr>
        <w:t>若滅於心輪，即滅一切法</w:t>
      </w:r>
      <w:r w:rsidRPr="00412A9C">
        <w:rPr>
          <w:rFonts w:ascii="標楷體" w:eastAsia="標楷體" w:hAnsi="標楷體" w:hint="eastAsia"/>
          <w:szCs w:val="22"/>
        </w:rPr>
        <w:t>，是諸法無我，諸法悉清淨。</w:t>
      </w:r>
    </w:p>
    <w:p w:rsidR="00157EF6" w:rsidRPr="00412A9C" w:rsidRDefault="00157EF6" w:rsidP="00AA120F">
      <w:pPr>
        <w:pStyle w:val="a5"/>
        <w:ind w:leftChars="105" w:left="791" w:hangingChars="245" w:hanging="539"/>
        <w:jc w:val="both"/>
        <w:rPr>
          <w:rFonts w:eastAsia="SimSun"/>
          <w:szCs w:val="22"/>
        </w:rPr>
      </w:pPr>
      <w:r w:rsidRPr="00412A9C">
        <w:rPr>
          <w:szCs w:val="22"/>
        </w:rPr>
        <w:t>（</w:t>
      </w:r>
      <w:r w:rsidRPr="00761EF3">
        <w:rPr>
          <w:szCs w:val="22"/>
        </w:rPr>
        <w:t>2</w:t>
      </w:r>
      <w:r w:rsidRPr="00412A9C">
        <w:rPr>
          <w:szCs w:val="22"/>
        </w:rPr>
        <w:t>）</w:t>
      </w:r>
      <w:r w:rsidRPr="00C80684">
        <w:rPr>
          <w:rFonts w:hint="eastAsia"/>
          <w:szCs w:val="22"/>
        </w:rPr>
        <w:t>另</w:t>
      </w:r>
      <w:r w:rsidR="009160B5">
        <w:rPr>
          <w:rFonts w:hint="eastAsia"/>
          <w:szCs w:val="22"/>
        </w:rPr>
        <w:t>參見：印</w:t>
      </w:r>
      <w:r w:rsidRPr="00412A9C">
        <w:rPr>
          <w:rFonts w:hint="eastAsia"/>
          <w:szCs w:val="22"/>
        </w:rPr>
        <w:t>順法師，《印度佛教思想史》，</w:t>
      </w:r>
      <w:r w:rsidRPr="00761EF3">
        <w:rPr>
          <w:rFonts w:hint="eastAsia"/>
          <w:szCs w:val="22"/>
        </w:rPr>
        <w:t>p</w:t>
      </w:r>
      <w:r w:rsidRPr="00412A9C">
        <w:rPr>
          <w:rFonts w:hint="eastAsia"/>
          <w:szCs w:val="22"/>
        </w:rPr>
        <w:t>.</w:t>
      </w:r>
      <w:r w:rsidRPr="00761EF3">
        <w:rPr>
          <w:rFonts w:eastAsia="SimSun" w:hint="eastAsia"/>
          <w:szCs w:val="22"/>
        </w:rPr>
        <w:t>124</w:t>
      </w:r>
      <w:r w:rsidRPr="00412A9C">
        <w:rPr>
          <w:rFonts w:hint="eastAsia"/>
          <w:szCs w:val="22"/>
        </w:rPr>
        <w:t>：</w:t>
      </w:r>
    </w:p>
    <w:p w:rsidR="00157EF6" w:rsidRPr="00412A9C" w:rsidRDefault="00157EF6" w:rsidP="00AA120F">
      <w:pPr>
        <w:pStyle w:val="a5"/>
        <w:ind w:leftChars="335" w:left="804"/>
        <w:jc w:val="both"/>
        <w:rPr>
          <w:rFonts w:ascii="標楷體" w:eastAsia="標楷體" w:hAnsi="標楷體"/>
          <w:szCs w:val="22"/>
        </w:rPr>
      </w:pPr>
      <w:r w:rsidRPr="00412A9C">
        <w:rPr>
          <w:rFonts w:ascii="標楷體" w:eastAsia="標楷體" w:hAnsi="標楷體" w:hint="eastAsia"/>
          <w:szCs w:val="22"/>
        </w:rPr>
        <w:t>《大乘二十頌論》：趙宋施護也有譯出。論說「一切唯心」，未必是龍樹造的！</w:t>
      </w:r>
    </w:p>
    <w:p w:rsidR="00157EF6" w:rsidRPr="00412A9C" w:rsidRDefault="00157EF6" w:rsidP="00AA120F">
      <w:pPr>
        <w:pStyle w:val="a5"/>
        <w:ind w:leftChars="105" w:left="791" w:hangingChars="245" w:hanging="539"/>
        <w:jc w:val="both"/>
        <w:rPr>
          <w:rFonts w:eastAsia="SimSun"/>
          <w:szCs w:val="22"/>
        </w:rPr>
      </w:pPr>
      <w:r w:rsidRPr="00412A9C">
        <w:rPr>
          <w:rFonts w:eastAsia="標楷體"/>
          <w:szCs w:val="22"/>
        </w:rPr>
        <w:t>（</w:t>
      </w:r>
      <w:r w:rsidRPr="00761EF3">
        <w:rPr>
          <w:rFonts w:eastAsia="標楷體"/>
          <w:szCs w:val="22"/>
        </w:rPr>
        <w:t>3</w:t>
      </w:r>
      <w:r w:rsidRPr="00412A9C">
        <w:rPr>
          <w:rFonts w:eastAsia="標楷體"/>
          <w:szCs w:val="22"/>
        </w:rPr>
        <w:t>）</w:t>
      </w:r>
      <w:r w:rsidRPr="00412A9C">
        <w:rPr>
          <w:rStyle w:val="old"/>
          <w:color w:val="auto"/>
          <w:szCs w:val="22"/>
        </w:rPr>
        <w:t>又關於《大乘二十頌論》之作者，</w:t>
      </w:r>
      <w:r w:rsidRPr="00412A9C">
        <w:rPr>
          <w:szCs w:val="22"/>
        </w:rPr>
        <w:t>參見</w:t>
      </w:r>
      <w:r w:rsidRPr="00412A9C">
        <w:rPr>
          <w:rStyle w:val="old"/>
          <w:color w:val="auto"/>
          <w:szCs w:val="22"/>
        </w:rPr>
        <w:t>萬金川</w:t>
      </w:r>
      <w:r w:rsidRPr="00412A9C">
        <w:rPr>
          <w:rFonts w:hint="eastAsia"/>
          <w:szCs w:val="22"/>
        </w:rPr>
        <w:t>，</w:t>
      </w:r>
      <w:r w:rsidRPr="00412A9C">
        <w:rPr>
          <w:rStyle w:val="old"/>
          <w:color w:val="auto"/>
          <w:szCs w:val="22"/>
        </w:rPr>
        <w:t>《中觀思想講錄》，</w:t>
      </w:r>
      <w:r w:rsidRPr="00761EF3">
        <w:rPr>
          <w:rStyle w:val="old"/>
          <w:color w:val="auto"/>
          <w:szCs w:val="22"/>
        </w:rPr>
        <w:t>p</w:t>
      </w:r>
      <w:r w:rsidRPr="00412A9C">
        <w:rPr>
          <w:rStyle w:val="old"/>
          <w:color w:val="auto"/>
          <w:szCs w:val="22"/>
        </w:rPr>
        <w:t>.</w:t>
      </w:r>
      <w:r w:rsidRPr="00761EF3">
        <w:rPr>
          <w:rStyle w:val="old"/>
          <w:color w:val="auto"/>
          <w:szCs w:val="22"/>
        </w:rPr>
        <w:t>49</w:t>
      </w:r>
      <w:r w:rsidRPr="00412A9C">
        <w:rPr>
          <w:rStyle w:val="old"/>
          <w:color w:val="auto"/>
          <w:szCs w:val="22"/>
        </w:rPr>
        <w:t>。</w:t>
      </w:r>
    </w:p>
  </w:footnote>
  <w:footnote w:id="1050">
    <w:p w:rsidR="00620230"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szCs w:val="22"/>
        </w:rPr>
        <w:t>附會</w:t>
      </w:r>
      <w:r w:rsidRPr="00412A9C">
        <w:rPr>
          <w:rFonts w:hint="eastAsia"/>
          <w:szCs w:val="22"/>
        </w:rPr>
        <w:t>：</w:t>
      </w:r>
      <w:r w:rsidRPr="00761EF3">
        <w:rPr>
          <w:szCs w:val="22"/>
        </w:rPr>
        <w:t>4</w:t>
      </w:r>
      <w:r w:rsidRPr="00412A9C">
        <w:rPr>
          <w:szCs w:val="22"/>
        </w:rPr>
        <w:t>.</w:t>
      </w:r>
      <w:r w:rsidRPr="00412A9C">
        <w:rPr>
          <w:szCs w:val="22"/>
        </w:rPr>
        <w:t>勉強地把兩件沒有關係或關係很遠的事物硬拉在一起。</w:t>
      </w:r>
    </w:p>
    <w:p w:rsidR="00157EF6" w:rsidRPr="00412A9C" w:rsidRDefault="00157EF6" w:rsidP="00620230">
      <w:pPr>
        <w:pStyle w:val="a5"/>
        <w:spacing w:line="0" w:lineRule="atLeast"/>
        <w:ind w:left="253" w:hangingChars="115" w:hanging="253"/>
        <w:jc w:val="right"/>
        <w:rPr>
          <w:szCs w:val="22"/>
        </w:rPr>
      </w:pPr>
      <w:r w:rsidRPr="00412A9C">
        <w:rPr>
          <w:rFonts w:hint="eastAsia"/>
          <w:szCs w:val="22"/>
        </w:rPr>
        <w:t>（《漢語大詞典》（十一），</w:t>
      </w:r>
      <w:r w:rsidRPr="00761EF3">
        <w:rPr>
          <w:rFonts w:hint="eastAsia"/>
          <w:szCs w:val="22"/>
        </w:rPr>
        <w:t>p</w:t>
      </w:r>
      <w:r w:rsidRPr="00412A9C">
        <w:rPr>
          <w:rFonts w:hint="eastAsia"/>
          <w:szCs w:val="22"/>
        </w:rPr>
        <w:t>.</w:t>
      </w:r>
      <w:r w:rsidRPr="00761EF3">
        <w:rPr>
          <w:rFonts w:hint="eastAsia"/>
          <w:szCs w:val="22"/>
        </w:rPr>
        <w:t>953</w:t>
      </w:r>
      <w:r w:rsidRPr="00412A9C">
        <w:rPr>
          <w:rFonts w:hint="eastAsia"/>
          <w:szCs w:val="22"/>
        </w:rPr>
        <w:t>）</w:t>
      </w:r>
    </w:p>
  </w:footnote>
  <w:footnote w:id="1051">
    <w:p w:rsidR="00157EF6" w:rsidRPr="00412A9C" w:rsidRDefault="00157EF6" w:rsidP="00AA120F">
      <w:pPr>
        <w:pStyle w:val="a5"/>
        <w:spacing w:line="0" w:lineRule="atLeast"/>
        <w:ind w:left="253" w:hangingChars="115" w:hanging="253"/>
        <w:jc w:val="both"/>
        <w:rPr>
          <w:rFonts w:ascii="標楷體" w:eastAsia="標楷體" w:hAnsi="標楷體"/>
          <w:szCs w:val="22"/>
        </w:rPr>
      </w:pPr>
      <w:r w:rsidRPr="00412A9C">
        <w:rPr>
          <w:rStyle w:val="a6"/>
          <w:szCs w:val="22"/>
        </w:rPr>
        <w:footnoteRef/>
      </w:r>
      <w:r>
        <w:rPr>
          <w:rFonts w:ascii="新細明體" w:hAnsi="新細明體" w:hint="eastAsia"/>
          <w:szCs w:val="22"/>
        </w:rPr>
        <w:t xml:space="preserve"> </w:t>
      </w:r>
      <w:r w:rsidRPr="00412A9C">
        <w:rPr>
          <w:rFonts w:ascii="新細明體" w:hAnsi="新細明體" w:hint="eastAsia"/>
          <w:szCs w:val="22"/>
        </w:rPr>
        <w:t>《長阿含經》卷</w:t>
      </w:r>
      <w:r w:rsidRPr="00761EF3">
        <w:rPr>
          <w:szCs w:val="22"/>
        </w:rPr>
        <w:t>16</w:t>
      </w:r>
      <w:r w:rsidRPr="00412A9C">
        <w:rPr>
          <w:rFonts w:ascii="新細明體" w:hAnsi="新細明體" w:hint="eastAsia"/>
          <w:szCs w:val="22"/>
        </w:rPr>
        <w:t>（</w:t>
      </w:r>
      <w:r w:rsidRPr="00761EF3">
        <w:rPr>
          <w:szCs w:val="22"/>
        </w:rPr>
        <w:t>24</w:t>
      </w:r>
      <w:r w:rsidRPr="00412A9C">
        <w:rPr>
          <w:rFonts w:ascii="新細明體" w:hAnsi="新細明體" w:hint="eastAsia"/>
          <w:szCs w:val="22"/>
        </w:rPr>
        <w:t>經）《堅固經》</w:t>
      </w:r>
      <w:r w:rsidRPr="00412A9C">
        <w:rPr>
          <w:rFonts w:ascii="新細明體" w:cs="新細明體" w:hint="eastAsia"/>
          <w:szCs w:val="22"/>
        </w:rPr>
        <w:t>（大正</w:t>
      </w:r>
      <w:r w:rsidRPr="00761EF3">
        <w:rPr>
          <w:rFonts w:eastAsia="SimSun" w:hint="eastAsia"/>
          <w:szCs w:val="22"/>
        </w:rPr>
        <w:t>1</w:t>
      </w:r>
      <w:r w:rsidRPr="00412A9C">
        <w:rPr>
          <w:rFonts w:ascii="新細明體" w:cs="新細明體" w:hint="eastAsia"/>
          <w:szCs w:val="22"/>
        </w:rPr>
        <w:t>，</w:t>
      </w:r>
      <w:r w:rsidRPr="00761EF3">
        <w:rPr>
          <w:rFonts w:eastAsia="SimSun"/>
          <w:szCs w:val="22"/>
        </w:rPr>
        <w:t>102c14</w:t>
      </w:r>
      <w:r w:rsidRPr="00412A9C">
        <w:rPr>
          <w:rFonts w:eastAsia="SimSun"/>
          <w:szCs w:val="22"/>
        </w:rPr>
        <w:t>-</w:t>
      </w:r>
      <w:r w:rsidRPr="00761EF3">
        <w:rPr>
          <w:rFonts w:eastAsia="SimSun"/>
          <w:szCs w:val="22"/>
        </w:rPr>
        <w:t>19</w:t>
      </w:r>
      <w:r w:rsidRPr="00412A9C">
        <w:rPr>
          <w:rFonts w:ascii="新細明體" w:cs="新細明體" w:hint="eastAsia"/>
          <w:szCs w:val="22"/>
        </w:rPr>
        <w:t>）</w:t>
      </w:r>
      <w:r w:rsidRPr="00412A9C">
        <w:rPr>
          <w:rFonts w:hint="eastAsia"/>
          <w:szCs w:val="22"/>
        </w:rPr>
        <w:t>：</w:t>
      </w:r>
    </w:p>
    <w:p w:rsidR="00157EF6" w:rsidRPr="00412A9C" w:rsidRDefault="00157EF6" w:rsidP="00AA120F">
      <w:pPr>
        <w:pStyle w:val="a5"/>
        <w:ind w:leftChars="105" w:left="252"/>
        <w:jc w:val="both"/>
        <w:rPr>
          <w:rFonts w:ascii="標楷體" w:eastAsia="標楷體" w:hAnsi="標楷體"/>
          <w:szCs w:val="22"/>
        </w:rPr>
      </w:pPr>
      <w:r w:rsidRPr="00412A9C">
        <w:rPr>
          <w:rFonts w:ascii="標楷體" w:eastAsia="標楷體" w:hAnsi="標楷體" w:hint="eastAsia"/>
          <w:szCs w:val="22"/>
        </w:rPr>
        <w:t>何由無四大，地水火風滅？何由無麤</w:t>
      </w:r>
      <w:r w:rsidRPr="00620230">
        <w:rPr>
          <w:rFonts w:ascii="標楷體" w:eastAsia="標楷體" w:hAnsi="標楷體" w:hint="eastAsia"/>
          <w:szCs w:val="22"/>
          <w:highlight w:val="yellow"/>
        </w:rPr>
        <w:t>細及</w:t>
      </w:r>
      <w:r w:rsidRPr="00412A9C">
        <w:rPr>
          <w:rFonts w:ascii="標楷體" w:eastAsia="標楷體" w:hAnsi="標楷體" w:hint="eastAsia"/>
          <w:szCs w:val="22"/>
        </w:rPr>
        <w:t>長短好醜？</w:t>
      </w:r>
    </w:p>
    <w:p w:rsidR="00157EF6" w:rsidRPr="00412A9C" w:rsidRDefault="00157EF6" w:rsidP="00AA120F">
      <w:pPr>
        <w:pStyle w:val="a5"/>
        <w:ind w:leftChars="105" w:left="252"/>
        <w:jc w:val="both"/>
        <w:rPr>
          <w:rFonts w:ascii="標楷體" w:eastAsia="標楷體" w:hAnsi="標楷體"/>
          <w:szCs w:val="22"/>
        </w:rPr>
      </w:pPr>
      <w:r w:rsidRPr="00412A9C">
        <w:rPr>
          <w:rFonts w:ascii="標楷體" w:eastAsia="標楷體" w:hAnsi="標楷體" w:hint="eastAsia"/>
          <w:szCs w:val="22"/>
        </w:rPr>
        <w:t>何由無名色，永滅無有餘？應答</w:t>
      </w:r>
      <w:r w:rsidR="00620230" w:rsidRPr="00620230">
        <w:rPr>
          <w:rFonts w:ascii="標楷體" w:eastAsia="標楷體" w:hAnsi="標楷體" w:hint="eastAsia"/>
          <w:color w:val="FF0000"/>
          <w:szCs w:val="22"/>
          <w:highlight w:val="yellow"/>
        </w:rPr>
        <w:t>：</w:t>
      </w:r>
      <w:r w:rsidRPr="00412A9C">
        <w:rPr>
          <w:rFonts w:ascii="標楷體" w:eastAsia="標楷體" w:hAnsi="標楷體" w:hint="eastAsia"/>
          <w:b/>
          <w:szCs w:val="22"/>
        </w:rPr>
        <w:t>識</w:t>
      </w:r>
      <w:r w:rsidRPr="00412A9C">
        <w:rPr>
          <w:rFonts w:ascii="標楷體" w:eastAsia="標楷體" w:hAnsi="標楷體" w:hint="eastAsia"/>
          <w:szCs w:val="22"/>
        </w:rPr>
        <w:t>無形，無量自有光。</w:t>
      </w:r>
    </w:p>
    <w:p w:rsidR="00157EF6" w:rsidRPr="00412A9C" w:rsidRDefault="00157EF6" w:rsidP="00AA120F">
      <w:pPr>
        <w:pStyle w:val="a5"/>
        <w:ind w:leftChars="105" w:left="252"/>
        <w:jc w:val="both"/>
        <w:rPr>
          <w:rFonts w:eastAsia="SimSun"/>
          <w:b/>
          <w:szCs w:val="22"/>
        </w:rPr>
      </w:pPr>
      <w:r w:rsidRPr="00412A9C">
        <w:rPr>
          <w:rFonts w:ascii="標楷體" w:eastAsia="標楷體" w:hAnsi="標楷體" w:hint="eastAsia"/>
          <w:b/>
          <w:szCs w:val="22"/>
        </w:rPr>
        <w:t>此滅</w:t>
      </w:r>
      <w:r w:rsidR="00620230" w:rsidRPr="00620230">
        <w:rPr>
          <w:rFonts w:ascii="標楷體" w:eastAsia="標楷體" w:hAnsi="標楷體" w:hint="eastAsia"/>
          <w:b/>
          <w:color w:val="FF0000"/>
          <w:szCs w:val="22"/>
          <w:highlight w:val="yellow"/>
        </w:rPr>
        <w:t>，</w:t>
      </w:r>
      <w:r w:rsidRPr="00412A9C">
        <w:rPr>
          <w:rFonts w:ascii="標楷體" w:eastAsia="標楷體" w:hAnsi="標楷體" w:hint="eastAsia"/>
          <w:b/>
          <w:szCs w:val="22"/>
        </w:rPr>
        <w:t>四大滅，麤細好醜滅，於此名色滅</w:t>
      </w:r>
      <w:r w:rsidR="00620230" w:rsidRPr="00620230">
        <w:rPr>
          <w:rFonts w:ascii="標楷體" w:eastAsia="標楷體" w:hAnsi="標楷體" w:hint="eastAsia"/>
          <w:b/>
          <w:color w:val="FF0000"/>
          <w:szCs w:val="22"/>
          <w:highlight w:val="yellow"/>
        </w:rPr>
        <w:t>；</w:t>
      </w:r>
      <w:r w:rsidRPr="00412A9C">
        <w:rPr>
          <w:rFonts w:ascii="標楷體" w:eastAsia="標楷體" w:hAnsi="標楷體" w:hint="eastAsia"/>
          <w:b/>
          <w:szCs w:val="22"/>
        </w:rPr>
        <w:t>識滅</w:t>
      </w:r>
      <w:r w:rsidR="00620230" w:rsidRPr="00620230">
        <w:rPr>
          <w:rFonts w:ascii="標楷體" w:eastAsia="標楷體" w:hAnsi="標楷體" w:hint="eastAsia"/>
          <w:b/>
          <w:color w:val="FF0000"/>
          <w:szCs w:val="22"/>
          <w:highlight w:val="yellow"/>
        </w:rPr>
        <w:t>，</w:t>
      </w:r>
      <w:r w:rsidRPr="00412A9C">
        <w:rPr>
          <w:rFonts w:ascii="標楷體" w:eastAsia="標楷體" w:hAnsi="標楷體" w:hint="eastAsia"/>
          <w:b/>
          <w:szCs w:val="22"/>
        </w:rPr>
        <w:t>餘亦滅。</w:t>
      </w:r>
    </w:p>
  </w:footnote>
  <w:footnote w:id="1052">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rFonts w:hint="eastAsia"/>
          <w:szCs w:val="22"/>
        </w:rPr>
        <w:t>（</w:t>
      </w:r>
      <w:r w:rsidRPr="00761EF3">
        <w:rPr>
          <w:rFonts w:hint="eastAsia"/>
          <w:szCs w:val="22"/>
        </w:rPr>
        <w:t>1</w:t>
      </w:r>
      <w:r w:rsidRPr="00412A9C">
        <w:rPr>
          <w:rFonts w:hint="eastAsia"/>
          <w:szCs w:val="22"/>
        </w:rPr>
        <w:t>）</w:t>
      </w:r>
      <w:r w:rsidRPr="00412A9C">
        <w:rPr>
          <w:szCs w:val="22"/>
        </w:rPr>
        <w:t>印順法師，</w:t>
      </w:r>
      <w:r w:rsidRPr="00412A9C">
        <w:rPr>
          <w:rFonts w:hint="eastAsia"/>
          <w:szCs w:val="22"/>
        </w:rPr>
        <w:t>《印度佛教思想史》，</w:t>
      </w:r>
      <w:r w:rsidRPr="00761EF3">
        <w:rPr>
          <w:rFonts w:hint="eastAsia"/>
          <w:szCs w:val="22"/>
        </w:rPr>
        <w:t>p</w:t>
      </w:r>
      <w:r w:rsidRPr="00412A9C">
        <w:rPr>
          <w:rFonts w:hint="eastAsia"/>
          <w:szCs w:val="22"/>
        </w:rPr>
        <w:t>.</w:t>
      </w:r>
      <w:r w:rsidRPr="00761EF3">
        <w:rPr>
          <w:rFonts w:hint="eastAsia"/>
          <w:szCs w:val="22"/>
        </w:rPr>
        <w:t>335</w:t>
      </w:r>
      <w:r w:rsidRPr="00412A9C">
        <w:rPr>
          <w:rFonts w:hint="eastAsia"/>
          <w:szCs w:val="22"/>
        </w:rPr>
        <w:t>：</w:t>
      </w:r>
    </w:p>
    <w:p w:rsidR="00157EF6" w:rsidRPr="00412A9C" w:rsidRDefault="00157EF6" w:rsidP="00AA120F">
      <w:pPr>
        <w:pStyle w:val="a5"/>
        <w:ind w:leftChars="335" w:left="804"/>
        <w:jc w:val="both"/>
        <w:rPr>
          <w:rFonts w:ascii="標楷體" w:eastAsia="標楷體" w:hAnsi="標楷體"/>
          <w:szCs w:val="22"/>
        </w:rPr>
      </w:pPr>
      <w:r w:rsidRPr="00412A9C">
        <w:rPr>
          <w:rFonts w:ascii="標楷體" w:eastAsia="標楷體" w:hAnsi="標楷體" w:hint="eastAsia"/>
          <w:szCs w:val="22"/>
        </w:rPr>
        <w:t>唯識的基本意義，是一切唯識現，沒有外境〔義〕的存在。然唯識並非只有心識，而是表現為</w:t>
      </w:r>
      <w:r w:rsidRPr="00412A9C">
        <w:rPr>
          <w:rFonts w:ascii="標楷體" w:eastAsia="標楷體" w:hAnsi="標楷體" w:hint="eastAsia"/>
          <w:b/>
          <w:szCs w:val="22"/>
        </w:rPr>
        <w:t>（能）見</w:t>
      </w:r>
      <w:r w:rsidRPr="00412A9C">
        <w:rPr>
          <w:rFonts w:ascii="標楷體" w:eastAsia="標楷體" w:hAnsi="標楷體" w:hint="eastAsia"/>
          <w:szCs w:val="22"/>
        </w:rPr>
        <w:t>、</w:t>
      </w:r>
      <w:r w:rsidRPr="00412A9C">
        <w:rPr>
          <w:rFonts w:ascii="標楷體" w:eastAsia="標楷體" w:hAnsi="標楷體" w:hint="eastAsia"/>
          <w:b/>
          <w:szCs w:val="22"/>
        </w:rPr>
        <w:t>（所）相</w:t>
      </w:r>
      <w:r w:rsidRPr="00412A9C">
        <w:rPr>
          <w:rFonts w:ascii="標楷體" w:eastAsia="標楷體" w:hAnsi="標楷體" w:hint="eastAsia"/>
          <w:szCs w:val="22"/>
        </w:rPr>
        <w:t>二分的。</w:t>
      </w:r>
    </w:p>
    <w:p w:rsidR="00157EF6" w:rsidRPr="00412A9C" w:rsidRDefault="00157EF6" w:rsidP="00AA120F">
      <w:pPr>
        <w:pStyle w:val="a5"/>
        <w:ind w:leftChars="105" w:left="791" w:hangingChars="245" w:hanging="539"/>
        <w:jc w:val="both"/>
        <w:rPr>
          <w:szCs w:val="22"/>
        </w:rPr>
      </w:pPr>
      <w:r w:rsidRPr="00412A9C">
        <w:rPr>
          <w:rFonts w:hint="eastAsia"/>
          <w:szCs w:val="22"/>
        </w:rPr>
        <w:t>（</w:t>
      </w:r>
      <w:r w:rsidRPr="00761EF3">
        <w:rPr>
          <w:rFonts w:hint="eastAsia"/>
          <w:szCs w:val="22"/>
        </w:rPr>
        <w:t>2</w:t>
      </w:r>
      <w:r w:rsidRPr="00412A9C">
        <w:rPr>
          <w:rFonts w:hint="eastAsia"/>
          <w:szCs w:val="22"/>
        </w:rPr>
        <w:t>）</w:t>
      </w:r>
      <w:r w:rsidRPr="00412A9C">
        <w:rPr>
          <w:szCs w:val="22"/>
        </w:rPr>
        <w:t>印順法師，《大乘起信論講記》，</w:t>
      </w:r>
      <w:r w:rsidRPr="00761EF3">
        <w:rPr>
          <w:szCs w:val="22"/>
        </w:rPr>
        <w:t>p</w:t>
      </w:r>
      <w:r w:rsidRPr="00412A9C">
        <w:rPr>
          <w:szCs w:val="22"/>
        </w:rPr>
        <w:t>.</w:t>
      </w:r>
      <w:r w:rsidRPr="00761EF3">
        <w:rPr>
          <w:szCs w:val="22"/>
        </w:rPr>
        <w:t>69</w:t>
      </w:r>
      <w:r w:rsidRPr="00412A9C">
        <w:rPr>
          <w:szCs w:val="22"/>
        </w:rPr>
        <w:t>：</w:t>
      </w:r>
    </w:p>
    <w:p w:rsidR="00157EF6" w:rsidRPr="00412A9C" w:rsidRDefault="00157EF6" w:rsidP="00AA120F">
      <w:pPr>
        <w:pStyle w:val="a5"/>
        <w:ind w:leftChars="335" w:left="804"/>
        <w:jc w:val="both"/>
        <w:rPr>
          <w:rFonts w:ascii="標楷體" w:eastAsia="標楷體" w:hAnsi="標楷體"/>
          <w:szCs w:val="22"/>
        </w:rPr>
      </w:pPr>
      <w:r w:rsidRPr="00412A9C">
        <w:rPr>
          <w:rFonts w:ascii="標楷體" w:eastAsia="標楷體" w:hAnsi="標楷體"/>
          <w:szCs w:val="22"/>
        </w:rPr>
        <w:t>虛妄分別心生起時，就有心境的對立相現前，有心就必有境：心是能知能取；所知所取的一切法，即境界相。</w:t>
      </w:r>
      <w:r w:rsidRPr="00412A9C">
        <w:rPr>
          <w:rFonts w:ascii="標楷體" w:eastAsia="標楷體" w:hAnsi="標楷體"/>
          <w:b/>
          <w:szCs w:val="22"/>
        </w:rPr>
        <w:t>唯識者說：心生時，自然而然的有相</w:t>
      </w:r>
      <w:r w:rsidRPr="00412A9C">
        <w:rPr>
          <w:rFonts w:ascii="標楷體" w:eastAsia="標楷體" w:hAnsi="標楷體" w:hint="eastAsia"/>
          <w:b/>
          <w:szCs w:val="22"/>
        </w:rPr>
        <w:t>、</w:t>
      </w:r>
      <w:r w:rsidRPr="00412A9C">
        <w:rPr>
          <w:rFonts w:ascii="標楷體" w:eastAsia="標楷體" w:hAnsi="標楷體"/>
          <w:b/>
          <w:szCs w:val="22"/>
        </w:rPr>
        <w:t>見二分。</w:t>
      </w:r>
      <w:r w:rsidRPr="00412A9C">
        <w:rPr>
          <w:rFonts w:ascii="標楷體" w:eastAsia="標楷體" w:hAnsi="標楷體"/>
          <w:szCs w:val="22"/>
        </w:rPr>
        <w:t>虛妄分別心生即有</w:t>
      </w:r>
      <w:r w:rsidRPr="00412A9C">
        <w:rPr>
          <w:rFonts w:ascii="標楷體" w:eastAsia="標楷體" w:hAnsi="標楷體"/>
          <w:b/>
          <w:szCs w:val="22"/>
        </w:rPr>
        <w:t>能緣的見分</w:t>
      </w:r>
      <w:r w:rsidRPr="00412A9C">
        <w:rPr>
          <w:rFonts w:ascii="標楷體" w:eastAsia="標楷體" w:hAnsi="標楷體"/>
          <w:szCs w:val="22"/>
        </w:rPr>
        <w:t>；而</w:t>
      </w:r>
      <w:r w:rsidRPr="00412A9C">
        <w:rPr>
          <w:rFonts w:ascii="標楷體" w:eastAsia="標楷體" w:hAnsi="標楷體"/>
          <w:b/>
          <w:szCs w:val="22"/>
        </w:rPr>
        <w:t>所緣的境相</w:t>
      </w:r>
      <w:r w:rsidRPr="00412A9C">
        <w:rPr>
          <w:rFonts w:ascii="標楷體" w:eastAsia="標楷體" w:hAnsi="標楷體"/>
          <w:szCs w:val="22"/>
        </w:rPr>
        <w:t>，即依妄念的似現而立。若離了妄念的分別心，一切境界也就都無了。如人在夢中，有種種境相現前。這夢中的種種境相，是依夢心而有的；等到一覺醒來，夢心不起，一切夢境即都失所在了。眾生的依妄念而起妄境，也是這樣。</w:t>
      </w:r>
    </w:p>
  </w:footnote>
  <w:footnote w:id="1053">
    <w:p w:rsidR="00157EF6" w:rsidRPr="00412A9C" w:rsidRDefault="00157EF6" w:rsidP="00AA120F">
      <w:pPr>
        <w:pStyle w:val="a5"/>
        <w:spacing w:line="0" w:lineRule="atLeast"/>
        <w:ind w:left="792" w:hangingChars="360" w:hanging="792"/>
        <w:jc w:val="both"/>
        <w:rPr>
          <w:rStyle w:val="old"/>
          <w:color w:val="auto"/>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w:t>
      </w:r>
      <w:r w:rsidRPr="00412A9C">
        <w:rPr>
          <w:rStyle w:val="old"/>
          <w:color w:val="auto"/>
          <w:szCs w:val="22"/>
        </w:rPr>
        <w:t>大智度論》卷</w:t>
      </w:r>
      <w:r w:rsidRPr="00761EF3">
        <w:rPr>
          <w:rStyle w:val="old"/>
          <w:color w:val="auto"/>
          <w:szCs w:val="22"/>
        </w:rPr>
        <w:t>12</w:t>
      </w:r>
      <w:r w:rsidR="00287E83">
        <w:rPr>
          <w:rFonts w:hint="eastAsia"/>
          <w:color w:val="FF0000"/>
          <w:szCs w:val="22"/>
          <w:highlight w:val="yellow"/>
        </w:rPr>
        <w:t>釋〈</w:t>
      </w:r>
      <w:r w:rsidR="00287E83">
        <w:rPr>
          <w:color w:val="FF0000"/>
          <w:szCs w:val="22"/>
          <w:highlight w:val="yellow"/>
        </w:rPr>
        <w:t xml:space="preserve">1 </w:t>
      </w:r>
      <w:r w:rsidR="00287E83">
        <w:rPr>
          <w:rFonts w:hint="eastAsia"/>
          <w:color w:val="FF0000"/>
          <w:szCs w:val="22"/>
          <w:highlight w:val="yellow"/>
        </w:rPr>
        <w:t>序品〉</w:t>
      </w:r>
      <w:r w:rsidRPr="00412A9C">
        <w:rPr>
          <w:rStyle w:val="old"/>
          <w:color w:val="auto"/>
          <w:szCs w:val="22"/>
        </w:rPr>
        <w:t>（大正</w:t>
      </w:r>
      <w:r w:rsidRPr="00761EF3">
        <w:rPr>
          <w:rStyle w:val="old"/>
          <w:color w:val="auto"/>
          <w:szCs w:val="22"/>
        </w:rPr>
        <w:t>25</w:t>
      </w:r>
      <w:r w:rsidRPr="00412A9C">
        <w:rPr>
          <w:rStyle w:val="old"/>
          <w:color w:val="auto"/>
          <w:szCs w:val="22"/>
        </w:rPr>
        <w:t>，</w:t>
      </w:r>
      <w:r w:rsidRPr="00761EF3">
        <w:rPr>
          <w:rStyle w:val="old"/>
          <w:color w:val="auto"/>
          <w:szCs w:val="22"/>
        </w:rPr>
        <w:t>148a4</w:t>
      </w:r>
      <w:r w:rsidRPr="00412A9C">
        <w:rPr>
          <w:rStyle w:val="old"/>
          <w:color w:val="auto"/>
          <w:szCs w:val="22"/>
        </w:rPr>
        <w:t>-</w:t>
      </w:r>
      <w:r w:rsidRPr="00761EF3">
        <w:rPr>
          <w:rStyle w:val="old"/>
          <w:color w:val="auto"/>
          <w:szCs w:val="22"/>
        </w:rPr>
        <w:t>20</w:t>
      </w:r>
      <w:r w:rsidRPr="00412A9C">
        <w:rPr>
          <w:rStyle w:val="old"/>
          <w:color w:val="auto"/>
          <w:szCs w:val="22"/>
        </w:rPr>
        <w:t>）：</w:t>
      </w:r>
    </w:p>
    <w:p w:rsidR="00157EF6" w:rsidRPr="00412A9C" w:rsidRDefault="00157EF6" w:rsidP="00AA120F">
      <w:pPr>
        <w:pStyle w:val="a5"/>
        <w:ind w:leftChars="335" w:left="804"/>
        <w:jc w:val="both"/>
        <w:rPr>
          <w:rStyle w:val="old"/>
          <w:rFonts w:eastAsia="標楷體"/>
          <w:color w:val="auto"/>
          <w:szCs w:val="22"/>
        </w:rPr>
      </w:pPr>
      <w:r w:rsidRPr="00412A9C">
        <w:rPr>
          <w:rStyle w:val="old"/>
          <w:rFonts w:eastAsia="標楷體"/>
          <w:b/>
          <w:color w:val="auto"/>
          <w:szCs w:val="22"/>
        </w:rPr>
        <w:t>復有</w:t>
      </w:r>
      <w:r w:rsidR="00620230" w:rsidRPr="00620230">
        <w:rPr>
          <w:rFonts w:ascii="標楷體" w:eastAsia="標楷體" w:hAnsi="標楷體" w:hint="eastAsia"/>
          <w:b/>
          <w:bCs/>
          <w:color w:val="FF0000"/>
          <w:kern w:val="0"/>
          <w:highlight w:val="yellow"/>
        </w:rPr>
        <w:t>「</w:t>
      </w:r>
      <w:r w:rsidRPr="00620230">
        <w:rPr>
          <w:rStyle w:val="old"/>
          <w:rFonts w:eastAsia="標楷體"/>
          <w:b/>
          <w:color w:val="auto"/>
          <w:szCs w:val="22"/>
        </w:rPr>
        <w:t>觀空</w:t>
      </w:r>
      <w:r w:rsidR="00620230" w:rsidRPr="00620230">
        <w:rPr>
          <w:rFonts w:ascii="標楷體" w:eastAsia="標楷體" w:hAnsi="標楷體" w:hint="eastAsia"/>
          <w:b/>
          <w:bCs/>
          <w:color w:val="FF0000"/>
          <w:kern w:val="0"/>
          <w:highlight w:val="yellow"/>
        </w:rPr>
        <w:t>」</w:t>
      </w:r>
      <w:r w:rsidRPr="00620230">
        <w:rPr>
          <w:rStyle w:val="old"/>
          <w:rFonts w:eastAsia="標楷體"/>
          <w:b/>
          <w:color w:val="auto"/>
          <w:szCs w:val="22"/>
        </w:rPr>
        <w:t>：是疊</w:t>
      </w:r>
      <w:r w:rsidR="00620230" w:rsidRPr="00620230">
        <w:rPr>
          <w:rFonts w:ascii="標楷體" w:eastAsia="標楷體" w:hAnsi="標楷體" w:hint="eastAsia"/>
          <w:b/>
          <w:color w:val="FF0000"/>
          <w:kern w:val="0"/>
          <w:highlight w:val="yellow"/>
        </w:rPr>
        <w:t>，</w:t>
      </w:r>
      <w:r w:rsidRPr="00412A9C">
        <w:rPr>
          <w:rStyle w:val="old"/>
          <w:rFonts w:eastAsia="標楷體"/>
          <w:b/>
          <w:color w:val="auto"/>
          <w:szCs w:val="22"/>
        </w:rPr>
        <w:t>隨心有</w:t>
      </w:r>
      <w:r w:rsidRPr="00412A9C">
        <w:rPr>
          <w:rStyle w:val="old"/>
          <w:rFonts w:eastAsia="標楷體"/>
          <w:color w:val="auto"/>
          <w:szCs w:val="22"/>
        </w:rPr>
        <w:t>。如坐禪</w:t>
      </w:r>
      <w:r w:rsidRPr="00620230">
        <w:rPr>
          <w:rStyle w:val="old"/>
          <w:rFonts w:eastAsia="標楷體"/>
          <w:color w:val="auto"/>
          <w:szCs w:val="22"/>
          <w:highlight w:val="yellow"/>
        </w:rPr>
        <w:t>人觀</w:t>
      </w:r>
      <w:r w:rsidRPr="00412A9C">
        <w:rPr>
          <w:rStyle w:val="old"/>
          <w:rFonts w:eastAsia="標楷體"/>
          <w:color w:val="auto"/>
          <w:szCs w:val="22"/>
        </w:rPr>
        <w:t>疊或作地、或作水、或作火、或作風</w:t>
      </w:r>
      <w:r w:rsidRPr="00412A9C">
        <w:rPr>
          <w:rStyle w:val="old"/>
          <w:rFonts w:eastAsia="標楷體" w:hint="eastAsia"/>
          <w:color w:val="auto"/>
          <w:szCs w:val="22"/>
        </w:rPr>
        <w:t>，</w:t>
      </w:r>
      <w:r w:rsidRPr="00412A9C">
        <w:rPr>
          <w:rStyle w:val="old"/>
          <w:rFonts w:eastAsia="標楷體"/>
          <w:color w:val="auto"/>
          <w:szCs w:val="22"/>
        </w:rPr>
        <w:t>或青、或黃、或白、或赤</w:t>
      </w:r>
      <w:r w:rsidR="00620230">
        <w:rPr>
          <w:rFonts w:ascii="標楷體" w:eastAsia="標楷體" w:hAnsi="標楷體" w:hint="eastAsia"/>
          <w:color w:val="FF0000"/>
          <w:kern w:val="0"/>
          <w:highlight w:val="yellow"/>
        </w:rPr>
        <w:t>，</w:t>
      </w:r>
      <w:r w:rsidRPr="00412A9C">
        <w:rPr>
          <w:rStyle w:val="old"/>
          <w:rFonts w:eastAsia="標楷體"/>
          <w:color w:val="auto"/>
          <w:szCs w:val="22"/>
        </w:rPr>
        <w:t>或都空，如</w:t>
      </w:r>
      <w:r w:rsidR="00620230">
        <w:rPr>
          <w:rFonts w:ascii="標楷體" w:eastAsia="標楷體" w:hAnsi="標楷體" w:hint="eastAsia"/>
          <w:bCs/>
          <w:color w:val="FF0000"/>
          <w:kern w:val="0"/>
          <w:highlight w:val="yellow"/>
        </w:rPr>
        <w:t>「</w:t>
      </w:r>
      <w:r w:rsidRPr="00412A9C">
        <w:rPr>
          <w:rStyle w:val="old"/>
          <w:rFonts w:eastAsia="標楷體"/>
          <w:b/>
          <w:color w:val="auto"/>
          <w:szCs w:val="22"/>
        </w:rPr>
        <w:t>十一切入觀</w:t>
      </w:r>
      <w:r w:rsidR="00620230">
        <w:rPr>
          <w:rFonts w:ascii="標楷體" w:eastAsia="標楷體" w:hAnsi="標楷體" w:hint="eastAsia"/>
          <w:bCs/>
          <w:color w:val="FF0000"/>
          <w:kern w:val="0"/>
          <w:highlight w:val="yellow"/>
        </w:rPr>
        <w:t>」</w:t>
      </w:r>
      <w:r w:rsidRPr="00412A9C">
        <w:rPr>
          <w:rStyle w:val="old"/>
          <w:rFonts w:eastAsia="標楷體"/>
          <w:color w:val="auto"/>
          <w:szCs w:val="22"/>
        </w:rPr>
        <w:t>。</w:t>
      </w:r>
      <w:r w:rsidRPr="00BC7376">
        <w:rPr>
          <w:rStyle w:val="old"/>
          <w:rFonts w:ascii="標楷體" w:eastAsia="標楷體" w:hAnsi="標楷體" w:hint="eastAsia"/>
          <w:color w:val="auto"/>
          <w:szCs w:val="22"/>
          <w:shd w:val="pct15" w:color="auto" w:fill="FFFFFF"/>
        </w:rPr>
        <w:t>……</w:t>
      </w:r>
    </w:p>
    <w:p w:rsidR="00157EF6" w:rsidRPr="00412A9C" w:rsidRDefault="00157EF6" w:rsidP="00AA120F">
      <w:pPr>
        <w:pStyle w:val="a5"/>
        <w:ind w:leftChars="335" w:left="804"/>
        <w:jc w:val="both"/>
        <w:rPr>
          <w:rStyle w:val="old"/>
          <w:rFonts w:eastAsia="標楷體"/>
          <w:color w:val="auto"/>
          <w:szCs w:val="22"/>
        </w:rPr>
      </w:pPr>
      <w:r w:rsidRPr="00412A9C">
        <w:rPr>
          <w:rStyle w:val="old"/>
          <w:rFonts w:eastAsia="標楷體"/>
          <w:color w:val="auto"/>
          <w:szCs w:val="22"/>
        </w:rPr>
        <w:t>復次，如一美色，婬人見之</w:t>
      </w:r>
      <w:r w:rsidR="00BC7376" w:rsidRPr="00BC7376">
        <w:rPr>
          <w:rFonts w:eastAsia="標楷體" w:hint="eastAsia"/>
          <w:color w:val="FF0000"/>
          <w:szCs w:val="22"/>
          <w:highlight w:val="yellow"/>
        </w:rPr>
        <w:t>，</w:t>
      </w:r>
      <w:r w:rsidRPr="00412A9C">
        <w:rPr>
          <w:rStyle w:val="old"/>
          <w:rFonts w:eastAsia="標楷體"/>
          <w:color w:val="auto"/>
          <w:szCs w:val="22"/>
        </w:rPr>
        <w:t>以為淨妙，心生染著；不淨觀人視之</w:t>
      </w:r>
      <w:r w:rsidRPr="00412A9C">
        <w:rPr>
          <w:rStyle w:val="old"/>
          <w:rFonts w:eastAsia="標楷體" w:hint="eastAsia"/>
          <w:color w:val="auto"/>
          <w:szCs w:val="22"/>
        </w:rPr>
        <w:t>，</w:t>
      </w:r>
      <w:r w:rsidRPr="00412A9C">
        <w:rPr>
          <w:rStyle w:val="old"/>
          <w:rFonts w:eastAsia="標楷體"/>
          <w:color w:val="auto"/>
          <w:szCs w:val="22"/>
        </w:rPr>
        <w:t>種種惡露，無一淨處；等婦見之</w:t>
      </w:r>
      <w:r w:rsidRPr="00412A9C">
        <w:rPr>
          <w:rStyle w:val="old"/>
          <w:rFonts w:eastAsia="標楷體" w:hint="eastAsia"/>
          <w:color w:val="auto"/>
          <w:szCs w:val="22"/>
        </w:rPr>
        <w:t>，</w:t>
      </w:r>
      <w:r w:rsidRPr="00412A9C">
        <w:rPr>
          <w:rStyle w:val="old"/>
          <w:rFonts w:eastAsia="標楷體"/>
          <w:color w:val="auto"/>
          <w:szCs w:val="22"/>
        </w:rPr>
        <w:t>妒瞋憎惡，目不欲見，以為不淨。婬人觀之為樂</w:t>
      </w:r>
      <w:r w:rsidR="00BC7376">
        <w:rPr>
          <w:rStyle w:val="old"/>
          <w:rFonts w:eastAsia="標楷體" w:hint="eastAsia"/>
          <w:color w:val="FF0000"/>
          <w:szCs w:val="22"/>
          <w:highlight w:val="yellow"/>
        </w:rPr>
        <w:t>；</w:t>
      </w:r>
      <w:r w:rsidRPr="00412A9C">
        <w:rPr>
          <w:rStyle w:val="old"/>
          <w:rFonts w:eastAsia="標楷體"/>
          <w:color w:val="auto"/>
          <w:szCs w:val="22"/>
        </w:rPr>
        <w:t>妒人觀之為苦</w:t>
      </w:r>
      <w:r w:rsidR="00BC7376">
        <w:rPr>
          <w:rStyle w:val="old"/>
          <w:rFonts w:eastAsia="標楷體" w:hint="eastAsia"/>
          <w:color w:val="FF0000"/>
          <w:szCs w:val="22"/>
          <w:highlight w:val="yellow"/>
        </w:rPr>
        <w:t>；</w:t>
      </w:r>
      <w:r w:rsidRPr="00412A9C">
        <w:rPr>
          <w:rStyle w:val="old"/>
          <w:rFonts w:eastAsia="標楷體"/>
          <w:color w:val="auto"/>
          <w:szCs w:val="22"/>
        </w:rPr>
        <w:t>行人觀之得道，無豫之人觀之</w:t>
      </w:r>
      <w:r w:rsidR="00BC7376" w:rsidRPr="00BC7376">
        <w:rPr>
          <w:rStyle w:val="old"/>
          <w:rFonts w:eastAsia="標楷體" w:hint="eastAsia"/>
          <w:color w:val="FF0000"/>
          <w:szCs w:val="22"/>
          <w:highlight w:val="yellow"/>
        </w:rPr>
        <w:t>，</w:t>
      </w:r>
      <w:r w:rsidRPr="00412A9C">
        <w:rPr>
          <w:rStyle w:val="old"/>
          <w:rFonts w:eastAsia="標楷體"/>
          <w:color w:val="auto"/>
          <w:szCs w:val="22"/>
        </w:rPr>
        <w:t>無所適莫，如見土木</w:t>
      </w:r>
      <w:r w:rsidR="00BC7376">
        <w:rPr>
          <w:rFonts w:ascii="標楷體" w:eastAsia="標楷體" w:hAnsi="標楷體" w:hint="eastAsia"/>
          <w:color w:val="FF0000"/>
          <w:kern w:val="0"/>
          <w:highlight w:val="yellow"/>
        </w:rPr>
        <w:t>──</w:t>
      </w:r>
      <w:r w:rsidRPr="00412A9C">
        <w:rPr>
          <w:rStyle w:val="old"/>
          <w:rFonts w:eastAsia="標楷體"/>
          <w:color w:val="auto"/>
          <w:szCs w:val="22"/>
        </w:rPr>
        <w:t>若此美色實淨，四種人觀皆應見淨；若實不淨，四種人觀皆應不淨。以是故知</w:t>
      </w:r>
      <w:r w:rsidR="00BC7376">
        <w:rPr>
          <w:rStyle w:val="old"/>
          <w:rFonts w:eastAsia="標楷體" w:hint="eastAsia"/>
          <w:color w:val="FF0000"/>
          <w:szCs w:val="22"/>
          <w:highlight w:val="yellow"/>
        </w:rPr>
        <w:t>：</w:t>
      </w:r>
      <w:r w:rsidRPr="00412A9C">
        <w:rPr>
          <w:rStyle w:val="old"/>
          <w:rFonts w:eastAsia="標楷體"/>
          <w:b/>
          <w:color w:val="auto"/>
          <w:szCs w:val="22"/>
        </w:rPr>
        <w:t>好醜在心，外無定也</w:t>
      </w:r>
      <w:r w:rsidR="00BC7376">
        <w:rPr>
          <w:rFonts w:hint="eastAsia"/>
          <w:color w:val="FF0000"/>
          <w:szCs w:val="22"/>
          <w:highlight w:val="yellow"/>
        </w:rPr>
        <w:t>。</w:t>
      </w:r>
      <w:r w:rsidR="00620230" w:rsidRPr="00620230">
        <w:rPr>
          <w:rFonts w:ascii="標楷體" w:eastAsia="標楷體" w:hAnsi="標楷體" w:hint="eastAsia"/>
          <w:b/>
          <w:bCs/>
          <w:color w:val="FF0000"/>
          <w:kern w:val="0"/>
          <w:highlight w:val="yellow"/>
        </w:rPr>
        <w:t>「</w:t>
      </w:r>
      <w:r w:rsidRPr="00620230">
        <w:rPr>
          <w:rStyle w:val="old"/>
          <w:rFonts w:eastAsia="標楷體"/>
          <w:b/>
          <w:color w:val="auto"/>
          <w:szCs w:val="22"/>
        </w:rPr>
        <w:t>觀空</w:t>
      </w:r>
      <w:r w:rsidR="00620230" w:rsidRPr="00620230">
        <w:rPr>
          <w:rFonts w:ascii="標楷體" w:eastAsia="標楷體" w:hAnsi="標楷體" w:hint="eastAsia"/>
          <w:b/>
          <w:bCs/>
          <w:color w:val="FF0000"/>
          <w:kern w:val="0"/>
          <w:highlight w:val="yellow"/>
        </w:rPr>
        <w:t>」</w:t>
      </w:r>
      <w:r w:rsidR="00BC7376" w:rsidRPr="00BC7376">
        <w:rPr>
          <w:rStyle w:val="old"/>
          <w:rFonts w:eastAsia="標楷體" w:hint="eastAsia"/>
          <w:b/>
          <w:color w:val="FF0000"/>
          <w:szCs w:val="22"/>
          <w:highlight w:val="yellow"/>
        </w:rPr>
        <w:t>，</w:t>
      </w:r>
      <w:r w:rsidRPr="00412A9C">
        <w:rPr>
          <w:rStyle w:val="old"/>
          <w:rFonts w:eastAsia="標楷體"/>
          <w:b/>
          <w:color w:val="auto"/>
          <w:szCs w:val="22"/>
        </w:rPr>
        <w:t>亦如是</w:t>
      </w:r>
      <w:r w:rsidRPr="00412A9C">
        <w:rPr>
          <w:rStyle w:val="old"/>
          <w:rFonts w:eastAsia="標楷體"/>
          <w:color w:val="auto"/>
          <w:szCs w:val="22"/>
        </w:rPr>
        <w:t>。</w:t>
      </w:r>
    </w:p>
    <w:p w:rsidR="00157EF6" w:rsidRPr="00412A9C" w:rsidRDefault="00157EF6" w:rsidP="00AA120F">
      <w:pPr>
        <w:pStyle w:val="a5"/>
        <w:ind w:leftChars="105" w:left="791" w:hangingChars="245" w:hanging="539"/>
        <w:jc w:val="both"/>
        <w:rPr>
          <w:rStyle w:val="old"/>
          <w:color w:val="auto"/>
          <w:szCs w:val="22"/>
        </w:rPr>
      </w:pPr>
      <w:r w:rsidRPr="00412A9C">
        <w:rPr>
          <w:szCs w:val="22"/>
        </w:rPr>
        <w:t>（</w:t>
      </w:r>
      <w:r w:rsidRPr="00761EF3">
        <w:rPr>
          <w:szCs w:val="22"/>
        </w:rPr>
        <w:t>2</w:t>
      </w:r>
      <w:r w:rsidRPr="00412A9C">
        <w:rPr>
          <w:szCs w:val="22"/>
        </w:rPr>
        <w:t>）</w:t>
      </w:r>
      <w:r w:rsidRPr="00412A9C">
        <w:rPr>
          <w:rStyle w:val="old"/>
          <w:color w:val="auto"/>
          <w:szCs w:val="22"/>
        </w:rPr>
        <w:t>《大智度論》卷</w:t>
      </w:r>
      <w:r w:rsidRPr="00761EF3">
        <w:rPr>
          <w:rStyle w:val="old"/>
          <w:color w:val="auto"/>
          <w:szCs w:val="22"/>
        </w:rPr>
        <w:t>74</w:t>
      </w:r>
      <w:r w:rsidR="00287E83">
        <w:rPr>
          <w:rFonts w:hint="eastAsia"/>
          <w:color w:val="FF0000"/>
          <w:szCs w:val="22"/>
          <w:highlight w:val="yellow"/>
        </w:rPr>
        <w:t>釋</w:t>
      </w:r>
      <w:r w:rsidR="00287E83" w:rsidRPr="00287E83">
        <w:rPr>
          <w:rFonts w:hint="eastAsia"/>
          <w:color w:val="FF0000"/>
          <w:szCs w:val="22"/>
          <w:highlight w:val="yellow"/>
        </w:rPr>
        <w:t>〈</w:t>
      </w:r>
      <w:r w:rsidR="00287E83" w:rsidRPr="00287E83">
        <w:rPr>
          <w:rFonts w:hint="eastAsia"/>
          <w:color w:val="FF0000"/>
          <w:szCs w:val="22"/>
          <w:highlight w:val="yellow"/>
        </w:rPr>
        <w:t xml:space="preserve">57 </w:t>
      </w:r>
      <w:r w:rsidR="00287E83" w:rsidRPr="00287E83">
        <w:rPr>
          <w:rFonts w:hint="eastAsia"/>
          <w:color w:val="FF0000"/>
          <w:szCs w:val="22"/>
          <w:highlight w:val="yellow"/>
        </w:rPr>
        <w:t>燈炷品〉</w:t>
      </w:r>
      <w:r w:rsidRPr="00412A9C">
        <w:rPr>
          <w:rStyle w:val="old"/>
          <w:color w:val="auto"/>
          <w:szCs w:val="22"/>
        </w:rPr>
        <w:t>（大正</w:t>
      </w:r>
      <w:r w:rsidRPr="00761EF3">
        <w:rPr>
          <w:rStyle w:val="old"/>
          <w:color w:val="auto"/>
          <w:szCs w:val="22"/>
        </w:rPr>
        <w:t>25</w:t>
      </w:r>
      <w:r w:rsidRPr="00412A9C">
        <w:rPr>
          <w:rStyle w:val="old"/>
          <w:color w:val="auto"/>
          <w:szCs w:val="22"/>
        </w:rPr>
        <w:t>，</w:t>
      </w:r>
      <w:r w:rsidRPr="00761EF3">
        <w:rPr>
          <w:rStyle w:val="old"/>
          <w:color w:val="auto"/>
          <w:szCs w:val="22"/>
        </w:rPr>
        <w:t>581b20</w:t>
      </w:r>
      <w:r w:rsidRPr="00412A9C">
        <w:rPr>
          <w:rStyle w:val="old"/>
          <w:color w:val="auto"/>
          <w:szCs w:val="22"/>
        </w:rPr>
        <w:t>-</w:t>
      </w:r>
      <w:r w:rsidRPr="00761EF3">
        <w:rPr>
          <w:rStyle w:val="old"/>
          <w:color w:val="auto"/>
          <w:szCs w:val="22"/>
        </w:rPr>
        <w:t>c3</w:t>
      </w:r>
      <w:r w:rsidRPr="00412A9C">
        <w:rPr>
          <w:rStyle w:val="old"/>
          <w:color w:val="auto"/>
          <w:szCs w:val="22"/>
        </w:rPr>
        <w:t>）：</w:t>
      </w:r>
    </w:p>
    <w:p w:rsidR="00157EF6" w:rsidRPr="00412A9C" w:rsidRDefault="00157EF6" w:rsidP="00AA120F">
      <w:pPr>
        <w:pStyle w:val="a5"/>
        <w:ind w:leftChars="335" w:left="1464" w:hangingChars="300" w:hanging="660"/>
        <w:jc w:val="both"/>
        <w:rPr>
          <w:rFonts w:eastAsia="標楷體"/>
          <w:szCs w:val="22"/>
        </w:rPr>
      </w:pPr>
      <w:r w:rsidRPr="00412A9C">
        <w:rPr>
          <w:rFonts w:eastAsia="標楷體"/>
          <w:szCs w:val="22"/>
        </w:rPr>
        <w:t>問曰：此中說空等法深，是何等空？</w:t>
      </w:r>
    </w:p>
    <w:p w:rsidR="00157EF6" w:rsidRPr="00412A9C" w:rsidRDefault="00157EF6" w:rsidP="00AA120F">
      <w:pPr>
        <w:pStyle w:val="a5"/>
        <w:ind w:leftChars="335" w:left="1464" w:hangingChars="300" w:hanging="660"/>
        <w:jc w:val="both"/>
        <w:rPr>
          <w:rFonts w:eastAsia="標楷體"/>
          <w:szCs w:val="22"/>
        </w:rPr>
      </w:pPr>
      <w:r w:rsidRPr="00412A9C">
        <w:rPr>
          <w:rFonts w:eastAsia="標楷體"/>
          <w:szCs w:val="22"/>
        </w:rPr>
        <w:t>答曰：有人言：</w:t>
      </w:r>
      <w:r w:rsidRPr="00412A9C">
        <w:rPr>
          <w:rFonts w:eastAsia="標楷體"/>
          <w:b/>
          <w:szCs w:val="22"/>
        </w:rPr>
        <w:t>三三昧</w:t>
      </w:r>
      <w:r w:rsidRPr="00412A9C">
        <w:rPr>
          <w:rFonts w:ascii="新細明體" w:hAnsi="新細明體"/>
          <w:b/>
          <w:szCs w:val="22"/>
        </w:rPr>
        <w:t>──</w:t>
      </w:r>
      <w:r w:rsidRPr="00412A9C">
        <w:rPr>
          <w:rFonts w:eastAsia="標楷體"/>
          <w:b/>
          <w:szCs w:val="22"/>
        </w:rPr>
        <w:t>空、無相、無作</w:t>
      </w:r>
      <w:r w:rsidRPr="00412A9C">
        <w:rPr>
          <w:rFonts w:eastAsia="標楷體"/>
          <w:szCs w:val="22"/>
        </w:rPr>
        <w:t>；心數法名為定</w:t>
      </w:r>
      <w:r w:rsidR="00431CA6" w:rsidRPr="007350A0">
        <w:rPr>
          <w:rFonts w:hint="eastAsia"/>
          <w:szCs w:val="22"/>
          <w:shd w:val="pct15" w:color="auto" w:fill="FFFFFF"/>
          <w:vertAlign w:val="superscript"/>
        </w:rPr>
        <w:t>※</w:t>
      </w:r>
      <w:r w:rsidRPr="00412A9C">
        <w:rPr>
          <w:rStyle w:val="old"/>
          <w:rFonts w:eastAsia="標楷體"/>
          <w:color w:val="auto"/>
          <w:szCs w:val="22"/>
        </w:rPr>
        <w:t>，</w:t>
      </w:r>
      <w:r w:rsidRPr="00412A9C">
        <w:rPr>
          <w:rFonts w:eastAsia="標楷體"/>
          <w:szCs w:val="22"/>
        </w:rPr>
        <w:t>定</w:t>
      </w:r>
      <w:r w:rsidR="00431CA6" w:rsidRPr="007350A0">
        <w:rPr>
          <w:rFonts w:hint="eastAsia"/>
          <w:szCs w:val="22"/>
          <w:shd w:val="pct15" w:color="auto" w:fill="FFFFFF"/>
          <w:vertAlign w:val="superscript"/>
        </w:rPr>
        <w:t>※</w:t>
      </w:r>
      <w:r w:rsidRPr="00412A9C">
        <w:rPr>
          <w:rFonts w:eastAsia="標楷體"/>
          <w:szCs w:val="22"/>
        </w:rPr>
        <w:t>故能觀諸法空。</w:t>
      </w:r>
    </w:p>
    <w:p w:rsidR="00157EF6" w:rsidRPr="00412A9C" w:rsidRDefault="00157EF6" w:rsidP="00AB5352">
      <w:pPr>
        <w:pStyle w:val="a5"/>
        <w:ind w:leftChars="610" w:left="1464"/>
        <w:jc w:val="both"/>
        <w:rPr>
          <w:rFonts w:eastAsia="標楷體"/>
          <w:b/>
          <w:szCs w:val="22"/>
        </w:rPr>
      </w:pPr>
      <w:r w:rsidRPr="00412A9C">
        <w:rPr>
          <w:rFonts w:eastAsia="標楷體"/>
          <w:szCs w:val="22"/>
        </w:rPr>
        <w:t>有人言：</w:t>
      </w:r>
      <w:r w:rsidRPr="00412A9C">
        <w:rPr>
          <w:rFonts w:eastAsia="標楷體"/>
          <w:b/>
          <w:szCs w:val="22"/>
        </w:rPr>
        <w:t>外所緣色等諸法皆空，緣外空故，名為</w:t>
      </w:r>
      <w:r w:rsidR="00431CA6">
        <w:rPr>
          <w:rFonts w:ascii="標楷體" w:eastAsia="標楷體" w:hAnsi="標楷體" w:hint="eastAsia"/>
          <w:bCs/>
          <w:color w:val="FF0000"/>
          <w:kern w:val="0"/>
          <w:highlight w:val="yellow"/>
        </w:rPr>
        <w:t>「</w:t>
      </w:r>
      <w:r w:rsidRPr="00412A9C">
        <w:rPr>
          <w:rFonts w:eastAsia="標楷體"/>
          <w:b/>
          <w:szCs w:val="22"/>
        </w:rPr>
        <w:t>空三昧</w:t>
      </w:r>
      <w:r w:rsidR="00431CA6">
        <w:rPr>
          <w:rFonts w:ascii="標楷體" w:eastAsia="標楷體" w:hAnsi="標楷體" w:hint="eastAsia"/>
          <w:bCs/>
          <w:color w:val="FF0000"/>
          <w:kern w:val="0"/>
          <w:highlight w:val="yellow"/>
        </w:rPr>
        <w:t>」</w:t>
      </w:r>
      <w:r w:rsidRPr="00412A9C">
        <w:rPr>
          <w:rFonts w:eastAsia="標楷體"/>
          <w:b/>
          <w:szCs w:val="22"/>
        </w:rPr>
        <w:t>。</w:t>
      </w:r>
    </w:p>
    <w:p w:rsidR="00157EF6" w:rsidRDefault="00157EF6" w:rsidP="00AB5352">
      <w:pPr>
        <w:pStyle w:val="a5"/>
        <w:ind w:leftChars="610" w:left="1464"/>
        <w:jc w:val="both"/>
        <w:rPr>
          <w:rStyle w:val="old"/>
          <w:rFonts w:eastAsia="標楷體"/>
          <w:b/>
          <w:color w:val="auto"/>
          <w:szCs w:val="22"/>
        </w:rPr>
      </w:pPr>
      <w:r w:rsidRPr="00412A9C">
        <w:rPr>
          <w:rFonts w:eastAsia="標楷體"/>
          <w:szCs w:val="22"/>
        </w:rPr>
        <w:t>此中</w:t>
      </w:r>
      <w:r w:rsidR="00431CA6">
        <w:rPr>
          <w:rFonts w:ascii="標楷體" w:eastAsia="標楷體" w:hAnsi="標楷體" w:hint="eastAsia"/>
          <w:color w:val="FF0000"/>
          <w:kern w:val="0"/>
          <w:highlight w:val="yellow"/>
        </w:rPr>
        <w:t>，</w:t>
      </w:r>
      <w:r w:rsidRPr="00412A9C">
        <w:rPr>
          <w:rFonts w:eastAsia="標楷體"/>
          <w:szCs w:val="22"/>
        </w:rPr>
        <w:t>佛說</w:t>
      </w:r>
      <w:r w:rsidR="00431CA6">
        <w:rPr>
          <w:rFonts w:ascii="標楷體" w:eastAsia="標楷體" w:hAnsi="標楷體" w:hint="eastAsia"/>
          <w:color w:val="FF0000"/>
          <w:kern w:val="0"/>
          <w:highlight w:val="yellow"/>
        </w:rPr>
        <w:t>，</w:t>
      </w:r>
      <w:r w:rsidRPr="00412A9C">
        <w:rPr>
          <w:rFonts w:eastAsia="標楷體"/>
          <w:szCs w:val="22"/>
        </w:rPr>
        <w:t>不以</w:t>
      </w:r>
      <w:r w:rsidR="00431CA6">
        <w:rPr>
          <w:rFonts w:ascii="標楷體" w:eastAsia="標楷體" w:hAnsi="標楷體" w:hint="eastAsia"/>
          <w:bCs/>
          <w:color w:val="FF0000"/>
          <w:kern w:val="0"/>
          <w:highlight w:val="yellow"/>
        </w:rPr>
        <w:t>「</w:t>
      </w:r>
      <w:r w:rsidRPr="00412A9C">
        <w:rPr>
          <w:rFonts w:eastAsia="標楷體"/>
          <w:szCs w:val="22"/>
        </w:rPr>
        <w:t>空三</w:t>
      </w:r>
      <w:r w:rsidR="00431CA6">
        <w:rPr>
          <w:rFonts w:ascii="標楷體" w:eastAsia="標楷體" w:hAnsi="標楷體" w:hint="eastAsia"/>
          <w:bCs/>
          <w:color w:val="FF0000"/>
          <w:kern w:val="0"/>
          <w:highlight w:val="yellow"/>
        </w:rPr>
        <w:t>」</w:t>
      </w:r>
      <w:r w:rsidRPr="00412A9C">
        <w:rPr>
          <w:rFonts w:eastAsia="標楷體"/>
          <w:szCs w:val="22"/>
        </w:rPr>
        <w:t>昧故空，亦不以</w:t>
      </w:r>
      <w:r w:rsidR="00431CA6">
        <w:rPr>
          <w:rFonts w:ascii="標楷體" w:eastAsia="標楷體" w:hAnsi="標楷體" w:hint="eastAsia"/>
          <w:bCs/>
          <w:color w:val="FF0000"/>
          <w:kern w:val="0"/>
          <w:highlight w:val="yellow"/>
        </w:rPr>
        <w:t>「</w:t>
      </w:r>
      <w:r w:rsidRPr="00412A9C">
        <w:rPr>
          <w:rFonts w:eastAsia="標楷體"/>
          <w:szCs w:val="22"/>
        </w:rPr>
        <w:t>所緣外色等諸法</w:t>
      </w:r>
      <w:r w:rsidR="00431CA6">
        <w:rPr>
          <w:rFonts w:ascii="標楷體" w:eastAsia="標楷體" w:hAnsi="標楷體" w:hint="eastAsia"/>
          <w:bCs/>
          <w:color w:val="FF0000"/>
          <w:kern w:val="0"/>
          <w:highlight w:val="yellow"/>
        </w:rPr>
        <w:t>」</w:t>
      </w:r>
      <w:r w:rsidRPr="00412A9C">
        <w:rPr>
          <w:rFonts w:eastAsia="標楷體"/>
          <w:szCs w:val="22"/>
        </w:rPr>
        <w:t>故空。何以故？若</w:t>
      </w:r>
      <w:r w:rsidR="00431CA6">
        <w:rPr>
          <w:rFonts w:ascii="標楷體" w:eastAsia="標楷體" w:hAnsi="標楷體" w:hint="eastAsia"/>
          <w:bCs/>
          <w:color w:val="FF0000"/>
          <w:kern w:val="0"/>
          <w:highlight w:val="yellow"/>
        </w:rPr>
        <w:t>「</w:t>
      </w:r>
      <w:r w:rsidRPr="00412A9C">
        <w:rPr>
          <w:rFonts w:eastAsia="標楷體"/>
          <w:szCs w:val="22"/>
        </w:rPr>
        <w:t>外法不實空，以三昧力故空</w:t>
      </w:r>
      <w:r w:rsidR="00431CA6">
        <w:rPr>
          <w:rFonts w:ascii="標楷體" w:eastAsia="標楷體" w:hAnsi="標楷體" w:hint="eastAsia"/>
          <w:bCs/>
          <w:color w:val="FF0000"/>
          <w:kern w:val="0"/>
          <w:highlight w:val="yellow"/>
        </w:rPr>
        <w:t>」</w:t>
      </w:r>
      <w:r w:rsidRPr="00412A9C">
        <w:rPr>
          <w:rFonts w:eastAsia="標楷體"/>
          <w:szCs w:val="22"/>
        </w:rPr>
        <w:t>者，是虛妄不實。若</w:t>
      </w:r>
      <w:r w:rsidR="00431CA6">
        <w:rPr>
          <w:rFonts w:ascii="標楷體" w:eastAsia="標楷體" w:hAnsi="標楷體" w:hint="eastAsia"/>
          <w:bCs/>
          <w:color w:val="FF0000"/>
          <w:kern w:val="0"/>
          <w:highlight w:val="yellow"/>
        </w:rPr>
        <w:t>「</w:t>
      </w:r>
      <w:r w:rsidRPr="00412A9C">
        <w:rPr>
          <w:rFonts w:eastAsia="標楷體"/>
          <w:szCs w:val="22"/>
        </w:rPr>
        <w:t>緣外空故生三昧</w:t>
      </w:r>
      <w:r w:rsidR="00431CA6">
        <w:rPr>
          <w:rFonts w:ascii="標楷體" w:eastAsia="標楷體" w:hAnsi="標楷體" w:hint="eastAsia"/>
          <w:bCs/>
          <w:color w:val="FF0000"/>
          <w:kern w:val="0"/>
          <w:highlight w:val="yellow"/>
        </w:rPr>
        <w:t>」</w:t>
      </w:r>
      <w:r w:rsidRPr="00412A9C">
        <w:rPr>
          <w:rFonts w:eastAsia="標楷體"/>
          <w:szCs w:val="22"/>
        </w:rPr>
        <w:t>者，是亦不然！所以者何？若</w:t>
      </w:r>
      <w:r w:rsidR="00431CA6">
        <w:rPr>
          <w:rFonts w:ascii="標楷體" w:eastAsia="標楷體" w:hAnsi="標楷體" w:hint="eastAsia"/>
          <w:bCs/>
          <w:color w:val="FF0000"/>
          <w:kern w:val="0"/>
          <w:highlight w:val="yellow"/>
        </w:rPr>
        <w:t>「</w:t>
      </w:r>
      <w:r w:rsidRPr="00412A9C">
        <w:rPr>
          <w:rFonts w:eastAsia="標楷體"/>
          <w:szCs w:val="22"/>
        </w:rPr>
        <w:t>色等法實是空相</w:t>
      </w:r>
      <w:r w:rsidR="00431CA6">
        <w:rPr>
          <w:rFonts w:ascii="標楷體" w:eastAsia="標楷體" w:hAnsi="標楷體" w:hint="eastAsia"/>
          <w:bCs/>
          <w:color w:val="FF0000"/>
          <w:kern w:val="0"/>
          <w:highlight w:val="yellow"/>
        </w:rPr>
        <w:t>」</w:t>
      </w:r>
      <w:r w:rsidRPr="00412A9C">
        <w:rPr>
          <w:rFonts w:eastAsia="標楷體"/>
          <w:szCs w:val="22"/>
        </w:rPr>
        <w:t>，則不能生空三昧</w:t>
      </w:r>
      <w:r w:rsidR="00431CA6">
        <w:rPr>
          <w:rFonts w:ascii="標楷體" w:eastAsia="標楷體" w:hAnsi="標楷體" w:hint="eastAsia"/>
          <w:color w:val="FF0000"/>
          <w:spacing w:val="-4"/>
          <w:kern w:val="0"/>
          <w:highlight w:val="yellow"/>
        </w:rPr>
        <w:t>；</w:t>
      </w:r>
      <w:r w:rsidRPr="00412A9C">
        <w:rPr>
          <w:rFonts w:eastAsia="標楷體"/>
          <w:szCs w:val="22"/>
        </w:rPr>
        <w:t>若生空三昧</w:t>
      </w:r>
      <w:r w:rsidR="00431CA6">
        <w:rPr>
          <w:rFonts w:ascii="標楷體" w:eastAsia="標楷體" w:hAnsi="標楷體" w:hint="eastAsia"/>
          <w:color w:val="FF0000"/>
          <w:kern w:val="0"/>
          <w:highlight w:val="yellow"/>
        </w:rPr>
        <w:t>，</w:t>
      </w:r>
      <w:r w:rsidRPr="00412A9C">
        <w:rPr>
          <w:rFonts w:eastAsia="標楷體"/>
          <w:szCs w:val="22"/>
        </w:rPr>
        <w:t>則非是空。</w:t>
      </w:r>
      <w:r w:rsidRPr="00412A9C">
        <w:rPr>
          <w:rFonts w:eastAsia="標楷體"/>
          <w:b/>
          <w:szCs w:val="22"/>
        </w:rPr>
        <w:t>此中說</w:t>
      </w:r>
      <w:r w:rsidR="00431CA6">
        <w:rPr>
          <w:rFonts w:ascii="標楷體" w:eastAsia="標楷體" w:hAnsi="標楷體" w:hint="eastAsia"/>
          <w:color w:val="FF0000"/>
          <w:spacing w:val="-4"/>
          <w:kern w:val="0"/>
          <w:highlight w:val="yellow"/>
        </w:rPr>
        <w:t>：</w:t>
      </w:r>
      <w:r w:rsidRPr="00412A9C">
        <w:rPr>
          <w:rFonts w:eastAsia="標楷體"/>
          <w:b/>
          <w:szCs w:val="22"/>
        </w:rPr>
        <w:t>離是二邊</w:t>
      </w:r>
      <w:r w:rsidR="00431CA6">
        <w:rPr>
          <w:rFonts w:ascii="標楷體" w:eastAsia="標楷體" w:hAnsi="標楷體" w:hint="eastAsia"/>
          <w:color w:val="FF0000"/>
          <w:kern w:val="0"/>
          <w:highlight w:val="yellow"/>
        </w:rPr>
        <w:t>，</w:t>
      </w:r>
      <w:r w:rsidRPr="00412A9C">
        <w:rPr>
          <w:rFonts w:eastAsia="標楷體"/>
          <w:b/>
          <w:szCs w:val="22"/>
        </w:rPr>
        <w:t>說中道，所謂諸法</w:t>
      </w:r>
      <w:r w:rsidR="00431CA6">
        <w:rPr>
          <w:rFonts w:ascii="標楷體" w:eastAsia="標楷體" w:hAnsi="標楷體" w:hint="eastAsia"/>
          <w:color w:val="FF0000"/>
          <w:kern w:val="0"/>
          <w:highlight w:val="yellow"/>
        </w:rPr>
        <w:t>，</w:t>
      </w:r>
      <w:r w:rsidRPr="00412A9C">
        <w:rPr>
          <w:rStyle w:val="old"/>
          <w:rFonts w:eastAsia="標楷體"/>
          <w:b/>
          <w:color w:val="auto"/>
          <w:szCs w:val="22"/>
        </w:rPr>
        <w:t>因緣和合生，是和合法無有一定法故空。何以故？因緣生法無自性，無自性故即是畢竟空。</w:t>
      </w:r>
    </w:p>
    <w:p w:rsidR="00431CA6" w:rsidRPr="00412A9C" w:rsidRDefault="00431CA6" w:rsidP="00431CA6">
      <w:pPr>
        <w:pStyle w:val="a5"/>
        <w:ind w:leftChars="300" w:left="720"/>
        <w:jc w:val="both"/>
        <w:rPr>
          <w:rStyle w:val="old"/>
          <w:rFonts w:eastAsia="標楷體"/>
          <w:color w:val="auto"/>
          <w:szCs w:val="22"/>
          <w:u w:val="single"/>
        </w:rPr>
      </w:pPr>
      <w:r w:rsidRPr="007350A0">
        <w:rPr>
          <w:rFonts w:hint="eastAsia"/>
          <w:szCs w:val="22"/>
          <w:shd w:val="pct15" w:color="auto" w:fill="FFFFFF"/>
        </w:rPr>
        <w:t>※</w:t>
      </w:r>
      <w:r w:rsidRPr="00212D57">
        <w:rPr>
          <w:rFonts w:hint="eastAsia"/>
          <w:szCs w:val="22"/>
        </w:rPr>
        <w:t>案：《大正藏》作「</w:t>
      </w:r>
      <w:r w:rsidRPr="007350A0">
        <w:rPr>
          <w:rFonts w:ascii="標楷體" w:eastAsia="標楷體" w:hAnsi="標楷體" w:hint="eastAsia"/>
          <w:szCs w:val="22"/>
        </w:rPr>
        <w:t>定</w:t>
      </w:r>
      <w:r w:rsidRPr="00212D57">
        <w:rPr>
          <w:rFonts w:hint="eastAsia"/>
          <w:szCs w:val="22"/>
        </w:rPr>
        <w:t>」，但</w:t>
      </w:r>
      <w:r w:rsidRPr="00212D57">
        <w:rPr>
          <w:szCs w:val="22"/>
        </w:rPr>
        <w:t>【宋】【元】【明】【宮】【石】</w:t>
      </w:r>
      <w:r w:rsidRPr="00212D57">
        <w:rPr>
          <w:rFonts w:hint="eastAsia"/>
          <w:szCs w:val="22"/>
        </w:rPr>
        <w:t>作「</w:t>
      </w:r>
      <w:r w:rsidRPr="007350A0">
        <w:rPr>
          <w:rFonts w:ascii="標楷體" w:eastAsia="標楷體" w:hAnsi="標楷體" w:hint="eastAsia"/>
          <w:szCs w:val="22"/>
        </w:rPr>
        <w:t>空</w:t>
      </w:r>
      <w:r w:rsidRPr="00212D57">
        <w:rPr>
          <w:rFonts w:hint="eastAsia"/>
          <w:szCs w:val="22"/>
        </w:rPr>
        <w:t>」。</w:t>
      </w:r>
    </w:p>
    <w:p w:rsidR="00157EF6" w:rsidRPr="00412A9C" w:rsidRDefault="00157EF6" w:rsidP="00AA120F">
      <w:pPr>
        <w:pStyle w:val="a5"/>
        <w:ind w:leftChars="105" w:left="791" w:hangingChars="245" w:hanging="539"/>
        <w:jc w:val="both"/>
        <w:rPr>
          <w:rFonts w:eastAsia="標楷體"/>
          <w:szCs w:val="22"/>
        </w:rPr>
      </w:pPr>
      <w:r w:rsidRPr="00412A9C">
        <w:rPr>
          <w:szCs w:val="22"/>
        </w:rPr>
        <w:t>（</w:t>
      </w:r>
      <w:r w:rsidRPr="00761EF3">
        <w:rPr>
          <w:szCs w:val="22"/>
        </w:rPr>
        <w:t>3</w:t>
      </w:r>
      <w:r w:rsidRPr="00412A9C">
        <w:rPr>
          <w:szCs w:val="22"/>
        </w:rPr>
        <w:t>）</w:t>
      </w:r>
      <w:r w:rsidR="009160B5">
        <w:rPr>
          <w:szCs w:val="22"/>
        </w:rPr>
        <w:t>參見：印</w:t>
      </w:r>
      <w:r w:rsidRPr="00412A9C">
        <w:rPr>
          <w:szCs w:val="22"/>
        </w:rPr>
        <w:t>順</w:t>
      </w:r>
      <w:r w:rsidRPr="00412A9C">
        <w:rPr>
          <w:rFonts w:hint="eastAsia"/>
          <w:szCs w:val="22"/>
        </w:rPr>
        <w:t>法師</w:t>
      </w:r>
      <w:r w:rsidRPr="00412A9C">
        <w:rPr>
          <w:szCs w:val="22"/>
        </w:rPr>
        <w:t>，《中觀今論》，第</w:t>
      </w:r>
      <w:r w:rsidRPr="00761EF3">
        <w:rPr>
          <w:rFonts w:hint="eastAsia"/>
          <w:szCs w:val="22"/>
        </w:rPr>
        <w:t>5</w:t>
      </w:r>
      <w:r w:rsidRPr="00412A9C">
        <w:rPr>
          <w:szCs w:val="22"/>
        </w:rPr>
        <w:t>章</w:t>
      </w:r>
      <w:r w:rsidRPr="00412A9C">
        <w:rPr>
          <w:rFonts w:hint="eastAsia"/>
          <w:szCs w:val="22"/>
        </w:rPr>
        <w:t>，</w:t>
      </w:r>
      <w:r w:rsidRPr="00412A9C">
        <w:rPr>
          <w:szCs w:val="22"/>
        </w:rPr>
        <w:t>第</w:t>
      </w:r>
      <w:r w:rsidRPr="00761EF3">
        <w:rPr>
          <w:rFonts w:hint="eastAsia"/>
          <w:szCs w:val="22"/>
        </w:rPr>
        <w:t>3</w:t>
      </w:r>
      <w:r w:rsidRPr="00412A9C">
        <w:rPr>
          <w:szCs w:val="22"/>
        </w:rPr>
        <w:t>節〈空〉，</w:t>
      </w:r>
      <w:r w:rsidRPr="00761EF3">
        <w:rPr>
          <w:szCs w:val="22"/>
        </w:rPr>
        <w:t>pp</w:t>
      </w:r>
      <w:r w:rsidRPr="00412A9C">
        <w:rPr>
          <w:szCs w:val="22"/>
        </w:rPr>
        <w:t>.</w:t>
      </w:r>
      <w:r w:rsidRPr="00761EF3">
        <w:rPr>
          <w:szCs w:val="22"/>
        </w:rPr>
        <w:t>70</w:t>
      </w:r>
      <w:r w:rsidRPr="00412A9C">
        <w:rPr>
          <w:szCs w:val="22"/>
        </w:rPr>
        <w:t>-</w:t>
      </w:r>
      <w:r w:rsidRPr="00761EF3">
        <w:rPr>
          <w:szCs w:val="22"/>
        </w:rPr>
        <w:t>75</w:t>
      </w:r>
      <w:r w:rsidRPr="00412A9C">
        <w:rPr>
          <w:szCs w:val="22"/>
        </w:rPr>
        <w:t>。</w:t>
      </w:r>
    </w:p>
  </w:footnote>
  <w:footnote w:id="1054">
    <w:p w:rsidR="00157EF6" w:rsidRPr="00412A9C" w:rsidRDefault="00157EF6" w:rsidP="00AA120F">
      <w:pPr>
        <w:pStyle w:val="a5"/>
        <w:spacing w:line="0" w:lineRule="atLeast"/>
        <w:ind w:left="253" w:hangingChars="115" w:hanging="253"/>
        <w:jc w:val="both"/>
        <w:rPr>
          <w:rFonts w:eastAsia="SimSun"/>
          <w:szCs w:val="22"/>
        </w:rPr>
      </w:pPr>
      <w:r w:rsidRPr="00412A9C">
        <w:rPr>
          <w:rStyle w:val="a6"/>
          <w:szCs w:val="22"/>
        </w:rPr>
        <w:footnoteRef/>
      </w:r>
      <w:r>
        <w:rPr>
          <w:rFonts w:hint="eastAsia"/>
          <w:szCs w:val="22"/>
        </w:rPr>
        <w:t xml:space="preserve"> </w:t>
      </w:r>
      <w:r w:rsidRPr="00412A9C">
        <w:rPr>
          <w:rFonts w:hint="eastAsia"/>
          <w:szCs w:val="22"/>
        </w:rPr>
        <w:t>《大智度論》卷</w:t>
      </w:r>
      <w:r w:rsidRPr="00761EF3">
        <w:rPr>
          <w:rFonts w:hint="eastAsia"/>
          <w:szCs w:val="22"/>
        </w:rPr>
        <w:t>31</w:t>
      </w:r>
      <w:r w:rsidR="00EB463E">
        <w:rPr>
          <w:rFonts w:hint="eastAsia"/>
          <w:color w:val="FF0000"/>
          <w:szCs w:val="22"/>
          <w:highlight w:val="yellow"/>
        </w:rPr>
        <w:t>釋</w:t>
      </w:r>
      <w:r>
        <w:rPr>
          <w:rFonts w:hint="eastAsia"/>
          <w:szCs w:val="22"/>
        </w:rPr>
        <w:t>〈</w:t>
      </w:r>
      <w:r w:rsidRPr="00761EF3">
        <w:rPr>
          <w:rFonts w:hint="eastAsia"/>
          <w:szCs w:val="22"/>
        </w:rPr>
        <w:t>1</w:t>
      </w:r>
      <w:r>
        <w:rPr>
          <w:rFonts w:hint="eastAsia"/>
          <w:szCs w:val="22"/>
        </w:rPr>
        <w:t xml:space="preserve"> </w:t>
      </w:r>
      <w:r>
        <w:rPr>
          <w:rFonts w:hint="eastAsia"/>
          <w:szCs w:val="22"/>
        </w:rPr>
        <w:t>序品〉</w:t>
      </w:r>
      <w:r w:rsidRPr="00412A9C">
        <w:rPr>
          <w:rFonts w:ascii="新細明體" w:cs="新細明體" w:hint="eastAsia"/>
          <w:szCs w:val="22"/>
        </w:rPr>
        <w:t>（大正</w:t>
      </w:r>
      <w:r w:rsidRPr="00761EF3">
        <w:rPr>
          <w:rFonts w:eastAsia="SimSun"/>
          <w:szCs w:val="22"/>
        </w:rPr>
        <w:t>25</w:t>
      </w:r>
      <w:r w:rsidRPr="00412A9C">
        <w:rPr>
          <w:rFonts w:ascii="新細明體" w:cs="新細明體" w:hint="eastAsia"/>
          <w:szCs w:val="22"/>
        </w:rPr>
        <w:t>，</w:t>
      </w:r>
      <w:r w:rsidRPr="00761EF3">
        <w:rPr>
          <w:rFonts w:eastAsia="SimSun"/>
          <w:szCs w:val="22"/>
        </w:rPr>
        <w:t>288c29</w:t>
      </w:r>
      <w:r w:rsidRPr="00412A9C">
        <w:rPr>
          <w:rFonts w:eastAsia="SimSun"/>
          <w:szCs w:val="22"/>
        </w:rPr>
        <w:t>-</w:t>
      </w:r>
      <w:r w:rsidRPr="00761EF3">
        <w:rPr>
          <w:rFonts w:eastAsia="SimSun"/>
          <w:szCs w:val="22"/>
        </w:rPr>
        <w:t>289a5</w:t>
      </w:r>
      <w:r w:rsidRPr="00412A9C">
        <w:rPr>
          <w:rFonts w:ascii="新細明體" w:cs="新細明體" w:hint="eastAsia"/>
          <w:szCs w:val="22"/>
        </w:rPr>
        <w:t>）</w:t>
      </w:r>
      <w:r w:rsidRPr="00412A9C">
        <w:rPr>
          <w:rFonts w:hint="eastAsia"/>
          <w:szCs w:val="22"/>
        </w:rPr>
        <w:t>：</w:t>
      </w:r>
    </w:p>
    <w:p w:rsidR="00157EF6" w:rsidRPr="00412A9C" w:rsidRDefault="00186A21" w:rsidP="00AA120F">
      <w:pPr>
        <w:pStyle w:val="a5"/>
        <w:ind w:leftChars="105" w:left="252"/>
        <w:jc w:val="both"/>
        <w:rPr>
          <w:rFonts w:ascii="標楷體" w:eastAsia="標楷體" w:hAnsi="標楷體"/>
          <w:szCs w:val="22"/>
        </w:rPr>
      </w:pPr>
      <w:r>
        <w:rPr>
          <w:rFonts w:ascii="標楷體" w:eastAsia="標楷體" w:hAnsi="標楷體" w:hint="eastAsia"/>
          <w:szCs w:val="22"/>
        </w:rPr>
        <w:t>問曰</w:t>
      </w:r>
      <w:r w:rsidRPr="00186A21">
        <w:rPr>
          <w:rFonts w:ascii="標楷體" w:eastAsia="標楷體" w:hAnsi="標楷體" w:hint="eastAsia"/>
          <w:szCs w:val="22"/>
          <w:highlight w:val="yellow"/>
        </w:rPr>
        <w:t>：</w:t>
      </w:r>
      <w:r w:rsidR="00157EF6" w:rsidRPr="00186A21">
        <w:rPr>
          <w:rFonts w:ascii="標楷體" w:eastAsia="標楷體" w:hAnsi="標楷體" w:hint="eastAsia"/>
          <w:szCs w:val="22"/>
          <w:highlight w:val="yellow"/>
        </w:rPr>
        <w:t>有</w:t>
      </w:r>
      <w:r w:rsidR="00157EF6" w:rsidRPr="00412A9C">
        <w:rPr>
          <w:rFonts w:ascii="標楷體" w:eastAsia="標楷體" w:hAnsi="標楷體" w:hint="eastAsia"/>
          <w:szCs w:val="22"/>
        </w:rPr>
        <w:t>為法中，常相不可得</w:t>
      </w:r>
      <w:r>
        <w:rPr>
          <w:rFonts w:ascii="標楷體" w:eastAsia="標楷體" w:hAnsi="標楷體" w:hint="eastAsia"/>
          <w:color w:val="FF0000"/>
          <w:spacing w:val="-4"/>
          <w:kern w:val="0"/>
          <w:highlight w:val="yellow"/>
        </w:rPr>
        <w:t>；</w:t>
      </w:r>
      <w:r w:rsidR="00157EF6" w:rsidRPr="00412A9C">
        <w:rPr>
          <w:rFonts w:ascii="標楷體" w:eastAsia="標楷體" w:hAnsi="標楷體" w:hint="eastAsia"/>
          <w:szCs w:val="22"/>
        </w:rPr>
        <w:t>不可得者，為是</w:t>
      </w:r>
      <w:r>
        <w:rPr>
          <w:rFonts w:ascii="標楷體" w:eastAsia="標楷體" w:hAnsi="標楷體" w:hint="eastAsia"/>
          <w:bCs/>
          <w:color w:val="FF0000"/>
          <w:kern w:val="0"/>
          <w:highlight w:val="yellow"/>
        </w:rPr>
        <w:t>「</w:t>
      </w:r>
      <w:r w:rsidR="00157EF6" w:rsidRPr="00412A9C">
        <w:rPr>
          <w:rFonts w:ascii="標楷體" w:eastAsia="標楷體" w:hAnsi="標楷體" w:hint="eastAsia"/>
          <w:szCs w:val="22"/>
        </w:rPr>
        <w:t>眾生空</w:t>
      </w:r>
      <w:r>
        <w:rPr>
          <w:rFonts w:ascii="標楷體" w:eastAsia="標楷體" w:hAnsi="標楷體" w:hint="eastAsia"/>
          <w:bCs/>
          <w:color w:val="FF0000"/>
          <w:kern w:val="0"/>
          <w:highlight w:val="yellow"/>
        </w:rPr>
        <w:t>」</w:t>
      </w:r>
      <w:r w:rsidR="00157EF6" w:rsidRPr="00412A9C">
        <w:rPr>
          <w:rFonts w:ascii="標楷體" w:eastAsia="標楷體" w:hAnsi="標楷體" w:hint="eastAsia"/>
          <w:szCs w:val="22"/>
        </w:rPr>
        <w:t>？為是</w:t>
      </w:r>
      <w:r>
        <w:rPr>
          <w:rFonts w:ascii="標楷體" w:eastAsia="標楷體" w:hAnsi="標楷體" w:hint="eastAsia"/>
          <w:bCs/>
          <w:color w:val="FF0000"/>
          <w:kern w:val="0"/>
          <w:highlight w:val="yellow"/>
        </w:rPr>
        <w:t>「</w:t>
      </w:r>
      <w:r w:rsidR="00157EF6" w:rsidRPr="00412A9C">
        <w:rPr>
          <w:rFonts w:ascii="標楷體" w:eastAsia="標楷體" w:hAnsi="標楷體" w:hint="eastAsia"/>
          <w:szCs w:val="22"/>
        </w:rPr>
        <w:t>法空</w:t>
      </w:r>
      <w:r>
        <w:rPr>
          <w:rFonts w:ascii="標楷體" w:eastAsia="標楷體" w:hAnsi="標楷體" w:hint="eastAsia"/>
          <w:bCs/>
          <w:color w:val="FF0000"/>
          <w:kern w:val="0"/>
          <w:highlight w:val="yellow"/>
        </w:rPr>
        <w:t>」</w:t>
      </w:r>
      <w:r w:rsidR="00157EF6" w:rsidRPr="00186A21">
        <w:rPr>
          <w:rFonts w:ascii="標楷體" w:eastAsia="標楷體" w:hAnsi="標楷體" w:hint="eastAsia"/>
          <w:szCs w:val="22"/>
          <w:highlight w:val="yellow"/>
        </w:rPr>
        <w:t>？</w:t>
      </w:r>
    </w:p>
    <w:p w:rsidR="00157EF6" w:rsidRPr="00412A9C" w:rsidRDefault="00157EF6" w:rsidP="00AA120F">
      <w:pPr>
        <w:pStyle w:val="a5"/>
        <w:ind w:leftChars="105" w:left="252"/>
        <w:jc w:val="both"/>
        <w:rPr>
          <w:rFonts w:ascii="標楷體" w:eastAsia="標楷體" w:hAnsi="標楷體"/>
          <w:szCs w:val="22"/>
        </w:rPr>
      </w:pPr>
      <w:r w:rsidRPr="00412A9C">
        <w:rPr>
          <w:rFonts w:ascii="標楷體" w:eastAsia="標楷體" w:hAnsi="標楷體" w:hint="eastAsia"/>
          <w:szCs w:val="22"/>
        </w:rPr>
        <w:t>答曰：有人言</w:t>
      </w:r>
      <w:r w:rsidRPr="00186A21">
        <w:rPr>
          <w:rFonts w:ascii="標楷體" w:eastAsia="標楷體" w:hAnsi="標楷體" w:hint="eastAsia"/>
          <w:szCs w:val="22"/>
          <w:highlight w:val="yellow"/>
        </w:rPr>
        <w:t>：我</w:t>
      </w:r>
      <w:r w:rsidRPr="00412A9C">
        <w:rPr>
          <w:rFonts w:ascii="標楷體" w:eastAsia="標楷體" w:hAnsi="標楷體" w:hint="eastAsia"/>
          <w:szCs w:val="22"/>
        </w:rPr>
        <w:t>心顛倒，故計我為常</w:t>
      </w:r>
      <w:r w:rsidR="00186A21">
        <w:rPr>
          <w:rFonts w:ascii="標楷體" w:eastAsia="標楷體" w:hAnsi="標楷體" w:hint="eastAsia"/>
          <w:color w:val="FF0000"/>
          <w:spacing w:val="-4"/>
          <w:kern w:val="0"/>
          <w:highlight w:val="yellow"/>
        </w:rPr>
        <w:t>；</w:t>
      </w:r>
      <w:r w:rsidRPr="00412A9C">
        <w:rPr>
          <w:rFonts w:ascii="標楷體" w:eastAsia="標楷體" w:hAnsi="標楷體" w:hint="eastAsia"/>
          <w:szCs w:val="22"/>
        </w:rPr>
        <w:t>是常空</w:t>
      </w:r>
      <w:r w:rsidR="00186A21">
        <w:rPr>
          <w:rFonts w:ascii="標楷體" w:eastAsia="標楷體" w:hAnsi="標楷體" w:hint="eastAsia"/>
          <w:color w:val="FF0000"/>
          <w:kern w:val="0"/>
          <w:highlight w:val="yellow"/>
        </w:rPr>
        <w:t>，</w:t>
      </w:r>
      <w:r w:rsidRPr="00412A9C">
        <w:rPr>
          <w:rFonts w:ascii="標楷體" w:eastAsia="標楷體" w:hAnsi="標楷體" w:hint="eastAsia"/>
          <w:szCs w:val="22"/>
        </w:rPr>
        <w:t>則入</w:t>
      </w:r>
      <w:r w:rsidR="00186A21">
        <w:rPr>
          <w:rFonts w:ascii="標楷體" w:eastAsia="標楷體" w:hAnsi="標楷體" w:hint="eastAsia"/>
          <w:bCs/>
          <w:color w:val="FF0000"/>
          <w:kern w:val="0"/>
          <w:highlight w:val="yellow"/>
        </w:rPr>
        <w:t>「</w:t>
      </w:r>
      <w:r w:rsidRPr="00412A9C">
        <w:rPr>
          <w:rFonts w:ascii="標楷體" w:eastAsia="標楷體" w:hAnsi="標楷體" w:hint="eastAsia"/>
          <w:szCs w:val="22"/>
        </w:rPr>
        <w:t>眾生空</w:t>
      </w:r>
      <w:r w:rsidR="00186A21">
        <w:rPr>
          <w:rFonts w:ascii="標楷體" w:eastAsia="標楷體" w:hAnsi="標楷體" w:hint="eastAsia"/>
          <w:bCs/>
          <w:color w:val="FF0000"/>
          <w:kern w:val="0"/>
          <w:highlight w:val="yellow"/>
        </w:rPr>
        <w:t>」</w:t>
      </w:r>
      <w:r w:rsidRPr="00186A21">
        <w:rPr>
          <w:rFonts w:ascii="標楷體" w:eastAsia="標楷體" w:hAnsi="標楷體" w:hint="eastAsia"/>
          <w:szCs w:val="22"/>
          <w:highlight w:val="yellow"/>
        </w:rPr>
        <w:t>。</w:t>
      </w:r>
    </w:p>
    <w:p w:rsidR="00157EF6" w:rsidRPr="00412A9C" w:rsidRDefault="00157EF6" w:rsidP="00AA120F">
      <w:pPr>
        <w:pStyle w:val="a5"/>
        <w:ind w:leftChars="380" w:left="912"/>
        <w:jc w:val="both"/>
        <w:rPr>
          <w:rFonts w:eastAsia="SimSun"/>
          <w:szCs w:val="22"/>
        </w:rPr>
      </w:pPr>
      <w:r w:rsidRPr="00412A9C">
        <w:rPr>
          <w:rFonts w:ascii="標楷體" w:eastAsia="標楷體" w:hAnsi="標楷體" w:hint="eastAsia"/>
          <w:szCs w:val="22"/>
        </w:rPr>
        <w:t>有人言：</w:t>
      </w:r>
      <w:r w:rsidRPr="00412A9C">
        <w:rPr>
          <w:rFonts w:ascii="標楷體" w:eastAsia="標楷體" w:hAnsi="標楷體" w:hint="eastAsia"/>
          <w:b/>
          <w:szCs w:val="22"/>
        </w:rPr>
        <w:t>以心為常，如梵天王說</w:t>
      </w:r>
      <w:r w:rsidRPr="00412A9C">
        <w:rPr>
          <w:rFonts w:ascii="標楷體" w:eastAsia="標楷體" w:hAnsi="標楷體" w:hint="eastAsia"/>
          <w:szCs w:val="22"/>
        </w:rPr>
        <w:t>：</w:t>
      </w:r>
      <w:r w:rsidR="00186A21">
        <w:rPr>
          <w:rFonts w:ascii="標楷體" w:eastAsia="標楷體" w:hAnsi="標楷體" w:hint="eastAsia"/>
          <w:bCs/>
          <w:color w:val="FF0000"/>
          <w:kern w:val="0"/>
          <w:highlight w:val="yellow"/>
        </w:rPr>
        <w:t>「</w:t>
      </w:r>
      <w:r w:rsidRPr="00412A9C">
        <w:rPr>
          <w:rFonts w:ascii="標楷體" w:eastAsia="標楷體" w:hAnsi="標楷體" w:hint="eastAsia"/>
          <w:szCs w:val="22"/>
        </w:rPr>
        <w:t>是四大、四大造色悉皆無常，心意識是常。</w:t>
      </w:r>
      <w:r w:rsidR="00186A21">
        <w:rPr>
          <w:rFonts w:ascii="標楷體" w:eastAsia="標楷體" w:hAnsi="標楷體" w:hint="eastAsia"/>
          <w:bCs/>
          <w:color w:val="FF0000"/>
          <w:kern w:val="0"/>
          <w:highlight w:val="yellow"/>
        </w:rPr>
        <w:t>」</w:t>
      </w:r>
      <w:r w:rsidRPr="00412A9C">
        <w:rPr>
          <w:rFonts w:ascii="標楷體" w:eastAsia="標楷體" w:hAnsi="標楷體" w:hint="eastAsia"/>
          <w:szCs w:val="22"/>
        </w:rPr>
        <w:t>是常空，則入</w:t>
      </w:r>
      <w:r w:rsidR="00186A21">
        <w:rPr>
          <w:rFonts w:ascii="標楷體" w:eastAsia="標楷體" w:hAnsi="標楷體" w:hint="eastAsia"/>
          <w:bCs/>
          <w:color w:val="FF0000"/>
          <w:kern w:val="0"/>
          <w:highlight w:val="yellow"/>
        </w:rPr>
        <w:t>「</w:t>
      </w:r>
      <w:r w:rsidRPr="00412A9C">
        <w:rPr>
          <w:rFonts w:ascii="標楷體" w:eastAsia="標楷體" w:hAnsi="標楷體" w:hint="eastAsia"/>
          <w:szCs w:val="22"/>
        </w:rPr>
        <w:t>法空</w:t>
      </w:r>
      <w:r w:rsidR="00186A21">
        <w:rPr>
          <w:rFonts w:ascii="標楷體" w:eastAsia="標楷體" w:hAnsi="標楷體" w:hint="eastAsia"/>
          <w:bCs/>
          <w:color w:val="FF0000"/>
          <w:kern w:val="0"/>
          <w:highlight w:val="yellow"/>
        </w:rPr>
        <w:t>」</w:t>
      </w:r>
      <w:r w:rsidRPr="00186A21">
        <w:rPr>
          <w:rFonts w:ascii="標楷體" w:eastAsia="標楷體" w:hAnsi="標楷體" w:hint="eastAsia"/>
          <w:szCs w:val="22"/>
          <w:highlight w:val="yellow"/>
        </w:rPr>
        <w:t>。</w:t>
      </w:r>
    </w:p>
  </w:footnote>
  <w:footnote w:id="1055">
    <w:p w:rsidR="00BC7376" w:rsidRPr="00412A9C" w:rsidRDefault="00BC7376" w:rsidP="00BC7376">
      <w:pPr>
        <w:pStyle w:val="a5"/>
        <w:spacing w:line="0" w:lineRule="atLeast"/>
        <w:ind w:left="253" w:hangingChars="115" w:hanging="253"/>
        <w:jc w:val="both"/>
        <w:rPr>
          <w:szCs w:val="22"/>
        </w:rPr>
      </w:pPr>
      <w:r w:rsidRPr="00412A9C">
        <w:rPr>
          <w:rStyle w:val="a6"/>
          <w:szCs w:val="22"/>
        </w:rPr>
        <w:footnoteRef/>
      </w:r>
      <w:r w:rsidRPr="00412A9C">
        <w:rPr>
          <w:rFonts w:hint="eastAsia"/>
          <w:szCs w:val="22"/>
        </w:rPr>
        <w:t xml:space="preserve"> </w:t>
      </w:r>
      <w:r w:rsidRPr="00412A9C">
        <w:rPr>
          <w:rFonts w:hint="eastAsia"/>
          <w:szCs w:val="22"/>
        </w:rPr>
        <w:t>印順法師，</w:t>
      </w:r>
      <w:r w:rsidRPr="00412A9C">
        <w:rPr>
          <w:szCs w:val="22"/>
        </w:rPr>
        <w:t>《成佛之道》（增</w:t>
      </w:r>
      <w:r w:rsidRPr="00412A9C">
        <w:rPr>
          <w:rFonts w:hint="eastAsia"/>
          <w:szCs w:val="22"/>
        </w:rPr>
        <w:t>注</w:t>
      </w:r>
      <w:r w:rsidRPr="00412A9C">
        <w:rPr>
          <w:szCs w:val="22"/>
        </w:rPr>
        <w:t>本），</w:t>
      </w:r>
      <w:r w:rsidRPr="00761EF3">
        <w:rPr>
          <w:szCs w:val="22"/>
        </w:rPr>
        <w:t>pp</w:t>
      </w:r>
      <w:r w:rsidRPr="00412A9C">
        <w:rPr>
          <w:szCs w:val="22"/>
        </w:rPr>
        <w:t>.</w:t>
      </w:r>
      <w:r w:rsidRPr="00761EF3">
        <w:rPr>
          <w:szCs w:val="22"/>
        </w:rPr>
        <w:t>355</w:t>
      </w:r>
      <w:r w:rsidRPr="00412A9C">
        <w:rPr>
          <w:szCs w:val="22"/>
        </w:rPr>
        <w:t>-</w:t>
      </w:r>
      <w:r w:rsidRPr="00761EF3">
        <w:rPr>
          <w:szCs w:val="22"/>
        </w:rPr>
        <w:t>356</w:t>
      </w:r>
      <w:r w:rsidRPr="00412A9C">
        <w:rPr>
          <w:szCs w:val="22"/>
        </w:rPr>
        <w:t>：</w:t>
      </w:r>
    </w:p>
    <w:p w:rsidR="00BC7376" w:rsidRPr="00412A9C" w:rsidRDefault="00BC7376" w:rsidP="00BC7376">
      <w:pPr>
        <w:pStyle w:val="a5"/>
        <w:ind w:leftChars="105" w:left="252"/>
        <w:jc w:val="both"/>
        <w:rPr>
          <w:rFonts w:ascii="標楷體" w:eastAsia="標楷體" w:hAnsi="標楷體"/>
          <w:szCs w:val="22"/>
        </w:rPr>
      </w:pPr>
      <w:r w:rsidRPr="00412A9C">
        <w:rPr>
          <w:rFonts w:ascii="標楷體" w:eastAsia="標楷體" w:hAnsi="標楷體" w:hint="eastAsia"/>
          <w:szCs w:val="22"/>
        </w:rPr>
        <w:t>我有二：一、補特伽羅我，二、薩迦耶我。</w:t>
      </w:r>
    </w:p>
    <w:p w:rsidR="00BC7376" w:rsidRPr="00412A9C" w:rsidRDefault="00BC7376" w:rsidP="00BC7376">
      <w:pPr>
        <w:pStyle w:val="a5"/>
        <w:ind w:leftChars="105" w:left="252"/>
        <w:jc w:val="both"/>
        <w:rPr>
          <w:rFonts w:ascii="標楷體" w:eastAsia="標楷體" w:hAnsi="標楷體"/>
          <w:szCs w:val="22"/>
        </w:rPr>
      </w:pPr>
      <w:r w:rsidRPr="00412A9C">
        <w:rPr>
          <w:rFonts w:ascii="標楷體" w:eastAsia="標楷體" w:hAnsi="標楷體" w:hint="eastAsia"/>
          <w:b/>
          <w:szCs w:val="22"/>
        </w:rPr>
        <w:t>補特伽羅</w:t>
      </w:r>
      <w:r w:rsidRPr="00412A9C">
        <w:rPr>
          <w:rFonts w:ascii="標楷體" w:eastAsia="標楷體" w:hAnsi="標楷體" w:hint="eastAsia"/>
          <w:szCs w:val="22"/>
        </w:rPr>
        <w:t>，譯義為數取趣，是不斷在生死中受生的意思。無論是自己、別人、畜生，都有身心和合的個體，都可說有世俗假我的（受假）。但眾生不能悟解，總以為是實體性的眾生在輪迴，就成為補特伽羅我執。</w:t>
      </w:r>
    </w:p>
    <w:p w:rsidR="00BC7376" w:rsidRPr="00412A9C" w:rsidRDefault="00BC7376" w:rsidP="00BC7376">
      <w:pPr>
        <w:pStyle w:val="a5"/>
        <w:ind w:leftChars="105" w:left="252"/>
        <w:jc w:val="both"/>
        <w:rPr>
          <w:rFonts w:ascii="標楷體" w:eastAsia="標楷體" w:hAnsi="標楷體"/>
          <w:szCs w:val="22"/>
        </w:rPr>
      </w:pPr>
      <w:r w:rsidRPr="00412A9C">
        <w:rPr>
          <w:rFonts w:ascii="標楷體" w:eastAsia="標楷體" w:hAnsi="標楷體" w:hint="eastAsia"/>
          <w:b/>
          <w:szCs w:val="22"/>
        </w:rPr>
        <w:t>薩迦耶</w:t>
      </w:r>
      <w:r w:rsidRPr="00412A9C">
        <w:rPr>
          <w:rFonts w:ascii="標楷體" w:eastAsia="標楷體" w:hAnsi="標楷體" w:hint="eastAsia"/>
          <w:szCs w:val="22"/>
        </w:rPr>
        <w:t>，是積聚的意思。在自己的身心和合中，生起自我的感覺，與我愛、我慢的特性相應，與他對立起來（名假）。這是根本沒有的妄執──薩迦耶見。</w:t>
      </w:r>
    </w:p>
    <w:p w:rsidR="00BC7376" w:rsidRPr="00412A9C" w:rsidRDefault="00BC7376" w:rsidP="00BC7376">
      <w:pPr>
        <w:pStyle w:val="a5"/>
        <w:ind w:leftChars="105" w:left="252"/>
        <w:jc w:val="both"/>
        <w:rPr>
          <w:rFonts w:ascii="標楷體" w:eastAsia="標楷體" w:hAnsi="標楷體"/>
          <w:szCs w:val="22"/>
        </w:rPr>
      </w:pPr>
      <w:r w:rsidRPr="00412A9C">
        <w:rPr>
          <w:rFonts w:ascii="標楷體" w:eastAsia="標楷體" w:hAnsi="標楷體" w:hint="eastAsia"/>
          <w:szCs w:val="22"/>
        </w:rPr>
        <w:t>對人，有補特伽羅我執；</w:t>
      </w:r>
    </w:p>
    <w:p w:rsidR="00BC7376" w:rsidRPr="00412A9C" w:rsidRDefault="00BC7376" w:rsidP="00BC7376">
      <w:pPr>
        <w:pStyle w:val="a5"/>
        <w:ind w:leftChars="105" w:left="252"/>
        <w:jc w:val="both"/>
        <w:rPr>
          <w:rFonts w:ascii="標楷體" w:eastAsia="標楷體" w:hAnsi="標楷體"/>
          <w:szCs w:val="22"/>
        </w:rPr>
      </w:pPr>
      <w:r w:rsidRPr="00412A9C">
        <w:rPr>
          <w:rFonts w:ascii="標楷體" w:eastAsia="標楷體" w:hAnsi="標楷體" w:hint="eastAsia"/>
          <w:szCs w:val="22"/>
        </w:rPr>
        <w:t>對自己，有補特伽羅我執，更有薩迦耶見的我執。</w:t>
      </w:r>
    </w:p>
  </w:footnote>
  <w:footnote w:id="1056">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）薩迦耶（</w:t>
      </w:r>
      <w:r w:rsidRPr="00761EF3">
        <w:rPr>
          <w:rFonts w:eastAsia="Roman Unicode"/>
          <w:szCs w:val="22"/>
        </w:rPr>
        <w:t>satkāya</w:t>
      </w:r>
      <w:r w:rsidRPr="00412A9C">
        <w:rPr>
          <w:szCs w:val="22"/>
        </w:rPr>
        <w:t>）</w:t>
      </w:r>
      <w:r w:rsidRPr="00412A9C">
        <w:rPr>
          <w:rFonts w:ascii="新細明體" w:hAnsi="新細明體"/>
          <w:szCs w:val="22"/>
        </w:rPr>
        <w:t>──</w:t>
      </w:r>
      <w:r w:rsidRPr="00412A9C">
        <w:rPr>
          <w:szCs w:val="22"/>
        </w:rPr>
        <w:t>「薩」：</w:t>
      </w:r>
      <w:r w:rsidRPr="00761EF3">
        <w:rPr>
          <w:szCs w:val="22"/>
        </w:rPr>
        <w:t>1</w:t>
      </w:r>
      <w:r w:rsidRPr="00412A9C">
        <w:rPr>
          <w:szCs w:val="22"/>
        </w:rPr>
        <w:t>、</w:t>
      </w:r>
      <w:r w:rsidRPr="00412A9C">
        <w:rPr>
          <w:b/>
          <w:szCs w:val="22"/>
        </w:rPr>
        <w:t>有</w:t>
      </w:r>
      <w:r w:rsidRPr="00412A9C">
        <w:rPr>
          <w:szCs w:val="22"/>
        </w:rPr>
        <w:t>，</w:t>
      </w:r>
      <w:r w:rsidRPr="00761EF3">
        <w:rPr>
          <w:szCs w:val="22"/>
        </w:rPr>
        <w:t>2</w:t>
      </w:r>
      <w:r w:rsidRPr="00412A9C">
        <w:rPr>
          <w:szCs w:val="22"/>
        </w:rPr>
        <w:t>、虛偽，</w:t>
      </w:r>
      <w:r w:rsidRPr="00761EF3">
        <w:rPr>
          <w:szCs w:val="22"/>
        </w:rPr>
        <w:t>3</w:t>
      </w:r>
      <w:r w:rsidRPr="00412A9C">
        <w:rPr>
          <w:szCs w:val="22"/>
        </w:rPr>
        <w:t>、移轉。「迦耶」：</w:t>
      </w:r>
      <w:r w:rsidRPr="00412A9C">
        <w:rPr>
          <w:b/>
          <w:szCs w:val="22"/>
        </w:rPr>
        <w:t>身</w:t>
      </w:r>
      <w:r w:rsidRPr="00412A9C">
        <w:rPr>
          <w:szCs w:val="22"/>
        </w:rPr>
        <w:t>、聚集。</w:t>
      </w:r>
    </w:p>
    <w:p w:rsidR="00157EF6" w:rsidRPr="00412A9C" w:rsidRDefault="00157EF6" w:rsidP="00AA120F">
      <w:pPr>
        <w:pStyle w:val="a5"/>
        <w:ind w:leftChars="105" w:left="791" w:hangingChars="245" w:hanging="539"/>
        <w:jc w:val="both"/>
        <w:rPr>
          <w:szCs w:val="22"/>
        </w:rPr>
      </w:pPr>
      <w:r w:rsidRPr="00412A9C">
        <w:rPr>
          <w:szCs w:val="22"/>
        </w:rPr>
        <w:t>（</w:t>
      </w:r>
      <w:r w:rsidRPr="00761EF3">
        <w:rPr>
          <w:szCs w:val="22"/>
        </w:rPr>
        <w:t>2</w:t>
      </w:r>
      <w:r w:rsidRPr="00412A9C">
        <w:rPr>
          <w:szCs w:val="22"/>
        </w:rPr>
        <w:t>）關於薩迦耶見，另參見《大毘婆沙論》卷</w:t>
      </w:r>
      <w:r w:rsidRPr="00761EF3">
        <w:rPr>
          <w:szCs w:val="22"/>
        </w:rPr>
        <w:t>49</w:t>
      </w:r>
      <w:r w:rsidRPr="00412A9C">
        <w:rPr>
          <w:szCs w:val="22"/>
        </w:rPr>
        <w:t>（大正</w:t>
      </w:r>
      <w:r w:rsidRPr="00761EF3">
        <w:rPr>
          <w:szCs w:val="22"/>
        </w:rPr>
        <w:t>27</w:t>
      </w:r>
      <w:r w:rsidRPr="00412A9C">
        <w:rPr>
          <w:szCs w:val="22"/>
        </w:rPr>
        <w:t>，</w:t>
      </w:r>
      <w:r w:rsidRPr="00761EF3">
        <w:rPr>
          <w:szCs w:val="22"/>
        </w:rPr>
        <w:t>255a21</w:t>
      </w:r>
      <w:r w:rsidRPr="00412A9C">
        <w:rPr>
          <w:szCs w:val="22"/>
        </w:rPr>
        <w:t>-</w:t>
      </w:r>
      <w:r w:rsidRPr="00761EF3">
        <w:rPr>
          <w:szCs w:val="22"/>
        </w:rPr>
        <w:t>25</w:t>
      </w:r>
      <w:r w:rsidRPr="00412A9C">
        <w:rPr>
          <w:szCs w:val="22"/>
        </w:rPr>
        <w:t>）；</w:t>
      </w:r>
      <w:r w:rsidRPr="00412A9C">
        <w:rPr>
          <w:rFonts w:hint="eastAsia"/>
          <w:szCs w:val="22"/>
        </w:rPr>
        <w:t>印順法師，</w:t>
      </w:r>
      <w:r w:rsidRPr="00412A9C">
        <w:rPr>
          <w:szCs w:val="22"/>
        </w:rPr>
        <w:t>《中觀今論》，</w:t>
      </w:r>
      <w:r w:rsidRPr="00761EF3">
        <w:rPr>
          <w:szCs w:val="22"/>
        </w:rPr>
        <w:t>pp</w:t>
      </w:r>
      <w:r w:rsidRPr="00412A9C">
        <w:rPr>
          <w:szCs w:val="22"/>
        </w:rPr>
        <w:t>.</w:t>
      </w:r>
      <w:r w:rsidRPr="00761EF3">
        <w:rPr>
          <w:szCs w:val="22"/>
        </w:rPr>
        <w:t>245</w:t>
      </w:r>
      <w:r w:rsidRPr="00412A9C">
        <w:rPr>
          <w:szCs w:val="22"/>
        </w:rPr>
        <w:t>-</w:t>
      </w:r>
      <w:r w:rsidRPr="00761EF3">
        <w:rPr>
          <w:szCs w:val="22"/>
        </w:rPr>
        <w:t>246</w:t>
      </w:r>
      <w:r w:rsidRPr="00412A9C">
        <w:rPr>
          <w:szCs w:val="22"/>
        </w:rPr>
        <w:t>；</w:t>
      </w:r>
      <w:r w:rsidRPr="00412A9C">
        <w:rPr>
          <w:rFonts w:hint="eastAsia"/>
          <w:szCs w:val="22"/>
        </w:rPr>
        <w:t>印順法師，</w:t>
      </w:r>
      <w:r w:rsidRPr="00412A9C">
        <w:rPr>
          <w:szCs w:val="22"/>
        </w:rPr>
        <w:t>《成佛之道》（增注本），</w:t>
      </w:r>
      <w:r w:rsidRPr="00761EF3">
        <w:rPr>
          <w:szCs w:val="22"/>
        </w:rPr>
        <w:t>pp</w:t>
      </w:r>
      <w:r w:rsidRPr="00412A9C">
        <w:rPr>
          <w:szCs w:val="22"/>
        </w:rPr>
        <w:t>.</w:t>
      </w:r>
      <w:r w:rsidRPr="00761EF3">
        <w:rPr>
          <w:szCs w:val="22"/>
        </w:rPr>
        <w:t>355</w:t>
      </w:r>
      <w:r w:rsidRPr="00412A9C">
        <w:rPr>
          <w:szCs w:val="22"/>
        </w:rPr>
        <w:t>-</w:t>
      </w:r>
      <w:r w:rsidRPr="00761EF3">
        <w:rPr>
          <w:szCs w:val="22"/>
        </w:rPr>
        <w:t>357</w:t>
      </w:r>
      <w:r w:rsidRPr="00412A9C">
        <w:rPr>
          <w:szCs w:val="22"/>
        </w:rPr>
        <w:t>；《望月佛教大辭典》（二），</w:t>
      </w:r>
      <w:r w:rsidRPr="00761EF3">
        <w:rPr>
          <w:rFonts w:hint="eastAsia"/>
          <w:szCs w:val="22"/>
        </w:rPr>
        <w:t>p</w:t>
      </w:r>
      <w:r w:rsidRPr="00761EF3">
        <w:rPr>
          <w:szCs w:val="22"/>
        </w:rPr>
        <w:t>p</w:t>
      </w:r>
      <w:r w:rsidRPr="00412A9C">
        <w:rPr>
          <w:szCs w:val="22"/>
        </w:rPr>
        <w:t>.</w:t>
      </w:r>
      <w:r w:rsidRPr="00761EF3">
        <w:rPr>
          <w:szCs w:val="22"/>
        </w:rPr>
        <w:t>1442</w:t>
      </w:r>
      <w:r w:rsidRPr="00412A9C">
        <w:rPr>
          <w:szCs w:val="22"/>
        </w:rPr>
        <w:t>下</w:t>
      </w:r>
      <w:r w:rsidRPr="00412A9C">
        <w:rPr>
          <w:szCs w:val="22"/>
        </w:rPr>
        <w:t>-</w:t>
      </w:r>
      <w:r w:rsidRPr="00761EF3">
        <w:rPr>
          <w:szCs w:val="22"/>
        </w:rPr>
        <w:t>1444</w:t>
      </w:r>
      <w:r w:rsidRPr="00412A9C">
        <w:rPr>
          <w:szCs w:val="22"/>
        </w:rPr>
        <w:t>下。</w:t>
      </w:r>
    </w:p>
  </w:footnote>
  <w:footnote w:id="1057">
    <w:p w:rsidR="00157EF6" w:rsidRPr="00412A9C" w:rsidRDefault="00157EF6" w:rsidP="00AA120F">
      <w:pPr>
        <w:pStyle w:val="a5"/>
        <w:spacing w:line="0" w:lineRule="atLeast"/>
        <w:ind w:left="253" w:hangingChars="115" w:hanging="253"/>
        <w:jc w:val="both"/>
        <w:rPr>
          <w:rFonts w:ascii="新細明體" w:eastAsia="SimSun" w:hAnsi="新細明體"/>
          <w:szCs w:val="22"/>
        </w:rPr>
      </w:pPr>
      <w:r w:rsidRPr="00412A9C">
        <w:rPr>
          <w:rStyle w:val="a6"/>
          <w:szCs w:val="22"/>
        </w:rPr>
        <w:footnoteRef/>
      </w:r>
      <w:r>
        <w:rPr>
          <w:rFonts w:ascii="新細明體" w:hAnsi="新細明體" w:hint="eastAsia"/>
          <w:szCs w:val="22"/>
        </w:rPr>
        <w:t xml:space="preserve"> </w:t>
      </w:r>
      <w:r w:rsidRPr="00412A9C">
        <w:rPr>
          <w:rFonts w:ascii="新細明體" w:hAnsi="新細明體" w:hint="eastAsia"/>
          <w:szCs w:val="22"/>
        </w:rPr>
        <w:t>《雜阿含經》卷</w:t>
      </w:r>
      <w:r w:rsidRPr="00761EF3">
        <w:rPr>
          <w:szCs w:val="22"/>
        </w:rPr>
        <w:t>21</w:t>
      </w:r>
      <w:r w:rsidRPr="00412A9C">
        <w:rPr>
          <w:rFonts w:ascii="新細明體" w:hAnsi="新細明體" w:hint="eastAsia"/>
          <w:szCs w:val="22"/>
        </w:rPr>
        <w:t>（</w:t>
      </w:r>
      <w:r w:rsidRPr="00761EF3">
        <w:rPr>
          <w:szCs w:val="22"/>
        </w:rPr>
        <w:t>570</w:t>
      </w:r>
      <w:r w:rsidRPr="00412A9C">
        <w:rPr>
          <w:rFonts w:ascii="新細明體" w:hAnsi="新細明體" w:hint="eastAsia"/>
          <w:szCs w:val="22"/>
        </w:rPr>
        <w:t>經）</w:t>
      </w:r>
      <w:r w:rsidRPr="00412A9C">
        <w:rPr>
          <w:rFonts w:ascii="新細明體" w:cs="新細明體" w:hint="eastAsia"/>
          <w:szCs w:val="22"/>
        </w:rPr>
        <w:t>（大正</w:t>
      </w:r>
      <w:r w:rsidRPr="00761EF3">
        <w:rPr>
          <w:rFonts w:eastAsia="SimSun"/>
          <w:szCs w:val="22"/>
        </w:rPr>
        <w:t>2</w:t>
      </w:r>
      <w:r w:rsidRPr="00412A9C">
        <w:rPr>
          <w:rFonts w:ascii="新細明體" w:cs="新細明體" w:hint="eastAsia"/>
          <w:szCs w:val="22"/>
        </w:rPr>
        <w:t>，</w:t>
      </w:r>
      <w:r w:rsidRPr="00761EF3">
        <w:rPr>
          <w:rFonts w:eastAsia="SimSun" w:hint="eastAsia"/>
          <w:szCs w:val="22"/>
        </w:rPr>
        <w:t>151a17</w:t>
      </w:r>
      <w:r w:rsidRPr="00412A9C">
        <w:rPr>
          <w:rFonts w:eastAsia="SimSun"/>
          <w:szCs w:val="22"/>
        </w:rPr>
        <w:t>-</w:t>
      </w:r>
      <w:r w:rsidRPr="00761EF3">
        <w:rPr>
          <w:rFonts w:eastAsia="SimSun" w:hint="eastAsia"/>
          <w:szCs w:val="22"/>
        </w:rPr>
        <w:t>b1</w:t>
      </w:r>
      <w:r w:rsidRPr="00412A9C">
        <w:rPr>
          <w:rFonts w:ascii="新細明體" w:cs="新細明體" w:hint="eastAsia"/>
          <w:szCs w:val="22"/>
        </w:rPr>
        <w:t>）</w:t>
      </w:r>
      <w:r w:rsidRPr="00412A9C">
        <w:rPr>
          <w:rFonts w:ascii="新細明體" w:hAnsi="新細明體" w:hint="eastAsia"/>
          <w:szCs w:val="22"/>
        </w:rPr>
        <w:t>：</w:t>
      </w:r>
    </w:p>
    <w:p w:rsidR="00157EF6" w:rsidRPr="00412A9C" w:rsidRDefault="00157EF6" w:rsidP="00AA120F">
      <w:pPr>
        <w:pStyle w:val="a5"/>
        <w:ind w:leftChars="105" w:left="252"/>
        <w:jc w:val="both"/>
        <w:rPr>
          <w:rFonts w:ascii="標楷體" w:eastAsia="標楷體" w:hAnsi="標楷體"/>
          <w:szCs w:val="22"/>
        </w:rPr>
      </w:pPr>
      <w:r w:rsidRPr="00412A9C">
        <w:rPr>
          <w:rFonts w:ascii="標楷體" w:eastAsia="標楷體" w:hAnsi="標楷體" w:hint="eastAsia"/>
          <w:szCs w:val="22"/>
        </w:rPr>
        <w:t>時，長者即問梨犀達多：「尊者！凡世間所見，何本、何集、何生、何轉？」</w:t>
      </w:r>
    </w:p>
    <w:p w:rsidR="00157EF6" w:rsidRPr="00412A9C" w:rsidRDefault="00157EF6" w:rsidP="00AA120F">
      <w:pPr>
        <w:pStyle w:val="a5"/>
        <w:ind w:leftChars="105" w:left="252"/>
        <w:jc w:val="both"/>
        <w:rPr>
          <w:rFonts w:ascii="標楷體" w:eastAsia="標楷體" w:hAnsi="標楷體"/>
          <w:szCs w:val="22"/>
        </w:rPr>
      </w:pPr>
      <w:r w:rsidRPr="00412A9C">
        <w:rPr>
          <w:rFonts w:ascii="標楷體" w:eastAsia="標楷體" w:hAnsi="標楷體" w:hint="eastAsia"/>
          <w:szCs w:val="22"/>
        </w:rPr>
        <w:t>尊者梨犀達多答言：「長者！凡世間所見，或言有</w:t>
      </w:r>
      <w:r w:rsidR="00186A21">
        <w:rPr>
          <w:rFonts w:ascii="標楷體" w:eastAsia="標楷體" w:hAnsi="標楷體" w:hint="eastAsia"/>
          <w:color w:val="FF0000"/>
          <w:kern w:val="0"/>
          <w:highlight w:val="yellow"/>
        </w:rPr>
        <w:t>『</w:t>
      </w:r>
      <w:r w:rsidRPr="00412A9C">
        <w:rPr>
          <w:rFonts w:ascii="標楷體" w:eastAsia="標楷體" w:hAnsi="標楷體" w:hint="eastAsia"/>
          <w:szCs w:val="22"/>
        </w:rPr>
        <w:t>我</w:t>
      </w:r>
      <w:r w:rsidR="00186A21">
        <w:rPr>
          <w:rFonts w:ascii="標楷體" w:eastAsia="標楷體" w:hAnsi="標楷體" w:hint="eastAsia"/>
          <w:color w:val="FF0000"/>
          <w:kern w:val="0"/>
          <w:highlight w:val="yellow"/>
        </w:rPr>
        <w:t>』</w:t>
      </w:r>
      <w:r w:rsidRPr="00412A9C">
        <w:rPr>
          <w:rFonts w:ascii="標楷體" w:eastAsia="標楷體" w:hAnsi="標楷體" w:hint="eastAsia"/>
          <w:szCs w:val="22"/>
        </w:rPr>
        <w:t>，或說</w:t>
      </w:r>
      <w:r w:rsidR="00186A21">
        <w:rPr>
          <w:rFonts w:ascii="標楷體" w:eastAsia="標楷體" w:hAnsi="標楷體" w:hint="eastAsia"/>
          <w:color w:val="FF0000"/>
          <w:kern w:val="0"/>
          <w:highlight w:val="yellow"/>
        </w:rPr>
        <w:t>『</w:t>
      </w:r>
      <w:r w:rsidRPr="00412A9C">
        <w:rPr>
          <w:rFonts w:ascii="標楷體" w:eastAsia="標楷體" w:hAnsi="標楷體" w:hint="eastAsia"/>
          <w:szCs w:val="22"/>
        </w:rPr>
        <w:t>眾生</w:t>
      </w:r>
      <w:r w:rsidR="00186A21">
        <w:rPr>
          <w:rFonts w:ascii="標楷體" w:eastAsia="標楷體" w:hAnsi="標楷體" w:hint="eastAsia"/>
          <w:color w:val="FF0000"/>
          <w:kern w:val="0"/>
          <w:highlight w:val="yellow"/>
        </w:rPr>
        <w:t>』</w:t>
      </w:r>
      <w:r w:rsidRPr="00412A9C">
        <w:rPr>
          <w:rFonts w:ascii="標楷體" w:eastAsia="標楷體" w:hAnsi="標楷體" w:hint="eastAsia"/>
          <w:szCs w:val="22"/>
        </w:rPr>
        <w:t>，或說</w:t>
      </w:r>
      <w:r w:rsidR="00186A21">
        <w:rPr>
          <w:rFonts w:ascii="標楷體" w:eastAsia="標楷體" w:hAnsi="標楷體" w:hint="eastAsia"/>
          <w:color w:val="FF0000"/>
          <w:kern w:val="0"/>
          <w:highlight w:val="yellow"/>
        </w:rPr>
        <w:t>『</w:t>
      </w:r>
      <w:r w:rsidRPr="00412A9C">
        <w:rPr>
          <w:rFonts w:ascii="標楷體" w:eastAsia="標楷體" w:hAnsi="標楷體" w:hint="eastAsia"/>
          <w:szCs w:val="22"/>
        </w:rPr>
        <w:t>壽命</w:t>
      </w:r>
      <w:r w:rsidR="00186A21">
        <w:rPr>
          <w:rFonts w:ascii="標楷體" w:eastAsia="標楷體" w:hAnsi="標楷體" w:hint="eastAsia"/>
          <w:color w:val="FF0000"/>
          <w:kern w:val="0"/>
          <w:highlight w:val="yellow"/>
        </w:rPr>
        <w:t>』</w:t>
      </w:r>
      <w:r w:rsidRPr="00412A9C">
        <w:rPr>
          <w:rFonts w:ascii="標楷體" w:eastAsia="標楷體" w:hAnsi="標楷體" w:hint="eastAsia"/>
          <w:szCs w:val="22"/>
        </w:rPr>
        <w:t>，或說</w:t>
      </w:r>
      <w:r w:rsidR="00186A21">
        <w:rPr>
          <w:rFonts w:ascii="標楷體" w:eastAsia="標楷體" w:hAnsi="標楷體" w:hint="eastAsia"/>
          <w:color w:val="FF0000"/>
          <w:kern w:val="0"/>
          <w:highlight w:val="yellow"/>
        </w:rPr>
        <w:t>『</w:t>
      </w:r>
      <w:r w:rsidRPr="00412A9C">
        <w:rPr>
          <w:rFonts w:ascii="標楷體" w:eastAsia="標楷體" w:hAnsi="標楷體" w:hint="eastAsia"/>
          <w:szCs w:val="22"/>
        </w:rPr>
        <w:t>世間吉凶</w:t>
      </w:r>
      <w:r w:rsidR="00186A21">
        <w:rPr>
          <w:rFonts w:ascii="標楷體" w:eastAsia="標楷體" w:hAnsi="標楷體" w:hint="eastAsia"/>
          <w:color w:val="FF0000"/>
          <w:kern w:val="0"/>
          <w:highlight w:val="yellow"/>
        </w:rPr>
        <w:t>』──</w:t>
      </w:r>
      <w:r w:rsidRPr="00412A9C">
        <w:rPr>
          <w:rFonts w:ascii="標楷體" w:eastAsia="標楷體" w:hAnsi="標楷體" w:hint="eastAsia"/>
          <w:szCs w:val="22"/>
        </w:rPr>
        <w:t>斯等諸見，</w:t>
      </w:r>
      <w:r w:rsidRPr="00412A9C">
        <w:rPr>
          <w:rFonts w:ascii="標楷體" w:eastAsia="標楷體" w:hAnsi="標楷體" w:hint="eastAsia"/>
          <w:b/>
          <w:szCs w:val="22"/>
        </w:rPr>
        <w:t>一切皆以</w:t>
      </w:r>
      <w:r w:rsidR="00186A21">
        <w:rPr>
          <w:rFonts w:ascii="標楷體" w:eastAsia="標楷體" w:hAnsi="標楷體" w:hint="eastAsia"/>
          <w:color w:val="FF0000"/>
          <w:kern w:val="0"/>
          <w:highlight w:val="yellow"/>
        </w:rPr>
        <w:t>『</w:t>
      </w:r>
      <w:r w:rsidRPr="00412A9C">
        <w:rPr>
          <w:rFonts w:ascii="標楷體" w:eastAsia="標楷體" w:hAnsi="標楷體" w:hint="eastAsia"/>
          <w:b/>
          <w:szCs w:val="22"/>
        </w:rPr>
        <w:t>身見</w:t>
      </w:r>
      <w:r w:rsidR="00186A21">
        <w:rPr>
          <w:rFonts w:ascii="標楷體" w:eastAsia="標楷體" w:hAnsi="標楷體" w:hint="eastAsia"/>
          <w:color w:val="FF0000"/>
          <w:kern w:val="0"/>
          <w:highlight w:val="yellow"/>
        </w:rPr>
        <w:t>』</w:t>
      </w:r>
      <w:r w:rsidRPr="00412A9C">
        <w:rPr>
          <w:rFonts w:ascii="標楷體" w:eastAsia="標楷體" w:hAnsi="標楷體" w:hint="eastAsia"/>
          <w:b/>
          <w:szCs w:val="22"/>
        </w:rPr>
        <w:t>為本</w:t>
      </w:r>
      <w:r w:rsidRPr="00412A9C">
        <w:rPr>
          <w:rFonts w:ascii="標楷體" w:eastAsia="標楷體" w:hAnsi="標楷體" w:hint="eastAsia"/>
          <w:szCs w:val="22"/>
        </w:rPr>
        <w:t>，</w:t>
      </w:r>
      <w:r w:rsidR="00186A21">
        <w:rPr>
          <w:rFonts w:ascii="標楷體" w:eastAsia="標楷體" w:hAnsi="標楷體" w:hint="eastAsia"/>
          <w:color w:val="FF0000"/>
          <w:kern w:val="0"/>
          <w:highlight w:val="yellow"/>
        </w:rPr>
        <w:t>『</w:t>
      </w:r>
      <w:r w:rsidRPr="00412A9C">
        <w:rPr>
          <w:rFonts w:ascii="標楷體" w:eastAsia="標楷體" w:hAnsi="標楷體" w:hint="eastAsia"/>
          <w:szCs w:val="22"/>
        </w:rPr>
        <w:t>身見</w:t>
      </w:r>
      <w:r w:rsidR="00186A21">
        <w:rPr>
          <w:rFonts w:ascii="標楷體" w:eastAsia="標楷體" w:hAnsi="標楷體" w:hint="eastAsia"/>
          <w:color w:val="FF0000"/>
          <w:kern w:val="0"/>
          <w:highlight w:val="yellow"/>
        </w:rPr>
        <w:t>』</w:t>
      </w:r>
      <w:r w:rsidRPr="00412A9C">
        <w:rPr>
          <w:rFonts w:ascii="標楷體" w:eastAsia="標楷體" w:hAnsi="標楷體" w:hint="eastAsia"/>
          <w:szCs w:val="22"/>
        </w:rPr>
        <w:t>集、</w:t>
      </w:r>
      <w:r w:rsidR="00186A21">
        <w:rPr>
          <w:rFonts w:ascii="標楷體" w:eastAsia="標楷體" w:hAnsi="標楷體" w:hint="eastAsia"/>
          <w:color w:val="FF0000"/>
          <w:kern w:val="0"/>
          <w:highlight w:val="yellow"/>
        </w:rPr>
        <w:t>『</w:t>
      </w:r>
      <w:r w:rsidRPr="00412A9C">
        <w:rPr>
          <w:rFonts w:ascii="標楷體" w:eastAsia="標楷體" w:hAnsi="標楷體" w:hint="eastAsia"/>
          <w:szCs w:val="22"/>
        </w:rPr>
        <w:t>身見</w:t>
      </w:r>
      <w:r w:rsidR="00186A21">
        <w:rPr>
          <w:rFonts w:ascii="標楷體" w:eastAsia="標楷體" w:hAnsi="標楷體" w:hint="eastAsia"/>
          <w:color w:val="FF0000"/>
          <w:kern w:val="0"/>
          <w:highlight w:val="yellow"/>
        </w:rPr>
        <w:t>』</w:t>
      </w:r>
      <w:r w:rsidRPr="00412A9C">
        <w:rPr>
          <w:rFonts w:ascii="標楷體" w:eastAsia="標楷體" w:hAnsi="標楷體" w:hint="eastAsia"/>
          <w:szCs w:val="22"/>
        </w:rPr>
        <w:t>生、</w:t>
      </w:r>
      <w:r w:rsidR="00186A21">
        <w:rPr>
          <w:rFonts w:ascii="標楷體" w:eastAsia="標楷體" w:hAnsi="標楷體" w:hint="eastAsia"/>
          <w:color w:val="FF0000"/>
          <w:kern w:val="0"/>
          <w:highlight w:val="yellow"/>
        </w:rPr>
        <w:t>『</w:t>
      </w:r>
      <w:r w:rsidRPr="00412A9C">
        <w:rPr>
          <w:rFonts w:ascii="標楷體" w:eastAsia="標楷體" w:hAnsi="標楷體" w:hint="eastAsia"/>
          <w:szCs w:val="22"/>
        </w:rPr>
        <w:t>身見</w:t>
      </w:r>
      <w:r w:rsidR="00186A21">
        <w:rPr>
          <w:rFonts w:ascii="標楷體" w:eastAsia="標楷體" w:hAnsi="標楷體" w:hint="eastAsia"/>
          <w:color w:val="FF0000"/>
          <w:kern w:val="0"/>
          <w:highlight w:val="yellow"/>
        </w:rPr>
        <w:t>』</w:t>
      </w:r>
      <w:r w:rsidRPr="00412A9C">
        <w:rPr>
          <w:rFonts w:ascii="標楷體" w:eastAsia="標楷體" w:hAnsi="標楷體" w:hint="eastAsia"/>
          <w:szCs w:val="22"/>
        </w:rPr>
        <w:t>轉。」</w:t>
      </w:r>
    </w:p>
    <w:p w:rsidR="00157EF6" w:rsidRPr="00412A9C" w:rsidRDefault="00157EF6" w:rsidP="00AA120F">
      <w:pPr>
        <w:pStyle w:val="a5"/>
        <w:ind w:leftChars="105" w:left="252"/>
        <w:jc w:val="both"/>
        <w:rPr>
          <w:rFonts w:ascii="標楷體" w:eastAsia="標楷體" w:hAnsi="標楷體"/>
          <w:szCs w:val="22"/>
        </w:rPr>
      </w:pPr>
      <w:r w:rsidRPr="00412A9C">
        <w:rPr>
          <w:rFonts w:ascii="標楷體" w:eastAsia="標楷體" w:hAnsi="標楷體" w:hint="eastAsia"/>
          <w:szCs w:val="22"/>
        </w:rPr>
        <w:t>復問：「尊者！云何為</w:t>
      </w:r>
      <w:r w:rsidR="00186A21">
        <w:rPr>
          <w:rFonts w:ascii="標楷體" w:eastAsia="標楷體" w:hAnsi="標楷體" w:hint="eastAsia"/>
          <w:color w:val="FF0000"/>
          <w:kern w:val="0"/>
          <w:highlight w:val="yellow"/>
        </w:rPr>
        <w:t>『</w:t>
      </w:r>
      <w:r w:rsidRPr="00412A9C">
        <w:rPr>
          <w:rFonts w:ascii="標楷體" w:eastAsia="標楷體" w:hAnsi="標楷體" w:hint="eastAsia"/>
          <w:szCs w:val="22"/>
        </w:rPr>
        <w:t>身見</w:t>
      </w:r>
      <w:r w:rsidR="00186A21">
        <w:rPr>
          <w:rFonts w:ascii="標楷體" w:eastAsia="標楷體" w:hAnsi="標楷體" w:hint="eastAsia"/>
          <w:color w:val="FF0000"/>
          <w:kern w:val="0"/>
          <w:highlight w:val="yellow"/>
        </w:rPr>
        <w:t>』</w:t>
      </w:r>
      <w:r w:rsidRPr="00412A9C">
        <w:rPr>
          <w:rFonts w:ascii="標楷體" w:eastAsia="標楷體" w:hAnsi="標楷體" w:hint="eastAsia"/>
          <w:szCs w:val="22"/>
        </w:rPr>
        <w:t>？」</w:t>
      </w:r>
    </w:p>
    <w:p w:rsidR="00157EF6" w:rsidRPr="00412A9C" w:rsidRDefault="00157EF6" w:rsidP="00AA120F">
      <w:pPr>
        <w:pStyle w:val="a5"/>
        <w:ind w:leftChars="105" w:left="252"/>
        <w:jc w:val="both"/>
        <w:rPr>
          <w:rFonts w:ascii="標楷體" w:eastAsia="標楷體" w:hAnsi="標楷體"/>
          <w:szCs w:val="22"/>
        </w:rPr>
      </w:pPr>
      <w:r w:rsidRPr="00412A9C">
        <w:rPr>
          <w:rFonts w:ascii="標楷體" w:eastAsia="標楷體" w:hAnsi="標楷體" w:hint="eastAsia"/>
          <w:szCs w:val="22"/>
        </w:rPr>
        <w:t>答言：「長者！愚癡無聞凡夫見色是我、色異我、色中我、我中色；受、想、行、識見是我、識異我、我中識、識中我。長者！是名身見。」</w:t>
      </w:r>
    </w:p>
    <w:p w:rsidR="00157EF6" w:rsidRPr="00412A9C" w:rsidRDefault="00157EF6" w:rsidP="00AA120F">
      <w:pPr>
        <w:pStyle w:val="a5"/>
        <w:ind w:leftChars="105" w:left="252"/>
        <w:jc w:val="both"/>
        <w:rPr>
          <w:rFonts w:ascii="標楷體" w:eastAsia="標楷體" w:hAnsi="標楷體"/>
          <w:szCs w:val="22"/>
        </w:rPr>
      </w:pPr>
      <w:r w:rsidRPr="00412A9C">
        <w:rPr>
          <w:rFonts w:ascii="標楷體" w:eastAsia="標楷體" w:hAnsi="標楷體" w:hint="eastAsia"/>
          <w:szCs w:val="22"/>
        </w:rPr>
        <w:t>復問：「尊者！</w:t>
      </w:r>
      <w:r w:rsidRPr="00412A9C">
        <w:rPr>
          <w:rFonts w:ascii="標楷體" w:eastAsia="標楷體" w:hAnsi="標楷體" w:hint="eastAsia"/>
          <w:b/>
          <w:szCs w:val="22"/>
        </w:rPr>
        <w:t>云何得無此身見？</w:t>
      </w:r>
      <w:r w:rsidRPr="00412A9C">
        <w:rPr>
          <w:rFonts w:ascii="標楷體" w:eastAsia="標楷體" w:hAnsi="標楷體" w:hint="eastAsia"/>
          <w:szCs w:val="22"/>
        </w:rPr>
        <w:t>」</w:t>
      </w:r>
    </w:p>
    <w:p w:rsidR="00157EF6" w:rsidRPr="00412A9C" w:rsidRDefault="00157EF6" w:rsidP="00AA120F">
      <w:pPr>
        <w:pStyle w:val="a5"/>
        <w:ind w:leftChars="105" w:left="252"/>
        <w:jc w:val="both"/>
        <w:rPr>
          <w:rFonts w:eastAsia="SimSun"/>
          <w:szCs w:val="22"/>
        </w:rPr>
      </w:pPr>
      <w:r w:rsidRPr="00412A9C">
        <w:rPr>
          <w:rFonts w:ascii="標楷體" w:eastAsia="標楷體" w:hAnsi="標楷體" w:hint="eastAsia"/>
          <w:szCs w:val="22"/>
        </w:rPr>
        <w:t>答言：「長者！謂多聞聖弟子</w:t>
      </w:r>
      <w:r w:rsidRPr="00412A9C">
        <w:rPr>
          <w:rFonts w:ascii="標楷體" w:eastAsia="標楷體" w:hAnsi="標楷體" w:hint="eastAsia"/>
          <w:b/>
          <w:szCs w:val="22"/>
        </w:rPr>
        <w:t>不見色是我</w:t>
      </w:r>
      <w:r w:rsidR="00186A21">
        <w:rPr>
          <w:rFonts w:ascii="標楷體" w:eastAsia="標楷體" w:hAnsi="標楷體" w:hint="eastAsia"/>
          <w:color w:val="FF0000"/>
          <w:spacing w:val="-4"/>
          <w:kern w:val="0"/>
          <w:highlight w:val="yellow"/>
        </w:rPr>
        <w:t>、</w:t>
      </w:r>
      <w:r w:rsidRPr="00412A9C">
        <w:rPr>
          <w:rFonts w:ascii="標楷體" w:eastAsia="標楷體" w:hAnsi="標楷體" w:hint="eastAsia"/>
          <w:b/>
          <w:szCs w:val="22"/>
        </w:rPr>
        <w:t>不見色異我</w:t>
      </w:r>
      <w:r w:rsidR="00186A21">
        <w:rPr>
          <w:rFonts w:ascii="標楷體" w:eastAsia="標楷體" w:hAnsi="標楷體" w:hint="eastAsia"/>
          <w:color w:val="FF0000"/>
          <w:spacing w:val="-4"/>
          <w:kern w:val="0"/>
          <w:highlight w:val="yellow"/>
        </w:rPr>
        <w:t>、</w:t>
      </w:r>
      <w:r w:rsidRPr="00412A9C">
        <w:rPr>
          <w:rFonts w:ascii="標楷體" w:eastAsia="標楷體" w:hAnsi="標楷體" w:hint="eastAsia"/>
          <w:b/>
          <w:szCs w:val="22"/>
        </w:rPr>
        <w:t>不見</w:t>
      </w:r>
      <w:r w:rsidR="00186A21">
        <w:rPr>
          <w:rFonts w:ascii="標楷體" w:eastAsia="標楷體" w:hAnsi="標楷體" w:hint="eastAsia"/>
          <w:color w:val="FF0000"/>
          <w:kern w:val="0"/>
          <w:highlight w:val="yellow"/>
        </w:rPr>
        <w:t>『</w:t>
      </w:r>
      <w:r w:rsidRPr="00412A9C">
        <w:rPr>
          <w:rFonts w:ascii="標楷體" w:eastAsia="標楷體" w:hAnsi="標楷體" w:hint="eastAsia"/>
          <w:b/>
          <w:szCs w:val="22"/>
        </w:rPr>
        <w:t>我中色、色中我</w:t>
      </w:r>
      <w:r w:rsidR="00186A21">
        <w:rPr>
          <w:rFonts w:ascii="標楷體" w:eastAsia="標楷體" w:hAnsi="標楷體" w:hint="eastAsia"/>
          <w:color w:val="FF0000"/>
          <w:kern w:val="0"/>
          <w:highlight w:val="yellow"/>
        </w:rPr>
        <w:t>』</w:t>
      </w:r>
      <w:r w:rsidRPr="00412A9C">
        <w:rPr>
          <w:rFonts w:ascii="標楷體" w:eastAsia="標楷體" w:hAnsi="標楷體" w:hint="eastAsia"/>
          <w:b/>
          <w:szCs w:val="22"/>
        </w:rPr>
        <w:t>；不見受、想、行、識是我，</w:t>
      </w:r>
      <w:r w:rsidR="00186A21">
        <w:rPr>
          <w:rFonts w:ascii="標楷體" w:eastAsia="標楷體" w:hAnsi="標楷體" w:hint="eastAsia"/>
          <w:color w:val="FF0000"/>
          <w:spacing w:val="-4"/>
          <w:kern w:val="0"/>
          <w:highlight w:val="yellow"/>
        </w:rPr>
        <w:t>、</w:t>
      </w:r>
      <w:r w:rsidRPr="00412A9C">
        <w:rPr>
          <w:rFonts w:ascii="標楷體" w:eastAsia="標楷體" w:hAnsi="標楷體" w:hint="eastAsia"/>
          <w:b/>
          <w:szCs w:val="22"/>
        </w:rPr>
        <w:t>不見識異我</w:t>
      </w:r>
      <w:r w:rsidR="00186A21">
        <w:rPr>
          <w:rFonts w:ascii="標楷體" w:eastAsia="標楷體" w:hAnsi="標楷體" w:hint="eastAsia"/>
          <w:color w:val="FF0000"/>
          <w:spacing w:val="-4"/>
          <w:kern w:val="0"/>
          <w:highlight w:val="yellow"/>
        </w:rPr>
        <w:t>、</w:t>
      </w:r>
      <w:r w:rsidRPr="00412A9C">
        <w:rPr>
          <w:rFonts w:ascii="標楷體" w:eastAsia="標楷體" w:hAnsi="標楷體" w:hint="eastAsia"/>
          <w:b/>
          <w:szCs w:val="22"/>
        </w:rPr>
        <w:t>不見</w:t>
      </w:r>
      <w:r w:rsidR="00186A21">
        <w:rPr>
          <w:rFonts w:ascii="標楷體" w:eastAsia="標楷體" w:hAnsi="標楷體" w:hint="eastAsia"/>
          <w:color w:val="FF0000"/>
          <w:kern w:val="0"/>
          <w:highlight w:val="yellow"/>
        </w:rPr>
        <w:t>『</w:t>
      </w:r>
      <w:r w:rsidRPr="00412A9C">
        <w:rPr>
          <w:rFonts w:ascii="標楷體" w:eastAsia="標楷體" w:hAnsi="標楷體" w:hint="eastAsia"/>
          <w:b/>
          <w:szCs w:val="22"/>
        </w:rPr>
        <w:t>我中識、識中我</w:t>
      </w:r>
      <w:r w:rsidR="00186A21">
        <w:rPr>
          <w:rFonts w:ascii="標楷體" w:eastAsia="標楷體" w:hAnsi="標楷體" w:hint="eastAsia"/>
          <w:color w:val="FF0000"/>
          <w:kern w:val="0"/>
          <w:highlight w:val="yellow"/>
        </w:rPr>
        <w:t>』──</w:t>
      </w:r>
      <w:r w:rsidRPr="00412A9C">
        <w:rPr>
          <w:rFonts w:ascii="標楷體" w:eastAsia="標楷體" w:hAnsi="標楷體" w:hint="eastAsia"/>
          <w:b/>
          <w:szCs w:val="22"/>
        </w:rPr>
        <w:t>是名得無身見。</w:t>
      </w:r>
      <w:r w:rsidRPr="00412A9C">
        <w:rPr>
          <w:rFonts w:ascii="標楷體" w:eastAsia="標楷體" w:hAnsi="標楷體" w:hint="eastAsia"/>
          <w:szCs w:val="22"/>
        </w:rPr>
        <w:t>」</w:t>
      </w:r>
    </w:p>
  </w:footnote>
  <w:footnote w:id="1058">
    <w:p w:rsidR="00157EF6" w:rsidRPr="00412A9C" w:rsidRDefault="00157EF6" w:rsidP="00AA120F">
      <w:pPr>
        <w:pStyle w:val="a5"/>
        <w:spacing w:line="0" w:lineRule="atLeast"/>
        <w:ind w:left="253" w:hangingChars="115" w:hanging="253"/>
        <w:jc w:val="both"/>
        <w:rPr>
          <w:rFonts w:eastAsia="SimSun"/>
          <w:szCs w:val="22"/>
        </w:rPr>
      </w:pPr>
      <w:r w:rsidRPr="00412A9C">
        <w:rPr>
          <w:rStyle w:val="a6"/>
          <w:szCs w:val="22"/>
        </w:rPr>
        <w:footnoteRef/>
      </w:r>
      <w:r w:rsidRPr="00412A9C">
        <w:rPr>
          <w:rFonts w:hint="eastAsia"/>
          <w:szCs w:val="22"/>
        </w:rPr>
        <w:t xml:space="preserve"> </w:t>
      </w:r>
      <w:r w:rsidRPr="00412A9C">
        <w:rPr>
          <w:rFonts w:ascii="新細明體" w:hAnsi="新細明體" w:hint="eastAsia"/>
          <w:szCs w:val="22"/>
        </w:rPr>
        <w:t>依託：</w:t>
      </w:r>
      <w:r w:rsidRPr="00761EF3">
        <w:rPr>
          <w:rFonts w:hint="eastAsia"/>
          <w:szCs w:val="22"/>
        </w:rPr>
        <w:t>2</w:t>
      </w:r>
      <w:r w:rsidRPr="00412A9C">
        <w:rPr>
          <w:rFonts w:hint="eastAsia"/>
          <w:szCs w:val="22"/>
        </w:rPr>
        <w:t>.</w:t>
      </w:r>
      <w:r w:rsidRPr="00412A9C">
        <w:rPr>
          <w:rFonts w:hint="eastAsia"/>
          <w:szCs w:val="22"/>
        </w:rPr>
        <w:t>倚傍，依靠。</w:t>
      </w:r>
      <w:r w:rsidRPr="00412A9C">
        <w:rPr>
          <w:rFonts w:ascii="新細明體" w:hAnsi="新細明體" w:hint="eastAsia"/>
          <w:szCs w:val="22"/>
        </w:rPr>
        <w:t>（《漢語大詞典》（一），</w:t>
      </w:r>
      <w:r w:rsidRPr="00761EF3">
        <w:rPr>
          <w:szCs w:val="22"/>
        </w:rPr>
        <w:t>p</w:t>
      </w:r>
      <w:r w:rsidRPr="00412A9C">
        <w:rPr>
          <w:szCs w:val="22"/>
        </w:rPr>
        <w:t>.</w:t>
      </w:r>
      <w:r w:rsidRPr="00761EF3">
        <w:rPr>
          <w:rFonts w:eastAsia="SimSun" w:hint="eastAsia"/>
          <w:szCs w:val="22"/>
        </w:rPr>
        <w:t>1351</w:t>
      </w:r>
      <w:r w:rsidRPr="00412A9C">
        <w:rPr>
          <w:rFonts w:ascii="新細明體" w:hAnsi="新細明體" w:hint="eastAsia"/>
          <w:szCs w:val="22"/>
        </w:rPr>
        <w:t>）</w:t>
      </w:r>
    </w:p>
  </w:footnote>
  <w:footnote w:id="1059">
    <w:p w:rsidR="00157EF6" w:rsidRPr="00412A9C" w:rsidRDefault="00157EF6" w:rsidP="00AA120F">
      <w:pPr>
        <w:pStyle w:val="a5"/>
        <w:spacing w:line="0" w:lineRule="atLeast"/>
        <w:ind w:left="253" w:hangingChars="115" w:hanging="253"/>
        <w:jc w:val="both"/>
        <w:rPr>
          <w:rFonts w:eastAsia="SimSun"/>
          <w:szCs w:val="22"/>
        </w:rPr>
      </w:pPr>
      <w:r w:rsidRPr="00412A9C">
        <w:rPr>
          <w:rStyle w:val="a6"/>
          <w:szCs w:val="22"/>
        </w:rPr>
        <w:footnoteRef/>
      </w:r>
      <w:r>
        <w:rPr>
          <w:rFonts w:hint="eastAsia"/>
          <w:szCs w:val="22"/>
        </w:rPr>
        <w:t xml:space="preserve"> </w:t>
      </w:r>
      <w:r w:rsidRPr="00412A9C">
        <w:rPr>
          <w:rFonts w:hint="eastAsia"/>
          <w:szCs w:val="22"/>
        </w:rPr>
        <w:t>《雜阿含經》卷</w:t>
      </w:r>
      <w:r w:rsidRPr="00761EF3">
        <w:rPr>
          <w:szCs w:val="22"/>
        </w:rPr>
        <w:t>1</w:t>
      </w:r>
      <w:r w:rsidRPr="00761EF3">
        <w:rPr>
          <w:rFonts w:hint="eastAsia"/>
          <w:szCs w:val="22"/>
        </w:rPr>
        <w:t>1</w:t>
      </w:r>
      <w:r w:rsidRPr="00412A9C">
        <w:rPr>
          <w:rFonts w:ascii="新細明體" w:hAnsi="新細明體" w:hint="eastAsia"/>
          <w:szCs w:val="22"/>
        </w:rPr>
        <w:t>（</w:t>
      </w:r>
      <w:r w:rsidRPr="00761EF3">
        <w:rPr>
          <w:szCs w:val="22"/>
        </w:rPr>
        <w:t>273</w:t>
      </w:r>
      <w:r w:rsidRPr="00412A9C">
        <w:rPr>
          <w:rFonts w:hint="eastAsia"/>
          <w:szCs w:val="22"/>
        </w:rPr>
        <w:t>經</w:t>
      </w:r>
      <w:r w:rsidRPr="00412A9C">
        <w:rPr>
          <w:rFonts w:ascii="新細明體" w:hAnsi="新細明體" w:hint="eastAsia"/>
          <w:szCs w:val="22"/>
        </w:rPr>
        <w:t>）</w:t>
      </w:r>
      <w:r w:rsidRPr="00412A9C">
        <w:rPr>
          <w:rFonts w:hint="eastAsia"/>
          <w:szCs w:val="22"/>
        </w:rPr>
        <w:t>（大正</w:t>
      </w:r>
      <w:r w:rsidRPr="00761EF3">
        <w:rPr>
          <w:szCs w:val="22"/>
        </w:rPr>
        <w:t>2</w:t>
      </w:r>
      <w:r w:rsidRPr="00412A9C">
        <w:rPr>
          <w:rFonts w:hint="eastAsia"/>
          <w:szCs w:val="22"/>
        </w:rPr>
        <w:t>，</w:t>
      </w:r>
      <w:r w:rsidRPr="00761EF3">
        <w:rPr>
          <w:szCs w:val="22"/>
        </w:rPr>
        <w:t>72b</w:t>
      </w:r>
      <w:r w:rsidRPr="00761EF3">
        <w:rPr>
          <w:rFonts w:hint="eastAsia"/>
          <w:szCs w:val="22"/>
        </w:rPr>
        <w:t>20</w:t>
      </w:r>
      <w:r w:rsidRPr="00412A9C">
        <w:rPr>
          <w:rFonts w:eastAsia="SimSun" w:hint="eastAsia"/>
          <w:szCs w:val="22"/>
        </w:rPr>
        <w:t>-</w:t>
      </w:r>
      <w:r w:rsidRPr="00761EF3">
        <w:rPr>
          <w:szCs w:val="22"/>
        </w:rPr>
        <w:t>73a</w:t>
      </w:r>
      <w:r w:rsidRPr="00761EF3">
        <w:rPr>
          <w:rFonts w:hint="eastAsia"/>
          <w:szCs w:val="22"/>
        </w:rPr>
        <w:t>1</w:t>
      </w:r>
      <w:r w:rsidRPr="00412A9C">
        <w:rPr>
          <w:rFonts w:hint="eastAsia"/>
          <w:szCs w:val="22"/>
        </w:rPr>
        <w:t>），《雜阿含經》卷</w:t>
      </w:r>
      <w:r w:rsidRPr="00761EF3">
        <w:rPr>
          <w:szCs w:val="22"/>
        </w:rPr>
        <w:t>1</w:t>
      </w:r>
      <w:r w:rsidRPr="00761EF3">
        <w:rPr>
          <w:rFonts w:hint="eastAsia"/>
          <w:szCs w:val="22"/>
        </w:rPr>
        <w:t>1</w:t>
      </w:r>
      <w:r w:rsidRPr="00412A9C">
        <w:rPr>
          <w:rFonts w:ascii="新細明體" w:hAnsi="新細明體" w:hint="eastAsia"/>
          <w:szCs w:val="22"/>
        </w:rPr>
        <w:t>（</w:t>
      </w:r>
      <w:r w:rsidRPr="00761EF3">
        <w:rPr>
          <w:szCs w:val="22"/>
        </w:rPr>
        <w:t>27</w:t>
      </w:r>
      <w:r w:rsidRPr="00761EF3">
        <w:rPr>
          <w:rFonts w:hint="eastAsia"/>
          <w:szCs w:val="22"/>
        </w:rPr>
        <w:t>4</w:t>
      </w:r>
      <w:r w:rsidRPr="00412A9C">
        <w:rPr>
          <w:rFonts w:hint="eastAsia"/>
          <w:szCs w:val="22"/>
        </w:rPr>
        <w:t>經</w:t>
      </w:r>
      <w:r w:rsidRPr="00412A9C">
        <w:rPr>
          <w:rFonts w:ascii="新細明體" w:hAnsi="新細明體" w:hint="eastAsia"/>
          <w:szCs w:val="22"/>
        </w:rPr>
        <w:t>）</w:t>
      </w:r>
      <w:r w:rsidRPr="00412A9C">
        <w:rPr>
          <w:rFonts w:hint="eastAsia"/>
          <w:szCs w:val="22"/>
        </w:rPr>
        <w:t>（大正</w:t>
      </w:r>
      <w:r w:rsidRPr="00761EF3">
        <w:rPr>
          <w:szCs w:val="22"/>
        </w:rPr>
        <w:t>2</w:t>
      </w:r>
      <w:r w:rsidRPr="00412A9C">
        <w:rPr>
          <w:rFonts w:hint="eastAsia"/>
          <w:szCs w:val="22"/>
        </w:rPr>
        <w:t>，</w:t>
      </w:r>
      <w:r w:rsidRPr="00761EF3">
        <w:rPr>
          <w:szCs w:val="22"/>
        </w:rPr>
        <w:t>7</w:t>
      </w:r>
      <w:r w:rsidRPr="00761EF3">
        <w:rPr>
          <w:rFonts w:hint="eastAsia"/>
          <w:szCs w:val="22"/>
        </w:rPr>
        <w:t>3a2</w:t>
      </w:r>
      <w:r w:rsidRPr="00412A9C">
        <w:rPr>
          <w:rFonts w:hint="eastAsia"/>
          <w:szCs w:val="22"/>
        </w:rPr>
        <w:t>-</w:t>
      </w:r>
      <w:r w:rsidRPr="00761EF3">
        <w:rPr>
          <w:rFonts w:hint="eastAsia"/>
          <w:szCs w:val="22"/>
        </w:rPr>
        <w:t>21</w:t>
      </w:r>
      <w:r w:rsidRPr="00412A9C">
        <w:rPr>
          <w:rFonts w:hint="eastAsia"/>
          <w:szCs w:val="22"/>
        </w:rPr>
        <w:t>）。</w:t>
      </w:r>
    </w:p>
  </w:footnote>
  <w:footnote w:id="1060">
    <w:p w:rsidR="00157EF6" w:rsidRPr="00412A9C" w:rsidRDefault="00157EF6" w:rsidP="00AA120F">
      <w:pPr>
        <w:pStyle w:val="a5"/>
        <w:spacing w:line="0" w:lineRule="atLeast"/>
        <w:ind w:left="253" w:hangingChars="115" w:hanging="253"/>
        <w:jc w:val="both"/>
        <w:rPr>
          <w:rFonts w:eastAsia="SimSun"/>
          <w:szCs w:val="22"/>
        </w:rPr>
      </w:pPr>
      <w:r w:rsidRPr="00412A9C">
        <w:rPr>
          <w:rStyle w:val="a6"/>
          <w:szCs w:val="22"/>
        </w:rPr>
        <w:footnoteRef/>
      </w:r>
      <w:r w:rsidRPr="00412A9C">
        <w:rPr>
          <w:rFonts w:hint="eastAsia"/>
          <w:szCs w:val="22"/>
        </w:rPr>
        <w:t xml:space="preserve"> </w:t>
      </w:r>
      <w:r w:rsidRPr="00412A9C">
        <w:rPr>
          <w:rFonts w:ascii="新細明體" w:hAnsi="新細明體" w:hint="eastAsia"/>
          <w:szCs w:val="22"/>
        </w:rPr>
        <w:t>龍樹造</w:t>
      </w:r>
      <w:r w:rsidRPr="00412A9C">
        <w:rPr>
          <w:rFonts w:hint="eastAsia"/>
          <w:szCs w:val="22"/>
        </w:rPr>
        <w:t>，《十二門論》</w:t>
      </w:r>
      <w:r w:rsidR="00E4710E" w:rsidRPr="00142DED">
        <w:rPr>
          <w:color w:val="FF0000"/>
          <w:szCs w:val="22"/>
          <w:highlight w:val="yellow"/>
        </w:rPr>
        <w:t>〈</w:t>
      </w:r>
      <w:r w:rsidR="00E4710E" w:rsidRPr="00E4710E">
        <w:rPr>
          <w:rFonts w:hint="eastAsia"/>
          <w:color w:val="FF0000"/>
          <w:szCs w:val="22"/>
          <w:highlight w:val="yellow"/>
        </w:rPr>
        <w:t>1</w:t>
      </w:r>
      <w:r w:rsidR="00E4710E" w:rsidRPr="00E4710E">
        <w:rPr>
          <w:color w:val="FF0000"/>
          <w:szCs w:val="22"/>
          <w:highlight w:val="yellow"/>
        </w:rPr>
        <w:t xml:space="preserve"> </w:t>
      </w:r>
      <w:r w:rsidR="00E4710E" w:rsidRPr="00E4710E">
        <w:rPr>
          <w:color w:val="FF0000"/>
          <w:szCs w:val="22"/>
          <w:highlight w:val="yellow"/>
        </w:rPr>
        <w:t>觀</w:t>
      </w:r>
      <w:r w:rsidR="00E4710E" w:rsidRPr="00E4710E">
        <w:rPr>
          <w:rFonts w:hint="eastAsia"/>
          <w:color w:val="FF0000"/>
          <w:szCs w:val="22"/>
          <w:highlight w:val="yellow"/>
        </w:rPr>
        <w:t>因緣</w:t>
      </w:r>
      <w:r w:rsidR="00E4710E" w:rsidRPr="00E4710E">
        <w:rPr>
          <w:color w:val="FF0000"/>
          <w:szCs w:val="22"/>
          <w:highlight w:val="yellow"/>
        </w:rPr>
        <w:t>門〉</w:t>
      </w:r>
      <w:r w:rsidR="00DA73E4" w:rsidRPr="00412A9C">
        <w:rPr>
          <w:rFonts w:ascii="新細明體" w:cs="新細明體" w:hint="eastAsia"/>
          <w:szCs w:val="22"/>
        </w:rPr>
        <w:t>（大正</w:t>
      </w:r>
      <w:r w:rsidR="00DA73E4" w:rsidRPr="00761EF3">
        <w:rPr>
          <w:rFonts w:eastAsia="SimSun" w:hint="eastAsia"/>
          <w:szCs w:val="22"/>
        </w:rPr>
        <w:t>30</w:t>
      </w:r>
      <w:r w:rsidR="00DA73E4" w:rsidRPr="00412A9C">
        <w:rPr>
          <w:rFonts w:ascii="新細明體" w:cs="新細明體" w:hint="eastAsia"/>
          <w:szCs w:val="22"/>
        </w:rPr>
        <w:t>，</w:t>
      </w:r>
      <w:r w:rsidR="00DA73E4" w:rsidRPr="00761EF3">
        <w:rPr>
          <w:rFonts w:eastAsia="SimSun" w:hint="eastAsia"/>
          <w:szCs w:val="22"/>
        </w:rPr>
        <w:t>160b3</w:t>
      </w:r>
      <w:r w:rsidR="00DA73E4" w:rsidRPr="00412A9C">
        <w:rPr>
          <w:rFonts w:eastAsia="SimSun"/>
          <w:szCs w:val="22"/>
        </w:rPr>
        <w:t>-</w:t>
      </w:r>
      <w:r w:rsidR="00DA73E4" w:rsidRPr="00761EF3">
        <w:rPr>
          <w:rFonts w:eastAsia="SimSun" w:hint="eastAsia"/>
          <w:szCs w:val="22"/>
        </w:rPr>
        <w:t>4</w:t>
      </w:r>
      <w:r w:rsidR="00DA73E4" w:rsidRPr="00412A9C">
        <w:rPr>
          <w:rFonts w:ascii="新細明體" w:cs="新細明體" w:hint="eastAsia"/>
          <w:szCs w:val="22"/>
        </w:rPr>
        <w:t>）</w:t>
      </w:r>
      <w:r w:rsidRPr="00412A9C">
        <w:rPr>
          <w:rFonts w:hint="eastAsia"/>
          <w:szCs w:val="22"/>
        </w:rPr>
        <w:t>：</w:t>
      </w:r>
      <w:r w:rsidRPr="00412A9C">
        <w:rPr>
          <w:rFonts w:ascii="標楷體" w:eastAsia="標楷體" w:hAnsi="標楷體" w:hint="eastAsia"/>
          <w:szCs w:val="22"/>
        </w:rPr>
        <w:t>「一切有為法皆空</w:t>
      </w:r>
      <w:r w:rsidR="00E4710E">
        <w:rPr>
          <w:rFonts w:ascii="標楷體" w:eastAsia="標楷體" w:hAnsi="標楷體" w:hint="eastAsia"/>
          <w:color w:val="FF0000"/>
          <w:szCs w:val="22"/>
          <w:highlight w:val="yellow"/>
        </w:rPr>
        <w:t>。</w:t>
      </w:r>
      <w:r w:rsidRPr="00412A9C">
        <w:rPr>
          <w:rFonts w:ascii="標楷體" w:eastAsia="標楷體" w:hAnsi="標楷體" w:hint="eastAsia"/>
          <w:szCs w:val="22"/>
        </w:rPr>
        <w:t>有為法尚空，何況</w:t>
      </w:r>
      <w:r w:rsidR="00E4710E">
        <w:rPr>
          <w:rFonts w:ascii="標楷體" w:eastAsia="標楷體" w:hAnsi="標楷體" w:hint="eastAsia"/>
          <w:color w:val="FF0000"/>
          <w:kern w:val="0"/>
          <w:highlight w:val="yellow"/>
        </w:rPr>
        <w:t>『</w:t>
      </w:r>
      <w:r w:rsidRPr="00412A9C">
        <w:rPr>
          <w:rFonts w:ascii="標楷體" w:eastAsia="標楷體" w:hAnsi="標楷體" w:hint="eastAsia"/>
          <w:szCs w:val="22"/>
        </w:rPr>
        <w:t>我</w:t>
      </w:r>
      <w:r w:rsidR="00E4710E">
        <w:rPr>
          <w:rFonts w:ascii="標楷體" w:eastAsia="標楷體" w:hAnsi="標楷體" w:hint="eastAsia"/>
          <w:color w:val="FF0000"/>
          <w:kern w:val="0"/>
          <w:highlight w:val="yellow"/>
        </w:rPr>
        <w:t>』</w:t>
      </w:r>
      <w:r w:rsidRPr="00412A9C">
        <w:rPr>
          <w:rFonts w:ascii="標楷體" w:eastAsia="標楷體" w:hAnsi="標楷體" w:hint="eastAsia"/>
          <w:szCs w:val="22"/>
        </w:rPr>
        <w:t>耶？」</w:t>
      </w:r>
    </w:p>
  </w:footnote>
  <w:footnote w:id="1061">
    <w:p w:rsidR="00157EF6" w:rsidRPr="00412A9C" w:rsidRDefault="00157EF6" w:rsidP="00AA120F">
      <w:pPr>
        <w:pStyle w:val="a5"/>
        <w:spacing w:line="0" w:lineRule="atLeast"/>
        <w:ind w:left="253" w:hangingChars="115" w:hanging="253"/>
        <w:jc w:val="both"/>
        <w:rPr>
          <w:rFonts w:eastAsia="SimSun"/>
          <w:szCs w:val="22"/>
        </w:rPr>
      </w:pPr>
      <w:r w:rsidRPr="00412A9C">
        <w:rPr>
          <w:rStyle w:val="a6"/>
          <w:szCs w:val="22"/>
        </w:rPr>
        <w:footnoteRef/>
      </w:r>
      <w:r w:rsidRPr="00412A9C">
        <w:rPr>
          <w:rFonts w:hint="eastAsia"/>
          <w:szCs w:val="22"/>
        </w:rPr>
        <w:t xml:space="preserve"> </w:t>
      </w:r>
      <w:r w:rsidRPr="00412A9C">
        <w:rPr>
          <w:rFonts w:hint="eastAsia"/>
          <w:szCs w:val="22"/>
        </w:rPr>
        <w:t>參見萬金川，《中觀思想講錄》，</w:t>
      </w:r>
      <w:r w:rsidRPr="00761EF3">
        <w:rPr>
          <w:szCs w:val="22"/>
        </w:rPr>
        <w:t>pp</w:t>
      </w:r>
      <w:r w:rsidRPr="00412A9C">
        <w:rPr>
          <w:szCs w:val="22"/>
        </w:rPr>
        <w:t>.</w:t>
      </w:r>
      <w:r w:rsidRPr="00761EF3">
        <w:rPr>
          <w:szCs w:val="22"/>
        </w:rPr>
        <w:t>93</w:t>
      </w:r>
      <w:r w:rsidRPr="00412A9C">
        <w:rPr>
          <w:szCs w:val="22"/>
        </w:rPr>
        <w:t>-</w:t>
      </w:r>
      <w:r w:rsidRPr="00761EF3">
        <w:rPr>
          <w:szCs w:val="22"/>
        </w:rPr>
        <w:t>94</w:t>
      </w:r>
      <w:r w:rsidRPr="00412A9C">
        <w:rPr>
          <w:rFonts w:hint="eastAsia"/>
          <w:szCs w:val="22"/>
        </w:rPr>
        <w:t>。</w:t>
      </w:r>
    </w:p>
  </w:footnote>
  <w:footnote w:id="1062">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szCs w:val="22"/>
        </w:rPr>
        <w:t>息息：</w:t>
      </w:r>
      <w:r w:rsidRPr="00761EF3">
        <w:rPr>
          <w:szCs w:val="22"/>
        </w:rPr>
        <w:t>2</w:t>
      </w:r>
      <w:r w:rsidRPr="00412A9C">
        <w:rPr>
          <w:szCs w:val="22"/>
        </w:rPr>
        <w:t>.</w:t>
      </w:r>
      <w:r w:rsidRPr="00412A9C">
        <w:rPr>
          <w:szCs w:val="22"/>
        </w:rPr>
        <w:t>猶言時時刻刻。（《漢語大詞典》（七），</w:t>
      </w:r>
      <w:r w:rsidRPr="00761EF3">
        <w:rPr>
          <w:szCs w:val="22"/>
        </w:rPr>
        <w:t>p</w:t>
      </w:r>
      <w:r w:rsidRPr="00412A9C">
        <w:rPr>
          <w:szCs w:val="22"/>
        </w:rPr>
        <w:t>.</w:t>
      </w:r>
      <w:r w:rsidRPr="00761EF3">
        <w:rPr>
          <w:szCs w:val="22"/>
        </w:rPr>
        <w:t>503</w:t>
      </w:r>
      <w:r w:rsidRPr="00412A9C">
        <w:rPr>
          <w:szCs w:val="22"/>
        </w:rPr>
        <w:t>）</w:t>
      </w:r>
    </w:p>
  </w:footnote>
  <w:footnote w:id="1063">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Pr>
          <w:rFonts w:ascii="新細明體" w:hAnsi="新細明體" w:hint="eastAsia"/>
          <w:szCs w:val="22"/>
        </w:rPr>
        <w:t xml:space="preserve"> </w:t>
      </w:r>
      <w:r w:rsidRPr="00412A9C">
        <w:rPr>
          <w:rFonts w:ascii="新細明體" w:hAnsi="新細明體" w:hint="eastAsia"/>
          <w:szCs w:val="22"/>
        </w:rPr>
        <w:t>《中論》</w:t>
      </w:r>
      <w:r w:rsidRPr="00412A9C">
        <w:rPr>
          <w:rFonts w:hint="eastAsia"/>
          <w:szCs w:val="22"/>
        </w:rPr>
        <w:t>卷</w:t>
      </w:r>
      <w:r w:rsidRPr="00761EF3">
        <w:rPr>
          <w:rFonts w:hint="eastAsia"/>
          <w:szCs w:val="22"/>
        </w:rPr>
        <w:t>3</w:t>
      </w:r>
      <w:r w:rsidRPr="00412A9C">
        <w:rPr>
          <w:rFonts w:hint="eastAsia"/>
          <w:szCs w:val="22"/>
        </w:rPr>
        <w:t>〈</w:t>
      </w:r>
      <w:r w:rsidRPr="00761EF3">
        <w:rPr>
          <w:rFonts w:hint="eastAsia"/>
          <w:szCs w:val="22"/>
        </w:rPr>
        <w:t>18</w:t>
      </w:r>
      <w:r>
        <w:rPr>
          <w:szCs w:val="22"/>
        </w:rPr>
        <w:t xml:space="preserve"> </w:t>
      </w:r>
      <w:r w:rsidRPr="00412A9C">
        <w:rPr>
          <w:rFonts w:hint="eastAsia"/>
          <w:szCs w:val="22"/>
        </w:rPr>
        <w:t>觀法品〉</w:t>
      </w:r>
      <w:r w:rsidRPr="00412A9C">
        <w:rPr>
          <w:rFonts w:ascii="新細明體" w:cs="新細明體" w:hint="eastAsia"/>
          <w:szCs w:val="22"/>
        </w:rPr>
        <w:t>（大正</w:t>
      </w:r>
      <w:r w:rsidRPr="00761EF3">
        <w:rPr>
          <w:rFonts w:eastAsia="SimSun" w:hint="eastAsia"/>
          <w:szCs w:val="22"/>
        </w:rPr>
        <w:t>30</w:t>
      </w:r>
      <w:r w:rsidRPr="00412A9C">
        <w:rPr>
          <w:rFonts w:ascii="新細明體" w:cs="新細明體" w:hint="eastAsia"/>
          <w:szCs w:val="22"/>
        </w:rPr>
        <w:t>，</w:t>
      </w:r>
      <w:r w:rsidRPr="00761EF3">
        <w:rPr>
          <w:rFonts w:eastAsia="SimSun" w:hint="eastAsia"/>
          <w:szCs w:val="22"/>
        </w:rPr>
        <w:t>23c22</w:t>
      </w:r>
      <w:r w:rsidRPr="00412A9C">
        <w:rPr>
          <w:rFonts w:eastAsia="SimSun"/>
          <w:szCs w:val="22"/>
        </w:rPr>
        <w:t>-</w:t>
      </w:r>
      <w:r w:rsidRPr="00761EF3">
        <w:rPr>
          <w:rFonts w:eastAsia="SimSun" w:hint="eastAsia"/>
          <w:szCs w:val="22"/>
        </w:rPr>
        <w:t>23</w:t>
      </w:r>
      <w:r w:rsidRPr="00412A9C">
        <w:rPr>
          <w:rFonts w:ascii="新細明體" w:cs="新細明體" w:hint="eastAsia"/>
          <w:szCs w:val="22"/>
        </w:rPr>
        <w:t>）</w:t>
      </w:r>
      <w:r w:rsidRPr="00412A9C">
        <w:rPr>
          <w:rFonts w:hint="eastAsia"/>
          <w:szCs w:val="22"/>
        </w:rPr>
        <w:t>：</w:t>
      </w:r>
    </w:p>
    <w:p w:rsidR="00157EF6" w:rsidRPr="00412A9C" w:rsidRDefault="00157EF6" w:rsidP="00AA120F">
      <w:pPr>
        <w:pStyle w:val="a5"/>
        <w:ind w:leftChars="105" w:left="252"/>
        <w:jc w:val="both"/>
        <w:rPr>
          <w:rFonts w:eastAsia="SimSun"/>
          <w:szCs w:val="22"/>
        </w:rPr>
      </w:pPr>
      <w:r w:rsidRPr="00412A9C">
        <w:rPr>
          <w:rFonts w:ascii="標楷體" w:eastAsia="標楷體" w:hAnsi="標楷體" w:hint="eastAsia"/>
          <w:szCs w:val="22"/>
        </w:rPr>
        <w:t>若無有我者，何得有我所</w:t>
      </w:r>
      <w:r w:rsidR="00186A21">
        <w:rPr>
          <w:rFonts w:ascii="標楷體" w:eastAsia="標楷體" w:hAnsi="標楷體" w:hint="eastAsia"/>
          <w:color w:val="FF0000"/>
          <w:spacing w:val="-4"/>
          <w:kern w:val="0"/>
          <w:highlight w:val="yellow"/>
        </w:rPr>
        <w:t>？</w:t>
      </w:r>
      <w:r w:rsidRPr="00412A9C">
        <w:rPr>
          <w:rFonts w:ascii="標楷體" w:eastAsia="標楷體" w:hAnsi="標楷體" w:hint="eastAsia"/>
          <w:szCs w:val="22"/>
        </w:rPr>
        <w:t>滅我我所故，名得無我智。</w:t>
      </w:r>
    </w:p>
  </w:footnote>
  <w:footnote w:id="1064">
    <w:p w:rsidR="00CE2414" w:rsidRPr="00412A9C" w:rsidRDefault="00CE2414" w:rsidP="00CE2414">
      <w:pPr>
        <w:pStyle w:val="a5"/>
        <w:spacing w:line="0" w:lineRule="atLeast"/>
        <w:ind w:left="253" w:hangingChars="115" w:hanging="253"/>
        <w:jc w:val="both"/>
        <w:rPr>
          <w:rFonts w:eastAsia="標楷體"/>
          <w:szCs w:val="22"/>
        </w:rPr>
      </w:pPr>
      <w:r w:rsidRPr="00412A9C">
        <w:rPr>
          <w:rStyle w:val="a6"/>
          <w:szCs w:val="22"/>
        </w:rPr>
        <w:footnoteRef/>
      </w:r>
      <w:r>
        <w:rPr>
          <w:rFonts w:hint="eastAsia"/>
          <w:szCs w:val="22"/>
        </w:rPr>
        <w:t xml:space="preserve"> </w:t>
      </w:r>
      <w:r w:rsidRPr="00412A9C">
        <w:rPr>
          <w:szCs w:val="22"/>
        </w:rPr>
        <w:t>印順</w:t>
      </w:r>
      <w:r w:rsidRPr="00412A9C">
        <w:rPr>
          <w:rFonts w:hint="eastAsia"/>
          <w:szCs w:val="22"/>
        </w:rPr>
        <w:t>法師</w:t>
      </w:r>
      <w:r w:rsidRPr="00412A9C">
        <w:rPr>
          <w:szCs w:val="22"/>
        </w:rPr>
        <w:t>，《中觀今論》，</w:t>
      </w:r>
      <w:r w:rsidRPr="00412A9C">
        <w:rPr>
          <w:rStyle w:val="old"/>
          <w:rFonts w:hint="eastAsia"/>
          <w:color w:val="auto"/>
          <w:szCs w:val="22"/>
        </w:rPr>
        <w:t>第</w:t>
      </w:r>
      <w:r w:rsidRPr="00761EF3">
        <w:rPr>
          <w:rStyle w:val="old"/>
          <w:rFonts w:hint="eastAsia"/>
          <w:color w:val="auto"/>
          <w:szCs w:val="22"/>
        </w:rPr>
        <w:t>11</w:t>
      </w:r>
      <w:r w:rsidRPr="00412A9C">
        <w:rPr>
          <w:rStyle w:val="old"/>
          <w:rFonts w:hint="eastAsia"/>
          <w:color w:val="auto"/>
          <w:szCs w:val="22"/>
        </w:rPr>
        <w:t>章，第</w:t>
      </w:r>
      <w:r w:rsidRPr="00761EF3">
        <w:rPr>
          <w:rStyle w:val="old"/>
          <w:rFonts w:hint="eastAsia"/>
          <w:color w:val="auto"/>
          <w:szCs w:val="22"/>
        </w:rPr>
        <w:t>2</w:t>
      </w:r>
      <w:r w:rsidRPr="00412A9C">
        <w:rPr>
          <w:rStyle w:val="old"/>
          <w:rFonts w:hint="eastAsia"/>
          <w:color w:val="auto"/>
          <w:szCs w:val="22"/>
        </w:rPr>
        <w:t>節</w:t>
      </w:r>
      <w:r w:rsidRPr="00412A9C">
        <w:rPr>
          <w:rFonts w:hint="eastAsia"/>
          <w:szCs w:val="22"/>
        </w:rPr>
        <w:t>〈緣起空有〉，</w:t>
      </w:r>
      <w:r w:rsidRPr="00761EF3">
        <w:rPr>
          <w:rFonts w:eastAsia="SimSun"/>
          <w:szCs w:val="22"/>
        </w:rPr>
        <w:t>p</w:t>
      </w:r>
      <w:r w:rsidRPr="00412A9C">
        <w:rPr>
          <w:rFonts w:eastAsia="SimSun"/>
          <w:szCs w:val="22"/>
        </w:rPr>
        <w:t>.</w:t>
      </w:r>
      <w:r w:rsidRPr="00761EF3">
        <w:rPr>
          <w:rFonts w:eastAsia="SimSun"/>
          <w:szCs w:val="22"/>
        </w:rPr>
        <w:t>240</w:t>
      </w:r>
      <w:r w:rsidRPr="00412A9C">
        <w:rPr>
          <w:szCs w:val="22"/>
        </w:rPr>
        <w:t>：</w:t>
      </w:r>
    </w:p>
    <w:p w:rsidR="00CE2414" w:rsidRPr="00412A9C" w:rsidRDefault="00CE2414" w:rsidP="00CE2414">
      <w:pPr>
        <w:pStyle w:val="a5"/>
        <w:ind w:leftChars="105" w:left="252"/>
        <w:jc w:val="both"/>
        <w:rPr>
          <w:rFonts w:eastAsia="SimSun"/>
          <w:szCs w:val="22"/>
        </w:rPr>
      </w:pPr>
      <w:r w:rsidRPr="00412A9C">
        <w:rPr>
          <w:rFonts w:eastAsia="標楷體"/>
          <w:szCs w:val="22"/>
        </w:rPr>
        <w:t>分別來說，執</w:t>
      </w:r>
      <w:r w:rsidRPr="00412A9C">
        <w:rPr>
          <w:rFonts w:eastAsia="標楷體"/>
          <w:b/>
          <w:szCs w:val="22"/>
        </w:rPr>
        <w:t>法</w:t>
      </w:r>
      <w:r w:rsidRPr="00412A9C">
        <w:rPr>
          <w:rFonts w:eastAsia="標楷體"/>
          <w:szCs w:val="22"/>
        </w:rPr>
        <w:t>有實自性的，是法我見；執</w:t>
      </w:r>
      <w:r w:rsidRPr="00412A9C">
        <w:rPr>
          <w:rFonts w:eastAsia="標楷體"/>
          <w:b/>
          <w:szCs w:val="22"/>
        </w:rPr>
        <w:t>我</w:t>
      </w:r>
      <w:r w:rsidRPr="00412A9C">
        <w:rPr>
          <w:rFonts w:eastAsia="標楷體"/>
          <w:szCs w:val="22"/>
        </w:rPr>
        <w:t>有實自性的，是人我見，也即是薩迦耶見。</w:t>
      </w:r>
    </w:p>
  </w:footnote>
  <w:footnote w:id="1065">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sidRPr="009A5A58">
        <w:rPr>
          <w:rFonts w:hint="eastAsia"/>
          <w:szCs w:val="22"/>
        </w:rPr>
        <w:t xml:space="preserve"> </w:t>
      </w:r>
      <w:r w:rsidRPr="00412A9C">
        <w:rPr>
          <w:rFonts w:eastAsia="SimSun"/>
          <w:szCs w:val="22"/>
        </w:rPr>
        <w:t>（</w:t>
      </w:r>
      <w:r w:rsidRPr="00761EF3">
        <w:rPr>
          <w:szCs w:val="22"/>
        </w:rPr>
        <w:t>1</w:t>
      </w:r>
      <w:r w:rsidRPr="00412A9C">
        <w:rPr>
          <w:szCs w:val="22"/>
        </w:rPr>
        <w:t>）龍樹造，《寶行王正論》〈</w:t>
      </w:r>
      <w:r w:rsidRPr="00761EF3">
        <w:rPr>
          <w:szCs w:val="22"/>
        </w:rPr>
        <w:t>1</w:t>
      </w:r>
      <w:r>
        <w:rPr>
          <w:szCs w:val="22"/>
        </w:rPr>
        <w:t xml:space="preserve"> </w:t>
      </w:r>
      <w:r w:rsidRPr="00412A9C">
        <w:rPr>
          <w:szCs w:val="22"/>
        </w:rPr>
        <w:t>安樂解脫品〉（大正</w:t>
      </w:r>
      <w:r w:rsidRPr="00761EF3">
        <w:rPr>
          <w:szCs w:val="22"/>
        </w:rPr>
        <w:t>32</w:t>
      </w:r>
      <w:r w:rsidRPr="00412A9C">
        <w:rPr>
          <w:szCs w:val="22"/>
        </w:rPr>
        <w:t>，</w:t>
      </w:r>
      <w:r w:rsidRPr="00761EF3">
        <w:rPr>
          <w:szCs w:val="22"/>
        </w:rPr>
        <w:t>494a1</w:t>
      </w:r>
      <w:r w:rsidRPr="00412A9C">
        <w:rPr>
          <w:szCs w:val="22"/>
        </w:rPr>
        <w:t>-</w:t>
      </w:r>
      <w:r w:rsidRPr="00761EF3">
        <w:rPr>
          <w:rFonts w:hint="eastAsia"/>
          <w:szCs w:val="22"/>
        </w:rPr>
        <w:t>16</w:t>
      </w:r>
      <w:r w:rsidRPr="00412A9C">
        <w:rPr>
          <w:szCs w:val="22"/>
        </w:rPr>
        <w:t>）：</w:t>
      </w:r>
    </w:p>
    <w:p w:rsidR="00186A21" w:rsidRDefault="00157EF6" w:rsidP="00AA120F">
      <w:pPr>
        <w:pStyle w:val="a5"/>
        <w:ind w:leftChars="335" w:left="804"/>
        <w:jc w:val="both"/>
        <w:rPr>
          <w:rFonts w:eastAsia="標楷體"/>
          <w:szCs w:val="22"/>
        </w:rPr>
      </w:pPr>
      <w:r w:rsidRPr="00412A9C">
        <w:rPr>
          <w:rFonts w:eastAsia="標楷體" w:hint="eastAsia"/>
          <w:szCs w:val="22"/>
        </w:rPr>
        <w:t>我有及我所，此二實皆虛</w:t>
      </w:r>
      <w:r w:rsidR="00186A21">
        <w:rPr>
          <w:rFonts w:ascii="標楷體" w:eastAsia="標楷體" w:hAnsi="標楷體" w:hint="eastAsia"/>
          <w:color w:val="FF0000"/>
          <w:spacing w:val="-4"/>
          <w:kern w:val="0"/>
          <w:highlight w:val="yellow"/>
        </w:rPr>
        <w:t>；</w:t>
      </w:r>
      <w:r w:rsidRPr="00412A9C">
        <w:rPr>
          <w:rFonts w:eastAsia="標楷體" w:hint="eastAsia"/>
          <w:szCs w:val="22"/>
        </w:rPr>
        <w:t>由見如實理，二執不更生。</w:t>
      </w:r>
    </w:p>
    <w:p w:rsidR="00186A21" w:rsidRDefault="00157EF6" w:rsidP="00AA120F">
      <w:pPr>
        <w:pStyle w:val="a5"/>
        <w:ind w:leftChars="335" w:left="804"/>
        <w:jc w:val="both"/>
        <w:rPr>
          <w:rFonts w:eastAsia="標楷體"/>
          <w:szCs w:val="22"/>
        </w:rPr>
      </w:pPr>
      <w:r w:rsidRPr="00412A9C">
        <w:rPr>
          <w:rFonts w:eastAsia="標楷體" w:hint="eastAsia"/>
          <w:szCs w:val="22"/>
        </w:rPr>
        <w:t>諸陰我執生，我執由義虛</w:t>
      </w:r>
      <w:r w:rsidR="00186A21">
        <w:rPr>
          <w:rFonts w:ascii="標楷體" w:eastAsia="標楷體" w:hAnsi="標楷體" w:hint="eastAsia"/>
          <w:color w:val="FF0000"/>
          <w:spacing w:val="-4"/>
          <w:kern w:val="0"/>
          <w:highlight w:val="yellow"/>
        </w:rPr>
        <w:t>；</w:t>
      </w:r>
      <w:r w:rsidRPr="00412A9C">
        <w:rPr>
          <w:rFonts w:eastAsia="標楷體" w:hint="eastAsia"/>
          <w:szCs w:val="22"/>
        </w:rPr>
        <w:t>若種子不實，芽等云何真？</w:t>
      </w:r>
    </w:p>
    <w:p w:rsidR="00186A21" w:rsidRDefault="00157EF6" w:rsidP="00AA120F">
      <w:pPr>
        <w:pStyle w:val="a5"/>
        <w:ind w:leftChars="335" w:left="804"/>
        <w:jc w:val="both"/>
        <w:rPr>
          <w:rFonts w:eastAsia="標楷體"/>
          <w:szCs w:val="22"/>
        </w:rPr>
      </w:pPr>
      <w:r w:rsidRPr="00412A9C">
        <w:rPr>
          <w:rFonts w:eastAsia="標楷體" w:hint="eastAsia"/>
          <w:b/>
          <w:szCs w:val="22"/>
        </w:rPr>
        <w:t>若見陰不實，我見則不生</w:t>
      </w:r>
      <w:r w:rsidR="00186A21">
        <w:rPr>
          <w:rFonts w:ascii="標楷體" w:eastAsia="標楷體" w:hAnsi="標楷體" w:hint="eastAsia"/>
          <w:color w:val="FF0000"/>
          <w:spacing w:val="-4"/>
          <w:kern w:val="0"/>
          <w:highlight w:val="yellow"/>
        </w:rPr>
        <w:t>；</w:t>
      </w:r>
      <w:r w:rsidRPr="00412A9C">
        <w:rPr>
          <w:rFonts w:eastAsia="標楷體" w:hint="eastAsia"/>
          <w:b/>
          <w:szCs w:val="22"/>
        </w:rPr>
        <w:t>由我見滅盡，諸陰不更起</w:t>
      </w:r>
      <w:r w:rsidRPr="00412A9C">
        <w:rPr>
          <w:rFonts w:eastAsia="標楷體" w:hint="eastAsia"/>
          <w:szCs w:val="22"/>
        </w:rPr>
        <w:t>。</w:t>
      </w:r>
    </w:p>
    <w:p w:rsidR="00186A21" w:rsidRDefault="00157EF6" w:rsidP="00AA120F">
      <w:pPr>
        <w:pStyle w:val="a5"/>
        <w:ind w:leftChars="335" w:left="804"/>
        <w:jc w:val="both"/>
        <w:rPr>
          <w:rFonts w:eastAsia="標楷體"/>
          <w:szCs w:val="22"/>
        </w:rPr>
      </w:pPr>
      <w:r w:rsidRPr="00412A9C">
        <w:rPr>
          <w:rFonts w:eastAsia="標楷體" w:hint="eastAsia"/>
          <w:szCs w:val="22"/>
        </w:rPr>
        <w:t>如人依淨鏡，得見自面影，此影但可見，一向不真實。</w:t>
      </w:r>
    </w:p>
    <w:p w:rsidR="00186A21" w:rsidRDefault="00157EF6" w:rsidP="00AA120F">
      <w:pPr>
        <w:pStyle w:val="a5"/>
        <w:ind w:leftChars="335" w:left="804"/>
        <w:jc w:val="both"/>
        <w:rPr>
          <w:rFonts w:ascii="標楷體" w:eastAsia="標楷體" w:hAnsi="標楷體"/>
          <w:color w:val="FF0000"/>
          <w:kern w:val="0"/>
        </w:rPr>
      </w:pPr>
      <w:r w:rsidRPr="00412A9C">
        <w:rPr>
          <w:rFonts w:eastAsia="標楷體" w:hint="eastAsia"/>
          <w:szCs w:val="22"/>
        </w:rPr>
        <w:t>我見亦如是，依陰得顯現，如實撿非有，猶如鏡面影</w:t>
      </w:r>
      <w:r w:rsidR="00186A21">
        <w:rPr>
          <w:rFonts w:ascii="標楷體" w:eastAsia="標楷體" w:hAnsi="標楷體" w:hint="eastAsia"/>
          <w:color w:val="FF0000"/>
          <w:kern w:val="0"/>
          <w:highlight w:val="yellow"/>
        </w:rPr>
        <w:t>。</w:t>
      </w:r>
    </w:p>
    <w:p w:rsidR="00186A21" w:rsidRDefault="00157EF6" w:rsidP="00AA120F">
      <w:pPr>
        <w:pStyle w:val="a5"/>
        <w:ind w:leftChars="335" w:left="804"/>
        <w:jc w:val="both"/>
        <w:rPr>
          <w:rFonts w:ascii="標楷體" w:eastAsia="標楷體" w:hAnsi="標楷體"/>
          <w:szCs w:val="22"/>
          <w:shd w:val="pct15" w:color="auto" w:fill="FFFFFF"/>
        </w:rPr>
      </w:pPr>
      <w:r w:rsidRPr="00412A9C">
        <w:rPr>
          <w:rFonts w:eastAsia="標楷體" w:hint="eastAsia"/>
          <w:szCs w:val="22"/>
        </w:rPr>
        <w:t>如人不執鏡，不見自面影</w:t>
      </w:r>
      <w:r w:rsidR="00186A21">
        <w:rPr>
          <w:rFonts w:ascii="標楷體" w:eastAsia="標楷體" w:hAnsi="標楷體" w:hint="eastAsia"/>
          <w:color w:val="FF0000"/>
          <w:spacing w:val="-4"/>
          <w:kern w:val="0"/>
          <w:highlight w:val="yellow"/>
        </w:rPr>
        <w:t>；</w:t>
      </w:r>
      <w:r w:rsidRPr="00412A9C">
        <w:rPr>
          <w:rFonts w:eastAsia="標楷體" w:hint="eastAsia"/>
          <w:szCs w:val="22"/>
        </w:rPr>
        <w:t>如此若析陰，我見即不有。</w:t>
      </w:r>
      <w:r w:rsidRPr="00D957F9">
        <w:rPr>
          <w:rFonts w:ascii="標楷體" w:eastAsia="標楷體" w:hAnsi="標楷體" w:hint="eastAsia"/>
          <w:szCs w:val="22"/>
          <w:shd w:val="pct15" w:color="auto" w:fill="FFFFFF"/>
        </w:rPr>
        <w:t>……</w:t>
      </w:r>
    </w:p>
    <w:p w:rsidR="00157EF6" w:rsidRPr="00412A9C" w:rsidRDefault="00157EF6" w:rsidP="00AA120F">
      <w:pPr>
        <w:pStyle w:val="a5"/>
        <w:ind w:leftChars="335" w:left="804"/>
        <w:jc w:val="both"/>
        <w:rPr>
          <w:rFonts w:eastAsia="SimSun"/>
          <w:szCs w:val="22"/>
        </w:rPr>
      </w:pPr>
      <w:r w:rsidRPr="00412A9C">
        <w:rPr>
          <w:rFonts w:eastAsia="標楷體" w:hint="eastAsia"/>
          <w:b/>
          <w:szCs w:val="22"/>
        </w:rPr>
        <w:t>陰執乃至在，我見亦恒存，由有我見故，業及有恒有。</w:t>
      </w:r>
    </w:p>
    <w:p w:rsidR="00157EF6" w:rsidRPr="00412A9C" w:rsidRDefault="00157EF6" w:rsidP="00AA120F">
      <w:pPr>
        <w:pStyle w:val="a5"/>
        <w:ind w:leftChars="105" w:left="791" w:hangingChars="245" w:hanging="539"/>
        <w:jc w:val="both"/>
        <w:rPr>
          <w:rFonts w:ascii="新細明體" w:eastAsia="SimSun" w:cs="新細明體"/>
          <w:kern w:val="0"/>
          <w:szCs w:val="22"/>
        </w:rPr>
      </w:pPr>
      <w:r w:rsidRPr="00412A9C">
        <w:rPr>
          <w:rFonts w:eastAsia="SimSun"/>
          <w:szCs w:val="22"/>
        </w:rPr>
        <w:t>（</w:t>
      </w:r>
      <w:r w:rsidRPr="00761EF3">
        <w:rPr>
          <w:rFonts w:eastAsia="SimSun"/>
          <w:szCs w:val="22"/>
        </w:rPr>
        <w:t>2</w:t>
      </w:r>
      <w:r w:rsidRPr="00412A9C">
        <w:rPr>
          <w:szCs w:val="22"/>
        </w:rPr>
        <w:t>）</w:t>
      </w:r>
      <w:r w:rsidRPr="00412A9C">
        <w:rPr>
          <w:rFonts w:ascii="新細明體" w:cs="新細明體" w:hint="eastAsia"/>
          <w:kern w:val="0"/>
          <w:szCs w:val="22"/>
        </w:rPr>
        <w:t>月稱造，法尊譯，《入中論》卷</w:t>
      </w:r>
      <w:r w:rsidRPr="00761EF3">
        <w:rPr>
          <w:kern w:val="0"/>
          <w:szCs w:val="22"/>
        </w:rPr>
        <w:t>1</w:t>
      </w:r>
      <w:r w:rsidRPr="00412A9C">
        <w:rPr>
          <w:rFonts w:ascii="新細明體" w:cs="新細明體" w:hint="eastAsia"/>
          <w:kern w:val="0"/>
          <w:szCs w:val="22"/>
        </w:rPr>
        <w:t>引《寶鬘論》：</w:t>
      </w:r>
    </w:p>
    <w:p w:rsidR="00D957F9" w:rsidRDefault="00157EF6" w:rsidP="00AA120F">
      <w:pPr>
        <w:pStyle w:val="a5"/>
        <w:ind w:leftChars="335" w:left="804"/>
        <w:jc w:val="both"/>
        <w:rPr>
          <w:rFonts w:ascii="標楷體" w:eastAsia="標楷體" w:cs="標楷體"/>
          <w:kern w:val="0"/>
          <w:szCs w:val="22"/>
        </w:rPr>
      </w:pPr>
      <w:r w:rsidRPr="00412A9C">
        <w:rPr>
          <w:rFonts w:ascii="標楷體" w:eastAsia="標楷體" w:cs="標楷體" w:hint="eastAsia"/>
          <w:kern w:val="0"/>
          <w:szCs w:val="22"/>
        </w:rPr>
        <w:t>《寶鬘論》云：「</w:t>
      </w:r>
      <w:r w:rsidRPr="00412A9C">
        <w:rPr>
          <w:rFonts w:ascii="標楷體" w:eastAsia="標楷體" w:cs="標楷體" w:hint="eastAsia"/>
          <w:b/>
          <w:kern w:val="0"/>
          <w:szCs w:val="22"/>
        </w:rPr>
        <w:t>若時有蘊執，彼即有我執</w:t>
      </w:r>
      <w:r w:rsidRPr="00412A9C">
        <w:rPr>
          <w:rFonts w:ascii="標楷體" w:eastAsia="標楷體" w:cs="標楷體" w:hint="eastAsia"/>
          <w:kern w:val="0"/>
          <w:szCs w:val="22"/>
        </w:rPr>
        <w:t>，有我執造業，從業復受生。三道無初後，猶如旋火輪，更互為因果，流轉生死輪。彼於自他共，三世無得故，我執當永盡，業及生亦爾。」</w:t>
      </w:r>
    </w:p>
    <w:p w:rsidR="00157EF6" w:rsidRPr="00412A9C" w:rsidRDefault="00157EF6" w:rsidP="00D957F9">
      <w:pPr>
        <w:pStyle w:val="a5"/>
        <w:ind w:leftChars="335" w:left="804"/>
        <w:jc w:val="right"/>
        <w:rPr>
          <w:rFonts w:eastAsia="SimSun"/>
          <w:szCs w:val="22"/>
        </w:rPr>
      </w:pPr>
      <w:r w:rsidRPr="00412A9C">
        <w:rPr>
          <w:rFonts w:ascii="新細明體" w:cs="新細明體" w:hint="eastAsia"/>
          <w:kern w:val="0"/>
          <w:szCs w:val="22"/>
        </w:rPr>
        <w:t>（《入中論》，中壢，圓光寺印經會，</w:t>
      </w:r>
      <w:r w:rsidRPr="00761EF3">
        <w:rPr>
          <w:kern w:val="0"/>
          <w:szCs w:val="22"/>
        </w:rPr>
        <w:t>1991</w:t>
      </w:r>
      <w:r w:rsidRPr="00412A9C">
        <w:rPr>
          <w:rFonts w:ascii="新細明體" w:cs="新細明體" w:hint="eastAsia"/>
          <w:kern w:val="0"/>
          <w:szCs w:val="22"/>
        </w:rPr>
        <w:t>年</w:t>
      </w:r>
      <w:r w:rsidRPr="00761EF3">
        <w:rPr>
          <w:kern w:val="0"/>
          <w:szCs w:val="22"/>
        </w:rPr>
        <w:t>12</w:t>
      </w:r>
      <w:r w:rsidRPr="00412A9C">
        <w:rPr>
          <w:rFonts w:ascii="新細明體" w:cs="新細明體" w:hint="eastAsia"/>
          <w:kern w:val="0"/>
          <w:szCs w:val="22"/>
        </w:rPr>
        <w:t>月，</w:t>
      </w:r>
      <w:r w:rsidRPr="00761EF3">
        <w:rPr>
          <w:kern w:val="0"/>
          <w:szCs w:val="22"/>
        </w:rPr>
        <w:t>p</w:t>
      </w:r>
      <w:r w:rsidRPr="00412A9C">
        <w:rPr>
          <w:kern w:val="0"/>
          <w:szCs w:val="22"/>
        </w:rPr>
        <w:t>.</w:t>
      </w:r>
      <w:r w:rsidRPr="00761EF3">
        <w:rPr>
          <w:kern w:val="0"/>
          <w:szCs w:val="22"/>
        </w:rPr>
        <w:t>10</w:t>
      </w:r>
      <w:r w:rsidRPr="00412A9C">
        <w:rPr>
          <w:rFonts w:ascii="新細明體" w:cs="新細明體" w:hint="eastAsia"/>
          <w:kern w:val="0"/>
          <w:szCs w:val="22"/>
        </w:rPr>
        <w:t>）</w:t>
      </w:r>
    </w:p>
  </w:footnote>
  <w:footnote w:id="1066">
    <w:p w:rsidR="00157EF6" w:rsidRPr="00412A9C" w:rsidRDefault="00157EF6" w:rsidP="00AA120F">
      <w:pPr>
        <w:pStyle w:val="a5"/>
        <w:jc w:val="both"/>
        <w:rPr>
          <w:szCs w:val="22"/>
        </w:rPr>
      </w:pPr>
      <w:r w:rsidRPr="00412A9C">
        <w:rPr>
          <w:rStyle w:val="a6"/>
          <w:szCs w:val="22"/>
        </w:rPr>
        <w:footnoteRef/>
      </w:r>
      <w:r w:rsidRPr="00412A9C">
        <w:rPr>
          <w:rFonts w:hint="eastAsia"/>
          <w:szCs w:val="22"/>
        </w:rPr>
        <w:t xml:space="preserve"> </w:t>
      </w:r>
      <w:r w:rsidRPr="00412A9C">
        <w:rPr>
          <w:szCs w:val="22"/>
        </w:rPr>
        <w:t>參見</w:t>
      </w:r>
      <w:r w:rsidRPr="00412A9C">
        <w:rPr>
          <w:rFonts w:hint="eastAsia"/>
          <w:szCs w:val="22"/>
        </w:rPr>
        <w:t>《中</w:t>
      </w:r>
      <w:r w:rsidR="00D957F9">
        <w:rPr>
          <w:rFonts w:hint="eastAsia"/>
          <w:color w:val="FF0000"/>
          <w:szCs w:val="22"/>
          <w:highlight w:val="yellow"/>
        </w:rPr>
        <w:t>觀</w:t>
      </w:r>
      <w:r w:rsidRPr="00412A9C">
        <w:rPr>
          <w:rFonts w:hint="eastAsia"/>
          <w:szCs w:val="22"/>
        </w:rPr>
        <w:t>今論》，</w:t>
      </w:r>
      <w:r w:rsidRPr="00412A9C">
        <w:rPr>
          <w:rStyle w:val="old"/>
          <w:color w:val="auto"/>
          <w:szCs w:val="22"/>
        </w:rPr>
        <w:t>第</w:t>
      </w:r>
      <w:r w:rsidRPr="00761EF3">
        <w:rPr>
          <w:rStyle w:val="old"/>
          <w:color w:val="auto"/>
          <w:szCs w:val="22"/>
        </w:rPr>
        <w:t>10</w:t>
      </w:r>
      <w:r w:rsidRPr="00412A9C">
        <w:rPr>
          <w:rStyle w:val="old"/>
          <w:color w:val="auto"/>
          <w:szCs w:val="22"/>
        </w:rPr>
        <w:t>章</w:t>
      </w:r>
      <w:r w:rsidRPr="00412A9C">
        <w:rPr>
          <w:szCs w:val="22"/>
        </w:rPr>
        <w:t>〈</w:t>
      </w:r>
      <w:r w:rsidRPr="00412A9C">
        <w:rPr>
          <w:rFonts w:hint="eastAsia"/>
          <w:szCs w:val="22"/>
        </w:rPr>
        <w:t>談二諦</w:t>
      </w:r>
      <w:r w:rsidRPr="00412A9C">
        <w:rPr>
          <w:szCs w:val="22"/>
        </w:rPr>
        <w:t>〉</w:t>
      </w:r>
      <w:r w:rsidRPr="00412A9C">
        <w:rPr>
          <w:rStyle w:val="old"/>
          <w:rFonts w:ascii="新細明體" w:hAnsi="新細明體" w:cs="新細明體" w:hint="eastAsia"/>
          <w:color w:val="auto"/>
          <w:szCs w:val="22"/>
        </w:rPr>
        <w:t>，</w:t>
      </w:r>
      <w:r w:rsidRPr="00412A9C">
        <w:rPr>
          <w:rStyle w:val="old"/>
          <w:color w:val="auto"/>
          <w:szCs w:val="22"/>
        </w:rPr>
        <w:t>第</w:t>
      </w:r>
      <w:r w:rsidRPr="00761EF3">
        <w:rPr>
          <w:rStyle w:val="old"/>
          <w:color w:val="auto"/>
          <w:szCs w:val="22"/>
        </w:rPr>
        <w:t>1</w:t>
      </w:r>
      <w:r w:rsidRPr="00412A9C">
        <w:rPr>
          <w:rStyle w:val="old"/>
          <w:color w:val="auto"/>
          <w:szCs w:val="22"/>
        </w:rPr>
        <w:t>節</w:t>
      </w:r>
      <w:r w:rsidRPr="00412A9C">
        <w:rPr>
          <w:szCs w:val="22"/>
        </w:rPr>
        <w:t>〈總說〉，</w:t>
      </w:r>
      <w:r w:rsidRPr="00761EF3">
        <w:rPr>
          <w:rFonts w:eastAsia="SimSun"/>
          <w:szCs w:val="22"/>
        </w:rPr>
        <w:t>p</w:t>
      </w:r>
      <w:r w:rsidRPr="00412A9C">
        <w:rPr>
          <w:rFonts w:eastAsia="SimSun"/>
          <w:szCs w:val="22"/>
        </w:rPr>
        <w:t>.</w:t>
      </w:r>
      <w:r w:rsidRPr="00761EF3">
        <w:rPr>
          <w:szCs w:val="22"/>
        </w:rPr>
        <w:t>209</w:t>
      </w:r>
      <w:r w:rsidRPr="00412A9C">
        <w:rPr>
          <w:rFonts w:hint="eastAsia"/>
          <w:szCs w:val="22"/>
        </w:rPr>
        <w:t>：</w:t>
      </w:r>
    </w:p>
    <w:p w:rsidR="00157EF6" w:rsidRPr="00412A9C" w:rsidRDefault="00157EF6" w:rsidP="00AA120F">
      <w:pPr>
        <w:pStyle w:val="a5"/>
        <w:ind w:leftChars="105" w:left="252"/>
        <w:jc w:val="both"/>
        <w:rPr>
          <w:rFonts w:ascii="標楷體" w:eastAsia="標楷體" w:hAnsi="標楷體"/>
          <w:szCs w:val="22"/>
        </w:rPr>
      </w:pPr>
      <w:r w:rsidRPr="00412A9C">
        <w:rPr>
          <w:rFonts w:ascii="標楷體" w:eastAsia="標楷體" w:hAnsi="標楷體" w:hint="eastAsia"/>
          <w:szCs w:val="22"/>
        </w:rPr>
        <w:t>「實有真空」二諦：這不是說執世俗實有，可以悟勝義真空。這是說，聲聞學者中，厭離心切而不觀法法性空者，側重己利而急於悟入無我我所。</w:t>
      </w:r>
      <w:r w:rsidRPr="00412A9C">
        <w:rPr>
          <w:rFonts w:ascii="標楷體" w:eastAsia="標楷體" w:hAnsi="標楷體" w:hint="eastAsia"/>
          <w:b/>
          <w:szCs w:val="22"/>
        </w:rPr>
        <w:t>於悟入我空性時，離執自證，是謂勝義諦。等到從空出有，起世俗心時，於一切境界中，依舊有實在性現前，是世俗諦。</w:t>
      </w:r>
      <w:r w:rsidRPr="00412A9C">
        <w:rPr>
          <w:rFonts w:ascii="標楷體" w:eastAsia="標楷體" w:hAnsi="標楷體" w:hint="eastAsia"/>
          <w:szCs w:val="22"/>
        </w:rPr>
        <w:t>雖然真悟的聲聞學者，決不因此固執一切法非實有不可，可是在他們的世俗心境中，是有自性相現前的，與一般凡情所現的，相差不遠，但不執著實有而已。</w:t>
      </w:r>
    </w:p>
  </w:footnote>
  <w:footnote w:id="1067">
    <w:p w:rsidR="00157EF6" w:rsidRPr="00412A9C" w:rsidRDefault="00157EF6" w:rsidP="00AA120F">
      <w:pPr>
        <w:pStyle w:val="a5"/>
        <w:spacing w:line="0" w:lineRule="atLeast"/>
        <w:ind w:left="792" w:hangingChars="360" w:hanging="792"/>
        <w:jc w:val="both"/>
        <w:rPr>
          <w:rFonts w:eastAsia="SimSun"/>
          <w:szCs w:val="22"/>
        </w:rPr>
      </w:pPr>
      <w:r w:rsidRPr="00412A9C">
        <w:rPr>
          <w:rStyle w:val="a6"/>
          <w:szCs w:val="22"/>
        </w:rPr>
        <w:footnoteRef/>
      </w:r>
      <w:r>
        <w:rPr>
          <w:rFonts w:hint="eastAsia"/>
          <w:szCs w:val="22"/>
        </w:rPr>
        <w:t xml:space="preserve"> </w:t>
      </w:r>
      <w:r w:rsidRPr="00412A9C">
        <w:rPr>
          <w:rFonts w:hint="eastAsia"/>
          <w:szCs w:val="22"/>
        </w:rPr>
        <w:t>（</w:t>
      </w:r>
      <w:r w:rsidRPr="00761EF3">
        <w:rPr>
          <w:rFonts w:hint="eastAsia"/>
          <w:szCs w:val="22"/>
        </w:rPr>
        <w:t>1</w:t>
      </w:r>
      <w:r w:rsidRPr="00412A9C">
        <w:rPr>
          <w:rFonts w:hint="eastAsia"/>
          <w:szCs w:val="22"/>
        </w:rPr>
        <w:t>）</w:t>
      </w:r>
      <w:r w:rsidRPr="00C80684">
        <w:rPr>
          <w:rFonts w:hint="eastAsia"/>
          <w:spacing w:val="-6"/>
          <w:szCs w:val="22"/>
        </w:rPr>
        <w:t>參見《中論》卷</w:t>
      </w:r>
      <w:r w:rsidRPr="00761EF3">
        <w:rPr>
          <w:spacing w:val="-6"/>
          <w:szCs w:val="22"/>
        </w:rPr>
        <w:t>3</w:t>
      </w:r>
      <w:r w:rsidRPr="00C80684">
        <w:rPr>
          <w:rFonts w:hint="eastAsia"/>
          <w:spacing w:val="-6"/>
          <w:szCs w:val="22"/>
        </w:rPr>
        <w:t>〈</w:t>
      </w:r>
      <w:r w:rsidRPr="00761EF3">
        <w:rPr>
          <w:spacing w:val="-6"/>
          <w:szCs w:val="22"/>
        </w:rPr>
        <w:t>18</w:t>
      </w:r>
      <w:r w:rsidRPr="00C80684">
        <w:rPr>
          <w:spacing w:val="-6"/>
          <w:szCs w:val="22"/>
        </w:rPr>
        <w:t xml:space="preserve"> </w:t>
      </w:r>
      <w:r w:rsidRPr="00C80684">
        <w:rPr>
          <w:rFonts w:hint="eastAsia"/>
          <w:spacing w:val="-6"/>
          <w:szCs w:val="22"/>
        </w:rPr>
        <w:t>觀法品〉。另參見印順法師，《般若經講記》</w:t>
      </w:r>
      <w:r w:rsidR="001561A8">
        <w:rPr>
          <w:rFonts w:hint="eastAsia"/>
          <w:spacing w:val="-6"/>
          <w:szCs w:val="22"/>
        </w:rPr>
        <w:t>，</w:t>
      </w:r>
      <w:r w:rsidRPr="00761EF3">
        <w:rPr>
          <w:spacing w:val="-6"/>
          <w:szCs w:val="22"/>
        </w:rPr>
        <w:t>pp</w:t>
      </w:r>
      <w:r w:rsidRPr="00C80684">
        <w:rPr>
          <w:spacing w:val="-6"/>
          <w:szCs w:val="22"/>
        </w:rPr>
        <w:t>.</w:t>
      </w:r>
      <w:r w:rsidRPr="00761EF3">
        <w:rPr>
          <w:spacing w:val="-6"/>
          <w:szCs w:val="22"/>
        </w:rPr>
        <w:t>105</w:t>
      </w:r>
      <w:r w:rsidRPr="00C80684">
        <w:rPr>
          <w:spacing w:val="-6"/>
          <w:szCs w:val="22"/>
        </w:rPr>
        <w:t>-</w:t>
      </w:r>
      <w:r w:rsidRPr="00761EF3">
        <w:rPr>
          <w:spacing w:val="-6"/>
          <w:szCs w:val="22"/>
        </w:rPr>
        <w:t>106</w:t>
      </w:r>
      <w:r w:rsidRPr="00C80684">
        <w:rPr>
          <w:rFonts w:hint="eastAsia"/>
          <w:spacing w:val="-6"/>
          <w:szCs w:val="22"/>
        </w:rPr>
        <w:t>；</w:t>
      </w:r>
      <w:r w:rsidRPr="00412A9C">
        <w:rPr>
          <w:rFonts w:hint="eastAsia"/>
          <w:szCs w:val="22"/>
        </w:rPr>
        <w:t>《中觀論頌講記》，</w:t>
      </w:r>
      <w:r w:rsidRPr="00761EF3">
        <w:rPr>
          <w:szCs w:val="22"/>
        </w:rPr>
        <w:t>p</w:t>
      </w:r>
      <w:r w:rsidRPr="00412A9C">
        <w:rPr>
          <w:szCs w:val="22"/>
        </w:rPr>
        <w:t>.</w:t>
      </w:r>
      <w:r w:rsidRPr="00761EF3">
        <w:rPr>
          <w:szCs w:val="22"/>
        </w:rPr>
        <w:t>316</w:t>
      </w:r>
      <w:r w:rsidRPr="00412A9C">
        <w:rPr>
          <w:rFonts w:hint="eastAsia"/>
          <w:szCs w:val="22"/>
        </w:rPr>
        <w:t>，</w:t>
      </w:r>
      <w:r w:rsidRPr="00761EF3">
        <w:rPr>
          <w:szCs w:val="22"/>
        </w:rPr>
        <w:t>pp</w:t>
      </w:r>
      <w:r w:rsidRPr="00412A9C">
        <w:rPr>
          <w:szCs w:val="22"/>
        </w:rPr>
        <w:t>.</w:t>
      </w:r>
      <w:r w:rsidRPr="00761EF3">
        <w:rPr>
          <w:szCs w:val="22"/>
        </w:rPr>
        <w:t>317</w:t>
      </w:r>
      <w:r w:rsidRPr="00412A9C">
        <w:rPr>
          <w:szCs w:val="22"/>
        </w:rPr>
        <w:t>-</w:t>
      </w:r>
      <w:r w:rsidRPr="00761EF3">
        <w:rPr>
          <w:szCs w:val="22"/>
        </w:rPr>
        <w:t>318</w:t>
      </w:r>
      <w:r w:rsidRPr="00412A9C">
        <w:rPr>
          <w:rFonts w:hint="eastAsia"/>
          <w:szCs w:val="22"/>
        </w:rPr>
        <w:t>；《成佛之道》（增注本），</w:t>
      </w:r>
      <w:r w:rsidRPr="00761EF3">
        <w:rPr>
          <w:szCs w:val="22"/>
        </w:rPr>
        <w:t>pp</w:t>
      </w:r>
      <w:r w:rsidRPr="00412A9C">
        <w:rPr>
          <w:szCs w:val="22"/>
        </w:rPr>
        <w:t>.</w:t>
      </w:r>
      <w:r w:rsidRPr="00761EF3">
        <w:rPr>
          <w:szCs w:val="22"/>
        </w:rPr>
        <w:t>358</w:t>
      </w:r>
      <w:r w:rsidRPr="00412A9C">
        <w:rPr>
          <w:szCs w:val="22"/>
        </w:rPr>
        <w:t>-</w:t>
      </w:r>
      <w:r w:rsidRPr="00761EF3">
        <w:rPr>
          <w:szCs w:val="22"/>
        </w:rPr>
        <w:t>361</w:t>
      </w:r>
      <w:r w:rsidRPr="00412A9C">
        <w:rPr>
          <w:rFonts w:hint="eastAsia"/>
          <w:szCs w:val="22"/>
        </w:rPr>
        <w:t>。</w:t>
      </w:r>
    </w:p>
    <w:p w:rsidR="00157EF6" w:rsidRPr="00412A9C" w:rsidRDefault="00157EF6" w:rsidP="00AA120F">
      <w:pPr>
        <w:pStyle w:val="a5"/>
        <w:ind w:leftChars="105" w:left="791" w:hangingChars="245" w:hanging="539"/>
        <w:jc w:val="both"/>
        <w:rPr>
          <w:rFonts w:eastAsia="SimSun"/>
          <w:szCs w:val="22"/>
        </w:rPr>
      </w:pPr>
      <w:r w:rsidRPr="00412A9C">
        <w:rPr>
          <w:szCs w:val="22"/>
        </w:rPr>
        <w:t>（</w:t>
      </w:r>
      <w:r w:rsidRPr="00761EF3">
        <w:rPr>
          <w:szCs w:val="22"/>
        </w:rPr>
        <w:t>2</w:t>
      </w:r>
      <w:r w:rsidRPr="00412A9C">
        <w:rPr>
          <w:szCs w:val="22"/>
        </w:rPr>
        <w:t>）關於「眾生空、法空」，參見《大智度論》卷</w:t>
      </w:r>
      <w:r w:rsidRPr="00761EF3">
        <w:rPr>
          <w:szCs w:val="22"/>
        </w:rPr>
        <w:t>26</w:t>
      </w:r>
      <w:r w:rsidRPr="00412A9C">
        <w:rPr>
          <w:szCs w:val="22"/>
        </w:rPr>
        <w:t>（大正</w:t>
      </w:r>
      <w:r w:rsidRPr="00761EF3">
        <w:rPr>
          <w:szCs w:val="22"/>
        </w:rPr>
        <w:t>25</w:t>
      </w:r>
      <w:r w:rsidRPr="00412A9C">
        <w:rPr>
          <w:szCs w:val="22"/>
        </w:rPr>
        <w:t>，</w:t>
      </w:r>
      <w:r w:rsidRPr="00761EF3">
        <w:rPr>
          <w:szCs w:val="22"/>
        </w:rPr>
        <w:t>253c28</w:t>
      </w:r>
      <w:r w:rsidRPr="00412A9C">
        <w:rPr>
          <w:rFonts w:eastAsia="SimSun"/>
          <w:szCs w:val="22"/>
        </w:rPr>
        <w:t>-</w:t>
      </w:r>
      <w:r w:rsidRPr="00761EF3">
        <w:rPr>
          <w:szCs w:val="22"/>
        </w:rPr>
        <w:t>254b2</w:t>
      </w:r>
      <w:r w:rsidRPr="00412A9C">
        <w:rPr>
          <w:szCs w:val="22"/>
        </w:rPr>
        <w:t>）；卷</w:t>
      </w:r>
      <w:r w:rsidRPr="00761EF3">
        <w:rPr>
          <w:szCs w:val="22"/>
        </w:rPr>
        <w:t>31</w:t>
      </w:r>
      <w:r w:rsidRPr="00412A9C">
        <w:rPr>
          <w:szCs w:val="22"/>
        </w:rPr>
        <w:t>（大正</w:t>
      </w:r>
      <w:r w:rsidRPr="00761EF3">
        <w:rPr>
          <w:szCs w:val="22"/>
        </w:rPr>
        <w:t>25</w:t>
      </w:r>
      <w:r w:rsidRPr="00412A9C">
        <w:rPr>
          <w:szCs w:val="22"/>
        </w:rPr>
        <w:t>，</w:t>
      </w:r>
      <w:r w:rsidRPr="00761EF3">
        <w:rPr>
          <w:szCs w:val="22"/>
        </w:rPr>
        <w:t>287b13</w:t>
      </w:r>
      <w:r w:rsidRPr="00412A9C">
        <w:rPr>
          <w:rFonts w:eastAsia="SimSun"/>
          <w:szCs w:val="22"/>
        </w:rPr>
        <w:t>-</w:t>
      </w:r>
      <w:r w:rsidRPr="00761EF3">
        <w:rPr>
          <w:szCs w:val="22"/>
        </w:rPr>
        <w:t>c6</w:t>
      </w:r>
      <w:r w:rsidRPr="00412A9C">
        <w:rPr>
          <w:szCs w:val="22"/>
        </w:rPr>
        <w:t>；</w:t>
      </w:r>
      <w:r w:rsidRPr="00761EF3">
        <w:rPr>
          <w:szCs w:val="22"/>
        </w:rPr>
        <w:t>288c26</w:t>
      </w:r>
      <w:r w:rsidRPr="00412A9C">
        <w:rPr>
          <w:rFonts w:eastAsia="SimSun"/>
          <w:szCs w:val="22"/>
        </w:rPr>
        <w:t>-</w:t>
      </w:r>
      <w:r w:rsidRPr="00761EF3">
        <w:rPr>
          <w:szCs w:val="22"/>
        </w:rPr>
        <w:t>29</w:t>
      </w:r>
      <w:r w:rsidRPr="00412A9C">
        <w:rPr>
          <w:szCs w:val="22"/>
        </w:rPr>
        <w:t>；</w:t>
      </w:r>
      <w:r w:rsidRPr="00761EF3">
        <w:rPr>
          <w:szCs w:val="22"/>
        </w:rPr>
        <w:t>292b12</w:t>
      </w:r>
      <w:r w:rsidRPr="00412A9C">
        <w:rPr>
          <w:rFonts w:eastAsia="SimSun"/>
          <w:szCs w:val="22"/>
        </w:rPr>
        <w:t>-</w:t>
      </w:r>
      <w:r w:rsidRPr="00761EF3">
        <w:rPr>
          <w:szCs w:val="22"/>
        </w:rPr>
        <w:t>16</w:t>
      </w:r>
      <w:r w:rsidRPr="00412A9C">
        <w:rPr>
          <w:szCs w:val="22"/>
        </w:rPr>
        <w:t>）。</w:t>
      </w:r>
    </w:p>
  </w:footnote>
  <w:footnote w:id="1068">
    <w:p w:rsidR="00157EF6" w:rsidRPr="00412A9C" w:rsidRDefault="00157EF6" w:rsidP="00AA120F">
      <w:pPr>
        <w:pStyle w:val="a5"/>
        <w:jc w:val="both"/>
        <w:rPr>
          <w:szCs w:val="22"/>
        </w:rPr>
      </w:pPr>
      <w:r w:rsidRPr="00412A9C">
        <w:rPr>
          <w:rStyle w:val="a6"/>
          <w:szCs w:val="22"/>
        </w:rPr>
        <w:footnoteRef/>
      </w:r>
      <w:r w:rsidRPr="00412A9C">
        <w:rPr>
          <w:szCs w:val="22"/>
        </w:rPr>
        <w:t xml:space="preserve"> </w:t>
      </w:r>
      <w:r w:rsidRPr="00C80684">
        <w:rPr>
          <w:szCs w:val="22"/>
        </w:rPr>
        <w:t>參見</w:t>
      </w:r>
      <w:r w:rsidRPr="00412A9C">
        <w:rPr>
          <w:szCs w:val="22"/>
        </w:rPr>
        <w:t>《雜阿含經》卷</w:t>
      </w:r>
      <w:r w:rsidRPr="00761EF3">
        <w:rPr>
          <w:szCs w:val="22"/>
        </w:rPr>
        <w:t>2</w:t>
      </w:r>
      <w:r w:rsidRPr="00412A9C">
        <w:rPr>
          <w:szCs w:val="22"/>
        </w:rPr>
        <w:t>（</w:t>
      </w:r>
      <w:r w:rsidRPr="00761EF3">
        <w:rPr>
          <w:szCs w:val="22"/>
        </w:rPr>
        <w:t>45</w:t>
      </w:r>
      <w:r w:rsidRPr="00412A9C">
        <w:rPr>
          <w:szCs w:val="22"/>
        </w:rPr>
        <w:t>經）（大正</w:t>
      </w:r>
      <w:r w:rsidRPr="00761EF3">
        <w:rPr>
          <w:szCs w:val="22"/>
        </w:rPr>
        <w:t>2</w:t>
      </w:r>
      <w:r w:rsidRPr="00412A9C">
        <w:rPr>
          <w:szCs w:val="22"/>
        </w:rPr>
        <w:t>，</w:t>
      </w:r>
      <w:r w:rsidRPr="00761EF3">
        <w:rPr>
          <w:szCs w:val="22"/>
        </w:rPr>
        <w:t>11b2</w:t>
      </w:r>
      <w:r w:rsidRPr="00412A9C">
        <w:rPr>
          <w:szCs w:val="22"/>
        </w:rPr>
        <w:t>-</w:t>
      </w:r>
      <w:r w:rsidRPr="00761EF3">
        <w:rPr>
          <w:szCs w:val="22"/>
        </w:rPr>
        <w:t>4</w:t>
      </w:r>
      <w:r w:rsidRPr="00412A9C">
        <w:rPr>
          <w:szCs w:val="22"/>
        </w:rPr>
        <w:t>）：</w:t>
      </w:r>
    </w:p>
    <w:p w:rsidR="00157EF6" w:rsidRPr="00412A9C" w:rsidRDefault="00157EF6" w:rsidP="00AA120F">
      <w:pPr>
        <w:pStyle w:val="a5"/>
        <w:ind w:leftChars="105" w:left="252"/>
        <w:jc w:val="both"/>
        <w:rPr>
          <w:rFonts w:ascii="標楷體" w:eastAsia="標楷體" w:hAnsi="標楷體"/>
          <w:szCs w:val="22"/>
        </w:rPr>
      </w:pPr>
      <w:r w:rsidRPr="00412A9C">
        <w:rPr>
          <w:rFonts w:ascii="標楷體" w:eastAsia="標楷體" w:hAnsi="標楷體" w:hint="eastAsia"/>
          <w:szCs w:val="22"/>
        </w:rPr>
        <w:t>世尊告諸比丘：「有五受陰。云何為五？色受陰，</w:t>
      </w:r>
      <w:r w:rsidR="00186A21">
        <w:rPr>
          <w:rFonts w:ascii="標楷體" w:eastAsia="標楷體" w:hAnsi="標楷體" w:hint="eastAsia"/>
          <w:color w:val="FF0000"/>
          <w:kern w:val="0"/>
          <w:highlight w:val="yellow"/>
        </w:rPr>
        <w:t>『</w:t>
      </w:r>
      <w:r w:rsidRPr="00412A9C">
        <w:rPr>
          <w:rFonts w:ascii="標楷體" w:eastAsia="標楷體" w:hAnsi="標楷體" w:hint="eastAsia"/>
          <w:szCs w:val="22"/>
        </w:rPr>
        <w:t>受、想、行、識</w:t>
      </w:r>
      <w:r w:rsidR="00186A21">
        <w:rPr>
          <w:rFonts w:ascii="標楷體" w:eastAsia="標楷體" w:hAnsi="標楷體" w:hint="eastAsia"/>
          <w:color w:val="FF0000"/>
          <w:kern w:val="0"/>
          <w:highlight w:val="yellow"/>
        </w:rPr>
        <w:t>』</w:t>
      </w:r>
      <w:r w:rsidRPr="00412A9C">
        <w:rPr>
          <w:rFonts w:ascii="標楷體" w:eastAsia="標楷體" w:hAnsi="標楷體" w:hint="eastAsia"/>
          <w:szCs w:val="22"/>
        </w:rPr>
        <w:t>受陰。</w:t>
      </w:r>
      <w:r w:rsidRPr="00412A9C">
        <w:rPr>
          <w:rFonts w:ascii="標楷體" w:eastAsia="標楷體" w:hAnsi="標楷體" w:hint="eastAsia"/>
          <w:b/>
          <w:szCs w:val="22"/>
        </w:rPr>
        <w:t>若諸沙門、婆羅門見有我者，一切皆於此五受陰見我。</w:t>
      </w:r>
      <w:r w:rsidRPr="00412A9C">
        <w:rPr>
          <w:rFonts w:ascii="標楷體" w:eastAsia="標楷體" w:hAnsi="標楷體" w:hint="eastAsia"/>
          <w:szCs w:val="22"/>
        </w:rPr>
        <w:t>」</w:t>
      </w:r>
    </w:p>
  </w:footnote>
  <w:footnote w:id="1069">
    <w:p w:rsidR="00157EF6" w:rsidRPr="00412A9C" w:rsidRDefault="00157EF6" w:rsidP="00AA120F">
      <w:pPr>
        <w:pStyle w:val="a5"/>
        <w:jc w:val="both"/>
        <w:rPr>
          <w:rFonts w:ascii="標楷體" w:eastAsia="標楷體" w:hAnsi="標楷體"/>
          <w:szCs w:val="22"/>
        </w:rPr>
      </w:pPr>
      <w:r w:rsidRPr="00412A9C">
        <w:rPr>
          <w:rStyle w:val="a6"/>
          <w:szCs w:val="22"/>
        </w:rPr>
        <w:footnoteRef/>
      </w:r>
      <w:r>
        <w:rPr>
          <w:rFonts w:hint="eastAsia"/>
          <w:szCs w:val="22"/>
        </w:rPr>
        <w:t xml:space="preserve"> </w:t>
      </w:r>
      <w:r w:rsidRPr="00412A9C">
        <w:rPr>
          <w:rFonts w:hint="eastAsia"/>
          <w:szCs w:val="22"/>
        </w:rPr>
        <w:t>《雜阿含經》卷</w:t>
      </w:r>
      <w:r w:rsidRPr="00761EF3">
        <w:rPr>
          <w:szCs w:val="22"/>
        </w:rPr>
        <w:t>5</w:t>
      </w:r>
      <w:r w:rsidRPr="00412A9C">
        <w:rPr>
          <w:rFonts w:ascii="新細明體" w:hAnsi="新細明體" w:hint="eastAsia"/>
          <w:szCs w:val="22"/>
        </w:rPr>
        <w:t>（</w:t>
      </w:r>
      <w:r w:rsidRPr="00761EF3">
        <w:rPr>
          <w:rFonts w:eastAsia="SimSun"/>
          <w:szCs w:val="22"/>
        </w:rPr>
        <w:t>110</w:t>
      </w:r>
      <w:r w:rsidRPr="00412A9C">
        <w:rPr>
          <w:rFonts w:hint="eastAsia"/>
          <w:szCs w:val="22"/>
        </w:rPr>
        <w:t>經</w:t>
      </w:r>
      <w:r w:rsidRPr="00412A9C">
        <w:rPr>
          <w:rFonts w:ascii="新細明體" w:hAnsi="新細明體" w:hint="eastAsia"/>
          <w:szCs w:val="22"/>
        </w:rPr>
        <w:t>）</w:t>
      </w:r>
      <w:r w:rsidRPr="00412A9C">
        <w:rPr>
          <w:rFonts w:ascii="新細明體" w:cs="新細明體" w:hint="eastAsia"/>
          <w:szCs w:val="22"/>
        </w:rPr>
        <w:t>（大正</w:t>
      </w:r>
      <w:r w:rsidRPr="00761EF3">
        <w:rPr>
          <w:rFonts w:eastAsia="SimSun" w:hint="eastAsia"/>
          <w:szCs w:val="22"/>
        </w:rPr>
        <w:t>2</w:t>
      </w:r>
      <w:r w:rsidRPr="00412A9C">
        <w:rPr>
          <w:rFonts w:ascii="新細明體" w:cs="新細明體" w:hint="eastAsia"/>
          <w:szCs w:val="22"/>
        </w:rPr>
        <w:t>，</w:t>
      </w:r>
      <w:r w:rsidRPr="00761EF3">
        <w:rPr>
          <w:rFonts w:eastAsia="SimSun" w:hint="eastAsia"/>
          <w:szCs w:val="22"/>
        </w:rPr>
        <w:t>36c15</w:t>
      </w:r>
      <w:r w:rsidRPr="00412A9C">
        <w:rPr>
          <w:rFonts w:eastAsia="SimSun"/>
          <w:szCs w:val="22"/>
        </w:rPr>
        <w:t>-</w:t>
      </w:r>
      <w:r w:rsidRPr="00761EF3">
        <w:rPr>
          <w:rFonts w:eastAsia="SimSun" w:hint="eastAsia"/>
          <w:szCs w:val="22"/>
        </w:rPr>
        <w:t>19</w:t>
      </w:r>
      <w:r w:rsidRPr="00412A9C">
        <w:rPr>
          <w:rFonts w:ascii="新細明體" w:cs="新細明體" w:hint="eastAsia"/>
          <w:szCs w:val="22"/>
        </w:rPr>
        <w:t>）</w:t>
      </w:r>
      <w:r w:rsidRPr="00412A9C">
        <w:rPr>
          <w:rFonts w:hint="eastAsia"/>
          <w:szCs w:val="22"/>
        </w:rPr>
        <w:t>：</w:t>
      </w:r>
    </w:p>
    <w:p w:rsidR="00157EF6" w:rsidRPr="00412A9C" w:rsidRDefault="00157EF6" w:rsidP="00AA120F">
      <w:pPr>
        <w:pStyle w:val="a5"/>
        <w:ind w:leftChars="105" w:left="252"/>
        <w:jc w:val="both"/>
        <w:rPr>
          <w:rFonts w:eastAsia="SimSun"/>
          <w:szCs w:val="22"/>
        </w:rPr>
      </w:pPr>
      <w:r w:rsidRPr="00412A9C">
        <w:rPr>
          <w:rFonts w:ascii="標楷體" w:eastAsia="標楷體" w:hAnsi="標楷體" w:hint="eastAsia"/>
          <w:szCs w:val="22"/>
        </w:rPr>
        <w:t>佛告火種居士：「我為諸弟子說諸所有色</w:t>
      </w:r>
      <w:r w:rsidR="00186A21">
        <w:rPr>
          <w:rFonts w:ascii="標楷體" w:eastAsia="標楷體" w:hAnsi="標楷體" w:hint="eastAsia"/>
          <w:color w:val="FF0000"/>
          <w:kern w:val="0"/>
          <w:highlight w:val="yellow"/>
        </w:rPr>
        <w:t>──</w:t>
      </w:r>
      <w:r w:rsidRPr="00412A9C">
        <w:rPr>
          <w:rFonts w:ascii="標楷體" w:eastAsia="標楷體" w:hAnsi="標楷體" w:hint="eastAsia"/>
          <w:szCs w:val="22"/>
        </w:rPr>
        <w:t>若過去、若未來、若現在，若內、若外，若麁、若細，若好、若醜，若遠、若近，彼一切如實觀察</w:t>
      </w:r>
      <w:r w:rsidRPr="00412A9C">
        <w:rPr>
          <w:rFonts w:ascii="標楷體" w:eastAsia="標楷體" w:hAnsi="標楷體" w:hint="eastAsia"/>
          <w:b/>
          <w:szCs w:val="22"/>
        </w:rPr>
        <w:t>非我、非異我、不相在</w:t>
      </w:r>
      <w:r w:rsidRPr="00412A9C">
        <w:rPr>
          <w:rFonts w:ascii="標楷體" w:eastAsia="標楷體" w:hAnsi="標楷體" w:hint="eastAsia"/>
          <w:szCs w:val="22"/>
        </w:rPr>
        <w:t>；受、想、行、識</w:t>
      </w:r>
      <w:r w:rsidR="00186A21">
        <w:rPr>
          <w:rFonts w:ascii="標楷體" w:eastAsia="標楷體" w:hAnsi="標楷體" w:hint="eastAsia"/>
          <w:color w:val="FF0000"/>
          <w:kern w:val="0"/>
          <w:highlight w:val="yellow"/>
        </w:rPr>
        <w:t>，</w:t>
      </w:r>
      <w:r w:rsidRPr="00412A9C">
        <w:rPr>
          <w:rFonts w:ascii="標楷體" w:eastAsia="標楷體" w:hAnsi="標楷體" w:hint="eastAsia"/>
          <w:szCs w:val="22"/>
        </w:rPr>
        <w:t>亦復如是。」</w:t>
      </w:r>
    </w:p>
  </w:footnote>
  <w:footnote w:id="1070">
    <w:p w:rsidR="00157EF6" w:rsidRPr="00412A9C" w:rsidRDefault="00157EF6" w:rsidP="00AA120F">
      <w:pPr>
        <w:pStyle w:val="a5"/>
        <w:jc w:val="both"/>
        <w:rPr>
          <w:rFonts w:ascii="標楷體" w:eastAsia="標楷體" w:hAnsi="標楷體"/>
          <w:szCs w:val="22"/>
        </w:rPr>
      </w:pPr>
      <w:r w:rsidRPr="00412A9C">
        <w:rPr>
          <w:rStyle w:val="a6"/>
          <w:szCs w:val="22"/>
        </w:rPr>
        <w:footnoteRef/>
      </w:r>
      <w:r>
        <w:rPr>
          <w:rFonts w:hint="eastAsia"/>
          <w:szCs w:val="22"/>
        </w:rPr>
        <w:t xml:space="preserve"> </w:t>
      </w:r>
      <w:r w:rsidRPr="00412A9C">
        <w:rPr>
          <w:rFonts w:hint="eastAsia"/>
          <w:szCs w:val="22"/>
        </w:rPr>
        <w:t>《雜阿含經》卷</w:t>
      </w:r>
      <w:r w:rsidRPr="00761EF3">
        <w:rPr>
          <w:szCs w:val="22"/>
        </w:rPr>
        <w:t>5</w:t>
      </w:r>
      <w:r w:rsidRPr="00412A9C">
        <w:rPr>
          <w:rFonts w:ascii="新細明體" w:hAnsi="新細明體" w:hint="eastAsia"/>
          <w:szCs w:val="22"/>
        </w:rPr>
        <w:t>（</w:t>
      </w:r>
      <w:r w:rsidRPr="00761EF3">
        <w:rPr>
          <w:rFonts w:eastAsia="SimSun"/>
          <w:szCs w:val="22"/>
        </w:rPr>
        <w:t>109</w:t>
      </w:r>
      <w:r w:rsidRPr="00412A9C">
        <w:rPr>
          <w:rFonts w:hint="eastAsia"/>
          <w:szCs w:val="22"/>
        </w:rPr>
        <w:t>經</w:t>
      </w:r>
      <w:r w:rsidRPr="00412A9C">
        <w:rPr>
          <w:rFonts w:ascii="新細明體" w:hAnsi="新細明體" w:hint="eastAsia"/>
          <w:szCs w:val="22"/>
        </w:rPr>
        <w:t>）</w:t>
      </w:r>
      <w:r w:rsidRPr="00412A9C">
        <w:rPr>
          <w:rFonts w:ascii="新細明體" w:cs="新細明體" w:hint="eastAsia"/>
          <w:szCs w:val="22"/>
        </w:rPr>
        <w:t>（大正</w:t>
      </w:r>
      <w:r w:rsidRPr="00761EF3">
        <w:rPr>
          <w:rFonts w:eastAsia="SimSun" w:hint="eastAsia"/>
          <w:szCs w:val="22"/>
        </w:rPr>
        <w:t>2</w:t>
      </w:r>
      <w:r w:rsidRPr="00412A9C">
        <w:rPr>
          <w:rFonts w:ascii="新細明體" w:cs="新細明體" w:hint="eastAsia"/>
          <w:szCs w:val="22"/>
        </w:rPr>
        <w:t>，</w:t>
      </w:r>
      <w:r w:rsidRPr="00761EF3">
        <w:rPr>
          <w:rFonts w:eastAsia="SimSun" w:hint="eastAsia"/>
          <w:szCs w:val="22"/>
        </w:rPr>
        <w:t>34b13</w:t>
      </w:r>
      <w:r w:rsidRPr="00412A9C">
        <w:rPr>
          <w:rFonts w:eastAsia="SimSun"/>
          <w:szCs w:val="22"/>
        </w:rPr>
        <w:t>-</w:t>
      </w:r>
      <w:r w:rsidRPr="00761EF3">
        <w:rPr>
          <w:rFonts w:eastAsia="SimSun" w:hint="eastAsia"/>
          <w:szCs w:val="22"/>
        </w:rPr>
        <w:t>14</w:t>
      </w:r>
      <w:r w:rsidRPr="00412A9C">
        <w:rPr>
          <w:rFonts w:ascii="新細明體" w:cs="新細明體" w:hint="eastAsia"/>
          <w:szCs w:val="22"/>
        </w:rPr>
        <w:t>）</w:t>
      </w:r>
      <w:r w:rsidRPr="00412A9C">
        <w:rPr>
          <w:rFonts w:hint="eastAsia"/>
          <w:szCs w:val="22"/>
        </w:rPr>
        <w:t>：</w:t>
      </w:r>
    </w:p>
    <w:p w:rsidR="00157EF6" w:rsidRPr="00412A9C" w:rsidRDefault="00157EF6" w:rsidP="00AA120F">
      <w:pPr>
        <w:pStyle w:val="a5"/>
        <w:ind w:leftChars="105" w:left="252"/>
        <w:jc w:val="both"/>
        <w:rPr>
          <w:rFonts w:ascii="標楷體" w:eastAsia="標楷體" w:hAnsi="標楷體"/>
          <w:szCs w:val="22"/>
        </w:rPr>
      </w:pPr>
      <w:r w:rsidRPr="00412A9C">
        <w:rPr>
          <w:rFonts w:ascii="標楷體" w:eastAsia="標楷體" w:hAnsi="標楷體" w:hint="eastAsia"/>
          <w:szCs w:val="22"/>
        </w:rPr>
        <w:t>愚癡無聞凡夫見</w:t>
      </w:r>
      <w:r w:rsidRPr="00412A9C">
        <w:rPr>
          <w:rFonts w:ascii="標楷體" w:eastAsia="標楷體" w:hAnsi="標楷體" w:hint="eastAsia"/>
          <w:b/>
          <w:szCs w:val="22"/>
        </w:rPr>
        <w:t>色是我、異我、我在色、色在我</w:t>
      </w:r>
      <w:r w:rsidRPr="00412A9C">
        <w:rPr>
          <w:rFonts w:ascii="標楷體" w:eastAsia="標楷體" w:hAnsi="標楷體" w:hint="eastAsia"/>
          <w:szCs w:val="22"/>
        </w:rPr>
        <w:t>；</w:t>
      </w:r>
    </w:p>
    <w:p w:rsidR="00157EF6" w:rsidRPr="00412A9C" w:rsidRDefault="00157EF6" w:rsidP="00AA120F">
      <w:pPr>
        <w:pStyle w:val="a5"/>
        <w:ind w:leftChars="105" w:left="252"/>
        <w:jc w:val="both"/>
        <w:rPr>
          <w:rFonts w:eastAsia="SimSun"/>
          <w:szCs w:val="22"/>
        </w:rPr>
      </w:pPr>
      <w:r w:rsidRPr="00412A9C">
        <w:rPr>
          <w:rFonts w:ascii="標楷體" w:eastAsia="標楷體" w:hAnsi="標楷體" w:hint="eastAsia"/>
          <w:szCs w:val="22"/>
        </w:rPr>
        <w:t>見受、想、行、識，是我、異我、我在識、識在我。</w:t>
      </w:r>
    </w:p>
  </w:footnote>
  <w:footnote w:id="1071">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）《中論》卷</w:t>
      </w:r>
      <w:r w:rsidRPr="00761EF3">
        <w:rPr>
          <w:szCs w:val="22"/>
        </w:rPr>
        <w:t>4</w:t>
      </w:r>
      <w:r w:rsidRPr="00412A9C">
        <w:rPr>
          <w:szCs w:val="22"/>
        </w:rPr>
        <w:t>〈</w:t>
      </w:r>
      <w:r w:rsidRPr="00761EF3">
        <w:rPr>
          <w:szCs w:val="22"/>
        </w:rPr>
        <w:t>22</w:t>
      </w:r>
      <w:r>
        <w:rPr>
          <w:szCs w:val="22"/>
        </w:rPr>
        <w:t xml:space="preserve"> </w:t>
      </w:r>
      <w:r w:rsidRPr="00412A9C">
        <w:rPr>
          <w:szCs w:val="22"/>
        </w:rPr>
        <w:t>觀如來品〉（大正</w:t>
      </w:r>
      <w:r w:rsidRPr="00761EF3">
        <w:rPr>
          <w:szCs w:val="22"/>
        </w:rPr>
        <w:t>30</w:t>
      </w:r>
      <w:r w:rsidRPr="00412A9C">
        <w:rPr>
          <w:szCs w:val="22"/>
        </w:rPr>
        <w:t>，</w:t>
      </w:r>
      <w:r w:rsidRPr="00761EF3">
        <w:rPr>
          <w:szCs w:val="22"/>
        </w:rPr>
        <w:t>29c7</w:t>
      </w:r>
      <w:r w:rsidRPr="00412A9C">
        <w:rPr>
          <w:rFonts w:eastAsia="SimSun"/>
          <w:szCs w:val="22"/>
        </w:rPr>
        <w:t>-</w:t>
      </w:r>
      <w:r w:rsidRPr="00761EF3">
        <w:rPr>
          <w:szCs w:val="22"/>
        </w:rPr>
        <w:t>30a3</w:t>
      </w:r>
      <w:r w:rsidRPr="00412A9C">
        <w:rPr>
          <w:szCs w:val="22"/>
        </w:rPr>
        <w:t>）。</w:t>
      </w:r>
    </w:p>
    <w:p w:rsidR="00157EF6" w:rsidRPr="00412A9C" w:rsidRDefault="00157EF6" w:rsidP="00AA120F">
      <w:pPr>
        <w:pStyle w:val="a5"/>
        <w:ind w:leftChars="105" w:left="791" w:hangingChars="245" w:hanging="539"/>
        <w:jc w:val="both"/>
        <w:rPr>
          <w:szCs w:val="22"/>
        </w:rPr>
      </w:pPr>
      <w:r w:rsidRPr="00412A9C">
        <w:rPr>
          <w:szCs w:val="22"/>
        </w:rPr>
        <w:t>（</w:t>
      </w:r>
      <w:r w:rsidRPr="00761EF3">
        <w:rPr>
          <w:szCs w:val="22"/>
        </w:rPr>
        <w:t>2</w:t>
      </w:r>
      <w:r w:rsidRPr="00412A9C">
        <w:rPr>
          <w:szCs w:val="22"/>
        </w:rPr>
        <w:t>）</w:t>
      </w:r>
      <w:r w:rsidRPr="00412A9C">
        <w:rPr>
          <w:rFonts w:hint="eastAsia"/>
          <w:szCs w:val="22"/>
        </w:rPr>
        <w:t>印順法師，</w:t>
      </w:r>
      <w:r w:rsidRPr="00412A9C">
        <w:rPr>
          <w:szCs w:val="22"/>
        </w:rPr>
        <w:t>《中觀論頌講記》，</w:t>
      </w:r>
      <w:r w:rsidRPr="00761EF3">
        <w:rPr>
          <w:rFonts w:hint="eastAsia"/>
          <w:szCs w:val="22"/>
        </w:rPr>
        <w:t>pp</w:t>
      </w:r>
      <w:r w:rsidRPr="00412A9C">
        <w:rPr>
          <w:rFonts w:hint="eastAsia"/>
          <w:szCs w:val="22"/>
        </w:rPr>
        <w:t>.</w:t>
      </w:r>
      <w:r w:rsidRPr="00761EF3">
        <w:rPr>
          <w:rFonts w:hint="eastAsia"/>
          <w:szCs w:val="22"/>
        </w:rPr>
        <w:t>397</w:t>
      </w:r>
      <w:r w:rsidRPr="00412A9C">
        <w:rPr>
          <w:rFonts w:hint="eastAsia"/>
          <w:szCs w:val="22"/>
        </w:rPr>
        <w:t>-</w:t>
      </w:r>
      <w:r w:rsidRPr="00761EF3">
        <w:rPr>
          <w:rFonts w:hint="eastAsia"/>
          <w:szCs w:val="22"/>
        </w:rPr>
        <w:t>399</w:t>
      </w:r>
      <w:r w:rsidRPr="00412A9C">
        <w:rPr>
          <w:rFonts w:hint="eastAsia"/>
          <w:szCs w:val="22"/>
        </w:rPr>
        <w:t>：</w:t>
      </w:r>
    </w:p>
    <w:p w:rsidR="00157EF6" w:rsidRPr="00412A9C" w:rsidRDefault="00157EF6" w:rsidP="00AA120F">
      <w:pPr>
        <w:pStyle w:val="a5"/>
        <w:ind w:leftChars="335" w:left="804"/>
        <w:jc w:val="both"/>
        <w:rPr>
          <w:rFonts w:ascii="標楷體" w:eastAsia="標楷體" w:cs="標楷體"/>
          <w:b/>
          <w:kern w:val="0"/>
          <w:szCs w:val="22"/>
        </w:rPr>
      </w:pPr>
      <w:r w:rsidRPr="00412A9C">
        <w:rPr>
          <w:rFonts w:ascii="標楷體" w:eastAsia="標楷體" w:cs="標楷體" w:hint="eastAsia"/>
          <w:b/>
          <w:kern w:val="0"/>
          <w:szCs w:val="22"/>
        </w:rPr>
        <w:t>非陰、非離陰，此彼不相在，如來不有陰，何處有如來？</w:t>
      </w:r>
    </w:p>
    <w:p w:rsidR="00157EF6" w:rsidRPr="00412A9C" w:rsidRDefault="00157EF6" w:rsidP="00AA120F">
      <w:pPr>
        <w:pStyle w:val="a5"/>
        <w:ind w:leftChars="335" w:left="804"/>
        <w:jc w:val="both"/>
        <w:rPr>
          <w:rFonts w:ascii="標楷體" w:eastAsia="標楷體" w:cs="標楷體"/>
          <w:kern w:val="0"/>
          <w:szCs w:val="22"/>
        </w:rPr>
      </w:pPr>
      <w:r w:rsidRPr="00412A9C">
        <w:rPr>
          <w:rFonts w:ascii="標楷體" w:eastAsia="標楷體" w:cs="標楷體" w:hint="eastAsia"/>
          <w:kern w:val="0"/>
          <w:szCs w:val="22"/>
        </w:rPr>
        <w:t>外道說有神我異名的如來；佛教說如來出世說法，因此也有人執如來是實有。既所執是同樣的真實有，微妙有，所以現在要考察他，是不是有他們所想像的真實如來。如來依五蘊施設的，所以以五門尋求：</w:t>
      </w:r>
    </w:p>
    <w:p w:rsidR="00157EF6" w:rsidRPr="00412A9C" w:rsidRDefault="00157EF6" w:rsidP="00AA120F">
      <w:pPr>
        <w:pStyle w:val="a5"/>
        <w:ind w:leftChars="335" w:left="1255" w:hangingChars="205" w:hanging="451"/>
        <w:jc w:val="both"/>
        <w:rPr>
          <w:rFonts w:ascii="標楷體" w:eastAsia="標楷體" w:cs="標楷體"/>
          <w:kern w:val="0"/>
          <w:szCs w:val="22"/>
        </w:rPr>
      </w:pPr>
      <w:r w:rsidRPr="00412A9C">
        <w:rPr>
          <w:rFonts w:ascii="標楷體" w:eastAsia="標楷體" w:cs="標楷體" w:hint="eastAsia"/>
          <w:b/>
          <w:kern w:val="0"/>
          <w:szCs w:val="22"/>
        </w:rPr>
        <w:t>一、五陰不能說他是如來：</w:t>
      </w:r>
      <w:r w:rsidRPr="00412A9C">
        <w:rPr>
          <w:rFonts w:ascii="標楷體" w:eastAsia="標楷體" w:cs="標楷體" w:hint="eastAsia"/>
          <w:kern w:val="0"/>
          <w:szCs w:val="22"/>
        </w:rPr>
        <w:t>假使五陰是如來，五陰是生滅的，如來也就應該是生滅。如來是生滅的，這就犯了無常有為的過失，這不是外人所能承認的。所以說「非陰」。</w:t>
      </w:r>
    </w:p>
    <w:p w:rsidR="00157EF6" w:rsidRPr="00412A9C" w:rsidRDefault="00157EF6" w:rsidP="00AA120F">
      <w:pPr>
        <w:pStyle w:val="a5"/>
        <w:ind w:leftChars="335" w:left="1255" w:hangingChars="205" w:hanging="451"/>
        <w:jc w:val="both"/>
        <w:rPr>
          <w:rFonts w:ascii="標楷體" w:eastAsia="標楷體" w:cs="標楷體"/>
          <w:kern w:val="0"/>
          <w:szCs w:val="22"/>
        </w:rPr>
      </w:pPr>
      <w:r w:rsidRPr="00412A9C">
        <w:rPr>
          <w:rFonts w:ascii="標楷體" w:eastAsia="標楷體" w:cs="標楷體" w:hint="eastAsia"/>
          <w:b/>
          <w:kern w:val="0"/>
          <w:szCs w:val="22"/>
        </w:rPr>
        <w:t>二、離了五陰也不可說有如來</w:t>
      </w:r>
      <w:r w:rsidRPr="00412A9C">
        <w:rPr>
          <w:rFonts w:ascii="標楷體" w:eastAsia="標楷體" w:cs="標楷體" w:hint="eastAsia"/>
          <w:kern w:val="0"/>
          <w:szCs w:val="22"/>
        </w:rPr>
        <w:t>：假使離了五陰有如來，就不應以五陰相說如來，如來就成為掛空的擬想。也不應在如來身中有生滅相，沒有生滅相，不是沒有，就是常住。常住不生不滅的實在，實在是不見中道的顛倒，落於常邊。所以說「非離陰」。</w:t>
      </w:r>
    </w:p>
    <w:p w:rsidR="00157EF6" w:rsidRPr="00412A9C" w:rsidRDefault="00157EF6" w:rsidP="00AA120F">
      <w:pPr>
        <w:pStyle w:val="a5"/>
        <w:ind w:leftChars="335" w:left="1255" w:hangingChars="205" w:hanging="451"/>
        <w:jc w:val="both"/>
        <w:rPr>
          <w:rFonts w:ascii="標楷體" w:eastAsia="標楷體" w:cs="標楷體"/>
          <w:kern w:val="0"/>
          <w:szCs w:val="22"/>
        </w:rPr>
      </w:pPr>
      <w:r w:rsidRPr="00412A9C">
        <w:rPr>
          <w:rFonts w:ascii="標楷體" w:eastAsia="標楷體" w:cs="標楷體" w:hint="eastAsia"/>
          <w:b/>
          <w:kern w:val="0"/>
          <w:szCs w:val="22"/>
        </w:rPr>
        <w:t>三、如來不在五陰中</w:t>
      </w:r>
      <w:r w:rsidRPr="00412A9C">
        <w:rPr>
          <w:rFonts w:ascii="標楷體" w:eastAsia="標楷體" w:cs="標楷體" w:hint="eastAsia"/>
          <w:kern w:val="0"/>
          <w:szCs w:val="22"/>
        </w:rPr>
        <w:t>：假使說如來在五陰中，那就等於說人住在房子裡，靈魂住在身體中。既有能在所在，就成了別體的二法。別體的東西，五陰有生滅，如來沒有生滅，還是墮在常過的一邊。</w:t>
      </w:r>
    </w:p>
    <w:p w:rsidR="00157EF6" w:rsidRPr="00412A9C" w:rsidRDefault="00157EF6" w:rsidP="00AA120F">
      <w:pPr>
        <w:pStyle w:val="a5"/>
        <w:ind w:leftChars="335" w:left="1255" w:hangingChars="205" w:hanging="451"/>
        <w:jc w:val="both"/>
        <w:rPr>
          <w:rFonts w:ascii="標楷體" w:eastAsia="標楷體" w:cs="標楷體"/>
          <w:kern w:val="0"/>
          <w:szCs w:val="22"/>
        </w:rPr>
      </w:pPr>
      <w:r w:rsidRPr="00412A9C">
        <w:rPr>
          <w:rFonts w:ascii="標楷體" w:eastAsia="標楷體" w:cs="標楷體" w:hint="eastAsia"/>
          <w:b/>
          <w:kern w:val="0"/>
          <w:szCs w:val="22"/>
        </w:rPr>
        <w:t>四、五陰不在如來中</w:t>
      </w:r>
      <w:r w:rsidRPr="00412A9C">
        <w:rPr>
          <w:rFonts w:ascii="標楷體" w:eastAsia="標楷體" w:cs="標楷體" w:hint="eastAsia"/>
          <w:kern w:val="0"/>
          <w:szCs w:val="22"/>
        </w:rPr>
        <w:t>：假使如來中有五陰，同樣的是別體法，犯有常住過。所以說「此彼不相在」。這兩句，本就是離陰有我的另一解說：承認有別體，而說不相離而相在。</w:t>
      </w:r>
    </w:p>
    <w:p w:rsidR="00157EF6" w:rsidRPr="00412A9C" w:rsidRDefault="00157EF6" w:rsidP="00AA120F">
      <w:pPr>
        <w:pStyle w:val="a5"/>
        <w:ind w:leftChars="335" w:left="1255" w:hangingChars="205" w:hanging="451"/>
        <w:jc w:val="both"/>
        <w:rPr>
          <w:rFonts w:ascii="標楷體" w:eastAsia="標楷體" w:cs="標楷體"/>
          <w:kern w:val="0"/>
          <w:szCs w:val="22"/>
        </w:rPr>
      </w:pPr>
      <w:r w:rsidRPr="00412A9C">
        <w:rPr>
          <w:rFonts w:ascii="標楷體" w:eastAsia="標楷體" w:cs="標楷體" w:hint="eastAsia"/>
          <w:b/>
          <w:kern w:val="0"/>
          <w:szCs w:val="22"/>
        </w:rPr>
        <w:t>五、五陰不屬如來所有</w:t>
      </w:r>
      <w:r w:rsidRPr="00412A9C">
        <w:rPr>
          <w:rFonts w:ascii="標楷體" w:eastAsia="標楷體" w:cs="標楷體" w:hint="eastAsia"/>
          <w:kern w:val="0"/>
          <w:szCs w:val="22"/>
        </w:rPr>
        <w:t>：這仍然別體的，但又想像為不是相在，而是有關係，五陰法是如來所有的。假使如來有五陰，那就如人有物，應該明顯的有別體可說。然而離了五陰，決難證實如來的存在，所以說「如來不有陰」。</w:t>
      </w:r>
    </w:p>
    <w:p w:rsidR="00157EF6" w:rsidRPr="00412A9C" w:rsidRDefault="00157EF6" w:rsidP="00AA120F">
      <w:pPr>
        <w:pStyle w:val="a5"/>
        <w:ind w:leftChars="335" w:left="804"/>
        <w:jc w:val="both"/>
        <w:rPr>
          <w:rFonts w:ascii="標楷體" w:eastAsia="標楷體" w:cs="標楷體"/>
          <w:kern w:val="0"/>
          <w:szCs w:val="22"/>
        </w:rPr>
      </w:pPr>
      <w:r w:rsidRPr="00412A9C">
        <w:rPr>
          <w:rFonts w:ascii="標楷體" w:eastAsia="標楷體" w:cs="標楷體" w:hint="eastAsia"/>
          <w:kern w:val="0"/>
          <w:szCs w:val="22"/>
        </w:rPr>
        <w:t>五門中諦實尋求都無所有，那裡還「有如來」呢？所以外道神我的如來，不可得；佛法中的如來，也決不能妄執是真實妙有的存在。</w:t>
      </w:r>
    </w:p>
    <w:p w:rsidR="00157EF6" w:rsidRPr="00412A9C" w:rsidRDefault="00157EF6" w:rsidP="00AA120F">
      <w:pPr>
        <w:pStyle w:val="a5"/>
        <w:ind w:leftChars="105" w:left="791" w:hangingChars="245" w:hanging="539"/>
        <w:jc w:val="both"/>
        <w:rPr>
          <w:rFonts w:eastAsia="SimSun"/>
          <w:szCs w:val="22"/>
        </w:rPr>
      </w:pPr>
      <w:r w:rsidRPr="00412A9C">
        <w:rPr>
          <w:rFonts w:hint="eastAsia"/>
          <w:szCs w:val="22"/>
        </w:rPr>
        <w:t>（</w:t>
      </w:r>
      <w:r w:rsidRPr="00761EF3">
        <w:rPr>
          <w:rFonts w:hint="eastAsia"/>
          <w:szCs w:val="22"/>
        </w:rPr>
        <w:t>3</w:t>
      </w:r>
      <w:r w:rsidRPr="00412A9C">
        <w:rPr>
          <w:rFonts w:hint="eastAsia"/>
          <w:szCs w:val="22"/>
        </w:rPr>
        <w:t>）印順法師，</w:t>
      </w:r>
      <w:r w:rsidRPr="00412A9C">
        <w:rPr>
          <w:szCs w:val="22"/>
        </w:rPr>
        <w:t>《成佛之道》（增注本），</w:t>
      </w:r>
      <w:r w:rsidRPr="00761EF3">
        <w:rPr>
          <w:szCs w:val="22"/>
        </w:rPr>
        <w:t>pp</w:t>
      </w:r>
      <w:r w:rsidRPr="00412A9C">
        <w:rPr>
          <w:szCs w:val="22"/>
        </w:rPr>
        <w:t>.</w:t>
      </w:r>
      <w:r w:rsidRPr="00761EF3">
        <w:rPr>
          <w:szCs w:val="22"/>
        </w:rPr>
        <w:t>355</w:t>
      </w:r>
      <w:r w:rsidRPr="00412A9C">
        <w:rPr>
          <w:szCs w:val="22"/>
        </w:rPr>
        <w:t>-</w:t>
      </w:r>
      <w:r w:rsidRPr="00761EF3">
        <w:rPr>
          <w:szCs w:val="22"/>
        </w:rPr>
        <w:t>358</w:t>
      </w:r>
      <w:r w:rsidRPr="00412A9C">
        <w:rPr>
          <w:szCs w:val="22"/>
        </w:rPr>
        <w:t>。</w:t>
      </w:r>
    </w:p>
  </w:footnote>
  <w:footnote w:id="1072">
    <w:p w:rsidR="00157EF6" w:rsidRPr="00412A9C" w:rsidRDefault="00157EF6" w:rsidP="00AA120F">
      <w:pPr>
        <w:pStyle w:val="a5"/>
        <w:spacing w:line="0" w:lineRule="atLeast"/>
        <w:ind w:left="792" w:hangingChars="360" w:hanging="792"/>
        <w:jc w:val="both"/>
        <w:rPr>
          <w:rFonts w:eastAsia="SimSun"/>
          <w:szCs w:val="22"/>
        </w:rPr>
      </w:pPr>
      <w:r w:rsidRPr="00412A9C">
        <w:rPr>
          <w:rStyle w:val="a6"/>
          <w:szCs w:val="22"/>
        </w:rPr>
        <w:footnoteRef/>
      </w:r>
      <w:r w:rsidRPr="009A5A58">
        <w:rPr>
          <w:rFonts w:hint="eastAsia"/>
          <w:szCs w:val="22"/>
        </w:rPr>
        <w:t xml:space="preserve"> </w:t>
      </w:r>
      <w:r w:rsidRPr="00412A9C">
        <w:rPr>
          <w:rFonts w:eastAsia="SimSun"/>
          <w:szCs w:val="22"/>
        </w:rPr>
        <w:t>（</w:t>
      </w:r>
      <w:r w:rsidRPr="00761EF3">
        <w:rPr>
          <w:szCs w:val="22"/>
        </w:rPr>
        <w:t>1</w:t>
      </w:r>
      <w:r w:rsidRPr="00412A9C">
        <w:rPr>
          <w:szCs w:val="22"/>
        </w:rPr>
        <w:t>）</w:t>
      </w:r>
      <w:r w:rsidRPr="00412A9C">
        <w:rPr>
          <w:rFonts w:hint="eastAsia"/>
          <w:szCs w:val="22"/>
        </w:rPr>
        <w:t>《入中論》（漢藏教理院刊本，卷</w:t>
      </w:r>
      <w:r w:rsidRPr="00761EF3">
        <w:rPr>
          <w:szCs w:val="22"/>
        </w:rPr>
        <w:t>5</w:t>
      </w:r>
      <w:r w:rsidRPr="00412A9C">
        <w:rPr>
          <w:rFonts w:hint="eastAsia"/>
          <w:szCs w:val="22"/>
        </w:rPr>
        <w:t>，</w:t>
      </w:r>
      <w:r w:rsidRPr="00761EF3">
        <w:rPr>
          <w:szCs w:val="22"/>
        </w:rPr>
        <w:t>p</w:t>
      </w:r>
      <w:r w:rsidRPr="00412A9C">
        <w:rPr>
          <w:szCs w:val="22"/>
        </w:rPr>
        <w:t>.</w:t>
      </w:r>
      <w:r w:rsidRPr="00761EF3">
        <w:rPr>
          <w:szCs w:val="22"/>
        </w:rPr>
        <w:t>5</w:t>
      </w:r>
      <w:r w:rsidRPr="00412A9C">
        <w:rPr>
          <w:rFonts w:hint="eastAsia"/>
          <w:szCs w:val="22"/>
        </w:rPr>
        <w:t>）：</w:t>
      </w:r>
    </w:p>
    <w:p w:rsidR="00157EF6" w:rsidRPr="00412A9C" w:rsidRDefault="00157EF6" w:rsidP="00AA120F">
      <w:pPr>
        <w:pStyle w:val="a5"/>
        <w:ind w:leftChars="335" w:left="804"/>
        <w:jc w:val="both"/>
        <w:rPr>
          <w:rFonts w:ascii="標楷體" w:eastAsia="SimSun" w:hAnsi="標楷體"/>
          <w:szCs w:val="22"/>
        </w:rPr>
      </w:pPr>
      <w:r w:rsidRPr="00412A9C">
        <w:rPr>
          <w:rFonts w:ascii="標楷體" w:eastAsia="標楷體" w:hAnsi="標楷體" w:hint="eastAsia"/>
          <w:szCs w:val="22"/>
        </w:rPr>
        <w:t>如不許車異支分，亦非不異、非有支，不依支分、非支依，非唯積聚、復非形。</w:t>
      </w:r>
      <w:r w:rsidRPr="00412A9C">
        <w:rPr>
          <w:rFonts w:hint="eastAsia"/>
          <w:szCs w:val="22"/>
        </w:rPr>
        <w:t>（</w:t>
      </w:r>
      <w:r w:rsidRPr="00412A9C">
        <w:rPr>
          <w:rFonts w:ascii="新細明體" w:cs="新細明體" w:hint="eastAsia"/>
          <w:szCs w:val="22"/>
        </w:rPr>
        <w:t>圓光寺印經會，</w:t>
      </w:r>
      <w:r w:rsidRPr="00761EF3">
        <w:rPr>
          <w:szCs w:val="22"/>
        </w:rPr>
        <w:t>1991</w:t>
      </w:r>
      <w:r w:rsidRPr="00412A9C">
        <w:rPr>
          <w:rFonts w:ascii="新細明體" w:cs="新細明體" w:hint="eastAsia"/>
          <w:szCs w:val="22"/>
        </w:rPr>
        <w:t>年</w:t>
      </w:r>
      <w:r w:rsidRPr="00761EF3">
        <w:rPr>
          <w:szCs w:val="22"/>
        </w:rPr>
        <w:t>12</w:t>
      </w:r>
      <w:r w:rsidRPr="00412A9C">
        <w:rPr>
          <w:rFonts w:ascii="新細明體" w:cs="新細明體" w:hint="eastAsia"/>
          <w:szCs w:val="22"/>
        </w:rPr>
        <w:t>月，</w:t>
      </w:r>
      <w:r w:rsidRPr="00761EF3">
        <w:rPr>
          <w:szCs w:val="22"/>
        </w:rPr>
        <w:t>p</w:t>
      </w:r>
      <w:r w:rsidRPr="00412A9C">
        <w:rPr>
          <w:szCs w:val="22"/>
        </w:rPr>
        <w:t>.</w:t>
      </w:r>
      <w:r w:rsidRPr="00761EF3">
        <w:rPr>
          <w:szCs w:val="22"/>
        </w:rPr>
        <w:t>269</w:t>
      </w:r>
      <w:r w:rsidRPr="00412A9C">
        <w:rPr>
          <w:rFonts w:ascii="新細明體" w:cs="新細明體" w:hint="eastAsia"/>
          <w:szCs w:val="22"/>
        </w:rPr>
        <w:t>）</w:t>
      </w:r>
    </w:p>
    <w:p w:rsidR="00157EF6" w:rsidRPr="00412A9C" w:rsidRDefault="00157EF6" w:rsidP="00AA120F">
      <w:pPr>
        <w:pStyle w:val="a5"/>
        <w:ind w:leftChars="105" w:left="791" w:hangingChars="245" w:hanging="539"/>
        <w:jc w:val="both"/>
        <w:rPr>
          <w:rFonts w:eastAsia="SimSun"/>
          <w:szCs w:val="22"/>
        </w:rPr>
      </w:pPr>
      <w:r w:rsidRPr="00412A9C">
        <w:rPr>
          <w:rFonts w:eastAsia="SimSun"/>
          <w:szCs w:val="22"/>
        </w:rPr>
        <w:t>（</w:t>
      </w:r>
      <w:r w:rsidRPr="00761EF3">
        <w:rPr>
          <w:rFonts w:eastAsia="SimSun"/>
          <w:szCs w:val="22"/>
        </w:rPr>
        <w:t>2</w:t>
      </w:r>
      <w:r w:rsidRPr="00412A9C">
        <w:rPr>
          <w:szCs w:val="22"/>
        </w:rPr>
        <w:t>）</w:t>
      </w:r>
      <w:r w:rsidRPr="00412A9C">
        <w:rPr>
          <w:rFonts w:hint="eastAsia"/>
          <w:szCs w:val="22"/>
        </w:rPr>
        <w:t>演培法師，《入中論頌講記》，台北，天華出版公司，</w:t>
      </w:r>
      <w:r w:rsidRPr="00761EF3">
        <w:rPr>
          <w:szCs w:val="22"/>
        </w:rPr>
        <w:t>1992</w:t>
      </w:r>
      <w:r w:rsidRPr="00412A9C">
        <w:rPr>
          <w:rFonts w:hint="eastAsia"/>
          <w:szCs w:val="22"/>
        </w:rPr>
        <w:t>年</w:t>
      </w:r>
      <w:r w:rsidRPr="00761EF3">
        <w:rPr>
          <w:szCs w:val="22"/>
        </w:rPr>
        <w:t>3</w:t>
      </w:r>
      <w:r w:rsidRPr="00412A9C">
        <w:rPr>
          <w:rFonts w:hint="eastAsia"/>
          <w:szCs w:val="22"/>
        </w:rPr>
        <w:t>月三刷，</w:t>
      </w:r>
      <w:r w:rsidRPr="00761EF3">
        <w:rPr>
          <w:szCs w:val="22"/>
        </w:rPr>
        <w:t>pp</w:t>
      </w:r>
      <w:r w:rsidRPr="00412A9C">
        <w:rPr>
          <w:szCs w:val="22"/>
        </w:rPr>
        <w:t>.</w:t>
      </w:r>
      <w:r w:rsidRPr="00761EF3">
        <w:rPr>
          <w:szCs w:val="22"/>
        </w:rPr>
        <w:t>41</w:t>
      </w:r>
      <w:r w:rsidRPr="00761EF3">
        <w:rPr>
          <w:rFonts w:eastAsia="SimSun" w:hint="eastAsia"/>
          <w:szCs w:val="22"/>
        </w:rPr>
        <w:t>9</w:t>
      </w:r>
      <w:r w:rsidRPr="00412A9C">
        <w:rPr>
          <w:szCs w:val="22"/>
        </w:rPr>
        <w:t>-</w:t>
      </w:r>
      <w:r w:rsidRPr="00761EF3">
        <w:rPr>
          <w:szCs w:val="22"/>
        </w:rPr>
        <w:t>4</w:t>
      </w:r>
      <w:r w:rsidRPr="00761EF3">
        <w:rPr>
          <w:rFonts w:eastAsia="SimSun" w:hint="eastAsia"/>
          <w:szCs w:val="22"/>
        </w:rPr>
        <w:t>2</w:t>
      </w:r>
      <w:r w:rsidRPr="00761EF3">
        <w:rPr>
          <w:szCs w:val="22"/>
        </w:rPr>
        <w:t>1</w:t>
      </w:r>
      <w:r w:rsidRPr="00412A9C">
        <w:rPr>
          <w:rFonts w:ascii="新細明體" w:cs="新細明體" w:hint="eastAsia"/>
          <w:kern w:val="0"/>
          <w:szCs w:val="22"/>
        </w:rPr>
        <w:t>：</w:t>
      </w:r>
    </w:p>
    <w:p w:rsidR="00157EF6" w:rsidRPr="00412A9C" w:rsidRDefault="00157EF6" w:rsidP="00AA120F">
      <w:pPr>
        <w:pStyle w:val="a5"/>
        <w:ind w:leftChars="335" w:left="1475" w:hangingChars="305" w:hanging="671"/>
        <w:jc w:val="both"/>
        <w:rPr>
          <w:rFonts w:ascii="標楷體" w:eastAsia="標楷體" w:hAnsi="標楷體"/>
          <w:szCs w:val="22"/>
        </w:rPr>
      </w:pPr>
      <w:r>
        <w:rPr>
          <w:rFonts w:ascii="標楷體" w:eastAsia="標楷體" w:hAnsi="標楷體" w:hint="eastAsia"/>
          <w:szCs w:val="22"/>
        </w:rPr>
        <w:t>（一）「</w:t>
      </w:r>
      <w:r w:rsidRPr="00412A9C">
        <w:rPr>
          <w:rFonts w:ascii="標楷體" w:eastAsia="標楷體" w:hAnsi="標楷體" w:hint="eastAsia"/>
          <w:b/>
          <w:szCs w:val="22"/>
        </w:rPr>
        <w:t>如不許車異支分</w:t>
      </w:r>
      <w:r w:rsidRPr="00412A9C">
        <w:rPr>
          <w:rFonts w:ascii="標楷體" w:eastAsia="標楷體" w:hAnsi="標楷體" w:hint="eastAsia"/>
          <w:szCs w:val="22"/>
        </w:rPr>
        <w:t>」者，是顯車與支分非異，亦即所謂</w:t>
      </w:r>
      <w:r w:rsidRPr="00412A9C">
        <w:rPr>
          <w:rFonts w:ascii="標楷體" w:eastAsia="標楷體" w:hAnsi="標楷體" w:hint="eastAsia"/>
          <w:b/>
          <w:szCs w:val="22"/>
        </w:rPr>
        <w:t>一相。</w:t>
      </w:r>
      <w:r w:rsidRPr="00C80BF3">
        <w:rPr>
          <w:rFonts w:ascii="標楷體" w:eastAsia="標楷體" w:hAnsi="標楷體"/>
          <w:szCs w:val="22"/>
          <w:shd w:val="pct15" w:color="auto" w:fill="FFFFFF"/>
        </w:rPr>
        <w:t>……</w:t>
      </w:r>
      <w:r w:rsidRPr="00412A9C">
        <w:rPr>
          <w:rFonts w:ascii="標楷體" w:eastAsia="標楷體" w:hAnsi="標楷體" w:hint="eastAsia"/>
          <w:szCs w:val="22"/>
        </w:rPr>
        <w:t>這譬喻離蘊我，是不承認其有的。</w:t>
      </w:r>
    </w:p>
    <w:p w:rsidR="00157EF6" w:rsidRPr="00412A9C" w:rsidRDefault="00157EF6" w:rsidP="00AA120F">
      <w:pPr>
        <w:pStyle w:val="a5"/>
        <w:ind w:leftChars="335" w:left="1475" w:hangingChars="305" w:hanging="671"/>
        <w:jc w:val="both"/>
        <w:rPr>
          <w:rFonts w:ascii="標楷體" w:eastAsia="標楷體" w:hAnsi="標楷體"/>
          <w:szCs w:val="22"/>
        </w:rPr>
      </w:pPr>
      <w:r w:rsidRPr="00412A9C">
        <w:rPr>
          <w:rFonts w:ascii="標楷體" w:eastAsia="標楷體" w:hAnsi="標楷體" w:hint="eastAsia"/>
          <w:szCs w:val="22"/>
        </w:rPr>
        <w:t>（二）「</w:t>
      </w:r>
      <w:r w:rsidRPr="00412A9C">
        <w:rPr>
          <w:rFonts w:ascii="標楷體" w:eastAsia="標楷體" w:hAnsi="標楷體" w:hint="eastAsia"/>
          <w:b/>
          <w:szCs w:val="22"/>
        </w:rPr>
        <w:t>亦非不異</w:t>
      </w:r>
      <w:r w:rsidRPr="00412A9C">
        <w:rPr>
          <w:rFonts w:ascii="標楷體" w:eastAsia="標楷體" w:hAnsi="標楷體" w:hint="eastAsia"/>
          <w:szCs w:val="22"/>
        </w:rPr>
        <w:t>」者，是顯車與支分，並不是不異，亦即所謂</w:t>
      </w:r>
      <w:r w:rsidRPr="00412A9C">
        <w:rPr>
          <w:rFonts w:ascii="標楷體" w:eastAsia="標楷體" w:hAnsi="標楷體" w:hint="eastAsia"/>
          <w:b/>
          <w:szCs w:val="22"/>
        </w:rPr>
        <w:t>異相。</w:t>
      </w:r>
      <w:r w:rsidRPr="00C80BF3">
        <w:rPr>
          <w:rFonts w:ascii="標楷體" w:eastAsia="標楷體" w:hAnsi="標楷體"/>
          <w:szCs w:val="22"/>
          <w:shd w:val="pct15" w:color="auto" w:fill="FFFFFF"/>
        </w:rPr>
        <w:t>……</w:t>
      </w:r>
      <w:r w:rsidRPr="00412A9C">
        <w:rPr>
          <w:rFonts w:ascii="標楷體" w:eastAsia="標楷體" w:hAnsi="標楷體" w:hint="eastAsia"/>
          <w:szCs w:val="22"/>
        </w:rPr>
        <w:t>這譬喻我與五蘊是一，亦同樣是不可得。</w:t>
      </w:r>
      <w:r w:rsidRPr="00C80BF3">
        <w:rPr>
          <w:rFonts w:ascii="標楷體" w:eastAsia="標楷體" w:hAnsi="標楷體"/>
          <w:szCs w:val="22"/>
          <w:shd w:val="pct15" w:color="auto" w:fill="FFFFFF"/>
        </w:rPr>
        <w:t>……</w:t>
      </w:r>
    </w:p>
    <w:p w:rsidR="00157EF6" w:rsidRPr="00412A9C" w:rsidRDefault="00157EF6" w:rsidP="00AA120F">
      <w:pPr>
        <w:pStyle w:val="a5"/>
        <w:ind w:leftChars="335" w:left="1475" w:hangingChars="305" w:hanging="671"/>
        <w:jc w:val="both"/>
        <w:rPr>
          <w:rFonts w:ascii="標楷體" w:eastAsia="標楷體" w:hAnsi="標楷體"/>
          <w:szCs w:val="22"/>
        </w:rPr>
      </w:pPr>
      <w:r w:rsidRPr="00412A9C">
        <w:rPr>
          <w:rFonts w:ascii="標楷體" w:eastAsia="標楷體" w:hAnsi="標楷體" w:hint="eastAsia"/>
          <w:szCs w:val="22"/>
        </w:rPr>
        <w:t>（三）</w:t>
      </w:r>
      <w:r w:rsidRPr="002F757E">
        <w:rPr>
          <w:rFonts w:ascii="標楷體" w:eastAsia="標楷體" w:hAnsi="標楷體" w:hint="eastAsia"/>
          <w:spacing w:val="-4"/>
          <w:szCs w:val="22"/>
        </w:rPr>
        <w:t>「</w:t>
      </w:r>
      <w:r w:rsidRPr="002F757E">
        <w:rPr>
          <w:rFonts w:ascii="標楷體" w:eastAsia="標楷體" w:hAnsi="標楷體" w:hint="eastAsia"/>
          <w:b/>
          <w:spacing w:val="-4"/>
          <w:szCs w:val="22"/>
        </w:rPr>
        <w:t>非有支</w:t>
      </w:r>
      <w:r w:rsidRPr="002F757E">
        <w:rPr>
          <w:rFonts w:ascii="標楷體" w:eastAsia="標楷體" w:hAnsi="標楷體" w:hint="eastAsia"/>
          <w:spacing w:val="-4"/>
          <w:szCs w:val="22"/>
        </w:rPr>
        <w:t>」者，是顯車子不能有輪軸等的支分，因為要有實有的車子，</w:t>
      </w:r>
      <w:r w:rsidRPr="00412A9C">
        <w:rPr>
          <w:rFonts w:ascii="標楷體" w:eastAsia="標楷體" w:hAnsi="標楷體" w:hint="eastAsia"/>
          <w:szCs w:val="22"/>
        </w:rPr>
        <w:t>才可說有輪軸等的支分。</w:t>
      </w:r>
      <w:r w:rsidRPr="00C80BF3">
        <w:rPr>
          <w:rFonts w:ascii="標楷體" w:eastAsia="標楷體" w:hAnsi="標楷體"/>
          <w:szCs w:val="22"/>
          <w:shd w:val="pct15" w:color="auto" w:fill="FFFFFF"/>
        </w:rPr>
        <w:t>……</w:t>
      </w:r>
      <w:r w:rsidRPr="00412A9C">
        <w:rPr>
          <w:rFonts w:ascii="標楷體" w:eastAsia="標楷體" w:hAnsi="標楷體" w:hint="eastAsia"/>
          <w:szCs w:val="22"/>
        </w:rPr>
        <w:t>這是譬喻我非有蘊，亦即所謂</w:t>
      </w:r>
      <w:r w:rsidRPr="00412A9C">
        <w:rPr>
          <w:rFonts w:ascii="標楷體" w:eastAsia="標楷體" w:hAnsi="標楷體" w:hint="eastAsia"/>
          <w:b/>
          <w:szCs w:val="22"/>
        </w:rPr>
        <w:t>具有相</w:t>
      </w:r>
      <w:r w:rsidRPr="00412A9C">
        <w:rPr>
          <w:rFonts w:ascii="標楷體" w:eastAsia="標楷體" w:hAnsi="標楷體" w:hint="eastAsia"/>
          <w:szCs w:val="22"/>
        </w:rPr>
        <w:t>的不可得。</w:t>
      </w:r>
    </w:p>
    <w:p w:rsidR="00157EF6" w:rsidRPr="00412A9C" w:rsidRDefault="00157EF6" w:rsidP="00AA120F">
      <w:pPr>
        <w:pStyle w:val="a5"/>
        <w:ind w:leftChars="335" w:left="1475" w:hangingChars="305" w:hanging="671"/>
        <w:jc w:val="both"/>
        <w:rPr>
          <w:rFonts w:ascii="標楷體" w:eastAsia="標楷體" w:hAnsi="標楷體"/>
          <w:szCs w:val="22"/>
        </w:rPr>
      </w:pPr>
      <w:r w:rsidRPr="00412A9C">
        <w:rPr>
          <w:rFonts w:ascii="標楷體" w:eastAsia="標楷體" w:hAnsi="標楷體" w:hint="eastAsia"/>
          <w:szCs w:val="22"/>
        </w:rPr>
        <w:t>（四）「</w:t>
      </w:r>
      <w:r w:rsidRPr="00412A9C">
        <w:rPr>
          <w:rFonts w:ascii="標楷體" w:eastAsia="標楷體" w:hAnsi="標楷體" w:hint="eastAsia"/>
          <w:b/>
          <w:szCs w:val="22"/>
        </w:rPr>
        <w:t>不依支分</w:t>
      </w:r>
      <w:r w:rsidRPr="00412A9C">
        <w:rPr>
          <w:rFonts w:ascii="標楷體" w:eastAsia="標楷體" w:hAnsi="標楷體" w:hint="eastAsia"/>
          <w:szCs w:val="22"/>
        </w:rPr>
        <w:t>」者，是顯沒有一個實有的車子，依於輪軸等支分，亦即所謂</w:t>
      </w:r>
      <w:r w:rsidRPr="00412A9C">
        <w:rPr>
          <w:rFonts w:ascii="標楷體" w:eastAsia="標楷體" w:hAnsi="標楷體" w:hint="eastAsia"/>
          <w:b/>
          <w:szCs w:val="22"/>
        </w:rPr>
        <w:t>能依相</w:t>
      </w:r>
      <w:r w:rsidRPr="00412A9C">
        <w:rPr>
          <w:rFonts w:ascii="標楷體" w:eastAsia="標楷體" w:hAnsi="標楷體" w:hint="eastAsia"/>
          <w:szCs w:val="22"/>
        </w:rPr>
        <w:t>不可得。這是譬喻無實有自我依於五蘊。</w:t>
      </w:r>
    </w:p>
    <w:p w:rsidR="00157EF6" w:rsidRPr="00412A9C" w:rsidRDefault="00157EF6" w:rsidP="00AA120F">
      <w:pPr>
        <w:pStyle w:val="a5"/>
        <w:ind w:leftChars="335" w:left="1475" w:hangingChars="305" w:hanging="671"/>
        <w:jc w:val="both"/>
        <w:rPr>
          <w:rFonts w:ascii="標楷體" w:eastAsia="標楷體" w:hAnsi="標楷體"/>
          <w:szCs w:val="22"/>
        </w:rPr>
      </w:pPr>
      <w:r w:rsidRPr="00412A9C">
        <w:rPr>
          <w:rFonts w:ascii="標楷體" w:eastAsia="標楷體" w:hAnsi="標楷體" w:hint="eastAsia"/>
          <w:szCs w:val="22"/>
        </w:rPr>
        <w:t>（五）「</w:t>
      </w:r>
      <w:r w:rsidRPr="00412A9C">
        <w:rPr>
          <w:rFonts w:ascii="標楷體" w:eastAsia="標楷體" w:hAnsi="標楷體" w:hint="eastAsia"/>
          <w:b/>
          <w:szCs w:val="22"/>
        </w:rPr>
        <w:t>非支依</w:t>
      </w:r>
      <w:r w:rsidRPr="00412A9C">
        <w:rPr>
          <w:rFonts w:ascii="標楷體" w:eastAsia="標楷體" w:hAnsi="標楷體" w:hint="eastAsia"/>
          <w:szCs w:val="22"/>
        </w:rPr>
        <w:t>」者，是顯沒有一個實有的車子，可為輪軸等的支分所依，亦即所謂</w:t>
      </w:r>
      <w:r w:rsidRPr="00412A9C">
        <w:rPr>
          <w:rFonts w:ascii="標楷體" w:eastAsia="標楷體" w:hAnsi="標楷體" w:hint="eastAsia"/>
          <w:b/>
          <w:szCs w:val="22"/>
        </w:rPr>
        <w:t>所依相</w:t>
      </w:r>
      <w:r w:rsidRPr="00412A9C">
        <w:rPr>
          <w:rFonts w:ascii="標楷體" w:eastAsia="標楷體" w:hAnsi="標楷體" w:hint="eastAsia"/>
          <w:szCs w:val="22"/>
        </w:rPr>
        <w:t>不可得。這是譬喻無實有自我為五蘊依。</w:t>
      </w:r>
      <w:r w:rsidRPr="00C80BF3">
        <w:rPr>
          <w:rFonts w:ascii="標楷體" w:eastAsia="標楷體" w:hAnsi="標楷體"/>
          <w:szCs w:val="22"/>
          <w:shd w:val="pct15" w:color="auto" w:fill="FFFFFF"/>
        </w:rPr>
        <w:t>……</w:t>
      </w:r>
    </w:p>
    <w:p w:rsidR="00157EF6" w:rsidRPr="00412A9C" w:rsidRDefault="00157EF6" w:rsidP="00AA120F">
      <w:pPr>
        <w:pStyle w:val="a5"/>
        <w:ind w:leftChars="335" w:left="1475" w:hangingChars="305" w:hanging="671"/>
        <w:jc w:val="both"/>
        <w:rPr>
          <w:rFonts w:ascii="標楷體" w:eastAsia="標楷體" w:hAnsi="標楷體"/>
          <w:szCs w:val="22"/>
        </w:rPr>
      </w:pPr>
      <w:r w:rsidRPr="00412A9C">
        <w:rPr>
          <w:rFonts w:ascii="標楷體" w:eastAsia="標楷體" w:hAnsi="標楷體" w:hint="eastAsia"/>
          <w:szCs w:val="22"/>
        </w:rPr>
        <w:t>（六）「</w:t>
      </w:r>
      <w:r w:rsidRPr="00412A9C">
        <w:rPr>
          <w:rFonts w:ascii="標楷體" w:eastAsia="標楷體" w:hAnsi="標楷體" w:hint="eastAsia"/>
          <w:b/>
          <w:szCs w:val="22"/>
        </w:rPr>
        <w:t>非唯積聚</w:t>
      </w:r>
      <w:r w:rsidRPr="00412A9C">
        <w:rPr>
          <w:rFonts w:ascii="標楷體" w:eastAsia="標楷體" w:hAnsi="標楷體" w:hint="eastAsia"/>
          <w:szCs w:val="22"/>
        </w:rPr>
        <w:t>」者，是顯非唯輪軸等的支分，亂七八糟的堆積在一處，就可產生一個完整的車體的，亦即所謂</w:t>
      </w:r>
      <w:r w:rsidRPr="00412A9C">
        <w:rPr>
          <w:rFonts w:ascii="標楷體" w:eastAsia="標楷體" w:hAnsi="標楷體" w:hint="eastAsia"/>
          <w:b/>
          <w:szCs w:val="22"/>
        </w:rPr>
        <w:t>積聚</w:t>
      </w:r>
      <w:r w:rsidRPr="00412A9C">
        <w:rPr>
          <w:rFonts w:ascii="標楷體" w:eastAsia="標楷體" w:hAnsi="標楷體" w:hint="eastAsia"/>
          <w:szCs w:val="22"/>
        </w:rPr>
        <w:t>的不可得。這是譬喻五蘊不可說為我。</w:t>
      </w:r>
    </w:p>
    <w:p w:rsidR="00157EF6" w:rsidRPr="00412A9C" w:rsidRDefault="00157EF6" w:rsidP="00AA120F">
      <w:pPr>
        <w:pStyle w:val="a5"/>
        <w:ind w:leftChars="335" w:left="1475" w:hangingChars="305" w:hanging="671"/>
        <w:jc w:val="both"/>
        <w:rPr>
          <w:rFonts w:ascii="標楷體" w:eastAsia="標楷體" w:hAnsi="標楷體"/>
          <w:szCs w:val="22"/>
        </w:rPr>
      </w:pPr>
      <w:r w:rsidRPr="00412A9C">
        <w:rPr>
          <w:rFonts w:ascii="標楷體" w:eastAsia="標楷體" w:hAnsi="標楷體" w:hint="eastAsia"/>
          <w:szCs w:val="22"/>
        </w:rPr>
        <w:t>（七）「</w:t>
      </w:r>
      <w:r w:rsidRPr="00412A9C">
        <w:rPr>
          <w:rFonts w:ascii="標楷體" w:eastAsia="標楷體" w:hAnsi="標楷體" w:hint="eastAsia"/>
          <w:b/>
          <w:szCs w:val="22"/>
        </w:rPr>
        <w:t>復非形</w:t>
      </w:r>
      <w:r w:rsidRPr="00412A9C">
        <w:rPr>
          <w:rFonts w:ascii="標楷體" w:eastAsia="標楷體" w:hAnsi="標楷體" w:hint="eastAsia"/>
          <w:szCs w:val="22"/>
        </w:rPr>
        <w:t>」者，是顯示輪軸等的眾多支分，積聚在一塊後，有某種形態出現，就可成為一個實有車子，亦即所謂</w:t>
      </w:r>
      <w:r w:rsidRPr="00412A9C">
        <w:rPr>
          <w:rFonts w:ascii="標楷體" w:eastAsia="標楷體" w:hAnsi="標楷體" w:hint="eastAsia"/>
          <w:b/>
          <w:szCs w:val="22"/>
        </w:rPr>
        <w:t>形狀相</w:t>
      </w:r>
      <w:r w:rsidRPr="00412A9C">
        <w:rPr>
          <w:rFonts w:ascii="標楷體" w:eastAsia="標楷體" w:hAnsi="標楷體" w:hint="eastAsia"/>
          <w:szCs w:val="22"/>
        </w:rPr>
        <w:t>的不可得。這是譬喻不是五蘊和合，有了某種生命形態，就可說有實自我的。</w:t>
      </w:r>
    </w:p>
  </w:footnote>
  <w:footnote w:id="1073">
    <w:p w:rsidR="00157EF6" w:rsidRPr="00412A9C" w:rsidRDefault="00157EF6" w:rsidP="00AA120F">
      <w:pPr>
        <w:pStyle w:val="a5"/>
        <w:spacing w:line="0" w:lineRule="atLeast"/>
        <w:ind w:left="792" w:hangingChars="360" w:hanging="792"/>
        <w:jc w:val="both"/>
        <w:rPr>
          <w:rFonts w:eastAsia="SimSun"/>
          <w:szCs w:val="22"/>
        </w:rPr>
      </w:pPr>
      <w:r w:rsidRPr="00412A9C">
        <w:rPr>
          <w:rStyle w:val="a6"/>
          <w:szCs w:val="22"/>
        </w:rPr>
        <w:footnoteRef/>
      </w:r>
      <w:r w:rsidRPr="009A5A58">
        <w:rPr>
          <w:rFonts w:hint="eastAsia"/>
          <w:szCs w:val="22"/>
        </w:rPr>
        <w:t xml:space="preserve"> </w:t>
      </w:r>
      <w:r w:rsidRPr="00E92CD1">
        <w:rPr>
          <w:rFonts w:ascii="新細明體" w:hAnsi="新細明體"/>
          <w:szCs w:val="22"/>
        </w:rPr>
        <w:t>（</w:t>
      </w:r>
      <w:r w:rsidRPr="00761EF3">
        <w:rPr>
          <w:rFonts w:eastAsia="SimSun" w:hint="eastAsia"/>
          <w:szCs w:val="22"/>
        </w:rPr>
        <w:t>1</w:t>
      </w:r>
      <w:r w:rsidRPr="00412A9C">
        <w:rPr>
          <w:rFonts w:hint="eastAsia"/>
          <w:szCs w:val="22"/>
        </w:rPr>
        <w:t>）《入中論》（漢藏教理院刊本，卷</w:t>
      </w:r>
      <w:r w:rsidRPr="00761EF3">
        <w:rPr>
          <w:szCs w:val="22"/>
        </w:rPr>
        <w:t>5</w:t>
      </w:r>
      <w:r w:rsidRPr="00412A9C">
        <w:rPr>
          <w:rFonts w:hint="eastAsia"/>
          <w:szCs w:val="22"/>
        </w:rPr>
        <w:t>，</w:t>
      </w:r>
      <w:r w:rsidRPr="00761EF3">
        <w:rPr>
          <w:szCs w:val="22"/>
        </w:rPr>
        <w:t>p</w:t>
      </w:r>
      <w:r w:rsidRPr="00412A9C">
        <w:rPr>
          <w:szCs w:val="22"/>
        </w:rPr>
        <w:t>.</w:t>
      </w:r>
      <w:r w:rsidRPr="00761EF3">
        <w:rPr>
          <w:szCs w:val="22"/>
        </w:rPr>
        <w:t>10</w:t>
      </w:r>
      <w:r w:rsidRPr="00412A9C">
        <w:rPr>
          <w:rFonts w:hint="eastAsia"/>
          <w:szCs w:val="22"/>
        </w:rPr>
        <w:t>；圓光寺印經會，</w:t>
      </w:r>
      <w:r w:rsidRPr="00761EF3">
        <w:rPr>
          <w:szCs w:val="22"/>
        </w:rPr>
        <w:t>pp</w:t>
      </w:r>
      <w:r w:rsidRPr="00412A9C">
        <w:rPr>
          <w:szCs w:val="22"/>
        </w:rPr>
        <w:t>.</w:t>
      </w:r>
      <w:r w:rsidRPr="00761EF3">
        <w:rPr>
          <w:szCs w:val="22"/>
        </w:rPr>
        <w:t>279</w:t>
      </w:r>
      <w:r w:rsidRPr="00412A9C">
        <w:rPr>
          <w:szCs w:val="22"/>
        </w:rPr>
        <w:t>-</w:t>
      </w:r>
      <w:r w:rsidRPr="00761EF3">
        <w:rPr>
          <w:szCs w:val="22"/>
        </w:rPr>
        <w:t>280</w:t>
      </w:r>
      <w:r w:rsidRPr="00412A9C">
        <w:rPr>
          <w:rFonts w:hint="eastAsia"/>
          <w:szCs w:val="22"/>
        </w:rPr>
        <w:t>）：</w:t>
      </w:r>
    </w:p>
    <w:p w:rsidR="00157EF6" w:rsidRPr="00412A9C" w:rsidRDefault="00157EF6" w:rsidP="00AA120F">
      <w:pPr>
        <w:pStyle w:val="a5"/>
        <w:ind w:leftChars="335" w:left="804"/>
        <w:jc w:val="both"/>
        <w:rPr>
          <w:rFonts w:ascii="標楷體" w:eastAsia="SimSun" w:cs="標楷體"/>
          <w:kern w:val="0"/>
          <w:szCs w:val="22"/>
        </w:rPr>
      </w:pPr>
      <w:r w:rsidRPr="00412A9C">
        <w:rPr>
          <w:rFonts w:ascii="標楷體" w:eastAsia="標楷體" w:cs="標楷體" w:hint="eastAsia"/>
          <w:kern w:val="0"/>
          <w:szCs w:val="22"/>
        </w:rPr>
        <w:t>雖以七相推求彼，真實世間俱非有；若不觀察就世間，依自支分可安立，可為眾生說彼車，名為有支及有分，亦名作者與受者，莫壞世間許世俗。七相都無復何有？此有行者無所得，彼亦速入真實義，故如此許彼成立。</w:t>
      </w:r>
      <w:r w:rsidRPr="00412A9C">
        <w:rPr>
          <w:rFonts w:ascii="標楷體" w:eastAsia="標楷體" w:cs="標楷體" w:hint="eastAsia"/>
          <w:b/>
          <w:kern w:val="0"/>
          <w:szCs w:val="22"/>
        </w:rPr>
        <w:t>若時其車且非有，有支無故支亦無，知車燒盡支亦毀，慧燒有支更無支。</w:t>
      </w:r>
      <w:r w:rsidRPr="00412A9C">
        <w:rPr>
          <w:rFonts w:ascii="標楷體" w:eastAsia="標楷體" w:cs="標楷體" w:hint="eastAsia"/>
          <w:kern w:val="0"/>
          <w:szCs w:val="22"/>
        </w:rPr>
        <w:t>如是世間所共許，依止蘊界及六處，亦許我為能取者，所取為業此作者。</w:t>
      </w:r>
    </w:p>
    <w:p w:rsidR="00157EF6" w:rsidRPr="00412A9C" w:rsidRDefault="00157EF6" w:rsidP="00AA120F">
      <w:pPr>
        <w:pStyle w:val="a5"/>
        <w:ind w:leftChars="105" w:left="791" w:hangingChars="245" w:hanging="539"/>
        <w:jc w:val="both"/>
        <w:rPr>
          <w:rFonts w:eastAsia="SimSun"/>
          <w:szCs w:val="22"/>
        </w:rPr>
      </w:pPr>
      <w:r w:rsidRPr="00E92CD1">
        <w:rPr>
          <w:rFonts w:ascii="新細明體" w:hAnsi="新細明體"/>
          <w:szCs w:val="22"/>
        </w:rPr>
        <w:t>（</w:t>
      </w:r>
      <w:r w:rsidRPr="00761EF3">
        <w:rPr>
          <w:rFonts w:eastAsia="SimSun"/>
          <w:szCs w:val="22"/>
        </w:rPr>
        <w:t>2</w:t>
      </w:r>
      <w:r w:rsidRPr="00412A9C">
        <w:rPr>
          <w:szCs w:val="22"/>
        </w:rPr>
        <w:t>）</w:t>
      </w:r>
      <w:r w:rsidRPr="00412A9C">
        <w:rPr>
          <w:rFonts w:hint="eastAsia"/>
          <w:szCs w:val="22"/>
        </w:rPr>
        <w:t>參見</w:t>
      </w:r>
      <w:r w:rsidR="00186A21">
        <w:rPr>
          <w:rFonts w:hint="eastAsia"/>
          <w:szCs w:val="22"/>
        </w:rPr>
        <w:t>：</w:t>
      </w:r>
      <w:r w:rsidRPr="00412A9C">
        <w:rPr>
          <w:rFonts w:hint="eastAsia"/>
          <w:szCs w:val="22"/>
        </w:rPr>
        <w:t>演培法師，《入中論頌講記》，</w:t>
      </w:r>
      <w:r w:rsidRPr="00761EF3">
        <w:rPr>
          <w:szCs w:val="22"/>
        </w:rPr>
        <w:t>pp</w:t>
      </w:r>
      <w:r w:rsidRPr="00412A9C">
        <w:rPr>
          <w:szCs w:val="22"/>
        </w:rPr>
        <w:t>.</w:t>
      </w:r>
      <w:r w:rsidRPr="00761EF3">
        <w:rPr>
          <w:szCs w:val="22"/>
        </w:rPr>
        <w:t>43</w:t>
      </w:r>
      <w:r w:rsidRPr="00761EF3">
        <w:rPr>
          <w:rFonts w:eastAsia="SimSun" w:hint="eastAsia"/>
          <w:szCs w:val="22"/>
        </w:rPr>
        <w:t>3</w:t>
      </w:r>
      <w:r w:rsidRPr="00412A9C">
        <w:rPr>
          <w:szCs w:val="22"/>
        </w:rPr>
        <w:t>-</w:t>
      </w:r>
      <w:r w:rsidRPr="00761EF3">
        <w:rPr>
          <w:szCs w:val="22"/>
        </w:rPr>
        <w:t>43</w:t>
      </w:r>
      <w:r w:rsidRPr="00761EF3">
        <w:rPr>
          <w:rFonts w:eastAsia="SimSun" w:hint="eastAsia"/>
          <w:szCs w:val="22"/>
        </w:rPr>
        <w:t>5</w:t>
      </w:r>
      <w:r w:rsidRPr="00412A9C">
        <w:rPr>
          <w:rFonts w:hint="eastAsia"/>
          <w:szCs w:val="22"/>
        </w:rPr>
        <w:t>。</w:t>
      </w:r>
    </w:p>
    <w:p w:rsidR="00157EF6" w:rsidRPr="00412A9C" w:rsidRDefault="00157EF6" w:rsidP="00AA120F">
      <w:pPr>
        <w:pStyle w:val="a5"/>
        <w:ind w:leftChars="105" w:left="791" w:hangingChars="245" w:hanging="539"/>
        <w:jc w:val="both"/>
        <w:rPr>
          <w:rFonts w:ascii="新細明體" w:cs="新細明體"/>
          <w:kern w:val="0"/>
          <w:szCs w:val="22"/>
        </w:rPr>
      </w:pPr>
      <w:r w:rsidRPr="00E92CD1">
        <w:rPr>
          <w:rFonts w:ascii="新細明體" w:hAnsi="新細明體"/>
          <w:szCs w:val="22"/>
        </w:rPr>
        <w:t>（</w:t>
      </w:r>
      <w:r w:rsidRPr="00761EF3">
        <w:rPr>
          <w:rFonts w:eastAsia="SimSun" w:hint="eastAsia"/>
          <w:szCs w:val="22"/>
        </w:rPr>
        <w:t>3</w:t>
      </w:r>
      <w:r w:rsidRPr="00412A9C">
        <w:rPr>
          <w:rFonts w:hint="eastAsia"/>
          <w:szCs w:val="22"/>
        </w:rPr>
        <w:t>）宗喀巴</w:t>
      </w:r>
      <w:r>
        <w:rPr>
          <w:rFonts w:hint="eastAsia"/>
          <w:szCs w:val="22"/>
        </w:rPr>
        <w:t>造</w:t>
      </w:r>
      <w:r w:rsidRPr="00412A9C">
        <w:rPr>
          <w:rFonts w:hint="eastAsia"/>
          <w:szCs w:val="22"/>
        </w:rPr>
        <w:t>，法尊譯，</w:t>
      </w:r>
      <w:r w:rsidRPr="00C95D8F">
        <w:rPr>
          <w:rFonts w:ascii="新細明體" w:cs="新細明體" w:hint="eastAsia"/>
          <w:kern w:val="0"/>
          <w:szCs w:val="22"/>
        </w:rPr>
        <w:t>《菩提道次第廣論》</w:t>
      </w:r>
      <w:r w:rsidRPr="00412A9C">
        <w:rPr>
          <w:rFonts w:ascii="新細明體" w:cs="新細明體" w:hint="eastAsia"/>
          <w:kern w:val="0"/>
          <w:szCs w:val="22"/>
        </w:rPr>
        <w:t>卷</w:t>
      </w:r>
      <w:r w:rsidRPr="00761EF3">
        <w:rPr>
          <w:kern w:val="0"/>
          <w:szCs w:val="22"/>
        </w:rPr>
        <w:t>17</w:t>
      </w:r>
      <w:r>
        <w:rPr>
          <w:rFonts w:ascii="新細明體" w:cs="新細明體" w:hint="eastAsia"/>
          <w:kern w:val="0"/>
          <w:szCs w:val="22"/>
        </w:rPr>
        <w:t>，</w:t>
      </w:r>
      <w:r w:rsidR="00AD14BF">
        <w:rPr>
          <w:rFonts w:ascii="新細明體" w:cs="新細明體" w:hint="eastAsia"/>
          <w:kern w:val="0"/>
          <w:szCs w:val="22"/>
        </w:rPr>
        <w:t>台北，福智之聲</w:t>
      </w:r>
      <w:r w:rsidRPr="00412A9C">
        <w:rPr>
          <w:rFonts w:ascii="新細明體" w:cs="新細明體" w:hint="eastAsia"/>
          <w:kern w:val="0"/>
          <w:szCs w:val="22"/>
        </w:rPr>
        <w:t>出版社，</w:t>
      </w:r>
      <w:r w:rsidRPr="00761EF3">
        <w:rPr>
          <w:kern w:val="0"/>
          <w:szCs w:val="22"/>
        </w:rPr>
        <w:t>pp</w:t>
      </w:r>
      <w:r w:rsidRPr="00412A9C">
        <w:rPr>
          <w:kern w:val="0"/>
          <w:szCs w:val="22"/>
        </w:rPr>
        <w:t>.</w:t>
      </w:r>
      <w:r w:rsidRPr="00761EF3">
        <w:rPr>
          <w:kern w:val="0"/>
          <w:szCs w:val="22"/>
        </w:rPr>
        <w:t>407</w:t>
      </w:r>
      <w:r w:rsidRPr="00412A9C">
        <w:rPr>
          <w:kern w:val="0"/>
          <w:szCs w:val="22"/>
        </w:rPr>
        <w:t>-</w:t>
      </w:r>
      <w:r w:rsidRPr="00761EF3">
        <w:rPr>
          <w:kern w:val="0"/>
          <w:szCs w:val="22"/>
        </w:rPr>
        <w:t>408</w:t>
      </w:r>
      <w:r w:rsidRPr="00412A9C">
        <w:rPr>
          <w:rFonts w:ascii="新細明體" w:cs="新細明體" w:hint="eastAsia"/>
          <w:kern w:val="0"/>
          <w:szCs w:val="22"/>
        </w:rPr>
        <w:t>：</w:t>
      </w:r>
    </w:p>
    <w:p w:rsidR="00157EF6" w:rsidRPr="00412A9C" w:rsidRDefault="00157EF6" w:rsidP="00AA120F">
      <w:pPr>
        <w:pStyle w:val="a5"/>
        <w:ind w:leftChars="335" w:left="804"/>
        <w:jc w:val="both"/>
        <w:rPr>
          <w:rFonts w:eastAsia="SimSun"/>
          <w:szCs w:val="22"/>
        </w:rPr>
      </w:pPr>
      <w:r w:rsidRPr="00412A9C">
        <w:rPr>
          <w:rFonts w:ascii="標楷體" w:eastAsia="標楷體" w:cs="標楷體" w:hint="eastAsia"/>
          <w:kern w:val="0"/>
          <w:szCs w:val="22"/>
        </w:rPr>
        <w:t>又若通達我自性，於彼支分諸蘊，亦能滅除有自性執，</w:t>
      </w:r>
      <w:r w:rsidRPr="00412A9C">
        <w:rPr>
          <w:rFonts w:ascii="標楷體" w:eastAsia="標楷體" w:cs="標楷體" w:hint="eastAsia"/>
          <w:b/>
          <w:kern w:val="0"/>
          <w:szCs w:val="22"/>
        </w:rPr>
        <w:t>譬如燒車則亦燒毀輪等支分</w:t>
      </w:r>
      <w:r w:rsidRPr="00412A9C">
        <w:rPr>
          <w:rFonts w:ascii="標楷體" w:eastAsia="標楷體" w:cs="標楷體" w:hint="eastAsia"/>
          <w:kern w:val="0"/>
          <w:szCs w:val="22"/>
        </w:rPr>
        <w:t>。如《明顯句論》云：「依緣假立，諸具無明顛倒執者，著為我事，即是能取五蘊為性，然所執我為有蘊相耶？為無蘊相耶？求解脫者當善觀察。若一切種善觀察已，求解脫者見無所得。故於彼云：『我性且非有，豈能有我所？』由我不可得故，則其我所我施設處，亦極不可得，</w:t>
      </w:r>
      <w:r w:rsidRPr="00412A9C">
        <w:rPr>
          <w:rFonts w:ascii="標楷體" w:eastAsia="標楷體" w:cs="標楷體" w:hint="eastAsia"/>
          <w:b/>
          <w:kern w:val="0"/>
          <w:szCs w:val="22"/>
        </w:rPr>
        <w:t>猶如燒車，其車支分亦為燒毀，全無所得</w:t>
      </w:r>
      <w:r w:rsidRPr="00412A9C">
        <w:rPr>
          <w:rFonts w:ascii="標楷體" w:eastAsia="標楷體" w:cs="標楷體" w:hint="eastAsia"/>
          <w:kern w:val="0"/>
          <w:szCs w:val="22"/>
        </w:rPr>
        <w:t>。如是諸觀行師，若時通達無我，爾時亦能通達蘊事我所皆無有我。」此說於我達無性時，亦能通達我所諸蘊無我、無性。</w:t>
      </w:r>
    </w:p>
  </w:footnote>
  <w:footnote w:id="1074">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szCs w:val="22"/>
        </w:rPr>
        <w:t>轅</w:t>
      </w:r>
      <w:r w:rsidRPr="00412A9C">
        <w:rPr>
          <w:rFonts w:hint="eastAsia"/>
          <w:szCs w:val="22"/>
        </w:rPr>
        <w:t>（</w:t>
      </w:r>
      <w:r w:rsidRPr="00412A9C">
        <w:rPr>
          <w:szCs w:val="22"/>
        </w:rPr>
        <w:t>ㄩㄢ</w:t>
      </w:r>
      <w:r w:rsidRPr="00412A9C">
        <w:rPr>
          <w:rFonts w:ascii="標楷體" w:eastAsia="標楷體" w:hAnsi="標楷體"/>
          <w:szCs w:val="22"/>
        </w:rPr>
        <w:t>ˊ</w:t>
      </w:r>
      <w:r w:rsidRPr="00412A9C">
        <w:rPr>
          <w:rFonts w:hint="eastAsia"/>
          <w:szCs w:val="22"/>
        </w:rPr>
        <w:t>）：</w:t>
      </w:r>
      <w:r w:rsidRPr="00761EF3">
        <w:rPr>
          <w:szCs w:val="22"/>
        </w:rPr>
        <w:t>1</w:t>
      </w:r>
      <w:r w:rsidRPr="00412A9C">
        <w:rPr>
          <w:szCs w:val="22"/>
        </w:rPr>
        <w:t>.</w:t>
      </w:r>
      <w:r w:rsidRPr="00412A9C">
        <w:rPr>
          <w:szCs w:val="22"/>
        </w:rPr>
        <w:t>車前駕牲口用的直木。壓在車軸上，伸出車輿的前端。古代大車、柏車、羊車皆用轅，左右各一。</w:t>
      </w:r>
      <w:r w:rsidRPr="00761EF3">
        <w:rPr>
          <w:szCs w:val="22"/>
        </w:rPr>
        <w:t>4</w:t>
      </w:r>
      <w:r w:rsidRPr="00412A9C">
        <w:rPr>
          <w:szCs w:val="22"/>
        </w:rPr>
        <w:t>.</w:t>
      </w:r>
      <w:r w:rsidRPr="00412A9C">
        <w:rPr>
          <w:szCs w:val="22"/>
        </w:rPr>
        <w:t>指車輪的外緣</w:t>
      </w:r>
      <w:r w:rsidRPr="00412A9C">
        <w:rPr>
          <w:rFonts w:hint="eastAsia"/>
          <w:szCs w:val="22"/>
        </w:rPr>
        <w:t>。</w:t>
      </w:r>
      <w:r w:rsidRPr="00412A9C">
        <w:rPr>
          <w:rFonts w:ascii="新細明體" w:hAnsi="新細明體" w:hint="eastAsia"/>
          <w:szCs w:val="22"/>
        </w:rPr>
        <w:t>（《漢語大詞典》（九），</w:t>
      </w:r>
      <w:r w:rsidRPr="00761EF3">
        <w:rPr>
          <w:szCs w:val="22"/>
        </w:rPr>
        <w:t>p</w:t>
      </w:r>
      <w:r w:rsidRPr="00412A9C">
        <w:rPr>
          <w:szCs w:val="22"/>
        </w:rPr>
        <w:t>.</w:t>
      </w:r>
      <w:r w:rsidRPr="00761EF3">
        <w:rPr>
          <w:rFonts w:eastAsia="SimSun" w:hint="eastAsia"/>
          <w:szCs w:val="22"/>
        </w:rPr>
        <w:t>13</w:t>
      </w:r>
      <w:r w:rsidRPr="00761EF3">
        <w:rPr>
          <w:rFonts w:hint="eastAsia"/>
          <w:szCs w:val="22"/>
        </w:rPr>
        <w:t>07</w:t>
      </w:r>
      <w:r w:rsidRPr="00412A9C">
        <w:rPr>
          <w:rFonts w:ascii="新細明體" w:hAnsi="新細明體" w:hint="eastAsia"/>
          <w:szCs w:val="22"/>
        </w:rPr>
        <w:t>）</w:t>
      </w:r>
    </w:p>
  </w:footnote>
  <w:footnote w:id="1075">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）《中論》卷</w:t>
      </w:r>
      <w:r w:rsidRPr="00761EF3">
        <w:rPr>
          <w:szCs w:val="22"/>
        </w:rPr>
        <w:t>1</w:t>
      </w:r>
      <w:r w:rsidRPr="00412A9C">
        <w:rPr>
          <w:szCs w:val="22"/>
        </w:rPr>
        <w:t>〈</w:t>
      </w:r>
      <w:r w:rsidRPr="00761EF3">
        <w:rPr>
          <w:szCs w:val="22"/>
        </w:rPr>
        <w:t>1</w:t>
      </w:r>
      <w:r>
        <w:rPr>
          <w:szCs w:val="22"/>
        </w:rPr>
        <w:t xml:space="preserve"> </w:t>
      </w:r>
      <w:r w:rsidRPr="00412A9C">
        <w:rPr>
          <w:szCs w:val="22"/>
        </w:rPr>
        <w:t>觀因緣品〉（青目釋）（大正</w:t>
      </w:r>
      <w:r w:rsidRPr="00761EF3">
        <w:rPr>
          <w:szCs w:val="22"/>
        </w:rPr>
        <w:t>30</w:t>
      </w:r>
      <w:r w:rsidRPr="00412A9C">
        <w:rPr>
          <w:szCs w:val="22"/>
        </w:rPr>
        <w:t>，</w:t>
      </w:r>
      <w:r w:rsidRPr="00761EF3">
        <w:rPr>
          <w:szCs w:val="22"/>
        </w:rPr>
        <w:t>2b6</w:t>
      </w:r>
      <w:r w:rsidRPr="00412A9C">
        <w:rPr>
          <w:szCs w:val="22"/>
        </w:rPr>
        <w:t>-</w:t>
      </w:r>
      <w:r w:rsidRPr="00761EF3">
        <w:rPr>
          <w:szCs w:val="22"/>
        </w:rPr>
        <w:t>16</w:t>
      </w:r>
      <w:r w:rsidRPr="00412A9C">
        <w:rPr>
          <w:szCs w:val="22"/>
        </w:rPr>
        <w:t>）：</w:t>
      </w:r>
    </w:p>
    <w:p w:rsidR="00157EF6" w:rsidRPr="00412A9C" w:rsidRDefault="00157EF6" w:rsidP="00AA120F">
      <w:pPr>
        <w:pStyle w:val="a5"/>
        <w:ind w:leftChars="335" w:left="7631" w:hanging="6827"/>
        <w:jc w:val="both"/>
        <w:rPr>
          <w:rFonts w:eastAsia="SimSun"/>
          <w:b/>
          <w:szCs w:val="22"/>
        </w:rPr>
      </w:pPr>
      <w:r w:rsidRPr="00412A9C">
        <w:rPr>
          <w:rFonts w:eastAsia="標楷體"/>
          <w:b/>
          <w:szCs w:val="22"/>
        </w:rPr>
        <w:t>諸法不自生，亦不從他生，不共不無因，是故知無生。</w:t>
      </w:r>
    </w:p>
    <w:p w:rsidR="00157EF6" w:rsidRPr="00412A9C" w:rsidRDefault="00157EF6" w:rsidP="00AA120F">
      <w:pPr>
        <w:pStyle w:val="a5"/>
        <w:ind w:leftChars="335" w:left="1112" w:hangingChars="140" w:hanging="308"/>
        <w:jc w:val="both"/>
        <w:rPr>
          <w:rFonts w:eastAsia="SimSun"/>
          <w:szCs w:val="22"/>
        </w:rPr>
      </w:pPr>
      <w:r w:rsidRPr="00267A4E">
        <w:rPr>
          <w:szCs w:val="22"/>
          <w:shd w:val="pct15" w:color="auto" w:fill="FFFFFF"/>
          <w:vertAlign w:val="superscript"/>
        </w:rPr>
        <w:t>（</w:t>
      </w:r>
      <w:r w:rsidRPr="00267A4E">
        <w:rPr>
          <w:szCs w:val="22"/>
          <w:shd w:val="pct15" w:color="auto" w:fill="FFFFFF"/>
          <w:vertAlign w:val="superscript"/>
        </w:rPr>
        <w:t>1</w:t>
      </w:r>
      <w:r w:rsidRPr="00267A4E">
        <w:rPr>
          <w:szCs w:val="22"/>
          <w:shd w:val="pct15" w:color="auto" w:fill="FFFFFF"/>
          <w:vertAlign w:val="superscript"/>
        </w:rPr>
        <w:t>）</w:t>
      </w:r>
      <w:r w:rsidR="00186A21">
        <w:rPr>
          <w:rFonts w:ascii="標楷體" w:eastAsia="標楷體" w:hAnsi="標楷體" w:hint="eastAsia"/>
          <w:bCs/>
          <w:color w:val="FF0000"/>
          <w:kern w:val="0"/>
          <w:highlight w:val="yellow"/>
        </w:rPr>
        <w:t>「</w:t>
      </w:r>
      <w:r w:rsidRPr="00412A9C">
        <w:rPr>
          <w:rFonts w:eastAsia="標楷體"/>
          <w:b/>
          <w:szCs w:val="22"/>
        </w:rPr>
        <w:t>不自生</w:t>
      </w:r>
      <w:r w:rsidR="00186A21">
        <w:rPr>
          <w:rFonts w:ascii="標楷體" w:eastAsia="標楷體" w:hAnsi="標楷體" w:hint="eastAsia"/>
          <w:bCs/>
          <w:color w:val="FF0000"/>
          <w:kern w:val="0"/>
          <w:highlight w:val="yellow"/>
        </w:rPr>
        <w:t>」</w:t>
      </w:r>
      <w:r w:rsidRPr="00412A9C">
        <w:rPr>
          <w:rFonts w:eastAsia="標楷體"/>
          <w:szCs w:val="22"/>
        </w:rPr>
        <w:t>者，萬物無有從自體生，必待眾因。復次，</w:t>
      </w:r>
    </w:p>
    <w:p w:rsidR="00157EF6" w:rsidRPr="00412A9C" w:rsidRDefault="00157EF6" w:rsidP="00AA120F">
      <w:pPr>
        <w:pStyle w:val="a5"/>
        <w:ind w:leftChars="455" w:left="1092"/>
        <w:jc w:val="both"/>
        <w:rPr>
          <w:rFonts w:eastAsia="SimSun"/>
          <w:szCs w:val="22"/>
        </w:rPr>
      </w:pPr>
      <w:r w:rsidRPr="00267A4E">
        <w:rPr>
          <w:szCs w:val="22"/>
          <w:shd w:val="pct15" w:color="auto" w:fill="FFFFFF"/>
          <w:vertAlign w:val="superscript"/>
        </w:rPr>
        <w:t>（</w:t>
      </w:r>
      <w:r w:rsidRPr="00267A4E">
        <w:rPr>
          <w:szCs w:val="22"/>
          <w:shd w:val="pct15" w:color="auto" w:fill="FFFFFF"/>
          <w:vertAlign w:val="superscript"/>
        </w:rPr>
        <w:t>A</w:t>
      </w:r>
      <w:r w:rsidRPr="00267A4E">
        <w:rPr>
          <w:szCs w:val="22"/>
          <w:shd w:val="pct15" w:color="auto" w:fill="FFFFFF"/>
          <w:vertAlign w:val="superscript"/>
        </w:rPr>
        <w:t>）</w:t>
      </w:r>
      <w:r w:rsidRPr="00412A9C">
        <w:rPr>
          <w:rFonts w:eastAsia="標楷體"/>
          <w:szCs w:val="22"/>
        </w:rPr>
        <w:t>若從自體生，則一法有二體：一謂</w:t>
      </w:r>
      <w:r w:rsidR="00186A21">
        <w:rPr>
          <w:rFonts w:ascii="標楷體" w:eastAsia="標楷體" w:hAnsi="標楷體" w:hint="eastAsia"/>
          <w:bCs/>
          <w:color w:val="FF0000"/>
          <w:kern w:val="0"/>
          <w:highlight w:val="yellow"/>
        </w:rPr>
        <w:t>「</w:t>
      </w:r>
      <w:r w:rsidRPr="00412A9C">
        <w:rPr>
          <w:rFonts w:eastAsia="標楷體"/>
          <w:szCs w:val="22"/>
        </w:rPr>
        <w:t>生</w:t>
      </w:r>
      <w:r w:rsidR="00186A21">
        <w:rPr>
          <w:rFonts w:ascii="標楷體" w:eastAsia="標楷體" w:hAnsi="標楷體" w:hint="eastAsia"/>
          <w:bCs/>
          <w:color w:val="FF0000"/>
          <w:kern w:val="0"/>
          <w:highlight w:val="yellow"/>
        </w:rPr>
        <w:t>」</w:t>
      </w:r>
      <w:r w:rsidRPr="00412A9C">
        <w:rPr>
          <w:rFonts w:eastAsia="標楷體"/>
          <w:szCs w:val="22"/>
        </w:rPr>
        <w:t>，二謂</w:t>
      </w:r>
      <w:r w:rsidR="00186A21">
        <w:rPr>
          <w:rFonts w:ascii="標楷體" w:eastAsia="標楷體" w:hAnsi="標楷體" w:hint="eastAsia"/>
          <w:bCs/>
          <w:color w:val="FF0000"/>
          <w:kern w:val="0"/>
          <w:highlight w:val="yellow"/>
        </w:rPr>
        <w:t>「</w:t>
      </w:r>
      <w:r w:rsidRPr="00412A9C">
        <w:rPr>
          <w:rFonts w:eastAsia="標楷體"/>
          <w:szCs w:val="22"/>
        </w:rPr>
        <w:t>生者</w:t>
      </w:r>
      <w:r w:rsidR="00186A21">
        <w:rPr>
          <w:rFonts w:ascii="標楷體" w:eastAsia="標楷體" w:hAnsi="標楷體" w:hint="eastAsia"/>
          <w:bCs/>
          <w:color w:val="FF0000"/>
          <w:kern w:val="0"/>
          <w:highlight w:val="yellow"/>
        </w:rPr>
        <w:t>」</w:t>
      </w:r>
      <w:r w:rsidRPr="00412A9C">
        <w:rPr>
          <w:rFonts w:eastAsia="標楷體"/>
          <w:szCs w:val="22"/>
        </w:rPr>
        <w:t>。</w:t>
      </w:r>
    </w:p>
    <w:p w:rsidR="00157EF6" w:rsidRPr="00412A9C" w:rsidRDefault="00157EF6" w:rsidP="00AA120F">
      <w:pPr>
        <w:pStyle w:val="a5"/>
        <w:ind w:leftChars="455" w:left="1092"/>
        <w:jc w:val="both"/>
        <w:rPr>
          <w:rFonts w:eastAsia="SimSun"/>
          <w:szCs w:val="22"/>
        </w:rPr>
      </w:pPr>
      <w:r w:rsidRPr="00267A4E">
        <w:rPr>
          <w:szCs w:val="22"/>
          <w:shd w:val="pct15" w:color="auto" w:fill="FFFFFF"/>
          <w:vertAlign w:val="superscript"/>
        </w:rPr>
        <w:t>（</w:t>
      </w:r>
      <w:r w:rsidRPr="00267A4E">
        <w:rPr>
          <w:szCs w:val="22"/>
          <w:shd w:val="pct15" w:color="auto" w:fill="FFFFFF"/>
          <w:vertAlign w:val="superscript"/>
        </w:rPr>
        <w:t>B</w:t>
      </w:r>
      <w:r w:rsidRPr="00267A4E">
        <w:rPr>
          <w:szCs w:val="22"/>
          <w:shd w:val="pct15" w:color="auto" w:fill="FFFFFF"/>
          <w:vertAlign w:val="superscript"/>
        </w:rPr>
        <w:t>）</w:t>
      </w:r>
      <w:r w:rsidRPr="00412A9C">
        <w:rPr>
          <w:rFonts w:eastAsia="標楷體"/>
          <w:szCs w:val="22"/>
        </w:rPr>
        <w:t>若</w:t>
      </w:r>
      <w:r w:rsidR="00186A21">
        <w:rPr>
          <w:rFonts w:ascii="標楷體" w:eastAsia="標楷體" w:hAnsi="標楷體" w:hint="eastAsia"/>
          <w:bCs/>
          <w:color w:val="FF0000"/>
          <w:kern w:val="0"/>
          <w:highlight w:val="yellow"/>
        </w:rPr>
        <w:t>「</w:t>
      </w:r>
      <w:r w:rsidRPr="00412A9C">
        <w:rPr>
          <w:rFonts w:eastAsia="標楷體"/>
          <w:szCs w:val="22"/>
        </w:rPr>
        <w:t>離餘因</w:t>
      </w:r>
      <w:r w:rsidR="00186A21">
        <w:rPr>
          <w:rFonts w:ascii="標楷體" w:eastAsia="標楷體" w:hAnsi="標楷體" w:hint="eastAsia"/>
          <w:color w:val="FF0000"/>
          <w:kern w:val="0"/>
          <w:highlight w:val="yellow"/>
        </w:rPr>
        <w:t>，</w:t>
      </w:r>
      <w:r w:rsidRPr="00412A9C">
        <w:rPr>
          <w:rFonts w:eastAsia="標楷體"/>
          <w:szCs w:val="22"/>
        </w:rPr>
        <w:t>從自體生</w:t>
      </w:r>
      <w:r w:rsidR="00186A21">
        <w:rPr>
          <w:rFonts w:ascii="標楷體" w:eastAsia="標楷體" w:hAnsi="標楷體" w:hint="eastAsia"/>
          <w:bCs/>
          <w:color w:val="FF0000"/>
          <w:kern w:val="0"/>
          <w:highlight w:val="yellow"/>
        </w:rPr>
        <w:t>」</w:t>
      </w:r>
      <w:r w:rsidRPr="00412A9C">
        <w:rPr>
          <w:rFonts w:eastAsia="標楷體"/>
          <w:szCs w:val="22"/>
        </w:rPr>
        <w:t>者，則無因無緣。</w:t>
      </w:r>
    </w:p>
    <w:p w:rsidR="00157EF6" w:rsidRPr="00412A9C" w:rsidRDefault="00157EF6" w:rsidP="00AA120F">
      <w:pPr>
        <w:pStyle w:val="a5"/>
        <w:ind w:leftChars="455" w:left="1092"/>
        <w:jc w:val="both"/>
        <w:rPr>
          <w:rFonts w:eastAsia="標楷體"/>
          <w:szCs w:val="22"/>
        </w:rPr>
      </w:pPr>
      <w:r w:rsidRPr="00267A4E">
        <w:rPr>
          <w:szCs w:val="22"/>
          <w:shd w:val="pct15" w:color="auto" w:fill="FFFFFF"/>
          <w:vertAlign w:val="superscript"/>
        </w:rPr>
        <w:t>（</w:t>
      </w:r>
      <w:r w:rsidRPr="00267A4E">
        <w:rPr>
          <w:szCs w:val="22"/>
          <w:shd w:val="pct15" w:color="auto" w:fill="FFFFFF"/>
          <w:vertAlign w:val="superscript"/>
        </w:rPr>
        <w:t>C</w:t>
      </w:r>
      <w:r w:rsidRPr="00267A4E">
        <w:rPr>
          <w:szCs w:val="22"/>
          <w:shd w:val="pct15" w:color="auto" w:fill="FFFFFF"/>
          <w:vertAlign w:val="superscript"/>
        </w:rPr>
        <w:t>）</w:t>
      </w:r>
      <w:r w:rsidRPr="00412A9C">
        <w:rPr>
          <w:rFonts w:eastAsia="標楷體"/>
          <w:szCs w:val="22"/>
        </w:rPr>
        <w:t>又生更有生，生則無窮。</w:t>
      </w:r>
    </w:p>
    <w:p w:rsidR="00157EF6" w:rsidRPr="00412A9C" w:rsidRDefault="00157EF6" w:rsidP="00AA120F">
      <w:pPr>
        <w:pStyle w:val="a5"/>
        <w:ind w:leftChars="335" w:left="1112" w:hangingChars="140" w:hanging="308"/>
        <w:jc w:val="both"/>
        <w:rPr>
          <w:rFonts w:eastAsia="標楷體"/>
          <w:szCs w:val="22"/>
        </w:rPr>
      </w:pPr>
      <w:r w:rsidRPr="00267A4E">
        <w:rPr>
          <w:szCs w:val="22"/>
          <w:shd w:val="pct15" w:color="auto" w:fill="FFFFFF"/>
          <w:vertAlign w:val="superscript"/>
        </w:rPr>
        <w:t>（</w:t>
      </w:r>
      <w:r w:rsidRPr="00267A4E">
        <w:rPr>
          <w:szCs w:val="22"/>
          <w:shd w:val="pct15" w:color="auto" w:fill="FFFFFF"/>
          <w:vertAlign w:val="superscript"/>
        </w:rPr>
        <w:t>2</w:t>
      </w:r>
      <w:r w:rsidRPr="00267A4E">
        <w:rPr>
          <w:szCs w:val="22"/>
          <w:shd w:val="pct15" w:color="auto" w:fill="FFFFFF"/>
          <w:vertAlign w:val="superscript"/>
        </w:rPr>
        <w:t>）</w:t>
      </w:r>
      <w:r w:rsidRPr="00412A9C">
        <w:rPr>
          <w:rFonts w:eastAsia="標楷體"/>
          <w:szCs w:val="22"/>
        </w:rPr>
        <w:t>自無故</w:t>
      </w:r>
      <w:r w:rsidR="00186A21">
        <w:rPr>
          <w:rFonts w:ascii="標楷體" w:eastAsia="標楷體" w:hAnsi="標楷體" w:hint="eastAsia"/>
          <w:color w:val="FF0000"/>
          <w:kern w:val="0"/>
          <w:highlight w:val="yellow"/>
        </w:rPr>
        <w:t>，</w:t>
      </w:r>
      <w:r w:rsidRPr="00412A9C">
        <w:rPr>
          <w:rFonts w:eastAsia="標楷體"/>
          <w:b/>
          <w:szCs w:val="22"/>
        </w:rPr>
        <w:t>他亦無</w:t>
      </w:r>
      <w:r w:rsidRPr="00412A9C">
        <w:rPr>
          <w:rFonts w:eastAsia="標楷體"/>
          <w:szCs w:val="22"/>
        </w:rPr>
        <w:t>。何以故？有自故有他</w:t>
      </w:r>
      <w:r w:rsidR="00186A21">
        <w:rPr>
          <w:rFonts w:ascii="標楷體" w:eastAsia="標楷體" w:hAnsi="標楷體" w:hint="eastAsia"/>
          <w:color w:val="FF0000"/>
          <w:spacing w:val="-4"/>
          <w:kern w:val="0"/>
          <w:highlight w:val="yellow"/>
        </w:rPr>
        <w:t>；</w:t>
      </w:r>
      <w:r w:rsidRPr="00412A9C">
        <w:rPr>
          <w:rFonts w:eastAsia="標楷體"/>
          <w:szCs w:val="22"/>
        </w:rPr>
        <w:t>若不從自生，亦不從他生。</w:t>
      </w:r>
    </w:p>
    <w:p w:rsidR="00157EF6" w:rsidRPr="00412A9C" w:rsidRDefault="00157EF6" w:rsidP="00AA120F">
      <w:pPr>
        <w:pStyle w:val="a5"/>
        <w:ind w:leftChars="335" w:left="1112" w:hangingChars="140" w:hanging="308"/>
        <w:jc w:val="both"/>
        <w:rPr>
          <w:rFonts w:eastAsia="標楷體"/>
          <w:szCs w:val="22"/>
        </w:rPr>
      </w:pPr>
      <w:r w:rsidRPr="00267A4E">
        <w:rPr>
          <w:szCs w:val="22"/>
          <w:shd w:val="pct15" w:color="auto" w:fill="FFFFFF"/>
          <w:vertAlign w:val="superscript"/>
        </w:rPr>
        <w:t>（</w:t>
      </w:r>
      <w:r w:rsidRPr="00267A4E">
        <w:rPr>
          <w:szCs w:val="22"/>
          <w:shd w:val="pct15" w:color="auto" w:fill="FFFFFF"/>
          <w:vertAlign w:val="superscript"/>
        </w:rPr>
        <w:t>3</w:t>
      </w:r>
      <w:r w:rsidRPr="00267A4E">
        <w:rPr>
          <w:szCs w:val="22"/>
          <w:shd w:val="pct15" w:color="auto" w:fill="FFFFFF"/>
          <w:vertAlign w:val="superscript"/>
        </w:rPr>
        <w:t>）</w:t>
      </w:r>
      <w:r w:rsidRPr="00412A9C">
        <w:rPr>
          <w:rFonts w:eastAsia="標楷體"/>
          <w:b/>
          <w:szCs w:val="22"/>
        </w:rPr>
        <w:t>共生</w:t>
      </w:r>
      <w:r w:rsidR="00186A21">
        <w:rPr>
          <w:rFonts w:ascii="標楷體" w:eastAsia="標楷體" w:hAnsi="標楷體" w:hint="eastAsia"/>
          <w:color w:val="FF0000"/>
          <w:kern w:val="0"/>
          <w:highlight w:val="yellow"/>
        </w:rPr>
        <w:t>，</w:t>
      </w:r>
      <w:r w:rsidRPr="00412A9C">
        <w:rPr>
          <w:rFonts w:eastAsia="標楷體"/>
          <w:szCs w:val="22"/>
        </w:rPr>
        <w:t>則有二過，自生、他生故。</w:t>
      </w:r>
    </w:p>
    <w:p w:rsidR="00157EF6" w:rsidRPr="00412A9C" w:rsidRDefault="00157EF6" w:rsidP="00AA120F">
      <w:pPr>
        <w:pStyle w:val="a5"/>
        <w:ind w:leftChars="335" w:left="1112" w:hangingChars="140" w:hanging="308"/>
        <w:jc w:val="both"/>
        <w:rPr>
          <w:szCs w:val="22"/>
        </w:rPr>
      </w:pPr>
      <w:r w:rsidRPr="00267A4E">
        <w:rPr>
          <w:szCs w:val="22"/>
          <w:shd w:val="pct15" w:color="auto" w:fill="FFFFFF"/>
          <w:vertAlign w:val="superscript"/>
        </w:rPr>
        <w:t>（</w:t>
      </w:r>
      <w:r w:rsidRPr="00267A4E">
        <w:rPr>
          <w:szCs w:val="22"/>
          <w:shd w:val="pct15" w:color="auto" w:fill="FFFFFF"/>
          <w:vertAlign w:val="superscript"/>
        </w:rPr>
        <w:t>4</w:t>
      </w:r>
      <w:r w:rsidRPr="00267A4E">
        <w:rPr>
          <w:szCs w:val="22"/>
          <w:shd w:val="pct15" w:color="auto" w:fill="FFFFFF"/>
          <w:vertAlign w:val="superscript"/>
        </w:rPr>
        <w:t>）</w:t>
      </w:r>
      <w:r w:rsidRPr="00412A9C">
        <w:rPr>
          <w:rFonts w:eastAsia="標楷體"/>
          <w:szCs w:val="22"/>
        </w:rPr>
        <w:t>若</w:t>
      </w:r>
      <w:r w:rsidRPr="00412A9C">
        <w:rPr>
          <w:rFonts w:eastAsia="標楷體"/>
          <w:b/>
          <w:szCs w:val="22"/>
        </w:rPr>
        <w:t>無因</w:t>
      </w:r>
      <w:r w:rsidRPr="00412A9C">
        <w:rPr>
          <w:rFonts w:eastAsia="標楷體"/>
          <w:szCs w:val="22"/>
        </w:rPr>
        <w:t>而有萬物者，是則為常。是事不然</w:t>
      </w:r>
      <w:r w:rsidR="00186A21">
        <w:rPr>
          <w:rFonts w:ascii="標楷體" w:eastAsia="標楷體" w:hAnsi="標楷體" w:hint="eastAsia"/>
          <w:color w:val="FF0000"/>
          <w:kern w:val="0"/>
          <w:highlight w:val="yellow"/>
        </w:rPr>
        <w:t>！</w:t>
      </w:r>
      <w:r w:rsidRPr="00412A9C">
        <w:rPr>
          <w:rFonts w:eastAsia="標楷體"/>
          <w:szCs w:val="22"/>
        </w:rPr>
        <w:t>無因則無果</w:t>
      </w:r>
      <w:r w:rsidR="00186A21">
        <w:rPr>
          <w:rFonts w:ascii="標楷體" w:eastAsia="標楷體" w:hAnsi="標楷體" w:hint="eastAsia"/>
          <w:color w:val="FF0000"/>
          <w:kern w:val="0"/>
          <w:highlight w:val="yellow"/>
        </w:rPr>
        <w:t>。</w:t>
      </w:r>
      <w:r w:rsidRPr="00412A9C">
        <w:rPr>
          <w:rFonts w:eastAsia="標楷體"/>
          <w:szCs w:val="22"/>
        </w:rPr>
        <w:t>若無因有果者，布施、持戒等應墮地獄，十惡、五逆應當生天。</w:t>
      </w:r>
    </w:p>
    <w:p w:rsidR="00157EF6" w:rsidRPr="00412A9C" w:rsidRDefault="00157EF6" w:rsidP="00AA120F">
      <w:pPr>
        <w:pStyle w:val="a5"/>
        <w:ind w:leftChars="105" w:left="791" w:hangingChars="245" w:hanging="539"/>
        <w:jc w:val="both"/>
        <w:rPr>
          <w:szCs w:val="22"/>
        </w:rPr>
      </w:pPr>
      <w:r w:rsidRPr="00412A9C">
        <w:rPr>
          <w:szCs w:val="22"/>
        </w:rPr>
        <w:t>（</w:t>
      </w:r>
      <w:r w:rsidRPr="00761EF3">
        <w:rPr>
          <w:szCs w:val="22"/>
        </w:rPr>
        <w:t>2</w:t>
      </w:r>
      <w:r w:rsidRPr="00412A9C">
        <w:rPr>
          <w:szCs w:val="22"/>
        </w:rPr>
        <w:t>）印順法師，《中觀論頌講記》，</w:t>
      </w:r>
      <w:r w:rsidRPr="00761EF3">
        <w:rPr>
          <w:szCs w:val="22"/>
        </w:rPr>
        <w:t>pp</w:t>
      </w:r>
      <w:r w:rsidRPr="00412A9C">
        <w:rPr>
          <w:szCs w:val="22"/>
        </w:rPr>
        <w:t>.</w:t>
      </w:r>
      <w:r w:rsidRPr="00761EF3">
        <w:rPr>
          <w:szCs w:val="22"/>
        </w:rPr>
        <w:t>59</w:t>
      </w:r>
      <w:r w:rsidRPr="00412A9C">
        <w:rPr>
          <w:szCs w:val="22"/>
        </w:rPr>
        <w:t>-</w:t>
      </w:r>
      <w:r w:rsidRPr="00761EF3">
        <w:rPr>
          <w:szCs w:val="22"/>
        </w:rPr>
        <w:t>62</w:t>
      </w:r>
      <w:r w:rsidRPr="00412A9C">
        <w:rPr>
          <w:szCs w:val="22"/>
        </w:rPr>
        <w:t>：</w:t>
      </w:r>
    </w:p>
    <w:p w:rsidR="00157EF6" w:rsidRPr="00D3009B" w:rsidRDefault="00157EF6" w:rsidP="00AA120F">
      <w:pPr>
        <w:pStyle w:val="a5"/>
        <w:ind w:leftChars="335" w:left="804"/>
        <w:jc w:val="both"/>
        <w:rPr>
          <w:rFonts w:eastAsia="標楷體"/>
          <w:szCs w:val="22"/>
        </w:rPr>
      </w:pPr>
      <w:r w:rsidRPr="00412A9C">
        <w:rPr>
          <w:rFonts w:eastAsia="標楷體"/>
          <w:szCs w:val="22"/>
        </w:rPr>
        <w:t>「諸法」的法字，或者譯作物體，梵語中是說實在性的東西，就是自性有的東西。</w:t>
      </w:r>
      <w:r w:rsidRPr="00412A9C">
        <w:rPr>
          <w:rFonts w:eastAsia="標楷體"/>
          <w:b/>
          <w:szCs w:val="22"/>
        </w:rPr>
        <w:t>自性有的諸法，「不」會是「自生」的。</w:t>
      </w:r>
      <w:r w:rsidRPr="00412A9C">
        <w:rPr>
          <w:rFonts w:eastAsia="標楷體"/>
          <w:szCs w:val="22"/>
        </w:rPr>
        <w:t>自生，是說自體能生起的。假定是自體生的，那在沒有生起以前，已經生起之後，是沒有差別的，依本有自性而生起，這纔合乎自生的定義。但是，不論在何時</w:t>
      </w:r>
      <w:r w:rsidR="00D86DC3" w:rsidRPr="00D86DC3">
        <w:rPr>
          <w:rFonts w:eastAsia="標楷體" w:hint="eastAsia"/>
          <w:color w:val="FF0000"/>
          <w:szCs w:val="22"/>
          <w:shd w:val="pct15" w:color="auto" w:fill="FFFFFF"/>
        </w:rPr>
        <w:t>、</w:t>
      </w:r>
      <w:r w:rsidRPr="00412A9C">
        <w:rPr>
          <w:rFonts w:eastAsia="標楷體"/>
          <w:szCs w:val="22"/>
        </w:rPr>
        <w:t>何處，什麼也不會這樣生的。為什麼呢？自生，本身就是矛盾不通。凡是生起，必有能生與所生，既含有能所的差別，怎麼能說自體生呢？可以說，自即不生，生即不自。同時，凡是生起，必然與未生有一種差別；未有而有，未成就而成就。現在說自體如此生，生個什麼東西呢？可說是一點意義都沒有。並且自體如此生，就不須其他條件，那麼，前念既如此生，後念也應如此生，生生不已，成為無窮生。若說要有其他的條件，所以前念自生而後念</w:t>
      </w:r>
      <w:r w:rsidRPr="00D3009B">
        <w:rPr>
          <w:rFonts w:eastAsia="標楷體"/>
          <w:szCs w:val="22"/>
        </w:rPr>
        <w:t>不生，那就失卻自生的意義了！所以沒有一法是自生的；自生只是從自性見所起的妄執罷了！</w:t>
      </w:r>
    </w:p>
    <w:p w:rsidR="00157EF6" w:rsidRPr="00412A9C" w:rsidRDefault="00157EF6" w:rsidP="00AE3920">
      <w:pPr>
        <w:pStyle w:val="a5"/>
        <w:spacing w:beforeLines="20"/>
        <w:ind w:leftChars="335" w:left="804"/>
        <w:jc w:val="both"/>
        <w:rPr>
          <w:rFonts w:eastAsia="標楷體"/>
          <w:szCs w:val="22"/>
        </w:rPr>
      </w:pPr>
      <w:r w:rsidRPr="00D3009B">
        <w:rPr>
          <w:rFonts w:eastAsia="標楷體"/>
          <w:szCs w:val="22"/>
        </w:rPr>
        <w:t>有人以</w:t>
      </w:r>
      <w:r w:rsidRPr="00412A9C">
        <w:rPr>
          <w:rFonts w:eastAsia="標楷體"/>
          <w:szCs w:val="22"/>
        </w:rPr>
        <w:t>為既不是自生，應該是</w:t>
      </w:r>
      <w:r w:rsidRPr="00412A9C">
        <w:rPr>
          <w:rFonts w:eastAsia="標楷體"/>
          <w:b/>
          <w:szCs w:val="22"/>
        </w:rPr>
        <w:t>他生</w:t>
      </w:r>
      <w:r w:rsidRPr="00412A9C">
        <w:rPr>
          <w:rFonts w:eastAsia="標楷體"/>
          <w:szCs w:val="22"/>
        </w:rPr>
        <w:t>，他是別體的另一法。其實，既沒有從自體生，也就「不從他生」，要知他生是同樣的矛盾不通。可說他即不生，生即不他。凡是此法由彼生的，彼此就有密切的關聯；決不能看為截然無關的別體。別體的他能生，這是絕對不能的。譬如火從木生，火木不是能截然各別的，不然，水呀，鐵呀，這一切法，豈不也是別體的他，他木能生火，他水他鐵等也應生火了。同是別體的他，為什麼有生不生的差別呢？假如說：他生的他，是有關係而親近的他；那無關而疏遠的他，不可為比例。這也不然，既有親疏的差別，為什麼說同是別體的他呢？不能生的是他，能生的就不應是他了。所以執著自性有的，說另一別體的他能生這實有法，是不合理的。一般人執自生的少，主張他生的多，我們必須破斥這他生的妄計！</w:t>
      </w:r>
    </w:p>
    <w:p w:rsidR="00157EF6" w:rsidRPr="00D3009B" w:rsidRDefault="00157EF6" w:rsidP="00AE3920">
      <w:pPr>
        <w:pStyle w:val="a5"/>
        <w:spacing w:beforeLines="20"/>
        <w:ind w:leftChars="335" w:left="804"/>
        <w:jc w:val="both"/>
        <w:rPr>
          <w:rFonts w:eastAsia="標楷體"/>
          <w:szCs w:val="22"/>
        </w:rPr>
      </w:pPr>
      <w:r w:rsidRPr="00D3009B">
        <w:rPr>
          <w:rFonts w:eastAsia="標楷體"/>
          <w:szCs w:val="22"/>
        </w:rPr>
        <w:t>有人以為單自不生，獨他也不生，</w:t>
      </w:r>
      <w:r w:rsidRPr="00D3009B">
        <w:rPr>
          <w:rFonts w:eastAsia="標楷體"/>
          <w:b/>
          <w:szCs w:val="22"/>
        </w:rPr>
        <w:t>自他相共</w:t>
      </w:r>
      <w:r w:rsidRPr="00D3009B">
        <w:rPr>
          <w:rFonts w:eastAsia="標楷體"/>
          <w:szCs w:val="22"/>
        </w:rPr>
        <w:t>當然是可生的了。他們的見解，就是果體已經成就了的，或是果體的理，或是果體的功能，再加以其他的條件的引發，自他和合就能生諸法。「不共」生，在青目釋中是不廣破的，因為共生不出自他，自體不能生，他體不能生，自他和合怎能生呢？如一個瞎子不能見，許多瞎子合起來，還不是同樣的不能見嗎？所以說共生是犯有自生他生的雙重過失。</w:t>
      </w:r>
    </w:p>
    <w:p w:rsidR="00157EF6" w:rsidRPr="00D3009B" w:rsidRDefault="00157EF6" w:rsidP="00AE3920">
      <w:pPr>
        <w:pStyle w:val="a5"/>
        <w:spacing w:beforeLines="20"/>
        <w:ind w:leftChars="335" w:left="804"/>
        <w:jc w:val="both"/>
        <w:rPr>
          <w:rFonts w:eastAsia="標楷體"/>
          <w:szCs w:val="22"/>
        </w:rPr>
      </w:pPr>
      <w:r w:rsidRPr="00D3009B">
        <w:rPr>
          <w:rFonts w:eastAsia="標楷體"/>
          <w:szCs w:val="22"/>
        </w:rPr>
        <w:t>有一類外道，對世間一切的存在與生起，不知其所以然，看不出他的因緣，於是</w:t>
      </w:r>
      <w:r w:rsidRPr="00412A9C">
        <w:rPr>
          <w:rFonts w:eastAsia="標楷體"/>
          <w:szCs w:val="22"/>
        </w:rPr>
        <w:t>便以為一切的一切，都是自然如此的，執著是</w:t>
      </w:r>
      <w:r w:rsidRPr="00412A9C">
        <w:rPr>
          <w:rFonts w:eastAsia="標楷體"/>
          <w:b/>
          <w:szCs w:val="22"/>
        </w:rPr>
        <w:t>無因生</w:t>
      </w:r>
      <w:r w:rsidRPr="00412A9C">
        <w:rPr>
          <w:rFonts w:eastAsia="標楷體"/>
          <w:szCs w:val="22"/>
        </w:rPr>
        <w:t>的。果法從無因而生，這在名言上又是自相矛盾的，有因纔有果，無因怎會有果呢？現見世間有情的事情，要有人功纔成就，若完全是無因的，人生的一切作業，豈不都是毫無意義？貧窮的自然貧窮，富貴的自然富貴，這麼一來，世間的一切，完全被破壞了。同時，如果是無因而有果，此地起火，別地為什</w:t>
      </w:r>
      <w:r w:rsidRPr="00D3009B">
        <w:rPr>
          <w:rFonts w:eastAsia="標楷體"/>
          <w:szCs w:val="22"/>
        </w:rPr>
        <w:t>麼不起呢？同樣是無因的，為什麼有生有不生？別地既不起火，可見這裡的火，是自有他的原因，只是你不能發覺罷了！所以說「不無因」生。</w:t>
      </w:r>
    </w:p>
    <w:p w:rsidR="00157EF6" w:rsidRPr="00D3009B" w:rsidRDefault="00157EF6" w:rsidP="00AE3920">
      <w:pPr>
        <w:pStyle w:val="a5"/>
        <w:spacing w:beforeLines="20"/>
        <w:ind w:leftChars="335" w:left="804"/>
        <w:jc w:val="both"/>
        <w:rPr>
          <w:rFonts w:eastAsia="標楷體"/>
          <w:szCs w:val="22"/>
        </w:rPr>
      </w:pPr>
      <w:r w:rsidRPr="00D3009B">
        <w:rPr>
          <w:rFonts w:eastAsia="標楷體"/>
          <w:szCs w:val="22"/>
        </w:rPr>
        <w:t>主張自性有的，都可用這四門觀察他的怎樣生起。一一門中觀察不到，就可知自性生不可得，所以說「是故知無生」。</w:t>
      </w:r>
    </w:p>
    <w:p w:rsidR="00157EF6" w:rsidRPr="00412A9C" w:rsidRDefault="00157EF6" w:rsidP="00AE3920">
      <w:pPr>
        <w:pStyle w:val="a5"/>
        <w:spacing w:beforeLines="20"/>
        <w:ind w:leftChars="335" w:left="804"/>
        <w:jc w:val="both"/>
        <w:rPr>
          <w:rFonts w:eastAsia="標楷體"/>
          <w:szCs w:val="22"/>
        </w:rPr>
      </w:pPr>
      <w:r w:rsidRPr="00D3009B">
        <w:rPr>
          <w:rFonts w:eastAsia="標楷體"/>
          <w:szCs w:val="22"/>
        </w:rPr>
        <w:t>反過來問中觀學者，諸法究竟有沒有生呢？有生是自生呢？他生呢？共生呢？</w:t>
      </w:r>
      <w:r w:rsidRPr="00412A9C">
        <w:rPr>
          <w:rFonts w:eastAsia="標楷體"/>
          <w:szCs w:val="22"/>
        </w:rPr>
        <w:t>還是無因生？敵者還不是可以用同樣的方法來破斥你。</w:t>
      </w:r>
      <w:r w:rsidRPr="00412A9C">
        <w:rPr>
          <w:rFonts w:eastAsia="標楷體"/>
          <w:b/>
          <w:szCs w:val="22"/>
        </w:rPr>
        <w:t>中觀者說：一切法是緣生，緣生是不屬前四生的，所以就免除了種種的過失。</w:t>
      </w:r>
    </w:p>
  </w:footnote>
  <w:footnote w:id="1076">
    <w:p w:rsidR="00157EF6" w:rsidRPr="00412A9C" w:rsidRDefault="00157EF6" w:rsidP="00AA120F">
      <w:pPr>
        <w:pStyle w:val="a5"/>
        <w:spacing w:line="0" w:lineRule="atLeast"/>
        <w:ind w:left="792" w:hangingChars="360" w:hanging="792"/>
        <w:jc w:val="both"/>
        <w:rPr>
          <w:rFonts w:eastAsia="標楷體"/>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）《摩訶般若波羅蜜經》卷</w:t>
      </w:r>
      <w:r w:rsidRPr="00761EF3">
        <w:rPr>
          <w:szCs w:val="22"/>
        </w:rPr>
        <w:t>22</w:t>
      </w:r>
      <w:r w:rsidRPr="00412A9C">
        <w:rPr>
          <w:szCs w:val="22"/>
        </w:rPr>
        <w:t>〈</w:t>
      </w:r>
      <w:r w:rsidRPr="00761EF3">
        <w:rPr>
          <w:szCs w:val="22"/>
        </w:rPr>
        <w:t>74</w:t>
      </w:r>
      <w:r>
        <w:rPr>
          <w:szCs w:val="22"/>
        </w:rPr>
        <w:t xml:space="preserve"> </w:t>
      </w:r>
      <w:r w:rsidRPr="00412A9C">
        <w:rPr>
          <w:szCs w:val="22"/>
        </w:rPr>
        <w:t>遍學品〉（大正</w:t>
      </w:r>
      <w:r w:rsidRPr="00761EF3">
        <w:rPr>
          <w:rFonts w:eastAsia="SimSun"/>
          <w:szCs w:val="22"/>
        </w:rPr>
        <w:t>8</w:t>
      </w:r>
      <w:r w:rsidRPr="00412A9C">
        <w:rPr>
          <w:szCs w:val="22"/>
        </w:rPr>
        <w:t>，</w:t>
      </w:r>
      <w:r w:rsidRPr="00761EF3">
        <w:rPr>
          <w:rFonts w:eastAsia="SimSun"/>
          <w:szCs w:val="22"/>
        </w:rPr>
        <w:t>381b23</w:t>
      </w:r>
      <w:r w:rsidRPr="00412A9C">
        <w:rPr>
          <w:rFonts w:eastAsia="SimSun"/>
          <w:szCs w:val="22"/>
        </w:rPr>
        <w:t>-</w:t>
      </w:r>
      <w:r w:rsidRPr="00761EF3">
        <w:rPr>
          <w:rFonts w:eastAsia="SimSun"/>
          <w:szCs w:val="22"/>
        </w:rPr>
        <w:t>26</w:t>
      </w:r>
      <w:r w:rsidRPr="00412A9C">
        <w:rPr>
          <w:szCs w:val="22"/>
        </w:rPr>
        <w:t>）：</w:t>
      </w:r>
    </w:p>
    <w:p w:rsidR="00157EF6" w:rsidRPr="00412A9C" w:rsidRDefault="00157EF6" w:rsidP="00AA120F">
      <w:pPr>
        <w:pStyle w:val="a5"/>
        <w:ind w:leftChars="335" w:left="804"/>
        <w:jc w:val="both"/>
        <w:rPr>
          <w:szCs w:val="22"/>
        </w:rPr>
      </w:pPr>
      <w:r w:rsidRPr="00412A9C">
        <w:rPr>
          <w:rFonts w:eastAsia="標楷體"/>
          <w:szCs w:val="22"/>
        </w:rPr>
        <w:t>須菩提！是八人若智</w:t>
      </w:r>
      <w:r w:rsidR="00186A21">
        <w:rPr>
          <w:rFonts w:ascii="標楷體" w:eastAsia="標楷體" w:hAnsi="標楷體" w:hint="eastAsia"/>
          <w:color w:val="FF0000"/>
          <w:kern w:val="0"/>
          <w:highlight w:val="yellow"/>
        </w:rPr>
        <w:t>.</w:t>
      </w:r>
      <w:r w:rsidRPr="00412A9C">
        <w:rPr>
          <w:rFonts w:eastAsia="標楷體"/>
          <w:szCs w:val="22"/>
        </w:rPr>
        <w:t>若斷，是菩薩無生法忍</w:t>
      </w:r>
      <w:r w:rsidR="00186A21">
        <w:rPr>
          <w:rFonts w:ascii="標楷體" w:eastAsia="標楷體" w:hAnsi="標楷體" w:hint="eastAsia"/>
          <w:color w:val="FF0000"/>
          <w:spacing w:val="-4"/>
          <w:kern w:val="0"/>
          <w:highlight w:val="yellow"/>
        </w:rPr>
        <w:t>；</w:t>
      </w:r>
      <w:r w:rsidRPr="00412A9C">
        <w:rPr>
          <w:rFonts w:eastAsia="標楷體"/>
          <w:szCs w:val="22"/>
        </w:rPr>
        <w:t>須陀洹若智</w:t>
      </w:r>
      <w:r w:rsidR="00186A21">
        <w:rPr>
          <w:rFonts w:ascii="標楷體" w:eastAsia="標楷體" w:hAnsi="標楷體" w:hint="eastAsia"/>
          <w:color w:val="FF0000"/>
          <w:kern w:val="0"/>
          <w:highlight w:val="yellow"/>
        </w:rPr>
        <w:t>.</w:t>
      </w:r>
      <w:r w:rsidRPr="00412A9C">
        <w:rPr>
          <w:rFonts w:eastAsia="標楷體"/>
          <w:szCs w:val="22"/>
        </w:rPr>
        <w:t>若斷、斯陀含若智</w:t>
      </w:r>
      <w:r w:rsidR="00186A21">
        <w:rPr>
          <w:rFonts w:ascii="標楷體" w:eastAsia="標楷體" w:hAnsi="標楷體" w:hint="eastAsia"/>
          <w:color w:val="FF0000"/>
          <w:kern w:val="0"/>
          <w:highlight w:val="yellow"/>
        </w:rPr>
        <w:t>.</w:t>
      </w:r>
      <w:r w:rsidRPr="00412A9C">
        <w:rPr>
          <w:rFonts w:eastAsia="標楷體"/>
          <w:szCs w:val="22"/>
        </w:rPr>
        <w:t>若斷、阿那含若智</w:t>
      </w:r>
      <w:r w:rsidR="00186A21">
        <w:rPr>
          <w:rFonts w:ascii="標楷體" w:eastAsia="標楷體" w:hAnsi="標楷體" w:hint="eastAsia"/>
          <w:color w:val="FF0000"/>
          <w:kern w:val="0"/>
          <w:highlight w:val="yellow"/>
        </w:rPr>
        <w:t>.</w:t>
      </w:r>
      <w:r w:rsidRPr="00412A9C">
        <w:rPr>
          <w:rFonts w:eastAsia="標楷體"/>
          <w:szCs w:val="22"/>
        </w:rPr>
        <w:t>若斷、阿羅漢若智</w:t>
      </w:r>
      <w:r w:rsidR="00186A21">
        <w:rPr>
          <w:rFonts w:ascii="標楷體" w:eastAsia="標楷體" w:hAnsi="標楷體" w:hint="eastAsia"/>
          <w:color w:val="FF0000"/>
          <w:kern w:val="0"/>
          <w:highlight w:val="yellow"/>
        </w:rPr>
        <w:t>.</w:t>
      </w:r>
      <w:r w:rsidRPr="00412A9C">
        <w:rPr>
          <w:rFonts w:eastAsia="標楷體"/>
          <w:szCs w:val="22"/>
        </w:rPr>
        <w:t>若斷、辟支佛若智</w:t>
      </w:r>
      <w:r w:rsidR="00186A21">
        <w:rPr>
          <w:rFonts w:ascii="標楷體" w:eastAsia="標楷體" w:hAnsi="標楷體" w:hint="eastAsia"/>
          <w:color w:val="FF0000"/>
          <w:kern w:val="0"/>
          <w:highlight w:val="yellow"/>
        </w:rPr>
        <w:t>.</w:t>
      </w:r>
      <w:r w:rsidRPr="00412A9C">
        <w:rPr>
          <w:rFonts w:eastAsia="標楷體"/>
          <w:szCs w:val="22"/>
        </w:rPr>
        <w:t>若斷，皆是菩薩無生忍。</w:t>
      </w:r>
    </w:p>
    <w:p w:rsidR="00157EF6" w:rsidRPr="00412A9C" w:rsidRDefault="00157EF6" w:rsidP="00AA120F">
      <w:pPr>
        <w:pStyle w:val="a5"/>
        <w:ind w:leftChars="105" w:left="791" w:hangingChars="245" w:hanging="539"/>
        <w:jc w:val="both"/>
        <w:rPr>
          <w:rStyle w:val="old"/>
          <w:rFonts w:eastAsia="標楷體"/>
          <w:color w:val="auto"/>
          <w:szCs w:val="22"/>
        </w:rPr>
      </w:pPr>
      <w:r w:rsidRPr="00412A9C">
        <w:rPr>
          <w:szCs w:val="22"/>
        </w:rPr>
        <w:t>（</w:t>
      </w:r>
      <w:r w:rsidRPr="00761EF3">
        <w:rPr>
          <w:szCs w:val="22"/>
        </w:rPr>
        <w:t>2</w:t>
      </w:r>
      <w:r w:rsidRPr="00412A9C">
        <w:rPr>
          <w:szCs w:val="22"/>
        </w:rPr>
        <w:t>）《摩訶般若波羅蜜經》卷</w:t>
      </w:r>
      <w:r w:rsidRPr="00761EF3">
        <w:rPr>
          <w:szCs w:val="22"/>
        </w:rPr>
        <w:t>23</w:t>
      </w:r>
      <w:r w:rsidRPr="00412A9C">
        <w:rPr>
          <w:szCs w:val="22"/>
        </w:rPr>
        <w:t>〈</w:t>
      </w:r>
      <w:r w:rsidRPr="00761EF3">
        <w:rPr>
          <w:szCs w:val="22"/>
        </w:rPr>
        <w:t>77</w:t>
      </w:r>
      <w:r w:rsidRPr="00412A9C">
        <w:rPr>
          <w:szCs w:val="22"/>
        </w:rPr>
        <w:t xml:space="preserve"> </w:t>
      </w:r>
      <w:r w:rsidRPr="00412A9C">
        <w:rPr>
          <w:szCs w:val="22"/>
        </w:rPr>
        <w:t>六喻品〉（大正</w:t>
      </w:r>
      <w:r w:rsidRPr="00761EF3">
        <w:rPr>
          <w:szCs w:val="22"/>
        </w:rPr>
        <w:t>8</w:t>
      </w:r>
      <w:r w:rsidRPr="00412A9C">
        <w:rPr>
          <w:szCs w:val="22"/>
        </w:rPr>
        <w:t>，</w:t>
      </w:r>
      <w:r w:rsidRPr="00761EF3">
        <w:rPr>
          <w:szCs w:val="22"/>
        </w:rPr>
        <w:t>390c27</w:t>
      </w:r>
      <w:r w:rsidRPr="00412A9C">
        <w:rPr>
          <w:szCs w:val="22"/>
        </w:rPr>
        <w:t>-</w:t>
      </w:r>
      <w:r w:rsidRPr="00761EF3">
        <w:rPr>
          <w:szCs w:val="22"/>
        </w:rPr>
        <w:t>391a11</w:t>
      </w:r>
      <w:r w:rsidRPr="00412A9C">
        <w:rPr>
          <w:szCs w:val="22"/>
        </w:rPr>
        <w:t>）</w:t>
      </w:r>
      <w:r w:rsidRPr="00412A9C">
        <w:rPr>
          <w:rFonts w:hint="eastAsia"/>
          <w:szCs w:val="22"/>
        </w:rPr>
        <w:t>。</w:t>
      </w:r>
    </w:p>
    <w:p w:rsidR="00157EF6" w:rsidRPr="00412A9C" w:rsidRDefault="00157EF6" w:rsidP="00AA120F">
      <w:pPr>
        <w:pStyle w:val="a5"/>
        <w:ind w:leftChars="105" w:left="791" w:hangingChars="245" w:hanging="539"/>
        <w:jc w:val="both"/>
        <w:rPr>
          <w:rStyle w:val="old"/>
          <w:color w:val="auto"/>
          <w:szCs w:val="22"/>
        </w:rPr>
      </w:pPr>
      <w:r w:rsidRPr="00412A9C">
        <w:rPr>
          <w:rStyle w:val="old"/>
          <w:color w:val="auto"/>
          <w:szCs w:val="22"/>
        </w:rPr>
        <w:t>（</w:t>
      </w:r>
      <w:r w:rsidRPr="00761EF3">
        <w:rPr>
          <w:rStyle w:val="old"/>
          <w:color w:val="auto"/>
          <w:szCs w:val="22"/>
        </w:rPr>
        <w:t>3</w:t>
      </w:r>
      <w:r w:rsidRPr="00412A9C">
        <w:rPr>
          <w:rStyle w:val="old"/>
          <w:color w:val="auto"/>
          <w:szCs w:val="22"/>
        </w:rPr>
        <w:t>）參見《</w:t>
      </w:r>
      <w:r w:rsidRPr="00431088">
        <w:t>大智</w:t>
      </w:r>
      <w:r w:rsidRPr="00412A9C">
        <w:rPr>
          <w:rStyle w:val="old"/>
          <w:color w:val="auto"/>
          <w:szCs w:val="22"/>
        </w:rPr>
        <w:t>度論》卷</w:t>
      </w:r>
      <w:r w:rsidRPr="00761EF3">
        <w:rPr>
          <w:rStyle w:val="old"/>
          <w:color w:val="auto"/>
          <w:szCs w:val="22"/>
        </w:rPr>
        <w:t>71</w:t>
      </w:r>
      <w:r w:rsidR="00EB463E">
        <w:rPr>
          <w:rFonts w:hint="eastAsia"/>
          <w:color w:val="FF0000"/>
          <w:szCs w:val="22"/>
          <w:highlight w:val="yellow"/>
        </w:rPr>
        <w:t>釋</w:t>
      </w:r>
      <w:r w:rsidR="00EB463E" w:rsidRPr="00EB463E">
        <w:rPr>
          <w:rStyle w:val="old"/>
          <w:rFonts w:hint="eastAsia"/>
          <w:color w:val="FF0000"/>
          <w:szCs w:val="22"/>
          <w:highlight w:val="yellow"/>
        </w:rPr>
        <w:t>〈</w:t>
      </w:r>
      <w:r w:rsidR="00EB463E" w:rsidRPr="00EB463E">
        <w:rPr>
          <w:rStyle w:val="old"/>
          <w:rFonts w:hint="eastAsia"/>
          <w:color w:val="FF0000"/>
          <w:szCs w:val="22"/>
          <w:highlight w:val="yellow"/>
        </w:rPr>
        <w:t xml:space="preserve">50 </w:t>
      </w:r>
      <w:r w:rsidR="00EB463E" w:rsidRPr="00EB463E">
        <w:rPr>
          <w:rStyle w:val="old"/>
          <w:rFonts w:hint="eastAsia"/>
          <w:color w:val="FF0000"/>
          <w:szCs w:val="22"/>
          <w:highlight w:val="yellow"/>
        </w:rPr>
        <w:t>大事起品〉</w:t>
      </w:r>
      <w:r w:rsidRPr="00412A9C">
        <w:rPr>
          <w:rStyle w:val="old"/>
          <w:color w:val="auto"/>
          <w:szCs w:val="22"/>
        </w:rPr>
        <w:t>（大正</w:t>
      </w:r>
      <w:r w:rsidRPr="00761EF3">
        <w:rPr>
          <w:rStyle w:val="old"/>
          <w:color w:val="auto"/>
          <w:szCs w:val="22"/>
        </w:rPr>
        <w:t>25</w:t>
      </w:r>
      <w:r w:rsidRPr="00412A9C">
        <w:rPr>
          <w:rStyle w:val="old"/>
          <w:color w:val="auto"/>
          <w:szCs w:val="22"/>
        </w:rPr>
        <w:t>，</w:t>
      </w:r>
      <w:r w:rsidRPr="00761EF3">
        <w:rPr>
          <w:rStyle w:val="old"/>
          <w:color w:val="auto"/>
          <w:szCs w:val="22"/>
        </w:rPr>
        <w:t>555a3</w:t>
      </w:r>
      <w:r w:rsidRPr="00412A9C">
        <w:rPr>
          <w:rStyle w:val="old"/>
          <w:color w:val="auto"/>
          <w:szCs w:val="22"/>
        </w:rPr>
        <w:t>-</w:t>
      </w:r>
      <w:r w:rsidRPr="00761EF3">
        <w:rPr>
          <w:rStyle w:val="old"/>
          <w:color w:val="auto"/>
          <w:szCs w:val="22"/>
        </w:rPr>
        <w:t>24</w:t>
      </w:r>
      <w:r w:rsidRPr="00412A9C">
        <w:rPr>
          <w:rStyle w:val="old"/>
          <w:color w:val="auto"/>
          <w:szCs w:val="22"/>
        </w:rPr>
        <w:t>）</w:t>
      </w:r>
      <w:r w:rsidR="00267A4E">
        <w:rPr>
          <w:rStyle w:val="old"/>
          <w:rFonts w:hint="eastAsia"/>
          <w:color w:val="auto"/>
          <w:szCs w:val="22"/>
        </w:rPr>
        <w:t>，</w:t>
      </w:r>
      <w:r w:rsidRPr="00412A9C">
        <w:rPr>
          <w:rStyle w:val="old"/>
          <w:color w:val="auto"/>
          <w:szCs w:val="22"/>
        </w:rPr>
        <w:t>卷</w:t>
      </w:r>
      <w:r w:rsidRPr="00761EF3">
        <w:rPr>
          <w:rStyle w:val="old"/>
          <w:color w:val="auto"/>
          <w:szCs w:val="22"/>
        </w:rPr>
        <w:t>86</w:t>
      </w:r>
      <w:r w:rsidR="00EB463E">
        <w:rPr>
          <w:rFonts w:hint="eastAsia"/>
          <w:color w:val="FF0000"/>
          <w:szCs w:val="22"/>
          <w:highlight w:val="yellow"/>
        </w:rPr>
        <w:t>釋</w:t>
      </w:r>
      <w:r w:rsidR="00EB463E" w:rsidRPr="00EB463E">
        <w:rPr>
          <w:rStyle w:val="old"/>
          <w:rFonts w:hint="eastAsia"/>
          <w:color w:val="FF0000"/>
          <w:szCs w:val="22"/>
          <w:highlight w:val="yellow"/>
        </w:rPr>
        <w:t>〈</w:t>
      </w:r>
      <w:r w:rsidR="00EB463E" w:rsidRPr="00EB463E">
        <w:rPr>
          <w:rStyle w:val="old"/>
          <w:rFonts w:hint="eastAsia"/>
          <w:color w:val="FF0000"/>
          <w:szCs w:val="22"/>
          <w:highlight w:val="yellow"/>
        </w:rPr>
        <w:t xml:space="preserve">74 </w:t>
      </w:r>
      <w:r w:rsidR="00EB463E" w:rsidRPr="00EB463E">
        <w:rPr>
          <w:rStyle w:val="old"/>
          <w:rFonts w:hint="eastAsia"/>
          <w:color w:val="FF0000"/>
          <w:szCs w:val="22"/>
          <w:highlight w:val="yellow"/>
        </w:rPr>
        <w:t>遍學品〉</w:t>
      </w:r>
      <w:r w:rsidRPr="00412A9C">
        <w:rPr>
          <w:rStyle w:val="old"/>
          <w:color w:val="auto"/>
          <w:szCs w:val="22"/>
        </w:rPr>
        <w:t>（大正</w:t>
      </w:r>
      <w:r w:rsidRPr="00761EF3">
        <w:rPr>
          <w:rStyle w:val="old"/>
          <w:color w:val="auto"/>
          <w:szCs w:val="22"/>
        </w:rPr>
        <w:t>25</w:t>
      </w:r>
      <w:r w:rsidRPr="00412A9C">
        <w:rPr>
          <w:rStyle w:val="old"/>
          <w:color w:val="auto"/>
          <w:szCs w:val="22"/>
        </w:rPr>
        <w:t>，</w:t>
      </w:r>
      <w:r w:rsidRPr="00761EF3">
        <w:rPr>
          <w:rStyle w:val="old"/>
          <w:color w:val="auto"/>
          <w:szCs w:val="22"/>
        </w:rPr>
        <w:t>662b16</w:t>
      </w:r>
      <w:r w:rsidRPr="00412A9C">
        <w:rPr>
          <w:rStyle w:val="old"/>
          <w:color w:val="auto"/>
          <w:szCs w:val="22"/>
        </w:rPr>
        <w:t>-</w:t>
      </w:r>
      <w:r w:rsidRPr="00761EF3">
        <w:rPr>
          <w:rStyle w:val="old"/>
          <w:color w:val="auto"/>
          <w:szCs w:val="22"/>
        </w:rPr>
        <w:t>24</w:t>
      </w:r>
      <w:r w:rsidRPr="00412A9C">
        <w:rPr>
          <w:rStyle w:val="old"/>
          <w:color w:val="auto"/>
          <w:szCs w:val="22"/>
        </w:rPr>
        <w:t>）。</w:t>
      </w:r>
    </w:p>
    <w:p w:rsidR="00157EF6" w:rsidRPr="00412A9C" w:rsidRDefault="00157EF6" w:rsidP="00AA120F">
      <w:pPr>
        <w:pStyle w:val="a5"/>
        <w:ind w:leftChars="105" w:left="791" w:hangingChars="245" w:hanging="539"/>
        <w:jc w:val="both"/>
        <w:rPr>
          <w:rStyle w:val="old"/>
          <w:color w:val="auto"/>
          <w:szCs w:val="22"/>
        </w:rPr>
      </w:pPr>
      <w:r w:rsidRPr="00412A9C">
        <w:rPr>
          <w:rStyle w:val="old"/>
          <w:rFonts w:hint="eastAsia"/>
          <w:color w:val="auto"/>
          <w:szCs w:val="22"/>
        </w:rPr>
        <w:t>（</w:t>
      </w:r>
      <w:r w:rsidRPr="00761EF3">
        <w:rPr>
          <w:rStyle w:val="old"/>
          <w:rFonts w:hint="eastAsia"/>
          <w:color w:val="auto"/>
          <w:szCs w:val="22"/>
        </w:rPr>
        <w:t>4</w:t>
      </w:r>
      <w:r w:rsidRPr="00412A9C">
        <w:rPr>
          <w:rStyle w:val="old"/>
          <w:rFonts w:hint="eastAsia"/>
          <w:color w:val="auto"/>
          <w:szCs w:val="22"/>
        </w:rPr>
        <w:t>）《大</w:t>
      </w:r>
      <w:r w:rsidRPr="00431088">
        <w:rPr>
          <w:rFonts w:hint="eastAsia"/>
        </w:rPr>
        <w:t>般若</w:t>
      </w:r>
      <w:r w:rsidRPr="00412A9C">
        <w:rPr>
          <w:rStyle w:val="old"/>
          <w:rFonts w:hint="eastAsia"/>
          <w:color w:val="auto"/>
          <w:szCs w:val="22"/>
        </w:rPr>
        <w:t>波羅蜜多經》卷</w:t>
      </w:r>
      <w:r w:rsidRPr="00761EF3">
        <w:rPr>
          <w:rStyle w:val="old"/>
          <w:rFonts w:hint="eastAsia"/>
          <w:color w:val="auto"/>
          <w:szCs w:val="22"/>
        </w:rPr>
        <w:t>444</w:t>
      </w:r>
      <w:r w:rsidRPr="00412A9C">
        <w:rPr>
          <w:rStyle w:val="old"/>
          <w:rFonts w:hint="eastAsia"/>
          <w:color w:val="auto"/>
          <w:szCs w:val="22"/>
        </w:rPr>
        <w:t>〈</w:t>
      </w:r>
      <w:r w:rsidRPr="00761EF3">
        <w:rPr>
          <w:rStyle w:val="old"/>
          <w:rFonts w:hint="eastAsia"/>
          <w:color w:val="auto"/>
          <w:szCs w:val="22"/>
        </w:rPr>
        <w:t>48</w:t>
      </w:r>
      <w:r>
        <w:rPr>
          <w:rStyle w:val="old"/>
          <w:rFonts w:hint="eastAsia"/>
          <w:color w:val="auto"/>
          <w:szCs w:val="22"/>
        </w:rPr>
        <w:t xml:space="preserve"> </w:t>
      </w:r>
      <w:r w:rsidRPr="00412A9C">
        <w:rPr>
          <w:rStyle w:val="old"/>
          <w:rFonts w:hint="eastAsia"/>
          <w:color w:val="auto"/>
          <w:szCs w:val="22"/>
        </w:rPr>
        <w:t>成辦品〉（大正</w:t>
      </w:r>
      <w:r w:rsidRPr="00761EF3">
        <w:rPr>
          <w:rStyle w:val="old"/>
          <w:rFonts w:hint="eastAsia"/>
          <w:color w:val="auto"/>
          <w:szCs w:val="22"/>
        </w:rPr>
        <w:t>7</w:t>
      </w:r>
      <w:r w:rsidRPr="00412A9C">
        <w:rPr>
          <w:rStyle w:val="old"/>
          <w:rFonts w:hint="eastAsia"/>
          <w:color w:val="auto"/>
          <w:szCs w:val="22"/>
        </w:rPr>
        <w:t>，</w:t>
      </w:r>
      <w:r w:rsidRPr="00761EF3">
        <w:rPr>
          <w:rStyle w:val="old"/>
          <w:rFonts w:hint="eastAsia"/>
          <w:color w:val="auto"/>
          <w:szCs w:val="22"/>
        </w:rPr>
        <w:t>239a7</w:t>
      </w:r>
      <w:r w:rsidRPr="00412A9C">
        <w:rPr>
          <w:rStyle w:val="old"/>
          <w:rFonts w:hint="eastAsia"/>
          <w:color w:val="auto"/>
          <w:szCs w:val="22"/>
        </w:rPr>
        <w:t>-</w:t>
      </w:r>
      <w:r w:rsidRPr="00761EF3">
        <w:rPr>
          <w:rStyle w:val="old"/>
          <w:rFonts w:hint="eastAsia"/>
          <w:color w:val="auto"/>
          <w:szCs w:val="22"/>
        </w:rPr>
        <w:t>10</w:t>
      </w:r>
      <w:r w:rsidRPr="00412A9C">
        <w:rPr>
          <w:rStyle w:val="old"/>
          <w:rFonts w:hint="eastAsia"/>
          <w:color w:val="auto"/>
          <w:szCs w:val="22"/>
        </w:rPr>
        <w:t>）：</w:t>
      </w:r>
    </w:p>
    <w:p w:rsidR="00157EF6" w:rsidRPr="00412A9C" w:rsidRDefault="00157EF6" w:rsidP="00AA120F">
      <w:pPr>
        <w:pStyle w:val="a5"/>
        <w:ind w:leftChars="335" w:left="804"/>
        <w:jc w:val="both"/>
        <w:rPr>
          <w:rFonts w:eastAsia="標楷體"/>
          <w:szCs w:val="22"/>
        </w:rPr>
      </w:pPr>
      <w:r w:rsidRPr="00412A9C">
        <w:rPr>
          <w:rFonts w:eastAsia="標楷體" w:hint="eastAsia"/>
          <w:szCs w:val="22"/>
        </w:rPr>
        <w:t>爾時，佛告諸天眾言：「善哉！善哉！如汝所說。</w:t>
      </w:r>
      <w:r w:rsidR="00186A21">
        <w:rPr>
          <w:rFonts w:ascii="標楷體" w:eastAsia="標楷體" w:hAnsi="標楷體" w:hint="eastAsia"/>
          <w:color w:val="FF0000"/>
          <w:kern w:val="0"/>
          <w:highlight w:val="yellow"/>
        </w:rPr>
        <w:t>『</w:t>
      </w:r>
      <w:r w:rsidRPr="00412A9C">
        <w:rPr>
          <w:rFonts w:eastAsia="標楷體" w:hint="eastAsia"/>
          <w:szCs w:val="22"/>
        </w:rPr>
        <w:t>諸隨信行、若隨法行、第八、預流、一來、不還、阿羅漢、獨覺</w:t>
      </w:r>
      <w:r w:rsidR="00186A21">
        <w:rPr>
          <w:rFonts w:ascii="標楷體" w:eastAsia="標楷體" w:hAnsi="標楷體" w:hint="eastAsia"/>
          <w:color w:val="FF0000"/>
          <w:kern w:val="0"/>
          <w:highlight w:val="yellow"/>
        </w:rPr>
        <w:t>』</w:t>
      </w:r>
      <w:r w:rsidRPr="00412A9C">
        <w:rPr>
          <w:rFonts w:eastAsia="標楷體" w:hint="eastAsia"/>
          <w:szCs w:val="22"/>
        </w:rPr>
        <w:t>所有智</w:t>
      </w:r>
      <w:r w:rsidR="00186A21">
        <w:rPr>
          <w:rFonts w:ascii="標楷體" w:eastAsia="標楷體" w:hAnsi="標楷體" w:hint="eastAsia"/>
          <w:color w:val="FF0000"/>
          <w:kern w:val="0"/>
          <w:highlight w:val="yellow"/>
        </w:rPr>
        <w:t>.</w:t>
      </w:r>
      <w:r w:rsidRPr="00412A9C">
        <w:rPr>
          <w:rFonts w:eastAsia="標楷體" w:hint="eastAsia"/>
          <w:szCs w:val="22"/>
        </w:rPr>
        <w:t>斷，皆是</w:t>
      </w:r>
      <w:r w:rsidRPr="00412A9C">
        <w:rPr>
          <w:rFonts w:eastAsia="標楷體" w:hint="eastAsia"/>
          <w:b/>
          <w:szCs w:val="22"/>
        </w:rPr>
        <w:t>已得無生法忍諸菩薩摩訶薩忍之少分</w:t>
      </w:r>
      <w:r w:rsidRPr="00412A9C">
        <w:rPr>
          <w:rFonts w:eastAsia="標楷體" w:hint="eastAsia"/>
          <w:szCs w:val="22"/>
        </w:rPr>
        <w:t>。」</w:t>
      </w:r>
    </w:p>
  </w:footnote>
  <w:footnote w:id="1077">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szCs w:val="22"/>
        </w:rPr>
        <w:t>《阿毘達磨品類足論》卷</w:t>
      </w:r>
      <w:r w:rsidRPr="00761EF3">
        <w:rPr>
          <w:szCs w:val="22"/>
        </w:rPr>
        <w:t>1</w:t>
      </w:r>
      <w:r w:rsidRPr="00412A9C">
        <w:rPr>
          <w:szCs w:val="22"/>
        </w:rPr>
        <w:t>〈</w:t>
      </w:r>
      <w:r w:rsidRPr="00761EF3">
        <w:rPr>
          <w:szCs w:val="22"/>
        </w:rPr>
        <w:t>1</w:t>
      </w:r>
      <w:r>
        <w:rPr>
          <w:szCs w:val="22"/>
        </w:rPr>
        <w:t xml:space="preserve"> </w:t>
      </w:r>
      <w:r w:rsidRPr="00412A9C">
        <w:rPr>
          <w:szCs w:val="22"/>
        </w:rPr>
        <w:t>辯五事品〉（大正</w:t>
      </w:r>
      <w:r w:rsidRPr="00761EF3">
        <w:rPr>
          <w:szCs w:val="22"/>
        </w:rPr>
        <w:t>26</w:t>
      </w:r>
      <w:r w:rsidRPr="00412A9C">
        <w:rPr>
          <w:szCs w:val="22"/>
        </w:rPr>
        <w:t>，</w:t>
      </w:r>
      <w:r w:rsidRPr="00761EF3">
        <w:rPr>
          <w:szCs w:val="22"/>
        </w:rPr>
        <w:t>694a8</w:t>
      </w:r>
      <w:r w:rsidRPr="00412A9C">
        <w:rPr>
          <w:szCs w:val="22"/>
        </w:rPr>
        <w:t>-</w:t>
      </w:r>
      <w:r w:rsidRPr="00761EF3">
        <w:rPr>
          <w:szCs w:val="22"/>
        </w:rPr>
        <w:t>14</w:t>
      </w:r>
      <w:r w:rsidRPr="00412A9C">
        <w:rPr>
          <w:szCs w:val="22"/>
        </w:rPr>
        <w:t>）：</w:t>
      </w:r>
    </w:p>
    <w:p w:rsidR="00157EF6" w:rsidRPr="00412A9C" w:rsidRDefault="00AD19B5" w:rsidP="00AA120F">
      <w:pPr>
        <w:pStyle w:val="a5"/>
        <w:ind w:leftChars="105" w:left="252"/>
        <w:jc w:val="both"/>
        <w:rPr>
          <w:rFonts w:eastAsia="標楷體"/>
          <w:szCs w:val="22"/>
        </w:rPr>
      </w:pPr>
      <w:r>
        <w:rPr>
          <w:rFonts w:ascii="標楷體" w:eastAsia="標楷體" w:hAnsi="標楷體" w:hint="eastAsia"/>
          <w:bCs/>
          <w:color w:val="FF0000"/>
          <w:kern w:val="0"/>
          <w:highlight w:val="yellow"/>
        </w:rPr>
        <w:t>「</w:t>
      </w:r>
      <w:r w:rsidR="00157EF6" w:rsidRPr="00412A9C">
        <w:rPr>
          <w:rFonts w:eastAsia="標楷體"/>
          <w:b/>
          <w:szCs w:val="22"/>
        </w:rPr>
        <w:t>盡智</w:t>
      </w:r>
      <w:r>
        <w:rPr>
          <w:rFonts w:ascii="標楷體" w:eastAsia="標楷體" w:hAnsi="標楷體" w:hint="eastAsia"/>
          <w:bCs/>
          <w:color w:val="FF0000"/>
          <w:kern w:val="0"/>
          <w:highlight w:val="yellow"/>
        </w:rPr>
        <w:t>」</w:t>
      </w:r>
      <w:r>
        <w:rPr>
          <w:rFonts w:ascii="標楷體" w:eastAsia="標楷體" w:hAnsi="標楷體" w:hint="eastAsia"/>
          <w:color w:val="FF0000"/>
          <w:kern w:val="0"/>
          <w:highlight w:val="yellow"/>
        </w:rPr>
        <w:t>，</w:t>
      </w:r>
      <w:r w:rsidR="00157EF6" w:rsidRPr="00412A9C">
        <w:rPr>
          <w:rFonts w:eastAsia="標楷體"/>
          <w:szCs w:val="22"/>
        </w:rPr>
        <w:t>云何？謂自遍知</w:t>
      </w:r>
      <w:r>
        <w:rPr>
          <w:rFonts w:ascii="標楷體" w:eastAsia="標楷體" w:hAnsi="標楷體" w:hint="eastAsia"/>
          <w:bCs/>
          <w:color w:val="FF0000"/>
          <w:kern w:val="0"/>
          <w:highlight w:val="yellow"/>
        </w:rPr>
        <w:t>「</w:t>
      </w:r>
      <w:r w:rsidR="00157EF6" w:rsidRPr="00412A9C">
        <w:rPr>
          <w:rFonts w:eastAsia="標楷體"/>
          <w:szCs w:val="22"/>
        </w:rPr>
        <w:t>我已知苦，我已斷集，我已證滅，我已修道</w:t>
      </w:r>
      <w:r>
        <w:rPr>
          <w:rFonts w:ascii="標楷體" w:eastAsia="標楷體" w:hAnsi="標楷體" w:hint="eastAsia"/>
          <w:bCs/>
          <w:color w:val="FF0000"/>
          <w:kern w:val="0"/>
          <w:highlight w:val="yellow"/>
        </w:rPr>
        <w:t>」</w:t>
      </w:r>
      <w:r w:rsidR="00157EF6" w:rsidRPr="00412A9C">
        <w:rPr>
          <w:rFonts w:eastAsia="標楷體"/>
          <w:szCs w:val="22"/>
        </w:rPr>
        <w:t>，由此而起智</w:t>
      </w:r>
      <w:r>
        <w:rPr>
          <w:rFonts w:ascii="標楷體" w:eastAsia="標楷體" w:hAnsi="標楷體" w:hint="eastAsia"/>
          <w:color w:val="FF0000"/>
          <w:spacing w:val="-4"/>
          <w:kern w:val="0"/>
          <w:highlight w:val="yellow"/>
        </w:rPr>
        <w:t>、</w:t>
      </w:r>
      <w:r w:rsidR="00157EF6" w:rsidRPr="00412A9C">
        <w:rPr>
          <w:rFonts w:eastAsia="標楷體"/>
          <w:szCs w:val="22"/>
        </w:rPr>
        <w:t>見</w:t>
      </w:r>
      <w:r>
        <w:rPr>
          <w:rFonts w:ascii="標楷體" w:eastAsia="標楷體" w:hAnsi="標楷體" w:hint="eastAsia"/>
          <w:color w:val="FF0000"/>
          <w:spacing w:val="-4"/>
          <w:kern w:val="0"/>
          <w:highlight w:val="yellow"/>
        </w:rPr>
        <w:t>、</w:t>
      </w:r>
      <w:r w:rsidR="00157EF6" w:rsidRPr="00412A9C">
        <w:rPr>
          <w:rFonts w:eastAsia="標楷體"/>
          <w:szCs w:val="22"/>
        </w:rPr>
        <w:t>明</w:t>
      </w:r>
      <w:r>
        <w:rPr>
          <w:rFonts w:ascii="標楷體" w:eastAsia="標楷體" w:hAnsi="標楷體" w:hint="eastAsia"/>
          <w:color w:val="FF0000"/>
          <w:spacing w:val="-4"/>
          <w:kern w:val="0"/>
          <w:highlight w:val="yellow"/>
        </w:rPr>
        <w:t>、</w:t>
      </w:r>
      <w:r w:rsidR="00157EF6" w:rsidRPr="00412A9C">
        <w:rPr>
          <w:rFonts w:eastAsia="標楷體"/>
          <w:szCs w:val="22"/>
        </w:rPr>
        <w:t>覺</w:t>
      </w:r>
      <w:r>
        <w:rPr>
          <w:rFonts w:ascii="標楷體" w:eastAsia="標楷體" w:hAnsi="標楷體" w:hint="eastAsia"/>
          <w:color w:val="FF0000"/>
          <w:spacing w:val="-4"/>
          <w:kern w:val="0"/>
          <w:highlight w:val="yellow"/>
        </w:rPr>
        <w:t>、</w:t>
      </w:r>
      <w:r w:rsidR="00157EF6" w:rsidRPr="00412A9C">
        <w:rPr>
          <w:rFonts w:eastAsia="標楷體"/>
          <w:szCs w:val="22"/>
        </w:rPr>
        <w:t>解</w:t>
      </w:r>
      <w:r>
        <w:rPr>
          <w:rFonts w:ascii="標楷體" w:eastAsia="標楷體" w:hAnsi="標楷體" w:hint="eastAsia"/>
          <w:color w:val="FF0000"/>
          <w:spacing w:val="-4"/>
          <w:kern w:val="0"/>
          <w:highlight w:val="yellow"/>
        </w:rPr>
        <w:t>、</w:t>
      </w:r>
      <w:r w:rsidR="00157EF6" w:rsidRPr="00412A9C">
        <w:rPr>
          <w:rFonts w:eastAsia="標楷體"/>
          <w:szCs w:val="22"/>
        </w:rPr>
        <w:t>慧</w:t>
      </w:r>
      <w:r>
        <w:rPr>
          <w:rFonts w:ascii="標楷體" w:eastAsia="標楷體" w:hAnsi="標楷體" w:hint="eastAsia"/>
          <w:color w:val="FF0000"/>
          <w:spacing w:val="-4"/>
          <w:kern w:val="0"/>
          <w:highlight w:val="yellow"/>
        </w:rPr>
        <w:t>、</w:t>
      </w:r>
      <w:r w:rsidR="00157EF6" w:rsidRPr="00412A9C">
        <w:rPr>
          <w:rFonts w:eastAsia="標楷體"/>
          <w:szCs w:val="22"/>
        </w:rPr>
        <w:t>光</w:t>
      </w:r>
      <w:r>
        <w:rPr>
          <w:rFonts w:ascii="標楷體" w:eastAsia="標楷體" w:hAnsi="標楷體" w:hint="eastAsia"/>
          <w:color w:val="FF0000"/>
          <w:spacing w:val="-4"/>
          <w:kern w:val="0"/>
          <w:highlight w:val="yellow"/>
        </w:rPr>
        <w:t>、</w:t>
      </w:r>
      <w:r w:rsidR="00157EF6" w:rsidRPr="00412A9C">
        <w:rPr>
          <w:rFonts w:eastAsia="標楷體"/>
          <w:szCs w:val="22"/>
        </w:rPr>
        <w:t>觀，皆名</w:t>
      </w:r>
      <w:r>
        <w:rPr>
          <w:rFonts w:ascii="標楷體" w:eastAsia="標楷體" w:hAnsi="標楷體" w:hint="eastAsia"/>
          <w:bCs/>
          <w:color w:val="FF0000"/>
          <w:kern w:val="0"/>
          <w:highlight w:val="yellow"/>
        </w:rPr>
        <w:t>「</w:t>
      </w:r>
      <w:r w:rsidR="00157EF6" w:rsidRPr="00412A9C">
        <w:rPr>
          <w:rFonts w:eastAsia="標楷體"/>
          <w:szCs w:val="22"/>
        </w:rPr>
        <w:t>盡智</w:t>
      </w:r>
      <w:r>
        <w:rPr>
          <w:rFonts w:ascii="標楷體" w:eastAsia="標楷體" w:hAnsi="標楷體" w:hint="eastAsia"/>
          <w:bCs/>
          <w:color w:val="FF0000"/>
          <w:kern w:val="0"/>
          <w:highlight w:val="yellow"/>
        </w:rPr>
        <w:t>」</w:t>
      </w:r>
      <w:r w:rsidR="00157EF6" w:rsidRPr="00412A9C">
        <w:rPr>
          <w:rFonts w:eastAsia="標楷體"/>
          <w:szCs w:val="22"/>
        </w:rPr>
        <w:t>。</w:t>
      </w:r>
    </w:p>
    <w:p w:rsidR="00157EF6" w:rsidRPr="00412A9C" w:rsidRDefault="00AD19B5" w:rsidP="00AA120F">
      <w:pPr>
        <w:pStyle w:val="a5"/>
        <w:ind w:leftChars="105" w:left="252"/>
        <w:jc w:val="both"/>
        <w:rPr>
          <w:rFonts w:eastAsia="標楷體"/>
          <w:szCs w:val="22"/>
        </w:rPr>
      </w:pPr>
      <w:r>
        <w:rPr>
          <w:rFonts w:ascii="標楷體" w:eastAsia="標楷體" w:hAnsi="標楷體" w:hint="eastAsia"/>
          <w:bCs/>
          <w:color w:val="FF0000"/>
          <w:kern w:val="0"/>
          <w:highlight w:val="yellow"/>
        </w:rPr>
        <w:t>「</w:t>
      </w:r>
      <w:r w:rsidR="00157EF6" w:rsidRPr="00412A9C">
        <w:rPr>
          <w:rFonts w:eastAsia="標楷體"/>
          <w:b/>
          <w:szCs w:val="22"/>
        </w:rPr>
        <w:t>無生智</w:t>
      </w:r>
      <w:r>
        <w:rPr>
          <w:rFonts w:ascii="標楷體" w:eastAsia="標楷體" w:hAnsi="標楷體" w:hint="eastAsia"/>
          <w:bCs/>
          <w:color w:val="FF0000"/>
          <w:kern w:val="0"/>
          <w:highlight w:val="yellow"/>
        </w:rPr>
        <w:t>」</w:t>
      </w:r>
      <w:r>
        <w:rPr>
          <w:rFonts w:ascii="標楷體" w:eastAsia="標楷體" w:hAnsi="標楷體" w:hint="eastAsia"/>
          <w:color w:val="FF0000"/>
          <w:kern w:val="0"/>
          <w:highlight w:val="yellow"/>
        </w:rPr>
        <w:t>，</w:t>
      </w:r>
      <w:r w:rsidR="00157EF6" w:rsidRPr="00412A9C">
        <w:rPr>
          <w:rFonts w:eastAsia="標楷體"/>
          <w:szCs w:val="22"/>
        </w:rPr>
        <w:t>云何？謂自遍知</w:t>
      </w:r>
      <w:r>
        <w:rPr>
          <w:rFonts w:ascii="標楷體" w:eastAsia="標楷體" w:hAnsi="標楷體" w:hint="eastAsia"/>
          <w:bCs/>
          <w:color w:val="FF0000"/>
          <w:kern w:val="0"/>
          <w:highlight w:val="yellow"/>
        </w:rPr>
        <w:t>「</w:t>
      </w:r>
      <w:r w:rsidR="00157EF6" w:rsidRPr="00412A9C">
        <w:rPr>
          <w:rFonts w:eastAsia="標楷體"/>
          <w:szCs w:val="22"/>
        </w:rPr>
        <w:t>我已知苦</w:t>
      </w:r>
      <w:r>
        <w:rPr>
          <w:rFonts w:ascii="標楷體" w:eastAsia="標楷體" w:hAnsi="標楷體" w:hint="eastAsia"/>
          <w:color w:val="FF0000"/>
          <w:kern w:val="0"/>
          <w:highlight w:val="yellow"/>
        </w:rPr>
        <w:t>，</w:t>
      </w:r>
      <w:r w:rsidR="00157EF6" w:rsidRPr="00412A9C">
        <w:rPr>
          <w:rFonts w:eastAsia="標楷體"/>
          <w:szCs w:val="22"/>
        </w:rPr>
        <w:t>不復當知</w:t>
      </w:r>
      <w:r>
        <w:rPr>
          <w:rFonts w:ascii="標楷體" w:eastAsia="標楷體" w:hAnsi="標楷體" w:hint="eastAsia"/>
          <w:color w:val="FF0000"/>
          <w:spacing w:val="-4"/>
          <w:kern w:val="0"/>
          <w:highlight w:val="yellow"/>
        </w:rPr>
        <w:t>；</w:t>
      </w:r>
      <w:r w:rsidR="00157EF6" w:rsidRPr="00412A9C">
        <w:rPr>
          <w:rFonts w:eastAsia="標楷體"/>
          <w:szCs w:val="22"/>
        </w:rPr>
        <w:t>我已斷集</w:t>
      </w:r>
      <w:r>
        <w:rPr>
          <w:rFonts w:ascii="標楷體" w:eastAsia="標楷體" w:hAnsi="標楷體" w:hint="eastAsia"/>
          <w:color w:val="FF0000"/>
          <w:kern w:val="0"/>
          <w:highlight w:val="yellow"/>
        </w:rPr>
        <w:t>，</w:t>
      </w:r>
      <w:r w:rsidR="00157EF6" w:rsidRPr="00412A9C">
        <w:rPr>
          <w:rFonts w:eastAsia="標楷體"/>
          <w:szCs w:val="22"/>
        </w:rPr>
        <w:t>不復當斷</w:t>
      </w:r>
      <w:r>
        <w:rPr>
          <w:rFonts w:ascii="標楷體" w:eastAsia="標楷體" w:hAnsi="標楷體" w:hint="eastAsia"/>
          <w:color w:val="FF0000"/>
          <w:spacing w:val="-4"/>
          <w:kern w:val="0"/>
          <w:highlight w:val="yellow"/>
        </w:rPr>
        <w:t>；</w:t>
      </w:r>
      <w:r w:rsidR="00157EF6" w:rsidRPr="00412A9C">
        <w:rPr>
          <w:rFonts w:eastAsia="標楷體"/>
          <w:szCs w:val="22"/>
        </w:rPr>
        <w:t>我已證滅</w:t>
      </w:r>
      <w:r>
        <w:rPr>
          <w:rFonts w:ascii="標楷體" w:eastAsia="標楷體" w:hAnsi="標楷體" w:hint="eastAsia"/>
          <w:color w:val="FF0000"/>
          <w:kern w:val="0"/>
          <w:highlight w:val="yellow"/>
        </w:rPr>
        <w:t>，</w:t>
      </w:r>
      <w:r w:rsidR="00157EF6" w:rsidRPr="00412A9C">
        <w:rPr>
          <w:rFonts w:eastAsia="標楷體"/>
          <w:szCs w:val="22"/>
        </w:rPr>
        <w:t>不復當證</w:t>
      </w:r>
      <w:r>
        <w:rPr>
          <w:rFonts w:ascii="標楷體" w:eastAsia="標楷體" w:hAnsi="標楷體" w:hint="eastAsia"/>
          <w:color w:val="FF0000"/>
          <w:spacing w:val="-4"/>
          <w:kern w:val="0"/>
          <w:highlight w:val="yellow"/>
        </w:rPr>
        <w:t>；</w:t>
      </w:r>
      <w:r w:rsidR="00157EF6" w:rsidRPr="00412A9C">
        <w:rPr>
          <w:rFonts w:eastAsia="標楷體"/>
          <w:szCs w:val="22"/>
        </w:rPr>
        <w:t>我已修道</w:t>
      </w:r>
      <w:r>
        <w:rPr>
          <w:rFonts w:ascii="標楷體" w:eastAsia="標楷體" w:hAnsi="標楷體" w:hint="eastAsia"/>
          <w:color w:val="FF0000"/>
          <w:kern w:val="0"/>
          <w:highlight w:val="yellow"/>
        </w:rPr>
        <w:t>，</w:t>
      </w:r>
      <w:r w:rsidR="00157EF6" w:rsidRPr="00412A9C">
        <w:rPr>
          <w:rFonts w:eastAsia="標楷體"/>
          <w:szCs w:val="22"/>
        </w:rPr>
        <w:t>不復當修</w:t>
      </w:r>
      <w:r>
        <w:rPr>
          <w:rFonts w:ascii="標楷體" w:eastAsia="標楷體" w:hAnsi="標楷體" w:hint="eastAsia"/>
          <w:bCs/>
          <w:color w:val="FF0000"/>
          <w:kern w:val="0"/>
          <w:highlight w:val="yellow"/>
        </w:rPr>
        <w:t>」</w:t>
      </w:r>
      <w:r w:rsidR="00157EF6" w:rsidRPr="00412A9C">
        <w:rPr>
          <w:rFonts w:eastAsia="標楷體"/>
          <w:szCs w:val="22"/>
        </w:rPr>
        <w:t>，由此而起智</w:t>
      </w:r>
      <w:r>
        <w:rPr>
          <w:rFonts w:ascii="標楷體" w:eastAsia="標楷體" w:hAnsi="標楷體" w:hint="eastAsia"/>
          <w:color w:val="FF0000"/>
          <w:spacing w:val="-4"/>
          <w:kern w:val="0"/>
          <w:highlight w:val="yellow"/>
        </w:rPr>
        <w:t>、</w:t>
      </w:r>
      <w:r w:rsidR="00157EF6" w:rsidRPr="00412A9C">
        <w:rPr>
          <w:rFonts w:eastAsia="標楷體"/>
          <w:szCs w:val="22"/>
        </w:rPr>
        <w:t>見</w:t>
      </w:r>
      <w:r>
        <w:rPr>
          <w:rFonts w:ascii="標楷體" w:eastAsia="標楷體" w:hAnsi="標楷體" w:hint="eastAsia"/>
          <w:color w:val="FF0000"/>
          <w:spacing w:val="-4"/>
          <w:kern w:val="0"/>
          <w:highlight w:val="yellow"/>
        </w:rPr>
        <w:t>、</w:t>
      </w:r>
      <w:r w:rsidR="00157EF6" w:rsidRPr="00412A9C">
        <w:rPr>
          <w:rFonts w:eastAsia="標楷體"/>
          <w:szCs w:val="22"/>
        </w:rPr>
        <w:t>明</w:t>
      </w:r>
      <w:r>
        <w:rPr>
          <w:rFonts w:ascii="標楷體" w:eastAsia="標楷體" w:hAnsi="標楷體" w:hint="eastAsia"/>
          <w:color w:val="FF0000"/>
          <w:spacing w:val="-4"/>
          <w:kern w:val="0"/>
          <w:highlight w:val="yellow"/>
        </w:rPr>
        <w:t>、</w:t>
      </w:r>
      <w:r w:rsidR="00157EF6" w:rsidRPr="00412A9C">
        <w:rPr>
          <w:rFonts w:eastAsia="標楷體"/>
          <w:szCs w:val="22"/>
        </w:rPr>
        <w:t>覺</w:t>
      </w:r>
      <w:r>
        <w:rPr>
          <w:rFonts w:ascii="標楷體" w:eastAsia="標楷體" w:hAnsi="標楷體" w:hint="eastAsia"/>
          <w:color w:val="FF0000"/>
          <w:spacing w:val="-4"/>
          <w:kern w:val="0"/>
          <w:highlight w:val="yellow"/>
        </w:rPr>
        <w:t>、</w:t>
      </w:r>
      <w:r w:rsidR="00157EF6" w:rsidRPr="00412A9C">
        <w:rPr>
          <w:rFonts w:eastAsia="標楷體"/>
          <w:szCs w:val="22"/>
        </w:rPr>
        <w:t>解</w:t>
      </w:r>
      <w:r>
        <w:rPr>
          <w:rFonts w:ascii="標楷體" w:eastAsia="標楷體" w:hAnsi="標楷體" w:hint="eastAsia"/>
          <w:color w:val="FF0000"/>
          <w:spacing w:val="-4"/>
          <w:kern w:val="0"/>
          <w:highlight w:val="yellow"/>
        </w:rPr>
        <w:t>、</w:t>
      </w:r>
      <w:r w:rsidR="00157EF6" w:rsidRPr="00412A9C">
        <w:rPr>
          <w:rFonts w:eastAsia="標楷體"/>
          <w:szCs w:val="22"/>
        </w:rPr>
        <w:t>慧</w:t>
      </w:r>
      <w:r>
        <w:rPr>
          <w:rFonts w:ascii="標楷體" w:eastAsia="標楷體" w:hAnsi="標楷體" w:hint="eastAsia"/>
          <w:color w:val="FF0000"/>
          <w:spacing w:val="-4"/>
          <w:kern w:val="0"/>
          <w:highlight w:val="yellow"/>
        </w:rPr>
        <w:t>、</w:t>
      </w:r>
      <w:r w:rsidR="00157EF6" w:rsidRPr="00412A9C">
        <w:rPr>
          <w:rFonts w:eastAsia="標楷體"/>
          <w:szCs w:val="22"/>
        </w:rPr>
        <w:t>光</w:t>
      </w:r>
      <w:r>
        <w:rPr>
          <w:rFonts w:ascii="標楷體" w:eastAsia="標楷體" w:hAnsi="標楷體" w:hint="eastAsia"/>
          <w:color w:val="FF0000"/>
          <w:spacing w:val="-4"/>
          <w:kern w:val="0"/>
          <w:highlight w:val="yellow"/>
        </w:rPr>
        <w:t>、</w:t>
      </w:r>
      <w:r w:rsidR="00157EF6" w:rsidRPr="00412A9C">
        <w:rPr>
          <w:rFonts w:eastAsia="標楷體"/>
          <w:szCs w:val="22"/>
        </w:rPr>
        <w:t>觀，皆名</w:t>
      </w:r>
      <w:r>
        <w:rPr>
          <w:rFonts w:ascii="標楷體" w:eastAsia="標楷體" w:hAnsi="標楷體" w:hint="eastAsia"/>
          <w:bCs/>
          <w:color w:val="FF0000"/>
          <w:kern w:val="0"/>
          <w:highlight w:val="yellow"/>
        </w:rPr>
        <w:t>「</w:t>
      </w:r>
      <w:r w:rsidR="00157EF6" w:rsidRPr="00412A9C">
        <w:rPr>
          <w:rFonts w:eastAsia="標楷體"/>
          <w:szCs w:val="22"/>
        </w:rPr>
        <w:t>無生智</w:t>
      </w:r>
      <w:r>
        <w:rPr>
          <w:rFonts w:ascii="標楷體" w:eastAsia="標楷體" w:hAnsi="標楷體" w:hint="eastAsia"/>
          <w:bCs/>
          <w:color w:val="FF0000"/>
          <w:kern w:val="0"/>
          <w:highlight w:val="yellow"/>
        </w:rPr>
        <w:t>」</w:t>
      </w:r>
      <w:r w:rsidR="00157EF6" w:rsidRPr="00412A9C">
        <w:rPr>
          <w:rFonts w:eastAsia="標楷體"/>
          <w:szCs w:val="22"/>
        </w:rPr>
        <w:t>。</w:t>
      </w:r>
    </w:p>
  </w:footnote>
  <w:footnote w:id="1078">
    <w:p w:rsidR="00564C83" w:rsidRPr="00412A9C" w:rsidRDefault="00564C83" w:rsidP="00564C83">
      <w:pPr>
        <w:pStyle w:val="a5"/>
        <w:spacing w:line="0" w:lineRule="atLeast"/>
        <w:ind w:left="253" w:hangingChars="115" w:hanging="253"/>
        <w:jc w:val="both"/>
        <w:rPr>
          <w:rFonts w:eastAsia="SimSun"/>
          <w:szCs w:val="22"/>
        </w:rPr>
      </w:pPr>
      <w:r w:rsidRPr="00412A9C">
        <w:rPr>
          <w:rStyle w:val="a6"/>
          <w:szCs w:val="22"/>
        </w:rPr>
        <w:footnoteRef/>
      </w:r>
      <w:r w:rsidRPr="00412A9C">
        <w:rPr>
          <w:rFonts w:hint="eastAsia"/>
          <w:szCs w:val="22"/>
        </w:rPr>
        <w:t xml:space="preserve"> </w:t>
      </w:r>
      <w:r w:rsidRPr="00412A9C">
        <w:rPr>
          <w:rFonts w:hint="eastAsia"/>
          <w:szCs w:val="22"/>
        </w:rPr>
        <w:t>參見</w:t>
      </w:r>
      <w:r>
        <w:rPr>
          <w:rFonts w:hint="eastAsia"/>
          <w:szCs w:val="22"/>
        </w:rPr>
        <w:t>：</w:t>
      </w:r>
      <w:r w:rsidRPr="00412A9C">
        <w:rPr>
          <w:rFonts w:hint="eastAsia"/>
          <w:szCs w:val="22"/>
        </w:rPr>
        <w:t>《中論》卷</w:t>
      </w:r>
      <w:r w:rsidRPr="00761EF3">
        <w:rPr>
          <w:szCs w:val="22"/>
        </w:rPr>
        <w:t>1</w:t>
      </w:r>
      <w:r w:rsidRPr="00412A9C">
        <w:rPr>
          <w:rFonts w:hint="eastAsia"/>
          <w:szCs w:val="22"/>
        </w:rPr>
        <w:t>〈</w:t>
      </w:r>
      <w:r w:rsidRPr="00761EF3">
        <w:rPr>
          <w:szCs w:val="22"/>
        </w:rPr>
        <w:t>1</w:t>
      </w:r>
      <w:r>
        <w:rPr>
          <w:szCs w:val="22"/>
        </w:rPr>
        <w:t xml:space="preserve"> </w:t>
      </w:r>
      <w:r w:rsidRPr="00412A9C">
        <w:rPr>
          <w:rFonts w:hint="eastAsia"/>
          <w:szCs w:val="22"/>
        </w:rPr>
        <w:t>觀因緣品〉（大正</w:t>
      </w:r>
      <w:r w:rsidRPr="00761EF3">
        <w:rPr>
          <w:szCs w:val="22"/>
        </w:rPr>
        <w:t>30</w:t>
      </w:r>
      <w:r w:rsidRPr="00412A9C">
        <w:rPr>
          <w:rFonts w:hint="eastAsia"/>
          <w:szCs w:val="22"/>
        </w:rPr>
        <w:t>，</w:t>
      </w:r>
      <w:r w:rsidRPr="00761EF3">
        <w:rPr>
          <w:szCs w:val="22"/>
        </w:rPr>
        <w:t>2b6</w:t>
      </w:r>
      <w:r w:rsidRPr="00412A9C">
        <w:rPr>
          <w:rFonts w:eastAsia="SimSun" w:hint="eastAsia"/>
          <w:szCs w:val="22"/>
        </w:rPr>
        <w:t>-</w:t>
      </w:r>
      <w:r w:rsidRPr="00761EF3">
        <w:rPr>
          <w:szCs w:val="22"/>
        </w:rPr>
        <w:t>17</w:t>
      </w:r>
      <w:r w:rsidRPr="00412A9C">
        <w:rPr>
          <w:rFonts w:hint="eastAsia"/>
          <w:szCs w:val="22"/>
        </w:rPr>
        <w:t>）；印順法師，《中觀論頌講記》，</w:t>
      </w:r>
      <w:r w:rsidRPr="00761EF3">
        <w:rPr>
          <w:szCs w:val="22"/>
        </w:rPr>
        <w:t>pp</w:t>
      </w:r>
      <w:r w:rsidRPr="00412A9C">
        <w:rPr>
          <w:szCs w:val="22"/>
        </w:rPr>
        <w:t>.</w:t>
      </w:r>
      <w:r w:rsidRPr="00761EF3">
        <w:rPr>
          <w:szCs w:val="22"/>
        </w:rPr>
        <w:t>5</w:t>
      </w:r>
      <w:r w:rsidRPr="00761EF3">
        <w:rPr>
          <w:rFonts w:hint="eastAsia"/>
          <w:szCs w:val="22"/>
        </w:rPr>
        <w:t>8</w:t>
      </w:r>
      <w:r w:rsidRPr="00412A9C">
        <w:rPr>
          <w:szCs w:val="22"/>
        </w:rPr>
        <w:t>-</w:t>
      </w:r>
      <w:r w:rsidRPr="00761EF3">
        <w:rPr>
          <w:szCs w:val="22"/>
        </w:rPr>
        <w:t>65</w:t>
      </w:r>
      <w:r w:rsidRPr="00412A9C">
        <w:rPr>
          <w:rFonts w:hint="eastAsia"/>
          <w:szCs w:val="22"/>
        </w:rPr>
        <w:t>；印順法師，《成佛之道》（增注本），</w:t>
      </w:r>
      <w:r w:rsidRPr="00761EF3">
        <w:rPr>
          <w:szCs w:val="22"/>
        </w:rPr>
        <w:t>pp</w:t>
      </w:r>
      <w:r w:rsidRPr="00412A9C">
        <w:rPr>
          <w:szCs w:val="22"/>
        </w:rPr>
        <w:t>.</w:t>
      </w:r>
      <w:r w:rsidRPr="00761EF3">
        <w:rPr>
          <w:szCs w:val="22"/>
        </w:rPr>
        <w:t>352</w:t>
      </w:r>
      <w:r w:rsidRPr="00412A9C">
        <w:rPr>
          <w:szCs w:val="22"/>
        </w:rPr>
        <w:t>-</w:t>
      </w:r>
      <w:r w:rsidRPr="00761EF3">
        <w:rPr>
          <w:szCs w:val="22"/>
        </w:rPr>
        <w:t>355</w:t>
      </w:r>
      <w:r w:rsidRPr="00412A9C">
        <w:rPr>
          <w:rFonts w:hint="eastAsia"/>
          <w:szCs w:val="22"/>
        </w:rPr>
        <w:t>。</w:t>
      </w:r>
    </w:p>
  </w:footnote>
  <w:footnote w:id="1079">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szCs w:val="22"/>
        </w:rPr>
        <w:t>新新：</w:t>
      </w:r>
      <w:r w:rsidRPr="00761EF3">
        <w:rPr>
          <w:szCs w:val="22"/>
        </w:rPr>
        <w:t>1</w:t>
      </w:r>
      <w:r w:rsidRPr="00412A9C">
        <w:rPr>
          <w:szCs w:val="22"/>
        </w:rPr>
        <w:t>.</w:t>
      </w:r>
      <w:r w:rsidRPr="00412A9C">
        <w:rPr>
          <w:szCs w:val="22"/>
        </w:rPr>
        <w:t>新之又新，不斷變新。（《漢語大詞典》（六），</w:t>
      </w:r>
      <w:r w:rsidRPr="00761EF3">
        <w:rPr>
          <w:szCs w:val="22"/>
        </w:rPr>
        <w:t>p</w:t>
      </w:r>
      <w:r w:rsidRPr="00412A9C">
        <w:rPr>
          <w:szCs w:val="22"/>
        </w:rPr>
        <w:t>.</w:t>
      </w:r>
      <w:r w:rsidRPr="00761EF3">
        <w:rPr>
          <w:szCs w:val="22"/>
        </w:rPr>
        <w:t>1077</w:t>
      </w:r>
      <w:r w:rsidRPr="00412A9C">
        <w:rPr>
          <w:szCs w:val="22"/>
        </w:rPr>
        <w:t>）</w:t>
      </w:r>
    </w:p>
  </w:footnote>
  <w:footnote w:id="1080">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szCs w:val="22"/>
        </w:rPr>
        <w:t>束：</w:t>
      </w:r>
      <w:r w:rsidRPr="00761EF3">
        <w:rPr>
          <w:szCs w:val="22"/>
        </w:rPr>
        <w:t>1</w:t>
      </w:r>
      <w:r w:rsidRPr="00412A9C">
        <w:rPr>
          <w:szCs w:val="22"/>
        </w:rPr>
        <w:t>.</w:t>
      </w:r>
      <w:r w:rsidRPr="002F757E">
        <w:rPr>
          <w:szCs w:val="22"/>
        </w:rPr>
        <w:t>捆縛</w:t>
      </w:r>
      <w:r w:rsidRPr="00412A9C">
        <w:rPr>
          <w:szCs w:val="22"/>
        </w:rPr>
        <w:t>。</w:t>
      </w:r>
      <w:r w:rsidRPr="00761EF3">
        <w:rPr>
          <w:szCs w:val="22"/>
        </w:rPr>
        <w:t>2</w:t>
      </w:r>
      <w:r w:rsidRPr="00412A9C">
        <w:rPr>
          <w:szCs w:val="22"/>
        </w:rPr>
        <w:t>.</w:t>
      </w:r>
      <w:r w:rsidRPr="00412A9C">
        <w:rPr>
          <w:szCs w:val="22"/>
        </w:rPr>
        <w:t>纏繞。</w:t>
      </w:r>
      <w:r w:rsidRPr="00761EF3">
        <w:rPr>
          <w:szCs w:val="22"/>
        </w:rPr>
        <w:t>4</w:t>
      </w:r>
      <w:r w:rsidRPr="00412A9C">
        <w:rPr>
          <w:szCs w:val="22"/>
        </w:rPr>
        <w:t>.</w:t>
      </w:r>
      <w:r w:rsidRPr="00412A9C">
        <w:rPr>
          <w:szCs w:val="22"/>
        </w:rPr>
        <w:t>聚集。（《漢語大詞典》（四），</w:t>
      </w:r>
      <w:r w:rsidRPr="00761EF3">
        <w:rPr>
          <w:szCs w:val="22"/>
        </w:rPr>
        <w:t>p</w:t>
      </w:r>
      <w:r w:rsidRPr="00412A9C">
        <w:rPr>
          <w:szCs w:val="22"/>
        </w:rPr>
        <w:t>.</w:t>
      </w:r>
      <w:r w:rsidRPr="00761EF3">
        <w:rPr>
          <w:szCs w:val="22"/>
        </w:rPr>
        <w:t>777</w:t>
      </w:r>
      <w:r w:rsidRPr="00412A9C">
        <w:rPr>
          <w:szCs w:val="22"/>
        </w:rPr>
        <w:t>）</w:t>
      </w:r>
    </w:p>
  </w:footnote>
  <w:footnote w:id="1081">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）《中論》卷</w:t>
      </w:r>
      <w:r w:rsidRPr="00761EF3">
        <w:rPr>
          <w:szCs w:val="22"/>
        </w:rPr>
        <w:t>3</w:t>
      </w:r>
      <w:r w:rsidRPr="00412A9C">
        <w:rPr>
          <w:szCs w:val="22"/>
        </w:rPr>
        <w:t>〈</w:t>
      </w:r>
      <w:r w:rsidRPr="00761EF3">
        <w:rPr>
          <w:szCs w:val="22"/>
        </w:rPr>
        <w:t>18</w:t>
      </w:r>
      <w:r>
        <w:rPr>
          <w:szCs w:val="22"/>
        </w:rPr>
        <w:t xml:space="preserve"> </w:t>
      </w:r>
      <w:r w:rsidRPr="00412A9C">
        <w:rPr>
          <w:szCs w:val="22"/>
        </w:rPr>
        <w:t>觀法品〉（大正</w:t>
      </w:r>
      <w:r w:rsidRPr="00761EF3">
        <w:rPr>
          <w:szCs w:val="22"/>
        </w:rPr>
        <w:t>30</w:t>
      </w:r>
      <w:r w:rsidRPr="00412A9C">
        <w:rPr>
          <w:szCs w:val="22"/>
        </w:rPr>
        <w:t>，</w:t>
      </w:r>
      <w:r w:rsidRPr="00761EF3">
        <w:rPr>
          <w:szCs w:val="22"/>
        </w:rPr>
        <w:t>24a9</w:t>
      </w:r>
      <w:r w:rsidRPr="00412A9C">
        <w:rPr>
          <w:szCs w:val="22"/>
        </w:rPr>
        <w:t>-</w:t>
      </w:r>
      <w:r w:rsidRPr="00761EF3">
        <w:rPr>
          <w:szCs w:val="22"/>
        </w:rPr>
        <w:t>12</w:t>
      </w:r>
      <w:r w:rsidRPr="00412A9C">
        <w:rPr>
          <w:szCs w:val="22"/>
        </w:rPr>
        <w:t>）</w:t>
      </w:r>
      <w:r w:rsidRPr="00412A9C">
        <w:rPr>
          <w:rFonts w:hint="eastAsia"/>
          <w:szCs w:val="22"/>
        </w:rPr>
        <w:t>。</w:t>
      </w:r>
    </w:p>
    <w:p w:rsidR="00157EF6" w:rsidRPr="00412A9C" w:rsidRDefault="00157EF6" w:rsidP="00AA120F">
      <w:pPr>
        <w:pStyle w:val="a5"/>
        <w:ind w:leftChars="105" w:left="791" w:hangingChars="245" w:hanging="539"/>
        <w:jc w:val="both"/>
        <w:rPr>
          <w:szCs w:val="22"/>
        </w:rPr>
      </w:pPr>
      <w:r w:rsidRPr="00412A9C">
        <w:rPr>
          <w:szCs w:val="22"/>
        </w:rPr>
        <w:t>（</w:t>
      </w:r>
      <w:r w:rsidRPr="00761EF3">
        <w:rPr>
          <w:szCs w:val="22"/>
        </w:rPr>
        <w:t>2</w:t>
      </w:r>
      <w:r w:rsidRPr="00412A9C">
        <w:rPr>
          <w:szCs w:val="22"/>
        </w:rPr>
        <w:t>）</w:t>
      </w:r>
      <w:r w:rsidRPr="00431088">
        <w:t>參見</w:t>
      </w:r>
      <w:r w:rsidR="00F0673A">
        <w:rPr>
          <w:rFonts w:hint="eastAsia"/>
        </w:rPr>
        <w:t>：</w:t>
      </w:r>
      <w:r w:rsidRPr="00431088">
        <w:t>印順</w:t>
      </w:r>
      <w:r w:rsidRPr="00412A9C">
        <w:rPr>
          <w:szCs w:val="22"/>
        </w:rPr>
        <w:t>法師，《中觀論頌講記》，</w:t>
      </w:r>
      <w:r w:rsidRPr="00761EF3">
        <w:rPr>
          <w:szCs w:val="22"/>
        </w:rPr>
        <w:t>pp</w:t>
      </w:r>
      <w:r w:rsidRPr="00412A9C">
        <w:rPr>
          <w:szCs w:val="22"/>
        </w:rPr>
        <w:t>.</w:t>
      </w:r>
      <w:r w:rsidRPr="00761EF3">
        <w:rPr>
          <w:szCs w:val="22"/>
        </w:rPr>
        <w:t>3</w:t>
      </w:r>
      <w:r w:rsidRPr="00761EF3">
        <w:rPr>
          <w:rFonts w:hint="eastAsia"/>
          <w:szCs w:val="22"/>
        </w:rPr>
        <w:t>37</w:t>
      </w:r>
      <w:r w:rsidRPr="00412A9C">
        <w:rPr>
          <w:szCs w:val="22"/>
        </w:rPr>
        <w:t>-</w:t>
      </w:r>
      <w:r w:rsidRPr="00761EF3">
        <w:rPr>
          <w:szCs w:val="22"/>
        </w:rPr>
        <w:t>3</w:t>
      </w:r>
      <w:r w:rsidRPr="00761EF3">
        <w:rPr>
          <w:rFonts w:hint="eastAsia"/>
          <w:szCs w:val="22"/>
        </w:rPr>
        <w:t>41</w:t>
      </w:r>
      <w:r w:rsidRPr="00412A9C">
        <w:rPr>
          <w:szCs w:val="22"/>
        </w:rPr>
        <w:t>；萬金川，《中觀思想講錄》，</w:t>
      </w:r>
      <w:r w:rsidRPr="00761EF3">
        <w:rPr>
          <w:szCs w:val="22"/>
        </w:rPr>
        <w:t>pp</w:t>
      </w:r>
      <w:r w:rsidRPr="00412A9C">
        <w:rPr>
          <w:szCs w:val="22"/>
        </w:rPr>
        <w:t>.</w:t>
      </w:r>
      <w:r w:rsidRPr="00761EF3">
        <w:rPr>
          <w:szCs w:val="22"/>
        </w:rPr>
        <w:t>125</w:t>
      </w:r>
      <w:r w:rsidRPr="00412A9C">
        <w:rPr>
          <w:szCs w:val="22"/>
        </w:rPr>
        <w:t>-</w:t>
      </w:r>
      <w:r w:rsidRPr="00761EF3">
        <w:rPr>
          <w:szCs w:val="22"/>
        </w:rPr>
        <w:t>126</w:t>
      </w:r>
      <w:r w:rsidRPr="00412A9C">
        <w:rPr>
          <w:szCs w:val="22"/>
        </w:rPr>
        <w:t>。</w:t>
      </w:r>
    </w:p>
  </w:footnote>
  <w:footnote w:id="1082">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Pr>
          <w:rFonts w:hint="eastAsia"/>
          <w:szCs w:val="22"/>
        </w:rPr>
        <w:t xml:space="preserve"> </w:t>
      </w:r>
      <w:r w:rsidRPr="00412A9C">
        <w:rPr>
          <w:szCs w:val="22"/>
        </w:rPr>
        <w:t>《雜阿含經》卷</w:t>
      </w:r>
      <w:r w:rsidRPr="00761EF3">
        <w:rPr>
          <w:szCs w:val="22"/>
        </w:rPr>
        <w:t>14</w:t>
      </w:r>
      <w:r w:rsidRPr="00412A9C">
        <w:rPr>
          <w:szCs w:val="22"/>
        </w:rPr>
        <w:t>（</w:t>
      </w:r>
      <w:r w:rsidRPr="00761EF3">
        <w:rPr>
          <w:szCs w:val="22"/>
        </w:rPr>
        <w:t>347</w:t>
      </w:r>
      <w:r w:rsidRPr="00412A9C">
        <w:rPr>
          <w:szCs w:val="22"/>
        </w:rPr>
        <w:t>經）（大正</w:t>
      </w:r>
      <w:r w:rsidRPr="00761EF3">
        <w:rPr>
          <w:szCs w:val="22"/>
        </w:rPr>
        <w:t>2</w:t>
      </w:r>
      <w:r w:rsidRPr="00412A9C">
        <w:rPr>
          <w:szCs w:val="22"/>
        </w:rPr>
        <w:t>，</w:t>
      </w:r>
      <w:r w:rsidRPr="00761EF3">
        <w:rPr>
          <w:szCs w:val="22"/>
        </w:rPr>
        <w:t>97b11</w:t>
      </w:r>
      <w:r w:rsidRPr="00412A9C">
        <w:rPr>
          <w:szCs w:val="22"/>
        </w:rPr>
        <w:t>-</w:t>
      </w:r>
      <w:r w:rsidRPr="00761EF3">
        <w:rPr>
          <w:szCs w:val="22"/>
        </w:rPr>
        <w:t>12</w:t>
      </w:r>
      <w:r w:rsidRPr="00412A9C">
        <w:rPr>
          <w:szCs w:val="22"/>
        </w:rPr>
        <w:t>）：</w:t>
      </w:r>
    </w:p>
    <w:p w:rsidR="00157EF6" w:rsidRPr="00412A9C" w:rsidRDefault="00157EF6" w:rsidP="00AA120F">
      <w:pPr>
        <w:pStyle w:val="a5"/>
        <w:ind w:leftChars="105" w:left="252"/>
        <w:jc w:val="both"/>
        <w:rPr>
          <w:szCs w:val="22"/>
        </w:rPr>
      </w:pPr>
      <w:r w:rsidRPr="00412A9C">
        <w:rPr>
          <w:rFonts w:eastAsia="標楷體"/>
          <w:szCs w:val="22"/>
        </w:rPr>
        <w:t>佛告須深：</w:t>
      </w:r>
      <w:r w:rsidRPr="00412A9C">
        <w:rPr>
          <w:rFonts w:eastAsia="標楷體" w:hint="eastAsia"/>
          <w:szCs w:val="22"/>
        </w:rPr>
        <w:t>「</w:t>
      </w:r>
      <w:r w:rsidRPr="00412A9C">
        <w:rPr>
          <w:rFonts w:eastAsia="標楷體"/>
          <w:szCs w:val="22"/>
        </w:rPr>
        <w:t>不問汝知不知</w:t>
      </w:r>
      <w:r w:rsidR="00F01177">
        <w:rPr>
          <w:rFonts w:ascii="標楷體" w:eastAsia="標楷體" w:hAnsi="標楷體" w:hint="eastAsia"/>
          <w:color w:val="FF0000"/>
          <w:kern w:val="0"/>
          <w:highlight w:val="yellow"/>
        </w:rPr>
        <w:t>。</w:t>
      </w:r>
      <w:r w:rsidRPr="00412A9C">
        <w:rPr>
          <w:rFonts w:eastAsia="標楷體"/>
          <w:szCs w:val="22"/>
        </w:rPr>
        <w:t>且自先知法住，後知涅槃</w:t>
      </w:r>
      <w:r w:rsidRPr="00412A9C">
        <w:rPr>
          <w:szCs w:val="22"/>
        </w:rPr>
        <w:t>。</w:t>
      </w:r>
      <w:r w:rsidRPr="00412A9C">
        <w:rPr>
          <w:rFonts w:hint="eastAsia"/>
          <w:szCs w:val="22"/>
        </w:rPr>
        <w:t>」</w:t>
      </w:r>
    </w:p>
  </w:footnote>
  <w:footnote w:id="1083">
    <w:p w:rsidR="00157EF6" w:rsidRPr="00412A9C" w:rsidRDefault="00157EF6" w:rsidP="00AA120F">
      <w:pPr>
        <w:pStyle w:val="a5"/>
        <w:spacing w:line="0" w:lineRule="atLeast"/>
        <w:ind w:left="792" w:hangingChars="360" w:hanging="792"/>
        <w:jc w:val="both"/>
        <w:rPr>
          <w:rFonts w:eastAsia="標楷體"/>
          <w:szCs w:val="22"/>
        </w:rPr>
      </w:pPr>
      <w:r w:rsidRPr="00412A9C">
        <w:rPr>
          <w:rStyle w:val="a6"/>
          <w:szCs w:val="22"/>
        </w:rPr>
        <w:footnoteRef/>
      </w:r>
      <w:r>
        <w:rPr>
          <w:rFonts w:hint="eastAsia"/>
          <w:szCs w:val="22"/>
        </w:rPr>
        <w:t xml:space="preserve"> </w:t>
      </w:r>
      <w:r w:rsidRPr="00412A9C">
        <w:rPr>
          <w:szCs w:val="22"/>
        </w:rPr>
        <w:t>（</w:t>
      </w:r>
      <w:r w:rsidRPr="00761EF3">
        <w:rPr>
          <w:szCs w:val="22"/>
        </w:rPr>
        <w:t>1</w:t>
      </w:r>
      <w:r w:rsidRPr="00412A9C">
        <w:rPr>
          <w:szCs w:val="22"/>
        </w:rPr>
        <w:t>）《中論》卷</w:t>
      </w:r>
      <w:r w:rsidRPr="00761EF3">
        <w:rPr>
          <w:szCs w:val="22"/>
        </w:rPr>
        <w:t>3</w:t>
      </w:r>
      <w:r w:rsidRPr="00412A9C">
        <w:rPr>
          <w:szCs w:val="22"/>
        </w:rPr>
        <w:t>〈</w:t>
      </w:r>
      <w:r w:rsidRPr="00761EF3">
        <w:rPr>
          <w:szCs w:val="22"/>
        </w:rPr>
        <w:t>18</w:t>
      </w:r>
      <w:r>
        <w:rPr>
          <w:szCs w:val="22"/>
        </w:rPr>
        <w:t xml:space="preserve"> </w:t>
      </w:r>
      <w:r w:rsidRPr="00412A9C">
        <w:rPr>
          <w:szCs w:val="22"/>
        </w:rPr>
        <w:t>觀法品〉（大正</w:t>
      </w:r>
      <w:r w:rsidRPr="00761EF3">
        <w:rPr>
          <w:szCs w:val="22"/>
        </w:rPr>
        <w:t>30</w:t>
      </w:r>
      <w:r w:rsidRPr="00412A9C">
        <w:rPr>
          <w:szCs w:val="22"/>
        </w:rPr>
        <w:t>，</w:t>
      </w:r>
      <w:r w:rsidRPr="00761EF3">
        <w:rPr>
          <w:szCs w:val="22"/>
        </w:rPr>
        <w:t>23c22</w:t>
      </w:r>
      <w:r w:rsidRPr="00412A9C">
        <w:rPr>
          <w:szCs w:val="22"/>
        </w:rPr>
        <w:t>-</w:t>
      </w:r>
      <w:r w:rsidRPr="00761EF3">
        <w:rPr>
          <w:szCs w:val="22"/>
        </w:rPr>
        <w:t>23</w:t>
      </w:r>
      <w:r w:rsidRPr="00412A9C">
        <w:rPr>
          <w:szCs w:val="22"/>
        </w:rPr>
        <w:t>）</w:t>
      </w:r>
      <w:r w:rsidRPr="00412A9C">
        <w:rPr>
          <w:rFonts w:eastAsia="標楷體"/>
          <w:szCs w:val="22"/>
        </w:rPr>
        <w:t>。</w:t>
      </w:r>
    </w:p>
    <w:p w:rsidR="00157EF6" w:rsidRPr="00412A9C" w:rsidRDefault="00157EF6" w:rsidP="00AA120F">
      <w:pPr>
        <w:pStyle w:val="a5"/>
        <w:ind w:leftChars="105" w:left="791" w:hangingChars="245" w:hanging="539"/>
        <w:jc w:val="both"/>
        <w:rPr>
          <w:szCs w:val="22"/>
        </w:rPr>
      </w:pPr>
      <w:r w:rsidRPr="00412A9C">
        <w:rPr>
          <w:szCs w:val="22"/>
        </w:rPr>
        <w:t>（</w:t>
      </w:r>
      <w:r w:rsidRPr="00761EF3">
        <w:rPr>
          <w:szCs w:val="22"/>
        </w:rPr>
        <w:t>2</w:t>
      </w:r>
      <w:r w:rsidRPr="00412A9C">
        <w:rPr>
          <w:szCs w:val="22"/>
        </w:rPr>
        <w:t>）</w:t>
      </w:r>
      <w:r w:rsidR="009160B5">
        <w:rPr>
          <w:szCs w:val="22"/>
        </w:rPr>
        <w:t>參見：印</w:t>
      </w:r>
      <w:r w:rsidRPr="00412A9C">
        <w:rPr>
          <w:szCs w:val="22"/>
        </w:rPr>
        <w:t>順法師，《中觀論頌講記》，</w:t>
      </w:r>
      <w:r w:rsidRPr="00761EF3">
        <w:rPr>
          <w:szCs w:val="22"/>
        </w:rPr>
        <w:t>pp</w:t>
      </w:r>
      <w:r w:rsidRPr="00412A9C">
        <w:rPr>
          <w:szCs w:val="22"/>
        </w:rPr>
        <w:t>.</w:t>
      </w:r>
      <w:r w:rsidRPr="00761EF3">
        <w:rPr>
          <w:szCs w:val="22"/>
        </w:rPr>
        <w:t>3</w:t>
      </w:r>
      <w:r w:rsidRPr="00761EF3">
        <w:rPr>
          <w:rFonts w:hint="eastAsia"/>
          <w:szCs w:val="22"/>
        </w:rPr>
        <w:t>13</w:t>
      </w:r>
      <w:r w:rsidRPr="00412A9C">
        <w:rPr>
          <w:szCs w:val="22"/>
        </w:rPr>
        <w:t>-</w:t>
      </w:r>
      <w:r w:rsidRPr="00761EF3">
        <w:rPr>
          <w:szCs w:val="22"/>
        </w:rPr>
        <w:t>3</w:t>
      </w:r>
      <w:r w:rsidRPr="00761EF3">
        <w:rPr>
          <w:rFonts w:hint="eastAsia"/>
          <w:szCs w:val="22"/>
        </w:rPr>
        <w:t>22</w:t>
      </w:r>
      <w:r w:rsidRPr="00412A9C">
        <w:rPr>
          <w:rFonts w:hint="eastAsia"/>
          <w:szCs w:val="22"/>
        </w:rPr>
        <w:t>。</w:t>
      </w:r>
    </w:p>
  </w:footnote>
  <w:footnote w:id="1084">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sidRPr="009A5A58">
        <w:rPr>
          <w:rFonts w:hint="eastAsia"/>
          <w:szCs w:val="22"/>
        </w:rPr>
        <w:t xml:space="preserve"> </w:t>
      </w:r>
      <w:r w:rsidRPr="00412A9C">
        <w:rPr>
          <w:rFonts w:eastAsia="SimSun"/>
          <w:szCs w:val="22"/>
        </w:rPr>
        <w:t>（</w:t>
      </w:r>
      <w:r w:rsidRPr="00761EF3">
        <w:rPr>
          <w:rFonts w:eastAsia="SimSun"/>
          <w:szCs w:val="22"/>
        </w:rPr>
        <w:t>1</w:t>
      </w:r>
      <w:r w:rsidRPr="00412A9C">
        <w:rPr>
          <w:szCs w:val="22"/>
        </w:rPr>
        <w:t>）</w:t>
      </w:r>
      <w:r w:rsidR="009160B5">
        <w:rPr>
          <w:rFonts w:hint="eastAsia"/>
          <w:szCs w:val="22"/>
        </w:rPr>
        <w:t>參見：印</w:t>
      </w:r>
      <w:r w:rsidRPr="00412A9C">
        <w:rPr>
          <w:szCs w:val="22"/>
        </w:rPr>
        <w:t>順法師，</w:t>
      </w:r>
      <w:r w:rsidRPr="00412A9C">
        <w:rPr>
          <w:rFonts w:hint="eastAsia"/>
          <w:szCs w:val="22"/>
        </w:rPr>
        <w:t>《學佛三要》，</w:t>
      </w:r>
      <w:r w:rsidRPr="00761EF3">
        <w:rPr>
          <w:rFonts w:hint="eastAsia"/>
          <w:szCs w:val="22"/>
        </w:rPr>
        <w:t>pp</w:t>
      </w:r>
      <w:r w:rsidRPr="00412A9C">
        <w:rPr>
          <w:rFonts w:hint="eastAsia"/>
          <w:szCs w:val="22"/>
        </w:rPr>
        <w:t>.</w:t>
      </w:r>
      <w:r w:rsidRPr="00761EF3">
        <w:rPr>
          <w:rFonts w:hint="eastAsia"/>
          <w:szCs w:val="22"/>
        </w:rPr>
        <w:t>180</w:t>
      </w:r>
      <w:r w:rsidRPr="00412A9C">
        <w:rPr>
          <w:rFonts w:hint="eastAsia"/>
          <w:szCs w:val="22"/>
        </w:rPr>
        <w:t>-</w:t>
      </w:r>
      <w:r w:rsidRPr="00761EF3">
        <w:rPr>
          <w:rFonts w:hint="eastAsia"/>
          <w:szCs w:val="22"/>
        </w:rPr>
        <w:t>181</w:t>
      </w:r>
      <w:r w:rsidRPr="00412A9C">
        <w:rPr>
          <w:rFonts w:hint="eastAsia"/>
          <w:szCs w:val="22"/>
        </w:rPr>
        <w:t>：</w:t>
      </w:r>
    </w:p>
    <w:p w:rsidR="00157EF6" w:rsidRPr="000C6D5D" w:rsidRDefault="00157EF6" w:rsidP="00AA120F">
      <w:pPr>
        <w:pStyle w:val="a5"/>
        <w:ind w:leftChars="335" w:left="804"/>
        <w:jc w:val="both"/>
        <w:rPr>
          <w:rFonts w:ascii="標楷體" w:eastAsia="標楷體" w:hAnsi="標楷體"/>
          <w:szCs w:val="22"/>
        </w:rPr>
      </w:pPr>
      <w:r w:rsidRPr="00412A9C">
        <w:rPr>
          <w:rFonts w:ascii="標楷體" w:eastAsia="標楷體" w:hAnsi="標楷體" w:hint="eastAsia"/>
          <w:szCs w:val="22"/>
        </w:rPr>
        <w:t>聲聞者重於自我身心的觀察，對外境似不大注意，祇要證知身心無我無我</w:t>
      </w:r>
      <w:r w:rsidRPr="000C6D5D">
        <w:rPr>
          <w:rFonts w:ascii="標楷體" w:eastAsia="標楷體" w:hAnsi="標楷體" w:hint="eastAsia"/>
          <w:szCs w:val="22"/>
        </w:rPr>
        <w:t>所，就可得到解脫。</w:t>
      </w:r>
    </w:p>
    <w:p w:rsidR="00157EF6" w:rsidRPr="000C6D5D" w:rsidRDefault="00157EF6" w:rsidP="00AE3920">
      <w:pPr>
        <w:pStyle w:val="a5"/>
        <w:spacing w:beforeLines="20"/>
        <w:ind w:leftChars="335" w:left="804"/>
        <w:jc w:val="both"/>
        <w:rPr>
          <w:rFonts w:ascii="標楷體" w:eastAsia="標楷體" w:hAnsi="標楷體"/>
          <w:szCs w:val="22"/>
        </w:rPr>
      </w:pPr>
      <w:r w:rsidRPr="000C6D5D">
        <w:rPr>
          <w:rFonts w:ascii="標楷體" w:eastAsia="標楷體" w:hAnsi="標楷體" w:hint="eastAsia"/>
          <w:szCs w:val="22"/>
        </w:rPr>
        <w:t>大乘則不然，</w:t>
      </w:r>
      <w:r w:rsidRPr="000C6D5D">
        <w:rPr>
          <w:rFonts w:ascii="標楷體" w:eastAsia="標楷體" w:hAnsi="標楷體" w:hint="eastAsia"/>
          <w:b/>
          <w:szCs w:val="22"/>
        </w:rPr>
        <w:t>龍樹所開示的中觀修道次第，最後雖仍以觀察無我無我所而得解脫，但在前些階段，菩薩卻要廣觀一切法空。</w:t>
      </w:r>
    </w:p>
    <w:p w:rsidR="00157EF6" w:rsidRPr="000C6D5D" w:rsidRDefault="00157EF6" w:rsidP="00AE3920">
      <w:pPr>
        <w:pStyle w:val="a5"/>
        <w:spacing w:beforeLines="20"/>
        <w:ind w:leftChars="335" w:left="804"/>
        <w:jc w:val="both"/>
        <w:rPr>
          <w:rFonts w:ascii="標楷體" w:eastAsia="標楷體" w:hAnsi="標楷體"/>
          <w:szCs w:val="22"/>
        </w:rPr>
      </w:pPr>
      <w:r w:rsidRPr="000C6D5D">
        <w:rPr>
          <w:rFonts w:ascii="標楷體" w:eastAsia="標楷體" w:hAnsi="標楷體" w:hint="eastAsia"/>
          <w:szCs w:val="22"/>
        </w:rPr>
        <w:t>又如唯識學者，以眾生執著外境的實有性，為錯誤根本──遍計所執自性，所以它的唯識觀，雖以體悟平等空性的圓成實為究竟，但</w:t>
      </w:r>
      <w:r w:rsidRPr="000C6D5D">
        <w:rPr>
          <w:rFonts w:ascii="標楷體" w:eastAsia="標楷體" w:hAnsi="標楷體" w:hint="eastAsia"/>
          <w:b/>
          <w:szCs w:val="22"/>
        </w:rPr>
        <w:t>未證入此究竟唯識性之前，總是先觀察離心的一切諸法，空無自性，唯識所現</w:t>
      </w:r>
      <w:r w:rsidRPr="000C6D5D">
        <w:rPr>
          <w:rFonts w:ascii="標楷體" w:eastAsia="標楷體" w:hAnsi="標楷體" w:hint="eastAsia"/>
          <w:szCs w:val="22"/>
        </w:rPr>
        <w:t>；由於心外無境，引入</w:t>
      </w:r>
      <w:r w:rsidRPr="000C6D5D">
        <w:rPr>
          <w:rFonts w:ascii="標楷體" w:eastAsia="標楷體" w:hAnsi="標楷體" w:hint="eastAsia"/>
          <w:b/>
          <w:szCs w:val="22"/>
        </w:rPr>
        <w:t>境空心寂</w:t>
      </w:r>
      <w:r w:rsidRPr="000C6D5D">
        <w:rPr>
          <w:rFonts w:ascii="標楷體" w:eastAsia="標楷體" w:hAnsi="標楷體" w:hint="eastAsia"/>
          <w:szCs w:val="22"/>
        </w:rPr>
        <w:t>的境地。</w:t>
      </w:r>
    </w:p>
    <w:p w:rsidR="00157EF6" w:rsidRPr="000C6D5D" w:rsidRDefault="00157EF6" w:rsidP="00AE3920">
      <w:pPr>
        <w:pStyle w:val="a5"/>
        <w:spacing w:beforeLines="20"/>
        <w:ind w:leftChars="335" w:left="804"/>
        <w:jc w:val="both"/>
        <w:rPr>
          <w:rFonts w:ascii="標楷體" w:eastAsia="標楷體" w:hAnsi="標楷體"/>
          <w:szCs w:val="22"/>
        </w:rPr>
      </w:pPr>
      <w:r w:rsidRPr="000C6D5D">
        <w:rPr>
          <w:rFonts w:ascii="標楷體" w:eastAsia="標楷體" w:hAnsi="標楷體" w:hint="eastAsia"/>
          <w:szCs w:val="22"/>
        </w:rPr>
        <w:t>大乘不共慧，約事相方面，除生死世間的因緣果報、身心現象，還有菩薩行為、佛果功德等等，都是它的觀境。以此世俗觀慧的信解，再加以法無我性──法空性的勝義觀慧。依聞思修的不斷修習轉進，最後乃可證入諸法空性──真勝義諦。修學大乘慧，貴在能夠就事即理，從俗入真，不使事理脫節、真俗隔礙，所以究竟圓滿的大乘觀慧，必達理事圓融、真實平等無礙的最高境界。</w:t>
      </w:r>
    </w:p>
    <w:p w:rsidR="00157EF6" w:rsidRPr="000C6D5D" w:rsidRDefault="00157EF6" w:rsidP="00AE3920">
      <w:pPr>
        <w:pStyle w:val="a5"/>
        <w:spacing w:beforeLines="20"/>
        <w:ind w:leftChars="335" w:left="804"/>
        <w:jc w:val="both"/>
        <w:rPr>
          <w:rFonts w:ascii="標楷體" w:eastAsia="標楷體" w:hAnsi="標楷體"/>
          <w:szCs w:val="22"/>
        </w:rPr>
      </w:pPr>
      <w:r w:rsidRPr="000C6D5D">
        <w:rPr>
          <w:rFonts w:ascii="標楷體" w:eastAsia="標楷體" w:hAnsi="標楷體" w:hint="eastAsia"/>
          <w:szCs w:val="22"/>
        </w:rPr>
        <w:t>然在初學者，即不能如此，因為圓融無礙，不是眾生的、初學的心境。印度諸大聖者所開導的修道次第，絕無一入門即觀事事無礙、法法圓融的，而是</w:t>
      </w:r>
      <w:r w:rsidRPr="000C6D5D">
        <w:rPr>
          <w:rFonts w:ascii="標楷體" w:eastAsia="標楷體" w:hAnsi="標楷體" w:hint="eastAsia"/>
          <w:b/>
          <w:szCs w:val="22"/>
        </w:rPr>
        <w:t>由信解因果緣起</w:t>
      </w:r>
      <w:r w:rsidR="00575816">
        <w:rPr>
          <w:rFonts w:ascii="標楷體" w:eastAsia="標楷體" w:hAnsi="標楷體" w:hint="eastAsia"/>
          <w:b/>
          <w:color w:val="FF0000"/>
          <w:szCs w:val="22"/>
          <w:highlight w:val="yellow"/>
        </w:rPr>
        <w:t>、</w:t>
      </w:r>
      <w:r w:rsidRPr="000C6D5D">
        <w:rPr>
          <w:rFonts w:ascii="標楷體" w:eastAsia="標楷體" w:hAnsi="標楷體" w:hint="eastAsia"/>
          <w:b/>
          <w:szCs w:val="22"/>
        </w:rPr>
        <w:t>菩薩行願、佛果功德下手</w:t>
      </w:r>
      <w:r w:rsidRPr="000C6D5D">
        <w:rPr>
          <w:rFonts w:ascii="標楷體" w:eastAsia="標楷體" w:hAnsi="標楷體" w:hint="eastAsia"/>
          <w:szCs w:val="22"/>
        </w:rPr>
        <w:t>，然後由事入理、從俗證真，體悟諸法空性，離諸戲論，畢竟寂滅。此後乃能即理融事，從真出俗，漸達理性與事相、真諦與俗諦的統一。</w:t>
      </w:r>
    </w:p>
    <w:p w:rsidR="00157EF6" w:rsidRPr="00412A9C" w:rsidRDefault="00157EF6" w:rsidP="00AE3920">
      <w:pPr>
        <w:pStyle w:val="a5"/>
        <w:spacing w:beforeLines="20"/>
        <w:ind w:leftChars="335" w:left="804"/>
        <w:jc w:val="both"/>
        <w:rPr>
          <w:rFonts w:ascii="標楷體" w:eastAsia="標楷體" w:hAnsi="標楷體"/>
          <w:szCs w:val="22"/>
        </w:rPr>
      </w:pPr>
      <w:r w:rsidRPr="000C6D5D">
        <w:rPr>
          <w:rFonts w:ascii="標楷體" w:eastAsia="標楷體" w:hAnsi="標楷體" w:hint="eastAsia"/>
          <w:b/>
          <w:szCs w:val="22"/>
        </w:rPr>
        <w:t>無著喻這修證過程，如金剛杵，首尾粗大而中間狹小。最初發心修學，觀境廣大，</w:t>
      </w:r>
      <w:r w:rsidRPr="00412A9C">
        <w:rPr>
          <w:rFonts w:ascii="標楷體" w:eastAsia="標楷體" w:hAnsi="標楷體" w:hint="eastAsia"/>
          <w:b/>
          <w:szCs w:val="22"/>
        </w:rPr>
        <w:t>法門無量；及至將悟證時，唯一真如，無絲毫自性相可得，所謂「無二寂靜之門」；「唯此一門」。這一階段，離一切相，道極狹隘；要透過此門，真實獲證徹悟空性，才又起方便──後得智，廣觀無邊境相，起種種行。漸入漸深，到達即事即理，即俗即真，圓融無礙之佛境。</w:t>
      </w:r>
    </w:p>
    <w:p w:rsidR="00157EF6" w:rsidRPr="00412A9C" w:rsidRDefault="00157EF6" w:rsidP="00AA120F">
      <w:pPr>
        <w:pStyle w:val="a5"/>
        <w:ind w:leftChars="105" w:left="791" w:hangingChars="245" w:hanging="539"/>
        <w:jc w:val="both"/>
        <w:rPr>
          <w:szCs w:val="22"/>
        </w:rPr>
      </w:pPr>
      <w:r w:rsidRPr="00412A9C">
        <w:rPr>
          <w:szCs w:val="22"/>
        </w:rPr>
        <w:t>（</w:t>
      </w:r>
      <w:r w:rsidRPr="00761EF3">
        <w:rPr>
          <w:rFonts w:hint="eastAsia"/>
          <w:szCs w:val="22"/>
        </w:rPr>
        <w:t>2</w:t>
      </w:r>
      <w:r w:rsidRPr="00412A9C">
        <w:rPr>
          <w:szCs w:val="22"/>
        </w:rPr>
        <w:t>）無著造，〔隋〕達磨笈多譯，《金剛般若論》（大正</w:t>
      </w:r>
      <w:r w:rsidRPr="00761EF3">
        <w:rPr>
          <w:szCs w:val="22"/>
        </w:rPr>
        <w:t>25</w:t>
      </w:r>
      <w:r w:rsidRPr="00412A9C">
        <w:rPr>
          <w:szCs w:val="22"/>
        </w:rPr>
        <w:t>，</w:t>
      </w:r>
      <w:r w:rsidRPr="00761EF3">
        <w:rPr>
          <w:szCs w:val="22"/>
        </w:rPr>
        <w:t>759a17</w:t>
      </w:r>
      <w:r w:rsidRPr="00412A9C">
        <w:rPr>
          <w:szCs w:val="22"/>
        </w:rPr>
        <w:t>-</w:t>
      </w:r>
      <w:r w:rsidRPr="00761EF3">
        <w:rPr>
          <w:szCs w:val="22"/>
        </w:rPr>
        <w:t>20</w:t>
      </w:r>
      <w:r w:rsidRPr="00412A9C">
        <w:rPr>
          <w:szCs w:val="22"/>
        </w:rPr>
        <w:t>）：</w:t>
      </w:r>
    </w:p>
    <w:p w:rsidR="00157EF6" w:rsidRPr="00412A9C" w:rsidRDefault="00157EF6" w:rsidP="00AA120F">
      <w:pPr>
        <w:pStyle w:val="a5"/>
        <w:ind w:leftChars="335" w:left="804"/>
        <w:jc w:val="both"/>
        <w:rPr>
          <w:rFonts w:ascii="標楷體" w:eastAsia="標楷體" w:hAnsi="標楷體"/>
          <w:szCs w:val="22"/>
        </w:rPr>
      </w:pPr>
      <w:r w:rsidRPr="00412A9C">
        <w:rPr>
          <w:rFonts w:ascii="標楷體" w:eastAsia="標楷體" w:hAnsi="標楷體" w:hint="eastAsia"/>
          <w:szCs w:val="22"/>
        </w:rPr>
        <w:t>又</w:t>
      </w:r>
      <w:r w:rsidRPr="00412A9C">
        <w:rPr>
          <w:rFonts w:ascii="標楷體" w:eastAsia="標楷體" w:hAnsi="標楷體" w:hint="eastAsia"/>
          <w:b/>
          <w:szCs w:val="22"/>
        </w:rPr>
        <w:t>如畫金剛形，</w:t>
      </w:r>
      <w:r w:rsidR="00793E15">
        <w:rPr>
          <w:rFonts w:ascii="標楷體" w:eastAsia="標楷體" w:hAnsi="標楷體" w:hint="eastAsia"/>
          <w:bCs/>
          <w:color w:val="FF0000"/>
          <w:kern w:val="0"/>
          <w:highlight w:val="yellow"/>
        </w:rPr>
        <w:t>「</w:t>
      </w:r>
      <w:r w:rsidRPr="00412A9C">
        <w:rPr>
          <w:rFonts w:ascii="標楷體" w:eastAsia="標楷體" w:hAnsi="標楷體" w:hint="eastAsia"/>
          <w:b/>
          <w:szCs w:val="22"/>
        </w:rPr>
        <w:t>初、後</w:t>
      </w:r>
      <w:r w:rsidR="00793E15">
        <w:rPr>
          <w:rFonts w:ascii="標楷體" w:eastAsia="標楷體" w:hAnsi="標楷體" w:hint="eastAsia"/>
          <w:bCs/>
          <w:color w:val="FF0000"/>
          <w:kern w:val="0"/>
          <w:highlight w:val="yellow"/>
        </w:rPr>
        <w:t>」</w:t>
      </w:r>
      <w:r w:rsidRPr="00412A9C">
        <w:rPr>
          <w:rFonts w:ascii="標楷體" w:eastAsia="標楷體" w:hAnsi="標楷體" w:hint="eastAsia"/>
          <w:b/>
          <w:szCs w:val="22"/>
        </w:rPr>
        <w:t>闊，中則狹</w:t>
      </w:r>
      <w:r w:rsidR="00793E15">
        <w:rPr>
          <w:rFonts w:ascii="標楷體" w:eastAsia="標楷體" w:hAnsi="標楷體" w:hint="eastAsia"/>
          <w:color w:val="FF0000"/>
          <w:spacing w:val="-4"/>
          <w:kern w:val="0"/>
          <w:highlight w:val="yellow"/>
        </w:rPr>
        <w:t>；</w:t>
      </w:r>
      <w:r w:rsidRPr="00412A9C">
        <w:rPr>
          <w:rFonts w:ascii="標楷體" w:eastAsia="標楷體" w:hAnsi="標楷體" w:hint="eastAsia"/>
          <w:szCs w:val="22"/>
        </w:rPr>
        <w:t>如是，般若波羅蜜中</w:t>
      </w:r>
      <w:r w:rsidR="006D42A7">
        <w:rPr>
          <w:rFonts w:ascii="標楷體" w:eastAsia="標楷體" w:hAnsi="標楷體" w:hint="eastAsia"/>
          <w:color w:val="FF0000"/>
          <w:kern w:val="0"/>
          <w:highlight w:val="yellow"/>
        </w:rPr>
        <w:t>──</w:t>
      </w:r>
      <w:r w:rsidR="00793E15">
        <w:rPr>
          <w:rFonts w:ascii="標楷體" w:eastAsia="標楷體" w:hAnsi="標楷體" w:hint="eastAsia"/>
          <w:bCs/>
          <w:color w:val="FF0000"/>
          <w:kern w:val="0"/>
          <w:highlight w:val="yellow"/>
        </w:rPr>
        <w:t>「</w:t>
      </w:r>
      <w:r w:rsidRPr="00412A9C">
        <w:rPr>
          <w:rFonts w:ascii="標楷體" w:eastAsia="標楷體" w:hAnsi="標楷體" w:hint="eastAsia"/>
          <w:szCs w:val="22"/>
        </w:rPr>
        <w:t>狹</w:t>
      </w:r>
      <w:r w:rsidR="00793E15">
        <w:rPr>
          <w:rFonts w:ascii="標楷體" w:eastAsia="標楷體" w:hAnsi="標楷體" w:hint="eastAsia"/>
          <w:bCs/>
          <w:color w:val="FF0000"/>
          <w:kern w:val="0"/>
          <w:highlight w:val="yellow"/>
        </w:rPr>
        <w:t>」</w:t>
      </w:r>
      <w:r w:rsidRPr="00412A9C">
        <w:rPr>
          <w:rFonts w:ascii="標楷體" w:eastAsia="標楷體" w:hAnsi="標楷體" w:hint="eastAsia"/>
          <w:szCs w:val="22"/>
        </w:rPr>
        <w:t>者</w:t>
      </w:r>
      <w:r w:rsidR="006D42A7">
        <w:rPr>
          <w:rFonts w:ascii="標楷體" w:eastAsia="標楷體" w:hAnsi="標楷體" w:hint="eastAsia"/>
          <w:color w:val="FF0000"/>
          <w:kern w:val="0"/>
          <w:highlight w:val="yellow"/>
        </w:rPr>
        <w:t>，</w:t>
      </w:r>
      <w:r w:rsidRPr="00412A9C">
        <w:rPr>
          <w:rFonts w:ascii="標楷體" w:eastAsia="標楷體" w:hAnsi="標楷體" w:hint="eastAsia"/>
          <w:szCs w:val="22"/>
        </w:rPr>
        <w:t>謂</w:t>
      </w:r>
      <w:r w:rsidR="00793E15">
        <w:rPr>
          <w:rFonts w:ascii="標楷體" w:eastAsia="標楷體" w:hAnsi="標楷體" w:hint="eastAsia"/>
          <w:bCs/>
          <w:color w:val="FF0000"/>
          <w:kern w:val="0"/>
          <w:highlight w:val="yellow"/>
        </w:rPr>
        <w:t>「</w:t>
      </w:r>
      <w:r w:rsidRPr="00412A9C">
        <w:rPr>
          <w:rFonts w:ascii="標楷體" w:eastAsia="標楷體" w:hAnsi="標楷體" w:hint="eastAsia"/>
          <w:b/>
          <w:szCs w:val="22"/>
        </w:rPr>
        <w:t>淨心地</w:t>
      </w:r>
      <w:r w:rsidR="00793E15">
        <w:rPr>
          <w:rFonts w:ascii="標楷體" w:eastAsia="標楷體" w:hAnsi="標楷體" w:hint="eastAsia"/>
          <w:bCs/>
          <w:color w:val="FF0000"/>
          <w:kern w:val="0"/>
          <w:highlight w:val="yellow"/>
        </w:rPr>
        <w:t>」</w:t>
      </w:r>
      <w:r w:rsidR="006D42A7">
        <w:rPr>
          <w:rFonts w:ascii="標楷體" w:eastAsia="標楷體" w:hAnsi="標楷體" w:hint="eastAsia"/>
          <w:color w:val="FF0000"/>
          <w:spacing w:val="-4"/>
          <w:kern w:val="0"/>
          <w:highlight w:val="yellow"/>
        </w:rPr>
        <w:t>；</w:t>
      </w:r>
      <w:r w:rsidR="00793E15">
        <w:rPr>
          <w:rFonts w:ascii="標楷體" w:eastAsia="標楷體" w:hAnsi="標楷體" w:hint="eastAsia"/>
          <w:bCs/>
          <w:color w:val="FF0000"/>
          <w:kern w:val="0"/>
          <w:highlight w:val="yellow"/>
        </w:rPr>
        <w:t>「</w:t>
      </w:r>
      <w:r w:rsidR="00793E15">
        <w:rPr>
          <w:rFonts w:ascii="標楷體" w:eastAsia="標楷體" w:hAnsi="標楷體" w:hint="eastAsia"/>
          <w:color w:val="FF0000"/>
          <w:kern w:val="0"/>
          <w:highlight w:val="yellow"/>
        </w:rPr>
        <w:t>『</w:t>
      </w:r>
      <w:r w:rsidRPr="00412A9C">
        <w:rPr>
          <w:rFonts w:ascii="標楷體" w:eastAsia="標楷體" w:hAnsi="標楷體" w:hint="eastAsia"/>
          <w:szCs w:val="22"/>
        </w:rPr>
        <w:t>初、後</w:t>
      </w:r>
      <w:r w:rsidR="00793E15">
        <w:rPr>
          <w:rFonts w:ascii="標楷體" w:eastAsia="標楷體" w:hAnsi="標楷體" w:hint="eastAsia"/>
          <w:color w:val="FF0000"/>
          <w:kern w:val="0"/>
          <w:highlight w:val="yellow"/>
        </w:rPr>
        <w:t>』</w:t>
      </w:r>
      <w:r w:rsidRPr="00412A9C">
        <w:rPr>
          <w:rFonts w:ascii="標楷體" w:eastAsia="標楷體" w:hAnsi="標楷體" w:hint="eastAsia"/>
          <w:szCs w:val="22"/>
        </w:rPr>
        <w:t>闊</w:t>
      </w:r>
      <w:r w:rsidR="00793E15">
        <w:rPr>
          <w:rFonts w:ascii="標楷體" w:eastAsia="標楷體" w:hAnsi="標楷體" w:hint="eastAsia"/>
          <w:bCs/>
          <w:color w:val="FF0000"/>
          <w:kern w:val="0"/>
          <w:highlight w:val="yellow"/>
        </w:rPr>
        <w:t>」</w:t>
      </w:r>
      <w:r w:rsidRPr="00412A9C">
        <w:rPr>
          <w:rFonts w:ascii="標楷體" w:eastAsia="標楷體" w:hAnsi="標楷體" w:hint="eastAsia"/>
          <w:szCs w:val="22"/>
        </w:rPr>
        <w:t>者</w:t>
      </w:r>
      <w:r w:rsidR="006D42A7">
        <w:rPr>
          <w:rFonts w:ascii="標楷體" w:eastAsia="標楷體" w:hAnsi="標楷體" w:hint="eastAsia"/>
          <w:color w:val="FF0000"/>
          <w:kern w:val="0"/>
          <w:highlight w:val="yellow"/>
        </w:rPr>
        <w:t>，</w:t>
      </w:r>
      <w:r w:rsidRPr="00412A9C">
        <w:rPr>
          <w:rFonts w:ascii="標楷體" w:eastAsia="標楷體" w:hAnsi="標楷體" w:hint="eastAsia"/>
          <w:szCs w:val="22"/>
        </w:rPr>
        <w:t>謂</w:t>
      </w:r>
      <w:r w:rsidR="00793E15">
        <w:rPr>
          <w:rFonts w:ascii="標楷體" w:eastAsia="標楷體" w:hAnsi="標楷體" w:hint="eastAsia"/>
          <w:bCs/>
          <w:color w:val="FF0000"/>
          <w:kern w:val="0"/>
          <w:highlight w:val="yellow"/>
        </w:rPr>
        <w:t>「</w:t>
      </w:r>
      <w:r w:rsidRPr="00412A9C">
        <w:rPr>
          <w:rFonts w:ascii="標楷體" w:eastAsia="標楷體" w:hAnsi="標楷體" w:hint="eastAsia"/>
          <w:b/>
          <w:szCs w:val="22"/>
        </w:rPr>
        <w:t>信行地、如來地</w:t>
      </w:r>
      <w:r w:rsidR="00793E15">
        <w:rPr>
          <w:rFonts w:ascii="標楷體" w:eastAsia="標楷體" w:hAnsi="標楷體" w:hint="eastAsia"/>
          <w:bCs/>
          <w:color w:val="FF0000"/>
          <w:kern w:val="0"/>
          <w:highlight w:val="yellow"/>
        </w:rPr>
        <w:t>」</w:t>
      </w:r>
      <w:r w:rsidRPr="00412A9C">
        <w:rPr>
          <w:rFonts w:ascii="標楷體" w:eastAsia="標楷體" w:hAnsi="標楷體" w:hint="eastAsia"/>
          <w:szCs w:val="22"/>
        </w:rPr>
        <w:t>。此顯示</w:t>
      </w:r>
      <w:r w:rsidR="00793E15">
        <w:rPr>
          <w:rFonts w:ascii="標楷體" w:eastAsia="標楷體" w:hAnsi="標楷體" w:hint="eastAsia"/>
          <w:bCs/>
          <w:color w:val="FF0000"/>
          <w:kern w:val="0"/>
          <w:highlight w:val="yellow"/>
        </w:rPr>
        <w:t>「</w:t>
      </w:r>
      <w:r w:rsidRPr="00412A9C">
        <w:rPr>
          <w:rFonts w:ascii="標楷體" w:eastAsia="標楷體" w:hAnsi="標楷體" w:hint="eastAsia"/>
          <w:szCs w:val="22"/>
        </w:rPr>
        <w:t>不共</w:t>
      </w:r>
      <w:r w:rsidR="00793E15">
        <w:rPr>
          <w:rFonts w:ascii="標楷體" w:eastAsia="標楷體" w:hAnsi="標楷體" w:hint="eastAsia"/>
          <w:bCs/>
          <w:color w:val="FF0000"/>
          <w:kern w:val="0"/>
          <w:highlight w:val="yellow"/>
        </w:rPr>
        <w:t>」</w:t>
      </w:r>
      <w:r w:rsidRPr="00412A9C">
        <w:rPr>
          <w:rFonts w:ascii="標楷體" w:eastAsia="標楷體" w:hAnsi="標楷體" w:hint="eastAsia"/>
          <w:szCs w:val="22"/>
        </w:rPr>
        <w:t>義也。</w:t>
      </w:r>
    </w:p>
    <w:p w:rsidR="00157EF6" w:rsidRPr="00412A9C" w:rsidRDefault="00157EF6" w:rsidP="00AA120F">
      <w:pPr>
        <w:pStyle w:val="a5"/>
        <w:ind w:leftChars="105" w:left="791" w:hangingChars="245" w:hanging="539"/>
        <w:jc w:val="both"/>
        <w:rPr>
          <w:rFonts w:ascii="標楷體" w:eastAsia="標楷體" w:hAnsi="標楷體"/>
          <w:szCs w:val="22"/>
        </w:rPr>
      </w:pPr>
      <w:r w:rsidRPr="00412A9C">
        <w:rPr>
          <w:szCs w:val="22"/>
        </w:rPr>
        <w:t>（</w:t>
      </w:r>
      <w:r w:rsidRPr="00761EF3">
        <w:rPr>
          <w:rFonts w:hint="eastAsia"/>
          <w:szCs w:val="22"/>
        </w:rPr>
        <w:t>3</w:t>
      </w:r>
      <w:r w:rsidRPr="00412A9C">
        <w:rPr>
          <w:szCs w:val="22"/>
        </w:rPr>
        <w:t>）</w:t>
      </w:r>
      <w:r w:rsidRPr="00412A9C">
        <w:rPr>
          <w:rFonts w:hint="eastAsia"/>
          <w:szCs w:val="22"/>
        </w:rPr>
        <w:t>《金剛般若波羅蜜經》</w:t>
      </w:r>
      <w:r w:rsidRPr="00412A9C">
        <w:rPr>
          <w:rFonts w:ascii="新細明體" w:cs="新細明體" w:hint="eastAsia"/>
          <w:szCs w:val="22"/>
        </w:rPr>
        <w:t>（大正</w:t>
      </w:r>
      <w:r w:rsidRPr="00761EF3">
        <w:rPr>
          <w:rFonts w:eastAsia="SimSun" w:hint="eastAsia"/>
          <w:szCs w:val="22"/>
        </w:rPr>
        <w:t>8</w:t>
      </w:r>
      <w:r w:rsidRPr="00412A9C">
        <w:rPr>
          <w:rFonts w:ascii="新細明體" w:cs="新細明體" w:hint="eastAsia"/>
          <w:szCs w:val="22"/>
        </w:rPr>
        <w:t>，</w:t>
      </w:r>
      <w:r w:rsidRPr="00761EF3">
        <w:rPr>
          <w:rFonts w:eastAsia="SimSun" w:hint="eastAsia"/>
          <w:szCs w:val="22"/>
        </w:rPr>
        <w:t>749b7</w:t>
      </w:r>
      <w:r w:rsidRPr="00412A9C">
        <w:rPr>
          <w:rFonts w:eastAsia="SimSun"/>
          <w:szCs w:val="22"/>
        </w:rPr>
        <w:t>-</w:t>
      </w:r>
      <w:r w:rsidRPr="00761EF3">
        <w:rPr>
          <w:rFonts w:eastAsia="SimSun" w:hint="eastAsia"/>
          <w:szCs w:val="22"/>
        </w:rPr>
        <w:t>11</w:t>
      </w:r>
      <w:r w:rsidRPr="00412A9C">
        <w:rPr>
          <w:rFonts w:ascii="新細明體" w:cs="新細明體" w:hint="eastAsia"/>
          <w:szCs w:val="22"/>
        </w:rPr>
        <w:t>）</w:t>
      </w:r>
      <w:r w:rsidRPr="00412A9C">
        <w:rPr>
          <w:rFonts w:hint="eastAsia"/>
          <w:szCs w:val="22"/>
        </w:rPr>
        <w:t>：</w:t>
      </w:r>
    </w:p>
    <w:p w:rsidR="00157EF6" w:rsidRPr="00412A9C" w:rsidRDefault="00157EF6" w:rsidP="00AA120F">
      <w:pPr>
        <w:pStyle w:val="a5"/>
        <w:ind w:leftChars="335" w:left="804"/>
        <w:jc w:val="both"/>
        <w:rPr>
          <w:rFonts w:ascii="標楷體" w:eastAsia="標楷體" w:hAnsi="標楷體"/>
          <w:szCs w:val="22"/>
        </w:rPr>
      </w:pPr>
      <w:r w:rsidRPr="00412A9C">
        <w:rPr>
          <w:rFonts w:ascii="標楷體" w:eastAsia="標楷體" w:hAnsi="標楷體" w:hint="eastAsia"/>
          <w:szCs w:val="22"/>
        </w:rPr>
        <w:t>若取</w:t>
      </w:r>
      <w:r w:rsidRPr="00412A9C">
        <w:rPr>
          <w:rFonts w:ascii="標楷體" w:eastAsia="標楷體" w:hAnsi="標楷體" w:hint="eastAsia"/>
          <w:b/>
          <w:szCs w:val="22"/>
        </w:rPr>
        <w:t>法相</w:t>
      </w:r>
      <w:r w:rsidRPr="00412A9C">
        <w:rPr>
          <w:rFonts w:ascii="標楷體" w:eastAsia="標楷體" w:hAnsi="標楷體" w:hint="eastAsia"/>
          <w:szCs w:val="22"/>
        </w:rPr>
        <w:t>，即著我、人、眾生、壽者。何以故？若取</w:t>
      </w:r>
      <w:r w:rsidRPr="00412A9C">
        <w:rPr>
          <w:rFonts w:ascii="標楷體" w:eastAsia="標楷體" w:hAnsi="標楷體" w:hint="eastAsia"/>
          <w:b/>
          <w:szCs w:val="22"/>
        </w:rPr>
        <w:t>非法相</w:t>
      </w:r>
      <w:r w:rsidRPr="00412A9C">
        <w:rPr>
          <w:rFonts w:ascii="標楷體" w:eastAsia="標楷體" w:hAnsi="標楷體" w:hint="eastAsia"/>
          <w:szCs w:val="22"/>
        </w:rPr>
        <w:t>，即著我、人、眾生、壽者</w:t>
      </w:r>
      <w:r w:rsidR="00793E15">
        <w:rPr>
          <w:rFonts w:ascii="標楷體" w:eastAsia="標楷體" w:hAnsi="標楷體" w:hint="eastAsia"/>
          <w:color w:val="FF0000"/>
          <w:kern w:val="0"/>
          <w:highlight w:val="yellow"/>
        </w:rPr>
        <w:t>。</w:t>
      </w:r>
      <w:r w:rsidRPr="00412A9C">
        <w:rPr>
          <w:rFonts w:ascii="標楷體" w:eastAsia="標楷體" w:hAnsi="標楷體" w:hint="eastAsia"/>
          <w:szCs w:val="22"/>
        </w:rPr>
        <w:t>是故不應取法</w:t>
      </w:r>
      <w:r w:rsidR="00793E15">
        <w:rPr>
          <w:rFonts w:ascii="標楷體" w:eastAsia="標楷體" w:hAnsi="標楷體" w:hint="eastAsia"/>
          <w:color w:val="FF0000"/>
          <w:spacing w:val="-4"/>
          <w:kern w:val="0"/>
          <w:highlight w:val="yellow"/>
        </w:rPr>
        <w:t>、</w:t>
      </w:r>
      <w:r w:rsidRPr="00412A9C">
        <w:rPr>
          <w:rFonts w:ascii="標楷體" w:eastAsia="標楷體" w:hAnsi="標楷體" w:hint="eastAsia"/>
          <w:szCs w:val="22"/>
        </w:rPr>
        <w:t>不應取非法。以是義故，如來常說：「汝等比丘，知我說法，如筏喻者，法尚應捨，何況非法</w:t>
      </w:r>
      <w:r w:rsidR="00793E15">
        <w:rPr>
          <w:rFonts w:ascii="標楷體" w:eastAsia="標楷體" w:hAnsi="標楷體" w:hint="eastAsia"/>
          <w:color w:val="FF0000"/>
          <w:kern w:val="0"/>
          <w:highlight w:val="yellow"/>
        </w:rPr>
        <w:t>！</w:t>
      </w:r>
      <w:r w:rsidRPr="00412A9C">
        <w:rPr>
          <w:rFonts w:ascii="標楷體" w:eastAsia="標楷體" w:hAnsi="標楷體" w:hint="eastAsia"/>
          <w:szCs w:val="22"/>
        </w:rPr>
        <w:t>」</w:t>
      </w:r>
    </w:p>
  </w:footnote>
  <w:footnote w:id="1085">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009160B5">
        <w:rPr>
          <w:rFonts w:hint="eastAsia"/>
          <w:szCs w:val="22"/>
        </w:rPr>
        <w:t>參見：印</w:t>
      </w:r>
      <w:r w:rsidRPr="00412A9C">
        <w:rPr>
          <w:szCs w:val="22"/>
        </w:rPr>
        <w:t>順</w:t>
      </w:r>
      <w:r w:rsidRPr="00412A9C">
        <w:rPr>
          <w:rFonts w:hint="eastAsia"/>
          <w:szCs w:val="22"/>
        </w:rPr>
        <w:t>法師</w:t>
      </w:r>
      <w:r w:rsidRPr="00412A9C">
        <w:rPr>
          <w:szCs w:val="22"/>
        </w:rPr>
        <w:t>，《中觀今論》，</w:t>
      </w:r>
      <w:r w:rsidRPr="00412A9C">
        <w:rPr>
          <w:rStyle w:val="old"/>
          <w:rFonts w:hint="eastAsia"/>
          <w:color w:val="auto"/>
          <w:szCs w:val="22"/>
        </w:rPr>
        <w:t>第</w:t>
      </w:r>
      <w:r w:rsidRPr="00761EF3">
        <w:rPr>
          <w:rStyle w:val="old"/>
          <w:rFonts w:hint="eastAsia"/>
          <w:color w:val="auto"/>
          <w:szCs w:val="22"/>
        </w:rPr>
        <w:t>11</w:t>
      </w:r>
      <w:r w:rsidRPr="00412A9C">
        <w:rPr>
          <w:rStyle w:val="old"/>
          <w:rFonts w:hint="eastAsia"/>
          <w:color w:val="auto"/>
          <w:szCs w:val="22"/>
        </w:rPr>
        <w:t>章，第</w:t>
      </w:r>
      <w:r w:rsidRPr="00761EF3">
        <w:rPr>
          <w:rStyle w:val="old"/>
          <w:rFonts w:hint="eastAsia"/>
          <w:color w:val="auto"/>
          <w:szCs w:val="22"/>
        </w:rPr>
        <w:t>2</w:t>
      </w:r>
      <w:r w:rsidRPr="00412A9C">
        <w:rPr>
          <w:rStyle w:val="old"/>
          <w:rFonts w:hint="eastAsia"/>
          <w:color w:val="auto"/>
          <w:szCs w:val="22"/>
        </w:rPr>
        <w:t>節</w:t>
      </w:r>
      <w:r w:rsidRPr="00412A9C">
        <w:rPr>
          <w:rFonts w:hint="eastAsia"/>
          <w:szCs w:val="22"/>
        </w:rPr>
        <w:t>〈緣起空有〉，</w:t>
      </w:r>
      <w:r w:rsidRPr="00761EF3">
        <w:rPr>
          <w:rFonts w:eastAsia="SimSun"/>
          <w:szCs w:val="22"/>
        </w:rPr>
        <w:t>p</w:t>
      </w:r>
      <w:r w:rsidRPr="00761EF3">
        <w:rPr>
          <w:rFonts w:hint="eastAsia"/>
          <w:szCs w:val="22"/>
        </w:rPr>
        <w:t>p</w:t>
      </w:r>
      <w:r w:rsidRPr="00412A9C">
        <w:rPr>
          <w:rFonts w:eastAsia="SimSun"/>
          <w:szCs w:val="22"/>
        </w:rPr>
        <w:t>.</w:t>
      </w:r>
      <w:r w:rsidRPr="00761EF3">
        <w:rPr>
          <w:rFonts w:eastAsia="SimSun"/>
          <w:szCs w:val="22"/>
        </w:rPr>
        <w:t>2</w:t>
      </w:r>
      <w:r w:rsidRPr="00761EF3">
        <w:rPr>
          <w:rFonts w:hint="eastAsia"/>
          <w:szCs w:val="22"/>
        </w:rPr>
        <w:t>39</w:t>
      </w:r>
      <w:r w:rsidRPr="00412A9C">
        <w:rPr>
          <w:rFonts w:hint="eastAsia"/>
          <w:szCs w:val="22"/>
        </w:rPr>
        <w:t>-</w:t>
      </w:r>
      <w:r w:rsidRPr="00761EF3">
        <w:rPr>
          <w:rFonts w:hint="eastAsia"/>
          <w:szCs w:val="22"/>
        </w:rPr>
        <w:t>241</w:t>
      </w:r>
      <w:r w:rsidRPr="00412A9C">
        <w:rPr>
          <w:rFonts w:hint="eastAsia"/>
          <w:szCs w:val="22"/>
        </w:rPr>
        <w:t>。</w:t>
      </w:r>
    </w:p>
  </w:footnote>
  <w:footnote w:id="1086">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2F757E">
        <w:rPr>
          <w:szCs w:val="22"/>
        </w:rPr>
        <w:t>參見</w:t>
      </w:r>
      <w:r w:rsidRPr="00412A9C">
        <w:rPr>
          <w:szCs w:val="22"/>
        </w:rPr>
        <w:t>《大般若波羅蜜多經》卷</w:t>
      </w:r>
      <w:r w:rsidRPr="00761EF3">
        <w:rPr>
          <w:szCs w:val="22"/>
        </w:rPr>
        <w:t>488</w:t>
      </w:r>
      <w:r w:rsidRPr="00412A9C">
        <w:rPr>
          <w:szCs w:val="22"/>
        </w:rPr>
        <w:t>〈</w:t>
      </w:r>
      <w:r w:rsidRPr="00761EF3">
        <w:rPr>
          <w:szCs w:val="22"/>
        </w:rPr>
        <w:t>3</w:t>
      </w:r>
      <w:r w:rsidRPr="00412A9C">
        <w:rPr>
          <w:szCs w:val="22"/>
        </w:rPr>
        <w:t xml:space="preserve"> </w:t>
      </w:r>
      <w:r w:rsidRPr="00412A9C">
        <w:rPr>
          <w:szCs w:val="22"/>
        </w:rPr>
        <w:t>善現品〉（大正</w:t>
      </w:r>
      <w:r w:rsidRPr="00761EF3">
        <w:rPr>
          <w:szCs w:val="22"/>
        </w:rPr>
        <w:t>7</w:t>
      </w:r>
      <w:r w:rsidRPr="00412A9C">
        <w:rPr>
          <w:szCs w:val="22"/>
        </w:rPr>
        <w:t>，</w:t>
      </w:r>
      <w:r w:rsidRPr="00761EF3">
        <w:rPr>
          <w:szCs w:val="22"/>
        </w:rPr>
        <w:t>479c2</w:t>
      </w:r>
      <w:r w:rsidRPr="00761EF3">
        <w:rPr>
          <w:rFonts w:hint="eastAsia"/>
          <w:szCs w:val="22"/>
        </w:rPr>
        <w:t>9</w:t>
      </w:r>
      <w:r w:rsidRPr="00412A9C">
        <w:rPr>
          <w:szCs w:val="22"/>
        </w:rPr>
        <w:t>-</w:t>
      </w:r>
      <w:r w:rsidRPr="00761EF3">
        <w:rPr>
          <w:szCs w:val="22"/>
        </w:rPr>
        <w:t>480b2</w:t>
      </w:r>
      <w:r w:rsidRPr="00412A9C">
        <w:rPr>
          <w:szCs w:val="22"/>
        </w:rPr>
        <w:t>）：</w:t>
      </w:r>
    </w:p>
    <w:p w:rsidR="00157EF6" w:rsidRPr="00412A9C" w:rsidRDefault="00157EF6" w:rsidP="00AA120F">
      <w:pPr>
        <w:pStyle w:val="a5"/>
        <w:ind w:leftChars="105" w:left="252"/>
        <w:jc w:val="both"/>
        <w:rPr>
          <w:rFonts w:ascii="標楷體" w:eastAsia="標楷體" w:hAnsi="標楷體"/>
          <w:szCs w:val="22"/>
        </w:rPr>
      </w:pPr>
      <w:r w:rsidRPr="00412A9C">
        <w:rPr>
          <w:rFonts w:eastAsia="標楷體"/>
          <w:szCs w:val="22"/>
        </w:rPr>
        <w:t>云何</w:t>
      </w:r>
      <w:r w:rsidR="00D46D12">
        <w:rPr>
          <w:rFonts w:ascii="標楷體" w:eastAsia="標楷體" w:hAnsi="標楷體" w:hint="eastAsia"/>
          <w:bCs/>
          <w:color w:val="FF0000"/>
          <w:kern w:val="0"/>
          <w:highlight w:val="yellow"/>
        </w:rPr>
        <w:t>「</w:t>
      </w:r>
      <w:r w:rsidRPr="00412A9C">
        <w:rPr>
          <w:rFonts w:eastAsia="標楷體"/>
          <w:b/>
          <w:szCs w:val="22"/>
        </w:rPr>
        <w:t>布施波羅蜜多</w:t>
      </w:r>
      <w:r w:rsidR="00D46D12">
        <w:rPr>
          <w:rFonts w:ascii="標楷體" w:eastAsia="標楷體" w:hAnsi="標楷體" w:hint="eastAsia"/>
          <w:bCs/>
          <w:color w:val="FF0000"/>
          <w:kern w:val="0"/>
          <w:highlight w:val="yellow"/>
        </w:rPr>
        <w:t>」</w:t>
      </w:r>
      <w:r w:rsidRPr="00412A9C">
        <w:rPr>
          <w:rFonts w:eastAsia="標楷體"/>
          <w:szCs w:val="22"/>
        </w:rPr>
        <w:t>？謂菩薩摩訶薩</w:t>
      </w:r>
      <w:r w:rsidRPr="00412A9C">
        <w:rPr>
          <w:rFonts w:eastAsia="標楷體"/>
          <w:b/>
          <w:szCs w:val="22"/>
        </w:rPr>
        <w:t>以一切智智相應作意，大悲為首</w:t>
      </w:r>
      <w:r w:rsidRPr="00412A9C">
        <w:rPr>
          <w:rFonts w:eastAsia="標楷體"/>
          <w:szCs w:val="22"/>
        </w:rPr>
        <w:t>，自捨一切內外所有，亦勸他捨內外諸物</w:t>
      </w:r>
      <w:r w:rsidR="00D46D12">
        <w:rPr>
          <w:rFonts w:ascii="標楷體" w:eastAsia="標楷體" w:hAnsi="標楷體" w:hint="eastAsia"/>
          <w:color w:val="FF0000"/>
          <w:spacing w:val="-4"/>
          <w:kern w:val="0"/>
          <w:highlight w:val="yellow"/>
        </w:rPr>
        <w:t>；</w:t>
      </w:r>
      <w:r w:rsidRPr="00412A9C">
        <w:rPr>
          <w:rFonts w:eastAsia="標楷體"/>
          <w:szCs w:val="22"/>
        </w:rPr>
        <w:t>持此善根，</w:t>
      </w:r>
      <w:r w:rsidRPr="00412A9C">
        <w:rPr>
          <w:rFonts w:eastAsia="標楷體"/>
          <w:b/>
          <w:szCs w:val="22"/>
        </w:rPr>
        <w:t>用無所得而為方便</w:t>
      </w:r>
      <w:r w:rsidRPr="00412A9C">
        <w:rPr>
          <w:rFonts w:eastAsia="標楷體"/>
          <w:szCs w:val="22"/>
        </w:rPr>
        <w:t>，與諸有情平等共有迴向無上正等菩提</w:t>
      </w:r>
      <w:r w:rsidR="00D46D12">
        <w:rPr>
          <w:rFonts w:ascii="標楷體" w:eastAsia="標楷體" w:hAnsi="標楷體" w:hint="eastAsia"/>
          <w:color w:val="FF0000"/>
          <w:kern w:val="0"/>
          <w:highlight w:val="yellow"/>
        </w:rPr>
        <w:t>──</w:t>
      </w:r>
      <w:r w:rsidRPr="00412A9C">
        <w:rPr>
          <w:rFonts w:eastAsia="標楷體"/>
          <w:szCs w:val="22"/>
        </w:rPr>
        <w:t>是為</w:t>
      </w:r>
      <w:r w:rsidR="00D46D12">
        <w:rPr>
          <w:rFonts w:ascii="標楷體" w:eastAsia="標楷體" w:hAnsi="標楷體" w:hint="eastAsia"/>
          <w:bCs/>
          <w:color w:val="FF0000"/>
          <w:kern w:val="0"/>
          <w:highlight w:val="yellow"/>
        </w:rPr>
        <w:t>「</w:t>
      </w:r>
      <w:r w:rsidRPr="00412A9C">
        <w:rPr>
          <w:rFonts w:eastAsia="標楷體"/>
          <w:szCs w:val="22"/>
        </w:rPr>
        <w:t>布施波羅蜜多</w:t>
      </w:r>
      <w:r w:rsidR="00D46D12">
        <w:rPr>
          <w:rFonts w:ascii="標楷體" w:eastAsia="標楷體" w:hAnsi="標楷體" w:hint="eastAsia"/>
          <w:bCs/>
          <w:color w:val="FF0000"/>
          <w:kern w:val="0"/>
          <w:highlight w:val="yellow"/>
        </w:rPr>
        <w:t>」</w:t>
      </w:r>
      <w:r w:rsidRPr="00412A9C">
        <w:rPr>
          <w:rFonts w:eastAsia="標楷體"/>
          <w:szCs w:val="22"/>
        </w:rPr>
        <w:t>。</w:t>
      </w:r>
      <w:r w:rsidRPr="00925F0B">
        <w:rPr>
          <w:rFonts w:ascii="標楷體" w:eastAsia="標楷體" w:hAnsi="標楷體"/>
          <w:szCs w:val="22"/>
          <w:shd w:val="pct15" w:color="auto" w:fill="FFFFFF"/>
        </w:rPr>
        <w:t>……</w:t>
      </w:r>
    </w:p>
    <w:p w:rsidR="00157EF6" w:rsidRPr="00412A9C" w:rsidRDefault="00157EF6" w:rsidP="00AA120F">
      <w:pPr>
        <w:pStyle w:val="a5"/>
        <w:ind w:leftChars="105" w:left="252"/>
        <w:jc w:val="both"/>
        <w:rPr>
          <w:rFonts w:eastAsia="標楷體"/>
          <w:szCs w:val="22"/>
        </w:rPr>
      </w:pPr>
      <w:r w:rsidRPr="00412A9C">
        <w:rPr>
          <w:rFonts w:eastAsia="標楷體"/>
          <w:szCs w:val="22"/>
        </w:rPr>
        <w:t>云何</w:t>
      </w:r>
      <w:r w:rsidR="00D46D12">
        <w:rPr>
          <w:rFonts w:ascii="標楷體" w:eastAsia="標楷體" w:hAnsi="標楷體" w:hint="eastAsia"/>
          <w:bCs/>
          <w:color w:val="FF0000"/>
          <w:kern w:val="0"/>
          <w:highlight w:val="yellow"/>
        </w:rPr>
        <w:t>「</w:t>
      </w:r>
      <w:r w:rsidRPr="00412A9C">
        <w:rPr>
          <w:rFonts w:eastAsia="標楷體"/>
          <w:b/>
          <w:szCs w:val="22"/>
        </w:rPr>
        <w:t>般若波羅蜜多</w:t>
      </w:r>
      <w:r w:rsidR="00D46D12">
        <w:rPr>
          <w:rFonts w:ascii="標楷體" w:eastAsia="標楷體" w:hAnsi="標楷體" w:hint="eastAsia"/>
          <w:bCs/>
          <w:color w:val="FF0000"/>
          <w:kern w:val="0"/>
          <w:highlight w:val="yellow"/>
        </w:rPr>
        <w:t>」</w:t>
      </w:r>
      <w:r w:rsidRPr="00412A9C">
        <w:rPr>
          <w:rFonts w:eastAsia="標楷體"/>
          <w:szCs w:val="22"/>
        </w:rPr>
        <w:t>？謂菩薩摩訶薩以一切智智相應作意，大悲為首，自如實觀察一切法性，於諸法性無取無著，亦勸他如實觀察一切法性，於諸法性無取無著</w:t>
      </w:r>
      <w:r w:rsidR="00D46D12">
        <w:rPr>
          <w:rFonts w:ascii="標楷體" w:eastAsia="標楷體" w:hAnsi="標楷體" w:hint="eastAsia"/>
          <w:color w:val="FF0000"/>
          <w:spacing w:val="-4"/>
          <w:kern w:val="0"/>
          <w:highlight w:val="yellow"/>
        </w:rPr>
        <w:t>；</w:t>
      </w:r>
      <w:r w:rsidRPr="00412A9C">
        <w:rPr>
          <w:rFonts w:eastAsia="標楷體"/>
          <w:szCs w:val="22"/>
        </w:rPr>
        <w:t>持此善根，用無所得而為方便，與諸有情平等共有迴向無上正等菩提</w:t>
      </w:r>
      <w:r w:rsidR="00D46D12">
        <w:rPr>
          <w:rFonts w:ascii="標楷體" w:eastAsia="標楷體" w:hAnsi="標楷體" w:hint="eastAsia"/>
          <w:color w:val="FF0000"/>
          <w:kern w:val="0"/>
          <w:highlight w:val="yellow"/>
        </w:rPr>
        <w:t>──</w:t>
      </w:r>
      <w:r w:rsidRPr="00412A9C">
        <w:rPr>
          <w:rFonts w:eastAsia="標楷體"/>
          <w:szCs w:val="22"/>
        </w:rPr>
        <w:t>是為</w:t>
      </w:r>
      <w:r w:rsidR="00D46D12">
        <w:rPr>
          <w:rFonts w:ascii="標楷體" w:eastAsia="標楷體" w:hAnsi="標楷體" w:hint="eastAsia"/>
          <w:bCs/>
          <w:color w:val="FF0000"/>
          <w:kern w:val="0"/>
          <w:highlight w:val="yellow"/>
        </w:rPr>
        <w:t>「</w:t>
      </w:r>
      <w:r w:rsidRPr="00412A9C">
        <w:rPr>
          <w:rFonts w:eastAsia="標楷體"/>
          <w:szCs w:val="22"/>
        </w:rPr>
        <w:t>般若波羅蜜多</w:t>
      </w:r>
      <w:r w:rsidR="00D46D12">
        <w:rPr>
          <w:rFonts w:ascii="標楷體" w:eastAsia="標楷體" w:hAnsi="標楷體" w:hint="eastAsia"/>
          <w:bCs/>
          <w:color w:val="FF0000"/>
          <w:kern w:val="0"/>
          <w:highlight w:val="yellow"/>
        </w:rPr>
        <w:t>」</w:t>
      </w:r>
      <w:r w:rsidRPr="00412A9C">
        <w:rPr>
          <w:rFonts w:eastAsia="標楷體"/>
          <w:szCs w:val="22"/>
        </w:rPr>
        <w:t>。</w:t>
      </w:r>
    </w:p>
    <w:p w:rsidR="00157EF6" w:rsidRPr="00412A9C" w:rsidRDefault="00157EF6" w:rsidP="00AA120F">
      <w:pPr>
        <w:pStyle w:val="a5"/>
        <w:ind w:leftChars="105" w:left="252"/>
        <w:jc w:val="both"/>
        <w:rPr>
          <w:rFonts w:eastAsia="標楷體"/>
          <w:szCs w:val="22"/>
        </w:rPr>
      </w:pPr>
      <w:r w:rsidRPr="00412A9C">
        <w:rPr>
          <w:rFonts w:eastAsia="標楷體"/>
          <w:szCs w:val="22"/>
        </w:rPr>
        <w:t>善現！是為</w:t>
      </w:r>
      <w:r w:rsidR="00D46D12">
        <w:rPr>
          <w:rFonts w:ascii="標楷體" w:eastAsia="標楷體" w:hAnsi="標楷體" w:hint="eastAsia"/>
          <w:bCs/>
          <w:color w:val="FF0000"/>
          <w:kern w:val="0"/>
          <w:highlight w:val="yellow"/>
        </w:rPr>
        <w:t>「</w:t>
      </w:r>
      <w:r w:rsidRPr="00412A9C">
        <w:rPr>
          <w:rFonts w:eastAsia="標楷體"/>
          <w:szCs w:val="22"/>
        </w:rPr>
        <w:t>諸菩薩摩訶薩</w:t>
      </w:r>
      <w:r w:rsidR="00D46D12">
        <w:rPr>
          <w:rFonts w:ascii="標楷體" w:eastAsia="標楷體" w:hAnsi="標楷體" w:hint="eastAsia"/>
          <w:color w:val="FF0000"/>
          <w:kern w:val="0"/>
          <w:highlight w:val="yellow"/>
        </w:rPr>
        <w:t>『</w:t>
      </w:r>
      <w:r w:rsidRPr="00412A9C">
        <w:rPr>
          <w:rFonts w:eastAsia="標楷體"/>
          <w:szCs w:val="22"/>
        </w:rPr>
        <w:t>大乘之相</w:t>
      </w:r>
      <w:r w:rsidR="00D46D12">
        <w:rPr>
          <w:rFonts w:ascii="標楷體" w:eastAsia="標楷體" w:hAnsi="標楷體" w:hint="eastAsia"/>
          <w:color w:val="FF0000"/>
          <w:kern w:val="0"/>
          <w:highlight w:val="yellow"/>
        </w:rPr>
        <w:t>』</w:t>
      </w:r>
      <w:r w:rsidR="00D46D12">
        <w:rPr>
          <w:rFonts w:ascii="標楷體" w:eastAsia="標楷體" w:hAnsi="標楷體" w:hint="eastAsia"/>
          <w:bCs/>
          <w:color w:val="FF0000"/>
          <w:kern w:val="0"/>
          <w:highlight w:val="yellow"/>
        </w:rPr>
        <w:t>」</w:t>
      </w:r>
      <w:r w:rsidRPr="00412A9C">
        <w:rPr>
          <w:rFonts w:eastAsia="標楷體"/>
          <w:szCs w:val="22"/>
        </w:rPr>
        <w:t>。</w:t>
      </w:r>
    </w:p>
  </w:footnote>
  <w:footnote w:id="1087">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rFonts w:hint="eastAsia"/>
          <w:szCs w:val="22"/>
        </w:rPr>
        <w:t xml:space="preserve"> </w:t>
      </w:r>
      <w:r w:rsidR="009160B5">
        <w:rPr>
          <w:rFonts w:hint="eastAsia"/>
          <w:szCs w:val="22"/>
        </w:rPr>
        <w:t>參見：印</w:t>
      </w:r>
      <w:r w:rsidRPr="00412A9C">
        <w:rPr>
          <w:rFonts w:hint="eastAsia"/>
          <w:szCs w:val="22"/>
        </w:rPr>
        <w:t>順法師，《學佛三要》，</w:t>
      </w:r>
      <w:r w:rsidRPr="00761EF3">
        <w:rPr>
          <w:rFonts w:hint="eastAsia"/>
          <w:szCs w:val="22"/>
        </w:rPr>
        <w:t>pp</w:t>
      </w:r>
      <w:r w:rsidRPr="00412A9C">
        <w:rPr>
          <w:rFonts w:hint="eastAsia"/>
          <w:szCs w:val="22"/>
        </w:rPr>
        <w:t>.</w:t>
      </w:r>
      <w:r w:rsidRPr="00761EF3">
        <w:rPr>
          <w:rFonts w:hint="eastAsia"/>
          <w:szCs w:val="22"/>
        </w:rPr>
        <w:t>65</w:t>
      </w:r>
      <w:r w:rsidRPr="00412A9C">
        <w:rPr>
          <w:rFonts w:hint="eastAsia"/>
          <w:szCs w:val="22"/>
        </w:rPr>
        <w:t>-</w:t>
      </w:r>
      <w:r w:rsidRPr="00761EF3">
        <w:rPr>
          <w:rFonts w:hint="eastAsia"/>
          <w:szCs w:val="22"/>
        </w:rPr>
        <w:t>68</w:t>
      </w:r>
      <w:r w:rsidRPr="00412A9C">
        <w:rPr>
          <w:rFonts w:hint="eastAsia"/>
          <w:szCs w:val="22"/>
        </w:rPr>
        <w:t>；《成佛之道》（增注本），</w:t>
      </w:r>
      <w:r w:rsidRPr="00761EF3">
        <w:rPr>
          <w:rFonts w:hint="eastAsia"/>
          <w:szCs w:val="22"/>
        </w:rPr>
        <w:t>pp</w:t>
      </w:r>
      <w:r w:rsidRPr="00412A9C">
        <w:rPr>
          <w:rFonts w:hint="eastAsia"/>
          <w:szCs w:val="22"/>
        </w:rPr>
        <w:t>.</w:t>
      </w:r>
      <w:r w:rsidRPr="00761EF3">
        <w:rPr>
          <w:rFonts w:hint="eastAsia"/>
          <w:szCs w:val="22"/>
        </w:rPr>
        <w:t>272</w:t>
      </w:r>
      <w:r w:rsidRPr="00412A9C">
        <w:rPr>
          <w:rFonts w:hint="eastAsia"/>
          <w:szCs w:val="22"/>
        </w:rPr>
        <w:t>-</w:t>
      </w:r>
      <w:r w:rsidRPr="00761EF3">
        <w:rPr>
          <w:rFonts w:hint="eastAsia"/>
          <w:szCs w:val="22"/>
        </w:rPr>
        <w:t>275</w:t>
      </w:r>
      <w:r w:rsidRPr="00412A9C">
        <w:rPr>
          <w:rFonts w:hint="eastAsia"/>
          <w:szCs w:val="22"/>
        </w:rPr>
        <w:t>；《佛法概論》，</w:t>
      </w:r>
      <w:r w:rsidRPr="00761EF3">
        <w:rPr>
          <w:rFonts w:hint="eastAsia"/>
          <w:szCs w:val="22"/>
        </w:rPr>
        <w:t>pp</w:t>
      </w:r>
      <w:r w:rsidRPr="00412A9C">
        <w:rPr>
          <w:rFonts w:hint="eastAsia"/>
          <w:szCs w:val="22"/>
        </w:rPr>
        <w:t>.</w:t>
      </w:r>
      <w:r w:rsidRPr="00761EF3">
        <w:rPr>
          <w:rFonts w:hint="eastAsia"/>
          <w:szCs w:val="22"/>
        </w:rPr>
        <w:t>251</w:t>
      </w:r>
      <w:r w:rsidRPr="00412A9C">
        <w:rPr>
          <w:rFonts w:hint="eastAsia"/>
          <w:szCs w:val="22"/>
        </w:rPr>
        <w:t>-</w:t>
      </w:r>
      <w:r w:rsidRPr="00761EF3">
        <w:rPr>
          <w:rFonts w:hint="eastAsia"/>
          <w:szCs w:val="22"/>
        </w:rPr>
        <w:t>252</w:t>
      </w:r>
      <w:r w:rsidRPr="00412A9C">
        <w:rPr>
          <w:rFonts w:hint="eastAsia"/>
          <w:szCs w:val="22"/>
        </w:rPr>
        <w:t>。</w:t>
      </w:r>
    </w:p>
  </w:footnote>
  <w:footnote w:id="1088">
    <w:p w:rsidR="00157EF6" w:rsidRPr="00412A9C" w:rsidRDefault="00157EF6" w:rsidP="00AA120F">
      <w:pPr>
        <w:pStyle w:val="a5"/>
        <w:ind w:left="187" w:hangingChars="85" w:hanging="187"/>
        <w:jc w:val="both"/>
        <w:rPr>
          <w:szCs w:val="22"/>
        </w:rPr>
      </w:pPr>
      <w:r w:rsidRPr="00412A9C">
        <w:rPr>
          <w:rStyle w:val="a6"/>
          <w:szCs w:val="22"/>
        </w:rPr>
        <w:footnoteRef/>
      </w:r>
      <w:r w:rsidRPr="00412A9C">
        <w:rPr>
          <w:szCs w:val="22"/>
        </w:rPr>
        <w:t xml:space="preserve"> </w:t>
      </w:r>
      <w:r w:rsidRPr="00412A9C">
        <w:rPr>
          <w:rFonts w:hint="eastAsia"/>
          <w:szCs w:val="22"/>
        </w:rPr>
        <w:t>糾葛：葛蔓糾結，難於分解。比喻糾纏不清之事。（《漢語大詞典》（九），</w:t>
      </w:r>
      <w:r w:rsidRPr="00761EF3">
        <w:rPr>
          <w:rFonts w:hint="eastAsia"/>
          <w:szCs w:val="22"/>
        </w:rPr>
        <w:t>p</w:t>
      </w:r>
      <w:r w:rsidRPr="00412A9C">
        <w:rPr>
          <w:rFonts w:hint="eastAsia"/>
          <w:szCs w:val="22"/>
        </w:rPr>
        <w:t>.</w:t>
      </w:r>
      <w:r w:rsidRPr="00761EF3">
        <w:rPr>
          <w:rFonts w:hint="eastAsia"/>
          <w:szCs w:val="22"/>
        </w:rPr>
        <w:t>698</w:t>
      </w:r>
      <w:r w:rsidRPr="00412A9C">
        <w:rPr>
          <w:rFonts w:hint="eastAsia"/>
          <w:szCs w:val="22"/>
        </w:rPr>
        <w:t>）</w:t>
      </w:r>
    </w:p>
  </w:footnote>
  <w:footnote w:id="1089">
    <w:p w:rsidR="00157EF6" w:rsidRPr="00412A9C" w:rsidRDefault="00157EF6" w:rsidP="00AA120F">
      <w:pPr>
        <w:pStyle w:val="a5"/>
        <w:ind w:left="187" w:hangingChars="85" w:hanging="187"/>
        <w:jc w:val="both"/>
        <w:rPr>
          <w:szCs w:val="22"/>
        </w:rPr>
      </w:pPr>
      <w:r w:rsidRPr="00412A9C">
        <w:rPr>
          <w:rStyle w:val="a6"/>
          <w:szCs w:val="22"/>
        </w:rPr>
        <w:footnoteRef/>
      </w:r>
      <w:r w:rsidRPr="00412A9C">
        <w:rPr>
          <w:szCs w:val="22"/>
        </w:rPr>
        <w:t xml:space="preserve"> </w:t>
      </w:r>
      <w:r w:rsidRPr="00412A9C">
        <w:rPr>
          <w:rFonts w:hint="eastAsia"/>
          <w:szCs w:val="22"/>
        </w:rPr>
        <w:t>對峙：</w:t>
      </w:r>
      <w:r w:rsidRPr="00761EF3">
        <w:rPr>
          <w:rFonts w:hint="eastAsia"/>
          <w:szCs w:val="22"/>
        </w:rPr>
        <w:t>1</w:t>
      </w:r>
      <w:r w:rsidRPr="00412A9C">
        <w:rPr>
          <w:rFonts w:hint="eastAsia"/>
          <w:szCs w:val="22"/>
        </w:rPr>
        <w:t>.</w:t>
      </w:r>
      <w:r w:rsidRPr="00412A9C">
        <w:rPr>
          <w:rFonts w:hint="eastAsia"/>
          <w:szCs w:val="22"/>
        </w:rPr>
        <w:t>相對</w:t>
      </w:r>
      <w:r w:rsidRPr="00431088">
        <w:rPr>
          <w:rStyle w:val="old"/>
          <w:rFonts w:hint="eastAsia"/>
          <w:color w:val="auto"/>
          <w:szCs w:val="22"/>
        </w:rPr>
        <w:t>而立</w:t>
      </w:r>
      <w:r w:rsidRPr="00412A9C">
        <w:rPr>
          <w:rFonts w:hint="eastAsia"/>
          <w:szCs w:val="22"/>
        </w:rPr>
        <w:t>。</w:t>
      </w:r>
      <w:r w:rsidRPr="00761EF3">
        <w:rPr>
          <w:rFonts w:hint="eastAsia"/>
          <w:szCs w:val="22"/>
        </w:rPr>
        <w:t>2</w:t>
      </w:r>
      <w:r w:rsidRPr="00412A9C">
        <w:rPr>
          <w:rFonts w:hint="eastAsia"/>
          <w:szCs w:val="22"/>
        </w:rPr>
        <w:t>.</w:t>
      </w:r>
      <w:r w:rsidRPr="00412A9C">
        <w:rPr>
          <w:rFonts w:hint="eastAsia"/>
          <w:szCs w:val="22"/>
        </w:rPr>
        <w:t>對抗，抗衡。（《漢語大詞典》（二），</w:t>
      </w:r>
      <w:r w:rsidRPr="00761EF3">
        <w:rPr>
          <w:rFonts w:hint="eastAsia"/>
          <w:szCs w:val="22"/>
        </w:rPr>
        <w:t>p</w:t>
      </w:r>
      <w:r w:rsidRPr="00412A9C">
        <w:rPr>
          <w:rFonts w:hint="eastAsia"/>
          <w:szCs w:val="22"/>
        </w:rPr>
        <w:t>.</w:t>
      </w:r>
      <w:r w:rsidRPr="00761EF3">
        <w:rPr>
          <w:rFonts w:hint="eastAsia"/>
          <w:szCs w:val="22"/>
        </w:rPr>
        <w:t>1299</w:t>
      </w:r>
      <w:r w:rsidRPr="00412A9C">
        <w:rPr>
          <w:rFonts w:hint="eastAsia"/>
          <w:szCs w:val="22"/>
        </w:rPr>
        <w:t>）</w:t>
      </w:r>
    </w:p>
  </w:footnote>
  <w:footnote w:id="1090">
    <w:p w:rsidR="00157EF6" w:rsidRPr="00412A9C" w:rsidRDefault="00157EF6" w:rsidP="00AA120F">
      <w:pPr>
        <w:pStyle w:val="a5"/>
        <w:ind w:left="187" w:hangingChars="85" w:hanging="187"/>
        <w:jc w:val="both"/>
        <w:rPr>
          <w:szCs w:val="22"/>
        </w:rPr>
      </w:pPr>
      <w:r w:rsidRPr="00412A9C">
        <w:rPr>
          <w:rStyle w:val="a6"/>
          <w:szCs w:val="22"/>
        </w:rPr>
        <w:footnoteRef/>
      </w:r>
      <w:r w:rsidRPr="00412A9C">
        <w:rPr>
          <w:szCs w:val="22"/>
        </w:rPr>
        <w:t xml:space="preserve"> </w:t>
      </w:r>
      <w:r w:rsidRPr="00412A9C">
        <w:rPr>
          <w:rFonts w:hint="eastAsia"/>
          <w:szCs w:val="22"/>
        </w:rPr>
        <w:t>模稜兩可：形容對事情的雙方不置可否，是非不分。（《漢語大詞典》（四），</w:t>
      </w:r>
      <w:r w:rsidRPr="00761EF3">
        <w:rPr>
          <w:rFonts w:hint="eastAsia"/>
          <w:szCs w:val="22"/>
        </w:rPr>
        <w:t>p</w:t>
      </w:r>
      <w:r w:rsidRPr="00412A9C">
        <w:rPr>
          <w:rFonts w:hint="eastAsia"/>
          <w:szCs w:val="22"/>
        </w:rPr>
        <w:t>.</w:t>
      </w:r>
      <w:r w:rsidRPr="00761EF3">
        <w:rPr>
          <w:rFonts w:hint="eastAsia"/>
          <w:szCs w:val="22"/>
        </w:rPr>
        <w:t>1209</w:t>
      </w:r>
      <w:r w:rsidRPr="00412A9C">
        <w:rPr>
          <w:rFonts w:hint="eastAsia"/>
          <w:szCs w:val="22"/>
        </w:rPr>
        <w:t>）</w:t>
      </w:r>
    </w:p>
  </w:footnote>
  <w:footnote w:id="1091">
    <w:p w:rsidR="00157EF6" w:rsidRPr="00DB5FC5" w:rsidRDefault="00157EF6" w:rsidP="00AA120F">
      <w:pPr>
        <w:pStyle w:val="a5"/>
        <w:ind w:left="187" w:hangingChars="85" w:hanging="187"/>
        <w:jc w:val="both"/>
        <w:rPr>
          <w:b/>
          <w:szCs w:val="22"/>
        </w:rPr>
      </w:pPr>
      <w:r w:rsidRPr="00412A9C">
        <w:rPr>
          <w:rStyle w:val="a6"/>
          <w:szCs w:val="22"/>
        </w:rPr>
        <w:footnoteRef/>
      </w:r>
      <w:r w:rsidRPr="00412A9C">
        <w:rPr>
          <w:rFonts w:hint="eastAsia"/>
          <w:szCs w:val="22"/>
        </w:rPr>
        <w:t xml:space="preserve"> </w:t>
      </w:r>
      <w:r w:rsidRPr="00412A9C">
        <w:rPr>
          <w:szCs w:val="22"/>
        </w:rPr>
        <w:t>將無同：猶言莫非相同，恐怕相同</w:t>
      </w:r>
      <w:r w:rsidRPr="00DB5FC5">
        <w:rPr>
          <w:szCs w:val="22"/>
        </w:rPr>
        <w:t>。（</w:t>
      </w:r>
      <w:r w:rsidRPr="00DB5FC5">
        <w:rPr>
          <w:rStyle w:val="af3"/>
          <w:b w:val="0"/>
          <w:szCs w:val="22"/>
        </w:rPr>
        <w:t>《漢語大</w:t>
      </w:r>
      <w:r w:rsidRPr="00DB5FC5">
        <w:rPr>
          <w:rStyle w:val="af3"/>
          <w:rFonts w:hint="eastAsia"/>
          <w:b w:val="0"/>
          <w:szCs w:val="22"/>
        </w:rPr>
        <w:t>詞</w:t>
      </w:r>
      <w:r w:rsidRPr="00DB5FC5">
        <w:rPr>
          <w:rStyle w:val="af3"/>
          <w:b w:val="0"/>
          <w:szCs w:val="22"/>
        </w:rPr>
        <w:t>典》（七）</w:t>
      </w:r>
      <w:r w:rsidRPr="00DB5FC5">
        <w:rPr>
          <w:rFonts w:hint="eastAsia"/>
          <w:szCs w:val="22"/>
        </w:rPr>
        <w:t>，</w:t>
      </w:r>
      <w:r w:rsidRPr="00761EF3">
        <w:rPr>
          <w:rStyle w:val="af3"/>
          <w:b w:val="0"/>
          <w:szCs w:val="22"/>
        </w:rPr>
        <w:t>p</w:t>
      </w:r>
      <w:r w:rsidRPr="00DB5FC5">
        <w:rPr>
          <w:rStyle w:val="af3"/>
          <w:b w:val="0"/>
          <w:szCs w:val="22"/>
        </w:rPr>
        <w:t>.</w:t>
      </w:r>
      <w:r w:rsidRPr="00761EF3">
        <w:rPr>
          <w:rStyle w:val="af3"/>
          <w:b w:val="0"/>
          <w:szCs w:val="22"/>
        </w:rPr>
        <w:t>810</w:t>
      </w:r>
      <w:r w:rsidRPr="00DB5FC5">
        <w:rPr>
          <w:rStyle w:val="af3"/>
          <w:b w:val="0"/>
          <w:szCs w:val="22"/>
        </w:rPr>
        <w:t>）</w:t>
      </w:r>
    </w:p>
  </w:footnote>
  <w:footnote w:id="1092">
    <w:p w:rsidR="00157EF6" w:rsidRPr="00412A9C" w:rsidRDefault="00157EF6" w:rsidP="00AA120F">
      <w:pPr>
        <w:pStyle w:val="a5"/>
        <w:ind w:left="187" w:hangingChars="85" w:hanging="187"/>
        <w:jc w:val="both"/>
        <w:rPr>
          <w:szCs w:val="22"/>
        </w:rPr>
      </w:pPr>
      <w:r w:rsidRPr="00412A9C">
        <w:rPr>
          <w:rStyle w:val="a6"/>
          <w:szCs w:val="22"/>
        </w:rPr>
        <w:footnoteRef/>
      </w:r>
      <w:r>
        <w:rPr>
          <w:rFonts w:hint="eastAsia"/>
          <w:szCs w:val="22"/>
        </w:rPr>
        <w:t xml:space="preserve"> </w:t>
      </w:r>
      <w:r w:rsidRPr="00412A9C">
        <w:rPr>
          <w:szCs w:val="22"/>
        </w:rPr>
        <w:t>《妙法蓮華經》卷</w:t>
      </w:r>
      <w:r w:rsidRPr="00761EF3">
        <w:rPr>
          <w:szCs w:val="22"/>
        </w:rPr>
        <w:t>3</w:t>
      </w:r>
      <w:r w:rsidRPr="00412A9C">
        <w:rPr>
          <w:szCs w:val="22"/>
        </w:rPr>
        <w:t>〈</w:t>
      </w:r>
      <w:r w:rsidRPr="00761EF3">
        <w:rPr>
          <w:rFonts w:hint="eastAsia"/>
          <w:szCs w:val="22"/>
        </w:rPr>
        <w:t>5</w:t>
      </w:r>
      <w:r>
        <w:rPr>
          <w:szCs w:val="22"/>
        </w:rPr>
        <w:t xml:space="preserve"> </w:t>
      </w:r>
      <w:r w:rsidRPr="00412A9C">
        <w:rPr>
          <w:szCs w:val="22"/>
        </w:rPr>
        <w:t>藥草喻品〉（大正</w:t>
      </w:r>
      <w:r w:rsidRPr="00761EF3">
        <w:rPr>
          <w:szCs w:val="22"/>
        </w:rPr>
        <w:t>9</w:t>
      </w:r>
      <w:r w:rsidRPr="00412A9C">
        <w:rPr>
          <w:szCs w:val="22"/>
        </w:rPr>
        <w:t>，</w:t>
      </w:r>
      <w:r w:rsidRPr="00761EF3">
        <w:rPr>
          <w:szCs w:val="22"/>
        </w:rPr>
        <w:t>19c10</w:t>
      </w:r>
      <w:r w:rsidRPr="00412A9C">
        <w:rPr>
          <w:szCs w:val="22"/>
        </w:rPr>
        <w:t>-</w:t>
      </w:r>
      <w:r w:rsidRPr="00761EF3">
        <w:rPr>
          <w:szCs w:val="22"/>
        </w:rPr>
        <w:t>11</w:t>
      </w:r>
      <w:r w:rsidRPr="00412A9C">
        <w:rPr>
          <w:szCs w:val="22"/>
        </w:rPr>
        <w:t>）：「</w:t>
      </w:r>
      <w:r w:rsidRPr="00412A9C">
        <w:rPr>
          <w:rFonts w:eastAsia="標楷體"/>
          <w:szCs w:val="22"/>
        </w:rPr>
        <w:t>破有法王，出現世間，隨眾生欲，種種說法。</w:t>
      </w:r>
      <w:r w:rsidRPr="00412A9C">
        <w:rPr>
          <w:szCs w:val="22"/>
        </w:rPr>
        <w:t>」</w:t>
      </w:r>
    </w:p>
  </w:footnote>
  <w:footnote w:id="1093">
    <w:p w:rsidR="00380176" w:rsidRPr="00412A9C" w:rsidRDefault="00380176" w:rsidP="00380176">
      <w:pPr>
        <w:pStyle w:val="a5"/>
        <w:spacing w:line="0" w:lineRule="atLeast"/>
        <w:ind w:left="726" w:hangingChars="330" w:hanging="726"/>
        <w:jc w:val="both"/>
        <w:rPr>
          <w:rFonts w:eastAsia="標楷體"/>
          <w:szCs w:val="22"/>
        </w:rPr>
      </w:pPr>
      <w:r w:rsidRPr="00412A9C">
        <w:rPr>
          <w:rStyle w:val="a6"/>
          <w:szCs w:val="22"/>
        </w:rPr>
        <w:footnoteRef/>
      </w:r>
      <w:r>
        <w:rPr>
          <w:rFonts w:hint="eastAsia"/>
          <w:szCs w:val="22"/>
        </w:rPr>
        <w:t xml:space="preserve"> </w:t>
      </w:r>
      <w:r w:rsidRPr="00412A9C">
        <w:rPr>
          <w:rFonts w:hint="eastAsia"/>
          <w:szCs w:val="22"/>
        </w:rPr>
        <w:t>（</w:t>
      </w:r>
      <w:r w:rsidRPr="00761EF3">
        <w:rPr>
          <w:rFonts w:hint="eastAsia"/>
          <w:szCs w:val="22"/>
        </w:rPr>
        <w:t>1</w:t>
      </w:r>
      <w:r w:rsidRPr="00412A9C">
        <w:rPr>
          <w:rFonts w:hint="eastAsia"/>
          <w:szCs w:val="22"/>
        </w:rPr>
        <w:t>）〔唐〕</w:t>
      </w:r>
      <w:r w:rsidRPr="00412A9C">
        <w:rPr>
          <w:szCs w:val="22"/>
        </w:rPr>
        <w:t>窺基撰，《妙法蓮華經玄贊》卷</w:t>
      </w:r>
      <w:r w:rsidRPr="00761EF3">
        <w:rPr>
          <w:szCs w:val="22"/>
        </w:rPr>
        <w:t>1</w:t>
      </w:r>
      <w:r w:rsidRPr="00412A9C">
        <w:rPr>
          <w:szCs w:val="22"/>
        </w:rPr>
        <w:t>（大正</w:t>
      </w:r>
      <w:r w:rsidRPr="00761EF3">
        <w:rPr>
          <w:szCs w:val="22"/>
        </w:rPr>
        <w:t>34</w:t>
      </w:r>
      <w:r w:rsidRPr="00412A9C">
        <w:rPr>
          <w:szCs w:val="22"/>
        </w:rPr>
        <w:t>，</w:t>
      </w:r>
      <w:r w:rsidRPr="00761EF3">
        <w:rPr>
          <w:szCs w:val="22"/>
        </w:rPr>
        <w:t>657a23</w:t>
      </w:r>
      <w:r w:rsidRPr="00412A9C">
        <w:rPr>
          <w:szCs w:val="22"/>
        </w:rPr>
        <w:t>-</w:t>
      </w:r>
      <w:r w:rsidRPr="00761EF3">
        <w:rPr>
          <w:szCs w:val="22"/>
        </w:rPr>
        <w:t>b6</w:t>
      </w:r>
      <w:r w:rsidRPr="00412A9C">
        <w:rPr>
          <w:szCs w:val="22"/>
        </w:rPr>
        <w:t>）</w:t>
      </w:r>
      <w:r w:rsidRPr="00412A9C">
        <w:rPr>
          <w:rFonts w:eastAsia="標楷體"/>
          <w:szCs w:val="22"/>
        </w:rPr>
        <w:t>：</w:t>
      </w:r>
    </w:p>
    <w:p w:rsidR="00380176" w:rsidRPr="00412A9C" w:rsidRDefault="00380176" w:rsidP="00380176">
      <w:pPr>
        <w:pStyle w:val="a5"/>
        <w:ind w:leftChars="305" w:left="732"/>
        <w:jc w:val="both"/>
        <w:rPr>
          <w:rFonts w:eastAsia="標楷體"/>
          <w:szCs w:val="22"/>
        </w:rPr>
      </w:pPr>
      <w:r w:rsidRPr="00412A9C">
        <w:rPr>
          <w:rFonts w:eastAsia="標楷體"/>
          <w:szCs w:val="22"/>
        </w:rPr>
        <w:t>若以類准宗，宗乃有八，教但三者：一、多說有宗，諸</w:t>
      </w:r>
      <w:r w:rsidR="00F4755F" w:rsidRPr="00F4755F">
        <w:rPr>
          <w:color w:val="FF0000"/>
          <w:szCs w:val="22"/>
          <w:highlight w:val="yellow"/>
        </w:rPr>
        <w:t>《</w:t>
      </w:r>
      <w:r w:rsidRPr="00412A9C">
        <w:rPr>
          <w:rFonts w:eastAsia="標楷體"/>
          <w:szCs w:val="22"/>
        </w:rPr>
        <w:t>阿含</w:t>
      </w:r>
      <w:r w:rsidR="00F4755F" w:rsidRPr="00F4755F">
        <w:rPr>
          <w:color w:val="FF0000"/>
          <w:szCs w:val="22"/>
          <w:highlight w:val="yellow"/>
        </w:rPr>
        <w:t>》</w:t>
      </w:r>
      <w:r w:rsidRPr="00412A9C">
        <w:rPr>
          <w:rFonts w:eastAsia="標楷體"/>
          <w:szCs w:val="22"/>
        </w:rPr>
        <w:t>等小乘義是</w:t>
      </w:r>
      <w:r w:rsidR="00F4755F">
        <w:rPr>
          <w:rFonts w:ascii="標楷體" w:eastAsia="標楷體" w:hAnsi="標楷體" w:hint="eastAsia"/>
          <w:color w:val="FF0000"/>
          <w:spacing w:val="-4"/>
          <w:kern w:val="0"/>
          <w:highlight w:val="yellow"/>
        </w:rPr>
        <w:t>；</w:t>
      </w:r>
      <w:r w:rsidRPr="00412A9C">
        <w:rPr>
          <w:rFonts w:eastAsia="標楷體"/>
          <w:szCs w:val="22"/>
        </w:rPr>
        <w:t>雖多說有</w:t>
      </w:r>
      <w:r w:rsidR="00F4755F">
        <w:rPr>
          <w:rFonts w:ascii="標楷體" w:eastAsia="標楷體" w:hAnsi="標楷體" w:hint="eastAsia"/>
          <w:color w:val="FF0000"/>
          <w:kern w:val="0"/>
          <w:highlight w:val="yellow"/>
        </w:rPr>
        <w:t>，</w:t>
      </w:r>
      <w:r w:rsidRPr="00412A9C">
        <w:rPr>
          <w:rFonts w:eastAsia="標楷體"/>
          <w:szCs w:val="22"/>
        </w:rPr>
        <w:t>亦不違空。二、多說空宗，</w:t>
      </w:r>
      <w:r w:rsidRPr="00412A9C">
        <w:rPr>
          <w:szCs w:val="22"/>
        </w:rPr>
        <w:t>《</w:t>
      </w:r>
      <w:r w:rsidRPr="00412A9C">
        <w:rPr>
          <w:rFonts w:eastAsia="標楷體"/>
          <w:szCs w:val="22"/>
        </w:rPr>
        <w:t>中</w:t>
      </w:r>
      <w:r w:rsidRPr="00412A9C">
        <w:rPr>
          <w:szCs w:val="22"/>
        </w:rPr>
        <w:t>》</w:t>
      </w:r>
      <w:r w:rsidRPr="00412A9C">
        <w:rPr>
          <w:rFonts w:eastAsia="標楷體"/>
          <w:szCs w:val="22"/>
        </w:rPr>
        <w:t>、</w:t>
      </w:r>
      <w:r w:rsidRPr="00412A9C">
        <w:rPr>
          <w:szCs w:val="22"/>
        </w:rPr>
        <w:t>《</w:t>
      </w:r>
      <w:r w:rsidRPr="00412A9C">
        <w:rPr>
          <w:rFonts w:eastAsia="標楷體"/>
          <w:szCs w:val="22"/>
        </w:rPr>
        <w:t>百</w:t>
      </w:r>
      <w:r w:rsidRPr="00412A9C">
        <w:rPr>
          <w:szCs w:val="22"/>
        </w:rPr>
        <w:t>》</w:t>
      </w:r>
      <w:r w:rsidRPr="00412A9C">
        <w:rPr>
          <w:rFonts w:eastAsia="標楷體"/>
          <w:szCs w:val="22"/>
        </w:rPr>
        <w:t>、</w:t>
      </w:r>
      <w:r w:rsidRPr="00412A9C">
        <w:rPr>
          <w:szCs w:val="22"/>
        </w:rPr>
        <w:t>《</w:t>
      </w:r>
      <w:r w:rsidRPr="00412A9C">
        <w:rPr>
          <w:rFonts w:eastAsia="標楷體"/>
          <w:szCs w:val="22"/>
        </w:rPr>
        <w:t>十二門</w:t>
      </w:r>
      <w:r w:rsidRPr="00412A9C">
        <w:rPr>
          <w:szCs w:val="22"/>
        </w:rPr>
        <w:t>》</w:t>
      </w:r>
      <w:r w:rsidRPr="00412A9C">
        <w:rPr>
          <w:rFonts w:eastAsia="標楷體"/>
          <w:szCs w:val="22"/>
        </w:rPr>
        <w:t>、</w:t>
      </w:r>
      <w:r w:rsidRPr="00412A9C">
        <w:rPr>
          <w:szCs w:val="22"/>
        </w:rPr>
        <w:t>《</w:t>
      </w:r>
      <w:r w:rsidRPr="00412A9C">
        <w:rPr>
          <w:rFonts w:eastAsia="標楷體"/>
          <w:szCs w:val="22"/>
        </w:rPr>
        <w:t>般若</w:t>
      </w:r>
      <w:r w:rsidRPr="00412A9C">
        <w:rPr>
          <w:szCs w:val="22"/>
        </w:rPr>
        <w:t>》</w:t>
      </w:r>
      <w:r w:rsidR="00F4755F">
        <w:rPr>
          <w:rFonts w:eastAsia="標楷體"/>
          <w:szCs w:val="22"/>
        </w:rPr>
        <w:t>等是</w:t>
      </w:r>
      <w:r w:rsidR="00F4755F">
        <w:rPr>
          <w:rFonts w:ascii="標楷體" w:eastAsia="標楷體" w:hAnsi="標楷體" w:hint="eastAsia"/>
          <w:color w:val="FF0000"/>
          <w:spacing w:val="-4"/>
          <w:kern w:val="0"/>
          <w:highlight w:val="yellow"/>
        </w:rPr>
        <w:t>；</w:t>
      </w:r>
      <w:r w:rsidRPr="00412A9C">
        <w:rPr>
          <w:rFonts w:eastAsia="標楷體"/>
          <w:szCs w:val="22"/>
        </w:rPr>
        <w:t>雖多說空</w:t>
      </w:r>
      <w:r w:rsidR="00F4755F">
        <w:rPr>
          <w:rFonts w:ascii="標楷體" w:eastAsia="標楷體" w:hAnsi="標楷體" w:hint="eastAsia"/>
          <w:color w:val="FF0000"/>
          <w:kern w:val="0"/>
          <w:highlight w:val="yellow"/>
        </w:rPr>
        <w:t>，</w:t>
      </w:r>
      <w:r w:rsidRPr="00412A9C">
        <w:rPr>
          <w:rFonts w:eastAsia="標楷體"/>
          <w:szCs w:val="22"/>
        </w:rPr>
        <w:t>亦不違有。三、非空有宗，</w:t>
      </w:r>
      <w:r w:rsidRPr="00412A9C">
        <w:rPr>
          <w:szCs w:val="22"/>
        </w:rPr>
        <w:t>《</w:t>
      </w:r>
      <w:r w:rsidRPr="00412A9C">
        <w:rPr>
          <w:rFonts w:eastAsia="標楷體"/>
          <w:szCs w:val="22"/>
        </w:rPr>
        <w:t>華嚴</w:t>
      </w:r>
      <w:r w:rsidRPr="00412A9C">
        <w:rPr>
          <w:szCs w:val="22"/>
        </w:rPr>
        <w:t>》</w:t>
      </w:r>
      <w:r w:rsidRPr="00412A9C">
        <w:rPr>
          <w:rFonts w:eastAsia="標楷體"/>
          <w:szCs w:val="22"/>
        </w:rPr>
        <w:t>、</w:t>
      </w:r>
      <w:r w:rsidRPr="00412A9C">
        <w:rPr>
          <w:szCs w:val="22"/>
        </w:rPr>
        <w:t>《</w:t>
      </w:r>
      <w:r w:rsidRPr="00412A9C">
        <w:rPr>
          <w:rFonts w:eastAsia="標楷體"/>
          <w:szCs w:val="22"/>
        </w:rPr>
        <w:t>深密</w:t>
      </w:r>
      <w:r w:rsidRPr="00412A9C">
        <w:rPr>
          <w:szCs w:val="22"/>
        </w:rPr>
        <w:t>》</w:t>
      </w:r>
      <w:r w:rsidRPr="00412A9C">
        <w:rPr>
          <w:rFonts w:eastAsia="標楷體"/>
          <w:szCs w:val="22"/>
        </w:rPr>
        <w:t>、</w:t>
      </w:r>
      <w:r w:rsidRPr="00412A9C">
        <w:rPr>
          <w:szCs w:val="22"/>
        </w:rPr>
        <w:t>《</w:t>
      </w:r>
      <w:r w:rsidRPr="00412A9C">
        <w:rPr>
          <w:rFonts w:eastAsia="標楷體"/>
          <w:szCs w:val="22"/>
        </w:rPr>
        <w:t>法華</w:t>
      </w:r>
      <w:r w:rsidRPr="00412A9C">
        <w:rPr>
          <w:szCs w:val="22"/>
        </w:rPr>
        <w:t>》</w:t>
      </w:r>
      <w:r w:rsidRPr="00412A9C">
        <w:rPr>
          <w:rFonts w:eastAsia="標楷體"/>
          <w:szCs w:val="22"/>
        </w:rPr>
        <w:t>等是，說</w:t>
      </w:r>
      <w:r w:rsidR="00F4755F">
        <w:rPr>
          <w:rFonts w:ascii="標楷體" w:eastAsia="標楷體" w:hAnsi="標楷體" w:hint="eastAsia"/>
          <w:bCs/>
          <w:color w:val="FF0000"/>
          <w:kern w:val="0"/>
          <w:highlight w:val="yellow"/>
        </w:rPr>
        <w:t>「</w:t>
      </w:r>
      <w:r w:rsidR="00F4755F">
        <w:rPr>
          <w:rFonts w:ascii="標楷體" w:eastAsia="標楷體" w:hAnsi="標楷體" w:hint="eastAsia"/>
          <w:color w:val="FF0000"/>
          <w:kern w:val="0"/>
          <w:highlight w:val="yellow"/>
        </w:rPr>
        <w:t>『</w:t>
      </w:r>
      <w:r w:rsidRPr="00412A9C">
        <w:rPr>
          <w:rFonts w:eastAsia="標楷體"/>
          <w:szCs w:val="22"/>
        </w:rPr>
        <w:t>有為、無為</w:t>
      </w:r>
      <w:r w:rsidR="00F4755F">
        <w:rPr>
          <w:rFonts w:ascii="標楷體" w:eastAsia="標楷體" w:hAnsi="標楷體" w:hint="eastAsia"/>
          <w:color w:val="FF0000"/>
          <w:kern w:val="0"/>
          <w:highlight w:val="yellow"/>
        </w:rPr>
        <w:t>』</w:t>
      </w:r>
      <w:r w:rsidRPr="00412A9C">
        <w:rPr>
          <w:rFonts w:eastAsia="標楷體"/>
          <w:szCs w:val="22"/>
        </w:rPr>
        <w:t>名之為</w:t>
      </w:r>
      <w:r w:rsidR="00F4755F">
        <w:rPr>
          <w:rFonts w:ascii="標楷體" w:eastAsia="標楷體" w:hAnsi="標楷體" w:hint="eastAsia"/>
          <w:color w:val="FF0000"/>
          <w:kern w:val="0"/>
          <w:highlight w:val="yellow"/>
        </w:rPr>
        <w:t>『</w:t>
      </w:r>
      <w:r w:rsidRPr="00412A9C">
        <w:rPr>
          <w:rFonts w:eastAsia="標楷體"/>
          <w:szCs w:val="22"/>
        </w:rPr>
        <w:t>有</w:t>
      </w:r>
      <w:r w:rsidR="00F4755F">
        <w:rPr>
          <w:rFonts w:ascii="標楷體" w:eastAsia="標楷體" w:hAnsi="標楷體" w:hint="eastAsia"/>
          <w:color w:val="FF0000"/>
          <w:kern w:val="0"/>
          <w:highlight w:val="yellow"/>
        </w:rPr>
        <w:t>』</w:t>
      </w:r>
      <w:r w:rsidRPr="00412A9C">
        <w:rPr>
          <w:rFonts w:eastAsia="標楷體" w:hint="eastAsia"/>
          <w:szCs w:val="22"/>
        </w:rPr>
        <w:t>，</w:t>
      </w:r>
      <w:r w:rsidR="00F4755F">
        <w:rPr>
          <w:rFonts w:ascii="標楷體" w:eastAsia="標楷體" w:hAnsi="標楷體" w:hint="eastAsia"/>
          <w:color w:val="FF0000"/>
          <w:kern w:val="0"/>
          <w:highlight w:val="yellow"/>
        </w:rPr>
        <w:t>『</w:t>
      </w:r>
      <w:r w:rsidRPr="00412A9C">
        <w:rPr>
          <w:rFonts w:eastAsia="標楷體"/>
          <w:szCs w:val="22"/>
        </w:rPr>
        <w:t>我及我所</w:t>
      </w:r>
      <w:r w:rsidR="00F4755F">
        <w:rPr>
          <w:rFonts w:ascii="標楷體" w:eastAsia="標楷體" w:hAnsi="標楷體" w:hint="eastAsia"/>
          <w:color w:val="FF0000"/>
          <w:kern w:val="0"/>
          <w:highlight w:val="yellow"/>
        </w:rPr>
        <w:t>』</w:t>
      </w:r>
      <w:r w:rsidRPr="00412A9C">
        <w:rPr>
          <w:rFonts w:eastAsia="標楷體"/>
          <w:szCs w:val="22"/>
        </w:rPr>
        <w:t>名為</w:t>
      </w:r>
      <w:r w:rsidR="00F4755F">
        <w:rPr>
          <w:rFonts w:ascii="標楷體" w:eastAsia="標楷體" w:hAnsi="標楷體" w:hint="eastAsia"/>
          <w:color w:val="FF0000"/>
          <w:kern w:val="0"/>
          <w:highlight w:val="yellow"/>
        </w:rPr>
        <w:t>『</w:t>
      </w:r>
      <w:r w:rsidRPr="00412A9C">
        <w:rPr>
          <w:rFonts w:eastAsia="標楷體"/>
          <w:szCs w:val="22"/>
        </w:rPr>
        <w:t>空</w:t>
      </w:r>
      <w:r w:rsidR="00F4755F">
        <w:rPr>
          <w:rFonts w:ascii="標楷體" w:eastAsia="標楷體" w:hAnsi="標楷體" w:hint="eastAsia"/>
          <w:color w:val="FF0000"/>
          <w:kern w:val="0"/>
          <w:highlight w:val="yellow"/>
        </w:rPr>
        <w:t>』</w:t>
      </w:r>
      <w:r w:rsidR="00F4755F">
        <w:rPr>
          <w:rFonts w:ascii="標楷體" w:eastAsia="標楷體" w:hAnsi="標楷體" w:hint="eastAsia"/>
          <w:bCs/>
          <w:color w:val="FF0000"/>
          <w:kern w:val="0"/>
          <w:highlight w:val="yellow"/>
        </w:rPr>
        <w:t>」</w:t>
      </w:r>
      <w:r w:rsidRPr="00412A9C">
        <w:rPr>
          <w:rFonts w:eastAsia="標楷體"/>
          <w:szCs w:val="22"/>
        </w:rPr>
        <w:t>故。</w:t>
      </w:r>
    </w:p>
    <w:p w:rsidR="00F4755F" w:rsidRDefault="00380176" w:rsidP="00380176">
      <w:pPr>
        <w:pStyle w:val="a5"/>
        <w:ind w:leftChars="305" w:left="732"/>
        <w:jc w:val="both"/>
        <w:rPr>
          <w:rFonts w:eastAsia="標楷體"/>
          <w:szCs w:val="22"/>
        </w:rPr>
      </w:pPr>
      <w:r w:rsidRPr="00412A9C">
        <w:rPr>
          <w:rFonts w:eastAsia="標楷體"/>
          <w:szCs w:val="22"/>
        </w:rPr>
        <w:t>此等三教</w:t>
      </w:r>
      <w:r w:rsidR="00F4755F">
        <w:rPr>
          <w:rFonts w:ascii="標楷體" w:eastAsia="標楷體" w:hAnsi="標楷體" w:hint="eastAsia"/>
          <w:color w:val="FF0000"/>
          <w:kern w:val="0"/>
          <w:highlight w:val="yellow"/>
        </w:rPr>
        <w:t>，</w:t>
      </w:r>
      <w:r w:rsidRPr="00412A9C">
        <w:rPr>
          <w:rFonts w:eastAsia="標楷體"/>
          <w:szCs w:val="22"/>
        </w:rPr>
        <w:t>如前引文</w:t>
      </w:r>
      <w:r w:rsidRPr="00412A9C">
        <w:rPr>
          <w:rFonts w:eastAsia="標楷體" w:hint="eastAsia"/>
          <w:szCs w:val="22"/>
        </w:rPr>
        <w:t>。</w:t>
      </w:r>
    </w:p>
    <w:p w:rsidR="00380176" w:rsidRPr="00412A9C" w:rsidRDefault="00380176" w:rsidP="00380176">
      <w:pPr>
        <w:pStyle w:val="a5"/>
        <w:ind w:leftChars="305" w:left="732"/>
        <w:jc w:val="both"/>
        <w:rPr>
          <w:szCs w:val="22"/>
        </w:rPr>
      </w:pPr>
      <w:r w:rsidRPr="00F4755F">
        <w:rPr>
          <w:rFonts w:eastAsia="標楷體"/>
          <w:szCs w:val="22"/>
          <w:highlight w:val="yellow"/>
        </w:rPr>
        <w:t>宗</w:t>
      </w:r>
      <w:r w:rsidRPr="00412A9C">
        <w:rPr>
          <w:rFonts w:eastAsia="標楷體"/>
          <w:szCs w:val="22"/>
        </w:rPr>
        <w:t>有八者：</w:t>
      </w:r>
      <w:r w:rsidRPr="00412A9C">
        <w:rPr>
          <w:rFonts w:eastAsia="標楷體"/>
          <w:b/>
          <w:szCs w:val="22"/>
        </w:rPr>
        <w:t>一、我法俱有</w:t>
      </w:r>
      <w:r w:rsidRPr="00412A9C">
        <w:rPr>
          <w:rFonts w:eastAsia="標楷體"/>
          <w:szCs w:val="22"/>
        </w:rPr>
        <w:t>，犢子部等。</w:t>
      </w:r>
      <w:r w:rsidRPr="00412A9C">
        <w:rPr>
          <w:rFonts w:eastAsia="標楷體"/>
          <w:b/>
          <w:szCs w:val="22"/>
        </w:rPr>
        <w:t>二、有法無我</w:t>
      </w:r>
      <w:r w:rsidRPr="00412A9C">
        <w:rPr>
          <w:rFonts w:eastAsia="標楷體"/>
          <w:szCs w:val="22"/>
        </w:rPr>
        <w:t>，薩婆多等。</w:t>
      </w:r>
      <w:r w:rsidRPr="00412A9C">
        <w:rPr>
          <w:rFonts w:eastAsia="標楷體"/>
          <w:b/>
          <w:szCs w:val="22"/>
        </w:rPr>
        <w:t>三、法無去來</w:t>
      </w:r>
      <w:r w:rsidRPr="00412A9C">
        <w:rPr>
          <w:rFonts w:eastAsia="標楷體"/>
          <w:szCs w:val="22"/>
        </w:rPr>
        <w:t>，大眾部等。</w:t>
      </w:r>
      <w:r w:rsidRPr="00412A9C">
        <w:rPr>
          <w:rFonts w:eastAsia="標楷體"/>
          <w:b/>
          <w:szCs w:val="22"/>
        </w:rPr>
        <w:t>四、現通假實</w:t>
      </w:r>
      <w:r w:rsidRPr="00412A9C">
        <w:rPr>
          <w:rFonts w:eastAsia="標楷體"/>
          <w:szCs w:val="22"/>
        </w:rPr>
        <w:t>，說假部等。</w:t>
      </w:r>
      <w:r w:rsidRPr="00412A9C">
        <w:rPr>
          <w:rFonts w:eastAsia="標楷體"/>
          <w:b/>
          <w:szCs w:val="22"/>
        </w:rPr>
        <w:t>五、俗妄真實</w:t>
      </w:r>
      <w:r w:rsidRPr="00412A9C">
        <w:rPr>
          <w:rFonts w:eastAsia="標楷體"/>
          <w:szCs w:val="22"/>
        </w:rPr>
        <w:t>，說出世部等。六、</w:t>
      </w:r>
      <w:r w:rsidRPr="00412A9C">
        <w:rPr>
          <w:rFonts w:eastAsia="標楷體"/>
          <w:b/>
          <w:szCs w:val="22"/>
        </w:rPr>
        <w:t>諸法但名</w:t>
      </w:r>
      <w:r w:rsidRPr="00412A9C">
        <w:rPr>
          <w:rFonts w:eastAsia="標楷體"/>
          <w:szCs w:val="22"/>
        </w:rPr>
        <w:t>，說一部等。七、勝義皆空，</w:t>
      </w:r>
      <w:r w:rsidRPr="00412A9C">
        <w:rPr>
          <w:szCs w:val="22"/>
        </w:rPr>
        <w:t>《</w:t>
      </w:r>
      <w:r w:rsidRPr="00412A9C">
        <w:rPr>
          <w:rFonts w:eastAsia="標楷體"/>
          <w:szCs w:val="22"/>
        </w:rPr>
        <w:t>般若</w:t>
      </w:r>
      <w:r w:rsidRPr="00412A9C">
        <w:rPr>
          <w:szCs w:val="22"/>
        </w:rPr>
        <w:t>》</w:t>
      </w:r>
      <w:r w:rsidRPr="00412A9C">
        <w:rPr>
          <w:rFonts w:eastAsia="標楷體"/>
          <w:szCs w:val="22"/>
        </w:rPr>
        <w:t>等經</w:t>
      </w:r>
      <w:r w:rsidRPr="00412A9C">
        <w:rPr>
          <w:szCs w:val="22"/>
        </w:rPr>
        <w:t>，</w:t>
      </w:r>
      <w:r w:rsidRPr="00412A9C">
        <w:rPr>
          <w:rFonts w:eastAsia="標楷體"/>
          <w:szCs w:val="22"/>
        </w:rPr>
        <w:t>龍樹等說</w:t>
      </w:r>
      <w:r w:rsidRPr="00412A9C">
        <w:rPr>
          <w:szCs w:val="22"/>
        </w:rPr>
        <w:t>《</w:t>
      </w:r>
      <w:r w:rsidRPr="00412A9C">
        <w:rPr>
          <w:rFonts w:eastAsia="標楷體"/>
          <w:szCs w:val="22"/>
        </w:rPr>
        <w:t>中</w:t>
      </w:r>
      <w:r w:rsidRPr="00412A9C">
        <w:rPr>
          <w:szCs w:val="22"/>
        </w:rPr>
        <w:t>》</w:t>
      </w:r>
      <w:r w:rsidRPr="00412A9C">
        <w:rPr>
          <w:rFonts w:eastAsia="標楷體"/>
          <w:szCs w:val="22"/>
        </w:rPr>
        <w:t>、</w:t>
      </w:r>
      <w:r w:rsidRPr="00412A9C">
        <w:rPr>
          <w:szCs w:val="22"/>
        </w:rPr>
        <w:t>《</w:t>
      </w:r>
      <w:r w:rsidRPr="00412A9C">
        <w:rPr>
          <w:rFonts w:eastAsia="標楷體"/>
          <w:szCs w:val="22"/>
        </w:rPr>
        <w:t>百</w:t>
      </w:r>
      <w:r w:rsidRPr="00380176">
        <w:rPr>
          <w:szCs w:val="22"/>
          <w:highlight w:val="yellow"/>
        </w:rPr>
        <w:t>》</w:t>
      </w:r>
      <w:r w:rsidRPr="00412A9C">
        <w:rPr>
          <w:rFonts w:eastAsia="標楷體"/>
          <w:szCs w:val="22"/>
        </w:rPr>
        <w:t>論等。八、應理圓實，此</w:t>
      </w:r>
      <w:r w:rsidRPr="00412A9C">
        <w:rPr>
          <w:szCs w:val="22"/>
        </w:rPr>
        <w:t>《</w:t>
      </w:r>
      <w:r w:rsidRPr="00412A9C">
        <w:rPr>
          <w:rFonts w:eastAsia="標楷體"/>
          <w:szCs w:val="22"/>
        </w:rPr>
        <w:t>法華</w:t>
      </w:r>
      <w:r w:rsidRPr="00412A9C">
        <w:rPr>
          <w:szCs w:val="22"/>
        </w:rPr>
        <w:t>》</w:t>
      </w:r>
      <w:r w:rsidRPr="00412A9C">
        <w:rPr>
          <w:rFonts w:eastAsia="標楷體"/>
          <w:szCs w:val="22"/>
        </w:rPr>
        <w:t>等</w:t>
      </w:r>
      <w:r w:rsidR="00F4755F">
        <w:rPr>
          <w:rFonts w:eastAsia="標楷體" w:hint="eastAsia"/>
          <w:color w:val="FF0000"/>
          <w:szCs w:val="22"/>
          <w:highlight w:val="yellow"/>
        </w:rPr>
        <w:t>、</w:t>
      </w:r>
      <w:r w:rsidRPr="00412A9C">
        <w:rPr>
          <w:rFonts w:eastAsia="標楷體"/>
          <w:szCs w:val="22"/>
        </w:rPr>
        <w:t>無著等說中道教也</w:t>
      </w:r>
      <w:r w:rsidRPr="00412A9C">
        <w:rPr>
          <w:szCs w:val="22"/>
        </w:rPr>
        <w:t>。</w:t>
      </w:r>
    </w:p>
    <w:p w:rsidR="00380176" w:rsidRPr="00412A9C" w:rsidRDefault="00380176" w:rsidP="00380176">
      <w:pPr>
        <w:pStyle w:val="a5"/>
        <w:ind w:leftChars="80" w:left="731" w:hangingChars="245" w:hanging="539"/>
        <w:jc w:val="both"/>
        <w:rPr>
          <w:szCs w:val="22"/>
        </w:rPr>
      </w:pPr>
      <w:r w:rsidRPr="00412A9C">
        <w:rPr>
          <w:rFonts w:hint="eastAsia"/>
          <w:szCs w:val="22"/>
        </w:rPr>
        <w:t>（</w:t>
      </w:r>
      <w:r w:rsidRPr="00761EF3">
        <w:rPr>
          <w:rFonts w:hint="eastAsia"/>
          <w:szCs w:val="22"/>
        </w:rPr>
        <w:t>2</w:t>
      </w:r>
      <w:r w:rsidRPr="00412A9C">
        <w:rPr>
          <w:rFonts w:hint="eastAsia"/>
          <w:szCs w:val="22"/>
        </w:rPr>
        <w:t>）</w:t>
      </w:r>
      <w:r w:rsidRPr="00412A9C">
        <w:rPr>
          <w:szCs w:val="22"/>
        </w:rPr>
        <w:t>印順法師</w:t>
      </w:r>
      <w:r w:rsidRPr="00412A9C">
        <w:rPr>
          <w:rFonts w:hint="eastAsia"/>
          <w:szCs w:val="22"/>
        </w:rPr>
        <w:t>，</w:t>
      </w:r>
      <w:r w:rsidRPr="00412A9C">
        <w:rPr>
          <w:szCs w:val="22"/>
        </w:rPr>
        <w:t>《性空學探源》</w:t>
      </w:r>
      <w:r w:rsidRPr="00412A9C">
        <w:rPr>
          <w:rFonts w:hint="eastAsia"/>
          <w:szCs w:val="22"/>
        </w:rPr>
        <w:t>，</w:t>
      </w:r>
      <w:r w:rsidRPr="00761EF3">
        <w:rPr>
          <w:szCs w:val="22"/>
        </w:rPr>
        <w:t>pp</w:t>
      </w:r>
      <w:r w:rsidRPr="00412A9C">
        <w:rPr>
          <w:szCs w:val="22"/>
        </w:rPr>
        <w:t>.</w:t>
      </w:r>
      <w:r w:rsidRPr="00761EF3">
        <w:rPr>
          <w:szCs w:val="22"/>
        </w:rPr>
        <w:t>104</w:t>
      </w:r>
      <w:r w:rsidRPr="00412A9C">
        <w:rPr>
          <w:szCs w:val="22"/>
        </w:rPr>
        <w:t>-</w:t>
      </w:r>
      <w:r w:rsidRPr="00761EF3">
        <w:rPr>
          <w:szCs w:val="22"/>
        </w:rPr>
        <w:t>105</w:t>
      </w:r>
      <w:r w:rsidRPr="00412A9C">
        <w:rPr>
          <w:szCs w:val="22"/>
        </w:rPr>
        <w:t>：</w:t>
      </w:r>
    </w:p>
    <w:p w:rsidR="00380176" w:rsidRPr="00412A9C" w:rsidRDefault="00380176" w:rsidP="00380176">
      <w:pPr>
        <w:pStyle w:val="a5"/>
        <w:ind w:leftChars="305" w:left="732"/>
        <w:jc w:val="both"/>
        <w:rPr>
          <w:szCs w:val="22"/>
        </w:rPr>
      </w:pPr>
      <w:r w:rsidRPr="00412A9C">
        <w:rPr>
          <w:rFonts w:eastAsia="標楷體"/>
          <w:szCs w:val="22"/>
        </w:rPr>
        <w:t>以從空到有的意義來觀察，玄奘三藏曾有六宗之判</w:t>
      </w:r>
      <w:r w:rsidRPr="00412A9C">
        <w:rPr>
          <w:rFonts w:eastAsia="標楷體" w:hint="eastAsia"/>
          <w:szCs w:val="22"/>
        </w:rPr>
        <w:t>。</w:t>
      </w:r>
      <w:r w:rsidRPr="00412A9C">
        <w:rPr>
          <w:rFonts w:eastAsia="標楷體"/>
          <w:szCs w:val="22"/>
        </w:rPr>
        <w:t>一、</w:t>
      </w:r>
      <w:r w:rsidRPr="00412A9C">
        <w:rPr>
          <w:rFonts w:eastAsia="標楷體"/>
          <w:b/>
          <w:szCs w:val="22"/>
        </w:rPr>
        <w:t>我法俱有宗</w:t>
      </w:r>
      <w:r w:rsidRPr="00412A9C">
        <w:rPr>
          <w:rFonts w:eastAsia="標楷體"/>
          <w:szCs w:val="22"/>
        </w:rPr>
        <w:t>：犢子本末五部及說轉（經量本計）。</w:t>
      </w:r>
      <w:r w:rsidRPr="00412A9C">
        <w:rPr>
          <w:rFonts w:eastAsia="標楷體"/>
          <w:b/>
          <w:szCs w:val="22"/>
        </w:rPr>
        <w:t>二、法有我無宗</w:t>
      </w:r>
      <w:r w:rsidRPr="00412A9C">
        <w:rPr>
          <w:rFonts w:eastAsia="標楷體"/>
          <w:szCs w:val="22"/>
        </w:rPr>
        <w:t>：說一切有部。</w:t>
      </w:r>
      <w:r w:rsidRPr="00412A9C">
        <w:rPr>
          <w:rFonts w:eastAsia="標楷體"/>
          <w:b/>
          <w:szCs w:val="22"/>
        </w:rPr>
        <w:t>三、法無去來宗</w:t>
      </w:r>
      <w:r w:rsidRPr="00412A9C">
        <w:rPr>
          <w:rFonts w:eastAsia="標楷體"/>
          <w:szCs w:val="22"/>
        </w:rPr>
        <w:t>：大眾分別說系及經量部。</w:t>
      </w:r>
      <w:r w:rsidRPr="00412A9C">
        <w:rPr>
          <w:rFonts w:eastAsia="標楷體"/>
          <w:b/>
          <w:szCs w:val="22"/>
        </w:rPr>
        <w:t>四、現通假實宗</w:t>
      </w:r>
      <w:r w:rsidRPr="00412A9C">
        <w:rPr>
          <w:rFonts w:eastAsia="標楷體"/>
          <w:szCs w:val="22"/>
        </w:rPr>
        <w:t>：說假部。</w:t>
      </w:r>
      <w:r w:rsidRPr="00412A9C">
        <w:rPr>
          <w:rFonts w:eastAsia="標楷體"/>
          <w:b/>
          <w:szCs w:val="22"/>
        </w:rPr>
        <w:t>五、俗妄真實宗</w:t>
      </w:r>
      <w:r w:rsidRPr="00412A9C">
        <w:rPr>
          <w:rFonts w:eastAsia="標楷體"/>
          <w:szCs w:val="22"/>
        </w:rPr>
        <w:t>：說出世部。六、</w:t>
      </w:r>
      <w:r w:rsidRPr="00412A9C">
        <w:rPr>
          <w:rFonts w:eastAsia="標楷體"/>
          <w:b/>
          <w:szCs w:val="22"/>
        </w:rPr>
        <w:t>諸法但名宗</w:t>
      </w:r>
      <w:r w:rsidRPr="00412A9C">
        <w:rPr>
          <w:rFonts w:eastAsia="標楷體"/>
          <w:szCs w:val="22"/>
        </w:rPr>
        <w:t>：一說部。《大智度論》龍樹菩薩說：佛滅後，聲聞學者有主張我空法有與我法皆空的二種；論中又談到犢子系的我法皆有。所以我國古代，有判為「我法俱有」、「我空法有」、「我法皆空」的三宗的；奘師的六宗，即本此而增立的。</w:t>
      </w:r>
    </w:p>
  </w:footnote>
  <w:footnote w:id="1094">
    <w:p w:rsidR="00380176" w:rsidRPr="00412A9C" w:rsidRDefault="00380176" w:rsidP="00380176">
      <w:pPr>
        <w:pStyle w:val="a5"/>
        <w:spacing w:line="0" w:lineRule="atLeast"/>
        <w:ind w:left="726" w:hangingChars="330" w:hanging="726"/>
        <w:jc w:val="both"/>
        <w:rPr>
          <w:rStyle w:val="byline"/>
          <w:color w:val="auto"/>
          <w:sz w:val="22"/>
          <w:szCs w:val="22"/>
        </w:rPr>
      </w:pPr>
      <w:r w:rsidRPr="00412A9C">
        <w:rPr>
          <w:rStyle w:val="a6"/>
          <w:szCs w:val="22"/>
        </w:rPr>
        <w:footnoteRef/>
      </w:r>
      <w:r>
        <w:rPr>
          <w:rStyle w:val="byline"/>
          <w:rFonts w:hint="eastAsia"/>
          <w:color w:val="auto"/>
          <w:sz w:val="22"/>
          <w:szCs w:val="22"/>
        </w:rPr>
        <w:t xml:space="preserve"> </w:t>
      </w:r>
      <w:r w:rsidRPr="00412A9C">
        <w:rPr>
          <w:rStyle w:val="byline"/>
          <w:rFonts w:hint="eastAsia"/>
          <w:color w:val="auto"/>
          <w:sz w:val="22"/>
          <w:szCs w:val="22"/>
        </w:rPr>
        <w:t>（</w:t>
      </w:r>
      <w:r w:rsidRPr="00761EF3">
        <w:rPr>
          <w:rStyle w:val="byline"/>
          <w:color w:val="auto"/>
          <w:sz w:val="22"/>
          <w:szCs w:val="22"/>
        </w:rPr>
        <w:t>1</w:t>
      </w:r>
      <w:r w:rsidRPr="00412A9C">
        <w:rPr>
          <w:rStyle w:val="byline"/>
          <w:rFonts w:hint="eastAsia"/>
          <w:color w:val="auto"/>
          <w:sz w:val="22"/>
          <w:szCs w:val="22"/>
        </w:rPr>
        <w:t>）</w:t>
      </w:r>
      <w:r w:rsidRPr="00412A9C">
        <w:rPr>
          <w:rStyle w:val="byline"/>
          <w:color w:val="auto"/>
          <w:sz w:val="22"/>
          <w:szCs w:val="22"/>
        </w:rPr>
        <w:t>〔隋〕淨影慧遠撰，《大乘義章》卷</w:t>
      </w:r>
      <w:r w:rsidRPr="00761EF3">
        <w:rPr>
          <w:rStyle w:val="byline"/>
          <w:color w:val="auto"/>
          <w:sz w:val="22"/>
          <w:szCs w:val="22"/>
        </w:rPr>
        <w:t>1</w:t>
      </w:r>
      <w:r w:rsidRPr="00412A9C">
        <w:rPr>
          <w:rStyle w:val="byline"/>
          <w:color w:val="auto"/>
          <w:sz w:val="22"/>
          <w:szCs w:val="22"/>
        </w:rPr>
        <w:t>（大正</w:t>
      </w:r>
      <w:r w:rsidRPr="00761EF3">
        <w:rPr>
          <w:rStyle w:val="byline"/>
          <w:color w:val="auto"/>
          <w:sz w:val="22"/>
          <w:szCs w:val="22"/>
        </w:rPr>
        <w:t>44</w:t>
      </w:r>
      <w:r w:rsidRPr="00412A9C">
        <w:rPr>
          <w:rStyle w:val="byline"/>
          <w:color w:val="auto"/>
          <w:sz w:val="22"/>
          <w:szCs w:val="22"/>
        </w:rPr>
        <w:t>，</w:t>
      </w:r>
      <w:r w:rsidRPr="00761EF3">
        <w:rPr>
          <w:rStyle w:val="byline"/>
          <w:color w:val="auto"/>
          <w:sz w:val="22"/>
          <w:szCs w:val="22"/>
        </w:rPr>
        <w:t>483a12</w:t>
      </w:r>
      <w:r w:rsidRPr="00412A9C">
        <w:rPr>
          <w:rStyle w:val="byline"/>
          <w:color w:val="auto"/>
          <w:sz w:val="22"/>
          <w:szCs w:val="22"/>
        </w:rPr>
        <w:t>-</w:t>
      </w:r>
      <w:r w:rsidRPr="00761EF3">
        <w:rPr>
          <w:rStyle w:val="byline"/>
          <w:color w:val="auto"/>
          <w:sz w:val="22"/>
          <w:szCs w:val="22"/>
        </w:rPr>
        <w:t>b1</w:t>
      </w:r>
      <w:r w:rsidRPr="00412A9C">
        <w:rPr>
          <w:rStyle w:val="byline"/>
          <w:color w:val="auto"/>
          <w:sz w:val="22"/>
          <w:szCs w:val="22"/>
        </w:rPr>
        <w:t>）：</w:t>
      </w:r>
    </w:p>
    <w:p w:rsidR="00380176" w:rsidRPr="000C6D5D" w:rsidRDefault="00380176" w:rsidP="00380176">
      <w:pPr>
        <w:pStyle w:val="a5"/>
        <w:ind w:leftChars="305" w:left="732"/>
        <w:jc w:val="both"/>
        <w:rPr>
          <w:rStyle w:val="byline"/>
          <w:rFonts w:eastAsia="標楷體"/>
          <w:color w:val="auto"/>
          <w:sz w:val="22"/>
          <w:szCs w:val="22"/>
        </w:rPr>
      </w:pPr>
      <w:r w:rsidRPr="00412A9C">
        <w:rPr>
          <w:rStyle w:val="byline"/>
          <w:rFonts w:eastAsia="標楷體"/>
          <w:color w:val="auto"/>
          <w:sz w:val="22"/>
          <w:szCs w:val="22"/>
        </w:rPr>
        <w:t>言</w:t>
      </w:r>
      <w:r w:rsidR="00F4755F">
        <w:rPr>
          <w:rFonts w:ascii="標楷體" w:eastAsia="標楷體" w:hAnsi="標楷體" w:hint="eastAsia"/>
          <w:bCs/>
          <w:color w:val="FF0000"/>
          <w:kern w:val="0"/>
          <w:highlight w:val="yellow"/>
        </w:rPr>
        <w:t>「</w:t>
      </w:r>
      <w:r w:rsidRPr="00412A9C">
        <w:rPr>
          <w:rStyle w:val="byline"/>
          <w:rFonts w:eastAsia="標楷體"/>
          <w:color w:val="auto"/>
          <w:sz w:val="22"/>
          <w:szCs w:val="22"/>
        </w:rPr>
        <w:t>分宗</w:t>
      </w:r>
      <w:r w:rsidR="00F4755F">
        <w:rPr>
          <w:rFonts w:ascii="標楷體" w:eastAsia="標楷體" w:hAnsi="標楷體" w:hint="eastAsia"/>
          <w:bCs/>
          <w:color w:val="FF0000"/>
          <w:kern w:val="0"/>
          <w:highlight w:val="yellow"/>
        </w:rPr>
        <w:t>」</w:t>
      </w:r>
      <w:r w:rsidRPr="00412A9C">
        <w:rPr>
          <w:rStyle w:val="byline"/>
          <w:rFonts w:eastAsia="標楷體"/>
          <w:color w:val="auto"/>
          <w:sz w:val="22"/>
          <w:szCs w:val="22"/>
        </w:rPr>
        <w:t>者，宗別有四：</w:t>
      </w:r>
      <w:r w:rsidRPr="00412A9C">
        <w:rPr>
          <w:rStyle w:val="byline"/>
          <w:rFonts w:eastAsia="標楷體"/>
          <w:b/>
          <w:color w:val="auto"/>
          <w:sz w:val="22"/>
          <w:szCs w:val="22"/>
        </w:rPr>
        <w:t>一、</w:t>
      </w:r>
      <w:r w:rsidR="00F4755F">
        <w:rPr>
          <w:rFonts w:ascii="標楷體" w:eastAsia="標楷體" w:hAnsi="標楷體" w:hint="eastAsia"/>
          <w:bCs/>
          <w:color w:val="FF0000"/>
          <w:kern w:val="0"/>
          <w:highlight w:val="yellow"/>
        </w:rPr>
        <w:t>「</w:t>
      </w:r>
      <w:r w:rsidRPr="00412A9C">
        <w:rPr>
          <w:rStyle w:val="byline"/>
          <w:rFonts w:eastAsia="標楷體"/>
          <w:b/>
          <w:color w:val="auto"/>
          <w:sz w:val="22"/>
          <w:szCs w:val="22"/>
        </w:rPr>
        <w:t>立性宗</w:t>
      </w:r>
      <w:r w:rsidR="00F4755F">
        <w:rPr>
          <w:rFonts w:ascii="標楷體" w:eastAsia="標楷體" w:hAnsi="標楷體" w:hint="eastAsia"/>
          <w:bCs/>
          <w:color w:val="FF0000"/>
          <w:kern w:val="0"/>
          <w:highlight w:val="yellow"/>
        </w:rPr>
        <w:t>」，</w:t>
      </w:r>
      <w:r w:rsidRPr="00412A9C">
        <w:rPr>
          <w:rStyle w:val="byline"/>
          <w:rFonts w:eastAsia="標楷體"/>
          <w:b/>
          <w:color w:val="auto"/>
          <w:sz w:val="22"/>
          <w:szCs w:val="22"/>
        </w:rPr>
        <w:t>亦名</w:t>
      </w:r>
      <w:r w:rsidR="00F4755F">
        <w:rPr>
          <w:rFonts w:ascii="標楷體" w:eastAsia="標楷體" w:hAnsi="標楷體" w:hint="eastAsia"/>
          <w:bCs/>
          <w:color w:val="FF0000"/>
          <w:kern w:val="0"/>
          <w:highlight w:val="yellow"/>
        </w:rPr>
        <w:t>「</w:t>
      </w:r>
      <w:r w:rsidRPr="00412A9C">
        <w:rPr>
          <w:rStyle w:val="byline"/>
          <w:rFonts w:eastAsia="標楷體"/>
          <w:b/>
          <w:color w:val="auto"/>
          <w:sz w:val="22"/>
          <w:szCs w:val="22"/>
        </w:rPr>
        <w:t>因緣</w:t>
      </w:r>
      <w:r w:rsidR="00F4755F">
        <w:rPr>
          <w:rFonts w:ascii="標楷體" w:eastAsia="標楷體" w:hAnsi="標楷體" w:hint="eastAsia"/>
          <w:bCs/>
          <w:color w:val="FF0000"/>
          <w:kern w:val="0"/>
          <w:highlight w:val="yellow"/>
        </w:rPr>
        <w:t>」</w:t>
      </w:r>
      <w:r w:rsidR="00F4755F">
        <w:rPr>
          <w:rFonts w:ascii="標楷體" w:eastAsia="標楷體" w:hAnsi="標楷體" w:hint="eastAsia"/>
          <w:color w:val="FF0000"/>
          <w:spacing w:val="-4"/>
          <w:kern w:val="0"/>
          <w:highlight w:val="yellow"/>
        </w:rPr>
        <w:t>；</w:t>
      </w:r>
      <w:r w:rsidRPr="00412A9C">
        <w:rPr>
          <w:rStyle w:val="byline"/>
          <w:rFonts w:eastAsia="標楷體"/>
          <w:b/>
          <w:color w:val="auto"/>
          <w:sz w:val="22"/>
          <w:szCs w:val="22"/>
        </w:rPr>
        <w:t>二、</w:t>
      </w:r>
      <w:r w:rsidR="00F4755F">
        <w:rPr>
          <w:rFonts w:ascii="標楷體" w:eastAsia="標楷體" w:hAnsi="標楷體" w:hint="eastAsia"/>
          <w:bCs/>
          <w:color w:val="FF0000"/>
          <w:kern w:val="0"/>
          <w:highlight w:val="yellow"/>
        </w:rPr>
        <w:t>「</w:t>
      </w:r>
      <w:r w:rsidRPr="00412A9C">
        <w:rPr>
          <w:rStyle w:val="byline"/>
          <w:rFonts w:eastAsia="標楷體"/>
          <w:b/>
          <w:color w:val="auto"/>
          <w:sz w:val="22"/>
          <w:szCs w:val="22"/>
        </w:rPr>
        <w:t>破性宗</w:t>
      </w:r>
      <w:r w:rsidR="00F4755F">
        <w:rPr>
          <w:rFonts w:ascii="標楷體" w:eastAsia="標楷體" w:hAnsi="標楷體" w:hint="eastAsia"/>
          <w:bCs/>
          <w:color w:val="FF0000"/>
          <w:kern w:val="0"/>
          <w:highlight w:val="yellow"/>
        </w:rPr>
        <w:t>」，</w:t>
      </w:r>
      <w:r w:rsidRPr="00412A9C">
        <w:rPr>
          <w:rStyle w:val="byline"/>
          <w:rFonts w:eastAsia="標楷體"/>
          <w:b/>
          <w:color w:val="auto"/>
          <w:sz w:val="22"/>
          <w:szCs w:val="22"/>
        </w:rPr>
        <w:t>亦曰</w:t>
      </w:r>
      <w:r w:rsidR="00F4755F">
        <w:rPr>
          <w:rFonts w:ascii="標楷體" w:eastAsia="標楷體" w:hAnsi="標楷體" w:hint="eastAsia"/>
          <w:bCs/>
          <w:color w:val="FF0000"/>
          <w:kern w:val="0"/>
          <w:highlight w:val="yellow"/>
        </w:rPr>
        <w:t>「</w:t>
      </w:r>
      <w:r w:rsidRPr="00412A9C">
        <w:rPr>
          <w:rStyle w:val="byline"/>
          <w:rFonts w:eastAsia="標楷體"/>
          <w:b/>
          <w:color w:val="auto"/>
          <w:sz w:val="22"/>
          <w:szCs w:val="22"/>
        </w:rPr>
        <w:t>假名</w:t>
      </w:r>
      <w:r w:rsidR="00F4755F">
        <w:rPr>
          <w:rFonts w:ascii="標楷體" w:eastAsia="標楷體" w:hAnsi="標楷體" w:hint="eastAsia"/>
          <w:bCs/>
          <w:color w:val="FF0000"/>
          <w:kern w:val="0"/>
          <w:highlight w:val="yellow"/>
        </w:rPr>
        <w:t>」</w:t>
      </w:r>
      <w:r w:rsidR="00F4755F">
        <w:rPr>
          <w:rFonts w:ascii="標楷體" w:eastAsia="標楷體" w:hAnsi="標楷體" w:hint="eastAsia"/>
          <w:color w:val="FF0000"/>
          <w:spacing w:val="-4"/>
          <w:kern w:val="0"/>
          <w:highlight w:val="yellow"/>
        </w:rPr>
        <w:t>；</w:t>
      </w:r>
      <w:r w:rsidRPr="00412A9C">
        <w:rPr>
          <w:rStyle w:val="byline"/>
          <w:rFonts w:eastAsia="標楷體"/>
          <w:b/>
          <w:color w:val="auto"/>
          <w:sz w:val="22"/>
          <w:szCs w:val="22"/>
        </w:rPr>
        <w:t>三、</w:t>
      </w:r>
      <w:r w:rsidR="00F4755F">
        <w:rPr>
          <w:rFonts w:ascii="標楷體" w:eastAsia="標楷體" w:hAnsi="標楷體" w:hint="eastAsia"/>
          <w:bCs/>
          <w:color w:val="FF0000"/>
          <w:kern w:val="0"/>
          <w:highlight w:val="yellow"/>
        </w:rPr>
        <w:t>「</w:t>
      </w:r>
      <w:r w:rsidRPr="00412A9C">
        <w:rPr>
          <w:rStyle w:val="byline"/>
          <w:rFonts w:eastAsia="標楷體"/>
          <w:b/>
          <w:color w:val="auto"/>
          <w:sz w:val="22"/>
          <w:szCs w:val="22"/>
        </w:rPr>
        <w:t>破相</w:t>
      </w:r>
      <w:r w:rsidRPr="000C6D5D">
        <w:rPr>
          <w:rStyle w:val="byline"/>
          <w:rFonts w:eastAsia="標楷體"/>
          <w:b/>
          <w:color w:val="auto"/>
          <w:sz w:val="22"/>
          <w:szCs w:val="22"/>
        </w:rPr>
        <w:t>宗</w:t>
      </w:r>
      <w:r w:rsidR="00F4755F">
        <w:rPr>
          <w:rFonts w:ascii="標楷體" w:eastAsia="標楷體" w:hAnsi="標楷體" w:hint="eastAsia"/>
          <w:bCs/>
          <w:color w:val="FF0000"/>
          <w:kern w:val="0"/>
          <w:highlight w:val="yellow"/>
        </w:rPr>
        <w:t>」，</w:t>
      </w:r>
      <w:r w:rsidRPr="000C6D5D">
        <w:rPr>
          <w:rStyle w:val="byline"/>
          <w:rFonts w:eastAsia="標楷體"/>
          <w:b/>
          <w:color w:val="auto"/>
          <w:sz w:val="22"/>
          <w:szCs w:val="22"/>
        </w:rPr>
        <w:t>亦名</w:t>
      </w:r>
      <w:r w:rsidR="00F4755F">
        <w:rPr>
          <w:rFonts w:ascii="標楷體" w:eastAsia="標楷體" w:hAnsi="標楷體" w:hint="eastAsia"/>
          <w:bCs/>
          <w:color w:val="FF0000"/>
          <w:kern w:val="0"/>
          <w:highlight w:val="yellow"/>
        </w:rPr>
        <w:t>「</w:t>
      </w:r>
      <w:r w:rsidRPr="000C6D5D">
        <w:rPr>
          <w:rStyle w:val="byline"/>
          <w:rFonts w:eastAsia="標楷體"/>
          <w:b/>
          <w:color w:val="auto"/>
          <w:sz w:val="22"/>
          <w:szCs w:val="22"/>
        </w:rPr>
        <w:t>不真</w:t>
      </w:r>
      <w:r w:rsidR="00F4755F">
        <w:rPr>
          <w:rFonts w:ascii="標楷體" w:eastAsia="標楷體" w:hAnsi="標楷體" w:hint="eastAsia"/>
          <w:bCs/>
          <w:color w:val="FF0000"/>
          <w:kern w:val="0"/>
          <w:highlight w:val="yellow"/>
        </w:rPr>
        <w:t>」</w:t>
      </w:r>
      <w:r w:rsidR="00F4755F">
        <w:rPr>
          <w:rFonts w:ascii="標楷體" w:eastAsia="標楷體" w:hAnsi="標楷體" w:hint="eastAsia"/>
          <w:color w:val="FF0000"/>
          <w:spacing w:val="-4"/>
          <w:kern w:val="0"/>
          <w:highlight w:val="yellow"/>
        </w:rPr>
        <w:t>；</w:t>
      </w:r>
      <w:r w:rsidRPr="000C6D5D">
        <w:rPr>
          <w:rStyle w:val="byline"/>
          <w:rFonts w:eastAsia="標楷體"/>
          <w:b/>
          <w:color w:val="auto"/>
          <w:sz w:val="22"/>
          <w:szCs w:val="22"/>
        </w:rPr>
        <w:t>四、</w:t>
      </w:r>
      <w:r w:rsidR="00F4755F">
        <w:rPr>
          <w:rFonts w:ascii="標楷體" w:eastAsia="標楷體" w:hAnsi="標楷體" w:hint="eastAsia"/>
          <w:bCs/>
          <w:color w:val="FF0000"/>
          <w:kern w:val="0"/>
          <w:highlight w:val="yellow"/>
        </w:rPr>
        <w:t>「</w:t>
      </w:r>
      <w:r w:rsidRPr="000C6D5D">
        <w:rPr>
          <w:rStyle w:val="byline"/>
          <w:rFonts w:eastAsia="標楷體"/>
          <w:b/>
          <w:color w:val="auto"/>
          <w:sz w:val="22"/>
          <w:szCs w:val="22"/>
        </w:rPr>
        <w:t>顯實宗</w:t>
      </w:r>
      <w:r w:rsidR="00F4755F">
        <w:rPr>
          <w:rFonts w:ascii="標楷體" w:eastAsia="標楷體" w:hAnsi="標楷體" w:hint="eastAsia"/>
          <w:bCs/>
          <w:color w:val="FF0000"/>
          <w:kern w:val="0"/>
          <w:highlight w:val="yellow"/>
        </w:rPr>
        <w:t>」，</w:t>
      </w:r>
      <w:r w:rsidRPr="000C6D5D">
        <w:rPr>
          <w:rStyle w:val="byline"/>
          <w:rFonts w:eastAsia="標楷體"/>
          <w:b/>
          <w:color w:val="auto"/>
          <w:sz w:val="22"/>
          <w:szCs w:val="22"/>
        </w:rPr>
        <w:t>亦曰</w:t>
      </w:r>
      <w:r w:rsidR="00F4755F">
        <w:rPr>
          <w:rFonts w:ascii="標楷體" w:eastAsia="標楷體" w:hAnsi="標楷體" w:hint="eastAsia"/>
          <w:bCs/>
          <w:color w:val="FF0000"/>
          <w:kern w:val="0"/>
          <w:highlight w:val="yellow"/>
        </w:rPr>
        <w:t>「</w:t>
      </w:r>
      <w:r w:rsidRPr="000C6D5D">
        <w:rPr>
          <w:rStyle w:val="byline"/>
          <w:rFonts w:eastAsia="標楷體"/>
          <w:b/>
          <w:color w:val="auto"/>
          <w:sz w:val="22"/>
          <w:szCs w:val="22"/>
        </w:rPr>
        <w:t>真宗</w:t>
      </w:r>
      <w:r w:rsidR="00F4755F">
        <w:rPr>
          <w:rFonts w:ascii="標楷體" w:eastAsia="標楷體" w:hAnsi="標楷體" w:hint="eastAsia"/>
          <w:bCs/>
          <w:color w:val="FF0000"/>
          <w:kern w:val="0"/>
          <w:highlight w:val="yellow"/>
        </w:rPr>
        <w:t>」</w:t>
      </w:r>
      <w:r w:rsidRPr="000C6D5D">
        <w:rPr>
          <w:rStyle w:val="byline"/>
          <w:rFonts w:eastAsia="標楷體"/>
          <w:b/>
          <w:color w:val="auto"/>
          <w:sz w:val="22"/>
          <w:szCs w:val="22"/>
        </w:rPr>
        <w:t>。</w:t>
      </w:r>
      <w:r w:rsidRPr="000C6D5D">
        <w:rPr>
          <w:rStyle w:val="byline"/>
          <w:rFonts w:eastAsia="標楷體"/>
          <w:color w:val="auto"/>
          <w:sz w:val="22"/>
          <w:szCs w:val="22"/>
        </w:rPr>
        <w:t>此四乃是望義名法，經論無名</w:t>
      </w:r>
      <w:r w:rsidRPr="000C6D5D">
        <w:rPr>
          <w:rStyle w:val="byline"/>
          <w:rFonts w:eastAsia="標楷體" w:hint="eastAsia"/>
          <w:color w:val="auto"/>
          <w:sz w:val="22"/>
          <w:szCs w:val="22"/>
        </w:rPr>
        <w:t>。</w:t>
      </w:r>
      <w:r w:rsidRPr="000C6D5D">
        <w:rPr>
          <w:rStyle w:val="byline"/>
          <w:rFonts w:eastAsia="標楷體"/>
          <w:color w:val="auto"/>
          <w:sz w:val="22"/>
          <w:szCs w:val="22"/>
        </w:rPr>
        <w:t>經論之中，雖無此名，實有此義。四中</w:t>
      </w:r>
      <w:r w:rsidR="00F4755F">
        <w:rPr>
          <w:rFonts w:ascii="標楷體" w:eastAsia="標楷體" w:hAnsi="標楷體" w:hint="eastAsia"/>
          <w:color w:val="FF0000"/>
          <w:kern w:val="0"/>
          <w:highlight w:val="yellow"/>
        </w:rPr>
        <w:t>，</w:t>
      </w:r>
      <w:r w:rsidRPr="000C6D5D">
        <w:rPr>
          <w:rStyle w:val="byline"/>
          <w:rFonts w:eastAsia="標楷體"/>
          <w:color w:val="auto"/>
          <w:sz w:val="22"/>
          <w:szCs w:val="22"/>
        </w:rPr>
        <w:t>前二是其小乘，後二大乘</w:t>
      </w:r>
      <w:r w:rsidR="00F4755F">
        <w:rPr>
          <w:rFonts w:ascii="標楷體" w:eastAsia="標楷體" w:hAnsi="標楷體" w:hint="eastAsia"/>
          <w:color w:val="FF0000"/>
          <w:spacing w:val="-4"/>
          <w:kern w:val="0"/>
          <w:highlight w:val="yellow"/>
        </w:rPr>
        <w:t>；</w:t>
      </w:r>
      <w:r w:rsidRPr="000C6D5D">
        <w:rPr>
          <w:rStyle w:val="byline"/>
          <w:rFonts w:eastAsia="標楷體"/>
          <w:color w:val="auto"/>
          <w:sz w:val="22"/>
          <w:szCs w:val="22"/>
        </w:rPr>
        <w:t>大小之中各分淺深，故有四也。</w:t>
      </w:r>
    </w:p>
    <w:p w:rsidR="00380176" w:rsidRPr="000C6D5D" w:rsidRDefault="00380176" w:rsidP="00AE3920">
      <w:pPr>
        <w:pStyle w:val="a5"/>
        <w:spacing w:beforeLines="20"/>
        <w:ind w:leftChars="305" w:left="732"/>
        <w:jc w:val="both"/>
        <w:rPr>
          <w:rStyle w:val="byline"/>
          <w:rFonts w:eastAsia="標楷體"/>
          <w:color w:val="auto"/>
          <w:sz w:val="22"/>
          <w:szCs w:val="22"/>
        </w:rPr>
      </w:pPr>
      <w:r w:rsidRPr="000C6D5D">
        <w:rPr>
          <w:rStyle w:val="byline"/>
          <w:rFonts w:eastAsia="標楷體"/>
          <w:color w:val="auto"/>
          <w:sz w:val="22"/>
          <w:szCs w:val="22"/>
        </w:rPr>
        <w:t>言</w:t>
      </w:r>
      <w:r w:rsidR="00F4755F">
        <w:rPr>
          <w:rFonts w:ascii="標楷體" w:eastAsia="標楷體" w:hAnsi="標楷體" w:hint="eastAsia"/>
          <w:bCs/>
          <w:color w:val="FF0000"/>
          <w:kern w:val="0"/>
          <w:highlight w:val="yellow"/>
        </w:rPr>
        <w:t>「</w:t>
      </w:r>
      <w:r w:rsidRPr="000C6D5D">
        <w:rPr>
          <w:rStyle w:val="byline"/>
          <w:rFonts w:eastAsia="標楷體"/>
          <w:b/>
          <w:color w:val="auto"/>
          <w:sz w:val="22"/>
          <w:szCs w:val="22"/>
        </w:rPr>
        <w:t>立性</w:t>
      </w:r>
      <w:r w:rsidR="00F4755F">
        <w:rPr>
          <w:rFonts w:ascii="標楷體" w:eastAsia="標楷體" w:hAnsi="標楷體" w:hint="eastAsia"/>
          <w:bCs/>
          <w:color w:val="FF0000"/>
          <w:kern w:val="0"/>
          <w:highlight w:val="yellow"/>
        </w:rPr>
        <w:t>」</w:t>
      </w:r>
      <w:r w:rsidRPr="000C6D5D">
        <w:rPr>
          <w:rStyle w:val="byline"/>
          <w:rFonts w:eastAsia="標楷體"/>
          <w:color w:val="auto"/>
          <w:sz w:val="22"/>
          <w:szCs w:val="22"/>
        </w:rPr>
        <w:t>者</w:t>
      </w:r>
      <w:r w:rsidR="00F4755F">
        <w:rPr>
          <w:rFonts w:ascii="標楷體" w:eastAsia="標楷體" w:hAnsi="標楷體" w:hint="eastAsia"/>
          <w:color w:val="FF0000"/>
          <w:spacing w:val="-4"/>
          <w:kern w:val="0"/>
          <w:highlight w:val="yellow"/>
        </w:rPr>
        <w:t>：</w:t>
      </w:r>
      <w:r w:rsidRPr="000C6D5D">
        <w:rPr>
          <w:rStyle w:val="byline"/>
          <w:rFonts w:eastAsia="標楷體"/>
          <w:color w:val="auto"/>
          <w:sz w:val="22"/>
          <w:szCs w:val="22"/>
        </w:rPr>
        <w:t>小乘中淺</w:t>
      </w:r>
      <w:r w:rsidR="00E633DB">
        <w:rPr>
          <w:rFonts w:ascii="標楷體" w:eastAsia="標楷體" w:hAnsi="標楷體" w:hint="eastAsia"/>
          <w:color w:val="FF0000"/>
          <w:kern w:val="0"/>
          <w:highlight w:val="yellow"/>
        </w:rPr>
        <w:t>。</w:t>
      </w:r>
      <w:r w:rsidRPr="000C6D5D">
        <w:rPr>
          <w:rStyle w:val="byline"/>
          <w:rFonts w:eastAsia="標楷體"/>
          <w:color w:val="auto"/>
          <w:sz w:val="22"/>
          <w:szCs w:val="22"/>
        </w:rPr>
        <w:t>宣說諸法各有體性</w:t>
      </w:r>
      <w:r w:rsidR="00F4755F">
        <w:rPr>
          <w:rFonts w:ascii="標楷體" w:eastAsia="標楷體" w:hAnsi="標楷體" w:hint="eastAsia"/>
          <w:color w:val="FF0000"/>
          <w:spacing w:val="-4"/>
          <w:kern w:val="0"/>
          <w:highlight w:val="yellow"/>
        </w:rPr>
        <w:t>；</w:t>
      </w:r>
      <w:r w:rsidRPr="000C6D5D">
        <w:rPr>
          <w:rStyle w:val="byline"/>
          <w:rFonts w:eastAsia="標楷體"/>
          <w:color w:val="auto"/>
          <w:sz w:val="22"/>
          <w:szCs w:val="22"/>
        </w:rPr>
        <w:t>雖說有性，皆從緣生，不同外道立自然性</w:t>
      </w:r>
      <w:r w:rsidR="00F4755F">
        <w:rPr>
          <w:rFonts w:ascii="標楷體" w:eastAsia="標楷體" w:hAnsi="標楷體" w:hint="eastAsia"/>
          <w:color w:val="FF0000"/>
          <w:kern w:val="0"/>
          <w:highlight w:val="yellow"/>
        </w:rPr>
        <w:t>。</w:t>
      </w:r>
      <w:r w:rsidRPr="000C6D5D">
        <w:rPr>
          <w:rStyle w:val="byline"/>
          <w:rFonts w:eastAsia="標楷體"/>
          <w:b/>
          <w:color w:val="auto"/>
          <w:sz w:val="22"/>
          <w:szCs w:val="22"/>
        </w:rPr>
        <w:t>此宗當彼阿毘曇也</w:t>
      </w:r>
      <w:r w:rsidRPr="000C6D5D">
        <w:rPr>
          <w:rStyle w:val="byline"/>
          <w:rFonts w:eastAsia="標楷體"/>
          <w:color w:val="auto"/>
          <w:sz w:val="22"/>
          <w:szCs w:val="22"/>
        </w:rPr>
        <w:t>。</w:t>
      </w:r>
    </w:p>
    <w:p w:rsidR="00380176" w:rsidRPr="000C6D5D" w:rsidRDefault="00380176" w:rsidP="00AE3920">
      <w:pPr>
        <w:pStyle w:val="a5"/>
        <w:spacing w:beforeLines="20"/>
        <w:ind w:leftChars="305" w:left="732"/>
        <w:jc w:val="both"/>
        <w:rPr>
          <w:rStyle w:val="byline"/>
          <w:rFonts w:eastAsia="標楷體"/>
          <w:b/>
          <w:color w:val="auto"/>
          <w:sz w:val="22"/>
          <w:szCs w:val="22"/>
        </w:rPr>
      </w:pPr>
      <w:r w:rsidRPr="000C6D5D">
        <w:rPr>
          <w:rStyle w:val="byline"/>
          <w:rFonts w:eastAsia="標楷體"/>
          <w:color w:val="auto"/>
          <w:sz w:val="22"/>
          <w:szCs w:val="22"/>
        </w:rPr>
        <w:t>言</w:t>
      </w:r>
      <w:r w:rsidR="00F4755F">
        <w:rPr>
          <w:rFonts w:ascii="標楷體" w:eastAsia="標楷體" w:hAnsi="標楷體" w:hint="eastAsia"/>
          <w:bCs/>
          <w:color w:val="FF0000"/>
          <w:kern w:val="0"/>
          <w:highlight w:val="yellow"/>
        </w:rPr>
        <w:t>「</w:t>
      </w:r>
      <w:r w:rsidRPr="000C6D5D">
        <w:rPr>
          <w:rStyle w:val="byline"/>
          <w:rFonts w:eastAsia="標楷體"/>
          <w:b/>
          <w:color w:val="auto"/>
          <w:sz w:val="22"/>
          <w:szCs w:val="22"/>
        </w:rPr>
        <w:t>破性</w:t>
      </w:r>
      <w:r w:rsidR="00F4755F">
        <w:rPr>
          <w:rFonts w:ascii="標楷體" w:eastAsia="標楷體" w:hAnsi="標楷體" w:hint="eastAsia"/>
          <w:bCs/>
          <w:color w:val="FF0000"/>
          <w:kern w:val="0"/>
          <w:highlight w:val="yellow"/>
        </w:rPr>
        <w:t>」</w:t>
      </w:r>
      <w:r w:rsidRPr="000C6D5D">
        <w:rPr>
          <w:rStyle w:val="byline"/>
          <w:rFonts w:eastAsia="標楷體"/>
          <w:color w:val="auto"/>
          <w:sz w:val="22"/>
          <w:szCs w:val="22"/>
        </w:rPr>
        <w:t>者</w:t>
      </w:r>
      <w:r w:rsidR="00F4755F">
        <w:rPr>
          <w:rFonts w:ascii="標楷體" w:eastAsia="標楷體" w:hAnsi="標楷體" w:hint="eastAsia"/>
          <w:color w:val="FF0000"/>
          <w:spacing w:val="-4"/>
          <w:kern w:val="0"/>
          <w:highlight w:val="yellow"/>
        </w:rPr>
        <w:t>：</w:t>
      </w:r>
      <w:r w:rsidRPr="000C6D5D">
        <w:rPr>
          <w:rStyle w:val="byline"/>
          <w:rFonts w:eastAsia="標楷體"/>
          <w:color w:val="auto"/>
          <w:sz w:val="22"/>
          <w:szCs w:val="22"/>
        </w:rPr>
        <w:t>小乘中深</w:t>
      </w:r>
      <w:r w:rsidR="00E633DB">
        <w:rPr>
          <w:rFonts w:ascii="標楷體" w:eastAsia="標楷體" w:hAnsi="標楷體" w:hint="eastAsia"/>
          <w:color w:val="FF0000"/>
          <w:kern w:val="0"/>
          <w:highlight w:val="yellow"/>
        </w:rPr>
        <w:t>。</w:t>
      </w:r>
      <w:r w:rsidRPr="000C6D5D">
        <w:rPr>
          <w:rStyle w:val="byline"/>
          <w:rFonts w:eastAsia="標楷體"/>
          <w:color w:val="auto"/>
          <w:sz w:val="22"/>
          <w:szCs w:val="22"/>
        </w:rPr>
        <w:t>宣說諸法虛假無性，不同前宗立法自性</w:t>
      </w:r>
      <w:r w:rsidRPr="000C6D5D">
        <w:rPr>
          <w:rStyle w:val="byline"/>
          <w:rFonts w:eastAsia="標楷體" w:hint="eastAsia"/>
          <w:color w:val="auto"/>
          <w:sz w:val="22"/>
          <w:szCs w:val="22"/>
        </w:rPr>
        <w:t>；</w:t>
      </w:r>
      <w:r w:rsidRPr="000C6D5D">
        <w:rPr>
          <w:rStyle w:val="byline"/>
          <w:rFonts w:eastAsia="標楷體"/>
          <w:color w:val="auto"/>
          <w:sz w:val="22"/>
          <w:szCs w:val="22"/>
        </w:rPr>
        <w:t>法雖無性，不無假相</w:t>
      </w:r>
      <w:r w:rsidR="00F4755F">
        <w:rPr>
          <w:rFonts w:ascii="標楷體" w:eastAsia="標楷體" w:hAnsi="標楷體" w:hint="eastAsia"/>
          <w:color w:val="FF0000"/>
          <w:kern w:val="0"/>
          <w:highlight w:val="yellow"/>
        </w:rPr>
        <w:t>。</w:t>
      </w:r>
      <w:r w:rsidRPr="000C6D5D">
        <w:rPr>
          <w:rStyle w:val="byline"/>
          <w:rFonts w:eastAsia="標楷體"/>
          <w:b/>
          <w:color w:val="auto"/>
          <w:sz w:val="22"/>
          <w:szCs w:val="22"/>
        </w:rPr>
        <w:t>此宗當彼</w:t>
      </w:r>
      <w:r w:rsidRPr="000C6D5D">
        <w:rPr>
          <w:rStyle w:val="byline"/>
          <w:rFonts w:ascii="標楷體" w:eastAsia="標楷體" w:hAnsi="標楷體"/>
          <w:b/>
          <w:color w:val="auto"/>
          <w:sz w:val="22"/>
          <w:szCs w:val="22"/>
        </w:rPr>
        <w:t>《成實論》也</w:t>
      </w:r>
      <w:r w:rsidRPr="000C6D5D">
        <w:rPr>
          <w:rStyle w:val="byline"/>
          <w:rFonts w:eastAsia="標楷體"/>
          <w:b/>
          <w:color w:val="auto"/>
          <w:sz w:val="22"/>
          <w:szCs w:val="22"/>
        </w:rPr>
        <w:t>。</w:t>
      </w:r>
    </w:p>
    <w:p w:rsidR="00380176" w:rsidRPr="000C6D5D" w:rsidRDefault="00F4755F" w:rsidP="00AE3920">
      <w:pPr>
        <w:pStyle w:val="a5"/>
        <w:spacing w:beforeLines="20"/>
        <w:ind w:leftChars="305" w:left="732"/>
        <w:jc w:val="both"/>
        <w:rPr>
          <w:rStyle w:val="byline"/>
          <w:rFonts w:eastAsia="標楷體"/>
          <w:color w:val="auto"/>
          <w:sz w:val="22"/>
          <w:szCs w:val="22"/>
        </w:rPr>
      </w:pPr>
      <w:r>
        <w:rPr>
          <w:rFonts w:ascii="標楷體" w:eastAsia="標楷體" w:hAnsi="標楷體" w:hint="eastAsia"/>
          <w:bCs/>
          <w:color w:val="FF0000"/>
          <w:kern w:val="0"/>
          <w:highlight w:val="yellow"/>
        </w:rPr>
        <w:t>「</w:t>
      </w:r>
      <w:r w:rsidR="00380176" w:rsidRPr="000C6D5D">
        <w:rPr>
          <w:rStyle w:val="byline"/>
          <w:rFonts w:eastAsia="標楷體"/>
          <w:b/>
          <w:color w:val="auto"/>
          <w:sz w:val="22"/>
          <w:szCs w:val="22"/>
        </w:rPr>
        <w:t>破相宗</w:t>
      </w:r>
      <w:r>
        <w:rPr>
          <w:rFonts w:ascii="標楷體" w:eastAsia="標楷體" w:hAnsi="標楷體" w:hint="eastAsia"/>
          <w:bCs/>
          <w:color w:val="FF0000"/>
          <w:kern w:val="0"/>
          <w:highlight w:val="yellow"/>
        </w:rPr>
        <w:t>」</w:t>
      </w:r>
      <w:r w:rsidR="00380176" w:rsidRPr="000C6D5D">
        <w:rPr>
          <w:rStyle w:val="byline"/>
          <w:rFonts w:eastAsia="標楷體"/>
          <w:color w:val="auto"/>
          <w:sz w:val="22"/>
          <w:szCs w:val="22"/>
        </w:rPr>
        <w:t>者</w:t>
      </w:r>
      <w:r>
        <w:rPr>
          <w:rFonts w:ascii="標楷體" w:eastAsia="標楷體" w:hAnsi="標楷體" w:hint="eastAsia"/>
          <w:color w:val="FF0000"/>
          <w:spacing w:val="-4"/>
          <w:kern w:val="0"/>
          <w:highlight w:val="yellow"/>
        </w:rPr>
        <w:t>：</w:t>
      </w:r>
      <w:r w:rsidR="00380176" w:rsidRPr="000C6D5D">
        <w:rPr>
          <w:rStyle w:val="byline"/>
          <w:rFonts w:eastAsia="標楷體"/>
          <w:color w:val="auto"/>
          <w:sz w:val="22"/>
          <w:szCs w:val="22"/>
        </w:rPr>
        <w:t>大乘中淺</w:t>
      </w:r>
      <w:r w:rsidR="00E633DB">
        <w:rPr>
          <w:rFonts w:ascii="標楷體" w:eastAsia="標楷體" w:hAnsi="標楷體" w:hint="eastAsia"/>
          <w:color w:val="FF0000"/>
          <w:kern w:val="0"/>
          <w:highlight w:val="yellow"/>
        </w:rPr>
        <w:t>。</w:t>
      </w:r>
      <w:r w:rsidR="00380176" w:rsidRPr="000C6D5D">
        <w:rPr>
          <w:rStyle w:val="byline"/>
          <w:rFonts w:eastAsia="標楷體"/>
          <w:color w:val="auto"/>
          <w:sz w:val="22"/>
          <w:szCs w:val="22"/>
        </w:rPr>
        <w:t>明前宗中虛假之相亦無所有</w:t>
      </w:r>
      <w:r>
        <w:rPr>
          <w:rStyle w:val="byline"/>
          <w:rFonts w:eastAsia="標楷體" w:hint="eastAsia"/>
          <w:color w:val="auto"/>
          <w:sz w:val="22"/>
          <w:szCs w:val="22"/>
        </w:rPr>
        <w:t>。</w:t>
      </w:r>
      <w:r w:rsidR="00380176" w:rsidRPr="000C6D5D">
        <w:rPr>
          <w:rStyle w:val="byline"/>
          <w:rFonts w:eastAsia="標楷體"/>
          <w:color w:val="auto"/>
          <w:sz w:val="22"/>
          <w:szCs w:val="22"/>
        </w:rPr>
        <w:t>如人遠觀陽炎為水，近觀本無，不但無性，水相亦無；諸法像此</w:t>
      </w:r>
      <w:r w:rsidR="00623175">
        <w:rPr>
          <w:rStyle w:val="byline"/>
          <w:rFonts w:eastAsia="標楷體" w:hint="eastAsia"/>
          <w:color w:val="FF0000"/>
          <w:sz w:val="22"/>
          <w:szCs w:val="22"/>
          <w:highlight w:val="yellow"/>
        </w:rPr>
        <w:t>。</w:t>
      </w:r>
      <w:r w:rsidR="00380176" w:rsidRPr="000C6D5D">
        <w:rPr>
          <w:rStyle w:val="byline"/>
          <w:rFonts w:eastAsia="標楷體"/>
          <w:color w:val="auto"/>
          <w:sz w:val="22"/>
          <w:szCs w:val="22"/>
        </w:rPr>
        <w:t>雖說無相，未顯法實。</w:t>
      </w:r>
    </w:p>
    <w:p w:rsidR="00380176" w:rsidRPr="00412A9C" w:rsidRDefault="00F4755F" w:rsidP="00AE3920">
      <w:pPr>
        <w:pStyle w:val="a5"/>
        <w:spacing w:beforeLines="20"/>
        <w:ind w:leftChars="305" w:left="732"/>
        <w:jc w:val="both"/>
        <w:rPr>
          <w:rStyle w:val="byline"/>
          <w:rFonts w:eastAsia="標楷體"/>
          <w:color w:val="auto"/>
          <w:sz w:val="22"/>
          <w:szCs w:val="22"/>
        </w:rPr>
      </w:pPr>
      <w:r>
        <w:rPr>
          <w:rFonts w:ascii="標楷體" w:eastAsia="標楷體" w:hAnsi="標楷體" w:hint="eastAsia"/>
          <w:bCs/>
          <w:color w:val="FF0000"/>
          <w:kern w:val="0"/>
          <w:highlight w:val="yellow"/>
        </w:rPr>
        <w:t>「</w:t>
      </w:r>
      <w:r w:rsidR="00380176" w:rsidRPr="000C6D5D">
        <w:rPr>
          <w:rStyle w:val="byline"/>
          <w:rFonts w:eastAsia="標楷體"/>
          <w:b/>
          <w:color w:val="auto"/>
          <w:sz w:val="22"/>
          <w:szCs w:val="22"/>
        </w:rPr>
        <w:t>顯實宗</w:t>
      </w:r>
      <w:r>
        <w:rPr>
          <w:rFonts w:ascii="標楷體" w:eastAsia="標楷體" w:hAnsi="標楷體" w:hint="eastAsia"/>
          <w:bCs/>
          <w:color w:val="FF0000"/>
          <w:kern w:val="0"/>
          <w:highlight w:val="yellow"/>
        </w:rPr>
        <w:t>」</w:t>
      </w:r>
      <w:r w:rsidR="00380176" w:rsidRPr="000C6D5D">
        <w:rPr>
          <w:rStyle w:val="byline"/>
          <w:rFonts w:eastAsia="標楷體"/>
          <w:color w:val="auto"/>
          <w:sz w:val="22"/>
          <w:szCs w:val="22"/>
        </w:rPr>
        <w:t>者</w:t>
      </w:r>
      <w:r>
        <w:rPr>
          <w:rFonts w:ascii="標楷體" w:eastAsia="標楷體" w:hAnsi="標楷體" w:hint="eastAsia"/>
          <w:color w:val="FF0000"/>
          <w:spacing w:val="-4"/>
          <w:kern w:val="0"/>
          <w:highlight w:val="yellow"/>
        </w:rPr>
        <w:t>：</w:t>
      </w:r>
      <w:r w:rsidR="00380176" w:rsidRPr="000C6D5D">
        <w:rPr>
          <w:rStyle w:val="byline"/>
          <w:rFonts w:eastAsia="標楷體"/>
          <w:color w:val="auto"/>
          <w:sz w:val="22"/>
          <w:szCs w:val="22"/>
        </w:rPr>
        <w:t>大乘中深</w:t>
      </w:r>
      <w:r w:rsidR="00E633DB">
        <w:rPr>
          <w:rFonts w:ascii="標楷體" w:eastAsia="標楷體" w:hAnsi="標楷體" w:hint="eastAsia"/>
          <w:color w:val="FF0000"/>
          <w:kern w:val="0"/>
          <w:highlight w:val="yellow"/>
        </w:rPr>
        <w:t>。</w:t>
      </w:r>
      <w:r w:rsidR="00380176" w:rsidRPr="000C6D5D">
        <w:rPr>
          <w:rStyle w:val="byline"/>
          <w:rFonts w:eastAsia="標楷體"/>
          <w:color w:val="auto"/>
          <w:sz w:val="22"/>
          <w:szCs w:val="22"/>
        </w:rPr>
        <w:t>宣說諸法妄想故有，妄想無體，起必託真</w:t>
      </w:r>
      <w:r w:rsidR="00380176" w:rsidRPr="000C6D5D">
        <w:rPr>
          <w:rStyle w:val="byline"/>
          <w:rFonts w:eastAsia="標楷體" w:hint="eastAsia"/>
          <w:color w:val="auto"/>
          <w:sz w:val="22"/>
          <w:szCs w:val="22"/>
        </w:rPr>
        <w:t>。</w:t>
      </w:r>
      <w:r w:rsidR="00623175">
        <w:rPr>
          <w:rFonts w:ascii="標楷體" w:eastAsia="標楷體" w:hAnsi="標楷體" w:hint="eastAsia"/>
          <w:bCs/>
          <w:color w:val="FF0000"/>
          <w:kern w:val="0"/>
          <w:highlight w:val="yellow"/>
        </w:rPr>
        <w:t>「</w:t>
      </w:r>
      <w:r w:rsidR="00380176" w:rsidRPr="000C6D5D">
        <w:rPr>
          <w:rStyle w:val="byline"/>
          <w:rFonts w:eastAsia="標楷體"/>
          <w:color w:val="auto"/>
          <w:sz w:val="22"/>
          <w:szCs w:val="22"/>
        </w:rPr>
        <w:t>真</w:t>
      </w:r>
      <w:r w:rsidR="00623175">
        <w:rPr>
          <w:rFonts w:ascii="標楷體" w:eastAsia="標楷體" w:hAnsi="標楷體" w:hint="eastAsia"/>
          <w:bCs/>
          <w:color w:val="FF0000"/>
          <w:kern w:val="0"/>
          <w:highlight w:val="yellow"/>
        </w:rPr>
        <w:t>」</w:t>
      </w:r>
      <w:r w:rsidR="00380176" w:rsidRPr="000C6D5D">
        <w:rPr>
          <w:rStyle w:val="byline"/>
          <w:rFonts w:eastAsia="標楷體"/>
          <w:color w:val="auto"/>
          <w:sz w:val="22"/>
          <w:szCs w:val="22"/>
        </w:rPr>
        <w:t>者</w:t>
      </w:r>
      <w:r w:rsidR="00623175">
        <w:rPr>
          <w:rFonts w:ascii="標楷體" w:eastAsia="標楷體" w:hAnsi="標楷體" w:hint="eastAsia"/>
          <w:color w:val="FF0000"/>
          <w:kern w:val="0"/>
          <w:highlight w:val="yellow"/>
        </w:rPr>
        <w:t>，</w:t>
      </w:r>
      <w:r w:rsidR="00380176" w:rsidRPr="000C6D5D">
        <w:rPr>
          <w:rStyle w:val="byline"/>
          <w:rFonts w:eastAsia="標楷體"/>
          <w:color w:val="auto"/>
          <w:sz w:val="22"/>
          <w:szCs w:val="22"/>
        </w:rPr>
        <w:t>所謂如來藏</w:t>
      </w:r>
      <w:r w:rsidR="00380176" w:rsidRPr="00412A9C">
        <w:rPr>
          <w:rStyle w:val="byline"/>
          <w:rFonts w:eastAsia="標楷體"/>
          <w:color w:val="auto"/>
          <w:sz w:val="22"/>
          <w:szCs w:val="22"/>
        </w:rPr>
        <w:t>性</w:t>
      </w:r>
      <w:r w:rsidR="00623175">
        <w:rPr>
          <w:rStyle w:val="byline"/>
          <w:rFonts w:eastAsia="標楷體" w:hint="eastAsia"/>
          <w:color w:val="FF0000"/>
          <w:sz w:val="22"/>
          <w:szCs w:val="22"/>
          <w:highlight w:val="yellow"/>
        </w:rPr>
        <w:t>；</w:t>
      </w:r>
      <w:r w:rsidR="00380176" w:rsidRPr="00412A9C">
        <w:rPr>
          <w:rStyle w:val="byline"/>
          <w:rFonts w:eastAsia="標楷體"/>
          <w:color w:val="auto"/>
          <w:sz w:val="22"/>
          <w:szCs w:val="22"/>
        </w:rPr>
        <w:t>恒沙佛法，同體緣集，不離、不脫、不斷、不異</w:t>
      </w:r>
      <w:r w:rsidR="00623175">
        <w:rPr>
          <w:rStyle w:val="byline"/>
          <w:rFonts w:eastAsia="標楷體" w:hint="eastAsia"/>
          <w:color w:val="FF0000"/>
          <w:sz w:val="22"/>
          <w:szCs w:val="22"/>
          <w:highlight w:val="yellow"/>
        </w:rPr>
        <w:t>。</w:t>
      </w:r>
      <w:r w:rsidR="00380176" w:rsidRPr="00412A9C">
        <w:rPr>
          <w:rStyle w:val="byline"/>
          <w:rFonts w:eastAsia="標楷體"/>
          <w:color w:val="auto"/>
          <w:sz w:val="22"/>
          <w:szCs w:val="22"/>
        </w:rPr>
        <w:t>此之真性緣起，集成生死、涅槃</w:t>
      </w:r>
      <w:r>
        <w:rPr>
          <w:rFonts w:ascii="標楷體" w:eastAsia="標楷體" w:hAnsi="標楷體" w:hint="eastAsia"/>
          <w:color w:val="FF0000"/>
          <w:spacing w:val="-4"/>
          <w:kern w:val="0"/>
          <w:highlight w:val="yellow"/>
        </w:rPr>
        <w:t>；</w:t>
      </w:r>
      <w:r w:rsidR="00380176" w:rsidRPr="00412A9C">
        <w:rPr>
          <w:rStyle w:val="byline"/>
          <w:rFonts w:eastAsia="標楷體"/>
          <w:color w:val="auto"/>
          <w:sz w:val="22"/>
          <w:szCs w:val="22"/>
        </w:rPr>
        <w:t>真所集故，無不真實。辨此實性，故曰</w:t>
      </w:r>
      <w:r>
        <w:rPr>
          <w:rFonts w:ascii="標楷體" w:eastAsia="標楷體" w:hAnsi="標楷體" w:hint="eastAsia"/>
          <w:bCs/>
          <w:color w:val="FF0000"/>
          <w:kern w:val="0"/>
          <w:highlight w:val="yellow"/>
        </w:rPr>
        <w:t>「</w:t>
      </w:r>
      <w:r w:rsidR="00380176" w:rsidRPr="00412A9C">
        <w:rPr>
          <w:rStyle w:val="byline"/>
          <w:rFonts w:eastAsia="標楷體"/>
          <w:color w:val="auto"/>
          <w:sz w:val="22"/>
          <w:szCs w:val="22"/>
        </w:rPr>
        <w:t>真宗</w:t>
      </w:r>
      <w:r>
        <w:rPr>
          <w:rFonts w:ascii="標楷體" w:eastAsia="標楷體" w:hAnsi="標楷體" w:hint="eastAsia"/>
          <w:bCs/>
          <w:color w:val="FF0000"/>
          <w:kern w:val="0"/>
          <w:highlight w:val="yellow"/>
        </w:rPr>
        <w:t>」</w:t>
      </w:r>
      <w:r w:rsidR="00380176" w:rsidRPr="00412A9C">
        <w:rPr>
          <w:rStyle w:val="byline"/>
          <w:rFonts w:eastAsia="標楷體"/>
          <w:color w:val="auto"/>
          <w:sz w:val="22"/>
          <w:szCs w:val="22"/>
        </w:rPr>
        <w:t>。</w:t>
      </w:r>
    </w:p>
    <w:p w:rsidR="00380176" w:rsidRPr="00412A9C" w:rsidRDefault="00380176" w:rsidP="00380176">
      <w:pPr>
        <w:pStyle w:val="a5"/>
        <w:ind w:leftChars="305" w:left="732"/>
        <w:jc w:val="both"/>
        <w:rPr>
          <w:rStyle w:val="byline"/>
          <w:color w:val="auto"/>
          <w:sz w:val="22"/>
          <w:szCs w:val="22"/>
        </w:rPr>
      </w:pPr>
      <w:r w:rsidRPr="00412A9C">
        <w:rPr>
          <w:rStyle w:val="byline"/>
          <w:rFonts w:eastAsia="標楷體"/>
          <w:color w:val="auto"/>
          <w:sz w:val="22"/>
          <w:szCs w:val="22"/>
        </w:rPr>
        <w:t>此四宗中</w:t>
      </w:r>
      <w:r w:rsidR="00F4755F">
        <w:rPr>
          <w:rFonts w:ascii="標楷體" w:eastAsia="標楷體" w:hAnsi="標楷體" w:hint="eastAsia"/>
          <w:color w:val="FF0000"/>
          <w:kern w:val="0"/>
          <w:highlight w:val="yellow"/>
        </w:rPr>
        <w:t>，</w:t>
      </w:r>
      <w:r w:rsidRPr="00412A9C">
        <w:rPr>
          <w:rStyle w:val="byline"/>
          <w:rFonts w:eastAsia="標楷體"/>
          <w:color w:val="auto"/>
          <w:sz w:val="22"/>
          <w:szCs w:val="22"/>
        </w:rPr>
        <w:t>別乃無量</w:t>
      </w:r>
      <w:r w:rsidRPr="00412A9C">
        <w:rPr>
          <w:rStyle w:val="byline"/>
          <w:rFonts w:eastAsia="標楷體" w:hint="eastAsia"/>
          <w:color w:val="auto"/>
          <w:sz w:val="22"/>
          <w:szCs w:val="22"/>
        </w:rPr>
        <w:t>，</w:t>
      </w:r>
      <w:r w:rsidRPr="00412A9C">
        <w:rPr>
          <w:rStyle w:val="byline"/>
          <w:rFonts w:eastAsia="標楷體"/>
          <w:color w:val="auto"/>
          <w:sz w:val="22"/>
          <w:szCs w:val="22"/>
        </w:rPr>
        <w:t>且據斯義以別宗耳。</w:t>
      </w:r>
    </w:p>
    <w:p w:rsidR="00380176" w:rsidRPr="00412A9C" w:rsidRDefault="00380176" w:rsidP="00380176">
      <w:pPr>
        <w:pStyle w:val="a5"/>
        <w:ind w:leftChars="80" w:left="731" w:hangingChars="245" w:hanging="539"/>
        <w:jc w:val="both"/>
        <w:rPr>
          <w:szCs w:val="22"/>
        </w:rPr>
      </w:pPr>
      <w:r w:rsidRPr="00412A9C">
        <w:rPr>
          <w:rStyle w:val="byline"/>
          <w:rFonts w:hint="eastAsia"/>
          <w:color w:val="auto"/>
          <w:sz w:val="22"/>
          <w:szCs w:val="22"/>
        </w:rPr>
        <w:t>（</w:t>
      </w:r>
      <w:r w:rsidRPr="00761EF3">
        <w:rPr>
          <w:rStyle w:val="byline"/>
          <w:color w:val="auto"/>
          <w:sz w:val="22"/>
          <w:szCs w:val="22"/>
        </w:rPr>
        <w:t>2</w:t>
      </w:r>
      <w:r w:rsidRPr="00412A9C">
        <w:rPr>
          <w:rStyle w:val="byline"/>
          <w:rFonts w:hint="eastAsia"/>
          <w:color w:val="auto"/>
          <w:sz w:val="22"/>
          <w:szCs w:val="22"/>
        </w:rPr>
        <w:t>）〔隋〕</w:t>
      </w:r>
      <w:r w:rsidRPr="00412A9C">
        <w:rPr>
          <w:rStyle w:val="byline"/>
          <w:color w:val="auto"/>
          <w:sz w:val="22"/>
          <w:szCs w:val="22"/>
        </w:rPr>
        <w:t>吉藏撰</w:t>
      </w:r>
      <w:r w:rsidRPr="00412A9C">
        <w:rPr>
          <w:szCs w:val="22"/>
        </w:rPr>
        <w:t>，《中觀論疏》卷</w:t>
      </w:r>
      <w:r w:rsidRPr="00761EF3">
        <w:rPr>
          <w:szCs w:val="22"/>
        </w:rPr>
        <w:t>1</w:t>
      </w:r>
      <w:r w:rsidRPr="00412A9C">
        <w:rPr>
          <w:szCs w:val="22"/>
        </w:rPr>
        <w:t>（大正</w:t>
      </w:r>
      <w:r w:rsidRPr="00761EF3">
        <w:rPr>
          <w:szCs w:val="22"/>
        </w:rPr>
        <w:t>42</w:t>
      </w:r>
      <w:r w:rsidRPr="00412A9C">
        <w:rPr>
          <w:szCs w:val="22"/>
        </w:rPr>
        <w:t>，</w:t>
      </w:r>
      <w:r w:rsidRPr="00761EF3">
        <w:rPr>
          <w:szCs w:val="22"/>
        </w:rPr>
        <w:t>7b4</w:t>
      </w:r>
      <w:r w:rsidRPr="00412A9C">
        <w:rPr>
          <w:szCs w:val="22"/>
        </w:rPr>
        <w:t>-</w:t>
      </w:r>
      <w:r w:rsidRPr="00761EF3">
        <w:rPr>
          <w:szCs w:val="22"/>
        </w:rPr>
        <w:t>6</w:t>
      </w:r>
      <w:r w:rsidRPr="00412A9C">
        <w:rPr>
          <w:szCs w:val="22"/>
        </w:rPr>
        <w:t>）：</w:t>
      </w:r>
    </w:p>
    <w:p w:rsidR="00380176" w:rsidRPr="00412A9C" w:rsidRDefault="00380176" w:rsidP="00380176">
      <w:pPr>
        <w:pStyle w:val="a5"/>
        <w:ind w:leftChars="305" w:left="732"/>
        <w:jc w:val="both"/>
        <w:rPr>
          <w:rStyle w:val="old"/>
          <w:color w:val="auto"/>
          <w:szCs w:val="22"/>
        </w:rPr>
      </w:pPr>
      <w:r w:rsidRPr="00412A9C">
        <w:rPr>
          <w:rFonts w:eastAsia="標楷體"/>
          <w:szCs w:val="22"/>
        </w:rPr>
        <w:t>如</w:t>
      </w:r>
      <w:r w:rsidRPr="00412A9C">
        <w:rPr>
          <w:rFonts w:eastAsia="標楷體"/>
          <w:b/>
          <w:szCs w:val="22"/>
        </w:rPr>
        <w:t>舊地論師</w:t>
      </w:r>
      <w:r w:rsidRPr="00412A9C">
        <w:rPr>
          <w:rFonts w:eastAsia="標楷體"/>
          <w:szCs w:val="22"/>
        </w:rPr>
        <w:t>等辨</w:t>
      </w:r>
      <w:r w:rsidR="00F4755F">
        <w:rPr>
          <w:rFonts w:ascii="標楷體" w:eastAsia="標楷體" w:hAnsi="標楷體" w:hint="eastAsia"/>
          <w:bCs/>
          <w:color w:val="FF0000"/>
          <w:kern w:val="0"/>
          <w:highlight w:val="yellow"/>
        </w:rPr>
        <w:t>「</w:t>
      </w:r>
      <w:r w:rsidRPr="00412A9C">
        <w:rPr>
          <w:rFonts w:eastAsia="標楷體"/>
          <w:szCs w:val="22"/>
        </w:rPr>
        <w:t>四宗</w:t>
      </w:r>
      <w:r w:rsidR="00F4755F">
        <w:rPr>
          <w:rFonts w:ascii="標楷體" w:eastAsia="標楷體" w:hAnsi="標楷體" w:hint="eastAsia"/>
          <w:bCs/>
          <w:color w:val="FF0000"/>
          <w:kern w:val="0"/>
          <w:highlight w:val="yellow"/>
        </w:rPr>
        <w:t>」</w:t>
      </w:r>
      <w:r w:rsidRPr="00412A9C">
        <w:rPr>
          <w:rFonts w:eastAsia="標楷體"/>
          <w:szCs w:val="22"/>
        </w:rPr>
        <w:t>義</w:t>
      </w:r>
      <w:r w:rsidRPr="00412A9C">
        <w:rPr>
          <w:rFonts w:eastAsia="標楷體" w:hint="eastAsia"/>
          <w:szCs w:val="22"/>
        </w:rPr>
        <w:t>，</w:t>
      </w:r>
      <w:r w:rsidRPr="00412A9C">
        <w:rPr>
          <w:rFonts w:eastAsia="標楷體"/>
          <w:szCs w:val="22"/>
        </w:rPr>
        <w:t>謂一、毘曇</w:t>
      </w:r>
      <w:r w:rsidR="00623175">
        <w:rPr>
          <w:rFonts w:ascii="標楷體" w:eastAsia="標楷體" w:hAnsi="標楷體" w:hint="eastAsia"/>
          <w:color w:val="FF0000"/>
          <w:kern w:val="0"/>
          <w:highlight w:val="yellow"/>
        </w:rPr>
        <w:t>，</w:t>
      </w:r>
      <w:r w:rsidRPr="00412A9C">
        <w:rPr>
          <w:rFonts w:eastAsia="標楷體"/>
          <w:szCs w:val="22"/>
        </w:rPr>
        <w:t>云是</w:t>
      </w:r>
      <w:r w:rsidR="00F4755F">
        <w:rPr>
          <w:rFonts w:ascii="標楷體" w:eastAsia="標楷體" w:hAnsi="標楷體" w:hint="eastAsia"/>
          <w:bCs/>
          <w:color w:val="FF0000"/>
          <w:kern w:val="0"/>
          <w:highlight w:val="yellow"/>
        </w:rPr>
        <w:t>「</w:t>
      </w:r>
      <w:r w:rsidRPr="00412A9C">
        <w:rPr>
          <w:rFonts w:eastAsia="標楷體"/>
          <w:szCs w:val="22"/>
        </w:rPr>
        <w:t>因緣宗</w:t>
      </w:r>
      <w:r w:rsidR="00F4755F">
        <w:rPr>
          <w:rFonts w:ascii="標楷體" w:eastAsia="標楷體" w:hAnsi="標楷體" w:hint="eastAsia"/>
          <w:bCs/>
          <w:color w:val="FF0000"/>
          <w:kern w:val="0"/>
          <w:highlight w:val="yellow"/>
        </w:rPr>
        <w:t>」</w:t>
      </w:r>
      <w:r w:rsidR="00623175">
        <w:rPr>
          <w:rFonts w:ascii="標楷體" w:eastAsia="標楷體" w:hAnsi="標楷體" w:hint="eastAsia"/>
          <w:color w:val="FF0000"/>
          <w:spacing w:val="-4"/>
          <w:kern w:val="0"/>
          <w:highlight w:val="yellow"/>
        </w:rPr>
        <w:t>；</w:t>
      </w:r>
      <w:r w:rsidRPr="00412A9C">
        <w:rPr>
          <w:rFonts w:eastAsia="標楷體"/>
          <w:szCs w:val="22"/>
        </w:rPr>
        <w:t>二、</w:t>
      </w:r>
      <w:r w:rsidRPr="00380176">
        <w:rPr>
          <w:rStyle w:val="old"/>
          <w:rFonts w:eastAsia="標楷體" w:hint="eastAsia"/>
          <w:color w:val="FF0000"/>
          <w:szCs w:val="22"/>
          <w:highlight w:val="yellow"/>
        </w:rPr>
        <w:t>《</w:t>
      </w:r>
      <w:r w:rsidRPr="00060427">
        <w:rPr>
          <w:rStyle w:val="old"/>
          <w:rFonts w:eastAsia="標楷體"/>
          <w:color w:val="auto"/>
          <w:szCs w:val="22"/>
        </w:rPr>
        <w:t>成實</w:t>
      </w:r>
      <w:r w:rsidRPr="00380176">
        <w:rPr>
          <w:rStyle w:val="old"/>
          <w:rFonts w:eastAsia="標楷體" w:hint="eastAsia"/>
          <w:color w:val="FF0000"/>
          <w:szCs w:val="22"/>
          <w:highlight w:val="yellow"/>
        </w:rPr>
        <w:t>》</w:t>
      </w:r>
      <w:r w:rsidR="00623175">
        <w:rPr>
          <w:rFonts w:ascii="標楷體" w:eastAsia="標楷體" w:hAnsi="標楷體" w:hint="eastAsia"/>
          <w:color w:val="FF0000"/>
          <w:kern w:val="0"/>
          <w:highlight w:val="yellow"/>
        </w:rPr>
        <w:t>，</w:t>
      </w:r>
      <w:r w:rsidRPr="00412A9C">
        <w:rPr>
          <w:rFonts w:eastAsia="標楷體"/>
          <w:szCs w:val="22"/>
        </w:rPr>
        <w:t>為</w:t>
      </w:r>
      <w:r w:rsidR="00F4755F">
        <w:rPr>
          <w:rFonts w:ascii="標楷體" w:eastAsia="標楷體" w:hAnsi="標楷體" w:hint="eastAsia"/>
          <w:bCs/>
          <w:color w:val="FF0000"/>
          <w:kern w:val="0"/>
          <w:highlight w:val="yellow"/>
        </w:rPr>
        <w:t>「</w:t>
      </w:r>
      <w:r w:rsidRPr="00412A9C">
        <w:rPr>
          <w:rFonts w:eastAsia="標楷體"/>
          <w:szCs w:val="22"/>
        </w:rPr>
        <w:t>假名宗</w:t>
      </w:r>
      <w:r w:rsidR="00F4755F">
        <w:rPr>
          <w:rFonts w:ascii="標楷體" w:eastAsia="標楷體" w:hAnsi="標楷體" w:hint="eastAsia"/>
          <w:bCs/>
          <w:color w:val="FF0000"/>
          <w:kern w:val="0"/>
          <w:highlight w:val="yellow"/>
        </w:rPr>
        <w:t>」</w:t>
      </w:r>
      <w:r w:rsidR="00623175">
        <w:rPr>
          <w:rFonts w:ascii="標楷體" w:eastAsia="標楷體" w:hAnsi="標楷體" w:hint="eastAsia"/>
          <w:color w:val="FF0000"/>
          <w:spacing w:val="-4"/>
          <w:kern w:val="0"/>
          <w:highlight w:val="yellow"/>
        </w:rPr>
        <w:t>；</w:t>
      </w:r>
      <w:r w:rsidRPr="00412A9C">
        <w:rPr>
          <w:rFonts w:eastAsia="標楷體"/>
          <w:szCs w:val="22"/>
        </w:rPr>
        <w:t>三、</w:t>
      </w:r>
      <w:r w:rsidRPr="00380176">
        <w:rPr>
          <w:rStyle w:val="old"/>
          <w:rFonts w:eastAsia="標楷體" w:hint="eastAsia"/>
          <w:color w:val="FF0000"/>
          <w:szCs w:val="22"/>
          <w:highlight w:val="yellow"/>
        </w:rPr>
        <w:t>《</w:t>
      </w:r>
      <w:r w:rsidRPr="00412A9C">
        <w:rPr>
          <w:rFonts w:eastAsia="標楷體"/>
          <w:szCs w:val="22"/>
        </w:rPr>
        <w:t>波若</w:t>
      </w:r>
      <w:r w:rsidRPr="00380176">
        <w:rPr>
          <w:rStyle w:val="old"/>
          <w:rFonts w:eastAsia="標楷體" w:hint="eastAsia"/>
          <w:color w:val="FF0000"/>
          <w:szCs w:val="22"/>
          <w:highlight w:val="yellow"/>
        </w:rPr>
        <w:t>》</w:t>
      </w:r>
      <w:r w:rsidRPr="00412A9C">
        <w:rPr>
          <w:rFonts w:eastAsia="標楷體"/>
          <w:szCs w:val="22"/>
        </w:rPr>
        <w:t>教等</w:t>
      </w:r>
      <w:r w:rsidR="00623175">
        <w:rPr>
          <w:rFonts w:ascii="標楷體" w:eastAsia="標楷體" w:hAnsi="標楷體" w:hint="eastAsia"/>
          <w:color w:val="FF0000"/>
          <w:kern w:val="0"/>
          <w:highlight w:val="yellow"/>
        </w:rPr>
        <w:t>，</w:t>
      </w:r>
      <w:r w:rsidRPr="00412A9C">
        <w:rPr>
          <w:rFonts w:eastAsia="標楷體"/>
          <w:szCs w:val="22"/>
        </w:rPr>
        <w:t>為</w:t>
      </w:r>
      <w:r w:rsidR="00F4755F">
        <w:rPr>
          <w:rFonts w:ascii="標楷體" w:eastAsia="標楷體" w:hAnsi="標楷體" w:hint="eastAsia"/>
          <w:bCs/>
          <w:color w:val="FF0000"/>
          <w:kern w:val="0"/>
          <w:highlight w:val="yellow"/>
        </w:rPr>
        <w:t>「</w:t>
      </w:r>
      <w:r w:rsidRPr="00412A9C">
        <w:rPr>
          <w:rFonts w:eastAsia="標楷體"/>
          <w:szCs w:val="22"/>
        </w:rPr>
        <w:t>不真宗</w:t>
      </w:r>
      <w:r w:rsidR="00F4755F">
        <w:rPr>
          <w:rFonts w:ascii="標楷體" w:eastAsia="標楷體" w:hAnsi="標楷體" w:hint="eastAsia"/>
          <w:bCs/>
          <w:color w:val="FF0000"/>
          <w:kern w:val="0"/>
          <w:highlight w:val="yellow"/>
        </w:rPr>
        <w:t>」</w:t>
      </w:r>
      <w:r w:rsidR="00623175">
        <w:rPr>
          <w:rFonts w:ascii="標楷體" w:eastAsia="標楷體" w:hAnsi="標楷體" w:hint="eastAsia"/>
          <w:color w:val="FF0000"/>
          <w:spacing w:val="-4"/>
          <w:kern w:val="0"/>
          <w:highlight w:val="yellow"/>
        </w:rPr>
        <w:t>；</w:t>
      </w:r>
      <w:r w:rsidRPr="00412A9C">
        <w:rPr>
          <w:rFonts w:eastAsia="標楷體"/>
          <w:szCs w:val="22"/>
        </w:rPr>
        <w:t>四、</w:t>
      </w:r>
      <w:r w:rsidRPr="00380176">
        <w:rPr>
          <w:rStyle w:val="old"/>
          <w:rFonts w:eastAsia="標楷體" w:hint="eastAsia"/>
          <w:color w:val="FF0000"/>
          <w:szCs w:val="22"/>
          <w:highlight w:val="yellow"/>
        </w:rPr>
        <w:t>《</w:t>
      </w:r>
      <w:r w:rsidRPr="00412A9C">
        <w:rPr>
          <w:rFonts w:eastAsia="標楷體"/>
          <w:szCs w:val="22"/>
        </w:rPr>
        <w:t>涅槃</w:t>
      </w:r>
      <w:r w:rsidRPr="00380176">
        <w:rPr>
          <w:rStyle w:val="old"/>
          <w:rFonts w:eastAsia="標楷體" w:hint="eastAsia"/>
          <w:color w:val="FF0000"/>
          <w:szCs w:val="22"/>
          <w:highlight w:val="yellow"/>
        </w:rPr>
        <w:t>》</w:t>
      </w:r>
      <w:r w:rsidRPr="00412A9C">
        <w:rPr>
          <w:rFonts w:eastAsia="標楷體"/>
          <w:szCs w:val="22"/>
        </w:rPr>
        <w:t>教等</w:t>
      </w:r>
      <w:r w:rsidR="00623175">
        <w:rPr>
          <w:rFonts w:ascii="標楷體" w:eastAsia="標楷體" w:hAnsi="標楷體" w:hint="eastAsia"/>
          <w:color w:val="FF0000"/>
          <w:kern w:val="0"/>
          <w:highlight w:val="yellow"/>
        </w:rPr>
        <w:t>，</w:t>
      </w:r>
      <w:r w:rsidRPr="00412A9C">
        <w:rPr>
          <w:rFonts w:eastAsia="標楷體"/>
          <w:szCs w:val="22"/>
        </w:rPr>
        <w:t>名為</w:t>
      </w:r>
      <w:r w:rsidR="00F4755F">
        <w:rPr>
          <w:rFonts w:ascii="標楷體" w:eastAsia="標楷體" w:hAnsi="標楷體" w:hint="eastAsia"/>
          <w:bCs/>
          <w:color w:val="FF0000"/>
          <w:kern w:val="0"/>
          <w:highlight w:val="yellow"/>
        </w:rPr>
        <w:t>「</w:t>
      </w:r>
      <w:r w:rsidRPr="00412A9C">
        <w:rPr>
          <w:rFonts w:eastAsia="標楷體"/>
          <w:szCs w:val="22"/>
        </w:rPr>
        <w:t>真宗</w:t>
      </w:r>
      <w:r w:rsidR="00F4755F">
        <w:rPr>
          <w:rFonts w:ascii="標楷體" w:eastAsia="標楷體" w:hAnsi="標楷體" w:hint="eastAsia"/>
          <w:bCs/>
          <w:color w:val="FF0000"/>
          <w:kern w:val="0"/>
          <w:highlight w:val="yellow"/>
        </w:rPr>
        <w:t>」</w:t>
      </w:r>
      <w:r w:rsidRPr="00412A9C">
        <w:rPr>
          <w:rFonts w:eastAsia="標楷體"/>
          <w:szCs w:val="22"/>
        </w:rPr>
        <w:t>。</w:t>
      </w:r>
    </w:p>
    <w:p w:rsidR="00380176" w:rsidRPr="00412A9C" w:rsidRDefault="00380176" w:rsidP="00380176">
      <w:pPr>
        <w:pStyle w:val="a5"/>
        <w:ind w:leftChars="80" w:left="731" w:hangingChars="245" w:hanging="539"/>
        <w:jc w:val="both"/>
        <w:rPr>
          <w:rStyle w:val="old"/>
          <w:color w:val="auto"/>
          <w:szCs w:val="22"/>
        </w:rPr>
      </w:pPr>
      <w:r w:rsidRPr="00412A9C">
        <w:rPr>
          <w:rStyle w:val="byline"/>
          <w:rFonts w:hint="eastAsia"/>
          <w:color w:val="auto"/>
          <w:sz w:val="22"/>
          <w:szCs w:val="22"/>
        </w:rPr>
        <w:t>（</w:t>
      </w:r>
      <w:r w:rsidRPr="00761EF3">
        <w:rPr>
          <w:rStyle w:val="byline"/>
          <w:color w:val="auto"/>
          <w:sz w:val="22"/>
          <w:szCs w:val="22"/>
        </w:rPr>
        <w:t>3</w:t>
      </w:r>
      <w:r w:rsidRPr="00412A9C">
        <w:rPr>
          <w:rStyle w:val="byline"/>
          <w:rFonts w:hint="eastAsia"/>
          <w:color w:val="auto"/>
          <w:sz w:val="22"/>
          <w:szCs w:val="22"/>
        </w:rPr>
        <w:t>）〔隋〕</w:t>
      </w:r>
      <w:r w:rsidRPr="00412A9C">
        <w:rPr>
          <w:rStyle w:val="byline"/>
          <w:color w:val="auto"/>
          <w:sz w:val="22"/>
          <w:szCs w:val="22"/>
        </w:rPr>
        <w:t>吉藏撰</w:t>
      </w:r>
      <w:r w:rsidRPr="00412A9C">
        <w:rPr>
          <w:rStyle w:val="old"/>
          <w:color w:val="auto"/>
          <w:szCs w:val="22"/>
        </w:rPr>
        <w:t>，《</w:t>
      </w:r>
      <w:r w:rsidRPr="00412A9C">
        <w:rPr>
          <w:szCs w:val="22"/>
        </w:rPr>
        <w:t>大乘玄論》</w:t>
      </w:r>
      <w:r w:rsidRPr="00412A9C">
        <w:rPr>
          <w:rStyle w:val="old"/>
          <w:color w:val="auto"/>
          <w:szCs w:val="22"/>
        </w:rPr>
        <w:t>卷</w:t>
      </w:r>
      <w:r w:rsidRPr="00761EF3">
        <w:rPr>
          <w:rStyle w:val="old"/>
          <w:color w:val="auto"/>
          <w:szCs w:val="22"/>
        </w:rPr>
        <w:t>5</w:t>
      </w:r>
      <w:r w:rsidRPr="00412A9C">
        <w:rPr>
          <w:szCs w:val="22"/>
        </w:rPr>
        <w:t>（大正</w:t>
      </w:r>
      <w:r w:rsidRPr="00761EF3">
        <w:rPr>
          <w:szCs w:val="22"/>
        </w:rPr>
        <w:t>45</w:t>
      </w:r>
      <w:r w:rsidRPr="00412A9C">
        <w:rPr>
          <w:szCs w:val="22"/>
        </w:rPr>
        <w:t>，</w:t>
      </w:r>
      <w:r w:rsidRPr="00761EF3">
        <w:rPr>
          <w:szCs w:val="22"/>
        </w:rPr>
        <w:t>63c17</w:t>
      </w:r>
      <w:r w:rsidRPr="00412A9C">
        <w:rPr>
          <w:szCs w:val="22"/>
        </w:rPr>
        <w:t>-</w:t>
      </w:r>
      <w:r w:rsidRPr="00761EF3">
        <w:rPr>
          <w:szCs w:val="22"/>
        </w:rPr>
        <w:t>18</w:t>
      </w:r>
      <w:r w:rsidRPr="00412A9C">
        <w:rPr>
          <w:szCs w:val="22"/>
        </w:rPr>
        <w:t>）</w:t>
      </w:r>
      <w:r w:rsidRPr="00412A9C">
        <w:rPr>
          <w:rStyle w:val="old"/>
          <w:color w:val="auto"/>
          <w:szCs w:val="22"/>
        </w:rPr>
        <w:t>：</w:t>
      </w:r>
    </w:p>
    <w:p w:rsidR="00380176" w:rsidRPr="00412A9C" w:rsidRDefault="00F4755F" w:rsidP="00380176">
      <w:pPr>
        <w:pStyle w:val="a5"/>
        <w:ind w:leftChars="305" w:left="732"/>
        <w:jc w:val="both"/>
        <w:rPr>
          <w:szCs w:val="22"/>
        </w:rPr>
      </w:pPr>
      <w:r>
        <w:rPr>
          <w:rFonts w:ascii="標楷體" w:eastAsia="標楷體" w:hAnsi="標楷體" w:hint="eastAsia"/>
          <w:bCs/>
          <w:color w:val="FF0000"/>
          <w:kern w:val="0"/>
          <w:highlight w:val="yellow"/>
        </w:rPr>
        <w:t>「</w:t>
      </w:r>
      <w:r w:rsidR="00380176" w:rsidRPr="00412A9C">
        <w:rPr>
          <w:rFonts w:eastAsia="標楷體"/>
          <w:szCs w:val="22"/>
        </w:rPr>
        <w:t>四宗</w:t>
      </w:r>
      <w:r>
        <w:rPr>
          <w:rFonts w:ascii="標楷體" w:eastAsia="標楷體" w:hAnsi="標楷體" w:hint="eastAsia"/>
          <w:bCs/>
          <w:color w:val="FF0000"/>
          <w:kern w:val="0"/>
          <w:highlight w:val="yellow"/>
        </w:rPr>
        <w:t>」</w:t>
      </w:r>
      <w:r w:rsidR="00380176" w:rsidRPr="00412A9C">
        <w:rPr>
          <w:rFonts w:eastAsia="標楷體"/>
          <w:szCs w:val="22"/>
        </w:rPr>
        <w:t>者：一、毘曇</w:t>
      </w:r>
      <w:r w:rsidR="00623175">
        <w:rPr>
          <w:rFonts w:ascii="標楷體" w:eastAsia="標楷體" w:hAnsi="標楷體" w:hint="eastAsia"/>
          <w:color w:val="FF0000"/>
          <w:kern w:val="0"/>
          <w:highlight w:val="yellow"/>
        </w:rPr>
        <w:t>，</w:t>
      </w:r>
      <w:r w:rsidR="00380176" w:rsidRPr="00412A9C">
        <w:rPr>
          <w:rFonts w:eastAsia="標楷體"/>
          <w:szCs w:val="22"/>
        </w:rPr>
        <w:t>是</w:t>
      </w:r>
      <w:r>
        <w:rPr>
          <w:rFonts w:ascii="標楷體" w:eastAsia="標楷體" w:hAnsi="標楷體" w:hint="eastAsia"/>
          <w:bCs/>
          <w:color w:val="FF0000"/>
          <w:kern w:val="0"/>
          <w:highlight w:val="yellow"/>
        </w:rPr>
        <w:t>「</w:t>
      </w:r>
      <w:r w:rsidR="00380176" w:rsidRPr="00412A9C">
        <w:rPr>
          <w:rFonts w:eastAsia="標楷體"/>
          <w:szCs w:val="22"/>
        </w:rPr>
        <w:t>因緣宗</w:t>
      </w:r>
      <w:r>
        <w:rPr>
          <w:rFonts w:ascii="標楷體" w:eastAsia="標楷體" w:hAnsi="標楷體" w:hint="eastAsia"/>
          <w:bCs/>
          <w:color w:val="FF0000"/>
          <w:kern w:val="0"/>
          <w:highlight w:val="yellow"/>
        </w:rPr>
        <w:t>」</w:t>
      </w:r>
      <w:r w:rsidR="00623175">
        <w:rPr>
          <w:rFonts w:ascii="標楷體" w:eastAsia="標楷體" w:hAnsi="標楷體" w:hint="eastAsia"/>
          <w:color w:val="FF0000"/>
          <w:spacing w:val="-4"/>
          <w:kern w:val="0"/>
          <w:highlight w:val="yellow"/>
        </w:rPr>
        <w:t>；</w:t>
      </w:r>
      <w:r w:rsidR="00380176" w:rsidRPr="00412A9C">
        <w:rPr>
          <w:rFonts w:eastAsia="標楷體"/>
          <w:szCs w:val="22"/>
        </w:rPr>
        <w:t>二、</w:t>
      </w:r>
      <w:r w:rsidR="00380176" w:rsidRPr="00380176">
        <w:rPr>
          <w:rStyle w:val="old"/>
          <w:rFonts w:eastAsia="標楷體" w:hint="eastAsia"/>
          <w:color w:val="FF0000"/>
          <w:szCs w:val="22"/>
          <w:highlight w:val="yellow"/>
        </w:rPr>
        <w:t>《</w:t>
      </w:r>
      <w:r w:rsidR="00380176" w:rsidRPr="00060427">
        <w:rPr>
          <w:rStyle w:val="old"/>
          <w:rFonts w:eastAsia="標楷體"/>
          <w:color w:val="auto"/>
          <w:szCs w:val="22"/>
        </w:rPr>
        <w:t>成實</w:t>
      </w:r>
      <w:r w:rsidR="00380176" w:rsidRPr="00380176">
        <w:rPr>
          <w:rStyle w:val="old"/>
          <w:rFonts w:eastAsia="標楷體" w:hint="eastAsia"/>
          <w:color w:val="FF0000"/>
          <w:szCs w:val="22"/>
          <w:highlight w:val="yellow"/>
        </w:rPr>
        <w:t>》</w:t>
      </w:r>
      <w:r w:rsidR="00623175">
        <w:rPr>
          <w:rFonts w:ascii="標楷體" w:eastAsia="標楷體" w:hAnsi="標楷體" w:hint="eastAsia"/>
          <w:color w:val="FF0000"/>
          <w:kern w:val="0"/>
          <w:highlight w:val="yellow"/>
        </w:rPr>
        <w:t>，</w:t>
      </w:r>
      <w:r w:rsidR="00380176" w:rsidRPr="00412A9C">
        <w:rPr>
          <w:rFonts w:eastAsia="標楷體"/>
          <w:szCs w:val="22"/>
        </w:rPr>
        <w:t>謂</w:t>
      </w:r>
      <w:r>
        <w:rPr>
          <w:rFonts w:ascii="標楷體" w:eastAsia="標楷體" w:hAnsi="標楷體" w:hint="eastAsia"/>
          <w:bCs/>
          <w:color w:val="FF0000"/>
          <w:kern w:val="0"/>
          <w:highlight w:val="yellow"/>
        </w:rPr>
        <w:t>「</w:t>
      </w:r>
      <w:r w:rsidR="00380176" w:rsidRPr="00412A9C">
        <w:rPr>
          <w:rFonts w:eastAsia="標楷體"/>
          <w:szCs w:val="22"/>
        </w:rPr>
        <w:t>假名宗</w:t>
      </w:r>
      <w:r>
        <w:rPr>
          <w:rFonts w:ascii="標楷體" w:eastAsia="標楷體" w:hAnsi="標楷體" w:hint="eastAsia"/>
          <w:bCs/>
          <w:color w:val="FF0000"/>
          <w:kern w:val="0"/>
          <w:highlight w:val="yellow"/>
        </w:rPr>
        <w:t>」</w:t>
      </w:r>
      <w:r w:rsidR="00623175">
        <w:rPr>
          <w:rFonts w:ascii="標楷體" w:eastAsia="標楷體" w:hAnsi="標楷體" w:hint="eastAsia"/>
          <w:color w:val="FF0000"/>
          <w:spacing w:val="-4"/>
          <w:kern w:val="0"/>
          <w:highlight w:val="yellow"/>
        </w:rPr>
        <w:t>；</w:t>
      </w:r>
      <w:r w:rsidR="00380176" w:rsidRPr="00412A9C">
        <w:rPr>
          <w:rFonts w:eastAsia="標楷體"/>
          <w:szCs w:val="22"/>
        </w:rPr>
        <w:t>三、三論</w:t>
      </w:r>
      <w:r w:rsidR="00623175">
        <w:rPr>
          <w:rFonts w:ascii="標楷體" w:eastAsia="標楷體" w:hAnsi="標楷體" w:hint="eastAsia"/>
          <w:color w:val="FF0000"/>
          <w:kern w:val="0"/>
          <w:highlight w:val="yellow"/>
        </w:rPr>
        <w:t>，</w:t>
      </w:r>
      <w:r w:rsidR="00380176" w:rsidRPr="00412A9C">
        <w:rPr>
          <w:rFonts w:eastAsia="標楷體"/>
          <w:szCs w:val="22"/>
        </w:rPr>
        <w:t>名</w:t>
      </w:r>
      <w:r>
        <w:rPr>
          <w:rFonts w:ascii="標楷體" w:eastAsia="標楷體" w:hAnsi="標楷體" w:hint="eastAsia"/>
          <w:bCs/>
          <w:color w:val="FF0000"/>
          <w:kern w:val="0"/>
          <w:highlight w:val="yellow"/>
        </w:rPr>
        <w:t>「</w:t>
      </w:r>
      <w:r w:rsidR="00380176" w:rsidRPr="00412A9C">
        <w:rPr>
          <w:rFonts w:eastAsia="標楷體"/>
          <w:szCs w:val="22"/>
        </w:rPr>
        <w:t>不真宗</w:t>
      </w:r>
      <w:r>
        <w:rPr>
          <w:rFonts w:ascii="標楷體" w:eastAsia="標楷體" w:hAnsi="標楷體" w:hint="eastAsia"/>
          <w:bCs/>
          <w:color w:val="FF0000"/>
          <w:kern w:val="0"/>
          <w:highlight w:val="yellow"/>
        </w:rPr>
        <w:t>」</w:t>
      </w:r>
      <w:r w:rsidR="00623175">
        <w:rPr>
          <w:rFonts w:ascii="標楷體" w:eastAsia="標楷體" w:hAnsi="標楷體" w:hint="eastAsia"/>
          <w:color w:val="FF0000"/>
          <w:spacing w:val="-4"/>
          <w:kern w:val="0"/>
          <w:highlight w:val="yellow"/>
        </w:rPr>
        <w:t>；</w:t>
      </w:r>
      <w:r w:rsidR="00380176" w:rsidRPr="00412A9C">
        <w:rPr>
          <w:rFonts w:eastAsia="標楷體"/>
          <w:szCs w:val="22"/>
        </w:rPr>
        <w:t>四、</w:t>
      </w:r>
      <w:r w:rsidR="00380176" w:rsidRPr="00380176">
        <w:rPr>
          <w:rStyle w:val="old"/>
          <w:rFonts w:eastAsia="標楷體" w:hint="eastAsia"/>
          <w:color w:val="FF0000"/>
          <w:szCs w:val="22"/>
          <w:highlight w:val="yellow"/>
        </w:rPr>
        <w:t>《</w:t>
      </w:r>
      <w:r w:rsidR="00380176" w:rsidRPr="00412A9C">
        <w:rPr>
          <w:rFonts w:eastAsia="標楷體"/>
          <w:szCs w:val="22"/>
        </w:rPr>
        <w:t>十地論</w:t>
      </w:r>
      <w:r w:rsidR="00380176" w:rsidRPr="00380176">
        <w:rPr>
          <w:rStyle w:val="old"/>
          <w:rFonts w:eastAsia="標楷體" w:hint="eastAsia"/>
          <w:color w:val="FF0000"/>
          <w:szCs w:val="22"/>
          <w:highlight w:val="yellow"/>
        </w:rPr>
        <w:t>》</w:t>
      </w:r>
      <w:r w:rsidR="00623175">
        <w:rPr>
          <w:rFonts w:ascii="標楷體" w:eastAsia="標楷體" w:hAnsi="標楷體" w:hint="eastAsia"/>
          <w:color w:val="FF0000"/>
          <w:kern w:val="0"/>
          <w:highlight w:val="yellow"/>
        </w:rPr>
        <w:t>，</w:t>
      </w:r>
      <w:r w:rsidR="00380176" w:rsidRPr="00412A9C">
        <w:rPr>
          <w:rFonts w:eastAsia="標楷體"/>
          <w:szCs w:val="22"/>
        </w:rPr>
        <w:t>為</w:t>
      </w:r>
      <w:r>
        <w:rPr>
          <w:rFonts w:ascii="標楷體" w:eastAsia="標楷體" w:hAnsi="標楷體" w:hint="eastAsia"/>
          <w:bCs/>
          <w:color w:val="FF0000"/>
          <w:kern w:val="0"/>
          <w:highlight w:val="yellow"/>
        </w:rPr>
        <w:t>「</w:t>
      </w:r>
      <w:r w:rsidR="00380176" w:rsidRPr="00412A9C">
        <w:rPr>
          <w:rFonts w:eastAsia="標楷體"/>
          <w:szCs w:val="22"/>
        </w:rPr>
        <w:t>真宗</w:t>
      </w:r>
      <w:r>
        <w:rPr>
          <w:rFonts w:ascii="標楷體" w:eastAsia="標楷體" w:hAnsi="標楷體" w:hint="eastAsia"/>
          <w:bCs/>
          <w:color w:val="FF0000"/>
          <w:kern w:val="0"/>
          <w:highlight w:val="yellow"/>
        </w:rPr>
        <w:t>」</w:t>
      </w:r>
      <w:r w:rsidR="00380176" w:rsidRPr="00412A9C">
        <w:rPr>
          <w:rFonts w:eastAsia="標楷體"/>
          <w:szCs w:val="22"/>
        </w:rPr>
        <w:t>。</w:t>
      </w:r>
    </w:p>
    <w:p w:rsidR="00380176" w:rsidRPr="00412A9C" w:rsidRDefault="00380176" w:rsidP="00380176">
      <w:pPr>
        <w:pStyle w:val="a5"/>
        <w:ind w:leftChars="80" w:left="731" w:hangingChars="245" w:hanging="539"/>
        <w:jc w:val="both"/>
        <w:rPr>
          <w:rStyle w:val="old"/>
          <w:rFonts w:eastAsia="標楷體"/>
          <w:color w:val="auto"/>
          <w:szCs w:val="22"/>
        </w:rPr>
      </w:pPr>
      <w:r w:rsidRPr="00412A9C">
        <w:rPr>
          <w:rStyle w:val="byline"/>
          <w:rFonts w:hint="eastAsia"/>
          <w:color w:val="auto"/>
          <w:sz w:val="22"/>
          <w:szCs w:val="22"/>
        </w:rPr>
        <w:t>（</w:t>
      </w:r>
      <w:r w:rsidRPr="00761EF3">
        <w:rPr>
          <w:rStyle w:val="byline"/>
          <w:color w:val="auto"/>
          <w:sz w:val="22"/>
          <w:szCs w:val="22"/>
        </w:rPr>
        <w:t>4</w:t>
      </w:r>
      <w:r w:rsidRPr="00412A9C">
        <w:rPr>
          <w:rStyle w:val="byline"/>
          <w:rFonts w:hint="eastAsia"/>
          <w:color w:val="auto"/>
          <w:sz w:val="22"/>
          <w:szCs w:val="22"/>
        </w:rPr>
        <w:t>）〔唐〕</w:t>
      </w:r>
      <w:r w:rsidRPr="00412A9C">
        <w:rPr>
          <w:rStyle w:val="byline"/>
          <w:color w:val="auto"/>
          <w:sz w:val="22"/>
          <w:szCs w:val="22"/>
        </w:rPr>
        <w:t>法藏述</w:t>
      </w:r>
      <w:r w:rsidRPr="00412A9C">
        <w:rPr>
          <w:szCs w:val="22"/>
        </w:rPr>
        <w:t>，《</w:t>
      </w:r>
      <w:r w:rsidRPr="00412A9C">
        <w:rPr>
          <w:rStyle w:val="old"/>
          <w:color w:val="auto"/>
          <w:szCs w:val="22"/>
        </w:rPr>
        <w:t>華嚴一乘教義分齊章》卷</w:t>
      </w:r>
      <w:r w:rsidRPr="00761EF3">
        <w:rPr>
          <w:rStyle w:val="old"/>
          <w:color w:val="auto"/>
          <w:szCs w:val="22"/>
        </w:rPr>
        <w:t>1</w:t>
      </w:r>
      <w:r w:rsidRPr="00412A9C">
        <w:rPr>
          <w:rStyle w:val="old"/>
          <w:color w:val="auto"/>
          <w:szCs w:val="22"/>
        </w:rPr>
        <w:t>（大正</w:t>
      </w:r>
      <w:r w:rsidRPr="00761EF3">
        <w:rPr>
          <w:rStyle w:val="old"/>
          <w:color w:val="auto"/>
          <w:szCs w:val="22"/>
        </w:rPr>
        <w:t>45</w:t>
      </w:r>
      <w:r w:rsidRPr="00412A9C">
        <w:rPr>
          <w:rStyle w:val="old"/>
          <w:color w:val="auto"/>
          <w:szCs w:val="22"/>
        </w:rPr>
        <w:t>，</w:t>
      </w:r>
      <w:r w:rsidRPr="00761EF3">
        <w:rPr>
          <w:rStyle w:val="old"/>
          <w:color w:val="auto"/>
          <w:szCs w:val="22"/>
        </w:rPr>
        <w:t>480</w:t>
      </w:r>
      <w:r w:rsidRPr="00761EF3">
        <w:rPr>
          <w:rStyle w:val="old"/>
          <w:rFonts w:hint="eastAsia"/>
          <w:color w:val="auto"/>
          <w:szCs w:val="22"/>
        </w:rPr>
        <w:t>c1</w:t>
      </w:r>
      <w:r w:rsidRPr="00412A9C">
        <w:rPr>
          <w:rStyle w:val="old"/>
          <w:rFonts w:hint="eastAsia"/>
          <w:color w:val="auto"/>
          <w:szCs w:val="22"/>
        </w:rPr>
        <w:t>-</w:t>
      </w:r>
      <w:r w:rsidRPr="00761EF3">
        <w:rPr>
          <w:rStyle w:val="old"/>
          <w:color w:val="auto"/>
          <w:szCs w:val="22"/>
        </w:rPr>
        <w:t>5</w:t>
      </w:r>
      <w:r w:rsidRPr="00412A9C">
        <w:rPr>
          <w:rStyle w:val="old"/>
          <w:color w:val="auto"/>
          <w:szCs w:val="22"/>
        </w:rPr>
        <w:t>）：</w:t>
      </w:r>
    </w:p>
    <w:p w:rsidR="00380176" w:rsidRPr="00412A9C" w:rsidRDefault="00380176" w:rsidP="00380176">
      <w:pPr>
        <w:pStyle w:val="a5"/>
        <w:ind w:leftChars="305" w:left="732"/>
        <w:jc w:val="both"/>
        <w:rPr>
          <w:szCs w:val="22"/>
        </w:rPr>
      </w:pPr>
      <w:r w:rsidRPr="00412A9C">
        <w:rPr>
          <w:rStyle w:val="old"/>
          <w:rFonts w:eastAsia="標楷體"/>
          <w:color w:val="auto"/>
          <w:szCs w:val="22"/>
        </w:rPr>
        <w:t>依大衍法師等一時</w:t>
      </w:r>
      <w:r w:rsidRPr="00060427">
        <w:rPr>
          <w:rStyle w:val="old"/>
          <w:rFonts w:eastAsia="標楷體"/>
          <w:color w:val="auto"/>
          <w:szCs w:val="22"/>
        </w:rPr>
        <w:t>諸德立四宗教，以通收一代聖教</w:t>
      </w:r>
      <w:r w:rsidR="00A00C5F">
        <w:rPr>
          <w:rFonts w:ascii="標楷體" w:eastAsia="標楷體" w:hAnsi="標楷體" w:hint="eastAsia"/>
          <w:color w:val="FF0000"/>
          <w:spacing w:val="-4"/>
          <w:kern w:val="0"/>
          <w:highlight w:val="yellow"/>
        </w:rPr>
        <w:t>：</w:t>
      </w:r>
      <w:r w:rsidRPr="00060427">
        <w:rPr>
          <w:rStyle w:val="old"/>
          <w:rFonts w:eastAsia="標楷體"/>
          <w:color w:val="auto"/>
          <w:szCs w:val="22"/>
        </w:rPr>
        <w:t>一、</w:t>
      </w:r>
      <w:r w:rsidRPr="00060427">
        <w:rPr>
          <w:rStyle w:val="old"/>
          <w:rFonts w:eastAsia="標楷體"/>
          <w:b/>
          <w:color w:val="auto"/>
          <w:szCs w:val="22"/>
        </w:rPr>
        <w:t>因緣宗</w:t>
      </w:r>
      <w:r w:rsidR="00A00C5F">
        <w:rPr>
          <w:rFonts w:ascii="標楷體" w:eastAsia="標楷體" w:hAnsi="標楷體" w:hint="eastAsia"/>
          <w:color w:val="FF0000"/>
          <w:kern w:val="0"/>
          <w:highlight w:val="yellow"/>
        </w:rPr>
        <w:t>，</w:t>
      </w:r>
      <w:r w:rsidRPr="00060427">
        <w:rPr>
          <w:rStyle w:val="old"/>
          <w:rFonts w:eastAsia="標楷體"/>
          <w:color w:val="auto"/>
          <w:szCs w:val="22"/>
        </w:rPr>
        <w:t>謂小乘薩婆多等部。二、</w:t>
      </w:r>
      <w:r w:rsidRPr="00060427">
        <w:rPr>
          <w:rStyle w:val="old"/>
          <w:rFonts w:eastAsia="標楷體"/>
          <w:b/>
          <w:color w:val="auto"/>
          <w:szCs w:val="22"/>
        </w:rPr>
        <w:t>假名宗</w:t>
      </w:r>
      <w:r w:rsidR="00A00C5F">
        <w:rPr>
          <w:rFonts w:ascii="標楷體" w:eastAsia="標楷體" w:hAnsi="標楷體" w:hint="eastAsia"/>
          <w:color w:val="FF0000"/>
          <w:kern w:val="0"/>
          <w:highlight w:val="yellow"/>
        </w:rPr>
        <w:t>，</w:t>
      </w:r>
      <w:r w:rsidRPr="00060427">
        <w:rPr>
          <w:rStyle w:val="old"/>
          <w:rFonts w:eastAsia="標楷體"/>
          <w:color w:val="auto"/>
          <w:szCs w:val="22"/>
        </w:rPr>
        <w:t>謂</w:t>
      </w:r>
      <w:r w:rsidRPr="00060427">
        <w:rPr>
          <w:rStyle w:val="old"/>
          <w:rFonts w:eastAsia="標楷體" w:hint="eastAsia"/>
          <w:color w:val="auto"/>
          <w:szCs w:val="22"/>
        </w:rPr>
        <w:t>《</w:t>
      </w:r>
      <w:r w:rsidRPr="00060427">
        <w:rPr>
          <w:rStyle w:val="old"/>
          <w:rFonts w:eastAsia="標楷體"/>
          <w:color w:val="auto"/>
          <w:szCs w:val="22"/>
        </w:rPr>
        <w:t>成實</w:t>
      </w:r>
      <w:r w:rsidRPr="00060427">
        <w:rPr>
          <w:rStyle w:val="old"/>
          <w:rFonts w:eastAsia="標楷體" w:hint="eastAsia"/>
          <w:color w:val="auto"/>
          <w:szCs w:val="22"/>
        </w:rPr>
        <w:t>》、</w:t>
      </w:r>
      <w:r w:rsidRPr="00060427">
        <w:rPr>
          <w:rStyle w:val="old"/>
          <w:rFonts w:eastAsia="標楷體"/>
          <w:color w:val="auto"/>
          <w:szCs w:val="22"/>
        </w:rPr>
        <w:t>經部等。三、</w:t>
      </w:r>
      <w:r w:rsidRPr="00060427">
        <w:rPr>
          <w:rStyle w:val="old"/>
          <w:rFonts w:eastAsia="標楷體"/>
          <w:b/>
          <w:color w:val="auto"/>
          <w:szCs w:val="22"/>
        </w:rPr>
        <w:t>不真宗</w:t>
      </w:r>
      <w:r w:rsidR="00A00C5F">
        <w:rPr>
          <w:rFonts w:ascii="標楷體" w:eastAsia="標楷體" w:hAnsi="標楷體" w:hint="eastAsia"/>
          <w:color w:val="FF0000"/>
          <w:kern w:val="0"/>
          <w:highlight w:val="yellow"/>
        </w:rPr>
        <w:t>，</w:t>
      </w:r>
      <w:r w:rsidRPr="00060427">
        <w:rPr>
          <w:rStyle w:val="old"/>
          <w:rFonts w:eastAsia="標楷體"/>
          <w:color w:val="auto"/>
          <w:szCs w:val="22"/>
        </w:rPr>
        <w:t>謂諸部</w:t>
      </w:r>
      <w:r w:rsidRPr="00380176">
        <w:rPr>
          <w:rStyle w:val="old"/>
          <w:rFonts w:eastAsia="標楷體" w:hint="eastAsia"/>
          <w:color w:val="FF0000"/>
          <w:szCs w:val="22"/>
          <w:highlight w:val="yellow"/>
        </w:rPr>
        <w:t>《</w:t>
      </w:r>
      <w:r w:rsidRPr="00060427">
        <w:rPr>
          <w:rStyle w:val="old"/>
          <w:rFonts w:eastAsia="標楷體"/>
          <w:color w:val="auto"/>
          <w:szCs w:val="22"/>
        </w:rPr>
        <w:t>般若</w:t>
      </w:r>
      <w:r w:rsidRPr="00380176">
        <w:rPr>
          <w:rStyle w:val="old"/>
          <w:rFonts w:eastAsia="標楷體" w:hint="eastAsia"/>
          <w:color w:val="FF0000"/>
          <w:szCs w:val="22"/>
          <w:highlight w:val="yellow"/>
        </w:rPr>
        <w:t>》</w:t>
      </w:r>
      <w:r w:rsidR="00A00C5F">
        <w:rPr>
          <w:rStyle w:val="old"/>
          <w:rFonts w:eastAsia="標楷體" w:hint="eastAsia"/>
          <w:color w:val="FF0000"/>
          <w:szCs w:val="22"/>
          <w:highlight w:val="yellow"/>
        </w:rPr>
        <w:t>，</w:t>
      </w:r>
      <w:r w:rsidRPr="00060427">
        <w:rPr>
          <w:rStyle w:val="old"/>
          <w:rFonts w:eastAsia="標楷體"/>
          <w:color w:val="auto"/>
          <w:szCs w:val="22"/>
        </w:rPr>
        <w:t>說即空理</w:t>
      </w:r>
      <w:r w:rsidR="00A00C5F" w:rsidRPr="00A00C5F">
        <w:rPr>
          <w:rStyle w:val="old"/>
          <w:rFonts w:eastAsia="標楷體" w:hint="eastAsia"/>
          <w:color w:val="FF0000"/>
          <w:szCs w:val="22"/>
          <w:highlight w:val="yellow"/>
        </w:rPr>
        <w:t>，</w:t>
      </w:r>
      <w:r w:rsidRPr="00060427">
        <w:rPr>
          <w:rStyle w:val="old"/>
          <w:rFonts w:eastAsia="標楷體"/>
          <w:color w:val="auto"/>
          <w:szCs w:val="22"/>
        </w:rPr>
        <w:t>明一切法不真實等。四、</w:t>
      </w:r>
      <w:r w:rsidRPr="00060427">
        <w:rPr>
          <w:rStyle w:val="old"/>
          <w:rFonts w:eastAsia="標楷體"/>
          <w:b/>
          <w:color w:val="auto"/>
          <w:szCs w:val="22"/>
        </w:rPr>
        <w:t>真實宗</w:t>
      </w:r>
      <w:r w:rsidRPr="00060427">
        <w:rPr>
          <w:rStyle w:val="old"/>
          <w:rFonts w:eastAsia="標楷體"/>
          <w:color w:val="auto"/>
          <w:szCs w:val="22"/>
        </w:rPr>
        <w:t>：</w:t>
      </w:r>
      <w:r w:rsidRPr="00060427">
        <w:rPr>
          <w:rStyle w:val="old"/>
          <w:rFonts w:eastAsia="標楷體" w:hint="eastAsia"/>
          <w:color w:val="auto"/>
          <w:szCs w:val="22"/>
        </w:rPr>
        <w:t>《</w:t>
      </w:r>
      <w:r w:rsidRPr="00060427">
        <w:rPr>
          <w:rStyle w:val="old"/>
          <w:rFonts w:eastAsia="標楷體"/>
          <w:color w:val="auto"/>
          <w:szCs w:val="22"/>
        </w:rPr>
        <w:t>涅槃</w:t>
      </w:r>
      <w:r w:rsidRPr="00060427">
        <w:rPr>
          <w:rStyle w:val="old"/>
          <w:rFonts w:eastAsia="標楷體" w:hint="eastAsia"/>
          <w:color w:val="auto"/>
          <w:szCs w:val="22"/>
        </w:rPr>
        <w:t>》</w:t>
      </w:r>
      <w:r w:rsidRPr="00060427">
        <w:rPr>
          <w:rStyle w:val="old"/>
          <w:rFonts w:eastAsia="標楷體"/>
          <w:color w:val="auto"/>
          <w:szCs w:val="22"/>
        </w:rPr>
        <w:t>、</w:t>
      </w:r>
      <w:r w:rsidRPr="00060427">
        <w:rPr>
          <w:rStyle w:val="old"/>
          <w:rFonts w:eastAsia="標楷體" w:hint="eastAsia"/>
          <w:color w:val="auto"/>
          <w:szCs w:val="22"/>
        </w:rPr>
        <w:t>《</w:t>
      </w:r>
      <w:r w:rsidRPr="00060427">
        <w:rPr>
          <w:rStyle w:val="old"/>
          <w:rFonts w:eastAsia="標楷體"/>
          <w:color w:val="auto"/>
          <w:szCs w:val="22"/>
        </w:rPr>
        <w:t>華嚴</w:t>
      </w:r>
      <w:r w:rsidRPr="00060427">
        <w:rPr>
          <w:rStyle w:val="old"/>
          <w:rFonts w:eastAsia="標楷體" w:hint="eastAsia"/>
          <w:color w:val="auto"/>
          <w:szCs w:val="22"/>
        </w:rPr>
        <w:t>》</w:t>
      </w:r>
      <w:r w:rsidRPr="00060427">
        <w:rPr>
          <w:rStyle w:val="old"/>
          <w:rFonts w:eastAsia="標楷體"/>
          <w:color w:val="auto"/>
          <w:szCs w:val="22"/>
        </w:rPr>
        <w:t>等。</w:t>
      </w:r>
    </w:p>
  </w:footnote>
  <w:footnote w:id="1095">
    <w:p w:rsidR="00157EF6" w:rsidRPr="00412A9C" w:rsidRDefault="00157EF6" w:rsidP="00AA120F">
      <w:pPr>
        <w:pStyle w:val="a5"/>
        <w:ind w:left="187" w:hangingChars="85" w:hanging="187"/>
        <w:jc w:val="both"/>
        <w:rPr>
          <w:szCs w:val="22"/>
        </w:rPr>
      </w:pPr>
      <w:r w:rsidRPr="00412A9C">
        <w:rPr>
          <w:rStyle w:val="a6"/>
          <w:szCs w:val="22"/>
        </w:rPr>
        <w:footnoteRef/>
      </w:r>
      <w:r w:rsidRPr="00412A9C">
        <w:rPr>
          <w:szCs w:val="22"/>
        </w:rPr>
        <w:t xml:space="preserve"> </w:t>
      </w:r>
      <w:r w:rsidRPr="00412A9C">
        <w:rPr>
          <w:rFonts w:hint="eastAsia"/>
          <w:szCs w:val="22"/>
        </w:rPr>
        <w:t>臻（ㄓㄣ）：</w:t>
      </w:r>
      <w:r w:rsidRPr="00761EF3">
        <w:rPr>
          <w:rFonts w:hint="eastAsia"/>
          <w:szCs w:val="22"/>
        </w:rPr>
        <w:t>1</w:t>
      </w:r>
      <w:r w:rsidRPr="00412A9C">
        <w:rPr>
          <w:rFonts w:hint="eastAsia"/>
          <w:szCs w:val="22"/>
        </w:rPr>
        <w:t>.</w:t>
      </w:r>
      <w:r w:rsidRPr="00412A9C">
        <w:rPr>
          <w:rFonts w:hint="eastAsia"/>
          <w:szCs w:val="22"/>
        </w:rPr>
        <w:t>到，達到。</w:t>
      </w:r>
      <w:r w:rsidRPr="00412A9C">
        <w:rPr>
          <w:szCs w:val="22"/>
        </w:rPr>
        <w:t>（</w:t>
      </w:r>
      <w:r w:rsidRPr="00DB5FC5">
        <w:rPr>
          <w:rStyle w:val="af3"/>
          <w:b w:val="0"/>
          <w:szCs w:val="22"/>
        </w:rPr>
        <w:t>《漢語大</w:t>
      </w:r>
      <w:r w:rsidRPr="00DB5FC5">
        <w:rPr>
          <w:rStyle w:val="af3"/>
          <w:rFonts w:hint="eastAsia"/>
          <w:b w:val="0"/>
          <w:szCs w:val="22"/>
        </w:rPr>
        <w:t>詞</w:t>
      </w:r>
      <w:r w:rsidRPr="00DB5FC5">
        <w:rPr>
          <w:rStyle w:val="af3"/>
          <w:b w:val="0"/>
          <w:szCs w:val="22"/>
        </w:rPr>
        <w:t>典》（</w:t>
      </w:r>
      <w:r w:rsidRPr="00DB5FC5">
        <w:rPr>
          <w:rStyle w:val="af3"/>
          <w:rFonts w:hint="eastAsia"/>
          <w:b w:val="0"/>
          <w:szCs w:val="22"/>
        </w:rPr>
        <w:t>八</w:t>
      </w:r>
      <w:r w:rsidRPr="00DB5FC5">
        <w:rPr>
          <w:rStyle w:val="af3"/>
          <w:b w:val="0"/>
          <w:szCs w:val="22"/>
        </w:rPr>
        <w:t>）</w:t>
      </w:r>
      <w:r w:rsidRPr="00DB5FC5">
        <w:rPr>
          <w:rFonts w:hint="eastAsia"/>
          <w:szCs w:val="22"/>
        </w:rPr>
        <w:t>，</w:t>
      </w:r>
      <w:r w:rsidRPr="00761EF3">
        <w:rPr>
          <w:rStyle w:val="af3"/>
          <w:b w:val="0"/>
          <w:szCs w:val="22"/>
        </w:rPr>
        <w:t>p</w:t>
      </w:r>
      <w:r w:rsidRPr="00DB5FC5">
        <w:rPr>
          <w:rStyle w:val="af3"/>
          <w:b w:val="0"/>
          <w:szCs w:val="22"/>
        </w:rPr>
        <w:t>.</w:t>
      </w:r>
      <w:r w:rsidRPr="00761EF3">
        <w:rPr>
          <w:rStyle w:val="af3"/>
          <w:b w:val="0"/>
          <w:szCs w:val="22"/>
        </w:rPr>
        <w:t>8</w:t>
      </w:r>
      <w:r w:rsidRPr="00761EF3">
        <w:rPr>
          <w:rStyle w:val="af3"/>
          <w:rFonts w:hint="eastAsia"/>
          <w:b w:val="0"/>
          <w:szCs w:val="22"/>
        </w:rPr>
        <w:t>0</w:t>
      </w:r>
      <w:r w:rsidRPr="00761EF3">
        <w:rPr>
          <w:rStyle w:val="af3"/>
          <w:b w:val="0"/>
          <w:szCs w:val="22"/>
        </w:rPr>
        <w:t>0</w:t>
      </w:r>
      <w:r w:rsidRPr="00DB5FC5">
        <w:rPr>
          <w:rStyle w:val="af3"/>
          <w:b w:val="0"/>
          <w:szCs w:val="22"/>
        </w:rPr>
        <w:t>）</w:t>
      </w:r>
    </w:p>
  </w:footnote>
  <w:footnote w:id="1096">
    <w:p w:rsidR="00157EF6" w:rsidRPr="00412A9C" w:rsidRDefault="00157EF6" w:rsidP="00AA120F">
      <w:pPr>
        <w:pStyle w:val="a5"/>
        <w:ind w:left="187" w:hangingChars="85" w:hanging="187"/>
        <w:jc w:val="both"/>
        <w:rPr>
          <w:szCs w:val="22"/>
        </w:rPr>
      </w:pPr>
      <w:r w:rsidRPr="00412A9C">
        <w:rPr>
          <w:rStyle w:val="a6"/>
          <w:szCs w:val="22"/>
        </w:rPr>
        <w:footnoteRef/>
      </w:r>
      <w:r w:rsidRPr="00412A9C">
        <w:rPr>
          <w:rFonts w:hint="eastAsia"/>
          <w:szCs w:val="22"/>
        </w:rPr>
        <w:t xml:space="preserve"> </w:t>
      </w:r>
      <w:r w:rsidRPr="00412A9C">
        <w:rPr>
          <w:rFonts w:hint="eastAsia"/>
          <w:szCs w:val="22"/>
        </w:rPr>
        <w:t>差降：按等第遞降。（《漢語大詞典》（二），</w:t>
      </w:r>
      <w:r w:rsidRPr="00761EF3">
        <w:rPr>
          <w:rFonts w:hint="eastAsia"/>
          <w:szCs w:val="22"/>
        </w:rPr>
        <w:t>p</w:t>
      </w:r>
      <w:r w:rsidRPr="00412A9C">
        <w:rPr>
          <w:rFonts w:hint="eastAsia"/>
          <w:szCs w:val="22"/>
        </w:rPr>
        <w:t>.</w:t>
      </w:r>
      <w:r w:rsidRPr="00761EF3">
        <w:rPr>
          <w:rFonts w:hint="eastAsia"/>
          <w:szCs w:val="22"/>
        </w:rPr>
        <w:t>976</w:t>
      </w:r>
      <w:r w:rsidRPr="00412A9C">
        <w:rPr>
          <w:rFonts w:hint="eastAsia"/>
          <w:szCs w:val="22"/>
        </w:rPr>
        <w:t>）</w:t>
      </w:r>
    </w:p>
  </w:footnote>
  <w:footnote w:id="1097">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009160B5">
        <w:rPr>
          <w:szCs w:val="22"/>
        </w:rPr>
        <w:t>參見：印</w:t>
      </w:r>
      <w:r w:rsidRPr="00412A9C">
        <w:rPr>
          <w:szCs w:val="22"/>
        </w:rPr>
        <w:t>順法師</w:t>
      </w:r>
      <w:r w:rsidRPr="00412A9C">
        <w:rPr>
          <w:rFonts w:hint="eastAsia"/>
          <w:szCs w:val="22"/>
        </w:rPr>
        <w:t>，</w:t>
      </w:r>
      <w:r w:rsidRPr="00412A9C">
        <w:rPr>
          <w:szCs w:val="22"/>
        </w:rPr>
        <w:t>《性空學探源》</w:t>
      </w:r>
      <w:r w:rsidRPr="00412A9C">
        <w:rPr>
          <w:rFonts w:hint="eastAsia"/>
          <w:szCs w:val="22"/>
        </w:rPr>
        <w:t>，</w:t>
      </w:r>
      <w:r w:rsidRPr="00761EF3">
        <w:rPr>
          <w:szCs w:val="22"/>
        </w:rPr>
        <w:t>p</w:t>
      </w:r>
      <w:r w:rsidRPr="00412A9C">
        <w:rPr>
          <w:szCs w:val="22"/>
        </w:rPr>
        <w:t>.</w:t>
      </w:r>
      <w:r w:rsidRPr="00761EF3">
        <w:rPr>
          <w:szCs w:val="22"/>
        </w:rPr>
        <w:t>5</w:t>
      </w:r>
      <w:r w:rsidRPr="00412A9C">
        <w:rPr>
          <w:szCs w:val="22"/>
        </w:rPr>
        <w:t>：</w:t>
      </w:r>
    </w:p>
    <w:p w:rsidR="00157EF6" w:rsidRPr="00412A9C" w:rsidRDefault="00157EF6" w:rsidP="00AA120F">
      <w:pPr>
        <w:snapToGrid w:val="0"/>
        <w:ind w:leftChars="105" w:left="252"/>
        <w:jc w:val="both"/>
        <w:rPr>
          <w:rFonts w:ascii="Times New Roman" w:eastAsia="標楷體" w:hAnsi="Times New Roman"/>
          <w:sz w:val="22"/>
          <w:szCs w:val="22"/>
        </w:rPr>
      </w:pPr>
      <w:r w:rsidRPr="00412A9C">
        <w:rPr>
          <w:rFonts w:ascii="Times New Roman" w:eastAsia="標楷體" w:hAnsi="Times New Roman"/>
          <w:sz w:val="22"/>
          <w:szCs w:val="22"/>
        </w:rPr>
        <w:t>佛教初分為四大派，隱然的形成兩大流，可以說：</w:t>
      </w:r>
      <w:r w:rsidRPr="00412A9C">
        <w:rPr>
          <w:rFonts w:ascii="Times New Roman" w:eastAsia="標楷體" w:hAnsi="Times New Roman"/>
          <w:b/>
          <w:sz w:val="22"/>
          <w:szCs w:val="22"/>
        </w:rPr>
        <w:t>大眾系與分別說系是空宗，犢子系與說一切有系是有宗。此兩大流的發展，引出大乘小乘的分化，小乘是有宗，大乘（經）就是空宗。</w:t>
      </w:r>
      <w:r w:rsidRPr="00412A9C">
        <w:rPr>
          <w:rFonts w:ascii="Times New Roman" w:eastAsia="標楷體" w:hAnsi="Times New Roman"/>
          <w:sz w:val="22"/>
          <w:szCs w:val="22"/>
        </w:rPr>
        <w:t>等到大乘分化，如</w:t>
      </w:r>
      <w:r w:rsidRPr="00412A9C">
        <w:rPr>
          <w:rFonts w:ascii="Times New Roman" w:eastAsia="標楷體" w:hAnsi="Times New Roman"/>
          <w:b/>
          <w:sz w:val="22"/>
          <w:szCs w:val="22"/>
        </w:rPr>
        <w:t>虛妄唯識</w:t>
      </w:r>
      <w:r w:rsidRPr="00412A9C">
        <w:rPr>
          <w:rFonts w:ascii="Times New Roman" w:eastAsia="標楷體" w:hAnsi="Times New Roman"/>
          <w:sz w:val="22"/>
          <w:szCs w:val="22"/>
        </w:rPr>
        <w:t>者的依他自相有，</w:t>
      </w:r>
      <w:r w:rsidRPr="00412A9C">
        <w:rPr>
          <w:rFonts w:ascii="Times New Roman" w:eastAsia="標楷體" w:hAnsi="Times New Roman"/>
          <w:b/>
          <w:sz w:val="22"/>
          <w:szCs w:val="22"/>
        </w:rPr>
        <w:t>真常唯心</w:t>
      </w:r>
      <w:r w:rsidRPr="00412A9C">
        <w:rPr>
          <w:rFonts w:ascii="Times New Roman" w:eastAsia="標楷體" w:hAnsi="Times New Roman"/>
          <w:sz w:val="22"/>
          <w:szCs w:val="22"/>
        </w:rPr>
        <w:t>者的真如實不空，就是</w:t>
      </w:r>
      <w:r w:rsidRPr="00412A9C">
        <w:rPr>
          <w:rFonts w:ascii="Times New Roman" w:eastAsia="標楷體" w:hAnsi="Times New Roman"/>
          <w:b/>
          <w:sz w:val="22"/>
          <w:szCs w:val="22"/>
        </w:rPr>
        <w:t>有宗</w:t>
      </w:r>
      <w:r w:rsidRPr="00412A9C">
        <w:rPr>
          <w:rFonts w:ascii="Times New Roman" w:eastAsia="標楷體" w:hAnsi="Times New Roman"/>
          <w:sz w:val="22"/>
          <w:szCs w:val="22"/>
        </w:rPr>
        <w:t>；而</w:t>
      </w:r>
      <w:r w:rsidRPr="00412A9C">
        <w:rPr>
          <w:rFonts w:ascii="Times New Roman" w:eastAsia="標楷體" w:hAnsi="Times New Roman"/>
          <w:b/>
          <w:sz w:val="22"/>
          <w:szCs w:val="22"/>
        </w:rPr>
        <w:t>龍樹學系</w:t>
      </w:r>
      <w:r w:rsidRPr="00412A9C">
        <w:rPr>
          <w:rFonts w:ascii="Times New Roman" w:eastAsia="標楷體" w:hAnsi="Times New Roman"/>
          <w:sz w:val="22"/>
          <w:szCs w:val="22"/>
        </w:rPr>
        <w:t>，才是名符其實的</w:t>
      </w:r>
      <w:r w:rsidRPr="00412A9C">
        <w:rPr>
          <w:rFonts w:ascii="Times New Roman" w:eastAsia="標楷體" w:hAnsi="Times New Roman"/>
          <w:b/>
          <w:sz w:val="22"/>
          <w:szCs w:val="22"/>
        </w:rPr>
        <w:t>空宗</w:t>
      </w:r>
      <w:r w:rsidRPr="00412A9C">
        <w:rPr>
          <w:rFonts w:ascii="Times New Roman" w:eastAsia="標楷體" w:hAnsi="Times New Roman"/>
          <w:sz w:val="22"/>
          <w:szCs w:val="22"/>
        </w:rPr>
        <w:t>（空宗並非不說有）。</w:t>
      </w:r>
    </w:p>
  </w:footnote>
  <w:footnote w:id="1098">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009160B5">
        <w:rPr>
          <w:szCs w:val="22"/>
        </w:rPr>
        <w:t>參見：印</w:t>
      </w:r>
      <w:r w:rsidRPr="00412A9C">
        <w:rPr>
          <w:szCs w:val="22"/>
        </w:rPr>
        <w:t>順法師</w:t>
      </w:r>
      <w:r w:rsidRPr="00412A9C">
        <w:rPr>
          <w:rFonts w:hint="eastAsia"/>
          <w:szCs w:val="22"/>
        </w:rPr>
        <w:t>，</w:t>
      </w:r>
      <w:r w:rsidRPr="00412A9C">
        <w:rPr>
          <w:szCs w:val="22"/>
        </w:rPr>
        <w:t>《性空學探源》</w:t>
      </w:r>
      <w:r w:rsidRPr="00412A9C">
        <w:rPr>
          <w:rFonts w:hint="eastAsia"/>
          <w:szCs w:val="22"/>
        </w:rPr>
        <w:t>，</w:t>
      </w:r>
      <w:r w:rsidRPr="00761EF3">
        <w:rPr>
          <w:szCs w:val="22"/>
        </w:rPr>
        <w:t>pp</w:t>
      </w:r>
      <w:r w:rsidRPr="00412A9C">
        <w:rPr>
          <w:szCs w:val="22"/>
        </w:rPr>
        <w:t>.</w:t>
      </w:r>
      <w:r w:rsidRPr="00761EF3">
        <w:rPr>
          <w:szCs w:val="22"/>
        </w:rPr>
        <w:t>5</w:t>
      </w:r>
      <w:r w:rsidRPr="00412A9C">
        <w:rPr>
          <w:szCs w:val="22"/>
        </w:rPr>
        <w:t>-</w:t>
      </w:r>
      <w:r w:rsidRPr="00761EF3">
        <w:rPr>
          <w:szCs w:val="22"/>
        </w:rPr>
        <w:t>6</w:t>
      </w:r>
      <w:r w:rsidRPr="00412A9C">
        <w:rPr>
          <w:szCs w:val="22"/>
        </w:rPr>
        <w:t>：</w:t>
      </w:r>
    </w:p>
    <w:p w:rsidR="00157EF6" w:rsidRDefault="00157EF6" w:rsidP="00AA120F">
      <w:pPr>
        <w:snapToGrid w:val="0"/>
        <w:ind w:leftChars="105" w:left="252"/>
        <w:jc w:val="both"/>
        <w:rPr>
          <w:rFonts w:ascii="Times New Roman" w:eastAsia="標楷體" w:hAnsi="Times New Roman"/>
          <w:sz w:val="22"/>
          <w:szCs w:val="22"/>
        </w:rPr>
      </w:pPr>
      <w:r w:rsidRPr="00412A9C">
        <w:rPr>
          <w:rFonts w:ascii="Times New Roman" w:eastAsia="標楷體" w:hAnsi="Times New Roman"/>
          <w:sz w:val="22"/>
          <w:szCs w:val="22"/>
        </w:rPr>
        <w:t>何為空宗？何為有宗？此義極明白而又極難說。</w:t>
      </w:r>
      <w:r w:rsidRPr="00412A9C">
        <w:rPr>
          <w:rFonts w:ascii="Times New Roman" w:eastAsia="標楷體" w:hAnsi="Times New Roman"/>
          <w:b/>
          <w:sz w:val="22"/>
          <w:szCs w:val="22"/>
        </w:rPr>
        <w:t>扼要的說，空宗與有宗，在乎方法論的不同</w:t>
      </w:r>
      <w:r w:rsidRPr="00412A9C">
        <w:rPr>
          <w:rFonts w:ascii="Times New Roman" w:eastAsia="標楷體" w:hAnsi="Times New Roman"/>
          <w:sz w:val="22"/>
          <w:szCs w:val="22"/>
        </w:rPr>
        <w:t>。</w:t>
      </w:r>
    </w:p>
    <w:p w:rsidR="00157EF6" w:rsidRPr="000C6D5D" w:rsidRDefault="00157EF6" w:rsidP="00AE3920">
      <w:pPr>
        <w:snapToGrid w:val="0"/>
        <w:spacing w:beforeLines="20"/>
        <w:ind w:leftChars="105" w:left="252"/>
        <w:jc w:val="both"/>
        <w:rPr>
          <w:rFonts w:ascii="Times New Roman" w:eastAsia="標楷體" w:hAnsi="Times New Roman"/>
          <w:b/>
          <w:sz w:val="22"/>
          <w:szCs w:val="22"/>
        </w:rPr>
      </w:pPr>
      <w:r w:rsidRPr="000C6D5D">
        <w:rPr>
          <w:rFonts w:ascii="Times New Roman" w:eastAsia="標楷體" w:hAnsi="Times New Roman"/>
          <w:b/>
          <w:sz w:val="22"/>
          <w:szCs w:val="22"/>
        </w:rPr>
        <w:t>凡主張「他空」</w:t>
      </w:r>
      <w:r w:rsidR="002B26CA">
        <w:rPr>
          <w:rFonts w:ascii="標楷體" w:eastAsia="標楷體" w:hAnsi="標楷體" w:hint="eastAsia"/>
          <w:b/>
          <w:sz w:val="22"/>
          <w:szCs w:val="22"/>
        </w:rPr>
        <w:t>──</w:t>
      </w:r>
      <w:r w:rsidRPr="000C6D5D">
        <w:rPr>
          <w:rFonts w:ascii="Times New Roman" w:eastAsia="標楷體" w:hAnsi="Times New Roman"/>
          <w:b/>
          <w:sz w:val="22"/>
          <w:szCs w:val="22"/>
        </w:rPr>
        <w:t>以「此法是空，餘法不空」為立論原則，就是主張空者不有、有者不空的，雖說空而歸結到有，是有宗。</w:t>
      </w:r>
    </w:p>
    <w:p w:rsidR="00157EF6" w:rsidRPr="000C6D5D" w:rsidRDefault="00157EF6" w:rsidP="00AE3920">
      <w:pPr>
        <w:snapToGrid w:val="0"/>
        <w:spacing w:beforeLines="20"/>
        <w:ind w:leftChars="105" w:left="252"/>
        <w:jc w:val="both"/>
        <w:rPr>
          <w:rFonts w:ascii="Times New Roman" w:eastAsia="標楷體" w:hAnsi="Times New Roman"/>
          <w:b/>
          <w:sz w:val="22"/>
          <w:szCs w:val="22"/>
        </w:rPr>
      </w:pPr>
      <w:r w:rsidRPr="000C6D5D">
        <w:rPr>
          <w:rFonts w:ascii="Times New Roman" w:eastAsia="標楷體" w:hAnsi="Times New Roman"/>
          <w:b/>
          <w:sz w:val="22"/>
          <w:szCs w:val="22"/>
        </w:rPr>
        <w:t>凡主張「自空」</w:t>
      </w:r>
      <w:r w:rsidR="002B26CA">
        <w:rPr>
          <w:rFonts w:ascii="標楷體" w:eastAsia="標楷體" w:hAnsi="標楷體" w:hint="eastAsia"/>
          <w:b/>
          <w:sz w:val="22"/>
          <w:szCs w:val="22"/>
        </w:rPr>
        <w:t>──</w:t>
      </w:r>
      <w:r w:rsidRPr="000C6D5D">
        <w:rPr>
          <w:rFonts w:ascii="Times New Roman" w:eastAsia="標楷體" w:hAnsi="Times New Roman"/>
          <w:b/>
          <w:sz w:val="22"/>
          <w:szCs w:val="22"/>
        </w:rPr>
        <w:t>以「此法有故，此法即空」為立論原則，就是有而即空，空而即有的，雖說有而歸結到空，是空宗。</w:t>
      </w:r>
    </w:p>
    <w:p w:rsidR="00157EF6" w:rsidRPr="000C6D5D" w:rsidRDefault="00157EF6" w:rsidP="00AE3920">
      <w:pPr>
        <w:snapToGrid w:val="0"/>
        <w:spacing w:beforeLines="20"/>
        <w:ind w:leftChars="105" w:left="252"/>
        <w:jc w:val="both"/>
        <w:rPr>
          <w:rFonts w:ascii="Times New Roman" w:eastAsia="標楷體" w:hAnsi="Times New Roman"/>
          <w:sz w:val="22"/>
          <w:szCs w:val="22"/>
        </w:rPr>
      </w:pPr>
      <w:r w:rsidRPr="000C6D5D">
        <w:rPr>
          <w:rFonts w:ascii="Times New Roman" w:eastAsia="標楷體" w:hAnsi="Times New Roman"/>
          <w:sz w:val="22"/>
          <w:szCs w:val="22"/>
        </w:rPr>
        <w:t>依著此項原則，</w:t>
      </w:r>
      <w:r w:rsidRPr="000C6D5D">
        <w:rPr>
          <w:rFonts w:ascii="Times New Roman" w:eastAsia="標楷體" w:hAnsi="Times New Roman"/>
          <w:b/>
          <w:sz w:val="22"/>
          <w:szCs w:val="22"/>
        </w:rPr>
        <w:t>在認識論上，「緣有故知」是有宗，「無實亦知」是空宗。</w:t>
      </w:r>
    </w:p>
    <w:p w:rsidR="00157EF6" w:rsidRPr="000C6D5D" w:rsidRDefault="00157EF6" w:rsidP="00AE3920">
      <w:pPr>
        <w:snapToGrid w:val="0"/>
        <w:spacing w:beforeLines="20"/>
        <w:ind w:leftChars="105" w:left="252"/>
        <w:jc w:val="both"/>
        <w:rPr>
          <w:rFonts w:ascii="Times New Roman" w:eastAsia="標楷體" w:hAnsi="Times New Roman"/>
          <w:b/>
          <w:sz w:val="22"/>
          <w:szCs w:val="22"/>
        </w:rPr>
      </w:pPr>
      <w:r w:rsidRPr="000C6D5D">
        <w:rPr>
          <w:rFonts w:ascii="Times New Roman" w:eastAsia="標楷體" w:hAnsi="Times New Roman"/>
          <w:b/>
          <w:sz w:val="22"/>
          <w:szCs w:val="22"/>
        </w:rPr>
        <w:t>在因果依存的現象論上，「假必依實」是有宗</w:t>
      </w:r>
      <w:r w:rsidRPr="000C6D5D">
        <w:rPr>
          <w:rFonts w:ascii="Times New Roman" w:eastAsia="標楷體" w:hAnsi="Times New Roman" w:hint="eastAsia"/>
          <w:b/>
          <w:sz w:val="22"/>
          <w:szCs w:val="22"/>
        </w:rPr>
        <w:t>；</w:t>
      </w:r>
      <w:r w:rsidRPr="000C6D5D">
        <w:rPr>
          <w:rFonts w:ascii="Times New Roman" w:eastAsia="標楷體" w:hAnsi="Times New Roman"/>
          <w:b/>
          <w:sz w:val="22"/>
          <w:szCs w:val="22"/>
        </w:rPr>
        <w:t>「以有空義故，一切法得成」是空宗。</w:t>
      </w:r>
    </w:p>
    <w:p w:rsidR="00157EF6" w:rsidRPr="00412A9C" w:rsidRDefault="00157EF6" w:rsidP="00AE3920">
      <w:pPr>
        <w:snapToGrid w:val="0"/>
        <w:spacing w:beforeLines="20"/>
        <w:ind w:leftChars="105" w:left="252"/>
        <w:jc w:val="both"/>
        <w:rPr>
          <w:rFonts w:ascii="Times New Roman" w:eastAsia="標楷體" w:hAnsi="Times New Roman"/>
          <w:sz w:val="22"/>
          <w:szCs w:val="22"/>
        </w:rPr>
      </w:pPr>
      <w:r w:rsidRPr="000C6D5D">
        <w:rPr>
          <w:rFonts w:ascii="Times New Roman" w:eastAsia="標楷體" w:hAnsi="Times New Roman"/>
          <w:sz w:val="22"/>
          <w:szCs w:val="22"/>
        </w:rPr>
        <w:t>此等空有分宗的差別，在大乘中充分發揮；而思想的根原，早已在阿含經與毘曇論中顯出他的不同。所以對於空義的研究，雖應以「大乘空相應經」及《中觀論》為中心，但</w:t>
      </w:r>
      <w:r w:rsidRPr="00412A9C">
        <w:rPr>
          <w:rFonts w:ascii="Times New Roman" w:eastAsia="標楷體" w:hAnsi="Times New Roman"/>
          <w:sz w:val="22"/>
          <w:szCs w:val="22"/>
        </w:rPr>
        <w:t>能從阿含及毘曇中去探求，更能明確地把握空與有的根本歧異，更能理解大乘空義的真相，不被有宗學者所惑亂。</w:t>
      </w:r>
    </w:p>
  </w:footnote>
  <w:footnote w:id="1099">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rFonts w:hint="eastAsia"/>
          <w:szCs w:val="22"/>
        </w:rPr>
        <w:t>（</w:t>
      </w:r>
      <w:r w:rsidRPr="00761EF3">
        <w:rPr>
          <w:rFonts w:hint="eastAsia"/>
          <w:szCs w:val="22"/>
        </w:rPr>
        <w:t>1</w:t>
      </w:r>
      <w:r w:rsidRPr="00412A9C">
        <w:rPr>
          <w:rFonts w:hint="eastAsia"/>
          <w:szCs w:val="22"/>
        </w:rPr>
        <w:t>）《阿毘達磨俱舍論》卷</w:t>
      </w:r>
      <w:r w:rsidRPr="00761EF3">
        <w:rPr>
          <w:rFonts w:hint="eastAsia"/>
          <w:szCs w:val="22"/>
        </w:rPr>
        <w:t>4</w:t>
      </w:r>
      <w:r w:rsidRPr="00412A9C">
        <w:rPr>
          <w:rFonts w:hint="eastAsia"/>
          <w:szCs w:val="22"/>
        </w:rPr>
        <w:t>〈</w:t>
      </w:r>
      <w:r w:rsidRPr="00761EF3">
        <w:rPr>
          <w:rFonts w:hint="eastAsia"/>
          <w:szCs w:val="22"/>
        </w:rPr>
        <w:t>2</w:t>
      </w:r>
      <w:r w:rsidRPr="00412A9C">
        <w:rPr>
          <w:rFonts w:hint="eastAsia"/>
          <w:szCs w:val="22"/>
        </w:rPr>
        <w:t xml:space="preserve"> </w:t>
      </w:r>
      <w:r w:rsidRPr="00412A9C">
        <w:rPr>
          <w:rFonts w:hint="eastAsia"/>
          <w:szCs w:val="22"/>
        </w:rPr>
        <w:t>分別根品〉（大正</w:t>
      </w:r>
      <w:r w:rsidRPr="00761EF3">
        <w:rPr>
          <w:rFonts w:hint="eastAsia"/>
          <w:szCs w:val="22"/>
        </w:rPr>
        <w:t>29</w:t>
      </w:r>
      <w:r w:rsidRPr="00412A9C">
        <w:rPr>
          <w:rFonts w:hint="eastAsia"/>
          <w:szCs w:val="22"/>
        </w:rPr>
        <w:t>，</w:t>
      </w:r>
      <w:r w:rsidRPr="00761EF3">
        <w:rPr>
          <w:rFonts w:hint="eastAsia"/>
          <w:szCs w:val="22"/>
        </w:rPr>
        <w:t>18b22</w:t>
      </w:r>
      <w:r w:rsidRPr="00412A9C">
        <w:rPr>
          <w:rFonts w:hint="eastAsia"/>
          <w:szCs w:val="22"/>
        </w:rPr>
        <w:t>-</w:t>
      </w:r>
      <w:r w:rsidRPr="00761EF3">
        <w:rPr>
          <w:rFonts w:hint="eastAsia"/>
          <w:szCs w:val="22"/>
        </w:rPr>
        <w:t>25</w:t>
      </w:r>
      <w:r w:rsidRPr="00412A9C">
        <w:rPr>
          <w:rFonts w:hint="eastAsia"/>
          <w:szCs w:val="22"/>
        </w:rPr>
        <w:t>）：</w:t>
      </w:r>
    </w:p>
    <w:p w:rsidR="00157EF6" w:rsidRPr="00412A9C" w:rsidRDefault="00157EF6" w:rsidP="00AA120F">
      <w:pPr>
        <w:pStyle w:val="a5"/>
        <w:ind w:leftChars="335" w:left="804"/>
        <w:jc w:val="both"/>
        <w:rPr>
          <w:szCs w:val="22"/>
        </w:rPr>
      </w:pPr>
      <w:r w:rsidRPr="00412A9C">
        <w:rPr>
          <w:rFonts w:ascii="標楷體" w:eastAsia="標楷體" w:hAnsi="標楷體" w:hint="eastAsia"/>
          <w:szCs w:val="22"/>
        </w:rPr>
        <w:t>色聚極細，立</w:t>
      </w:r>
      <w:r w:rsidR="003D3023">
        <w:rPr>
          <w:rFonts w:ascii="標楷體" w:eastAsia="標楷體" w:hAnsi="標楷體" w:hint="eastAsia"/>
          <w:bCs/>
          <w:color w:val="FF0000"/>
          <w:kern w:val="0"/>
          <w:highlight w:val="yellow"/>
        </w:rPr>
        <w:t>「</w:t>
      </w:r>
      <w:r w:rsidRPr="00412A9C">
        <w:rPr>
          <w:rFonts w:ascii="標楷體" w:eastAsia="標楷體" w:hAnsi="標楷體" w:hint="eastAsia"/>
          <w:szCs w:val="22"/>
        </w:rPr>
        <w:t>微聚</w:t>
      </w:r>
      <w:r w:rsidR="003D3023">
        <w:rPr>
          <w:rFonts w:ascii="標楷體" w:eastAsia="標楷體" w:hAnsi="標楷體" w:hint="eastAsia"/>
          <w:bCs/>
          <w:color w:val="FF0000"/>
          <w:kern w:val="0"/>
          <w:highlight w:val="yellow"/>
        </w:rPr>
        <w:t>」</w:t>
      </w:r>
      <w:r w:rsidRPr="00412A9C">
        <w:rPr>
          <w:rFonts w:ascii="標楷體" w:eastAsia="標楷體" w:hAnsi="標楷體" w:hint="eastAsia"/>
          <w:szCs w:val="22"/>
        </w:rPr>
        <w:t>名，為顯</w:t>
      </w:r>
      <w:r w:rsidR="003D3023">
        <w:rPr>
          <w:rFonts w:ascii="標楷體" w:eastAsia="標楷體" w:hAnsi="標楷體" w:hint="eastAsia"/>
          <w:bCs/>
          <w:color w:val="FF0000"/>
          <w:kern w:val="0"/>
          <w:highlight w:val="yellow"/>
        </w:rPr>
        <w:t>「</w:t>
      </w:r>
      <w:r w:rsidRPr="00412A9C">
        <w:rPr>
          <w:rFonts w:ascii="標楷體" w:eastAsia="標楷體" w:hAnsi="標楷體" w:hint="eastAsia"/>
          <w:szCs w:val="22"/>
        </w:rPr>
        <w:t>更無細於此者</w:t>
      </w:r>
      <w:r w:rsidR="003D3023">
        <w:rPr>
          <w:rFonts w:ascii="標楷體" w:eastAsia="標楷體" w:hAnsi="標楷體" w:hint="eastAsia"/>
          <w:bCs/>
          <w:color w:val="FF0000"/>
          <w:kern w:val="0"/>
          <w:highlight w:val="yellow"/>
        </w:rPr>
        <w:t>」</w:t>
      </w:r>
      <w:r w:rsidRPr="00412A9C">
        <w:rPr>
          <w:rFonts w:ascii="標楷體" w:eastAsia="標楷體" w:hAnsi="標楷體" w:hint="eastAsia"/>
          <w:szCs w:val="22"/>
        </w:rPr>
        <w:t>。此在欲界，無聲</w:t>
      </w:r>
      <w:r w:rsidR="003D3023">
        <w:rPr>
          <w:rFonts w:ascii="標楷體" w:eastAsia="標楷體" w:hAnsi="標楷體" w:hint="eastAsia"/>
          <w:color w:val="FF0000"/>
          <w:spacing w:val="-4"/>
          <w:kern w:val="0"/>
          <w:highlight w:val="yellow"/>
        </w:rPr>
        <w:t>、</w:t>
      </w:r>
      <w:r w:rsidRPr="00412A9C">
        <w:rPr>
          <w:rFonts w:ascii="標楷體" w:eastAsia="標楷體" w:hAnsi="標楷體" w:hint="eastAsia"/>
          <w:szCs w:val="22"/>
        </w:rPr>
        <w:t>無根，八事俱生，隨一不減。云何八事？謂四大種及四所造──</w:t>
      </w:r>
      <w:r w:rsidRPr="00412A9C">
        <w:rPr>
          <w:rFonts w:ascii="標楷體" w:eastAsia="標楷體" w:hAnsi="標楷體"/>
          <w:szCs w:val="22"/>
        </w:rPr>
        <w:t>色</w:t>
      </w:r>
      <w:r w:rsidRPr="00412A9C">
        <w:rPr>
          <w:rFonts w:ascii="標楷體" w:eastAsia="標楷體" w:hAnsi="標楷體" w:hint="eastAsia"/>
          <w:szCs w:val="22"/>
        </w:rPr>
        <w:t>、</w:t>
      </w:r>
      <w:r w:rsidRPr="00412A9C">
        <w:rPr>
          <w:rFonts w:ascii="標楷體" w:eastAsia="標楷體" w:hAnsi="標楷體"/>
          <w:szCs w:val="22"/>
        </w:rPr>
        <w:t>香</w:t>
      </w:r>
      <w:r w:rsidRPr="00412A9C">
        <w:rPr>
          <w:rFonts w:ascii="標楷體" w:eastAsia="標楷體" w:hAnsi="標楷體" w:hint="eastAsia"/>
          <w:szCs w:val="22"/>
        </w:rPr>
        <w:t>、</w:t>
      </w:r>
      <w:r w:rsidRPr="00412A9C">
        <w:rPr>
          <w:rFonts w:ascii="標楷體" w:eastAsia="標楷體" w:hAnsi="標楷體"/>
          <w:szCs w:val="22"/>
        </w:rPr>
        <w:t>味</w:t>
      </w:r>
      <w:r w:rsidRPr="00412A9C">
        <w:rPr>
          <w:rFonts w:ascii="標楷體" w:eastAsia="標楷體" w:hAnsi="標楷體" w:hint="eastAsia"/>
          <w:szCs w:val="22"/>
        </w:rPr>
        <w:t>、</w:t>
      </w:r>
      <w:r w:rsidRPr="00412A9C">
        <w:rPr>
          <w:rFonts w:ascii="標楷體" w:eastAsia="標楷體" w:hAnsi="標楷體"/>
          <w:szCs w:val="22"/>
        </w:rPr>
        <w:t>觸。</w:t>
      </w:r>
    </w:p>
    <w:p w:rsidR="00157EF6" w:rsidRPr="00412A9C" w:rsidRDefault="00157EF6" w:rsidP="00AA120F">
      <w:pPr>
        <w:pStyle w:val="a5"/>
        <w:ind w:leftChars="105" w:left="791" w:hangingChars="245" w:hanging="539"/>
        <w:jc w:val="both"/>
        <w:rPr>
          <w:rFonts w:ascii="標楷體" w:eastAsia="標楷體" w:hAnsi="標楷體"/>
          <w:szCs w:val="22"/>
        </w:rPr>
      </w:pPr>
      <w:r w:rsidRPr="00412A9C">
        <w:rPr>
          <w:rFonts w:hint="eastAsia"/>
          <w:szCs w:val="22"/>
        </w:rPr>
        <w:t>（</w:t>
      </w:r>
      <w:r w:rsidRPr="00761EF3">
        <w:rPr>
          <w:rFonts w:hint="eastAsia"/>
          <w:szCs w:val="22"/>
        </w:rPr>
        <w:t>2</w:t>
      </w:r>
      <w:r w:rsidRPr="00412A9C">
        <w:rPr>
          <w:rFonts w:hint="eastAsia"/>
          <w:szCs w:val="22"/>
        </w:rPr>
        <w:t>）參見〔唐〕普光述</w:t>
      </w:r>
      <w:r w:rsidRPr="00412A9C">
        <w:rPr>
          <w:szCs w:val="22"/>
        </w:rPr>
        <w:t>，《俱舍論記》卷</w:t>
      </w:r>
      <w:r w:rsidRPr="00761EF3">
        <w:rPr>
          <w:szCs w:val="22"/>
        </w:rPr>
        <w:t>4</w:t>
      </w:r>
      <w:r w:rsidRPr="00412A9C">
        <w:rPr>
          <w:rFonts w:hint="eastAsia"/>
          <w:szCs w:val="22"/>
        </w:rPr>
        <w:t>（</w:t>
      </w:r>
      <w:r w:rsidRPr="00412A9C">
        <w:rPr>
          <w:szCs w:val="22"/>
        </w:rPr>
        <w:t>大正</w:t>
      </w:r>
      <w:r w:rsidRPr="00761EF3">
        <w:rPr>
          <w:szCs w:val="22"/>
        </w:rPr>
        <w:t>41</w:t>
      </w:r>
      <w:r w:rsidRPr="00412A9C">
        <w:rPr>
          <w:szCs w:val="22"/>
        </w:rPr>
        <w:t>，</w:t>
      </w:r>
      <w:r w:rsidRPr="00761EF3">
        <w:rPr>
          <w:szCs w:val="22"/>
        </w:rPr>
        <w:t>70b1</w:t>
      </w:r>
      <w:r w:rsidRPr="00761EF3">
        <w:rPr>
          <w:rFonts w:hint="eastAsia"/>
          <w:szCs w:val="22"/>
        </w:rPr>
        <w:t>8</w:t>
      </w:r>
      <w:r w:rsidRPr="00412A9C">
        <w:rPr>
          <w:szCs w:val="22"/>
        </w:rPr>
        <w:t>-</w:t>
      </w:r>
      <w:r w:rsidRPr="00761EF3">
        <w:rPr>
          <w:szCs w:val="22"/>
        </w:rPr>
        <w:t>27</w:t>
      </w:r>
      <w:r w:rsidRPr="00412A9C">
        <w:rPr>
          <w:rFonts w:hint="eastAsia"/>
          <w:szCs w:val="22"/>
        </w:rPr>
        <w:t>）</w:t>
      </w:r>
      <w:r w:rsidRPr="00412A9C">
        <w:rPr>
          <w:szCs w:val="22"/>
        </w:rPr>
        <w:t>：</w:t>
      </w:r>
    </w:p>
    <w:p w:rsidR="00C50B24" w:rsidRDefault="00157EF6" w:rsidP="00AA120F">
      <w:pPr>
        <w:pStyle w:val="a5"/>
        <w:ind w:leftChars="335" w:left="804"/>
        <w:jc w:val="both"/>
        <w:rPr>
          <w:rFonts w:ascii="標楷體" w:eastAsia="標楷體" w:hAnsi="標楷體"/>
          <w:szCs w:val="22"/>
        </w:rPr>
      </w:pPr>
      <w:r w:rsidRPr="00412A9C">
        <w:rPr>
          <w:rFonts w:ascii="標楷體" w:eastAsia="標楷體" w:hAnsi="標楷體"/>
          <w:b/>
          <w:szCs w:val="22"/>
        </w:rPr>
        <w:t>於欲界中</w:t>
      </w:r>
      <w:r w:rsidR="003D3023">
        <w:rPr>
          <w:rFonts w:ascii="標楷體" w:eastAsia="標楷體" w:hAnsi="標楷體" w:hint="eastAsia"/>
          <w:color w:val="FF0000"/>
          <w:kern w:val="0"/>
          <w:highlight w:val="yellow"/>
        </w:rPr>
        <w:t>，</w:t>
      </w:r>
      <w:r w:rsidRPr="00412A9C">
        <w:rPr>
          <w:rFonts w:ascii="標楷體" w:eastAsia="標楷體" w:hAnsi="標楷體"/>
          <w:b/>
          <w:szCs w:val="22"/>
        </w:rPr>
        <w:t>色聚極細，無聲</w:t>
      </w:r>
      <w:r w:rsidR="003D3023">
        <w:rPr>
          <w:rFonts w:ascii="標楷體" w:eastAsia="標楷體" w:hAnsi="標楷體" w:hint="eastAsia"/>
          <w:color w:val="FF0000"/>
          <w:spacing w:val="-4"/>
          <w:kern w:val="0"/>
          <w:highlight w:val="yellow"/>
        </w:rPr>
        <w:t>、</w:t>
      </w:r>
      <w:r w:rsidRPr="00412A9C">
        <w:rPr>
          <w:rFonts w:ascii="標楷體" w:eastAsia="標楷體" w:hAnsi="標楷體"/>
          <w:b/>
          <w:szCs w:val="22"/>
        </w:rPr>
        <w:t>無根，外山河等</w:t>
      </w:r>
      <w:r w:rsidR="003D3023">
        <w:rPr>
          <w:rFonts w:ascii="標楷體" w:eastAsia="標楷體" w:hAnsi="標楷體" w:hint="eastAsia"/>
          <w:color w:val="FF0000"/>
          <w:kern w:val="0"/>
          <w:highlight w:val="yellow"/>
        </w:rPr>
        <w:t>，</w:t>
      </w:r>
      <w:r w:rsidRPr="00412A9C">
        <w:rPr>
          <w:rFonts w:ascii="標楷體" w:eastAsia="標楷體" w:hAnsi="標楷體"/>
          <w:b/>
          <w:szCs w:val="22"/>
        </w:rPr>
        <w:t>猶八俱生</w:t>
      </w:r>
      <w:r w:rsidRPr="00412A9C">
        <w:rPr>
          <w:rFonts w:ascii="標楷體" w:eastAsia="標楷體" w:hAnsi="標楷體" w:hint="eastAsia"/>
          <w:b/>
          <w:szCs w:val="22"/>
        </w:rPr>
        <w:t>，</w:t>
      </w:r>
      <w:r w:rsidRPr="00412A9C">
        <w:rPr>
          <w:rFonts w:ascii="標楷體" w:eastAsia="標楷體" w:hAnsi="標楷體"/>
          <w:b/>
          <w:szCs w:val="22"/>
        </w:rPr>
        <w:t>隨一不減，立</w:t>
      </w:r>
      <w:r w:rsidRPr="00412A9C">
        <w:rPr>
          <w:rFonts w:ascii="標楷體" w:eastAsia="標楷體" w:hAnsi="標楷體" w:hint="eastAsia"/>
          <w:b/>
          <w:szCs w:val="22"/>
        </w:rPr>
        <w:t>「</w:t>
      </w:r>
      <w:r w:rsidRPr="00412A9C">
        <w:rPr>
          <w:rFonts w:ascii="標楷體" w:eastAsia="標楷體" w:hAnsi="標楷體"/>
          <w:b/>
          <w:szCs w:val="22"/>
        </w:rPr>
        <w:t>微聚</w:t>
      </w:r>
      <w:r w:rsidRPr="00412A9C">
        <w:rPr>
          <w:rFonts w:ascii="標楷體" w:eastAsia="標楷體" w:hAnsi="標楷體" w:hint="eastAsia"/>
          <w:b/>
          <w:szCs w:val="22"/>
        </w:rPr>
        <w:t>」</w:t>
      </w:r>
      <w:r w:rsidRPr="00412A9C">
        <w:rPr>
          <w:rFonts w:ascii="標楷體" w:eastAsia="標楷體" w:hAnsi="標楷體"/>
          <w:b/>
          <w:szCs w:val="22"/>
        </w:rPr>
        <w:t>名，為顯</w:t>
      </w:r>
      <w:r w:rsidR="003D3023">
        <w:rPr>
          <w:rFonts w:ascii="標楷體" w:eastAsia="標楷體" w:hAnsi="標楷體" w:hint="eastAsia"/>
          <w:bCs/>
          <w:color w:val="FF0000"/>
          <w:kern w:val="0"/>
          <w:highlight w:val="yellow"/>
        </w:rPr>
        <w:t>「</w:t>
      </w:r>
      <w:r w:rsidRPr="00412A9C">
        <w:rPr>
          <w:rFonts w:ascii="標楷體" w:eastAsia="標楷體" w:hAnsi="標楷體"/>
          <w:b/>
          <w:szCs w:val="22"/>
        </w:rPr>
        <w:t>更無細於此者</w:t>
      </w:r>
      <w:r w:rsidR="003D3023">
        <w:rPr>
          <w:rFonts w:ascii="標楷體" w:eastAsia="標楷體" w:hAnsi="標楷體" w:hint="eastAsia"/>
          <w:bCs/>
          <w:color w:val="FF0000"/>
          <w:kern w:val="0"/>
          <w:highlight w:val="yellow"/>
        </w:rPr>
        <w:t>」</w:t>
      </w:r>
      <w:r w:rsidRPr="00412A9C">
        <w:rPr>
          <w:rFonts w:ascii="標楷體" w:eastAsia="標楷體" w:hAnsi="標楷體"/>
          <w:szCs w:val="22"/>
        </w:rPr>
        <w:t>。言</w:t>
      </w:r>
      <w:r w:rsidRPr="00412A9C">
        <w:rPr>
          <w:rFonts w:ascii="標楷體" w:eastAsia="標楷體" w:hAnsi="標楷體" w:hint="eastAsia"/>
          <w:szCs w:val="22"/>
        </w:rPr>
        <w:t>「微聚」</w:t>
      </w:r>
      <w:r w:rsidRPr="00412A9C">
        <w:rPr>
          <w:rFonts w:ascii="標楷體" w:eastAsia="標楷體" w:hAnsi="標楷體"/>
          <w:szCs w:val="22"/>
        </w:rPr>
        <w:t>者，顯</w:t>
      </w:r>
      <w:r w:rsidR="003D3023">
        <w:rPr>
          <w:rFonts w:ascii="標楷體" w:eastAsia="標楷體" w:hAnsi="標楷體" w:hint="eastAsia"/>
          <w:bCs/>
          <w:color w:val="FF0000"/>
          <w:kern w:val="0"/>
          <w:highlight w:val="yellow"/>
        </w:rPr>
        <w:t>「</w:t>
      </w:r>
      <w:r w:rsidRPr="00412A9C">
        <w:rPr>
          <w:rFonts w:ascii="標楷體" w:eastAsia="標楷體" w:hAnsi="標楷體"/>
          <w:szCs w:val="22"/>
        </w:rPr>
        <w:t>細少聚</w:t>
      </w:r>
      <w:r w:rsidR="003D3023">
        <w:rPr>
          <w:rFonts w:ascii="標楷體" w:eastAsia="標楷體" w:hAnsi="標楷體" w:hint="eastAsia"/>
          <w:bCs/>
          <w:color w:val="FF0000"/>
          <w:kern w:val="0"/>
          <w:highlight w:val="yellow"/>
        </w:rPr>
        <w:t>」</w:t>
      </w:r>
      <w:r w:rsidR="00C50B24">
        <w:rPr>
          <w:rFonts w:ascii="標楷體" w:eastAsia="標楷體" w:hAnsi="標楷體" w:hint="eastAsia"/>
          <w:color w:val="FF0000"/>
          <w:szCs w:val="22"/>
          <w:highlight w:val="yellow"/>
        </w:rPr>
        <w:t>，</w:t>
      </w:r>
      <w:r w:rsidRPr="00412A9C">
        <w:rPr>
          <w:rFonts w:ascii="標楷體" w:eastAsia="標楷體" w:hAnsi="標楷體"/>
          <w:szCs w:val="22"/>
        </w:rPr>
        <w:t>謂色聚中極少細</w:t>
      </w:r>
      <w:r w:rsidRPr="00C50B24">
        <w:rPr>
          <w:rFonts w:ascii="標楷體" w:eastAsia="標楷體" w:hAnsi="標楷體"/>
          <w:szCs w:val="22"/>
          <w:highlight w:val="yellow"/>
        </w:rPr>
        <w:t>聚名</w:t>
      </w:r>
      <w:r w:rsidRPr="00412A9C">
        <w:rPr>
          <w:rFonts w:ascii="標楷體" w:eastAsia="標楷體" w:hAnsi="標楷體"/>
          <w:szCs w:val="22"/>
        </w:rPr>
        <w:t>為</w:t>
      </w:r>
      <w:r w:rsidRPr="00412A9C">
        <w:rPr>
          <w:rFonts w:ascii="標楷體" w:eastAsia="標楷體" w:hAnsi="標楷體" w:hint="eastAsia"/>
          <w:szCs w:val="22"/>
        </w:rPr>
        <w:t>「微聚」</w:t>
      </w:r>
      <w:r w:rsidR="00C50B24">
        <w:rPr>
          <w:rFonts w:ascii="標楷體" w:eastAsia="標楷體" w:hAnsi="標楷體" w:hint="eastAsia"/>
          <w:color w:val="FF0000"/>
          <w:szCs w:val="22"/>
          <w:highlight w:val="yellow"/>
        </w:rPr>
        <w:t>；</w:t>
      </w:r>
      <w:r w:rsidRPr="00412A9C">
        <w:rPr>
          <w:rFonts w:ascii="標楷體" w:eastAsia="標楷體" w:hAnsi="標楷體"/>
          <w:szCs w:val="22"/>
        </w:rPr>
        <w:t>即</w:t>
      </w:r>
      <w:r w:rsidR="003D3023">
        <w:rPr>
          <w:rFonts w:ascii="標楷體" w:eastAsia="標楷體" w:hAnsi="標楷體" w:hint="eastAsia"/>
          <w:bCs/>
          <w:color w:val="FF0000"/>
          <w:kern w:val="0"/>
          <w:highlight w:val="yellow"/>
        </w:rPr>
        <w:t>「</w:t>
      </w:r>
      <w:r w:rsidRPr="00412A9C">
        <w:rPr>
          <w:rFonts w:ascii="標楷體" w:eastAsia="標楷體" w:hAnsi="標楷體"/>
          <w:szCs w:val="22"/>
        </w:rPr>
        <w:t>微</w:t>
      </w:r>
      <w:r w:rsidR="003D3023">
        <w:rPr>
          <w:rFonts w:ascii="標楷體" w:eastAsia="標楷體" w:hAnsi="標楷體" w:hint="eastAsia"/>
          <w:bCs/>
          <w:color w:val="FF0000"/>
          <w:kern w:val="0"/>
          <w:highlight w:val="yellow"/>
        </w:rPr>
        <w:t>」</w:t>
      </w:r>
      <w:r w:rsidRPr="00412A9C">
        <w:rPr>
          <w:rFonts w:ascii="標楷體" w:eastAsia="標楷體" w:hAnsi="標楷體"/>
          <w:szCs w:val="22"/>
        </w:rPr>
        <w:t>是</w:t>
      </w:r>
      <w:r w:rsidR="003D3023">
        <w:rPr>
          <w:rFonts w:ascii="標楷體" w:eastAsia="標楷體" w:hAnsi="標楷體" w:hint="eastAsia"/>
          <w:bCs/>
          <w:color w:val="FF0000"/>
          <w:kern w:val="0"/>
          <w:highlight w:val="yellow"/>
        </w:rPr>
        <w:t>「</w:t>
      </w:r>
      <w:r w:rsidRPr="00412A9C">
        <w:rPr>
          <w:rFonts w:ascii="標楷體" w:eastAsia="標楷體" w:hAnsi="標楷體"/>
          <w:szCs w:val="22"/>
        </w:rPr>
        <w:t>聚</w:t>
      </w:r>
      <w:r w:rsidR="003D3023">
        <w:rPr>
          <w:rFonts w:ascii="標楷體" w:eastAsia="標楷體" w:hAnsi="標楷體" w:hint="eastAsia"/>
          <w:bCs/>
          <w:color w:val="FF0000"/>
          <w:kern w:val="0"/>
          <w:highlight w:val="yellow"/>
        </w:rPr>
        <w:t>」</w:t>
      </w:r>
      <w:r w:rsidRPr="00412A9C">
        <w:rPr>
          <w:rFonts w:ascii="標楷體" w:eastAsia="標楷體" w:hAnsi="標楷體"/>
          <w:szCs w:val="22"/>
        </w:rPr>
        <w:t>也</w:t>
      </w:r>
      <w:r w:rsidR="00C50B24">
        <w:rPr>
          <w:rFonts w:ascii="標楷體" w:eastAsia="標楷體" w:hAnsi="標楷體" w:hint="eastAsia"/>
          <w:color w:val="FF0000"/>
          <w:szCs w:val="22"/>
          <w:highlight w:val="yellow"/>
        </w:rPr>
        <w:t>。</w:t>
      </w:r>
      <w:r w:rsidRPr="00412A9C">
        <w:rPr>
          <w:rFonts w:ascii="標楷體" w:eastAsia="標楷體" w:hAnsi="標楷體"/>
          <w:szCs w:val="22"/>
        </w:rPr>
        <w:t>非是</w:t>
      </w:r>
      <w:r w:rsidR="003D3023">
        <w:rPr>
          <w:rFonts w:ascii="標楷體" w:eastAsia="標楷體" w:hAnsi="標楷體" w:hint="eastAsia"/>
          <w:bCs/>
          <w:color w:val="FF0000"/>
          <w:kern w:val="0"/>
          <w:highlight w:val="yellow"/>
        </w:rPr>
        <w:t>「</w:t>
      </w:r>
      <w:r w:rsidRPr="00412A9C">
        <w:rPr>
          <w:rFonts w:ascii="標楷體" w:eastAsia="標楷體" w:hAnsi="標楷體"/>
          <w:szCs w:val="22"/>
        </w:rPr>
        <w:t>極微</w:t>
      </w:r>
      <w:r w:rsidR="003D3023">
        <w:rPr>
          <w:rFonts w:ascii="標楷體" w:eastAsia="標楷體" w:hAnsi="標楷體" w:hint="eastAsia"/>
          <w:bCs/>
          <w:color w:val="FF0000"/>
          <w:kern w:val="0"/>
          <w:highlight w:val="yellow"/>
        </w:rPr>
        <w:t>」</w:t>
      </w:r>
      <w:r w:rsidRPr="00412A9C">
        <w:rPr>
          <w:rFonts w:ascii="標楷體" w:eastAsia="標楷體" w:hAnsi="標楷體"/>
          <w:szCs w:val="22"/>
        </w:rPr>
        <w:t>名為</w:t>
      </w:r>
      <w:r w:rsidRPr="00412A9C">
        <w:rPr>
          <w:rFonts w:ascii="標楷體" w:eastAsia="標楷體" w:hAnsi="標楷體" w:hint="eastAsia"/>
          <w:szCs w:val="22"/>
        </w:rPr>
        <w:t>「微聚」</w:t>
      </w:r>
      <w:r w:rsidRPr="00412A9C">
        <w:rPr>
          <w:rFonts w:ascii="標楷體" w:eastAsia="標楷體" w:hAnsi="標楷體"/>
          <w:szCs w:val="22"/>
        </w:rPr>
        <w:t>。</w:t>
      </w:r>
    </w:p>
    <w:p w:rsidR="00C50B24" w:rsidRDefault="00157EF6" w:rsidP="00AA120F">
      <w:pPr>
        <w:pStyle w:val="a5"/>
        <w:ind w:leftChars="335" w:left="804"/>
        <w:jc w:val="both"/>
        <w:rPr>
          <w:rFonts w:eastAsia="標楷體"/>
          <w:szCs w:val="22"/>
        </w:rPr>
      </w:pPr>
      <w:r w:rsidRPr="00C50B24">
        <w:rPr>
          <w:rFonts w:ascii="標楷體" w:eastAsia="標楷體" w:hAnsi="標楷體"/>
          <w:szCs w:val="22"/>
          <w:highlight w:val="yellow"/>
        </w:rPr>
        <w:t>又</w:t>
      </w:r>
      <w:r w:rsidRPr="00412A9C">
        <w:rPr>
          <w:rFonts w:ascii="標楷體" w:eastAsia="標楷體" w:hAnsi="標楷體" w:hint="eastAsia"/>
          <w:szCs w:val="22"/>
        </w:rPr>
        <w:t>《</w:t>
      </w:r>
      <w:r w:rsidRPr="00412A9C">
        <w:rPr>
          <w:rFonts w:ascii="標楷體" w:eastAsia="標楷體" w:hAnsi="標楷體"/>
          <w:szCs w:val="22"/>
        </w:rPr>
        <w:t>正理</w:t>
      </w:r>
      <w:r w:rsidRPr="00412A9C">
        <w:rPr>
          <w:rFonts w:ascii="標楷體" w:eastAsia="標楷體" w:hAnsi="標楷體" w:hint="eastAsia"/>
          <w:szCs w:val="22"/>
        </w:rPr>
        <w:t>》</w:t>
      </w:r>
      <w:r w:rsidRPr="00412A9C">
        <w:rPr>
          <w:rFonts w:ascii="標楷體" w:eastAsia="標楷體" w:hAnsi="標楷體"/>
          <w:szCs w:val="22"/>
        </w:rPr>
        <w:t>第十云</w:t>
      </w:r>
      <w:r w:rsidRPr="00412A9C">
        <w:rPr>
          <w:rFonts w:ascii="標楷體" w:eastAsia="標楷體" w:hAnsi="標楷體" w:hint="eastAsia"/>
          <w:szCs w:val="22"/>
        </w:rPr>
        <w:t>：「</w:t>
      </w:r>
      <w:r w:rsidRPr="00412A9C">
        <w:rPr>
          <w:rFonts w:ascii="標楷體" w:eastAsia="標楷體" w:hAnsi="標楷體"/>
          <w:szCs w:val="22"/>
        </w:rPr>
        <w:t>如是眾微</w:t>
      </w:r>
      <w:r w:rsidRPr="00412A9C">
        <w:rPr>
          <w:rFonts w:ascii="標楷體" w:eastAsia="標楷體" w:hAnsi="標楷體" w:hint="eastAsia"/>
          <w:szCs w:val="22"/>
        </w:rPr>
        <w:t>，</w:t>
      </w:r>
      <w:r w:rsidRPr="00412A9C">
        <w:rPr>
          <w:rFonts w:ascii="標楷體" w:eastAsia="標楷體" w:hAnsi="標楷體"/>
          <w:szCs w:val="22"/>
        </w:rPr>
        <w:t>展轉和合，定不離者</w:t>
      </w:r>
      <w:r w:rsidRPr="00412A9C">
        <w:rPr>
          <w:rFonts w:ascii="標楷體" w:eastAsia="標楷體" w:hAnsi="標楷體" w:hint="eastAsia"/>
          <w:szCs w:val="22"/>
        </w:rPr>
        <w:t>，</w:t>
      </w:r>
      <w:r w:rsidRPr="00412A9C">
        <w:rPr>
          <w:rFonts w:ascii="標楷體" w:eastAsia="標楷體" w:hAnsi="標楷體"/>
          <w:szCs w:val="22"/>
        </w:rPr>
        <w:t>說為</w:t>
      </w:r>
      <w:r w:rsidRPr="00412A9C">
        <w:rPr>
          <w:rFonts w:ascii="標楷體" w:eastAsia="標楷體" w:hAnsi="標楷體" w:hint="eastAsia"/>
          <w:szCs w:val="22"/>
        </w:rPr>
        <w:t>『微聚』。」</w:t>
      </w:r>
      <w:r w:rsidR="003D3023" w:rsidRPr="003D3023">
        <w:rPr>
          <w:rFonts w:eastAsia="標楷體" w:hint="eastAsia"/>
          <w:color w:val="FF0000"/>
          <w:szCs w:val="22"/>
          <w:shd w:val="pct15" w:color="auto" w:fill="FFFFFF"/>
        </w:rPr>
        <w:t>*</w:t>
      </w:r>
      <w:r w:rsidRPr="00412A9C">
        <w:rPr>
          <w:rFonts w:eastAsia="標楷體" w:hint="eastAsia"/>
          <w:szCs w:val="22"/>
        </w:rPr>
        <w:t>（</w:t>
      </w:r>
      <w:r w:rsidRPr="00412A9C">
        <w:rPr>
          <w:rFonts w:ascii="標楷體" w:eastAsia="標楷體" w:hAnsi="標楷體"/>
          <w:szCs w:val="22"/>
        </w:rPr>
        <w:t>彼論</w:t>
      </w:r>
      <w:r w:rsidRPr="00412A9C">
        <w:rPr>
          <w:rFonts w:ascii="標楷體" w:eastAsia="標楷體" w:hAnsi="標楷體" w:hint="eastAsia"/>
          <w:szCs w:val="22"/>
        </w:rPr>
        <w:t>：</w:t>
      </w:r>
      <w:r w:rsidRPr="00412A9C">
        <w:rPr>
          <w:rFonts w:ascii="標楷體" w:eastAsia="標楷體" w:hAnsi="標楷體"/>
          <w:szCs w:val="22"/>
        </w:rPr>
        <w:t>微之聚故</w:t>
      </w:r>
      <w:r w:rsidRPr="00412A9C">
        <w:rPr>
          <w:rFonts w:ascii="標楷體" w:eastAsia="標楷體" w:hAnsi="標楷體" w:hint="eastAsia"/>
          <w:szCs w:val="22"/>
        </w:rPr>
        <w:t>，</w:t>
      </w:r>
      <w:r w:rsidRPr="00412A9C">
        <w:rPr>
          <w:rFonts w:ascii="標楷體" w:eastAsia="標楷體" w:hAnsi="標楷體"/>
          <w:szCs w:val="22"/>
        </w:rPr>
        <w:t>名為</w:t>
      </w:r>
      <w:r w:rsidRPr="00412A9C">
        <w:rPr>
          <w:rFonts w:ascii="標楷體" w:eastAsia="標楷體" w:hAnsi="標楷體" w:hint="eastAsia"/>
          <w:szCs w:val="22"/>
        </w:rPr>
        <w:t>「微聚」</w:t>
      </w:r>
      <w:r w:rsidR="003D3023">
        <w:rPr>
          <w:rFonts w:ascii="標楷體" w:eastAsia="標楷體" w:hAnsi="標楷體" w:hint="eastAsia"/>
          <w:color w:val="FF0000"/>
          <w:kern w:val="0"/>
          <w:highlight w:val="yellow"/>
        </w:rPr>
        <w:t>。</w:t>
      </w:r>
      <w:r w:rsidRPr="00412A9C">
        <w:rPr>
          <w:rFonts w:ascii="標楷體" w:eastAsia="標楷體" w:hAnsi="標楷體"/>
          <w:szCs w:val="22"/>
        </w:rPr>
        <w:t>各據一義，亦不相違。</w:t>
      </w:r>
      <w:r w:rsidRPr="00412A9C">
        <w:rPr>
          <w:rFonts w:eastAsia="標楷體" w:hint="eastAsia"/>
          <w:szCs w:val="22"/>
        </w:rPr>
        <w:t>）</w:t>
      </w:r>
    </w:p>
    <w:p w:rsidR="00157EF6" w:rsidRDefault="00157EF6" w:rsidP="00AA120F">
      <w:pPr>
        <w:pStyle w:val="a5"/>
        <w:ind w:leftChars="335" w:left="804"/>
        <w:jc w:val="both"/>
        <w:rPr>
          <w:rFonts w:ascii="標楷體" w:eastAsia="標楷體" w:hAnsi="標楷體"/>
          <w:szCs w:val="22"/>
        </w:rPr>
      </w:pPr>
      <w:r w:rsidRPr="00C50B24">
        <w:rPr>
          <w:rFonts w:ascii="標楷體" w:eastAsia="標楷體" w:hAnsi="標楷體"/>
          <w:szCs w:val="22"/>
          <w:highlight w:val="yellow"/>
        </w:rPr>
        <w:t>應</w:t>
      </w:r>
      <w:r w:rsidRPr="00412A9C">
        <w:rPr>
          <w:rFonts w:ascii="標楷體" w:eastAsia="標楷體" w:hAnsi="標楷體"/>
          <w:szCs w:val="22"/>
        </w:rPr>
        <w:t>知</w:t>
      </w:r>
      <w:r w:rsidR="003D3023">
        <w:rPr>
          <w:rFonts w:ascii="標楷體" w:eastAsia="標楷體" w:hAnsi="標楷體" w:hint="eastAsia"/>
          <w:bCs/>
          <w:color w:val="FF0000"/>
          <w:kern w:val="0"/>
          <w:highlight w:val="yellow"/>
        </w:rPr>
        <w:t>「</w:t>
      </w:r>
      <w:r w:rsidRPr="00412A9C">
        <w:rPr>
          <w:rFonts w:ascii="標楷體" w:eastAsia="標楷體" w:hAnsi="標楷體"/>
          <w:szCs w:val="22"/>
        </w:rPr>
        <w:t>微</w:t>
      </w:r>
      <w:r w:rsidR="003D3023">
        <w:rPr>
          <w:rFonts w:ascii="標楷體" w:eastAsia="標楷體" w:hAnsi="標楷體" w:hint="eastAsia"/>
          <w:bCs/>
          <w:color w:val="FF0000"/>
          <w:kern w:val="0"/>
          <w:highlight w:val="yellow"/>
        </w:rPr>
        <w:t>」</w:t>
      </w:r>
      <w:r w:rsidRPr="00412A9C">
        <w:rPr>
          <w:rFonts w:ascii="標楷體" w:eastAsia="標楷體" w:hAnsi="標楷體"/>
          <w:szCs w:val="22"/>
        </w:rPr>
        <w:t>有二種</w:t>
      </w:r>
      <w:r w:rsidRPr="00412A9C">
        <w:rPr>
          <w:rFonts w:ascii="標楷體" w:eastAsia="標楷體" w:hAnsi="標楷體" w:hint="eastAsia"/>
          <w:szCs w:val="22"/>
        </w:rPr>
        <w:t>：</w:t>
      </w:r>
      <w:r w:rsidRPr="00412A9C">
        <w:rPr>
          <w:rFonts w:ascii="標楷體" w:eastAsia="標楷體" w:hAnsi="標楷體"/>
          <w:szCs w:val="22"/>
        </w:rPr>
        <w:t>一、色聚微，即極少八事俱生</w:t>
      </w:r>
      <w:r w:rsidR="003D3023">
        <w:rPr>
          <w:rFonts w:ascii="標楷體" w:eastAsia="標楷體" w:hAnsi="標楷體" w:hint="eastAsia"/>
          <w:color w:val="FF0000"/>
          <w:kern w:val="0"/>
          <w:highlight w:val="yellow"/>
        </w:rPr>
        <w:t>，</w:t>
      </w:r>
      <w:r w:rsidRPr="00412A9C">
        <w:rPr>
          <w:rFonts w:ascii="標楷體" w:eastAsia="標楷體" w:hAnsi="標楷體"/>
          <w:szCs w:val="22"/>
        </w:rPr>
        <w:t>不可減也</w:t>
      </w:r>
      <w:r w:rsidRPr="00412A9C">
        <w:rPr>
          <w:rFonts w:ascii="標楷體" w:eastAsia="標楷體" w:hAnsi="標楷體" w:hint="eastAsia"/>
          <w:szCs w:val="22"/>
        </w:rPr>
        <w:t>──</w:t>
      </w:r>
      <w:r w:rsidRPr="00412A9C">
        <w:rPr>
          <w:rFonts w:ascii="標楷體" w:eastAsia="標楷體" w:hAnsi="標楷體"/>
          <w:szCs w:val="22"/>
        </w:rPr>
        <w:t>此論據斯說</w:t>
      </w:r>
      <w:r w:rsidRPr="00412A9C">
        <w:rPr>
          <w:rFonts w:ascii="標楷體" w:eastAsia="標楷體" w:hAnsi="標楷體" w:hint="eastAsia"/>
          <w:szCs w:val="22"/>
        </w:rPr>
        <w:t>；</w:t>
      </w:r>
      <w:r w:rsidRPr="00412A9C">
        <w:rPr>
          <w:rFonts w:ascii="標楷體" w:eastAsia="標楷體" w:hAnsi="標楷體"/>
          <w:szCs w:val="22"/>
        </w:rPr>
        <w:t>二、極微微，即色極少</w:t>
      </w:r>
      <w:r w:rsidR="003D3023">
        <w:rPr>
          <w:rFonts w:ascii="標楷體" w:eastAsia="標楷體" w:hAnsi="標楷體" w:hint="eastAsia"/>
          <w:color w:val="FF0000"/>
          <w:kern w:val="0"/>
          <w:highlight w:val="yellow"/>
        </w:rPr>
        <w:t>，</w:t>
      </w:r>
      <w:r w:rsidRPr="00412A9C">
        <w:rPr>
          <w:rFonts w:ascii="標楷體" w:eastAsia="標楷體" w:hAnsi="標楷體"/>
          <w:szCs w:val="22"/>
        </w:rPr>
        <w:t>更不可分</w:t>
      </w:r>
      <w:r w:rsidRPr="00412A9C">
        <w:rPr>
          <w:rFonts w:ascii="標楷體" w:eastAsia="標楷體" w:hAnsi="標楷體" w:hint="eastAsia"/>
          <w:szCs w:val="22"/>
        </w:rPr>
        <w:t>──</w:t>
      </w:r>
      <w:r w:rsidRPr="00412A9C">
        <w:rPr>
          <w:rFonts w:ascii="標楷體" w:eastAsia="標楷體" w:hAnsi="標楷體"/>
          <w:szCs w:val="22"/>
        </w:rPr>
        <w:t>《正理》據此說。</w:t>
      </w:r>
    </w:p>
    <w:p w:rsidR="003D3023" w:rsidRPr="003D3023" w:rsidRDefault="003D3023" w:rsidP="00AA120F">
      <w:pPr>
        <w:pStyle w:val="a5"/>
        <w:ind w:leftChars="335" w:left="804"/>
        <w:jc w:val="both"/>
        <w:rPr>
          <w:szCs w:val="22"/>
        </w:rPr>
      </w:pPr>
      <w:r w:rsidRPr="003D3023">
        <w:rPr>
          <w:rFonts w:hint="eastAsia"/>
          <w:color w:val="FF0000"/>
          <w:szCs w:val="22"/>
          <w:shd w:val="pct15" w:color="auto" w:fill="FFFFFF"/>
        </w:rPr>
        <w:t>*</w:t>
      </w:r>
      <w:r w:rsidRPr="003D3023">
        <w:rPr>
          <w:rFonts w:hint="eastAsia"/>
          <w:color w:val="FF0000"/>
          <w:szCs w:val="22"/>
          <w:highlight w:val="yellow"/>
        </w:rPr>
        <w:t>眾賢造，《阿毘達磨順正理論》卷</w:t>
      </w:r>
      <w:r w:rsidRPr="003D3023">
        <w:rPr>
          <w:rFonts w:hint="eastAsia"/>
          <w:color w:val="FF0000"/>
          <w:szCs w:val="22"/>
          <w:highlight w:val="yellow"/>
        </w:rPr>
        <w:t>10</w:t>
      </w:r>
      <w:r w:rsidRPr="003D3023">
        <w:rPr>
          <w:rFonts w:hint="eastAsia"/>
          <w:color w:val="FF0000"/>
          <w:szCs w:val="22"/>
          <w:highlight w:val="yellow"/>
        </w:rPr>
        <w:t>（</w:t>
      </w:r>
      <w:r w:rsidRPr="003D3023">
        <w:rPr>
          <w:color w:val="FF0000"/>
          <w:szCs w:val="22"/>
          <w:highlight w:val="yellow"/>
        </w:rPr>
        <w:t>大正</w:t>
      </w:r>
      <w:r w:rsidRPr="003D3023">
        <w:rPr>
          <w:rFonts w:hint="eastAsia"/>
          <w:color w:val="FF0000"/>
          <w:szCs w:val="22"/>
          <w:highlight w:val="yellow"/>
        </w:rPr>
        <w:t>29</w:t>
      </w:r>
      <w:r w:rsidRPr="003D3023">
        <w:rPr>
          <w:rFonts w:hint="eastAsia"/>
          <w:color w:val="FF0000"/>
          <w:szCs w:val="22"/>
          <w:highlight w:val="yellow"/>
        </w:rPr>
        <w:t>，</w:t>
      </w:r>
      <w:r w:rsidRPr="003D3023">
        <w:rPr>
          <w:rFonts w:hint="eastAsia"/>
          <w:color w:val="FF0000"/>
          <w:szCs w:val="22"/>
          <w:highlight w:val="yellow"/>
        </w:rPr>
        <w:t>383c13-14</w:t>
      </w:r>
      <w:r w:rsidRPr="003D3023">
        <w:rPr>
          <w:rFonts w:hint="eastAsia"/>
          <w:color w:val="FF0000"/>
          <w:szCs w:val="22"/>
          <w:highlight w:val="yellow"/>
        </w:rPr>
        <w:t>）。</w:t>
      </w:r>
    </w:p>
  </w:footnote>
  <w:footnote w:id="1100">
    <w:p w:rsidR="00157EF6" w:rsidRPr="00412A9C" w:rsidRDefault="00157EF6" w:rsidP="00AA120F">
      <w:pPr>
        <w:pStyle w:val="a5"/>
        <w:spacing w:line="0" w:lineRule="atLeast"/>
        <w:ind w:left="792" w:hangingChars="360" w:hanging="792"/>
        <w:jc w:val="both"/>
        <w:rPr>
          <w:szCs w:val="22"/>
        </w:rPr>
      </w:pPr>
      <w:r w:rsidRPr="00412A9C">
        <w:rPr>
          <w:rStyle w:val="a6"/>
          <w:szCs w:val="22"/>
        </w:rPr>
        <w:footnoteRef/>
      </w:r>
      <w:r>
        <w:rPr>
          <w:rFonts w:hint="eastAsia"/>
          <w:szCs w:val="22"/>
        </w:rPr>
        <w:t xml:space="preserve"> </w:t>
      </w:r>
      <w:r w:rsidRPr="00412A9C">
        <w:rPr>
          <w:rFonts w:hint="eastAsia"/>
          <w:szCs w:val="22"/>
        </w:rPr>
        <w:t>（</w:t>
      </w:r>
      <w:r w:rsidRPr="00761EF3">
        <w:rPr>
          <w:rFonts w:hint="eastAsia"/>
          <w:szCs w:val="22"/>
        </w:rPr>
        <w:t>1</w:t>
      </w:r>
      <w:r w:rsidRPr="00412A9C">
        <w:rPr>
          <w:rFonts w:hint="eastAsia"/>
          <w:szCs w:val="22"/>
        </w:rPr>
        <w:t>）</w:t>
      </w:r>
      <w:r w:rsidRPr="00412A9C">
        <w:rPr>
          <w:szCs w:val="22"/>
        </w:rPr>
        <w:t>印順法師</w:t>
      </w:r>
      <w:r w:rsidRPr="00412A9C">
        <w:rPr>
          <w:rFonts w:hint="eastAsia"/>
          <w:szCs w:val="22"/>
        </w:rPr>
        <w:t>，《唯識學探源》，</w:t>
      </w:r>
      <w:r w:rsidRPr="00761EF3">
        <w:rPr>
          <w:rFonts w:hint="eastAsia"/>
          <w:szCs w:val="22"/>
        </w:rPr>
        <w:t>p</w:t>
      </w:r>
      <w:r w:rsidRPr="00412A9C">
        <w:rPr>
          <w:rFonts w:hint="eastAsia"/>
          <w:szCs w:val="22"/>
        </w:rPr>
        <w:t>.</w:t>
      </w:r>
      <w:r w:rsidRPr="00761EF3">
        <w:rPr>
          <w:rFonts w:hint="eastAsia"/>
          <w:szCs w:val="22"/>
        </w:rPr>
        <w:t>29</w:t>
      </w:r>
      <w:r w:rsidRPr="00412A9C">
        <w:rPr>
          <w:rFonts w:hint="eastAsia"/>
          <w:szCs w:val="22"/>
        </w:rPr>
        <w:t>：</w:t>
      </w:r>
    </w:p>
    <w:p w:rsidR="00157EF6" w:rsidRPr="00412A9C" w:rsidRDefault="00157EF6" w:rsidP="00AA120F">
      <w:pPr>
        <w:pStyle w:val="a5"/>
        <w:ind w:leftChars="335" w:left="804"/>
        <w:jc w:val="both"/>
        <w:rPr>
          <w:szCs w:val="22"/>
        </w:rPr>
      </w:pPr>
      <w:r w:rsidRPr="00412A9C">
        <w:rPr>
          <w:rFonts w:ascii="標楷體" w:eastAsia="標楷體" w:hAnsi="標楷體" w:hint="eastAsia"/>
          <w:szCs w:val="22"/>
        </w:rPr>
        <w:t>經說凡是我們所認識到的一切，並沒有一種所謂客觀獨立存在的本質。當我們心識現前的時候，心上必然的現起一種境界相。因了錯誤的認識與執著，覺得它是</w:t>
      </w:r>
      <w:r w:rsidRPr="00412A9C">
        <w:rPr>
          <w:rFonts w:ascii="標楷體" w:eastAsia="標楷體" w:hAnsi="標楷體" w:hint="eastAsia"/>
          <w:b/>
          <w:szCs w:val="22"/>
        </w:rPr>
        <w:t>離心存在的外境</w:t>
      </w:r>
      <w:r w:rsidRPr="00412A9C">
        <w:rPr>
          <w:rFonts w:ascii="標楷體" w:eastAsia="標楷體" w:hAnsi="標楷體" w:hint="eastAsia"/>
          <w:szCs w:val="22"/>
        </w:rPr>
        <w:t>。實際上，那所認識的境相，只是</w:t>
      </w:r>
      <w:r w:rsidRPr="00412A9C">
        <w:rPr>
          <w:rFonts w:ascii="標楷體" w:eastAsia="標楷體" w:hAnsi="標楷體" w:hint="eastAsia"/>
          <w:b/>
          <w:szCs w:val="22"/>
        </w:rPr>
        <w:t>自心現起的影子</w:t>
      </w:r>
      <w:r w:rsidRPr="00412A9C">
        <w:rPr>
          <w:rFonts w:ascii="標楷體" w:eastAsia="標楷體" w:hAnsi="標楷體" w:hint="eastAsia"/>
          <w:szCs w:val="22"/>
        </w:rPr>
        <w:t>。</w:t>
      </w:r>
      <w:r w:rsidRPr="00412A9C">
        <w:rPr>
          <w:rFonts w:ascii="標楷體" w:eastAsia="標楷體" w:hAnsi="標楷體" w:hint="eastAsia"/>
          <w:b/>
          <w:szCs w:val="22"/>
        </w:rPr>
        <w:t>唯是自心所現，所以叫做唯識。</w:t>
      </w:r>
      <w:r w:rsidRPr="00412A9C">
        <w:rPr>
          <w:rFonts w:ascii="標楷體" w:eastAsia="標楷體" w:hAnsi="標楷體" w:hint="eastAsia"/>
          <w:szCs w:val="22"/>
        </w:rPr>
        <w:t>這種唯識思想，是立足在認識論上，從能知、所知的關係上探發出來，是考慮所知的真相而發現的，這可以稱為</w:t>
      </w:r>
      <w:r w:rsidR="009F707C">
        <w:rPr>
          <w:rFonts w:ascii="標楷體" w:eastAsia="標楷體" w:hAnsi="標楷體" w:hint="eastAsia"/>
          <w:szCs w:val="22"/>
        </w:rPr>
        <w:t>「</w:t>
      </w:r>
      <w:r w:rsidRPr="00412A9C">
        <w:rPr>
          <w:rFonts w:ascii="標楷體" w:eastAsia="標楷體" w:hAnsi="標楷體" w:hint="eastAsia"/>
          <w:szCs w:val="22"/>
        </w:rPr>
        <w:t>即心所現</w:t>
      </w:r>
      <w:r w:rsidR="009F707C">
        <w:rPr>
          <w:rFonts w:ascii="標楷體" w:eastAsia="標楷體" w:hAnsi="標楷體" w:hint="eastAsia"/>
          <w:szCs w:val="22"/>
        </w:rPr>
        <w:t>」</w:t>
      </w:r>
      <w:r w:rsidRPr="00412A9C">
        <w:rPr>
          <w:rFonts w:ascii="標楷體" w:eastAsia="標楷體" w:hAnsi="標楷體" w:hint="eastAsia"/>
          <w:szCs w:val="22"/>
        </w:rPr>
        <w:t>的唯識。</w:t>
      </w:r>
    </w:p>
    <w:p w:rsidR="00157EF6" w:rsidRPr="00412A9C" w:rsidRDefault="00157EF6" w:rsidP="00AA120F">
      <w:pPr>
        <w:pStyle w:val="a5"/>
        <w:ind w:leftChars="105" w:left="791" w:hangingChars="245" w:hanging="539"/>
        <w:jc w:val="both"/>
        <w:rPr>
          <w:szCs w:val="22"/>
        </w:rPr>
      </w:pPr>
      <w:r w:rsidRPr="00412A9C">
        <w:rPr>
          <w:rFonts w:hint="eastAsia"/>
          <w:szCs w:val="22"/>
        </w:rPr>
        <w:t>（</w:t>
      </w:r>
      <w:r w:rsidRPr="00761EF3">
        <w:rPr>
          <w:rFonts w:hint="eastAsia"/>
          <w:szCs w:val="22"/>
        </w:rPr>
        <w:t>2</w:t>
      </w:r>
      <w:r w:rsidRPr="00412A9C">
        <w:rPr>
          <w:rFonts w:hint="eastAsia"/>
          <w:szCs w:val="22"/>
        </w:rPr>
        <w:t>）</w:t>
      </w:r>
      <w:r w:rsidRPr="00412A9C">
        <w:rPr>
          <w:szCs w:val="22"/>
        </w:rPr>
        <w:t>印順法師</w:t>
      </w:r>
      <w:r w:rsidRPr="00412A9C">
        <w:rPr>
          <w:rFonts w:hint="eastAsia"/>
          <w:szCs w:val="22"/>
        </w:rPr>
        <w:t>，《成佛之道》（增注本），</w:t>
      </w:r>
      <w:r w:rsidRPr="00761EF3">
        <w:rPr>
          <w:rFonts w:hint="eastAsia"/>
          <w:szCs w:val="22"/>
        </w:rPr>
        <w:t>pp</w:t>
      </w:r>
      <w:r w:rsidRPr="00412A9C">
        <w:rPr>
          <w:rFonts w:hint="eastAsia"/>
          <w:szCs w:val="22"/>
        </w:rPr>
        <w:t>.</w:t>
      </w:r>
      <w:r w:rsidRPr="00761EF3">
        <w:rPr>
          <w:rFonts w:hint="eastAsia"/>
          <w:szCs w:val="22"/>
        </w:rPr>
        <w:t>381</w:t>
      </w:r>
      <w:r w:rsidRPr="00412A9C">
        <w:rPr>
          <w:rFonts w:hint="eastAsia"/>
          <w:szCs w:val="22"/>
        </w:rPr>
        <w:t>-</w:t>
      </w:r>
      <w:r w:rsidRPr="00761EF3">
        <w:rPr>
          <w:rFonts w:hint="eastAsia"/>
          <w:szCs w:val="22"/>
        </w:rPr>
        <w:t>383</w:t>
      </w:r>
      <w:r w:rsidRPr="00412A9C">
        <w:rPr>
          <w:rFonts w:hint="eastAsia"/>
          <w:szCs w:val="22"/>
        </w:rPr>
        <w:t>：</w:t>
      </w:r>
    </w:p>
    <w:p w:rsidR="00157EF6" w:rsidRPr="00412A9C" w:rsidRDefault="00157EF6" w:rsidP="00AA120F">
      <w:pPr>
        <w:pStyle w:val="a5"/>
        <w:ind w:leftChars="335" w:left="804"/>
        <w:jc w:val="both"/>
        <w:rPr>
          <w:rFonts w:ascii="標楷體" w:eastAsia="標楷體" w:hAnsi="標楷體"/>
          <w:b/>
          <w:szCs w:val="22"/>
        </w:rPr>
      </w:pPr>
      <w:r w:rsidRPr="00412A9C">
        <w:rPr>
          <w:rFonts w:ascii="標楷體" w:eastAsia="標楷體" w:hAnsi="標楷體" w:hint="eastAsia"/>
          <w:b/>
          <w:szCs w:val="22"/>
        </w:rPr>
        <w:t>心外法非有，心識理非無。達無境唯識，能入於真實。</w:t>
      </w:r>
    </w:p>
    <w:p w:rsidR="00157EF6" w:rsidRPr="000C6D5D" w:rsidRDefault="00157EF6" w:rsidP="00AA120F">
      <w:pPr>
        <w:pStyle w:val="a5"/>
        <w:ind w:leftChars="335" w:left="804"/>
        <w:jc w:val="both"/>
        <w:rPr>
          <w:rFonts w:ascii="標楷體" w:eastAsia="標楷體" w:hAnsi="標楷體"/>
          <w:szCs w:val="22"/>
        </w:rPr>
      </w:pPr>
      <w:r w:rsidRPr="00412A9C">
        <w:rPr>
          <w:rFonts w:ascii="標楷體" w:eastAsia="標楷體" w:hAnsi="標楷體" w:hint="eastAsia"/>
          <w:szCs w:val="22"/>
        </w:rPr>
        <w:t>依虛妄分別識，種子生現行、現行熏種子的因果來說，「心外法」是「非有」的。眾生直覺得外境實有，是客觀存在的色──物質。甚至反省起來，心也好像是所對的境界。這是無始來的錯亂妄執，由此而執我、執法，都是</w:t>
      </w:r>
      <w:r w:rsidRPr="000C6D5D">
        <w:rPr>
          <w:rFonts w:ascii="標楷體" w:eastAsia="標楷體" w:hAnsi="標楷體" w:hint="eastAsia"/>
          <w:b/>
          <w:szCs w:val="22"/>
        </w:rPr>
        <w:t>遍計所執相的，是空無自性</w:t>
      </w:r>
      <w:r w:rsidRPr="000C6D5D">
        <w:rPr>
          <w:rFonts w:ascii="標楷體" w:eastAsia="標楷體" w:hAnsi="標楷體" w:hint="eastAsia"/>
          <w:szCs w:val="22"/>
        </w:rPr>
        <w:t>的。然假必依實，自相有而為一切假所依的「心識」，論「理」是「非無」的。如心識也沒有自性，那就一切都不能成立了。</w:t>
      </w:r>
    </w:p>
    <w:p w:rsidR="00157EF6" w:rsidRPr="00412A9C" w:rsidRDefault="00157EF6" w:rsidP="00AE3920">
      <w:pPr>
        <w:pStyle w:val="a5"/>
        <w:spacing w:beforeLines="20"/>
        <w:ind w:leftChars="335" w:left="804"/>
        <w:jc w:val="both"/>
        <w:rPr>
          <w:rFonts w:ascii="標楷體" w:eastAsia="標楷體" w:hAnsi="標楷體"/>
          <w:szCs w:val="22"/>
        </w:rPr>
      </w:pPr>
      <w:r w:rsidRPr="000C6D5D">
        <w:rPr>
          <w:rFonts w:ascii="標楷體" w:eastAsia="標楷體" w:hAnsi="標楷體" w:hint="eastAsia"/>
          <w:b/>
          <w:szCs w:val="22"/>
        </w:rPr>
        <w:t>識是虛妄的，但是自相有的</w:t>
      </w:r>
      <w:r w:rsidRPr="000C6D5D">
        <w:rPr>
          <w:rFonts w:ascii="標楷體" w:eastAsia="標楷體" w:hAnsi="標楷體" w:hint="eastAsia"/>
          <w:szCs w:val="22"/>
        </w:rPr>
        <w:t>。由於無始以來，心境相應，熏習成種子。所以識從自種子生時，那以識為性的境相種子，也就生現行，而現起能分別、所分別</w:t>
      </w:r>
      <w:r w:rsidRPr="00412A9C">
        <w:rPr>
          <w:rFonts w:ascii="標楷體" w:eastAsia="標楷體" w:hAnsi="標楷體" w:hint="eastAsia"/>
          <w:szCs w:val="22"/>
        </w:rPr>
        <w:t>二相。</w:t>
      </w:r>
      <w:r w:rsidRPr="00412A9C">
        <w:rPr>
          <w:rFonts w:ascii="標楷體" w:eastAsia="標楷體" w:hAnsi="標楷體" w:hint="eastAsia"/>
          <w:b/>
          <w:szCs w:val="22"/>
        </w:rPr>
        <w:t>好像是心境獨立的，其實境不離心，以心識為性的。心外的境相雖沒有，而不離心識的境相，也是有的，從自種子生的</w:t>
      </w:r>
      <w:r w:rsidRPr="00412A9C">
        <w:rPr>
          <w:rFonts w:ascii="標楷體" w:eastAsia="標楷體" w:hAnsi="標楷體" w:hint="eastAsia"/>
          <w:szCs w:val="22"/>
        </w:rPr>
        <w:t>（這名為性境；如依心識的想像妄執而成的，才是沒有的）。所以依他起的一切因果，都能成立，不過說一切以識為性罷了！這都是自相有的，不可說是空無自性了。</w:t>
      </w:r>
    </w:p>
    <w:p w:rsidR="00157EF6" w:rsidRPr="00412A9C" w:rsidRDefault="00157EF6" w:rsidP="00AE3920">
      <w:pPr>
        <w:pStyle w:val="a5"/>
        <w:spacing w:beforeLines="20"/>
        <w:ind w:leftChars="335" w:left="804"/>
        <w:jc w:val="both"/>
        <w:rPr>
          <w:rFonts w:ascii="標楷體" w:eastAsia="標楷體" w:hAnsi="標楷體"/>
          <w:szCs w:val="22"/>
        </w:rPr>
      </w:pPr>
      <w:r w:rsidRPr="00412A9C">
        <w:rPr>
          <w:rFonts w:ascii="標楷體" w:eastAsia="標楷體" w:hAnsi="標楷體" w:hint="eastAsia"/>
          <w:szCs w:val="22"/>
        </w:rPr>
        <w:t>依唯識而成立因果，也就依唯識而立迷悟。眾生不了解外境是唯識的，是顛倒錯亂，為執我、執法的根源。因妄執，起煩惱，造業，這都熏習在阿賴耶識裏。業種成熟時，隨業受報，阿賴耶識就名為異熟識，成為生死輪迴的主體了。</w:t>
      </w:r>
    </w:p>
    <w:p w:rsidR="00157EF6" w:rsidRPr="000C6D5D" w:rsidRDefault="00157EF6" w:rsidP="00AE3920">
      <w:pPr>
        <w:pStyle w:val="a5"/>
        <w:spacing w:beforeLines="20"/>
        <w:ind w:leftChars="335" w:left="804"/>
        <w:jc w:val="both"/>
        <w:rPr>
          <w:rFonts w:ascii="標楷體" w:eastAsia="標楷體" w:hAnsi="標楷體"/>
          <w:b/>
          <w:szCs w:val="22"/>
        </w:rPr>
      </w:pPr>
      <w:r w:rsidRPr="00412A9C">
        <w:rPr>
          <w:rFonts w:ascii="標楷體" w:eastAsia="標楷體" w:hAnsi="標楷體" w:hint="eastAsia"/>
          <w:szCs w:val="22"/>
        </w:rPr>
        <w:t>反之，如依觀而通「達」實「無」外「境」，是無自性的，是「唯識」所現而立的，這就能於依他起而知遍計所執空。如境相空不可得，虛妄分別識也就因失去對象而不生。</w:t>
      </w:r>
      <w:r w:rsidRPr="00412A9C">
        <w:rPr>
          <w:rFonts w:ascii="標楷體" w:eastAsia="標楷體" w:hAnsi="標楷體" w:hint="eastAsia"/>
          <w:b/>
          <w:szCs w:val="22"/>
        </w:rPr>
        <w:t>境無所得，識也就無所得，就「能」悟「入於」唯識「真實」性──空相，真相。真實性是依他起自性離執所顯的，所以也不能說是空的。</w:t>
      </w:r>
      <w:r w:rsidRPr="00412A9C">
        <w:rPr>
          <w:rFonts w:ascii="標楷體" w:eastAsia="標楷體" w:hAnsi="標楷體" w:hint="eastAsia"/>
          <w:szCs w:val="22"/>
        </w:rPr>
        <w:t>如說：</w:t>
      </w:r>
      <w:r w:rsidR="009F707C">
        <w:rPr>
          <w:rFonts w:ascii="標楷體" w:eastAsia="標楷體" w:hAnsi="標楷體" w:hint="eastAsia"/>
          <w:szCs w:val="22"/>
        </w:rPr>
        <w:t>「</w:t>
      </w:r>
      <w:r w:rsidRPr="00412A9C">
        <w:rPr>
          <w:rFonts w:ascii="標楷體" w:eastAsia="標楷體" w:hAnsi="標楷體" w:hint="eastAsia"/>
          <w:szCs w:val="22"/>
        </w:rPr>
        <w:t>唯所執、依他，及圓成實性；境故、分別故，及二空故說</w:t>
      </w:r>
      <w:r w:rsidR="009F707C">
        <w:rPr>
          <w:rFonts w:ascii="標楷體" w:eastAsia="標楷體" w:hAnsi="標楷體" w:hint="eastAsia"/>
          <w:szCs w:val="22"/>
        </w:rPr>
        <w:t>」</w:t>
      </w:r>
      <w:r w:rsidRPr="00412A9C">
        <w:rPr>
          <w:rFonts w:ascii="標楷體" w:eastAsia="標楷體" w:hAnsi="標楷體" w:hint="eastAsia"/>
          <w:szCs w:val="22"/>
        </w:rPr>
        <w:t>；</w:t>
      </w:r>
      <w:r w:rsidR="009F707C">
        <w:rPr>
          <w:rFonts w:ascii="標楷體" w:eastAsia="標楷體" w:hAnsi="標楷體" w:hint="eastAsia"/>
          <w:szCs w:val="22"/>
        </w:rPr>
        <w:t>「</w:t>
      </w:r>
      <w:r w:rsidRPr="00412A9C">
        <w:rPr>
          <w:rFonts w:ascii="標楷體" w:eastAsia="標楷體" w:hAnsi="標楷體" w:hint="eastAsia"/>
          <w:szCs w:val="22"/>
        </w:rPr>
        <w:t>依識有所得，境無所得生；依境無所得，識無所得生。由識有得性，亦成無所得；故知二有得，無得性平等。</w:t>
      </w:r>
      <w:r w:rsidR="009F707C">
        <w:rPr>
          <w:rFonts w:ascii="標楷體" w:eastAsia="標楷體" w:hAnsi="標楷體" w:hint="eastAsia"/>
          <w:szCs w:val="22"/>
        </w:rPr>
        <w:t>」</w:t>
      </w:r>
      <w:r w:rsidR="00ED3FA0" w:rsidRPr="00ED3FA0">
        <w:rPr>
          <w:rFonts w:eastAsia="標楷體" w:hint="eastAsia"/>
          <w:color w:val="FF0000"/>
          <w:szCs w:val="22"/>
          <w:highlight w:val="yellow"/>
          <w:vertAlign w:val="superscript"/>
        </w:rPr>
        <w:t>[98]</w:t>
      </w:r>
      <w:r w:rsidRPr="00412A9C">
        <w:rPr>
          <w:rFonts w:ascii="標楷體" w:eastAsia="標楷體" w:hAnsi="標楷體" w:hint="eastAsia"/>
          <w:b/>
          <w:szCs w:val="22"/>
        </w:rPr>
        <w:t>識有所得，有自相，</w:t>
      </w:r>
      <w:r w:rsidRPr="000C6D5D">
        <w:rPr>
          <w:rFonts w:ascii="標楷體" w:eastAsia="標楷體" w:hAnsi="標楷體" w:hint="eastAsia"/>
          <w:b/>
          <w:szCs w:val="22"/>
        </w:rPr>
        <w:t>依此而成立因果，迷悟，為虛妄唯識系的要義。</w:t>
      </w:r>
    </w:p>
    <w:p w:rsidR="00157EF6" w:rsidRDefault="00157EF6" w:rsidP="00AE3920">
      <w:pPr>
        <w:pStyle w:val="a5"/>
        <w:spacing w:beforeLines="20"/>
        <w:ind w:leftChars="335" w:left="804"/>
        <w:jc w:val="both"/>
        <w:rPr>
          <w:rFonts w:ascii="標楷體" w:eastAsia="標楷體" w:hAnsi="標楷體"/>
          <w:szCs w:val="22"/>
        </w:rPr>
      </w:pPr>
      <w:r w:rsidRPr="000C6D5D">
        <w:rPr>
          <w:rFonts w:ascii="標楷體" w:eastAsia="標楷體" w:hAnsi="標楷體" w:hint="eastAsia"/>
          <w:szCs w:val="22"/>
        </w:rPr>
        <w:t>這對於五事不具的根性，真可說是善巧極了！而且依實立假，本是小乘一切有系的</w:t>
      </w:r>
      <w:r w:rsidRPr="00412A9C">
        <w:rPr>
          <w:rFonts w:ascii="標楷體" w:eastAsia="標楷體" w:hAnsi="標楷體" w:hint="eastAsia"/>
          <w:szCs w:val="22"/>
        </w:rPr>
        <w:t>根本立場。一切法的實有性，十八界的實有性，以唯識義來解說，這對於攝化小乘有宗而向於大乘一切法空性的教說，不能不說是佛菩薩的難思方便！</w:t>
      </w:r>
    </w:p>
    <w:p w:rsidR="00ED3FA0" w:rsidRPr="00ED3FA0" w:rsidRDefault="00ED3FA0" w:rsidP="00ED3FA0">
      <w:pPr>
        <w:pStyle w:val="a5"/>
        <w:ind w:leftChars="335" w:left="804"/>
        <w:jc w:val="both"/>
        <w:rPr>
          <w:color w:val="FF0000"/>
          <w:szCs w:val="22"/>
          <w:highlight w:val="yellow"/>
        </w:rPr>
      </w:pPr>
      <w:r w:rsidRPr="00ED3FA0">
        <w:rPr>
          <w:rFonts w:hint="eastAsia"/>
          <w:color w:val="FF0000"/>
          <w:szCs w:val="22"/>
          <w:highlight w:val="yellow"/>
        </w:rPr>
        <w:t>[</w:t>
      </w:r>
      <w:r w:rsidRPr="00ED3FA0">
        <w:rPr>
          <w:rFonts w:hint="eastAsia"/>
          <w:color w:val="FF0000"/>
          <w:szCs w:val="22"/>
          <w:highlight w:val="yellow"/>
        </w:rPr>
        <w:t>原書註</w:t>
      </w:r>
      <w:r w:rsidRPr="00ED3FA0">
        <w:rPr>
          <w:rFonts w:hint="eastAsia"/>
          <w:color w:val="FF0000"/>
          <w:szCs w:val="22"/>
          <w:highlight w:val="yellow"/>
        </w:rPr>
        <w:t>98]</w:t>
      </w:r>
      <w:r w:rsidRPr="00ED3FA0">
        <w:rPr>
          <w:rFonts w:hint="eastAsia"/>
          <w:color w:val="FF0000"/>
          <w:szCs w:val="22"/>
          <w:highlight w:val="yellow"/>
        </w:rPr>
        <w:t>《辨中邊論》卷上（大正</w:t>
      </w:r>
      <w:r w:rsidRPr="00ED3FA0">
        <w:rPr>
          <w:rFonts w:hint="eastAsia"/>
          <w:color w:val="FF0000"/>
          <w:szCs w:val="22"/>
          <w:highlight w:val="yellow"/>
        </w:rPr>
        <w:t>31</w:t>
      </w:r>
      <w:r w:rsidRPr="00ED3FA0">
        <w:rPr>
          <w:rFonts w:hint="eastAsia"/>
          <w:color w:val="FF0000"/>
          <w:szCs w:val="22"/>
          <w:highlight w:val="yellow"/>
        </w:rPr>
        <w:t>，</w:t>
      </w:r>
      <w:r w:rsidRPr="00ED3FA0">
        <w:rPr>
          <w:rFonts w:hint="eastAsia"/>
          <w:color w:val="FF0000"/>
          <w:szCs w:val="22"/>
          <w:highlight w:val="yellow"/>
        </w:rPr>
        <w:t>464c-465a</w:t>
      </w:r>
      <w:r w:rsidRPr="00ED3FA0">
        <w:rPr>
          <w:rFonts w:hint="eastAsia"/>
          <w:color w:val="FF0000"/>
          <w:szCs w:val="22"/>
          <w:highlight w:val="yellow"/>
        </w:rPr>
        <w:t>）。</w:t>
      </w:r>
    </w:p>
  </w:footnote>
  <w:footnote w:id="1101">
    <w:p w:rsidR="00157EF6" w:rsidRPr="00965242" w:rsidRDefault="00157EF6" w:rsidP="00AA120F">
      <w:pPr>
        <w:pStyle w:val="a5"/>
        <w:spacing w:line="0" w:lineRule="atLeast"/>
        <w:ind w:left="253" w:hangingChars="115" w:hanging="253"/>
        <w:jc w:val="both"/>
        <w:rPr>
          <w:szCs w:val="22"/>
        </w:rPr>
      </w:pPr>
      <w:r w:rsidRPr="00965242">
        <w:rPr>
          <w:rStyle w:val="a6"/>
          <w:szCs w:val="22"/>
        </w:rPr>
        <w:footnoteRef/>
      </w:r>
      <w:r w:rsidRPr="00965242">
        <w:rPr>
          <w:szCs w:val="22"/>
        </w:rPr>
        <w:t xml:space="preserve"> </w:t>
      </w:r>
      <w:r w:rsidRPr="002F757E">
        <w:rPr>
          <w:rFonts w:hint="eastAsia"/>
          <w:szCs w:val="22"/>
        </w:rPr>
        <w:t>孤零零</w:t>
      </w:r>
      <w:r w:rsidRPr="00965242">
        <w:rPr>
          <w:rFonts w:hint="eastAsia"/>
          <w:szCs w:val="22"/>
        </w:rPr>
        <w:t>：孤單，孤獨，無依無靠。</w:t>
      </w:r>
      <w:r w:rsidRPr="00F54EC1">
        <w:rPr>
          <w:szCs w:val="22"/>
        </w:rPr>
        <w:t>（</w:t>
      </w:r>
      <w:r w:rsidRPr="00F56EC6">
        <w:rPr>
          <w:rStyle w:val="af3"/>
          <w:b w:val="0"/>
          <w:szCs w:val="22"/>
        </w:rPr>
        <w:t>《漢語大</w:t>
      </w:r>
      <w:r w:rsidRPr="00F56EC6">
        <w:rPr>
          <w:rStyle w:val="af3"/>
          <w:rFonts w:hint="eastAsia"/>
          <w:b w:val="0"/>
          <w:szCs w:val="22"/>
        </w:rPr>
        <w:t>詞</w:t>
      </w:r>
      <w:r w:rsidRPr="00F56EC6">
        <w:rPr>
          <w:rStyle w:val="af3"/>
          <w:b w:val="0"/>
          <w:szCs w:val="22"/>
        </w:rPr>
        <w:t>典》（</w:t>
      </w:r>
      <w:r w:rsidRPr="00F56EC6">
        <w:rPr>
          <w:rStyle w:val="af3"/>
          <w:rFonts w:hint="eastAsia"/>
          <w:b w:val="0"/>
          <w:szCs w:val="22"/>
        </w:rPr>
        <w:t>四</w:t>
      </w:r>
      <w:r w:rsidRPr="00F56EC6">
        <w:rPr>
          <w:rStyle w:val="af3"/>
          <w:b w:val="0"/>
          <w:szCs w:val="22"/>
        </w:rPr>
        <w:t>）</w:t>
      </w:r>
      <w:r w:rsidRPr="00F54EC1">
        <w:rPr>
          <w:rFonts w:hint="eastAsia"/>
          <w:szCs w:val="22"/>
        </w:rPr>
        <w:t>，</w:t>
      </w:r>
      <w:r w:rsidRPr="00761EF3">
        <w:rPr>
          <w:rStyle w:val="af3"/>
          <w:b w:val="0"/>
          <w:szCs w:val="22"/>
        </w:rPr>
        <w:t>p</w:t>
      </w:r>
      <w:r w:rsidRPr="00F56EC6">
        <w:rPr>
          <w:rStyle w:val="af3"/>
          <w:b w:val="0"/>
          <w:szCs w:val="22"/>
        </w:rPr>
        <w:t>.</w:t>
      </w:r>
      <w:r w:rsidRPr="00761EF3">
        <w:rPr>
          <w:rStyle w:val="af3"/>
          <w:rFonts w:hint="eastAsia"/>
          <w:b w:val="0"/>
          <w:szCs w:val="22"/>
        </w:rPr>
        <w:t>225</w:t>
      </w:r>
      <w:r w:rsidRPr="00F56EC6">
        <w:rPr>
          <w:rStyle w:val="af3"/>
          <w:b w:val="0"/>
          <w:szCs w:val="22"/>
        </w:rPr>
        <w:t>）</w:t>
      </w:r>
    </w:p>
  </w:footnote>
  <w:footnote w:id="1102">
    <w:p w:rsidR="00157EF6" w:rsidRPr="00412A9C" w:rsidRDefault="00157EF6" w:rsidP="00AA120F">
      <w:pPr>
        <w:pStyle w:val="a5"/>
        <w:spacing w:line="0" w:lineRule="atLeast"/>
        <w:ind w:left="253" w:hangingChars="115" w:hanging="253"/>
        <w:jc w:val="both"/>
        <w:rPr>
          <w:rFonts w:ascii="標楷體" w:eastAsia="標楷體" w:hAnsi="標楷體"/>
          <w:szCs w:val="22"/>
        </w:rPr>
      </w:pPr>
      <w:r w:rsidRPr="00412A9C">
        <w:rPr>
          <w:rStyle w:val="a6"/>
          <w:szCs w:val="22"/>
        </w:rPr>
        <w:footnoteRef/>
      </w:r>
      <w:r w:rsidRPr="00412A9C">
        <w:rPr>
          <w:rFonts w:hint="eastAsia"/>
          <w:szCs w:val="22"/>
        </w:rPr>
        <w:t xml:space="preserve"> </w:t>
      </w:r>
      <w:r w:rsidRPr="002F757E">
        <w:rPr>
          <w:rFonts w:hint="eastAsia"/>
          <w:szCs w:val="22"/>
        </w:rPr>
        <w:t>參見</w:t>
      </w:r>
      <w:r w:rsidR="00EB57EF">
        <w:rPr>
          <w:rFonts w:hint="eastAsia"/>
          <w:szCs w:val="22"/>
        </w:rPr>
        <w:t>：</w:t>
      </w:r>
      <w:r w:rsidRPr="00412A9C">
        <w:rPr>
          <w:rFonts w:hint="eastAsia"/>
          <w:szCs w:val="22"/>
        </w:rPr>
        <w:t>《成唯識論》卷</w:t>
      </w:r>
      <w:r w:rsidRPr="00761EF3">
        <w:rPr>
          <w:rFonts w:hint="eastAsia"/>
          <w:szCs w:val="22"/>
        </w:rPr>
        <w:t>8</w:t>
      </w:r>
      <w:r w:rsidRPr="00412A9C">
        <w:rPr>
          <w:rFonts w:hint="eastAsia"/>
          <w:szCs w:val="22"/>
        </w:rPr>
        <w:t>（大正</w:t>
      </w:r>
      <w:r w:rsidRPr="00761EF3">
        <w:rPr>
          <w:rFonts w:hint="eastAsia"/>
          <w:szCs w:val="22"/>
        </w:rPr>
        <w:t>31</w:t>
      </w:r>
      <w:r w:rsidRPr="00412A9C">
        <w:rPr>
          <w:rFonts w:hint="eastAsia"/>
          <w:szCs w:val="22"/>
        </w:rPr>
        <w:t>，</w:t>
      </w:r>
      <w:r w:rsidRPr="00761EF3">
        <w:rPr>
          <w:rFonts w:hint="eastAsia"/>
          <w:szCs w:val="22"/>
        </w:rPr>
        <w:t>45c21</w:t>
      </w:r>
      <w:r w:rsidRPr="00412A9C">
        <w:rPr>
          <w:rFonts w:hint="eastAsia"/>
          <w:szCs w:val="22"/>
        </w:rPr>
        <w:t>-</w:t>
      </w:r>
      <w:r w:rsidRPr="00761EF3">
        <w:rPr>
          <w:szCs w:val="22"/>
        </w:rPr>
        <w:t>46a2</w:t>
      </w:r>
      <w:r w:rsidRPr="00412A9C">
        <w:rPr>
          <w:rFonts w:hint="eastAsia"/>
          <w:szCs w:val="22"/>
        </w:rPr>
        <w:t>）；</w:t>
      </w:r>
      <w:r w:rsidRPr="00412A9C">
        <w:rPr>
          <w:kern w:val="0"/>
          <w:szCs w:val="22"/>
        </w:rPr>
        <w:t>演培法師</w:t>
      </w:r>
      <w:r w:rsidRPr="00412A9C">
        <w:rPr>
          <w:rFonts w:hint="eastAsia"/>
          <w:szCs w:val="22"/>
        </w:rPr>
        <w:t>，</w:t>
      </w:r>
      <w:r w:rsidRPr="00412A9C">
        <w:rPr>
          <w:kern w:val="0"/>
          <w:szCs w:val="22"/>
        </w:rPr>
        <w:t>《成唯識論講記》，</w:t>
      </w:r>
      <w:r w:rsidRPr="00761EF3">
        <w:rPr>
          <w:rFonts w:hint="eastAsia"/>
          <w:kern w:val="0"/>
          <w:szCs w:val="22"/>
        </w:rPr>
        <w:t>p</w:t>
      </w:r>
      <w:r w:rsidRPr="00761EF3">
        <w:rPr>
          <w:kern w:val="0"/>
          <w:szCs w:val="22"/>
        </w:rPr>
        <w:t>p</w:t>
      </w:r>
      <w:r w:rsidRPr="00412A9C">
        <w:rPr>
          <w:kern w:val="0"/>
          <w:szCs w:val="22"/>
        </w:rPr>
        <w:t>.</w:t>
      </w:r>
      <w:r w:rsidRPr="00761EF3">
        <w:rPr>
          <w:kern w:val="0"/>
          <w:szCs w:val="22"/>
        </w:rPr>
        <w:t>462</w:t>
      </w:r>
      <w:r w:rsidRPr="00412A9C">
        <w:rPr>
          <w:rFonts w:hint="eastAsia"/>
          <w:kern w:val="0"/>
          <w:szCs w:val="22"/>
        </w:rPr>
        <w:t>-</w:t>
      </w:r>
      <w:r w:rsidRPr="00761EF3">
        <w:rPr>
          <w:rFonts w:hint="eastAsia"/>
          <w:kern w:val="0"/>
          <w:szCs w:val="22"/>
        </w:rPr>
        <w:t>464</w:t>
      </w:r>
      <w:r w:rsidRPr="00412A9C">
        <w:rPr>
          <w:rFonts w:ascii="標楷體" w:eastAsia="標楷體" w:hAnsi="標楷體" w:cs="SimSun" w:hint="eastAsia"/>
          <w:kern w:val="0"/>
          <w:szCs w:val="22"/>
        </w:rPr>
        <w:t>。</w:t>
      </w:r>
    </w:p>
  </w:footnote>
  <w:footnote w:id="1103">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rFonts w:hint="eastAsia"/>
          <w:szCs w:val="22"/>
        </w:rPr>
        <w:t xml:space="preserve"> </w:t>
      </w:r>
      <w:r w:rsidRPr="00412A9C">
        <w:rPr>
          <w:szCs w:val="22"/>
        </w:rPr>
        <w:t>冥</w:t>
      </w:r>
      <w:r w:rsidRPr="00412A9C">
        <w:rPr>
          <w:rFonts w:hint="eastAsia"/>
          <w:szCs w:val="22"/>
        </w:rPr>
        <w:t>：</w:t>
      </w:r>
      <w:r w:rsidRPr="00761EF3">
        <w:rPr>
          <w:rFonts w:hint="eastAsia"/>
          <w:szCs w:val="22"/>
        </w:rPr>
        <w:t>11</w:t>
      </w:r>
      <w:r w:rsidRPr="00412A9C">
        <w:rPr>
          <w:rFonts w:hint="eastAsia"/>
          <w:szCs w:val="22"/>
        </w:rPr>
        <w:t>.</w:t>
      </w:r>
      <w:r w:rsidRPr="002F757E">
        <w:rPr>
          <w:rFonts w:hint="eastAsia"/>
          <w:szCs w:val="22"/>
        </w:rPr>
        <w:t>暗合</w:t>
      </w:r>
      <w:r w:rsidRPr="00412A9C">
        <w:rPr>
          <w:rFonts w:hint="eastAsia"/>
          <w:szCs w:val="22"/>
        </w:rPr>
        <w:t>，默契。</w:t>
      </w:r>
      <w:r w:rsidRPr="00412A9C">
        <w:rPr>
          <w:szCs w:val="22"/>
        </w:rPr>
        <w:t>（</w:t>
      </w:r>
      <w:r w:rsidRPr="002F757E">
        <w:rPr>
          <w:rStyle w:val="af3"/>
          <w:b w:val="0"/>
          <w:szCs w:val="22"/>
        </w:rPr>
        <w:t>《漢語大</w:t>
      </w:r>
      <w:r w:rsidRPr="002F757E">
        <w:rPr>
          <w:rStyle w:val="af3"/>
          <w:rFonts w:hint="eastAsia"/>
          <w:b w:val="0"/>
          <w:szCs w:val="22"/>
        </w:rPr>
        <w:t>詞</w:t>
      </w:r>
      <w:r w:rsidRPr="002F757E">
        <w:rPr>
          <w:rStyle w:val="af3"/>
          <w:b w:val="0"/>
          <w:szCs w:val="22"/>
        </w:rPr>
        <w:t>典》（</w:t>
      </w:r>
      <w:r w:rsidRPr="002F757E">
        <w:rPr>
          <w:rStyle w:val="af3"/>
          <w:rFonts w:hint="eastAsia"/>
          <w:b w:val="0"/>
          <w:szCs w:val="22"/>
        </w:rPr>
        <w:t>二</w:t>
      </w:r>
      <w:r w:rsidRPr="002F757E">
        <w:rPr>
          <w:rStyle w:val="af3"/>
          <w:b w:val="0"/>
          <w:szCs w:val="22"/>
        </w:rPr>
        <w:t>）</w:t>
      </w:r>
      <w:r w:rsidRPr="002F757E">
        <w:rPr>
          <w:rFonts w:hint="eastAsia"/>
          <w:szCs w:val="22"/>
        </w:rPr>
        <w:t>，</w:t>
      </w:r>
      <w:r w:rsidRPr="00761EF3">
        <w:rPr>
          <w:rStyle w:val="af3"/>
          <w:b w:val="0"/>
          <w:szCs w:val="22"/>
        </w:rPr>
        <w:t>p</w:t>
      </w:r>
      <w:r w:rsidRPr="002F757E">
        <w:rPr>
          <w:rStyle w:val="af3"/>
          <w:b w:val="0"/>
          <w:szCs w:val="22"/>
        </w:rPr>
        <w:t>.</w:t>
      </w:r>
      <w:r w:rsidRPr="00761EF3">
        <w:rPr>
          <w:rStyle w:val="af3"/>
          <w:rFonts w:hint="eastAsia"/>
          <w:b w:val="0"/>
          <w:szCs w:val="22"/>
        </w:rPr>
        <w:t>448</w:t>
      </w:r>
      <w:r w:rsidRPr="002F757E">
        <w:rPr>
          <w:rStyle w:val="af3"/>
          <w:b w:val="0"/>
          <w:szCs w:val="22"/>
        </w:rPr>
        <w:t>）</w:t>
      </w:r>
    </w:p>
  </w:footnote>
  <w:footnote w:id="1104">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Pr="00412A9C">
        <w:rPr>
          <w:rFonts w:hint="eastAsia"/>
          <w:szCs w:val="22"/>
        </w:rPr>
        <w:t>三家：指</w:t>
      </w:r>
      <w:r w:rsidRPr="00412A9C">
        <w:rPr>
          <w:szCs w:val="22"/>
        </w:rPr>
        <w:t>說一切有部、唯識者、真常唯心論者</w:t>
      </w:r>
      <w:r w:rsidRPr="00412A9C">
        <w:rPr>
          <w:rFonts w:hint="eastAsia"/>
          <w:szCs w:val="22"/>
        </w:rPr>
        <w:t>。</w:t>
      </w:r>
    </w:p>
  </w:footnote>
  <w:footnote w:id="1105">
    <w:p w:rsidR="00157EF6" w:rsidRPr="00412A9C" w:rsidRDefault="00157EF6" w:rsidP="00AA120F">
      <w:pPr>
        <w:pStyle w:val="a5"/>
        <w:spacing w:line="0" w:lineRule="atLeast"/>
        <w:ind w:left="253" w:hangingChars="115" w:hanging="253"/>
        <w:jc w:val="both"/>
        <w:rPr>
          <w:szCs w:val="22"/>
        </w:rPr>
      </w:pPr>
      <w:r w:rsidRPr="00412A9C">
        <w:rPr>
          <w:rStyle w:val="a6"/>
          <w:szCs w:val="22"/>
        </w:rPr>
        <w:footnoteRef/>
      </w:r>
      <w:r w:rsidRPr="00412A9C">
        <w:rPr>
          <w:szCs w:val="22"/>
        </w:rPr>
        <w:t xml:space="preserve"> </w:t>
      </w:r>
      <w:r w:rsidR="009160B5">
        <w:rPr>
          <w:szCs w:val="22"/>
        </w:rPr>
        <w:t>參見：印</w:t>
      </w:r>
      <w:r w:rsidRPr="00412A9C">
        <w:rPr>
          <w:szCs w:val="22"/>
        </w:rPr>
        <w:t>順法師</w:t>
      </w:r>
      <w:r w:rsidRPr="00412A9C">
        <w:rPr>
          <w:rFonts w:hint="eastAsia"/>
          <w:szCs w:val="22"/>
        </w:rPr>
        <w:t>，</w:t>
      </w:r>
      <w:r w:rsidRPr="00412A9C">
        <w:rPr>
          <w:szCs w:val="22"/>
        </w:rPr>
        <w:t>《中觀今論》</w:t>
      </w:r>
      <w:r w:rsidRPr="00412A9C">
        <w:rPr>
          <w:rFonts w:hint="eastAsia"/>
          <w:szCs w:val="22"/>
        </w:rPr>
        <w:t>，第</w:t>
      </w:r>
      <w:r w:rsidRPr="00761EF3">
        <w:rPr>
          <w:rFonts w:hint="eastAsia"/>
          <w:szCs w:val="22"/>
        </w:rPr>
        <w:t>5</w:t>
      </w:r>
      <w:r w:rsidRPr="00412A9C">
        <w:rPr>
          <w:rFonts w:hint="eastAsia"/>
          <w:szCs w:val="22"/>
        </w:rPr>
        <w:t>章，第</w:t>
      </w:r>
      <w:r w:rsidRPr="00761EF3">
        <w:rPr>
          <w:rFonts w:hint="eastAsia"/>
          <w:szCs w:val="22"/>
        </w:rPr>
        <w:t>3</w:t>
      </w:r>
      <w:r w:rsidRPr="00412A9C">
        <w:rPr>
          <w:rFonts w:hint="eastAsia"/>
          <w:szCs w:val="22"/>
        </w:rPr>
        <w:t>節〈空〉，</w:t>
      </w:r>
      <w:r w:rsidRPr="00761EF3">
        <w:rPr>
          <w:szCs w:val="22"/>
        </w:rPr>
        <w:t>pp</w:t>
      </w:r>
      <w:r w:rsidRPr="00412A9C">
        <w:rPr>
          <w:szCs w:val="22"/>
        </w:rPr>
        <w:t>.</w:t>
      </w:r>
      <w:r w:rsidRPr="00761EF3">
        <w:rPr>
          <w:szCs w:val="22"/>
        </w:rPr>
        <w:t>75</w:t>
      </w:r>
      <w:r w:rsidRPr="00412A9C">
        <w:rPr>
          <w:szCs w:val="22"/>
        </w:rPr>
        <w:t>-</w:t>
      </w:r>
      <w:r w:rsidRPr="00761EF3">
        <w:rPr>
          <w:szCs w:val="22"/>
        </w:rPr>
        <w:t>77</w:t>
      </w:r>
      <w:r w:rsidRPr="00412A9C">
        <w:rPr>
          <w:szCs w:val="22"/>
        </w:rPr>
        <w:t>：</w:t>
      </w:r>
    </w:p>
    <w:p w:rsidR="00157EF6" w:rsidRPr="00412A9C" w:rsidRDefault="00157EF6" w:rsidP="00AA120F">
      <w:pPr>
        <w:pStyle w:val="a5"/>
        <w:ind w:leftChars="105" w:left="252"/>
        <w:jc w:val="both"/>
        <w:rPr>
          <w:rFonts w:eastAsia="標楷體"/>
          <w:b/>
          <w:szCs w:val="22"/>
        </w:rPr>
      </w:pPr>
      <w:r w:rsidRPr="00412A9C">
        <w:rPr>
          <w:rFonts w:eastAsia="標楷體"/>
          <w:szCs w:val="22"/>
        </w:rPr>
        <w:t>自空與他空，係兩種不同的空觀。</w:t>
      </w:r>
      <w:r w:rsidRPr="00412A9C">
        <w:rPr>
          <w:rFonts w:eastAsia="標楷體"/>
          <w:b/>
          <w:szCs w:val="22"/>
        </w:rPr>
        <w:t>譬如觀花空，自空者說：花的當體就是空的。他空者說：此花上沒有某些，所以說是空，但不是花的本身空。</w:t>
      </w:r>
    </w:p>
    <w:p w:rsidR="00157EF6" w:rsidRPr="000C6D5D" w:rsidRDefault="00157EF6" w:rsidP="00AA120F">
      <w:pPr>
        <w:pStyle w:val="a5"/>
        <w:ind w:leftChars="105" w:left="252"/>
        <w:jc w:val="both"/>
        <w:rPr>
          <w:rFonts w:ascii="標楷體" w:eastAsia="標楷體" w:hAnsi="標楷體"/>
          <w:szCs w:val="22"/>
        </w:rPr>
      </w:pPr>
      <w:r w:rsidRPr="00412A9C">
        <w:rPr>
          <w:rFonts w:eastAsia="標楷體"/>
          <w:szCs w:val="22"/>
        </w:rPr>
        <w:t>如《瑜伽論》的〈真實義品〉說：「由彼故空，彼實是無；於此而空，此實是有：由此道理，可說為空。」這即是說：在此法上由於空去彼法，沒有彼法可以說為空，但於此法是有的。唯識學者說空，無論如何巧妙的解說，永不能跳出此他空的</w:t>
      </w:r>
      <w:r w:rsidRPr="000C6D5D">
        <w:rPr>
          <w:rFonts w:eastAsia="標楷體"/>
          <w:szCs w:val="22"/>
        </w:rPr>
        <w:t>圈子</w:t>
      </w:r>
      <w:r w:rsidRPr="000C6D5D">
        <w:rPr>
          <w:rFonts w:ascii="標楷體" w:eastAsia="標楷體" w:hAnsi="標楷體"/>
          <w:szCs w:val="22"/>
        </w:rPr>
        <w:t>。</w:t>
      </w:r>
      <w:r w:rsidRPr="00DC6BCB">
        <w:rPr>
          <w:rFonts w:ascii="標楷體" w:eastAsia="標楷體" w:hAnsi="標楷體"/>
          <w:szCs w:val="22"/>
          <w:shd w:val="pct15" w:color="auto" w:fill="FFFFFF"/>
        </w:rPr>
        <w:t>……</w:t>
      </w:r>
    </w:p>
    <w:p w:rsidR="00157EF6" w:rsidRPr="000C6D5D" w:rsidRDefault="00157EF6" w:rsidP="00AE3920">
      <w:pPr>
        <w:pStyle w:val="a5"/>
        <w:spacing w:beforeLines="20"/>
        <w:ind w:leftChars="105" w:left="252"/>
        <w:jc w:val="both"/>
        <w:rPr>
          <w:rFonts w:ascii="標楷體" w:eastAsia="標楷體" w:hAnsi="標楷體"/>
          <w:szCs w:val="22"/>
        </w:rPr>
      </w:pPr>
      <w:r w:rsidRPr="000C6D5D">
        <w:rPr>
          <w:rFonts w:ascii="標楷體" w:eastAsia="標楷體" w:hAnsi="標楷體"/>
          <w:b/>
          <w:szCs w:val="22"/>
        </w:rPr>
        <w:t>他空的思想，早見於《中阿含經》中，如《中阿含經》的《小空經》，就是他空論。</w:t>
      </w:r>
      <w:r w:rsidRPr="000C6D5D">
        <w:rPr>
          <w:rFonts w:ascii="標楷體" w:eastAsia="標楷體" w:hAnsi="標楷體"/>
          <w:szCs w:val="22"/>
        </w:rPr>
        <w:t>這種思想，與西北印度的佛教有關。《小空經》中的他空，即除去某一些而留存某一些──本是禪定</w:t>
      </w:r>
      <w:r w:rsidRPr="000C6D5D">
        <w:rPr>
          <w:rFonts w:eastAsia="標楷體"/>
          <w:szCs w:val="22"/>
        </w:rPr>
        <w:t>次第法，稱之為空，而不能一切空的。此經以「鹿子母堂空」為喻，如說鹿子母講堂空，是說講堂中沒有牛羊等所以說空，非講堂是空，也不是講堂裏沒有比丘，更不是別處沒有牛羊，纔說為空。這是浮淺的空觀，《楞伽經》稱之為「彼彼空」，最粗而不應該用的。</w:t>
      </w:r>
      <w:r w:rsidRPr="00DC6BCB">
        <w:rPr>
          <w:rFonts w:ascii="標楷體" w:eastAsia="標楷體" w:hAnsi="標楷體"/>
          <w:szCs w:val="22"/>
          <w:shd w:val="pct15" w:color="auto" w:fill="FFFFFF"/>
        </w:rPr>
        <w:t>……</w:t>
      </w:r>
    </w:p>
    <w:p w:rsidR="00157EF6" w:rsidRPr="00412A9C" w:rsidRDefault="00157EF6" w:rsidP="00AE3920">
      <w:pPr>
        <w:pStyle w:val="a5"/>
        <w:spacing w:beforeLines="20"/>
        <w:ind w:leftChars="105" w:left="252"/>
        <w:jc w:val="both"/>
        <w:rPr>
          <w:rFonts w:eastAsia="標楷體"/>
          <w:b/>
          <w:szCs w:val="22"/>
        </w:rPr>
      </w:pPr>
      <w:r w:rsidRPr="000C6D5D">
        <w:rPr>
          <w:rFonts w:eastAsia="標楷體"/>
          <w:szCs w:val="22"/>
        </w:rPr>
        <w:t>至於</w:t>
      </w:r>
      <w:r w:rsidRPr="000C6D5D">
        <w:rPr>
          <w:rFonts w:eastAsia="標楷體"/>
          <w:b/>
          <w:szCs w:val="22"/>
        </w:rPr>
        <w:t>自空，也是淵源於《阿含》的。如《雜阿含經》說：「常空</w:t>
      </w:r>
      <w:r w:rsidRPr="000C6D5D">
        <w:rPr>
          <w:rFonts w:ascii="標楷體" w:eastAsia="標楷體" w:hAnsi="標楷體"/>
          <w:b/>
          <w:szCs w:val="22"/>
        </w:rPr>
        <w:t>……</w:t>
      </w:r>
      <w:r w:rsidRPr="000C6D5D">
        <w:rPr>
          <w:rFonts w:eastAsia="標楷體"/>
          <w:b/>
          <w:szCs w:val="22"/>
        </w:rPr>
        <w:t>我我所空，性自爾故。」這即是說：常、我、我所的當體即空；不是空外另有常、我、我所等</w:t>
      </w:r>
      <w:r w:rsidRPr="00412A9C">
        <w:rPr>
          <w:rFonts w:eastAsia="標楷體"/>
          <w:b/>
          <w:szCs w:val="22"/>
        </w:rPr>
        <w:t>不空。常、我、我所等所以即空，是因為常、我、我所的性自爾故。</w:t>
      </w:r>
    </w:p>
    <w:p w:rsidR="00157EF6" w:rsidRPr="000C6D5D" w:rsidRDefault="00157EF6" w:rsidP="00AA120F">
      <w:pPr>
        <w:pStyle w:val="a5"/>
        <w:ind w:leftChars="105" w:left="252"/>
        <w:jc w:val="both"/>
        <w:rPr>
          <w:rFonts w:eastAsia="標楷體"/>
          <w:szCs w:val="22"/>
        </w:rPr>
      </w:pPr>
      <w:r w:rsidRPr="00412A9C">
        <w:rPr>
          <w:rFonts w:eastAsia="標楷體"/>
          <w:szCs w:val="22"/>
        </w:rPr>
        <w:t>又如《雜阿含》的《勝義空經》（</w:t>
      </w:r>
      <w:r w:rsidRPr="00761EF3">
        <w:rPr>
          <w:rFonts w:eastAsia="標楷體"/>
          <w:szCs w:val="22"/>
        </w:rPr>
        <w:t>335</w:t>
      </w:r>
      <w:r w:rsidRPr="00412A9C">
        <w:rPr>
          <w:rFonts w:eastAsia="標楷體"/>
          <w:szCs w:val="22"/>
        </w:rPr>
        <w:t>經）說：無我我所而有因果業報流轉事，但不是勝義諦中有此因果業報流轉等，所以說：「俗數法者，謂此有故彼有，此生故彼生，謂無明緣行。」緣起因果的相續有，是世俗的，勝義諦中即無我我所而空</w:t>
      </w:r>
      <w:r w:rsidRPr="000C6D5D">
        <w:rPr>
          <w:rFonts w:eastAsia="標楷體"/>
          <w:szCs w:val="22"/>
        </w:rPr>
        <w:t>。</w:t>
      </w:r>
      <w:r w:rsidRPr="000C6D5D">
        <w:rPr>
          <w:rFonts w:eastAsia="標楷體"/>
          <w:b/>
          <w:szCs w:val="22"/>
        </w:rPr>
        <w:t>世俗有</w:t>
      </w:r>
      <w:r w:rsidRPr="000C6D5D">
        <w:rPr>
          <w:rFonts w:eastAsia="標楷體"/>
          <w:szCs w:val="22"/>
        </w:rPr>
        <w:t>與</w:t>
      </w:r>
      <w:r w:rsidRPr="000C6D5D">
        <w:rPr>
          <w:rFonts w:eastAsia="標楷體"/>
          <w:b/>
          <w:szCs w:val="22"/>
        </w:rPr>
        <w:t>勝義空</w:t>
      </w:r>
      <w:r w:rsidRPr="000C6D5D">
        <w:rPr>
          <w:rFonts w:eastAsia="標楷體"/>
          <w:szCs w:val="22"/>
        </w:rPr>
        <w:t>，此經即概略指出了。</w:t>
      </w:r>
    </w:p>
    <w:p w:rsidR="00157EF6" w:rsidRPr="00412A9C" w:rsidRDefault="00157EF6" w:rsidP="00AE3920">
      <w:pPr>
        <w:pStyle w:val="a5"/>
        <w:spacing w:beforeLines="20"/>
        <w:ind w:leftChars="105" w:left="252"/>
        <w:jc w:val="both"/>
        <w:rPr>
          <w:rFonts w:eastAsia="標楷體"/>
          <w:szCs w:val="22"/>
        </w:rPr>
      </w:pPr>
      <w:r w:rsidRPr="000C6D5D">
        <w:rPr>
          <w:rFonts w:eastAsia="標楷體"/>
          <w:b/>
          <w:szCs w:val="22"/>
        </w:rPr>
        <w:t>總之，自空乃即法的當體而明空，他空則在此法上空去彼法而明空的。</w:t>
      </w:r>
      <w:r w:rsidRPr="000C6D5D">
        <w:rPr>
          <w:rFonts w:eastAsia="標楷體"/>
          <w:szCs w:val="22"/>
        </w:rPr>
        <w:t>所以</w:t>
      </w:r>
      <w:r w:rsidRPr="000C6D5D">
        <w:rPr>
          <w:rFonts w:eastAsia="標楷體"/>
          <w:b/>
          <w:szCs w:val="22"/>
        </w:rPr>
        <w:t>中觀</w:t>
      </w:r>
      <w:r w:rsidRPr="000C6D5D">
        <w:rPr>
          <w:rFonts w:eastAsia="標楷體"/>
          <w:szCs w:val="22"/>
        </w:rPr>
        <w:t>所說的</w:t>
      </w:r>
      <w:r w:rsidRPr="000C6D5D">
        <w:rPr>
          <w:rFonts w:eastAsia="標楷體"/>
          <w:b/>
          <w:szCs w:val="22"/>
        </w:rPr>
        <w:t>世俗假名有，勝義畢竟空</w:t>
      </w:r>
      <w:r w:rsidRPr="000C6D5D">
        <w:rPr>
          <w:rFonts w:eastAsia="標楷體"/>
          <w:szCs w:val="22"/>
        </w:rPr>
        <w:t>，他空論者是不能承認的。他們照著自己的意見而修正說</w:t>
      </w:r>
      <w:r w:rsidRPr="00412A9C">
        <w:rPr>
          <w:rFonts w:eastAsia="標楷體"/>
          <w:szCs w:val="22"/>
        </w:rPr>
        <w:t>：一切皆空是不了義的，這與自性空者處於相反的立場。後來唯識學者論空，只約遣去遍計所執說；不但不能說緣起即空所顯，也不能當下確認諸法皆空，所以</w:t>
      </w:r>
      <w:r w:rsidRPr="00412A9C">
        <w:rPr>
          <w:rFonts w:eastAsia="標楷體"/>
          <w:b/>
          <w:szCs w:val="22"/>
        </w:rPr>
        <w:t>自空</w:t>
      </w:r>
      <w:r w:rsidRPr="00412A9C">
        <w:rPr>
          <w:rFonts w:eastAsia="標楷體"/>
          <w:szCs w:val="22"/>
        </w:rPr>
        <w:t>與</w:t>
      </w:r>
      <w:r w:rsidRPr="00412A9C">
        <w:rPr>
          <w:rFonts w:eastAsia="標楷體"/>
          <w:b/>
          <w:szCs w:val="22"/>
        </w:rPr>
        <w:t>他空</w:t>
      </w:r>
      <w:r w:rsidRPr="00412A9C">
        <w:rPr>
          <w:rFonts w:eastAsia="標楷體"/>
          <w:szCs w:val="22"/>
        </w:rPr>
        <w:t>是根本不同。</w:t>
      </w:r>
    </w:p>
  </w:footnote>
  <w:footnote w:id="1106">
    <w:p w:rsidR="00157EF6" w:rsidRDefault="00157EF6" w:rsidP="00AA120F">
      <w:pPr>
        <w:pStyle w:val="a5"/>
        <w:spacing w:line="0" w:lineRule="atLeast"/>
        <w:ind w:left="253" w:hangingChars="115" w:hanging="253"/>
        <w:jc w:val="both"/>
        <w:rPr>
          <w:szCs w:val="22"/>
        </w:rPr>
      </w:pPr>
      <w:r w:rsidRPr="00412A9C">
        <w:rPr>
          <w:rStyle w:val="a6"/>
          <w:szCs w:val="22"/>
        </w:rPr>
        <w:footnoteRef/>
      </w:r>
      <w:r w:rsidRPr="00412A9C">
        <w:rPr>
          <w:rFonts w:hint="eastAsia"/>
          <w:szCs w:val="22"/>
        </w:rPr>
        <w:t xml:space="preserve"> </w:t>
      </w:r>
      <w:r w:rsidRPr="00412A9C">
        <w:rPr>
          <w:rFonts w:hint="eastAsia"/>
          <w:szCs w:val="22"/>
        </w:rPr>
        <w:t>太虛大師，《</w:t>
      </w:r>
      <w:r w:rsidRPr="00212D57">
        <w:rPr>
          <w:rFonts w:eastAsia="細明體"/>
          <w:szCs w:val="22"/>
        </w:rPr>
        <w:t>太虛大師全書　第</w:t>
      </w:r>
      <w:r>
        <w:rPr>
          <w:rFonts w:eastAsia="細明體"/>
          <w:szCs w:val="22"/>
        </w:rPr>
        <w:t>一</w:t>
      </w:r>
      <w:r w:rsidRPr="00212D57">
        <w:rPr>
          <w:rFonts w:eastAsia="細明體"/>
          <w:szCs w:val="22"/>
        </w:rPr>
        <w:t xml:space="preserve">編　</w:t>
      </w:r>
      <w:r w:rsidRPr="00412A9C">
        <w:rPr>
          <w:rFonts w:hint="eastAsia"/>
          <w:szCs w:val="22"/>
        </w:rPr>
        <w:t>佛法總學》，精裝第</w:t>
      </w:r>
      <w:r w:rsidRPr="00761EF3">
        <w:rPr>
          <w:rFonts w:hint="eastAsia"/>
          <w:szCs w:val="22"/>
        </w:rPr>
        <w:t>1</w:t>
      </w:r>
      <w:r w:rsidRPr="00412A9C">
        <w:rPr>
          <w:rFonts w:hint="eastAsia"/>
          <w:szCs w:val="22"/>
        </w:rPr>
        <w:t>冊，</w:t>
      </w:r>
      <w:r w:rsidRPr="00761EF3">
        <w:rPr>
          <w:rFonts w:hint="eastAsia"/>
          <w:szCs w:val="22"/>
        </w:rPr>
        <w:t>p</w:t>
      </w:r>
      <w:r w:rsidRPr="00412A9C">
        <w:rPr>
          <w:rFonts w:hint="eastAsia"/>
          <w:szCs w:val="22"/>
        </w:rPr>
        <w:t>.</w:t>
      </w:r>
      <w:r w:rsidRPr="00761EF3">
        <w:rPr>
          <w:rFonts w:hint="eastAsia"/>
          <w:szCs w:val="22"/>
        </w:rPr>
        <w:t>408</w:t>
      </w:r>
      <w:r w:rsidRPr="00412A9C">
        <w:rPr>
          <w:rFonts w:hint="eastAsia"/>
          <w:szCs w:val="22"/>
        </w:rPr>
        <w:t>：</w:t>
      </w:r>
    </w:p>
    <w:p w:rsidR="00157EF6" w:rsidRPr="00412A9C" w:rsidRDefault="00157EF6" w:rsidP="00AA120F">
      <w:pPr>
        <w:pStyle w:val="a5"/>
        <w:ind w:leftChars="105" w:left="252"/>
        <w:jc w:val="both"/>
        <w:rPr>
          <w:szCs w:val="22"/>
        </w:rPr>
      </w:pPr>
      <w:r w:rsidRPr="00412A9C">
        <w:rPr>
          <w:rFonts w:ascii="標楷體" w:eastAsia="標楷體" w:hAnsi="標楷體" w:hint="eastAsia"/>
          <w:szCs w:val="22"/>
        </w:rPr>
        <w:t>即有之空才是真空，則</w:t>
      </w:r>
      <w:r w:rsidRPr="00412A9C">
        <w:rPr>
          <w:rFonts w:ascii="標楷體" w:eastAsia="標楷體" w:hAnsi="標楷體" w:hint="eastAsia"/>
          <w:b/>
          <w:szCs w:val="22"/>
        </w:rPr>
        <w:t>離有之空是頑空</w:t>
      </w:r>
      <w:r w:rsidRPr="00412A9C">
        <w:rPr>
          <w:rFonts w:ascii="標楷體" w:eastAsia="標楷體" w:hAnsi="標楷體" w:hint="eastAsia"/>
          <w:szCs w:val="22"/>
        </w:rPr>
        <w:t>；即空之有才是妙有，則離空之有是妄有。</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73230F" w:rsidRDefault="00AE3920" w:rsidP="00091862">
    <w:pPr>
      <w:pStyle w:val="a7"/>
      <w:jc w:val="both"/>
      <w:rPr>
        <w:rFonts w:ascii="Times New Roman" w:hAnsi="Times New Roman"/>
      </w:rPr>
    </w:pPr>
    <w:r w:rsidRPr="0073230F">
      <w:rPr>
        <w:rFonts w:ascii="Times New Roman" w:hAnsi="Times New Roman"/>
      </w:rPr>
      <w:fldChar w:fldCharType="begin"/>
    </w:r>
    <w:r w:rsidR="00157EF6" w:rsidRPr="0073230F">
      <w:rPr>
        <w:rFonts w:ascii="Times New Roman" w:hAnsi="Times New Roman"/>
      </w:rPr>
      <w:instrText>PAGE   \* MERGEFORMAT</w:instrText>
    </w:r>
    <w:r w:rsidRPr="0073230F">
      <w:rPr>
        <w:rFonts w:ascii="Times New Roman" w:hAnsi="Times New Roman"/>
      </w:rPr>
      <w:fldChar w:fldCharType="separate"/>
    </w:r>
    <w:r w:rsidR="004711CF" w:rsidRPr="004711CF">
      <w:rPr>
        <w:rFonts w:ascii="Times New Roman" w:hAnsi="Times New Roman"/>
        <w:noProof/>
        <w:lang w:val="zh-TW"/>
      </w:rPr>
      <w:t>II</w:t>
    </w:r>
    <w:r w:rsidRPr="0073230F">
      <w:rPr>
        <w:rFonts w:ascii="Times New Roman" w:hAnsi="Times New Roman"/>
      </w:rPr>
      <w:fldChar w:fldCharType="end"/>
    </w:r>
    <w:r w:rsidR="00157EF6">
      <w:rPr>
        <w:rFonts w:ascii="Times New Roman" w:hAnsi="Times New Roman"/>
      </w:rPr>
      <w:t xml:space="preserve">　</w:t>
    </w:r>
    <w:r w:rsidR="00157EF6" w:rsidRPr="0073230F">
      <w:rPr>
        <w:rFonts w:ascii="Times New Roman" w:hAnsi="Times New Roman"/>
      </w:rPr>
      <w:t>《中觀今論》講義</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73230F" w:rsidRDefault="00157EF6" w:rsidP="002E469B">
    <w:pPr>
      <w:pStyle w:val="a7"/>
      <w:jc w:val="right"/>
      <w:rPr>
        <w:rFonts w:ascii="Times New Roman" w:hAnsi="Times New Roman"/>
      </w:rPr>
    </w:pPr>
    <w:r w:rsidRPr="0073230F">
      <w:rPr>
        <w:rFonts w:ascii="Times New Roman" w:hAnsi="Times New Roman"/>
      </w:rPr>
      <w:t>第一節、中道之內容</w:t>
    </w:r>
    <w:r>
      <w:rPr>
        <w:rFonts w:ascii="Times New Roman" w:hAnsi="Times New Roman"/>
      </w:rPr>
      <w:t xml:space="preserve">　</w:t>
    </w:r>
    <w:r w:rsidR="00AE3920" w:rsidRPr="0073230F">
      <w:rPr>
        <w:rFonts w:ascii="Times New Roman" w:hAnsi="Times New Roman"/>
      </w:rPr>
      <w:fldChar w:fldCharType="begin"/>
    </w:r>
    <w:r w:rsidRPr="0073230F">
      <w:rPr>
        <w:rFonts w:ascii="Times New Roman" w:hAnsi="Times New Roman"/>
      </w:rPr>
      <w:instrText xml:space="preserve"> PAGE   \* MERGEFORMAT </w:instrText>
    </w:r>
    <w:r w:rsidR="00AE3920" w:rsidRPr="0073230F">
      <w:rPr>
        <w:rFonts w:ascii="Times New Roman" w:hAnsi="Times New Roman"/>
      </w:rPr>
      <w:fldChar w:fldCharType="separate"/>
    </w:r>
    <w:r w:rsidR="004711CF">
      <w:rPr>
        <w:rFonts w:ascii="Times New Roman" w:hAnsi="Times New Roman"/>
        <w:noProof/>
      </w:rPr>
      <w:t>31</w:t>
    </w:r>
    <w:r w:rsidR="00AE3920" w:rsidRPr="0073230F">
      <w:rPr>
        <w:rFonts w:ascii="Times New Roman" w:hAnsi="Times New Roman"/>
        <w:noProof/>
      </w:rPr>
      <w:fldChar w:fldCharType="end"/>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26141A" w:rsidRDefault="00157EF6" w:rsidP="002E469B">
    <w:pPr>
      <w:pStyle w:val="a7"/>
      <w:jc w:val="right"/>
      <w:rPr>
        <w:rFonts w:ascii="Times New Roman" w:hAnsi="Times New Roman"/>
      </w:rPr>
    </w:pPr>
    <w:r w:rsidRPr="0026141A">
      <w:rPr>
        <w:rFonts w:ascii="Times New Roman" w:hAnsi="Times New Roman"/>
      </w:rPr>
      <w:t xml:space="preserve">第二節、中道之意義　</w:t>
    </w:r>
    <w:r w:rsidR="00AE3920" w:rsidRPr="0026141A">
      <w:rPr>
        <w:rFonts w:ascii="Times New Roman" w:hAnsi="Times New Roman"/>
      </w:rPr>
      <w:fldChar w:fldCharType="begin"/>
    </w:r>
    <w:r w:rsidRPr="0026141A">
      <w:rPr>
        <w:rFonts w:ascii="Times New Roman" w:hAnsi="Times New Roman"/>
      </w:rPr>
      <w:instrText xml:space="preserve"> PAGE   \* MERGEFORMAT </w:instrText>
    </w:r>
    <w:r w:rsidR="00AE3920" w:rsidRPr="0026141A">
      <w:rPr>
        <w:rFonts w:ascii="Times New Roman" w:hAnsi="Times New Roman"/>
      </w:rPr>
      <w:fldChar w:fldCharType="separate"/>
    </w:r>
    <w:r w:rsidR="004711CF">
      <w:rPr>
        <w:rFonts w:ascii="Times New Roman" w:hAnsi="Times New Roman"/>
        <w:noProof/>
      </w:rPr>
      <w:t>37</w:t>
    </w:r>
    <w:r w:rsidR="00AE3920" w:rsidRPr="0026141A">
      <w:rPr>
        <w:rFonts w:ascii="Times New Roman" w:hAnsi="Times New Roman"/>
        <w:noProof/>
      </w:rPr>
      <w:fldChar w:fldCharType="end"/>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73230F" w:rsidRDefault="00AE3920" w:rsidP="00091862">
    <w:pPr>
      <w:pStyle w:val="a7"/>
      <w:jc w:val="both"/>
      <w:rPr>
        <w:rFonts w:ascii="Times New Roman" w:hAnsi="Times New Roman"/>
      </w:rPr>
    </w:pPr>
    <w:r w:rsidRPr="0073230F">
      <w:rPr>
        <w:rFonts w:ascii="Times New Roman" w:hAnsi="Times New Roman"/>
      </w:rPr>
      <w:fldChar w:fldCharType="begin"/>
    </w:r>
    <w:r w:rsidR="00157EF6" w:rsidRPr="0073230F">
      <w:rPr>
        <w:rFonts w:ascii="Times New Roman" w:hAnsi="Times New Roman"/>
      </w:rPr>
      <w:instrText xml:space="preserve"> PAGE   \* MERGEFORMAT </w:instrText>
    </w:r>
    <w:r w:rsidRPr="0073230F">
      <w:rPr>
        <w:rFonts w:ascii="Times New Roman" w:hAnsi="Times New Roman"/>
      </w:rPr>
      <w:fldChar w:fldCharType="separate"/>
    </w:r>
    <w:r w:rsidR="004711CF">
      <w:rPr>
        <w:rFonts w:ascii="Times New Roman" w:hAnsi="Times New Roman"/>
        <w:noProof/>
      </w:rPr>
      <w:t>62</w:t>
    </w:r>
    <w:r w:rsidRPr="0073230F">
      <w:rPr>
        <w:rFonts w:ascii="Times New Roman" w:hAnsi="Times New Roman"/>
        <w:noProof/>
      </w:rPr>
      <w:fldChar w:fldCharType="end"/>
    </w:r>
    <w:r w:rsidR="00157EF6" w:rsidRPr="0073230F">
      <w:rPr>
        <w:rFonts w:ascii="Times New Roman" w:hAnsi="Times New Roman"/>
        <w:noProof/>
      </w:rPr>
      <w:t xml:space="preserve">　</w:t>
    </w:r>
    <w:r w:rsidR="00157EF6" w:rsidRPr="0073230F">
      <w:rPr>
        <w:rFonts w:ascii="Times New Roman" w:hAnsi="Times New Roman"/>
      </w:rPr>
      <w:t>《中觀今論》講義：第二章、龍樹及其論典</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73230F" w:rsidRDefault="00157EF6" w:rsidP="002E469B">
    <w:pPr>
      <w:pStyle w:val="a7"/>
      <w:jc w:val="right"/>
      <w:rPr>
        <w:rFonts w:ascii="Times New Roman" w:hAnsi="Times New Roman"/>
      </w:rPr>
    </w:pPr>
    <w:r w:rsidRPr="0073230F">
      <w:rPr>
        <w:rFonts w:ascii="Times New Roman" w:hAnsi="Times New Roman"/>
      </w:rPr>
      <w:t xml:space="preserve">第一節、龍樹論略說　</w:t>
    </w:r>
    <w:r w:rsidR="00AE3920" w:rsidRPr="0073230F">
      <w:rPr>
        <w:rFonts w:ascii="Times New Roman" w:hAnsi="Times New Roman"/>
      </w:rPr>
      <w:fldChar w:fldCharType="begin"/>
    </w:r>
    <w:r w:rsidRPr="0073230F">
      <w:rPr>
        <w:rFonts w:ascii="Times New Roman" w:hAnsi="Times New Roman"/>
      </w:rPr>
      <w:instrText xml:space="preserve"> PAGE   \* MERGEFORMAT </w:instrText>
    </w:r>
    <w:r w:rsidR="00AE3920" w:rsidRPr="0073230F">
      <w:rPr>
        <w:rFonts w:ascii="Times New Roman" w:hAnsi="Times New Roman"/>
      </w:rPr>
      <w:fldChar w:fldCharType="separate"/>
    </w:r>
    <w:r w:rsidR="004711CF">
      <w:rPr>
        <w:rFonts w:ascii="Times New Roman" w:hAnsi="Times New Roman"/>
        <w:noProof/>
      </w:rPr>
      <w:t>45</w:t>
    </w:r>
    <w:r w:rsidR="00AE3920" w:rsidRPr="0073230F">
      <w:rPr>
        <w:rFonts w:ascii="Times New Roman" w:hAnsi="Times New Roman"/>
        <w:noProof/>
      </w:rPr>
      <w:fldChar w:fldCharType="end"/>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73230F" w:rsidRDefault="00157EF6" w:rsidP="002E469B">
    <w:pPr>
      <w:pStyle w:val="a7"/>
      <w:jc w:val="right"/>
      <w:rPr>
        <w:rFonts w:ascii="Times New Roman" w:hAnsi="Times New Roman"/>
      </w:rPr>
    </w:pPr>
    <w:r w:rsidRPr="0073230F">
      <w:rPr>
        <w:rFonts w:ascii="Times New Roman" w:hAnsi="Times New Roman"/>
      </w:rPr>
      <w:t xml:space="preserve">第二節、《中論》為《阿含》通論考　</w:t>
    </w:r>
    <w:r w:rsidR="00AE3920" w:rsidRPr="0073230F">
      <w:rPr>
        <w:rFonts w:ascii="Times New Roman" w:hAnsi="Times New Roman"/>
      </w:rPr>
      <w:fldChar w:fldCharType="begin"/>
    </w:r>
    <w:r w:rsidRPr="0073230F">
      <w:rPr>
        <w:rFonts w:ascii="Times New Roman" w:hAnsi="Times New Roman"/>
      </w:rPr>
      <w:instrText xml:space="preserve"> PAGE   \* MERGEFORMAT </w:instrText>
    </w:r>
    <w:r w:rsidR="00AE3920" w:rsidRPr="0073230F">
      <w:rPr>
        <w:rFonts w:ascii="Times New Roman" w:hAnsi="Times New Roman"/>
      </w:rPr>
      <w:fldChar w:fldCharType="separate"/>
    </w:r>
    <w:r w:rsidR="004711CF">
      <w:rPr>
        <w:rFonts w:ascii="Times New Roman" w:hAnsi="Times New Roman"/>
        <w:noProof/>
      </w:rPr>
      <w:t>61</w:t>
    </w:r>
    <w:r w:rsidR="00AE3920" w:rsidRPr="0073230F">
      <w:rPr>
        <w:rFonts w:ascii="Times New Roman" w:hAnsi="Times New Roman"/>
        <w:noProof/>
      </w:rPr>
      <w:fldChar w:fldCharType="end"/>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73230F" w:rsidRDefault="00AE3920" w:rsidP="00091862">
    <w:pPr>
      <w:pStyle w:val="a7"/>
      <w:jc w:val="both"/>
      <w:rPr>
        <w:rFonts w:ascii="Times New Roman" w:hAnsi="Times New Roman"/>
      </w:rPr>
    </w:pPr>
    <w:r w:rsidRPr="0073230F">
      <w:rPr>
        <w:rFonts w:ascii="Times New Roman" w:hAnsi="Times New Roman"/>
      </w:rPr>
      <w:fldChar w:fldCharType="begin"/>
    </w:r>
    <w:r w:rsidR="00157EF6" w:rsidRPr="0073230F">
      <w:rPr>
        <w:rFonts w:ascii="Times New Roman" w:hAnsi="Times New Roman"/>
      </w:rPr>
      <w:instrText xml:space="preserve"> PAGE   \* MERGEFORMAT </w:instrText>
    </w:r>
    <w:r w:rsidRPr="0073230F">
      <w:rPr>
        <w:rFonts w:ascii="Times New Roman" w:hAnsi="Times New Roman"/>
      </w:rPr>
      <w:fldChar w:fldCharType="separate"/>
    </w:r>
    <w:r w:rsidR="004711CF">
      <w:rPr>
        <w:rFonts w:ascii="Times New Roman" w:hAnsi="Times New Roman"/>
        <w:noProof/>
      </w:rPr>
      <w:t>88</w:t>
    </w:r>
    <w:r w:rsidRPr="0073230F">
      <w:rPr>
        <w:rFonts w:ascii="Times New Roman" w:hAnsi="Times New Roman"/>
        <w:noProof/>
      </w:rPr>
      <w:fldChar w:fldCharType="end"/>
    </w:r>
    <w:r w:rsidR="00157EF6" w:rsidRPr="0073230F">
      <w:rPr>
        <w:rFonts w:ascii="Times New Roman" w:hAnsi="Times New Roman"/>
        <w:noProof/>
      </w:rPr>
      <w:t xml:space="preserve">　</w:t>
    </w:r>
    <w:r w:rsidR="00157EF6" w:rsidRPr="0073230F">
      <w:rPr>
        <w:rFonts w:ascii="Times New Roman" w:hAnsi="Times New Roman"/>
      </w:rPr>
      <w:t>《中觀今論》講義：第三章、緣起之生滅與不生不滅</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73230F" w:rsidRDefault="00157EF6" w:rsidP="002E469B">
    <w:pPr>
      <w:pStyle w:val="a7"/>
      <w:jc w:val="right"/>
      <w:rPr>
        <w:rFonts w:ascii="Times New Roman" w:hAnsi="Times New Roman"/>
      </w:rPr>
    </w:pPr>
    <w:r w:rsidRPr="0073230F">
      <w:rPr>
        <w:rFonts w:ascii="Times New Roman" w:hAnsi="Times New Roman"/>
      </w:rPr>
      <w:t xml:space="preserve">第一節、無生之共證與大乘不共　</w:t>
    </w:r>
    <w:r w:rsidR="00AE3920" w:rsidRPr="0073230F">
      <w:rPr>
        <w:rFonts w:ascii="Times New Roman" w:hAnsi="Times New Roman"/>
      </w:rPr>
      <w:fldChar w:fldCharType="begin"/>
    </w:r>
    <w:r w:rsidRPr="0073230F">
      <w:rPr>
        <w:rFonts w:ascii="Times New Roman" w:hAnsi="Times New Roman"/>
      </w:rPr>
      <w:instrText xml:space="preserve"> PAGE   \* MERGEFORMAT </w:instrText>
    </w:r>
    <w:r w:rsidR="00AE3920" w:rsidRPr="0073230F">
      <w:rPr>
        <w:rFonts w:ascii="Times New Roman" w:hAnsi="Times New Roman"/>
      </w:rPr>
      <w:fldChar w:fldCharType="separate"/>
    </w:r>
    <w:r w:rsidR="004711CF">
      <w:rPr>
        <w:rFonts w:ascii="Times New Roman" w:hAnsi="Times New Roman"/>
        <w:noProof/>
      </w:rPr>
      <w:t>69</w:t>
    </w:r>
    <w:r w:rsidR="00AE3920" w:rsidRPr="0073230F">
      <w:rPr>
        <w:rFonts w:ascii="Times New Roman" w:hAnsi="Times New Roman"/>
        <w:noProof/>
      </w:rPr>
      <w:fldChar w:fldCharType="end"/>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F066EE" w:rsidRDefault="00157EF6" w:rsidP="00F066EE">
    <w:pPr>
      <w:pStyle w:val="a7"/>
      <w:jc w:val="right"/>
      <w:rPr>
        <w:rFonts w:ascii="Times New Roman" w:hAnsi="Times New Roman"/>
      </w:rPr>
    </w:pPr>
    <w:r w:rsidRPr="00F066EE">
      <w:rPr>
        <w:rFonts w:ascii="Times New Roman" w:hAnsi="Times New Roman"/>
      </w:rPr>
      <w:t xml:space="preserve">第二節、聲聞常道與大乘深論　</w:t>
    </w:r>
    <w:r w:rsidR="00AE3920" w:rsidRPr="00F066EE">
      <w:rPr>
        <w:rFonts w:ascii="Times New Roman" w:hAnsi="Times New Roman"/>
      </w:rPr>
      <w:fldChar w:fldCharType="begin"/>
    </w:r>
    <w:r w:rsidRPr="00F066EE">
      <w:rPr>
        <w:rFonts w:ascii="Times New Roman" w:hAnsi="Times New Roman"/>
      </w:rPr>
      <w:instrText xml:space="preserve"> PAGE   \* MERGEFORMAT </w:instrText>
    </w:r>
    <w:r w:rsidR="00AE3920" w:rsidRPr="00F066EE">
      <w:rPr>
        <w:rFonts w:ascii="Times New Roman" w:hAnsi="Times New Roman"/>
      </w:rPr>
      <w:fldChar w:fldCharType="separate"/>
    </w:r>
    <w:r w:rsidR="004711CF">
      <w:rPr>
        <w:rFonts w:ascii="Times New Roman" w:hAnsi="Times New Roman"/>
        <w:noProof/>
      </w:rPr>
      <w:t>77</w:t>
    </w:r>
    <w:r w:rsidR="00AE3920" w:rsidRPr="00F066EE">
      <w:rPr>
        <w:rFonts w:ascii="Times New Roman" w:hAnsi="Times New Roman"/>
        <w:noProof/>
      </w:rPr>
      <w:fldChar w:fldCharType="end"/>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F066EE" w:rsidRDefault="00157EF6" w:rsidP="00F066EE">
    <w:pPr>
      <w:pStyle w:val="a7"/>
      <w:jc w:val="right"/>
      <w:rPr>
        <w:rFonts w:ascii="Times New Roman" w:hAnsi="Times New Roman"/>
      </w:rPr>
    </w:pPr>
    <w:r w:rsidRPr="006D78FA">
      <w:rPr>
        <w:rFonts w:ascii="Times New Roman" w:hAnsi="Times New Roman" w:hint="eastAsia"/>
      </w:rPr>
      <w:t>第三節、三法印之橫豎無礙</w:t>
    </w:r>
    <w:r w:rsidRPr="00F066EE">
      <w:rPr>
        <w:rFonts w:ascii="Times New Roman" w:hAnsi="Times New Roman"/>
      </w:rPr>
      <w:t xml:space="preserve">　</w:t>
    </w:r>
    <w:r w:rsidR="00AE3920" w:rsidRPr="00F066EE">
      <w:rPr>
        <w:rFonts w:ascii="Times New Roman" w:hAnsi="Times New Roman"/>
      </w:rPr>
      <w:fldChar w:fldCharType="begin"/>
    </w:r>
    <w:r w:rsidRPr="00F066EE">
      <w:rPr>
        <w:rFonts w:ascii="Times New Roman" w:hAnsi="Times New Roman"/>
      </w:rPr>
      <w:instrText xml:space="preserve"> PAGE   \* MERGEFORMAT </w:instrText>
    </w:r>
    <w:r w:rsidR="00AE3920" w:rsidRPr="00F066EE">
      <w:rPr>
        <w:rFonts w:ascii="Times New Roman" w:hAnsi="Times New Roman"/>
      </w:rPr>
      <w:fldChar w:fldCharType="separate"/>
    </w:r>
    <w:r w:rsidR="004711CF">
      <w:rPr>
        <w:rFonts w:ascii="Times New Roman" w:hAnsi="Times New Roman"/>
        <w:noProof/>
      </w:rPr>
      <w:t>83</w:t>
    </w:r>
    <w:r w:rsidR="00AE3920" w:rsidRPr="00F066EE">
      <w:rPr>
        <w:rFonts w:ascii="Times New Roman" w:hAnsi="Times New Roman"/>
        <w:noProof/>
      </w:rPr>
      <w:fldChar w:fldCharType="end"/>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Default="00157EF6" w:rsidP="00C20628">
    <w:pPr>
      <w:pStyle w:val="a7"/>
      <w:tabs>
        <w:tab w:val="clear" w:pos="8306"/>
        <w:tab w:val="right" w:pos="7937"/>
      </w:tabs>
      <w:jc w:val="right"/>
    </w:pPr>
    <w:r w:rsidRPr="00B74007">
      <w:t>第三節</w:t>
    </w:r>
    <w:r>
      <w:rPr>
        <w:rFonts w:hint="eastAsia"/>
      </w:rPr>
      <w:t>、</w:t>
    </w:r>
    <w:r w:rsidRPr="00B74007">
      <w:rPr>
        <w:rFonts w:hint="eastAsia"/>
      </w:rPr>
      <w:t>三法印之橫豎無礙</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73230F" w:rsidRDefault="00157EF6" w:rsidP="0073230F">
    <w:pPr>
      <w:pStyle w:val="a7"/>
      <w:jc w:val="right"/>
      <w:rPr>
        <w:rFonts w:ascii="Times New Roman" w:hAnsi="Times New Roman"/>
      </w:rPr>
    </w:pPr>
    <w:r>
      <w:rPr>
        <w:rFonts w:ascii="Times New Roman" w:hAnsi="Times New Roman"/>
      </w:rPr>
      <w:t xml:space="preserve">目錄　</w:t>
    </w:r>
    <w:r w:rsidR="00AE3920" w:rsidRPr="0073230F">
      <w:rPr>
        <w:rFonts w:ascii="Times New Roman" w:hAnsi="Times New Roman"/>
      </w:rPr>
      <w:fldChar w:fldCharType="begin"/>
    </w:r>
    <w:r w:rsidRPr="0073230F">
      <w:rPr>
        <w:rFonts w:ascii="Times New Roman" w:hAnsi="Times New Roman"/>
      </w:rPr>
      <w:instrText xml:space="preserve"> PAGE   \* MERGEFORMAT </w:instrText>
    </w:r>
    <w:r w:rsidR="00AE3920" w:rsidRPr="0073230F">
      <w:rPr>
        <w:rFonts w:ascii="Times New Roman" w:hAnsi="Times New Roman"/>
      </w:rPr>
      <w:fldChar w:fldCharType="separate"/>
    </w:r>
    <w:r w:rsidR="004711CF">
      <w:rPr>
        <w:rFonts w:ascii="Times New Roman" w:hAnsi="Times New Roman"/>
        <w:noProof/>
      </w:rPr>
      <w:t>I</w:t>
    </w:r>
    <w:r w:rsidR="00AE3920" w:rsidRPr="0073230F">
      <w:rPr>
        <w:rFonts w:ascii="Times New Roman" w:hAnsi="Times New Roman"/>
        <w:noProof/>
      </w:rPr>
      <w:fldChar w:fldCharType="end"/>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F066EE" w:rsidRDefault="00157EF6" w:rsidP="00F066EE">
    <w:pPr>
      <w:pStyle w:val="a7"/>
      <w:jc w:val="right"/>
      <w:rPr>
        <w:rFonts w:ascii="Times New Roman" w:hAnsi="Times New Roman"/>
      </w:rPr>
    </w:pPr>
    <w:r w:rsidRPr="006D78FA">
      <w:rPr>
        <w:rFonts w:ascii="Times New Roman" w:hAnsi="Times New Roman" w:hint="eastAsia"/>
      </w:rPr>
      <w:t>第四節、緣起之綜貫性</w:t>
    </w:r>
    <w:r w:rsidRPr="00F066EE">
      <w:rPr>
        <w:rFonts w:ascii="Times New Roman" w:hAnsi="Times New Roman"/>
      </w:rPr>
      <w:t xml:space="preserve">　</w:t>
    </w:r>
    <w:r w:rsidR="00AE3920" w:rsidRPr="00F066EE">
      <w:rPr>
        <w:rFonts w:ascii="Times New Roman" w:hAnsi="Times New Roman"/>
      </w:rPr>
      <w:fldChar w:fldCharType="begin"/>
    </w:r>
    <w:r w:rsidRPr="00F066EE">
      <w:rPr>
        <w:rFonts w:ascii="Times New Roman" w:hAnsi="Times New Roman"/>
      </w:rPr>
      <w:instrText xml:space="preserve"> PAGE   \* MERGEFORMAT </w:instrText>
    </w:r>
    <w:r w:rsidR="00AE3920" w:rsidRPr="00F066EE">
      <w:rPr>
        <w:rFonts w:ascii="Times New Roman" w:hAnsi="Times New Roman"/>
      </w:rPr>
      <w:fldChar w:fldCharType="separate"/>
    </w:r>
    <w:r w:rsidR="004711CF">
      <w:rPr>
        <w:rFonts w:ascii="Times New Roman" w:hAnsi="Times New Roman"/>
        <w:noProof/>
      </w:rPr>
      <w:t>87</w:t>
    </w:r>
    <w:r w:rsidR="00AE3920" w:rsidRPr="00F066EE">
      <w:rPr>
        <w:rFonts w:ascii="Times New Roman" w:hAnsi="Times New Roman"/>
        <w:noProof/>
      </w:rPr>
      <w:fldChar w:fldCharType="end"/>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C20628" w:rsidRDefault="00157EF6" w:rsidP="00C20628">
    <w:pPr>
      <w:pStyle w:val="a7"/>
      <w:tabs>
        <w:tab w:val="clear" w:pos="8306"/>
      </w:tabs>
      <w:jc w:val="right"/>
      <w:rPr>
        <w:rFonts w:ascii="Times New Roman" w:hAnsi="Times New Roman"/>
      </w:rPr>
    </w:pPr>
    <w:r w:rsidRPr="00C20628">
      <w:rPr>
        <w:rFonts w:ascii="Times New Roman" w:hAnsi="Times New Roman"/>
      </w:rPr>
      <w:t>第四節、緣起之綜貫性</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73230F" w:rsidRDefault="00AE3920" w:rsidP="00091862">
    <w:pPr>
      <w:pStyle w:val="a7"/>
      <w:jc w:val="both"/>
      <w:rPr>
        <w:rFonts w:ascii="Times New Roman" w:hAnsi="Times New Roman"/>
      </w:rPr>
    </w:pPr>
    <w:r w:rsidRPr="0073230F">
      <w:rPr>
        <w:rFonts w:ascii="Times New Roman" w:hAnsi="Times New Roman"/>
      </w:rPr>
      <w:fldChar w:fldCharType="begin"/>
    </w:r>
    <w:r w:rsidR="00157EF6" w:rsidRPr="0073230F">
      <w:rPr>
        <w:rFonts w:ascii="Times New Roman" w:hAnsi="Times New Roman"/>
      </w:rPr>
      <w:instrText xml:space="preserve"> PAGE   \* MERGEFORMAT </w:instrText>
    </w:r>
    <w:r w:rsidRPr="0073230F">
      <w:rPr>
        <w:rFonts w:ascii="Times New Roman" w:hAnsi="Times New Roman"/>
      </w:rPr>
      <w:fldChar w:fldCharType="separate"/>
    </w:r>
    <w:r w:rsidR="004711CF">
      <w:rPr>
        <w:rFonts w:ascii="Times New Roman" w:hAnsi="Times New Roman"/>
        <w:noProof/>
      </w:rPr>
      <w:t>114</w:t>
    </w:r>
    <w:r w:rsidRPr="0073230F">
      <w:rPr>
        <w:rFonts w:ascii="Times New Roman" w:hAnsi="Times New Roman"/>
        <w:noProof/>
      </w:rPr>
      <w:fldChar w:fldCharType="end"/>
    </w:r>
    <w:r w:rsidR="00157EF6" w:rsidRPr="0073230F">
      <w:rPr>
        <w:rFonts w:ascii="Times New Roman" w:hAnsi="Times New Roman"/>
        <w:noProof/>
      </w:rPr>
      <w:t xml:space="preserve">　</w:t>
    </w:r>
    <w:r w:rsidR="00157EF6" w:rsidRPr="006D78FA">
      <w:rPr>
        <w:rFonts w:ascii="Times New Roman" w:hAnsi="Times New Roman" w:hint="eastAsia"/>
      </w:rPr>
      <w:t>《中觀今論》講義：第四章、中道之方法論</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F066EE" w:rsidRDefault="00157EF6" w:rsidP="00F066EE">
    <w:pPr>
      <w:pStyle w:val="a7"/>
      <w:jc w:val="right"/>
      <w:rPr>
        <w:rFonts w:ascii="Times New Roman" w:hAnsi="Times New Roman"/>
      </w:rPr>
    </w:pPr>
    <w:r w:rsidRPr="006D78FA">
      <w:rPr>
        <w:rFonts w:ascii="Times New Roman" w:hAnsi="Times New Roman" w:hint="eastAsia"/>
      </w:rPr>
      <w:t>第一節、中觀與中論</w:t>
    </w:r>
    <w:r w:rsidRPr="00F066EE">
      <w:rPr>
        <w:rFonts w:ascii="Times New Roman" w:hAnsi="Times New Roman"/>
      </w:rPr>
      <w:t xml:space="preserve">　</w:t>
    </w:r>
    <w:r w:rsidR="00AE3920" w:rsidRPr="00F066EE">
      <w:rPr>
        <w:rFonts w:ascii="Times New Roman" w:hAnsi="Times New Roman"/>
      </w:rPr>
      <w:fldChar w:fldCharType="begin"/>
    </w:r>
    <w:r w:rsidRPr="00F066EE">
      <w:rPr>
        <w:rFonts w:ascii="Times New Roman" w:hAnsi="Times New Roman"/>
      </w:rPr>
      <w:instrText xml:space="preserve"> PAGE   \* MERGEFORMAT </w:instrText>
    </w:r>
    <w:r w:rsidR="00AE3920" w:rsidRPr="00F066EE">
      <w:rPr>
        <w:rFonts w:ascii="Times New Roman" w:hAnsi="Times New Roman"/>
      </w:rPr>
      <w:fldChar w:fldCharType="separate"/>
    </w:r>
    <w:r w:rsidR="004711CF">
      <w:rPr>
        <w:rFonts w:ascii="Times New Roman" w:hAnsi="Times New Roman"/>
        <w:noProof/>
      </w:rPr>
      <w:t>91</w:t>
    </w:r>
    <w:r w:rsidR="00AE3920" w:rsidRPr="00F066EE">
      <w:rPr>
        <w:rFonts w:ascii="Times New Roman" w:hAnsi="Times New Roman"/>
        <w:noProof/>
      </w:rPr>
      <w:fldChar w:fldCharType="end"/>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F066EE" w:rsidRDefault="00157EF6" w:rsidP="00F066EE">
    <w:pPr>
      <w:pStyle w:val="a7"/>
      <w:jc w:val="right"/>
      <w:rPr>
        <w:rFonts w:ascii="Times New Roman" w:hAnsi="Times New Roman"/>
      </w:rPr>
    </w:pPr>
    <w:r w:rsidRPr="006D78FA">
      <w:rPr>
        <w:rFonts w:ascii="Times New Roman" w:hAnsi="Times New Roman" w:hint="eastAsia"/>
      </w:rPr>
      <w:t>第二節、因明與中觀</w:t>
    </w:r>
    <w:r w:rsidRPr="00F066EE">
      <w:rPr>
        <w:rFonts w:ascii="Times New Roman" w:hAnsi="Times New Roman"/>
      </w:rPr>
      <w:t xml:space="preserve">　</w:t>
    </w:r>
    <w:r w:rsidR="00AE3920" w:rsidRPr="00F066EE">
      <w:rPr>
        <w:rFonts w:ascii="Times New Roman" w:hAnsi="Times New Roman"/>
      </w:rPr>
      <w:fldChar w:fldCharType="begin"/>
    </w:r>
    <w:r w:rsidRPr="00F066EE">
      <w:rPr>
        <w:rFonts w:ascii="Times New Roman" w:hAnsi="Times New Roman"/>
      </w:rPr>
      <w:instrText xml:space="preserve"> PAGE   \* MERGEFORMAT </w:instrText>
    </w:r>
    <w:r w:rsidR="00AE3920" w:rsidRPr="00F066EE">
      <w:rPr>
        <w:rFonts w:ascii="Times New Roman" w:hAnsi="Times New Roman"/>
      </w:rPr>
      <w:fldChar w:fldCharType="separate"/>
    </w:r>
    <w:r w:rsidR="004711CF">
      <w:rPr>
        <w:rFonts w:ascii="Times New Roman" w:hAnsi="Times New Roman"/>
        <w:noProof/>
      </w:rPr>
      <w:t>105</w:t>
    </w:r>
    <w:r w:rsidR="00AE3920" w:rsidRPr="00F066EE">
      <w:rPr>
        <w:rFonts w:ascii="Times New Roman" w:hAnsi="Times New Roman"/>
        <w:noProof/>
      </w:rPr>
      <w:fldChar w:fldCharType="end"/>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F066EE" w:rsidRDefault="00157EF6" w:rsidP="00F066EE">
    <w:pPr>
      <w:pStyle w:val="a7"/>
      <w:jc w:val="right"/>
      <w:rPr>
        <w:rFonts w:ascii="Times New Roman" w:hAnsi="Times New Roman"/>
      </w:rPr>
    </w:pPr>
    <w:r w:rsidRPr="006D78FA">
      <w:rPr>
        <w:rFonts w:ascii="Times New Roman" w:hAnsi="Times New Roman" w:hint="eastAsia"/>
      </w:rPr>
      <w:t>第三節、聞量、比量、現量</w:t>
    </w:r>
    <w:r w:rsidRPr="00F066EE">
      <w:rPr>
        <w:rFonts w:ascii="Times New Roman" w:hAnsi="Times New Roman"/>
      </w:rPr>
      <w:t xml:space="preserve">　</w:t>
    </w:r>
    <w:r w:rsidR="00AE3920" w:rsidRPr="00F066EE">
      <w:rPr>
        <w:rFonts w:ascii="Times New Roman" w:hAnsi="Times New Roman"/>
      </w:rPr>
      <w:fldChar w:fldCharType="begin"/>
    </w:r>
    <w:r w:rsidRPr="00F066EE">
      <w:rPr>
        <w:rFonts w:ascii="Times New Roman" w:hAnsi="Times New Roman"/>
      </w:rPr>
      <w:instrText xml:space="preserve"> PAGE   \* MERGEFORMAT </w:instrText>
    </w:r>
    <w:r w:rsidR="00AE3920" w:rsidRPr="00F066EE">
      <w:rPr>
        <w:rFonts w:ascii="Times New Roman" w:hAnsi="Times New Roman"/>
      </w:rPr>
      <w:fldChar w:fldCharType="separate"/>
    </w:r>
    <w:r w:rsidR="004711CF">
      <w:rPr>
        <w:rFonts w:ascii="Times New Roman" w:hAnsi="Times New Roman"/>
        <w:noProof/>
      </w:rPr>
      <w:t>115</w:t>
    </w:r>
    <w:r w:rsidR="00AE3920" w:rsidRPr="00F066EE">
      <w:rPr>
        <w:rFonts w:ascii="Times New Roman" w:hAnsi="Times New Roman"/>
        <w:noProof/>
      </w:rPr>
      <w:fldChar w:fldCharType="end"/>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73230F" w:rsidRDefault="00AE3920" w:rsidP="00091862">
    <w:pPr>
      <w:pStyle w:val="a7"/>
      <w:jc w:val="both"/>
      <w:rPr>
        <w:rFonts w:ascii="Times New Roman" w:hAnsi="Times New Roman"/>
      </w:rPr>
    </w:pPr>
    <w:r w:rsidRPr="0073230F">
      <w:rPr>
        <w:rFonts w:ascii="Times New Roman" w:hAnsi="Times New Roman"/>
      </w:rPr>
      <w:fldChar w:fldCharType="begin"/>
    </w:r>
    <w:r w:rsidR="00157EF6" w:rsidRPr="0073230F">
      <w:rPr>
        <w:rFonts w:ascii="Times New Roman" w:hAnsi="Times New Roman"/>
      </w:rPr>
      <w:instrText xml:space="preserve"> PAGE   \* MERGEFORMAT </w:instrText>
    </w:r>
    <w:r w:rsidRPr="0073230F">
      <w:rPr>
        <w:rFonts w:ascii="Times New Roman" w:hAnsi="Times New Roman"/>
      </w:rPr>
      <w:fldChar w:fldCharType="separate"/>
    </w:r>
    <w:r w:rsidR="004711CF">
      <w:rPr>
        <w:rFonts w:ascii="Times New Roman" w:hAnsi="Times New Roman"/>
        <w:noProof/>
      </w:rPr>
      <w:t>158</w:t>
    </w:r>
    <w:r w:rsidRPr="0073230F">
      <w:rPr>
        <w:rFonts w:ascii="Times New Roman" w:hAnsi="Times New Roman"/>
        <w:noProof/>
      </w:rPr>
      <w:fldChar w:fldCharType="end"/>
    </w:r>
    <w:r w:rsidR="00157EF6" w:rsidRPr="0073230F">
      <w:rPr>
        <w:rFonts w:ascii="Times New Roman" w:hAnsi="Times New Roman"/>
        <w:noProof/>
      </w:rPr>
      <w:t xml:space="preserve">　</w:t>
    </w:r>
    <w:r w:rsidR="00157EF6" w:rsidRPr="006D78FA">
      <w:rPr>
        <w:rFonts w:ascii="Times New Roman" w:hAnsi="Times New Roman" w:hint="eastAsia"/>
      </w:rPr>
      <w:t>《中觀今論》講義：第五章、中觀之根本論題</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F066EE" w:rsidRDefault="00157EF6" w:rsidP="00F066EE">
    <w:pPr>
      <w:pStyle w:val="a7"/>
      <w:jc w:val="right"/>
      <w:rPr>
        <w:rFonts w:ascii="Times New Roman" w:hAnsi="Times New Roman"/>
      </w:rPr>
    </w:pPr>
    <w:r w:rsidRPr="006D78FA">
      <w:rPr>
        <w:rFonts w:ascii="Times New Roman" w:hAnsi="Times New Roman" w:hint="eastAsia"/>
      </w:rPr>
      <w:t>第一節、緣起</w:t>
    </w:r>
    <w:r w:rsidRPr="00F066EE">
      <w:rPr>
        <w:rFonts w:ascii="Times New Roman" w:hAnsi="Times New Roman"/>
      </w:rPr>
      <w:t xml:space="preserve">　</w:t>
    </w:r>
    <w:r w:rsidR="00AE3920" w:rsidRPr="00F066EE">
      <w:rPr>
        <w:rFonts w:ascii="Times New Roman" w:hAnsi="Times New Roman"/>
      </w:rPr>
      <w:fldChar w:fldCharType="begin"/>
    </w:r>
    <w:r w:rsidRPr="00F066EE">
      <w:rPr>
        <w:rFonts w:ascii="Times New Roman" w:hAnsi="Times New Roman"/>
      </w:rPr>
      <w:instrText xml:space="preserve"> PAGE   \* MERGEFORMAT </w:instrText>
    </w:r>
    <w:r w:rsidR="00AE3920" w:rsidRPr="00F066EE">
      <w:rPr>
        <w:rFonts w:ascii="Times New Roman" w:hAnsi="Times New Roman"/>
      </w:rPr>
      <w:fldChar w:fldCharType="separate"/>
    </w:r>
    <w:r w:rsidR="004711CF">
      <w:rPr>
        <w:rFonts w:ascii="Times New Roman" w:hAnsi="Times New Roman"/>
        <w:noProof/>
      </w:rPr>
      <w:t>125</w:t>
    </w:r>
    <w:r w:rsidR="00AE3920" w:rsidRPr="00F066EE">
      <w:rPr>
        <w:rFonts w:ascii="Times New Roman" w:hAnsi="Times New Roman"/>
        <w:noProof/>
      </w:rPr>
      <w:fldChar w:fldCharType="end"/>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F066EE" w:rsidRDefault="00157EF6" w:rsidP="00F066EE">
    <w:pPr>
      <w:pStyle w:val="a7"/>
      <w:jc w:val="right"/>
      <w:rPr>
        <w:rFonts w:ascii="Times New Roman" w:hAnsi="Times New Roman"/>
      </w:rPr>
    </w:pPr>
    <w:r w:rsidRPr="006D78FA">
      <w:rPr>
        <w:rFonts w:ascii="Times New Roman" w:hAnsi="Times New Roman" w:hint="eastAsia"/>
      </w:rPr>
      <w:t>第二節、自性</w:t>
    </w:r>
    <w:r w:rsidRPr="00F066EE">
      <w:rPr>
        <w:rFonts w:ascii="Times New Roman" w:hAnsi="Times New Roman"/>
      </w:rPr>
      <w:t xml:space="preserve">　</w:t>
    </w:r>
    <w:r w:rsidR="00AE3920" w:rsidRPr="00F066EE">
      <w:rPr>
        <w:rFonts w:ascii="Times New Roman" w:hAnsi="Times New Roman"/>
      </w:rPr>
      <w:fldChar w:fldCharType="begin"/>
    </w:r>
    <w:r w:rsidRPr="00F066EE">
      <w:rPr>
        <w:rFonts w:ascii="Times New Roman" w:hAnsi="Times New Roman"/>
      </w:rPr>
      <w:instrText xml:space="preserve"> PAGE   \* MERGEFORMAT </w:instrText>
    </w:r>
    <w:r w:rsidR="00AE3920" w:rsidRPr="00F066EE">
      <w:rPr>
        <w:rFonts w:ascii="Times New Roman" w:hAnsi="Times New Roman"/>
      </w:rPr>
      <w:fldChar w:fldCharType="separate"/>
    </w:r>
    <w:r w:rsidR="004711CF">
      <w:rPr>
        <w:rFonts w:ascii="Times New Roman" w:hAnsi="Times New Roman"/>
        <w:noProof/>
      </w:rPr>
      <w:t>141</w:t>
    </w:r>
    <w:r w:rsidR="00AE3920" w:rsidRPr="00F066EE">
      <w:rPr>
        <w:rFonts w:ascii="Times New Roman" w:hAnsi="Times New Roman"/>
        <w:noProof/>
      </w:rPr>
      <w:fldChar w:fldCharType="end"/>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F066EE" w:rsidRDefault="00157EF6" w:rsidP="00F066EE">
    <w:pPr>
      <w:pStyle w:val="a7"/>
      <w:jc w:val="right"/>
      <w:rPr>
        <w:rFonts w:ascii="Times New Roman" w:hAnsi="Times New Roman"/>
      </w:rPr>
    </w:pPr>
    <w:r w:rsidRPr="006D78FA">
      <w:rPr>
        <w:rFonts w:ascii="Times New Roman" w:hAnsi="Times New Roman" w:hint="eastAsia"/>
      </w:rPr>
      <w:t>第三節、空</w:t>
    </w:r>
    <w:r w:rsidRPr="00F066EE">
      <w:rPr>
        <w:rFonts w:ascii="Times New Roman" w:hAnsi="Times New Roman"/>
      </w:rPr>
      <w:t xml:space="preserve">　</w:t>
    </w:r>
    <w:r w:rsidR="00AE3920" w:rsidRPr="00F066EE">
      <w:rPr>
        <w:rFonts w:ascii="Times New Roman" w:hAnsi="Times New Roman"/>
      </w:rPr>
      <w:fldChar w:fldCharType="begin"/>
    </w:r>
    <w:r w:rsidRPr="00F066EE">
      <w:rPr>
        <w:rFonts w:ascii="Times New Roman" w:hAnsi="Times New Roman"/>
      </w:rPr>
      <w:instrText xml:space="preserve"> PAGE   \* MERGEFORMAT </w:instrText>
    </w:r>
    <w:r w:rsidR="00AE3920" w:rsidRPr="00F066EE">
      <w:rPr>
        <w:rFonts w:ascii="Times New Roman" w:hAnsi="Times New Roman"/>
      </w:rPr>
      <w:fldChar w:fldCharType="separate"/>
    </w:r>
    <w:r w:rsidR="004711CF">
      <w:rPr>
        <w:rFonts w:ascii="Times New Roman" w:hAnsi="Times New Roman"/>
        <w:noProof/>
      </w:rPr>
      <w:t>155</w:t>
    </w:r>
    <w:r w:rsidR="00AE3920" w:rsidRPr="00F066EE">
      <w:rPr>
        <w:rFonts w:ascii="Times New Roman" w:hAnsi="Times New Roman"/>
        <w:noProof/>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73230F" w:rsidRDefault="00AE3920" w:rsidP="00091862">
    <w:pPr>
      <w:pStyle w:val="a7"/>
      <w:jc w:val="both"/>
      <w:rPr>
        <w:rFonts w:ascii="Times New Roman" w:hAnsi="Times New Roman"/>
      </w:rPr>
    </w:pPr>
    <w:r w:rsidRPr="0073230F">
      <w:rPr>
        <w:rFonts w:ascii="Times New Roman" w:hAnsi="Times New Roman"/>
      </w:rPr>
      <w:fldChar w:fldCharType="begin"/>
    </w:r>
    <w:r w:rsidR="00157EF6" w:rsidRPr="0073230F">
      <w:rPr>
        <w:rFonts w:ascii="Times New Roman" w:hAnsi="Times New Roman"/>
      </w:rPr>
      <w:instrText>PAGE   \* MERGEFORMAT</w:instrText>
    </w:r>
    <w:r w:rsidRPr="0073230F">
      <w:rPr>
        <w:rFonts w:ascii="Times New Roman" w:hAnsi="Times New Roman"/>
      </w:rPr>
      <w:fldChar w:fldCharType="separate"/>
    </w:r>
    <w:r w:rsidR="004711CF" w:rsidRPr="004711CF">
      <w:rPr>
        <w:rFonts w:ascii="Times New Roman" w:hAnsi="Times New Roman"/>
        <w:noProof/>
        <w:lang w:val="zh-TW"/>
      </w:rPr>
      <w:t>VIII</w:t>
    </w:r>
    <w:r w:rsidRPr="0073230F">
      <w:rPr>
        <w:rFonts w:ascii="Times New Roman" w:hAnsi="Times New Roman"/>
      </w:rPr>
      <w:fldChar w:fldCharType="end"/>
    </w:r>
    <w:r w:rsidR="00157EF6">
      <w:rPr>
        <w:rFonts w:ascii="Times New Roman" w:hAnsi="Times New Roman"/>
      </w:rPr>
      <w:t xml:space="preserve">　</w:t>
    </w:r>
    <w:r w:rsidR="00157EF6" w:rsidRPr="0073230F">
      <w:rPr>
        <w:rFonts w:ascii="Times New Roman" w:hAnsi="Times New Roman"/>
      </w:rPr>
      <w:t>《中觀今論》講義</w:t>
    </w:r>
    <w:r w:rsidR="00157EF6">
      <w:rPr>
        <w:rFonts w:ascii="Times New Roman" w:hAnsi="Times New Roman"/>
      </w:rPr>
      <w:t>：《中觀今論講義》編輯緣起</w: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F066EE" w:rsidRDefault="00157EF6" w:rsidP="00F066EE">
    <w:pPr>
      <w:pStyle w:val="a7"/>
      <w:jc w:val="right"/>
      <w:rPr>
        <w:rFonts w:ascii="Times New Roman" w:hAnsi="Times New Roman"/>
      </w:rPr>
    </w:pPr>
    <w:r w:rsidRPr="006D78FA">
      <w:rPr>
        <w:rFonts w:ascii="Times New Roman" w:hAnsi="Times New Roman" w:hint="eastAsia"/>
      </w:rPr>
      <w:t>第四節、緣起自性空</w:t>
    </w:r>
    <w:r w:rsidRPr="00F066EE">
      <w:rPr>
        <w:rFonts w:ascii="Times New Roman" w:hAnsi="Times New Roman"/>
      </w:rPr>
      <w:t xml:space="preserve">　</w:t>
    </w:r>
    <w:r w:rsidR="00AE3920" w:rsidRPr="00F066EE">
      <w:rPr>
        <w:rFonts w:ascii="Times New Roman" w:hAnsi="Times New Roman"/>
      </w:rPr>
      <w:fldChar w:fldCharType="begin"/>
    </w:r>
    <w:r w:rsidRPr="00F066EE">
      <w:rPr>
        <w:rFonts w:ascii="Times New Roman" w:hAnsi="Times New Roman"/>
      </w:rPr>
      <w:instrText xml:space="preserve"> PAGE   \* MERGEFORMAT </w:instrText>
    </w:r>
    <w:r w:rsidR="00AE3920" w:rsidRPr="00F066EE">
      <w:rPr>
        <w:rFonts w:ascii="Times New Roman" w:hAnsi="Times New Roman"/>
      </w:rPr>
      <w:fldChar w:fldCharType="separate"/>
    </w:r>
    <w:r w:rsidR="004711CF">
      <w:rPr>
        <w:rFonts w:ascii="Times New Roman" w:hAnsi="Times New Roman"/>
        <w:noProof/>
      </w:rPr>
      <w:t>159</w:t>
    </w:r>
    <w:r w:rsidR="00AE3920" w:rsidRPr="00F066EE">
      <w:rPr>
        <w:rFonts w:ascii="Times New Roman" w:hAnsi="Times New Roman"/>
        <w:noProof/>
      </w:rPr>
      <w:fldChar w:fldCharType="end"/>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73230F" w:rsidRDefault="00AE3920" w:rsidP="00091862">
    <w:pPr>
      <w:pStyle w:val="a7"/>
      <w:jc w:val="both"/>
      <w:rPr>
        <w:rFonts w:ascii="Times New Roman" w:hAnsi="Times New Roman"/>
      </w:rPr>
    </w:pPr>
    <w:r w:rsidRPr="0073230F">
      <w:rPr>
        <w:rFonts w:ascii="Times New Roman" w:hAnsi="Times New Roman"/>
      </w:rPr>
      <w:fldChar w:fldCharType="begin"/>
    </w:r>
    <w:r w:rsidR="00157EF6" w:rsidRPr="0073230F">
      <w:rPr>
        <w:rFonts w:ascii="Times New Roman" w:hAnsi="Times New Roman"/>
      </w:rPr>
      <w:instrText xml:space="preserve"> PAGE   \* MERGEFORMAT </w:instrText>
    </w:r>
    <w:r w:rsidRPr="0073230F">
      <w:rPr>
        <w:rFonts w:ascii="Times New Roman" w:hAnsi="Times New Roman"/>
      </w:rPr>
      <w:fldChar w:fldCharType="separate"/>
    </w:r>
    <w:r w:rsidR="004711CF">
      <w:rPr>
        <w:rFonts w:ascii="Times New Roman" w:hAnsi="Times New Roman"/>
        <w:noProof/>
      </w:rPr>
      <w:t>202</w:t>
    </w:r>
    <w:r w:rsidRPr="0073230F">
      <w:rPr>
        <w:rFonts w:ascii="Times New Roman" w:hAnsi="Times New Roman"/>
        <w:noProof/>
      </w:rPr>
      <w:fldChar w:fldCharType="end"/>
    </w:r>
    <w:r w:rsidR="00157EF6" w:rsidRPr="0073230F">
      <w:rPr>
        <w:rFonts w:ascii="Times New Roman" w:hAnsi="Times New Roman"/>
        <w:noProof/>
      </w:rPr>
      <w:t xml:space="preserve">　</w:t>
    </w:r>
    <w:r w:rsidR="00157EF6" w:rsidRPr="006D78FA">
      <w:rPr>
        <w:rFonts w:ascii="Times New Roman" w:hAnsi="Times New Roman" w:hint="eastAsia"/>
      </w:rPr>
      <w:t>《中觀今論》講義：第六章、八不</w: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F066EE" w:rsidRDefault="00157EF6" w:rsidP="00F066EE">
    <w:pPr>
      <w:pStyle w:val="a7"/>
      <w:jc w:val="right"/>
      <w:rPr>
        <w:rFonts w:ascii="Times New Roman" w:hAnsi="Times New Roman"/>
      </w:rPr>
    </w:pPr>
    <w:r w:rsidRPr="006D78FA">
      <w:rPr>
        <w:rFonts w:ascii="Times New Roman" w:hAnsi="Times New Roman" w:hint="eastAsia"/>
      </w:rPr>
      <w:t>第一節、八事四對之解說</w:t>
    </w:r>
    <w:r w:rsidRPr="00F066EE">
      <w:rPr>
        <w:rFonts w:ascii="Times New Roman" w:hAnsi="Times New Roman"/>
      </w:rPr>
      <w:t xml:space="preserve">　</w:t>
    </w:r>
    <w:r w:rsidR="00AE3920" w:rsidRPr="00F066EE">
      <w:rPr>
        <w:rFonts w:ascii="Times New Roman" w:hAnsi="Times New Roman"/>
      </w:rPr>
      <w:fldChar w:fldCharType="begin"/>
    </w:r>
    <w:r w:rsidRPr="00F066EE">
      <w:rPr>
        <w:rFonts w:ascii="Times New Roman" w:hAnsi="Times New Roman"/>
      </w:rPr>
      <w:instrText xml:space="preserve"> PAGE   \* MERGEFORMAT </w:instrText>
    </w:r>
    <w:r w:rsidR="00AE3920" w:rsidRPr="00F066EE">
      <w:rPr>
        <w:rFonts w:ascii="Times New Roman" w:hAnsi="Times New Roman"/>
      </w:rPr>
      <w:fldChar w:fldCharType="separate"/>
    </w:r>
    <w:r w:rsidR="004711CF">
      <w:rPr>
        <w:rFonts w:ascii="Times New Roman" w:hAnsi="Times New Roman"/>
        <w:noProof/>
      </w:rPr>
      <w:t>175</w:t>
    </w:r>
    <w:r w:rsidR="00AE3920" w:rsidRPr="00F066EE">
      <w:rPr>
        <w:rFonts w:ascii="Times New Roman" w:hAnsi="Times New Roman"/>
        <w:noProof/>
      </w:rPr>
      <w:fldChar w:fldCharType="end"/>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F066EE" w:rsidRDefault="00157EF6" w:rsidP="00F066EE">
    <w:pPr>
      <w:pStyle w:val="a7"/>
      <w:jc w:val="right"/>
      <w:rPr>
        <w:rFonts w:ascii="Times New Roman" w:hAnsi="Times New Roman"/>
      </w:rPr>
    </w:pPr>
    <w:r w:rsidRPr="00C2765D">
      <w:rPr>
        <w:rFonts w:ascii="Times New Roman" w:hAnsi="Times New Roman" w:hint="eastAsia"/>
      </w:rPr>
      <w:t>第二節、不</w:t>
    </w:r>
    <w:r w:rsidRPr="00F066EE">
      <w:rPr>
        <w:rFonts w:ascii="Times New Roman" w:hAnsi="Times New Roman"/>
      </w:rPr>
      <w:t xml:space="preserve">　</w:t>
    </w:r>
    <w:r w:rsidR="00AE3920" w:rsidRPr="00F066EE">
      <w:rPr>
        <w:rFonts w:ascii="Times New Roman" w:hAnsi="Times New Roman"/>
      </w:rPr>
      <w:fldChar w:fldCharType="begin"/>
    </w:r>
    <w:r w:rsidRPr="00F066EE">
      <w:rPr>
        <w:rFonts w:ascii="Times New Roman" w:hAnsi="Times New Roman"/>
      </w:rPr>
      <w:instrText xml:space="preserve"> PAGE   \* MERGEFORMAT </w:instrText>
    </w:r>
    <w:r w:rsidR="00AE3920" w:rsidRPr="00F066EE">
      <w:rPr>
        <w:rFonts w:ascii="Times New Roman" w:hAnsi="Times New Roman"/>
      </w:rPr>
      <w:fldChar w:fldCharType="separate"/>
    </w:r>
    <w:r w:rsidR="004711CF">
      <w:rPr>
        <w:rFonts w:ascii="Times New Roman" w:hAnsi="Times New Roman"/>
        <w:noProof/>
      </w:rPr>
      <w:t>203</w:t>
    </w:r>
    <w:r w:rsidR="00AE3920" w:rsidRPr="00F066EE">
      <w:rPr>
        <w:rFonts w:ascii="Times New Roman" w:hAnsi="Times New Roman"/>
        <w:noProof/>
      </w:rPr>
      <w:fldChar w:fldCharType="end"/>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1A27C5" w:rsidRDefault="00AE3920" w:rsidP="001B64AB">
    <w:pPr>
      <w:pStyle w:val="a7"/>
      <w:jc w:val="both"/>
      <w:rPr>
        <w:rFonts w:ascii="Times New Roman" w:hAnsi="Times New Roman"/>
      </w:rPr>
    </w:pPr>
    <w:r w:rsidRPr="001A27C5">
      <w:rPr>
        <w:rFonts w:ascii="Times New Roman" w:hAnsi="Times New Roman"/>
      </w:rPr>
      <w:fldChar w:fldCharType="begin"/>
    </w:r>
    <w:r w:rsidR="00157EF6" w:rsidRPr="001A27C5">
      <w:rPr>
        <w:rFonts w:ascii="Times New Roman" w:hAnsi="Times New Roman"/>
      </w:rPr>
      <w:instrText xml:space="preserve"> PAGE   \* MERGEFORMAT </w:instrText>
    </w:r>
    <w:r w:rsidRPr="001A27C5">
      <w:rPr>
        <w:rFonts w:ascii="Times New Roman" w:hAnsi="Times New Roman"/>
      </w:rPr>
      <w:fldChar w:fldCharType="separate"/>
    </w:r>
    <w:r w:rsidR="004711CF">
      <w:rPr>
        <w:rFonts w:ascii="Times New Roman" w:hAnsi="Times New Roman"/>
        <w:noProof/>
      </w:rPr>
      <w:t>254</w:t>
    </w:r>
    <w:r w:rsidRPr="001A27C5">
      <w:rPr>
        <w:rFonts w:ascii="Times New Roman" w:hAnsi="Times New Roman"/>
        <w:noProof/>
      </w:rPr>
      <w:fldChar w:fldCharType="end"/>
    </w:r>
    <w:r w:rsidR="00157EF6" w:rsidRPr="001A27C5">
      <w:rPr>
        <w:rFonts w:ascii="Times New Roman" w:hAnsi="Times New Roman"/>
        <w:noProof/>
      </w:rPr>
      <w:t xml:space="preserve">　</w:t>
    </w:r>
    <w:r w:rsidR="00157EF6" w:rsidRPr="001A27C5">
      <w:rPr>
        <w:rFonts w:ascii="Times New Roman" w:hAnsi="Times New Roman"/>
      </w:rPr>
      <w:t>《中觀今論》講義：第七章、有、時、空、動</w: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1A27C5" w:rsidRDefault="00157EF6" w:rsidP="004F4714">
    <w:pPr>
      <w:pStyle w:val="a7"/>
      <w:jc w:val="right"/>
      <w:rPr>
        <w:rFonts w:ascii="Times New Roman" w:hAnsi="Times New Roman"/>
      </w:rPr>
    </w:pPr>
    <w:r w:rsidRPr="001A27C5">
      <w:rPr>
        <w:rFonts w:ascii="Times New Roman" w:hAnsi="Times New Roman"/>
      </w:rPr>
      <w:t>第一節、有</w:t>
    </w:r>
    <w:r w:rsidRPr="001A27C5">
      <w:rPr>
        <w:rFonts w:ascii="新細明體" w:hAnsi="新細明體"/>
      </w:rPr>
      <w:t>──</w:t>
    </w:r>
    <w:r w:rsidRPr="001A27C5">
      <w:rPr>
        <w:rFonts w:ascii="Times New Roman" w:hAnsi="Times New Roman"/>
      </w:rPr>
      <w:t xml:space="preserve">物、體、法　</w:t>
    </w:r>
    <w:r w:rsidR="00AE3920" w:rsidRPr="001A27C5">
      <w:rPr>
        <w:rFonts w:ascii="Times New Roman" w:hAnsi="Times New Roman"/>
      </w:rPr>
      <w:fldChar w:fldCharType="begin"/>
    </w:r>
    <w:r w:rsidRPr="001A27C5">
      <w:rPr>
        <w:rFonts w:ascii="Times New Roman" w:hAnsi="Times New Roman"/>
      </w:rPr>
      <w:instrText xml:space="preserve"> PAGE   \* MERGEFORMAT </w:instrText>
    </w:r>
    <w:r w:rsidR="00AE3920" w:rsidRPr="001A27C5">
      <w:rPr>
        <w:rFonts w:ascii="Times New Roman" w:hAnsi="Times New Roman"/>
      </w:rPr>
      <w:fldChar w:fldCharType="separate"/>
    </w:r>
    <w:r w:rsidR="004711CF">
      <w:rPr>
        <w:rFonts w:ascii="Times New Roman" w:hAnsi="Times New Roman"/>
        <w:noProof/>
      </w:rPr>
      <w:t>209</w:t>
    </w:r>
    <w:r w:rsidR="00AE3920" w:rsidRPr="001A27C5">
      <w:rPr>
        <w:rFonts w:ascii="Times New Roman" w:hAnsi="Times New Roman"/>
        <w:noProof/>
      </w:rPr>
      <w:fldChar w:fldCharType="end"/>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1A27C5" w:rsidRDefault="00157EF6" w:rsidP="004F4714">
    <w:pPr>
      <w:pStyle w:val="a7"/>
      <w:jc w:val="right"/>
      <w:rPr>
        <w:rFonts w:ascii="Times New Roman" w:hAnsi="Times New Roman"/>
      </w:rPr>
    </w:pPr>
    <w:r w:rsidRPr="001A27C5">
      <w:rPr>
        <w:rFonts w:ascii="Times New Roman" w:hAnsi="Times New Roman" w:hint="eastAsia"/>
      </w:rPr>
      <w:t>第二節、時間</w:t>
    </w:r>
    <w:r w:rsidRPr="001A27C5">
      <w:rPr>
        <w:rFonts w:ascii="Times New Roman" w:hAnsi="Times New Roman"/>
      </w:rPr>
      <w:t xml:space="preserve">　</w:t>
    </w:r>
    <w:r w:rsidR="00AE3920" w:rsidRPr="001A27C5">
      <w:rPr>
        <w:rFonts w:ascii="Times New Roman" w:hAnsi="Times New Roman"/>
      </w:rPr>
      <w:fldChar w:fldCharType="begin"/>
    </w:r>
    <w:r w:rsidRPr="001A27C5">
      <w:rPr>
        <w:rFonts w:ascii="Times New Roman" w:hAnsi="Times New Roman"/>
      </w:rPr>
      <w:instrText xml:space="preserve"> PAGE   \* MERGEFORMAT </w:instrText>
    </w:r>
    <w:r w:rsidR="00AE3920" w:rsidRPr="001A27C5">
      <w:rPr>
        <w:rFonts w:ascii="Times New Roman" w:hAnsi="Times New Roman"/>
      </w:rPr>
      <w:fldChar w:fldCharType="separate"/>
    </w:r>
    <w:r w:rsidR="004711CF">
      <w:rPr>
        <w:rFonts w:ascii="Times New Roman" w:hAnsi="Times New Roman"/>
        <w:noProof/>
      </w:rPr>
      <w:t>221</w:t>
    </w:r>
    <w:r w:rsidR="00AE3920" w:rsidRPr="001A27C5">
      <w:rPr>
        <w:rFonts w:ascii="Times New Roman" w:hAnsi="Times New Roman"/>
        <w:noProof/>
      </w:rPr>
      <w:fldChar w:fldCharType="end"/>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1A27C5" w:rsidRDefault="00157EF6" w:rsidP="004F4714">
    <w:pPr>
      <w:pStyle w:val="a7"/>
      <w:jc w:val="right"/>
      <w:rPr>
        <w:rFonts w:ascii="Times New Roman" w:hAnsi="Times New Roman"/>
      </w:rPr>
    </w:pPr>
    <w:r w:rsidRPr="001A27C5">
      <w:rPr>
        <w:rFonts w:ascii="Times New Roman" w:hAnsi="Times New Roman" w:hint="eastAsia"/>
      </w:rPr>
      <w:t>第三節、空間</w:t>
    </w:r>
    <w:r w:rsidRPr="001A27C5">
      <w:rPr>
        <w:rFonts w:ascii="Times New Roman" w:hAnsi="Times New Roman"/>
      </w:rPr>
      <w:t xml:space="preserve">　</w:t>
    </w:r>
    <w:r w:rsidR="00AE3920" w:rsidRPr="001A27C5">
      <w:rPr>
        <w:rFonts w:ascii="Times New Roman" w:hAnsi="Times New Roman"/>
      </w:rPr>
      <w:fldChar w:fldCharType="begin"/>
    </w:r>
    <w:r w:rsidRPr="001A27C5">
      <w:rPr>
        <w:rFonts w:ascii="Times New Roman" w:hAnsi="Times New Roman"/>
      </w:rPr>
      <w:instrText xml:space="preserve"> PAGE   \* MERGEFORMAT </w:instrText>
    </w:r>
    <w:r w:rsidR="00AE3920" w:rsidRPr="001A27C5">
      <w:rPr>
        <w:rFonts w:ascii="Times New Roman" w:hAnsi="Times New Roman"/>
      </w:rPr>
      <w:fldChar w:fldCharType="separate"/>
    </w:r>
    <w:r w:rsidR="004711CF">
      <w:rPr>
        <w:rFonts w:ascii="Times New Roman" w:hAnsi="Times New Roman"/>
        <w:noProof/>
      </w:rPr>
      <w:t>231</w:t>
    </w:r>
    <w:r w:rsidR="00AE3920" w:rsidRPr="001A27C5">
      <w:rPr>
        <w:rFonts w:ascii="Times New Roman" w:hAnsi="Times New Roman"/>
        <w:noProof/>
      </w:rPr>
      <w:fldChar w:fldCharType="end"/>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1A27C5" w:rsidRDefault="00157EF6" w:rsidP="004F4714">
    <w:pPr>
      <w:pStyle w:val="a7"/>
      <w:jc w:val="right"/>
      <w:rPr>
        <w:rFonts w:ascii="Times New Roman" w:hAnsi="Times New Roman"/>
      </w:rPr>
    </w:pPr>
    <w:r w:rsidRPr="001A27C5">
      <w:rPr>
        <w:rFonts w:ascii="Times New Roman" w:hAnsi="Times New Roman" w:hint="eastAsia"/>
      </w:rPr>
      <w:t>第四節、行──變動、運動</w:t>
    </w:r>
    <w:r w:rsidRPr="001A27C5">
      <w:rPr>
        <w:rFonts w:ascii="Times New Roman" w:hAnsi="Times New Roman"/>
      </w:rPr>
      <w:t xml:space="preserve">　</w:t>
    </w:r>
    <w:r w:rsidR="00AE3920" w:rsidRPr="001A27C5">
      <w:rPr>
        <w:rFonts w:ascii="Times New Roman" w:hAnsi="Times New Roman"/>
      </w:rPr>
      <w:fldChar w:fldCharType="begin"/>
    </w:r>
    <w:r w:rsidRPr="001A27C5">
      <w:rPr>
        <w:rFonts w:ascii="Times New Roman" w:hAnsi="Times New Roman"/>
      </w:rPr>
      <w:instrText xml:space="preserve"> PAGE   \* MERGEFORMAT </w:instrText>
    </w:r>
    <w:r w:rsidR="00AE3920" w:rsidRPr="001A27C5">
      <w:rPr>
        <w:rFonts w:ascii="Times New Roman" w:hAnsi="Times New Roman"/>
      </w:rPr>
      <w:fldChar w:fldCharType="separate"/>
    </w:r>
    <w:r w:rsidR="004711CF">
      <w:rPr>
        <w:rFonts w:ascii="Times New Roman" w:hAnsi="Times New Roman"/>
        <w:noProof/>
      </w:rPr>
      <w:t>249</w:t>
    </w:r>
    <w:r w:rsidR="00AE3920" w:rsidRPr="001A27C5">
      <w:rPr>
        <w:rFonts w:ascii="Times New Roman" w:hAnsi="Times New Roman"/>
        <w:noProof/>
      </w:rPr>
      <w:fldChar w:fldCharType="end"/>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1A27C5" w:rsidRDefault="00157EF6" w:rsidP="004F4714">
    <w:pPr>
      <w:pStyle w:val="a7"/>
      <w:jc w:val="right"/>
      <w:rPr>
        <w:rFonts w:ascii="Times New Roman" w:hAnsi="Times New Roman"/>
      </w:rPr>
    </w:pPr>
    <w:r w:rsidRPr="00D837DD">
      <w:rPr>
        <w:rFonts w:ascii="Times New Roman" w:hAnsi="Times New Roman" w:hint="eastAsia"/>
      </w:rPr>
      <w:t>第五節、無言之秘</w:t>
    </w:r>
    <w:r w:rsidRPr="001A27C5">
      <w:rPr>
        <w:rFonts w:ascii="Times New Roman" w:hAnsi="Times New Roman"/>
      </w:rPr>
      <w:t xml:space="preserve">　</w:t>
    </w:r>
    <w:r w:rsidR="00AE3920" w:rsidRPr="001A27C5">
      <w:rPr>
        <w:rFonts w:ascii="Times New Roman" w:hAnsi="Times New Roman"/>
      </w:rPr>
      <w:fldChar w:fldCharType="begin"/>
    </w:r>
    <w:r w:rsidRPr="001A27C5">
      <w:rPr>
        <w:rFonts w:ascii="Times New Roman" w:hAnsi="Times New Roman"/>
      </w:rPr>
      <w:instrText xml:space="preserve"> PAGE   \* MERGEFORMAT </w:instrText>
    </w:r>
    <w:r w:rsidR="00AE3920" w:rsidRPr="001A27C5">
      <w:rPr>
        <w:rFonts w:ascii="Times New Roman" w:hAnsi="Times New Roman"/>
      </w:rPr>
      <w:fldChar w:fldCharType="separate"/>
    </w:r>
    <w:r w:rsidR="004711CF">
      <w:rPr>
        <w:rFonts w:ascii="Times New Roman" w:hAnsi="Times New Roman"/>
        <w:noProof/>
      </w:rPr>
      <w:t>253</w:t>
    </w:r>
    <w:r w:rsidR="00AE3920" w:rsidRPr="001A27C5">
      <w:rPr>
        <w:rFonts w:ascii="Times New Roman" w:hAnsi="Times New Roman"/>
        <w:noProof/>
      </w:rPr>
      <w:fldChar w:fldCharType="end"/>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73230F" w:rsidRDefault="00157EF6" w:rsidP="0073230F">
    <w:pPr>
      <w:pStyle w:val="a7"/>
      <w:jc w:val="right"/>
      <w:rPr>
        <w:rFonts w:ascii="Times New Roman" w:hAnsi="Times New Roman"/>
      </w:rPr>
    </w:pPr>
    <w:r>
      <w:rPr>
        <w:rFonts w:ascii="Times New Roman" w:hAnsi="Times New Roman"/>
      </w:rPr>
      <w:t xml:space="preserve">《中觀今論講義》編輯緣起　</w:t>
    </w:r>
    <w:r w:rsidR="00AE3920" w:rsidRPr="0073230F">
      <w:rPr>
        <w:rFonts w:ascii="Times New Roman" w:hAnsi="Times New Roman"/>
      </w:rPr>
      <w:fldChar w:fldCharType="begin"/>
    </w:r>
    <w:r w:rsidRPr="0073230F">
      <w:rPr>
        <w:rFonts w:ascii="Times New Roman" w:hAnsi="Times New Roman"/>
      </w:rPr>
      <w:instrText xml:space="preserve"> PAGE   \* MERGEFORMAT </w:instrText>
    </w:r>
    <w:r w:rsidR="00AE3920" w:rsidRPr="0073230F">
      <w:rPr>
        <w:rFonts w:ascii="Times New Roman" w:hAnsi="Times New Roman"/>
      </w:rPr>
      <w:fldChar w:fldCharType="separate"/>
    </w:r>
    <w:r w:rsidR="004711CF">
      <w:rPr>
        <w:rFonts w:ascii="Times New Roman" w:hAnsi="Times New Roman"/>
        <w:noProof/>
      </w:rPr>
      <w:t>VII</w:t>
    </w:r>
    <w:r w:rsidR="00AE3920" w:rsidRPr="0073230F">
      <w:rPr>
        <w:rFonts w:ascii="Times New Roman" w:hAnsi="Times New Roman"/>
        <w:noProof/>
      </w:rPr>
      <w:fldChar w:fldCharType="end"/>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1A27C5" w:rsidRDefault="00AE3920" w:rsidP="001B64AB">
    <w:pPr>
      <w:pStyle w:val="a7"/>
      <w:jc w:val="both"/>
      <w:rPr>
        <w:rFonts w:ascii="Times New Roman" w:hAnsi="Times New Roman"/>
      </w:rPr>
    </w:pPr>
    <w:r w:rsidRPr="001A27C5">
      <w:rPr>
        <w:rFonts w:ascii="Times New Roman" w:hAnsi="Times New Roman"/>
      </w:rPr>
      <w:fldChar w:fldCharType="begin"/>
    </w:r>
    <w:r w:rsidR="00157EF6" w:rsidRPr="001A27C5">
      <w:rPr>
        <w:rFonts w:ascii="Times New Roman" w:hAnsi="Times New Roman"/>
      </w:rPr>
      <w:instrText xml:space="preserve"> PAGE   \* MERGEFORMAT </w:instrText>
    </w:r>
    <w:r w:rsidRPr="001A27C5">
      <w:rPr>
        <w:rFonts w:ascii="Times New Roman" w:hAnsi="Times New Roman"/>
      </w:rPr>
      <w:fldChar w:fldCharType="separate"/>
    </w:r>
    <w:r w:rsidR="00247238">
      <w:rPr>
        <w:rFonts w:ascii="Times New Roman" w:hAnsi="Times New Roman"/>
        <w:noProof/>
      </w:rPr>
      <w:t>260</w:t>
    </w:r>
    <w:r w:rsidRPr="001A27C5">
      <w:rPr>
        <w:rFonts w:ascii="Times New Roman" w:hAnsi="Times New Roman"/>
        <w:noProof/>
      </w:rPr>
      <w:fldChar w:fldCharType="end"/>
    </w:r>
    <w:r w:rsidR="00157EF6" w:rsidRPr="001A27C5">
      <w:rPr>
        <w:rFonts w:ascii="Times New Roman" w:hAnsi="Times New Roman"/>
        <w:noProof/>
      </w:rPr>
      <w:t xml:space="preserve">　</w:t>
    </w:r>
    <w:r w:rsidR="00157EF6" w:rsidRPr="001A27C5">
      <w:rPr>
        <w:rFonts w:ascii="Times New Roman" w:hAnsi="Times New Roman"/>
      </w:rPr>
      <w:t>《中觀今論》講義：</w:t>
    </w:r>
    <w:r w:rsidR="00157EF6" w:rsidRPr="001902ED">
      <w:rPr>
        <w:rFonts w:ascii="Times New Roman" w:hAnsi="Times New Roman" w:hint="eastAsia"/>
      </w:rPr>
      <w:t>第八章</w:t>
    </w:r>
    <w:r w:rsidR="00157EF6">
      <w:rPr>
        <w:rFonts w:ascii="Times New Roman" w:hAnsi="Times New Roman" w:hint="eastAsia"/>
      </w:rPr>
      <w:t>、</w:t>
    </w:r>
    <w:r w:rsidR="00157EF6" w:rsidRPr="001902ED">
      <w:rPr>
        <w:rFonts w:ascii="Times New Roman" w:hAnsi="Times New Roman" w:hint="eastAsia"/>
      </w:rPr>
      <w:t>中觀之諸法實相</w: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1A27C5" w:rsidRDefault="00157EF6" w:rsidP="004F4714">
    <w:pPr>
      <w:pStyle w:val="a7"/>
      <w:jc w:val="right"/>
      <w:rPr>
        <w:rFonts w:ascii="Times New Roman" w:hAnsi="Times New Roman"/>
      </w:rPr>
    </w:pPr>
    <w:r w:rsidRPr="001902ED">
      <w:rPr>
        <w:rFonts w:ascii="Times New Roman" w:hAnsi="Times New Roman" w:hint="eastAsia"/>
      </w:rPr>
      <w:t>第一節</w:t>
    </w:r>
    <w:r>
      <w:rPr>
        <w:rFonts w:ascii="Times New Roman" w:hAnsi="Times New Roman" w:hint="eastAsia"/>
      </w:rPr>
      <w:t>、</w:t>
    </w:r>
    <w:r w:rsidRPr="001902ED">
      <w:rPr>
        <w:rFonts w:ascii="Times New Roman" w:hAnsi="Times New Roman" w:hint="eastAsia"/>
      </w:rPr>
      <w:t>總說</w:t>
    </w:r>
    <w:r w:rsidRPr="001A27C5">
      <w:rPr>
        <w:rFonts w:ascii="Times New Roman" w:hAnsi="Times New Roman"/>
      </w:rPr>
      <w:t xml:space="preserve">　</w:t>
    </w:r>
    <w:r w:rsidR="00AE3920" w:rsidRPr="001A27C5">
      <w:rPr>
        <w:rFonts w:ascii="Times New Roman" w:hAnsi="Times New Roman"/>
      </w:rPr>
      <w:fldChar w:fldCharType="begin"/>
    </w:r>
    <w:r w:rsidRPr="001A27C5">
      <w:rPr>
        <w:rFonts w:ascii="Times New Roman" w:hAnsi="Times New Roman"/>
      </w:rPr>
      <w:instrText xml:space="preserve"> PAGE   \* MERGEFORMAT </w:instrText>
    </w:r>
    <w:r w:rsidR="00AE3920" w:rsidRPr="001A27C5">
      <w:rPr>
        <w:rFonts w:ascii="Times New Roman" w:hAnsi="Times New Roman"/>
      </w:rPr>
      <w:fldChar w:fldCharType="separate"/>
    </w:r>
    <w:r w:rsidR="004711CF">
      <w:rPr>
        <w:rFonts w:ascii="Times New Roman" w:hAnsi="Times New Roman"/>
        <w:noProof/>
      </w:rPr>
      <w:t>259</w:t>
    </w:r>
    <w:r w:rsidR="00AE3920" w:rsidRPr="001A27C5">
      <w:rPr>
        <w:rFonts w:ascii="Times New Roman" w:hAnsi="Times New Roman"/>
        <w:noProof/>
      </w:rPr>
      <w:fldChar w:fldCharType="end"/>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1A27C5" w:rsidRDefault="00157EF6" w:rsidP="004F4714">
    <w:pPr>
      <w:pStyle w:val="a7"/>
      <w:jc w:val="right"/>
      <w:rPr>
        <w:rFonts w:ascii="Times New Roman" w:hAnsi="Times New Roman"/>
      </w:rPr>
    </w:pPr>
    <w:r w:rsidRPr="008B23ED">
      <w:rPr>
        <w:rFonts w:ascii="Times New Roman" w:hAnsi="Times New Roman" w:hint="eastAsia"/>
      </w:rPr>
      <w:t>第二節、性、相</w:t>
    </w:r>
    <w:r w:rsidRPr="001A27C5">
      <w:rPr>
        <w:rFonts w:ascii="Times New Roman" w:hAnsi="Times New Roman"/>
      </w:rPr>
      <w:t xml:space="preserve">　</w:t>
    </w:r>
    <w:r w:rsidR="00AE3920" w:rsidRPr="001A27C5">
      <w:rPr>
        <w:rFonts w:ascii="Times New Roman" w:hAnsi="Times New Roman"/>
      </w:rPr>
      <w:fldChar w:fldCharType="begin"/>
    </w:r>
    <w:r w:rsidRPr="001A27C5">
      <w:rPr>
        <w:rFonts w:ascii="Times New Roman" w:hAnsi="Times New Roman"/>
      </w:rPr>
      <w:instrText xml:space="preserve"> PAGE   \* MERGEFORMAT </w:instrText>
    </w:r>
    <w:r w:rsidR="00AE3920" w:rsidRPr="001A27C5">
      <w:rPr>
        <w:rFonts w:ascii="Times New Roman" w:hAnsi="Times New Roman"/>
      </w:rPr>
      <w:fldChar w:fldCharType="separate"/>
    </w:r>
    <w:r w:rsidR="004711CF">
      <w:rPr>
        <w:rFonts w:ascii="Times New Roman" w:hAnsi="Times New Roman"/>
        <w:noProof/>
      </w:rPr>
      <w:t>281</w:t>
    </w:r>
    <w:r w:rsidR="00AE3920" w:rsidRPr="001A27C5">
      <w:rPr>
        <w:rFonts w:ascii="Times New Roman" w:hAnsi="Times New Roman"/>
        <w:noProof/>
      </w:rPr>
      <w:fldChar w:fldCharType="end"/>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1A27C5" w:rsidRDefault="00157EF6" w:rsidP="004F4714">
    <w:pPr>
      <w:pStyle w:val="a7"/>
      <w:jc w:val="right"/>
      <w:rPr>
        <w:rFonts w:ascii="Times New Roman" w:hAnsi="Times New Roman"/>
      </w:rPr>
    </w:pPr>
    <w:r w:rsidRPr="00656828">
      <w:rPr>
        <w:rFonts w:ascii="Times New Roman" w:hAnsi="Times New Roman" w:hint="eastAsia"/>
      </w:rPr>
      <w:t>第三節、體、作、力</w:t>
    </w:r>
    <w:r w:rsidRPr="001A27C5">
      <w:rPr>
        <w:rFonts w:ascii="Times New Roman" w:hAnsi="Times New Roman"/>
      </w:rPr>
      <w:t xml:space="preserve">　</w:t>
    </w:r>
    <w:r w:rsidR="00AE3920" w:rsidRPr="001A27C5">
      <w:rPr>
        <w:rFonts w:ascii="Times New Roman" w:hAnsi="Times New Roman"/>
      </w:rPr>
      <w:fldChar w:fldCharType="begin"/>
    </w:r>
    <w:r w:rsidRPr="001A27C5">
      <w:rPr>
        <w:rFonts w:ascii="Times New Roman" w:hAnsi="Times New Roman"/>
      </w:rPr>
      <w:instrText xml:space="preserve"> PAGE   \* MERGEFORMAT </w:instrText>
    </w:r>
    <w:r w:rsidR="00AE3920" w:rsidRPr="001A27C5">
      <w:rPr>
        <w:rFonts w:ascii="Times New Roman" w:hAnsi="Times New Roman"/>
      </w:rPr>
      <w:fldChar w:fldCharType="separate"/>
    </w:r>
    <w:r w:rsidR="004711CF">
      <w:rPr>
        <w:rFonts w:ascii="Times New Roman" w:hAnsi="Times New Roman"/>
        <w:noProof/>
      </w:rPr>
      <w:t>289</w:t>
    </w:r>
    <w:r w:rsidR="00AE3920" w:rsidRPr="001A27C5">
      <w:rPr>
        <w:rFonts w:ascii="Times New Roman" w:hAnsi="Times New Roman"/>
        <w:noProof/>
      </w:rPr>
      <w:fldChar w:fldCharType="end"/>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1A27C5" w:rsidRDefault="00157EF6" w:rsidP="004F4714">
    <w:pPr>
      <w:pStyle w:val="a7"/>
      <w:jc w:val="right"/>
      <w:rPr>
        <w:rFonts w:ascii="Times New Roman" w:hAnsi="Times New Roman"/>
      </w:rPr>
    </w:pPr>
    <w:r w:rsidRPr="002E1670">
      <w:rPr>
        <w:rFonts w:ascii="Times New Roman" w:hAnsi="Times New Roman" w:hint="eastAsia"/>
      </w:rPr>
      <w:t>第四節、因、緣、果、報</w:t>
    </w:r>
    <w:r w:rsidRPr="001A27C5">
      <w:rPr>
        <w:rFonts w:ascii="Times New Roman" w:hAnsi="Times New Roman"/>
      </w:rPr>
      <w:t xml:space="preserve">　</w:t>
    </w:r>
    <w:r w:rsidR="00AE3920" w:rsidRPr="001A27C5">
      <w:rPr>
        <w:rFonts w:ascii="Times New Roman" w:hAnsi="Times New Roman"/>
      </w:rPr>
      <w:fldChar w:fldCharType="begin"/>
    </w:r>
    <w:r w:rsidRPr="001A27C5">
      <w:rPr>
        <w:rFonts w:ascii="Times New Roman" w:hAnsi="Times New Roman"/>
      </w:rPr>
      <w:instrText xml:space="preserve"> PAGE   \* MERGEFORMAT </w:instrText>
    </w:r>
    <w:r w:rsidR="00AE3920" w:rsidRPr="001A27C5">
      <w:rPr>
        <w:rFonts w:ascii="Times New Roman" w:hAnsi="Times New Roman"/>
      </w:rPr>
      <w:fldChar w:fldCharType="separate"/>
    </w:r>
    <w:r w:rsidR="004711CF">
      <w:rPr>
        <w:rFonts w:ascii="Times New Roman" w:hAnsi="Times New Roman"/>
        <w:noProof/>
      </w:rPr>
      <w:t>311</w:t>
    </w:r>
    <w:r w:rsidR="00AE3920" w:rsidRPr="001A27C5">
      <w:rPr>
        <w:rFonts w:ascii="Times New Roman" w:hAnsi="Times New Roman"/>
        <w:noProof/>
      </w:rPr>
      <w:fldChar w:fldCharType="end"/>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1A27C5" w:rsidRDefault="00AE3920" w:rsidP="001B64AB">
    <w:pPr>
      <w:pStyle w:val="a7"/>
      <w:jc w:val="both"/>
      <w:rPr>
        <w:rFonts w:ascii="Times New Roman" w:hAnsi="Times New Roman"/>
      </w:rPr>
    </w:pPr>
    <w:r w:rsidRPr="001A27C5">
      <w:rPr>
        <w:rFonts w:ascii="Times New Roman" w:hAnsi="Times New Roman"/>
      </w:rPr>
      <w:fldChar w:fldCharType="begin"/>
    </w:r>
    <w:r w:rsidR="00157EF6" w:rsidRPr="001A27C5">
      <w:rPr>
        <w:rFonts w:ascii="Times New Roman" w:hAnsi="Times New Roman"/>
      </w:rPr>
      <w:instrText xml:space="preserve"> PAGE   \* MERGEFORMAT </w:instrText>
    </w:r>
    <w:r w:rsidRPr="001A27C5">
      <w:rPr>
        <w:rFonts w:ascii="Times New Roman" w:hAnsi="Times New Roman"/>
      </w:rPr>
      <w:fldChar w:fldCharType="separate"/>
    </w:r>
    <w:r w:rsidR="004711CF">
      <w:rPr>
        <w:rFonts w:ascii="Times New Roman" w:hAnsi="Times New Roman"/>
        <w:noProof/>
      </w:rPr>
      <w:t>342</w:t>
    </w:r>
    <w:r w:rsidRPr="001A27C5">
      <w:rPr>
        <w:rFonts w:ascii="Times New Roman" w:hAnsi="Times New Roman"/>
        <w:noProof/>
      </w:rPr>
      <w:fldChar w:fldCharType="end"/>
    </w:r>
    <w:r w:rsidR="00157EF6" w:rsidRPr="001A27C5">
      <w:rPr>
        <w:rFonts w:ascii="Times New Roman" w:hAnsi="Times New Roman"/>
        <w:noProof/>
      </w:rPr>
      <w:t xml:space="preserve">　</w:t>
    </w:r>
    <w:r w:rsidR="00157EF6" w:rsidRPr="001A27C5">
      <w:rPr>
        <w:rFonts w:ascii="Times New Roman" w:hAnsi="Times New Roman"/>
      </w:rPr>
      <w:t>《中觀今論》講義：</w:t>
    </w:r>
    <w:r w:rsidR="00157EF6" w:rsidRPr="00E45579">
      <w:rPr>
        <w:rFonts w:ascii="Times New Roman" w:hAnsi="Times New Roman" w:hint="eastAsia"/>
      </w:rPr>
      <w:t>第九章、現象與實性之中道</w: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1A27C5" w:rsidRDefault="00157EF6" w:rsidP="004F4714">
    <w:pPr>
      <w:pStyle w:val="a7"/>
      <w:jc w:val="right"/>
      <w:rPr>
        <w:rFonts w:ascii="Times New Roman" w:hAnsi="Times New Roman"/>
      </w:rPr>
    </w:pPr>
    <w:r w:rsidRPr="00E45579">
      <w:rPr>
        <w:rFonts w:ascii="Times New Roman" w:hAnsi="Times New Roman" w:hint="eastAsia"/>
      </w:rPr>
      <w:t>第一節、太過、不及、中道</w:t>
    </w:r>
    <w:r w:rsidRPr="001A27C5">
      <w:rPr>
        <w:rFonts w:ascii="Times New Roman" w:hAnsi="Times New Roman"/>
      </w:rPr>
      <w:t xml:space="preserve">　</w:t>
    </w:r>
    <w:r w:rsidR="00AE3920" w:rsidRPr="001A27C5">
      <w:rPr>
        <w:rFonts w:ascii="Times New Roman" w:hAnsi="Times New Roman"/>
      </w:rPr>
      <w:fldChar w:fldCharType="begin"/>
    </w:r>
    <w:r w:rsidRPr="001A27C5">
      <w:rPr>
        <w:rFonts w:ascii="Times New Roman" w:hAnsi="Times New Roman"/>
      </w:rPr>
      <w:instrText xml:space="preserve"> PAGE   \* MERGEFORMAT </w:instrText>
    </w:r>
    <w:r w:rsidR="00AE3920" w:rsidRPr="001A27C5">
      <w:rPr>
        <w:rFonts w:ascii="Times New Roman" w:hAnsi="Times New Roman"/>
      </w:rPr>
      <w:fldChar w:fldCharType="separate"/>
    </w:r>
    <w:r w:rsidR="004711CF">
      <w:rPr>
        <w:rFonts w:ascii="Times New Roman" w:hAnsi="Times New Roman"/>
        <w:noProof/>
      </w:rPr>
      <w:t>327</w:t>
    </w:r>
    <w:r w:rsidR="00AE3920" w:rsidRPr="001A27C5">
      <w:rPr>
        <w:rFonts w:ascii="Times New Roman" w:hAnsi="Times New Roman"/>
        <w:noProof/>
      </w:rPr>
      <w:fldChar w:fldCharType="end"/>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1A27C5" w:rsidRDefault="00157EF6" w:rsidP="004F4714">
    <w:pPr>
      <w:pStyle w:val="a7"/>
      <w:jc w:val="right"/>
      <w:rPr>
        <w:rFonts w:ascii="Times New Roman" w:hAnsi="Times New Roman"/>
      </w:rPr>
    </w:pPr>
    <w:r w:rsidRPr="005D21D3">
      <w:rPr>
        <w:rFonts w:ascii="Times New Roman" w:hAnsi="Times New Roman" w:hint="eastAsia"/>
      </w:rPr>
      <w:t>第二節、即、離、中道</w:t>
    </w:r>
    <w:r w:rsidRPr="001A27C5">
      <w:rPr>
        <w:rFonts w:ascii="Times New Roman" w:hAnsi="Times New Roman"/>
      </w:rPr>
      <w:t xml:space="preserve">　</w:t>
    </w:r>
    <w:r w:rsidR="00AE3920" w:rsidRPr="001A27C5">
      <w:rPr>
        <w:rFonts w:ascii="Times New Roman" w:hAnsi="Times New Roman"/>
      </w:rPr>
      <w:fldChar w:fldCharType="begin"/>
    </w:r>
    <w:r w:rsidRPr="001A27C5">
      <w:rPr>
        <w:rFonts w:ascii="Times New Roman" w:hAnsi="Times New Roman"/>
      </w:rPr>
      <w:instrText xml:space="preserve"> PAGE   \* MERGEFORMAT </w:instrText>
    </w:r>
    <w:r w:rsidR="00AE3920" w:rsidRPr="001A27C5">
      <w:rPr>
        <w:rFonts w:ascii="Times New Roman" w:hAnsi="Times New Roman"/>
      </w:rPr>
      <w:fldChar w:fldCharType="separate"/>
    </w:r>
    <w:r w:rsidR="004711CF">
      <w:rPr>
        <w:rFonts w:ascii="Times New Roman" w:hAnsi="Times New Roman"/>
        <w:noProof/>
      </w:rPr>
      <w:t>343</w:t>
    </w:r>
    <w:r w:rsidR="00AE3920" w:rsidRPr="001A27C5">
      <w:rPr>
        <w:rFonts w:ascii="Times New Roman" w:hAnsi="Times New Roman"/>
        <w:noProof/>
      </w:rPr>
      <w:fldChar w:fldCharType="end"/>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1A27C5" w:rsidRDefault="00AE3920" w:rsidP="001B64AB">
    <w:pPr>
      <w:pStyle w:val="a7"/>
      <w:jc w:val="both"/>
      <w:rPr>
        <w:rFonts w:ascii="Times New Roman" w:hAnsi="Times New Roman"/>
      </w:rPr>
    </w:pPr>
    <w:r w:rsidRPr="001A27C5">
      <w:rPr>
        <w:rFonts w:ascii="Times New Roman" w:hAnsi="Times New Roman"/>
      </w:rPr>
      <w:fldChar w:fldCharType="begin"/>
    </w:r>
    <w:r w:rsidR="00157EF6" w:rsidRPr="001A27C5">
      <w:rPr>
        <w:rFonts w:ascii="Times New Roman" w:hAnsi="Times New Roman"/>
      </w:rPr>
      <w:instrText xml:space="preserve"> PAGE   \* MERGEFORMAT </w:instrText>
    </w:r>
    <w:r w:rsidRPr="001A27C5">
      <w:rPr>
        <w:rFonts w:ascii="Times New Roman" w:hAnsi="Times New Roman"/>
      </w:rPr>
      <w:fldChar w:fldCharType="separate"/>
    </w:r>
    <w:r w:rsidR="00AB5C7A">
      <w:rPr>
        <w:rFonts w:ascii="Times New Roman" w:hAnsi="Times New Roman"/>
        <w:noProof/>
      </w:rPr>
      <w:t>380</w:t>
    </w:r>
    <w:r w:rsidRPr="001A27C5">
      <w:rPr>
        <w:rFonts w:ascii="Times New Roman" w:hAnsi="Times New Roman"/>
        <w:noProof/>
      </w:rPr>
      <w:fldChar w:fldCharType="end"/>
    </w:r>
    <w:r w:rsidR="00157EF6" w:rsidRPr="001A27C5">
      <w:rPr>
        <w:rFonts w:ascii="Times New Roman" w:hAnsi="Times New Roman"/>
        <w:noProof/>
      </w:rPr>
      <w:t xml:space="preserve">　</w:t>
    </w:r>
    <w:r w:rsidR="00157EF6" w:rsidRPr="001A27C5">
      <w:rPr>
        <w:rFonts w:ascii="Times New Roman" w:hAnsi="Times New Roman"/>
      </w:rPr>
      <w:t>《中觀今論》講義：</w:t>
    </w:r>
    <w:r w:rsidR="00157EF6" w:rsidRPr="007D4C03">
      <w:rPr>
        <w:rFonts w:ascii="Times New Roman" w:hAnsi="Times New Roman" w:hint="eastAsia"/>
      </w:rPr>
      <w:t>第十章、談二諦</w: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1A27C5" w:rsidRDefault="00157EF6" w:rsidP="004F4714">
    <w:pPr>
      <w:pStyle w:val="a7"/>
      <w:jc w:val="right"/>
      <w:rPr>
        <w:rFonts w:ascii="Times New Roman" w:hAnsi="Times New Roman"/>
      </w:rPr>
    </w:pPr>
    <w:r w:rsidRPr="007D4C03">
      <w:rPr>
        <w:rFonts w:ascii="Times New Roman" w:hAnsi="Times New Roman" w:hint="eastAsia"/>
      </w:rPr>
      <w:t>第一節、總說</w:t>
    </w:r>
    <w:r w:rsidRPr="001A27C5">
      <w:rPr>
        <w:rFonts w:ascii="Times New Roman" w:hAnsi="Times New Roman"/>
      </w:rPr>
      <w:t xml:space="preserve">　</w:t>
    </w:r>
    <w:r w:rsidR="00AE3920" w:rsidRPr="001A27C5">
      <w:rPr>
        <w:rFonts w:ascii="Times New Roman" w:hAnsi="Times New Roman"/>
      </w:rPr>
      <w:fldChar w:fldCharType="begin"/>
    </w:r>
    <w:r w:rsidRPr="001A27C5">
      <w:rPr>
        <w:rFonts w:ascii="Times New Roman" w:hAnsi="Times New Roman"/>
      </w:rPr>
      <w:instrText xml:space="preserve"> PAGE   \* MERGEFORMAT </w:instrText>
    </w:r>
    <w:r w:rsidR="00AE3920" w:rsidRPr="001A27C5">
      <w:rPr>
        <w:rFonts w:ascii="Times New Roman" w:hAnsi="Times New Roman"/>
      </w:rPr>
      <w:fldChar w:fldCharType="separate"/>
    </w:r>
    <w:r w:rsidR="004711CF">
      <w:rPr>
        <w:rFonts w:ascii="Times New Roman" w:hAnsi="Times New Roman"/>
        <w:noProof/>
      </w:rPr>
      <w:t>351</w:t>
    </w:r>
    <w:r w:rsidR="00AE3920" w:rsidRPr="001A27C5">
      <w:rPr>
        <w:rFonts w:ascii="Times New Roman" w:hAnsi="Times New Roman"/>
        <w:noProof/>
      </w:rPr>
      <w:fldChar w:fldCharType="end"/>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73230F" w:rsidRDefault="00AE3920" w:rsidP="00091862">
    <w:pPr>
      <w:pStyle w:val="a7"/>
      <w:jc w:val="both"/>
      <w:rPr>
        <w:rFonts w:ascii="Times New Roman" w:hAnsi="Times New Roman"/>
      </w:rPr>
    </w:pPr>
    <w:r w:rsidRPr="0073230F">
      <w:rPr>
        <w:rFonts w:ascii="Times New Roman" w:hAnsi="Times New Roman"/>
      </w:rPr>
      <w:fldChar w:fldCharType="begin"/>
    </w:r>
    <w:r w:rsidR="00157EF6" w:rsidRPr="0073230F">
      <w:rPr>
        <w:rFonts w:ascii="Times New Roman" w:hAnsi="Times New Roman"/>
      </w:rPr>
      <w:instrText>PAGE   \* MERGEFORMAT</w:instrText>
    </w:r>
    <w:r w:rsidRPr="0073230F">
      <w:rPr>
        <w:rFonts w:ascii="Times New Roman" w:hAnsi="Times New Roman"/>
      </w:rPr>
      <w:fldChar w:fldCharType="separate"/>
    </w:r>
    <w:r w:rsidR="004711CF" w:rsidRPr="004711CF">
      <w:rPr>
        <w:rFonts w:ascii="Times New Roman" w:hAnsi="Times New Roman"/>
        <w:noProof/>
        <w:lang w:val="zh-TW"/>
      </w:rPr>
      <w:t>16</w:t>
    </w:r>
    <w:r w:rsidRPr="0073230F">
      <w:rPr>
        <w:rFonts w:ascii="Times New Roman" w:hAnsi="Times New Roman"/>
      </w:rPr>
      <w:fldChar w:fldCharType="end"/>
    </w:r>
    <w:r w:rsidR="00157EF6">
      <w:rPr>
        <w:rFonts w:ascii="Times New Roman" w:hAnsi="Times New Roman"/>
      </w:rPr>
      <w:t xml:space="preserve">　</w:t>
    </w:r>
    <w:r w:rsidR="00157EF6" w:rsidRPr="0073230F">
      <w:rPr>
        <w:rFonts w:ascii="Times New Roman" w:hAnsi="Times New Roman"/>
      </w:rPr>
      <w:t>《中觀今論》講義</w:t>
    </w:r>
    <w:r w:rsidR="00157EF6">
      <w:rPr>
        <w:rFonts w:ascii="Times New Roman" w:hAnsi="Times New Roman"/>
      </w:rPr>
      <w:t>：《中觀今論》〈</w:t>
    </w:r>
    <w:r w:rsidR="00157EF6" w:rsidRPr="0073230F">
      <w:rPr>
        <w:rFonts w:ascii="Times New Roman" w:hAnsi="Times New Roman"/>
      </w:rPr>
      <w:t>自序</w:t>
    </w:r>
    <w:r w:rsidR="00157EF6">
      <w:rPr>
        <w:rFonts w:ascii="Times New Roman" w:hAnsi="Times New Roman" w:hint="eastAsia"/>
      </w:rPr>
      <w:t>〉</w: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1A27C5" w:rsidRDefault="00157EF6" w:rsidP="004F4714">
    <w:pPr>
      <w:pStyle w:val="a7"/>
      <w:jc w:val="right"/>
      <w:rPr>
        <w:rFonts w:ascii="Times New Roman" w:hAnsi="Times New Roman"/>
      </w:rPr>
    </w:pPr>
    <w:r w:rsidRPr="0094548D">
      <w:rPr>
        <w:rFonts w:ascii="Times New Roman" w:hAnsi="Times New Roman" w:hint="eastAsia"/>
      </w:rPr>
      <w:t>第二節、二諦之安立</w:t>
    </w:r>
    <w:r w:rsidRPr="001A27C5">
      <w:rPr>
        <w:rFonts w:ascii="Times New Roman" w:hAnsi="Times New Roman"/>
      </w:rPr>
      <w:t xml:space="preserve">　</w:t>
    </w:r>
    <w:r w:rsidR="00AE3920" w:rsidRPr="001A27C5">
      <w:rPr>
        <w:rFonts w:ascii="Times New Roman" w:hAnsi="Times New Roman"/>
      </w:rPr>
      <w:fldChar w:fldCharType="begin"/>
    </w:r>
    <w:r w:rsidRPr="001A27C5">
      <w:rPr>
        <w:rFonts w:ascii="Times New Roman" w:hAnsi="Times New Roman"/>
      </w:rPr>
      <w:instrText xml:space="preserve"> PAGE   \* MERGEFORMAT </w:instrText>
    </w:r>
    <w:r w:rsidR="00AE3920" w:rsidRPr="001A27C5">
      <w:rPr>
        <w:rFonts w:ascii="Times New Roman" w:hAnsi="Times New Roman"/>
      </w:rPr>
      <w:fldChar w:fldCharType="separate"/>
    </w:r>
    <w:r w:rsidR="004711CF">
      <w:rPr>
        <w:rFonts w:ascii="Times New Roman" w:hAnsi="Times New Roman"/>
        <w:noProof/>
      </w:rPr>
      <w:t>367</w:t>
    </w:r>
    <w:r w:rsidR="00AE3920" w:rsidRPr="001A27C5">
      <w:rPr>
        <w:rFonts w:ascii="Times New Roman" w:hAnsi="Times New Roman"/>
        <w:noProof/>
      </w:rPr>
      <w:fldChar w:fldCharType="end"/>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1A27C5" w:rsidRDefault="00157EF6" w:rsidP="004F4714">
    <w:pPr>
      <w:pStyle w:val="a7"/>
      <w:jc w:val="right"/>
      <w:rPr>
        <w:rFonts w:ascii="Times New Roman" w:hAnsi="Times New Roman"/>
      </w:rPr>
    </w:pPr>
    <w:r w:rsidRPr="004E0473">
      <w:rPr>
        <w:rFonts w:ascii="Times New Roman" w:hAnsi="Times New Roman" w:hint="eastAsia"/>
      </w:rPr>
      <w:t>第三節、二諦之抉擇</w:t>
    </w:r>
    <w:r w:rsidRPr="001A27C5">
      <w:rPr>
        <w:rFonts w:ascii="Times New Roman" w:hAnsi="Times New Roman"/>
      </w:rPr>
      <w:t xml:space="preserve">　</w:t>
    </w:r>
    <w:r w:rsidR="00AE3920" w:rsidRPr="001A27C5">
      <w:rPr>
        <w:rFonts w:ascii="Times New Roman" w:hAnsi="Times New Roman"/>
      </w:rPr>
      <w:fldChar w:fldCharType="begin"/>
    </w:r>
    <w:r w:rsidRPr="001A27C5">
      <w:rPr>
        <w:rFonts w:ascii="Times New Roman" w:hAnsi="Times New Roman"/>
      </w:rPr>
      <w:instrText xml:space="preserve"> PAGE   \* MERGEFORMAT </w:instrText>
    </w:r>
    <w:r w:rsidR="00AE3920" w:rsidRPr="001A27C5">
      <w:rPr>
        <w:rFonts w:ascii="Times New Roman" w:hAnsi="Times New Roman"/>
      </w:rPr>
      <w:fldChar w:fldCharType="separate"/>
    </w:r>
    <w:r w:rsidR="00AB5C7A">
      <w:rPr>
        <w:rFonts w:ascii="Times New Roman" w:hAnsi="Times New Roman"/>
        <w:noProof/>
      </w:rPr>
      <w:t>381</w:t>
    </w:r>
    <w:r w:rsidR="00AE3920" w:rsidRPr="001A27C5">
      <w:rPr>
        <w:rFonts w:ascii="Times New Roman" w:hAnsi="Times New Roman"/>
        <w:noProof/>
      </w:rPr>
      <w:fldChar w:fldCharType="end"/>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1A27C5" w:rsidRDefault="00AE3920" w:rsidP="001B64AB">
    <w:pPr>
      <w:pStyle w:val="a7"/>
      <w:jc w:val="both"/>
      <w:rPr>
        <w:rFonts w:ascii="Times New Roman" w:hAnsi="Times New Roman"/>
      </w:rPr>
    </w:pPr>
    <w:r w:rsidRPr="001A27C5">
      <w:rPr>
        <w:rFonts w:ascii="Times New Roman" w:hAnsi="Times New Roman"/>
      </w:rPr>
      <w:fldChar w:fldCharType="begin"/>
    </w:r>
    <w:r w:rsidR="00157EF6" w:rsidRPr="001A27C5">
      <w:rPr>
        <w:rFonts w:ascii="Times New Roman" w:hAnsi="Times New Roman"/>
      </w:rPr>
      <w:instrText xml:space="preserve"> PAGE   \* MERGEFORMAT </w:instrText>
    </w:r>
    <w:r w:rsidRPr="001A27C5">
      <w:rPr>
        <w:rFonts w:ascii="Times New Roman" w:hAnsi="Times New Roman"/>
      </w:rPr>
      <w:fldChar w:fldCharType="separate"/>
    </w:r>
    <w:r w:rsidR="008C557E">
      <w:rPr>
        <w:rFonts w:ascii="Times New Roman" w:hAnsi="Times New Roman"/>
        <w:noProof/>
      </w:rPr>
      <w:t>420</w:t>
    </w:r>
    <w:r w:rsidRPr="001A27C5">
      <w:rPr>
        <w:rFonts w:ascii="Times New Roman" w:hAnsi="Times New Roman"/>
        <w:noProof/>
      </w:rPr>
      <w:fldChar w:fldCharType="end"/>
    </w:r>
    <w:r w:rsidR="00157EF6" w:rsidRPr="001A27C5">
      <w:rPr>
        <w:rFonts w:ascii="Times New Roman" w:hAnsi="Times New Roman"/>
        <w:noProof/>
      </w:rPr>
      <w:t xml:space="preserve">　</w:t>
    </w:r>
    <w:r w:rsidR="00157EF6" w:rsidRPr="001A27C5">
      <w:rPr>
        <w:rFonts w:ascii="Times New Roman" w:hAnsi="Times New Roman"/>
      </w:rPr>
      <w:t>《中觀今論》講義：</w:t>
    </w:r>
    <w:r w:rsidR="00157EF6" w:rsidRPr="00055FC8">
      <w:rPr>
        <w:rFonts w:ascii="Times New Roman" w:hAnsi="Times New Roman" w:hint="eastAsia"/>
      </w:rPr>
      <w:t>第十一章、中道之實踐</w: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1A27C5" w:rsidRDefault="00157EF6" w:rsidP="004F4714">
    <w:pPr>
      <w:pStyle w:val="a7"/>
      <w:jc w:val="right"/>
      <w:rPr>
        <w:rFonts w:ascii="Times New Roman" w:hAnsi="Times New Roman"/>
      </w:rPr>
    </w:pPr>
    <w:r w:rsidRPr="00055FC8">
      <w:rPr>
        <w:rFonts w:ascii="Times New Roman" w:hAnsi="Times New Roman" w:hint="eastAsia"/>
      </w:rPr>
      <w:t>第一節、頓漸與偏圓</w:t>
    </w:r>
    <w:r w:rsidRPr="001A27C5">
      <w:rPr>
        <w:rFonts w:ascii="Times New Roman" w:hAnsi="Times New Roman"/>
      </w:rPr>
      <w:t xml:space="preserve">　</w:t>
    </w:r>
    <w:r w:rsidR="00AE3920" w:rsidRPr="001A27C5">
      <w:rPr>
        <w:rFonts w:ascii="Times New Roman" w:hAnsi="Times New Roman"/>
      </w:rPr>
      <w:fldChar w:fldCharType="begin"/>
    </w:r>
    <w:r w:rsidRPr="001A27C5">
      <w:rPr>
        <w:rFonts w:ascii="Times New Roman" w:hAnsi="Times New Roman"/>
      </w:rPr>
      <w:instrText xml:space="preserve"> PAGE   \* MERGEFORMAT </w:instrText>
    </w:r>
    <w:r w:rsidR="00AE3920" w:rsidRPr="001A27C5">
      <w:rPr>
        <w:rFonts w:ascii="Times New Roman" w:hAnsi="Times New Roman"/>
      </w:rPr>
      <w:fldChar w:fldCharType="separate"/>
    </w:r>
    <w:r w:rsidR="00842748">
      <w:rPr>
        <w:rFonts w:ascii="Times New Roman" w:hAnsi="Times New Roman"/>
        <w:noProof/>
      </w:rPr>
      <w:t>395</w:t>
    </w:r>
    <w:r w:rsidR="00AE3920" w:rsidRPr="001A27C5">
      <w:rPr>
        <w:rFonts w:ascii="Times New Roman" w:hAnsi="Times New Roman"/>
        <w:noProof/>
      </w:rPr>
      <w:fldChar w:fldCharType="end"/>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1A27C5" w:rsidRDefault="00157EF6" w:rsidP="004F4714">
    <w:pPr>
      <w:pStyle w:val="a7"/>
      <w:jc w:val="right"/>
      <w:rPr>
        <w:rFonts w:ascii="Times New Roman" w:hAnsi="Times New Roman"/>
      </w:rPr>
    </w:pPr>
    <w:r w:rsidRPr="00CB5DDB">
      <w:rPr>
        <w:rFonts w:ascii="Times New Roman" w:hAnsi="Times New Roman" w:hint="eastAsia"/>
      </w:rPr>
      <w:t>第二節、緣起空有</w:t>
    </w:r>
    <w:r w:rsidRPr="001A27C5">
      <w:rPr>
        <w:rFonts w:ascii="Times New Roman" w:hAnsi="Times New Roman"/>
      </w:rPr>
      <w:t xml:space="preserve">　</w:t>
    </w:r>
    <w:r w:rsidR="00AE3920" w:rsidRPr="001A27C5">
      <w:rPr>
        <w:rFonts w:ascii="Times New Roman" w:hAnsi="Times New Roman"/>
      </w:rPr>
      <w:fldChar w:fldCharType="begin"/>
    </w:r>
    <w:r w:rsidRPr="001A27C5">
      <w:rPr>
        <w:rFonts w:ascii="Times New Roman" w:hAnsi="Times New Roman"/>
      </w:rPr>
      <w:instrText xml:space="preserve"> PAGE   \* MERGEFORMAT </w:instrText>
    </w:r>
    <w:r w:rsidR="00AE3920" w:rsidRPr="001A27C5">
      <w:rPr>
        <w:rFonts w:ascii="Times New Roman" w:hAnsi="Times New Roman"/>
      </w:rPr>
      <w:fldChar w:fldCharType="separate"/>
    </w:r>
    <w:r w:rsidR="00251D70">
      <w:rPr>
        <w:rFonts w:ascii="Times New Roman" w:hAnsi="Times New Roman"/>
        <w:noProof/>
      </w:rPr>
      <w:t>421</w:t>
    </w:r>
    <w:r w:rsidR="00AE3920" w:rsidRPr="001A27C5">
      <w:rPr>
        <w:rFonts w:ascii="Times New Roman" w:hAnsi="Times New Roman"/>
        <w:noProof/>
      </w:rPr>
      <w:fldChar w:fldCharType="end"/>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1A27C5" w:rsidRDefault="00AE3920" w:rsidP="001B64AB">
    <w:pPr>
      <w:pStyle w:val="a7"/>
      <w:jc w:val="both"/>
      <w:rPr>
        <w:rFonts w:ascii="Times New Roman" w:hAnsi="Times New Roman"/>
      </w:rPr>
    </w:pPr>
    <w:r w:rsidRPr="001A27C5">
      <w:rPr>
        <w:rFonts w:ascii="Times New Roman" w:hAnsi="Times New Roman"/>
      </w:rPr>
      <w:fldChar w:fldCharType="begin"/>
    </w:r>
    <w:r w:rsidR="00157EF6" w:rsidRPr="001A27C5">
      <w:rPr>
        <w:rFonts w:ascii="Times New Roman" w:hAnsi="Times New Roman"/>
      </w:rPr>
      <w:instrText xml:space="preserve"> PAGE   \* MERGEFORMAT </w:instrText>
    </w:r>
    <w:r w:rsidRPr="001A27C5">
      <w:rPr>
        <w:rFonts w:ascii="Times New Roman" w:hAnsi="Times New Roman"/>
      </w:rPr>
      <w:fldChar w:fldCharType="separate"/>
    </w:r>
    <w:r w:rsidR="003E2678">
      <w:rPr>
        <w:rFonts w:ascii="Times New Roman" w:hAnsi="Times New Roman"/>
        <w:noProof/>
      </w:rPr>
      <w:t>426</w:t>
    </w:r>
    <w:r w:rsidRPr="001A27C5">
      <w:rPr>
        <w:rFonts w:ascii="Times New Roman" w:hAnsi="Times New Roman"/>
        <w:noProof/>
      </w:rPr>
      <w:fldChar w:fldCharType="end"/>
    </w:r>
    <w:r w:rsidR="00157EF6" w:rsidRPr="001A27C5">
      <w:rPr>
        <w:rFonts w:ascii="Times New Roman" w:hAnsi="Times New Roman"/>
        <w:noProof/>
      </w:rPr>
      <w:t xml:space="preserve">　</w:t>
    </w:r>
    <w:r w:rsidR="00157EF6" w:rsidRPr="001A27C5">
      <w:rPr>
        <w:rFonts w:ascii="Times New Roman" w:hAnsi="Times New Roman"/>
      </w:rPr>
      <w:t>《中觀今論》講義：</w:t>
    </w:r>
    <w:r w:rsidR="00157EF6" w:rsidRPr="001977FA">
      <w:rPr>
        <w:rFonts w:ascii="Times New Roman" w:hAnsi="Times New Roman" w:hint="eastAsia"/>
      </w:rPr>
      <w:t>第十二章、空宗與有宗</w: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1A27C5" w:rsidRDefault="00157EF6" w:rsidP="004F4714">
    <w:pPr>
      <w:pStyle w:val="a7"/>
      <w:jc w:val="right"/>
      <w:rPr>
        <w:rFonts w:ascii="Times New Roman" w:hAnsi="Times New Roman"/>
      </w:rPr>
    </w:pPr>
    <w:r>
      <w:rPr>
        <w:rFonts w:ascii="Times New Roman" w:hAnsi="Times New Roman"/>
      </w:rPr>
      <w:t>第十二章、空宗與有宗</w:t>
    </w:r>
    <w:r w:rsidRPr="001A27C5">
      <w:rPr>
        <w:rFonts w:ascii="Times New Roman" w:hAnsi="Times New Roman"/>
      </w:rPr>
      <w:t xml:space="preserve">　</w:t>
    </w:r>
    <w:r w:rsidR="00AE3920" w:rsidRPr="001A27C5">
      <w:rPr>
        <w:rFonts w:ascii="Times New Roman" w:hAnsi="Times New Roman"/>
      </w:rPr>
      <w:fldChar w:fldCharType="begin"/>
    </w:r>
    <w:r w:rsidRPr="001A27C5">
      <w:rPr>
        <w:rFonts w:ascii="Times New Roman" w:hAnsi="Times New Roman"/>
      </w:rPr>
      <w:instrText xml:space="preserve"> PAGE   \* MERGEFORMAT </w:instrText>
    </w:r>
    <w:r w:rsidR="00AE3920" w:rsidRPr="001A27C5">
      <w:rPr>
        <w:rFonts w:ascii="Times New Roman" w:hAnsi="Times New Roman"/>
      </w:rPr>
      <w:fldChar w:fldCharType="separate"/>
    </w:r>
    <w:r w:rsidR="003E2678">
      <w:rPr>
        <w:rFonts w:ascii="Times New Roman" w:hAnsi="Times New Roman"/>
        <w:noProof/>
      </w:rPr>
      <w:t>425</w:t>
    </w:r>
    <w:r w:rsidR="00AE3920" w:rsidRPr="001A27C5">
      <w:rPr>
        <w:rFonts w:ascii="Times New Roman" w:hAnsi="Times New Roman"/>
        <w:noProof/>
      </w:rPr>
      <w:fldChar w:fldCharType="end"/>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3E46BC" w:rsidRDefault="00157EF6" w:rsidP="001B64AB">
    <w:pPr>
      <w:pStyle w:val="a7"/>
      <w:jc w:val="both"/>
    </w:pP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BB660C" w:rsidRDefault="00157EF6" w:rsidP="001B64AB">
    <w:pPr>
      <w:pStyle w:val="a7"/>
      <w:jc w:val="both"/>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73230F" w:rsidRDefault="00157EF6" w:rsidP="0073230F">
    <w:pPr>
      <w:pStyle w:val="a7"/>
      <w:jc w:val="right"/>
      <w:rPr>
        <w:rFonts w:ascii="Times New Roman" w:hAnsi="Times New Roman"/>
      </w:rPr>
    </w:pPr>
    <w:r>
      <w:rPr>
        <w:rFonts w:ascii="Times New Roman" w:hAnsi="Times New Roman"/>
      </w:rPr>
      <w:t>《中觀今論》〈</w:t>
    </w:r>
    <w:r w:rsidRPr="0073230F">
      <w:rPr>
        <w:rFonts w:ascii="Times New Roman" w:hAnsi="Times New Roman"/>
      </w:rPr>
      <w:t>自序</w:t>
    </w:r>
    <w:r>
      <w:rPr>
        <w:rFonts w:ascii="Times New Roman" w:hAnsi="Times New Roman" w:hint="eastAsia"/>
      </w:rPr>
      <w:t>〉</w:t>
    </w:r>
    <w:r>
      <w:rPr>
        <w:rFonts w:ascii="Times New Roman" w:hAnsi="Times New Roman"/>
      </w:rPr>
      <w:t xml:space="preserve">　</w:t>
    </w:r>
    <w:r w:rsidR="00AE3920" w:rsidRPr="0073230F">
      <w:rPr>
        <w:rFonts w:ascii="Times New Roman" w:hAnsi="Times New Roman"/>
      </w:rPr>
      <w:fldChar w:fldCharType="begin"/>
    </w:r>
    <w:r w:rsidRPr="0073230F">
      <w:rPr>
        <w:rFonts w:ascii="Times New Roman" w:hAnsi="Times New Roman"/>
      </w:rPr>
      <w:instrText xml:space="preserve"> PAGE   \* MERGEFORMAT </w:instrText>
    </w:r>
    <w:r w:rsidR="00AE3920" w:rsidRPr="0073230F">
      <w:rPr>
        <w:rFonts w:ascii="Times New Roman" w:hAnsi="Times New Roman"/>
      </w:rPr>
      <w:fldChar w:fldCharType="separate"/>
    </w:r>
    <w:r w:rsidR="004711CF">
      <w:rPr>
        <w:rFonts w:ascii="Times New Roman" w:hAnsi="Times New Roman"/>
        <w:noProof/>
      </w:rPr>
      <w:t>17</w:t>
    </w:r>
    <w:r w:rsidR="00AE3920" w:rsidRPr="0073230F">
      <w:rPr>
        <w:rFonts w:ascii="Times New Roman" w:hAnsi="Times New Roman"/>
        <w:noProof/>
      </w:rPr>
      <w:fldChar w:fldCharType="end"/>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73230F" w:rsidRDefault="00AE3920" w:rsidP="00091862">
    <w:pPr>
      <w:pStyle w:val="a7"/>
      <w:jc w:val="both"/>
      <w:rPr>
        <w:rFonts w:ascii="Times New Roman" w:hAnsi="Times New Roman"/>
      </w:rPr>
    </w:pPr>
    <w:r w:rsidRPr="0073230F">
      <w:rPr>
        <w:rFonts w:ascii="Times New Roman" w:hAnsi="Times New Roman"/>
      </w:rPr>
      <w:fldChar w:fldCharType="begin"/>
    </w:r>
    <w:r w:rsidR="00157EF6" w:rsidRPr="0073230F">
      <w:rPr>
        <w:rFonts w:ascii="Times New Roman" w:hAnsi="Times New Roman"/>
      </w:rPr>
      <w:instrText>PAGE   \* MERGEFORMAT</w:instrText>
    </w:r>
    <w:r w:rsidRPr="0073230F">
      <w:rPr>
        <w:rFonts w:ascii="Times New Roman" w:hAnsi="Times New Roman"/>
      </w:rPr>
      <w:fldChar w:fldCharType="separate"/>
    </w:r>
    <w:r w:rsidR="004711CF" w:rsidRPr="004711CF">
      <w:rPr>
        <w:rFonts w:ascii="Times New Roman" w:hAnsi="Times New Roman"/>
        <w:noProof/>
        <w:lang w:val="zh-TW"/>
      </w:rPr>
      <w:t>22</w:t>
    </w:r>
    <w:r w:rsidRPr="0073230F">
      <w:rPr>
        <w:rFonts w:ascii="Times New Roman" w:hAnsi="Times New Roman"/>
      </w:rPr>
      <w:fldChar w:fldCharType="end"/>
    </w:r>
    <w:r w:rsidR="00157EF6">
      <w:rPr>
        <w:rFonts w:ascii="Times New Roman" w:hAnsi="Times New Roman"/>
      </w:rPr>
      <w:t xml:space="preserve">　</w:t>
    </w:r>
    <w:r w:rsidR="00157EF6" w:rsidRPr="0073230F">
      <w:rPr>
        <w:rFonts w:ascii="Times New Roman" w:hAnsi="Times New Roman"/>
      </w:rPr>
      <w:t>《中觀今論》講義</w:t>
    </w:r>
    <w:r w:rsidR="00157EF6">
      <w:rPr>
        <w:rFonts w:ascii="Times New Roman" w:hAnsi="Times New Roman"/>
      </w:rPr>
      <w:t>：《中觀今論》〈引言</w:t>
    </w:r>
    <w:r w:rsidR="00157EF6">
      <w:rPr>
        <w:rFonts w:ascii="Times New Roman" w:hAnsi="Times New Roman" w:hint="eastAsia"/>
      </w:rPr>
      <w:t>〉</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73230F" w:rsidRDefault="00157EF6" w:rsidP="0073230F">
    <w:pPr>
      <w:pStyle w:val="a7"/>
      <w:jc w:val="right"/>
      <w:rPr>
        <w:rFonts w:ascii="Times New Roman" w:hAnsi="Times New Roman"/>
      </w:rPr>
    </w:pPr>
    <w:r>
      <w:rPr>
        <w:rFonts w:ascii="Times New Roman" w:hAnsi="Times New Roman"/>
      </w:rPr>
      <w:t>《中觀今論》〈</w:t>
    </w:r>
    <w:r w:rsidRPr="0073230F">
      <w:rPr>
        <w:rFonts w:ascii="Times New Roman" w:hAnsi="Times New Roman"/>
      </w:rPr>
      <w:t>引言</w:t>
    </w:r>
    <w:r>
      <w:rPr>
        <w:rFonts w:ascii="Times New Roman" w:hAnsi="Times New Roman" w:hint="eastAsia"/>
      </w:rPr>
      <w:t>〉</w:t>
    </w:r>
    <w:r>
      <w:rPr>
        <w:rFonts w:ascii="Times New Roman" w:hAnsi="Times New Roman"/>
      </w:rPr>
      <w:t xml:space="preserve">　</w:t>
    </w:r>
    <w:r w:rsidR="00AE3920" w:rsidRPr="0073230F">
      <w:rPr>
        <w:rFonts w:ascii="Times New Roman" w:hAnsi="Times New Roman"/>
      </w:rPr>
      <w:fldChar w:fldCharType="begin"/>
    </w:r>
    <w:r w:rsidRPr="0073230F">
      <w:rPr>
        <w:rFonts w:ascii="Times New Roman" w:hAnsi="Times New Roman"/>
      </w:rPr>
      <w:instrText xml:space="preserve"> PAGE   \* MERGEFORMAT </w:instrText>
    </w:r>
    <w:r w:rsidR="00AE3920" w:rsidRPr="0073230F">
      <w:rPr>
        <w:rFonts w:ascii="Times New Roman" w:hAnsi="Times New Roman"/>
      </w:rPr>
      <w:fldChar w:fldCharType="separate"/>
    </w:r>
    <w:r w:rsidR="00247238">
      <w:rPr>
        <w:rFonts w:ascii="Times New Roman" w:hAnsi="Times New Roman"/>
        <w:noProof/>
      </w:rPr>
      <w:t>23</w:t>
    </w:r>
    <w:r w:rsidR="00AE3920" w:rsidRPr="0073230F">
      <w:rPr>
        <w:rFonts w:ascii="Times New Roman" w:hAnsi="Times New Roman"/>
        <w:noProof/>
      </w:rPr>
      <w:fldChar w:fldCharType="end"/>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EF6" w:rsidRPr="0073230F" w:rsidRDefault="00AE3920" w:rsidP="00091862">
    <w:pPr>
      <w:pStyle w:val="a7"/>
      <w:jc w:val="both"/>
      <w:rPr>
        <w:rFonts w:ascii="Times New Roman" w:hAnsi="Times New Roman"/>
      </w:rPr>
    </w:pPr>
    <w:r w:rsidRPr="0073230F">
      <w:rPr>
        <w:rFonts w:ascii="Times New Roman" w:hAnsi="Times New Roman"/>
      </w:rPr>
      <w:fldChar w:fldCharType="begin"/>
    </w:r>
    <w:r w:rsidR="00157EF6" w:rsidRPr="0073230F">
      <w:rPr>
        <w:rFonts w:ascii="Times New Roman" w:hAnsi="Times New Roman"/>
      </w:rPr>
      <w:instrText>PAGE   \* MERGEFORMAT</w:instrText>
    </w:r>
    <w:r w:rsidRPr="0073230F">
      <w:rPr>
        <w:rFonts w:ascii="Times New Roman" w:hAnsi="Times New Roman"/>
      </w:rPr>
      <w:fldChar w:fldCharType="separate"/>
    </w:r>
    <w:r w:rsidR="004711CF" w:rsidRPr="004711CF">
      <w:rPr>
        <w:rFonts w:ascii="Times New Roman" w:hAnsi="Times New Roman"/>
        <w:noProof/>
        <w:lang w:val="zh-TW"/>
      </w:rPr>
      <w:t>36</w:t>
    </w:r>
    <w:r w:rsidRPr="0073230F">
      <w:rPr>
        <w:rFonts w:ascii="Times New Roman" w:hAnsi="Times New Roman"/>
      </w:rPr>
      <w:fldChar w:fldCharType="end"/>
    </w:r>
    <w:r w:rsidR="00157EF6">
      <w:rPr>
        <w:rFonts w:ascii="Times New Roman" w:hAnsi="Times New Roman"/>
      </w:rPr>
      <w:t xml:space="preserve">　</w:t>
    </w:r>
    <w:r w:rsidR="00157EF6" w:rsidRPr="0073230F">
      <w:rPr>
        <w:rFonts w:ascii="Times New Roman" w:hAnsi="Times New Roman"/>
      </w:rPr>
      <w:t>《中觀今論》講義：第一章、中道之內容及其意義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EEC05D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21C21B1"/>
    <w:multiLevelType w:val="hybridMultilevel"/>
    <w:tmpl w:val="6F76A194"/>
    <w:lvl w:ilvl="0" w:tplc="AB881F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28E2714"/>
    <w:multiLevelType w:val="hybridMultilevel"/>
    <w:tmpl w:val="5BE240CC"/>
    <w:lvl w:ilvl="0" w:tplc="AB881F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4D750A5"/>
    <w:multiLevelType w:val="hybridMultilevel"/>
    <w:tmpl w:val="2E0E4B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92570CA"/>
    <w:multiLevelType w:val="hybridMultilevel"/>
    <w:tmpl w:val="46884EEC"/>
    <w:lvl w:ilvl="0" w:tplc="AB881F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F097761"/>
    <w:multiLevelType w:val="hybridMultilevel"/>
    <w:tmpl w:val="0B868850"/>
    <w:lvl w:ilvl="0" w:tplc="690C7704">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F333A69"/>
    <w:multiLevelType w:val="hybridMultilevel"/>
    <w:tmpl w:val="7EE480A6"/>
    <w:lvl w:ilvl="0" w:tplc="9710A4D8">
      <w:start w:val="1"/>
      <w:numFmt w:val="ideographLegalTraditional"/>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FDF1B02"/>
    <w:multiLevelType w:val="hybridMultilevel"/>
    <w:tmpl w:val="9328D49A"/>
    <w:lvl w:ilvl="0" w:tplc="AB881F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2A44855"/>
    <w:multiLevelType w:val="hybridMultilevel"/>
    <w:tmpl w:val="6142775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2DD5579"/>
    <w:multiLevelType w:val="hybridMultilevel"/>
    <w:tmpl w:val="837E0B9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6BC6312"/>
    <w:multiLevelType w:val="hybridMultilevel"/>
    <w:tmpl w:val="5BE240CC"/>
    <w:lvl w:ilvl="0" w:tplc="AB881F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8022F34"/>
    <w:multiLevelType w:val="hybridMultilevel"/>
    <w:tmpl w:val="578277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8E37A4C"/>
    <w:multiLevelType w:val="hybridMultilevel"/>
    <w:tmpl w:val="F1EE0040"/>
    <w:lvl w:ilvl="0" w:tplc="AB881F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96D0D7C"/>
    <w:multiLevelType w:val="hybridMultilevel"/>
    <w:tmpl w:val="96AA6D88"/>
    <w:lvl w:ilvl="0" w:tplc="AB881F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B525862"/>
    <w:multiLevelType w:val="hybridMultilevel"/>
    <w:tmpl w:val="F26CB6AA"/>
    <w:lvl w:ilvl="0" w:tplc="04090011">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D9D3F38"/>
    <w:multiLevelType w:val="hybridMultilevel"/>
    <w:tmpl w:val="F72E582E"/>
    <w:lvl w:ilvl="0" w:tplc="AB881F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DDF2CE1"/>
    <w:multiLevelType w:val="hybridMultilevel"/>
    <w:tmpl w:val="650E224C"/>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10205CA"/>
    <w:multiLevelType w:val="hybridMultilevel"/>
    <w:tmpl w:val="9FC4A398"/>
    <w:lvl w:ilvl="0" w:tplc="AB881F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26636B00"/>
    <w:multiLevelType w:val="hybridMultilevel"/>
    <w:tmpl w:val="74626B1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27F47CEC"/>
    <w:multiLevelType w:val="hybridMultilevel"/>
    <w:tmpl w:val="9B72DECC"/>
    <w:lvl w:ilvl="0" w:tplc="AB881F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281C7600"/>
    <w:multiLevelType w:val="hybridMultilevel"/>
    <w:tmpl w:val="7E68F226"/>
    <w:lvl w:ilvl="0" w:tplc="AB881FCC">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44D2A01"/>
    <w:multiLevelType w:val="hybridMultilevel"/>
    <w:tmpl w:val="2A4E4DBE"/>
    <w:lvl w:ilvl="0" w:tplc="AB881F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794625B"/>
    <w:multiLevelType w:val="hybridMultilevel"/>
    <w:tmpl w:val="32E4DE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3A476904"/>
    <w:multiLevelType w:val="hybridMultilevel"/>
    <w:tmpl w:val="3BE04C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3EDB1CF1"/>
    <w:multiLevelType w:val="hybridMultilevel"/>
    <w:tmpl w:val="FF1ECBD0"/>
    <w:lvl w:ilvl="0" w:tplc="690C7704">
      <w:start w:val="1"/>
      <w:numFmt w:val="lowerLetter"/>
      <w:lvlText w:val="%1."/>
      <w:lvlJc w:val="left"/>
      <w:pPr>
        <w:ind w:left="480" w:hanging="480"/>
      </w:pPr>
      <w:rPr>
        <w:rFonts w:hint="eastAsia"/>
      </w:rPr>
    </w:lvl>
    <w:lvl w:ilvl="1" w:tplc="690C7704">
      <w:start w:val="1"/>
      <w:numFmt w:val="lowerLetter"/>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F0A32EA"/>
    <w:multiLevelType w:val="hybridMultilevel"/>
    <w:tmpl w:val="578277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2771103"/>
    <w:multiLevelType w:val="hybridMultilevel"/>
    <w:tmpl w:val="9A9CFFD4"/>
    <w:lvl w:ilvl="0" w:tplc="AB881F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9A3373F"/>
    <w:multiLevelType w:val="hybridMultilevel"/>
    <w:tmpl w:val="46884EEC"/>
    <w:lvl w:ilvl="0" w:tplc="AB881F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A9C01ED"/>
    <w:multiLevelType w:val="hybridMultilevel"/>
    <w:tmpl w:val="41A6FB5E"/>
    <w:lvl w:ilvl="0" w:tplc="AB881F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4C302236"/>
    <w:multiLevelType w:val="hybridMultilevel"/>
    <w:tmpl w:val="135C249C"/>
    <w:lvl w:ilvl="0" w:tplc="EA72A93E">
      <w:start w:val="1"/>
      <w:numFmt w:val="bullet"/>
      <w:lvlText w:val=""/>
      <w:lvlJc w:val="left"/>
      <w:pPr>
        <w:ind w:left="360" w:hanging="360"/>
      </w:pPr>
      <w:rPr>
        <w:rFonts w:ascii="Wingdings" w:hAnsi="Wingdings" w:hint="default"/>
        <w:sz w:val="18"/>
        <w:szCs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74248DF"/>
    <w:multiLevelType w:val="hybridMultilevel"/>
    <w:tmpl w:val="9438C5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7482212"/>
    <w:multiLevelType w:val="hybridMultilevel"/>
    <w:tmpl w:val="9C9C8D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9DA371E"/>
    <w:multiLevelType w:val="hybridMultilevel"/>
    <w:tmpl w:val="9704DED6"/>
    <w:lvl w:ilvl="0" w:tplc="AB881FCC">
      <w:start w:val="1"/>
      <w:numFmt w:val="decimal"/>
      <w:lvlText w:val="(%1)"/>
      <w:lvlJc w:val="left"/>
      <w:pPr>
        <w:ind w:left="480" w:hanging="480"/>
      </w:pPr>
      <w:rPr>
        <w:rFonts w:hint="eastAsia"/>
      </w:rPr>
    </w:lvl>
    <w:lvl w:ilvl="1" w:tplc="690C7704">
      <w:start w:val="1"/>
      <w:numFmt w:val="lowerLetter"/>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CE504BC"/>
    <w:multiLevelType w:val="hybridMultilevel"/>
    <w:tmpl w:val="F5A2DEFA"/>
    <w:lvl w:ilvl="0" w:tplc="0540B5A4">
      <w:start w:val="3"/>
      <w:numFmt w:val="bullet"/>
      <w:lvlText w:val="※"/>
      <w:lvlJc w:val="left"/>
      <w:pPr>
        <w:tabs>
          <w:tab w:val="num" w:pos="480"/>
        </w:tabs>
        <w:ind w:left="480" w:hanging="360"/>
      </w:pPr>
      <w:rPr>
        <w:rFonts w:ascii="新細明體" w:eastAsia="新細明體" w:hAnsi="新細明體" w:cs="Times New Roman" w:hint="eastAsia"/>
      </w:rPr>
    </w:lvl>
    <w:lvl w:ilvl="1" w:tplc="04090003" w:tentative="1">
      <w:start w:val="1"/>
      <w:numFmt w:val="bullet"/>
      <w:lvlText w:val=""/>
      <w:lvlJc w:val="left"/>
      <w:pPr>
        <w:tabs>
          <w:tab w:val="num" w:pos="1080"/>
        </w:tabs>
        <w:ind w:left="1080" w:hanging="480"/>
      </w:pPr>
      <w:rPr>
        <w:rFonts w:ascii="Wingdings" w:hAnsi="Wingdings" w:hint="default"/>
      </w:rPr>
    </w:lvl>
    <w:lvl w:ilvl="2" w:tplc="04090005" w:tentative="1">
      <w:start w:val="1"/>
      <w:numFmt w:val="bullet"/>
      <w:lvlText w:val=""/>
      <w:lvlJc w:val="left"/>
      <w:pPr>
        <w:tabs>
          <w:tab w:val="num" w:pos="1560"/>
        </w:tabs>
        <w:ind w:left="1560" w:hanging="480"/>
      </w:pPr>
      <w:rPr>
        <w:rFonts w:ascii="Wingdings" w:hAnsi="Wingdings" w:hint="default"/>
      </w:rPr>
    </w:lvl>
    <w:lvl w:ilvl="3" w:tplc="04090001" w:tentative="1">
      <w:start w:val="1"/>
      <w:numFmt w:val="bullet"/>
      <w:lvlText w:val=""/>
      <w:lvlJc w:val="left"/>
      <w:pPr>
        <w:tabs>
          <w:tab w:val="num" w:pos="2040"/>
        </w:tabs>
        <w:ind w:left="2040" w:hanging="480"/>
      </w:pPr>
      <w:rPr>
        <w:rFonts w:ascii="Wingdings" w:hAnsi="Wingdings" w:hint="default"/>
      </w:rPr>
    </w:lvl>
    <w:lvl w:ilvl="4" w:tplc="04090003" w:tentative="1">
      <w:start w:val="1"/>
      <w:numFmt w:val="bullet"/>
      <w:lvlText w:val=""/>
      <w:lvlJc w:val="left"/>
      <w:pPr>
        <w:tabs>
          <w:tab w:val="num" w:pos="2520"/>
        </w:tabs>
        <w:ind w:left="2520" w:hanging="480"/>
      </w:pPr>
      <w:rPr>
        <w:rFonts w:ascii="Wingdings" w:hAnsi="Wingdings" w:hint="default"/>
      </w:rPr>
    </w:lvl>
    <w:lvl w:ilvl="5" w:tplc="04090005" w:tentative="1">
      <w:start w:val="1"/>
      <w:numFmt w:val="bullet"/>
      <w:lvlText w:val=""/>
      <w:lvlJc w:val="left"/>
      <w:pPr>
        <w:tabs>
          <w:tab w:val="num" w:pos="3000"/>
        </w:tabs>
        <w:ind w:left="3000" w:hanging="480"/>
      </w:pPr>
      <w:rPr>
        <w:rFonts w:ascii="Wingdings" w:hAnsi="Wingdings" w:hint="default"/>
      </w:rPr>
    </w:lvl>
    <w:lvl w:ilvl="6" w:tplc="04090001" w:tentative="1">
      <w:start w:val="1"/>
      <w:numFmt w:val="bullet"/>
      <w:lvlText w:val=""/>
      <w:lvlJc w:val="left"/>
      <w:pPr>
        <w:tabs>
          <w:tab w:val="num" w:pos="3480"/>
        </w:tabs>
        <w:ind w:left="3480" w:hanging="480"/>
      </w:pPr>
      <w:rPr>
        <w:rFonts w:ascii="Wingdings" w:hAnsi="Wingdings" w:hint="default"/>
      </w:rPr>
    </w:lvl>
    <w:lvl w:ilvl="7" w:tplc="04090003" w:tentative="1">
      <w:start w:val="1"/>
      <w:numFmt w:val="bullet"/>
      <w:lvlText w:val=""/>
      <w:lvlJc w:val="left"/>
      <w:pPr>
        <w:tabs>
          <w:tab w:val="num" w:pos="3960"/>
        </w:tabs>
        <w:ind w:left="3960" w:hanging="480"/>
      </w:pPr>
      <w:rPr>
        <w:rFonts w:ascii="Wingdings" w:hAnsi="Wingdings" w:hint="default"/>
      </w:rPr>
    </w:lvl>
    <w:lvl w:ilvl="8" w:tplc="04090005" w:tentative="1">
      <w:start w:val="1"/>
      <w:numFmt w:val="bullet"/>
      <w:lvlText w:val=""/>
      <w:lvlJc w:val="left"/>
      <w:pPr>
        <w:tabs>
          <w:tab w:val="num" w:pos="4440"/>
        </w:tabs>
        <w:ind w:left="4440" w:hanging="480"/>
      </w:pPr>
      <w:rPr>
        <w:rFonts w:ascii="Wingdings" w:hAnsi="Wingdings" w:hint="default"/>
      </w:rPr>
    </w:lvl>
  </w:abstractNum>
  <w:abstractNum w:abstractNumId="34">
    <w:nsid w:val="5E541759"/>
    <w:multiLevelType w:val="hybridMultilevel"/>
    <w:tmpl w:val="D0BEBF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5EFB0949"/>
    <w:multiLevelType w:val="hybridMultilevel"/>
    <w:tmpl w:val="CA6AC68C"/>
    <w:lvl w:ilvl="0" w:tplc="AB881F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618C096F"/>
    <w:multiLevelType w:val="hybridMultilevel"/>
    <w:tmpl w:val="F2706D3C"/>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63730973"/>
    <w:multiLevelType w:val="hybridMultilevel"/>
    <w:tmpl w:val="86D2B9A2"/>
    <w:lvl w:ilvl="0" w:tplc="AB881F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78061C6"/>
    <w:multiLevelType w:val="hybridMultilevel"/>
    <w:tmpl w:val="5D52A678"/>
    <w:lvl w:ilvl="0" w:tplc="04090011">
      <w:start w:val="1"/>
      <w:numFmt w:val="upp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68F6688E"/>
    <w:multiLevelType w:val="hybridMultilevel"/>
    <w:tmpl w:val="A42E0D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6DF9311E"/>
    <w:multiLevelType w:val="hybridMultilevel"/>
    <w:tmpl w:val="FFF615FC"/>
    <w:lvl w:ilvl="0" w:tplc="AB881FCC">
      <w:start w:val="1"/>
      <w:numFmt w:val="decimal"/>
      <w:lvlText w:val="(%1)"/>
      <w:lvlJc w:val="left"/>
      <w:pPr>
        <w:ind w:left="480" w:hanging="480"/>
      </w:pPr>
      <w:rPr>
        <w:rFonts w:hint="eastAsia"/>
      </w:rPr>
    </w:lvl>
    <w:lvl w:ilvl="1" w:tplc="04090011">
      <w:start w:val="1"/>
      <w:numFmt w:val="upperLetter"/>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3DD2909"/>
    <w:multiLevelType w:val="hybridMultilevel"/>
    <w:tmpl w:val="650E224C"/>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95D318C"/>
    <w:multiLevelType w:val="hybridMultilevel"/>
    <w:tmpl w:val="E3BC59EC"/>
    <w:lvl w:ilvl="0" w:tplc="AB881FC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9836651"/>
    <w:multiLevelType w:val="hybridMultilevel"/>
    <w:tmpl w:val="FF307E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AA44466"/>
    <w:multiLevelType w:val="hybridMultilevel"/>
    <w:tmpl w:val="67B04BAE"/>
    <w:lvl w:ilvl="0" w:tplc="F3C2F684">
      <w:start w:val="1"/>
      <w:numFmt w:val="decimal"/>
      <w:lvlText w:val="%1、"/>
      <w:lvlJc w:val="left"/>
      <w:pPr>
        <w:tabs>
          <w:tab w:val="num" w:pos="644"/>
        </w:tabs>
        <w:ind w:left="644" w:hanging="360"/>
      </w:pPr>
      <w:rPr>
        <w:rFonts w:hint="eastAsia"/>
      </w:rPr>
    </w:lvl>
    <w:lvl w:ilvl="1" w:tplc="AD94AF30">
      <w:start w:val="2"/>
      <w:numFmt w:val="taiwaneseCountingThousand"/>
      <w:lvlText w:val="%2、"/>
      <w:lvlJc w:val="left"/>
      <w:pPr>
        <w:tabs>
          <w:tab w:val="num" w:pos="1244"/>
        </w:tabs>
        <w:ind w:left="1244" w:hanging="480"/>
      </w:pPr>
      <w:rPr>
        <w:rFonts w:hint="default"/>
      </w:r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45">
    <w:nsid w:val="7EE20030"/>
    <w:multiLevelType w:val="hybridMultilevel"/>
    <w:tmpl w:val="9D288E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3"/>
  </w:num>
  <w:num w:numId="3">
    <w:abstractNumId w:val="30"/>
  </w:num>
  <w:num w:numId="4">
    <w:abstractNumId w:val="39"/>
  </w:num>
  <w:num w:numId="5">
    <w:abstractNumId w:val="43"/>
  </w:num>
  <w:num w:numId="6">
    <w:abstractNumId w:val="45"/>
  </w:num>
  <w:num w:numId="7">
    <w:abstractNumId w:val="22"/>
  </w:num>
  <w:num w:numId="8">
    <w:abstractNumId w:val="9"/>
  </w:num>
  <w:num w:numId="9">
    <w:abstractNumId w:val="31"/>
  </w:num>
  <w:num w:numId="10">
    <w:abstractNumId w:val="34"/>
  </w:num>
  <w:num w:numId="11">
    <w:abstractNumId w:val="25"/>
  </w:num>
  <w:num w:numId="12">
    <w:abstractNumId w:val="11"/>
  </w:num>
  <w:num w:numId="13">
    <w:abstractNumId w:val="8"/>
  </w:num>
  <w:num w:numId="14">
    <w:abstractNumId w:val="24"/>
  </w:num>
  <w:num w:numId="15">
    <w:abstractNumId w:val="5"/>
  </w:num>
  <w:num w:numId="16">
    <w:abstractNumId w:val="36"/>
  </w:num>
  <w:num w:numId="17">
    <w:abstractNumId w:val="41"/>
  </w:num>
  <w:num w:numId="18">
    <w:abstractNumId w:val="16"/>
  </w:num>
  <w:num w:numId="19">
    <w:abstractNumId w:val="10"/>
  </w:num>
  <w:num w:numId="20">
    <w:abstractNumId w:val="2"/>
  </w:num>
  <w:num w:numId="21">
    <w:abstractNumId w:val="28"/>
  </w:num>
  <w:num w:numId="22">
    <w:abstractNumId w:val="19"/>
  </w:num>
  <w:num w:numId="23">
    <w:abstractNumId w:val="1"/>
  </w:num>
  <w:num w:numId="24">
    <w:abstractNumId w:val="20"/>
  </w:num>
  <w:num w:numId="25">
    <w:abstractNumId w:val="32"/>
  </w:num>
  <w:num w:numId="26">
    <w:abstractNumId w:val="40"/>
  </w:num>
  <w:num w:numId="27">
    <w:abstractNumId w:val="35"/>
  </w:num>
  <w:num w:numId="28">
    <w:abstractNumId w:val="12"/>
  </w:num>
  <w:num w:numId="29">
    <w:abstractNumId w:val="7"/>
  </w:num>
  <w:num w:numId="30">
    <w:abstractNumId w:val="17"/>
  </w:num>
  <w:num w:numId="31">
    <w:abstractNumId w:val="26"/>
  </w:num>
  <w:num w:numId="32">
    <w:abstractNumId w:val="15"/>
  </w:num>
  <w:num w:numId="33">
    <w:abstractNumId w:val="21"/>
  </w:num>
  <w:num w:numId="34">
    <w:abstractNumId w:val="37"/>
  </w:num>
  <w:num w:numId="35">
    <w:abstractNumId w:val="42"/>
  </w:num>
  <w:num w:numId="36">
    <w:abstractNumId w:val="13"/>
  </w:num>
  <w:num w:numId="37">
    <w:abstractNumId w:val="27"/>
  </w:num>
  <w:num w:numId="38">
    <w:abstractNumId w:val="4"/>
  </w:num>
  <w:num w:numId="39">
    <w:abstractNumId w:val="14"/>
  </w:num>
  <w:num w:numId="40">
    <w:abstractNumId w:val="38"/>
  </w:num>
  <w:num w:numId="41">
    <w:abstractNumId w:val="18"/>
  </w:num>
  <w:num w:numId="42">
    <w:abstractNumId w:val="44"/>
  </w:num>
  <w:num w:numId="43">
    <w:abstractNumId w:val="6"/>
  </w:num>
  <w:num w:numId="44">
    <w:abstractNumId w:val="29"/>
  </w:num>
  <w:num w:numId="45">
    <w:abstractNumId w:val="33"/>
  </w:num>
  <w:num w:numId="4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bordersDoNotSurroundHeader/>
  <w:bordersDoNotSurroundFooter/>
  <w:hideSpellingErrors/>
  <w:hideGrammaticalErrors/>
  <w:stylePaneFormatFilter w:val="1028"/>
  <w:defaultTabStop w:val="480"/>
  <w:evenAndOddHeaders/>
  <w:drawingGridHorizontalSpacing w:val="120"/>
  <w:displayHorizontalDrawingGridEvery w:val="0"/>
  <w:displayVerticalDrawingGridEvery w:val="2"/>
  <w:characterSpacingControl w:val="compressPunctuation"/>
  <w:hdrShapeDefaults>
    <o:shapedefaults v:ext="edit" spidmax="2209">
      <o:colormenu v:ext="edit" fillcolor="none" strokecolor="none"/>
    </o:shapedefaults>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069BA"/>
    <w:rsid w:val="00000815"/>
    <w:rsid w:val="00003707"/>
    <w:rsid w:val="000042E8"/>
    <w:rsid w:val="000058DD"/>
    <w:rsid w:val="000069BA"/>
    <w:rsid w:val="00006AE0"/>
    <w:rsid w:val="00006BC3"/>
    <w:rsid w:val="0001157A"/>
    <w:rsid w:val="000121B2"/>
    <w:rsid w:val="00013576"/>
    <w:rsid w:val="00013D4A"/>
    <w:rsid w:val="0001460A"/>
    <w:rsid w:val="00014CD1"/>
    <w:rsid w:val="00015F93"/>
    <w:rsid w:val="0001605A"/>
    <w:rsid w:val="00016D77"/>
    <w:rsid w:val="0002043A"/>
    <w:rsid w:val="00022150"/>
    <w:rsid w:val="00023F2E"/>
    <w:rsid w:val="0002784C"/>
    <w:rsid w:val="000315E7"/>
    <w:rsid w:val="000335FE"/>
    <w:rsid w:val="00033D46"/>
    <w:rsid w:val="00033F40"/>
    <w:rsid w:val="00035559"/>
    <w:rsid w:val="00036530"/>
    <w:rsid w:val="00036D97"/>
    <w:rsid w:val="000404C7"/>
    <w:rsid w:val="0004710C"/>
    <w:rsid w:val="0004799D"/>
    <w:rsid w:val="00047D54"/>
    <w:rsid w:val="0005165E"/>
    <w:rsid w:val="00051FE6"/>
    <w:rsid w:val="00055185"/>
    <w:rsid w:val="00056F8A"/>
    <w:rsid w:val="00060427"/>
    <w:rsid w:val="0006238F"/>
    <w:rsid w:val="000636FD"/>
    <w:rsid w:val="00064CCA"/>
    <w:rsid w:val="00064E24"/>
    <w:rsid w:val="00064EFB"/>
    <w:rsid w:val="00072626"/>
    <w:rsid w:val="00073104"/>
    <w:rsid w:val="00074F13"/>
    <w:rsid w:val="00077D95"/>
    <w:rsid w:val="00082068"/>
    <w:rsid w:val="00082745"/>
    <w:rsid w:val="0008330E"/>
    <w:rsid w:val="00084C06"/>
    <w:rsid w:val="00087A25"/>
    <w:rsid w:val="0009154E"/>
    <w:rsid w:val="00091862"/>
    <w:rsid w:val="00092AC6"/>
    <w:rsid w:val="00092D11"/>
    <w:rsid w:val="000941DD"/>
    <w:rsid w:val="00094C4B"/>
    <w:rsid w:val="00095AC4"/>
    <w:rsid w:val="00095C32"/>
    <w:rsid w:val="00095C66"/>
    <w:rsid w:val="000A2A88"/>
    <w:rsid w:val="000A3EAD"/>
    <w:rsid w:val="000A622D"/>
    <w:rsid w:val="000B0B20"/>
    <w:rsid w:val="000B2910"/>
    <w:rsid w:val="000B2DF6"/>
    <w:rsid w:val="000B3136"/>
    <w:rsid w:val="000B324E"/>
    <w:rsid w:val="000B3E66"/>
    <w:rsid w:val="000B414E"/>
    <w:rsid w:val="000B4568"/>
    <w:rsid w:val="000B79AD"/>
    <w:rsid w:val="000C0D46"/>
    <w:rsid w:val="000C1108"/>
    <w:rsid w:val="000C504E"/>
    <w:rsid w:val="000C6752"/>
    <w:rsid w:val="000C6D3F"/>
    <w:rsid w:val="000C6D5D"/>
    <w:rsid w:val="000C7246"/>
    <w:rsid w:val="000C79F9"/>
    <w:rsid w:val="000D23DF"/>
    <w:rsid w:val="000D2ED9"/>
    <w:rsid w:val="000D3597"/>
    <w:rsid w:val="000D4CAA"/>
    <w:rsid w:val="000D539E"/>
    <w:rsid w:val="000D58AB"/>
    <w:rsid w:val="000D5DA4"/>
    <w:rsid w:val="000D6ABE"/>
    <w:rsid w:val="000E59D5"/>
    <w:rsid w:val="000E633B"/>
    <w:rsid w:val="000E658E"/>
    <w:rsid w:val="000E6EA9"/>
    <w:rsid w:val="000E6FB9"/>
    <w:rsid w:val="000F03B1"/>
    <w:rsid w:val="000F0B41"/>
    <w:rsid w:val="000F1A24"/>
    <w:rsid w:val="000F22B6"/>
    <w:rsid w:val="000F4051"/>
    <w:rsid w:val="000F41FF"/>
    <w:rsid w:val="000F4FCA"/>
    <w:rsid w:val="000F6419"/>
    <w:rsid w:val="000F644D"/>
    <w:rsid w:val="000F739D"/>
    <w:rsid w:val="000F7709"/>
    <w:rsid w:val="000F7EF7"/>
    <w:rsid w:val="0010084D"/>
    <w:rsid w:val="00100AC0"/>
    <w:rsid w:val="00101655"/>
    <w:rsid w:val="00101A08"/>
    <w:rsid w:val="00101A54"/>
    <w:rsid w:val="00103772"/>
    <w:rsid w:val="00103982"/>
    <w:rsid w:val="00103C85"/>
    <w:rsid w:val="00103E46"/>
    <w:rsid w:val="00104134"/>
    <w:rsid w:val="00107F55"/>
    <w:rsid w:val="00110E14"/>
    <w:rsid w:val="00111D54"/>
    <w:rsid w:val="00113284"/>
    <w:rsid w:val="001155D7"/>
    <w:rsid w:val="00115686"/>
    <w:rsid w:val="00115CAD"/>
    <w:rsid w:val="00116FFE"/>
    <w:rsid w:val="00123067"/>
    <w:rsid w:val="001257C1"/>
    <w:rsid w:val="00127BF8"/>
    <w:rsid w:val="0013033A"/>
    <w:rsid w:val="00130A2E"/>
    <w:rsid w:val="00130F58"/>
    <w:rsid w:val="00132293"/>
    <w:rsid w:val="0013394A"/>
    <w:rsid w:val="001347CA"/>
    <w:rsid w:val="00135889"/>
    <w:rsid w:val="00135B1D"/>
    <w:rsid w:val="00136B8C"/>
    <w:rsid w:val="00137151"/>
    <w:rsid w:val="00137E31"/>
    <w:rsid w:val="001400D5"/>
    <w:rsid w:val="001405EC"/>
    <w:rsid w:val="00140F1C"/>
    <w:rsid w:val="00142BBC"/>
    <w:rsid w:val="00142DED"/>
    <w:rsid w:val="0014580D"/>
    <w:rsid w:val="001462E9"/>
    <w:rsid w:val="00146D8E"/>
    <w:rsid w:val="00146FAE"/>
    <w:rsid w:val="00150582"/>
    <w:rsid w:val="00150D1C"/>
    <w:rsid w:val="00151EE5"/>
    <w:rsid w:val="00152ED0"/>
    <w:rsid w:val="00154B2F"/>
    <w:rsid w:val="001561A8"/>
    <w:rsid w:val="00156902"/>
    <w:rsid w:val="00157EF6"/>
    <w:rsid w:val="00161864"/>
    <w:rsid w:val="00161885"/>
    <w:rsid w:val="00162D56"/>
    <w:rsid w:val="00171B48"/>
    <w:rsid w:val="00171D11"/>
    <w:rsid w:val="00172C3B"/>
    <w:rsid w:val="00177298"/>
    <w:rsid w:val="0018014A"/>
    <w:rsid w:val="001805D2"/>
    <w:rsid w:val="00182142"/>
    <w:rsid w:val="00183F26"/>
    <w:rsid w:val="00185C61"/>
    <w:rsid w:val="0018605C"/>
    <w:rsid w:val="001862D9"/>
    <w:rsid w:val="00186A21"/>
    <w:rsid w:val="00187F85"/>
    <w:rsid w:val="001955B3"/>
    <w:rsid w:val="001968AB"/>
    <w:rsid w:val="001A14D1"/>
    <w:rsid w:val="001A28D9"/>
    <w:rsid w:val="001A2EAB"/>
    <w:rsid w:val="001A3E12"/>
    <w:rsid w:val="001A4123"/>
    <w:rsid w:val="001A50E1"/>
    <w:rsid w:val="001A58C2"/>
    <w:rsid w:val="001A5A2B"/>
    <w:rsid w:val="001A6CA1"/>
    <w:rsid w:val="001A7783"/>
    <w:rsid w:val="001A77EF"/>
    <w:rsid w:val="001B0906"/>
    <w:rsid w:val="001B3758"/>
    <w:rsid w:val="001B3B3B"/>
    <w:rsid w:val="001B3DEA"/>
    <w:rsid w:val="001B64AB"/>
    <w:rsid w:val="001B6B43"/>
    <w:rsid w:val="001B7722"/>
    <w:rsid w:val="001B79F2"/>
    <w:rsid w:val="001B7AAB"/>
    <w:rsid w:val="001C14E0"/>
    <w:rsid w:val="001C2E6E"/>
    <w:rsid w:val="001C34B0"/>
    <w:rsid w:val="001C4111"/>
    <w:rsid w:val="001C505A"/>
    <w:rsid w:val="001C51E7"/>
    <w:rsid w:val="001C60CE"/>
    <w:rsid w:val="001C7A7B"/>
    <w:rsid w:val="001D02A3"/>
    <w:rsid w:val="001D5F17"/>
    <w:rsid w:val="001E00A5"/>
    <w:rsid w:val="001E097A"/>
    <w:rsid w:val="001E0CB3"/>
    <w:rsid w:val="001E557B"/>
    <w:rsid w:val="001E65EB"/>
    <w:rsid w:val="001E727F"/>
    <w:rsid w:val="001F02D6"/>
    <w:rsid w:val="001F0FDE"/>
    <w:rsid w:val="001F4193"/>
    <w:rsid w:val="001F538C"/>
    <w:rsid w:val="001F62A7"/>
    <w:rsid w:val="00200518"/>
    <w:rsid w:val="00200985"/>
    <w:rsid w:val="00200AF9"/>
    <w:rsid w:val="00201B0F"/>
    <w:rsid w:val="00201FD3"/>
    <w:rsid w:val="0020351A"/>
    <w:rsid w:val="0020695A"/>
    <w:rsid w:val="002108D6"/>
    <w:rsid w:val="00211ADE"/>
    <w:rsid w:val="00211DC3"/>
    <w:rsid w:val="00212687"/>
    <w:rsid w:val="00212B5C"/>
    <w:rsid w:val="00212BD2"/>
    <w:rsid w:val="00212D57"/>
    <w:rsid w:val="002135E2"/>
    <w:rsid w:val="0021474C"/>
    <w:rsid w:val="002153D9"/>
    <w:rsid w:val="002162B3"/>
    <w:rsid w:val="00216329"/>
    <w:rsid w:val="002169AE"/>
    <w:rsid w:val="0021710F"/>
    <w:rsid w:val="00217AF6"/>
    <w:rsid w:val="00221674"/>
    <w:rsid w:val="0022322A"/>
    <w:rsid w:val="0022377A"/>
    <w:rsid w:val="00224D48"/>
    <w:rsid w:val="00225C01"/>
    <w:rsid w:val="00226B01"/>
    <w:rsid w:val="00227D35"/>
    <w:rsid w:val="00227E13"/>
    <w:rsid w:val="00231187"/>
    <w:rsid w:val="00231509"/>
    <w:rsid w:val="0023249F"/>
    <w:rsid w:val="00232932"/>
    <w:rsid w:val="00233C2D"/>
    <w:rsid w:val="002349FE"/>
    <w:rsid w:val="00234D5A"/>
    <w:rsid w:val="0023652F"/>
    <w:rsid w:val="00236BD5"/>
    <w:rsid w:val="002374E3"/>
    <w:rsid w:val="00240764"/>
    <w:rsid w:val="00241944"/>
    <w:rsid w:val="00241E6A"/>
    <w:rsid w:val="00241F2D"/>
    <w:rsid w:val="00242943"/>
    <w:rsid w:val="00243EE3"/>
    <w:rsid w:val="00245634"/>
    <w:rsid w:val="00247238"/>
    <w:rsid w:val="002473CE"/>
    <w:rsid w:val="002502B9"/>
    <w:rsid w:val="00251D70"/>
    <w:rsid w:val="002523CD"/>
    <w:rsid w:val="00253131"/>
    <w:rsid w:val="00254F5D"/>
    <w:rsid w:val="00255D87"/>
    <w:rsid w:val="00256510"/>
    <w:rsid w:val="002576DF"/>
    <w:rsid w:val="0026141A"/>
    <w:rsid w:val="00262DF3"/>
    <w:rsid w:val="00263591"/>
    <w:rsid w:val="00263FC0"/>
    <w:rsid w:val="00264061"/>
    <w:rsid w:val="00264458"/>
    <w:rsid w:val="00267054"/>
    <w:rsid w:val="00267A4E"/>
    <w:rsid w:val="00271C30"/>
    <w:rsid w:val="00272837"/>
    <w:rsid w:val="002763BB"/>
    <w:rsid w:val="002773AD"/>
    <w:rsid w:val="002803E9"/>
    <w:rsid w:val="002818D5"/>
    <w:rsid w:val="00281CF5"/>
    <w:rsid w:val="00283852"/>
    <w:rsid w:val="00283CA8"/>
    <w:rsid w:val="002854BE"/>
    <w:rsid w:val="00285C75"/>
    <w:rsid w:val="00286BA9"/>
    <w:rsid w:val="00286DF2"/>
    <w:rsid w:val="00287E83"/>
    <w:rsid w:val="0029007C"/>
    <w:rsid w:val="00290D69"/>
    <w:rsid w:val="00296217"/>
    <w:rsid w:val="002967BD"/>
    <w:rsid w:val="002968BA"/>
    <w:rsid w:val="002A2365"/>
    <w:rsid w:val="002A2C74"/>
    <w:rsid w:val="002A4270"/>
    <w:rsid w:val="002A6B8B"/>
    <w:rsid w:val="002B0576"/>
    <w:rsid w:val="002B12D4"/>
    <w:rsid w:val="002B22C0"/>
    <w:rsid w:val="002B26CA"/>
    <w:rsid w:val="002B3446"/>
    <w:rsid w:val="002B4073"/>
    <w:rsid w:val="002B636F"/>
    <w:rsid w:val="002B682F"/>
    <w:rsid w:val="002B6CE7"/>
    <w:rsid w:val="002C06F9"/>
    <w:rsid w:val="002C652E"/>
    <w:rsid w:val="002C66FC"/>
    <w:rsid w:val="002C67FE"/>
    <w:rsid w:val="002D018C"/>
    <w:rsid w:val="002D1291"/>
    <w:rsid w:val="002D311F"/>
    <w:rsid w:val="002D37D6"/>
    <w:rsid w:val="002D47F7"/>
    <w:rsid w:val="002D4E41"/>
    <w:rsid w:val="002D6BA0"/>
    <w:rsid w:val="002D7ED6"/>
    <w:rsid w:val="002E1B1C"/>
    <w:rsid w:val="002E1B88"/>
    <w:rsid w:val="002E469B"/>
    <w:rsid w:val="002E49EF"/>
    <w:rsid w:val="002E4C17"/>
    <w:rsid w:val="002E5DD4"/>
    <w:rsid w:val="002E6997"/>
    <w:rsid w:val="002E7C52"/>
    <w:rsid w:val="002F0A28"/>
    <w:rsid w:val="002F0F4A"/>
    <w:rsid w:val="002F1DF6"/>
    <w:rsid w:val="002F38A3"/>
    <w:rsid w:val="002F57EE"/>
    <w:rsid w:val="002F5A8C"/>
    <w:rsid w:val="002F742C"/>
    <w:rsid w:val="002F7F17"/>
    <w:rsid w:val="00300F3D"/>
    <w:rsid w:val="00303413"/>
    <w:rsid w:val="00304DF5"/>
    <w:rsid w:val="00305CDE"/>
    <w:rsid w:val="00305FCE"/>
    <w:rsid w:val="00307647"/>
    <w:rsid w:val="00307791"/>
    <w:rsid w:val="00310DBE"/>
    <w:rsid w:val="00311C8C"/>
    <w:rsid w:val="003143FC"/>
    <w:rsid w:val="00320F7B"/>
    <w:rsid w:val="003218DE"/>
    <w:rsid w:val="00324187"/>
    <w:rsid w:val="00326045"/>
    <w:rsid w:val="00327DF4"/>
    <w:rsid w:val="003304ED"/>
    <w:rsid w:val="0033223F"/>
    <w:rsid w:val="003332C9"/>
    <w:rsid w:val="00333A2E"/>
    <w:rsid w:val="003358C4"/>
    <w:rsid w:val="00335C9D"/>
    <w:rsid w:val="0033704C"/>
    <w:rsid w:val="0033756F"/>
    <w:rsid w:val="00340CB3"/>
    <w:rsid w:val="003435E5"/>
    <w:rsid w:val="00345AE8"/>
    <w:rsid w:val="00346DDA"/>
    <w:rsid w:val="0034773A"/>
    <w:rsid w:val="003509BB"/>
    <w:rsid w:val="00351B3E"/>
    <w:rsid w:val="00352919"/>
    <w:rsid w:val="00353F87"/>
    <w:rsid w:val="00353FA8"/>
    <w:rsid w:val="00354612"/>
    <w:rsid w:val="00355735"/>
    <w:rsid w:val="003563F0"/>
    <w:rsid w:val="00357F1D"/>
    <w:rsid w:val="0036335A"/>
    <w:rsid w:val="00364E2E"/>
    <w:rsid w:val="00370AFC"/>
    <w:rsid w:val="0037111B"/>
    <w:rsid w:val="00373A07"/>
    <w:rsid w:val="0037463D"/>
    <w:rsid w:val="00375D10"/>
    <w:rsid w:val="00376D5C"/>
    <w:rsid w:val="00377A4A"/>
    <w:rsid w:val="00380176"/>
    <w:rsid w:val="00381B3D"/>
    <w:rsid w:val="003846DC"/>
    <w:rsid w:val="00384A62"/>
    <w:rsid w:val="00384F48"/>
    <w:rsid w:val="00387554"/>
    <w:rsid w:val="00387750"/>
    <w:rsid w:val="00387CC6"/>
    <w:rsid w:val="00387E83"/>
    <w:rsid w:val="00392032"/>
    <w:rsid w:val="00393A41"/>
    <w:rsid w:val="003944FC"/>
    <w:rsid w:val="00395532"/>
    <w:rsid w:val="00396868"/>
    <w:rsid w:val="003A24DD"/>
    <w:rsid w:val="003A3115"/>
    <w:rsid w:val="003A40C2"/>
    <w:rsid w:val="003A4B1B"/>
    <w:rsid w:val="003A5C8E"/>
    <w:rsid w:val="003A625B"/>
    <w:rsid w:val="003A671B"/>
    <w:rsid w:val="003A6DF1"/>
    <w:rsid w:val="003B053C"/>
    <w:rsid w:val="003B0C83"/>
    <w:rsid w:val="003B1862"/>
    <w:rsid w:val="003B2D56"/>
    <w:rsid w:val="003B4351"/>
    <w:rsid w:val="003B4FD0"/>
    <w:rsid w:val="003B505A"/>
    <w:rsid w:val="003B54E5"/>
    <w:rsid w:val="003B553C"/>
    <w:rsid w:val="003B68A0"/>
    <w:rsid w:val="003B754E"/>
    <w:rsid w:val="003B7900"/>
    <w:rsid w:val="003C0F43"/>
    <w:rsid w:val="003C0F53"/>
    <w:rsid w:val="003C13D8"/>
    <w:rsid w:val="003C18E0"/>
    <w:rsid w:val="003C265C"/>
    <w:rsid w:val="003C3DC6"/>
    <w:rsid w:val="003C4E52"/>
    <w:rsid w:val="003C51BA"/>
    <w:rsid w:val="003D05BE"/>
    <w:rsid w:val="003D1013"/>
    <w:rsid w:val="003D3023"/>
    <w:rsid w:val="003D38D9"/>
    <w:rsid w:val="003D52EF"/>
    <w:rsid w:val="003D5556"/>
    <w:rsid w:val="003D705C"/>
    <w:rsid w:val="003D797F"/>
    <w:rsid w:val="003E00AE"/>
    <w:rsid w:val="003E1F00"/>
    <w:rsid w:val="003E266F"/>
    <w:rsid w:val="003E2678"/>
    <w:rsid w:val="003E370B"/>
    <w:rsid w:val="003E45F4"/>
    <w:rsid w:val="003E6EAB"/>
    <w:rsid w:val="003F0E13"/>
    <w:rsid w:val="003F3158"/>
    <w:rsid w:val="003F39AC"/>
    <w:rsid w:val="003F3D70"/>
    <w:rsid w:val="003F409F"/>
    <w:rsid w:val="003F5A24"/>
    <w:rsid w:val="003F6578"/>
    <w:rsid w:val="003F72AB"/>
    <w:rsid w:val="00400D3A"/>
    <w:rsid w:val="0040381A"/>
    <w:rsid w:val="00404E90"/>
    <w:rsid w:val="004065F8"/>
    <w:rsid w:val="00406896"/>
    <w:rsid w:val="004070BE"/>
    <w:rsid w:val="0041064E"/>
    <w:rsid w:val="00410699"/>
    <w:rsid w:val="00411260"/>
    <w:rsid w:val="00411C14"/>
    <w:rsid w:val="004135CE"/>
    <w:rsid w:val="004142AA"/>
    <w:rsid w:val="004168C8"/>
    <w:rsid w:val="00416BE2"/>
    <w:rsid w:val="0042460F"/>
    <w:rsid w:val="00425209"/>
    <w:rsid w:val="00425C49"/>
    <w:rsid w:val="00425E2B"/>
    <w:rsid w:val="00425F91"/>
    <w:rsid w:val="00426C3B"/>
    <w:rsid w:val="004276AF"/>
    <w:rsid w:val="004300F8"/>
    <w:rsid w:val="00430CD7"/>
    <w:rsid w:val="00431088"/>
    <w:rsid w:val="00431CA6"/>
    <w:rsid w:val="00433807"/>
    <w:rsid w:val="00434424"/>
    <w:rsid w:val="00434B19"/>
    <w:rsid w:val="0043641F"/>
    <w:rsid w:val="004407A4"/>
    <w:rsid w:val="00441BD8"/>
    <w:rsid w:val="00442AD0"/>
    <w:rsid w:val="00442EEA"/>
    <w:rsid w:val="0044346D"/>
    <w:rsid w:val="00445C90"/>
    <w:rsid w:val="00446140"/>
    <w:rsid w:val="0044684B"/>
    <w:rsid w:val="00446A5D"/>
    <w:rsid w:val="00447276"/>
    <w:rsid w:val="004472CE"/>
    <w:rsid w:val="00447507"/>
    <w:rsid w:val="004502B7"/>
    <w:rsid w:val="00451A51"/>
    <w:rsid w:val="00452177"/>
    <w:rsid w:val="0045355A"/>
    <w:rsid w:val="00454A65"/>
    <w:rsid w:val="00455CA0"/>
    <w:rsid w:val="00455E54"/>
    <w:rsid w:val="004567A6"/>
    <w:rsid w:val="00456916"/>
    <w:rsid w:val="00457389"/>
    <w:rsid w:val="00457D03"/>
    <w:rsid w:val="00463713"/>
    <w:rsid w:val="00463CFF"/>
    <w:rsid w:val="00465D2E"/>
    <w:rsid w:val="0046646C"/>
    <w:rsid w:val="00466F61"/>
    <w:rsid w:val="0047032E"/>
    <w:rsid w:val="004711CF"/>
    <w:rsid w:val="004714BC"/>
    <w:rsid w:val="00471F2A"/>
    <w:rsid w:val="004729A2"/>
    <w:rsid w:val="00473148"/>
    <w:rsid w:val="0047382C"/>
    <w:rsid w:val="00475063"/>
    <w:rsid w:val="00475448"/>
    <w:rsid w:val="00475820"/>
    <w:rsid w:val="004811BD"/>
    <w:rsid w:val="00483833"/>
    <w:rsid w:val="004849F8"/>
    <w:rsid w:val="00486033"/>
    <w:rsid w:val="00487274"/>
    <w:rsid w:val="004874B4"/>
    <w:rsid w:val="0049006B"/>
    <w:rsid w:val="004922B7"/>
    <w:rsid w:val="004924AD"/>
    <w:rsid w:val="004948ED"/>
    <w:rsid w:val="00496354"/>
    <w:rsid w:val="0049647D"/>
    <w:rsid w:val="004A154C"/>
    <w:rsid w:val="004A351E"/>
    <w:rsid w:val="004A3AF1"/>
    <w:rsid w:val="004A46AA"/>
    <w:rsid w:val="004A47A5"/>
    <w:rsid w:val="004A4FEB"/>
    <w:rsid w:val="004A5061"/>
    <w:rsid w:val="004A59C3"/>
    <w:rsid w:val="004A60FD"/>
    <w:rsid w:val="004A6E3A"/>
    <w:rsid w:val="004A77AD"/>
    <w:rsid w:val="004B1D27"/>
    <w:rsid w:val="004B1E7A"/>
    <w:rsid w:val="004B2A3A"/>
    <w:rsid w:val="004B2FE1"/>
    <w:rsid w:val="004B3E4C"/>
    <w:rsid w:val="004B40BB"/>
    <w:rsid w:val="004B5001"/>
    <w:rsid w:val="004B5D7E"/>
    <w:rsid w:val="004C01DC"/>
    <w:rsid w:val="004C344E"/>
    <w:rsid w:val="004C3AC4"/>
    <w:rsid w:val="004C5370"/>
    <w:rsid w:val="004C7944"/>
    <w:rsid w:val="004D0978"/>
    <w:rsid w:val="004D138A"/>
    <w:rsid w:val="004D1904"/>
    <w:rsid w:val="004D1EBC"/>
    <w:rsid w:val="004D33C6"/>
    <w:rsid w:val="004D3533"/>
    <w:rsid w:val="004D3551"/>
    <w:rsid w:val="004D39BD"/>
    <w:rsid w:val="004D3A65"/>
    <w:rsid w:val="004D4750"/>
    <w:rsid w:val="004D4F5F"/>
    <w:rsid w:val="004D797E"/>
    <w:rsid w:val="004E0B7B"/>
    <w:rsid w:val="004E0E49"/>
    <w:rsid w:val="004E1634"/>
    <w:rsid w:val="004E4644"/>
    <w:rsid w:val="004E5620"/>
    <w:rsid w:val="004E674D"/>
    <w:rsid w:val="004E6FE7"/>
    <w:rsid w:val="004E7A70"/>
    <w:rsid w:val="004E7AFC"/>
    <w:rsid w:val="004F1374"/>
    <w:rsid w:val="004F2D04"/>
    <w:rsid w:val="004F3CD4"/>
    <w:rsid w:val="004F4714"/>
    <w:rsid w:val="004F5C30"/>
    <w:rsid w:val="004F625A"/>
    <w:rsid w:val="004F708A"/>
    <w:rsid w:val="0050323E"/>
    <w:rsid w:val="0050521E"/>
    <w:rsid w:val="005060F1"/>
    <w:rsid w:val="0050649B"/>
    <w:rsid w:val="00510079"/>
    <w:rsid w:val="00510B7A"/>
    <w:rsid w:val="0051254E"/>
    <w:rsid w:val="005140EF"/>
    <w:rsid w:val="00516DB9"/>
    <w:rsid w:val="00516E0A"/>
    <w:rsid w:val="00517334"/>
    <w:rsid w:val="00520B7E"/>
    <w:rsid w:val="00520E44"/>
    <w:rsid w:val="00522CEA"/>
    <w:rsid w:val="00523A55"/>
    <w:rsid w:val="00523F45"/>
    <w:rsid w:val="00524EE2"/>
    <w:rsid w:val="00525308"/>
    <w:rsid w:val="005254DC"/>
    <w:rsid w:val="005255B7"/>
    <w:rsid w:val="00525782"/>
    <w:rsid w:val="00525B5E"/>
    <w:rsid w:val="00525F38"/>
    <w:rsid w:val="0052603A"/>
    <w:rsid w:val="00526708"/>
    <w:rsid w:val="005314C4"/>
    <w:rsid w:val="0053206C"/>
    <w:rsid w:val="005321A9"/>
    <w:rsid w:val="0053352C"/>
    <w:rsid w:val="005340F5"/>
    <w:rsid w:val="005344C7"/>
    <w:rsid w:val="005374D8"/>
    <w:rsid w:val="0053751C"/>
    <w:rsid w:val="00537B91"/>
    <w:rsid w:val="00537BAB"/>
    <w:rsid w:val="005426B2"/>
    <w:rsid w:val="005444A1"/>
    <w:rsid w:val="00544A0A"/>
    <w:rsid w:val="005468A1"/>
    <w:rsid w:val="00551DF8"/>
    <w:rsid w:val="00551EC1"/>
    <w:rsid w:val="005545B6"/>
    <w:rsid w:val="00554CB7"/>
    <w:rsid w:val="00554D45"/>
    <w:rsid w:val="00555879"/>
    <w:rsid w:val="00555942"/>
    <w:rsid w:val="0055739A"/>
    <w:rsid w:val="00557422"/>
    <w:rsid w:val="005600E2"/>
    <w:rsid w:val="0056097F"/>
    <w:rsid w:val="00560FFD"/>
    <w:rsid w:val="0056141D"/>
    <w:rsid w:val="00561E64"/>
    <w:rsid w:val="00562AE7"/>
    <w:rsid w:val="00562F7C"/>
    <w:rsid w:val="00564C83"/>
    <w:rsid w:val="00567ED6"/>
    <w:rsid w:val="005730B1"/>
    <w:rsid w:val="00574412"/>
    <w:rsid w:val="00575816"/>
    <w:rsid w:val="00577E95"/>
    <w:rsid w:val="005819A3"/>
    <w:rsid w:val="00584F74"/>
    <w:rsid w:val="00586961"/>
    <w:rsid w:val="0059101C"/>
    <w:rsid w:val="005914E3"/>
    <w:rsid w:val="005945B0"/>
    <w:rsid w:val="00594C6F"/>
    <w:rsid w:val="005A0901"/>
    <w:rsid w:val="005A1764"/>
    <w:rsid w:val="005A669B"/>
    <w:rsid w:val="005B2C5D"/>
    <w:rsid w:val="005B547D"/>
    <w:rsid w:val="005B73C4"/>
    <w:rsid w:val="005C0D01"/>
    <w:rsid w:val="005C2FCA"/>
    <w:rsid w:val="005C4911"/>
    <w:rsid w:val="005C5C1D"/>
    <w:rsid w:val="005C68C9"/>
    <w:rsid w:val="005D18A6"/>
    <w:rsid w:val="005D1B67"/>
    <w:rsid w:val="005D2ABD"/>
    <w:rsid w:val="005D397E"/>
    <w:rsid w:val="005D5506"/>
    <w:rsid w:val="005D76A6"/>
    <w:rsid w:val="005E0670"/>
    <w:rsid w:val="005E4F0B"/>
    <w:rsid w:val="005E5595"/>
    <w:rsid w:val="005E6D60"/>
    <w:rsid w:val="005F0C74"/>
    <w:rsid w:val="005F2EDD"/>
    <w:rsid w:val="005F2F48"/>
    <w:rsid w:val="005F505A"/>
    <w:rsid w:val="005F5BAF"/>
    <w:rsid w:val="005F6C56"/>
    <w:rsid w:val="006006A8"/>
    <w:rsid w:val="006011CF"/>
    <w:rsid w:val="00604872"/>
    <w:rsid w:val="00605159"/>
    <w:rsid w:val="00611122"/>
    <w:rsid w:val="00611A05"/>
    <w:rsid w:val="00611CEC"/>
    <w:rsid w:val="00614D97"/>
    <w:rsid w:val="0061526D"/>
    <w:rsid w:val="00615847"/>
    <w:rsid w:val="0061649C"/>
    <w:rsid w:val="00616B02"/>
    <w:rsid w:val="0061776B"/>
    <w:rsid w:val="00620230"/>
    <w:rsid w:val="00622F11"/>
    <w:rsid w:val="00623175"/>
    <w:rsid w:val="00624AE8"/>
    <w:rsid w:val="006256A5"/>
    <w:rsid w:val="00626CEA"/>
    <w:rsid w:val="0063020A"/>
    <w:rsid w:val="00631761"/>
    <w:rsid w:val="00633296"/>
    <w:rsid w:val="006345D2"/>
    <w:rsid w:val="00634F9E"/>
    <w:rsid w:val="006371B5"/>
    <w:rsid w:val="0063778C"/>
    <w:rsid w:val="00642780"/>
    <w:rsid w:val="00642953"/>
    <w:rsid w:val="00643A7E"/>
    <w:rsid w:val="00643D0C"/>
    <w:rsid w:val="00644245"/>
    <w:rsid w:val="0064504C"/>
    <w:rsid w:val="00646477"/>
    <w:rsid w:val="0064650A"/>
    <w:rsid w:val="006478FD"/>
    <w:rsid w:val="00647C13"/>
    <w:rsid w:val="00650543"/>
    <w:rsid w:val="00650AE8"/>
    <w:rsid w:val="0065294B"/>
    <w:rsid w:val="00652F75"/>
    <w:rsid w:val="0065356D"/>
    <w:rsid w:val="00654C39"/>
    <w:rsid w:val="006569BA"/>
    <w:rsid w:val="00656CEC"/>
    <w:rsid w:val="00656FE1"/>
    <w:rsid w:val="00657C32"/>
    <w:rsid w:val="0066093B"/>
    <w:rsid w:val="006609F8"/>
    <w:rsid w:val="00660E8A"/>
    <w:rsid w:val="00664D31"/>
    <w:rsid w:val="006662C4"/>
    <w:rsid w:val="00670EFF"/>
    <w:rsid w:val="006719E3"/>
    <w:rsid w:val="00675994"/>
    <w:rsid w:val="00676405"/>
    <w:rsid w:val="006773F3"/>
    <w:rsid w:val="0068000D"/>
    <w:rsid w:val="006804E7"/>
    <w:rsid w:val="00681645"/>
    <w:rsid w:val="00681A85"/>
    <w:rsid w:val="006841C0"/>
    <w:rsid w:val="0068581D"/>
    <w:rsid w:val="00686C1C"/>
    <w:rsid w:val="00687B03"/>
    <w:rsid w:val="00692C17"/>
    <w:rsid w:val="006967EE"/>
    <w:rsid w:val="00696C2F"/>
    <w:rsid w:val="00697809"/>
    <w:rsid w:val="006A1198"/>
    <w:rsid w:val="006A170A"/>
    <w:rsid w:val="006A1BF7"/>
    <w:rsid w:val="006A3192"/>
    <w:rsid w:val="006A32F5"/>
    <w:rsid w:val="006A3E56"/>
    <w:rsid w:val="006A46EC"/>
    <w:rsid w:val="006A4EB0"/>
    <w:rsid w:val="006A4F54"/>
    <w:rsid w:val="006A5A6C"/>
    <w:rsid w:val="006A6D3C"/>
    <w:rsid w:val="006A7D00"/>
    <w:rsid w:val="006B315B"/>
    <w:rsid w:val="006B3827"/>
    <w:rsid w:val="006B3B05"/>
    <w:rsid w:val="006B4AEE"/>
    <w:rsid w:val="006B5CE1"/>
    <w:rsid w:val="006B6453"/>
    <w:rsid w:val="006C1805"/>
    <w:rsid w:val="006C2A3C"/>
    <w:rsid w:val="006C3304"/>
    <w:rsid w:val="006C38D2"/>
    <w:rsid w:val="006C462F"/>
    <w:rsid w:val="006C4E94"/>
    <w:rsid w:val="006C5093"/>
    <w:rsid w:val="006C6052"/>
    <w:rsid w:val="006D0171"/>
    <w:rsid w:val="006D32D8"/>
    <w:rsid w:val="006D3C45"/>
    <w:rsid w:val="006D42A7"/>
    <w:rsid w:val="006D4DA1"/>
    <w:rsid w:val="006D4E10"/>
    <w:rsid w:val="006D547A"/>
    <w:rsid w:val="006D5621"/>
    <w:rsid w:val="006D6560"/>
    <w:rsid w:val="006D78FA"/>
    <w:rsid w:val="006D7B07"/>
    <w:rsid w:val="006D7B37"/>
    <w:rsid w:val="006E1482"/>
    <w:rsid w:val="006E15B6"/>
    <w:rsid w:val="006E2FD4"/>
    <w:rsid w:val="006E34F2"/>
    <w:rsid w:val="006E4AFB"/>
    <w:rsid w:val="006E67C3"/>
    <w:rsid w:val="006F16DD"/>
    <w:rsid w:val="006F4A09"/>
    <w:rsid w:val="006F4BF4"/>
    <w:rsid w:val="006F5958"/>
    <w:rsid w:val="00701CA0"/>
    <w:rsid w:val="007021F3"/>
    <w:rsid w:val="00702351"/>
    <w:rsid w:val="00702ADC"/>
    <w:rsid w:val="00704A1C"/>
    <w:rsid w:val="00706771"/>
    <w:rsid w:val="00706798"/>
    <w:rsid w:val="007073D2"/>
    <w:rsid w:val="00707B3C"/>
    <w:rsid w:val="00711293"/>
    <w:rsid w:val="00711656"/>
    <w:rsid w:val="007121C0"/>
    <w:rsid w:val="007128F9"/>
    <w:rsid w:val="00713D2A"/>
    <w:rsid w:val="00714CA7"/>
    <w:rsid w:val="00715E97"/>
    <w:rsid w:val="00716940"/>
    <w:rsid w:val="00717FD5"/>
    <w:rsid w:val="00720756"/>
    <w:rsid w:val="00723DBA"/>
    <w:rsid w:val="00725658"/>
    <w:rsid w:val="00727363"/>
    <w:rsid w:val="00727740"/>
    <w:rsid w:val="0072799D"/>
    <w:rsid w:val="00731733"/>
    <w:rsid w:val="00731C99"/>
    <w:rsid w:val="0073230F"/>
    <w:rsid w:val="007328AC"/>
    <w:rsid w:val="00733CB1"/>
    <w:rsid w:val="0073450B"/>
    <w:rsid w:val="007350A0"/>
    <w:rsid w:val="00735A93"/>
    <w:rsid w:val="0074058B"/>
    <w:rsid w:val="007416A3"/>
    <w:rsid w:val="007434A3"/>
    <w:rsid w:val="0074384C"/>
    <w:rsid w:val="00743853"/>
    <w:rsid w:val="00744F77"/>
    <w:rsid w:val="007450FC"/>
    <w:rsid w:val="00745F34"/>
    <w:rsid w:val="007463FC"/>
    <w:rsid w:val="00747A06"/>
    <w:rsid w:val="0075071B"/>
    <w:rsid w:val="00750E2D"/>
    <w:rsid w:val="00750F03"/>
    <w:rsid w:val="0075570F"/>
    <w:rsid w:val="00755935"/>
    <w:rsid w:val="00756796"/>
    <w:rsid w:val="007578E5"/>
    <w:rsid w:val="0076184F"/>
    <w:rsid w:val="00761EF3"/>
    <w:rsid w:val="00762FDB"/>
    <w:rsid w:val="007639DD"/>
    <w:rsid w:val="00764192"/>
    <w:rsid w:val="0076463E"/>
    <w:rsid w:val="007657C1"/>
    <w:rsid w:val="00766BCA"/>
    <w:rsid w:val="0077258A"/>
    <w:rsid w:val="00773A8C"/>
    <w:rsid w:val="00774EAD"/>
    <w:rsid w:val="00774F73"/>
    <w:rsid w:val="007762C6"/>
    <w:rsid w:val="007775D2"/>
    <w:rsid w:val="0078093C"/>
    <w:rsid w:val="00781012"/>
    <w:rsid w:val="0078103C"/>
    <w:rsid w:val="00781724"/>
    <w:rsid w:val="00781DC0"/>
    <w:rsid w:val="00782F76"/>
    <w:rsid w:val="007839EB"/>
    <w:rsid w:val="00783B6C"/>
    <w:rsid w:val="007847B9"/>
    <w:rsid w:val="0078755B"/>
    <w:rsid w:val="007900BF"/>
    <w:rsid w:val="007912DF"/>
    <w:rsid w:val="007917D5"/>
    <w:rsid w:val="00791A3F"/>
    <w:rsid w:val="007926F2"/>
    <w:rsid w:val="00792A2A"/>
    <w:rsid w:val="00792CDB"/>
    <w:rsid w:val="00792D3B"/>
    <w:rsid w:val="00793E15"/>
    <w:rsid w:val="00794CF4"/>
    <w:rsid w:val="00795309"/>
    <w:rsid w:val="007954E1"/>
    <w:rsid w:val="00795E8D"/>
    <w:rsid w:val="00796423"/>
    <w:rsid w:val="00796E8F"/>
    <w:rsid w:val="00796FD9"/>
    <w:rsid w:val="007A078C"/>
    <w:rsid w:val="007A1B87"/>
    <w:rsid w:val="007A233A"/>
    <w:rsid w:val="007A250A"/>
    <w:rsid w:val="007A2FAB"/>
    <w:rsid w:val="007A4432"/>
    <w:rsid w:val="007A486C"/>
    <w:rsid w:val="007A5AE8"/>
    <w:rsid w:val="007A6E3C"/>
    <w:rsid w:val="007A78DE"/>
    <w:rsid w:val="007A7970"/>
    <w:rsid w:val="007B0351"/>
    <w:rsid w:val="007B290F"/>
    <w:rsid w:val="007B57B8"/>
    <w:rsid w:val="007B7369"/>
    <w:rsid w:val="007B772E"/>
    <w:rsid w:val="007C01C8"/>
    <w:rsid w:val="007C097C"/>
    <w:rsid w:val="007C0BE3"/>
    <w:rsid w:val="007C0FB1"/>
    <w:rsid w:val="007C1AAE"/>
    <w:rsid w:val="007C2DEF"/>
    <w:rsid w:val="007C39E5"/>
    <w:rsid w:val="007C48C2"/>
    <w:rsid w:val="007C72AD"/>
    <w:rsid w:val="007C7FDC"/>
    <w:rsid w:val="007D02DC"/>
    <w:rsid w:val="007D36FE"/>
    <w:rsid w:val="007D37F9"/>
    <w:rsid w:val="007D464F"/>
    <w:rsid w:val="007D5B9A"/>
    <w:rsid w:val="007D65DC"/>
    <w:rsid w:val="007D6727"/>
    <w:rsid w:val="007D7347"/>
    <w:rsid w:val="007D7D59"/>
    <w:rsid w:val="007E07CE"/>
    <w:rsid w:val="007E0983"/>
    <w:rsid w:val="007E1A40"/>
    <w:rsid w:val="007E2773"/>
    <w:rsid w:val="007E6E68"/>
    <w:rsid w:val="007F1004"/>
    <w:rsid w:val="007F4E22"/>
    <w:rsid w:val="007F5D01"/>
    <w:rsid w:val="007F6969"/>
    <w:rsid w:val="007F6AC8"/>
    <w:rsid w:val="008026CC"/>
    <w:rsid w:val="00802F72"/>
    <w:rsid w:val="00807094"/>
    <w:rsid w:val="00807355"/>
    <w:rsid w:val="00807D20"/>
    <w:rsid w:val="00807FA6"/>
    <w:rsid w:val="008103AC"/>
    <w:rsid w:val="008111A9"/>
    <w:rsid w:val="00811E1B"/>
    <w:rsid w:val="00812788"/>
    <w:rsid w:val="008144B4"/>
    <w:rsid w:val="0081605C"/>
    <w:rsid w:val="008168C3"/>
    <w:rsid w:val="008217DC"/>
    <w:rsid w:val="0082225E"/>
    <w:rsid w:val="008244C6"/>
    <w:rsid w:val="00825849"/>
    <w:rsid w:val="00833B7D"/>
    <w:rsid w:val="00833C2F"/>
    <w:rsid w:val="008360A5"/>
    <w:rsid w:val="008411C4"/>
    <w:rsid w:val="00842748"/>
    <w:rsid w:val="008438F9"/>
    <w:rsid w:val="0084401B"/>
    <w:rsid w:val="00844158"/>
    <w:rsid w:val="008447E9"/>
    <w:rsid w:val="008473AB"/>
    <w:rsid w:val="00850DF6"/>
    <w:rsid w:val="00850F36"/>
    <w:rsid w:val="00856E64"/>
    <w:rsid w:val="008655F7"/>
    <w:rsid w:val="008705B7"/>
    <w:rsid w:val="00870DA6"/>
    <w:rsid w:val="00872176"/>
    <w:rsid w:val="0087619A"/>
    <w:rsid w:val="0087687B"/>
    <w:rsid w:val="008778D1"/>
    <w:rsid w:val="00881731"/>
    <w:rsid w:val="00884BA1"/>
    <w:rsid w:val="00884EBC"/>
    <w:rsid w:val="008867EF"/>
    <w:rsid w:val="008868C3"/>
    <w:rsid w:val="00887BA9"/>
    <w:rsid w:val="00887DA1"/>
    <w:rsid w:val="00891011"/>
    <w:rsid w:val="0089106D"/>
    <w:rsid w:val="00892557"/>
    <w:rsid w:val="008951DF"/>
    <w:rsid w:val="00895409"/>
    <w:rsid w:val="0089562F"/>
    <w:rsid w:val="00895A8F"/>
    <w:rsid w:val="008A10F4"/>
    <w:rsid w:val="008A1A07"/>
    <w:rsid w:val="008A7444"/>
    <w:rsid w:val="008B1EC5"/>
    <w:rsid w:val="008B2D9E"/>
    <w:rsid w:val="008B4B04"/>
    <w:rsid w:val="008B537D"/>
    <w:rsid w:val="008B6299"/>
    <w:rsid w:val="008B77FC"/>
    <w:rsid w:val="008C130F"/>
    <w:rsid w:val="008C239A"/>
    <w:rsid w:val="008C45C5"/>
    <w:rsid w:val="008C51FD"/>
    <w:rsid w:val="008C557E"/>
    <w:rsid w:val="008C6117"/>
    <w:rsid w:val="008D02D2"/>
    <w:rsid w:val="008D13E8"/>
    <w:rsid w:val="008D44BE"/>
    <w:rsid w:val="008D49D1"/>
    <w:rsid w:val="008D652C"/>
    <w:rsid w:val="008D7A51"/>
    <w:rsid w:val="008D7D31"/>
    <w:rsid w:val="008E123E"/>
    <w:rsid w:val="008E1E6F"/>
    <w:rsid w:val="008E26BC"/>
    <w:rsid w:val="008E2BBC"/>
    <w:rsid w:val="008E3351"/>
    <w:rsid w:val="008E3E5C"/>
    <w:rsid w:val="008E4805"/>
    <w:rsid w:val="008E4FB5"/>
    <w:rsid w:val="008E68AA"/>
    <w:rsid w:val="008E7697"/>
    <w:rsid w:val="008E7DC9"/>
    <w:rsid w:val="008F071E"/>
    <w:rsid w:val="008F0A7A"/>
    <w:rsid w:val="008F199C"/>
    <w:rsid w:val="008F1D79"/>
    <w:rsid w:val="008F5909"/>
    <w:rsid w:val="008F7786"/>
    <w:rsid w:val="009015C6"/>
    <w:rsid w:val="00902F70"/>
    <w:rsid w:val="00903175"/>
    <w:rsid w:val="00906CFF"/>
    <w:rsid w:val="00910200"/>
    <w:rsid w:val="0091242D"/>
    <w:rsid w:val="009138B4"/>
    <w:rsid w:val="009153E6"/>
    <w:rsid w:val="00915E1F"/>
    <w:rsid w:val="009160B5"/>
    <w:rsid w:val="00916C06"/>
    <w:rsid w:val="00920882"/>
    <w:rsid w:val="00921237"/>
    <w:rsid w:val="009228D5"/>
    <w:rsid w:val="009237E2"/>
    <w:rsid w:val="00923FB1"/>
    <w:rsid w:val="00924221"/>
    <w:rsid w:val="00925F0B"/>
    <w:rsid w:val="00926F79"/>
    <w:rsid w:val="00932468"/>
    <w:rsid w:val="00935755"/>
    <w:rsid w:val="009364F5"/>
    <w:rsid w:val="00936B2B"/>
    <w:rsid w:val="00941929"/>
    <w:rsid w:val="00943A9B"/>
    <w:rsid w:val="009445BA"/>
    <w:rsid w:val="009454DF"/>
    <w:rsid w:val="009461CE"/>
    <w:rsid w:val="00950D29"/>
    <w:rsid w:val="00952A37"/>
    <w:rsid w:val="00956FC9"/>
    <w:rsid w:val="009622E5"/>
    <w:rsid w:val="00962BE2"/>
    <w:rsid w:val="00962F3F"/>
    <w:rsid w:val="009642E1"/>
    <w:rsid w:val="009658C3"/>
    <w:rsid w:val="00971292"/>
    <w:rsid w:val="00972ED4"/>
    <w:rsid w:val="009730A1"/>
    <w:rsid w:val="00973758"/>
    <w:rsid w:val="00974230"/>
    <w:rsid w:val="0097461B"/>
    <w:rsid w:val="00974659"/>
    <w:rsid w:val="00974773"/>
    <w:rsid w:val="00976074"/>
    <w:rsid w:val="00976850"/>
    <w:rsid w:val="00980035"/>
    <w:rsid w:val="00980B75"/>
    <w:rsid w:val="009812DD"/>
    <w:rsid w:val="0098185C"/>
    <w:rsid w:val="00982990"/>
    <w:rsid w:val="00983B2B"/>
    <w:rsid w:val="00983F16"/>
    <w:rsid w:val="00985F8E"/>
    <w:rsid w:val="00986125"/>
    <w:rsid w:val="00986A8D"/>
    <w:rsid w:val="0098751B"/>
    <w:rsid w:val="00987EE3"/>
    <w:rsid w:val="009914C0"/>
    <w:rsid w:val="00991D43"/>
    <w:rsid w:val="0099317B"/>
    <w:rsid w:val="00993586"/>
    <w:rsid w:val="00993C01"/>
    <w:rsid w:val="009942FD"/>
    <w:rsid w:val="0099579E"/>
    <w:rsid w:val="00995F89"/>
    <w:rsid w:val="00997AB7"/>
    <w:rsid w:val="00997CB7"/>
    <w:rsid w:val="009A0718"/>
    <w:rsid w:val="009A34C1"/>
    <w:rsid w:val="009A478C"/>
    <w:rsid w:val="009A53CA"/>
    <w:rsid w:val="009A6144"/>
    <w:rsid w:val="009A73C8"/>
    <w:rsid w:val="009A79F4"/>
    <w:rsid w:val="009B2993"/>
    <w:rsid w:val="009B2FC7"/>
    <w:rsid w:val="009B3979"/>
    <w:rsid w:val="009B468F"/>
    <w:rsid w:val="009B4F64"/>
    <w:rsid w:val="009B5935"/>
    <w:rsid w:val="009B65F0"/>
    <w:rsid w:val="009B709F"/>
    <w:rsid w:val="009C0685"/>
    <w:rsid w:val="009C17C3"/>
    <w:rsid w:val="009C2EC4"/>
    <w:rsid w:val="009C49F0"/>
    <w:rsid w:val="009C6241"/>
    <w:rsid w:val="009C6FE2"/>
    <w:rsid w:val="009D0A5E"/>
    <w:rsid w:val="009D3297"/>
    <w:rsid w:val="009D344E"/>
    <w:rsid w:val="009D3C9D"/>
    <w:rsid w:val="009D3F77"/>
    <w:rsid w:val="009D72EA"/>
    <w:rsid w:val="009E0A5A"/>
    <w:rsid w:val="009E1E55"/>
    <w:rsid w:val="009E30A1"/>
    <w:rsid w:val="009E3BC9"/>
    <w:rsid w:val="009E5F51"/>
    <w:rsid w:val="009E6F2E"/>
    <w:rsid w:val="009F69A9"/>
    <w:rsid w:val="009F707C"/>
    <w:rsid w:val="009F76A4"/>
    <w:rsid w:val="009F7E53"/>
    <w:rsid w:val="00A00626"/>
    <w:rsid w:val="00A00C5F"/>
    <w:rsid w:val="00A01390"/>
    <w:rsid w:val="00A02779"/>
    <w:rsid w:val="00A035C6"/>
    <w:rsid w:val="00A04018"/>
    <w:rsid w:val="00A0443D"/>
    <w:rsid w:val="00A064D5"/>
    <w:rsid w:val="00A0682C"/>
    <w:rsid w:val="00A06E2A"/>
    <w:rsid w:val="00A106F6"/>
    <w:rsid w:val="00A1080D"/>
    <w:rsid w:val="00A1271C"/>
    <w:rsid w:val="00A1428D"/>
    <w:rsid w:val="00A1520F"/>
    <w:rsid w:val="00A20480"/>
    <w:rsid w:val="00A20C55"/>
    <w:rsid w:val="00A21D0E"/>
    <w:rsid w:val="00A23157"/>
    <w:rsid w:val="00A244C5"/>
    <w:rsid w:val="00A258B1"/>
    <w:rsid w:val="00A25A24"/>
    <w:rsid w:val="00A26DA8"/>
    <w:rsid w:val="00A27095"/>
    <w:rsid w:val="00A27117"/>
    <w:rsid w:val="00A2738B"/>
    <w:rsid w:val="00A275C0"/>
    <w:rsid w:val="00A27A76"/>
    <w:rsid w:val="00A304CD"/>
    <w:rsid w:val="00A31B0F"/>
    <w:rsid w:val="00A32EE9"/>
    <w:rsid w:val="00A3357A"/>
    <w:rsid w:val="00A340D2"/>
    <w:rsid w:val="00A3779F"/>
    <w:rsid w:val="00A42315"/>
    <w:rsid w:val="00A42B78"/>
    <w:rsid w:val="00A431FE"/>
    <w:rsid w:val="00A43E10"/>
    <w:rsid w:val="00A43FBD"/>
    <w:rsid w:val="00A45B7F"/>
    <w:rsid w:val="00A46E04"/>
    <w:rsid w:val="00A4702C"/>
    <w:rsid w:val="00A477BF"/>
    <w:rsid w:val="00A47E1A"/>
    <w:rsid w:val="00A53EE9"/>
    <w:rsid w:val="00A5460F"/>
    <w:rsid w:val="00A55807"/>
    <w:rsid w:val="00A567BF"/>
    <w:rsid w:val="00A576CE"/>
    <w:rsid w:val="00A6163F"/>
    <w:rsid w:val="00A621CF"/>
    <w:rsid w:val="00A6274B"/>
    <w:rsid w:val="00A636BE"/>
    <w:rsid w:val="00A63E1B"/>
    <w:rsid w:val="00A640FC"/>
    <w:rsid w:val="00A655CF"/>
    <w:rsid w:val="00A65C2A"/>
    <w:rsid w:val="00A66756"/>
    <w:rsid w:val="00A66E14"/>
    <w:rsid w:val="00A72789"/>
    <w:rsid w:val="00A72F46"/>
    <w:rsid w:val="00A731D5"/>
    <w:rsid w:val="00A73CA0"/>
    <w:rsid w:val="00A75AFB"/>
    <w:rsid w:val="00A76609"/>
    <w:rsid w:val="00A76642"/>
    <w:rsid w:val="00A81B17"/>
    <w:rsid w:val="00A82733"/>
    <w:rsid w:val="00A846C3"/>
    <w:rsid w:val="00A87E9B"/>
    <w:rsid w:val="00A87EFE"/>
    <w:rsid w:val="00A90023"/>
    <w:rsid w:val="00A9047D"/>
    <w:rsid w:val="00A90B4A"/>
    <w:rsid w:val="00A91DFB"/>
    <w:rsid w:val="00A95F24"/>
    <w:rsid w:val="00A96193"/>
    <w:rsid w:val="00A9704C"/>
    <w:rsid w:val="00A97DD1"/>
    <w:rsid w:val="00AA120F"/>
    <w:rsid w:val="00AA15E7"/>
    <w:rsid w:val="00AA40AC"/>
    <w:rsid w:val="00AA422E"/>
    <w:rsid w:val="00AA4A0E"/>
    <w:rsid w:val="00AA598B"/>
    <w:rsid w:val="00AA602B"/>
    <w:rsid w:val="00AA67D6"/>
    <w:rsid w:val="00AA7AE1"/>
    <w:rsid w:val="00AA7EEC"/>
    <w:rsid w:val="00AB3361"/>
    <w:rsid w:val="00AB5352"/>
    <w:rsid w:val="00AB5C7A"/>
    <w:rsid w:val="00AB5DB4"/>
    <w:rsid w:val="00AC0462"/>
    <w:rsid w:val="00AC1C38"/>
    <w:rsid w:val="00AC3168"/>
    <w:rsid w:val="00AC3486"/>
    <w:rsid w:val="00AC4A28"/>
    <w:rsid w:val="00AC570F"/>
    <w:rsid w:val="00AC7C8B"/>
    <w:rsid w:val="00AD0C81"/>
    <w:rsid w:val="00AD14BF"/>
    <w:rsid w:val="00AD19B5"/>
    <w:rsid w:val="00AD3964"/>
    <w:rsid w:val="00AD5976"/>
    <w:rsid w:val="00AD5E79"/>
    <w:rsid w:val="00AD67D3"/>
    <w:rsid w:val="00AE2274"/>
    <w:rsid w:val="00AE2CBC"/>
    <w:rsid w:val="00AE2FFE"/>
    <w:rsid w:val="00AE3920"/>
    <w:rsid w:val="00AE3E90"/>
    <w:rsid w:val="00AE41C1"/>
    <w:rsid w:val="00AE47A5"/>
    <w:rsid w:val="00AE6593"/>
    <w:rsid w:val="00AE73E0"/>
    <w:rsid w:val="00AF027E"/>
    <w:rsid w:val="00AF06F1"/>
    <w:rsid w:val="00AF0EEA"/>
    <w:rsid w:val="00AF16E3"/>
    <w:rsid w:val="00AF1E0E"/>
    <w:rsid w:val="00AF4452"/>
    <w:rsid w:val="00AF4492"/>
    <w:rsid w:val="00AF450B"/>
    <w:rsid w:val="00AF73ED"/>
    <w:rsid w:val="00B00C56"/>
    <w:rsid w:val="00B011C4"/>
    <w:rsid w:val="00B024A0"/>
    <w:rsid w:val="00B02A18"/>
    <w:rsid w:val="00B03883"/>
    <w:rsid w:val="00B03BF3"/>
    <w:rsid w:val="00B03EF9"/>
    <w:rsid w:val="00B0523E"/>
    <w:rsid w:val="00B05600"/>
    <w:rsid w:val="00B05672"/>
    <w:rsid w:val="00B05767"/>
    <w:rsid w:val="00B05934"/>
    <w:rsid w:val="00B06F16"/>
    <w:rsid w:val="00B07717"/>
    <w:rsid w:val="00B10403"/>
    <w:rsid w:val="00B123AE"/>
    <w:rsid w:val="00B127DB"/>
    <w:rsid w:val="00B16A72"/>
    <w:rsid w:val="00B17647"/>
    <w:rsid w:val="00B215CF"/>
    <w:rsid w:val="00B21909"/>
    <w:rsid w:val="00B21EBA"/>
    <w:rsid w:val="00B23570"/>
    <w:rsid w:val="00B244C7"/>
    <w:rsid w:val="00B24ABD"/>
    <w:rsid w:val="00B24F33"/>
    <w:rsid w:val="00B25250"/>
    <w:rsid w:val="00B261C7"/>
    <w:rsid w:val="00B26486"/>
    <w:rsid w:val="00B33762"/>
    <w:rsid w:val="00B338E5"/>
    <w:rsid w:val="00B33BB9"/>
    <w:rsid w:val="00B33F54"/>
    <w:rsid w:val="00B34AB3"/>
    <w:rsid w:val="00B35CD8"/>
    <w:rsid w:val="00B36DD9"/>
    <w:rsid w:val="00B4249C"/>
    <w:rsid w:val="00B45A48"/>
    <w:rsid w:val="00B47F0F"/>
    <w:rsid w:val="00B500BD"/>
    <w:rsid w:val="00B505BD"/>
    <w:rsid w:val="00B5073E"/>
    <w:rsid w:val="00B50D80"/>
    <w:rsid w:val="00B52350"/>
    <w:rsid w:val="00B5316E"/>
    <w:rsid w:val="00B553D1"/>
    <w:rsid w:val="00B5563D"/>
    <w:rsid w:val="00B55A97"/>
    <w:rsid w:val="00B56864"/>
    <w:rsid w:val="00B57343"/>
    <w:rsid w:val="00B606B5"/>
    <w:rsid w:val="00B6071A"/>
    <w:rsid w:val="00B6218E"/>
    <w:rsid w:val="00B62633"/>
    <w:rsid w:val="00B629D5"/>
    <w:rsid w:val="00B62F1C"/>
    <w:rsid w:val="00B63731"/>
    <w:rsid w:val="00B65052"/>
    <w:rsid w:val="00B653AD"/>
    <w:rsid w:val="00B660D2"/>
    <w:rsid w:val="00B702D6"/>
    <w:rsid w:val="00B711F7"/>
    <w:rsid w:val="00B74007"/>
    <w:rsid w:val="00B76D7F"/>
    <w:rsid w:val="00B77A8E"/>
    <w:rsid w:val="00B8416E"/>
    <w:rsid w:val="00B844FE"/>
    <w:rsid w:val="00B85F1D"/>
    <w:rsid w:val="00B86852"/>
    <w:rsid w:val="00B871C8"/>
    <w:rsid w:val="00B87DD2"/>
    <w:rsid w:val="00B931AD"/>
    <w:rsid w:val="00B93A97"/>
    <w:rsid w:val="00B96255"/>
    <w:rsid w:val="00B964FC"/>
    <w:rsid w:val="00B97255"/>
    <w:rsid w:val="00BA12F5"/>
    <w:rsid w:val="00BA3856"/>
    <w:rsid w:val="00BA4FA6"/>
    <w:rsid w:val="00BB10BA"/>
    <w:rsid w:val="00BB193F"/>
    <w:rsid w:val="00BB2EA6"/>
    <w:rsid w:val="00BB51DA"/>
    <w:rsid w:val="00BB63F0"/>
    <w:rsid w:val="00BB660C"/>
    <w:rsid w:val="00BB6F88"/>
    <w:rsid w:val="00BB7100"/>
    <w:rsid w:val="00BC15C0"/>
    <w:rsid w:val="00BC2660"/>
    <w:rsid w:val="00BC3106"/>
    <w:rsid w:val="00BC315D"/>
    <w:rsid w:val="00BC39D3"/>
    <w:rsid w:val="00BC3C83"/>
    <w:rsid w:val="00BC524E"/>
    <w:rsid w:val="00BC5E25"/>
    <w:rsid w:val="00BC7376"/>
    <w:rsid w:val="00BD1EDF"/>
    <w:rsid w:val="00BD2886"/>
    <w:rsid w:val="00BD2B54"/>
    <w:rsid w:val="00BD627A"/>
    <w:rsid w:val="00BE0426"/>
    <w:rsid w:val="00BE4100"/>
    <w:rsid w:val="00BE4237"/>
    <w:rsid w:val="00BE4844"/>
    <w:rsid w:val="00BE5638"/>
    <w:rsid w:val="00BF0738"/>
    <w:rsid w:val="00BF3C08"/>
    <w:rsid w:val="00BF4209"/>
    <w:rsid w:val="00BF6A13"/>
    <w:rsid w:val="00C01F12"/>
    <w:rsid w:val="00C0247D"/>
    <w:rsid w:val="00C027FD"/>
    <w:rsid w:val="00C05E1C"/>
    <w:rsid w:val="00C06F8B"/>
    <w:rsid w:val="00C07447"/>
    <w:rsid w:val="00C10A03"/>
    <w:rsid w:val="00C10A63"/>
    <w:rsid w:val="00C11EC9"/>
    <w:rsid w:val="00C1289A"/>
    <w:rsid w:val="00C12A1B"/>
    <w:rsid w:val="00C12BA0"/>
    <w:rsid w:val="00C12C9C"/>
    <w:rsid w:val="00C1310A"/>
    <w:rsid w:val="00C15B35"/>
    <w:rsid w:val="00C161CA"/>
    <w:rsid w:val="00C179F0"/>
    <w:rsid w:val="00C17B13"/>
    <w:rsid w:val="00C2007F"/>
    <w:rsid w:val="00C20628"/>
    <w:rsid w:val="00C21620"/>
    <w:rsid w:val="00C24405"/>
    <w:rsid w:val="00C249AB"/>
    <w:rsid w:val="00C24EAB"/>
    <w:rsid w:val="00C271DC"/>
    <w:rsid w:val="00C2765D"/>
    <w:rsid w:val="00C309AC"/>
    <w:rsid w:val="00C30BBB"/>
    <w:rsid w:val="00C30EB2"/>
    <w:rsid w:val="00C31BFC"/>
    <w:rsid w:val="00C33A7C"/>
    <w:rsid w:val="00C33B2B"/>
    <w:rsid w:val="00C35B01"/>
    <w:rsid w:val="00C367D3"/>
    <w:rsid w:val="00C36A92"/>
    <w:rsid w:val="00C36CFD"/>
    <w:rsid w:val="00C41F21"/>
    <w:rsid w:val="00C42277"/>
    <w:rsid w:val="00C43F1F"/>
    <w:rsid w:val="00C44045"/>
    <w:rsid w:val="00C44452"/>
    <w:rsid w:val="00C445A6"/>
    <w:rsid w:val="00C456E0"/>
    <w:rsid w:val="00C5089E"/>
    <w:rsid w:val="00C50B24"/>
    <w:rsid w:val="00C5164C"/>
    <w:rsid w:val="00C51692"/>
    <w:rsid w:val="00C51F6B"/>
    <w:rsid w:val="00C54DA0"/>
    <w:rsid w:val="00C5613E"/>
    <w:rsid w:val="00C5631D"/>
    <w:rsid w:val="00C568CA"/>
    <w:rsid w:val="00C6117F"/>
    <w:rsid w:val="00C6119C"/>
    <w:rsid w:val="00C6174E"/>
    <w:rsid w:val="00C63102"/>
    <w:rsid w:val="00C63317"/>
    <w:rsid w:val="00C67255"/>
    <w:rsid w:val="00C701A7"/>
    <w:rsid w:val="00C70F17"/>
    <w:rsid w:val="00C73CA4"/>
    <w:rsid w:val="00C74FC0"/>
    <w:rsid w:val="00C75251"/>
    <w:rsid w:val="00C755CA"/>
    <w:rsid w:val="00C75D11"/>
    <w:rsid w:val="00C75D91"/>
    <w:rsid w:val="00C76710"/>
    <w:rsid w:val="00C77DD6"/>
    <w:rsid w:val="00C803C9"/>
    <w:rsid w:val="00C80821"/>
    <w:rsid w:val="00C80BF3"/>
    <w:rsid w:val="00C81A71"/>
    <w:rsid w:val="00C81F23"/>
    <w:rsid w:val="00C831BF"/>
    <w:rsid w:val="00C83630"/>
    <w:rsid w:val="00C8381B"/>
    <w:rsid w:val="00C84C6A"/>
    <w:rsid w:val="00C8595E"/>
    <w:rsid w:val="00C90151"/>
    <w:rsid w:val="00C917F3"/>
    <w:rsid w:val="00C924E8"/>
    <w:rsid w:val="00C95D8F"/>
    <w:rsid w:val="00C970A6"/>
    <w:rsid w:val="00CA1256"/>
    <w:rsid w:val="00CA7285"/>
    <w:rsid w:val="00CB198A"/>
    <w:rsid w:val="00CB48C4"/>
    <w:rsid w:val="00CB68A5"/>
    <w:rsid w:val="00CB6DFF"/>
    <w:rsid w:val="00CB79E5"/>
    <w:rsid w:val="00CC3486"/>
    <w:rsid w:val="00CC5CAB"/>
    <w:rsid w:val="00CC7A79"/>
    <w:rsid w:val="00CD4865"/>
    <w:rsid w:val="00CD554C"/>
    <w:rsid w:val="00CD7838"/>
    <w:rsid w:val="00CE0173"/>
    <w:rsid w:val="00CE0AF8"/>
    <w:rsid w:val="00CE0D44"/>
    <w:rsid w:val="00CE19D3"/>
    <w:rsid w:val="00CE2414"/>
    <w:rsid w:val="00CE29F3"/>
    <w:rsid w:val="00CE3854"/>
    <w:rsid w:val="00CE39C2"/>
    <w:rsid w:val="00CE599D"/>
    <w:rsid w:val="00CE680E"/>
    <w:rsid w:val="00CE7F5D"/>
    <w:rsid w:val="00CF0424"/>
    <w:rsid w:val="00CF31DE"/>
    <w:rsid w:val="00CF3EAD"/>
    <w:rsid w:val="00CF5FC9"/>
    <w:rsid w:val="00D009D9"/>
    <w:rsid w:val="00D024BC"/>
    <w:rsid w:val="00D03278"/>
    <w:rsid w:val="00D03E43"/>
    <w:rsid w:val="00D04A92"/>
    <w:rsid w:val="00D04CB9"/>
    <w:rsid w:val="00D054F3"/>
    <w:rsid w:val="00D058DA"/>
    <w:rsid w:val="00D07458"/>
    <w:rsid w:val="00D07D52"/>
    <w:rsid w:val="00D10440"/>
    <w:rsid w:val="00D120BF"/>
    <w:rsid w:val="00D13A88"/>
    <w:rsid w:val="00D14229"/>
    <w:rsid w:val="00D14EF3"/>
    <w:rsid w:val="00D1618C"/>
    <w:rsid w:val="00D2028B"/>
    <w:rsid w:val="00D211A0"/>
    <w:rsid w:val="00D22AA1"/>
    <w:rsid w:val="00D2431D"/>
    <w:rsid w:val="00D24E33"/>
    <w:rsid w:val="00D257CB"/>
    <w:rsid w:val="00D3009B"/>
    <w:rsid w:val="00D354CB"/>
    <w:rsid w:val="00D37704"/>
    <w:rsid w:val="00D37EBA"/>
    <w:rsid w:val="00D41247"/>
    <w:rsid w:val="00D41C1A"/>
    <w:rsid w:val="00D4484C"/>
    <w:rsid w:val="00D463BC"/>
    <w:rsid w:val="00D46D12"/>
    <w:rsid w:val="00D4716D"/>
    <w:rsid w:val="00D47170"/>
    <w:rsid w:val="00D5290F"/>
    <w:rsid w:val="00D54336"/>
    <w:rsid w:val="00D55DEA"/>
    <w:rsid w:val="00D573C3"/>
    <w:rsid w:val="00D57C44"/>
    <w:rsid w:val="00D57C93"/>
    <w:rsid w:val="00D61DCF"/>
    <w:rsid w:val="00D6395E"/>
    <w:rsid w:val="00D641C6"/>
    <w:rsid w:val="00D64561"/>
    <w:rsid w:val="00D67B55"/>
    <w:rsid w:val="00D67F99"/>
    <w:rsid w:val="00D712FF"/>
    <w:rsid w:val="00D7197C"/>
    <w:rsid w:val="00D73FC2"/>
    <w:rsid w:val="00D7571B"/>
    <w:rsid w:val="00D75A50"/>
    <w:rsid w:val="00D77C15"/>
    <w:rsid w:val="00D805E9"/>
    <w:rsid w:val="00D86DC3"/>
    <w:rsid w:val="00D936C5"/>
    <w:rsid w:val="00D943F7"/>
    <w:rsid w:val="00D94E54"/>
    <w:rsid w:val="00D957F9"/>
    <w:rsid w:val="00D969B4"/>
    <w:rsid w:val="00D97234"/>
    <w:rsid w:val="00D975C5"/>
    <w:rsid w:val="00D97CCE"/>
    <w:rsid w:val="00DA013A"/>
    <w:rsid w:val="00DA0956"/>
    <w:rsid w:val="00DA0C4D"/>
    <w:rsid w:val="00DA0E34"/>
    <w:rsid w:val="00DA3BC7"/>
    <w:rsid w:val="00DA3E6E"/>
    <w:rsid w:val="00DA5665"/>
    <w:rsid w:val="00DA73E4"/>
    <w:rsid w:val="00DA76AC"/>
    <w:rsid w:val="00DB1EB9"/>
    <w:rsid w:val="00DB37AE"/>
    <w:rsid w:val="00DB3D22"/>
    <w:rsid w:val="00DB4016"/>
    <w:rsid w:val="00DB4916"/>
    <w:rsid w:val="00DB66B9"/>
    <w:rsid w:val="00DB6B87"/>
    <w:rsid w:val="00DC0062"/>
    <w:rsid w:val="00DC058D"/>
    <w:rsid w:val="00DC05FB"/>
    <w:rsid w:val="00DC1149"/>
    <w:rsid w:val="00DC2674"/>
    <w:rsid w:val="00DC6BCB"/>
    <w:rsid w:val="00DC7803"/>
    <w:rsid w:val="00DD149B"/>
    <w:rsid w:val="00DD209B"/>
    <w:rsid w:val="00DD2352"/>
    <w:rsid w:val="00DD3843"/>
    <w:rsid w:val="00DD4270"/>
    <w:rsid w:val="00DD439D"/>
    <w:rsid w:val="00DD4AA0"/>
    <w:rsid w:val="00DD55DB"/>
    <w:rsid w:val="00DD58D9"/>
    <w:rsid w:val="00DD75F9"/>
    <w:rsid w:val="00DE1E80"/>
    <w:rsid w:val="00DE21F4"/>
    <w:rsid w:val="00DE2D53"/>
    <w:rsid w:val="00DE3965"/>
    <w:rsid w:val="00DE3A04"/>
    <w:rsid w:val="00DE3A17"/>
    <w:rsid w:val="00DE41F5"/>
    <w:rsid w:val="00DE4B35"/>
    <w:rsid w:val="00DE4B73"/>
    <w:rsid w:val="00DF0359"/>
    <w:rsid w:val="00DF1CCB"/>
    <w:rsid w:val="00DF3562"/>
    <w:rsid w:val="00DF3ACD"/>
    <w:rsid w:val="00DF3C67"/>
    <w:rsid w:val="00E00A1C"/>
    <w:rsid w:val="00E01F67"/>
    <w:rsid w:val="00E02C11"/>
    <w:rsid w:val="00E03184"/>
    <w:rsid w:val="00E050E5"/>
    <w:rsid w:val="00E06B30"/>
    <w:rsid w:val="00E10886"/>
    <w:rsid w:val="00E11437"/>
    <w:rsid w:val="00E11D4E"/>
    <w:rsid w:val="00E12103"/>
    <w:rsid w:val="00E1475B"/>
    <w:rsid w:val="00E14D99"/>
    <w:rsid w:val="00E14EF2"/>
    <w:rsid w:val="00E15E6F"/>
    <w:rsid w:val="00E163AB"/>
    <w:rsid w:val="00E165BC"/>
    <w:rsid w:val="00E17406"/>
    <w:rsid w:val="00E20928"/>
    <w:rsid w:val="00E2095F"/>
    <w:rsid w:val="00E21084"/>
    <w:rsid w:val="00E21D23"/>
    <w:rsid w:val="00E25DC2"/>
    <w:rsid w:val="00E26D8E"/>
    <w:rsid w:val="00E27855"/>
    <w:rsid w:val="00E278A4"/>
    <w:rsid w:val="00E3058B"/>
    <w:rsid w:val="00E30BE9"/>
    <w:rsid w:val="00E32EFF"/>
    <w:rsid w:val="00E414A0"/>
    <w:rsid w:val="00E414C9"/>
    <w:rsid w:val="00E43130"/>
    <w:rsid w:val="00E43C20"/>
    <w:rsid w:val="00E45051"/>
    <w:rsid w:val="00E45C89"/>
    <w:rsid w:val="00E45D18"/>
    <w:rsid w:val="00E45FE4"/>
    <w:rsid w:val="00E4710E"/>
    <w:rsid w:val="00E50589"/>
    <w:rsid w:val="00E50E2A"/>
    <w:rsid w:val="00E50E9C"/>
    <w:rsid w:val="00E51FE6"/>
    <w:rsid w:val="00E54038"/>
    <w:rsid w:val="00E54CE2"/>
    <w:rsid w:val="00E56C6F"/>
    <w:rsid w:val="00E57303"/>
    <w:rsid w:val="00E57B76"/>
    <w:rsid w:val="00E607D6"/>
    <w:rsid w:val="00E61A68"/>
    <w:rsid w:val="00E61E77"/>
    <w:rsid w:val="00E633DB"/>
    <w:rsid w:val="00E64597"/>
    <w:rsid w:val="00E6656D"/>
    <w:rsid w:val="00E71DEF"/>
    <w:rsid w:val="00E71F2D"/>
    <w:rsid w:val="00E71F3F"/>
    <w:rsid w:val="00E72058"/>
    <w:rsid w:val="00E72127"/>
    <w:rsid w:val="00E72994"/>
    <w:rsid w:val="00E733D2"/>
    <w:rsid w:val="00E748F8"/>
    <w:rsid w:val="00E75A4A"/>
    <w:rsid w:val="00E771C5"/>
    <w:rsid w:val="00E77E56"/>
    <w:rsid w:val="00E81651"/>
    <w:rsid w:val="00E81FAB"/>
    <w:rsid w:val="00E83851"/>
    <w:rsid w:val="00E84A31"/>
    <w:rsid w:val="00E84AA9"/>
    <w:rsid w:val="00E84C8C"/>
    <w:rsid w:val="00E8506A"/>
    <w:rsid w:val="00E85B8F"/>
    <w:rsid w:val="00E87426"/>
    <w:rsid w:val="00E87C66"/>
    <w:rsid w:val="00E87CEA"/>
    <w:rsid w:val="00E90F87"/>
    <w:rsid w:val="00E91374"/>
    <w:rsid w:val="00E91575"/>
    <w:rsid w:val="00E920B5"/>
    <w:rsid w:val="00E9224A"/>
    <w:rsid w:val="00E92696"/>
    <w:rsid w:val="00E92CD1"/>
    <w:rsid w:val="00E93BEF"/>
    <w:rsid w:val="00E9400C"/>
    <w:rsid w:val="00E94F1A"/>
    <w:rsid w:val="00E95616"/>
    <w:rsid w:val="00E97383"/>
    <w:rsid w:val="00E97624"/>
    <w:rsid w:val="00EA097E"/>
    <w:rsid w:val="00EA1E7C"/>
    <w:rsid w:val="00EA1FEC"/>
    <w:rsid w:val="00EA2DF7"/>
    <w:rsid w:val="00EA3ACE"/>
    <w:rsid w:val="00EB05F9"/>
    <w:rsid w:val="00EB3FD4"/>
    <w:rsid w:val="00EB4232"/>
    <w:rsid w:val="00EB463E"/>
    <w:rsid w:val="00EB57EF"/>
    <w:rsid w:val="00EB646B"/>
    <w:rsid w:val="00EB671A"/>
    <w:rsid w:val="00EB6DA8"/>
    <w:rsid w:val="00EB72A3"/>
    <w:rsid w:val="00EB7BA8"/>
    <w:rsid w:val="00EC0355"/>
    <w:rsid w:val="00EC0922"/>
    <w:rsid w:val="00EC1127"/>
    <w:rsid w:val="00EC1637"/>
    <w:rsid w:val="00EC202A"/>
    <w:rsid w:val="00EC2607"/>
    <w:rsid w:val="00EC7AD1"/>
    <w:rsid w:val="00ED09DD"/>
    <w:rsid w:val="00ED3A72"/>
    <w:rsid w:val="00ED3E7D"/>
    <w:rsid w:val="00ED3FA0"/>
    <w:rsid w:val="00ED4298"/>
    <w:rsid w:val="00ED5A4E"/>
    <w:rsid w:val="00ED5DF9"/>
    <w:rsid w:val="00ED70DD"/>
    <w:rsid w:val="00ED77A4"/>
    <w:rsid w:val="00EE2588"/>
    <w:rsid w:val="00EE28B5"/>
    <w:rsid w:val="00EE477F"/>
    <w:rsid w:val="00EE7161"/>
    <w:rsid w:val="00EE78A7"/>
    <w:rsid w:val="00EF1F1C"/>
    <w:rsid w:val="00EF1F39"/>
    <w:rsid w:val="00EF2070"/>
    <w:rsid w:val="00EF2111"/>
    <w:rsid w:val="00EF31A0"/>
    <w:rsid w:val="00EF3DEB"/>
    <w:rsid w:val="00EF58E8"/>
    <w:rsid w:val="00EF5E89"/>
    <w:rsid w:val="00EF7558"/>
    <w:rsid w:val="00EF7E2A"/>
    <w:rsid w:val="00F00553"/>
    <w:rsid w:val="00F009A0"/>
    <w:rsid w:val="00F00A0C"/>
    <w:rsid w:val="00F00F2D"/>
    <w:rsid w:val="00F01177"/>
    <w:rsid w:val="00F0361A"/>
    <w:rsid w:val="00F04B00"/>
    <w:rsid w:val="00F04C2A"/>
    <w:rsid w:val="00F066EE"/>
    <w:rsid w:val="00F0673A"/>
    <w:rsid w:val="00F10C30"/>
    <w:rsid w:val="00F10EA6"/>
    <w:rsid w:val="00F11A69"/>
    <w:rsid w:val="00F1216B"/>
    <w:rsid w:val="00F140C4"/>
    <w:rsid w:val="00F14D7F"/>
    <w:rsid w:val="00F22087"/>
    <w:rsid w:val="00F221D3"/>
    <w:rsid w:val="00F22420"/>
    <w:rsid w:val="00F23A45"/>
    <w:rsid w:val="00F2799F"/>
    <w:rsid w:val="00F3001C"/>
    <w:rsid w:val="00F30B29"/>
    <w:rsid w:val="00F31840"/>
    <w:rsid w:val="00F31D44"/>
    <w:rsid w:val="00F32FDF"/>
    <w:rsid w:val="00F33054"/>
    <w:rsid w:val="00F33EDE"/>
    <w:rsid w:val="00F35219"/>
    <w:rsid w:val="00F4034E"/>
    <w:rsid w:val="00F40514"/>
    <w:rsid w:val="00F42246"/>
    <w:rsid w:val="00F459A5"/>
    <w:rsid w:val="00F45B5A"/>
    <w:rsid w:val="00F4755F"/>
    <w:rsid w:val="00F50FC2"/>
    <w:rsid w:val="00F520D5"/>
    <w:rsid w:val="00F52525"/>
    <w:rsid w:val="00F53DD8"/>
    <w:rsid w:val="00F541F7"/>
    <w:rsid w:val="00F547D6"/>
    <w:rsid w:val="00F54E3E"/>
    <w:rsid w:val="00F5721E"/>
    <w:rsid w:val="00F572E8"/>
    <w:rsid w:val="00F5771E"/>
    <w:rsid w:val="00F609DA"/>
    <w:rsid w:val="00F61016"/>
    <w:rsid w:val="00F616B6"/>
    <w:rsid w:val="00F634D5"/>
    <w:rsid w:val="00F63F7D"/>
    <w:rsid w:val="00F640F4"/>
    <w:rsid w:val="00F65674"/>
    <w:rsid w:val="00F67B5F"/>
    <w:rsid w:val="00F72B25"/>
    <w:rsid w:val="00F7369A"/>
    <w:rsid w:val="00F75349"/>
    <w:rsid w:val="00F765BE"/>
    <w:rsid w:val="00F80CD9"/>
    <w:rsid w:val="00F83364"/>
    <w:rsid w:val="00F83789"/>
    <w:rsid w:val="00F85215"/>
    <w:rsid w:val="00F85A50"/>
    <w:rsid w:val="00F86138"/>
    <w:rsid w:val="00F8743C"/>
    <w:rsid w:val="00F87838"/>
    <w:rsid w:val="00F87E84"/>
    <w:rsid w:val="00F87E99"/>
    <w:rsid w:val="00F87FD0"/>
    <w:rsid w:val="00F916CC"/>
    <w:rsid w:val="00F91D4F"/>
    <w:rsid w:val="00F9256B"/>
    <w:rsid w:val="00F92B0C"/>
    <w:rsid w:val="00F93F5B"/>
    <w:rsid w:val="00F94E40"/>
    <w:rsid w:val="00F950A9"/>
    <w:rsid w:val="00F95AAC"/>
    <w:rsid w:val="00F96EDA"/>
    <w:rsid w:val="00F97B8D"/>
    <w:rsid w:val="00FA194E"/>
    <w:rsid w:val="00FA2033"/>
    <w:rsid w:val="00FA3036"/>
    <w:rsid w:val="00FA5018"/>
    <w:rsid w:val="00FA6C4B"/>
    <w:rsid w:val="00FB11D2"/>
    <w:rsid w:val="00FB129A"/>
    <w:rsid w:val="00FB14B6"/>
    <w:rsid w:val="00FB6662"/>
    <w:rsid w:val="00FB6A05"/>
    <w:rsid w:val="00FB70D1"/>
    <w:rsid w:val="00FB7D43"/>
    <w:rsid w:val="00FB7ED7"/>
    <w:rsid w:val="00FC005D"/>
    <w:rsid w:val="00FC0F55"/>
    <w:rsid w:val="00FC1A3B"/>
    <w:rsid w:val="00FC3011"/>
    <w:rsid w:val="00FC4981"/>
    <w:rsid w:val="00FC5046"/>
    <w:rsid w:val="00FC5651"/>
    <w:rsid w:val="00FC581D"/>
    <w:rsid w:val="00FC70F6"/>
    <w:rsid w:val="00FC75B7"/>
    <w:rsid w:val="00FD0614"/>
    <w:rsid w:val="00FD1DBD"/>
    <w:rsid w:val="00FD2547"/>
    <w:rsid w:val="00FD5D17"/>
    <w:rsid w:val="00FD6D01"/>
    <w:rsid w:val="00FD6EA7"/>
    <w:rsid w:val="00FD74B9"/>
    <w:rsid w:val="00FE0DA8"/>
    <w:rsid w:val="00FE20A0"/>
    <w:rsid w:val="00FE214A"/>
    <w:rsid w:val="00FE2486"/>
    <w:rsid w:val="00FE3449"/>
    <w:rsid w:val="00FE4170"/>
    <w:rsid w:val="00FE5E5D"/>
    <w:rsid w:val="00FF1926"/>
    <w:rsid w:val="00FF1DF1"/>
    <w:rsid w:val="00FF3EF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209">
      <o:colormenu v:ext="edit" fillcolor="none" strokecolor="none"/>
    </o:shapedefaults>
    <o:shapelayout v:ext="edit">
      <o:idmap v:ext="edit" data="2"/>
      <o:rules v:ext="edit">
        <o:r id="V:Rule20" type="arc" idref="#_x0000_s2164"/>
        <o:r id="V:Rule21" type="arc" idref="#_x0000_s2165"/>
        <o:r id="V:Rule22" type="arc" idref="#_x0000_s2172"/>
        <o:r id="V:Rule23" type="arc" idref="#_x0000_s2173"/>
        <o:r id="V:Rule27" type="connector" idref="#AutoShape 107"/>
        <o:r id="V:Rule28" type="connector" idref="#AutoShape 80"/>
        <o:r id="V:Rule29" type="connector" idref="#AutoShape 133"/>
        <o:r id="V:Rule30" type="connector" idref="#AutoShape 81"/>
        <o:r id="V:Rule31" type="connector" idref="#AutoShape 119"/>
        <o:r id="V:Rule32" type="connector" idref="#AutoShape 112"/>
        <o:r id="V:Rule33" type="connector" idref="#AutoShape 134"/>
        <o:r id="V:Rule34" type="connector" idref="#Straight Arrow Connector 95"/>
        <o:r id="V:Rule35" type="connector" idref="#AutoShape 109"/>
        <o:r id="V:Rule36" type="connector" idref="#AutoShape 82"/>
        <o:r id="V:Rule37" type="connector" idref="#Straight Arrow Connector 105"/>
        <o:r id="V:Rule38" type="connector" idref="#AutoShape 118"/>
        <o:r id="V:Rule39" type="connector" idref="#AutoShape 108"/>
        <o:r id="V:Rule40" type="connector" idref="#AutoShape 139"/>
        <o:r id="V:Rule41" type="connector" idref="#AutoShape 120"/>
        <o:r id="V:Rule42" type="connector" idref="#AutoShape 140"/>
        <o:r id="V:Rule43" type="connector" idref="#AutoShape 111"/>
        <o:r id="V:Rule44" type="connector" idref="#AutoShape 121"/>
        <o:r id="V:Rule45" type="connector" idref="#AutoShape 110"/>
        <o:r id="V:Rule46" type="connector" idref="#AutoShape 79"/>
        <o:r id="V:Rule47" type="connector" idref="#AutoShape 122"/>
        <o:r id="V:Rule48" type="connector" idref="#Straight Arrow Connector 102"/>
      </o:rules>
      <o:regrouptable v:ext="edit">
        <o:entry new="1" old="0"/>
        <o:entry new="2" old="1"/>
        <o:entry new="3" old="1"/>
        <o:entry new="4" old="1"/>
        <o:entry new="5" old="1"/>
        <o:entry new="6" old="0"/>
        <o:entry new="7" old="0"/>
        <o:entry new="8"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46140"/>
    <w:pPr>
      <w:widowControl w:val="0"/>
    </w:pPr>
    <w:rPr>
      <w:kern w:val="2"/>
      <w:sz w:val="24"/>
      <w:szCs w:val="24"/>
    </w:rPr>
  </w:style>
  <w:style w:type="paragraph" w:styleId="1">
    <w:name w:val="heading 1"/>
    <w:basedOn w:val="a0"/>
    <w:next w:val="a0"/>
    <w:link w:val="10"/>
    <w:autoRedefine/>
    <w:qFormat/>
    <w:rsid w:val="00EE2588"/>
    <w:pPr>
      <w:snapToGrid w:val="0"/>
      <w:jc w:val="center"/>
      <w:outlineLvl w:val="0"/>
    </w:pPr>
    <w:rPr>
      <w:rFonts w:ascii="Times New Roman" w:eastAsia="標楷體" w:hAnsi="Times New Roman" w:cs="Times Ext Roman"/>
      <w:b/>
      <w:sz w:val="36"/>
      <w:szCs w:val="44"/>
    </w:rPr>
  </w:style>
  <w:style w:type="paragraph" w:styleId="2">
    <w:name w:val="heading 2"/>
    <w:basedOn w:val="a0"/>
    <w:next w:val="a0"/>
    <w:link w:val="20"/>
    <w:uiPriority w:val="9"/>
    <w:unhideWhenUsed/>
    <w:qFormat/>
    <w:rsid w:val="001A50E1"/>
    <w:pPr>
      <w:snapToGrid w:val="0"/>
      <w:jc w:val="center"/>
      <w:outlineLvl w:val="1"/>
    </w:pPr>
    <w:rPr>
      <w:rFonts w:ascii="Times New Roman" w:eastAsia="標楷體" w:hAnsi="Times New Roman" w:cs="Times Ext Roman"/>
      <w:b/>
      <w:sz w:val="28"/>
      <w:szCs w:val="32"/>
    </w:rPr>
  </w:style>
  <w:style w:type="paragraph" w:styleId="3">
    <w:name w:val="heading 3"/>
    <w:basedOn w:val="a0"/>
    <w:next w:val="a0"/>
    <w:link w:val="30"/>
    <w:uiPriority w:val="9"/>
    <w:unhideWhenUsed/>
    <w:qFormat/>
    <w:rsid w:val="00AA120F"/>
    <w:pPr>
      <w:keepNext/>
      <w:spacing w:line="720" w:lineRule="auto"/>
      <w:outlineLvl w:val="2"/>
    </w:pPr>
    <w:rPr>
      <w:rFonts w:ascii="Cambria" w:hAnsi="Cambria"/>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link w:val="1"/>
    <w:rsid w:val="00EE2588"/>
    <w:rPr>
      <w:rFonts w:ascii="Times New Roman" w:eastAsia="標楷體" w:hAnsi="Times New Roman" w:cs="Times Ext Roman"/>
      <w:b/>
      <w:kern w:val="2"/>
      <w:sz w:val="36"/>
      <w:szCs w:val="44"/>
    </w:rPr>
  </w:style>
  <w:style w:type="paragraph" w:styleId="a4">
    <w:name w:val="List Paragraph"/>
    <w:basedOn w:val="a0"/>
    <w:uiPriority w:val="34"/>
    <w:qFormat/>
    <w:rsid w:val="009B4F64"/>
    <w:pPr>
      <w:ind w:leftChars="200" w:left="480"/>
    </w:pPr>
  </w:style>
  <w:style w:type="paragraph" w:styleId="a5">
    <w:name w:val="footnote text"/>
    <w:aliases w:val="註腳文字 字元 字元,註腳文字 字元 字元 字元,註腳文字 字元 字元 字元 字元 字元,註腳文字 字元 字元 字元 字元1 字元,註腳文字 字元 字元 字元 字元 字元 字元,註腳文字 字元 字元 字元 字元 字元 字元 字元,註腳文字 字...,註腳文字 字元 字元 字元 字元,註腳文字 字元,註腳１,註腳文字 字元 字元 字元 字元 字元 字元 字元 字元 字元 字元 字元 字元 字元,註腳文字 字元 字元 字元 字元 字元 字元 字元 字元 字元,內文 + 註腳文字"/>
    <w:basedOn w:val="a0"/>
    <w:link w:val="21"/>
    <w:unhideWhenUsed/>
    <w:rsid w:val="00130A2E"/>
    <w:pPr>
      <w:snapToGrid w:val="0"/>
    </w:pPr>
    <w:rPr>
      <w:rFonts w:ascii="Times New Roman" w:hAnsi="Times New Roman"/>
      <w:sz w:val="22"/>
      <w:szCs w:val="20"/>
    </w:rPr>
  </w:style>
  <w:style w:type="character" w:customStyle="1" w:styleId="21">
    <w:name w:val="註腳文字 字元2"/>
    <w:aliases w:val="註腳文字 字元 字元 字元2,註腳文字 字元 字元 字元 字元2,註腳文字 字元 字元 字元 字元 字元 字元1,註腳文字 字元 字元 字元 字元1 字元 字元1,註腳文字 字元 字元 字元 字元 字元 字元 字元1,註腳文字 字元 字元 字元 字元 字元 字元 字元 字元,註腳文字 字... 字元,註腳文字 字元 字元 字元 字元 字元1,註腳文字 字元 字元2,註腳１ 字元1,註腳文字 字元 字元 字元 字元 字元 字元 字元 字元 字元 字元 字元 字元 字元 字元1"/>
    <w:link w:val="a5"/>
    <w:rsid w:val="00130A2E"/>
    <w:rPr>
      <w:rFonts w:ascii="Times New Roman" w:hAnsi="Times New Roman"/>
      <w:kern w:val="2"/>
      <w:sz w:val="22"/>
    </w:rPr>
  </w:style>
  <w:style w:type="character" w:styleId="a6">
    <w:name w:val="footnote reference"/>
    <w:unhideWhenUsed/>
    <w:rsid w:val="009B4F64"/>
    <w:rPr>
      <w:vertAlign w:val="superscript"/>
    </w:rPr>
  </w:style>
  <w:style w:type="paragraph" w:styleId="a7">
    <w:name w:val="header"/>
    <w:basedOn w:val="a0"/>
    <w:link w:val="a8"/>
    <w:uiPriority w:val="99"/>
    <w:unhideWhenUsed/>
    <w:rsid w:val="00781DC0"/>
    <w:pPr>
      <w:tabs>
        <w:tab w:val="center" w:pos="4153"/>
        <w:tab w:val="right" w:pos="8306"/>
      </w:tabs>
      <w:snapToGrid w:val="0"/>
    </w:pPr>
    <w:rPr>
      <w:sz w:val="20"/>
      <w:szCs w:val="20"/>
    </w:rPr>
  </w:style>
  <w:style w:type="character" w:customStyle="1" w:styleId="a8">
    <w:name w:val="頁首 字元"/>
    <w:link w:val="a7"/>
    <w:uiPriority w:val="99"/>
    <w:rsid w:val="00781DC0"/>
    <w:rPr>
      <w:sz w:val="20"/>
      <w:szCs w:val="20"/>
    </w:rPr>
  </w:style>
  <w:style w:type="paragraph" w:styleId="a9">
    <w:name w:val="footer"/>
    <w:basedOn w:val="a0"/>
    <w:link w:val="aa"/>
    <w:uiPriority w:val="99"/>
    <w:unhideWhenUsed/>
    <w:rsid w:val="00781DC0"/>
    <w:pPr>
      <w:tabs>
        <w:tab w:val="center" w:pos="4153"/>
        <w:tab w:val="right" w:pos="8306"/>
      </w:tabs>
      <w:snapToGrid w:val="0"/>
    </w:pPr>
    <w:rPr>
      <w:sz w:val="20"/>
      <w:szCs w:val="20"/>
    </w:rPr>
  </w:style>
  <w:style w:type="character" w:customStyle="1" w:styleId="aa">
    <w:name w:val="頁尾 字元"/>
    <w:link w:val="a9"/>
    <w:uiPriority w:val="99"/>
    <w:rsid w:val="00781DC0"/>
    <w:rPr>
      <w:sz w:val="20"/>
      <w:szCs w:val="20"/>
    </w:rPr>
  </w:style>
  <w:style w:type="paragraph" w:styleId="ab">
    <w:name w:val="Balloon Text"/>
    <w:basedOn w:val="a0"/>
    <w:link w:val="ac"/>
    <w:uiPriority w:val="99"/>
    <w:semiHidden/>
    <w:unhideWhenUsed/>
    <w:rsid w:val="00781DC0"/>
    <w:rPr>
      <w:rFonts w:ascii="Cambria" w:hAnsi="Cambria"/>
      <w:sz w:val="18"/>
      <w:szCs w:val="18"/>
    </w:rPr>
  </w:style>
  <w:style w:type="character" w:customStyle="1" w:styleId="ac">
    <w:name w:val="註解方塊文字 字元"/>
    <w:link w:val="ab"/>
    <w:uiPriority w:val="99"/>
    <w:semiHidden/>
    <w:rsid w:val="00781DC0"/>
    <w:rPr>
      <w:rFonts w:ascii="Cambria" w:eastAsia="新細明體" w:hAnsi="Cambria" w:cs="Times New Roman"/>
      <w:sz w:val="18"/>
      <w:szCs w:val="18"/>
    </w:rPr>
  </w:style>
  <w:style w:type="paragraph" w:styleId="31">
    <w:name w:val="Body Text Indent 3"/>
    <w:basedOn w:val="a0"/>
    <w:link w:val="32"/>
    <w:uiPriority w:val="99"/>
    <w:rsid w:val="00187F85"/>
    <w:pPr>
      <w:ind w:leftChars="800" w:left="1920"/>
    </w:pPr>
    <w:rPr>
      <w:rFonts w:ascii="Times New Roman" w:hAnsi="Times New Roman" w:cs="Angsana New"/>
      <w:lang w:bidi="th-TH"/>
    </w:rPr>
  </w:style>
  <w:style w:type="character" w:customStyle="1" w:styleId="32">
    <w:name w:val="本文縮排 3 字元"/>
    <w:link w:val="31"/>
    <w:uiPriority w:val="99"/>
    <w:rsid w:val="00187F85"/>
    <w:rPr>
      <w:rFonts w:ascii="Times New Roman" w:eastAsia="新細明體" w:hAnsi="Times New Roman" w:cs="Angsana New"/>
      <w:szCs w:val="24"/>
      <w:lang w:bidi="th-TH"/>
    </w:rPr>
  </w:style>
  <w:style w:type="paragraph" w:styleId="ad">
    <w:name w:val="Body Text Indent"/>
    <w:basedOn w:val="a0"/>
    <w:link w:val="ae"/>
    <w:uiPriority w:val="99"/>
    <w:unhideWhenUsed/>
    <w:rsid w:val="00187F85"/>
    <w:pPr>
      <w:spacing w:after="120"/>
      <w:ind w:leftChars="200" w:left="480"/>
    </w:pPr>
  </w:style>
  <w:style w:type="character" w:customStyle="1" w:styleId="ae">
    <w:name w:val="本文縮排 字元"/>
    <w:basedOn w:val="a1"/>
    <w:link w:val="ad"/>
    <w:uiPriority w:val="99"/>
    <w:rsid w:val="00187F85"/>
  </w:style>
  <w:style w:type="paragraph" w:styleId="af">
    <w:name w:val="Plain Text"/>
    <w:basedOn w:val="a0"/>
    <w:link w:val="af0"/>
    <w:rsid w:val="00187F85"/>
    <w:rPr>
      <w:rFonts w:ascii="細明體" w:eastAsia="細明體" w:hAnsi="Courier New" w:cs="Century"/>
    </w:rPr>
  </w:style>
  <w:style w:type="character" w:customStyle="1" w:styleId="af0">
    <w:name w:val="純文字 字元"/>
    <w:link w:val="af"/>
    <w:uiPriority w:val="99"/>
    <w:rsid w:val="00187F85"/>
    <w:rPr>
      <w:rFonts w:ascii="細明體" w:eastAsia="細明體" w:hAnsi="Courier New" w:cs="Century"/>
      <w:szCs w:val="24"/>
    </w:rPr>
  </w:style>
  <w:style w:type="character" w:customStyle="1" w:styleId="apple-converted-space">
    <w:name w:val="apple-converted-space"/>
    <w:basedOn w:val="a1"/>
    <w:rsid w:val="005C4911"/>
  </w:style>
  <w:style w:type="character" w:styleId="af1">
    <w:name w:val="Hyperlink"/>
    <w:uiPriority w:val="99"/>
    <w:unhideWhenUsed/>
    <w:rsid w:val="005C4911"/>
    <w:rPr>
      <w:color w:val="0000FF"/>
      <w:u w:val="single"/>
    </w:rPr>
  </w:style>
  <w:style w:type="character" w:customStyle="1" w:styleId="headname1">
    <w:name w:val="headname1"/>
    <w:rsid w:val="0068581D"/>
    <w:rPr>
      <w:b/>
      <w:bCs/>
      <w:color w:val="0000A0"/>
      <w:sz w:val="36"/>
      <w:szCs w:val="36"/>
    </w:rPr>
  </w:style>
  <w:style w:type="character" w:styleId="af2">
    <w:name w:val="FollowedHyperlink"/>
    <w:uiPriority w:val="99"/>
    <w:semiHidden/>
    <w:unhideWhenUsed/>
    <w:rsid w:val="00457D03"/>
    <w:rPr>
      <w:color w:val="800080"/>
      <w:u w:val="single"/>
    </w:rPr>
  </w:style>
  <w:style w:type="character" w:customStyle="1" w:styleId="20">
    <w:name w:val="標題 2 字元"/>
    <w:link w:val="2"/>
    <w:uiPriority w:val="9"/>
    <w:rsid w:val="001A50E1"/>
    <w:rPr>
      <w:rFonts w:ascii="Times New Roman" w:eastAsia="標楷體" w:hAnsi="Times New Roman" w:cs="Times Ext Roman"/>
      <w:b/>
      <w:sz w:val="28"/>
      <w:szCs w:val="32"/>
    </w:rPr>
  </w:style>
  <w:style w:type="character" w:customStyle="1" w:styleId="byline">
    <w:name w:val="byline"/>
    <w:rsid w:val="006A1BF7"/>
    <w:rPr>
      <w:b w:val="0"/>
      <w:bCs w:val="0"/>
      <w:color w:val="408080"/>
      <w:sz w:val="32"/>
      <w:szCs w:val="32"/>
    </w:rPr>
  </w:style>
  <w:style w:type="character" w:customStyle="1" w:styleId="gaiji">
    <w:name w:val="gaiji"/>
    <w:basedOn w:val="a1"/>
    <w:rsid w:val="00E43C20"/>
  </w:style>
  <w:style w:type="character" w:styleId="af3">
    <w:name w:val="Strong"/>
    <w:qFormat/>
    <w:rsid w:val="00E43C20"/>
    <w:rPr>
      <w:b/>
      <w:bCs/>
    </w:rPr>
  </w:style>
  <w:style w:type="character" w:customStyle="1" w:styleId="11">
    <w:name w:val="註腳文字 字元1"/>
    <w:aliases w:val="註腳文字 字元 字元1,註腳１ 字元,註腳文字 字元 字元 字元 字元1 字元 字元,註腳文字 字元 字元 字元1,註腳文字 字元 字元 字元 字元1,註腳文字 字元 字元 字元 字元 字元 字元 字元 字元 字元 字元 字元 字元 字元 字元,註腳文字 字元 字元 字元 字元 字元 字元 字元 字元 字元 字元,內文 + 註腳文字 字元,註腳文字 字註腳文字 字元,註腳文字註腳... 字元"/>
    <w:rsid w:val="00E43C20"/>
    <w:rPr>
      <w:rFonts w:eastAsia="新細明體"/>
      <w:color w:val="000000"/>
      <w:kern w:val="2"/>
      <w:sz w:val="22"/>
      <w:szCs w:val="21"/>
      <w:lang w:val="en-US" w:eastAsia="zh-TW" w:bidi="ar-SA"/>
    </w:rPr>
  </w:style>
  <w:style w:type="paragraph" w:customStyle="1" w:styleId="12">
    <w:name w:val="標1_中觀"/>
    <w:basedOn w:val="a0"/>
    <w:link w:val="13"/>
    <w:qFormat/>
    <w:rsid w:val="00E43C20"/>
    <w:pPr>
      <w:snapToGrid w:val="0"/>
      <w:jc w:val="center"/>
    </w:pPr>
    <w:rPr>
      <w:rFonts w:ascii="Times New Roman" w:eastAsia="標楷體" w:hAnsi="Times New Roman"/>
      <w:b/>
      <w:sz w:val="36"/>
      <w:szCs w:val="36"/>
    </w:rPr>
  </w:style>
  <w:style w:type="paragraph" w:customStyle="1" w:styleId="22">
    <w:name w:val="標2_中觀"/>
    <w:basedOn w:val="a0"/>
    <w:link w:val="23"/>
    <w:qFormat/>
    <w:rsid w:val="00E43C20"/>
    <w:pPr>
      <w:snapToGrid w:val="0"/>
      <w:jc w:val="center"/>
    </w:pPr>
    <w:rPr>
      <w:rFonts w:ascii="標楷體" w:eastAsia="標楷體" w:hAnsi="標楷體"/>
      <w:b/>
      <w:sz w:val="28"/>
    </w:rPr>
  </w:style>
  <w:style w:type="character" w:customStyle="1" w:styleId="13">
    <w:name w:val="標1_中觀 字元"/>
    <w:link w:val="12"/>
    <w:rsid w:val="00E43C20"/>
    <w:rPr>
      <w:rFonts w:ascii="Times New Roman" w:eastAsia="標楷體" w:hAnsi="Times New Roman" w:cs="Times New Roman"/>
      <w:b/>
      <w:sz w:val="36"/>
      <w:szCs w:val="36"/>
    </w:rPr>
  </w:style>
  <w:style w:type="paragraph" w:customStyle="1" w:styleId="33">
    <w:name w:val="標3_中觀"/>
    <w:basedOn w:val="a0"/>
    <w:link w:val="34"/>
    <w:qFormat/>
    <w:rsid w:val="00E43C20"/>
    <w:pPr>
      <w:snapToGrid w:val="0"/>
      <w:spacing w:afterLines="30"/>
      <w:jc w:val="center"/>
    </w:pPr>
    <w:rPr>
      <w:rFonts w:ascii="Times New Roman" w:hAnsi="Times New Roman"/>
      <w:b/>
    </w:rPr>
  </w:style>
  <w:style w:type="character" w:customStyle="1" w:styleId="23">
    <w:name w:val="標2_中觀 字元"/>
    <w:link w:val="22"/>
    <w:rsid w:val="00E43C20"/>
    <w:rPr>
      <w:rFonts w:ascii="標楷體" w:eastAsia="標楷體" w:hAnsi="標楷體" w:cs="Times New Roman"/>
      <w:b/>
      <w:sz w:val="28"/>
      <w:szCs w:val="24"/>
    </w:rPr>
  </w:style>
  <w:style w:type="paragraph" w:customStyle="1" w:styleId="14">
    <w:name w:val="科判 1"/>
    <w:basedOn w:val="a0"/>
    <w:link w:val="15"/>
    <w:qFormat/>
    <w:rsid w:val="00E43C20"/>
    <w:pPr>
      <w:ind w:leftChars="177" w:left="425"/>
      <w:outlineLvl w:val="4"/>
    </w:pPr>
    <w:rPr>
      <w:rFonts w:ascii="Times New Roman" w:hAnsi="Times New Roman"/>
      <w:b/>
      <w:bCs/>
      <w:sz w:val="20"/>
      <w:szCs w:val="20"/>
      <w:bdr w:val="single" w:sz="4" w:space="0" w:color="auto"/>
    </w:rPr>
  </w:style>
  <w:style w:type="character" w:customStyle="1" w:styleId="34">
    <w:name w:val="標3_中觀 字元"/>
    <w:link w:val="33"/>
    <w:rsid w:val="00E43C20"/>
    <w:rPr>
      <w:rFonts w:ascii="Times New Roman" w:hAnsi="Times New Roman" w:cs="Times New Roman"/>
      <w:b/>
      <w:szCs w:val="24"/>
    </w:rPr>
  </w:style>
  <w:style w:type="character" w:customStyle="1" w:styleId="15">
    <w:name w:val="科判 1 字元"/>
    <w:link w:val="14"/>
    <w:rsid w:val="00E43C20"/>
    <w:rPr>
      <w:rFonts w:ascii="Times New Roman" w:hAnsi="Times New Roman" w:cs="Times New Roman"/>
      <w:b/>
      <w:bCs/>
      <w:sz w:val="20"/>
      <w:szCs w:val="20"/>
      <w:bdr w:val="single" w:sz="4" w:space="0" w:color="auto"/>
    </w:rPr>
  </w:style>
  <w:style w:type="paragraph" w:customStyle="1" w:styleId="Author">
    <w:name w:val="Author"/>
    <w:basedOn w:val="a0"/>
    <w:qFormat/>
    <w:rsid w:val="00B74007"/>
    <w:pPr>
      <w:jc w:val="right"/>
    </w:pPr>
    <w:rPr>
      <w:rFonts w:ascii="Times New Roman" w:eastAsia="標楷體" w:hAnsi="Times New Roman"/>
      <w:sz w:val="26"/>
    </w:rPr>
  </w:style>
  <w:style w:type="paragraph" w:styleId="HTML">
    <w:name w:val="HTML Preformatted"/>
    <w:basedOn w:val="a0"/>
    <w:link w:val="HTML0"/>
    <w:uiPriority w:val="99"/>
    <w:unhideWhenUsed/>
    <w:rsid w:val="008F778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2" w:lineRule="auto"/>
    </w:pPr>
    <w:rPr>
      <w:rFonts w:ascii="細明體" w:eastAsia="細明體" w:hAnsi="細明體" w:cs="細明體"/>
      <w:color w:val="330000"/>
      <w:kern w:val="0"/>
    </w:rPr>
  </w:style>
  <w:style w:type="character" w:customStyle="1" w:styleId="HTML0">
    <w:name w:val="HTML 預設格式 字元"/>
    <w:link w:val="HTML"/>
    <w:uiPriority w:val="99"/>
    <w:rsid w:val="008F7786"/>
    <w:rPr>
      <w:rFonts w:ascii="細明體" w:eastAsia="細明體" w:hAnsi="細明體" w:cs="細明體"/>
      <w:color w:val="330000"/>
      <w:kern w:val="0"/>
      <w:szCs w:val="24"/>
    </w:rPr>
  </w:style>
  <w:style w:type="character" w:customStyle="1" w:styleId="byline1">
    <w:name w:val="byline1"/>
    <w:rsid w:val="002B6CE7"/>
    <w:rPr>
      <w:b w:val="0"/>
      <w:bCs w:val="0"/>
      <w:color w:val="408080"/>
      <w:sz w:val="32"/>
      <w:szCs w:val="32"/>
    </w:rPr>
  </w:style>
  <w:style w:type="paragraph" w:customStyle="1" w:styleId="af4">
    <w:name w:val="披尋記"/>
    <w:link w:val="af5"/>
    <w:autoRedefine/>
    <w:rsid w:val="002B6CE7"/>
    <w:rPr>
      <w:rFonts w:ascii="新細明體" w:hAnsi="新細明體"/>
      <w:bCs/>
      <w:kern w:val="2"/>
      <w:sz w:val="24"/>
      <w:szCs w:val="24"/>
    </w:rPr>
  </w:style>
  <w:style w:type="character" w:customStyle="1" w:styleId="af5">
    <w:name w:val="披尋記 字元"/>
    <w:link w:val="af4"/>
    <w:rsid w:val="002B6CE7"/>
    <w:rPr>
      <w:rFonts w:ascii="新細明體" w:eastAsia="新細明體" w:hAnsi="新細明體" w:cs="Times New Roman"/>
      <w:bCs/>
      <w:szCs w:val="24"/>
    </w:rPr>
  </w:style>
  <w:style w:type="paragraph" w:styleId="Web">
    <w:name w:val="Normal (Web)"/>
    <w:basedOn w:val="a0"/>
    <w:uiPriority w:val="99"/>
    <w:unhideWhenUsed/>
    <w:rsid w:val="00C90151"/>
    <w:pPr>
      <w:widowControl/>
      <w:spacing w:before="100" w:beforeAutospacing="1" w:after="100" w:afterAutospacing="1"/>
    </w:pPr>
    <w:rPr>
      <w:rFonts w:ascii="新細明體" w:hAnsi="新細明體" w:cs="新細明體"/>
      <w:kern w:val="0"/>
      <w:sz w:val="22"/>
    </w:rPr>
  </w:style>
  <w:style w:type="character" w:customStyle="1" w:styleId="old">
    <w:name w:val="old"/>
    <w:rsid w:val="00C90151"/>
    <w:rPr>
      <w:color w:val="0000FF"/>
    </w:rPr>
  </w:style>
  <w:style w:type="paragraph" w:styleId="af6">
    <w:name w:val="Body Text"/>
    <w:basedOn w:val="a0"/>
    <w:link w:val="af7"/>
    <w:uiPriority w:val="99"/>
    <w:semiHidden/>
    <w:unhideWhenUsed/>
    <w:rsid w:val="00135B1D"/>
    <w:pPr>
      <w:spacing w:after="120"/>
    </w:pPr>
  </w:style>
  <w:style w:type="character" w:customStyle="1" w:styleId="af7">
    <w:name w:val="本文 字元"/>
    <w:basedOn w:val="a1"/>
    <w:link w:val="af6"/>
    <w:uiPriority w:val="99"/>
    <w:semiHidden/>
    <w:rsid w:val="00135B1D"/>
  </w:style>
  <w:style w:type="paragraph" w:styleId="24">
    <w:name w:val="Body Text Indent 2"/>
    <w:basedOn w:val="a0"/>
    <w:link w:val="25"/>
    <w:uiPriority w:val="99"/>
    <w:unhideWhenUsed/>
    <w:rsid w:val="00135B1D"/>
    <w:pPr>
      <w:spacing w:after="120" w:line="480" w:lineRule="auto"/>
      <w:ind w:leftChars="200" w:left="480"/>
    </w:pPr>
  </w:style>
  <w:style w:type="character" w:customStyle="1" w:styleId="25">
    <w:name w:val="本文縮排 2 字元"/>
    <w:basedOn w:val="a1"/>
    <w:link w:val="24"/>
    <w:uiPriority w:val="99"/>
    <w:rsid w:val="00135B1D"/>
  </w:style>
  <w:style w:type="paragraph" w:customStyle="1" w:styleId="af8">
    <w:name w:val="註腳 字元 字元 字元 字元 字元 字元 字元 字元 字元 字元"/>
    <w:basedOn w:val="a0"/>
    <w:rsid w:val="00135B1D"/>
    <w:pPr>
      <w:widowControl/>
      <w:ind w:left="130" w:hangingChars="130" w:hanging="130"/>
      <w:jc w:val="both"/>
    </w:pPr>
    <w:rPr>
      <w:rFonts w:ascii="Times New Roman" w:hAnsi="Times New Roman"/>
      <w:kern w:val="0"/>
      <w:sz w:val="21"/>
      <w:szCs w:val="20"/>
    </w:rPr>
  </w:style>
  <w:style w:type="paragraph" w:customStyle="1" w:styleId="af9">
    <w:name w:val="註腳 字元 字元 字元 字元 字元 字元 字元"/>
    <w:basedOn w:val="a0"/>
    <w:rsid w:val="00135B1D"/>
    <w:pPr>
      <w:widowControl/>
      <w:ind w:left="130" w:hangingChars="130" w:hanging="130"/>
      <w:jc w:val="both"/>
    </w:pPr>
    <w:rPr>
      <w:rFonts w:ascii="Times New Roman" w:hAnsi="Times New Roman"/>
      <w:sz w:val="21"/>
    </w:rPr>
  </w:style>
  <w:style w:type="paragraph" w:customStyle="1" w:styleId="afa">
    <w:name w:val="註腳 字元 字元 字元 字元 字元 字元 字元 字元"/>
    <w:basedOn w:val="a0"/>
    <w:rsid w:val="00135B1D"/>
    <w:pPr>
      <w:widowControl/>
      <w:ind w:left="130" w:hangingChars="130" w:hanging="130"/>
      <w:jc w:val="both"/>
    </w:pPr>
    <w:rPr>
      <w:rFonts w:ascii="Times New Roman" w:hAnsi="Times New Roman"/>
      <w:sz w:val="21"/>
    </w:rPr>
  </w:style>
  <w:style w:type="paragraph" w:customStyle="1" w:styleId="afb">
    <w:name w:val="註腳 字元 字元 字元 字元 字元 字元 字元 字元 字元"/>
    <w:basedOn w:val="a0"/>
    <w:rsid w:val="00135B1D"/>
    <w:pPr>
      <w:widowControl/>
      <w:ind w:left="130" w:hangingChars="130" w:hanging="130"/>
      <w:jc w:val="both"/>
    </w:pPr>
    <w:rPr>
      <w:rFonts w:ascii="Times New Roman" w:hAnsi="Times New Roman"/>
      <w:sz w:val="21"/>
    </w:rPr>
  </w:style>
  <w:style w:type="paragraph" w:styleId="16">
    <w:name w:val="toc 1"/>
    <w:basedOn w:val="a0"/>
    <w:next w:val="a0"/>
    <w:autoRedefine/>
    <w:uiPriority w:val="39"/>
    <w:unhideWhenUsed/>
    <w:rsid w:val="004F4714"/>
    <w:pPr>
      <w:keepNext/>
      <w:tabs>
        <w:tab w:val="right" w:leader="dot" w:pos="7927"/>
      </w:tabs>
      <w:spacing w:beforeLines="40"/>
    </w:pPr>
    <w:rPr>
      <w:rFonts w:ascii="Times New Roman" w:hAnsi="Times New Roman"/>
      <w:b/>
      <w:noProof/>
    </w:rPr>
  </w:style>
  <w:style w:type="paragraph" w:styleId="26">
    <w:name w:val="toc 2"/>
    <w:basedOn w:val="a0"/>
    <w:next w:val="a0"/>
    <w:autoRedefine/>
    <w:uiPriority w:val="39"/>
    <w:unhideWhenUsed/>
    <w:rsid w:val="0081605C"/>
    <w:pPr>
      <w:ind w:leftChars="200" w:left="480"/>
    </w:pPr>
  </w:style>
  <w:style w:type="character" w:customStyle="1" w:styleId="30">
    <w:name w:val="標題 3 字元"/>
    <w:link w:val="3"/>
    <w:uiPriority w:val="9"/>
    <w:rsid w:val="00AA120F"/>
    <w:rPr>
      <w:rFonts w:ascii="Cambria" w:hAnsi="Cambria"/>
      <w:b/>
      <w:bCs/>
      <w:kern w:val="2"/>
      <w:sz w:val="36"/>
      <w:szCs w:val="36"/>
    </w:rPr>
  </w:style>
  <w:style w:type="character" w:customStyle="1" w:styleId="headname">
    <w:name w:val="headname"/>
    <w:rsid w:val="00AA120F"/>
    <w:rPr>
      <w:b/>
      <w:bCs/>
      <w:color w:val="0000A0"/>
      <w:sz w:val="28"/>
      <w:szCs w:val="28"/>
    </w:rPr>
  </w:style>
  <w:style w:type="table" w:styleId="afc">
    <w:name w:val="Table Grid"/>
    <w:basedOn w:val="a2"/>
    <w:uiPriority w:val="59"/>
    <w:rsid w:val="00AA120F"/>
    <w:rPr>
      <w:rFonts w:cs="Mangal"/>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A120F"/>
    <w:pPr>
      <w:widowControl w:val="0"/>
      <w:autoSpaceDE w:val="0"/>
      <w:autoSpaceDN w:val="0"/>
      <w:adjustRightInd w:val="0"/>
    </w:pPr>
    <w:rPr>
      <w:rFonts w:ascii="新細明體" w:cs="新細明體"/>
      <w:color w:val="000000"/>
      <w:sz w:val="24"/>
      <w:szCs w:val="24"/>
    </w:rPr>
  </w:style>
  <w:style w:type="character" w:customStyle="1" w:styleId="foot">
    <w:name w:val="foot"/>
    <w:rsid w:val="00AA120F"/>
  </w:style>
  <w:style w:type="paragraph" w:customStyle="1" w:styleId="afd">
    <w:name w:val="註腳"/>
    <w:basedOn w:val="a5"/>
    <w:autoRedefine/>
    <w:rsid w:val="00A640FC"/>
    <w:pPr>
      <w:ind w:leftChars="500" w:left="1200"/>
      <w:jc w:val="both"/>
    </w:pPr>
    <w:rPr>
      <w:rFonts w:ascii="Times Ext Roman" w:eastAsia="標楷體" w:hAnsi="Times Ext Roman" w:cs="Times Ext Roman"/>
      <w:color w:val="000000"/>
      <w:szCs w:val="22"/>
    </w:rPr>
  </w:style>
  <w:style w:type="paragraph" w:styleId="afe">
    <w:name w:val="Quote"/>
    <w:basedOn w:val="Default"/>
    <w:next w:val="Default"/>
    <w:link w:val="aff"/>
    <w:uiPriority w:val="99"/>
    <w:qFormat/>
    <w:rsid w:val="00AA120F"/>
    <w:rPr>
      <w:rFonts w:cs="Mangal"/>
      <w:color w:val="auto"/>
    </w:rPr>
  </w:style>
  <w:style w:type="character" w:customStyle="1" w:styleId="aff">
    <w:name w:val="引文 字元"/>
    <w:link w:val="afe"/>
    <w:uiPriority w:val="99"/>
    <w:rsid w:val="00AA120F"/>
    <w:rPr>
      <w:rFonts w:ascii="新細明體" w:cs="Mangal"/>
      <w:sz w:val="24"/>
      <w:szCs w:val="24"/>
    </w:rPr>
  </w:style>
  <w:style w:type="character" w:customStyle="1" w:styleId="aff0">
    <w:name w:val="註腳 字元"/>
    <w:rsid w:val="00AA120F"/>
    <w:rPr>
      <w:rFonts w:ascii="新細明體" w:eastAsia="新細明體" w:hAnsi="新細明體"/>
      <w:kern w:val="2"/>
      <w:sz w:val="22"/>
      <w:szCs w:val="22"/>
      <w:lang w:val="en-US" w:eastAsia="zh-TW" w:bidi="ar-SA"/>
    </w:rPr>
  </w:style>
  <w:style w:type="character" w:styleId="aff1">
    <w:name w:val="annotation reference"/>
    <w:uiPriority w:val="99"/>
    <w:semiHidden/>
    <w:unhideWhenUsed/>
    <w:rsid w:val="00AA120F"/>
    <w:rPr>
      <w:sz w:val="18"/>
      <w:szCs w:val="18"/>
    </w:rPr>
  </w:style>
  <w:style w:type="paragraph" w:styleId="aff2">
    <w:name w:val="annotation text"/>
    <w:basedOn w:val="a0"/>
    <w:link w:val="aff3"/>
    <w:uiPriority w:val="99"/>
    <w:semiHidden/>
    <w:unhideWhenUsed/>
    <w:rsid w:val="00AA120F"/>
    <w:rPr>
      <w:rFonts w:cs="Mangal"/>
      <w:szCs w:val="22"/>
    </w:rPr>
  </w:style>
  <w:style w:type="character" w:customStyle="1" w:styleId="aff3">
    <w:name w:val="註解文字 字元"/>
    <w:link w:val="aff2"/>
    <w:uiPriority w:val="99"/>
    <w:semiHidden/>
    <w:rsid w:val="00AA120F"/>
    <w:rPr>
      <w:rFonts w:cs="Mangal"/>
      <w:kern w:val="2"/>
      <w:sz w:val="24"/>
      <w:szCs w:val="22"/>
    </w:rPr>
  </w:style>
  <w:style w:type="paragraph" w:styleId="aff4">
    <w:name w:val="annotation subject"/>
    <w:basedOn w:val="aff2"/>
    <w:next w:val="aff2"/>
    <w:link w:val="aff5"/>
    <w:uiPriority w:val="99"/>
    <w:semiHidden/>
    <w:unhideWhenUsed/>
    <w:rsid w:val="00AA120F"/>
    <w:rPr>
      <w:b/>
      <w:bCs/>
    </w:rPr>
  </w:style>
  <w:style w:type="character" w:customStyle="1" w:styleId="aff5">
    <w:name w:val="註解主旨 字元"/>
    <w:link w:val="aff4"/>
    <w:uiPriority w:val="99"/>
    <w:semiHidden/>
    <w:rsid w:val="00AA120F"/>
    <w:rPr>
      <w:rFonts w:cs="Mangal"/>
      <w:b/>
      <w:bCs/>
      <w:kern w:val="2"/>
      <w:sz w:val="24"/>
      <w:szCs w:val="22"/>
    </w:rPr>
  </w:style>
  <w:style w:type="paragraph" w:styleId="aff6">
    <w:name w:val="Revision"/>
    <w:hidden/>
    <w:uiPriority w:val="99"/>
    <w:semiHidden/>
    <w:rsid w:val="00AA120F"/>
    <w:rPr>
      <w:rFonts w:cs="Mangal"/>
      <w:kern w:val="2"/>
      <w:sz w:val="24"/>
      <w:szCs w:val="22"/>
    </w:rPr>
  </w:style>
  <w:style w:type="paragraph" w:customStyle="1" w:styleId="aff7">
    <w:name w:val="注腳文字"/>
    <w:basedOn w:val="a0"/>
    <w:qFormat/>
    <w:rsid w:val="00AA120F"/>
    <w:rPr>
      <w:rFonts w:ascii="Times New Roman" w:hAnsi="Times New Roman"/>
      <w:sz w:val="22"/>
      <w:szCs w:val="22"/>
    </w:rPr>
  </w:style>
  <w:style w:type="paragraph" w:styleId="aff8">
    <w:name w:val="Document Map"/>
    <w:basedOn w:val="a0"/>
    <w:link w:val="aff9"/>
    <w:uiPriority w:val="99"/>
    <w:semiHidden/>
    <w:unhideWhenUsed/>
    <w:rsid w:val="00AA120F"/>
    <w:rPr>
      <w:rFonts w:ascii="新細明體" w:cs="Microsoft Himalaya"/>
      <w:sz w:val="18"/>
      <w:szCs w:val="18"/>
    </w:rPr>
  </w:style>
  <w:style w:type="character" w:customStyle="1" w:styleId="aff9">
    <w:name w:val="文件引導模式 字元"/>
    <w:link w:val="aff8"/>
    <w:uiPriority w:val="99"/>
    <w:semiHidden/>
    <w:rsid w:val="00AA120F"/>
    <w:rPr>
      <w:rFonts w:ascii="新細明體" w:cs="Microsoft Himalaya"/>
      <w:kern w:val="2"/>
      <w:sz w:val="18"/>
      <w:szCs w:val="18"/>
    </w:rPr>
  </w:style>
  <w:style w:type="paragraph" w:styleId="affa">
    <w:name w:val="Title"/>
    <w:basedOn w:val="a0"/>
    <w:next w:val="a0"/>
    <w:link w:val="affb"/>
    <w:uiPriority w:val="10"/>
    <w:qFormat/>
    <w:rsid w:val="00AA120F"/>
    <w:pPr>
      <w:snapToGrid w:val="0"/>
      <w:spacing w:before="360"/>
      <w:outlineLvl w:val="0"/>
    </w:pPr>
    <w:rPr>
      <w:rFonts w:ascii="Times New Roman" w:eastAsia="Times New Roman" w:hAnsi="Cambria"/>
      <w:b/>
      <w:bCs/>
      <w:szCs w:val="32"/>
      <w:shd w:val="pct15" w:color="auto" w:fill="FFFFFF"/>
    </w:rPr>
  </w:style>
  <w:style w:type="character" w:customStyle="1" w:styleId="affb">
    <w:name w:val="標題 字元"/>
    <w:link w:val="affa"/>
    <w:uiPriority w:val="10"/>
    <w:rsid w:val="00AA120F"/>
    <w:rPr>
      <w:rFonts w:ascii="Times New Roman" w:eastAsia="Times New Roman" w:hAnsi="Cambria"/>
      <w:b/>
      <w:bCs/>
      <w:kern w:val="2"/>
      <w:sz w:val="24"/>
      <w:szCs w:val="32"/>
    </w:rPr>
  </w:style>
  <w:style w:type="paragraph" w:styleId="a">
    <w:name w:val="List Bullet"/>
    <w:basedOn w:val="a0"/>
    <w:uiPriority w:val="99"/>
    <w:unhideWhenUsed/>
    <w:rsid w:val="002E4C17"/>
    <w:pPr>
      <w:numPr>
        <w:numId w:val="46"/>
      </w:numPr>
      <w:contextualSpacing/>
    </w:pPr>
  </w:style>
  <w:style w:type="character" w:customStyle="1" w:styleId="refandcopytitlefront">
    <w:name w:val="refandcopy_title_front"/>
    <w:basedOn w:val="a1"/>
    <w:rsid w:val="00BA4FA6"/>
  </w:style>
  <w:style w:type="character" w:customStyle="1" w:styleId="refandcopymaintext">
    <w:name w:val="refandcopy_main_text"/>
    <w:basedOn w:val="a1"/>
    <w:rsid w:val="00BA4FA6"/>
  </w:style>
  <w:style w:type="character" w:customStyle="1" w:styleId="refandcopypunctuation">
    <w:name w:val="refandcopy_punctuation"/>
    <w:basedOn w:val="a1"/>
    <w:rsid w:val="00BA4FA6"/>
  </w:style>
  <w:style w:type="character" w:customStyle="1" w:styleId="refandcopylinebook">
    <w:name w:val="refandcopy_line_book"/>
    <w:basedOn w:val="a1"/>
    <w:rsid w:val="00BA4FA6"/>
  </w:style>
  <w:style w:type="character" w:customStyle="1" w:styleId="refandcopynote">
    <w:name w:val="refandcopy_note"/>
    <w:basedOn w:val="a1"/>
    <w:rsid w:val="00BA4FA6"/>
  </w:style>
</w:styles>
</file>

<file path=word/webSettings.xml><?xml version="1.0" encoding="utf-8"?>
<w:webSettings xmlns:r="http://schemas.openxmlformats.org/officeDocument/2006/relationships" xmlns:w="http://schemas.openxmlformats.org/wordprocessingml/2006/main">
  <w:divs>
    <w:div w:id="327484684">
      <w:bodyDiv w:val="1"/>
      <w:marLeft w:val="0"/>
      <w:marRight w:val="0"/>
      <w:marTop w:val="0"/>
      <w:marBottom w:val="0"/>
      <w:divBdr>
        <w:top w:val="none" w:sz="0" w:space="0" w:color="auto"/>
        <w:left w:val="none" w:sz="0" w:space="0" w:color="auto"/>
        <w:bottom w:val="none" w:sz="0" w:space="0" w:color="auto"/>
        <w:right w:val="none" w:sz="0" w:space="0" w:color="auto"/>
      </w:divBdr>
    </w:div>
    <w:div w:id="565842303">
      <w:bodyDiv w:val="1"/>
      <w:marLeft w:val="0"/>
      <w:marRight w:val="0"/>
      <w:marTop w:val="0"/>
      <w:marBottom w:val="0"/>
      <w:divBdr>
        <w:top w:val="none" w:sz="0" w:space="0" w:color="auto"/>
        <w:left w:val="none" w:sz="0" w:space="0" w:color="auto"/>
        <w:bottom w:val="none" w:sz="0" w:space="0" w:color="auto"/>
        <w:right w:val="none" w:sz="0" w:space="0" w:color="auto"/>
      </w:divBdr>
    </w:div>
    <w:div w:id="597098688">
      <w:bodyDiv w:val="1"/>
      <w:marLeft w:val="0"/>
      <w:marRight w:val="0"/>
      <w:marTop w:val="0"/>
      <w:marBottom w:val="0"/>
      <w:divBdr>
        <w:top w:val="none" w:sz="0" w:space="0" w:color="auto"/>
        <w:left w:val="none" w:sz="0" w:space="0" w:color="auto"/>
        <w:bottom w:val="none" w:sz="0" w:space="0" w:color="auto"/>
        <w:right w:val="none" w:sz="0" w:space="0" w:color="auto"/>
      </w:divBdr>
    </w:div>
    <w:div w:id="641467921">
      <w:bodyDiv w:val="1"/>
      <w:marLeft w:val="0"/>
      <w:marRight w:val="0"/>
      <w:marTop w:val="0"/>
      <w:marBottom w:val="0"/>
      <w:divBdr>
        <w:top w:val="none" w:sz="0" w:space="0" w:color="auto"/>
        <w:left w:val="none" w:sz="0" w:space="0" w:color="auto"/>
        <w:bottom w:val="none" w:sz="0" w:space="0" w:color="auto"/>
        <w:right w:val="none" w:sz="0" w:space="0" w:color="auto"/>
      </w:divBdr>
    </w:div>
    <w:div w:id="982546501">
      <w:bodyDiv w:val="1"/>
      <w:marLeft w:val="0"/>
      <w:marRight w:val="0"/>
      <w:marTop w:val="0"/>
      <w:marBottom w:val="0"/>
      <w:divBdr>
        <w:top w:val="none" w:sz="0" w:space="0" w:color="auto"/>
        <w:left w:val="none" w:sz="0" w:space="0" w:color="auto"/>
        <w:bottom w:val="none" w:sz="0" w:space="0" w:color="auto"/>
        <w:right w:val="none" w:sz="0" w:space="0" w:color="auto"/>
      </w:divBdr>
    </w:div>
    <w:div w:id="1739937499">
      <w:bodyDiv w:val="1"/>
      <w:marLeft w:val="0"/>
      <w:marRight w:val="0"/>
      <w:marTop w:val="0"/>
      <w:marBottom w:val="0"/>
      <w:divBdr>
        <w:top w:val="none" w:sz="0" w:space="0" w:color="auto"/>
        <w:left w:val="none" w:sz="0" w:space="0" w:color="auto"/>
        <w:bottom w:val="none" w:sz="0" w:space="0" w:color="auto"/>
        <w:right w:val="none" w:sz="0" w:space="0" w:color="auto"/>
      </w:divBdr>
    </w:div>
    <w:div w:id="1840386199">
      <w:bodyDiv w:val="1"/>
      <w:marLeft w:val="0"/>
      <w:marRight w:val="0"/>
      <w:marTop w:val="0"/>
      <w:marBottom w:val="0"/>
      <w:divBdr>
        <w:top w:val="none" w:sz="0" w:space="0" w:color="auto"/>
        <w:left w:val="none" w:sz="0" w:space="0" w:color="auto"/>
        <w:bottom w:val="none" w:sz="0" w:space="0" w:color="auto"/>
        <w:right w:val="none" w:sz="0" w:space="0" w:color="auto"/>
      </w:divBdr>
      <w:divsChild>
        <w:div w:id="196702939">
          <w:marLeft w:val="0"/>
          <w:marRight w:val="0"/>
          <w:marTop w:val="0"/>
          <w:marBottom w:val="0"/>
          <w:divBdr>
            <w:top w:val="none" w:sz="0" w:space="0" w:color="auto"/>
            <w:left w:val="none" w:sz="0" w:space="0" w:color="auto"/>
            <w:bottom w:val="none" w:sz="0" w:space="0" w:color="auto"/>
            <w:right w:val="none" w:sz="0" w:space="0" w:color="auto"/>
          </w:divBdr>
        </w:div>
        <w:div w:id="962999293">
          <w:marLeft w:val="0"/>
          <w:marRight w:val="0"/>
          <w:marTop w:val="0"/>
          <w:marBottom w:val="0"/>
          <w:divBdr>
            <w:top w:val="none" w:sz="0" w:space="0" w:color="auto"/>
            <w:left w:val="none" w:sz="0" w:space="0" w:color="auto"/>
            <w:bottom w:val="none" w:sz="0" w:space="0" w:color="auto"/>
            <w:right w:val="none" w:sz="0" w:space="0" w:color="auto"/>
          </w:divBdr>
        </w:div>
      </w:divsChild>
    </w:div>
    <w:div w:id="1971858585">
      <w:bodyDiv w:val="1"/>
      <w:marLeft w:val="0"/>
      <w:marRight w:val="0"/>
      <w:marTop w:val="0"/>
      <w:marBottom w:val="0"/>
      <w:divBdr>
        <w:top w:val="none" w:sz="0" w:space="0" w:color="auto"/>
        <w:left w:val="none" w:sz="0" w:space="0" w:color="auto"/>
        <w:bottom w:val="none" w:sz="0" w:space="0" w:color="auto"/>
        <w:right w:val="none" w:sz="0" w:space="0" w:color="auto"/>
      </w:divBdr>
    </w:div>
    <w:div w:id="201256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footer" Target="footer3.xml"/><Relationship Id="rId26" Type="http://schemas.openxmlformats.org/officeDocument/2006/relationships/header" Target="header16.xml"/><Relationship Id="rId39" Type="http://schemas.openxmlformats.org/officeDocument/2006/relationships/header" Target="header26.xml"/><Relationship Id="rId21" Type="http://schemas.openxmlformats.org/officeDocument/2006/relationships/header" Target="header11.xml"/><Relationship Id="rId34" Type="http://schemas.openxmlformats.org/officeDocument/2006/relationships/footer" Target="footer6.xml"/><Relationship Id="rId42" Type="http://schemas.openxmlformats.org/officeDocument/2006/relationships/header" Target="header29.xml"/><Relationship Id="rId47" Type="http://schemas.openxmlformats.org/officeDocument/2006/relationships/footer" Target="footer7.xml"/><Relationship Id="rId50" Type="http://schemas.openxmlformats.org/officeDocument/2006/relationships/header" Target="header36.xml"/><Relationship Id="rId55" Type="http://schemas.openxmlformats.org/officeDocument/2006/relationships/header" Target="header41.xml"/><Relationship Id="rId63" Type="http://schemas.openxmlformats.org/officeDocument/2006/relationships/header" Target="header49.xml"/><Relationship Id="rId68" Type="http://schemas.openxmlformats.org/officeDocument/2006/relationships/header" Target="header54.xml"/><Relationship Id="rId7" Type="http://schemas.openxmlformats.org/officeDocument/2006/relationships/endnotes" Target="endnotes.xml"/><Relationship Id="rId71" Type="http://schemas.openxmlformats.org/officeDocument/2006/relationships/header" Target="header57.xml"/><Relationship Id="rId2" Type="http://schemas.openxmlformats.org/officeDocument/2006/relationships/numbering" Target="numbering.xml"/><Relationship Id="rId16" Type="http://schemas.openxmlformats.org/officeDocument/2006/relationships/header" Target="header8.xml"/><Relationship Id="rId29" Type="http://schemas.openxmlformats.org/officeDocument/2006/relationships/footer" Target="footer4.xml"/><Relationship Id="rId11" Type="http://schemas.openxmlformats.org/officeDocument/2006/relationships/header" Target="header3.xml"/><Relationship Id="rId24" Type="http://schemas.openxmlformats.org/officeDocument/2006/relationships/header" Target="header14.xml"/><Relationship Id="rId32" Type="http://schemas.openxmlformats.org/officeDocument/2006/relationships/header" Target="header20.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eader" Target="header32.xml"/><Relationship Id="rId53" Type="http://schemas.openxmlformats.org/officeDocument/2006/relationships/header" Target="header39.xml"/><Relationship Id="rId58" Type="http://schemas.openxmlformats.org/officeDocument/2006/relationships/header" Target="header44.xml"/><Relationship Id="rId66" Type="http://schemas.openxmlformats.org/officeDocument/2006/relationships/header" Target="header52.xm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3.xml"/><Relationship Id="rId49" Type="http://schemas.openxmlformats.org/officeDocument/2006/relationships/header" Target="header35.xml"/><Relationship Id="rId57" Type="http://schemas.openxmlformats.org/officeDocument/2006/relationships/header" Target="header43.xml"/><Relationship Id="rId61" Type="http://schemas.openxmlformats.org/officeDocument/2006/relationships/header" Target="header47.xm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footer" Target="footer5.xml"/><Relationship Id="rId44" Type="http://schemas.openxmlformats.org/officeDocument/2006/relationships/header" Target="header31.xml"/><Relationship Id="rId52" Type="http://schemas.openxmlformats.org/officeDocument/2006/relationships/header" Target="header38.xml"/><Relationship Id="rId60" Type="http://schemas.openxmlformats.org/officeDocument/2006/relationships/header" Target="header46.xml"/><Relationship Id="rId65" Type="http://schemas.openxmlformats.org/officeDocument/2006/relationships/header" Target="header51.xml"/><Relationship Id="rId73"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19.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header" Target="header34.xml"/><Relationship Id="rId56" Type="http://schemas.openxmlformats.org/officeDocument/2006/relationships/header" Target="header42.xml"/><Relationship Id="rId64" Type="http://schemas.openxmlformats.org/officeDocument/2006/relationships/header" Target="header50.xml"/><Relationship Id="rId69" Type="http://schemas.openxmlformats.org/officeDocument/2006/relationships/header" Target="header55.xml"/><Relationship Id="rId8" Type="http://schemas.openxmlformats.org/officeDocument/2006/relationships/header" Target="header1.xml"/><Relationship Id="rId51" Type="http://schemas.openxmlformats.org/officeDocument/2006/relationships/header" Target="header37.xml"/><Relationship Id="rId72" Type="http://schemas.openxmlformats.org/officeDocument/2006/relationships/header" Target="header58.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footer" Target="footer2.xml"/><Relationship Id="rId25" Type="http://schemas.openxmlformats.org/officeDocument/2006/relationships/header" Target="header15.xml"/><Relationship Id="rId33" Type="http://schemas.openxmlformats.org/officeDocument/2006/relationships/header" Target="header21.xml"/><Relationship Id="rId38" Type="http://schemas.openxmlformats.org/officeDocument/2006/relationships/header" Target="header25.xml"/><Relationship Id="rId46" Type="http://schemas.openxmlformats.org/officeDocument/2006/relationships/header" Target="header33.xml"/><Relationship Id="rId59" Type="http://schemas.openxmlformats.org/officeDocument/2006/relationships/header" Target="header45.xml"/><Relationship Id="rId67" Type="http://schemas.openxmlformats.org/officeDocument/2006/relationships/header" Target="header53.xml"/><Relationship Id="rId20" Type="http://schemas.openxmlformats.org/officeDocument/2006/relationships/header" Target="header10.xml"/><Relationship Id="rId41" Type="http://schemas.openxmlformats.org/officeDocument/2006/relationships/header" Target="header28.xml"/><Relationship Id="rId54" Type="http://schemas.openxmlformats.org/officeDocument/2006/relationships/header" Target="header40.xml"/><Relationship Id="rId62" Type="http://schemas.openxmlformats.org/officeDocument/2006/relationships/header" Target="header48.xml"/><Relationship Id="rId70" Type="http://schemas.openxmlformats.org/officeDocument/2006/relationships/header" Target="header56.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00919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7BC57-5625-4E1F-8604-CEE48FFD7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3712</TotalTime>
  <Pages>444</Pages>
  <Words>23028</Words>
  <Characters>131264</Characters>
  <Application>Microsoft Office Word</Application>
  <DocSecurity>0</DocSecurity>
  <Lines>1093</Lines>
  <Paragraphs>307</Paragraphs>
  <ScaleCrop>false</ScaleCrop>
  <HeadingPairs>
    <vt:vector size="4" baseType="variant">
      <vt:variant>
        <vt:lpstr>Title</vt:lpstr>
      </vt:variant>
      <vt:variant>
        <vt:i4>1</vt:i4>
      </vt:variant>
      <vt:variant>
        <vt:lpstr>Headings</vt:lpstr>
      </vt:variant>
      <vt:variant>
        <vt:i4>54</vt:i4>
      </vt:variant>
    </vt:vector>
  </HeadingPairs>
  <TitlesOfParts>
    <vt:vector size="55" baseType="lpstr">
      <vt:lpstr/>
      <vt:lpstr>目　錄</vt:lpstr>
      <vt:lpstr>編輯緣起</vt:lpstr>
      <vt:lpstr>《中觀今論》</vt:lpstr>
      <vt:lpstr>    〈自序〉</vt:lpstr>
      <vt:lpstr>《中觀今論》</vt:lpstr>
      <vt:lpstr>    〈引言〉</vt:lpstr>
      <vt:lpstr>第一章、中道之內容及其意義</vt:lpstr>
      <vt:lpstr>    第一節、中道之內容</vt:lpstr>
      <vt:lpstr>第一章、中道之內容及其意義</vt:lpstr>
      <vt:lpstr>    第二節、中道之意義</vt:lpstr>
      <vt:lpstr>第二章、龍樹及其論典</vt:lpstr>
      <vt:lpstr>    第一節、龍樹論略說</vt:lpstr>
      <vt:lpstr>第二章、龍樹及其論典</vt:lpstr>
      <vt:lpstr>    第二節、《中論》為《阿含》通論考</vt:lpstr>
      <vt:lpstr>第三章、緣起之生滅與不生不滅</vt:lpstr>
      <vt:lpstr>    第一節、無生之共證與大乘不共</vt:lpstr>
      <vt:lpstr>第三章、緣起之生滅與不生不滅</vt:lpstr>
      <vt:lpstr>    第二節、聲聞常道與大乘深論</vt:lpstr>
      <vt:lpstr>第三章、緣起之生滅與不生不滅</vt:lpstr>
      <vt:lpstr>    第三節、三法印之橫豎無礙</vt:lpstr>
      <vt:lpstr>第三章、緣起之生滅與不生不滅</vt:lpstr>
      <vt:lpstr>    第四節、緣起之綜貫性</vt:lpstr>
      <vt:lpstr>第四章、中道之方法論</vt:lpstr>
      <vt:lpstr>    第一節、中觀與中論</vt:lpstr>
      <vt:lpstr>第四章、中道之方法論</vt:lpstr>
      <vt:lpstr>    第二節、因明與中觀</vt:lpstr>
      <vt:lpstr>第四章、中道之方法論</vt:lpstr>
      <vt:lpstr>    第三節、聞量、比量、現量</vt:lpstr>
      <vt:lpstr>第五章、中觀之根本論題</vt:lpstr>
      <vt:lpstr>    第一節、緣起</vt:lpstr>
      <vt:lpstr>第五章、中觀之根本論題</vt:lpstr>
      <vt:lpstr>    第二節、自性</vt:lpstr>
      <vt:lpstr>第五章、中觀之根本論題</vt:lpstr>
      <vt:lpstr>    第三節、空</vt:lpstr>
      <vt:lpstr>第五章、中觀之根本論題</vt:lpstr>
      <vt:lpstr>    第四節、緣起自性空</vt:lpstr>
      <vt:lpstr>第六章、八不</vt:lpstr>
      <vt:lpstr>    第一節、八事四對之解說</vt:lpstr>
      <vt:lpstr>第六章、八不</vt:lpstr>
      <vt:lpstr>    第二節、不</vt:lpstr>
      <vt:lpstr>第七章、有、時、空、動</vt:lpstr>
      <vt:lpstr>    第一節、有──物、體、法</vt:lpstr>
      <vt:lpstr>第七章、有、時、空、動</vt:lpstr>
      <vt:lpstr>    第二節、時間</vt:lpstr>
      <vt:lpstr>第七章、有、時、空、動</vt:lpstr>
      <vt:lpstr>    第三節、空間</vt:lpstr>
      <vt:lpstr>第七章、有、時、空、動</vt:lpstr>
      <vt:lpstr>    第四節、行──變動、運動</vt:lpstr>
      <vt:lpstr>第七章、有、時、空、動</vt:lpstr>
      <vt:lpstr>    第五節、無言之秘</vt:lpstr>
      <vt:lpstr>第八章、中觀之諸法實相</vt:lpstr>
      <vt:lpstr>    第一節、總說</vt:lpstr>
      <vt:lpstr>第八章、中觀之諸法實相</vt:lpstr>
      <vt:lpstr>    第二節、性、相</vt:lpstr>
    </vt:vector>
  </TitlesOfParts>
  <Company>Hewlett-Packard</Company>
  <LinksUpToDate>false</LinksUpToDate>
  <CharactersWithSpaces>153985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cp:lastModifiedBy>User</cp:lastModifiedBy>
  <cp:revision>157</cp:revision>
  <cp:lastPrinted>2024-11-19T10:26:00Z</cp:lastPrinted>
  <dcterms:created xsi:type="dcterms:W3CDTF">2026-08-09T08:34:00Z</dcterms:created>
  <dcterms:modified xsi:type="dcterms:W3CDTF">2026-08-15T02:30:00Z</dcterms:modified>
</cp:coreProperties>
</file>